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1123" w:rsidRDefault="002C1123">
      <w:pPr>
        <w:pStyle w:val="BodyText"/>
        <w:rPr>
          <w:rFonts w:ascii="Times New Roman"/>
        </w:rPr>
      </w:pPr>
    </w:p>
    <w:p w:rsidR="002C1123" w:rsidRDefault="002C1123">
      <w:pPr>
        <w:pStyle w:val="BodyText"/>
        <w:spacing w:before="5"/>
        <w:rPr>
          <w:rFonts w:ascii="Times New Roman"/>
          <w:sz w:val="25"/>
        </w:rPr>
      </w:pPr>
    </w:p>
    <w:bookmarkStart w:id="0" w:name="Front_Cover_"/>
    <w:bookmarkStart w:id="1" w:name="_bookmark0"/>
    <w:bookmarkEnd w:id="0"/>
    <w:bookmarkEnd w:id="1"/>
    <w:p w:rsidR="002C1123" w:rsidRPr="00560142" w:rsidRDefault="00560142">
      <w:pPr>
        <w:pStyle w:val="Title"/>
        <w:spacing w:line="168" w:lineRule="auto"/>
        <w:rPr>
          <w:rStyle w:val="Hyperlink"/>
          <w:b/>
          <w:sz w:val="144"/>
          <w:szCs w:val="144"/>
        </w:rPr>
      </w:pPr>
      <w:r>
        <w:rPr>
          <w:b/>
          <w:color w:val="D5D5D5"/>
          <w:w w:val="55"/>
          <w:sz w:val="144"/>
          <w:szCs w:val="144"/>
        </w:rPr>
        <w:fldChar w:fldCharType="begin"/>
      </w:r>
      <w:r>
        <w:rPr>
          <w:b/>
          <w:color w:val="D5D5D5"/>
          <w:w w:val="55"/>
          <w:sz w:val="144"/>
          <w:szCs w:val="144"/>
        </w:rPr>
        <w:instrText xml:space="preserve"> HYPERLINK "NSW_State_Infrastructure_Strategy_Report_Complete_Interactive.pdf" </w:instrText>
      </w:r>
      <w:r>
        <w:rPr>
          <w:b/>
          <w:color w:val="D5D5D5"/>
          <w:w w:val="55"/>
          <w:sz w:val="144"/>
          <w:szCs w:val="144"/>
        </w:rPr>
      </w:r>
      <w:r>
        <w:rPr>
          <w:b/>
          <w:color w:val="D5D5D5"/>
          <w:w w:val="55"/>
          <w:sz w:val="144"/>
          <w:szCs w:val="144"/>
        </w:rPr>
        <w:fldChar w:fldCharType="separate"/>
      </w:r>
      <w:r w:rsidR="00F22F94" w:rsidRPr="00560142">
        <w:rPr>
          <w:rStyle w:val="Hyperlink"/>
          <w:b/>
          <w:w w:val="55"/>
          <w:sz w:val="144"/>
          <w:szCs w:val="144"/>
        </w:rPr>
        <w:t xml:space="preserve">First </w:t>
      </w:r>
      <w:r w:rsidR="00F22F94" w:rsidRPr="00560142">
        <w:rPr>
          <w:rStyle w:val="Hyperlink"/>
          <w:b/>
          <w:spacing w:val="-32"/>
          <w:w w:val="52"/>
          <w:sz w:val="144"/>
          <w:szCs w:val="144"/>
        </w:rPr>
        <w:t>t</w:t>
      </w:r>
      <w:r w:rsidR="00F22F94" w:rsidRPr="00560142">
        <w:rPr>
          <w:rStyle w:val="Hyperlink"/>
          <w:b/>
          <w:spacing w:val="-30"/>
          <w:w w:val="52"/>
          <w:sz w:val="144"/>
          <w:szCs w:val="144"/>
        </w:rPr>
        <w:t>h</w:t>
      </w:r>
      <w:r w:rsidR="00F22F94" w:rsidRPr="00560142">
        <w:rPr>
          <w:rStyle w:val="Hyperlink"/>
          <w:b/>
          <w:spacing w:val="-36"/>
          <w:w w:val="45"/>
          <w:sz w:val="144"/>
          <w:szCs w:val="144"/>
        </w:rPr>
        <w:t>i</w:t>
      </w:r>
      <w:r w:rsidR="00F22F94" w:rsidRPr="00560142">
        <w:rPr>
          <w:rStyle w:val="Hyperlink"/>
          <w:b/>
          <w:spacing w:val="-1106"/>
          <w:w w:val="51"/>
          <w:sz w:val="144"/>
          <w:szCs w:val="144"/>
        </w:rPr>
        <w:t>n</w:t>
      </w:r>
      <w:r w:rsidR="00F22F94" w:rsidRPr="00560142">
        <w:rPr>
          <w:rStyle w:val="Hyperlink"/>
          <w:b/>
          <w:spacing w:val="-53"/>
          <w:w w:val="51"/>
          <w:sz w:val="144"/>
          <w:szCs w:val="144"/>
        </w:rPr>
        <w:t>n</w:t>
      </w:r>
      <w:r w:rsidR="00F22F94" w:rsidRPr="00560142">
        <w:rPr>
          <w:rStyle w:val="Hyperlink"/>
          <w:b/>
          <w:spacing w:val="-44"/>
          <w:w w:val="65"/>
          <w:sz w:val="144"/>
          <w:szCs w:val="144"/>
        </w:rPr>
        <w:t>gs</w:t>
      </w:r>
      <w:r w:rsidRPr="00560142">
        <w:rPr>
          <w:rStyle w:val="Hyperlink"/>
          <w:b/>
          <w:spacing w:val="-44"/>
          <w:w w:val="65"/>
          <w:sz w:val="144"/>
          <w:szCs w:val="144"/>
        </w:rPr>
        <w:t xml:space="preserve"> </w:t>
      </w:r>
      <w:r w:rsidR="00F22F94" w:rsidRPr="00560142">
        <w:rPr>
          <w:rStyle w:val="Hyperlink"/>
          <w:b/>
          <w:spacing w:val="-193"/>
          <w:w w:val="54"/>
          <w:sz w:val="144"/>
          <w:szCs w:val="144"/>
        </w:rPr>
        <w:t xml:space="preserve"> </w:t>
      </w:r>
      <w:r w:rsidR="008871BD" w:rsidRPr="00560142">
        <w:rPr>
          <w:rStyle w:val="Hyperlink"/>
          <w:b/>
          <w:spacing w:val="-193"/>
          <w:w w:val="54"/>
          <w:sz w:val="144"/>
          <w:szCs w:val="144"/>
        </w:rPr>
        <w:t xml:space="preserve"> </w:t>
      </w:r>
      <w:r w:rsidR="00F22F94" w:rsidRPr="00560142">
        <w:rPr>
          <w:rStyle w:val="Hyperlink"/>
          <w:b/>
          <w:spacing w:val="-38"/>
          <w:w w:val="65"/>
          <w:sz w:val="144"/>
          <w:szCs w:val="144"/>
        </w:rPr>
        <w:t>ﬁrst</w:t>
      </w:r>
    </w:p>
    <w:p w:rsidR="002C1123" w:rsidRDefault="00F22F94">
      <w:pPr>
        <w:spacing w:before="304" w:line="205" w:lineRule="exact"/>
        <w:ind w:left="492"/>
        <w:rPr>
          <w:sz w:val="36"/>
        </w:rPr>
      </w:pPr>
      <w:r w:rsidRPr="00560142">
        <w:rPr>
          <w:rStyle w:val="Hyperlink"/>
          <w:b/>
          <w:w w:val="95"/>
          <w:sz w:val="36"/>
        </w:rPr>
        <w:t>The</w:t>
      </w:r>
      <w:r w:rsidRPr="00560142">
        <w:rPr>
          <w:rStyle w:val="Hyperlink"/>
          <w:b/>
          <w:spacing w:val="-5"/>
          <w:w w:val="95"/>
          <w:sz w:val="36"/>
        </w:rPr>
        <w:t xml:space="preserve"> </w:t>
      </w:r>
      <w:r w:rsidRPr="00560142">
        <w:rPr>
          <w:rStyle w:val="Hyperlink"/>
          <w:b/>
          <w:w w:val="95"/>
          <w:sz w:val="36"/>
        </w:rPr>
        <w:t>State</w:t>
      </w:r>
      <w:r w:rsidRPr="00560142">
        <w:rPr>
          <w:rStyle w:val="Hyperlink"/>
          <w:b/>
          <w:spacing w:val="-5"/>
          <w:w w:val="95"/>
          <w:sz w:val="36"/>
        </w:rPr>
        <w:t xml:space="preserve"> </w:t>
      </w:r>
      <w:r w:rsidRPr="00560142">
        <w:rPr>
          <w:rStyle w:val="Hyperlink"/>
          <w:b/>
          <w:w w:val="95"/>
          <w:sz w:val="36"/>
        </w:rPr>
        <w:t>Infrastructure</w:t>
      </w:r>
      <w:r w:rsidRPr="00560142">
        <w:rPr>
          <w:rStyle w:val="Hyperlink"/>
          <w:b/>
          <w:spacing w:val="-5"/>
          <w:w w:val="95"/>
          <w:sz w:val="36"/>
        </w:rPr>
        <w:t xml:space="preserve"> </w:t>
      </w:r>
      <w:r w:rsidRPr="00560142">
        <w:rPr>
          <w:rStyle w:val="Hyperlink"/>
          <w:b/>
          <w:w w:val="95"/>
          <w:sz w:val="36"/>
        </w:rPr>
        <w:t>Strategy</w:t>
      </w:r>
      <w:r w:rsidRPr="00560142">
        <w:rPr>
          <w:rStyle w:val="Hyperlink"/>
          <w:b/>
          <w:spacing w:val="-5"/>
          <w:w w:val="95"/>
          <w:sz w:val="36"/>
        </w:rPr>
        <w:t xml:space="preserve"> </w:t>
      </w:r>
      <w:r w:rsidRPr="00560142">
        <w:rPr>
          <w:rStyle w:val="Hyperlink"/>
          <w:w w:val="95"/>
          <w:sz w:val="36"/>
        </w:rPr>
        <w:t>2012</w:t>
      </w:r>
      <w:r w:rsidRPr="00560142">
        <w:rPr>
          <w:rStyle w:val="Hyperlink"/>
          <w:spacing w:val="-5"/>
          <w:w w:val="95"/>
          <w:sz w:val="36"/>
        </w:rPr>
        <w:t xml:space="preserve"> </w:t>
      </w:r>
      <w:r w:rsidRPr="00560142">
        <w:rPr>
          <w:rStyle w:val="Hyperlink"/>
          <w:w w:val="95"/>
          <w:sz w:val="36"/>
        </w:rPr>
        <w:t>–</w:t>
      </w:r>
      <w:r w:rsidRPr="00560142">
        <w:rPr>
          <w:rStyle w:val="Hyperlink"/>
          <w:spacing w:val="-5"/>
          <w:w w:val="95"/>
          <w:sz w:val="36"/>
        </w:rPr>
        <w:t xml:space="preserve"> </w:t>
      </w:r>
      <w:r w:rsidRPr="00560142">
        <w:rPr>
          <w:rStyle w:val="Hyperlink"/>
          <w:spacing w:val="-4"/>
          <w:w w:val="95"/>
          <w:sz w:val="36"/>
        </w:rPr>
        <w:t>2032</w:t>
      </w:r>
      <w:r w:rsidR="00560142">
        <w:rPr>
          <w:rFonts w:ascii="Trebuchet MS" w:eastAsia="Trebuchet MS" w:hAnsi="Trebuchet MS" w:cs="Trebuchet MS"/>
          <w:b/>
          <w:color w:val="D5D5D5"/>
          <w:w w:val="55"/>
          <w:sz w:val="144"/>
          <w:szCs w:val="144"/>
        </w:rPr>
        <w:fldChar w:fldCharType="end"/>
      </w:r>
      <w:bookmarkStart w:id="2" w:name="_GoBack"/>
      <w:bookmarkEnd w:id="2"/>
    </w:p>
    <w:p w:rsidR="002C1123" w:rsidRDefault="002060EF">
      <w:pPr>
        <w:spacing w:line="1448" w:lineRule="exact"/>
        <w:ind w:right="2190"/>
        <w:jc w:val="right"/>
        <w:rPr>
          <w:rFonts w:ascii="Trebuchet MS"/>
          <w:sz w:val="125"/>
        </w:rPr>
      </w:pPr>
      <w:r>
        <w:pict>
          <v:rect id="docshape10" o:spid="_x0000_s5244" style="position:absolute;left:0;text-align:left;margin-left:724.6pt;margin-top:12.4pt;width:5.85pt;height:6.45pt;z-index:251211776;mso-position-horizontal-relative:page" fillcolor="#ec008c" stroked="f">
            <w10:wrap anchorx="page"/>
          </v:rect>
        </w:pict>
      </w:r>
      <w:r w:rsidR="00F22F94">
        <w:rPr>
          <w:noProof/>
        </w:rPr>
        <w:drawing>
          <wp:anchor distT="0" distB="0" distL="0" distR="0" simplePos="0" relativeHeight="251200512" behindDoc="0" locked="0" layoutInCell="1" allowOverlap="1">
            <wp:simplePos x="0" y="0"/>
            <wp:positionH relativeFrom="page">
              <wp:posOffset>9203931</wp:posOffset>
            </wp:positionH>
            <wp:positionV relativeFrom="paragraph">
              <wp:posOffset>299265</wp:posOffset>
            </wp:positionV>
            <wp:extent cx="858178" cy="780656"/>
            <wp:effectExtent l="0" t="0" r="0" b="0"/>
            <wp:wrapNone/>
            <wp:docPr id="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7" cstate="print"/>
                    <a:stretch>
                      <a:fillRect/>
                    </a:stretch>
                  </pic:blipFill>
                  <pic:spPr>
                    <a:xfrm>
                      <a:off x="0" y="0"/>
                      <a:ext cx="858178" cy="780656"/>
                    </a:xfrm>
                    <a:prstGeom prst="rect">
                      <a:avLst/>
                    </a:prstGeom>
                  </pic:spPr>
                </pic:pic>
              </a:graphicData>
            </a:graphic>
          </wp:anchor>
        </w:drawing>
      </w:r>
      <w:r w:rsidR="00F22F94">
        <w:rPr>
          <w:rFonts w:ascii="Trebuchet MS"/>
          <w:color w:val="D5D5D5"/>
          <w:w w:val="50"/>
          <w:sz w:val="125"/>
        </w:rPr>
        <w:t>we</w:t>
      </w:r>
      <w:r w:rsidR="00F22F94">
        <w:rPr>
          <w:rFonts w:ascii="Trebuchet MS"/>
          <w:color w:val="D5D5D5"/>
          <w:spacing w:val="-90"/>
          <w:w w:val="50"/>
          <w:sz w:val="125"/>
        </w:rPr>
        <w:t xml:space="preserve"> </w:t>
      </w:r>
      <w:r w:rsidR="00F22F94">
        <w:rPr>
          <w:rFonts w:ascii="Trebuchet MS"/>
          <w:color w:val="D5D5D5"/>
          <w:spacing w:val="-7"/>
          <w:w w:val="60"/>
          <w:sz w:val="125"/>
        </w:rPr>
        <w:t>inform</w:t>
      </w:r>
    </w:p>
    <w:p w:rsidR="002C1123" w:rsidRDefault="002C1123">
      <w:pPr>
        <w:spacing w:line="1448" w:lineRule="exact"/>
        <w:jc w:val="right"/>
        <w:rPr>
          <w:rFonts w:ascii="Trebuchet MS"/>
          <w:sz w:val="125"/>
        </w:rPr>
        <w:sectPr w:rsidR="002C1123">
          <w:headerReference w:type="default" r:id="rId8"/>
          <w:type w:val="continuous"/>
          <w:pgSz w:w="16840" w:h="11910" w:orient="landscape"/>
          <w:pgMar w:top="560" w:right="280" w:bottom="280" w:left="500" w:header="0" w:footer="0" w:gutter="0"/>
          <w:pgNumType w:start="1"/>
          <w:cols w:space="720"/>
        </w:sectPr>
      </w:pPr>
    </w:p>
    <w:p w:rsidR="002C1123" w:rsidRDefault="002C1123">
      <w:pPr>
        <w:pStyle w:val="BodyText"/>
        <w:rPr>
          <w:rFonts w:ascii="Trebuchet MS"/>
        </w:rPr>
      </w:pPr>
    </w:p>
    <w:p w:rsidR="002C1123" w:rsidRDefault="002C1123">
      <w:pPr>
        <w:pStyle w:val="BodyText"/>
        <w:rPr>
          <w:rFonts w:ascii="Trebuchet MS"/>
        </w:rPr>
      </w:pPr>
    </w:p>
    <w:p w:rsidR="002C1123" w:rsidRDefault="002C1123">
      <w:pPr>
        <w:pStyle w:val="BodyText"/>
        <w:rPr>
          <w:rFonts w:ascii="Trebuchet MS"/>
        </w:rPr>
      </w:pPr>
    </w:p>
    <w:p w:rsidR="002C1123" w:rsidRDefault="002C1123">
      <w:pPr>
        <w:pStyle w:val="BodyText"/>
        <w:spacing w:before="3"/>
        <w:rPr>
          <w:rFonts w:ascii="Trebuchet MS"/>
          <w:sz w:val="16"/>
        </w:rPr>
      </w:pPr>
    </w:p>
    <w:p w:rsidR="002C1123" w:rsidRDefault="002C1123">
      <w:pPr>
        <w:rPr>
          <w:rFonts w:ascii="Trebuchet MS"/>
          <w:sz w:val="16"/>
        </w:rPr>
        <w:sectPr w:rsidR="002C1123">
          <w:headerReference w:type="default" r:id="rId9"/>
          <w:footerReference w:type="default" r:id="rId10"/>
          <w:pgSz w:w="16840" w:h="11910" w:orient="landscape"/>
          <w:pgMar w:top="560" w:right="280" w:bottom="700" w:left="500" w:header="0" w:footer="517" w:gutter="0"/>
          <w:pgNumType w:start="1"/>
          <w:cols w:space="720"/>
        </w:sectPr>
      </w:pPr>
    </w:p>
    <w:p w:rsidR="002C1123" w:rsidRDefault="00F22F94">
      <w:pPr>
        <w:spacing w:before="80"/>
        <w:ind w:left="492"/>
        <w:rPr>
          <w:rFonts w:ascii="Trebuchet MS"/>
          <w:sz w:val="264"/>
        </w:rPr>
      </w:pPr>
      <w:bookmarkStart w:id="3" w:name="Table_of_Contents_Page_1"/>
      <w:bookmarkStart w:id="4" w:name="_bookmark1"/>
      <w:bookmarkStart w:id="5" w:name="_bookmark2"/>
      <w:bookmarkEnd w:id="3"/>
      <w:bookmarkEnd w:id="4"/>
      <w:bookmarkEnd w:id="5"/>
      <w:r>
        <w:rPr>
          <w:rFonts w:ascii="Trebuchet MS"/>
          <w:color w:val="E1E0E1"/>
          <w:spacing w:val="-5"/>
          <w:w w:val="55"/>
          <w:sz w:val="264"/>
        </w:rPr>
        <w:t>contents</w:t>
      </w:r>
    </w:p>
    <w:p w:rsidR="002C1123" w:rsidRDefault="00F22F94">
      <w:pPr>
        <w:rPr>
          <w:rFonts w:ascii="Trebuchet MS"/>
          <w:sz w:val="24"/>
        </w:rPr>
      </w:pPr>
      <w:r>
        <w:br w:type="column"/>
      </w:r>
    </w:p>
    <w:p w:rsidR="002C1123" w:rsidRDefault="002C1123">
      <w:pPr>
        <w:pStyle w:val="BodyText"/>
        <w:rPr>
          <w:rFonts w:ascii="Trebuchet MS"/>
          <w:sz w:val="24"/>
        </w:rPr>
      </w:pPr>
    </w:p>
    <w:p w:rsidR="002C1123" w:rsidRDefault="002C1123">
      <w:pPr>
        <w:pStyle w:val="BodyText"/>
        <w:rPr>
          <w:rFonts w:ascii="Trebuchet MS"/>
          <w:sz w:val="24"/>
        </w:rPr>
      </w:pPr>
    </w:p>
    <w:p w:rsidR="002C1123" w:rsidRDefault="002C1123">
      <w:pPr>
        <w:pStyle w:val="BodyText"/>
        <w:spacing w:before="8"/>
        <w:rPr>
          <w:rFonts w:ascii="Trebuchet MS"/>
          <w:sz w:val="18"/>
        </w:rPr>
      </w:pPr>
    </w:p>
    <w:p w:rsidR="002C1123" w:rsidRDefault="002060EF">
      <w:pPr>
        <w:pStyle w:val="Heading6"/>
        <w:tabs>
          <w:tab w:val="right" w:pos="5140"/>
        </w:tabs>
        <w:spacing w:before="1"/>
        <w:ind w:left="492"/>
      </w:pPr>
      <w:hyperlink w:anchor="_bookmark6" w:history="1">
        <w:r w:rsidR="00F22F94">
          <w:rPr>
            <w:spacing w:val="-2"/>
          </w:rPr>
          <w:t>Chairman’s</w:t>
        </w:r>
        <w:r w:rsidR="00F22F94">
          <w:t xml:space="preserve"> </w:t>
        </w:r>
        <w:r w:rsidR="00F22F94">
          <w:rPr>
            <w:spacing w:val="-2"/>
          </w:rPr>
          <w:t>foreword</w:t>
        </w:r>
        <w:r w:rsidR="00F22F94">
          <w:tab/>
        </w:r>
        <w:r w:rsidR="00F22F94">
          <w:rPr>
            <w:spacing w:val="-10"/>
          </w:rPr>
          <w:t>4</w:t>
        </w:r>
      </w:hyperlink>
    </w:p>
    <w:p w:rsidR="002C1123" w:rsidRDefault="002060EF">
      <w:pPr>
        <w:pStyle w:val="Heading6"/>
        <w:tabs>
          <w:tab w:val="right" w:pos="5140"/>
        </w:tabs>
        <w:spacing w:before="151"/>
        <w:ind w:left="492"/>
      </w:pPr>
      <w:hyperlink w:anchor="_bookmark9" w:history="1">
        <w:r w:rsidR="00F22F94">
          <w:rPr>
            <w:spacing w:val="-2"/>
          </w:rPr>
          <w:t>CEO’s</w:t>
        </w:r>
        <w:r w:rsidR="00F22F94">
          <w:rPr>
            <w:spacing w:val="-10"/>
          </w:rPr>
          <w:t xml:space="preserve"> </w:t>
        </w:r>
        <w:r w:rsidR="00F22F94">
          <w:rPr>
            <w:spacing w:val="-2"/>
            <w:w w:val="95"/>
          </w:rPr>
          <w:t>statement</w:t>
        </w:r>
        <w:r w:rsidR="00F22F94">
          <w:tab/>
        </w:r>
        <w:r w:rsidR="00F22F94">
          <w:rPr>
            <w:spacing w:val="-12"/>
            <w:w w:val="95"/>
          </w:rPr>
          <w:t>6</w:t>
        </w:r>
      </w:hyperlink>
    </w:p>
    <w:p w:rsidR="002C1123" w:rsidRDefault="002060EF">
      <w:pPr>
        <w:pStyle w:val="Heading6"/>
        <w:tabs>
          <w:tab w:val="right" w:pos="5140"/>
        </w:tabs>
        <w:spacing w:before="152"/>
        <w:ind w:left="492"/>
      </w:pPr>
      <w:hyperlink w:anchor="_bookmark13" w:history="1">
        <w:r w:rsidR="00F22F94">
          <w:t>Executive</w:t>
        </w:r>
        <w:r w:rsidR="00F22F94">
          <w:rPr>
            <w:spacing w:val="-10"/>
          </w:rPr>
          <w:t xml:space="preserve"> </w:t>
        </w:r>
        <w:r w:rsidR="00F22F94">
          <w:rPr>
            <w:spacing w:val="-2"/>
          </w:rPr>
          <w:t>summary</w:t>
        </w:r>
        <w:r w:rsidR="00F22F94">
          <w:tab/>
        </w:r>
        <w:r w:rsidR="00F22F94">
          <w:rPr>
            <w:spacing w:val="-10"/>
          </w:rPr>
          <w:t>9</w:t>
        </w:r>
      </w:hyperlink>
    </w:p>
    <w:p w:rsidR="002C1123" w:rsidRDefault="002060EF">
      <w:pPr>
        <w:pStyle w:val="Heading6"/>
        <w:spacing w:before="152"/>
        <w:ind w:left="492"/>
      </w:pPr>
      <w:hyperlink w:anchor="_bookmark19" w:history="1">
        <w:r w:rsidR="00F22F94">
          <w:t>Infrastructure</w:t>
        </w:r>
        <w:r w:rsidR="00F22F94">
          <w:rPr>
            <w:spacing w:val="-1"/>
          </w:rPr>
          <w:t xml:space="preserve"> </w:t>
        </w:r>
        <w:r w:rsidR="00F22F94">
          <w:rPr>
            <w:spacing w:val="-4"/>
          </w:rPr>
          <w:t>NSW’s</w:t>
        </w:r>
      </w:hyperlink>
    </w:p>
    <w:p w:rsidR="002C1123" w:rsidRDefault="002060EF">
      <w:pPr>
        <w:pStyle w:val="Heading6"/>
        <w:tabs>
          <w:tab w:val="right" w:pos="5140"/>
        </w:tabs>
        <w:spacing w:before="10"/>
        <w:ind w:left="492"/>
      </w:pPr>
      <w:hyperlink w:anchor="_bookmark19" w:history="1">
        <w:r w:rsidR="00F22F94">
          <w:t>principal</w:t>
        </w:r>
        <w:r w:rsidR="00F22F94">
          <w:rPr>
            <w:spacing w:val="-9"/>
          </w:rPr>
          <w:t xml:space="preserve"> </w:t>
        </w:r>
        <w:r w:rsidR="00F22F94">
          <w:rPr>
            <w:spacing w:val="-2"/>
          </w:rPr>
          <w:t>recommendations</w:t>
        </w:r>
        <w:r w:rsidR="00F22F94">
          <w:tab/>
        </w:r>
        <w:r w:rsidR="00F22F94">
          <w:rPr>
            <w:spacing w:val="-5"/>
          </w:rPr>
          <w:t>14</w:t>
        </w:r>
      </w:hyperlink>
    </w:p>
    <w:p w:rsidR="002C1123" w:rsidRDefault="00F22F94">
      <w:pPr>
        <w:tabs>
          <w:tab w:val="right" w:pos="5140"/>
        </w:tabs>
        <w:spacing w:before="298"/>
        <w:ind w:left="492"/>
        <w:rPr>
          <w:sz w:val="28"/>
        </w:rPr>
      </w:pPr>
      <w:r>
        <w:rPr>
          <w:color w:val="EC008C"/>
          <w:w w:val="95"/>
          <w:sz w:val="28"/>
        </w:rPr>
        <w:t>The</w:t>
      </w:r>
      <w:r>
        <w:rPr>
          <w:color w:val="EC008C"/>
          <w:spacing w:val="-6"/>
          <w:w w:val="95"/>
          <w:sz w:val="28"/>
        </w:rPr>
        <w:t xml:space="preserve"> </w:t>
      </w:r>
      <w:hyperlink w:anchor="_bookmark21" w:history="1">
        <w:r>
          <w:rPr>
            <w:color w:val="EC008C"/>
            <w:spacing w:val="-2"/>
            <w:sz w:val="28"/>
          </w:rPr>
          <w:t>context</w:t>
        </w:r>
        <w:r>
          <w:rPr>
            <w:color w:val="EC008C"/>
            <w:sz w:val="28"/>
          </w:rPr>
          <w:tab/>
        </w:r>
        <w:r>
          <w:rPr>
            <w:color w:val="EC008C"/>
            <w:spacing w:val="-5"/>
            <w:sz w:val="28"/>
          </w:rPr>
          <w:t>15</w:t>
        </w:r>
      </w:hyperlink>
    </w:p>
    <w:p w:rsidR="002C1123" w:rsidRDefault="002060EF">
      <w:pPr>
        <w:pStyle w:val="ListParagraph"/>
        <w:numPr>
          <w:ilvl w:val="1"/>
          <w:numId w:val="208"/>
        </w:numPr>
        <w:tabs>
          <w:tab w:val="left" w:pos="972"/>
          <w:tab w:val="left" w:pos="973"/>
          <w:tab w:val="right" w:pos="5140"/>
        </w:tabs>
        <w:spacing w:before="277" w:line="225" w:lineRule="exact"/>
        <w:ind w:hanging="481"/>
        <w:rPr>
          <w:color w:val="EC008C"/>
          <w:sz w:val="20"/>
        </w:rPr>
      </w:pPr>
      <w:hyperlink w:anchor="_bookmark23" w:history="1">
        <w:r w:rsidR="00F22F94">
          <w:rPr>
            <w:color w:val="EC008C"/>
            <w:w w:val="95"/>
            <w:sz w:val="20"/>
          </w:rPr>
          <w:t>Strategic</w:t>
        </w:r>
        <w:r w:rsidR="00F22F94">
          <w:rPr>
            <w:color w:val="EC008C"/>
            <w:spacing w:val="15"/>
            <w:sz w:val="20"/>
          </w:rPr>
          <w:t xml:space="preserve"> </w:t>
        </w:r>
        <w:r w:rsidR="00F22F94">
          <w:rPr>
            <w:color w:val="EC008C"/>
            <w:spacing w:val="-2"/>
            <w:sz w:val="20"/>
          </w:rPr>
          <w:t>framework</w:t>
        </w:r>
        <w:r w:rsidR="00F22F94">
          <w:rPr>
            <w:color w:val="EC008C"/>
            <w:sz w:val="20"/>
          </w:rPr>
          <w:tab/>
        </w:r>
        <w:r w:rsidR="00F22F94">
          <w:rPr>
            <w:color w:val="EC008C"/>
            <w:spacing w:val="-5"/>
            <w:sz w:val="20"/>
          </w:rPr>
          <w:t>16</w:t>
        </w:r>
      </w:hyperlink>
    </w:p>
    <w:p w:rsidR="002C1123" w:rsidRDefault="002060EF">
      <w:pPr>
        <w:pStyle w:val="BodyText"/>
        <w:tabs>
          <w:tab w:val="right" w:pos="5140"/>
        </w:tabs>
        <w:spacing w:line="220" w:lineRule="exact"/>
        <w:ind w:left="1002"/>
      </w:pPr>
      <w:hyperlink w:anchor="_bookmark23" w:history="1">
        <w:r w:rsidR="00F22F94">
          <w:rPr>
            <w:w w:val="95"/>
          </w:rPr>
          <w:t>Key</w:t>
        </w:r>
        <w:r w:rsidR="00F22F94">
          <w:rPr>
            <w:spacing w:val="-1"/>
            <w:w w:val="95"/>
          </w:rPr>
          <w:t xml:space="preserve"> </w:t>
        </w:r>
        <w:r w:rsidR="00F22F94">
          <w:rPr>
            <w:spacing w:val="-2"/>
          </w:rPr>
          <w:t>points</w:t>
        </w:r>
        <w:r w:rsidR="00F22F94">
          <w:tab/>
        </w:r>
        <w:r w:rsidR="00F22F94">
          <w:rPr>
            <w:spacing w:val="-5"/>
          </w:rPr>
          <w:t>16</w:t>
        </w:r>
      </w:hyperlink>
    </w:p>
    <w:p w:rsidR="002C1123" w:rsidRDefault="002060EF">
      <w:pPr>
        <w:pStyle w:val="ListParagraph"/>
        <w:numPr>
          <w:ilvl w:val="1"/>
          <w:numId w:val="208"/>
        </w:numPr>
        <w:tabs>
          <w:tab w:val="left" w:pos="1002"/>
          <w:tab w:val="left" w:pos="1003"/>
          <w:tab w:val="right" w:pos="5140"/>
        </w:tabs>
        <w:spacing w:line="220" w:lineRule="exact"/>
        <w:ind w:left="1002" w:hanging="511"/>
        <w:rPr>
          <w:sz w:val="20"/>
        </w:rPr>
      </w:pPr>
      <w:hyperlink w:anchor="_bookmark23" w:history="1">
        <w:r w:rsidR="00F22F94">
          <w:rPr>
            <w:spacing w:val="-2"/>
            <w:sz w:val="20"/>
          </w:rPr>
          <w:t>Introduction</w:t>
        </w:r>
        <w:r w:rsidR="00F22F94">
          <w:rPr>
            <w:sz w:val="20"/>
          </w:rPr>
          <w:tab/>
        </w:r>
        <w:r w:rsidR="00F22F94">
          <w:rPr>
            <w:spacing w:val="-5"/>
            <w:w w:val="95"/>
            <w:sz w:val="20"/>
          </w:rPr>
          <w:t>16</w:t>
        </w:r>
      </w:hyperlink>
    </w:p>
    <w:p w:rsidR="002C1123" w:rsidRDefault="002060EF">
      <w:pPr>
        <w:pStyle w:val="ListParagraph"/>
        <w:numPr>
          <w:ilvl w:val="1"/>
          <w:numId w:val="208"/>
        </w:numPr>
        <w:tabs>
          <w:tab w:val="left" w:pos="1002"/>
          <w:tab w:val="left" w:pos="1003"/>
          <w:tab w:val="right" w:pos="5140"/>
        </w:tabs>
        <w:spacing w:line="220" w:lineRule="exact"/>
        <w:ind w:left="1002" w:hanging="511"/>
        <w:rPr>
          <w:sz w:val="20"/>
        </w:rPr>
      </w:pPr>
      <w:hyperlink w:anchor="_bookmark25" w:history="1">
        <w:r w:rsidR="00F22F94">
          <w:rPr>
            <w:w w:val="95"/>
            <w:sz w:val="20"/>
          </w:rPr>
          <w:t>Infrastructure</w:t>
        </w:r>
        <w:r w:rsidR="00F22F94">
          <w:rPr>
            <w:spacing w:val="5"/>
            <w:sz w:val="20"/>
          </w:rPr>
          <w:t xml:space="preserve"> </w:t>
        </w:r>
        <w:r w:rsidR="00F22F94">
          <w:rPr>
            <w:w w:val="95"/>
            <w:sz w:val="20"/>
          </w:rPr>
          <w:t>and</w:t>
        </w:r>
        <w:r w:rsidR="00F22F94">
          <w:rPr>
            <w:spacing w:val="5"/>
            <w:sz w:val="20"/>
          </w:rPr>
          <w:t xml:space="preserve"> </w:t>
        </w:r>
        <w:r w:rsidR="00F22F94">
          <w:rPr>
            <w:w w:val="95"/>
            <w:sz w:val="20"/>
          </w:rPr>
          <w:t>the</w:t>
        </w:r>
        <w:r w:rsidR="00F22F94">
          <w:rPr>
            <w:spacing w:val="6"/>
            <w:sz w:val="20"/>
          </w:rPr>
          <w:t xml:space="preserve"> </w:t>
        </w:r>
        <w:r w:rsidR="00F22F94">
          <w:rPr>
            <w:w w:val="95"/>
            <w:sz w:val="20"/>
          </w:rPr>
          <w:t>NSW</w:t>
        </w:r>
        <w:r w:rsidR="00F22F94">
          <w:rPr>
            <w:spacing w:val="5"/>
            <w:sz w:val="20"/>
          </w:rPr>
          <w:t xml:space="preserve"> </w:t>
        </w:r>
        <w:r w:rsidR="00F22F94">
          <w:rPr>
            <w:spacing w:val="-2"/>
            <w:w w:val="95"/>
            <w:sz w:val="20"/>
          </w:rPr>
          <w:t>economy</w:t>
        </w:r>
        <w:r w:rsidR="00F22F94">
          <w:rPr>
            <w:sz w:val="20"/>
          </w:rPr>
          <w:tab/>
        </w:r>
        <w:r w:rsidR="00F22F94">
          <w:rPr>
            <w:spacing w:val="-5"/>
            <w:sz w:val="20"/>
          </w:rPr>
          <w:t>17</w:t>
        </w:r>
      </w:hyperlink>
    </w:p>
    <w:p w:rsidR="002C1123" w:rsidRDefault="002060EF">
      <w:pPr>
        <w:pStyle w:val="ListParagraph"/>
        <w:numPr>
          <w:ilvl w:val="1"/>
          <w:numId w:val="208"/>
        </w:numPr>
        <w:tabs>
          <w:tab w:val="left" w:pos="1002"/>
          <w:tab w:val="left" w:pos="1003"/>
          <w:tab w:val="right" w:pos="5140"/>
        </w:tabs>
        <w:spacing w:line="220" w:lineRule="exact"/>
        <w:ind w:left="1002" w:hanging="511"/>
        <w:rPr>
          <w:sz w:val="20"/>
        </w:rPr>
      </w:pPr>
      <w:hyperlink w:anchor="_bookmark29" w:history="1">
        <w:r w:rsidR="00F22F94">
          <w:rPr>
            <w:w w:val="95"/>
            <w:sz w:val="20"/>
          </w:rPr>
          <w:t>Infrastructure</w:t>
        </w:r>
        <w:r w:rsidR="00F22F94">
          <w:rPr>
            <w:spacing w:val="4"/>
            <w:sz w:val="20"/>
          </w:rPr>
          <w:t xml:space="preserve"> </w:t>
        </w:r>
        <w:r w:rsidR="00F22F94">
          <w:rPr>
            <w:spacing w:val="-5"/>
            <w:w w:val="95"/>
            <w:sz w:val="20"/>
          </w:rPr>
          <w:t>NSW</w:t>
        </w:r>
        <w:r w:rsidR="00F22F94">
          <w:rPr>
            <w:sz w:val="20"/>
          </w:rPr>
          <w:tab/>
        </w:r>
        <w:r w:rsidR="00F22F94">
          <w:rPr>
            <w:spacing w:val="-5"/>
            <w:sz w:val="20"/>
          </w:rPr>
          <w:t>20</w:t>
        </w:r>
      </w:hyperlink>
    </w:p>
    <w:p w:rsidR="002C1123" w:rsidRDefault="002060EF">
      <w:pPr>
        <w:pStyle w:val="ListParagraph"/>
        <w:numPr>
          <w:ilvl w:val="1"/>
          <w:numId w:val="208"/>
        </w:numPr>
        <w:tabs>
          <w:tab w:val="left" w:pos="1002"/>
          <w:tab w:val="left" w:pos="1003"/>
          <w:tab w:val="right" w:pos="5140"/>
        </w:tabs>
        <w:spacing w:line="220" w:lineRule="exact"/>
        <w:ind w:left="1002" w:hanging="511"/>
        <w:rPr>
          <w:sz w:val="20"/>
        </w:rPr>
      </w:pPr>
      <w:hyperlink w:anchor="_bookmark33" w:history="1">
        <w:r w:rsidR="00F22F94">
          <w:rPr>
            <w:w w:val="95"/>
            <w:sz w:val="20"/>
          </w:rPr>
          <w:t>The</w:t>
        </w:r>
        <w:r w:rsidR="00F22F94">
          <w:rPr>
            <w:sz w:val="20"/>
          </w:rPr>
          <w:t xml:space="preserve"> </w:t>
        </w:r>
        <w:r w:rsidR="00F22F94">
          <w:rPr>
            <w:w w:val="95"/>
            <w:sz w:val="20"/>
          </w:rPr>
          <w:t>State</w:t>
        </w:r>
        <w:r w:rsidR="00F22F94">
          <w:rPr>
            <w:spacing w:val="1"/>
            <w:sz w:val="20"/>
          </w:rPr>
          <w:t xml:space="preserve"> </w:t>
        </w:r>
        <w:r w:rsidR="00F22F94">
          <w:rPr>
            <w:w w:val="95"/>
            <w:sz w:val="20"/>
          </w:rPr>
          <w:t>Infrastructure</w:t>
        </w:r>
        <w:r w:rsidR="00F22F94">
          <w:rPr>
            <w:spacing w:val="1"/>
            <w:sz w:val="20"/>
          </w:rPr>
          <w:t xml:space="preserve"> </w:t>
        </w:r>
        <w:r w:rsidR="00F22F94">
          <w:rPr>
            <w:spacing w:val="-2"/>
            <w:w w:val="95"/>
            <w:sz w:val="20"/>
          </w:rPr>
          <w:t>Strategy</w:t>
        </w:r>
        <w:r w:rsidR="00F22F94">
          <w:rPr>
            <w:sz w:val="20"/>
          </w:rPr>
          <w:tab/>
        </w:r>
        <w:r w:rsidR="00F22F94">
          <w:rPr>
            <w:spacing w:val="-5"/>
            <w:sz w:val="20"/>
          </w:rPr>
          <w:t>23</w:t>
        </w:r>
      </w:hyperlink>
    </w:p>
    <w:p w:rsidR="002C1123" w:rsidRDefault="002060EF">
      <w:pPr>
        <w:pStyle w:val="ListParagraph"/>
        <w:numPr>
          <w:ilvl w:val="1"/>
          <w:numId w:val="208"/>
        </w:numPr>
        <w:tabs>
          <w:tab w:val="left" w:pos="1002"/>
          <w:tab w:val="left" w:pos="1003"/>
          <w:tab w:val="right" w:pos="5140"/>
        </w:tabs>
        <w:spacing w:line="220" w:lineRule="exact"/>
        <w:ind w:left="1002" w:hanging="511"/>
        <w:rPr>
          <w:sz w:val="20"/>
        </w:rPr>
      </w:pPr>
      <w:hyperlink w:anchor="_bookmark35" w:history="1">
        <w:r w:rsidR="00F22F94">
          <w:rPr>
            <w:w w:val="95"/>
            <w:sz w:val="20"/>
          </w:rPr>
          <w:t>The</w:t>
        </w:r>
        <w:r w:rsidR="00F22F94">
          <w:rPr>
            <w:spacing w:val="-2"/>
            <w:w w:val="95"/>
            <w:sz w:val="20"/>
          </w:rPr>
          <w:t xml:space="preserve"> </w:t>
        </w:r>
        <w:r w:rsidR="00F22F94">
          <w:rPr>
            <w:w w:val="95"/>
            <w:sz w:val="20"/>
          </w:rPr>
          <w:t>Strategy’s</w:t>
        </w:r>
        <w:r w:rsidR="00F22F94">
          <w:rPr>
            <w:spacing w:val="-1"/>
            <w:w w:val="95"/>
            <w:sz w:val="20"/>
          </w:rPr>
          <w:t xml:space="preserve"> </w:t>
        </w:r>
        <w:r w:rsidR="00F22F94">
          <w:rPr>
            <w:spacing w:val="-2"/>
            <w:w w:val="95"/>
            <w:sz w:val="20"/>
          </w:rPr>
          <w:t>regions</w:t>
        </w:r>
        <w:r w:rsidR="00F22F94">
          <w:rPr>
            <w:sz w:val="20"/>
          </w:rPr>
          <w:tab/>
        </w:r>
        <w:r w:rsidR="00F22F94">
          <w:rPr>
            <w:spacing w:val="-5"/>
            <w:sz w:val="20"/>
          </w:rPr>
          <w:t>24</w:t>
        </w:r>
      </w:hyperlink>
    </w:p>
    <w:p w:rsidR="002C1123" w:rsidRDefault="002060EF">
      <w:pPr>
        <w:pStyle w:val="ListParagraph"/>
        <w:numPr>
          <w:ilvl w:val="1"/>
          <w:numId w:val="208"/>
        </w:numPr>
        <w:tabs>
          <w:tab w:val="left" w:pos="1002"/>
          <w:tab w:val="left" w:pos="1003"/>
          <w:tab w:val="right" w:pos="5140"/>
        </w:tabs>
        <w:spacing w:line="220" w:lineRule="exact"/>
        <w:ind w:left="1002" w:hanging="511"/>
        <w:rPr>
          <w:sz w:val="20"/>
        </w:rPr>
      </w:pPr>
      <w:hyperlink w:anchor="_bookmark38" w:history="1">
        <w:r w:rsidR="00F22F94">
          <w:rPr>
            <w:w w:val="95"/>
            <w:sz w:val="20"/>
          </w:rPr>
          <w:t>Economic</w:t>
        </w:r>
        <w:r w:rsidR="00F22F94">
          <w:rPr>
            <w:spacing w:val="17"/>
            <w:sz w:val="20"/>
          </w:rPr>
          <w:t xml:space="preserve"> </w:t>
        </w:r>
        <w:r w:rsidR="00F22F94">
          <w:rPr>
            <w:spacing w:val="-2"/>
            <w:sz w:val="20"/>
          </w:rPr>
          <w:t>benefits</w:t>
        </w:r>
        <w:r w:rsidR="00F22F94">
          <w:rPr>
            <w:sz w:val="20"/>
          </w:rPr>
          <w:tab/>
        </w:r>
        <w:r w:rsidR="00F22F94">
          <w:rPr>
            <w:spacing w:val="-5"/>
            <w:sz w:val="20"/>
          </w:rPr>
          <w:t>26</w:t>
        </w:r>
      </w:hyperlink>
    </w:p>
    <w:p w:rsidR="002C1123" w:rsidRDefault="002060EF">
      <w:pPr>
        <w:pStyle w:val="ListParagraph"/>
        <w:numPr>
          <w:ilvl w:val="1"/>
          <w:numId w:val="208"/>
        </w:numPr>
        <w:tabs>
          <w:tab w:val="left" w:pos="1002"/>
          <w:tab w:val="left" w:pos="1003"/>
          <w:tab w:val="right" w:pos="5140"/>
        </w:tabs>
        <w:spacing w:line="225" w:lineRule="exact"/>
        <w:ind w:left="1002" w:hanging="511"/>
        <w:rPr>
          <w:sz w:val="20"/>
        </w:rPr>
      </w:pPr>
      <w:hyperlink w:anchor="_bookmark40" w:history="1">
        <w:r w:rsidR="00F22F94">
          <w:rPr>
            <w:spacing w:val="-2"/>
            <w:sz w:val="20"/>
          </w:rPr>
          <w:t>Methodology</w:t>
        </w:r>
        <w:r w:rsidR="00F22F94">
          <w:rPr>
            <w:sz w:val="20"/>
          </w:rPr>
          <w:tab/>
        </w:r>
        <w:r w:rsidR="00F22F94">
          <w:rPr>
            <w:spacing w:val="-5"/>
            <w:sz w:val="20"/>
          </w:rPr>
          <w:t>27</w:t>
        </w:r>
      </w:hyperlink>
    </w:p>
    <w:p w:rsidR="002C1123" w:rsidRDefault="002060EF">
      <w:pPr>
        <w:pStyle w:val="ListParagraph"/>
        <w:numPr>
          <w:ilvl w:val="1"/>
          <w:numId w:val="207"/>
        </w:numPr>
        <w:tabs>
          <w:tab w:val="left" w:pos="972"/>
          <w:tab w:val="left" w:pos="973"/>
          <w:tab w:val="right" w:pos="5140"/>
        </w:tabs>
        <w:spacing w:before="152" w:line="225" w:lineRule="exact"/>
        <w:ind w:hanging="481"/>
        <w:rPr>
          <w:color w:val="EC008C"/>
          <w:sz w:val="20"/>
        </w:rPr>
      </w:pPr>
      <w:hyperlink w:anchor="_bookmark43" w:history="1">
        <w:r w:rsidR="00F22F94">
          <w:rPr>
            <w:color w:val="EC008C"/>
            <w:w w:val="95"/>
            <w:sz w:val="20"/>
          </w:rPr>
          <w:t>Infrastructure</w:t>
        </w:r>
        <w:r w:rsidR="00F22F94">
          <w:rPr>
            <w:color w:val="EC008C"/>
            <w:spacing w:val="4"/>
            <w:sz w:val="20"/>
          </w:rPr>
          <w:t xml:space="preserve"> </w:t>
        </w:r>
        <w:r w:rsidR="00F22F94">
          <w:rPr>
            <w:color w:val="EC008C"/>
            <w:spacing w:val="-2"/>
            <w:w w:val="95"/>
            <w:sz w:val="20"/>
          </w:rPr>
          <w:t>challenges</w:t>
        </w:r>
        <w:r w:rsidR="00F22F94">
          <w:rPr>
            <w:color w:val="EC008C"/>
            <w:sz w:val="20"/>
          </w:rPr>
          <w:tab/>
        </w:r>
        <w:r w:rsidR="00F22F94">
          <w:rPr>
            <w:color w:val="EC008C"/>
            <w:spacing w:val="-5"/>
            <w:sz w:val="20"/>
          </w:rPr>
          <w:t>29</w:t>
        </w:r>
      </w:hyperlink>
    </w:p>
    <w:p w:rsidR="002C1123" w:rsidRDefault="002060EF">
      <w:pPr>
        <w:pStyle w:val="BodyText"/>
        <w:tabs>
          <w:tab w:val="right" w:pos="5140"/>
        </w:tabs>
        <w:spacing w:line="220" w:lineRule="exact"/>
        <w:ind w:left="1002"/>
      </w:pPr>
      <w:hyperlink w:anchor="_bookmark43" w:history="1">
        <w:r w:rsidR="00F22F94">
          <w:rPr>
            <w:w w:val="95"/>
          </w:rPr>
          <w:t>Key</w:t>
        </w:r>
        <w:r w:rsidR="00F22F94">
          <w:rPr>
            <w:spacing w:val="-1"/>
            <w:w w:val="95"/>
          </w:rPr>
          <w:t xml:space="preserve"> </w:t>
        </w:r>
        <w:r w:rsidR="00F22F94">
          <w:rPr>
            <w:spacing w:val="-2"/>
          </w:rPr>
          <w:t>points</w:t>
        </w:r>
        <w:r w:rsidR="00F22F94">
          <w:tab/>
        </w:r>
        <w:r w:rsidR="00F22F94">
          <w:rPr>
            <w:spacing w:val="-5"/>
          </w:rPr>
          <w:t>29</w:t>
        </w:r>
      </w:hyperlink>
    </w:p>
    <w:p w:rsidR="002C1123" w:rsidRDefault="002060EF">
      <w:pPr>
        <w:pStyle w:val="ListParagraph"/>
        <w:numPr>
          <w:ilvl w:val="1"/>
          <w:numId w:val="207"/>
        </w:numPr>
        <w:tabs>
          <w:tab w:val="left" w:pos="1002"/>
          <w:tab w:val="left" w:pos="1003"/>
          <w:tab w:val="right" w:pos="5140"/>
        </w:tabs>
        <w:spacing w:line="220" w:lineRule="exact"/>
        <w:ind w:left="1002" w:hanging="511"/>
        <w:rPr>
          <w:sz w:val="20"/>
        </w:rPr>
      </w:pPr>
      <w:hyperlink w:anchor="_bookmark43" w:history="1">
        <w:r w:rsidR="00F22F94">
          <w:rPr>
            <w:spacing w:val="-2"/>
            <w:sz w:val="20"/>
          </w:rPr>
          <w:t>Introduction</w:t>
        </w:r>
        <w:r w:rsidR="00F22F94">
          <w:rPr>
            <w:sz w:val="20"/>
          </w:rPr>
          <w:tab/>
        </w:r>
        <w:r w:rsidR="00F22F94">
          <w:rPr>
            <w:spacing w:val="-5"/>
            <w:w w:val="95"/>
            <w:sz w:val="20"/>
          </w:rPr>
          <w:t>29</w:t>
        </w:r>
      </w:hyperlink>
    </w:p>
    <w:p w:rsidR="002C1123" w:rsidRDefault="002060EF">
      <w:pPr>
        <w:pStyle w:val="ListParagraph"/>
        <w:numPr>
          <w:ilvl w:val="1"/>
          <w:numId w:val="207"/>
        </w:numPr>
        <w:tabs>
          <w:tab w:val="left" w:pos="1002"/>
          <w:tab w:val="left" w:pos="1003"/>
          <w:tab w:val="right" w:pos="5140"/>
        </w:tabs>
        <w:spacing w:line="220" w:lineRule="exact"/>
        <w:ind w:left="1002" w:hanging="511"/>
        <w:rPr>
          <w:sz w:val="20"/>
        </w:rPr>
      </w:pPr>
      <w:hyperlink w:anchor="_bookmark43" w:history="1">
        <w:r w:rsidR="00F22F94">
          <w:rPr>
            <w:sz w:val="20"/>
          </w:rPr>
          <w:t>NSW</w:t>
        </w:r>
        <w:r w:rsidR="00F22F94">
          <w:rPr>
            <w:spacing w:val="-11"/>
            <w:sz w:val="20"/>
          </w:rPr>
          <w:t xml:space="preserve"> </w:t>
        </w:r>
        <w:r w:rsidR="00F22F94">
          <w:rPr>
            <w:sz w:val="20"/>
          </w:rPr>
          <w:t>now</w:t>
        </w:r>
        <w:r w:rsidR="00F22F94">
          <w:rPr>
            <w:spacing w:val="-11"/>
            <w:sz w:val="20"/>
          </w:rPr>
          <w:t xml:space="preserve"> </w:t>
        </w:r>
        <w:r w:rsidR="00F22F94">
          <w:rPr>
            <w:sz w:val="20"/>
          </w:rPr>
          <w:t>and</w:t>
        </w:r>
        <w:r w:rsidR="00F22F94">
          <w:rPr>
            <w:spacing w:val="-10"/>
            <w:sz w:val="20"/>
          </w:rPr>
          <w:t xml:space="preserve"> </w:t>
        </w:r>
        <w:r w:rsidR="00F22F94">
          <w:rPr>
            <w:sz w:val="20"/>
          </w:rPr>
          <w:t>in</w:t>
        </w:r>
        <w:r w:rsidR="00F22F94">
          <w:rPr>
            <w:spacing w:val="-11"/>
            <w:sz w:val="20"/>
          </w:rPr>
          <w:t xml:space="preserve"> </w:t>
        </w:r>
        <w:r w:rsidR="00F22F94">
          <w:rPr>
            <w:sz w:val="20"/>
          </w:rPr>
          <w:t>the</w:t>
        </w:r>
        <w:r w:rsidR="00F22F94">
          <w:rPr>
            <w:spacing w:val="-11"/>
            <w:sz w:val="20"/>
          </w:rPr>
          <w:t xml:space="preserve"> </w:t>
        </w:r>
        <w:r w:rsidR="00F22F94">
          <w:rPr>
            <w:spacing w:val="-2"/>
            <w:sz w:val="20"/>
          </w:rPr>
          <w:t>future</w:t>
        </w:r>
        <w:r w:rsidR="00F22F94">
          <w:rPr>
            <w:sz w:val="20"/>
          </w:rPr>
          <w:tab/>
        </w:r>
        <w:r w:rsidR="00F22F94">
          <w:rPr>
            <w:spacing w:val="-5"/>
            <w:sz w:val="20"/>
          </w:rPr>
          <w:t>29</w:t>
        </w:r>
      </w:hyperlink>
    </w:p>
    <w:p w:rsidR="002C1123" w:rsidRDefault="002060EF">
      <w:pPr>
        <w:pStyle w:val="ListParagraph"/>
        <w:numPr>
          <w:ilvl w:val="1"/>
          <w:numId w:val="207"/>
        </w:numPr>
        <w:tabs>
          <w:tab w:val="left" w:pos="1002"/>
          <w:tab w:val="left" w:pos="1003"/>
          <w:tab w:val="right" w:pos="5140"/>
        </w:tabs>
        <w:spacing w:line="220" w:lineRule="exact"/>
        <w:ind w:left="1002" w:hanging="511"/>
        <w:rPr>
          <w:sz w:val="20"/>
        </w:rPr>
      </w:pPr>
      <w:hyperlink w:anchor="_bookmark48" w:history="1">
        <w:r w:rsidR="00F22F94">
          <w:rPr>
            <w:w w:val="95"/>
            <w:sz w:val="20"/>
          </w:rPr>
          <w:t>Forecast</w:t>
        </w:r>
        <w:r w:rsidR="00F22F94">
          <w:rPr>
            <w:spacing w:val="5"/>
            <w:sz w:val="20"/>
          </w:rPr>
          <w:t xml:space="preserve"> </w:t>
        </w:r>
        <w:r w:rsidR="00F22F94">
          <w:rPr>
            <w:w w:val="95"/>
            <w:sz w:val="20"/>
          </w:rPr>
          <w:t>of</w:t>
        </w:r>
        <w:r w:rsidR="00F22F94">
          <w:rPr>
            <w:spacing w:val="5"/>
            <w:sz w:val="20"/>
          </w:rPr>
          <w:t xml:space="preserve"> </w:t>
        </w:r>
        <w:r w:rsidR="00F22F94">
          <w:rPr>
            <w:w w:val="95"/>
            <w:sz w:val="20"/>
          </w:rPr>
          <w:t>the</w:t>
        </w:r>
        <w:r w:rsidR="00F22F94">
          <w:rPr>
            <w:spacing w:val="6"/>
            <w:sz w:val="20"/>
          </w:rPr>
          <w:t xml:space="preserve"> </w:t>
        </w:r>
        <w:r w:rsidR="00F22F94">
          <w:rPr>
            <w:w w:val="95"/>
            <w:sz w:val="20"/>
          </w:rPr>
          <w:t>NSW</w:t>
        </w:r>
        <w:r w:rsidR="00F22F94">
          <w:rPr>
            <w:spacing w:val="5"/>
            <w:sz w:val="20"/>
          </w:rPr>
          <w:t xml:space="preserve"> </w:t>
        </w:r>
        <w:r w:rsidR="00F22F94">
          <w:rPr>
            <w:w w:val="95"/>
            <w:sz w:val="20"/>
          </w:rPr>
          <w:t>economy</w:t>
        </w:r>
        <w:r w:rsidR="00F22F94">
          <w:rPr>
            <w:spacing w:val="6"/>
            <w:sz w:val="20"/>
          </w:rPr>
          <w:t xml:space="preserve"> </w:t>
        </w:r>
        <w:r w:rsidR="00F22F94">
          <w:rPr>
            <w:w w:val="95"/>
            <w:sz w:val="20"/>
          </w:rPr>
          <w:t>in</w:t>
        </w:r>
        <w:r w:rsidR="00F22F94">
          <w:rPr>
            <w:spacing w:val="5"/>
            <w:sz w:val="20"/>
          </w:rPr>
          <w:t xml:space="preserve"> </w:t>
        </w:r>
        <w:r w:rsidR="00F22F94">
          <w:rPr>
            <w:spacing w:val="-4"/>
            <w:w w:val="95"/>
            <w:sz w:val="20"/>
          </w:rPr>
          <w:t>2031</w:t>
        </w:r>
        <w:r w:rsidR="00F22F94">
          <w:rPr>
            <w:sz w:val="20"/>
          </w:rPr>
          <w:tab/>
        </w:r>
        <w:r w:rsidR="00F22F94">
          <w:rPr>
            <w:spacing w:val="-5"/>
            <w:sz w:val="20"/>
          </w:rPr>
          <w:t>33</w:t>
        </w:r>
      </w:hyperlink>
    </w:p>
    <w:p w:rsidR="002C1123" w:rsidRDefault="002060EF">
      <w:pPr>
        <w:pStyle w:val="ListParagraph"/>
        <w:numPr>
          <w:ilvl w:val="1"/>
          <w:numId w:val="207"/>
        </w:numPr>
        <w:tabs>
          <w:tab w:val="left" w:pos="1002"/>
          <w:tab w:val="left" w:pos="1003"/>
          <w:tab w:val="right" w:pos="5140"/>
        </w:tabs>
        <w:spacing w:line="225" w:lineRule="exact"/>
        <w:ind w:left="1002" w:hanging="511"/>
        <w:rPr>
          <w:sz w:val="20"/>
        </w:rPr>
      </w:pPr>
      <w:hyperlink w:anchor="_bookmark53" w:history="1">
        <w:r w:rsidR="00F22F94">
          <w:rPr>
            <w:w w:val="95"/>
            <w:sz w:val="20"/>
          </w:rPr>
          <w:t>The</w:t>
        </w:r>
        <w:r w:rsidR="00F22F94">
          <w:rPr>
            <w:sz w:val="20"/>
          </w:rPr>
          <w:t xml:space="preserve"> </w:t>
        </w:r>
        <w:r w:rsidR="00F22F94">
          <w:rPr>
            <w:w w:val="95"/>
            <w:sz w:val="20"/>
          </w:rPr>
          <w:t>state</w:t>
        </w:r>
        <w:r w:rsidR="00F22F94">
          <w:rPr>
            <w:sz w:val="20"/>
          </w:rPr>
          <w:t xml:space="preserve"> </w:t>
        </w:r>
        <w:r w:rsidR="00F22F94">
          <w:rPr>
            <w:w w:val="95"/>
            <w:sz w:val="20"/>
          </w:rPr>
          <w:t>of</w:t>
        </w:r>
        <w:r w:rsidR="00F22F94">
          <w:rPr>
            <w:sz w:val="20"/>
          </w:rPr>
          <w:t xml:space="preserve"> </w:t>
        </w:r>
        <w:r w:rsidR="00F22F94">
          <w:rPr>
            <w:w w:val="95"/>
            <w:sz w:val="20"/>
          </w:rPr>
          <w:t>NSW’s</w:t>
        </w:r>
        <w:r w:rsidR="00F22F94">
          <w:rPr>
            <w:spacing w:val="1"/>
            <w:sz w:val="20"/>
          </w:rPr>
          <w:t xml:space="preserve"> </w:t>
        </w:r>
        <w:r w:rsidR="00F22F94">
          <w:rPr>
            <w:spacing w:val="-2"/>
            <w:w w:val="95"/>
            <w:sz w:val="20"/>
          </w:rPr>
          <w:t>infrastructure</w:t>
        </w:r>
        <w:r w:rsidR="00F22F94">
          <w:rPr>
            <w:sz w:val="20"/>
          </w:rPr>
          <w:tab/>
        </w:r>
        <w:r w:rsidR="00F22F94">
          <w:rPr>
            <w:spacing w:val="-5"/>
            <w:sz w:val="20"/>
          </w:rPr>
          <w:t>37</w:t>
        </w:r>
      </w:hyperlink>
    </w:p>
    <w:p w:rsidR="002C1123" w:rsidRDefault="002060EF">
      <w:pPr>
        <w:pStyle w:val="ListParagraph"/>
        <w:numPr>
          <w:ilvl w:val="1"/>
          <w:numId w:val="206"/>
        </w:numPr>
        <w:tabs>
          <w:tab w:val="left" w:pos="972"/>
          <w:tab w:val="left" w:pos="973"/>
          <w:tab w:val="right" w:pos="5140"/>
        </w:tabs>
        <w:spacing w:before="152" w:line="225" w:lineRule="exact"/>
        <w:ind w:hanging="481"/>
        <w:rPr>
          <w:color w:val="EC008C"/>
          <w:sz w:val="20"/>
        </w:rPr>
      </w:pPr>
      <w:hyperlink w:anchor="_bookmark61" w:history="1">
        <w:r w:rsidR="00F22F94">
          <w:rPr>
            <w:color w:val="EC008C"/>
            <w:w w:val="95"/>
            <w:sz w:val="20"/>
          </w:rPr>
          <w:t>Global</w:t>
        </w:r>
        <w:r w:rsidR="00F22F94">
          <w:rPr>
            <w:color w:val="EC008C"/>
            <w:sz w:val="20"/>
          </w:rPr>
          <w:t xml:space="preserve"> </w:t>
        </w:r>
        <w:r w:rsidR="00F22F94">
          <w:rPr>
            <w:color w:val="EC008C"/>
            <w:spacing w:val="-2"/>
            <w:sz w:val="20"/>
          </w:rPr>
          <w:t>Sydney</w:t>
        </w:r>
        <w:r w:rsidR="00F22F94">
          <w:rPr>
            <w:color w:val="EC008C"/>
            <w:sz w:val="20"/>
          </w:rPr>
          <w:tab/>
        </w:r>
        <w:r w:rsidR="00F22F94">
          <w:rPr>
            <w:color w:val="EC008C"/>
            <w:spacing w:val="-5"/>
            <w:sz w:val="20"/>
          </w:rPr>
          <w:t>44</w:t>
        </w:r>
      </w:hyperlink>
    </w:p>
    <w:p w:rsidR="002C1123" w:rsidRDefault="002060EF">
      <w:pPr>
        <w:pStyle w:val="BodyText"/>
        <w:tabs>
          <w:tab w:val="right" w:pos="5140"/>
        </w:tabs>
        <w:spacing w:line="220" w:lineRule="exact"/>
        <w:ind w:left="1002"/>
      </w:pPr>
      <w:hyperlink w:anchor="_bookmark61" w:history="1">
        <w:r w:rsidR="00F22F94">
          <w:rPr>
            <w:w w:val="95"/>
          </w:rPr>
          <w:t>Key</w:t>
        </w:r>
        <w:r w:rsidR="00F22F94">
          <w:rPr>
            <w:spacing w:val="-1"/>
            <w:w w:val="95"/>
          </w:rPr>
          <w:t xml:space="preserve"> </w:t>
        </w:r>
        <w:r w:rsidR="00F22F94">
          <w:rPr>
            <w:spacing w:val="-2"/>
          </w:rPr>
          <w:t>points</w:t>
        </w:r>
        <w:r w:rsidR="00F22F94">
          <w:tab/>
        </w:r>
        <w:r w:rsidR="00F22F94">
          <w:rPr>
            <w:spacing w:val="-5"/>
          </w:rPr>
          <w:t>44</w:t>
        </w:r>
      </w:hyperlink>
    </w:p>
    <w:p w:rsidR="002C1123" w:rsidRDefault="002060EF">
      <w:pPr>
        <w:pStyle w:val="ListParagraph"/>
        <w:numPr>
          <w:ilvl w:val="1"/>
          <w:numId w:val="206"/>
        </w:numPr>
        <w:tabs>
          <w:tab w:val="left" w:pos="1002"/>
          <w:tab w:val="left" w:pos="1003"/>
          <w:tab w:val="right" w:pos="5140"/>
        </w:tabs>
        <w:spacing w:line="220" w:lineRule="exact"/>
        <w:ind w:left="1002" w:hanging="511"/>
        <w:rPr>
          <w:sz w:val="20"/>
        </w:rPr>
      </w:pPr>
      <w:hyperlink w:anchor="_bookmark61" w:history="1">
        <w:r w:rsidR="00F22F94">
          <w:rPr>
            <w:spacing w:val="-2"/>
            <w:sz w:val="20"/>
          </w:rPr>
          <w:t>Introduction</w:t>
        </w:r>
        <w:r w:rsidR="00F22F94">
          <w:rPr>
            <w:sz w:val="20"/>
          </w:rPr>
          <w:tab/>
        </w:r>
        <w:r w:rsidR="00F22F94">
          <w:rPr>
            <w:spacing w:val="-5"/>
            <w:w w:val="95"/>
            <w:sz w:val="20"/>
          </w:rPr>
          <w:t>44</w:t>
        </w:r>
      </w:hyperlink>
    </w:p>
    <w:p w:rsidR="002C1123" w:rsidRDefault="002060EF">
      <w:pPr>
        <w:pStyle w:val="ListParagraph"/>
        <w:numPr>
          <w:ilvl w:val="1"/>
          <w:numId w:val="206"/>
        </w:numPr>
        <w:tabs>
          <w:tab w:val="left" w:pos="1002"/>
          <w:tab w:val="left" w:pos="1003"/>
          <w:tab w:val="right" w:pos="5140"/>
        </w:tabs>
        <w:spacing w:line="220" w:lineRule="exact"/>
        <w:ind w:left="1002" w:hanging="511"/>
        <w:rPr>
          <w:sz w:val="20"/>
        </w:rPr>
      </w:pPr>
      <w:hyperlink w:anchor="_bookmark63" w:history="1">
        <w:r w:rsidR="00F22F94">
          <w:rPr>
            <w:w w:val="95"/>
            <w:sz w:val="20"/>
          </w:rPr>
          <w:t>Global</w:t>
        </w:r>
        <w:r w:rsidR="00F22F94">
          <w:rPr>
            <w:sz w:val="20"/>
          </w:rPr>
          <w:t xml:space="preserve"> </w:t>
        </w:r>
        <w:r w:rsidR="00F22F94">
          <w:rPr>
            <w:w w:val="95"/>
            <w:sz w:val="20"/>
          </w:rPr>
          <w:t>Sydney</w:t>
        </w:r>
        <w:r w:rsidR="00F22F94">
          <w:rPr>
            <w:sz w:val="20"/>
          </w:rPr>
          <w:t xml:space="preserve"> </w:t>
        </w:r>
        <w:r w:rsidR="00F22F94">
          <w:rPr>
            <w:spacing w:val="-2"/>
            <w:w w:val="95"/>
            <w:sz w:val="20"/>
          </w:rPr>
          <w:t>today</w:t>
        </w:r>
        <w:r w:rsidR="00F22F94">
          <w:rPr>
            <w:sz w:val="20"/>
          </w:rPr>
          <w:tab/>
        </w:r>
        <w:r w:rsidR="00F22F94">
          <w:rPr>
            <w:spacing w:val="-5"/>
            <w:sz w:val="20"/>
          </w:rPr>
          <w:t>45</w:t>
        </w:r>
      </w:hyperlink>
    </w:p>
    <w:p w:rsidR="002C1123" w:rsidRDefault="002060EF">
      <w:pPr>
        <w:pStyle w:val="ListParagraph"/>
        <w:numPr>
          <w:ilvl w:val="1"/>
          <w:numId w:val="206"/>
        </w:numPr>
        <w:tabs>
          <w:tab w:val="left" w:pos="1002"/>
          <w:tab w:val="left" w:pos="1003"/>
          <w:tab w:val="right" w:pos="5140"/>
        </w:tabs>
        <w:spacing w:line="220" w:lineRule="exact"/>
        <w:ind w:left="1002" w:hanging="511"/>
        <w:rPr>
          <w:sz w:val="20"/>
        </w:rPr>
      </w:pPr>
      <w:hyperlink w:anchor="_bookmark67" w:history="1">
        <w:r w:rsidR="00F22F94">
          <w:rPr>
            <w:w w:val="95"/>
            <w:sz w:val="20"/>
          </w:rPr>
          <w:t>Global</w:t>
        </w:r>
        <w:r w:rsidR="00F22F94">
          <w:rPr>
            <w:spacing w:val="3"/>
            <w:sz w:val="20"/>
          </w:rPr>
          <w:t xml:space="preserve"> </w:t>
        </w:r>
        <w:r w:rsidR="00F22F94">
          <w:rPr>
            <w:w w:val="95"/>
            <w:sz w:val="20"/>
          </w:rPr>
          <w:t>Sydney:</w:t>
        </w:r>
        <w:r w:rsidR="00F22F94">
          <w:rPr>
            <w:spacing w:val="4"/>
            <w:sz w:val="20"/>
          </w:rPr>
          <w:t xml:space="preserve"> </w:t>
        </w:r>
        <w:r w:rsidR="00F22F94">
          <w:rPr>
            <w:w w:val="95"/>
            <w:sz w:val="20"/>
          </w:rPr>
          <w:t>the</w:t>
        </w:r>
        <w:r w:rsidR="00F22F94">
          <w:rPr>
            <w:spacing w:val="3"/>
            <w:sz w:val="20"/>
          </w:rPr>
          <w:t xml:space="preserve"> </w:t>
        </w:r>
        <w:r w:rsidR="00F22F94">
          <w:rPr>
            <w:w w:val="95"/>
            <w:sz w:val="20"/>
          </w:rPr>
          <w:t>next</w:t>
        </w:r>
        <w:r w:rsidR="00F22F94">
          <w:rPr>
            <w:spacing w:val="4"/>
            <w:sz w:val="20"/>
          </w:rPr>
          <w:t xml:space="preserve"> </w:t>
        </w:r>
        <w:r w:rsidR="00F22F94">
          <w:rPr>
            <w:w w:val="95"/>
            <w:sz w:val="20"/>
          </w:rPr>
          <w:t>20</w:t>
        </w:r>
        <w:r w:rsidR="00F22F94">
          <w:rPr>
            <w:spacing w:val="4"/>
            <w:sz w:val="20"/>
          </w:rPr>
          <w:t xml:space="preserve"> </w:t>
        </w:r>
        <w:r w:rsidR="00F22F94">
          <w:rPr>
            <w:spacing w:val="-2"/>
            <w:w w:val="95"/>
            <w:sz w:val="20"/>
          </w:rPr>
          <w:t>years</w:t>
        </w:r>
        <w:r w:rsidR="00F22F94">
          <w:rPr>
            <w:sz w:val="20"/>
          </w:rPr>
          <w:tab/>
        </w:r>
        <w:r w:rsidR="00F22F94">
          <w:rPr>
            <w:spacing w:val="-5"/>
            <w:sz w:val="20"/>
          </w:rPr>
          <w:t>48</w:t>
        </w:r>
      </w:hyperlink>
    </w:p>
    <w:p w:rsidR="002C1123" w:rsidRDefault="002060EF">
      <w:pPr>
        <w:pStyle w:val="ListParagraph"/>
        <w:numPr>
          <w:ilvl w:val="1"/>
          <w:numId w:val="206"/>
        </w:numPr>
        <w:tabs>
          <w:tab w:val="left" w:pos="1002"/>
          <w:tab w:val="left" w:pos="1003"/>
        </w:tabs>
        <w:spacing w:line="220" w:lineRule="exact"/>
        <w:ind w:left="1002" w:hanging="511"/>
        <w:rPr>
          <w:sz w:val="20"/>
        </w:rPr>
      </w:pPr>
      <w:hyperlink w:anchor="_bookmark70" w:history="1">
        <w:r w:rsidR="00F22F94">
          <w:rPr>
            <w:w w:val="95"/>
            <w:sz w:val="20"/>
          </w:rPr>
          <w:t>Infrastructure</w:t>
        </w:r>
        <w:r w:rsidR="00F22F94">
          <w:rPr>
            <w:spacing w:val="4"/>
            <w:sz w:val="20"/>
          </w:rPr>
          <w:t xml:space="preserve"> </w:t>
        </w:r>
        <w:r w:rsidR="00F22F94">
          <w:rPr>
            <w:spacing w:val="-2"/>
            <w:w w:val="95"/>
            <w:sz w:val="20"/>
          </w:rPr>
          <w:t>priorities</w:t>
        </w:r>
      </w:hyperlink>
    </w:p>
    <w:p w:rsidR="002C1123" w:rsidRDefault="002060EF">
      <w:pPr>
        <w:pStyle w:val="BodyText"/>
        <w:tabs>
          <w:tab w:val="right" w:pos="5140"/>
        </w:tabs>
        <w:spacing w:line="225" w:lineRule="exact"/>
        <w:ind w:left="1002"/>
      </w:pPr>
      <w:hyperlink w:anchor="_bookmark70" w:history="1">
        <w:r w:rsidR="00F22F94">
          <w:rPr>
            <w:w w:val="95"/>
          </w:rPr>
          <w:t>for</w:t>
        </w:r>
        <w:r w:rsidR="00F22F94">
          <w:rPr>
            <w:spacing w:val="1"/>
          </w:rPr>
          <w:t xml:space="preserve"> </w:t>
        </w:r>
        <w:r w:rsidR="00F22F94">
          <w:rPr>
            <w:w w:val="95"/>
          </w:rPr>
          <w:t>Global</w:t>
        </w:r>
        <w:r w:rsidR="00F22F94">
          <w:rPr>
            <w:spacing w:val="1"/>
          </w:rPr>
          <w:t xml:space="preserve"> </w:t>
        </w:r>
        <w:r w:rsidR="00F22F94">
          <w:rPr>
            <w:spacing w:val="-2"/>
            <w:w w:val="95"/>
          </w:rPr>
          <w:t>Sydney</w:t>
        </w:r>
        <w:r w:rsidR="00F22F94">
          <w:tab/>
        </w:r>
        <w:r w:rsidR="00F22F94">
          <w:rPr>
            <w:spacing w:val="-5"/>
          </w:rPr>
          <w:t>50</w:t>
        </w:r>
      </w:hyperlink>
    </w:p>
    <w:p w:rsidR="002C1123" w:rsidRDefault="002C1123">
      <w:pPr>
        <w:spacing w:line="225" w:lineRule="exact"/>
        <w:sectPr w:rsidR="002C1123">
          <w:type w:val="continuous"/>
          <w:pgSz w:w="16840" w:h="11910" w:orient="landscape"/>
          <w:pgMar w:top="560" w:right="280" w:bottom="280" w:left="500" w:header="0" w:footer="517" w:gutter="0"/>
          <w:cols w:num="2" w:space="720" w:equalWidth="0">
            <w:col w:w="6090" w:space="3964"/>
            <w:col w:w="6006"/>
          </w:cols>
        </w:sect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spacing w:before="7"/>
        <w:rPr>
          <w:sz w:val="24"/>
        </w:rPr>
      </w:pPr>
    </w:p>
    <w:bookmarkStart w:id="6" w:name="Table_of_Contents_page_2"/>
    <w:bookmarkEnd w:id="6"/>
    <w:p w:rsidR="002C1123" w:rsidRDefault="00F22F94">
      <w:pPr>
        <w:pStyle w:val="ListParagraph"/>
        <w:numPr>
          <w:ilvl w:val="1"/>
          <w:numId w:val="205"/>
        </w:numPr>
        <w:tabs>
          <w:tab w:val="left" w:pos="972"/>
          <w:tab w:val="left" w:pos="973"/>
          <w:tab w:val="left" w:pos="4918"/>
        </w:tabs>
        <w:spacing w:line="225" w:lineRule="exact"/>
        <w:ind w:hanging="481"/>
        <w:rPr>
          <w:color w:val="EC008C"/>
          <w:sz w:val="20"/>
        </w:rPr>
      </w:pPr>
      <w:r>
        <w:rPr>
          <w:color w:val="EC008C"/>
          <w:w w:val="95"/>
          <w:sz w:val="20"/>
        </w:rPr>
        <w:fldChar w:fldCharType="begin"/>
      </w:r>
      <w:r>
        <w:rPr>
          <w:color w:val="EC008C"/>
          <w:w w:val="95"/>
          <w:sz w:val="20"/>
        </w:rPr>
        <w:instrText xml:space="preserve"> HYPERLINK \l "_bookmark74" </w:instrText>
      </w:r>
      <w:r>
        <w:rPr>
          <w:color w:val="EC008C"/>
          <w:w w:val="95"/>
          <w:sz w:val="20"/>
        </w:rPr>
        <w:fldChar w:fldCharType="separate"/>
      </w:r>
      <w:bookmarkStart w:id="7" w:name="_bookmark3"/>
      <w:bookmarkEnd w:id="7"/>
      <w:r>
        <w:rPr>
          <w:color w:val="EC008C"/>
          <w:w w:val="95"/>
          <w:sz w:val="20"/>
        </w:rPr>
        <w:t>Greater</w:t>
      </w:r>
      <w:r>
        <w:rPr>
          <w:color w:val="EC008C"/>
          <w:spacing w:val="-2"/>
          <w:w w:val="95"/>
          <w:sz w:val="20"/>
        </w:rPr>
        <w:t xml:space="preserve"> </w:t>
      </w:r>
      <w:r>
        <w:rPr>
          <w:color w:val="EC008C"/>
          <w:spacing w:val="-2"/>
          <w:sz w:val="20"/>
        </w:rPr>
        <w:t>Sydney</w:t>
      </w:r>
      <w:r>
        <w:rPr>
          <w:color w:val="EC008C"/>
          <w:sz w:val="20"/>
        </w:rPr>
        <w:tab/>
      </w:r>
      <w:r>
        <w:rPr>
          <w:color w:val="EC008C"/>
          <w:spacing w:val="-5"/>
          <w:sz w:val="20"/>
        </w:rPr>
        <w:t>53</w:t>
      </w:r>
      <w:r>
        <w:rPr>
          <w:color w:val="EC008C"/>
          <w:spacing w:val="-5"/>
          <w:sz w:val="20"/>
        </w:rPr>
        <w:fldChar w:fldCharType="end"/>
      </w:r>
    </w:p>
    <w:p w:rsidR="002C1123" w:rsidRDefault="002060EF">
      <w:pPr>
        <w:pStyle w:val="BodyText"/>
        <w:tabs>
          <w:tab w:val="right" w:pos="5140"/>
        </w:tabs>
        <w:spacing w:line="220" w:lineRule="exact"/>
        <w:ind w:left="1002"/>
      </w:pPr>
      <w:hyperlink w:anchor="_bookmark74" w:history="1">
        <w:r w:rsidR="00F22F94">
          <w:rPr>
            <w:w w:val="95"/>
          </w:rPr>
          <w:t>Key</w:t>
        </w:r>
        <w:r w:rsidR="00F22F94">
          <w:rPr>
            <w:spacing w:val="-1"/>
            <w:w w:val="95"/>
          </w:rPr>
          <w:t xml:space="preserve"> </w:t>
        </w:r>
        <w:r w:rsidR="00F22F94">
          <w:rPr>
            <w:spacing w:val="-2"/>
          </w:rPr>
          <w:t>points</w:t>
        </w:r>
        <w:r w:rsidR="00F22F94">
          <w:tab/>
        </w:r>
        <w:r w:rsidR="00F22F94">
          <w:rPr>
            <w:spacing w:val="-5"/>
          </w:rPr>
          <w:t>53</w:t>
        </w:r>
      </w:hyperlink>
    </w:p>
    <w:p w:rsidR="002C1123" w:rsidRDefault="002060EF">
      <w:pPr>
        <w:pStyle w:val="ListParagraph"/>
        <w:numPr>
          <w:ilvl w:val="1"/>
          <w:numId w:val="205"/>
        </w:numPr>
        <w:tabs>
          <w:tab w:val="left" w:pos="1002"/>
          <w:tab w:val="left" w:pos="1003"/>
          <w:tab w:val="right" w:pos="5140"/>
        </w:tabs>
        <w:spacing w:line="220" w:lineRule="exact"/>
        <w:ind w:left="1002" w:hanging="511"/>
        <w:rPr>
          <w:sz w:val="20"/>
        </w:rPr>
      </w:pPr>
      <w:hyperlink w:anchor="_bookmark74" w:history="1">
        <w:r w:rsidR="00F22F94">
          <w:rPr>
            <w:spacing w:val="-2"/>
            <w:sz w:val="20"/>
          </w:rPr>
          <w:t>Introduction</w:t>
        </w:r>
        <w:r w:rsidR="00F22F94">
          <w:rPr>
            <w:sz w:val="20"/>
          </w:rPr>
          <w:tab/>
        </w:r>
        <w:r w:rsidR="00F22F94">
          <w:rPr>
            <w:spacing w:val="-5"/>
            <w:w w:val="95"/>
            <w:sz w:val="20"/>
          </w:rPr>
          <w:t>53</w:t>
        </w:r>
      </w:hyperlink>
    </w:p>
    <w:p w:rsidR="002C1123" w:rsidRDefault="002060EF">
      <w:pPr>
        <w:pStyle w:val="ListParagraph"/>
        <w:numPr>
          <w:ilvl w:val="1"/>
          <w:numId w:val="205"/>
        </w:numPr>
        <w:tabs>
          <w:tab w:val="left" w:pos="1002"/>
          <w:tab w:val="left" w:pos="1003"/>
          <w:tab w:val="right" w:pos="5140"/>
        </w:tabs>
        <w:spacing w:line="220" w:lineRule="exact"/>
        <w:ind w:left="1002" w:hanging="511"/>
        <w:rPr>
          <w:sz w:val="20"/>
        </w:rPr>
      </w:pPr>
      <w:hyperlink w:anchor="_bookmark76" w:history="1">
        <w:r w:rsidR="00F22F94">
          <w:rPr>
            <w:w w:val="95"/>
            <w:sz w:val="20"/>
          </w:rPr>
          <w:t>Greater</w:t>
        </w:r>
        <w:r w:rsidR="00F22F94">
          <w:rPr>
            <w:spacing w:val="-4"/>
            <w:sz w:val="20"/>
          </w:rPr>
          <w:t xml:space="preserve"> </w:t>
        </w:r>
        <w:r w:rsidR="00F22F94">
          <w:rPr>
            <w:w w:val="95"/>
            <w:sz w:val="20"/>
          </w:rPr>
          <w:t>Sydney</w:t>
        </w:r>
        <w:r w:rsidR="00F22F94">
          <w:rPr>
            <w:spacing w:val="-2"/>
            <w:sz w:val="20"/>
          </w:rPr>
          <w:t xml:space="preserve"> </w:t>
        </w:r>
        <w:r w:rsidR="00F22F94">
          <w:rPr>
            <w:spacing w:val="-2"/>
            <w:w w:val="95"/>
            <w:sz w:val="20"/>
          </w:rPr>
          <w:t>today</w:t>
        </w:r>
        <w:r w:rsidR="00F22F94">
          <w:rPr>
            <w:sz w:val="20"/>
          </w:rPr>
          <w:tab/>
        </w:r>
        <w:r w:rsidR="00F22F94">
          <w:rPr>
            <w:spacing w:val="-5"/>
            <w:sz w:val="20"/>
          </w:rPr>
          <w:t>54</w:t>
        </w:r>
      </w:hyperlink>
    </w:p>
    <w:p w:rsidR="002C1123" w:rsidRDefault="002060EF">
      <w:pPr>
        <w:pStyle w:val="ListParagraph"/>
        <w:numPr>
          <w:ilvl w:val="1"/>
          <w:numId w:val="205"/>
        </w:numPr>
        <w:tabs>
          <w:tab w:val="left" w:pos="1002"/>
          <w:tab w:val="left" w:pos="1003"/>
          <w:tab w:val="right" w:pos="5140"/>
        </w:tabs>
        <w:spacing w:line="220" w:lineRule="exact"/>
        <w:ind w:left="1002" w:hanging="511"/>
        <w:rPr>
          <w:sz w:val="20"/>
        </w:rPr>
      </w:pPr>
      <w:hyperlink w:anchor="_bookmark80" w:history="1">
        <w:r w:rsidR="00F22F94">
          <w:rPr>
            <w:w w:val="95"/>
            <w:sz w:val="20"/>
          </w:rPr>
          <w:t>Greater</w:t>
        </w:r>
        <w:r w:rsidR="00F22F94">
          <w:rPr>
            <w:spacing w:val="-1"/>
            <w:w w:val="95"/>
            <w:sz w:val="20"/>
          </w:rPr>
          <w:t xml:space="preserve"> </w:t>
        </w:r>
        <w:r w:rsidR="00F22F94">
          <w:rPr>
            <w:w w:val="95"/>
            <w:sz w:val="20"/>
          </w:rPr>
          <w:t>Sydney</w:t>
        </w:r>
        <w:r w:rsidR="00F22F94">
          <w:rPr>
            <w:spacing w:val="-2"/>
            <w:sz w:val="20"/>
          </w:rPr>
          <w:t xml:space="preserve"> </w:t>
        </w:r>
        <w:r w:rsidR="00F22F94">
          <w:rPr>
            <w:w w:val="95"/>
            <w:sz w:val="20"/>
          </w:rPr>
          <w:t>in</w:t>
        </w:r>
        <w:r w:rsidR="00F22F94">
          <w:rPr>
            <w:spacing w:val="-1"/>
            <w:w w:val="95"/>
            <w:sz w:val="20"/>
          </w:rPr>
          <w:t xml:space="preserve"> </w:t>
        </w:r>
        <w:r w:rsidR="00F22F94">
          <w:rPr>
            <w:spacing w:val="-4"/>
            <w:w w:val="95"/>
            <w:sz w:val="20"/>
          </w:rPr>
          <w:t>2031</w:t>
        </w:r>
        <w:r w:rsidR="00F22F94">
          <w:rPr>
            <w:sz w:val="20"/>
          </w:rPr>
          <w:tab/>
        </w:r>
        <w:r w:rsidR="00F22F94">
          <w:rPr>
            <w:spacing w:val="-5"/>
            <w:sz w:val="20"/>
          </w:rPr>
          <w:t>57</w:t>
        </w:r>
      </w:hyperlink>
    </w:p>
    <w:p w:rsidR="002C1123" w:rsidRDefault="002060EF">
      <w:pPr>
        <w:pStyle w:val="ListParagraph"/>
        <w:numPr>
          <w:ilvl w:val="1"/>
          <w:numId w:val="205"/>
        </w:numPr>
        <w:tabs>
          <w:tab w:val="left" w:pos="1002"/>
          <w:tab w:val="left" w:pos="1003"/>
          <w:tab w:val="right" w:pos="5140"/>
        </w:tabs>
        <w:spacing w:line="225" w:lineRule="exact"/>
        <w:ind w:left="1002" w:hanging="511"/>
        <w:rPr>
          <w:sz w:val="20"/>
        </w:rPr>
      </w:pPr>
      <w:hyperlink w:anchor="_bookmark83" w:history="1">
        <w:r w:rsidR="00F22F94">
          <w:rPr>
            <w:w w:val="95"/>
            <w:sz w:val="20"/>
          </w:rPr>
          <w:t>Greater</w:t>
        </w:r>
        <w:r w:rsidR="00F22F94">
          <w:rPr>
            <w:sz w:val="20"/>
          </w:rPr>
          <w:t xml:space="preserve"> </w:t>
        </w:r>
        <w:r w:rsidR="00F22F94">
          <w:rPr>
            <w:w w:val="95"/>
            <w:sz w:val="20"/>
          </w:rPr>
          <w:t>Sydney</w:t>
        </w:r>
        <w:r w:rsidR="00F22F94">
          <w:rPr>
            <w:sz w:val="20"/>
          </w:rPr>
          <w:t xml:space="preserve"> </w:t>
        </w:r>
        <w:r w:rsidR="00F22F94">
          <w:rPr>
            <w:w w:val="95"/>
            <w:sz w:val="20"/>
          </w:rPr>
          <w:t>Infrastructure</w:t>
        </w:r>
        <w:r w:rsidR="00F22F94">
          <w:rPr>
            <w:sz w:val="20"/>
          </w:rPr>
          <w:t xml:space="preserve"> </w:t>
        </w:r>
        <w:r w:rsidR="00F22F94">
          <w:rPr>
            <w:spacing w:val="-2"/>
            <w:w w:val="95"/>
            <w:sz w:val="20"/>
          </w:rPr>
          <w:t>priorities</w:t>
        </w:r>
        <w:r w:rsidR="00F22F94">
          <w:rPr>
            <w:sz w:val="20"/>
          </w:rPr>
          <w:tab/>
        </w:r>
        <w:r w:rsidR="00F22F94">
          <w:rPr>
            <w:spacing w:val="-5"/>
            <w:sz w:val="20"/>
          </w:rPr>
          <w:t>59</w:t>
        </w:r>
      </w:hyperlink>
    </w:p>
    <w:p w:rsidR="002C1123" w:rsidRDefault="002060EF">
      <w:pPr>
        <w:pStyle w:val="ListParagraph"/>
        <w:numPr>
          <w:ilvl w:val="1"/>
          <w:numId w:val="204"/>
        </w:numPr>
        <w:tabs>
          <w:tab w:val="left" w:pos="972"/>
          <w:tab w:val="left" w:pos="973"/>
          <w:tab w:val="right" w:pos="5140"/>
        </w:tabs>
        <w:spacing w:before="152" w:line="225" w:lineRule="exact"/>
        <w:ind w:hanging="481"/>
        <w:rPr>
          <w:color w:val="EC008C"/>
          <w:sz w:val="20"/>
        </w:rPr>
      </w:pPr>
      <w:hyperlink w:anchor="_bookmark90" w:history="1">
        <w:r w:rsidR="00F22F94">
          <w:rPr>
            <w:color w:val="EC008C"/>
            <w:w w:val="95"/>
            <w:sz w:val="20"/>
          </w:rPr>
          <w:t>Regional</w:t>
        </w:r>
        <w:r w:rsidR="00F22F94">
          <w:rPr>
            <w:color w:val="EC008C"/>
            <w:spacing w:val="-6"/>
            <w:w w:val="95"/>
            <w:sz w:val="20"/>
          </w:rPr>
          <w:t xml:space="preserve"> </w:t>
        </w:r>
        <w:r w:rsidR="00F22F94">
          <w:rPr>
            <w:color w:val="EC008C"/>
            <w:spacing w:val="-5"/>
            <w:sz w:val="20"/>
          </w:rPr>
          <w:t>NSW</w:t>
        </w:r>
        <w:r w:rsidR="00F22F94">
          <w:rPr>
            <w:color w:val="EC008C"/>
            <w:sz w:val="20"/>
          </w:rPr>
          <w:tab/>
        </w:r>
        <w:r w:rsidR="00F22F94">
          <w:rPr>
            <w:color w:val="EC008C"/>
            <w:spacing w:val="-5"/>
            <w:sz w:val="20"/>
          </w:rPr>
          <w:t>65</w:t>
        </w:r>
      </w:hyperlink>
    </w:p>
    <w:p w:rsidR="002C1123" w:rsidRDefault="002060EF">
      <w:pPr>
        <w:pStyle w:val="BodyText"/>
        <w:tabs>
          <w:tab w:val="right" w:pos="5140"/>
        </w:tabs>
        <w:spacing w:line="220" w:lineRule="exact"/>
        <w:ind w:left="1002"/>
      </w:pPr>
      <w:hyperlink w:anchor="_bookmark90" w:history="1">
        <w:r w:rsidR="00F22F94">
          <w:rPr>
            <w:w w:val="95"/>
          </w:rPr>
          <w:t>Key</w:t>
        </w:r>
        <w:r w:rsidR="00F22F94">
          <w:rPr>
            <w:spacing w:val="-1"/>
            <w:w w:val="95"/>
          </w:rPr>
          <w:t xml:space="preserve"> </w:t>
        </w:r>
        <w:r w:rsidR="00F22F94">
          <w:rPr>
            <w:spacing w:val="-2"/>
          </w:rPr>
          <w:t>points</w:t>
        </w:r>
        <w:r w:rsidR="00F22F94">
          <w:tab/>
        </w:r>
        <w:r w:rsidR="00F22F94">
          <w:rPr>
            <w:spacing w:val="-5"/>
          </w:rPr>
          <w:t>65</w:t>
        </w:r>
      </w:hyperlink>
    </w:p>
    <w:p w:rsidR="002C1123" w:rsidRDefault="002060EF">
      <w:pPr>
        <w:pStyle w:val="ListParagraph"/>
        <w:numPr>
          <w:ilvl w:val="1"/>
          <w:numId w:val="204"/>
        </w:numPr>
        <w:tabs>
          <w:tab w:val="left" w:pos="1002"/>
          <w:tab w:val="left" w:pos="1003"/>
          <w:tab w:val="right" w:pos="5140"/>
        </w:tabs>
        <w:spacing w:line="220" w:lineRule="exact"/>
        <w:ind w:left="1002" w:hanging="511"/>
        <w:rPr>
          <w:sz w:val="20"/>
        </w:rPr>
      </w:pPr>
      <w:hyperlink w:anchor="_bookmark90" w:history="1">
        <w:r w:rsidR="00F22F94">
          <w:rPr>
            <w:spacing w:val="-2"/>
            <w:sz w:val="20"/>
          </w:rPr>
          <w:t>Introduction</w:t>
        </w:r>
        <w:r w:rsidR="00F22F94">
          <w:rPr>
            <w:sz w:val="20"/>
          </w:rPr>
          <w:tab/>
        </w:r>
        <w:r w:rsidR="00F22F94">
          <w:rPr>
            <w:spacing w:val="-5"/>
            <w:w w:val="95"/>
            <w:sz w:val="20"/>
          </w:rPr>
          <w:t>65</w:t>
        </w:r>
      </w:hyperlink>
    </w:p>
    <w:p w:rsidR="002C1123" w:rsidRDefault="002060EF">
      <w:pPr>
        <w:pStyle w:val="ListParagraph"/>
        <w:numPr>
          <w:ilvl w:val="1"/>
          <w:numId w:val="204"/>
        </w:numPr>
        <w:tabs>
          <w:tab w:val="left" w:pos="1002"/>
          <w:tab w:val="left" w:pos="1003"/>
          <w:tab w:val="right" w:pos="5140"/>
        </w:tabs>
        <w:spacing w:line="220" w:lineRule="exact"/>
        <w:ind w:left="1002" w:hanging="511"/>
        <w:rPr>
          <w:sz w:val="20"/>
        </w:rPr>
      </w:pPr>
      <w:hyperlink w:anchor="_bookmark92" w:history="1">
        <w:r w:rsidR="00F22F94">
          <w:rPr>
            <w:w w:val="95"/>
            <w:sz w:val="20"/>
          </w:rPr>
          <w:t>Regional</w:t>
        </w:r>
        <w:r w:rsidR="00F22F94">
          <w:rPr>
            <w:spacing w:val="-2"/>
            <w:sz w:val="20"/>
          </w:rPr>
          <w:t xml:space="preserve"> </w:t>
        </w:r>
        <w:r w:rsidR="00F22F94">
          <w:rPr>
            <w:w w:val="95"/>
            <w:sz w:val="20"/>
          </w:rPr>
          <w:t>NSW</w:t>
        </w:r>
        <w:r w:rsidR="00F22F94">
          <w:rPr>
            <w:spacing w:val="-2"/>
            <w:sz w:val="20"/>
          </w:rPr>
          <w:t xml:space="preserve"> </w:t>
        </w:r>
        <w:r w:rsidR="00F22F94">
          <w:rPr>
            <w:spacing w:val="-2"/>
            <w:w w:val="95"/>
            <w:sz w:val="20"/>
          </w:rPr>
          <w:t>today</w:t>
        </w:r>
        <w:r w:rsidR="00F22F94">
          <w:rPr>
            <w:sz w:val="20"/>
          </w:rPr>
          <w:tab/>
        </w:r>
        <w:r w:rsidR="00F22F94">
          <w:rPr>
            <w:spacing w:val="-5"/>
            <w:sz w:val="20"/>
          </w:rPr>
          <w:t>66</w:t>
        </w:r>
      </w:hyperlink>
    </w:p>
    <w:p w:rsidR="002C1123" w:rsidRDefault="002060EF">
      <w:pPr>
        <w:pStyle w:val="ListParagraph"/>
        <w:numPr>
          <w:ilvl w:val="1"/>
          <w:numId w:val="204"/>
        </w:numPr>
        <w:tabs>
          <w:tab w:val="left" w:pos="1002"/>
          <w:tab w:val="left" w:pos="1003"/>
          <w:tab w:val="right" w:pos="5140"/>
        </w:tabs>
        <w:spacing w:line="220" w:lineRule="exact"/>
        <w:ind w:left="1002" w:hanging="511"/>
        <w:rPr>
          <w:sz w:val="20"/>
        </w:rPr>
      </w:pPr>
      <w:hyperlink w:anchor="_bookmark97" w:history="1">
        <w:r w:rsidR="00F22F94">
          <w:rPr>
            <w:w w:val="95"/>
            <w:sz w:val="20"/>
          </w:rPr>
          <w:t>Regional</w:t>
        </w:r>
        <w:r w:rsidR="00F22F94">
          <w:rPr>
            <w:spacing w:val="-3"/>
            <w:sz w:val="20"/>
          </w:rPr>
          <w:t xml:space="preserve"> </w:t>
        </w:r>
        <w:r w:rsidR="00F22F94">
          <w:rPr>
            <w:w w:val="95"/>
            <w:sz w:val="20"/>
          </w:rPr>
          <w:t>NSW</w:t>
        </w:r>
        <w:r w:rsidR="00F22F94">
          <w:rPr>
            <w:spacing w:val="-3"/>
            <w:sz w:val="20"/>
          </w:rPr>
          <w:t xml:space="preserve"> </w:t>
        </w:r>
        <w:r w:rsidR="00F22F94">
          <w:rPr>
            <w:w w:val="95"/>
            <w:sz w:val="20"/>
          </w:rPr>
          <w:t>in</w:t>
        </w:r>
        <w:r w:rsidR="00F22F94">
          <w:rPr>
            <w:spacing w:val="-2"/>
            <w:sz w:val="20"/>
          </w:rPr>
          <w:t xml:space="preserve"> </w:t>
        </w:r>
        <w:r w:rsidR="00F22F94">
          <w:rPr>
            <w:spacing w:val="-4"/>
            <w:w w:val="95"/>
            <w:sz w:val="20"/>
          </w:rPr>
          <w:t>2031</w:t>
        </w:r>
        <w:r w:rsidR="00F22F94">
          <w:rPr>
            <w:sz w:val="20"/>
          </w:rPr>
          <w:tab/>
        </w:r>
        <w:r w:rsidR="00F22F94">
          <w:rPr>
            <w:spacing w:val="-5"/>
            <w:sz w:val="20"/>
          </w:rPr>
          <w:t>70</w:t>
        </w:r>
      </w:hyperlink>
    </w:p>
    <w:p w:rsidR="002C1123" w:rsidRDefault="002060EF">
      <w:pPr>
        <w:pStyle w:val="ListParagraph"/>
        <w:numPr>
          <w:ilvl w:val="1"/>
          <w:numId w:val="204"/>
        </w:numPr>
        <w:tabs>
          <w:tab w:val="left" w:pos="1002"/>
          <w:tab w:val="left" w:pos="1003"/>
          <w:tab w:val="right" w:pos="5140"/>
        </w:tabs>
        <w:spacing w:line="225" w:lineRule="exact"/>
        <w:ind w:left="1002" w:hanging="511"/>
        <w:rPr>
          <w:sz w:val="20"/>
        </w:rPr>
      </w:pPr>
      <w:hyperlink w:anchor="_bookmark97" w:history="1">
        <w:r w:rsidR="00F22F94">
          <w:rPr>
            <w:w w:val="95"/>
            <w:sz w:val="20"/>
          </w:rPr>
          <w:t>Infrastructure</w:t>
        </w:r>
        <w:r w:rsidR="00F22F94">
          <w:rPr>
            <w:spacing w:val="-3"/>
            <w:sz w:val="20"/>
          </w:rPr>
          <w:t xml:space="preserve"> </w:t>
        </w:r>
        <w:r w:rsidR="00F22F94">
          <w:rPr>
            <w:w w:val="95"/>
            <w:sz w:val="20"/>
          </w:rPr>
          <w:t>priorities</w:t>
        </w:r>
        <w:r w:rsidR="00F22F94">
          <w:rPr>
            <w:spacing w:val="-2"/>
            <w:sz w:val="20"/>
          </w:rPr>
          <w:t xml:space="preserve"> </w:t>
        </w:r>
        <w:r w:rsidR="00F22F94">
          <w:rPr>
            <w:w w:val="95"/>
            <w:sz w:val="20"/>
          </w:rPr>
          <w:t>in</w:t>
        </w:r>
        <w:r w:rsidR="00F22F94">
          <w:rPr>
            <w:spacing w:val="-2"/>
            <w:sz w:val="20"/>
          </w:rPr>
          <w:t xml:space="preserve"> </w:t>
        </w:r>
        <w:r w:rsidR="00F22F94">
          <w:rPr>
            <w:w w:val="95"/>
            <w:sz w:val="20"/>
          </w:rPr>
          <w:t>Regional</w:t>
        </w:r>
        <w:r w:rsidR="00F22F94">
          <w:rPr>
            <w:spacing w:val="-2"/>
            <w:sz w:val="20"/>
          </w:rPr>
          <w:t xml:space="preserve"> </w:t>
        </w:r>
        <w:r w:rsidR="00F22F94">
          <w:rPr>
            <w:spacing w:val="-5"/>
            <w:w w:val="95"/>
            <w:sz w:val="20"/>
          </w:rPr>
          <w:t>NSW</w:t>
        </w:r>
        <w:r w:rsidR="00F22F94">
          <w:rPr>
            <w:sz w:val="20"/>
          </w:rPr>
          <w:tab/>
        </w:r>
        <w:r w:rsidR="00F22F94">
          <w:rPr>
            <w:spacing w:val="-5"/>
            <w:sz w:val="20"/>
          </w:rPr>
          <w:t>70</w:t>
        </w:r>
      </w:hyperlink>
    </w:p>
    <w:p w:rsidR="002C1123" w:rsidRDefault="00F22F94">
      <w:pPr>
        <w:tabs>
          <w:tab w:val="right" w:pos="5140"/>
        </w:tabs>
        <w:spacing w:before="299"/>
        <w:ind w:left="492"/>
        <w:rPr>
          <w:sz w:val="28"/>
        </w:rPr>
      </w:pPr>
      <w:r>
        <w:rPr>
          <w:color w:val="00AEEF"/>
          <w:w w:val="95"/>
          <w:sz w:val="28"/>
        </w:rPr>
        <w:t>The</w:t>
      </w:r>
      <w:r>
        <w:rPr>
          <w:color w:val="00AEEF"/>
          <w:spacing w:val="-6"/>
          <w:w w:val="95"/>
          <w:sz w:val="28"/>
        </w:rPr>
        <w:t xml:space="preserve"> </w:t>
      </w:r>
      <w:hyperlink w:anchor="_bookmark104" w:history="1">
        <w:r>
          <w:rPr>
            <w:color w:val="00AEEF"/>
            <w:spacing w:val="-2"/>
            <w:sz w:val="28"/>
          </w:rPr>
          <w:t>solution</w:t>
        </w:r>
        <w:r>
          <w:rPr>
            <w:color w:val="00AEEF"/>
            <w:sz w:val="28"/>
          </w:rPr>
          <w:tab/>
        </w:r>
        <w:r>
          <w:rPr>
            <w:color w:val="00AEEF"/>
            <w:spacing w:val="-5"/>
            <w:sz w:val="28"/>
          </w:rPr>
          <w:t>76</w:t>
        </w:r>
      </w:hyperlink>
    </w:p>
    <w:p w:rsidR="002C1123" w:rsidRDefault="002060EF">
      <w:pPr>
        <w:pStyle w:val="ListParagraph"/>
        <w:numPr>
          <w:ilvl w:val="1"/>
          <w:numId w:val="203"/>
        </w:numPr>
        <w:tabs>
          <w:tab w:val="left" w:pos="1002"/>
          <w:tab w:val="left" w:pos="1003"/>
          <w:tab w:val="right" w:pos="5140"/>
        </w:tabs>
        <w:spacing w:before="276" w:line="225" w:lineRule="exact"/>
        <w:rPr>
          <w:color w:val="00AEEF"/>
          <w:sz w:val="20"/>
        </w:rPr>
      </w:pPr>
      <w:hyperlink w:anchor="_bookmark106" w:history="1">
        <w:r w:rsidR="00F22F94">
          <w:rPr>
            <w:color w:val="00AEEF"/>
            <w:w w:val="95"/>
            <w:sz w:val="20"/>
          </w:rPr>
          <w:t>Urban</w:t>
        </w:r>
        <w:r w:rsidR="00F22F94">
          <w:rPr>
            <w:color w:val="00AEEF"/>
            <w:spacing w:val="5"/>
            <w:sz w:val="20"/>
          </w:rPr>
          <w:t xml:space="preserve"> </w:t>
        </w:r>
        <w:r w:rsidR="00F22F94">
          <w:rPr>
            <w:color w:val="00AEEF"/>
            <w:spacing w:val="-2"/>
            <w:sz w:val="20"/>
          </w:rPr>
          <w:t>roads</w:t>
        </w:r>
        <w:r w:rsidR="00F22F94">
          <w:rPr>
            <w:color w:val="00AEEF"/>
            <w:sz w:val="20"/>
          </w:rPr>
          <w:tab/>
        </w:r>
        <w:r w:rsidR="00F22F94">
          <w:rPr>
            <w:color w:val="00AEEF"/>
            <w:spacing w:val="-5"/>
            <w:sz w:val="20"/>
          </w:rPr>
          <w:t>77</w:t>
        </w:r>
      </w:hyperlink>
    </w:p>
    <w:p w:rsidR="002C1123" w:rsidRDefault="002060EF">
      <w:pPr>
        <w:pStyle w:val="BodyText"/>
        <w:tabs>
          <w:tab w:val="right" w:pos="5140"/>
        </w:tabs>
        <w:spacing w:line="220" w:lineRule="exact"/>
        <w:ind w:left="1002"/>
      </w:pPr>
      <w:hyperlink w:anchor="_bookmark106" w:history="1">
        <w:r w:rsidR="00F22F94">
          <w:rPr>
            <w:spacing w:val="-2"/>
          </w:rPr>
          <w:t>Summary</w:t>
        </w:r>
        <w:r w:rsidR="00F22F94">
          <w:tab/>
        </w:r>
        <w:r w:rsidR="00F22F94">
          <w:rPr>
            <w:spacing w:val="-5"/>
          </w:rPr>
          <w:t>77</w:t>
        </w:r>
      </w:hyperlink>
    </w:p>
    <w:p w:rsidR="002C1123" w:rsidRDefault="002060EF">
      <w:pPr>
        <w:pStyle w:val="ListParagraph"/>
        <w:numPr>
          <w:ilvl w:val="1"/>
          <w:numId w:val="203"/>
        </w:numPr>
        <w:tabs>
          <w:tab w:val="left" w:pos="1002"/>
          <w:tab w:val="left" w:pos="1003"/>
          <w:tab w:val="right" w:pos="5140"/>
        </w:tabs>
        <w:spacing w:line="220" w:lineRule="exact"/>
        <w:rPr>
          <w:sz w:val="20"/>
        </w:rPr>
      </w:pPr>
      <w:hyperlink w:anchor="_bookmark106" w:history="1">
        <w:r w:rsidR="00F22F94">
          <w:rPr>
            <w:spacing w:val="-2"/>
            <w:sz w:val="20"/>
          </w:rPr>
          <w:t>Snapshot</w:t>
        </w:r>
        <w:r w:rsidR="00F22F94">
          <w:rPr>
            <w:sz w:val="20"/>
          </w:rPr>
          <w:tab/>
        </w:r>
        <w:r w:rsidR="00F22F94">
          <w:rPr>
            <w:spacing w:val="-5"/>
            <w:sz w:val="20"/>
          </w:rPr>
          <w:t>77</w:t>
        </w:r>
      </w:hyperlink>
    </w:p>
    <w:p w:rsidR="002C1123" w:rsidRDefault="002060EF">
      <w:pPr>
        <w:pStyle w:val="ListParagraph"/>
        <w:numPr>
          <w:ilvl w:val="1"/>
          <w:numId w:val="203"/>
        </w:numPr>
        <w:tabs>
          <w:tab w:val="left" w:pos="1002"/>
          <w:tab w:val="left" w:pos="1003"/>
          <w:tab w:val="right" w:pos="5140"/>
        </w:tabs>
        <w:spacing w:line="220" w:lineRule="exact"/>
        <w:rPr>
          <w:sz w:val="20"/>
        </w:rPr>
      </w:pPr>
      <w:hyperlink w:anchor="_bookmark108" w:history="1">
        <w:r w:rsidR="00F22F94">
          <w:rPr>
            <w:w w:val="95"/>
            <w:sz w:val="20"/>
          </w:rPr>
          <w:t>The</w:t>
        </w:r>
        <w:r w:rsidR="00F22F94">
          <w:rPr>
            <w:spacing w:val="3"/>
            <w:sz w:val="20"/>
          </w:rPr>
          <w:t xml:space="preserve"> </w:t>
        </w:r>
        <w:r w:rsidR="00F22F94">
          <w:rPr>
            <w:w w:val="95"/>
            <w:sz w:val="20"/>
          </w:rPr>
          <w:t>Sydney</w:t>
        </w:r>
        <w:r w:rsidR="00F22F94">
          <w:rPr>
            <w:spacing w:val="3"/>
            <w:sz w:val="20"/>
          </w:rPr>
          <w:t xml:space="preserve"> </w:t>
        </w:r>
        <w:r w:rsidR="00F22F94">
          <w:rPr>
            <w:w w:val="95"/>
            <w:sz w:val="20"/>
          </w:rPr>
          <w:t>Strategic</w:t>
        </w:r>
        <w:r w:rsidR="00F22F94">
          <w:rPr>
            <w:spacing w:val="4"/>
            <w:sz w:val="20"/>
          </w:rPr>
          <w:t xml:space="preserve"> </w:t>
        </w:r>
        <w:r w:rsidR="00F22F94">
          <w:rPr>
            <w:w w:val="95"/>
            <w:sz w:val="20"/>
          </w:rPr>
          <w:t>Road</w:t>
        </w:r>
        <w:r w:rsidR="00F22F94">
          <w:rPr>
            <w:spacing w:val="3"/>
            <w:sz w:val="20"/>
          </w:rPr>
          <w:t xml:space="preserve"> </w:t>
        </w:r>
        <w:r w:rsidR="00F22F94">
          <w:rPr>
            <w:spacing w:val="-2"/>
            <w:w w:val="95"/>
            <w:sz w:val="20"/>
          </w:rPr>
          <w:t>Network</w:t>
        </w:r>
        <w:r w:rsidR="00F22F94">
          <w:rPr>
            <w:sz w:val="20"/>
          </w:rPr>
          <w:tab/>
        </w:r>
        <w:r w:rsidR="00F22F94">
          <w:rPr>
            <w:spacing w:val="-5"/>
            <w:sz w:val="20"/>
          </w:rPr>
          <w:t>78</w:t>
        </w:r>
      </w:hyperlink>
    </w:p>
    <w:p w:rsidR="002C1123" w:rsidRDefault="002060EF">
      <w:pPr>
        <w:pStyle w:val="ListParagraph"/>
        <w:numPr>
          <w:ilvl w:val="1"/>
          <w:numId w:val="203"/>
        </w:numPr>
        <w:tabs>
          <w:tab w:val="left" w:pos="1002"/>
          <w:tab w:val="left" w:pos="1003"/>
        </w:tabs>
        <w:spacing w:line="220" w:lineRule="exact"/>
        <w:rPr>
          <w:sz w:val="20"/>
        </w:rPr>
      </w:pPr>
      <w:hyperlink w:anchor="_bookmark110" w:history="1">
        <w:r w:rsidR="00F22F94">
          <w:rPr>
            <w:w w:val="95"/>
            <w:sz w:val="20"/>
          </w:rPr>
          <w:t>Adequacy</w:t>
        </w:r>
        <w:r w:rsidR="00F22F94">
          <w:rPr>
            <w:spacing w:val="7"/>
            <w:sz w:val="20"/>
          </w:rPr>
          <w:t xml:space="preserve"> </w:t>
        </w:r>
        <w:r w:rsidR="00F22F94">
          <w:rPr>
            <w:w w:val="95"/>
            <w:sz w:val="20"/>
          </w:rPr>
          <w:t>of</w:t>
        </w:r>
        <w:r w:rsidR="00F22F94">
          <w:rPr>
            <w:spacing w:val="7"/>
            <w:sz w:val="20"/>
          </w:rPr>
          <w:t xml:space="preserve"> </w:t>
        </w:r>
        <w:r w:rsidR="00F22F94">
          <w:rPr>
            <w:w w:val="95"/>
            <w:sz w:val="20"/>
          </w:rPr>
          <w:t>Sydney’s</w:t>
        </w:r>
        <w:r w:rsidR="00F22F94">
          <w:rPr>
            <w:spacing w:val="7"/>
            <w:sz w:val="20"/>
          </w:rPr>
          <w:t xml:space="preserve"> </w:t>
        </w:r>
        <w:r w:rsidR="00F22F94">
          <w:rPr>
            <w:w w:val="95"/>
            <w:sz w:val="20"/>
          </w:rPr>
          <w:t>Strategic</w:t>
        </w:r>
        <w:r w:rsidR="00F22F94">
          <w:rPr>
            <w:spacing w:val="7"/>
            <w:sz w:val="20"/>
          </w:rPr>
          <w:t xml:space="preserve"> </w:t>
        </w:r>
        <w:r w:rsidR="00F22F94">
          <w:rPr>
            <w:spacing w:val="-4"/>
            <w:w w:val="95"/>
            <w:sz w:val="20"/>
          </w:rPr>
          <w:t>Road</w:t>
        </w:r>
      </w:hyperlink>
    </w:p>
    <w:p w:rsidR="002C1123" w:rsidRDefault="002060EF">
      <w:pPr>
        <w:pStyle w:val="BodyText"/>
        <w:tabs>
          <w:tab w:val="right" w:pos="5140"/>
        </w:tabs>
        <w:spacing w:line="220" w:lineRule="exact"/>
        <w:ind w:left="1002"/>
      </w:pPr>
      <w:hyperlink w:anchor="_bookmark110" w:history="1">
        <w:r w:rsidR="00F22F94">
          <w:rPr>
            <w:spacing w:val="-2"/>
          </w:rPr>
          <w:t>Network</w:t>
        </w:r>
        <w:r w:rsidR="00F22F94">
          <w:tab/>
        </w:r>
        <w:r w:rsidR="00F22F94">
          <w:rPr>
            <w:spacing w:val="-5"/>
          </w:rPr>
          <w:t>79</w:t>
        </w:r>
      </w:hyperlink>
    </w:p>
    <w:p w:rsidR="002C1123" w:rsidRDefault="002060EF">
      <w:pPr>
        <w:pStyle w:val="ListParagraph"/>
        <w:numPr>
          <w:ilvl w:val="1"/>
          <w:numId w:val="203"/>
        </w:numPr>
        <w:tabs>
          <w:tab w:val="left" w:pos="1002"/>
          <w:tab w:val="left" w:pos="1003"/>
          <w:tab w:val="right" w:pos="5140"/>
        </w:tabs>
        <w:spacing w:line="220" w:lineRule="exact"/>
        <w:rPr>
          <w:sz w:val="20"/>
        </w:rPr>
      </w:pPr>
      <w:hyperlink w:anchor="_bookmark112" w:history="1">
        <w:r w:rsidR="00F22F94">
          <w:rPr>
            <w:w w:val="95"/>
            <w:sz w:val="20"/>
          </w:rPr>
          <w:t>The</w:t>
        </w:r>
        <w:r w:rsidR="00F22F94">
          <w:rPr>
            <w:sz w:val="20"/>
          </w:rPr>
          <w:t xml:space="preserve"> </w:t>
        </w:r>
        <w:r w:rsidR="00F22F94">
          <w:rPr>
            <w:w w:val="95"/>
            <w:sz w:val="20"/>
          </w:rPr>
          <w:t>rationale</w:t>
        </w:r>
        <w:r w:rsidR="00F22F94">
          <w:rPr>
            <w:spacing w:val="1"/>
            <w:sz w:val="20"/>
          </w:rPr>
          <w:t xml:space="preserve"> </w:t>
        </w:r>
        <w:r w:rsidR="00F22F94">
          <w:rPr>
            <w:w w:val="95"/>
            <w:sz w:val="20"/>
          </w:rPr>
          <w:t>for</w:t>
        </w:r>
        <w:r w:rsidR="00F22F94">
          <w:rPr>
            <w:spacing w:val="1"/>
            <w:sz w:val="20"/>
          </w:rPr>
          <w:t xml:space="preserve"> </w:t>
        </w:r>
        <w:r w:rsidR="00F22F94">
          <w:rPr>
            <w:w w:val="95"/>
            <w:sz w:val="20"/>
          </w:rPr>
          <w:t>urban</w:t>
        </w:r>
        <w:r w:rsidR="00F22F94">
          <w:rPr>
            <w:sz w:val="20"/>
          </w:rPr>
          <w:t xml:space="preserve"> </w:t>
        </w:r>
        <w:r w:rsidR="00F22F94">
          <w:rPr>
            <w:w w:val="95"/>
            <w:sz w:val="20"/>
          </w:rPr>
          <w:t>road</w:t>
        </w:r>
        <w:r w:rsidR="00F22F94">
          <w:rPr>
            <w:spacing w:val="1"/>
            <w:sz w:val="20"/>
          </w:rPr>
          <w:t xml:space="preserve"> </w:t>
        </w:r>
        <w:r w:rsidR="00F22F94">
          <w:rPr>
            <w:spacing w:val="-2"/>
            <w:w w:val="95"/>
            <w:sz w:val="20"/>
          </w:rPr>
          <w:t>investment</w:t>
        </w:r>
        <w:r w:rsidR="00F22F94">
          <w:rPr>
            <w:sz w:val="20"/>
          </w:rPr>
          <w:tab/>
        </w:r>
        <w:r w:rsidR="00F22F94">
          <w:rPr>
            <w:spacing w:val="-5"/>
            <w:sz w:val="20"/>
          </w:rPr>
          <w:t>80</w:t>
        </w:r>
      </w:hyperlink>
    </w:p>
    <w:p w:rsidR="002C1123" w:rsidRDefault="002060EF">
      <w:pPr>
        <w:pStyle w:val="ListParagraph"/>
        <w:numPr>
          <w:ilvl w:val="1"/>
          <w:numId w:val="203"/>
        </w:numPr>
        <w:tabs>
          <w:tab w:val="left" w:pos="1002"/>
          <w:tab w:val="left" w:pos="1003"/>
        </w:tabs>
        <w:spacing w:line="220" w:lineRule="exact"/>
        <w:rPr>
          <w:sz w:val="20"/>
        </w:rPr>
      </w:pPr>
      <w:hyperlink w:anchor="_bookmark116" w:history="1">
        <w:r w:rsidR="00F22F94">
          <w:rPr>
            <w:w w:val="95"/>
            <w:sz w:val="20"/>
          </w:rPr>
          <w:t>Developing</w:t>
        </w:r>
        <w:r w:rsidR="00F22F94">
          <w:rPr>
            <w:spacing w:val="2"/>
            <w:sz w:val="20"/>
          </w:rPr>
          <w:t xml:space="preserve"> </w:t>
        </w:r>
        <w:r w:rsidR="00F22F94">
          <w:rPr>
            <w:w w:val="95"/>
            <w:sz w:val="20"/>
          </w:rPr>
          <w:t>Sydney’s</w:t>
        </w:r>
        <w:r w:rsidR="00F22F94">
          <w:rPr>
            <w:spacing w:val="2"/>
            <w:sz w:val="20"/>
          </w:rPr>
          <w:t xml:space="preserve"> </w:t>
        </w:r>
        <w:r w:rsidR="00F22F94">
          <w:rPr>
            <w:w w:val="95"/>
            <w:sz w:val="20"/>
          </w:rPr>
          <w:t>Strategic</w:t>
        </w:r>
        <w:r w:rsidR="00F22F94">
          <w:rPr>
            <w:spacing w:val="3"/>
            <w:sz w:val="20"/>
          </w:rPr>
          <w:t xml:space="preserve"> </w:t>
        </w:r>
        <w:r w:rsidR="00F22F94">
          <w:rPr>
            <w:spacing w:val="-4"/>
            <w:w w:val="95"/>
            <w:sz w:val="20"/>
          </w:rPr>
          <w:t>Road</w:t>
        </w:r>
      </w:hyperlink>
    </w:p>
    <w:p w:rsidR="002C1123" w:rsidRDefault="002060EF">
      <w:pPr>
        <w:pStyle w:val="BodyText"/>
        <w:tabs>
          <w:tab w:val="right" w:pos="5140"/>
        </w:tabs>
        <w:spacing w:line="220" w:lineRule="exact"/>
        <w:ind w:left="1002"/>
      </w:pPr>
      <w:hyperlink w:anchor="_bookmark116" w:history="1">
        <w:r w:rsidR="00F22F94">
          <w:rPr>
            <w:spacing w:val="-2"/>
          </w:rPr>
          <w:t>Network</w:t>
        </w:r>
        <w:r w:rsidR="00F22F94">
          <w:tab/>
        </w:r>
        <w:r w:rsidR="00F22F94">
          <w:rPr>
            <w:spacing w:val="-5"/>
          </w:rPr>
          <w:t>83</w:t>
        </w:r>
      </w:hyperlink>
    </w:p>
    <w:p w:rsidR="002C1123" w:rsidRDefault="002060EF">
      <w:pPr>
        <w:pStyle w:val="ListParagraph"/>
        <w:numPr>
          <w:ilvl w:val="1"/>
          <w:numId w:val="203"/>
        </w:numPr>
        <w:tabs>
          <w:tab w:val="left" w:pos="1002"/>
          <w:tab w:val="left" w:pos="1003"/>
          <w:tab w:val="right" w:pos="5140"/>
        </w:tabs>
        <w:spacing w:line="220" w:lineRule="exact"/>
        <w:rPr>
          <w:sz w:val="20"/>
        </w:rPr>
      </w:pPr>
      <w:hyperlink w:anchor="_bookmark120" w:history="1">
        <w:r w:rsidR="00F22F94">
          <w:rPr>
            <w:spacing w:val="-2"/>
            <w:sz w:val="20"/>
          </w:rPr>
          <w:t>WestConnex</w:t>
        </w:r>
        <w:r w:rsidR="00F22F94">
          <w:rPr>
            <w:sz w:val="20"/>
          </w:rPr>
          <w:tab/>
        </w:r>
        <w:r w:rsidR="00F22F94">
          <w:rPr>
            <w:spacing w:val="-5"/>
            <w:w w:val="95"/>
            <w:sz w:val="20"/>
          </w:rPr>
          <w:t>86</w:t>
        </w:r>
      </w:hyperlink>
    </w:p>
    <w:p w:rsidR="002C1123" w:rsidRDefault="002060EF">
      <w:pPr>
        <w:pStyle w:val="ListParagraph"/>
        <w:numPr>
          <w:ilvl w:val="1"/>
          <w:numId w:val="203"/>
        </w:numPr>
        <w:tabs>
          <w:tab w:val="left" w:pos="1002"/>
          <w:tab w:val="left" w:pos="1003"/>
          <w:tab w:val="right" w:pos="5140"/>
        </w:tabs>
        <w:spacing w:line="220" w:lineRule="exact"/>
        <w:rPr>
          <w:sz w:val="20"/>
        </w:rPr>
      </w:pPr>
      <w:hyperlink w:anchor="_bookmark125" w:history="1">
        <w:r w:rsidR="00F22F94">
          <w:rPr>
            <w:sz w:val="20"/>
          </w:rPr>
          <w:t>Making</w:t>
        </w:r>
        <w:r w:rsidR="00F22F94">
          <w:rPr>
            <w:spacing w:val="-13"/>
            <w:sz w:val="20"/>
          </w:rPr>
          <w:t xml:space="preserve"> </w:t>
        </w:r>
        <w:r w:rsidR="00F22F94">
          <w:rPr>
            <w:sz w:val="20"/>
          </w:rPr>
          <w:t>better</w:t>
        </w:r>
        <w:r w:rsidR="00F22F94">
          <w:rPr>
            <w:spacing w:val="-12"/>
            <w:sz w:val="20"/>
          </w:rPr>
          <w:t xml:space="preserve"> </w:t>
        </w:r>
        <w:r w:rsidR="00F22F94">
          <w:rPr>
            <w:sz w:val="20"/>
          </w:rPr>
          <w:t>use</w:t>
        </w:r>
        <w:r w:rsidR="00F22F94">
          <w:rPr>
            <w:spacing w:val="-12"/>
            <w:sz w:val="20"/>
          </w:rPr>
          <w:t xml:space="preserve"> </w:t>
        </w:r>
        <w:r w:rsidR="00F22F94">
          <w:rPr>
            <w:sz w:val="20"/>
          </w:rPr>
          <w:t>of</w:t>
        </w:r>
        <w:r w:rsidR="00F22F94">
          <w:rPr>
            <w:spacing w:val="-13"/>
            <w:sz w:val="20"/>
          </w:rPr>
          <w:t xml:space="preserve"> </w:t>
        </w:r>
        <w:r w:rsidR="00F22F94">
          <w:rPr>
            <w:sz w:val="20"/>
          </w:rPr>
          <w:t>the</w:t>
        </w:r>
        <w:r w:rsidR="00F22F94">
          <w:rPr>
            <w:spacing w:val="-12"/>
            <w:sz w:val="20"/>
          </w:rPr>
          <w:t xml:space="preserve"> </w:t>
        </w:r>
        <w:r w:rsidR="00F22F94">
          <w:rPr>
            <w:sz w:val="20"/>
          </w:rPr>
          <w:t>road</w:t>
        </w:r>
        <w:r w:rsidR="00F22F94">
          <w:rPr>
            <w:spacing w:val="-12"/>
            <w:sz w:val="20"/>
          </w:rPr>
          <w:t xml:space="preserve"> </w:t>
        </w:r>
        <w:r w:rsidR="00F22F94">
          <w:rPr>
            <w:spacing w:val="-2"/>
            <w:sz w:val="20"/>
          </w:rPr>
          <w:t>network</w:t>
        </w:r>
        <w:r w:rsidR="00F22F94">
          <w:rPr>
            <w:sz w:val="20"/>
          </w:rPr>
          <w:tab/>
        </w:r>
        <w:r w:rsidR="00F22F94">
          <w:rPr>
            <w:spacing w:val="-5"/>
            <w:sz w:val="20"/>
          </w:rPr>
          <w:t>90</w:t>
        </w:r>
      </w:hyperlink>
    </w:p>
    <w:p w:rsidR="002C1123" w:rsidRDefault="002060EF">
      <w:pPr>
        <w:pStyle w:val="ListParagraph"/>
        <w:numPr>
          <w:ilvl w:val="1"/>
          <w:numId w:val="203"/>
        </w:numPr>
        <w:tabs>
          <w:tab w:val="left" w:pos="1002"/>
          <w:tab w:val="left" w:pos="1003"/>
          <w:tab w:val="right" w:pos="5140"/>
        </w:tabs>
        <w:spacing w:line="220" w:lineRule="exact"/>
        <w:rPr>
          <w:sz w:val="20"/>
        </w:rPr>
      </w:pPr>
      <w:hyperlink w:anchor="_bookmark127" w:history="1">
        <w:r w:rsidR="00F22F94">
          <w:rPr>
            <w:w w:val="95"/>
            <w:sz w:val="20"/>
          </w:rPr>
          <w:t>Roads</w:t>
        </w:r>
        <w:r w:rsidR="00F22F94">
          <w:rPr>
            <w:spacing w:val="11"/>
            <w:sz w:val="20"/>
          </w:rPr>
          <w:t xml:space="preserve"> </w:t>
        </w:r>
        <w:r w:rsidR="00F22F94">
          <w:rPr>
            <w:w w:val="95"/>
            <w:sz w:val="20"/>
          </w:rPr>
          <w:t>across</w:t>
        </w:r>
        <w:r w:rsidR="00F22F94">
          <w:rPr>
            <w:spacing w:val="12"/>
            <w:sz w:val="20"/>
          </w:rPr>
          <w:t xml:space="preserve"> </w:t>
        </w:r>
        <w:r w:rsidR="00F22F94">
          <w:rPr>
            <w:w w:val="95"/>
            <w:sz w:val="20"/>
          </w:rPr>
          <w:t>Metropolitan</w:t>
        </w:r>
        <w:r w:rsidR="00F22F94">
          <w:rPr>
            <w:spacing w:val="12"/>
            <w:sz w:val="20"/>
          </w:rPr>
          <w:t xml:space="preserve"> </w:t>
        </w:r>
        <w:r w:rsidR="00F22F94">
          <w:rPr>
            <w:spacing w:val="-2"/>
            <w:w w:val="95"/>
            <w:sz w:val="20"/>
          </w:rPr>
          <w:t>Sydney</w:t>
        </w:r>
        <w:r w:rsidR="00F22F94">
          <w:rPr>
            <w:sz w:val="20"/>
          </w:rPr>
          <w:tab/>
        </w:r>
        <w:r w:rsidR="00F22F94">
          <w:rPr>
            <w:spacing w:val="-5"/>
            <w:sz w:val="20"/>
          </w:rPr>
          <w:t>91</w:t>
        </w:r>
      </w:hyperlink>
    </w:p>
    <w:p w:rsidR="002C1123" w:rsidRDefault="002060EF">
      <w:pPr>
        <w:pStyle w:val="ListParagraph"/>
        <w:numPr>
          <w:ilvl w:val="1"/>
          <w:numId w:val="203"/>
        </w:numPr>
        <w:tabs>
          <w:tab w:val="left" w:pos="1002"/>
          <w:tab w:val="left" w:pos="1003"/>
          <w:tab w:val="right" w:pos="5140"/>
        </w:tabs>
        <w:spacing w:line="225" w:lineRule="exact"/>
        <w:rPr>
          <w:sz w:val="20"/>
        </w:rPr>
      </w:pPr>
      <w:hyperlink w:anchor="_bookmark130" w:history="1">
        <w:r w:rsidR="00F22F94">
          <w:rPr>
            <w:spacing w:val="-2"/>
            <w:sz w:val="20"/>
          </w:rPr>
          <w:t>Conclusions</w:t>
        </w:r>
        <w:r w:rsidR="00F22F94">
          <w:rPr>
            <w:sz w:val="20"/>
          </w:rPr>
          <w:tab/>
        </w:r>
        <w:r w:rsidR="00F22F94">
          <w:rPr>
            <w:spacing w:val="-5"/>
            <w:sz w:val="20"/>
          </w:rPr>
          <w:t>93</w:t>
        </w:r>
      </w:hyperlink>
    </w:p>
    <w:p w:rsidR="002C1123" w:rsidRDefault="00F22F94">
      <w:pPr>
        <w:rPr>
          <w:sz w:val="24"/>
        </w:rPr>
      </w:pPr>
      <w:r>
        <w:br w:type="column"/>
      </w: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spacing w:before="7"/>
        <w:rPr>
          <w:sz w:val="24"/>
        </w:rPr>
      </w:pPr>
    </w:p>
    <w:p w:rsidR="002C1123" w:rsidRDefault="002060EF">
      <w:pPr>
        <w:pStyle w:val="ListParagraph"/>
        <w:numPr>
          <w:ilvl w:val="1"/>
          <w:numId w:val="202"/>
        </w:numPr>
        <w:tabs>
          <w:tab w:val="left" w:pos="848"/>
          <w:tab w:val="left" w:pos="849"/>
          <w:tab w:val="left" w:pos="4764"/>
        </w:tabs>
        <w:spacing w:line="225" w:lineRule="exact"/>
        <w:ind w:hanging="512"/>
        <w:rPr>
          <w:color w:val="00AEEF"/>
          <w:sz w:val="20"/>
        </w:rPr>
      </w:pPr>
      <w:hyperlink w:anchor="_bookmark132" w:history="1">
        <w:r w:rsidR="00F22F94">
          <w:rPr>
            <w:color w:val="00AEEF"/>
            <w:w w:val="95"/>
            <w:sz w:val="20"/>
          </w:rPr>
          <w:t>Bus</w:t>
        </w:r>
        <w:r w:rsidR="00F22F94">
          <w:rPr>
            <w:color w:val="00AEEF"/>
            <w:spacing w:val="-1"/>
            <w:sz w:val="20"/>
          </w:rPr>
          <w:t xml:space="preserve"> </w:t>
        </w:r>
        <w:r w:rsidR="00F22F94">
          <w:rPr>
            <w:color w:val="00AEEF"/>
            <w:w w:val="95"/>
            <w:sz w:val="20"/>
          </w:rPr>
          <w:t>and</w:t>
        </w:r>
        <w:r w:rsidR="00F22F94">
          <w:rPr>
            <w:color w:val="00AEEF"/>
            <w:spacing w:val="-1"/>
            <w:sz w:val="20"/>
          </w:rPr>
          <w:t xml:space="preserve"> </w:t>
        </w:r>
        <w:r w:rsidR="00F22F94">
          <w:rPr>
            <w:color w:val="00AEEF"/>
            <w:w w:val="95"/>
            <w:sz w:val="20"/>
          </w:rPr>
          <w:t>light</w:t>
        </w:r>
        <w:r w:rsidR="00F22F94">
          <w:rPr>
            <w:color w:val="00AEEF"/>
            <w:spacing w:val="-1"/>
            <w:sz w:val="20"/>
          </w:rPr>
          <w:t xml:space="preserve"> </w:t>
        </w:r>
        <w:r w:rsidR="00F22F94">
          <w:rPr>
            <w:color w:val="00AEEF"/>
            <w:w w:val="95"/>
            <w:sz w:val="20"/>
          </w:rPr>
          <w:t>rail</w:t>
        </w:r>
        <w:r w:rsidR="00F22F94">
          <w:rPr>
            <w:color w:val="00AEEF"/>
            <w:spacing w:val="-1"/>
            <w:sz w:val="20"/>
          </w:rPr>
          <w:t xml:space="preserve"> </w:t>
        </w:r>
        <w:r w:rsidR="00F22F94">
          <w:rPr>
            <w:color w:val="00AEEF"/>
            <w:w w:val="95"/>
            <w:sz w:val="20"/>
          </w:rPr>
          <w:t>in</w:t>
        </w:r>
        <w:r w:rsidR="00F22F94">
          <w:rPr>
            <w:color w:val="00AEEF"/>
            <w:spacing w:val="-1"/>
            <w:sz w:val="20"/>
          </w:rPr>
          <w:t xml:space="preserve"> </w:t>
        </w:r>
        <w:r w:rsidR="00F22F94">
          <w:rPr>
            <w:color w:val="00AEEF"/>
            <w:spacing w:val="-2"/>
            <w:w w:val="95"/>
            <w:sz w:val="20"/>
          </w:rPr>
          <w:t>Sydney</w:t>
        </w:r>
        <w:r w:rsidR="00F22F94">
          <w:rPr>
            <w:color w:val="00AEEF"/>
            <w:sz w:val="20"/>
          </w:rPr>
          <w:tab/>
        </w:r>
        <w:r w:rsidR="00F22F94">
          <w:rPr>
            <w:color w:val="00AEEF"/>
            <w:spacing w:val="-5"/>
            <w:sz w:val="20"/>
          </w:rPr>
          <w:t>94</w:t>
        </w:r>
      </w:hyperlink>
    </w:p>
    <w:sdt>
      <w:sdtPr>
        <w:id w:val="1326858662"/>
        <w:docPartObj>
          <w:docPartGallery w:val="Table of Contents"/>
          <w:docPartUnique/>
        </w:docPartObj>
      </w:sdtPr>
      <w:sdtEndPr/>
      <w:sdtContent>
        <w:p w:rsidR="002C1123" w:rsidRDefault="002060EF">
          <w:pPr>
            <w:pStyle w:val="TOC2"/>
            <w:tabs>
              <w:tab w:val="right" w:pos="4986"/>
            </w:tabs>
          </w:pPr>
          <w:hyperlink w:anchor="_bookmark132" w:history="1">
            <w:r w:rsidR="00F22F94">
              <w:rPr>
                <w:spacing w:val="-2"/>
              </w:rPr>
              <w:t>Summary</w:t>
            </w:r>
            <w:r w:rsidR="00F22F94">
              <w:tab/>
            </w:r>
            <w:r w:rsidR="00F22F94">
              <w:rPr>
                <w:spacing w:val="-5"/>
              </w:rPr>
              <w:t>94</w:t>
            </w:r>
          </w:hyperlink>
        </w:p>
        <w:p w:rsidR="002C1123" w:rsidRDefault="002060EF">
          <w:pPr>
            <w:pStyle w:val="TOC1"/>
            <w:numPr>
              <w:ilvl w:val="1"/>
              <w:numId w:val="202"/>
            </w:numPr>
            <w:tabs>
              <w:tab w:val="left" w:pos="848"/>
              <w:tab w:val="left" w:pos="849"/>
              <w:tab w:val="right" w:pos="4986"/>
            </w:tabs>
            <w:ind w:hanging="512"/>
          </w:pPr>
          <w:hyperlink w:anchor="_bookmark132" w:history="1">
            <w:r w:rsidR="00F22F94">
              <w:rPr>
                <w:spacing w:val="-2"/>
              </w:rPr>
              <w:t>Snapshot</w:t>
            </w:r>
            <w:r w:rsidR="00F22F94">
              <w:tab/>
            </w:r>
            <w:r w:rsidR="00F22F94">
              <w:rPr>
                <w:spacing w:val="-5"/>
              </w:rPr>
              <w:t>94</w:t>
            </w:r>
          </w:hyperlink>
        </w:p>
        <w:p w:rsidR="002C1123" w:rsidRDefault="002060EF">
          <w:pPr>
            <w:pStyle w:val="TOC1"/>
            <w:numPr>
              <w:ilvl w:val="1"/>
              <w:numId w:val="202"/>
            </w:numPr>
            <w:tabs>
              <w:tab w:val="left" w:pos="848"/>
              <w:tab w:val="left" w:pos="849"/>
              <w:tab w:val="right" w:pos="4986"/>
            </w:tabs>
            <w:ind w:hanging="512"/>
          </w:pPr>
          <w:hyperlink w:anchor="_bookmark134" w:history="1">
            <w:r w:rsidR="00F22F94">
              <w:rPr>
                <w:spacing w:val="-2"/>
              </w:rPr>
              <w:t>Scope</w:t>
            </w:r>
            <w:r w:rsidR="00F22F94">
              <w:tab/>
            </w:r>
            <w:r w:rsidR="00F22F94">
              <w:rPr>
                <w:spacing w:val="-5"/>
              </w:rPr>
              <w:t>95</w:t>
            </w:r>
          </w:hyperlink>
        </w:p>
        <w:p w:rsidR="002C1123" w:rsidRDefault="002060EF">
          <w:pPr>
            <w:pStyle w:val="TOC1"/>
            <w:numPr>
              <w:ilvl w:val="1"/>
              <w:numId w:val="202"/>
            </w:numPr>
            <w:tabs>
              <w:tab w:val="left" w:pos="848"/>
              <w:tab w:val="left" w:pos="849"/>
              <w:tab w:val="right" w:pos="4986"/>
            </w:tabs>
            <w:ind w:hanging="512"/>
          </w:pPr>
          <w:hyperlink w:anchor="_bookmark134" w:history="1">
            <w:r w:rsidR="00F22F94">
              <w:rPr>
                <w:w w:val="95"/>
              </w:rPr>
              <w:t>Buses</w:t>
            </w:r>
            <w:r w:rsidR="00F22F94">
              <w:rPr>
                <w:spacing w:val="-1"/>
              </w:rPr>
              <w:t xml:space="preserve"> </w:t>
            </w:r>
            <w:r w:rsidR="00F22F94">
              <w:rPr>
                <w:w w:val="95"/>
              </w:rPr>
              <w:t>and</w:t>
            </w:r>
            <w:r w:rsidR="00F22F94">
              <w:t xml:space="preserve"> </w:t>
            </w:r>
            <w:r w:rsidR="00F22F94">
              <w:rPr>
                <w:w w:val="95"/>
              </w:rPr>
              <w:t>light</w:t>
            </w:r>
            <w:r w:rsidR="00F22F94">
              <w:t xml:space="preserve"> </w:t>
            </w:r>
            <w:r w:rsidR="00F22F94">
              <w:rPr>
                <w:w w:val="95"/>
              </w:rPr>
              <w:t>rail</w:t>
            </w:r>
            <w:r w:rsidR="00F22F94">
              <w:rPr>
                <w:spacing w:val="-1"/>
              </w:rPr>
              <w:t xml:space="preserve"> </w:t>
            </w:r>
            <w:r w:rsidR="00F22F94">
              <w:rPr>
                <w:spacing w:val="-2"/>
                <w:w w:val="95"/>
              </w:rPr>
              <w:t>compared</w:t>
            </w:r>
            <w:r w:rsidR="00F22F94">
              <w:tab/>
            </w:r>
            <w:r w:rsidR="00F22F94">
              <w:rPr>
                <w:spacing w:val="-7"/>
                <w:w w:val="95"/>
              </w:rPr>
              <w:t>95</w:t>
            </w:r>
          </w:hyperlink>
        </w:p>
        <w:p w:rsidR="002C1123" w:rsidRDefault="002060EF">
          <w:pPr>
            <w:pStyle w:val="TOC1"/>
            <w:numPr>
              <w:ilvl w:val="1"/>
              <w:numId w:val="202"/>
            </w:numPr>
            <w:tabs>
              <w:tab w:val="left" w:pos="848"/>
              <w:tab w:val="left" w:pos="849"/>
              <w:tab w:val="right" w:pos="4986"/>
            </w:tabs>
            <w:ind w:hanging="512"/>
          </w:pPr>
          <w:hyperlink w:anchor="_bookmark136" w:history="1">
            <w:r w:rsidR="00F22F94">
              <w:rPr>
                <w:w w:val="95"/>
              </w:rPr>
              <w:t>Bus</w:t>
            </w:r>
            <w:r w:rsidR="00F22F94">
              <w:t xml:space="preserve"> </w:t>
            </w:r>
            <w:r w:rsidR="00F22F94">
              <w:rPr>
                <w:w w:val="95"/>
              </w:rPr>
              <w:t>and</w:t>
            </w:r>
            <w:r w:rsidR="00F22F94">
              <w:t xml:space="preserve"> </w:t>
            </w:r>
            <w:r w:rsidR="00F22F94">
              <w:rPr>
                <w:w w:val="95"/>
              </w:rPr>
              <w:t>light</w:t>
            </w:r>
            <w:r w:rsidR="00F22F94">
              <w:t xml:space="preserve"> </w:t>
            </w:r>
            <w:r w:rsidR="00F22F94">
              <w:rPr>
                <w:w w:val="95"/>
              </w:rPr>
              <w:t>rail</w:t>
            </w:r>
            <w:r w:rsidR="00F22F94">
              <w:rPr>
                <w:spacing w:val="1"/>
              </w:rPr>
              <w:t xml:space="preserve"> </w:t>
            </w:r>
            <w:r w:rsidR="00F22F94">
              <w:rPr>
                <w:w w:val="95"/>
              </w:rPr>
              <w:t>within</w:t>
            </w:r>
            <w:r w:rsidR="00F22F94">
              <w:t xml:space="preserve"> </w:t>
            </w:r>
            <w:r w:rsidR="00F22F94">
              <w:rPr>
                <w:w w:val="95"/>
              </w:rPr>
              <w:t>Sydney’s</w:t>
            </w:r>
            <w:r w:rsidR="00F22F94">
              <w:t xml:space="preserve"> </w:t>
            </w:r>
            <w:r w:rsidR="00F22F94">
              <w:rPr>
                <w:spacing w:val="-5"/>
                <w:w w:val="95"/>
              </w:rPr>
              <w:t>CBD</w:t>
            </w:r>
            <w:r w:rsidR="00F22F94">
              <w:tab/>
            </w:r>
            <w:r w:rsidR="00F22F94">
              <w:rPr>
                <w:spacing w:val="-5"/>
              </w:rPr>
              <w:t>96</w:t>
            </w:r>
          </w:hyperlink>
        </w:p>
        <w:p w:rsidR="002C1123" w:rsidRDefault="002060EF">
          <w:pPr>
            <w:pStyle w:val="TOC1"/>
            <w:numPr>
              <w:ilvl w:val="1"/>
              <w:numId w:val="202"/>
            </w:numPr>
            <w:tabs>
              <w:tab w:val="left" w:pos="848"/>
              <w:tab w:val="left" w:pos="849"/>
            </w:tabs>
            <w:ind w:hanging="512"/>
          </w:pPr>
          <w:hyperlink w:anchor="_bookmark142" w:history="1">
            <w:r w:rsidR="00F22F94">
              <w:t>Light</w:t>
            </w:r>
            <w:r w:rsidR="00F22F94">
              <w:rPr>
                <w:spacing w:val="-14"/>
              </w:rPr>
              <w:t xml:space="preserve"> </w:t>
            </w:r>
            <w:r w:rsidR="00F22F94">
              <w:t>rail</w:t>
            </w:r>
            <w:r w:rsidR="00F22F94">
              <w:rPr>
                <w:spacing w:val="-14"/>
              </w:rPr>
              <w:t xml:space="preserve"> </w:t>
            </w:r>
            <w:r w:rsidR="00F22F94">
              <w:t>options</w:t>
            </w:r>
            <w:r w:rsidR="00F22F94">
              <w:rPr>
                <w:spacing w:val="-14"/>
              </w:rPr>
              <w:t xml:space="preserve"> </w:t>
            </w:r>
            <w:r w:rsidR="00F22F94">
              <w:t>and</w:t>
            </w:r>
            <w:r w:rsidR="00F22F94">
              <w:rPr>
                <w:spacing w:val="-14"/>
              </w:rPr>
              <w:t xml:space="preserve"> </w:t>
            </w:r>
            <w:r w:rsidR="00F22F94">
              <w:t>bus</w:t>
            </w:r>
            <w:r w:rsidR="00F22F94">
              <w:rPr>
                <w:spacing w:val="-14"/>
              </w:rPr>
              <w:t xml:space="preserve"> </w:t>
            </w:r>
            <w:r w:rsidR="00F22F94">
              <w:rPr>
                <w:spacing w:val="-2"/>
              </w:rPr>
              <w:t>corridors</w:t>
            </w:r>
          </w:hyperlink>
        </w:p>
        <w:p w:rsidR="002C1123" w:rsidRDefault="002060EF">
          <w:pPr>
            <w:pStyle w:val="TOC2"/>
            <w:tabs>
              <w:tab w:val="right" w:pos="4986"/>
            </w:tabs>
          </w:pPr>
          <w:hyperlink w:anchor="_bookmark142" w:history="1">
            <w:r w:rsidR="00F22F94">
              <w:rPr>
                <w:w w:val="95"/>
              </w:rPr>
              <w:t>into</w:t>
            </w:r>
            <w:r w:rsidR="00F22F94">
              <w:rPr>
                <w:spacing w:val="3"/>
              </w:rPr>
              <w:t xml:space="preserve"> </w:t>
            </w:r>
            <w:r w:rsidR="00F22F94">
              <w:rPr>
                <w:w w:val="95"/>
              </w:rPr>
              <w:t>Global</w:t>
            </w:r>
            <w:r w:rsidR="00F22F94">
              <w:rPr>
                <w:spacing w:val="3"/>
              </w:rPr>
              <w:t xml:space="preserve"> </w:t>
            </w:r>
            <w:r w:rsidR="00F22F94">
              <w:rPr>
                <w:spacing w:val="-2"/>
                <w:w w:val="95"/>
              </w:rPr>
              <w:t>Sydney</w:t>
            </w:r>
            <w:r w:rsidR="00F22F94">
              <w:tab/>
            </w:r>
            <w:r w:rsidR="00F22F94">
              <w:rPr>
                <w:spacing w:val="-5"/>
              </w:rPr>
              <w:t>101</w:t>
            </w:r>
          </w:hyperlink>
        </w:p>
        <w:p w:rsidR="002C1123" w:rsidRDefault="002060EF">
          <w:pPr>
            <w:pStyle w:val="TOC1"/>
            <w:numPr>
              <w:ilvl w:val="1"/>
              <w:numId w:val="202"/>
            </w:numPr>
            <w:tabs>
              <w:tab w:val="left" w:pos="848"/>
              <w:tab w:val="left" w:pos="849"/>
            </w:tabs>
            <w:ind w:hanging="512"/>
          </w:pPr>
          <w:hyperlink w:anchor="_bookmark145" w:history="1">
            <w:r w:rsidR="00F22F94">
              <w:rPr>
                <w:w w:val="95"/>
              </w:rPr>
              <w:t>Bus</w:t>
            </w:r>
            <w:r w:rsidR="00F22F94">
              <w:rPr>
                <w:spacing w:val="4"/>
              </w:rPr>
              <w:t xml:space="preserve"> </w:t>
            </w:r>
            <w:r w:rsidR="00F22F94">
              <w:rPr>
                <w:w w:val="95"/>
              </w:rPr>
              <w:t>corridors</w:t>
            </w:r>
            <w:r w:rsidR="00F22F94">
              <w:rPr>
                <w:spacing w:val="5"/>
              </w:rPr>
              <w:t xml:space="preserve"> </w:t>
            </w:r>
            <w:r w:rsidR="00F22F94">
              <w:rPr>
                <w:w w:val="95"/>
              </w:rPr>
              <w:t>and</w:t>
            </w:r>
            <w:r w:rsidR="00F22F94">
              <w:rPr>
                <w:spacing w:val="5"/>
              </w:rPr>
              <w:t xml:space="preserve"> </w:t>
            </w:r>
            <w:r w:rsidR="00F22F94">
              <w:rPr>
                <w:w w:val="95"/>
              </w:rPr>
              <w:t>light</w:t>
            </w:r>
            <w:r w:rsidR="00F22F94">
              <w:rPr>
                <w:spacing w:val="4"/>
              </w:rPr>
              <w:t xml:space="preserve"> </w:t>
            </w:r>
            <w:r w:rsidR="00F22F94">
              <w:rPr>
                <w:w w:val="95"/>
              </w:rPr>
              <w:t>rail</w:t>
            </w:r>
            <w:r w:rsidR="00F22F94">
              <w:rPr>
                <w:spacing w:val="5"/>
              </w:rPr>
              <w:t xml:space="preserve"> </w:t>
            </w:r>
            <w:r w:rsidR="00F22F94">
              <w:rPr>
                <w:spacing w:val="-2"/>
                <w:w w:val="95"/>
              </w:rPr>
              <w:t>options</w:t>
            </w:r>
          </w:hyperlink>
        </w:p>
        <w:p w:rsidR="002C1123" w:rsidRDefault="002060EF">
          <w:pPr>
            <w:pStyle w:val="TOC2"/>
            <w:tabs>
              <w:tab w:val="right" w:pos="4986"/>
            </w:tabs>
          </w:pPr>
          <w:hyperlink w:anchor="_bookmark145" w:history="1">
            <w:r w:rsidR="00F22F94">
              <w:rPr>
                <w:w w:val="95"/>
              </w:rPr>
              <w:t>in</w:t>
            </w:r>
            <w:r w:rsidR="00F22F94">
              <w:rPr>
                <w:spacing w:val="-2"/>
                <w:w w:val="95"/>
              </w:rPr>
              <w:t xml:space="preserve"> </w:t>
            </w:r>
            <w:r w:rsidR="00F22F94">
              <w:rPr>
                <w:w w:val="95"/>
              </w:rPr>
              <w:t>Greater</w:t>
            </w:r>
            <w:r w:rsidR="00F22F94">
              <w:rPr>
                <w:spacing w:val="-2"/>
                <w:w w:val="95"/>
              </w:rPr>
              <w:t xml:space="preserve"> Sydney</w:t>
            </w:r>
            <w:r w:rsidR="00F22F94">
              <w:tab/>
            </w:r>
            <w:r w:rsidR="00F22F94">
              <w:rPr>
                <w:spacing w:val="-5"/>
              </w:rPr>
              <w:t>103</w:t>
            </w:r>
          </w:hyperlink>
        </w:p>
        <w:p w:rsidR="002C1123" w:rsidRDefault="002060EF">
          <w:pPr>
            <w:pStyle w:val="TOC1"/>
            <w:numPr>
              <w:ilvl w:val="1"/>
              <w:numId w:val="202"/>
            </w:numPr>
            <w:tabs>
              <w:tab w:val="left" w:pos="848"/>
              <w:tab w:val="left" w:pos="849"/>
              <w:tab w:val="right" w:pos="4986"/>
            </w:tabs>
            <w:ind w:hanging="512"/>
          </w:pPr>
          <w:hyperlink w:anchor="_bookmark148" w:history="1">
            <w:r w:rsidR="00F22F94">
              <w:rPr>
                <w:spacing w:val="-2"/>
              </w:rPr>
              <w:t>Conclusions</w:t>
            </w:r>
            <w:r w:rsidR="00F22F94">
              <w:tab/>
            </w:r>
            <w:r w:rsidR="00F22F94">
              <w:rPr>
                <w:spacing w:val="-5"/>
              </w:rPr>
              <w:t>105</w:t>
            </w:r>
          </w:hyperlink>
        </w:p>
        <w:p w:rsidR="002C1123" w:rsidRDefault="002060EF">
          <w:pPr>
            <w:pStyle w:val="TOC1"/>
            <w:numPr>
              <w:ilvl w:val="1"/>
              <w:numId w:val="202"/>
            </w:numPr>
            <w:tabs>
              <w:tab w:val="left" w:pos="848"/>
              <w:tab w:val="left" w:pos="849"/>
            </w:tabs>
            <w:ind w:hanging="512"/>
          </w:pPr>
          <w:hyperlink w:anchor="_bookmark150" w:history="1">
            <w:r w:rsidR="00F22F94">
              <w:rPr>
                <w:w w:val="95"/>
              </w:rPr>
              <w:t>Recommended</w:t>
            </w:r>
            <w:r w:rsidR="00F22F94">
              <w:rPr>
                <w:spacing w:val="18"/>
              </w:rPr>
              <w:t xml:space="preserve"> </w:t>
            </w:r>
            <w:r w:rsidR="00F22F94">
              <w:rPr>
                <w:w w:val="95"/>
              </w:rPr>
              <w:t>actions</w:t>
            </w:r>
            <w:r w:rsidR="00F22F94">
              <w:rPr>
                <w:spacing w:val="19"/>
              </w:rPr>
              <w:t xml:space="preserve"> </w:t>
            </w:r>
            <w:r w:rsidR="00F22F94">
              <w:rPr>
                <w:w w:val="95"/>
              </w:rPr>
              <w:t>for</w:t>
            </w:r>
            <w:r w:rsidR="00F22F94">
              <w:rPr>
                <w:spacing w:val="18"/>
              </w:rPr>
              <w:t xml:space="preserve"> </w:t>
            </w:r>
            <w:r w:rsidR="00F22F94">
              <w:rPr>
                <w:spacing w:val="-2"/>
                <w:w w:val="95"/>
              </w:rPr>
              <w:t>buses</w:t>
            </w:r>
          </w:hyperlink>
        </w:p>
        <w:p w:rsidR="002C1123" w:rsidRDefault="002060EF">
          <w:pPr>
            <w:pStyle w:val="TOC2"/>
            <w:tabs>
              <w:tab w:val="right" w:pos="4986"/>
            </w:tabs>
            <w:spacing w:line="225" w:lineRule="exact"/>
          </w:pPr>
          <w:hyperlink w:anchor="_bookmark150" w:history="1">
            <w:r w:rsidR="00F22F94">
              <w:rPr>
                <w:w w:val="95"/>
              </w:rPr>
              <w:t>and</w:t>
            </w:r>
            <w:r w:rsidR="00F22F94">
              <w:rPr>
                <w:spacing w:val="3"/>
              </w:rPr>
              <w:t xml:space="preserve"> </w:t>
            </w:r>
            <w:r w:rsidR="00F22F94">
              <w:rPr>
                <w:w w:val="95"/>
              </w:rPr>
              <w:t>light</w:t>
            </w:r>
            <w:r w:rsidR="00F22F94">
              <w:rPr>
                <w:spacing w:val="3"/>
              </w:rPr>
              <w:t xml:space="preserve"> </w:t>
            </w:r>
            <w:r w:rsidR="00F22F94">
              <w:rPr>
                <w:spacing w:val="-4"/>
                <w:w w:val="95"/>
              </w:rPr>
              <w:t>rail</w:t>
            </w:r>
            <w:r w:rsidR="00F22F94">
              <w:tab/>
            </w:r>
            <w:r w:rsidR="00F22F94">
              <w:rPr>
                <w:spacing w:val="-5"/>
                <w:w w:val="95"/>
              </w:rPr>
              <w:t>106</w:t>
            </w:r>
          </w:hyperlink>
        </w:p>
        <w:p w:rsidR="002C1123" w:rsidRDefault="002060EF">
          <w:pPr>
            <w:pStyle w:val="TOC1"/>
            <w:numPr>
              <w:ilvl w:val="1"/>
              <w:numId w:val="201"/>
            </w:numPr>
            <w:tabs>
              <w:tab w:val="left" w:pos="848"/>
              <w:tab w:val="left" w:pos="849"/>
              <w:tab w:val="right" w:pos="4986"/>
            </w:tabs>
            <w:spacing w:before="152" w:line="225" w:lineRule="exact"/>
            <w:ind w:hanging="512"/>
            <w:rPr>
              <w:color w:val="00AEEF"/>
            </w:rPr>
          </w:pPr>
          <w:hyperlink w:anchor="_bookmark152" w:history="1">
            <w:r w:rsidR="00F22F94">
              <w:rPr>
                <w:color w:val="00AEEF"/>
                <w:w w:val="95"/>
              </w:rPr>
              <w:t>Passenger</w:t>
            </w:r>
            <w:r w:rsidR="00F22F94">
              <w:rPr>
                <w:color w:val="00AEEF"/>
              </w:rPr>
              <w:t xml:space="preserve"> </w:t>
            </w:r>
            <w:r w:rsidR="00F22F94">
              <w:rPr>
                <w:color w:val="00AEEF"/>
                <w:spacing w:val="-2"/>
              </w:rPr>
              <w:t>trains</w:t>
            </w:r>
            <w:r w:rsidR="00F22F94">
              <w:rPr>
                <w:color w:val="00AEEF"/>
              </w:rPr>
              <w:tab/>
            </w:r>
            <w:r w:rsidR="00F22F94">
              <w:rPr>
                <w:color w:val="00AEEF"/>
                <w:spacing w:val="-5"/>
              </w:rPr>
              <w:t>107</w:t>
            </w:r>
          </w:hyperlink>
        </w:p>
        <w:p w:rsidR="002C1123" w:rsidRDefault="002060EF">
          <w:pPr>
            <w:pStyle w:val="TOC2"/>
            <w:tabs>
              <w:tab w:val="right" w:pos="4986"/>
            </w:tabs>
          </w:pPr>
          <w:hyperlink w:anchor="_bookmark152" w:history="1">
            <w:r w:rsidR="00F22F94">
              <w:rPr>
                <w:spacing w:val="-2"/>
              </w:rPr>
              <w:t>Summary</w:t>
            </w:r>
            <w:r w:rsidR="00F22F94">
              <w:tab/>
            </w:r>
            <w:r w:rsidR="00F22F94">
              <w:rPr>
                <w:spacing w:val="-5"/>
              </w:rPr>
              <w:t>107</w:t>
            </w:r>
          </w:hyperlink>
        </w:p>
        <w:p w:rsidR="002C1123" w:rsidRDefault="002060EF">
          <w:pPr>
            <w:pStyle w:val="TOC1"/>
            <w:numPr>
              <w:ilvl w:val="1"/>
              <w:numId w:val="201"/>
            </w:numPr>
            <w:tabs>
              <w:tab w:val="left" w:pos="848"/>
              <w:tab w:val="left" w:pos="849"/>
              <w:tab w:val="right" w:pos="4986"/>
            </w:tabs>
            <w:ind w:hanging="512"/>
          </w:pPr>
          <w:hyperlink w:anchor="_bookmark152" w:history="1">
            <w:r w:rsidR="00F22F94">
              <w:rPr>
                <w:spacing w:val="-2"/>
              </w:rPr>
              <w:t>Snapshot</w:t>
            </w:r>
            <w:r w:rsidR="00F22F94">
              <w:tab/>
            </w:r>
            <w:r w:rsidR="00F22F94">
              <w:rPr>
                <w:spacing w:val="-5"/>
              </w:rPr>
              <w:t>107</w:t>
            </w:r>
          </w:hyperlink>
        </w:p>
        <w:p w:rsidR="002C1123" w:rsidRDefault="002060EF">
          <w:pPr>
            <w:pStyle w:val="TOC1"/>
            <w:numPr>
              <w:ilvl w:val="1"/>
              <w:numId w:val="201"/>
            </w:numPr>
            <w:tabs>
              <w:tab w:val="left" w:pos="848"/>
              <w:tab w:val="left" w:pos="849"/>
              <w:tab w:val="right" w:pos="4986"/>
            </w:tabs>
            <w:ind w:hanging="512"/>
          </w:pPr>
          <w:hyperlink w:anchor="_bookmark155" w:history="1">
            <w:r w:rsidR="00F22F94">
              <w:rPr>
                <w:w w:val="95"/>
              </w:rPr>
              <w:t>Infrastructure</w:t>
            </w:r>
            <w:r w:rsidR="00F22F94">
              <w:t xml:space="preserve"> </w:t>
            </w:r>
            <w:r w:rsidR="00F22F94">
              <w:rPr>
                <w:w w:val="95"/>
              </w:rPr>
              <w:t>NSW’s</w:t>
            </w:r>
            <w:r w:rsidR="00F22F94">
              <w:t xml:space="preserve"> </w:t>
            </w:r>
            <w:r w:rsidR="00F22F94">
              <w:rPr>
                <w:spacing w:val="-2"/>
                <w:w w:val="95"/>
              </w:rPr>
              <w:t>approach</w:t>
            </w:r>
            <w:r w:rsidR="00F22F94">
              <w:tab/>
            </w:r>
            <w:r w:rsidR="00F22F94">
              <w:rPr>
                <w:spacing w:val="-5"/>
              </w:rPr>
              <w:t>109</w:t>
            </w:r>
          </w:hyperlink>
        </w:p>
        <w:p w:rsidR="002C1123" w:rsidRDefault="002060EF">
          <w:pPr>
            <w:pStyle w:val="TOC1"/>
            <w:numPr>
              <w:ilvl w:val="1"/>
              <w:numId w:val="201"/>
            </w:numPr>
            <w:tabs>
              <w:tab w:val="left" w:pos="848"/>
              <w:tab w:val="left" w:pos="849"/>
              <w:tab w:val="right" w:pos="4986"/>
            </w:tabs>
            <w:ind w:hanging="512"/>
          </w:pPr>
          <w:hyperlink w:anchor="_bookmark155" w:history="1">
            <w:r w:rsidR="00F22F94">
              <w:rPr>
                <w:w w:val="95"/>
              </w:rPr>
              <w:t>The</w:t>
            </w:r>
            <w:r w:rsidR="00F22F94">
              <w:rPr>
                <w:spacing w:val="3"/>
              </w:rPr>
              <w:t xml:space="preserve"> </w:t>
            </w:r>
            <w:r w:rsidR="00F22F94">
              <w:rPr>
                <w:w w:val="95"/>
              </w:rPr>
              <w:t>high</w:t>
            </w:r>
            <w:r w:rsidR="00F22F94">
              <w:rPr>
                <w:spacing w:val="4"/>
              </w:rPr>
              <w:t xml:space="preserve"> </w:t>
            </w:r>
            <w:r w:rsidR="00F22F94">
              <w:rPr>
                <w:w w:val="95"/>
              </w:rPr>
              <w:t>capacity</w:t>
            </w:r>
            <w:r w:rsidR="00F22F94">
              <w:rPr>
                <w:spacing w:val="4"/>
              </w:rPr>
              <w:t xml:space="preserve"> </w:t>
            </w:r>
            <w:r w:rsidR="00F22F94">
              <w:rPr>
                <w:spacing w:val="-2"/>
                <w:w w:val="95"/>
              </w:rPr>
              <w:t>railway</w:t>
            </w:r>
            <w:r w:rsidR="00F22F94">
              <w:tab/>
            </w:r>
            <w:r w:rsidR="00F22F94">
              <w:rPr>
                <w:spacing w:val="-5"/>
              </w:rPr>
              <w:t>109</w:t>
            </w:r>
          </w:hyperlink>
        </w:p>
        <w:p w:rsidR="002C1123" w:rsidRDefault="002060EF">
          <w:pPr>
            <w:pStyle w:val="TOC1"/>
            <w:numPr>
              <w:ilvl w:val="1"/>
              <w:numId w:val="201"/>
            </w:numPr>
            <w:tabs>
              <w:tab w:val="left" w:pos="848"/>
              <w:tab w:val="left" w:pos="849"/>
              <w:tab w:val="right" w:pos="4986"/>
            </w:tabs>
            <w:ind w:hanging="512"/>
          </w:pPr>
          <w:hyperlink w:anchor="_bookmark160" w:history="1">
            <w:r w:rsidR="00F22F94">
              <w:rPr>
                <w:w w:val="95"/>
              </w:rPr>
              <w:t>Mainline</w:t>
            </w:r>
            <w:r w:rsidR="00F22F94">
              <w:rPr>
                <w:spacing w:val="-3"/>
              </w:rPr>
              <w:t xml:space="preserve"> </w:t>
            </w:r>
            <w:r w:rsidR="00F22F94">
              <w:rPr>
                <w:w w:val="95"/>
              </w:rPr>
              <w:t>acceleration</w:t>
            </w:r>
            <w:r w:rsidR="00F22F94">
              <w:rPr>
                <w:spacing w:val="-2"/>
              </w:rPr>
              <w:t xml:space="preserve"> </w:t>
            </w:r>
            <w:r w:rsidR="00F22F94">
              <w:rPr>
                <w:spacing w:val="-2"/>
                <w:w w:val="95"/>
              </w:rPr>
              <w:t>program</w:t>
            </w:r>
            <w:r w:rsidR="00F22F94">
              <w:tab/>
            </w:r>
            <w:r w:rsidR="00F22F94">
              <w:rPr>
                <w:spacing w:val="-5"/>
              </w:rPr>
              <w:t>113</w:t>
            </w:r>
          </w:hyperlink>
        </w:p>
        <w:p w:rsidR="002C1123" w:rsidRDefault="002060EF">
          <w:pPr>
            <w:pStyle w:val="TOC1"/>
            <w:numPr>
              <w:ilvl w:val="1"/>
              <w:numId w:val="201"/>
            </w:numPr>
            <w:tabs>
              <w:tab w:val="left" w:pos="848"/>
              <w:tab w:val="left" w:pos="849"/>
              <w:tab w:val="right" w:pos="4986"/>
            </w:tabs>
            <w:ind w:hanging="512"/>
          </w:pPr>
          <w:hyperlink w:anchor="_bookmark160" w:history="1">
            <w:r w:rsidR="00F22F94">
              <w:rPr>
                <w:w w:val="95"/>
              </w:rPr>
              <w:t>Demand</w:t>
            </w:r>
            <w:r w:rsidR="00F22F94">
              <w:rPr>
                <w:spacing w:val="7"/>
              </w:rPr>
              <w:t xml:space="preserve"> </w:t>
            </w:r>
            <w:r w:rsidR="00F22F94">
              <w:rPr>
                <w:w w:val="95"/>
              </w:rPr>
              <w:t>side</w:t>
            </w:r>
            <w:r w:rsidR="00F22F94">
              <w:rPr>
                <w:spacing w:val="8"/>
              </w:rPr>
              <w:t xml:space="preserve"> </w:t>
            </w:r>
            <w:r w:rsidR="00F22F94">
              <w:rPr>
                <w:spacing w:val="-2"/>
                <w:w w:val="95"/>
              </w:rPr>
              <w:t>strategies</w:t>
            </w:r>
            <w:r w:rsidR="00F22F94">
              <w:tab/>
            </w:r>
            <w:r w:rsidR="00F22F94">
              <w:rPr>
                <w:spacing w:val="-5"/>
              </w:rPr>
              <w:t>113</w:t>
            </w:r>
          </w:hyperlink>
        </w:p>
        <w:p w:rsidR="002C1123" w:rsidRDefault="002060EF">
          <w:pPr>
            <w:pStyle w:val="TOC1"/>
            <w:numPr>
              <w:ilvl w:val="1"/>
              <w:numId w:val="201"/>
            </w:numPr>
            <w:tabs>
              <w:tab w:val="left" w:pos="848"/>
              <w:tab w:val="left" w:pos="849"/>
              <w:tab w:val="right" w:pos="4986"/>
            </w:tabs>
            <w:ind w:hanging="512"/>
          </w:pPr>
          <w:hyperlink w:anchor="_bookmark162" w:history="1">
            <w:r w:rsidR="00F22F94">
              <w:t>Network</w:t>
            </w:r>
            <w:r w:rsidR="00F22F94">
              <w:rPr>
                <w:spacing w:val="-8"/>
              </w:rPr>
              <w:t xml:space="preserve"> </w:t>
            </w:r>
            <w:r w:rsidR="00F22F94">
              <w:rPr>
                <w:spacing w:val="-2"/>
              </w:rPr>
              <w:t>expansion</w:t>
            </w:r>
            <w:r w:rsidR="00F22F94">
              <w:tab/>
            </w:r>
            <w:r w:rsidR="00F22F94">
              <w:rPr>
                <w:spacing w:val="-5"/>
              </w:rPr>
              <w:t>114</w:t>
            </w:r>
          </w:hyperlink>
        </w:p>
        <w:p w:rsidR="002C1123" w:rsidRDefault="002060EF">
          <w:pPr>
            <w:pStyle w:val="TOC1"/>
            <w:numPr>
              <w:ilvl w:val="1"/>
              <w:numId w:val="201"/>
            </w:numPr>
            <w:tabs>
              <w:tab w:val="left" w:pos="848"/>
              <w:tab w:val="left" w:pos="849"/>
              <w:tab w:val="right" w:pos="4986"/>
            </w:tabs>
            <w:spacing w:line="225" w:lineRule="exact"/>
            <w:ind w:hanging="512"/>
          </w:pPr>
          <w:hyperlink w:anchor="_bookmark165" w:history="1">
            <w:r w:rsidR="00F22F94">
              <w:rPr>
                <w:spacing w:val="-2"/>
              </w:rPr>
              <w:t>Summary</w:t>
            </w:r>
            <w:r w:rsidR="00F22F94">
              <w:tab/>
            </w:r>
            <w:r w:rsidR="00F22F94">
              <w:rPr>
                <w:spacing w:val="-5"/>
              </w:rPr>
              <w:t>116</w:t>
            </w:r>
          </w:hyperlink>
        </w:p>
        <w:p w:rsidR="002C1123" w:rsidRDefault="002060EF">
          <w:pPr>
            <w:pStyle w:val="TOC1"/>
            <w:numPr>
              <w:ilvl w:val="1"/>
              <w:numId w:val="200"/>
            </w:numPr>
            <w:tabs>
              <w:tab w:val="left" w:pos="848"/>
              <w:tab w:val="left" w:pos="849"/>
              <w:tab w:val="right" w:pos="4986"/>
            </w:tabs>
            <w:spacing w:before="152" w:line="225" w:lineRule="exact"/>
            <w:ind w:hanging="512"/>
            <w:rPr>
              <w:color w:val="00AEEF"/>
            </w:rPr>
          </w:pPr>
          <w:hyperlink w:anchor="_bookmark168" w:history="1">
            <w:r w:rsidR="00F22F94">
              <w:rPr>
                <w:color w:val="00AEEF"/>
                <w:w w:val="95"/>
              </w:rPr>
              <w:t>International</w:t>
            </w:r>
            <w:r w:rsidR="00F22F94">
              <w:rPr>
                <w:color w:val="00AEEF"/>
                <w:spacing w:val="-3"/>
              </w:rPr>
              <w:t xml:space="preserve"> </w:t>
            </w:r>
            <w:r w:rsidR="00F22F94">
              <w:rPr>
                <w:color w:val="00AEEF"/>
                <w:spacing w:val="-2"/>
              </w:rPr>
              <w:t>gateways</w:t>
            </w:r>
            <w:r w:rsidR="00F22F94">
              <w:rPr>
                <w:color w:val="00AEEF"/>
              </w:rPr>
              <w:tab/>
            </w:r>
            <w:r w:rsidR="00F22F94">
              <w:rPr>
                <w:color w:val="00AEEF"/>
                <w:spacing w:val="-5"/>
              </w:rPr>
              <w:t>118</w:t>
            </w:r>
          </w:hyperlink>
        </w:p>
        <w:p w:rsidR="002C1123" w:rsidRDefault="002060EF">
          <w:pPr>
            <w:pStyle w:val="TOC2"/>
            <w:tabs>
              <w:tab w:val="right" w:pos="4986"/>
            </w:tabs>
          </w:pPr>
          <w:hyperlink w:anchor="_bookmark168" w:history="1">
            <w:r w:rsidR="00F22F94">
              <w:rPr>
                <w:spacing w:val="-2"/>
              </w:rPr>
              <w:t>Summary</w:t>
            </w:r>
            <w:r w:rsidR="00F22F94">
              <w:tab/>
            </w:r>
            <w:r w:rsidR="00F22F94">
              <w:rPr>
                <w:spacing w:val="-5"/>
              </w:rPr>
              <w:t>118</w:t>
            </w:r>
          </w:hyperlink>
        </w:p>
        <w:p w:rsidR="002C1123" w:rsidRDefault="002060EF">
          <w:pPr>
            <w:pStyle w:val="TOC1"/>
            <w:numPr>
              <w:ilvl w:val="1"/>
              <w:numId w:val="200"/>
            </w:numPr>
            <w:tabs>
              <w:tab w:val="left" w:pos="848"/>
              <w:tab w:val="left" w:pos="849"/>
              <w:tab w:val="right" w:pos="4986"/>
            </w:tabs>
            <w:ind w:hanging="512"/>
          </w:pPr>
          <w:hyperlink w:anchor="_bookmark168" w:history="1">
            <w:r w:rsidR="00F22F94">
              <w:rPr>
                <w:spacing w:val="-2"/>
              </w:rPr>
              <w:t>Snapshot</w:t>
            </w:r>
            <w:r w:rsidR="00F22F94">
              <w:tab/>
            </w:r>
            <w:r w:rsidR="00F22F94">
              <w:rPr>
                <w:spacing w:val="-5"/>
              </w:rPr>
              <w:t>118</w:t>
            </w:r>
          </w:hyperlink>
        </w:p>
        <w:p w:rsidR="002C1123" w:rsidRDefault="002060EF">
          <w:pPr>
            <w:pStyle w:val="TOC1"/>
            <w:numPr>
              <w:ilvl w:val="1"/>
              <w:numId w:val="200"/>
            </w:numPr>
            <w:tabs>
              <w:tab w:val="left" w:pos="848"/>
              <w:tab w:val="left" w:pos="849"/>
              <w:tab w:val="right" w:pos="4986"/>
            </w:tabs>
            <w:ind w:hanging="512"/>
          </w:pPr>
          <w:hyperlink w:anchor="_bookmark170" w:history="1">
            <w:r w:rsidR="00F22F94">
              <w:rPr>
                <w:w w:val="95"/>
              </w:rPr>
              <w:t>Container</w:t>
            </w:r>
            <w:r w:rsidR="00F22F94">
              <w:rPr>
                <w:spacing w:val="8"/>
              </w:rPr>
              <w:t xml:space="preserve"> </w:t>
            </w:r>
            <w:r w:rsidR="00F22F94">
              <w:rPr>
                <w:spacing w:val="-2"/>
              </w:rPr>
              <w:t>freight</w:t>
            </w:r>
            <w:r w:rsidR="00F22F94">
              <w:tab/>
            </w:r>
            <w:r w:rsidR="00F22F94">
              <w:rPr>
                <w:spacing w:val="-5"/>
              </w:rPr>
              <w:t>119</w:t>
            </w:r>
          </w:hyperlink>
        </w:p>
        <w:p w:rsidR="002C1123" w:rsidRDefault="002060EF">
          <w:pPr>
            <w:pStyle w:val="TOC1"/>
            <w:numPr>
              <w:ilvl w:val="1"/>
              <w:numId w:val="200"/>
            </w:numPr>
            <w:tabs>
              <w:tab w:val="left" w:pos="848"/>
              <w:tab w:val="left" w:pos="849"/>
              <w:tab w:val="right" w:pos="4986"/>
            </w:tabs>
            <w:ind w:hanging="512"/>
          </w:pPr>
          <w:hyperlink w:anchor="_bookmark173" w:history="1">
            <w:r w:rsidR="00F22F94">
              <w:rPr>
                <w:w w:val="95"/>
              </w:rPr>
              <w:t>Air</w:t>
            </w:r>
            <w:r w:rsidR="00F22F94">
              <w:rPr>
                <w:spacing w:val="-5"/>
                <w:w w:val="95"/>
              </w:rPr>
              <w:t xml:space="preserve"> </w:t>
            </w:r>
            <w:r w:rsidR="00F22F94">
              <w:rPr>
                <w:spacing w:val="-2"/>
              </w:rPr>
              <w:t>travel</w:t>
            </w:r>
            <w:r w:rsidR="00F22F94">
              <w:tab/>
            </w:r>
            <w:r w:rsidR="00F22F94">
              <w:rPr>
                <w:spacing w:val="-5"/>
              </w:rPr>
              <w:t>121</w:t>
            </w:r>
          </w:hyperlink>
        </w:p>
        <w:p w:rsidR="002C1123" w:rsidRDefault="002060EF">
          <w:pPr>
            <w:pStyle w:val="TOC1"/>
            <w:numPr>
              <w:ilvl w:val="1"/>
              <w:numId w:val="200"/>
            </w:numPr>
            <w:tabs>
              <w:tab w:val="left" w:pos="848"/>
              <w:tab w:val="left" w:pos="849"/>
            </w:tabs>
            <w:ind w:hanging="512"/>
          </w:pPr>
          <w:hyperlink w:anchor="_bookmark175" w:history="1">
            <w:r w:rsidR="00F22F94">
              <w:rPr>
                <w:w w:val="95"/>
              </w:rPr>
              <w:t>Road</w:t>
            </w:r>
            <w:r w:rsidR="00F22F94">
              <w:rPr>
                <w:spacing w:val="4"/>
              </w:rPr>
              <w:t xml:space="preserve"> </w:t>
            </w:r>
            <w:r w:rsidR="00F22F94">
              <w:rPr>
                <w:w w:val="95"/>
              </w:rPr>
              <w:t>infrastructure</w:t>
            </w:r>
            <w:r w:rsidR="00F22F94">
              <w:rPr>
                <w:spacing w:val="5"/>
              </w:rPr>
              <w:t xml:space="preserve"> </w:t>
            </w:r>
            <w:r w:rsidR="00F22F94">
              <w:rPr>
                <w:spacing w:val="-2"/>
                <w:w w:val="95"/>
              </w:rPr>
              <w:t>around</w:t>
            </w:r>
          </w:hyperlink>
        </w:p>
        <w:p w:rsidR="002C1123" w:rsidRDefault="002060EF">
          <w:pPr>
            <w:pStyle w:val="TOC2"/>
            <w:tabs>
              <w:tab w:val="right" w:pos="4986"/>
            </w:tabs>
          </w:pPr>
          <w:hyperlink w:anchor="_bookmark175" w:history="1">
            <w:r w:rsidR="00F22F94">
              <w:rPr>
                <w:w w:val="95"/>
              </w:rPr>
              <w:t>the</w:t>
            </w:r>
            <w:r w:rsidR="00F22F94">
              <w:rPr>
                <w:spacing w:val="4"/>
              </w:rPr>
              <w:t xml:space="preserve"> </w:t>
            </w:r>
            <w:r w:rsidR="00F22F94">
              <w:rPr>
                <w:w w:val="95"/>
              </w:rPr>
              <w:t>international</w:t>
            </w:r>
            <w:r w:rsidR="00F22F94">
              <w:rPr>
                <w:spacing w:val="4"/>
              </w:rPr>
              <w:t xml:space="preserve"> </w:t>
            </w:r>
            <w:r w:rsidR="00F22F94">
              <w:rPr>
                <w:spacing w:val="-2"/>
                <w:w w:val="95"/>
              </w:rPr>
              <w:t>gateways</w:t>
            </w:r>
            <w:r w:rsidR="00F22F94">
              <w:tab/>
            </w:r>
            <w:r w:rsidR="00F22F94">
              <w:rPr>
                <w:spacing w:val="-5"/>
                <w:w w:val="95"/>
              </w:rPr>
              <w:t>122</w:t>
            </w:r>
          </w:hyperlink>
        </w:p>
        <w:p w:rsidR="002C1123" w:rsidRDefault="002060EF">
          <w:pPr>
            <w:pStyle w:val="TOC1"/>
            <w:numPr>
              <w:ilvl w:val="1"/>
              <w:numId w:val="200"/>
            </w:numPr>
            <w:tabs>
              <w:tab w:val="left" w:pos="848"/>
              <w:tab w:val="left" w:pos="849"/>
            </w:tabs>
            <w:ind w:hanging="512"/>
          </w:pPr>
          <w:hyperlink w:anchor="_bookmark178" w:history="1">
            <w:r w:rsidR="00F22F94">
              <w:rPr>
                <w:w w:val="95"/>
              </w:rPr>
              <w:t>Freight</w:t>
            </w:r>
            <w:r w:rsidR="00F22F94">
              <w:rPr>
                <w:spacing w:val="-1"/>
              </w:rPr>
              <w:t xml:space="preserve"> </w:t>
            </w:r>
            <w:r w:rsidR="00F22F94">
              <w:rPr>
                <w:w w:val="95"/>
              </w:rPr>
              <w:t>rail</w:t>
            </w:r>
            <w:r w:rsidR="00F22F94">
              <w:t xml:space="preserve"> </w:t>
            </w:r>
            <w:r w:rsidR="00F22F94">
              <w:rPr>
                <w:w w:val="95"/>
              </w:rPr>
              <w:t>infrastructure</w:t>
            </w:r>
            <w:r w:rsidR="00F22F94">
              <w:t xml:space="preserve"> </w:t>
            </w:r>
            <w:r w:rsidR="00F22F94">
              <w:rPr>
                <w:w w:val="95"/>
              </w:rPr>
              <w:t>around</w:t>
            </w:r>
            <w:r w:rsidR="00F22F94">
              <w:t xml:space="preserve"> </w:t>
            </w:r>
            <w:r w:rsidR="00F22F94">
              <w:rPr>
                <w:w w:val="95"/>
              </w:rPr>
              <w:t>Port</w:t>
            </w:r>
            <w:r w:rsidR="00F22F94">
              <w:t xml:space="preserve"> </w:t>
            </w:r>
            <w:r w:rsidR="00F22F94">
              <w:rPr>
                <w:spacing w:val="-2"/>
                <w:w w:val="95"/>
              </w:rPr>
              <w:t>Botany124</w:t>
            </w:r>
          </w:hyperlink>
        </w:p>
        <w:p w:rsidR="002C1123" w:rsidRDefault="002060EF">
          <w:pPr>
            <w:pStyle w:val="TOC1"/>
            <w:numPr>
              <w:ilvl w:val="1"/>
              <w:numId w:val="200"/>
            </w:numPr>
            <w:tabs>
              <w:tab w:val="left" w:pos="848"/>
              <w:tab w:val="left" w:pos="849"/>
            </w:tabs>
            <w:ind w:hanging="512"/>
          </w:pPr>
          <w:hyperlink w:anchor="_bookmark181" w:history="1">
            <w:r w:rsidR="00F22F94">
              <w:rPr>
                <w:w w:val="95"/>
              </w:rPr>
              <w:t>Supplementary</w:t>
            </w:r>
            <w:r w:rsidR="00F22F94">
              <w:rPr>
                <w:spacing w:val="13"/>
              </w:rPr>
              <w:t xml:space="preserve"> </w:t>
            </w:r>
            <w:r w:rsidR="00F22F94">
              <w:rPr>
                <w:spacing w:val="-2"/>
              </w:rPr>
              <w:t>container</w:t>
            </w:r>
          </w:hyperlink>
        </w:p>
        <w:p w:rsidR="002C1123" w:rsidRDefault="002060EF">
          <w:pPr>
            <w:pStyle w:val="TOC2"/>
            <w:tabs>
              <w:tab w:val="right" w:pos="4986"/>
            </w:tabs>
          </w:pPr>
          <w:hyperlink w:anchor="_bookmark181" w:history="1">
            <w:r w:rsidR="00F22F94">
              <w:t>port</w:t>
            </w:r>
            <w:r w:rsidR="00F22F94">
              <w:rPr>
                <w:spacing w:val="3"/>
              </w:rPr>
              <w:t xml:space="preserve"> </w:t>
            </w:r>
            <w:r w:rsidR="00F22F94">
              <w:rPr>
                <w:spacing w:val="-2"/>
              </w:rPr>
              <w:t>capacity</w:t>
            </w:r>
            <w:r w:rsidR="00F22F94">
              <w:tab/>
            </w:r>
            <w:r w:rsidR="00F22F94">
              <w:rPr>
                <w:spacing w:val="-5"/>
                <w:w w:val="95"/>
              </w:rPr>
              <w:t>126</w:t>
            </w:r>
          </w:hyperlink>
        </w:p>
        <w:p w:rsidR="002C1123" w:rsidRDefault="002060EF">
          <w:pPr>
            <w:pStyle w:val="TOC1"/>
            <w:numPr>
              <w:ilvl w:val="1"/>
              <w:numId w:val="200"/>
            </w:numPr>
            <w:tabs>
              <w:tab w:val="left" w:pos="848"/>
              <w:tab w:val="left" w:pos="849"/>
              <w:tab w:val="right" w:pos="4986"/>
            </w:tabs>
            <w:ind w:hanging="512"/>
          </w:pPr>
          <w:hyperlink w:anchor="_bookmark183" w:history="1">
            <w:r w:rsidR="00F22F94">
              <w:rPr>
                <w:w w:val="95"/>
              </w:rPr>
              <w:t>A</w:t>
            </w:r>
            <w:r w:rsidR="00F22F94">
              <w:rPr>
                <w:spacing w:val="7"/>
              </w:rPr>
              <w:t xml:space="preserve"> </w:t>
            </w:r>
            <w:r w:rsidR="00F22F94">
              <w:rPr>
                <w:w w:val="95"/>
              </w:rPr>
              <w:t>secondary</w:t>
            </w:r>
            <w:r w:rsidR="00F22F94">
              <w:rPr>
                <w:spacing w:val="8"/>
              </w:rPr>
              <w:t xml:space="preserve"> </w:t>
            </w:r>
            <w:r w:rsidR="00F22F94">
              <w:rPr>
                <w:w w:val="95"/>
              </w:rPr>
              <w:t>airport</w:t>
            </w:r>
            <w:r w:rsidR="00F22F94">
              <w:rPr>
                <w:spacing w:val="8"/>
              </w:rPr>
              <w:t xml:space="preserve"> </w:t>
            </w:r>
            <w:r w:rsidR="00F22F94">
              <w:rPr>
                <w:w w:val="95"/>
              </w:rPr>
              <w:t>for</w:t>
            </w:r>
            <w:r w:rsidR="00F22F94">
              <w:rPr>
                <w:spacing w:val="7"/>
              </w:rPr>
              <w:t xml:space="preserve"> </w:t>
            </w:r>
            <w:r w:rsidR="00F22F94">
              <w:rPr>
                <w:spacing w:val="-2"/>
                <w:w w:val="95"/>
              </w:rPr>
              <w:t>Sydney</w:t>
            </w:r>
            <w:r w:rsidR="00F22F94">
              <w:tab/>
            </w:r>
            <w:r w:rsidR="00F22F94">
              <w:rPr>
                <w:spacing w:val="-5"/>
              </w:rPr>
              <w:t>127</w:t>
            </w:r>
          </w:hyperlink>
        </w:p>
        <w:p w:rsidR="002C1123" w:rsidRDefault="002060EF">
          <w:pPr>
            <w:pStyle w:val="TOC1"/>
            <w:numPr>
              <w:ilvl w:val="1"/>
              <w:numId w:val="200"/>
            </w:numPr>
            <w:tabs>
              <w:tab w:val="left" w:pos="848"/>
              <w:tab w:val="left" w:pos="849"/>
              <w:tab w:val="right" w:pos="4986"/>
            </w:tabs>
            <w:spacing w:line="225" w:lineRule="exact"/>
            <w:ind w:hanging="512"/>
          </w:pPr>
          <w:hyperlink w:anchor="_bookmark185" w:history="1">
            <w:r w:rsidR="00F22F94">
              <w:rPr>
                <w:spacing w:val="-2"/>
              </w:rPr>
              <w:t>Conclusions</w:t>
            </w:r>
            <w:r w:rsidR="00F22F94">
              <w:tab/>
            </w:r>
            <w:r w:rsidR="00F22F94">
              <w:rPr>
                <w:spacing w:val="-5"/>
              </w:rPr>
              <w:t>128</w:t>
            </w:r>
          </w:hyperlink>
        </w:p>
        <w:p w:rsidR="002C1123" w:rsidRDefault="002060EF">
          <w:pPr>
            <w:pStyle w:val="TOC1"/>
            <w:tabs>
              <w:tab w:val="right" w:pos="4986"/>
            </w:tabs>
            <w:spacing w:before="152" w:line="225" w:lineRule="exact"/>
            <w:ind w:left="337" w:firstLine="0"/>
          </w:pPr>
          <w:hyperlink w:anchor="_bookmark188" w:history="1">
            <w:r w:rsidR="00F22F94">
              <w:rPr>
                <w:color w:val="00AEEF"/>
                <w:w w:val="95"/>
              </w:rPr>
              <w:t>10.0</w:t>
            </w:r>
            <w:r w:rsidR="00F22F94">
              <w:rPr>
                <w:color w:val="00AEEF"/>
                <w:spacing w:val="73"/>
              </w:rPr>
              <w:t xml:space="preserve"> </w:t>
            </w:r>
            <w:r w:rsidR="00F22F94">
              <w:rPr>
                <w:color w:val="00AEEF"/>
                <w:w w:val="95"/>
              </w:rPr>
              <w:t>Regional</w:t>
            </w:r>
            <w:r w:rsidR="00F22F94">
              <w:rPr>
                <w:color w:val="00AEEF"/>
                <w:spacing w:val="4"/>
              </w:rPr>
              <w:t xml:space="preserve"> </w:t>
            </w:r>
            <w:r w:rsidR="00F22F94">
              <w:rPr>
                <w:color w:val="00AEEF"/>
                <w:w w:val="95"/>
              </w:rPr>
              <w:t>and</w:t>
            </w:r>
            <w:r w:rsidR="00F22F94">
              <w:rPr>
                <w:color w:val="00AEEF"/>
                <w:spacing w:val="5"/>
              </w:rPr>
              <w:t xml:space="preserve"> </w:t>
            </w:r>
            <w:r w:rsidR="00F22F94">
              <w:rPr>
                <w:color w:val="00AEEF"/>
                <w:w w:val="95"/>
              </w:rPr>
              <w:t>interstate</w:t>
            </w:r>
            <w:r w:rsidR="00F22F94">
              <w:rPr>
                <w:color w:val="00AEEF"/>
                <w:spacing w:val="4"/>
              </w:rPr>
              <w:t xml:space="preserve"> </w:t>
            </w:r>
            <w:r w:rsidR="00F22F94">
              <w:rPr>
                <w:color w:val="00AEEF"/>
                <w:spacing w:val="-2"/>
                <w:w w:val="95"/>
              </w:rPr>
              <w:t>transport</w:t>
            </w:r>
            <w:r w:rsidR="00F22F94">
              <w:rPr>
                <w:color w:val="00AEEF"/>
              </w:rPr>
              <w:tab/>
            </w:r>
            <w:r w:rsidR="00F22F94">
              <w:rPr>
                <w:color w:val="00AEEF"/>
                <w:spacing w:val="-5"/>
              </w:rPr>
              <w:t>130</w:t>
            </w:r>
          </w:hyperlink>
        </w:p>
        <w:p w:rsidR="002C1123" w:rsidRDefault="002060EF">
          <w:pPr>
            <w:pStyle w:val="TOC2"/>
            <w:tabs>
              <w:tab w:val="right" w:pos="4986"/>
            </w:tabs>
            <w:spacing w:line="225" w:lineRule="exact"/>
          </w:pPr>
          <w:hyperlink w:anchor="_bookmark188" w:history="1">
            <w:r w:rsidR="00F22F94">
              <w:rPr>
                <w:spacing w:val="-2"/>
              </w:rPr>
              <w:t>Summary</w:t>
            </w:r>
            <w:r w:rsidR="00F22F94">
              <w:tab/>
            </w:r>
            <w:r w:rsidR="00F22F94">
              <w:rPr>
                <w:spacing w:val="-5"/>
              </w:rPr>
              <w:t>130</w:t>
            </w:r>
          </w:hyperlink>
        </w:p>
      </w:sdtContent>
    </w:sdt>
    <w:p w:rsidR="002C1123" w:rsidRDefault="002C1123">
      <w:pPr>
        <w:spacing w:line="225" w:lineRule="exact"/>
        <w:sectPr w:rsidR="002C1123">
          <w:pgSz w:w="16840" w:h="11910" w:orient="landscape"/>
          <w:pgMar w:top="560" w:right="280" w:bottom="700" w:left="500" w:header="0" w:footer="517" w:gutter="0"/>
          <w:cols w:num="2" w:space="720" w:equalWidth="0">
            <w:col w:w="5141" w:space="40"/>
            <w:col w:w="10879"/>
          </w:cols>
        </w:sect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060EF">
      <w:pPr>
        <w:pStyle w:val="ListParagraph"/>
        <w:numPr>
          <w:ilvl w:val="1"/>
          <w:numId w:val="199"/>
        </w:numPr>
        <w:tabs>
          <w:tab w:val="left" w:pos="1003"/>
          <w:tab w:val="left" w:pos="4807"/>
        </w:tabs>
        <w:spacing w:before="171" w:line="225" w:lineRule="exact"/>
        <w:rPr>
          <w:sz w:val="20"/>
        </w:rPr>
      </w:pPr>
      <w:r>
        <w:pict>
          <v:shapetype id="_x0000_t202" coordsize="21600,21600" o:spt="202" path="m,l,21600r21600,l21600,xe">
            <v:stroke joinstyle="miter"/>
            <v:path gradientshapeok="t" o:connecttype="rect"/>
          </v:shapetype>
          <v:shape id="docshape22" o:spid="_x0000_s5243" type="#_x0000_t202" style="position:absolute;left:0;text-align:left;margin-left:47.1pt;margin-top:-13.75pt;width:488.8pt;height:22.8pt;z-index:25121280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210"/>
                    <w:gridCol w:w="679"/>
                    <w:gridCol w:w="639"/>
                    <w:gridCol w:w="3577"/>
                    <w:gridCol w:w="673"/>
                  </w:tblGrid>
                  <w:tr w:rsidR="00F22F94">
                    <w:trPr>
                      <w:trHeight w:val="228"/>
                    </w:trPr>
                    <w:tc>
                      <w:tcPr>
                        <w:tcW w:w="4210" w:type="dxa"/>
                      </w:tcPr>
                      <w:p w:rsidR="00F22F94" w:rsidRDefault="00F22F94">
                        <w:pPr>
                          <w:pStyle w:val="TableParagraph"/>
                          <w:spacing w:before="6" w:line="202" w:lineRule="exact"/>
                          <w:ind w:left="50"/>
                          <w:rPr>
                            <w:sz w:val="20"/>
                          </w:rPr>
                        </w:pPr>
                        <w:hyperlink w:anchor="_bookmark188" w:history="1">
                          <w:r>
                            <w:rPr>
                              <w:sz w:val="20"/>
                            </w:rPr>
                            <w:t>10.1</w:t>
                          </w:r>
                          <w:r>
                            <w:rPr>
                              <w:spacing w:val="60"/>
                              <w:sz w:val="20"/>
                            </w:rPr>
                            <w:t xml:space="preserve"> </w:t>
                          </w:r>
                          <w:r>
                            <w:rPr>
                              <w:spacing w:val="-2"/>
                              <w:sz w:val="20"/>
                            </w:rPr>
                            <w:t>Snapshot</w:t>
                          </w:r>
                        </w:hyperlink>
                      </w:p>
                    </w:tc>
                    <w:tc>
                      <w:tcPr>
                        <w:tcW w:w="679" w:type="dxa"/>
                      </w:tcPr>
                      <w:p w:rsidR="00F22F94" w:rsidRDefault="002060EF">
                        <w:pPr>
                          <w:pStyle w:val="TableParagraph"/>
                          <w:spacing w:before="6" w:line="202" w:lineRule="exact"/>
                          <w:ind w:left="143" w:right="177"/>
                          <w:jc w:val="center"/>
                          <w:rPr>
                            <w:sz w:val="20"/>
                          </w:rPr>
                        </w:pPr>
                        <w:hyperlink w:anchor="_bookmark188" w:history="1">
                          <w:r w:rsidR="00F22F94">
                            <w:rPr>
                              <w:spacing w:val="-5"/>
                              <w:sz w:val="20"/>
                            </w:rPr>
                            <w:t>130</w:t>
                          </w:r>
                        </w:hyperlink>
                      </w:p>
                    </w:tc>
                    <w:tc>
                      <w:tcPr>
                        <w:tcW w:w="639" w:type="dxa"/>
                      </w:tcPr>
                      <w:p w:rsidR="00F22F94" w:rsidRDefault="002060EF">
                        <w:pPr>
                          <w:pStyle w:val="TableParagraph"/>
                          <w:spacing w:before="6" w:line="202" w:lineRule="exact"/>
                          <w:ind w:left="187"/>
                          <w:rPr>
                            <w:sz w:val="20"/>
                          </w:rPr>
                        </w:pPr>
                        <w:hyperlink w:anchor="_bookmark253" w:history="1">
                          <w:r w:rsidR="00F22F94">
                            <w:rPr>
                              <w:color w:val="00AEEF"/>
                              <w:spacing w:val="-4"/>
                              <w:sz w:val="20"/>
                            </w:rPr>
                            <w:t>14.0</w:t>
                          </w:r>
                        </w:hyperlink>
                      </w:p>
                    </w:tc>
                    <w:tc>
                      <w:tcPr>
                        <w:tcW w:w="3577" w:type="dxa"/>
                      </w:tcPr>
                      <w:p w:rsidR="00F22F94" w:rsidRDefault="002060EF">
                        <w:pPr>
                          <w:pStyle w:val="TableParagraph"/>
                          <w:tabs>
                            <w:tab w:val="left" w:pos="1978"/>
                          </w:tabs>
                          <w:spacing w:before="6" w:line="202" w:lineRule="exact"/>
                          <w:ind w:left="59"/>
                          <w:rPr>
                            <w:sz w:val="20"/>
                          </w:rPr>
                        </w:pPr>
                        <w:hyperlink w:anchor="_bookmark253" w:history="1">
                          <w:r w:rsidR="00F22F94">
                            <w:rPr>
                              <w:color w:val="00AEEF"/>
                              <w:w w:val="95"/>
                              <w:sz w:val="20"/>
                            </w:rPr>
                            <w:t>Social</w:t>
                          </w:r>
                          <w:r w:rsidR="00F22F94">
                            <w:rPr>
                              <w:color w:val="00AEEF"/>
                              <w:sz w:val="20"/>
                            </w:rPr>
                            <w:t xml:space="preserve"> </w:t>
                          </w:r>
                          <w:r w:rsidR="00F22F94">
                            <w:rPr>
                              <w:color w:val="00AEEF"/>
                              <w:spacing w:val="-2"/>
                              <w:sz w:val="20"/>
                            </w:rPr>
                            <w:t>infrastructure</w:t>
                          </w:r>
                          <w:r w:rsidR="00F22F94">
                            <w:rPr>
                              <w:color w:val="00AEEF"/>
                              <w:sz w:val="20"/>
                            </w:rPr>
                            <w:tab/>
                            <w:t>14.1</w:t>
                          </w:r>
                          <w:r w:rsidR="00F22F94">
                            <w:rPr>
                              <w:color w:val="00AEEF"/>
                              <w:spacing w:val="-4"/>
                              <w:sz w:val="20"/>
                            </w:rPr>
                            <w:t xml:space="preserve"> </w:t>
                          </w:r>
                          <w:r w:rsidR="00F22F94">
                            <w:rPr>
                              <w:color w:val="00AEEF"/>
                              <w:spacing w:val="-2"/>
                              <w:sz w:val="20"/>
                            </w:rPr>
                            <w:t>Education</w:t>
                          </w:r>
                        </w:hyperlink>
                      </w:p>
                    </w:tc>
                    <w:tc>
                      <w:tcPr>
                        <w:tcW w:w="673" w:type="dxa"/>
                      </w:tcPr>
                      <w:p w:rsidR="00F22F94" w:rsidRDefault="002060EF">
                        <w:pPr>
                          <w:pStyle w:val="TableParagraph"/>
                          <w:spacing w:before="6" w:line="202" w:lineRule="exact"/>
                          <w:ind w:left="0" w:right="50"/>
                          <w:jc w:val="right"/>
                          <w:rPr>
                            <w:sz w:val="20"/>
                          </w:rPr>
                        </w:pPr>
                        <w:hyperlink w:anchor="_bookmark253" w:history="1">
                          <w:r w:rsidR="00F22F94">
                            <w:rPr>
                              <w:color w:val="00AEEF"/>
                              <w:spacing w:val="-5"/>
                              <w:sz w:val="20"/>
                            </w:rPr>
                            <w:t>173</w:t>
                          </w:r>
                        </w:hyperlink>
                      </w:p>
                    </w:tc>
                  </w:tr>
                  <w:tr w:rsidR="00F22F94">
                    <w:trPr>
                      <w:trHeight w:val="228"/>
                    </w:trPr>
                    <w:tc>
                      <w:tcPr>
                        <w:tcW w:w="4210" w:type="dxa"/>
                      </w:tcPr>
                      <w:p w:rsidR="00F22F94" w:rsidRDefault="002060EF">
                        <w:pPr>
                          <w:pStyle w:val="TableParagraph"/>
                          <w:spacing w:before="0" w:line="208" w:lineRule="exact"/>
                          <w:ind w:left="50"/>
                          <w:rPr>
                            <w:sz w:val="20"/>
                          </w:rPr>
                        </w:pPr>
                        <w:hyperlink w:anchor="_bookmark190" w:history="1">
                          <w:r w:rsidR="00F22F94">
                            <w:rPr>
                              <w:w w:val="95"/>
                              <w:sz w:val="20"/>
                            </w:rPr>
                            <w:t>10.2</w:t>
                          </w:r>
                          <w:r w:rsidR="00F22F94">
                            <w:rPr>
                              <w:spacing w:val="63"/>
                              <w:sz w:val="20"/>
                            </w:rPr>
                            <w:t xml:space="preserve"> </w:t>
                          </w:r>
                          <w:r w:rsidR="00F22F94">
                            <w:rPr>
                              <w:w w:val="95"/>
                              <w:sz w:val="20"/>
                            </w:rPr>
                            <w:t>Transport</w:t>
                          </w:r>
                          <w:r w:rsidR="00F22F94">
                            <w:rPr>
                              <w:sz w:val="20"/>
                            </w:rPr>
                            <w:t xml:space="preserve"> </w:t>
                          </w:r>
                          <w:r w:rsidR="00F22F94">
                            <w:rPr>
                              <w:w w:val="95"/>
                              <w:sz w:val="20"/>
                            </w:rPr>
                            <w:t>infrastructure</w:t>
                          </w:r>
                          <w:r w:rsidR="00F22F94">
                            <w:rPr>
                              <w:spacing w:val="-1"/>
                              <w:sz w:val="20"/>
                            </w:rPr>
                            <w:t xml:space="preserve"> </w:t>
                          </w:r>
                          <w:r w:rsidR="00F22F94">
                            <w:rPr>
                              <w:w w:val="95"/>
                              <w:sz w:val="20"/>
                            </w:rPr>
                            <w:t>in</w:t>
                          </w:r>
                          <w:r w:rsidR="00F22F94">
                            <w:rPr>
                              <w:sz w:val="20"/>
                            </w:rPr>
                            <w:t xml:space="preserve"> </w:t>
                          </w:r>
                          <w:r w:rsidR="00F22F94">
                            <w:rPr>
                              <w:w w:val="95"/>
                              <w:sz w:val="20"/>
                            </w:rPr>
                            <w:t>Regional</w:t>
                          </w:r>
                          <w:r w:rsidR="00F22F94">
                            <w:rPr>
                              <w:sz w:val="20"/>
                            </w:rPr>
                            <w:t xml:space="preserve"> </w:t>
                          </w:r>
                          <w:r w:rsidR="00F22F94">
                            <w:rPr>
                              <w:spacing w:val="-5"/>
                              <w:w w:val="95"/>
                              <w:sz w:val="20"/>
                            </w:rPr>
                            <w:t>NSW</w:t>
                          </w:r>
                        </w:hyperlink>
                      </w:p>
                    </w:tc>
                    <w:tc>
                      <w:tcPr>
                        <w:tcW w:w="679" w:type="dxa"/>
                      </w:tcPr>
                      <w:p w:rsidR="00F22F94" w:rsidRDefault="002060EF">
                        <w:pPr>
                          <w:pStyle w:val="TableParagraph"/>
                          <w:spacing w:before="0" w:line="208" w:lineRule="exact"/>
                          <w:ind w:left="143" w:right="177"/>
                          <w:jc w:val="center"/>
                          <w:rPr>
                            <w:sz w:val="20"/>
                          </w:rPr>
                        </w:pPr>
                        <w:hyperlink w:anchor="_bookmark190" w:history="1">
                          <w:r w:rsidR="00F22F94">
                            <w:rPr>
                              <w:spacing w:val="-5"/>
                              <w:sz w:val="20"/>
                            </w:rPr>
                            <w:t>131</w:t>
                          </w:r>
                        </w:hyperlink>
                      </w:p>
                    </w:tc>
                    <w:tc>
                      <w:tcPr>
                        <w:tcW w:w="639" w:type="dxa"/>
                      </w:tcPr>
                      <w:p w:rsidR="00F22F94" w:rsidRDefault="00F22F94">
                        <w:pPr>
                          <w:pStyle w:val="TableParagraph"/>
                          <w:spacing w:before="0"/>
                          <w:ind w:left="0"/>
                          <w:rPr>
                            <w:rFonts w:ascii="Times New Roman"/>
                            <w:sz w:val="16"/>
                          </w:rPr>
                        </w:pPr>
                      </w:p>
                    </w:tc>
                    <w:tc>
                      <w:tcPr>
                        <w:tcW w:w="3577" w:type="dxa"/>
                      </w:tcPr>
                      <w:p w:rsidR="00F22F94" w:rsidRDefault="002060EF">
                        <w:pPr>
                          <w:pStyle w:val="TableParagraph"/>
                          <w:spacing w:before="0" w:line="208" w:lineRule="exact"/>
                          <w:ind w:left="59"/>
                          <w:rPr>
                            <w:sz w:val="20"/>
                          </w:rPr>
                        </w:pPr>
                        <w:hyperlink w:anchor="_bookmark253" w:history="1">
                          <w:r w:rsidR="00F22F94">
                            <w:rPr>
                              <w:spacing w:val="-2"/>
                              <w:sz w:val="20"/>
                            </w:rPr>
                            <w:t>Summary</w:t>
                          </w:r>
                        </w:hyperlink>
                      </w:p>
                    </w:tc>
                    <w:tc>
                      <w:tcPr>
                        <w:tcW w:w="673" w:type="dxa"/>
                      </w:tcPr>
                      <w:p w:rsidR="00F22F94" w:rsidRDefault="002060EF">
                        <w:pPr>
                          <w:pStyle w:val="TableParagraph"/>
                          <w:spacing w:before="0" w:line="208" w:lineRule="exact"/>
                          <w:ind w:left="0" w:right="50"/>
                          <w:jc w:val="right"/>
                          <w:rPr>
                            <w:sz w:val="20"/>
                          </w:rPr>
                        </w:pPr>
                        <w:hyperlink w:anchor="_bookmark253" w:history="1">
                          <w:r w:rsidR="00F22F94">
                            <w:rPr>
                              <w:spacing w:val="-5"/>
                              <w:sz w:val="20"/>
                            </w:rPr>
                            <w:t>173</w:t>
                          </w:r>
                        </w:hyperlink>
                      </w:p>
                    </w:tc>
                  </w:tr>
                </w:tbl>
                <w:p w:rsidR="00F22F94" w:rsidRDefault="00F22F94">
                  <w:pPr>
                    <w:pStyle w:val="BodyText"/>
                  </w:pPr>
                </w:p>
              </w:txbxContent>
            </v:textbox>
            <w10:wrap anchorx="page"/>
          </v:shape>
        </w:pict>
      </w:r>
      <w:bookmarkStart w:id="8" w:name="Table_of_Contents_page_3"/>
      <w:bookmarkEnd w:id="8"/>
      <w:r w:rsidR="00F22F94">
        <w:rPr>
          <w:w w:val="95"/>
          <w:sz w:val="20"/>
        </w:rPr>
        <w:fldChar w:fldCharType="begin"/>
      </w:r>
      <w:r w:rsidR="00F22F94">
        <w:rPr>
          <w:w w:val="95"/>
          <w:sz w:val="20"/>
        </w:rPr>
        <w:instrText xml:space="preserve"> HYPERLINK \l "_bookmark196" </w:instrText>
      </w:r>
      <w:r w:rsidR="00F22F94">
        <w:rPr>
          <w:w w:val="95"/>
          <w:sz w:val="20"/>
        </w:rPr>
        <w:fldChar w:fldCharType="separate"/>
      </w:r>
      <w:bookmarkStart w:id="9" w:name="_bookmark4"/>
      <w:bookmarkEnd w:id="9"/>
      <w:r w:rsidR="00F22F94">
        <w:rPr>
          <w:w w:val="95"/>
          <w:sz w:val="20"/>
        </w:rPr>
        <w:t>Connecting</w:t>
      </w:r>
      <w:r w:rsidR="00F22F94">
        <w:rPr>
          <w:spacing w:val="20"/>
          <w:sz w:val="20"/>
        </w:rPr>
        <w:t xml:space="preserve"> </w:t>
      </w:r>
      <w:r w:rsidR="00F22F94">
        <w:rPr>
          <w:spacing w:val="-2"/>
          <w:sz w:val="20"/>
        </w:rPr>
        <w:t>people</w:t>
      </w:r>
      <w:r w:rsidR="00F22F94">
        <w:rPr>
          <w:sz w:val="20"/>
        </w:rPr>
        <w:tab/>
      </w:r>
      <w:r w:rsidR="00F22F94">
        <w:rPr>
          <w:spacing w:val="-5"/>
          <w:w w:val="95"/>
          <w:sz w:val="20"/>
        </w:rPr>
        <w:t>136</w:t>
      </w:r>
      <w:r w:rsidR="00F22F94">
        <w:rPr>
          <w:spacing w:val="-5"/>
          <w:w w:val="95"/>
          <w:sz w:val="20"/>
        </w:rPr>
        <w:fldChar w:fldCharType="end"/>
      </w:r>
    </w:p>
    <w:p w:rsidR="002C1123" w:rsidRDefault="002060EF">
      <w:pPr>
        <w:pStyle w:val="ListParagraph"/>
        <w:numPr>
          <w:ilvl w:val="1"/>
          <w:numId w:val="199"/>
        </w:numPr>
        <w:tabs>
          <w:tab w:val="left" w:pos="1003"/>
        </w:tabs>
        <w:spacing w:line="220" w:lineRule="exact"/>
        <w:rPr>
          <w:sz w:val="20"/>
        </w:rPr>
      </w:pPr>
      <w:hyperlink w:anchor="_bookmark198" w:history="1">
        <w:r w:rsidR="00F22F94">
          <w:rPr>
            <w:w w:val="95"/>
            <w:sz w:val="20"/>
          </w:rPr>
          <w:t>Improving</w:t>
        </w:r>
        <w:r w:rsidR="00F22F94">
          <w:rPr>
            <w:spacing w:val="10"/>
            <w:sz w:val="20"/>
          </w:rPr>
          <w:t xml:space="preserve"> </w:t>
        </w:r>
        <w:r w:rsidR="00F22F94">
          <w:rPr>
            <w:w w:val="95"/>
            <w:sz w:val="20"/>
          </w:rPr>
          <w:t>local</w:t>
        </w:r>
        <w:r w:rsidR="00F22F94">
          <w:rPr>
            <w:spacing w:val="11"/>
            <w:sz w:val="20"/>
          </w:rPr>
          <w:t xml:space="preserve"> </w:t>
        </w:r>
        <w:r w:rsidR="00F22F94">
          <w:rPr>
            <w:w w:val="95"/>
            <w:sz w:val="20"/>
          </w:rPr>
          <w:t>transport</w:t>
        </w:r>
        <w:r w:rsidR="00F22F94">
          <w:rPr>
            <w:spacing w:val="11"/>
            <w:sz w:val="20"/>
          </w:rPr>
          <w:t xml:space="preserve"> </w:t>
        </w:r>
        <w:r w:rsidR="00F22F94">
          <w:rPr>
            <w:spacing w:val="-5"/>
            <w:w w:val="95"/>
            <w:sz w:val="20"/>
          </w:rPr>
          <w:t>for</w:t>
        </w:r>
      </w:hyperlink>
    </w:p>
    <w:p w:rsidR="002C1123" w:rsidRDefault="002060EF">
      <w:pPr>
        <w:pStyle w:val="BodyText"/>
        <w:tabs>
          <w:tab w:val="right" w:pos="5140"/>
        </w:tabs>
        <w:spacing w:line="220" w:lineRule="exact"/>
        <w:ind w:left="1002"/>
      </w:pPr>
      <w:hyperlink w:anchor="_bookmark198" w:history="1">
        <w:r w:rsidR="00F22F94">
          <w:rPr>
            <w:w w:val="95"/>
          </w:rPr>
          <w:t>regional</w:t>
        </w:r>
        <w:r w:rsidR="00F22F94">
          <w:rPr>
            <w:spacing w:val="-9"/>
            <w:w w:val="95"/>
          </w:rPr>
          <w:t xml:space="preserve"> </w:t>
        </w:r>
        <w:r w:rsidR="00F22F94">
          <w:rPr>
            <w:spacing w:val="-2"/>
          </w:rPr>
          <w:t>communities</w:t>
        </w:r>
        <w:r w:rsidR="00F22F94">
          <w:tab/>
        </w:r>
        <w:r w:rsidR="00F22F94">
          <w:rPr>
            <w:spacing w:val="-5"/>
          </w:rPr>
          <w:t>137</w:t>
        </w:r>
      </w:hyperlink>
    </w:p>
    <w:p w:rsidR="002C1123" w:rsidRDefault="002060EF">
      <w:pPr>
        <w:pStyle w:val="ListParagraph"/>
        <w:numPr>
          <w:ilvl w:val="1"/>
          <w:numId w:val="199"/>
        </w:numPr>
        <w:tabs>
          <w:tab w:val="left" w:pos="1003"/>
          <w:tab w:val="right" w:pos="5140"/>
        </w:tabs>
        <w:spacing w:line="220" w:lineRule="exact"/>
        <w:rPr>
          <w:sz w:val="20"/>
        </w:rPr>
      </w:pPr>
      <w:hyperlink w:anchor="_bookmark201" w:history="1">
        <w:r w:rsidR="00F22F94">
          <w:rPr>
            <w:sz w:val="20"/>
          </w:rPr>
          <w:t>Access</w:t>
        </w:r>
        <w:r w:rsidR="00F22F94">
          <w:rPr>
            <w:spacing w:val="-13"/>
            <w:sz w:val="20"/>
          </w:rPr>
          <w:t xml:space="preserve"> </w:t>
        </w:r>
        <w:r w:rsidR="00F22F94">
          <w:rPr>
            <w:sz w:val="20"/>
          </w:rPr>
          <w:t>to</w:t>
        </w:r>
        <w:r w:rsidR="00F22F94">
          <w:rPr>
            <w:spacing w:val="-12"/>
            <w:sz w:val="20"/>
          </w:rPr>
          <w:t xml:space="preserve"> </w:t>
        </w:r>
        <w:r w:rsidR="00F22F94">
          <w:rPr>
            <w:sz w:val="20"/>
          </w:rPr>
          <w:t>markets:</w:t>
        </w:r>
        <w:r w:rsidR="00F22F94">
          <w:rPr>
            <w:spacing w:val="-12"/>
            <w:sz w:val="20"/>
          </w:rPr>
          <w:t xml:space="preserve"> </w:t>
        </w:r>
        <w:r w:rsidR="00F22F94">
          <w:rPr>
            <w:sz w:val="20"/>
          </w:rPr>
          <w:t>bulk</w:t>
        </w:r>
        <w:r w:rsidR="00F22F94">
          <w:rPr>
            <w:spacing w:val="-12"/>
            <w:sz w:val="20"/>
          </w:rPr>
          <w:t xml:space="preserve"> </w:t>
        </w:r>
        <w:r w:rsidR="00F22F94">
          <w:rPr>
            <w:sz w:val="20"/>
          </w:rPr>
          <w:t>export</w:t>
        </w:r>
        <w:r w:rsidR="00F22F94">
          <w:rPr>
            <w:spacing w:val="-13"/>
            <w:sz w:val="20"/>
          </w:rPr>
          <w:t xml:space="preserve"> </w:t>
        </w:r>
        <w:r w:rsidR="00F22F94">
          <w:rPr>
            <w:spacing w:val="-2"/>
            <w:sz w:val="20"/>
          </w:rPr>
          <w:t>freight</w:t>
        </w:r>
        <w:r w:rsidR="00F22F94">
          <w:rPr>
            <w:sz w:val="20"/>
          </w:rPr>
          <w:tab/>
        </w:r>
        <w:r w:rsidR="00F22F94">
          <w:rPr>
            <w:spacing w:val="-5"/>
            <w:sz w:val="20"/>
          </w:rPr>
          <w:t>139</w:t>
        </w:r>
      </w:hyperlink>
    </w:p>
    <w:p w:rsidR="002C1123" w:rsidRDefault="002060EF">
      <w:pPr>
        <w:pStyle w:val="ListParagraph"/>
        <w:numPr>
          <w:ilvl w:val="1"/>
          <w:numId w:val="199"/>
        </w:numPr>
        <w:tabs>
          <w:tab w:val="left" w:pos="1003"/>
        </w:tabs>
        <w:spacing w:line="220" w:lineRule="exact"/>
        <w:rPr>
          <w:sz w:val="20"/>
        </w:rPr>
      </w:pPr>
      <w:hyperlink w:anchor="_bookmark205" w:history="1">
        <w:r w:rsidR="00F22F94">
          <w:rPr>
            <w:w w:val="95"/>
            <w:sz w:val="20"/>
          </w:rPr>
          <w:t>Access</w:t>
        </w:r>
        <w:r w:rsidR="00F22F94">
          <w:rPr>
            <w:spacing w:val="12"/>
            <w:sz w:val="20"/>
          </w:rPr>
          <w:t xml:space="preserve"> </w:t>
        </w:r>
        <w:r w:rsidR="00F22F94">
          <w:rPr>
            <w:w w:val="95"/>
            <w:sz w:val="20"/>
          </w:rPr>
          <w:t>to</w:t>
        </w:r>
        <w:r w:rsidR="00F22F94">
          <w:rPr>
            <w:spacing w:val="12"/>
            <w:sz w:val="20"/>
          </w:rPr>
          <w:t xml:space="preserve"> </w:t>
        </w:r>
        <w:r w:rsidR="00F22F94">
          <w:rPr>
            <w:w w:val="95"/>
            <w:sz w:val="20"/>
          </w:rPr>
          <w:t>markets:</w:t>
        </w:r>
        <w:r w:rsidR="00F22F94">
          <w:rPr>
            <w:spacing w:val="12"/>
            <w:sz w:val="20"/>
          </w:rPr>
          <w:t xml:space="preserve"> </w:t>
        </w:r>
        <w:r w:rsidR="00F22F94">
          <w:rPr>
            <w:w w:val="95"/>
            <w:sz w:val="20"/>
          </w:rPr>
          <w:t>intrastate</w:t>
        </w:r>
        <w:r w:rsidR="00F22F94">
          <w:rPr>
            <w:spacing w:val="12"/>
            <w:sz w:val="20"/>
          </w:rPr>
          <w:t xml:space="preserve"> </w:t>
        </w:r>
        <w:r w:rsidR="00F22F94">
          <w:rPr>
            <w:spacing w:val="-5"/>
            <w:w w:val="95"/>
            <w:sz w:val="20"/>
          </w:rPr>
          <w:t>and</w:t>
        </w:r>
      </w:hyperlink>
    </w:p>
    <w:p w:rsidR="002C1123" w:rsidRDefault="002060EF">
      <w:pPr>
        <w:pStyle w:val="BodyText"/>
        <w:tabs>
          <w:tab w:val="right" w:pos="5140"/>
        </w:tabs>
        <w:spacing w:line="220" w:lineRule="exact"/>
        <w:ind w:left="1002"/>
      </w:pPr>
      <w:hyperlink w:anchor="_bookmark205" w:history="1">
        <w:r w:rsidR="00F22F94">
          <w:rPr>
            <w:w w:val="95"/>
          </w:rPr>
          <w:t>interstate</w:t>
        </w:r>
        <w:r w:rsidR="00F22F94">
          <w:rPr>
            <w:spacing w:val="8"/>
          </w:rPr>
          <w:t xml:space="preserve"> </w:t>
        </w:r>
        <w:r w:rsidR="00F22F94">
          <w:rPr>
            <w:spacing w:val="-2"/>
          </w:rPr>
          <w:t>freight</w:t>
        </w:r>
        <w:r w:rsidR="00F22F94">
          <w:tab/>
        </w:r>
        <w:r w:rsidR="00F22F94">
          <w:rPr>
            <w:spacing w:val="-5"/>
          </w:rPr>
          <w:t>142</w:t>
        </w:r>
      </w:hyperlink>
    </w:p>
    <w:p w:rsidR="002C1123" w:rsidRDefault="002060EF">
      <w:pPr>
        <w:pStyle w:val="ListParagraph"/>
        <w:numPr>
          <w:ilvl w:val="1"/>
          <w:numId w:val="199"/>
        </w:numPr>
        <w:tabs>
          <w:tab w:val="left" w:pos="937"/>
          <w:tab w:val="right" w:pos="5140"/>
        </w:tabs>
        <w:spacing w:line="225" w:lineRule="exact"/>
        <w:ind w:left="936" w:hanging="445"/>
        <w:rPr>
          <w:sz w:val="20"/>
        </w:rPr>
      </w:pPr>
      <w:hyperlink w:anchor="_bookmark210" w:history="1">
        <w:r w:rsidR="00F22F94">
          <w:rPr>
            <w:spacing w:val="-2"/>
            <w:sz w:val="20"/>
          </w:rPr>
          <w:t>Conclusions</w:t>
        </w:r>
        <w:r w:rsidR="00F22F94">
          <w:rPr>
            <w:sz w:val="20"/>
          </w:rPr>
          <w:tab/>
        </w:r>
        <w:r w:rsidR="00F22F94">
          <w:rPr>
            <w:spacing w:val="-5"/>
            <w:sz w:val="20"/>
          </w:rPr>
          <w:t>146</w:t>
        </w:r>
      </w:hyperlink>
    </w:p>
    <w:p w:rsidR="002C1123" w:rsidRDefault="002060EF">
      <w:pPr>
        <w:pStyle w:val="ListParagraph"/>
        <w:numPr>
          <w:ilvl w:val="1"/>
          <w:numId w:val="198"/>
        </w:numPr>
        <w:tabs>
          <w:tab w:val="left" w:pos="1003"/>
          <w:tab w:val="right" w:pos="5140"/>
        </w:tabs>
        <w:spacing w:before="152" w:line="225" w:lineRule="exact"/>
        <w:rPr>
          <w:color w:val="00AEEF"/>
          <w:sz w:val="20"/>
        </w:rPr>
      </w:pPr>
      <w:hyperlink w:anchor="_bookmark213" w:history="1">
        <w:r w:rsidR="00F22F94">
          <w:rPr>
            <w:color w:val="00AEEF"/>
            <w:spacing w:val="-2"/>
            <w:sz w:val="20"/>
          </w:rPr>
          <w:t>Energy</w:t>
        </w:r>
        <w:r w:rsidR="00F22F94">
          <w:rPr>
            <w:color w:val="00AEEF"/>
            <w:sz w:val="20"/>
          </w:rPr>
          <w:tab/>
        </w:r>
        <w:r w:rsidR="00F22F94">
          <w:rPr>
            <w:color w:val="00AEEF"/>
            <w:spacing w:val="-5"/>
            <w:sz w:val="20"/>
          </w:rPr>
          <w:t>148</w:t>
        </w:r>
      </w:hyperlink>
    </w:p>
    <w:p w:rsidR="002C1123" w:rsidRDefault="002060EF">
      <w:pPr>
        <w:pStyle w:val="BodyText"/>
        <w:tabs>
          <w:tab w:val="right" w:pos="5140"/>
        </w:tabs>
        <w:spacing w:line="220" w:lineRule="exact"/>
        <w:ind w:left="1002"/>
      </w:pPr>
      <w:hyperlink w:anchor="_bookmark213" w:history="1">
        <w:r w:rsidR="00F22F94">
          <w:rPr>
            <w:spacing w:val="-2"/>
          </w:rPr>
          <w:t>Summary</w:t>
        </w:r>
        <w:r w:rsidR="00F22F94">
          <w:tab/>
        </w:r>
        <w:r w:rsidR="00F22F94">
          <w:rPr>
            <w:spacing w:val="-5"/>
          </w:rPr>
          <w:t>148</w:t>
        </w:r>
      </w:hyperlink>
    </w:p>
    <w:p w:rsidR="002C1123" w:rsidRDefault="002060EF">
      <w:pPr>
        <w:pStyle w:val="ListParagraph"/>
        <w:numPr>
          <w:ilvl w:val="1"/>
          <w:numId w:val="198"/>
        </w:numPr>
        <w:tabs>
          <w:tab w:val="left" w:pos="1003"/>
          <w:tab w:val="right" w:pos="5140"/>
        </w:tabs>
        <w:spacing w:line="220" w:lineRule="exact"/>
        <w:rPr>
          <w:sz w:val="20"/>
        </w:rPr>
      </w:pPr>
      <w:hyperlink w:anchor="_bookmark213" w:history="1">
        <w:r w:rsidR="00F22F94">
          <w:rPr>
            <w:w w:val="95"/>
            <w:sz w:val="20"/>
          </w:rPr>
          <w:t>Energy</w:t>
        </w:r>
        <w:r w:rsidR="00F22F94">
          <w:rPr>
            <w:spacing w:val="-4"/>
            <w:w w:val="95"/>
            <w:sz w:val="20"/>
          </w:rPr>
          <w:t xml:space="preserve"> </w:t>
        </w:r>
        <w:r w:rsidR="00F22F94">
          <w:rPr>
            <w:spacing w:val="-2"/>
            <w:sz w:val="20"/>
          </w:rPr>
          <w:t>snapshot</w:t>
        </w:r>
        <w:r w:rsidR="00F22F94">
          <w:rPr>
            <w:sz w:val="20"/>
          </w:rPr>
          <w:tab/>
        </w:r>
        <w:r w:rsidR="00F22F94">
          <w:rPr>
            <w:spacing w:val="-5"/>
            <w:sz w:val="20"/>
          </w:rPr>
          <w:t>148</w:t>
        </w:r>
      </w:hyperlink>
    </w:p>
    <w:p w:rsidR="002C1123" w:rsidRDefault="002060EF">
      <w:pPr>
        <w:pStyle w:val="ListParagraph"/>
        <w:numPr>
          <w:ilvl w:val="1"/>
          <w:numId w:val="198"/>
        </w:numPr>
        <w:tabs>
          <w:tab w:val="left" w:pos="1003"/>
          <w:tab w:val="right" w:pos="5140"/>
        </w:tabs>
        <w:spacing w:line="220" w:lineRule="exact"/>
        <w:rPr>
          <w:sz w:val="20"/>
        </w:rPr>
      </w:pPr>
      <w:hyperlink w:anchor="_bookmark215" w:history="1">
        <w:r w:rsidR="00F22F94">
          <w:rPr>
            <w:w w:val="95"/>
            <w:sz w:val="20"/>
          </w:rPr>
          <w:t>Prices</w:t>
        </w:r>
        <w:r w:rsidR="00F22F94">
          <w:rPr>
            <w:spacing w:val="3"/>
            <w:sz w:val="20"/>
          </w:rPr>
          <w:t xml:space="preserve"> </w:t>
        </w:r>
        <w:r w:rsidR="00F22F94">
          <w:rPr>
            <w:w w:val="95"/>
            <w:sz w:val="20"/>
          </w:rPr>
          <w:t>and</w:t>
        </w:r>
        <w:r w:rsidR="00F22F94">
          <w:rPr>
            <w:spacing w:val="3"/>
            <w:sz w:val="20"/>
          </w:rPr>
          <w:t xml:space="preserve"> </w:t>
        </w:r>
        <w:r w:rsidR="00F22F94">
          <w:rPr>
            <w:spacing w:val="-2"/>
            <w:w w:val="95"/>
            <w:sz w:val="20"/>
          </w:rPr>
          <w:t>demand</w:t>
        </w:r>
        <w:r w:rsidR="00F22F94">
          <w:rPr>
            <w:sz w:val="20"/>
          </w:rPr>
          <w:tab/>
        </w:r>
        <w:r w:rsidR="00F22F94">
          <w:rPr>
            <w:spacing w:val="-5"/>
            <w:sz w:val="20"/>
          </w:rPr>
          <w:t>149</w:t>
        </w:r>
      </w:hyperlink>
    </w:p>
    <w:p w:rsidR="002C1123" w:rsidRDefault="002060EF">
      <w:pPr>
        <w:pStyle w:val="ListParagraph"/>
        <w:numPr>
          <w:ilvl w:val="1"/>
          <w:numId w:val="198"/>
        </w:numPr>
        <w:tabs>
          <w:tab w:val="left" w:pos="1003"/>
          <w:tab w:val="right" w:pos="5140"/>
        </w:tabs>
        <w:spacing w:line="220" w:lineRule="exact"/>
        <w:rPr>
          <w:sz w:val="20"/>
        </w:rPr>
      </w:pPr>
      <w:hyperlink w:anchor="_bookmark218" w:history="1">
        <w:r w:rsidR="00F22F94">
          <w:rPr>
            <w:w w:val="95"/>
            <w:sz w:val="20"/>
          </w:rPr>
          <w:t>Electricity</w:t>
        </w:r>
        <w:r w:rsidR="00F22F94">
          <w:rPr>
            <w:spacing w:val="9"/>
            <w:sz w:val="20"/>
          </w:rPr>
          <w:t xml:space="preserve"> </w:t>
        </w:r>
        <w:r w:rsidR="00F22F94">
          <w:rPr>
            <w:w w:val="95"/>
            <w:sz w:val="20"/>
          </w:rPr>
          <w:t>distribution</w:t>
        </w:r>
        <w:r w:rsidR="00F22F94">
          <w:rPr>
            <w:spacing w:val="10"/>
            <w:sz w:val="20"/>
          </w:rPr>
          <w:t xml:space="preserve"> </w:t>
        </w:r>
        <w:r w:rsidR="00F22F94">
          <w:rPr>
            <w:spacing w:val="-2"/>
            <w:w w:val="95"/>
            <w:sz w:val="20"/>
          </w:rPr>
          <w:t>investment</w:t>
        </w:r>
        <w:r w:rsidR="00F22F94">
          <w:rPr>
            <w:sz w:val="20"/>
          </w:rPr>
          <w:tab/>
        </w:r>
        <w:r w:rsidR="00F22F94">
          <w:rPr>
            <w:spacing w:val="-5"/>
            <w:sz w:val="20"/>
          </w:rPr>
          <w:t>151</w:t>
        </w:r>
      </w:hyperlink>
    </w:p>
    <w:p w:rsidR="002C1123" w:rsidRDefault="002060EF">
      <w:pPr>
        <w:pStyle w:val="ListParagraph"/>
        <w:numPr>
          <w:ilvl w:val="1"/>
          <w:numId w:val="198"/>
        </w:numPr>
        <w:tabs>
          <w:tab w:val="left" w:pos="1003"/>
          <w:tab w:val="right" w:pos="5140"/>
        </w:tabs>
        <w:spacing w:line="220" w:lineRule="exact"/>
        <w:rPr>
          <w:sz w:val="20"/>
        </w:rPr>
      </w:pPr>
      <w:hyperlink w:anchor="_bookmark221" w:history="1">
        <w:r w:rsidR="00F22F94">
          <w:rPr>
            <w:w w:val="95"/>
            <w:sz w:val="20"/>
          </w:rPr>
          <w:t>Electricity</w:t>
        </w:r>
        <w:r w:rsidR="00F22F94">
          <w:rPr>
            <w:spacing w:val="5"/>
            <w:sz w:val="20"/>
          </w:rPr>
          <w:t xml:space="preserve"> </w:t>
        </w:r>
        <w:r w:rsidR="00F22F94">
          <w:rPr>
            <w:w w:val="95"/>
            <w:sz w:val="20"/>
          </w:rPr>
          <w:t>transmission</w:t>
        </w:r>
        <w:r w:rsidR="00F22F94">
          <w:rPr>
            <w:spacing w:val="6"/>
            <w:sz w:val="20"/>
          </w:rPr>
          <w:t xml:space="preserve"> </w:t>
        </w:r>
        <w:r w:rsidR="00F22F94">
          <w:rPr>
            <w:spacing w:val="-2"/>
            <w:w w:val="95"/>
            <w:sz w:val="20"/>
          </w:rPr>
          <w:t>investment</w:t>
        </w:r>
        <w:r w:rsidR="00F22F94">
          <w:rPr>
            <w:sz w:val="20"/>
          </w:rPr>
          <w:tab/>
        </w:r>
        <w:r w:rsidR="00F22F94">
          <w:rPr>
            <w:spacing w:val="-5"/>
            <w:sz w:val="20"/>
          </w:rPr>
          <w:t>153</w:t>
        </w:r>
      </w:hyperlink>
    </w:p>
    <w:p w:rsidR="002C1123" w:rsidRDefault="002060EF">
      <w:pPr>
        <w:pStyle w:val="ListParagraph"/>
        <w:numPr>
          <w:ilvl w:val="1"/>
          <w:numId w:val="198"/>
        </w:numPr>
        <w:tabs>
          <w:tab w:val="left" w:pos="1003"/>
          <w:tab w:val="right" w:pos="5140"/>
        </w:tabs>
        <w:spacing w:line="220" w:lineRule="exact"/>
        <w:rPr>
          <w:sz w:val="20"/>
        </w:rPr>
      </w:pPr>
      <w:hyperlink w:anchor="_bookmark221" w:history="1">
        <w:r w:rsidR="00F22F94">
          <w:rPr>
            <w:w w:val="95"/>
            <w:sz w:val="20"/>
          </w:rPr>
          <w:t>Generation</w:t>
        </w:r>
        <w:r w:rsidR="00F22F94">
          <w:rPr>
            <w:spacing w:val="3"/>
            <w:sz w:val="20"/>
          </w:rPr>
          <w:t xml:space="preserve"> </w:t>
        </w:r>
        <w:r w:rsidR="00F22F94">
          <w:rPr>
            <w:w w:val="95"/>
            <w:sz w:val="20"/>
          </w:rPr>
          <w:t>and</w:t>
        </w:r>
        <w:r w:rsidR="00F22F94">
          <w:rPr>
            <w:spacing w:val="3"/>
            <w:sz w:val="20"/>
          </w:rPr>
          <w:t xml:space="preserve"> </w:t>
        </w:r>
        <w:r w:rsidR="00F22F94">
          <w:rPr>
            <w:spacing w:val="-5"/>
            <w:w w:val="95"/>
            <w:sz w:val="20"/>
          </w:rPr>
          <w:t>gas</w:t>
        </w:r>
        <w:r w:rsidR="00F22F94">
          <w:rPr>
            <w:sz w:val="20"/>
          </w:rPr>
          <w:tab/>
        </w:r>
        <w:r w:rsidR="00F22F94">
          <w:rPr>
            <w:spacing w:val="-5"/>
            <w:sz w:val="20"/>
          </w:rPr>
          <w:t>153</w:t>
        </w:r>
      </w:hyperlink>
    </w:p>
    <w:p w:rsidR="002C1123" w:rsidRDefault="002060EF">
      <w:pPr>
        <w:pStyle w:val="ListParagraph"/>
        <w:numPr>
          <w:ilvl w:val="1"/>
          <w:numId w:val="198"/>
        </w:numPr>
        <w:tabs>
          <w:tab w:val="left" w:pos="1003"/>
          <w:tab w:val="right" w:pos="5140"/>
        </w:tabs>
        <w:spacing w:line="225" w:lineRule="exact"/>
        <w:rPr>
          <w:sz w:val="20"/>
        </w:rPr>
      </w:pPr>
      <w:hyperlink w:anchor="_bookmark224" w:history="1">
        <w:r w:rsidR="00F22F94">
          <w:rPr>
            <w:w w:val="95"/>
            <w:sz w:val="20"/>
          </w:rPr>
          <w:t>Recommended</w:t>
        </w:r>
        <w:r w:rsidR="00F22F94">
          <w:rPr>
            <w:spacing w:val="40"/>
            <w:sz w:val="20"/>
          </w:rPr>
          <w:t xml:space="preserve"> </w:t>
        </w:r>
        <w:r w:rsidR="00F22F94">
          <w:rPr>
            <w:spacing w:val="-2"/>
            <w:sz w:val="20"/>
          </w:rPr>
          <w:t>actions</w:t>
        </w:r>
        <w:r w:rsidR="00F22F94">
          <w:rPr>
            <w:sz w:val="20"/>
          </w:rPr>
          <w:tab/>
        </w:r>
        <w:r w:rsidR="00F22F94">
          <w:rPr>
            <w:spacing w:val="-5"/>
            <w:sz w:val="20"/>
          </w:rPr>
          <w:t>155</w:t>
        </w:r>
      </w:hyperlink>
    </w:p>
    <w:p w:rsidR="002C1123" w:rsidRDefault="002060EF">
      <w:pPr>
        <w:pStyle w:val="ListParagraph"/>
        <w:numPr>
          <w:ilvl w:val="1"/>
          <w:numId w:val="197"/>
        </w:numPr>
        <w:tabs>
          <w:tab w:val="left" w:pos="1003"/>
          <w:tab w:val="right" w:pos="5140"/>
        </w:tabs>
        <w:spacing w:before="152" w:line="225" w:lineRule="exact"/>
        <w:rPr>
          <w:color w:val="00AEEF"/>
          <w:sz w:val="20"/>
        </w:rPr>
      </w:pPr>
      <w:hyperlink w:anchor="_bookmark226" w:history="1">
        <w:r w:rsidR="00F22F94">
          <w:rPr>
            <w:color w:val="00AEEF"/>
            <w:w w:val="95"/>
            <w:sz w:val="20"/>
          </w:rPr>
          <w:t>Water</w:t>
        </w:r>
        <w:r w:rsidR="00F22F94">
          <w:rPr>
            <w:color w:val="00AEEF"/>
            <w:spacing w:val="-4"/>
            <w:w w:val="95"/>
            <w:sz w:val="20"/>
          </w:rPr>
          <w:t xml:space="preserve"> </w:t>
        </w:r>
        <w:r w:rsidR="00F22F94">
          <w:rPr>
            <w:color w:val="00AEEF"/>
            <w:spacing w:val="-2"/>
            <w:w w:val="95"/>
            <w:sz w:val="20"/>
          </w:rPr>
          <w:t>infrastructure</w:t>
        </w:r>
        <w:r w:rsidR="00F22F94">
          <w:rPr>
            <w:color w:val="00AEEF"/>
            <w:sz w:val="20"/>
          </w:rPr>
          <w:tab/>
        </w:r>
        <w:r w:rsidR="00F22F94">
          <w:rPr>
            <w:color w:val="00AEEF"/>
            <w:spacing w:val="-5"/>
            <w:sz w:val="20"/>
          </w:rPr>
          <w:t>156</w:t>
        </w:r>
      </w:hyperlink>
    </w:p>
    <w:p w:rsidR="002C1123" w:rsidRDefault="002060EF">
      <w:pPr>
        <w:pStyle w:val="BodyText"/>
        <w:tabs>
          <w:tab w:val="right" w:pos="5140"/>
        </w:tabs>
        <w:spacing w:line="220" w:lineRule="exact"/>
        <w:ind w:left="1002"/>
      </w:pPr>
      <w:hyperlink w:anchor="_bookmark226" w:history="1">
        <w:r w:rsidR="00F22F94">
          <w:rPr>
            <w:spacing w:val="-2"/>
          </w:rPr>
          <w:t>Summary</w:t>
        </w:r>
        <w:r w:rsidR="00F22F94">
          <w:tab/>
        </w:r>
        <w:r w:rsidR="00F22F94">
          <w:rPr>
            <w:spacing w:val="-5"/>
          </w:rPr>
          <w:t>156</w:t>
        </w:r>
      </w:hyperlink>
    </w:p>
    <w:p w:rsidR="002C1123" w:rsidRDefault="002060EF">
      <w:pPr>
        <w:pStyle w:val="ListParagraph"/>
        <w:numPr>
          <w:ilvl w:val="1"/>
          <w:numId w:val="197"/>
        </w:numPr>
        <w:tabs>
          <w:tab w:val="left" w:pos="1003"/>
          <w:tab w:val="right" w:pos="5140"/>
        </w:tabs>
        <w:spacing w:line="220" w:lineRule="exact"/>
        <w:rPr>
          <w:sz w:val="20"/>
        </w:rPr>
      </w:pPr>
      <w:hyperlink w:anchor="_bookmark226" w:history="1">
        <w:r w:rsidR="00F22F94">
          <w:rPr>
            <w:w w:val="95"/>
            <w:sz w:val="20"/>
          </w:rPr>
          <w:t>Water</w:t>
        </w:r>
        <w:r w:rsidR="00F22F94">
          <w:rPr>
            <w:spacing w:val="-4"/>
            <w:w w:val="95"/>
            <w:sz w:val="20"/>
          </w:rPr>
          <w:t xml:space="preserve"> </w:t>
        </w:r>
        <w:r w:rsidR="00F22F94">
          <w:rPr>
            <w:spacing w:val="-2"/>
            <w:w w:val="95"/>
            <w:sz w:val="20"/>
          </w:rPr>
          <w:t>snapshot</w:t>
        </w:r>
        <w:r w:rsidR="00F22F94">
          <w:rPr>
            <w:sz w:val="20"/>
          </w:rPr>
          <w:tab/>
        </w:r>
        <w:r w:rsidR="00F22F94">
          <w:rPr>
            <w:spacing w:val="-5"/>
            <w:sz w:val="20"/>
          </w:rPr>
          <w:t>156</w:t>
        </w:r>
      </w:hyperlink>
    </w:p>
    <w:p w:rsidR="002C1123" w:rsidRDefault="002060EF">
      <w:pPr>
        <w:pStyle w:val="ListParagraph"/>
        <w:numPr>
          <w:ilvl w:val="1"/>
          <w:numId w:val="197"/>
        </w:numPr>
        <w:tabs>
          <w:tab w:val="left" w:pos="1003"/>
          <w:tab w:val="right" w:pos="5140"/>
        </w:tabs>
        <w:spacing w:line="220" w:lineRule="exact"/>
        <w:rPr>
          <w:sz w:val="20"/>
        </w:rPr>
      </w:pPr>
      <w:hyperlink w:anchor="_bookmark228" w:history="1">
        <w:r w:rsidR="00F22F94">
          <w:rPr>
            <w:w w:val="95"/>
            <w:sz w:val="20"/>
          </w:rPr>
          <w:t>Demand</w:t>
        </w:r>
        <w:r w:rsidR="00F22F94">
          <w:rPr>
            <w:spacing w:val="10"/>
            <w:sz w:val="20"/>
          </w:rPr>
          <w:t xml:space="preserve"> </w:t>
        </w:r>
        <w:r w:rsidR="00F22F94">
          <w:rPr>
            <w:w w:val="95"/>
            <w:sz w:val="20"/>
          </w:rPr>
          <w:t>and</w:t>
        </w:r>
        <w:r w:rsidR="00F22F94">
          <w:rPr>
            <w:spacing w:val="11"/>
            <w:sz w:val="20"/>
          </w:rPr>
          <w:t xml:space="preserve"> </w:t>
        </w:r>
        <w:r w:rsidR="00F22F94">
          <w:rPr>
            <w:spacing w:val="-2"/>
            <w:w w:val="95"/>
            <w:sz w:val="20"/>
          </w:rPr>
          <w:t>supply</w:t>
        </w:r>
        <w:r w:rsidR="00F22F94">
          <w:rPr>
            <w:sz w:val="20"/>
          </w:rPr>
          <w:tab/>
        </w:r>
        <w:r w:rsidR="00F22F94">
          <w:rPr>
            <w:spacing w:val="-5"/>
            <w:sz w:val="20"/>
          </w:rPr>
          <w:t>157</w:t>
        </w:r>
      </w:hyperlink>
    </w:p>
    <w:p w:rsidR="002C1123" w:rsidRDefault="002060EF">
      <w:pPr>
        <w:pStyle w:val="ListParagraph"/>
        <w:numPr>
          <w:ilvl w:val="1"/>
          <w:numId w:val="197"/>
        </w:numPr>
        <w:tabs>
          <w:tab w:val="left" w:pos="1003"/>
          <w:tab w:val="right" w:pos="5140"/>
        </w:tabs>
        <w:spacing w:line="220" w:lineRule="exact"/>
        <w:rPr>
          <w:sz w:val="20"/>
        </w:rPr>
      </w:pPr>
      <w:hyperlink w:anchor="_bookmark231" w:history="1">
        <w:r w:rsidR="00F22F94">
          <w:rPr>
            <w:w w:val="95"/>
            <w:sz w:val="20"/>
          </w:rPr>
          <w:t>Regional</w:t>
        </w:r>
        <w:r w:rsidR="00F22F94">
          <w:rPr>
            <w:spacing w:val="2"/>
            <w:sz w:val="20"/>
          </w:rPr>
          <w:t xml:space="preserve"> </w:t>
        </w:r>
        <w:r w:rsidR="00F22F94">
          <w:rPr>
            <w:w w:val="95"/>
            <w:sz w:val="20"/>
          </w:rPr>
          <w:t>water</w:t>
        </w:r>
        <w:r w:rsidR="00F22F94">
          <w:rPr>
            <w:spacing w:val="3"/>
            <w:sz w:val="20"/>
          </w:rPr>
          <w:t xml:space="preserve"> </w:t>
        </w:r>
        <w:r w:rsidR="00F22F94">
          <w:rPr>
            <w:w w:val="95"/>
            <w:sz w:val="20"/>
          </w:rPr>
          <w:t>and</w:t>
        </w:r>
        <w:r w:rsidR="00F22F94">
          <w:rPr>
            <w:spacing w:val="3"/>
            <w:sz w:val="20"/>
          </w:rPr>
          <w:t xml:space="preserve"> </w:t>
        </w:r>
        <w:r w:rsidR="00F22F94">
          <w:rPr>
            <w:spacing w:val="-2"/>
            <w:w w:val="95"/>
            <w:sz w:val="20"/>
          </w:rPr>
          <w:t>wastewater</w:t>
        </w:r>
        <w:r w:rsidR="00F22F94">
          <w:rPr>
            <w:sz w:val="20"/>
          </w:rPr>
          <w:tab/>
        </w:r>
        <w:r w:rsidR="00F22F94">
          <w:rPr>
            <w:spacing w:val="-5"/>
            <w:sz w:val="20"/>
          </w:rPr>
          <w:t>159</w:t>
        </w:r>
      </w:hyperlink>
    </w:p>
    <w:p w:rsidR="002C1123" w:rsidRDefault="002060EF">
      <w:pPr>
        <w:pStyle w:val="ListParagraph"/>
        <w:numPr>
          <w:ilvl w:val="1"/>
          <w:numId w:val="197"/>
        </w:numPr>
        <w:tabs>
          <w:tab w:val="left" w:pos="1003"/>
        </w:tabs>
        <w:spacing w:line="220" w:lineRule="exact"/>
        <w:rPr>
          <w:sz w:val="20"/>
        </w:rPr>
      </w:pPr>
      <w:hyperlink w:anchor="_bookmark233" w:history="1">
        <w:r w:rsidR="00F22F94">
          <w:rPr>
            <w:w w:val="95"/>
            <w:sz w:val="20"/>
          </w:rPr>
          <w:t>Private</w:t>
        </w:r>
        <w:r w:rsidR="00F22F94">
          <w:rPr>
            <w:spacing w:val="2"/>
            <w:sz w:val="20"/>
          </w:rPr>
          <w:t xml:space="preserve"> </w:t>
        </w:r>
        <w:r w:rsidR="00F22F94">
          <w:rPr>
            <w:w w:val="95"/>
            <w:sz w:val="20"/>
          </w:rPr>
          <w:t>supply</w:t>
        </w:r>
        <w:r w:rsidR="00F22F94">
          <w:rPr>
            <w:spacing w:val="2"/>
            <w:sz w:val="20"/>
          </w:rPr>
          <w:t xml:space="preserve"> </w:t>
        </w:r>
        <w:r w:rsidR="00F22F94">
          <w:rPr>
            <w:w w:val="95"/>
            <w:sz w:val="20"/>
          </w:rPr>
          <w:t>of</w:t>
        </w:r>
        <w:r w:rsidR="00F22F94">
          <w:rPr>
            <w:spacing w:val="2"/>
            <w:sz w:val="20"/>
          </w:rPr>
          <w:t xml:space="preserve"> </w:t>
        </w:r>
        <w:r w:rsidR="00F22F94">
          <w:rPr>
            <w:w w:val="95"/>
            <w:sz w:val="20"/>
          </w:rPr>
          <w:t>water</w:t>
        </w:r>
        <w:r w:rsidR="00F22F94">
          <w:rPr>
            <w:spacing w:val="2"/>
            <w:sz w:val="20"/>
          </w:rPr>
          <w:t xml:space="preserve"> </w:t>
        </w:r>
        <w:r w:rsidR="00F22F94">
          <w:rPr>
            <w:w w:val="95"/>
            <w:sz w:val="20"/>
          </w:rPr>
          <w:t>services</w:t>
        </w:r>
        <w:r w:rsidR="00F22F94">
          <w:rPr>
            <w:spacing w:val="3"/>
            <w:sz w:val="20"/>
          </w:rPr>
          <w:t xml:space="preserve"> </w:t>
        </w:r>
        <w:r w:rsidR="00F22F94">
          <w:rPr>
            <w:spacing w:val="-5"/>
            <w:w w:val="95"/>
            <w:sz w:val="20"/>
          </w:rPr>
          <w:t>and</w:t>
        </w:r>
      </w:hyperlink>
    </w:p>
    <w:p w:rsidR="002C1123" w:rsidRDefault="002060EF">
      <w:pPr>
        <w:pStyle w:val="BodyText"/>
        <w:tabs>
          <w:tab w:val="right" w:pos="5140"/>
        </w:tabs>
        <w:spacing w:line="220" w:lineRule="exact"/>
        <w:ind w:left="1002"/>
      </w:pPr>
      <w:hyperlink w:anchor="_bookmark233" w:history="1">
        <w:r w:rsidR="00F22F94">
          <w:rPr>
            <w:w w:val="95"/>
          </w:rPr>
          <w:t>connection</w:t>
        </w:r>
        <w:r w:rsidR="00F22F94">
          <w:rPr>
            <w:spacing w:val="29"/>
          </w:rPr>
          <w:t xml:space="preserve"> </w:t>
        </w:r>
        <w:r w:rsidR="00F22F94">
          <w:rPr>
            <w:spacing w:val="-2"/>
          </w:rPr>
          <w:t>infrastructure</w:t>
        </w:r>
        <w:r w:rsidR="00F22F94">
          <w:tab/>
        </w:r>
        <w:r w:rsidR="00F22F94">
          <w:rPr>
            <w:spacing w:val="-5"/>
          </w:rPr>
          <w:t>160</w:t>
        </w:r>
      </w:hyperlink>
    </w:p>
    <w:p w:rsidR="002C1123" w:rsidRDefault="002060EF">
      <w:pPr>
        <w:pStyle w:val="ListParagraph"/>
        <w:numPr>
          <w:ilvl w:val="1"/>
          <w:numId w:val="197"/>
        </w:numPr>
        <w:tabs>
          <w:tab w:val="left" w:pos="1003"/>
          <w:tab w:val="right" w:pos="5140"/>
        </w:tabs>
        <w:spacing w:line="220" w:lineRule="exact"/>
        <w:rPr>
          <w:sz w:val="20"/>
        </w:rPr>
      </w:pPr>
      <w:hyperlink w:anchor="_bookmark233" w:history="1">
        <w:r w:rsidR="00F22F94">
          <w:rPr>
            <w:w w:val="95"/>
            <w:sz w:val="20"/>
          </w:rPr>
          <w:t>Flood</w:t>
        </w:r>
        <w:r w:rsidR="00F22F94">
          <w:rPr>
            <w:spacing w:val="5"/>
            <w:sz w:val="20"/>
          </w:rPr>
          <w:t xml:space="preserve"> </w:t>
        </w:r>
        <w:r w:rsidR="00F22F94">
          <w:rPr>
            <w:spacing w:val="-2"/>
            <w:sz w:val="20"/>
          </w:rPr>
          <w:t>mitigation</w:t>
        </w:r>
        <w:r w:rsidR="00F22F94">
          <w:rPr>
            <w:sz w:val="20"/>
          </w:rPr>
          <w:tab/>
        </w:r>
        <w:r w:rsidR="00F22F94">
          <w:rPr>
            <w:spacing w:val="-5"/>
            <w:sz w:val="20"/>
          </w:rPr>
          <w:t>160</w:t>
        </w:r>
      </w:hyperlink>
    </w:p>
    <w:p w:rsidR="002C1123" w:rsidRDefault="002060EF">
      <w:pPr>
        <w:pStyle w:val="ListParagraph"/>
        <w:numPr>
          <w:ilvl w:val="1"/>
          <w:numId w:val="197"/>
        </w:numPr>
        <w:tabs>
          <w:tab w:val="left" w:pos="1003"/>
          <w:tab w:val="right" w:pos="5140"/>
        </w:tabs>
        <w:spacing w:line="225" w:lineRule="exact"/>
        <w:rPr>
          <w:sz w:val="20"/>
        </w:rPr>
      </w:pPr>
      <w:hyperlink w:anchor="_bookmark237" w:history="1">
        <w:r w:rsidR="00F22F94">
          <w:rPr>
            <w:w w:val="95"/>
            <w:sz w:val="20"/>
          </w:rPr>
          <w:t>Recommended</w:t>
        </w:r>
        <w:r w:rsidR="00F22F94">
          <w:rPr>
            <w:spacing w:val="40"/>
            <w:sz w:val="20"/>
          </w:rPr>
          <w:t xml:space="preserve"> </w:t>
        </w:r>
        <w:r w:rsidR="00F22F94">
          <w:rPr>
            <w:spacing w:val="-2"/>
            <w:sz w:val="20"/>
          </w:rPr>
          <w:t>actions</w:t>
        </w:r>
        <w:r w:rsidR="00F22F94">
          <w:rPr>
            <w:sz w:val="20"/>
          </w:rPr>
          <w:tab/>
        </w:r>
        <w:r w:rsidR="00F22F94">
          <w:rPr>
            <w:spacing w:val="-5"/>
            <w:sz w:val="20"/>
          </w:rPr>
          <w:t>163</w:t>
        </w:r>
      </w:hyperlink>
    </w:p>
    <w:p w:rsidR="002C1123" w:rsidRDefault="002060EF">
      <w:pPr>
        <w:pStyle w:val="ListParagraph"/>
        <w:numPr>
          <w:ilvl w:val="1"/>
          <w:numId w:val="196"/>
        </w:numPr>
        <w:tabs>
          <w:tab w:val="left" w:pos="1003"/>
          <w:tab w:val="right" w:pos="5140"/>
        </w:tabs>
        <w:spacing w:before="152" w:line="225" w:lineRule="exact"/>
        <w:rPr>
          <w:color w:val="00AEEF"/>
          <w:sz w:val="20"/>
        </w:rPr>
      </w:pPr>
      <w:hyperlink w:anchor="_bookmark239" w:history="1">
        <w:r w:rsidR="00F22F94">
          <w:rPr>
            <w:color w:val="00AEEF"/>
            <w:w w:val="95"/>
            <w:sz w:val="20"/>
          </w:rPr>
          <w:t>Health</w:t>
        </w:r>
        <w:r w:rsidR="00F22F94">
          <w:rPr>
            <w:color w:val="00AEEF"/>
            <w:sz w:val="20"/>
          </w:rPr>
          <w:t xml:space="preserve"> </w:t>
        </w:r>
        <w:r w:rsidR="00F22F94">
          <w:rPr>
            <w:color w:val="00AEEF"/>
            <w:spacing w:val="-2"/>
            <w:sz w:val="20"/>
          </w:rPr>
          <w:t>infrastructure</w:t>
        </w:r>
        <w:r w:rsidR="00F22F94">
          <w:rPr>
            <w:color w:val="00AEEF"/>
            <w:sz w:val="20"/>
          </w:rPr>
          <w:tab/>
        </w:r>
        <w:r w:rsidR="00F22F94">
          <w:rPr>
            <w:color w:val="00AEEF"/>
            <w:spacing w:val="-5"/>
            <w:sz w:val="20"/>
          </w:rPr>
          <w:t>164</w:t>
        </w:r>
      </w:hyperlink>
    </w:p>
    <w:p w:rsidR="002C1123" w:rsidRDefault="002060EF">
      <w:pPr>
        <w:pStyle w:val="BodyText"/>
        <w:tabs>
          <w:tab w:val="right" w:pos="5140"/>
        </w:tabs>
        <w:spacing w:line="220" w:lineRule="exact"/>
        <w:ind w:left="1002"/>
      </w:pPr>
      <w:hyperlink w:anchor="_bookmark239" w:history="1">
        <w:r w:rsidR="00F22F94">
          <w:rPr>
            <w:spacing w:val="-2"/>
          </w:rPr>
          <w:t>Summary</w:t>
        </w:r>
        <w:r w:rsidR="00F22F94">
          <w:tab/>
        </w:r>
        <w:r w:rsidR="00F22F94">
          <w:rPr>
            <w:spacing w:val="-5"/>
          </w:rPr>
          <w:t>164</w:t>
        </w:r>
      </w:hyperlink>
    </w:p>
    <w:p w:rsidR="002C1123" w:rsidRDefault="002060EF">
      <w:pPr>
        <w:pStyle w:val="ListParagraph"/>
        <w:numPr>
          <w:ilvl w:val="1"/>
          <w:numId w:val="196"/>
        </w:numPr>
        <w:tabs>
          <w:tab w:val="left" w:pos="1003"/>
          <w:tab w:val="right" w:pos="5140"/>
        </w:tabs>
        <w:spacing w:line="220" w:lineRule="exact"/>
        <w:rPr>
          <w:sz w:val="20"/>
        </w:rPr>
      </w:pPr>
      <w:hyperlink w:anchor="_bookmark239" w:history="1">
        <w:r w:rsidR="00F22F94">
          <w:rPr>
            <w:w w:val="95"/>
            <w:sz w:val="20"/>
          </w:rPr>
          <w:t>Health</w:t>
        </w:r>
        <w:r w:rsidR="00F22F94">
          <w:rPr>
            <w:sz w:val="20"/>
          </w:rPr>
          <w:t xml:space="preserve"> </w:t>
        </w:r>
        <w:r w:rsidR="00F22F94">
          <w:rPr>
            <w:spacing w:val="-2"/>
            <w:sz w:val="20"/>
          </w:rPr>
          <w:t>snapshot</w:t>
        </w:r>
        <w:r w:rsidR="00F22F94">
          <w:rPr>
            <w:sz w:val="20"/>
          </w:rPr>
          <w:tab/>
        </w:r>
        <w:r w:rsidR="00F22F94">
          <w:rPr>
            <w:spacing w:val="-5"/>
            <w:sz w:val="20"/>
          </w:rPr>
          <w:t>164</w:t>
        </w:r>
      </w:hyperlink>
    </w:p>
    <w:p w:rsidR="002C1123" w:rsidRDefault="002060EF">
      <w:pPr>
        <w:pStyle w:val="ListParagraph"/>
        <w:numPr>
          <w:ilvl w:val="1"/>
          <w:numId w:val="196"/>
        </w:numPr>
        <w:tabs>
          <w:tab w:val="left" w:pos="1003"/>
          <w:tab w:val="right" w:pos="5140"/>
        </w:tabs>
        <w:spacing w:line="220" w:lineRule="exact"/>
        <w:rPr>
          <w:sz w:val="20"/>
        </w:rPr>
      </w:pPr>
      <w:hyperlink w:anchor="_bookmark241" w:history="1">
        <w:r w:rsidR="00F22F94">
          <w:rPr>
            <w:w w:val="95"/>
            <w:sz w:val="20"/>
          </w:rPr>
          <w:t>Supply</w:t>
        </w:r>
        <w:r w:rsidR="00F22F94">
          <w:rPr>
            <w:spacing w:val="6"/>
            <w:sz w:val="20"/>
          </w:rPr>
          <w:t xml:space="preserve"> </w:t>
        </w:r>
        <w:r w:rsidR="00F22F94">
          <w:rPr>
            <w:w w:val="95"/>
            <w:sz w:val="20"/>
          </w:rPr>
          <w:t>and</w:t>
        </w:r>
        <w:r w:rsidR="00F22F94">
          <w:rPr>
            <w:spacing w:val="6"/>
            <w:sz w:val="20"/>
          </w:rPr>
          <w:t xml:space="preserve"> </w:t>
        </w:r>
        <w:r w:rsidR="00F22F94">
          <w:rPr>
            <w:spacing w:val="-2"/>
            <w:w w:val="95"/>
            <w:sz w:val="20"/>
          </w:rPr>
          <w:t>demand</w:t>
        </w:r>
        <w:r w:rsidR="00F22F94">
          <w:rPr>
            <w:sz w:val="20"/>
          </w:rPr>
          <w:tab/>
        </w:r>
        <w:r w:rsidR="00F22F94">
          <w:rPr>
            <w:spacing w:val="-5"/>
            <w:sz w:val="20"/>
          </w:rPr>
          <w:t>165</w:t>
        </w:r>
      </w:hyperlink>
    </w:p>
    <w:p w:rsidR="002C1123" w:rsidRDefault="002060EF">
      <w:pPr>
        <w:pStyle w:val="ListParagraph"/>
        <w:numPr>
          <w:ilvl w:val="1"/>
          <w:numId w:val="196"/>
        </w:numPr>
        <w:tabs>
          <w:tab w:val="left" w:pos="1003"/>
        </w:tabs>
        <w:spacing w:line="220" w:lineRule="exact"/>
        <w:rPr>
          <w:sz w:val="20"/>
        </w:rPr>
      </w:pPr>
      <w:hyperlink w:anchor="_bookmark245" w:history="1">
        <w:r w:rsidR="00F22F94">
          <w:rPr>
            <w:w w:val="95"/>
            <w:sz w:val="20"/>
          </w:rPr>
          <w:t>Changing</w:t>
        </w:r>
        <w:r w:rsidR="00F22F94">
          <w:rPr>
            <w:spacing w:val="7"/>
            <w:sz w:val="20"/>
          </w:rPr>
          <w:t xml:space="preserve"> </w:t>
        </w:r>
        <w:r w:rsidR="00F22F94">
          <w:rPr>
            <w:w w:val="95"/>
            <w:sz w:val="20"/>
          </w:rPr>
          <w:t>the</w:t>
        </w:r>
        <w:r w:rsidR="00F22F94">
          <w:rPr>
            <w:spacing w:val="8"/>
            <w:sz w:val="20"/>
          </w:rPr>
          <w:t xml:space="preserve"> </w:t>
        </w:r>
        <w:r w:rsidR="00F22F94">
          <w:rPr>
            <w:w w:val="95"/>
            <w:sz w:val="20"/>
          </w:rPr>
          <w:t>portfolio</w:t>
        </w:r>
        <w:r w:rsidR="00F22F94">
          <w:rPr>
            <w:spacing w:val="8"/>
            <w:sz w:val="20"/>
          </w:rPr>
          <w:t xml:space="preserve"> </w:t>
        </w:r>
        <w:r w:rsidR="00F22F94">
          <w:rPr>
            <w:w w:val="95"/>
            <w:sz w:val="20"/>
          </w:rPr>
          <w:t>of</w:t>
        </w:r>
        <w:r w:rsidR="00F22F94">
          <w:rPr>
            <w:spacing w:val="8"/>
            <w:sz w:val="20"/>
          </w:rPr>
          <w:t xml:space="preserve"> </w:t>
        </w:r>
        <w:r w:rsidR="00F22F94">
          <w:rPr>
            <w:spacing w:val="-2"/>
            <w:w w:val="95"/>
            <w:sz w:val="20"/>
          </w:rPr>
          <w:t>health</w:t>
        </w:r>
      </w:hyperlink>
    </w:p>
    <w:p w:rsidR="002C1123" w:rsidRDefault="002060EF">
      <w:pPr>
        <w:pStyle w:val="BodyText"/>
        <w:tabs>
          <w:tab w:val="right" w:pos="5140"/>
        </w:tabs>
        <w:spacing w:line="220" w:lineRule="exact"/>
        <w:ind w:left="1002"/>
      </w:pPr>
      <w:hyperlink w:anchor="_bookmark245" w:history="1">
        <w:r w:rsidR="00F22F94">
          <w:rPr>
            <w:spacing w:val="-2"/>
          </w:rPr>
          <w:t>infrastructure</w:t>
        </w:r>
        <w:r w:rsidR="00F22F94">
          <w:tab/>
        </w:r>
        <w:r w:rsidR="00F22F94">
          <w:rPr>
            <w:spacing w:val="-5"/>
            <w:w w:val="95"/>
          </w:rPr>
          <w:t>168</w:t>
        </w:r>
      </w:hyperlink>
    </w:p>
    <w:p w:rsidR="002C1123" w:rsidRDefault="002060EF">
      <w:pPr>
        <w:pStyle w:val="ListParagraph"/>
        <w:numPr>
          <w:ilvl w:val="1"/>
          <w:numId w:val="196"/>
        </w:numPr>
        <w:tabs>
          <w:tab w:val="left" w:pos="1003"/>
          <w:tab w:val="right" w:pos="5140"/>
        </w:tabs>
        <w:spacing w:line="220" w:lineRule="exact"/>
        <w:rPr>
          <w:sz w:val="20"/>
        </w:rPr>
      </w:pPr>
      <w:hyperlink w:anchor="_bookmark248" w:history="1">
        <w:r w:rsidR="00F22F94">
          <w:rPr>
            <w:w w:val="95"/>
            <w:sz w:val="20"/>
          </w:rPr>
          <w:t>Full</w:t>
        </w:r>
        <w:r w:rsidR="00F22F94">
          <w:rPr>
            <w:spacing w:val="-11"/>
            <w:w w:val="95"/>
            <w:sz w:val="20"/>
          </w:rPr>
          <w:t xml:space="preserve"> </w:t>
        </w:r>
        <w:r w:rsidR="00F22F94">
          <w:rPr>
            <w:w w:val="95"/>
            <w:sz w:val="20"/>
          </w:rPr>
          <w:t>service</w:t>
        </w:r>
        <w:r w:rsidR="00F22F94">
          <w:rPr>
            <w:spacing w:val="-10"/>
            <w:w w:val="95"/>
            <w:sz w:val="20"/>
          </w:rPr>
          <w:t xml:space="preserve"> </w:t>
        </w:r>
        <w:r w:rsidR="00F22F94">
          <w:rPr>
            <w:spacing w:val="-2"/>
            <w:w w:val="95"/>
            <w:sz w:val="20"/>
          </w:rPr>
          <w:t>procurement</w:t>
        </w:r>
        <w:r w:rsidR="00F22F94">
          <w:rPr>
            <w:sz w:val="20"/>
          </w:rPr>
          <w:tab/>
        </w:r>
        <w:r w:rsidR="00F22F94">
          <w:rPr>
            <w:spacing w:val="-5"/>
            <w:sz w:val="20"/>
          </w:rPr>
          <w:t>170</w:t>
        </w:r>
      </w:hyperlink>
    </w:p>
    <w:p w:rsidR="002C1123" w:rsidRDefault="002060EF">
      <w:pPr>
        <w:pStyle w:val="ListParagraph"/>
        <w:numPr>
          <w:ilvl w:val="1"/>
          <w:numId w:val="196"/>
        </w:numPr>
        <w:tabs>
          <w:tab w:val="left" w:pos="1003"/>
          <w:tab w:val="right" w:pos="5140"/>
        </w:tabs>
        <w:spacing w:line="225" w:lineRule="exact"/>
        <w:rPr>
          <w:sz w:val="20"/>
        </w:rPr>
      </w:pPr>
      <w:hyperlink w:anchor="_bookmark251" w:history="1">
        <w:r w:rsidR="00F22F94">
          <w:rPr>
            <w:w w:val="95"/>
            <w:sz w:val="20"/>
          </w:rPr>
          <w:t>Recommended</w:t>
        </w:r>
        <w:r w:rsidR="00F22F94">
          <w:rPr>
            <w:spacing w:val="40"/>
            <w:sz w:val="20"/>
          </w:rPr>
          <w:t xml:space="preserve"> </w:t>
        </w:r>
        <w:r w:rsidR="00F22F94">
          <w:rPr>
            <w:spacing w:val="-2"/>
            <w:sz w:val="20"/>
          </w:rPr>
          <w:t>actions</w:t>
        </w:r>
        <w:r w:rsidR="00F22F94">
          <w:rPr>
            <w:sz w:val="20"/>
          </w:rPr>
          <w:tab/>
        </w:r>
        <w:r w:rsidR="00F22F94">
          <w:rPr>
            <w:spacing w:val="-5"/>
            <w:sz w:val="20"/>
          </w:rPr>
          <w:t>172</w:t>
        </w:r>
      </w:hyperlink>
    </w:p>
    <w:p w:rsidR="002C1123" w:rsidRDefault="00F22F94">
      <w:pPr>
        <w:rPr>
          <w:sz w:val="24"/>
        </w:rPr>
      </w:pPr>
      <w:r>
        <w:br w:type="column"/>
      </w: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spacing w:before="7"/>
        <w:rPr>
          <w:sz w:val="29"/>
        </w:rPr>
      </w:pPr>
    </w:p>
    <w:p w:rsidR="002C1123" w:rsidRDefault="002060EF">
      <w:pPr>
        <w:pStyle w:val="BodyText"/>
        <w:tabs>
          <w:tab w:val="left" w:pos="4653"/>
        </w:tabs>
        <w:spacing w:line="230" w:lineRule="auto"/>
        <w:ind w:left="848" w:right="5888" w:hanging="511"/>
      </w:pPr>
      <w:hyperlink w:anchor="_bookmark261" w:history="1">
        <w:r w:rsidR="00F22F94">
          <w:rPr>
            <w:color w:val="00AEEF"/>
          </w:rPr>
          <w:t>14.2</w:t>
        </w:r>
        <w:r w:rsidR="00F22F94">
          <w:rPr>
            <w:color w:val="00AEEF"/>
            <w:spacing w:val="40"/>
          </w:rPr>
          <w:t xml:space="preserve"> </w:t>
        </w:r>
        <w:r w:rsidR="00F22F94">
          <w:rPr>
            <w:color w:val="00AEEF"/>
          </w:rPr>
          <w:t>Arts, recreation and the visitor economy</w:t>
        </w:r>
        <w:r w:rsidR="00F22F94">
          <w:rPr>
            <w:color w:val="00AEEF"/>
          </w:rPr>
          <w:tab/>
        </w:r>
        <w:r w:rsidR="00F22F94">
          <w:rPr>
            <w:color w:val="00AEEF"/>
            <w:spacing w:val="-4"/>
          </w:rPr>
          <w:t>180</w:t>
        </w:r>
      </w:hyperlink>
      <w:r w:rsidR="00F22F94">
        <w:rPr>
          <w:color w:val="00AEEF"/>
          <w:spacing w:val="-4"/>
        </w:rPr>
        <w:t xml:space="preserve"> </w:t>
      </w:r>
      <w:hyperlink w:anchor="_bookmark261" w:history="1">
        <w:r w:rsidR="00F22F94">
          <w:rPr>
            <w:spacing w:val="-2"/>
          </w:rPr>
          <w:t>Summary</w:t>
        </w:r>
        <w:r w:rsidR="00F22F94">
          <w:tab/>
        </w:r>
        <w:r w:rsidR="00F22F94">
          <w:rPr>
            <w:spacing w:val="-5"/>
          </w:rPr>
          <w:t>180</w:t>
        </w:r>
      </w:hyperlink>
    </w:p>
    <w:p w:rsidR="002C1123" w:rsidRDefault="002060EF">
      <w:pPr>
        <w:pStyle w:val="BodyText"/>
        <w:tabs>
          <w:tab w:val="left" w:pos="4653"/>
        </w:tabs>
        <w:spacing w:before="153" w:line="225" w:lineRule="exact"/>
        <w:ind w:left="337"/>
      </w:pPr>
      <w:hyperlink w:anchor="_bookmark268" w:history="1">
        <w:r w:rsidR="00F22F94">
          <w:rPr>
            <w:color w:val="00AEEF"/>
          </w:rPr>
          <w:t>14.3</w:t>
        </w:r>
        <w:r w:rsidR="00F22F94">
          <w:rPr>
            <w:color w:val="00AEEF"/>
            <w:spacing w:val="60"/>
          </w:rPr>
          <w:t xml:space="preserve"> </w:t>
        </w:r>
        <w:r w:rsidR="00F22F94">
          <w:rPr>
            <w:color w:val="00AEEF"/>
            <w:spacing w:val="-2"/>
          </w:rPr>
          <w:t>Justice</w:t>
        </w:r>
        <w:r w:rsidR="00F22F94">
          <w:rPr>
            <w:color w:val="00AEEF"/>
          </w:rPr>
          <w:tab/>
        </w:r>
        <w:r w:rsidR="00F22F94">
          <w:rPr>
            <w:color w:val="00AEEF"/>
            <w:spacing w:val="-5"/>
          </w:rPr>
          <w:t>186</w:t>
        </w:r>
      </w:hyperlink>
    </w:p>
    <w:p w:rsidR="002C1123" w:rsidRDefault="002060EF">
      <w:pPr>
        <w:pStyle w:val="BodyText"/>
        <w:tabs>
          <w:tab w:val="left" w:pos="4653"/>
        </w:tabs>
        <w:spacing w:line="225" w:lineRule="exact"/>
        <w:ind w:left="848"/>
      </w:pPr>
      <w:hyperlink w:anchor="_bookmark268" w:history="1">
        <w:r w:rsidR="00F22F94">
          <w:rPr>
            <w:spacing w:val="-2"/>
          </w:rPr>
          <w:t>Summary</w:t>
        </w:r>
        <w:r w:rsidR="00F22F94">
          <w:tab/>
        </w:r>
        <w:r w:rsidR="00F22F94">
          <w:rPr>
            <w:spacing w:val="-5"/>
          </w:rPr>
          <w:t>186</w:t>
        </w:r>
      </w:hyperlink>
    </w:p>
    <w:p w:rsidR="002C1123" w:rsidRDefault="002060EF">
      <w:pPr>
        <w:pStyle w:val="ListParagraph"/>
        <w:numPr>
          <w:ilvl w:val="1"/>
          <w:numId w:val="195"/>
        </w:numPr>
        <w:tabs>
          <w:tab w:val="left" w:pos="849"/>
          <w:tab w:val="left" w:pos="4653"/>
        </w:tabs>
        <w:spacing w:before="152" w:line="225" w:lineRule="exact"/>
        <w:ind w:hanging="512"/>
        <w:rPr>
          <w:color w:val="00AEEF"/>
          <w:sz w:val="20"/>
        </w:rPr>
      </w:pPr>
      <w:hyperlink w:anchor="_bookmark271" w:history="1">
        <w:r w:rsidR="00F22F94">
          <w:rPr>
            <w:color w:val="00AEEF"/>
            <w:spacing w:val="-2"/>
            <w:sz w:val="20"/>
          </w:rPr>
          <w:t>Recommendations</w:t>
        </w:r>
        <w:r w:rsidR="00F22F94">
          <w:rPr>
            <w:color w:val="00AEEF"/>
            <w:sz w:val="20"/>
          </w:rPr>
          <w:tab/>
        </w:r>
        <w:r w:rsidR="00F22F94">
          <w:rPr>
            <w:color w:val="00AEEF"/>
            <w:spacing w:val="-5"/>
            <w:sz w:val="20"/>
          </w:rPr>
          <w:t>188</w:t>
        </w:r>
      </w:hyperlink>
    </w:p>
    <w:p w:rsidR="002C1123" w:rsidRDefault="002060EF">
      <w:pPr>
        <w:pStyle w:val="BodyText"/>
        <w:tabs>
          <w:tab w:val="left" w:pos="4653"/>
        </w:tabs>
        <w:spacing w:line="220" w:lineRule="exact"/>
        <w:ind w:left="848"/>
      </w:pPr>
      <w:hyperlink w:anchor="_bookmark271" w:history="1">
        <w:r w:rsidR="00F22F94">
          <w:rPr>
            <w:spacing w:val="-2"/>
          </w:rPr>
          <w:t>Summary</w:t>
        </w:r>
        <w:r w:rsidR="00F22F94">
          <w:tab/>
        </w:r>
        <w:r w:rsidR="00F22F94">
          <w:rPr>
            <w:spacing w:val="-5"/>
          </w:rPr>
          <w:t>188</w:t>
        </w:r>
      </w:hyperlink>
    </w:p>
    <w:p w:rsidR="002C1123" w:rsidRDefault="002060EF">
      <w:pPr>
        <w:pStyle w:val="ListParagraph"/>
        <w:numPr>
          <w:ilvl w:val="1"/>
          <w:numId w:val="195"/>
        </w:numPr>
        <w:tabs>
          <w:tab w:val="left" w:pos="849"/>
          <w:tab w:val="left" w:pos="4653"/>
        </w:tabs>
        <w:spacing w:line="220" w:lineRule="exact"/>
        <w:ind w:hanging="512"/>
        <w:rPr>
          <w:sz w:val="20"/>
        </w:rPr>
      </w:pPr>
      <w:hyperlink w:anchor="_bookmark271" w:history="1">
        <w:r w:rsidR="00F22F94">
          <w:rPr>
            <w:spacing w:val="-2"/>
            <w:sz w:val="20"/>
          </w:rPr>
          <w:t>Introduction</w:t>
        </w:r>
        <w:r w:rsidR="00F22F94">
          <w:rPr>
            <w:sz w:val="20"/>
          </w:rPr>
          <w:tab/>
        </w:r>
        <w:r w:rsidR="00F22F94">
          <w:rPr>
            <w:spacing w:val="-5"/>
            <w:sz w:val="20"/>
          </w:rPr>
          <w:t>188</w:t>
        </w:r>
      </w:hyperlink>
    </w:p>
    <w:p w:rsidR="002C1123" w:rsidRDefault="002060EF">
      <w:pPr>
        <w:pStyle w:val="ListParagraph"/>
        <w:numPr>
          <w:ilvl w:val="1"/>
          <w:numId w:val="195"/>
        </w:numPr>
        <w:tabs>
          <w:tab w:val="left" w:pos="849"/>
          <w:tab w:val="left" w:pos="4653"/>
        </w:tabs>
        <w:spacing w:line="220" w:lineRule="exact"/>
        <w:ind w:hanging="512"/>
        <w:rPr>
          <w:sz w:val="20"/>
        </w:rPr>
      </w:pPr>
      <w:hyperlink w:anchor="_bookmark271" w:history="1">
        <w:r w:rsidR="00F22F94">
          <w:rPr>
            <w:spacing w:val="-2"/>
            <w:sz w:val="20"/>
          </w:rPr>
          <w:t>Recommendations</w:t>
        </w:r>
        <w:r w:rsidR="00F22F94">
          <w:rPr>
            <w:sz w:val="20"/>
          </w:rPr>
          <w:tab/>
        </w:r>
        <w:r w:rsidR="00F22F94">
          <w:rPr>
            <w:spacing w:val="-5"/>
            <w:sz w:val="20"/>
          </w:rPr>
          <w:t>188</w:t>
        </w:r>
      </w:hyperlink>
    </w:p>
    <w:p w:rsidR="002C1123" w:rsidRDefault="002060EF">
      <w:pPr>
        <w:pStyle w:val="ListParagraph"/>
        <w:numPr>
          <w:ilvl w:val="1"/>
          <w:numId w:val="195"/>
        </w:numPr>
        <w:tabs>
          <w:tab w:val="left" w:pos="849"/>
          <w:tab w:val="left" w:pos="4653"/>
        </w:tabs>
        <w:spacing w:line="225" w:lineRule="exact"/>
        <w:ind w:hanging="512"/>
        <w:rPr>
          <w:sz w:val="20"/>
        </w:rPr>
      </w:pPr>
      <w:hyperlink w:anchor="_bookmark281" w:history="1">
        <w:r w:rsidR="00F22F94">
          <w:rPr>
            <w:spacing w:val="-2"/>
            <w:sz w:val="20"/>
          </w:rPr>
          <w:t>Conclusion</w:t>
        </w:r>
        <w:r w:rsidR="00F22F94">
          <w:rPr>
            <w:sz w:val="20"/>
          </w:rPr>
          <w:tab/>
        </w:r>
        <w:r w:rsidR="00F22F94">
          <w:rPr>
            <w:spacing w:val="-5"/>
            <w:sz w:val="20"/>
          </w:rPr>
          <w:t>197</w:t>
        </w:r>
      </w:hyperlink>
    </w:p>
    <w:p w:rsidR="002C1123" w:rsidRDefault="002060EF">
      <w:pPr>
        <w:pStyle w:val="ListParagraph"/>
        <w:numPr>
          <w:ilvl w:val="1"/>
          <w:numId w:val="194"/>
        </w:numPr>
        <w:tabs>
          <w:tab w:val="left" w:pos="849"/>
          <w:tab w:val="left" w:pos="4653"/>
        </w:tabs>
        <w:spacing w:before="152" w:line="225" w:lineRule="exact"/>
        <w:ind w:hanging="512"/>
        <w:rPr>
          <w:color w:val="00AEEF"/>
          <w:sz w:val="20"/>
        </w:rPr>
      </w:pPr>
      <w:hyperlink w:anchor="_bookmark283" w:history="1">
        <w:r w:rsidR="00F22F94">
          <w:rPr>
            <w:color w:val="00AEEF"/>
            <w:w w:val="95"/>
            <w:sz w:val="20"/>
          </w:rPr>
          <w:t>Funding</w:t>
        </w:r>
        <w:r w:rsidR="00F22F94">
          <w:rPr>
            <w:color w:val="00AEEF"/>
            <w:spacing w:val="3"/>
            <w:sz w:val="20"/>
          </w:rPr>
          <w:t xml:space="preserve"> </w:t>
        </w:r>
        <w:r w:rsidR="00F22F94">
          <w:rPr>
            <w:color w:val="00AEEF"/>
            <w:w w:val="95"/>
            <w:sz w:val="20"/>
          </w:rPr>
          <w:t>and</w:t>
        </w:r>
        <w:r w:rsidR="00F22F94">
          <w:rPr>
            <w:color w:val="00AEEF"/>
            <w:spacing w:val="3"/>
            <w:sz w:val="20"/>
          </w:rPr>
          <w:t xml:space="preserve"> </w:t>
        </w:r>
        <w:r w:rsidR="00F22F94">
          <w:rPr>
            <w:color w:val="00AEEF"/>
            <w:spacing w:val="-2"/>
            <w:w w:val="95"/>
            <w:sz w:val="20"/>
          </w:rPr>
          <w:t>delivery</w:t>
        </w:r>
        <w:r w:rsidR="00F22F94">
          <w:rPr>
            <w:color w:val="00AEEF"/>
            <w:sz w:val="20"/>
          </w:rPr>
          <w:tab/>
        </w:r>
        <w:r w:rsidR="00F22F94">
          <w:rPr>
            <w:color w:val="00AEEF"/>
            <w:spacing w:val="-5"/>
            <w:sz w:val="20"/>
          </w:rPr>
          <w:t>198</w:t>
        </w:r>
      </w:hyperlink>
    </w:p>
    <w:p w:rsidR="002C1123" w:rsidRDefault="002060EF">
      <w:pPr>
        <w:pStyle w:val="BodyText"/>
        <w:tabs>
          <w:tab w:val="left" w:pos="4653"/>
        </w:tabs>
        <w:spacing w:line="220" w:lineRule="exact"/>
        <w:ind w:left="848"/>
      </w:pPr>
      <w:hyperlink w:anchor="_bookmark283" w:history="1">
        <w:r w:rsidR="00F22F94">
          <w:rPr>
            <w:spacing w:val="-2"/>
          </w:rPr>
          <w:t>Summary</w:t>
        </w:r>
        <w:r w:rsidR="00F22F94">
          <w:tab/>
        </w:r>
        <w:r w:rsidR="00F22F94">
          <w:rPr>
            <w:spacing w:val="-5"/>
          </w:rPr>
          <w:t>198</w:t>
        </w:r>
      </w:hyperlink>
    </w:p>
    <w:p w:rsidR="002C1123" w:rsidRDefault="002060EF">
      <w:pPr>
        <w:pStyle w:val="ListParagraph"/>
        <w:numPr>
          <w:ilvl w:val="1"/>
          <w:numId w:val="194"/>
        </w:numPr>
        <w:tabs>
          <w:tab w:val="left" w:pos="849"/>
          <w:tab w:val="left" w:pos="4653"/>
        </w:tabs>
        <w:spacing w:line="220" w:lineRule="exact"/>
        <w:ind w:hanging="512"/>
        <w:rPr>
          <w:sz w:val="20"/>
        </w:rPr>
      </w:pPr>
      <w:hyperlink w:anchor="_bookmark283" w:history="1">
        <w:r w:rsidR="00F22F94">
          <w:rPr>
            <w:spacing w:val="-2"/>
            <w:sz w:val="20"/>
          </w:rPr>
          <w:t>Funding</w:t>
        </w:r>
        <w:r w:rsidR="00F22F94">
          <w:rPr>
            <w:sz w:val="20"/>
          </w:rPr>
          <w:tab/>
        </w:r>
        <w:r w:rsidR="00F22F94">
          <w:rPr>
            <w:spacing w:val="-5"/>
            <w:sz w:val="20"/>
          </w:rPr>
          <w:t>198</w:t>
        </w:r>
      </w:hyperlink>
    </w:p>
    <w:p w:rsidR="002C1123" w:rsidRDefault="002060EF">
      <w:pPr>
        <w:pStyle w:val="ListParagraph"/>
        <w:numPr>
          <w:ilvl w:val="1"/>
          <w:numId w:val="194"/>
        </w:numPr>
        <w:tabs>
          <w:tab w:val="left" w:pos="849"/>
          <w:tab w:val="left" w:pos="4653"/>
        </w:tabs>
        <w:spacing w:line="220" w:lineRule="exact"/>
        <w:ind w:hanging="512"/>
        <w:rPr>
          <w:sz w:val="20"/>
        </w:rPr>
      </w:pPr>
      <w:hyperlink w:anchor="_bookmark288" w:history="1">
        <w:r w:rsidR="00F22F94">
          <w:rPr>
            <w:spacing w:val="-2"/>
            <w:sz w:val="20"/>
          </w:rPr>
          <w:t>Financing</w:t>
        </w:r>
        <w:r w:rsidR="00F22F94">
          <w:rPr>
            <w:sz w:val="20"/>
          </w:rPr>
          <w:tab/>
        </w:r>
        <w:r w:rsidR="00F22F94">
          <w:rPr>
            <w:spacing w:val="-5"/>
            <w:sz w:val="20"/>
          </w:rPr>
          <w:t>202</w:t>
        </w:r>
      </w:hyperlink>
    </w:p>
    <w:p w:rsidR="002C1123" w:rsidRDefault="002060EF">
      <w:pPr>
        <w:pStyle w:val="ListParagraph"/>
        <w:numPr>
          <w:ilvl w:val="1"/>
          <w:numId w:val="194"/>
        </w:numPr>
        <w:tabs>
          <w:tab w:val="left" w:pos="849"/>
          <w:tab w:val="left" w:pos="4653"/>
        </w:tabs>
        <w:spacing w:line="220" w:lineRule="exact"/>
        <w:ind w:hanging="512"/>
        <w:rPr>
          <w:sz w:val="20"/>
        </w:rPr>
      </w:pPr>
      <w:hyperlink w:anchor="_bookmark291" w:history="1">
        <w:r w:rsidR="00F22F94">
          <w:rPr>
            <w:spacing w:val="-2"/>
            <w:sz w:val="20"/>
          </w:rPr>
          <w:t>Procurement</w:t>
        </w:r>
        <w:r w:rsidR="00F22F94">
          <w:rPr>
            <w:sz w:val="20"/>
          </w:rPr>
          <w:tab/>
        </w:r>
        <w:r w:rsidR="00F22F94">
          <w:rPr>
            <w:spacing w:val="-5"/>
            <w:sz w:val="20"/>
          </w:rPr>
          <w:t>204</w:t>
        </w:r>
      </w:hyperlink>
    </w:p>
    <w:p w:rsidR="002C1123" w:rsidRDefault="002060EF">
      <w:pPr>
        <w:pStyle w:val="ListParagraph"/>
        <w:numPr>
          <w:ilvl w:val="1"/>
          <w:numId w:val="194"/>
        </w:numPr>
        <w:tabs>
          <w:tab w:val="left" w:pos="849"/>
          <w:tab w:val="left" w:pos="4653"/>
        </w:tabs>
        <w:spacing w:line="220" w:lineRule="exact"/>
        <w:ind w:hanging="512"/>
        <w:rPr>
          <w:sz w:val="20"/>
        </w:rPr>
      </w:pPr>
      <w:hyperlink w:anchor="_bookmark293" w:history="1">
        <w:r w:rsidR="00F22F94">
          <w:rPr>
            <w:w w:val="95"/>
            <w:sz w:val="20"/>
          </w:rPr>
          <w:t>WestConnex</w:t>
        </w:r>
        <w:r w:rsidR="00F22F94">
          <w:rPr>
            <w:spacing w:val="5"/>
            <w:sz w:val="20"/>
          </w:rPr>
          <w:t xml:space="preserve"> </w:t>
        </w:r>
        <w:r w:rsidR="00F22F94">
          <w:rPr>
            <w:w w:val="95"/>
            <w:sz w:val="20"/>
          </w:rPr>
          <w:t>case</w:t>
        </w:r>
        <w:r w:rsidR="00F22F94">
          <w:rPr>
            <w:spacing w:val="6"/>
            <w:sz w:val="20"/>
          </w:rPr>
          <w:t xml:space="preserve"> </w:t>
        </w:r>
        <w:r w:rsidR="00F22F94">
          <w:rPr>
            <w:spacing w:val="-2"/>
            <w:w w:val="95"/>
            <w:sz w:val="20"/>
          </w:rPr>
          <w:t>study</w:t>
        </w:r>
        <w:r w:rsidR="00F22F94">
          <w:rPr>
            <w:sz w:val="20"/>
          </w:rPr>
          <w:tab/>
        </w:r>
        <w:r w:rsidR="00F22F94">
          <w:rPr>
            <w:spacing w:val="-5"/>
            <w:sz w:val="20"/>
          </w:rPr>
          <w:t>205</w:t>
        </w:r>
      </w:hyperlink>
    </w:p>
    <w:p w:rsidR="002C1123" w:rsidRDefault="002060EF">
      <w:pPr>
        <w:pStyle w:val="ListParagraph"/>
        <w:numPr>
          <w:ilvl w:val="1"/>
          <w:numId w:val="194"/>
        </w:numPr>
        <w:tabs>
          <w:tab w:val="left" w:pos="849"/>
          <w:tab w:val="left" w:pos="4653"/>
        </w:tabs>
        <w:spacing w:line="225" w:lineRule="exact"/>
        <w:ind w:hanging="512"/>
        <w:rPr>
          <w:sz w:val="20"/>
        </w:rPr>
      </w:pPr>
      <w:hyperlink w:anchor="_bookmark296" w:history="1">
        <w:r w:rsidR="00F22F94">
          <w:rPr>
            <w:w w:val="95"/>
            <w:sz w:val="20"/>
          </w:rPr>
          <w:t>Infrastructure</w:t>
        </w:r>
        <w:r w:rsidR="00F22F94">
          <w:rPr>
            <w:spacing w:val="3"/>
            <w:sz w:val="20"/>
          </w:rPr>
          <w:t xml:space="preserve"> </w:t>
        </w:r>
        <w:r w:rsidR="00F22F94">
          <w:rPr>
            <w:w w:val="95"/>
            <w:sz w:val="20"/>
          </w:rPr>
          <w:t>NSW:</w:t>
        </w:r>
        <w:r w:rsidR="00F22F94">
          <w:rPr>
            <w:spacing w:val="4"/>
            <w:sz w:val="20"/>
          </w:rPr>
          <w:t xml:space="preserve"> </w:t>
        </w:r>
        <w:r w:rsidR="00F22F94">
          <w:rPr>
            <w:w w:val="95"/>
            <w:sz w:val="20"/>
          </w:rPr>
          <w:t>next</w:t>
        </w:r>
        <w:r w:rsidR="00F22F94">
          <w:rPr>
            <w:spacing w:val="4"/>
            <w:sz w:val="20"/>
          </w:rPr>
          <w:t xml:space="preserve"> </w:t>
        </w:r>
        <w:r w:rsidR="00F22F94">
          <w:rPr>
            <w:spacing w:val="-2"/>
            <w:w w:val="95"/>
            <w:sz w:val="20"/>
          </w:rPr>
          <w:t>steps</w:t>
        </w:r>
        <w:r w:rsidR="00F22F94">
          <w:rPr>
            <w:sz w:val="20"/>
          </w:rPr>
          <w:tab/>
        </w:r>
        <w:r w:rsidR="00F22F94">
          <w:rPr>
            <w:spacing w:val="-5"/>
            <w:sz w:val="20"/>
          </w:rPr>
          <w:t>207</w:t>
        </w:r>
      </w:hyperlink>
    </w:p>
    <w:p w:rsidR="002C1123" w:rsidRDefault="002060EF">
      <w:pPr>
        <w:pStyle w:val="BodyText"/>
        <w:tabs>
          <w:tab w:val="left" w:pos="4653"/>
        </w:tabs>
        <w:spacing w:before="152"/>
        <w:ind w:left="337"/>
      </w:pPr>
      <w:hyperlink w:anchor="_bookmark301" w:history="1">
        <w:r w:rsidR="00F22F94">
          <w:rPr>
            <w:color w:val="00AEEF"/>
            <w:w w:val="95"/>
          </w:rPr>
          <w:t>Expert</w:t>
        </w:r>
        <w:r w:rsidR="00F22F94">
          <w:rPr>
            <w:color w:val="00AEEF"/>
            <w:spacing w:val="5"/>
          </w:rPr>
          <w:t xml:space="preserve"> </w:t>
        </w:r>
        <w:r w:rsidR="00F22F94">
          <w:rPr>
            <w:color w:val="00AEEF"/>
            <w:spacing w:val="-2"/>
          </w:rPr>
          <w:t>reports</w:t>
        </w:r>
        <w:r w:rsidR="00F22F94">
          <w:rPr>
            <w:color w:val="00AEEF"/>
          </w:rPr>
          <w:tab/>
        </w:r>
        <w:r w:rsidR="00F22F94">
          <w:rPr>
            <w:color w:val="00AEEF"/>
            <w:spacing w:val="-5"/>
          </w:rPr>
          <w:t>211</w:t>
        </w:r>
      </w:hyperlink>
    </w:p>
    <w:p w:rsidR="002C1123" w:rsidRDefault="002C1123">
      <w:pPr>
        <w:sectPr w:rsidR="002C1123">
          <w:pgSz w:w="16840" w:h="11910" w:orient="landscape"/>
          <w:pgMar w:top="560" w:right="280" w:bottom="700" w:left="500" w:header="0" w:footer="517" w:gutter="0"/>
          <w:cols w:num="2" w:space="720" w:equalWidth="0">
            <w:col w:w="5141" w:space="40"/>
            <w:col w:w="10879"/>
          </w:cols>
        </w:sectPr>
      </w:pPr>
    </w:p>
    <w:p w:rsidR="002C1123" w:rsidRDefault="00F22F94">
      <w:pPr>
        <w:tabs>
          <w:tab w:val="left" w:pos="1187"/>
          <w:tab w:val="left" w:pos="2315"/>
          <w:tab w:val="left" w:pos="14023"/>
          <w:tab w:val="left" w:pos="14644"/>
        </w:tabs>
        <w:ind w:left="472"/>
        <w:rPr>
          <w:sz w:val="20"/>
        </w:rPr>
      </w:pPr>
      <w:bookmarkStart w:id="10" w:name="Chairman’s_foreword"/>
      <w:bookmarkStart w:id="11" w:name="_bookmark6"/>
      <w:bookmarkEnd w:id="10"/>
      <w:bookmarkEnd w:id="11"/>
      <w:r>
        <w:rPr>
          <w:noProof/>
          <w:position w:val="1"/>
          <w:sz w:val="20"/>
        </w:rPr>
        <w:lastRenderedPageBreak/>
        <w:drawing>
          <wp:inline distT="0" distB="0" distL="0" distR="0">
            <wp:extent cx="250303" cy="196024"/>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1" cstate="print"/>
                    <a:stretch>
                      <a:fillRect/>
                    </a:stretch>
                  </pic:blipFill>
                  <pic:spPr>
                    <a:xfrm>
                      <a:off x="0" y="0"/>
                      <a:ext cx="250303" cy="196024"/>
                    </a:xfrm>
                    <a:prstGeom prst="rect">
                      <a:avLst/>
                    </a:prstGeom>
                  </pic:spPr>
                </pic:pic>
              </a:graphicData>
            </a:graphic>
          </wp:inline>
        </w:drawing>
      </w:r>
      <w:r>
        <w:rPr>
          <w:position w:val="1"/>
          <w:sz w:val="20"/>
        </w:rPr>
        <w:tab/>
      </w:r>
      <w:r>
        <w:rPr>
          <w:noProof/>
          <w:sz w:val="20"/>
        </w:rPr>
        <w:drawing>
          <wp:inline distT="0" distB="0" distL="0" distR="0">
            <wp:extent cx="200190" cy="200025"/>
            <wp:effectExtent l="0" t="0" r="0" b="0"/>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2" cstate="print"/>
                    <a:stretch>
                      <a:fillRect/>
                    </a:stretch>
                  </pic:blipFill>
                  <pic:spPr>
                    <a:xfrm>
                      <a:off x="0" y="0"/>
                      <a:ext cx="200190" cy="200025"/>
                    </a:xfrm>
                    <a:prstGeom prst="rect">
                      <a:avLst/>
                    </a:prstGeom>
                  </pic:spPr>
                </pic:pic>
              </a:graphicData>
            </a:graphic>
          </wp:inline>
        </w:drawing>
      </w:r>
      <w:r>
        <w:rPr>
          <w:sz w:val="20"/>
        </w:rPr>
        <w:tab/>
      </w:r>
      <w:r w:rsidR="002060EF">
        <w:rPr>
          <w:position w:val="1"/>
          <w:sz w:val="20"/>
        </w:rPr>
      </w:r>
      <w:r w:rsidR="002060EF">
        <w:rPr>
          <w:position w:val="1"/>
          <w:sz w:val="20"/>
        </w:rPr>
        <w:pict>
          <v:group id="docshapegroup23" o:spid="_x0000_s5241" style="width:15.35pt;height:15.35pt;mso-position-horizontal-relative:char;mso-position-vertical-relative:line" coordsize="307,307">
            <v:shape id="docshape24" o:spid="_x0000_s5242" style="position:absolute;width:307;height:307" coordsize="307,307" o:spt="100" adj="0,,0" path="m240,133r-173,l67,173r173,l240,133xm306,153l294,94,280,72r,81l270,202r-27,41l202,270r-49,10l104,270,64,243,37,202,27,153,37,104,64,64,104,37,153,27r49,10l243,64r27,40l280,153r,-81l261,45,234,27,213,12,153,,94,12,45,45,12,94,,153r12,60l45,261r49,33l153,306r60,-12l234,280r27,-19l294,213r12,-60xe" stroked="f">
              <v:stroke joinstyle="round"/>
              <v:formulas/>
              <v:path arrowok="t" o:connecttype="segments"/>
            </v:shape>
            <w10:anchorlock/>
          </v:group>
        </w:pict>
      </w:r>
      <w:r>
        <w:rPr>
          <w:rFonts w:ascii="Times New Roman"/>
          <w:spacing w:val="60"/>
          <w:position w:val="1"/>
          <w:sz w:val="20"/>
        </w:rPr>
        <w:t xml:space="preserve"> </w:t>
      </w:r>
      <w:r>
        <w:rPr>
          <w:noProof/>
          <w:spacing w:val="60"/>
          <w:sz w:val="20"/>
        </w:rPr>
        <w:drawing>
          <wp:inline distT="0" distB="0" distL="0" distR="0">
            <wp:extent cx="195276" cy="195262"/>
            <wp:effectExtent l="0" t="0" r="0" b="0"/>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13" cstate="print"/>
                    <a:stretch>
                      <a:fillRect/>
                    </a:stretch>
                  </pic:blipFill>
                  <pic:spPr>
                    <a:xfrm>
                      <a:off x="0" y="0"/>
                      <a:ext cx="195276" cy="195262"/>
                    </a:xfrm>
                    <a:prstGeom prst="rect">
                      <a:avLst/>
                    </a:prstGeom>
                  </pic:spPr>
                </pic:pic>
              </a:graphicData>
            </a:graphic>
          </wp:inline>
        </w:drawing>
      </w:r>
      <w:r>
        <w:rPr>
          <w:spacing w:val="60"/>
          <w:sz w:val="20"/>
        </w:rPr>
        <w:tab/>
      </w:r>
      <w:r>
        <w:rPr>
          <w:noProof/>
          <w:spacing w:val="60"/>
          <w:sz w:val="20"/>
        </w:rPr>
        <w:drawing>
          <wp:inline distT="0" distB="0" distL="0" distR="0">
            <wp:extent cx="210415" cy="200025"/>
            <wp:effectExtent l="0" t="0" r="0" b="0"/>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4" cstate="print"/>
                    <a:stretch>
                      <a:fillRect/>
                    </a:stretch>
                  </pic:blipFill>
                  <pic:spPr>
                    <a:xfrm>
                      <a:off x="0" y="0"/>
                      <a:ext cx="210415" cy="200025"/>
                    </a:xfrm>
                    <a:prstGeom prst="rect">
                      <a:avLst/>
                    </a:prstGeom>
                  </pic:spPr>
                </pic:pic>
              </a:graphicData>
            </a:graphic>
          </wp:inline>
        </w:drawing>
      </w:r>
      <w:r>
        <w:rPr>
          <w:spacing w:val="60"/>
          <w:sz w:val="20"/>
        </w:rPr>
        <w:tab/>
      </w:r>
      <w:r>
        <w:rPr>
          <w:noProof/>
          <w:spacing w:val="60"/>
          <w:sz w:val="20"/>
        </w:rPr>
        <w:drawing>
          <wp:inline distT="0" distB="0" distL="0" distR="0">
            <wp:extent cx="195268" cy="195262"/>
            <wp:effectExtent l="0" t="0" r="0" b="0"/>
            <wp:docPr id="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15" cstate="print"/>
                    <a:stretch>
                      <a:fillRect/>
                    </a:stretch>
                  </pic:blipFill>
                  <pic:spPr>
                    <a:xfrm>
                      <a:off x="0" y="0"/>
                      <a:ext cx="195268" cy="195262"/>
                    </a:xfrm>
                    <a:prstGeom prst="rect">
                      <a:avLst/>
                    </a:prstGeom>
                  </pic:spPr>
                </pic:pic>
              </a:graphicData>
            </a:graphic>
          </wp:inline>
        </w:drawing>
      </w:r>
      <w:r>
        <w:rPr>
          <w:rFonts w:ascii="Times New Roman"/>
          <w:spacing w:val="55"/>
          <w:sz w:val="20"/>
        </w:rPr>
        <w:t xml:space="preserve"> </w:t>
      </w:r>
      <w:r>
        <w:rPr>
          <w:noProof/>
          <w:spacing w:val="55"/>
          <w:sz w:val="20"/>
        </w:rPr>
        <w:drawing>
          <wp:inline distT="0" distB="0" distL="0" distR="0">
            <wp:extent cx="195268" cy="195262"/>
            <wp:effectExtent l="0" t="0" r="0" b="0"/>
            <wp:docPr id="1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png"/>
                    <pic:cNvPicPr/>
                  </pic:nvPicPr>
                  <pic:blipFill>
                    <a:blip r:embed="rId16" cstate="print"/>
                    <a:stretch>
                      <a:fillRect/>
                    </a:stretch>
                  </pic:blipFill>
                  <pic:spPr>
                    <a:xfrm>
                      <a:off x="0" y="0"/>
                      <a:ext cx="195268" cy="195262"/>
                    </a:xfrm>
                    <a:prstGeom prst="rect">
                      <a:avLst/>
                    </a:prstGeom>
                  </pic:spPr>
                </pic:pic>
              </a:graphicData>
            </a:graphic>
          </wp:inline>
        </w:drawing>
      </w: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9"/>
        <w:rPr>
          <w:sz w:val="22"/>
        </w:rPr>
      </w:pPr>
    </w:p>
    <w:p w:rsidR="002C1123" w:rsidRDefault="002C1123">
      <w:pPr>
        <w:sectPr w:rsidR="002C1123">
          <w:headerReference w:type="default" r:id="rId17"/>
          <w:footerReference w:type="default" r:id="rId18"/>
          <w:pgSz w:w="16840" w:h="11910" w:orient="landscape"/>
          <w:pgMar w:top="140" w:right="280" w:bottom="280" w:left="500" w:header="0" w:footer="0" w:gutter="0"/>
          <w:cols w:space="720"/>
        </w:sectPr>
      </w:pPr>
    </w:p>
    <w:p w:rsidR="002C1123" w:rsidRDefault="002060EF">
      <w:pPr>
        <w:spacing w:before="749" w:line="175" w:lineRule="auto"/>
        <w:ind w:left="492"/>
        <w:rPr>
          <w:rFonts w:ascii="Trebuchet MS" w:hAnsi="Trebuchet MS"/>
          <w:sz w:val="264"/>
        </w:rPr>
      </w:pPr>
      <w:r>
        <w:pict>
          <v:rect id="docshape25" o:spid="_x0000_s5240" style="position:absolute;left:0;text-align:left;margin-left:0;margin-top:0;width:841.9pt;height:595.3pt;z-index:-251541504;mso-position-horizontal-relative:page;mso-position-vertical-relative:page" fillcolor="#2e3092" stroked="f">
            <w10:wrap anchorx="page" anchory="page"/>
          </v:rect>
        </w:pict>
      </w:r>
      <w:bookmarkStart w:id="12" w:name="_bookmark5"/>
      <w:bookmarkEnd w:id="12"/>
      <w:r w:rsidR="00F22F94">
        <w:rPr>
          <w:rFonts w:ascii="Trebuchet MS" w:hAnsi="Trebuchet MS"/>
          <w:color w:val="00AEEF"/>
          <w:spacing w:val="-50"/>
          <w:w w:val="53"/>
          <w:sz w:val="264"/>
        </w:rPr>
        <w:t>Ch</w:t>
      </w:r>
      <w:r w:rsidR="00F22F94">
        <w:rPr>
          <w:rFonts w:ascii="Trebuchet MS" w:hAnsi="Trebuchet MS"/>
          <w:color w:val="00AEEF"/>
          <w:spacing w:val="-39"/>
          <w:w w:val="53"/>
          <w:sz w:val="264"/>
        </w:rPr>
        <w:t>a</w:t>
      </w:r>
      <w:r w:rsidR="00F22F94">
        <w:rPr>
          <w:rFonts w:ascii="Trebuchet MS" w:hAnsi="Trebuchet MS"/>
          <w:color w:val="00AEEF"/>
          <w:spacing w:val="-45"/>
          <w:w w:val="46"/>
          <w:sz w:val="264"/>
        </w:rPr>
        <w:t>i</w:t>
      </w:r>
      <w:r w:rsidR="00F22F94">
        <w:rPr>
          <w:rFonts w:ascii="Trebuchet MS" w:hAnsi="Trebuchet MS"/>
          <w:color w:val="00AEEF"/>
          <w:spacing w:val="-47"/>
          <w:w w:val="63"/>
          <w:sz w:val="264"/>
        </w:rPr>
        <w:t>r</w:t>
      </w:r>
      <w:r w:rsidR="00F22F94">
        <w:rPr>
          <w:rFonts w:ascii="Trebuchet MS" w:hAnsi="Trebuchet MS"/>
          <w:color w:val="00AEEF"/>
          <w:spacing w:val="-47"/>
          <w:w w:val="51"/>
          <w:sz w:val="264"/>
        </w:rPr>
        <w:t>m</w:t>
      </w:r>
      <w:r w:rsidR="00F22F94">
        <w:rPr>
          <w:rFonts w:ascii="Trebuchet MS" w:hAnsi="Trebuchet MS"/>
          <w:color w:val="00AEEF"/>
          <w:spacing w:val="-39"/>
          <w:w w:val="55"/>
          <w:sz w:val="264"/>
        </w:rPr>
        <w:t>a</w:t>
      </w:r>
      <w:r w:rsidR="00F22F94">
        <w:rPr>
          <w:rFonts w:ascii="Trebuchet MS" w:hAnsi="Trebuchet MS"/>
          <w:color w:val="00AEEF"/>
          <w:spacing w:val="-119"/>
          <w:w w:val="52"/>
          <w:sz w:val="264"/>
        </w:rPr>
        <w:t>n</w:t>
      </w:r>
      <w:r w:rsidR="00F22F94">
        <w:rPr>
          <w:rFonts w:ascii="Trebuchet MS" w:hAnsi="Trebuchet MS"/>
          <w:color w:val="00AEEF"/>
          <w:spacing w:val="-156"/>
          <w:w w:val="54"/>
          <w:sz w:val="264"/>
        </w:rPr>
        <w:t>’</w:t>
      </w:r>
      <w:r w:rsidR="00F22F94">
        <w:rPr>
          <w:rFonts w:ascii="Trebuchet MS" w:hAnsi="Trebuchet MS"/>
          <w:color w:val="00AEEF"/>
          <w:spacing w:val="-2"/>
          <w:w w:val="70"/>
          <w:sz w:val="264"/>
        </w:rPr>
        <w:t>s</w:t>
      </w:r>
      <w:r w:rsidR="00F22F94">
        <w:rPr>
          <w:rFonts w:ascii="Trebuchet MS" w:hAnsi="Trebuchet MS"/>
          <w:color w:val="00AEEF"/>
          <w:spacing w:val="-60"/>
          <w:w w:val="55"/>
          <w:sz w:val="264"/>
        </w:rPr>
        <w:t xml:space="preserve"> </w:t>
      </w:r>
      <w:r w:rsidR="00F22F94">
        <w:rPr>
          <w:rFonts w:ascii="Trebuchet MS" w:hAnsi="Trebuchet MS"/>
          <w:color w:val="00AEEF"/>
          <w:spacing w:val="-4"/>
          <w:w w:val="55"/>
          <w:sz w:val="264"/>
        </w:rPr>
        <w:t>foreword</w:t>
      </w:r>
    </w:p>
    <w:p w:rsidR="002C1123" w:rsidRDefault="002C1123">
      <w:pPr>
        <w:pStyle w:val="BodyText"/>
        <w:spacing w:before="7"/>
        <w:rPr>
          <w:rFonts w:ascii="Trebuchet MS"/>
          <w:sz w:val="390"/>
        </w:rPr>
      </w:pPr>
    </w:p>
    <w:p w:rsidR="002C1123" w:rsidRDefault="00F22F94">
      <w:pPr>
        <w:spacing w:before="1"/>
        <w:ind w:left="435"/>
        <w:rPr>
          <w:sz w:val="14"/>
        </w:rPr>
      </w:pPr>
      <w:r>
        <w:rPr>
          <w:color w:val="FFFFFF"/>
          <w:w w:val="95"/>
          <w:sz w:val="14"/>
        </w:rPr>
        <w:t>Infrastructure</w:t>
      </w:r>
      <w:r>
        <w:rPr>
          <w:color w:val="FFFFFF"/>
          <w:spacing w:val="8"/>
          <w:sz w:val="14"/>
        </w:rPr>
        <w:t xml:space="preserve"> </w:t>
      </w:r>
      <w:r>
        <w:rPr>
          <w:color w:val="FFFFFF"/>
          <w:w w:val="95"/>
          <w:sz w:val="14"/>
        </w:rPr>
        <w:t>NSW</w:t>
      </w:r>
      <w:r>
        <w:rPr>
          <w:color w:val="FFFFFF"/>
          <w:spacing w:val="55"/>
          <w:sz w:val="14"/>
        </w:rPr>
        <w:t xml:space="preserve"> </w:t>
      </w:r>
      <w:r>
        <w:rPr>
          <w:color w:val="FFFFFF"/>
          <w:w w:val="95"/>
          <w:sz w:val="14"/>
        </w:rPr>
        <w:t>|</w:t>
      </w:r>
      <w:r>
        <w:rPr>
          <w:color w:val="FFFFFF"/>
          <w:spacing w:val="9"/>
          <w:sz w:val="14"/>
        </w:rPr>
        <w:t xml:space="preserve"> </w:t>
      </w:r>
      <w:r>
        <w:rPr>
          <w:color w:val="FFFFFF"/>
          <w:w w:val="95"/>
          <w:sz w:val="14"/>
        </w:rPr>
        <w:t>State</w:t>
      </w:r>
      <w:r>
        <w:rPr>
          <w:color w:val="FFFFFF"/>
          <w:spacing w:val="9"/>
          <w:sz w:val="14"/>
        </w:rPr>
        <w:t xml:space="preserve"> </w:t>
      </w:r>
      <w:r>
        <w:rPr>
          <w:color w:val="FFFFFF"/>
          <w:w w:val="95"/>
          <w:sz w:val="14"/>
        </w:rPr>
        <w:t>Infrastructure</w:t>
      </w:r>
      <w:r>
        <w:rPr>
          <w:color w:val="FFFFFF"/>
          <w:spacing w:val="9"/>
          <w:sz w:val="14"/>
        </w:rPr>
        <w:t xml:space="preserve"> </w:t>
      </w:r>
      <w:r>
        <w:rPr>
          <w:color w:val="FFFFFF"/>
          <w:spacing w:val="-2"/>
          <w:w w:val="95"/>
          <w:sz w:val="14"/>
        </w:rPr>
        <w:t>Strategy</w:t>
      </w:r>
    </w:p>
    <w:p w:rsidR="002C1123" w:rsidRDefault="00F22F94">
      <w:pPr>
        <w:rPr>
          <w:sz w:val="42"/>
        </w:rPr>
      </w:pPr>
      <w:r>
        <w:br w:type="column"/>
      </w:r>
    </w:p>
    <w:p w:rsidR="002C1123" w:rsidRDefault="002C1123">
      <w:pPr>
        <w:pStyle w:val="BodyText"/>
        <w:spacing w:before="6"/>
        <w:rPr>
          <w:sz w:val="46"/>
        </w:rPr>
      </w:pPr>
    </w:p>
    <w:p w:rsidR="002C1123" w:rsidRDefault="00F22F94">
      <w:pPr>
        <w:pStyle w:val="Heading4"/>
        <w:spacing w:line="254" w:lineRule="auto"/>
        <w:ind w:left="435" w:right="2044"/>
      </w:pPr>
      <w:r>
        <w:rPr>
          <w:color w:val="FFFFFF"/>
        </w:rPr>
        <w:t>It</w:t>
      </w:r>
      <w:r>
        <w:rPr>
          <w:color w:val="FFFFFF"/>
          <w:spacing w:val="-22"/>
        </w:rPr>
        <w:t xml:space="preserve"> </w:t>
      </w:r>
      <w:r>
        <w:rPr>
          <w:color w:val="FFFFFF"/>
        </w:rPr>
        <w:t>is</w:t>
      </w:r>
      <w:r>
        <w:rPr>
          <w:color w:val="FFFFFF"/>
          <w:spacing w:val="-22"/>
        </w:rPr>
        <w:t xml:space="preserve"> </w:t>
      </w:r>
      <w:r>
        <w:rPr>
          <w:color w:val="FFFFFF"/>
        </w:rPr>
        <w:t>with</w:t>
      </w:r>
      <w:r>
        <w:rPr>
          <w:color w:val="FFFFFF"/>
          <w:spacing w:val="-22"/>
        </w:rPr>
        <w:t xml:space="preserve"> </w:t>
      </w:r>
      <w:r>
        <w:rPr>
          <w:color w:val="FFFFFF"/>
        </w:rPr>
        <w:t>great</w:t>
      </w:r>
      <w:r>
        <w:rPr>
          <w:color w:val="FFFFFF"/>
          <w:spacing w:val="-22"/>
        </w:rPr>
        <w:t xml:space="preserve"> </w:t>
      </w:r>
      <w:r>
        <w:rPr>
          <w:color w:val="FFFFFF"/>
        </w:rPr>
        <w:t>pleasure</w:t>
      </w:r>
      <w:r>
        <w:rPr>
          <w:color w:val="FFFFFF"/>
          <w:spacing w:val="-22"/>
        </w:rPr>
        <w:t xml:space="preserve"> </w:t>
      </w:r>
      <w:r>
        <w:rPr>
          <w:color w:val="FFFFFF"/>
        </w:rPr>
        <w:t>that</w:t>
      </w:r>
      <w:r>
        <w:rPr>
          <w:color w:val="FFFFFF"/>
          <w:spacing w:val="-22"/>
        </w:rPr>
        <w:t xml:space="preserve"> </w:t>
      </w:r>
      <w:r>
        <w:rPr>
          <w:color w:val="FFFFFF"/>
        </w:rPr>
        <w:t>I</w:t>
      </w:r>
      <w:r>
        <w:rPr>
          <w:color w:val="FFFFFF"/>
          <w:spacing w:val="-22"/>
        </w:rPr>
        <w:t xml:space="preserve"> </w:t>
      </w:r>
      <w:r>
        <w:rPr>
          <w:color w:val="FFFFFF"/>
        </w:rPr>
        <w:t>provide the State Infrastructure Strategy to the NSW Government on behalf of</w:t>
      </w:r>
    </w:p>
    <w:p w:rsidR="002C1123" w:rsidRDefault="00F22F94">
      <w:pPr>
        <w:spacing w:before="3" w:line="254" w:lineRule="auto"/>
        <w:ind w:left="435" w:right="1617"/>
        <w:rPr>
          <w:sz w:val="36"/>
        </w:rPr>
      </w:pPr>
      <w:r>
        <w:rPr>
          <w:color w:val="FFFFFF"/>
          <w:w w:val="95"/>
          <w:sz w:val="36"/>
        </w:rPr>
        <w:t xml:space="preserve">Infrastructure NSW, in accordance with </w:t>
      </w:r>
      <w:r>
        <w:rPr>
          <w:color w:val="FFFFFF"/>
          <w:sz w:val="36"/>
        </w:rPr>
        <w:t>the</w:t>
      </w:r>
      <w:r>
        <w:rPr>
          <w:color w:val="FFFFFF"/>
          <w:spacing w:val="-5"/>
          <w:sz w:val="36"/>
        </w:rPr>
        <w:t xml:space="preserve"> </w:t>
      </w:r>
      <w:r>
        <w:rPr>
          <w:color w:val="FFFFFF"/>
          <w:sz w:val="36"/>
        </w:rPr>
        <w:t>Infrastructure</w:t>
      </w:r>
      <w:r>
        <w:rPr>
          <w:color w:val="FFFFFF"/>
          <w:spacing w:val="-5"/>
          <w:sz w:val="36"/>
        </w:rPr>
        <w:t xml:space="preserve"> </w:t>
      </w:r>
      <w:r>
        <w:rPr>
          <w:color w:val="FFFFFF"/>
          <w:sz w:val="36"/>
        </w:rPr>
        <w:t>NSW</w:t>
      </w:r>
      <w:r>
        <w:rPr>
          <w:color w:val="FFFFFF"/>
          <w:spacing w:val="-5"/>
          <w:sz w:val="36"/>
        </w:rPr>
        <w:t xml:space="preserve"> </w:t>
      </w:r>
      <w:r>
        <w:rPr>
          <w:color w:val="FFFFFF"/>
          <w:sz w:val="36"/>
        </w:rPr>
        <w:t>Act</w:t>
      </w:r>
      <w:r>
        <w:rPr>
          <w:color w:val="FFFFFF"/>
          <w:spacing w:val="-5"/>
          <w:sz w:val="36"/>
        </w:rPr>
        <w:t xml:space="preserve"> </w:t>
      </w:r>
      <w:r>
        <w:rPr>
          <w:color w:val="FFFFFF"/>
          <w:sz w:val="36"/>
        </w:rPr>
        <w:t>2011.</w:t>
      </w:r>
    </w:p>
    <w:p w:rsidR="002C1123" w:rsidRDefault="002C1123">
      <w:pPr>
        <w:pStyle w:val="BodyText"/>
        <w:rPr>
          <w:sz w:val="42"/>
        </w:rPr>
      </w:pPr>
    </w:p>
    <w:p w:rsidR="002C1123" w:rsidRDefault="002C1123">
      <w:pPr>
        <w:pStyle w:val="BodyText"/>
        <w:rPr>
          <w:sz w:val="42"/>
        </w:rPr>
      </w:pPr>
    </w:p>
    <w:p w:rsidR="002C1123" w:rsidRDefault="002C1123">
      <w:pPr>
        <w:pStyle w:val="BodyText"/>
        <w:rPr>
          <w:sz w:val="42"/>
        </w:rPr>
      </w:pPr>
    </w:p>
    <w:p w:rsidR="002C1123" w:rsidRDefault="002C1123">
      <w:pPr>
        <w:pStyle w:val="BodyText"/>
        <w:rPr>
          <w:sz w:val="42"/>
        </w:rPr>
      </w:pPr>
    </w:p>
    <w:p w:rsidR="002C1123" w:rsidRDefault="002C1123">
      <w:pPr>
        <w:pStyle w:val="BodyText"/>
        <w:rPr>
          <w:sz w:val="42"/>
        </w:rPr>
      </w:pPr>
    </w:p>
    <w:p w:rsidR="002C1123" w:rsidRDefault="002C1123">
      <w:pPr>
        <w:pStyle w:val="BodyText"/>
        <w:rPr>
          <w:sz w:val="42"/>
        </w:rPr>
      </w:pPr>
    </w:p>
    <w:p w:rsidR="002C1123" w:rsidRDefault="002C1123">
      <w:pPr>
        <w:pStyle w:val="BodyText"/>
        <w:rPr>
          <w:sz w:val="42"/>
        </w:rPr>
      </w:pPr>
    </w:p>
    <w:p w:rsidR="002C1123" w:rsidRDefault="002C1123">
      <w:pPr>
        <w:pStyle w:val="BodyText"/>
        <w:rPr>
          <w:sz w:val="42"/>
        </w:rPr>
      </w:pPr>
    </w:p>
    <w:p w:rsidR="002C1123" w:rsidRDefault="002C1123">
      <w:pPr>
        <w:pStyle w:val="BodyText"/>
        <w:rPr>
          <w:sz w:val="42"/>
        </w:rPr>
      </w:pPr>
    </w:p>
    <w:p w:rsidR="002C1123" w:rsidRDefault="002C1123">
      <w:pPr>
        <w:pStyle w:val="BodyText"/>
        <w:rPr>
          <w:sz w:val="42"/>
        </w:rPr>
      </w:pPr>
    </w:p>
    <w:p w:rsidR="002C1123" w:rsidRDefault="002C1123">
      <w:pPr>
        <w:pStyle w:val="BodyText"/>
        <w:rPr>
          <w:sz w:val="42"/>
        </w:rPr>
      </w:pPr>
    </w:p>
    <w:p w:rsidR="002C1123" w:rsidRDefault="002C1123">
      <w:pPr>
        <w:pStyle w:val="BodyText"/>
        <w:rPr>
          <w:sz w:val="42"/>
        </w:rPr>
      </w:pPr>
    </w:p>
    <w:p w:rsidR="002C1123" w:rsidRDefault="002C1123">
      <w:pPr>
        <w:pStyle w:val="BodyText"/>
        <w:rPr>
          <w:sz w:val="42"/>
        </w:rPr>
      </w:pPr>
    </w:p>
    <w:p w:rsidR="002C1123" w:rsidRDefault="00F22F94">
      <w:pPr>
        <w:spacing w:before="248"/>
        <w:ind w:right="710"/>
        <w:jc w:val="right"/>
        <w:rPr>
          <w:b/>
          <w:sz w:val="16"/>
        </w:rPr>
      </w:pPr>
      <w:r>
        <w:rPr>
          <w:color w:val="FFFFFF"/>
          <w:w w:val="95"/>
          <w:sz w:val="16"/>
        </w:rPr>
        <w:t>Chairman’s</w:t>
      </w:r>
      <w:r>
        <w:rPr>
          <w:color w:val="FFFFFF"/>
          <w:spacing w:val="7"/>
          <w:sz w:val="16"/>
        </w:rPr>
        <w:t xml:space="preserve"> </w:t>
      </w:r>
      <w:r>
        <w:rPr>
          <w:color w:val="FFFFFF"/>
          <w:w w:val="95"/>
          <w:sz w:val="16"/>
        </w:rPr>
        <w:t>foreword</w:t>
      </w:r>
      <w:r>
        <w:rPr>
          <w:color w:val="FFFFFF"/>
          <w:spacing w:val="8"/>
          <w:sz w:val="16"/>
        </w:rPr>
        <w:t xml:space="preserve"> </w:t>
      </w:r>
      <w:r>
        <w:rPr>
          <w:b/>
          <w:color w:val="FFFFFF"/>
          <w:w w:val="95"/>
          <w:sz w:val="16"/>
        </w:rPr>
        <w:t>Page</w:t>
      </w:r>
      <w:r>
        <w:rPr>
          <w:b/>
          <w:color w:val="FFFFFF"/>
          <w:spacing w:val="8"/>
          <w:sz w:val="16"/>
        </w:rPr>
        <w:t xml:space="preserve"> </w:t>
      </w:r>
      <w:r>
        <w:rPr>
          <w:b/>
          <w:color w:val="FFFFFF"/>
          <w:spacing w:val="-10"/>
          <w:w w:val="95"/>
          <w:sz w:val="16"/>
        </w:rPr>
        <w:t>4</w:t>
      </w:r>
    </w:p>
    <w:p w:rsidR="002C1123" w:rsidRDefault="002C1123">
      <w:pPr>
        <w:jc w:val="right"/>
        <w:rPr>
          <w:sz w:val="16"/>
        </w:rPr>
        <w:sectPr w:rsidR="002C1123">
          <w:type w:val="continuous"/>
          <w:pgSz w:w="16840" w:h="11910" w:orient="landscape"/>
          <w:pgMar w:top="560" w:right="280" w:bottom="280" w:left="500" w:header="0" w:footer="0" w:gutter="0"/>
          <w:cols w:num="2" w:space="720" w:equalWidth="0">
            <w:col w:w="7547" w:space="50"/>
            <w:col w:w="8463"/>
          </w:cols>
        </w:sectPr>
      </w:pPr>
    </w:p>
    <w:p w:rsidR="002C1123" w:rsidRDefault="00F22F94">
      <w:pPr>
        <w:tabs>
          <w:tab w:val="left" w:pos="1187"/>
          <w:tab w:val="left" w:pos="2315"/>
          <w:tab w:val="left" w:pos="14023"/>
          <w:tab w:val="left" w:pos="14644"/>
        </w:tabs>
        <w:ind w:left="472"/>
        <w:rPr>
          <w:sz w:val="20"/>
        </w:rPr>
      </w:pPr>
      <w:r>
        <w:rPr>
          <w:noProof/>
          <w:position w:val="1"/>
          <w:sz w:val="20"/>
        </w:rPr>
        <w:lastRenderedPageBreak/>
        <w:drawing>
          <wp:inline distT="0" distB="0" distL="0" distR="0">
            <wp:extent cx="250303" cy="196024"/>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11" cstate="print"/>
                    <a:stretch>
                      <a:fillRect/>
                    </a:stretch>
                  </pic:blipFill>
                  <pic:spPr>
                    <a:xfrm>
                      <a:off x="0" y="0"/>
                      <a:ext cx="250303" cy="196024"/>
                    </a:xfrm>
                    <a:prstGeom prst="rect">
                      <a:avLst/>
                    </a:prstGeom>
                  </pic:spPr>
                </pic:pic>
              </a:graphicData>
            </a:graphic>
          </wp:inline>
        </w:drawing>
      </w:r>
      <w:r>
        <w:rPr>
          <w:position w:val="1"/>
          <w:sz w:val="20"/>
        </w:rPr>
        <w:tab/>
      </w:r>
      <w:r>
        <w:rPr>
          <w:noProof/>
          <w:sz w:val="20"/>
        </w:rPr>
        <w:drawing>
          <wp:inline distT="0" distB="0" distL="0" distR="0">
            <wp:extent cx="200190" cy="200025"/>
            <wp:effectExtent l="0" t="0" r="0" b="0"/>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12" cstate="print"/>
                    <a:stretch>
                      <a:fillRect/>
                    </a:stretch>
                  </pic:blipFill>
                  <pic:spPr>
                    <a:xfrm>
                      <a:off x="0" y="0"/>
                      <a:ext cx="200190" cy="200025"/>
                    </a:xfrm>
                    <a:prstGeom prst="rect">
                      <a:avLst/>
                    </a:prstGeom>
                  </pic:spPr>
                </pic:pic>
              </a:graphicData>
            </a:graphic>
          </wp:inline>
        </w:drawing>
      </w:r>
      <w:r>
        <w:rPr>
          <w:sz w:val="20"/>
        </w:rPr>
        <w:tab/>
      </w:r>
      <w:r w:rsidR="002060EF">
        <w:rPr>
          <w:position w:val="1"/>
          <w:sz w:val="20"/>
        </w:rPr>
      </w:r>
      <w:r w:rsidR="002060EF">
        <w:rPr>
          <w:position w:val="1"/>
          <w:sz w:val="20"/>
        </w:rPr>
        <w:pict>
          <v:group id="docshapegroup26" o:spid="_x0000_s5238" style="width:15.35pt;height:15.35pt;mso-position-horizontal-relative:char;mso-position-vertical-relative:line" coordsize="307,307">
            <v:shape id="docshape27" o:spid="_x0000_s5239" style="position:absolute;width:307;height:307" coordsize="307,307" o:spt="100" adj="0,,0" path="m240,133r-173,l67,173r173,l240,133xm306,153l294,94,280,72r,81l270,202r-27,41l202,270r-49,10l104,270,64,243,37,202,27,153,37,104,64,64,104,37,153,27r49,10l243,64r27,40l280,153r,-81l261,45,234,27,213,12,153,,94,12,45,45,12,94,,153r12,60l45,261r49,33l153,306r60,-12l234,280r27,-19l294,213r12,-60xe" stroked="f">
              <v:stroke joinstyle="round"/>
              <v:formulas/>
              <v:path arrowok="t" o:connecttype="segments"/>
            </v:shape>
            <w10:anchorlock/>
          </v:group>
        </w:pict>
      </w:r>
      <w:r>
        <w:rPr>
          <w:rFonts w:ascii="Times New Roman"/>
          <w:spacing w:val="60"/>
          <w:position w:val="1"/>
          <w:sz w:val="20"/>
        </w:rPr>
        <w:t xml:space="preserve"> </w:t>
      </w:r>
      <w:r>
        <w:rPr>
          <w:noProof/>
          <w:spacing w:val="60"/>
          <w:sz w:val="20"/>
        </w:rPr>
        <w:drawing>
          <wp:inline distT="0" distB="0" distL="0" distR="0">
            <wp:extent cx="195276" cy="195262"/>
            <wp:effectExtent l="0" t="0" r="0" b="0"/>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13" cstate="print"/>
                    <a:stretch>
                      <a:fillRect/>
                    </a:stretch>
                  </pic:blipFill>
                  <pic:spPr>
                    <a:xfrm>
                      <a:off x="0" y="0"/>
                      <a:ext cx="195276" cy="195262"/>
                    </a:xfrm>
                    <a:prstGeom prst="rect">
                      <a:avLst/>
                    </a:prstGeom>
                  </pic:spPr>
                </pic:pic>
              </a:graphicData>
            </a:graphic>
          </wp:inline>
        </w:drawing>
      </w:r>
      <w:r>
        <w:rPr>
          <w:spacing w:val="60"/>
          <w:sz w:val="20"/>
        </w:rPr>
        <w:tab/>
      </w:r>
      <w:r>
        <w:rPr>
          <w:noProof/>
          <w:spacing w:val="60"/>
          <w:sz w:val="20"/>
        </w:rPr>
        <w:drawing>
          <wp:inline distT="0" distB="0" distL="0" distR="0">
            <wp:extent cx="210415" cy="200025"/>
            <wp:effectExtent l="0" t="0" r="0" b="0"/>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14" cstate="print"/>
                    <a:stretch>
                      <a:fillRect/>
                    </a:stretch>
                  </pic:blipFill>
                  <pic:spPr>
                    <a:xfrm>
                      <a:off x="0" y="0"/>
                      <a:ext cx="210415" cy="200025"/>
                    </a:xfrm>
                    <a:prstGeom prst="rect">
                      <a:avLst/>
                    </a:prstGeom>
                  </pic:spPr>
                </pic:pic>
              </a:graphicData>
            </a:graphic>
          </wp:inline>
        </w:drawing>
      </w:r>
      <w:r>
        <w:rPr>
          <w:spacing w:val="60"/>
          <w:sz w:val="20"/>
        </w:rPr>
        <w:tab/>
      </w:r>
      <w:r>
        <w:rPr>
          <w:noProof/>
          <w:spacing w:val="60"/>
          <w:sz w:val="20"/>
        </w:rPr>
        <w:drawing>
          <wp:inline distT="0" distB="0" distL="0" distR="0">
            <wp:extent cx="195268" cy="195262"/>
            <wp:effectExtent l="0" t="0" r="0" b="0"/>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15" cstate="print"/>
                    <a:stretch>
                      <a:fillRect/>
                    </a:stretch>
                  </pic:blipFill>
                  <pic:spPr>
                    <a:xfrm>
                      <a:off x="0" y="0"/>
                      <a:ext cx="195268" cy="195262"/>
                    </a:xfrm>
                    <a:prstGeom prst="rect">
                      <a:avLst/>
                    </a:prstGeom>
                  </pic:spPr>
                </pic:pic>
              </a:graphicData>
            </a:graphic>
          </wp:inline>
        </w:drawing>
      </w:r>
      <w:r>
        <w:rPr>
          <w:rFonts w:ascii="Times New Roman"/>
          <w:spacing w:val="55"/>
          <w:sz w:val="20"/>
        </w:rPr>
        <w:t xml:space="preserve"> </w:t>
      </w:r>
      <w:r>
        <w:rPr>
          <w:noProof/>
          <w:spacing w:val="55"/>
          <w:sz w:val="20"/>
        </w:rPr>
        <w:drawing>
          <wp:inline distT="0" distB="0" distL="0" distR="0">
            <wp:extent cx="195268" cy="195262"/>
            <wp:effectExtent l="0" t="0" r="0" b="0"/>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16" cstate="print"/>
                    <a:stretch>
                      <a:fillRect/>
                    </a:stretch>
                  </pic:blipFill>
                  <pic:spPr>
                    <a:xfrm>
                      <a:off x="0" y="0"/>
                      <a:ext cx="195268" cy="195262"/>
                    </a:xfrm>
                    <a:prstGeom prst="rect">
                      <a:avLst/>
                    </a:prstGeom>
                  </pic:spPr>
                </pic:pic>
              </a:graphicData>
            </a:graphic>
          </wp:inline>
        </w:drawing>
      </w: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spacing w:before="5"/>
        <w:rPr>
          <w:b/>
          <w:sz w:val="25"/>
        </w:rPr>
      </w:pPr>
    </w:p>
    <w:p w:rsidR="002C1123" w:rsidRDefault="002C1123">
      <w:pPr>
        <w:rPr>
          <w:sz w:val="25"/>
        </w:rPr>
        <w:sectPr w:rsidR="002C1123">
          <w:headerReference w:type="default" r:id="rId19"/>
          <w:footerReference w:type="default" r:id="rId20"/>
          <w:pgSz w:w="16840" w:h="11910" w:orient="landscape"/>
          <w:pgMar w:top="140" w:right="280" w:bottom="280" w:left="500" w:header="0" w:footer="0" w:gutter="0"/>
          <w:cols w:space="720"/>
        </w:sectPr>
      </w:pPr>
    </w:p>
    <w:p w:rsidR="002C1123" w:rsidRDefault="00F22F94">
      <w:pPr>
        <w:spacing w:before="103" w:line="249" w:lineRule="auto"/>
        <w:ind w:left="2897" w:right="14" w:firstLine="3"/>
        <w:rPr>
          <w:i/>
          <w:sz w:val="20"/>
        </w:rPr>
      </w:pPr>
      <w:r>
        <w:rPr>
          <w:noProof/>
        </w:rPr>
        <w:drawing>
          <wp:anchor distT="0" distB="0" distL="0" distR="0" simplePos="0" relativeHeight="251201536" behindDoc="0" locked="0" layoutInCell="1" allowOverlap="1">
            <wp:simplePos x="0" y="0"/>
            <wp:positionH relativeFrom="page">
              <wp:posOffset>629996</wp:posOffset>
            </wp:positionH>
            <wp:positionV relativeFrom="paragraph">
              <wp:posOffset>93859</wp:posOffset>
            </wp:positionV>
            <wp:extent cx="1452003" cy="1988997"/>
            <wp:effectExtent l="0" t="0" r="0" b="0"/>
            <wp:wrapNone/>
            <wp:docPr id="2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png"/>
                    <pic:cNvPicPr/>
                  </pic:nvPicPr>
                  <pic:blipFill>
                    <a:blip r:embed="rId21" cstate="print"/>
                    <a:stretch>
                      <a:fillRect/>
                    </a:stretch>
                  </pic:blipFill>
                  <pic:spPr>
                    <a:xfrm>
                      <a:off x="0" y="0"/>
                      <a:ext cx="1452003" cy="1988997"/>
                    </a:xfrm>
                    <a:prstGeom prst="rect">
                      <a:avLst/>
                    </a:prstGeom>
                  </pic:spPr>
                </pic:pic>
              </a:graphicData>
            </a:graphic>
          </wp:anchor>
        </w:drawing>
      </w:r>
      <w:bookmarkStart w:id="13" w:name="_bookmark7"/>
      <w:bookmarkEnd w:id="13"/>
      <w:r>
        <w:rPr>
          <w:color w:val="FFFFFF"/>
          <w:sz w:val="20"/>
        </w:rPr>
        <w:t>Infrastructure NSW was created in July 2011 for</w:t>
      </w:r>
      <w:r>
        <w:rPr>
          <w:color w:val="FFFFFF"/>
          <w:spacing w:val="40"/>
          <w:sz w:val="20"/>
        </w:rPr>
        <w:t xml:space="preserve"> </w:t>
      </w:r>
      <w:r>
        <w:rPr>
          <w:color w:val="FFFFFF"/>
          <w:sz w:val="20"/>
        </w:rPr>
        <w:t>the purpose, in the words of</w:t>
      </w:r>
      <w:r>
        <w:rPr>
          <w:color w:val="FFFFFF"/>
          <w:spacing w:val="-6"/>
          <w:sz w:val="20"/>
        </w:rPr>
        <w:t xml:space="preserve"> </w:t>
      </w:r>
      <w:r>
        <w:rPr>
          <w:color w:val="FFFFFF"/>
          <w:sz w:val="20"/>
        </w:rPr>
        <w:t>the</w:t>
      </w:r>
      <w:r>
        <w:rPr>
          <w:color w:val="FFFFFF"/>
          <w:spacing w:val="-6"/>
          <w:sz w:val="20"/>
        </w:rPr>
        <w:t xml:space="preserve"> </w:t>
      </w:r>
      <w:r>
        <w:rPr>
          <w:color w:val="FFFFFF"/>
          <w:sz w:val="20"/>
        </w:rPr>
        <w:t>Premier,</w:t>
      </w:r>
      <w:r>
        <w:rPr>
          <w:color w:val="FFFFFF"/>
          <w:spacing w:val="-6"/>
          <w:sz w:val="20"/>
        </w:rPr>
        <w:t xml:space="preserve"> </w:t>
      </w:r>
      <w:r>
        <w:rPr>
          <w:i/>
          <w:color w:val="FFFFFF"/>
          <w:sz w:val="20"/>
        </w:rPr>
        <w:t>“to</w:t>
      </w:r>
      <w:r>
        <w:rPr>
          <w:i/>
          <w:color w:val="FFFFFF"/>
          <w:spacing w:val="-6"/>
          <w:sz w:val="20"/>
        </w:rPr>
        <w:t xml:space="preserve"> </w:t>
      </w:r>
      <w:r>
        <w:rPr>
          <w:i/>
          <w:color w:val="FFFFFF"/>
          <w:sz w:val="20"/>
        </w:rPr>
        <w:t>set</w:t>
      </w:r>
      <w:r>
        <w:rPr>
          <w:i/>
          <w:color w:val="FFFFFF"/>
          <w:spacing w:val="-6"/>
          <w:sz w:val="20"/>
        </w:rPr>
        <w:t xml:space="preserve"> </w:t>
      </w:r>
      <w:r>
        <w:rPr>
          <w:i/>
          <w:color w:val="FFFFFF"/>
          <w:sz w:val="20"/>
        </w:rPr>
        <w:t>New South Wales back on the path of investment in world’s best practice infrastructure</w:t>
      </w:r>
      <w:r>
        <w:rPr>
          <w:i/>
          <w:color w:val="FFFFFF"/>
          <w:spacing w:val="-9"/>
          <w:sz w:val="20"/>
        </w:rPr>
        <w:t xml:space="preserve"> </w:t>
      </w:r>
      <w:r>
        <w:rPr>
          <w:i/>
          <w:color w:val="FFFFFF"/>
          <w:sz w:val="20"/>
        </w:rPr>
        <w:t>planning</w:t>
      </w:r>
      <w:r>
        <w:rPr>
          <w:i/>
          <w:color w:val="FFFFFF"/>
          <w:spacing w:val="-9"/>
          <w:sz w:val="20"/>
        </w:rPr>
        <w:t xml:space="preserve"> </w:t>
      </w:r>
      <w:r>
        <w:rPr>
          <w:i/>
          <w:color w:val="FFFFFF"/>
          <w:sz w:val="20"/>
        </w:rPr>
        <w:t>and delivery to improve the lives of our citizens across this State. The people of New</w:t>
      </w:r>
      <w:r>
        <w:rPr>
          <w:i/>
          <w:color w:val="FFFFFF"/>
          <w:spacing w:val="-14"/>
          <w:sz w:val="20"/>
        </w:rPr>
        <w:t xml:space="preserve"> </w:t>
      </w:r>
      <w:r>
        <w:rPr>
          <w:i/>
          <w:color w:val="FFFFFF"/>
          <w:sz w:val="20"/>
        </w:rPr>
        <w:t>South</w:t>
      </w:r>
      <w:r>
        <w:rPr>
          <w:i/>
          <w:color w:val="FFFFFF"/>
          <w:spacing w:val="-14"/>
          <w:sz w:val="20"/>
        </w:rPr>
        <w:t xml:space="preserve"> </w:t>
      </w:r>
      <w:r>
        <w:rPr>
          <w:i/>
          <w:color w:val="FFFFFF"/>
          <w:sz w:val="20"/>
        </w:rPr>
        <w:t>Wales</w:t>
      </w:r>
      <w:r>
        <w:rPr>
          <w:i/>
          <w:color w:val="FFFFFF"/>
          <w:spacing w:val="-14"/>
          <w:sz w:val="20"/>
        </w:rPr>
        <w:t xml:space="preserve"> </w:t>
      </w:r>
      <w:r>
        <w:rPr>
          <w:i/>
          <w:color w:val="FFFFFF"/>
          <w:sz w:val="20"/>
        </w:rPr>
        <w:t>want</w:t>
      </w:r>
      <w:r>
        <w:rPr>
          <w:i/>
          <w:color w:val="FFFFFF"/>
          <w:spacing w:val="-14"/>
          <w:sz w:val="20"/>
        </w:rPr>
        <w:t xml:space="preserve"> </w:t>
      </w:r>
      <w:r>
        <w:rPr>
          <w:i/>
          <w:color w:val="FFFFFF"/>
          <w:sz w:val="20"/>
        </w:rPr>
        <w:t>our State to be number one again. … Providing the</w:t>
      </w:r>
    </w:p>
    <w:p w:rsidR="002C1123" w:rsidRDefault="00F22F94">
      <w:pPr>
        <w:spacing w:before="12" w:line="249" w:lineRule="auto"/>
        <w:ind w:left="501" w:right="42" w:firstLine="4"/>
        <w:rPr>
          <w:i/>
          <w:sz w:val="20"/>
        </w:rPr>
      </w:pPr>
      <w:r>
        <w:rPr>
          <w:i/>
          <w:color w:val="FFFFFF"/>
          <w:sz w:val="20"/>
        </w:rPr>
        <w:t>infrastructure</w:t>
      </w:r>
      <w:r>
        <w:rPr>
          <w:i/>
          <w:color w:val="FFFFFF"/>
          <w:spacing w:val="-13"/>
          <w:sz w:val="20"/>
        </w:rPr>
        <w:t xml:space="preserve"> </w:t>
      </w:r>
      <w:r>
        <w:rPr>
          <w:i/>
          <w:color w:val="FFFFFF"/>
          <w:sz w:val="20"/>
        </w:rPr>
        <w:t>that</w:t>
      </w:r>
      <w:r>
        <w:rPr>
          <w:i/>
          <w:color w:val="FFFFFF"/>
          <w:spacing w:val="-13"/>
          <w:sz w:val="20"/>
        </w:rPr>
        <w:t xml:space="preserve"> </w:t>
      </w:r>
      <w:r>
        <w:rPr>
          <w:i/>
          <w:color w:val="FFFFFF"/>
          <w:sz w:val="20"/>
        </w:rPr>
        <w:t>New</w:t>
      </w:r>
      <w:r>
        <w:rPr>
          <w:i/>
          <w:color w:val="FFFFFF"/>
          <w:spacing w:val="-13"/>
          <w:sz w:val="20"/>
        </w:rPr>
        <w:t xml:space="preserve"> </w:t>
      </w:r>
      <w:r>
        <w:rPr>
          <w:i/>
          <w:color w:val="FFFFFF"/>
          <w:sz w:val="20"/>
        </w:rPr>
        <w:t>South</w:t>
      </w:r>
      <w:r>
        <w:rPr>
          <w:i/>
          <w:color w:val="FFFFFF"/>
          <w:spacing w:val="-13"/>
          <w:sz w:val="20"/>
        </w:rPr>
        <w:t xml:space="preserve"> </w:t>
      </w:r>
      <w:r>
        <w:rPr>
          <w:i/>
          <w:color w:val="FFFFFF"/>
          <w:sz w:val="20"/>
        </w:rPr>
        <w:t>Wales</w:t>
      </w:r>
      <w:r>
        <w:rPr>
          <w:i/>
          <w:color w:val="FFFFFF"/>
          <w:spacing w:val="-13"/>
          <w:sz w:val="20"/>
        </w:rPr>
        <w:t xml:space="preserve"> </w:t>
      </w:r>
      <w:r>
        <w:rPr>
          <w:i/>
          <w:color w:val="FFFFFF"/>
          <w:sz w:val="20"/>
        </w:rPr>
        <w:t>needs</w:t>
      </w:r>
      <w:r>
        <w:rPr>
          <w:i/>
          <w:color w:val="FFFFFF"/>
          <w:spacing w:val="-13"/>
          <w:sz w:val="20"/>
        </w:rPr>
        <w:t xml:space="preserve"> </w:t>
      </w:r>
      <w:r>
        <w:rPr>
          <w:i/>
          <w:color w:val="FFFFFF"/>
          <w:sz w:val="20"/>
        </w:rPr>
        <w:t>and deserves is the first step”.</w:t>
      </w:r>
    </w:p>
    <w:p w:rsidR="002C1123" w:rsidRDefault="00F22F94">
      <w:pPr>
        <w:pStyle w:val="BodyText"/>
        <w:spacing w:before="143" w:line="249" w:lineRule="auto"/>
        <w:ind w:left="496" w:right="42" w:hanging="16"/>
      </w:pPr>
      <w:r>
        <w:rPr>
          <w:color w:val="FFFFFF"/>
        </w:rPr>
        <w:t>The State Infrastructure Strategy is central to Infrastructure NSW’s purpose as it provides the Government with independent advice on the infrastructure needs of the State over the next 20 years. It looks across a broad range of sectors and identifies specific strategies and projects for priority consideration, complementing the work of line</w:t>
      </w:r>
    </w:p>
    <w:p w:rsidR="002C1123" w:rsidRDefault="00F22F94">
      <w:pPr>
        <w:pStyle w:val="BodyText"/>
        <w:spacing w:before="6" w:line="249" w:lineRule="auto"/>
        <w:ind w:left="501" w:right="42" w:hanging="1"/>
      </w:pPr>
      <w:r>
        <w:rPr>
          <w:color w:val="FFFFFF"/>
        </w:rPr>
        <w:t>and</w:t>
      </w:r>
      <w:r>
        <w:rPr>
          <w:color w:val="FFFFFF"/>
          <w:spacing w:val="-6"/>
        </w:rPr>
        <w:t xml:space="preserve"> </w:t>
      </w:r>
      <w:r>
        <w:rPr>
          <w:color w:val="FFFFFF"/>
        </w:rPr>
        <w:t>specialist</w:t>
      </w:r>
      <w:r>
        <w:rPr>
          <w:color w:val="FFFFFF"/>
          <w:spacing w:val="-6"/>
        </w:rPr>
        <w:t xml:space="preserve"> </w:t>
      </w:r>
      <w:r>
        <w:rPr>
          <w:color w:val="FFFFFF"/>
        </w:rPr>
        <w:t>agencies</w:t>
      </w:r>
      <w:r>
        <w:rPr>
          <w:color w:val="FFFFFF"/>
          <w:spacing w:val="-6"/>
        </w:rPr>
        <w:t xml:space="preserve"> </w:t>
      </w:r>
      <w:r>
        <w:rPr>
          <w:color w:val="FFFFFF"/>
        </w:rPr>
        <w:t>focusing</w:t>
      </w:r>
      <w:r>
        <w:rPr>
          <w:color w:val="FFFFFF"/>
          <w:spacing w:val="-6"/>
        </w:rPr>
        <w:t xml:space="preserve"> </w:t>
      </w:r>
      <w:r>
        <w:rPr>
          <w:color w:val="FFFFFF"/>
        </w:rPr>
        <w:t>their</w:t>
      </w:r>
      <w:r>
        <w:rPr>
          <w:color w:val="FFFFFF"/>
          <w:spacing w:val="-6"/>
        </w:rPr>
        <w:t xml:space="preserve"> </w:t>
      </w:r>
      <w:r>
        <w:rPr>
          <w:color w:val="FFFFFF"/>
        </w:rPr>
        <w:t>efforts</w:t>
      </w:r>
      <w:r>
        <w:rPr>
          <w:color w:val="FFFFFF"/>
          <w:spacing w:val="-6"/>
        </w:rPr>
        <w:t xml:space="preserve"> </w:t>
      </w:r>
      <w:r>
        <w:rPr>
          <w:color w:val="FFFFFF"/>
        </w:rPr>
        <w:t>in specific sectors.</w:t>
      </w:r>
    </w:p>
    <w:p w:rsidR="002C1123" w:rsidRDefault="00F22F94">
      <w:pPr>
        <w:pStyle w:val="BodyText"/>
        <w:spacing w:before="143" w:line="249" w:lineRule="auto"/>
        <w:ind w:left="497" w:right="42" w:hanging="18"/>
      </w:pPr>
      <w:r>
        <w:rPr>
          <w:color w:val="FFFFFF"/>
        </w:rPr>
        <w:t>There is a fundamental link between sound infrastructure investment and a healthy, productive State</w:t>
      </w:r>
      <w:r>
        <w:rPr>
          <w:color w:val="FFFFFF"/>
          <w:spacing w:val="-4"/>
        </w:rPr>
        <w:t xml:space="preserve"> </w:t>
      </w:r>
      <w:r>
        <w:rPr>
          <w:color w:val="FFFFFF"/>
        </w:rPr>
        <w:t>economy</w:t>
      </w:r>
      <w:r>
        <w:rPr>
          <w:color w:val="FFFFFF"/>
          <w:spacing w:val="-4"/>
        </w:rPr>
        <w:t xml:space="preserve"> </w:t>
      </w:r>
      <w:r>
        <w:rPr>
          <w:color w:val="FFFFFF"/>
        </w:rPr>
        <w:t>that</w:t>
      </w:r>
      <w:r>
        <w:rPr>
          <w:color w:val="FFFFFF"/>
          <w:spacing w:val="-4"/>
        </w:rPr>
        <w:t xml:space="preserve"> </w:t>
      </w:r>
      <w:r>
        <w:rPr>
          <w:color w:val="FFFFFF"/>
        </w:rPr>
        <w:t>makes</w:t>
      </w:r>
      <w:r>
        <w:rPr>
          <w:color w:val="FFFFFF"/>
          <w:spacing w:val="-4"/>
        </w:rPr>
        <w:t xml:space="preserve"> </w:t>
      </w:r>
      <w:r>
        <w:rPr>
          <w:color w:val="FFFFFF"/>
        </w:rPr>
        <w:t>for</w:t>
      </w:r>
      <w:r>
        <w:rPr>
          <w:color w:val="FFFFFF"/>
          <w:spacing w:val="-4"/>
        </w:rPr>
        <w:t xml:space="preserve"> </w:t>
      </w:r>
      <w:r>
        <w:rPr>
          <w:color w:val="FFFFFF"/>
        </w:rPr>
        <w:t>a</w:t>
      </w:r>
      <w:r>
        <w:rPr>
          <w:color w:val="FFFFFF"/>
          <w:spacing w:val="-4"/>
        </w:rPr>
        <w:t xml:space="preserve"> </w:t>
      </w:r>
      <w:r>
        <w:rPr>
          <w:color w:val="FFFFFF"/>
        </w:rPr>
        <w:t>successful,</w:t>
      </w:r>
      <w:r>
        <w:rPr>
          <w:color w:val="FFFFFF"/>
          <w:spacing w:val="-4"/>
        </w:rPr>
        <w:t xml:space="preserve"> </w:t>
      </w:r>
      <w:r>
        <w:rPr>
          <w:color w:val="FFFFFF"/>
        </w:rPr>
        <w:t>attractive society.</w:t>
      </w:r>
      <w:r>
        <w:rPr>
          <w:color w:val="FFFFFF"/>
          <w:spacing w:val="-5"/>
        </w:rPr>
        <w:t xml:space="preserve"> </w:t>
      </w:r>
      <w:r>
        <w:rPr>
          <w:color w:val="FFFFFF"/>
        </w:rPr>
        <w:t>Infrastructure</w:t>
      </w:r>
      <w:r>
        <w:rPr>
          <w:color w:val="FFFFFF"/>
          <w:spacing w:val="-5"/>
        </w:rPr>
        <w:t xml:space="preserve"> </w:t>
      </w:r>
      <w:r>
        <w:rPr>
          <w:color w:val="FFFFFF"/>
        </w:rPr>
        <w:t>networks</w:t>
      </w:r>
      <w:r>
        <w:rPr>
          <w:color w:val="FFFFFF"/>
          <w:spacing w:val="-5"/>
        </w:rPr>
        <w:t xml:space="preserve"> </w:t>
      </w:r>
      <w:r>
        <w:rPr>
          <w:color w:val="FFFFFF"/>
        </w:rPr>
        <w:t>enable</w:t>
      </w:r>
      <w:r>
        <w:rPr>
          <w:color w:val="FFFFFF"/>
          <w:spacing w:val="-5"/>
        </w:rPr>
        <w:t xml:space="preserve"> </w:t>
      </w:r>
      <w:r>
        <w:rPr>
          <w:color w:val="FFFFFF"/>
        </w:rPr>
        <w:t>people</w:t>
      </w:r>
      <w:r>
        <w:rPr>
          <w:color w:val="FFFFFF"/>
          <w:spacing w:val="-5"/>
        </w:rPr>
        <w:t xml:space="preserve"> </w:t>
      </w:r>
      <w:r>
        <w:rPr>
          <w:color w:val="FFFFFF"/>
        </w:rPr>
        <w:t>to</w:t>
      </w:r>
      <w:r>
        <w:rPr>
          <w:color w:val="FFFFFF"/>
          <w:spacing w:val="-5"/>
        </w:rPr>
        <w:t xml:space="preserve"> </w:t>
      </w:r>
      <w:r>
        <w:rPr>
          <w:color w:val="FFFFFF"/>
        </w:rPr>
        <w:t>gain access to jobs and prosperity. It enables services to be provided and goods to be delivered to markets locally and globally.</w:t>
      </w:r>
    </w:p>
    <w:p w:rsidR="002C1123" w:rsidRDefault="00F22F94">
      <w:pPr>
        <w:pStyle w:val="BodyText"/>
        <w:spacing w:before="103" w:line="249" w:lineRule="auto"/>
        <w:ind w:left="198" w:right="170" w:hanging="1"/>
      </w:pPr>
      <w:r>
        <w:br w:type="column"/>
      </w:r>
      <w:r>
        <w:rPr>
          <w:color w:val="FFFFFF"/>
        </w:rPr>
        <w:t>It is a matter of record that in recent times, NSW</w:t>
      </w:r>
      <w:r>
        <w:rPr>
          <w:color w:val="FFFFFF"/>
          <w:spacing w:val="40"/>
        </w:rPr>
        <w:t xml:space="preserve"> </w:t>
      </w:r>
      <w:r>
        <w:rPr>
          <w:color w:val="FFFFFF"/>
        </w:rPr>
        <w:t>has handled this essential task poorly. The costs to the State can be seen most starkly in the erosion of public</w:t>
      </w:r>
      <w:r>
        <w:rPr>
          <w:color w:val="FFFFFF"/>
          <w:spacing w:val="1"/>
        </w:rPr>
        <w:t xml:space="preserve"> </w:t>
      </w:r>
      <w:r>
        <w:rPr>
          <w:color w:val="FFFFFF"/>
        </w:rPr>
        <w:t>confidence</w:t>
      </w:r>
      <w:r>
        <w:rPr>
          <w:color w:val="FFFFFF"/>
          <w:spacing w:val="2"/>
        </w:rPr>
        <w:t xml:space="preserve"> </w:t>
      </w:r>
      <w:r>
        <w:rPr>
          <w:color w:val="FFFFFF"/>
        </w:rPr>
        <w:t>in</w:t>
      </w:r>
      <w:r>
        <w:rPr>
          <w:color w:val="FFFFFF"/>
          <w:spacing w:val="1"/>
        </w:rPr>
        <w:t xml:space="preserve"> </w:t>
      </w:r>
      <w:r>
        <w:rPr>
          <w:color w:val="FFFFFF"/>
        </w:rPr>
        <w:t>Government</w:t>
      </w:r>
      <w:r>
        <w:rPr>
          <w:color w:val="FFFFFF"/>
          <w:spacing w:val="2"/>
        </w:rPr>
        <w:t xml:space="preserve"> </w:t>
      </w:r>
      <w:r>
        <w:rPr>
          <w:color w:val="FFFFFF"/>
        </w:rPr>
        <w:t>to</w:t>
      </w:r>
      <w:r>
        <w:rPr>
          <w:color w:val="FFFFFF"/>
          <w:spacing w:val="1"/>
        </w:rPr>
        <w:t xml:space="preserve"> </w:t>
      </w:r>
      <w:r>
        <w:rPr>
          <w:color w:val="FFFFFF"/>
        </w:rPr>
        <w:t>plan</w:t>
      </w:r>
      <w:r>
        <w:rPr>
          <w:color w:val="FFFFFF"/>
          <w:spacing w:val="2"/>
        </w:rPr>
        <w:t xml:space="preserve"> </w:t>
      </w:r>
      <w:r>
        <w:rPr>
          <w:color w:val="FFFFFF"/>
        </w:rPr>
        <w:t>and</w:t>
      </w:r>
      <w:r>
        <w:rPr>
          <w:color w:val="FFFFFF"/>
          <w:spacing w:val="2"/>
        </w:rPr>
        <w:t xml:space="preserve"> </w:t>
      </w:r>
      <w:r>
        <w:rPr>
          <w:color w:val="FFFFFF"/>
          <w:spacing w:val="-2"/>
        </w:rPr>
        <w:t>deliver</w:t>
      </w:r>
    </w:p>
    <w:p w:rsidR="002C1123" w:rsidRDefault="00F22F94">
      <w:pPr>
        <w:pStyle w:val="BodyText"/>
        <w:spacing w:before="4" w:line="249" w:lineRule="auto"/>
        <w:ind w:left="200"/>
      </w:pPr>
      <w:r>
        <w:rPr>
          <w:color w:val="FFFFFF"/>
        </w:rPr>
        <w:t>major</w:t>
      </w:r>
      <w:r>
        <w:rPr>
          <w:color w:val="FFFFFF"/>
          <w:spacing w:val="-7"/>
        </w:rPr>
        <w:t xml:space="preserve"> </w:t>
      </w:r>
      <w:r>
        <w:rPr>
          <w:color w:val="FFFFFF"/>
        </w:rPr>
        <w:t>infrastructure</w:t>
      </w:r>
      <w:r>
        <w:rPr>
          <w:color w:val="FFFFFF"/>
          <w:spacing w:val="-7"/>
        </w:rPr>
        <w:t xml:space="preserve"> </w:t>
      </w:r>
      <w:r>
        <w:rPr>
          <w:color w:val="FFFFFF"/>
        </w:rPr>
        <w:t>successfully</w:t>
      </w:r>
      <w:r>
        <w:rPr>
          <w:color w:val="FFFFFF"/>
          <w:spacing w:val="-7"/>
        </w:rPr>
        <w:t xml:space="preserve"> </w:t>
      </w:r>
      <w:r>
        <w:rPr>
          <w:color w:val="FFFFFF"/>
        </w:rPr>
        <w:t>and</w:t>
      </w:r>
      <w:r>
        <w:rPr>
          <w:color w:val="FFFFFF"/>
          <w:spacing w:val="-7"/>
        </w:rPr>
        <w:t xml:space="preserve"> </w:t>
      </w:r>
      <w:r>
        <w:rPr>
          <w:color w:val="FFFFFF"/>
        </w:rPr>
        <w:t>in</w:t>
      </w:r>
      <w:r>
        <w:rPr>
          <w:color w:val="FFFFFF"/>
          <w:spacing w:val="-7"/>
        </w:rPr>
        <w:t xml:space="preserve"> </w:t>
      </w:r>
      <w:r>
        <w:rPr>
          <w:color w:val="FFFFFF"/>
        </w:rPr>
        <w:t>the</w:t>
      </w:r>
      <w:r>
        <w:rPr>
          <w:color w:val="FFFFFF"/>
          <w:spacing w:val="-7"/>
        </w:rPr>
        <w:t xml:space="preserve"> </w:t>
      </w:r>
      <w:r>
        <w:rPr>
          <w:color w:val="FFFFFF"/>
        </w:rPr>
        <w:t>retreat</w:t>
      </w:r>
      <w:r>
        <w:rPr>
          <w:color w:val="FFFFFF"/>
          <w:spacing w:val="-7"/>
        </w:rPr>
        <w:t xml:space="preserve"> </w:t>
      </w:r>
      <w:r>
        <w:rPr>
          <w:color w:val="FFFFFF"/>
        </w:rPr>
        <w:t>of private investors from the infrastructure sector.</w:t>
      </w:r>
    </w:p>
    <w:p w:rsidR="002C1123" w:rsidRDefault="00F22F94">
      <w:pPr>
        <w:pStyle w:val="BodyText"/>
        <w:spacing w:before="143" w:line="249" w:lineRule="auto"/>
        <w:ind w:left="196" w:hanging="18"/>
      </w:pPr>
      <w:r>
        <w:rPr>
          <w:color w:val="FFFFFF"/>
        </w:rPr>
        <w:t>The</w:t>
      </w:r>
      <w:r>
        <w:rPr>
          <w:color w:val="FFFFFF"/>
          <w:spacing w:val="-8"/>
        </w:rPr>
        <w:t xml:space="preserve"> </w:t>
      </w:r>
      <w:r>
        <w:rPr>
          <w:color w:val="FFFFFF"/>
        </w:rPr>
        <w:t>effects</w:t>
      </w:r>
      <w:r>
        <w:rPr>
          <w:color w:val="FFFFFF"/>
          <w:spacing w:val="-8"/>
        </w:rPr>
        <w:t xml:space="preserve"> </w:t>
      </w:r>
      <w:r>
        <w:rPr>
          <w:color w:val="FFFFFF"/>
        </w:rPr>
        <w:t>on</w:t>
      </w:r>
      <w:r>
        <w:rPr>
          <w:color w:val="FFFFFF"/>
          <w:spacing w:val="-8"/>
        </w:rPr>
        <w:t xml:space="preserve"> </w:t>
      </w:r>
      <w:r>
        <w:rPr>
          <w:color w:val="FFFFFF"/>
        </w:rPr>
        <w:t>daily</w:t>
      </w:r>
      <w:r>
        <w:rPr>
          <w:color w:val="FFFFFF"/>
          <w:spacing w:val="-8"/>
        </w:rPr>
        <w:t xml:space="preserve"> </w:t>
      </w:r>
      <w:r>
        <w:rPr>
          <w:color w:val="FFFFFF"/>
        </w:rPr>
        <w:t>life</w:t>
      </w:r>
      <w:r>
        <w:rPr>
          <w:color w:val="FFFFFF"/>
          <w:spacing w:val="-8"/>
        </w:rPr>
        <w:t xml:space="preserve"> </w:t>
      </w:r>
      <w:r>
        <w:rPr>
          <w:color w:val="FFFFFF"/>
        </w:rPr>
        <w:t>in</w:t>
      </w:r>
      <w:r>
        <w:rPr>
          <w:color w:val="FFFFFF"/>
          <w:spacing w:val="-8"/>
        </w:rPr>
        <w:t xml:space="preserve"> </w:t>
      </w:r>
      <w:r>
        <w:rPr>
          <w:color w:val="FFFFFF"/>
        </w:rPr>
        <w:t>NSW</w:t>
      </w:r>
      <w:r>
        <w:rPr>
          <w:color w:val="FFFFFF"/>
          <w:spacing w:val="-8"/>
        </w:rPr>
        <w:t xml:space="preserve"> </w:t>
      </w:r>
      <w:r>
        <w:rPr>
          <w:color w:val="FFFFFF"/>
        </w:rPr>
        <w:t>are</w:t>
      </w:r>
      <w:r>
        <w:rPr>
          <w:color w:val="FFFFFF"/>
          <w:spacing w:val="-8"/>
        </w:rPr>
        <w:t xml:space="preserve"> </w:t>
      </w:r>
      <w:r>
        <w:rPr>
          <w:color w:val="FFFFFF"/>
        </w:rPr>
        <w:t>yet</w:t>
      </w:r>
      <w:r>
        <w:rPr>
          <w:color w:val="FFFFFF"/>
          <w:spacing w:val="-9"/>
        </w:rPr>
        <w:t xml:space="preserve"> </w:t>
      </w:r>
      <w:r>
        <w:rPr>
          <w:color w:val="FFFFFF"/>
        </w:rPr>
        <w:t>more</w:t>
      </w:r>
      <w:r>
        <w:rPr>
          <w:color w:val="FFFFFF"/>
          <w:spacing w:val="-8"/>
        </w:rPr>
        <w:t xml:space="preserve"> </w:t>
      </w:r>
      <w:r>
        <w:rPr>
          <w:color w:val="FFFFFF"/>
        </w:rPr>
        <w:t>profound. For every dollar that has been wasted on abandoned or poorly scoped projects, there is a commuter whose train journey is significantly longer than it should</w:t>
      </w:r>
    </w:p>
    <w:p w:rsidR="002C1123" w:rsidRDefault="00F22F94">
      <w:pPr>
        <w:pStyle w:val="BodyText"/>
        <w:spacing w:before="3" w:line="249" w:lineRule="auto"/>
        <w:ind w:left="196" w:right="179" w:firstLine="4"/>
      </w:pPr>
      <w:r>
        <w:rPr>
          <w:color w:val="FFFFFF"/>
        </w:rPr>
        <w:t>be and a business whose road freight transport costs could have been reduced by well-directed investment. There are countless lost opportunities for NSW in terms of productivity, efficiency and quality</w:t>
      </w:r>
      <w:r>
        <w:rPr>
          <w:color w:val="FFFFFF"/>
          <w:spacing w:val="-6"/>
        </w:rPr>
        <w:t xml:space="preserve"> </w:t>
      </w:r>
      <w:r>
        <w:rPr>
          <w:color w:val="FFFFFF"/>
        </w:rPr>
        <w:t>of</w:t>
      </w:r>
      <w:r>
        <w:rPr>
          <w:color w:val="FFFFFF"/>
          <w:spacing w:val="-6"/>
        </w:rPr>
        <w:t xml:space="preserve"> </w:t>
      </w:r>
      <w:r>
        <w:rPr>
          <w:color w:val="FFFFFF"/>
        </w:rPr>
        <w:t>life</w:t>
      </w:r>
      <w:r>
        <w:rPr>
          <w:color w:val="FFFFFF"/>
          <w:spacing w:val="-6"/>
        </w:rPr>
        <w:t xml:space="preserve"> </w:t>
      </w:r>
      <w:r>
        <w:rPr>
          <w:color w:val="FFFFFF"/>
        </w:rPr>
        <w:t>as</w:t>
      </w:r>
      <w:r>
        <w:rPr>
          <w:color w:val="FFFFFF"/>
          <w:spacing w:val="-6"/>
        </w:rPr>
        <w:t xml:space="preserve"> </w:t>
      </w:r>
      <w:r>
        <w:rPr>
          <w:color w:val="FFFFFF"/>
        </w:rPr>
        <w:t>a</w:t>
      </w:r>
      <w:r>
        <w:rPr>
          <w:color w:val="FFFFFF"/>
          <w:spacing w:val="-6"/>
        </w:rPr>
        <w:t xml:space="preserve"> </w:t>
      </w:r>
      <w:r>
        <w:rPr>
          <w:color w:val="FFFFFF"/>
        </w:rPr>
        <w:t>result</w:t>
      </w:r>
      <w:r>
        <w:rPr>
          <w:color w:val="FFFFFF"/>
          <w:spacing w:val="-6"/>
        </w:rPr>
        <w:t xml:space="preserve"> </w:t>
      </w:r>
      <w:r>
        <w:rPr>
          <w:color w:val="FFFFFF"/>
        </w:rPr>
        <w:t>of</w:t>
      </w:r>
      <w:r>
        <w:rPr>
          <w:color w:val="FFFFFF"/>
          <w:spacing w:val="-6"/>
        </w:rPr>
        <w:t xml:space="preserve"> </w:t>
      </w:r>
      <w:r>
        <w:rPr>
          <w:color w:val="FFFFFF"/>
        </w:rPr>
        <w:t>investment</w:t>
      </w:r>
      <w:r>
        <w:rPr>
          <w:color w:val="FFFFFF"/>
          <w:spacing w:val="-6"/>
        </w:rPr>
        <w:t xml:space="preserve"> </w:t>
      </w:r>
      <w:r>
        <w:rPr>
          <w:color w:val="FFFFFF"/>
        </w:rPr>
        <w:t>that</w:t>
      </w:r>
      <w:r>
        <w:rPr>
          <w:color w:val="FFFFFF"/>
          <w:spacing w:val="-6"/>
        </w:rPr>
        <w:t xml:space="preserve"> </w:t>
      </w:r>
      <w:r>
        <w:rPr>
          <w:color w:val="FFFFFF"/>
        </w:rPr>
        <w:t>has</w:t>
      </w:r>
      <w:r>
        <w:rPr>
          <w:color w:val="FFFFFF"/>
          <w:spacing w:val="-6"/>
        </w:rPr>
        <w:t xml:space="preserve"> </w:t>
      </w:r>
      <w:r>
        <w:rPr>
          <w:color w:val="FFFFFF"/>
        </w:rPr>
        <w:t>been misdirected or withheld.</w:t>
      </w:r>
    </w:p>
    <w:p w:rsidR="002C1123" w:rsidRDefault="00F22F94">
      <w:pPr>
        <w:pStyle w:val="BodyText"/>
        <w:spacing w:before="147" w:line="249" w:lineRule="auto"/>
        <w:ind w:left="196" w:right="3" w:hanging="18"/>
      </w:pPr>
      <w:r>
        <w:rPr>
          <w:color w:val="FFFFFF"/>
        </w:rPr>
        <w:t>These</w:t>
      </w:r>
      <w:r>
        <w:rPr>
          <w:color w:val="FFFFFF"/>
          <w:spacing w:val="-10"/>
        </w:rPr>
        <w:t xml:space="preserve"> </w:t>
      </w:r>
      <w:r>
        <w:rPr>
          <w:color w:val="FFFFFF"/>
        </w:rPr>
        <w:t>failures</w:t>
      </w:r>
      <w:r>
        <w:rPr>
          <w:color w:val="FFFFFF"/>
          <w:spacing w:val="-10"/>
        </w:rPr>
        <w:t xml:space="preserve"> </w:t>
      </w:r>
      <w:r>
        <w:rPr>
          <w:color w:val="FFFFFF"/>
        </w:rPr>
        <w:t>of</w:t>
      </w:r>
      <w:r>
        <w:rPr>
          <w:color w:val="FFFFFF"/>
          <w:spacing w:val="-10"/>
        </w:rPr>
        <w:t xml:space="preserve"> </w:t>
      </w:r>
      <w:r>
        <w:rPr>
          <w:color w:val="FFFFFF"/>
        </w:rPr>
        <w:t>policy</w:t>
      </w:r>
      <w:r>
        <w:rPr>
          <w:color w:val="FFFFFF"/>
          <w:spacing w:val="-10"/>
        </w:rPr>
        <w:t xml:space="preserve"> </w:t>
      </w:r>
      <w:r>
        <w:rPr>
          <w:color w:val="FFFFFF"/>
        </w:rPr>
        <w:t>making</w:t>
      </w:r>
      <w:r>
        <w:rPr>
          <w:color w:val="FFFFFF"/>
          <w:spacing w:val="-10"/>
        </w:rPr>
        <w:t xml:space="preserve"> </w:t>
      </w:r>
      <w:r>
        <w:rPr>
          <w:color w:val="FFFFFF"/>
        </w:rPr>
        <w:t>have</w:t>
      </w:r>
      <w:r>
        <w:rPr>
          <w:color w:val="FFFFFF"/>
          <w:spacing w:val="-10"/>
        </w:rPr>
        <w:t xml:space="preserve"> </w:t>
      </w:r>
      <w:r>
        <w:rPr>
          <w:color w:val="FFFFFF"/>
        </w:rPr>
        <w:t>come</w:t>
      </w:r>
      <w:r>
        <w:rPr>
          <w:color w:val="FFFFFF"/>
          <w:spacing w:val="-10"/>
        </w:rPr>
        <w:t xml:space="preserve"> </w:t>
      </w:r>
      <w:r>
        <w:rPr>
          <w:color w:val="FFFFFF"/>
        </w:rPr>
        <w:t>as</w:t>
      </w:r>
      <w:r>
        <w:rPr>
          <w:color w:val="FFFFFF"/>
          <w:spacing w:val="-10"/>
        </w:rPr>
        <w:t xml:space="preserve"> </w:t>
      </w:r>
      <w:r>
        <w:rPr>
          <w:color w:val="FFFFFF"/>
        </w:rPr>
        <w:t>a</w:t>
      </w:r>
      <w:r>
        <w:rPr>
          <w:color w:val="FFFFFF"/>
          <w:spacing w:val="-10"/>
        </w:rPr>
        <w:t xml:space="preserve"> </w:t>
      </w:r>
      <w:r>
        <w:rPr>
          <w:color w:val="FFFFFF"/>
        </w:rPr>
        <w:t>result of overly politicised, short-term and insufficiently contestable processes for defining and pursuing infrastructure investment priorities. They have led, among other unhelpful consequences, to false perceptions regarding the state of our infrastructure.</w:t>
      </w:r>
    </w:p>
    <w:p w:rsidR="002C1123" w:rsidRDefault="00F22F94">
      <w:pPr>
        <w:pStyle w:val="BodyText"/>
        <w:spacing w:before="147" w:line="249" w:lineRule="auto"/>
        <w:ind w:left="196" w:right="14" w:hanging="1"/>
      </w:pPr>
      <w:r>
        <w:rPr>
          <w:color w:val="FFFFFF"/>
        </w:rPr>
        <w:t>While there have been some unforgiveable wasted opportunities, NSW also has good building blocks within</w:t>
      </w:r>
      <w:r>
        <w:rPr>
          <w:color w:val="FFFFFF"/>
          <w:spacing w:val="-1"/>
        </w:rPr>
        <w:t xml:space="preserve"> </w:t>
      </w:r>
      <w:r>
        <w:rPr>
          <w:color w:val="FFFFFF"/>
        </w:rPr>
        <w:t>its</w:t>
      </w:r>
      <w:r>
        <w:rPr>
          <w:color w:val="FFFFFF"/>
          <w:spacing w:val="-1"/>
        </w:rPr>
        <w:t xml:space="preserve"> </w:t>
      </w:r>
      <w:r>
        <w:rPr>
          <w:color w:val="FFFFFF"/>
        </w:rPr>
        <w:t>infrastructure</w:t>
      </w:r>
      <w:r>
        <w:rPr>
          <w:color w:val="FFFFFF"/>
          <w:spacing w:val="-1"/>
        </w:rPr>
        <w:t xml:space="preserve"> </w:t>
      </w:r>
      <w:r>
        <w:rPr>
          <w:color w:val="FFFFFF"/>
        </w:rPr>
        <w:t>networks</w:t>
      </w:r>
      <w:r>
        <w:rPr>
          <w:color w:val="FFFFFF"/>
          <w:spacing w:val="-1"/>
        </w:rPr>
        <w:t xml:space="preserve"> </w:t>
      </w:r>
      <w:r>
        <w:rPr>
          <w:color w:val="FFFFFF"/>
        </w:rPr>
        <w:t>that</w:t>
      </w:r>
      <w:r>
        <w:rPr>
          <w:color w:val="FFFFFF"/>
          <w:spacing w:val="-1"/>
        </w:rPr>
        <w:t xml:space="preserve"> </w:t>
      </w:r>
      <w:r>
        <w:rPr>
          <w:color w:val="FFFFFF"/>
        </w:rPr>
        <w:t>position</w:t>
      </w:r>
      <w:r>
        <w:rPr>
          <w:color w:val="FFFFFF"/>
          <w:spacing w:val="-1"/>
        </w:rPr>
        <w:t xml:space="preserve"> </w:t>
      </w:r>
      <w:r>
        <w:rPr>
          <w:color w:val="FFFFFF"/>
        </w:rPr>
        <w:t>us</w:t>
      </w:r>
      <w:r>
        <w:rPr>
          <w:color w:val="FFFFFF"/>
          <w:spacing w:val="-1"/>
        </w:rPr>
        <w:t xml:space="preserve"> </w:t>
      </w:r>
      <w:r>
        <w:rPr>
          <w:color w:val="FFFFFF"/>
        </w:rPr>
        <w:t>well against</w:t>
      </w:r>
      <w:r>
        <w:rPr>
          <w:color w:val="FFFFFF"/>
          <w:spacing w:val="-1"/>
        </w:rPr>
        <w:t xml:space="preserve"> </w:t>
      </w:r>
      <w:r>
        <w:rPr>
          <w:color w:val="FFFFFF"/>
        </w:rPr>
        <w:t>our</w:t>
      </w:r>
      <w:r>
        <w:rPr>
          <w:color w:val="FFFFFF"/>
          <w:spacing w:val="-1"/>
        </w:rPr>
        <w:t xml:space="preserve"> </w:t>
      </w:r>
      <w:r>
        <w:rPr>
          <w:color w:val="FFFFFF"/>
        </w:rPr>
        <w:t>global</w:t>
      </w:r>
      <w:r>
        <w:rPr>
          <w:color w:val="FFFFFF"/>
          <w:spacing w:val="-1"/>
        </w:rPr>
        <w:t xml:space="preserve"> </w:t>
      </w:r>
      <w:r>
        <w:rPr>
          <w:color w:val="FFFFFF"/>
        </w:rPr>
        <w:t>competitors,</w:t>
      </w:r>
      <w:r>
        <w:rPr>
          <w:color w:val="FFFFFF"/>
          <w:spacing w:val="-1"/>
        </w:rPr>
        <w:t xml:space="preserve"> </w:t>
      </w:r>
      <w:r>
        <w:rPr>
          <w:color w:val="FFFFFF"/>
        </w:rPr>
        <w:t>if</w:t>
      </w:r>
      <w:r>
        <w:rPr>
          <w:color w:val="FFFFFF"/>
          <w:spacing w:val="-1"/>
        </w:rPr>
        <w:t xml:space="preserve"> </w:t>
      </w:r>
      <w:r>
        <w:rPr>
          <w:color w:val="FFFFFF"/>
        </w:rPr>
        <w:t>we</w:t>
      </w:r>
      <w:r>
        <w:rPr>
          <w:color w:val="FFFFFF"/>
          <w:spacing w:val="-1"/>
        </w:rPr>
        <w:t xml:space="preserve"> </w:t>
      </w:r>
      <w:r>
        <w:rPr>
          <w:color w:val="FFFFFF"/>
        </w:rPr>
        <w:t>now</w:t>
      </w:r>
      <w:r>
        <w:rPr>
          <w:color w:val="FFFFFF"/>
          <w:spacing w:val="-1"/>
        </w:rPr>
        <w:t xml:space="preserve"> </w:t>
      </w:r>
      <w:r>
        <w:rPr>
          <w:color w:val="FFFFFF"/>
        </w:rPr>
        <w:t>look</w:t>
      </w:r>
      <w:r>
        <w:rPr>
          <w:color w:val="FFFFFF"/>
          <w:spacing w:val="-1"/>
        </w:rPr>
        <w:t xml:space="preserve"> </w:t>
      </w:r>
      <w:r>
        <w:rPr>
          <w:color w:val="FFFFFF"/>
        </w:rPr>
        <w:t>afresh at what the State really needs in order to succeed.</w:t>
      </w:r>
    </w:p>
    <w:p w:rsidR="002C1123" w:rsidRDefault="00F22F94">
      <w:pPr>
        <w:pStyle w:val="BodyText"/>
        <w:spacing w:before="146" w:line="249" w:lineRule="auto"/>
        <w:ind w:left="196" w:hanging="1"/>
      </w:pPr>
      <w:r>
        <w:rPr>
          <w:color w:val="FFFFFF"/>
        </w:rPr>
        <w:t>What</w:t>
      </w:r>
      <w:r>
        <w:rPr>
          <w:color w:val="FFFFFF"/>
          <w:spacing w:val="-5"/>
        </w:rPr>
        <w:t xml:space="preserve"> </w:t>
      </w:r>
      <w:r>
        <w:rPr>
          <w:color w:val="FFFFFF"/>
        </w:rPr>
        <w:t>Infrastructure</w:t>
      </w:r>
      <w:r>
        <w:rPr>
          <w:color w:val="FFFFFF"/>
          <w:spacing w:val="-5"/>
        </w:rPr>
        <w:t xml:space="preserve"> </w:t>
      </w:r>
      <w:r>
        <w:rPr>
          <w:color w:val="FFFFFF"/>
        </w:rPr>
        <w:t>NSW</w:t>
      </w:r>
      <w:r>
        <w:rPr>
          <w:color w:val="FFFFFF"/>
          <w:spacing w:val="-5"/>
        </w:rPr>
        <w:t xml:space="preserve"> </w:t>
      </w:r>
      <w:r>
        <w:rPr>
          <w:color w:val="FFFFFF"/>
        </w:rPr>
        <w:t>has</w:t>
      </w:r>
      <w:r>
        <w:rPr>
          <w:color w:val="FFFFFF"/>
          <w:spacing w:val="-5"/>
        </w:rPr>
        <w:t xml:space="preserve"> </w:t>
      </w:r>
      <w:r>
        <w:rPr>
          <w:color w:val="FFFFFF"/>
        </w:rPr>
        <w:t>sought</w:t>
      </w:r>
      <w:r>
        <w:rPr>
          <w:color w:val="FFFFFF"/>
          <w:spacing w:val="-5"/>
        </w:rPr>
        <w:t xml:space="preserve"> </w:t>
      </w:r>
      <w:r>
        <w:rPr>
          <w:color w:val="FFFFFF"/>
        </w:rPr>
        <w:t>to</w:t>
      </w:r>
      <w:r>
        <w:rPr>
          <w:color w:val="FFFFFF"/>
          <w:spacing w:val="-5"/>
        </w:rPr>
        <w:t xml:space="preserve"> </w:t>
      </w:r>
      <w:r>
        <w:rPr>
          <w:color w:val="FFFFFF"/>
        </w:rPr>
        <w:t>do</w:t>
      </w:r>
      <w:r>
        <w:rPr>
          <w:color w:val="FFFFFF"/>
          <w:spacing w:val="-5"/>
        </w:rPr>
        <w:t xml:space="preserve"> </w:t>
      </w:r>
      <w:r>
        <w:rPr>
          <w:color w:val="FFFFFF"/>
        </w:rPr>
        <w:t>is</w:t>
      </w:r>
      <w:r>
        <w:rPr>
          <w:color w:val="FFFFFF"/>
          <w:spacing w:val="-5"/>
        </w:rPr>
        <w:t xml:space="preserve"> </w:t>
      </w:r>
      <w:r>
        <w:rPr>
          <w:color w:val="FFFFFF"/>
        </w:rPr>
        <w:t>to</w:t>
      </w:r>
      <w:r>
        <w:rPr>
          <w:color w:val="FFFFFF"/>
          <w:spacing w:val="-5"/>
        </w:rPr>
        <w:t xml:space="preserve"> </w:t>
      </w:r>
      <w:r>
        <w:rPr>
          <w:color w:val="FFFFFF"/>
        </w:rPr>
        <w:t>set aside orthodoxies of opinion and see the bigger picture. It has sought, through research and wide engagement both within Government and across industry, to understand what can be done to make</w:t>
      </w:r>
    </w:p>
    <w:p w:rsidR="002C1123" w:rsidRDefault="00F22F94">
      <w:pPr>
        <w:pStyle w:val="BodyText"/>
        <w:spacing w:before="104"/>
        <w:ind w:left="190"/>
      </w:pPr>
      <w:r>
        <w:br w:type="column"/>
      </w:r>
      <w:r>
        <w:rPr>
          <w:color w:val="FFFFFF"/>
        </w:rPr>
        <w:t>NSW</w:t>
      </w:r>
      <w:r>
        <w:rPr>
          <w:color w:val="FFFFFF"/>
          <w:spacing w:val="-6"/>
        </w:rPr>
        <w:t xml:space="preserve"> </w:t>
      </w:r>
      <w:r>
        <w:rPr>
          <w:color w:val="FFFFFF"/>
        </w:rPr>
        <w:t>number</w:t>
      </w:r>
      <w:r>
        <w:rPr>
          <w:color w:val="FFFFFF"/>
          <w:spacing w:val="-5"/>
        </w:rPr>
        <w:t xml:space="preserve"> </w:t>
      </w:r>
      <w:r>
        <w:rPr>
          <w:color w:val="FFFFFF"/>
        </w:rPr>
        <w:t>one</w:t>
      </w:r>
      <w:r>
        <w:rPr>
          <w:color w:val="FFFFFF"/>
          <w:spacing w:val="-5"/>
        </w:rPr>
        <w:t xml:space="preserve"> </w:t>
      </w:r>
      <w:r>
        <w:rPr>
          <w:color w:val="FFFFFF"/>
        </w:rPr>
        <w:t>again</w:t>
      </w:r>
      <w:r>
        <w:rPr>
          <w:color w:val="FFFFFF"/>
          <w:spacing w:val="-5"/>
        </w:rPr>
        <w:t xml:space="preserve"> </w:t>
      </w:r>
      <w:r>
        <w:rPr>
          <w:color w:val="FFFFFF"/>
        </w:rPr>
        <w:t>as</w:t>
      </w:r>
      <w:r>
        <w:rPr>
          <w:color w:val="FFFFFF"/>
          <w:spacing w:val="-5"/>
        </w:rPr>
        <w:t xml:space="preserve"> </w:t>
      </w:r>
      <w:r>
        <w:rPr>
          <w:color w:val="FFFFFF"/>
        </w:rPr>
        <w:t>quickly</w:t>
      </w:r>
      <w:r>
        <w:rPr>
          <w:color w:val="FFFFFF"/>
          <w:spacing w:val="-5"/>
        </w:rPr>
        <w:t xml:space="preserve"> </w:t>
      </w:r>
      <w:r>
        <w:rPr>
          <w:color w:val="FFFFFF"/>
        </w:rPr>
        <w:t>as</w:t>
      </w:r>
      <w:r>
        <w:rPr>
          <w:color w:val="FFFFFF"/>
          <w:spacing w:val="-5"/>
        </w:rPr>
        <w:t xml:space="preserve"> </w:t>
      </w:r>
      <w:r>
        <w:rPr>
          <w:color w:val="FFFFFF"/>
          <w:spacing w:val="-2"/>
        </w:rPr>
        <w:t>possible.</w:t>
      </w:r>
    </w:p>
    <w:p w:rsidR="002C1123" w:rsidRDefault="00F22F94">
      <w:pPr>
        <w:pStyle w:val="BodyText"/>
        <w:spacing w:before="151" w:line="249" w:lineRule="auto"/>
        <w:ind w:left="186" w:right="826" w:firstLine="1"/>
      </w:pPr>
      <w:r>
        <w:rPr>
          <w:color w:val="FFFFFF"/>
        </w:rPr>
        <w:t>Simply put, being number one again requires infrastructure investment that will drive the State economy</w:t>
      </w:r>
      <w:r>
        <w:rPr>
          <w:color w:val="FFFFFF"/>
          <w:spacing w:val="-4"/>
        </w:rPr>
        <w:t xml:space="preserve"> </w:t>
      </w:r>
      <w:r>
        <w:rPr>
          <w:color w:val="FFFFFF"/>
        </w:rPr>
        <w:t>and</w:t>
      </w:r>
      <w:r>
        <w:rPr>
          <w:color w:val="FFFFFF"/>
          <w:spacing w:val="-4"/>
        </w:rPr>
        <w:t xml:space="preserve"> </w:t>
      </w:r>
      <w:r>
        <w:rPr>
          <w:color w:val="FFFFFF"/>
        </w:rPr>
        <w:t>create</w:t>
      </w:r>
      <w:r>
        <w:rPr>
          <w:color w:val="FFFFFF"/>
          <w:spacing w:val="-4"/>
        </w:rPr>
        <w:t xml:space="preserve"> </w:t>
      </w:r>
      <w:r>
        <w:rPr>
          <w:color w:val="FFFFFF"/>
        </w:rPr>
        <w:t>the</w:t>
      </w:r>
      <w:r>
        <w:rPr>
          <w:color w:val="FFFFFF"/>
          <w:spacing w:val="-4"/>
        </w:rPr>
        <w:t xml:space="preserve"> </w:t>
      </w:r>
      <w:r>
        <w:rPr>
          <w:color w:val="FFFFFF"/>
        </w:rPr>
        <w:t>biggest</w:t>
      </w:r>
      <w:r>
        <w:rPr>
          <w:color w:val="FFFFFF"/>
          <w:spacing w:val="-4"/>
        </w:rPr>
        <w:t xml:space="preserve"> </w:t>
      </w:r>
      <w:r>
        <w:rPr>
          <w:color w:val="FFFFFF"/>
        </w:rPr>
        <w:t>return</w:t>
      </w:r>
      <w:r>
        <w:rPr>
          <w:color w:val="FFFFFF"/>
          <w:spacing w:val="-4"/>
        </w:rPr>
        <w:t xml:space="preserve"> </w:t>
      </w:r>
      <w:r>
        <w:rPr>
          <w:color w:val="FFFFFF"/>
        </w:rPr>
        <w:t>to</w:t>
      </w:r>
      <w:r>
        <w:rPr>
          <w:color w:val="FFFFFF"/>
          <w:spacing w:val="-4"/>
        </w:rPr>
        <w:t xml:space="preserve"> </w:t>
      </w:r>
      <w:r>
        <w:rPr>
          <w:color w:val="FFFFFF"/>
        </w:rPr>
        <w:t>taxpayers. Given the limitations on available public funding,</w:t>
      </w:r>
    </w:p>
    <w:p w:rsidR="002C1123" w:rsidRDefault="00F22F94">
      <w:pPr>
        <w:pStyle w:val="BodyText"/>
        <w:spacing w:before="4" w:line="249" w:lineRule="auto"/>
        <w:ind w:left="187" w:right="1100" w:firstLine="4"/>
      </w:pPr>
      <w:r>
        <w:rPr>
          <w:color w:val="FFFFFF"/>
        </w:rPr>
        <w:t>it requires prioritisation – of dealing with first things first to gain the earliest possible return to the</w:t>
      </w:r>
      <w:r>
        <w:rPr>
          <w:color w:val="FFFFFF"/>
          <w:spacing w:val="-8"/>
        </w:rPr>
        <w:t xml:space="preserve"> </w:t>
      </w:r>
      <w:r>
        <w:rPr>
          <w:color w:val="FFFFFF"/>
        </w:rPr>
        <w:t>State</w:t>
      </w:r>
      <w:r>
        <w:rPr>
          <w:color w:val="FFFFFF"/>
          <w:spacing w:val="-8"/>
        </w:rPr>
        <w:t xml:space="preserve"> </w:t>
      </w:r>
      <w:r>
        <w:rPr>
          <w:color w:val="FFFFFF"/>
        </w:rPr>
        <w:t>–</w:t>
      </w:r>
      <w:r>
        <w:rPr>
          <w:color w:val="FFFFFF"/>
          <w:spacing w:val="-8"/>
        </w:rPr>
        <w:t xml:space="preserve"> </w:t>
      </w:r>
      <w:r>
        <w:rPr>
          <w:color w:val="FFFFFF"/>
        </w:rPr>
        <w:t>and</w:t>
      </w:r>
      <w:r>
        <w:rPr>
          <w:color w:val="FFFFFF"/>
          <w:spacing w:val="-8"/>
        </w:rPr>
        <w:t xml:space="preserve"> </w:t>
      </w:r>
      <w:r>
        <w:rPr>
          <w:color w:val="FFFFFF"/>
        </w:rPr>
        <w:t>on</w:t>
      </w:r>
      <w:r>
        <w:rPr>
          <w:color w:val="FFFFFF"/>
          <w:spacing w:val="-8"/>
        </w:rPr>
        <w:t xml:space="preserve"> </w:t>
      </w:r>
      <w:r>
        <w:rPr>
          <w:color w:val="FFFFFF"/>
        </w:rPr>
        <w:t>leveraging</w:t>
      </w:r>
      <w:r>
        <w:rPr>
          <w:color w:val="FFFFFF"/>
          <w:spacing w:val="-8"/>
        </w:rPr>
        <w:t xml:space="preserve"> </w:t>
      </w:r>
      <w:r>
        <w:rPr>
          <w:color w:val="FFFFFF"/>
        </w:rPr>
        <w:t>private</w:t>
      </w:r>
      <w:r>
        <w:rPr>
          <w:color w:val="FFFFFF"/>
          <w:spacing w:val="-8"/>
        </w:rPr>
        <w:t xml:space="preserve"> </w:t>
      </w:r>
      <w:r>
        <w:rPr>
          <w:color w:val="FFFFFF"/>
        </w:rPr>
        <w:t>capital</w:t>
      </w:r>
      <w:r>
        <w:rPr>
          <w:color w:val="FFFFFF"/>
          <w:spacing w:val="-8"/>
        </w:rPr>
        <w:t xml:space="preserve"> </w:t>
      </w:r>
      <w:r>
        <w:rPr>
          <w:color w:val="FFFFFF"/>
        </w:rPr>
        <w:t>and expertise wherever possible.</w:t>
      </w:r>
    </w:p>
    <w:p w:rsidR="002C1123" w:rsidRDefault="00F22F94">
      <w:pPr>
        <w:pStyle w:val="BodyText"/>
        <w:spacing w:before="145" w:line="249" w:lineRule="auto"/>
        <w:ind w:left="187" w:right="826" w:hanging="1"/>
      </w:pPr>
      <w:r>
        <w:rPr>
          <w:color w:val="FFFFFF"/>
        </w:rPr>
        <w:t>We trust that this report will, with the work of other agencies undertaking complementary sectoral planning</w:t>
      </w:r>
      <w:r>
        <w:rPr>
          <w:color w:val="FFFFFF"/>
          <w:spacing w:val="-2"/>
        </w:rPr>
        <w:t xml:space="preserve"> </w:t>
      </w:r>
      <w:r>
        <w:rPr>
          <w:color w:val="FFFFFF"/>
        </w:rPr>
        <w:t>processes,</w:t>
      </w:r>
      <w:r>
        <w:rPr>
          <w:color w:val="FFFFFF"/>
          <w:spacing w:val="-2"/>
        </w:rPr>
        <w:t xml:space="preserve"> </w:t>
      </w:r>
      <w:r>
        <w:rPr>
          <w:color w:val="FFFFFF"/>
        </w:rPr>
        <w:t>contribute</w:t>
      </w:r>
      <w:r>
        <w:rPr>
          <w:color w:val="FFFFFF"/>
          <w:spacing w:val="-2"/>
        </w:rPr>
        <w:t xml:space="preserve"> </w:t>
      </w:r>
      <w:r>
        <w:rPr>
          <w:color w:val="FFFFFF"/>
        </w:rPr>
        <w:t>to</w:t>
      </w:r>
      <w:r>
        <w:rPr>
          <w:color w:val="FFFFFF"/>
          <w:spacing w:val="-2"/>
        </w:rPr>
        <w:t xml:space="preserve"> </w:t>
      </w:r>
      <w:r>
        <w:rPr>
          <w:color w:val="FFFFFF"/>
        </w:rPr>
        <w:t>a</w:t>
      </w:r>
      <w:r>
        <w:rPr>
          <w:color w:val="FFFFFF"/>
          <w:spacing w:val="-2"/>
        </w:rPr>
        <w:t xml:space="preserve"> </w:t>
      </w:r>
      <w:r>
        <w:rPr>
          <w:color w:val="FFFFFF"/>
        </w:rPr>
        <w:t>more</w:t>
      </w:r>
      <w:r>
        <w:rPr>
          <w:color w:val="FFFFFF"/>
          <w:spacing w:val="-2"/>
        </w:rPr>
        <w:t xml:space="preserve"> </w:t>
      </w:r>
      <w:r>
        <w:rPr>
          <w:color w:val="FFFFFF"/>
        </w:rPr>
        <w:t>robust</w:t>
      </w:r>
      <w:r>
        <w:rPr>
          <w:color w:val="FFFFFF"/>
          <w:spacing w:val="-2"/>
        </w:rPr>
        <w:t xml:space="preserve"> </w:t>
      </w:r>
      <w:r>
        <w:rPr>
          <w:color w:val="FFFFFF"/>
        </w:rPr>
        <w:t>and contestable approach to infrastructure investment. On behalf of Infrastructure NSW, I wish to thank all the agencies that have contributed their time and expertise to this process.</w:t>
      </w:r>
    </w:p>
    <w:p w:rsidR="002C1123" w:rsidRDefault="00F22F94">
      <w:pPr>
        <w:pStyle w:val="BodyText"/>
        <w:spacing w:before="147" w:line="249" w:lineRule="auto"/>
        <w:ind w:left="187" w:right="826" w:hanging="18"/>
      </w:pPr>
      <w:r>
        <w:rPr>
          <w:color w:val="FFFFFF"/>
        </w:rPr>
        <w:t>The work of Infrastructure NSW has been greatly assisted</w:t>
      </w:r>
      <w:r>
        <w:rPr>
          <w:color w:val="FFFFFF"/>
          <w:spacing w:val="-6"/>
        </w:rPr>
        <w:t xml:space="preserve"> </w:t>
      </w:r>
      <w:r>
        <w:rPr>
          <w:color w:val="FFFFFF"/>
        </w:rPr>
        <w:t>by</w:t>
      </w:r>
      <w:r>
        <w:rPr>
          <w:color w:val="FFFFFF"/>
          <w:spacing w:val="-6"/>
        </w:rPr>
        <w:t xml:space="preserve"> </w:t>
      </w:r>
      <w:r>
        <w:rPr>
          <w:color w:val="FFFFFF"/>
        </w:rPr>
        <w:t>the</w:t>
      </w:r>
      <w:r>
        <w:rPr>
          <w:color w:val="FFFFFF"/>
          <w:spacing w:val="-6"/>
        </w:rPr>
        <w:t xml:space="preserve"> </w:t>
      </w:r>
      <w:r>
        <w:rPr>
          <w:color w:val="FFFFFF"/>
        </w:rPr>
        <w:t>advisory</w:t>
      </w:r>
      <w:r>
        <w:rPr>
          <w:color w:val="FFFFFF"/>
          <w:spacing w:val="-6"/>
        </w:rPr>
        <w:t xml:space="preserve"> </w:t>
      </w:r>
      <w:r>
        <w:rPr>
          <w:color w:val="FFFFFF"/>
        </w:rPr>
        <w:t>Board,</w:t>
      </w:r>
      <w:r>
        <w:rPr>
          <w:color w:val="FFFFFF"/>
          <w:spacing w:val="-6"/>
        </w:rPr>
        <w:t xml:space="preserve"> </w:t>
      </w:r>
      <w:r>
        <w:rPr>
          <w:color w:val="FFFFFF"/>
        </w:rPr>
        <w:t>which</w:t>
      </w:r>
      <w:r>
        <w:rPr>
          <w:color w:val="FFFFFF"/>
          <w:spacing w:val="-6"/>
        </w:rPr>
        <w:t xml:space="preserve"> </w:t>
      </w:r>
      <w:r>
        <w:rPr>
          <w:color w:val="FFFFFF"/>
        </w:rPr>
        <w:t>has</w:t>
      </w:r>
      <w:r>
        <w:rPr>
          <w:color w:val="FFFFFF"/>
          <w:spacing w:val="-6"/>
        </w:rPr>
        <w:t xml:space="preserve"> </w:t>
      </w:r>
      <w:r>
        <w:rPr>
          <w:color w:val="FFFFFF"/>
        </w:rPr>
        <w:t>extensive experience</w:t>
      </w:r>
      <w:r>
        <w:rPr>
          <w:color w:val="FFFFFF"/>
          <w:spacing w:val="-5"/>
        </w:rPr>
        <w:t xml:space="preserve"> </w:t>
      </w:r>
      <w:r>
        <w:rPr>
          <w:color w:val="FFFFFF"/>
        </w:rPr>
        <w:t>and</w:t>
      </w:r>
      <w:r>
        <w:rPr>
          <w:color w:val="FFFFFF"/>
          <w:spacing w:val="-5"/>
        </w:rPr>
        <w:t xml:space="preserve"> </w:t>
      </w:r>
      <w:r>
        <w:rPr>
          <w:color w:val="FFFFFF"/>
        </w:rPr>
        <w:t>specialist</w:t>
      </w:r>
      <w:r>
        <w:rPr>
          <w:color w:val="FFFFFF"/>
          <w:spacing w:val="-4"/>
        </w:rPr>
        <w:t xml:space="preserve"> </w:t>
      </w:r>
      <w:r>
        <w:rPr>
          <w:color w:val="FFFFFF"/>
        </w:rPr>
        <w:t>knowledge.</w:t>
      </w:r>
      <w:r>
        <w:rPr>
          <w:color w:val="FFFFFF"/>
          <w:spacing w:val="-5"/>
        </w:rPr>
        <w:t xml:space="preserve"> </w:t>
      </w:r>
      <w:r>
        <w:rPr>
          <w:color w:val="FFFFFF"/>
        </w:rPr>
        <w:t>As</w:t>
      </w:r>
      <w:r>
        <w:rPr>
          <w:color w:val="FFFFFF"/>
          <w:spacing w:val="-4"/>
        </w:rPr>
        <w:t xml:space="preserve"> </w:t>
      </w:r>
      <w:r>
        <w:rPr>
          <w:color w:val="FFFFFF"/>
          <w:spacing w:val="-2"/>
        </w:rPr>
        <w:t>Chairman,</w:t>
      </w:r>
    </w:p>
    <w:p w:rsidR="002C1123" w:rsidRDefault="00F22F94">
      <w:pPr>
        <w:pStyle w:val="BodyText"/>
        <w:spacing w:before="3" w:line="249" w:lineRule="auto"/>
        <w:ind w:left="190" w:right="1304" w:hanging="1"/>
      </w:pPr>
      <w:r>
        <w:rPr>
          <w:color w:val="FFFFFF"/>
        </w:rPr>
        <w:t>I</w:t>
      </w:r>
      <w:r>
        <w:rPr>
          <w:color w:val="FFFFFF"/>
          <w:spacing w:val="-3"/>
        </w:rPr>
        <w:t xml:space="preserve"> </w:t>
      </w:r>
      <w:r>
        <w:rPr>
          <w:color w:val="FFFFFF"/>
        </w:rPr>
        <w:t>would</w:t>
      </w:r>
      <w:r>
        <w:rPr>
          <w:color w:val="FFFFFF"/>
          <w:spacing w:val="-3"/>
        </w:rPr>
        <w:t xml:space="preserve"> </w:t>
      </w:r>
      <w:r>
        <w:rPr>
          <w:color w:val="FFFFFF"/>
        </w:rPr>
        <w:t>like</w:t>
      </w:r>
      <w:r>
        <w:rPr>
          <w:color w:val="FFFFFF"/>
          <w:spacing w:val="-3"/>
        </w:rPr>
        <w:t xml:space="preserve"> </w:t>
      </w:r>
      <w:r>
        <w:rPr>
          <w:color w:val="FFFFFF"/>
        </w:rPr>
        <w:t>to</w:t>
      </w:r>
      <w:r>
        <w:rPr>
          <w:color w:val="FFFFFF"/>
          <w:spacing w:val="-3"/>
        </w:rPr>
        <w:t xml:space="preserve"> </w:t>
      </w:r>
      <w:r>
        <w:rPr>
          <w:color w:val="FFFFFF"/>
        </w:rPr>
        <w:t>thank</w:t>
      </w:r>
      <w:r>
        <w:rPr>
          <w:color w:val="FFFFFF"/>
          <w:spacing w:val="-3"/>
        </w:rPr>
        <w:t xml:space="preserve"> </w:t>
      </w:r>
      <w:r>
        <w:rPr>
          <w:color w:val="FFFFFF"/>
        </w:rPr>
        <w:t>the</w:t>
      </w:r>
      <w:r>
        <w:rPr>
          <w:color w:val="FFFFFF"/>
          <w:spacing w:val="-3"/>
        </w:rPr>
        <w:t xml:space="preserve"> </w:t>
      </w:r>
      <w:r>
        <w:rPr>
          <w:color w:val="FFFFFF"/>
        </w:rPr>
        <w:t>Board</w:t>
      </w:r>
      <w:r>
        <w:rPr>
          <w:color w:val="FFFFFF"/>
          <w:spacing w:val="-3"/>
        </w:rPr>
        <w:t xml:space="preserve"> </w:t>
      </w:r>
      <w:r>
        <w:rPr>
          <w:color w:val="FFFFFF"/>
        </w:rPr>
        <w:t>members</w:t>
      </w:r>
      <w:r>
        <w:rPr>
          <w:color w:val="FFFFFF"/>
          <w:spacing w:val="-3"/>
        </w:rPr>
        <w:t xml:space="preserve"> </w:t>
      </w:r>
      <w:r>
        <w:rPr>
          <w:color w:val="FFFFFF"/>
        </w:rPr>
        <w:t>for their work and comments, which have</w:t>
      </w:r>
      <w:r>
        <w:rPr>
          <w:color w:val="FFFFFF"/>
          <w:spacing w:val="1"/>
        </w:rPr>
        <w:t xml:space="preserve"> </w:t>
      </w:r>
      <w:r>
        <w:rPr>
          <w:color w:val="FFFFFF"/>
          <w:spacing w:val="-4"/>
        </w:rPr>
        <w:t>been</w:t>
      </w:r>
    </w:p>
    <w:p w:rsidR="002C1123" w:rsidRDefault="00F22F94">
      <w:pPr>
        <w:pStyle w:val="BodyText"/>
        <w:spacing w:before="1" w:line="249" w:lineRule="auto"/>
        <w:ind w:left="187" w:right="826"/>
      </w:pPr>
      <w:r>
        <w:rPr>
          <w:color w:val="FFFFFF"/>
        </w:rPr>
        <w:t>extremely helpful to the Infrastructure NSW Chief Executive</w:t>
      </w:r>
      <w:r>
        <w:rPr>
          <w:color w:val="FFFFFF"/>
          <w:spacing w:val="-7"/>
        </w:rPr>
        <w:t xml:space="preserve"> </w:t>
      </w:r>
      <w:r>
        <w:rPr>
          <w:color w:val="FFFFFF"/>
        </w:rPr>
        <w:t>to</w:t>
      </w:r>
      <w:r>
        <w:rPr>
          <w:color w:val="FFFFFF"/>
          <w:spacing w:val="-7"/>
        </w:rPr>
        <w:t xml:space="preserve"> </w:t>
      </w:r>
      <w:r>
        <w:rPr>
          <w:color w:val="FFFFFF"/>
        </w:rPr>
        <w:t>meet</w:t>
      </w:r>
      <w:r>
        <w:rPr>
          <w:color w:val="FFFFFF"/>
          <w:spacing w:val="-7"/>
        </w:rPr>
        <w:t xml:space="preserve"> </w:t>
      </w:r>
      <w:r>
        <w:rPr>
          <w:color w:val="FFFFFF"/>
        </w:rPr>
        <w:t>his</w:t>
      </w:r>
      <w:r>
        <w:rPr>
          <w:color w:val="FFFFFF"/>
          <w:spacing w:val="-7"/>
        </w:rPr>
        <w:t xml:space="preserve"> </w:t>
      </w:r>
      <w:r>
        <w:rPr>
          <w:color w:val="FFFFFF"/>
        </w:rPr>
        <w:t>challenge</w:t>
      </w:r>
      <w:r>
        <w:rPr>
          <w:color w:val="FFFFFF"/>
          <w:spacing w:val="-7"/>
        </w:rPr>
        <w:t xml:space="preserve"> </w:t>
      </w:r>
      <w:r>
        <w:rPr>
          <w:color w:val="FFFFFF"/>
        </w:rPr>
        <w:t>of</w:t>
      </w:r>
      <w:r>
        <w:rPr>
          <w:color w:val="FFFFFF"/>
          <w:spacing w:val="-7"/>
        </w:rPr>
        <w:t xml:space="preserve"> </w:t>
      </w:r>
      <w:r>
        <w:rPr>
          <w:color w:val="FFFFFF"/>
        </w:rPr>
        <w:t>developing</w:t>
      </w:r>
      <w:r>
        <w:rPr>
          <w:color w:val="FFFFFF"/>
          <w:spacing w:val="-7"/>
        </w:rPr>
        <w:t xml:space="preserve"> </w:t>
      </w:r>
      <w:r>
        <w:rPr>
          <w:color w:val="FFFFFF"/>
        </w:rPr>
        <w:t>the State Infrastructure Strategy.</w:t>
      </w:r>
    </w:p>
    <w:p w:rsidR="002C1123" w:rsidRDefault="002C1123">
      <w:pPr>
        <w:pStyle w:val="BodyText"/>
      </w:pPr>
    </w:p>
    <w:p w:rsidR="002C1123" w:rsidRDefault="00F22F94">
      <w:pPr>
        <w:pStyle w:val="BodyText"/>
        <w:spacing w:before="5"/>
        <w:rPr>
          <w:sz w:val="10"/>
        </w:rPr>
      </w:pPr>
      <w:r>
        <w:rPr>
          <w:noProof/>
        </w:rPr>
        <w:drawing>
          <wp:anchor distT="0" distB="0" distL="0" distR="0" simplePos="0" relativeHeight="251198464" behindDoc="0" locked="0" layoutInCell="1" allowOverlap="1">
            <wp:simplePos x="0" y="0"/>
            <wp:positionH relativeFrom="page">
              <wp:posOffset>7013999</wp:posOffset>
            </wp:positionH>
            <wp:positionV relativeFrom="paragraph">
              <wp:posOffset>91882</wp:posOffset>
            </wp:positionV>
            <wp:extent cx="1884681" cy="603504"/>
            <wp:effectExtent l="0" t="0" r="0" b="0"/>
            <wp:wrapTopAndBottom/>
            <wp:docPr id="2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22" cstate="print"/>
                    <a:stretch>
                      <a:fillRect/>
                    </a:stretch>
                  </pic:blipFill>
                  <pic:spPr>
                    <a:xfrm>
                      <a:off x="0" y="0"/>
                      <a:ext cx="1884681" cy="603504"/>
                    </a:xfrm>
                    <a:prstGeom prst="rect">
                      <a:avLst/>
                    </a:prstGeom>
                  </pic:spPr>
                </pic:pic>
              </a:graphicData>
            </a:graphic>
          </wp:anchor>
        </w:drawing>
      </w:r>
    </w:p>
    <w:p w:rsidR="002C1123" w:rsidRDefault="002C1123">
      <w:pPr>
        <w:pStyle w:val="BodyText"/>
        <w:rPr>
          <w:sz w:val="26"/>
        </w:rPr>
      </w:pPr>
    </w:p>
    <w:p w:rsidR="002C1123" w:rsidRDefault="00F22F94">
      <w:pPr>
        <w:spacing w:line="254" w:lineRule="auto"/>
        <w:ind w:left="188" w:right="2017" w:hanging="8"/>
        <w:rPr>
          <w:b/>
          <w:sz w:val="18"/>
        </w:rPr>
      </w:pPr>
      <w:r>
        <w:rPr>
          <w:b/>
          <w:color w:val="00C0F3"/>
          <w:spacing w:val="-2"/>
          <w:sz w:val="18"/>
        </w:rPr>
        <w:t>The</w:t>
      </w:r>
      <w:r>
        <w:rPr>
          <w:b/>
          <w:color w:val="00C0F3"/>
          <w:spacing w:val="-13"/>
          <w:sz w:val="18"/>
        </w:rPr>
        <w:t xml:space="preserve"> </w:t>
      </w:r>
      <w:r>
        <w:rPr>
          <w:b/>
          <w:color w:val="00C0F3"/>
          <w:spacing w:val="-2"/>
          <w:sz w:val="18"/>
        </w:rPr>
        <w:t>Honourable</w:t>
      </w:r>
      <w:r>
        <w:rPr>
          <w:b/>
          <w:color w:val="00C0F3"/>
          <w:spacing w:val="-10"/>
          <w:sz w:val="18"/>
        </w:rPr>
        <w:t xml:space="preserve"> </w:t>
      </w:r>
      <w:r>
        <w:rPr>
          <w:b/>
          <w:color w:val="00C0F3"/>
          <w:spacing w:val="-2"/>
          <w:sz w:val="18"/>
        </w:rPr>
        <w:t>Nick</w:t>
      </w:r>
      <w:r>
        <w:rPr>
          <w:b/>
          <w:color w:val="00C0F3"/>
          <w:spacing w:val="-11"/>
          <w:sz w:val="18"/>
        </w:rPr>
        <w:t xml:space="preserve"> </w:t>
      </w:r>
      <w:r>
        <w:rPr>
          <w:b/>
          <w:color w:val="00C0F3"/>
          <w:spacing w:val="-2"/>
          <w:sz w:val="18"/>
        </w:rPr>
        <w:t>Greiner</w:t>
      </w:r>
      <w:r>
        <w:rPr>
          <w:b/>
          <w:color w:val="00C0F3"/>
          <w:spacing w:val="-10"/>
          <w:sz w:val="18"/>
        </w:rPr>
        <w:t xml:space="preserve"> </w:t>
      </w:r>
      <w:r>
        <w:rPr>
          <w:b/>
          <w:color w:val="00C0F3"/>
          <w:spacing w:val="-2"/>
          <w:sz w:val="18"/>
        </w:rPr>
        <w:t>AC Chairman</w:t>
      </w:r>
    </w:p>
    <w:p w:rsidR="002C1123" w:rsidRDefault="002C1123">
      <w:pPr>
        <w:spacing w:line="254" w:lineRule="auto"/>
        <w:rPr>
          <w:sz w:val="18"/>
        </w:rPr>
        <w:sectPr w:rsidR="002C1123">
          <w:type w:val="continuous"/>
          <w:pgSz w:w="16840" w:h="11910" w:orient="landscape"/>
          <w:pgMar w:top="560" w:right="280" w:bottom="280" w:left="500" w:header="0" w:footer="0" w:gutter="0"/>
          <w:cols w:num="3" w:space="720" w:equalWidth="0">
            <w:col w:w="5289" w:space="40"/>
            <w:col w:w="4996" w:space="39"/>
            <w:col w:w="5696"/>
          </w:cols>
        </w:sectPr>
      </w:pPr>
    </w:p>
    <w:p w:rsidR="002C1123" w:rsidRDefault="002C1123">
      <w:pPr>
        <w:pStyle w:val="BodyText"/>
        <w:spacing w:before="3"/>
        <w:rPr>
          <w:b/>
          <w:sz w:val="29"/>
        </w:rPr>
      </w:pPr>
    </w:p>
    <w:p w:rsidR="002C1123" w:rsidRDefault="002C1123">
      <w:pPr>
        <w:rPr>
          <w:sz w:val="29"/>
        </w:rPr>
        <w:sectPr w:rsidR="002C1123">
          <w:type w:val="continuous"/>
          <w:pgSz w:w="16840" w:h="11910" w:orient="landscape"/>
          <w:pgMar w:top="560" w:right="280" w:bottom="280" w:left="500" w:header="0" w:footer="0" w:gutter="0"/>
          <w:cols w:space="720"/>
        </w:sectPr>
      </w:pPr>
    </w:p>
    <w:p w:rsidR="002C1123" w:rsidRDefault="002060EF">
      <w:pPr>
        <w:spacing w:before="125"/>
        <w:ind w:left="492"/>
        <w:rPr>
          <w:sz w:val="14"/>
        </w:rPr>
      </w:pPr>
      <w:r>
        <w:pict>
          <v:rect id="docshape28" o:spid="_x0000_s5237" style="position:absolute;left:0;text-align:left;margin-left:0;margin-top:0;width:841.9pt;height:595.3pt;z-index:-251540480;mso-position-horizontal-relative:page;mso-position-vertical-relative:page" fillcolor="#2e3092" stroked="f">
            <w10:wrap anchorx="page" anchory="page"/>
          </v:rect>
        </w:pict>
      </w:r>
      <w:r w:rsidR="00F22F94">
        <w:rPr>
          <w:color w:val="FFFFFF"/>
          <w:w w:val="95"/>
          <w:sz w:val="14"/>
        </w:rPr>
        <w:t>Infrastructure</w:t>
      </w:r>
      <w:r w:rsidR="00F22F94">
        <w:rPr>
          <w:color w:val="FFFFFF"/>
          <w:spacing w:val="8"/>
          <w:sz w:val="14"/>
        </w:rPr>
        <w:t xml:space="preserve"> </w:t>
      </w:r>
      <w:r w:rsidR="00F22F94">
        <w:rPr>
          <w:color w:val="FFFFFF"/>
          <w:w w:val="95"/>
          <w:sz w:val="14"/>
        </w:rPr>
        <w:t>NSW</w:t>
      </w:r>
      <w:r w:rsidR="00F22F94">
        <w:rPr>
          <w:color w:val="FFFFFF"/>
          <w:spacing w:val="55"/>
          <w:sz w:val="14"/>
        </w:rPr>
        <w:t xml:space="preserve"> </w:t>
      </w:r>
      <w:r w:rsidR="00F22F94">
        <w:rPr>
          <w:color w:val="FFFFFF"/>
          <w:w w:val="95"/>
          <w:sz w:val="14"/>
        </w:rPr>
        <w:t>|</w:t>
      </w:r>
      <w:r w:rsidR="00F22F94">
        <w:rPr>
          <w:color w:val="FFFFFF"/>
          <w:spacing w:val="9"/>
          <w:sz w:val="14"/>
        </w:rPr>
        <w:t xml:space="preserve"> </w:t>
      </w:r>
      <w:r w:rsidR="00F22F94">
        <w:rPr>
          <w:color w:val="FFFFFF"/>
          <w:w w:val="95"/>
          <w:sz w:val="14"/>
        </w:rPr>
        <w:t>State</w:t>
      </w:r>
      <w:r w:rsidR="00F22F94">
        <w:rPr>
          <w:color w:val="FFFFFF"/>
          <w:spacing w:val="9"/>
          <w:sz w:val="14"/>
        </w:rPr>
        <w:t xml:space="preserve"> </w:t>
      </w:r>
      <w:r w:rsidR="00F22F94">
        <w:rPr>
          <w:color w:val="FFFFFF"/>
          <w:w w:val="95"/>
          <w:sz w:val="14"/>
        </w:rPr>
        <w:t>Infrastructure</w:t>
      </w:r>
      <w:r w:rsidR="00F22F94">
        <w:rPr>
          <w:color w:val="FFFFFF"/>
          <w:spacing w:val="9"/>
          <w:sz w:val="14"/>
        </w:rPr>
        <w:t xml:space="preserve"> </w:t>
      </w:r>
      <w:r w:rsidR="00F22F94">
        <w:rPr>
          <w:color w:val="FFFFFF"/>
          <w:spacing w:val="-2"/>
          <w:w w:val="95"/>
          <w:sz w:val="14"/>
        </w:rPr>
        <w:t>Strategy</w:t>
      </w:r>
    </w:p>
    <w:p w:rsidR="002C1123" w:rsidRDefault="00F22F94">
      <w:pPr>
        <w:spacing w:before="106"/>
        <w:ind w:left="492"/>
        <w:rPr>
          <w:b/>
          <w:sz w:val="16"/>
        </w:rPr>
      </w:pPr>
      <w:r>
        <w:br w:type="column"/>
      </w:r>
      <w:r>
        <w:rPr>
          <w:color w:val="FFFFFF"/>
          <w:w w:val="95"/>
          <w:sz w:val="16"/>
        </w:rPr>
        <w:t>Chairman’s</w:t>
      </w:r>
      <w:r>
        <w:rPr>
          <w:color w:val="FFFFFF"/>
          <w:spacing w:val="7"/>
          <w:sz w:val="16"/>
        </w:rPr>
        <w:t xml:space="preserve"> </w:t>
      </w:r>
      <w:r>
        <w:rPr>
          <w:color w:val="FFFFFF"/>
          <w:w w:val="95"/>
          <w:sz w:val="16"/>
        </w:rPr>
        <w:t>foreword</w:t>
      </w:r>
      <w:r>
        <w:rPr>
          <w:color w:val="FFFFFF"/>
          <w:spacing w:val="8"/>
          <w:sz w:val="16"/>
        </w:rPr>
        <w:t xml:space="preserve"> </w:t>
      </w:r>
      <w:r>
        <w:rPr>
          <w:b/>
          <w:color w:val="FFFFFF"/>
          <w:w w:val="95"/>
          <w:sz w:val="16"/>
        </w:rPr>
        <w:t>Page</w:t>
      </w:r>
      <w:r>
        <w:rPr>
          <w:b/>
          <w:color w:val="FFFFFF"/>
          <w:spacing w:val="8"/>
          <w:sz w:val="16"/>
        </w:rPr>
        <w:t xml:space="preserve"> </w:t>
      </w:r>
      <w:r>
        <w:rPr>
          <w:b/>
          <w:color w:val="FFFFFF"/>
          <w:spacing w:val="-10"/>
          <w:w w:val="95"/>
          <w:sz w:val="16"/>
        </w:rPr>
        <w:t>5</w:t>
      </w:r>
    </w:p>
    <w:p w:rsidR="002C1123" w:rsidRDefault="002C1123">
      <w:pPr>
        <w:rPr>
          <w:sz w:val="16"/>
        </w:rPr>
        <w:sectPr w:rsidR="002C1123">
          <w:type w:val="continuous"/>
          <w:pgSz w:w="16840" w:h="11910" w:orient="landscape"/>
          <w:pgMar w:top="560" w:right="280" w:bottom="280" w:left="500" w:header="0" w:footer="0" w:gutter="0"/>
          <w:cols w:num="2" w:space="720" w:equalWidth="0">
            <w:col w:w="3610" w:space="9253"/>
            <w:col w:w="3197"/>
          </w:cols>
        </w:sect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spacing w:before="1"/>
        <w:rPr>
          <w:b/>
          <w:sz w:val="17"/>
        </w:rPr>
      </w:pPr>
    </w:p>
    <w:p w:rsidR="002C1123" w:rsidRDefault="002C1123">
      <w:pPr>
        <w:rPr>
          <w:sz w:val="17"/>
        </w:rPr>
        <w:sectPr w:rsidR="002C1123">
          <w:headerReference w:type="default" r:id="rId23"/>
          <w:footerReference w:type="default" r:id="rId24"/>
          <w:pgSz w:w="16840" w:h="11910" w:orient="landscape"/>
          <w:pgMar w:top="560" w:right="280" w:bottom="700" w:left="500" w:header="0" w:footer="517" w:gutter="0"/>
          <w:pgNumType w:start="6"/>
          <w:cols w:space="720"/>
        </w:sectPr>
      </w:pPr>
    </w:p>
    <w:p w:rsidR="002C1123" w:rsidRDefault="00F22F94">
      <w:pPr>
        <w:spacing w:before="79" w:line="2652" w:lineRule="exact"/>
        <w:ind w:left="492"/>
        <w:rPr>
          <w:rFonts w:ascii="Trebuchet MS" w:hAnsi="Trebuchet MS"/>
          <w:sz w:val="264"/>
        </w:rPr>
      </w:pPr>
      <w:bookmarkStart w:id="14" w:name="CEO’s_statement"/>
      <w:bookmarkStart w:id="15" w:name="_bookmark9"/>
      <w:bookmarkStart w:id="16" w:name="_bookmark8"/>
      <w:bookmarkEnd w:id="14"/>
      <w:bookmarkEnd w:id="15"/>
      <w:bookmarkEnd w:id="16"/>
      <w:r>
        <w:rPr>
          <w:rFonts w:ascii="Trebuchet MS" w:hAnsi="Trebuchet MS"/>
          <w:color w:val="E1E0E1"/>
          <w:spacing w:val="-114"/>
          <w:w w:val="60"/>
          <w:sz w:val="264"/>
        </w:rPr>
        <w:t>CEO’s</w:t>
      </w:r>
    </w:p>
    <w:p w:rsidR="002C1123" w:rsidRDefault="00F22F94">
      <w:pPr>
        <w:spacing w:line="2652" w:lineRule="exact"/>
        <w:ind w:left="492"/>
        <w:rPr>
          <w:rFonts w:ascii="Trebuchet MS"/>
          <w:sz w:val="264"/>
        </w:rPr>
      </w:pPr>
      <w:r>
        <w:rPr>
          <w:rFonts w:ascii="Trebuchet MS"/>
          <w:color w:val="E1E0E1"/>
          <w:spacing w:val="-19"/>
          <w:w w:val="55"/>
          <w:sz w:val="264"/>
        </w:rPr>
        <w:t>statement</w:t>
      </w:r>
    </w:p>
    <w:p w:rsidR="002C1123" w:rsidRDefault="00F22F94">
      <w:pPr>
        <w:rPr>
          <w:rFonts w:ascii="Trebuchet MS"/>
          <w:sz w:val="42"/>
        </w:rPr>
      </w:pPr>
      <w:r>
        <w:br w:type="column"/>
      </w:r>
    </w:p>
    <w:p w:rsidR="002C1123" w:rsidRDefault="002C1123">
      <w:pPr>
        <w:pStyle w:val="BodyText"/>
        <w:spacing w:before="7"/>
        <w:rPr>
          <w:rFonts w:ascii="Trebuchet MS"/>
          <w:sz w:val="45"/>
        </w:rPr>
      </w:pPr>
    </w:p>
    <w:p w:rsidR="002C1123" w:rsidRDefault="00F22F94">
      <w:pPr>
        <w:pStyle w:val="Heading4"/>
        <w:spacing w:line="242" w:lineRule="auto"/>
        <w:ind w:left="492" w:right="702"/>
      </w:pPr>
      <w:r>
        <w:rPr>
          <w:color w:val="EC008C"/>
          <w:w w:val="95"/>
        </w:rPr>
        <w:t>The</w:t>
      </w:r>
      <w:r>
        <w:rPr>
          <w:color w:val="EC008C"/>
          <w:spacing w:val="-28"/>
          <w:w w:val="95"/>
        </w:rPr>
        <w:t xml:space="preserve"> </w:t>
      </w:r>
      <w:r>
        <w:rPr>
          <w:color w:val="EC008C"/>
          <w:w w:val="95"/>
        </w:rPr>
        <w:t>Nobel</w:t>
      </w:r>
      <w:r>
        <w:rPr>
          <w:color w:val="EC008C"/>
          <w:spacing w:val="-28"/>
          <w:w w:val="95"/>
        </w:rPr>
        <w:t xml:space="preserve"> </w:t>
      </w:r>
      <w:r>
        <w:rPr>
          <w:color w:val="EC008C"/>
          <w:w w:val="95"/>
        </w:rPr>
        <w:t>Prize</w:t>
      </w:r>
      <w:r>
        <w:rPr>
          <w:color w:val="EC008C"/>
          <w:spacing w:val="-28"/>
          <w:w w:val="95"/>
        </w:rPr>
        <w:t xml:space="preserve"> </w:t>
      </w:r>
      <w:r>
        <w:rPr>
          <w:color w:val="EC008C"/>
          <w:w w:val="95"/>
        </w:rPr>
        <w:t>winning</w:t>
      </w:r>
      <w:r>
        <w:rPr>
          <w:color w:val="EC008C"/>
          <w:spacing w:val="-28"/>
          <w:w w:val="95"/>
        </w:rPr>
        <w:t xml:space="preserve"> </w:t>
      </w:r>
      <w:r>
        <w:rPr>
          <w:color w:val="EC008C"/>
          <w:w w:val="95"/>
        </w:rPr>
        <w:t>economist</w:t>
      </w:r>
      <w:r>
        <w:rPr>
          <w:color w:val="EC008C"/>
          <w:spacing w:val="-28"/>
          <w:w w:val="95"/>
        </w:rPr>
        <w:t xml:space="preserve"> </w:t>
      </w:r>
      <w:r>
        <w:rPr>
          <w:color w:val="EC008C"/>
          <w:w w:val="95"/>
        </w:rPr>
        <w:t>Paul</w:t>
      </w:r>
      <w:r>
        <w:rPr>
          <w:color w:val="EC008C"/>
          <w:spacing w:val="-28"/>
          <w:w w:val="95"/>
        </w:rPr>
        <w:t xml:space="preserve"> </w:t>
      </w:r>
      <w:r>
        <w:rPr>
          <w:color w:val="EC008C"/>
          <w:w w:val="95"/>
        </w:rPr>
        <w:t xml:space="preserve">Krugman </w:t>
      </w:r>
      <w:r>
        <w:rPr>
          <w:color w:val="EC008C"/>
          <w:spacing w:val="-4"/>
        </w:rPr>
        <w:t>famously</w:t>
      </w:r>
      <w:r>
        <w:rPr>
          <w:color w:val="EC008C"/>
          <w:spacing w:val="-22"/>
        </w:rPr>
        <w:t xml:space="preserve"> </w:t>
      </w:r>
      <w:r>
        <w:rPr>
          <w:color w:val="EC008C"/>
          <w:spacing w:val="-4"/>
        </w:rPr>
        <w:t>said</w:t>
      </w:r>
      <w:r>
        <w:rPr>
          <w:color w:val="EC008C"/>
          <w:spacing w:val="-21"/>
        </w:rPr>
        <w:t xml:space="preserve"> </w:t>
      </w:r>
      <w:r>
        <w:rPr>
          <w:color w:val="EC008C"/>
          <w:spacing w:val="-4"/>
        </w:rPr>
        <w:t>that</w:t>
      </w:r>
      <w:r>
        <w:rPr>
          <w:color w:val="EC008C"/>
          <w:spacing w:val="-21"/>
        </w:rPr>
        <w:t xml:space="preserve"> </w:t>
      </w:r>
      <w:r>
        <w:rPr>
          <w:color w:val="EC008C"/>
          <w:spacing w:val="-4"/>
        </w:rPr>
        <w:t>“productivity</w:t>
      </w:r>
      <w:r>
        <w:rPr>
          <w:color w:val="EC008C"/>
          <w:spacing w:val="-21"/>
        </w:rPr>
        <w:t xml:space="preserve"> </w:t>
      </w:r>
      <w:r>
        <w:rPr>
          <w:color w:val="EC008C"/>
          <w:spacing w:val="-4"/>
        </w:rPr>
        <w:t>isn’t</w:t>
      </w:r>
      <w:r>
        <w:rPr>
          <w:color w:val="EC008C"/>
          <w:spacing w:val="-21"/>
        </w:rPr>
        <w:t xml:space="preserve"> </w:t>
      </w:r>
      <w:r>
        <w:rPr>
          <w:color w:val="EC008C"/>
          <w:spacing w:val="-4"/>
        </w:rPr>
        <w:t xml:space="preserve">everything, </w:t>
      </w:r>
      <w:r>
        <w:rPr>
          <w:color w:val="2E3092"/>
          <w:w w:val="95"/>
        </w:rPr>
        <w:t>but</w:t>
      </w:r>
      <w:r>
        <w:rPr>
          <w:color w:val="2E3092"/>
          <w:spacing w:val="-6"/>
          <w:w w:val="95"/>
        </w:rPr>
        <w:t xml:space="preserve"> </w:t>
      </w:r>
      <w:r>
        <w:rPr>
          <w:color w:val="2E3092"/>
          <w:w w:val="95"/>
        </w:rPr>
        <w:t>in</w:t>
      </w:r>
      <w:r>
        <w:rPr>
          <w:color w:val="2E3092"/>
          <w:spacing w:val="-6"/>
          <w:w w:val="95"/>
        </w:rPr>
        <w:t xml:space="preserve"> </w:t>
      </w:r>
      <w:r>
        <w:rPr>
          <w:color w:val="2E3092"/>
          <w:w w:val="95"/>
        </w:rPr>
        <w:t>the</w:t>
      </w:r>
      <w:r>
        <w:rPr>
          <w:color w:val="2E3092"/>
          <w:spacing w:val="-6"/>
          <w:w w:val="95"/>
        </w:rPr>
        <w:t xml:space="preserve"> </w:t>
      </w:r>
      <w:r>
        <w:rPr>
          <w:color w:val="2E3092"/>
          <w:w w:val="95"/>
        </w:rPr>
        <w:t>long</w:t>
      </w:r>
      <w:r>
        <w:rPr>
          <w:color w:val="2E3092"/>
          <w:spacing w:val="-6"/>
          <w:w w:val="95"/>
        </w:rPr>
        <w:t xml:space="preserve"> </w:t>
      </w:r>
      <w:r>
        <w:rPr>
          <w:color w:val="2E3092"/>
          <w:w w:val="95"/>
        </w:rPr>
        <w:t>run</w:t>
      </w:r>
      <w:r>
        <w:rPr>
          <w:color w:val="2E3092"/>
          <w:spacing w:val="-6"/>
          <w:w w:val="95"/>
        </w:rPr>
        <w:t xml:space="preserve"> </w:t>
      </w:r>
      <w:r>
        <w:rPr>
          <w:color w:val="2E3092"/>
          <w:w w:val="95"/>
        </w:rPr>
        <w:t>it</w:t>
      </w:r>
      <w:r>
        <w:rPr>
          <w:color w:val="2E3092"/>
          <w:spacing w:val="-6"/>
          <w:w w:val="95"/>
        </w:rPr>
        <w:t xml:space="preserve"> </w:t>
      </w:r>
      <w:r>
        <w:rPr>
          <w:color w:val="2E3092"/>
          <w:w w:val="95"/>
        </w:rPr>
        <w:t>is</w:t>
      </w:r>
      <w:r>
        <w:rPr>
          <w:color w:val="2E3092"/>
          <w:spacing w:val="-6"/>
          <w:w w:val="95"/>
        </w:rPr>
        <w:t xml:space="preserve"> </w:t>
      </w:r>
      <w:r>
        <w:rPr>
          <w:color w:val="2E3092"/>
          <w:w w:val="95"/>
        </w:rPr>
        <w:t>almost</w:t>
      </w:r>
      <w:r>
        <w:rPr>
          <w:color w:val="2E3092"/>
          <w:spacing w:val="-6"/>
          <w:w w:val="95"/>
        </w:rPr>
        <w:t xml:space="preserve"> </w:t>
      </w:r>
      <w:r>
        <w:rPr>
          <w:color w:val="2E3092"/>
          <w:w w:val="95"/>
        </w:rPr>
        <w:t>everything”.</w:t>
      </w:r>
      <w:r>
        <w:rPr>
          <w:color w:val="2E3092"/>
          <w:spacing w:val="-6"/>
          <w:w w:val="95"/>
        </w:rPr>
        <w:t xml:space="preserve"> </w:t>
      </w:r>
      <w:r>
        <w:rPr>
          <w:color w:val="2E3092"/>
          <w:w w:val="95"/>
        </w:rPr>
        <w:t xml:space="preserve">The </w:t>
      </w:r>
      <w:r>
        <w:rPr>
          <w:color w:val="2E3092"/>
          <w:spacing w:val="-4"/>
          <w:w w:val="95"/>
        </w:rPr>
        <w:t>State</w:t>
      </w:r>
      <w:r>
        <w:rPr>
          <w:color w:val="2E3092"/>
          <w:spacing w:val="-30"/>
          <w:w w:val="95"/>
        </w:rPr>
        <w:t xml:space="preserve"> </w:t>
      </w:r>
      <w:r>
        <w:rPr>
          <w:color w:val="2E3092"/>
          <w:spacing w:val="-4"/>
          <w:w w:val="95"/>
        </w:rPr>
        <w:t>Infrastructure</w:t>
      </w:r>
      <w:r>
        <w:rPr>
          <w:color w:val="2E3092"/>
          <w:spacing w:val="-30"/>
          <w:w w:val="95"/>
        </w:rPr>
        <w:t xml:space="preserve"> </w:t>
      </w:r>
      <w:r>
        <w:rPr>
          <w:color w:val="2E3092"/>
          <w:spacing w:val="-4"/>
          <w:w w:val="95"/>
        </w:rPr>
        <w:t>Strategy</w:t>
      </w:r>
      <w:r>
        <w:rPr>
          <w:color w:val="2E3092"/>
          <w:spacing w:val="-30"/>
          <w:w w:val="95"/>
        </w:rPr>
        <w:t xml:space="preserve"> </w:t>
      </w:r>
      <w:r>
        <w:rPr>
          <w:color w:val="2E3092"/>
          <w:spacing w:val="-4"/>
          <w:w w:val="95"/>
        </w:rPr>
        <w:t>has</w:t>
      </w:r>
      <w:r>
        <w:rPr>
          <w:color w:val="2E3092"/>
          <w:spacing w:val="-30"/>
          <w:w w:val="95"/>
        </w:rPr>
        <w:t xml:space="preserve"> </w:t>
      </w:r>
      <w:r>
        <w:rPr>
          <w:color w:val="2E3092"/>
          <w:spacing w:val="-4"/>
          <w:w w:val="95"/>
        </w:rPr>
        <w:t>been</w:t>
      </w:r>
      <w:r>
        <w:rPr>
          <w:color w:val="2E3092"/>
          <w:spacing w:val="-30"/>
          <w:w w:val="95"/>
        </w:rPr>
        <w:t xml:space="preserve"> </w:t>
      </w:r>
      <w:r>
        <w:rPr>
          <w:color w:val="2E3092"/>
          <w:spacing w:val="-4"/>
          <w:w w:val="95"/>
        </w:rPr>
        <w:t xml:space="preserve">underpinned </w:t>
      </w:r>
      <w:r>
        <w:rPr>
          <w:color w:val="00AEEF"/>
          <w:w w:val="95"/>
        </w:rPr>
        <w:t>by</w:t>
      </w:r>
      <w:r>
        <w:rPr>
          <w:color w:val="00AEEF"/>
          <w:spacing w:val="-8"/>
          <w:w w:val="95"/>
        </w:rPr>
        <w:t xml:space="preserve"> </w:t>
      </w:r>
      <w:r>
        <w:rPr>
          <w:color w:val="00AEEF"/>
          <w:w w:val="95"/>
        </w:rPr>
        <w:t>this</w:t>
      </w:r>
      <w:r>
        <w:rPr>
          <w:color w:val="00AEEF"/>
          <w:spacing w:val="-8"/>
          <w:w w:val="95"/>
        </w:rPr>
        <w:t xml:space="preserve"> </w:t>
      </w:r>
      <w:r>
        <w:rPr>
          <w:color w:val="00AEEF"/>
          <w:w w:val="95"/>
        </w:rPr>
        <w:t>notion,</w:t>
      </w:r>
      <w:r>
        <w:rPr>
          <w:color w:val="00AEEF"/>
          <w:spacing w:val="-8"/>
          <w:w w:val="95"/>
        </w:rPr>
        <w:t xml:space="preserve"> </w:t>
      </w:r>
      <w:r>
        <w:rPr>
          <w:color w:val="00AEEF"/>
          <w:w w:val="95"/>
        </w:rPr>
        <w:t>so</w:t>
      </w:r>
      <w:r>
        <w:rPr>
          <w:color w:val="00AEEF"/>
          <w:spacing w:val="-8"/>
          <w:w w:val="95"/>
        </w:rPr>
        <w:t xml:space="preserve"> </w:t>
      </w:r>
      <w:r>
        <w:rPr>
          <w:color w:val="00AEEF"/>
          <w:w w:val="95"/>
        </w:rPr>
        <w:t>that</w:t>
      </w:r>
      <w:r>
        <w:rPr>
          <w:color w:val="00AEEF"/>
          <w:spacing w:val="-8"/>
          <w:w w:val="95"/>
        </w:rPr>
        <w:t xml:space="preserve"> </w:t>
      </w:r>
      <w:r>
        <w:rPr>
          <w:color w:val="00AEEF"/>
          <w:w w:val="95"/>
        </w:rPr>
        <w:t>NSW</w:t>
      </w:r>
      <w:r>
        <w:rPr>
          <w:color w:val="00AEEF"/>
          <w:spacing w:val="-8"/>
          <w:w w:val="95"/>
        </w:rPr>
        <w:t xml:space="preserve"> </w:t>
      </w:r>
      <w:r>
        <w:rPr>
          <w:color w:val="00AEEF"/>
          <w:w w:val="95"/>
        </w:rPr>
        <w:t>will</w:t>
      </w:r>
      <w:r>
        <w:rPr>
          <w:color w:val="00AEEF"/>
          <w:spacing w:val="-8"/>
          <w:w w:val="95"/>
        </w:rPr>
        <w:t xml:space="preserve"> </w:t>
      </w:r>
      <w:r>
        <w:rPr>
          <w:color w:val="00AEEF"/>
          <w:w w:val="95"/>
        </w:rPr>
        <w:t>be</w:t>
      </w:r>
      <w:r>
        <w:rPr>
          <w:color w:val="00AEEF"/>
          <w:spacing w:val="-8"/>
          <w:w w:val="95"/>
        </w:rPr>
        <w:t xml:space="preserve"> </w:t>
      </w:r>
      <w:r>
        <w:rPr>
          <w:color w:val="00AEEF"/>
          <w:w w:val="95"/>
        </w:rPr>
        <w:t>in</w:t>
      </w:r>
      <w:r>
        <w:rPr>
          <w:color w:val="00AEEF"/>
          <w:spacing w:val="-10"/>
          <w:w w:val="95"/>
        </w:rPr>
        <w:t xml:space="preserve"> </w:t>
      </w:r>
      <w:r>
        <w:rPr>
          <w:color w:val="00AEEF"/>
          <w:w w:val="95"/>
        </w:rPr>
        <w:t>better</w:t>
      </w:r>
      <w:r>
        <w:rPr>
          <w:color w:val="00AEEF"/>
          <w:spacing w:val="-8"/>
          <w:w w:val="95"/>
        </w:rPr>
        <w:t xml:space="preserve"> </w:t>
      </w:r>
      <w:r>
        <w:rPr>
          <w:color w:val="00AEEF"/>
          <w:w w:val="95"/>
        </w:rPr>
        <w:t xml:space="preserve">shape </w:t>
      </w:r>
      <w:r>
        <w:rPr>
          <w:color w:val="00AEEF"/>
          <w:spacing w:val="-2"/>
        </w:rPr>
        <w:t>in</w:t>
      </w:r>
      <w:r>
        <w:rPr>
          <w:color w:val="00AEEF"/>
          <w:spacing w:val="-30"/>
        </w:rPr>
        <w:t xml:space="preserve"> </w:t>
      </w:r>
      <w:r>
        <w:rPr>
          <w:color w:val="00AEEF"/>
          <w:spacing w:val="-2"/>
        </w:rPr>
        <w:t>the</w:t>
      </w:r>
      <w:r>
        <w:rPr>
          <w:color w:val="00AEEF"/>
          <w:spacing w:val="-30"/>
        </w:rPr>
        <w:t xml:space="preserve"> </w:t>
      </w:r>
      <w:r>
        <w:rPr>
          <w:color w:val="00AEEF"/>
          <w:spacing w:val="-2"/>
        </w:rPr>
        <w:t>future</w:t>
      </w:r>
      <w:r>
        <w:rPr>
          <w:color w:val="00AEEF"/>
          <w:spacing w:val="-30"/>
        </w:rPr>
        <w:t xml:space="preserve"> </w:t>
      </w:r>
      <w:r>
        <w:rPr>
          <w:color w:val="00AEEF"/>
          <w:spacing w:val="-2"/>
        </w:rPr>
        <w:t>than</w:t>
      </w:r>
      <w:r>
        <w:rPr>
          <w:color w:val="00AEEF"/>
          <w:spacing w:val="-31"/>
        </w:rPr>
        <w:t xml:space="preserve"> </w:t>
      </w:r>
      <w:r>
        <w:rPr>
          <w:color w:val="00AEEF"/>
          <w:spacing w:val="-2"/>
        </w:rPr>
        <w:t>it</w:t>
      </w:r>
      <w:r>
        <w:rPr>
          <w:color w:val="00AEEF"/>
          <w:spacing w:val="-30"/>
        </w:rPr>
        <w:t xml:space="preserve"> </w:t>
      </w:r>
      <w:r>
        <w:rPr>
          <w:color w:val="00AEEF"/>
          <w:spacing w:val="-2"/>
        </w:rPr>
        <w:t>is</w:t>
      </w:r>
      <w:r>
        <w:rPr>
          <w:color w:val="00AEEF"/>
          <w:spacing w:val="-30"/>
        </w:rPr>
        <w:t xml:space="preserve"> </w:t>
      </w:r>
      <w:r>
        <w:rPr>
          <w:color w:val="00AEEF"/>
          <w:spacing w:val="-2"/>
        </w:rPr>
        <w:t>today.</w:t>
      </w:r>
    </w:p>
    <w:p w:rsidR="002C1123" w:rsidRDefault="00F22F94">
      <w:pPr>
        <w:pStyle w:val="BodyText"/>
        <w:spacing w:before="123" w:line="249" w:lineRule="auto"/>
        <w:ind w:left="2759" w:right="702"/>
      </w:pPr>
      <w:r>
        <w:rPr>
          <w:noProof/>
        </w:rPr>
        <w:drawing>
          <wp:anchor distT="0" distB="0" distL="0" distR="0" simplePos="0" relativeHeight="251202560" behindDoc="0" locked="0" layoutInCell="1" allowOverlap="1">
            <wp:simplePos x="0" y="0"/>
            <wp:positionH relativeFrom="page">
              <wp:posOffset>5291988</wp:posOffset>
            </wp:positionH>
            <wp:positionV relativeFrom="paragraph">
              <wp:posOffset>131114</wp:posOffset>
            </wp:positionV>
            <wp:extent cx="1325981" cy="1873961"/>
            <wp:effectExtent l="0" t="0" r="0" b="0"/>
            <wp:wrapNone/>
            <wp:docPr id="3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png"/>
                    <pic:cNvPicPr/>
                  </pic:nvPicPr>
                  <pic:blipFill>
                    <a:blip r:embed="rId25" cstate="print"/>
                    <a:stretch>
                      <a:fillRect/>
                    </a:stretch>
                  </pic:blipFill>
                  <pic:spPr>
                    <a:xfrm>
                      <a:off x="0" y="0"/>
                      <a:ext cx="1325981" cy="1873961"/>
                    </a:xfrm>
                    <a:prstGeom prst="rect">
                      <a:avLst/>
                    </a:prstGeom>
                  </pic:spPr>
                </pic:pic>
              </a:graphicData>
            </a:graphic>
          </wp:anchor>
        </w:drawing>
      </w:r>
      <w:r>
        <w:t>In</w:t>
      </w:r>
      <w:r>
        <w:rPr>
          <w:spacing w:val="-11"/>
        </w:rPr>
        <w:t xml:space="preserve"> </w:t>
      </w:r>
      <w:r>
        <w:t>the</w:t>
      </w:r>
      <w:r>
        <w:rPr>
          <w:spacing w:val="-11"/>
        </w:rPr>
        <w:t xml:space="preserve"> </w:t>
      </w:r>
      <w:r>
        <w:t>past</w:t>
      </w:r>
      <w:r>
        <w:rPr>
          <w:spacing w:val="-11"/>
        </w:rPr>
        <w:t xml:space="preserve"> </w:t>
      </w:r>
      <w:r>
        <w:t>decade,</w:t>
      </w:r>
      <w:r>
        <w:rPr>
          <w:spacing w:val="-11"/>
        </w:rPr>
        <w:t xml:space="preserve"> </w:t>
      </w:r>
      <w:r>
        <w:t>the</w:t>
      </w:r>
      <w:r>
        <w:rPr>
          <w:spacing w:val="-11"/>
        </w:rPr>
        <w:t xml:space="preserve"> </w:t>
      </w:r>
      <w:r>
        <w:t>NSW</w:t>
      </w:r>
      <w:r>
        <w:rPr>
          <w:spacing w:val="-11"/>
        </w:rPr>
        <w:t xml:space="preserve"> </w:t>
      </w:r>
      <w:r>
        <w:t>economy</w:t>
      </w:r>
      <w:r>
        <w:rPr>
          <w:spacing w:val="-11"/>
        </w:rPr>
        <w:t xml:space="preserve"> </w:t>
      </w:r>
      <w:r>
        <w:t>had</w:t>
      </w:r>
      <w:r>
        <w:rPr>
          <w:spacing w:val="-11"/>
        </w:rPr>
        <w:t xml:space="preserve"> </w:t>
      </w:r>
      <w:r>
        <w:t>the</w:t>
      </w:r>
      <w:r>
        <w:rPr>
          <w:spacing w:val="-11"/>
        </w:rPr>
        <w:t xml:space="preserve"> </w:t>
      </w:r>
      <w:r>
        <w:t xml:space="preserve">slowest </w:t>
      </w:r>
      <w:r>
        <w:rPr>
          <w:w w:val="95"/>
        </w:rPr>
        <w:t xml:space="preserve">growth in Australia and grew 25 percent more slowly than the Australian average. Sliding productivity is the most significant </w:t>
      </w:r>
      <w:r>
        <w:t>public</w:t>
      </w:r>
      <w:r>
        <w:rPr>
          <w:spacing w:val="-14"/>
        </w:rPr>
        <w:t xml:space="preserve"> </w:t>
      </w:r>
      <w:r>
        <w:t>policy</w:t>
      </w:r>
      <w:r>
        <w:rPr>
          <w:spacing w:val="-14"/>
        </w:rPr>
        <w:t xml:space="preserve"> </w:t>
      </w:r>
      <w:r>
        <w:t>issue</w:t>
      </w:r>
      <w:r>
        <w:rPr>
          <w:spacing w:val="-14"/>
        </w:rPr>
        <w:t xml:space="preserve"> </w:t>
      </w:r>
      <w:r>
        <w:t>challenging</w:t>
      </w:r>
      <w:r>
        <w:rPr>
          <w:spacing w:val="-14"/>
        </w:rPr>
        <w:t xml:space="preserve"> </w:t>
      </w:r>
      <w:r>
        <w:t>NSW.</w:t>
      </w:r>
      <w:r>
        <w:rPr>
          <w:spacing w:val="-14"/>
        </w:rPr>
        <w:t xml:space="preserve"> </w:t>
      </w:r>
      <w:r>
        <w:t>Sustained</w:t>
      </w:r>
      <w:r>
        <w:rPr>
          <w:spacing w:val="-14"/>
        </w:rPr>
        <w:t xml:space="preserve"> </w:t>
      </w:r>
      <w:r>
        <w:t xml:space="preserve">economic </w:t>
      </w:r>
      <w:r>
        <w:rPr>
          <w:w w:val="95"/>
        </w:rPr>
        <w:t>growth</w:t>
      </w:r>
      <w:r>
        <w:rPr>
          <w:spacing w:val="-5"/>
          <w:w w:val="95"/>
        </w:rPr>
        <w:t xml:space="preserve"> </w:t>
      </w:r>
      <w:r>
        <w:rPr>
          <w:w w:val="95"/>
        </w:rPr>
        <w:t>and</w:t>
      </w:r>
      <w:r>
        <w:rPr>
          <w:spacing w:val="-5"/>
          <w:w w:val="95"/>
        </w:rPr>
        <w:t xml:space="preserve"> </w:t>
      </w:r>
      <w:r>
        <w:rPr>
          <w:w w:val="95"/>
        </w:rPr>
        <w:t>individual</w:t>
      </w:r>
      <w:r>
        <w:rPr>
          <w:spacing w:val="-5"/>
          <w:w w:val="95"/>
        </w:rPr>
        <w:t xml:space="preserve"> </w:t>
      </w:r>
      <w:r>
        <w:rPr>
          <w:w w:val="95"/>
        </w:rPr>
        <w:t>prosperity</w:t>
      </w:r>
      <w:r>
        <w:rPr>
          <w:spacing w:val="-5"/>
          <w:w w:val="95"/>
        </w:rPr>
        <w:t xml:space="preserve"> </w:t>
      </w:r>
      <w:r>
        <w:rPr>
          <w:w w:val="95"/>
        </w:rPr>
        <w:t>for</w:t>
      </w:r>
      <w:r>
        <w:rPr>
          <w:spacing w:val="-5"/>
          <w:w w:val="95"/>
        </w:rPr>
        <w:t xml:space="preserve"> </w:t>
      </w:r>
      <w:r>
        <w:rPr>
          <w:w w:val="95"/>
        </w:rPr>
        <w:t>everyone</w:t>
      </w:r>
      <w:r>
        <w:rPr>
          <w:spacing w:val="-5"/>
          <w:w w:val="95"/>
        </w:rPr>
        <w:t xml:space="preserve"> </w:t>
      </w:r>
      <w:r>
        <w:rPr>
          <w:w w:val="95"/>
        </w:rPr>
        <w:t>in</w:t>
      </w:r>
      <w:r>
        <w:rPr>
          <w:spacing w:val="-5"/>
          <w:w w:val="95"/>
        </w:rPr>
        <w:t xml:space="preserve"> </w:t>
      </w:r>
      <w:r>
        <w:rPr>
          <w:w w:val="95"/>
        </w:rPr>
        <w:t>NSW</w:t>
      </w:r>
      <w:r>
        <w:rPr>
          <w:spacing w:val="-5"/>
          <w:w w:val="95"/>
        </w:rPr>
        <w:t xml:space="preserve"> </w:t>
      </w:r>
      <w:r>
        <w:rPr>
          <w:w w:val="95"/>
        </w:rPr>
        <w:t>can</w:t>
      </w:r>
      <w:r>
        <w:rPr>
          <w:spacing w:val="-5"/>
          <w:w w:val="95"/>
        </w:rPr>
        <w:t xml:space="preserve"> </w:t>
      </w:r>
      <w:r>
        <w:rPr>
          <w:w w:val="95"/>
        </w:rPr>
        <w:t xml:space="preserve">only be driven by increasing productivity. The right decisions about </w:t>
      </w:r>
      <w:r>
        <w:rPr>
          <w:spacing w:val="-2"/>
        </w:rPr>
        <w:t>infrastructure</w:t>
      </w:r>
      <w:r>
        <w:rPr>
          <w:spacing w:val="-4"/>
        </w:rPr>
        <w:t xml:space="preserve"> </w:t>
      </w:r>
      <w:r>
        <w:rPr>
          <w:spacing w:val="-2"/>
        </w:rPr>
        <w:t>investment</w:t>
      </w:r>
      <w:r>
        <w:rPr>
          <w:spacing w:val="-4"/>
        </w:rPr>
        <w:t xml:space="preserve"> </w:t>
      </w:r>
      <w:r>
        <w:rPr>
          <w:spacing w:val="-2"/>
        </w:rPr>
        <w:t>are</w:t>
      </w:r>
      <w:r>
        <w:rPr>
          <w:spacing w:val="-4"/>
        </w:rPr>
        <w:t xml:space="preserve"> </w:t>
      </w:r>
      <w:r>
        <w:rPr>
          <w:spacing w:val="-2"/>
        </w:rPr>
        <w:t>critical</w:t>
      </w:r>
      <w:r>
        <w:rPr>
          <w:spacing w:val="-4"/>
        </w:rPr>
        <w:t xml:space="preserve"> </w:t>
      </w:r>
      <w:r>
        <w:rPr>
          <w:spacing w:val="-2"/>
        </w:rPr>
        <w:t>to</w:t>
      </w:r>
      <w:r>
        <w:rPr>
          <w:spacing w:val="-4"/>
        </w:rPr>
        <w:t xml:space="preserve"> </w:t>
      </w:r>
      <w:r>
        <w:rPr>
          <w:spacing w:val="-2"/>
        </w:rPr>
        <w:t>achieving</w:t>
      </w:r>
      <w:r>
        <w:rPr>
          <w:spacing w:val="-4"/>
        </w:rPr>
        <w:t xml:space="preserve"> </w:t>
      </w:r>
      <w:r>
        <w:rPr>
          <w:spacing w:val="-2"/>
        </w:rPr>
        <w:t>this</w:t>
      </w:r>
      <w:r>
        <w:rPr>
          <w:spacing w:val="-4"/>
        </w:rPr>
        <w:t xml:space="preserve"> </w:t>
      </w:r>
      <w:r>
        <w:rPr>
          <w:spacing w:val="-2"/>
        </w:rPr>
        <w:t>goal.</w:t>
      </w:r>
    </w:p>
    <w:p w:rsidR="002C1123" w:rsidRDefault="00F22F94">
      <w:pPr>
        <w:pStyle w:val="BodyText"/>
        <w:spacing w:before="147" w:line="249" w:lineRule="auto"/>
        <w:ind w:left="2759" w:right="702"/>
      </w:pPr>
      <w:r>
        <w:rPr>
          <w:w w:val="95"/>
        </w:rPr>
        <w:t xml:space="preserve">The State Infrastructure Strategy is Infrastructure NSW’s </w:t>
      </w:r>
      <w:r>
        <w:t>independent</w:t>
      </w:r>
      <w:r>
        <w:rPr>
          <w:spacing w:val="-6"/>
        </w:rPr>
        <w:t xml:space="preserve"> </w:t>
      </w:r>
      <w:r>
        <w:t>advice</w:t>
      </w:r>
      <w:r>
        <w:rPr>
          <w:spacing w:val="-6"/>
        </w:rPr>
        <w:t xml:space="preserve"> </w:t>
      </w:r>
      <w:r>
        <w:t>to</w:t>
      </w:r>
      <w:r>
        <w:rPr>
          <w:spacing w:val="-6"/>
        </w:rPr>
        <w:t xml:space="preserve"> </w:t>
      </w:r>
      <w:r>
        <w:t>Government</w:t>
      </w:r>
      <w:r>
        <w:rPr>
          <w:spacing w:val="-6"/>
        </w:rPr>
        <w:t xml:space="preserve"> </w:t>
      </w:r>
      <w:r>
        <w:t>on</w:t>
      </w:r>
      <w:r>
        <w:rPr>
          <w:spacing w:val="-6"/>
        </w:rPr>
        <w:t xml:space="preserve"> </w:t>
      </w:r>
      <w:r>
        <w:t>the</w:t>
      </w:r>
      <w:r>
        <w:rPr>
          <w:spacing w:val="-6"/>
        </w:rPr>
        <w:t xml:space="preserve"> </w:t>
      </w:r>
      <w:r>
        <w:t xml:space="preserve">priority </w:t>
      </w:r>
      <w:r>
        <w:rPr>
          <w:w w:val="95"/>
        </w:rPr>
        <w:t>infrastructure</w:t>
      </w:r>
      <w:r>
        <w:rPr>
          <w:spacing w:val="-6"/>
          <w:w w:val="95"/>
        </w:rPr>
        <w:t xml:space="preserve"> </w:t>
      </w:r>
      <w:r>
        <w:rPr>
          <w:w w:val="95"/>
        </w:rPr>
        <w:t>investments</w:t>
      </w:r>
      <w:r>
        <w:rPr>
          <w:spacing w:val="-6"/>
          <w:w w:val="95"/>
        </w:rPr>
        <w:t xml:space="preserve"> </w:t>
      </w:r>
      <w:r>
        <w:rPr>
          <w:w w:val="95"/>
        </w:rPr>
        <w:t>and</w:t>
      </w:r>
      <w:r>
        <w:rPr>
          <w:spacing w:val="-6"/>
          <w:w w:val="95"/>
        </w:rPr>
        <w:t xml:space="preserve"> </w:t>
      </w:r>
      <w:r>
        <w:rPr>
          <w:w w:val="95"/>
        </w:rPr>
        <w:t>reforms</w:t>
      </w:r>
      <w:r>
        <w:rPr>
          <w:spacing w:val="-6"/>
          <w:w w:val="95"/>
        </w:rPr>
        <w:t xml:space="preserve"> </w:t>
      </w:r>
      <w:r>
        <w:rPr>
          <w:w w:val="95"/>
        </w:rPr>
        <w:t>needed</w:t>
      </w:r>
      <w:r>
        <w:rPr>
          <w:spacing w:val="-6"/>
          <w:w w:val="95"/>
        </w:rPr>
        <w:t xml:space="preserve"> </w:t>
      </w:r>
      <w:r>
        <w:rPr>
          <w:w w:val="95"/>
        </w:rPr>
        <w:t>to</w:t>
      </w:r>
      <w:r>
        <w:rPr>
          <w:spacing w:val="-6"/>
          <w:w w:val="95"/>
        </w:rPr>
        <w:t xml:space="preserve"> </w:t>
      </w:r>
      <w:r>
        <w:rPr>
          <w:w w:val="95"/>
        </w:rPr>
        <w:t xml:space="preserve">reverse </w:t>
      </w:r>
      <w:r>
        <w:t>current productivity trends.</w:t>
      </w:r>
    </w:p>
    <w:p w:rsidR="002C1123" w:rsidRDefault="00F22F94">
      <w:pPr>
        <w:pStyle w:val="BodyText"/>
        <w:spacing w:before="145" w:line="249" w:lineRule="auto"/>
        <w:ind w:left="2759" w:right="702"/>
      </w:pPr>
      <w:r>
        <w:rPr>
          <w:spacing w:val="-2"/>
          <w:w w:val="95"/>
        </w:rPr>
        <w:t>A</w:t>
      </w:r>
      <w:r>
        <w:rPr>
          <w:spacing w:val="-11"/>
          <w:w w:val="95"/>
        </w:rPr>
        <w:t xml:space="preserve"> </w:t>
      </w:r>
      <w:r>
        <w:rPr>
          <w:spacing w:val="-2"/>
          <w:w w:val="95"/>
        </w:rPr>
        <w:t>sustained</w:t>
      </w:r>
      <w:r>
        <w:rPr>
          <w:spacing w:val="-11"/>
          <w:w w:val="95"/>
        </w:rPr>
        <w:t xml:space="preserve"> </w:t>
      </w:r>
      <w:r>
        <w:rPr>
          <w:spacing w:val="-2"/>
          <w:w w:val="95"/>
        </w:rPr>
        <w:t>improvement</w:t>
      </w:r>
      <w:r>
        <w:rPr>
          <w:spacing w:val="-11"/>
          <w:w w:val="95"/>
        </w:rPr>
        <w:t xml:space="preserve"> </w:t>
      </w:r>
      <w:r>
        <w:rPr>
          <w:spacing w:val="-2"/>
          <w:w w:val="95"/>
        </w:rPr>
        <w:t>in</w:t>
      </w:r>
      <w:r>
        <w:rPr>
          <w:spacing w:val="-11"/>
          <w:w w:val="95"/>
        </w:rPr>
        <w:t xml:space="preserve"> </w:t>
      </w:r>
      <w:r>
        <w:rPr>
          <w:spacing w:val="-2"/>
          <w:w w:val="95"/>
        </w:rPr>
        <w:t>economic</w:t>
      </w:r>
      <w:r>
        <w:rPr>
          <w:spacing w:val="-11"/>
          <w:w w:val="95"/>
        </w:rPr>
        <w:t xml:space="preserve"> </w:t>
      </w:r>
      <w:r>
        <w:rPr>
          <w:spacing w:val="-2"/>
          <w:w w:val="95"/>
        </w:rPr>
        <w:t>performance</w:t>
      </w:r>
      <w:r>
        <w:rPr>
          <w:spacing w:val="-11"/>
          <w:w w:val="95"/>
        </w:rPr>
        <w:t xml:space="preserve"> </w:t>
      </w:r>
      <w:r>
        <w:rPr>
          <w:spacing w:val="-2"/>
          <w:w w:val="95"/>
        </w:rPr>
        <w:t>requires</w:t>
      </w:r>
      <w:r>
        <w:rPr>
          <w:spacing w:val="-11"/>
          <w:w w:val="95"/>
        </w:rPr>
        <w:t xml:space="preserve"> </w:t>
      </w:r>
      <w:r>
        <w:rPr>
          <w:spacing w:val="-2"/>
          <w:w w:val="95"/>
        </w:rPr>
        <w:t xml:space="preserve">the </w:t>
      </w:r>
      <w:r>
        <w:rPr>
          <w:w w:val="95"/>
        </w:rPr>
        <w:t>basic</w:t>
      </w:r>
      <w:r>
        <w:rPr>
          <w:spacing w:val="-14"/>
          <w:w w:val="95"/>
        </w:rPr>
        <w:t xml:space="preserve"> </w:t>
      </w:r>
      <w:r>
        <w:rPr>
          <w:w w:val="95"/>
        </w:rPr>
        <w:t>platforms</w:t>
      </w:r>
      <w:r>
        <w:rPr>
          <w:spacing w:val="-14"/>
          <w:w w:val="95"/>
        </w:rPr>
        <w:t xml:space="preserve"> </w:t>
      </w:r>
      <w:r>
        <w:rPr>
          <w:w w:val="95"/>
        </w:rPr>
        <w:t>for</w:t>
      </w:r>
      <w:r>
        <w:rPr>
          <w:spacing w:val="-14"/>
          <w:w w:val="95"/>
        </w:rPr>
        <w:t xml:space="preserve"> </w:t>
      </w:r>
      <w:r>
        <w:rPr>
          <w:w w:val="95"/>
        </w:rPr>
        <w:t>growth</w:t>
      </w:r>
      <w:r>
        <w:rPr>
          <w:spacing w:val="-14"/>
          <w:w w:val="95"/>
        </w:rPr>
        <w:t xml:space="preserve"> </w:t>
      </w:r>
      <w:r>
        <w:rPr>
          <w:w w:val="95"/>
        </w:rPr>
        <w:t>to</w:t>
      </w:r>
      <w:r>
        <w:rPr>
          <w:spacing w:val="-14"/>
          <w:w w:val="95"/>
        </w:rPr>
        <w:t xml:space="preserve"> </w:t>
      </w:r>
      <w:r>
        <w:rPr>
          <w:w w:val="95"/>
        </w:rPr>
        <w:t>be</w:t>
      </w:r>
      <w:r>
        <w:rPr>
          <w:spacing w:val="-14"/>
          <w:w w:val="95"/>
        </w:rPr>
        <w:t xml:space="preserve"> </w:t>
      </w:r>
      <w:r>
        <w:rPr>
          <w:w w:val="95"/>
        </w:rPr>
        <w:t>in</w:t>
      </w:r>
      <w:r>
        <w:rPr>
          <w:spacing w:val="-14"/>
          <w:w w:val="95"/>
        </w:rPr>
        <w:t xml:space="preserve"> </w:t>
      </w:r>
      <w:r>
        <w:rPr>
          <w:w w:val="95"/>
        </w:rPr>
        <w:t>place;</w:t>
      </w:r>
      <w:r>
        <w:rPr>
          <w:spacing w:val="-14"/>
          <w:w w:val="95"/>
        </w:rPr>
        <w:t xml:space="preserve"> </w:t>
      </w:r>
      <w:r>
        <w:rPr>
          <w:w w:val="95"/>
        </w:rPr>
        <w:t>in</w:t>
      </w:r>
      <w:r>
        <w:rPr>
          <w:spacing w:val="-14"/>
          <w:w w:val="95"/>
        </w:rPr>
        <w:t xml:space="preserve"> </w:t>
      </w:r>
      <w:r>
        <w:rPr>
          <w:w w:val="95"/>
        </w:rPr>
        <w:t>other</w:t>
      </w:r>
      <w:r>
        <w:rPr>
          <w:spacing w:val="-14"/>
          <w:w w:val="95"/>
        </w:rPr>
        <w:t xml:space="preserve"> </w:t>
      </w:r>
      <w:r>
        <w:rPr>
          <w:w w:val="95"/>
        </w:rPr>
        <w:t>words</w:t>
      </w:r>
      <w:r>
        <w:rPr>
          <w:spacing w:val="-14"/>
          <w:w w:val="95"/>
        </w:rPr>
        <w:t xml:space="preserve"> </w:t>
      </w:r>
      <w:r>
        <w:rPr>
          <w:w w:val="95"/>
        </w:rPr>
        <w:t>it</w:t>
      </w:r>
      <w:r>
        <w:rPr>
          <w:spacing w:val="-14"/>
          <w:w w:val="95"/>
        </w:rPr>
        <w:t xml:space="preserve"> </w:t>
      </w:r>
      <w:r>
        <w:rPr>
          <w:w w:val="95"/>
        </w:rPr>
        <w:t>needs a</w:t>
      </w:r>
      <w:r>
        <w:rPr>
          <w:spacing w:val="-15"/>
          <w:w w:val="95"/>
        </w:rPr>
        <w:t xml:space="preserve"> </w:t>
      </w:r>
      <w:r>
        <w:rPr>
          <w:w w:val="95"/>
        </w:rPr>
        <w:t>‘first</w:t>
      </w:r>
      <w:r>
        <w:rPr>
          <w:spacing w:val="-14"/>
          <w:w w:val="95"/>
        </w:rPr>
        <w:t xml:space="preserve"> </w:t>
      </w:r>
      <w:r>
        <w:rPr>
          <w:w w:val="95"/>
        </w:rPr>
        <w:t>things</w:t>
      </w:r>
      <w:r>
        <w:rPr>
          <w:spacing w:val="-14"/>
          <w:w w:val="95"/>
        </w:rPr>
        <w:t xml:space="preserve"> </w:t>
      </w:r>
      <w:r>
        <w:rPr>
          <w:w w:val="95"/>
        </w:rPr>
        <w:t>first’</w:t>
      </w:r>
      <w:r>
        <w:rPr>
          <w:spacing w:val="-14"/>
          <w:w w:val="95"/>
        </w:rPr>
        <w:t xml:space="preserve"> </w:t>
      </w:r>
      <w:r>
        <w:rPr>
          <w:w w:val="95"/>
        </w:rPr>
        <w:t>approach.</w:t>
      </w:r>
      <w:r>
        <w:rPr>
          <w:spacing w:val="-15"/>
          <w:w w:val="95"/>
        </w:rPr>
        <w:t xml:space="preserve"> </w:t>
      </w:r>
      <w:r>
        <w:rPr>
          <w:w w:val="95"/>
        </w:rPr>
        <w:t>As</w:t>
      </w:r>
      <w:r>
        <w:rPr>
          <w:spacing w:val="-14"/>
          <w:w w:val="95"/>
        </w:rPr>
        <w:t xml:space="preserve"> </w:t>
      </w:r>
      <w:r>
        <w:rPr>
          <w:w w:val="95"/>
        </w:rPr>
        <w:t>such,</w:t>
      </w:r>
      <w:r>
        <w:rPr>
          <w:spacing w:val="-14"/>
          <w:w w:val="95"/>
        </w:rPr>
        <w:t xml:space="preserve"> </w:t>
      </w:r>
      <w:r>
        <w:rPr>
          <w:w w:val="95"/>
        </w:rPr>
        <w:t>the</w:t>
      </w:r>
      <w:r>
        <w:rPr>
          <w:spacing w:val="-14"/>
          <w:w w:val="95"/>
        </w:rPr>
        <w:t xml:space="preserve"> </w:t>
      </w:r>
      <w:r>
        <w:rPr>
          <w:w w:val="95"/>
        </w:rPr>
        <w:t>Strategy</w:t>
      </w:r>
      <w:r>
        <w:rPr>
          <w:spacing w:val="-14"/>
          <w:w w:val="95"/>
        </w:rPr>
        <w:t xml:space="preserve"> </w:t>
      </w:r>
      <w:r>
        <w:rPr>
          <w:w w:val="95"/>
        </w:rPr>
        <w:t xml:space="preserve">concentrates </w:t>
      </w:r>
      <w:r>
        <w:rPr>
          <w:spacing w:val="-2"/>
        </w:rPr>
        <w:t>on</w:t>
      </w:r>
      <w:r>
        <w:rPr>
          <w:spacing w:val="-8"/>
        </w:rPr>
        <w:t xml:space="preserve"> </w:t>
      </w:r>
      <w:r>
        <w:rPr>
          <w:spacing w:val="-2"/>
        </w:rPr>
        <w:t>the</w:t>
      </w:r>
      <w:r>
        <w:rPr>
          <w:spacing w:val="-8"/>
        </w:rPr>
        <w:t xml:space="preserve"> </w:t>
      </w:r>
      <w:r>
        <w:rPr>
          <w:spacing w:val="-2"/>
        </w:rPr>
        <w:t>State’s</w:t>
      </w:r>
      <w:r>
        <w:rPr>
          <w:spacing w:val="-8"/>
        </w:rPr>
        <w:t xml:space="preserve"> </w:t>
      </w:r>
      <w:r>
        <w:rPr>
          <w:spacing w:val="-2"/>
        </w:rPr>
        <w:t>infrastructure</w:t>
      </w:r>
      <w:r>
        <w:rPr>
          <w:spacing w:val="-8"/>
        </w:rPr>
        <w:t xml:space="preserve"> </w:t>
      </w:r>
      <w:r>
        <w:rPr>
          <w:spacing w:val="-2"/>
        </w:rPr>
        <w:t>networks:</w:t>
      </w:r>
      <w:r>
        <w:rPr>
          <w:spacing w:val="-8"/>
        </w:rPr>
        <w:t xml:space="preserve"> </w:t>
      </w:r>
      <w:r>
        <w:rPr>
          <w:spacing w:val="-2"/>
        </w:rPr>
        <w:t>the</w:t>
      </w:r>
      <w:r>
        <w:rPr>
          <w:spacing w:val="-8"/>
        </w:rPr>
        <w:t xml:space="preserve"> </w:t>
      </w:r>
      <w:r>
        <w:rPr>
          <w:spacing w:val="-2"/>
        </w:rPr>
        <w:t>transport</w:t>
      </w:r>
      <w:r>
        <w:rPr>
          <w:spacing w:val="-8"/>
        </w:rPr>
        <w:t xml:space="preserve"> </w:t>
      </w:r>
      <w:r>
        <w:rPr>
          <w:spacing w:val="-2"/>
        </w:rPr>
        <w:t>links</w:t>
      </w:r>
      <w:r>
        <w:rPr>
          <w:spacing w:val="-8"/>
        </w:rPr>
        <w:t xml:space="preserve"> </w:t>
      </w:r>
      <w:r>
        <w:rPr>
          <w:spacing w:val="-2"/>
        </w:rPr>
        <w:t xml:space="preserve">that </w:t>
      </w:r>
      <w:r>
        <w:t>connect</w:t>
      </w:r>
      <w:r>
        <w:rPr>
          <w:spacing w:val="-11"/>
        </w:rPr>
        <w:t xml:space="preserve"> </w:t>
      </w:r>
      <w:r>
        <w:t>people</w:t>
      </w:r>
      <w:r>
        <w:rPr>
          <w:spacing w:val="-11"/>
        </w:rPr>
        <w:t xml:space="preserve"> </w:t>
      </w:r>
      <w:r>
        <w:t>with</w:t>
      </w:r>
      <w:r>
        <w:rPr>
          <w:spacing w:val="-11"/>
        </w:rPr>
        <w:t xml:space="preserve"> </w:t>
      </w:r>
      <w:r>
        <w:t>jobs</w:t>
      </w:r>
      <w:r>
        <w:rPr>
          <w:spacing w:val="-11"/>
        </w:rPr>
        <w:t xml:space="preserve"> </w:t>
      </w:r>
      <w:r>
        <w:t>and</w:t>
      </w:r>
      <w:r>
        <w:rPr>
          <w:spacing w:val="-11"/>
        </w:rPr>
        <w:t xml:space="preserve"> </w:t>
      </w:r>
      <w:r>
        <w:t>goods</w:t>
      </w:r>
      <w:r>
        <w:rPr>
          <w:spacing w:val="-11"/>
        </w:rPr>
        <w:t xml:space="preserve"> </w:t>
      </w:r>
      <w:r>
        <w:t>with</w:t>
      </w:r>
      <w:r>
        <w:rPr>
          <w:spacing w:val="-11"/>
        </w:rPr>
        <w:t xml:space="preserve"> </w:t>
      </w:r>
      <w:r>
        <w:t>markets,</w:t>
      </w:r>
      <w:r>
        <w:rPr>
          <w:spacing w:val="-11"/>
        </w:rPr>
        <w:t xml:space="preserve"> </w:t>
      </w:r>
      <w:r>
        <w:t>and</w:t>
      </w:r>
      <w:r>
        <w:rPr>
          <w:spacing w:val="-11"/>
        </w:rPr>
        <w:t xml:space="preserve"> </w:t>
      </w:r>
      <w:r>
        <w:t xml:space="preserve">the </w:t>
      </w:r>
      <w:r>
        <w:rPr>
          <w:w w:val="95"/>
        </w:rPr>
        <w:t xml:space="preserve">utilities that supply power, water and data across NSW. It also </w:t>
      </w:r>
      <w:r>
        <w:rPr>
          <w:spacing w:val="-2"/>
        </w:rPr>
        <w:t>ensures</w:t>
      </w:r>
      <w:r>
        <w:rPr>
          <w:spacing w:val="-4"/>
        </w:rPr>
        <w:t xml:space="preserve"> </w:t>
      </w:r>
      <w:r>
        <w:rPr>
          <w:spacing w:val="-2"/>
        </w:rPr>
        <w:t>that</w:t>
      </w:r>
      <w:r>
        <w:rPr>
          <w:spacing w:val="-4"/>
        </w:rPr>
        <w:t xml:space="preserve"> </w:t>
      </w:r>
      <w:r>
        <w:rPr>
          <w:spacing w:val="-2"/>
        </w:rPr>
        <w:t>the</w:t>
      </w:r>
      <w:r>
        <w:rPr>
          <w:spacing w:val="-4"/>
        </w:rPr>
        <w:t xml:space="preserve"> </w:t>
      </w:r>
      <w:r>
        <w:rPr>
          <w:spacing w:val="-2"/>
        </w:rPr>
        <w:t>fundamentals</w:t>
      </w:r>
      <w:r>
        <w:rPr>
          <w:spacing w:val="-4"/>
        </w:rPr>
        <w:t xml:space="preserve"> </w:t>
      </w:r>
      <w:r>
        <w:rPr>
          <w:spacing w:val="-2"/>
        </w:rPr>
        <w:t>of</w:t>
      </w:r>
      <w:r>
        <w:rPr>
          <w:spacing w:val="-4"/>
        </w:rPr>
        <w:t xml:space="preserve"> </w:t>
      </w:r>
      <w:r>
        <w:rPr>
          <w:spacing w:val="-2"/>
        </w:rPr>
        <w:t>community</w:t>
      </w:r>
      <w:r>
        <w:rPr>
          <w:spacing w:val="-4"/>
        </w:rPr>
        <w:t xml:space="preserve"> </w:t>
      </w:r>
      <w:r>
        <w:rPr>
          <w:spacing w:val="-2"/>
        </w:rPr>
        <w:t>wellbeing, especially</w:t>
      </w:r>
      <w:r>
        <w:rPr>
          <w:spacing w:val="-5"/>
        </w:rPr>
        <w:t xml:space="preserve"> </w:t>
      </w:r>
      <w:r>
        <w:rPr>
          <w:spacing w:val="-2"/>
        </w:rPr>
        <w:t>health</w:t>
      </w:r>
      <w:r>
        <w:rPr>
          <w:spacing w:val="-5"/>
        </w:rPr>
        <w:t xml:space="preserve"> </w:t>
      </w:r>
      <w:r>
        <w:rPr>
          <w:spacing w:val="-2"/>
        </w:rPr>
        <w:t>and</w:t>
      </w:r>
      <w:r>
        <w:rPr>
          <w:spacing w:val="-5"/>
        </w:rPr>
        <w:t xml:space="preserve"> </w:t>
      </w:r>
      <w:r>
        <w:rPr>
          <w:spacing w:val="-2"/>
        </w:rPr>
        <w:t>education,</w:t>
      </w:r>
      <w:r>
        <w:rPr>
          <w:spacing w:val="-5"/>
        </w:rPr>
        <w:t xml:space="preserve"> </w:t>
      </w:r>
      <w:r>
        <w:rPr>
          <w:spacing w:val="-2"/>
        </w:rPr>
        <w:t>will</w:t>
      </w:r>
      <w:r>
        <w:rPr>
          <w:spacing w:val="-5"/>
        </w:rPr>
        <w:t xml:space="preserve"> </w:t>
      </w:r>
      <w:r>
        <w:rPr>
          <w:spacing w:val="-2"/>
        </w:rPr>
        <w:t>be</w:t>
      </w:r>
      <w:r>
        <w:rPr>
          <w:spacing w:val="-5"/>
        </w:rPr>
        <w:t xml:space="preserve"> </w:t>
      </w:r>
      <w:r>
        <w:rPr>
          <w:spacing w:val="-2"/>
        </w:rPr>
        <w:t>addressed.</w:t>
      </w:r>
    </w:p>
    <w:p w:rsidR="002C1123" w:rsidRDefault="00F22F94">
      <w:pPr>
        <w:pStyle w:val="BodyText"/>
        <w:spacing w:before="149" w:line="249" w:lineRule="auto"/>
        <w:ind w:left="2759" w:right="702"/>
      </w:pPr>
      <w:r>
        <w:rPr>
          <w:w w:val="95"/>
        </w:rPr>
        <w:t>Effective</w:t>
      </w:r>
      <w:r>
        <w:rPr>
          <w:spacing w:val="-6"/>
          <w:w w:val="95"/>
        </w:rPr>
        <w:t xml:space="preserve"> </w:t>
      </w:r>
      <w:r>
        <w:rPr>
          <w:w w:val="95"/>
        </w:rPr>
        <w:t>implementation</w:t>
      </w:r>
      <w:r>
        <w:rPr>
          <w:spacing w:val="-6"/>
          <w:w w:val="95"/>
        </w:rPr>
        <w:t xml:space="preserve"> </w:t>
      </w:r>
      <w:r>
        <w:rPr>
          <w:w w:val="95"/>
        </w:rPr>
        <w:t>of</w:t>
      </w:r>
      <w:r>
        <w:rPr>
          <w:spacing w:val="-6"/>
          <w:w w:val="95"/>
        </w:rPr>
        <w:t xml:space="preserve"> </w:t>
      </w:r>
      <w:r>
        <w:rPr>
          <w:w w:val="95"/>
        </w:rPr>
        <w:t>this</w:t>
      </w:r>
      <w:r>
        <w:rPr>
          <w:spacing w:val="-6"/>
          <w:w w:val="95"/>
        </w:rPr>
        <w:t xml:space="preserve"> </w:t>
      </w:r>
      <w:r>
        <w:rPr>
          <w:w w:val="95"/>
        </w:rPr>
        <w:t>Strategy</w:t>
      </w:r>
      <w:r>
        <w:rPr>
          <w:spacing w:val="-6"/>
          <w:w w:val="95"/>
        </w:rPr>
        <w:t xml:space="preserve"> </w:t>
      </w:r>
      <w:r>
        <w:rPr>
          <w:w w:val="95"/>
        </w:rPr>
        <w:t>would</w:t>
      </w:r>
      <w:r>
        <w:rPr>
          <w:spacing w:val="-6"/>
          <w:w w:val="95"/>
        </w:rPr>
        <w:t xml:space="preserve"> </w:t>
      </w:r>
      <w:r>
        <w:rPr>
          <w:w w:val="95"/>
        </w:rPr>
        <w:t>increase</w:t>
      </w:r>
      <w:r>
        <w:rPr>
          <w:spacing w:val="-6"/>
          <w:w w:val="95"/>
        </w:rPr>
        <w:t xml:space="preserve"> </w:t>
      </w:r>
      <w:r>
        <w:rPr>
          <w:w w:val="95"/>
        </w:rPr>
        <w:t xml:space="preserve">the </w:t>
      </w:r>
      <w:r>
        <w:rPr>
          <w:spacing w:val="-2"/>
        </w:rPr>
        <w:t>size</w:t>
      </w:r>
      <w:r>
        <w:rPr>
          <w:spacing w:val="-11"/>
        </w:rPr>
        <w:t xml:space="preserve"> </w:t>
      </w:r>
      <w:r>
        <w:rPr>
          <w:spacing w:val="-2"/>
        </w:rPr>
        <w:t>of</w:t>
      </w:r>
      <w:r>
        <w:rPr>
          <w:spacing w:val="-11"/>
        </w:rPr>
        <w:t xml:space="preserve"> </w:t>
      </w:r>
      <w:r>
        <w:rPr>
          <w:spacing w:val="-2"/>
        </w:rPr>
        <w:t>the</w:t>
      </w:r>
      <w:r>
        <w:rPr>
          <w:spacing w:val="-11"/>
        </w:rPr>
        <w:t xml:space="preserve"> </w:t>
      </w:r>
      <w:r>
        <w:rPr>
          <w:spacing w:val="-2"/>
        </w:rPr>
        <w:t>NSW</w:t>
      </w:r>
      <w:r>
        <w:rPr>
          <w:spacing w:val="-11"/>
        </w:rPr>
        <w:t xml:space="preserve"> </w:t>
      </w:r>
      <w:r>
        <w:rPr>
          <w:spacing w:val="-2"/>
        </w:rPr>
        <w:t>economy</w:t>
      </w:r>
      <w:r>
        <w:rPr>
          <w:spacing w:val="-11"/>
        </w:rPr>
        <w:t xml:space="preserve"> </w:t>
      </w:r>
      <w:r>
        <w:rPr>
          <w:spacing w:val="-2"/>
        </w:rPr>
        <w:t>by</w:t>
      </w:r>
      <w:r>
        <w:rPr>
          <w:spacing w:val="-11"/>
        </w:rPr>
        <w:t xml:space="preserve"> </w:t>
      </w:r>
      <w:r>
        <w:rPr>
          <w:spacing w:val="-2"/>
        </w:rPr>
        <w:t>over</w:t>
      </w:r>
      <w:r>
        <w:rPr>
          <w:spacing w:val="-11"/>
        </w:rPr>
        <w:t xml:space="preserve"> </w:t>
      </w:r>
      <w:r>
        <w:rPr>
          <w:spacing w:val="-2"/>
        </w:rPr>
        <w:t>$50</w:t>
      </w:r>
      <w:r>
        <w:rPr>
          <w:spacing w:val="-11"/>
        </w:rPr>
        <w:t xml:space="preserve"> </w:t>
      </w:r>
      <w:r>
        <w:rPr>
          <w:spacing w:val="-2"/>
        </w:rPr>
        <w:t>billion</w:t>
      </w:r>
      <w:r>
        <w:rPr>
          <w:spacing w:val="-11"/>
        </w:rPr>
        <w:t xml:space="preserve"> </w:t>
      </w:r>
      <w:r>
        <w:rPr>
          <w:spacing w:val="-2"/>
        </w:rPr>
        <w:t>and</w:t>
      </w:r>
      <w:r>
        <w:rPr>
          <w:spacing w:val="-11"/>
        </w:rPr>
        <w:t xml:space="preserve"> </w:t>
      </w:r>
      <w:r>
        <w:rPr>
          <w:spacing w:val="-2"/>
        </w:rPr>
        <w:t>add</w:t>
      </w:r>
      <w:r>
        <w:rPr>
          <w:spacing w:val="-11"/>
        </w:rPr>
        <w:t xml:space="preserve"> </w:t>
      </w:r>
      <w:r>
        <w:rPr>
          <w:spacing w:val="-2"/>
        </w:rPr>
        <w:t xml:space="preserve">over </w:t>
      </w:r>
      <w:r>
        <w:t>100,000 more jobs.</w:t>
      </w:r>
    </w:p>
    <w:p w:rsidR="002C1123" w:rsidRDefault="002C1123">
      <w:pPr>
        <w:spacing w:line="249" w:lineRule="auto"/>
        <w:sectPr w:rsidR="002C1123">
          <w:type w:val="continuous"/>
          <w:pgSz w:w="16840" w:h="11910" w:orient="landscape"/>
          <w:pgMar w:top="560" w:right="280" w:bottom="280" w:left="500" w:header="0" w:footer="517" w:gutter="0"/>
          <w:cols w:num="2" w:space="720" w:equalWidth="0">
            <w:col w:w="7006" w:space="336"/>
            <w:col w:w="8718"/>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1"/>
        <w:rPr>
          <w:sz w:val="17"/>
        </w:rPr>
      </w:pPr>
    </w:p>
    <w:p w:rsidR="002C1123" w:rsidRDefault="002C1123">
      <w:pPr>
        <w:rPr>
          <w:sz w:val="17"/>
        </w:rPr>
        <w:sectPr w:rsidR="002C1123">
          <w:pgSz w:w="16840" w:h="11910" w:orient="landscape"/>
          <w:pgMar w:top="560" w:right="280" w:bottom="700" w:left="500" w:header="0" w:footer="517" w:gutter="0"/>
          <w:cols w:space="720"/>
        </w:sectPr>
      </w:pPr>
    </w:p>
    <w:p w:rsidR="002C1123" w:rsidRDefault="00F22F94">
      <w:pPr>
        <w:spacing w:before="748" w:line="175" w:lineRule="auto"/>
        <w:ind w:left="377" w:right="1144"/>
        <w:rPr>
          <w:rFonts w:ascii="Trebuchet MS"/>
          <w:sz w:val="264"/>
        </w:rPr>
      </w:pPr>
      <w:bookmarkStart w:id="17" w:name="_bookmark10"/>
      <w:bookmarkEnd w:id="17"/>
      <w:r>
        <w:rPr>
          <w:rFonts w:ascii="Trebuchet MS"/>
          <w:color w:val="E1E0E1"/>
          <w:spacing w:val="-113"/>
          <w:w w:val="55"/>
          <w:sz w:val="264"/>
        </w:rPr>
        <w:t>W</w:t>
      </w:r>
      <w:r>
        <w:rPr>
          <w:rFonts w:ascii="Trebuchet MS"/>
          <w:color w:val="E1E0E1"/>
          <w:spacing w:val="-53"/>
          <w:w w:val="53"/>
          <w:sz w:val="264"/>
        </w:rPr>
        <w:t>e</w:t>
      </w:r>
      <w:r>
        <w:rPr>
          <w:rFonts w:ascii="Trebuchet MS"/>
          <w:color w:val="E1E0E1"/>
          <w:spacing w:val="-50"/>
          <w:w w:val="53"/>
          <w:sz w:val="264"/>
        </w:rPr>
        <w:t>l</w:t>
      </w:r>
      <w:r>
        <w:rPr>
          <w:rFonts w:ascii="Trebuchet MS"/>
          <w:color w:val="E1E0E1"/>
          <w:spacing w:val="-63"/>
          <w:w w:val="59"/>
          <w:sz w:val="264"/>
        </w:rPr>
        <w:t>c</w:t>
      </w:r>
      <w:r>
        <w:rPr>
          <w:rFonts w:ascii="Trebuchet MS"/>
          <w:color w:val="E1E0E1"/>
          <w:spacing w:val="-53"/>
          <w:w w:val="55"/>
          <w:sz w:val="264"/>
        </w:rPr>
        <w:t>o</w:t>
      </w:r>
      <w:r>
        <w:rPr>
          <w:rFonts w:ascii="Trebuchet MS"/>
          <w:color w:val="E1E0E1"/>
          <w:spacing w:val="-47"/>
          <w:w w:val="55"/>
          <w:sz w:val="264"/>
        </w:rPr>
        <w:t>m</w:t>
      </w:r>
      <w:r>
        <w:rPr>
          <w:rFonts w:ascii="Trebuchet MS"/>
          <w:color w:val="E1E0E1"/>
          <w:spacing w:val="-2"/>
          <w:w w:val="54"/>
          <w:sz w:val="264"/>
        </w:rPr>
        <w:t>e</w:t>
      </w:r>
      <w:r>
        <w:rPr>
          <w:rFonts w:ascii="Trebuchet MS"/>
          <w:color w:val="E1E0E1"/>
          <w:spacing w:val="-55"/>
          <w:w w:val="54"/>
          <w:sz w:val="264"/>
        </w:rPr>
        <w:t xml:space="preserve"> </w:t>
      </w:r>
      <w:r>
        <w:rPr>
          <w:rFonts w:ascii="Trebuchet MS"/>
          <w:color w:val="E1E0E1"/>
          <w:spacing w:val="-14"/>
          <w:w w:val="55"/>
          <w:sz w:val="264"/>
        </w:rPr>
        <w:t>to</w:t>
      </w:r>
      <w:r>
        <w:rPr>
          <w:rFonts w:ascii="Trebuchet MS"/>
          <w:color w:val="E1E0E1"/>
          <w:spacing w:val="-130"/>
          <w:w w:val="55"/>
          <w:sz w:val="264"/>
        </w:rPr>
        <w:t xml:space="preserve"> </w:t>
      </w:r>
      <w:r>
        <w:rPr>
          <w:rFonts w:ascii="Trebuchet MS"/>
          <w:color w:val="E1E0E1"/>
          <w:spacing w:val="-14"/>
          <w:w w:val="55"/>
          <w:sz w:val="264"/>
        </w:rPr>
        <w:t>the</w:t>
      </w:r>
      <w:r>
        <w:rPr>
          <w:rFonts w:ascii="Trebuchet MS"/>
          <w:color w:val="E1E0E1"/>
          <w:spacing w:val="-129"/>
          <w:w w:val="55"/>
          <w:sz w:val="264"/>
        </w:rPr>
        <w:t xml:space="preserve"> </w:t>
      </w:r>
      <w:r>
        <w:rPr>
          <w:rFonts w:ascii="Trebuchet MS"/>
          <w:color w:val="E1E0E1"/>
          <w:spacing w:val="-14"/>
          <w:w w:val="55"/>
          <w:sz w:val="264"/>
        </w:rPr>
        <w:t>year</w:t>
      </w:r>
    </w:p>
    <w:p w:rsidR="002C1123" w:rsidRDefault="00F22F94">
      <w:pPr>
        <w:spacing w:line="4511" w:lineRule="exact"/>
        <w:ind w:left="321"/>
        <w:rPr>
          <w:rFonts w:ascii="Trebuchet MS"/>
          <w:sz w:val="328"/>
        </w:rPr>
      </w:pPr>
      <w:r>
        <w:rPr>
          <w:rFonts w:ascii="Trebuchet MS"/>
          <w:color w:val="2E3092"/>
          <w:spacing w:val="-130"/>
          <w:w w:val="60"/>
          <w:sz w:val="504"/>
        </w:rPr>
        <w:t>2032</w:t>
      </w:r>
      <w:r>
        <w:rPr>
          <w:rFonts w:ascii="Trebuchet MS"/>
          <w:color w:val="E1E0E1"/>
          <w:spacing w:val="-130"/>
          <w:w w:val="60"/>
          <w:sz w:val="328"/>
        </w:rPr>
        <w:t>...</w:t>
      </w:r>
    </w:p>
    <w:p w:rsidR="002C1123" w:rsidRDefault="00F22F94">
      <w:pPr>
        <w:rPr>
          <w:rFonts w:ascii="Trebuchet MS"/>
          <w:sz w:val="42"/>
        </w:rPr>
      </w:pPr>
      <w:r>
        <w:br w:type="column"/>
      </w:r>
    </w:p>
    <w:p w:rsidR="002C1123" w:rsidRDefault="002C1123">
      <w:pPr>
        <w:pStyle w:val="BodyText"/>
        <w:spacing w:before="5"/>
        <w:rPr>
          <w:rFonts w:ascii="Trebuchet MS"/>
          <w:sz w:val="46"/>
        </w:rPr>
      </w:pPr>
    </w:p>
    <w:p w:rsidR="002C1123" w:rsidRDefault="00F22F94">
      <w:pPr>
        <w:pStyle w:val="Heading4"/>
        <w:spacing w:line="232" w:lineRule="auto"/>
        <w:ind w:right="770"/>
      </w:pPr>
      <w:r>
        <w:rPr>
          <w:color w:val="2E3092"/>
          <w:spacing w:val="-6"/>
        </w:rPr>
        <w:t>You</w:t>
      </w:r>
      <w:r>
        <w:rPr>
          <w:color w:val="2E3092"/>
          <w:spacing w:val="-31"/>
        </w:rPr>
        <w:t xml:space="preserve"> </w:t>
      </w:r>
      <w:r>
        <w:rPr>
          <w:color w:val="2E3092"/>
          <w:spacing w:val="-6"/>
        </w:rPr>
        <w:t>have</w:t>
      </w:r>
      <w:r>
        <w:rPr>
          <w:color w:val="2E3092"/>
          <w:spacing w:val="-31"/>
        </w:rPr>
        <w:t xml:space="preserve"> </w:t>
      </w:r>
      <w:r>
        <w:rPr>
          <w:color w:val="2E3092"/>
          <w:spacing w:val="-6"/>
        </w:rPr>
        <w:t>to</w:t>
      </w:r>
      <w:r>
        <w:rPr>
          <w:color w:val="2E3092"/>
          <w:spacing w:val="-31"/>
        </w:rPr>
        <w:t xml:space="preserve"> </w:t>
      </w:r>
      <w:r>
        <w:rPr>
          <w:color w:val="2E3092"/>
          <w:spacing w:val="-6"/>
        </w:rPr>
        <w:t>imagine</w:t>
      </w:r>
      <w:r>
        <w:rPr>
          <w:color w:val="2E3092"/>
          <w:spacing w:val="-31"/>
        </w:rPr>
        <w:t xml:space="preserve"> </w:t>
      </w:r>
      <w:r>
        <w:rPr>
          <w:color w:val="2E3092"/>
          <w:spacing w:val="-6"/>
        </w:rPr>
        <w:t>the</w:t>
      </w:r>
      <w:r>
        <w:rPr>
          <w:color w:val="2E3092"/>
          <w:spacing w:val="-31"/>
        </w:rPr>
        <w:t xml:space="preserve"> </w:t>
      </w:r>
      <w:r>
        <w:rPr>
          <w:color w:val="2E3092"/>
          <w:spacing w:val="-6"/>
        </w:rPr>
        <w:t xml:space="preserve">future </w:t>
      </w:r>
      <w:r>
        <w:rPr>
          <w:color w:val="2E3092"/>
        </w:rPr>
        <w:t>to</w:t>
      </w:r>
      <w:r>
        <w:rPr>
          <w:color w:val="2E3092"/>
          <w:spacing w:val="-33"/>
        </w:rPr>
        <w:t xml:space="preserve"> </w:t>
      </w:r>
      <w:r>
        <w:rPr>
          <w:color w:val="2E3092"/>
        </w:rPr>
        <w:t>understand</w:t>
      </w:r>
      <w:r>
        <w:rPr>
          <w:color w:val="2E3092"/>
          <w:spacing w:val="-33"/>
        </w:rPr>
        <w:t xml:space="preserve"> </w:t>
      </w:r>
      <w:r>
        <w:rPr>
          <w:color w:val="2E3092"/>
        </w:rPr>
        <w:t>the</w:t>
      </w:r>
      <w:r>
        <w:rPr>
          <w:color w:val="2E3092"/>
          <w:spacing w:val="-33"/>
        </w:rPr>
        <w:t xml:space="preserve"> </w:t>
      </w:r>
      <w:r>
        <w:rPr>
          <w:color w:val="2E3092"/>
        </w:rPr>
        <w:t>decisions we</w:t>
      </w:r>
      <w:r>
        <w:rPr>
          <w:color w:val="2E3092"/>
          <w:spacing w:val="-31"/>
        </w:rPr>
        <w:t xml:space="preserve"> </w:t>
      </w:r>
      <w:r>
        <w:rPr>
          <w:color w:val="2E3092"/>
        </w:rPr>
        <w:t>need</w:t>
      </w:r>
      <w:r>
        <w:rPr>
          <w:color w:val="2E3092"/>
          <w:spacing w:val="-31"/>
        </w:rPr>
        <w:t xml:space="preserve"> </w:t>
      </w:r>
      <w:r>
        <w:rPr>
          <w:color w:val="2E3092"/>
        </w:rPr>
        <w:t>to</w:t>
      </w:r>
      <w:r>
        <w:rPr>
          <w:color w:val="2E3092"/>
          <w:spacing w:val="-31"/>
        </w:rPr>
        <w:t xml:space="preserve"> </w:t>
      </w:r>
      <w:r>
        <w:rPr>
          <w:color w:val="2E3092"/>
        </w:rPr>
        <w:t>take</w:t>
      </w:r>
      <w:r>
        <w:rPr>
          <w:color w:val="2E3092"/>
          <w:spacing w:val="-31"/>
        </w:rPr>
        <w:t xml:space="preserve"> </w:t>
      </w:r>
      <w:r>
        <w:rPr>
          <w:color w:val="2E3092"/>
        </w:rPr>
        <w:t>now.</w:t>
      </w:r>
      <w:r>
        <w:rPr>
          <w:color w:val="2E3092"/>
          <w:spacing w:val="-32"/>
        </w:rPr>
        <w:t xml:space="preserve"> </w:t>
      </w:r>
      <w:r>
        <w:rPr>
          <w:color w:val="2E3092"/>
        </w:rPr>
        <w:t xml:space="preserve">So </w:t>
      </w:r>
      <w:r>
        <w:rPr>
          <w:color w:val="2E3092"/>
          <w:spacing w:val="-2"/>
          <w:w w:val="95"/>
        </w:rPr>
        <w:t>Infrastructure</w:t>
      </w:r>
      <w:r>
        <w:rPr>
          <w:color w:val="2E3092"/>
          <w:spacing w:val="-28"/>
          <w:w w:val="95"/>
        </w:rPr>
        <w:t xml:space="preserve"> </w:t>
      </w:r>
      <w:r>
        <w:rPr>
          <w:color w:val="2E3092"/>
          <w:spacing w:val="-2"/>
          <w:w w:val="95"/>
        </w:rPr>
        <w:t>NSW</w:t>
      </w:r>
      <w:r>
        <w:rPr>
          <w:color w:val="2E3092"/>
          <w:spacing w:val="-28"/>
          <w:w w:val="95"/>
        </w:rPr>
        <w:t xml:space="preserve"> </w:t>
      </w:r>
      <w:r>
        <w:rPr>
          <w:color w:val="2E3092"/>
          <w:spacing w:val="-2"/>
          <w:w w:val="95"/>
        </w:rPr>
        <w:t>has</w:t>
      </w:r>
      <w:r>
        <w:rPr>
          <w:color w:val="2E3092"/>
          <w:spacing w:val="-28"/>
          <w:w w:val="95"/>
        </w:rPr>
        <w:t xml:space="preserve"> </w:t>
      </w:r>
      <w:r>
        <w:rPr>
          <w:color w:val="2E3092"/>
          <w:spacing w:val="-2"/>
          <w:w w:val="95"/>
        </w:rPr>
        <w:t>defined</w:t>
      </w:r>
    </w:p>
    <w:p w:rsidR="002C1123" w:rsidRDefault="00F22F94">
      <w:pPr>
        <w:spacing w:line="397" w:lineRule="exact"/>
        <w:ind w:left="321"/>
        <w:rPr>
          <w:sz w:val="36"/>
        </w:rPr>
      </w:pPr>
      <w:r>
        <w:rPr>
          <w:color w:val="2E3092"/>
          <w:spacing w:val="-6"/>
          <w:w w:val="95"/>
          <w:sz w:val="36"/>
        </w:rPr>
        <w:t>a</w:t>
      </w:r>
      <w:r>
        <w:rPr>
          <w:color w:val="2E3092"/>
          <w:spacing w:val="-30"/>
          <w:w w:val="95"/>
          <w:sz w:val="36"/>
        </w:rPr>
        <w:t xml:space="preserve"> </w:t>
      </w:r>
      <w:r>
        <w:rPr>
          <w:color w:val="2E3092"/>
          <w:spacing w:val="-6"/>
          <w:w w:val="95"/>
          <w:sz w:val="36"/>
        </w:rPr>
        <w:t>vision</w:t>
      </w:r>
      <w:r>
        <w:rPr>
          <w:color w:val="2E3092"/>
          <w:spacing w:val="-30"/>
          <w:w w:val="95"/>
          <w:sz w:val="36"/>
        </w:rPr>
        <w:t xml:space="preserve"> </w:t>
      </w:r>
      <w:r>
        <w:rPr>
          <w:color w:val="2E3092"/>
          <w:spacing w:val="-6"/>
          <w:w w:val="95"/>
          <w:sz w:val="36"/>
        </w:rPr>
        <w:t>for</w:t>
      </w:r>
      <w:r>
        <w:rPr>
          <w:color w:val="2E3092"/>
          <w:spacing w:val="-29"/>
          <w:w w:val="95"/>
          <w:sz w:val="36"/>
        </w:rPr>
        <w:t xml:space="preserve"> </w:t>
      </w:r>
      <w:r>
        <w:rPr>
          <w:color w:val="2E3092"/>
          <w:spacing w:val="-6"/>
          <w:w w:val="95"/>
          <w:sz w:val="36"/>
        </w:rPr>
        <w:t>a</w:t>
      </w:r>
      <w:r>
        <w:rPr>
          <w:color w:val="2E3092"/>
          <w:spacing w:val="-30"/>
          <w:w w:val="95"/>
          <w:sz w:val="36"/>
        </w:rPr>
        <w:t xml:space="preserve"> </w:t>
      </w:r>
      <w:r>
        <w:rPr>
          <w:color w:val="2E3092"/>
          <w:spacing w:val="-6"/>
          <w:w w:val="95"/>
          <w:sz w:val="36"/>
        </w:rPr>
        <w:t>better</w:t>
      </w:r>
      <w:r>
        <w:rPr>
          <w:color w:val="2E3092"/>
          <w:spacing w:val="-30"/>
          <w:w w:val="95"/>
          <w:sz w:val="36"/>
        </w:rPr>
        <w:t xml:space="preserve"> </w:t>
      </w:r>
      <w:r>
        <w:rPr>
          <w:color w:val="2E3092"/>
          <w:spacing w:val="-6"/>
          <w:w w:val="95"/>
          <w:sz w:val="36"/>
        </w:rPr>
        <w:t>NSW</w:t>
      </w:r>
      <w:r>
        <w:rPr>
          <w:color w:val="2E3092"/>
          <w:spacing w:val="-29"/>
          <w:w w:val="95"/>
          <w:sz w:val="36"/>
        </w:rPr>
        <w:t xml:space="preserve"> </w:t>
      </w:r>
      <w:r>
        <w:rPr>
          <w:color w:val="2E3092"/>
          <w:spacing w:val="-6"/>
          <w:w w:val="95"/>
          <w:sz w:val="36"/>
        </w:rPr>
        <w:t>in</w:t>
      </w:r>
      <w:r>
        <w:rPr>
          <w:color w:val="2E3092"/>
          <w:spacing w:val="-30"/>
          <w:w w:val="95"/>
          <w:sz w:val="36"/>
        </w:rPr>
        <w:t xml:space="preserve"> </w:t>
      </w:r>
      <w:r>
        <w:rPr>
          <w:color w:val="2E3092"/>
          <w:spacing w:val="-6"/>
          <w:w w:val="95"/>
          <w:sz w:val="36"/>
        </w:rPr>
        <w:t>2032.</w:t>
      </w:r>
    </w:p>
    <w:p w:rsidR="002C1123" w:rsidRDefault="00F22F94">
      <w:pPr>
        <w:pStyle w:val="Heading5"/>
        <w:spacing w:before="217"/>
        <w:ind w:left="321" w:firstLine="0"/>
      </w:pPr>
      <w:r>
        <w:rPr>
          <w:color w:val="2E3092"/>
        </w:rPr>
        <w:t>NSW</w:t>
      </w:r>
      <w:r>
        <w:rPr>
          <w:color w:val="2E3092"/>
          <w:spacing w:val="-19"/>
        </w:rPr>
        <w:t xml:space="preserve"> </w:t>
      </w:r>
      <w:r>
        <w:rPr>
          <w:color w:val="2E3092"/>
          <w:spacing w:val="-4"/>
        </w:rPr>
        <w:t>2032</w:t>
      </w:r>
    </w:p>
    <w:p w:rsidR="002C1123" w:rsidRDefault="00F22F94">
      <w:pPr>
        <w:pStyle w:val="BodyText"/>
        <w:spacing w:before="134" w:line="249" w:lineRule="auto"/>
        <w:ind w:left="321" w:right="612"/>
      </w:pPr>
      <w:r>
        <w:rPr>
          <w:w w:val="95"/>
        </w:rPr>
        <w:t>In</w:t>
      </w:r>
      <w:r>
        <w:rPr>
          <w:spacing w:val="-7"/>
          <w:w w:val="95"/>
        </w:rPr>
        <w:t xml:space="preserve"> </w:t>
      </w:r>
      <w:r>
        <w:rPr>
          <w:w w:val="95"/>
        </w:rPr>
        <w:t>2032,</w:t>
      </w:r>
      <w:r>
        <w:rPr>
          <w:spacing w:val="-7"/>
          <w:w w:val="95"/>
        </w:rPr>
        <w:t xml:space="preserve"> </w:t>
      </w:r>
      <w:r>
        <w:rPr>
          <w:w w:val="95"/>
        </w:rPr>
        <w:t>NSW</w:t>
      </w:r>
      <w:r>
        <w:rPr>
          <w:spacing w:val="-7"/>
          <w:w w:val="95"/>
        </w:rPr>
        <w:t xml:space="preserve"> </w:t>
      </w:r>
      <w:r>
        <w:rPr>
          <w:w w:val="95"/>
        </w:rPr>
        <w:t>is</w:t>
      </w:r>
      <w:r>
        <w:rPr>
          <w:spacing w:val="-7"/>
          <w:w w:val="95"/>
        </w:rPr>
        <w:t xml:space="preserve"> </w:t>
      </w:r>
      <w:r>
        <w:rPr>
          <w:w w:val="95"/>
        </w:rPr>
        <w:t>characterised</w:t>
      </w:r>
      <w:r>
        <w:rPr>
          <w:spacing w:val="-7"/>
          <w:w w:val="95"/>
        </w:rPr>
        <w:t xml:space="preserve"> </w:t>
      </w:r>
      <w:r>
        <w:rPr>
          <w:w w:val="95"/>
        </w:rPr>
        <w:t>by</w:t>
      </w:r>
      <w:r>
        <w:rPr>
          <w:spacing w:val="-7"/>
          <w:w w:val="95"/>
        </w:rPr>
        <w:t xml:space="preserve"> </w:t>
      </w:r>
      <w:r>
        <w:rPr>
          <w:w w:val="95"/>
        </w:rPr>
        <w:t>its</w:t>
      </w:r>
      <w:r>
        <w:rPr>
          <w:spacing w:val="-7"/>
          <w:w w:val="95"/>
        </w:rPr>
        <w:t xml:space="preserve"> </w:t>
      </w:r>
      <w:r>
        <w:rPr>
          <w:w w:val="95"/>
        </w:rPr>
        <w:t>diverse</w:t>
      </w:r>
      <w:r>
        <w:rPr>
          <w:spacing w:val="-7"/>
          <w:w w:val="95"/>
        </w:rPr>
        <w:t xml:space="preserve"> </w:t>
      </w:r>
      <w:r>
        <w:rPr>
          <w:w w:val="95"/>
        </w:rPr>
        <w:t xml:space="preserve">employment </w:t>
      </w:r>
      <w:r>
        <w:t>choices</w:t>
      </w:r>
      <w:r>
        <w:rPr>
          <w:spacing w:val="-11"/>
        </w:rPr>
        <w:t xml:space="preserve"> </w:t>
      </w:r>
      <w:r>
        <w:t>and</w:t>
      </w:r>
      <w:r>
        <w:rPr>
          <w:spacing w:val="-11"/>
        </w:rPr>
        <w:t xml:space="preserve"> </w:t>
      </w:r>
      <w:r>
        <w:t>quality</w:t>
      </w:r>
      <w:r>
        <w:rPr>
          <w:spacing w:val="-11"/>
        </w:rPr>
        <w:t xml:space="preserve"> </w:t>
      </w:r>
      <w:r>
        <w:t>of</w:t>
      </w:r>
      <w:r>
        <w:rPr>
          <w:spacing w:val="-11"/>
        </w:rPr>
        <w:t xml:space="preserve"> </w:t>
      </w:r>
      <w:r>
        <w:t>life;</w:t>
      </w:r>
      <w:r>
        <w:rPr>
          <w:spacing w:val="-11"/>
        </w:rPr>
        <w:t xml:space="preserve"> </w:t>
      </w:r>
      <w:r>
        <w:t>built</w:t>
      </w:r>
      <w:r>
        <w:rPr>
          <w:spacing w:val="-11"/>
        </w:rPr>
        <w:t xml:space="preserve"> </w:t>
      </w:r>
      <w:r>
        <w:t>on</w:t>
      </w:r>
      <w:r>
        <w:rPr>
          <w:spacing w:val="-11"/>
        </w:rPr>
        <w:t xml:space="preserve"> </w:t>
      </w:r>
      <w:r>
        <w:t>a</w:t>
      </w:r>
      <w:r>
        <w:rPr>
          <w:spacing w:val="-11"/>
        </w:rPr>
        <w:t xml:space="preserve"> </w:t>
      </w:r>
      <w:r>
        <w:t>platform</w:t>
      </w:r>
      <w:r>
        <w:rPr>
          <w:spacing w:val="-11"/>
        </w:rPr>
        <w:t xml:space="preserve"> </w:t>
      </w:r>
      <w:r>
        <w:t>of</w:t>
      </w:r>
      <w:r>
        <w:rPr>
          <w:spacing w:val="-11"/>
        </w:rPr>
        <w:t xml:space="preserve"> </w:t>
      </w:r>
      <w:r>
        <w:t xml:space="preserve">world </w:t>
      </w:r>
      <w:r>
        <w:rPr>
          <w:spacing w:val="-2"/>
        </w:rPr>
        <w:t>class</w:t>
      </w:r>
      <w:r>
        <w:rPr>
          <w:spacing w:val="-7"/>
        </w:rPr>
        <w:t xml:space="preserve"> </w:t>
      </w:r>
      <w:r>
        <w:rPr>
          <w:spacing w:val="-2"/>
        </w:rPr>
        <w:t>infrastructure.</w:t>
      </w:r>
      <w:r>
        <w:rPr>
          <w:spacing w:val="-7"/>
        </w:rPr>
        <w:t xml:space="preserve"> </w:t>
      </w:r>
      <w:r>
        <w:rPr>
          <w:spacing w:val="-2"/>
        </w:rPr>
        <w:t>The</w:t>
      </w:r>
      <w:r>
        <w:rPr>
          <w:spacing w:val="-7"/>
        </w:rPr>
        <w:t xml:space="preserve"> </w:t>
      </w:r>
      <w:r>
        <w:rPr>
          <w:spacing w:val="-2"/>
        </w:rPr>
        <w:t>State</w:t>
      </w:r>
      <w:r>
        <w:rPr>
          <w:spacing w:val="-7"/>
        </w:rPr>
        <w:t xml:space="preserve"> </w:t>
      </w:r>
      <w:r>
        <w:rPr>
          <w:spacing w:val="-2"/>
        </w:rPr>
        <w:t>offers</w:t>
      </w:r>
      <w:r>
        <w:rPr>
          <w:spacing w:val="-7"/>
        </w:rPr>
        <w:t xml:space="preserve"> </w:t>
      </w:r>
      <w:r>
        <w:rPr>
          <w:spacing w:val="-2"/>
        </w:rPr>
        <w:t>an</w:t>
      </w:r>
      <w:r>
        <w:rPr>
          <w:spacing w:val="-7"/>
        </w:rPr>
        <w:t xml:space="preserve"> </w:t>
      </w:r>
      <w:r>
        <w:rPr>
          <w:spacing w:val="-2"/>
        </w:rPr>
        <w:t>active,</w:t>
      </w:r>
      <w:r>
        <w:rPr>
          <w:spacing w:val="-7"/>
        </w:rPr>
        <w:t xml:space="preserve"> </w:t>
      </w:r>
      <w:r>
        <w:rPr>
          <w:spacing w:val="-2"/>
        </w:rPr>
        <w:t xml:space="preserve">healthy </w:t>
      </w:r>
      <w:r>
        <w:t>and</w:t>
      </w:r>
      <w:r>
        <w:rPr>
          <w:spacing w:val="-14"/>
        </w:rPr>
        <w:t xml:space="preserve"> </w:t>
      </w:r>
      <w:r>
        <w:t>culturally</w:t>
      </w:r>
      <w:r>
        <w:rPr>
          <w:spacing w:val="-14"/>
        </w:rPr>
        <w:t xml:space="preserve"> </w:t>
      </w:r>
      <w:r>
        <w:t>rich</w:t>
      </w:r>
      <w:r>
        <w:rPr>
          <w:spacing w:val="-14"/>
        </w:rPr>
        <w:t xml:space="preserve"> </w:t>
      </w:r>
      <w:r>
        <w:t>lifestyle</w:t>
      </w:r>
      <w:r>
        <w:rPr>
          <w:spacing w:val="-14"/>
        </w:rPr>
        <w:t xml:space="preserve"> </w:t>
      </w:r>
      <w:r>
        <w:t>that</w:t>
      </w:r>
      <w:r>
        <w:rPr>
          <w:spacing w:val="-14"/>
        </w:rPr>
        <w:t xml:space="preserve"> </w:t>
      </w:r>
      <w:r>
        <w:t>attracts</w:t>
      </w:r>
      <w:r>
        <w:rPr>
          <w:spacing w:val="-14"/>
        </w:rPr>
        <w:t xml:space="preserve"> </w:t>
      </w:r>
      <w:r>
        <w:t>talented</w:t>
      </w:r>
      <w:r>
        <w:rPr>
          <w:spacing w:val="-14"/>
        </w:rPr>
        <w:t xml:space="preserve"> </w:t>
      </w:r>
      <w:r>
        <w:t>people from</w:t>
      </w:r>
      <w:r>
        <w:rPr>
          <w:spacing w:val="-6"/>
        </w:rPr>
        <w:t xml:space="preserve"> </w:t>
      </w:r>
      <w:r>
        <w:t>around</w:t>
      </w:r>
      <w:r>
        <w:rPr>
          <w:spacing w:val="-6"/>
        </w:rPr>
        <w:t xml:space="preserve"> </w:t>
      </w:r>
      <w:r>
        <w:t>the</w:t>
      </w:r>
      <w:r>
        <w:rPr>
          <w:spacing w:val="-6"/>
        </w:rPr>
        <w:t xml:space="preserve"> </w:t>
      </w:r>
      <w:r>
        <w:t>world.</w:t>
      </w:r>
      <w:r>
        <w:rPr>
          <w:spacing w:val="-6"/>
        </w:rPr>
        <w:t xml:space="preserve"> </w:t>
      </w:r>
      <w:r>
        <w:t>Long</w:t>
      </w:r>
      <w:r>
        <w:rPr>
          <w:spacing w:val="-6"/>
        </w:rPr>
        <w:t xml:space="preserve"> </w:t>
      </w:r>
      <w:r>
        <w:t>term</w:t>
      </w:r>
      <w:r>
        <w:rPr>
          <w:spacing w:val="-6"/>
        </w:rPr>
        <w:t xml:space="preserve"> </w:t>
      </w:r>
      <w:r>
        <w:t>economic</w:t>
      </w:r>
      <w:r>
        <w:rPr>
          <w:spacing w:val="-6"/>
        </w:rPr>
        <w:t xml:space="preserve"> </w:t>
      </w:r>
      <w:r>
        <w:t>prosperity has</w:t>
      </w:r>
      <w:r>
        <w:rPr>
          <w:spacing w:val="-13"/>
        </w:rPr>
        <w:t xml:space="preserve"> </w:t>
      </w:r>
      <w:r>
        <w:t>been</w:t>
      </w:r>
      <w:r>
        <w:rPr>
          <w:spacing w:val="-13"/>
        </w:rPr>
        <w:t xml:space="preserve"> </w:t>
      </w:r>
      <w:r>
        <w:t>delivered</w:t>
      </w:r>
      <w:r>
        <w:rPr>
          <w:spacing w:val="-13"/>
        </w:rPr>
        <w:t xml:space="preserve"> </w:t>
      </w:r>
      <w:r>
        <w:t>statewide;</w:t>
      </w:r>
      <w:r>
        <w:rPr>
          <w:spacing w:val="-13"/>
        </w:rPr>
        <w:t xml:space="preserve"> </w:t>
      </w:r>
      <w:r>
        <w:t>trade</w:t>
      </w:r>
      <w:r>
        <w:rPr>
          <w:spacing w:val="-13"/>
        </w:rPr>
        <w:t xml:space="preserve"> </w:t>
      </w:r>
      <w:r>
        <w:t>and</w:t>
      </w:r>
      <w:r>
        <w:rPr>
          <w:spacing w:val="-13"/>
        </w:rPr>
        <w:t xml:space="preserve"> </w:t>
      </w:r>
      <w:r>
        <w:t xml:space="preserve">employment </w:t>
      </w:r>
      <w:r>
        <w:rPr>
          <w:w w:val="95"/>
        </w:rPr>
        <w:t>growth has exceeded what was predicted 20 years ago.</w:t>
      </w:r>
    </w:p>
    <w:p w:rsidR="002C1123" w:rsidRDefault="00F22F94">
      <w:pPr>
        <w:pStyle w:val="BodyText"/>
        <w:spacing w:before="148" w:line="249" w:lineRule="auto"/>
        <w:ind w:left="321" w:right="612"/>
      </w:pPr>
      <w:r>
        <w:t>Regional areas are thriving. Economic diversification beyond</w:t>
      </w:r>
      <w:r>
        <w:rPr>
          <w:spacing w:val="-14"/>
        </w:rPr>
        <w:t xml:space="preserve"> </w:t>
      </w:r>
      <w:r>
        <w:t>the</w:t>
      </w:r>
      <w:r>
        <w:rPr>
          <w:spacing w:val="-14"/>
        </w:rPr>
        <w:t xml:space="preserve"> </w:t>
      </w:r>
      <w:r>
        <w:t>traditional</w:t>
      </w:r>
      <w:r>
        <w:rPr>
          <w:spacing w:val="-14"/>
        </w:rPr>
        <w:t xml:space="preserve"> </w:t>
      </w:r>
      <w:r>
        <w:t>areas</w:t>
      </w:r>
      <w:r>
        <w:rPr>
          <w:spacing w:val="-14"/>
        </w:rPr>
        <w:t xml:space="preserve"> </w:t>
      </w:r>
      <w:r>
        <w:t>of</w:t>
      </w:r>
      <w:r>
        <w:rPr>
          <w:spacing w:val="-14"/>
        </w:rPr>
        <w:t xml:space="preserve"> </w:t>
      </w:r>
      <w:r>
        <w:t>agriculture</w:t>
      </w:r>
      <w:r>
        <w:rPr>
          <w:spacing w:val="-14"/>
        </w:rPr>
        <w:t xml:space="preserve"> </w:t>
      </w:r>
      <w:r>
        <w:t>and</w:t>
      </w:r>
      <w:r>
        <w:rPr>
          <w:spacing w:val="-14"/>
        </w:rPr>
        <w:t xml:space="preserve"> </w:t>
      </w:r>
      <w:r>
        <w:t xml:space="preserve">mining </w:t>
      </w:r>
      <w:r>
        <w:rPr>
          <w:w w:val="95"/>
        </w:rPr>
        <w:t>has</w:t>
      </w:r>
      <w:r>
        <w:rPr>
          <w:spacing w:val="-4"/>
          <w:w w:val="95"/>
        </w:rPr>
        <w:t xml:space="preserve"> </w:t>
      </w:r>
      <w:r>
        <w:rPr>
          <w:w w:val="95"/>
        </w:rPr>
        <w:t>been</w:t>
      </w:r>
      <w:r>
        <w:rPr>
          <w:spacing w:val="-4"/>
          <w:w w:val="95"/>
        </w:rPr>
        <w:t xml:space="preserve"> </w:t>
      </w:r>
      <w:r>
        <w:rPr>
          <w:w w:val="95"/>
        </w:rPr>
        <w:t>enabled</w:t>
      </w:r>
      <w:r>
        <w:rPr>
          <w:spacing w:val="-4"/>
          <w:w w:val="95"/>
        </w:rPr>
        <w:t xml:space="preserve"> </w:t>
      </w:r>
      <w:r>
        <w:rPr>
          <w:w w:val="95"/>
        </w:rPr>
        <w:t>by</w:t>
      </w:r>
      <w:r>
        <w:rPr>
          <w:spacing w:val="-4"/>
          <w:w w:val="95"/>
        </w:rPr>
        <w:t xml:space="preserve"> </w:t>
      </w:r>
      <w:r>
        <w:rPr>
          <w:w w:val="95"/>
        </w:rPr>
        <w:t>increased</w:t>
      </w:r>
      <w:r>
        <w:rPr>
          <w:spacing w:val="-4"/>
          <w:w w:val="95"/>
        </w:rPr>
        <w:t xml:space="preserve"> </w:t>
      </w:r>
      <w:r>
        <w:rPr>
          <w:w w:val="95"/>
        </w:rPr>
        <w:t>connectivity.</w:t>
      </w:r>
      <w:r>
        <w:rPr>
          <w:spacing w:val="-4"/>
          <w:w w:val="95"/>
        </w:rPr>
        <w:t xml:space="preserve"> </w:t>
      </w:r>
      <w:r>
        <w:rPr>
          <w:w w:val="95"/>
        </w:rPr>
        <w:t>High</w:t>
      </w:r>
      <w:r>
        <w:rPr>
          <w:spacing w:val="-4"/>
          <w:w w:val="95"/>
        </w:rPr>
        <w:t xml:space="preserve"> </w:t>
      </w:r>
      <w:r>
        <w:rPr>
          <w:w w:val="95"/>
        </w:rPr>
        <w:t xml:space="preserve">quality </w:t>
      </w:r>
      <w:r>
        <w:t>regional</w:t>
      </w:r>
      <w:r>
        <w:rPr>
          <w:spacing w:val="-10"/>
        </w:rPr>
        <w:t xml:space="preserve"> </w:t>
      </w:r>
      <w:r>
        <w:t>roads</w:t>
      </w:r>
      <w:r>
        <w:rPr>
          <w:spacing w:val="-10"/>
        </w:rPr>
        <w:t xml:space="preserve"> </w:t>
      </w:r>
      <w:r>
        <w:t>and</w:t>
      </w:r>
      <w:r>
        <w:rPr>
          <w:spacing w:val="-10"/>
        </w:rPr>
        <w:t xml:space="preserve"> </w:t>
      </w:r>
      <w:r>
        <w:t>railways</w:t>
      </w:r>
      <w:r>
        <w:rPr>
          <w:spacing w:val="-10"/>
        </w:rPr>
        <w:t xml:space="preserve"> </w:t>
      </w:r>
      <w:r>
        <w:t>connect</w:t>
      </w:r>
      <w:r>
        <w:rPr>
          <w:spacing w:val="-10"/>
        </w:rPr>
        <w:t xml:space="preserve"> </w:t>
      </w:r>
      <w:r>
        <w:t>communities</w:t>
      </w:r>
      <w:r>
        <w:rPr>
          <w:spacing w:val="-10"/>
        </w:rPr>
        <w:t xml:space="preserve"> </w:t>
      </w:r>
      <w:r>
        <w:t xml:space="preserve">with </w:t>
      </w:r>
      <w:r>
        <w:rPr>
          <w:w w:val="95"/>
        </w:rPr>
        <w:t>each</w:t>
      </w:r>
      <w:r>
        <w:rPr>
          <w:spacing w:val="-6"/>
          <w:w w:val="95"/>
        </w:rPr>
        <w:t xml:space="preserve"> </w:t>
      </w:r>
      <w:r>
        <w:rPr>
          <w:w w:val="95"/>
        </w:rPr>
        <w:t>other</w:t>
      </w:r>
      <w:r>
        <w:rPr>
          <w:spacing w:val="-6"/>
          <w:w w:val="95"/>
        </w:rPr>
        <w:t xml:space="preserve"> </w:t>
      </w:r>
      <w:r>
        <w:rPr>
          <w:w w:val="95"/>
        </w:rPr>
        <w:t>as</w:t>
      </w:r>
      <w:r>
        <w:rPr>
          <w:spacing w:val="-6"/>
          <w:w w:val="95"/>
        </w:rPr>
        <w:t xml:space="preserve"> </w:t>
      </w:r>
      <w:r>
        <w:rPr>
          <w:w w:val="95"/>
        </w:rPr>
        <w:t>well</w:t>
      </w:r>
      <w:r>
        <w:rPr>
          <w:spacing w:val="-6"/>
          <w:w w:val="95"/>
        </w:rPr>
        <w:t xml:space="preserve"> </w:t>
      </w:r>
      <w:r>
        <w:rPr>
          <w:w w:val="95"/>
        </w:rPr>
        <w:t>as</w:t>
      </w:r>
      <w:r>
        <w:rPr>
          <w:spacing w:val="-6"/>
          <w:w w:val="95"/>
        </w:rPr>
        <w:t xml:space="preserve"> </w:t>
      </w:r>
      <w:r>
        <w:rPr>
          <w:w w:val="95"/>
        </w:rPr>
        <w:t>to</w:t>
      </w:r>
      <w:r>
        <w:rPr>
          <w:spacing w:val="-6"/>
          <w:w w:val="95"/>
        </w:rPr>
        <w:t xml:space="preserve"> </w:t>
      </w:r>
      <w:r>
        <w:rPr>
          <w:w w:val="95"/>
        </w:rPr>
        <w:t>Sydney,</w:t>
      </w:r>
      <w:r>
        <w:rPr>
          <w:spacing w:val="-6"/>
          <w:w w:val="95"/>
        </w:rPr>
        <w:t xml:space="preserve"> </w:t>
      </w:r>
      <w:r>
        <w:rPr>
          <w:w w:val="95"/>
        </w:rPr>
        <w:t>and</w:t>
      </w:r>
      <w:r>
        <w:rPr>
          <w:spacing w:val="-6"/>
          <w:w w:val="95"/>
        </w:rPr>
        <w:t xml:space="preserve"> </w:t>
      </w:r>
      <w:r>
        <w:rPr>
          <w:w w:val="95"/>
        </w:rPr>
        <w:t>allow</w:t>
      </w:r>
      <w:r>
        <w:rPr>
          <w:spacing w:val="-6"/>
          <w:w w:val="95"/>
        </w:rPr>
        <w:t xml:space="preserve"> </w:t>
      </w:r>
      <w:r>
        <w:rPr>
          <w:w w:val="95"/>
        </w:rPr>
        <w:t>our</w:t>
      </w:r>
      <w:r>
        <w:rPr>
          <w:spacing w:val="-6"/>
          <w:w w:val="95"/>
        </w:rPr>
        <w:t xml:space="preserve"> </w:t>
      </w:r>
      <w:r>
        <w:rPr>
          <w:w w:val="95"/>
        </w:rPr>
        <w:t xml:space="preserve">producers </w:t>
      </w:r>
      <w:r>
        <w:t>to</w:t>
      </w:r>
      <w:r>
        <w:rPr>
          <w:spacing w:val="-8"/>
        </w:rPr>
        <w:t xml:space="preserve"> </w:t>
      </w:r>
      <w:r>
        <w:t>efficiently</w:t>
      </w:r>
      <w:r>
        <w:rPr>
          <w:spacing w:val="-8"/>
        </w:rPr>
        <w:t xml:space="preserve"> </w:t>
      </w:r>
      <w:r>
        <w:t>access</w:t>
      </w:r>
      <w:r>
        <w:rPr>
          <w:spacing w:val="-8"/>
        </w:rPr>
        <w:t xml:space="preserve"> </w:t>
      </w:r>
      <w:r>
        <w:t>world</w:t>
      </w:r>
      <w:r>
        <w:rPr>
          <w:spacing w:val="-8"/>
        </w:rPr>
        <w:t xml:space="preserve"> </w:t>
      </w:r>
      <w:r>
        <w:t>markets.</w:t>
      </w:r>
      <w:r>
        <w:rPr>
          <w:spacing w:val="-8"/>
        </w:rPr>
        <w:t xml:space="preserve"> </w:t>
      </w:r>
      <w:r>
        <w:t>Better</w:t>
      </w:r>
      <w:r>
        <w:rPr>
          <w:spacing w:val="-8"/>
        </w:rPr>
        <w:t xml:space="preserve"> </w:t>
      </w:r>
      <w:r>
        <w:t>bridges</w:t>
      </w:r>
      <w:r>
        <w:rPr>
          <w:spacing w:val="-8"/>
        </w:rPr>
        <w:t xml:space="preserve"> </w:t>
      </w:r>
      <w:r>
        <w:t xml:space="preserve">and </w:t>
      </w:r>
      <w:r>
        <w:rPr>
          <w:w w:val="95"/>
        </w:rPr>
        <w:t xml:space="preserve">local road improvements throughout regional NSW have </w:t>
      </w:r>
      <w:r>
        <w:t>significantly</w:t>
      </w:r>
      <w:r>
        <w:rPr>
          <w:spacing w:val="-12"/>
        </w:rPr>
        <w:t xml:space="preserve"> </w:t>
      </w:r>
      <w:r>
        <w:t>increased</w:t>
      </w:r>
      <w:r>
        <w:rPr>
          <w:spacing w:val="-12"/>
        </w:rPr>
        <w:t xml:space="preserve"> </w:t>
      </w:r>
      <w:r>
        <w:t>its</w:t>
      </w:r>
      <w:r>
        <w:rPr>
          <w:spacing w:val="-12"/>
        </w:rPr>
        <w:t xml:space="preserve"> </w:t>
      </w:r>
      <w:r>
        <w:t>economic</w:t>
      </w:r>
      <w:r>
        <w:rPr>
          <w:spacing w:val="-12"/>
        </w:rPr>
        <w:t xml:space="preserve"> </w:t>
      </w:r>
      <w:r>
        <w:t>competitiveness.</w:t>
      </w:r>
    </w:p>
    <w:p w:rsidR="002C1123" w:rsidRDefault="00F22F94">
      <w:pPr>
        <w:pStyle w:val="BodyText"/>
        <w:spacing w:before="148" w:line="249" w:lineRule="auto"/>
        <w:ind w:left="321" w:right="770"/>
      </w:pPr>
      <w:r>
        <w:t xml:space="preserve">Newcastle is booming, with its increased economic </w:t>
      </w:r>
      <w:r>
        <w:rPr>
          <w:spacing w:val="-2"/>
        </w:rPr>
        <w:t>footprint</w:t>
      </w:r>
      <w:r>
        <w:rPr>
          <w:spacing w:val="-3"/>
        </w:rPr>
        <w:t xml:space="preserve"> </w:t>
      </w:r>
      <w:r>
        <w:rPr>
          <w:spacing w:val="-2"/>
        </w:rPr>
        <w:t>underpinned</w:t>
      </w:r>
      <w:r>
        <w:rPr>
          <w:spacing w:val="-3"/>
        </w:rPr>
        <w:t xml:space="preserve"> </w:t>
      </w:r>
      <w:r>
        <w:rPr>
          <w:spacing w:val="-2"/>
        </w:rPr>
        <w:t>by</w:t>
      </w:r>
      <w:r>
        <w:rPr>
          <w:spacing w:val="-3"/>
        </w:rPr>
        <w:t xml:space="preserve"> </w:t>
      </w:r>
      <w:r>
        <w:rPr>
          <w:spacing w:val="-2"/>
        </w:rPr>
        <w:t>significant</w:t>
      </w:r>
      <w:r>
        <w:rPr>
          <w:spacing w:val="-3"/>
        </w:rPr>
        <w:t xml:space="preserve"> </w:t>
      </w:r>
      <w:r>
        <w:rPr>
          <w:spacing w:val="-2"/>
        </w:rPr>
        <w:t>population</w:t>
      </w:r>
      <w:r>
        <w:rPr>
          <w:spacing w:val="-3"/>
        </w:rPr>
        <w:t xml:space="preserve"> </w:t>
      </w:r>
      <w:r>
        <w:rPr>
          <w:spacing w:val="-2"/>
        </w:rPr>
        <w:t xml:space="preserve">growth </w:t>
      </w:r>
      <w:r>
        <w:rPr>
          <w:w w:val="95"/>
        </w:rPr>
        <w:t>in</w:t>
      </w:r>
      <w:r>
        <w:rPr>
          <w:spacing w:val="-8"/>
          <w:w w:val="95"/>
        </w:rPr>
        <w:t xml:space="preserve"> </w:t>
      </w:r>
      <w:r>
        <w:rPr>
          <w:w w:val="95"/>
        </w:rPr>
        <w:t>the</w:t>
      </w:r>
      <w:r>
        <w:rPr>
          <w:spacing w:val="-8"/>
          <w:w w:val="95"/>
        </w:rPr>
        <w:t xml:space="preserve"> </w:t>
      </w:r>
      <w:r>
        <w:rPr>
          <w:w w:val="95"/>
        </w:rPr>
        <w:t>Lower</w:t>
      </w:r>
      <w:r>
        <w:rPr>
          <w:spacing w:val="-8"/>
          <w:w w:val="95"/>
        </w:rPr>
        <w:t xml:space="preserve"> </w:t>
      </w:r>
      <w:r>
        <w:rPr>
          <w:w w:val="95"/>
        </w:rPr>
        <w:t>Hunter.</w:t>
      </w:r>
      <w:r>
        <w:rPr>
          <w:spacing w:val="-8"/>
          <w:w w:val="95"/>
        </w:rPr>
        <w:t xml:space="preserve"> </w:t>
      </w:r>
      <w:r>
        <w:rPr>
          <w:w w:val="95"/>
        </w:rPr>
        <w:t>Upgrades</w:t>
      </w:r>
      <w:r>
        <w:rPr>
          <w:spacing w:val="-8"/>
          <w:w w:val="95"/>
        </w:rPr>
        <w:t xml:space="preserve"> </w:t>
      </w:r>
      <w:r>
        <w:rPr>
          <w:w w:val="95"/>
        </w:rPr>
        <w:t>to</w:t>
      </w:r>
      <w:r>
        <w:rPr>
          <w:spacing w:val="-8"/>
          <w:w w:val="95"/>
        </w:rPr>
        <w:t xml:space="preserve"> </w:t>
      </w:r>
      <w:r>
        <w:rPr>
          <w:w w:val="95"/>
        </w:rPr>
        <w:t>the</w:t>
      </w:r>
      <w:r>
        <w:rPr>
          <w:spacing w:val="-8"/>
          <w:w w:val="95"/>
        </w:rPr>
        <w:t xml:space="preserve"> </w:t>
      </w:r>
      <w:r>
        <w:rPr>
          <w:w w:val="95"/>
        </w:rPr>
        <w:t>F3,</w:t>
      </w:r>
      <w:r>
        <w:rPr>
          <w:spacing w:val="-8"/>
          <w:w w:val="95"/>
        </w:rPr>
        <w:t xml:space="preserve"> </w:t>
      </w:r>
      <w:r>
        <w:rPr>
          <w:w w:val="95"/>
        </w:rPr>
        <w:t>and</w:t>
      </w:r>
      <w:r>
        <w:rPr>
          <w:spacing w:val="-8"/>
          <w:w w:val="95"/>
        </w:rPr>
        <w:t xml:space="preserve"> </w:t>
      </w:r>
      <w:r>
        <w:rPr>
          <w:w w:val="95"/>
        </w:rPr>
        <w:t xml:space="preserve">increased </w:t>
      </w:r>
      <w:r>
        <w:t>efficiency</w:t>
      </w:r>
      <w:r>
        <w:rPr>
          <w:spacing w:val="-10"/>
        </w:rPr>
        <w:t xml:space="preserve"> </w:t>
      </w:r>
      <w:r>
        <w:t>at</w:t>
      </w:r>
      <w:r>
        <w:rPr>
          <w:spacing w:val="-10"/>
        </w:rPr>
        <w:t xml:space="preserve"> </w:t>
      </w:r>
      <w:r>
        <w:t>the</w:t>
      </w:r>
      <w:r>
        <w:rPr>
          <w:spacing w:val="-10"/>
        </w:rPr>
        <w:t xml:space="preserve"> </w:t>
      </w:r>
      <w:r>
        <w:t>port,</w:t>
      </w:r>
      <w:r>
        <w:rPr>
          <w:spacing w:val="-10"/>
        </w:rPr>
        <w:t xml:space="preserve"> </w:t>
      </w:r>
      <w:r>
        <w:t>have</w:t>
      </w:r>
      <w:r>
        <w:rPr>
          <w:spacing w:val="-10"/>
        </w:rPr>
        <w:t xml:space="preserve"> </w:t>
      </w:r>
      <w:r>
        <w:t>made</w:t>
      </w:r>
      <w:r>
        <w:rPr>
          <w:spacing w:val="-10"/>
        </w:rPr>
        <w:t xml:space="preserve"> </w:t>
      </w:r>
      <w:r>
        <w:t>the</w:t>
      </w:r>
      <w:r>
        <w:rPr>
          <w:spacing w:val="-10"/>
        </w:rPr>
        <w:t xml:space="preserve"> </w:t>
      </w:r>
      <w:r>
        <w:t>movement</w:t>
      </w:r>
      <w:r>
        <w:rPr>
          <w:spacing w:val="-10"/>
        </w:rPr>
        <w:t xml:space="preserve"> </w:t>
      </w:r>
      <w:r>
        <w:t>of passengers</w:t>
      </w:r>
      <w:r>
        <w:rPr>
          <w:spacing w:val="-13"/>
        </w:rPr>
        <w:t xml:space="preserve"> </w:t>
      </w:r>
      <w:r>
        <w:t>and</w:t>
      </w:r>
      <w:r>
        <w:rPr>
          <w:spacing w:val="-13"/>
        </w:rPr>
        <w:t xml:space="preserve"> </w:t>
      </w:r>
      <w:r>
        <w:t>freight</w:t>
      </w:r>
      <w:r>
        <w:rPr>
          <w:spacing w:val="-13"/>
        </w:rPr>
        <w:t xml:space="preserve"> </w:t>
      </w:r>
      <w:r>
        <w:t>around</w:t>
      </w:r>
      <w:r>
        <w:rPr>
          <w:spacing w:val="-13"/>
        </w:rPr>
        <w:t xml:space="preserve"> </w:t>
      </w:r>
      <w:r>
        <w:t>the</w:t>
      </w:r>
      <w:r>
        <w:rPr>
          <w:spacing w:val="-13"/>
        </w:rPr>
        <w:t xml:space="preserve"> </w:t>
      </w:r>
      <w:r>
        <w:t>Hunter</w:t>
      </w:r>
      <w:r>
        <w:rPr>
          <w:spacing w:val="-13"/>
        </w:rPr>
        <w:t xml:space="preserve"> </w:t>
      </w:r>
      <w:r>
        <w:t>seamless, meeting</w:t>
      </w:r>
      <w:r>
        <w:rPr>
          <w:spacing w:val="-9"/>
        </w:rPr>
        <w:t xml:space="preserve"> </w:t>
      </w:r>
      <w:r>
        <w:t>the</w:t>
      </w:r>
      <w:r>
        <w:rPr>
          <w:spacing w:val="-9"/>
        </w:rPr>
        <w:t xml:space="preserve"> </w:t>
      </w:r>
      <w:r>
        <w:t>needs</w:t>
      </w:r>
      <w:r>
        <w:rPr>
          <w:spacing w:val="-9"/>
        </w:rPr>
        <w:t xml:space="preserve"> </w:t>
      </w:r>
      <w:r>
        <w:t>of</w:t>
      </w:r>
      <w:r>
        <w:rPr>
          <w:spacing w:val="-9"/>
        </w:rPr>
        <w:t xml:space="preserve"> </w:t>
      </w:r>
      <w:r>
        <w:t>the</w:t>
      </w:r>
      <w:r>
        <w:rPr>
          <w:spacing w:val="-9"/>
        </w:rPr>
        <w:t xml:space="preserve"> </w:t>
      </w:r>
      <w:r>
        <w:t>resources</w:t>
      </w:r>
      <w:r>
        <w:rPr>
          <w:spacing w:val="-9"/>
        </w:rPr>
        <w:t xml:space="preserve"> </w:t>
      </w:r>
      <w:r>
        <w:t>industry.</w:t>
      </w:r>
    </w:p>
    <w:p w:rsidR="002C1123" w:rsidRDefault="002C1123">
      <w:pPr>
        <w:spacing w:line="249" w:lineRule="auto"/>
        <w:sectPr w:rsidR="002C1123">
          <w:type w:val="continuous"/>
          <w:pgSz w:w="16840" w:h="11910" w:orient="landscape"/>
          <w:pgMar w:top="560" w:right="280" w:bottom="280" w:left="500" w:header="0" w:footer="517" w:gutter="0"/>
          <w:cols w:num="2" w:space="720" w:equalWidth="0">
            <w:col w:w="8382" w:space="1842"/>
            <w:col w:w="5836"/>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BodyText"/>
        <w:spacing w:before="106" w:line="249" w:lineRule="auto"/>
        <w:ind w:left="492"/>
      </w:pPr>
      <w:bookmarkStart w:id="18" w:name="_bookmark11"/>
      <w:bookmarkEnd w:id="18"/>
      <w:r>
        <w:t>Wollongong</w:t>
      </w:r>
      <w:r>
        <w:rPr>
          <w:spacing w:val="-8"/>
        </w:rPr>
        <w:t xml:space="preserve"> </w:t>
      </w:r>
      <w:r>
        <w:t>has</w:t>
      </w:r>
      <w:r>
        <w:rPr>
          <w:spacing w:val="-8"/>
        </w:rPr>
        <w:t xml:space="preserve"> </w:t>
      </w:r>
      <w:r>
        <w:t>reinvented</w:t>
      </w:r>
      <w:r>
        <w:rPr>
          <w:spacing w:val="-8"/>
        </w:rPr>
        <w:t xml:space="preserve"> </w:t>
      </w:r>
      <w:r>
        <w:t>itself</w:t>
      </w:r>
      <w:r>
        <w:rPr>
          <w:spacing w:val="-8"/>
        </w:rPr>
        <w:t xml:space="preserve"> </w:t>
      </w:r>
      <w:r>
        <w:t>–</w:t>
      </w:r>
      <w:r>
        <w:rPr>
          <w:spacing w:val="-8"/>
        </w:rPr>
        <w:t xml:space="preserve"> </w:t>
      </w:r>
      <w:r>
        <w:t>service</w:t>
      </w:r>
      <w:r>
        <w:rPr>
          <w:spacing w:val="-8"/>
        </w:rPr>
        <w:t xml:space="preserve"> </w:t>
      </w:r>
      <w:r>
        <w:t>industries have</w:t>
      </w:r>
      <w:r>
        <w:rPr>
          <w:spacing w:val="-14"/>
        </w:rPr>
        <w:t xml:space="preserve"> </w:t>
      </w:r>
      <w:r>
        <w:t>leveraged</w:t>
      </w:r>
      <w:r>
        <w:rPr>
          <w:spacing w:val="-14"/>
        </w:rPr>
        <w:t xml:space="preserve"> </w:t>
      </w:r>
      <w:r>
        <w:t>its</w:t>
      </w:r>
      <w:r>
        <w:rPr>
          <w:spacing w:val="-14"/>
        </w:rPr>
        <w:t xml:space="preserve"> </w:t>
      </w:r>
      <w:r>
        <w:t>strong</w:t>
      </w:r>
      <w:r>
        <w:rPr>
          <w:spacing w:val="-14"/>
        </w:rPr>
        <w:t xml:space="preserve"> </w:t>
      </w:r>
      <w:r>
        <w:t>education</w:t>
      </w:r>
      <w:r>
        <w:rPr>
          <w:spacing w:val="-14"/>
        </w:rPr>
        <w:t xml:space="preserve"> </w:t>
      </w:r>
      <w:r>
        <w:t>sector,</w:t>
      </w:r>
      <w:r>
        <w:rPr>
          <w:spacing w:val="-14"/>
        </w:rPr>
        <w:t xml:space="preserve"> </w:t>
      </w:r>
      <w:r>
        <w:t>while</w:t>
      </w:r>
    </w:p>
    <w:p w:rsidR="002C1123" w:rsidRDefault="00F22F94">
      <w:pPr>
        <w:pStyle w:val="BodyText"/>
        <w:spacing w:before="1" w:line="249" w:lineRule="auto"/>
        <w:ind w:left="492"/>
      </w:pPr>
      <w:r>
        <w:t>Port</w:t>
      </w:r>
      <w:r>
        <w:rPr>
          <w:spacing w:val="-8"/>
        </w:rPr>
        <w:t xml:space="preserve"> </w:t>
      </w:r>
      <w:r>
        <w:t>Kembla</w:t>
      </w:r>
      <w:r>
        <w:rPr>
          <w:spacing w:val="-8"/>
        </w:rPr>
        <w:t xml:space="preserve"> </w:t>
      </w:r>
      <w:r>
        <w:t>has</w:t>
      </w:r>
      <w:r>
        <w:rPr>
          <w:spacing w:val="-8"/>
        </w:rPr>
        <w:t xml:space="preserve"> </w:t>
      </w:r>
      <w:r>
        <w:t>expanded</w:t>
      </w:r>
      <w:r>
        <w:rPr>
          <w:spacing w:val="-8"/>
        </w:rPr>
        <w:t xml:space="preserve"> </w:t>
      </w:r>
      <w:r>
        <w:t>its</w:t>
      </w:r>
      <w:r>
        <w:rPr>
          <w:spacing w:val="-8"/>
        </w:rPr>
        <w:t xml:space="preserve"> </w:t>
      </w:r>
      <w:r>
        <w:t>capacity</w:t>
      </w:r>
      <w:r>
        <w:rPr>
          <w:spacing w:val="-8"/>
        </w:rPr>
        <w:t xml:space="preserve"> </w:t>
      </w:r>
      <w:r>
        <w:t>for</w:t>
      </w:r>
      <w:r>
        <w:rPr>
          <w:spacing w:val="-8"/>
        </w:rPr>
        <w:t xml:space="preserve"> </w:t>
      </w:r>
      <w:r>
        <w:t>the</w:t>
      </w:r>
      <w:r>
        <w:rPr>
          <w:spacing w:val="-8"/>
        </w:rPr>
        <w:t xml:space="preserve"> </w:t>
      </w:r>
      <w:r>
        <w:t xml:space="preserve">bulk </w:t>
      </w:r>
      <w:r>
        <w:rPr>
          <w:w w:val="95"/>
        </w:rPr>
        <w:t xml:space="preserve">export of commodities. Improvements to passenger rail </w:t>
      </w:r>
      <w:r>
        <w:t>services</w:t>
      </w:r>
      <w:r>
        <w:rPr>
          <w:spacing w:val="-13"/>
        </w:rPr>
        <w:t xml:space="preserve"> </w:t>
      </w:r>
      <w:r>
        <w:t>and</w:t>
      </w:r>
      <w:r>
        <w:rPr>
          <w:spacing w:val="-13"/>
        </w:rPr>
        <w:t xml:space="preserve"> </w:t>
      </w:r>
      <w:r>
        <w:t>the</w:t>
      </w:r>
      <w:r>
        <w:rPr>
          <w:spacing w:val="-13"/>
        </w:rPr>
        <w:t xml:space="preserve"> </w:t>
      </w:r>
      <w:r>
        <w:t>F6</w:t>
      </w:r>
      <w:r>
        <w:rPr>
          <w:spacing w:val="-13"/>
        </w:rPr>
        <w:t xml:space="preserve"> </w:t>
      </w:r>
      <w:r>
        <w:t>Extension</w:t>
      </w:r>
      <w:r>
        <w:rPr>
          <w:spacing w:val="-13"/>
        </w:rPr>
        <w:t xml:space="preserve"> </w:t>
      </w:r>
      <w:r>
        <w:t>mean</w:t>
      </w:r>
      <w:r>
        <w:rPr>
          <w:spacing w:val="-13"/>
        </w:rPr>
        <w:t xml:space="preserve"> </w:t>
      </w:r>
      <w:r>
        <w:t>that</w:t>
      </w:r>
      <w:r>
        <w:rPr>
          <w:spacing w:val="-13"/>
        </w:rPr>
        <w:t xml:space="preserve"> </w:t>
      </w:r>
      <w:r>
        <w:t>Sydney</w:t>
      </w:r>
      <w:r>
        <w:rPr>
          <w:spacing w:val="-13"/>
        </w:rPr>
        <w:t xml:space="preserve"> </w:t>
      </w:r>
      <w:r>
        <w:t xml:space="preserve">can </w:t>
      </w:r>
      <w:r>
        <w:rPr>
          <w:w w:val="95"/>
        </w:rPr>
        <w:t>now be reached quickly for employment and recreation.</w:t>
      </w:r>
    </w:p>
    <w:p w:rsidR="002C1123" w:rsidRDefault="00F22F94">
      <w:pPr>
        <w:pStyle w:val="BodyText"/>
        <w:spacing w:before="146" w:line="249" w:lineRule="auto"/>
        <w:ind w:left="492" w:right="133"/>
      </w:pPr>
      <w:r>
        <w:t xml:space="preserve">Long term improvements in health have been </w:t>
      </w:r>
      <w:r>
        <w:rPr>
          <w:w w:val="95"/>
        </w:rPr>
        <w:t>delivered</w:t>
      </w:r>
      <w:r>
        <w:rPr>
          <w:spacing w:val="-14"/>
          <w:w w:val="95"/>
        </w:rPr>
        <w:t xml:space="preserve"> </w:t>
      </w:r>
      <w:r>
        <w:rPr>
          <w:w w:val="95"/>
        </w:rPr>
        <w:t>for</w:t>
      </w:r>
      <w:r>
        <w:rPr>
          <w:spacing w:val="-13"/>
          <w:w w:val="95"/>
        </w:rPr>
        <w:t xml:space="preserve"> </w:t>
      </w:r>
      <w:r>
        <w:rPr>
          <w:w w:val="95"/>
        </w:rPr>
        <w:t>a</w:t>
      </w:r>
      <w:r>
        <w:rPr>
          <w:spacing w:val="-13"/>
          <w:w w:val="95"/>
        </w:rPr>
        <w:t xml:space="preserve"> </w:t>
      </w:r>
      <w:r>
        <w:rPr>
          <w:w w:val="95"/>
        </w:rPr>
        <w:t>larger</w:t>
      </w:r>
      <w:r>
        <w:rPr>
          <w:spacing w:val="-13"/>
          <w:w w:val="95"/>
        </w:rPr>
        <w:t xml:space="preserve"> </w:t>
      </w:r>
      <w:r>
        <w:rPr>
          <w:w w:val="95"/>
        </w:rPr>
        <w:t>and</w:t>
      </w:r>
      <w:r>
        <w:rPr>
          <w:spacing w:val="-14"/>
          <w:w w:val="95"/>
        </w:rPr>
        <w:t xml:space="preserve"> </w:t>
      </w:r>
      <w:r>
        <w:rPr>
          <w:w w:val="95"/>
        </w:rPr>
        <w:t>older</w:t>
      </w:r>
      <w:r>
        <w:rPr>
          <w:spacing w:val="-13"/>
          <w:w w:val="95"/>
        </w:rPr>
        <w:t xml:space="preserve"> </w:t>
      </w:r>
      <w:r>
        <w:rPr>
          <w:w w:val="95"/>
        </w:rPr>
        <w:t>population.</w:t>
      </w:r>
      <w:r>
        <w:rPr>
          <w:spacing w:val="-13"/>
          <w:w w:val="95"/>
        </w:rPr>
        <w:t xml:space="preserve"> </w:t>
      </w:r>
      <w:r>
        <w:rPr>
          <w:w w:val="95"/>
        </w:rPr>
        <w:t>This</w:t>
      </w:r>
      <w:r>
        <w:rPr>
          <w:spacing w:val="-13"/>
          <w:w w:val="95"/>
        </w:rPr>
        <w:t xml:space="preserve"> </w:t>
      </w:r>
      <w:r>
        <w:rPr>
          <w:w w:val="95"/>
        </w:rPr>
        <w:t xml:space="preserve">includes </w:t>
      </w:r>
      <w:r>
        <w:t>hospital</w:t>
      </w:r>
      <w:r>
        <w:rPr>
          <w:spacing w:val="-16"/>
        </w:rPr>
        <w:t xml:space="preserve"> </w:t>
      </w:r>
      <w:r>
        <w:t>upgrades</w:t>
      </w:r>
      <w:r>
        <w:rPr>
          <w:spacing w:val="-16"/>
        </w:rPr>
        <w:t xml:space="preserve"> </w:t>
      </w:r>
      <w:r>
        <w:t>and</w:t>
      </w:r>
      <w:r>
        <w:rPr>
          <w:spacing w:val="-16"/>
        </w:rPr>
        <w:t xml:space="preserve"> </w:t>
      </w:r>
      <w:r>
        <w:t>more</w:t>
      </w:r>
      <w:r>
        <w:rPr>
          <w:spacing w:val="-16"/>
        </w:rPr>
        <w:t xml:space="preserve"> </w:t>
      </w:r>
      <w:r>
        <w:t>flexible</w:t>
      </w:r>
      <w:r>
        <w:rPr>
          <w:spacing w:val="-16"/>
        </w:rPr>
        <w:t xml:space="preserve"> </w:t>
      </w:r>
      <w:r>
        <w:t>models</w:t>
      </w:r>
      <w:r>
        <w:rPr>
          <w:spacing w:val="-16"/>
        </w:rPr>
        <w:t xml:space="preserve"> </w:t>
      </w:r>
      <w:r>
        <w:t>of</w:t>
      </w:r>
      <w:r>
        <w:rPr>
          <w:spacing w:val="-16"/>
        </w:rPr>
        <w:t xml:space="preserve"> </w:t>
      </w:r>
      <w:r>
        <w:t>care, including</w:t>
      </w:r>
      <w:r>
        <w:rPr>
          <w:spacing w:val="-16"/>
        </w:rPr>
        <w:t xml:space="preserve"> </w:t>
      </w:r>
      <w:r>
        <w:t>e-health.</w:t>
      </w:r>
    </w:p>
    <w:p w:rsidR="002C1123" w:rsidRDefault="00F22F94">
      <w:pPr>
        <w:pStyle w:val="Heading5"/>
        <w:spacing w:before="129"/>
        <w:ind w:left="492" w:firstLine="0"/>
      </w:pPr>
      <w:r>
        <w:rPr>
          <w:color w:val="2E3092"/>
          <w:w w:val="95"/>
        </w:rPr>
        <w:t>Sydney</w:t>
      </w:r>
      <w:r>
        <w:rPr>
          <w:color w:val="2E3092"/>
          <w:spacing w:val="-11"/>
          <w:w w:val="95"/>
        </w:rPr>
        <w:t xml:space="preserve"> </w:t>
      </w:r>
      <w:r>
        <w:rPr>
          <w:color w:val="2E3092"/>
          <w:spacing w:val="-4"/>
          <w:w w:val="95"/>
        </w:rPr>
        <w:t>2032</w:t>
      </w:r>
    </w:p>
    <w:p w:rsidR="002C1123" w:rsidRDefault="00F22F94">
      <w:pPr>
        <w:pStyle w:val="BodyText"/>
        <w:spacing w:before="135" w:line="249" w:lineRule="auto"/>
        <w:ind w:left="492" w:right="147"/>
      </w:pPr>
      <w:r>
        <w:rPr>
          <w:w w:val="95"/>
        </w:rPr>
        <w:t xml:space="preserve">At the heart of NSW and driving its economic success is Sydney: a global city of international significance. In </w:t>
      </w:r>
      <w:r>
        <w:t>the</w:t>
      </w:r>
      <w:r>
        <w:rPr>
          <w:spacing w:val="-7"/>
        </w:rPr>
        <w:t xml:space="preserve"> </w:t>
      </w:r>
      <w:r>
        <w:t>past</w:t>
      </w:r>
      <w:r>
        <w:rPr>
          <w:spacing w:val="-7"/>
        </w:rPr>
        <w:t xml:space="preserve"> </w:t>
      </w:r>
      <w:r>
        <w:t>two</w:t>
      </w:r>
      <w:r>
        <w:rPr>
          <w:spacing w:val="-7"/>
        </w:rPr>
        <w:t xml:space="preserve"> </w:t>
      </w:r>
      <w:r>
        <w:t>decades,</w:t>
      </w:r>
      <w:r>
        <w:rPr>
          <w:spacing w:val="-7"/>
        </w:rPr>
        <w:t xml:space="preserve"> </w:t>
      </w:r>
      <w:r>
        <w:t>Sydney</w:t>
      </w:r>
      <w:r>
        <w:rPr>
          <w:spacing w:val="-7"/>
        </w:rPr>
        <w:t xml:space="preserve"> </w:t>
      </w:r>
      <w:r>
        <w:t>has</w:t>
      </w:r>
      <w:r>
        <w:rPr>
          <w:spacing w:val="-7"/>
        </w:rPr>
        <w:t xml:space="preserve"> </w:t>
      </w:r>
      <w:r>
        <w:t>strengthened</w:t>
      </w:r>
      <w:r>
        <w:rPr>
          <w:spacing w:val="-7"/>
        </w:rPr>
        <w:t xml:space="preserve"> </w:t>
      </w:r>
      <w:r>
        <w:t xml:space="preserve">its </w:t>
      </w:r>
      <w:r>
        <w:rPr>
          <w:w w:val="95"/>
        </w:rPr>
        <w:t>leadership</w:t>
      </w:r>
      <w:r>
        <w:rPr>
          <w:spacing w:val="-9"/>
          <w:w w:val="95"/>
        </w:rPr>
        <w:t xml:space="preserve"> </w:t>
      </w:r>
      <w:r>
        <w:rPr>
          <w:w w:val="95"/>
        </w:rPr>
        <w:t>in</w:t>
      </w:r>
      <w:r>
        <w:rPr>
          <w:spacing w:val="-9"/>
          <w:w w:val="95"/>
        </w:rPr>
        <w:t xml:space="preserve"> </w:t>
      </w:r>
      <w:r>
        <w:rPr>
          <w:w w:val="95"/>
        </w:rPr>
        <w:t>high</w:t>
      </w:r>
      <w:r>
        <w:rPr>
          <w:spacing w:val="-9"/>
          <w:w w:val="95"/>
        </w:rPr>
        <w:t xml:space="preserve"> </w:t>
      </w:r>
      <w:r>
        <w:rPr>
          <w:w w:val="95"/>
        </w:rPr>
        <w:t>value</w:t>
      </w:r>
      <w:r>
        <w:rPr>
          <w:spacing w:val="-9"/>
          <w:w w:val="95"/>
        </w:rPr>
        <w:t xml:space="preserve"> </w:t>
      </w:r>
      <w:r>
        <w:rPr>
          <w:w w:val="95"/>
        </w:rPr>
        <w:t>add</w:t>
      </w:r>
      <w:r>
        <w:rPr>
          <w:spacing w:val="-9"/>
          <w:w w:val="95"/>
        </w:rPr>
        <w:t xml:space="preserve"> </w:t>
      </w:r>
      <w:r>
        <w:rPr>
          <w:w w:val="95"/>
        </w:rPr>
        <w:t>service</w:t>
      </w:r>
      <w:r>
        <w:rPr>
          <w:spacing w:val="-9"/>
          <w:w w:val="95"/>
        </w:rPr>
        <w:t xml:space="preserve"> </w:t>
      </w:r>
      <w:r>
        <w:rPr>
          <w:w w:val="95"/>
        </w:rPr>
        <w:t>industries,</w:t>
      </w:r>
      <w:r>
        <w:rPr>
          <w:spacing w:val="-9"/>
          <w:w w:val="95"/>
        </w:rPr>
        <w:t xml:space="preserve"> </w:t>
      </w:r>
      <w:r>
        <w:rPr>
          <w:w w:val="95"/>
        </w:rPr>
        <w:t xml:space="preserve">serving </w:t>
      </w:r>
      <w:r>
        <w:t>customers</w:t>
      </w:r>
      <w:r>
        <w:rPr>
          <w:spacing w:val="-10"/>
        </w:rPr>
        <w:t xml:space="preserve"> </w:t>
      </w:r>
      <w:r>
        <w:t>across</w:t>
      </w:r>
      <w:r>
        <w:rPr>
          <w:spacing w:val="-10"/>
        </w:rPr>
        <w:t xml:space="preserve"> </w:t>
      </w:r>
      <w:r>
        <w:t>Australia</w:t>
      </w:r>
      <w:r>
        <w:rPr>
          <w:spacing w:val="-10"/>
        </w:rPr>
        <w:t xml:space="preserve"> </w:t>
      </w:r>
      <w:r>
        <w:t>and</w:t>
      </w:r>
      <w:r>
        <w:rPr>
          <w:spacing w:val="-10"/>
        </w:rPr>
        <w:t xml:space="preserve"> </w:t>
      </w:r>
      <w:r>
        <w:t>Asia-Pacific.</w:t>
      </w:r>
    </w:p>
    <w:p w:rsidR="002C1123" w:rsidRDefault="00F22F94">
      <w:pPr>
        <w:pStyle w:val="BodyText"/>
        <w:spacing w:before="146" w:line="249" w:lineRule="auto"/>
        <w:ind w:left="492" w:right="543"/>
      </w:pPr>
      <w:r>
        <w:t>Investing in the completion of our strategic</w:t>
      </w:r>
      <w:r>
        <w:rPr>
          <w:spacing w:val="80"/>
          <w:w w:val="150"/>
        </w:rPr>
        <w:t xml:space="preserve"> </w:t>
      </w:r>
      <w:r>
        <w:rPr>
          <w:spacing w:val="-2"/>
        </w:rPr>
        <w:t>road</w:t>
      </w:r>
      <w:r>
        <w:rPr>
          <w:spacing w:val="-7"/>
        </w:rPr>
        <w:t xml:space="preserve"> </w:t>
      </w:r>
      <w:r>
        <w:rPr>
          <w:spacing w:val="-2"/>
        </w:rPr>
        <w:t>network</w:t>
      </w:r>
      <w:r>
        <w:rPr>
          <w:spacing w:val="-7"/>
        </w:rPr>
        <w:t xml:space="preserve"> </w:t>
      </w:r>
      <w:r>
        <w:rPr>
          <w:spacing w:val="-2"/>
        </w:rPr>
        <w:t>has</w:t>
      </w:r>
      <w:r>
        <w:rPr>
          <w:spacing w:val="-7"/>
        </w:rPr>
        <w:t xml:space="preserve"> </w:t>
      </w:r>
      <w:r>
        <w:rPr>
          <w:spacing w:val="-2"/>
        </w:rPr>
        <w:t>made</w:t>
      </w:r>
      <w:r>
        <w:rPr>
          <w:spacing w:val="-7"/>
        </w:rPr>
        <w:t xml:space="preserve"> </w:t>
      </w:r>
      <w:r>
        <w:rPr>
          <w:spacing w:val="-2"/>
        </w:rPr>
        <w:t>strangling</w:t>
      </w:r>
      <w:r>
        <w:rPr>
          <w:spacing w:val="-7"/>
        </w:rPr>
        <w:t xml:space="preserve"> </w:t>
      </w:r>
      <w:r>
        <w:rPr>
          <w:spacing w:val="-2"/>
        </w:rPr>
        <w:t>congestion</w:t>
      </w:r>
      <w:r>
        <w:rPr>
          <w:spacing w:val="-7"/>
        </w:rPr>
        <w:t xml:space="preserve"> </w:t>
      </w:r>
      <w:r>
        <w:rPr>
          <w:spacing w:val="-2"/>
        </w:rPr>
        <w:t>on</w:t>
      </w:r>
    </w:p>
    <w:p w:rsidR="002C1123" w:rsidRDefault="00F22F94">
      <w:pPr>
        <w:pStyle w:val="BodyText"/>
        <w:spacing w:before="2" w:line="249" w:lineRule="auto"/>
        <w:ind w:left="492" w:right="147"/>
      </w:pPr>
      <w:r>
        <w:rPr>
          <w:w w:val="95"/>
        </w:rPr>
        <w:t>inadequate</w:t>
      </w:r>
      <w:r>
        <w:rPr>
          <w:spacing w:val="-9"/>
          <w:w w:val="95"/>
        </w:rPr>
        <w:t xml:space="preserve"> </w:t>
      </w:r>
      <w:r>
        <w:rPr>
          <w:w w:val="95"/>
        </w:rPr>
        <w:t>arterial</w:t>
      </w:r>
      <w:r>
        <w:rPr>
          <w:spacing w:val="-9"/>
          <w:w w:val="95"/>
        </w:rPr>
        <w:t xml:space="preserve"> </w:t>
      </w:r>
      <w:r>
        <w:rPr>
          <w:w w:val="95"/>
        </w:rPr>
        <w:t>routes</w:t>
      </w:r>
      <w:r>
        <w:rPr>
          <w:spacing w:val="-9"/>
          <w:w w:val="95"/>
        </w:rPr>
        <w:t xml:space="preserve"> </w:t>
      </w:r>
      <w:r>
        <w:rPr>
          <w:w w:val="95"/>
        </w:rPr>
        <w:t>a</w:t>
      </w:r>
      <w:r>
        <w:rPr>
          <w:spacing w:val="-9"/>
          <w:w w:val="95"/>
        </w:rPr>
        <w:t xml:space="preserve"> </w:t>
      </w:r>
      <w:r>
        <w:rPr>
          <w:w w:val="95"/>
        </w:rPr>
        <w:t>thing</w:t>
      </w:r>
      <w:r>
        <w:rPr>
          <w:spacing w:val="-9"/>
          <w:w w:val="95"/>
        </w:rPr>
        <w:t xml:space="preserve"> </w:t>
      </w:r>
      <w:r>
        <w:rPr>
          <w:w w:val="95"/>
        </w:rPr>
        <w:t>of</w:t>
      </w:r>
      <w:r>
        <w:rPr>
          <w:spacing w:val="-9"/>
          <w:w w:val="95"/>
        </w:rPr>
        <w:t xml:space="preserve"> </w:t>
      </w:r>
      <w:r>
        <w:rPr>
          <w:w w:val="95"/>
        </w:rPr>
        <w:t>the</w:t>
      </w:r>
      <w:r>
        <w:rPr>
          <w:spacing w:val="-9"/>
          <w:w w:val="95"/>
        </w:rPr>
        <w:t xml:space="preserve"> </w:t>
      </w:r>
      <w:r>
        <w:rPr>
          <w:w w:val="95"/>
        </w:rPr>
        <w:t>past.</w:t>
      </w:r>
      <w:r>
        <w:rPr>
          <w:spacing w:val="-9"/>
          <w:w w:val="95"/>
        </w:rPr>
        <w:t xml:space="preserve"> </w:t>
      </w:r>
      <w:r>
        <w:rPr>
          <w:w w:val="95"/>
        </w:rPr>
        <w:t>The</w:t>
      </w:r>
      <w:r>
        <w:rPr>
          <w:spacing w:val="-9"/>
          <w:w w:val="95"/>
        </w:rPr>
        <w:t xml:space="preserve"> </w:t>
      </w:r>
      <w:r>
        <w:rPr>
          <w:w w:val="95"/>
        </w:rPr>
        <w:t xml:space="preserve">pay </w:t>
      </w:r>
      <w:r>
        <w:t>off</w:t>
      </w:r>
      <w:r>
        <w:rPr>
          <w:spacing w:val="-4"/>
        </w:rPr>
        <w:t xml:space="preserve"> </w:t>
      </w:r>
      <w:r>
        <w:t>to</w:t>
      </w:r>
      <w:r>
        <w:rPr>
          <w:spacing w:val="-4"/>
        </w:rPr>
        <w:t xml:space="preserve"> </w:t>
      </w:r>
      <w:r>
        <w:t>the</w:t>
      </w:r>
      <w:r>
        <w:rPr>
          <w:spacing w:val="-4"/>
        </w:rPr>
        <w:t xml:space="preserve"> </w:t>
      </w:r>
      <w:r>
        <w:t>State</w:t>
      </w:r>
      <w:r>
        <w:rPr>
          <w:spacing w:val="-4"/>
        </w:rPr>
        <w:t xml:space="preserve"> </w:t>
      </w:r>
      <w:r>
        <w:t>from</w:t>
      </w:r>
      <w:r>
        <w:rPr>
          <w:spacing w:val="-4"/>
        </w:rPr>
        <w:t xml:space="preserve"> </w:t>
      </w:r>
      <w:r>
        <w:t>investing</w:t>
      </w:r>
      <w:r>
        <w:rPr>
          <w:spacing w:val="-4"/>
        </w:rPr>
        <w:t xml:space="preserve"> </w:t>
      </w:r>
      <w:r>
        <w:t>in</w:t>
      </w:r>
      <w:r>
        <w:rPr>
          <w:spacing w:val="-4"/>
        </w:rPr>
        <w:t xml:space="preserve"> </w:t>
      </w:r>
      <w:r>
        <w:t>the</w:t>
      </w:r>
      <w:r>
        <w:rPr>
          <w:spacing w:val="-4"/>
        </w:rPr>
        <w:t xml:space="preserve"> </w:t>
      </w:r>
      <w:r>
        <w:t>WestConnex motorways</w:t>
      </w:r>
      <w:r>
        <w:rPr>
          <w:spacing w:val="-9"/>
        </w:rPr>
        <w:t xml:space="preserve"> </w:t>
      </w:r>
      <w:r>
        <w:t>project</w:t>
      </w:r>
      <w:r>
        <w:rPr>
          <w:spacing w:val="-9"/>
        </w:rPr>
        <w:t xml:space="preserve"> </w:t>
      </w:r>
      <w:r>
        <w:t>exceeded</w:t>
      </w:r>
      <w:r>
        <w:rPr>
          <w:spacing w:val="-9"/>
        </w:rPr>
        <w:t xml:space="preserve"> </w:t>
      </w:r>
      <w:r>
        <w:t>all</w:t>
      </w:r>
      <w:r>
        <w:rPr>
          <w:spacing w:val="-9"/>
        </w:rPr>
        <w:t xml:space="preserve"> </w:t>
      </w:r>
      <w:r>
        <w:t>expectations.</w:t>
      </w:r>
      <w:r>
        <w:rPr>
          <w:spacing w:val="-9"/>
        </w:rPr>
        <w:t xml:space="preserve"> </w:t>
      </w:r>
      <w:r>
        <w:t xml:space="preserve">The </w:t>
      </w:r>
      <w:r>
        <w:rPr>
          <w:w w:val="95"/>
        </w:rPr>
        <w:t xml:space="preserve">efficient flow of goods from Port Botany and Sydney Airport to the logistics hub in Western Sydney and to </w:t>
      </w:r>
      <w:r>
        <w:t>regional</w:t>
      </w:r>
      <w:r>
        <w:rPr>
          <w:spacing w:val="-3"/>
        </w:rPr>
        <w:t xml:space="preserve"> </w:t>
      </w:r>
      <w:r>
        <w:t>areas</w:t>
      </w:r>
      <w:r>
        <w:rPr>
          <w:spacing w:val="-3"/>
        </w:rPr>
        <w:t xml:space="preserve"> </w:t>
      </w:r>
      <w:r>
        <w:t>has</w:t>
      </w:r>
      <w:r>
        <w:rPr>
          <w:spacing w:val="-3"/>
        </w:rPr>
        <w:t xml:space="preserve"> </w:t>
      </w:r>
      <w:r>
        <w:t>been</w:t>
      </w:r>
      <w:r>
        <w:rPr>
          <w:spacing w:val="-3"/>
        </w:rPr>
        <w:t xml:space="preserve"> </w:t>
      </w:r>
      <w:r>
        <w:t>secured.</w:t>
      </w:r>
    </w:p>
    <w:p w:rsidR="002C1123" w:rsidRDefault="00F22F94">
      <w:pPr>
        <w:pStyle w:val="BodyText"/>
        <w:spacing w:before="146" w:line="249" w:lineRule="auto"/>
        <w:ind w:left="492"/>
      </w:pPr>
      <w:r>
        <w:t>Sustained</w:t>
      </w:r>
      <w:r>
        <w:rPr>
          <w:spacing w:val="-6"/>
        </w:rPr>
        <w:t xml:space="preserve"> </w:t>
      </w:r>
      <w:r>
        <w:t>investment</w:t>
      </w:r>
      <w:r>
        <w:rPr>
          <w:spacing w:val="-6"/>
        </w:rPr>
        <w:t xml:space="preserve"> </w:t>
      </w:r>
      <w:r>
        <w:t>in</w:t>
      </w:r>
      <w:r>
        <w:rPr>
          <w:spacing w:val="-6"/>
        </w:rPr>
        <w:t xml:space="preserve"> </w:t>
      </w:r>
      <w:r>
        <w:t>effective</w:t>
      </w:r>
      <w:r>
        <w:rPr>
          <w:spacing w:val="-6"/>
        </w:rPr>
        <w:t xml:space="preserve"> </w:t>
      </w:r>
      <w:r>
        <w:t>public</w:t>
      </w:r>
      <w:r>
        <w:rPr>
          <w:spacing w:val="-6"/>
        </w:rPr>
        <w:t xml:space="preserve"> </w:t>
      </w:r>
      <w:r>
        <w:t>transport</w:t>
      </w:r>
      <w:r>
        <w:rPr>
          <w:spacing w:val="-5"/>
        </w:rPr>
        <w:t xml:space="preserve"> </w:t>
      </w:r>
      <w:r>
        <w:t xml:space="preserve">now </w:t>
      </w:r>
      <w:r>
        <w:rPr>
          <w:spacing w:val="-2"/>
        </w:rPr>
        <w:t>provides</w:t>
      </w:r>
      <w:r>
        <w:rPr>
          <w:spacing w:val="-19"/>
        </w:rPr>
        <w:t xml:space="preserve"> </w:t>
      </w:r>
      <w:r>
        <w:rPr>
          <w:spacing w:val="-2"/>
        </w:rPr>
        <w:t>people</w:t>
      </w:r>
      <w:r>
        <w:rPr>
          <w:spacing w:val="-19"/>
        </w:rPr>
        <w:t xml:space="preserve"> </w:t>
      </w:r>
      <w:r>
        <w:rPr>
          <w:spacing w:val="-2"/>
        </w:rPr>
        <w:t>with</w:t>
      </w:r>
      <w:r>
        <w:rPr>
          <w:spacing w:val="-19"/>
        </w:rPr>
        <w:t xml:space="preserve"> </w:t>
      </w:r>
      <w:r>
        <w:rPr>
          <w:spacing w:val="-2"/>
        </w:rPr>
        <w:t>real</w:t>
      </w:r>
      <w:r>
        <w:rPr>
          <w:spacing w:val="-19"/>
        </w:rPr>
        <w:t xml:space="preserve"> </w:t>
      </w:r>
      <w:r>
        <w:rPr>
          <w:spacing w:val="-2"/>
        </w:rPr>
        <w:t>choices</w:t>
      </w:r>
      <w:r>
        <w:rPr>
          <w:spacing w:val="-19"/>
        </w:rPr>
        <w:t xml:space="preserve"> </w:t>
      </w:r>
      <w:r>
        <w:rPr>
          <w:spacing w:val="-2"/>
        </w:rPr>
        <w:t>about</w:t>
      </w:r>
      <w:r>
        <w:rPr>
          <w:spacing w:val="-19"/>
        </w:rPr>
        <w:t xml:space="preserve"> </w:t>
      </w:r>
      <w:r>
        <w:rPr>
          <w:spacing w:val="-2"/>
        </w:rPr>
        <w:t>how</w:t>
      </w:r>
      <w:r>
        <w:rPr>
          <w:spacing w:val="-19"/>
        </w:rPr>
        <w:t xml:space="preserve"> </w:t>
      </w:r>
      <w:r>
        <w:rPr>
          <w:spacing w:val="-2"/>
        </w:rPr>
        <w:t>they</w:t>
      </w:r>
      <w:r>
        <w:rPr>
          <w:spacing w:val="-19"/>
        </w:rPr>
        <w:t xml:space="preserve"> </w:t>
      </w:r>
      <w:r>
        <w:rPr>
          <w:spacing w:val="-2"/>
        </w:rPr>
        <w:t xml:space="preserve">move </w:t>
      </w:r>
      <w:r>
        <w:rPr>
          <w:spacing w:val="-4"/>
        </w:rPr>
        <w:t>around</w:t>
      </w:r>
      <w:r>
        <w:rPr>
          <w:spacing w:val="-16"/>
        </w:rPr>
        <w:t xml:space="preserve"> </w:t>
      </w:r>
      <w:r>
        <w:rPr>
          <w:spacing w:val="-4"/>
        </w:rPr>
        <w:t>the</w:t>
      </w:r>
      <w:r>
        <w:rPr>
          <w:spacing w:val="-16"/>
        </w:rPr>
        <w:t xml:space="preserve"> </w:t>
      </w:r>
      <w:r>
        <w:rPr>
          <w:spacing w:val="-4"/>
        </w:rPr>
        <w:t>city</w:t>
      </w:r>
      <w:r>
        <w:rPr>
          <w:spacing w:val="-16"/>
        </w:rPr>
        <w:t xml:space="preserve"> </w:t>
      </w:r>
      <w:r>
        <w:rPr>
          <w:spacing w:val="-4"/>
        </w:rPr>
        <w:t>every</w:t>
      </w:r>
      <w:r>
        <w:rPr>
          <w:spacing w:val="-16"/>
        </w:rPr>
        <w:t xml:space="preserve"> </w:t>
      </w:r>
      <w:r>
        <w:rPr>
          <w:spacing w:val="-4"/>
        </w:rPr>
        <w:t>day.</w:t>
      </w:r>
      <w:r>
        <w:rPr>
          <w:spacing w:val="-16"/>
        </w:rPr>
        <w:t xml:space="preserve"> </w:t>
      </w:r>
      <w:r>
        <w:rPr>
          <w:spacing w:val="-4"/>
        </w:rPr>
        <w:t>Rail</w:t>
      </w:r>
      <w:r>
        <w:rPr>
          <w:spacing w:val="-16"/>
        </w:rPr>
        <w:t xml:space="preserve"> </w:t>
      </w:r>
      <w:r>
        <w:rPr>
          <w:spacing w:val="-4"/>
        </w:rPr>
        <w:t>services</w:t>
      </w:r>
      <w:r>
        <w:rPr>
          <w:spacing w:val="-16"/>
        </w:rPr>
        <w:t xml:space="preserve"> </w:t>
      </w:r>
      <w:r>
        <w:rPr>
          <w:spacing w:val="-4"/>
        </w:rPr>
        <w:t>are</w:t>
      </w:r>
      <w:r>
        <w:rPr>
          <w:spacing w:val="-16"/>
        </w:rPr>
        <w:t xml:space="preserve"> </w:t>
      </w:r>
      <w:r>
        <w:rPr>
          <w:spacing w:val="-4"/>
        </w:rPr>
        <w:t>operated</w:t>
      </w:r>
      <w:r>
        <w:rPr>
          <w:spacing w:val="-16"/>
        </w:rPr>
        <w:t xml:space="preserve"> </w:t>
      </w:r>
      <w:r>
        <w:rPr>
          <w:spacing w:val="-4"/>
        </w:rPr>
        <w:t xml:space="preserve">to </w:t>
      </w:r>
      <w:r>
        <w:rPr>
          <w:spacing w:val="-2"/>
        </w:rPr>
        <w:t>world</w:t>
      </w:r>
      <w:r>
        <w:rPr>
          <w:spacing w:val="-20"/>
        </w:rPr>
        <w:t xml:space="preserve"> </w:t>
      </w:r>
      <w:r>
        <w:rPr>
          <w:spacing w:val="-2"/>
        </w:rPr>
        <w:t>class</w:t>
      </w:r>
      <w:r>
        <w:rPr>
          <w:spacing w:val="-20"/>
        </w:rPr>
        <w:t xml:space="preserve"> </w:t>
      </w:r>
      <w:r>
        <w:rPr>
          <w:spacing w:val="-2"/>
        </w:rPr>
        <w:t>standards.</w:t>
      </w:r>
      <w:r>
        <w:rPr>
          <w:spacing w:val="-20"/>
        </w:rPr>
        <w:t xml:space="preserve"> </w:t>
      </w:r>
      <w:r>
        <w:rPr>
          <w:spacing w:val="-2"/>
        </w:rPr>
        <w:t>Metro-style</w:t>
      </w:r>
      <w:r>
        <w:rPr>
          <w:spacing w:val="-20"/>
        </w:rPr>
        <w:t xml:space="preserve"> </w:t>
      </w:r>
      <w:r>
        <w:rPr>
          <w:spacing w:val="-2"/>
        </w:rPr>
        <w:t>rapid</w:t>
      </w:r>
      <w:r>
        <w:rPr>
          <w:spacing w:val="-20"/>
        </w:rPr>
        <w:t xml:space="preserve"> </w:t>
      </w:r>
      <w:r>
        <w:rPr>
          <w:spacing w:val="-2"/>
        </w:rPr>
        <w:t>transit</w:t>
      </w:r>
      <w:r>
        <w:rPr>
          <w:spacing w:val="-20"/>
        </w:rPr>
        <w:t xml:space="preserve"> </w:t>
      </w:r>
      <w:r>
        <w:rPr>
          <w:spacing w:val="-2"/>
        </w:rPr>
        <w:t>services run</w:t>
      </w:r>
      <w:r>
        <w:rPr>
          <w:spacing w:val="-20"/>
        </w:rPr>
        <w:t xml:space="preserve"> </w:t>
      </w:r>
      <w:r>
        <w:rPr>
          <w:spacing w:val="-2"/>
        </w:rPr>
        <w:t>on</w:t>
      </w:r>
      <w:r>
        <w:rPr>
          <w:spacing w:val="-20"/>
        </w:rPr>
        <w:t xml:space="preserve"> </w:t>
      </w:r>
      <w:r>
        <w:rPr>
          <w:spacing w:val="-2"/>
        </w:rPr>
        <w:t>the</w:t>
      </w:r>
      <w:r>
        <w:rPr>
          <w:spacing w:val="-20"/>
        </w:rPr>
        <w:t xml:space="preserve"> </w:t>
      </w:r>
      <w:r>
        <w:rPr>
          <w:spacing w:val="-2"/>
        </w:rPr>
        <w:t>busiest</w:t>
      </w:r>
      <w:r>
        <w:rPr>
          <w:spacing w:val="-20"/>
        </w:rPr>
        <w:t xml:space="preserve"> </w:t>
      </w:r>
      <w:r>
        <w:rPr>
          <w:spacing w:val="-2"/>
        </w:rPr>
        <w:t>routes</w:t>
      </w:r>
      <w:r>
        <w:rPr>
          <w:spacing w:val="-20"/>
        </w:rPr>
        <w:t xml:space="preserve"> </w:t>
      </w:r>
      <w:r>
        <w:rPr>
          <w:spacing w:val="-2"/>
        </w:rPr>
        <w:t>and</w:t>
      </w:r>
      <w:r>
        <w:rPr>
          <w:spacing w:val="-20"/>
        </w:rPr>
        <w:t xml:space="preserve"> </w:t>
      </w:r>
      <w:r>
        <w:rPr>
          <w:spacing w:val="-2"/>
        </w:rPr>
        <w:t>Wynyard</w:t>
      </w:r>
      <w:r>
        <w:rPr>
          <w:spacing w:val="-20"/>
        </w:rPr>
        <w:t xml:space="preserve"> </w:t>
      </w:r>
      <w:r>
        <w:rPr>
          <w:spacing w:val="-2"/>
        </w:rPr>
        <w:t>and</w:t>
      </w:r>
      <w:r>
        <w:rPr>
          <w:spacing w:val="-20"/>
        </w:rPr>
        <w:t xml:space="preserve"> </w:t>
      </w:r>
      <w:r>
        <w:rPr>
          <w:spacing w:val="-2"/>
        </w:rPr>
        <w:t>Town</w:t>
      </w:r>
      <w:r>
        <w:rPr>
          <w:spacing w:val="-20"/>
        </w:rPr>
        <w:t xml:space="preserve"> </w:t>
      </w:r>
      <w:r>
        <w:rPr>
          <w:spacing w:val="-2"/>
        </w:rPr>
        <w:t xml:space="preserve">Hall </w:t>
      </w:r>
      <w:r>
        <w:rPr>
          <w:spacing w:val="-2"/>
          <w:w w:val="95"/>
        </w:rPr>
        <w:t>stations</w:t>
      </w:r>
      <w:r>
        <w:rPr>
          <w:spacing w:val="-12"/>
          <w:w w:val="95"/>
        </w:rPr>
        <w:t xml:space="preserve"> </w:t>
      </w:r>
      <w:r>
        <w:rPr>
          <w:spacing w:val="-2"/>
          <w:w w:val="95"/>
        </w:rPr>
        <w:t>have</w:t>
      </w:r>
      <w:r>
        <w:rPr>
          <w:spacing w:val="-12"/>
          <w:w w:val="95"/>
        </w:rPr>
        <w:t xml:space="preserve"> </w:t>
      </w:r>
      <w:r>
        <w:rPr>
          <w:spacing w:val="-2"/>
          <w:w w:val="95"/>
        </w:rPr>
        <w:t>been</w:t>
      </w:r>
      <w:r>
        <w:rPr>
          <w:spacing w:val="-12"/>
          <w:w w:val="95"/>
        </w:rPr>
        <w:t xml:space="preserve"> </w:t>
      </w:r>
      <w:r>
        <w:rPr>
          <w:spacing w:val="-2"/>
          <w:w w:val="95"/>
        </w:rPr>
        <w:t>redeveloped.</w:t>
      </w:r>
      <w:r>
        <w:rPr>
          <w:spacing w:val="-12"/>
          <w:w w:val="95"/>
        </w:rPr>
        <w:t xml:space="preserve"> </w:t>
      </w:r>
      <w:r>
        <w:rPr>
          <w:spacing w:val="-2"/>
          <w:w w:val="95"/>
        </w:rPr>
        <w:t>Fast</w:t>
      </w:r>
      <w:r>
        <w:rPr>
          <w:spacing w:val="-12"/>
          <w:w w:val="95"/>
        </w:rPr>
        <w:t xml:space="preserve"> </w:t>
      </w:r>
      <w:r>
        <w:rPr>
          <w:spacing w:val="-2"/>
          <w:w w:val="95"/>
        </w:rPr>
        <w:t>and</w:t>
      </w:r>
      <w:r>
        <w:rPr>
          <w:spacing w:val="-12"/>
          <w:w w:val="95"/>
        </w:rPr>
        <w:t xml:space="preserve"> </w:t>
      </w:r>
      <w:r>
        <w:rPr>
          <w:spacing w:val="-2"/>
          <w:w w:val="95"/>
        </w:rPr>
        <w:t>reliable</w:t>
      </w:r>
      <w:r>
        <w:rPr>
          <w:spacing w:val="-12"/>
          <w:w w:val="95"/>
        </w:rPr>
        <w:t xml:space="preserve"> </w:t>
      </w:r>
      <w:r>
        <w:rPr>
          <w:spacing w:val="-2"/>
          <w:w w:val="95"/>
        </w:rPr>
        <w:t>express services</w:t>
      </w:r>
      <w:r>
        <w:rPr>
          <w:spacing w:val="-11"/>
          <w:w w:val="95"/>
        </w:rPr>
        <w:t xml:space="preserve"> </w:t>
      </w:r>
      <w:r>
        <w:rPr>
          <w:spacing w:val="-2"/>
          <w:w w:val="95"/>
        </w:rPr>
        <w:t>have</w:t>
      </w:r>
      <w:r>
        <w:rPr>
          <w:spacing w:val="-11"/>
          <w:w w:val="95"/>
        </w:rPr>
        <w:t xml:space="preserve"> </w:t>
      </w:r>
      <w:r>
        <w:rPr>
          <w:spacing w:val="-2"/>
          <w:w w:val="95"/>
        </w:rPr>
        <w:t>opened</w:t>
      </w:r>
      <w:r>
        <w:rPr>
          <w:spacing w:val="-11"/>
          <w:w w:val="95"/>
        </w:rPr>
        <w:t xml:space="preserve"> </w:t>
      </w:r>
      <w:r>
        <w:rPr>
          <w:spacing w:val="-2"/>
          <w:w w:val="95"/>
        </w:rPr>
        <w:t>up</w:t>
      </w:r>
      <w:r>
        <w:rPr>
          <w:spacing w:val="-11"/>
          <w:w w:val="95"/>
        </w:rPr>
        <w:t xml:space="preserve"> </w:t>
      </w:r>
      <w:r>
        <w:rPr>
          <w:spacing w:val="-2"/>
          <w:w w:val="95"/>
        </w:rPr>
        <w:t>new</w:t>
      </w:r>
      <w:r>
        <w:rPr>
          <w:spacing w:val="-11"/>
          <w:w w:val="95"/>
        </w:rPr>
        <w:t xml:space="preserve"> </w:t>
      </w:r>
      <w:r>
        <w:rPr>
          <w:spacing w:val="-2"/>
          <w:w w:val="95"/>
        </w:rPr>
        <w:t>travel</w:t>
      </w:r>
      <w:r>
        <w:rPr>
          <w:spacing w:val="-11"/>
          <w:w w:val="95"/>
        </w:rPr>
        <w:t xml:space="preserve"> </w:t>
      </w:r>
      <w:r>
        <w:rPr>
          <w:spacing w:val="-2"/>
          <w:w w:val="95"/>
        </w:rPr>
        <w:t>options</w:t>
      </w:r>
      <w:r>
        <w:rPr>
          <w:spacing w:val="-11"/>
          <w:w w:val="95"/>
        </w:rPr>
        <w:t xml:space="preserve"> </w:t>
      </w:r>
      <w:r>
        <w:rPr>
          <w:spacing w:val="-2"/>
          <w:w w:val="95"/>
        </w:rPr>
        <w:t>from</w:t>
      </w:r>
      <w:r>
        <w:rPr>
          <w:spacing w:val="-12"/>
          <w:w w:val="95"/>
        </w:rPr>
        <w:t xml:space="preserve"> </w:t>
      </w:r>
      <w:r>
        <w:rPr>
          <w:spacing w:val="-2"/>
          <w:w w:val="95"/>
        </w:rPr>
        <w:t>the</w:t>
      </w:r>
      <w:r>
        <w:rPr>
          <w:spacing w:val="-11"/>
          <w:w w:val="95"/>
        </w:rPr>
        <w:t xml:space="preserve"> </w:t>
      </w:r>
      <w:r>
        <w:rPr>
          <w:spacing w:val="-2"/>
          <w:w w:val="95"/>
        </w:rPr>
        <w:t>outer</w:t>
      </w:r>
    </w:p>
    <w:p w:rsidR="002C1123" w:rsidRDefault="00F22F94">
      <w:pPr>
        <w:pStyle w:val="BodyText"/>
        <w:spacing w:before="106"/>
        <w:ind w:left="212"/>
      </w:pPr>
      <w:r>
        <w:br w:type="column"/>
      </w:r>
      <w:r>
        <w:rPr>
          <w:w w:val="95"/>
        </w:rPr>
        <w:t>suburbs</w:t>
      </w:r>
      <w:r>
        <w:rPr>
          <w:spacing w:val="-16"/>
          <w:w w:val="95"/>
        </w:rPr>
        <w:t xml:space="preserve"> </w:t>
      </w:r>
      <w:r>
        <w:rPr>
          <w:w w:val="95"/>
        </w:rPr>
        <w:t>and</w:t>
      </w:r>
      <w:r>
        <w:rPr>
          <w:spacing w:val="-15"/>
          <w:w w:val="95"/>
        </w:rPr>
        <w:t xml:space="preserve"> </w:t>
      </w:r>
      <w:r>
        <w:rPr>
          <w:spacing w:val="-2"/>
          <w:w w:val="95"/>
        </w:rPr>
        <w:t>beyond.</w:t>
      </w:r>
    </w:p>
    <w:p w:rsidR="002C1123" w:rsidRDefault="00F22F94">
      <w:pPr>
        <w:pStyle w:val="BodyText"/>
        <w:spacing w:before="152" w:line="249" w:lineRule="auto"/>
        <w:ind w:left="212" w:right="240"/>
      </w:pPr>
      <w:r>
        <w:rPr>
          <w:spacing w:val="-2"/>
        </w:rPr>
        <w:t>The</w:t>
      </w:r>
      <w:r>
        <w:rPr>
          <w:spacing w:val="-19"/>
        </w:rPr>
        <w:t xml:space="preserve"> </w:t>
      </w:r>
      <w:r>
        <w:rPr>
          <w:spacing w:val="-2"/>
        </w:rPr>
        <w:t>CBD</w:t>
      </w:r>
      <w:r>
        <w:rPr>
          <w:spacing w:val="-19"/>
        </w:rPr>
        <w:t xml:space="preserve"> </w:t>
      </w:r>
      <w:r>
        <w:rPr>
          <w:spacing w:val="-2"/>
        </w:rPr>
        <w:t>is</w:t>
      </w:r>
      <w:r>
        <w:rPr>
          <w:spacing w:val="-19"/>
        </w:rPr>
        <w:t xml:space="preserve"> </w:t>
      </w:r>
      <w:r>
        <w:rPr>
          <w:spacing w:val="-2"/>
        </w:rPr>
        <w:t>a</w:t>
      </w:r>
      <w:r>
        <w:rPr>
          <w:spacing w:val="-19"/>
        </w:rPr>
        <w:t xml:space="preserve"> </w:t>
      </w:r>
      <w:r>
        <w:rPr>
          <w:spacing w:val="-2"/>
        </w:rPr>
        <w:t>world</w:t>
      </w:r>
      <w:r>
        <w:rPr>
          <w:spacing w:val="-19"/>
        </w:rPr>
        <w:t xml:space="preserve"> </w:t>
      </w:r>
      <w:r>
        <w:rPr>
          <w:spacing w:val="-2"/>
        </w:rPr>
        <w:t>class</w:t>
      </w:r>
      <w:r>
        <w:rPr>
          <w:spacing w:val="-19"/>
        </w:rPr>
        <w:t xml:space="preserve"> </w:t>
      </w:r>
      <w:r>
        <w:rPr>
          <w:spacing w:val="-2"/>
        </w:rPr>
        <w:t>location</w:t>
      </w:r>
      <w:r>
        <w:rPr>
          <w:spacing w:val="-19"/>
        </w:rPr>
        <w:t xml:space="preserve"> </w:t>
      </w:r>
      <w:r>
        <w:rPr>
          <w:spacing w:val="-2"/>
        </w:rPr>
        <w:t>for</w:t>
      </w:r>
      <w:r>
        <w:rPr>
          <w:spacing w:val="-19"/>
        </w:rPr>
        <w:t xml:space="preserve"> </w:t>
      </w:r>
      <w:r>
        <w:rPr>
          <w:spacing w:val="-2"/>
        </w:rPr>
        <w:t>work</w:t>
      </w:r>
      <w:r>
        <w:rPr>
          <w:spacing w:val="-19"/>
        </w:rPr>
        <w:t xml:space="preserve"> </w:t>
      </w:r>
      <w:r>
        <w:rPr>
          <w:spacing w:val="-2"/>
        </w:rPr>
        <w:t>and</w:t>
      </w:r>
      <w:r>
        <w:rPr>
          <w:spacing w:val="-19"/>
        </w:rPr>
        <w:t xml:space="preserve"> </w:t>
      </w:r>
      <w:r>
        <w:rPr>
          <w:spacing w:val="-2"/>
        </w:rPr>
        <w:t xml:space="preserve">play </w:t>
      </w:r>
      <w:r>
        <w:rPr>
          <w:spacing w:val="-2"/>
          <w:w w:val="95"/>
        </w:rPr>
        <w:t>because</w:t>
      </w:r>
      <w:r>
        <w:rPr>
          <w:spacing w:val="-17"/>
          <w:w w:val="95"/>
        </w:rPr>
        <w:t xml:space="preserve"> </w:t>
      </w:r>
      <w:r>
        <w:rPr>
          <w:spacing w:val="-2"/>
          <w:w w:val="95"/>
        </w:rPr>
        <w:t>traffic</w:t>
      </w:r>
      <w:r>
        <w:rPr>
          <w:spacing w:val="-17"/>
          <w:w w:val="95"/>
        </w:rPr>
        <w:t xml:space="preserve"> </w:t>
      </w:r>
      <w:r>
        <w:rPr>
          <w:spacing w:val="-2"/>
          <w:w w:val="95"/>
        </w:rPr>
        <w:t>no</w:t>
      </w:r>
      <w:r>
        <w:rPr>
          <w:spacing w:val="-17"/>
          <w:w w:val="95"/>
        </w:rPr>
        <w:t xml:space="preserve"> </w:t>
      </w:r>
      <w:r>
        <w:rPr>
          <w:spacing w:val="-2"/>
          <w:w w:val="95"/>
        </w:rPr>
        <w:t>longer</w:t>
      </w:r>
      <w:r>
        <w:rPr>
          <w:spacing w:val="-17"/>
          <w:w w:val="95"/>
        </w:rPr>
        <w:t xml:space="preserve"> </w:t>
      </w:r>
      <w:r>
        <w:rPr>
          <w:spacing w:val="-2"/>
          <w:w w:val="95"/>
        </w:rPr>
        <w:t>dominates.</w:t>
      </w:r>
      <w:r>
        <w:rPr>
          <w:spacing w:val="-17"/>
          <w:w w:val="95"/>
        </w:rPr>
        <w:t xml:space="preserve"> </w:t>
      </w:r>
      <w:r>
        <w:rPr>
          <w:spacing w:val="-2"/>
          <w:w w:val="95"/>
        </w:rPr>
        <w:t>Buses</w:t>
      </w:r>
      <w:r>
        <w:rPr>
          <w:spacing w:val="-17"/>
          <w:w w:val="95"/>
        </w:rPr>
        <w:t xml:space="preserve"> </w:t>
      </w:r>
      <w:r>
        <w:rPr>
          <w:spacing w:val="-2"/>
          <w:w w:val="95"/>
        </w:rPr>
        <w:t>have</w:t>
      </w:r>
      <w:r>
        <w:rPr>
          <w:spacing w:val="-17"/>
          <w:w w:val="95"/>
        </w:rPr>
        <w:t xml:space="preserve"> </w:t>
      </w:r>
      <w:r>
        <w:rPr>
          <w:spacing w:val="-2"/>
          <w:w w:val="95"/>
        </w:rPr>
        <w:t xml:space="preserve">largely </w:t>
      </w:r>
      <w:r>
        <w:rPr>
          <w:spacing w:val="-2"/>
        </w:rPr>
        <w:t>been</w:t>
      </w:r>
      <w:r>
        <w:rPr>
          <w:spacing w:val="-18"/>
        </w:rPr>
        <w:t xml:space="preserve"> </w:t>
      </w:r>
      <w:r>
        <w:rPr>
          <w:spacing w:val="-2"/>
        </w:rPr>
        <w:t>removed</w:t>
      </w:r>
      <w:r>
        <w:rPr>
          <w:spacing w:val="-18"/>
        </w:rPr>
        <w:t xml:space="preserve"> </w:t>
      </w:r>
      <w:r>
        <w:rPr>
          <w:spacing w:val="-2"/>
        </w:rPr>
        <w:t>from</w:t>
      </w:r>
      <w:r>
        <w:rPr>
          <w:spacing w:val="-19"/>
        </w:rPr>
        <w:t xml:space="preserve"> </w:t>
      </w:r>
      <w:r>
        <w:rPr>
          <w:spacing w:val="-2"/>
        </w:rPr>
        <w:t>the</w:t>
      </w:r>
      <w:r>
        <w:rPr>
          <w:spacing w:val="-18"/>
        </w:rPr>
        <w:t xml:space="preserve"> </w:t>
      </w:r>
      <w:r>
        <w:rPr>
          <w:spacing w:val="-2"/>
        </w:rPr>
        <w:t>streets</w:t>
      </w:r>
      <w:r>
        <w:rPr>
          <w:spacing w:val="-18"/>
        </w:rPr>
        <w:t xml:space="preserve"> </w:t>
      </w:r>
      <w:r>
        <w:rPr>
          <w:spacing w:val="-2"/>
        </w:rPr>
        <w:t>by</w:t>
      </w:r>
      <w:r>
        <w:rPr>
          <w:spacing w:val="-18"/>
        </w:rPr>
        <w:t xml:space="preserve"> </w:t>
      </w:r>
      <w:r>
        <w:rPr>
          <w:spacing w:val="-2"/>
        </w:rPr>
        <w:t>the</w:t>
      </w:r>
      <w:r>
        <w:rPr>
          <w:spacing w:val="-18"/>
        </w:rPr>
        <w:t xml:space="preserve"> </w:t>
      </w:r>
      <w:r>
        <w:rPr>
          <w:spacing w:val="-2"/>
        </w:rPr>
        <w:t>construction</w:t>
      </w:r>
      <w:r>
        <w:rPr>
          <w:spacing w:val="-18"/>
        </w:rPr>
        <w:t xml:space="preserve"> </w:t>
      </w:r>
      <w:r>
        <w:rPr>
          <w:spacing w:val="-2"/>
        </w:rPr>
        <w:t xml:space="preserve">of </w:t>
      </w:r>
      <w:r>
        <w:t>the</w:t>
      </w:r>
      <w:r>
        <w:rPr>
          <w:spacing w:val="-19"/>
        </w:rPr>
        <w:t xml:space="preserve"> </w:t>
      </w:r>
      <w:r>
        <w:t>underground</w:t>
      </w:r>
      <w:r>
        <w:rPr>
          <w:spacing w:val="-19"/>
        </w:rPr>
        <w:t xml:space="preserve"> </w:t>
      </w:r>
      <w:r>
        <w:t>bus</w:t>
      </w:r>
      <w:r>
        <w:rPr>
          <w:spacing w:val="-19"/>
        </w:rPr>
        <w:t xml:space="preserve"> </w:t>
      </w:r>
      <w:r>
        <w:t>rapid</w:t>
      </w:r>
      <w:r>
        <w:rPr>
          <w:spacing w:val="-19"/>
        </w:rPr>
        <w:t xml:space="preserve"> </w:t>
      </w:r>
      <w:r>
        <w:t>transit</w:t>
      </w:r>
      <w:r>
        <w:rPr>
          <w:spacing w:val="-19"/>
        </w:rPr>
        <w:t xml:space="preserve"> </w:t>
      </w:r>
      <w:r>
        <w:t>project,</w:t>
      </w:r>
      <w:r>
        <w:rPr>
          <w:spacing w:val="-19"/>
        </w:rPr>
        <w:t xml:space="preserve"> </w:t>
      </w:r>
      <w:r>
        <w:t>which</w:t>
      </w:r>
      <w:r>
        <w:rPr>
          <w:spacing w:val="-19"/>
        </w:rPr>
        <w:t xml:space="preserve"> </w:t>
      </w:r>
      <w:r>
        <w:t>was completed</w:t>
      </w:r>
      <w:r>
        <w:rPr>
          <w:spacing w:val="-7"/>
        </w:rPr>
        <w:t xml:space="preserve"> </w:t>
      </w:r>
      <w:r>
        <w:t>10</w:t>
      </w:r>
      <w:r>
        <w:rPr>
          <w:spacing w:val="-7"/>
        </w:rPr>
        <w:t xml:space="preserve"> </w:t>
      </w:r>
      <w:r>
        <w:t>years</w:t>
      </w:r>
      <w:r>
        <w:rPr>
          <w:spacing w:val="-7"/>
        </w:rPr>
        <w:t xml:space="preserve"> </w:t>
      </w:r>
      <w:r>
        <w:t>ago.</w:t>
      </w:r>
    </w:p>
    <w:p w:rsidR="002C1123" w:rsidRDefault="00F22F94">
      <w:pPr>
        <w:pStyle w:val="BodyText"/>
        <w:spacing w:before="146" w:line="249" w:lineRule="auto"/>
        <w:ind w:left="212" w:right="14"/>
      </w:pPr>
      <w:r>
        <w:rPr>
          <w:spacing w:val="-2"/>
          <w:w w:val="95"/>
        </w:rPr>
        <w:t>The</w:t>
      </w:r>
      <w:r>
        <w:rPr>
          <w:spacing w:val="-12"/>
          <w:w w:val="95"/>
        </w:rPr>
        <w:t xml:space="preserve"> </w:t>
      </w:r>
      <w:r>
        <w:rPr>
          <w:spacing w:val="-2"/>
          <w:w w:val="95"/>
        </w:rPr>
        <w:t>enduring</w:t>
      </w:r>
      <w:r>
        <w:rPr>
          <w:spacing w:val="-12"/>
          <w:w w:val="95"/>
        </w:rPr>
        <w:t xml:space="preserve"> </w:t>
      </w:r>
      <w:r>
        <w:rPr>
          <w:spacing w:val="-2"/>
          <w:w w:val="95"/>
        </w:rPr>
        <w:t>appeal</w:t>
      </w:r>
      <w:r>
        <w:rPr>
          <w:spacing w:val="-12"/>
          <w:w w:val="95"/>
        </w:rPr>
        <w:t xml:space="preserve"> </w:t>
      </w:r>
      <w:r>
        <w:rPr>
          <w:spacing w:val="-2"/>
          <w:w w:val="95"/>
        </w:rPr>
        <w:t>of</w:t>
      </w:r>
      <w:r>
        <w:rPr>
          <w:spacing w:val="-12"/>
          <w:w w:val="95"/>
        </w:rPr>
        <w:t xml:space="preserve"> </w:t>
      </w:r>
      <w:r>
        <w:rPr>
          <w:spacing w:val="-2"/>
          <w:w w:val="95"/>
        </w:rPr>
        <w:t>our</w:t>
      </w:r>
      <w:r>
        <w:rPr>
          <w:spacing w:val="-12"/>
          <w:w w:val="95"/>
        </w:rPr>
        <w:t xml:space="preserve"> </w:t>
      </w:r>
      <w:r>
        <w:rPr>
          <w:spacing w:val="-2"/>
          <w:w w:val="95"/>
        </w:rPr>
        <w:t>global</w:t>
      </w:r>
      <w:r>
        <w:rPr>
          <w:spacing w:val="-12"/>
          <w:w w:val="95"/>
        </w:rPr>
        <w:t xml:space="preserve"> </w:t>
      </w:r>
      <w:r>
        <w:rPr>
          <w:spacing w:val="-2"/>
          <w:w w:val="95"/>
        </w:rPr>
        <w:t>city</w:t>
      </w:r>
      <w:r>
        <w:rPr>
          <w:spacing w:val="-12"/>
          <w:w w:val="95"/>
        </w:rPr>
        <w:t xml:space="preserve"> </w:t>
      </w:r>
      <w:r>
        <w:rPr>
          <w:spacing w:val="-2"/>
          <w:w w:val="95"/>
        </w:rPr>
        <w:t>is</w:t>
      </w:r>
      <w:r>
        <w:rPr>
          <w:spacing w:val="-12"/>
          <w:w w:val="95"/>
        </w:rPr>
        <w:t xml:space="preserve"> </w:t>
      </w:r>
      <w:r>
        <w:rPr>
          <w:spacing w:val="-2"/>
          <w:w w:val="95"/>
        </w:rPr>
        <w:t>supported</w:t>
      </w:r>
      <w:r>
        <w:rPr>
          <w:spacing w:val="-12"/>
          <w:w w:val="95"/>
        </w:rPr>
        <w:t xml:space="preserve"> </w:t>
      </w:r>
      <w:r>
        <w:rPr>
          <w:spacing w:val="-2"/>
          <w:w w:val="95"/>
        </w:rPr>
        <w:t>by</w:t>
      </w:r>
      <w:r>
        <w:rPr>
          <w:spacing w:val="-12"/>
          <w:w w:val="95"/>
        </w:rPr>
        <w:t xml:space="preserve"> </w:t>
      </w:r>
      <w:r>
        <w:rPr>
          <w:spacing w:val="-2"/>
          <w:w w:val="95"/>
        </w:rPr>
        <w:t xml:space="preserve">its </w:t>
      </w:r>
      <w:r>
        <w:t>fusion</w:t>
      </w:r>
      <w:r>
        <w:rPr>
          <w:spacing w:val="-2"/>
        </w:rPr>
        <w:t xml:space="preserve"> </w:t>
      </w:r>
      <w:r>
        <w:t>of</w:t>
      </w:r>
      <w:r>
        <w:rPr>
          <w:spacing w:val="-2"/>
        </w:rPr>
        <w:t xml:space="preserve"> </w:t>
      </w:r>
      <w:r>
        <w:t>culture</w:t>
      </w:r>
      <w:r>
        <w:rPr>
          <w:spacing w:val="-2"/>
        </w:rPr>
        <w:t xml:space="preserve"> </w:t>
      </w:r>
      <w:r>
        <w:t>and</w:t>
      </w:r>
      <w:r>
        <w:rPr>
          <w:spacing w:val="-2"/>
        </w:rPr>
        <w:t xml:space="preserve"> </w:t>
      </w:r>
      <w:r>
        <w:t>business.</w:t>
      </w:r>
      <w:r>
        <w:rPr>
          <w:spacing w:val="-2"/>
        </w:rPr>
        <w:t xml:space="preserve"> </w:t>
      </w:r>
      <w:r>
        <w:t>Barangaroo</w:t>
      </w:r>
      <w:r>
        <w:rPr>
          <w:spacing w:val="-2"/>
        </w:rPr>
        <w:t xml:space="preserve"> </w:t>
      </w:r>
      <w:r>
        <w:t>and</w:t>
      </w:r>
      <w:r>
        <w:rPr>
          <w:spacing w:val="-2"/>
        </w:rPr>
        <w:t xml:space="preserve"> </w:t>
      </w:r>
      <w:r>
        <w:t xml:space="preserve">the </w:t>
      </w:r>
      <w:r>
        <w:rPr>
          <w:spacing w:val="-2"/>
          <w:w w:val="95"/>
        </w:rPr>
        <w:t>new</w:t>
      </w:r>
      <w:r>
        <w:rPr>
          <w:spacing w:val="-17"/>
          <w:w w:val="95"/>
        </w:rPr>
        <w:t xml:space="preserve"> </w:t>
      </w:r>
      <w:r>
        <w:rPr>
          <w:spacing w:val="-2"/>
          <w:w w:val="95"/>
        </w:rPr>
        <w:t>convention,</w:t>
      </w:r>
      <w:r>
        <w:rPr>
          <w:spacing w:val="-17"/>
          <w:w w:val="95"/>
        </w:rPr>
        <w:t xml:space="preserve"> </w:t>
      </w:r>
      <w:r>
        <w:rPr>
          <w:spacing w:val="-2"/>
          <w:w w:val="95"/>
        </w:rPr>
        <w:t>exhibition</w:t>
      </w:r>
      <w:r>
        <w:rPr>
          <w:spacing w:val="-17"/>
          <w:w w:val="95"/>
        </w:rPr>
        <w:t xml:space="preserve"> </w:t>
      </w:r>
      <w:r>
        <w:rPr>
          <w:spacing w:val="-2"/>
          <w:w w:val="95"/>
        </w:rPr>
        <w:t>and</w:t>
      </w:r>
      <w:r>
        <w:rPr>
          <w:spacing w:val="-17"/>
          <w:w w:val="95"/>
        </w:rPr>
        <w:t xml:space="preserve"> </w:t>
      </w:r>
      <w:r>
        <w:rPr>
          <w:spacing w:val="-2"/>
          <w:w w:val="95"/>
        </w:rPr>
        <w:t>entertainment</w:t>
      </w:r>
      <w:r>
        <w:rPr>
          <w:spacing w:val="-17"/>
          <w:w w:val="95"/>
        </w:rPr>
        <w:t xml:space="preserve"> </w:t>
      </w:r>
      <w:r>
        <w:rPr>
          <w:spacing w:val="-2"/>
          <w:w w:val="95"/>
        </w:rPr>
        <w:t>facilities</w:t>
      </w:r>
      <w:r>
        <w:rPr>
          <w:spacing w:val="-17"/>
          <w:w w:val="95"/>
        </w:rPr>
        <w:t xml:space="preserve"> </w:t>
      </w:r>
      <w:r>
        <w:rPr>
          <w:spacing w:val="-2"/>
          <w:w w:val="95"/>
        </w:rPr>
        <w:t xml:space="preserve">at </w:t>
      </w:r>
      <w:r>
        <w:rPr>
          <w:spacing w:val="-4"/>
        </w:rPr>
        <w:t>Darling</w:t>
      </w:r>
      <w:r>
        <w:rPr>
          <w:spacing w:val="-16"/>
        </w:rPr>
        <w:t xml:space="preserve"> </w:t>
      </w:r>
      <w:r>
        <w:rPr>
          <w:spacing w:val="-4"/>
        </w:rPr>
        <w:t>Harbour</w:t>
      </w:r>
      <w:r>
        <w:rPr>
          <w:spacing w:val="-16"/>
        </w:rPr>
        <w:t xml:space="preserve"> </w:t>
      </w:r>
      <w:r>
        <w:rPr>
          <w:spacing w:val="-4"/>
        </w:rPr>
        <w:t>have</w:t>
      </w:r>
      <w:r>
        <w:rPr>
          <w:spacing w:val="-16"/>
        </w:rPr>
        <w:t xml:space="preserve"> </w:t>
      </w:r>
      <w:r>
        <w:rPr>
          <w:spacing w:val="-4"/>
        </w:rPr>
        <w:t>been</w:t>
      </w:r>
      <w:r>
        <w:rPr>
          <w:spacing w:val="-16"/>
        </w:rPr>
        <w:t xml:space="preserve"> </w:t>
      </w:r>
      <w:r>
        <w:rPr>
          <w:spacing w:val="-4"/>
        </w:rPr>
        <w:t>a</w:t>
      </w:r>
      <w:r>
        <w:rPr>
          <w:spacing w:val="-16"/>
        </w:rPr>
        <w:t xml:space="preserve"> </w:t>
      </w:r>
      <w:r>
        <w:rPr>
          <w:spacing w:val="-4"/>
        </w:rPr>
        <w:t>triumph.</w:t>
      </w:r>
      <w:r>
        <w:rPr>
          <w:spacing w:val="-16"/>
        </w:rPr>
        <w:t xml:space="preserve"> </w:t>
      </w:r>
      <w:r>
        <w:rPr>
          <w:spacing w:val="-4"/>
        </w:rPr>
        <w:t>The</w:t>
      </w:r>
      <w:r>
        <w:rPr>
          <w:spacing w:val="-16"/>
        </w:rPr>
        <w:t xml:space="preserve"> </w:t>
      </w:r>
      <w:r>
        <w:rPr>
          <w:spacing w:val="-4"/>
        </w:rPr>
        <w:t>Arts</w:t>
      </w:r>
      <w:r>
        <w:rPr>
          <w:spacing w:val="-16"/>
        </w:rPr>
        <w:t xml:space="preserve"> </w:t>
      </w:r>
      <w:r>
        <w:rPr>
          <w:spacing w:val="-4"/>
        </w:rPr>
        <w:t xml:space="preserve">Ribbon </w:t>
      </w:r>
      <w:r>
        <w:rPr>
          <w:spacing w:val="-2"/>
        </w:rPr>
        <w:t>around</w:t>
      </w:r>
      <w:r>
        <w:rPr>
          <w:spacing w:val="-19"/>
        </w:rPr>
        <w:t xml:space="preserve"> </w:t>
      </w:r>
      <w:r>
        <w:rPr>
          <w:spacing w:val="-2"/>
        </w:rPr>
        <w:t>the</w:t>
      </w:r>
      <w:r>
        <w:rPr>
          <w:spacing w:val="-19"/>
        </w:rPr>
        <w:t xml:space="preserve"> </w:t>
      </w:r>
      <w:r>
        <w:rPr>
          <w:spacing w:val="-2"/>
        </w:rPr>
        <w:t>CBD</w:t>
      </w:r>
      <w:r>
        <w:rPr>
          <w:spacing w:val="-19"/>
        </w:rPr>
        <w:t xml:space="preserve"> </w:t>
      </w:r>
      <w:r>
        <w:rPr>
          <w:spacing w:val="-2"/>
        </w:rPr>
        <w:t>provides</w:t>
      </w:r>
      <w:r>
        <w:rPr>
          <w:spacing w:val="-19"/>
        </w:rPr>
        <w:t xml:space="preserve"> </w:t>
      </w:r>
      <w:r>
        <w:rPr>
          <w:spacing w:val="-2"/>
        </w:rPr>
        <w:t>a</w:t>
      </w:r>
      <w:r>
        <w:rPr>
          <w:spacing w:val="-19"/>
        </w:rPr>
        <w:t xml:space="preserve"> </w:t>
      </w:r>
      <w:r>
        <w:rPr>
          <w:spacing w:val="-2"/>
        </w:rPr>
        <w:t>wide</w:t>
      </w:r>
      <w:r>
        <w:rPr>
          <w:spacing w:val="-19"/>
        </w:rPr>
        <w:t xml:space="preserve"> </w:t>
      </w:r>
      <w:r>
        <w:rPr>
          <w:spacing w:val="-2"/>
        </w:rPr>
        <w:t>range</w:t>
      </w:r>
      <w:r>
        <w:rPr>
          <w:spacing w:val="-19"/>
        </w:rPr>
        <w:t xml:space="preserve"> </w:t>
      </w:r>
      <w:r>
        <w:rPr>
          <w:spacing w:val="-2"/>
        </w:rPr>
        <w:t>of</w:t>
      </w:r>
      <w:r>
        <w:rPr>
          <w:spacing w:val="-19"/>
        </w:rPr>
        <w:t xml:space="preserve"> </w:t>
      </w:r>
      <w:r>
        <w:rPr>
          <w:spacing w:val="-2"/>
        </w:rPr>
        <w:t>attractions</w:t>
      </w:r>
    </w:p>
    <w:p w:rsidR="002C1123" w:rsidRDefault="00F22F94">
      <w:pPr>
        <w:pStyle w:val="BodyText"/>
        <w:spacing w:before="4" w:line="249" w:lineRule="auto"/>
        <w:ind w:left="212" w:right="384"/>
      </w:pPr>
      <w:r>
        <w:rPr>
          <w:w w:val="95"/>
        </w:rPr>
        <w:t>for</w:t>
      </w:r>
      <w:r>
        <w:rPr>
          <w:spacing w:val="-18"/>
          <w:w w:val="95"/>
        </w:rPr>
        <w:t xml:space="preserve"> </w:t>
      </w:r>
      <w:r>
        <w:rPr>
          <w:w w:val="95"/>
        </w:rPr>
        <w:t>residents</w:t>
      </w:r>
      <w:r>
        <w:rPr>
          <w:spacing w:val="-17"/>
          <w:w w:val="95"/>
        </w:rPr>
        <w:t xml:space="preserve"> </w:t>
      </w:r>
      <w:r>
        <w:rPr>
          <w:w w:val="95"/>
        </w:rPr>
        <w:t>and</w:t>
      </w:r>
      <w:r>
        <w:rPr>
          <w:spacing w:val="-17"/>
          <w:w w:val="95"/>
        </w:rPr>
        <w:t xml:space="preserve"> </w:t>
      </w:r>
      <w:r>
        <w:rPr>
          <w:w w:val="95"/>
        </w:rPr>
        <w:t>has</w:t>
      </w:r>
      <w:r>
        <w:rPr>
          <w:spacing w:val="-17"/>
          <w:w w:val="95"/>
        </w:rPr>
        <w:t xml:space="preserve"> </w:t>
      </w:r>
      <w:r>
        <w:rPr>
          <w:w w:val="95"/>
        </w:rPr>
        <w:t>helped</w:t>
      </w:r>
      <w:r>
        <w:rPr>
          <w:spacing w:val="-18"/>
          <w:w w:val="95"/>
        </w:rPr>
        <w:t xml:space="preserve"> </w:t>
      </w:r>
      <w:r>
        <w:rPr>
          <w:w w:val="95"/>
        </w:rPr>
        <w:t>support</w:t>
      </w:r>
      <w:r>
        <w:rPr>
          <w:spacing w:val="-17"/>
          <w:w w:val="95"/>
        </w:rPr>
        <w:t xml:space="preserve"> </w:t>
      </w:r>
      <w:r>
        <w:rPr>
          <w:w w:val="95"/>
        </w:rPr>
        <w:t>a</w:t>
      </w:r>
      <w:r>
        <w:rPr>
          <w:spacing w:val="-17"/>
          <w:w w:val="95"/>
        </w:rPr>
        <w:t xml:space="preserve"> </w:t>
      </w:r>
      <w:r>
        <w:rPr>
          <w:w w:val="95"/>
        </w:rPr>
        <w:t>doubling</w:t>
      </w:r>
      <w:r>
        <w:rPr>
          <w:spacing w:val="-17"/>
          <w:w w:val="95"/>
        </w:rPr>
        <w:t xml:space="preserve"> </w:t>
      </w:r>
      <w:r>
        <w:rPr>
          <w:w w:val="95"/>
        </w:rPr>
        <w:t>of</w:t>
      </w:r>
      <w:r>
        <w:rPr>
          <w:spacing w:val="-17"/>
          <w:w w:val="95"/>
        </w:rPr>
        <w:t xml:space="preserve"> </w:t>
      </w:r>
      <w:r>
        <w:rPr>
          <w:w w:val="95"/>
        </w:rPr>
        <w:t xml:space="preserve">the </w:t>
      </w:r>
      <w:r>
        <w:t>visitor</w:t>
      </w:r>
      <w:r>
        <w:rPr>
          <w:spacing w:val="-20"/>
        </w:rPr>
        <w:t xml:space="preserve"> </w:t>
      </w:r>
      <w:r>
        <w:t>economy.</w:t>
      </w:r>
    </w:p>
    <w:p w:rsidR="002C1123" w:rsidRDefault="00F22F94">
      <w:pPr>
        <w:pStyle w:val="BodyText"/>
        <w:spacing w:before="143" w:line="249" w:lineRule="auto"/>
        <w:ind w:left="212" w:right="-5"/>
      </w:pPr>
      <w:r>
        <w:rPr>
          <w:spacing w:val="-2"/>
        </w:rPr>
        <w:t>New</w:t>
      </w:r>
      <w:r>
        <w:rPr>
          <w:spacing w:val="-20"/>
        </w:rPr>
        <w:t xml:space="preserve"> </w:t>
      </w:r>
      <w:r>
        <w:rPr>
          <w:spacing w:val="-2"/>
        </w:rPr>
        <w:t>high</w:t>
      </w:r>
      <w:r>
        <w:rPr>
          <w:spacing w:val="-20"/>
        </w:rPr>
        <w:t xml:space="preserve"> </w:t>
      </w:r>
      <w:r>
        <w:rPr>
          <w:spacing w:val="-2"/>
        </w:rPr>
        <w:t>density</w:t>
      </w:r>
      <w:r>
        <w:rPr>
          <w:spacing w:val="-20"/>
        </w:rPr>
        <w:t xml:space="preserve"> </w:t>
      </w:r>
      <w:r>
        <w:rPr>
          <w:spacing w:val="-2"/>
        </w:rPr>
        <w:t>communities</w:t>
      </w:r>
      <w:r>
        <w:rPr>
          <w:spacing w:val="-20"/>
        </w:rPr>
        <w:t xml:space="preserve"> </w:t>
      </w:r>
      <w:r>
        <w:rPr>
          <w:spacing w:val="-2"/>
        </w:rPr>
        <w:t>have</w:t>
      </w:r>
      <w:r>
        <w:rPr>
          <w:spacing w:val="-20"/>
        </w:rPr>
        <w:t xml:space="preserve"> </w:t>
      </w:r>
      <w:r>
        <w:rPr>
          <w:spacing w:val="-2"/>
        </w:rPr>
        <w:t>provided</w:t>
      </w:r>
      <w:r>
        <w:rPr>
          <w:spacing w:val="-20"/>
        </w:rPr>
        <w:t xml:space="preserve"> </w:t>
      </w:r>
      <w:r>
        <w:rPr>
          <w:spacing w:val="-2"/>
        </w:rPr>
        <w:t xml:space="preserve">more </w:t>
      </w:r>
      <w:r>
        <w:rPr>
          <w:w w:val="95"/>
        </w:rPr>
        <w:t>housing</w:t>
      </w:r>
      <w:r>
        <w:rPr>
          <w:spacing w:val="-14"/>
          <w:w w:val="95"/>
        </w:rPr>
        <w:t xml:space="preserve"> </w:t>
      </w:r>
      <w:r>
        <w:rPr>
          <w:w w:val="95"/>
        </w:rPr>
        <w:t>options</w:t>
      </w:r>
      <w:r>
        <w:rPr>
          <w:spacing w:val="-14"/>
          <w:w w:val="95"/>
        </w:rPr>
        <w:t xml:space="preserve"> </w:t>
      </w:r>
      <w:r>
        <w:rPr>
          <w:w w:val="95"/>
        </w:rPr>
        <w:t>within</w:t>
      </w:r>
      <w:r>
        <w:rPr>
          <w:spacing w:val="-14"/>
          <w:w w:val="95"/>
        </w:rPr>
        <w:t xml:space="preserve"> </w:t>
      </w:r>
      <w:r>
        <w:rPr>
          <w:w w:val="95"/>
        </w:rPr>
        <w:t>easy</w:t>
      </w:r>
      <w:r>
        <w:rPr>
          <w:spacing w:val="-14"/>
          <w:w w:val="95"/>
        </w:rPr>
        <w:t xml:space="preserve"> </w:t>
      </w:r>
      <w:r>
        <w:rPr>
          <w:w w:val="95"/>
        </w:rPr>
        <w:t>reach</w:t>
      </w:r>
      <w:r>
        <w:rPr>
          <w:spacing w:val="-14"/>
          <w:w w:val="95"/>
        </w:rPr>
        <w:t xml:space="preserve"> </w:t>
      </w:r>
      <w:r>
        <w:rPr>
          <w:w w:val="95"/>
        </w:rPr>
        <w:t>of</w:t>
      </w:r>
      <w:r>
        <w:rPr>
          <w:spacing w:val="-14"/>
          <w:w w:val="95"/>
        </w:rPr>
        <w:t xml:space="preserve"> </w:t>
      </w:r>
      <w:r>
        <w:rPr>
          <w:w w:val="95"/>
        </w:rPr>
        <w:t>the</w:t>
      </w:r>
      <w:r>
        <w:rPr>
          <w:spacing w:val="-14"/>
          <w:w w:val="95"/>
        </w:rPr>
        <w:t xml:space="preserve"> </w:t>
      </w:r>
      <w:r>
        <w:rPr>
          <w:w w:val="95"/>
        </w:rPr>
        <w:t>CBD,</w:t>
      </w:r>
      <w:r>
        <w:rPr>
          <w:spacing w:val="-14"/>
          <w:w w:val="95"/>
        </w:rPr>
        <w:t xml:space="preserve"> </w:t>
      </w:r>
      <w:r>
        <w:rPr>
          <w:w w:val="95"/>
        </w:rPr>
        <w:t xml:space="preserve">particularly </w:t>
      </w:r>
      <w:r>
        <w:rPr>
          <w:spacing w:val="-2"/>
        </w:rPr>
        <w:t>along</w:t>
      </w:r>
      <w:r>
        <w:rPr>
          <w:spacing w:val="-20"/>
        </w:rPr>
        <w:t xml:space="preserve"> </w:t>
      </w:r>
      <w:r>
        <w:rPr>
          <w:spacing w:val="-2"/>
        </w:rPr>
        <w:t>a</w:t>
      </w:r>
      <w:r>
        <w:rPr>
          <w:spacing w:val="-20"/>
        </w:rPr>
        <w:t xml:space="preserve"> </w:t>
      </w:r>
      <w:r>
        <w:rPr>
          <w:spacing w:val="-2"/>
        </w:rPr>
        <w:t>regenerated</w:t>
      </w:r>
      <w:r>
        <w:rPr>
          <w:spacing w:val="-20"/>
        </w:rPr>
        <w:t xml:space="preserve"> </w:t>
      </w:r>
      <w:r>
        <w:rPr>
          <w:spacing w:val="-2"/>
        </w:rPr>
        <w:t>Parramatta</w:t>
      </w:r>
      <w:r>
        <w:rPr>
          <w:spacing w:val="-20"/>
        </w:rPr>
        <w:t xml:space="preserve"> </w:t>
      </w:r>
      <w:r>
        <w:rPr>
          <w:spacing w:val="-2"/>
        </w:rPr>
        <w:t>Rd</w:t>
      </w:r>
      <w:r>
        <w:rPr>
          <w:spacing w:val="-20"/>
        </w:rPr>
        <w:t xml:space="preserve"> </w:t>
      </w:r>
      <w:r>
        <w:rPr>
          <w:spacing w:val="-2"/>
        </w:rPr>
        <w:t>and</w:t>
      </w:r>
      <w:r>
        <w:rPr>
          <w:spacing w:val="-20"/>
        </w:rPr>
        <w:t xml:space="preserve"> </w:t>
      </w:r>
      <w:r>
        <w:rPr>
          <w:spacing w:val="-2"/>
        </w:rPr>
        <w:t>in</w:t>
      </w:r>
      <w:r>
        <w:rPr>
          <w:spacing w:val="-20"/>
        </w:rPr>
        <w:t xml:space="preserve"> </w:t>
      </w:r>
      <w:r>
        <w:rPr>
          <w:spacing w:val="-2"/>
        </w:rPr>
        <w:t>the</w:t>
      </w:r>
      <w:r>
        <w:rPr>
          <w:spacing w:val="-20"/>
        </w:rPr>
        <w:t xml:space="preserve"> </w:t>
      </w:r>
      <w:r>
        <w:rPr>
          <w:spacing w:val="-2"/>
        </w:rPr>
        <w:t xml:space="preserve">South </w:t>
      </w:r>
      <w:r>
        <w:rPr>
          <w:spacing w:val="-2"/>
          <w:w w:val="95"/>
        </w:rPr>
        <w:t>Eastern</w:t>
      </w:r>
      <w:r>
        <w:rPr>
          <w:spacing w:val="-18"/>
          <w:w w:val="95"/>
        </w:rPr>
        <w:t xml:space="preserve"> </w:t>
      </w:r>
      <w:r>
        <w:rPr>
          <w:spacing w:val="-2"/>
          <w:w w:val="95"/>
        </w:rPr>
        <w:t>suburbs.</w:t>
      </w:r>
      <w:r>
        <w:rPr>
          <w:spacing w:val="-17"/>
          <w:w w:val="95"/>
        </w:rPr>
        <w:t xml:space="preserve"> </w:t>
      </w:r>
      <w:r>
        <w:rPr>
          <w:spacing w:val="-2"/>
          <w:w w:val="95"/>
        </w:rPr>
        <w:t>Meanwhile,</w:t>
      </w:r>
      <w:r>
        <w:rPr>
          <w:spacing w:val="-17"/>
          <w:w w:val="95"/>
        </w:rPr>
        <w:t xml:space="preserve"> </w:t>
      </w:r>
      <w:r>
        <w:rPr>
          <w:spacing w:val="-2"/>
          <w:w w:val="95"/>
        </w:rPr>
        <w:t>in</w:t>
      </w:r>
      <w:r>
        <w:rPr>
          <w:spacing w:val="-17"/>
          <w:w w:val="95"/>
        </w:rPr>
        <w:t xml:space="preserve"> </w:t>
      </w:r>
      <w:r>
        <w:rPr>
          <w:spacing w:val="-2"/>
          <w:w w:val="95"/>
        </w:rPr>
        <w:t>Greater</w:t>
      </w:r>
      <w:r>
        <w:rPr>
          <w:spacing w:val="-18"/>
          <w:w w:val="95"/>
        </w:rPr>
        <w:t xml:space="preserve"> </w:t>
      </w:r>
      <w:r>
        <w:rPr>
          <w:spacing w:val="-2"/>
          <w:w w:val="95"/>
        </w:rPr>
        <w:t>Sydney,</w:t>
      </w:r>
      <w:r>
        <w:rPr>
          <w:spacing w:val="-17"/>
          <w:w w:val="95"/>
        </w:rPr>
        <w:t xml:space="preserve"> </w:t>
      </w:r>
      <w:r>
        <w:rPr>
          <w:spacing w:val="-2"/>
          <w:w w:val="95"/>
        </w:rPr>
        <w:t>more</w:t>
      </w:r>
      <w:r>
        <w:rPr>
          <w:spacing w:val="-17"/>
          <w:w w:val="95"/>
        </w:rPr>
        <w:t xml:space="preserve"> </w:t>
      </w:r>
      <w:r>
        <w:rPr>
          <w:spacing w:val="-2"/>
          <w:w w:val="95"/>
        </w:rPr>
        <w:t xml:space="preserve">than </w:t>
      </w:r>
      <w:r>
        <w:rPr>
          <w:spacing w:val="-2"/>
        </w:rPr>
        <w:t>600,000</w:t>
      </w:r>
      <w:r>
        <w:rPr>
          <w:spacing w:val="-20"/>
        </w:rPr>
        <w:t xml:space="preserve"> </w:t>
      </w:r>
      <w:r>
        <w:rPr>
          <w:spacing w:val="-2"/>
        </w:rPr>
        <w:t>new</w:t>
      </w:r>
      <w:r>
        <w:rPr>
          <w:spacing w:val="-20"/>
        </w:rPr>
        <w:t xml:space="preserve"> </w:t>
      </w:r>
      <w:r>
        <w:rPr>
          <w:spacing w:val="-2"/>
        </w:rPr>
        <w:t>homes</w:t>
      </w:r>
      <w:r>
        <w:rPr>
          <w:spacing w:val="-20"/>
        </w:rPr>
        <w:t xml:space="preserve"> </w:t>
      </w:r>
      <w:r>
        <w:rPr>
          <w:spacing w:val="-2"/>
        </w:rPr>
        <w:t>have</w:t>
      </w:r>
      <w:r>
        <w:rPr>
          <w:spacing w:val="-20"/>
        </w:rPr>
        <w:t xml:space="preserve"> </w:t>
      </w:r>
      <w:r>
        <w:rPr>
          <w:spacing w:val="-2"/>
        </w:rPr>
        <w:t>been</w:t>
      </w:r>
      <w:r>
        <w:rPr>
          <w:spacing w:val="-20"/>
        </w:rPr>
        <w:t xml:space="preserve"> </w:t>
      </w:r>
      <w:r>
        <w:rPr>
          <w:spacing w:val="-2"/>
        </w:rPr>
        <w:t>delivered,</w:t>
      </w:r>
      <w:r>
        <w:rPr>
          <w:spacing w:val="-20"/>
        </w:rPr>
        <w:t xml:space="preserve"> </w:t>
      </w:r>
      <w:r>
        <w:rPr>
          <w:spacing w:val="-2"/>
        </w:rPr>
        <w:t>meeting</w:t>
      </w:r>
      <w:r>
        <w:rPr>
          <w:spacing w:val="-20"/>
        </w:rPr>
        <w:t xml:space="preserve"> </w:t>
      </w:r>
      <w:r>
        <w:rPr>
          <w:spacing w:val="-2"/>
        </w:rPr>
        <w:t>the needs</w:t>
      </w:r>
      <w:r>
        <w:rPr>
          <w:spacing w:val="-20"/>
        </w:rPr>
        <w:t xml:space="preserve"> </w:t>
      </w:r>
      <w:r>
        <w:rPr>
          <w:spacing w:val="-2"/>
        </w:rPr>
        <w:t>of</w:t>
      </w:r>
      <w:r>
        <w:rPr>
          <w:spacing w:val="-20"/>
        </w:rPr>
        <w:t xml:space="preserve"> </w:t>
      </w:r>
      <w:r>
        <w:rPr>
          <w:spacing w:val="-2"/>
        </w:rPr>
        <w:t>a</w:t>
      </w:r>
      <w:r>
        <w:rPr>
          <w:spacing w:val="-20"/>
        </w:rPr>
        <w:t xml:space="preserve"> </w:t>
      </w:r>
      <w:r>
        <w:rPr>
          <w:spacing w:val="-2"/>
        </w:rPr>
        <w:t>growing</w:t>
      </w:r>
      <w:r>
        <w:rPr>
          <w:spacing w:val="-20"/>
        </w:rPr>
        <w:t xml:space="preserve"> </w:t>
      </w:r>
      <w:r>
        <w:rPr>
          <w:spacing w:val="-2"/>
        </w:rPr>
        <w:t>population.</w:t>
      </w:r>
      <w:r>
        <w:rPr>
          <w:spacing w:val="-20"/>
        </w:rPr>
        <w:t xml:space="preserve"> </w:t>
      </w:r>
      <w:r>
        <w:rPr>
          <w:spacing w:val="-2"/>
        </w:rPr>
        <w:t>School</w:t>
      </w:r>
      <w:r>
        <w:rPr>
          <w:spacing w:val="-20"/>
        </w:rPr>
        <w:t xml:space="preserve"> </w:t>
      </w:r>
      <w:r>
        <w:rPr>
          <w:spacing w:val="-2"/>
        </w:rPr>
        <w:t>places</w:t>
      </w:r>
      <w:r>
        <w:rPr>
          <w:spacing w:val="-20"/>
        </w:rPr>
        <w:t xml:space="preserve"> </w:t>
      </w:r>
      <w:r>
        <w:rPr>
          <w:spacing w:val="-2"/>
        </w:rPr>
        <w:t>have</w:t>
      </w:r>
      <w:r>
        <w:rPr>
          <w:spacing w:val="-20"/>
        </w:rPr>
        <w:t xml:space="preserve"> </w:t>
      </w:r>
      <w:r>
        <w:rPr>
          <w:spacing w:val="-2"/>
        </w:rPr>
        <w:t xml:space="preserve">also </w:t>
      </w:r>
      <w:r>
        <w:t>kept</w:t>
      </w:r>
      <w:r>
        <w:rPr>
          <w:spacing w:val="-19"/>
        </w:rPr>
        <w:t xml:space="preserve"> </w:t>
      </w:r>
      <w:r>
        <w:t>pace</w:t>
      </w:r>
      <w:r>
        <w:rPr>
          <w:spacing w:val="-19"/>
        </w:rPr>
        <w:t xml:space="preserve"> </w:t>
      </w:r>
      <w:r>
        <w:t>with</w:t>
      </w:r>
      <w:r>
        <w:rPr>
          <w:spacing w:val="-19"/>
        </w:rPr>
        <w:t xml:space="preserve"> </w:t>
      </w:r>
      <w:r>
        <w:t>residential</w:t>
      </w:r>
      <w:r>
        <w:rPr>
          <w:spacing w:val="-19"/>
        </w:rPr>
        <w:t xml:space="preserve"> </w:t>
      </w:r>
      <w:r>
        <w:t>growth.</w:t>
      </w:r>
    </w:p>
    <w:p w:rsidR="002C1123" w:rsidRDefault="00F22F94">
      <w:pPr>
        <w:pStyle w:val="BodyText"/>
        <w:spacing w:before="148" w:line="249" w:lineRule="auto"/>
        <w:ind w:left="212"/>
      </w:pPr>
      <w:r>
        <w:rPr>
          <w:spacing w:val="-2"/>
        </w:rPr>
        <w:t>Parramatta</w:t>
      </w:r>
      <w:r>
        <w:rPr>
          <w:spacing w:val="-20"/>
        </w:rPr>
        <w:t xml:space="preserve"> </w:t>
      </w:r>
      <w:r>
        <w:rPr>
          <w:spacing w:val="-2"/>
        </w:rPr>
        <w:t>has</w:t>
      </w:r>
      <w:r>
        <w:rPr>
          <w:spacing w:val="-20"/>
        </w:rPr>
        <w:t xml:space="preserve"> </w:t>
      </w:r>
      <w:r>
        <w:rPr>
          <w:spacing w:val="-2"/>
        </w:rPr>
        <w:t>become</w:t>
      </w:r>
      <w:r>
        <w:rPr>
          <w:spacing w:val="-20"/>
        </w:rPr>
        <w:t xml:space="preserve"> </w:t>
      </w:r>
      <w:r>
        <w:rPr>
          <w:spacing w:val="-2"/>
        </w:rPr>
        <w:t>the</w:t>
      </w:r>
      <w:r>
        <w:rPr>
          <w:spacing w:val="-20"/>
        </w:rPr>
        <w:t xml:space="preserve"> </w:t>
      </w:r>
      <w:r>
        <w:rPr>
          <w:spacing w:val="-2"/>
        </w:rPr>
        <w:t>heart</w:t>
      </w:r>
      <w:r>
        <w:rPr>
          <w:spacing w:val="-20"/>
        </w:rPr>
        <w:t xml:space="preserve"> </w:t>
      </w:r>
      <w:r>
        <w:rPr>
          <w:spacing w:val="-2"/>
        </w:rPr>
        <w:t>of</w:t>
      </w:r>
      <w:r>
        <w:rPr>
          <w:spacing w:val="-20"/>
        </w:rPr>
        <w:t xml:space="preserve"> </w:t>
      </w:r>
      <w:r>
        <w:rPr>
          <w:spacing w:val="-2"/>
        </w:rPr>
        <w:t>Sydney,</w:t>
      </w:r>
      <w:r>
        <w:rPr>
          <w:spacing w:val="-20"/>
        </w:rPr>
        <w:t xml:space="preserve"> </w:t>
      </w:r>
      <w:r>
        <w:rPr>
          <w:spacing w:val="-2"/>
        </w:rPr>
        <w:t xml:space="preserve">supported </w:t>
      </w:r>
      <w:r>
        <w:rPr>
          <w:spacing w:val="-4"/>
        </w:rPr>
        <w:t>by</w:t>
      </w:r>
      <w:r>
        <w:rPr>
          <w:spacing w:val="-11"/>
        </w:rPr>
        <w:t xml:space="preserve"> </w:t>
      </w:r>
      <w:r>
        <w:rPr>
          <w:spacing w:val="-4"/>
        </w:rPr>
        <w:t>significant</w:t>
      </w:r>
      <w:r>
        <w:rPr>
          <w:spacing w:val="-11"/>
        </w:rPr>
        <w:t xml:space="preserve"> </w:t>
      </w:r>
      <w:r>
        <w:rPr>
          <w:spacing w:val="-4"/>
        </w:rPr>
        <w:t>transport</w:t>
      </w:r>
      <w:r>
        <w:rPr>
          <w:spacing w:val="-11"/>
        </w:rPr>
        <w:t xml:space="preserve"> </w:t>
      </w:r>
      <w:r>
        <w:rPr>
          <w:spacing w:val="-4"/>
        </w:rPr>
        <w:t>improvements</w:t>
      </w:r>
      <w:r>
        <w:rPr>
          <w:spacing w:val="-11"/>
        </w:rPr>
        <w:t xml:space="preserve"> </w:t>
      </w:r>
      <w:r>
        <w:rPr>
          <w:spacing w:val="-4"/>
        </w:rPr>
        <w:t>that</w:t>
      </w:r>
      <w:r>
        <w:rPr>
          <w:spacing w:val="-11"/>
        </w:rPr>
        <w:t xml:space="preserve"> </w:t>
      </w:r>
      <w:r>
        <w:rPr>
          <w:spacing w:val="-4"/>
        </w:rPr>
        <w:t>have</w:t>
      </w:r>
      <w:r>
        <w:rPr>
          <w:spacing w:val="-11"/>
        </w:rPr>
        <w:t xml:space="preserve"> </w:t>
      </w:r>
      <w:r>
        <w:rPr>
          <w:spacing w:val="-4"/>
        </w:rPr>
        <w:t xml:space="preserve">enabled </w:t>
      </w:r>
      <w:r>
        <w:rPr>
          <w:spacing w:val="-2"/>
        </w:rPr>
        <w:t>more</w:t>
      </w:r>
      <w:r>
        <w:rPr>
          <w:spacing w:val="-19"/>
        </w:rPr>
        <w:t xml:space="preserve"> </w:t>
      </w:r>
      <w:r>
        <w:rPr>
          <w:spacing w:val="-2"/>
        </w:rPr>
        <w:t>business</w:t>
      </w:r>
      <w:r>
        <w:rPr>
          <w:spacing w:val="-19"/>
        </w:rPr>
        <w:t xml:space="preserve"> </w:t>
      </w:r>
      <w:r>
        <w:rPr>
          <w:spacing w:val="-2"/>
        </w:rPr>
        <w:t>growth.</w:t>
      </w:r>
      <w:r>
        <w:rPr>
          <w:spacing w:val="-19"/>
        </w:rPr>
        <w:t xml:space="preserve"> </w:t>
      </w:r>
      <w:r>
        <w:rPr>
          <w:spacing w:val="-2"/>
        </w:rPr>
        <w:t>The</w:t>
      </w:r>
      <w:r>
        <w:rPr>
          <w:spacing w:val="-19"/>
        </w:rPr>
        <w:t xml:space="preserve"> </w:t>
      </w:r>
      <w:r>
        <w:rPr>
          <w:spacing w:val="-2"/>
        </w:rPr>
        <w:t>two</w:t>
      </w:r>
      <w:r>
        <w:rPr>
          <w:spacing w:val="-19"/>
        </w:rPr>
        <w:t xml:space="preserve"> </w:t>
      </w:r>
      <w:r>
        <w:rPr>
          <w:spacing w:val="-2"/>
        </w:rPr>
        <w:t>cities</w:t>
      </w:r>
      <w:r>
        <w:rPr>
          <w:spacing w:val="-19"/>
        </w:rPr>
        <w:t xml:space="preserve"> </w:t>
      </w:r>
      <w:r>
        <w:rPr>
          <w:spacing w:val="-2"/>
        </w:rPr>
        <w:t>of</w:t>
      </w:r>
      <w:r>
        <w:rPr>
          <w:spacing w:val="-19"/>
        </w:rPr>
        <w:t xml:space="preserve"> </w:t>
      </w:r>
      <w:r>
        <w:rPr>
          <w:spacing w:val="-2"/>
        </w:rPr>
        <w:t>Liverpool</w:t>
      </w:r>
      <w:r>
        <w:rPr>
          <w:spacing w:val="-19"/>
        </w:rPr>
        <w:t xml:space="preserve"> </w:t>
      </w:r>
      <w:r>
        <w:rPr>
          <w:spacing w:val="-2"/>
        </w:rPr>
        <w:t xml:space="preserve">and </w:t>
      </w:r>
      <w:r>
        <w:rPr>
          <w:spacing w:val="-4"/>
        </w:rPr>
        <w:t>Penrith</w:t>
      </w:r>
      <w:r>
        <w:rPr>
          <w:spacing w:val="-17"/>
        </w:rPr>
        <w:t xml:space="preserve"> </w:t>
      </w:r>
      <w:r>
        <w:rPr>
          <w:spacing w:val="-4"/>
        </w:rPr>
        <w:t>are</w:t>
      </w:r>
      <w:r>
        <w:rPr>
          <w:spacing w:val="-17"/>
        </w:rPr>
        <w:t xml:space="preserve"> </w:t>
      </w:r>
      <w:r>
        <w:rPr>
          <w:spacing w:val="-4"/>
        </w:rPr>
        <w:t>now</w:t>
      </w:r>
      <w:r>
        <w:rPr>
          <w:spacing w:val="-17"/>
        </w:rPr>
        <w:t xml:space="preserve"> </w:t>
      </w:r>
      <w:r>
        <w:rPr>
          <w:spacing w:val="-4"/>
        </w:rPr>
        <w:t>realising</w:t>
      </w:r>
      <w:r>
        <w:rPr>
          <w:spacing w:val="-17"/>
        </w:rPr>
        <w:t xml:space="preserve"> </w:t>
      </w:r>
      <w:r>
        <w:rPr>
          <w:spacing w:val="-4"/>
        </w:rPr>
        <w:t>their</w:t>
      </w:r>
      <w:r>
        <w:rPr>
          <w:spacing w:val="-17"/>
        </w:rPr>
        <w:t xml:space="preserve"> </w:t>
      </w:r>
      <w:r>
        <w:rPr>
          <w:spacing w:val="-4"/>
        </w:rPr>
        <w:t>full</w:t>
      </w:r>
      <w:r>
        <w:rPr>
          <w:spacing w:val="-17"/>
        </w:rPr>
        <w:t xml:space="preserve"> </w:t>
      </w:r>
      <w:r>
        <w:rPr>
          <w:spacing w:val="-4"/>
        </w:rPr>
        <w:t>potential</w:t>
      </w:r>
      <w:r>
        <w:rPr>
          <w:spacing w:val="-17"/>
        </w:rPr>
        <w:t xml:space="preserve"> </w:t>
      </w:r>
      <w:r>
        <w:rPr>
          <w:spacing w:val="-4"/>
        </w:rPr>
        <w:t>for</w:t>
      </w:r>
      <w:r>
        <w:rPr>
          <w:spacing w:val="-17"/>
        </w:rPr>
        <w:t xml:space="preserve"> </w:t>
      </w:r>
      <w:r>
        <w:rPr>
          <w:spacing w:val="-4"/>
        </w:rPr>
        <w:t xml:space="preserve">economic </w:t>
      </w:r>
      <w:r>
        <w:rPr>
          <w:spacing w:val="-2"/>
        </w:rPr>
        <w:t>and</w:t>
      </w:r>
      <w:r>
        <w:rPr>
          <w:spacing w:val="-20"/>
        </w:rPr>
        <w:t xml:space="preserve"> </w:t>
      </w:r>
      <w:r>
        <w:rPr>
          <w:spacing w:val="-2"/>
        </w:rPr>
        <w:t>population</w:t>
      </w:r>
      <w:r>
        <w:rPr>
          <w:spacing w:val="-20"/>
        </w:rPr>
        <w:t xml:space="preserve"> </w:t>
      </w:r>
      <w:r>
        <w:rPr>
          <w:spacing w:val="-2"/>
        </w:rPr>
        <w:t>growth.</w:t>
      </w:r>
      <w:r>
        <w:rPr>
          <w:spacing w:val="-20"/>
        </w:rPr>
        <w:t xml:space="preserve"> </w:t>
      </w:r>
      <w:r>
        <w:rPr>
          <w:spacing w:val="-2"/>
        </w:rPr>
        <w:t>Flood</w:t>
      </w:r>
      <w:r>
        <w:rPr>
          <w:spacing w:val="-20"/>
        </w:rPr>
        <w:t xml:space="preserve"> </w:t>
      </w:r>
      <w:r>
        <w:rPr>
          <w:spacing w:val="-2"/>
        </w:rPr>
        <w:t>mitigation</w:t>
      </w:r>
      <w:r>
        <w:rPr>
          <w:spacing w:val="-20"/>
        </w:rPr>
        <w:t xml:space="preserve"> </w:t>
      </w:r>
      <w:r>
        <w:rPr>
          <w:spacing w:val="-2"/>
        </w:rPr>
        <w:t>measures</w:t>
      </w:r>
      <w:r>
        <w:rPr>
          <w:spacing w:val="-19"/>
        </w:rPr>
        <w:t xml:space="preserve"> </w:t>
      </w:r>
      <w:r>
        <w:rPr>
          <w:spacing w:val="-2"/>
        </w:rPr>
        <w:t xml:space="preserve">have </w:t>
      </w:r>
      <w:r>
        <w:rPr>
          <w:w w:val="95"/>
        </w:rPr>
        <w:t>already</w:t>
      </w:r>
      <w:r>
        <w:rPr>
          <w:spacing w:val="-18"/>
          <w:w w:val="95"/>
        </w:rPr>
        <w:t xml:space="preserve"> </w:t>
      </w:r>
      <w:r>
        <w:rPr>
          <w:w w:val="95"/>
        </w:rPr>
        <w:t>protected</w:t>
      </w:r>
      <w:r>
        <w:rPr>
          <w:spacing w:val="-17"/>
          <w:w w:val="95"/>
        </w:rPr>
        <w:t xml:space="preserve"> </w:t>
      </w:r>
      <w:r>
        <w:rPr>
          <w:w w:val="95"/>
        </w:rPr>
        <w:t>people</w:t>
      </w:r>
      <w:r>
        <w:rPr>
          <w:spacing w:val="-17"/>
          <w:w w:val="95"/>
        </w:rPr>
        <w:t xml:space="preserve"> </w:t>
      </w:r>
      <w:r>
        <w:rPr>
          <w:w w:val="95"/>
        </w:rPr>
        <w:t>and</w:t>
      </w:r>
      <w:r>
        <w:rPr>
          <w:spacing w:val="-17"/>
          <w:w w:val="95"/>
        </w:rPr>
        <w:t xml:space="preserve"> </w:t>
      </w:r>
      <w:r>
        <w:rPr>
          <w:w w:val="95"/>
        </w:rPr>
        <w:t>property</w:t>
      </w:r>
      <w:r>
        <w:rPr>
          <w:spacing w:val="-18"/>
          <w:w w:val="95"/>
        </w:rPr>
        <w:t xml:space="preserve"> </w:t>
      </w:r>
      <w:r>
        <w:rPr>
          <w:w w:val="95"/>
        </w:rPr>
        <w:t>in</w:t>
      </w:r>
      <w:r>
        <w:rPr>
          <w:spacing w:val="-17"/>
          <w:w w:val="95"/>
        </w:rPr>
        <w:t xml:space="preserve"> </w:t>
      </w:r>
      <w:r>
        <w:rPr>
          <w:w w:val="95"/>
        </w:rPr>
        <w:t>the</w:t>
      </w:r>
      <w:r>
        <w:rPr>
          <w:spacing w:val="-17"/>
          <w:w w:val="95"/>
        </w:rPr>
        <w:t xml:space="preserve"> </w:t>
      </w:r>
      <w:r>
        <w:rPr>
          <w:w w:val="95"/>
        </w:rPr>
        <w:t xml:space="preserve">Hawkesbury </w:t>
      </w:r>
      <w:r>
        <w:t>Nepean</w:t>
      </w:r>
      <w:r>
        <w:rPr>
          <w:spacing w:val="-20"/>
        </w:rPr>
        <w:t xml:space="preserve"> </w:t>
      </w:r>
      <w:r>
        <w:t>Valley.</w:t>
      </w:r>
    </w:p>
    <w:p w:rsidR="002C1123" w:rsidRDefault="002C1123">
      <w:pPr>
        <w:pStyle w:val="BodyText"/>
        <w:spacing w:before="9"/>
        <w:rPr>
          <w:sz w:val="23"/>
        </w:rPr>
      </w:pPr>
    </w:p>
    <w:p w:rsidR="002C1123" w:rsidRDefault="00F22F94">
      <w:pPr>
        <w:pStyle w:val="Heading5"/>
        <w:spacing w:before="0"/>
        <w:ind w:left="212" w:firstLine="0"/>
      </w:pPr>
      <w:r>
        <w:rPr>
          <w:color w:val="2E3092"/>
          <w:spacing w:val="-4"/>
        </w:rPr>
        <w:t>Reflection</w:t>
      </w:r>
      <w:r>
        <w:rPr>
          <w:color w:val="2E3092"/>
          <w:spacing w:val="-7"/>
        </w:rPr>
        <w:t xml:space="preserve"> </w:t>
      </w:r>
      <w:r>
        <w:rPr>
          <w:color w:val="2E3092"/>
          <w:spacing w:val="-4"/>
        </w:rPr>
        <w:t>2032</w:t>
      </w:r>
    </w:p>
    <w:p w:rsidR="002C1123" w:rsidRDefault="00F22F94">
      <w:pPr>
        <w:pStyle w:val="BodyText"/>
        <w:spacing w:before="135" w:line="249" w:lineRule="auto"/>
        <w:ind w:left="212" w:right="240"/>
      </w:pPr>
      <w:r>
        <w:rPr>
          <w:w w:val="95"/>
        </w:rPr>
        <w:t>In</w:t>
      </w:r>
      <w:r>
        <w:rPr>
          <w:spacing w:val="-6"/>
          <w:w w:val="95"/>
        </w:rPr>
        <w:t xml:space="preserve"> </w:t>
      </w:r>
      <w:r>
        <w:rPr>
          <w:w w:val="95"/>
        </w:rPr>
        <w:t>2012</w:t>
      </w:r>
      <w:r>
        <w:rPr>
          <w:spacing w:val="-6"/>
          <w:w w:val="95"/>
        </w:rPr>
        <w:t xml:space="preserve"> </w:t>
      </w:r>
      <w:r>
        <w:rPr>
          <w:w w:val="95"/>
        </w:rPr>
        <w:t>the</w:t>
      </w:r>
      <w:r>
        <w:rPr>
          <w:spacing w:val="-6"/>
          <w:w w:val="95"/>
        </w:rPr>
        <w:t xml:space="preserve"> </w:t>
      </w:r>
      <w:r>
        <w:rPr>
          <w:w w:val="95"/>
        </w:rPr>
        <w:t>NSW</w:t>
      </w:r>
      <w:r>
        <w:rPr>
          <w:spacing w:val="-6"/>
          <w:w w:val="95"/>
        </w:rPr>
        <w:t xml:space="preserve"> </w:t>
      </w:r>
      <w:r>
        <w:rPr>
          <w:w w:val="95"/>
        </w:rPr>
        <w:t>Government</w:t>
      </w:r>
      <w:r>
        <w:rPr>
          <w:spacing w:val="-6"/>
          <w:w w:val="95"/>
        </w:rPr>
        <w:t xml:space="preserve"> </w:t>
      </w:r>
      <w:r>
        <w:rPr>
          <w:w w:val="95"/>
        </w:rPr>
        <w:t>made</w:t>
      </w:r>
      <w:r>
        <w:rPr>
          <w:spacing w:val="-6"/>
          <w:w w:val="95"/>
        </w:rPr>
        <w:t xml:space="preserve"> </w:t>
      </w:r>
      <w:r>
        <w:rPr>
          <w:w w:val="95"/>
        </w:rPr>
        <w:t>tough</w:t>
      </w:r>
      <w:r>
        <w:rPr>
          <w:spacing w:val="-6"/>
          <w:w w:val="95"/>
        </w:rPr>
        <w:t xml:space="preserve"> </w:t>
      </w:r>
      <w:r>
        <w:rPr>
          <w:w w:val="95"/>
        </w:rPr>
        <w:t xml:space="preserve">decisions </w:t>
      </w:r>
      <w:r>
        <w:t>to</w:t>
      </w:r>
      <w:r>
        <w:rPr>
          <w:spacing w:val="-12"/>
        </w:rPr>
        <w:t xml:space="preserve"> </w:t>
      </w:r>
      <w:r>
        <w:t>concentrate</w:t>
      </w:r>
      <w:r>
        <w:rPr>
          <w:spacing w:val="-12"/>
        </w:rPr>
        <w:t xml:space="preserve"> </w:t>
      </w:r>
      <w:r>
        <w:t>on</w:t>
      </w:r>
      <w:r>
        <w:rPr>
          <w:spacing w:val="-12"/>
        </w:rPr>
        <w:t xml:space="preserve"> </w:t>
      </w:r>
      <w:r>
        <w:t>first</w:t>
      </w:r>
      <w:r>
        <w:rPr>
          <w:spacing w:val="-12"/>
        </w:rPr>
        <w:t xml:space="preserve"> </w:t>
      </w:r>
      <w:r>
        <w:t>things</w:t>
      </w:r>
      <w:r>
        <w:rPr>
          <w:spacing w:val="-12"/>
        </w:rPr>
        <w:t xml:space="preserve"> </w:t>
      </w:r>
      <w:r>
        <w:t>first.</w:t>
      </w:r>
      <w:r>
        <w:rPr>
          <w:spacing w:val="-12"/>
        </w:rPr>
        <w:t xml:space="preserve"> </w:t>
      </w:r>
      <w:r>
        <w:t>Facing</w:t>
      </w:r>
      <w:r>
        <w:rPr>
          <w:spacing w:val="-12"/>
        </w:rPr>
        <w:t xml:space="preserve"> </w:t>
      </w:r>
      <w:r>
        <w:t>sliding</w:t>
      </w:r>
    </w:p>
    <w:p w:rsidR="002C1123" w:rsidRDefault="00F22F94">
      <w:pPr>
        <w:pStyle w:val="BodyText"/>
        <w:spacing w:before="106" w:line="249" w:lineRule="auto"/>
        <w:ind w:left="199" w:right="654"/>
      </w:pPr>
      <w:r>
        <w:br w:type="column"/>
      </w:r>
      <w:r>
        <w:rPr>
          <w:w w:val="95"/>
        </w:rPr>
        <w:t xml:space="preserve">productivity, they made decisions which were not </w:t>
      </w:r>
      <w:r>
        <w:t>universally</w:t>
      </w:r>
      <w:r>
        <w:rPr>
          <w:spacing w:val="-11"/>
        </w:rPr>
        <w:t xml:space="preserve"> </w:t>
      </w:r>
      <w:r>
        <w:t>popular.</w:t>
      </w:r>
    </w:p>
    <w:p w:rsidR="002C1123" w:rsidRDefault="00F22F94">
      <w:pPr>
        <w:pStyle w:val="BodyText"/>
        <w:spacing w:before="143" w:line="249" w:lineRule="auto"/>
        <w:ind w:left="199" w:right="654"/>
      </w:pPr>
      <w:r>
        <w:t>The</w:t>
      </w:r>
      <w:r>
        <w:rPr>
          <w:spacing w:val="-14"/>
        </w:rPr>
        <w:t xml:space="preserve"> </w:t>
      </w:r>
      <w:r>
        <w:t>most</w:t>
      </w:r>
      <w:r>
        <w:rPr>
          <w:spacing w:val="-14"/>
        </w:rPr>
        <w:t xml:space="preserve"> </w:t>
      </w:r>
      <w:r>
        <w:t>recent</w:t>
      </w:r>
      <w:r>
        <w:rPr>
          <w:spacing w:val="-14"/>
        </w:rPr>
        <w:t xml:space="preserve"> </w:t>
      </w:r>
      <w:r>
        <w:t>OECD</w:t>
      </w:r>
      <w:r>
        <w:rPr>
          <w:spacing w:val="-14"/>
        </w:rPr>
        <w:t xml:space="preserve"> </w:t>
      </w:r>
      <w:r>
        <w:t>reports</w:t>
      </w:r>
      <w:r>
        <w:rPr>
          <w:spacing w:val="-14"/>
        </w:rPr>
        <w:t xml:space="preserve"> </w:t>
      </w:r>
      <w:r>
        <w:t>(2028-2032)</w:t>
      </w:r>
      <w:r>
        <w:rPr>
          <w:spacing w:val="-14"/>
        </w:rPr>
        <w:t xml:space="preserve"> </w:t>
      </w:r>
      <w:r>
        <w:t>have ranked</w:t>
      </w:r>
      <w:r>
        <w:rPr>
          <w:spacing w:val="-12"/>
        </w:rPr>
        <w:t xml:space="preserve"> </w:t>
      </w:r>
      <w:r>
        <w:t>Sydney</w:t>
      </w:r>
      <w:r>
        <w:rPr>
          <w:spacing w:val="-12"/>
        </w:rPr>
        <w:t xml:space="preserve"> </w:t>
      </w:r>
      <w:r>
        <w:t>among</w:t>
      </w:r>
      <w:r>
        <w:rPr>
          <w:spacing w:val="-12"/>
        </w:rPr>
        <w:t xml:space="preserve"> </w:t>
      </w:r>
      <w:r>
        <w:t>the</w:t>
      </w:r>
      <w:r>
        <w:rPr>
          <w:spacing w:val="-12"/>
        </w:rPr>
        <w:t xml:space="preserve"> </w:t>
      </w:r>
      <w:r>
        <w:t>top</w:t>
      </w:r>
      <w:r>
        <w:rPr>
          <w:spacing w:val="-12"/>
        </w:rPr>
        <w:t xml:space="preserve"> </w:t>
      </w:r>
      <w:r>
        <w:t>five</w:t>
      </w:r>
      <w:r>
        <w:rPr>
          <w:spacing w:val="-12"/>
        </w:rPr>
        <w:t xml:space="preserve"> </w:t>
      </w:r>
      <w:r>
        <w:t>cities</w:t>
      </w:r>
      <w:r>
        <w:rPr>
          <w:spacing w:val="-12"/>
        </w:rPr>
        <w:t xml:space="preserve"> </w:t>
      </w:r>
      <w:r>
        <w:t>in</w:t>
      </w:r>
      <w:r>
        <w:rPr>
          <w:spacing w:val="-12"/>
        </w:rPr>
        <w:t xml:space="preserve"> </w:t>
      </w:r>
      <w:r>
        <w:t>the</w:t>
      </w:r>
      <w:r>
        <w:rPr>
          <w:spacing w:val="-12"/>
        </w:rPr>
        <w:t xml:space="preserve"> </w:t>
      </w:r>
      <w:r>
        <w:t>world with</w:t>
      </w:r>
      <w:r>
        <w:rPr>
          <w:spacing w:val="-10"/>
        </w:rPr>
        <w:t xml:space="preserve"> </w:t>
      </w:r>
      <w:r>
        <w:t>respect</w:t>
      </w:r>
      <w:r>
        <w:rPr>
          <w:spacing w:val="-10"/>
        </w:rPr>
        <w:t xml:space="preserve"> </w:t>
      </w:r>
      <w:r>
        <w:t>to</w:t>
      </w:r>
      <w:r>
        <w:rPr>
          <w:spacing w:val="-10"/>
        </w:rPr>
        <w:t xml:space="preserve"> </w:t>
      </w:r>
      <w:r>
        <w:t>both</w:t>
      </w:r>
      <w:r>
        <w:rPr>
          <w:spacing w:val="-10"/>
        </w:rPr>
        <w:t xml:space="preserve"> </w:t>
      </w:r>
      <w:r>
        <w:t>productivity</w:t>
      </w:r>
      <w:r>
        <w:rPr>
          <w:spacing w:val="-10"/>
        </w:rPr>
        <w:t xml:space="preserve"> </w:t>
      </w:r>
      <w:r>
        <w:t>and</w:t>
      </w:r>
      <w:r>
        <w:rPr>
          <w:spacing w:val="-10"/>
        </w:rPr>
        <w:t xml:space="preserve"> </w:t>
      </w:r>
      <w:r>
        <w:t>liveability.</w:t>
      </w:r>
      <w:r>
        <w:rPr>
          <w:spacing w:val="-10"/>
        </w:rPr>
        <w:t xml:space="preserve"> </w:t>
      </w:r>
      <w:r>
        <w:t>NSW has</w:t>
      </w:r>
      <w:r>
        <w:rPr>
          <w:spacing w:val="-9"/>
        </w:rPr>
        <w:t xml:space="preserve"> </w:t>
      </w:r>
      <w:r>
        <w:t>enjoyed</w:t>
      </w:r>
      <w:r>
        <w:rPr>
          <w:spacing w:val="-9"/>
        </w:rPr>
        <w:t xml:space="preserve"> </w:t>
      </w:r>
      <w:r>
        <w:t>a</w:t>
      </w:r>
      <w:r>
        <w:rPr>
          <w:spacing w:val="-9"/>
        </w:rPr>
        <w:t xml:space="preserve"> </w:t>
      </w:r>
      <w:r>
        <w:t>sustained</w:t>
      </w:r>
      <w:r>
        <w:rPr>
          <w:spacing w:val="-9"/>
        </w:rPr>
        <w:t xml:space="preserve"> </w:t>
      </w:r>
      <w:r>
        <w:t>period</w:t>
      </w:r>
      <w:r>
        <w:rPr>
          <w:spacing w:val="-9"/>
        </w:rPr>
        <w:t xml:space="preserve"> </w:t>
      </w:r>
      <w:r>
        <w:t>of</w:t>
      </w:r>
      <w:r>
        <w:rPr>
          <w:spacing w:val="-9"/>
        </w:rPr>
        <w:t xml:space="preserve"> </w:t>
      </w:r>
      <w:r>
        <w:t>growth</w:t>
      </w:r>
      <w:r>
        <w:rPr>
          <w:spacing w:val="-9"/>
        </w:rPr>
        <w:t xml:space="preserve"> </w:t>
      </w:r>
      <w:r>
        <w:t>and</w:t>
      </w:r>
      <w:r>
        <w:rPr>
          <w:spacing w:val="-9"/>
        </w:rPr>
        <w:t xml:space="preserve"> </w:t>
      </w:r>
      <w:r>
        <w:t xml:space="preserve">is </w:t>
      </w:r>
      <w:r>
        <w:rPr>
          <w:w w:val="95"/>
        </w:rPr>
        <w:t>outperforming</w:t>
      </w:r>
      <w:r>
        <w:rPr>
          <w:spacing w:val="-2"/>
          <w:w w:val="95"/>
        </w:rPr>
        <w:t xml:space="preserve"> </w:t>
      </w:r>
      <w:r>
        <w:rPr>
          <w:w w:val="95"/>
        </w:rPr>
        <w:t>all</w:t>
      </w:r>
      <w:r>
        <w:rPr>
          <w:spacing w:val="-2"/>
          <w:w w:val="95"/>
        </w:rPr>
        <w:t xml:space="preserve"> </w:t>
      </w:r>
      <w:r>
        <w:rPr>
          <w:w w:val="95"/>
        </w:rPr>
        <w:t>other</w:t>
      </w:r>
      <w:r>
        <w:rPr>
          <w:spacing w:val="-2"/>
          <w:w w:val="95"/>
        </w:rPr>
        <w:t xml:space="preserve"> </w:t>
      </w:r>
      <w:r>
        <w:rPr>
          <w:w w:val="95"/>
        </w:rPr>
        <w:t>States</w:t>
      </w:r>
      <w:r>
        <w:rPr>
          <w:spacing w:val="-2"/>
          <w:w w:val="95"/>
        </w:rPr>
        <w:t xml:space="preserve"> </w:t>
      </w:r>
      <w:r>
        <w:rPr>
          <w:w w:val="95"/>
        </w:rPr>
        <w:t>in</w:t>
      </w:r>
      <w:r>
        <w:rPr>
          <w:spacing w:val="-2"/>
          <w:w w:val="95"/>
        </w:rPr>
        <w:t xml:space="preserve"> </w:t>
      </w:r>
      <w:r>
        <w:rPr>
          <w:w w:val="95"/>
        </w:rPr>
        <w:t>terms</w:t>
      </w:r>
      <w:r>
        <w:rPr>
          <w:spacing w:val="-2"/>
          <w:w w:val="95"/>
        </w:rPr>
        <w:t xml:space="preserve"> </w:t>
      </w:r>
      <w:r>
        <w:rPr>
          <w:w w:val="95"/>
        </w:rPr>
        <w:t>of</w:t>
      </w:r>
      <w:r>
        <w:rPr>
          <w:spacing w:val="-2"/>
          <w:w w:val="95"/>
        </w:rPr>
        <w:t xml:space="preserve"> </w:t>
      </w:r>
      <w:r>
        <w:rPr>
          <w:w w:val="95"/>
        </w:rPr>
        <w:t>both</w:t>
      </w:r>
      <w:r>
        <w:rPr>
          <w:spacing w:val="-2"/>
          <w:w w:val="95"/>
        </w:rPr>
        <w:t xml:space="preserve"> </w:t>
      </w:r>
      <w:r>
        <w:rPr>
          <w:w w:val="95"/>
        </w:rPr>
        <w:t xml:space="preserve">standards </w:t>
      </w:r>
      <w:r>
        <w:t>of living and population growth.</w:t>
      </w:r>
    </w:p>
    <w:p w:rsidR="002C1123" w:rsidRDefault="00F22F94">
      <w:pPr>
        <w:pStyle w:val="BodyText"/>
        <w:spacing w:before="147"/>
        <w:ind w:left="199"/>
      </w:pPr>
      <w:r>
        <w:rPr>
          <w:color w:val="2E3092"/>
        </w:rPr>
        <w:t>NSW</w:t>
      </w:r>
      <w:r>
        <w:rPr>
          <w:color w:val="2E3092"/>
          <w:spacing w:val="-5"/>
        </w:rPr>
        <w:t xml:space="preserve"> </w:t>
      </w:r>
      <w:r>
        <w:rPr>
          <w:color w:val="2E3092"/>
        </w:rPr>
        <w:t>is</w:t>
      </w:r>
      <w:r>
        <w:rPr>
          <w:color w:val="2E3092"/>
          <w:spacing w:val="-4"/>
        </w:rPr>
        <w:t xml:space="preserve"> </w:t>
      </w:r>
      <w:r>
        <w:rPr>
          <w:color w:val="2E3092"/>
        </w:rPr>
        <w:t>number</w:t>
      </w:r>
      <w:r>
        <w:rPr>
          <w:color w:val="2E3092"/>
          <w:spacing w:val="-4"/>
        </w:rPr>
        <w:t xml:space="preserve"> </w:t>
      </w:r>
      <w:r>
        <w:rPr>
          <w:color w:val="2E3092"/>
        </w:rPr>
        <w:t>one</w:t>
      </w:r>
      <w:r>
        <w:rPr>
          <w:color w:val="2E3092"/>
          <w:spacing w:val="-4"/>
        </w:rPr>
        <w:t xml:space="preserve"> </w:t>
      </w:r>
      <w:r>
        <w:rPr>
          <w:color w:val="2E3092"/>
          <w:spacing w:val="-2"/>
        </w:rPr>
        <w:t>again.</w:t>
      </w:r>
    </w:p>
    <w:p w:rsidR="002C1123" w:rsidRDefault="00F22F94">
      <w:pPr>
        <w:pStyle w:val="BodyText"/>
        <w:spacing w:before="10"/>
        <w:rPr>
          <w:sz w:val="28"/>
        </w:rPr>
      </w:pPr>
      <w:r>
        <w:rPr>
          <w:noProof/>
        </w:rPr>
        <w:drawing>
          <wp:anchor distT="0" distB="0" distL="0" distR="0" simplePos="0" relativeHeight="251199488" behindDoc="0" locked="0" layoutInCell="1" allowOverlap="1">
            <wp:simplePos x="0" y="0"/>
            <wp:positionH relativeFrom="page">
              <wp:posOffset>7065409</wp:posOffset>
            </wp:positionH>
            <wp:positionV relativeFrom="paragraph">
              <wp:posOffset>226602</wp:posOffset>
            </wp:positionV>
            <wp:extent cx="1487295" cy="584644"/>
            <wp:effectExtent l="0" t="0" r="0" b="0"/>
            <wp:wrapTopAndBottom/>
            <wp:docPr id="3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png"/>
                    <pic:cNvPicPr/>
                  </pic:nvPicPr>
                  <pic:blipFill>
                    <a:blip r:embed="rId26" cstate="print"/>
                    <a:stretch>
                      <a:fillRect/>
                    </a:stretch>
                  </pic:blipFill>
                  <pic:spPr>
                    <a:xfrm>
                      <a:off x="0" y="0"/>
                      <a:ext cx="1487295" cy="584644"/>
                    </a:xfrm>
                    <a:prstGeom prst="rect">
                      <a:avLst/>
                    </a:prstGeom>
                  </pic:spPr>
                </pic:pic>
              </a:graphicData>
            </a:graphic>
          </wp:anchor>
        </w:drawing>
      </w:r>
    </w:p>
    <w:p w:rsidR="002C1123" w:rsidRDefault="002C1123">
      <w:pPr>
        <w:pStyle w:val="BodyText"/>
        <w:rPr>
          <w:sz w:val="22"/>
        </w:rPr>
      </w:pPr>
    </w:p>
    <w:p w:rsidR="002C1123" w:rsidRDefault="00F22F94">
      <w:pPr>
        <w:spacing w:before="147"/>
        <w:ind w:left="199"/>
        <w:rPr>
          <w:sz w:val="18"/>
        </w:rPr>
      </w:pPr>
      <w:r>
        <w:rPr>
          <w:sz w:val="18"/>
        </w:rPr>
        <w:t>Paul</w:t>
      </w:r>
      <w:r>
        <w:rPr>
          <w:spacing w:val="-8"/>
          <w:sz w:val="18"/>
        </w:rPr>
        <w:t xml:space="preserve"> </w:t>
      </w:r>
      <w:r>
        <w:rPr>
          <w:spacing w:val="-2"/>
          <w:w w:val="105"/>
          <w:sz w:val="18"/>
        </w:rPr>
        <w:t>Broad</w:t>
      </w:r>
    </w:p>
    <w:p w:rsidR="002C1123" w:rsidRDefault="00F22F94">
      <w:pPr>
        <w:spacing w:before="13"/>
        <w:ind w:left="199"/>
        <w:rPr>
          <w:sz w:val="18"/>
        </w:rPr>
      </w:pPr>
      <w:r>
        <w:rPr>
          <w:sz w:val="18"/>
        </w:rPr>
        <w:t>Chief</w:t>
      </w:r>
      <w:r>
        <w:rPr>
          <w:spacing w:val="10"/>
          <w:sz w:val="18"/>
        </w:rPr>
        <w:t xml:space="preserve"> </w:t>
      </w:r>
      <w:r>
        <w:rPr>
          <w:sz w:val="18"/>
        </w:rPr>
        <w:t>Executive</w:t>
      </w:r>
      <w:r>
        <w:rPr>
          <w:spacing w:val="10"/>
          <w:sz w:val="18"/>
        </w:rPr>
        <w:t xml:space="preserve"> </w:t>
      </w:r>
      <w:r>
        <w:rPr>
          <w:spacing w:val="-2"/>
          <w:sz w:val="18"/>
        </w:rPr>
        <w:t>Officer</w:t>
      </w:r>
    </w:p>
    <w:p w:rsidR="002C1123" w:rsidRDefault="00F22F94">
      <w:pPr>
        <w:spacing w:before="156" w:line="249" w:lineRule="auto"/>
        <w:ind w:left="199" w:right="654"/>
        <w:rPr>
          <w:i/>
          <w:sz w:val="20"/>
        </w:rPr>
      </w:pPr>
      <w:r>
        <w:rPr>
          <w:i/>
          <w:w w:val="95"/>
          <w:sz w:val="20"/>
        </w:rPr>
        <w:t>With</w:t>
      </w:r>
      <w:r>
        <w:rPr>
          <w:i/>
          <w:spacing w:val="-9"/>
          <w:w w:val="95"/>
          <w:sz w:val="20"/>
        </w:rPr>
        <w:t xml:space="preserve"> </w:t>
      </w:r>
      <w:r>
        <w:rPr>
          <w:i/>
          <w:w w:val="95"/>
          <w:sz w:val="20"/>
        </w:rPr>
        <w:t>thanks</w:t>
      </w:r>
      <w:r>
        <w:rPr>
          <w:i/>
          <w:spacing w:val="-9"/>
          <w:w w:val="95"/>
          <w:sz w:val="20"/>
        </w:rPr>
        <w:t xml:space="preserve"> </w:t>
      </w:r>
      <w:r>
        <w:rPr>
          <w:i/>
          <w:w w:val="95"/>
          <w:sz w:val="20"/>
        </w:rPr>
        <w:t>to</w:t>
      </w:r>
      <w:r>
        <w:rPr>
          <w:i/>
          <w:spacing w:val="-9"/>
          <w:w w:val="95"/>
          <w:sz w:val="20"/>
        </w:rPr>
        <w:t xml:space="preserve"> </w:t>
      </w:r>
      <w:r>
        <w:rPr>
          <w:i/>
          <w:w w:val="95"/>
          <w:sz w:val="20"/>
        </w:rPr>
        <w:t>The</w:t>
      </w:r>
      <w:r>
        <w:rPr>
          <w:i/>
          <w:spacing w:val="-9"/>
          <w:w w:val="95"/>
          <w:sz w:val="20"/>
        </w:rPr>
        <w:t xml:space="preserve"> </w:t>
      </w:r>
      <w:r>
        <w:rPr>
          <w:i/>
          <w:w w:val="95"/>
          <w:sz w:val="20"/>
        </w:rPr>
        <w:t>Hornery</w:t>
      </w:r>
      <w:r>
        <w:rPr>
          <w:i/>
          <w:spacing w:val="-9"/>
          <w:w w:val="95"/>
          <w:sz w:val="20"/>
        </w:rPr>
        <w:t xml:space="preserve"> </w:t>
      </w:r>
      <w:r>
        <w:rPr>
          <w:i/>
          <w:w w:val="95"/>
          <w:sz w:val="20"/>
        </w:rPr>
        <w:t>Institute</w:t>
      </w:r>
      <w:r>
        <w:rPr>
          <w:i/>
          <w:spacing w:val="-9"/>
          <w:w w:val="95"/>
          <w:sz w:val="20"/>
        </w:rPr>
        <w:t xml:space="preserve"> </w:t>
      </w:r>
      <w:r>
        <w:rPr>
          <w:i/>
          <w:w w:val="95"/>
          <w:sz w:val="20"/>
        </w:rPr>
        <w:t>for</w:t>
      </w:r>
      <w:r>
        <w:rPr>
          <w:i/>
          <w:spacing w:val="-9"/>
          <w:w w:val="95"/>
          <w:sz w:val="20"/>
        </w:rPr>
        <w:t xml:space="preserve"> </w:t>
      </w:r>
      <w:r>
        <w:rPr>
          <w:i/>
          <w:w w:val="95"/>
          <w:sz w:val="20"/>
        </w:rPr>
        <w:t>assisting</w:t>
      </w:r>
      <w:r>
        <w:rPr>
          <w:i/>
          <w:spacing w:val="-9"/>
          <w:w w:val="95"/>
          <w:sz w:val="20"/>
        </w:rPr>
        <w:t xml:space="preserve"> </w:t>
      </w:r>
      <w:r>
        <w:rPr>
          <w:i/>
          <w:w w:val="95"/>
          <w:sz w:val="20"/>
        </w:rPr>
        <w:t xml:space="preserve">with </w:t>
      </w:r>
      <w:r>
        <w:rPr>
          <w:i/>
          <w:sz w:val="20"/>
        </w:rPr>
        <w:t>Welcome to the Year 2032.</w:t>
      </w:r>
    </w:p>
    <w:p w:rsidR="002C1123" w:rsidRDefault="002C1123">
      <w:pPr>
        <w:spacing w:line="249" w:lineRule="auto"/>
        <w:rPr>
          <w:sz w:val="20"/>
        </w:rPr>
        <w:sectPr w:rsidR="002C1123">
          <w:type w:val="continuous"/>
          <w:pgSz w:w="16840" w:h="11910" w:orient="landscape"/>
          <w:pgMar w:top="560" w:right="280" w:bottom="280" w:left="500" w:header="0" w:footer="517" w:gutter="0"/>
          <w:cols w:num="3" w:space="720" w:equalWidth="0">
            <w:col w:w="5271" w:space="40"/>
            <w:col w:w="5004" w:space="39"/>
            <w:col w:w="5706"/>
          </w:cols>
        </w:sectPr>
      </w:pPr>
    </w:p>
    <w:p w:rsidR="002C1123" w:rsidRDefault="002C1123">
      <w:pPr>
        <w:pStyle w:val="BodyText"/>
        <w:rPr>
          <w:i/>
        </w:rPr>
      </w:pPr>
    </w:p>
    <w:p w:rsidR="002C1123" w:rsidRDefault="002C1123">
      <w:pPr>
        <w:pStyle w:val="BodyText"/>
        <w:rPr>
          <w:i/>
        </w:rPr>
      </w:pPr>
    </w:p>
    <w:p w:rsidR="002C1123" w:rsidRDefault="002C1123">
      <w:pPr>
        <w:pStyle w:val="BodyText"/>
        <w:rPr>
          <w:i/>
        </w:rPr>
      </w:pPr>
    </w:p>
    <w:p w:rsidR="002C1123" w:rsidRDefault="002C1123">
      <w:pPr>
        <w:pStyle w:val="BodyText"/>
        <w:spacing w:before="9"/>
        <w:rPr>
          <w:i/>
          <w:sz w:val="15"/>
        </w:rPr>
      </w:pPr>
    </w:p>
    <w:p w:rsidR="002C1123" w:rsidRDefault="002C1123">
      <w:pPr>
        <w:rPr>
          <w:sz w:val="15"/>
        </w:rPr>
        <w:sectPr w:rsidR="002C1123">
          <w:headerReference w:type="default" r:id="rId27"/>
          <w:footerReference w:type="default" r:id="rId28"/>
          <w:pgSz w:w="16840" w:h="11910" w:orient="landscape"/>
          <w:pgMar w:top="560" w:right="280" w:bottom="700" w:left="500" w:header="0" w:footer="517" w:gutter="0"/>
          <w:cols w:space="720"/>
        </w:sectPr>
      </w:pPr>
    </w:p>
    <w:p w:rsidR="002C1123" w:rsidRDefault="00F22F94">
      <w:pPr>
        <w:spacing w:before="1021" w:line="148" w:lineRule="auto"/>
        <w:ind w:left="523" w:right="31"/>
        <w:rPr>
          <w:rFonts w:ascii="Trebuchet MS"/>
          <w:sz w:val="264"/>
        </w:rPr>
      </w:pPr>
      <w:bookmarkStart w:id="19" w:name="Executive_summary"/>
      <w:bookmarkStart w:id="20" w:name="_bookmark13"/>
      <w:bookmarkStart w:id="21" w:name="_bookmark12"/>
      <w:bookmarkEnd w:id="19"/>
      <w:bookmarkEnd w:id="20"/>
      <w:bookmarkEnd w:id="21"/>
      <w:r>
        <w:rPr>
          <w:rFonts w:ascii="Trebuchet MS"/>
          <w:color w:val="E1E0E1"/>
          <w:spacing w:val="-40"/>
          <w:w w:val="55"/>
          <w:sz w:val="264"/>
        </w:rPr>
        <w:t xml:space="preserve">Executive </w:t>
      </w:r>
      <w:r>
        <w:rPr>
          <w:rFonts w:ascii="Trebuchet MS"/>
          <w:color w:val="E1E0E1"/>
          <w:spacing w:val="-2"/>
          <w:w w:val="55"/>
          <w:sz w:val="264"/>
        </w:rPr>
        <w:t>summary</w:t>
      </w:r>
    </w:p>
    <w:p w:rsidR="002C1123" w:rsidRDefault="00F22F94">
      <w:pPr>
        <w:rPr>
          <w:rFonts w:ascii="Trebuchet MS"/>
          <w:sz w:val="42"/>
        </w:rPr>
      </w:pPr>
      <w:r>
        <w:br w:type="column"/>
      </w:r>
    </w:p>
    <w:p w:rsidR="002C1123" w:rsidRDefault="002C1123">
      <w:pPr>
        <w:pStyle w:val="BodyText"/>
        <w:spacing w:before="10"/>
        <w:rPr>
          <w:rFonts w:ascii="Trebuchet MS"/>
          <w:sz w:val="46"/>
        </w:rPr>
      </w:pPr>
    </w:p>
    <w:p w:rsidR="002C1123" w:rsidRDefault="00F22F94">
      <w:pPr>
        <w:pStyle w:val="Heading4"/>
        <w:spacing w:line="254" w:lineRule="auto"/>
        <w:ind w:left="523" w:right="2296"/>
      </w:pPr>
      <w:r>
        <w:rPr>
          <w:color w:val="2E3092"/>
          <w:spacing w:val="-4"/>
        </w:rPr>
        <w:t>The</w:t>
      </w:r>
      <w:r>
        <w:rPr>
          <w:color w:val="2E3092"/>
          <w:spacing w:val="-21"/>
        </w:rPr>
        <w:t xml:space="preserve"> </w:t>
      </w:r>
      <w:r>
        <w:rPr>
          <w:color w:val="2E3092"/>
          <w:spacing w:val="-4"/>
        </w:rPr>
        <w:t>State</w:t>
      </w:r>
      <w:r>
        <w:rPr>
          <w:color w:val="2E3092"/>
          <w:spacing w:val="-21"/>
        </w:rPr>
        <w:t xml:space="preserve"> </w:t>
      </w:r>
      <w:r>
        <w:rPr>
          <w:color w:val="2E3092"/>
          <w:spacing w:val="-4"/>
        </w:rPr>
        <w:t>Infrastructure</w:t>
      </w:r>
      <w:r>
        <w:rPr>
          <w:color w:val="2E3092"/>
          <w:spacing w:val="-22"/>
        </w:rPr>
        <w:t xml:space="preserve"> </w:t>
      </w:r>
      <w:r>
        <w:rPr>
          <w:color w:val="2E3092"/>
          <w:spacing w:val="-4"/>
        </w:rPr>
        <w:t xml:space="preserve">Strategy: </w:t>
      </w:r>
      <w:r>
        <w:rPr>
          <w:color w:val="2E3092"/>
          <w:w w:val="95"/>
        </w:rPr>
        <w:t xml:space="preserve">‘First Things First’ is an assessment </w:t>
      </w:r>
      <w:r>
        <w:rPr>
          <w:color w:val="EC008C"/>
          <w:w w:val="95"/>
        </w:rPr>
        <w:t>of</w:t>
      </w:r>
      <w:r>
        <w:rPr>
          <w:color w:val="EC008C"/>
          <w:spacing w:val="-6"/>
          <w:w w:val="95"/>
        </w:rPr>
        <w:t xml:space="preserve"> </w:t>
      </w:r>
      <w:r>
        <w:rPr>
          <w:color w:val="EC008C"/>
          <w:w w:val="95"/>
        </w:rPr>
        <w:t>priority</w:t>
      </w:r>
      <w:r>
        <w:rPr>
          <w:color w:val="EC008C"/>
          <w:spacing w:val="-6"/>
          <w:w w:val="95"/>
        </w:rPr>
        <w:t xml:space="preserve"> </w:t>
      </w:r>
      <w:r>
        <w:rPr>
          <w:color w:val="EC008C"/>
          <w:w w:val="95"/>
        </w:rPr>
        <w:t>infrastructure</w:t>
      </w:r>
      <w:r>
        <w:rPr>
          <w:color w:val="EC008C"/>
          <w:spacing w:val="-6"/>
          <w:w w:val="95"/>
        </w:rPr>
        <w:t xml:space="preserve"> </w:t>
      </w:r>
      <w:r>
        <w:rPr>
          <w:color w:val="EC008C"/>
          <w:w w:val="95"/>
        </w:rPr>
        <w:t>problems</w:t>
      </w:r>
      <w:r>
        <w:rPr>
          <w:color w:val="EC008C"/>
          <w:spacing w:val="-6"/>
          <w:w w:val="95"/>
        </w:rPr>
        <w:t xml:space="preserve"> </w:t>
      </w:r>
      <w:r>
        <w:rPr>
          <w:color w:val="EC008C"/>
          <w:w w:val="95"/>
        </w:rPr>
        <w:t>and solutions</w:t>
      </w:r>
      <w:r>
        <w:rPr>
          <w:color w:val="EC008C"/>
          <w:spacing w:val="-5"/>
          <w:w w:val="95"/>
        </w:rPr>
        <w:t xml:space="preserve"> </w:t>
      </w:r>
      <w:r>
        <w:rPr>
          <w:color w:val="EC008C"/>
          <w:w w:val="95"/>
        </w:rPr>
        <w:t>for</w:t>
      </w:r>
      <w:r>
        <w:rPr>
          <w:color w:val="EC008C"/>
          <w:spacing w:val="-5"/>
          <w:w w:val="95"/>
        </w:rPr>
        <w:t xml:space="preserve"> </w:t>
      </w:r>
      <w:r>
        <w:rPr>
          <w:color w:val="EC008C"/>
          <w:w w:val="95"/>
        </w:rPr>
        <w:t>the</w:t>
      </w:r>
      <w:r>
        <w:rPr>
          <w:color w:val="EC008C"/>
          <w:spacing w:val="-5"/>
          <w:w w:val="95"/>
        </w:rPr>
        <w:t xml:space="preserve"> </w:t>
      </w:r>
      <w:r>
        <w:rPr>
          <w:color w:val="EC008C"/>
          <w:w w:val="95"/>
        </w:rPr>
        <w:t>next</w:t>
      </w:r>
      <w:r>
        <w:rPr>
          <w:color w:val="EC008C"/>
          <w:spacing w:val="-5"/>
          <w:w w:val="95"/>
        </w:rPr>
        <w:t xml:space="preserve"> </w:t>
      </w:r>
      <w:r>
        <w:rPr>
          <w:color w:val="EC008C"/>
          <w:w w:val="95"/>
        </w:rPr>
        <w:t>two</w:t>
      </w:r>
      <w:r>
        <w:rPr>
          <w:color w:val="EC008C"/>
          <w:spacing w:val="-5"/>
          <w:w w:val="95"/>
        </w:rPr>
        <w:t xml:space="preserve"> </w:t>
      </w:r>
      <w:r>
        <w:rPr>
          <w:color w:val="EC008C"/>
          <w:w w:val="95"/>
        </w:rPr>
        <w:t>decades</w:t>
      </w:r>
      <w:r>
        <w:rPr>
          <w:color w:val="EC008C"/>
          <w:spacing w:val="-5"/>
          <w:w w:val="95"/>
        </w:rPr>
        <w:t xml:space="preserve"> for</w:t>
      </w:r>
    </w:p>
    <w:p w:rsidR="002C1123" w:rsidRDefault="00F22F94">
      <w:pPr>
        <w:spacing w:before="5" w:line="254" w:lineRule="auto"/>
        <w:ind w:left="523" w:right="1592"/>
        <w:rPr>
          <w:sz w:val="36"/>
        </w:rPr>
      </w:pPr>
      <w:r>
        <w:rPr>
          <w:color w:val="00AEEF"/>
          <w:w w:val="95"/>
          <w:sz w:val="36"/>
        </w:rPr>
        <w:t>the NSW Government, the community, business</w:t>
      </w:r>
      <w:r>
        <w:rPr>
          <w:color w:val="00AEEF"/>
          <w:spacing w:val="-20"/>
          <w:w w:val="95"/>
          <w:sz w:val="36"/>
        </w:rPr>
        <w:t xml:space="preserve"> </w:t>
      </w:r>
      <w:r>
        <w:rPr>
          <w:color w:val="00AEEF"/>
          <w:w w:val="95"/>
          <w:sz w:val="36"/>
        </w:rPr>
        <w:t>and</w:t>
      </w:r>
      <w:r>
        <w:rPr>
          <w:color w:val="00AEEF"/>
          <w:spacing w:val="-20"/>
          <w:w w:val="95"/>
          <w:sz w:val="36"/>
        </w:rPr>
        <w:t xml:space="preserve"> </w:t>
      </w:r>
      <w:r>
        <w:rPr>
          <w:color w:val="00AEEF"/>
          <w:w w:val="95"/>
          <w:sz w:val="36"/>
        </w:rPr>
        <w:t>all</w:t>
      </w:r>
      <w:r>
        <w:rPr>
          <w:color w:val="00AEEF"/>
          <w:spacing w:val="-21"/>
          <w:w w:val="95"/>
          <w:sz w:val="36"/>
        </w:rPr>
        <w:t xml:space="preserve"> </w:t>
      </w:r>
      <w:r>
        <w:rPr>
          <w:color w:val="00AEEF"/>
          <w:w w:val="95"/>
          <w:sz w:val="36"/>
        </w:rPr>
        <w:t>who</w:t>
      </w:r>
      <w:r>
        <w:rPr>
          <w:color w:val="00AEEF"/>
          <w:spacing w:val="-20"/>
          <w:w w:val="95"/>
          <w:sz w:val="36"/>
        </w:rPr>
        <w:t xml:space="preserve"> </w:t>
      </w:r>
      <w:r>
        <w:rPr>
          <w:color w:val="00AEEF"/>
          <w:w w:val="95"/>
          <w:sz w:val="36"/>
        </w:rPr>
        <w:t>have</w:t>
      </w:r>
      <w:r>
        <w:rPr>
          <w:color w:val="00AEEF"/>
          <w:spacing w:val="-20"/>
          <w:w w:val="95"/>
          <w:sz w:val="36"/>
        </w:rPr>
        <w:t xml:space="preserve"> </w:t>
      </w:r>
      <w:r>
        <w:rPr>
          <w:color w:val="00AEEF"/>
          <w:w w:val="95"/>
          <w:sz w:val="36"/>
        </w:rPr>
        <w:t>an</w:t>
      </w:r>
      <w:r>
        <w:rPr>
          <w:color w:val="00AEEF"/>
          <w:spacing w:val="-20"/>
          <w:w w:val="95"/>
          <w:sz w:val="36"/>
        </w:rPr>
        <w:t xml:space="preserve"> </w:t>
      </w:r>
      <w:r>
        <w:rPr>
          <w:color w:val="00AEEF"/>
          <w:w w:val="95"/>
          <w:sz w:val="36"/>
        </w:rPr>
        <w:t>interest</w:t>
      </w:r>
      <w:r>
        <w:rPr>
          <w:color w:val="00AEEF"/>
          <w:spacing w:val="-20"/>
          <w:w w:val="95"/>
          <w:sz w:val="36"/>
        </w:rPr>
        <w:t xml:space="preserve"> </w:t>
      </w:r>
      <w:r>
        <w:rPr>
          <w:color w:val="00AEEF"/>
          <w:w w:val="95"/>
          <w:sz w:val="36"/>
        </w:rPr>
        <w:t xml:space="preserve">in </w:t>
      </w:r>
      <w:r>
        <w:rPr>
          <w:color w:val="00AEEF"/>
          <w:sz w:val="36"/>
        </w:rPr>
        <w:t>the</w:t>
      </w:r>
      <w:r>
        <w:rPr>
          <w:color w:val="00AEEF"/>
          <w:spacing w:val="-14"/>
          <w:sz w:val="36"/>
        </w:rPr>
        <w:t xml:space="preserve"> </w:t>
      </w:r>
      <w:r>
        <w:rPr>
          <w:color w:val="00AEEF"/>
          <w:sz w:val="36"/>
        </w:rPr>
        <w:t>success</w:t>
      </w:r>
      <w:r>
        <w:rPr>
          <w:color w:val="00AEEF"/>
          <w:spacing w:val="-14"/>
          <w:sz w:val="36"/>
        </w:rPr>
        <w:t xml:space="preserve"> </w:t>
      </w:r>
      <w:r>
        <w:rPr>
          <w:color w:val="00AEEF"/>
          <w:sz w:val="36"/>
        </w:rPr>
        <w:t>of</w:t>
      </w:r>
      <w:r>
        <w:rPr>
          <w:color w:val="00AEEF"/>
          <w:spacing w:val="-14"/>
          <w:sz w:val="36"/>
        </w:rPr>
        <w:t xml:space="preserve"> </w:t>
      </w:r>
      <w:r>
        <w:rPr>
          <w:color w:val="00AEEF"/>
          <w:sz w:val="36"/>
        </w:rPr>
        <w:t>NSW.</w:t>
      </w:r>
    </w:p>
    <w:p w:rsidR="002C1123" w:rsidRDefault="002C1123">
      <w:pPr>
        <w:spacing w:line="254" w:lineRule="auto"/>
        <w:rPr>
          <w:sz w:val="36"/>
        </w:rPr>
        <w:sectPr w:rsidR="002C1123">
          <w:type w:val="continuous"/>
          <w:pgSz w:w="16840" w:h="11910" w:orient="landscape"/>
          <w:pgMar w:top="560" w:right="280" w:bottom="280" w:left="500" w:header="0" w:footer="517" w:gutter="0"/>
          <w:cols w:num="2" w:space="720" w:equalWidth="0">
            <w:col w:w="6517" w:space="1023"/>
            <w:col w:w="8520"/>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BodyText"/>
        <w:spacing w:before="106" w:line="249" w:lineRule="auto"/>
        <w:ind w:left="492"/>
      </w:pPr>
      <w:bookmarkStart w:id="22" w:name="_bookmark14"/>
      <w:bookmarkEnd w:id="22"/>
      <w:r>
        <w:rPr>
          <w:w w:val="95"/>
        </w:rPr>
        <w:t>The</w:t>
      </w:r>
      <w:r>
        <w:rPr>
          <w:spacing w:val="-7"/>
          <w:w w:val="95"/>
        </w:rPr>
        <w:t xml:space="preserve"> </w:t>
      </w:r>
      <w:r>
        <w:rPr>
          <w:w w:val="95"/>
        </w:rPr>
        <w:t>Strategy</w:t>
      </w:r>
      <w:r>
        <w:rPr>
          <w:spacing w:val="-7"/>
          <w:w w:val="95"/>
        </w:rPr>
        <w:t xml:space="preserve"> </w:t>
      </w:r>
      <w:r>
        <w:rPr>
          <w:w w:val="95"/>
        </w:rPr>
        <w:t>builds</w:t>
      </w:r>
      <w:r>
        <w:rPr>
          <w:spacing w:val="-7"/>
          <w:w w:val="95"/>
        </w:rPr>
        <w:t xml:space="preserve"> </w:t>
      </w:r>
      <w:r>
        <w:rPr>
          <w:w w:val="95"/>
        </w:rPr>
        <w:t>on</w:t>
      </w:r>
      <w:r>
        <w:rPr>
          <w:spacing w:val="-7"/>
          <w:w w:val="95"/>
        </w:rPr>
        <w:t xml:space="preserve"> </w:t>
      </w:r>
      <w:r>
        <w:rPr>
          <w:w w:val="95"/>
        </w:rPr>
        <w:t>the</w:t>
      </w:r>
      <w:r>
        <w:rPr>
          <w:spacing w:val="-7"/>
          <w:w w:val="95"/>
        </w:rPr>
        <w:t xml:space="preserve"> </w:t>
      </w:r>
      <w:r>
        <w:rPr>
          <w:w w:val="95"/>
        </w:rPr>
        <w:t>NSW</w:t>
      </w:r>
      <w:r>
        <w:rPr>
          <w:spacing w:val="-7"/>
          <w:w w:val="95"/>
        </w:rPr>
        <w:t xml:space="preserve"> </w:t>
      </w:r>
      <w:r>
        <w:rPr>
          <w:w w:val="95"/>
        </w:rPr>
        <w:t>Government’s</w:t>
      </w:r>
      <w:r>
        <w:rPr>
          <w:spacing w:val="-7"/>
          <w:w w:val="95"/>
        </w:rPr>
        <w:t xml:space="preserve"> </w:t>
      </w:r>
      <w:r>
        <w:rPr>
          <w:w w:val="95"/>
        </w:rPr>
        <w:t xml:space="preserve">existing public commitments and outlines a forward program of more than 70 urban and regional projects and reforms </w:t>
      </w:r>
      <w:r>
        <w:t>across</w:t>
      </w:r>
      <w:r>
        <w:rPr>
          <w:spacing w:val="-14"/>
        </w:rPr>
        <w:t xml:space="preserve"> </w:t>
      </w:r>
      <w:r>
        <w:t>transport,</w:t>
      </w:r>
      <w:r>
        <w:rPr>
          <w:spacing w:val="-14"/>
        </w:rPr>
        <w:t xml:space="preserve"> </w:t>
      </w:r>
      <w:r>
        <w:t>freight,</w:t>
      </w:r>
      <w:r>
        <w:rPr>
          <w:spacing w:val="-14"/>
        </w:rPr>
        <w:t xml:space="preserve"> </w:t>
      </w:r>
      <w:r>
        <w:t>aviation,</w:t>
      </w:r>
      <w:r>
        <w:rPr>
          <w:spacing w:val="-14"/>
        </w:rPr>
        <w:t xml:space="preserve"> </w:t>
      </w:r>
      <w:r>
        <w:t>energy,</w:t>
      </w:r>
      <w:r>
        <w:rPr>
          <w:spacing w:val="-14"/>
        </w:rPr>
        <w:t xml:space="preserve"> </w:t>
      </w:r>
      <w:r>
        <w:t xml:space="preserve">water, </w:t>
      </w:r>
      <w:r>
        <w:rPr>
          <w:spacing w:val="-2"/>
        </w:rPr>
        <w:t>health,</w:t>
      </w:r>
      <w:r>
        <w:rPr>
          <w:spacing w:val="-7"/>
        </w:rPr>
        <w:t xml:space="preserve"> </w:t>
      </w:r>
      <w:r>
        <w:rPr>
          <w:spacing w:val="-2"/>
        </w:rPr>
        <w:t>education</w:t>
      </w:r>
      <w:r>
        <w:rPr>
          <w:spacing w:val="-7"/>
        </w:rPr>
        <w:t xml:space="preserve"> </w:t>
      </w:r>
      <w:r>
        <w:rPr>
          <w:spacing w:val="-2"/>
        </w:rPr>
        <w:t>and</w:t>
      </w:r>
      <w:r>
        <w:rPr>
          <w:spacing w:val="-7"/>
        </w:rPr>
        <w:t xml:space="preserve"> </w:t>
      </w:r>
      <w:r>
        <w:rPr>
          <w:spacing w:val="-2"/>
        </w:rPr>
        <w:t>social</w:t>
      </w:r>
      <w:r>
        <w:rPr>
          <w:spacing w:val="-7"/>
        </w:rPr>
        <w:t xml:space="preserve"> </w:t>
      </w:r>
      <w:r>
        <w:rPr>
          <w:spacing w:val="-2"/>
        </w:rPr>
        <w:t>infrastructure</w:t>
      </w:r>
      <w:r>
        <w:rPr>
          <w:spacing w:val="-7"/>
        </w:rPr>
        <w:t xml:space="preserve"> </w:t>
      </w:r>
      <w:r>
        <w:rPr>
          <w:spacing w:val="-2"/>
        </w:rPr>
        <w:t>that</w:t>
      </w:r>
      <w:r>
        <w:rPr>
          <w:spacing w:val="-7"/>
        </w:rPr>
        <w:t xml:space="preserve"> </w:t>
      </w:r>
      <w:r>
        <w:rPr>
          <w:spacing w:val="-2"/>
        </w:rPr>
        <w:t xml:space="preserve">should </w:t>
      </w:r>
      <w:r>
        <w:rPr>
          <w:w w:val="95"/>
        </w:rPr>
        <w:t xml:space="preserve">take priority over the next five, 10 and 20 years. Taken together, this program will improve the performance of </w:t>
      </w:r>
      <w:r>
        <w:t>the NSW economy.</w:t>
      </w:r>
    </w:p>
    <w:p w:rsidR="002C1123" w:rsidRDefault="00F22F94">
      <w:pPr>
        <w:pStyle w:val="BodyText"/>
        <w:spacing w:before="148" w:line="249" w:lineRule="auto"/>
        <w:ind w:left="492"/>
      </w:pPr>
      <w:r>
        <w:t>According</w:t>
      </w:r>
      <w:r>
        <w:rPr>
          <w:spacing w:val="-6"/>
        </w:rPr>
        <w:t xml:space="preserve"> </w:t>
      </w:r>
      <w:r>
        <w:t>to</w:t>
      </w:r>
      <w:r>
        <w:rPr>
          <w:spacing w:val="-6"/>
        </w:rPr>
        <w:t xml:space="preserve"> </w:t>
      </w:r>
      <w:r>
        <w:t>Deloitte</w:t>
      </w:r>
      <w:r>
        <w:rPr>
          <w:spacing w:val="-6"/>
        </w:rPr>
        <w:t xml:space="preserve"> </w:t>
      </w:r>
      <w:r>
        <w:t>Access</w:t>
      </w:r>
      <w:r>
        <w:rPr>
          <w:spacing w:val="-6"/>
        </w:rPr>
        <w:t xml:space="preserve"> </w:t>
      </w:r>
      <w:r>
        <w:t>Economics,</w:t>
      </w:r>
      <w:r>
        <w:rPr>
          <w:spacing w:val="-6"/>
        </w:rPr>
        <w:t xml:space="preserve"> </w:t>
      </w:r>
      <w:r>
        <w:t xml:space="preserve">effective </w:t>
      </w:r>
      <w:r>
        <w:rPr>
          <w:w w:val="95"/>
        </w:rPr>
        <w:t>implementation of the Strategy would increase the size of the NSW economy by more than $50 billion (present value).</w:t>
      </w:r>
      <w:r>
        <w:rPr>
          <w:spacing w:val="-12"/>
          <w:w w:val="95"/>
        </w:rPr>
        <w:t xml:space="preserve"> </w:t>
      </w:r>
      <w:r>
        <w:rPr>
          <w:w w:val="95"/>
        </w:rPr>
        <w:t>This</w:t>
      </w:r>
      <w:r>
        <w:rPr>
          <w:spacing w:val="-11"/>
          <w:w w:val="95"/>
        </w:rPr>
        <w:t xml:space="preserve"> </w:t>
      </w:r>
      <w:r>
        <w:rPr>
          <w:w w:val="95"/>
        </w:rPr>
        <w:t>represents</w:t>
      </w:r>
      <w:r>
        <w:rPr>
          <w:spacing w:val="-11"/>
          <w:w w:val="95"/>
        </w:rPr>
        <w:t xml:space="preserve"> </w:t>
      </w:r>
      <w:r>
        <w:rPr>
          <w:w w:val="95"/>
        </w:rPr>
        <w:t>around</w:t>
      </w:r>
      <w:r>
        <w:rPr>
          <w:spacing w:val="-11"/>
          <w:w w:val="95"/>
        </w:rPr>
        <w:t xml:space="preserve"> </w:t>
      </w:r>
      <w:r>
        <w:rPr>
          <w:w w:val="95"/>
        </w:rPr>
        <w:t>a</w:t>
      </w:r>
      <w:r>
        <w:rPr>
          <w:spacing w:val="-11"/>
          <w:w w:val="95"/>
        </w:rPr>
        <w:t xml:space="preserve"> </w:t>
      </w:r>
      <w:r>
        <w:rPr>
          <w:w w:val="95"/>
        </w:rPr>
        <w:t>2.4</w:t>
      </w:r>
      <w:r>
        <w:rPr>
          <w:spacing w:val="-11"/>
          <w:w w:val="95"/>
        </w:rPr>
        <w:t xml:space="preserve"> </w:t>
      </w:r>
      <w:r>
        <w:rPr>
          <w:w w:val="95"/>
        </w:rPr>
        <w:t>percent</w:t>
      </w:r>
      <w:r>
        <w:rPr>
          <w:spacing w:val="-11"/>
          <w:w w:val="95"/>
        </w:rPr>
        <w:t xml:space="preserve"> </w:t>
      </w:r>
      <w:r>
        <w:rPr>
          <w:w w:val="95"/>
        </w:rPr>
        <w:t>increase</w:t>
      </w:r>
      <w:r>
        <w:rPr>
          <w:spacing w:val="-11"/>
          <w:w w:val="95"/>
        </w:rPr>
        <w:t xml:space="preserve"> </w:t>
      </w:r>
      <w:r>
        <w:rPr>
          <w:w w:val="95"/>
        </w:rPr>
        <w:t xml:space="preserve">to </w:t>
      </w:r>
      <w:r>
        <w:t>the</w:t>
      </w:r>
      <w:r>
        <w:rPr>
          <w:spacing w:val="-1"/>
        </w:rPr>
        <w:t xml:space="preserve"> </w:t>
      </w:r>
      <w:r>
        <w:t>economy</w:t>
      </w:r>
      <w:r>
        <w:rPr>
          <w:spacing w:val="-1"/>
        </w:rPr>
        <w:t xml:space="preserve"> </w:t>
      </w:r>
      <w:r>
        <w:t>and</w:t>
      </w:r>
      <w:r>
        <w:rPr>
          <w:spacing w:val="-1"/>
        </w:rPr>
        <w:t xml:space="preserve"> </w:t>
      </w:r>
      <w:r>
        <w:t>some</w:t>
      </w:r>
      <w:r>
        <w:rPr>
          <w:spacing w:val="-1"/>
        </w:rPr>
        <w:t xml:space="preserve"> </w:t>
      </w:r>
      <w:r>
        <w:t>100,000</w:t>
      </w:r>
      <w:r>
        <w:rPr>
          <w:spacing w:val="-1"/>
        </w:rPr>
        <w:t xml:space="preserve"> </w:t>
      </w:r>
      <w:r>
        <w:t>extra</w:t>
      </w:r>
      <w:r>
        <w:rPr>
          <w:spacing w:val="-1"/>
        </w:rPr>
        <w:t xml:space="preserve"> </w:t>
      </w:r>
      <w:r>
        <w:t>jobs.</w:t>
      </w:r>
    </w:p>
    <w:p w:rsidR="002C1123" w:rsidRDefault="00F22F94">
      <w:pPr>
        <w:pStyle w:val="BodyText"/>
        <w:spacing w:before="146" w:line="249" w:lineRule="auto"/>
        <w:ind w:left="492"/>
      </w:pPr>
      <w:r>
        <w:rPr>
          <w:w w:val="95"/>
        </w:rPr>
        <w:t>The</w:t>
      </w:r>
      <w:r>
        <w:rPr>
          <w:spacing w:val="-7"/>
          <w:w w:val="95"/>
        </w:rPr>
        <w:t xml:space="preserve"> </w:t>
      </w:r>
      <w:r>
        <w:rPr>
          <w:w w:val="95"/>
        </w:rPr>
        <w:t>NSW</w:t>
      </w:r>
      <w:r>
        <w:rPr>
          <w:spacing w:val="-7"/>
          <w:w w:val="95"/>
        </w:rPr>
        <w:t xml:space="preserve"> </w:t>
      </w:r>
      <w:r>
        <w:rPr>
          <w:w w:val="95"/>
        </w:rPr>
        <w:t>economy</w:t>
      </w:r>
      <w:r>
        <w:rPr>
          <w:spacing w:val="-7"/>
          <w:w w:val="95"/>
        </w:rPr>
        <w:t xml:space="preserve"> </w:t>
      </w:r>
      <w:r>
        <w:rPr>
          <w:w w:val="95"/>
        </w:rPr>
        <w:t>is</w:t>
      </w:r>
      <w:r>
        <w:rPr>
          <w:spacing w:val="-7"/>
          <w:w w:val="95"/>
        </w:rPr>
        <w:t xml:space="preserve"> </w:t>
      </w:r>
      <w:r>
        <w:rPr>
          <w:w w:val="95"/>
        </w:rPr>
        <w:t>the</w:t>
      </w:r>
      <w:r>
        <w:rPr>
          <w:spacing w:val="-7"/>
          <w:w w:val="95"/>
        </w:rPr>
        <w:t xml:space="preserve"> </w:t>
      </w:r>
      <w:r>
        <w:rPr>
          <w:w w:val="95"/>
        </w:rPr>
        <w:t>largest</w:t>
      </w:r>
      <w:r>
        <w:rPr>
          <w:spacing w:val="-7"/>
          <w:w w:val="95"/>
        </w:rPr>
        <w:t xml:space="preserve"> </w:t>
      </w:r>
      <w:r>
        <w:rPr>
          <w:w w:val="95"/>
        </w:rPr>
        <w:t>and</w:t>
      </w:r>
      <w:r>
        <w:rPr>
          <w:spacing w:val="-7"/>
          <w:w w:val="95"/>
        </w:rPr>
        <w:t xml:space="preserve"> </w:t>
      </w:r>
      <w:r>
        <w:rPr>
          <w:w w:val="95"/>
        </w:rPr>
        <w:t>most</w:t>
      </w:r>
      <w:r>
        <w:rPr>
          <w:spacing w:val="-7"/>
          <w:w w:val="95"/>
        </w:rPr>
        <w:t xml:space="preserve"> </w:t>
      </w:r>
      <w:r>
        <w:rPr>
          <w:w w:val="95"/>
        </w:rPr>
        <w:t>diversified</w:t>
      </w:r>
      <w:r>
        <w:rPr>
          <w:spacing w:val="-7"/>
          <w:w w:val="95"/>
        </w:rPr>
        <w:t xml:space="preserve"> </w:t>
      </w:r>
      <w:r>
        <w:rPr>
          <w:w w:val="95"/>
        </w:rPr>
        <w:t>in Australia. Sydney alone contributes more to Australia’s economy than the whole of the country’s mining sector.</w:t>
      </w:r>
    </w:p>
    <w:p w:rsidR="002C1123" w:rsidRDefault="00F22F94">
      <w:pPr>
        <w:pStyle w:val="BodyText"/>
        <w:spacing w:before="144" w:line="249" w:lineRule="auto"/>
        <w:ind w:left="492"/>
      </w:pPr>
      <w:r>
        <w:t>NSW</w:t>
      </w:r>
      <w:r>
        <w:rPr>
          <w:spacing w:val="-8"/>
        </w:rPr>
        <w:t xml:space="preserve"> </w:t>
      </w:r>
      <w:r>
        <w:t>is</w:t>
      </w:r>
      <w:r>
        <w:rPr>
          <w:spacing w:val="-8"/>
        </w:rPr>
        <w:t xml:space="preserve"> </w:t>
      </w:r>
      <w:r>
        <w:t>now</w:t>
      </w:r>
      <w:r>
        <w:rPr>
          <w:spacing w:val="-8"/>
        </w:rPr>
        <w:t xml:space="preserve"> </w:t>
      </w:r>
      <w:r>
        <w:t>largely</w:t>
      </w:r>
      <w:r>
        <w:rPr>
          <w:spacing w:val="-8"/>
        </w:rPr>
        <w:t xml:space="preserve"> </w:t>
      </w:r>
      <w:r>
        <w:t>a</w:t>
      </w:r>
      <w:r>
        <w:rPr>
          <w:spacing w:val="-8"/>
        </w:rPr>
        <w:t xml:space="preserve"> </w:t>
      </w:r>
      <w:r>
        <w:t>service-based</w:t>
      </w:r>
      <w:r>
        <w:rPr>
          <w:spacing w:val="-8"/>
        </w:rPr>
        <w:t xml:space="preserve"> </w:t>
      </w:r>
      <w:r>
        <w:t xml:space="preserve">economy </w:t>
      </w:r>
      <w:r>
        <w:rPr>
          <w:w w:val="95"/>
        </w:rPr>
        <w:t xml:space="preserve">dominated by the finance and insurance sectors. It will </w:t>
      </w:r>
      <w:r>
        <w:t>retain</w:t>
      </w:r>
      <w:r>
        <w:rPr>
          <w:spacing w:val="-12"/>
        </w:rPr>
        <w:t xml:space="preserve"> </w:t>
      </w:r>
      <w:r>
        <w:t>the</w:t>
      </w:r>
      <w:r>
        <w:rPr>
          <w:spacing w:val="-12"/>
        </w:rPr>
        <w:t xml:space="preserve"> </w:t>
      </w:r>
      <w:r>
        <w:t>same</w:t>
      </w:r>
      <w:r>
        <w:rPr>
          <w:spacing w:val="-12"/>
        </w:rPr>
        <w:t xml:space="preserve"> </w:t>
      </w:r>
      <w:r>
        <w:t>shape</w:t>
      </w:r>
      <w:r>
        <w:rPr>
          <w:spacing w:val="-12"/>
        </w:rPr>
        <w:t xml:space="preserve"> </w:t>
      </w:r>
      <w:r>
        <w:t>to</w:t>
      </w:r>
      <w:r>
        <w:rPr>
          <w:spacing w:val="-12"/>
        </w:rPr>
        <w:t xml:space="preserve"> </w:t>
      </w:r>
      <w:r>
        <w:t>2032</w:t>
      </w:r>
      <w:r>
        <w:rPr>
          <w:spacing w:val="-12"/>
        </w:rPr>
        <w:t xml:space="preserve"> </w:t>
      </w:r>
      <w:r>
        <w:t>with</w:t>
      </w:r>
      <w:r>
        <w:rPr>
          <w:spacing w:val="-12"/>
        </w:rPr>
        <w:t xml:space="preserve"> </w:t>
      </w:r>
      <w:r>
        <w:t>service</w:t>
      </w:r>
      <w:r>
        <w:rPr>
          <w:spacing w:val="-12"/>
        </w:rPr>
        <w:t xml:space="preserve"> </w:t>
      </w:r>
      <w:r>
        <w:t xml:space="preserve">industries </w:t>
      </w:r>
      <w:r>
        <w:rPr>
          <w:w w:val="95"/>
        </w:rPr>
        <w:t>expected</w:t>
      </w:r>
      <w:r>
        <w:rPr>
          <w:spacing w:val="-10"/>
          <w:w w:val="95"/>
        </w:rPr>
        <w:t xml:space="preserve"> </w:t>
      </w:r>
      <w:r>
        <w:rPr>
          <w:w w:val="95"/>
        </w:rPr>
        <w:t>to</w:t>
      </w:r>
      <w:r>
        <w:rPr>
          <w:spacing w:val="-10"/>
          <w:w w:val="95"/>
        </w:rPr>
        <w:t xml:space="preserve"> </w:t>
      </w:r>
      <w:r>
        <w:rPr>
          <w:w w:val="95"/>
        </w:rPr>
        <w:t>increase</w:t>
      </w:r>
      <w:r>
        <w:rPr>
          <w:spacing w:val="-10"/>
          <w:w w:val="95"/>
        </w:rPr>
        <w:t xml:space="preserve"> </w:t>
      </w:r>
      <w:r>
        <w:rPr>
          <w:w w:val="95"/>
        </w:rPr>
        <w:t>as</w:t>
      </w:r>
      <w:r>
        <w:rPr>
          <w:spacing w:val="-10"/>
          <w:w w:val="95"/>
        </w:rPr>
        <w:t xml:space="preserve"> </w:t>
      </w:r>
      <w:r>
        <w:rPr>
          <w:w w:val="95"/>
        </w:rPr>
        <w:t>a</w:t>
      </w:r>
      <w:r>
        <w:rPr>
          <w:spacing w:val="-10"/>
          <w:w w:val="95"/>
        </w:rPr>
        <w:t xml:space="preserve"> </w:t>
      </w:r>
      <w:r>
        <w:rPr>
          <w:w w:val="95"/>
        </w:rPr>
        <w:t>share</w:t>
      </w:r>
      <w:r>
        <w:rPr>
          <w:spacing w:val="-10"/>
          <w:w w:val="95"/>
        </w:rPr>
        <w:t xml:space="preserve"> </w:t>
      </w:r>
      <w:r>
        <w:rPr>
          <w:w w:val="95"/>
        </w:rPr>
        <w:t>of</w:t>
      </w:r>
      <w:r>
        <w:rPr>
          <w:spacing w:val="-10"/>
          <w:w w:val="95"/>
        </w:rPr>
        <w:t xml:space="preserve"> </w:t>
      </w:r>
      <w:r>
        <w:rPr>
          <w:w w:val="95"/>
        </w:rPr>
        <w:t>the</w:t>
      </w:r>
      <w:r>
        <w:rPr>
          <w:spacing w:val="-10"/>
          <w:w w:val="95"/>
        </w:rPr>
        <w:t xml:space="preserve"> </w:t>
      </w:r>
      <w:r>
        <w:rPr>
          <w:w w:val="95"/>
        </w:rPr>
        <w:t>overall</w:t>
      </w:r>
      <w:r>
        <w:rPr>
          <w:spacing w:val="-10"/>
          <w:w w:val="95"/>
        </w:rPr>
        <w:t xml:space="preserve"> </w:t>
      </w:r>
      <w:r>
        <w:rPr>
          <w:w w:val="95"/>
        </w:rPr>
        <w:t>economy.</w:t>
      </w:r>
    </w:p>
    <w:p w:rsidR="002C1123" w:rsidRDefault="00F22F94">
      <w:pPr>
        <w:pStyle w:val="BodyText"/>
        <w:spacing w:before="145" w:line="249" w:lineRule="auto"/>
        <w:ind w:left="492"/>
      </w:pPr>
      <w:r>
        <w:rPr>
          <w:w w:val="95"/>
        </w:rPr>
        <w:t>As</w:t>
      </w:r>
      <w:r>
        <w:rPr>
          <w:spacing w:val="-12"/>
          <w:w w:val="95"/>
        </w:rPr>
        <w:t xml:space="preserve"> </w:t>
      </w:r>
      <w:r>
        <w:rPr>
          <w:w w:val="95"/>
        </w:rPr>
        <w:t>an</w:t>
      </w:r>
      <w:r>
        <w:rPr>
          <w:spacing w:val="-11"/>
          <w:w w:val="95"/>
        </w:rPr>
        <w:t xml:space="preserve"> </w:t>
      </w:r>
      <w:r>
        <w:rPr>
          <w:w w:val="95"/>
        </w:rPr>
        <w:t>internationally-facing</w:t>
      </w:r>
      <w:r>
        <w:rPr>
          <w:spacing w:val="-11"/>
          <w:w w:val="95"/>
        </w:rPr>
        <w:t xml:space="preserve"> </w:t>
      </w:r>
      <w:r>
        <w:rPr>
          <w:w w:val="95"/>
        </w:rPr>
        <w:t>economy,</w:t>
      </w:r>
      <w:r>
        <w:rPr>
          <w:spacing w:val="-11"/>
          <w:w w:val="95"/>
        </w:rPr>
        <w:t xml:space="preserve"> </w:t>
      </w:r>
      <w:r>
        <w:rPr>
          <w:w w:val="95"/>
        </w:rPr>
        <w:t>NSW</w:t>
      </w:r>
      <w:r>
        <w:rPr>
          <w:spacing w:val="-11"/>
          <w:w w:val="95"/>
        </w:rPr>
        <w:t xml:space="preserve"> </w:t>
      </w:r>
      <w:r>
        <w:rPr>
          <w:w w:val="95"/>
        </w:rPr>
        <w:t>is</w:t>
      </w:r>
      <w:r>
        <w:rPr>
          <w:spacing w:val="-11"/>
          <w:w w:val="95"/>
        </w:rPr>
        <w:t xml:space="preserve"> </w:t>
      </w:r>
      <w:r>
        <w:rPr>
          <w:w w:val="95"/>
        </w:rPr>
        <w:t xml:space="preserve">vulnerable </w:t>
      </w:r>
      <w:r>
        <w:rPr>
          <w:spacing w:val="-2"/>
        </w:rPr>
        <w:t>to</w:t>
      </w:r>
      <w:r>
        <w:rPr>
          <w:spacing w:val="-6"/>
        </w:rPr>
        <w:t xml:space="preserve"> </w:t>
      </w:r>
      <w:r>
        <w:rPr>
          <w:spacing w:val="-2"/>
        </w:rPr>
        <w:t>global</w:t>
      </w:r>
      <w:r>
        <w:rPr>
          <w:spacing w:val="-6"/>
        </w:rPr>
        <w:t xml:space="preserve"> </w:t>
      </w:r>
      <w:r>
        <w:rPr>
          <w:spacing w:val="-2"/>
        </w:rPr>
        <w:t>competition</w:t>
      </w:r>
      <w:r>
        <w:rPr>
          <w:spacing w:val="-6"/>
        </w:rPr>
        <w:t xml:space="preserve"> </w:t>
      </w:r>
      <w:r>
        <w:rPr>
          <w:spacing w:val="-2"/>
        </w:rPr>
        <w:t>and</w:t>
      </w:r>
      <w:r>
        <w:rPr>
          <w:spacing w:val="-6"/>
        </w:rPr>
        <w:t xml:space="preserve"> </w:t>
      </w:r>
      <w:r>
        <w:rPr>
          <w:spacing w:val="-2"/>
        </w:rPr>
        <w:t>rapid</w:t>
      </w:r>
      <w:r>
        <w:rPr>
          <w:spacing w:val="-6"/>
        </w:rPr>
        <w:t xml:space="preserve"> </w:t>
      </w:r>
      <w:r>
        <w:rPr>
          <w:spacing w:val="-2"/>
        </w:rPr>
        <w:t>changes</w:t>
      </w:r>
      <w:r>
        <w:rPr>
          <w:spacing w:val="-6"/>
        </w:rPr>
        <w:t xml:space="preserve"> </w:t>
      </w:r>
      <w:r>
        <w:rPr>
          <w:spacing w:val="-2"/>
        </w:rPr>
        <w:t>in</w:t>
      </w:r>
      <w:r>
        <w:rPr>
          <w:spacing w:val="-6"/>
        </w:rPr>
        <w:t xml:space="preserve"> </w:t>
      </w:r>
      <w:r>
        <w:rPr>
          <w:spacing w:val="-2"/>
        </w:rPr>
        <w:t xml:space="preserve">technology, </w:t>
      </w:r>
      <w:r>
        <w:t>which</w:t>
      </w:r>
      <w:r>
        <w:rPr>
          <w:spacing w:val="-14"/>
        </w:rPr>
        <w:t xml:space="preserve"> </w:t>
      </w:r>
      <w:r>
        <w:t>will</w:t>
      </w:r>
      <w:r>
        <w:rPr>
          <w:spacing w:val="-14"/>
        </w:rPr>
        <w:t xml:space="preserve"> </w:t>
      </w:r>
      <w:r>
        <w:t>continue</w:t>
      </w:r>
      <w:r>
        <w:rPr>
          <w:spacing w:val="-14"/>
        </w:rPr>
        <w:t xml:space="preserve"> </w:t>
      </w:r>
      <w:r>
        <w:t>to</w:t>
      </w:r>
      <w:r>
        <w:rPr>
          <w:spacing w:val="-14"/>
        </w:rPr>
        <w:t xml:space="preserve"> </w:t>
      </w:r>
      <w:r>
        <w:t>change</w:t>
      </w:r>
      <w:r>
        <w:rPr>
          <w:spacing w:val="-14"/>
        </w:rPr>
        <w:t xml:space="preserve"> </w:t>
      </w:r>
      <w:r>
        <w:t>the</w:t>
      </w:r>
      <w:r>
        <w:rPr>
          <w:spacing w:val="-14"/>
        </w:rPr>
        <w:t xml:space="preserve"> </w:t>
      </w:r>
      <w:r>
        <w:t>way</w:t>
      </w:r>
      <w:r>
        <w:rPr>
          <w:spacing w:val="-14"/>
        </w:rPr>
        <w:t xml:space="preserve"> </w:t>
      </w:r>
      <w:r>
        <w:t>we</w:t>
      </w:r>
      <w:r>
        <w:rPr>
          <w:spacing w:val="-14"/>
        </w:rPr>
        <w:t xml:space="preserve"> </w:t>
      </w:r>
      <w:r>
        <w:t>both</w:t>
      </w:r>
      <w:r>
        <w:rPr>
          <w:spacing w:val="-14"/>
        </w:rPr>
        <w:t xml:space="preserve"> </w:t>
      </w:r>
      <w:r>
        <w:t>live</w:t>
      </w:r>
      <w:r>
        <w:rPr>
          <w:spacing w:val="-13"/>
        </w:rPr>
        <w:t xml:space="preserve"> </w:t>
      </w:r>
      <w:r>
        <w:t xml:space="preserve">and </w:t>
      </w:r>
      <w:r>
        <w:rPr>
          <w:w w:val="95"/>
        </w:rPr>
        <w:t xml:space="preserve">work over the next 20 years. This is both an opportunity </w:t>
      </w:r>
      <w:r>
        <w:t>and a threat.</w:t>
      </w:r>
    </w:p>
    <w:p w:rsidR="002C1123" w:rsidRDefault="00F22F94">
      <w:pPr>
        <w:pStyle w:val="BodyText"/>
        <w:spacing w:before="146" w:line="249" w:lineRule="auto"/>
        <w:ind w:left="492"/>
      </w:pPr>
      <w:r>
        <w:rPr>
          <w:w w:val="95"/>
        </w:rPr>
        <w:t>We</w:t>
      </w:r>
      <w:r>
        <w:rPr>
          <w:spacing w:val="-1"/>
          <w:w w:val="95"/>
        </w:rPr>
        <w:t xml:space="preserve"> </w:t>
      </w:r>
      <w:r>
        <w:rPr>
          <w:w w:val="95"/>
        </w:rPr>
        <w:t>need</w:t>
      </w:r>
      <w:r>
        <w:rPr>
          <w:spacing w:val="-1"/>
          <w:w w:val="95"/>
        </w:rPr>
        <w:t xml:space="preserve"> </w:t>
      </w:r>
      <w:r>
        <w:rPr>
          <w:w w:val="95"/>
        </w:rPr>
        <w:t>the</w:t>
      </w:r>
      <w:r>
        <w:rPr>
          <w:spacing w:val="-1"/>
          <w:w w:val="95"/>
        </w:rPr>
        <w:t xml:space="preserve"> </w:t>
      </w:r>
      <w:r>
        <w:rPr>
          <w:w w:val="95"/>
        </w:rPr>
        <w:t>infrastructure</w:t>
      </w:r>
      <w:r>
        <w:rPr>
          <w:spacing w:val="-1"/>
          <w:w w:val="95"/>
        </w:rPr>
        <w:t xml:space="preserve"> </w:t>
      </w:r>
      <w:r>
        <w:rPr>
          <w:w w:val="95"/>
        </w:rPr>
        <w:t>to</w:t>
      </w:r>
      <w:r>
        <w:rPr>
          <w:spacing w:val="-1"/>
          <w:w w:val="95"/>
        </w:rPr>
        <w:t xml:space="preserve"> </w:t>
      </w:r>
      <w:r>
        <w:rPr>
          <w:w w:val="95"/>
        </w:rPr>
        <w:t>support</w:t>
      </w:r>
      <w:r>
        <w:rPr>
          <w:spacing w:val="-1"/>
          <w:w w:val="95"/>
        </w:rPr>
        <w:t xml:space="preserve"> </w:t>
      </w:r>
      <w:r>
        <w:rPr>
          <w:w w:val="95"/>
        </w:rPr>
        <w:t>jobs,</w:t>
      </w:r>
      <w:r>
        <w:rPr>
          <w:spacing w:val="-1"/>
          <w:w w:val="95"/>
        </w:rPr>
        <w:t xml:space="preserve"> </w:t>
      </w:r>
      <w:r>
        <w:rPr>
          <w:w w:val="95"/>
        </w:rPr>
        <w:t>housing</w:t>
      </w:r>
      <w:r>
        <w:rPr>
          <w:spacing w:val="-1"/>
          <w:w w:val="95"/>
        </w:rPr>
        <w:t xml:space="preserve"> </w:t>
      </w:r>
      <w:r>
        <w:rPr>
          <w:w w:val="95"/>
        </w:rPr>
        <w:t xml:space="preserve">and </w:t>
      </w:r>
      <w:r>
        <w:rPr>
          <w:spacing w:val="-2"/>
        </w:rPr>
        <w:t>services</w:t>
      </w:r>
      <w:r>
        <w:rPr>
          <w:spacing w:val="-7"/>
        </w:rPr>
        <w:t xml:space="preserve"> </w:t>
      </w:r>
      <w:r>
        <w:rPr>
          <w:spacing w:val="-2"/>
        </w:rPr>
        <w:t>for</w:t>
      </w:r>
      <w:r>
        <w:rPr>
          <w:spacing w:val="-7"/>
        </w:rPr>
        <w:t xml:space="preserve"> </w:t>
      </w:r>
      <w:r>
        <w:rPr>
          <w:spacing w:val="-2"/>
        </w:rPr>
        <w:t>over</w:t>
      </w:r>
      <w:r>
        <w:rPr>
          <w:spacing w:val="-7"/>
        </w:rPr>
        <w:t xml:space="preserve"> </w:t>
      </w:r>
      <w:r>
        <w:rPr>
          <w:spacing w:val="-2"/>
        </w:rPr>
        <w:t>nine</w:t>
      </w:r>
      <w:r>
        <w:rPr>
          <w:spacing w:val="-7"/>
        </w:rPr>
        <w:t xml:space="preserve"> </w:t>
      </w:r>
      <w:r>
        <w:rPr>
          <w:spacing w:val="-2"/>
        </w:rPr>
        <w:t>million</w:t>
      </w:r>
      <w:r>
        <w:rPr>
          <w:spacing w:val="-7"/>
        </w:rPr>
        <w:t xml:space="preserve"> </w:t>
      </w:r>
      <w:r>
        <w:rPr>
          <w:spacing w:val="-2"/>
        </w:rPr>
        <w:t>people</w:t>
      </w:r>
      <w:r>
        <w:rPr>
          <w:spacing w:val="-7"/>
        </w:rPr>
        <w:t xml:space="preserve"> </w:t>
      </w:r>
      <w:r>
        <w:rPr>
          <w:spacing w:val="-2"/>
        </w:rPr>
        <w:t>given</w:t>
      </w:r>
      <w:r>
        <w:rPr>
          <w:spacing w:val="-7"/>
        </w:rPr>
        <w:t xml:space="preserve"> </w:t>
      </w:r>
      <w:r>
        <w:rPr>
          <w:spacing w:val="-2"/>
        </w:rPr>
        <w:t>the</w:t>
      </w:r>
      <w:r>
        <w:rPr>
          <w:spacing w:val="-7"/>
        </w:rPr>
        <w:t xml:space="preserve"> </w:t>
      </w:r>
      <w:r>
        <w:rPr>
          <w:spacing w:val="-2"/>
        </w:rPr>
        <w:t xml:space="preserve">State’s </w:t>
      </w:r>
      <w:r>
        <w:t>population</w:t>
      </w:r>
      <w:r>
        <w:rPr>
          <w:spacing w:val="-7"/>
        </w:rPr>
        <w:t xml:space="preserve"> </w:t>
      </w:r>
      <w:r>
        <w:t>is</w:t>
      </w:r>
      <w:r>
        <w:rPr>
          <w:spacing w:val="-7"/>
        </w:rPr>
        <w:t xml:space="preserve"> </w:t>
      </w:r>
      <w:r>
        <w:t>forecast</w:t>
      </w:r>
      <w:r>
        <w:rPr>
          <w:spacing w:val="-7"/>
        </w:rPr>
        <w:t xml:space="preserve"> </w:t>
      </w:r>
      <w:r>
        <w:t>to</w:t>
      </w:r>
      <w:r>
        <w:rPr>
          <w:spacing w:val="-7"/>
        </w:rPr>
        <w:t xml:space="preserve"> </w:t>
      </w:r>
      <w:r>
        <w:t>grow</w:t>
      </w:r>
      <w:r>
        <w:rPr>
          <w:spacing w:val="-7"/>
        </w:rPr>
        <w:t xml:space="preserve"> </w:t>
      </w:r>
      <w:r>
        <w:t>by</w:t>
      </w:r>
      <w:r>
        <w:rPr>
          <w:spacing w:val="-7"/>
        </w:rPr>
        <w:t xml:space="preserve"> </w:t>
      </w:r>
      <w:r>
        <w:t>an</w:t>
      </w:r>
      <w:r>
        <w:rPr>
          <w:spacing w:val="-7"/>
        </w:rPr>
        <w:t xml:space="preserve"> </w:t>
      </w:r>
      <w:r>
        <w:t>additional</w:t>
      </w:r>
      <w:r>
        <w:rPr>
          <w:spacing w:val="-7"/>
        </w:rPr>
        <w:t xml:space="preserve"> </w:t>
      </w:r>
      <w:r>
        <w:t xml:space="preserve">two </w:t>
      </w:r>
      <w:r>
        <w:rPr>
          <w:spacing w:val="-2"/>
        </w:rPr>
        <w:t>million</w:t>
      </w:r>
      <w:r>
        <w:rPr>
          <w:spacing w:val="-8"/>
        </w:rPr>
        <w:t xml:space="preserve"> </w:t>
      </w:r>
      <w:r>
        <w:rPr>
          <w:spacing w:val="-2"/>
        </w:rPr>
        <w:t>people</w:t>
      </w:r>
      <w:r>
        <w:rPr>
          <w:spacing w:val="-8"/>
        </w:rPr>
        <w:t xml:space="preserve"> </w:t>
      </w:r>
      <w:r>
        <w:rPr>
          <w:spacing w:val="-2"/>
        </w:rPr>
        <w:t>in</w:t>
      </w:r>
      <w:r>
        <w:rPr>
          <w:spacing w:val="-8"/>
        </w:rPr>
        <w:t xml:space="preserve"> </w:t>
      </w:r>
      <w:r>
        <w:rPr>
          <w:spacing w:val="-2"/>
        </w:rPr>
        <w:t>the</w:t>
      </w:r>
      <w:r>
        <w:rPr>
          <w:spacing w:val="-8"/>
        </w:rPr>
        <w:t xml:space="preserve"> </w:t>
      </w:r>
      <w:r>
        <w:rPr>
          <w:spacing w:val="-2"/>
        </w:rPr>
        <w:t>next</w:t>
      </w:r>
      <w:r>
        <w:rPr>
          <w:spacing w:val="-8"/>
        </w:rPr>
        <w:t xml:space="preserve"> </w:t>
      </w:r>
      <w:r>
        <w:rPr>
          <w:spacing w:val="-2"/>
        </w:rPr>
        <w:t>20</w:t>
      </w:r>
      <w:r>
        <w:rPr>
          <w:spacing w:val="-8"/>
        </w:rPr>
        <w:t xml:space="preserve"> </w:t>
      </w:r>
      <w:r>
        <w:rPr>
          <w:spacing w:val="-2"/>
        </w:rPr>
        <w:t>years,</w:t>
      </w:r>
      <w:r>
        <w:rPr>
          <w:spacing w:val="-8"/>
        </w:rPr>
        <w:t xml:space="preserve"> </w:t>
      </w:r>
      <w:r>
        <w:rPr>
          <w:spacing w:val="-2"/>
        </w:rPr>
        <w:t>mainly</w:t>
      </w:r>
      <w:r>
        <w:rPr>
          <w:spacing w:val="-8"/>
        </w:rPr>
        <w:t xml:space="preserve"> </w:t>
      </w:r>
      <w:r>
        <w:rPr>
          <w:spacing w:val="-2"/>
        </w:rPr>
        <w:t>in</w:t>
      </w:r>
      <w:r>
        <w:rPr>
          <w:spacing w:val="-8"/>
        </w:rPr>
        <w:t xml:space="preserve"> </w:t>
      </w:r>
      <w:r>
        <w:rPr>
          <w:spacing w:val="-2"/>
        </w:rPr>
        <w:t>Sydney.</w:t>
      </w:r>
    </w:p>
    <w:p w:rsidR="002C1123" w:rsidRDefault="00F22F94">
      <w:pPr>
        <w:pStyle w:val="BodyText"/>
        <w:spacing w:before="106" w:line="249" w:lineRule="auto"/>
        <w:ind w:left="254" w:right="-4"/>
      </w:pPr>
      <w:r>
        <w:br w:type="column"/>
      </w:r>
      <w:r>
        <w:t>Growing</w:t>
      </w:r>
      <w:r>
        <w:rPr>
          <w:spacing w:val="-11"/>
        </w:rPr>
        <w:t xml:space="preserve"> </w:t>
      </w:r>
      <w:r>
        <w:t>the</w:t>
      </w:r>
      <w:r>
        <w:rPr>
          <w:spacing w:val="-11"/>
        </w:rPr>
        <w:t xml:space="preserve"> </w:t>
      </w:r>
      <w:r>
        <w:t>economy</w:t>
      </w:r>
      <w:r>
        <w:rPr>
          <w:spacing w:val="-11"/>
        </w:rPr>
        <w:t xml:space="preserve"> </w:t>
      </w:r>
      <w:r>
        <w:t>at</w:t>
      </w:r>
      <w:r>
        <w:rPr>
          <w:spacing w:val="-11"/>
        </w:rPr>
        <w:t xml:space="preserve"> </w:t>
      </w:r>
      <w:r>
        <w:t>a</w:t>
      </w:r>
      <w:r>
        <w:rPr>
          <w:spacing w:val="-11"/>
        </w:rPr>
        <w:t xml:space="preserve"> </w:t>
      </w:r>
      <w:r>
        <w:t>greater</w:t>
      </w:r>
      <w:r>
        <w:rPr>
          <w:spacing w:val="-11"/>
        </w:rPr>
        <w:t xml:space="preserve"> </w:t>
      </w:r>
      <w:r>
        <w:t>rate</w:t>
      </w:r>
      <w:r>
        <w:rPr>
          <w:spacing w:val="-11"/>
        </w:rPr>
        <w:t xml:space="preserve"> </w:t>
      </w:r>
      <w:r>
        <w:t>than</w:t>
      </w:r>
      <w:r>
        <w:rPr>
          <w:spacing w:val="-11"/>
        </w:rPr>
        <w:t xml:space="preserve"> </w:t>
      </w:r>
      <w:r>
        <w:t xml:space="preserve">the </w:t>
      </w:r>
      <w:r>
        <w:rPr>
          <w:w w:val="95"/>
        </w:rPr>
        <w:t xml:space="preserve">population and in a way that supports our service-based </w:t>
      </w:r>
      <w:r>
        <w:t>industries</w:t>
      </w:r>
      <w:r>
        <w:rPr>
          <w:spacing w:val="-13"/>
        </w:rPr>
        <w:t xml:space="preserve"> </w:t>
      </w:r>
      <w:r>
        <w:t>will</w:t>
      </w:r>
      <w:r>
        <w:rPr>
          <w:spacing w:val="-13"/>
        </w:rPr>
        <w:t xml:space="preserve"> </w:t>
      </w:r>
      <w:r>
        <w:t>enable</w:t>
      </w:r>
      <w:r>
        <w:rPr>
          <w:spacing w:val="-13"/>
        </w:rPr>
        <w:t xml:space="preserve"> </w:t>
      </w:r>
      <w:r>
        <w:t>NSW</w:t>
      </w:r>
      <w:r>
        <w:rPr>
          <w:spacing w:val="-13"/>
        </w:rPr>
        <w:t xml:space="preserve"> </w:t>
      </w:r>
      <w:r>
        <w:t>to</w:t>
      </w:r>
      <w:r>
        <w:rPr>
          <w:spacing w:val="-13"/>
        </w:rPr>
        <w:t xml:space="preserve"> </w:t>
      </w:r>
      <w:r>
        <w:t>continue</w:t>
      </w:r>
      <w:r>
        <w:rPr>
          <w:spacing w:val="-13"/>
        </w:rPr>
        <w:t xml:space="preserve"> </w:t>
      </w:r>
      <w:r>
        <w:t>to</w:t>
      </w:r>
      <w:r>
        <w:rPr>
          <w:spacing w:val="-13"/>
        </w:rPr>
        <w:t xml:space="preserve"> </w:t>
      </w:r>
      <w:r>
        <w:t>provide</w:t>
      </w:r>
      <w:r>
        <w:rPr>
          <w:spacing w:val="-13"/>
        </w:rPr>
        <w:t xml:space="preserve"> </w:t>
      </w:r>
      <w:r>
        <w:t xml:space="preserve">and </w:t>
      </w:r>
      <w:r>
        <w:rPr>
          <w:spacing w:val="-2"/>
        </w:rPr>
        <w:t>improve</w:t>
      </w:r>
      <w:r>
        <w:rPr>
          <w:spacing w:val="-5"/>
        </w:rPr>
        <w:t xml:space="preserve"> </w:t>
      </w:r>
      <w:r>
        <w:rPr>
          <w:spacing w:val="-2"/>
        </w:rPr>
        <w:t>the</w:t>
      </w:r>
      <w:r>
        <w:rPr>
          <w:spacing w:val="-5"/>
        </w:rPr>
        <w:t xml:space="preserve"> </w:t>
      </w:r>
      <w:r>
        <w:rPr>
          <w:spacing w:val="-2"/>
        </w:rPr>
        <w:t>quality</w:t>
      </w:r>
      <w:r>
        <w:rPr>
          <w:spacing w:val="-5"/>
        </w:rPr>
        <w:t xml:space="preserve"> </w:t>
      </w:r>
      <w:r>
        <w:rPr>
          <w:spacing w:val="-2"/>
        </w:rPr>
        <w:t>of</w:t>
      </w:r>
      <w:r>
        <w:rPr>
          <w:spacing w:val="-5"/>
        </w:rPr>
        <w:t xml:space="preserve"> </w:t>
      </w:r>
      <w:r>
        <w:rPr>
          <w:spacing w:val="-2"/>
        </w:rPr>
        <w:t>key</w:t>
      </w:r>
      <w:r>
        <w:rPr>
          <w:spacing w:val="-5"/>
        </w:rPr>
        <w:t xml:space="preserve"> </w:t>
      </w:r>
      <w:r>
        <w:rPr>
          <w:spacing w:val="-2"/>
        </w:rPr>
        <w:t>services,</w:t>
      </w:r>
      <w:r>
        <w:rPr>
          <w:spacing w:val="-5"/>
        </w:rPr>
        <w:t xml:space="preserve"> </w:t>
      </w:r>
      <w:r>
        <w:rPr>
          <w:spacing w:val="-2"/>
        </w:rPr>
        <w:t>including</w:t>
      </w:r>
      <w:r>
        <w:rPr>
          <w:spacing w:val="-5"/>
        </w:rPr>
        <w:t xml:space="preserve"> </w:t>
      </w:r>
      <w:r>
        <w:rPr>
          <w:spacing w:val="-2"/>
        </w:rPr>
        <w:t xml:space="preserve">transport, </w:t>
      </w:r>
      <w:r>
        <w:t>health and education.</w:t>
      </w:r>
    </w:p>
    <w:p w:rsidR="002C1123" w:rsidRDefault="00F22F94">
      <w:pPr>
        <w:pStyle w:val="BodyText"/>
        <w:spacing w:before="146" w:line="249" w:lineRule="auto"/>
        <w:ind w:left="254" w:right="-4"/>
      </w:pPr>
      <w:r>
        <w:rPr>
          <w:w w:val="95"/>
        </w:rPr>
        <w:t>The Strategy recommends infrastructure investments necessary</w:t>
      </w:r>
      <w:r>
        <w:rPr>
          <w:spacing w:val="-13"/>
          <w:w w:val="95"/>
        </w:rPr>
        <w:t xml:space="preserve"> </w:t>
      </w:r>
      <w:r>
        <w:rPr>
          <w:w w:val="95"/>
        </w:rPr>
        <w:t>to</w:t>
      </w:r>
      <w:r>
        <w:rPr>
          <w:spacing w:val="-12"/>
          <w:w w:val="95"/>
        </w:rPr>
        <w:t xml:space="preserve"> </w:t>
      </w:r>
      <w:r>
        <w:rPr>
          <w:w w:val="95"/>
        </w:rPr>
        <w:t>encourage</w:t>
      </w:r>
      <w:r>
        <w:rPr>
          <w:spacing w:val="-12"/>
          <w:w w:val="95"/>
        </w:rPr>
        <w:t xml:space="preserve"> </w:t>
      </w:r>
      <w:r>
        <w:rPr>
          <w:w w:val="95"/>
        </w:rPr>
        <w:t>the</w:t>
      </w:r>
      <w:r>
        <w:rPr>
          <w:spacing w:val="-12"/>
          <w:w w:val="95"/>
        </w:rPr>
        <w:t xml:space="preserve"> </w:t>
      </w:r>
      <w:r>
        <w:rPr>
          <w:w w:val="95"/>
        </w:rPr>
        <w:t>economy</w:t>
      </w:r>
      <w:r>
        <w:rPr>
          <w:spacing w:val="-13"/>
          <w:w w:val="95"/>
        </w:rPr>
        <w:t xml:space="preserve"> </w:t>
      </w:r>
      <w:r>
        <w:rPr>
          <w:w w:val="95"/>
        </w:rPr>
        <w:t>to</w:t>
      </w:r>
      <w:r>
        <w:rPr>
          <w:spacing w:val="-12"/>
          <w:w w:val="95"/>
        </w:rPr>
        <w:t xml:space="preserve"> </w:t>
      </w:r>
      <w:r>
        <w:rPr>
          <w:w w:val="95"/>
        </w:rPr>
        <w:t>grow</w:t>
      </w:r>
      <w:r>
        <w:rPr>
          <w:spacing w:val="-12"/>
          <w:w w:val="95"/>
        </w:rPr>
        <w:t xml:space="preserve"> </w:t>
      </w:r>
      <w:r>
        <w:rPr>
          <w:w w:val="95"/>
        </w:rPr>
        <w:t>at</w:t>
      </w:r>
      <w:r>
        <w:rPr>
          <w:spacing w:val="-12"/>
          <w:w w:val="95"/>
        </w:rPr>
        <w:t xml:space="preserve"> </w:t>
      </w:r>
      <w:r>
        <w:rPr>
          <w:w w:val="95"/>
        </w:rPr>
        <w:t>a</w:t>
      </w:r>
      <w:r>
        <w:rPr>
          <w:spacing w:val="-12"/>
          <w:w w:val="95"/>
        </w:rPr>
        <w:t xml:space="preserve"> </w:t>
      </w:r>
      <w:r>
        <w:rPr>
          <w:w w:val="95"/>
        </w:rPr>
        <w:t xml:space="preserve">greater rate than the population, supports our service-based </w:t>
      </w:r>
      <w:r>
        <w:rPr>
          <w:spacing w:val="-2"/>
          <w:w w:val="95"/>
        </w:rPr>
        <w:t>industries</w:t>
      </w:r>
      <w:r>
        <w:rPr>
          <w:spacing w:val="-6"/>
          <w:w w:val="95"/>
        </w:rPr>
        <w:t xml:space="preserve"> </w:t>
      </w:r>
      <w:r>
        <w:rPr>
          <w:spacing w:val="-2"/>
          <w:w w:val="95"/>
        </w:rPr>
        <w:t>and</w:t>
      </w:r>
      <w:r>
        <w:rPr>
          <w:spacing w:val="-6"/>
          <w:w w:val="95"/>
        </w:rPr>
        <w:t xml:space="preserve"> </w:t>
      </w:r>
      <w:r>
        <w:rPr>
          <w:spacing w:val="-2"/>
          <w:w w:val="95"/>
        </w:rPr>
        <w:t>lifts</w:t>
      </w:r>
      <w:r>
        <w:rPr>
          <w:spacing w:val="-6"/>
          <w:w w:val="95"/>
        </w:rPr>
        <w:t xml:space="preserve"> </w:t>
      </w:r>
      <w:r>
        <w:rPr>
          <w:spacing w:val="-2"/>
          <w:w w:val="95"/>
        </w:rPr>
        <w:t>the</w:t>
      </w:r>
      <w:r>
        <w:rPr>
          <w:spacing w:val="-6"/>
          <w:w w:val="95"/>
        </w:rPr>
        <w:t xml:space="preserve"> </w:t>
      </w:r>
      <w:r>
        <w:rPr>
          <w:spacing w:val="-2"/>
          <w:w w:val="95"/>
        </w:rPr>
        <w:t>poor</w:t>
      </w:r>
      <w:r>
        <w:rPr>
          <w:spacing w:val="-6"/>
          <w:w w:val="95"/>
        </w:rPr>
        <w:t xml:space="preserve"> </w:t>
      </w:r>
      <w:r>
        <w:rPr>
          <w:spacing w:val="-2"/>
          <w:w w:val="95"/>
        </w:rPr>
        <w:t>productivity</w:t>
      </w:r>
      <w:r>
        <w:rPr>
          <w:spacing w:val="-6"/>
          <w:w w:val="95"/>
        </w:rPr>
        <w:t xml:space="preserve"> </w:t>
      </w:r>
      <w:r>
        <w:rPr>
          <w:spacing w:val="-2"/>
          <w:w w:val="95"/>
        </w:rPr>
        <w:t>of</w:t>
      </w:r>
      <w:r>
        <w:rPr>
          <w:spacing w:val="-6"/>
          <w:w w:val="95"/>
        </w:rPr>
        <w:t xml:space="preserve"> </w:t>
      </w:r>
      <w:r>
        <w:rPr>
          <w:spacing w:val="-2"/>
          <w:w w:val="95"/>
        </w:rPr>
        <w:t>the</w:t>
      </w:r>
      <w:r>
        <w:rPr>
          <w:spacing w:val="-6"/>
          <w:w w:val="95"/>
        </w:rPr>
        <w:t xml:space="preserve"> </w:t>
      </w:r>
      <w:r>
        <w:rPr>
          <w:spacing w:val="-2"/>
          <w:w w:val="95"/>
        </w:rPr>
        <w:t>last</w:t>
      </w:r>
      <w:r>
        <w:rPr>
          <w:spacing w:val="-6"/>
          <w:w w:val="95"/>
        </w:rPr>
        <w:t xml:space="preserve"> </w:t>
      </w:r>
      <w:r>
        <w:rPr>
          <w:spacing w:val="-2"/>
          <w:w w:val="95"/>
        </w:rPr>
        <w:t>decade.</w:t>
      </w:r>
    </w:p>
    <w:p w:rsidR="002C1123" w:rsidRDefault="00F22F94">
      <w:pPr>
        <w:pStyle w:val="BodyText"/>
        <w:spacing w:before="145" w:line="249" w:lineRule="auto"/>
        <w:ind w:left="254" w:right="95"/>
        <w:jc w:val="both"/>
      </w:pPr>
      <w:r>
        <w:rPr>
          <w:w w:val="95"/>
        </w:rPr>
        <w:t>The</w:t>
      </w:r>
      <w:r>
        <w:rPr>
          <w:spacing w:val="-6"/>
          <w:w w:val="95"/>
        </w:rPr>
        <w:t xml:space="preserve"> </w:t>
      </w:r>
      <w:r>
        <w:rPr>
          <w:w w:val="95"/>
        </w:rPr>
        <w:t>right</w:t>
      </w:r>
      <w:r>
        <w:rPr>
          <w:spacing w:val="-6"/>
          <w:w w:val="95"/>
        </w:rPr>
        <w:t xml:space="preserve"> </w:t>
      </w:r>
      <w:r>
        <w:rPr>
          <w:w w:val="95"/>
        </w:rPr>
        <w:t>infrastructure</w:t>
      </w:r>
      <w:r>
        <w:rPr>
          <w:spacing w:val="-6"/>
          <w:w w:val="95"/>
        </w:rPr>
        <w:t xml:space="preserve"> </w:t>
      </w:r>
      <w:r>
        <w:rPr>
          <w:w w:val="95"/>
        </w:rPr>
        <w:t>will</w:t>
      </w:r>
      <w:r>
        <w:rPr>
          <w:spacing w:val="-6"/>
          <w:w w:val="95"/>
        </w:rPr>
        <w:t xml:space="preserve"> </w:t>
      </w:r>
      <w:r>
        <w:rPr>
          <w:w w:val="95"/>
        </w:rPr>
        <w:t>connect,</w:t>
      </w:r>
      <w:r>
        <w:rPr>
          <w:spacing w:val="-6"/>
          <w:w w:val="95"/>
        </w:rPr>
        <w:t xml:space="preserve"> </w:t>
      </w:r>
      <w:r>
        <w:rPr>
          <w:w w:val="95"/>
        </w:rPr>
        <w:t>build</w:t>
      </w:r>
      <w:r>
        <w:rPr>
          <w:spacing w:val="-6"/>
          <w:w w:val="95"/>
        </w:rPr>
        <w:t xml:space="preserve"> </w:t>
      </w:r>
      <w:r>
        <w:rPr>
          <w:w w:val="95"/>
        </w:rPr>
        <w:t>resilience</w:t>
      </w:r>
      <w:r>
        <w:rPr>
          <w:spacing w:val="-6"/>
          <w:w w:val="95"/>
        </w:rPr>
        <w:t xml:space="preserve"> </w:t>
      </w:r>
      <w:r>
        <w:rPr>
          <w:w w:val="95"/>
        </w:rPr>
        <w:t>and be</w:t>
      </w:r>
      <w:r>
        <w:rPr>
          <w:spacing w:val="-5"/>
          <w:w w:val="95"/>
        </w:rPr>
        <w:t xml:space="preserve"> </w:t>
      </w:r>
      <w:r>
        <w:rPr>
          <w:w w:val="95"/>
        </w:rPr>
        <w:t>cost</w:t>
      </w:r>
      <w:r>
        <w:rPr>
          <w:spacing w:val="-5"/>
          <w:w w:val="95"/>
        </w:rPr>
        <w:t xml:space="preserve"> </w:t>
      </w:r>
      <w:r>
        <w:rPr>
          <w:w w:val="95"/>
        </w:rPr>
        <w:t>effective</w:t>
      </w:r>
      <w:r>
        <w:rPr>
          <w:spacing w:val="-5"/>
          <w:w w:val="95"/>
        </w:rPr>
        <w:t xml:space="preserve"> </w:t>
      </w:r>
      <w:r>
        <w:rPr>
          <w:w w:val="95"/>
        </w:rPr>
        <w:t>and</w:t>
      </w:r>
      <w:r>
        <w:rPr>
          <w:spacing w:val="-5"/>
          <w:w w:val="95"/>
        </w:rPr>
        <w:t xml:space="preserve"> </w:t>
      </w:r>
      <w:r>
        <w:rPr>
          <w:w w:val="95"/>
        </w:rPr>
        <w:t>therefore</w:t>
      </w:r>
      <w:r>
        <w:rPr>
          <w:spacing w:val="-5"/>
          <w:w w:val="95"/>
        </w:rPr>
        <w:t xml:space="preserve"> </w:t>
      </w:r>
      <w:r>
        <w:rPr>
          <w:w w:val="95"/>
        </w:rPr>
        <w:t>will</w:t>
      </w:r>
      <w:r>
        <w:rPr>
          <w:spacing w:val="-5"/>
          <w:w w:val="95"/>
        </w:rPr>
        <w:t xml:space="preserve"> </w:t>
      </w:r>
      <w:r>
        <w:rPr>
          <w:w w:val="95"/>
        </w:rPr>
        <w:t>allow</w:t>
      </w:r>
      <w:r>
        <w:rPr>
          <w:spacing w:val="-5"/>
          <w:w w:val="95"/>
        </w:rPr>
        <w:t xml:space="preserve"> </w:t>
      </w:r>
      <w:r>
        <w:rPr>
          <w:w w:val="95"/>
        </w:rPr>
        <w:t>NSW</w:t>
      </w:r>
      <w:r>
        <w:rPr>
          <w:spacing w:val="-5"/>
          <w:w w:val="95"/>
        </w:rPr>
        <w:t xml:space="preserve"> </w:t>
      </w:r>
      <w:r>
        <w:rPr>
          <w:w w:val="95"/>
        </w:rPr>
        <w:t>to</w:t>
      </w:r>
      <w:r>
        <w:rPr>
          <w:spacing w:val="-5"/>
          <w:w w:val="95"/>
        </w:rPr>
        <w:t xml:space="preserve"> </w:t>
      </w:r>
      <w:r>
        <w:rPr>
          <w:w w:val="95"/>
        </w:rPr>
        <w:t>realise its</w:t>
      </w:r>
      <w:r>
        <w:rPr>
          <w:spacing w:val="-6"/>
          <w:w w:val="95"/>
        </w:rPr>
        <w:t xml:space="preserve"> </w:t>
      </w:r>
      <w:r>
        <w:rPr>
          <w:w w:val="95"/>
        </w:rPr>
        <w:t>potential</w:t>
      </w:r>
      <w:r>
        <w:rPr>
          <w:spacing w:val="-6"/>
          <w:w w:val="95"/>
        </w:rPr>
        <w:t xml:space="preserve"> </w:t>
      </w:r>
      <w:r>
        <w:rPr>
          <w:w w:val="95"/>
        </w:rPr>
        <w:t>as</w:t>
      </w:r>
      <w:r>
        <w:rPr>
          <w:spacing w:val="-6"/>
          <w:w w:val="95"/>
        </w:rPr>
        <w:t xml:space="preserve"> </w:t>
      </w:r>
      <w:r>
        <w:rPr>
          <w:w w:val="95"/>
        </w:rPr>
        <w:t>one</w:t>
      </w:r>
      <w:r>
        <w:rPr>
          <w:spacing w:val="-6"/>
          <w:w w:val="95"/>
        </w:rPr>
        <w:t xml:space="preserve"> </w:t>
      </w:r>
      <w:r>
        <w:rPr>
          <w:w w:val="95"/>
        </w:rPr>
        <w:t>of</w:t>
      </w:r>
      <w:r>
        <w:rPr>
          <w:spacing w:val="-6"/>
          <w:w w:val="95"/>
        </w:rPr>
        <w:t xml:space="preserve"> </w:t>
      </w:r>
      <w:r>
        <w:rPr>
          <w:w w:val="95"/>
        </w:rPr>
        <w:t>the</w:t>
      </w:r>
      <w:r>
        <w:rPr>
          <w:spacing w:val="-6"/>
          <w:w w:val="95"/>
        </w:rPr>
        <w:t xml:space="preserve"> </w:t>
      </w:r>
      <w:r>
        <w:rPr>
          <w:w w:val="95"/>
        </w:rPr>
        <w:t>best</w:t>
      </w:r>
      <w:r>
        <w:rPr>
          <w:spacing w:val="-6"/>
          <w:w w:val="95"/>
        </w:rPr>
        <w:t xml:space="preserve"> </w:t>
      </w:r>
      <w:r>
        <w:rPr>
          <w:w w:val="95"/>
        </w:rPr>
        <w:t>places</w:t>
      </w:r>
      <w:r>
        <w:rPr>
          <w:spacing w:val="-6"/>
          <w:w w:val="95"/>
        </w:rPr>
        <w:t xml:space="preserve"> </w:t>
      </w:r>
      <w:r>
        <w:rPr>
          <w:w w:val="95"/>
        </w:rPr>
        <w:t>in</w:t>
      </w:r>
      <w:r>
        <w:rPr>
          <w:spacing w:val="-6"/>
          <w:w w:val="95"/>
        </w:rPr>
        <w:t xml:space="preserve"> </w:t>
      </w:r>
      <w:r>
        <w:rPr>
          <w:w w:val="95"/>
        </w:rPr>
        <w:t>the</w:t>
      </w:r>
      <w:r>
        <w:rPr>
          <w:spacing w:val="-6"/>
          <w:w w:val="95"/>
        </w:rPr>
        <w:t xml:space="preserve"> </w:t>
      </w:r>
      <w:r>
        <w:rPr>
          <w:w w:val="95"/>
        </w:rPr>
        <w:t>world</w:t>
      </w:r>
      <w:r>
        <w:rPr>
          <w:spacing w:val="-6"/>
          <w:w w:val="95"/>
        </w:rPr>
        <w:t xml:space="preserve"> </w:t>
      </w:r>
      <w:r>
        <w:rPr>
          <w:w w:val="95"/>
        </w:rPr>
        <w:t>to</w:t>
      </w:r>
      <w:r>
        <w:rPr>
          <w:spacing w:val="-6"/>
          <w:w w:val="95"/>
        </w:rPr>
        <w:t xml:space="preserve"> </w:t>
      </w:r>
      <w:r>
        <w:rPr>
          <w:w w:val="95"/>
        </w:rPr>
        <w:t xml:space="preserve">live </w:t>
      </w:r>
      <w:r>
        <w:t>and</w:t>
      </w:r>
      <w:r>
        <w:rPr>
          <w:spacing w:val="-11"/>
        </w:rPr>
        <w:t xml:space="preserve"> </w:t>
      </w:r>
      <w:r>
        <w:t>work.</w:t>
      </w:r>
    </w:p>
    <w:p w:rsidR="002C1123" w:rsidRDefault="00F22F94">
      <w:pPr>
        <w:pStyle w:val="Heading6"/>
        <w:spacing w:before="145"/>
        <w:ind w:left="254"/>
      </w:pPr>
      <w:r>
        <w:rPr>
          <w:color w:val="2E3092"/>
          <w:spacing w:val="-4"/>
        </w:rPr>
        <w:t>Infrastructure</w:t>
      </w:r>
      <w:r>
        <w:rPr>
          <w:color w:val="2E3092"/>
          <w:spacing w:val="12"/>
        </w:rPr>
        <w:t xml:space="preserve"> </w:t>
      </w:r>
      <w:r>
        <w:rPr>
          <w:color w:val="2E3092"/>
          <w:spacing w:val="-5"/>
        </w:rPr>
        <w:t>NSW</w:t>
      </w:r>
    </w:p>
    <w:p w:rsidR="002C1123" w:rsidRDefault="00F22F94">
      <w:pPr>
        <w:pStyle w:val="BodyText"/>
        <w:spacing w:before="10" w:line="249" w:lineRule="auto"/>
        <w:ind w:left="254" w:right="239"/>
      </w:pPr>
      <w:r>
        <w:t>Established</w:t>
      </w:r>
      <w:r>
        <w:rPr>
          <w:spacing w:val="-14"/>
        </w:rPr>
        <w:t xml:space="preserve"> </w:t>
      </w:r>
      <w:r>
        <w:t>by</w:t>
      </w:r>
      <w:r>
        <w:rPr>
          <w:spacing w:val="-14"/>
        </w:rPr>
        <w:t xml:space="preserve"> </w:t>
      </w:r>
      <w:r>
        <w:t>the</w:t>
      </w:r>
      <w:r>
        <w:rPr>
          <w:spacing w:val="-14"/>
        </w:rPr>
        <w:t xml:space="preserve"> </w:t>
      </w:r>
      <w:r>
        <w:t>Infrastructure</w:t>
      </w:r>
      <w:r>
        <w:rPr>
          <w:spacing w:val="-14"/>
        </w:rPr>
        <w:t xml:space="preserve"> </w:t>
      </w:r>
      <w:r>
        <w:t>NSW</w:t>
      </w:r>
      <w:r>
        <w:rPr>
          <w:spacing w:val="-14"/>
        </w:rPr>
        <w:t xml:space="preserve"> </w:t>
      </w:r>
      <w:r>
        <w:t>Act</w:t>
      </w:r>
      <w:r>
        <w:rPr>
          <w:spacing w:val="-14"/>
        </w:rPr>
        <w:t xml:space="preserve"> </w:t>
      </w:r>
      <w:r>
        <w:t>2011, Infrastructure</w:t>
      </w:r>
      <w:r>
        <w:rPr>
          <w:spacing w:val="-11"/>
        </w:rPr>
        <w:t xml:space="preserve"> </w:t>
      </w:r>
      <w:r>
        <w:t>NSW</w:t>
      </w:r>
      <w:r>
        <w:rPr>
          <w:spacing w:val="-11"/>
        </w:rPr>
        <w:t xml:space="preserve"> </w:t>
      </w:r>
      <w:r>
        <w:t>is</w:t>
      </w:r>
      <w:r>
        <w:rPr>
          <w:spacing w:val="-11"/>
        </w:rPr>
        <w:t xml:space="preserve"> </w:t>
      </w:r>
      <w:r>
        <w:t>tasked</w:t>
      </w:r>
      <w:r>
        <w:rPr>
          <w:spacing w:val="-11"/>
        </w:rPr>
        <w:t xml:space="preserve"> </w:t>
      </w:r>
      <w:r>
        <w:t>with</w:t>
      </w:r>
      <w:r>
        <w:rPr>
          <w:spacing w:val="-11"/>
        </w:rPr>
        <w:t xml:space="preserve"> </w:t>
      </w:r>
      <w:r>
        <w:t>preparing</w:t>
      </w:r>
      <w:r>
        <w:rPr>
          <w:spacing w:val="-11"/>
        </w:rPr>
        <w:t xml:space="preserve"> </w:t>
      </w:r>
      <w:r>
        <w:t>the</w:t>
      </w:r>
      <w:r>
        <w:rPr>
          <w:spacing w:val="-11"/>
        </w:rPr>
        <w:t xml:space="preserve"> </w:t>
      </w:r>
      <w:r>
        <w:t xml:space="preserve">20 </w:t>
      </w:r>
      <w:r>
        <w:rPr>
          <w:w w:val="95"/>
        </w:rPr>
        <w:t>year</w:t>
      </w:r>
      <w:r>
        <w:rPr>
          <w:spacing w:val="-12"/>
          <w:w w:val="95"/>
        </w:rPr>
        <w:t xml:space="preserve"> </w:t>
      </w:r>
      <w:r>
        <w:rPr>
          <w:w w:val="95"/>
        </w:rPr>
        <w:t>State</w:t>
      </w:r>
      <w:r>
        <w:rPr>
          <w:spacing w:val="-11"/>
          <w:w w:val="95"/>
        </w:rPr>
        <w:t xml:space="preserve"> </w:t>
      </w:r>
      <w:r>
        <w:rPr>
          <w:w w:val="95"/>
        </w:rPr>
        <w:t>Infrastructure</w:t>
      </w:r>
      <w:r>
        <w:rPr>
          <w:spacing w:val="-11"/>
          <w:w w:val="95"/>
        </w:rPr>
        <w:t xml:space="preserve"> </w:t>
      </w:r>
      <w:r>
        <w:rPr>
          <w:w w:val="95"/>
        </w:rPr>
        <w:t>Strategy</w:t>
      </w:r>
      <w:r>
        <w:rPr>
          <w:spacing w:val="-11"/>
          <w:w w:val="95"/>
        </w:rPr>
        <w:t xml:space="preserve"> </w:t>
      </w:r>
      <w:r>
        <w:rPr>
          <w:w w:val="95"/>
        </w:rPr>
        <w:t>(the</w:t>
      </w:r>
      <w:r>
        <w:rPr>
          <w:spacing w:val="-11"/>
          <w:w w:val="95"/>
        </w:rPr>
        <w:t xml:space="preserve"> </w:t>
      </w:r>
      <w:r>
        <w:rPr>
          <w:w w:val="95"/>
        </w:rPr>
        <w:t>Strategy)</w:t>
      </w:r>
      <w:r>
        <w:rPr>
          <w:spacing w:val="-11"/>
          <w:w w:val="95"/>
        </w:rPr>
        <w:t xml:space="preserve"> </w:t>
      </w:r>
      <w:r>
        <w:rPr>
          <w:w w:val="95"/>
        </w:rPr>
        <w:t>for</w:t>
      </w:r>
      <w:r>
        <w:rPr>
          <w:spacing w:val="-11"/>
          <w:w w:val="95"/>
        </w:rPr>
        <w:t xml:space="preserve"> </w:t>
      </w:r>
      <w:r>
        <w:rPr>
          <w:w w:val="95"/>
        </w:rPr>
        <w:t>the Premier.</w:t>
      </w:r>
      <w:r>
        <w:rPr>
          <w:spacing w:val="-6"/>
          <w:w w:val="95"/>
        </w:rPr>
        <w:t xml:space="preserve"> </w:t>
      </w:r>
      <w:r>
        <w:rPr>
          <w:w w:val="95"/>
        </w:rPr>
        <w:t>The</w:t>
      </w:r>
      <w:r>
        <w:rPr>
          <w:spacing w:val="-6"/>
          <w:w w:val="95"/>
        </w:rPr>
        <w:t xml:space="preserve"> </w:t>
      </w:r>
      <w:r>
        <w:rPr>
          <w:w w:val="95"/>
        </w:rPr>
        <w:t>Act</w:t>
      </w:r>
      <w:r>
        <w:rPr>
          <w:spacing w:val="-6"/>
          <w:w w:val="95"/>
        </w:rPr>
        <w:t xml:space="preserve"> </w:t>
      </w:r>
      <w:r>
        <w:rPr>
          <w:w w:val="95"/>
        </w:rPr>
        <w:t>states</w:t>
      </w:r>
      <w:r>
        <w:rPr>
          <w:spacing w:val="-6"/>
          <w:w w:val="95"/>
        </w:rPr>
        <w:t xml:space="preserve"> </w:t>
      </w:r>
      <w:r>
        <w:rPr>
          <w:w w:val="95"/>
        </w:rPr>
        <w:t>that</w:t>
      </w:r>
      <w:r>
        <w:rPr>
          <w:spacing w:val="-6"/>
          <w:w w:val="95"/>
        </w:rPr>
        <w:t xml:space="preserve"> </w:t>
      </w:r>
      <w:r>
        <w:rPr>
          <w:w w:val="95"/>
        </w:rPr>
        <w:t>the</w:t>
      </w:r>
      <w:r>
        <w:rPr>
          <w:spacing w:val="-6"/>
          <w:w w:val="95"/>
        </w:rPr>
        <w:t xml:space="preserve"> </w:t>
      </w:r>
      <w:r>
        <w:rPr>
          <w:w w:val="95"/>
        </w:rPr>
        <w:t>Strategy</w:t>
      </w:r>
      <w:r>
        <w:rPr>
          <w:spacing w:val="-6"/>
          <w:w w:val="95"/>
        </w:rPr>
        <w:t xml:space="preserve"> </w:t>
      </w:r>
      <w:r>
        <w:rPr>
          <w:w w:val="95"/>
        </w:rPr>
        <w:t>must</w:t>
      </w:r>
      <w:r>
        <w:rPr>
          <w:spacing w:val="-6"/>
          <w:w w:val="95"/>
        </w:rPr>
        <w:t xml:space="preserve"> </w:t>
      </w:r>
      <w:r>
        <w:rPr>
          <w:w w:val="95"/>
        </w:rPr>
        <w:t xml:space="preserve">assess </w:t>
      </w:r>
      <w:r>
        <w:t>the</w:t>
      </w:r>
      <w:r>
        <w:rPr>
          <w:spacing w:val="-12"/>
        </w:rPr>
        <w:t xml:space="preserve"> </w:t>
      </w:r>
      <w:r>
        <w:t>current</w:t>
      </w:r>
      <w:r>
        <w:rPr>
          <w:spacing w:val="-12"/>
        </w:rPr>
        <w:t xml:space="preserve"> </w:t>
      </w:r>
      <w:r>
        <w:t>state</w:t>
      </w:r>
      <w:r>
        <w:rPr>
          <w:spacing w:val="-12"/>
        </w:rPr>
        <w:t xml:space="preserve"> </w:t>
      </w:r>
      <w:r>
        <w:t>of</w:t>
      </w:r>
      <w:r>
        <w:rPr>
          <w:spacing w:val="-12"/>
        </w:rPr>
        <w:t xml:space="preserve"> </w:t>
      </w:r>
      <w:r>
        <w:t>infrastructure</w:t>
      </w:r>
      <w:r>
        <w:rPr>
          <w:spacing w:val="-12"/>
        </w:rPr>
        <w:t xml:space="preserve"> </w:t>
      </w:r>
      <w:r>
        <w:t>in</w:t>
      </w:r>
      <w:r>
        <w:rPr>
          <w:spacing w:val="-12"/>
        </w:rPr>
        <w:t xml:space="preserve"> </w:t>
      </w:r>
      <w:r>
        <w:t>NSW</w:t>
      </w:r>
      <w:r>
        <w:rPr>
          <w:spacing w:val="-12"/>
        </w:rPr>
        <w:t xml:space="preserve"> </w:t>
      </w:r>
      <w:r>
        <w:t>and</w:t>
      </w:r>
      <w:r>
        <w:rPr>
          <w:spacing w:val="-12"/>
        </w:rPr>
        <w:t xml:space="preserve"> </w:t>
      </w:r>
      <w:r>
        <w:t>the</w:t>
      </w:r>
    </w:p>
    <w:p w:rsidR="002C1123" w:rsidRDefault="00F22F94">
      <w:pPr>
        <w:pStyle w:val="BodyText"/>
        <w:spacing w:before="4"/>
        <w:ind w:left="254"/>
      </w:pPr>
      <w:r>
        <w:rPr>
          <w:w w:val="95"/>
        </w:rPr>
        <w:t>strategic</w:t>
      </w:r>
      <w:r>
        <w:rPr>
          <w:spacing w:val="-7"/>
          <w:w w:val="95"/>
        </w:rPr>
        <w:t xml:space="preserve"> </w:t>
      </w:r>
      <w:r>
        <w:rPr>
          <w:w w:val="95"/>
        </w:rPr>
        <w:t>priorities</w:t>
      </w:r>
      <w:r>
        <w:rPr>
          <w:spacing w:val="-6"/>
          <w:w w:val="95"/>
        </w:rPr>
        <w:t xml:space="preserve"> </w:t>
      </w:r>
      <w:r>
        <w:rPr>
          <w:w w:val="95"/>
        </w:rPr>
        <w:t>for</w:t>
      </w:r>
      <w:r>
        <w:rPr>
          <w:spacing w:val="-7"/>
          <w:w w:val="95"/>
        </w:rPr>
        <w:t xml:space="preserve"> </w:t>
      </w:r>
      <w:r>
        <w:rPr>
          <w:w w:val="95"/>
        </w:rPr>
        <w:t>infrastructure</w:t>
      </w:r>
      <w:r>
        <w:rPr>
          <w:spacing w:val="-6"/>
          <w:w w:val="95"/>
        </w:rPr>
        <w:t xml:space="preserve"> </w:t>
      </w:r>
      <w:r>
        <w:rPr>
          <w:w w:val="95"/>
        </w:rPr>
        <w:t>for</w:t>
      </w:r>
      <w:r>
        <w:rPr>
          <w:spacing w:val="-7"/>
          <w:w w:val="95"/>
        </w:rPr>
        <w:t xml:space="preserve"> </w:t>
      </w:r>
      <w:r>
        <w:rPr>
          <w:w w:val="95"/>
        </w:rPr>
        <w:t>the</w:t>
      </w:r>
      <w:r>
        <w:rPr>
          <w:spacing w:val="-6"/>
          <w:w w:val="95"/>
        </w:rPr>
        <w:t xml:space="preserve"> </w:t>
      </w:r>
      <w:r>
        <w:rPr>
          <w:w w:val="95"/>
        </w:rPr>
        <w:t>next</w:t>
      </w:r>
      <w:r>
        <w:rPr>
          <w:spacing w:val="-7"/>
          <w:w w:val="95"/>
        </w:rPr>
        <w:t xml:space="preserve"> </w:t>
      </w:r>
      <w:r>
        <w:rPr>
          <w:w w:val="95"/>
        </w:rPr>
        <w:t>20</w:t>
      </w:r>
      <w:r>
        <w:rPr>
          <w:spacing w:val="-6"/>
          <w:w w:val="95"/>
        </w:rPr>
        <w:t xml:space="preserve"> </w:t>
      </w:r>
      <w:r>
        <w:rPr>
          <w:spacing w:val="-2"/>
          <w:w w:val="95"/>
        </w:rPr>
        <w:t>years.</w:t>
      </w:r>
    </w:p>
    <w:p w:rsidR="002C1123" w:rsidRDefault="00F22F94">
      <w:pPr>
        <w:pStyle w:val="BodyText"/>
        <w:spacing w:before="152" w:line="249" w:lineRule="auto"/>
        <w:ind w:left="254" w:right="1"/>
        <w:jc w:val="both"/>
      </w:pPr>
      <w:r>
        <w:rPr>
          <w:w w:val="95"/>
        </w:rPr>
        <w:t>This</w:t>
      </w:r>
      <w:r>
        <w:rPr>
          <w:spacing w:val="-12"/>
          <w:w w:val="95"/>
        </w:rPr>
        <w:t xml:space="preserve"> </w:t>
      </w:r>
      <w:r>
        <w:rPr>
          <w:w w:val="95"/>
        </w:rPr>
        <w:t>Strategy</w:t>
      </w:r>
      <w:r>
        <w:rPr>
          <w:spacing w:val="-11"/>
          <w:w w:val="95"/>
        </w:rPr>
        <w:t xml:space="preserve"> </w:t>
      </w:r>
      <w:r>
        <w:rPr>
          <w:w w:val="95"/>
        </w:rPr>
        <w:t>is</w:t>
      </w:r>
      <w:r>
        <w:rPr>
          <w:spacing w:val="-11"/>
          <w:w w:val="95"/>
        </w:rPr>
        <w:t xml:space="preserve"> </w:t>
      </w:r>
      <w:r>
        <w:rPr>
          <w:w w:val="95"/>
        </w:rPr>
        <w:t>Infrastructure</w:t>
      </w:r>
      <w:r>
        <w:rPr>
          <w:spacing w:val="-11"/>
          <w:w w:val="95"/>
        </w:rPr>
        <w:t xml:space="preserve"> </w:t>
      </w:r>
      <w:r>
        <w:rPr>
          <w:w w:val="95"/>
        </w:rPr>
        <w:t>NSW’s</w:t>
      </w:r>
      <w:r>
        <w:rPr>
          <w:spacing w:val="-11"/>
          <w:w w:val="95"/>
        </w:rPr>
        <w:t xml:space="preserve"> </w:t>
      </w:r>
      <w:r>
        <w:rPr>
          <w:w w:val="95"/>
        </w:rPr>
        <w:t>independent</w:t>
      </w:r>
      <w:r>
        <w:rPr>
          <w:spacing w:val="-11"/>
          <w:w w:val="95"/>
        </w:rPr>
        <w:t xml:space="preserve"> </w:t>
      </w:r>
      <w:r>
        <w:rPr>
          <w:w w:val="95"/>
        </w:rPr>
        <w:t>advice to</w:t>
      </w:r>
      <w:r>
        <w:rPr>
          <w:spacing w:val="-4"/>
          <w:w w:val="95"/>
        </w:rPr>
        <w:t xml:space="preserve"> </w:t>
      </w:r>
      <w:r>
        <w:rPr>
          <w:w w:val="95"/>
        </w:rPr>
        <w:t>Government</w:t>
      </w:r>
      <w:r>
        <w:rPr>
          <w:spacing w:val="-4"/>
          <w:w w:val="95"/>
        </w:rPr>
        <w:t xml:space="preserve"> </w:t>
      </w:r>
      <w:r>
        <w:rPr>
          <w:w w:val="95"/>
        </w:rPr>
        <w:t>on</w:t>
      </w:r>
      <w:r>
        <w:rPr>
          <w:spacing w:val="-4"/>
          <w:w w:val="95"/>
        </w:rPr>
        <w:t xml:space="preserve"> </w:t>
      </w:r>
      <w:r>
        <w:rPr>
          <w:w w:val="95"/>
        </w:rPr>
        <w:t>the</w:t>
      </w:r>
      <w:r>
        <w:rPr>
          <w:spacing w:val="-4"/>
          <w:w w:val="95"/>
        </w:rPr>
        <w:t xml:space="preserve"> </w:t>
      </w:r>
      <w:r>
        <w:rPr>
          <w:w w:val="95"/>
        </w:rPr>
        <w:t>specific</w:t>
      </w:r>
      <w:r>
        <w:rPr>
          <w:spacing w:val="-4"/>
          <w:w w:val="95"/>
        </w:rPr>
        <w:t xml:space="preserve"> </w:t>
      </w:r>
      <w:r>
        <w:rPr>
          <w:w w:val="95"/>
        </w:rPr>
        <w:t>infrastructure</w:t>
      </w:r>
      <w:r>
        <w:rPr>
          <w:spacing w:val="-4"/>
          <w:w w:val="95"/>
        </w:rPr>
        <w:t xml:space="preserve"> </w:t>
      </w:r>
      <w:r>
        <w:rPr>
          <w:w w:val="95"/>
        </w:rPr>
        <w:t xml:space="preserve">investments </w:t>
      </w:r>
      <w:r>
        <w:t>and</w:t>
      </w:r>
      <w:r>
        <w:rPr>
          <w:spacing w:val="-14"/>
        </w:rPr>
        <w:t xml:space="preserve"> </w:t>
      </w:r>
      <w:r>
        <w:t>reforms</w:t>
      </w:r>
      <w:r>
        <w:rPr>
          <w:spacing w:val="-14"/>
        </w:rPr>
        <w:t xml:space="preserve"> </w:t>
      </w:r>
      <w:r>
        <w:t>needed</w:t>
      </w:r>
      <w:r>
        <w:rPr>
          <w:spacing w:val="-14"/>
        </w:rPr>
        <w:t xml:space="preserve"> </w:t>
      </w:r>
      <w:r>
        <w:t>to</w:t>
      </w:r>
      <w:r>
        <w:rPr>
          <w:spacing w:val="-14"/>
        </w:rPr>
        <w:t xml:space="preserve"> </w:t>
      </w:r>
      <w:r>
        <w:t>make</w:t>
      </w:r>
      <w:r>
        <w:rPr>
          <w:spacing w:val="-14"/>
        </w:rPr>
        <w:t xml:space="preserve"> </w:t>
      </w:r>
      <w:r>
        <w:t>NSW</w:t>
      </w:r>
      <w:r>
        <w:rPr>
          <w:spacing w:val="-14"/>
        </w:rPr>
        <w:t xml:space="preserve"> </w:t>
      </w:r>
      <w:r>
        <w:t>number</w:t>
      </w:r>
      <w:r>
        <w:rPr>
          <w:spacing w:val="-14"/>
        </w:rPr>
        <w:t xml:space="preserve"> </w:t>
      </w:r>
      <w:r>
        <w:t>one</w:t>
      </w:r>
      <w:r>
        <w:rPr>
          <w:spacing w:val="-14"/>
        </w:rPr>
        <w:t xml:space="preserve"> </w:t>
      </w:r>
      <w:r>
        <w:t>again.</w:t>
      </w:r>
    </w:p>
    <w:p w:rsidR="002C1123" w:rsidRDefault="00F22F94">
      <w:pPr>
        <w:pStyle w:val="Heading6"/>
        <w:spacing w:before="144"/>
        <w:ind w:left="254"/>
      </w:pPr>
      <w:r>
        <w:rPr>
          <w:color w:val="2E3092"/>
        </w:rPr>
        <w:t>Need</w:t>
      </w:r>
      <w:r>
        <w:rPr>
          <w:color w:val="2E3092"/>
          <w:spacing w:val="-8"/>
        </w:rPr>
        <w:t xml:space="preserve"> </w:t>
      </w:r>
      <w:r>
        <w:rPr>
          <w:color w:val="2E3092"/>
        </w:rPr>
        <w:t>for</w:t>
      </w:r>
      <w:r>
        <w:rPr>
          <w:color w:val="2E3092"/>
          <w:spacing w:val="-8"/>
        </w:rPr>
        <w:t xml:space="preserve"> </w:t>
      </w:r>
      <w:r>
        <w:rPr>
          <w:color w:val="2E3092"/>
        </w:rPr>
        <w:t>the</w:t>
      </w:r>
      <w:r>
        <w:rPr>
          <w:color w:val="2E3092"/>
          <w:spacing w:val="-8"/>
        </w:rPr>
        <w:t xml:space="preserve"> </w:t>
      </w:r>
      <w:r>
        <w:rPr>
          <w:color w:val="2E3092"/>
          <w:spacing w:val="-2"/>
        </w:rPr>
        <w:t>Strategy</w:t>
      </w:r>
    </w:p>
    <w:p w:rsidR="002C1123" w:rsidRDefault="00F22F94">
      <w:pPr>
        <w:pStyle w:val="BodyText"/>
        <w:spacing w:before="10" w:line="249" w:lineRule="auto"/>
        <w:ind w:left="254" w:right="17"/>
      </w:pPr>
      <w:r>
        <w:t>NSW</w:t>
      </w:r>
      <w:r>
        <w:rPr>
          <w:spacing w:val="-14"/>
        </w:rPr>
        <w:t xml:space="preserve"> </w:t>
      </w:r>
      <w:r>
        <w:t>has</w:t>
      </w:r>
      <w:r>
        <w:rPr>
          <w:spacing w:val="-14"/>
        </w:rPr>
        <w:t xml:space="preserve"> </w:t>
      </w:r>
      <w:r>
        <w:t>spent</w:t>
      </w:r>
      <w:r>
        <w:rPr>
          <w:spacing w:val="-14"/>
        </w:rPr>
        <w:t xml:space="preserve"> </w:t>
      </w:r>
      <w:r>
        <w:t>an</w:t>
      </w:r>
      <w:r>
        <w:rPr>
          <w:spacing w:val="-14"/>
        </w:rPr>
        <w:t xml:space="preserve"> </w:t>
      </w:r>
      <w:r>
        <w:t>enormous</w:t>
      </w:r>
      <w:r>
        <w:rPr>
          <w:spacing w:val="-14"/>
        </w:rPr>
        <w:t xml:space="preserve"> </w:t>
      </w:r>
      <w:r>
        <w:t>amount</w:t>
      </w:r>
      <w:r>
        <w:rPr>
          <w:spacing w:val="-14"/>
        </w:rPr>
        <w:t xml:space="preserve"> </w:t>
      </w:r>
      <w:r>
        <w:t>on</w:t>
      </w:r>
      <w:r>
        <w:rPr>
          <w:spacing w:val="-14"/>
        </w:rPr>
        <w:t xml:space="preserve"> </w:t>
      </w:r>
      <w:r>
        <w:t>infrastructure in</w:t>
      </w:r>
      <w:r>
        <w:rPr>
          <w:spacing w:val="-14"/>
        </w:rPr>
        <w:t xml:space="preserve"> </w:t>
      </w:r>
      <w:r>
        <w:t>recent</w:t>
      </w:r>
      <w:r>
        <w:rPr>
          <w:spacing w:val="-14"/>
        </w:rPr>
        <w:t xml:space="preserve"> </w:t>
      </w:r>
      <w:r>
        <w:t>years:</w:t>
      </w:r>
      <w:r>
        <w:rPr>
          <w:spacing w:val="-14"/>
        </w:rPr>
        <w:t xml:space="preserve"> </w:t>
      </w:r>
      <w:r>
        <w:t>more</w:t>
      </w:r>
      <w:r>
        <w:rPr>
          <w:spacing w:val="-14"/>
        </w:rPr>
        <w:t xml:space="preserve"> </w:t>
      </w:r>
      <w:r>
        <w:t>than</w:t>
      </w:r>
      <w:r>
        <w:rPr>
          <w:spacing w:val="-14"/>
        </w:rPr>
        <w:t xml:space="preserve"> </w:t>
      </w:r>
      <w:r>
        <w:t>$70</w:t>
      </w:r>
      <w:r>
        <w:rPr>
          <w:spacing w:val="-14"/>
        </w:rPr>
        <w:t xml:space="preserve"> </w:t>
      </w:r>
      <w:r>
        <w:t>billion</w:t>
      </w:r>
      <w:r>
        <w:rPr>
          <w:spacing w:val="-14"/>
        </w:rPr>
        <w:t xml:space="preserve"> </w:t>
      </w:r>
      <w:r>
        <w:t>in</w:t>
      </w:r>
      <w:r>
        <w:rPr>
          <w:spacing w:val="-14"/>
        </w:rPr>
        <w:t xml:space="preserve"> </w:t>
      </w:r>
      <w:r>
        <w:t xml:space="preserve">2006-11, </w:t>
      </w:r>
      <w:r>
        <w:rPr>
          <w:w w:val="95"/>
        </w:rPr>
        <w:t>compared</w:t>
      </w:r>
      <w:r>
        <w:rPr>
          <w:spacing w:val="-3"/>
          <w:w w:val="95"/>
        </w:rPr>
        <w:t xml:space="preserve"> </w:t>
      </w:r>
      <w:r>
        <w:rPr>
          <w:w w:val="95"/>
        </w:rPr>
        <w:t>with</w:t>
      </w:r>
      <w:r>
        <w:rPr>
          <w:spacing w:val="-3"/>
          <w:w w:val="95"/>
        </w:rPr>
        <w:t xml:space="preserve"> </w:t>
      </w:r>
      <w:r>
        <w:rPr>
          <w:w w:val="95"/>
        </w:rPr>
        <w:t>$35</w:t>
      </w:r>
      <w:r>
        <w:rPr>
          <w:spacing w:val="-3"/>
          <w:w w:val="95"/>
        </w:rPr>
        <w:t xml:space="preserve"> </w:t>
      </w:r>
      <w:r>
        <w:rPr>
          <w:w w:val="95"/>
        </w:rPr>
        <w:t>billion</w:t>
      </w:r>
      <w:r>
        <w:rPr>
          <w:spacing w:val="-3"/>
          <w:w w:val="95"/>
        </w:rPr>
        <w:t xml:space="preserve"> </w:t>
      </w:r>
      <w:r>
        <w:rPr>
          <w:w w:val="95"/>
        </w:rPr>
        <w:t>in</w:t>
      </w:r>
      <w:r>
        <w:rPr>
          <w:spacing w:val="-3"/>
          <w:w w:val="95"/>
        </w:rPr>
        <w:t xml:space="preserve"> </w:t>
      </w:r>
      <w:r>
        <w:rPr>
          <w:w w:val="95"/>
        </w:rPr>
        <w:t>2001-06.</w:t>
      </w:r>
      <w:r>
        <w:rPr>
          <w:spacing w:val="-3"/>
          <w:w w:val="95"/>
        </w:rPr>
        <w:t xml:space="preserve"> </w:t>
      </w:r>
      <w:r>
        <w:rPr>
          <w:w w:val="95"/>
        </w:rPr>
        <w:t>In</w:t>
      </w:r>
      <w:r>
        <w:rPr>
          <w:spacing w:val="-3"/>
          <w:w w:val="95"/>
        </w:rPr>
        <w:t xml:space="preserve"> </w:t>
      </w:r>
      <w:r>
        <w:rPr>
          <w:w w:val="95"/>
        </w:rPr>
        <w:t>particular,</w:t>
      </w:r>
      <w:r>
        <w:rPr>
          <w:spacing w:val="-3"/>
          <w:w w:val="95"/>
        </w:rPr>
        <w:t xml:space="preserve"> </w:t>
      </w:r>
      <w:r>
        <w:rPr>
          <w:w w:val="95"/>
        </w:rPr>
        <w:t xml:space="preserve">there </w:t>
      </w:r>
      <w:r>
        <w:t>has</w:t>
      </w:r>
      <w:r>
        <w:rPr>
          <w:spacing w:val="-14"/>
        </w:rPr>
        <w:t xml:space="preserve"> </w:t>
      </w:r>
      <w:r>
        <w:t>been</w:t>
      </w:r>
      <w:r>
        <w:rPr>
          <w:spacing w:val="-14"/>
        </w:rPr>
        <w:t xml:space="preserve"> </w:t>
      </w:r>
      <w:r>
        <w:t>a</w:t>
      </w:r>
      <w:r>
        <w:rPr>
          <w:spacing w:val="-14"/>
        </w:rPr>
        <w:t xml:space="preserve"> </w:t>
      </w:r>
      <w:r>
        <w:t>step</w:t>
      </w:r>
      <w:r>
        <w:rPr>
          <w:spacing w:val="-14"/>
        </w:rPr>
        <w:t xml:space="preserve"> </w:t>
      </w:r>
      <w:r>
        <w:t>change</w:t>
      </w:r>
      <w:r>
        <w:rPr>
          <w:spacing w:val="-14"/>
        </w:rPr>
        <w:t xml:space="preserve"> </w:t>
      </w:r>
      <w:r>
        <w:t>in</w:t>
      </w:r>
      <w:r>
        <w:rPr>
          <w:spacing w:val="-14"/>
        </w:rPr>
        <w:t xml:space="preserve"> </w:t>
      </w:r>
      <w:r>
        <w:t>the</w:t>
      </w:r>
      <w:r>
        <w:rPr>
          <w:spacing w:val="-14"/>
        </w:rPr>
        <w:t xml:space="preserve"> </w:t>
      </w:r>
      <w:r>
        <w:t>levels</w:t>
      </w:r>
      <w:r>
        <w:rPr>
          <w:spacing w:val="-14"/>
        </w:rPr>
        <w:t xml:space="preserve"> </w:t>
      </w:r>
      <w:r>
        <w:t>of</w:t>
      </w:r>
      <w:r>
        <w:rPr>
          <w:spacing w:val="-14"/>
        </w:rPr>
        <w:t xml:space="preserve"> </w:t>
      </w:r>
      <w:r>
        <w:t>investment</w:t>
      </w:r>
      <w:r>
        <w:rPr>
          <w:spacing w:val="-13"/>
        </w:rPr>
        <w:t xml:space="preserve"> </w:t>
      </w:r>
      <w:r>
        <w:t>in</w:t>
      </w:r>
    </w:p>
    <w:p w:rsidR="002C1123" w:rsidRDefault="00F22F94">
      <w:pPr>
        <w:pStyle w:val="BodyText"/>
        <w:spacing w:before="3" w:line="249" w:lineRule="auto"/>
        <w:ind w:left="254" w:right="177"/>
        <w:jc w:val="both"/>
      </w:pPr>
      <w:r>
        <w:rPr>
          <w:w w:val="95"/>
        </w:rPr>
        <w:t xml:space="preserve">the public transport and electricity distribution sectors. However, simply spending money does not mean that </w:t>
      </w:r>
      <w:r>
        <w:t>critical</w:t>
      </w:r>
      <w:r>
        <w:rPr>
          <w:spacing w:val="-14"/>
        </w:rPr>
        <w:t xml:space="preserve"> </w:t>
      </w:r>
      <w:r>
        <w:t>infrastructure</w:t>
      </w:r>
      <w:r>
        <w:rPr>
          <w:spacing w:val="-14"/>
        </w:rPr>
        <w:t xml:space="preserve"> </w:t>
      </w:r>
      <w:r>
        <w:t>needs</w:t>
      </w:r>
      <w:r>
        <w:rPr>
          <w:spacing w:val="-14"/>
        </w:rPr>
        <w:t xml:space="preserve"> </w:t>
      </w:r>
      <w:r>
        <w:t>are</w:t>
      </w:r>
      <w:r>
        <w:rPr>
          <w:spacing w:val="-14"/>
        </w:rPr>
        <w:t xml:space="preserve"> </w:t>
      </w:r>
      <w:r>
        <w:t>being</w:t>
      </w:r>
      <w:r>
        <w:rPr>
          <w:spacing w:val="-14"/>
        </w:rPr>
        <w:t xml:space="preserve"> </w:t>
      </w:r>
      <w:r>
        <w:t>met</w:t>
      </w:r>
      <w:r>
        <w:rPr>
          <w:spacing w:val="-14"/>
        </w:rPr>
        <w:t xml:space="preserve"> </w:t>
      </w:r>
      <w:r>
        <w:t>efficiently.</w:t>
      </w:r>
    </w:p>
    <w:p w:rsidR="002C1123" w:rsidRDefault="00F22F94">
      <w:pPr>
        <w:pStyle w:val="BodyText"/>
        <w:spacing w:before="106" w:line="249" w:lineRule="auto"/>
        <w:ind w:left="212" w:right="695"/>
      </w:pPr>
      <w:r>
        <w:br w:type="column"/>
      </w:r>
      <w:r>
        <w:t>A</w:t>
      </w:r>
      <w:r>
        <w:rPr>
          <w:spacing w:val="-13"/>
        </w:rPr>
        <w:t xml:space="preserve"> </w:t>
      </w:r>
      <w:r>
        <w:t>targeted</w:t>
      </w:r>
      <w:r>
        <w:rPr>
          <w:spacing w:val="-13"/>
        </w:rPr>
        <w:t xml:space="preserve"> </w:t>
      </w:r>
      <w:r>
        <w:t>infrastructure</w:t>
      </w:r>
      <w:r>
        <w:rPr>
          <w:spacing w:val="-13"/>
        </w:rPr>
        <w:t xml:space="preserve"> </w:t>
      </w:r>
      <w:r>
        <w:t>planning</w:t>
      </w:r>
      <w:r>
        <w:rPr>
          <w:spacing w:val="-13"/>
        </w:rPr>
        <w:t xml:space="preserve"> </w:t>
      </w:r>
      <w:r>
        <w:t>and</w:t>
      </w:r>
      <w:r>
        <w:rPr>
          <w:spacing w:val="-13"/>
        </w:rPr>
        <w:t xml:space="preserve"> </w:t>
      </w:r>
      <w:r>
        <w:t xml:space="preserve">investment </w:t>
      </w:r>
      <w:r>
        <w:rPr>
          <w:w w:val="95"/>
        </w:rPr>
        <w:t>strategy is critical to reversing NSW’s relative economic decline.</w:t>
      </w:r>
      <w:r>
        <w:rPr>
          <w:spacing w:val="-2"/>
          <w:w w:val="95"/>
        </w:rPr>
        <w:t xml:space="preserve"> </w:t>
      </w:r>
      <w:r>
        <w:rPr>
          <w:w w:val="95"/>
        </w:rPr>
        <w:t>Despite</w:t>
      </w:r>
      <w:r>
        <w:rPr>
          <w:spacing w:val="-2"/>
          <w:w w:val="95"/>
        </w:rPr>
        <w:t xml:space="preserve"> </w:t>
      </w:r>
      <w:r>
        <w:rPr>
          <w:w w:val="95"/>
        </w:rPr>
        <w:t>record</w:t>
      </w:r>
      <w:r>
        <w:rPr>
          <w:spacing w:val="-2"/>
          <w:w w:val="95"/>
        </w:rPr>
        <w:t xml:space="preserve"> </w:t>
      </w:r>
      <w:r>
        <w:rPr>
          <w:w w:val="95"/>
        </w:rPr>
        <w:t>spending</w:t>
      </w:r>
      <w:r>
        <w:rPr>
          <w:spacing w:val="-2"/>
          <w:w w:val="95"/>
        </w:rPr>
        <w:t xml:space="preserve"> </w:t>
      </w:r>
      <w:r>
        <w:rPr>
          <w:w w:val="95"/>
        </w:rPr>
        <w:t>on</w:t>
      </w:r>
      <w:r>
        <w:rPr>
          <w:spacing w:val="-2"/>
          <w:w w:val="95"/>
        </w:rPr>
        <w:t xml:space="preserve"> </w:t>
      </w:r>
      <w:r>
        <w:rPr>
          <w:w w:val="95"/>
        </w:rPr>
        <w:t>infrastructure,</w:t>
      </w:r>
      <w:r>
        <w:rPr>
          <w:spacing w:val="-2"/>
          <w:w w:val="95"/>
        </w:rPr>
        <w:t xml:space="preserve"> </w:t>
      </w:r>
      <w:r>
        <w:rPr>
          <w:w w:val="95"/>
        </w:rPr>
        <w:t xml:space="preserve">NSW </w:t>
      </w:r>
      <w:r>
        <w:t>has</w:t>
      </w:r>
      <w:r>
        <w:rPr>
          <w:spacing w:val="-4"/>
        </w:rPr>
        <w:t xml:space="preserve"> </w:t>
      </w:r>
      <w:r>
        <w:t>suffered</w:t>
      </w:r>
      <w:r>
        <w:rPr>
          <w:spacing w:val="-4"/>
        </w:rPr>
        <w:t xml:space="preserve"> </w:t>
      </w:r>
      <w:r>
        <w:t>in</w:t>
      </w:r>
      <w:r>
        <w:rPr>
          <w:spacing w:val="-4"/>
        </w:rPr>
        <w:t xml:space="preserve"> </w:t>
      </w:r>
      <w:r>
        <w:t>recent</w:t>
      </w:r>
      <w:r>
        <w:rPr>
          <w:spacing w:val="-4"/>
        </w:rPr>
        <w:t xml:space="preserve"> </w:t>
      </w:r>
      <w:r>
        <w:t>years</w:t>
      </w:r>
      <w:r>
        <w:rPr>
          <w:spacing w:val="-4"/>
        </w:rPr>
        <w:t xml:space="preserve"> </w:t>
      </w:r>
      <w:r>
        <w:t>from:</w:t>
      </w:r>
    </w:p>
    <w:p w:rsidR="002C1123" w:rsidRDefault="00F22F94">
      <w:pPr>
        <w:pStyle w:val="ListParagraph"/>
        <w:numPr>
          <w:ilvl w:val="0"/>
          <w:numId w:val="193"/>
        </w:numPr>
        <w:tabs>
          <w:tab w:val="left" w:pos="497"/>
        </w:tabs>
        <w:spacing w:before="132" w:line="249" w:lineRule="auto"/>
        <w:ind w:right="778"/>
        <w:rPr>
          <w:sz w:val="20"/>
        </w:rPr>
      </w:pPr>
      <w:r>
        <w:rPr>
          <w:sz w:val="20"/>
        </w:rPr>
        <w:t>A</w:t>
      </w:r>
      <w:r>
        <w:rPr>
          <w:spacing w:val="-5"/>
          <w:sz w:val="20"/>
        </w:rPr>
        <w:t xml:space="preserve"> </w:t>
      </w:r>
      <w:r>
        <w:rPr>
          <w:sz w:val="20"/>
        </w:rPr>
        <w:t>lack</w:t>
      </w:r>
      <w:r>
        <w:rPr>
          <w:spacing w:val="-5"/>
          <w:sz w:val="20"/>
        </w:rPr>
        <w:t xml:space="preserve"> </w:t>
      </w:r>
      <w:r>
        <w:rPr>
          <w:sz w:val="20"/>
        </w:rPr>
        <w:t>of</w:t>
      </w:r>
      <w:r>
        <w:rPr>
          <w:spacing w:val="-5"/>
          <w:sz w:val="20"/>
        </w:rPr>
        <w:t xml:space="preserve"> </w:t>
      </w:r>
      <w:r>
        <w:rPr>
          <w:sz w:val="20"/>
        </w:rPr>
        <w:t>coherent</w:t>
      </w:r>
      <w:r>
        <w:rPr>
          <w:spacing w:val="-5"/>
          <w:sz w:val="20"/>
        </w:rPr>
        <w:t xml:space="preserve"> </w:t>
      </w:r>
      <w:r>
        <w:rPr>
          <w:sz w:val="20"/>
        </w:rPr>
        <w:t>planning</w:t>
      </w:r>
      <w:r>
        <w:rPr>
          <w:spacing w:val="-5"/>
          <w:sz w:val="20"/>
        </w:rPr>
        <w:t xml:space="preserve"> </w:t>
      </w:r>
      <w:r>
        <w:rPr>
          <w:sz w:val="20"/>
        </w:rPr>
        <w:t>that</w:t>
      </w:r>
      <w:r>
        <w:rPr>
          <w:spacing w:val="-5"/>
          <w:sz w:val="20"/>
        </w:rPr>
        <w:t xml:space="preserve"> </w:t>
      </w:r>
      <w:r>
        <w:rPr>
          <w:sz w:val="20"/>
        </w:rPr>
        <w:t>responds</w:t>
      </w:r>
      <w:r>
        <w:rPr>
          <w:spacing w:val="-5"/>
          <w:sz w:val="20"/>
        </w:rPr>
        <w:t xml:space="preserve"> </w:t>
      </w:r>
      <w:r>
        <w:rPr>
          <w:sz w:val="20"/>
        </w:rPr>
        <w:t xml:space="preserve">to </w:t>
      </w:r>
      <w:r>
        <w:rPr>
          <w:w w:val="95"/>
          <w:sz w:val="20"/>
        </w:rPr>
        <w:t>fundamental</w:t>
      </w:r>
      <w:r>
        <w:rPr>
          <w:spacing w:val="-1"/>
          <w:w w:val="95"/>
          <w:sz w:val="20"/>
        </w:rPr>
        <w:t xml:space="preserve"> </w:t>
      </w:r>
      <w:r>
        <w:rPr>
          <w:w w:val="95"/>
          <w:sz w:val="20"/>
        </w:rPr>
        <w:t>long</w:t>
      </w:r>
      <w:r>
        <w:rPr>
          <w:spacing w:val="-1"/>
          <w:w w:val="95"/>
          <w:sz w:val="20"/>
        </w:rPr>
        <w:t xml:space="preserve"> </w:t>
      </w:r>
      <w:r>
        <w:rPr>
          <w:w w:val="95"/>
          <w:sz w:val="20"/>
        </w:rPr>
        <w:t>term</w:t>
      </w:r>
      <w:r>
        <w:rPr>
          <w:spacing w:val="-1"/>
          <w:w w:val="95"/>
          <w:sz w:val="20"/>
        </w:rPr>
        <w:t xml:space="preserve"> </w:t>
      </w:r>
      <w:r>
        <w:rPr>
          <w:w w:val="95"/>
          <w:sz w:val="20"/>
        </w:rPr>
        <w:t>trends</w:t>
      </w:r>
      <w:r>
        <w:rPr>
          <w:spacing w:val="-1"/>
          <w:w w:val="95"/>
          <w:sz w:val="20"/>
        </w:rPr>
        <w:t xml:space="preserve"> </w:t>
      </w:r>
      <w:r>
        <w:rPr>
          <w:w w:val="95"/>
          <w:sz w:val="20"/>
        </w:rPr>
        <w:t>and</w:t>
      </w:r>
      <w:r>
        <w:rPr>
          <w:spacing w:val="-1"/>
          <w:w w:val="95"/>
          <w:sz w:val="20"/>
        </w:rPr>
        <w:t xml:space="preserve"> </w:t>
      </w:r>
      <w:r>
        <w:rPr>
          <w:w w:val="95"/>
          <w:sz w:val="20"/>
        </w:rPr>
        <w:t>economic</w:t>
      </w:r>
      <w:r>
        <w:rPr>
          <w:spacing w:val="-1"/>
          <w:w w:val="95"/>
          <w:sz w:val="20"/>
        </w:rPr>
        <w:t xml:space="preserve"> </w:t>
      </w:r>
      <w:r>
        <w:rPr>
          <w:w w:val="95"/>
          <w:sz w:val="20"/>
        </w:rPr>
        <w:t>realities</w:t>
      </w:r>
    </w:p>
    <w:p w:rsidR="002C1123" w:rsidRDefault="00F22F94">
      <w:pPr>
        <w:pStyle w:val="ListParagraph"/>
        <w:numPr>
          <w:ilvl w:val="0"/>
          <w:numId w:val="193"/>
        </w:numPr>
        <w:tabs>
          <w:tab w:val="left" w:pos="497"/>
        </w:tabs>
        <w:spacing w:before="131" w:line="249" w:lineRule="auto"/>
        <w:ind w:right="983"/>
        <w:rPr>
          <w:sz w:val="20"/>
        </w:rPr>
      </w:pPr>
      <w:r>
        <w:rPr>
          <w:w w:val="95"/>
          <w:sz w:val="20"/>
        </w:rPr>
        <w:t xml:space="preserve">Projects have been poorly scoped, or scoped with </w:t>
      </w:r>
      <w:r>
        <w:rPr>
          <w:sz w:val="20"/>
        </w:rPr>
        <w:t>insufficient regard to budgetary constraints</w:t>
      </w:r>
    </w:p>
    <w:p w:rsidR="002C1123" w:rsidRDefault="00F22F94">
      <w:pPr>
        <w:pStyle w:val="ListParagraph"/>
        <w:numPr>
          <w:ilvl w:val="0"/>
          <w:numId w:val="193"/>
        </w:numPr>
        <w:tabs>
          <w:tab w:val="left" w:pos="497"/>
        </w:tabs>
        <w:spacing w:before="130" w:line="249" w:lineRule="auto"/>
        <w:ind w:right="789"/>
        <w:rPr>
          <w:sz w:val="20"/>
        </w:rPr>
      </w:pPr>
      <w:r>
        <w:rPr>
          <w:w w:val="95"/>
          <w:sz w:val="20"/>
        </w:rPr>
        <w:t>Inefficient</w:t>
      </w:r>
      <w:r>
        <w:rPr>
          <w:spacing w:val="-2"/>
          <w:w w:val="95"/>
          <w:sz w:val="20"/>
        </w:rPr>
        <w:t xml:space="preserve"> </w:t>
      </w:r>
      <w:r>
        <w:rPr>
          <w:w w:val="95"/>
          <w:sz w:val="20"/>
        </w:rPr>
        <w:t>operating</w:t>
      </w:r>
      <w:r>
        <w:rPr>
          <w:spacing w:val="-2"/>
          <w:w w:val="95"/>
          <w:sz w:val="20"/>
        </w:rPr>
        <w:t xml:space="preserve"> </w:t>
      </w:r>
      <w:r>
        <w:rPr>
          <w:w w:val="95"/>
          <w:sz w:val="20"/>
        </w:rPr>
        <w:t>practices</w:t>
      </w:r>
      <w:r>
        <w:rPr>
          <w:spacing w:val="-2"/>
          <w:w w:val="95"/>
          <w:sz w:val="20"/>
        </w:rPr>
        <w:t xml:space="preserve"> </w:t>
      </w:r>
      <w:r>
        <w:rPr>
          <w:w w:val="95"/>
          <w:sz w:val="20"/>
        </w:rPr>
        <w:t>and</w:t>
      </w:r>
      <w:r>
        <w:rPr>
          <w:spacing w:val="-2"/>
          <w:w w:val="95"/>
          <w:sz w:val="20"/>
        </w:rPr>
        <w:t xml:space="preserve"> </w:t>
      </w:r>
      <w:r>
        <w:rPr>
          <w:w w:val="95"/>
          <w:sz w:val="20"/>
        </w:rPr>
        <w:t>high</w:t>
      </w:r>
      <w:r>
        <w:rPr>
          <w:spacing w:val="-2"/>
          <w:w w:val="95"/>
          <w:sz w:val="20"/>
        </w:rPr>
        <w:t xml:space="preserve"> </w:t>
      </w:r>
      <w:r>
        <w:rPr>
          <w:w w:val="95"/>
          <w:sz w:val="20"/>
        </w:rPr>
        <w:t>cost</w:t>
      </w:r>
      <w:r>
        <w:rPr>
          <w:spacing w:val="-2"/>
          <w:w w:val="95"/>
          <w:sz w:val="20"/>
        </w:rPr>
        <w:t xml:space="preserve"> </w:t>
      </w:r>
      <w:r>
        <w:rPr>
          <w:w w:val="95"/>
          <w:sz w:val="20"/>
        </w:rPr>
        <w:t>bases</w:t>
      </w:r>
      <w:r>
        <w:rPr>
          <w:spacing w:val="-2"/>
          <w:w w:val="95"/>
          <w:sz w:val="20"/>
        </w:rPr>
        <w:t xml:space="preserve"> </w:t>
      </w:r>
      <w:r>
        <w:rPr>
          <w:w w:val="95"/>
          <w:sz w:val="20"/>
        </w:rPr>
        <w:t xml:space="preserve">in some areas that have prevented the benefits of new </w:t>
      </w:r>
      <w:r>
        <w:rPr>
          <w:sz w:val="20"/>
        </w:rPr>
        <w:t>infrastructure</w:t>
      </w:r>
      <w:r>
        <w:rPr>
          <w:spacing w:val="-3"/>
          <w:sz w:val="20"/>
        </w:rPr>
        <w:t xml:space="preserve"> </w:t>
      </w:r>
      <w:r>
        <w:rPr>
          <w:sz w:val="20"/>
        </w:rPr>
        <w:t>being</w:t>
      </w:r>
      <w:r>
        <w:rPr>
          <w:spacing w:val="-3"/>
          <w:sz w:val="20"/>
        </w:rPr>
        <w:t xml:space="preserve"> </w:t>
      </w:r>
      <w:r>
        <w:rPr>
          <w:sz w:val="20"/>
        </w:rPr>
        <w:t>fully</w:t>
      </w:r>
      <w:r>
        <w:rPr>
          <w:spacing w:val="-3"/>
          <w:sz w:val="20"/>
        </w:rPr>
        <w:t xml:space="preserve"> </w:t>
      </w:r>
      <w:r>
        <w:rPr>
          <w:sz w:val="20"/>
        </w:rPr>
        <w:t>realised</w:t>
      </w:r>
    </w:p>
    <w:p w:rsidR="002C1123" w:rsidRDefault="00F22F94">
      <w:pPr>
        <w:pStyle w:val="ListParagraph"/>
        <w:numPr>
          <w:ilvl w:val="0"/>
          <w:numId w:val="193"/>
        </w:numPr>
        <w:tabs>
          <w:tab w:val="left" w:pos="497"/>
        </w:tabs>
        <w:spacing w:before="132" w:line="249" w:lineRule="auto"/>
        <w:ind w:right="1449"/>
        <w:rPr>
          <w:sz w:val="20"/>
        </w:rPr>
      </w:pPr>
      <w:r>
        <w:rPr>
          <w:w w:val="95"/>
          <w:sz w:val="20"/>
        </w:rPr>
        <w:t>Projects</w:t>
      </w:r>
      <w:r>
        <w:rPr>
          <w:spacing w:val="-7"/>
          <w:w w:val="95"/>
          <w:sz w:val="20"/>
        </w:rPr>
        <w:t xml:space="preserve"> </w:t>
      </w:r>
      <w:r>
        <w:rPr>
          <w:w w:val="95"/>
          <w:sz w:val="20"/>
        </w:rPr>
        <w:t>that</w:t>
      </w:r>
      <w:r>
        <w:rPr>
          <w:spacing w:val="-7"/>
          <w:w w:val="95"/>
          <w:sz w:val="20"/>
        </w:rPr>
        <w:t xml:space="preserve"> </w:t>
      </w:r>
      <w:r>
        <w:rPr>
          <w:w w:val="95"/>
          <w:sz w:val="20"/>
        </w:rPr>
        <w:t>have</w:t>
      </w:r>
      <w:r>
        <w:rPr>
          <w:spacing w:val="-7"/>
          <w:w w:val="95"/>
          <w:sz w:val="20"/>
        </w:rPr>
        <w:t xml:space="preserve"> </w:t>
      </w:r>
      <w:r>
        <w:rPr>
          <w:w w:val="95"/>
          <w:sz w:val="20"/>
        </w:rPr>
        <w:t>been</w:t>
      </w:r>
      <w:r>
        <w:rPr>
          <w:spacing w:val="-7"/>
          <w:w w:val="95"/>
          <w:sz w:val="20"/>
        </w:rPr>
        <w:t xml:space="preserve"> </w:t>
      </w:r>
      <w:r>
        <w:rPr>
          <w:w w:val="95"/>
          <w:sz w:val="20"/>
        </w:rPr>
        <w:t>poorly</w:t>
      </w:r>
      <w:r>
        <w:rPr>
          <w:spacing w:val="-7"/>
          <w:w w:val="95"/>
          <w:sz w:val="20"/>
        </w:rPr>
        <w:t xml:space="preserve"> </w:t>
      </w:r>
      <w:r>
        <w:rPr>
          <w:w w:val="95"/>
          <w:sz w:val="20"/>
        </w:rPr>
        <w:t>delivered</w:t>
      </w:r>
      <w:r>
        <w:rPr>
          <w:spacing w:val="-7"/>
          <w:w w:val="95"/>
          <w:sz w:val="20"/>
        </w:rPr>
        <w:t xml:space="preserve"> </w:t>
      </w:r>
      <w:r>
        <w:rPr>
          <w:w w:val="95"/>
          <w:sz w:val="20"/>
        </w:rPr>
        <w:t xml:space="preserve">with </w:t>
      </w:r>
      <w:r>
        <w:rPr>
          <w:sz w:val="20"/>
        </w:rPr>
        <w:t>frequent delays and cost overruns.</w:t>
      </w:r>
    </w:p>
    <w:p w:rsidR="002C1123" w:rsidRDefault="00F22F94">
      <w:pPr>
        <w:pStyle w:val="Heading6"/>
        <w:spacing w:before="143"/>
        <w:ind w:left="212"/>
      </w:pPr>
      <w:r>
        <w:rPr>
          <w:color w:val="2E3092"/>
          <w:spacing w:val="-2"/>
        </w:rPr>
        <w:t>Strategic</w:t>
      </w:r>
      <w:r>
        <w:rPr>
          <w:color w:val="2E3092"/>
          <w:spacing w:val="-3"/>
        </w:rPr>
        <w:t xml:space="preserve"> </w:t>
      </w:r>
      <w:r>
        <w:rPr>
          <w:color w:val="2E3092"/>
          <w:spacing w:val="-2"/>
        </w:rPr>
        <w:t>Framework</w:t>
      </w:r>
    </w:p>
    <w:p w:rsidR="002C1123" w:rsidRDefault="00F22F94">
      <w:pPr>
        <w:pStyle w:val="BodyText"/>
        <w:spacing w:before="10" w:line="249" w:lineRule="auto"/>
        <w:ind w:left="212" w:right="811"/>
      </w:pPr>
      <w:r>
        <w:rPr>
          <w:w w:val="95"/>
        </w:rPr>
        <w:t>Infrastructure NSW’s framework makes economic impact a key test in determining funding priorities.</w:t>
      </w:r>
    </w:p>
    <w:p w:rsidR="002C1123" w:rsidRDefault="00F22F94">
      <w:pPr>
        <w:pStyle w:val="BodyText"/>
        <w:spacing w:before="143" w:line="249" w:lineRule="auto"/>
        <w:ind w:left="212" w:right="695"/>
      </w:pPr>
      <w:r>
        <w:t>Emphasis</w:t>
      </w:r>
      <w:r>
        <w:rPr>
          <w:spacing w:val="-9"/>
        </w:rPr>
        <w:t xml:space="preserve"> </w:t>
      </w:r>
      <w:r>
        <w:t>has</w:t>
      </w:r>
      <w:r>
        <w:rPr>
          <w:spacing w:val="-9"/>
        </w:rPr>
        <w:t xml:space="preserve"> </w:t>
      </w:r>
      <w:r>
        <w:t>been</w:t>
      </w:r>
      <w:r>
        <w:rPr>
          <w:spacing w:val="-9"/>
        </w:rPr>
        <w:t xml:space="preserve"> </w:t>
      </w:r>
      <w:r>
        <w:t>placed</w:t>
      </w:r>
      <w:r>
        <w:rPr>
          <w:spacing w:val="-9"/>
        </w:rPr>
        <w:t xml:space="preserve"> </w:t>
      </w:r>
      <w:r>
        <w:t>on</w:t>
      </w:r>
      <w:r>
        <w:rPr>
          <w:spacing w:val="-9"/>
        </w:rPr>
        <w:t xml:space="preserve"> </w:t>
      </w:r>
      <w:r>
        <w:t>the</w:t>
      </w:r>
      <w:r>
        <w:rPr>
          <w:spacing w:val="-9"/>
        </w:rPr>
        <w:t xml:space="preserve"> </w:t>
      </w:r>
      <w:r>
        <w:t>need</w:t>
      </w:r>
      <w:r>
        <w:rPr>
          <w:spacing w:val="-9"/>
        </w:rPr>
        <w:t xml:space="preserve"> </w:t>
      </w:r>
      <w:r>
        <w:t>for</w:t>
      </w:r>
      <w:r>
        <w:rPr>
          <w:spacing w:val="-9"/>
        </w:rPr>
        <w:t xml:space="preserve"> </w:t>
      </w:r>
      <w:r>
        <w:t>more intensive</w:t>
      </w:r>
      <w:r>
        <w:rPr>
          <w:spacing w:val="-14"/>
        </w:rPr>
        <w:t xml:space="preserve"> </w:t>
      </w:r>
      <w:r>
        <w:t>use</w:t>
      </w:r>
      <w:r>
        <w:rPr>
          <w:spacing w:val="-14"/>
        </w:rPr>
        <w:t xml:space="preserve"> </w:t>
      </w:r>
      <w:r>
        <w:t>of</w:t>
      </w:r>
      <w:r>
        <w:rPr>
          <w:spacing w:val="-14"/>
        </w:rPr>
        <w:t xml:space="preserve"> </w:t>
      </w:r>
      <w:r>
        <w:t>existing</w:t>
      </w:r>
      <w:r>
        <w:rPr>
          <w:spacing w:val="-14"/>
        </w:rPr>
        <w:t xml:space="preserve"> </w:t>
      </w:r>
      <w:r>
        <w:t>assets</w:t>
      </w:r>
      <w:r>
        <w:rPr>
          <w:spacing w:val="-14"/>
        </w:rPr>
        <w:t xml:space="preserve"> </w:t>
      </w:r>
      <w:r>
        <w:t>and</w:t>
      </w:r>
      <w:r>
        <w:rPr>
          <w:spacing w:val="-14"/>
        </w:rPr>
        <w:t xml:space="preserve"> </w:t>
      </w:r>
      <w:r>
        <w:t xml:space="preserve">incremental </w:t>
      </w:r>
      <w:r>
        <w:rPr>
          <w:w w:val="95"/>
        </w:rPr>
        <w:t xml:space="preserve">improvements before making commitments to extremely </w:t>
      </w:r>
      <w:r>
        <w:t>expensive</w:t>
      </w:r>
      <w:r>
        <w:rPr>
          <w:spacing w:val="-14"/>
        </w:rPr>
        <w:t xml:space="preserve"> </w:t>
      </w:r>
      <w:r>
        <w:t>new</w:t>
      </w:r>
      <w:r>
        <w:rPr>
          <w:spacing w:val="-14"/>
        </w:rPr>
        <w:t xml:space="preserve"> </w:t>
      </w:r>
      <w:r>
        <w:t>infrastructure.</w:t>
      </w:r>
      <w:r>
        <w:rPr>
          <w:spacing w:val="-14"/>
        </w:rPr>
        <w:t xml:space="preserve"> </w:t>
      </w:r>
      <w:r>
        <w:t>Priority</w:t>
      </w:r>
      <w:r>
        <w:rPr>
          <w:spacing w:val="-14"/>
        </w:rPr>
        <w:t xml:space="preserve"> </w:t>
      </w:r>
      <w:r>
        <w:t>is</w:t>
      </w:r>
      <w:r>
        <w:rPr>
          <w:spacing w:val="-14"/>
        </w:rPr>
        <w:t xml:space="preserve"> </w:t>
      </w:r>
      <w:r>
        <w:t>given</w:t>
      </w:r>
      <w:r>
        <w:rPr>
          <w:spacing w:val="-14"/>
        </w:rPr>
        <w:t xml:space="preserve"> </w:t>
      </w:r>
      <w:r>
        <w:t>to</w:t>
      </w:r>
      <w:r>
        <w:rPr>
          <w:spacing w:val="-14"/>
        </w:rPr>
        <w:t xml:space="preserve"> </w:t>
      </w:r>
      <w:r>
        <w:t xml:space="preserve">those </w:t>
      </w:r>
      <w:r>
        <w:rPr>
          <w:w w:val="95"/>
        </w:rPr>
        <w:t xml:space="preserve">regions and sectors where high growth potential is being </w:t>
      </w:r>
      <w:r>
        <w:t>constrained</w:t>
      </w:r>
      <w:r>
        <w:rPr>
          <w:spacing w:val="-3"/>
        </w:rPr>
        <w:t xml:space="preserve"> </w:t>
      </w:r>
      <w:r>
        <w:t>by</w:t>
      </w:r>
      <w:r>
        <w:rPr>
          <w:spacing w:val="-3"/>
        </w:rPr>
        <w:t xml:space="preserve"> </w:t>
      </w:r>
      <w:r>
        <w:t>inadequate</w:t>
      </w:r>
      <w:r>
        <w:rPr>
          <w:spacing w:val="-3"/>
        </w:rPr>
        <w:t xml:space="preserve"> </w:t>
      </w:r>
      <w:r>
        <w:t>infrastructure.</w:t>
      </w:r>
    </w:p>
    <w:p w:rsidR="002C1123" w:rsidRDefault="00F22F94">
      <w:pPr>
        <w:pStyle w:val="BodyText"/>
        <w:spacing w:before="147" w:line="249" w:lineRule="auto"/>
        <w:ind w:left="212" w:right="695"/>
      </w:pPr>
      <w:r>
        <w:t>Potential</w:t>
      </w:r>
      <w:r>
        <w:rPr>
          <w:spacing w:val="-14"/>
        </w:rPr>
        <w:t xml:space="preserve"> </w:t>
      </w:r>
      <w:r>
        <w:t>projects</w:t>
      </w:r>
      <w:r>
        <w:rPr>
          <w:spacing w:val="-13"/>
        </w:rPr>
        <w:t xml:space="preserve"> </w:t>
      </w:r>
      <w:r>
        <w:t>have</w:t>
      </w:r>
      <w:r>
        <w:rPr>
          <w:spacing w:val="-14"/>
        </w:rPr>
        <w:t xml:space="preserve"> </w:t>
      </w:r>
      <w:r>
        <w:t>been</w:t>
      </w:r>
      <w:r>
        <w:rPr>
          <w:spacing w:val="-13"/>
        </w:rPr>
        <w:t xml:space="preserve"> </w:t>
      </w:r>
      <w:r>
        <w:t>subject</w:t>
      </w:r>
      <w:r>
        <w:rPr>
          <w:spacing w:val="-14"/>
        </w:rPr>
        <w:t xml:space="preserve"> </w:t>
      </w:r>
      <w:r>
        <w:t>to</w:t>
      </w:r>
      <w:r>
        <w:rPr>
          <w:spacing w:val="-13"/>
        </w:rPr>
        <w:t xml:space="preserve"> </w:t>
      </w:r>
      <w:r>
        <w:t xml:space="preserve">multi-criteria </w:t>
      </w:r>
      <w:r>
        <w:rPr>
          <w:w w:val="95"/>
        </w:rPr>
        <w:t xml:space="preserve">assessment to gauge strategic fit, economic benefit and </w:t>
      </w:r>
      <w:r>
        <w:t>delivery</w:t>
      </w:r>
      <w:r>
        <w:rPr>
          <w:spacing w:val="-11"/>
        </w:rPr>
        <w:t xml:space="preserve"> </w:t>
      </w:r>
      <w:r>
        <w:t>risk.</w:t>
      </w:r>
    </w:p>
    <w:p w:rsidR="002C1123" w:rsidRDefault="00F22F94">
      <w:pPr>
        <w:pStyle w:val="BodyText"/>
        <w:spacing w:before="144" w:line="249" w:lineRule="auto"/>
        <w:ind w:left="212" w:right="551"/>
      </w:pPr>
      <w:r>
        <w:rPr>
          <w:w w:val="90"/>
        </w:rPr>
        <w:t xml:space="preserve">Taken together, these approaches provide a framework for </w:t>
      </w:r>
      <w:r>
        <w:rPr>
          <w:w w:val="95"/>
        </w:rPr>
        <w:t>increasing</w:t>
      </w:r>
      <w:r>
        <w:rPr>
          <w:spacing w:val="-4"/>
          <w:w w:val="95"/>
        </w:rPr>
        <w:t xml:space="preserve"> </w:t>
      </w:r>
      <w:r>
        <w:rPr>
          <w:w w:val="95"/>
        </w:rPr>
        <w:t>the</w:t>
      </w:r>
      <w:r>
        <w:rPr>
          <w:spacing w:val="-4"/>
          <w:w w:val="95"/>
        </w:rPr>
        <w:t xml:space="preserve"> </w:t>
      </w:r>
      <w:r>
        <w:rPr>
          <w:w w:val="95"/>
        </w:rPr>
        <w:t>quality</w:t>
      </w:r>
      <w:r>
        <w:rPr>
          <w:spacing w:val="-4"/>
          <w:w w:val="95"/>
        </w:rPr>
        <w:t xml:space="preserve"> </w:t>
      </w:r>
      <w:r>
        <w:rPr>
          <w:w w:val="95"/>
        </w:rPr>
        <w:t>of</w:t>
      </w:r>
      <w:r>
        <w:rPr>
          <w:spacing w:val="-4"/>
          <w:w w:val="95"/>
        </w:rPr>
        <w:t xml:space="preserve"> </w:t>
      </w:r>
      <w:r>
        <w:rPr>
          <w:w w:val="95"/>
        </w:rPr>
        <w:t>infrastructure</w:t>
      </w:r>
      <w:r>
        <w:rPr>
          <w:spacing w:val="-4"/>
          <w:w w:val="95"/>
        </w:rPr>
        <w:t xml:space="preserve"> </w:t>
      </w:r>
      <w:r>
        <w:rPr>
          <w:w w:val="95"/>
        </w:rPr>
        <w:t>spending</w:t>
      </w:r>
      <w:r>
        <w:rPr>
          <w:spacing w:val="-4"/>
          <w:w w:val="95"/>
        </w:rPr>
        <w:t xml:space="preserve"> </w:t>
      </w:r>
      <w:r>
        <w:rPr>
          <w:w w:val="95"/>
        </w:rPr>
        <w:t>in</w:t>
      </w:r>
      <w:r>
        <w:rPr>
          <w:spacing w:val="-4"/>
          <w:w w:val="95"/>
        </w:rPr>
        <w:t xml:space="preserve"> </w:t>
      </w:r>
      <w:r>
        <w:rPr>
          <w:w w:val="95"/>
        </w:rPr>
        <w:t>NSW.</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225" w:space="40"/>
            <w:col w:w="5029" w:space="39"/>
            <w:col w:w="5727"/>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3"/>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Heading6"/>
        <w:ind w:left="492"/>
      </w:pPr>
      <w:bookmarkStart w:id="23" w:name="_bookmark15"/>
      <w:bookmarkEnd w:id="23"/>
      <w:r>
        <w:rPr>
          <w:color w:val="2E3092"/>
          <w:spacing w:val="-4"/>
        </w:rPr>
        <w:t>Infrastructure</w:t>
      </w:r>
      <w:r>
        <w:rPr>
          <w:color w:val="2E3092"/>
          <w:spacing w:val="12"/>
        </w:rPr>
        <w:t xml:space="preserve"> </w:t>
      </w:r>
      <w:r>
        <w:rPr>
          <w:color w:val="2E3092"/>
          <w:spacing w:val="-2"/>
        </w:rPr>
        <w:t>Challenges</w:t>
      </w:r>
    </w:p>
    <w:p w:rsidR="002C1123" w:rsidRDefault="00F22F94">
      <w:pPr>
        <w:pStyle w:val="BodyText"/>
        <w:spacing w:before="10" w:line="249" w:lineRule="auto"/>
        <w:ind w:left="492" w:right="109"/>
      </w:pPr>
      <w:r>
        <w:t>The</w:t>
      </w:r>
      <w:r>
        <w:rPr>
          <w:spacing w:val="-7"/>
        </w:rPr>
        <w:t xml:space="preserve"> </w:t>
      </w:r>
      <w:r>
        <w:t>population</w:t>
      </w:r>
      <w:r>
        <w:rPr>
          <w:spacing w:val="-7"/>
        </w:rPr>
        <w:t xml:space="preserve"> </w:t>
      </w:r>
      <w:r>
        <w:t>of</w:t>
      </w:r>
      <w:r>
        <w:rPr>
          <w:spacing w:val="-7"/>
        </w:rPr>
        <w:t xml:space="preserve"> </w:t>
      </w:r>
      <w:r>
        <w:t>NSW</w:t>
      </w:r>
      <w:r>
        <w:rPr>
          <w:spacing w:val="-7"/>
        </w:rPr>
        <w:t xml:space="preserve"> </w:t>
      </w:r>
      <w:r>
        <w:t>is</w:t>
      </w:r>
      <w:r>
        <w:rPr>
          <w:spacing w:val="-7"/>
        </w:rPr>
        <w:t xml:space="preserve"> </w:t>
      </w:r>
      <w:r>
        <w:t>expected</w:t>
      </w:r>
      <w:r>
        <w:rPr>
          <w:spacing w:val="-7"/>
        </w:rPr>
        <w:t xml:space="preserve"> </w:t>
      </w:r>
      <w:r>
        <w:t>to</w:t>
      </w:r>
      <w:r>
        <w:rPr>
          <w:spacing w:val="-7"/>
        </w:rPr>
        <w:t xml:space="preserve"> </w:t>
      </w:r>
      <w:r>
        <w:t>grow</w:t>
      </w:r>
      <w:r>
        <w:rPr>
          <w:spacing w:val="-7"/>
        </w:rPr>
        <w:t xml:space="preserve"> </w:t>
      </w:r>
      <w:r>
        <w:t>by</w:t>
      </w:r>
      <w:r>
        <w:rPr>
          <w:spacing w:val="-7"/>
        </w:rPr>
        <w:t xml:space="preserve"> </w:t>
      </w:r>
      <w:r>
        <w:t>two million</w:t>
      </w:r>
      <w:r>
        <w:rPr>
          <w:spacing w:val="-12"/>
        </w:rPr>
        <w:t xml:space="preserve"> </w:t>
      </w:r>
      <w:r>
        <w:t>people</w:t>
      </w:r>
      <w:r>
        <w:rPr>
          <w:spacing w:val="-12"/>
        </w:rPr>
        <w:t xml:space="preserve"> </w:t>
      </w:r>
      <w:r>
        <w:t>by</w:t>
      </w:r>
      <w:r>
        <w:rPr>
          <w:spacing w:val="-12"/>
        </w:rPr>
        <w:t xml:space="preserve"> </w:t>
      </w:r>
      <w:r>
        <w:t>2032,</w:t>
      </w:r>
      <w:r>
        <w:rPr>
          <w:spacing w:val="-12"/>
        </w:rPr>
        <w:t xml:space="preserve"> </w:t>
      </w:r>
      <w:r>
        <w:t>taking</w:t>
      </w:r>
      <w:r>
        <w:rPr>
          <w:spacing w:val="-12"/>
        </w:rPr>
        <w:t xml:space="preserve"> </w:t>
      </w:r>
      <w:r>
        <w:t>the</w:t>
      </w:r>
      <w:r>
        <w:rPr>
          <w:spacing w:val="-12"/>
        </w:rPr>
        <w:t xml:space="preserve"> </w:t>
      </w:r>
      <w:r>
        <w:t>State’s</w:t>
      </w:r>
      <w:r>
        <w:rPr>
          <w:spacing w:val="-12"/>
        </w:rPr>
        <w:t xml:space="preserve"> </w:t>
      </w:r>
      <w:r>
        <w:t>population to</w:t>
      </w:r>
      <w:r>
        <w:rPr>
          <w:spacing w:val="-14"/>
        </w:rPr>
        <w:t xml:space="preserve"> </w:t>
      </w:r>
      <w:r>
        <w:t>over</w:t>
      </w:r>
      <w:r>
        <w:rPr>
          <w:spacing w:val="-14"/>
        </w:rPr>
        <w:t xml:space="preserve"> </w:t>
      </w:r>
      <w:r>
        <w:t>nine</w:t>
      </w:r>
      <w:r>
        <w:rPr>
          <w:spacing w:val="-14"/>
        </w:rPr>
        <w:t xml:space="preserve"> </w:t>
      </w:r>
      <w:r>
        <w:t>million.</w:t>
      </w:r>
      <w:r>
        <w:rPr>
          <w:spacing w:val="-14"/>
        </w:rPr>
        <w:t xml:space="preserve"> </w:t>
      </w:r>
      <w:r>
        <w:t>New</w:t>
      </w:r>
      <w:r>
        <w:rPr>
          <w:spacing w:val="-14"/>
        </w:rPr>
        <w:t xml:space="preserve"> </w:t>
      </w:r>
      <w:r>
        <w:t>infrastructure</w:t>
      </w:r>
      <w:r>
        <w:rPr>
          <w:spacing w:val="-14"/>
        </w:rPr>
        <w:t xml:space="preserve"> </w:t>
      </w:r>
      <w:r>
        <w:t>is</w:t>
      </w:r>
      <w:r>
        <w:rPr>
          <w:spacing w:val="-14"/>
        </w:rPr>
        <w:t xml:space="preserve"> </w:t>
      </w:r>
      <w:r>
        <w:t>required</w:t>
      </w:r>
      <w:r>
        <w:rPr>
          <w:spacing w:val="-14"/>
        </w:rPr>
        <w:t xml:space="preserve"> </w:t>
      </w:r>
      <w:r>
        <w:t xml:space="preserve">to </w:t>
      </w:r>
      <w:r>
        <w:rPr>
          <w:w w:val="95"/>
        </w:rPr>
        <w:t>deliver</w:t>
      </w:r>
      <w:r>
        <w:rPr>
          <w:spacing w:val="-8"/>
          <w:w w:val="95"/>
        </w:rPr>
        <w:t xml:space="preserve"> </w:t>
      </w:r>
      <w:r>
        <w:rPr>
          <w:w w:val="95"/>
        </w:rPr>
        <w:t>high</w:t>
      </w:r>
      <w:r>
        <w:rPr>
          <w:spacing w:val="-8"/>
          <w:w w:val="95"/>
        </w:rPr>
        <w:t xml:space="preserve"> </w:t>
      </w:r>
      <w:r>
        <w:rPr>
          <w:w w:val="95"/>
        </w:rPr>
        <w:t>quality</w:t>
      </w:r>
      <w:r>
        <w:rPr>
          <w:spacing w:val="-8"/>
          <w:w w:val="95"/>
        </w:rPr>
        <w:t xml:space="preserve"> </w:t>
      </w:r>
      <w:r>
        <w:rPr>
          <w:w w:val="95"/>
        </w:rPr>
        <w:t>housing,</w:t>
      </w:r>
      <w:r>
        <w:rPr>
          <w:spacing w:val="-8"/>
          <w:w w:val="95"/>
        </w:rPr>
        <w:t xml:space="preserve"> </w:t>
      </w:r>
      <w:r>
        <w:rPr>
          <w:w w:val="95"/>
        </w:rPr>
        <w:t>jobs</w:t>
      </w:r>
      <w:r>
        <w:rPr>
          <w:spacing w:val="-8"/>
          <w:w w:val="95"/>
        </w:rPr>
        <w:t xml:space="preserve"> </w:t>
      </w:r>
      <w:r>
        <w:rPr>
          <w:w w:val="95"/>
        </w:rPr>
        <w:t>and</w:t>
      </w:r>
      <w:r>
        <w:rPr>
          <w:spacing w:val="-8"/>
          <w:w w:val="95"/>
        </w:rPr>
        <w:t xml:space="preserve"> </w:t>
      </w:r>
      <w:r>
        <w:rPr>
          <w:w w:val="95"/>
        </w:rPr>
        <w:t>services</w:t>
      </w:r>
      <w:r>
        <w:rPr>
          <w:spacing w:val="-8"/>
          <w:w w:val="95"/>
        </w:rPr>
        <w:t xml:space="preserve"> </w:t>
      </w:r>
      <w:r>
        <w:rPr>
          <w:w w:val="95"/>
        </w:rPr>
        <w:t>to</w:t>
      </w:r>
      <w:r>
        <w:rPr>
          <w:spacing w:val="-8"/>
          <w:w w:val="95"/>
        </w:rPr>
        <w:t xml:space="preserve"> </w:t>
      </w:r>
      <w:r>
        <w:rPr>
          <w:w w:val="95"/>
        </w:rPr>
        <w:t xml:space="preserve">areas </w:t>
      </w:r>
      <w:r>
        <w:t>experiencing</w:t>
      </w:r>
      <w:r>
        <w:rPr>
          <w:spacing w:val="-11"/>
        </w:rPr>
        <w:t xml:space="preserve"> </w:t>
      </w:r>
      <w:r>
        <w:t>growth.</w:t>
      </w:r>
    </w:p>
    <w:p w:rsidR="002C1123" w:rsidRDefault="00F22F94">
      <w:pPr>
        <w:pStyle w:val="BodyText"/>
        <w:spacing w:before="146" w:line="249" w:lineRule="auto"/>
        <w:ind w:left="492"/>
      </w:pPr>
      <w:r>
        <w:t>NSW</w:t>
      </w:r>
      <w:r>
        <w:rPr>
          <w:spacing w:val="-14"/>
        </w:rPr>
        <w:t xml:space="preserve"> </w:t>
      </w:r>
      <w:r>
        <w:t>must</w:t>
      </w:r>
      <w:r>
        <w:rPr>
          <w:spacing w:val="-14"/>
        </w:rPr>
        <w:t xml:space="preserve"> </w:t>
      </w:r>
      <w:r>
        <w:t>remain</w:t>
      </w:r>
      <w:r>
        <w:rPr>
          <w:spacing w:val="-14"/>
        </w:rPr>
        <w:t xml:space="preserve"> </w:t>
      </w:r>
      <w:r>
        <w:t>a</w:t>
      </w:r>
      <w:r>
        <w:rPr>
          <w:spacing w:val="-14"/>
        </w:rPr>
        <w:t xml:space="preserve"> </w:t>
      </w:r>
      <w:r>
        <w:t>liveable</w:t>
      </w:r>
      <w:r>
        <w:rPr>
          <w:spacing w:val="-14"/>
        </w:rPr>
        <w:t xml:space="preserve"> </w:t>
      </w:r>
      <w:r>
        <w:t>and</w:t>
      </w:r>
      <w:r>
        <w:rPr>
          <w:spacing w:val="-14"/>
        </w:rPr>
        <w:t xml:space="preserve"> </w:t>
      </w:r>
      <w:r>
        <w:t>attractive</w:t>
      </w:r>
      <w:r>
        <w:rPr>
          <w:spacing w:val="-14"/>
        </w:rPr>
        <w:t xml:space="preserve"> </w:t>
      </w:r>
      <w:r>
        <w:t>place</w:t>
      </w:r>
      <w:r>
        <w:rPr>
          <w:spacing w:val="-14"/>
        </w:rPr>
        <w:t xml:space="preserve"> </w:t>
      </w:r>
      <w:r>
        <w:t xml:space="preserve">that </w:t>
      </w:r>
      <w:r>
        <w:rPr>
          <w:w w:val="95"/>
        </w:rPr>
        <w:t>attracts</w:t>
      </w:r>
      <w:r>
        <w:rPr>
          <w:spacing w:val="-1"/>
          <w:w w:val="95"/>
        </w:rPr>
        <w:t xml:space="preserve"> </w:t>
      </w:r>
      <w:r>
        <w:rPr>
          <w:w w:val="95"/>
        </w:rPr>
        <w:t>talented</w:t>
      </w:r>
      <w:r>
        <w:rPr>
          <w:spacing w:val="-1"/>
          <w:w w:val="95"/>
        </w:rPr>
        <w:t xml:space="preserve"> </w:t>
      </w:r>
      <w:r>
        <w:rPr>
          <w:w w:val="95"/>
        </w:rPr>
        <w:t>people</w:t>
      </w:r>
      <w:r>
        <w:rPr>
          <w:spacing w:val="-1"/>
          <w:w w:val="95"/>
        </w:rPr>
        <w:t xml:space="preserve"> </w:t>
      </w:r>
      <w:r>
        <w:rPr>
          <w:w w:val="95"/>
        </w:rPr>
        <w:t>and</w:t>
      </w:r>
      <w:r>
        <w:rPr>
          <w:spacing w:val="-1"/>
          <w:w w:val="95"/>
        </w:rPr>
        <w:t xml:space="preserve"> </w:t>
      </w:r>
      <w:r>
        <w:rPr>
          <w:w w:val="95"/>
        </w:rPr>
        <w:t>businesses</w:t>
      </w:r>
      <w:r>
        <w:rPr>
          <w:spacing w:val="-1"/>
          <w:w w:val="95"/>
        </w:rPr>
        <w:t xml:space="preserve"> </w:t>
      </w:r>
      <w:r>
        <w:rPr>
          <w:w w:val="95"/>
        </w:rPr>
        <w:t>in</w:t>
      </w:r>
      <w:r>
        <w:rPr>
          <w:spacing w:val="-1"/>
          <w:w w:val="95"/>
        </w:rPr>
        <w:t xml:space="preserve"> </w:t>
      </w:r>
      <w:r>
        <w:rPr>
          <w:w w:val="95"/>
        </w:rPr>
        <w:t>a</w:t>
      </w:r>
      <w:r>
        <w:rPr>
          <w:spacing w:val="-1"/>
          <w:w w:val="95"/>
        </w:rPr>
        <w:t xml:space="preserve"> </w:t>
      </w:r>
      <w:r>
        <w:rPr>
          <w:w w:val="95"/>
        </w:rPr>
        <w:t xml:space="preserve">competitive </w:t>
      </w:r>
      <w:r>
        <w:t>global</w:t>
      </w:r>
      <w:r>
        <w:rPr>
          <w:spacing w:val="-8"/>
        </w:rPr>
        <w:t xml:space="preserve"> </w:t>
      </w:r>
      <w:r>
        <w:t>marketplace.</w:t>
      </w:r>
      <w:r>
        <w:rPr>
          <w:spacing w:val="-8"/>
        </w:rPr>
        <w:t xml:space="preserve"> </w:t>
      </w:r>
      <w:r>
        <w:t>This</w:t>
      </w:r>
      <w:r>
        <w:rPr>
          <w:spacing w:val="-8"/>
        </w:rPr>
        <w:t xml:space="preserve"> </w:t>
      </w:r>
      <w:r>
        <w:t>requires</w:t>
      </w:r>
      <w:r>
        <w:rPr>
          <w:spacing w:val="-8"/>
        </w:rPr>
        <w:t xml:space="preserve"> </w:t>
      </w:r>
      <w:r>
        <w:t>connected</w:t>
      </w:r>
      <w:r>
        <w:rPr>
          <w:spacing w:val="-8"/>
        </w:rPr>
        <w:t xml:space="preserve"> </w:t>
      </w:r>
      <w:r>
        <w:t>and resilient</w:t>
      </w:r>
      <w:r>
        <w:rPr>
          <w:spacing w:val="-11"/>
        </w:rPr>
        <w:t xml:space="preserve"> </w:t>
      </w:r>
      <w:r>
        <w:t>infrastructure.</w:t>
      </w:r>
    </w:p>
    <w:p w:rsidR="002C1123" w:rsidRDefault="00F22F94">
      <w:pPr>
        <w:pStyle w:val="BodyText"/>
        <w:spacing w:before="145" w:line="249" w:lineRule="auto"/>
        <w:ind w:left="492"/>
      </w:pPr>
      <w:r>
        <w:rPr>
          <w:w w:val="95"/>
        </w:rPr>
        <w:t>Infrastructure</w:t>
      </w:r>
      <w:r>
        <w:rPr>
          <w:spacing w:val="-6"/>
          <w:w w:val="95"/>
        </w:rPr>
        <w:t xml:space="preserve"> </w:t>
      </w:r>
      <w:r>
        <w:rPr>
          <w:w w:val="95"/>
        </w:rPr>
        <w:t>NSW’s</w:t>
      </w:r>
      <w:r>
        <w:rPr>
          <w:spacing w:val="-6"/>
          <w:w w:val="95"/>
        </w:rPr>
        <w:t xml:space="preserve"> </w:t>
      </w:r>
      <w:r>
        <w:rPr>
          <w:w w:val="95"/>
        </w:rPr>
        <w:t>assessment</w:t>
      </w:r>
      <w:r>
        <w:rPr>
          <w:spacing w:val="-6"/>
          <w:w w:val="95"/>
        </w:rPr>
        <w:t xml:space="preserve"> </w:t>
      </w:r>
      <w:r>
        <w:rPr>
          <w:w w:val="95"/>
        </w:rPr>
        <w:t>of</w:t>
      </w:r>
      <w:r>
        <w:rPr>
          <w:spacing w:val="-6"/>
          <w:w w:val="95"/>
        </w:rPr>
        <w:t xml:space="preserve"> </w:t>
      </w:r>
      <w:r>
        <w:rPr>
          <w:w w:val="95"/>
        </w:rPr>
        <w:t>the</w:t>
      </w:r>
      <w:r>
        <w:rPr>
          <w:spacing w:val="-6"/>
          <w:w w:val="95"/>
        </w:rPr>
        <w:t xml:space="preserve"> </w:t>
      </w:r>
      <w:r>
        <w:rPr>
          <w:w w:val="95"/>
        </w:rPr>
        <w:t>State’s</w:t>
      </w:r>
      <w:r>
        <w:rPr>
          <w:spacing w:val="-6"/>
          <w:w w:val="95"/>
        </w:rPr>
        <w:t xml:space="preserve"> </w:t>
      </w:r>
      <w:r>
        <w:rPr>
          <w:w w:val="95"/>
        </w:rPr>
        <w:t xml:space="preserve">existing </w:t>
      </w:r>
      <w:r>
        <w:t>infrastructure</w:t>
      </w:r>
      <w:r>
        <w:rPr>
          <w:spacing w:val="-14"/>
        </w:rPr>
        <w:t xml:space="preserve"> </w:t>
      </w:r>
      <w:r>
        <w:t>has</w:t>
      </w:r>
      <w:r>
        <w:rPr>
          <w:spacing w:val="-14"/>
        </w:rPr>
        <w:t xml:space="preserve"> </w:t>
      </w:r>
      <w:r>
        <w:t>highlighted</w:t>
      </w:r>
      <w:r>
        <w:rPr>
          <w:spacing w:val="-14"/>
        </w:rPr>
        <w:t xml:space="preserve"> </w:t>
      </w:r>
      <w:r>
        <w:t>critical</w:t>
      </w:r>
      <w:r>
        <w:rPr>
          <w:spacing w:val="-14"/>
        </w:rPr>
        <w:t xml:space="preserve"> </w:t>
      </w:r>
      <w:r>
        <w:t xml:space="preserve">infrastructure </w:t>
      </w:r>
      <w:r>
        <w:rPr>
          <w:w w:val="95"/>
        </w:rPr>
        <w:t>deficiencies</w:t>
      </w:r>
      <w:r>
        <w:rPr>
          <w:spacing w:val="-8"/>
          <w:w w:val="95"/>
        </w:rPr>
        <w:t xml:space="preserve"> </w:t>
      </w:r>
      <w:r>
        <w:rPr>
          <w:w w:val="95"/>
        </w:rPr>
        <w:t>in</w:t>
      </w:r>
      <w:r>
        <w:rPr>
          <w:spacing w:val="-8"/>
          <w:w w:val="95"/>
        </w:rPr>
        <w:t xml:space="preserve"> </w:t>
      </w:r>
      <w:r>
        <w:rPr>
          <w:w w:val="95"/>
        </w:rPr>
        <w:t>urban</w:t>
      </w:r>
      <w:r>
        <w:rPr>
          <w:spacing w:val="-8"/>
          <w:w w:val="95"/>
        </w:rPr>
        <w:t xml:space="preserve"> </w:t>
      </w:r>
      <w:r>
        <w:rPr>
          <w:w w:val="95"/>
        </w:rPr>
        <w:t>road</w:t>
      </w:r>
      <w:r>
        <w:rPr>
          <w:spacing w:val="-8"/>
          <w:w w:val="95"/>
        </w:rPr>
        <w:t xml:space="preserve"> </w:t>
      </w:r>
      <w:r>
        <w:rPr>
          <w:w w:val="95"/>
        </w:rPr>
        <w:t>capacity.</w:t>
      </w:r>
      <w:r>
        <w:rPr>
          <w:spacing w:val="-8"/>
          <w:w w:val="95"/>
        </w:rPr>
        <w:t xml:space="preserve"> </w:t>
      </w:r>
      <w:r>
        <w:rPr>
          <w:w w:val="95"/>
        </w:rPr>
        <w:t>It</w:t>
      </w:r>
      <w:r>
        <w:rPr>
          <w:spacing w:val="-8"/>
          <w:w w:val="95"/>
        </w:rPr>
        <w:t xml:space="preserve"> </w:t>
      </w:r>
      <w:r>
        <w:rPr>
          <w:w w:val="95"/>
        </w:rPr>
        <w:t>has</w:t>
      </w:r>
      <w:r>
        <w:rPr>
          <w:spacing w:val="-8"/>
          <w:w w:val="95"/>
        </w:rPr>
        <w:t xml:space="preserve"> </w:t>
      </w:r>
      <w:r>
        <w:rPr>
          <w:w w:val="95"/>
        </w:rPr>
        <w:t>also</w:t>
      </w:r>
      <w:r>
        <w:rPr>
          <w:spacing w:val="-8"/>
          <w:w w:val="95"/>
        </w:rPr>
        <w:t xml:space="preserve"> </w:t>
      </w:r>
      <w:r>
        <w:rPr>
          <w:w w:val="95"/>
        </w:rPr>
        <w:t xml:space="preserve">identified </w:t>
      </w:r>
      <w:r>
        <w:t>major</w:t>
      </w:r>
      <w:r>
        <w:rPr>
          <w:spacing w:val="-10"/>
        </w:rPr>
        <w:t xml:space="preserve"> </w:t>
      </w:r>
      <w:r>
        <w:t>deficiencies</w:t>
      </w:r>
      <w:r>
        <w:rPr>
          <w:spacing w:val="-10"/>
        </w:rPr>
        <w:t xml:space="preserve"> </w:t>
      </w:r>
      <w:r>
        <w:t>in</w:t>
      </w:r>
      <w:r>
        <w:rPr>
          <w:spacing w:val="-10"/>
        </w:rPr>
        <w:t xml:space="preserve"> </w:t>
      </w:r>
      <w:r>
        <w:t>the</w:t>
      </w:r>
      <w:r>
        <w:rPr>
          <w:spacing w:val="-10"/>
        </w:rPr>
        <w:t xml:space="preserve"> </w:t>
      </w:r>
      <w:r>
        <w:t>capacity</w:t>
      </w:r>
      <w:r>
        <w:rPr>
          <w:spacing w:val="-10"/>
        </w:rPr>
        <w:t xml:space="preserve"> </w:t>
      </w:r>
      <w:r>
        <w:t>of</w:t>
      </w:r>
      <w:r>
        <w:rPr>
          <w:spacing w:val="-10"/>
        </w:rPr>
        <w:t xml:space="preserve"> </w:t>
      </w:r>
      <w:r>
        <w:t>bus</w:t>
      </w:r>
      <w:r>
        <w:rPr>
          <w:spacing w:val="-10"/>
        </w:rPr>
        <w:t xml:space="preserve"> </w:t>
      </w:r>
      <w:r>
        <w:t>and</w:t>
      </w:r>
      <w:r>
        <w:rPr>
          <w:spacing w:val="-10"/>
        </w:rPr>
        <w:t xml:space="preserve"> </w:t>
      </w:r>
      <w:r>
        <w:t>train services</w:t>
      </w:r>
      <w:r>
        <w:rPr>
          <w:spacing w:val="-14"/>
        </w:rPr>
        <w:t xml:space="preserve"> </w:t>
      </w:r>
      <w:r>
        <w:t>to</w:t>
      </w:r>
      <w:r>
        <w:rPr>
          <w:spacing w:val="-14"/>
        </w:rPr>
        <w:t xml:space="preserve"> </w:t>
      </w:r>
      <w:r>
        <w:t>the</w:t>
      </w:r>
      <w:r>
        <w:rPr>
          <w:spacing w:val="-14"/>
        </w:rPr>
        <w:t xml:space="preserve"> </w:t>
      </w:r>
      <w:r>
        <w:t>CBD,</w:t>
      </w:r>
      <w:r>
        <w:rPr>
          <w:spacing w:val="-14"/>
        </w:rPr>
        <w:t xml:space="preserve"> </w:t>
      </w:r>
      <w:r>
        <w:t>regional</w:t>
      </w:r>
      <w:r>
        <w:rPr>
          <w:spacing w:val="-14"/>
        </w:rPr>
        <w:t xml:space="preserve"> </w:t>
      </w:r>
      <w:r>
        <w:t>rail,</w:t>
      </w:r>
      <w:r>
        <w:rPr>
          <w:spacing w:val="-14"/>
        </w:rPr>
        <w:t xml:space="preserve"> </w:t>
      </w:r>
      <w:r>
        <w:t>regional</w:t>
      </w:r>
      <w:r>
        <w:rPr>
          <w:spacing w:val="-14"/>
        </w:rPr>
        <w:t xml:space="preserve"> </w:t>
      </w:r>
      <w:r>
        <w:t>water</w:t>
      </w:r>
      <w:r>
        <w:rPr>
          <w:spacing w:val="-14"/>
        </w:rPr>
        <w:t xml:space="preserve"> </w:t>
      </w:r>
      <w:r>
        <w:t>and wastewater,</w:t>
      </w:r>
      <w:r>
        <w:rPr>
          <w:spacing w:val="-11"/>
        </w:rPr>
        <w:t xml:space="preserve"> </w:t>
      </w:r>
      <w:r>
        <w:t>flood</w:t>
      </w:r>
      <w:r>
        <w:rPr>
          <w:spacing w:val="-11"/>
        </w:rPr>
        <w:t xml:space="preserve"> </w:t>
      </w:r>
      <w:r>
        <w:t>mitigation</w:t>
      </w:r>
      <w:r>
        <w:rPr>
          <w:spacing w:val="-11"/>
        </w:rPr>
        <w:t xml:space="preserve"> </w:t>
      </w:r>
      <w:r>
        <w:t>and</w:t>
      </w:r>
      <w:r>
        <w:rPr>
          <w:spacing w:val="-11"/>
        </w:rPr>
        <w:t xml:space="preserve"> </w:t>
      </w:r>
      <w:r>
        <w:t>in</w:t>
      </w:r>
      <w:r>
        <w:rPr>
          <w:spacing w:val="-11"/>
        </w:rPr>
        <w:t xml:space="preserve"> </w:t>
      </w:r>
      <w:r>
        <w:t>the</w:t>
      </w:r>
      <w:r>
        <w:rPr>
          <w:spacing w:val="-11"/>
        </w:rPr>
        <w:t xml:space="preserve"> </w:t>
      </w:r>
      <w:r>
        <w:t>capacity</w:t>
      </w:r>
      <w:r>
        <w:rPr>
          <w:spacing w:val="-11"/>
        </w:rPr>
        <w:t xml:space="preserve"> </w:t>
      </w:r>
      <w:r>
        <w:t>of hospitals and schools.</w:t>
      </w:r>
    </w:p>
    <w:p w:rsidR="002C1123" w:rsidRDefault="00F22F94">
      <w:pPr>
        <w:pStyle w:val="Heading6"/>
        <w:spacing w:before="147"/>
        <w:ind w:left="492"/>
      </w:pPr>
      <w:r>
        <w:rPr>
          <w:color w:val="2E3092"/>
          <w:w w:val="95"/>
        </w:rPr>
        <w:t>Spatial</w:t>
      </w:r>
      <w:r>
        <w:rPr>
          <w:color w:val="2E3092"/>
          <w:spacing w:val="3"/>
        </w:rPr>
        <w:t xml:space="preserve"> </w:t>
      </w:r>
      <w:r>
        <w:rPr>
          <w:color w:val="2E3092"/>
          <w:spacing w:val="-2"/>
        </w:rPr>
        <w:t>Analysis</w:t>
      </w:r>
    </w:p>
    <w:p w:rsidR="002C1123" w:rsidRDefault="00F22F94">
      <w:pPr>
        <w:pStyle w:val="BodyText"/>
        <w:spacing w:before="10"/>
        <w:ind w:left="492"/>
      </w:pPr>
      <w:r>
        <w:rPr>
          <w:spacing w:val="-2"/>
          <w:w w:val="95"/>
        </w:rPr>
        <w:t>The</w:t>
      </w:r>
      <w:r>
        <w:rPr>
          <w:spacing w:val="-3"/>
          <w:w w:val="95"/>
        </w:rPr>
        <w:t xml:space="preserve"> </w:t>
      </w:r>
      <w:r>
        <w:rPr>
          <w:spacing w:val="-2"/>
          <w:w w:val="95"/>
        </w:rPr>
        <w:t>Strategy</w:t>
      </w:r>
      <w:r>
        <w:rPr>
          <w:spacing w:val="-3"/>
          <w:w w:val="95"/>
        </w:rPr>
        <w:t xml:space="preserve"> </w:t>
      </w:r>
      <w:r>
        <w:rPr>
          <w:spacing w:val="-2"/>
          <w:w w:val="95"/>
        </w:rPr>
        <w:t>has</w:t>
      </w:r>
      <w:r>
        <w:rPr>
          <w:spacing w:val="-5"/>
        </w:rPr>
        <w:t xml:space="preserve"> </w:t>
      </w:r>
      <w:r>
        <w:rPr>
          <w:spacing w:val="-2"/>
          <w:w w:val="95"/>
        </w:rPr>
        <w:t>analysed</w:t>
      </w:r>
      <w:r>
        <w:rPr>
          <w:spacing w:val="-3"/>
          <w:w w:val="95"/>
        </w:rPr>
        <w:t xml:space="preserve"> </w:t>
      </w:r>
      <w:r>
        <w:rPr>
          <w:spacing w:val="-2"/>
          <w:w w:val="95"/>
        </w:rPr>
        <w:t>NSW</w:t>
      </w:r>
      <w:r>
        <w:rPr>
          <w:spacing w:val="-5"/>
        </w:rPr>
        <w:t xml:space="preserve"> </w:t>
      </w:r>
      <w:r>
        <w:rPr>
          <w:spacing w:val="-2"/>
          <w:w w:val="95"/>
        </w:rPr>
        <w:t>in</w:t>
      </w:r>
      <w:r>
        <w:rPr>
          <w:spacing w:val="-3"/>
          <w:w w:val="95"/>
        </w:rPr>
        <w:t xml:space="preserve"> </w:t>
      </w:r>
      <w:r>
        <w:rPr>
          <w:spacing w:val="-2"/>
          <w:w w:val="95"/>
        </w:rPr>
        <w:t>three</w:t>
      </w:r>
      <w:r>
        <w:rPr>
          <w:spacing w:val="-5"/>
        </w:rPr>
        <w:t xml:space="preserve"> </w:t>
      </w:r>
      <w:r>
        <w:rPr>
          <w:spacing w:val="-2"/>
          <w:w w:val="95"/>
        </w:rPr>
        <w:t>parts:</w:t>
      </w:r>
    </w:p>
    <w:p w:rsidR="002C1123" w:rsidRDefault="00F22F94">
      <w:pPr>
        <w:pStyle w:val="ListParagraph"/>
        <w:numPr>
          <w:ilvl w:val="0"/>
          <w:numId w:val="192"/>
        </w:numPr>
        <w:tabs>
          <w:tab w:val="left" w:pos="776"/>
        </w:tabs>
        <w:spacing w:before="140" w:line="249" w:lineRule="auto"/>
        <w:ind w:right="20"/>
        <w:rPr>
          <w:sz w:val="20"/>
        </w:rPr>
      </w:pPr>
      <w:r>
        <w:rPr>
          <w:sz w:val="20"/>
        </w:rPr>
        <w:t xml:space="preserve">Global Sydney - comprising the Sydney CBD and </w:t>
      </w:r>
      <w:r>
        <w:rPr>
          <w:w w:val="95"/>
          <w:sz w:val="20"/>
        </w:rPr>
        <w:t>the</w:t>
      </w:r>
      <w:r>
        <w:rPr>
          <w:spacing w:val="-9"/>
          <w:w w:val="95"/>
          <w:sz w:val="20"/>
        </w:rPr>
        <w:t xml:space="preserve"> </w:t>
      </w:r>
      <w:r>
        <w:rPr>
          <w:w w:val="95"/>
          <w:sz w:val="20"/>
        </w:rPr>
        <w:t>inner</w:t>
      </w:r>
      <w:r>
        <w:rPr>
          <w:spacing w:val="-9"/>
          <w:w w:val="95"/>
          <w:sz w:val="20"/>
        </w:rPr>
        <w:t xml:space="preserve"> </w:t>
      </w:r>
      <w:r>
        <w:rPr>
          <w:w w:val="95"/>
          <w:sz w:val="20"/>
        </w:rPr>
        <w:t>suburbs,</w:t>
      </w:r>
      <w:r>
        <w:rPr>
          <w:spacing w:val="-9"/>
          <w:w w:val="95"/>
          <w:sz w:val="20"/>
        </w:rPr>
        <w:t xml:space="preserve"> </w:t>
      </w:r>
      <w:r>
        <w:rPr>
          <w:w w:val="95"/>
          <w:sz w:val="20"/>
        </w:rPr>
        <w:t>Global</w:t>
      </w:r>
      <w:r>
        <w:rPr>
          <w:spacing w:val="-9"/>
          <w:w w:val="95"/>
          <w:sz w:val="20"/>
        </w:rPr>
        <w:t xml:space="preserve"> </w:t>
      </w:r>
      <w:r>
        <w:rPr>
          <w:w w:val="95"/>
          <w:sz w:val="20"/>
        </w:rPr>
        <w:t>Sydney</w:t>
      </w:r>
      <w:r>
        <w:rPr>
          <w:spacing w:val="-9"/>
          <w:w w:val="95"/>
          <w:sz w:val="20"/>
        </w:rPr>
        <w:t xml:space="preserve"> </w:t>
      </w:r>
      <w:r>
        <w:rPr>
          <w:w w:val="95"/>
          <w:sz w:val="20"/>
        </w:rPr>
        <w:t>is</w:t>
      </w:r>
      <w:r>
        <w:rPr>
          <w:spacing w:val="-9"/>
          <w:w w:val="95"/>
          <w:sz w:val="20"/>
        </w:rPr>
        <w:t xml:space="preserve"> </w:t>
      </w:r>
      <w:r>
        <w:rPr>
          <w:w w:val="95"/>
          <w:sz w:val="20"/>
        </w:rPr>
        <w:t>home</w:t>
      </w:r>
      <w:r>
        <w:rPr>
          <w:spacing w:val="-9"/>
          <w:w w:val="95"/>
          <w:sz w:val="20"/>
        </w:rPr>
        <w:t xml:space="preserve"> </w:t>
      </w:r>
      <w:r>
        <w:rPr>
          <w:w w:val="95"/>
          <w:sz w:val="20"/>
        </w:rPr>
        <w:t>to</w:t>
      </w:r>
      <w:r>
        <w:rPr>
          <w:spacing w:val="-9"/>
          <w:w w:val="95"/>
          <w:sz w:val="20"/>
        </w:rPr>
        <w:t xml:space="preserve"> </w:t>
      </w:r>
      <w:r>
        <w:rPr>
          <w:w w:val="95"/>
          <w:sz w:val="20"/>
        </w:rPr>
        <w:t>over</w:t>
      </w:r>
      <w:r>
        <w:rPr>
          <w:spacing w:val="-9"/>
          <w:w w:val="95"/>
          <w:sz w:val="20"/>
        </w:rPr>
        <w:t xml:space="preserve"> </w:t>
      </w:r>
      <w:r>
        <w:rPr>
          <w:w w:val="95"/>
          <w:sz w:val="20"/>
        </w:rPr>
        <w:t xml:space="preserve">half of Australia’s globally competitive service sector jobs </w:t>
      </w:r>
      <w:r>
        <w:rPr>
          <w:sz w:val="20"/>
        </w:rPr>
        <w:t>and</w:t>
      </w:r>
      <w:r>
        <w:rPr>
          <w:spacing w:val="-6"/>
          <w:sz w:val="20"/>
        </w:rPr>
        <w:t xml:space="preserve"> </w:t>
      </w:r>
      <w:r>
        <w:rPr>
          <w:sz w:val="20"/>
        </w:rPr>
        <w:t>contributes</w:t>
      </w:r>
      <w:r>
        <w:rPr>
          <w:spacing w:val="-6"/>
          <w:sz w:val="20"/>
        </w:rPr>
        <w:t xml:space="preserve"> </w:t>
      </w:r>
      <w:r>
        <w:rPr>
          <w:sz w:val="20"/>
        </w:rPr>
        <w:t>41</w:t>
      </w:r>
      <w:r>
        <w:rPr>
          <w:spacing w:val="-6"/>
          <w:sz w:val="20"/>
        </w:rPr>
        <w:t xml:space="preserve"> </w:t>
      </w:r>
      <w:r>
        <w:rPr>
          <w:sz w:val="20"/>
        </w:rPr>
        <w:t>percent</w:t>
      </w:r>
      <w:r>
        <w:rPr>
          <w:spacing w:val="-6"/>
          <w:sz w:val="20"/>
        </w:rPr>
        <w:t xml:space="preserve"> </w:t>
      </w:r>
      <w:r>
        <w:rPr>
          <w:sz w:val="20"/>
        </w:rPr>
        <w:t>to</w:t>
      </w:r>
      <w:r>
        <w:rPr>
          <w:spacing w:val="-6"/>
          <w:sz w:val="20"/>
        </w:rPr>
        <w:t xml:space="preserve"> </w:t>
      </w:r>
      <w:r>
        <w:rPr>
          <w:sz w:val="20"/>
        </w:rPr>
        <w:t>Gross</w:t>
      </w:r>
      <w:r>
        <w:rPr>
          <w:spacing w:val="-6"/>
          <w:sz w:val="20"/>
        </w:rPr>
        <w:t xml:space="preserve"> </w:t>
      </w:r>
      <w:r>
        <w:rPr>
          <w:sz w:val="20"/>
        </w:rPr>
        <w:t>State</w:t>
      </w:r>
      <w:r>
        <w:rPr>
          <w:spacing w:val="-6"/>
          <w:sz w:val="20"/>
        </w:rPr>
        <w:t xml:space="preserve"> </w:t>
      </w:r>
      <w:r>
        <w:rPr>
          <w:sz w:val="20"/>
        </w:rPr>
        <w:t xml:space="preserve">Product </w:t>
      </w:r>
      <w:r>
        <w:rPr>
          <w:spacing w:val="-2"/>
          <w:sz w:val="20"/>
        </w:rPr>
        <w:t>(GSP).</w:t>
      </w:r>
      <w:r>
        <w:rPr>
          <w:spacing w:val="-11"/>
          <w:sz w:val="20"/>
        </w:rPr>
        <w:t xml:space="preserve"> </w:t>
      </w:r>
      <w:r>
        <w:rPr>
          <w:spacing w:val="-2"/>
          <w:sz w:val="20"/>
        </w:rPr>
        <w:t>It</w:t>
      </w:r>
      <w:r>
        <w:rPr>
          <w:spacing w:val="-11"/>
          <w:sz w:val="20"/>
        </w:rPr>
        <w:t xml:space="preserve"> </w:t>
      </w:r>
      <w:r>
        <w:rPr>
          <w:spacing w:val="-2"/>
          <w:sz w:val="20"/>
        </w:rPr>
        <w:t>will</w:t>
      </w:r>
      <w:r>
        <w:rPr>
          <w:spacing w:val="-11"/>
          <w:sz w:val="20"/>
        </w:rPr>
        <w:t xml:space="preserve"> </w:t>
      </w:r>
      <w:r>
        <w:rPr>
          <w:spacing w:val="-2"/>
          <w:sz w:val="20"/>
        </w:rPr>
        <w:t>remain</w:t>
      </w:r>
      <w:r>
        <w:rPr>
          <w:spacing w:val="-11"/>
          <w:sz w:val="20"/>
        </w:rPr>
        <w:t xml:space="preserve"> </w:t>
      </w:r>
      <w:r>
        <w:rPr>
          <w:spacing w:val="-2"/>
          <w:sz w:val="20"/>
        </w:rPr>
        <w:t>NSW</w:t>
      </w:r>
      <w:r>
        <w:rPr>
          <w:spacing w:val="-11"/>
          <w:sz w:val="20"/>
        </w:rPr>
        <w:t xml:space="preserve"> </w:t>
      </w:r>
      <w:r>
        <w:rPr>
          <w:spacing w:val="-2"/>
          <w:sz w:val="20"/>
        </w:rPr>
        <w:t>and</w:t>
      </w:r>
      <w:r>
        <w:rPr>
          <w:spacing w:val="-11"/>
          <w:sz w:val="20"/>
        </w:rPr>
        <w:t xml:space="preserve"> </w:t>
      </w:r>
      <w:r>
        <w:rPr>
          <w:spacing w:val="-2"/>
          <w:sz w:val="20"/>
        </w:rPr>
        <w:t>Australia’s</w:t>
      </w:r>
      <w:r>
        <w:rPr>
          <w:spacing w:val="-11"/>
          <w:sz w:val="20"/>
        </w:rPr>
        <w:t xml:space="preserve"> </w:t>
      </w:r>
      <w:r>
        <w:rPr>
          <w:spacing w:val="-2"/>
          <w:sz w:val="20"/>
        </w:rPr>
        <w:t xml:space="preserve">most </w:t>
      </w:r>
      <w:r>
        <w:rPr>
          <w:sz w:val="20"/>
        </w:rPr>
        <w:t>important</w:t>
      </w:r>
      <w:r>
        <w:rPr>
          <w:spacing w:val="-5"/>
          <w:sz w:val="20"/>
        </w:rPr>
        <w:t xml:space="preserve"> </w:t>
      </w:r>
      <w:r>
        <w:rPr>
          <w:sz w:val="20"/>
        </w:rPr>
        <w:t>economic,</w:t>
      </w:r>
      <w:r>
        <w:rPr>
          <w:spacing w:val="-5"/>
          <w:sz w:val="20"/>
        </w:rPr>
        <w:t xml:space="preserve"> </w:t>
      </w:r>
      <w:r>
        <w:rPr>
          <w:sz w:val="20"/>
        </w:rPr>
        <w:t>social</w:t>
      </w:r>
      <w:r>
        <w:rPr>
          <w:spacing w:val="-5"/>
          <w:sz w:val="20"/>
        </w:rPr>
        <w:t xml:space="preserve"> </w:t>
      </w:r>
      <w:r>
        <w:rPr>
          <w:sz w:val="20"/>
        </w:rPr>
        <w:t>and</w:t>
      </w:r>
      <w:r>
        <w:rPr>
          <w:spacing w:val="-5"/>
          <w:sz w:val="20"/>
        </w:rPr>
        <w:t xml:space="preserve"> </w:t>
      </w:r>
      <w:r>
        <w:rPr>
          <w:sz w:val="20"/>
        </w:rPr>
        <w:t>cultural</w:t>
      </w:r>
      <w:r>
        <w:rPr>
          <w:spacing w:val="-5"/>
          <w:sz w:val="20"/>
        </w:rPr>
        <w:t xml:space="preserve"> </w:t>
      </w:r>
      <w:r>
        <w:rPr>
          <w:sz w:val="20"/>
        </w:rPr>
        <w:t>hub</w:t>
      </w:r>
      <w:r>
        <w:rPr>
          <w:spacing w:val="-5"/>
          <w:sz w:val="20"/>
        </w:rPr>
        <w:t xml:space="preserve"> </w:t>
      </w:r>
      <w:r>
        <w:rPr>
          <w:sz w:val="20"/>
        </w:rPr>
        <w:t>for</w:t>
      </w:r>
      <w:r>
        <w:rPr>
          <w:spacing w:val="-5"/>
          <w:sz w:val="20"/>
        </w:rPr>
        <w:t xml:space="preserve"> </w:t>
      </w:r>
      <w:r>
        <w:rPr>
          <w:sz w:val="20"/>
        </w:rPr>
        <w:t xml:space="preserve">the </w:t>
      </w:r>
      <w:r>
        <w:rPr>
          <w:spacing w:val="-2"/>
          <w:sz w:val="20"/>
        </w:rPr>
        <w:t>foreseeable</w:t>
      </w:r>
      <w:r>
        <w:rPr>
          <w:spacing w:val="-4"/>
          <w:sz w:val="20"/>
        </w:rPr>
        <w:t xml:space="preserve"> </w:t>
      </w:r>
      <w:r>
        <w:rPr>
          <w:spacing w:val="-2"/>
          <w:sz w:val="20"/>
        </w:rPr>
        <w:t>future.</w:t>
      </w:r>
      <w:r>
        <w:rPr>
          <w:spacing w:val="-4"/>
          <w:sz w:val="20"/>
        </w:rPr>
        <w:t xml:space="preserve"> </w:t>
      </w:r>
      <w:r>
        <w:rPr>
          <w:spacing w:val="-2"/>
          <w:sz w:val="20"/>
        </w:rPr>
        <w:t>It</w:t>
      </w:r>
      <w:r>
        <w:rPr>
          <w:spacing w:val="-4"/>
          <w:sz w:val="20"/>
        </w:rPr>
        <w:t xml:space="preserve"> </w:t>
      </w:r>
      <w:r>
        <w:rPr>
          <w:spacing w:val="-2"/>
          <w:sz w:val="20"/>
        </w:rPr>
        <w:t>also</w:t>
      </w:r>
      <w:r>
        <w:rPr>
          <w:spacing w:val="-4"/>
          <w:sz w:val="20"/>
        </w:rPr>
        <w:t xml:space="preserve"> </w:t>
      </w:r>
      <w:r>
        <w:rPr>
          <w:spacing w:val="-2"/>
          <w:sz w:val="20"/>
        </w:rPr>
        <w:t>includes</w:t>
      </w:r>
      <w:r>
        <w:rPr>
          <w:spacing w:val="-4"/>
          <w:sz w:val="20"/>
        </w:rPr>
        <w:t xml:space="preserve"> </w:t>
      </w:r>
      <w:r>
        <w:rPr>
          <w:spacing w:val="-2"/>
          <w:sz w:val="20"/>
        </w:rPr>
        <w:t>the</w:t>
      </w:r>
      <w:r>
        <w:rPr>
          <w:spacing w:val="-4"/>
          <w:sz w:val="20"/>
        </w:rPr>
        <w:t xml:space="preserve"> </w:t>
      </w:r>
      <w:r>
        <w:rPr>
          <w:spacing w:val="-2"/>
          <w:sz w:val="20"/>
        </w:rPr>
        <w:t xml:space="preserve">international </w:t>
      </w:r>
      <w:r>
        <w:rPr>
          <w:sz w:val="20"/>
        </w:rPr>
        <w:t>gateways</w:t>
      </w:r>
      <w:r>
        <w:rPr>
          <w:spacing w:val="-7"/>
          <w:sz w:val="20"/>
        </w:rPr>
        <w:t xml:space="preserve"> </w:t>
      </w:r>
      <w:r>
        <w:rPr>
          <w:sz w:val="20"/>
        </w:rPr>
        <w:t>of</w:t>
      </w:r>
      <w:r>
        <w:rPr>
          <w:spacing w:val="-7"/>
          <w:sz w:val="20"/>
        </w:rPr>
        <w:t xml:space="preserve"> </w:t>
      </w:r>
      <w:r>
        <w:rPr>
          <w:sz w:val="20"/>
        </w:rPr>
        <w:t>Port</w:t>
      </w:r>
      <w:r>
        <w:rPr>
          <w:spacing w:val="-7"/>
          <w:sz w:val="20"/>
        </w:rPr>
        <w:t xml:space="preserve"> </w:t>
      </w:r>
      <w:r>
        <w:rPr>
          <w:sz w:val="20"/>
        </w:rPr>
        <w:t>Botany</w:t>
      </w:r>
      <w:r>
        <w:rPr>
          <w:spacing w:val="-7"/>
          <w:sz w:val="20"/>
        </w:rPr>
        <w:t xml:space="preserve"> </w:t>
      </w:r>
      <w:r>
        <w:rPr>
          <w:sz w:val="20"/>
        </w:rPr>
        <w:t>and</w:t>
      </w:r>
      <w:r>
        <w:rPr>
          <w:spacing w:val="-7"/>
          <w:sz w:val="20"/>
        </w:rPr>
        <w:t xml:space="preserve"> </w:t>
      </w:r>
      <w:r>
        <w:rPr>
          <w:sz w:val="20"/>
        </w:rPr>
        <w:t>Sydney</w:t>
      </w:r>
      <w:r>
        <w:rPr>
          <w:spacing w:val="-7"/>
          <w:sz w:val="20"/>
        </w:rPr>
        <w:t xml:space="preserve"> </w:t>
      </w:r>
      <w:r>
        <w:rPr>
          <w:sz w:val="20"/>
        </w:rPr>
        <w:t>Airport</w:t>
      </w:r>
    </w:p>
    <w:p w:rsidR="002C1123" w:rsidRDefault="00F22F94">
      <w:pPr>
        <w:pStyle w:val="ListParagraph"/>
        <w:numPr>
          <w:ilvl w:val="0"/>
          <w:numId w:val="192"/>
        </w:numPr>
        <w:tabs>
          <w:tab w:val="left" w:pos="776"/>
        </w:tabs>
        <w:spacing w:before="135" w:line="249" w:lineRule="auto"/>
        <w:rPr>
          <w:sz w:val="20"/>
        </w:rPr>
      </w:pPr>
      <w:r>
        <w:rPr>
          <w:sz w:val="20"/>
        </w:rPr>
        <w:t>Greater Sydney - comprising the rest of metropolitan</w:t>
      </w:r>
      <w:r>
        <w:rPr>
          <w:spacing w:val="-12"/>
          <w:sz w:val="20"/>
        </w:rPr>
        <w:t xml:space="preserve"> </w:t>
      </w:r>
      <w:r>
        <w:rPr>
          <w:sz w:val="20"/>
        </w:rPr>
        <w:t>Sydney</w:t>
      </w:r>
      <w:r>
        <w:rPr>
          <w:spacing w:val="-12"/>
          <w:sz w:val="20"/>
        </w:rPr>
        <w:t xml:space="preserve"> </w:t>
      </w:r>
      <w:r>
        <w:rPr>
          <w:sz w:val="20"/>
        </w:rPr>
        <w:t>and</w:t>
      </w:r>
      <w:r>
        <w:rPr>
          <w:spacing w:val="-12"/>
          <w:sz w:val="20"/>
        </w:rPr>
        <w:t xml:space="preserve"> </w:t>
      </w:r>
      <w:r>
        <w:rPr>
          <w:sz w:val="20"/>
        </w:rPr>
        <w:t>the</w:t>
      </w:r>
      <w:r>
        <w:rPr>
          <w:spacing w:val="-12"/>
          <w:sz w:val="20"/>
        </w:rPr>
        <w:t xml:space="preserve"> </w:t>
      </w:r>
      <w:r>
        <w:rPr>
          <w:sz w:val="20"/>
        </w:rPr>
        <w:t>Central</w:t>
      </w:r>
      <w:r>
        <w:rPr>
          <w:spacing w:val="-12"/>
          <w:sz w:val="20"/>
        </w:rPr>
        <w:t xml:space="preserve"> </w:t>
      </w:r>
      <w:r>
        <w:rPr>
          <w:sz w:val="20"/>
        </w:rPr>
        <w:t>Coast.</w:t>
      </w:r>
      <w:r>
        <w:rPr>
          <w:spacing w:val="-12"/>
          <w:sz w:val="20"/>
        </w:rPr>
        <w:t xml:space="preserve"> </w:t>
      </w:r>
      <w:r>
        <w:rPr>
          <w:sz w:val="20"/>
        </w:rPr>
        <w:t xml:space="preserve">The </w:t>
      </w:r>
      <w:r>
        <w:rPr>
          <w:w w:val="95"/>
          <w:sz w:val="20"/>
        </w:rPr>
        <w:t>region</w:t>
      </w:r>
      <w:r>
        <w:rPr>
          <w:spacing w:val="-4"/>
          <w:w w:val="95"/>
          <w:sz w:val="20"/>
        </w:rPr>
        <w:t xml:space="preserve"> </w:t>
      </w:r>
      <w:r>
        <w:rPr>
          <w:w w:val="95"/>
          <w:sz w:val="20"/>
        </w:rPr>
        <w:t>is</w:t>
      </w:r>
      <w:r>
        <w:rPr>
          <w:spacing w:val="-4"/>
          <w:w w:val="95"/>
          <w:sz w:val="20"/>
        </w:rPr>
        <w:t xml:space="preserve"> </w:t>
      </w:r>
      <w:r>
        <w:rPr>
          <w:w w:val="95"/>
          <w:sz w:val="20"/>
        </w:rPr>
        <w:t>home</w:t>
      </w:r>
      <w:r>
        <w:rPr>
          <w:spacing w:val="-4"/>
          <w:w w:val="95"/>
          <w:sz w:val="20"/>
        </w:rPr>
        <w:t xml:space="preserve"> </w:t>
      </w:r>
      <w:r>
        <w:rPr>
          <w:w w:val="95"/>
          <w:sz w:val="20"/>
        </w:rPr>
        <w:t>to</w:t>
      </w:r>
      <w:r>
        <w:rPr>
          <w:spacing w:val="-4"/>
          <w:w w:val="95"/>
          <w:sz w:val="20"/>
        </w:rPr>
        <w:t xml:space="preserve"> </w:t>
      </w:r>
      <w:r>
        <w:rPr>
          <w:w w:val="95"/>
          <w:sz w:val="20"/>
        </w:rPr>
        <w:t>46</w:t>
      </w:r>
      <w:r>
        <w:rPr>
          <w:spacing w:val="-4"/>
          <w:w w:val="95"/>
          <w:sz w:val="20"/>
        </w:rPr>
        <w:t xml:space="preserve"> </w:t>
      </w:r>
      <w:r>
        <w:rPr>
          <w:w w:val="95"/>
          <w:sz w:val="20"/>
        </w:rPr>
        <w:t>percent</w:t>
      </w:r>
      <w:r>
        <w:rPr>
          <w:spacing w:val="-4"/>
          <w:w w:val="95"/>
          <w:sz w:val="20"/>
        </w:rPr>
        <w:t xml:space="preserve"> </w:t>
      </w:r>
      <w:r>
        <w:rPr>
          <w:w w:val="95"/>
          <w:sz w:val="20"/>
        </w:rPr>
        <w:t>of</w:t>
      </w:r>
      <w:r>
        <w:rPr>
          <w:spacing w:val="-4"/>
          <w:w w:val="95"/>
          <w:sz w:val="20"/>
        </w:rPr>
        <w:t xml:space="preserve"> </w:t>
      </w:r>
      <w:r>
        <w:rPr>
          <w:w w:val="95"/>
          <w:sz w:val="20"/>
        </w:rPr>
        <w:t>the</w:t>
      </w:r>
      <w:r>
        <w:rPr>
          <w:spacing w:val="-4"/>
          <w:w w:val="95"/>
          <w:sz w:val="20"/>
        </w:rPr>
        <w:t xml:space="preserve"> </w:t>
      </w:r>
      <w:r>
        <w:rPr>
          <w:w w:val="95"/>
          <w:sz w:val="20"/>
        </w:rPr>
        <w:t>State’s</w:t>
      </w:r>
      <w:r>
        <w:rPr>
          <w:spacing w:val="-4"/>
          <w:w w:val="95"/>
          <w:sz w:val="20"/>
        </w:rPr>
        <w:t xml:space="preserve"> </w:t>
      </w:r>
      <w:r>
        <w:rPr>
          <w:w w:val="95"/>
          <w:sz w:val="20"/>
        </w:rPr>
        <w:t xml:space="preserve">population </w:t>
      </w:r>
      <w:r>
        <w:rPr>
          <w:sz w:val="20"/>
        </w:rPr>
        <w:t>and contributes 34 percent of GSP</w:t>
      </w:r>
    </w:p>
    <w:p w:rsidR="002C1123" w:rsidRDefault="00F22F94">
      <w:pPr>
        <w:pStyle w:val="ListParagraph"/>
        <w:numPr>
          <w:ilvl w:val="0"/>
          <w:numId w:val="192"/>
        </w:numPr>
        <w:tabs>
          <w:tab w:val="left" w:pos="485"/>
        </w:tabs>
        <w:spacing w:before="95" w:line="249" w:lineRule="auto"/>
        <w:ind w:left="484" w:right="365"/>
        <w:rPr>
          <w:sz w:val="20"/>
        </w:rPr>
      </w:pPr>
      <w:r>
        <w:br w:type="column"/>
      </w:r>
      <w:r>
        <w:rPr>
          <w:w w:val="95"/>
          <w:sz w:val="20"/>
        </w:rPr>
        <w:t>Regional</w:t>
      </w:r>
      <w:r>
        <w:rPr>
          <w:spacing w:val="-1"/>
          <w:w w:val="95"/>
          <w:sz w:val="20"/>
        </w:rPr>
        <w:t xml:space="preserve"> </w:t>
      </w:r>
      <w:r>
        <w:rPr>
          <w:w w:val="95"/>
          <w:sz w:val="20"/>
        </w:rPr>
        <w:t>NSW</w:t>
      </w:r>
      <w:r>
        <w:rPr>
          <w:spacing w:val="-1"/>
          <w:w w:val="95"/>
          <w:sz w:val="20"/>
        </w:rPr>
        <w:t xml:space="preserve"> </w:t>
      </w:r>
      <w:r>
        <w:rPr>
          <w:w w:val="95"/>
          <w:sz w:val="20"/>
        </w:rPr>
        <w:t>-</w:t>
      </w:r>
      <w:r>
        <w:rPr>
          <w:spacing w:val="-1"/>
          <w:w w:val="95"/>
          <w:sz w:val="20"/>
        </w:rPr>
        <w:t xml:space="preserve"> </w:t>
      </w:r>
      <w:r>
        <w:rPr>
          <w:w w:val="95"/>
          <w:sz w:val="20"/>
        </w:rPr>
        <w:t>NSW</w:t>
      </w:r>
      <w:r>
        <w:rPr>
          <w:spacing w:val="-1"/>
          <w:w w:val="95"/>
          <w:sz w:val="20"/>
        </w:rPr>
        <w:t xml:space="preserve"> </w:t>
      </w:r>
      <w:r>
        <w:rPr>
          <w:w w:val="95"/>
          <w:sz w:val="20"/>
        </w:rPr>
        <w:t>has</w:t>
      </w:r>
      <w:r>
        <w:rPr>
          <w:spacing w:val="-1"/>
          <w:w w:val="95"/>
          <w:sz w:val="20"/>
        </w:rPr>
        <w:t xml:space="preserve"> </w:t>
      </w:r>
      <w:r>
        <w:rPr>
          <w:w w:val="95"/>
          <w:sz w:val="20"/>
        </w:rPr>
        <w:t>the</w:t>
      </w:r>
      <w:r>
        <w:rPr>
          <w:spacing w:val="-1"/>
          <w:w w:val="95"/>
          <w:sz w:val="20"/>
        </w:rPr>
        <w:t xml:space="preserve"> </w:t>
      </w:r>
      <w:r>
        <w:rPr>
          <w:w w:val="95"/>
          <w:sz w:val="20"/>
        </w:rPr>
        <w:t>highest</w:t>
      </w:r>
      <w:r>
        <w:rPr>
          <w:spacing w:val="-1"/>
          <w:w w:val="95"/>
          <w:sz w:val="20"/>
        </w:rPr>
        <w:t xml:space="preserve"> </w:t>
      </w:r>
      <w:r>
        <w:rPr>
          <w:w w:val="95"/>
          <w:sz w:val="20"/>
        </w:rPr>
        <w:t xml:space="preserve">regional </w:t>
      </w:r>
      <w:r>
        <w:rPr>
          <w:w w:val="90"/>
          <w:sz w:val="20"/>
        </w:rPr>
        <w:t>population</w:t>
      </w:r>
      <w:r>
        <w:rPr>
          <w:spacing w:val="-2"/>
          <w:w w:val="90"/>
          <w:sz w:val="20"/>
        </w:rPr>
        <w:t xml:space="preserve"> </w:t>
      </w:r>
      <w:r>
        <w:rPr>
          <w:w w:val="90"/>
          <w:sz w:val="20"/>
        </w:rPr>
        <w:t>and</w:t>
      </w:r>
      <w:r>
        <w:rPr>
          <w:spacing w:val="-2"/>
          <w:w w:val="90"/>
          <w:sz w:val="20"/>
        </w:rPr>
        <w:t xml:space="preserve"> </w:t>
      </w:r>
      <w:r>
        <w:rPr>
          <w:w w:val="90"/>
          <w:sz w:val="20"/>
        </w:rPr>
        <w:t>largest</w:t>
      </w:r>
      <w:r>
        <w:rPr>
          <w:spacing w:val="-2"/>
          <w:w w:val="90"/>
          <w:sz w:val="20"/>
        </w:rPr>
        <w:t xml:space="preserve"> </w:t>
      </w:r>
      <w:r>
        <w:rPr>
          <w:w w:val="90"/>
          <w:sz w:val="20"/>
        </w:rPr>
        <w:t>and</w:t>
      </w:r>
      <w:r>
        <w:rPr>
          <w:spacing w:val="-2"/>
          <w:w w:val="90"/>
          <w:sz w:val="20"/>
        </w:rPr>
        <w:t xml:space="preserve"> </w:t>
      </w:r>
      <w:r>
        <w:rPr>
          <w:w w:val="90"/>
          <w:sz w:val="20"/>
        </w:rPr>
        <w:t>most</w:t>
      </w:r>
      <w:r>
        <w:rPr>
          <w:spacing w:val="-2"/>
          <w:w w:val="90"/>
          <w:sz w:val="20"/>
        </w:rPr>
        <w:t xml:space="preserve"> </w:t>
      </w:r>
      <w:r>
        <w:rPr>
          <w:w w:val="90"/>
          <w:sz w:val="20"/>
        </w:rPr>
        <w:t>diversified</w:t>
      </w:r>
      <w:r>
        <w:rPr>
          <w:spacing w:val="-2"/>
          <w:w w:val="90"/>
          <w:sz w:val="20"/>
        </w:rPr>
        <w:t xml:space="preserve"> </w:t>
      </w:r>
      <w:r>
        <w:rPr>
          <w:w w:val="90"/>
          <w:sz w:val="20"/>
        </w:rPr>
        <w:t xml:space="preserve">regional </w:t>
      </w:r>
      <w:r>
        <w:rPr>
          <w:w w:val="95"/>
          <w:sz w:val="20"/>
        </w:rPr>
        <w:t>economy</w:t>
      </w:r>
      <w:r>
        <w:rPr>
          <w:spacing w:val="-8"/>
          <w:w w:val="95"/>
          <w:sz w:val="20"/>
        </w:rPr>
        <w:t xml:space="preserve"> </w:t>
      </w:r>
      <w:r>
        <w:rPr>
          <w:w w:val="95"/>
          <w:sz w:val="20"/>
        </w:rPr>
        <w:t>of</w:t>
      </w:r>
      <w:r>
        <w:rPr>
          <w:spacing w:val="-8"/>
          <w:w w:val="95"/>
          <w:sz w:val="20"/>
        </w:rPr>
        <w:t xml:space="preserve"> </w:t>
      </w:r>
      <w:r>
        <w:rPr>
          <w:w w:val="95"/>
          <w:sz w:val="20"/>
        </w:rPr>
        <w:t>any</w:t>
      </w:r>
      <w:r>
        <w:rPr>
          <w:spacing w:val="-8"/>
          <w:w w:val="95"/>
          <w:sz w:val="20"/>
        </w:rPr>
        <w:t xml:space="preserve"> </w:t>
      </w:r>
      <w:r>
        <w:rPr>
          <w:w w:val="95"/>
          <w:sz w:val="20"/>
        </w:rPr>
        <w:t>State.</w:t>
      </w:r>
      <w:r>
        <w:rPr>
          <w:spacing w:val="-8"/>
          <w:w w:val="95"/>
          <w:sz w:val="20"/>
        </w:rPr>
        <w:t xml:space="preserve"> </w:t>
      </w:r>
      <w:r>
        <w:rPr>
          <w:w w:val="95"/>
          <w:sz w:val="20"/>
        </w:rPr>
        <w:t>Regional</w:t>
      </w:r>
      <w:r>
        <w:rPr>
          <w:spacing w:val="-8"/>
          <w:w w:val="95"/>
          <w:sz w:val="20"/>
        </w:rPr>
        <w:t xml:space="preserve"> </w:t>
      </w:r>
      <w:r>
        <w:rPr>
          <w:w w:val="95"/>
          <w:sz w:val="20"/>
        </w:rPr>
        <w:t>NSW</w:t>
      </w:r>
      <w:r>
        <w:rPr>
          <w:spacing w:val="-8"/>
          <w:w w:val="95"/>
          <w:sz w:val="20"/>
        </w:rPr>
        <w:t xml:space="preserve"> </w:t>
      </w:r>
      <w:r>
        <w:rPr>
          <w:w w:val="95"/>
          <w:sz w:val="20"/>
        </w:rPr>
        <w:t xml:space="preserve">supports </w:t>
      </w:r>
      <w:r>
        <w:rPr>
          <w:w w:val="90"/>
          <w:sz w:val="20"/>
        </w:rPr>
        <w:t>world class primary industries as well as important</w:t>
      </w:r>
    </w:p>
    <w:p w:rsidR="002C1123" w:rsidRDefault="00F22F94">
      <w:pPr>
        <w:pStyle w:val="BodyText"/>
        <w:spacing w:before="3" w:line="249" w:lineRule="auto"/>
        <w:ind w:left="484" w:right="6"/>
        <w:jc w:val="both"/>
      </w:pPr>
      <w:r>
        <w:rPr>
          <w:w w:val="90"/>
        </w:rPr>
        <w:t>manufacturing and tourism industries. More than a third of</w:t>
      </w:r>
      <w:r>
        <w:rPr>
          <w:spacing w:val="-8"/>
          <w:w w:val="90"/>
        </w:rPr>
        <w:t xml:space="preserve"> </w:t>
      </w:r>
      <w:r>
        <w:rPr>
          <w:w w:val="90"/>
        </w:rPr>
        <w:t>NSW</w:t>
      </w:r>
      <w:r>
        <w:rPr>
          <w:spacing w:val="-8"/>
          <w:w w:val="90"/>
        </w:rPr>
        <w:t xml:space="preserve"> </w:t>
      </w:r>
      <w:r>
        <w:rPr>
          <w:w w:val="90"/>
        </w:rPr>
        <w:t>citizens</w:t>
      </w:r>
      <w:r>
        <w:rPr>
          <w:spacing w:val="-8"/>
          <w:w w:val="90"/>
        </w:rPr>
        <w:t xml:space="preserve"> </w:t>
      </w:r>
      <w:r>
        <w:rPr>
          <w:w w:val="90"/>
        </w:rPr>
        <w:t>live</w:t>
      </w:r>
      <w:r>
        <w:rPr>
          <w:spacing w:val="-8"/>
          <w:w w:val="90"/>
        </w:rPr>
        <w:t xml:space="preserve"> </w:t>
      </w:r>
      <w:r>
        <w:rPr>
          <w:w w:val="90"/>
        </w:rPr>
        <w:t>and</w:t>
      </w:r>
      <w:r>
        <w:rPr>
          <w:spacing w:val="-8"/>
          <w:w w:val="90"/>
        </w:rPr>
        <w:t xml:space="preserve"> </w:t>
      </w:r>
      <w:r>
        <w:rPr>
          <w:w w:val="90"/>
        </w:rPr>
        <w:t>work</w:t>
      </w:r>
      <w:r>
        <w:rPr>
          <w:spacing w:val="-8"/>
          <w:w w:val="90"/>
        </w:rPr>
        <w:t xml:space="preserve"> </w:t>
      </w:r>
      <w:r>
        <w:rPr>
          <w:w w:val="90"/>
        </w:rPr>
        <w:t>in</w:t>
      </w:r>
      <w:r>
        <w:rPr>
          <w:spacing w:val="-8"/>
          <w:w w:val="90"/>
        </w:rPr>
        <w:t xml:space="preserve"> </w:t>
      </w:r>
      <w:r>
        <w:rPr>
          <w:w w:val="90"/>
        </w:rPr>
        <w:t>regional</w:t>
      </w:r>
      <w:r>
        <w:rPr>
          <w:spacing w:val="-8"/>
          <w:w w:val="90"/>
        </w:rPr>
        <w:t xml:space="preserve"> </w:t>
      </w:r>
      <w:r>
        <w:rPr>
          <w:w w:val="90"/>
        </w:rPr>
        <w:t>NSW.</w:t>
      </w:r>
      <w:r>
        <w:rPr>
          <w:spacing w:val="-8"/>
          <w:w w:val="90"/>
        </w:rPr>
        <w:t xml:space="preserve"> </w:t>
      </w:r>
      <w:r>
        <w:rPr>
          <w:w w:val="90"/>
        </w:rPr>
        <w:t>About</w:t>
      </w:r>
      <w:r>
        <w:rPr>
          <w:spacing w:val="-8"/>
          <w:w w:val="90"/>
        </w:rPr>
        <w:t xml:space="preserve"> </w:t>
      </w:r>
      <w:r>
        <w:rPr>
          <w:w w:val="90"/>
        </w:rPr>
        <w:t xml:space="preserve">25 </w:t>
      </w:r>
      <w:r>
        <w:rPr>
          <w:w w:val="95"/>
        </w:rPr>
        <w:t>percent</w:t>
      </w:r>
      <w:r>
        <w:rPr>
          <w:spacing w:val="-7"/>
          <w:w w:val="95"/>
        </w:rPr>
        <w:t xml:space="preserve"> </w:t>
      </w:r>
      <w:r>
        <w:rPr>
          <w:w w:val="95"/>
        </w:rPr>
        <w:t>of</w:t>
      </w:r>
      <w:r>
        <w:rPr>
          <w:spacing w:val="-7"/>
          <w:w w:val="95"/>
        </w:rPr>
        <w:t xml:space="preserve"> </w:t>
      </w:r>
      <w:r>
        <w:rPr>
          <w:w w:val="95"/>
        </w:rPr>
        <w:t>the</w:t>
      </w:r>
      <w:r>
        <w:rPr>
          <w:spacing w:val="-7"/>
          <w:w w:val="95"/>
        </w:rPr>
        <w:t xml:space="preserve"> </w:t>
      </w:r>
      <w:r>
        <w:rPr>
          <w:w w:val="95"/>
        </w:rPr>
        <w:t>GSP</w:t>
      </w:r>
      <w:r>
        <w:rPr>
          <w:spacing w:val="-7"/>
          <w:w w:val="95"/>
        </w:rPr>
        <w:t xml:space="preserve"> </w:t>
      </w:r>
      <w:r>
        <w:rPr>
          <w:w w:val="95"/>
        </w:rPr>
        <w:t>is</w:t>
      </w:r>
      <w:r>
        <w:rPr>
          <w:spacing w:val="-7"/>
          <w:w w:val="95"/>
        </w:rPr>
        <w:t xml:space="preserve"> </w:t>
      </w:r>
      <w:r>
        <w:rPr>
          <w:w w:val="95"/>
        </w:rPr>
        <w:t>produced</w:t>
      </w:r>
      <w:r>
        <w:rPr>
          <w:spacing w:val="-7"/>
          <w:w w:val="95"/>
        </w:rPr>
        <w:t xml:space="preserve"> </w:t>
      </w:r>
      <w:r>
        <w:rPr>
          <w:w w:val="95"/>
        </w:rPr>
        <w:t>in</w:t>
      </w:r>
      <w:r>
        <w:rPr>
          <w:spacing w:val="-7"/>
          <w:w w:val="95"/>
        </w:rPr>
        <w:t xml:space="preserve"> </w:t>
      </w:r>
      <w:r>
        <w:rPr>
          <w:w w:val="95"/>
        </w:rPr>
        <w:t>the</w:t>
      </w:r>
      <w:r>
        <w:rPr>
          <w:spacing w:val="-7"/>
          <w:w w:val="95"/>
        </w:rPr>
        <w:t xml:space="preserve"> </w:t>
      </w:r>
      <w:r>
        <w:rPr>
          <w:w w:val="95"/>
        </w:rPr>
        <w:t>regions.</w:t>
      </w:r>
    </w:p>
    <w:p w:rsidR="002C1123" w:rsidRDefault="00F22F94">
      <w:pPr>
        <w:pStyle w:val="BodyText"/>
        <w:spacing w:before="144" w:line="249" w:lineRule="auto"/>
        <w:ind w:left="200"/>
      </w:pPr>
      <w:r>
        <w:rPr>
          <w:w w:val="95"/>
        </w:rPr>
        <w:t xml:space="preserve">Global Sydney, Greater Sydney and Regional NSW are </w:t>
      </w:r>
      <w:r>
        <w:t>inseparable.</w:t>
      </w:r>
      <w:r>
        <w:rPr>
          <w:spacing w:val="-14"/>
        </w:rPr>
        <w:t xml:space="preserve"> </w:t>
      </w:r>
      <w:r>
        <w:t>The</w:t>
      </w:r>
      <w:r>
        <w:rPr>
          <w:spacing w:val="-14"/>
        </w:rPr>
        <w:t xml:space="preserve"> </w:t>
      </w:r>
      <w:r>
        <w:t>Strategy</w:t>
      </w:r>
      <w:r>
        <w:rPr>
          <w:spacing w:val="-14"/>
        </w:rPr>
        <w:t xml:space="preserve"> </w:t>
      </w:r>
      <w:r>
        <w:t>recommends</w:t>
      </w:r>
      <w:r>
        <w:rPr>
          <w:spacing w:val="-14"/>
        </w:rPr>
        <w:t xml:space="preserve"> </w:t>
      </w:r>
      <w:r>
        <w:t xml:space="preserve">infrastructure </w:t>
      </w:r>
      <w:r>
        <w:rPr>
          <w:w w:val="95"/>
        </w:rPr>
        <w:t>investments</w:t>
      </w:r>
      <w:r>
        <w:rPr>
          <w:spacing w:val="-6"/>
          <w:w w:val="95"/>
        </w:rPr>
        <w:t xml:space="preserve"> </w:t>
      </w:r>
      <w:r>
        <w:rPr>
          <w:w w:val="95"/>
        </w:rPr>
        <w:t>that</w:t>
      </w:r>
      <w:r>
        <w:rPr>
          <w:spacing w:val="-6"/>
          <w:w w:val="95"/>
        </w:rPr>
        <w:t xml:space="preserve"> </w:t>
      </w:r>
      <w:r>
        <w:rPr>
          <w:w w:val="95"/>
        </w:rPr>
        <w:t>have</w:t>
      </w:r>
      <w:r>
        <w:rPr>
          <w:spacing w:val="-6"/>
          <w:w w:val="95"/>
        </w:rPr>
        <w:t xml:space="preserve"> </w:t>
      </w:r>
      <w:r>
        <w:rPr>
          <w:w w:val="95"/>
        </w:rPr>
        <w:t>a</w:t>
      </w:r>
      <w:r>
        <w:rPr>
          <w:spacing w:val="-6"/>
          <w:w w:val="95"/>
        </w:rPr>
        <w:t xml:space="preserve"> </w:t>
      </w:r>
      <w:r>
        <w:rPr>
          <w:w w:val="95"/>
        </w:rPr>
        <w:t>positive</w:t>
      </w:r>
      <w:r>
        <w:rPr>
          <w:spacing w:val="-6"/>
          <w:w w:val="95"/>
        </w:rPr>
        <w:t xml:space="preserve"> </w:t>
      </w:r>
      <w:r>
        <w:rPr>
          <w:w w:val="95"/>
        </w:rPr>
        <w:t>impact</w:t>
      </w:r>
      <w:r>
        <w:rPr>
          <w:spacing w:val="-6"/>
          <w:w w:val="95"/>
        </w:rPr>
        <w:t xml:space="preserve"> </w:t>
      </w:r>
      <w:r>
        <w:rPr>
          <w:w w:val="95"/>
        </w:rPr>
        <w:t>across</w:t>
      </w:r>
      <w:r>
        <w:rPr>
          <w:spacing w:val="-6"/>
          <w:w w:val="95"/>
        </w:rPr>
        <w:t xml:space="preserve"> </w:t>
      </w:r>
      <w:r>
        <w:rPr>
          <w:w w:val="95"/>
        </w:rPr>
        <w:t>the</w:t>
      </w:r>
      <w:r>
        <w:rPr>
          <w:spacing w:val="-6"/>
          <w:w w:val="95"/>
        </w:rPr>
        <w:t xml:space="preserve"> </w:t>
      </w:r>
      <w:r>
        <w:rPr>
          <w:w w:val="95"/>
        </w:rPr>
        <w:t xml:space="preserve">whole </w:t>
      </w:r>
      <w:r>
        <w:t>State.</w:t>
      </w:r>
      <w:r>
        <w:rPr>
          <w:spacing w:val="-14"/>
        </w:rPr>
        <w:t xml:space="preserve"> </w:t>
      </w:r>
      <w:r>
        <w:t>For</w:t>
      </w:r>
      <w:r>
        <w:rPr>
          <w:spacing w:val="-14"/>
        </w:rPr>
        <w:t xml:space="preserve"> </w:t>
      </w:r>
      <w:r>
        <w:t>example,</w:t>
      </w:r>
      <w:r>
        <w:rPr>
          <w:spacing w:val="-14"/>
        </w:rPr>
        <w:t xml:space="preserve"> </w:t>
      </w:r>
      <w:r>
        <w:t>addressing</w:t>
      </w:r>
      <w:r>
        <w:rPr>
          <w:spacing w:val="-14"/>
        </w:rPr>
        <w:t xml:space="preserve"> </w:t>
      </w:r>
      <w:r>
        <w:t>the</w:t>
      </w:r>
      <w:r>
        <w:rPr>
          <w:spacing w:val="-14"/>
        </w:rPr>
        <w:t xml:space="preserve"> </w:t>
      </w:r>
      <w:r>
        <w:t>congestion</w:t>
      </w:r>
      <w:r>
        <w:rPr>
          <w:spacing w:val="-14"/>
        </w:rPr>
        <w:t xml:space="preserve"> </w:t>
      </w:r>
      <w:r>
        <w:t xml:space="preserve">around </w:t>
      </w:r>
      <w:r>
        <w:rPr>
          <w:spacing w:val="-2"/>
        </w:rPr>
        <w:t>Sydney’s</w:t>
      </w:r>
      <w:r>
        <w:rPr>
          <w:spacing w:val="-8"/>
        </w:rPr>
        <w:t xml:space="preserve"> </w:t>
      </w:r>
      <w:r>
        <w:rPr>
          <w:spacing w:val="-2"/>
        </w:rPr>
        <w:t>gateways</w:t>
      </w:r>
      <w:r>
        <w:rPr>
          <w:spacing w:val="-8"/>
        </w:rPr>
        <w:t xml:space="preserve"> </w:t>
      </w:r>
      <w:r>
        <w:rPr>
          <w:spacing w:val="-2"/>
        </w:rPr>
        <w:t>provides</w:t>
      </w:r>
      <w:r>
        <w:rPr>
          <w:spacing w:val="-8"/>
        </w:rPr>
        <w:t xml:space="preserve"> </w:t>
      </w:r>
      <w:r>
        <w:rPr>
          <w:spacing w:val="-2"/>
        </w:rPr>
        <w:t>benefits</w:t>
      </w:r>
      <w:r>
        <w:rPr>
          <w:spacing w:val="-8"/>
        </w:rPr>
        <w:t xml:space="preserve"> </w:t>
      </w:r>
      <w:r>
        <w:rPr>
          <w:spacing w:val="-2"/>
        </w:rPr>
        <w:t>for</w:t>
      </w:r>
      <w:r>
        <w:rPr>
          <w:spacing w:val="-8"/>
        </w:rPr>
        <w:t xml:space="preserve"> </w:t>
      </w:r>
      <w:r>
        <w:rPr>
          <w:spacing w:val="-2"/>
        </w:rPr>
        <w:t>the</w:t>
      </w:r>
      <w:r>
        <w:rPr>
          <w:spacing w:val="-8"/>
        </w:rPr>
        <w:t xml:space="preserve"> </w:t>
      </w:r>
      <w:r>
        <w:rPr>
          <w:spacing w:val="-2"/>
        </w:rPr>
        <w:t xml:space="preserve">movement </w:t>
      </w:r>
      <w:r>
        <w:t>of</w:t>
      </w:r>
      <w:r>
        <w:rPr>
          <w:spacing w:val="-9"/>
        </w:rPr>
        <w:t xml:space="preserve"> </w:t>
      </w:r>
      <w:r>
        <w:t>freight</w:t>
      </w:r>
      <w:r>
        <w:rPr>
          <w:spacing w:val="-9"/>
        </w:rPr>
        <w:t xml:space="preserve"> </w:t>
      </w:r>
      <w:r>
        <w:t>and</w:t>
      </w:r>
      <w:r>
        <w:rPr>
          <w:spacing w:val="-9"/>
        </w:rPr>
        <w:t xml:space="preserve"> </w:t>
      </w:r>
      <w:r>
        <w:t>people</w:t>
      </w:r>
      <w:r>
        <w:rPr>
          <w:spacing w:val="-9"/>
        </w:rPr>
        <w:t xml:space="preserve"> </w:t>
      </w:r>
      <w:r>
        <w:t>all</w:t>
      </w:r>
      <w:r>
        <w:rPr>
          <w:spacing w:val="-9"/>
        </w:rPr>
        <w:t xml:space="preserve"> </w:t>
      </w:r>
      <w:r>
        <w:t>around</w:t>
      </w:r>
      <w:r>
        <w:rPr>
          <w:spacing w:val="-9"/>
        </w:rPr>
        <w:t xml:space="preserve"> </w:t>
      </w:r>
      <w:r>
        <w:t>the</w:t>
      </w:r>
      <w:r>
        <w:rPr>
          <w:spacing w:val="-9"/>
        </w:rPr>
        <w:t xml:space="preserve"> </w:t>
      </w:r>
      <w:r>
        <w:t>State.</w:t>
      </w:r>
    </w:p>
    <w:p w:rsidR="002C1123" w:rsidRDefault="00F22F94">
      <w:pPr>
        <w:pStyle w:val="Heading6"/>
        <w:spacing w:before="147"/>
        <w:ind w:left="200"/>
      </w:pPr>
      <w:r>
        <w:rPr>
          <w:color w:val="2E3092"/>
          <w:spacing w:val="-2"/>
        </w:rPr>
        <w:t>Urban</w:t>
      </w:r>
      <w:r>
        <w:rPr>
          <w:color w:val="2E3092"/>
          <w:spacing w:val="-7"/>
        </w:rPr>
        <w:t xml:space="preserve"> </w:t>
      </w:r>
      <w:r>
        <w:rPr>
          <w:color w:val="2E3092"/>
          <w:spacing w:val="-2"/>
        </w:rPr>
        <w:t>Roads</w:t>
      </w:r>
    </w:p>
    <w:p w:rsidR="002C1123" w:rsidRDefault="00F22F94">
      <w:pPr>
        <w:pStyle w:val="BodyText"/>
        <w:spacing w:before="10" w:line="249" w:lineRule="auto"/>
        <w:ind w:left="200"/>
      </w:pPr>
      <w:r>
        <w:rPr>
          <w:w w:val="95"/>
        </w:rPr>
        <w:t xml:space="preserve">Sydney’s road network serves 93 percent of passenger journeys, and most growth in transport demand over the </w:t>
      </w:r>
      <w:r>
        <w:t>next</w:t>
      </w:r>
      <w:r>
        <w:rPr>
          <w:spacing w:val="-14"/>
        </w:rPr>
        <w:t xml:space="preserve"> </w:t>
      </w:r>
      <w:r>
        <w:t>20</w:t>
      </w:r>
      <w:r>
        <w:rPr>
          <w:spacing w:val="-14"/>
        </w:rPr>
        <w:t xml:space="preserve"> </w:t>
      </w:r>
      <w:r>
        <w:t>years</w:t>
      </w:r>
      <w:r>
        <w:rPr>
          <w:spacing w:val="-14"/>
        </w:rPr>
        <w:t xml:space="preserve"> </w:t>
      </w:r>
      <w:r>
        <w:t>will</w:t>
      </w:r>
      <w:r>
        <w:rPr>
          <w:spacing w:val="-14"/>
        </w:rPr>
        <w:t xml:space="preserve"> </w:t>
      </w:r>
      <w:r>
        <w:t>be</w:t>
      </w:r>
      <w:r>
        <w:rPr>
          <w:spacing w:val="-13"/>
        </w:rPr>
        <w:t xml:space="preserve"> </w:t>
      </w:r>
      <w:r>
        <w:t>met</w:t>
      </w:r>
      <w:r>
        <w:rPr>
          <w:spacing w:val="-14"/>
        </w:rPr>
        <w:t xml:space="preserve"> </w:t>
      </w:r>
      <w:r>
        <w:t>by</w:t>
      </w:r>
      <w:r>
        <w:rPr>
          <w:spacing w:val="-14"/>
        </w:rPr>
        <w:t xml:space="preserve"> </w:t>
      </w:r>
      <w:r>
        <w:t>roads</w:t>
      </w:r>
      <w:r>
        <w:rPr>
          <w:spacing w:val="-14"/>
        </w:rPr>
        <w:t xml:space="preserve"> </w:t>
      </w:r>
      <w:r>
        <w:t>under</w:t>
      </w:r>
      <w:r>
        <w:rPr>
          <w:spacing w:val="-14"/>
        </w:rPr>
        <w:t xml:space="preserve"> </w:t>
      </w:r>
      <w:r>
        <w:t>any</w:t>
      </w:r>
      <w:r>
        <w:rPr>
          <w:spacing w:val="-13"/>
        </w:rPr>
        <w:t xml:space="preserve"> </w:t>
      </w:r>
      <w:r>
        <w:t>plausible scenario.</w:t>
      </w:r>
      <w:r>
        <w:rPr>
          <w:spacing w:val="-10"/>
        </w:rPr>
        <w:t xml:space="preserve"> </w:t>
      </w:r>
      <w:r>
        <w:t>New</w:t>
      </w:r>
      <w:r>
        <w:rPr>
          <w:spacing w:val="-10"/>
        </w:rPr>
        <w:t xml:space="preserve"> </w:t>
      </w:r>
      <w:r>
        <w:t>road</w:t>
      </w:r>
      <w:r>
        <w:rPr>
          <w:spacing w:val="-10"/>
        </w:rPr>
        <w:t xml:space="preserve"> </w:t>
      </w:r>
      <w:r>
        <w:t>capacity</w:t>
      </w:r>
      <w:r>
        <w:rPr>
          <w:spacing w:val="-10"/>
        </w:rPr>
        <w:t xml:space="preserve"> </w:t>
      </w:r>
      <w:r>
        <w:t>is</w:t>
      </w:r>
      <w:r>
        <w:rPr>
          <w:spacing w:val="-10"/>
        </w:rPr>
        <w:t xml:space="preserve"> </w:t>
      </w:r>
      <w:r>
        <w:t>urgently</w:t>
      </w:r>
      <w:r>
        <w:rPr>
          <w:spacing w:val="-10"/>
        </w:rPr>
        <w:t xml:space="preserve"> </w:t>
      </w:r>
      <w:r>
        <w:t>required</w:t>
      </w:r>
      <w:r>
        <w:rPr>
          <w:spacing w:val="-10"/>
        </w:rPr>
        <w:t xml:space="preserve"> </w:t>
      </w:r>
      <w:r>
        <w:t xml:space="preserve">to </w:t>
      </w:r>
      <w:r>
        <w:rPr>
          <w:w w:val="95"/>
        </w:rPr>
        <w:t xml:space="preserve">meet the challenge of population growth and substantial </w:t>
      </w:r>
      <w:r>
        <w:rPr>
          <w:spacing w:val="-2"/>
        </w:rPr>
        <w:t>increases</w:t>
      </w:r>
      <w:r>
        <w:rPr>
          <w:spacing w:val="-7"/>
        </w:rPr>
        <w:t xml:space="preserve"> </w:t>
      </w:r>
      <w:r>
        <w:rPr>
          <w:spacing w:val="-2"/>
        </w:rPr>
        <w:t>in</w:t>
      </w:r>
      <w:r>
        <w:rPr>
          <w:spacing w:val="-7"/>
        </w:rPr>
        <w:t xml:space="preserve"> </w:t>
      </w:r>
      <w:r>
        <w:rPr>
          <w:spacing w:val="-2"/>
        </w:rPr>
        <w:t>freight</w:t>
      </w:r>
      <w:r>
        <w:rPr>
          <w:spacing w:val="-7"/>
        </w:rPr>
        <w:t xml:space="preserve"> </w:t>
      </w:r>
      <w:r>
        <w:rPr>
          <w:spacing w:val="-2"/>
        </w:rPr>
        <w:t>volumes.</w:t>
      </w:r>
      <w:r>
        <w:rPr>
          <w:spacing w:val="-7"/>
        </w:rPr>
        <w:t xml:space="preserve"> </w:t>
      </w:r>
      <w:r>
        <w:rPr>
          <w:spacing w:val="-2"/>
        </w:rPr>
        <w:t>New</w:t>
      </w:r>
      <w:r>
        <w:rPr>
          <w:spacing w:val="-7"/>
        </w:rPr>
        <w:t xml:space="preserve"> </w:t>
      </w:r>
      <w:r>
        <w:rPr>
          <w:spacing w:val="-2"/>
        </w:rPr>
        <w:t>roads</w:t>
      </w:r>
      <w:r>
        <w:rPr>
          <w:spacing w:val="-7"/>
        </w:rPr>
        <w:t xml:space="preserve"> </w:t>
      </w:r>
      <w:r>
        <w:rPr>
          <w:spacing w:val="-2"/>
        </w:rPr>
        <w:t>will</w:t>
      </w:r>
      <w:r>
        <w:rPr>
          <w:spacing w:val="-7"/>
        </w:rPr>
        <w:t xml:space="preserve"> </w:t>
      </w:r>
      <w:r>
        <w:rPr>
          <w:spacing w:val="-2"/>
        </w:rPr>
        <w:t xml:space="preserve">relieve </w:t>
      </w:r>
      <w:r>
        <w:t>legacy</w:t>
      </w:r>
      <w:r>
        <w:rPr>
          <w:spacing w:val="-14"/>
        </w:rPr>
        <w:t xml:space="preserve"> </w:t>
      </w:r>
      <w:r>
        <w:t>arterial</w:t>
      </w:r>
      <w:r>
        <w:rPr>
          <w:spacing w:val="-14"/>
        </w:rPr>
        <w:t xml:space="preserve"> </w:t>
      </w:r>
      <w:r>
        <w:t>roads</w:t>
      </w:r>
      <w:r>
        <w:rPr>
          <w:spacing w:val="-14"/>
        </w:rPr>
        <w:t xml:space="preserve"> </w:t>
      </w:r>
      <w:r>
        <w:t>such</w:t>
      </w:r>
      <w:r>
        <w:rPr>
          <w:spacing w:val="-14"/>
        </w:rPr>
        <w:t xml:space="preserve"> </w:t>
      </w:r>
      <w:r>
        <w:t>as</w:t>
      </w:r>
      <w:r>
        <w:rPr>
          <w:spacing w:val="-14"/>
        </w:rPr>
        <w:t xml:space="preserve"> </w:t>
      </w:r>
      <w:r>
        <w:t>Parramatta</w:t>
      </w:r>
      <w:r>
        <w:rPr>
          <w:spacing w:val="-14"/>
        </w:rPr>
        <w:t xml:space="preserve"> </w:t>
      </w:r>
      <w:r>
        <w:t>Rd,</w:t>
      </w:r>
      <w:r>
        <w:rPr>
          <w:spacing w:val="-14"/>
        </w:rPr>
        <w:t xml:space="preserve"> </w:t>
      </w:r>
      <w:r>
        <w:t>Pennant Hills</w:t>
      </w:r>
      <w:r>
        <w:rPr>
          <w:spacing w:val="-12"/>
        </w:rPr>
        <w:t xml:space="preserve"> </w:t>
      </w:r>
      <w:r>
        <w:t>Rd</w:t>
      </w:r>
      <w:r>
        <w:rPr>
          <w:spacing w:val="-12"/>
        </w:rPr>
        <w:t xml:space="preserve"> </w:t>
      </w:r>
      <w:r>
        <w:t>and</w:t>
      </w:r>
      <w:r>
        <w:rPr>
          <w:spacing w:val="-12"/>
        </w:rPr>
        <w:t xml:space="preserve"> </w:t>
      </w:r>
      <w:r>
        <w:t>Princes</w:t>
      </w:r>
      <w:r>
        <w:rPr>
          <w:spacing w:val="-12"/>
        </w:rPr>
        <w:t xml:space="preserve"> </w:t>
      </w:r>
      <w:r>
        <w:t>Highway,</w:t>
      </w:r>
      <w:r>
        <w:rPr>
          <w:spacing w:val="-12"/>
        </w:rPr>
        <w:t xml:space="preserve"> </w:t>
      </w:r>
      <w:r>
        <w:t>and</w:t>
      </w:r>
      <w:r>
        <w:rPr>
          <w:spacing w:val="-12"/>
        </w:rPr>
        <w:t xml:space="preserve"> </w:t>
      </w:r>
      <w:r>
        <w:t>permit</w:t>
      </w:r>
      <w:r>
        <w:rPr>
          <w:spacing w:val="-12"/>
        </w:rPr>
        <w:t xml:space="preserve"> </w:t>
      </w:r>
      <w:r>
        <w:t>urban regeneration in these areas.</w:t>
      </w:r>
    </w:p>
    <w:p w:rsidR="002C1123" w:rsidRDefault="00F22F94">
      <w:pPr>
        <w:pStyle w:val="BodyText"/>
        <w:spacing w:before="149" w:line="249" w:lineRule="auto"/>
        <w:ind w:left="200" w:right="14"/>
      </w:pPr>
      <w:r>
        <w:t>The</w:t>
      </w:r>
      <w:r>
        <w:rPr>
          <w:spacing w:val="-14"/>
        </w:rPr>
        <w:t xml:space="preserve"> </w:t>
      </w:r>
      <w:r>
        <w:t>most</w:t>
      </w:r>
      <w:r>
        <w:rPr>
          <w:spacing w:val="-14"/>
        </w:rPr>
        <w:t xml:space="preserve"> </w:t>
      </w:r>
      <w:r>
        <w:t>pressing</w:t>
      </w:r>
      <w:r>
        <w:rPr>
          <w:spacing w:val="-14"/>
        </w:rPr>
        <w:t xml:space="preserve"> </w:t>
      </w:r>
      <w:r>
        <w:t>investment</w:t>
      </w:r>
      <w:r>
        <w:rPr>
          <w:spacing w:val="-14"/>
        </w:rPr>
        <w:t xml:space="preserve"> </w:t>
      </w:r>
      <w:r>
        <w:t>needs</w:t>
      </w:r>
      <w:r>
        <w:rPr>
          <w:spacing w:val="-14"/>
        </w:rPr>
        <w:t xml:space="preserve"> </w:t>
      </w:r>
      <w:r>
        <w:t>occur</w:t>
      </w:r>
      <w:r>
        <w:rPr>
          <w:spacing w:val="-14"/>
        </w:rPr>
        <w:t xml:space="preserve"> </w:t>
      </w:r>
      <w:r>
        <w:t>on</w:t>
      </w:r>
      <w:r>
        <w:rPr>
          <w:spacing w:val="-14"/>
        </w:rPr>
        <w:t xml:space="preserve"> </w:t>
      </w:r>
      <w:r>
        <w:t>the</w:t>
      </w:r>
      <w:r>
        <w:rPr>
          <w:spacing w:val="-14"/>
        </w:rPr>
        <w:t xml:space="preserve"> </w:t>
      </w:r>
      <w:r>
        <w:t>M4 and</w:t>
      </w:r>
      <w:r>
        <w:rPr>
          <w:spacing w:val="-11"/>
        </w:rPr>
        <w:t xml:space="preserve"> </w:t>
      </w:r>
      <w:r>
        <w:t>M5</w:t>
      </w:r>
      <w:r>
        <w:rPr>
          <w:spacing w:val="-11"/>
        </w:rPr>
        <w:t xml:space="preserve"> </w:t>
      </w:r>
      <w:r>
        <w:t>corridors</w:t>
      </w:r>
      <w:r>
        <w:rPr>
          <w:spacing w:val="-11"/>
        </w:rPr>
        <w:t xml:space="preserve"> </w:t>
      </w:r>
      <w:r>
        <w:t>because</w:t>
      </w:r>
      <w:r>
        <w:rPr>
          <w:spacing w:val="-11"/>
        </w:rPr>
        <w:t xml:space="preserve"> </w:t>
      </w:r>
      <w:r>
        <w:t>of</w:t>
      </w:r>
      <w:r>
        <w:rPr>
          <w:spacing w:val="-11"/>
        </w:rPr>
        <w:t xml:space="preserve"> </w:t>
      </w:r>
      <w:r>
        <w:t>their</w:t>
      </w:r>
      <w:r>
        <w:rPr>
          <w:spacing w:val="-11"/>
        </w:rPr>
        <w:t xml:space="preserve"> </w:t>
      </w:r>
      <w:r>
        <w:t>importance</w:t>
      </w:r>
      <w:r>
        <w:rPr>
          <w:spacing w:val="-11"/>
        </w:rPr>
        <w:t xml:space="preserve"> </w:t>
      </w:r>
      <w:r>
        <w:t>to</w:t>
      </w:r>
      <w:r>
        <w:rPr>
          <w:spacing w:val="-11"/>
        </w:rPr>
        <w:t xml:space="preserve"> </w:t>
      </w:r>
      <w:r>
        <w:t>the freight</w:t>
      </w:r>
      <w:r>
        <w:rPr>
          <w:spacing w:val="-14"/>
        </w:rPr>
        <w:t xml:space="preserve"> </w:t>
      </w:r>
      <w:r>
        <w:t>and</w:t>
      </w:r>
      <w:r>
        <w:rPr>
          <w:spacing w:val="-14"/>
        </w:rPr>
        <w:t xml:space="preserve"> </w:t>
      </w:r>
      <w:r>
        <w:t>business</w:t>
      </w:r>
      <w:r>
        <w:rPr>
          <w:spacing w:val="-14"/>
        </w:rPr>
        <w:t xml:space="preserve"> </w:t>
      </w:r>
      <w:r>
        <w:t>transport</w:t>
      </w:r>
      <w:r>
        <w:rPr>
          <w:spacing w:val="-14"/>
        </w:rPr>
        <w:t xml:space="preserve"> </w:t>
      </w:r>
      <w:r>
        <w:t>task;</w:t>
      </w:r>
      <w:r>
        <w:rPr>
          <w:spacing w:val="-14"/>
        </w:rPr>
        <w:t xml:space="preserve"> </w:t>
      </w:r>
      <w:r>
        <w:t>connecting</w:t>
      </w:r>
      <w:r>
        <w:rPr>
          <w:spacing w:val="-14"/>
        </w:rPr>
        <w:t xml:space="preserve"> </w:t>
      </w:r>
      <w:r>
        <w:t xml:space="preserve">Global </w:t>
      </w:r>
      <w:r>
        <w:rPr>
          <w:w w:val="95"/>
        </w:rPr>
        <w:t>Sydney</w:t>
      </w:r>
      <w:r>
        <w:rPr>
          <w:spacing w:val="-12"/>
          <w:w w:val="95"/>
        </w:rPr>
        <w:t xml:space="preserve"> </w:t>
      </w:r>
      <w:r>
        <w:rPr>
          <w:w w:val="95"/>
        </w:rPr>
        <w:t>and</w:t>
      </w:r>
      <w:r>
        <w:rPr>
          <w:spacing w:val="-11"/>
          <w:w w:val="95"/>
        </w:rPr>
        <w:t xml:space="preserve"> </w:t>
      </w:r>
      <w:r>
        <w:rPr>
          <w:w w:val="95"/>
        </w:rPr>
        <w:t>the</w:t>
      </w:r>
      <w:r>
        <w:rPr>
          <w:spacing w:val="-11"/>
          <w:w w:val="95"/>
        </w:rPr>
        <w:t xml:space="preserve"> </w:t>
      </w:r>
      <w:r>
        <w:rPr>
          <w:w w:val="95"/>
        </w:rPr>
        <w:t>international</w:t>
      </w:r>
      <w:r>
        <w:rPr>
          <w:spacing w:val="-11"/>
          <w:w w:val="95"/>
        </w:rPr>
        <w:t xml:space="preserve"> </w:t>
      </w:r>
      <w:r>
        <w:rPr>
          <w:w w:val="95"/>
        </w:rPr>
        <w:t>gateways</w:t>
      </w:r>
      <w:r>
        <w:rPr>
          <w:spacing w:val="-12"/>
          <w:w w:val="95"/>
        </w:rPr>
        <w:t xml:space="preserve"> </w:t>
      </w:r>
      <w:r>
        <w:rPr>
          <w:w w:val="95"/>
        </w:rPr>
        <w:t>with</w:t>
      </w:r>
      <w:r>
        <w:rPr>
          <w:spacing w:val="-11"/>
          <w:w w:val="95"/>
        </w:rPr>
        <w:t xml:space="preserve"> </w:t>
      </w:r>
      <w:r>
        <w:rPr>
          <w:w w:val="95"/>
        </w:rPr>
        <w:t>the</w:t>
      </w:r>
      <w:r>
        <w:rPr>
          <w:spacing w:val="-11"/>
          <w:w w:val="95"/>
        </w:rPr>
        <w:t xml:space="preserve"> </w:t>
      </w:r>
      <w:r>
        <w:rPr>
          <w:w w:val="95"/>
        </w:rPr>
        <w:t xml:space="preserve">industries </w:t>
      </w:r>
      <w:r>
        <w:rPr>
          <w:spacing w:val="-2"/>
        </w:rPr>
        <w:t>and</w:t>
      </w:r>
      <w:r>
        <w:rPr>
          <w:spacing w:val="-10"/>
        </w:rPr>
        <w:t xml:space="preserve"> </w:t>
      </w:r>
      <w:r>
        <w:rPr>
          <w:spacing w:val="-2"/>
        </w:rPr>
        <w:t>residential</w:t>
      </w:r>
      <w:r>
        <w:rPr>
          <w:spacing w:val="-10"/>
        </w:rPr>
        <w:t xml:space="preserve"> </w:t>
      </w:r>
      <w:r>
        <w:rPr>
          <w:spacing w:val="-2"/>
        </w:rPr>
        <w:t>areas</w:t>
      </w:r>
      <w:r>
        <w:rPr>
          <w:spacing w:val="-10"/>
        </w:rPr>
        <w:t xml:space="preserve"> </w:t>
      </w:r>
      <w:r>
        <w:rPr>
          <w:spacing w:val="-2"/>
        </w:rPr>
        <w:t>in</w:t>
      </w:r>
      <w:r>
        <w:rPr>
          <w:spacing w:val="-10"/>
        </w:rPr>
        <w:t xml:space="preserve"> </w:t>
      </w:r>
      <w:r>
        <w:rPr>
          <w:spacing w:val="-2"/>
        </w:rPr>
        <w:t>the</w:t>
      </w:r>
      <w:r>
        <w:rPr>
          <w:spacing w:val="-10"/>
        </w:rPr>
        <w:t xml:space="preserve"> </w:t>
      </w:r>
      <w:r>
        <w:rPr>
          <w:spacing w:val="-2"/>
        </w:rPr>
        <w:t>West</w:t>
      </w:r>
      <w:r>
        <w:rPr>
          <w:spacing w:val="-10"/>
        </w:rPr>
        <w:t xml:space="preserve"> </w:t>
      </w:r>
      <w:r>
        <w:rPr>
          <w:spacing w:val="-2"/>
        </w:rPr>
        <w:t>and</w:t>
      </w:r>
      <w:r>
        <w:rPr>
          <w:spacing w:val="-10"/>
        </w:rPr>
        <w:t xml:space="preserve"> </w:t>
      </w:r>
      <w:r>
        <w:rPr>
          <w:spacing w:val="-2"/>
        </w:rPr>
        <w:t>South-West.</w:t>
      </w:r>
    </w:p>
    <w:p w:rsidR="002C1123" w:rsidRDefault="00F22F94">
      <w:pPr>
        <w:pStyle w:val="BodyText"/>
        <w:spacing w:before="146" w:line="249" w:lineRule="auto"/>
        <w:ind w:left="200"/>
      </w:pPr>
      <w:r>
        <w:rPr>
          <w:w w:val="95"/>
        </w:rPr>
        <w:t>Infrastructure</w:t>
      </w:r>
      <w:r>
        <w:rPr>
          <w:spacing w:val="-6"/>
          <w:w w:val="95"/>
        </w:rPr>
        <w:t xml:space="preserve"> </w:t>
      </w:r>
      <w:r>
        <w:rPr>
          <w:w w:val="95"/>
        </w:rPr>
        <w:t>NSW</w:t>
      </w:r>
      <w:r>
        <w:rPr>
          <w:spacing w:val="-6"/>
          <w:w w:val="95"/>
        </w:rPr>
        <w:t xml:space="preserve"> </w:t>
      </w:r>
      <w:r>
        <w:rPr>
          <w:w w:val="95"/>
        </w:rPr>
        <w:t>has</w:t>
      </w:r>
      <w:r>
        <w:rPr>
          <w:spacing w:val="-6"/>
          <w:w w:val="95"/>
        </w:rPr>
        <w:t xml:space="preserve"> </w:t>
      </w:r>
      <w:r>
        <w:rPr>
          <w:w w:val="95"/>
        </w:rPr>
        <w:t>developed</w:t>
      </w:r>
      <w:r>
        <w:rPr>
          <w:spacing w:val="-6"/>
          <w:w w:val="95"/>
        </w:rPr>
        <w:t xml:space="preserve"> </w:t>
      </w:r>
      <w:r>
        <w:rPr>
          <w:w w:val="95"/>
        </w:rPr>
        <w:t>a</w:t>
      </w:r>
      <w:r>
        <w:rPr>
          <w:spacing w:val="-6"/>
          <w:w w:val="95"/>
        </w:rPr>
        <w:t xml:space="preserve"> </w:t>
      </w:r>
      <w:r>
        <w:rPr>
          <w:w w:val="95"/>
        </w:rPr>
        <w:t>scheme</w:t>
      </w:r>
      <w:r>
        <w:rPr>
          <w:spacing w:val="-6"/>
          <w:w w:val="95"/>
        </w:rPr>
        <w:t xml:space="preserve"> </w:t>
      </w:r>
      <w:r>
        <w:rPr>
          <w:w w:val="95"/>
        </w:rPr>
        <w:t xml:space="preserve">called “WestConnex”, which it proposes as Sydney’s next </w:t>
      </w:r>
      <w:r>
        <w:t>motorway</w:t>
      </w:r>
      <w:r>
        <w:rPr>
          <w:spacing w:val="-14"/>
        </w:rPr>
        <w:t xml:space="preserve"> </w:t>
      </w:r>
      <w:r>
        <w:t>project.</w:t>
      </w:r>
      <w:r>
        <w:rPr>
          <w:spacing w:val="-14"/>
        </w:rPr>
        <w:t xml:space="preserve"> </w:t>
      </w:r>
      <w:r>
        <w:t>WestConnex</w:t>
      </w:r>
      <w:r>
        <w:rPr>
          <w:spacing w:val="-14"/>
        </w:rPr>
        <w:t xml:space="preserve"> </w:t>
      </w:r>
      <w:r>
        <w:t>integrates</w:t>
      </w:r>
      <w:r>
        <w:rPr>
          <w:spacing w:val="-14"/>
        </w:rPr>
        <w:t xml:space="preserve"> </w:t>
      </w:r>
      <w:r>
        <w:t>the</w:t>
      </w:r>
      <w:r>
        <w:rPr>
          <w:spacing w:val="-14"/>
        </w:rPr>
        <w:t xml:space="preserve"> </w:t>
      </w:r>
      <w:r>
        <w:t>M4 Extension</w:t>
      </w:r>
      <w:r>
        <w:rPr>
          <w:spacing w:val="-4"/>
        </w:rPr>
        <w:t xml:space="preserve"> </w:t>
      </w:r>
      <w:r>
        <w:t>from</w:t>
      </w:r>
      <w:r>
        <w:rPr>
          <w:spacing w:val="-5"/>
        </w:rPr>
        <w:t xml:space="preserve"> </w:t>
      </w:r>
      <w:r>
        <w:t>Parramatta</w:t>
      </w:r>
      <w:r>
        <w:rPr>
          <w:spacing w:val="-4"/>
        </w:rPr>
        <w:t xml:space="preserve"> </w:t>
      </w:r>
      <w:r>
        <w:t>towards</w:t>
      </w:r>
      <w:r>
        <w:rPr>
          <w:spacing w:val="-4"/>
        </w:rPr>
        <w:t xml:space="preserve"> </w:t>
      </w:r>
      <w:r>
        <w:t>the</w:t>
      </w:r>
      <w:r>
        <w:rPr>
          <w:spacing w:val="-4"/>
        </w:rPr>
        <w:t xml:space="preserve"> </w:t>
      </w:r>
      <w:r>
        <w:t>Airport</w:t>
      </w:r>
    </w:p>
    <w:p w:rsidR="002C1123" w:rsidRDefault="00F22F94">
      <w:pPr>
        <w:pStyle w:val="BodyText"/>
        <w:spacing w:before="108" w:line="249" w:lineRule="auto"/>
        <w:ind w:left="195" w:right="1200"/>
      </w:pPr>
      <w:r>
        <w:br w:type="column"/>
      </w:r>
      <w:r>
        <w:rPr>
          <w:w w:val="95"/>
        </w:rPr>
        <w:t>with</w:t>
      </w:r>
      <w:r>
        <w:rPr>
          <w:spacing w:val="-8"/>
          <w:w w:val="95"/>
        </w:rPr>
        <w:t xml:space="preserve"> </w:t>
      </w:r>
      <w:r>
        <w:rPr>
          <w:w w:val="95"/>
        </w:rPr>
        <w:t>an</w:t>
      </w:r>
      <w:r>
        <w:rPr>
          <w:spacing w:val="-8"/>
          <w:w w:val="95"/>
        </w:rPr>
        <w:t xml:space="preserve"> </w:t>
      </w:r>
      <w:r>
        <w:rPr>
          <w:w w:val="95"/>
        </w:rPr>
        <w:t>expansion</w:t>
      </w:r>
      <w:r>
        <w:rPr>
          <w:spacing w:val="-8"/>
          <w:w w:val="95"/>
        </w:rPr>
        <w:t xml:space="preserve"> </w:t>
      </w:r>
      <w:r>
        <w:rPr>
          <w:w w:val="95"/>
        </w:rPr>
        <w:t>of</w:t>
      </w:r>
      <w:r>
        <w:rPr>
          <w:spacing w:val="-8"/>
          <w:w w:val="95"/>
        </w:rPr>
        <w:t xml:space="preserve"> </w:t>
      </w:r>
      <w:r>
        <w:rPr>
          <w:w w:val="95"/>
        </w:rPr>
        <w:t>the</w:t>
      </w:r>
      <w:r>
        <w:rPr>
          <w:spacing w:val="-8"/>
          <w:w w:val="95"/>
        </w:rPr>
        <w:t xml:space="preserve"> </w:t>
      </w:r>
      <w:r>
        <w:rPr>
          <w:w w:val="95"/>
        </w:rPr>
        <w:t>M5</w:t>
      </w:r>
      <w:r>
        <w:rPr>
          <w:spacing w:val="-8"/>
          <w:w w:val="95"/>
        </w:rPr>
        <w:t xml:space="preserve"> </w:t>
      </w:r>
      <w:r>
        <w:rPr>
          <w:w w:val="95"/>
        </w:rPr>
        <w:t>East.</w:t>
      </w:r>
      <w:r>
        <w:rPr>
          <w:spacing w:val="-8"/>
          <w:w w:val="95"/>
        </w:rPr>
        <w:t xml:space="preserve"> </w:t>
      </w:r>
      <w:r>
        <w:rPr>
          <w:w w:val="95"/>
        </w:rPr>
        <w:t>Regeneration</w:t>
      </w:r>
      <w:r>
        <w:rPr>
          <w:spacing w:val="-8"/>
          <w:w w:val="95"/>
        </w:rPr>
        <w:t xml:space="preserve"> </w:t>
      </w:r>
      <w:r>
        <w:rPr>
          <w:w w:val="95"/>
        </w:rPr>
        <w:t xml:space="preserve">of </w:t>
      </w:r>
      <w:r>
        <w:t>the</w:t>
      </w:r>
      <w:r>
        <w:rPr>
          <w:spacing w:val="-2"/>
        </w:rPr>
        <w:t xml:space="preserve"> </w:t>
      </w:r>
      <w:r>
        <w:t>Parramatta</w:t>
      </w:r>
      <w:r>
        <w:rPr>
          <w:spacing w:val="-2"/>
        </w:rPr>
        <w:t xml:space="preserve"> </w:t>
      </w:r>
      <w:r>
        <w:t>Rd</w:t>
      </w:r>
      <w:r>
        <w:rPr>
          <w:spacing w:val="-2"/>
        </w:rPr>
        <w:t xml:space="preserve"> </w:t>
      </w:r>
      <w:r>
        <w:t>corridor</w:t>
      </w:r>
      <w:r>
        <w:rPr>
          <w:spacing w:val="-2"/>
        </w:rPr>
        <w:t xml:space="preserve"> </w:t>
      </w:r>
      <w:r>
        <w:t>and</w:t>
      </w:r>
      <w:r>
        <w:rPr>
          <w:spacing w:val="-2"/>
        </w:rPr>
        <w:t xml:space="preserve"> </w:t>
      </w:r>
      <w:r>
        <w:t>public</w:t>
      </w:r>
      <w:r>
        <w:rPr>
          <w:spacing w:val="-2"/>
        </w:rPr>
        <w:t xml:space="preserve"> </w:t>
      </w:r>
      <w:r>
        <w:t>transport improvements</w:t>
      </w:r>
      <w:r>
        <w:rPr>
          <w:spacing w:val="-11"/>
        </w:rPr>
        <w:t xml:space="preserve"> </w:t>
      </w:r>
      <w:r>
        <w:t>are</w:t>
      </w:r>
      <w:r>
        <w:rPr>
          <w:spacing w:val="-11"/>
        </w:rPr>
        <w:t xml:space="preserve"> </w:t>
      </w:r>
      <w:r>
        <w:t>integral</w:t>
      </w:r>
      <w:r>
        <w:rPr>
          <w:spacing w:val="-11"/>
        </w:rPr>
        <w:t xml:space="preserve"> </w:t>
      </w:r>
      <w:r>
        <w:t>parts</w:t>
      </w:r>
      <w:r>
        <w:rPr>
          <w:spacing w:val="-11"/>
        </w:rPr>
        <w:t xml:space="preserve"> </w:t>
      </w:r>
      <w:r>
        <w:t>of</w:t>
      </w:r>
      <w:r>
        <w:rPr>
          <w:spacing w:val="-11"/>
        </w:rPr>
        <w:t xml:space="preserve"> </w:t>
      </w:r>
      <w:r>
        <w:t>the</w:t>
      </w:r>
      <w:r>
        <w:rPr>
          <w:spacing w:val="-11"/>
        </w:rPr>
        <w:t xml:space="preserve"> </w:t>
      </w:r>
      <w:r>
        <w:t>scheme.</w:t>
      </w:r>
    </w:p>
    <w:p w:rsidR="002C1123" w:rsidRDefault="00F22F94">
      <w:pPr>
        <w:pStyle w:val="BodyText"/>
        <w:spacing w:before="2" w:line="249" w:lineRule="auto"/>
        <w:ind w:left="195" w:right="678"/>
      </w:pPr>
      <w:r>
        <w:rPr>
          <w:w w:val="95"/>
        </w:rPr>
        <w:t>WestConnex</w:t>
      </w:r>
      <w:r>
        <w:rPr>
          <w:spacing w:val="-6"/>
          <w:w w:val="95"/>
        </w:rPr>
        <w:t xml:space="preserve"> </w:t>
      </w:r>
      <w:r>
        <w:rPr>
          <w:w w:val="95"/>
        </w:rPr>
        <w:t>is</w:t>
      </w:r>
      <w:r>
        <w:rPr>
          <w:spacing w:val="-6"/>
          <w:w w:val="95"/>
        </w:rPr>
        <w:t xml:space="preserve"> </w:t>
      </w:r>
      <w:r>
        <w:rPr>
          <w:w w:val="95"/>
        </w:rPr>
        <w:t>proposed</w:t>
      </w:r>
      <w:r>
        <w:rPr>
          <w:spacing w:val="-6"/>
          <w:w w:val="95"/>
        </w:rPr>
        <w:t xml:space="preserve"> </w:t>
      </w:r>
      <w:r>
        <w:rPr>
          <w:w w:val="95"/>
        </w:rPr>
        <w:t>to</w:t>
      </w:r>
      <w:r>
        <w:rPr>
          <w:spacing w:val="-6"/>
          <w:w w:val="95"/>
        </w:rPr>
        <w:t xml:space="preserve"> </w:t>
      </w:r>
      <w:r>
        <w:rPr>
          <w:w w:val="95"/>
        </w:rPr>
        <w:t>be</w:t>
      </w:r>
      <w:r>
        <w:rPr>
          <w:spacing w:val="-6"/>
          <w:w w:val="95"/>
        </w:rPr>
        <w:t xml:space="preserve"> </w:t>
      </w:r>
      <w:r>
        <w:rPr>
          <w:w w:val="95"/>
        </w:rPr>
        <w:t>delivered</w:t>
      </w:r>
      <w:r>
        <w:rPr>
          <w:spacing w:val="-6"/>
          <w:w w:val="95"/>
        </w:rPr>
        <w:t xml:space="preserve"> </w:t>
      </w:r>
      <w:r>
        <w:rPr>
          <w:w w:val="95"/>
        </w:rPr>
        <w:t>in</w:t>
      </w:r>
      <w:r>
        <w:rPr>
          <w:spacing w:val="-6"/>
          <w:w w:val="95"/>
        </w:rPr>
        <w:t xml:space="preserve"> </w:t>
      </w:r>
      <w:r>
        <w:rPr>
          <w:w w:val="95"/>
        </w:rPr>
        <w:t>stages</w:t>
      </w:r>
      <w:r>
        <w:rPr>
          <w:spacing w:val="-6"/>
          <w:w w:val="95"/>
        </w:rPr>
        <w:t xml:space="preserve"> </w:t>
      </w:r>
      <w:r>
        <w:rPr>
          <w:w w:val="95"/>
        </w:rPr>
        <w:t xml:space="preserve">over </w:t>
      </w:r>
      <w:r>
        <w:t>the</w:t>
      </w:r>
      <w:r>
        <w:rPr>
          <w:spacing w:val="-12"/>
        </w:rPr>
        <w:t xml:space="preserve"> </w:t>
      </w:r>
      <w:r>
        <w:t>next</w:t>
      </w:r>
      <w:r>
        <w:rPr>
          <w:spacing w:val="-12"/>
        </w:rPr>
        <w:t xml:space="preserve"> </w:t>
      </w:r>
      <w:r>
        <w:t>10</w:t>
      </w:r>
      <w:r>
        <w:rPr>
          <w:spacing w:val="-12"/>
        </w:rPr>
        <w:t xml:space="preserve"> </w:t>
      </w:r>
      <w:r>
        <w:t>years</w:t>
      </w:r>
      <w:r>
        <w:rPr>
          <w:spacing w:val="-12"/>
        </w:rPr>
        <w:t xml:space="preserve"> </w:t>
      </w:r>
      <w:r>
        <w:t>at</w:t>
      </w:r>
      <w:r>
        <w:rPr>
          <w:spacing w:val="-12"/>
        </w:rPr>
        <w:t xml:space="preserve"> </w:t>
      </w:r>
      <w:r>
        <w:t>a</w:t>
      </w:r>
      <w:r>
        <w:rPr>
          <w:spacing w:val="-12"/>
        </w:rPr>
        <w:t xml:space="preserve"> </w:t>
      </w:r>
      <w:r>
        <w:t>target</w:t>
      </w:r>
      <w:r>
        <w:rPr>
          <w:spacing w:val="-12"/>
        </w:rPr>
        <w:t xml:space="preserve"> </w:t>
      </w:r>
      <w:r>
        <w:t>cost</w:t>
      </w:r>
      <w:r>
        <w:rPr>
          <w:spacing w:val="-12"/>
        </w:rPr>
        <w:t xml:space="preserve"> </w:t>
      </w:r>
      <w:r>
        <w:t>of</w:t>
      </w:r>
      <w:r>
        <w:rPr>
          <w:spacing w:val="-12"/>
        </w:rPr>
        <w:t xml:space="preserve"> </w:t>
      </w:r>
      <w:r>
        <w:t>$10</w:t>
      </w:r>
      <w:r>
        <w:rPr>
          <w:spacing w:val="-12"/>
        </w:rPr>
        <w:t xml:space="preserve"> </w:t>
      </w:r>
      <w:r>
        <w:t>billion.</w:t>
      </w:r>
    </w:p>
    <w:p w:rsidR="002C1123" w:rsidRDefault="00F22F94">
      <w:pPr>
        <w:pStyle w:val="BodyText"/>
        <w:spacing w:before="144" w:line="249" w:lineRule="auto"/>
        <w:ind w:left="195" w:right="1200"/>
      </w:pPr>
      <w:r>
        <w:t>The</w:t>
      </w:r>
      <w:r>
        <w:rPr>
          <w:spacing w:val="-14"/>
        </w:rPr>
        <w:t xml:space="preserve"> </w:t>
      </w:r>
      <w:r>
        <w:t>F3-M2</w:t>
      </w:r>
      <w:r>
        <w:rPr>
          <w:spacing w:val="-14"/>
        </w:rPr>
        <w:t xml:space="preserve"> </w:t>
      </w:r>
      <w:r>
        <w:t>link</w:t>
      </w:r>
      <w:r>
        <w:rPr>
          <w:spacing w:val="-14"/>
        </w:rPr>
        <w:t xml:space="preserve"> </w:t>
      </w:r>
      <w:r>
        <w:t>and</w:t>
      </w:r>
      <w:r>
        <w:rPr>
          <w:spacing w:val="-14"/>
        </w:rPr>
        <w:t xml:space="preserve"> </w:t>
      </w:r>
      <w:r>
        <w:t>F6</w:t>
      </w:r>
      <w:r>
        <w:rPr>
          <w:spacing w:val="-14"/>
        </w:rPr>
        <w:t xml:space="preserve"> </w:t>
      </w:r>
      <w:r>
        <w:t>Extension</w:t>
      </w:r>
      <w:r>
        <w:rPr>
          <w:spacing w:val="-14"/>
        </w:rPr>
        <w:t xml:space="preserve"> </w:t>
      </w:r>
      <w:r>
        <w:t>are</w:t>
      </w:r>
      <w:r>
        <w:rPr>
          <w:spacing w:val="-14"/>
        </w:rPr>
        <w:t xml:space="preserve"> </w:t>
      </w:r>
      <w:r>
        <w:t>also</w:t>
      </w:r>
      <w:r>
        <w:rPr>
          <w:spacing w:val="-14"/>
        </w:rPr>
        <w:t xml:space="preserve"> </w:t>
      </w:r>
      <w:r>
        <w:t>highly desirable</w:t>
      </w:r>
      <w:r>
        <w:rPr>
          <w:spacing w:val="-14"/>
        </w:rPr>
        <w:t xml:space="preserve"> </w:t>
      </w:r>
      <w:r>
        <w:t>to</w:t>
      </w:r>
      <w:r>
        <w:rPr>
          <w:spacing w:val="-14"/>
        </w:rPr>
        <w:t xml:space="preserve"> </w:t>
      </w:r>
      <w:r>
        <w:t>bring</w:t>
      </w:r>
      <w:r>
        <w:rPr>
          <w:spacing w:val="-14"/>
        </w:rPr>
        <w:t xml:space="preserve"> </w:t>
      </w:r>
      <w:r>
        <w:t>connections</w:t>
      </w:r>
      <w:r>
        <w:rPr>
          <w:spacing w:val="-14"/>
        </w:rPr>
        <w:t xml:space="preserve"> </w:t>
      </w:r>
      <w:r>
        <w:t>North</w:t>
      </w:r>
      <w:r>
        <w:rPr>
          <w:spacing w:val="-14"/>
        </w:rPr>
        <w:t xml:space="preserve"> </w:t>
      </w:r>
      <w:r>
        <w:t>and</w:t>
      </w:r>
      <w:r>
        <w:rPr>
          <w:spacing w:val="-14"/>
        </w:rPr>
        <w:t xml:space="preserve"> </w:t>
      </w:r>
      <w:r>
        <w:t>South</w:t>
      </w:r>
      <w:r>
        <w:rPr>
          <w:spacing w:val="-14"/>
        </w:rPr>
        <w:t xml:space="preserve"> </w:t>
      </w:r>
      <w:r>
        <w:t xml:space="preserve">of </w:t>
      </w:r>
      <w:r>
        <w:rPr>
          <w:w w:val="95"/>
        </w:rPr>
        <w:t>Sydney</w:t>
      </w:r>
      <w:r>
        <w:rPr>
          <w:spacing w:val="-1"/>
          <w:w w:val="95"/>
        </w:rPr>
        <w:t xml:space="preserve"> </w:t>
      </w:r>
      <w:r>
        <w:rPr>
          <w:w w:val="95"/>
        </w:rPr>
        <w:t>up</w:t>
      </w:r>
      <w:r>
        <w:rPr>
          <w:spacing w:val="-1"/>
          <w:w w:val="95"/>
        </w:rPr>
        <w:t xml:space="preserve"> </w:t>
      </w:r>
      <w:r>
        <w:rPr>
          <w:w w:val="95"/>
        </w:rPr>
        <w:t>to</w:t>
      </w:r>
      <w:r>
        <w:rPr>
          <w:spacing w:val="-1"/>
          <w:w w:val="95"/>
        </w:rPr>
        <w:t xml:space="preserve"> </w:t>
      </w:r>
      <w:r>
        <w:rPr>
          <w:w w:val="95"/>
        </w:rPr>
        <w:t>motorway</w:t>
      </w:r>
      <w:r>
        <w:rPr>
          <w:spacing w:val="-1"/>
          <w:w w:val="95"/>
        </w:rPr>
        <w:t xml:space="preserve"> </w:t>
      </w:r>
      <w:r>
        <w:rPr>
          <w:w w:val="95"/>
        </w:rPr>
        <w:t>standard.</w:t>
      </w:r>
      <w:r>
        <w:rPr>
          <w:spacing w:val="-1"/>
          <w:w w:val="95"/>
        </w:rPr>
        <w:t xml:space="preserve"> </w:t>
      </w:r>
      <w:r>
        <w:rPr>
          <w:w w:val="95"/>
        </w:rPr>
        <w:t>These</w:t>
      </w:r>
      <w:r>
        <w:rPr>
          <w:spacing w:val="-1"/>
          <w:w w:val="95"/>
        </w:rPr>
        <w:t xml:space="preserve"> </w:t>
      </w:r>
      <w:r>
        <w:rPr>
          <w:w w:val="95"/>
        </w:rPr>
        <w:t>roads</w:t>
      </w:r>
      <w:r>
        <w:rPr>
          <w:spacing w:val="-1"/>
          <w:w w:val="95"/>
        </w:rPr>
        <w:t xml:space="preserve"> </w:t>
      </w:r>
      <w:r>
        <w:rPr>
          <w:w w:val="95"/>
        </w:rPr>
        <w:t>are scheduled for development between years 10 and 20,</w:t>
      </w:r>
      <w:r>
        <w:rPr>
          <w:spacing w:val="-5"/>
          <w:w w:val="95"/>
        </w:rPr>
        <w:t xml:space="preserve"> </w:t>
      </w:r>
      <w:r>
        <w:rPr>
          <w:w w:val="95"/>
        </w:rPr>
        <w:t>but</w:t>
      </w:r>
      <w:r>
        <w:rPr>
          <w:spacing w:val="-5"/>
          <w:w w:val="95"/>
        </w:rPr>
        <w:t xml:space="preserve"> </w:t>
      </w:r>
      <w:r>
        <w:rPr>
          <w:w w:val="95"/>
        </w:rPr>
        <w:t>may</w:t>
      </w:r>
      <w:r>
        <w:rPr>
          <w:spacing w:val="-5"/>
          <w:w w:val="95"/>
        </w:rPr>
        <w:t xml:space="preserve"> </w:t>
      </w:r>
      <w:r>
        <w:rPr>
          <w:w w:val="95"/>
        </w:rPr>
        <w:t>be</w:t>
      </w:r>
      <w:r>
        <w:rPr>
          <w:spacing w:val="-5"/>
          <w:w w:val="95"/>
        </w:rPr>
        <w:t xml:space="preserve"> </w:t>
      </w:r>
      <w:r>
        <w:rPr>
          <w:w w:val="95"/>
        </w:rPr>
        <w:t>accelerated</w:t>
      </w:r>
      <w:r>
        <w:rPr>
          <w:spacing w:val="-5"/>
          <w:w w:val="95"/>
        </w:rPr>
        <w:t xml:space="preserve"> </w:t>
      </w:r>
      <w:r>
        <w:rPr>
          <w:w w:val="95"/>
        </w:rPr>
        <w:t>if</w:t>
      </w:r>
      <w:r>
        <w:rPr>
          <w:spacing w:val="-5"/>
          <w:w w:val="95"/>
        </w:rPr>
        <w:t xml:space="preserve"> </w:t>
      </w:r>
      <w:r>
        <w:rPr>
          <w:w w:val="95"/>
        </w:rPr>
        <w:t>the</w:t>
      </w:r>
      <w:r>
        <w:rPr>
          <w:spacing w:val="-5"/>
          <w:w w:val="95"/>
        </w:rPr>
        <w:t xml:space="preserve"> </w:t>
      </w:r>
      <w:r>
        <w:rPr>
          <w:w w:val="95"/>
        </w:rPr>
        <w:t>private</w:t>
      </w:r>
      <w:r>
        <w:rPr>
          <w:spacing w:val="-5"/>
          <w:w w:val="95"/>
        </w:rPr>
        <w:t xml:space="preserve"> </w:t>
      </w:r>
      <w:r>
        <w:rPr>
          <w:w w:val="95"/>
        </w:rPr>
        <w:t>sector</w:t>
      </w:r>
      <w:r>
        <w:rPr>
          <w:spacing w:val="-5"/>
          <w:w w:val="95"/>
        </w:rPr>
        <w:t xml:space="preserve"> </w:t>
      </w:r>
      <w:r>
        <w:rPr>
          <w:w w:val="95"/>
        </w:rPr>
        <w:t xml:space="preserve">can </w:t>
      </w:r>
      <w:r>
        <w:t>provide</w:t>
      </w:r>
      <w:r>
        <w:rPr>
          <w:spacing w:val="-11"/>
        </w:rPr>
        <w:t xml:space="preserve"> </w:t>
      </w:r>
      <w:r>
        <w:t>financing.</w:t>
      </w:r>
    </w:p>
    <w:p w:rsidR="002C1123" w:rsidRDefault="00F22F94">
      <w:pPr>
        <w:pStyle w:val="Heading6"/>
        <w:spacing w:before="146"/>
        <w:ind w:left="195"/>
      </w:pPr>
      <w:r>
        <w:rPr>
          <w:color w:val="2E3092"/>
          <w:w w:val="95"/>
        </w:rPr>
        <w:t>Buses</w:t>
      </w:r>
      <w:r>
        <w:rPr>
          <w:color w:val="2E3092"/>
          <w:spacing w:val="1"/>
        </w:rPr>
        <w:t xml:space="preserve"> </w:t>
      </w:r>
      <w:r>
        <w:rPr>
          <w:color w:val="2E3092"/>
          <w:w w:val="95"/>
        </w:rPr>
        <w:t>and</w:t>
      </w:r>
      <w:r>
        <w:rPr>
          <w:color w:val="2E3092"/>
          <w:spacing w:val="2"/>
        </w:rPr>
        <w:t xml:space="preserve"> </w:t>
      </w:r>
      <w:r>
        <w:rPr>
          <w:color w:val="2E3092"/>
          <w:w w:val="95"/>
        </w:rPr>
        <w:t>Light</w:t>
      </w:r>
      <w:r>
        <w:rPr>
          <w:color w:val="2E3092"/>
          <w:spacing w:val="2"/>
        </w:rPr>
        <w:t xml:space="preserve"> </w:t>
      </w:r>
      <w:r>
        <w:rPr>
          <w:color w:val="2E3092"/>
          <w:spacing w:val="-4"/>
          <w:w w:val="95"/>
        </w:rPr>
        <w:t>Rail</w:t>
      </w:r>
    </w:p>
    <w:p w:rsidR="002C1123" w:rsidRDefault="00F22F94">
      <w:pPr>
        <w:pStyle w:val="BodyText"/>
        <w:spacing w:before="10" w:line="249" w:lineRule="auto"/>
        <w:ind w:left="195" w:right="678"/>
      </w:pPr>
      <w:r>
        <w:rPr>
          <w:w w:val="95"/>
        </w:rPr>
        <w:t xml:space="preserve">The principal issue facing bus services is congestion in </w:t>
      </w:r>
      <w:r>
        <w:rPr>
          <w:spacing w:val="-2"/>
        </w:rPr>
        <w:t>the</w:t>
      </w:r>
      <w:r>
        <w:rPr>
          <w:spacing w:val="-5"/>
        </w:rPr>
        <w:t xml:space="preserve"> </w:t>
      </w:r>
      <w:r>
        <w:rPr>
          <w:spacing w:val="-2"/>
        </w:rPr>
        <w:t>CBD.</w:t>
      </w:r>
      <w:r>
        <w:rPr>
          <w:spacing w:val="-5"/>
        </w:rPr>
        <w:t xml:space="preserve"> </w:t>
      </w:r>
      <w:r>
        <w:rPr>
          <w:spacing w:val="-2"/>
        </w:rPr>
        <w:t>However,</w:t>
      </w:r>
      <w:r>
        <w:rPr>
          <w:spacing w:val="-5"/>
        </w:rPr>
        <w:t xml:space="preserve"> </w:t>
      </w:r>
      <w:r>
        <w:rPr>
          <w:spacing w:val="-2"/>
        </w:rPr>
        <w:t>Infrastructure</w:t>
      </w:r>
      <w:r>
        <w:rPr>
          <w:spacing w:val="-5"/>
        </w:rPr>
        <w:t xml:space="preserve"> </w:t>
      </w:r>
      <w:r>
        <w:rPr>
          <w:spacing w:val="-2"/>
        </w:rPr>
        <w:t>NSW</w:t>
      </w:r>
      <w:r>
        <w:rPr>
          <w:spacing w:val="-5"/>
        </w:rPr>
        <w:t xml:space="preserve"> </w:t>
      </w:r>
      <w:r>
        <w:rPr>
          <w:spacing w:val="-2"/>
        </w:rPr>
        <w:t>has</w:t>
      </w:r>
      <w:r>
        <w:rPr>
          <w:spacing w:val="-5"/>
        </w:rPr>
        <w:t xml:space="preserve"> </w:t>
      </w:r>
      <w:r>
        <w:rPr>
          <w:spacing w:val="-2"/>
        </w:rPr>
        <w:t xml:space="preserve">concluded </w:t>
      </w:r>
      <w:r>
        <w:t>that</w:t>
      </w:r>
      <w:r>
        <w:rPr>
          <w:spacing w:val="-13"/>
        </w:rPr>
        <w:t xml:space="preserve"> </w:t>
      </w:r>
      <w:r>
        <w:t>a</w:t>
      </w:r>
      <w:r>
        <w:rPr>
          <w:spacing w:val="-13"/>
        </w:rPr>
        <w:t xml:space="preserve"> </w:t>
      </w:r>
      <w:r>
        <w:t>high</w:t>
      </w:r>
      <w:r>
        <w:rPr>
          <w:spacing w:val="-13"/>
        </w:rPr>
        <w:t xml:space="preserve"> </w:t>
      </w:r>
      <w:r>
        <w:t>capacity</w:t>
      </w:r>
      <w:r>
        <w:rPr>
          <w:spacing w:val="-13"/>
        </w:rPr>
        <w:t xml:space="preserve"> </w:t>
      </w:r>
      <w:r>
        <w:t>light</w:t>
      </w:r>
      <w:r>
        <w:rPr>
          <w:spacing w:val="-13"/>
        </w:rPr>
        <w:t xml:space="preserve"> </w:t>
      </w:r>
      <w:r>
        <w:t>rail</w:t>
      </w:r>
      <w:r>
        <w:rPr>
          <w:spacing w:val="-13"/>
        </w:rPr>
        <w:t xml:space="preserve"> </w:t>
      </w:r>
      <w:r>
        <w:t>service</w:t>
      </w:r>
      <w:r>
        <w:rPr>
          <w:spacing w:val="-13"/>
        </w:rPr>
        <w:t xml:space="preserve"> </w:t>
      </w:r>
      <w:r>
        <w:t>on</w:t>
      </w:r>
      <w:r>
        <w:rPr>
          <w:spacing w:val="-13"/>
        </w:rPr>
        <w:t xml:space="preserve"> </w:t>
      </w:r>
      <w:r>
        <w:t>George</w:t>
      </w:r>
      <w:r>
        <w:rPr>
          <w:spacing w:val="-13"/>
        </w:rPr>
        <w:t xml:space="preserve"> </w:t>
      </w:r>
      <w:r>
        <w:t>St</w:t>
      </w:r>
      <w:r>
        <w:rPr>
          <w:spacing w:val="-13"/>
        </w:rPr>
        <w:t xml:space="preserve"> </w:t>
      </w:r>
      <w:r>
        <w:t>is likely</w:t>
      </w:r>
      <w:r>
        <w:rPr>
          <w:spacing w:val="-13"/>
        </w:rPr>
        <w:t xml:space="preserve"> </w:t>
      </w:r>
      <w:r>
        <w:t>to</w:t>
      </w:r>
      <w:r>
        <w:rPr>
          <w:spacing w:val="-13"/>
        </w:rPr>
        <w:t xml:space="preserve"> </w:t>
      </w:r>
      <w:r>
        <w:t>be</w:t>
      </w:r>
      <w:r>
        <w:rPr>
          <w:spacing w:val="-13"/>
        </w:rPr>
        <w:t xml:space="preserve"> </w:t>
      </w:r>
      <w:r>
        <w:t>incompatible</w:t>
      </w:r>
      <w:r>
        <w:rPr>
          <w:spacing w:val="-13"/>
        </w:rPr>
        <w:t xml:space="preserve"> </w:t>
      </w:r>
      <w:r>
        <w:t>with</w:t>
      </w:r>
      <w:r>
        <w:rPr>
          <w:spacing w:val="-13"/>
        </w:rPr>
        <w:t xml:space="preserve"> </w:t>
      </w:r>
      <w:r>
        <w:t>a</w:t>
      </w:r>
      <w:r>
        <w:rPr>
          <w:spacing w:val="-13"/>
        </w:rPr>
        <w:t xml:space="preserve"> </w:t>
      </w:r>
      <w:r>
        <w:t>high</w:t>
      </w:r>
      <w:r>
        <w:rPr>
          <w:spacing w:val="-13"/>
        </w:rPr>
        <w:t xml:space="preserve"> </w:t>
      </w:r>
      <w:r>
        <w:t>quality</w:t>
      </w:r>
      <w:r>
        <w:rPr>
          <w:spacing w:val="-13"/>
        </w:rPr>
        <w:t xml:space="preserve"> </w:t>
      </w:r>
      <w:r>
        <w:t xml:space="preserve">pedestrian </w:t>
      </w:r>
      <w:r>
        <w:rPr>
          <w:w w:val="95"/>
        </w:rPr>
        <w:t>boulevard,</w:t>
      </w:r>
      <w:r>
        <w:rPr>
          <w:spacing w:val="-2"/>
          <w:w w:val="95"/>
        </w:rPr>
        <w:t xml:space="preserve"> </w:t>
      </w:r>
      <w:r>
        <w:rPr>
          <w:w w:val="95"/>
        </w:rPr>
        <w:t>and</w:t>
      </w:r>
      <w:r>
        <w:rPr>
          <w:spacing w:val="-2"/>
          <w:w w:val="95"/>
        </w:rPr>
        <w:t xml:space="preserve"> </w:t>
      </w:r>
      <w:r>
        <w:rPr>
          <w:w w:val="95"/>
        </w:rPr>
        <w:t>the</w:t>
      </w:r>
      <w:r>
        <w:rPr>
          <w:spacing w:val="-2"/>
          <w:w w:val="95"/>
        </w:rPr>
        <w:t xml:space="preserve"> </w:t>
      </w:r>
      <w:r>
        <w:rPr>
          <w:w w:val="95"/>
        </w:rPr>
        <w:t>negative</w:t>
      </w:r>
      <w:r>
        <w:rPr>
          <w:spacing w:val="-2"/>
          <w:w w:val="95"/>
        </w:rPr>
        <w:t xml:space="preserve"> </w:t>
      </w:r>
      <w:r>
        <w:rPr>
          <w:w w:val="95"/>
        </w:rPr>
        <w:t>impacts</w:t>
      </w:r>
      <w:r>
        <w:rPr>
          <w:spacing w:val="-2"/>
          <w:w w:val="95"/>
        </w:rPr>
        <w:t xml:space="preserve"> </w:t>
      </w:r>
      <w:r>
        <w:rPr>
          <w:w w:val="95"/>
        </w:rPr>
        <w:t>on</w:t>
      </w:r>
      <w:r>
        <w:rPr>
          <w:spacing w:val="-2"/>
          <w:w w:val="95"/>
        </w:rPr>
        <w:t xml:space="preserve"> </w:t>
      </w:r>
      <w:r>
        <w:rPr>
          <w:w w:val="95"/>
        </w:rPr>
        <w:t>bus</w:t>
      </w:r>
      <w:r>
        <w:rPr>
          <w:spacing w:val="-2"/>
          <w:w w:val="95"/>
        </w:rPr>
        <w:t xml:space="preserve"> </w:t>
      </w:r>
      <w:r>
        <w:rPr>
          <w:w w:val="95"/>
        </w:rPr>
        <w:t xml:space="preserve">passengers </w:t>
      </w:r>
      <w:r>
        <w:t>from</w:t>
      </w:r>
      <w:r>
        <w:rPr>
          <w:spacing w:val="-4"/>
        </w:rPr>
        <w:t xml:space="preserve"> </w:t>
      </w:r>
      <w:r>
        <w:t>inner</w:t>
      </w:r>
      <w:r>
        <w:rPr>
          <w:spacing w:val="-3"/>
        </w:rPr>
        <w:t xml:space="preserve"> </w:t>
      </w:r>
      <w:r>
        <w:t>suburbs</w:t>
      </w:r>
      <w:r>
        <w:rPr>
          <w:spacing w:val="-3"/>
        </w:rPr>
        <w:t xml:space="preserve"> </w:t>
      </w:r>
      <w:r>
        <w:t>may</w:t>
      </w:r>
      <w:r>
        <w:rPr>
          <w:spacing w:val="-3"/>
        </w:rPr>
        <w:t xml:space="preserve"> </w:t>
      </w:r>
      <w:r>
        <w:t>be</w:t>
      </w:r>
      <w:r>
        <w:rPr>
          <w:spacing w:val="-3"/>
        </w:rPr>
        <w:t xml:space="preserve"> </w:t>
      </w:r>
      <w:r>
        <w:t>considerable.</w:t>
      </w:r>
    </w:p>
    <w:p w:rsidR="002C1123" w:rsidRDefault="00F22F94">
      <w:pPr>
        <w:pStyle w:val="BodyText"/>
        <w:spacing w:before="147" w:line="249" w:lineRule="auto"/>
        <w:ind w:left="195" w:right="887"/>
      </w:pPr>
      <w:r>
        <w:rPr>
          <w:w w:val="95"/>
        </w:rPr>
        <w:t>Infrastructure NSW recommends the development of an</w:t>
      </w:r>
      <w:r>
        <w:rPr>
          <w:spacing w:val="-11"/>
          <w:w w:val="95"/>
        </w:rPr>
        <w:t xml:space="preserve"> </w:t>
      </w:r>
      <w:r>
        <w:rPr>
          <w:w w:val="95"/>
        </w:rPr>
        <w:t>alternative</w:t>
      </w:r>
      <w:r>
        <w:rPr>
          <w:spacing w:val="-11"/>
          <w:w w:val="95"/>
        </w:rPr>
        <w:t xml:space="preserve"> </w:t>
      </w:r>
      <w:r>
        <w:rPr>
          <w:w w:val="95"/>
        </w:rPr>
        <w:t>solution:</w:t>
      </w:r>
      <w:r>
        <w:rPr>
          <w:spacing w:val="-11"/>
          <w:w w:val="95"/>
        </w:rPr>
        <w:t xml:space="preserve"> </w:t>
      </w:r>
      <w:r>
        <w:rPr>
          <w:w w:val="95"/>
        </w:rPr>
        <w:t>a</w:t>
      </w:r>
      <w:r>
        <w:rPr>
          <w:spacing w:val="-11"/>
          <w:w w:val="95"/>
        </w:rPr>
        <w:t xml:space="preserve"> </w:t>
      </w:r>
      <w:r>
        <w:rPr>
          <w:w w:val="95"/>
        </w:rPr>
        <w:t>CBD</w:t>
      </w:r>
      <w:r>
        <w:rPr>
          <w:spacing w:val="-11"/>
          <w:w w:val="95"/>
        </w:rPr>
        <w:t xml:space="preserve"> </w:t>
      </w:r>
      <w:r>
        <w:rPr>
          <w:w w:val="95"/>
        </w:rPr>
        <w:t>Bus</w:t>
      </w:r>
      <w:r>
        <w:rPr>
          <w:spacing w:val="-11"/>
          <w:w w:val="95"/>
        </w:rPr>
        <w:t xml:space="preserve"> </w:t>
      </w:r>
      <w:r>
        <w:rPr>
          <w:w w:val="95"/>
        </w:rPr>
        <w:t>Rapid</w:t>
      </w:r>
      <w:r>
        <w:rPr>
          <w:spacing w:val="-11"/>
          <w:w w:val="95"/>
        </w:rPr>
        <w:t xml:space="preserve"> </w:t>
      </w:r>
      <w:r>
        <w:rPr>
          <w:w w:val="95"/>
        </w:rPr>
        <w:t>Transit</w:t>
      </w:r>
      <w:r>
        <w:rPr>
          <w:spacing w:val="-11"/>
          <w:w w:val="95"/>
        </w:rPr>
        <w:t xml:space="preserve"> </w:t>
      </w:r>
      <w:r>
        <w:rPr>
          <w:w w:val="95"/>
        </w:rPr>
        <w:t xml:space="preserve">(CBD </w:t>
      </w:r>
      <w:r>
        <w:t>‘BRT’)</w:t>
      </w:r>
      <w:r>
        <w:rPr>
          <w:spacing w:val="-14"/>
        </w:rPr>
        <w:t xml:space="preserve"> </w:t>
      </w:r>
      <w:r>
        <w:t>tunnel</w:t>
      </w:r>
      <w:r>
        <w:rPr>
          <w:spacing w:val="-14"/>
        </w:rPr>
        <w:t xml:space="preserve"> </w:t>
      </w:r>
      <w:r>
        <w:t>from</w:t>
      </w:r>
      <w:r>
        <w:rPr>
          <w:spacing w:val="-14"/>
        </w:rPr>
        <w:t xml:space="preserve"> </w:t>
      </w:r>
      <w:r>
        <w:t>the</w:t>
      </w:r>
      <w:r>
        <w:rPr>
          <w:spacing w:val="-14"/>
        </w:rPr>
        <w:t xml:space="preserve"> </w:t>
      </w:r>
      <w:r>
        <w:t>Sydney</w:t>
      </w:r>
      <w:r>
        <w:rPr>
          <w:spacing w:val="-14"/>
        </w:rPr>
        <w:t xml:space="preserve"> </w:t>
      </w:r>
      <w:r>
        <w:t>Harbour</w:t>
      </w:r>
      <w:r>
        <w:rPr>
          <w:spacing w:val="-14"/>
        </w:rPr>
        <w:t xml:space="preserve"> </w:t>
      </w:r>
      <w:r>
        <w:t>Bridge</w:t>
      </w:r>
      <w:r>
        <w:rPr>
          <w:spacing w:val="-14"/>
        </w:rPr>
        <w:t xml:space="preserve"> </w:t>
      </w:r>
      <w:r>
        <w:t>to</w:t>
      </w:r>
      <w:r>
        <w:rPr>
          <w:spacing w:val="-14"/>
        </w:rPr>
        <w:t xml:space="preserve"> </w:t>
      </w:r>
      <w:r>
        <w:t>the Town</w:t>
      </w:r>
      <w:r>
        <w:rPr>
          <w:spacing w:val="-12"/>
        </w:rPr>
        <w:t xml:space="preserve"> </w:t>
      </w:r>
      <w:r>
        <w:t>Hall</w:t>
      </w:r>
      <w:r>
        <w:rPr>
          <w:spacing w:val="-12"/>
        </w:rPr>
        <w:t xml:space="preserve"> </w:t>
      </w:r>
      <w:r>
        <w:t>area,</w:t>
      </w:r>
      <w:r>
        <w:rPr>
          <w:spacing w:val="-12"/>
        </w:rPr>
        <w:t xml:space="preserve"> </w:t>
      </w:r>
      <w:r>
        <w:t>modelled</w:t>
      </w:r>
      <w:r>
        <w:rPr>
          <w:spacing w:val="-12"/>
        </w:rPr>
        <w:t xml:space="preserve"> </w:t>
      </w:r>
      <w:r>
        <w:t>on</w:t>
      </w:r>
      <w:r>
        <w:rPr>
          <w:spacing w:val="-12"/>
        </w:rPr>
        <w:t xml:space="preserve"> </w:t>
      </w:r>
      <w:r>
        <w:t>the</w:t>
      </w:r>
      <w:r>
        <w:rPr>
          <w:spacing w:val="-12"/>
        </w:rPr>
        <w:t xml:space="preserve"> </w:t>
      </w:r>
      <w:r>
        <w:t>underground</w:t>
      </w:r>
      <w:r>
        <w:rPr>
          <w:spacing w:val="-12"/>
        </w:rPr>
        <w:t xml:space="preserve"> </w:t>
      </w:r>
      <w:r>
        <w:t xml:space="preserve">bus </w:t>
      </w:r>
      <w:r>
        <w:rPr>
          <w:spacing w:val="-2"/>
        </w:rPr>
        <w:t>way</w:t>
      </w:r>
      <w:r>
        <w:rPr>
          <w:spacing w:val="-7"/>
        </w:rPr>
        <w:t xml:space="preserve"> </w:t>
      </w:r>
      <w:r>
        <w:rPr>
          <w:spacing w:val="-2"/>
        </w:rPr>
        <w:t>that</w:t>
      </w:r>
      <w:r>
        <w:rPr>
          <w:spacing w:val="-7"/>
        </w:rPr>
        <w:t xml:space="preserve"> </w:t>
      </w:r>
      <w:r>
        <w:rPr>
          <w:spacing w:val="-2"/>
        </w:rPr>
        <w:t>already</w:t>
      </w:r>
      <w:r>
        <w:rPr>
          <w:spacing w:val="-7"/>
        </w:rPr>
        <w:t xml:space="preserve"> </w:t>
      </w:r>
      <w:r>
        <w:rPr>
          <w:spacing w:val="-2"/>
        </w:rPr>
        <w:t>operates</w:t>
      </w:r>
      <w:r>
        <w:rPr>
          <w:spacing w:val="-7"/>
        </w:rPr>
        <w:t xml:space="preserve"> </w:t>
      </w:r>
      <w:r>
        <w:rPr>
          <w:spacing w:val="-2"/>
        </w:rPr>
        <w:t>in</w:t>
      </w:r>
      <w:r>
        <w:rPr>
          <w:spacing w:val="-7"/>
        </w:rPr>
        <w:t xml:space="preserve"> </w:t>
      </w:r>
      <w:r>
        <w:rPr>
          <w:spacing w:val="-2"/>
        </w:rPr>
        <w:t>Brisbane.</w:t>
      </w:r>
      <w:r>
        <w:rPr>
          <w:spacing w:val="-7"/>
        </w:rPr>
        <w:t xml:space="preserve"> </w:t>
      </w:r>
      <w:r>
        <w:rPr>
          <w:spacing w:val="-2"/>
        </w:rPr>
        <w:t>Wynyard</w:t>
      </w:r>
      <w:r>
        <w:rPr>
          <w:spacing w:val="-7"/>
        </w:rPr>
        <w:t xml:space="preserve"> </w:t>
      </w:r>
      <w:r>
        <w:rPr>
          <w:spacing w:val="-2"/>
        </w:rPr>
        <w:t xml:space="preserve">and </w:t>
      </w:r>
      <w:r>
        <w:rPr>
          <w:w w:val="95"/>
        </w:rPr>
        <w:t>Town</w:t>
      </w:r>
      <w:r>
        <w:rPr>
          <w:spacing w:val="-2"/>
          <w:w w:val="95"/>
        </w:rPr>
        <w:t xml:space="preserve"> </w:t>
      </w:r>
      <w:r>
        <w:rPr>
          <w:w w:val="95"/>
        </w:rPr>
        <w:t>Hall</w:t>
      </w:r>
      <w:r>
        <w:rPr>
          <w:spacing w:val="-2"/>
          <w:w w:val="95"/>
        </w:rPr>
        <w:t xml:space="preserve"> </w:t>
      </w:r>
      <w:r>
        <w:rPr>
          <w:w w:val="95"/>
        </w:rPr>
        <w:t>Stations</w:t>
      </w:r>
      <w:r>
        <w:rPr>
          <w:spacing w:val="-2"/>
          <w:w w:val="95"/>
        </w:rPr>
        <w:t xml:space="preserve"> </w:t>
      </w:r>
      <w:r>
        <w:rPr>
          <w:w w:val="95"/>
        </w:rPr>
        <w:t>would</w:t>
      </w:r>
      <w:r>
        <w:rPr>
          <w:spacing w:val="-2"/>
          <w:w w:val="95"/>
        </w:rPr>
        <w:t xml:space="preserve"> </w:t>
      </w:r>
      <w:r>
        <w:rPr>
          <w:w w:val="95"/>
        </w:rPr>
        <w:t>be</w:t>
      </w:r>
      <w:r>
        <w:rPr>
          <w:spacing w:val="-2"/>
          <w:w w:val="95"/>
        </w:rPr>
        <w:t xml:space="preserve"> </w:t>
      </w:r>
      <w:r>
        <w:rPr>
          <w:w w:val="95"/>
        </w:rPr>
        <w:t>reconstructed</w:t>
      </w:r>
      <w:r>
        <w:rPr>
          <w:spacing w:val="-2"/>
          <w:w w:val="95"/>
        </w:rPr>
        <w:t xml:space="preserve"> </w:t>
      </w:r>
      <w:r>
        <w:rPr>
          <w:w w:val="95"/>
        </w:rPr>
        <w:t>as</w:t>
      </w:r>
      <w:r>
        <w:rPr>
          <w:spacing w:val="-2"/>
          <w:w w:val="95"/>
        </w:rPr>
        <w:t xml:space="preserve"> </w:t>
      </w:r>
      <w:r>
        <w:rPr>
          <w:w w:val="95"/>
        </w:rPr>
        <w:t>rail/bus</w:t>
      </w:r>
    </w:p>
    <w:p w:rsidR="002C1123" w:rsidRDefault="00F22F94">
      <w:pPr>
        <w:pStyle w:val="BodyText"/>
        <w:spacing w:before="5" w:line="249" w:lineRule="auto"/>
        <w:ind w:left="195" w:right="678"/>
      </w:pPr>
      <w:r>
        <w:rPr>
          <w:w w:val="95"/>
        </w:rPr>
        <w:t>transport</w:t>
      </w:r>
      <w:r>
        <w:rPr>
          <w:spacing w:val="-1"/>
          <w:w w:val="95"/>
        </w:rPr>
        <w:t xml:space="preserve"> </w:t>
      </w:r>
      <w:r>
        <w:rPr>
          <w:w w:val="95"/>
        </w:rPr>
        <w:t>interchanges,</w:t>
      </w:r>
      <w:r>
        <w:rPr>
          <w:spacing w:val="-1"/>
          <w:w w:val="95"/>
        </w:rPr>
        <w:t xml:space="preserve"> </w:t>
      </w:r>
      <w:r>
        <w:rPr>
          <w:w w:val="95"/>
        </w:rPr>
        <w:t>and</w:t>
      </w:r>
      <w:r>
        <w:rPr>
          <w:spacing w:val="-1"/>
          <w:w w:val="95"/>
        </w:rPr>
        <w:t xml:space="preserve"> </w:t>
      </w:r>
      <w:r>
        <w:rPr>
          <w:w w:val="95"/>
        </w:rPr>
        <w:t>the</w:t>
      </w:r>
      <w:r>
        <w:rPr>
          <w:spacing w:val="-1"/>
          <w:w w:val="95"/>
        </w:rPr>
        <w:t xml:space="preserve"> </w:t>
      </w:r>
      <w:r>
        <w:rPr>
          <w:w w:val="95"/>
        </w:rPr>
        <w:t>central</w:t>
      </w:r>
      <w:r>
        <w:rPr>
          <w:spacing w:val="-1"/>
          <w:w w:val="95"/>
        </w:rPr>
        <w:t xml:space="preserve"> </w:t>
      </w:r>
      <w:r>
        <w:rPr>
          <w:w w:val="95"/>
        </w:rPr>
        <w:t>part</w:t>
      </w:r>
      <w:r>
        <w:rPr>
          <w:spacing w:val="-1"/>
          <w:w w:val="95"/>
        </w:rPr>
        <w:t xml:space="preserve"> </w:t>
      </w:r>
      <w:r>
        <w:rPr>
          <w:w w:val="95"/>
        </w:rPr>
        <w:t>of</w:t>
      </w:r>
      <w:r>
        <w:rPr>
          <w:spacing w:val="-1"/>
          <w:w w:val="95"/>
        </w:rPr>
        <w:t xml:space="preserve"> </w:t>
      </w:r>
      <w:r>
        <w:rPr>
          <w:w w:val="95"/>
        </w:rPr>
        <w:t>George</w:t>
      </w:r>
      <w:r>
        <w:rPr>
          <w:spacing w:val="-1"/>
          <w:w w:val="95"/>
        </w:rPr>
        <w:t xml:space="preserve"> </w:t>
      </w:r>
      <w:r>
        <w:rPr>
          <w:w w:val="95"/>
        </w:rPr>
        <w:t xml:space="preserve">St </w:t>
      </w:r>
      <w:r>
        <w:t>would be fully pedestrianised.</w:t>
      </w:r>
    </w:p>
    <w:p w:rsidR="002C1123" w:rsidRDefault="00F22F94">
      <w:pPr>
        <w:pStyle w:val="BodyText"/>
        <w:spacing w:before="144" w:line="249" w:lineRule="auto"/>
        <w:ind w:left="195" w:right="1200"/>
      </w:pPr>
      <w:r>
        <w:rPr>
          <w:w w:val="95"/>
        </w:rPr>
        <w:t>Outside the CBD, Infrastructure NSW supports the construction</w:t>
      </w:r>
      <w:r>
        <w:rPr>
          <w:spacing w:val="-4"/>
          <w:w w:val="95"/>
        </w:rPr>
        <w:t xml:space="preserve"> </w:t>
      </w:r>
      <w:r>
        <w:rPr>
          <w:w w:val="95"/>
        </w:rPr>
        <w:t>of</w:t>
      </w:r>
      <w:r>
        <w:rPr>
          <w:spacing w:val="-4"/>
          <w:w w:val="95"/>
        </w:rPr>
        <w:t xml:space="preserve"> </w:t>
      </w:r>
      <w:r>
        <w:rPr>
          <w:w w:val="95"/>
        </w:rPr>
        <w:t>light</w:t>
      </w:r>
      <w:r>
        <w:rPr>
          <w:spacing w:val="-4"/>
          <w:w w:val="95"/>
        </w:rPr>
        <w:t xml:space="preserve"> </w:t>
      </w:r>
      <w:r>
        <w:rPr>
          <w:w w:val="95"/>
        </w:rPr>
        <w:t>rail</w:t>
      </w:r>
      <w:r>
        <w:rPr>
          <w:spacing w:val="-4"/>
          <w:w w:val="95"/>
        </w:rPr>
        <w:t xml:space="preserve"> </w:t>
      </w:r>
      <w:r>
        <w:rPr>
          <w:w w:val="95"/>
        </w:rPr>
        <w:t>from</w:t>
      </w:r>
      <w:r>
        <w:rPr>
          <w:spacing w:val="-4"/>
          <w:w w:val="95"/>
        </w:rPr>
        <w:t xml:space="preserve"> </w:t>
      </w:r>
      <w:r>
        <w:rPr>
          <w:w w:val="95"/>
        </w:rPr>
        <w:t>Central</w:t>
      </w:r>
      <w:r>
        <w:rPr>
          <w:spacing w:val="-4"/>
          <w:w w:val="95"/>
        </w:rPr>
        <w:t xml:space="preserve"> </w:t>
      </w:r>
      <w:r>
        <w:rPr>
          <w:w w:val="95"/>
        </w:rPr>
        <w:t>to</w:t>
      </w:r>
      <w:r>
        <w:rPr>
          <w:spacing w:val="-4"/>
          <w:w w:val="95"/>
        </w:rPr>
        <w:t xml:space="preserve"> </w:t>
      </w:r>
      <w:r>
        <w:rPr>
          <w:w w:val="95"/>
        </w:rPr>
        <w:t>Moore</w:t>
      </w:r>
      <w:r>
        <w:rPr>
          <w:spacing w:val="-4"/>
          <w:w w:val="95"/>
        </w:rPr>
        <w:t xml:space="preserve"> </w:t>
      </w:r>
      <w:r>
        <w:rPr>
          <w:w w:val="95"/>
        </w:rPr>
        <w:t>Park and the University of NSW via Anzac Parade. This development</w:t>
      </w:r>
      <w:r>
        <w:rPr>
          <w:spacing w:val="-3"/>
          <w:w w:val="95"/>
        </w:rPr>
        <w:t xml:space="preserve"> </w:t>
      </w:r>
      <w:r>
        <w:rPr>
          <w:w w:val="95"/>
        </w:rPr>
        <w:t>will</w:t>
      </w:r>
      <w:r>
        <w:rPr>
          <w:spacing w:val="-3"/>
          <w:w w:val="95"/>
        </w:rPr>
        <w:t xml:space="preserve"> </w:t>
      </w:r>
      <w:r>
        <w:rPr>
          <w:w w:val="95"/>
        </w:rPr>
        <w:t>improve</w:t>
      </w:r>
      <w:r>
        <w:rPr>
          <w:spacing w:val="-3"/>
          <w:w w:val="95"/>
        </w:rPr>
        <w:t xml:space="preserve"> </w:t>
      </w:r>
      <w:r>
        <w:rPr>
          <w:w w:val="95"/>
        </w:rPr>
        <w:t>the</w:t>
      </w:r>
      <w:r>
        <w:rPr>
          <w:spacing w:val="-3"/>
          <w:w w:val="95"/>
        </w:rPr>
        <w:t xml:space="preserve"> </w:t>
      </w:r>
      <w:r>
        <w:rPr>
          <w:w w:val="95"/>
        </w:rPr>
        <w:t>quality</w:t>
      </w:r>
      <w:r>
        <w:rPr>
          <w:spacing w:val="-3"/>
          <w:w w:val="95"/>
        </w:rPr>
        <w:t xml:space="preserve"> </w:t>
      </w:r>
      <w:r>
        <w:rPr>
          <w:w w:val="95"/>
        </w:rPr>
        <w:t>of</w:t>
      </w:r>
      <w:r>
        <w:rPr>
          <w:spacing w:val="-3"/>
          <w:w w:val="95"/>
        </w:rPr>
        <w:t xml:space="preserve"> </w:t>
      </w:r>
      <w:r>
        <w:rPr>
          <w:w w:val="95"/>
        </w:rPr>
        <w:t>transport</w:t>
      </w:r>
      <w:r>
        <w:rPr>
          <w:spacing w:val="-3"/>
          <w:w w:val="95"/>
        </w:rPr>
        <w:t xml:space="preserve"> </w:t>
      </w:r>
      <w:r>
        <w:rPr>
          <w:w w:val="95"/>
        </w:rPr>
        <w:t>to</w:t>
      </w:r>
    </w:p>
    <w:p w:rsidR="002C1123" w:rsidRDefault="00F22F94">
      <w:pPr>
        <w:pStyle w:val="BodyText"/>
        <w:spacing w:before="3" w:line="249" w:lineRule="auto"/>
        <w:ind w:left="195" w:right="678"/>
      </w:pPr>
      <w:r>
        <w:rPr>
          <w:w w:val="95"/>
        </w:rPr>
        <w:t>these important activity centres and take advantage of a route</w:t>
      </w:r>
      <w:r>
        <w:rPr>
          <w:spacing w:val="-5"/>
          <w:w w:val="95"/>
        </w:rPr>
        <w:t xml:space="preserve"> </w:t>
      </w:r>
      <w:r>
        <w:rPr>
          <w:w w:val="95"/>
        </w:rPr>
        <w:t>that</w:t>
      </w:r>
      <w:r>
        <w:rPr>
          <w:spacing w:val="-5"/>
          <w:w w:val="95"/>
        </w:rPr>
        <w:t xml:space="preserve"> </w:t>
      </w:r>
      <w:r>
        <w:rPr>
          <w:w w:val="95"/>
        </w:rPr>
        <w:t>was</w:t>
      </w:r>
      <w:r>
        <w:rPr>
          <w:spacing w:val="-4"/>
          <w:w w:val="95"/>
        </w:rPr>
        <w:t xml:space="preserve"> </w:t>
      </w:r>
      <w:r>
        <w:rPr>
          <w:w w:val="95"/>
        </w:rPr>
        <w:t>purpose-built</w:t>
      </w:r>
      <w:r>
        <w:rPr>
          <w:spacing w:val="-5"/>
          <w:w w:val="95"/>
        </w:rPr>
        <w:t xml:space="preserve"> </w:t>
      </w:r>
      <w:r>
        <w:rPr>
          <w:w w:val="95"/>
        </w:rPr>
        <w:t>for</w:t>
      </w:r>
      <w:r>
        <w:rPr>
          <w:spacing w:val="-4"/>
          <w:w w:val="95"/>
        </w:rPr>
        <w:t xml:space="preserve"> </w:t>
      </w:r>
      <w:r>
        <w:rPr>
          <w:w w:val="95"/>
        </w:rPr>
        <w:t>trams.</w:t>
      </w:r>
      <w:r>
        <w:rPr>
          <w:spacing w:val="-5"/>
          <w:w w:val="95"/>
        </w:rPr>
        <w:t xml:space="preserve"> </w:t>
      </w:r>
      <w:r>
        <w:rPr>
          <w:w w:val="95"/>
        </w:rPr>
        <w:t>However,</w:t>
      </w:r>
      <w:r>
        <w:rPr>
          <w:spacing w:val="-4"/>
          <w:w w:val="95"/>
        </w:rPr>
        <w:t xml:space="preserve"> </w:t>
      </w:r>
      <w:r>
        <w:rPr>
          <w:w w:val="95"/>
        </w:rPr>
        <w:t>in</w:t>
      </w:r>
      <w:r>
        <w:rPr>
          <w:spacing w:val="-5"/>
          <w:w w:val="95"/>
        </w:rPr>
        <w:t xml:space="preserve"> </w:t>
      </w:r>
      <w:r>
        <w:rPr>
          <w:spacing w:val="-4"/>
          <w:w w:val="95"/>
        </w:rPr>
        <w:t>order</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279" w:space="40"/>
            <w:col w:w="4993" w:space="39"/>
            <w:col w:w="5709"/>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3"/>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BodyText"/>
        <w:spacing w:before="108" w:line="249" w:lineRule="auto"/>
        <w:ind w:left="492"/>
      </w:pPr>
      <w:bookmarkStart w:id="24" w:name="_bookmark16"/>
      <w:bookmarkEnd w:id="24"/>
      <w:r>
        <w:rPr>
          <w:w w:val="95"/>
        </w:rPr>
        <w:t>to</w:t>
      </w:r>
      <w:r>
        <w:rPr>
          <w:spacing w:val="-9"/>
          <w:w w:val="95"/>
        </w:rPr>
        <w:t xml:space="preserve"> </w:t>
      </w:r>
      <w:r>
        <w:rPr>
          <w:w w:val="95"/>
        </w:rPr>
        <w:t>deliver</w:t>
      </w:r>
      <w:r>
        <w:rPr>
          <w:spacing w:val="-9"/>
          <w:w w:val="95"/>
        </w:rPr>
        <w:t xml:space="preserve"> </w:t>
      </w:r>
      <w:r>
        <w:rPr>
          <w:w w:val="95"/>
        </w:rPr>
        <w:t>value</w:t>
      </w:r>
      <w:r>
        <w:rPr>
          <w:spacing w:val="-9"/>
          <w:w w:val="95"/>
        </w:rPr>
        <w:t xml:space="preserve"> </w:t>
      </w:r>
      <w:r>
        <w:rPr>
          <w:w w:val="95"/>
        </w:rPr>
        <w:t>for</w:t>
      </w:r>
      <w:r>
        <w:rPr>
          <w:spacing w:val="-9"/>
          <w:w w:val="95"/>
        </w:rPr>
        <w:t xml:space="preserve"> </w:t>
      </w:r>
      <w:r>
        <w:rPr>
          <w:w w:val="95"/>
        </w:rPr>
        <w:t>money,</w:t>
      </w:r>
      <w:r>
        <w:rPr>
          <w:spacing w:val="-9"/>
          <w:w w:val="95"/>
        </w:rPr>
        <w:t xml:space="preserve"> </w:t>
      </w:r>
      <w:r>
        <w:rPr>
          <w:w w:val="95"/>
        </w:rPr>
        <w:t>the</w:t>
      </w:r>
      <w:r>
        <w:rPr>
          <w:spacing w:val="-9"/>
          <w:w w:val="95"/>
        </w:rPr>
        <w:t xml:space="preserve"> </w:t>
      </w:r>
      <w:r>
        <w:rPr>
          <w:w w:val="95"/>
        </w:rPr>
        <w:t>scope</w:t>
      </w:r>
      <w:r>
        <w:rPr>
          <w:spacing w:val="-9"/>
          <w:w w:val="95"/>
        </w:rPr>
        <w:t xml:space="preserve"> </w:t>
      </w:r>
      <w:r>
        <w:rPr>
          <w:w w:val="95"/>
        </w:rPr>
        <w:t>of</w:t>
      </w:r>
      <w:r>
        <w:rPr>
          <w:spacing w:val="-9"/>
          <w:w w:val="95"/>
        </w:rPr>
        <w:t xml:space="preserve"> </w:t>
      </w:r>
      <w:r>
        <w:rPr>
          <w:w w:val="95"/>
        </w:rPr>
        <w:t>this</w:t>
      </w:r>
      <w:r>
        <w:rPr>
          <w:spacing w:val="-9"/>
          <w:w w:val="95"/>
        </w:rPr>
        <w:t xml:space="preserve"> </w:t>
      </w:r>
      <w:r>
        <w:rPr>
          <w:w w:val="95"/>
        </w:rPr>
        <w:t>project</w:t>
      </w:r>
      <w:r>
        <w:rPr>
          <w:spacing w:val="-9"/>
          <w:w w:val="95"/>
        </w:rPr>
        <w:t xml:space="preserve"> </w:t>
      </w:r>
      <w:r>
        <w:rPr>
          <w:w w:val="95"/>
        </w:rPr>
        <w:t xml:space="preserve">will </w:t>
      </w:r>
      <w:r>
        <w:t>need to be carefully controlled.</w:t>
      </w:r>
    </w:p>
    <w:p w:rsidR="002C1123" w:rsidRDefault="00F22F94">
      <w:pPr>
        <w:pStyle w:val="Heading6"/>
        <w:spacing w:before="143"/>
        <w:ind w:left="492"/>
      </w:pPr>
      <w:r>
        <w:rPr>
          <w:color w:val="2E3092"/>
          <w:w w:val="95"/>
        </w:rPr>
        <w:t>Passenger</w:t>
      </w:r>
      <w:r>
        <w:rPr>
          <w:color w:val="2E3092"/>
          <w:spacing w:val="11"/>
        </w:rPr>
        <w:t xml:space="preserve"> </w:t>
      </w:r>
      <w:r>
        <w:rPr>
          <w:color w:val="2E3092"/>
          <w:spacing w:val="-4"/>
          <w:w w:val="95"/>
        </w:rPr>
        <w:t>Rail</w:t>
      </w:r>
    </w:p>
    <w:p w:rsidR="002C1123" w:rsidRDefault="00F22F94">
      <w:pPr>
        <w:pStyle w:val="BodyText"/>
        <w:spacing w:before="10" w:line="249" w:lineRule="auto"/>
        <w:ind w:left="492"/>
      </w:pPr>
      <w:r>
        <w:rPr>
          <w:w w:val="95"/>
        </w:rPr>
        <w:t>Trains</w:t>
      </w:r>
      <w:r>
        <w:rPr>
          <w:spacing w:val="-2"/>
          <w:w w:val="95"/>
        </w:rPr>
        <w:t xml:space="preserve"> </w:t>
      </w:r>
      <w:r>
        <w:rPr>
          <w:w w:val="95"/>
        </w:rPr>
        <w:t>are</w:t>
      </w:r>
      <w:r>
        <w:rPr>
          <w:spacing w:val="-2"/>
          <w:w w:val="95"/>
        </w:rPr>
        <w:t xml:space="preserve"> </w:t>
      </w:r>
      <w:r>
        <w:rPr>
          <w:w w:val="95"/>
        </w:rPr>
        <w:t>essential</w:t>
      </w:r>
      <w:r>
        <w:rPr>
          <w:spacing w:val="-2"/>
          <w:w w:val="95"/>
        </w:rPr>
        <w:t xml:space="preserve"> </w:t>
      </w:r>
      <w:r>
        <w:rPr>
          <w:w w:val="95"/>
        </w:rPr>
        <w:t>to</w:t>
      </w:r>
      <w:r>
        <w:rPr>
          <w:spacing w:val="-2"/>
          <w:w w:val="95"/>
        </w:rPr>
        <w:t xml:space="preserve"> </w:t>
      </w:r>
      <w:r>
        <w:rPr>
          <w:w w:val="95"/>
        </w:rPr>
        <w:t>the</w:t>
      </w:r>
      <w:r>
        <w:rPr>
          <w:spacing w:val="-2"/>
          <w:w w:val="95"/>
        </w:rPr>
        <w:t xml:space="preserve"> </w:t>
      </w:r>
      <w:r>
        <w:rPr>
          <w:w w:val="95"/>
        </w:rPr>
        <w:t>economy</w:t>
      </w:r>
      <w:r>
        <w:rPr>
          <w:spacing w:val="-2"/>
          <w:w w:val="95"/>
        </w:rPr>
        <w:t xml:space="preserve"> </w:t>
      </w:r>
      <w:r>
        <w:rPr>
          <w:w w:val="95"/>
        </w:rPr>
        <w:t>of</w:t>
      </w:r>
      <w:r>
        <w:rPr>
          <w:spacing w:val="-2"/>
          <w:w w:val="95"/>
        </w:rPr>
        <w:t xml:space="preserve"> </w:t>
      </w:r>
      <w:r>
        <w:rPr>
          <w:w w:val="95"/>
        </w:rPr>
        <w:t>NSW,</w:t>
      </w:r>
      <w:r>
        <w:rPr>
          <w:spacing w:val="-2"/>
          <w:w w:val="95"/>
        </w:rPr>
        <w:t xml:space="preserve"> </w:t>
      </w:r>
      <w:r>
        <w:rPr>
          <w:w w:val="95"/>
        </w:rPr>
        <w:t xml:space="preserve">particularly </w:t>
      </w:r>
      <w:r>
        <w:t>for</w:t>
      </w:r>
      <w:r>
        <w:rPr>
          <w:spacing w:val="-12"/>
        </w:rPr>
        <w:t xml:space="preserve"> </w:t>
      </w:r>
      <w:r>
        <w:t>commuters</w:t>
      </w:r>
      <w:r>
        <w:rPr>
          <w:spacing w:val="-12"/>
        </w:rPr>
        <w:t xml:space="preserve"> </w:t>
      </w:r>
      <w:r>
        <w:t>to</w:t>
      </w:r>
      <w:r>
        <w:rPr>
          <w:spacing w:val="-12"/>
        </w:rPr>
        <w:t xml:space="preserve"> </w:t>
      </w:r>
      <w:r>
        <w:t>Global</w:t>
      </w:r>
      <w:r>
        <w:rPr>
          <w:spacing w:val="-12"/>
        </w:rPr>
        <w:t xml:space="preserve"> </w:t>
      </w:r>
      <w:r>
        <w:t>Sydney.</w:t>
      </w:r>
      <w:r>
        <w:rPr>
          <w:spacing w:val="-12"/>
        </w:rPr>
        <w:t xml:space="preserve"> </w:t>
      </w:r>
      <w:r>
        <w:t>In</w:t>
      </w:r>
      <w:r>
        <w:rPr>
          <w:spacing w:val="-12"/>
        </w:rPr>
        <w:t xml:space="preserve"> </w:t>
      </w:r>
      <w:r>
        <w:t>future,</w:t>
      </w:r>
      <w:r>
        <w:rPr>
          <w:spacing w:val="-12"/>
        </w:rPr>
        <w:t xml:space="preserve"> </w:t>
      </w:r>
      <w:r>
        <w:t xml:space="preserve">the </w:t>
      </w:r>
      <w:r>
        <w:rPr>
          <w:w w:val="95"/>
        </w:rPr>
        <w:t>passenger rail system will have three tiers: rapid transit, suburban</w:t>
      </w:r>
      <w:r>
        <w:rPr>
          <w:spacing w:val="-12"/>
          <w:w w:val="95"/>
        </w:rPr>
        <w:t xml:space="preserve"> </w:t>
      </w:r>
      <w:r>
        <w:rPr>
          <w:w w:val="95"/>
        </w:rPr>
        <w:t>and</w:t>
      </w:r>
      <w:r>
        <w:rPr>
          <w:spacing w:val="-11"/>
          <w:w w:val="95"/>
        </w:rPr>
        <w:t xml:space="preserve"> </w:t>
      </w:r>
      <w:r>
        <w:rPr>
          <w:w w:val="95"/>
        </w:rPr>
        <w:t>intercity.</w:t>
      </w:r>
      <w:r>
        <w:rPr>
          <w:spacing w:val="-11"/>
          <w:w w:val="95"/>
        </w:rPr>
        <w:t xml:space="preserve"> </w:t>
      </w:r>
      <w:r>
        <w:rPr>
          <w:w w:val="95"/>
        </w:rPr>
        <w:t>The</w:t>
      </w:r>
      <w:r>
        <w:rPr>
          <w:spacing w:val="-11"/>
          <w:w w:val="95"/>
        </w:rPr>
        <w:t xml:space="preserve"> </w:t>
      </w:r>
      <w:r>
        <w:rPr>
          <w:w w:val="95"/>
        </w:rPr>
        <w:t>North</w:t>
      </w:r>
      <w:r>
        <w:rPr>
          <w:spacing w:val="-11"/>
          <w:w w:val="95"/>
        </w:rPr>
        <w:t xml:space="preserve"> </w:t>
      </w:r>
      <w:r>
        <w:rPr>
          <w:w w:val="95"/>
        </w:rPr>
        <w:t>West</w:t>
      </w:r>
      <w:r>
        <w:rPr>
          <w:spacing w:val="-11"/>
          <w:w w:val="95"/>
        </w:rPr>
        <w:t xml:space="preserve"> </w:t>
      </w:r>
      <w:r>
        <w:rPr>
          <w:w w:val="95"/>
        </w:rPr>
        <w:t>Rail</w:t>
      </w:r>
      <w:r>
        <w:rPr>
          <w:spacing w:val="-11"/>
          <w:w w:val="95"/>
        </w:rPr>
        <w:t xml:space="preserve"> </w:t>
      </w:r>
      <w:r>
        <w:rPr>
          <w:w w:val="95"/>
        </w:rPr>
        <w:t>Link</w:t>
      </w:r>
      <w:r>
        <w:rPr>
          <w:spacing w:val="-11"/>
          <w:w w:val="95"/>
        </w:rPr>
        <w:t xml:space="preserve"> </w:t>
      </w:r>
      <w:r>
        <w:rPr>
          <w:w w:val="95"/>
        </w:rPr>
        <w:t xml:space="preserve">(NWRL) </w:t>
      </w:r>
      <w:r>
        <w:t>will</w:t>
      </w:r>
      <w:r>
        <w:rPr>
          <w:spacing w:val="-11"/>
        </w:rPr>
        <w:t xml:space="preserve"> </w:t>
      </w:r>
      <w:r>
        <w:t>introduce</w:t>
      </w:r>
      <w:r>
        <w:rPr>
          <w:spacing w:val="-11"/>
        </w:rPr>
        <w:t xml:space="preserve"> </w:t>
      </w:r>
      <w:r>
        <w:t>the</w:t>
      </w:r>
      <w:r>
        <w:rPr>
          <w:spacing w:val="-11"/>
        </w:rPr>
        <w:t xml:space="preserve"> </w:t>
      </w:r>
      <w:r>
        <w:t>rapid</w:t>
      </w:r>
      <w:r>
        <w:rPr>
          <w:spacing w:val="-11"/>
        </w:rPr>
        <w:t xml:space="preserve"> </w:t>
      </w:r>
      <w:r>
        <w:t>transit</w:t>
      </w:r>
      <w:r>
        <w:rPr>
          <w:spacing w:val="-11"/>
        </w:rPr>
        <w:t xml:space="preserve"> </w:t>
      </w:r>
      <w:r>
        <w:t>model</w:t>
      </w:r>
      <w:r>
        <w:rPr>
          <w:spacing w:val="-11"/>
        </w:rPr>
        <w:t xml:space="preserve"> </w:t>
      </w:r>
      <w:r>
        <w:t>to</w:t>
      </w:r>
      <w:r>
        <w:rPr>
          <w:spacing w:val="-11"/>
        </w:rPr>
        <w:t xml:space="preserve"> </w:t>
      </w:r>
      <w:r>
        <w:t>Sydney.</w:t>
      </w:r>
    </w:p>
    <w:p w:rsidR="002C1123" w:rsidRDefault="00F22F94">
      <w:pPr>
        <w:pStyle w:val="BodyText"/>
        <w:spacing w:before="146" w:line="249" w:lineRule="auto"/>
        <w:ind w:left="492" w:right="385"/>
      </w:pPr>
      <w:r>
        <w:rPr>
          <w:w w:val="95"/>
        </w:rPr>
        <w:t>Additional</w:t>
      </w:r>
      <w:r>
        <w:rPr>
          <w:spacing w:val="-6"/>
          <w:w w:val="95"/>
        </w:rPr>
        <w:t xml:space="preserve"> </w:t>
      </w:r>
      <w:r>
        <w:rPr>
          <w:w w:val="95"/>
        </w:rPr>
        <w:t>capacity</w:t>
      </w:r>
      <w:r>
        <w:rPr>
          <w:spacing w:val="-6"/>
          <w:w w:val="95"/>
        </w:rPr>
        <w:t xml:space="preserve"> </w:t>
      </w:r>
      <w:r>
        <w:rPr>
          <w:w w:val="95"/>
        </w:rPr>
        <w:t>will</w:t>
      </w:r>
      <w:r>
        <w:rPr>
          <w:spacing w:val="-6"/>
          <w:w w:val="95"/>
        </w:rPr>
        <w:t xml:space="preserve"> </w:t>
      </w:r>
      <w:r>
        <w:rPr>
          <w:w w:val="95"/>
        </w:rPr>
        <w:t>be</w:t>
      </w:r>
      <w:r>
        <w:rPr>
          <w:spacing w:val="-6"/>
          <w:w w:val="95"/>
        </w:rPr>
        <w:t xml:space="preserve"> </w:t>
      </w:r>
      <w:r>
        <w:rPr>
          <w:w w:val="95"/>
        </w:rPr>
        <w:t>required</w:t>
      </w:r>
      <w:r>
        <w:rPr>
          <w:spacing w:val="-6"/>
          <w:w w:val="95"/>
        </w:rPr>
        <w:t xml:space="preserve"> </w:t>
      </w:r>
      <w:r>
        <w:rPr>
          <w:w w:val="95"/>
        </w:rPr>
        <w:t>in</w:t>
      </w:r>
      <w:r>
        <w:rPr>
          <w:spacing w:val="-6"/>
          <w:w w:val="95"/>
        </w:rPr>
        <w:t xml:space="preserve"> </w:t>
      </w:r>
      <w:r>
        <w:rPr>
          <w:w w:val="95"/>
        </w:rPr>
        <w:t>the</w:t>
      </w:r>
      <w:r>
        <w:rPr>
          <w:spacing w:val="-6"/>
          <w:w w:val="95"/>
        </w:rPr>
        <w:t xml:space="preserve"> </w:t>
      </w:r>
      <w:r>
        <w:rPr>
          <w:w w:val="95"/>
        </w:rPr>
        <w:t>core</w:t>
      </w:r>
      <w:r>
        <w:rPr>
          <w:spacing w:val="-6"/>
          <w:w w:val="95"/>
        </w:rPr>
        <w:t xml:space="preserve"> </w:t>
      </w:r>
      <w:r>
        <w:rPr>
          <w:w w:val="95"/>
        </w:rPr>
        <w:t>of</w:t>
      </w:r>
      <w:r>
        <w:rPr>
          <w:spacing w:val="-6"/>
          <w:w w:val="95"/>
        </w:rPr>
        <w:t xml:space="preserve"> </w:t>
      </w:r>
      <w:r>
        <w:rPr>
          <w:w w:val="95"/>
        </w:rPr>
        <w:t xml:space="preserve">the </w:t>
      </w:r>
      <w:r>
        <w:t>rail</w:t>
      </w:r>
      <w:r>
        <w:rPr>
          <w:spacing w:val="-14"/>
        </w:rPr>
        <w:t xml:space="preserve"> </w:t>
      </w:r>
      <w:r>
        <w:t>network,</w:t>
      </w:r>
      <w:r>
        <w:rPr>
          <w:spacing w:val="-14"/>
        </w:rPr>
        <w:t xml:space="preserve"> </w:t>
      </w:r>
      <w:r>
        <w:t>particularly</w:t>
      </w:r>
      <w:r>
        <w:rPr>
          <w:spacing w:val="-14"/>
        </w:rPr>
        <w:t xml:space="preserve"> </w:t>
      </w:r>
      <w:r>
        <w:t>the</w:t>
      </w:r>
      <w:r>
        <w:rPr>
          <w:spacing w:val="-14"/>
        </w:rPr>
        <w:t xml:space="preserve"> </w:t>
      </w:r>
      <w:r>
        <w:t>CBD,</w:t>
      </w:r>
      <w:r>
        <w:rPr>
          <w:spacing w:val="-14"/>
        </w:rPr>
        <w:t xml:space="preserve"> </w:t>
      </w:r>
      <w:r>
        <w:t>over</w:t>
      </w:r>
      <w:r>
        <w:rPr>
          <w:spacing w:val="-14"/>
        </w:rPr>
        <w:t xml:space="preserve"> </w:t>
      </w:r>
      <w:r>
        <w:t>the</w:t>
      </w:r>
      <w:r>
        <w:rPr>
          <w:spacing w:val="-14"/>
        </w:rPr>
        <w:t xml:space="preserve"> </w:t>
      </w:r>
      <w:r>
        <w:t>next</w:t>
      </w:r>
      <w:r>
        <w:rPr>
          <w:spacing w:val="-14"/>
        </w:rPr>
        <w:t xml:space="preserve"> </w:t>
      </w:r>
      <w:r>
        <w:t xml:space="preserve">20 </w:t>
      </w:r>
      <w:r>
        <w:rPr>
          <w:spacing w:val="-2"/>
        </w:rPr>
        <w:t>years.</w:t>
      </w:r>
      <w:r>
        <w:rPr>
          <w:spacing w:val="-7"/>
        </w:rPr>
        <w:t xml:space="preserve"> </w:t>
      </w:r>
      <w:r>
        <w:rPr>
          <w:spacing w:val="-2"/>
        </w:rPr>
        <w:t>This</w:t>
      </w:r>
      <w:r>
        <w:rPr>
          <w:spacing w:val="-7"/>
        </w:rPr>
        <w:t xml:space="preserve"> </w:t>
      </w:r>
      <w:r>
        <w:rPr>
          <w:spacing w:val="-2"/>
        </w:rPr>
        <w:t>must</w:t>
      </w:r>
      <w:r>
        <w:rPr>
          <w:spacing w:val="-7"/>
        </w:rPr>
        <w:t xml:space="preserve"> </w:t>
      </w:r>
      <w:r>
        <w:rPr>
          <w:spacing w:val="-2"/>
        </w:rPr>
        <w:t>be</w:t>
      </w:r>
      <w:r>
        <w:rPr>
          <w:spacing w:val="-7"/>
        </w:rPr>
        <w:t xml:space="preserve"> </w:t>
      </w:r>
      <w:r>
        <w:rPr>
          <w:spacing w:val="-2"/>
        </w:rPr>
        <w:t>provided</w:t>
      </w:r>
      <w:r>
        <w:rPr>
          <w:spacing w:val="-7"/>
        </w:rPr>
        <w:t xml:space="preserve"> </w:t>
      </w:r>
      <w:r>
        <w:rPr>
          <w:spacing w:val="-2"/>
        </w:rPr>
        <w:t>using</w:t>
      </w:r>
      <w:r>
        <w:rPr>
          <w:spacing w:val="-7"/>
        </w:rPr>
        <w:t xml:space="preserve"> </w:t>
      </w:r>
      <w:r>
        <w:rPr>
          <w:spacing w:val="-2"/>
        </w:rPr>
        <w:t>existing</w:t>
      </w:r>
      <w:r>
        <w:rPr>
          <w:spacing w:val="-7"/>
        </w:rPr>
        <w:t xml:space="preserve"> </w:t>
      </w:r>
      <w:r>
        <w:rPr>
          <w:spacing w:val="-2"/>
        </w:rPr>
        <w:t xml:space="preserve">assets </w:t>
      </w:r>
      <w:r>
        <w:rPr>
          <w:w w:val="95"/>
        </w:rPr>
        <w:t xml:space="preserve">wherever possible, given the extremely high cost of </w:t>
      </w:r>
      <w:r>
        <w:rPr>
          <w:spacing w:val="-2"/>
        </w:rPr>
        <w:t>new</w:t>
      </w:r>
      <w:r>
        <w:rPr>
          <w:spacing w:val="-9"/>
        </w:rPr>
        <w:t xml:space="preserve"> </w:t>
      </w:r>
      <w:r>
        <w:rPr>
          <w:spacing w:val="-2"/>
        </w:rPr>
        <w:t>construction.</w:t>
      </w:r>
      <w:r>
        <w:rPr>
          <w:spacing w:val="-9"/>
        </w:rPr>
        <w:t xml:space="preserve"> </w:t>
      </w:r>
      <w:r>
        <w:rPr>
          <w:spacing w:val="-2"/>
        </w:rPr>
        <w:t>Accordingly,</w:t>
      </w:r>
      <w:r>
        <w:rPr>
          <w:spacing w:val="-9"/>
        </w:rPr>
        <w:t xml:space="preserve"> </w:t>
      </w:r>
      <w:r>
        <w:rPr>
          <w:spacing w:val="-2"/>
        </w:rPr>
        <w:t>Infrastructure</w:t>
      </w:r>
      <w:r>
        <w:rPr>
          <w:spacing w:val="-9"/>
        </w:rPr>
        <w:t xml:space="preserve"> </w:t>
      </w:r>
      <w:r>
        <w:rPr>
          <w:spacing w:val="-2"/>
        </w:rPr>
        <w:t>NSW</w:t>
      </w:r>
    </w:p>
    <w:p w:rsidR="002C1123" w:rsidRDefault="00F22F94">
      <w:pPr>
        <w:pStyle w:val="BodyText"/>
        <w:spacing w:before="4" w:line="249" w:lineRule="auto"/>
        <w:ind w:left="492"/>
      </w:pPr>
      <w:r>
        <w:rPr>
          <w:w w:val="95"/>
        </w:rPr>
        <w:t>recommends</w:t>
      </w:r>
      <w:r>
        <w:rPr>
          <w:spacing w:val="-4"/>
          <w:w w:val="95"/>
        </w:rPr>
        <w:t xml:space="preserve"> </w:t>
      </w:r>
      <w:r>
        <w:rPr>
          <w:w w:val="95"/>
        </w:rPr>
        <w:t>increased</w:t>
      </w:r>
      <w:r>
        <w:rPr>
          <w:spacing w:val="-4"/>
          <w:w w:val="95"/>
        </w:rPr>
        <w:t xml:space="preserve"> </w:t>
      </w:r>
      <w:r>
        <w:rPr>
          <w:w w:val="95"/>
        </w:rPr>
        <w:t>use</w:t>
      </w:r>
      <w:r>
        <w:rPr>
          <w:spacing w:val="-4"/>
          <w:w w:val="95"/>
        </w:rPr>
        <w:t xml:space="preserve"> </w:t>
      </w:r>
      <w:r>
        <w:rPr>
          <w:w w:val="95"/>
        </w:rPr>
        <w:t>of</w:t>
      </w:r>
      <w:r>
        <w:rPr>
          <w:spacing w:val="-4"/>
          <w:w w:val="95"/>
        </w:rPr>
        <w:t xml:space="preserve"> </w:t>
      </w:r>
      <w:r>
        <w:rPr>
          <w:w w:val="95"/>
        </w:rPr>
        <w:t>the</w:t>
      </w:r>
      <w:r>
        <w:rPr>
          <w:spacing w:val="-4"/>
          <w:w w:val="95"/>
        </w:rPr>
        <w:t xml:space="preserve"> </w:t>
      </w:r>
      <w:r>
        <w:rPr>
          <w:w w:val="95"/>
        </w:rPr>
        <w:t>City</w:t>
      </w:r>
      <w:r>
        <w:rPr>
          <w:spacing w:val="-4"/>
          <w:w w:val="95"/>
        </w:rPr>
        <w:t xml:space="preserve"> </w:t>
      </w:r>
      <w:r>
        <w:rPr>
          <w:w w:val="95"/>
        </w:rPr>
        <w:t>Circle</w:t>
      </w:r>
      <w:r>
        <w:rPr>
          <w:spacing w:val="-4"/>
          <w:w w:val="95"/>
        </w:rPr>
        <w:t xml:space="preserve"> </w:t>
      </w:r>
      <w:r>
        <w:rPr>
          <w:w w:val="95"/>
        </w:rPr>
        <w:t>to</w:t>
      </w:r>
      <w:r>
        <w:rPr>
          <w:spacing w:val="-4"/>
          <w:w w:val="95"/>
        </w:rPr>
        <w:t xml:space="preserve"> </w:t>
      </w:r>
      <w:r>
        <w:rPr>
          <w:w w:val="95"/>
        </w:rPr>
        <w:t xml:space="preserve">provide </w:t>
      </w:r>
      <w:r>
        <w:t>additional</w:t>
      </w:r>
      <w:r>
        <w:rPr>
          <w:spacing w:val="-9"/>
        </w:rPr>
        <w:t xml:space="preserve"> </w:t>
      </w:r>
      <w:r>
        <w:t>capacity</w:t>
      </w:r>
      <w:r>
        <w:rPr>
          <w:spacing w:val="-9"/>
        </w:rPr>
        <w:t xml:space="preserve"> </w:t>
      </w:r>
      <w:r>
        <w:t>for</w:t>
      </w:r>
      <w:r>
        <w:rPr>
          <w:spacing w:val="-9"/>
        </w:rPr>
        <w:t xml:space="preserve"> </w:t>
      </w:r>
      <w:r>
        <w:t>suburban</w:t>
      </w:r>
      <w:r>
        <w:rPr>
          <w:spacing w:val="-9"/>
        </w:rPr>
        <w:t xml:space="preserve"> </w:t>
      </w:r>
      <w:r>
        <w:t>services</w:t>
      </w:r>
      <w:r>
        <w:rPr>
          <w:spacing w:val="-9"/>
        </w:rPr>
        <w:t xml:space="preserve"> </w:t>
      </w:r>
      <w:r>
        <w:t>in</w:t>
      </w:r>
      <w:r>
        <w:rPr>
          <w:spacing w:val="-9"/>
        </w:rPr>
        <w:t xml:space="preserve"> </w:t>
      </w:r>
      <w:r>
        <w:t>the</w:t>
      </w:r>
      <w:r>
        <w:rPr>
          <w:spacing w:val="-9"/>
        </w:rPr>
        <w:t xml:space="preserve"> </w:t>
      </w:r>
      <w:r>
        <w:t>CBD within 10 years.</w:t>
      </w:r>
    </w:p>
    <w:p w:rsidR="002C1123" w:rsidRDefault="00F22F94">
      <w:pPr>
        <w:pStyle w:val="BodyText"/>
        <w:spacing w:before="145" w:line="249" w:lineRule="auto"/>
        <w:ind w:left="492" w:right="118"/>
      </w:pPr>
      <w:r>
        <w:rPr>
          <w:spacing w:val="-2"/>
        </w:rPr>
        <w:t>Beyond</w:t>
      </w:r>
      <w:r>
        <w:rPr>
          <w:spacing w:val="-10"/>
        </w:rPr>
        <w:t xml:space="preserve"> </w:t>
      </w:r>
      <w:r>
        <w:rPr>
          <w:spacing w:val="-2"/>
        </w:rPr>
        <w:t>year</w:t>
      </w:r>
      <w:r>
        <w:rPr>
          <w:spacing w:val="-10"/>
        </w:rPr>
        <w:t xml:space="preserve"> </w:t>
      </w:r>
      <w:r>
        <w:rPr>
          <w:spacing w:val="-2"/>
        </w:rPr>
        <w:t>10,</w:t>
      </w:r>
      <w:r>
        <w:rPr>
          <w:spacing w:val="-10"/>
        </w:rPr>
        <w:t xml:space="preserve"> </w:t>
      </w:r>
      <w:r>
        <w:rPr>
          <w:spacing w:val="-2"/>
        </w:rPr>
        <w:t>the</w:t>
      </w:r>
      <w:r>
        <w:rPr>
          <w:spacing w:val="-10"/>
        </w:rPr>
        <w:t xml:space="preserve"> </w:t>
      </w:r>
      <w:r>
        <w:rPr>
          <w:spacing w:val="-2"/>
        </w:rPr>
        <w:t>extension</w:t>
      </w:r>
      <w:r>
        <w:rPr>
          <w:spacing w:val="-10"/>
        </w:rPr>
        <w:t xml:space="preserve"> </w:t>
      </w:r>
      <w:r>
        <w:rPr>
          <w:spacing w:val="-2"/>
        </w:rPr>
        <w:t>of</w:t>
      </w:r>
      <w:r>
        <w:rPr>
          <w:spacing w:val="-10"/>
        </w:rPr>
        <w:t xml:space="preserve"> </w:t>
      </w:r>
      <w:r>
        <w:rPr>
          <w:spacing w:val="-2"/>
        </w:rPr>
        <w:t>rapid</w:t>
      </w:r>
      <w:r>
        <w:rPr>
          <w:spacing w:val="-10"/>
        </w:rPr>
        <w:t xml:space="preserve"> </w:t>
      </w:r>
      <w:r>
        <w:rPr>
          <w:spacing w:val="-2"/>
        </w:rPr>
        <w:t>transit</w:t>
      </w:r>
      <w:r>
        <w:rPr>
          <w:spacing w:val="-10"/>
        </w:rPr>
        <w:t xml:space="preserve"> </w:t>
      </w:r>
      <w:r>
        <w:rPr>
          <w:spacing w:val="-2"/>
        </w:rPr>
        <w:t>from</w:t>
      </w:r>
      <w:r>
        <w:rPr>
          <w:spacing w:val="-11"/>
        </w:rPr>
        <w:t xml:space="preserve"> </w:t>
      </w:r>
      <w:r>
        <w:rPr>
          <w:spacing w:val="-2"/>
        </w:rPr>
        <w:t xml:space="preserve">the </w:t>
      </w:r>
      <w:r>
        <w:rPr>
          <w:w w:val="95"/>
        </w:rPr>
        <w:t>NWRL</w:t>
      </w:r>
      <w:r>
        <w:rPr>
          <w:spacing w:val="-5"/>
          <w:w w:val="95"/>
        </w:rPr>
        <w:t xml:space="preserve"> </w:t>
      </w:r>
      <w:r>
        <w:rPr>
          <w:w w:val="95"/>
        </w:rPr>
        <w:t>to</w:t>
      </w:r>
      <w:r>
        <w:rPr>
          <w:spacing w:val="-5"/>
          <w:w w:val="95"/>
        </w:rPr>
        <w:t xml:space="preserve"> </w:t>
      </w:r>
      <w:r>
        <w:rPr>
          <w:w w:val="95"/>
        </w:rPr>
        <w:t>the</w:t>
      </w:r>
      <w:r>
        <w:rPr>
          <w:spacing w:val="-5"/>
          <w:w w:val="95"/>
        </w:rPr>
        <w:t xml:space="preserve"> </w:t>
      </w:r>
      <w:r>
        <w:rPr>
          <w:w w:val="95"/>
        </w:rPr>
        <w:t>CBD</w:t>
      </w:r>
      <w:r>
        <w:rPr>
          <w:spacing w:val="-5"/>
          <w:w w:val="95"/>
        </w:rPr>
        <w:t xml:space="preserve"> </w:t>
      </w:r>
      <w:r>
        <w:rPr>
          <w:w w:val="95"/>
        </w:rPr>
        <w:t>over</w:t>
      </w:r>
      <w:r>
        <w:rPr>
          <w:spacing w:val="-5"/>
          <w:w w:val="95"/>
        </w:rPr>
        <w:t xml:space="preserve"> </w:t>
      </w:r>
      <w:r>
        <w:rPr>
          <w:w w:val="95"/>
        </w:rPr>
        <w:t>the</w:t>
      </w:r>
      <w:r>
        <w:rPr>
          <w:spacing w:val="-5"/>
          <w:w w:val="95"/>
        </w:rPr>
        <w:t xml:space="preserve"> </w:t>
      </w:r>
      <w:r>
        <w:rPr>
          <w:w w:val="95"/>
        </w:rPr>
        <w:t>Sydney</w:t>
      </w:r>
      <w:r>
        <w:rPr>
          <w:spacing w:val="-5"/>
          <w:w w:val="95"/>
        </w:rPr>
        <w:t xml:space="preserve"> </w:t>
      </w:r>
      <w:r>
        <w:rPr>
          <w:w w:val="95"/>
        </w:rPr>
        <w:t>Harbour</w:t>
      </w:r>
      <w:r>
        <w:rPr>
          <w:spacing w:val="-5"/>
          <w:w w:val="95"/>
        </w:rPr>
        <w:t xml:space="preserve"> </w:t>
      </w:r>
      <w:r>
        <w:rPr>
          <w:w w:val="95"/>
        </w:rPr>
        <w:t>Bridge</w:t>
      </w:r>
      <w:r>
        <w:rPr>
          <w:spacing w:val="-5"/>
          <w:w w:val="95"/>
        </w:rPr>
        <w:t xml:space="preserve"> </w:t>
      </w:r>
      <w:r>
        <w:rPr>
          <w:w w:val="95"/>
        </w:rPr>
        <w:t xml:space="preserve">and </w:t>
      </w:r>
      <w:r>
        <w:t>then</w:t>
      </w:r>
      <w:r>
        <w:rPr>
          <w:spacing w:val="-14"/>
        </w:rPr>
        <w:t xml:space="preserve"> </w:t>
      </w:r>
      <w:r>
        <w:t>on</w:t>
      </w:r>
      <w:r>
        <w:rPr>
          <w:spacing w:val="-14"/>
        </w:rPr>
        <w:t xml:space="preserve"> </w:t>
      </w:r>
      <w:r>
        <w:t>to</w:t>
      </w:r>
      <w:r>
        <w:rPr>
          <w:spacing w:val="-14"/>
        </w:rPr>
        <w:t xml:space="preserve"> </w:t>
      </w:r>
      <w:r>
        <w:t>Strathfield</w:t>
      </w:r>
      <w:r>
        <w:rPr>
          <w:spacing w:val="-14"/>
        </w:rPr>
        <w:t xml:space="preserve"> </w:t>
      </w:r>
      <w:r>
        <w:t>is</w:t>
      </w:r>
      <w:r>
        <w:rPr>
          <w:spacing w:val="-14"/>
        </w:rPr>
        <w:t xml:space="preserve"> </w:t>
      </w:r>
      <w:r>
        <w:t>recommended.</w:t>
      </w:r>
      <w:r>
        <w:rPr>
          <w:spacing w:val="-14"/>
        </w:rPr>
        <w:t xml:space="preserve"> </w:t>
      </w:r>
      <w:r>
        <w:t>This</w:t>
      </w:r>
      <w:r>
        <w:rPr>
          <w:spacing w:val="-14"/>
        </w:rPr>
        <w:t xml:space="preserve"> </w:t>
      </w:r>
      <w:r>
        <w:t xml:space="preserve">approach </w:t>
      </w:r>
      <w:r>
        <w:rPr>
          <w:w w:val="95"/>
        </w:rPr>
        <w:t>requires</w:t>
      </w:r>
      <w:r>
        <w:rPr>
          <w:spacing w:val="-6"/>
          <w:w w:val="95"/>
        </w:rPr>
        <w:t xml:space="preserve"> </w:t>
      </w:r>
      <w:r>
        <w:rPr>
          <w:w w:val="95"/>
        </w:rPr>
        <w:t>the</w:t>
      </w:r>
      <w:r>
        <w:rPr>
          <w:spacing w:val="-6"/>
          <w:w w:val="95"/>
        </w:rPr>
        <w:t xml:space="preserve"> </w:t>
      </w:r>
      <w:r>
        <w:rPr>
          <w:w w:val="95"/>
        </w:rPr>
        <w:t>re-signalling</w:t>
      </w:r>
      <w:r>
        <w:rPr>
          <w:spacing w:val="-6"/>
          <w:w w:val="95"/>
        </w:rPr>
        <w:t xml:space="preserve"> </w:t>
      </w:r>
      <w:r>
        <w:rPr>
          <w:w w:val="95"/>
        </w:rPr>
        <w:t>and</w:t>
      </w:r>
      <w:r>
        <w:rPr>
          <w:spacing w:val="-6"/>
          <w:w w:val="95"/>
        </w:rPr>
        <w:t xml:space="preserve"> </w:t>
      </w:r>
      <w:r>
        <w:rPr>
          <w:w w:val="95"/>
        </w:rPr>
        <w:t>reconfiguration</w:t>
      </w:r>
      <w:r>
        <w:rPr>
          <w:spacing w:val="-6"/>
          <w:w w:val="95"/>
        </w:rPr>
        <w:t xml:space="preserve"> </w:t>
      </w:r>
      <w:r>
        <w:rPr>
          <w:w w:val="95"/>
        </w:rPr>
        <w:t>of</w:t>
      </w:r>
      <w:r>
        <w:rPr>
          <w:spacing w:val="-6"/>
          <w:w w:val="95"/>
        </w:rPr>
        <w:t xml:space="preserve"> </w:t>
      </w:r>
      <w:r>
        <w:rPr>
          <w:w w:val="95"/>
        </w:rPr>
        <w:t xml:space="preserve">existing </w:t>
      </w:r>
      <w:r>
        <w:t>lines.</w:t>
      </w:r>
      <w:r>
        <w:rPr>
          <w:spacing w:val="-14"/>
        </w:rPr>
        <w:t xml:space="preserve"> </w:t>
      </w:r>
      <w:r>
        <w:t>It</w:t>
      </w:r>
      <w:r>
        <w:rPr>
          <w:spacing w:val="-14"/>
        </w:rPr>
        <w:t xml:space="preserve"> </w:t>
      </w:r>
      <w:r>
        <w:t>will</w:t>
      </w:r>
      <w:r>
        <w:rPr>
          <w:spacing w:val="-14"/>
        </w:rPr>
        <w:t xml:space="preserve"> </w:t>
      </w:r>
      <w:r>
        <w:t>allow</w:t>
      </w:r>
      <w:r>
        <w:rPr>
          <w:spacing w:val="-14"/>
        </w:rPr>
        <w:t xml:space="preserve"> </w:t>
      </w:r>
      <w:r>
        <w:t>faster</w:t>
      </w:r>
      <w:r>
        <w:rPr>
          <w:spacing w:val="-14"/>
        </w:rPr>
        <w:t xml:space="preserve"> </w:t>
      </w:r>
      <w:r>
        <w:t>and</w:t>
      </w:r>
      <w:r>
        <w:rPr>
          <w:spacing w:val="-14"/>
        </w:rPr>
        <w:t xml:space="preserve"> </w:t>
      </w:r>
      <w:r>
        <w:t>more</w:t>
      </w:r>
      <w:r>
        <w:rPr>
          <w:spacing w:val="-14"/>
        </w:rPr>
        <w:t xml:space="preserve"> </w:t>
      </w:r>
      <w:r>
        <w:t>frequent</w:t>
      </w:r>
      <w:r>
        <w:rPr>
          <w:spacing w:val="-14"/>
        </w:rPr>
        <w:t xml:space="preserve"> </w:t>
      </w:r>
      <w:r>
        <w:t>services</w:t>
      </w:r>
      <w:r>
        <w:rPr>
          <w:spacing w:val="-14"/>
        </w:rPr>
        <w:t xml:space="preserve"> </w:t>
      </w:r>
      <w:r>
        <w:t xml:space="preserve">to </w:t>
      </w:r>
      <w:r>
        <w:rPr>
          <w:w w:val="95"/>
        </w:rPr>
        <w:t xml:space="preserve">the CBD for passengers on the Western, Northern and Southern Lines and high capacity metro-style services </w:t>
      </w:r>
      <w:r>
        <w:t>on the most congested parts of the network.</w:t>
      </w:r>
    </w:p>
    <w:p w:rsidR="002C1123" w:rsidRDefault="00F22F94">
      <w:pPr>
        <w:pStyle w:val="BodyText"/>
        <w:spacing w:before="148" w:line="249" w:lineRule="auto"/>
        <w:ind w:left="492" w:right="-1"/>
      </w:pPr>
      <w:r>
        <w:rPr>
          <w:w w:val="95"/>
        </w:rPr>
        <w:t>An incremental program to accelerate journey times on regional intercity routes is proposed, with a target of one hour journey times to Sydney from both Wollongong and Gosford. Accelerating journey times and more frequent services</w:t>
      </w:r>
      <w:r>
        <w:rPr>
          <w:spacing w:val="-13"/>
          <w:w w:val="95"/>
        </w:rPr>
        <w:t xml:space="preserve"> </w:t>
      </w:r>
      <w:r>
        <w:rPr>
          <w:w w:val="95"/>
        </w:rPr>
        <w:t>to</w:t>
      </w:r>
      <w:r>
        <w:rPr>
          <w:spacing w:val="-12"/>
          <w:w w:val="95"/>
        </w:rPr>
        <w:t xml:space="preserve"> </w:t>
      </w:r>
      <w:r>
        <w:rPr>
          <w:w w:val="95"/>
        </w:rPr>
        <w:t>the</w:t>
      </w:r>
      <w:r>
        <w:rPr>
          <w:spacing w:val="-12"/>
          <w:w w:val="95"/>
        </w:rPr>
        <w:t xml:space="preserve"> </w:t>
      </w:r>
      <w:r>
        <w:rPr>
          <w:w w:val="95"/>
        </w:rPr>
        <w:t>Hunter</w:t>
      </w:r>
      <w:r>
        <w:rPr>
          <w:spacing w:val="-12"/>
          <w:w w:val="95"/>
        </w:rPr>
        <w:t xml:space="preserve"> </w:t>
      </w:r>
      <w:r>
        <w:rPr>
          <w:w w:val="95"/>
        </w:rPr>
        <w:t>is</w:t>
      </w:r>
      <w:r>
        <w:rPr>
          <w:spacing w:val="-13"/>
          <w:w w:val="95"/>
        </w:rPr>
        <w:t xml:space="preserve"> </w:t>
      </w:r>
      <w:r>
        <w:rPr>
          <w:w w:val="95"/>
        </w:rPr>
        <w:t>recommended</w:t>
      </w:r>
      <w:r>
        <w:rPr>
          <w:spacing w:val="-12"/>
          <w:w w:val="95"/>
        </w:rPr>
        <w:t xml:space="preserve"> </w:t>
      </w:r>
      <w:r>
        <w:rPr>
          <w:w w:val="95"/>
        </w:rPr>
        <w:t>in</w:t>
      </w:r>
      <w:r>
        <w:rPr>
          <w:spacing w:val="-12"/>
          <w:w w:val="95"/>
        </w:rPr>
        <w:t xml:space="preserve"> </w:t>
      </w:r>
      <w:r>
        <w:rPr>
          <w:w w:val="95"/>
        </w:rPr>
        <w:t>the</w:t>
      </w:r>
      <w:r>
        <w:rPr>
          <w:spacing w:val="-12"/>
          <w:w w:val="95"/>
        </w:rPr>
        <w:t xml:space="preserve"> </w:t>
      </w:r>
      <w:r>
        <w:rPr>
          <w:w w:val="95"/>
        </w:rPr>
        <w:t>longer</w:t>
      </w:r>
      <w:r>
        <w:rPr>
          <w:spacing w:val="-12"/>
          <w:w w:val="95"/>
        </w:rPr>
        <w:t xml:space="preserve"> </w:t>
      </w:r>
      <w:r>
        <w:rPr>
          <w:w w:val="95"/>
        </w:rPr>
        <w:t>term.</w:t>
      </w:r>
    </w:p>
    <w:p w:rsidR="002C1123" w:rsidRDefault="00F22F94">
      <w:pPr>
        <w:pStyle w:val="Heading6"/>
        <w:ind w:left="187"/>
      </w:pPr>
      <w:r>
        <w:rPr>
          <w:b w:val="0"/>
        </w:rPr>
        <w:br w:type="column"/>
      </w:r>
      <w:r>
        <w:rPr>
          <w:color w:val="2E3092"/>
          <w:spacing w:val="-4"/>
        </w:rPr>
        <w:t>International</w:t>
      </w:r>
      <w:r>
        <w:rPr>
          <w:color w:val="2E3092"/>
          <w:spacing w:val="11"/>
        </w:rPr>
        <w:t xml:space="preserve"> </w:t>
      </w:r>
      <w:r>
        <w:rPr>
          <w:color w:val="2E3092"/>
          <w:spacing w:val="-2"/>
        </w:rPr>
        <w:t>Gateways</w:t>
      </w:r>
    </w:p>
    <w:p w:rsidR="002C1123" w:rsidRDefault="00F22F94">
      <w:pPr>
        <w:pStyle w:val="BodyText"/>
        <w:spacing w:before="10" w:line="249" w:lineRule="auto"/>
        <w:ind w:left="187" w:right="190"/>
      </w:pPr>
      <w:r>
        <w:rPr>
          <w:w w:val="95"/>
        </w:rPr>
        <w:t>Sydney</w:t>
      </w:r>
      <w:r>
        <w:rPr>
          <w:spacing w:val="-5"/>
          <w:w w:val="95"/>
        </w:rPr>
        <w:t xml:space="preserve"> </w:t>
      </w:r>
      <w:r>
        <w:rPr>
          <w:w w:val="95"/>
        </w:rPr>
        <w:t>Airport</w:t>
      </w:r>
      <w:r>
        <w:rPr>
          <w:spacing w:val="-5"/>
          <w:w w:val="95"/>
        </w:rPr>
        <w:t xml:space="preserve"> </w:t>
      </w:r>
      <w:r>
        <w:rPr>
          <w:w w:val="95"/>
        </w:rPr>
        <w:t>and</w:t>
      </w:r>
      <w:r>
        <w:rPr>
          <w:spacing w:val="-5"/>
          <w:w w:val="95"/>
        </w:rPr>
        <w:t xml:space="preserve"> </w:t>
      </w:r>
      <w:r>
        <w:rPr>
          <w:w w:val="95"/>
        </w:rPr>
        <w:t>Port</w:t>
      </w:r>
      <w:r>
        <w:rPr>
          <w:spacing w:val="-5"/>
          <w:w w:val="95"/>
        </w:rPr>
        <w:t xml:space="preserve"> </w:t>
      </w:r>
      <w:r>
        <w:rPr>
          <w:w w:val="95"/>
        </w:rPr>
        <w:t>Botany</w:t>
      </w:r>
      <w:r>
        <w:rPr>
          <w:spacing w:val="-5"/>
          <w:w w:val="95"/>
        </w:rPr>
        <w:t xml:space="preserve"> </w:t>
      </w:r>
      <w:r>
        <w:rPr>
          <w:w w:val="95"/>
        </w:rPr>
        <w:t>will</w:t>
      </w:r>
      <w:r>
        <w:rPr>
          <w:spacing w:val="-5"/>
          <w:w w:val="95"/>
        </w:rPr>
        <w:t xml:space="preserve"> </w:t>
      </w:r>
      <w:r>
        <w:rPr>
          <w:w w:val="95"/>
        </w:rPr>
        <w:t>grow</w:t>
      </w:r>
      <w:r>
        <w:rPr>
          <w:spacing w:val="-5"/>
          <w:w w:val="95"/>
        </w:rPr>
        <w:t xml:space="preserve"> </w:t>
      </w:r>
      <w:r>
        <w:rPr>
          <w:w w:val="95"/>
        </w:rPr>
        <w:t>rapidly</w:t>
      </w:r>
      <w:r>
        <w:rPr>
          <w:spacing w:val="-5"/>
          <w:w w:val="95"/>
        </w:rPr>
        <w:t xml:space="preserve"> </w:t>
      </w:r>
      <w:r>
        <w:rPr>
          <w:w w:val="95"/>
        </w:rPr>
        <w:t xml:space="preserve">over </w:t>
      </w:r>
      <w:r>
        <w:t>the</w:t>
      </w:r>
      <w:r>
        <w:rPr>
          <w:spacing w:val="-6"/>
        </w:rPr>
        <w:t xml:space="preserve"> </w:t>
      </w:r>
      <w:r>
        <w:t>next</w:t>
      </w:r>
      <w:r>
        <w:rPr>
          <w:spacing w:val="-6"/>
        </w:rPr>
        <w:t xml:space="preserve"> </w:t>
      </w:r>
      <w:r>
        <w:t>20</w:t>
      </w:r>
      <w:r>
        <w:rPr>
          <w:spacing w:val="-6"/>
        </w:rPr>
        <w:t xml:space="preserve"> </w:t>
      </w:r>
      <w:r>
        <w:t>years,</w:t>
      </w:r>
      <w:r>
        <w:rPr>
          <w:spacing w:val="-6"/>
        </w:rPr>
        <w:t xml:space="preserve"> </w:t>
      </w:r>
      <w:r>
        <w:t>and</w:t>
      </w:r>
      <w:r>
        <w:rPr>
          <w:spacing w:val="-6"/>
        </w:rPr>
        <w:t xml:space="preserve"> </w:t>
      </w:r>
      <w:r>
        <w:t>transport</w:t>
      </w:r>
      <w:r>
        <w:rPr>
          <w:spacing w:val="-6"/>
        </w:rPr>
        <w:t xml:space="preserve"> </w:t>
      </w:r>
      <w:r>
        <w:t>networks</w:t>
      </w:r>
      <w:r>
        <w:rPr>
          <w:spacing w:val="-6"/>
        </w:rPr>
        <w:t xml:space="preserve"> </w:t>
      </w:r>
      <w:r>
        <w:t>need</w:t>
      </w:r>
      <w:r>
        <w:rPr>
          <w:spacing w:val="-6"/>
        </w:rPr>
        <w:t xml:space="preserve"> </w:t>
      </w:r>
      <w:r>
        <w:t xml:space="preserve">to </w:t>
      </w:r>
      <w:r>
        <w:rPr>
          <w:w w:val="95"/>
        </w:rPr>
        <w:t>be upgraded to meet this challenge. Some important</w:t>
      </w:r>
    </w:p>
    <w:p w:rsidR="002C1123" w:rsidRDefault="00F22F94">
      <w:pPr>
        <w:pStyle w:val="BodyText"/>
        <w:spacing w:before="2" w:line="249" w:lineRule="auto"/>
        <w:ind w:left="187"/>
      </w:pPr>
      <w:r>
        <w:rPr>
          <w:w w:val="95"/>
        </w:rPr>
        <w:t>steps</w:t>
      </w:r>
      <w:r>
        <w:rPr>
          <w:spacing w:val="-2"/>
          <w:w w:val="95"/>
        </w:rPr>
        <w:t xml:space="preserve"> </w:t>
      </w:r>
      <w:r>
        <w:rPr>
          <w:w w:val="95"/>
        </w:rPr>
        <w:t>can</w:t>
      </w:r>
      <w:r>
        <w:rPr>
          <w:spacing w:val="-2"/>
          <w:w w:val="95"/>
        </w:rPr>
        <w:t xml:space="preserve"> </w:t>
      </w:r>
      <w:r>
        <w:rPr>
          <w:w w:val="95"/>
        </w:rPr>
        <w:t>be</w:t>
      </w:r>
      <w:r>
        <w:rPr>
          <w:spacing w:val="-2"/>
          <w:w w:val="95"/>
        </w:rPr>
        <w:t xml:space="preserve"> </w:t>
      </w:r>
      <w:r>
        <w:rPr>
          <w:w w:val="95"/>
        </w:rPr>
        <w:t>taken</w:t>
      </w:r>
      <w:r>
        <w:rPr>
          <w:spacing w:val="-2"/>
          <w:w w:val="95"/>
        </w:rPr>
        <w:t xml:space="preserve"> </w:t>
      </w:r>
      <w:r>
        <w:rPr>
          <w:w w:val="95"/>
        </w:rPr>
        <w:t>in</w:t>
      </w:r>
      <w:r>
        <w:rPr>
          <w:spacing w:val="-2"/>
          <w:w w:val="95"/>
        </w:rPr>
        <w:t xml:space="preserve"> </w:t>
      </w:r>
      <w:r>
        <w:rPr>
          <w:w w:val="95"/>
        </w:rPr>
        <w:t>the</w:t>
      </w:r>
      <w:r>
        <w:rPr>
          <w:spacing w:val="-2"/>
          <w:w w:val="95"/>
        </w:rPr>
        <w:t xml:space="preserve"> </w:t>
      </w:r>
      <w:r>
        <w:rPr>
          <w:w w:val="95"/>
        </w:rPr>
        <w:t>short</w:t>
      </w:r>
      <w:r>
        <w:rPr>
          <w:spacing w:val="-2"/>
          <w:w w:val="95"/>
        </w:rPr>
        <w:t xml:space="preserve"> </w:t>
      </w:r>
      <w:r>
        <w:rPr>
          <w:w w:val="95"/>
        </w:rPr>
        <w:t>term,</w:t>
      </w:r>
      <w:r>
        <w:rPr>
          <w:spacing w:val="-2"/>
          <w:w w:val="95"/>
        </w:rPr>
        <w:t xml:space="preserve"> </w:t>
      </w:r>
      <w:r>
        <w:rPr>
          <w:w w:val="95"/>
        </w:rPr>
        <w:t>including</w:t>
      </w:r>
      <w:r>
        <w:rPr>
          <w:spacing w:val="-2"/>
          <w:w w:val="95"/>
        </w:rPr>
        <w:t xml:space="preserve"> </w:t>
      </w:r>
      <w:r>
        <w:rPr>
          <w:w w:val="95"/>
        </w:rPr>
        <w:t xml:space="preserve">cheaper </w:t>
      </w:r>
      <w:r>
        <w:t>train</w:t>
      </w:r>
      <w:r>
        <w:rPr>
          <w:spacing w:val="-9"/>
        </w:rPr>
        <w:t xml:space="preserve"> </w:t>
      </w:r>
      <w:r>
        <w:t>fares</w:t>
      </w:r>
      <w:r>
        <w:rPr>
          <w:spacing w:val="-9"/>
        </w:rPr>
        <w:t xml:space="preserve"> </w:t>
      </w:r>
      <w:r>
        <w:t>to</w:t>
      </w:r>
      <w:r>
        <w:rPr>
          <w:spacing w:val="-9"/>
        </w:rPr>
        <w:t xml:space="preserve"> </w:t>
      </w:r>
      <w:r>
        <w:t>the</w:t>
      </w:r>
      <w:r>
        <w:rPr>
          <w:spacing w:val="-9"/>
        </w:rPr>
        <w:t xml:space="preserve"> </w:t>
      </w:r>
      <w:r>
        <w:t>airport,</w:t>
      </w:r>
      <w:r>
        <w:rPr>
          <w:spacing w:val="-9"/>
        </w:rPr>
        <w:t xml:space="preserve"> </w:t>
      </w:r>
      <w:r>
        <w:t>more</w:t>
      </w:r>
      <w:r>
        <w:rPr>
          <w:spacing w:val="-9"/>
        </w:rPr>
        <w:t xml:space="preserve"> </w:t>
      </w:r>
      <w:r>
        <w:t>bus</w:t>
      </w:r>
      <w:r>
        <w:rPr>
          <w:spacing w:val="-9"/>
        </w:rPr>
        <w:t xml:space="preserve"> </w:t>
      </w:r>
      <w:r>
        <w:t>services</w:t>
      </w:r>
      <w:r>
        <w:rPr>
          <w:spacing w:val="-9"/>
        </w:rPr>
        <w:t xml:space="preserve"> </w:t>
      </w:r>
      <w:r>
        <w:t>and improvements</w:t>
      </w:r>
      <w:r>
        <w:rPr>
          <w:spacing w:val="-2"/>
        </w:rPr>
        <w:t xml:space="preserve"> </w:t>
      </w:r>
      <w:r>
        <w:t>at</w:t>
      </w:r>
      <w:r>
        <w:rPr>
          <w:spacing w:val="-2"/>
        </w:rPr>
        <w:t xml:space="preserve"> </w:t>
      </w:r>
      <w:r>
        <w:t>key</w:t>
      </w:r>
      <w:r>
        <w:rPr>
          <w:spacing w:val="-2"/>
        </w:rPr>
        <w:t xml:space="preserve"> </w:t>
      </w:r>
      <w:r>
        <w:t>road</w:t>
      </w:r>
      <w:r>
        <w:rPr>
          <w:spacing w:val="-2"/>
        </w:rPr>
        <w:t xml:space="preserve"> </w:t>
      </w:r>
      <w:r>
        <w:t>pinch</w:t>
      </w:r>
      <w:r>
        <w:rPr>
          <w:spacing w:val="-2"/>
        </w:rPr>
        <w:t xml:space="preserve"> </w:t>
      </w:r>
      <w:r>
        <w:t>points.</w:t>
      </w:r>
    </w:p>
    <w:p w:rsidR="002C1123" w:rsidRDefault="00F22F94">
      <w:pPr>
        <w:pStyle w:val="BodyText"/>
        <w:spacing w:before="145" w:line="249" w:lineRule="auto"/>
        <w:ind w:left="187" w:right="371"/>
      </w:pPr>
      <w:r>
        <w:rPr>
          <w:spacing w:val="-2"/>
        </w:rPr>
        <w:t>Most</w:t>
      </w:r>
      <w:r>
        <w:rPr>
          <w:spacing w:val="-13"/>
        </w:rPr>
        <w:t xml:space="preserve"> </w:t>
      </w:r>
      <w:r>
        <w:rPr>
          <w:spacing w:val="-2"/>
        </w:rPr>
        <w:t>travel</w:t>
      </w:r>
      <w:r>
        <w:rPr>
          <w:spacing w:val="-13"/>
        </w:rPr>
        <w:t xml:space="preserve"> </w:t>
      </w:r>
      <w:r>
        <w:rPr>
          <w:spacing w:val="-2"/>
        </w:rPr>
        <w:t>to</w:t>
      </w:r>
      <w:r>
        <w:rPr>
          <w:spacing w:val="-13"/>
        </w:rPr>
        <w:t xml:space="preserve"> </w:t>
      </w:r>
      <w:r>
        <w:rPr>
          <w:spacing w:val="-2"/>
        </w:rPr>
        <w:t>and</w:t>
      </w:r>
      <w:r>
        <w:rPr>
          <w:spacing w:val="-13"/>
        </w:rPr>
        <w:t xml:space="preserve"> </w:t>
      </w:r>
      <w:r>
        <w:rPr>
          <w:spacing w:val="-2"/>
        </w:rPr>
        <w:t>from</w:t>
      </w:r>
      <w:r>
        <w:rPr>
          <w:spacing w:val="-13"/>
        </w:rPr>
        <w:t xml:space="preserve"> </w:t>
      </w:r>
      <w:r>
        <w:rPr>
          <w:spacing w:val="-2"/>
        </w:rPr>
        <w:t>the</w:t>
      </w:r>
      <w:r>
        <w:rPr>
          <w:spacing w:val="-13"/>
        </w:rPr>
        <w:t xml:space="preserve"> </w:t>
      </w:r>
      <w:r>
        <w:rPr>
          <w:spacing w:val="-2"/>
        </w:rPr>
        <w:t>international</w:t>
      </w:r>
      <w:r>
        <w:rPr>
          <w:spacing w:val="-13"/>
        </w:rPr>
        <w:t xml:space="preserve"> </w:t>
      </w:r>
      <w:r>
        <w:rPr>
          <w:spacing w:val="-2"/>
        </w:rPr>
        <w:t xml:space="preserve">gateways </w:t>
      </w:r>
      <w:r>
        <w:rPr>
          <w:w w:val="95"/>
        </w:rPr>
        <w:t>is</w:t>
      </w:r>
      <w:r>
        <w:rPr>
          <w:spacing w:val="-7"/>
          <w:w w:val="95"/>
        </w:rPr>
        <w:t xml:space="preserve"> </w:t>
      </w:r>
      <w:r>
        <w:rPr>
          <w:w w:val="95"/>
        </w:rPr>
        <w:t>forecast</w:t>
      </w:r>
      <w:r>
        <w:rPr>
          <w:spacing w:val="-7"/>
          <w:w w:val="95"/>
        </w:rPr>
        <w:t xml:space="preserve"> </w:t>
      </w:r>
      <w:r>
        <w:rPr>
          <w:w w:val="95"/>
        </w:rPr>
        <w:t>to</w:t>
      </w:r>
      <w:r>
        <w:rPr>
          <w:spacing w:val="-7"/>
          <w:w w:val="95"/>
        </w:rPr>
        <w:t xml:space="preserve"> </w:t>
      </w:r>
      <w:r>
        <w:rPr>
          <w:w w:val="95"/>
        </w:rPr>
        <w:t>remain</w:t>
      </w:r>
      <w:r>
        <w:rPr>
          <w:spacing w:val="-7"/>
          <w:w w:val="95"/>
        </w:rPr>
        <w:t xml:space="preserve"> </w:t>
      </w:r>
      <w:r>
        <w:rPr>
          <w:w w:val="95"/>
        </w:rPr>
        <w:t>on</w:t>
      </w:r>
      <w:r>
        <w:rPr>
          <w:spacing w:val="-7"/>
          <w:w w:val="95"/>
        </w:rPr>
        <w:t xml:space="preserve"> </w:t>
      </w:r>
      <w:r>
        <w:rPr>
          <w:w w:val="95"/>
        </w:rPr>
        <w:t>road</w:t>
      </w:r>
      <w:r>
        <w:rPr>
          <w:spacing w:val="-7"/>
          <w:w w:val="95"/>
        </w:rPr>
        <w:t xml:space="preserve"> </w:t>
      </w:r>
      <w:r>
        <w:rPr>
          <w:w w:val="95"/>
        </w:rPr>
        <w:t>for</w:t>
      </w:r>
      <w:r>
        <w:rPr>
          <w:spacing w:val="-7"/>
          <w:w w:val="95"/>
        </w:rPr>
        <w:t xml:space="preserve"> </w:t>
      </w:r>
      <w:r>
        <w:rPr>
          <w:w w:val="95"/>
        </w:rPr>
        <w:t>efficiency</w:t>
      </w:r>
      <w:r>
        <w:rPr>
          <w:spacing w:val="-7"/>
          <w:w w:val="95"/>
        </w:rPr>
        <w:t xml:space="preserve"> </w:t>
      </w:r>
      <w:r>
        <w:rPr>
          <w:w w:val="95"/>
        </w:rPr>
        <w:t>reasons.</w:t>
      </w:r>
    </w:p>
    <w:p w:rsidR="002C1123" w:rsidRDefault="00F22F94">
      <w:pPr>
        <w:pStyle w:val="BodyText"/>
        <w:spacing w:before="1" w:line="249" w:lineRule="auto"/>
        <w:ind w:left="187"/>
      </w:pPr>
      <w:r>
        <w:rPr>
          <w:w w:val="95"/>
        </w:rPr>
        <w:t xml:space="preserve">Accordingly Infrastructure NSW’s medium term strategy </w:t>
      </w:r>
      <w:r>
        <w:t>is</w:t>
      </w:r>
      <w:r>
        <w:rPr>
          <w:spacing w:val="-7"/>
        </w:rPr>
        <w:t xml:space="preserve"> </w:t>
      </w:r>
      <w:r>
        <w:t>the</w:t>
      </w:r>
      <w:r>
        <w:rPr>
          <w:spacing w:val="-7"/>
        </w:rPr>
        <w:t xml:space="preserve"> </w:t>
      </w:r>
      <w:r>
        <w:t>construction</w:t>
      </w:r>
      <w:r>
        <w:rPr>
          <w:spacing w:val="-7"/>
        </w:rPr>
        <w:t xml:space="preserve"> </w:t>
      </w:r>
      <w:r>
        <w:t>of</w:t>
      </w:r>
      <w:r>
        <w:rPr>
          <w:spacing w:val="-7"/>
        </w:rPr>
        <w:t xml:space="preserve"> </w:t>
      </w:r>
      <w:r>
        <w:t>the</w:t>
      </w:r>
      <w:r>
        <w:rPr>
          <w:spacing w:val="-7"/>
        </w:rPr>
        <w:t xml:space="preserve"> </w:t>
      </w:r>
      <w:r>
        <w:t>WestConnex</w:t>
      </w:r>
      <w:r>
        <w:rPr>
          <w:spacing w:val="-7"/>
        </w:rPr>
        <w:t xml:space="preserve"> </w:t>
      </w:r>
      <w:r>
        <w:t>scheme.</w:t>
      </w:r>
    </w:p>
    <w:p w:rsidR="002C1123" w:rsidRDefault="00F22F94">
      <w:pPr>
        <w:pStyle w:val="BodyText"/>
        <w:spacing w:before="2" w:line="249" w:lineRule="auto"/>
        <w:ind w:left="187"/>
      </w:pPr>
      <w:r>
        <w:rPr>
          <w:w w:val="95"/>
        </w:rPr>
        <w:t>Upgrades</w:t>
      </w:r>
      <w:r>
        <w:rPr>
          <w:spacing w:val="-10"/>
          <w:w w:val="95"/>
        </w:rPr>
        <w:t xml:space="preserve"> </w:t>
      </w:r>
      <w:r>
        <w:rPr>
          <w:w w:val="95"/>
        </w:rPr>
        <w:t>of</w:t>
      </w:r>
      <w:r>
        <w:rPr>
          <w:spacing w:val="-10"/>
          <w:w w:val="95"/>
        </w:rPr>
        <w:t xml:space="preserve"> </w:t>
      </w:r>
      <w:r>
        <w:rPr>
          <w:w w:val="95"/>
        </w:rPr>
        <w:t>rail</w:t>
      </w:r>
      <w:r>
        <w:rPr>
          <w:spacing w:val="-10"/>
          <w:w w:val="95"/>
        </w:rPr>
        <w:t xml:space="preserve"> </w:t>
      </w:r>
      <w:r>
        <w:rPr>
          <w:w w:val="95"/>
        </w:rPr>
        <w:t>links</w:t>
      </w:r>
      <w:r>
        <w:rPr>
          <w:spacing w:val="-10"/>
          <w:w w:val="95"/>
        </w:rPr>
        <w:t xml:space="preserve"> </w:t>
      </w:r>
      <w:r>
        <w:rPr>
          <w:w w:val="95"/>
        </w:rPr>
        <w:t>and</w:t>
      </w:r>
      <w:r>
        <w:rPr>
          <w:spacing w:val="-10"/>
          <w:w w:val="95"/>
        </w:rPr>
        <w:t xml:space="preserve"> </w:t>
      </w:r>
      <w:r>
        <w:rPr>
          <w:w w:val="95"/>
        </w:rPr>
        <w:t>intermodal</w:t>
      </w:r>
      <w:r>
        <w:rPr>
          <w:spacing w:val="-10"/>
          <w:w w:val="95"/>
        </w:rPr>
        <w:t xml:space="preserve"> </w:t>
      </w:r>
      <w:r>
        <w:rPr>
          <w:w w:val="95"/>
        </w:rPr>
        <w:t>terminals</w:t>
      </w:r>
      <w:r>
        <w:rPr>
          <w:spacing w:val="-10"/>
          <w:w w:val="95"/>
        </w:rPr>
        <w:t xml:space="preserve"> </w:t>
      </w:r>
      <w:r>
        <w:rPr>
          <w:w w:val="95"/>
        </w:rPr>
        <w:t>are</w:t>
      </w:r>
      <w:r>
        <w:rPr>
          <w:spacing w:val="-10"/>
          <w:w w:val="95"/>
        </w:rPr>
        <w:t xml:space="preserve"> </w:t>
      </w:r>
      <w:r>
        <w:rPr>
          <w:w w:val="95"/>
        </w:rPr>
        <w:t xml:space="preserve">also </w:t>
      </w:r>
      <w:r>
        <w:t>supported as part of a balanced approach.</w:t>
      </w:r>
    </w:p>
    <w:p w:rsidR="002C1123" w:rsidRDefault="00F22F94">
      <w:pPr>
        <w:pStyle w:val="Heading6"/>
        <w:spacing w:before="143"/>
        <w:ind w:left="187"/>
      </w:pPr>
      <w:r>
        <w:rPr>
          <w:color w:val="2E3092"/>
          <w:spacing w:val="-2"/>
        </w:rPr>
        <w:t>Regional</w:t>
      </w:r>
      <w:r>
        <w:rPr>
          <w:color w:val="2E3092"/>
          <w:spacing w:val="-6"/>
        </w:rPr>
        <w:t xml:space="preserve"> </w:t>
      </w:r>
      <w:r>
        <w:rPr>
          <w:color w:val="2E3092"/>
          <w:spacing w:val="-2"/>
        </w:rPr>
        <w:t>and</w:t>
      </w:r>
      <w:r>
        <w:rPr>
          <w:color w:val="2E3092"/>
          <w:spacing w:val="-6"/>
        </w:rPr>
        <w:t xml:space="preserve"> </w:t>
      </w:r>
      <w:r>
        <w:rPr>
          <w:color w:val="2E3092"/>
          <w:spacing w:val="-2"/>
        </w:rPr>
        <w:t>Interstate</w:t>
      </w:r>
      <w:r>
        <w:rPr>
          <w:color w:val="2E3092"/>
          <w:spacing w:val="-6"/>
        </w:rPr>
        <w:t xml:space="preserve"> </w:t>
      </w:r>
      <w:r>
        <w:rPr>
          <w:color w:val="2E3092"/>
          <w:spacing w:val="-2"/>
        </w:rPr>
        <w:t>Transport</w:t>
      </w:r>
    </w:p>
    <w:p w:rsidR="002C1123" w:rsidRDefault="00F22F94">
      <w:pPr>
        <w:pStyle w:val="BodyText"/>
        <w:spacing w:before="10" w:line="249" w:lineRule="auto"/>
        <w:ind w:left="187"/>
      </w:pPr>
      <w:r>
        <w:t>Transport</w:t>
      </w:r>
      <w:r>
        <w:rPr>
          <w:spacing w:val="-14"/>
        </w:rPr>
        <w:t xml:space="preserve"> </w:t>
      </w:r>
      <w:r>
        <w:t>infrastructure</w:t>
      </w:r>
      <w:r>
        <w:rPr>
          <w:spacing w:val="-14"/>
        </w:rPr>
        <w:t xml:space="preserve"> </w:t>
      </w:r>
      <w:r>
        <w:t>is</w:t>
      </w:r>
      <w:r>
        <w:rPr>
          <w:spacing w:val="-14"/>
        </w:rPr>
        <w:t xml:space="preserve"> </w:t>
      </w:r>
      <w:r>
        <w:t>essential</w:t>
      </w:r>
      <w:r>
        <w:rPr>
          <w:spacing w:val="-14"/>
        </w:rPr>
        <w:t xml:space="preserve"> </w:t>
      </w:r>
      <w:r>
        <w:t>for</w:t>
      </w:r>
      <w:r>
        <w:rPr>
          <w:spacing w:val="-14"/>
        </w:rPr>
        <w:t xml:space="preserve"> </w:t>
      </w:r>
      <w:r>
        <w:t>the</w:t>
      </w:r>
      <w:r>
        <w:rPr>
          <w:spacing w:val="-14"/>
        </w:rPr>
        <w:t xml:space="preserve"> </w:t>
      </w:r>
      <w:r>
        <w:t xml:space="preserve">economy </w:t>
      </w:r>
      <w:r>
        <w:rPr>
          <w:w w:val="95"/>
        </w:rPr>
        <w:t>and</w:t>
      </w:r>
      <w:r>
        <w:rPr>
          <w:spacing w:val="-10"/>
          <w:w w:val="95"/>
        </w:rPr>
        <w:t xml:space="preserve"> </w:t>
      </w:r>
      <w:r>
        <w:rPr>
          <w:w w:val="95"/>
        </w:rPr>
        <w:t>quality</w:t>
      </w:r>
      <w:r>
        <w:rPr>
          <w:spacing w:val="-10"/>
          <w:w w:val="95"/>
        </w:rPr>
        <w:t xml:space="preserve"> </w:t>
      </w:r>
      <w:r>
        <w:rPr>
          <w:w w:val="95"/>
        </w:rPr>
        <w:t>of</w:t>
      </w:r>
      <w:r>
        <w:rPr>
          <w:spacing w:val="-10"/>
          <w:w w:val="95"/>
        </w:rPr>
        <w:t xml:space="preserve"> </w:t>
      </w:r>
      <w:r>
        <w:rPr>
          <w:w w:val="95"/>
        </w:rPr>
        <w:t>life</w:t>
      </w:r>
      <w:r>
        <w:rPr>
          <w:spacing w:val="-10"/>
          <w:w w:val="95"/>
        </w:rPr>
        <w:t xml:space="preserve"> </w:t>
      </w:r>
      <w:r>
        <w:rPr>
          <w:w w:val="95"/>
        </w:rPr>
        <w:t>in</w:t>
      </w:r>
      <w:r>
        <w:rPr>
          <w:spacing w:val="-10"/>
          <w:w w:val="95"/>
        </w:rPr>
        <w:t xml:space="preserve"> </w:t>
      </w:r>
      <w:r>
        <w:rPr>
          <w:w w:val="95"/>
        </w:rPr>
        <w:t>regional</w:t>
      </w:r>
      <w:r>
        <w:rPr>
          <w:spacing w:val="-10"/>
          <w:w w:val="95"/>
        </w:rPr>
        <w:t xml:space="preserve"> </w:t>
      </w:r>
      <w:r>
        <w:rPr>
          <w:w w:val="95"/>
        </w:rPr>
        <w:t>NSW.</w:t>
      </w:r>
      <w:r>
        <w:rPr>
          <w:spacing w:val="-10"/>
          <w:w w:val="95"/>
        </w:rPr>
        <w:t xml:space="preserve"> </w:t>
      </w:r>
      <w:r>
        <w:rPr>
          <w:w w:val="95"/>
        </w:rPr>
        <w:t>The</w:t>
      </w:r>
      <w:r>
        <w:rPr>
          <w:spacing w:val="-10"/>
          <w:w w:val="95"/>
        </w:rPr>
        <w:t xml:space="preserve"> </w:t>
      </w:r>
      <w:r>
        <w:rPr>
          <w:w w:val="95"/>
        </w:rPr>
        <w:t>State</w:t>
      </w:r>
      <w:r>
        <w:rPr>
          <w:spacing w:val="-10"/>
          <w:w w:val="95"/>
        </w:rPr>
        <w:t xml:space="preserve"> </w:t>
      </w:r>
      <w:r>
        <w:rPr>
          <w:w w:val="95"/>
        </w:rPr>
        <w:t>is</w:t>
      </w:r>
      <w:r>
        <w:rPr>
          <w:spacing w:val="-10"/>
          <w:w w:val="95"/>
        </w:rPr>
        <w:t xml:space="preserve"> </w:t>
      </w:r>
      <w:r>
        <w:rPr>
          <w:w w:val="95"/>
        </w:rPr>
        <w:t>home</w:t>
      </w:r>
      <w:r>
        <w:rPr>
          <w:spacing w:val="-10"/>
          <w:w w:val="95"/>
        </w:rPr>
        <w:t xml:space="preserve"> </w:t>
      </w:r>
      <w:r>
        <w:rPr>
          <w:w w:val="95"/>
        </w:rPr>
        <w:t xml:space="preserve">to </w:t>
      </w:r>
      <w:r>
        <w:rPr>
          <w:spacing w:val="-2"/>
        </w:rPr>
        <w:t>the</w:t>
      </w:r>
      <w:r>
        <w:rPr>
          <w:spacing w:val="-8"/>
        </w:rPr>
        <w:t xml:space="preserve"> </w:t>
      </w:r>
      <w:r>
        <w:rPr>
          <w:spacing w:val="-2"/>
        </w:rPr>
        <w:t>world</w:t>
      </w:r>
      <w:r>
        <w:rPr>
          <w:spacing w:val="-8"/>
        </w:rPr>
        <w:t xml:space="preserve"> </w:t>
      </w:r>
      <w:r>
        <w:rPr>
          <w:spacing w:val="-2"/>
        </w:rPr>
        <w:t>class</w:t>
      </w:r>
      <w:r>
        <w:rPr>
          <w:spacing w:val="-8"/>
        </w:rPr>
        <w:t xml:space="preserve"> </w:t>
      </w:r>
      <w:r>
        <w:rPr>
          <w:spacing w:val="-2"/>
        </w:rPr>
        <w:t>Hunter</w:t>
      </w:r>
      <w:r>
        <w:rPr>
          <w:spacing w:val="-8"/>
        </w:rPr>
        <w:t xml:space="preserve"> </w:t>
      </w:r>
      <w:r>
        <w:rPr>
          <w:spacing w:val="-2"/>
        </w:rPr>
        <w:t>Valley</w:t>
      </w:r>
      <w:r>
        <w:rPr>
          <w:spacing w:val="-8"/>
        </w:rPr>
        <w:t xml:space="preserve"> </w:t>
      </w:r>
      <w:r>
        <w:rPr>
          <w:spacing w:val="-2"/>
        </w:rPr>
        <w:t>coal</w:t>
      </w:r>
      <w:r>
        <w:rPr>
          <w:spacing w:val="-8"/>
        </w:rPr>
        <w:t xml:space="preserve"> </w:t>
      </w:r>
      <w:r>
        <w:rPr>
          <w:spacing w:val="-2"/>
        </w:rPr>
        <w:t>export</w:t>
      </w:r>
      <w:r>
        <w:rPr>
          <w:spacing w:val="-8"/>
        </w:rPr>
        <w:t xml:space="preserve"> </w:t>
      </w:r>
      <w:r>
        <w:rPr>
          <w:spacing w:val="-2"/>
        </w:rPr>
        <w:t>industry</w:t>
      </w:r>
      <w:r>
        <w:rPr>
          <w:spacing w:val="-8"/>
        </w:rPr>
        <w:t xml:space="preserve"> </w:t>
      </w:r>
      <w:r>
        <w:rPr>
          <w:spacing w:val="-2"/>
        </w:rPr>
        <w:t xml:space="preserve">and </w:t>
      </w:r>
      <w:r>
        <w:rPr>
          <w:w w:val="95"/>
        </w:rPr>
        <w:t>vital</w:t>
      </w:r>
      <w:r>
        <w:rPr>
          <w:spacing w:val="-8"/>
          <w:w w:val="95"/>
        </w:rPr>
        <w:t xml:space="preserve"> </w:t>
      </w:r>
      <w:r>
        <w:rPr>
          <w:w w:val="95"/>
        </w:rPr>
        <w:t>agricultural</w:t>
      </w:r>
      <w:r>
        <w:rPr>
          <w:spacing w:val="-8"/>
          <w:w w:val="95"/>
        </w:rPr>
        <w:t xml:space="preserve"> </w:t>
      </w:r>
      <w:r>
        <w:rPr>
          <w:w w:val="95"/>
        </w:rPr>
        <w:t>supply</w:t>
      </w:r>
      <w:r>
        <w:rPr>
          <w:spacing w:val="-8"/>
          <w:w w:val="95"/>
        </w:rPr>
        <w:t xml:space="preserve"> </w:t>
      </w:r>
      <w:r>
        <w:rPr>
          <w:w w:val="95"/>
        </w:rPr>
        <w:t>chains,</w:t>
      </w:r>
      <w:r>
        <w:rPr>
          <w:spacing w:val="-8"/>
          <w:w w:val="95"/>
        </w:rPr>
        <w:t xml:space="preserve"> </w:t>
      </w:r>
      <w:r>
        <w:rPr>
          <w:w w:val="95"/>
        </w:rPr>
        <w:t>both</w:t>
      </w:r>
      <w:r>
        <w:rPr>
          <w:spacing w:val="-8"/>
          <w:w w:val="95"/>
        </w:rPr>
        <w:t xml:space="preserve"> </w:t>
      </w:r>
      <w:r>
        <w:rPr>
          <w:w w:val="95"/>
        </w:rPr>
        <w:t>of</w:t>
      </w:r>
      <w:r>
        <w:rPr>
          <w:spacing w:val="-8"/>
          <w:w w:val="95"/>
        </w:rPr>
        <w:t xml:space="preserve"> </w:t>
      </w:r>
      <w:r>
        <w:rPr>
          <w:w w:val="95"/>
        </w:rPr>
        <w:t>which</w:t>
      </w:r>
      <w:r>
        <w:rPr>
          <w:spacing w:val="-8"/>
          <w:w w:val="95"/>
        </w:rPr>
        <w:t xml:space="preserve"> </w:t>
      </w:r>
      <w:r>
        <w:rPr>
          <w:w w:val="95"/>
        </w:rPr>
        <w:t>rely</w:t>
      </w:r>
      <w:r>
        <w:rPr>
          <w:spacing w:val="-8"/>
          <w:w w:val="95"/>
        </w:rPr>
        <w:t xml:space="preserve"> </w:t>
      </w:r>
      <w:r>
        <w:rPr>
          <w:w w:val="95"/>
        </w:rPr>
        <w:t>on</w:t>
      </w:r>
      <w:r>
        <w:rPr>
          <w:spacing w:val="-8"/>
          <w:w w:val="95"/>
        </w:rPr>
        <w:t xml:space="preserve"> </w:t>
      </w:r>
      <w:r>
        <w:rPr>
          <w:w w:val="95"/>
        </w:rPr>
        <w:t xml:space="preserve">rail </w:t>
      </w:r>
      <w:r>
        <w:t>for</w:t>
      </w:r>
      <w:r>
        <w:rPr>
          <w:spacing w:val="-9"/>
        </w:rPr>
        <w:t xml:space="preserve"> </w:t>
      </w:r>
      <w:r>
        <w:t>bulk</w:t>
      </w:r>
      <w:r>
        <w:rPr>
          <w:spacing w:val="-9"/>
        </w:rPr>
        <w:t xml:space="preserve"> </w:t>
      </w:r>
      <w:r>
        <w:t>movements.</w:t>
      </w:r>
      <w:r>
        <w:rPr>
          <w:spacing w:val="-9"/>
        </w:rPr>
        <w:t xml:space="preserve"> </w:t>
      </w:r>
      <w:r>
        <w:t>Outside</w:t>
      </w:r>
      <w:r>
        <w:rPr>
          <w:spacing w:val="-9"/>
        </w:rPr>
        <w:t xml:space="preserve"> </w:t>
      </w:r>
      <w:r>
        <w:t>these</w:t>
      </w:r>
      <w:r>
        <w:rPr>
          <w:spacing w:val="-9"/>
        </w:rPr>
        <w:t xml:space="preserve"> </w:t>
      </w:r>
      <w:r>
        <w:t>sectors</w:t>
      </w:r>
      <w:r>
        <w:rPr>
          <w:spacing w:val="-9"/>
        </w:rPr>
        <w:t xml:space="preserve"> </w:t>
      </w:r>
      <w:r>
        <w:t>the</w:t>
      </w:r>
      <w:r>
        <w:rPr>
          <w:spacing w:val="-9"/>
        </w:rPr>
        <w:t xml:space="preserve"> </w:t>
      </w:r>
      <w:r>
        <w:t>road network</w:t>
      </w:r>
      <w:r>
        <w:rPr>
          <w:spacing w:val="-2"/>
        </w:rPr>
        <w:t xml:space="preserve"> </w:t>
      </w:r>
      <w:r>
        <w:t>is</w:t>
      </w:r>
      <w:r>
        <w:rPr>
          <w:spacing w:val="-2"/>
        </w:rPr>
        <w:t xml:space="preserve"> </w:t>
      </w:r>
      <w:r>
        <w:t>the</w:t>
      </w:r>
      <w:r>
        <w:rPr>
          <w:spacing w:val="-2"/>
        </w:rPr>
        <w:t xml:space="preserve"> </w:t>
      </w:r>
      <w:r>
        <w:t>backbone</w:t>
      </w:r>
      <w:r>
        <w:rPr>
          <w:spacing w:val="-2"/>
        </w:rPr>
        <w:t xml:space="preserve"> </w:t>
      </w:r>
      <w:r>
        <w:t>of</w:t>
      </w:r>
      <w:r>
        <w:rPr>
          <w:spacing w:val="-2"/>
        </w:rPr>
        <w:t xml:space="preserve"> </w:t>
      </w:r>
      <w:r>
        <w:t>regional</w:t>
      </w:r>
      <w:r>
        <w:rPr>
          <w:spacing w:val="-2"/>
        </w:rPr>
        <w:t xml:space="preserve"> </w:t>
      </w:r>
      <w:r>
        <w:t>transport.</w:t>
      </w:r>
    </w:p>
    <w:p w:rsidR="002C1123" w:rsidRDefault="00F22F94">
      <w:pPr>
        <w:pStyle w:val="BodyText"/>
        <w:spacing w:before="147" w:line="249" w:lineRule="auto"/>
        <w:ind w:left="187"/>
      </w:pPr>
      <w:r>
        <w:t>Duplication</w:t>
      </w:r>
      <w:r>
        <w:rPr>
          <w:spacing w:val="-14"/>
        </w:rPr>
        <w:t xml:space="preserve"> </w:t>
      </w:r>
      <w:r>
        <w:t>of</w:t>
      </w:r>
      <w:r>
        <w:rPr>
          <w:spacing w:val="-14"/>
        </w:rPr>
        <w:t xml:space="preserve"> </w:t>
      </w:r>
      <w:r>
        <w:t>the</w:t>
      </w:r>
      <w:r>
        <w:rPr>
          <w:spacing w:val="-13"/>
        </w:rPr>
        <w:t xml:space="preserve"> </w:t>
      </w:r>
      <w:r>
        <w:t>Pacific</w:t>
      </w:r>
      <w:r>
        <w:rPr>
          <w:spacing w:val="-14"/>
        </w:rPr>
        <w:t xml:space="preserve"> </w:t>
      </w:r>
      <w:r>
        <w:t>Highway</w:t>
      </w:r>
      <w:r>
        <w:rPr>
          <w:spacing w:val="-14"/>
        </w:rPr>
        <w:t xml:space="preserve"> </w:t>
      </w:r>
      <w:r>
        <w:t>and</w:t>
      </w:r>
      <w:r>
        <w:rPr>
          <w:spacing w:val="-13"/>
        </w:rPr>
        <w:t xml:space="preserve"> </w:t>
      </w:r>
      <w:r>
        <w:t>the</w:t>
      </w:r>
      <w:r>
        <w:rPr>
          <w:spacing w:val="-14"/>
        </w:rPr>
        <w:t xml:space="preserve"> </w:t>
      </w:r>
      <w:r>
        <w:t>Princes Highway</w:t>
      </w:r>
      <w:r>
        <w:rPr>
          <w:spacing w:val="-14"/>
        </w:rPr>
        <w:t xml:space="preserve"> </w:t>
      </w:r>
      <w:r>
        <w:t>(to</w:t>
      </w:r>
      <w:r>
        <w:rPr>
          <w:spacing w:val="-14"/>
        </w:rPr>
        <w:t xml:space="preserve"> </w:t>
      </w:r>
      <w:r>
        <w:t>the</w:t>
      </w:r>
      <w:r>
        <w:rPr>
          <w:spacing w:val="-14"/>
        </w:rPr>
        <w:t xml:space="preserve"> </w:t>
      </w:r>
      <w:r>
        <w:t>Jervis</w:t>
      </w:r>
      <w:r>
        <w:rPr>
          <w:spacing w:val="-14"/>
        </w:rPr>
        <w:t xml:space="preserve"> </w:t>
      </w:r>
      <w:r>
        <w:t>Bay</w:t>
      </w:r>
      <w:r>
        <w:rPr>
          <w:spacing w:val="-14"/>
        </w:rPr>
        <w:t xml:space="preserve"> </w:t>
      </w:r>
      <w:r>
        <w:t>turnoff)</w:t>
      </w:r>
      <w:r>
        <w:rPr>
          <w:spacing w:val="-14"/>
        </w:rPr>
        <w:t xml:space="preserve"> </w:t>
      </w:r>
      <w:r>
        <w:t>are</w:t>
      </w:r>
      <w:r>
        <w:rPr>
          <w:spacing w:val="-14"/>
        </w:rPr>
        <w:t xml:space="preserve"> </w:t>
      </w:r>
      <w:r>
        <w:t>critical</w:t>
      </w:r>
      <w:r>
        <w:rPr>
          <w:spacing w:val="-14"/>
        </w:rPr>
        <w:t xml:space="preserve"> </w:t>
      </w:r>
      <w:r>
        <w:t xml:space="preserve">for </w:t>
      </w:r>
      <w:r>
        <w:rPr>
          <w:w w:val="95"/>
        </w:rPr>
        <w:t xml:space="preserve">economic growth along the coast. Inland, freight access </w:t>
      </w:r>
      <w:r>
        <w:t>needs</w:t>
      </w:r>
      <w:r>
        <w:rPr>
          <w:spacing w:val="-7"/>
        </w:rPr>
        <w:t xml:space="preserve"> </w:t>
      </w:r>
      <w:r>
        <w:t>to</w:t>
      </w:r>
      <w:r>
        <w:rPr>
          <w:spacing w:val="-7"/>
        </w:rPr>
        <w:t xml:space="preserve"> </w:t>
      </w:r>
      <w:r>
        <w:t>be</w:t>
      </w:r>
      <w:r>
        <w:rPr>
          <w:spacing w:val="-7"/>
        </w:rPr>
        <w:t xml:space="preserve"> </w:t>
      </w:r>
      <w:r>
        <w:t>improved</w:t>
      </w:r>
      <w:r>
        <w:rPr>
          <w:spacing w:val="-7"/>
        </w:rPr>
        <w:t xml:space="preserve"> </w:t>
      </w:r>
      <w:r>
        <w:t>through</w:t>
      </w:r>
      <w:r>
        <w:rPr>
          <w:spacing w:val="-7"/>
        </w:rPr>
        <w:t xml:space="preserve"> </w:t>
      </w:r>
      <w:r>
        <w:t>a</w:t>
      </w:r>
      <w:r>
        <w:rPr>
          <w:spacing w:val="-7"/>
        </w:rPr>
        <w:t xml:space="preserve"> </w:t>
      </w:r>
      <w:r>
        <w:t>bridge</w:t>
      </w:r>
      <w:r>
        <w:rPr>
          <w:spacing w:val="-7"/>
        </w:rPr>
        <w:t xml:space="preserve"> </w:t>
      </w:r>
      <w:r>
        <w:t xml:space="preserve">replacement </w:t>
      </w:r>
      <w:r>
        <w:rPr>
          <w:w w:val="95"/>
        </w:rPr>
        <w:t xml:space="preserve">program and investments to fix identified bottlenecks on </w:t>
      </w:r>
      <w:r>
        <w:t>both railways and roads.</w:t>
      </w:r>
    </w:p>
    <w:p w:rsidR="002C1123" w:rsidRDefault="00F22F94">
      <w:pPr>
        <w:pStyle w:val="Heading6"/>
        <w:spacing w:before="147"/>
        <w:ind w:left="187"/>
      </w:pPr>
      <w:r>
        <w:rPr>
          <w:color w:val="2E3092"/>
          <w:spacing w:val="-2"/>
        </w:rPr>
        <w:t>Energy</w:t>
      </w:r>
    </w:p>
    <w:p w:rsidR="002C1123" w:rsidRDefault="00F22F94">
      <w:pPr>
        <w:pStyle w:val="BodyText"/>
        <w:spacing w:before="10" w:line="249" w:lineRule="auto"/>
        <w:ind w:left="187" w:right="193"/>
        <w:jc w:val="both"/>
      </w:pPr>
      <w:r>
        <w:rPr>
          <w:w w:val="95"/>
        </w:rPr>
        <w:t>Improving</w:t>
      </w:r>
      <w:r>
        <w:rPr>
          <w:spacing w:val="-5"/>
          <w:w w:val="95"/>
        </w:rPr>
        <w:t xml:space="preserve"> </w:t>
      </w:r>
      <w:r>
        <w:rPr>
          <w:w w:val="95"/>
        </w:rPr>
        <w:t>energy</w:t>
      </w:r>
      <w:r>
        <w:rPr>
          <w:spacing w:val="-5"/>
          <w:w w:val="95"/>
        </w:rPr>
        <w:t xml:space="preserve"> </w:t>
      </w:r>
      <w:r>
        <w:rPr>
          <w:w w:val="95"/>
        </w:rPr>
        <w:t>affordability</w:t>
      </w:r>
      <w:r>
        <w:rPr>
          <w:spacing w:val="-5"/>
          <w:w w:val="95"/>
        </w:rPr>
        <w:t xml:space="preserve"> </w:t>
      </w:r>
      <w:r>
        <w:rPr>
          <w:w w:val="95"/>
        </w:rPr>
        <w:t>and</w:t>
      </w:r>
      <w:r>
        <w:rPr>
          <w:spacing w:val="-5"/>
          <w:w w:val="95"/>
        </w:rPr>
        <w:t xml:space="preserve"> </w:t>
      </w:r>
      <w:r>
        <w:rPr>
          <w:w w:val="95"/>
        </w:rPr>
        <w:t>security</w:t>
      </w:r>
      <w:r>
        <w:rPr>
          <w:spacing w:val="-5"/>
          <w:w w:val="95"/>
        </w:rPr>
        <w:t xml:space="preserve"> </w:t>
      </w:r>
      <w:r>
        <w:rPr>
          <w:w w:val="95"/>
        </w:rPr>
        <w:t>will</w:t>
      </w:r>
      <w:r>
        <w:rPr>
          <w:spacing w:val="-5"/>
          <w:w w:val="95"/>
        </w:rPr>
        <w:t xml:space="preserve"> </w:t>
      </w:r>
      <w:r>
        <w:rPr>
          <w:w w:val="95"/>
        </w:rPr>
        <w:t>require significant</w:t>
      </w:r>
      <w:r>
        <w:rPr>
          <w:spacing w:val="-8"/>
          <w:w w:val="95"/>
        </w:rPr>
        <w:t xml:space="preserve"> </w:t>
      </w:r>
      <w:r>
        <w:rPr>
          <w:w w:val="95"/>
        </w:rPr>
        <w:t>reform</w:t>
      </w:r>
      <w:r>
        <w:rPr>
          <w:spacing w:val="-8"/>
          <w:w w:val="95"/>
        </w:rPr>
        <w:t xml:space="preserve"> </w:t>
      </w:r>
      <w:r>
        <w:rPr>
          <w:w w:val="95"/>
        </w:rPr>
        <w:t>in</w:t>
      </w:r>
      <w:r>
        <w:rPr>
          <w:spacing w:val="-8"/>
          <w:w w:val="95"/>
        </w:rPr>
        <w:t xml:space="preserve"> </w:t>
      </w:r>
      <w:r>
        <w:rPr>
          <w:w w:val="95"/>
        </w:rPr>
        <w:t>the</w:t>
      </w:r>
      <w:r>
        <w:rPr>
          <w:spacing w:val="-8"/>
          <w:w w:val="95"/>
        </w:rPr>
        <w:t xml:space="preserve"> </w:t>
      </w:r>
      <w:r>
        <w:rPr>
          <w:w w:val="95"/>
        </w:rPr>
        <w:t>energy</w:t>
      </w:r>
      <w:r>
        <w:rPr>
          <w:spacing w:val="-8"/>
          <w:w w:val="95"/>
        </w:rPr>
        <w:t xml:space="preserve"> </w:t>
      </w:r>
      <w:r>
        <w:rPr>
          <w:w w:val="95"/>
        </w:rPr>
        <w:t>sector.</w:t>
      </w:r>
      <w:r>
        <w:rPr>
          <w:spacing w:val="-8"/>
          <w:w w:val="95"/>
        </w:rPr>
        <w:t xml:space="preserve"> </w:t>
      </w:r>
      <w:r>
        <w:rPr>
          <w:w w:val="95"/>
        </w:rPr>
        <w:t>Changes</w:t>
      </w:r>
      <w:r>
        <w:rPr>
          <w:spacing w:val="-8"/>
          <w:w w:val="95"/>
        </w:rPr>
        <w:t xml:space="preserve"> </w:t>
      </w:r>
      <w:r>
        <w:rPr>
          <w:w w:val="95"/>
        </w:rPr>
        <w:t>to</w:t>
      </w:r>
      <w:r>
        <w:rPr>
          <w:spacing w:val="-8"/>
          <w:w w:val="95"/>
        </w:rPr>
        <w:t xml:space="preserve"> </w:t>
      </w:r>
      <w:r>
        <w:rPr>
          <w:w w:val="95"/>
        </w:rPr>
        <w:t>the regulatory process are expected to better balance the interests of network businesses and electricity users.</w:t>
      </w:r>
    </w:p>
    <w:p w:rsidR="002C1123" w:rsidRDefault="00F22F94">
      <w:pPr>
        <w:pStyle w:val="BodyText"/>
        <w:spacing w:before="108" w:line="249" w:lineRule="auto"/>
        <w:ind w:left="252" w:right="726"/>
      </w:pPr>
      <w:r>
        <w:br w:type="column"/>
      </w:r>
      <w:r>
        <w:rPr>
          <w:w w:val="95"/>
        </w:rPr>
        <w:t xml:space="preserve">Infrastructure NSW supports the Commission of Audit’s </w:t>
      </w:r>
      <w:r>
        <w:t>recommendation</w:t>
      </w:r>
      <w:r>
        <w:rPr>
          <w:spacing w:val="-7"/>
        </w:rPr>
        <w:t xml:space="preserve"> </w:t>
      </w:r>
      <w:r>
        <w:t>that</w:t>
      </w:r>
      <w:r>
        <w:rPr>
          <w:spacing w:val="-7"/>
        </w:rPr>
        <w:t xml:space="preserve"> </w:t>
      </w:r>
      <w:r>
        <w:t>the</w:t>
      </w:r>
      <w:r>
        <w:rPr>
          <w:spacing w:val="-7"/>
        </w:rPr>
        <w:t xml:space="preserve"> </w:t>
      </w:r>
      <w:r>
        <w:t>Government</w:t>
      </w:r>
      <w:r>
        <w:rPr>
          <w:spacing w:val="-7"/>
        </w:rPr>
        <w:t xml:space="preserve"> </w:t>
      </w:r>
      <w:r>
        <w:t>undertakes</w:t>
      </w:r>
      <w:r>
        <w:rPr>
          <w:spacing w:val="-7"/>
        </w:rPr>
        <w:t xml:space="preserve"> </w:t>
      </w:r>
      <w:r>
        <w:t>a study</w:t>
      </w:r>
      <w:r>
        <w:rPr>
          <w:spacing w:val="-4"/>
        </w:rPr>
        <w:t xml:space="preserve"> </w:t>
      </w:r>
      <w:r>
        <w:t>that</w:t>
      </w:r>
      <w:r>
        <w:rPr>
          <w:spacing w:val="-4"/>
        </w:rPr>
        <w:t xml:space="preserve"> </w:t>
      </w:r>
      <w:r>
        <w:t>considers</w:t>
      </w:r>
      <w:r>
        <w:rPr>
          <w:spacing w:val="-4"/>
        </w:rPr>
        <w:t xml:space="preserve"> </w:t>
      </w:r>
      <w:r>
        <w:t>the</w:t>
      </w:r>
      <w:r>
        <w:rPr>
          <w:spacing w:val="-4"/>
        </w:rPr>
        <w:t xml:space="preserve"> </w:t>
      </w:r>
      <w:r>
        <w:t>scope</w:t>
      </w:r>
      <w:r>
        <w:rPr>
          <w:spacing w:val="-4"/>
        </w:rPr>
        <w:t xml:space="preserve"> </w:t>
      </w:r>
      <w:r>
        <w:t>and</w:t>
      </w:r>
      <w:r>
        <w:rPr>
          <w:spacing w:val="-4"/>
        </w:rPr>
        <w:t xml:space="preserve"> </w:t>
      </w:r>
      <w:r>
        <w:t>implementation strategy</w:t>
      </w:r>
      <w:r>
        <w:rPr>
          <w:spacing w:val="-12"/>
        </w:rPr>
        <w:t xml:space="preserve"> </w:t>
      </w:r>
      <w:r>
        <w:t>for</w:t>
      </w:r>
      <w:r>
        <w:rPr>
          <w:spacing w:val="-12"/>
        </w:rPr>
        <w:t xml:space="preserve"> </w:t>
      </w:r>
      <w:r>
        <w:t>privatisation</w:t>
      </w:r>
      <w:r>
        <w:rPr>
          <w:spacing w:val="-12"/>
        </w:rPr>
        <w:t xml:space="preserve"> </w:t>
      </w:r>
      <w:r>
        <w:t>of</w:t>
      </w:r>
      <w:r>
        <w:rPr>
          <w:spacing w:val="-12"/>
        </w:rPr>
        <w:t xml:space="preserve"> </w:t>
      </w:r>
      <w:r>
        <w:t>the</w:t>
      </w:r>
      <w:r>
        <w:rPr>
          <w:spacing w:val="-12"/>
        </w:rPr>
        <w:t xml:space="preserve"> </w:t>
      </w:r>
      <w:r>
        <w:t>distribution</w:t>
      </w:r>
      <w:r>
        <w:rPr>
          <w:spacing w:val="-12"/>
        </w:rPr>
        <w:t xml:space="preserve"> </w:t>
      </w:r>
      <w:r>
        <w:t>networks, and</w:t>
      </w:r>
      <w:r>
        <w:rPr>
          <w:spacing w:val="-5"/>
        </w:rPr>
        <w:t xml:space="preserve"> </w:t>
      </w:r>
      <w:r>
        <w:t>also</w:t>
      </w:r>
      <w:r>
        <w:rPr>
          <w:spacing w:val="-5"/>
        </w:rPr>
        <w:t xml:space="preserve"> </w:t>
      </w:r>
      <w:r>
        <w:t>supports</w:t>
      </w:r>
      <w:r>
        <w:rPr>
          <w:spacing w:val="-5"/>
        </w:rPr>
        <w:t xml:space="preserve"> </w:t>
      </w:r>
      <w:r>
        <w:t>consideration</w:t>
      </w:r>
      <w:r>
        <w:rPr>
          <w:spacing w:val="-5"/>
        </w:rPr>
        <w:t xml:space="preserve"> </w:t>
      </w:r>
      <w:r>
        <w:t>of</w:t>
      </w:r>
      <w:r>
        <w:rPr>
          <w:spacing w:val="-5"/>
        </w:rPr>
        <w:t xml:space="preserve"> </w:t>
      </w:r>
      <w:r>
        <w:t>options</w:t>
      </w:r>
      <w:r>
        <w:rPr>
          <w:spacing w:val="-5"/>
        </w:rPr>
        <w:t xml:space="preserve"> </w:t>
      </w:r>
      <w:r>
        <w:t>for</w:t>
      </w:r>
      <w:r>
        <w:rPr>
          <w:spacing w:val="-5"/>
        </w:rPr>
        <w:t xml:space="preserve"> </w:t>
      </w:r>
      <w:r>
        <w:t>the Government’s</w:t>
      </w:r>
      <w:r>
        <w:rPr>
          <w:spacing w:val="-1"/>
        </w:rPr>
        <w:t xml:space="preserve"> </w:t>
      </w:r>
      <w:r>
        <w:t>stake</w:t>
      </w:r>
      <w:r>
        <w:rPr>
          <w:spacing w:val="-1"/>
        </w:rPr>
        <w:t xml:space="preserve"> </w:t>
      </w:r>
      <w:r>
        <w:t>in</w:t>
      </w:r>
      <w:r>
        <w:rPr>
          <w:spacing w:val="-1"/>
        </w:rPr>
        <w:t xml:space="preserve"> </w:t>
      </w:r>
      <w:r>
        <w:t>Snowy</w:t>
      </w:r>
      <w:r>
        <w:rPr>
          <w:spacing w:val="-1"/>
        </w:rPr>
        <w:t xml:space="preserve"> </w:t>
      </w:r>
      <w:r>
        <w:t>Hydro.</w:t>
      </w:r>
    </w:p>
    <w:p w:rsidR="002C1123" w:rsidRDefault="00F22F94">
      <w:pPr>
        <w:pStyle w:val="Heading6"/>
        <w:spacing w:before="147"/>
        <w:ind w:left="252"/>
      </w:pPr>
      <w:r>
        <w:rPr>
          <w:color w:val="2E3092"/>
          <w:spacing w:val="-2"/>
        </w:rPr>
        <w:t>Water</w:t>
      </w:r>
    </w:p>
    <w:p w:rsidR="002C1123" w:rsidRDefault="00F22F94">
      <w:pPr>
        <w:pStyle w:val="BodyText"/>
        <w:spacing w:before="10" w:line="249" w:lineRule="auto"/>
        <w:ind w:left="252" w:right="962"/>
      </w:pPr>
      <w:r>
        <w:t>Infrastructure</w:t>
      </w:r>
      <w:r>
        <w:rPr>
          <w:spacing w:val="-14"/>
        </w:rPr>
        <w:t xml:space="preserve"> </w:t>
      </w:r>
      <w:r>
        <w:t>NSW</w:t>
      </w:r>
      <w:r>
        <w:rPr>
          <w:spacing w:val="-14"/>
        </w:rPr>
        <w:t xml:space="preserve"> </w:t>
      </w:r>
      <w:r>
        <w:t>recommends</w:t>
      </w:r>
      <w:r>
        <w:rPr>
          <w:spacing w:val="-14"/>
        </w:rPr>
        <w:t xml:space="preserve"> </w:t>
      </w:r>
      <w:r>
        <w:t>a</w:t>
      </w:r>
      <w:r>
        <w:rPr>
          <w:spacing w:val="-14"/>
        </w:rPr>
        <w:t xml:space="preserve"> </w:t>
      </w:r>
      <w:r>
        <w:t xml:space="preserve">comprehensive </w:t>
      </w:r>
      <w:r>
        <w:rPr>
          <w:w w:val="95"/>
        </w:rPr>
        <w:t xml:space="preserve">program of new and upgraded dams across regional </w:t>
      </w:r>
      <w:r>
        <w:t>NSW</w:t>
      </w:r>
      <w:r>
        <w:rPr>
          <w:spacing w:val="-7"/>
        </w:rPr>
        <w:t xml:space="preserve"> </w:t>
      </w:r>
      <w:r>
        <w:t>to</w:t>
      </w:r>
      <w:r>
        <w:rPr>
          <w:spacing w:val="-7"/>
        </w:rPr>
        <w:t xml:space="preserve"> </w:t>
      </w:r>
      <w:r>
        <w:t>mitigate</w:t>
      </w:r>
      <w:r>
        <w:rPr>
          <w:spacing w:val="-7"/>
        </w:rPr>
        <w:t xml:space="preserve"> </w:t>
      </w:r>
      <w:r>
        <w:t>the</w:t>
      </w:r>
      <w:r>
        <w:rPr>
          <w:spacing w:val="-7"/>
        </w:rPr>
        <w:t xml:space="preserve"> </w:t>
      </w:r>
      <w:r>
        <w:t>impact</w:t>
      </w:r>
      <w:r>
        <w:rPr>
          <w:spacing w:val="-7"/>
        </w:rPr>
        <w:t xml:space="preserve"> </w:t>
      </w:r>
      <w:r>
        <w:t>of</w:t>
      </w:r>
      <w:r>
        <w:rPr>
          <w:spacing w:val="-7"/>
        </w:rPr>
        <w:t xml:space="preserve"> </w:t>
      </w:r>
      <w:r>
        <w:t>future</w:t>
      </w:r>
      <w:r>
        <w:rPr>
          <w:spacing w:val="-7"/>
        </w:rPr>
        <w:t xml:space="preserve"> </w:t>
      </w:r>
      <w:r>
        <w:t>droughts.</w:t>
      </w:r>
    </w:p>
    <w:p w:rsidR="002C1123" w:rsidRDefault="00F22F94">
      <w:pPr>
        <w:pStyle w:val="BodyText"/>
        <w:spacing w:before="2" w:line="249" w:lineRule="auto"/>
        <w:ind w:left="252" w:right="962"/>
      </w:pPr>
      <w:r>
        <w:t>Additionally,</w:t>
      </w:r>
      <w:r>
        <w:rPr>
          <w:spacing w:val="-14"/>
        </w:rPr>
        <w:t xml:space="preserve"> </w:t>
      </w:r>
      <w:r>
        <w:t>regional</w:t>
      </w:r>
      <w:r>
        <w:rPr>
          <w:spacing w:val="-14"/>
        </w:rPr>
        <w:t xml:space="preserve"> </w:t>
      </w:r>
      <w:r>
        <w:t>town</w:t>
      </w:r>
      <w:r>
        <w:rPr>
          <w:spacing w:val="-14"/>
        </w:rPr>
        <w:t xml:space="preserve"> </w:t>
      </w:r>
      <w:r>
        <w:t>water</w:t>
      </w:r>
      <w:r>
        <w:rPr>
          <w:spacing w:val="-14"/>
        </w:rPr>
        <w:t xml:space="preserve"> </w:t>
      </w:r>
      <w:r>
        <w:t>and</w:t>
      </w:r>
      <w:r>
        <w:rPr>
          <w:spacing w:val="-14"/>
        </w:rPr>
        <w:t xml:space="preserve"> </w:t>
      </w:r>
      <w:r>
        <w:t xml:space="preserve">wastewater </w:t>
      </w:r>
      <w:r>
        <w:rPr>
          <w:w w:val="95"/>
        </w:rPr>
        <w:t>systems should be brought up to national standards.</w:t>
      </w:r>
    </w:p>
    <w:p w:rsidR="002C1123" w:rsidRDefault="00F22F94">
      <w:pPr>
        <w:pStyle w:val="BodyText"/>
        <w:spacing w:before="144" w:line="249" w:lineRule="auto"/>
        <w:ind w:left="252" w:right="1200"/>
      </w:pPr>
      <w:r>
        <w:rPr>
          <w:w w:val="95"/>
        </w:rPr>
        <w:t>Augmentation</w:t>
      </w:r>
      <w:r>
        <w:rPr>
          <w:spacing w:val="-5"/>
          <w:w w:val="95"/>
        </w:rPr>
        <w:t xml:space="preserve"> </w:t>
      </w:r>
      <w:r>
        <w:rPr>
          <w:w w:val="95"/>
        </w:rPr>
        <w:t>of</w:t>
      </w:r>
      <w:r>
        <w:rPr>
          <w:spacing w:val="-5"/>
          <w:w w:val="95"/>
        </w:rPr>
        <w:t xml:space="preserve"> </w:t>
      </w:r>
      <w:r>
        <w:rPr>
          <w:w w:val="95"/>
        </w:rPr>
        <w:t>water</w:t>
      </w:r>
      <w:r>
        <w:rPr>
          <w:spacing w:val="-5"/>
          <w:w w:val="95"/>
        </w:rPr>
        <w:t xml:space="preserve"> </w:t>
      </w:r>
      <w:r>
        <w:rPr>
          <w:w w:val="95"/>
        </w:rPr>
        <w:t>supply</w:t>
      </w:r>
      <w:r>
        <w:rPr>
          <w:spacing w:val="-5"/>
          <w:w w:val="95"/>
        </w:rPr>
        <w:t xml:space="preserve"> </w:t>
      </w:r>
      <w:r>
        <w:rPr>
          <w:w w:val="95"/>
        </w:rPr>
        <w:t>in</w:t>
      </w:r>
      <w:r>
        <w:rPr>
          <w:spacing w:val="-5"/>
          <w:w w:val="95"/>
        </w:rPr>
        <w:t xml:space="preserve"> </w:t>
      </w:r>
      <w:r>
        <w:rPr>
          <w:w w:val="95"/>
        </w:rPr>
        <w:t>the</w:t>
      </w:r>
      <w:r>
        <w:rPr>
          <w:spacing w:val="-5"/>
          <w:w w:val="95"/>
        </w:rPr>
        <w:t xml:space="preserve"> </w:t>
      </w:r>
      <w:r>
        <w:rPr>
          <w:w w:val="95"/>
        </w:rPr>
        <w:t>Hunter</w:t>
      </w:r>
      <w:r>
        <w:rPr>
          <w:spacing w:val="-5"/>
          <w:w w:val="95"/>
        </w:rPr>
        <w:t xml:space="preserve"> </w:t>
      </w:r>
      <w:r>
        <w:rPr>
          <w:w w:val="95"/>
        </w:rPr>
        <w:t xml:space="preserve">region </w:t>
      </w:r>
      <w:r>
        <w:t>is</w:t>
      </w:r>
      <w:r>
        <w:rPr>
          <w:spacing w:val="-14"/>
        </w:rPr>
        <w:t xml:space="preserve"> </w:t>
      </w:r>
      <w:r>
        <w:t>needed</w:t>
      </w:r>
      <w:r>
        <w:rPr>
          <w:spacing w:val="-14"/>
        </w:rPr>
        <w:t xml:space="preserve"> </w:t>
      </w:r>
      <w:r>
        <w:t>within</w:t>
      </w:r>
      <w:r>
        <w:rPr>
          <w:spacing w:val="-14"/>
        </w:rPr>
        <w:t xml:space="preserve"> </w:t>
      </w:r>
      <w:r>
        <w:t>the</w:t>
      </w:r>
      <w:r>
        <w:rPr>
          <w:spacing w:val="-14"/>
        </w:rPr>
        <w:t xml:space="preserve"> </w:t>
      </w:r>
      <w:r>
        <w:t>next</w:t>
      </w:r>
      <w:r>
        <w:rPr>
          <w:spacing w:val="-14"/>
        </w:rPr>
        <w:t xml:space="preserve"> </w:t>
      </w:r>
      <w:r>
        <w:t>10</w:t>
      </w:r>
      <w:r>
        <w:rPr>
          <w:spacing w:val="-14"/>
        </w:rPr>
        <w:t xml:space="preserve"> </w:t>
      </w:r>
      <w:r>
        <w:t>years,</w:t>
      </w:r>
      <w:r>
        <w:rPr>
          <w:spacing w:val="-14"/>
        </w:rPr>
        <w:t xml:space="preserve"> </w:t>
      </w:r>
      <w:r>
        <w:t>with</w:t>
      </w:r>
      <w:r>
        <w:rPr>
          <w:spacing w:val="-14"/>
        </w:rPr>
        <w:t xml:space="preserve"> </w:t>
      </w:r>
      <w:r>
        <w:t>potential augmentation</w:t>
      </w:r>
      <w:r>
        <w:rPr>
          <w:spacing w:val="-4"/>
        </w:rPr>
        <w:t xml:space="preserve"> </w:t>
      </w:r>
      <w:r>
        <w:t>in</w:t>
      </w:r>
      <w:r>
        <w:rPr>
          <w:spacing w:val="-4"/>
        </w:rPr>
        <w:t xml:space="preserve"> </w:t>
      </w:r>
      <w:r>
        <w:t>Sydney</w:t>
      </w:r>
      <w:r>
        <w:rPr>
          <w:spacing w:val="-4"/>
        </w:rPr>
        <w:t xml:space="preserve"> </w:t>
      </w:r>
      <w:r>
        <w:t>before</w:t>
      </w:r>
      <w:r>
        <w:rPr>
          <w:spacing w:val="-4"/>
        </w:rPr>
        <w:t xml:space="preserve"> </w:t>
      </w:r>
      <w:r>
        <w:t>2032.</w:t>
      </w:r>
    </w:p>
    <w:p w:rsidR="002C1123" w:rsidRDefault="00F22F94">
      <w:pPr>
        <w:pStyle w:val="BodyText"/>
        <w:spacing w:before="144" w:line="249" w:lineRule="auto"/>
        <w:ind w:left="252" w:right="726"/>
      </w:pPr>
      <w:r>
        <w:rPr>
          <w:w w:val="95"/>
        </w:rPr>
        <w:t>The</w:t>
      </w:r>
      <w:r>
        <w:rPr>
          <w:spacing w:val="-6"/>
          <w:w w:val="95"/>
        </w:rPr>
        <w:t xml:space="preserve"> </w:t>
      </w:r>
      <w:r>
        <w:rPr>
          <w:w w:val="95"/>
        </w:rPr>
        <w:t>NSW</w:t>
      </w:r>
      <w:r>
        <w:rPr>
          <w:spacing w:val="-6"/>
          <w:w w:val="95"/>
        </w:rPr>
        <w:t xml:space="preserve"> </w:t>
      </w:r>
      <w:r>
        <w:rPr>
          <w:w w:val="95"/>
        </w:rPr>
        <w:t>Government</w:t>
      </w:r>
      <w:r>
        <w:rPr>
          <w:spacing w:val="-6"/>
          <w:w w:val="95"/>
        </w:rPr>
        <w:t xml:space="preserve"> </w:t>
      </w:r>
      <w:r>
        <w:rPr>
          <w:w w:val="95"/>
        </w:rPr>
        <w:t>should</w:t>
      </w:r>
      <w:r>
        <w:rPr>
          <w:spacing w:val="-6"/>
          <w:w w:val="95"/>
        </w:rPr>
        <w:t xml:space="preserve"> </w:t>
      </w:r>
      <w:r>
        <w:rPr>
          <w:w w:val="95"/>
        </w:rPr>
        <w:t>review</w:t>
      </w:r>
      <w:r>
        <w:rPr>
          <w:spacing w:val="-6"/>
          <w:w w:val="95"/>
        </w:rPr>
        <w:t xml:space="preserve"> </w:t>
      </w:r>
      <w:r>
        <w:rPr>
          <w:w w:val="95"/>
        </w:rPr>
        <w:t>flood</w:t>
      </w:r>
      <w:r>
        <w:rPr>
          <w:spacing w:val="-6"/>
          <w:w w:val="95"/>
        </w:rPr>
        <w:t xml:space="preserve"> </w:t>
      </w:r>
      <w:r>
        <w:rPr>
          <w:w w:val="95"/>
        </w:rPr>
        <w:t xml:space="preserve">mitigation options available in the Hawkesbury Nepean Valley, </w:t>
      </w:r>
      <w:r>
        <w:t>including</w:t>
      </w:r>
      <w:r>
        <w:rPr>
          <w:spacing w:val="-13"/>
        </w:rPr>
        <w:t xml:space="preserve"> </w:t>
      </w:r>
      <w:r>
        <w:t>raising</w:t>
      </w:r>
      <w:r>
        <w:rPr>
          <w:spacing w:val="-13"/>
        </w:rPr>
        <w:t xml:space="preserve"> </w:t>
      </w:r>
      <w:r>
        <w:t>the</w:t>
      </w:r>
      <w:r>
        <w:rPr>
          <w:spacing w:val="-13"/>
        </w:rPr>
        <w:t xml:space="preserve"> </w:t>
      </w:r>
      <w:r>
        <w:t>Warragamba</w:t>
      </w:r>
      <w:r>
        <w:rPr>
          <w:spacing w:val="-13"/>
        </w:rPr>
        <w:t xml:space="preserve"> </w:t>
      </w:r>
      <w:r>
        <w:t>Dam</w:t>
      </w:r>
      <w:r>
        <w:rPr>
          <w:spacing w:val="-13"/>
        </w:rPr>
        <w:t xml:space="preserve"> </w:t>
      </w:r>
      <w:r>
        <w:t>wall</w:t>
      </w:r>
      <w:r>
        <w:rPr>
          <w:spacing w:val="-13"/>
        </w:rPr>
        <w:t xml:space="preserve"> </w:t>
      </w:r>
      <w:r>
        <w:t>and upgrading</w:t>
      </w:r>
      <w:r>
        <w:rPr>
          <w:spacing w:val="-3"/>
        </w:rPr>
        <w:t xml:space="preserve"> </w:t>
      </w:r>
      <w:r>
        <w:t>roads</w:t>
      </w:r>
      <w:r>
        <w:rPr>
          <w:spacing w:val="-3"/>
        </w:rPr>
        <w:t xml:space="preserve"> </w:t>
      </w:r>
      <w:r>
        <w:t>in</w:t>
      </w:r>
      <w:r>
        <w:rPr>
          <w:spacing w:val="-3"/>
        </w:rPr>
        <w:t xml:space="preserve"> </w:t>
      </w:r>
      <w:r>
        <w:t>the</w:t>
      </w:r>
      <w:r>
        <w:rPr>
          <w:spacing w:val="-3"/>
        </w:rPr>
        <w:t xml:space="preserve"> </w:t>
      </w:r>
      <w:r>
        <w:t>valley.</w:t>
      </w:r>
    </w:p>
    <w:p w:rsidR="002C1123" w:rsidRDefault="00F22F94">
      <w:pPr>
        <w:pStyle w:val="Heading6"/>
        <w:spacing w:before="145"/>
        <w:ind w:left="252"/>
      </w:pPr>
      <w:r>
        <w:rPr>
          <w:color w:val="2E3092"/>
        </w:rPr>
        <w:t>Health</w:t>
      </w:r>
      <w:r>
        <w:rPr>
          <w:color w:val="2E3092"/>
          <w:spacing w:val="-14"/>
        </w:rPr>
        <w:t xml:space="preserve"> </w:t>
      </w:r>
      <w:r>
        <w:rPr>
          <w:color w:val="2E3092"/>
          <w:spacing w:val="-2"/>
        </w:rPr>
        <w:t>Infrastructure</w:t>
      </w:r>
    </w:p>
    <w:p w:rsidR="002C1123" w:rsidRDefault="00F22F94">
      <w:pPr>
        <w:pStyle w:val="BodyText"/>
        <w:spacing w:before="10" w:line="249" w:lineRule="auto"/>
        <w:ind w:left="252" w:right="962"/>
      </w:pPr>
      <w:r>
        <w:rPr>
          <w:w w:val="95"/>
        </w:rPr>
        <w:t>NSW’s</w:t>
      </w:r>
      <w:r>
        <w:rPr>
          <w:spacing w:val="-2"/>
          <w:w w:val="95"/>
        </w:rPr>
        <w:t xml:space="preserve"> </w:t>
      </w:r>
      <w:r>
        <w:rPr>
          <w:w w:val="95"/>
        </w:rPr>
        <w:t>health</w:t>
      </w:r>
      <w:r>
        <w:rPr>
          <w:spacing w:val="-2"/>
          <w:w w:val="95"/>
        </w:rPr>
        <w:t xml:space="preserve"> </w:t>
      </w:r>
      <w:r>
        <w:rPr>
          <w:w w:val="95"/>
        </w:rPr>
        <w:t>system</w:t>
      </w:r>
      <w:r>
        <w:rPr>
          <w:spacing w:val="-3"/>
          <w:w w:val="95"/>
        </w:rPr>
        <w:t xml:space="preserve"> </w:t>
      </w:r>
      <w:r>
        <w:rPr>
          <w:w w:val="95"/>
        </w:rPr>
        <w:t>faces</w:t>
      </w:r>
      <w:r>
        <w:rPr>
          <w:spacing w:val="-2"/>
          <w:w w:val="95"/>
        </w:rPr>
        <w:t xml:space="preserve"> </w:t>
      </w:r>
      <w:r>
        <w:rPr>
          <w:w w:val="95"/>
        </w:rPr>
        <w:t>growing</w:t>
      </w:r>
      <w:r>
        <w:rPr>
          <w:spacing w:val="-2"/>
          <w:w w:val="95"/>
        </w:rPr>
        <w:t xml:space="preserve"> </w:t>
      </w:r>
      <w:r>
        <w:rPr>
          <w:w w:val="95"/>
        </w:rPr>
        <w:t>demand</w:t>
      </w:r>
      <w:r>
        <w:rPr>
          <w:spacing w:val="-2"/>
          <w:w w:val="95"/>
        </w:rPr>
        <w:t xml:space="preserve"> </w:t>
      </w:r>
      <w:r>
        <w:rPr>
          <w:w w:val="95"/>
        </w:rPr>
        <w:t>from</w:t>
      </w:r>
      <w:r>
        <w:rPr>
          <w:spacing w:val="-3"/>
          <w:w w:val="95"/>
        </w:rPr>
        <w:t xml:space="preserve"> </w:t>
      </w:r>
      <w:r>
        <w:rPr>
          <w:w w:val="95"/>
        </w:rPr>
        <w:t xml:space="preserve">the </w:t>
      </w:r>
      <w:r>
        <w:t>ageing</w:t>
      </w:r>
      <w:r>
        <w:rPr>
          <w:spacing w:val="-14"/>
        </w:rPr>
        <w:t xml:space="preserve"> </w:t>
      </w:r>
      <w:r>
        <w:t>population,</w:t>
      </w:r>
      <w:r>
        <w:rPr>
          <w:spacing w:val="-14"/>
        </w:rPr>
        <w:t xml:space="preserve"> </w:t>
      </w:r>
      <w:r>
        <w:t>lifestyle</w:t>
      </w:r>
      <w:r>
        <w:rPr>
          <w:spacing w:val="-14"/>
        </w:rPr>
        <w:t xml:space="preserve"> </w:t>
      </w:r>
      <w:r>
        <w:t>diseases</w:t>
      </w:r>
      <w:r>
        <w:rPr>
          <w:spacing w:val="-14"/>
        </w:rPr>
        <w:t xml:space="preserve"> </w:t>
      </w:r>
      <w:r>
        <w:t>and</w:t>
      </w:r>
      <w:r>
        <w:rPr>
          <w:spacing w:val="-14"/>
        </w:rPr>
        <w:t xml:space="preserve"> </w:t>
      </w:r>
      <w:r>
        <w:t>new</w:t>
      </w:r>
      <w:r>
        <w:rPr>
          <w:spacing w:val="-14"/>
        </w:rPr>
        <w:t xml:space="preserve"> </w:t>
      </w:r>
      <w:r>
        <w:t>care technologies.</w:t>
      </w:r>
      <w:r>
        <w:rPr>
          <w:spacing w:val="-14"/>
        </w:rPr>
        <w:t xml:space="preserve"> </w:t>
      </w:r>
      <w:r>
        <w:t>This</w:t>
      </w:r>
      <w:r>
        <w:rPr>
          <w:spacing w:val="-14"/>
        </w:rPr>
        <w:t xml:space="preserve"> </w:t>
      </w:r>
      <w:r>
        <w:t>will</w:t>
      </w:r>
      <w:r>
        <w:rPr>
          <w:spacing w:val="-14"/>
        </w:rPr>
        <w:t xml:space="preserve"> </w:t>
      </w:r>
      <w:r>
        <w:t>require</w:t>
      </w:r>
      <w:r>
        <w:rPr>
          <w:spacing w:val="-14"/>
        </w:rPr>
        <w:t xml:space="preserve"> </w:t>
      </w:r>
      <w:r>
        <w:t>new</w:t>
      </w:r>
      <w:r>
        <w:rPr>
          <w:spacing w:val="-14"/>
        </w:rPr>
        <w:t xml:space="preserve"> </w:t>
      </w:r>
      <w:r>
        <w:t>models</w:t>
      </w:r>
      <w:r>
        <w:rPr>
          <w:spacing w:val="-14"/>
        </w:rPr>
        <w:t xml:space="preserve"> </w:t>
      </w:r>
      <w:r>
        <w:t>of</w:t>
      </w:r>
      <w:r>
        <w:rPr>
          <w:spacing w:val="-14"/>
        </w:rPr>
        <w:t xml:space="preserve"> </w:t>
      </w:r>
      <w:r>
        <w:t>care, including</w:t>
      </w:r>
      <w:r>
        <w:rPr>
          <w:spacing w:val="-13"/>
        </w:rPr>
        <w:t xml:space="preserve"> </w:t>
      </w:r>
      <w:r>
        <w:t>more</w:t>
      </w:r>
      <w:r>
        <w:rPr>
          <w:spacing w:val="-13"/>
        </w:rPr>
        <w:t xml:space="preserve"> </w:t>
      </w:r>
      <w:r>
        <w:t>beds</w:t>
      </w:r>
      <w:r>
        <w:rPr>
          <w:spacing w:val="-13"/>
        </w:rPr>
        <w:t xml:space="preserve"> </w:t>
      </w:r>
      <w:r>
        <w:t>in</w:t>
      </w:r>
      <w:r>
        <w:rPr>
          <w:spacing w:val="-13"/>
        </w:rPr>
        <w:t xml:space="preserve"> </w:t>
      </w:r>
      <w:r>
        <w:t>smaller,</w:t>
      </w:r>
      <w:r>
        <w:rPr>
          <w:spacing w:val="-13"/>
        </w:rPr>
        <w:t xml:space="preserve"> </w:t>
      </w:r>
      <w:r>
        <w:t>specialist</w:t>
      </w:r>
      <w:r>
        <w:rPr>
          <w:spacing w:val="-13"/>
        </w:rPr>
        <w:t xml:space="preserve"> </w:t>
      </w:r>
      <w:r>
        <w:t>medical facilities</w:t>
      </w:r>
      <w:r>
        <w:rPr>
          <w:spacing w:val="-14"/>
        </w:rPr>
        <w:t xml:space="preserve"> </w:t>
      </w:r>
      <w:r>
        <w:t>and</w:t>
      </w:r>
      <w:r>
        <w:rPr>
          <w:spacing w:val="-14"/>
        </w:rPr>
        <w:t xml:space="preserve"> </w:t>
      </w:r>
      <w:r>
        <w:t>repurposing</w:t>
      </w:r>
      <w:r>
        <w:rPr>
          <w:spacing w:val="-14"/>
        </w:rPr>
        <w:t xml:space="preserve"> </w:t>
      </w:r>
      <w:r>
        <w:t>community</w:t>
      </w:r>
      <w:r>
        <w:rPr>
          <w:spacing w:val="-14"/>
        </w:rPr>
        <w:t xml:space="preserve"> </w:t>
      </w:r>
      <w:r>
        <w:t>health</w:t>
      </w:r>
      <w:r>
        <w:rPr>
          <w:spacing w:val="-14"/>
        </w:rPr>
        <w:t xml:space="preserve"> </w:t>
      </w:r>
      <w:r>
        <w:t>centres.</w:t>
      </w:r>
    </w:p>
    <w:p w:rsidR="002C1123" w:rsidRDefault="00F22F94">
      <w:pPr>
        <w:pStyle w:val="BodyText"/>
        <w:spacing w:before="146" w:line="249" w:lineRule="auto"/>
        <w:ind w:left="252" w:right="726"/>
      </w:pPr>
      <w:r>
        <w:rPr>
          <w:w w:val="95"/>
        </w:rPr>
        <w:t>The</w:t>
      </w:r>
      <w:r>
        <w:rPr>
          <w:spacing w:val="-4"/>
          <w:w w:val="95"/>
        </w:rPr>
        <w:t xml:space="preserve"> </w:t>
      </w:r>
      <w:r>
        <w:rPr>
          <w:w w:val="95"/>
        </w:rPr>
        <w:t>Northern</w:t>
      </w:r>
      <w:r>
        <w:rPr>
          <w:spacing w:val="-4"/>
          <w:w w:val="95"/>
        </w:rPr>
        <w:t xml:space="preserve"> </w:t>
      </w:r>
      <w:r>
        <w:rPr>
          <w:w w:val="95"/>
        </w:rPr>
        <w:t>Beaches</w:t>
      </w:r>
      <w:r>
        <w:rPr>
          <w:spacing w:val="-4"/>
          <w:w w:val="95"/>
        </w:rPr>
        <w:t xml:space="preserve"> </w:t>
      </w:r>
      <w:r>
        <w:rPr>
          <w:w w:val="95"/>
        </w:rPr>
        <w:t>Hospital</w:t>
      </w:r>
      <w:r>
        <w:rPr>
          <w:spacing w:val="-4"/>
          <w:w w:val="95"/>
        </w:rPr>
        <w:t xml:space="preserve"> </w:t>
      </w:r>
      <w:r>
        <w:rPr>
          <w:w w:val="95"/>
        </w:rPr>
        <w:t>should</w:t>
      </w:r>
      <w:r>
        <w:rPr>
          <w:spacing w:val="-4"/>
          <w:w w:val="95"/>
        </w:rPr>
        <w:t xml:space="preserve"> </w:t>
      </w:r>
      <w:r>
        <w:rPr>
          <w:w w:val="95"/>
        </w:rPr>
        <w:t>be</w:t>
      </w:r>
      <w:r>
        <w:rPr>
          <w:spacing w:val="-4"/>
          <w:w w:val="95"/>
        </w:rPr>
        <w:t xml:space="preserve"> </w:t>
      </w:r>
      <w:r>
        <w:rPr>
          <w:w w:val="95"/>
        </w:rPr>
        <w:t>delivered</w:t>
      </w:r>
      <w:r>
        <w:rPr>
          <w:spacing w:val="-4"/>
          <w:w w:val="95"/>
        </w:rPr>
        <w:t xml:space="preserve"> </w:t>
      </w:r>
      <w:r>
        <w:rPr>
          <w:w w:val="95"/>
        </w:rPr>
        <w:t>as</w:t>
      </w:r>
      <w:r>
        <w:rPr>
          <w:spacing w:val="-4"/>
          <w:w w:val="95"/>
        </w:rPr>
        <w:t xml:space="preserve"> </w:t>
      </w:r>
      <w:r>
        <w:rPr>
          <w:w w:val="95"/>
        </w:rPr>
        <w:t xml:space="preserve">a </w:t>
      </w:r>
      <w:r>
        <w:t>‘healthcare</w:t>
      </w:r>
      <w:r>
        <w:rPr>
          <w:spacing w:val="-14"/>
        </w:rPr>
        <w:t xml:space="preserve"> </w:t>
      </w:r>
      <w:r>
        <w:t>precinct’</w:t>
      </w:r>
      <w:r>
        <w:rPr>
          <w:spacing w:val="-14"/>
        </w:rPr>
        <w:t xml:space="preserve"> </w:t>
      </w:r>
      <w:r>
        <w:t>combining</w:t>
      </w:r>
      <w:r>
        <w:rPr>
          <w:spacing w:val="-14"/>
        </w:rPr>
        <w:t xml:space="preserve"> </w:t>
      </w:r>
      <w:r>
        <w:t>both</w:t>
      </w:r>
      <w:r>
        <w:rPr>
          <w:spacing w:val="-14"/>
        </w:rPr>
        <w:t xml:space="preserve"> </w:t>
      </w:r>
      <w:r>
        <w:t>public</w:t>
      </w:r>
      <w:r>
        <w:rPr>
          <w:spacing w:val="-14"/>
        </w:rPr>
        <w:t xml:space="preserve"> </w:t>
      </w:r>
      <w:r>
        <w:t>and</w:t>
      </w:r>
      <w:r>
        <w:rPr>
          <w:spacing w:val="-14"/>
        </w:rPr>
        <w:t xml:space="preserve"> </w:t>
      </w:r>
      <w:r>
        <w:t>private service</w:t>
      </w:r>
      <w:r>
        <w:rPr>
          <w:spacing w:val="-12"/>
        </w:rPr>
        <w:t xml:space="preserve"> </w:t>
      </w:r>
      <w:r>
        <w:t>provision</w:t>
      </w:r>
      <w:r>
        <w:rPr>
          <w:spacing w:val="-12"/>
        </w:rPr>
        <w:t xml:space="preserve"> </w:t>
      </w:r>
      <w:r>
        <w:t>in</w:t>
      </w:r>
      <w:r>
        <w:rPr>
          <w:spacing w:val="-12"/>
        </w:rPr>
        <w:t xml:space="preserve"> </w:t>
      </w:r>
      <w:r>
        <w:t>an</w:t>
      </w:r>
      <w:r>
        <w:rPr>
          <w:spacing w:val="-12"/>
        </w:rPr>
        <w:t xml:space="preserve"> </w:t>
      </w:r>
      <w:r>
        <w:t>integrated</w:t>
      </w:r>
      <w:r>
        <w:rPr>
          <w:spacing w:val="-12"/>
        </w:rPr>
        <w:t xml:space="preserve"> </w:t>
      </w:r>
      <w:r>
        <w:t>fashion.</w:t>
      </w:r>
    </w:p>
    <w:p w:rsidR="002C1123" w:rsidRDefault="00F22F94">
      <w:pPr>
        <w:pStyle w:val="Heading6"/>
        <w:spacing w:before="144"/>
        <w:ind w:left="252"/>
      </w:pPr>
      <w:r>
        <w:rPr>
          <w:color w:val="2E3092"/>
          <w:spacing w:val="-4"/>
        </w:rPr>
        <w:t>Social</w:t>
      </w:r>
      <w:r>
        <w:rPr>
          <w:color w:val="2E3092"/>
          <w:spacing w:val="-2"/>
        </w:rPr>
        <w:t xml:space="preserve"> Infrastructure</w:t>
      </w:r>
    </w:p>
    <w:p w:rsidR="002C1123" w:rsidRDefault="00F22F94">
      <w:pPr>
        <w:pStyle w:val="BodyText"/>
        <w:spacing w:before="10" w:line="249" w:lineRule="auto"/>
        <w:ind w:left="252" w:right="726"/>
      </w:pPr>
      <w:r>
        <w:t>Population</w:t>
      </w:r>
      <w:r>
        <w:rPr>
          <w:spacing w:val="-3"/>
        </w:rPr>
        <w:t xml:space="preserve"> </w:t>
      </w:r>
      <w:r>
        <w:t>growth</w:t>
      </w:r>
      <w:r>
        <w:rPr>
          <w:spacing w:val="-3"/>
        </w:rPr>
        <w:t xml:space="preserve"> </w:t>
      </w:r>
      <w:r>
        <w:t>means</w:t>
      </w:r>
      <w:r>
        <w:rPr>
          <w:spacing w:val="-3"/>
        </w:rPr>
        <w:t xml:space="preserve"> </w:t>
      </w:r>
      <w:r>
        <w:t>that</w:t>
      </w:r>
      <w:r>
        <w:rPr>
          <w:spacing w:val="-3"/>
        </w:rPr>
        <w:t xml:space="preserve"> </w:t>
      </w:r>
      <w:r>
        <w:t>NSW’s</w:t>
      </w:r>
      <w:r>
        <w:rPr>
          <w:spacing w:val="-3"/>
        </w:rPr>
        <w:t xml:space="preserve"> </w:t>
      </w:r>
      <w:r>
        <w:t xml:space="preserve">school </w:t>
      </w:r>
      <w:r>
        <w:rPr>
          <w:w w:val="95"/>
        </w:rPr>
        <w:t>population</w:t>
      </w:r>
      <w:r>
        <w:rPr>
          <w:spacing w:val="-7"/>
          <w:w w:val="95"/>
        </w:rPr>
        <w:t xml:space="preserve"> </w:t>
      </w:r>
      <w:r>
        <w:rPr>
          <w:w w:val="95"/>
        </w:rPr>
        <w:t>will</w:t>
      </w:r>
      <w:r>
        <w:rPr>
          <w:spacing w:val="-7"/>
          <w:w w:val="95"/>
        </w:rPr>
        <w:t xml:space="preserve"> </w:t>
      </w:r>
      <w:r>
        <w:rPr>
          <w:w w:val="95"/>
        </w:rPr>
        <w:t>continue</w:t>
      </w:r>
      <w:r>
        <w:rPr>
          <w:spacing w:val="-7"/>
          <w:w w:val="95"/>
        </w:rPr>
        <w:t xml:space="preserve"> </w:t>
      </w:r>
      <w:r>
        <w:rPr>
          <w:w w:val="95"/>
        </w:rPr>
        <w:t>to</w:t>
      </w:r>
      <w:r>
        <w:rPr>
          <w:spacing w:val="-7"/>
          <w:w w:val="95"/>
        </w:rPr>
        <w:t xml:space="preserve"> </w:t>
      </w:r>
      <w:r>
        <w:rPr>
          <w:w w:val="95"/>
        </w:rPr>
        <w:t>rise.</w:t>
      </w:r>
      <w:r>
        <w:rPr>
          <w:spacing w:val="-7"/>
          <w:w w:val="95"/>
        </w:rPr>
        <w:t xml:space="preserve"> </w:t>
      </w:r>
      <w:r>
        <w:rPr>
          <w:w w:val="95"/>
        </w:rPr>
        <w:t>Infrastructure</w:t>
      </w:r>
      <w:r>
        <w:rPr>
          <w:spacing w:val="-7"/>
          <w:w w:val="95"/>
        </w:rPr>
        <w:t xml:space="preserve"> </w:t>
      </w:r>
      <w:r>
        <w:rPr>
          <w:w w:val="95"/>
        </w:rPr>
        <w:t>NSW</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291" w:space="40"/>
            <w:col w:w="4923" w:space="39"/>
            <w:col w:w="5767"/>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BodyText"/>
        <w:spacing w:before="106" w:line="249" w:lineRule="auto"/>
        <w:ind w:left="492"/>
      </w:pPr>
      <w:bookmarkStart w:id="25" w:name="_bookmark17"/>
      <w:bookmarkEnd w:id="25"/>
      <w:r>
        <w:t>recommends</w:t>
      </w:r>
      <w:r>
        <w:rPr>
          <w:spacing w:val="-13"/>
        </w:rPr>
        <w:t xml:space="preserve"> </w:t>
      </w:r>
      <w:r>
        <w:t>that</w:t>
      </w:r>
      <w:r>
        <w:rPr>
          <w:spacing w:val="-13"/>
        </w:rPr>
        <w:t xml:space="preserve"> </w:t>
      </w:r>
      <w:r>
        <w:t>90</w:t>
      </w:r>
      <w:r>
        <w:rPr>
          <w:spacing w:val="-13"/>
        </w:rPr>
        <w:t xml:space="preserve"> </w:t>
      </w:r>
      <w:r>
        <w:t>percent</w:t>
      </w:r>
      <w:r>
        <w:rPr>
          <w:spacing w:val="-13"/>
        </w:rPr>
        <w:t xml:space="preserve"> </w:t>
      </w:r>
      <w:r>
        <w:t>of</w:t>
      </w:r>
      <w:r>
        <w:rPr>
          <w:spacing w:val="-13"/>
        </w:rPr>
        <w:t xml:space="preserve"> </w:t>
      </w:r>
      <w:r>
        <w:t>additional</w:t>
      </w:r>
      <w:r>
        <w:rPr>
          <w:spacing w:val="-13"/>
        </w:rPr>
        <w:t xml:space="preserve"> </w:t>
      </w:r>
      <w:r>
        <w:t>places</w:t>
      </w:r>
      <w:r>
        <w:rPr>
          <w:spacing w:val="-13"/>
        </w:rPr>
        <w:t xml:space="preserve"> </w:t>
      </w:r>
      <w:r>
        <w:t xml:space="preserve">are </w:t>
      </w:r>
      <w:r>
        <w:rPr>
          <w:w w:val="95"/>
        </w:rPr>
        <w:t>accommodated within existing schools, leveraging the existing</w:t>
      </w:r>
      <w:r>
        <w:rPr>
          <w:spacing w:val="-8"/>
          <w:w w:val="95"/>
        </w:rPr>
        <w:t xml:space="preserve"> </w:t>
      </w:r>
      <w:r>
        <w:rPr>
          <w:w w:val="95"/>
        </w:rPr>
        <w:t>infrastructure</w:t>
      </w:r>
      <w:r>
        <w:rPr>
          <w:spacing w:val="-8"/>
          <w:w w:val="95"/>
        </w:rPr>
        <w:t xml:space="preserve"> </w:t>
      </w:r>
      <w:r>
        <w:rPr>
          <w:w w:val="95"/>
        </w:rPr>
        <w:t>and</w:t>
      </w:r>
      <w:r>
        <w:rPr>
          <w:spacing w:val="-8"/>
          <w:w w:val="95"/>
        </w:rPr>
        <w:t xml:space="preserve"> </w:t>
      </w:r>
      <w:r>
        <w:rPr>
          <w:w w:val="95"/>
        </w:rPr>
        <w:t>achieving</w:t>
      </w:r>
      <w:r>
        <w:rPr>
          <w:spacing w:val="-8"/>
          <w:w w:val="95"/>
        </w:rPr>
        <w:t xml:space="preserve"> </w:t>
      </w:r>
      <w:r>
        <w:rPr>
          <w:w w:val="95"/>
        </w:rPr>
        <w:t>the</w:t>
      </w:r>
      <w:r>
        <w:rPr>
          <w:spacing w:val="-8"/>
          <w:w w:val="95"/>
        </w:rPr>
        <w:t xml:space="preserve"> </w:t>
      </w:r>
      <w:r>
        <w:rPr>
          <w:w w:val="95"/>
        </w:rPr>
        <w:t>better</w:t>
      </w:r>
      <w:r>
        <w:rPr>
          <w:spacing w:val="-8"/>
          <w:w w:val="95"/>
        </w:rPr>
        <w:t xml:space="preserve"> </w:t>
      </w:r>
      <w:r>
        <w:rPr>
          <w:w w:val="95"/>
        </w:rPr>
        <w:t xml:space="preserve">learning </w:t>
      </w:r>
      <w:r>
        <w:t>outcomes associated with larger schools.</w:t>
      </w:r>
    </w:p>
    <w:p w:rsidR="002C1123" w:rsidRDefault="00F22F94">
      <w:pPr>
        <w:pStyle w:val="BodyText"/>
        <w:spacing w:before="145" w:line="249" w:lineRule="auto"/>
        <w:ind w:left="492"/>
      </w:pPr>
      <w:r>
        <w:t>Arts</w:t>
      </w:r>
      <w:r>
        <w:rPr>
          <w:spacing w:val="-11"/>
        </w:rPr>
        <w:t xml:space="preserve"> </w:t>
      </w:r>
      <w:r>
        <w:t>infrastructure</w:t>
      </w:r>
      <w:r>
        <w:rPr>
          <w:spacing w:val="-11"/>
        </w:rPr>
        <w:t xml:space="preserve"> </w:t>
      </w:r>
      <w:r>
        <w:t>will</w:t>
      </w:r>
      <w:r>
        <w:rPr>
          <w:spacing w:val="-11"/>
        </w:rPr>
        <w:t xml:space="preserve"> </w:t>
      </w:r>
      <w:r>
        <w:t>be</w:t>
      </w:r>
      <w:r>
        <w:rPr>
          <w:spacing w:val="-11"/>
        </w:rPr>
        <w:t xml:space="preserve"> </w:t>
      </w:r>
      <w:r>
        <w:t>upgraded</w:t>
      </w:r>
      <w:r>
        <w:rPr>
          <w:spacing w:val="-11"/>
        </w:rPr>
        <w:t xml:space="preserve"> </w:t>
      </w:r>
      <w:r>
        <w:t>over</w:t>
      </w:r>
      <w:r>
        <w:rPr>
          <w:spacing w:val="-11"/>
        </w:rPr>
        <w:t xml:space="preserve"> </w:t>
      </w:r>
      <w:r>
        <w:t>time,</w:t>
      </w:r>
      <w:r>
        <w:rPr>
          <w:spacing w:val="-11"/>
        </w:rPr>
        <w:t xml:space="preserve"> </w:t>
      </w:r>
      <w:r>
        <w:t>with</w:t>
      </w:r>
      <w:r>
        <w:rPr>
          <w:spacing w:val="-11"/>
        </w:rPr>
        <w:t xml:space="preserve"> </w:t>
      </w:r>
      <w:r>
        <w:t>a focus</w:t>
      </w:r>
      <w:r>
        <w:rPr>
          <w:spacing w:val="-9"/>
        </w:rPr>
        <w:t xml:space="preserve"> </w:t>
      </w:r>
      <w:r>
        <w:t>on</w:t>
      </w:r>
      <w:r>
        <w:rPr>
          <w:spacing w:val="-9"/>
        </w:rPr>
        <w:t xml:space="preserve"> </w:t>
      </w:r>
      <w:r>
        <w:t>Sydney’s</w:t>
      </w:r>
      <w:r>
        <w:rPr>
          <w:spacing w:val="-9"/>
        </w:rPr>
        <w:t xml:space="preserve"> </w:t>
      </w:r>
      <w:r>
        <w:t>Arts</w:t>
      </w:r>
      <w:r>
        <w:rPr>
          <w:spacing w:val="-9"/>
        </w:rPr>
        <w:t xml:space="preserve"> </w:t>
      </w:r>
      <w:r>
        <w:t>Ribbon</w:t>
      </w:r>
      <w:r>
        <w:rPr>
          <w:spacing w:val="-9"/>
        </w:rPr>
        <w:t xml:space="preserve"> </w:t>
      </w:r>
      <w:r>
        <w:t>where</w:t>
      </w:r>
      <w:r>
        <w:rPr>
          <w:spacing w:val="-9"/>
        </w:rPr>
        <w:t xml:space="preserve"> </w:t>
      </w:r>
      <w:r>
        <w:t>upgrades</w:t>
      </w:r>
      <w:r>
        <w:rPr>
          <w:spacing w:val="-9"/>
        </w:rPr>
        <w:t xml:space="preserve"> </w:t>
      </w:r>
      <w:r>
        <w:t>are proposed</w:t>
      </w:r>
      <w:r>
        <w:rPr>
          <w:spacing w:val="-11"/>
        </w:rPr>
        <w:t xml:space="preserve"> </w:t>
      </w:r>
      <w:r>
        <w:t>at</w:t>
      </w:r>
      <w:r>
        <w:rPr>
          <w:spacing w:val="-11"/>
        </w:rPr>
        <w:t xml:space="preserve"> </w:t>
      </w:r>
      <w:r>
        <w:t>the</w:t>
      </w:r>
      <w:r>
        <w:rPr>
          <w:spacing w:val="-11"/>
        </w:rPr>
        <w:t xml:space="preserve"> </w:t>
      </w:r>
      <w:r>
        <w:t>Opera</w:t>
      </w:r>
      <w:r>
        <w:rPr>
          <w:spacing w:val="-11"/>
        </w:rPr>
        <w:t xml:space="preserve"> </w:t>
      </w:r>
      <w:r>
        <w:t>House,</w:t>
      </w:r>
      <w:r>
        <w:rPr>
          <w:spacing w:val="-11"/>
        </w:rPr>
        <w:t xml:space="preserve"> </w:t>
      </w:r>
      <w:r>
        <w:t>the</w:t>
      </w:r>
      <w:r>
        <w:rPr>
          <w:spacing w:val="-11"/>
        </w:rPr>
        <w:t xml:space="preserve"> </w:t>
      </w:r>
      <w:r>
        <w:t>Art</w:t>
      </w:r>
      <w:r>
        <w:rPr>
          <w:spacing w:val="-11"/>
        </w:rPr>
        <w:t xml:space="preserve"> </w:t>
      </w:r>
      <w:r>
        <w:t>Gallery</w:t>
      </w:r>
      <w:r>
        <w:rPr>
          <w:spacing w:val="-11"/>
        </w:rPr>
        <w:t xml:space="preserve"> </w:t>
      </w:r>
      <w:r>
        <w:t>of</w:t>
      </w:r>
      <w:r>
        <w:rPr>
          <w:spacing w:val="-11"/>
        </w:rPr>
        <w:t xml:space="preserve"> </w:t>
      </w:r>
      <w:r>
        <w:t xml:space="preserve">NSW </w:t>
      </w:r>
      <w:r>
        <w:rPr>
          <w:spacing w:val="-2"/>
        </w:rPr>
        <w:t>and</w:t>
      </w:r>
      <w:r>
        <w:rPr>
          <w:spacing w:val="-7"/>
        </w:rPr>
        <w:t xml:space="preserve"> </w:t>
      </w:r>
      <w:r>
        <w:rPr>
          <w:spacing w:val="-2"/>
        </w:rPr>
        <w:t>new</w:t>
      </w:r>
      <w:r>
        <w:rPr>
          <w:spacing w:val="-7"/>
        </w:rPr>
        <w:t xml:space="preserve"> </w:t>
      </w:r>
      <w:r>
        <w:rPr>
          <w:spacing w:val="-2"/>
        </w:rPr>
        <w:t>developments</w:t>
      </w:r>
      <w:r>
        <w:rPr>
          <w:spacing w:val="-7"/>
        </w:rPr>
        <w:t xml:space="preserve"> </w:t>
      </w:r>
      <w:r>
        <w:rPr>
          <w:spacing w:val="-2"/>
        </w:rPr>
        <w:t>at</w:t>
      </w:r>
      <w:r>
        <w:rPr>
          <w:spacing w:val="-7"/>
        </w:rPr>
        <w:t xml:space="preserve"> </w:t>
      </w:r>
      <w:r>
        <w:rPr>
          <w:spacing w:val="-2"/>
        </w:rPr>
        <w:t>Walsh</w:t>
      </w:r>
      <w:r>
        <w:rPr>
          <w:spacing w:val="-7"/>
        </w:rPr>
        <w:t xml:space="preserve"> </w:t>
      </w:r>
      <w:r>
        <w:rPr>
          <w:spacing w:val="-2"/>
        </w:rPr>
        <w:t>Bay</w:t>
      </w:r>
      <w:r>
        <w:rPr>
          <w:spacing w:val="-7"/>
        </w:rPr>
        <w:t xml:space="preserve"> </w:t>
      </w:r>
      <w:r>
        <w:rPr>
          <w:spacing w:val="-2"/>
        </w:rPr>
        <w:t>and</w:t>
      </w:r>
      <w:r>
        <w:rPr>
          <w:spacing w:val="-7"/>
        </w:rPr>
        <w:t xml:space="preserve"> </w:t>
      </w:r>
      <w:r>
        <w:rPr>
          <w:spacing w:val="-2"/>
        </w:rPr>
        <w:t xml:space="preserve">Barangaroo. </w:t>
      </w:r>
      <w:r>
        <w:t>In</w:t>
      </w:r>
      <w:r>
        <w:rPr>
          <w:spacing w:val="-14"/>
        </w:rPr>
        <w:t xml:space="preserve"> </w:t>
      </w:r>
      <w:r>
        <w:t>conjunction</w:t>
      </w:r>
      <w:r>
        <w:rPr>
          <w:spacing w:val="-13"/>
        </w:rPr>
        <w:t xml:space="preserve"> </w:t>
      </w:r>
      <w:r>
        <w:t>with</w:t>
      </w:r>
      <w:r>
        <w:rPr>
          <w:spacing w:val="-14"/>
        </w:rPr>
        <w:t xml:space="preserve"> </w:t>
      </w:r>
      <w:r>
        <w:t>the</w:t>
      </w:r>
      <w:r>
        <w:rPr>
          <w:spacing w:val="-13"/>
        </w:rPr>
        <w:t xml:space="preserve"> </w:t>
      </w:r>
      <w:r>
        <w:t>new</w:t>
      </w:r>
      <w:r>
        <w:rPr>
          <w:spacing w:val="-14"/>
        </w:rPr>
        <w:t xml:space="preserve"> </w:t>
      </w:r>
      <w:r>
        <w:t>Sydney</w:t>
      </w:r>
      <w:r>
        <w:rPr>
          <w:spacing w:val="-13"/>
        </w:rPr>
        <w:t xml:space="preserve"> </w:t>
      </w:r>
      <w:r>
        <w:t>International Convention,</w:t>
      </w:r>
      <w:r>
        <w:rPr>
          <w:spacing w:val="-14"/>
        </w:rPr>
        <w:t xml:space="preserve"> </w:t>
      </w:r>
      <w:r>
        <w:t>Exhibition</w:t>
      </w:r>
      <w:r>
        <w:rPr>
          <w:spacing w:val="-14"/>
        </w:rPr>
        <w:t xml:space="preserve"> </w:t>
      </w:r>
      <w:r>
        <w:t>and</w:t>
      </w:r>
      <w:r>
        <w:rPr>
          <w:spacing w:val="-14"/>
        </w:rPr>
        <w:t xml:space="preserve"> </w:t>
      </w:r>
      <w:r>
        <w:t>Entertainment</w:t>
      </w:r>
      <w:r>
        <w:rPr>
          <w:spacing w:val="-14"/>
        </w:rPr>
        <w:t xml:space="preserve"> </w:t>
      </w:r>
      <w:r>
        <w:t xml:space="preserve">Precinct, </w:t>
      </w:r>
      <w:r>
        <w:rPr>
          <w:w w:val="95"/>
        </w:rPr>
        <w:t>these</w:t>
      </w:r>
      <w:r>
        <w:rPr>
          <w:spacing w:val="-4"/>
          <w:w w:val="95"/>
        </w:rPr>
        <w:t xml:space="preserve"> </w:t>
      </w:r>
      <w:r>
        <w:rPr>
          <w:w w:val="95"/>
        </w:rPr>
        <w:t>investments</w:t>
      </w:r>
      <w:r>
        <w:rPr>
          <w:spacing w:val="-4"/>
          <w:w w:val="95"/>
        </w:rPr>
        <w:t xml:space="preserve"> </w:t>
      </w:r>
      <w:r>
        <w:rPr>
          <w:w w:val="95"/>
        </w:rPr>
        <w:t>will</w:t>
      </w:r>
      <w:r>
        <w:rPr>
          <w:spacing w:val="-4"/>
          <w:w w:val="95"/>
        </w:rPr>
        <w:t xml:space="preserve"> </w:t>
      </w:r>
      <w:r>
        <w:rPr>
          <w:w w:val="95"/>
        </w:rPr>
        <w:t>contribute</w:t>
      </w:r>
      <w:r>
        <w:rPr>
          <w:spacing w:val="-4"/>
          <w:w w:val="95"/>
        </w:rPr>
        <w:t xml:space="preserve"> </w:t>
      </w:r>
      <w:r>
        <w:rPr>
          <w:w w:val="95"/>
        </w:rPr>
        <w:t>to</w:t>
      </w:r>
      <w:r>
        <w:rPr>
          <w:spacing w:val="-4"/>
          <w:w w:val="95"/>
        </w:rPr>
        <w:t xml:space="preserve"> </w:t>
      </w:r>
      <w:r>
        <w:rPr>
          <w:w w:val="95"/>
        </w:rPr>
        <w:t>the</w:t>
      </w:r>
      <w:r>
        <w:rPr>
          <w:spacing w:val="-4"/>
          <w:w w:val="95"/>
        </w:rPr>
        <w:t xml:space="preserve"> </w:t>
      </w:r>
      <w:r>
        <w:rPr>
          <w:w w:val="95"/>
        </w:rPr>
        <w:t>growth</w:t>
      </w:r>
      <w:r>
        <w:rPr>
          <w:spacing w:val="-4"/>
          <w:w w:val="95"/>
        </w:rPr>
        <w:t xml:space="preserve"> </w:t>
      </w:r>
      <w:r>
        <w:rPr>
          <w:w w:val="95"/>
        </w:rPr>
        <w:t>of</w:t>
      </w:r>
      <w:r>
        <w:rPr>
          <w:spacing w:val="-4"/>
          <w:w w:val="95"/>
        </w:rPr>
        <w:t xml:space="preserve"> </w:t>
      </w:r>
      <w:r>
        <w:rPr>
          <w:w w:val="95"/>
        </w:rPr>
        <w:t xml:space="preserve">NSW’s </w:t>
      </w:r>
      <w:r>
        <w:t>visitor</w:t>
      </w:r>
      <w:r>
        <w:rPr>
          <w:spacing w:val="-11"/>
        </w:rPr>
        <w:t xml:space="preserve"> </w:t>
      </w:r>
      <w:r>
        <w:t>economy.</w:t>
      </w:r>
    </w:p>
    <w:p w:rsidR="002C1123" w:rsidRDefault="00F22F94">
      <w:pPr>
        <w:pStyle w:val="Heading6"/>
        <w:spacing w:before="148"/>
        <w:ind w:left="492"/>
      </w:pPr>
      <w:r>
        <w:rPr>
          <w:color w:val="2E3092"/>
          <w:w w:val="95"/>
        </w:rPr>
        <w:t>Funding</w:t>
      </w:r>
      <w:r>
        <w:rPr>
          <w:color w:val="2E3092"/>
          <w:spacing w:val="-1"/>
        </w:rPr>
        <w:t xml:space="preserve"> </w:t>
      </w:r>
      <w:r>
        <w:rPr>
          <w:color w:val="2E3092"/>
          <w:w w:val="95"/>
        </w:rPr>
        <w:t>and</w:t>
      </w:r>
      <w:r>
        <w:rPr>
          <w:color w:val="2E3092"/>
        </w:rPr>
        <w:t xml:space="preserve"> </w:t>
      </w:r>
      <w:r>
        <w:rPr>
          <w:color w:val="2E3092"/>
          <w:spacing w:val="-2"/>
          <w:w w:val="95"/>
        </w:rPr>
        <w:t>Delivery</w:t>
      </w:r>
    </w:p>
    <w:p w:rsidR="002C1123" w:rsidRDefault="00F22F94">
      <w:pPr>
        <w:pStyle w:val="BodyText"/>
        <w:spacing w:before="10" w:line="249" w:lineRule="auto"/>
        <w:ind w:left="492" w:right="27"/>
      </w:pPr>
      <w:r>
        <w:rPr>
          <w:spacing w:val="-2"/>
        </w:rPr>
        <w:t>All</w:t>
      </w:r>
      <w:r>
        <w:rPr>
          <w:spacing w:val="-5"/>
        </w:rPr>
        <w:t xml:space="preserve"> </w:t>
      </w:r>
      <w:r>
        <w:rPr>
          <w:spacing w:val="-2"/>
        </w:rPr>
        <w:t>new</w:t>
      </w:r>
      <w:r>
        <w:rPr>
          <w:spacing w:val="-5"/>
        </w:rPr>
        <w:t xml:space="preserve"> </w:t>
      </w:r>
      <w:r>
        <w:rPr>
          <w:spacing w:val="-2"/>
        </w:rPr>
        <w:t>infrastructure</w:t>
      </w:r>
      <w:r>
        <w:rPr>
          <w:spacing w:val="-5"/>
        </w:rPr>
        <w:t xml:space="preserve"> </w:t>
      </w:r>
      <w:r>
        <w:rPr>
          <w:spacing w:val="-2"/>
        </w:rPr>
        <w:t>is</w:t>
      </w:r>
      <w:r>
        <w:rPr>
          <w:spacing w:val="-5"/>
        </w:rPr>
        <w:t xml:space="preserve"> </w:t>
      </w:r>
      <w:r>
        <w:rPr>
          <w:spacing w:val="-2"/>
        </w:rPr>
        <w:t>ultimately</w:t>
      </w:r>
      <w:r>
        <w:rPr>
          <w:spacing w:val="-5"/>
        </w:rPr>
        <w:t xml:space="preserve"> </w:t>
      </w:r>
      <w:r>
        <w:rPr>
          <w:spacing w:val="-2"/>
        </w:rPr>
        <w:t>funded</w:t>
      </w:r>
      <w:r>
        <w:rPr>
          <w:spacing w:val="-5"/>
        </w:rPr>
        <w:t xml:space="preserve"> </w:t>
      </w:r>
      <w:r>
        <w:rPr>
          <w:spacing w:val="-2"/>
        </w:rPr>
        <w:t>via</w:t>
      </w:r>
      <w:r>
        <w:rPr>
          <w:spacing w:val="-5"/>
        </w:rPr>
        <w:t xml:space="preserve"> </w:t>
      </w:r>
      <w:r>
        <w:rPr>
          <w:spacing w:val="-2"/>
        </w:rPr>
        <w:t xml:space="preserve">taxation </w:t>
      </w:r>
      <w:r>
        <w:rPr>
          <w:w w:val="95"/>
        </w:rPr>
        <w:t>or user charges. Private financing in its own right does not</w:t>
      </w:r>
      <w:r>
        <w:rPr>
          <w:spacing w:val="-2"/>
          <w:w w:val="95"/>
        </w:rPr>
        <w:t xml:space="preserve"> </w:t>
      </w:r>
      <w:r>
        <w:rPr>
          <w:w w:val="95"/>
        </w:rPr>
        <w:t>create</w:t>
      </w:r>
      <w:r>
        <w:rPr>
          <w:spacing w:val="-2"/>
          <w:w w:val="95"/>
        </w:rPr>
        <w:t xml:space="preserve"> </w:t>
      </w:r>
      <w:r>
        <w:rPr>
          <w:w w:val="95"/>
        </w:rPr>
        <w:t>more</w:t>
      </w:r>
      <w:r>
        <w:rPr>
          <w:spacing w:val="-2"/>
          <w:w w:val="95"/>
        </w:rPr>
        <w:t xml:space="preserve"> </w:t>
      </w:r>
      <w:r>
        <w:rPr>
          <w:w w:val="95"/>
        </w:rPr>
        <w:t>money</w:t>
      </w:r>
      <w:r>
        <w:rPr>
          <w:spacing w:val="-2"/>
          <w:w w:val="95"/>
        </w:rPr>
        <w:t xml:space="preserve"> </w:t>
      </w:r>
      <w:r>
        <w:rPr>
          <w:w w:val="95"/>
        </w:rPr>
        <w:t>for</w:t>
      </w:r>
      <w:r>
        <w:rPr>
          <w:spacing w:val="-2"/>
          <w:w w:val="95"/>
        </w:rPr>
        <w:t xml:space="preserve"> </w:t>
      </w:r>
      <w:r>
        <w:rPr>
          <w:w w:val="95"/>
        </w:rPr>
        <w:t>infrastructure</w:t>
      </w:r>
      <w:r>
        <w:rPr>
          <w:spacing w:val="-2"/>
          <w:w w:val="95"/>
        </w:rPr>
        <w:t xml:space="preserve"> </w:t>
      </w:r>
      <w:r>
        <w:rPr>
          <w:w w:val="95"/>
        </w:rPr>
        <w:t>development. Infrastructure</w:t>
      </w:r>
      <w:r>
        <w:rPr>
          <w:spacing w:val="-7"/>
          <w:w w:val="95"/>
        </w:rPr>
        <w:t xml:space="preserve"> </w:t>
      </w:r>
      <w:r>
        <w:rPr>
          <w:w w:val="95"/>
        </w:rPr>
        <w:t>NSW</w:t>
      </w:r>
      <w:r>
        <w:rPr>
          <w:spacing w:val="-7"/>
          <w:w w:val="95"/>
        </w:rPr>
        <w:t xml:space="preserve"> </w:t>
      </w:r>
      <w:r>
        <w:rPr>
          <w:w w:val="95"/>
        </w:rPr>
        <w:t>proposes</w:t>
      </w:r>
      <w:r>
        <w:rPr>
          <w:spacing w:val="-7"/>
          <w:w w:val="95"/>
        </w:rPr>
        <w:t xml:space="preserve"> </w:t>
      </w:r>
      <w:r>
        <w:rPr>
          <w:w w:val="95"/>
        </w:rPr>
        <w:t>its</w:t>
      </w:r>
      <w:r>
        <w:rPr>
          <w:spacing w:val="-7"/>
          <w:w w:val="95"/>
        </w:rPr>
        <w:t xml:space="preserve"> </w:t>
      </w:r>
      <w:r>
        <w:rPr>
          <w:w w:val="95"/>
        </w:rPr>
        <w:t>priorities</w:t>
      </w:r>
      <w:r>
        <w:rPr>
          <w:spacing w:val="-7"/>
          <w:w w:val="95"/>
        </w:rPr>
        <w:t xml:space="preserve"> </w:t>
      </w:r>
      <w:r>
        <w:rPr>
          <w:w w:val="95"/>
        </w:rPr>
        <w:t>are</w:t>
      </w:r>
      <w:r>
        <w:rPr>
          <w:spacing w:val="-7"/>
          <w:w w:val="95"/>
        </w:rPr>
        <w:t xml:space="preserve"> </w:t>
      </w:r>
      <w:r>
        <w:rPr>
          <w:w w:val="95"/>
        </w:rPr>
        <w:t>delivered within</w:t>
      </w:r>
      <w:r>
        <w:rPr>
          <w:spacing w:val="-1"/>
          <w:w w:val="95"/>
        </w:rPr>
        <w:t xml:space="preserve"> </w:t>
      </w:r>
      <w:r>
        <w:rPr>
          <w:w w:val="95"/>
        </w:rPr>
        <w:t>a</w:t>
      </w:r>
      <w:r>
        <w:rPr>
          <w:spacing w:val="-1"/>
          <w:w w:val="95"/>
        </w:rPr>
        <w:t xml:space="preserve"> </w:t>
      </w:r>
      <w:r>
        <w:rPr>
          <w:w w:val="95"/>
        </w:rPr>
        <w:t>sustainable</w:t>
      </w:r>
      <w:r>
        <w:rPr>
          <w:spacing w:val="-1"/>
          <w:w w:val="95"/>
        </w:rPr>
        <w:t xml:space="preserve"> </w:t>
      </w:r>
      <w:r>
        <w:rPr>
          <w:w w:val="95"/>
        </w:rPr>
        <w:t>budgetary</w:t>
      </w:r>
      <w:r>
        <w:rPr>
          <w:spacing w:val="-1"/>
          <w:w w:val="95"/>
        </w:rPr>
        <w:t xml:space="preserve"> </w:t>
      </w:r>
      <w:r>
        <w:rPr>
          <w:w w:val="95"/>
        </w:rPr>
        <w:t>framework</w:t>
      </w:r>
      <w:r>
        <w:rPr>
          <w:spacing w:val="-1"/>
          <w:w w:val="95"/>
        </w:rPr>
        <w:t xml:space="preserve"> </w:t>
      </w:r>
      <w:r>
        <w:rPr>
          <w:w w:val="95"/>
        </w:rPr>
        <w:t>by</w:t>
      </w:r>
      <w:r>
        <w:rPr>
          <w:spacing w:val="-1"/>
          <w:w w:val="95"/>
        </w:rPr>
        <w:t xml:space="preserve"> </w:t>
      </w:r>
      <w:r>
        <w:rPr>
          <w:w w:val="95"/>
        </w:rPr>
        <w:t>using</w:t>
      </w:r>
      <w:r>
        <w:rPr>
          <w:spacing w:val="-1"/>
          <w:w w:val="95"/>
        </w:rPr>
        <w:t xml:space="preserve"> </w:t>
      </w:r>
      <w:r>
        <w:rPr>
          <w:w w:val="95"/>
        </w:rPr>
        <w:t xml:space="preserve">the </w:t>
      </w:r>
      <w:r>
        <w:t>following six funding strategies:</w:t>
      </w:r>
    </w:p>
    <w:p w:rsidR="002C1123" w:rsidRDefault="00F22F94">
      <w:pPr>
        <w:pStyle w:val="ListParagraph"/>
        <w:numPr>
          <w:ilvl w:val="0"/>
          <w:numId w:val="191"/>
        </w:numPr>
        <w:tabs>
          <w:tab w:val="left" w:pos="776"/>
        </w:tabs>
        <w:spacing w:before="134"/>
        <w:rPr>
          <w:sz w:val="20"/>
        </w:rPr>
      </w:pPr>
      <w:r>
        <w:rPr>
          <w:w w:val="95"/>
          <w:sz w:val="20"/>
        </w:rPr>
        <w:t>Tolls</w:t>
      </w:r>
      <w:r>
        <w:rPr>
          <w:spacing w:val="-4"/>
          <w:w w:val="95"/>
          <w:sz w:val="20"/>
        </w:rPr>
        <w:t xml:space="preserve"> </w:t>
      </w:r>
      <w:r>
        <w:rPr>
          <w:w w:val="95"/>
          <w:sz w:val="20"/>
        </w:rPr>
        <w:t>on</w:t>
      </w:r>
      <w:r>
        <w:rPr>
          <w:spacing w:val="-3"/>
          <w:w w:val="95"/>
          <w:sz w:val="20"/>
        </w:rPr>
        <w:t xml:space="preserve"> </w:t>
      </w:r>
      <w:r>
        <w:rPr>
          <w:w w:val="95"/>
          <w:sz w:val="20"/>
        </w:rPr>
        <w:t>new</w:t>
      </w:r>
      <w:r>
        <w:rPr>
          <w:spacing w:val="-4"/>
          <w:w w:val="95"/>
          <w:sz w:val="20"/>
        </w:rPr>
        <w:t xml:space="preserve"> </w:t>
      </w:r>
      <w:r>
        <w:rPr>
          <w:w w:val="95"/>
          <w:sz w:val="20"/>
        </w:rPr>
        <w:t>and</w:t>
      </w:r>
      <w:r>
        <w:rPr>
          <w:spacing w:val="-3"/>
          <w:w w:val="95"/>
          <w:sz w:val="20"/>
        </w:rPr>
        <w:t xml:space="preserve"> </w:t>
      </w:r>
      <w:r>
        <w:rPr>
          <w:w w:val="95"/>
          <w:sz w:val="20"/>
        </w:rPr>
        <w:t>upgraded</w:t>
      </w:r>
      <w:r>
        <w:rPr>
          <w:spacing w:val="-3"/>
          <w:w w:val="95"/>
          <w:sz w:val="20"/>
        </w:rPr>
        <w:t xml:space="preserve"> </w:t>
      </w:r>
      <w:r>
        <w:rPr>
          <w:w w:val="95"/>
          <w:sz w:val="20"/>
        </w:rPr>
        <w:t>motorway</w:t>
      </w:r>
      <w:r>
        <w:rPr>
          <w:spacing w:val="-4"/>
          <w:w w:val="95"/>
          <w:sz w:val="20"/>
        </w:rPr>
        <w:t xml:space="preserve"> links</w:t>
      </w:r>
    </w:p>
    <w:p w:rsidR="002C1123" w:rsidRDefault="00F22F94">
      <w:pPr>
        <w:pStyle w:val="ListParagraph"/>
        <w:numPr>
          <w:ilvl w:val="0"/>
          <w:numId w:val="191"/>
        </w:numPr>
        <w:tabs>
          <w:tab w:val="left" w:pos="776"/>
        </w:tabs>
        <w:spacing w:before="140" w:line="249" w:lineRule="auto"/>
        <w:ind w:right="185"/>
        <w:rPr>
          <w:sz w:val="20"/>
        </w:rPr>
      </w:pPr>
      <w:r>
        <w:rPr>
          <w:w w:val="95"/>
          <w:sz w:val="20"/>
        </w:rPr>
        <w:t>Restart</w:t>
      </w:r>
      <w:r>
        <w:rPr>
          <w:spacing w:val="-3"/>
          <w:w w:val="95"/>
          <w:sz w:val="20"/>
        </w:rPr>
        <w:t xml:space="preserve"> </w:t>
      </w:r>
      <w:r>
        <w:rPr>
          <w:w w:val="95"/>
          <w:sz w:val="20"/>
        </w:rPr>
        <w:t>NSW</w:t>
      </w:r>
      <w:r>
        <w:rPr>
          <w:spacing w:val="-3"/>
          <w:w w:val="95"/>
          <w:sz w:val="20"/>
        </w:rPr>
        <w:t xml:space="preserve"> </w:t>
      </w:r>
      <w:r>
        <w:rPr>
          <w:w w:val="95"/>
          <w:sz w:val="20"/>
        </w:rPr>
        <w:t>funding</w:t>
      </w:r>
      <w:r>
        <w:rPr>
          <w:spacing w:val="-3"/>
          <w:w w:val="95"/>
          <w:sz w:val="20"/>
        </w:rPr>
        <w:t xml:space="preserve"> </w:t>
      </w:r>
      <w:r>
        <w:rPr>
          <w:w w:val="95"/>
          <w:sz w:val="20"/>
        </w:rPr>
        <w:t>using</w:t>
      </w:r>
      <w:r>
        <w:rPr>
          <w:spacing w:val="-3"/>
          <w:w w:val="95"/>
          <w:sz w:val="20"/>
        </w:rPr>
        <w:t xml:space="preserve"> </w:t>
      </w:r>
      <w:r>
        <w:rPr>
          <w:w w:val="95"/>
          <w:sz w:val="20"/>
        </w:rPr>
        <w:t>net</w:t>
      </w:r>
      <w:r>
        <w:rPr>
          <w:spacing w:val="-3"/>
          <w:w w:val="95"/>
          <w:sz w:val="20"/>
        </w:rPr>
        <w:t xml:space="preserve"> </w:t>
      </w:r>
      <w:r>
        <w:rPr>
          <w:w w:val="95"/>
          <w:sz w:val="20"/>
        </w:rPr>
        <w:t>proceeds</w:t>
      </w:r>
      <w:r>
        <w:rPr>
          <w:spacing w:val="-3"/>
          <w:w w:val="95"/>
          <w:sz w:val="20"/>
        </w:rPr>
        <w:t xml:space="preserve"> </w:t>
      </w:r>
      <w:r>
        <w:rPr>
          <w:w w:val="95"/>
          <w:sz w:val="20"/>
        </w:rPr>
        <w:t>of</w:t>
      </w:r>
      <w:r>
        <w:rPr>
          <w:spacing w:val="-3"/>
          <w:w w:val="95"/>
          <w:sz w:val="20"/>
        </w:rPr>
        <w:t xml:space="preserve"> </w:t>
      </w:r>
      <w:r>
        <w:rPr>
          <w:w w:val="95"/>
          <w:sz w:val="20"/>
        </w:rPr>
        <w:t xml:space="preserve">assets </w:t>
      </w:r>
      <w:r>
        <w:rPr>
          <w:sz w:val="20"/>
        </w:rPr>
        <w:t>sales and other windfall gains</w:t>
      </w:r>
    </w:p>
    <w:p w:rsidR="002C1123" w:rsidRDefault="00F22F94">
      <w:pPr>
        <w:pStyle w:val="ListParagraph"/>
        <w:numPr>
          <w:ilvl w:val="0"/>
          <w:numId w:val="191"/>
        </w:numPr>
        <w:tabs>
          <w:tab w:val="left" w:pos="776"/>
        </w:tabs>
        <w:spacing w:before="130" w:line="249" w:lineRule="auto"/>
        <w:ind w:right="163"/>
        <w:rPr>
          <w:sz w:val="20"/>
        </w:rPr>
      </w:pPr>
      <w:r>
        <w:rPr>
          <w:w w:val="95"/>
          <w:sz w:val="20"/>
        </w:rPr>
        <w:t xml:space="preserve">Reduction of public transport subsidies, consistent </w:t>
      </w:r>
      <w:r>
        <w:rPr>
          <w:sz w:val="20"/>
        </w:rPr>
        <w:t>with regulatory determinations</w:t>
      </w:r>
    </w:p>
    <w:p w:rsidR="002C1123" w:rsidRDefault="00F22F94">
      <w:pPr>
        <w:pStyle w:val="ListParagraph"/>
        <w:numPr>
          <w:ilvl w:val="0"/>
          <w:numId w:val="191"/>
        </w:numPr>
        <w:tabs>
          <w:tab w:val="left" w:pos="776"/>
        </w:tabs>
        <w:spacing w:before="131"/>
        <w:rPr>
          <w:sz w:val="20"/>
        </w:rPr>
      </w:pPr>
      <w:r>
        <w:rPr>
          <w:w w:val="95"/>
          <w:sz w:val="20"/>
        </w:rPr>
        <w:t>Limited</w:t>
      </w:r>
      <w:r>
        <w:rPr>
          <w:spacing w:val="-5"/>
          <w:w w:val="95"/>
          <w:sz w:val="20"/>
        </w:rPr>
        <w:t xml:space="preserve"> </w:t>
      </w:r>
      <w:r>
        <w:rPr>
          <w:w w:val="95"/>
          <w:sz w:val="20"/>
        </w:rPr>
        <w:t>reprioritisation</w:t>
      </w:r>
      <w:r>
        <w:rPr>
          <w:spacing w:val="-5"/>
          <w:w w:val="95"/>
          <w:sz w:val="20"/>
        </w:rPr>
        <w:t xml:space="preserve"> </w:t>
      </w:r>
      <w:r>
        <w:rPr>
          <w:w w:val="95"/>
          <w:sz w:val="20"/>
        </w:rPr>
        <w:t>of</w:t>
      </w:r>
      <w:r>
        <w:rPr>
          <w:spacing w:val="-4"/>
          <w:w w:val="95"/>
          <w:sz w:val="20"/>
        </w:rPr>
        <w:t xml:space="preserve"> </w:t>
      </w:r>
      <w:r>
        <w:rPr>
          <w:w w:val="95"/>
          <w:sz w:val="20"/>
        </w:rPr>
        <w:t>current</w:t>
      </w:r>
      <w:r>
        <w:rPr>
          <w:spacing w:val="-5"/>
          <w:w w:val="95"/>
          <w:sz w:val="20"/>
        </w:rPr>
        <w:t xml:space="preserve"> </w:t>
      </w:r>
      <w:r>
        <w:rPr>
          <w:w w:val="95"/>
          <w:sz w:val="20"/>
        </w:rPr>
        <w:t>capital</w:t>
      </w:r>
      <w:r>
        <w:rPr>
          <w:spacing w:val="-4"/>
          <w:w w:val="95"/>
          <w:sz w:val="20"/>
        </w:rPr>
        <w:t xml:space="preserve"> plans</w:t>
      </w:r>
    </w:p>
    <w:p w:rsidR="002C1123" w:rsidRDefault="00F22F94">
      <w:pPr>
        <w:pStyle w:val="ListParagraph"/>
        <w:numPr>
          <w:ilvl w:val="0"/>
          <w:numId w:val="191"/>
        </w:numPr>
        <w:tabs>
          <w:tab w:val="left" w:pos="776"/>
        </w:tabs>
        <w:spacing w:before="139" w:line="249" w:lineRule="auto"/>
        <w:ind w:right="129"/>
        <w:rPr>
          <w:sz w:val="20"/>
        </w:rPr>
      </w:pPr>
      <w:r>
        <w:rPr>
          <w:w w:val="95"/>
          <w:sz w:val="20"/>
        </w:rPr>
        <w:t xml:space="preserve">Commonwealth contributions for projects that align </w:t>
      </w:r>
      <w:r>
        <w:rPr>
          <w:sz w:val="20"/>
        </w:rPr>
        <w:t>with</w:t>
      </w:r>
      <w:r>
        <w:rPr>
          <w:spacing w:val="-14"/>
          <w:sz w:val="20"/>
        </w:rPr>
        <w:t xml:space="preserve"> </w:t>
      </w:r>
      <w:r>
        <w:rPr>
          <w:sz w:val="20"/>
        </w:rPr>
        <w:t>Infrastructure</w:t>
      </w:r>
      <w:r>
        <w:rPr>
          <w:spacing w:val="-14"/>
          <w:sz w:val="20"/>
        </w:rPr>
        <w:t xml:space="preserve"> </w:t>
      </w:r>
      <w:r>
        <w:rPr>
          <w:sz w:val="20"/>
        </w:rPr>
        <w:t>Australia’s</w:t>
      </w:r>
      <w:r>
        <w:rPr>
          <w:spacing w:val="-14"/>
          <w:sz w:val="20"/>
        </w:rPr>
        <w:t xml:space="preserve"> </w:t>
      </w:r>
      <w:r>
        <w:rPr>
          <w:sz w:val="20"/>
        </w:rPr>
        <w:t>key</w:t>
      </w:r>
      <w:r>
        <w:rPr>
          <w:spacing w:val="-13"/>
          <w:sz w:val="20"/>
        </w:rPr>
        <w:t xml:space="preserve"> </w:t>
      </w:r>
      <w:r>
        <w:rPr>
          <w:sz w:val="20"/>
        </w:rPr>
        <w:t>themes</w:t>
      </w:r>
    </w:p>
    <w:p w:rsidR="002C1123" w:rsidRDefault="00F22F94">
      <w:pPr>
        <w:pStyle w:val="ListParagraph"/>
        <w:numPr>
          <w:ilvl w:val="0"/>
          <w:numId w:val="191"/>
        </w:numPr>
        <w:tabs>
          <w:tab w:val="left" w:pos="776"/>
        </w:tabs>
        <w:spacing w:before="131" w:line="249" w:lineRule="auto"/>
        <w:ind w:right="1143"/>
        <w:rPr>
          <w:sz w:val="20"/>
        </w:rPr>
      </w:pPr>
      <w:r>
        <w:rPr>
          <w:w w:val="95"/>
          <w:sz w:val="20"/>
        </w:rPr>
        <w:t>Value</w:t>
      </w:r>
      <w:r>
        <w:rPr>
          <w:spacing w:val="-12"/>
          <w:w w:val="95"/>
          <w:sz w:val="20"/>
        </w:rPr>
        <w:t xml:space="preserve"> </w:t>
      </w:r>
      <w:r>
        <w:rPr>
          <w:w w:val="95"/>
          <w:sz w:val="20"/>
        </w:rPr>
        <w:t>capture</w:t>
      </w:r>
      <w:r>
        <w:rPr>
          <w:spacing w:val="-11"/>
          <w:w w:val="95"/>
          <w:sz w:val="20"/>
        </w:rPr>
        <w:t xml:space="preserve"> </w:t>
      </w:r>
      <w:r>
        <w:rPr>
          <w:w w:val="95"/>
          <w:sz w:val="20"/>
        </w:rPr>
        <w:t>from</w:t>
      </w:r>
      <w:r>
        <w:rPr>
          <w:spacing w:val="-11"/>
          <w:w w:val="95"/>
          <w:sz w:val="20"/>
        </w:rPr>
        <w:t xml:space="preserve"> </w:t>
      </w:r>
      <w:r>
        <w:rPr>
          <w:w w:val="95"/>
          <w:sz w:val="20"/>
        </w:rPr>
        <w:t>beneficiaries</w:t>
      </w:r>
      <w:r>
        <w:rPr>
          <w:spacing w:val="-11"/>
          <w:w w:val="95"/>
          <w:sz w:val="20"/>
        </w:rPr>
        <w:t xml:space="preserve"> </w:t>
      </w:r>
      <w:r>
        <w:rPr>
          <w:w w:val="95"/>
          <w:sz w:val="20"/>
        </w:rPr>
        <w:t>of</w:t>
      </w:r>
      <w:r>
        <w:rPr>
          <w:spacing w:val="-11"/>
          <w:w w:val="95"/>
          <w:sz w:val="20"/>
        </w:rPr>
        <w:t xml:space="preserve"> </w:t>
      </w:r>
      <w:r>
        <w:rPr>
          <w:w w:val="95"/>
          <w:sz w:val="20"/>
        </w:rPr>
        <w:t xml:space="preserve">new </w:t>
      </w:r>
      <w:r>
        <w:rPr>
          <w:sz w:val="20"/>
        </w:rPr>
        <w:t>infrastructure, where feasible.</w:t>
      </w:r>
    </w:p>
    <w:p w:rsidR="002C1123" w:rsidRDefault="00F22F94">
      <w:pPr>
        <w:pStyle w:val="BodyText"/>
        <w:spacing w:before="106" w:line="249" w:lineRule="auto"/>
        <w:ind w:left="241" w:right="5666"/>
      </w:pPr>
      <w:r>
        <w:br w:type="column"/>
      </w:r>
      <w:r>
        <w:t>WestConnex</w:t>
      </w:r>
      <w:r>
        <w:rPr>
          <w:spacing w:val="-8"/>
        </w:rPr>
        <w:t xml:space="preserve"> </w:t>
      </w:r>
      <w:r>
        <w:t>is</w:t>
      </w:r>
      <w:r>
        <w:rPr>
          <w:spacing w:val="-8"/>
        </w:rPr>
        <w:t xml:space="preserve"> </w:t>
      </w:r>
      <w:r>
        <w:t>proposed</w:t>
      </w:r>
      <w:r>
        <w:rPr>
          <w:spacing w:val="-8"/>
        </w:rPr>
        <w:t xml:space="preserve"> </w:t>
      </w:r>
      <w:r>
        <w:t>to</w:t>
      </w:r>
      <w:r>
        <w:rPr>
          <w:spacing w:val="-8"/>
        </w:rPr>
        <w:t xml:space="preserve"> </w:t>
      </w:r>
      <w:r>
        <w:t>be</w:t>
      </w:r>
      <w:r>
        <w:rPr>
          <w:spacing w:val="-8"/>
        </w:rPr>
        <w:t xml:space="preserve"> </w:t>
      </w:r>
      <w:r>
        <w:t>predominantly</w:t>
      </w:r>
      <w:r>
        <w:rPr>
          <w:spacing w:val="-8"/>
        </w:rPr>
        <w:t xml:space="preserve"> </w:t>
      </w:r>
      <w:r>
        <w:t xml:space="preserve">user </w:t>
      </w:r>
      <w:r>
        <w:rPr>
          <w:w w:val="95"/>
        </w:rPr>
        <w:t>funded,</w:t>
      </w:r>
      <w:r>
        <w:rPr>
          <w:spacing w:val="-1"/>
          <w:w w:val="95"/>
        </w:rPr>
        <w:t xml:space="preserve"> </w:t>
      </w:r>
      <w:r>
        <w:rPr>
          <w:w w:val="95"/>
        </w:rPr>
        <w:t>with</w:t>
      </w:r>
      <w:r>
        <w:rPr>
          <w:spacing w:val="-1"/>
          <w:w w:val="95"/>
        </w:rPr>
        <w:t xml:space="preserve"> </w:t>
      </w:r>
      <w:r>
        <w:rPr>
          <w:w w:val="95"/>
        </w:rPr>
        <w:t>limited</w:t>
      </w:r>
      <w:r>
        <w:rPr>
          <w:spacing w:val="-1"/>
          <w:w w:val="95"/>
        </w:rPr>
        <w:t xml:space="preserve"> </w:t>
      </w:r>
      <w:r>
        <w:rPr>
          <w:w w:val="95"/>
        </w:rPr>
        <w:t>Government</w:t>
      </w:r>
      <w:r>
        <w:rPr>
          <w:spacing w:val="-1"/>
          <w:w w:val="95"/>
        </w:rPr>
        <w:t xml:space="preserve"> </w:t>
      </w:r>
      <w:r>
        <w:rPr>
          <w:w w:val="95"/>
        </w:rPr>
        <w:t>financial</w:t>
      </w:r>
      <w:r>
        <w:rPr>
          <w:spacing w:val="-1"/>
          <w:w w:val="95"/>
        </w:rPr>
        <w:t xml:space="preserve"> </w:t>
      </w:r>
      <w:r>
        <w:rPr>
          <w:w w:val="95"/>
        </w:rPr>
        <w:t>support</w:t>
      </w:r>
      <w:r>
        <w:rPr>
          <w:spacing w:val="-1"/>
          <w:w w:val="95"/>
        </w:rPr>
        <w:t xml:space="preserve"> </w:t>
      </w:r>
      <w:r>
        <w:rPr>
          <w:w w:val="95"/>
        </w:rPr>
        <w:t>in</w:t>
      </w:r>
      <w:r>
        <w:rPr>
          <w:spacing w:val="-1"/>
          <w:w w:val="95"/>
        </w:rPr>
        <w:t xml:space="preserve"> </w:t>
      </w:r>
      <w:r>
        <w:rPr>
          <w:w w:val="95"/>
        </w:rPr>
        <w:t xml:space="preserve">the </w:t>
      </w:r>
      <w:r>
        <w:t>early</w:t>
      </w:r>
      <w:r>
        <w:rPr>
          <w:spacing w:val="-11"/>
        </w:rPr>
        <w:t xml:space="preserve"> </w:t>
      </w:r>
      <w:r>
        <w:t>years.</w:t>
      </w:r>
    </w:p>
    <w:p w:rsidR="002C1123" w:rsidRDefault="00F22F94">
      <w:pPr>
        <w:pStyle w:val="Heading6"/>
        <w:spacing w:before="145"/>
        <w:ind w:left="241"/>
      </w:pPr>
      <w:r>
        <w:rPr>
          <w:color w:val="2E3092"/>
          <w:spacing w:val="-2"/>
        </w:rPr>
        <w:t>Recommendations</w:t>
      </w:r>
    </w:p>
    <w:p w:rsidR="002C1123" w:rsidRDefault="00F22F94">
      <w:pPr>
        <w:pStyle w:val="BodyText"/>
        <w:spacing w:before="10" w:line="249" w:lineRule="auto"/>
        <w:ind w:left="241" w:right="5924"/>
      </w:pPr>
      <w:r>
        <w:t>Infrastructure</w:t>
      </w:r>
      <w:r>
        <w:rPr>
          <w:spacing w:val="-14"/>
        </w:rPr>
        <w:t xml:space="preserve"> </w:t>
      </w:r>
      <w:r>
        <w:t>NSW’s</w:t>
      </w:r>
      <w:r>
        <w:rPr>
          <w:spacing w:val="-14"/>
        </w:rPr>
        <w:t xml:space="preserve"> </w:t>
      </w:r>
      <w:r>
        <w:t>recommendations</w:t>
      </w:r>
      <w:r>
        <w:rPr>
          <w:spacing w:val="-14"/>
        </w:rPr>
        <w:t xml:space="preserve"> </w:t>
      </w:r>
      <w:r>
        <w:t>have</w:t>
      </w:r>
      <w:r>
        <w:rPr>
          <w:spacing w:val="-14"/>
        </w:rPr>
        <w:t xml:space="preserve"> </w:t>
      </w:r>
      <w:r>
        <w:t>been made</w:t>
      </w:r>
      <w:r>
        <w:rPr>
          <w:spacing w:val="-14"/>
        </w:rPr>
        <w:t xml:space="preserve"> </w:t>
      </w:r>
      <w:r>
        <w:t>for</w:t>
      </w:r>
      <w:r>
        <w:rPr>
          <w:spacing w:val="-14"/>
        </w:rPr>
        <w:t xml:space="preserve"> </w:t>
      </w:r>
      <w:r>
        <w:t>each</w:t>
      </w:r>
      <w:r>
        <w:rPr>
          <w:spacing w:val="-14"/>
        </w:rPr>
        <w:t xml:space="preserve"> </w:t>
      </w:r>
      <w:r>
        <w:t>class</w:t>
      </w:r>
      <w:r>
        <w:rPr>
          <w:spacing w:val="-13"/>
        </w:rPr>
        <w:t xml:space="preserve"> </w:t>
      </w:r>
      <w:r>
        <w:t>of</w:t>
      </w:r>
      <w:r>
        <w:rPr>
          <w:spacing w:val="-14"/>
        </w:rPr>
        <w:t xml:space="preserve"> </w:t>
      </w:r>
      <w:r>
        <w:t>infrastructure</w:t>
      </w:r>
      <w:r>
        <w:rPr>
          <w:spacing w:val="-14"/>
        </w:rPr>
        <w:t xml:space="preserve"> </w:t>
      </w:r>
      <w:r>
        <w:t>and</w:t>
      </w:r>
      <w:r>
        <w:rPr>
          <w:spacing w:val="-14"/>
        </w:rPr>
        <w:t xml:space="preserve"> </w:t>
      </w:r>
      <w:r>
        <w:t>are</w:t>
      </w:r>
      <w:r>
        <w:rPr>
          <w:spacing w:val="-13"/>
        </w:rPr>
        <w:t xml:space="preserve"> </w:t>
      </w:r>
      <w:r>
        <w:t xml:space="preserve">phased </w:t>
      </w:r>
      <w:r>
        <w:rPr>
          <w:spacing w:val="-4"/>
        </w:rPr>
        <w:t>between</w:t>
      </w:r>
      <w:r>
        <w:rPr>
          <w:spacing w:val="-12"/>
        </w:rPr>
        <w:t xml:space="preserve"> </w:t>
      </w:r>
      <w:r>
        <w:rPr>
          <w:spacing w:val="-4"/>
        </w:rPr>
        <w:t>2012-17,</w:t>
      </w:r>
      <w:r>
        <w:rPr>
          <w:spacing w:val="-12"/>
        </w:rPr>
        <w:t xml:space="preserve"> </w:t>
      </w:r>
      <w:r>
        <w:rPr>
          <w:spacing w:val="-4"/>
        </w:rPr>
        <w:t>2017-22</w:t>
      </w:r>
      <w:r>
        <w:rPr>
          <w:spacing w:val="-12"/>
        </w:rPr>
        <w:t xml:space="preserve"> </w:t>
      </w:r>
      <w:r>
        <w:rPr>
          <w:spacing w:val="-4"/>
        </w:rPr>
        <w:t>and</w:t>
      </w:r>
      <w:r>
        <w:rPr>
          <w:spacing w:val="-12"/>
        </w:rPr>
        <w:t xml:space="preserve"> </w:t>
      </w:r>
      <w:r>
        <w:rPr>
          <w:spacing w:val="-4"/>
        </w:rPr>
        <w:t>2022-32.</w:t>
      </w:r>
      <w:r>
        <w:rPr>
          <w:spacing w:val="-12"/>
        </w:rPr>
        <w:t xml:space="preserve"> </w:t>
      </w:r>
      <w:r>
        <w:rPr>
          <w:spacing w:val="-4"/>
        </w:rPr>
        <w:t>The</w:t>
      </w:r>
      <w:r>
        <w:rPr>
          <w:spacing w:val="-12"/>
        </w:rPr>
        <w:t xml:space="preserve"> </w:t>
      </w:r>
      <w:r>
        <w:rPr>
          <w:spacing w:val="-4"/>
        </w:rPr>
        <w:t xml:space="preserve">principal </w:t>
      </w:r>
      <w:r>
        <w:t>recommendations</w:t>
      </w:r>
      <w:r>
        <w:rPr>
          <w:spacing w:val="-14"/>
        </w:rPr>
        <w:t xml:space="preserve"> </w:t>
      </w:r>
      <w:r>
        <w:t>are</w:t>
      </w:r>
      <w:r>
        <w:rPr>
          <w:spacing w:val="-14"/>
        </w:rPr>
        <w:t xml:space="preserve"> </w:t>
      </w:r>
      <w:r>
        <w:t>summarised</w:t>
      </w:r>
      <w:r>
        <w:rPr>
          <w:spacing w:val="-14"/>
        </w:rPr>
        <w:t xml:space="preserve"> </w:t>
      </w:r>
      <w:r>
        <w:t>on</w:t>
      </w:r>
      <w:r>
        <w:rPr>
          <w:spacing w:val="-14"/>
        </w:rPr>
        <w:t xml:space="preserve"> </w:t>
      </w:r>
      <w:r>
        <w:t>the</w:t>
      </w:r>
      <w:r>
        <w:rPr>
          <w:spacing w:val="-14"/>
        </w:rPr>
        <w:t xml:space="preserve"> </w:t>
      </w:r>
      <w:r>
        <w:t>next</w:t>
      </w:r>
      <w:r>
        <w:rPr>
          <w:spacing w:val="-14"/>
        </w:rPr>
        <w:t xml:space="preserve"> </w:t>
      </w:r>
      <w:r>
        <w:t xml:space="preserve">page. </w:t>
      </w:r>
      <w:r>
        <w:rPr>
          <w:w w:val="95"/>
        </w:rPr>
        <w:t>The</w:t>
      </w:r>
      <w:r>
        <w:rPr>
          <w:spacing w:val="-8"/>
          <w:w w:val="95"/>
        </w:rPr>
        <w:t xml:space="preserve"> </w:t>
      </w:r>
      <w:r>
        <w:rPr>
          <w:w w:val="95"/>
        </w:rPr>
        <w:t>full</w:t>
      </w:r>
      <w:r>
        <w:rPr>
          <w:spacing w:val="-8"/>
          <w:w w:val="95"/>
        </w:rPr>
        <w:t xml:space="preserve"> </w:t>
      </w:r>
      <w:r>
        <w:rPr>
          <w:w w:val="95"/>
        </w:rPr>
        <w:t>list</w:t>
      </w:r>
      <w:r>
        <w:rPr>
          <w:spacing w:val="-8"/>
          <w:w w:val="95"/>
        </w:rPr>
        <w:t xml:space="preserve"> </w:t>
      </w:r>
      <w:r>
        <w:rPr>
          <w:w w:val="95"/>
        </w:rPr>
        <w:t>of</w:t>
      </w:r>
      <w:r>
        <w:rPr>
          <w:spacing w:val="-8"/>
          <w:w w:val="95"/>
        </w:rPr>
        <w:t xml:space="preserve"> </w:t>
      </w:r>
      <w:r>
        <w:rPr>
          <w:w w:val="95"/>
        </w:rPr>
        <w:t>recommendations</w:t>
      </w:r>
      <w:r>
        <w:rPr>
          <w:spacing w:val="-8"/>
          <w:w w:val="95"/>
        </w:rPr>
        <w:t xml:space="preserve"> </w:t>
      </w:r>
      <w:r>
        <w:rPr>
          <w:w w:val="95"/>
        </w:rPr>
        <w:t>is</w:t>
      </w:r>
      <w:r>
        <w:rPr>
          <w:spacing w:val="-8"/>
          <w:w w:val="95"/>
        </w:rPr>
        <w:t xml:space="preserve"> </w:t>
      </w:r>
      <w:r>
        <w:rPr>
          <w:w w:val="95"/>
        </w:rPr>
        <w:t>set</w:t>
      </w:r>
      <w:r>
        <w:rPr>
          <w:spacing w:val="-8"/>
          <w:w w:val="95"/>
        </w:rPr>
        <w:t xml:space="preserve"> </w:t>
      </w:r>
      <w:r>
        <w:rPr>
          <w:w w:val="95"/>
        </w:rPr>
        <w:t>out</w:t>
      </w:r>
      <w:r>
        <w:rPr>
          <w:spacing w:val="-8"/>
          <w:w w:val="95"/>
        </w:rPr>
        <w:t xml:space="preserve"> </w:t>
      </w:r>
      <w:r>
        <w:rPr>
          <w:w w:val="95"/>
        </w:rPr>
        <w:t>in</w:t>
      </w:r>
      <w:r>
        <w:rPr>
          <w:spacing w:val="-8"/>
          <w:w w:val="95"/>
        </w:rPr>
        <w:t xml:space="preserve"> </w:t>
      </w:r>
      <w:r>
        <w:rPr>
          <w:w w:val="95"/>
        </w:rPr>
        <w:t>Section</w:t>
      </w:r>
      <w:r>
        <w:rPr>
          <w:spacing w:val="-8"/>
          <w:w w:val="95"/>
        </w:rPr>
        <w:t xml:space="preserve"> </w:t>
      </w:r>
      <w:r>
        <w:rPr>
          <w:w w:val="95"/>
        </w:rPr>
        <w:t xml:space="preserve">15 </w:t>
      </w:r>
      <w:r>
        <w:t>of the Strategy.</w:t>
      </w:r>
    </w:p>
    <w:p w:rsidR="002C1123" w:rsidRDefault="00F22F94">
      <w:pPr>
        <w:pStyle w:val="BodyText"/>
        <w:spacing w:before="146" w:line="249" w:lineRule="auto"/>
        <w:ind w:left="241" w:right="5852"/>
      </w:pPr>
      <w:r>
        <w:t>The</w:t>
      </w:r>
      <w:r>
        <w:rPr>
          <w:spacing w:val="-10"/>
        </w:rPr>
        <w:t xml:space="preserve"> </w:t>
      </w:r>
      <w:r>
        <w:t>recommendations</w:t>
      </w:r>
      <w:r>
        <w:rPr>
          <w:spacing w:val="-10"/>
        </w:rPr>
        <w:t xml:space="preserve"> </w:t>
      </w:r>
      <w:r>
        <w:t>have</w:t>
      </w:r>
      <w:r>
        <w:rPr>
          <w:spacing w:val="-10"/>
        </w:rPr>
        <w:t xml:space="preserve"> </w:t>
      </w:r>
      <w:r>
        <w:t>been</w:t>
      </w:r>
      <w:r>
        <w:rPr>
          <w:spacing w:val="-10"/>
        </w:rPr>
        <w:t xml:space="preserve"> </w:t>
      </w:r>
      <w:r>
        <w:t>developed</w:t>
      </w:r>
      <w:r>
        <w:rPr>
          <w:spacing w:val="-10"/>
        </w:rPr>
        <w:t xml:space="preserve"> </w:t>
      </w:r>
      <w:r>
        <w:t>to</w:t>
      </w:r>
      <w:r>
        <w:rPr>
          <w:spacing w:val="-10"/>
        </w:rPr>
        <w:t xml:space="preserve"> </w:t>
      </w:r>
      <w:r>
        <w:t xml:space="preserve">be </w:t>
      </w:r>
      <w:r>
        <w:rPr>
          <w:w w:val="95"/>
        </w:rPr>
        <w:t>realistically</w:t>
      </w:r>
      <w:r>
        <w:rPr>
          <w:spacing w:val="-9"/>
          <w:w w:val="95"/>
        </w:rPr>
        <w:t xml:space="preserve"> </w:t>
      </w:r>
      <w:r>
        <w:rPr>
          <w:w w:val="95"/>
        </w:rPr>
        <w:t>affordable</w:t>
      </w:r>
      <w:r>
        <w:rPr>
          <w:spacing w:val="-9"/>
          <w:w w:val="95"/>
        </w:rPr>
        <w:t xml:space="preserve"> </w:t>
      </w:r>
      <w:r>
        <w:rPr>
          <w:w w:val="95"/>
        </w:rPr>
        <w:t>and</w:t>
      </w:r>
      <w:r>
        <w:rPr>
          <w:spacing w:val="-9"/>
          <w:w w:val="95"/>
        </w:rPr>
        <w:t xml:space="preserve"> </w:t>
      </w:r>
      <w:r>
        <w:rPr>
          <w:w w:val="95"/>
        </w:rPr>
        <w:t>capable</w:t>
      </w:r>
      <w:r>
        <w:rPr>
          <w:spacing w:val="-9"/>
          <w:w w:val="95"/>
        </w:rPr>
        <w:t xml:space="preserve"> </w:t>
      </w:r>
      <w:r>
        <w:rPr>
          <w:w w:val="95"/>
        </w:rPr>
        <w:t>of</w:t>
      </w:r>
      <w:r>
        <w:rPr>
          <w:spacing w:val="-9"/>
          <w:w w:val="95"/>
        </w:rPr>
        <w:t xml:space="preserve"> </w:t>
      </w:r>
      <w:r>
        <w:rPr>
          <w:w w:val="95"/>
        </w:rPr>
        <w:t>being</w:t>
      </w:r>
      <w:r>
        <w:rPr>
          <w:spacing w:val="-9"/>
          <w:w w:val="95"/>
        </w:rPr>
        <w:t xml:space="preserve"> </w:t>
      </w:r>
      <w:r>
        <w:rPr>
          <w:w w:val="95"/>
        </w:rPr>
        <w:t>delivered.</w:t>
      </w:r>
    </w:p>
    <w:p w:rsidR="002C1123" w:rsidRDefault="00F22F94">
      <w:pPr>
        <w:pStyle w:val="BodyText"/>
        <w:spacing w:before="144" w:line="249" w:lineRule="auto"/>
        <w:ind w:left="241" w:right="5666"/>
      </w:pPr>
      <w:r>
        <w:t>The</w:t>
      </w:r>
      <w:r>
        <w:rPr>
          <w:spacing w:val="-8"/>
        </w:rPr>
        <w:t xml:space="preserve"> </w:t>
      </w:r>
      <w:r>
        <w:t>scoping</w:t>
      </w:r>
      <w:r>
        <w:rPr>
          <w:spacing w:val="-8"/>
        </w:rPr>
        <w:t xml:space="preserve"> </w:t>
      </w:r>
      <w:r>
        <w:t>estimate</w:t>
      </w:r>
      <w:r>
        <w:rPr>
          <w:spacing w:val="-8"/>
        </w:rPr>
        <w:t xml:space="preserve"> </w:t>
      </w:r>
      <w:r>
        <w:t>for</w:t>
      </w:r>
      <w:r>
        <w:rPr>
          <w:spacing w:val="-8"/>
        </w:rPr>
        <w:t xml:space="preserve"> </w:t>
      </w:r>
      <w:r>
        <w:t>the</w:t>
      </w:r>
      <w:r>
        <w:rPr>
          <w:spacing w:val="-8"/>
        </w:rPr>
        <w:t xml:space="preserve"> </w:t>
      </w:r>
      <w:r>
        <w:t>priority</w:t>
      </w:r>
      <w:r>
        <w:rPr>
          <w:spacing w:val="-8"/>
        </w:rPr>
        <w:t xml:space="preserve"> </w:t>
      </w:r>
      <w:r>
        <w:t>projects</w:t>
      </w:r>
      <w:r>
        <w:rPr>
          <w:spacing w:val="-8"/>
        </w:rPr>
        <w:t xml:space="preserve"> </w:t>
      </w:r>
      <w:r>
        <w:t xml:space="preserve">and </w:t>
      </w:r>
      <w:r>
        <w:rPr>
          <w:w w:val="95"/>
        </w:rPr>
        <w:t>programs</w:t>
      </w:r>
      <w:r>
        <w:rPr>
          <w:spacing w:val="-3"/>
          <w:w w:val="95"/>
        </w:rPr>
        <w:t xml:space="preserve"> </w:t>
      </w:r>
      <w:r>
        <w:rPr>
          <w:w w:val="95"/>
        </w:rPr>
        <w:t>(excluding</w:t>
      </w:r>
      <w:r>
        <w:rPr>
          <w:spacing w:val="-3"/>
          <w:w w:val="95"/>
        </w:rPr>
        <w:t xml:space="preserve"> </w:t>
      </w:r>
      <w:r>
        <w:rPr>
          <w:w w:val="95"/>
        </w:rPr>
        <w:t>existing</w:t>
      </w:r>
      <w:r>
        <w:rPr>
          <w:spacing w:val="-3"/>
          <w:w w:val="95"/>
        </w:rPr>
        <w:t xml:space="preserve"> </w:t>
      </w:r>
      <w:r>
        <w:rPr>
          <w:w w:val="95"/>
        </w:rPr>
        <w:t>Government</w:t>
      </w:r>
      <w:r>
        <w:rPr>
          <w:spacing w:val="-3"/>
          <w:w w:val="95"/>
        </w:rPr>
        <w:t xml:space="preserve"> </w:t>
      </w:r>
      <w:r>
        <w:rPr>
          <w:w w:val="95"/>
        </w:rPr>
        <w:t xml:space="preserve">commitments) </w:t>
      </w:r>
      <w:r>
        <w:t>is</w:t>
      </w:r>
      <w:r>
        <w:rPr>
          <w:spacing w:val="-10"/>
        </w:rPr>
        <w:t xml:space="preserve"> </w:t>
      </w:r>
      <w:r>
        <w:t>$30</w:t>
      </w:r>
      <w:r>
        <w:rPr>
          <w:spacing w:val="-10"/>
        </w:rPr>
        <w:t xml:space="preserve"> </w:t>
      </w:r>
      <w:r>
        <w:t>billion.</w:t>
      </w:r>
      <w:r>
        <w:rPr>
          <w:spacing w:val="-10"/>
        </w:rPr>
        <w:t xml:space="preserve"> </w:t>
      </w:r>
      <w:r>
        <w:t>After</w:t>
      </w:r>
      <w:r>
        <w:rPr>
          <w:spacing w:val="-10"/>
        </w:rPr>
        <w:t xml:space="preserve"> </w:t>
      </w:r>
      <w:r>
        <w:t>deducting</w:t>
      </w:r>
      <w:r>
        <w:rPr>
          <w:spacing w:val="-10"/>
        </w:rPr>
        <w:t xml:space="preserve"> </w:t>
      </w:r>
      <w:r>
        <w:t>assumed</w:t>
      </w:r>
      <w:r>
        <w:rPr>
          <w:spacing w:val="-10"/>
        </w:rPr>
        <w:t xml:space="preserve"> </w:t>
      </w:r>
      <w:r>
        <w:t>user</w:t>
      </w:r>
      <w:r>
        <w:rPr>
          <w:spacing w:val="-10"/>
        </w:rPr>
        <w:t xml:space="preserve"> </w:t>
      </w:r>
      <w:r>
        <w:t>funding</w:t>
      </w:r>
      <w:r>
        <w:rPr>
          <w:spacing w:val="-10"/>
        </w:rPr>
        <w:t xml:space="preserve"> </w:t>
      </w:r>
      <w:r>
        <w:t>of</w:t>
      </w:r>
    </w:p>
    <w:p w:rsidR="002C1123" w:rsidRDefault="00F22F94">
      <w:pPr>
        <w:pStyle w:val="BodyText"/>
        <w:spacing w:before="2" w:line="249" w:lineRule="auto"/>
        <w:ind w:left="241" w:right="5666"/>
      </w:pPr>
      <w:r>
        <w:rPr>
          <w:w w:val="95"/>
        </w:rPr>
        <w:t>$10</w:t>
      </w:r>
      <w:r>
        <w:rPr>
          <w:spacing w:val="-8"/>
          <w:w w:val="95"/>
        </w:rPr>
        <w:t xml:space="preserve"> </w:t>
      </w:r>
      <w:r>
        <w:rPr>
          <w:w w:val="95"/>
        </w:rPr>
        <w:t>billion,</w:t>
      </w:r>
      <w:r>
        <w:rPr>
          <w:spacing w:val="-8"/>
          <w:w w:val="95"/>
        </w:rPr>
        <w:t xml:space="preserve"> </w:t>
      </w:r>
      <w:r>
        <w:rPr>
          <w:w w:val="95"/>
        </w:rPr>
        <w:t>the</w:t>
      </w:r>
      <w:r>
        <w:rPr>
          <w:spacing w:val="-8"/>
          <w:w w:val="95"/>
        </w:rPr>
        <w:t xml:space="preserve"> </w:t>
      </w:r>
      <w:r>
        <w:rPr>
          <w:w w:val="95"/>
        </w:rPr>
        <w:t>incremental</w:t>
      </w:r>
      <w:r>
        <w:rPr>
          <w:spacing w:val="-8"/>
          <w:w w:val="95"/>
        </w:rPr>
        <w:t xml:space="preserve"> </w:t>
      </w:r>
      <w:r>
        <w:rPr>
          <w:w w:val="95"/>
        </w:rPr>
        <w:t>cost</w:t>
      </w:r>
      <w:r>
        <w:rPr>
          <w:spacing w:val="-8"/>
          <w:w w:val="95"/>
        </w:rPr>
        <w:t xml:space="preserve"> </w:t>
      </w:r>
      <w:r>
        <w:rPr>
          <w:w w:val="95"/>
        </w:rPr>
        <w:t>to</w:t>
      </w:r>
      <w:r>
        <w:rPr>
          <w:spacing w:val="-8"/>
          <w:w w:val="95"/>
        </w:rPr>
        <w:t xml:space="preserve"> </w:t>
      </w:r>
      <w:r>
        <w:rPr>
          <w:w w:val="95"/>
        </w:rPr>
        <w:t>the</w:t>
      </w:r>
      <w:r>
        <w:rPr>
          <w:spacing w:val="-8"/>
          <w:w w:val="95"/>
        </w:rPr>
        <w:t xml:space="preserve"> </w:t>
      </w:r>
      <w:r>
        <w:rPr>
          <w:w w:val="95"/>
        </w:rPr>
        <w:t>State</w:t>
      </w:r>
      <w:r>
        <w:rPr>
          <w:spacing w:val="-8"/>
          <w:w w:val="95"/>
        </w:rPr>
        <w:t xml:space="preserve"> </w:t>
      </w:r>
      <w:r>
        <w:rPr>
          <w:w w:val="95"/>
        </w:rPr>
        <w:t>is</w:t>
      </w:r>
      <w:r>
        <w:rPr>
          <w:spacing w:val="-8"/>
          <w:w w:val="95"/>
        </w:rPr>
        <w:t xml:space="preserve"> </w:t>
      </w:r>
      <w:r>
        <w:rPr>
          <w:w w:val="95"/>
        </w:rPr>
        <w:t>$20</w:t>
      </w:r>
      <w:r>
        <w:rPr>
          <w:spacing w:val="-8"/>
          <w:w w:val="95"/>
        </w:rPr>
        <w:t xml:space="preserve"> </w:t>
      </w:r>
      <w:r>
        <w:rPr>
          <w:w w:val="95"/>
        </w:rPr>
        <w:t>billion over</w:t>
      </w:r>
      <w:r>
        <w:rPr>
          <w:spacing w:val="-10"/>
          <w:w w:val="95"/>
        </w:rPr>
        <w:t xml:space="preserve"> </w:t>
      </w:r>
      <w:r>
        <w:rPr>
          <w:w w:val="95"/>
        </w:rPr>
        <w:t>20</w:t>
      </w:r>
      <w:r>
        <w:rPr>
          <w:spacing w:val="-10"/>
          <w:w w:val="95"/>
        </w:rPr>
        <w:t xml:space="preserve"> </w:t>
      </w:r>
      <w:r>
        <w:rPr>
          <w:w w:val="95"/>
        </w:rPr>
        <w:t>years.</w:t>
      </w:r>
      <w:r>
        <w:rPr>
          <w:spacing w:val="-10"/>
          <w:w w:val="95"/>
        </w:rPr>
        <w:t xml:space="preserve"> </w:t>
      </w:r>
      <w:r>
        <w:rPr>
          <w:w w:val="95"/>
        </w:rPr>
        <w:t>This</w:t>
      </w:r>
      <w:r>
        <w:rPr>
          <w:spacing w:val="-10"/>
          <w:w w:val="95"/>
        </w:rPr>
        <w:t xml:space="preserve"> </w:t>
      </w:r>
      <w:r>
        <w:rPr>
          <w:w w:val="95"/>
        </w:rPr>
        <w:t>averages</w:t>
      </w:r>
      <w:r>
        <w:rPr>
          <w:spacing w:val="-10"/>
          <w:w w:val="95"/>
        </w:rPr>
        <w:t xml:space="preserve"> </w:t>
      </w:r>
      <w:r>
        <w:rPr>
          <w:w w:val="95"/>
        </w:rPr>
        <w:t>about</w:t>
      </w:r>
      <w:r>
        <w:rPr>
          <w:spacing w:val="-10"/>
          <w:w w:val="95"/>
        </w:rPr>
        <w:t xml:space="preserve"> </w:t>
      </w:r>
      <w:r>
        <w:rPr>
          <w:w w:val="95"/>
        </w:rPr>
        <w:t>$1</w:t>
      </w:r>
      <w:r>
        <w:rPr>
          <w:spacing w:val="-10"/>
          <w:w w:val="95"/>
        </w:rPr>
        <w:t xml:space="preserve"> </w:t>
      </w:r>
      <w:r>
        <w:rPr>
          <w:w w:val="95"/>
        </w:rPr>
        <w:t>billion</w:t>
      </w:r>
      <w:r>
        <w:rPr>
          <w:spacing w:val="-10"/>
          <w:w w:val="95"/>
        </w:rPr>
        <w:t xml:space="preserve"> </w:t>
      </w:r>
      <w:r>
        <w:rPr>
          <w:w w:val="95"/>
        </w:rPr>
        <w:t>per</w:t>
      </w:r>
      <w:r>
        <w:rPr>
          <w:spacing w:val="-10"/>
          <w:w w:val="95"/>
        </w:rPr>
        <w:t xml:space="preserve"> </w:t>
      </w:r>
      <w:r>
        <w:rPr>
          <w:w w:val="95"/>
        </w:rPr>
        <w:t xml:space="preserve">annum, </w:t>
      </w:r>
      <w:r>
        <w:t>compared</w:t>
      </w:r>
      <w:r>
        <w:rPr>
          <w:spacing w:val="-3"/>
        </w:rPr>
        <w:t xml:space="preserve"> </w:t>
      </w:r>
      <w:r>
        <w:t>with</w:t>
      </w:r>
      <w:r>
        <w:rPr>
          <w:spacing w:val="-3"/>
        </w:rPr>
        <w:t xml:space="preserve"> </w:t>
      </w:r>
      <w:r>
        <w:t>total</w:t>
      </w:r>
      <w:r>
        <w:rPr>
          <w:spacing w:val="-3"/>
        </w:rPr>
        <w:t xml:space="preserve"> </w:t>
      </w:r>
      <w:r>
        <w:t>NSW</w:t>
      </w:r>
      <w:r>
        <w:rPr>
          <w:spacing w:val="-3"/>
        </w:rPr>
        <w:t xml:space="preserve"> </w:t>
      </w:r>
      <w:r>
        <w:t>Government</w:t>
      </w:r>
      <w:r>
        <w:rPr>
          <w:spacing w:val="-3"/>
        </w:rPr>
        <w:t xml:space="preserve"> </w:t>
      </w:r>
      <w:r>
        <w:t>capital expenditure</w:t>
      </w:r>
      <w:r>
        <w:rPr>
          <w:spacing w:val="-14"/>
        </w:rPr>
        <w:t xml:space="preserve"> </w:t>
      </w:r>
      <w:r>
        <w:t>of</w:t>
      </w:r>
      <w:r>
        <w:rPr>
          <w:spacing w:val="-14"/>
        </w:rPr>
        <w:t xml:space="preserve"> </w:t>
      </w:r>
      <w:r>
        <w:t>approximately</w:t>
      </w:r>
      <w:r>
        <w:rPr>
          <w:spacing w:val="-14"/>
        </w:rPr>
        <w:t xml:space="preserve"> </w:t>
      </w:r>
      <w:r>
        <w:t>$15</w:t>
      </w:r>
      <w:r>
        <w:rPr>
          <w:spacing w:val="-14"/>
        </w:rPr>
        <w:t xml:space="preserve"> </w:t>
      </w:r>
      <w:r>
        <w:t>billion</w:t>
      </w:r>
      <w:r>
        <w:rPr>
          <w:spacing w:val="-14"/>
        </w:rPr>
        <w:t xml:space="preserve"> </w:t>
      </w:r>
      <w:r>
        <w:t>per</w:t>
      </w:r>
      <w:r>
        <w:rPr>
          <w:spacing w:val="-14"/>
        </w:rPr>
        <w:t xml:space="preserve"> </w:t>
      </w:r>
      <w:r>
        <w:t>annum.</w:t>
      </w:r>
    </w:p>
    <w:p w:rsidR="002C1123" w:rsidRDefault="00F22F94">
      <w:pPr>
        <w:pStyle w:val="BodyText"/>
        <w:spacing w:before="145" w:line="249" w:lineRule="auto"/>
        <w:ind w:left="241" w:right="5852"/>
      </w:pPr>
      <w:r>
        <w:rPr>
          <w:w w:val="95"/>
        </w:rPr>
        <w:t>These</w:t>
      </w:r>
      <w:r>
        <w:rPr>
          <w:spacing w:val="-6"/>
          <w:w w:val="95"/>
        </w:rPr>
        <w:t xml:space="preserve"> </w:t>
      </w:r>
      <w:r>
        <w:rPr>
          <w:w w:val="95"/>
        </w:rPr>
        <w:t>investments</w:t>
      </w:r>
      <w:r>
        <w:rPr>
          <w:spacing w:val="-6"/>
          <w:w w:val="95"/>
        </w:rPr>
        <w:t xml:space="preserve"> </w:t>
      </w:r>
      <w:r>
        <w:rPr>
          <w:w w:val="95"/>
        </w:rPr>
        <w:t>are</w:t>
      </w:r>
      <w:r>
        <w:rPr>
          <w:spacing w:val="-6"/>
          <w:w w:val="95"/>
        </w:rPr>
        <w:t xml:space="preserve"> </w:t>
      </w:r>
      <w:r>
        <w:rPr>
          <w:w w:val="95"/>
        </w:rPr>
        <w:t>necessary</w:t>
      </w:r>
      <w:r>
        <w:rPr>
          <w:spacing w:val="-6"/>
          <w:w w:val="95"/>
        </w:rPr>
        <w:t xml:space="preserve"> </w:t>
      </w:r>
      <w:r>
        <w:rPr>
          <w:w w:val="95"/>
        </w:rPr>
        <w:t>to</w:t>
      </w:r>
      <w:r>
        <w:rPr>
          <w:spacing w:val="-6"/>
          <w:w w:val="95"/>
        </w:rPr>
        <w:t xml:space="preserve"> </w:t>
      </w:r>
      <w:r>
        <w:rPr>
          <w:w w:val="95"/>
        </w:rPr>
        <w:t>allow</w:t>
      </w:r>
      <w:r>
        <w:rPr>
          <w:spacing w:val="-6"/>
          <w:w w:val="95"/>
        </w:rPr>
        <w:t xml:space="preserve"> </w:t>
      </w:r>
      <w:r>
        <w:rPr>
          <w:w w:val="95"/>
        </w:rPr>
        <w:t>the</w:t>
      </w:r>
      <w:r>
        <w:rPr>
          <w:spacing w:val="-6"/>
          <w:w w:val="95"/>
        </w:rPr>
        <w:t xml:space="preserve"> </w:t>
      </w:r>
      <w:r>
        <w:rPr>
          <w:w w:val="95"/>
        </w:rPr>
        <w:t xml:space="preserve">economy </w:t>
      </w:r>
      <w:r>
        <w:t>to</w:t>
      </w:r>
      <w:r>
        <w:rPr>
          <w:spacing w:val="-14"/>
        </w:rPr>
        <w:t xml:space="preserve"> </w:t>
      </w:r>
      <w:r>
        <w:t>grow</w:t>
      </w:r>
      <w:r>
        <w:rPr>
          <w:spacing w:val="-14"/>
        </w:rPr>
        <w:t xml:space="preserve"> </w:t>
      </w:r>
      <w:r>
        <w:t>at</w:t>
      </w:r>
      <w:r>
        <w:rPr>
          <w:spacing w:val="-14"/>
        </w:rPr>
        <w:t xml:space="preserve"> </w:t>
      </w:r>
      <w:r>
        <w:t>the</w:t>
      </w:r>
      <w:r>
        <w:rPr>
          <w:spacing w:val="-14"/>
        </w:rPr>
        <w:t xml:space="preserve"> </w:t>
      </w:r>
      <w:r>
        <w:t>level</w:t>
      </w:r>
      <w:r>
        <w:rPr>
          <w:spacing w:val="-14"/>
        </w:rPr>
        <w:t xml:space="preserve"> </w:t>
      </w:r>
      <w:r>
        <w:t>required</w:t>
      </w:r>
      <w:r>
        <w:rPr>
          <w:spacing w:val="-13"/>
        </w:rPr>
        <w:t xml:space="preserve"> </w:t>
      </w:r>
      <w:r>
        <w:t>to</w:t>
      </w:r>
      <w:r>
        <w:rPr>
          <w:spacing w:val="-14"/>
        </w:rPr>
        <w:t xml:space="preserve"> </w:t>
      </w:r>
      <w:r>
        <w:t>maintain</w:t>
      </w:r>
      <w:r>
        <w:rPr>
          <w:spacing w:val="-14"/>
        </w:rPr>
        <w:t xml:space="preserve"> </w:t>
      </w:r>
      <w:r>
        <w:t>and</w:t>
      </w:r>
      <w:r>
        <w:rPr>
          <w:spacing w:val="-14"/>
        </w:rPr>
        <w:t xml:space="preserve"> </w:t>
      </w:r>
      <w:r>
        <w:t>improve living</w:t>
      </w:r>
      <w:r>
        <w:rPr>
          <w:spacing w:val="-14"/>
        </w:rPr>
        <w:t xml:space="preserve"> </w:t>
      </w:r>
      <w:r>
        <w:t>standards</w:t>
      </w:r>
      <w:r>
        <w:rPr>
          <w:spacing w:val="-14"/>
        </w:rPr>
        <w:t xml:space="preserve"> </w:t>
      </w:r>
      <w:r>
        <w:t>for</w:t>
      </w:r>
      <w:r>
        <w:rPr>
          <w:spacing w:val="-14"/>
        </w:rPr>
        <w:t xml:space="preserve"> </w:t>
      </w:r>
      <w:r>
        <w:t>a</w:t>
      </w:r>
      <w:r>
        <w:rPr>
          <w:spacing w:val="-14"/>
        </w:rPr>
        <w:t xml:space="preserve"> </w:t>
      </w:r>
      <w:r>
        <w:t>larger</w:t>
      </w:r>
      <w:r>
        <w:rPr>
          <w:spacing w:val="-14"/>
        </w:rPr>
        <w:t xml:space="preserve"> </w:t>
      </w:r>
      <w:r>
        <w:t>population.</w:t>
      </w:r>
      <w:r>
        <w:rPr>
          <w:spacing w:val="-14"/>
        </w:rPr>
        <w:t xml:space="preserve"> </w:t>
      </w:r>
      <w:r>
        <w:t>Delivery</w:t>
      </w:r>
      <w:r>
        <w:rPr>
          <w:spacing w:val="-14"/>
        </w:rPr>
        <w:t xml:space="preserve"> </w:t>
      </w:r>
      <w:r>
        <w:t>of</w:t>
      </w:r>
      <w:r>
        <w:rPr>
          <w:spacing w:val="-14"/>
        </w:rPr>
        <w:t xml:space="preserve"> </w:t>
      </w:r>
      <w:r>
        <w:t xml:space="preserve">the </w:t>
      </w:r>
      <w:r>
        <w:rPr>
          <w:w w:val="95"/>
        </w:rPr>
        <w:t>right</w:t>
      </w:r>
      <w:r>
        <w:rPr>
          <w:spacing w:val="-4"/>
          <w:w w:val="95"/>
        </w:rPr>
        <w:t xml:space="preserve"> </w:t>
      </w:r>
      <w:r>
        <w:rPr>
          <w:w w:val="95"/>
        </w:rPr>
        <w:t>infrastructure</w:t>
      </w:r>
      <w:r>
        <w:rPr>
          <w:spacing w:val="-4"/>
          <w:w w:val="95"/>
        </w:rPr>
        <w:t xml:space="preserve"> </w:t>
      </w:r>
      <w:r>
        <w:rPr>
          <w:w w:val="95"/>
        </w:rPr>
        <w:t>will</w:t>
      </w:r>
      <w:r>
        <w:rPr>
          <w:spacing w:val="-4"/>
          <w:w w:val="95"/>
        </w:rPr>
        <w:t xml:space="preserve"> </w:t>
      </w:r>
      <w:r>
        <w:rPr>
          <w:w w:val="95"/>
        </w:rPr>
        <w:t>allow</w:t>
      </w:r>
      <w:r>
        <w:rPr>
          <w:spacing w:val="-4"/>
          <w:w w:val="95"/>
        </w:rPr>
        <w:t xml:space="preserve"> </w:t>
      </w:r>
      <w:r>
        <w:rPr>
          <w:w w:val="95"/>
        </w:rPr>
        <w:t>NSW</w:t>
      </w:r>
      <w:r>
        <w:rPr>
          <w:spacing w:val="-4"/>
          <w:w w:val="95"/>
        </w:rPr>
        <w:t xml:space="preserve"> </w:t>
      </w:r>
      <w:r>
        <w:rPr>
          <w:w w:val="95"/>
        </w:rPr>
        <w:t>to</w:t>
      </w:r>
      <w:r>
        <w:rPr>
          <w:spacing w:val="-4"/>
          <w:w w:val="95"/>
        </w:rPr>
        <w:t xml:space="preserve"> </w:t>
      </w:r>
      <w:r>
        <w:rPr>
          <w:w w:val="95"/>
        </w:rPr>
        <w:t>realise</w:t>
      </w:r>
      <w:r>
        <w:rPr>
          <w:spacing w:val="-4"/>
          <w:w w:val="95"/>
        </w:rPr>
        <w:t xml:space="preserve"> </w:t>
      </w:r>
      <w:r>
        <w:rPr>
          <w:w w:val="95"/>
        </w:rPr>
        <w:t>its</w:t>
      </w:r>
      <w:r>
        <w:rPr>
          <w:spacing w:val="-4"/>
          <w:w w:val="95"/>
        </w:rPr>
        <w:t xml:space="preserve"> </w:t>
      </w:r>
      <w:r>
        <w:rPr>
          <w:w w:val="95"/>
        </w:rPr>
        <w:t xml:space="preserve">potential </w:t>
      </w:r>
      <w:r>
        <w:t>as</w:t>
      </w:r>
      <w:r>
        <w:rPr>
          <w:spacing w:val="-14"/>
        </w:rPr>
        <w:t xml:space="preserve"> </w:t>
      </w:r>
      <w:r>
        <w:t>one</w:t>
      </w:r>
      <w:r>
        <w:rPr>
          <w:spacing w:val="-14"/>
        </w:rPr>
        <w:t xml:space="preserve"> </w:t>
      </w:r>
      <w:r>
        <w:t>of</w:t>
      </w:r>
      <w:r>
        <w:rPr>
          <w:spacing w:val="-14"/>
        </w:rPr>
        <w:t xml:space="preserve"> </w:t>
      </w:r>
      <w:r>
        <w:t>the</w:t>
      </w:r>
      <w:r>
        <w:rPr>
          <w:spacing w:val="-14"/>
        </w:rPr>
        <w:t xml:space="preserve"> </w:t>
      </w:r>
      <w:r>
        <w:t>best</w:t>
      </w:r>
      <w:r>
        <w:rPr>
          <w:spacing w:val="-13"/>
        </w:rPr>
        <w:t xml:space="preserve"> </w:t>
      </w:r>
      <w:r>
        <w:t>places</w:t>
      </w:r>
      <w:r>
        <w:rPr>
          <w:spacing w:val="-14"/>
        </w:rPr>
        <w:t xml:space="preserve"> </w:t>
      </w:r>
      <w:r>
        <w:t>in</w:t>
      </w:r>
      <w:r>
        <w:rPr>
          <w:spacing w:val="-14"/>
        </w:rPr>
        <w:t xml:space="preserve"> </w:t>
      </w:r>
      <w:r>
        <w:t>the</w:t>
      </w:r>
      <w:r>
        <w:rPr>
          <w:spacing w:val="-14"/>
        </w:rPr>
        <w:t xml:space="preserve"> </w:t>
      </w:r>
      <w:r>
        <w:t>world</w:t>
      </w:r>
      <w:r>
        <w:rPr>
          <w:spacing w:val="-14"/>
        </w:rPr>
        <w:t xml:space="preserve"> </w:t>
      </w:r>
      <w:r>
        <w:t>to</w:t>
      </w:r>
      <w:r>
        <w:rPr>
          <w:spacing w:val="-13"/>
        </w:rPr>
        <w:t xml:space="preserve"> </w:t>
      </w:r>
      <w:r>
        <w:t>live</w:t>
      </w:r>
      <w:r>
        <w:rPr>
          <w:spacing w:val="-14"/>
        </w:rPr>
        <w:t xml:space="preserve"> </w:t>
      </w:r>
      <w:r>
        <w:t>and</w:t>
      </w:r>
      <w:r>
        <w:rPr>
          <w:spacing w:val="-14"/>
        </w:rPr>
        <w:t xml:space="preserve"> </w:t>
      </w:r>
      <w:r>
        <w:t>work.</w:t>
      </w:r>
    </w:p>
    <w:p w:rsidR="002C1123" w:rsidRDefault="002C1123">
      <w:pPr>
        <w:spacing w:line="249" w:lineRule="auto"/>
        <w:sectPr w:rsidR="002C1123">
          <w:type w:val="continuous"/>
          <w:pgSz w:w="16840" w:h="11910" w:orient="landscape"/>
          <w:pgMar w:top="560" w:right="280" w:bottom="280" w:left="500" w:header="0" w:footer="517" w:gutter="0"/>
          <w:cols w:num="2" w:space="720" w:equalWidth="0">
            <w:col w:w="5238" w:space="40"/>
            <w:col w:w="10782"/>
          </w:cols>
        </w:sectPr>
      </w:pPr>
    </w:p>
    <w:p w:rsidR="002C1123" w:rsidRDefault="002C1123">
      <w:pPr>
        <w:pStyle w:val="BodyText"/>
      </w:pPr>
    </w:p>
    <w:p w:rsidR="002C1123" w:rsidRDefault="00F22F94">
      <w:pPr>
        <w:tabs>
          <w:tab w:val="left" w:pos="4288"/>
          <w:tab w:val="left" w:pos="8576"/>
        </w:tabs>
        <w:spacing w:before="219"/>
        <w:ind w:right="476"/>
        <w:jc w:val="center"/>
        <w:rPr>
          <w:rFonts w:ascii="Trebuchet MS"/>
          <w:sz w:val="46"/>
        </w:rPr>
      </w:pPr>
      <w:bookmarkStart w:id="26" w:name="Infrastructure_NSW’s_principal_recommend"/>
      <w:bookmarkStart w:id="27" w:name="_bookmark19"/>
      <w:bookmarkStart w:id="28" w:name="_bookmark18"/>
      <w:bookmarkEnd w:id="26"/>
      <w:bookmarkEnd w:id="27"/>
      <w:bookmarkEnd w:id="28"/>
      <w:r>
        <w:rPr>
          <w:rFonts w:ascii="Trebuchet MS"/>
          <w:color w:val="2E3092"/>
          <w:w w:val="50"/>
          <w:sz w:val="46"/>
        </w:rPr>
        <w:t>Global</w:t>
      </w:r>
      <w:r>
        <w:rPr>
          <w:rFonts w:ascii="Trebuchet MS"/>
          <w:color w:val="2E3092"/>
          <w:spacing w:val="-11"/>
          <w:w w:val="60"/>
          <w:sz w:val="46"/>
        </w:rPr>
        <w:t xml:space="preserve"> </w:t>
      </w:r>
      <w:r>
        <w:rPr>
          <w:rFonts w:ascii="Trebuchet MS"/>
          <w:color w:val="2E3092"/>
          <w:spacing w:val="-2"/>
          <w:w w:val="60"/>
          <w:sz w:val="46"/>
        </w:rPr>
        <w:t>Sydney</w:t>
      </w:r>
      <w:r>
        <w:rPr>
          <w:rFonts w:ascii="Trebuchet MS"/>
          <w:color w:val="2E3092"/>
          <w:sz w:val="46"/>
        </w:rPr>
        <w:tab/>
      </w:r>
      <w:r>
        <w:rPr>
          <w:rFonts w:ascii="Trebuchet MS"/>
          <w:color w:val="2E3092"/>
          <w:spacing w:val="-2"/>
          <w:w w:val="55"/>
          <w:sz w:val="46"/>
        </w:rPr>
        <w:t>Greater</w:t>
      </w:r>
      <w:r>
        <w:rPr>
          <w:rFonts w:ascii="Trebuchet MS"/>
          <w:color w:val="2E3092"/>
          <w:spacing w:val="-18"/>
          <w:w w:val="55"/>
          <w:sz w:val="46"/>
        </w:rPr>
        <w:t xml:space="preserve"> </w:t>
      </w:r>
      <w:r>
        <w:rPr>
          <w:rFonts w:ascii="Trebuchet MS"/>
          <w:color w:val="2E3092"/>
          <w:spacing w:val="-2"/>
          <w:w w:val="65"/>
          <w:sz w:val="46"/>
        </w:rPr>
        <w:t>Sydney</w:t>
      </w:r>
      <w:r>
        <w:rPr>
          <w:rFonts w:ascii="Trebuchet MS"/>
          <w:color w:val="2E3092"/>
          <w:sz w:val="46"/>
        </w:rPr>
        <w:tab/>
      </w:r>
      <w:r>
        <w:rPr>
          <w:rFonts w:ascii="Trebuchet MS"/>
          <w:color w:val="2E3092"/>
          <w:spacing w:val="-2"/>
          <w:w w:val="55"/>
          <w:sz w:val="46"/>
        </w:rPr>
        <w:t>Regional</w:t>
      </w:r>
      <w:r>
        <w:rPr>
          <w:rFonts w:ascii="Trebuchet MS"/>
          <w:color w:val="2E3092"/>
          <w:spacing w:val="-24"/>
          <w:w w:val="55"/>
          <w:sz w:val="46"/>
        </w:rPr>
        <w:t xml:space="preserve"> </w:t>
      </w:r>
      <w:r>
        <w:rPr>
          <w:rFonts w:ascii="Trebuchet MS"/>
          <w:color w:val="2E3092"/>
          <w:spacing w:val="-5"/>
          <w:w w:val="65"/>
          <w:sz w:val="46"/>
        </w:rPr>
        <w:t>NSW</w:t>
      </w:r>
    </w:p>
    <w:tbl>
      <w:tblPr>
        <w:tblW w:w="0" w:type="auto"/>
        <w:tblInd w:w="641"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Layout w:type="fixed"/>
        <w:tblCellMar>
          <w:left w:w="0" w:type="dxa"/>
          <w:right w:w="0" w:type="dxa"/>
        </w:tblCellMar>
        <w:tblLook w:val="01E0" w:firstRow="1" w:lastRow="1" w:firstColumn="1" w:lastColumn="1" w:noHBand="0" w:noVBand="0"/>
      </w:tblPr>
      <w:tblGrid>
        <w:gridCol w:w="1984"/>
        <w:gridCol w:w="4288"/>
        <w:gridCol w:w="4288"/>
        <w:gridCol w:w="4288"/>
      </w:tblGrid>
      <w:tr w:rsidR="002C1123">
        <w:trPr>
          <w:trHeight w:val="1100"/>
        </w:trPr>
        <w:tc>
          <w:tcPr>
            <w:tcW w:w="1984" w:type="dxa"/>
            <w:tcBorders>
              <w:top w:val="nil"/>
              <w:left w:val="nil"/>
              <w:right w:val="single" w:sz="4" w:space="0" w:color="9C9C9D"/>
            </w:tcBorders>
            <w:shd w:val="clear" w:color="auto" w:fill="E1E0E1"/>
          </w:tcPr>
          <w:p w:rsidR="002C1123" w:rsidRDefault="00F22F94">
            <w:pPr>
              <w:pStyle w:val="TableParagraph"/>
              <w:spacing w:before="46"/>
              <w:ind w:left="108"/>
              <w:rPr>
                <w:rFonts w:ascii="Trebuchet MS"/>
                <w:sz w:val="48"/>
              </w:rPr>
            </w:pPr>
            <w:r>
              <w:rPr>
                <w:rFonts w:ascii="Trebuchet MS"/>
                <w:color w:val="EC008C"/>
                <w:spacing w:val="-2"/>
                <w:w w:val="70"/>
                <w:sz w:val="48"/>
              </w:rPr>
              <w:t>Facts</w:t>
            </w:r>
          </w:p>
        </w:tc>
        <w:tc>
          <w:tcPr>
            <w:tcW w:w="4288" w:type="dxa"/>
            <w:tcBorders>
              <w:top w:val="nil"/>
              <w:left w:val="single" w:sz="4" w:space="0" w:color="9C9C9D"/>
              <w:right w:val="single" w:sz="4" w:space="0" w:color="9C9C9D"/>
            </w:tcBorders>
            <w:shd w:val="clear" w:color="auto" w:fill="E1E0E1"/>
          </w:tcPr>
          <w:p w:rsidR="002C1123" w:rsidRDefault="00F22F94">
            <w:pPr>
              <w:pStyle w:val="TableParagraph"/>
              <w:numPr>
                <w:ilvl w:val="0"/>
                <w:numId w:val="190"/>
              </w:numPr>
              <w:tabs>
                <w:tab w:val="left" w:pos="209"/>
              </w:tabs>
              <w:spacing w:before="73"/>
              <w:ind w:hanging="101"/>
              <w:rPr>
                <w:rFonts w:ascii="Tahoma" w:hAnsi="Tahoma"/>
                <w:sz w:val="14"/>
              </w:rPr>
            </w:pPr>
            <w:r>
              <w:rPr>
                <w:rFonts w:ascii="Tahoma" w:hAnsi="Tahoma"/>
                <w:w w:val="95"/>
                <w:sz w:val="14"/>
              </w:rPr>
              <w:t>41%</w:t>
            </w:r>
            <w:r>
              <w:rPr>
                <w:rFonts w:ascii="Tahoma" w:hAnsi="Tahoma"/>
                <w:spacing w:val="-11"/>
                <w:w w:val="95"/>
                <w:sz w:val="14"/>
              </w:rPr>
              <w:t xml:space="preserve"> </w:t>
            </w:r>
            <w:r>
              <w:rPr>
                <w:rFonts w:ascii="Tahoma" w:hAnsi="Tahoma"/>
                <w:w w:val="95"/>
                <w:sz w:val="14"/>
              </w:rPr>
              <w:t>of</w:t>
            </w:r>
            <w:r>
              <w:rPr>
                <w:rFonts w:ascii="Tahoma" w:hAnsi="Tahoma"/>
                <w:spacing w:val="-9"/>
                <w:w w:val="95"/>
                <w:sz w:val="14"/>
              </w:rPr>
              <w:t xml:space="preserve"> </w:t>
            </w:r>
            <w:r>
              <w:rPr>
                <w:rFonts w:ascii="Tahoma" w:hAnsi="Tahoma"/>
                <w:w w:val="95"/>
                <w:sz w:val="14"/>
              </w:rPr>
              <w:t>the</w:t>
            </w:r>
            <w:r>
              <w:rPr>
                <w:rFonts w:ascii="Tahoma" w:hAnsi="Tahoma"/>
                <w:spacing w:val="-9"/>
                <w:w w:val="95"/>
                <w:sz w:val="14"/>
              </w:rPr>
              <w:t xml:space="preserve"> </w:t>
            </w:r>
            <w:r>
              <w:rPr>
                <w:rFonts w:ascii="Tahoma" w:hAnsi="Tahoma"/>
                <w:w w:val="95"/>
                <w:sz w:val="14"/>
              </w:rPr>
              <w:t>economy</w:t>
            </w:r>
            <w:r>
              <w:rPr>
                <w:rFonts w:ascii="Tahoma" w:hAnsi="Tahoma"/>
                <w:spacing w:val="-9"/>
                <w:w w:val="95"/>
                <w:sz w:val="14"/>
              </w:rPr>
              <w:t xml:space="preserve"> </w:t>
            </w:r>
            <w:r>
              <w:rPr>
                <w:rFonts w:ascii="Tahoma" w:hAnsi="Tahoma"/>
                <w:w w:val="95"/>
                <w:sz w:val="14"/>
              </w:rPr>
              <w:t>and</w:t>
            </w:r>
            <w:r>
              <w:rPr>
                <w:rFonts w:ascii="Tahoma" w:hAnsi="Tahoma"/>
                <w:spacing w:val="-9"/>
                <w:w w:val="95"/>
                <w:sz w:val="14"/>
              </w:rPr>
              <w:t xml:space="preserve"> </w:t>
            </w:r>
            <w:r>
              <w:rPr>
                <w:rFonts w:ascii="Tahoma" w:hAnsi="Tahoma"/>
                <w:w w:val="95"/>
                <w:sz w:val="14"/>
              </w:rPr>
              <w:t>17%</w:t>
            </w:r>
            <w:r>
              <w:rPr>
                <w:rFonts w:ascii="Tahoma" w:hAnsi="Tahoma"/>
                <w:spacing w:val="-9"/>
                <w:w w:val="95"/>
                <w:sz w:val="14"/>
              </w:rPr>
              <w:t xml:space="preserve"> </w:t>
            </w:r>
            <w:r>
              <w:rPr>
                <w:rFonts w:ascii="Tahoma" w:hAnsi="Tahoma"/>
                <w:w w:val="95"/>
                <w:sz w:val="14"/>
              </w:rPr>
              <w:t>of</w:t>
            </w:r>
            <w:r>
              <w:rPr>
                <w:rFonts w:ascii="Tahoma" w:hAnsi="Tahoma"/>
                <w:spacing w:val="-9"/>
                <w:w w:val="95"/>
                <w:sz w:val="14"/>
              </w:rPr>
              <w:t xml:space="preserve"> </w:t>
            </w:r>
            <w:r>
              <w:rPr>
                <w:rFonts w:ascii="Tahoma" w:hAnsi="Tahoma"/>
                <w:spacing w:val="-2"/>
                <w:w w:val="95"/>
                <w:sz w:val="14"/>
              </w:rPr>
              <w:t>population</w:t>
            </w:r>
          </w:p>
          <w:p w:rsidR="002C1123" w:rsidRDefault="00F22F94">
            <w:pPr>
              <w:pStyle w:val="TableParagraph"/>
              <w:numPr>
                <w:ilvl w:val="0"/>
                <w:numId w:val="190"/>
              </w:numPr>
              <w:tabs>
                <w:tab w:val="left" w:pos="209"/>
              </w:tabs>
              <w:spacing w:before="39" w:line="268" w:lineRule="auto"/>
              <w:ind w:right="885"/>
              <w:rPr>
                <w:sz w:val="14"/>
              </w:rPr>
            </w:pPr>
            <w:r>
              <w:rPr>
                <w:rFonts w:ascii="Tahoma" w:hAnsi="Tahoma"/>
                <w:w w:val="95"/>
                <w:sz w:val="14"/>
              </w:rPr>
              <w:t>Global</w:t>
            </w:r>
            <w:r>
              <w:rPr>
                <w:rFonts w:ascii="Tahoma" w:hAnsi="Tahoma"/>
                <w:spacing w:val="-2"/>
                <w:w w:val="95"/>
                <w:sz w:val="14"/>
              </w:rPr>
              <w:t xml:space="preserve"> </w:t>
            </w:r>
            <w:r>
              <w:rPr>
                <w:rFonts w:ascii="Tahoma" w:hAnsi="Tahoma"/>
                <w:w w:val="95"/>
                <w:sz w:val="14"/>
              </w:rPr>
              <w:t>Sydney</w:t>
            </w:r>
            <w:r>
              <w:rPr>
                <w:rFonts w:ascii="Tahoma" w:hAnsi="Tahoma"/>
                <w:spacing w:val="-2"/>
                <w:w w:val="95"/>
                <w:sz w:val="14"/>
              </w:rPr>
              <w:t xml:space="preserve"> </w:t>
            </w:r>
            <w:r>
              <w:rPr>
                <w:rFonts w:ascii="Tahoma" w:hAnsi="Tahoma"/>
                <w:w w:val="95"/>
                <w:sz w:val="14"/>
              </w:rPr>
              <w:t>is</w:t>
            </w:r>
            <w:r>
              <w:rPr>
                <w:rFonts w:ascii="Tahoma" w:hAnsi="Tahoma"/>
                <w:spacing w:val="-2"/>
                <w:w w:val="95"/>
                <w:sz w:val="14"/>
              </w:rPr>
              <w:t xml:space="preserve"> </w:t>
            </w:r>
            <w:r>
              <w:rPr>
                <w:rFonts w:ascii="Tahoma" w:hAnsi="Tahoma"/>
                <w:w w:val="95"/>
                <w:sz w:val="14"/>
              </w:rPr>
              <w:t>an</w:t>
            </w:r>
            <w:r>
              <w:rPr>
                <w:rFonts w:ascii="Tahoma" w:hAnsi="Tahoma"/>
                <w:spacing w:val="-2"/>
                <w:w w:val="95"/>
                <w:sz w:val="14"/>
              </w:rPr>
              <w:t xml:space="preserve"> </w:t>
            </w:r>
            <w:r>
              <w:rPr>
                <w:rFonts w:ascii="Tahoma" w:hAnsi="Tahoma"/>
                <w:w w:val="95"/>
                <w:sz w:val="14"/>
              </w:rPr>
              <w:t>international</w:t>
            </w:r>
            <w:r>
              <w:rPr>
                <w:rFonts w:ascii="Tahoma" w:hAnsi="Tahoma"/>
                <w:spacing w:val="-2"/>
                <w:w w:val="95"/>
                <w:sz w:val="14"/>
              </w:rPr>
              <w:t xml:space="preserve"> </w:t>
            </w:r>
            <w:r>
              <w:rPr>
                <w:rFonts w:ascii="Tahoma" w:hAnsi="Tahoma"/>
                <w:w w:val="95"/>
                <w:sz w:val="14"/>
              </w:rPr>
              <w:t>leader</w:t>
            </w:r>
            <w:r>
              <w:rPr>
                <w:rFonts w:ascii="Tahoma" w:hAnsi="Tahoma"/>
                <w:spacing w:val="-2"/>
                <w:w w:val="95"/>
                <w:sz w:val="14"/>
              </w:rPr>
              <w:t xml:space="preserve"> </w:t>
            </w:r>
            <w:r>
              <w:rPr>
                <w:rFonts w:ascii="Tahoma" w:hAnsi="Tahoma"/>
                <w:w w:val="95"/>
                <w:sz w:val="14"/>
              </w:rPr>
              <w:t>in</w:t>
            </w:r>
            <w:r>
              <w:rPr>
                <w:rFonts w:ascii="Tahoma" w:hAnsi="Tahoma"/>
                <w:spacing w:val="-2"/>
                <w:w w:val="95"/>
                <w:sz w:val="14"/>
              </w:rPr>
              <w:t xml:space="preserve"> </w:t>
            </w:r>
            <w:r>
              <w:rPr>
                <w:rFonts w:ascii="Tahoma" w:hAnsi="Tahoma"/>
                <w:w w:val="95"/>
                <w:sz w:val="14"/>
              </w:rPr>
              <w:t>high</w:t>
            </w:r>
            <w:r>
              <w:rPr>
                <w:rFonts w:ascii="Tahoma" w:hAnsi="Tahoma"/>
                <w:spacing w:val="-2"/>
                <w:w w:val="95"/>
                <w:sz w:val="14"/>
              </w:rPr>
              <w:t xml:space="preserve"> </w:t>
            </w:r>
            <w:r>
              <w:rPr>
                <w:rFonts w:ascii="Tahoma" w:hAnsi="Tahoma"/>
                <w:w w:val="95"/>
                <w:sz w:val="14"/>
              </w:rPr>
              <w:t xml:space="preserve">value, </w:t>
            </w:r>
            <w:r>
              <w:rPr>
                <w:sz w:val="14"/>
              </w:rPr>
              <w:t>knowledge-based service industries</w:t>
            </w:r>
          </w:p>
          <w:p w:rsidR="002C1123" w:rsidRDefault="00F22F94">
            <w:pPr>
              <w:pStyle w:val="TableParagraph"/>
              <w:numPr>
                <w:ilvl w:val="0"/>
                <w:numId w:val="190"/>
              </w:numPr>
              <w:tabs>
                <w:tab w:val="left" w:pos="209"/>
              </w:tabs>
              <w:spacing w:before="19" w:line="268" w:lineRule="auto"/>
              <w:ind w:right="928"/>
              <w:rPr>
                <w:sz w:val="14"/>
              </w:rPr>
            </w:pPr>
            <w:r>
              <w:rPr>
                <w:rFonts w:ascii="Tahoma" w:hAnsi="Tahoma"/>
                <w:sz w:val="14"/>
              </w:rPr>
              <w:t>Sydney</w:t>
            </w:r>
            <w:r>
              <w:rPr>
                <w:rFonts w:ascii="Tahoma" w:hAnsi="Tahoma"/>
                <w:spacing w:val="-12"/>
                <w:sz w:val="14"/>
              </w:rPr>
              <w:t xml:space="preserve"> </w:t>
            </w:r>
            <w:r>
              <w:rPr>
                <w:rFonts w:ascii="Tahoma" w:hAnsi="Tahoma"/>
                <w:sz w:val="14"/>
              </w:rPr>
              <w:t>Airport</w:t>
            </w:r>
            <w:r>
              <w:rPr>
                <w:rFonts w:ascii="Tahoma" w:hAnsi="Tahoma"/>
                <w:spacing w:val="-12"/>
                <w:sz w:val="14"/>
              </w:rPr>
              <w:t xml:space="preserve"> </w:t>
            </w:r>
            <w:r>
              <w:rPr>
                <w:rFonts w:ascii="Tahoma" w:hAnsi="Tahoma"/>
                <w:sz w:val="14"/>
              </w:rPr>
              <w:t>and</w:t>
            </w:r>
            <w:r>
              <w:rPr>
                <w:rFonts w:ascii="Tahoma" w:hAnsi="Tahoma"/>
                <w:spacing w:val="-12"/>
                <w:sz w:val="14"/>
              </w:rPr>
              <w:t xml:space="preserve"> </w:t>
            </w:r>
            <w:r>
              <w:rPr>
                <w:rFonts w:ascii="Tahoma" w:hAnsi="Tahoma"/>
                <w:sz w:val="14"/>
              </w:rPr>
              <w:t>Port</w:t>
            </w:r>
            <w:r>
              <w:rPr>
                <w:rFonts w:ascii="Tahoma" w:hAnsi="Tahoma"/>
                <w:spacing w:val="-12"/>
                <w:sz w:val="14"/>
              </w:rPr>
              <w:t xml:space="preserve"> </w:t>
            </w:r>
            <w:r>
              <w:rPr>
                <w:rFonts w:ascii="Tahoma" w:hAnsi="Tahoma"/>
                <w:sz w:val="14"/>
              </w:rPr>
              <w:t>Botany</w:t>
            </w:r>
            <w:r>
              <w:rPr>
                <w:rFonts w:ascii="Tahoma" w:hAnsi="Tahoma"/>
                <w:spacing w:val="-12"/>
                <w:sz w:val="14"/>
              </w:rPr>
              <w:t xml:space="preserve"> </w:t>
            </w:r>
            <w:r>
              <w:rPr>
                <w:rFonts w:ascii="Tahoma" w:hAnsi="Tahoma"/>
                <w:sz w:val="14"/>
              </w:rPr>
              <w:t>are</w:t>
            </w:r>
            <w:r>
              <w:rPr>
                <w:rFonts w:ascii="Tahoma" w:hAnsi="Tahoma"/>
                <w:spacing w:val="-12"/>
                <w:sz w:val="14"/>
              </w:rPr>
              <w:t xml:space="preserve"> </w:t>
            </w:r>
            <w:r>
              <w:rPr>
                <w:rFonts w:ascii="Tahoma" w:hAnsi="Tahoma"/>
                <w:sz w:val="14"/>
              </w:rPr>
              <w:t>NSW’s</w:t>
            </w:r>
            <w:r>
              <w:rPr>
                <w:rFonts w:ascii="Tahoma" w:hAnsi="Tahoma"/>
                <w:spacing w:val="-12"/>
                <w:sz w:val="14"/>
              </w:rPr>
              <w:t xml:space="preserve"> </w:t>
            </w:r>
            <w:r>
              <w:rPr>
                <w:rFonts w:ascii="Tahoma" w:hAnsi="Tahoma"/>
                <w:sz w:val="14"/>
              </w:rPr>
              <w:t xml:space="preserve">principal </w:t>
            </w:r>
            <w:r>
              <w:rPr>
                <w:sz w:val="14"/>
              </w:rPr>
              <w:t>international</w:t>
            </w:r>
            <w:r>
              <w:rPr>
                <w:spacing w:val="-10"/>
                <w:sz w:val="14"/>
              </w:rPr>
              <w:t xml:space="preserve"> </w:t>
            </w:r>
            <w:r>
              <w:rPr>
                <w:sz w:val="14"/>
              </w:rPr>
              <w:t>gateways</w:t>
            </w:r>
          </w:p>
        </w:tc>
        <w:tc>
          <w:tcPr>
            <w:tcW w:w="4288" w:type="dxa"/>
            <w:tcBorders>
              <w:top w:val="nil"/>
              <w:left w:val="single" w:sz="4" w:space="0" w:color="9C9C9D"/>
              <w:right w:val="single" w:sz="4" w:space="0" w:color="9C9C9D"/>
            </w:tcBorders>
            <w:shd w:val="clear" w:color="auto" w:fill="E1E0E1"/>
          </w:tcPr>
          <w:p w:rsidR="002C1123" w:rsidRDefault="00F22F94">
            <w:pPr>
              <w:pStyle w:val="TableParagraph"/>
              <w:numPr>
                <w:ilvl w:val="0"/>
                <w:numId w:val="189"/>
              </w:numPr>
              <w:tabs>
                <w:tab w:val="left" w:pos="209"/>
              </w:tabs>
              <w:spacing w:before="73"/>
              <w:ind w:hanging="101"/>
              <w:rPr>
                <w:rFonts w:ascii="Tahoma" w:hAnsi="Tahoma"/>
                <w:sz w:val="14"/>
              </w:rPr>
            </w:pPr>
            <w:r>
              <w:rPr>
                <w:rFonts w:ascii="Tahoma" w:hAnsi="Tahoma"/>
                <w:w w:val="95"/>
                <w:sz w:val="14"/>
              </w:rPr>
              <w:t>34%</w:t>
            </w:r>
            <w:r>
              <w:rPr>
                <w:rFonts w:ascii="Tahoma" w:hAnsi="Tahoma"/>
                <w:spacing w:val="-6"/>
                <w:w w:val="95"/>
                <w:sz w:val="14"/>
              </w:rPr>
              <w:t xml:space="preserve"> </w:t>
            </w:r>
            <w:r>
              <w:rPr>
                <w:rFonts w:ascii="Tahoma" w:hAnsi="Tahoma"/>
                <w:w w:val="95"/>
                <w:sz w:val="14"/>
              </w:rPr>
              <w:t>of</w:t>
            </w:r>
            <w:r>
              <w:rPr>
                <w:rFonts w:ascii="Tahoma" w:hAnsi="Tahoma"/>
                <w:spacing w:val="-6"/>
                <w:w w:val="95"/>
                <w:sz w:val="14"/>
              </w:rPr>
              <w:t xml:space="preserve"> </w:t>
            </w:r>
            <w:r>
              <w:rPr>
                <w:rFonts w:ascii="Tahoma" w:hAnsi="Tahoma"/>
                <w:w w:val="95"/>
                <w:sz w:val="14"/>
              </w:rPr>
              <w:t>the</w:t>
            </w:r>
            <w:r>
              <w:rPr>
                <w:rFonts w:ascii="Tahoma" w:hAnsi="Tahoma"/>
                <w:spacing w:val="-5"/>
                <w:w w:val="95"/>
                <w:sz w:val="14"/>
              </w:rPr>
              <w:t xml:space="preserve"> </w:t>
            </w:r>
            <w:r>
              <w:rPr>
                <w:rFonts w:ascii="Tahoma" w:hAnsi="Tahoma"/>
                <w:w w:val="95"/>
                <w:sz w:val="14"/>
              </w:rPr>
              <w:t>economy</w:t>
            </w:r>
            <w:r>
              <w:rPr>
                <w:rFonts w:ascii="Tahoma" w:hAnsi="Tahoma"/>
                <w:spacing w:val="-6"/>
                <w:w w:val="95"/>
                <w:sz w:val="14"/>
              </w:rPr>
              <w:t xml:space="preserve"> </w:t>
            </w:r>
            <w:r>
              <w:rPr>
                <w:rFonts w:ascii="Tahoma" w:hAnsi="Tahoma"/>
                <w:w w:val="95"/>
                <w:sz w:val="14"/>
              </w:rPr>
              <w:t>and</w:t>
            </w:r>
            <w:r>
              <w:rPr>
                <w:rFonts w:ascii="Tahoma" w:hAnsi="Tahoma"/>
                <w:spacing w:val="-6"/>
                <w:w w:val="95"/>
                <w:sz w:val="14"/>
              </w:rPr>
              <w:t xml:space="preserve"> </w:t>
            </w:r>
            <w:r>
              <w:rPr>
                <w:rFonts w:ascii="Tahoma" w:hAnsi="Tahoma"/>
                <w:w w:val="95"/>
                <w:sz w:val="14"/>
              </w:rPr>
              <w:t>46%</w:t>
            </w:r>
            <w:r>
              <w:rPr>
                <w:rFonts w:ascii="Tahoma" w:hAnsi="Tahoma"/>
                <w:spacing w:val="-5"/>
                <w:w w:val="95"/>
                <w:sz w:val="14"/>
              </w:rPr>
              <w:t xml:space="preserve"> </w:t>
            </w:r>
            <w:r>
              <w:rPr>
                <w:rFonts w:ascii="Tahoma" w:hAnsi="Tahoma"/>
                <w:w w:val="95"/>
                <w:sz w:val="14"/>
              </w:rPr>
              <w:t>of</w:t>
            </w:r>
            <w:r>
              <w:rPr>
                <w:rFonts w:ascii="Tahoma" w:hAnsi="Tahoma"/>
                <w:spacing w:val="-6"/>
                <w:w w:val="95"/>
                <w:sz w:val="14"/>
              </w:rPr>
              <w:t xml:space="preserve"> </w:t>
            </w:r>
            <w:r>
              <w:rPr>
                <w:rFonts w:ascii="Tahoma" w:hAnsi="Tahoma"/>
                <w:w w:val="95"/>
                <w:sz w:val="14"/>
              </w:rPr>
              <w:t>the</w:t>
            </w:r>
            <w:r>
              <w:rPr>
                <w:rFonts w:ascii="Tahoma" w:hAnsi="Tahoma"/>
                <w:spacing w:val="-6"/>
                <w:w w:val="95"/>
                <w:sz w:val="14"/>
              </w:rPr>
              <w:t xml:space="preserve"> </w:t>
            </w:r>
            <w:r>
              <w:rPr>
                <w:rFonts w:ascii="Tahoma" w:hAnsi="Tahoma"/>
                <w:spacing w:val="-2"/>
                <w:w w:val="95"/>
                <w:sz w:val="14"/>
              </w:rPr>
              <w:t>population</w:t>
            </w:r>
          </w:p>
          <w:p w:rsidR="002C1123" w:rsidRDefault="00F22F94">
            <w:pPr>
              <w:pStyle w:val="TableParagraph"/>
              <w:numPr>
                <w:ilvl w:val="0"/>
                <w:numId w:val="189"/>
              </w:numPr>
              <w:tabs>
                <w:tab w:val="left" w:pos="209"/>
              </w:tabs>
              <w:spacing w:before="39" w:line="268" w:lineRule="auto"/>
              <w:ind w:right="537"/>
              <w:rPr>
                <w:sz w:val="14"/>
              </w:rPr>
            </w:pPr>
            <w:r>
              <w:rPr>
                <w:rFonts w:ascii="Tahoma" w:hAnsi="Tahoma"/>
                <w:w w:val="95"/>
                <w:sz w:val="14"/>
              </w:rPr>
              <w:t xml:space="preserve">Employment and housing patterns are generally dispersed </w:t>
            </w:r>
            <w:r>
              <w:rPr>
                <w:sz w:val="14"/>
              </w:rPr>
              <w:t>and low density</w:t>
            </w:r>
          </w:p>
          <w:p w:rsidR="002C1123" w:rsidRDefault="00F22F94">
            <w:pPr>
              <w:pStyle w:val="TableParagraph"/>
              <w:numPr>
                <w:ilvl w:val="0"/>
                <w:numId w:val="189"/>
              </w:numPr>
              <w:tabs>
                <w:tab w:val="left" w:pos="209"/>
              </w:tabs>
              <w:spacing w:before="19"/>
              <w:ind w:hanging="101"/>
              <w:rPr>
                <w:rFonts w:ascii="Tahoma" w:hAnsi="Tahoma"/>
                <w:sz w:val="14"/>
              </w:rPr>
            </w:pPr>
            <w:r>
              <w:rPr>
                <w:rFonts w:ascii="Tahoma" w:hAnsi="Tahoma"/>
                <w:w w:val="95"/>
                <w:sz w:val="14"/>
              </w:rPr>
              <w:t>Over</w:t>
            </w:r>
            <w:r>
              <w:rPr>
                <w:rFonts w:ascii="Tahoma" w:hAnsi="Tahoma"/>
                <w:spacing w:val="-7"/>
                <w:w w:val="95"/>
                <w:sz w:val="14"/>
              </w:rPr>
              <w:t xml:space="preserve"> </w:t>
            </w:r>
            <w:r>
              <w:rPr>
                <w:rFonts w:ascii="Tahoma" w:hAnsi="Tahoma"/>
                <w:w w:val="95"/>
                <w:sz w:val="14"/>
              </w:rPr>
              <w:t>93%</w:t>
            </w:r>
            <w:r>
              <w:rPr>
                <w:rFonts w:ascii="Tahoma" w:hAnsi="Tahoma"/>
                <w:spacing w:val="-7"/>
                <w:w w:val="95"/>
                <w:sz w:val="14"/>
              </w:rPr>
              <w:t xml:space="preserve"> </w:t>
            </w:r>
            <w:r>
              <w:rPr>
                <w:rFonts w:ascii="Tahoma" w:hAnsi="Tahoma"/>
                <w:w w:val="95"/>
                <w:sz w:val="14"/>
              </w:rPr>
              <w:t>of</w:t>
            </w:r>
            <w:r>
              <w:rPr>
                <w:rFonts w:ascii="Tahoma" w:hAnsi="Tahoma"/>
                <w:spacing w:val="-7"/>
                <w:w w:val="95"/>
                <w:sz w:val="14"/>
              </w:rPr>
              <w:t xml:space="preserve"> </w:t>
            </w:r>
            <w:r>
              <w:rPr>
                <w:rFonts w:ascii="Tahoma" w:hAnsi="Tahoma"/>
                <w:w w:val="95"/>
                <w:sz w:val="14"/>
              </w:rPr>
              <w:t>journeys</w:t>
            </w:r>
            <w:r>
              <w:rPr>
                <w:rFonts w:ascii="Tahoma" w:hAnsi="Tahoma"/>
                <w:spacing w:val="-7"/>
                <w:w w:val="95"/>
                <w:sz w:val="14"/>
              </w:rPr>
              <w:t xml:space="preserve"> </w:t>
            </w:r>
            <w:r>
              <w:rPr>
                <w:rFonts w:ascii="Tahoma" w:hAnsi="Tahoma"/>
                <w:w w:val="95"/>
                <w:sz w:val="14"/>
              </w:rPr>
              <w:t>are</w:t>
            </w:r>
            <w:r>
              <w:rPr>
                <w:rFonts w:ascii="Tahoma" w:hAnsi="Tahoma"/>
                <w:spacing w:val="-7"/>
                <w:w w:val="95"/>
                <w:sz w:val="14"/>
              </w:rPr>
              <w:t xml:space="preserve"> </w:t>
            </w:r>
            <w:r>
              <w:rPr>
                <w:rFonts w:ascii="Tahoma" w:hAnsi="Tahoma"/>
                <w:w w:val="95"/>
                <w:sz w:val="14"/>
              </w:rPr>
              <w:t>on</w:t>
            </w:r>
            <w:r>
              <w:rPr>
                <w:rFonts w:ascii="Tahoma" w:hAnsi="Tahoma"/>
                <w:spacing w:val="-7"/>
                <w:w w:val="95"/>
                <w:sz w:val="14"/>
              </w:rPr>
              <w:t xml:space="preserve"> </w:t>
            </w:r>
            <w:r>
              <w:rPr>
                <w:rFonts w:ascii="Tahoma" w:hAnsi="Tahoma"/>
                <w:spacing w:val="-4"/>
                <w:w w:val="95"/>
                <w:sz w:val="14"/>
              </w:rPr>
              <w:t>road</w:t>
            </w:r>
          </w:p>
        </w:tc>
        <w:tc>
          <w:tcPr>
            <w:tcW w:w="4288" w:type="dxa"/>
            <w:tcBorders>
              <w:top w:val="nil"/>
              <w:left w:val="single" w:sz="4" w:space="0" w:color="9C9C9D"/>
              <w:right w:val="nil"/>
            </w:tcBorders>
            <w:shd w:val="clear" w:color="auto" w:fill="E1E0E1"/>
          </w:tcPr>
          <w:p w:rsidR="002C1123" w:rsidRDefault="00F22F94">
            <w:pPr>
              <w:pStyle w:val="TableParagraph"/>
              <w:numPr>
                <w:ilvl w:val="0"/>
                <w:numId w:val="188"/>
              </w:numPr>
              <w:tabs>
                <w:tab w:val="left" w:pos="209"/>
              </w:tabs>
              <w:spacing w:before="73"/>
              <w:ind w:left="208" w:hanging="101"/>
              <w:rPr>
                <w:rFonts w:ascii="Tahoma" w:hAnsi="Tahoma"/>
                <w:sz w:val="14"/>
              </w:rPr>
            </w:pPr>
            <w:r>
              <w:rPr>
                <w:rFonts w:ascii="Tahoma" w:hAnsi="Tahoma"/>
                <w:w w:val="95"/>
                <w:sz w:val="14"/>
              </w:rPr>
              <w:t>25%</w:t>
            </w:r>
            <w:r>
              <w:rPr>
                <w:rFonts w:ascii="Tahoma" w:hAnsi="Tahoma"/>
                <w:spacing w:val="-7"/>
                <w:w w:val="95"/>
                <w:sz w:val="14"/>
              </w:rPr>
              <w:t xml:space="preserve"> </w:t>
            </w:r>
            <w:r>
              <w:rPr>
                <w:rFonts w:ascii="Tahoma" w:hAnsi="Tahoma"/>
                <w:w w:val="95"/>
                <w:sz w:val="14"/>
              </w:rPr>
              <w:t>of</w:t>
            </w:r>
            <w:r>
              <w:rPr>
                <w:rFonts w:ascii="Tahoma" w:hAnsi="Tahoma"/>
                <w:spacing w:val="-6"/>
                <w:w w:val="95"/>
                <w:sz w:val="14"/>
              </w:rPr>
              <w:t xml:space="preserve"> </w:t>
            </w:r>
            <w:r>
              <w:rPr>
                <w:rFonts w:ascii="Tahoma" w:hAnsi="Tahoma"/>
                <w:w w:val="95"/>
                <w:sz w:val="14"/>
              </w:rPr>
              <w:t>the</w:t>
            </w:r>
            <w:r>
              <w:rPr>
                <w:rFonts w:ascii="Tahoma" w:hAnsi="Tahoma"/>
                <w:spacing w:val="-7"/>
                <w:w w:val="95"/>
                <w:sz w:val="14"/>
              </w:rPr>
              <w:t xml:space="preserve"> </w:t>
            </w:r>
            <w:r>
              <w:rPr>
                <w:rFonts w:ascii="Tahoma" w:hAnsi="Tahoma"/>
                <w:w w:val="95"/>
                <w:sz w:val="14"/>
              </w:rPr>
              <w:t>economy</w:t>
            </w:r>
            <w:r>
              <w:rPr>
                <w:rFonts w:ascii="Tahoma" w:hAnsi="Tahoma"/>
                <w:spacing w:val="-6"/>
                <w:w w:val="95"/>
                <w:sz w:val="14"/>
              </w:rPr>
              <w:t xml:space="preserve"> </w:t>
            </w:r>
            <w:r>
              <w:rPr>
                <w:rFonts w:ascii="Tahoma" w:hAnsi="Tahoma"/>
                <w:w w:val="95"/>
                <w:sz w:val="14"/>
              </w:rPr>
              <w:t>and</w:t>
            </w:r>
            <w:r>
              <w:rPr>
                <w:rFonts w:ascii="Tahoma" w:hAnsi="Tahoma"/>
                <w:spacing w:val="-6"/>
                <w:w w:val="95"/>
                <w:sz w:val="14"/>
              </w:rPr>
              <w:t xml:space="preserve"> </w:t>
            </w:r>
            <w:r>
              <w:rPr>
                <w:rFonts w:ascii="Tahoma" w:hAnsi="Tahoma"/>
                <w:w w:val="95"/>
                <w:sz w:val="14"/>
              </w:rPr>
              <w:t>37%</w:t>
            </w:r>
            <w:r>
              <w:rPr>
                <w:rFonts w:ascii="Tahoma" w:hAnsi="Tahoma"/>
                <w:spacing w:val="-7"/>
                <w:w w:val="95"/>
                <w:sz w:val="14"/>
              </w:rPr>
              <w:t xml:space="preserve"> </w:t>
            </w:r>
            <w:r>
              <w:rPr>
                <w:rFonts w:ascii="Tahoma" w:hAnsi="Tahoma"/>
                <w:w w:val="95"/>
                <w:sz w:val="14"/>
              </w:rPr>
              <w:t>of</w:t>
            </w:r>
            <w:r>
              <w:rPr>
                <w:rFonts w:ascii="Tahoma" w:hAnsi="Tahoma"/>
                <w:spacing w:val="-6"/>
                <w:w w:val="95"/>
                <w:sz w:val="14"/>
              </w:rPr>
              <w:t xml:space="preserve"> </w:t>
            </w:r>
            <w:r>
              <w:rPr>
                <w:rFonts w:ascii="Tahoma" w:hAnsi="Tahoma"/>
                <w:w w:val="95"/>
                <w:sz w:val="14"/>
              </w:rPr>
              <w:t>the</w:t>
            </w:r>
            <w:r>
              <w:rPr>
                <w:rFonts w:ascii="Tahoma" w:hAnsi="Tahoma"/>
                <w:spacing w:val="-7"/>
                <w:w w:val="95"/>
                <w:sz w:val="14"/>
              </w:rPr>
              <w:t xml:space="preserve"> </w:t>
            </w:r>
            <w:r>
              <w:rPr>
                <w:rFonts w:ascii="Tahoma" w:hAnsi="Tahoma"/>
                <w:spacing w:val="-2"/>
                <w:w w:val="95"/>
                <w:sz w:val="14"/>
              </w:rPr>
              <w:t>population</w:t>
            </w:r>
          </w:p>
          <w:p w:rsidR="002C1123" w:rsidRDefault="00F22F94">
            <w:pPr>
              <w:pStyle w:val="TableParagraph"/>
              <w:numPr>
                <w:ilvl w:val="0"/>
                <w:numId w:val="188"/>
              </w:numPr>
              <w:tabs>
                <w:tab w:val="left" w:pos="209"/>
              </w:tabs>
              <w:spacing w:before="39"/>
              <w:ind w:left="208" w:hanging="101"/>
              <w:rPr>
                <w:rFonts w:ascii="Tahoma" w:hAnsi="Tahoma"/>
                <w:sz w:val="14"/>
              </w:rPr>
            </w:pPr>
            <w:r>
              <w:rPr>
                <w:rFonts w:ascii="Tahoma" w:hAnsi="Tahoma"/>
                <w:w w:val="95"/>
                <w:sz w:val="14"/>
              </w:rPr>
              <w:t>Australia’s</w:t>
            </w:r>
            <w:r>
              <w:rPr>
                <w:rFonts w:ascii="Tahoma" w:hAnsi="Tahoma"/>
                <w:spacing w:val="1"/>
                <w:sz w:val="14"/>
              </w:rPr>
              <w:t xml:space="preserve"> </w:t>
            </w:r>
            <w:r>
              <w:rPr>
                <w:rFonts w:ascii="Tahoma" w:hAnsi="Tahoma"/>
                <w:w w:val="95"/>
                <w:sz w:val="14"/>
              </w:rPr>
              <w:t>largest</w:t>
            </w:r>
            <w:r>
              <w:rPr>
                <w:rFonts w:ascii="Tahoma" w:hAnsi="Tahoma"/>
                <w:spacing w:val="1"/>
                <w:sz w:val="14"/>
              </w:rPr>
              <w:t xml:space="preserve"> </w:t>
            </w:r>
            <w:r>
              <w:rPr>
                <w:rFonts w:ascii="Tahoma" w:hAnsi="Tahoma"/>
                <w:w w:val="95"/>
                <w:sz w:val="14"/>
              </w:rPr>
              <w:t>and</w:t>
            </w:r>
            <w:r>
              <w:rPr>
                <w:rFonts w:ascii="Tahoma" w:hAnsi="Tahoma"/>
                <w:spacing w:val="1"/>
                <w:sz w:val="14"/>
              </w:rPr>
              <w:t xml:space="preserve"> </w:t>
            </w:r>
            <w:r>
              <w:rPr>
                <w:rFonts w:ascii="Tahoma" w:hAnsi="Tahoma"/>
                <w:w w:val="95"/>
                <w:sz w:val="14"/>
              </w:rPr>
              <w:t>most</w:t>
            </w:r>
            <w:r>
              <w:rPr>
                <w:rFonts w:ascii="Tahoma" w:hAnsi="Tahoma"/>
                <w:spacing w:val="1"/>
                <w:sz w:val="14"/>
              </w:rPr>
              <w:t xml:space="preserve"> </w:t>
            </w:r>
            <w:r>
              <w:rPr>
                <w:rFonts w:ascii="Tahoma" w:hAnsi="Tahoma"/>
                <w:w w:val="95"/>
                <w:sz w:val="14"/>
              </w:rPr>
              <w:t>diversified</w:t>
            </w:r>
            <w:r>
              <w:rPr>
                <w:rFonts w:ascii="Tahoma" w:hAnsi="Tahoma"/>
                <w:spacing w:val="1"/>
                <w:sz w:val="14"/>
              </w:rPr>
              <w:t xml:space="preserve"> </w:t>
            </w:r>
            <w:r>
              <w:rPr>
                <w:rFonts w:ascii="Tahoma" w:hAnsi="Tahoma"/>
                <w:w w:val="95"/>
                <w:sz w:val="14"/>
              </w:rPr>
              <w:t>regional</w:t>
            </w:r>
            <w:r>
              <w:rPr>
                <w:rFonts w:ascii="Tahoma" w:hAnsi="Tahoma"/>
                <w:spacing w:val="1"/>
                <w:sz w:val="14"/>
              </w:rPr>
              <w:t xml:space="preserve"> </w:t>
            </w:r>
            <w:r>
              <w:rPr>
                <w:rFonts w:ascii="Tahoma" w:hAnsi="Tahoma"/>
                <w:spacing w:val="-2"/>
                <w:w w:val="95"/>
                <w:sz w:val="14"/>
              </w:rPr>
              <w:t>economy</w:t>
            </w:r>
          </w:p>
          <w:p w:rsidR="002C1123" w:rsidRDefault="00F22F94">
            <w:pPr>
              <w:pStyle w:val="TableParagraph"/>
              <w:numPr>
                <w:ilvl w:val="0"/>
                <w:numId w:val="188"/>
              </w:numPr>
              <w:tabs>
                <w:tab w:val="left" w:pos="208"/>
              </w:tabs>
              <w:spacing w:before="40" w:line="268" w:lineRule="auto"/>
              <w:ind w:right="754"/>
              <w:rPr>
                <w:sz w:val="14"/>
              </w:rPr>
            </w:pPr>
            <w:r>
              <w:rPr>
                <w:rFonts w:ascii="Tahoma" w:hAnsi="Tahoma"/>
                <w:w w:val="95"/>
                <w:sz w:val="14"/>
              </w:rPr>
              <w:t xml:space="preserve">Internationally significant primary producer: coal, grain, </w:t>
            </w:r>
            <w:r>
              <w:rPr>
                <w:sz w:val="14"/>
              </w:rPr>
              <w:t>livestock, viticulture, etc</w:t>
            </w:r>
          </w:p>
        </w:tc>
      </w:tr>
      <w:tr w:rsidR="002C1123">
        <w:trPr>
          <w:trHeight w:val="1278"/>
        </w:trPr>
        <w:tc>
          <w:tcPr>
            <w:tcW w:w="1984" w:type="dxa"/>
            <w:tcBorders>
              <w:left w:val="nil"/>
              <w:right w:val="single" w:sz="4" w:space="0" w:color="9C9C9D"/>
            </w:tcBorders>
            <w:shd w:val="clear" w:color="auto" w:fill="E1E0E1"/>
          </w:tcPr>
          <w:p w:rsidR="002C1123" w:rsidRDefault="00F22F94">
            <w:pPr>
              <w:pStyle w:val="TableParagraph"/>
              <w:spacing w:before="44"/>
              <w:ind w:left="108"/>
              <w:rPr>
                <w:rFonts w:ascii="Trebuchet MS"/>
                <w:sz w:val="48"/>
              </w:rPr>
            </w:pPr>
            <w:r>
              <w:rPr>
                <w:rFonts w:ascii="Trebuchet MS"/>
                <w:color w:val="00AEEF"/>
                <w:spacing w:val="-6"/>
                <w:w w:val="65"/>
                <w:sz w:val="48"/>
              </w:rPr>
              <w:t>Conclusions</w:t>
            </w:r>
          </w:p>
        </w:tc>
        <w:tc>
          <w:tcPr>
            <w:tcW w:w="4288" w:type="dxa"/>
            <w:tcBorders>
              <w:left w:val="single" w:sz="4" w:space="0" w:color="9C9C9D"/>
              <w:right w:val="single" w:sz="4" w:space="0" w:color="9C9C9D"/>
            </w:tcBorders>
            <w:shd w:val="clear" w:color="auto" w:fill="E1E0E1"/>
          </w:tcPr>
          <w:p w:rsidR="002C1123" w:rsidRDefault="00F22F94">
            <w:pPr>
              <w:pStyle w:val="TableParagraph"/>
              <w:numPr>
                <w:ilvl w:val="0"/>
                <w:numId w:val="187"/>
              </w:numPr>
              <w:tabs>
                <w:tab w:val="left" w:pos="209"/>
              </w:tabs>
              <w:spacing w:before="71" w:line="268" w:lineRule="auto"/>
              <w:ind w:right="398"/>
              <w:rPr>
                <w:sz w:val="14"/>
              </w:rPr>
            </w:pPr>
            <w:r>
              <w:rPr>
                <w:rFonts w:ascii="Tahoma" w:hAnsi="Tahoma"/>
                <w:w w:val="95"/>
                <w:sz w:val="14"/>
              </w:rPr>
              <w:t xml:space="preserve">Landside transport infrastructure around the port and airport </w:t>
            </w:r>
            <w:r>
              <w:rPr>
                <w:sz w:val="14"/>
              </w:rPr>
              <w:t>requires</w:t>
            </w:r>
            <w:r>
              <w:rPr>
                <w:spacing w:val="-10"/>
                <w:sz w:val="14"/>
              </w:rPr>
              <w:t xml:space="preserve"> </w:t>
            </w:r>
            <w:r>
              <w:rPr>
                <w:sz w:val="14"/>
              </w:rPr>
              <w:t>expansion</w:t>
            </w:r>
          </w:p>
          <w:p w:rsidR="002C1123" w:rsidRDefault="00F22F94">
            <w:pPr>
              <w:pStyle w:val="TableParagraph"/>
              <w:numPr>
                <w:ilvl w:val="0"/>
                <w:numId w:val="187"/>
              </w:numPr>
              <w:tabs>
                <w:tab w:val="left" w:pos="209"/>
              </w:tabs>
              <w:spacing w:before="18" w:line="268" w:lineRule="auto"/>
              <w:ind w:right="678"/>
              <w:rPr>
                <w:sz w:val="14"/>
              </w:rPr>
            </w:pPr>
            <w:r>
              <w:rPr>
                <w:rFonts w:ascii="Tahoma" w:hAnsi="Tahoma"/>
                <w:w w:val="95"/>
                <w:sz w:val="14"/>
              </w:rPr>
              <w:t xml:space="preserve">Global Sydney must out-compete other cities in terms of </w:t>
            </w:r>
            <w:r>
              <w:rPr>
                <w:sz w:val="14"/>
              </w:rPr>
              <w:t>liveability and business attractiveness</w:t>
            </w:r>
          </w:p>
          <w:p w:rsidR="002C1123" w:rsidRDefault="00F22F94">
            <w:pPr>
              <w:pStyle w:val="TableParagraph"/>
              <w:numPr>
                <w:ilvl w:val="0"/>
                <w:numId w:val="187"/>
              </w:numPr>
              <w:tabs>
                <w:tab w:val="left" w:pos="209"/>
              </w:tabs>
              <w:spacing w:before="19" w:line="268" w:lineRule="auto"/>
              <w:ind w:right="418"/>
              <w:rPr>
                <w:sz w:val="14"/>
              </w:rPr>
            </w:pPr>
            <w:r>
              <w:rPr>
                <w:rFonts w:ascii="Tahoma" w:hAnsi="Tahoma"/>
                <w:w w:val="95"/>
                <w:sz w:val="14"/>
              </w:rPr>
              <w:t xml:space="preserve">Urban regeneration will help meet the housing challenge and </w:t>
            </w:r>
            <w:r>
              <w:rPr>
                <w:sz w:val="14"/>
              </w:rPr>
              <w:t>improve our competitiveness</w:t>
            </w:r>
          </w:p>
        </w:tc>
        <w:tc>
          <w:tcPr>
            <w:tcW w:w="4288" w:type="dxa"/>
            <w:tcBorders>
              <w:left w:val="single" w:sz="4" w:space="0" w:color="9C9C9D"/>
              <w:right w:val="single" w:sz="4" w:space="0" w:color="9C9C9D"/>
            </w:tcBorders>
            <w:shd w:val="clear" w:color="auto" w:fill="E1E0E1"/>
          </w:tcPr>
          <w:p w:rsidR="002C1123" w:rsidRDefault="00F22F94">
            <w:pPr>
              <w:pStyle w:val="TableParagraph"/>
              <w:numPr>
                <w:ilvl w:val="0"/>
                <w:numId w:val="186"/>
              </w:numPr>
              <w:tabs>
                <w:tab w:val="left" w:pos="209"/>
              </w:tabs>
              <w:spacing w:before="71" w:line="268" w:lineRule="auto"/>
              <w:ind w:right="306"/>
              <w:rPr>
                <w:sz w:val="14"/>
              </w:rPr>
            </w:pPr>
            <w:r>
              <w:rPr>
                <w:rFonts w:ascii="Tahoma" w:hAnsi="Tahoma"/>
                <w:w w:val="95"/>
                <w:sz w:val="14"/>
              </w:rPr>
              <w:t xml:space="preserve">Investment in new and upgraded roads is essential to meet the </w:t>
            </w:r>
            <w:r>
              <w:rPr>
                <w:sz w:val="14"/>
              </w:rPr>
              <w:t>transport task in Greater Sydney</w:t>
            </w:r>
          </w:p>
          <w:p w:rsidR="002C1123" w:rsidRDefault="00F22F94">
            <w:pPr>
              <w:pStyle w:val="TableParagraph"/>
              <w:numPr>
                <w:ilvl w:val="0"/>
                <w:numId w:val="186"/>
              </w:numPr>
              <w:tabs>
                <w:tab w:val="left" w:pos="209"/>
              </w:tabs>
              <w:spacing w:before="18" w:line="268" w:lineRule="auto"/>
              <w:ind w:right="359" w:hanging="101"/>
              <w:rPr>
                <w:sz w:val="14"/>
              </w:rPr>
            </w:pPr>
            <w:r>
              <w:rPr>
                <w:rFonts w:ascii="Tahoma" w:hAnsi="Tahoma"/>
                <w:w w:val="95"/>
                <w:sz w:val="14"/>
              </w:rPr>
              <w:t xml:space="preserve">Many people in Greater Sydney will continue to work in Global </w:t>
            </w:r>
            <w:r>
              <w:rPr>
                <w:sz w:val="14"/>
              </w:rPr>
              <w:t>Sydney,</w:t>
            </w:r>
            <w:r>
              <w:rPr>
                <w:spacing w:val="-1"/>
                <w:sz w:val="14"/>
              </w:rPr>
              <w:t xml:space="preserve"> </w:t>
            </w:r>
            <w:r>
              <w:rPr>
                <w:sz w:val="14"/>
              </w:rPr>
              <w:t>requiring</w:t>
            </w:r>
            <w:r>
              <w:rPr>
                <w:spacing w:val="-1"/>
                <w:sz w:val="14"/>
              </w:rPr>
              <w:t xml:space="preserve"> </w:t>
            </w:r>
            <w:r>
              <w:rPr>
                <w:sz w:val="14"/>
              </w:rPr>
              <w:t>expansion</w:t>
            </w:r>
            <w:r>
              <w:rPr>
                <w:spacing w:val="-1"/>
                <w:sz w:val="14"/>
              </w:rPr>
              <w:t xml:space="preserve"> </w:t>
            </w:r>
            <w:r>
              <w:rPr>
                <w:sz w:val="14"/>
              </w:rPr>
              <w:t>of</w:t>
            </w:r>
            <w:r>
              <w:rPr>
                <w:spacing w:val="-1"/>
                <w:sz w:val="14"/>
              </w:rPr>
              <w:t xml:space="preserve"> </w:t>
            </w:r>
            <w:r>
              <w:rPr>
                <w:sz w:val="14"/>
              </w:rPr>
              <w:t>both</w:t>
            </w:r>
            <w:r>
              <w:rPr>
                <w:spacing w:val="-1"/>
                <w:sz w:val="14"/>
              </w:rPr>
              <w:t xml:space="preserve"> </w:t>
            </w:r>
            <w:r>
              <w:rPr>
                <w:sz w:val="14"/>
              </w:rPr>
              <w:t>road</w:t>
            </w:r>
            <w:r>
              <w:rPr>
                <w:spacing w:val="-1"/>
                <w:sz w:val="14"/>
              </w:rPr>
              <w:t xml:space="preserve"> </w:t>
            </w:r>
            <w:r>
              <w:rPr>
                <w:sz w:val="14"/>
              </w:rPr>
              <w:t>and</w:t>
            </w:r>
            <w:r>
              <w:rPr>
                <w:spacing w:val="-1"/>
                <w:sz w:val="14"/>
              </w:rPr>
              <w:t xml:space="preserve"> </w:t>
            </w:r>
            <w:r>
              <w:rPr>
                <w:sz w:val="14"/>
              </w:rPr>
              <w:t>rail</w:t>
            </w:r>
            <w:r>
              <w:rPr>
                <w:spacing w:val="-1"/>
                <w:sz w:val="14"/>
              </w:rPr>
              <w:t xml:space="preserve"> </w:t>
            </w:r>
            <w:r>
              <w:rPr>
                <w:sz w:val="14"/>
              </w:rPr>
              <w:t>capacity</w:t>
            </w:r>
          </w:p>
          <w:p w:rsidR="002C1123" w:rsidRDefault="00F22F94">
            <w:pPr>
              <w:pStyle w:val="TableParagraph"/>
              <w:numPr>
                <w:ilvl w:val="0"/>
                <w:numId w:val="186"/>
              </w:numPr>
              <w:tabs>
                <w:tab w:val="left" w:pos="209"/>
              </w:tabs>
              <w:spacing w:before="19" w:line="268" w:lineRule="auto"/>
              <w:ind w:right="562" w:hanging="101"/>
              <w:rPr>
                <w:sz w:val="14"/>
              </w:rPr>
            </w:pPr>
            <w:r>
              <w:rPr>
                <w:rFonts w:ascii="Tahoma" w:hAnsi="Tahoma"/>
                <w:w w:val="95"/>
                <w:sz w:val="14"/>
              </w:rPr>
              <w:t xml:space="preserve">Parramatta and other centres require investment to realise </w:t>
            </w:r>
            <w:r>
              <w:rPr>
                <w:sz w:val="14"/>
              </w:rPr>
              <w:t>their</w:t>
            </w:r>
            <w:r>
              <w:rPr>
                <w:spacing w:val="-10"/>
                <w:sz w:val="14"/>
              </w:rPr>
              <w:t xml:space="preserve"> </w:t>
            </w:r>
            <w:r>
              <w:rPr>
                <w:sz w:val="14"/>
              </w:rPr>
              <w:t>potential</w:t>
            </w:r>
          </w:p>
        </w:tc>
        <w:tc>
          <w:tcPr>
            <w:tcW w:w="4288" w:type="dxa"/>
            <w:tcBorders>
              <w:left w:val="single" w:sz="4" w:space="0" w:color="9C9C9D"/>
              <w:right w:val="nil"/>
            </w:tcBorders>
            <w:shd w:val="clear" w:color="auto" w:fill="E1E0E1"/>
          </w:tcPr>
          <w:p w:rsidR="002C1123" w:rsidRDefault="00F22F94">
            <w:pPr>
              <w:pStyle w:val="TableParagraph"/>
              <w:numPr>
                <w:ilvl w:val="0"/>
                <w:numId w:val="185"/>
              </w:numPr>
              <w:tabs>
                <w:tab w:val="left" w:pos="209"/>
              </w:tabs>
              <w:spacing w:before="71" w:line="268" w:lineRule="auto"/>
              <w:ind w:right="1180"/>
              <w:rPr>
                <w:sz w:val="14"/>
              </w:rPr>
            </w:pPr>
            <w:r>
              <w:rPr>
                <w:rFonts w:ascii="Tahoma" w:hAnsi="Tahoma"/>
                <w:w w:val="95"/>
                <w:sz w:val="14"/>
              </w:rPr>
              <w:t xml:space="preserve">Regional producers require efficient and reliable </w:t>
            </w:r>
            <w:r>
              <w:rPr>
                <w:sz w:val="14"/>
              </w:rPr>
              <w:t>access to markets</w:t>
            </w:r>
          </w:p>
          <w:p w:rsidR="002C1123" w:rsidRDefault="00F22F94">
            <w:pPr>
              <w:pStyle w:val="TableParagraph"/>
              <w:numPr>
                <w:ilvl w:val="0"/>
                <w:numId w:val="185"/>
              </w:numPr>
              <w:tabs>
                <w:tab w:val="left" w:pos="209"/>
              </w:tabs>
              <w:spacing w:before="18" w:line="268" w:lineRule="auto"/>
              <w:ind w:right="417" w:hanging="101"/>
              <w:rPr>
                <w:sz w:val="14"/>
              </w:rPr>
            </w:pPr>
            <w:r>
              <w:rPr>
                <w:rFonts w:ascii="Tahoma" w:hAnsi="Tahoma"/>
                <w:w w:val="95"/>
                <w:sz w:val="14"/>
              </w:rPr>
              <w:t xml:space="preserve">Regions adjacent to Sydney will benefit from better transport </w:t>
            </w:r>
            <w:r>
              <w:rPr>
                <w:sz w:val="14"/>
              </w:rPr>
              <w:t>links to the capital city</w:t>
            </w:r>
          </w:p>
          <w:p w:rsidR="002C1123" w:rsidRDefault="00F22F94">
            <w:pPr>
              <w:pStyle w:val="TableParagraph"/>
              <w:numPr>
                <w:ilvl w:val="0"/>
                <w:numId w:val="185"/>
              </w:numPr>
              <w:tabs>
                <w:tab w:val="left" w:pos="209"/>
              </w:tabs>
              <w:spacing w:before="19"/>
              <w:ind w:hanging="101"/>
              <w:rPr>
                <w:rFonts w:ascii="Tahoma" w:hAnsi="Tahoma"/>
                <w:sz w:val="14"/>
              </w:rPr>
            </w:pPr>
            <w:r>
              <w:rPr>
                <w:rFonts w:ascii="Tahoma" w:hAnsi="Tahoma"/>
                <w:w w:val="95"/>
                <w:sz w:val="14"/>
              </w:rPr>
              <w:t>Improvements</w:t>
            </w:r>
            <w:r>
              <w:rPr>
                <w:rFonts w:ascii="Tahoma" w:hAnsi="Tahoma"/>
                <w:spacing w:val="-3"/>
                <w:w w:val="95"/>
                <w:sz w:val="14"/>
              </w:rPr>
              <w:t xml:space="preserve"> </w:t>
            </w:r>
            <w:r>
              <w:rPr>
                <w:rFonts w:ascii="Tahoma" w:hAnsi="Tahoma"/>
                <w:w w:val="95"/>
                <w:sz w:val="14"/>
              </w:rPr>
              <w:t>to</w:t>
            </w:r>
            <w:r>
              <w:rPr>
                <w:rFonts w:ascii="Tahoma" w:hAnsi="Tahoma"/>
                <w:spacing w:val="-3"/>
                <w:w w:val="95"/>
                <w:sz w:val="14"/>
              </w:rPr>
              <w:t xml:space="preserve"> </w:t>
            </w:r>
            <w:r>
              <w:rPr>
                <w:rFonts w:ascii="Tahoma" w:hAnsi="Tahoma"/>
                <w:w w:val="95"/>
                <w:sz w:val="14"/>
              </w:rPr>
              <w:t>water</w:t>
            </w:r>
            <w:r>
              <w:rPr>
                <w:rFonts w:ascii="Tahoma" w:hAnsi="Tahoma"/>
                <w:spacing w:val="-3"/>
                <w:w w:val="95"/>
                <w:sz w:val="14"/>
              </w:rPr>
              <w:t xml:space="preserve"> </w:t>
            </w:r>
            <w:r>
              <w:rPr>
                <w:rFonts w:ascii="Tahoma" w:hAnsi="Tahoma"/>
                <w:w w:val="95"/>
                <w:sz w:val="14"/>
              </w:rPr>
              <w:t>security</w:t>
            </w:r>
            <w:r>
              <w:rPr>
                <w:rFonts w:ascii="Tahoma" w:hAnsi="Tahoma"/>
                <w:spacing w:val="-3"/>
                <w:w w:val="95"/>
                <w:sz w:val="14"/>
              </w:rPr>
              <w:t xml:space="preserve"> </w:t>
            </w:r>
            <w:r>
              <w:rPr>
                <w:rFonts w:ascii="Tahoma" w:hAnsi="Tahoma"/>
                <w:w w:val="95"/>
                <w:sz w:val="14"/>
              </w:rPr>
              <w:t>and</w:t>
            </w:r>
            <w:r>
              <w:rPr>
                <w:rFonts w:ascii="Tahoma" w:hAnsi="Tahoma"/>
                <w:spacing w:val="-3"/>
                <w:w w:val="95"/>
                <w:sz w:val="14"/>
              </w:rPr>
              <w:t xml:space="preserve"> </w:t>
            </w:r>
            <w:r>
              <w:rPr>
                <w:rFonts w:ascii="Tahoma" w:hAnsi="Tahoma"/>
                <w:w w:val="95"/>
                <w:sz w:val="14"/>
              </w:rPr>
              <w:t>quality</w:t>
            </w:r>
            <w:r>
              <w:rPr>
                <w:rFonts w:ascii="Tahoma" w:hAnsi="Tahoma"/>
                <w:spacing w:val="-3"/>
                <w:w w:val="95"/>
                <w:sz w:val="14"/>
              </w:rPr>
              <w:t xml:space="preserve"> </w:t>
            </w:r>
            <w:r>
              <w:rPr>
                <w:rFonts w:ascii="Tahoma" w:hAnsi="Tahoma"/>
                <w:w w:val="95"/>
                <w:sz w:val="14"/>
              </w:rPr>
              <w:t>are</w:t>
            </w:r>
            <w:r>
              <w:rPr>
                <w:rFonts w:ascii="Tahoma" w:hAnsi="Tahoma"/>
                <w:spacing w:val="-2"/>
                <w:w w:val="95"/>
                <w:sz w:val="14"/>
              </w:rPr>
              <w:t xml:space="preserve"> required</w:t>
            </w:r>
          </w:p>
        </w:tc>
      </w:tr>
      <w:tr w:rsidR="002C1123">
        <w:trPr>
          <w:trHeight w:val="664"/>
        </w:trPr>
        <w:tc>
          <w:tcPr>
            <w:tcW w:w="14848" w:type="dxa"/>
            <w:gridSpan w:val="4"/>
            <w:tcBorders>
              <w:left w:val="nil"/>
              <w:bottom w:val="nil"/>
              <w:right w:val="nil"/>
            </w:tcBorders>
            <w:shd w:val="clear" w:color="auto" w:fill="2E3092"/>
          </w:tcPr>
          <w:p w:rsidR="002C1123" w:rsidRDefault="00F22F94">
            <w:pPr>
              <w:pStyle w:val="TableParagraph"/>
              <w:spacing w:before="44"/>
              <w:rPr>
                <w:rFonts w:ascii="Trebuchet MS" w:hAnsi="Trebuchet MS"/>
                <w:sz w:val="48"/>
              </w:rPr>
            </w:pPr>
            <w:r>
              <w:rPr>
                <w:rFonts w:ascii="Trebuchet MS" w:hAnsi="Trebuchet MS"/>
                <w:color w:val="FFFFFF"/>
                <w:w w:val="55"/>
                <w:sz w:val="48"/>
              </w:rPr>
              <w:t>Infrastructure</w:t>
            </w:r>
            <w:r>
              <w:rPr>
                <w:rFonts w:ascii="Trebuchet MS" w:hAnsi="Trebuchet MS"/>
                <w:color w:val="FFFFFF"/>
                <w:spacing w:val="-20"/>
                <w:w w:val="55"/>
                <w:sz w:val="48"/>
              </w:rPr>
              <w:t xml:space="preserve"> </w:t>
            </w:r>
            <w:r>
              <w:rPr>
                <w:rFonts w:ascii="Trebuchet MS" w:hAnsi="Trebuchet MS"/>
                <w:color w:val="FFFFFF"/>
                <w:w w:val="55"/>
                <w:sz w:val="48"/>
              </w:rPr>
              <w:t>NSW’s</w:t>
            </w:r>
            <w:r>
              <w:rPr>
                <w:rFonts w:ascii="Trebuchet MS" w:hAnsi="Trebuchet MS"/>
                <w:color w:val="FFFFFF"/>
                <w:spacing w:val="-20"/>
                <w:w w:val="55"/>
                <w:sz w:val="48"/>
              </w:rPr>
              <w:t xml:space="preserve"> </w:t>
            </w:r>
            <w:r>
              <w:rPr>
                <w:rFonts w:ascii="Trebuchet MS" w:hAnsi="Trebuchet MS"/>
                <w:color w:val="FFFFFF"/>
                <w:w w:val="55"/>
                <w:sz w:val="48"/>
              </w:rPr>
              <w:t>principal</w:t>
            </w:r>
            <w:r>
              <w:rPr>
                <w:rFonts w:ascii="Trebuchet MS" w:hAnsi="Trebuchet MS"/>
                <w:color w:val="FFFFFF"/>
                <w:spacing w:val="-19"/>
                <w:w w:val="55"/>
                <w:sz w:val="48"/>
              </w:rPr>
              <w:t xml:space="preserve"> </w:t>
            </w:r>
            <w:r>
              <w:rPr>
                <w:rFonts w:ascii="Trebuchet MS" w:hAnsi="Trebuchet MS"/>
                <w:color w:val="FFFFFF"/>
                <w:spacing w:val="-2"/>
                <w:w w:val="55"/>
                <w:sz w:val="48"/>
              </w:rPr>
              <w:t>recommendations</w:t>
            </w:r>
          </w:p>
        </w:tc>
      </w:tr>
      <w:tr w:rsidR="002C1123">
        <w:trPr>
          <w:trHeight w:val="530"/>
        </w:trPr>
        <w:tc>
          <w:tcPr>
            <w:tcW w:w="1984" w:type="dxa"/>
            <w:vMerge w:val="restart"/>
            <w:tcBorders>
              <w:top w:val="nil"/>
              <w:left w:val="nil"/>
              <w:bottom w:val="single" w:sz="4" w:space="0" w:color="9C9C9D"/>
              <w:right w:val="single" w:sz="4" w:space="0" w:color="9C9C9D"/>
            </w:tcBorders>
            <w:shd w:val="clear" w:color="auto" w:fill="EEEEEE"/>
          </w:tcPr>
          <w:p w:rsidR="002C1123" w:rsidRDefault="00F22F94">
            <w:pPr>
              <w:pStyle w:val="TableParagraph"/>
              <w:spacing w:before="69"/>
              <w:ind w:left="108"/>
              <w:rPr>
                <w:b/>
                <w:sz w:val="20"/>
              </w:rPr>
            </w:pPr>
            <w:r>
              <w:rPr>
                <w:b/>
                <w:color w:val="2E3092"/>
                <w:sz w:val="20"/>
              </w:rPr>
              <w:t>Now</w:t>
            </w:r>
            <w:r>
              <w:rPr>
                <w:b/>
                <w:color w:val="2E3092"/>
                <w:spacing w:val="-8"/>
                <w:sz w:val="20"/>
              </w:rPr>
              <w:t xml:space="preserve"> </w:t>
            </w:r>
            <w:r>
              <w:rPr>
                <w:b/>
                <w:color w:val="9C9C9D"/>
                <w:sz w:val="20"/>
              </w:rPr>
              <w:t>(0-5</w:t>
            </w:r>
            <w:r>
              <w:rPr>
                <w:b/>
                <w:color w:val="9C9C9D"/>
                <w:spacing w:val="-7"/>
                <w:sz w:val="20"/>
              </w:rPr>
              <w:t xml:space="preserve"> </w:t>
            </w:r>
            <w:r>
              <w:rPr>
                <w:b/>
                <w:color w:val="9C9C9D"/>
                <w:spacing w:val="-2"/>
                <w:sz w:val="20"/>
              </w:rPr>
              <w:t>Years)</w:t>
            </w:r>
          </w:p>
          <w:p w:rsidR="002C1123" w:rsidRDefault="002C1123">
            <w:pPr>
              <w:pStyle w:val="TableParagraph"/>
              <w:spacing w:before="9" w:after="1"/>
              <w:ind w:left="0"/>
              <w:rPr>
                <w:rFonts w:ascii="Trebuchet MS"/>
                <w:sz w:val="16"/>
              </w:rPr>
            </w:pPr>
          </w:p>
          <w:p w:rsidR="002C1123" w:rsidRDefault="002060EF">
            <w:pPr>
              <w:pStyle w:val="TableParagraph"/>
              <w:spacing w:before="0"/>
              <w:ind w:left="529"/>
              <w:rPr>
                <w:rFonts w:ascii="Trebuchet MS"/>
                <w:sz w:val="20"/>
              </w:rPr>
            </w:pPr>
            <w:r>
              <w:rPr>
                <w:rFonts w:ascii="Trebuchet MS"/>
                <w:sz w:val="20"/>
              </w:rPr>
            </w:r>
            <w:r>
              <w:rPr>
                <w:rFonts w:ascii="Trebuchet MS"/>
                <w:sz w:val="20"/>
              </w:rPr>
              <w:pict>
                <v:group id="docshapegroup62" o:spid="_x0000_s5232" style="width:45.75pt;height:50.25pt;mso-position-horizontal-relative:char;mso-position-vertical-relative:line" coordsize="915,1005">
                  <v:shape id="docshape63" o:spid="_x0000_s5236" style="position:absolute;left:28;top:118;width:857;height:857" coordorigin="29,119" coordsize="857,857" path="m29,547r7,77l56,697r31,66l130,823r51,52l241,917r67,32l380,969r77,6l534,969r73,-20l673,917r60,-42l785,823r42,-60l859,697r20,-73l886,547r-7,-77l859,398,827,331,785,271,733,219,673,177,607,145,534,126r-77,-7l380,126r-72,19l241,177r-60,42l130,271,87,331,56,398,36,470r-7,77xe" filled="f" strokecolor="#2e3092" strokeweight="2.88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4" o:spid="_x0000_s5235" type="#_x0000_t75" style="position:absolute;left:536;top:3;width:328;height:233">
                    <v:imagedata r:id="rId29" o:title=""/>
                  </v:shape>
                  <v:shape id="docshape65" o:spid="_x0000_s5234" type="#_x0000_t75" style="position:absolute;left:45;width:321;height:236">
                    <v:imagedata r:id="rId30" o:title=""/>
                  </v:shape>
                  <v:shape id="docshape66" o:spid="_x0000_s5233" style="position:absolute;left:457;top:215;width:330;height:330" coordorigin="457,215" coordsize="330,330" o:spt="100" adj="0,,0" path="m457,545r,-330m457,545r330,e" filled="f" strokecolor="#2e3092" strokeweight=".75778mm">
                    <v:stroke joinstyle="round"/>
                    <v:formulas/>
                    <v:path arrowok="t" o:connecttype="segments"/>
                  </v:shape>
                  <w10:wrap type="none"/>
                  <w10:anchorlock/>
                </v:group>
              </w:pict>
            </w:r>
          </w:p>
          <w:p w:rsidR="002C1123" w:rsidRDefault="00F22F94">
            <w:pPr>
              <w:pStyle w:val="TableParagraph"/>
              <w:spacing w:before="117"/>
              <w:ind w:left="603"/>
              <w:rPr>
                <w:b/>
                <w:sz w:val="16"/>
              </w:rPr>
            </w:pPr>
            <w:r>
              <w:rPr>
                <w:b/>
                <w:color w:val="2E3092"/>
                <w:sz w:val="16"/>
              </w:rPr>
              <w:t>2012-</w:t>
            </w:r>
            <w:r>
              <w:rPr>
                <w:b/>
                <w:color w:val="2E3092"/>
                <w:spacing w:val="-4"/>
                <w:sz w:val="16"/>
              </w:rPr>
              <w:t>2017</w:t>
            </w:r>
          </w:p>
        </w:tc>
        <w:tc>
          <w:tcPr>
            <w:tcW w:w="8576" w:type="dxa"/>
            <w:gridSpan w:val="2"/>
            <w:tcBorders>
              <w:top w:val="nil"/>
              <w:left w:val="single" w:sz="4" w:space="0" w:color="9C9C9D"/>
              <w:bottom w:val="single" w:sz="4" w:space="0" w:color="9C9C9D"/>
              <w:right w:val="single" w:sz="4" w:space="0" w:color="9C9C9D"/>
            </w:tcBorders>
            <w:shd w:val="clear" w:color="auto" w:fill="EEEEEE"/>
          </w:tcPr>
          <w:p w:rsidR="002C1123" w:rsidRDefault="00F22F94">
            <w:pPr>
              <w:pStyle w:val="TableParagraph"/>
              <w:numPr>
                <w:ilvl w:val="0"/>
                <w:numId w:val="184"/>
              </w:numPr>
              <w:tabs>
                <w:tab w:val="left" w:pos="2930"/>
              </w:tabs>
              <w:spacing w:before="73"/>
              <w:ind w:hanging="101"/>
              <w:rPr>
                <w:rFonts w:ascii="Tahoma" w:hAnsi="Tahoma"/>
                <w:color w:val="2E3092"/>
                <w:sz w:val="14"/>
              </w:rPr>
            </w:pPr>
            <w:r>
              <w:rPr>
                <w:rFonts w:ascii="Tahoma" w:hAnsi="Tahoma"/>
                <w:color w:val="2E3092"/>
                <w:w w:val="95"/>
                <w:sz w:val="14"/>
              </w:rPr>
              <w:t>Start</w:t>
            </w:r>
            <w:r>
              <w:rPr>
                <w:rFonts w:ascii="Tahoma" w:hAnsi="Tahoma"/>
                <w:color w:val="2E3092"/>
                <w:sz w:val="14"/>
              </w:rPr>
              <w:t xml:space="preserve"> </w:t>
            </w:r>
            <w:r>
              <w:rPr>
                <w:rFonts w:ascii="Tahoma" w:hAnsi="Tahoma"/>
                <w:color w:val="2E3092"/>
                <w:w w:val="95"/>
                <w:sz w:val="14"/>
              </w:rPr>
              <w:t>construction</w:t>
            </w:r>
            <w:r>
              <w:rPr>
                <w:rFonts w:ascii="Tahoma" w:hAnsi="Tahoma"/>
                <w:color w:val="2E3092"/>
                <w:sz w:val="14"/>
              </w:rPr>
              <w:t xml:space="preserve"> </w:t>
            </w:r>
            <w:r>
              <w:rPr>
                <w:rFonts w:ascii="Tahoma" w:hAnsi="Tahoma"/>
                <w:color w:val="2E3092"/>
                <w:w w:val="95"/>
                <w:sz w:val="14"/>
              </w:rPr>
              <w:t>of</w:t>
            </w:r>
            <w:r>
              <w:rPr>
                <w:rFonts w:ascii="Tahoma" w:hAnsi="Tahoma"/>
                <w:color w:val="2E3092"/>
                <w:sz w:val="14"/>
              </w:rPr>
              <w:t xml:space="preserve"> </w:t>
            </w:r>
            <w:r>
              <w:rPr>
                <w:rFonts w:ascii="Tahoma" w:hAnsi="Tahoma"/>
                <w:color w:val="2E3092"/>
                <w:w w:val="95"/>
                <w:sz w:val="14"/>
              </w:rPr>
              <w:t>the</w:t>
            </w:r>
            <w:r>
              <w:rPr>
                <w:rFonts w:ascii="Tahoma" w:hAnsi="Tahoma"/>
                <w:color w:val="2E3092"/>
                <w:sz w:val="14"/>
              </w:rPr>
              <w:t xml:space="preserve"> </w:t>
            </w:r>
            <w:r>
              <w:rPr>
                <w:rFonts w:ascii="Tahoma" w:hAnsi="Tahoma"/>
                <w:color w:val="2E3092"/>
                <w:w w:val="95"/>
                <w:sz w:val="14"/>
              </w:rPr>
              <w:t>North</w:t>
            </w:r>
            <w:r>
              <w:rPr>
                <w:rFonts w:ascii="Tahoma" w:hAnsi="Tahoma"/>
                <w:color w:val="2E3092"/>
                <w:spacing w:val="1"/>
                <w:sz w:val="14"/>
              </w:rPr>
              <w:t xml:space="preserve"> </w:t>
            </w:r>
            <w:r>
              <w:rPr>
                <w:rFonts w:ascii="Tahoma" w:hAnsi="Tahoma"/>
                <w:color w:val="2E3092"/>
                <w:w w:val="95"/>
                <w:sz w:val="14"/>
              </w:rPr>
              <w:t>West</w:t>
            </w:r>
            <w:r>
              <w:rPr>
                <w:rFonts w:ascii="Tahoma" w:hAnsi="Tahoma"/>
                <w:color w:val="2E3092"/>
                <w:sz w:val="14"/>
              </w:rPr>
              <w:t xml:space="preserve"> </w:t>
            </w:r>
            <w:r>
              <w:rPr>
                <w:rFonts w:ascii="Tahoma" w:hAnsi="Tahoma"/>
                <w:color w:val="2E3092"/>
                <w:w w:val="95"/>
                <w:sz w:val="14"/>
              </w:rPr>
              <w:t>Rail</w:t>
            </w:r>
            <w:r>
              <w:rPr>
                <w:rFonts w:ascii="Tahoma" w:hAnsi="Tahoma"/>
                <w:color w:val="2E3092"/>
                <w:sz w:val="14"/>
              </w:rPr>
              <w:t xml:space="preserve"> </w:t>
            </w:r>
            <w:r>
              <w:rPr>
                <w:rFonts w:ascii="Tahoma" w:hAnsi="Tahoma"/>
                <w:color w:val="2E3092"/>
                <w:spacing w:val="-2"/>
                <w:w w:val="95"/>
                <w:sz w:val="14"/>
              </w:rPr>
              <w:t>Link</w:t>
            </w:r>
            <w:r>
              <w:rPr>
                <w:b/>
                <w:color w:val="2E3092"/>
                <w:spacing w:val="-2"/>
                <w:w w:val="95"/>
                <w:sz w:val="14"/>
              </w:rPr>
              <w:t>*</w:t>
            </w:r>
          </w:p>
          <w:p w:rsidR="002C1123" w:rsidRDefault="00F22F94">
            <w:pPr>
              <w:pStyle w:val="TableParagraph"/>
              <w:numPr>
                <w:ilvl w:val="0"/>
                <w:numId w:val="184"/>
              </w:numPr>
              <w:tabs>
                <w:tab w:val="left" w:pos="2930"/>
              </w:tabs>
              <w:spacing w:before="39"/>
              <w:ind w:hanging="101"/>
              <w:rPr>
                <w:rFonts w:ascii="Tahoma" w:hAnsi="Tahoma"/>
                <w:sz w:val="14"/>
              </w:rPr>
            </w:pPr>
            <w:r>
              <w:rPr>
                <w:rFonts w:ascii="Tahoma" w:hAnsi="Tahoma"/>
                <w:w w:val="95"/>
                <w:sz w:val="14"/>
              </w:rPr>
              <w:t>WestConnex:</w:t>
            </w:r>
            <w:r>
              <w:rPr>
                <w:rFonts w:ascii="Tahoma" w:hAnsi="Tahoma"/>
                <w:spacing w:val="-1"/>
                <w:w w:val="95"/>
                <w:sz w:val="14"/>
              </w:rPr>
              <w:t xml:space="preserve"> </w:t>
            </w:r>
            <w:r>
              <w:rPr>
                <w:rFonts w:ascii="Tahoma" w:hAnsi="Tahoma"/>
                <w:w w:val="95"/>
                <w:sz w:val="14"/>
              </w:rPr>
              <w:t>planning</w:t>
            </w:r>
            <w:r>
              <w:rPr>
                <w:rFonts w:ascii="Tahoma" w:hAnsi="Tahoma"/>
                <w:spacing w:val="-1"/>
                <w:w w:val="95"/>
                <w:sz w:val="14"/>
              </w:rPr>
              <w:t xml:space="preserve"> </w:t>
            </w:r>
            <w:r>
              <w:rPr>
                <w:rFonts w:ascii="Tahoma" w:hAnsi="Tahoma"/>
                <w:w w:val="95"/>
                <w:sz w:val="14"/>
              </w:rPr>
              <w:t>and</w:t>
            </w:r>
            <w:r>
              <w:rPr>
                <w:rFonts w:ascii="Tahoma" w:hAnsi="Tahoma"/>
                <w:spacing w:val="-2"/>
                <w:sz w:val="14"/>
              </w:rPr>
              <w:t xml:space="preserve"> </w:t>
            </w:r>
            <w:r>
              <w:rPr>
                <w:rFonts w:ascii="Tahoma" w:hAnsi="Tahoma"/>
                <w:w w:val="95"/>
                <w:sz w:val="14"/>
              </w:rPr>
              <w:t>delivery</w:t>
            </w:r>
            <w:r>
              <w:rPr>
                <w:rFonts w:ascii="Tahoma" w:hAnsi="Tahoma"/>
                <w:spacing w:val="-1"/>
                <w:w w:val="95"/>
                <w:sz w:val="14"/>
              </w:rPr>
              <w:t xml:space="preserve"> </w:t>
            </w:r>
            <w:r>
              <w:rPr>
                <w:rFonts w:ascii="Tahoma" w:hAnsi="Tahoma"/>
                <w:w w:val="95"/>
                <w:sz w:val="14"/>
              </w:rPr>
              <w:t>of</w:t>
            </w:r>
            <w:r>
              <w:rPr>
                <w:rFonts w:ascii="Tahoma" w:hAnsi="Tahoma"/>
                <w:spacing w:val="-3"/>
                <w:sz w:val="14"/>
              </w:rPr>
              <w:t xml:space="preserve"> </w:t>
            </w:r>
            <w:r>
              <w:rPr>
                <w:rFonts w:ascii="Tahoma" w:hAnsi="Tahoma"/>
                <w:w w:val="95"/>
                <w:sz w:val="14"/>
              </w:rPr>
              <w:t>initial</w:t>
            </w:r>
            <w:r>
              <w:rPr>
                <w:rFonts w:ascii="Tahoma" w:hAnsi="Tahoma"/>
                <w:spacing w:val="-2"/>
                <w:sz w:val="14"/>
              </w:rPr>
              <w:t xml:space="preserve"> </w:t>
            </w:r>
            <w:r>
              <w:rPr>
                <w:rFonts w:ascii="Tahoma" w:hAnsi="Tahoma"/>
                <w:spacing w:val="-2"/>
                <w:w w:val="95"/>
                <w:sz w:val="14"/>
              </w:rPr>
              <w:t>phases</w:t>
            </w:r>
          </w:p>
        </w:tc>
        <w:tc>
          <w:tcPr>
            <w:tcW w:w="4288" w:type="dxa"/>
            <w:vMerge w:val="restart"/>
            <w:tcBorders>
              <w:top w:val="nil"/>
              <w:left w:val="single" w:sz="4" w:space="0" w:color="9C9C9D"/>
              <w:bottom w:val="single" w:sz="4" w:space="0" w:color="9C9C9D"/>
              <w:right w:val="nil"/>
            </w:tcBorders>
            <w:shd w:val="clear" w:color="auto" w:fill="EEEEEE"/>
          </w:tcPr>
          <w:p w:rsidR="002C1123" w:rsidRDefault="00F22F94">
            <w:pPr>
              <w:pStyle w:val="TableParagraph"/>
              <w:numPr>
                <w:ilvl w:val="0"/>
                <w:numId w:val="183"/>
              </w:numPr>
              <w:tabs>
                <w:tab w:val="left" w:pos="209"/>
              </w:tabs>
              <w:spacing w:before="73"/>
              <w:ind w:hanging="101"/>
              <w:rPr>
                <w:rFonts w:ascii="Tahoma" w:hAnsi="Tahoma"/>
                <w:sz w:val="14"/>
              </w:rPr>
            </w:pPr>
            <w:r>
              <w:rPr>
                <w:rFonts w:ascii="Tahoma" w:hAnsi="Tahoma"/>
                <w:w w:val="95"/>
                <w:sz w:val="14"/>
              </w:rPr>
              <w:t>Fix</w:t>
            </w:r>
            <w:r>
              <w:rPr>
                <w:rFonts w:ascii="Tahoma" w:hAnsi="Tahoma"/>
                <w:spacing w:val="-1"/>
                <w:w w:val="95"/>
                <w:sz w:val="14"/>
              </w:rPr>
              <w:t xml:space="preserve"> </w:t>
            </w:r>
            <w:r>
              <w:rPr>
                <w:rFonts w:ascii="Tahoma" w:hAnsi="Tahoma"/>
                <w:w w:val="95"/>
                <w:sz w:val="14"/>
              </w:rPr>
              <w:t>Regional</w:t>
            </w:r>
            <w:r>
              <w:rPr>
                <w:rFonts w:ascii="Tahoma" w:hAnsi="Tahoma"/>
                <w:spacing w:val="-1"/>
                <w:w w:val="95"/>
                <w:sz w:val="14"/>
              </w:rPr>
              <w:t xml:space="preserve"> </w:t>
            </w:r>
            <w:r>
              <w:rPr>
                <w:rFonts w:ascii="Tahoma" w:hAnsi="Tahoma"/>
                <w:w w:val="95"/>
                <w:sz w:val="14"/>
              </w:rPr>
              <w:t>freight</w:t>
            </w:r>
            <w:r>
              <w:rPr>
                <w:rFonts w:ascii="Tahoma" w:hAnsi="Tahoma"/>
                <w:spacing w:val="-2"/>
                <w:sz w:val="14"/>
              </w:rPr>
              <w:t xml:space="preserve"> </w:t>
            </w:r>
            <w:r>
              <w:rPr>
                <w:rFonts w:ascii="Tahoma" w:hAnsi="Tahoma"/>
                <w:w w:val="95"/>
                <w:sz w:val="14"/>
              </w:rPr>
              <w:t>pinch</w:t>
            </w:r>
            <w:r>
              <w:rPr>
                <w:rFonts w:ascii="Tahoma" w:hAnsi="Tahoma"/>
                <w:spacing w:val="-1"/>
                <w:w w:val="95"/>
                <w:sz w:val="14"/>
              </w:rPr>
              <w:t xml:space="preserve"> </w:t>
            </w:r>
            <w:r>
              <w:rPr>
                <w:rFonts w:ascii="Tahoma" w:hAnsi="Tahoma"/>
                <w:w w:val="95"/>
                <w:sz w:val="14"/>
              </w:rPr>
              <w:t>points:</w:t>
            </w:r>
            <w:r>
              <w:rPr>
                <w:rFonts w:ascii="Tahoma" w:hAnsi="Tahoma"/>
                <w:spacing w:val="-1"/>
                <w:w w:val="95"/>
                <w:sz w:val="14"/>
              </w:rPr>
              <w:t xml:space="preserve"> </w:t>
            </w:r>
            <w:r>
              <w:rPr>
                <w:rFonts w:ascii="Tahoma" w:hAnsi="Tahoma"/>
                <w:w w:val="95"/>
                <w:sz w:val="14"/>
              </w:rPr>
              <w:t>road</w:t>
            </w:r>
            <w:r>
              <w:rPr>
                <w:rFonts w:ascii="Tahoma" w:hAnsi="Tahoma"/>
                <w:spacing w:val="-2"/>
                <w:sz w:val="14"/>
              </w:rPr>
              <w:t xml:space="preserve"> </w:t>
            </w:r>
            <w:r>
              <w:rPr>
                <w:rFonts w:ascii="Tahoma" w:hAnsi="Tahoma"/>
                <w:w w:val="95"/>
                <w:sz w:val="14"/>
              </w:rPr>
              <w:t>and</w:t>
            </w:r>
            <w:r>
              <w:rPr>
                <w:rFonts w:ascii="Tahoma" w:hAnsi="Tahoma"/>
                <w:spacing w:val="-1"/>
                <w:w w:val="95"/>
                <w:sz w:val="14"/>
              </w:rPr>
              <w:t xml:space="preserve"> </w:t>
            </w:r>
            <w:r>
              <w:rPr>
                <w:rFonts w:ascii="Tahoma" w:hAnsi="Tahoma"/>
                <w:spacing w:val="-4"/>
                <w:w w:val="95"/>
                <w:sz w:val="14"/>
              </w:rPr>
              <w:t>rail</w:t>
            </w:r>
          </w:p>
          <w:p w:rsidR="002C1123" w:rsidRDefault="00F22F94">
            <w:pPr>
              <w:pStyle w:val="TableParagraph"/>
              <w:numPr>
                <w:ilvl w:val="0"/>
                <w:numId w:val="183"/>
              </w:numPr>
              <w:tabs>
                <w:tab w:val="left" w:pos="209"/>
              </w:tabs>
              <w:spacing w:before="40" w:line="268" w:lineRule="auto"/>
              <w:ind w:right="268"/>
              <w:rPr>
                <w:rFonts w:ascii="Tahoma" w:hAnsi="Tahoma"/>
                <w:color w:val="2E3092"/>
                <w:sz w:val="14"/>
              </w:rPr>
            </w:pPr>
            <w:r>
              <w:rPr>
                <w:rFonts w:ascii="Tahoma" w:hAnsi="Tahoma"/>
                <w:color w:val="2E3092"/>
                <w:sz w:val="14"/>
              </w:rPr>
              <w:t>Pacific</w:t>
            </w:r>
            <w:r>
              <w:rPr>
                <w:rFonts w:ascii="Tahoma" w:hAnsi="Tahoma"/>
                <w:color w:val="2E3092"/>
                <w:spacing w:val="-11"/>
                <w:sz w:val="14"/>
              </w:rPr>
              <w:t xml:space="preserve"> </w:t>
            </w:r>
            <w:r>
              <w:rPr>
                <w:rFonts w:ascii="Tahoma" w:hAnsi="Tahoma"/>
                <w:color w:val="2E3092"/>
                <w:sz w:val="14"/>
              </w:rPr>
              <w:t>Highway</w:t>
            </w:r>
            <w:r>
              <w:rPr>
                <w:rFonts w:ascii="Tahoma" w:hAnsi="Tahoma"/>
                <w:color w:val="2E3092"/>
                <w:spacing w:val="-12"/>
                <w:sz w:val="14"/>
              </w:rPr>
              <w:t xml:space="preserve"> </w:t>
            </w:r>
            <w:r>
              <w:rPr>
                <w:rFonts w:ascii="Tahoma" w:hAnsi="Tahoma"/>
                <w:color w:val="2E3092"/>
                <w:sz w:val="14"/>
              </w:rPr>
              <w:t>and</w:t>
            </w:r>
            <w:r>
              <w:rPr>
                <w:rFonts w:ascii="Tahoma" w:hAnsi="Tahoma"/>
                <w:color w:val="2E3092"/>
                <w:spacing w:val="-11"/>
                <w:sz w:val="14"/>
              </w:rPr>
              <w:t xml:space="preserve"> </w:t>
            </w:r>
            <w:r>
              <w:rPr>
                <w:rFonts w:ascii="Tahoma" w:hAnsi="Tahoma"/>
                <w:color w:val="2E3092"/>
                <w:sz w:val="14"/>
              </w:rPr>
              <w:t>Princes</w:t>
            </w:r>
            <w:r>
              <w:rPr>
                <w:rFonts w:ascii="Tahoma" w:hAnsi="Tahoma"/>
                <w:color w:val="2E3092"/>
                <w:spacing w:val="-12"/>
                <w:sz w:val="14"/>
              </w:rPr>
              <w:t xml:space="preserve"> </w:t>
            </w:r>
            <w:r>
              <w:rPr>
                <w:rFonts w:ascii="Tahoma" w:hAnsi="Tahoma"/>
                <w:color w:val="2E3092"/>
                <w:sz w:val="14"/>
              </w:rPr>
              <w:t>Highway:</w:t>
            </w:r>
            <w:r>
              <w:rPr>
                <w:rFonts w:ascii="Tahoma" w:hAnsi="Tahoma"/>
                <w:color w:val="2E3092"/>
                <w:spacing w:val="-11"/>
                <w:sz w:val="14"/>
              </w:rPr>
              <w:t xml:space="preserve"> </w:t>
            </w:r>
            <w:r>
              <w:rPr>
                <w:rFonts w:ascii="Tahoma" w:hAnsi="Tahoma"/>
                <w:color w:val="2E3092"/>
                <w:sz w:val="14"/>
              </w:rPr>
              <w:t>review</w:t>
            </w:r>
            <w:r>
              <w:rPr>
                <w:rFonts w:ascii="Tahoma" w:hAnsi="Tahoma"/>
                <w:color w:val="2E3092"/>
                <w:spacing w:val="-12"/>
                <w:sz w:val="14"/>
              </w:rPr>
              <w:t xml:space="preserve"> </w:t>
            </w:r>
            <w:r>
              <w:rPr>
                <w:rFonts w:ascii="Tahoma" w:hAnsi="Tahoma"/>
                <w:color w:val="2E3092"/>
                <w:sz w:val="14"/>
              </w:rPr>
              <w:t>scope</w:t>
            </w:r>
            <w:r>
              <w:rPr>
                <w:rFonts w:ascii="Tahoma" w:hAnsi="Tahoma"/>
                <w:color w:val="2E3092"/>
                <w:spacing w:val="-11"/>
                <w:sz w:val="14"/>
              </w:rPr>
              <w:t xml:space="preserve"> </w:t>
            </w:r>
            <w:r>
              <w:rPr>
                <w:rFonts w:ascii="Tahoma" w:hAnsi="Tahoma"/>
                <w:color w:val="2E3092"/>
                <w:sz w:val="14"/>
              </w:rPr>
              <w:t>and</w:t>
            </w:r>
            <w:r>
              <w:rPr>
                <w:rFonts w:ascii="Tahoma" w:hAnsi="Tahoma"/>
                <w:color w:val="2E3092"/>
                <w:spacing w:val="-12"/>
                <w:sz w:val="14"/>
              </w:rPr>
              <w:t xml:space="preserve"> </w:t>
            </w:r>
            <w:r>
              <w:rPr>
                <w:rFonts w:ascii="Tahoma" w:hAnsi="Tahoma"/>
                <w:color w:val="2E3092"/>
                <w:sz w:val="14"/>
              </w:rPr>
              <w:t xml:space="preserve">costs, </w:t>
            </w:r>
            <w:r>
              <w:rPr>
                <w:color w:val="2E3092"/>
                <w:sz w:val="14"/>
              </w:rPr>
              <w:t>then continue construction</w:t>
            </w:r>
            <w:r>
              <w:rPr>
                <w:b/>
                <w:color w:val="2E3092"/>
                <w:sz w:val="14"/>
              </w:rPr>
              <w:t>*</w:t>
            </w:r>
          </w:p>
          <w:p w:rsidR="002C1123" w:rsidRDefault="00F22F94">
            <w:pPr>
              <w:pStyle w:val="TableParagraph"/>
              <w:numPr>
                <w:ilvl w:val="0"/>
                <w:numId w:val="183"/>
              </w:numPr>
              <w:tabs>
                <w:tab w:val="left" w:pos="209"/>
              </w:tabs>
              <w:spacing w:before="19" w:line="268" w:lineRule="auto"/>
              <w:ind w:left="207" w:right="1163"/>
              <w:rPr>
                <w:rFonts w:ascii="Tahoma" w:hAnsi="Tahoma"/>
                <w:color w:val="2E3092"/>
                <w:sz w:val="14"/>
              </w:rPr>
            </w:pPr>
            <w:r>
              <w:rPr>
                <w:rFonts w:ascii="Tahoma" w:hAnsi="Tahoma"/>
                <w:color w:val="2E3092"/>
                <w:w w:val="95"/>
                <w:sz w:val="14"/>
              </w:rPr>
              <w:t xml:space="preserve">Complete Northern Sydney Rail Freight Corridor </w:t>
            </w:r>
            <w:r>
              <w:rPr>
                <w:color w:val="2E3092"/>
                <w:sz w:val="14"/>
              </w:rPr>
              <w:t>(Stage 1) upgrades</w:t>
            </w:r>
            <w:r>
              <w:rPr>
                <w:b/>
                <w:color w:val="2E3092"/>
                <w:sz w:val="14"/>
              </w:rPr>
              <w:t>*</w:t>
            </w:r>
          </w:p>
          <w:p w:rsidR="002C1123" w:rsidRDefault="00F22F94">
            <w:pPr>
              <w:pStyle w:val="TableParagraph"/>
              <w:numPr>
                <w:ilvl w:val="0"/>
                <w:numId w:val="183"/>
              </w:numPr>
              <w:tabs>
                <w:tab w:val="left" w:pos="208"/>
              </w:tabs>
              <w:spacing w:before="18" w:line="268" w:lineRule="auto"/>
              <w:ind w:left="207" w:right="511"/>
              <w:rPr>
                <w:rFonts w:ascii="Tahoma" w:hAnsi="Tahoma"/>
                <w:sz w:val="14"/>
              </w:rPr>
            </w:pPr>
            <w:r>
              <w:rPr>
                <w:rFonts w:ascii="Tahoma" w:hAnsi="Tahoma"/>
                <w:w w:val="95"/>
                <w:sz w:val="14"/>
              </w:rPr>
              <w:t xml:space="preserve">Bridges for the Bush program: targeted bridge upgrades to </w:t>
            </w:r>
            <w:r>
              <w:rPr>
                <w:sz w:val="14"/>
              </w:rPr>
              <w:t>improve freight efficiency</w:t>
            </w:r>
          </w:p>
          <w:p w:rsidR="002C1123" w:rsidRDefault="00F22F94">
            <w:pPr>
              <w:pStyle w:val="TableParagraph"/>
              <w:numPr>
                <w:ilvl w:val="0"/>
                <w:numId w:val="183"/>
              </w:numPr>
              <w:tabs>
                <w:tab w:val="left" w:pos="208"/>
              </w:tabs>
              <w:spacing w:before="19"/>
              <w:ind w:left="207" w:hanging="101"/>
              <w:rPr>
                <w:rFonts w:ascii="Tahoma" w:hAnsi="Tahoma"/>
                <w:sz w:val="14"/>
              </w:rPr>
            </w:pPr>
            <w:r>
              <w:rPr>
                <w:rFonts w:ascii="Tahoma" w:hAnsi="Tahoma"/>
                <w:w w:val="95"/>
                <w:sz w:val="14"/>
              </w:rPr>
              <w:t>Coal</w:t>
            </w:r>
            <w:r>
              <w:rPr>
                <w:rFonts w:ascii="Tahoma" w:hAnsi="Tahoma"/>
                <w:spacing w:val="1"/>
                <w:sz w:val="14"/>
              </w:rPr>
              <w:t xml:space="preserve"> </w:t>
            </w:r>
            <w:r>
              <w:rPr>
                <w:rFonts w:ascii="Tahoma" w:hAnsi="Tahoma"/>
                <w:w w:val="95"/>
                <w:sz w:val="14"/>
              </w:rPr>
              <w:t>communities</w:t>
            </w:r>
            <w:r>
              <w:rPr>
                <w:rFonts w:ascii="Tahoma" w:hAnsi="Tahoma"/>
                <w:spacing w:val="1"/>
                <w:sz w:val="14"/>
              </w:rPr>
              <w:t xml:space="preserve"> </w:t>
            </w:r>
            <w:r>
              <w:rPr>
                <w:rFonts w:ascii="Tahoma" w:hAnsi="Tahoma"/>
                <w:w w:val="95"/>
                <w:sz w:val="14"/>
              </w:rPr>
              <w:t>road</w:t>
            </w:r>
            <w:r>
              <w:rPr>
                <w:rFonts w:ascii="Tahoma" w:hAnsi="Tahoma"/>
                <w:spacing w:val="2"/>
                <w:sz w:val="14"/>
              </w:rPr>
              <w:t xml:space="preserve"> </w:t>
            </w:r>
            <w:r>
              <w:rPr>
                <w:rFonts w:ascii="Tahoma" w:hAnsi="Tahoma"/>
                <w:w w:val="95"/>
                <w:sz w:val="14"/>
              </w:rPr>
              <w:t>and</w:t>
            </w:r>
            <w:r>
              <w:rPr>
                <w:rFonts w:ascii="Tahoma" w:hAnsi="Tahoma"/>
                <w:spacing w:val="1"/>
                <w:sz w:val="14"/>
              </w:rPr>
              <w:t xml:space="preserve"> </w:t>
            </w:r>
            <w:r>
              <w:rPr>
                <w:rFonts w:ascii="Tahoma" w:hAnsi="Tahoma"/>
                <w:w w:val="95"/>
                <w:sz w:val="14"/>
              </w:rPr>
              <w:t>rail</w:t>
            </w:r>
            <w:r>
              <w:rPr>
                <w:rFonts w:ascii="Tahoma" w:hAnsi="Tahoma"/>
                <w:spacing w:val="2"/>
                <w:sz w:val="14"/>
              </w:rPr>
              <w:t xml:space="preserve"> </w:t>
            </w:r>
            <w:r>
              <w:rPr>
                <w:rFonts w:ascii="Tahoma" w:hAnsi="Tahoma"/>
                <w:w w:val="95"/>
                <w:sz w:val="14"/>
              </w:rPr>
              <w:t>schemes</w:t>
            </w:r>
            <w:r>
              <w:rPr>
                <w:rFonts w:ascii="Tahoma" w:hAnsi="Tahoma"/>
                <w:spacing w:val="1"/>
                <w:sz w:val="14"/>
              </w:rPr>
              <w:t xml:space="preserve"> </w:t>
            </w:r>
            <w:r>
              <w:rPr>
                <w:rFonts w:ascii="Tahoma" w:hAnsi="Tahoma"/>
                <w:w w:val="95"/>
                <w:sz w:val="14"/>
              </w:rPr>
              <w:t>in</w:t>
            </w:r>
            <w:r>
              <w:rPr>
                <w:rFonts w:ascii="Tahoma" w:hAnsi="Tahoma"/>
                <w:spacing w:val="2"/>
                <w:sz w:val="14"/>
              </w:rPr>
              <w:t xml:space="preserve"> </w:t>
            </w:r>
            <w:r>
              <w:rPr>
                <w:rFonts w:ascii="Tahoma" w:hAnsi="Tahoma"/>
                <w:w w:val="95"/>
                <w:sz w:val="14"/>
              </w:rPr>
              <w:t>the</w:t>
            </w:r>
            <w:r>
              <w:rPr>
                <w:rFonts w:ascii="Tahoma" w:hAnsi="Tahoma"/>
                <w:spacing w:val="1"/>
                <w:sz w:val="14"/>
              </w:rPr>
              <w:t xml:space="preserve"> </w:t>
            </w:r>
            <w:r>
              <w:rPr>
                <w:rFonts w:ascii="Tahoma" w:hAnsi="Tahoma"/>
                <w:w w:val="95"/>
                <w:sz w:val="14"/>
              </w:rPr>
              <w:t>Hunter</w:t>
            </w:r>
            <w:r>
              <w:rPr>
                <w:rFonts w:ascii="Tahoma" w:hAnsi="Tahoma"/>
                <w:spacing w:val="2"/>
                <w:sz w:val="14"/>
              </w:rPr>
              <w:t xml:space="preserve"> </w:t>
            </w:r>
            <w:r>
              <w:rPr>
                <w:rFonts w:ascii="Tahoma" w:hAnsi="Tahoma"/>
                <w:spacing w:val="-2"/>
                <w:w w:val="95"/>
                <w:sz w:val="14"/>
              </w:rPr>
              <w:t>Valley</w:t>
            </w:r>
          </w:p>
          <w:p w:rsidR="002C1123" w:rsidRDefault="00F22F94">
            <w:pPr>
              <w:pStyle w:val="TableParagraph"/>
              <w:numPr>
                <w:ilvl w:val="0"/>
                <w:numId w:val="183"/>
              </w:numPr>
              <w:tabs>
                <w:tab w:val="left" w:pos="208"/>
              </w:tabs>
              <w:spacing w:before="39"/>
              <w:ind w:left="207" w:hanging="101"/>
              <w:rPr>
                <w:rFonts w:ascii="Tahoma" w:hAnsi="Tahoma"/>
                <w:sz w:val="14"/>
              </w:rPr>
            </w:pPr>
            <w:r>
              <w:rPr>
                <w:rFonts w:ascii="Tahoma" w:hAnsi="Tahoma"/>
                <w:w w:val="95"/>
                <w:sz w:val="14"/>
              </w:rPr>
              <w:t>Mainline</w:t>
            </w:r>
            <w:r>
              <w:rPr>
                <w:rFonts w:ascii="Tahoma" w:hAnsi="Tahoma"/>
                <w:spacing w:val="2"/>
                <w:sz w:val="14"/>
              </w:rPr>
              <w:t xml:space="preserve"> </w:t>
            </w:r>
            <w:r>
              <w:rPr>
                <w:rFonts w:ascii="Tahoma" w:hAnsi="Tahoma"/>
                <w:w w:val="95"/>
                <w:sz w:val="14"/>
              </w:rPr>
              <w:t>Rail</w:t>
            </w:r>
            <w:r>
              <w:rPr>
                <w:rFonts w:ascii="Tahoma" w:hAnsi="Tahoma"/>
                <w:spacing w:val="2"/>
                <w:sz w:val="14"/>
              </w:rPr>
              <w:t xml:space="preserve"> </w:t>
            </w:r>
            <w:r>
              <w:rPr>
                <w:rFonts w:ascii="Tahoma" w:hAnsi="Tahoma"/>
                <w:w w:val="95"/>
                <w:sz w:val="14"/>
              </w:rPr>
              <w:t>Acceleration:</w:t>
            </w:r>
            <w:r>
              <w:rPr>
                <w:rFonts w:ascii="Tahoma" w:hAnsi="Tahoma"/>
                <w:spacing w:val="2"/>
                <w:sz w:val="14"/>
              </w:rPr>
              <w:t xml:space="preserve"> </w:t>
            </w:r>
            <w:r>
              <w:rPr>
                <w:rFonts w:ascii="Tahoma" w:hAnsi="Tahoma"/>
                <w:w w:val="95"/>
                <w:sz w:val="14"/>
              </w:rPr>
              <w:t>Wollongong</w:t>
            </w:r>
            <w:r>
              <w:rPr>
                <w:rFonts w:ascii="Tahoma" w:hAnsi="Tahoma"/>
                <w:spacing w:val="2"/>
                <w:sz w:val="14"/>
              </w:rPr>
              <w:t xml:space="preserve"> </w:t>
            </w:r>
            <w:r>
              <w:rPr>
                <w:rFonts w:ascii="Tahoma" w:hAnsi="Tahoma"/>
                <w:w w:val="95"/>
                <w:sz w:val="14"/>
              </w:rPr>
              <w:t>to</w:t>
            </w:r>
            <w:r>
              <w:rPr>
                <w:rFonts w:ascii="Tahoma" w:hAnsi="Tahoma"/>
                <w:spacing w:val="2"/>
                <w:sz w:val="14"/>
              </w:rPr>
              <w:t xml:space="preserve"> </w:t>
            </w:r>
            <w:r>
              <w:rPr>
                <w:rFonts w:ascii="Tahoma" w:hAnsi="Tahoma"/>
                <w:w w:val="95"/>
                <w:sz w:val="14"/>
              </w:rPr>
              <w:t>Sydney</w:t>
            </w:r>
            <w:r>
              <w:rPr>
                <w:rFonts w:ascii="Tahoma" w:hAnsi="Tahoma"/>
                <w:spacing w:val="2"/>
                <w:sz w:val="14"/>
              </w:rPr>
              <w:t xml:space="preserve"> </w:t>
            </w:r>
            <w:r>
              <w:rPr>
                <w:rFonts w:ascii="Tahoma" w:hAnsi="Tahoma"/>
                <w:w w:val="95"/>
                <w:sz w:val="14"/>
              </w:rPr>
              <w:t>pilot</w:t>
            </w:r>
            <w:r>
              <w:rPr>
                <w:rFonts w:ascii="Tahoma" w:hAnsi="Tahoma"/>
                <w:spacing w:val="3"/>
                <w:sz w:val="14"/>
              </w:rPr>
              <w:t xml:space="preserve"> </w:t>
            </w:r>
            <w:r>
              <w:rPr>
                <w:rFonts w:ascii="Tahoma" w:hAnsi="Tahoma"/>
                <w:spacing w:val="-2"/>
                <w:w w:val="95"/>
                <w:sz w:val="14"/>
              </w:rPr>
              <w:t>program</w:t>
            </w:r>
          </w:p>
        </w:tc>
      </w:tr>
      <w:tr w:rsidR="002C1123">
        <w:trPr>
          <w:trHeight w:val="1661"/>
        </w:trPr>
        <w:tc>
          <w:tcPr>
            <w:tcW w:w="1984" w:type="dxa"/>
            <w:vMerge/>
            <w:tcBorders>
              <w:top w:val="nil"/>
              <w:left w:val="nil"/>
              <w:bottom w:val="single" w:sz="4" w:space="0" w:color="9C9C9D"/>
              <w:right w:val="single" w:sz="4" w:space="0" w:color="9C9C9D"/>
            </w:tcBorders>
            <w:shd w:val="clear" w:color="auto" w:fill="EEEEEE"/>
          </w:tcPr>
          <w:p w:rsidR="002C1123" w:rsidRDefault="002C1123">
            <w:pPr>
              <w:rPr>
                <w:sz w:val="2"/>
                <w:szCs w:val="2"/>
              </w:rPr>
            </w:pPr>
          </w:p>
        </w:tc>
        <w:tc>
          <w:tcPr>
            <w:tcW w:w="4288" w:type="dxa"/>
            <w:tcBorders>
              <w:top w:val="single" w:sz="4" w:space="0" w:color="9C9C9D"/>
              <w:left w:val="single" w:sz="4" w:space="0" w:color="9C9C9D"/>
              <w:bottom w:val="single" w:sz="4" w:space="0" w:color="9C9C9D"/>
              <w:right w:val="single" w:sz="4" w:space="0" w:color="9C9C9D"/>
            </w:tcBorders>
            <w:shd w:val="clear" w:color="auto" w:fill="EEEEEE"/>
          </w:tcPr>
          <w:p w:rsidR="002C1123" w:rsidRDefault="00F22F94">
            <w:pPr>
              <w:pStyle w:val="TableParagraph"/>
              <w:numPr>
                <w:ilvl w:val="0"/>
                <w:numId w:val="182"/>
              </w:numPr>
              <w:tabs>
                <w:tab w:val="left" w:pos="207"/>
              </w:tabs>
              <w:spacing w:before="68" w:line="268" w:lineRule="auto"/>
              <w:ind w:right="682" w:hanging="101"/>
              <w:rPr>
                <w:rFonts w:ascii="Tahoma" w:hAnsi="Tahoma"/>
                <w:sz w:val="14"/>
              </w:rPr>
            </w:pPr>
            <w:r>
              <w:rPr>
                <w:rFonts w:ascii="Tahoma" w:hAnsi="Tahoma"/>
                <w:w w:val="95"/>
                <w:sz w:val="14"/>
              </w:rPr>
              <w:t xml:space="preserve">Fix road pinch points and improve public transport in the </w:t>
            </w:r>
            <w:r>
              <w:rPr>
                <w:sz w:val="14"/>
              </w:rPr>
              <w:t>Port Botany and Sydney Airport precinct</w:t>
            </w:r>
          </w:p>
          <w:p w:rsidR="002C1123" w:rsidRDefault="00F22F94">
            <w:pPr>
              <w:pStyle w:val="TableParagraph"/>
              <w:numPr>
                <w:ilvl w:val="0"/>
                <w:numId w:val="182"/>
              </w:numPr>
              <w:tabs>
                <w:tab w:val="left" w:pos="208"/>
              </w:tabs>
              <w:spacing w:before="19" w:line="268" w:lineRule="auto"/>
              <w:ind w:left="206" w:right="920"/>
              <w:rPr>
                <w:rFonts w:ascii="Tahoma" w:hAnsi="Tahoma"/>
                <w:color w:val="2E3092"/>
                <w:sz w:val="14"/>
              </w:rPr>
            </w:pPr>
            <w:r>
              <w:rPr>
                <w:rFonts w:ascii="Tahoma" w:hAnsi="Tahoma"/>
                <w:color w:val="2E3092"/>
                <w:w w:val="95"/>
                <w:sz w:val="14"/>
              </w:rPr>
              <w:t xml:space="preserve">Construct the new Sydney International Convention, </w:t>
            </w:r>
            <w:r>
              <w:rPr>
                <w:color w:val="2E3092"/>
                <w:sz w:val="14"/>
              </w:rPr>
              <w:t>Exhibition &amp; Entertainment Centre</w:t>
            </w:r>
            <w:r>
              <w:rPr>
                <w:b/>
                <w:color w:val="2E3092"/>
                <w:sz w:val="14"/>
              </w:rPr>
              <w:t>*</w:t>
            </w:r>
          </w:p>
          <w:p w:rsidR="002C1123" w:rsidRDefault="00F22F94">
            <w:pPr>
              <w:pStyle w:val="TableParagraph"/>
              <w:numPr>
                <w:ilvl w:val="0"/>
                <w:numId w:val="182"/>
              </w:numPr>
              <w:tabs>
                <w:tab w:val="left" w:pos="207"/>
              </w:tabs>
              <w:spacing w:before="19" w:line="268" w:lineRule="auto"/>
              <w:ind w:left="206" w:right="800" w:hanging="101"/>
              <w:rPr>
                <w:rFonts w:ascii="Tahoma" w:hAnsi="Tahoma"/>
                <w:sz w:val="14"/>
              </w:rPr>
            </w:pPr>
            <w:r>
              <w:rPr>
                <w:rFonts w:ascii="Tahoma" w:hAnsi="Tahoma"/>
                <w:w w:val="95"/>
                <w:sz w:val="14"/>
              </w:rPr>
              <w:t xml:space="preserve">Anzac Parade light rail from Central to Moore Park and </w:t>
            </w:r>
            <w:r>
              <w:rPr>
                <w:sz w:val="14"/>
              </w:rPr>
              <w:t>University of NSW</w:t>
            </w:r>
          </w:p>
          <w:p w:rsidR="002C1123" w:rsidRDefault="00F22F94">
            <w:pPr>
              <w:pStyle w:val="TableParagraph"/>
              <w:numPr>
                <w:ilvl w:val="0"/>
                <w:numId w:val="182"/>
              </w:numPr>
              <w:tabs>
                <w:tab w:val="left" w:pos="207"/>
              </w:tabs>
              <w:spacing w:before="18" w:line="268" w:lineRule="auto"/>
              <w:ind w:right="709" w:hanging="101"/>
              <w:rPr>
                <w:rFonts w:ascii="Tahoma" w:hAnsi="Tahoma"/>
                <w:sz w:val="14"/>
              </w:rPr>
            </w:pPr>
            <w:r>
              <w:rPr>
                <w:rFonts w:ascii="Tahoma" w:hAnsi="Tahoma"/>
                <w:w w:val="95"/>
                <w:sz w:val="14"/>
              </w:rPr>
              <w:t xml:space="preserve">Improve rail off-peak price incentives to spread demand </w:t>
            </w:r>
            <w:r>
              <w:rPr>
                <w:sz w:val="14"/>
              </w:rPr>
              <w:t>in the CBD</w:t>
            </w:r>
          </w:p>
        </w:tc>
        <w:tc>
          <w:tcPr>
            <w:tcW w:w="4288" w:type="dxa"/>
            <w:tcBorders>
              <w:top w:val="single" w:sz="4" w:space="0" w:color="9C9C9D"/>
              <w:left w:val="single" w:sz="4" w:space="0" w:color="9C9C9D"/>
              <w:bottom w:val="single" w:sz="4" w:space="0" w:color="9C9C9D"/>
              <w:right w:val="single" w:sz="4" w:space="0" w:color="9C9C9D"/>
            </w:tcBorders>
            <w:shd w:val="clear" w:color="auto" w:fill="EEEEEE"/>
          </w:tcPr>
          <w:p w:rsidR="002C1123" w:rsidRDefault="00F22F94">
            <w:pPr>
              <w:pStyle w:val="TableParagraph"/>
              <w:numPr>
                <w:ilvl w:val="0"/>
                <w:numId w:val="181"/>
              </w:numPr>
              <w:tabs>
                <w:tab w:val="left" w:pos="208"/>
              </w:tabs>
              <w:spacing w:before="68"/>
              <w:ind w:left="207" w:hanging="101"/>
              <w:rPr>
                <w:rFonts w:ascii="Tahoma" w:hAnsi="Tahoma"/>
                <w:sz w:val="14"/>
              </w:rPr>
            </w:pPr>
            <w:r>
              <w:rPr>
                <w:rFonts w:ascii="Tahoma" w:hAnsi="Tahoma"/>
                <w:w w:val="95"/>
                <w:sz w:val="14"/>
              </w:rPr>
              <w:t>Fix</w:t>
            </w:r>
            <w:r>
              <w:rPr>
                <w:rFonts w:ascii="Tahoma" w:hAnsi="Tahoma"/>
                <w:spacing w:val="-2"/>
                <w:sz w:val="14"/>
              </w:rPr>
              <w:t xml:space="preserve"> </w:t>
            </w:r>
            <w:r>
              <w:rPr>
                <w:rFonts w:ascii="Tahoma" w:hAnsi="Tahoma"/>
                <w:w w:val="95"/>
                <w:sz w:val="14"/>
              </w:rPr>
              <w:t>road</w:t>
            </w:r>
            <w:r>
              <w:rPr>
                <w:rFonts w:ascii="Tahoma" w:hAnsi="Tahoma"/>
                <w:spacing w:val="-2"/>
                <w:sz w:val="14"/>
              </w:rPr>
              <w:t xml:space="preserve"> </w:t>
            </w:r>
            <w:r>
              <w:rPr>
                <w:rFonts w:ascii="Tahoma" w:hAnsi="Tahoma"/>
                <w:w w:val="95"/>
                <w:sz w:val="14"/>
              </w:rPr>
              <w:t>pinch</w:t>
            </w:r>
            <w:r>
              <w:rPr>
                <w:rFonts w:ascii="Tahoma" w:hAnsi="Tahoma"/>
                <w:spacing w:val="-2"/>
                <w:sz w:val="14"/>
              </w:rPr>
              <w:t xml:space="preserve"> </w:t>
            </w:r>
            <w:r>
              <w:rPr>
                <w:rFonts w:ascii="Tahoma" w:hAnsi="Tahoma"/>
                <w:w w:val="95"/>
                <w:sz w:val="14"/>
              </w:rPr>
              <w:t>points</w:t>
            </w:r>
            <w:r>
              <w:rPr>
                <w:rFonts w:ascii="Tahoma" w:hAnsi="Tahoma"/>
                <w:spacing w:val="-2"/>
                <w:sz w:val="14"/>
              </w:rPr>
              <w:t xml:space="preserve"> </w:t>
            </w:r>
            <w:r>
              <w:rPr>
                <w:rFonts w:ascii="Tahoma" w:hAnsi="Tahoma"/>
                <w:w w:val="95"/>
                <w:sz w:val="14"/>
              </w:rPr>
              <w:t>in</w:t>
            </w:r>
            <w:r>
              <w:rPr>
                <w:rFonts w:ascii="Tahoma" w:hAnsi="Tahoma"/>
                <w:spacing w:val="-1"/>
                <w:sz w:val="14"/>
              </w:rPr>
              <w:t xml:space="preserve"> </w:t>
            </w:r>
            <w:r>
              <w:rPr>
                <w:rFonts w:ascii="Tahoma" w:hAnsi="Tahoma"/>
                <w:w w:val="95"/>
                <w:sz w:val="14"/>
              </w:rPr>
              <w:t>Parramatta</w:t>
            </w:r>
            <w:r>
              <w:rPr>
                <w:rFonts w:ascii="Tahoma" w:hAnsi="Tahoma"/>
                <w:spacing w:val="-2"/>
                <w:sz w:val="14"/>
              </w:rPr>
              <w:t xml:space="preserve"> </w:t>
            </w:r>
            <w:r>
              <w:rPr>
                <w:rFonts w:ascii="Tahoma" w:hAnsi="Tahoma"/>
                <w:w w:val="95"/>
                <w:sz w:val="14"/>
              </w:rPr>
              <w:t>and</w:t>
            </w:r>
            <w:r>
              <w:rPr>
                <w:rFonts w:ascii="Tahoma" w:hAnsi="Tahoma"/>
                <w:spacing w:val="-2"/>
                <w:sz w:val="14"/>
              </w:rPr>
              <w:t xml:space="preserve"> </w:t>
            </w:r>
            <w:r>
              <w:rPr>
                <w:rFonts w:ascii="Tahoma" w:hAnsi="Tahoma"/>
                <w:w w:val="95"/>
                <w:sz w:val="14"/>
              </w:rPr>
              <w:t>other</w:t>
            </w:r>
            <w:r>
              <w:rPr>
                <w:rFonts w:ascii="Tahoma" w:hAnsi="Tahoma"/>
                <w:spacing w:val="-2"/>
                <w:sz w:val="14"/>
              </w:rPr>
              <w:t xml:space="preserve"> </w:t>
            </w:r>
            <w:r>
              <w:rPr>
                <w:rFonts w:ascii="Tahoma" w:hAnsi="Tahoma"/>
                <w:w w:val="95"/>
                <w:sz w:val="14"/>
              </w:rPr>
              <w:t>growing</w:t>
            </w:r>
            <w:r>
              <w:rPr>
                <w:rFonts w:ascii="Tahoma" w:hAnsi="Tahoma"/>
                <w:spacing w:val="-2"/>
                <w:sz w:val="14"/>
              </w:rPr>
              <w:t xml:space="preserve"> </w:t>
            </w:r>
            <w:r>
              <w:rPr>
                <w:rFonts w:ascii="Tahoma" w:hAnsi="Tahoma"/>
                <w:spacing w:val="-2"/>
                <w:w w:val="95"/>
                <w:sz w:val="14"/>
              </w:rPr>
              <w:t>centres</w:t>
            </w:r>
          </w:p>
          <w:p w:rsidR="002C1123" w:rsidRDefault="00F22F94">
            <w:pPr>
              <w:pStyle w:val="TableParagraph"/>
              <w:numPr>
                <w:ilvl w:val="0"/>
                <w:numId w:val="181"/>
              </w:numPr>
              <w:tabs>
                <w:tab w:val="left" w:pos="208"/>
              </w:tabs>
              <w:spacing w:before="39"/>
              <w:ind w:left="207" w:hanging="101"/>
              <w:rPr>
                <w:rFonts w:ascii="Tahoma" w:hAnsi="Tahoma"/>
                <w:sz w:val="14"/>
              </w:rPr>
            </w:pPr>
            <w:r>
              <w:rPr>
                <w:rFonts w:ascii="Tahoma" w:hAnsi="Tahoma"/>
                <w:w w:val="95"/>
                <w:sz w:val="14"/>
              </w:rPr>
              <w:t>Hawkesbury</w:t>
            </w:r>
            <w:r>
              <w:rPr>
                <w:rFonts w:ascii="Tahoma" w:hAnsi="Tahoma"/>
                <w:spacing w:val="9"/>
                <w:sz w:val="14"/>
              </w:rPr>
              <w:t xml:space="preserve"> </w:t>
            </w:r>
            <w:r>
              <w:rPr>
                <w:rFonts w:ascii="Tahoma" w:hAnsi="Tahoma"/>
                <w:w w:val="95"/>
                <w:sz w:val="14"/>
              </w:rPr>
              <w:t>Nepean</w:t>
            </w:r>
            <w:r>
              <w:rPr>
                <w:rFonts w:ascii="Tahoma" w:hAnsi="Tahoma"/>
                <w:spacing w:val="9"/>
                <w:sz w:val="14"/>
              </w:rPr>
              <w:t xml:space="preserve"> </w:t>
            </w:r>
            <w:r>
              <w:rPr>
                <w:rFonts w:ascii="Tahoma" w:hAnsi="Tahoma"/>
                <w:w w:val="95"/>
                <w:sz w:val="14"/>
              </w:rPr>
              <w:t>floodplain:</w:t>
            </w:r>
            <w:r>
              <w:rPr>
                <w:rFonts w:ascii="Tahoma" w:hAnsi="Tahoma"/>
                <w:spacing w:val="9"/>
                <w:sz w:val="14"/>
              </w:rPr>
              <w:t xml:space="preserve"> </w:t>
            </w:r>
            <w:r>
              <w:rPr>
                <w:rFonts w:ascii="Tahoma" w:hAnsi="Tahoma"/>
                <w:w w:val="95"/>
                <w:sz w:val="14"/>
              </w:rPr>
              <w:t>implement</w:t>
            </w:r>
            <w:r>
              <w:rPr>
                <w:rFonts w:ascii="Tahoma" w:hAnsi="Tahoma"/>
                <w:spacing w:val="10"/>
                <w:sz w:val="14"/>
              </w:rPr>
              <w:t xml:space="preserve"> </w:t>
            </w:r>
            <w:r>
              <w:rPr>
                <w:rFonts w:ascii="Tahoma" w:hAnsi="Tahoma"/>
                <w:w w:val="95"/>
                <w:sz w:val="14"/>
              </w:rPr>
              <w:t>mitigation</w:t>
            </w:r>
            <w:r>
              <w:rPr>
                <w:rFonts w:ascii="Tahoma" w:hAnsi="Tahoma"/>
                <w:spacing w:val="9"/>
                <w:sz w:val="14"/>
              </w:rPr>
              <w:t xml:space="preserve"> </w:t>
            </w:r>
            <w:r>
              <w:rPr>
                <w:rFonts w:ascii="Tahoma" w:hAnsi="Tahoma"/>
                <w:spacing w:val="-2"/>
                <w:w w:val="95"/>
                <w:sz w:val="14"/>
              </w:rPr>
              <w:t>measures</w:t>
            </w:r>
          </w:p>
          <w:p w:rsidR="002C1123" w:rsidRDefault="00F22F94">
            <w:pPr>
              <w:pStyle w:val="TableParagraph"/>
              <w:numPr>
                <w:ilvl w:val="0"/>
                <w:numId w:val="181"/>
              </w:numPr>
              <w:tabs>
                <w:tab w:val="left" w:pos="208"/>
              </w:tabs>
              <w:spacing w:before="40"/>
              <w:ind w:left="207" w:hanging="101"/>
              <w:rPr>
                <w:rFonts w:ascii="Tahoma" w:hAnsi="Tahoma"/>
                <w:color w:val="2E3092"/>
                <w:sz w:val="14"/>
              </w:rPr>
            </w:pPr>
            <w:r>
              <w:rPr>
                <w:rFonts w:ascii="Tahoma" w:hAnsi="Tahoma"/>
                <w:color w:val="2E3092"/>
                <w:w w:val="95"/>
                <w:sz w:val="14"/>
              </w:rPr>
              <w:t>Construct</w:t>
            </w:r>
            <w:r>
              <w:rPr>
                <w:rFonts w:ascii="Tahoma" w:hAnsi="Tahoma"/>
                <w:color w:val="2E3092"/>
                <w:spacing w:val="21"/>
                <w:sz w:val="14"/>
              </w:rPr>
              <w:t xml:space="preserve"> </w:t>
            </w:r>
            <w:r>
              <w:rPr>
                <w:rFonts w:ascii="Tahoma" w:hAnsi="Tahoma"/>
                <w:color w:val="2E3092"/>
                <w:w w:val="95"/>
                <w:sz w:val="14"/>
              </w:rPr>
              <w:t>Northern</w:t>
            </w:r>
            <w:r>
              <w:rPr>
                <w:rFonts w:ascii="Tahoma" w:hAnsi="Tahoma"/>
                <w:color w:val="2E3092"/>
                <w:spacing w:val="22"/>
                <w:sz w:val="14"/>
              </w:rPr>
              <w:t xml:space="preserve"> </w:t>
            </w:r>
            <w:r>
              <w:rPr>
                <w:rFonts w:ascii="Tahoma" w:hAnsi="Tahoma"/>
                <w:color w:val="2E3092"/>
                <w:w w:val="95"/>
                <w:sz w:val="14"/>
              </w:rPr>
              <w:t>Beaches</w:t>
            </w:r>
            <w:r>
              <w:rPr>
                <w:rFonts w:ascii="Tahoma" w:hAnsi="Tahoma"/>
                <w:color w:val="2E3092"/>
                <w:spacing w:val="22"/>
                <w:sz w:val="14"/>
              </w:rPr>
              <w:t xml:space="preserve"> </w:t>
            </w:r>
            <w:r>
              <w:rPr>
                <w:rFonts w:ascii="Tahoma" w:hAnsi="Tahoma"/>
                <w:color w:val="2E3092"/>
                <w:w w:val="95"/>
                <w:sz w:val="14"/>
              </w:rPr>
              <w:t>Hospital</w:t>
            </w:r>
            <w:r>
              <w:rPr>
                <w:rFonts w:ascii="Tahoma" w:hAnsi="Tahoma"/>
                <w:color w:val="2E3092"/>
                <w:spacing w:val="21"/>
                <w:sz w:val="14"/>
              </w:rPr>
              <w:t xml:space="preserve"> </w:t>
            </w:r>
            <w:r>
              <w:rPr>
                <w:rFonts w:ascii="Tahoma" w:hAnsi="Tahoma"/>
                <w:color w:val="2E3092"/>
                <w:w w:val="95"/>
                <w:sz w:val="14"/>
              </w:rPr>
              <w:t>Healthcare</w:t>
            </w:r>
            <w:r>
              <w:rPr>
                <w:rFonts w:ascii="Tahoma" w:hAnsi="Tahoma"/>
                <w:color w:val="2E3092"/>
                <w:spacing w:val="22"/>
                <w:sz w:val="14"/>
              </w:rPr>
              <w:t xml:space="preserve"> </w:t>
            </w:r>
            <w:r>
              <w:rPr>
                <w:rFonts w:ascii="Tahoma" w:hAnsi="Tahoma"/>
                <w:color w:val="2E3092"/>
                <w:spacing w:val="-2"/>
                <w:w w:val="95"/>
                <w:sz w:val="14"/>
              </w:rPr>
              <w:t>Precinct</w:t>
            </w:r>
            <w:r>
              <w:rPr>
                <w:b/>
                <w:color w:val="2E3092"/>
                <w:spacing w:val="-2"/>
                <w:w w:val="95"/>
                <w:sz w:val="14"/>
              </w:rPr>
              <w:t>*</w:t>
            </w:r>
          </w:p>
          <w:p w:rsidR="002C1123" w:rsidRDefault="00F22F94">
            <w:pPr>
              <w:pStyle w:val="TableParagraph"/>
              <w:numPr>
                <w:ilvl w:val="0"/>
                <w:numId w:val="181"/>
              </w:numPr>
              <w:tabs>
                <w:tab w:val="left" w:pos="207"/>
              </w:tabs>
              <w:spacing w:before="38"/>
              <w:ind w:hanging="101"/>
              <w:rPr>
                <w:rFonts w:ascii="Tahoma" w:hAnsi="Tahoma"/>
                <w:sz w:val="14"/>
              </w:rPr>
            </w:pPr>
            <w:r>
              <w:rPr>
                <w:rFonts w:ascii="Tahoma" w:hAnsi="Tahoma"/>
                <w:sz w:val="14"/>
              </w:rPr>
              <w:t>Construct</w:t>
            </w:r>
            <w:r>
              <w:rPr>
                <w:rFonts w:ascii="Tahoma" w:hAnsi="Tahoma"/>
                <w:spacing w:val="5"/>
                <w:sz w:val="14"/>
              </w:rPr>
              <w:t xml:space="preserve"> </w:t>
            </w:r>
            <w:r>
              <w:rPr>
                <w:rFonts w:ascii="Tahoma" w:hAnsi="Tahoma"/>
                <w:sz w:val="14"/>
              </w:rPr>
              <w:t>F3-</w:t>
            </w:r>
            <w:r>
              <w:rPr>
                <w:rFonts w:ascii="Tahoma" w:hAnsi="Tahoma"/>
                <w:spacing w:val="-5"/>
                <w:sz w:val="14"/>
              </w:rPr>
              <w:t>M2</w:t>
            </w:r>
          </w:p>
          <w:p w:rsidR="002C1123" w:rsidRDefault="00F22F94">
            <w:pPr>
              <w:pStyle w:val="TableParagraph"/>
              <w:spacing w:before="20"/>
              <w:ind w:left="206"/>
              <w:rPr>
                <w:sz w:val="14"/>
              </w:rPr>
            </w:pPr>
            <w:r>
              <w:rPr>
                <w:w w:val="95"/>
                <w:sz w:val="14"/>
              </w:rPr>
              <w:t>(assumes</w:t>
            </w:r>
            <w:r>
              <w:rPr>
                <w:spacing w:val="6"/>
                <w:sz w:val="14"/>
              </w:rPr>
              <w:t xml:space="preserve"> </w:t>
            </w:r>
            <w:r>
              <w:rPr>
                <w:w w:val="95"/>
                <w:sz w:val="14"/>
              </w:rPr>
              <w:t>unsolicited</w:t>
            </w:r>
            <w:r>
              <w:rPr>
                <w:spacing w:val="7"/>
                <w:sz w:val="14"/>
              </w:rPr>
              <w:t xml:space="preserve"> </w:t>
            </w:r>
            <w:r>
              <w:rPr>
                <w:w w:val="95"/>
                <w:sz w:val="14"/>
              </w:rPr>
              <w:t>proposal,</w:t>
            </w:r>
            <w:r>
              <w:rPr>
                <w:spacing w:val="6"/>
                <w:sz w:val="14"/>
              </w:rPr>
              <w:t xml:space="preserve"> </w:t>
            </w:r>
            <w:r>
              <w:rPr>
                <w:w w:val="95"/>
                <w:sz w:val="14"/>
              </w:rPr>
              <w:t>no</w:t>
            </w:r>
            <w:r>
              <w:rPr>
                <w:spacing w:val="7"/>
                <w:sz w:val="14"/>
              </w:rPr>
              <w:t xml:space="preserve"> </w:t>
            </w:r>
            <w:r>
              <w:rPr>
                <w:w w:val="95"/>
                <w:sz w:val="14"/>
              </w:rPr>
              <w:t>Government</w:t>
            </w:r>
            <w:r>
              <w:rPr>
                <w:spacing w:val="7"/>
                <w:sz w:val="14"/>
              </w:rPr>
              <w:t xml:space="preserve"> </w:t>
            </w:r>
            <w:r>
              <w:rPr>
                <w:spacing w:val="-2"/>
                <w:w w:val="95"/>
                <w:sz w:val="14"/>
              </w:rPr>
              <w:t>contribution)</w:t>
            </w:r>
          </w:p>
          <w:p w:rsidR="002C1123" w:rsidRDefault="00F22F94">
            <w:pPr>
              <w:pStyle w:val="TableParagraph"/>
              <w:numPr>
                <w:ilvl w:val="0"/>
                <w:numId w:val="181"/>
              </w:numPr>
              <w:tabs>
                <w:tab w:val="left" w:pos="207"/>
              </w:tabs>
              <w:spacing w:before="39" w:line="268" w:lineRule="auto"/>
              <w:ind w:right="705"/>
              <w:rPr>
                <w:rFonts w:ascii="Tahoma" w:hAnsi="Tahoma"/>
                <w:sz w:val="14"/>
              </w:rPr>
            </w:pPr>
            <w:r>
              <w:rPr>
                <w:rFonts w:ascii="Tahoma" w:hAnsi="Tahoma"/>
                <w:w w:val="95"/>
                <w:sz w:val="14"/>
              </w:rPr>
              <w:t xml:space="preserve">Preserve motorways corridors, including Outer Western </w:t>
            </w:r>
            <w:r>
              <w:rPr>
                <w:sz w:val="14"/>
              </w:rPr>
              <w:t>Sydney</w:t>
            </w:r>
            <w:r>
              <w:rPr>
                <w:spacing w:val="-10"/>
                <w:sz w:val="14"/>
              </w:rPr>
              <w:t xml:space="preserve"> </w:t>
            </w:r>
            <w:r>
              <w:rPr>
                <w:sz w:val="14"/>
              </w:rPr>
              <w:t>Orbital</w:t>
            </w:r>
          </w:p>
        </w:tc>
        <w:tc>
          <w:tcPr>
            <w:tcW w:w="4288" w:type="dxa"/>
            <w:vMerge/>
            <w:tcBorders>
              <w:top w:val="nil"/>
              <w:left w:val="single" w:sz="4" w:space="0" w:color="9C9C9D"/>
              <w:bottom w:val="single" w:sz="4" w:space="0" w:color="9C9C9D"/>
              <w:right w:val="nil"/>
            </w:tcBorders>
            <w:shd w:val="clear" w:color="auto" w:fill="EEEEEE"/>
          </w:tcPr>
          <w:p w:rsidR="002C1123" w:rsidRDefault="002C1123">
            <w:pPr>
              <w:rPr>
                <w:sz w:val="2"/>
                <w:szCs w:val="2"/>
              </w:rPr>
            </w:pPr>
          </w:p>
        </w:tc>
      </w:tr>
      <w:tr w:rsidR="002C1123">
        <w:trPr>
          <w:trHeight w:val="525"/>
        </w:trPr>
        <w:tc>
          <w:tcPr>
            <w:tcW w:w="1984" w:type="dxa"/>
            <w:vMerge w:val="restart"/>
            <w:tcBorders>
              <w:top w:val="single" w:sz="4" w:space="0" w:color="9C9C9D"/>
              <w:left w:val="nil"/>
              <w:bottom w:val="single" w:sz="4" w:space="0" w:color="9C9C9D"/>
              <w:right w:val="single" w:sz="4" w:space="0" w:color="9C9C9D"/>
            </w:tcBorders>
            <w:shd w:val="clear" w:color="auto" w:fill="EEEEEE"/>
          </w:tcPr>
          <w:p w:rsidR="002C1123" w:rsidRDefault="00F22F94">
            <w:pPr>
              <w:pStyle w:val="TableParagraph"/>
              <w:spacing w:before="63"/>
              <w:ind w:left="108"/>
              <w:rPr>
                <w:b/>
                <w:sz w:val="20"/>
              </w:rPr>
            </w:pPr>
            <w:r>
              <w:rPr>
                <w:b/>
                <w:color w:val="2E3092"/>
                <w:spacing w:val="-2"/>
                <w:sz w:val="20"/>
              </w:rPr>
              <w:t>Next</w:t>
            </w:r>
            <w:r>
              <w:rPr>
                <w:b/>
                <w:color w:val="2E3092"/>
                <w:spacing w:val="-10"/>
                <w:sz w:val="20"/>
              </w:rPr>
              <w:t xml:space="preserve"> </w:t>
            </w:r>
            <w:r>
              <w:rPr>
                <w:b/>
                <w:color w:val="9C9C9D"/>
                <w:spacing w:val="-2"/>
                <w:sz w:val="20"/>
              </w:rPr>
              <w:t>(5-10</w:t>
            </w:r>
            <w:r>
              <w:rPr>
                <w:b/>
                <w:color w:val="9C9C9D"/>
                <w:spacing w:val="-11"/>
                <w:sz w:val="20"/>
              </w:rPr>
              <w:t xml:space="preserve"> </w:t>
            </w:r>
            <w:r>
              <w:rPr>
                <w:b/>
                <w:color w:val="9C9C9D"/>
                <w:spacing w:val="-2"/>
                <w:sz w:val="20"/>
              </w:rPr>
              <w:t>Years)</w:t>
            </w:r>
          </w:p>
          <w:p w:rsidR="002C1123" w:rsidRDefault="002C1123">
            <w:pPr>
              <w:pStyle w:val="TableParagraph"/>
              <w:spacing w:before="1"/>
              <w:ind w:left="0"/>
              <w:rPr>
                <w:rFonts w:ascii="Trebuchet MS"/>
                <w:sz w:val="18"/>
              </w:rPr>
            </w:pPr>
          </w:p>
          <w:p w:rsidR="002C1123" w:rsidRDefault="002060EF">
            <w:pPr>
              <w:pStyle w:val="TableParagraph"/>
              <w:spacing w:before="0"/>
              <w:ind w:left="529"/>
              <w:rPr>
                <w:rFonts w:ascii="Trebuchet MS"/>
                <w:sz w:val="20"/>
              </w:rPr>
            </w:pPr>
            <w:r>
              <w:rPr>
                <w:rFonts w:ascii="Trebuchet MS"/>
                <w:sz w:val="20"/>
              </w:rPr>
            </w:r>
            <w:r>
              <w:rPr>
                <w:rFonts w:ascii="Trebuchet MS"/>
                <w:sz w:val="20"/>
              </w:rPr>
              <w:pict>
                <v:group id="docshapegroup67" o:spid="_x0000_s5226" style="width:45.75pt;height:50.25pt;mso-position-horizontal-relative:char;mso-position-vertical-relative:line" coordsize="915,1005">
                  <v:shape id="docshape68" o:spid="_x0000_s5231" style="position:absolute;left:444;top:195;width:352;height:704" coordorigin="445,195" coordsize="352,704" path="m445,195r,704l516,891r66,-20l642,839r52,-43l736,744r33,-60l789,618r8,-71l789,476,769,410,736,350,694,298,642,256,582,223,516,203r-71,-8xe" fillcolor="#b2b1b3" stroked="f">
                    <v:path arrowok="t"/>
                  </v:shape>
                  <v:shape id="docshape69" o:spid="_x0000_s5230" style="position:absolute;left:28;top:118;width:857;height:857" coordorigin="29,119" coordsize="857,857" path="m29,547r7,77l56,697r31,66l130,823r51,52l241,917r67,32l380,969r77,6l534,969r73,-20l673,917r60,-42l785,823r42,-60l859,697r20,-73l886,547r-7,-77l859,398,827,331,785,271,733,219,673,177,607,145,534,126r-77,-7l380,126r-72,19l241,177r-60,42l130,271,87,331,56,398,36,470r-7,77xe" filled="f" strokecolor="#2e3092" strokeweight="2.88pt">
                    <v:path arrowok="t"/>
                  </v:shape>
                  <v:shape id="docshape70" o:spid="_x0000_s5229" type="#_x0000_t75" style="position:absolute;left:536;top:3;width:328;height:233">
                    <v:imagedata r:id="rId29" o:title=""/>
                  </v:shape>
                  <v:shape id="docshape71" o:spid="_x0000_s5228" type="#_x0000_t75" style="position:absolute;left:45;width:321;height:236">
                    <v:imagedata r:id="rId30" o:title=""/>
                  </v:shape>
                  <v:shape id="docshape72" o:spid="_x0000_s5227" style="position:absolute;left:457;top:215;width:2;height:660" coordorigin="457,215" coordsize="0,660" o:spt="100" adj="0,,0" path="m457,545r,-330m457,545r,330e" filled="f" strokecolor="#2e3092" strokeweight=".75778mm">
                    <v:stroke joinstyle="round"/>
                    <v:formulas/>
                    <v:path arrowok="t" o:connecttype="segments"/>
                  </v:shape>
                  <w10:wrap type="none"/>
                  <w10:anchorlock/>
                </v:group>
              </w:pict>
            </w:r>
          </w:p>
          <w:p w:rsidR="002C1123" w:rsidRDefault="00F22F94">
            <w:pPr>
              <w:pStyle w:val="TableParagraph"/>
              <w:spacing w:before="103"/>
              <w:ind w:left="601"/>
              <w:rPr>
                <w:b/>
                <w:sz w:val="16"/>
              </w:rPr>
            </w:pPr>
            <w:r>
              <w:rPr>
                <w:b/>
                <w:color w:val="2E3092"/>
                <w:spacing w:val="-2"/>
                <w:sz w:val="16"/>
              </w:rPr>
              <w:t>2017-</w:t>
            </w:r>
            <w:r>
              <w:rPr>
                <w:b/>
                <w:color w:val="2E3092"/>
                <w:spacing w:val="-4"/>
                <w:sz w:val="16"/>
              </w:rPr>
              <w:t>2022</w:t>
            </w:r>
          </w:p>
        </w:tc>
        <w:tc>
          <w:tcPr>
            <w:tcW w:w="8576" w:type="dxa"/>
            <w:gridSpan w:val="2"/>
            <w:tcBorders>
              <w:top w:val="single" w:sz="4" w:space="0" w:color="9C9C9D"/>
              <w:left w:val="single" w:sz="4" w:space="0" w:color="9C9C9D"/>
              <w:bottom w:val="single" w:sz="4" w:space="0" w:color="9C9C9D"/>
              <w:right w:val="single" w:sz="4" w:space="0" w:color="9C9C9D"/>
            </w:tcBorders>
            <w:shd w:val="clear" w:color="auto" w:fill="EEEEEE"/>
          </w:tcPr>
          <w:p w:rsidR="002C1123" w:rsidRDefault="00F22F94">
            <w:pPr>
              <w:pStyle w:val="TableParagraph"/>
              <w:numPr>
                <w:ilvl w:val="0"/>
                <w:numId w:val="180"/>
              </w:numPr>
              <w:tabs>
                <w:tab w:val="left" w:pos="2930"/>
              </w:tabs>
              <w:spacing w:before="68"/>
              <w:ind w:hanging="101"/>
              <w:rPr>
                <w:rFonts w:ascii="Tahoma" w:hAnsi="Tahoma"/>
                <w:color w:val="2E3092"/>
                <w:sz w:val="14"/>
              </w:rPr>
            </w:pPr>
            <w:r>
              <w:rPr>
                <w:rFonts w:ascii="Tahoma" w:hAnsi="Tahoma"/>
                <w:color w:val="2E3092"/>
                <w:w w:val="95"/>
                <w:sz w:val="14"/>
              </w:rPr>
              <w:t>Completion</w:t>
            </w:r>
            <w:r>
              <w:rPr>
                <w:rFonts w:ascii="Tahoma" w:hAnsi="Tahoma"/>
                <w:color w:val="2E3092"/>
                <w:sz w:val="14"/>
              </w:rPr>
              <w:t xml:space="preserve"> </w:t>
            </w:r>
            <w:r>
              <w:rPr>
                <w:rFonts w:ascii="Tahoma" w:hAnsi="Tahoma"/>
                <w:color w:val="2E3092"/>
                <w:w w:val="95"/>
                <w:sz w:val="14"/>
              </w:rPr>
              <w:t>of</w:t>
            </w:r>
            <w:r>
              <w:rPr>
                <w:rFonts w:ascii="Tahoma" w:hAnsi="Tahoma"/>
                <w:color w:val="2E3092"/>
                <w:sz w:val="14"/>
              </w:rPr>
              <w:t xml:space="preserve"> </w:t>
            </w:r>
            <w:r>
              <w:rPr>
                <w:rFonts w:ascii="Tahoma" w:hAnsi="Tahoma"/>
                <w:color w:val="2E3092"/>
                <w:w w:val="95"/>
                <w:sz w:val="14"/>
              </w:rPr>
              <w:t>the</w:t>
            </w:r>
            <w:r>
              <w:rPr>
                <w:rFonts w:ascii="Tahoma" w:hAnsi="Tahoma"/>
                <w:color w:val="2E3092"/>
                <w:sz w:val="14"/>
              </w:rPr>
              <w:t xml:space="preserve"> </w:t>
            </w:r>
            <w:r>
              <w:rPr>
                <w:rFonts w:ascii="Tahoma" w:hAnsi="Tahoma"/>
                <w:color w:val="2E3092"/>
                <w:w w:val="95"/>
                <w:sz w:val="14"/>
              </w:rPr>
              <w:t>North</w:t>
            </w:r>
            <w:r>
              <w:rPr>
                <w:rFonts w:ascii="Tahoma" w:hAnsi="Tahoma"/>
                <w:color w:val="2E3092"/>
                <w:sz w:val="14"/>
              </w:rPr>
              <w:t xml:space="preserve"> </w:t>
            </w:r>
            <w:r>
              <w:rPr>
                <w:rFonts w:ascii="Tahoma" w:hAnsi="Tahoma"/>
                <w:color w:val="2E3092"/>
                <w:w w:val="95"/>
                <w:sz w:val="14"/>
              </w:rPr>
              <w:t>West</w:t>
            </w:r>
            <w:r>
              <w:rPr>
                <w:rFonts w:ascii="Tahoma" w:hAnsi="Tahoma"/>
                <w:color w:val="2E3092"/>
                <w:sz w:val="14"/>
              </w:rPr>
              <w:t xml:space="preserve"> </w:t>
            </w:r>
            <w:r>
              <w:rPr>
                <w:rFonts w:ascii="Tahoma" w:hAnsi="Tahoma"/>
                <w:color w:val="2E3092"/>
                <w:w w:val="95"/>
                <w:sz w:val="14"/>
              </w:rPr>
              <w:t>Rail</w:t>
            </w:r>
            <w:r>
              <w:rPr>
                <w:rFonts w:ascii="Tahoma" w:hAnsi="Tahoma"/>
                <w:color w:val="2E3092"/>
                <w:sz w:val="14"/>
              </w:rPr>
              <w:t xml:space="preserve"> </w:t>
            </w:r>
            <w:r>
              <w:rPr>
                <w:rFonts w:ascii="Tahoma" w:hAnsi="Tahoma"/>
                <w:color w:val="2E3092"/>
                <w:spacing w:val="-2"/>
                <w:w w:val="95"/>
                <w:sz w:val="14"/>
              </w:rPr>
              <w:t>Link</w:t>
            </w:r>
            <w:r>
              <w:rPr>
                <w:b/>
                <w:color w:val="2E3092"/>
                <w:spacing w:val="-2"/>
                <w:w w:val="95"/>
                <w:sz w:val="14"/>
              </w:rPr>
              <w:t>*</w:t>
            </w:r>
          </w:p>
          <w:p w:rsidR="002C1123" w:rsidRDefault="00F22F94">
            <w:pPr>
              <w:pStyle w:val="TableParagraph"/>
              <w:numPr>
                <w:ilvl w:val="0"/>
                <w:numId w:val="180"/>
              </w:numPr>
              <w:tabs>
                <w:tab w:val="left" w:pos="2930"/>
              </w:tabs>
              <w:spacing w:before="39"/>
              <w:ind w:hanging="101"/>
              <w:rPr>
                <w:rFonts w:ascii="Tahoma" w:hAnsi="Tahoma"/>
                <w:sz w:val="14"/>
              </w:rPr>
            </w:pPr>
            <w:r>
              <w:rPr>
                <w:rFonts w:ascii="Tahoma" w:hAnsi="Tahoma"/>
                <w:w w:val="95"/>
                <w:sz w:val="14"/>
              </w:rPr>
              <w:t>Completion</w:t>
            </w:r>
            <w:r>
              <w:rPr>
                <w:rFonts w:ascii="Tahoma" w:hAnsi="Tahoma"/>
                <w:spacing w:val="7"/>
                <w:sz w:val="14"/>
              </w:rPr>
              <w:t xml:space="preserve"> </w:t>
            </w:r>
            <w:r>
              <w:rPr>
                <w:rFonts w:ascii="Tahoma" w:hAnsi="Tahoma"/>
                <w:w w:val="95"/>
                <w:sz w:val="14"/>
              </w:rPr>
              <w:t>of</w:t>
            </w:r>
            <w:r>
              <w:rPr>
                <w:rFonts w:ascii="Tahoma" w:hAnsi="Tahoma"/>
                <w:spacing w:val="8"/>
                <w:sz w:val="14"/>
              </w:rPr>
              <w:t xml:space="preserve"> </w:t>
            </w:r>
            <w:r>
              <w:rPr>
                <w:rFonts w:ascii="Tahoma" w:hAnsi="Tahoma"/>
                <w:spacing w:val="-2"/>
                <w:w w:val="95"/>
                <w:sz w:val="14"/>
              </w:rPr>
              <w:t>WestConnex</w:t>
            </w:r>
          </w:p>
        </w:tc>
        <w:tc>
          <w:tcPr>
            <w:tcW w:w="4288" w:type="dxa"/>
            <w:vMerge w:val="restart"/>
            <w:tcBorders>
              <w:top w:val="single" w:sz="4" w:space="0" w:color="9C9C9D"/>
              <w:left w:val="single" w:sz="4" w:space="0" w:color="9C9C9D"/>
              <w:bottom w:val="single" w:sz="4" w:space="0" w:color="9C9C9D"/>
              <w:right w:val="nil"/>
            </w:tcBorders>
            <w:shd w:val="clear" w:color="auto" w:fill="EEEEEE"/>
          </w:tcPr>
          <w:p w:rsidR="002C1123" w:rsidRDefault="00F22F94">
            <w:pPr>
              <w:pStyle w:val="TableParagraph"/>
              <w:numPr>
                <w:ilvl w:val="0"/>
                <w:numId w:val="179"/>
              </w:numPr>
              <w:tabs>
                <w:tab w:val="left" w:pos="209"/>
              </w:tabs>
              <w:spacing w:before="68" w:line="268" w:lineRule="auto"/>
              <w:ind w:right="329"/>
              <w:rPr>
                <w:rFonts w:ascii="Tahoma" w:hAnsi="Tahoma"/>
                <w:color w:val="2E3092"/>
                <w:sz w:val="14"/>
              </w:rPr>
            </w:pPr>
            <w:r>
              <w:rPr>
                <w:rFonts w:ascii="Tahoma" w:hAnsi="Tahoma"/>
                <w:color w:val="2E3092"/>
                <w:sz w:val="14"/>
              </w:rPr>
              <w:t>Complete</w:t>
            </w:r>
            <w:r>
              <w:rPr>
                <w:rFonts w:ascii="Tahoma" w:hAnsi="Tahoma"/>
                <w:color w:val="2E3092"/>
                <w:spacing w:val="-13"/>
                <w:sz w:val="14"/>
              </w:rPr>
              <w:t xml:space="preserve"> </w:t>
            </w:r>
            <w:r>
              <w:rPr>
                <w:rFonts w:ascii="Tahoma" w:hAnsi="Tahoma"/>
                <w:color w:val="2E3092"/>
                <w:sz w:val="14"/>
              </w:rPr>
              <w:t>duplication</w:t>
            </w:r>
            <w:r>
              <w:rPr>
                <w:rFonts w:ascii="Tahoma" w:hAnsi="Tahoma"/>
                <w:color w:val="2E3092"/>
                <w:spacing w:val="-13"/>
                <w:sz w:val="14"/>
              </w:rPr>
              <w:t xml:space="preserve"> </w:t>
            </w:r>
            <w:r>
              <w:rPr>
                <w:rFonts w:ascii="Tahoma" w:hAnsi="Tahoma"/>
                <w:color w:val="2E3092"/>
                <w:sz w:val="14"/>
              </w:rPr>
              <w:t>of</w:t>
            </w:r>
            <w:r>
              <w:rPr>
                <w:rFonts w:ascii="Tahoma" w:hAnsi="Tahoma"/>
                <w:color w:val="2E3092"/>
                <w:spacing w:val="-13"/>
                <w:sz w:val="14"/>
              </w:rPr>
              <w:t xml:space="preserve"> </w:t>
            </w:r>
            <w:r>
              <w:rPr>
                <w:rFonts w:ascii="Tahoma" w:hAnsi="Tahoma"/>
                <w:color w:val="2E3092"/>
                <w:sz w:val="14"/>
              </w:rPr>
              <w:t>Pacific</w:t>
            </w:r>
            <w:r>
              <w:rPr>
                <w:rFonts w:ascii="Tahoma" w:hAnsi="Tahoma"/>
                <w:color w:val="2E3092"/>
                <w:spacing w:val="-13"/>
                <w:sz w:val="14"/>
              </w:rPr>
              <w:t xml:space="preserve"> </w:t>
            </w:r>
            <w:r>
              <w:rPr>
                <w:rFonts w:ascii="Tahoma" w:hAnsi="Tahoma"/>
                <w:color w:val="2E3092"/>
                <w:sz w:val="14"/>
              </w:rPr>
              <w:t>Highway</w:t>
            </w:r>
            <w:r>
              <w:rPr>
                <w:rFonts w:ascii="Tahoma" w:hAnsi="Tahoma"/>
                <w:color w:val="2E3092"/>
                <w:spacing w:val="-13"/>
                <w:sz w:val="14"/>
              </w:rPr>
              <w:t xml:space="preserve"> </w:t>
            </w:r>
            <w:r>
              <w:rPr>
                <w:rFonts w:ascii="Tahoma" w:hAnsi="Tahoma"/>
                <w:color w:val="2E3092"/>
                <w:sz w:val="14"/>
              </w:rPr>
              <w:t>and</w:t>
            </w:r>
            <w:r>
              <w:rPr>
                <w:rFonts w:ascii="Tahoma" w:hAnsi="Tahoma"/>
                <w:color w:val="2E3092"/>
                <w:spacing w:val="-13"/>
                <w:sz w:val="14"/>
              </w:rPr>
              <w:t xml:space="preserve"> </w:t>
            </w:r>
            <w:r>
              <w:rPr>
                <w:rFonts w:ascii="Tahoma" w:hAnsi="Tahoma"/>
                <w:color w:val="2E3092"/>
                <w:sz w:val="14"/>
              </w:rPr>
              <w:t>Princes</w:t>
            </w:r>
            <w:r>
              <w:rPr>
                <w:rFonts w:ascii="Tahoma" w:hAnsi="Tahoma"/>
                <w:color w:val="2E3092"/>
                <w:spacing w:val="-13"/>
                <w:sz w:val="14"/>
              </w:rPr>
              <w:t xml:space="preserve"> </w:t>
            </w:r>
            <w:r>
              <w:rPr>
                <w:rFonts w:ascii="Tahoma" w:hAnsi="Tahoma"/>
                <w:color w:val="2E3092"/>
                <w:sz w:val="14"/>
              </w:rPr>
              <w:t xml:space="preserve">Highway </w:t>
            </w:r>
            <w:r>
              <w:rPr>
                <w:color w:val="2E3092"/>
                <w:sz w:val="14"/>
              </w:rPr>
              <w:t>(to Jervis Bay turnoff)</w:t>
            </w:r>
            <w:r>
              <w:rPr>
                <w:b/>
                <w:color w:val="2E3092"/>
                <w:sz w:val="14"/>
              </w:rPr>
              <w:t>*</w:t>
            </w:r>
          </w:p>
          <w:p w:rsidR="002C1123" w:rsidRDefault="00F22F94">
            <w:pPr>
              <w:pStyle w:val="TableParagraph"/>
              <w:numPr>
                <w:ilvl w:val="0"/>
                <w:numId w:val="179"/>
              </w:numPr>
              <w:tabs>
                <w:tab w:val="left" w:pos="209"/>
              </w:tabs>
              <w:spacing w:before="19" w:line="268" w:lineRule="auto"/>
              <w:ind w:right="295"/>
              <w:rPr>
                <w:rFonts w:ascii="Tahoma" w:hAnsi="Tahoma"/>
                <w:sz w:val="14"/>
              </w:rPr>
            </w:pPr>
            <w:r>
              <w:rPr>
                <w:rFonts w:ascii="Tahoma" w:hAnsi="Tahoma"/>
                <w:w w:val="95"/>
                <w:sz w:val="14"/>
              </w:rPr>
              <w:t>Mainline Rail Acceleration: Gosford to Sydney and Wollongong</w:t>
            </w:r>
            <w:r>
              <w:rPr>
                <w:rFonts w:ascii="Tahoma" w:hAnsi="Tahoma"/>
                <w:spacing w:val="40"/>
                <w:sz w:val="14"/>
              </w:rPr>
              <w:t xml:space="preserve"> </w:t>
            </w:r>
            <w:r>
              <w:rPr>
                <w:sz w:val="14"/>
              </w:rPr>
              <w:t>to Sydney (target one hour journey times)</w:t>
            </w:r>
          </w:p>
          <w:p w:rsidR="002C1123" w:rsidRDefault="00F22F94">
            <w:pPr>
              <w:pStyle w:val="TableParagraph"/>
              <w:numPr>
                <w:ilvl w:val="0"/>
                <w:numId w:val="179"/>
              </w:numPr>
              <w:tabs>
                <w:tab w:val="left" w:pos="209"/>
              </w:tabs>
              <w:spacing w:before="19" w:line="268" w:lineRule="auto"/>
              <w:ind w:left="207" w:right="606"/>
              <w:rPr>
                <w:rFonts w:ascii="Tahoma" w:hAnsi="Tahoma"/>
                <w:sz w:val="14"/>
              </w:rPr>
            </w:pPr>
            <w:r>
              <w:rPr>
                <w:rFonts w:ascii="Tahoma" w:hAnsi="Tahoma"/>
                <w:w w:val="95"/>
                <w:sz w:val="14"/>
              </w:rPr>
              <w:t xml:space="preserve">Construct an extension of the F3 to the Pacific Highway at </w:t>
            </w:r>
            <w:r>
              <w:rPr>
                <w:sz w:val="14"/>
              </w:rPr>
              <w:t>Raymond</w:t>
            </w:r>
            <w:r>
              <w:rPr>
                <w:spacing w:val="-10"/>
                <w:sz w:val="14"/>
              </w:rPr>
              <w:t xml:space="preserve"> </w:t>
            </w:r>
            <w:r>
              <w:rPr>
                <w:sz w:val="14"/>
              </w:rPr>
              <w:t>Terrace</w:t>
            </w:r>
          </w:p>
          <w:p w:rsidR="002C1123" w:rsidRDefault="00F22F94">
            <w:pPr>
              <w:pStyle w:val="TableParagraph"/>
              <w:numPr>
                <w:ilvl w:val="0"/>
                <w:numId w:val="179"/>
              </w:numPr>
              <w:tabs>
                <w:tab w:val="left" w:pos="208"/>
              </w:tabs>
              <w:spacing w:before="18" w:line="268" w:lineRule="auto"/>
              <w:ind w:left="207" w:right="607"/>
              <w:rPr>
                <w:rFonts w:ascii="Tahoma" w:hAnsi="Tahoma"/>
                <w:sz w:val="14"/>
              </w:rPr>
            </w:pPr>
            <w:r>
              <w:rPr>
                <w:rFonts w:ascii="Tahoma" w:hAnsi="Tahoma"/>
                <w:w w:val="95"/>
                <w:sz w:val="14"/>
              </w:rPr>
              <w:t xml:space="preserve">Upgrade water and waste water in regional towns to meet </w:t>
            </w:r>
            <w:r>
              <w:rPr>
                <w:sz w:val="14"/>
              </w:rPr>
              <w:t>national</w:t>
            </w:r>
            <w:r>
              <w:rPr>
                <w:spacing w:val="-10"/>
                <w:sz w:val="14"/>
              </w:rPr>
              <w:t xml:space="preserve"> </w:t>
            </w:r>
            <w:r>
              <w:rPr>
                <w:sz w:val="14"/>
              </w:rPr>
              <w:t>standards</w:t>
            </w:r>
          </w:p>
          <w:p w:rsidR="002C1123" w:rsidRDefault="00F22F94">
            <w:pPr>
              <w:pStyle w:val="TableParagraph"/>
              <w:numPr>
                <w:ilvl w:val="0"/>
                <w:numId w:val="179"/>
              </w:numPr>
              <w:tabs>
                <w:tab w:val="left" w:pos="208"/>
              </w:tabs>
              <w:spacing w:before="19"/>
              <w:ind w:left="207" w:hanging="101"/>
              <w:rPr>
                <w:rFonts w:ascii="Tahoma" w:hAnsi="Tahoma"/>
                <w:sz w:val="14"/>
              </w:rPr>
            </w:pPr>
            <w:r>
              <w:rPr>
                <w:rFonts w:ascii="Tahoma" w:hAnsi="Tahoma"/>
                <w:w w:val="95"/>
                <w:sz w:val="14"/>
              </w:rPr>
              <w:t>Augment</w:t>
            </w:r>
            <w:r>
              <w:rPr>
                <w:rFonts w:ascii="Tahoma" w:hAnsi="Tahoma"/>
                <w:spacing w:val="-2"/>
                <w:w w:val="95"/>
                <w:sz w:val="14"/>
              </w:rPr>
              <w:t xml:space="preserve"> </w:t>
            </w:r>
            <w:r>
              <w:rPr>
                <w:rFonts w:ascii="Tahoma" w:hAnsi="Tahoma"/>
                <w:w w:val="95"/>
                <w:sz w:val="14"/>
              </w:rPr>
              <w:t>water</w:t>
            </w:r>
            <w:r>
              <w:rPr>
                <w:rFonts w:ascii="Tahoma" w:hAnsi="Tahoma"/>
                <w:spacing w:val="-1"/>
                <w:w w:val="95"/>
                <w:sz w:val="14"/>
              </w:rPr>
              <w:t xml:space="preserve"> </w:t>
            </w:r>
            <w:r>
              <w:rPr>
                <w:rFonts w:ascii="Tahoma" w:hAnsi="Tahoma"/>
                <w:w w:val="95"/>
                <w:sz w:val="14"/>
              </w:rPr>
              <w:t>supply</w:t>
            </w:r>
            <w:r>
              <w:rPr>
                <w:rFonts w:ascii="Tahoma" w:hAnsi="Tahoma"/>
                <w:spacing w:val="-1"/>
                <w:w w:val="95"/>
                <w:sz w:val="14"/>
              </w:rPr>
              <w:t xml:space="preserve"> </w:t>
            </w:r>
            <w:r>
              <w:rPr>
                <w:rFonts w:ascii="Tahoma" w:hAnsi="Tahoma"/>
                <w:w w:val="95"/>
                <w:sz w:val="14"/>
              </w:rPr>
              <w:t>in</w:t>
            </w:r>
            <w:r>
              <w:rPr>
                <w:rFonts w:ascii="Tahoma" w:hAnsi="Tahoma"/>
                <w:spacing w:val="-1"/>
                <w:w w:val="95"/>
                <w:sz w:val="14"/>
              </w:rPr>
              <w:t xml:space="preserve"> </w:t>
            </w:r>
            <w:r>
              <w:rPr>
                <w:rFonts w:ascii="Tahoma" w:hAnsi="Tahoma"/>
                <w:w w:val="95"/>
                <w:sz w:val="14"/>
              </w:rPr>
              <w:t>the</w:t>
            </w:r>
            <w:r>
              <w:rPr>
                <w:rFonts w:ascii="Tahoma" w:hAnsi="Tahoma"/>
                <w:spacing w:val="-1"/>
                <w:w w:val="95"/>
                <w:sz w:val="14"/>
              </w:rPr>
              <w:t xml:space="preserve"> </w:t>
            </w:r>
            <w:r>
              <w:rPr>
                <w:rFonts w:ascii="Tahoma" w:hAnsi="Tahoma"/>
                <w:w w:val="95"/>
                <w:sz w:val="14"/>
              </w:rPr>
              <w:t>Hunter</w:t>
            </w:r>
            <w:r>
              <w:rPr>
                <w:rFonts w:ascii="Tahoma" w:hAnsi="Tahoma"/>
                <w:spacing w:val="-2"/>
                <w:w w:val="95"/>
                <w:sz w:val="14"/>
              </w:rPr>
              <w:t xml:space="preserve"> </w:t>
            </w:r>
            <w:r>
              <w:rPr>
                <w:rFonts w:ascii="Tahoma" w:hAnsi="Tahoma"/>
                <w:w w:val="95"/>
                <w:sz w:val="14"/>
              </w:rPr>
              <w:t>and</w:t>
            </w:r>
            <w:r>
              <w:rPr>
                <w:rFonts w:ascii="Tahoma" w:hAnsi="Tahoma"/>
                <w:spacing w:val="-1"/>
                <w:w w:val="95"/>
                <w:sz w:val="14"/>
              </w:rPr>
              <w:t xml:space="preserve"> </w:t>
            </w:r>
            <w:r>
              <w:rPr>
                <w:rFonts w:ascii="Tahoma" w:hAnsi="Tahoma"/>
                <w:w w:val="95"/>
                <w:sz w:val="14"/>
              </w:rPr>
              <w:t>regional</w:t>
            </w:r>
            <w:r>
              <w:rPr>
                <w:rFonts w:ascii="Tahoma" w:hAnsi="Tahoma"/>
                <w:spacing w:val="-1"/>
                <w:w w:val="95"/>
                <w:sz w:val="14"/>
              </w:rPr>
              <w:t xml:space="preserve"> </w:t>
            </w:r>
            <w:r>
              <w:rPr>
                <w:rFonts w:ascii="Tahoma" w:hAnsi="Tahoma"/>
                <w:spacing w:val="-4"/>
                <w:w w:val="95"/>
                <w:sz w:val="14"/>
              </w:rPr>
              <w:t>areas</w:t>
            </w:r>
          </w:p>
          <w:p w:rsidR="002C1123" w:rsidRDefault="00F22F94">
            <w:pPr>
              <w:pStyle w:val="TableParagraph"/>
              <w:numPr>
                <w:ilvl w:val="0"/>
                <w:numId w:val="179"/>
              </w:numPr>
              <w:tabs>
                <w:tab w:val="left" w:pos="208"/>
              </w:tabs>
              <w:spacing w:before="39"/>
              <w:ind w:left="207" w:hanging="101"/>
              <w:rPr>
                <w:rFonts w:ascii="Tahoma" w:hAnsi="Tahoma"/>
                <w:sz w:val="14"/>
              </w:rPr>
            </w:pPr>
            <w:r>
              <w:rPr>
                <w:rFonts w:ascii="Tahoma" w:hAnsi="Tahoma"/>
                <w:w w:val="95"/>
                <w:sz w:val="14"/>
              </w:rPr>
              <w:t>Hunter</w:t>
            </w:r>
            <w:r>
              <w:rPr>
                <w:rFonts w:ascii="Tahoma" w:hAnsi="Tahoma"/>
                <w:spacing w:val="3"/>
                <w:sz w:val="14"/>
              </w:rPr>
              <w:t xml:space="preserve"> </w:t>
            </w:r>
            <w:r>
              <w:rPr>
                <w:rFonts w:ascii="Tahoma" w:hAnsi="Tahoma"/>
                <w:w w:val="95"/>
                <w:sz w:val="14"/>
              </w:rPr>
              <w:t>Valley</w:t>
            </w:r>
            <w:r>
              <w:rPr>
                <w:rFonts w:ascii="Tahoma" w:hAnsi="Tahoma"/>
                <w:spacing w:val="4"/>
                <w:sz w:val="14"/>
              </w:rPr>
              <w:t xml:space="preserve"> </w:t>
            </w:r>
            <w:r>
              <w:rPr>
                <w:rFonts w:ascii="Tahoma" w:hAnsi="Tahoma"/>
                <w:w w:val="95"/>
                <w:sz w:val="14"/>
              </w:rPr>
              <w:t>Coal</w:t>
            </w:r>
            <w:r>
              <w:rPr>
                <w:rFonts w:ascii="Tahoma" w:hAnsi="Tahoma"/>
                <w:spacing w:val="3"/>
                <w:sz w:val="14"/>
              </w:rPr>
              <w:t xml:space="preserve"> </w:t>
            </w:r>
            <w:r>
              <w:rPr>
                <w:rFonts w:ascii="Tahoma" w:hAnsi="Tahoma"/>
                <w:w w:val="95"/>
                <w:sz w:val="14"/>
              </w:rPr>
              <w:t>Chain</w:t>
            </w:r>
            <w:r>
              <w:rPr>
                <w:rFonts w:ascii="Tahoma" w:hAnsi="Tahoma"/>
                <w:spacing w:val="4"/>
                <w:sz w:val="14"/>
              </w:rPr>
              <w:t xml:space="preserve"> </w:t>
            </w:r>
            <w:r>
              <w:rPr>
                <w:rFonts w:ascii="Tahoma" w:hAnsi="Tahoma"/>
                <w:w w:val="95"/>
                <w:sz w:val="14"/>
              </w:rPr>
              <w:t>improvements:</w:t>
            </w:r>
            <w:r>
              <w:rPr>
                <w:rFonts w:ascii="Tahoma" w:hAnsi="Tahoma"/>
                <w:spacing w:val="3"/>
                <w:sz w:val="14"/>
              </w:rPr>
              <w:t xml:space="preserve"> </w:t>
            </w:r>
            <w:r>
              <w:rPr>
                <w:rFonts w:ascii="Tahoma" w:hAnsi="Tahoma"/>
                <w:w w:val="95"/>
                <w:sz w:val="14"/>
              </w:rPr>
              <w:t>Liverpool</w:t>
            </w:r>
            <w:r>
              <w:rPr>
                <w:rFonts w:ascii="Tahoma" w:hAnsi="Tahoma"/>
                <w:spacing w:val="4"/>
                <w:sz w:val="14"/>
              </w:rPr>
              <w:t xml:space="preserve"> </w:t>
            </w:r>
            <w:r>
              <w:rPr>
                <w:rFonts w:ascii="Tahoma" w:hAnsi="Tahoma"/>
                <w:spacing w:val="-2"/>
                <w:w w:val="95"/>
                <w:sz w:val="14"/>
              </w:rPr>
              <w:t>Ranges</w:t>
            </w:r>
          </w:p>
        </w:tc>
      </w:tr>
      <w:tr w:rsidR="002C1123">
        <w:trPr>
          <w:trHeight w:val="1661"/>
        </w:trPr>
        <w:tc>
          <w:tcPr>
            <w:tcW w:w="1984" w:type="dxa"/>
            <w:vMerge/>
            <w:tcBorders>
              <w:top w:val="nil"/>
              <w:left w:val="nil"/>
              <w:bottom w:val="single" w:sz="4" w:space="0" w:color="9C9C9D"/>
              <w:right w:val="single" w:sz="4" w:space="0" w:color="9C9C9D"/>
            </w:tcBorders>
            <w:shd w:val="clear" w:color="auto" w:fill="EEEEEE"/>
          </w:tcPr>
          <w:p w:rsidR="002C1123" w:rsidRDefault="002C1123">
            <w:pPr>
              <w:rPr>
                <w:sz w:val="2"/>
                <w:szCs w:val="2"/>
              </w:rPr>
            </w:pPr>
          </w:p>
        </w:tc>
        <w:tc>
          <w:tcPr>
            <w:tcW w:w="4288" w:type="dxa"/>
            <w:tcBorders>
              <w:top w:val="single" w:sz="4" w:space="0" w:color="9C9C9D"/>
              <w:left w:val="single" w:sz="4" w:space="0" w:color="9C9C9D"/>
              <w:bottom w:val="single" w:sz="4" w:space="0" w:color="9C9C9D"/>
              <w:right w:val="single" w:sz="4" w:space="0" w:color="9C9C9D"/>
            </w:tcBorders>
            <w:shd w:val="clear" w:color="auto" w:fill="EEEEEE"/>
          </w:tcPr>
          <w:p w:rsidR="002C1123" w:rsidRDefault="00F22F94">
            <w:pPr>
              <w:pStyle w:val="TableParagraph"/>
              <w:numPr>
                <w:ilvl w:val="0"/>
                <w:numId w:val="178"/>
              </w:numPr>
              <w:tabs>
                <w:tab w:val="left" w:pos="208"/>
              </w:tabs>
              <w:spacing w:before="68" w:line="268" w:lineRule="auto"/>
              <w:ind w:right="1502"/>
              <w:rPr>
                <w:sz w:val="14"/>
              </w:rPr>
            </w:pPr>
            <w:r>
              <w:rPr>
                <w:rFonts w:ascii="Tahoma" w:hAnsi="Tahoma"/>
                <w:w w:val="95"/>
                <w:sz w:val="14"/>
              </w:rPr>
              <w:t xml:space="preserve">Unlock City Circle spare capacity to relieve </w:t>
            </w:r>
            <w:r>
              <w:rPr>
                <w:sz w:val="14"/>
              </w:rPr>
              <w:t>CBD station congestion</w:t>
            </w:r>
          </w:p>
          <w:p w:rsidR="002C1123" w:rsidRDefault="00F22F94">
            <w:pPr>
              <w:pStyle w:val="TableParagraph"/>
              <w:numPr>
                <w:ilvl w:val="0"/>
                <w:numId w:val="178"/>
              </w:numPr>
              <w:tabs>
                <w:tab w:val="left" w:pos="208"/>
              </w:tabs>
              <w:spacing w:before="19"/>
              <w:ind w:hanging="101"/>
              <w:rPr>
                <w:rFonts w:ascii="Tahoma" w:hAnsi="Tahoma"/>
                <w:sz w:val="14"/>
              </w:rPr>
            </w:pPr>
            <w:r>
              <w:rPr>
                <w:rFonts w:ascii="Tahoma" w:hAnsi="Tahoma"/>
                <w:w w:val="95"/>
                <w:sz w:val="14"/>
              </w:rPr>
              <w:t>Construct</w:t>
            </w:r>
            <w:r>
              <w:rPr>
                <w:rFonts w:ascii="Tahoma" w:hAnsi="Tahoma"/>
                <w:spacing w:val="3"/>
                <w:sz w:val="14"/>
              </w:rPr>
              <w:t xml:space="preserve"> </w:t>
            </w:r>
            <w:r>
              <w:rPr>
                <w:rFonts w:ascii="Tahoma" w:hAnsi="Tahoma"/>
                <w:w w:val="95"/>
                <w:sz w:val="14"/>
              </w:rPr>
              <w:t>underground</w:t>
            </w:r>
            <w:r>
              <w:rPr>
                <w:rFonts w:ascii="Tahoma" w:hAnsi="Tahoma"/>
                <w:spacing w:val="4"/>
                <w:sz w:val="14"/>
              </w:rPr>
              <w:t xml:space="preserve"> </w:t>
            </w:r>
            <w:r>
              <w:rPr>
                <w:rFonts w:ascii="Tahoma" w:hAnsi="Tahoma"/>
                <w:w w:val="95"/>
                <w:sz w:val="14"/>
              </w:rPr>
              <w:t>bus</w:t>
            </w:r>
            <w:r>
              <w:rPr>
                <w:rFonts w:ascii="Tahoma" w:hAnsi="Tahoma"/>
                <w:spacing w:val="4"/>
                <w:sz w:val="14"/>
              </w:rPr>
              <w:t xml:space="preserve"> </w:t>
            </w:r>
            <w:r>
              <w:rPr>
                <w:rFonts w:ascii="Tahoma" w:hAnsi="Tahoma"/>
                <w:w w:val="95"/>
                <w:sz w:val="14"/>
              </w:rPr>
              <w:t>rapid</w:t>
            </w:r>
            <w:r>
              <w:rPr>
                <w:rFonts w:ascii="Tahoma" w:hAnsi="Tahoma"/>
                <w:spacing w:val="3"/>
                <w:sz w:val="14"/>
              </w:rPr>
              <w:t xml:space="preserve"> </w:t>
            </w:r>
            <w:r>
              <w:rPr>
                <w:rFonts w:ascii="Tahoma" w:hAnsi="Tahoma"/>
                <w:w w:val="95"/>
                <w:sz w:val="14"/>
              </w:rPr>
              <w:t>transit</w:t>
            </w:r>
            <w:r>
              <w:rPr>
                <w:rFonts w:ascii="Tahoma" w:hAnsi="Tahoma"/>
                <w:spacing w:val="4"/>
                <w:sz w:val="14"/>
              </w:rPr>
              <w:t xml:space="preserve"> </w:t>
            </w:r>
            <w:r>
              <w:rPr>
                <w:rFonts w:ascii="Tahoma" w:hAnsi="Tahoma"/>
                <w:w w:val="95"/>
                <w:sz w:val="14"/>
              </w:rPr>
              <w:t>in</w:t>
            </w:r>
            <w:r>
              <w:rPr>
                <w:rFonts w:ascii="Tahoma" w:hAnsi="Tahoma"/>
                <w:spacing w:val="4"/>
                <w:sz w:val="14"/>
              </w:rPr>
              <w:t xml:space="preserve"> </w:t>
            </w:r>
            <w:r>
              <w:rPr>
                <w:rFonts w:ascii="Tahoma" w:hAnsi="Tahoma"/>
                <w:spacing w:val="-5"/>
                <w:w w:val="95"/>
                <w:sz w:val="14"/>
              </w:rPr>
              <w:t>CBD</w:t>
            </w:r>
          </w:p>
          <w:p w:rsidR="002C1123" w:rsidRDefault="00F22F94">
            <w:pPr>
              <w:pStyle w:val="TableParagraph"/>
              <w:numPr>
                <w:ilvl w:val="0"/>
                <w:numId w:val="178"/>
              </w:numPr>
              <w:tabs>
                <w:tab w:val="left" w:pos="208"/>
              </w:tabs>
              <w:spacing w:before="39"/>
              <w:ind w:hanging="101"/>
              <w:rPr>
                <w:rFonts w:ascii="Tahoma" w:hAnsi="Tahoma"/>
                <w:sz w:val="14"/>
              </w:rPr>
            </w:pPr>
            <w:r>
              <w:rPr>
                <w:rFonts w:ascii="Tahoma" w:hAnsi="Tahoma"/>
                <w:w w:val="95"/>
                <w:sz w:val="14"/>
              </w:rPr>
              <w:t>Rebuild</w:t>
            </w:r>
            <w:r>
              <w:rPr>
                <w:rFonts w:ascii="Tahoma" w:hAnsi="Tahoma"/>
                <w:spacing w:val="-1"/>
                <w:w w:val="95"/>
                <w:sz w:val="14"/>
              </w:rPr>
              <w:t xml:space="preserve"> </w:t>
            </w:r>
            <w:r>
              <w:rPr>
                <w:rFonts w:ascii="Tahoma" w:hAnsi="Tahoma"/>
                <w:w w:val="95"/>
                <w:sz w:val="14"/>
              </w:rPr>
              <w:t>Wynyard</w:t>
            </w:r>
            <w:r>
              <w:rPr>
                <w:rFonts w:ascii="Tahoma" w:hAnsi="Tahoma"/>
                <w:spacing w:val="-2"/>
                <w:sz w:val="14"/>
              </w:rPr>
              <w:t xml:space="preserve"> </w:t>
            </w:r>
            <w:r>
              <w:rPr>
                <w:rFonts w:ascii="Tahoma" w:hAnsi="Tahoma"/>
                <w:w w:val="95"/>
                <w:sz w:val="14"/>
              </w:rPr>
              <w:t>and</w:t>
            </w:r>
            <w:r>
              <w:rPr>
                <w:rFonts w:ascii="Tahoma" w:hAnsi="Tahoma"/>
                <w:spacing w:val="-2"/>
                <w:sz w:val="14"/>
              </w:rPr>
              <w:t xml:space="preserve"> </w:t>
            </w:r>
            <w:r>
              <w:rPr>
                <w:rFonts w:ascii="Tahoma" w:hAnsi="Tahoma"/>
                <w:w w:val="95"/>
                <w:sz w:val="14"/>
              </w:rPr>
              <w:t>Town</w:t>
            </w:r>
            <w:r>
              <w:rPr>
                <w:rFonts w:ascii="Tahoma" w:hAnsi="Tahoma"/>
                <w:spacing w:val="-1"/>
                <w:w w:val="95"/>
                <w:sz w:val="14"/>
              </w:rPr>
              <w:t xml:space="preserve"> </w:t>
            </w:r>
            <w:r>
              <w:rPr>
                <w:rFonts w:ascii="Tahoma" w:hAnsi="Tahoma"/>
                <w:w w:val="95"/>
                <w:sz w:val="14"/>
              </w:rPr>
              <w:t>Hall</w:t>
            </w:r>
            <w:r>
              <w:rPr>
                <w:rFonts w:ascii="Tahoma" w:hAnsi="Tahoma"/>
                <w:spacing w:val="-2"/>
                <w:sz w:val="14"/>
              </w:rPr>
              <w:t xml:space="preserve"> </w:t>
            </w:r>
            <w:r>
              <w:rPr>
                <w:rFonts w:ascii="Tahoma" w:hAnsi="Tahoma"/>
                <w:spacing w:val="-2"/>
                <w:w w:val="95"/>
                <w:sz w:val="14"/>
              </w:rPr>
              <w:t>interchanges</w:t>
            </w:r>
          </w:p>
          <w:p w:rsidR="002C1123" w:rsidRDefault="00F22F94">
            <w:pPr>
              <w:pStyle w:val="TableParagraph"/>
              <w:numPr>
                <w:ilvl w:val="0"/>
                <w:numId w:val="178"/>
              </w:numPr>
              <w:tabs>
                <w:tab w:val="left" w:pos="208"/>
              </w:tabs>
              <w:spacing w:before="39"/>
              <w:ind w:hanging="101"/>
              <w:rPr>
                <w:rFonts w:ascii="Tahoma" w:hAnsi="Tahoma"/>
                <w:sz w:val="14"/>
              </w:rPr>
            </w:pPr>
            <w:r>
              <w:rPr>
                <w:rFonts w:ascii="Tahoma" w:hAnsi="Tahoma"/>
                <w:w w:val="95"/>
                <w:sz w:val="14"/>
              </w:rPr>
              <w:t>Pedestrianise</w:t>
            </w:r>
            <w:r>
              <w:rPr>
                <w:rFonts w:ascii="Tahoma" w:hAnsi="Tahoma"/>
                <w:spacing w:val="8"/>
                <w:sz w:val="14"/>
              </w:rPr>
              <w:t xml:space="preserve"> </w:t>
            </w:r>
            <w:r>
              <w:rPr>
                <w:rFonts w:ascii="Tahoma" w:hAnsi="Tahoma"/>
                <w:w w:val="95"/>
                <w:sz w:val="14"/>
              </w:rPr>
              <w:t>and</w:t>
            </w:r>
            <w:r>
              <w:rPr>
                <w:rFonts w:ascii="Tahoma" w:hAnsi="Tahoma"/>
                <w:spacing w:val="8"/>
                <w:sz w:val="14"/>
              </w:rPr>
              <w:t xml:space="preserve"> </w:t>
            </w:r>
            <w:r>
              <w:rPr>
                <w:rFonts w:ascii="Tahoma" w:hAnsi="Tahoma"/>
                <w:w w:val="95"/>
                <w:sz w:val="14"/>
              </w:rPr>
              <w:t>revitalise</w:t>
            </w:r>
            <w:r>
              <w:rPr>
                <w:rFonts w:ascii="Tahoma" w:hAnsi="Tahoma"/>
                <w:spacing w:val="8"/>
                <w:sz w:val="14"/>
              </w:rPr>
              <w:t xml:space="preserve"> </w:t>
            </w:r>
            <w:r>
              <w:rPr>
                <w:rFonts w:ascii="Tahoma" w:hAnsi="Tahoma"/>
                <w:w w:val="95"/>
                <w:sz w:val="14"/>
              </w:rPr>
              <w:t>George</w:t>
            </w:r>
            <w:r>
              <w:rPr>
                <w:rFonts w:ascii="Tahoma" w:hAnsi="Tahoma"/>
                <w:spacing w:val="8"/>
                <w:sz w:val="14"/>
              </w:rPr>
              <w:t xml:space="preserve"> </w:t>
            </w:r>
            <w:r>
              <w:rPr>
                <w:rFonts w:ascii="Tahoma" w:hAnsi="Tahoma"/>
                <w:spacing w:val="-2"/>
                <w:w w:val="95"/>
                <w:sz w:val="14"/>
              </w:rPr>
              <w:t>Street</w:t>
            </w:r>
          </w:p>
          <w:p w:rsidR="002C1123" w:rsidRDefault="00F22F94">
            <w:pPr>
              <w:pStyle w:val="TableParagraph"/>
              <w:numPr>
                <w:ilvl w:val="0"/>
                <w:numId w:val="178"/>
              </w:numPr>
              <w:tabs>
                <w:tab w:val="left" w:pos="208"/>
              </w:tabs>
              <w:spacing w:before="40" w:line="268" w:lineRule="auto"/>
              <w:ind w:right="1318"/>
              <w:rPr>
                <w:sz w:val="14"/>
              </w:rPr>
            </w:pPr>
            <w:r>
              <w:rPr>
                <w:rFonts w:ascii="Tahoma" w:hAnsi="Tahoma"/>
                <w:w w:val="95"/>
                <w:sz w:val="14"/>
              </w:rPr>
              <w:t xml:space="preserve">Invest in Sydney’s Arts Ribbon: Opera House, </w:t>
            </w:r>
            <w:r>
              <w:rPr>
                <w:sz w:val="14"/>
              </w:rPr>
              <w:t>Art Gallery of NSW, Walsh Bay</w:t>
            </w:r>
          </w:p>
        </w:tc>
        <w:tc>
          <w:tcPr>
            <w:tcW w:w="4288" w:type="dxa"/>
            <w:tcBorders>
              <w:top w:val="single" w:sz="4" w:space="0" w:color="9C9C9D"/>
              <w:left w:val="single" w:sz="4" w:space="0" w:color="9C9C9D"/>
              <w:bottom w:val="single" w:sz="4" w:space="0" w:color="9C9C9D"/>
              <w:right w:val="single" w:sz="4" w:space="0" w:color="9C9C9D"/>
            </w:tcBorders>
            <w:shd w:val="clear" w:color="auto" w:fill="EEEEEE"/>
          </w:tcPr>
          <w:p w:rsidR="002C1123" w:rsidRDefault="00F22F94">
            <w:pPr>
              <w:pStyle w:val="TableParagraph"/>
              <w:numPr>
                <w:ilvl w:val="0"/>
                <w:numId w:val="177"/>
              </w:numPr>
              <w:tabs>
                <w:tab w:val="left" w:pos="208"/>
              </w:tabs>
              <w:spacing w:before="68" w:line="268" w:lineRule="auto"/>
              <w:ind w:right="367"/>
              <w:rPr>
                <w:sz w:val="14"/>
              </w:rPr>
            </w:pPr>
            <w:r>
              <w:rPr>
                <w:rFonts w:ascii="Tahoma" w:hAnsi="Tahoma"/>
                <w:w w:val="95"/>
                <w:sz w:val="14"/>
              </w:rPr>
              <w:t xml:space="preserve">Incremental bus priority measures: Parramatta, Victoria Road </w:t>
            </w:r>
            <w:r>
              <w:rPr>
                <w:sz w:val="14"/>
              </w:rPr>
              <w:t>and other strategic corridors</w:t>
            </w:r>
          </w:p>
          <w:p w:rsidR="002C1123" w:rsidRDefault="00F22F94">
            <w:pPr>
              <w:pStyle w:val="TableParagraph"/>
              <w:numPr>
                <w:ilvl w:val="0"/>
                <w:numId w:val="177"/>
              </w:numPr>
              <w:tabs>
                <w:tab w:val="left" w:pos="208"/>
              </w:tabs>
              <w:spacing w:before="19" w:line="268" w:lineRule="auto"/>
              <w:ind w:left="206" w:right="1016"/>
              <w:rPr>
                <w:sz w:val="14"/>
              </w:rPr>
            </w:pPr>
            <w:r>
              <w:rPr>
                <w:rFonts w:ascii="Tahoma" w:hAnsi="Tahoma"/>
                <w:w w:val="95"/>
                <w:sz w:val="14"/>
              </w:rPr>
              <w:t xml:space="preserve">Northern Beaches bus corridor improvement plan, </w:t>
            </w:r>
            <w:r>
              <w:rPr>
                <w:sz w:val="14"/>
              </w:rPr>
              <w:t>incorporating Spit Bridge augmentation</w:t>
            </w:r>
          </w:p>
          <w:p w:rsidR="002C1123" w:rsidRDefault="00F22F94">
            <w:pPr>
              <w:pStyle w:val="TableParagraph"/>
              <w:numPr>
                <w:ilvl w:val="0"/>
                <w:numId w:val="177"/>
              </w:numPr>
              <w:tabs>
                <w:tab w:val="left" w:pos="207"/>
              </w:tabs>
              <w:spacing w:before="19" w:line="268" w:lineRule="auto"/>
              <w:ind w:left="206" w:right="821"/>
              <w:rPr>
                <w:sz w:val="14"/>
              </w:rPr>
            </w:pPr>
            <w:r>
              <w:rPr>
                <w:rFonts w:ascii="Tahoma" w:hAnsi="Tahoma"/>
                <w:w w:val="95"/>
                <w:sz w:val="14"/>
              </w:rPr>
              <w:t xml:space="preserve">Moorebank intermodal terminal: construct supporting </w:t>
            </w:r>
            <w:r>
              <w:rPr>
                <w:sz w:val="14"/>
              </w:rPr>
              <w:t>transport</w:t>
            </w:r>
            <w:r>
              <w:rPr>
                <w:spacing w:val="-10"/>
                <w:sz w:val="14"/>
              </w:rPr>
              <w:t xml:space="preserve"> </w:t>
            </w:r>
            <w:r>
              <w:rPr>
                <w:sz w:val="14"/>
              </w:rPr>
              <w:t>infrastructure</w:t>
            </w:r>
          </w:p>
          <w:p w:rsidR="002C1123" w:rsidRDefault="00F22F94">
            <w:pPr>
              <w:pStyle w:val="TableParagraph"/>
              <w:numPr>
                <w:ilvl w:val="0"/>
                <w:numId w:val="177"/>
              </w:numPr>
              <w:tabs>
                <w:tab w:val="left" w:pos="207"/>
              </w:tabs>
              <w:spacing w:before="18" w:line="268" w:lineRule="auto"/>
              <w:ind w:left="206" w:right="958"/>
              <w:rPr>
                <w:sz w:val="14"/>
              </w:rPr>
            </w:pPr>
            <w:r>
              <w:rPr>
                <w:rFonts w:ascii="Tahoma" w:hAnsi="Tahoma"/>
                <w:sz w:val="14"/>
              </w:rPr>
              <w:t>Rollout</w:t>
            </w:r>
            <w:r>
              <w:rPr>
                <w:rFonts w:ascii="Tahoma" w:hAnsi="Tahoma"/>
                <w:spacing w:val="-13"/>
                <w:sz w:val="14"/>
              </w:rPr>
              <w:t xml:space="preserve"> </w:t>
            </w:r>
            <w:r>
              <w:rPr>
                <w:rFonts w:ascii="Tahoma" w:hAnsi="Tahoma"/>
                <w:sz w:val="14"/>
              </w:rPr>
              <w:t>of</w:t>
            </w:r>
            <w:r>
              <w:rPr>
                <w:rFonts w:ascii="Tahoma" w:hAnsi="Tahoma"/>
                <w:spacing w:val="-13"/>
                <w:sz w:val="14"/>
              </w:rPr>
              <w:t xml:space="preserve"> </w:t>
            </w:r>
            <w:r>
              <w:rPr>
                <w:rFonts w:ascii="Tahoma" w:hAnsi="Tahoma"/>
                <w:sz w:val="14"/>
              </w:rPr>
              <w:t>Managed</w:t>
            </w:r>
            <w:r>
              <w:rPr>
                <w:rFonts w:ascii="Tahoma" w:hAnsi="Tahoma"/>
                <w:spacing w:val="-13"/>
                <w:sz w:val="14"/>
              </w:rPr>
              <w:t xml:space="preserve"> </w:t>
            </w:r>
            <w:r>
              <w:rPr>
                <w:rFonts w:ascii="Tahoma" w:hAnsi="Tahoma"/>
                <w:sz w:val="14"/>
              </w:rPr>
              <w:t>Motorways</w:t>
            </w:r>
            <w:r>
              <w:rPr>
                <w:rFonts w:ascii="Tahoma" w:hAnsi="Tahoma"/>
                <w:spacing w:val="-13"/>
                <w:sz w:val="14"/>
              </w:rPr>
              <w:t xml:space="preserve"> </w:t>
            </w:r>
            <w:r>
              <w:rPr>
                <w:rFonts w:ascii="Tahoma" w:hAnsi="Tahoma"/>
                <w:sz w:val="14"/>
              </w:rPr>
              <w:t>program</w:t>
            </w:r>
            <w:r>
              <w:rPr>
                <w:rFonts w:ascii="Tahoma" w:hAnsi="Tahoma"/>
                <w:spacing w:val="-13"/>
                <w:sz w:val="14"/>
              </w:rPr>
              <w:t xml:space="preserve"> </w:t>
            </w:r>
            <w:r>
              <w:rPr>
                <w:rFonts w:ascii="Tahoma" w:hAnsi="Tahoma"/>
                <w:sz w:val="14"/>
              </w:rPr>
              <w:t>across</w:t>
            </w:r>
            <w:r>
              <w:rPr>
                <w:rFonts w:ascii="Tahoma" w:hAnsi="Tahoma"/>
                <w:spacing w:val="-13"/>
                <w:sz w:val="14"/>
              </w:rPr>
              <w:t xml:space="preserve"> </w:t>
            </w:r>
            <w:r>
              <w:rPr>
                <w:rFonts w:ascii="Tahoma" w:hAnsi="Tahoma"/>
                <w:sz w:val="14"/>
              </w:rPr>
              <w:t xml:space="preserve">the </w:t>
            </w:r>
            <w:r>
              <w:rPr>
                <w:sz w:val="14"/>
              </w:rPr>
              <w:t>Sydney</w:t>
            </w:r>
            <w:r>
              <w:rPr>
                <w:spacing w:val="-10"/>
                <w:sz w:val="14"/>
              </w:rPr>
              <w:t xml:space="preserve"> </w:t>
            </w:r>
            <w:r>
              <w:rPr>
                <w:sz w:val="14"/>
              </w:rPr>
              <w:t>network</w:t>
            </w:r>
          </w:p>
        </w:tc>
        <w:tc>
          <w:tcPr>
            <w:tcW w:w="4288" w:type="dxa"/>
            <w:vMerge/>
            <w:tcBorders>
              <w:top w:val="nil"/>
              <w:left w:val="single" w:sz="4" w:space="0" w:color="9C9C9D"/>
              <w:bottom w:val="single" w:sz="4" w:space="0" w:color="9C9C9D"/>
              <w:right w:val="nil"/>
            </w:tcBorders>
            <w:shd w:val="clear" w:color="auto" w:fill="EEEEEE"/>
          </w:tcPr>
          <w:p w:rsidR="002C1123" w:rsidRDefault="002C1123">
            <w:pPr>
              <w:rPr>
                <w:sz w:val="2"/>
                <w:szCs w:val="2"/>
              </w:rPr>
            </w:pPr>
          </w:p>
        </w:tc>
      </w:tr>
      <w:tr w:rsidR="002C1123">
        <w:trPr>
          <w:trHeight w:val="325"/>
        </w:trPr>
        <w:tc>
          <w:tcPr>
            <w:tcW w:w="1984" w:type="dxa"/>
            <w:vMerge w:val="restart"/>
            <w:tcBorders>
              <w:top w:val="single" w:sz="4" w:space="0" w:color="9C9C9D"/>
              <w:left w:val="nil"/>
              <w:bottom w:val="single" w:sz="8" w:space="0" w:color="9C9C9D"/>
              <w:right w:val="single" w:sz="4" w:space="0" w:color="9C9C9D"/>
            </w:tcBorders>
            <w:shd w:val="clear" w:color="auto" w:fill="EEEEEE"/>
          </w:tcPr>
          <w:p w:rsidR="002C1123" w:rsidRDefault="00F22F94">
            <w:pPr>
              <w:pStyle w:val="TableParagraph"/>
              <w:spacing w:before="63"/>
              <w:ind w:left="95" w:right="96"/>
              <w:jc w:val="center"/>
              <w:rPr>
                <w:b/>
                <w:sz w:val="20"/>
              </w:rPr>
            </w:pPr>
            <w:r>
              <w:rPr>
                <w:b/>
                <w:color w:val="2E3092"/>
                <w:sz w:val="20"/>
              </w:rPr>
              <w:t>Later</w:t>
            </w:r>
            <w:r>
              <w:rPr>
                <w:b/>
                <w:color w:val="2E3092"/>
                <w:spacing w:val="-15"/>
                <w:sz w:val="20"/>
              </w:rPr>
              <w:t xml:space="preserve"> </w:t>
            </w:r>
            <w:r>
              <w:rPr>
                <w:b/>
                <w:color w:val="9C9C9D"/>
                <w:sz w:val="20"/>
              </w:rPr>
              <w:t>(10-20</w:t>
            </w:r>
            <w:r>
              <w:rPr>
                <w:b/>
                <w:color w:val="9C9C9D"/>
                <w:spacing w:val="-15"/>
                <w:sz w:val="20"/>
              </w:rPr>
              <w:t xml:space="preserve"> </w:t>
            </w:r>
            <w:r>
              <w:rPr>
                <w:b/>
                <w:color w:val="9C9C9D"/>
                <w:spacing w:val="-2"/>
                <w:sz w:val="20"/>
              </w:rPr>
              <w:t>Years)</w:t>
            </w:r>
          </w:p>
          <w:p w:rsidR="002C1123" w:rsidRDefault="002C1123">
            <w:pPr>
              <w:pStyle w:val="TableParagraph"/>
              <w:spacing w:before="9"/>
              <w:ind w:left="0"/>
              <w:rPr>
                <w:rFonts w:ascii="Trebuchet MS"/>
                <w:sz w:val="12"/>
              </w:rPr>
            </w:pPr>
          </w:p>
          <w:p w:rsidR="002C1123" w:rsidRDefault="002060EF">
            <w:pPr>
              <w:pStyle w:val="TableParagraph"/>
              <w:spacing w:before="0"/>
              <w:ind w:left="529"/>
              <w:rPr>
                <w:rFonts w:ascii="Trebuchet MS"/>
                <w:sz w:val="20"/>
              </w:rPr>
            </w:pPr>
            <w:r>
              <w:rPr>
                <w:rFonts w:ascii="Trebuchet MS"/>
                <w:sz w:val="20"/>
              </w:rPr>
            </w:r>
            <w:r>
              <w:rPr>
                <w:rFonts w:ascii="Trebuchet MS"/>
                <w:sz w:val="20"/>
              </w:rPr>
              <w:pict>
                <v:group id="docshapegroup73" o:spid="_x0000_s5220" style="width:45.75pt;height:50.25pt;mso-position-horizontal-relative:char;mso-position-vertical-relative:line" coordsize="915,1005">
                  <v:shape id="docshape74" o:spid="_x0000_s5225" style="position:absolute;left:105;top:195;width:704;height:704" coordorigin="106,195" coordsize="704,704" path="m457,195r-71,8l320,223r-59,33l209,298r-43,52l133,410r-20,66l106,547r7,71l133,684r33,60l209,796r52,43l320,871r66,20l457,899r71,-8l594,871r60,-32l706,796r43,-52l781,684r21,-66l809,547r-7,-71l781,410,749,350,706,298,654,256,594,223,528,203r-71,-8xe" fillcolor="#b2b1b3" stroked="f">
                    <v:path arrowok="t"/>
                  </v:shape>
                  <v:shape id="docshape75" o:spid="_x0000_s5224" style="position:absolute;left:28;top:118;width:857;height:857" coordorigin="29,119" coordsize="857,857" path="m29,547r7,77l56,697r31,66l130,823r51,52l241,917r67,32l380,969r77,6l534,969r73,-20l673,917r60,-42l785,823r42,-60l859,697r20,-73l886,547r-7,-77l859,398,827,331,785,271,733,219,673,177,607,145,534,126r-77,-7l380,126r-72,19l241,177r-60,42l130,271,87,331,56,398,36,470r-7,77xe" filled="f" strokecolor="#2e3092" strokeweight="2.88pt">
                    <v:path arrowok="t"/>
                  </v:shape>
                  <v:shape id="docshape76" o:spid="_x0000_s5223" type="#_x0000_t75" style="position:absolute;left:536;top:3;width:328;height:233">
                    <v:imagedata r:id="rId29" o:title=""/>
                  </v:shape>
                  <v:shape id="docshape77" o:spid="_x0000_s5222" type="#_x0000_t75" style="position:absolute;left:45;width:321;height:236">
                    <v:imagedata r:id="rId31" o:title=""/>
                  </v:shape>
                  <v:line id="_x0000_s5221" style="position:absolute" from="457,545" to="457,215" strokecolor="#2e3092" strokeweight=".75778mm"/>
                  <w10:wrap type="none"/>
                  <w10:anchorlock/>
                </v:group>
              </w:pict>
            </w:r>
          </w:p>
          <w:p w:rsidR="002C1123" w:rsidRDefault="00F22F94">
            <w:pPr>
              <w:pStyle w:val="TableParagraph"/>
              <w:spacing w:before="164"/>
              <w:ind w:left="95" w:right="95"/>
              <w:jc w:val="center"/>
              <w:rPr>
                <w:b/>
                <w:sz w:val="16"/>
              </w:rPr>
            </w:pPr>
            <w:r>
              <w:rPr>
                <w:b/>
                <w:color w:val="2E3092"/>
                <w:sz w:val="16"/>
              </w:rPr>
              <w:t>2022-</w:t>
            </w:r>
            <w:r>
              <w:rPr>
                <w:b/>
                <w:color w:val="2E3092"/>
                <w:spacing w:val="-4"/>
                <w:sz w:val="16"/>
              </w:rPr>
              <w:t>2032</w:t>
            </w:r>
          </w:p>
        </w:tc>
        <w:tc>
          <w:tcPr>
            <w:tcW w:w="4288" w:type="dxa"/>
            <w:vMerge w:val="restart"/>
            <w:tcBorders>
              <w:top w:val="single" w:sz="4" w:space="0" w:color="9C9C9D"/>
              <w:left w:val="single" w:sz="4" w:space="0" w:color="9C9C9D"/>
              <w:bottom w:val="single" w:sz="8" w:space="0" w:color="9C9C9D"/>
              <w:right w:val="single" w:sz="4" w:space="0" w:color="9C9C9D"/>
            </w:tcBorders>
            <w:shd w:val="clear" w:color="auto" w:fill="EEEEEE"/>
          </w:tcPr>
          <w:p w:rsidR="002C1123" w:rsidRPr="00F22F94" w:rsidRDefault="00F22F94">
            <w:pPr>
              <w:pStyle w:val="TableParagraph"/>
              <w:numPr>
                <w:ilvl w:val="0"/>
                <w:numId w:val="176"/>
              </w:numPr>
              <w:tabs>
                <w:tab w:val="left" w:pos="209"/>
              </w:tabs>
              <w:spacing w:before="68" w:line="268" w:lineRule="auto"/>
              <w:ind w:right="1159"/>
              <w:rPr>
                <w:b/>
                <w:sz w:val="14"/>
                <w:highlight w:val="yellow"/>
              </w:rPr>
            </w:pPr>
            <w:r w:rsidRPr="00F22F94">
              <w:rPr>
                <w:rFonts w:ascii="Tahoma" w:hAnsi="Tahoma"/>
                <w:b/>
                <w:w w:val="95"/>
                <w:sz w:val="14"/>
                <w:highlight w:val="yellow"/>
              </w:rPr>
              <w:t xml:space="preserve">Introduce metro-style rapid transit services from </w:t>
            </w:r>
            <w:r w:rsidRPr="00F22F94">
              <w:rPr>
                <w:b/>
                <w:w w:val="95"/>
                <w:sz w:val="14"/>
                <w:highlight w:val="yellow"/>
              </w:rPr>
              <w:t>to Strathfield Chatswood via the Harbour Bridge</w:t>
            </w:r>
          </w:p>
          <w:p w:rsidR="002C1123" w:rsidRPr="00F22F94" w:rsidRDefault="00F22F94">
            <w:pPr>
              <w:pStyle w:val="TableParagraph"/>
              <w:spacing w:before="0" w:line="160" w:lineRule="exact"/>
              <w:ind w:left="208"/>
              <w:rPr>
                <w:b/>
                <w:sz w:val="14"/>
              </w:rPr>
            </w:pPr>
            <w:r w:rsidRPr="00F22F94">
              <w:rPr>
                <w:b/>
                <w:w w:val="95"/>
                <w:sz w:val="14"/>
                <w:highlight w:val="yellow"/>
              </w:rPr>
              <w:t>-</w:t>
            </w:r>
            <w:r w:rsidRPr="00F22F94">
              <w:rPr>
                <w:b/>
                <w:sz w:val="14"/>
                <w:highlight w:val="yellow"/>
              </w:rPr>
              <w:t xml:space="preserve"> </w:t>
            </w:r>
            <w:r w:rsidRPr="00F22F94">
              <w:rPr>
                <w:b/>
                <w:w w:val="95"/>
                <w:sz w:val="14"/>
                <w:highlight w:val="yellow"/>
              </w:rPr>
              <w:t>extend</w:t>
            </w:r>
            <w:r w:rsidRPr="00F22F94">
              <w:rPr>
                <w:b/>
                <w:sz w:val="14"/>
                <w:highlight w:val="yellow"/>
              </w:rPr>
              <w:t xml:space="preserve"> </w:t>
            </w:r>
            <w:r w:rsidRPr="00F22F94">
              <w:rPr>
                <w:b/>
                <w:w w:val="95"/>
                <w:sz w:val="14"/>
                <w:highlight w:val="yellow"/>
              </w:rPr>
              <w:t>NWRL</w:t>
            </w:r>
            <w:r w:rsidRPr="00F22F94">
              <w:rPr>
                <w:b/>
                <w:spacing w:val="1"/>
                <w:sz w:val="14"/>
                <w:highlight w:val="yellow"/>
              </w:rPr>
              <w:t xml:space="preserve"> </w:t>
            </w:r>
            <w:r w:rsidRPr="00F22F94">
              <w:rPr>
                <w:b/>
                <w:spacing w:val="-2"/>
                <w:w w:val="95"/>
                <w:sz w:val="14"/>
                <w:highlight w:val="yellow"/>
              </w:rPr>
              <w:t>services</w:t>
            </w:r>
          </w:p>
          <w:p w:rsidR="002C1123" w:rsidRDefault="00F22F94">
            <w:pPr>
              <w:pStyle w:val="TableParagraph"/>
              <w:numPr>
                <w:ilvl w:val="0"/>
                <w:numId w:val="176"/>
              </w:numPr>
              <w:tabs>
                <w:tab w:val="left" w:pos="209"/>
              </w:tabs>
              <w:spacing w:before="39" w:line="268" w:lineRule="auto"/>
              <w:ind w:right="1482" w:hanging="101"/>
              <w:rPr>
                <w:sz w:val="14"/>
              </w:rPr>
            </w:pPr>
            <w:r>
              <w:rPr>
                <w:rFonts w:ascii="Tahoma" w:hAnsi="Tahoma"/>
                <w:w w:val="95"/>
                <w:sz w:val="14"/>
              </w:rPr>
              <w:t xml:space="preserve">Plan Eastern Suburbs Railway extension to </w:t>
            </w:r>
            <w:r>
              <w:rPr>
                <w:sz w:val="14"/>
              </w:rPr>
              <w:t>Randwick and Maroubra</w:t>
            </w:r>
          </w:p>
          <w:p w:rsidR="002C1123" w:rsidRDefault="00F22F94">
            <w:pPr>
              <w:pStyle w:val="TableParagraph"/>
              <w:numPr>
                <w:ilvl w:val="0"/>
                <w:numId w:val="176"/>
              </w:numPr>
              <w:tabs>
                <w:tab w:val="left" w:pos="209"/>
              </w:tabs>
              <w:spacing w:before="18"/>
              <w:ind w:hanging="101"/>
              <w:rPr>
                <w:rFonts w:ascii="Tahoma" w:hAnsi="Tahoma"/>
                <w:sz w:val="14"/>
              </w:rPr>
            </w:pPr>
            <w:r>
              <w:rPr>
                <w:rFonts w:ascii="Tahoma" w:hAnsi="Tahoma"/>
                <w:w w:val="95"/>
                <w:sz w:val="14"/>
              </w:rPr>
              <w:t>Continue</w:t>
            </w:r>
            <w:r>
              <w:rPr>
                <w:rFonts w:ascii="Tahoma" w:hAnsi="Tahoma"/>
                <w:spacing w:val="4"/>
                <w:sz w:val="14"/>
              </w:rPr>
              <w:t xml:space="preserve"> </w:t>
            </w:r>
            <w:r>
              <w:rPr>
                <w:rFonts w:ascii="Tahoma" w:hAnsi="Tahoma"/>
                <w:w w:val="95"/>
                <w:sz w:val="14"/>
              </w:rPr>
              <w:t>investment</w:t>
            </w:r>
            <w:r>
              <w:rPr>
                <w:rFonts w:ascii="Tahoma" w:hAnsi="Tahoma"/>
                <w:spacing w:val="5"/>
                <w:sz w:val="14"/>
              </w:rPr>
              <w:t xml:space="preserve"> </w:t>
            </w:r>
            <w:r>
              <w:rPr>
                <w:rFonts w:ascii="Tahoma" w:hAnsi="Tahoma"/>
                <w:w w:val="95"/>
                <w:sz w:val="14"/>
              </w:rPr>
              <w:t>in</w:t>
            </w:r>
            <w:r>
              <w:rPr>
                <w:rFonts w:ascii="Tahoma" w:hAnsi="Tahoma"/>
                <w:spacing w:val="5"/>
                <w:sz w:val="14"/>
              </w:rPr>
              <w:t xml:space="preserve"> </w:t>
            </w:r>
            <w:r>
              <w:rPr>
                <w:rFonts w:ascii="Tahoma" w:hAnsi="Tahoma"/>
                <w:w w:val="95"/>
                <w:sz w:val="14"/>
              </w:rPr>
              <w:t>Sydney’s</w:t>
            </w:r>
            <w:r>
              <w:rPr>
                <w:rFonts w:ascii="Tahoma" w:hAnsi="Tahoma"/>
                <w:spacing w:val="5"/>
                <w:sz w:val="14"/>
              </w:rPr>
              <w:t xml:space="preserve"> </w:t>
            </w:r>
            <w:r>
              <w:rPr>
                <w:rFonts w:ascii="Tahoma" w:hAnsi="Tahoma"/>
                <w:w w:val="95"/>
                <w:sz w:val="14"/>
              </w:rPr>
              <w:t>Arts</w:t>
            </w:r>
            <w:r>
              <w:rPr>
                <w:rFonts w:ascii="Tahoma" w:hAnsi="Tahoma"/>
                <w:spacing w:val="5"/>
                <w:sz w:val="14"/>
              </w:rPr>
              <w:t xml:space="preserve"> </w:t>
            </w:r>
            <w:r>
              <w:rPr>
                <w:rFonts w:ascii="Tahoma" w:hAnsi="Tahoma"/>
                <w:spacing w:val="-2"/>
                <w:w w:val="95"/>
                <w:sz w:val="14"/>
              </w:rPr>
              <w:t>Ribbon</w:t>
            </w:r>
          </w:p>
        </w:tc>
        <w:tc>
          <w:tcPr>
            <w:tcW w:w="8576" w:type="dxa"/>
            <w:gridSpan w:val="2"/>
            <w:tcBorders>
              <w:top w:val="single" w:sz="4" w:space="0" w:color="9C9C9D"/>
              <w:left w:val="single" w:sz="4" w:space="0" w:color="9C9C9D"/>
              <w:bottom w:val="single" w:sz="4" w:space="0" w:color="9C9C9D"/>
              <w:right w:val="nil"/>
            </w:tcBorders>
            <w:shd w:val="clear" w:color="auto" w:fill="EEEEEE"/>
          </w:tcPr>
          <w:p w:rsidR="002C1123" w:rsidRDefault="00F22F94">
            <w:pPr>
              <w:pStyle w:val="TableParagraph"/>
              <w:numPr>
                <w:ilvl w:val="0"/>
                <w:numId w:val="175"/>
              </w:numPr>
              <w:tabs>
                <w:tab w:val="left" w:pos="2931"/>
              </w:tabs>
              <w:spacing w:before="68"/>
              <w:ind w:hanging="101"/>
              <w:rPr>
                <w:rFonts w:ascii="Tahoma" w:hAnsi="Tahoma"/>
                <w:sz w:val="14"/>
              </w:rPr>
            </w:pPr>
            <w:r>
              <w:rPr>
                <w:rFonts w:ascii="Tahoma" w:hAnsi="Tahoma"/>
                <w:w w:val="95"/>
                <w:sz w:val="14"/>
              </w:rPr>
              <w:t>Construct</w:t>
            </w:r>
            <w:r>
              <w:rPr>
                <w:rFonts w:ascii="Tahoma" w:hAnsi="Tahoma"/>
                <w:spacing w:val="3"/>
                <w:sz w:val="14"/>
              </w:rPr>
              <w:t xml:space="preserve"> </w:t>
            </w:r>
            <w:r>
              <w:rPr>
                <w:rFonts w:ascii="Tahoma" w:hAnsi="Tahoma"/>
                <w:w w:val="95"/>
                <w:sz w:val="14"/>
              </w:rPr>
              <w:t>the</w:t>
            </w:r>
            <w:r>
              <w:rPr>
                <w:rFonts w:ascii="Tahoma" w:hAnsi="Tahoma"/>
                <w:spacing w:val="4"/>
                <w:sz w:val="14"/>
              </w:rPr>
              <w:t xml:space="preserve"> </w:t>
            </w:r>
            <w:r>
              <w:rPr>
                <w:rFonts w:ascii="Tahoma" w:hAnsi="Tahoma"/>
                <w:w w:val="95"/>
                <w:sz w:val="14"/>
              </w:rPr>
              <w:t>F6</w:t>
            </w:r>
            <w:r>
              <w:rPr>
                <w:rFonts w:ascii="Tahoma" w:hAnsi="Tahoma"/>
                <w:spacing w:val="4"/>
                <w:sz w:val="14"/>
              </w:rPr>
              <w:t xml:space="preserve"> </w:t>
            </w:r>
            <w:r>
              <w:rPr>
                <w:rFonts w:ascii="Tahoma" w:hAnsi="Tahoma"/>
                <w:w w:val="95"/>
                <w:sz w:val="14"/>
              </w:rPr>
              <w:t>Extension:</w:t>
            </w:r>
            <w:r>
              <w:rPr>
                <w:rFonts w:ascii="Tahoma" w:hAnsi="Tahoma"/>
                <w:spacing w:val="4"/>
                <w:sz w:val="14"/>
              </w:rPr>
              <w:t xml:space="preserve"> </w:t>
            </w:r>
            <w:r>
              <w:rPr>
                <w:rFonts w:ascii="Tahoma" w:hAnsi="Tahoma"/>
                <w:w w:val="95"/>
                <w:sz w:val="14"/>
              </w:rPr>
              <w:t>Sydney</w:t>
            </w:r>
            <w:r>
              <w:rPr>
                <w:rFonts w:ascii="Tahoma" w:hAnsi="Tahoma"/>
                <w:spacing w:val="4"/>
                <w:sz w:val="14"/>
              </w:rPr>
              <w:t xml:space="preserve"> </w:t>
            </w:r>
            <w:r>
              <w:rPr>
                <w:rFonts w:ascii="Tahoma" w:hAnsi="Tahoma"/>
                <w:w w:val="95"/>
                <w:sz w:val="14"/>
              </w:rPr>
              <w:t>Airport</w:t>
            </w:r>
            <w:r>
              <w:rPr>
                <w:rFonts w:ascii="Tahoma" w:hAnsi="Tahoma"/>
                <w:spacing w:val="4"/>
                <w:sz w:val="14"/>
              </w:rPr>
              <w:t xml:space="preserve"> </w:t>
            </w:r>
            <w:r>
              <w:rPr>
                <w:rFonts w:ascii="Tahoma" w:hAnsi="Tahoma"/>
                <w:w w:val="95"/>
                <w:sz w:val="14"/>
              </w:rPr>
              <w:t>to</w:t>
            </w:r>
            <w:r>
              <w:rPr>
                <w:rFonts w:ascii="Tahoma" w:hAnsi="Tahoma"/>
                <w:spacing w:val="4"/>
                <w:sz w:val="14"/>
              </w:rPr>
              <w:t xml:space="preserve"> </w:t>
            </w:r>
            <w:r>
              <w:rPr>
                <w:rFonts w:ascii="Tahoma" w:hAnsi="Tahoma"/>
                <w:spacing w:val="-2"/>
                <w:w w:val="95"/>
                <w:sz w:val="14"/>
              </w:rPr>
              <w:t>Waterfall</w:t>
            </w:r>
          </w:p>
        </w:tc>
      </w:tr>
      <w:tr w:rsidR="002C1123">
        <w:trPr>
          <w:trHeight w:val="1534"/>
        </w:trPr>
        <w:tc>
          <w:tcPr>
            <w:tcW w:w="1984" w:type="dxa"/>
            <w:vMerge/>
            <w:tcBorders>
              <w:top w:val="nil"/>
              <w:left w:val="nil"/>
              <w:bottom w:val="single" w:sz="8" w:space="0" w:color="9C9C9D"/>
              <w:right w:val="single" w:sz="4" w:space="0" w:color="9C9C9D"/>
            </w:tcBorders>
            <w:shd w:val="clear" w:color="auto" w:fill="EEEEEE"/>
          </w:tcPr>
          <w:p w:rsidR="002C1123" w:rsidRDefault="002C1123">
            <w:pPr>
              <w:rPr>
                <w:sz w:val="2"/>
                <w:szCs w:val="2"/>
              </w:rPr>
            </w:pPr>
          </w:p>
        </w:tc>
        <w:tc>
          <w:tcPr>
            <w:tcW w:w="4288" w:type="dxa"/>
            <w:vMerge/>
            <w:tcBorders>
              <w:top w:val="nil"/>
              <w:left w:val="single" w:sz="4" w:space="0" w:color="9C9C9D"/>
              <w:bottom w:val="single" w:sz="8" w:space="0" w:color="9C9C9D"/>
              <w:right w:val="single" w:sz="4" w:space="0" w:color="9C9C9D"/>
            </w:tcBorders>
            <w:shd w:val="clear" w:color="auto" w:fill="EEEEEE"/>
          </w:tcPr>
          <w:p w:rsidR="002C1123" w:rsidRDefault="002C1123">
            <w:pPr>
              <w:rPr>
                <w:sz w:val="2"/>
                <w:szCs w:val="2"/>
              </w:rPr>
            </w:pPr>
          </w:p>
        </w:tc>
        <w:tc>
          <w:tcPr>
            <w:tcW w:w="4288" w:type="dxa"/>
            <w:tcBorders>
              <w:top w:val="single" w:sz="4" w:space="0" w:color="9C9C9D"/>
              <w:left w:val="single" w:sz="4" w:space="0" w:color="9C9C9D"/>
              <w:bottom w:val="single" w:sz="8" w:space="0" w:color="9C9C9D"/>
              <w:right w:val="single" w:sz="4" w:space="0" w:color="9C9C9D"/>
            </w:tcBorders>
            <w:shd w:val="clear" w:color="auto" w:fill="EEEEEE"/>
          </w:tcPr>
          <w:p w:rsidR="002C1123" w:rsidRDefault="00F22F94">
            <w:pPr>
              <w:pStyle w:val="TableParagraph"/>
              <w:numPr>
                <w:ilvl w:val="0"/>
                <w:numId w:val="174"/>
              </w:numPr>
              <w:tabs>
                <w:tab w:val="left" w:pos="209"/>
              </w:tabs>
              <w:spacing w:before="63" w:line="268" w:lineRule="auto"/>
              <w:ind w:right="1015"/>
              <w:rPr>
                <w:sz w:val="14"/>
              </w:rPr>
            </w:pPr>
            <w:r>
              <w:rPr>
                <w:rFonts w:ascii="Tahoma" w:hAnsi="Tahoma"/>
                <w:w w:val="95"/>
                <w:sz w:val="14"/>
              </w:rPr>
              <w:t xml:space="preserve">Construct a transitway from Parramatta to Epping/ </w:t>
            </w:r>
            <w:r>
              <w:rPr>
                <w:sz w:val="14"/>
              </w:rPr>
              <w:t>Macquarie</w:t>
            </w:r>
            <w:r>
              <w:rPr>
                <w:spacing w:val="-10"/>
                <w:sz w:val="14"/>
              </w:rPr>
              <w:t xml:space="preserve"> </w:t>
            </w:r>
            <w:r>
              <w:rPr>
                <w:sz w:val="14"/>
              </w:rPr>
              <w:t>Park</w:t>
            </w:r>
          </w:p>
          <w:p w:rsidR="002C1123" w:rsidRDefault="00F22F94">
            <w:pPr>
              <w:pStyle w:val="TableParagraph"/>
              <w:numPr>
                <w:ilvl w:val="0"/>
                <w:numId w:val="174"/>
              </w:numPr>
              <w:tabs>
                <w:tab w:val="left" w:pos="209"/>
              </w:tabs>
              <w:spacing w:before="19"/>
              <w:ind w:hanging="101"/>
              <w:rPr>
                <w:rFonts w:ascii="Tahoma" w:hAnsi="Tahoma"/>
                <w:sz w:val="14"/>
              </w:rPr>
            </w:pPr>
            <w:r>
              <w:rPr>
                <w:rFonts w:ascii="Tahoma" w:hAnsi="Tahoma"/>
                <w:w w:val="95"/>
                <w:sz w:val="14"/>
              </w:rPr>
              <w:t>Plan</w:t>
            </w:r>
            <w:r>
              <w:rPr>
                <w:rFonts w:ascii="Tahoma" w:hAnsi="Tahoma"/>
                <w:spacing w:val="6"/>
                <w:sz w:val="14"/>
              </w:rPr>
              <w:t xml:space="preserve"> </w:t>
            </w:r>
            <w:r>
              <w:rPr>
                <w:rFonts w:ascii="Tahoma" w:hAnsi="Tahoma"/>
                <w:w w:val="95"/>
                <w:sz w:val="14"/>
              </w:rPr>
              <w:t>Western</w:t>
            </w:r>
            <w:r>
              <w:rPr>
                <w:rFonts w:ascii="Tahoma" w:hAnsi="Tahoma"/>
                <w:spacing w:val="7"/>
                <w:sz w:val="14"/>
              </w:rPr>
              <w:t xml:space="preserve"> </w:t>
            </w:r>
            <w:r>
              <w:rPr>
                <w:rFonts w:ascii="Tahoma" w:hAnsi="Tahoma"/>
                <w:w w:val="95"/>
                <w:sz w:val="14"/>
              </w:rPr>
              <w:t>Sydney</w:t>
            </w:r>
            <w:r>
              <w:rPr>
                <w:rFonts w:ascii="Tahoma" w:hAnsi="Tahoma"/>
                <w:spacing w:val="7"/>
                <w:sz w:val="14"/>
              </w:rPr>
              <w:t xml:space="preserve"> </w:t>
            </w:r>
            <w:r>
              <w:rPr>
                <w:rFonts w:ascii="Tahoma" w:hAnsi="Tahoma"/>
                <w:w w:val="95"/>
                <w:sz w:val="14"/>
              </w:rPr>
              <w:t>Regional</w:t>
            </w:r>
            <w:r>
              <w:rPr>
                <w:rFonts w:ascii="Tahoma" w:hAnsi="Tahoma"/>
                <w:spacing w:val="7"/>
                <w:sz w:val="14"/>
              </w:rPr>
              <w:t xml:space="preserve"> </w:t>
            </w:r>
            <w:r>
              <w:rPr>
                <w:rFonts w:ascii="Tahoma" w:hAnsi="Tahoma"/>
                <w:spacing w:val="-2"/>
                <w:w w:val="95"/>
                <w:sz w:val="14"/>
              </w:rPr>
              <w:t>Airport</w:t>
            </w:r>
          </w:p>
        </w:tc>
        <w:tc>
          <w:tcPr>
            <w:tcW w:w="4288" w:type="dxa"/>
            <w:tcBorders>
              <w:top w:val="single" w:sz="4" w:space="0" w:color="9C9C9D"/>
              <w:left w:val="single" w:sz="4" w:space="0" w:color="9C9C9D"/>
              <w:bottom w:val="single" w:sz="8" w:space="0" w:color="9C9C9D"/>
              <w:right w:val="nil"/>
            </w:tcBorders>
            <w:shd w:val="clear" w:color="auto" w:fill="EEEEEE"/>
          </w:tcPr>
          <w:p w:rsidR="002C1123" w:rsidRDefault="00F22F94">
            <w:pPr>
              <w:pStyle w:val="TableParagraph"/>
              <w:numPr>
                <w:ilvl w:val="0"/>
                <w:numId w:val="173"/>
              </w:numPr>
              <w:tabs>
                <w:tab w:val="left" w:pos="209"/>
              </w:tabs>
              <w:spacing w:before="63" w:line="268" w:lineRule="auto"/>
              <w:ind w:right="1176"/>
              <w:rPr>
                <w:sz w:val="14"/>
              </w:rPr>
            </w:pPr>
            <w:r>
              <w:rPr>
                <w:rFonts w:ascii="Tahoma" w:hAnsi="Tahoma"/>
                <w:w w:val="95"/>
                <w:sz w:val="14"/>
              </w:rPr>
              <w:t xml:space="preserve">Mainline Rail Acceleration: Newcastle to Sydney </w:t>
            </w:r>
            <w:r>
              <w:rPr>
                <w:sz w:val="14"/>
              </w:rPr>
              <w:t>(target two hour journey times)</w:t>
            </w:r>
          </w:p>
          <w:p w:rsidR="002C1123" w:rsidRDefault="00F22F94">
            <w:pPr>
              <w:pStyle w:val="TableParagraph"/>
              <w:numPr>
                <w:ilvl w:val="0"/>
                <w:numId w:val="173"/>
              </w:numPr>
              <w:tabs>
                <w:tab w:val="left" w:pos="209"/>
              </w:tabs>
              <w:spacing w:before="19"/>
              <w:ind w:hanging="101"/>
              <w:rPr>
                <w:rFonts w:ascii="Tahoma" w:hAnsi="Tahoma"/>
                <w:sz w:val="14"/>
              </w:rPr>
            </w:pPr>
            <w:r>
              <w:rPr>
                <w:rFonts w:ascii="Tahoma" w:hAnsi="Tahoma"/>
                <w:w w:val="95"/>
                <w:sz w:val="14"/>
              </w:rPr>
              <w:t>Maldon</w:t>
            </w:r>
            <w:r>
              <w:rPr>
                <w:rFonts w:ascii="Tahoma" w:hAnsi="Tahoma"/>
                <w:spacing w:val="-1"/>
                <w:w w:val="95"/>
                <w:sz w:val="14"/>
              </w:rPr>
              <w:t xml:space="preserve"> </w:t>
            </w:r>
            <w:r>
              <w:rPr>
                <w:rFonts w:ascii="Tahoma" w:hAnsi="Tahoma"/>
                <w:w w:val="95"/>
                <w:sz w:val="14"/>
              </w:rPr>
              <w:t>to</w:t>
            </w:r>
            <w:r>
              <w:rPr>
                <w:rFonts w:ascii="Tahoma" w:hAnsi="Tahoma"/>
                <w:spacing w:val="-2"/>
                <w:sz w:val="14"/>
              </w:rPr>
              <w:t xml:space="preserve"> </w:t>
            </w:r>
            <w:r>
              <w:rPr>
                <w:rFonts w:ascii="Tahoma" w:hAnsi="Tahoma"/>
                <w:w w:val="95"/>
                <w:sz w:val="14"/>
              </w:rPr>
              <w:t>Dombarton</w:t>
            </w:r>
            <w:r>
              <w:rPr>
                <w:rFonts w:ascii="Tahoma" w:hAnsi="Tahoma"/>
                <w:spacing w:val="-2"/>
                <w:sz w:val="14"/>
              </w:rPr>
              <w:t xml:space="preserve"> </w:t>
            </w:r>
            <w:r>
              <w:rPr>
                <w:rFonts w:ascii="Tahoma" w:hAnsi="Tahoma"/>
                <w:w w:val="95"/>
                <w:sz w:val="14"/>
              </w:rPr>
              <w:t>rail</w:t>
            </w:r>
            <w:r>
              <w:rPr>
                <w:rFonts w:ascii="Tahoma" w:hAnsi="Tahoma"/>
                <w:spacing w:val="-2"/>
                <w:sz w:val="14"/>
              </w:rPr>
              <w:t xml:space="preserve"> </w:t>
            </w:r>
            <w:r>
              <w:rPr>
                <w:rFonts w:ascii="Tahoma" w:hAnsi="Tahoma"/>
                <w:w w:val="95"/>
                <w:sz w:val="14"/>
              </w:rPr>
              <w:t>freight</w:t>
            </w:r>
            <w:r>
              <w:rPr>
                <w:rFonts w:ascii="Tahoma" w:hAnsi="Tahoma"/>
                <w:spacing w:val="-3"/>
                <w:sz w:val="14"/>
              </w:rPr>
              <w:t xml:space="preserve"> </w:t>
            </w:r>
            <w:r>
              <w:rPr>
                <w:rFonts w:ascii="Tahoma" w:hAnsi="Tahoma"/>
                <w:spacing w:val="-4"/>
                <w:w w:val="95"/>
                <w:sz w:val="14"/>
              </w:rPr>
              <w:t>line</w:t>
            </w:r>
          </w:p>
          <w:p w:rsidR="002C1123" w:rsidRDefault="00F22F94">
            <w:pPr>
              <w:pStyle w:val="TableParagraph"/>
              <w:numPr>
                <w:ilvl w:val="0"/>
                <w:numId w:val="173"/>
              </w:numPr>
              <w:tabs>
                <w:tab w:val="left" w:pos="209"/>
              </w:tabs>
              <w:spacing w:before="39"/>
              <w:ind w:hanging="101"/>
              <w:rPr>
                <w:rFonts w:ascii="Tahoma" w:hAnsi="Tahoma"/>
                <w:sz w:val="14"/>
              </w:rPr>
            </w:pPr>
            <w:r>
              <w:rPr>
                <w:rFonts w:ascii="Tahoma" w:hAnsi="Tahoma"/>
                <w:w w:val="95"/>
                <w:sz w:val="14"/>
              </w:rPr>
              <w:t>Augment</w:t>
            </w:r>
            <w:r>
              <w:rPr>
                <w:rFonts w:ascii="Tahoma" w:hAnsi="Tahoma"/>
                <w:spacing w:val="1"/>
                <w:sz w:val="14"/>
              </w:rPr>
              <w:t xml:space="preserve"> </w:t>
            </w:r>
            <w:r>
              <w:rPr>
                <w:rFonts w:ascii="Tahoma" w:hAnsi="Tahoma"/>
                <w:w w:val="95"/>
                <w:sz w:val="14"/>
              </w:rPr>
              <w:t>interstate</w:t>
            </w:r>
            <w:r>
              <w:rPr>
                <w:rFonts w:ascii="Tahoma" w:hAnsi="Tahoma"/>
                <w:spacing w:val="2"/>
                <w:sz w:val="14"/>
              </w:rPr>
              <w:t xml:space="preserve"> </w:t>
            </w:r>
            <w:r>
              <w:rPr>
                <w:rFonts w:ascii="Tahoma" w:hAnsi="Tahoma"/>
                <w:w w:val="95"/>
                <w:sz w:val="14"/>
              </w:rPr>
              <w:t>gas</w:t>
            </w:r>
            <w:r>
              <w:rPr>
                <w:rFonts w:ascii="Tahoma" w:hAnsi="Tahoma"/>
                <w:spacing w:val="2"/>
                <w:sz w:val="14"/>
              </w:rPr>
              <w:t xml:space="preserve"> </w:t>
            </w:r>
            <w:r>
              <w:rPr>
                <w:rFonts w:ascii="Tahoma" w:hAnsi="Tahoma"/>
                <w:w w:val="95"/>
                <w:sz w:val="14"/>
              </w:rPr>
              <w:t>and</w:t>
            </w:r>
            <w:r>
              <w:rPr>
                <w:rFonts w:ascii="Tahoma" w:hAnsi="Tahoma"/>
                <w:spacing w:val="1"/>
                <w:sz w:val="14"/>
              </w:rPr>
              <w:t xml:space="preserve"> </w:t>
            </w:r>
            <w:r>
              <w:rPr>
                <w:rFonts w:ascii="Tahoma" w:hAnsi="Tahoma"/>
                <w:w w:val="95"/>
                <w:sz w:val="14"/>
              </w:rPr>
              <w:t>electricity</w:t>
            </w:r>
            <w:r>
              <w:rPr>
                <w:rFonts w:ascii="Tahoma" w:hAnsi="Tahoma"/>
                <w:spacing w:val="2"/>
                <w:sz w:val="14"/>
              </w:rPr>
              <w:t xml:space="preserve"> </w:t>
            </w:r>
            <w:r>
              <w:rPr>
                <w:rFonts w:ascii="Tahoma" w:hAnsi="Tahoma"/>
                <w:spacing w:val="-2"/>
                <w:w w:val="95"/>
                <w:sz w:val="14"/>
              </w:rPr>
              <w:t>transmission</w:t>
            </w:r>
          </w:p>
        </w:tc>
      </w:tr>
    </w:tbl>
    <w:p w:rsidR="002C1123" w:rsidRDefault="002C1123">
      <w:pPr>
        <w:rPr>
          <w:rFonts w:ascii="Tahoma" w:hAnsi="Tahoma"/>
          <w:sz w:val="14"/>
        </w:rPr>
        <w:sectPr w:rsidR="002C1123">
          <w:headerReference w:type="default" r:id="rId32"/>
          <w:footerReference w:type="default" r:id="rId33"/>
          <w:pgSz w:w="16840" w:h="11910" w:orient="landscape"/>
          <w:pgMar w:top="560" w:right="280" w:bottom="720" w:left="500" w:header="0" w:footer="531" w:gutter="0"/>
          <w:cols w:space="720"/>
        </w:sectPr>
      </w:pPr>
    </w:p>
    <w:p w:rsidR="002C1123" w:rsidRDefault="00F22F94">
      <w:pPr>
        <w:tabs>
          <w:tab w:val="left" w:pos="1187"/>
          <w:tab w:val="left" w:pos="2315"/>
          <w:tab w:val="left" w:pos="14023"/>
          <w:tab w:val="left" w:pos="14644"/>
        </w:tabs>
        <w:ind w:left="472"/>
        <w:rPr>
          <w:rFonts w:ascii="Trebuchet MS"/>
          <w:sz w:val="20"/>
        </w:rPr>
      </w:pPr>
      <w:bookmarkStart w:id="29" w:name="The_Context"/>
      <w:bookmarkStart w:id="30" w:name="_bookmark21"/>
      <w:bookmarkEnd w:id="29"/>
      <w:bookmarkEnd w:id="30"/>
      <w:r>
        <w:rPr>
          <w:rFonts w:ascii="Trebuchet MS"/>
          <w:noProof/>
          <w:position w:val="1"/>
          <w:sz w:val="20"/>
        </w:rPr>
        <w:lastRenderedPageBreak/>
        <w:drawing>
          <wp:inline distT="0" distB="0" distL="0" distR="0">
            <wp:extent cx="250303" cy="196024"/>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11" cstate="print"/>
                    <a:stretch>
                      <a:fillRect/>
                    </a:stretch>
                  </pic:blipFill>
                  <pic:spPr>
                    <a:xfrm>
                      <a:off x="0" y="0"/>
                      <a:ext cx="250303" cy="196024"/>
                    </a:xfrm>
                    <a:prstGeom prst="rect">
                      <a:avLst/>
                    </a:prstGeom>
                  </pic:spPr>
                </pic:pic>
              </a:graphicData>
            </a:graphic>
          </wp:inline>
        </w:drawing>
      </w:r>
      <w:r>
        <w:rPr>
          <w:rFonts w:ascii="Trebuchet MS"/>
          <w:position w:val="1"/>
          <w:sz w:val="20"/>
        </w:rPr>
        <w:tab/>
      </w:r>
      <w:r>
        <w:rPr>
          <w:rFonts w:ascii="Trebuchet MS"/>
          <w:noProof/>
          <w:sz w:val="20"/>
        </w:rPr>
        <w:drawing>
          <wp:inline distT="0" distB="0" distL="0" distR="0">
            <wp:extent cx="200190" cy="200025"/>
            <wp:effectExtent l="0" t="0" r="0" b="0"/>
            <wp:docPr id="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png"/>
                    <pic:cNvPicPr/>
                  </pic:nvPicPr>
                  <pic:blipFill>
                    <a:blip r:embed="rId12" cstate="print"/>
                    <a:stretch>
                      <a:fillRect/>
                    </a:stretch>
                  </pic:blipFill>
                  <pic:spPr>
                    <a:xfrm>
                      <a:off x="0" y="0"/>
                      <a:ext cx="200190" cy="200025"/>
                    </a:xfrm>
                    <a:prstGeom prst="rect">
                      <a:avLst/>
                    </a:prstGeom>
                  </pic:spPr>
                </pic:pic>
              </a:graphicData>
            </a:graphic>
          </wp:inline>
        </w:drawing>
      </w:r>
      <w:r>
        <w:rPr>
          <w:rFonts w:ascii="Trebuchet MS"/>
          <w:sz w:val="20"/>
        </w:rPr>
        <w:tab/>
      </w:r>
      <w:r w:rsidR="002060EF">
        <w:rPr>
          <w:rFonts w:ascii="Trebuchet MS"/>
          <w:position w:val="1"/>
          <w:sz w:val="20"/>
        </w:rPr>
      </w:r>
      <w:r w:rsidR="002060EF">
        <w:rPr>
          <w:rFonts w:ascii="Trebuchet MS"/>
          <w:position w:val="1"/>
          <w:sz w:val="20"/>
        </w:rPr>
        <w:pict>
          <v:group id="docshapegroup78" o:spid="_x0000_s5218" style="width:15.35pt;height:15.35pt;mso-position-horizontal-relative:char;mso-position-vertical-relative:line" coordsize="307,307">
            <v:shape id="docshape79" o:spid="_x0000_s5219" style="position:absolute;width:307;height:307" coordsize="307,307" o:spt="100" adj="0,,0" path="m240,133r-173,l67,173r173,l240,133xm306,153l294,94,280,72r,81l270,202r-27,41l202,270r-49,10l104,270,64,243,37,202,27,153,37,104,64,64,104,37,153,27r49,10l243,64r27,40l280,153r,-81l261,45,234,27,213,12,153,,94,12,45,45,12,94,,153r12,60l45,261r49,33l153,306r60,-12l234,280r27,-19l294,213r12,-60xe" stroked="f">
              <v:stroke joinstyle="round"/>
              <v:formulas/>
              <v:path arrowok="t" o:connecttype="segments"/>
            </v:shape>
            <w10:anchorlock/>
          </v:group>
        </w:pict>
      </w:r>
      <w:r>
        <w:rPr>
          <w:rFonts w:ascii="Times New Roman"/>
          <w:spacing w:val="60"/>
          <w:position w:val="1"/>
          <w:sz w:val="20"/>
        </w:rPr>
        <w:t xml:space="preserve"> </w:t>
      </w:r>
      <w:r>
        <w:rPr>
          <w:rFonts w:ascii="Trebuchet MS"/>
          <w:noProof/>
          <w:spacing w:val="60"/>
          <w:sz w:val="20"/>
        </w:rPr>
        <w:drawing>
          <wp:inline distT="0" distB="0" distL="0" distR="0">
            <wp:extent cx="195276" cy="195262"/>
            <wp:effectExtent l="0" t="0" r="0" b="0"/>
            <wp:docPr id="3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3.png"/>
                    <pic:cNvPicPr/>
                  </pic:nvPicPr>
                  <pic:blipFill>
                    <a:blip r:embed="rId13" cstate="print"/>
                    <a:stretch>
                      <a:fillRect/>
                    </a:stretch>
                  </pic:blipFill>
                  <pic:spPr>
                    <a:xfrm>
                      <a:off x="0" y="0"/>
                      <a:ext cx="195276" cy="195262"/>
                    </a:xfrm>
                    <a:prstGeom prst="rect">
                      <a:avLst/>
                    </a:prstGeom>
                  </pic:spPr>
                </pic:pic>
              </a:graphicData>
            </a:graphic>
          </wp:inline>
        </w:drawing>
      </w:r>
      <w:r>
        <w:rPr>
          <w:rFonts w:ascii="Trebuchet MS"/>
          <w:spacing w:val="60"/>
          <w:sz w:val="20"/>
        </w:rPr>
        <w:tab/>
      </w:r>
      <w:r>
        <w:rPr>
          <w:rFonts w:ascii="Trebuchet MS"/>
          <w:noProof/>
          <w:spacing w:val="60"/>
          <w:sz w:val="20"/>
        </w:rPr>
        <w:drawing>
          <wp:inline distT="0" distB="0" distL="0" distR="0">
            <wp:extent cx="210415" cy="200025"/>
            <wp:effectExtent l="0" t="0" r="0" b="0"/>
            <wp:docPr id="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png"/>
                    <pic:cNvPicPr/>
                  </pic:nvPicPr>
                  <pic:blipFill>
                    <a:blip r:embed="rId14" cstate="print"/>
                    <a:stretch>
                      <a:fillRect/>
                    </a:stretch>
                  </pic:blipFill>
                  <pic:spPr>
                    <a:xfrm>
                      <a:off x="0" y="0"/>
                      <a:ext cx="210415" cy="200025"/>
                    </a:xfrm>
                    <a:prstGeom prst="rect">
                      <a:avLst/>
                    </a:prstGeom>
                  </pic:spPr>
                </pic:pic>
              </a:graphicData>
            </a:graphic>
          </wp:inline>
        </w:drawing>
      </w:r>
      <w:r>
        <w:rPr>
          <w:rFonts w:ascii="Trebuchet MS"/>
          <w:spacing w:val="60"/>
          <w:sz w:val="20"/>
        </w:rPr>
        <w:tab/>
      </w:r>
      <w:r>
        <w:rPr>
          <w:rFonts w:ascii="Trebuchet MS"/>
          <w:noProof/>
          <w:spacing w:val="60"/>
          <w:sz w:val="20"/>
        </w:rPr>
        <w:drawing>
          <wp:inline distT="0" distB="0" distL="0" distR="0">
            <wp:extent cx="195268" cy="195262"/>
            <wp:effectExtent l="0" t="0" r="0" b="0"/>
            <wp:docPr id="4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4.png"/>
                    <pic:cNvPicPr/>
                  </pic:nvPicPr>
                  <pic:blipFill>
                    <a:blip r:embed="rId15" cstate="print"/>
                    <a:stretch>
                      <a:fillRect/>
                    </a:stretch>
                  </pic:blipFill>
                  <pic:spPr>
                    <a:xfrm>
                      <a:off x="0" y="0"/>
                      <a:ext cx="195268" cy="195262"/>
                    </a:xfrm>
                    <a:prstGeom prst="rect">
                      <a:avLst/>
                    </a:prstGeom>
                  </pic:spPr>
                </pic:pic>
              </a:graphicData>
            </a:graphic>
          </wp:inline>
        </w:drawing>
      </w:r>
      <w:r>
        <w:rPr>
          <w:rFonts w:ascii="Times New Roman"/>
          <w:spacing w:val="55"/>
          <w:sz w:val="20"/>
        </w:rPr>
        <w:t xml:space="preserve"> </w:t>
      </w:r>
      <w:r>
        <w:rPr>
          <w:rFonts w:ascii="Trebuchet MS"/>
          <w:noProof/>
          <w:spacing w:val="55"/>
          <w:sz w:val="20"/>
        </w:rPr>
        <w:drawing>
          <wp:inline distT="0" distB="0" distL="0" distR="0">
            <wp:extent cx="195268" cy="195262"/>
            <wp:effectExtent l="0" t="0" r="0" b="0"/>
            <wp:docPr id="4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5.png"/>
                    <pic:cNvPicPr/>
                  </pic:nvPicPr>
                  <pic:blipFill>
                    <a:blip r:embed="rId16" cstate="print"/>
                    <a:stretch>
                      <a:fillRect/>
                    </a:stretch>
                  </pic:blipFill>
                  <pic:spPr>
                    <a:xfrm>
                      <a:off x="0" y="0"/>
                      <a:ext cx="195268" cy="195262"/>
                    </a:xfrm>
                    <a:prstGeom prst="rect">
                      <a:avLst/>
                    </a:prstGeom>
                  </pic:spPr>
                </pic:pic>
              </a:graphicData>
            </a:graphic>
          </wp:inline>
        </w:drawing>
      </w:r>
    </w:p>
    <w:p w:rsidR="002C1123" w:rsidRDefault="002C1123">
      <w:pPr>
        <w:pStyle w:val="BodyText"/>
        <w:rPr>
          <w:rFonts w:ascii="Trebuchet MS"/>
        </w:rPr>
      </w:pPr>
    </w:p>
    <w:p w:rsidR="002C1123" w:rsidRDefault="002C1123">
      <w:pPr>
        <w:pStyle w:val="BodyText"/>
        <w:rPr>
          <w:rFonts w:ascii="Trebuchet MS"/>
        </w:rPr>
      </w:pPr>
    </w:p>
    <w:p w:rsidR="002C1123" w:rsidRDefault="002C1123">
      <w:pPr>
        <w:rPr>
          <w:rFonts w:ascii="Trebuchet MS"/>
        </w:rPr>
        <w:sectPr w:rsidR="002C1123">
          <w:headerReference w:type="default" r:id="rId34"/>
          <w:footerReference w:type="default" r:id="rId35"/>
          <w:pgSz w:w="16840" w:h="11910" w:orient="landscape"/>
          <w:pgMar w:top="140" w:right="280" w:bottom="280" w:left="500" w:header="0" w:footer="0" w:gutter="0"/>
          <w:cols w:space="720"/>
        </w:sectPr>
      </w:pPr>
    </w:p>
    <w:p w:rsidR="002C1123" w:rsidRDefault="00F22F94">
      <w:pPr>
        <w:spacing w:before="215" w:line="3397" w:lineRule="exact"/>
        <w:ind w:left="344"/>
        <w:rPr>
          <w:rFonts w:ascii="Trebuchet MS"/>
          <w:sz w:val="344"/>
        </w:rPr>
      </w:pPr>
      <w:bookmarkStart w:id="31" w:name="_bookmark20"/>
      <w:bookmarkEnd w:id="31"/>
      <w:r>
        <w:rPr>
          <w:rFonts w:ascii="Trebuchet MS"/>
          <w:color w:val="2E3092"/>
          <w:spacing w:val="-64"/>
          <w:w w:val="55"/>
          <w:sz w:val="344"/>
        </w:rPr>
        <w:t>the</w:t>
      </w:r>
    </w:p>
    <w:p w:rsidR="002C1123" w:rsidRDefault="00F22F94">
      <w:pPr>
        <w:spacing w:line="2473" w:lineRule="exact"/>
        <w:ind w:left="344"/>
        <w:rPr>
          <w:rFonts w:ascii="Trebuchet MS"/>
          <w:sz w:val="344"/>
        </w:rPr>
      </w:pPr>
      <w:r>
        <w:rPr>
          <w:rFonts w:ascii="Trebuchet MS"/>
          <w:color w:val="2E3092"/>
          <w:spacing w:val="-29"/>
          <w:w w:val="55"/>
          <w:sz w:val="344"/>
        </w:rPr>
        <w:t>context</w:t>
      </w:r>
    </w:p>
    <w:p w:rsidR="002C1123" w:rsidRDefault="00F22F94">
      <w:pPr>
        <w:rPr>
          <w:rFonts w:ascii="Trebuchet MS"/>
          <w:sz w:val="42"/>
        </w:rPr>
      </w:pPr>
      <w:r>
        <w:br w:type="column"/>
      </w:r>
    </w:p>
    <w:p w:rsidR="002C1123" w:rsidRDefault="002C1123">
      <w:pPr>
        <w:pStyle w:val="BodyText"/>
        <w:rPr>
          <w:rFonts w:ascii="Trebuchet MS"/>
          <w:sz w:val="42"/>
        </w:rPr>
      </w:pPr>
    </w:p>
    <w:p w:rsidR="002C1123" w:rsidRDefault="002C1123">
      <w:pPr>
        <w:pStyle w:val="BodyText"/>
        <w:rPr>
          <w:rFonts w:ascii="Trebuchet MS"/>
          <w:sz w:val="42"/>
        </w:rPr>
      </w:pPr>
    </w:p>
    <w:p w:rsidR="002C1123" w:rsidRDefault="002C1123">
      <w:pPr>
        <w:pStyle w:val="BodyText"/>
        <w:rPr>
          <w:rFonts w:ascii="Trebuchet MS"/>
          <w:sz w:val="42"/>
        </w:rPr>
      </w:pPr>
    </w:p>
    <w:p w:rsidR="002C1123" w:rsidRDefault="002C1123">
      <w:pPr>
        <w:pStyle w:val="BodyText"/>
        <w:rPr>
          <w:rFonts w:ascii="Trebuchet MS"/>
          <w:sz w:val="42"/>
        </w:rPr>
      </w:pPr>
    </w:p>
    <w:p w:rsidR="002C1123" w:rsidRDefault="002C1123">
      <w:pPr>
        <w:pStyle w:val="BodyText"/>
        <w:rPr>
          <w:rFonts w:ascii="Trebuchet MS"/>
          <w:sz w:val="42"/>
        </w:rPr>
      </w:pPr>
    </w:p>
    <w:p w:rsidR="002C1123" w:rsidRDefault="002C1123">
      <w:pPr>
        <w:pStyle w:val="BodyText"/>
        <w:rPr>
          <w:rFonts w:ascii="Trebuchet MS"/>
          <w:sz w:val="42"/>
        </w:rPr>
      </w:pPr>
    </w:p>
    <w:p w:rsidR="002C1123" w:rsidRDefault="002C1123">
      <w:pPr>
        <w:pStyle w:val="BodyText"/>
        <w:spacing w:before="3"/>
        <w:rPr>
          <w:rFonts w:ascii="Trebuchet MS"/>
          <w:sz w:val="38"/>
        </w:rPr>
      </w:pPr>
    </w:p>
    <w:p w:rsidR="002C1123" w:rsidRDefault="00F22F94">
      <w:pPr>
        <w:pStyle w:val="Heading4"/>
        <w:spacing w:line="254" w:lineRule="auto"/>
        <w:ind w:left="344" w:right="921"/>
      </w:pPr>
      <w:r>
        <w:rPr>
          <w:color w:val="FFFFFF"/>
        </w:rPr>
        <w:t>The</w:t>
      </w:r>
      <w:r>
        <w:rPr>
          <w:color w:val="FFFFFF"/>
          <w:spacing w:val="-13"/>
        </w:rPr>
        <w:t xml:space="preserve"> </w:t>
      </w:r>
      <w:r>
        <w:rPr>
          <w:color w:val="FFFFFF"/>
        </w:rPr>
        <w:t>NSW</w:t>
      </w:r>
      <w:r>
        <w:rPr>
          <w:color w:val="FFFFFF"/>
          <w:spacing w:val="-13"/>
        </w:rPr>
        <w:t xml:space="preserve"> </w:t>
      </w:r>
      <w:r>
        <w:rPr>
          <w:color w:val="FFFFFF"/>
        </w:rPr>
        <w:t>economy</w:t>
      </w:r>
      <w:r>
        <w:rPr>
          <w:color w:val="FFFFFF"/>
          <w:spacing w:val="-13"/>
        </w:rPr>
        <w:t xml:space="preserve"> </w:t>
      </w:r>
      <w:r>
        <w:rPr>
          <w:color w:val="FFFFFF"/>
        </w:rPr>
        <w:t>is</w:t>
      </w:r>
      <w:r>
        <w:rPr>
          <w:color w:val="FFFFFF"/>
          <w:spacing w:val="-13"/>
        </w:rPr>
        <w:t xml:space="preserve"> </w:t>
      </w:r>
      <w:r>
        <w:rPr>
          <w:color w:val="FFFFFF"/>
        </w:rPr>
        <w:t>the</w:t>
      </w:r>
      <w:r>
        <w:rPr>
          <w:color w:val="FFFFFF"/>
          <w:spacing w:val="-13"/>
        </w:rPr>
        <w:t xml:space="preserve"> </w:t>
      </w:r>
      <w:r>
        <w:rPr>
          <w:color w:val="FFFFFF"/>
        </w:rPr>
        <w:t>largest</w:t>
      </w:r>
      <w:r>
        <w:rPr>
          <w:color w:val="FFFFFF"/>
          <w:spacing w:val="-13"/>
        </w:rPr>
        <w:t xml:space="preserve"> </w:t>
      </w:r>
      <w:r>
        <w:rPr>
          <w:color w:val="FFFFFF"/>
        </w:rPr>
        <w:t>and</w:t>
      </w:r>
      <w:r>
        <w:rPr>
          <w:color w:val="FFFFFF"/>
          <w:spacing w:val="-13"/>
        </w:rPr>
        <w:t xml:space="preserve"> </w:t>
      </w:r>
      <w:r>
        <w:rPr>
          <w:color w:val="FFFFFF"/>
        </w:rPr>
        <w:t xml:space="preserve">most </w:t>
      </w:r>
      <w:r>
        <w:rPr>
          <w:color w:val="FFFFFF"/>
          <w:spacing w:val="-2"/>
        </w:rPr>
        <w:t>diverse</w:t>
      </w:r>
      <w:r>
        <w:rPr>
          <w:color w:val="FFFFFF"/>
          <w:spacing w:val="-23"/>
        </w:rPr>
        <w:t xml:space="preserve"> </w:t>
      </w:r>
      <w:r>
        <w:rPr>
          <w:color w:val="FFFFFF"/>
          <w:spacing w:val="-2"/>
        </w:rPr>
        <w:t>in</w:t>
      </w:r>
      <w:r>
        <w:rPr>
          <w:color w:val="FFFFFF"/>
          <w:spacing w:val="-23"/>
        </w:rPr>
        <w:t xml:space="preserve"> </w:t>
      </w:r>
      <w:r>
        <w:rPr>
          <w:color w:val="FFFFFF"/>
          <w:spacing w:val="-2"/>
        </w:rPr>
        <w:t>Australia.</w:t>
      </w:r>
      <w:r>
        <w:rPr>
          <w:color w:val="FFFFFF"/>
          <w:spacing w:val="-24"/>
        </w:rPr>
        <w:t xml:space="preserve"> </w:t>
      </w:r>
      <w:r>
        <w:rPr>
          <w:color w:val="FFFFFF"/>
          <w:spacing w:val="-2"/>
        </w:rPr>
        <w:t>Sydney</w:t>
      </w:r>
      <w:r>
        <w:rPr>
          <w:color w:val="FFFFFF"/>
          <w:spacing w:val="-23"/>
        </w:rPr>
        <w:t xml:space="preserve"> </w:t>
      </w:r>
      <w:r>
        <w:rPr>
          <w:color w:val="FFFFFF"/>
          <w:spacing w:val="-2"/>
        </w:rPr>
        <w:t>alone</w:t>
      </w:r>
      <w:r>
        <w:rPr>
          <w:color w:val="FFFFFF"/>
          <w:spacing w:val="-23"/>
        </w:rPr>
        <w:t xml:space="preserve"> </w:t>
      </w:r>
      <w:r>
        <w:rPr>
          <w:color w:val="FFFFFF"/>
          <w:spacing w:val="-2"/>
        </w:rPr>
        <w:t xml:space="preserve">contributes </w:t>
      </w:r>
      <w:r>
        <w:rPr>
          <w:color w:val="FFFFFF"/>
          <w:spacing w:val="-4"/>
        </w:rPr>
        <w:t>more</w:t>
      </w:r>
      <w:r>
        <w:rPr>
          <w:color w:val="FFFFFF"/>
          <w:spacing w:val="-21"/>
        </w:rPr>
        <w:t xml:space="preserve"> </w:t>
      </w:r>
      <w:r>
        <w:rPr>
          <w:color w:val="FFFFFF"/>
          <w:spacing w:val="-4"/>
        </w:rPr>
        <w:t>to</w:t>
      </w:r>
      <w:r>
        <w:rPr>
          <w:color w:val="FFFFFF"/>
          <w:spacing w:val="-21"/>
        </w:rPr>
        <w:t xml:space="preserve"> </w:t>
      </w:r>
      <w:r>
        <w:rPr>
          <w:color w:val="FFFFFF"/>
          <w:spacing w:val="-4"/>
        </w:rPr>
        <w:t>Australia’s</w:t>
      </w:r>
      <w:r>
        <w:rPr>
          <w:color w:val="FFFFFF"/>
          <w:spacing w:val="-22"/>
        </w:rPr>
        <w:t xml:space="preserve"> </w:t>
      </w:r>
      <w:r>
        <w:rPr>
          <w:color w:val="FFFFFF"/>
          <w:spacing w:val="-4"/>
        </w:rPr>
        <w:t>economy</w:t>
      </w:r>
      <w:r>
        <w:rPr>
          <w:color w:val="FFFFFF"/>
          <w:spacing w:val="-21"/>
        </w:rPr>
        <w:t xml:space="preserve"> </w:t>
      </w:r>
      <w:r>
        <w:rPr>
          <w:color w:val="FFFFFF"/>
          <w:spacing w:val="-4"/>
        </w:rPr>
        <w:t>than</w:t>
      </w:r>
      <w:r>
        <w:rPr>
          <w:color w:val="FFFFFF"/>
          <w:spacing w:val="-21"/>
        </w:rPr>
        <w:t xml:space="preserve"> </w:t>
      </w:r>
      <w:r>
        <w:rPr>
          <w:color w:val="FFFFFF"/>
          <w:spacing w:val="-4"/>
        </w:rPr>
        <w:t>the</w:t>
      </w:r>
      <w:r>
        <w:rPr>
          <w:color w:val="FFFFFF"/>
          <w:spacing w:val="-21"/>
        </w:rPr>
        <w:t xml:space="preserve"> </w:t>
      </w:r>
      <w:r>
        <w:rPr>
          <w:color w:val="FFFFFF"/>
          <w:spacing w:val="-4"/>
        </w:rPr>
        <w:t>whole</w:t>
      </w:r>
      <w:r>
        <w:rPr>
          <w:color w:val="FFFFFF"/>
          <w:spacing w:val="-21"/>
        </w:rPr>
        <w:t xml:space="preserve"> </w:t>
      </w:r>
      <w:r>
        <w:rPr>
          <w:color w:val="FFFFFF"/>
          <w:spacing w:val="-4"/>
        </w:rPr>
        <w:t xml:space="preserve">of </w:t>
      </w:r>
      <w:r>
        <w:rPr>
          <w:color w:val="FFFFFF"/>
        </w:rPr>
        <w:t>the</w:t>
      </w:r>
      <w:r>
        <w:rPr>
          <w:color w:val="FFFFFF"/>
          <w:spacing w:val="-6"/>
        </w:rPr>
        <w:t xml:space="preserve"> </w:t>
      </w:r>
      <w:r>
        <w:rPr>
          <w:color w:val="FFFFFF"/>
        </w:rPr>
        <w:t>country’s</w:t>
      </w:r>
      <w:r>
        <w:rPr>
          <w:color w:val="FFFFFF"/>
          <w:spacing w:val="-6"/>
        </w:rPr>
        <w:t xml:space="preserve"> </w:t>
      </w:r>
      <w:r>
        <w:rPr>
          <w:color w:val="FFFFFF"/>
        </w:rPr>
        <w:t>mining</w:t>
      </w:r>
      <w:r>
        <w:rPr>
          <w:color w:val="FFFFFF"/>
          <w:spacing w:val="-6"/>
        </w:rPr>
        <w:t xml:space="preserve"> </w:t>
      </w:r>
      <w:r>
        <w:rPr>
          <w:color w:val="FFFFFF"/>
        </w:rPr>
        <w:t>sector.</w:t>
      </w:r>
    </w:p>
    <w:p w:rsidR="002C1123" w:rsidRDefault="002C1123">
      <w:pPr>
        <w:spacing w:line="254" w:lineRule="auto"/>
        <w:sectPr w:rsidR="002C1123">
          <w:type w:val="continuous"/>
          <w:pgSz w:w="16840" w:h="11910" w:orient="landscape"/>
          <w:pgMar w:top="560" w:right="280" w:bottom="280" w:left="500" w:header="0" w:footer="0" w:gutter="0"/>
          <w:cols w:num="2" w:space="720" w:equalWidth="0">
            <w:col w:w="6629" w:space="1059"/>
            <w:col w:w="8372"/>
          </w:cols>
        </w:sectPr>
      </w:pPr>
    </w:p>
    <w:p w:rsidR="002C1123" w:rsidRDefault="002060EF">
      <w:pPr>
        <w:pStyle w:val="BodyText"/>
        <w:spacing w:before="6" w:line="249" w:lineRule="auto"/>
        <w:ind w:left="8032" w:right="16"/>
        <w:jc w:val="both"/>
      </w:pPr>
      <w:r>
        <w:pict>
          <v:rect id="docshape80" o:spid="_x0000_s5217" style="position:absolute;left:0;text-align:left;margin-left:0;margin-top:0;width:841.9pt;height:595.3pt;z-index:-251539456;mso-position-horizontal-relative:page;mso-position-vertical-relative:page" fillcolor="#ec008c" stroked="f">
            <w10:wrap anchorx="page" anchory="page"/>
          </v:rect>
        </w:pict>
      </w:r>
      <w:r w:rsidR="00F22F94">
        <w:rPr>
          <w:color w:val="FFFFFF"/>
          <w:spacing w:val="-4"/>
        </w:rPr>
        <w:t>However,</w:t>
      </w:r>
      <w:r w:rsidR="00F22F94">
        <w:rPr>
          <w:color w:val="FFFFFF"/>
          <w:spacing w:val="-10"/>
        </w:rPr>
        <w:t xml:space="preserve"> </w:t>
      </w:r>
      <w:r w:rsidR="00F22F94">
        <w:rPr>
          <w:color w:val="FFFFFF"/>
          <w:spacing w:val="-4"/>
        </w:rPr>
        <w:t>since</w:t>
      </w:r>
      <w:r w:rsidR="00F22F94">
        <w:rPr>
          <w:color w:val="FFFFFF"/>
          <w:spacing w:val="-10"/>
        </w:rPr>
        <w:t xml:space="preserve"> </w:t>
      </w:r>
      <w:r w:rsidR="00F22F94">
        <w:rPr>
          <w:color w:val="FFFFFF"/>
          <w:spacing w:val="-4"/>
        </w:rPr>
        <w:t>2000</w:t>
      </w:r>
      <w:r w:rsidR="00F22F94">
        <w:rPr>
          <w:color w:val="FFFFFF"/>
          <w:spacing w:val="-10"/>
        </w:rPr>
        <w:t xml:space="preserve"> </w:t>
      </w:r>
      <w:r w:rsidR="00F22F94">
        <w:rPr>
          <w:color w:val="FFFFFF"/>
          <w:spacing w:val="-4"/>
        </w:rPr>
        <w:t xml:space="preserve">the </w:t>
      </w:r>
      <w:r w:rsidR="00F22F94">
        <w:rPr>
          <w:color w:val="FFFFFF"/>
          <w:w w:val="95"/>
        </w:rPr>
        <w:t>State</w:t>
      </w:r>
      <w:r w:rsidR="00F22F94">
        <w:rPr>
          <w:color w:val="FFFFFF"/>
          <w:spacing w:val="-12"/>
          <w:w w:val="95"/>
        </w:rPr>
        <w:t xml:space="preserve"> </w:t>
      </w:r>
      <w:r w:rsidR="00F22F94">
        <w:rPr>
          <w:color w:val="FFFFFF"/>
          <w:w w:val="95"/>
        </w:rPr>
        <w:t>has</w:t>
      </w:r>
      <w:r w:rsidR="00F22F94">
        <w:rPr>
          <w:color w:val="FFFFFF"/>
          <w:spacing w:val="-11"/>
          <w:w w:val="95"/>
        </w:rPr>
        <w:t xml:space="preserve"> </w:t>
      </w:r>
      <w:r w:rsidR="00F22F94">
        <w:rPr>
          <w:color w:val="FFFFFF"/>
          <w:w w:val="95"/>
        </w:rPr>
        <w:t>been</w:t>
      </w:r>
      <w:r w:rsidR="00F22F94">
        <w:rPr>
          <w:color w:val="FFFFFF"/>
          <w:spacing w:val="-11"/>
          <w:w w:val="95"/>
        </w:rPr>
        <w:t xml:space="preserve"> </w:t>
      </w:r>
      <w:r w:rsidR="00F22F94">
        <w:rPr>
          <w:color w:val="FFFFFF"/>
          <w:w w:val="95"/>
        </w:rPr>
        <w:t>in</w:t>
      </w:r>
      <w:r w:rsidR="00F22F94">
        <w:rPr>
          <w:color w:val="FFFFFF"/>
          <w:spacing w:val="-11"/>
          <w:w w:val="95"/>
        </w:rPr>
        <w:t xml:space="preserve"> </w:t>
      </w:r>
      <w:r w:rsidR="00F22F94">
        <w:rPr>
          <w:color w:val="FFFFFF"/>
          <w:w w:val="95"/>
        </w:rPr>
        <w:t xml:space="preserve">relative </w:t>
      </w:r>
      <w:r w:rsidR="00F22F94">
        <w:rPr>
          <w:color w:val="FFFFFF"/>
        </w:rPr>
        <w:t>economic decline.</w:t>
      </w:r>
    </w:p>
    <w:p w:rsidR="002C1123" w:rsidRDefault="00F22F94">
      <w:pPr>
        <w:pStyle w:val="BodyText"/>
        <w:spacing w:before="144" w:line="249" w:lineRule="auto"/>
        <w:ind w:left="8032"/>
      </w:pPr>
      <w:r>
        <w:rPr>
          <w:color w:val="FFFFFF"/>
          <w:spacing w:val="-2"/>
          <w:w w:val="95"/>
        </w:rPr>
        <w:t>Infrastructure</w:t>
      </w:r>
      <w:r>
        <w:rPr>
          <w:color w:val="FFFFFF"/>
          <w:spacing w:val="-8"/>
          <w:w w:val="95"/>
        </w:rPr>
        <w:t xml:space="preserve"> </w:t>
      </w:r>
      <w:r>
        <w:rPr>
          <w:color w:val="FFFFFF"/>
          <w:spacing w:val="-2"/>
          <w:w w:val="95"/>
        </w:rPr>
        <w:t xml:space="preserve">NSW’s </w:t>
      </w:r>
      <w:r>
        <w:rPr>
          <w:color w:val="FFFFFF"/>
        </w:rPr>
        <w:t>baseline economic forecast</w:t>
      </w:r>
      <w:r>
        <w:rPr>
          <w:color w:val="FFFFFF"/>
          <w:spacing w:val="-14"/>
        </w:rPr>
        <w:t xml:space="preserve"> </w:t>
      </w:r>
      <w:r>
        <w:rPr>
          <w:color w:val="FFFFFF"/>
        </w:rPr>
        <w:t>for</w:t>
      </w:r>
      <w:r>
        <w:rPr>
          <w:color w:val="FFFFFF"/>
          <w:spacing w:val="-14"/>
        </w:rPr>
        <w:t xml:space="preserve"> </w:t>
      </w:r>
      <w:r>
        <w:rPr>
          <w:color w:val="FFFFFF"/>
        </w:rPr>
        <w:t>the</w:t>
      </w:r>
      <w:r>
        <w:rPr>
          <w:color w:val="FFFFFF"/>
          <w:spacing w:val="-14"/>
        </w:rPr>
        <w:t xml:space="preserve"> </w:t>
      </w:r>
      <w:r>
        <w:rPr>
          <w:color w:val="FFFFFF"/>
        </w:rPr>
        <w:t>next</w:t>
      </w:r>
    </w:p>
    <w:p w:rsidR="002C1123" w:rsidRDefault="00F22F94">
      <w:pPr>
        <w:pStyle w:val="BodyText"/>
        <w:spacing w:before="2" w:line="249" w:lineRule="auto"/>
        <w:ind w:left="8032"/>
      </w:pPr>
      <w:r>
        <w:rPr>
          <w:color w:val="FFFFFF"/>
        </w:rPr>
        <w:t>20</w:t>
      </w:r>
      <w:r>
        <w:rPr>
          <w:color w:val="FFFFFF"/>
          <w:spacing w:val="-2"/>
        </w:rPr>
        <w:t xml:space="preserve"> </w:t>
      </w:r>
      <w:r>
        <w:rPr>
          <w:color w:val="FFFFFF"/>
        </w:rPr>
        <w:t>years</w:t>
      </w:r>
      <w:r>
        <w:rPr>
          <w:color w:val="FFFFFF"/>
          <w:spacing w:val="-2"/>
        </w:rPr>
        <w:t xml:space="preserve"> </w:t>
      </w:r>
      <w:r>
        <w:rPr>
          <w:color w:val="FFFFFF"/>
        </w:rPr>
        <w:t>shows</w:t>
      </w:r>
      <w:r>
        <w:rPr>
          <w:color w:val="FFFFFF"/>
          <w:spacing w:val="-2"/>
        </w:rPr>
        <w:t xml:space="preserve"> </w:t>
      </w:r>
      <w:r>
        <w:rPr>
          <w:color w:val="FFFFFF"/>
        </w:rPr>
        <w:t>that</w:t>
      </w:r>
      <w:r>
        <w:rPr>
          <w:color w:val="FFFFFF"/>
          <w:spacing w:val="-2"/>
        </w:rPr>
        <w:t xml:space="preserve"> </w:t>
      </w:r>
      <w:r>
        <w:rPr>
          <w:color w:val="FFFFFF"/>
        </w:rPr>
        <w:t xml:space="preserve">the </w:t>
      </w:r>
      <w:r>
        <w:rPr>
          <w:color w:val="FFFFFF"/>
          <w:spacing w:val="-4"/>
        </w:rPr>
        <w:t>growth</w:t>
      </w:r>
      <w:r>
        <w:rPr>
          <w:color w:val="FFFFFF"/>
          <w:spacing w:val="-10"/>
        </w:rPr>
        <w:t xml:space="preserve"> </w:t>
      </w:r>
      <w:r>
        <w:rPr>
          <w:color w:val="FFFFFF"/>
          <w:spacing w:val="-4"/>
        </w:rPr>
        <w:t>forecast</w:t>
      </w:r>
      <w:r>
        <w:rPr>
          <w:color w:val="FFFFFF"/>
          <w:spacing w:val="-10"/>
        </w:rPr>
        <w:t xml:space="preserve"> </w:t>
      </w:r>
      <w:r>
        <w:rPr>
          <w:color w:val="FFFFFF"/>
          <w:spacing w:val="-4"/>
        </w:rPr>
        <w:t>for</w:t>
      </w:r>
      <w:r>
        <w:rPr>
          <w:color w:val="FFFFFF"/>
          <w:spacing w:val="-10"/>
        </w:rPr>
        <w:t xml:space="preserve"> </w:t>
      </w:r>
      <w:r>
        <w:rPr>
          <w:color w:val="FFFFFF"/>
          <w:spacing w:val="-4"/>
        </w:rPr>
        <w:t>NSW,</w:t>
      </w:r>
    </w:p>
    <w:p w:rsidR="002C1123" w:rsidRDefault="00F22F94">
      <w:pPr>
        <w:pStyle w:val="BodyText"/>
        <w:spacing w:before="6" w:line="249" w:lineRule="auto"/>
        <w:ind w:left="328" w:right="61"/>
      </w:pPr>
      <w:r>
        <w:br w:type="column"/>
      </w:r>
      <w:r>
        <w:rPr>
          <w:color w:val="FFFFFF"/>
          <w:spacing w:val="-2"/>
        </w:rPr>
        <w:t>2.6</w:t>
      </w:r>
      <w:r>
        <w:rPr>
          <w:color w:val="FFFFFF"/>
          <w:spacing w:val="-12"/>
        </w:rPr>
        <w:t xml:space="preserve"> </w:t>
      </w:r>
      <w:r>
        <w:rPr>
          <w:color w:val="FFFFFF"/>
          <w:spacing w:val="-2"/>
        </w:rPr>
        <w:t>percent</w:t>
      </w:r>
      <w:r>
        <w:rPr>
          <w:color w:val="FFFFFF"/>
          <w:spacing w:val="-12"/>
        </w:rPr>
        <w:t xml:space="preserve"> </w:t>
      </w:r>
      <w:r>
        <w:rPr>
          <w:color w:val="FFFFFF"/>
          <w:spacing w:val="-2"/>
        </w:rPr>
        <w:t>per</w:t>
      </w:r>
      <w:r>
        <w:rPr>
          <w:color w:val="FFFFFF"/>
          <w:spacing w:val="-12"/>
        </w:rPr>
        <w:t xml:space="preserve"> </w:t>
      </w:r>
      <w:r>
        <w:rPr>
          <w:color w:val="FFFFFF"/>
          <w:spacing w:val="-2"/>
        </w:rPr>
        <w:t xml:space="preserve">annum, </w:t>
      </w:r>
      <w:r>
        <w:rPr>
          <w:color w:val="FFFFFF"/>
        </w:rPr>
        <w:t>remains</w:t>
      </w:r>
      <w:r>
        <w:rPr>
          <w:color w:val="FFFFFF"/>
          <w:spacing w:val="-14"/>
        </w:rPr>
        <w:t xml:space="preserve"> </w:t>
      </w:r>
      <w:r>
        <w:rPr>
          <w:color w:val="FFFFFF"/>
        </w:rPr>
        <w:t>lower</w:t>
      </w:r>
      <w:r>
        <w:rPr>
          <w:color w:val="FFFFFF"/>
          <w:spacing w:val="-14"/>
        </w:rPr>
        <w:t xml:space="preserve"> </w:t>
      </w:r>
      <w:r>
        <w:rPr>
          <w:color w:val="FFFFFF"/>
        </w:rPr>
        <w:t>than</w:t>
      </w:r>
      <w:r>
        <w:rPr>
          <w:color w:val="FFFFFF"/>
          <w:spacing w:val="-14"/>
        </w:rPr>
        <w:t xml:space="preserve"> </w:t>
      </w:r>
      <w:r>
        <w:rPr>
          <w:color w:val="FFFFFF"/>
        </w:rPr>
        <w:t>the rest of Australia.</w:t>
      </w:r>
    </w:p>
    <w:p w:rsidR="002C1123" w:rsidRDefault="00F22F94">
      <w:pPr>
        <w:pStyle w:val="BodyText"/>
        <w:spacing w:before="144" w:line="249" w:lineRule="auto"/>
        <w:ind w:left="328"/>
      </w:pPr>
      <w:r>
        <w:rPr>
          <w:color w:val="FFFFFF"/>
          <w:w w:val="95"/>
        </w:rPr>
        <w:t>A</w:t>
      </w:r>
      <w:r>
        <w:rPr>
          <w:color w:val="FFFFFF"/>
          <w:spacing w:val="-2"/>
          <w:w w:val="95"/>
        </w:rPr>
        <w:t xml:space="preserve"> </w:t>
      </w:r>
      <w:r>
        <w:rPr>
          <w:color w:val="FFFFFF"/>
          <w:w w:val="95"/>
        </w:rPr>
        <w:t>targeted</w:t>
      </w:r>
      <w:r>
        <w:rPr>
          <w:color w:val="FFFFFF"/>
          <w:spacing w:val="-2"/>
          <w:w w:val="95"/>
        </w:rPr>
        <w:t xml:space="preserve"> </w:t>
      </w:r>
      <w:r>
        <w:rPr>
          <w:color w:val="FFFFFF"/>
          <w:w w:val="95"/>
        </w:rPr>
        <w:t>infrastructure planning</w:t>
      </w:r>
      <w:r>
        <w:rPr>
          <w:color w:val="FFFFFF"/>
          <w:spacing w:val="-12"/>
          <w:w w:val="95"/>
        </w:rPr>
        <w:t xml:space="preserve"> </w:t>
      </w:r>
      <w:r>
        <w:rPr>
          <w:color w:val="FFFFFF"/>
          <w:w w:val="95"/>
        </w:rPr>
        <w:t>and</w:t>
      </w:r>
      <w:r>
        <w:rPr>
          <w:color w:val="FFFFFF"/>
          <w:spacing w:val="-11"/>
          <w:w w:val="95"/>
        </w:rPr>
        <w:t xml:space="preserve"> </w:t>
      </w:r>
      <w:r>
        <w:rPr>
          <w:color w:val="FFFFFF"/>
          <w:w w:val="95"/>
        </w:rPr>
        <w:t xml:space="preserve">investment </w:t>
      </w:r>
      <w:r>
        <w:rPr>
          <w:color w:val="FFFFFF"/>
        </w:rPr>
        <w:t xml:space="preserve">strategy is critical to </w:t>
      </w:r>
      <w:r>
        <w:rPr>
          <w:color w:val="FFFFFF"/>
          <w:w w:val="95"/>
        </w:rPr>
        <w:t>reversing</w:t>
      </w:r>
      <w:r>
        <w:rPr>
          <w:color w:val="FFFFFF"/>
          <w:spacing w:val="-2"/>
          <w:w w:val="95"/>
        </w:rPr>
        <w:t xml:space="preserve"> </w:t>
      </w:r>
      <w:r>
        <w:rPr>
          <w:color w:val="FFFFFF"/>
          <w:w w:val="95"/>
        </w:rPr>
        <w:t>NSWs</w:t>
      </w:r>
      <w:r>
        <w:rPr>
          <w:color w:val="FFFFFF"/>
          <w:spacing w:val="-2"/>
          <w:w w:val="95"/>
        </w:rPr>
        <w:t xml:space="preserve"> </w:t>
      </w:r>
      <w:r>
        <w:rPr>
          <w:color w:val="FFFFFF"/>
          <w:w w:val="95"/>
        </w:rPr>
        <w:t xml:space="preserve">relative </w:t>
      </w:r>
      <w:r>
        <w:rPr>
          <w:color w:val="FFFFFF"/>
        </w:rPr>
        <w:t>economic decline.</w:t>
      </w:r>
    </w:p>
    <w:p w:rsidR="002C1123" w:rsidRDefault="00F22F94">
      <w:pPr>
        <w:pStyle w:val="BodyText"/>
        <w:spacing w:before="6" w:line="249" w:lineRule="auto"/>
        <w:ind w:left="399" w:right="767"/>
      </w:pPr>
      <w:r>
        <w:br w:type="column"/>
      </w:r>
      <w:r>
        <w:rPr>
          <w:color w:val="FFFFFF"/>
        </w:rPr>
        <w:t>In line with the requirements of our Act, Infrastructure NSW completed</w:t>
      </w:r>
      <w:r>
        <w:rPr>
          <w:color w:val="FFFFFF"/>
          <w:spacing w:val="-14"/>
        </w:rPr>
        <w:t xml:space="preserve"> </w:t>
      </w:r>
      <w:r>
        <w:rPr>
          <w:color w:val="FFFFFF"/>
        </w:rPr>
        <w:t>a</w:t>
      </w:r>
      <w:r>
        <w:rPr>
          <w:color w:val="FFFFFF"/>
          <w:spacing w:val="-14"/>
        </w:rPr>
        <w:t xml:space="preserve"> </w:t>
      </w:r>
      <w:r>
        <w:rPr>
          <w:color w:val="FFFFFF"/>
        </w:rPr>
        <w:t>gap</w:t>
      </w:r>
      <w:r>
        <w:rPr>
          <w:color w:val="FFFFFF"/>
          <w:spacing w:val="-14"/>
        </w:rPr>
        <w:t xml:space="preserve"> </w:t>
      </w:r>
      <w:r>
        <w:rPr>
          <w:color w:val="FFFFFF"/>
        </w:rPr>
        <w:t xml:space="preserve">analysis </w:t>
      </w:r>
      <w:r>
        <w:rPr>
          <w:color w:val="FFFFFF"/>
          <w:w w:val="95"/>
        </w:rPr>
        <w:t>between</w:t>
      </w:r>
      <w:r>
        <w:rPr>
          <w:color w:val="FFFFFF"/>
          <w:spacing w:val="-3"/>
          <w:w w:val="95"/>
        </w:rPr>
        <w:t xml:space="preserve"> </w:t>
      </w:r>
      <w:r>
        <w:rPr>
          <w:color w:val="FFFFFF"/>
          <w:w w:val="95"/>
        </w:rPr>
        <w:t>future</w:t>
      </w:r>
      <w:r>
        <w:rPr>
          <w:color w:val="FFFFFF"/>
          <w:spacing w:val="-3"/>
          <w:w w:val="95"/>
        </w:rPr>
        <w:t xml:space="preserve"> </w:t>
      </w:r>
      <w:r>
        <w:rPr>
          <w:color w:val="FFFFFF"/>
          <w:w w:val="95"/>
        </w:rPr>
        <w:t>needs</w:t>
      </w:r>
      <w:r>
        <w:rPr>
          <w:color w:val="FFFFFF"/>
          <w:spacing w:val="-3"/>
          <w:w w:val="95"/>
        </w:rPr>
        <w:t xml:space="preserve"> </w:t>
      </w:r>
      <w:r>
        <w:rPr>
          <w:color w:val="FFFFFF"/>
          <w:w w:val="95"/>
        </w:rPr>
        <w:t xml:space="preserve">and </w:t>
      </w:r>
      <w:r>
        <w:rPr>
          <w:color w:val="FFFFFF"/>
        </w:rPr>
        <w:t>the</w:t>
      </w:r>
      <w:r>
        <w:rPr>
          <w:color w:val="FFFFFF"/>
          <w:spacing w:val="-4"/>
        </w:rPr>
        <w:t xml:space="preserve"> </w:t>
      </w:r>
      <w:r>
        <w:rPr>
          <w:color w:val="FFFFFF"/>
        </w:rPr>
        <w:t>current</w:t>
      </w:r>
      <w:r>
        <w:rPr>
          <w:color w:val="FFFFFF"/>
          <w:spacing w:val="-4"/>
        </w:rPr>
        <w:t xml:space="preserve"> </w:t>
      </w:r>
      <w:r>
        <w:rPr>
          <w:color w:val="FFFFFF"/>
        </w:rPr>
        <w:t>condition</w:t>
      </w:r>
      <w:r>
        <w:rPr>
          <w:color w:val="FFFFFF"/>
          <w:spacing w:val="-4"/>
        </w:rPr>
        <w:t xml:space="preserve"> </w:t>
      </w:r>
      <w:r>
        <w:rPr>
          <w:color w:val="FFFFFF"/>
        </w:rPr>
        <w:t>and capacity of infrastructure in NSW.</w:t>
      </w:r>
    </w:p>
    <w:p w:rsidR="002C1123" w:rsidRDefault="002C1123">
      <w:pPr>
        <w:spacing w:line="249" w:lineRule="auto"/>
        <w:sectPr w:rsidR="002C1123">
          <w:type w:val="continuous"/>
          <w:pgSz w:w="16840" w:h="11910" w:orient="landscape"/>
          <w:pgMar w:top="560" w:right="280" w:bottom="280" w:left="500" w:header="0" w:footer="0" w:gutter="0"/>
          <w:cols w:num="3" w:space="720" w:equalWidth="0">
            <w:col w:w="10177" w:space="40"/>
            <w:col w:w="2403" w:space="39"/>
            <w:col w:w="3401"/>
          </w:cols>
        </w:sectPr>
      </w:pPr>
    </w:p>
    <w:p w:rsidR="002C1123" w:rsidRDefault="002C1123">
      <w:pPr>
        <w:pStyle w:val="BodyText"/>
      </w:pPr>
    </w:p>
    <w:p w:rsidR="002C1123" w:rsidRDefault="002C1123">
      <w:pPr>
        <w:sectPr w:rsidR="002C1123">
          <w:headerReference w:type="default" r:id="rId36"/>
          <w:footerReference w:type="default" r:id="rId37"/>
          <w:pgSz w:w="16840" w:h="11910" w:orient="landscape"/>
          <w:pgMar w:top="560" w:right="280" w:bottom="700" w:left="500" w:header="0" w:footer="517" w:gutter="0"/>
          <w:pgNumType w:start="16"/>
          <w:cols w:space="720"/>
        </w:sectPr>
      </w:pPr>
    </w:p>
    <w:p w:rsidR="002C1123" w:rsidRDefault="002060EF">
      <w:pPr>
        <w:pStyle w:val="Heading1"/>
        <w:numPr>
          <w:ilvl w:val="1"/>
          <w:numId w:val="172"/>
        </w:numPr>
        <w:tabs>
          <w:tab w:val="left" w:pos="1562"/>
        </w:tabs>
        <w:jc w:val="left"/>
        <w:rPr>
          <w:color w:val="2E3092"/>
        </w:rPr>
      </w:pPr>
      <w:r>
        <w:pict>
          <v:rect id="docshape92" o:spid="_x0000_s5216" style="position:absolute;left:0;text-align:left;margin-left:38.25pt;margin-top:80.8pt;width:502.7pt;height:422.35pt;z-index:-251538432;mso-position-horizontal-relative:page" fillcolor="#e1e0e1" stroked="f">
            <w10:wrap anchorx="page"/>
          </v:rect>
        </w:pict>
      </w:r>
      <w:bookmarkStart w:id="32" w:name="1.0_Strategic_framework"/>
      <w:bookmarkStart w:id="33" w:name="1.1_Introduction"/>
      <w:bookmarkStart w:id="34" w:name="_bookmark23"/>
      <w:bookmarkStart w:id="35" w:name="_bookmark22"/>
      <w:bookmarkEnd w:id="32"/>
      <w:bookmarkEnd w:id="33"/>
      <w:bookmarkEnd w:id="34"/>
      <w:bookmarkEnd w:id="35"/>
      <w:r w:rsidR="00F22F94">
        <w:rPr>
          <w:color w:val="EC008C"/>
          <w:w w:val="55"/>
        </w:rPr>
        <w:t>Strategic</w:t>
      </w:r>
      <w:r w:rsidR="00F22F94">
        <w:rPr>
          <w:color w:val="EC008C"/>
          <w:spacing w:val="-11"/>
        </w:rPr>
        <w:t xml:space="preserve"> </w:t>
      </w:r>
      <w:r w:rsidR="00F22F94">
        <w:rPr>
          <w:color w:val="EC008C"/>
          <w:spacing w:val="-2"/>
          <w:w w:val="55"/>
        </w:rPr>
        <w:t>framework</w:t>
      </w:r>
    </w:p>
    <w:p w:rsidR="002C1123" w:rsidRDefault="00F22F94">
      <w:pPr>
        <w:pStyle w:val="Heading5"/>
        <w:spacing w:before="210"/>
        <w:ind w:left="492" w:firstLine="0"/>
      </w:pPr>
      <w:r>
        <w:rPr>
          <w:color w:val="EC008C"/>
          <w:w w:val="95"/>
        </w:rPr>
        <w:t>Key</w:t>
      </w:r>
      <w:r>
        <w:rPr>
          <w:color w:val="EC008C"/>
          <w:spacing w:val="-4"/>
        </w:rPr>
        <w:t xml:space="preserve"> </w:t>
      </w:r>
      <w:r>
        <w:rPr>
          <w:color w:val="EC008C"/>
          <w:spacing w:val="-2"/>
        </w:rPr>
        <w:t>points</w:t>
      </w:r>
    </w:p>
    <w:p w:rsidR="002C1123" w:rsidRDefault="00F22F94">
      <w:pPr>
        <w:rPr>
          <w:b/>
          <w:sz w:val="32"/>
        </w:rPr>
      </w:pPr>
      <w:r>
        <w:br w:type="column"/>
      </w:r>
    </w:p>
    <w:p w:rsidR="002C1123" w:rsidRDefault="002C1123">
      <w:pPr>
        <w:pStyle w:val="BodyText"/>
        <w:rPr>
          <w:b/>
          <w:sz w:val="32"/>
        </w:rPr>
      </w:pPr>
    </w:p>
    <w:p w:rsidR="002C1123" w:rsidRDefault="002C1123">
      <w:pPr>
        <w:pStyle w:val="BodyText"/>
        <w:rPr>
          <w:b/>
          <w:sz w:val="32"/>
        </w:rPr>
      </w:pPr>
    </w:p>
    <w:p w:rsidR="002C1123" w:rsidRDefault="002C1123">
      <w:pPr>
        <w:pStyle w:val="BodyText"/>
        <w:rPr>
          <w:b/>
          <w:sz w:val="32"/>
        </w:rPr>
      </w:pPr>
    </w:p>
    <w:p w:rsidR="002C1123" w:rsidRDefault="002C1123">
      <w:pPr>
        <w:pStyle w:val="BodyText"/>
        <w:spacing w:before="9"/>
        <w:rPr>
          <w:b/>
          <w:sz w:val="26"/>
        </w:rPr>
      </w:pPr>
    </w:p>
    <w:p w:rsidR="002C1123" w:rsidRDefault="00F22F94">
      <w:pPr>
        <w:pStyle w:val="Heading5"/>
        <w:numPr>
          <w:ilvl w:val="1"/>
          <w:numId w:val="172"/>
        </w:numPr>
        <w:tabs>
          <w:tab w:val="left" w:pos="942"/>
        </w:tabs>
        <w:spacing w:before="1"/>
        <w:ind w:left="941" w:hanging="450"/>
        <w:jc w:val="left"/>
        <w:rPr>
          <w:color w:val="EC008C"/>
        </w:rPr>
      </w:pPr>
      <w:r>
        <w:rPr>
          <w:color w:val="EC008C"/>
          <w:spacing w:val="-2"/>
        </w:rPr>
        <w:t>Introduction</w:t>
      </w:r>
    </w:p>
    <w:p w:rsidR="002C1123" w:rsidRDefault="002C1123">
      <w:pPr>
        <w:sectPr w:rsidR="002C1123">
          <w:type w:val="continuous"/>
          <w:pgSz w:w="16840" w:h="11910" w:orient="landscape"/>
          <w:pgMar w:top="560" w:right="280" w:bottom="280" w:left="500" w:header="0" w:footer="517" w:gutter="0"/>
          <w:cols w:num="2" w:space="720" w:equalWidth="0">
            <w:col w:w="7437" w:space="2591"/>
            <w:col w:w="6032"/>
          </w:cols>
        </w:sectPr>
      </w:pPr>
    </w:p>
    <w:p w:rsidR="002C1123" w:rsidRDefault="00F22F94">
      <w:pPr>
        <w:pStyle w:val="Heading6"/>
        <w:spacing w:before="134" w:line="249" w:lineRule="auto"/>
        <w:ind w:left="492" w:right="465"/>
      </w:pPr>
      <w:r>
        <w:rPr>
          <w:spacing w:val="-4"/>
        </w:rPr>
        <w:t>Good</w:t>
      </w:r>
      <w:r>
        <w:rPr>
          <w:spacing w:val="-10"/>
        </w:rPr>
        <w:t xml:space="preserve"> </w:t>
      </w:r>
      <w:r>
        <w:rPr>
          <w:spacing w:val="-4"/>
        </w:rPr>
        <w:t>infrastructure</w:t>
      </w:r>
      <w:r>
        <w:rPr>
          <w:spacing w:val="-10"/>
        </w:rPr>
        <w:t xml:space="preserve"> </w:t>
      </w:r>
      <w:r>
        <w:rPr>
          <w:spacing w:val="-4"/>
        </w:rPr>
        <w:t>is</w:t>
      </w:r>
      <w:r>
        <w:rPr>
          <w:spacing w:val="-10"/>
        </w:rPr>
        <w:t xml:space="preserve"> </w:t>
      </w:r>
      <w:r>
        <w:rPr>
          <w:spacing w:val="-4"/>
        </w:rPr>
        <w:t>the</w:t>
      </w:r>
      <w:r>
        <w:rPr>
          <w:spacing w:val="-10"/>
        </w:rPr>
        <w:t xml:space="preserve"> </w:t>
      </w:r>
      <w:r>
        <w:rPr>
          <w:spacing w:val="-4"/>
        </w:rPr>
        <w:t>foundation</w:t>
      </w:r>
      <w:r>
        <w:rPr>
          <w:spacing w:val="-10"/>
        </w:rPr>
        <w:t xml:space="preserve"> </w:t>
      </w:r>
      <w:r>
        <w:rPr>
          <w:spacing w:val="-4"/>
        </w:rPr>
        <w:t xml:space="preserve">stone </w:t>
      </w:r>
      <w:r>
        <w:t>for</w:t>
      </w:r>
      <w:r>
        <w:rPr>
          <w:spacing w:val="-14"/>
        </w:rPr>
        <w:t xml:space="preserve"> </w:t>
      </w:r>
      <w:r>
        <w:t>a</w:t>
      </w:r>
      <w:r>
        <w:rPr>
          <w:spacing w:val="-14"/>
        </w:rPr>
        <w:t xml:space="preserve"> </w:t>
      </w:r>
      <w:r>
        <w:t>successful</w:t>
      </w:r>
      <w:r>
        <w:rPr>
          <w:spacing w:val="-14"/>
        </w:rPr>
        <w:t xml:space="preserve"> </w:t>
      </w:r>
      <w:r>
        <w:t>economy</w:t>
      </w:r>
      <w:r>
        <w:rPr>
          <w:spacing w:val="-14"/>
        </w:rPr>
        <w:t xml:space="preserve"> </w:t>
      </w:r>
      <w:r>
        <w:t>and</w:t>
      </w:r>
      <w:r>
        <w:rPr>
          <w:spacing w:val="-14"/>
        </w:rPr>
        <w:t xml:space="preserve"> </w:t>
      </w:r>
      <w:r>
        <w:t>productive, cohesive</w:t>
      </w:r>
      <w:r>
        <w:rPr>
          <w:spacing w:val="-1"/>
        </w:rPr>
        <w:t xml:space="preserve"> </w:t>
      </w:r>
      <w:r>
        <w:t>society.</w:t>
      </w:r>
    </w:p>
    <w:p w:rsidR="002C1123" w:rsidRDefault="00F22F94">
      <w:pPr>
        <w:pStyle w:val="BodyText"/>
        <w:spacing w:before="145" w:line="249" w:lineRule="auto"/>
        <w:ind w:left="492" w:right="193"/>
      </w:pPr>
      <w:r>
        <w:t>The</w:t>
      </w:r>
      <w:r>
        <w:rPr>
          <w:spacing w:val="-14"/>
        </w:rPr>
        <w:t xml:space="preserve"> </w:t>
      </w:r>
      <w:r>
        <w:t>NSW</w:t>
      </w:r>
      <w:r>
        <w:rPr>
          <w:spacing w:val="-13"/>
        </w:rPr>
        <w:t xml:space="preserve"> </w:t>
      </w:r>
      <w:r>
        <w:t>Government’s</w:t>
      </w:r>
      <w:r>
        <w:rPr>
          <w:spacing w:val="-14"/>
        </w:rPr>
        <w:t xml:space="preserve"> </w:t>
      </w:r>
      <w:r>
        <w:t>infrastructure</w:t>
      </w:r>
      <w:r>
        <w:rPr>
          <w:spacing w:val="-14"/>
        </w:rPr>
        <w:t xml:space="preserve"> </w:t>
      </w:r>
      <w:r>
        <w:t xml:space="preserve">assets </w:t>
      </w:r>
      <w:r>
        <w:rPr>
          <w:w w:val="95"/>
        </w:rPr>
        <w:t>are</w:t>
      </w:r>
      <w:r>
        <w:rPr>
          <w:spacing w:val="-7"/>
          <w:w w:val="95"/>
        </w:rPr>
        <w:t xml:space="preserve"> </w:t>
      </w:r>
      <w:r>
        <w:rPr>
          <w:w w:val="95"/>
        </w:rPr>
        <w:t>worth</w:t>
      </w:r>
      <w:r>
        <w:rPr>
          <w:spacing w:val="-7"/>
          <w:w w:val="95"/>
        </w:rPr>
        <w:t xml:space="preserve"> </w:t>
      </w:r>
      <w:r>
        <w:rPr>
          <w:w w:val="95"/>
        </w:rPr>
        <w:t>almost</w:t>
      </w:r>
      <w:r>
        <w:rPr>
          <w:spacing w:val="-7"/>
          <w:w w:val="95"/>
        </w:rPr>
        <w:t xml:space="preserve"> </w:t>
      </w:r>
      <w:r>
        <w:rPr>
          <w:w w:val="95"/>
        </w:rPr>
        <w:t>a</w:t>
      </w:r>
      <w:r>
        <w:rPr>
          <w:spacing w:val="-7"/>
          <w:w w:val="95"/>
        </w:rPr>
        <w:t xml:space="preserve"> </w:t>
      </w:r>
      <w:r>
        <w:rPr>
          <w:w w:val="95"/>
        </w:rPr>
        <w:t>quarter</w:t>
      </w:r>
      <w:r>
        <w:rPr>
          <w:spacing w:val="-7"/>
          <w:w w:val="95"/>
        </w:rPr>
        <w:t xml:space="preserve"> </w:t>
      </w:r>
      <w:r>
        <w:rPr>
          <w:w w:val="95"/>
        </w:rPr>
        <w:t>of</w:t>
      </w:r>
      <w:r>
        <w:rPr>
          <w:spacing w:val="-7"/>
          <w:w w:val="95"/>
        </w:rPr>
        <w:t xml:space="preserve"> </w:t>
      </w:r>
      <w:r>
        <w:rPr>
          <w:w w:val="95"/>
        </w:rPr>
        <w:t>a</w:t>
      </w:r>
      <w:r>
        <w:rPr>
          <w:spacing w:val="-7"/>
          <w:w w:val="95"/>
        </w:rPr>
        <w:t xml:space="preserve"> </w:t>
      </w:r>
      <w:r>
        <w:rPr>
          <w:w w:val="95"/>
        </w:rPr>
        <w:t>trillion</w:t>
      </w:r>
      <w:r>
        <w:rPr>
          <w:spacing w:val="-7"/>
          <w:w w:val="95"/>
        </w:rPr>
        <w:t xml:space="preserve"> </w:t>
      </w:r>
      <w:r>
        <w:rPr>
          <w:w w:val="95"/>
        </w:rPr>
        <w:t>dollars</w:t>
      </w:r>
      <w:r>
        <w:rPr>
          <w:spacing w:val="-7"/>
          <w:w w:val="95"/>
        </w:rPr>
        <w:t xml:space="preserve"> </w:t>
      </w:r>
      <w:r>
        <w:rPr>
          <w:w w:val="95"/>
        </w:rPr>
        <w:t>and</w:t>
      </w:r>
    </w:p>
    <w:p w:rsidR="002C1123" w:rsidRDefault="00F22F94">
      <w:pPr>
        <w:pStyle w:val="BodyText"/>
        <w:spacing w:before="1" w:line="249" w:lineRule="auto"/>
        <w:ind w:left="492" w:right="193"/>
      </w:pPr>
      <w:r>
        <w:rPr>
          <w:w w:val="95"/>
        </w:rPr>
        <w:t>new</w:t>
      </w:r>
      <w:r>
        <w:rPr>
          <w:spacing w:val="-9"/>
          <w:w w:val="95"/>
        </w:rPr>
        <w:t xml:space="preserve"> </w:t>
      </w:r>
      <w:r>
        <w:rPr>
          <w:w w:val="95"/>
        </w:rPr>
        <w:t>infrastructure</w:t>
      </w:r>
      <w:r>
        <w:rPr>
          <w:spacing w:val="-9"/>
          <w:w w:val="95"/>
        </w:rPr>
        <w:t xml:space="preserve"> </w:t>
      </w:r>
      <w:r>
        <w:rPr>
          <w:w w:val="95"/>
        </w:rPr>
        <w:t>investment</w:t>
      </w:r>
      <w:r>
        <w:rPr>
          <w:spacing w:val="-9"/>
          <w:w w:val="95"/>
        </w:rPr>
        <w:t xml:space="preserve"> </w:t>
      </w:r>
      <w:r>
        <w:rPr>
          <w:w w:val="95"/>
        </w:rPr>
        <w:t>is</w:t>
      </w:r>
      <w:r>
        <w:rPr>
          <w:spacing w:val="-9"/>
          <w:w w:val="95"/>
        </w:rPr>
        <w:t xml:space="preserve"> </w:t>
      </w:r>
      <w:r>
        <w:rPr>
          <w:w w:val="95"/>
        </w:rPr>
        <w:t>around</w:t>
      </w:r>
      <w:r>
        <w:rPr>
          <w:spacing w:val="-9"/>
          <w:w w:val="95"/>
        </w:rPr>
        <w:t xml:space="preserve"> </w:t>
      </w:r>
      <w:r>
        <w:rPr>
          <w:w w:val="95"/>
        </w:rPr>
        <w:t>$15</w:t>
      </w:r>
      <w:r>
        <w:rPr>
          <w:spacing w:val="-9"/>
          <w:w w:val="95"/>
        </w:rPr>
        <w:t xml:space="preserve"> </w:t>
      </w:r>
      <w:r>
        <w:rPr>
          <w:w w:val="95"/>
        </w:rPr>
        <w:t xml:space="preserve">billion </w:t>
      </w:r>
      <w:r>
        <w:t>per</w:t>
      </w:r>
      <w:r>
        <w:rPr>
          <w:spacing w:val="-11"/>
        </w:rPr>
        <w:t xml:space="preserve"> </w:t>
      </w:r>
      <w:r>
        <w:t>annum.</w:t>
      </w:r>
    </w:p>
    <w:p w:rsidR="002C1123" w:rsidRDefault="00F22F94">
      <w:pPr>
        <w:pStyle w:val="BodyText"/>
        <w:spacing w:before="144" w:line="249" w:lineRule="auto"/>
        <w:ind w:left="492"/>
      </w:pPr>
      <w:r>
        <w:t>NSW’s</w:t>
      </w:r>
      <w:r>
        <w:rPr>
          <w:spacing w:val="-5"/>
        </w:rPr>
        <w:t xml:space="preserve"> </w:t>
      </w:r>
      <w:r>
        <w:t>problem</w:t>
      </w:r>
      <w:r>
        <w:rPr>
          <w:spacing w:val="-6"/>
        </w:rPr>
        <w:t xml:space="preserve"> </w:t>
      </w:r>
      <w:r>
        <w:t>is</w:t>
      </w:r>
      <w:r>
        <w:rPr>
          <w:spacing w:val="-5"/>
        </w:rPr>
        <w:t xml:space="preserve"> </w:t>
      </w:r>
      <w:r>
        <w:t>not</w:t>
      </w:r>
      <w:r>
        <w:rPr>
          <w:spacing w:val="-5"/>
        </w:rPr>
        <w:t xml:space="preserve"> </w:t>
      </w:r>
      <w:r>
        <w:t>so</w:t>
      </w:r>
      <w:r>
        <w:rPr>
          <w:spacing w:val="-5"/>
        </w:rPr>
        <w:t xml:space="preserve"> </w:t>
      </w:r>
      <w:r>
        <w:t>much</w:t>
      </w:r>
      <w:r>
        <w:rPr>
          <w:spacing w:val="-5"/>
        </w:rPr>
        <w:t xml:space="preserve"> </w:t>
      </w:r>
      <w:r>
        <w:t>the</w:t>
      </w:r>
      <w:r>
        <w:rPr>
          <w:spacing w:val="-5"/>
        </w:rPr>
        <w:t xml:space="preserve"> </w:t>
      </w:r>
      <w:r>
        <w:t>quantity</w:t>
      </w:r>
      <w:r>
        <w:rPr>
          <w:spacing w:val="-5"/>
        </w:rPr>
        <w:t xml:space="preserve"> </w:t>
      </w:r>
      <w:r>
        <w:t>of investment</w:t>
      </w:r>
      <w:r>
        <w:rPr>
          <w:spacing w:val="-11"/>
        </w:rPr>
        <w:t xml:space="preserve"> </w:t>
      </w:r>
      <w:r>
        <w:t>but</w:t>
      </w:r>
      <w:r>
        <w:rPr>
          <w:spacing w:val="-11"/>
        </w:rPr>
        <w:t xml:space="preserve"> </w:t>
      </w:r>
      <w:r>
        <w:t>the</w:t>
      </w:r>
      <w:r>
        <w:rPr>
          <w:spacing w:val="-11"/>
        </w:rPr>
        <w:t xml:space="preserve"> </w:t>
      </w:r>
      <w:r>
        <w:t>quality.</w:t>
      </w:r>
      <w:r>
        <w:rPr>
          <w:spacing w:val="-11"/>
        </w:rPr>
        <w:t xml:space="preserve"> </w:t>
      </w:r>
      <w:r>
        <w:t>Poor</w:t>
      </w:r>
      <w:r>
        <w:rPr>
          <w:spacing w:val="-11"/>
        </w:rPr>
        <w:t xml:space="preserve"> </w:t>
      </w:r>
      <w:r>
        <w:t>infrastructure investment</w:t>
      </w:r>
      <w:r>
        <w:rPr>
          <w:spacing w:val="-9"/>
        </w:rPr>
        <w:t xml:space="preserve"> </w:t>
      </w:r>
      <w:r>
        <w:t>decisions</w:t>
      </w:r>
      <w:r>
        <w:rPr>
          <w:spacing w:val="-9"/>
        </w:rPr>
        <w:t xml:space="preserve"> </w:t>
      </w:r>
      <w:r>
        <w:t>for</w:t>
      </w:r>
      <w:r>
        <w:rPr>
          <w:spacing w:val="-9"/>
        </w:rPr>
        <w:t xml:space="preserve"> </w:t>
      </w:r>
      <w:r>
        <w:t>the</w:t>
      </w:r>
      <w:r>
        <w:rPr>
          <w:spacing w:val="-9"/>
        </w:rPr>
        <w:t xml:space="preserve"> </w:t>
      </w:r>
      <w:r>
        <w:t>past</w:t>
      </w:r>
      <w:r>
        <w:rPr>
          <w:spacing w:val="-9"/>
        </w:rPr>
        <w:t xml:space="preserve"> </w:t>
      </w:r>
      <w:r>
        <w:t>decade</w:t>
      </w:r>
      <w:r>
        <w:rPr>
          <w:spacing w:val="-9"/>
        </w:rPr>
        <w:t xml:space="preserve"> </w:t>
      </w:r>
      <w:r>
        <w:t>have contributed</w:t>
      </w:r>
      <w:r>
        <w:rPr>
          <w:spacing w:val="-7"/>
        </w:rPr>
        <w:t xml:space="preserve"> </w:t>
      </w:r>
      <w:r>
        <w:t>to</w:t>
      </w:r>
      <w:r>
        <w:rPr>
          <w:spacing w:val="-7"/>
        </w:rPr>
        <w:t xml:space="preserve"> </w:t>
      </w:r>
      <w:r>
        <w:t>the</w:t>
      </w:r>
      <w:r>
        <w:rPr>
          <w:spacing w:val="-7"/>
        </w:rPr>
        <w:t xml:space="preserve"> </w:t>
      </w:r>
      <w:r>
        <w:t>relatively</w:t>
      </w:r>
      <w:r>
        <w:rPr>
          <w:spacing w:val="-7"/>
        </w:rPr>
        <w:t xml:space="preserve"> </w:t>
      </w:r>
      <w:r>
        <w:t>poor</w:t>
      </w:r>
      <w:r>
        <w:rPr>
          <w:spacing w:val="-7"/>
        </w:rPr>
        <w:t xml:space="preserve"> </w:t>
      </w:r>
      <w:r>
        <w:t>State</w:t>
      </w:r>
      <w:r>
        <w:rPr>
          <w:spacing w:val="-7"/>
        </w:rPr>
        <w:t xml:space="preserve"> </w:t>
      </w:r>
      <w:r>
        <w:t xml:space="preserve">economic </w:t>
      </w:r>
      <w:r>
        <w:rPr>
          <w:w w:val="95"/>
        </w:rPr>
        <w:t>performance</w:t>
      </w:r>
      <w:r>
        <w:rPr>
          <w:spacing w:val="-3"/>
          <w:w w:val="95"/>
        </w:rPr>
        <w:t xml:space="preserve"> </w:t>
      </w:r>
      <w:r>
        <w:rPr>
          <w:w w:val="95"/>
        </w:rPr>
        <w:t>in</w:t>
      </w:r>
      <w:r>
        <w:rPr>
          <w:spacing w:val="-3"/>
          <w:w w:val="95"/>
        </w:rPr>
        <w:t xml:space="preserve"> </w:t>
      </w:r>
      <w:r>
        <w:rPr>
          <w:w w:val="95"/>
        </w:rPr>
        <w:t>comparison</w:t>
      </w:r>
      <w:r>
        <w:rPr>
          <w:spacing w:val="-3"/>
          <w:w w:val="95"/>
        </w:rPr>
        <w:t xml:space="preserve"> </w:t>
      </w:r>
      <w:r>
        <w:rPr>
          <w:w w:val="95"/>
        </w:rPr>
        <w:t>with</w:t>
      </w:r>
      <w:r>
        <w:rPr>
          <w:spacing w:val="-3"/>
          <w:w w:val="95"/>
        </w:rPr>
        <w:t xml:space="preserve"> </w:t>
      </w:r>
      <w:r>
        <w:rPr>
          <w:w w:val="95"/>
        </w:rPr>
        <w:t>the</w:t>
      </w:r>
      <w:r>
        <w:rPr>
          <w:spacing w:val="-3"/>
          <w:w w:val="95"/>
        </w:rPr>
        <w:t xml:space="preserve"> </w:t>
      </w:r>
      <w:r>
        <w:rPr>
          <w:w w:val="95"/>
        </w:rPr>
        <w:t>rest</w:t>
      </w:r>
      <w:r>
        <w:rPr>
          <w:spacing w:val="-3"/>
          <w:w w:val="95"/>
        </w:rPr>
        <w:t xml:space="preserve"> </w:t>
      </w:r>
      <w:r>
        <w:rPr>
          <w:w w:val="95"/>
        </w:rPr>
        <w:t>of</w:t>
      </w:r>
      <w:r>
        <w:rPr>
          <w:spacing w:val="-3"/>
          <w:w w:val="95"/>
        </w:rPr>
        <w:t xml:space="preserve"> </w:t>
      </w:r>
      <w:r>
        <w:rPr>
          <w:w w:val="95"/>
        </w:rPr>
        <w:t xml:space="preserve">Australia </w:t>
      </w:r>
      <w:r>
        <w:t>(which</w:t>
      </w:r>
      <w:r>
        <w:rPr>
          <w:spacing w:val="-14"/>
        </w:rPr>
        <w:t xml:space="preserve"> </w:t>
      </w:r>
      <w:r>
        <w:t>has</w:t>
      </w:r>
      <w:r>
        <w:rPr>
          <w:spacing w:val="-14"/>
        </w:rPr>
        <w:t xml:space="preserve"> </w:t>
      </w:r>
      <w:r>
        <w:t>grown</w:t>
      </w:r>
      <w:r>
        <w:rPr>
          <w:spacing w:val="-14"/>
        </w:rPr>
        <w:t xml:space="preserve"> </w:t>
      </w:r>
      <w:r>
        <w:t>faster</w:t>
      </w:r>
      <w:r>
        <w:rPr>
          <w:spacing w:val="-14"/>
        </w:rPr>
        <w:t xml:space="preserve"> </w:t>
      </w:r>
      <w:r>
        <w:t>than</w:t>
      </w:r>
      <w:r>
        <w:rPr>
          <w:spacing w:val="-14"/>
        </w:rPr>
        <w:t xml:space="preserve"> </w:t>
      </w:r>
      <w:r>
        <w:t>NSW</w:t>
      </w:r>
      <w:r>
        <w:rPr>
          <w:spacing w:val="-14"/>
        </w:rPr>
        <w:t xml:space="preserve"> </w:t>
      </w:r>
      <w:r>
        <w:t>since</w:t>
      </w:r>
      <w:r>
        <w:rPr>
          <w:spacing w:val="-14"/>
        </w:rPr>
        <w:t xml:space="preserve"> </w:t>
      </w:r>
      <w:r>
        <w:t>1991).</w:t>
      </w:r>
    </w:p>
    <w:p w:rsidR="002C1123" w:rsidRDefault="00F22F94">
      <w:pPr>
        <w:pStyle w:val="BodyText"/>
        <w:spacing w:before="146" w:line="249" w:lineRule="auto"/>
        <w:ind w:left="492"/>
      </w:pPr>
      <w:r>
        <w:t>Unless</w:t>
      </w:r>
      <w:r>
        <w:rPr>
          <w:spacing w:val="-9"/>
        </w:rPr>
        <w:t xml:space="preserve"> </w:t>
      </w:r>
      <w:r>
        <w:t>targeted</w:t>
      </w:r>
      <w:r>
        <w:rPr>
          <w:spacing w:val="-9"/>
        </w:rPr>
        <w:t xml:space="preserve"> </w:t>
      </w:r>
      <w:r>
        <w:t>where</w:t>
      </w:r>
      <w:r>
        <w:rPr>
          <w:spacing w:val="-9"/>
        </w:rPr>
        <w:t xml:space="preserve"> </w:t>
      </w:r>
      <w:r>
        <w:t>needed,</w:t>
      </w:r>
      <w:r>
        <w:rPr>
          <w:spacing w:val="-9"/>
        </w:rPr>
        <w:t xml:space="preserve"> </w:t>
      </w:r>
      <w:r>
        <w:t xml:space="preserve">infrastructure </w:t>
      </w:r>
      <w:r>
        <w:rPr>
          <w:w w:val="95"/>
        </w:rPr>
        <w:t>investment</w:t>
      </w:r>
      <w:r>
        <w:rPr>
          <w:spacing w:val="-8"/>
          <w:w w:val="95"/>
        </w:rPr>
        <w:t xml:space="preserve"> </w:t>
      </w:r>
      <w:r>
        <w:rPr>
          <w:w w:val="95"/>
        </w:rPr>
        <w:t>will</w:t>
      </w:r>
      <w:r>
        <w:rPr>
          <w:spacing w:val="-8"/>
          <w:w w:val="95"/>
        </w:rPr>
        <w:t xml:space="preserve"> </w:t>
      </w:r>
      <w:r>
        <w:rPr>
          <w:w w:val="95"/>
        </w:rPr>
        <w:t>achieve</w:t>
      </w:r>
      <w:r>
        <w:rPr>
          <w:spacing w:val="-8"/>
          <w:w w:val="95"/>
        </w:rPr>
        <w:t xml:space="preserve"> </w:t>
      </w:r>
      <w:r>
        <w:rPr>
          <w:w w:val="95"/>
        </w:rPr>
        <w:t>little</w:t>
      </w:r>
      <w:r>
        <w:rPr>
          <w:spacing w:val="-8"/>
          <w:w w:val="95"/>
        </w:rPr>
        <w:t xml:space="preserve"> </w:t>
      </w:r>
      <w:r>
        <w:rPr>
          <w:w w:val="95"/>
        </w:rPr>
        <w:t>–</w:t>
      </w:r>
      <w:r>
        <w:rPr>
          <w:spacing w:val="-8"/>
          <w:w w:val="95"/>
        </w:rPr>
        <w:t xml:space="preserve"> </w:t>
      </w:r>
      <w:r>
        <w:rPr>
          <w:w w:val="95"/>
        </w:rPr>
        <w:t>except</w:t>
      </w:r>
      <w:r>
        <w:rPr>
          <w:spacing w:val="-8"/>
          <w:w w:val="95"/>
        </w:rPr>
        <w:t xml:space="preserve"> </w:t>
      </w:r>
      <w:r>
        <w:rPr>
          <w:w w:val="95"/>
        </w:rPr>
        <w:t>to</w:t>
      </w:r>
      <w:r>
        <w:rPr>
          <w:spacing w:val="-8"/>
          <w:w w:val="95"/>
        </w:rPr>
        <w:t xml:space="preserve"> </w:t>
      </w:r>
      <w:r>
        <w:rPr>
          <w:w w:val="95"/>
        </w:rPr>
        <w:t>add</w:t>
      </w:r>
      <w:r>
        <w:rPr>
          <w:spacing w:val="-8"/>
          <w:w w:val="95"/>
        </w:rPr>
        <w:t xml:space="preserve"> </w:t>
      </w:r>
      <w:r>
        <w:rPr>
          <w:w w:val="95"/>
        </w:rPr>
        <w:t>to</w:t>
      </w:r>
      <w:r>
        <w:rPr>
          <w:spacing w:val="-8"/>
          <w:w w:val="95"/>
        </w:rPr>
        <w:t xml:space="preserve"> </w:t>
      </w:r>
      <w:r>
        <w:rPr>
          <w:w w:val="95"/>
        </w:rPr>
        <w:t xml:space="preserve">public </w:t>
      </w:r>
      <w:r>
        <w:t>debt and the cost of living.</w:t>
      </w:r>
    </w:p>
    <w:p w:rsidR="002C1123" w:rsidRDefault="00F22F94">
      <w:pPr>
        <w:pStyle w:val="BodyText"/>
        <w:spacing w:before="145" w:line="249" w:lineRule="auto"/>
        <w:ind w:left="492" w:right="193"/>
      </w:pPr>
      <w:r>
        <w:t>Infrastructure</w:t>
      </w:r>
      <w:r>
        <w:rPr>
          <w:spacing w:val="-14"/>
        </w:rPr>
        <w:t xml:space="preserve"> </w:t>
      </w:r>
      <w:r>
        <w:t>NSW</w:t>
      </w:r>
      <w:r>
        <w:rPr>
          <w:spacing w:val="-14"/>
        </w:rPr>
        <w:t xml:space="preserve"> </w:t>
      </w:r>
      <w:r>
        <w:t>has</w:t>
      </w:r>
      <w:r>
        <w:rPr>
          <w:spacing w:val="-14"/>
        </w:rPr>
        <w:t xml:space="preserve"> </w:t>
      </w:r>
      <w:r>
        <w:t>consulted</w:t>
      </w:r>
      <w:r>
        <w:rPr>
          <w:spacing w:val="-14"/>
        </w:rPr>
        <w:t xml:space="preserve"> </w:t>
      </w:r>
      <w:r>
        <w:t>widely</w:t>
      </w:r>
      <w:r>
        <w:rPr>
          <w:spacing w:val="-14"/>
        </w:rPr>
        <w:t xml:space="preserve"> </w:t>
      </w:r>
      <w:r>
        <w:t>across Government</w:t>
      </w:r>
      <w:r>
        <w:rPr>
          <w:spacing w:val="-1"/>
        </w:rPr>
        <w:t xml:space="preserve"> </w:t>
      </w:r>
      <w:r>
        <w:t>and</w:t>
      </w:r>
      <w:r>
        <w:rPr>
          <w:spacing w:val="-1"/>
        </w:rPr>
        <w:t xml:space="preserve"> </w:t>
      </w:r>
      <w:r>
        <w:t>industry</w:t>
      </w:r>
      <w:r>
        <w:rPr>
          <w:spacing w:val="-1"/>
        </w:rPr>
        <w:t xml:space="preserve"> </w:t>
      </w:r>
      <w:r>
        <w:t>to</w:t>
      </w:r>
      <w:r>
        <w:rPr>
          <w:spacing w:val="-1"/>
        </w:rPr>
        <w:t xml:space="preserve"> </w:t>
      </w:r>
      <w:r>
        <w:t>better</w:t>
      </w:r>
      <w:r>
        <w:rPr>
          <w:spacing w:val="-1"/>
        </w:rPr>
        <w:t xml:space="preserve"> </w:t>
      </w:r>
      <w:r>
        <w:t xml:space="preserve">understand </w:t>
      </w:r>
      <w:r>
        <w:rPr>
          <w:w w:val="95"/>
        </w:rPr>
        <w:t>the</w:t>
      </w:r>
      <w:r>
        <w:rPr>
          <w:spacing w:val="-8"/>
          <w:w w:val="95"/>
        </w:rPr>
        <w:t xml:space="preserve"> </w:t>
      </w:r>
      <w:r>
        <w:rPr>
          <w:w w:val="95"/>
        </w:rPr>
        <w:t>key</w:t>
      </w:r>
      <w:r>
        <w:rPr>
          <w:spacing w:val="-8"/>
          <w:w w:val="95"/>
        </w:rPr>
        <w:t xml:space="preserve"> </w:t>
      </w:r>
      <w:r>
        <w:rPr>
          <w:w w:val="95"/>
        </w:rPr>
        <w:t>drivers</w:t>
      </w:r>
      <w:r>
        <w:rPr>
          <w:spacing w:val="-8"/>
          <w:w w:val="95"/>
        </w:rPr>
        <w:t xml:space="preserve"> </w:t>
      </w:r>
      <w:r>
        <w:rPr>
          <w:w w:val="95"/>
        </w:rPr>
        <w:t>of</w:t>
      </w:r>
      <w:r>
        <w:rPr>
          <w:spacing w:val="-8"/>
          <w:w w:val="95"/>
        </w:rPr>
        <w:t xml:space="preserve"> </w:t>
      </w:r>
      <w:r>
        <w:rPr>
          <w:w w:val="95"/>
        </w:rPr>
        <w:t>the</w:t>
      </w:r>
      <w:r>
        <w:rPr>
          <w:spacing w:val="-8"/>
          <w:w w:val="95"/>
        </w:rPr>
        <w:t xml:space="preserve"> </w:t>
      </w:r>
      <w:r>
        <w:rPr>
          <w:w w:val="95"/>
        </w:rPr>
        <w:t>effect</w:t>
      </w:r>
      <w:r>
        <w:rPr>
          <w:spacing w:val="-8"/>
          <w:w w:val="95"/>
        </w:rPr>
        <w:t xml:space="preserve"> </w:t>
      </w:r>
      <w:r>
        <w:rPr>
          <w:w w:val="95"/>
        </w:rPr>
        <w:t>of</w:t>
      </w:r>
      <w:r>
        <w:rPr>
          <w:spacing w:val="-8"/>
          <w:w w:val="95"/>
        </w:rPr>
        <w:t xml:space="preserve"> </w:t>
      </w:r>
      <w:r>
        <w:rPr>
          <w:w w:val="95"/>
        </w:rPr>
        <w:t>infrastructure</w:t>
      </w:r>
      <w:r>
        <w:rPr>
          <w:spacing w:val="-8"/>
          <w:w w:val="95"/>
        </w:rPr>
        <w:t xml:space="preserve"> </w:t>
      </w:r>
      <w:r>
        <w:rPr>
          <w:w w:val="95"/>
        </w:rPr>
        <w:t>on</w:t>
      </w:r>
      <w:r>
        <w:rPr>
          <w:spacing w:val="-8"/>
          <w:w w:val="95"/>
        </w:rPr>
        <w:t xml:space="preserve"> </w:t>
      </w:r>
      <w:r>
        <w:rPr>
          <w:w w:val="95"/>
        </w:rPr>
        <w:t>the</w:t>
      </w:r>
    </w:p>
    <w:p w:rsidR="002C1123" w:rsidRDefault="00F22F94">
      <w:pPr>
        <w:pStyle w:val="BodyText"/>
        <w:spacing w:before="2" w:line="249" w:lineRule="auto"/>
        <w:ind w:left="492" w:right="67"/>
        <w:jc w:val="both"/>
      </w:pPr>
      <w:r>
        <w:rPr>
          <w:w w:val="95"/>
        </w:rPr>
        <w:t>economy.</w:t>
      </w:r>
      <w:r>
        <w:rPr>
          <w:spacing w:val="-9"/>
          <w:w w:val="95"/>
        </w:rPr>
        <w:t xml:space="preserve"> </w:t>
      </w:r>
      <w:r>
        <w:rPr>
          <w:w w:val="95"/>
        </w:rPr>
        <w:t>Key</w:t>
      </w:r>
      <w:r>
        <w:rPr>
          <w:spacing w:val="-9"/>
          <w:w w:val="95"/>
        </w:rPr>
        <w:t xml:space="preserve"> </w:t>
      </w:r>
      <w:r>
        <w:rPr>
          <w:w w:val="95"/>
        </w:rPr>
        <w:t>issues</w:t>
      </w:r>
      <w:r>
        <w:rPr>
          <w:spacing w:val="-9"/>
          <w:w w:val="95"/>
        </w:rPr>
        <w:t xml:space="preserve"> </w:t>
      </w:r>
      <w:r>
        <w:rPr>
          <w:w w:val="95"/>
        </w:rPr>
        <w:t>include</w:t>
      </w:r>
      <w:r>
        <w:rPr>
          <w:spacing w:val="-9"/>
          <w:w w:val="95"/>
        </w:rPr>
        <w:t xml:space="preserve"> </w:t>
      </w:r>
      <w:r>
        <w:rPr>
          <w:w w:val="95"/>
        </w:rPr>
        <w:t>an</w:t>
      </w:r>
      <w:r>
        <w:rPr>
          <w:spacing w:val="-9"/>
          <w:w w:val="95"/>
        </w:rPr>
        <w:t xml:space="preserve"> </w:t>
      </w:r>
      <w:r>
        <w:rPr>
          <w:w w:val="95"/>
        </w:rPr>
        <w:t>excessive</w:t>
      </w:r>
      <w:r>
        <w:rPr>
          <w:spacing w:val="-9"/>
          <w:w w:val="95"/>
        </w:rPr>
        <w:t xml:space="preserve"> </w:t>
      </w:r>
      <w:r>
        <w:rPr>
          <w:w w:val="95"/>
        </w:rPr>
        <w:t>focus</w:t>
      </w:r>
      <w:r>
        <w:rPr>
          <w:spacing w:val="-9"/>
          <w:w w:val="95"/>
        </w:rPr>
        <w:t xml:space="preserve"> </w:t>
      </w:r>
      <w:r>
        <w:rPr>
          <w:w w:val="95"/>
        </w:rPr>
        <w:t>on big,</w:t>
      </w:r>
      <w:r>
        <w:rPr>
          <w:spacing w:val="-2"/>
          <w:w w:val="95"/>
        </w:rPr>
        <w:t xml:space="preserve"> </w:t>
      </w:r>
      <w:r>
        <w:rPr>
          <w:w w:val="95"/>
        </w:rPr>
        <w:t>long</w:t>
      </w:r>
      <w:r>
        <w:rPr>
          <w:spacing w:val="-2"/>
          <w:w w:val="95"/>
        </w:rPr>
        <w:t xml:space="preserve"> </w:t>
      </w:r>
      <w:r>
        <w:rPr>
          <w:w w:val="95"/>
        </w:rPr>
        <w:t>term</w:t>
      </w:r>
      <w:r>
        <w:rPr>
          <w:spacing w:val="-2"/>
          <w:w w:val="95"/>
        </w:rPr>
        <w:t xml:space="preserve"> </w:t>
      </w:r>
      <w:r>
        <w:rPr>
          <w:w w:val="95"/>
        </w:rPr>
        <w:t>projects</w:t>
      </w:r>
      <w:r>
        <w:rPr>
          <w:spacing w:val="-2"/>
          <w:w w:val="95"/>
        </w:rPr>
        <w:t xml:space="preserve"> </w:t>
      </w:r>
      <w:r>
        <w:rPr>
          <w:w w:val="95"/>
        </w:rPr>
        <w:t>rather</w:t>
      </w:r>
      <w:r>
        <w:rPr>
          <w:spacing w:val="-2"/>
          <w:w w:val="95"/>
        </w:rPr>
        <w:t xml:space="preserve"> </w:t>
      </w:r>
      <w:r>
        <w:rPr>
          <w:w w:val="95"/>
        </w:rPr>
        <w:t>than</w:t>
      </w:r>
      <w:r>
        <w:rPr>
          <w:spacing w:val="-2"/>
          <w:w w:val="95"/>
        </w:rPr>
        <w:t xml:space="preserve"> </w:t>
      </w:r>
      <w:r>
        <w:rPr>
          <w:w w:val="95"/>
        </w:rPr>
        <w:t>an</w:t>
      </w:r>
      <w:r>
        <w:rPr>
          <w:spacing w:val="-2"/>
          <w:w w:val="95"/>
        </w:rPr>
        <w:t xml:space="preserve"> </w:t>
      </w:r>
      <w:r>
        <w:rPr>
          <w:w w:val="95"/>
        </w:rPr>
        <w:t>approach</w:t>
      </w:r>
      <w:r>
        <w:rPr>
          <w:spacing w:val="-2"/>
          <w:w w:val="95"/>
        </w:rPr>
        <w:t xml:space="preserve"> </w:t>
      </w:r>
      <w:r>
        <w:rPr>
          <w:w w:val="95"/>
        </w:rPr>
        <w:t>that encourages</w:t>
      </w:r>
      <w:r>
        <w:rPr>
          <w:spacing w:val="-2"/>
          <w:w w:val="95"/>
        </w:rPr>
        <w:t xml:space="preserve"> </w:t>
      </w:r>
      <w:r>
        <w:rPr>
          <w:w w:val="95"/>
        </w:rPr>
        <w:t>making</w:t>
      </w:r>
      <w:r>
        <w:rPr>
          <w:spacing w:val="-2"/>
          <w:w w:val="95"/>
        </w:rPr>
        <w:t xml:space="preserve"> </w:t>
      </w:r>
      <w:r>
        <w:rPr>
          <w:w w:val="95"/>
        </w:rPr>
        <w:t>the</w:t>
      </w:r>
      <w:r>
        <w:rPr>
          <w:spacing w:val="-2"/>
          <w:w w:val="95"/>
        </w:rPr>
        <w:t xml:space="preserve"> </w:t>
      </w:r>
      <w:r>
        <w:rPr>
          <w:w w:val="95"/>
        </w:rPr>
        <w:t>most</w:t>
      </w:r>
      <w:r>
        <w:rPr>
          <w:spacing w:val="-2"/>
          <w:w w:val="95"/>
        </w:rPr>
        <w:t xml:space="preserve"> </w:t>
      </w:r>
      <w:r>
        <w:rPr>
          <w:w w:val="95"/>
        </w:rPr>
        <w:t>of</w:t>
      </w:r>
      <w:r>
        <w:rPr>
          <w:spacing w:val="-2"/>
          <w:w w:val="95"/>
        </w:rPr>
        <w:t xml:space="preserve"> </w:t>
      </w:r>
      <w:r>
        <w:rPr>
          <w:w w:val="95"/>
        </w:rPr>
        <w:t>existing</w:t>
      </w:r>
      <w:r>
        <w:rPr>
          <w:spacing w:val="-2"/>
          <w:w w:val="95"/>
        </w:rPr>
        <w:t xml:space="preserve"> </w:t>
      </w:r>
      <w:r>
        <w:rPr>
          <w:w w:val="95"/>
        </w:rPr>
        <w:t>assets</w:t>
      </w:r>
      <w:r>
        <w:rPr>
          <w:spacing w:val="-2"/>
          <w:w w:val="95"/>
        </w:rPr>
        <w:t xml:space="preserve"> </w:t>
      </w:r>
      <w:r>
        <w:rPr>
          <w:w w:val="95"/>
        </w:rPr>
        <w:t xml:space="preserve">and </w:t>
      </w:r>
      <w:r>
        <w:t>incremental</w:t>
      </w:r>
      <w:r>
        <w:rPr>
          <w:spacing w:val="-4"/>
        </w:rPr>
        <w:t xml:space="preserve"> </w:t>
      </w:r>
      <w:r>
        <w:t>opportunities</w:t>
      </w:r>
      <w:r>
        <w:rPr>
          <w:spacing w:val="-4"/>
        </w:rPr>
        <w:t xml:space="preserve"> </w:t>
      </w:r>
      <w:r>
        <w:t>and</w:t>
      </w:r>
      <w:r>
        <w:rPr>
          <w:spacing w:val="-4"/>
        </w:rPr>
        <w:t xml:space="preserve"> </w:t>
      </w:r>
      <w:r>
        <w:t>fixing</w:t>
      </w:r>
      <w:r>
        <w:rPr>
          <w:spacing w:val="-4"/>
        </w:rPr>
        <w:t xml:space="preserve"> </w:t>
      </w:r>
      <w:r>
        <w:t>pinch</w:t>
      </w:r>
      <w:r>
        <w:rPr>
          <w:spacing w:val="-4"/>
        </w:rPr>
        <w:t xml:space="preserve"> </w:t>
      </w:r>
      <w:r>
        <w:t>points.</w:t>
      </w:r>
    </w:p>
    <w:p w:rsidR="002C1123" w:rsidRDefault="00F22F94">
      <w:pPr>
        <w:pStyle w:val="BodyText"/>
        <w:spacing w:before="3" w:line="249" w:lineRule="auto"/>
        <w:ind w:left="492" w:right="1"/>
        <w:jc w:val="both"/>
      </w:pPr>
      <w:r>
        <w:rPr>
          <w:w w:val="95"/>
        </w:rPr>
        <w:t>A</w:t>
      </w:r>
      <w:r>
        <w:rPr>
          <w:spacing w:val="-3"/>
          <w:w w:val="95"/>
        </w:rPr>
        <w:t xml:space="preserve"> </w:t>
      </w:r>
      <w:r>
        <w:rPr>
          <w:w w:val="95"/>
        </w:rPr>
        <w:t>pipeline</w:t>
      </w:r>
      <w:r>
        <w:rPr>
          <w:spacing w:val="-1"/>
          <w:w w:val="95"/>
        </w:rPr>
        <w:t xml:space="preserve"> </w:t>
      </w:r>
      <w:r>
        <w:rPr>
          <w:w w:val="95"/>
        </w:rPr>
        <w:t>of</w:t>
      </w:r>
      <w:r>
        <w:rPr>
          <w:spacing w:val="-1"/>
          <w:w w:val="95"/>
        </w:rPr>
        <w:t xml:space="preserve"> </w:t>
      </w:r>
      <w:r>
        <w:rPr>
          <w:w w:val="95"/>
        </w:rPr>
        <w:t>projects</w:t>
      </w:r>
      <w:r>
        <w:rPr>
          <w:spacing w:val="-1"/>
          <w:w w:val="95"/>
        </w:rPr>
        <w:t xml:space="preserve"> </w:t>
      </w:r>
      <w:r>
        <w:rPr>
          <w:w w:val="95"/>
        </w:rPr>
        <w:t>remains</w:t>
      </w:r>
      <w:r>
        <w:rPr>
          <w:spacing w:val="-1"/>
          <w:w w:val="95"/>
        </w:rPr>
        <w:t xml:space="preserve"> </w:t>
      </w:r>
      <w:r>
        <w:rPr>
          <w:w w:val="95"/>
        </w:rPr>
        <w:t>an</w:t>
      </w:r>
      <w:r>
        <w:rPr>
          <w:spacing w:val="-1"/>
          <w:w w:val="95"/>
        </w:rPr>
        <w:t xml:space="preserve"> </w:t>
      </w:r>
      <w:r>
        <w:rPr>
          <w:w w:val="95"/>
        </w:rPr>
        <w:t>important</w:t>
      </w:r>
      <w:r>
        <w:rPr>
          <w:spacing w:val="-1"/>
          <w:w w:val="95"/>
        </w:rPr>
        <w:t xml:space="preserve"> </w:t>
      </w:r>
      <w:r>
        <w:rPr>
          <w:w w:val="95"/>
        </w:rPr>
        <w:t xml:space="preserve">concern, </w:t>
      </w:r>
      <w:r>
        <w:t>particularly</w:t>
      </w:r>
      <w:r>
        <w:rPr>
          <w:spacing w:val="-13"/>
        </w:rPr>
        <w:t xml:space="preserve"> </w:t>
      </w:r>
      <w:r>
        <w:t>to</w:t>
      </w:r>
      <w:r>
        <w:rPr>
          <w:spacing w:val="-13"/>
        </w:rPr>
        <w:t xml:space="preserve"> </w:t>
      </w:r>
      <w:r>
        <w:t>enable</w:t>
      </w:r>
      <w:r>
        <w:rPr>
          <w:spacing w:val="-13"/>
        </w:rPr>
        <w:t xml:space="preserve"> </w:t>
      </w:r>
      <w:r>
        <w:t>private</w:t>
      </w:r>
      <w:r>
        <w:rPr>
          <w:spacing w:val="-13"/>
        </w:rPr>
        <w:t xml:space="preserve"> </w:t>
      </w:r>
      <w:r>
        <w:t>sector</w:t>
      </w:r>
      <w:r>
        <w:rPr>
          <w:spacing w:val="-13"/>
        </w:rPr>
        <w:t xml:space="preserve"> </w:t>
      </w:r>
      <w:r>
        <w:t>investment.</w:t>
      </w:r>
    </w:p>
    <w:p w:rsidR="002C1123" w:rsidRDefault="00F22F94">
      <w:pPr>
        <w:pStyle w:val="BodyText"/>
        <w:spacing w:before="135" w:line="249" w:lineRule="auto"/>
        <w:ind w:left="460"/>
      </w:pPr>
      <w:r>
        <w:br w:type="column"/>
      </w:r>
      <w:r>
        <w:t>The</w:t>
      </w:r>
      <w:r>
        <w:rPr>
          <w:spacing w:val="-12"/>
        </w:rPr>
        <w:t xml:space="preserve"> </w:t>
      </w:r>
      <w:r>
        <w:t>Strategy</w:t>
      </w:r>
      <w:r>
        <w:rPr>
          <w:spacing w:val="-12"/>
        </w:rPr>
        <w:t xml:space="preserve"> </w:t>
      </w:r>
      <w:r>
        <w:t>has</w:t>
      </w:r>
      <w:r>
        <w:rPr>
          <w:spacing w:val="-12"/>
        </w:rPr>
        <w:t xml:space="preserve"> </w:t>
      </w:r>
      <w:r>
        <w:t>focused</w:t>
      </w:r>
      <w:r>
        <w:rPr>
          <w:spacing w:val="-12"/>
        </w:rPr>
        <w:t xml:space="preserve"> </w:t>
      </w:r>
      <w:r>
        <w:t>on</w:t>
      </w:r>
      <w:r>
        <w:rPr>
          <w:spacing w:val="-12"/>
        </w:rPr>
        <w:t xml:space="preserve"> </w:t>
      </w:r>
      <w:r>
        <w:t>ensuring</w:t>
      </w:r>
      <w:r>
        <w:rPr>
          <w:spacing w:val="-12"/>
        </w:rPr>
        <w:t xml:space="preserve"> </w:t>
      </w:r>
      <w:r>
        <w:t>that</w:t>
      </w:r>
      <w:r>
        <w:rPr>
          <w:spacing w:val="-12"/>
        </w:rPr>
        <w:t xml:space="preserve"> </w:t>
      </w:r>
      <w:r>
        <w:t xml:space="preserve">future </w:t>
      </w:r>
      <w:r>
        <w:rPr>
          <w:w w:val="95"/>
        </w:rPr>
        <w:t>investment</w:t>
      </w:r>
      <w:r>
        <w:rPr>
          <w:spacing w:val="-1"/>
          <w:w w:val="95"/>
        </w:rPr>
        <w:t xml:space="preserve"> </w:t>
      </w:r>
      <w:r>
        <w:rPr>
          <w:w w:val="95"/>
        </w:rPr>
        <w:t>supports</w:t>
      </w:r>
      <w:r>
        <w:rPr>
          <w:spacing w:val="-1"/>
          <w:w w:val="95"/>
        </w:rPr>
        <w:t xml:space="preserve"> </w:t>
      </w:r>
      <w:r>
        <w:rPr>
          <w:w w:val="95"/>
        </w:rPr>
        <w:t>rapid</w:t>
      </w:r>
      <w:r>
        <w:rPr>
          <w:spacing w:val="-1"/>
          <w:w w:val="95"/>
        </w:rPr>
        <w:t xml:space="preserve"> </w:t>
      </w:r>
      <w:r>
        <w:rPr>
          <w:w w:val="95"/>
        </w:rPr>
        <w:t>improvement</w:t>
      </w:r>
      <w:r>
        <w:rPr>
          <w:spacing w:val="-1"/>
          <w:w w:val="95"/>
        </w:rPr>
        <w:t xml:space="preserve"> </w:t>
      </w:r>
      <w:r>
        <w:rPr>
          <w:w w:val="95"/>
        </w:rPr>
        <w:t>in</w:t>
      </w:r>
      <w:r>
        <w:rPr>
          <w:spacing w:val="-1"/>
          <w:w w:val="95"/>
        </w:rPr>
        <w:t xml:space="preserve"> </w:t>
      </w:r>
      <w:r>
        <w:rPr>
          <w:w w:val="95"/>
        </w:rPr>
        <w:t>the</w:t>
      </w:r>
      <w:r>
        <w:rPr>
          <w:spacing w:val="-1"/>
          <w:w w:val="95"/>
        </w:rPr>
        <w:t xml:space="preserve"> </w:t>
      </w:r>
      <w:r>
        <w:rPr>
          <w:w w:val="95"/>
        </w:rPr>
        <w:t xml:space="preserve">State’s </w:t>
      </w:r>
      <w:r>
        <w:t>position,</w:t>
      </w:r>
      <w:r>
        <w:rPr>
          <w:spacing w:val="-13"/>
        </w:rPr>
        <w:t xml:space="preserve"> </w:t>
      </w:r>
      <w:r>
        <w:t>with</w:t>
      </w:r>
      <w:r>
        <w:rPr>
          <w:spacing w:val="-13"/>
        </w:rPr>
        <w:t xml:space="preserve"> </w:t>
      </w:r>
      <w:r>
        <w:t>investment</w:t>
      </w:r>
      <w:r>
        <w:rPr>
          <w:spacing w:val="-13"/>
        </w:rPr>
        <w:t xml:space="preserve"> </w:t>
      </w:r>
      <w:r>
        <w:t>targeted</w:t>
      </w:r>
      <w:r>
        <w:rPr>
          <w:spacing w:val="-13"/>
        </w:rPr>
        <w:t xml:space="preserve"> </w:t>
      </w:r>
      <w:r>
        <w:t>at</w:t>
      </w:r>
      <w:r>
        <w:rPr>
          <w:spacing w:val="-13"/>
        </w:rPr>
        <w:t xml:space="preserve"> </w:t>
      </w:r>
      <w:r>
        <w:t>delivering</w:t>
      </w:r>
      <w:r>
        <w:rPr>
          <w:spacing w:val="-13"/>
        </w:rPr>
        <w:t xml:space="preserve"> </w:t>
      </w:r>
      <w:r>
        <w:t>the most</w:t>
      </w:r>
      <w:r>
        <w:rPr>
          <w:spacing w:val="-5"/>
        </w:rPr>
        <w:t xml:space="preserve"> </w:t>
      </w:r>
      <w:r>
        <w:t>benefit</w:t>
      </w:r>
      <w:r>
        <w:rPr>
          <w:spacing w:val="-5"/>
        </w:rPr>
        <w:t xml:space="preserve"> </w:t>
      </w:r>
      <w:r>
        <w:t>to</w:t>
      </w:r>
      <w:r>
        <w:rPr>
          <w:spacing w:val="-5"/>
        </w:rPr>
        <w:t xml:space="preserve"> </w:t>
      </w:r>
      <w:r>
        <w:t>the</w:t>
      </w:r>
      <w:r>
        <w:rPr>
          <w:spacing w:val="-5"/>
        </w:rPr>
        <w:t xml:space="preserve"> </w:t>
      </w:r>
      <w:r>
        <w:t>largest</w:t>
      </w:r>
      <w:r>
        <w:rPr>
          <w:spacing w:val="-5"/>
        </w:rPr>
        <w:t xml:space="preserve"> </w:t>
      </w:r>
      <w:r>
        <w:t>number</w:t>
      </w:r>
      <w:r>
        <w:rPr>
          <w:spacing w:val="-5"/>
        </w:rPr>
        <w:t xml:space="preserve"> </w:t>
      </w:r>
      <w:r>
        <w:t>of</w:t>
      </w:r>
      <w:r>
        <w:rPr>
          <w:spacing w:val="-5"/>
        </w:rPr>
        <w:t xml:space="preserve"> </w:t>
      </w:r>
      <w:r>
        <w:t>people.</w:t>
      </w:r>
    </w:p>
    <w:p w:rsidR="002C1123" w:rsidRDefault="00F22F94">
      <w:pPr>
        <w:pStyle w:val="BodyText"/>
        <w:spacing w:before="144" w:line="249" w:lineRule="auto"/>
        <w:ind w:left="460"/>
      </w:pPr>
      <w:r>
        <w:rPr>
          <w:spacing w:val="-2"/>
        </w:rPr>
        <w:t>This</w:t>
      </w:r>
      <w:r>
        <w:rPr>
          <w:spacing w:val="-8"/>
        </w:rPr>
        <w:t xml:space="preserve"> </w:t>
      </w:r>
      <w:r>
        <w:rPr>
          <w:spacing w:val="-2"/>
        </w:rPr>
        <w:t>Strategy</w:t>
      </w:r>
      <w:r>
        <w:rPr>
          <w:spacing w:val="-8"/>
        </w:rPr>
        <w:t xml:space="preserve"> </w:t>
      </w:r>
      <w:r>
        <w:rPr>
          <w:spacing w:val="-2"/>
        </w:rPr>
        <w:t>is</w:t>
      </w:r>
      <w:r>
        <w:rPr>
          <w:spacing w:val="-8"/>
        </w:rPr>
        <w:t xml:space="preserve"> </w:t>
      </w:r>
      <w:r>
        <w:rPr>
          <w:spacing w:val="-2"/>
        </w:rPr>
        <w:t>Infrastructure</w:t>
      </w:r>
      <w:r>
        <w:rPr>
          <w:spacing w:val="-8"/>
        </w:rPr>
        <w:t xml:space="preserve"> </w:t>
      </w:r>
      <w:r>
        <w:rPr>
          <w:spacing w:val="-2"/>
        </w:rPr>
        <w:t>NSW’s</w:t>
      </w:r>
      <w:r>
        <w:rPr>
          <w:spacing w:val="-8"/>
        </w:rPr>
        <w:t xml:space="preserve"> </w:t>
      </w:r>
      <w:r>
        <w:rPr>
          <w:spacing w:val="-2"/>
        </w:rPr>
        <w:t xml:space="preserve">independent </w:t>
      </w:r>
      <w:r>
        <w:rPr>
          <w:w w:val="95"/>
        </w:rPr>
        <w:t>advice</w:t>
      </w:r>
      <w:r>
        <w:rPr>
          <w:spacing w:val="-6"/>
          <w:w w:val="95"/>
        </w:rPr>
        <w:t xml:space="preserve"> </w:t>
      </w:r>
      <w:r>
        <w:rPr>
          <w:w w:val="95"/>
        </w:rPr>
        <w:t>to</w:t>
      </w:r>
      <w:r>
        <w:rPr>
          <w:spacing w:val="-6"/>
          <w:w w:val="95"/>
        </w:rPr>
        <w:t xml:space="preserve"> </w:t>
      </w:r>
      <w:r>
        <w:rPr>
          <w:w w:val="95"/>
        </w:rPr>
        <w:t>Government</w:t>
      </w:r>
      <w:r>
        <w:rPr>
          <w:spacing w:val="-6"/>
          <w:w w:val="95"/>
        </w:rPr>
        <w:t xml:space="preserve"> </w:t>
      </w:r>
      <w:r>
        <w:rPr>
          <w:w w:val="95"/>
        </w:rPr>
        <w:t>on</w:t>
      </w:r>
      <w:r>
        <w:rPr>
          <w:spacing w:val="-6"/>
          <w:w w:val="95"/>
        </w:rPr>
        <w:t xml:space="preserve"> </w:t>
      </w:r>
      <w:r>
        <w:rPr>
          <w:w w:val="95"/>
        </w:rPr>
        <w:t>the</w:t>
      </w:r>
      <w:r>
        <w:rPr>
          <w:spacing w:val="-6"/>
          <w:w w:val="95"/>
        </w:rPr>
        <w:t xml:space="preserve"> </w:t>
      </w:r>
      <w:r>
        <w:rPr>
          <w:w w:val="95"/>
        </w:rPr>
        <w:t>infrastructure</w:t>
      </w:r>
      <w:r>
        <w:rPr>
          <w:spacing w:val="-6"/>
          <w:w w:val="95"/>
        </w:rPr>
        <w:t xml:space="preserve"> </w:t>
      </w:r>
      <w:r>
        <w:rPr>
          <w:w w:val="95"/>
        </w:rPr>
        <w:t>investments and</w:t>
      </w:r>
      <w:r>
        <w:rPr>
          <w:spacing w:val="-11"/>
          <w:w w:val="95"/>
        </w:rPr>
        <w:t xml:space="preserve"> </w:t>
      </w:r>
      <w:r>
        <w:rPr>
          <w:w w:val="95"/>
        </w:rPr>
        <w:t>reforms</w:t>
      </w:r>
      <w:r>
        <w:rPr>
          <w:spacing w:val="-11"/>
          <w:w w:val="95"/>
        </w:rPr>
        <w:t xml:space="preserve"> </w:t>
      </w:r>
      <w:r>
        <w:rPr>
          <w:w w:val="95"/>
        </w:rPr>
        <w:t>needed</w:t>
      </w:r>
      <w:r>
        <w:rPr>
          <w:spacing w:val="-11"/>
          <w:w w:val="95"/>
        </w:rPr>
        <w:t xml:space="preserve"> </w:t>
      </w:r>
      <w:r>
        <w:rPr>
          <w:w w:val="95"/>
        </w:rPr>
        <w:t>to</w:t>
      </w:r>
      <w:r>
        <w:rPr>
          <w:spacing w:val="-11"/>
          <w:w w:val="95"/>
        </w:rPr>
        <w:t xml:space="preserve"> </w:t>
      </w:r>
      <w:r>
        <w:rPr>
          <w:w w:val="95"/>
        </w:rPr>
        <w:t>‘Make</w:t>
      </w:r>
      <w:r>
        <w:rPr>
          <w:spacing w:val="-11"/>
          <w:w w:val="95"/>
        </w:rPr>
        <w:t xml:space="preserve"> </w:t>
      </w:r>
      <w:r>
        <w:rPr>
          <w:w w:val="95"/>
        </w:rPr>
        <w:t>NSW</w:t>
      </w:r>
      <w:r>
        <w:rPr>
          <w:spacing w:val="-11"/>
          <w:w w:val="95"/>
        </w:rPr>
        <w:t xml:space="preserve"> </w:t>
      </w:r>
      <w:r>
        <w:rPr>
          <w:w w:val="95"/>
        </w:rPr>
        <w:t>Number</w:t>
      </w:r>
      <w:r>
        <w:rPr>
          <w:spacing w:val="-11"/>
          <w:w w:val="95"/>
        </w:rPr>
        <w:t xml:space="preserve"> </w:t>
      </w:r>
      <w:r>
        <w:rPr>
          <w:w w:val="95"/>
        </w:rPr>
        <w:t>One</w:t>
      </w:r>
      <w:r>
        <w:rPr>
          <w:spacing w:val="-11"/>
          <w:w w:val="95"/>
        </w:rPr>
        <w:t xml:space="preserve"> </w:t>
      </w:r>
      <w:r>
        <w:rPr>
          <w:w w:val="95"/>
        </w:rPr>
        <w:t>again’.</w:t>
      </w:r>
    </w:p>
    <w:p w:rsidR="002C1123" w:rsidRDefault="00F22F94">
      <w:pPr>
        <w:pStyle w:val="BodyText"/>
        <w:spacing w:before="145" w:line="249" w:lineRule="auto"/>
        <w:ind w:left="460" w:right="15"/>
      </w:pPr>
      <w:r>
        <w:rPr>
          <w:w w:val="95"/>
        </w:rPr>
        <w:t>Infrastructure</w:t>
      </w:r>
      <w:r>
        <w:rPr>
          <w:spacing w:val="-1"/>
          <w:w w:val="95"/>
        </w:rPr>
        <w:t xml:space="preserve"> </w:t>
      </w:r>
      <w:r>
        <w:rPr>
          <w:w w:val="95"/>
        </w:rPr>
        <w:t>NSW</w:t>
      </w:r>
      <w:r>
        <w:rPr>
          <w:spacing w:val="-1"/>
          <w:w w:val="95"/>
        </w:rPr>
        <w:t xml:space="preserve"> </w:t>
      </w:r>
      <w:r>
        <w:rPr>
          <w:w w:val="95"/>
        </w:rPr>
        <w:t>asked</w:t>
      </w:r>
      <w:r>
        <w:rPr>
          <w:spacing w:val="-1"/>
          <w:w w:val="95"/>
        </w:rPr>
        <w:t xml:space="preserve"> </w:t>
      </w:r>
      <w:r>
        <w:rPr>
          <w:w w:val="95"/>
        </w:rPr>
        <w:t>Deloitte</w:t>
      </w:r>
      <w:r>
        <w:rPr>
          <w:spacing w:val="-1"/>
          <w:w w:val="95"/>
        </w:rPr>
        <w:t xml:space="preserve"> </w:t>
      </w:r>
      <w:r>
        <w:rPr>
          <w:w w:val="95"/>
        </w:rPr>
        <w:t>Access</w:t>
      </w:r>
      <w:r>
        <w:rPr>
          <w:spacing w:val="-1"/>
          <w:w w:val="95"/>
        </w:rPr>
        <w:t xml:space="preserve"> </w:t>
      </w:r>
      <w:r>
        <w:rPr>
          <w:w w:val="95"/>
        </w:rPr>
        <w:t xml:space="preserve">Economics </w:t>
      </w:r>
      <w:r>
        <w:t>to</w:t>
      </w:r>
      <w:r>
        <w:rPr>
          <w:spacing w:val="-9"/>
        </w:rPr>
        <w:t xml:space="preserve"> </w:t>
      </w:r>
      <w:r>
        <w:t>take</w:t>
      </w:r>
      <w:r>
        <w:rPr>
          <w:spacing w:val="-9"/>
        </w:rPr>
        <w:t xml:space="preserve"> </w:t>
      </w:r>
      <w:r>
        <w:t>a</w:t>
      </w:r>
      <w:r>
        <w:rPr>
          <w:spacing w:val="-9"/>
        </w:rPr>
        <w:t xml:space="preserve"> </w:t>
      </w:r>
      <w:r>
        <w:t>whole</w:t>
      </w:r>
      <w:r>
        <w:rPr>
          <w:spacing w:val="-9"/>
        </w:rPr>
        <w:t xml:space="preserve"> </w:t>
      </w:r>
      <w:r>
        <w:t>of</w:t>
      </w:r>
      <w:r>
        <w:rPr>
          <w:spacing w:val="-9"/>
        </w:rPr>
        <w:t xml:space="preserve"> </w:t>
      </w:r>
      <w:r>
        <w:t>economy</w:t>
      </w:r>
      <w:r>
        <w:rPr>
          <w:spacing w:val="-9"/>
        </w:rPr>
        <w:t xml:space="preserve"> </w:t>
      </w:r>
      <w:r>
        <w:t>perspective</w:t>
      </w:r>
      <w:r>
        <w:rPr>
          <w:spacing w:val="-9"/>
        </w:rPr>
        <w:t xml:space="preserve"> </w:t>
      </w:r>
      <w:r>
        <w:t>to</w:t>
      </w:r>
      <w:r>
        <w:rPr>
          <w:spacing w:val="-9"/>
        </w:rPr>
        <w:t xml:space="preserve"> </w:t>
      </w:r>
      <w:r>
        <w:t>assess</w:t>
      </w:r>
    </w:p>
    <w:p w:rsidR="002C1123" w:rsidRDefault="00F22F94">
      <w:pPr>
        <w:pStyle w:val="BodyText"/>
        <w:spacing w:before="1" w:line="249" w:lineRule="auto"/>
        <w:ind w:left="460"/>
      </w:pPr>
      <w:r>
        <w:rPr>
          <w:w w:val="95"/>
        </w:rPr>
        <w:t>the</w:t>
      </w:r>
      <w:r>
        <w:rPr>
          <w:spacing w:val="-6"/>
          <w:w w:val="95"/>
        </w:rPr>
        <w:t xml:space="preserve"> </w:t>
      </w:r>
      <w:r>
        <w:rPr>
          <w:w w:val="95"/>
        </w:rPr>
        <w:t>flow</w:t>
      </w:r>
      <w:r>
        <w:rPr>
          <w:spacing w:val="-6"/>
          <w:w w:val="95"/>
        </w:rPr>
        <w:t xml:space="preserve"> </w:t>
      </w:r>
      <w:r>
        <w:rPr>
          <w:w w:val="95"/>
        </w:rPr>
        <w:t>on</w:t>
      </w:r>
      <w:r>
        <w:rPr>
          <w:spacing w:val="-6"/>
          <w:w w:val="95"/>
        </w:rPr>
        <w:t xml:space="preserve"> </w:t>
      </w:r>
      <w:r>
        <w:rPr>
          <w:w w:val="95"/>
        </w:rPr>
        <w:t>additional</w:t>
      </w:r>
      <w:r>
        <w:rPr>
          <w:spacing w:val="-6"/>
          <w:w w:val="95"/>
        </w:rPr>
        <w:t xml:space="preserve"> </w:t>
      </w:r>
      <w:r>
        <w:rPr>
          <w:w w:val="95"/>
        </w:rPr>
        <w:t>benefits</w:t>
      </w:r>
      <w:r>
        <w:rPr>
          <w:spacing w:val="-6"/>
          <w:w w:val="95"/>
        </w:rPr>
        <w:t xml:space="preserve"> </w:t>
      </w:r>
      <w:r>
        <w:rPr>
          <w:w w:val="95"/>
        </w:rPr>
        <w:t>of</w:t>
      </w:r>
      <w:r>
        <w:rPr>
          <w:spacing w:val="-6"/>
          <w:w w:val="95"/>
        </w:rPr>
        <w:t xml:space="preserve"> </w:t>
      </w:r>
      <w:r>
        <w:rPr>
          <w:w w:val="95"/>
        </w:rPr>
        <w:t xml:space="preserve">infrastructure </w:t>
      </w:r>
      <w:r>
        <w:rPr>
          <w:spacing w:val="-2"/>
        </w:rPr>
        <w:t>recommendations.</w:t>
      </w:r>
    </w:p>
    <w:p w:rsidR="002C1123" w:rsidRDefault="00F22F94">
      <w:pPr>
        <w:pStyle w:val="BodyText"/>
        <w:spacing w:before="144" w:line="249" w:lineRule="auto"/>
        <w:ind w:left="460"/>
      </w:pPr>
      <w:r>
        <w:rPr>
          <w:w w:val="95"/>
        </w:rPr>
        <w:t>Effective</w:t>
      </w:r>
      <w:r>
        <w:rPr>
          <w:spacing w:val="-7"/>
          <w:w w:val="95"/>
        </w:rPr>
        <w:t xml:space="preserve"> </w:t>
      </w:r>
      <w:r>
        <w:rPr>
          <w:w w:val="95"/>
        </w:rPr>
        <w:t>implementation</w:t>
      </w:r>
      <w:r>
        <w:rPr>
          <w:spacing w:val="-7"/>
          <w:w w:val="95"/>
        </w:rPr>
        <w:t xml:space="preserve"> </w:t>
      </w:r>
      <w:r>
        <w:rPr>
          <w:w w:val="95"/>
        </w:rPr>
        <w:t>of</w:t>
      </w:r>
      <w:r>
        <w:rPr>
          <w:spacing w:val="-7"/>
          <w:w w:val="95"/>
        </w:rPr>
        <w:t xml:space="preserve"> </w:t>
      </w:r>
      <w:r>
        <w:rPr>
          <w:w w:val="95"/>
        </w:rPr>
        <w:t>this</w:t>
      </w:r>
      <w:r>
        <w:rPr>
          <w:spacing w:val="-7"/>
          <w:w w:val="95"/>
        </w:rPr>
        <w:t xml:space="preserve"> </w:t>
      </w:r>
      <w:r>
        <w:rPr>
          <w:w w:val="95"/>
        </w:rPr>
        <w:t>strategy</w:t>
      </w:r>
      <w:r>
        <w:rPr>
          <w:spacing w:val="-7"/>
          <w:w w:val="95"/>
        </w:rPr>
        <w:t xml:space="preserve"> </w:t>
      </w:r>
      <w:r>
        <w:rPr>
          <w:w w:val="95"/>
        </w:rPr>
        <w:t>could</w:t>
      </w:r>
      <w:r>
        <w:rPr>
          <w:spacing w:val="-7"/>
          <w:w w:val="95"/>
        </w:rPr>
        <w:t xml:space="preserve"> </w:t>
      </w:r>
      <w:r>
        <w:rPr>
          <w:w w:val="95"/>
        </w:rPr>
        <w:t xml:space="preserve">increase </w:t>
      </w:r>
      <w:r>
        <w:t>the</w:t>
      </w:r>
      <w:r>
        <w:rPr>
          <w:spacing w:val="-13"/>
        </w:rPr>
        <w:t xml:space="preserve"> </w:t>
      </w:r>
      <w:r>
        <w:t>size</w:t>
      </w:r>
      <w:r>
        <w:rPr>
          <w:spacing w:val="-13"/>
        </w:rPr>
        <w:t xml:space="preserve"> </w:t>
      </w:r>
      <w:r>
        <w:t>of</w:t>
      </w:r>
      <w:r>
        <w:rPr>
          <w:spacing w:val="-13"/>
        </w:rPr>
        <w:t xml:space="preserve"> </w:t>
      </w:r>
      <w:r>
        <w:t>the</w:t>
      </w:r>
      <w:r>
        <w:rPr>
          <w:spacing w:val="-13"/>
        </w:rPr>
        <w:t xml:space="preserve"> </w:t>
      </w:r>
      <w:r>
        <w:t>NSW</w:t>
      </w:r>
      <w:r>
        <w:rPr>
          <w:spacing w:val="-13"/>
        </w:rPr>
        <w:t xml:space="preserve"> </w:t>
      </w:r>
      <w:r>
        <w:t>economy</w:t>
      </w:r>
      <w:r>
        <w:rPr>
          <w:spacing w:val="-13"/>
        </w:rPr>
        <w:t xml:space="preserve"> </w:t>
      </w:r>
      <w:r>
        <w:t>by</w:t>
      </w:r>
      <w:r>
        <w:rPr>
          <w:spacing w:val="-13"/>
        </w:rPr>
        <w:t xml:space="preserve"> </w:t>
      </w:r>
      <w:r>
        <w:t>over</w:t>
      </w:r>
      <w:r>
        <w:rPr>
          <w:spacing w:val="-13"/>
        </w:rPr>
        <w:t xml:space="preserve"> </w:t>
      </w:r>
      <w:r>
        <w:t>$50</w:t>
      </w:r>
      <w:r>
        <w:rPr>
          <w:spacing w:val="-13"/>
        </w:rPr>
        <w:t xml:space="preserve"> </w:t>
      </w:r>
      <w:r>
        <w:t xml:space="preserve">billion </w:t>
      </w:r>
      <w:r>
        <w:rPr>
          <w:w w:val="95"/>
        </w:rPr>
        <w:t>(present</w:t>
      </w:r>
      <w:r>
        <w:rPr>
          <w:spacing w:val="-12"/>
          <w:w w:val="95"/>
        </w:rPr>
        <w:t xml:space="preserve"> </w:t>
      </w:r>
      <w:r>
        <w:rPr>
          <w:w w:val="95"/>
        </w:rPr>
        <w:t>value)</w:t>
      </w:r>
      <w:r>
        <w:rPr>
          <w:spacing w:val="-11"/>
          <w:w w:val="95"/>
        </w:rPr>
        <w:t xml:space="preserve"> </w:t>
      </w:r>
      <w:r>
        <w:rPr>
          <w:w w:val="95"/>
        </w:rPr>
        <w:t>or</w:t>
      </w:r>
      <w:r>
        <w:rPr>
          <w:spacing w:val="-11"/>
          <w:w w:val="95"/>
        </w:rPr>
        <w:t xml:space="preserve"> </w:t>
      </w:r>
      <w:r>
        <w:rPr>
          <w:w w:val="95"/>
        </w:rPr>
        <w:t>$18.4</w:t>
      </w:r>
      <w:r>
        <w:rPr>
          <w:spacing w:val="-11"/>
          <w:w w:val="95"/>
        </w:rPr>
        <w:t xml:space="preserve"> </w:t>
      </w:r>
      <w:r>
        <w:rPr>
          <w:w w:val="95"/>
        </w:rPr>
        <w:t>billion</w:t>
      </w:r>
      <w:r>
        <w:rPr>
          <w:spacing w:val="-11"/>
          <w:w w:val="95"/>
        </w:rPr>
        <w:t xml:space="preserve"> </w:t>
      </w:r>
      <w:r>
        <w:rPr>
          <w:w w:val="95"/>
        </w:rPr>
        <w:t>a</w:t>
      </w:r>
      <w:r>
        <w:rPr>
          <w:spacing w:val="-11"/>
          <w:w w:val="95"/>
        </w:rPr>
        <w:t xml:space="preserve"> </w:t>
      </w:r>
      <w:r>
        <w:rPr>
          <w:w w:val="95"/>
        </w:rPr>
        <w:t>year</w:t>
      </w:r>
      <w:r>
        <w:rPr>
          <w:spacing w:val="-11"/>
          <w:w w:val="95"/>
        </w:rPr>
        <w:t xml:space="preserve"> </w:t>
      </w:r>
      <w:r>
        <w:rPr>
          <w:w w:val="95"/>
        </w:rPr>
        <w:t>(in</w:t>
      </w:r>
      <w:r>
        <w:rPr>
          <w:spacing w:val="-11"/>
          <w:w w:val="95"/>
        </w:rPr>
        <w:t xml:space="preserve"> </w:t>
      </w:r>
      <w:r>
        <w:rPr>
          <w:w w:val="95"/>
        </w:rPr>
        <w:t>current</w:t>
      </w:r>
      <w:r>
        <w:rPr>
          <w:spacing w:val="-12"/>
          <w:w w:val="95"/>
        </w:rPr>
        <w:t xml:space="preserve"> </w:t>
      </w:r>
      <w:r>
        <w:rPr>
          <w:w w:val="95"/>
        </w:rPr>
        <w:t>dollars) by</w:t>
      </w:r>
      <w:r>
        <w:rPr>
          <w:spacing w:val="-6"/>
          <w:w w:val="95"/>
        </w:rPr>
        <w:t xml:space="preserve"> </w:t>
      </w:r>
      <w:r>
        <w:rPr>
          <w:w w:val="95"/>
        </w:rPr>
        <w:t>2032.</w:t>
      </w:r>
      <w:r>
        <w:rPr>
          <w:spacing w:val="-6"/>
          <w:w w:val="95"/>
        </w:rPr>
        <w:t xml:space="preserve"> </w:t>
      </w:r>
      <w:r>
        <w:rPr>
          <w:w w:val="95"/>
        </w:rPr>
        <w:t>This</w:t>
      </w:r>
      <w:r>
        <w:rPr>
          <w:spacing w:val="-6"/>
          <w:w w:val="95"/>
        </w:rPr>
        <w:t xml:space="preserve"> </w:t>
      </w:r>
      <w:r>
        <w:rPr>
          <w:w w:val="95"/>
        </w:rPr>
        <w:t>is</w:t>
      </w:r>
      <w:r>
        <w:rPr>
          <w:spacing w:val="-6"/>
          <w:w w:val="95"/>
        </w:rPr>
        <w:t xml:space="preserve"> </w:t>
      </w:r>
      <w:r>
        <w:rPr>
          <w:w w:val="95"/>
        </w:rPr>
        <w:t>around</w:t>
      </w:r>
      <w:r>
        <w:rPr>
          <w:spacing w:val="-6"/>
          <w:w w:val="95"/>
        </w:rPr>
        <w:t xml:space="preserve"> </w:t>
      </w:r>
      <w:r>
        <w:rPr>
          <w:w w:val="95"/>
        </w:rPr>
        <w:t>a</w:t>
      </w:r>
      <w:r>
        <w:rPr>
          <w:spacing w:val="-6"/>
          <w:w w:val="95"/>
        </w:rPr>
        <w:t xml:space="preserve"> </w:t>
      </w:r>
      <w:r>
        <w:rPr>
          <w:w w:val="95"/>
        </w:rPr>
        <w:t>2.4</w:t>
      </w:r>
      <w:r>
        <w:rPr>
          <w:spacing w:val="-6"/>
          <w:w w:val="95"/>
        </w:rPr>
        <w:t xml:space="preserve"> </w:t>
      </w:r>
      <w:r>
        <w:rPr>
          <w:w w:val="95"/>
        </w:rPr>
        <w:t>percent</w:t>
      </w:r>
      <w:r>
        <w:rPr>
          <w:spacing w:val="-6"/>
          <w:w w:val="95"/>
        </w:rPr>
        <w:t xml:space="preserve"> </w:t>
      </w:r>
      <w:r>
        <w:rPr>
          <w:w w:val="95"/>
        </w:rPr>
        <w:t>increase</w:t>
      </w:r>
      <w:r>
        <w:rPr>
          <w:spacing w:val="-6"/>
          <w:w w:val="95"/>
        </w:rPr>
        <w:t xml:space="preserve"> </w:t>
      </w:r>
      <w:r>
        <w:rPr>
          <w:w w:val="95"/>
        </w:rPr>
        <w:t>from</w:t>
      </w:r>
      <w:r>
        <w:rPr>
          <w:spacing w:val="-7"/>
          <w:w w:val="95"/>
        </w:rPr>
        <w:t xml:space="preserve"> </w:t>
      </w:r>
      <w:r>
        <w:rPr>
          <w:w w:val="95"/>
        </w:rPr>
        <w:t xml:space="preserve">the </w:t>
      </w:r>
      <w:r>
        <w:t>forecast</w:t>
      </w:r>
      <w:r>
        <w:rPr>
          <w:spacing w:val="-14"/>
        </w:rPr>
        <w:t xml:space="preserve"> </w:t>
      </w:r>
      <w:r>
        <w:t>baseline</w:t>
      </w:r>
      <w:r>
        <w:rPr>
          <w:spacing w:val="-14"/>
        </w:rPr>
        <w:t xml:space="preserve"> </w:t>
      </w:r>
      <w:r>
        <w:t>which</w:t>
      </w:r>
      <w:r>
        <w:rPr>
          <w:spacing w:val="-14"/>
        </w:rPr>
        <w:t xml:space="preserve"> </w:t>
      </w:r>
      <w:r>
        <w:t>means</w:t>
      </w:r>
      <w:r>
        <w:rPr>
          <w:spacing w:val="-14"/>
        </w:rPr>
        <w:t xml:space="preserve"> </w:t>
      </w:r>
      <w:r>
        <w:t>around</w:t>
      </w:r>
      <w:r>
        <w:rPr>
          <w:spacing w:val="-14"/>
        </w:rPr>
        <w:t xml:space="preserve"> </w:t>
      </w:r>
      <w:r>
        <w:t>100,000</w:t>
      </w:r>
      <w:r>
        <w:rPr>
          <w:spacing w:val="-14"/>
        </w:rPr>
        <w:t xml:space="preserve"> </w:t>
      </w:r>
      <w:r>
        <w:t>extra jobs by 2032.</w:t>
      </w:r>
    </w:p>
    <w:p w:rsidR="002C1123" w:rsidRDefault="00F22F94">
      <w:pPr>
        <w:pStyle w:val="BodyText"/>
        <w:spacing w:before="134" w:line="249" w:lineRule="auto"/>
        <w:ind w:left="428" w:right="833" w:hanging="3"/>
        <w:jc w:val="both"/>
      </w:pPr>
      <w:r>
        <w:br w:type="column"/>
      </w:r>
      <w:r>
        <w:rPr>
          <w:w w:val="95"/>
        </w:rPr>
        <w:t>Our</w:t>
      </w:r>
      <w:r>
        <w:rPr>
          <w:spacing w:val="-2"/>
          <w:w w:val="95"/>
        </w:rPr>
        <w:t xml:space="preserve"> </w:t>
      </w:r>
      <w:r>
        <w:rPr>
          <w:w w:val="95"/>
        </w:rPr>
        <w:t>infrastructure</w:t>
      </w:r>
      <w:r>
        <w:rPr>
          <w:spacing w:val="-2"/>
          <w:w w:val="95"/>
        </w:rPr>
        <w:t xml:space="preserve"> </w:t>
      </w:r>
      <w:r>
        <w:rPr>
          <w:w w:val="95"/>
        </w:rPr>
        <w:t>networks</w:t>
      </w:r>
      <w:r>
        <w:rPr>
          <w:spacing w:val="-2"/>
          <w:w w:val="95"/>
        </w:rPr>
        <w:t xml:space="preserve"> </w:t>
      </w:r>
      <w:r>
        <w:rPr>
          <w:w w:val="95"/>
        </w:rPr>
        <w:t>enable</w:t>
      </w:r>
      <w:r>
        <w:rPr>
          <w:spacing w:val="-2"/>
          <w:w w:val="95"/>
        </w:rPr>
        <w:t xml:space="preserve"> </w:t>
      </w:r>
      <w:r>
        <w:rPr>
          <w:w w:val="95"/>
        </w:rPr>
        <w:t>delivery</w:t>
      </w:r>
      <w:r>
        <w:rPr>
          <w:spacing w:val="-2"/>
          <w:w w:val="95"/>
        </w:rPr>
        <w:t xml:space="preserve"> </w:t>
      </w:r>
      <w:r>
        <w:rPr>
          <w:w w:val="95"/>
        </w:rPr>
        <w:t>of</w:t>
      </w:r>
      <w:r>
        <w:rPr>
          <w:spacing w:val="-2"/>
          <w:w w:val="95"/>
        </w:rPr>
        <w:t xml:space="preserve"> </w:t>
      </w:r>
      <w:r>
        <w:rPr>
          <w:w w:val="95"/>
        </w:rPr>
        <w:t>the</w:t>
      </w:r>
      <w:r>
        <w:rPr>
          <w:spacing w:val="-2"/>
          <w:w w:val="95"/>
        </w:rPr>
        <w:t xml:space="preserve"> </w:t>
      </w:r>
      <w:r>
        <w:rPr>
          <w:w w:val="95"/>
        </w:rPr>
        <w:t>basic facilities</w:t>
      </w:r>
      <w:r>
        <w:rPr>
          <w:spacing w:val="-8"/>
          <w:w w:val="95"/>
        </w:rPr>
        <w:t xml:space="preserve"> </w:t>
      </w:r>
      <w:r>
        <w:rPr>
          <w:w w:val="95"/>
        </w:rPr>
        <w:t>and</w:t>
      </w:r>
      <w:r>
        <w:rPr>
          <w:spacing w:val="-8"/>
          <w:w w:val="95"/>
        </w:rPr>
        <w:t xml:space="preserve"> </w:t>
      </w:r>
      <w:r>
        <w:rPr>
          <w:w w:val="95"/>
        </w:rPr>
        <w:t>services</w:t>
      </w:r>
      <w:r>
        <w:rPr>
          <w:spacing w:val="-8"/>
          <w:w w:val="95"/>
        </w:rPr>
        <w:t xml:space="preserve"> </w:t>
      </w:r>
      <w:r>
        <w:rPr>
          <w:w w:val="95"/>
        </w:rPr>
        <w:t>that</w:t>
      </w:r>
      <w:r>
        <w:rPr>
          <w:spacing w:val="-8"/>
          <w:w w:val="95"/>
        </w:rPr>
        <w:t xml:space="preserve"> </w:t>
      </w:r>
      <w:r>
        <w:rPr>
          <w:w w:val="95"/>
        </w:rPr>
        <w:t>are</w:t>
      </w:r>
      <w:r>
        <w:rPr>
          <w:spacing w:val="-8"/>
          <w:w w:val="95"/>
        </w:rPr>
        <w:t xml:space="preserve"> </w:t>
      </w:r>
      <w:r>
        <w:rPr>
          <w:w w:val="95"/>
        </w:rPr>
        <w:t>the</w:t>
      </w:r>
      <w:r>
        <w:rPr>
          <w:spacing w:val="-8"/>
          <w:w w:val="95"/>
        </w:rPr>
        <w:t xml:space="preserve"> </w:t>
      </w:r>
      <w:r>
        <w:rPr>
          <w:w w:val="95"/>
        </w:rPr>
        <w:t>foundation</w:t>
      </w:r>
      <w:r>
        <w:rPr>
          <w:spacing w:val="-8"/>
          <w:w w:val="95"/>
        </w:rPr>
        <w:t xml:space="preserve"> </w:t>
      </w:r>
      <w:r>
        <w:rPr>
          <w:w w:val="95"/>
        </w:rPr>
        <w:t>stone</w:t>
      </w:r>
      <w:r>
        <w:rPr>
          <w:spacing w:val="-8"/>
          <w:w w:val="95"/>
        </w:rPr>
        <w:t xml:space="preserve"> </w:t>
      </w:r>
      <w:r>
        <w:rPr>
          <w:w w:val="95"/>
        </w:rPr>
        <w:t>for</w:t>
      </w:r>
      <w:r>
        <w:rPr>
          <w:spacing w:val="-8"/>
          <w:w w:val="95"/>
        </w:rPr>
        <w:t xml:space="preserve"> </w:t>
      </w:r>
      <w:r>
        <w:rPr>
          <w:w w:val="95"/>
        </w:rPr>
        <w:t xml:space="preserve">a </w:t>
      </w:r>
      <w:r>
        <w:t>successful State economy and society.</w:t>
      </w:r>
    </w:p>
    <w:p w:rsidR="002C1123" w:rsidRDefault="00F22F94">
      <w:pPr>
        <w:pStyle w:val="BodyText"/>
        <w:spacing w:before="145" w:line="249" w:lineRule="auto"/>
        <w:ind w:left="428" w:right="958" w:hanging="12"/>
        <w:jc w:val="both"/>
      </w:pPr>
      <w:r>
        <w:rPr>
          <w:w w:val="95"/>
        </w:rPr>
        <w:t>A complex and interconnected series of networks and systems</w:t>
      </w:r>
      <w:r>
        <w:rPr>
          <w:spacing w:val="-5"/>
          <w:w w:val="95"/>
        </w:rPr>
        <w:t xml:space="preserve"> </w:t>
      </w:r>
      <w:r>
        <w:rPr>
          <w:w w:val="95"/>
        </w:rPr>
        <w:t>form</w:t>
      </w:r>
      <w:r>
        <w:rPr>
          <w:spacing w:val="-6"/>
          <w:w w:val="95"/>
        </w:rPr>
        <w:t xml:space="preserve"> </w:t>
      </w:r>
      <w:r>
        <w:rPr>
          <w:w w:val="95"/>
        </w:rPr>
        <w:t>the</w:t>
      </w:r>
      <w:r>
        <w:rPr>
          <w:spacing w:val="-5"/>
          <w:w w:val="95"/>
        </w:rPr>
        <w:t xml:space="preserve"> </w:t>
      </w:r>
      <w:r>
        <w:rPr>
          <w:w w:val="95"/>
        </w:rPr>
        <w:t>infrastructure</w:t>
      </w:r>
      <w:r>
        <w:rPr>
          <w:spacing w:val="-5"/>
          <w:w w:val="95"/>
        </w:rPr>
        <w:t xml:space="preserve"> </w:t>
      </w:r>
      <w:r>
        <w:rPr>
          <w:w w:val="95"/>
        </w:rPr>
        <w:t>base</w:t>
      </w:r>
      <w:r>
        <w:rPr>
          <w:spacing w:val="-5"/>
          <w:w w:val="95"/>
        </w:rPr>
        <w:t xml:space="preserve"> </w:t>
      </w:r>
      <w:r>
        <w:rPr>
          <w:w w:val="95"/>
        </w:rPr>
        <w:t>of</w:t>
      </w:r>
      <w:r>
        <w:rPr>
          <w:spacing w:val="-5"/>
          <w:w w:val="95"/>
        </w:rPr>
        <w:t xml:space="preserve"> </w:t>
      </w:r>
      <w:r>
        <w:rPr>
          <w:w w:val="95"/>
        </w:rPr>
        <w:t>NSW,</w:t>
      </w:r>
      <w:r>
        <w:rPr>
          <w:spacing w:val="-5"/>
          <w:w w:val="95"/>
        </w:rPr>
        <w:t xml:space="preserve"> </w:t>
      </w:r>
      <w:r>
        <w:rPr>
          <w:w w:val="95"/>
        </w:rPr>
        <w:t xml:space="preserve">working </w:t>
      </w:r>
      <w:r>
        <w:t>together</w:t>
      </w:r>
      <w:r>
        <w:rPr>
          <w:spacing w:val="-14"/>
        </w:rPr>
        <w:t xml:space="preserve"> </w:t>
      </w:r>
      <w:r>
        <w:t>to</w:t>
      </w:r>
      <w:r>
        <w:rPr>
          <w:spacing w:val="-14"/>
        </w:rPr>
        <w:t xml:space="preserve"> </w:t>
      </w:r>
      <w:r>
        <w:t>deliver</w:t>
      </w:r>
      <w:r>
        <w:rPr>
          <w:spacing w:val="-14"/>
        </w:rPr>
        <w:t xml:space="preserve"> </w:t>
      </w:r>
      <w:r>
        <w:t>these</w:t>
      </w:r>
      <w:r>
        <w:rPr>
          <w:spacing w:val="-14"/>
        </w:rPr>
        <w:t xml:space="preserve"> </w:t>
      </w:r>
      <w:r>
        <w:t>facilities</w:t>
      </w:r>
      <w:r>
        <w:rPr>
          <w:spacing w:val="-14"/>
        </w:rPr>
        <w:t xml:space="preserve"> </w:t>
      </w:r>
      <w:r>
        <w:t>and</w:t>
      </w:r>
      <w:r>
        <w:rPr>
          <w:spacing w:val="-14"/>
        </w:rPr>
        <w:t xml:space="preserve"> </w:t>
      </w:r>
      <w:r>
        <w:t>services.</w:t>
      </w:r>
    </w:p>
    <w:p w:rsidR="002C1123" w:rsidRDefault="00F22F94">
      <w:pPr>
        <w:pStyle w:val="BodyText"/>
        <w:spacing w:before="144" w:line="249" w:lineRule="auto"/>
        <w:ind w:left="428" w:right="667" w:hanging="48"/>
      </w:pPr>
      <w:r>
        <w:t>‘Hard’</w:t>
      </w:r>
      <w:r>
        <w:rPr>
          <w:spacing w:val="-10"/>
        </w:rPr>
        <w:t xml:space="preserve"> </w:t>
      </w:r>
      <w:r>
        <w:t>infrastructure</w:t>
      </w:r>
      <w:r>
        <w:rPr>
          <w:spacing w:val="-10"/>
        </w:rPr>
        <w:t xml:space="preserve"> </w:t>
      </w:r>
      <w:r>
        <w:t>–</w:t>
      </w:r>
      <w:r>
        <w:rPr>
          <w:spacing w:val="-10"/>
        </w:rPr>
        <w:t xml:space="preserve"> </w:t>
      </w:r>
      <w:r>
        <w:t>the</w:t>
      </w:r>
      <w:r>
        <w:rPr>
          <w:spacing w:val="-10"/>
        </w:rPr>
        <w:t xml:space="preserve"> </w:t>
      </w:r>
      <w:r>
        <w:t>large</w:t>
      </w:r>
      <w:r>
        <w:rPr>
          <w:spacing w:val="-10"/>
        </w:rPr>
        <w:t xml:space="preserve"> </w:t>
      </w:r>
      <w:r>
        <w:t>physical</w:t>
      </w:r>
      <w:r>
        <w:rPr>
          <w:spacing w:val="-10"/>
        </w:rPr>
        <w:t xml:space="preserve"> </w:t>
      </w:r>
      <w:r>
        <w:t>networks necessary</w:t>
      </w:r>
      <w:r>
        <w:rPr>
          <w:spacing w:val="-10"/>
        </w:rPr>
        <w:t xml:space="preserve"> </w:t>
      </w:r>
      <w:r>
        <w:t>for</w:t>
      </w:r>
      <w:r>
        <w:rPr>
          <w:spacing w:val="-10"/>
        </w:rPr>
        <w:t xml:space="preserve"> </w:t>
      </w:r>
      <w:r>
        <w:t>the</w:t>
      </w:r>
      <w:r>
        <w:rPr>
          <w:spacing w:val="-10"/>
        </w:rPr>
        <w:t xml:space="preserve"> </w:t>
      </w:r>
      <w:r>
        <w:t>functioning</w:t>
      </w:r>
      <w:r>
        <w:rPr>
          <w:spacing w:val="-10"/>
        </w:rPr>
        <w:t xml:space="preserve"> </w:t>
      </w:r>
      <w:r>
        <w:t>of</w:t>
      </w:r>
      <w:r>
        <w:rPr>
          <w:spacing w:val="-10"/>
        </w:rPr>
        <w:t xml:space="preserve"> </w:t>
      </w:r>
      <w:r>
        <w:t>a</w:t>
      </w:r>
      <w:r>
        <w:rPr>
          <w:spacing w:val="-10"/>
        </w:rPr>
        <w:t xml:space="preserve"> </w:t>
      </w:r>
      <w:r>
        <w:t>modern</w:t>
      </w:r>
      <w:r>
        <w:rPr>
          <w:spacing w:val="-10"/>
        </w:rPr>
        <w:t xml:space="preserve"> </w:t>
      </w:r>
      <w:r>
        <w:t xml:space="preserve">industrial </w:t>
      </w:r>
      <w:r>
        <w:rPr>
          <w:w w:val="95"/>
        </w:rPr>
        <w:t>nation,</w:t>
      </w:r>
      <w:r>
        <w:rPr>
          <w:spacing w:val="-13"/>
          <w:w w:val="95"/>
        </w:rPr>
        <w:t xml:space="preserve"> </w:t>
      </w:r>
      <w:r>
        <w:rPr>
          <w:w w:val="95"/>
        </w:rPr>
        <w:t>such</w:t>
      </w:r>
      <w:r>
        <w:rPr>
          <w:spacing w:val="-12"/>
          <w:w w:val="95"/>
        </w:rPr>
        <w:t xml:space="preserve"> </w:t>
      </w:r>
      <w:r>
        <w:rPr>
          <w:w w:val="95"/>
        </w:rPr>
        <w:t>as</w:t>
      </w:r>
      <w:r>
        <w:rPr>
          <w:spacing w:val="-12"/>
          <w:w w:val="95"/>
        </w:rPr>
        <w:t xml:space="preserve"> </w:t>
      </w:r>
      <w:r>
        <w:rPr>
          <w:w w:val="95"/>
        </w:rPr>
        <w:t>roads,</w:t>
      </w:r>
      <w:r>
        <w:rPr>
          <w:spacing w:val="-12"/>
          <w:w w:val="95"/>
        </w:rPr>
        <w:t xml:space="preserve"> </w:t>
      </w:r>
      <w:r>
        <w:rPr>
          <w:w w:val="95"/>
        </w:rPr>
        <w:t>railways</w:t>
      </w:r>
      <w:r>
        <w:rPr>
          <w:spacing w:val="-13"/>
          <w:w w:val="95"/>
        </w:rPr>
        <w:t xml:space="preserve"> </w:t>
      </w:r>
      <w:r>
        <w:rPr>
          <w:w w:val="95"/>
        </w:rPr>
        <w:t>and</w:t>
      </w:r>
      <w:r>
        <w:rPr>
          <w:spacing w:val="-12"/>
          <w:w w:val="95"/>
        </w:rPr>
        <w:t xml:space="preserve"> </w:t>
      </w:r>
      <w:r>
        <w:rPr>
          <w:w w:val="95"/>
        </w:rPr>
        <w:t>utilities</w:t>
      </w:r>
      <w:r>
        <w:rPr>
          <w:spacing w:val="-12"/>
          <w:w w:val="95"/>
        </w:rPr>
        <w:t xml:space="preserve"> </w:t>
      </w:r>
      <w:r>
        <w:rPr>
          <w:w w:val="95"/>
        </w:rPr>
        <w:t>–</w:t>
      </w:r>
      <w:r>
        <w:rPr>
          <w:spacing w:val="-12"/>
          <w:w w:val="95"/>
        </w:rPr>
        <w:t xml:space="preserve"> </w:t>
      </w:r>
      <w:r>
        <w:rPr>
          <w:w w:val="95"/>
        </w:rPr>
        <w:t>provides</w:t>
      </w:r>
      <w:r>
        <w:rPr>
          <w:spacing w:val="-12"/>
          <w:w w:val="95"/>
        </w:rPr>
        <w:t xml:space="preserve"> </w:t>
      </w:r>
      <w:r>
        <w:rPr>
          <w:w w:val="95"/>
        </w:rPr>
        <w:t xml:space="preserve">the </w:t>
      </w:r>
      <w:r>
        <w:t>people</w:t>
      </w:r>
      <w:r>
        <w:rPr>
          <w:spacing w:val="-13"/>
        </w:rPr>
        <w:t xml:space="preserve"> </w:t>
      </w:r>
      <w:r>
        <w:t>of</w:t>
      </w:r>
      <w:r>
        <w:rPr>
          <w:spacing w:val="-13"/>
        </w:rPr>
        <w:t xml:space="preserve"> </w:t>
      </w:r>
      <w:r>
        <w:t>NSW</w:t>
      </w:r>
      <w:r>
        <w:rPr>
          <w:spacing w:val="-13"/>
        </w:rPr>
        <w:t xml:space="preserve"> </w:t>
      </w:r>
      <w:r>
        <w:t>with</w:t>
      </w:r>
      <w:r>
        <w:rPr>
          <w:spacing w:val="-13"/>
        </w:rPr>
        <w:t xml:space="preserve"> </w:t>
      </w:r>
      <w:r>
        <w:t>the</w:t>
      </w:r>
      <w:r>
        <w:rPr>
          <w:spacing w:val="-13"/>
        </w:rPr>
        <w:t xml:space="preserve"> </w:t>
      </w:r>
      <w:r>
        <w:t>means</w:t>
      </w:r>
      <w:r>
        <w:rPr>
          <w:spacing w:val="-13"/>
        </w:rPr>
        <w:t xml:space="preserve"> </w:t>
      </w:r>
      <w:r>
        <w:t>to</w:t>
      </w:r>
      <w:r>
        <w:rPr>
          <w:spacing w:val="-13"/>
        </w:rPr>
        <w:t xml:space="preserve"> </w:t>
      </w:r>
      <w:r>
        <w:t>get</w:t>
      </w:r>
      <w:r>
        <w:rPr>
          <w:spacing w:val="-13"/>
        </w:rPr>
        <w:t xml:space="preserve"> </w:t>
      </w:r>
      <w:r>
        <w:t>to</w:t>
      </w:r>
      <w:r>
        <w:rPr>
          <w:spacing w:val="-13"/>
        </w:rPr>
        <w:t xml:space="preserve"> </w:t>
      </w:r>
      <w:r>
        <w:t>and</w:t>
      </w:r>
      <w:r>
        <w:rPr>
          <w:spacing w:val="-13"/>
        </w:rPr>
        <w:t xml:space="preserve"> </w:t>
      </w:r>
      <w:r>
        <w:t>from</w:t>
      </w:r>
      <w:r>
        <w:rPr>
          <w:spacing w:val="-13"/>
        </w:rPr>
        <w:t xml:space="preserve"> </w:t>
      </w:r>
      <w:r>
        <w:t xml:space="preserve">work </w:t>
      </w:r>
      <w:r>
        <w:rPr>
          <w:spacing w:val="-2"/>
        </w:rPr>
        <w:t>and</w:t>
      </w:r>
      <w:r>
        <w:rPr>
          <w:spacing w:val="-11"/>
        </w:rPr>
        <w:t xml:space="preserve"> </w:t>
      </w:r>
      <w:r>
        <w:rPr>
          <w:spacing w:val="-2"/>
        </w:rPr>
        <w:t>family.</w:t>
      </w:r>
      <w:r>
        <w:rPr>
          <w:spacing w:val="-11"/>
        </w:rPr>
        <w:t xml:space="preserve"> </w:t>
      </w:r>
      <w:r>
        <w:rPr>
          <w:spacing w:val="-2"/>
        </w:rPr>
        <w:t>It</w:t>
      </w:r>
      <w:r>
        <w:rPr>
          <w:spacing w:val="-11"/>
        </w:rPr>
        <w:t xml:space="preserve"> </w:t>
      </w:r>
      <w:r>
        <w:rPr>
          <w:spacing w:val="-2"/>
        </w:rPr>
        <w:t>also</w:t>
      </w:r>
      <w:r>
        <w:rPr>
          <w:spacing w:val="-11"/>
        </w:rPr>
        <w:t xml:space="preserve"> </w:t>
      </w:r>
      <w:r>
        <w:rPr>
          <w:spacing w:val="-2"/>
        </w:rPr>
        <w:t>gives</w:t>
      </w:r>
      <w:r>
        <w:rPr>
          <w:spacing w:val="-11"/>
        </w:rPr>
        <w:t xml:space="preserve"> </w:t>
      </w:r>
      <w:r>
        <w:rPr>
          <w:spacing w:val="-2"/>
        </w:rPr>
        <w:t>them</w:t>
      </w:r>
      <w:r>
        <w:rPr>
          <w:spacing w:val="-12"/>
        </w:rPr>
        <w:t xml:space="preserve"> </w:t>
      </w:r>
      <w:r>
        <w:rPr>
          <w:spacing w:val="-2"/>
        </w:rPr>
        <w:t>access</w:t>
      </w:r>
      <w:r>
        <w:rPr>
          <w:spacing w:val="-11"/>
        </w:rPr>
        <w:t xml:space="preserve"> </w:t>
      </w:r>
      <w:r>
        <w:rPr>
          <w:spacing w:val="-2"/>
        </w:rPr>
        <w:t>to</w:t>
      </w:r>
      <w:r>
        <w:rPr>
          <w:spacing w:val="-11"/>
        </w:rPr>
        <w:t xml:space="preserve"> </w:t>
      </w:r>
      <w:r>
        <w:rPr>
          <w:spacing w:val="-2"/>
        </w:rPr>
        <w:t>everything</w:t>
      </w:r>
      <w:r>
        <w:rPr>
          <w:spacing w:val="-11"/>
        </w:rPr>
        <w:t xml:space="preserve"> </w:t>
      </w:r>
      <w:r>
        <w:rPr>
          <w:spacing w:val="-2"/>
        </w:rPr>
        <w:t xml:space="preserve">from </w:t>
      </w:r>
      <w:r>
        <w:rPr>
          <w:w w:val="95"/>
        </w:rPr>
        <w:t>safe</w:t>
      </w:r>
      <w:r>
        <w:rPr>
          <w:spacing w:val="-8"/>
          <w:w w:val="95"/>
        </w:rPr>
        <w:t xml:space="preserve"> </w:t>
      </w:r>
      <w:r>
        <w:rPr>
          <w:w w:val="95"/>
        </w:rPr>
        <w:t>drinking</w:t>
      </w:r>
      <w:r>
        <w:rPr>
          <w:spacing w:val="-8"/>
          <w:w w:val="95"/>
        </w:rPr>
        <w:t xml:space="preserve"> </w:t>
      </w:r>
      <w:r>
        <w:rPr>
          <w:w w:val="95"/>
        </w:rPr>
        <w:t>water</w:t>
      </w:r>
      <w:r>
        <w:rPr>
          <w:spacing w:val="-8"/>
          <w:w w:val="95"/>
        </w:rPr>
        <w:t xml:space="preserve"> </w:t>
      </w:r>
      <w:r>
        <w:rPr>
          <w:w w:val="95"/>
        </w:rPr>
        <w:t>to</w:t>
      </w:r>
      <w:r>
        <w:rPr>
          <w:spacing w:val="-8"/>
          <w:w w:val="95"/>
        </w:rPr>
        <w:t xml:space="preserve"> </w:t>
      </w:r>
      <w:r>
        <w:rPr>
          <w:w w:val="95"/>
        </w:rPr>
        <w:t>internet</w:t>
      </w:r>
      <w:r>
        <w:rPr>
          <w:spacing w:val="-8"/>
          <w:w w:val="95"/>
        </w:rPr>
        <w:t xml:space="preserve"> </w:t>
      </w:r>
      <w:r>
        <w:rPr>
          <w:w w:val="95"/>
        </w:rPr>
        <w:t>connections</w:t>
      </w:r>
      <w:r>
        <w:rPr>
          <w:spacing w:val="-8"/>
          <w:w w:val="95"/>
        </w:rPr>
        <w:t xml:space="preserve"> </w:t>
      </w:r>
      <w:r>
        <w:rPr>
          <w:w w:val="95"/>
        </w:rPr>
        <w:t>and</w:t>
      </w:r>
      <w:r>
        <w:rPr>
          <w:spacing w:val="-8"/>
          <w:w w:val="95"/>
        </w:rPr>
        <w:t xml:space="preserve"> </w:t>
      </w:r>
      <w:r>
        <w:rPr>
          <w:w w:val="95"/>
        </w:rPr>
        <w:t xml:space="preserve">electricity </w:t>
      </w:r>
      <w:r>
        <w:t>to</w:t>
      </w:r>
      <w:r>
        <w:rPr>
          <w:spacing w:val="-15"/>
        </w:rPr>
        <w:t xml:space="preserve"> </w:t>
      </w:r>
      <w:r>
        <w:t>run</w:t>
      </w:r>
      <w:r>
        <w:rPr>
          <w:spacing w:val="-15"/>
        </w:rPr>
        <w:t xml:space="preserve"> </w:t>
      </w:r>
      <w:r>
        <w:t>the</w:t>
      </w:r>
      <w:r>
        <w:rPr>
          <w:spacing w:val="-14"/>
        </w:rPr>
        <w:t xml:space="preserve"> </w:t>
      </w:r>
      <w:r>
        <w:t>operating</w:t>
      </w:r>
      <w:r>
        <w:rPr>
          <w:spacing w:val="-14"/>
        </w:rPr>
        <w:t xml:space="preserve"> </w:t>
      </w:r>
      <w:r>
        <w:t>theatre</w:t>
      </w:r>
      <w:r>
        <w:rPr>
          <w:spacing w:val="-14"/>
        </w:rPr>
        <w:t xml:space="preserve"> </w:t>
      </w:r>
      <w:r>
        <w:t>equipment</w:t>
      </w:r>
      <w:r>
        <w:rPr>
          <w:spacing w:val="-14"/>
        </w:rPr>
        <w:t xml:space="preserve"> </w:t>
      </w:r>
      <w:r>
        <w:t>that</w:t>
      </w:r>
      <w:r>
        <w:rPr>
          <w:spacing w:val="-14"/>
        </w:rPr>
        <w:t xml:space="preserve"> </w:t>
      </w:r>
      <w:r>
        <w:t>saves</w:t>
      </w:r>
      <w:r>
        <w:rPr>
          <w:spacing w:val="-14"/>
        </w:rPr>
        <w:t xml:space="preserve"> </w:t>
      </w:r>
      <w:r>
        <w:t xml:space="preserve">lives </w:t>
      </w:r>
      <w:r>
        <w:rPr>
          <w:w w:val="95"/>
        </w:rPr>
        <w:t xml:space="preserve">in our hospitals. From the mundane to the life-changing, </w:t>
      </w:r>
      <w:r>
        <w:t>these</w:t>
      </w:r>
      <w:r>
        <w:rPr>
          <w:spacing w:val="-10"/>
        </w:rPr>
        <w:t xml:space="preserve"> </w:t>
      </w:r>
      <w:r>
        <w:t>hard</w:t>
      </w:r>
      <w:r>
        <w:rPr>
          <w:spacing w:val="-10"/>
        </w:rPr>
        <w:t xml:space="preserve"> </w:t>
      </w:r>
      <w:r>
        <w:t>infrastructure</w:t>
      </w:r>
      <w:r>
        <w:rPr>
          <w:spacing w:val="-10"/>
        </w:rPr>
        <w:t xml:space="preserve"> </w:t>
      </w:r>
      <w:r>
        <w:t>networks</w:t>
      </w:r>
      <w:r>
        <w:rPr>
          <w:spacing w:val="-10"/>
        </w:rPr>
        <w:t xml:space="preserve"> </w:t>
      </w:r>
      <w:r>
        <w:t>make</w:t>
      </w:r>
      <w:r>
        <w:rPr>
          <w:spacing w:val="-10"/>
        </w:rPr>
        <w:t xml:space="preserve"> </w:t>
      </w:r>
      <w:r>
        <w:t>NSW</w:t>
      </w:r>
      <w:r>
        <w:rPr>
          <w:spacing w:val="-10"/>
        </w:rPr>
        <w:t xml:space="preserve"> </w:t>
      </w:r>
      <w:r>
        <w:t>tick.</w:t>
      </w:r>
    </w:p>
    <w:p w:rsidR="002C1123" w:rsidRDefault="00F22F94">
      <w:pPr>
        <w:pStyle w:val="BodyText"/>
        <w:spacing w:before="149" w:line="249" w:lineRule="auto"/>
        <w:ind w:left="426" w:right="779" w:firstLine="3"/>
      </w:pPr>
      <w:r>
        <w:rPr>
          <w:w w:val="95"/>
        </w:rPr>
        <w:t>Hard</w:t>
      </w:r>
      <w:r>
        <w:rPr>
          <w:spacing w:val="-5"/>
          <w:w w:val="95"/>
        </w:rPr>
        <w:t xml:space="preserve"> </w:t>
      </w:r>
      <w:r>
        <w:rPr>
          <w:w w:val="95"/>
        </w:rPr>
        <w:t>infrastructure</w:t>
      </w:r>
      <w:r>
        <w:rPr>
          <w:spacing w:val="-5"/>
          <w:w w:val="95"/>
        </w:rPr>
        <w:t xml:space="preserve"> </w:t>
      </w:r>
      <w:r>
        <w:rPr>
          <w:w w:val="95"/>
        </w:rPr>
        <w:t>networks</w:t>
      </w:r>
      <w:r>
        <w:rPr>
          <w:spacing w:val="-5"/>
          <w:w w:val="95"/>
        </w:rPr>
        <w:t xml:space="preserve"> </w:t>
      </w:r>
      <w:r>
        <w:rPr>
          <w:w w:val="95"/>
        </w:rPr>
        <w:t>in</w:t>
      </w:r>
      <w:r>
        <w:rPr>
          <w:spacing w:val="-5"/>
          <w:w w:val="95"/>
        </w:rPr>
        <w:t xml:space="preserve"> </w:t>
      </w:r>
      <w:r>
        <w:rPr>
          <w:w w:val="95"/>
        </w:rPr>
        <w:t>turn</w:t>
      </w:r>
      <w:r>
        <w:rPr>
          <w:spacing w:val="-5"/>
          <w:w w:val="95"/>
        </w:rPr>
        <w:t xml:space="preserve"> </w:t>
      </w:r>
      <w:r>
        <w:rPr>
          <w:w w:val="95"/>
        </w:rPr>
        <w:t>enable</w:t>
      </w:r>
      <w:r>
        <w:rPr>
          <w:spacing w:val="-5"/>
          <w:w w:val="95"/>
        </w:rPr>
        <w:t xml:space="preserve"> </w:t>
      </w:r>
      <w:r>
        <w:rPr>
          <w:w w:val="95"/>
        </w:rPr>
        <w:t>the</w:t>
      </w:r>
      <w:r>
        <w:rPr>
          <w:spacing w:val="-5"/>
          <w:w w:val="95"/>
        </w:rPr>
        <w:t xml:space="preserve"> </w:t>
      </w:r>
      <w:r>
        <w:rPr>
          <w:w w:val="95"/>
        </w:rPr>
        <w:t xml:space="preserve">delivery </w:t>
      </w:r>
      <w:r>
        <w:t>of</w:t>
      </w:r>
      <w:r>
        <w:rPr>
          <w:spacing w:val="-9"/>
        </w:rPr>
        <w:t xml:space="preserve"> </w:t>
      </w:r>
      <w:r>
        <w:t>what</w:t>
      </w:r>
      <w:r>
        <w:rPr>
          <w:spacing w:val="-9"/>
        </w:rPr>
        <w:t xml:space="preserve"> </w:t>
      </w:r>
      <w:r>
        <w:t>is</w:t>
      </w:r>
      <w:r>
        <w:rPr>
          <w:spacing w:val="-9"/>
        </w:rPr>
        <w:t xml:space="preserve"> </w:t>
      </w:r>
      <w:r>
        <w:t>known</w:t>
      </w:r>
      <w:r>
        <w:rPr>
          <w:spacing w:val="-9"/>
        </w:rPr>
        <w:t xml:space="preserve"> </w:t>
      </w:r>
      <w:r>
        <w:t>as</w:t>
      </w:r>
      <w:r>
        <w:rPr>
          <w:spacing w:val="-9"/>
        </w:rPr>
        <w:t xml:space="preserve"> </w:t>
      </w:r>
      <w:r>
        <w:t>‘soft’</w:t>
      </w:r>
      <w:r>
        <w:rPr>
          <w:spacing w:val="-9"/>
        </w:rPr>
        <w:t xml:space="preserve"> </w:t>
      </w:r>
      <w:r>
        <w:t>infrastructure</w:t>
      </w:r>
      <w:r>
        <w:rPr>
          <w:spacing w:val="-9"/>
        </w:rPr>
        <w:t xml:space="preserve"> </w:t>
      </w:r>
      <w:r>
        <w:t>–</w:t>
      </w:r>
      <w:r>
        <w:rPr>
          <w:spacing w:val="-9"/>
        </w:rPr>
        <w:t xml:space="preserve"> </w:t>
      </w:r>
      <w:r>
        <w:t>all</w:t>
      </w:r>
      <w:r>
        <w:rPr>
          <w:spacing w:val="-9"/>
        </w:rPr>
        <w:t xml:space="preserve"> </w:t>
      </w:r>
      <w:r>
        <w:t xml:space="preserve">the </w:t>
      </w:r>
      <w:r>
        <w:rPr>
          <w:w w:val="95"/>
        </w:rPr>
        <w:t xml:space="preserve">institutions that are required to maintain the economic, health, cultural and social standards of the State, such </w:t>
      </w:r>
      <w:r>
        <w:rPr>
          <w:spacing w:val="-2"/>
        </w:rPr>
        <w:t>as</w:t>
      </w:r>
      <w:r>
        <w:rPr>
          <w:spacing w:val="-9"/>
        </w:rPr>
        <w:t xml:space="preserve"> </w:t>
      </w:r>
      <w:r>
        <w:rPr>
          <w:spacing w:val="-2"/>
        </w:rPr>
        <w:t>the</w:t>
      </w:r>
      <w:r>
        <w:rPr>
          <w:spacing w:val="-9"/>
        </w:rPr>
        <w:t xml:space="preserve"> </w:t>
      </w:r>
      <w:r>
        <w:rPr>
          <w:spacing w:val="-2"/>
        </w:rPr>
        <w:t>financial</w:t>
      </w:r>
      <w:r>
        <w:rPr>
          <w:spacing w:val="-9"/>
        </w:rPr>
        <w:t xml:space="preserve"> </w:t>
      </w:r>
      <w:r>
        <w:rPr>
          <w:spacing w:val="-2"/>
        </w:rPr>
        <w:t>system,</w:t>
      </w:r>
      <w:r>
        <w:rPr>
          <w:spacing w:val="-9"/>
        </w:rPr>
        <w:t xml:space="preserve"> </w:t>
      </w:r>
      <w:r>
        <w:rPr>
          <w:spacing w:val="-2"/>
        </w:rPr>
        <w:t>the</w:t>
      </w:r>
      <w:r>
        <w:rPr>
          <w:spacing w:val="-9"/>
        </w:rPr>
        <w:t xml:space="preserve"> </w:t>
      </w:r>
      <w:r>
        <w:rPr>
          <w:spacing w:val="-2"/>
        </w:rPr>
        <w:t>education</w:t>
      </w:r>
      <w:r>
        <w:rPr>
          <w:spacing w:val="-9"/>
        </w:rPr>
        <w:t xml:space="preserve"> </w:t>
      </w:r>
      <w:r>
        <w:rPr>
          <w:spacing w:val="-2"/>
        </w:rPr>
        <w:t>system</w:t>
      </w:r>
      <w:r>
        <w:rPr>
          <w:spacing w:val="-10"/>
        </w:rPr>
        <w:t xml:space="preserve"> </w:t>
      </w:r>
      <w:r>
        <w:rPr>
          <w:spacing w:val="-2"/>
        </w:rPr>
        <w:t>and</w:t>
      </w:r>
      <w:r>
        <w:rPr>
          <w:spacing w:val="-9"/>
        </w:rPr>
        <w:t xml:space="preserve"> </w:t>
      </w:r>
      <w:r>
        <w:rPr>
          <w:spacing w:val="-2"/>
        </w:rPr>
        <w:t xml:space="preserve">the </w:t>
      </w:r>
      <w:r>
        <w:t>healthcare</w:t>
      </w:r>
      <w:r>
        <w:rPr>
          <w:spacing w:val="-11"/>
        </w:rPr>
        <w:t xml:space="preserve"> </w:t>
      </w:r>
      <w:r>
        <w:t>system.</w:t>
      </w:r>
    </w:p>
    <w:p w:rsidR="002C1123" w:rsidRDefault="00F22F94">
      <w:pPr>
        <w:pStyle w:val="BodyText"/>
        <w:spacing w:before="147" w:line="249" w:lineRule="auto"/>
        <w:ind w:left="431" w:right="779" w:hanging="26"/>
      </w:pPr>
      <w:r>
        <w:rPr>
          <w:w w:val="95"/>
        </w:rPr>
        <w:t>Together,</w:t>
      </w:r>
      <w:r>
        <w:rPr>
          <w:spacing w:val="-1"/>
          <w:w w:val="95"/>
        </w:rPr>
        <w:t xml:space="preserve"> </w:t>
      </w:r>
      <w:r>
        <w:rPr>
          <w:w w:val="95"/>
        </w:rPr>
        <w:t>these</w:t>
      </w:r>
      <w:r>
        <w:rPr>
          <w:spacing w:val="-1"/>
          <w:w w:val="95"/>
        </w:rPr>
        <w:t xml:space="preserve"> </w:t>
      </w:r>
      <w:r>
        <w:rPr>
          <w:w w:val="95"/>
        </w:rPr>
        <w:t>networks</w:t>
      </w:r>
      <w:r>
        <w:rPr>
          <w:spacing w:val="-1"/>
          <w:w w:val="95"/>
        </w:rPr>
        <w:t xml:space="preserve"> </w:t>
      </w:r>
      <w:r>
        <w:rPr>
          <w:w w:val="95"/>
        </w:rPr>
        <w:t>provide</w:t>
      </w:r>
      <w:r>
        <w:rPr>
          <w:spacing w:val="-1"/>
          <w:w w:val="95"/>
        </w:rPr>
        <w:t xml:space="preserve"> </w:t>
      </w:r>
      <w:r>
        <w:rPr>
          <w:w w:val="95"/>
        </w:rPr>
        <w:t>the</w:t>
      </w:r>
      <w:r>
        <w:rPr>
          <w:spacing w:val="-1"/>
          <w:w w:val="95"/>
        </w:rPr>
        <w:t xml:space="preserve"> </w:t>
      </w:r>
      <w:r>
        <w:rPr>
          <w:w w:val="95"/>
        </w:rPr>
        <w:t>quality</w:t>
      </w:r>
      <w:r>
        <w:rPr>
          <w:spacing w:val="-1"/>
          <w:w w:val="95"/>
        </w:rPr>
        <w:t xml:space="preserve"> </w:t>
      </w:r>
      <w:r>
        <w:rPr>
          <w:w w:val="95"/>
        </w:rPr>
        <w:t>of</w:t>
      </w:r>
      <w:r>
        <w:rPr>
          <w:spacing w:val="-1"/>
          <w:w w:val="95"/>
        </w:rPr>
        <w:t xml:space="preserve"> </w:t>
      </w:r>
      <w:r>
        <w:rPr>
          <w:w w:val="95"/>
        </w:rPr>
        <w:t>life</w:t>
      </w:r>
      <w:r>
        <w:rPr>
          <w:spacing w:val="-1"/>
          <w:w w:val="95"/>
        </w:rPr>
        <w:t xml:space="preserve"> </w:t>
      </w:r>
      <w:r>
        <w:rPr>
          <w:w w:val="95"/>
        </w:rPr>
        <w:t>and breadth</w:t>
      </w:r>
      <w:r>
        <w:rPr>
          <w:spacing w:val="-3"/>
          <w:w w:val="95"/>
        </w:rPr>
        <w:t xml:space="preserve"> </w:t>
      </w:r>
      <w:r>
        <w:rPr>
          <w:w w:val="95"/>
        </w:rPr>
        <w:t>of</w:t>
      </w:r>
      <w:r>
        <w:rPr>
          <w:spacing w:val="-3"/>
          <w:w w:val="95"/>
        </w:rPr>
        <w:t xml:space="preserve"> </w:t>
      </w:r>
      <w:r>
        <w:rPr>
          <w:w w:val="95"/>
        </w:rPr>
        <w:t>opportunity</w:t>
      </w:r>
      <w:r>
        <w:rPr>
          <w:spacing w:val="-3"/>
          <w:w w:val="95"/>
        </w:rPr>
        <w:t xml:space="preserve"> </w:t>
      </w:r>
      <w:r>
        <w:rPr>
          <w:w w:val="95"/>
        </w:rPr>
        <w:t>that</w:t>
      </w:r>
      <w:r>
        <w:rPr>
          <w:spacing w:val="-3"/>
          <w:w w:val="95"/>
        </w:rPr>
        <w:t xml:space="preserve"> </w:t>
      </w:r>
      <w:r>
        <w:rPr>
          <w:w w:val="95"/>
        </w:rPr>
        <w:t>have</w:t>
      </w:r>
      <w:r>
        <w:rPr>
          <w:spacing w:val="-3"/>
          <w:w w:val="95"/>
        </w:rPr>
        <w:t xml:space="preserve"> </w:t>
      </w:r>
      <w:r>
        <w:rPr>
          <w:w w:val="95"/>
        </w:rPr>
        <w:t>made</w:t>
      </w:r>
      <w:r>
        <w:rPr>
          <w:spacing w:val="-3"/>
          <w:w w:val="95"/>
        </w:rPr>
        <w:t xml:space="preserve"> </w:t>
      </w:r>
      <w:r>
        <w:rPr>
          <w:w w:val="95"/>
        </w:rPr>
        <w:t>NSW</w:t>
      </w:r>
      <w:r>
        <w:rPr>
          <w:spacing w:val="-3"/>
          <w:w w:val="95"/>
        </w:rPr>
        <w:t xml:space="preserve"> </w:t>
      </w:r>
      <w:r>
        <w:rPr>
          <w:w w:val="95"/>
        </w:rPr>
        <w:t>one</w:t>
      </w:r>
      <w:r>
        <w:rPr>
          <w:spacing w:val="-3"/>
          <w:w w:val="95"/>
        </w:rPr>
        <w:t xml:space="preserve"> </w:t>
      </w:r>
      <w:r>
        <w:rPr>
          <w:w w:val="95"/>
        </w:rPr>
        <w:t>of</w:t>
      </w:r>
      <w:r>
        <w:rPr>
          <w:spacing w:val="-3"/>
          <w:w w:val="95"/>
        </w:rPr>
        <w:t xml:space="preserve"> </w:t>
      </w:r>
      <w:r>
        <w:rPr>
          <w:w w:val="95"/>
        </w:rPr>
        <w:t xml:space="preserve">the </w:t>
      </w:r>
      <w:r>
        <w:t>best</w:t>
      </w:r>
      <w:r>
        <w:rPr>
          <w:spacing w:val="-1"/>
        </w:rPr>
        <w:t xml:space="preserve"> </w:t>
      </w:r>
      <w:r>
        <w:t>places</w:t>
      </w:r>
      <w:r>
        <w:rPr>
          <w:spacing w:val="-1"/>
        </w:rPr>
        <w:t xml:space="preserve"> </w:t>
      </w:r>
      <w:r>
        <w:t>in</w:t>
      </w:r>
      <w:r>
        <w:rPr>
          <w:spacing w:val="-1"/>
        </w:rPr>
        <w:t xml:space="preserve"> </w:t>
      </w:r>
      <w:r>
        <w:t>the</w:t>
      </w:r>
      <w:r>
        <w:rPr>
          <w:spacing w:val="-1"/>
        </w:rPr>
        <w:t xml:space="preserve"> </w:t>
      </w:r>
      <w:r>
        <w:t>world</w:t>
      </w:r>
      <w:r>
        <w:rPr>
          <w:spacing w:val="-1"/>
        </w:rPr>
        <w:t xml:space="preserve"> </w:t>
      </w:r>
      <w:r>
        <w:t>to</w:t>
      </w:r>
      <w:r>
        <w:rPr>
          <w:spacing w:val="-1"/>
        </w:rPr>
        <w:t xml:space="preserve"> </w:t>
      </w:r>
      <w:r>
        <w:t>live.</w:t>
      </w:r>
    </w:p>
    <w:p w:rsidR="002C1123" w:rsidRDefault="00F22F94">
      <w:pPr>
        <w:pStyle w:val="BodyText"/>
        <w:spacing w:before="144" w:line="249" w:lineRule="auto"/>
        <w:ind w:left="431" w:right="779" w:hanging="3"/>
      </w:pPr>
      <w:r>
        <w:rPr>
          <w:w w:val="95"/>
        </w:rPr>
        <w:t>Protecting</w:t>
      </w:r>
      <w:r>
        <w:rPr>
          <w:spacing w:val="-4"/>
          <w:w w:val="95"/>
        </w:rPr>
        <w:t xml:space="preserve"> </w:t>
      </w:r>
      <w:r>
        <w:rPr>
          <w:w w:val="95"/>
        </w:rPr>
        <w:t>that</w:t>
      </w:r>
      <w:r>
        <w:rPr>
          <w:spacing w:val="-4"/>
          <w:w w:val="95"/>
        </w:rPr>
        <w:t xml:space="preserve"> </w:t>
      </w:r>
      <w:r>
        <w:rPr>
          <w:w w:val="95"/>
        </w:rPr>
        <w:t>quality</w:t>
      </w:r>
      <w:r>
        <w:rPr>
          <w:spacing w:val="-4"/>
          <w:w w:val="95"/>
        </w:rPr>
        <w:t xml:space="preserve"> </w:t>
      </w:r>
      <w:r>
        <w:rPr>
          <w:w w:val="95"/>
        </w:rPr>
        <w:t>of</w:t>
      </w:r>
      <w:r>
        <w:rPr>
          <w:spacing w:val="-4"/>
          <w:w w:val="95"/>
        </w:rPr>
        <w:t xml:space="preserve"> </w:t>
      </w:r>
      <w:r>
        <w:rPr>
          <w:w w:val="95"/>
        </w:rPr>
        <w:t>life</w:t>
      </w:r>
      <w:r>
        <w:rPr>
          <w:spacing w:val="-4"/>
          <w:w w:val="95"/>
        </w:rPr>
        <w:t xml:space="preserve"> </w:t>
      </w:r>
      <w:r>
        <w:rPr>
          <w:w w:val="95"/>
        </w:rPr>
        <w:t>and</w:t>
      </w:r>
      <w:r>
        <w:rPr>
          <w:spacing w:val="-4"/>
          <w:w w:val="95"/>
        </w:rPr>
        <w:t xml:space="preserve"> </w:t>
      </w:r>
      <w:r>
        <w:rPr>
          <w:w w:val="95"/>
        </w:rPr>
        <w:t>ensuring</w:t>
      </w:r>
      <w:r>
        <w:rPr>
          <w:spacing w:val="-4"/>
          <w:w w:val="95"/>
        </w:rPr>
        <w:t xml:space="preserve"> </w:t>
      </w:r>
      <w:r>
        <w:rPr>
          <w:w w:val="95"/>
        </w:rPr>
        <w:t>the</w:t>
      </w:r>
      <w:r>
        <w:rPr>
          <w:spacing w:val="-4"/>
          <w:w w:val="95"/>
        </w:rPr>
        <w:t xml:space="preserve"> </w:t>
      </w:r>
      <w:r>
        <w:rPr>
          <w:w w:val="95"/>
        </w:rPr>
        <w:t xml:space="preserve">economic </w:t>
      </w:r>
      <w:r>
        <w:t>prosperity</w:t>
      </w:r>
      <w:r>
        <w:rPr>
          <w:spacing w:val="-13"/>
        </w:rPr>
        <w:t xml:space="preserve"> </w:t>
      </w:r>
      <w:r>
        <w:t>of</w:t>
      </w:r>
      <w:r>
        <w:rPr>
          <w:spacing w:val="-13"/>
        </w:rPr>
        <w:t xml:space="preserve"> </w:t>
      </w:r>
      <w:r>
        <w:t>NSW</w:t>
      </w:r>
      <w:r>
        <w:rPr>
          <w:spacing w:val="-13"/>
        </w:rPr>
        <w:t xml:space="preserve"> </w:t>
      </w:r>
      <w:r>
        <w:t>is</w:t>
      </w:r>
      <w:r>
        <w:rPr>
          <w:spacing w:val="-13"/>
        </w:rPr>
        <w:t xml:space="preserve"> </w:t>
      </w:r>
      <w:r>
        <w:t>at</w:t>
      </w:r>
      <w:r>
        <w:rPr>
          <w:spacing w:val="-13"/>
        </w:rPr>
        <w:t xml:space="preserve"> </w:t>
      </w:r>
      <w:r>
        <w:t>the</w:t>
      </w:r>
      <w:r>
        <w:rPr>
          <w:spacing w:val="-13"/>
        </w:rPr>
        <w:t xml:space="preserve"> </w:t>
      </w:r>
      <w:r>
        <w:t>heart</w:t>
      </w:r>
      <w:r>
        <w:rPr>
          <w:spacing w:val="-13"/>
        </w:rPr>
        <w:t xml:space="preserve"> </w:t>
      </w:r>
      <w:r>
        <w:t>of</w:t>
      </w:r>
      <w:r>
        <w:rPr>
          <w:spacing w:val="-13"/>
        </w:rPr>
        <w:t xml:space="preserve"> </w:t>
      </w:r>
      <w:r>
        <w:t>this</w:t>
      </w:r>
      <w:r>
        <w:rPr>
          <w:spacing w:val="-13"/>
        </w:rPr>
        <w:t xml:space="preserve"> </w:t>
      </w:r>
      <w:r>
        <w:t>Strategy.</w:t>
      </w:r>
    </w:p>
    <w:p w:rsidR="002C1123" w:rsidRDefault="00F22F94">
      <w:pPr>
        <w:pStyle w:val="BodyText"/>
        <w:spacing w:before="2" w:line="249" w:lineRule="auto"/>
        <w:ind w:left="426" w:right="779" w:firstLine="2"/>
      </w:pPr>
      <w:r>
        <w:t>It</w:t>
      </w:r>
      <w:r>
        <w:rPr>
          <w:spacing w:val="-11"/>
        </w:rPr>
        <w:t xml:space="preserve"> </w:t>
      </w:r>
      <w:r>
        <w:t>focuses</w:t>
      </w:r>
      <w:r>
        <w:rPr>
          <w:spacing w:val="-11"/>
        </w:rPr>
        <w:t xml:space="preserve"> </w:t>
      </w:r>
      <w:r>
        <w:t>principally</w:t>
      </w:r>
      <w:r>
        <w:rPr>
          <w:spacing w:val="-11"/>
        </w:rPr>
        <w:t xml:space="preserve"> </w:t>
      </w:r>
      <w:r>
        <w:t>on</w:t>
      </w:r>
      <w:r>
        <w:rPr>
          <w:spacing w:val="-11"/>
        </w:rPr>
        <w:t xml:space="preserve"> </w:t>
      </w:r>
      <w:r>
        <w:t>hard</w:t>
      </w:r>
      <w:r>
        <w:rPr>
          <w:spacing w:val="-11"/>
        </w:rPr>
        <w:t xml:space="preserve"> </w:t>
      </w:r>
      <w:r>
        <w:t>infrastructure</w:t>
      </w:r>
      <w:r>
        <w:rPr>
          <w:spacing w:val="-11"/>
        </w:rPr>
        <w:t xml:space="preserve"> </w:t>
      </w:r>
      <w:r>
        <w:t>networks and</w:t>
      </w:r>
      <w:r>
        <w:rPr>
          <w:spacing w:val="-14"/>
        </w:rPr>
        <w:t xml:space="preserve"> </w:t>
      </w:r>
      <w:r>
        <w:t>seeks</w:t>
      </w:r>
      <w:r>
        <w:rPr>
          <w:spacing w:val="-14"/>
        </w:rPr>
        <w:t xml:space="preserve"> </w:t>
      </w:r>
      <w:r>
        <w:t>to</w:t>
      </w:r>
      <w:r>
        <w:rPr>
          <w:spacing w:val="-14"/>
        </w:rPr>
        <w:t xml:space="preserve"> </w:t>
      </w:r>
      <w:r>
        <w:t>forecast,</w:t>
      </w:r>
      <w:r>
        <w:rPr>
          <w:spacing w:val="-13"/>
        </w:rPr>
        <w:t xml:space="preserve"> </w:t>
      </w:r>
      <w:r>
        <w:t>in</w:t>
      </w:r>
      <w:r>
        <w:rPr>
          <w:spacing w:val="-14"/>
        </w:rPr>
        <w:t xml:space="preserve"> </w:t>
      </w:r>
      <w:r>
        <w:t>line</w:t>
      </w:r>
      <w:r>
        <w:rPr>
          <w:spacing w:val="-14"/>
        </w:rPr>
        <w:t xml:space="preserve"> </w:t>
      </w:r>
      <w:r>
        <w:t>with</w:t>
      </w:r>
      <w:r>
        <w:rPr>
          <w:spacing w:val="-14"/>
        </w:rPr>
        <w:t xml:space="preserve"> </w:t>
      </w:r>
      <w:r>
        <w:t>NSW</w:t>
      </w:r>
      <w:r>
        <w:rPr>
          <w:spacing w:val="-13"/>
        </w:rPr>
        <w:t xml:space="preserve"> </w:t>
      </w:r>
      <w:r>
        <w:t xml:space="preserve">Government </w:t>
      </w:r>
      <w:r>
        <w:rPr>
          <w:w w:val="95"/>
        </w:rPr>
        <w:t>objectives,</w:t>
      </w:r>
      <w:r>
        <w:rPr>
          <w:spacing w:val="-5"/>
          <w:w w:val="95"/>
        </w:rPr>
        <w:t xml:space="preserve"> </w:t>
      </w:r>
      <w:r>
        <w:rPr>
          <w:w w:val="95"/>
        </w:rPr>
        <w:t>where</w:t>
      </w:r>
      <w:r>
        <w:rPr>
          <w:spacing w:val="-5"/>
          <w:w w:val="95"/>
        </w:rPr>
        <w:t xml:space="preserve"> </w:t>
      </w:r>
      <w:r>
        <w:rPr>
          <w:w w:val="95"/>
        </w:rPr>
        <w:t>future</w:t>
      </w:r>
      <w:r>
        <w:rPr>
          <w:spacing w:val="-5"/>
          <w:w w:val="95"/>
        </w:rPr>
        <w:t xml:space="preserve"> </w:t>
      </w:r>
      <w:r>
        <w:rPr>
          <w:w w:val="95"/>
        </w:rPr>
        <w:t>needs</w:t>
      </w:r>
      <w:r>
        <w:rPr>
          <w:spacing w:val="-5"/>
          <w:w w:val="95"/>
        </w:rPr>
        <w:t xml:space="preserve"> </w:t>
      </w:r>
      <w:r>
        <w:rPr>
          <w:w w:val="95"/>
        </w:rPr>
        <w:t>will</w:t>
      </w:r>
      <w:r>
        <w:rPr>
          <w:spacing w:val="-5"/>
          <w:w w:val="95"/>
        </w:rPr>
        <w:t xml:space="preserve"> </w:t>
      </w:r>
      <w:r>
        <w:rPr>
          <w:w w:val="95"/>
        </w:rPr>
        <w:t>be,</w:t>
      </w:r>
      <w:r>
        <w:rPr>
          <w:spacing w:val="-5"/>
          <w:w w:val="95"/>
        </w:rPr>
        <w:t xml:space="preserve"> </w:t>
      </w:r>
      <w:r>
        <w:rPr>
          <w:w w:val="95"/>
        </w:rPr>
        <w:t>how</w:t>
      </w:r>
      <w:r>
        <w:rPr>
          <w:spacing w:val="-5"/>
          <w:w w:val="95"/>
        </w:rPr>
        <w:t xml:space="preserve"> </w:t>
      </w:r>
      <w:r>
        <w:rPr>
          <w:w w:val="95"/>
        </w:rPr>
        <w:t>the</w:t>
      </w:r>
      <w:r>
        <w:rPr>
          <w:spacing w:val="-5"/>
          <w:w w:val="95"/>
        </w:rPr>
        <w:t xml:space="preserve"> </w:t>
      </w:r>
      <w:r>
        <w:rPr>
          <w:w w:val="95"/>
        </w:rPr>
        <w:t>priorities</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4909" w:space="40"/>
            <w:col w:w="5137" w:space="39"/>
            <w:col w:w="5935"/>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BodyText"/>
        <w:spacing w:before="106"/>
        <w:ind w:left="501"/>
      </w:pPr>
      <w:bookmarkStart w:id="36" w:name="1.2__Infrastructure_and_the_NSW_economy"/>
      <w:bookmarkStart w:id="37" w:name="_bookmark25"/>
      <w:bookmarkStart w:id="38" w:name="_bookmark24"/>
      <w:bookmarkEnd w:id="36"/>
      <w:bookmarkEnd w:id="37"/>
      <w:bookmarkEnd w:id="38"/>
      <w:r>
        <w:rPr>
          <w:w w:val="95"/>
        </w:rPr>
        <w:t>for</w:t>
      </w:r>
      <w:r>
        <w:rPr>
          <w:spacing w:val="-1"/>
        </w:rPr>
        <w:t xml:space="preserve"> </w:t>
      </w:r>
      <w:r>
        <w:rPr>
          <w:w w:val="95"/>
        </w:rPr>
        <w:t>projects</w:t>
      </w:r>
      <w:r>
        <w:rPr>
          <w:spacing w:val="-1"/>
        </w:rPr>
        <w:t xml:space="preserve"> </w:t>
      </w:r>
      <w:r>
        <w:rPr>
          <w:w w:val="95"/>
        </w:rPr>
        <w:t>should</w:t>
      </w:r>
      <w:r>
        <w:rPr>
          <w:spacing w:val="-1"/>
        </w:rPr>
        <w:t xml:space="preserve"> </w:t>
      </w:r>
      <w:r>
        <w:rPr>
          <w:w w:val="95"/>
        </w:rPr>
        <w:t>be</w:t>
      </w:r>
      <w:r>
        <w:rPr>
          <w:spacing w:val="-1"/>
        </w:rPr>
        <w:t xml:space="preserve"> </w:t>
      </w:r>
      <w:r>
        <w:rPr>
          <w:w w:val="95"/>
        </w:rPr>
        <w:t>decided</w:t>
      </w:r>
      <w:r>
        <w:rPr>
          <w:spacing w:val="-1"/>
        </w:rPr>
        <w:t xml:space="preserve"> </w:t>
      </w:r>
      <w:r>
        <w:rPr>
          <w:w w:val="95"/>
        </w:rPr>
        <w:t>and</w:t>
      </w:r>
      <w:r>
        <w:rPr>
          <w:spacing w:val="-1"/>
        </w:rPr>
        <w:t xml:space="preserve"> </w:t>
      </w:r>
      <w:r>
        <w:rPr>
          <w:w w:val="95"/>
        </w:rPr>
        <w:t>how</w:t>
      </w:r>
      <w:r>
        <w:rPr>
          <w:spacing w:val="-1"/>
        </w:rPr>
        <w:t xml:space="preserve"> </w:t>
      </w:r>
      <w:r>
        <w:rPr>
          <w:w w:val="95"/>
        </w:rPr>
        <w:t>best</w:t>
      </w:r>
      <w:r>
        <w:rPr>
          <w:spacing w:val="-1"/>
        </w:rPr>
        <w:t xml:space="preserve"> </w:t>
      </w:r>
      <w:r>
        <w:rPr>
          <w:spacing w:val="-5"/>
          <w:w w:val="95"/>
        </w:rPr>
        <w:t>to</w:t>
      </w:r>
    </w:p>
    <w:p w:rsidR="002C1123" w:rsidRDefault="00F22F94">
      <w:pPr>
        <w:spacing w:before="148" w:line="192" w:lineRule="exact"/>
        <w:ind w:left="501"/>
        <w:rPr>
          <w:b/>
          <w:sz w:val="17"/>
        </w:rPr>
      </w:pPr>
      <w:r>
        <w:br w:type="column"/>
      </w:r>
      <w:r>
        <w:rPr>
          <w:b/>
          <w:sz w:val="17"/>
        </w:rPr>
        <w:t>Figure</w:t>
      </w:r>
      <w:r>
        <w:rPr>
          <w:b/>
          <w:spacing w:val="11"/>
          <w:sz w:val="17"/>
        </w:rPr>
        <w:t xml:space="preserve"> </w:t>
      </w:r>
      <w:r>
        <w:rPr>
          <w:b/>
          <w:sz w:val="17"/>
        </w:rPr>
        <w:t>1.1</w:t>
      </w:r>
      <w:r>
        <w:rPr>
          <w:b/>
          <w:spacing w:val="71"/>
          <w:sz w:val="17"/>
        </w:rPr>
        <w:t xml:space="preserve"> </w:t>
      </w:r>
      <w:r>
        <w:rPr>
          <w:b/>
          <w:sz w:val="17"/>
        </w:rPr>
        <w:t>State</w:t>
      </w:r>
      <w:r>
        <w:rPr>
          <w:b/>
          <w:spacing w:val="11"/>
          <w:sz w:val="17"/>
        </w:rPr>
        <w:t xml:space="preserve"> </w:t>
      </w:r>
      <w:r>
        <w:rPr>
          <w:b/>
          <w:sz w:val="17"/>
        </w:rPr>
        <w:t>Infrastructure</w:t>
      </w:r>
      <w:r>
        <w:rPr>
          <w:b/>
          <w:spacing w:val="11"/>
          <w:sz w:val="17"/>
        </w:rPr>
        <w:t xml:space="preserve"> </w:t>
      </w:r>
      <w:r>
        <w:rPr>
          <w:b/>
          <w:sz w:val="17"/>
        </w:rPr>
        <w:t>Portfolio</w:t>
      </w:r>
      <w:r>
        <w:rPr>
          <w:b/>
          <w:spacing w:val="11"/>
          <w:sz w:val="17"/>
        </w:rPr>
        <w:t xml:space="preserve"> </w:t>
      </w:r>
      <w:r>
        <w:rPr>
          <w:b/>
          <w:sz w:val="17"/>
        </w:rPr>
        <w:t>July</w:t>
      </w:r>
      <w:r>
        <w:rPr>
          <w:b/>
          <w:spacing w:val="12"/>
          <w:sz w:val="17"/>
        </w:rPr>
        <w:t xml:space="preserve"> </w:t>
      </w:r>
      <w:r>
        <w:rPr>
          <w:b/>
          <w:spacing w:val="-4"/>
          <w:sz w:val="17"/>
        </w:rPr>
        <w:t>2012</w:t>
      </w:r>
    </w:p>
    <w:p w:rsidR="002C1123" w:rsidRDefault="002C1123">
      <w:pPr>
        <w:spacing w:line="192" w:lineRule="exact"/>
        <w:rPr>
          <w:sz w:val="17"/>
        </w:rPr>
        <w:sectPr w:rsidR="002C1123">
          <w:type w:val="continuous"/>
          <w:pgSz w:w="16840" w:h="11910" w:orient="landscape"/>
          <w:pgMar w:top="560" w:right="280" w:bottom="280" w:left="500" w:header="0" w:footer="517" w:gutter="0"/>
          <w:cols w:num="2" w:space="720" w:equalWidth="0">
            <w:col w:w="4524" w:space="523"/>
            <w:col w:w="11013"/>
          </w:cols>
        </w:sectPr>
      </w:pPr>
    </w:p>
    <w:p w:rsidR="002C1123" w:rsidRDefault="00F22F94">
      <w:pPr>
        <w:pStyle w:val="BodyText"/>
        <w:spacing w:before="6" w:line="249" w:lineRule="auto"/>
        <w:ind w:left="504" w:right="144"/>
      </w:pPr>
      <w:r>
        <w:rPr>
          <w:w w:val="95"/>
        </w:rPr>
        <w:t>meet</w:t>
      </w:r>
      <w:r>
        <w:rPr>
          <w:spacing w:val="-7"/>
          <w:w w:val="95"/>
        </w:rPr>
        <w:t xml:space="preserve"> </w:t>
      </w:r>
      <w:r>
        <w:rPr>
          <w:w w:val="95"/>
        </w:rPr>
        <w:t>these</w:t>
      </w:r>
      <w:r>
        <w:rPr>
          <w:spacing w:val="-7"/>
          <w:w w:val="95"/>
        </w:rPr>
        <w:t xml:space="preserve"> </w:t>
      </w:r>
      <w:r>
        <w:rPr>
          <w:w w:val="95"/>
        </w:rPr>
        <w:t>needs</w:t>
      </w:r>
      <w:r>
        <w:rPr>
          <w:spacing w:val="-7"/>
          <w:w w:val="95"/>
        </w:rPr>
        <w:t xml:space="preserve"> </w:t>
      </w:r>
      <w:r>
        <w:rPr>
          <w:w w:val="95"/>
        </w:rPr>
        <w:t>from</w:t>
      </w:r>
      <w:r>
        <w:rPr>
          <w:spacing w:val="-8"/>
          <w:w w:val="95"/>
        </w:rPr>
        <w:t xml:space="preserve"> </w:t>
      </w:r>
      <w:r>
        <w:rPr>
          <w:w w:val="95"/>
        </w:rPr>
        <w:t>finite</w:t>
      </w:r>
      <w:r>
        <w:rPr>
          <w:spacing w:val="-7"/>
          <w:w w:val="95"/>
        </w:rPr>
        <w:t xml:space="preserve"> </w:t>
      </w:r>
      <w:r>
        <w:rPr>
          <w:w w:val="95"/>
        </w:rPr>
        <w:t>public</w:t>
      </w:r>
      <w:r>
        <w:rPr>
          <w:spacing w:val="-7"/>
          <w:w w:val="95"/>
        </w:rPr>
        <w:t xml:space="preserve"> </w:t>
      </w:r>
      <w:r>
        <w:rPr>
          <w:w w:val="95"/>
        </w:rPr>
        <w:t>funds</w:t>
      </w:r>
      <w:r>
        <w:rPr>
          <w:spacing w:val="-7"/>
          <w:w w:val="95"/>
        </w:rPr>
        <w:t xml:space="preserve"> </w:t>
      </w:r>
      <w:r>
        <w:rPr>
          <w:w w:val="95"/>
        </w:rPr>
        <w:t>and</w:t>
      </w:r>
      <w:r>
        <w:rPr>
          <w:spacing w:val="-7"/>
          <w:w w:val="95"/>
        </w:rPr>
        <w:t xml:space="preserve"> </w:t>
      </w:r>
      <w:r>
        <w:rPr>
          <w:w w:val="95"/>
        </w:rPr>
        <w:t xml:space="preserve">available </w:t>
      </w:r>
      <w:r>
        <w:t>private</w:t>
      </w:r>
      <w:r>
        <w:rPr>
          <w:spacing w:val="-11"/>
        </w:rPr>
        <w:t xml:space="preserve"> </w:t>
      </w:r>
      <w:r>
        <w:t>capital.</w:t>
      </w:r>
    </w:p>
    <w:p w:rsidR="002C1123" w:rsidRDefault="002C1123">
      <w:pPr>
        <w:pStyle w:val="BodyText"/>
        <w:spacing w:before="1"/>
        <w:rPr>
          <w:sz w:val="25"/>
        </w:rPr>
      </w:pPr>
    </w:p>
    <w:p w:rsidR="002C1123" w:rsidRDefault="00F22F94">
      <w:pPr>
        <w:pStyle w:val="Heading5"/>
        <w:numPr>
          <w:ilvl w:val="1"/>
          <w:numId w:val="172"/>
        </w:numPr>
        <w:tabs>
          <w:tab w:val="left" w:pos="917"/>
        </w:tabs>
        <w:spacing w:before="0" w:line="223" w:lineRule="auto"/>
        <w:ind w:left="916" w:right="1962" w:hanging="450"/>
        <w:jc w:val="left"/>
        <w:rPr>
          <w:color w:val="EC008C"/>
        </w:rPr>
      </w:pPr>
      <w:r>
        <w:rPr>
          <w:color w:val="EC008C"/>
        </w:rPr>
        <w:t>Infrastructure</w:t>
      </w:r>
      <w:r>
        <w:rPr>
          <w:color w:val="EC008C"/>
          <w:spacing w:val="-20"/>
        </w:rPr>
        <w:t xml:space="preserve"> </w:t>
      </w:r>
      <w:r>
        <w:rPr>
          <w:color w:val="EC008C"/>
        </w:rPr>
        <w:t xml:space="preserve">and </w:t>
      </w:r>
      <w:r>
        <w:rPr>
          <w:color w:val="EC008C"/>
          <w:spacing w:val="-4"/>
        </w:rPr>
        <w:t>the</w:t>
      </w:r>
      <w:r>
        <w:rPr>
          <w:color w:val="EC008C"/>
          <w:spacing w:val="-16"/>
        </w:rPr>
        <w:t xml:space="preserve"> </w:t>
      </w:r>
      <w:r>
        <w:rPr>
          <w:color w:val="EC008C"/>
          <w:spacing w:val="-4"/>
        </w:rPr>
        <w:t>NSW</w:t>
      </w:r>
      <w:r>
        <w:rPr>
          <w:color w:val="EC008C"/>
          <w:spacing w:val="-15"/>
        </w:rPr>
        <w:t xml:space="preserve"> </w:t>
      </w:r>
      <w:r>
        <w:rPr>
          <w:color w:val="EC008C"/>
          <w:spacing w:val="-4"/>
        </w:rPr>
        <w:t>economy</w:t>
      </w:r>
    </w:p>
    <w:p w:rsidR="002C1123" w:rsidRDefault="00F22F94">
      <w:pPr>
        <w:pStyle w:val="BodyText"/>
        <w:spacing w:before="139" w:line="249" w:lineRule="auto"/>
        <w:ind w:left="504" w:right="872" w:hanging="16"/>
        <w:jc w:val="both"/>
      </w:pPr>
      <w:r>
        <w:rPr>
          <w:w w:val="95"/>
        </w:rPr>
        <w:t>As</w:t>
      </w:r>
      <w:r>
        <w:rPr>
          <w:spacing w:val="-3"/>
          <w:w w:val="95"/>
        </w:rPr>
        <w:t xml:space="preserve"> </w:t>
      </w:r>
      <w:r>
        <w:rPr>
          <w:w w:val="95"/>
        </w:rPr>
        <w:t>a</w:t>
      </w:r>
      <w:r>
        <w:rPr>
          <w:spacing w:val="-3"/>
          <w:w w:val="95"/>
        </w:rPr>
        <w:t xml:space="preserve"> </w:t>
      </w:r>
      <w:r>
        <w:rPr>
          <w:w w:val="95"/>
        </w:rPr>
        <w:t>developed</w:t>
      </w:r>
      <w:r>
        <w:rPr>
          <w:spacing w:val="-3"/>
          <w:w w:val="95"/>
        </w:rPr>
        <w:t xml:space="preserve"> </w:t>
      </w:r>
      <w:r>
        <w:rPr>
          <w:w w:val="95"/>
        </w:rPr>
        <w:t>modern</w:t>
      </w:r>
      <w:r>
        <w:rPr>
          <w:spacing w:val="-3"/>
          <w:w w:val="95"/>
        </w:rPr>
        <w:t xml:space="preserve"> </w:t>
      </w:r>
      <w:r>
        <w:rPr>
          <w:w w:val="95"/>
        </w:rPr>
        <w:t>economy,</w:t>
      </w:r>
      <w:r>
        <w:rPr>
          <w:spacing w:val="-3"/>
          <w:w w:val="95"/>
        </w:rPr>
        <w:t xml:space="preserve"> </w:t>
      </w:r>
      <w:r>
        <w:rPr>
          <w:w w:val="95"/>
        </w:rPr>
        <w:t>NSW</w:t>
      </w:r>
      <w:r>
        <w:rPr>
          <w:spacing w:val="-3"/>
          <w:w w:val="95"/>
        </w:rPr>
        <w:t xml:space="preserve"> </w:t>
      </w:r>
      <w:r>
        <w:rPr>
          <w:w w:val="95"/>
        </w:rPr>
        <w:t>has</w:t>
      </w:r>
      <w:r>
        <w:rPr>
          <w:spacing w:val="-3"/>
          <w:w w:val="95"/>
        </w:rPr>
        <w:t xml:space="preserve"> </w:t>
      </w:r>
      <w:r>
        <w:rPr>
          <w:w w:val="95"/>
        </w:rPr>
        <w:t>a large</w:t>
      </w:r>
      <w:r>
        <w:rPr>
          <w:spacing w:val="-8"/>
          <w:w w:val="95"/>
        </w:rPr>
        <w:t xml:space="preserve"> </w:t>
      </w:r>
      <w:r>
        <w:rPr>
          <w:w w:val="95"/>
        </w:rPr>
        <w:t>existing</w:t>
      </w:r>
      <w:r>
        <w:rPr>
          <w:spacing w:val="-8"/>
          <w:w w:val="95"/>
        </w:rPr>
        <w:t xml:space="preserve"> </w:t>
      </w:r>
      <w:r>
        <w:rPr>
          <w:w w:val="95"/>
        </w:rPr>
        <w:t>infrastructure</w:t>
      </w:r>
      <w:r>
        <w:rPr>
          <w:spacing w:val="-8"/>
          <w:w w:val="95"/>
        </w:rPr>
        <w:t xml:space="preserve"> </w:t>
      </w:r>
      <w:r>
        <w:rPr>
          <w:w w:val="95"/>
        </w:rPr>
        <w:t>sector</w:t>
      </w:r>
      <w:r>
        <w:rPr>
          <w:spacing w:val="-8"/>
          <w:w w:val="95"/>
        </w:rPr>
        <w:t xml:space="preserve"> </w:t>
      </w:r>
      <w:r>
        <w:rPr>
          <w:w w:val="95"/>
        </w:rPr>
        <w:t>and</w:t>
      </w:r>
      <w:r>
        <w:rPr>
          <w:spacing w:val="-8"/>
          <w:w w:val="95"/>
        </w:rPr>
        <w:t xml:space="preserve"> </w:t>
      </w:r>
      <w:r>
        <w:rPr>
          <w:w w:val="95"/>
        </w:rPr>
        <w:t>a</w:t>
      </w:r>
      <w:r>
        <w:rPr>
          <w:spacing w:val="-8"/>
          <w:w w:val="95"/>
        </w:rPr>
        <w:t xml:space="preserve"> </w:t>
      </w:r>
      <w:r>
        <w:rPr>
          <w:w w:val="95"/>
        </w:rPr>
        <w:t xml:space="preserve">major </w:t>
      </w:r>
      <w:r>
        <w:t>portfolio of assets.</w:t>
      </w:r>
    </w:p>
    <w:p w:rsidR="002C1123" w:rsidRDefault="00F22F94">
      <w:pPr>
        <w:pStyle w:val="BodyText"/>
        <w:spacing w:before="145" w:line="249" w:lineRule="auto"/>
        <w:ind w:left="478" w:right="144"/>
      </w:pPr>
      <w:r>
        <w:t>The</w:t>
      </w:r>
      <w:r>
        <w:rPr>
          <w:spacing w:val="-6"/>
        </w:rPr>
        <w:t xml:space="preserve"> </w:t>
      </w:r>
      <w:r>
        <w:t>Strategy</w:t>
      </w:r>
      <w:r>
        <w:rPr>
          <w:spacing w:val="-6"/>
        </w:rPr>
        <w:t xml:space="preserve"> </w:t>
      </w:r>
      <w:r>
        <w:t>covers</w:t>
      </w:r>
      <w:r>
        <w:rPr>
          <w:spacing w:val="-6"/>
        </w:rPr>
        <w:t xml:space="preserve"> </w:t>
      </w:r>
      <w:r>
        <w:t>both</w:t>
      </w:r>
      <w:r>
        <w:rPr>
          <w:spacing w:val="-6"/>
        </w:rPr>
        <w:t xml:space="preserve"> </w:t>
      </w:r>
      <w:r>
        <w:t>economic</w:t>
      </w:r>
      <w:r>
        <w:rPr>
          <w:spacing w:val="-6"/>
        </w:rPr>
        <w:t xml:space="preserve"> </w:t>
      </w:r>
      <w:r>
        <w:t>and</w:t>
      </w:r>
      <w:r>
        <w:rPr>
          <w:spacing w:val="-6"/>
        </w:rPr>
        <w:t xml:space="preserve"> </w:t>
      </w:r>
      <w:r>
        <w:t xml:space="preserve">social </w:t>
      </w:r>
      <w:r>
        <w:rPr>
          <w:w w:val="95"/>
        </w:rPr>
        <w:t>infrastructure</w:t>
      </w:r>
      <w:r>
        <w:rPr>
          <w:spacing w:val="-2"/>
          <w:w w:val="95"/>
        </w:rPr>
        <w:t xml:space="preserve"> </w:t>
      </w:r>
      <w:r>
        <w:rPr>
          <w:w w:val="95"/>
        </w:rPr>
        <w:t>investments</w:t>
      </w:r>
      <w:r>
        <w:rPr>
          <w:spacing w:val="-2"/>
          <w:w w:val="95"/>
        </w:rPr>
        <w:t xml:space="preserve"> </w:t>
      </w:r>
      <w:r>
        <w:rPr>
          <w:w w:val="95"/>
        </w:rPr>
        <w:t>by</w:t>
      </w:r>
      <w:r>
        <w:rPr>
          <w:spacing w:val="-2"/>
          <w:w w:val="95"/>
        </w:rPr>
        <w:t xml:space="preserve"> </w:t>
      </w:r>
      <w:r>
        <w:rPr>
          <w:w w:val="95"/>
        </w:rPr>
        <w:t>the</w:t>
      </w:r>
      <w:r>
        <w:rPr>
          <w:spacing w:val="-2"/>
          <w:w w:val="95"/>
        </w:rPr>
        <w:t xml:space="preserve"> </w:t>
      </w:r>
      <w:r>
        <w:rPr>
          <w:w w:val="95"/>
        </w:rPr>
        <w:t>NSW</w:t>
      </w:r>
      <w:r>
        <w:rPr>
          <w:spacing w:val="-2"/>
          <w:w w:val="95"/>
        </w:rPr>
        <w:t xml:space="preserve"> </w:t>
      </w:r>
      <w:r>
        <w:rPr>
          <w:w w:val="95"/>
        </w:rPr>
        <w:t>Government. The Strategy does not consider public housing, land and</w:t>
      </w:r>
      <w:r>
        <w:rPr>
          <w:spacing w:val="-5"/>
          <w:w w:val="95"/>
        </w:rPr>
        <w:t xml:space="preserve"> </w:t>
      </w:r>
      <w:r>
        <w:rPr>
          <w:w w:val="95"/>
        </w:rPr>
        <w:t>property</w:t>
      </w:r>
      <w:r>
        <w:rPr>
          <w:spacing w:val="-4"/>
          <w:w w:val="95"/>
        </w:rPr>
        <w:t xml:space="preserve"> </w:t>
      </w:r>
      <w:r>
        <w:rPr>
          <w:w w:val="95"/>
        </w:rPr>
        <w:t>utilisation,</w:t>
      </w:r>
      <w:r>
        <w:rPr>
          <w:spacing w:val="-4"/>
          <w:w w:val="95"/>
        </w:rPr>
        <w:t xml:space="preserve"> </w:t>
      </w:r>
      <w:r>
        <w:rPr>
          <w:w w:val="95"/>
        </w:rPr>
        <w:t>the</w:t>
      </w:r>
      <w:r>
        <w:rPr>
          <w:spacing w:val="-5"/>
          <w:w w:val="95"/>
        </w:rPr>
        <w:t xml:space="preserve"> </w:t>
      </w:r>
      <w:r>
        <w:rPr>
          <w:w w:val="95"/>
        </w:rPr>
        <w:t>planning</w:t>
      </w:r>
      <w:r>
        <w:rPr>
          <w:spacing w:val="-4"/>
          <w:w w:val="95"/>
        </w:rPr>
        <w:t xml:space="preserve"> </w:t>
      </w:r>
      <w:r>
        <w:rPr>
          <w:w w:val="95"/>
        </w:rPr>
        <w:t>system</w:t>
      </w:r>
      <w:r>
        <w:rPr>
          <w:spacing w:val="-5"/>
          <w:w w:val="95"/>
        </w:rPr>
        <w:t xml:space="preserve"> </w:t>
      </w:r>
      <w:r>
        <w:rPr>
          <w:w w:val="95"/>
        </w:rPr>
        <w:t>or</w:t>
      </w:r>
      <w:r>
        <w:rPr>
          <w:spacing w:val="-4"/>
          <w:w w:val="95"/>
        </w:rPr>
        <w:t xml:space="preserve"> local</w:t>
      </w:r>
    </w:p>
    <w:p w:rsidR="002C1123" w:rsidRDefault="00F22F94">
      <w:pPr>
        <w:pStyle w:val="BodyText"/>
        <w:spacing w:before="3" w:line="249" w:lineRule="auto"/>
        <w:ind w:left="497"/>
      </w:pPr>
      <w:r>
        <w:rPr>
          <w:w w:val="95"/>
        </w:rPr>
        <w:t>Government</w:t>
      </w:r>
      <w:r>
        <w:rPr>
          <w:spacing w:val="-8"/>
          <w:w w:val="95"/>
        </w:rPr>
        <w:t xml:space="preserve"> </w:t>
      </w:r>
      <w:r>
        <w:rPr>
          <w:w w:val="95"/>
        </w:rPr>
        <w:t>reform.</w:t>
      </w:r>
      <w:r>
        <w:rPr>
          <w:spacing w:val="-8"/>
          <w:w w:val="95"/>
        </w:rPr>
        <w:t xml:space="preserve"> </w:t>
      </w:r>
      <w:r>
        <w:rPr>
          <w:w w:val="95"/>
        </w:rPr>
        <w:t>These</w:t>
      </w:r>
      <w:r>
        <w:rPr>
          <w:spacing w:val="-8"/>
          <w:w w:val="95"/>
        </w:rPr>
        <w:t xml:space="preserve"> </w:t>
      </w:r>
      <w:r>
        <w:rPr>
          <w:w w:val="95"/>
        </w:rPr>
        <w:t>areas</w:t>
      </w:r>
      <w:r>
        <w:rPr>
          <w:spacing w:val="-8"/>
          <w:w w:val="95"/>
        </w:rPr>
        <w:t xml:space="preserve"> </w:t>
      </w:r>
      <w:r>
        <w:rPr>
          <w:w w:val="95"/>
        </w:rPr>
        <w:t>are</w:t>
      </w:r>
      <w:r>
        <w:rPr>
          <w:spacing w:val="-8"/>
          <w:w w:val="95"/>
        </w:rPr>
        <w:t xml:space="preserve"> </w:t>
      </w:r>
      <w:r>
        <w:rPr>
          <w:w w:val="95"/>
        </w:rPr>
        <w:t>subject</w:t>
      </w:r>
      <w:r>
        <w:rPr>
          <w:spacing w:val="-8"/>
          <w:w w:val="95"/>
        </w:rPr>
        <w:t xml:space="preserve"> </w:t>
      </w:r>
      <w:r>
        <w:rPr>
          <w:w w:val="95"/>
        </w:rPr>
        <w:t>to</w:t>
      </w:r>
      <w:r>
        <w:rPr>
          <w:spacing w:val="-8"/>
          <w:w w:val="95"/>
        </w:rPr>
        <w:t xml:space="preserve"> </w:t>
      </w:r>
      <w:r>
        <w:rPr>
          <w:w w:val="95"/>
        </w:rPr>
        <w:t xml:space="preserve">separate </w:t>
      </w:r>
      <w:r>
        <w:t>Government reform processes.</w:t>
      </w:r>
    </w:p>
    <w:p w:rsidR="002C1123" w:rsidRDefault="00F22F94">
      <w:pPr>
        <w:spacing w:before="130"/>
        <w:jc w:val="right"/>
        <w:rPr>
          <w:sz w:val="15"/>
        </w:rPr>
      </w:pPr>
      <w:r>
        <w:br w:type="column"/>
      </w:r>
      <w:r>
        <w:rPr>
          <w:w w:val="85"/>
          <w:sz w:val="15"/>
        </w:rPr>
        <w:t>Ports</w:t>
      </w:r>
      <w:r>
        <w:rPr>
          <w:spacing w:val="5"/>
          <w:sz w:val="15"/>
        </w:rPr>
        <w:t xml:space="preserve"> </w:t>
      </w:r>
      <w:r>
        <w:rPr>
          <w:spacing w:val="-5"/>
          <w:w w:val="95"/>
          <w:sz w:val="15"/>
        </w:rPr>
        <w:t>1%</w:t>
      </w:r>
    </w:p>
    <w:p w:rsidR="002C1123" w:rsidRDefault="00F22F94">
      <w:pPr>
        <w:spacing w:before="91"/>
        <w:ind w:left="814"/>
        <w:rPr>
          <w:sz w:val="15"/>
        </w:rPr>
      </w:pPr>
      <w:r>
        <w:rPr>
          <w:w w:val="90"/>
          <w:sz w:val="15"/>
        </w:rPr>
        <w:t>Justice</w:t>
      </w:r>
      <w:r>
        <w:rPr>
          <w:spacing w:val="4"/>
          <w:sz w:val="15"/>
        </w:rPr>
        <w:t xml:space="preserve"> </w:t>
      </w:r>
      <w:r>
        <w:rPr>
          <w:spacing w:val="-5"/>
          <w:sz w:val="15"/>
        </w:rPr>
        <w:t>7%</w:t>
      </w:r>
    </w:p>
    <w:p w:rsidR="002C1123" w:rsidRDefault="002C1123">
      <w:pPr>
        <w:pStyle w:val="BodyText"/>
        <w:spacing w:before="8"/>
        <w:rPr>
          <w:sz w:val="17"/>
        </w:rPr>
      </w:pPr>
    </w:p>
    <w:p w:rsidR="002C1123" w:rsidRDefault="00F22F94">
      <w:pPr>
        <w:ind w:left="503"/>
        <w:rPr>
          <w:sz w:val="15"/>
        </w:rPr>
      </w:pPr>
      <w:r>
        <w:rPr>
          <w:w w:val="85"/>
          <w:sz w:val="15"/>
        </w:rPr>
        <w:t>Health</w:t>
      </w:r>
      <w:r>
        <w:rPr>
          <w:spacing w:val="8"/>
          <w:sz w:val="15"/>
        </w:rPr>
        <w:t xml:space="preserve"> </w:t>
      </w:r>
      <w:r>
        <w:rPr>
          <w:spacing w:val="-5"/>
          <w:w w:val="95"/>
          <w:sz w:val="15"/>
        </w:rPr>
        <w:t>5%</w:t>
      </w:r>
    </w:p>
    <w:p w:rsidR="002C1123" w:rsidRDefault="002C1123">
      <w:pPr>
        <w:pStyle w:val="BodyText"/>
        <w:spacing w:before="7"/>
        <w:rPr>
          <w:sz w:val="24"/>
        </w:rPr>
      </w:pPr>
    </w:p>
    <w:p w:rsidR="002C1123" w:rsidRDefault="00F22F94">
      <w:pPr>
        <w:spacing w:line="256" w:lineRule="auto"/>
        <w:ind w:left="254" w:right="986" w:hanging="18"/>
        <w:rPr>
          <w:sz w:val="15"/>
        </w:rPr>
      </w:pPr>
      <w:r>
        <w:rPr>
          <w:spacing w:val="-2"/>
          <w:w w:val="90"/>
          <w:sz w:val="15"/>
        </w:rPr>
        <w:t>Sports,</w:t>
      </w:r>
      <w:r>
        <w:rPr>
          <w:spacing w:val="-5"/>
          <w:w w:val="90"/>
          <w:sz w:val="15"/>
        </w:rPr>
        <w:t xml:space="preserve"> </w:t>
      </w:r>
      <w:r>
        <w:rPr>
          <w:spacing w:val="-2"/>
          <w:w w:val="90"/>
          <w:sz w:val="15"/>
        </w:rPr>
        <w:t>Art,</w:t>
      </w:r>
      <w:r>
        <w:rPr>
          <w:sz w:val="15"/>
        </w:rPr>
        <w:t xml:space="preserve"> </w:t>
      </w:r>
      <w:r>
        <w:rPr>
          <w:w w:val="85"/>
          <w:sz w:val="15"/>
        </w:rPr>
        <w:t>Culture</w:t>
      </w:r>
      <w:r>
        <w:rPr>
          <w:spacing w:val="9"/>
          <w:sz w:val="15"/>
        </w:rPr>
        <w:t xml:space="preserve"> </w:t>
      </w:r>
      <w:r>
        <w:rPr>
          <w:spacing w:val="-12"/>
          <w:w w:val="95"/>
          <w:sz w:val="15"/>
        </w:rPr>
        <w:t>5%</w:t>
      </w:r>
    </w:p>
    <w:p w:rsidR="002C1123" w:rsidRDefault="002C1123">
      <w:pPr>
        <w:pStyle w:val="BodyText"/>
        <w:rPr>
          <w:sz w:val="18"/>
        </w:rPr>
      </w:pPr>
    </w:p>
    <w:p w:rsidR="002C1123" w:rsidRDefault="002C1123">
      <w:pPr>
        <w:pStyle w:val="BodyText"/>
        <w:spacing w:before="7"/>
        <w:rPr>
          <w:sz w:val="22"/>
        </w:rPr>
      </w:pPr>
    </w:p>
    <w:p w:rsidR="002C1123" w:rsidRDefault="00F22F94">
      <w:pPr>
        <w:ind w:left="274"/>
        <w:rPr>
          <w:sz w:val="15"/>
        </w:rPr>
      </w:pPr>
      <w:r>
        <w:rPr>
          <w:w w:val="85"/>
          <w:sz w:val="15"/>
        </w:rPr>
        <w:t>Water</w:t>
      </w:r>
      <w:r>
        <w:rPr>
          <w:spacing w:val="7"/>
          <w:sz w:val="15"/>
        </w:rPr>
        <w:t xml:space="preserve"> </w:t>
      </w:r>
      <w:r>
        <w:rPr>
          <w:spacing w:val="-5"/>
          <w:w w:val="95"/>
          <w:sz w:val="15"/>
        </w:rPr>
        <w:t>9%</w:t>
      </w:r>
    </w:p>
    <w:p w:rsidR="002C1123" w:rsidRDefault="002C1123">
      <w:pPr>
        <w:pStyle w:val="BodyText"/>
        <w:rPr>
          <w:sz w:val="18"/>
        </w:rPr>
      </w:pPr>
    </w:p>
    <w:p w:rsidR="002C1123" w:rsidRDefault="002C1123">
      <w:pPr>
        <w:pStyle w:val="BodyText"/>
        <w:rPr>
          <w:sz w:val="18"/>
        </w:rPr>
      </w:pPr>
    </w:p>
    <w:p w:rsidR="002C1123" w:rsidRDefault="002C1123">
      <w:pPr>
        <w:pStyle w:val="BodyText"/>
        <w:spacing w:before="7"/>
        <w:rPr>
          <w:sz w:val="23"/>
        </w:rPr>
      </w:pPr>
    </w:p>
    <w:p w:rsidR="002C1123" w:rsidRDefault="00F22F94">
      <w:pPr>
        <w:ind w:left="425"/>
        <w:rPr>
          <w:sz w:val="15"/>
        </w:rPr>
      </w:pPr>
      <w:r>
        <w:rPr>
          <w:w w:val="85"/>
          <w:sz w:val="15"/>
        </w:rPr>
        <w:t>Education</w:t>
      </w:r>
      <w:r>
        <w:rPr>
          <w:spacing w:val="15"/>
          <w:sz w:val="15"/>
        </w:rPr>
        <w:t xml:space="preserve"> </w:t>
      </w:r>
      <w:r>
        <w:rPr>
          <w:spacing w:val="-5"/>
          <w:sz w:val="15"/>
        </w:rPr>
        <w:t>10%</w:t>
      </w:r>
    </w:p>
    <w:p w:rsidR="002C1123" w:rsidRDefault="002C1123">
      <w:pPr>
        <w:pStyle w:val="BodyText"/>
        <w:rPr>
          <w:sz w:val="18"/>
        </w:rPr>
      </w:pPr>
    </w:p>
    <w:p w:rsidR="002C1123" w:rsidRDefault="002C1123">
      <w:pPr>
        <w:pStyle w:val="BodyText"/>
        <w:rPr>
          <w:sz w:val="18"/>
        </w:rPr>
      </w:pPr>
    </w:p>
    <w:p w:rsidR="002C1123" w:rsidRDefault="002C1123">
      <w:pPr>
        <w:pStyle w:val="BodyText"/>
        <w:spacing w:before="2"/>
        <w:rPr>
          <w:sz w:val="14"/>
        </w:rPr>
      </w:pPr>
    </w:p>
    <w:p w:rsidR="002C1123" w:rsidRDefault="00F22F94">
      <w:pPr>
        <w:ind w:left="231"/>
        <w:rPr>
          <w:sz w:val="13"/>
        </w:rPr>
      </w:pPr>
      <w:r>
        <w:rPr>
          <w:sz w:val="13"/>
        </w:rPr>
        <w:t>Source:</w:t>
      </w:r>
      <w:r>
        <w:rPr>
          <w:spacing w:val="5"/>
          <w:sz w:val="13"/>
        </w:rPr>
        <w:t xml:space="preserve"> </w:t>
      </w:r>
      <w:r>
        <w:rPr>
          <w:sz w:val="13"/>
        </w:rPr>
        <w:t>NSW</w:t>
      </w:r>
      <w:r>
        <w:rPr>
          <w:spacing w:val="5"/>
          <w:sz w:val="13"/>
        </w:rPr>
        <w:t xml:space="preserve"> </w:t>
      </w:r>
      <w:r>
        <w:rPr>
          <w:spacing w:val="-2"/>
          <w:sz w:val="13"/>
        </w:rPr>
        <w:t>Treasury.</w:t>
      </w:r>
    </w:p>
    <w:p w:rsidR="002C1123" w:rsidRDefault="00F22F94">
      <w:pPr>
        <w:spacing w:before="37"/>
        <w:ind w:right="603"/>
        <w:jc w:val="right"/>
        <w:rPr>
          <w:sz w:val="15"/>
        </w:rPr>
      </w:pPr>
      <w:r>
        <w:br w:type="column"/>
      </w:r>
      <w:r>
        <w:rPr>
          <w:w w:val="85"/>
          <w:sz w:val="15"/>
        </w:rPr>
        <w:t>Other</w:t>
      </w:r>
      <w:r>
        <w:rPr>
          <w:spacing w:val="-2"/>
          <w:sz w:val="15"/>
        </w:rPr>
        <w:t xml:space="preserve"> </w:t>
      </w:r>
      <w:r>
        <w:rPr>
          <w:spacing w:val="-5"/>
          <w:w w:val="95"/>
          <w:sz w:val="15"/>
        </w:rPr>
        <w:t>5%</w:t>
      </w: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spacing w:before="6"/>
        <w:rPr>
          <w:sz w:val="23"/>
        </w:rPr>
      </w:pPr>
    </w:p>
    <w:p w:rsidR="002C1123" w:rsidRDefault="002060EF">
      <w:pPr>
        <w:ind w:right="547"/>
        <w:jc w:val="right"/>
        <w:rPr>
          <w:b/>
          <w:sz w:val="17"/>
        </w:rPr>
      </w:pPr>
      <w:r>
        <w:pict>
          <v:group id="docshapegroup93" o:spid="_x0000_s5191" style="position:absolute;left:0;text-align:left;margin-left:337.7pt;margin-top:-77.45pt;width:157.1pt;height:168.9pt;z-index:-251537408;mso-position-horizontal-relative:page" coordorigin="6754,-1549" coordsize="3142,3378">
            <v:shape id="docshape94" o:spid="_x0000_s5215" style="position:absolute;left:6758;top:-1545;width:3072;height:2877" coordorigin="6758,-1545" coordsize="3072,2877" o:spt="100" adj="0,,0" path="m8419,132l9830,-811m8419,132l8157,-1545m8419,132l7811,-1452m8419,132l7362,-1196m8419,132l7008,-811m8419,132l6796,-365m8419,132l6758,480m8419,132l7220,1332e" filled="f" strokecolor="#b2b1b3" strokeweight=".39pt">
              <v:stroke joinstyle="round"/>
              <v:formulas/>
              <v:path arrowok="t" o:connecttype="segments"/>
            </v:shape>
            <v:line id="_x0000_s5214" style="position:absolute" from="8419,1829" to="8419,132" strokecolor="#b2b1b3" strokeweight=".39pt"/>
            <v:line id="_x0000_s5213" style="position:absolute" from="9712,1231" to="8419,132" strokecolor="#b2b1b3" strokeweight=".39pt"/>
            <v:shape id="docshape95" o:spid="_x0000_s5212" style="position:absolute;left:8419;top:-1332;width:1464;height:1916" coordorigin="8419,-1331" coordsize="1464,1916" path="m8419,-1331r,1463l9811,584r23,-76l9852,434r13,-73l9875,288r5,-76l9882,132r-2,-75l9875,-18r-10,-73l9852,-163r-16,-71l9816,-303r-23,-68l9767,-438r-29,-64l9706,-566r-36,-61l9632,-686r-41,-58l9548,-799r-46,-53l9454,-903r-51,-48l9350,-997r-56,-44l9237,-1081r-59,-38l9116,-1155r-63,-32l8989,-1216r-67,-27l8854,-1266r-69,-19l8714,-1302r-72,-12l8569,-1324r-75,-5l8419,-1331xe" fillcolor="#2e3092" stroked="f">
              <v:path arrowok="t"/>
            </v:shape>
            <v:shape id="docshape96" o:spid="_x0000_s5211" style="position:absolute;left:8419;top:-1332;width:1464;height:1916" coordorigin="8419,-1331" coordsize="1464,1916" path="m8419,132r,-1463l8494,-1329r75,5l8642,-1314r72,12l8785,-1285r69,19l8922,-1243r67,27l9053,-1187r63,32l9178,-1119r59,38l9294,-1041r56,44l9403,-951r51,48l9502,-852r46,53l9591,-744r41,58l9670,-627r36,61l9738,-502r29,64l9793,-371r23,68l9836,-234r16,71l9865,-91r10,73l9880,57r2,75l9880,212r-5,76l9865,361r-13,73l9834,508r-23,76l8419,132xe" filled="f" strokecolor="white" strokeweight=".46389mm">
              <v:path arrowok="t"/>
            </v:shape>
            <v:shape id="docshape97" o:spid="_x0000_s5210" style="position:absolute;left:8419;top:131;width:1392;height:1316" coordorigin="8419,132" coordsize="1392,1316" path="m8419,132r641,1315l9132,1410r69,-41l9267,1326r63,-47l9390,1230r57,-52l9500,1123r51,-58l9598,1004r44,-63l9682,875r37,-69l9753,734r31,-73l9811,584,8419,132xe" fillcolor="#2e3092" stroked="f">
              <v:path arrowok="t"/>
            </v:shape>
            <v:shape id="docshape98" o:spid="_x0000_s5209" style="position:absolute;left:8419;top:131;width:1392;height:1316" coordorigin="8419,132" coordsize="1392,1316" path="m8419,132l9811,584r-27,77l9753,734r-34,72l9682,875r-40,66l9598,1004r-47,61l9500,1123r-53,55l9390,1230r-60,49l9267,1326r-66,43l9132,1410r-72,37l8419,132xe" filled="f" strokecolor="white" strokeweight=".46389mm">
              <v:path arrowok="t"/>
            </v:shape>
            <v:shape id="docshape99" o:spid="_x0000_s5208" style="position:absolute;left:7732;top:131;width:1329;height:1472" coordorigin="7732,132" coordsize="1329,1472" path="m8419,132l7732,1424r73,36l7878,1492r73,29l8024,1545r74,20l8171,1580r74,12l8319,1600r74,3l8467,1602r75,-5l8616,1588r74,-13l8764,1558r75,-22l8913,1511r74,-30l9060,1447,8419,132xe" fillcolor="#2e3092" stroked="f">
              <v:path arrowok="t"/>
            </v:shape>
            <v:shape id="docshape100" o:spid="_x0000_s5207" style="position:absolute;left:7732;top:131;width:1329;height:1472" coordorigin="7732,132" coordsize="1329,1472" path="m8419,132r641,1315l8987,1481r-74,30l8839,1536r-75,22l8690,1575r-74,13l8542,1597r-75,5l8393,1603r-74,-3l8245,1592r-74,-12l8098,1565r-74,-20l7951,1521r-73,-29l7805,1460r-73,-36l8419,132xe" filled="f" strokecolor="white" strokeweight=".46389mm">
              <v:path arrowok="t"/>
            </v:shape>
            <v:shape id="docshape101" o:spid="_x0000_s5206" style="position:absolute;left:7115;top:131;width:1304;height:1292" coordorigin="7115,132" coordsize="1304,1292" path="m8419,132l7115,796r41,74l7199,941r46,67l7294,1071r52,60l7401,1187r59,54l7523,1291r66,47l7659,1382r73,42l8419,132xe" fillcolor="#2e3092" stroked="f">
              <v:path arrowok="t"/>
            </v:shape>
            <v:shape id="docshape102" o:spid="_x0000_s5205" style="position:absolute;left:7115;top:131;width:1304;height:1292" coordorigin="7115,132" coordsize="1304,1292" path="m8419,132l7732,1424r-73,-42l7589,1338r-66,-47l7460,1241r-59,-54l7346,1131r-52,-60l7245,1008r-46,-67l7156,870r-41,-74l8419,132xe" filled="f" strokecolor="white" strokeweight=".46389mm">
              <v:path arrowok="t"/>
            </v:shape>
            <v:shape id="docshape103" o:spid="_x0000_s5204" style="position:absolute;left:6955;top:-47;width:1464;height:843" coordorigin="6955,-46" coordsize="1464,843" path="m6967,-46r-8,81l6955,114r1,79l6961,271r9,77l6983,424r18,76l7023,575r26,74l7080,723r35,73l8419,132,6967,-46xe" fillcolor="#2e3092" stroked="f">
              <v:path arrowok="t"/>
            </v:shape>
            <v:shape id="docshape104" o:spid="_x0000_s5203" style="position:absolute;left:6955;top:-47;width:1464;height:843" coordorigin="6955,-46" coordsize="1464,843" path="m8419,132l7115,796r-35,-73l7049,649r-26,-74l7001,500r-18,-76l6970,348r-9,-77l6956,193r-1,-79l6959,35r8,-81l8419,132xe" filled="f" strokecolor="white" strokeweight=".46389mm">
              <v:path arrowok="t"/>
            </v:shape>
            <v:shape id="docshape105" o:spid="_x0000_s5202" style="position:absolute;left:6966;top:-487;width:1453;height:619" coordorigin="6967,-487" coordsize="1453,619" path="m7093,-487r-32,72l7034,-343r-22,71l6993,-199r-15,75l6967,-46,8419,132,7093,-487xe" fillcolor="#2e3092" stroked="f">
              <v:path arrowok="t"/>
            </v:shape>
            <v:shape id="docshape106" o:spid="_x0000_s5201" style="position:absolute;left:6966;top:-487;width:1453;height:619" coordorigin="6967,-487" coordsize="1453,619" path="m8419,132l6967,-46r11,-78l6993,-199r19,-73l7034,-343r27,-72l7093,-487,8419,132xe" filled="f" strokecolor="white" strokeweight=".46389mm">
              <v:path arrowok="t"/>
            </v:shape>
            <v:shape id="docshape107" o:spid="_x0000_s5200" style="position:absolute;left:7092;top:-848;width:1327;height:980" coordorigin="7093,-847" coordsize="1327,980" path="m7332,-847r-59,68l7221,-711r-46,70l7133,-567r-40,80l8419,132,7332,-847xe" fillcolor="#2e3092" stroked="f">
              <v:path arrowok="t"/>
            </v:shape>
            <v:shape id="docshape108" o:spid="_x0000_s5199" style="position:absolute;left:7092;top:-848;width:1327;height:980" coordorigin="7093,-847" coordsize="1327,980" path="m8419,132l7093,-487r40,-80l7175,-641r46,-70l7273,-779r59,-68l8419,132xe" filled="f" strokecolor="white" strokeweight=".46389mm">
              <v:path arrowok="t"/>
            </v:shape>
            <v:shape id="docshape109" o:spid="_x0000_s5198" style="position:absolute;left:7331;top:-1215;width:1088;height:1347" coordorigin="7332,-1215" coordsize="1088,1347" path="m7847,-1215r-74,34l7702,-1144r-68,40l7569,-1060r-63,47l7446,-962r-58,55l7332,-847,8419,132,7847,-1215xe" fillcolor="#2e3092" stroked="f">
              <v:path arrowok="t"/>
            </v:shape>
            <v:shape id="docshape110" o:spid="_x0000_s5197" style="position:absolute;left:7331;top:-1215;width:1088;height:1347" coordorigin="7332,-1215" coordsize="1088,1347" path="m8419,132l7332,-847r56,-60l7446,-962r60,-51l7569,-1060r65,-44l7702,-1144r71,-37l7847,-1215,8419,132xe" filled="f" strokecolor="white" strokeweight=".46389mm">
              <v:path arrowok="t"/>
            </v:shape>
            <v:shape id="docshape111" o:spid="_x0000_s5196" style="position:absolute;left:7847;top:-1252;width:572;height:1384" coordorigin="7847,-1252" coordsize="572,1384" path="m7943,-1252r-25,9l7895,-1234r-23,9l7847,-1215,8419,132,7943,-1252xe" fillcolor="#2e3092" stroked="f">
              <v:path arrowok="t"/>
            </v:shape>
            <v:shape id="docshape112" o:spid="_x0000_s5195" style="position:absolute;left:7847;top:-1252;width:572;height:1384" coordorigin="7847,-1252" coordsize="572,1384" path="m8419,132l7847,-1215r25,-10l7895,-1234r23,-9l7943,-1252,8419,132xe" filled="f" strokecolor="white" strokeweight=".46389mm">
              <v:path arrowok="t"/>
            </v:shape>
            <v:shape id="docshape113" o:spid="_x0000_s5194" style="position:absolute;left:7942;top:-1332;width:477;height:1464" coordorigin="7943,-1331" coordsize="477,1464" path="m8419,-1331r-81,2l8257,-1322r-80,11l8099,-1296r-79,20l7943,-1252,8419,132r,-1463xe" fillcolor="#2e3092" stroked="f">
              <v:path arrowok="t"/>
            </v:shape>
            <v:shape id="docshape114" o:spid="_x0000_s5193" style="position:absolute;left:7942;top:-1332;width:477;height:1464" coordorigin="7943,-1331" coordsize="477,1464" path="m8419,132l7943,-1252r77,-24l8099,-1296r78,-15l8257,-1322r81,-7l8419,-1331r,1463xe" filled="f" strokecolor="white" strokeweight=".46389mm">
              <v:path arrowok="t"/>
            </v:shape>
            <v:shape id="docshape115" o:spid="_x0000_s5192" style="position:absolute;left:7590;top:-697;width:1657;height:1657" coordorigin="7591,-696" coordsize="1657,1657" path="m8419,-696r-75,3l8270,-683r-71,16l8130,-645r-66,28l8001,-583r-60,38l7885,-502r-52,48l7786,-402r-44,56l7704,-286r-33,63l7643,-157r-23,69l7604,-17r-10,73l7591,132r3,75l7604,281r16,71l7643,421r28,66l7704,550r38,59l7786,665r47,52l7885,765r56,44l8001,847r63,33l8130,908r69,22l8270,947r74,10l8419,960r75,-3l8568,947r71,-17l8708,908r66,-28l8837,847r60,-38l8953,765r52,-48l9052,665r44,-56l9134,550r33,-63l9195,421r23,-69l9234,281r10,-74l9247,132r-3,-76l9234,-17r-16,-71l9195,-157r-28,-66l9134,-286r-38,-60l9052,-402r-47,-52l8953,-502r-56,-43l8837,-583r-63,-34l8708,-645r-69,-22l8568,-683r-74,-10l8419,-696xe" stroked="f">
              <v:path arrowok="t"/>
            </v:shape>
            <w10:wrap anchorx="page"/>
          </v:group>
        </w:pict>
      </w:r>
      <w:r w:rsidR="00F22F94">
        <w:rPr>
          <w:b/>
          <w:w w:val="90"/>
          <w:sz w:val="17"/>
        </w:rPr>
        <w:t>$213</w:t>
      </w:r>
      <w:r w:rsidR="00F22F94">
        <w:rPr>
          <w:b/>
          <w:spacing w:val="-6"/>
          <w:w w:val="90"/>
          <w:sz w:val="17"/>
        </w:rPr>
        <w:t xml:space="preserve"> </w:t>
      </w:r>
      <w:r w:rsidR="00F22F94">
        <w:rPr>
          <w:b/>
          <w:spacing w:val="-2"/>
          <w:w w:val="95"/>
          <w:sz w:val="17"/>
        </w:rPr>
        <w:t>billion</w:t>
      </w: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spacing w:before="3"/>
        <w:rPr>
          <w:b/>
          <w:sz w:val="29"/>
        </w:rPr>
      </w:pPr>
    </w:p>
    <w:p w:rsidR="002C1123" w:rsidRDefault="00F22F94">
      <w:pPr>
        <w:ind w:left="741"/>
        <w:rPr>
          <w:sz w:val="15"/>
        </w:rPr>
      </w:pPr>
      <w:r>
        <w:rPr>
          <w:w w:val="90"/>
          <w:sz w:val="15"/>
        </w:rPr>
        <w:t>Electricity</w:t>
      </w:r>
      <w:r>
        <w:rPr>
          <w:spacing w:val="7"/>
          <w:sz w:val="15"/>
        </w:rPr>
        <w:t xml:space="preserve"> </w:t>
      </w:r>
      <w:r>
        <w:rPr>
          <w:spacing w:val="-12"/>
          <w:w w:val="95"/>
          <w:sz w:val="15"/>
        </w:rPr>
        <w:t>15%</w:t>
      </w:r>
    </w:p>
    <w:p w:rsidR="002C1123" w:rsidRDefault="00F22F94">
      <w:pPr>
        <w:rPr>
          <w:sz w:val="18"/>
        </w:rPr>
      </w:pPr>
      <w:r>
        <w:br w:type="column"/>
      </w:r>
    </w:p>
    <w:p w:rsidR="002C1123" w:rsidRDefault="002C1123">
      <w:pPr>
        <w:pStyle w:val="BodyText"/>
        <w:rPr>
          <w:sz w:val="18"/>
        </w:rPr>
      </w:pPr>
    </w:p>
    <w:p w:rsidR="002C1123" w:rsidRDefault="002C1123">
      <w:pPr>
        <w:pStyle w:val="BodyText"/>
        <w:rPr>
          <w:sz w:val="18"/>
        </w:rPr>
      </w:pPr>
    </w:p>
    <w:p w:rsidR="002C1123" w:rsidRDefault="00F22F94">
      <w:pPr>
        <w:spacing w:before="148"/>
        <w:ind w:left="479"/>
        <w:rPr>
          <w:sz w:val="15"/>
        </w:rPr>
      </w:pPr>
      <w:r>
        <w:rPr>
          <w:w w:val="85"/>
          <w:sz w:val="15"/>
        </w:rPr>
        <w:t>Roads</w:t>
      </w:r>
      <w:r>
        <w:rPr>
          <w:spacing w:val="-3"/>
          <w:w w:val="95"/>
          <w:sz w:val="15"/>
        </w:rPr>
        <w:t xml:space="preserve"> </w:t>
      </w:r>
      <w:r>
        <w:rPr>
          <w:spacing w:val="-5"/>
          <w:w w:val="95"/>
          <w:sz w:val="15"/>
        </w:rPr>
        <w:t>30%</w:t>
      </w: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spacing w:before="1"/>
        <w:rPr>
          <w:sz w:val="18"/>
        </w:rPr>
      </w:pPr>
    </w:p>
    <w:p w:rsidR="002C1123" w:rsidRDefault="00F22F94">
      <w:pPr>
        <w:spacing w:before="1"/>
        <w:ind w:left="362"/>
        <w:rPr>
          <w:sz w:val="15"/>
        </w:rPr>
      </w:pPr>
      <w:r>
        <w:rPr>
          <w:w w:val="85"/>
          <w:sz w:val="15"/>
        </w:rPr>
        <w:t>Rail</w:t>
      </w:r>
      <w:r>
        <w:rPr>
          <w:sz w:val="15"/>
        </w:rPr>
        <w:t xml:space="preserve"> </w:t>
      </w:r>
      <w:r>
        <w:rPr>
          <w:spacing w:val="-5"/>
          <w:w w:val="95"/>
          <w:sz w:val="15"/>
        </w:rPr>
        <w:t>13%</w:t>
      </w:r>
    </w:p>
    <w:p w:rsidR="002C1123" w:rsidRDefault="002C1123">
      <w:pPr>
        <w:rPr>
          <w:sz w:val="15"/>
        </w:rPr>
        <w:sectPr w:rsidR="002C1123">
          <w:type w:val="continuous"/>
          <w:pgSz w:w="16840" w:h="11910" w:orient="landscape"/>
          <w:pgMar w:top="560" w:right="280" w:bottom="280" w:left="500" w:header="0" w:footer="517" w:gutter="0"/>
          <w:cols w:num="4" w:space="720" w:equalWidth="0">
            <w:col w:w="5277" w:space="40"/>
            <w:col w:w="1904" w:space="39"/>
            <w:col w:w="1633" w:space="40"/>
            <w:col w:w="7127"/>
          </w:cols>
        </w:sectPr>
      </w:pPr>
    </w:p>
    <w:p w:rsidR="002C1123" w:rsidRDefault="00F22F94">
      <w:pPr>
        <w:pStyle w:val="BodyText"/>
        <w:spacing w:before="133" w:line="249" w:lineRule="auto"/>
        <w:ind w:left="500" w:hanging="22"/>
      </w:pPr>
      <w:r>
        <w:t>The</w:t>
      </w:r>
      <w:r>
        <w:rPr>
          <w:spacing w:val="-13"/>
        </w:rPr>
        <w:t xml:space="preserve"> </w:t>
      </w:r>
      <w:r>
        <w:t>Government’s</w:t>
      </w:r>
      <w:r>
        <w:rPr>
          <w:spacing w:val="-13"/>
        </w:rPr>
        <w:t xml:space="preserve"> </w:t>
      </w:r>
      <w:r>
        <w:t>portfolio</w:t>
      </w:r>
      <w:r>
        <w:rPr>
          <w:spacing w:val="-13"/>
        </w:rPr>
        <w:t xml:space="preserve"> </w:t>
      </w:r>
      <w:r>
        <w:t>of</w:t>
      </w:r>
      <w:r>
        <w:rPr>
          <w:spacing w:val="-13"/>
        </w:rPr>
        <w:t xml:space="preserve"> </w:t>
      </w:r>
      <w:r>
        <w:t>infrastructure</w:t>
      </w:r>
      <w:r>
        <w:rPr>
          <w:spacing w:val="-13"/>
        </w:rPr>
        <w:t xml:space="preserve"> </w:t>
      </w:r>
      <w:r>
        <w:t xml:space="preserve">assets </w:t>
      </w:r>
      <w:r>
        <w:rPr>
          <w:w w:val="95"/>
        </w:rPr>
        <w:t>within</w:t>
      </w:r>
      <w:r>
        <w:rPr>
          <w:spacing w:val="-4"/>
          <w:w w:val="95"/>
        </w:rPr>
        <w:t xml:space="preserve"> </w:t>
      </w:r>
      <w:r>
        <w:rPr>
          <w:w w:val="95"/>
        </w:rPr>
        <w:t>scope</w:t>
      </w:r>
      <w:r>
        <w:rPr>
          <w:spacing w:val="-4"/>
          <w:w w:val="95"/>
        </w:rPr>
        <w:t xml:space="preserve"> </w:t>
      </w:r>
      <w:r>
        <w:rPr>
          <w:w w:val="95"/>
        </w:rPr>
        <w:t>amounts</w:t>
      </w:r>
      <w:r>
        <w:rPr>
          <w:spacing w:val="-4"/>
          <w:w w:val="95"/>
        </w:rPr>
        <w:t xml:space="preserve"> </w:t>
      </w:r>
      <w:r>
        <w:rPr>
          <w:w w:val="95"/>
        </w:rPr>
        <w:t>to</w:t>
      </w:r>
      <w:r>
        <w:rPr>
          <w:spacing w:val="-4"/>
          <w:w w:val="95"/>
        </w:rPr>
        <w:t xml:space="preserve"> </w:t>
      </w:r>
      <w:r>
        <w:rPr>
          <w:w w:val="95"/>
        </w:rPr>
        <w:t>$213</w:t>
      </w:r>
      <w:r>
        <w:rPr>
          <w:spacing w:val="-4"/>
          <w:w w:val="95"/>
        </w:rPr>
        <w:t xml:space="preserve"> </w:t>
      </w:r>
      <w:r>
        <w:rPr>
          <w:w w:val="95"/>
        </w:rPr>
        <w:t>billion,</w:t>
      </w:r>
      <w:r>
        <w:rPr>
          <w:spacing w:val="-4"/>
          <w:w w:val="95"/>
        </w:rPr>
        <w:t xml:space="preserve"> </w:t>
      </w:r>
      <w:r>
        <w:rPr>
          <w:w w:val="95"/>
        </w:rPr>
        <w:t>with</w:t>
      </w:r>
      <w:r>
        <w:rPr>
          <w:spacing w:val="-4"/>
          <w:w w:val="95"/>
        </w:rPr>
        <w:t xml:space="preserve"> </w:t>
      </w:r>
      <w:r>
        <w:rPr>
          <w:w w:val="95"/>
        </w:rPr>
        <w:t>the</w:t>
      </w:r>
      <w:r>
        <w:rPr>
          <w:spacing w:val="-4"/>
          <w:w w:val="95"/>
        </w:rPr>
        <w:t xml:space="preserve"> </w:t>
      </w:r>
      <w:r>
        <w:rPr>
          <w:w w:val="95"/>
        </w:rPr>
        <w:t>largest</w:t>
      </w:r>
    </w:p>
    <w:p w:rsidR="002C1123" w:rsidRDefault="00F22F94">
      <w:pPr>
        <w:spacing w:before="5"/>
        <w:rPr>
          <w:sz w:val="21"/>
        </w:rPr>
      </w:pPr>
      <w:r>
        <w:br w:type="column"/>
      </w:r>
    </w:p>
    <w:p w:rsidR="002C1123" w:rsidRDefault="00F22F94">
      <w:pPr>
        <w:ind w:left="478"/>
        <w:rPr>
          <w:b/>
          <w:sz w:val="18"/>
        </w:rPr>
      </w:pPr>
      <w:r>
        <w:rPr>
          <w:b/>
          <w:sz w:val="18"/>
        </w:rPr>
        <w:t>Figure 1.2</w:t>
      </w:r>
      <w:r>
        <w:rPr>
          <w:b/>
          <w:spacing w:val="52"/>
          <w:sz w:val="18"/>
        </w:rPr>
        <w:t xml:space="preserve"> </w:t>
      </w:r>
      <w:r>
        <w:rPr>
          <w:b/>
          <w:sz w:val="18"/>
        </w:rPr>
        <w:t>State</w:t>
      </w:r>
      <w:r>
        <w:rPr>
          <w:b/>
          <w:spacing w:val="1"/>
          <w:sz w:val="18"/>
        </w:rPr>
        <w:t xml:space="preserve"> </w:t>
      </w:r>
      <w:r>
        <w:rPr>
          <w:b/>
          <w:sz w:val="18"/>
        </w:rPr>
        <w:t>Capital Program</w:t>
      </w:r>
      <w:r>
        <w:rPr>
          <w:b/>
          <w:spacing w:val="1"/>
          <w:sz w:val="18"/>
        </w:rPr>
        <w:t xml:space="preserve"> </w:t>
      </w:r>
      <w:r>
        <w:rPr>
          <w:b/>
          <w:sz w:val="18"/>
        </w:rPr>
        <w:t>2012-</w:t>
      </w:r>
      <w:r>
        <w:rPr>
          <w:b/>
          <w:spacing w:val="-5"/>
          <w:sz w:val="18"/>
        </w:rPr>
        <w:t>13</w:t>
      </w:r>
    </w:p>
    <w:p w:rsidR="002C1123" w:rsidRDefault="002060EF">
      <w:pPr>
        <w:spacing w:before="47" w:line="110" w:lineRule="exact"/>
        <w:ind w:left="2520"/>
        <w:rPr>
          <w:sz w:val="16"/>
        </w:rPr>
      </w:pPr>
      <w:r>
        <w:pict>
          <v:group id="docshapegroup116" o:spid="_x0000_s5168" style="position:absolute;left:0;text-align:left;margin-left:342.9pt;margin-top:9pt;width:170.8pt;height:166.75pt;z-index:-251536384;mso-position-horizontal-relative:page" coordorigin="6858,180" coordsize="3416,3335">
            <v:shape id="docshape117" o:spid="_x0000_s5190" style="position:absolute;left:6862;top:184;width:3408;height:3327" coordorigin="6862,184" coordsize="3408,3327" o:spt="100" adj="0,,0" path="m8572,1839l9504,367m8572,1839r1697,392m8572,1839l9641,3214m8572,1839l8082,3511m8572,1839l6864,2184m8572,1839l6862,1503t1710,336l7032,1023t1540,816l7242,713m8572,1839l7451,505m8572,1839l8026,184e" filled="f" strokecolor="#b2b1b3" strokeweight=".4pt">
              <v:stroke joinstyle="round"/>
              <v:formulas/>
              <v:path arrowok="t" o:connecttype="segments"/>
            </v:shape>
            <v:shape id="docshape118" o:spid="_x0000_s5189" style="position:absolute;left:8568;top:336;width:1383;height:1503" coordorigin="8569,337" coordsize="1383,1503" path="m8569,337r,1502l9952,1252r-33,-73l9882,1109r-39,-68l9801,976r-45,-63l9708,854r-50,-56l9605,744r-55,-51l9492,646r-60,-44l9370,561r-64,-38l9240,488r-68,-31l9102,429r-72,-24l8957,384r-75,-17l8806,354r-78,-10l8649,339r-80,-2xe" fillcolor="#2e3092" stroked="f">
              <v:path arrowok="t"/>
            </v:shape>
            <v:shape id="docshape119" o:spid="_x0000_s5188" style="position:absolute;left:8568;top:336;width:1383;height:1503" coordorigin="8569,337" coordsize="1383,1503" path="m8569,1839r,-1502l8649,339r79,5l8806,354r76,13l8957,384r73,21l9102,429r70,28l9240,488r66,35l9370,561r62,41l9492,646r58,47l9605,744r53,54l9708,854r48,59l9801,976r42,65l9882,1109r37,70l9952,1252,8569,1839xe" filled="f" strokecolor="white" strokeweight="1.35pt">
              <v:path arrowok="t"/>
            </v:shape>
            <v:shape id="docshape120" o:spid="_x0000_s5187" style="position:absolute;left:8568;top:1252;width:1509;height:1721" coordorigin="8569,1252" coordsize="1509,1721" path="m9952,1252l8569,1839r985,1134l9613,2919r56,-56l9721,2806r48,-60l9814,2685r42,-63l9894,2557r35,-66l9960,2424r27,-69l10011,2285r20,-71l10048,2143r13,-73l10070,1997r5,-74l10077,1849r-2,-74l10069,1700r-10,-75l10045,1550r-17,-75l10006,1400r-25,-74l9952,1252xe" fillcolor="#2e3092" stroked="f">
              <v:path arrowok="t"/>
            </v:shape>
            <v:shape id="docshape121" o:spid="_x0000_s5186" style="position:absolute;left:8568;top:1252;width:1509;height:1721" coordorigin="8569,1252" coordsize="1509,1721" path="m8569,1839l9952,1252r29,74l10006,1400r22,75l10045,1550r14,75l10069,1700r6,75l10077,1849r-2,74l10070,1997r-9,73l10048,2143r-17,71l10011,2285r-24,70l9960,2424r-31,67l9894,2557r-38,65l9814,2685r-45,61l9721,2806r-52,57l9613,2919r-59,54l8569,1839xe" filled="f" strokecolor="white" strokeweight="1.35pt">
              <v:path arrowok="t"/>
            </v:shape>
            <v:shape id="docshape122" o:spid="_x0000_s5185" style="position:absolute;left:8568;top:1839;width:986;height:1231" coordorigin="8569,1839" coordsize="986,1231" path="m8569,1839r861,1231l9464,3046r30,-23l9523,2999r31,-26l8569,1839xe" fillcolor="#2e3092" stroked="f">
              <v:path arrowok="t"/>
            </v:shape>
            <v:shape id="docshape123" o:spid="_x0000_s5184" style="position:absolute;left:8568;top:1839;width:986;height:1231" coordorigin="8569,1839" coordsize="986,1231" path="m8569,1839r985,1134l9523,2999r-29,24l9464,3046r-34,24l8569,1839xe" filled="f" strokecolor="white" strokeweight="1.35pt">
              <v:path arrowok="t"/>
            </v:shape>
            <v:shape id="docshape124" o:spid="_x0000_s5183" style="position:absolute;left:7196;top:1839;width:2235;height:1503" coordorigin="7196,1839" coordsize="2235,1503" path="m8569,1839l7196,2450r31,65l7261,2579r37,62l7338,2701r45,60l7430,2819r49,54l7530,2925r54,49l7639,3020r57,43l7755,3103r61,36l7878,3173r63,31l8006,3232r65,25l8138,3278r67,19l8274,3312r68,12l8412,3333r69,6l8551,3341r71,l8692,3337r70,-8l8832,3319r69,-14l8970,3287r69,-21l9106,3242r67,-27l9239,3184r65,-35l9368,3111r62,-41l8569,1839xe" fillcolor="#2e3092" stroked="f">
              <v:path arrowok="t"/>
            </v:shape>
            <v:shape id="docshape125" o:spid="_x0000_s5182" style="position:absolute;left:7196;top:1839;width:2235;height:1503" coordorigin="7196,1839" coordsize="2235,1503" path="m8569,1839r861,1231l9368,3111r-64,38l9239,3184r-66,31l9106,3242r-67,24l8970,3287r-69,18l8832,3319r-70,10l8692,3337r-70,4l8551,3341r-70,-2l8412,3333r-70,-9l8274,3312r-69,-15l8138,3278r-67,-21l8006,3232r-65,-28l7878,3173r-62,-34l7755,3103r-59,-40l7639,3020r-55,-46l7530,2925r-51,-52l7430,2819r-47,-58l7338,2701r-40,-60l7261,2579r-34,-64l7196,2450,8569,1839xe" filled="f" strokecolor="white" strokeweight="1.35pt">
              <v:path arrowok="t"/>
            </v:shape>
            <v:shape id="docshape126" o:spid="_x0000_s5181" style="position:absolute;left:7066;top:1839;width:1503;height:612" coordorigin="7066,1839" coordsize="1503,612" path="m8569,1839r-1503,l7068,1921r6,79l7084,2076r14,76l7116,2226r22,74l7165,2375r31,75l8569,1839xe" fillcolor="#2e3092" stroked="f">
              <v:path arrowok="t"/>
            </v:shape>
            <v:shape id="docshape127" o:spid="_x0000_s5180" style="position:absolute;left:7066;top:1839;width:1503;height:612" coordorigin="7066,1839" coordsize="1503,612" path="m8569,1839l7196,2450r-31,-75l7138,2300r-22,-74l7098,2152r-14,-76l7074,2000r-6,-79l7066,1839r1503,xe" filled="f" strokecolor="white" strokeweight="1.35pt">
              <v:path arrowok="t"/>
            </v:shape>
            <v:shape id="docshape128" o:spid="_x0000_s5179" style="position:absolute;left:7066;top:1276;width:1503;height:563" coordorigin="7066,1276" coordsize="1503,563" path="m7176,1276r-30,80l7121,1435r-20,78l7085,1592r-10,80l7068,1754r-2,85l8569,1839,7176,1276xe" fillcolor="#2e3092" stroked="f">
              <v:path arrowok="t"/>
            </v:shape>
            <v:shape id="docshape129" o:spid="_x0000_s5178" style="position:absolute;left:7066;top:1276;width:1503;height:563" coordorigin="7066,1276" coordsize="1503,563" path="m8569,1839r-1503,l7068,1754r7,-82l7085,1592r16,-79l7121,1435r25,-79l7176,1276r1393,563xe" filled="f" strokecolor="white" strokeweight="1.35pt">
              <v:path arrowok="t"/>
            </v:shape>
            <v:shape id="docshape130" o:spid="_x0000_s5177" style="position:absolute;left:7175;top:977;width:1393;height:862" coordorigin="7176,977" coordsize="1393,862" path="m7338,977r-48,72l7248,1122r-38,75l7176,1276r1393,563l7338,977xe" fillcolor="#2e3092" stroked="f">
              <v:path arrowok="t"/>
            </v:shape>
            <v:shape id="docshape131" o:spid="_x0000_s5176" style="position:absolute;left:7175;top:977;width:1393;height:862" coordorigin="7176,977" coordsize="1393,862" path="m8569,1839l7176,1276r34,-79l7248,1122r42,-73l7338,977r1231,862xe" filled="f" strokecolor="white" strokeweight="1.35pt">
              <v:path arrowok="t"/>
            </v:shape>
            <v:shape id="docshape132" o:spid="_x0000_s5175" style="position:absolute;left:7338;top:758;width:1231;height:1081" coordorigin="7338,758" coordsize="1231,1081" path="m7525,758r-51,52l7426,863r-45,56l7338,977r1231,862l7525,758xe" fillcolor="#2e3092" stroked="f">
              <v:path arrowok="t"/>
            </v:shape>
            <v:shape id="docshape133" o:spid="_x0000_s5174" style="position:absolute;left:7338;top:758;width:1231;height:1081" coordorigin="7338,758" coordsize="1231,1081" path="m8569,1839l7338,977r43,-58l7426,863r48,-53l7525,758,8569,1839xe" filled="f" strokecolor="white" strokeweight="1.35pt">
              <v:path arrowok="t"/>
            </v:shape>
            <v:shape id="docshape134" o:spid="_x0000_s5173" style="position:absolute;left:7525;top:623;width:1044;height:1216" coordorigin="7525,624" coordsize="1044,1216" path="m7686,624r-45,33l7603,688r-38,32l7525,758,8569,1839,7686,624xe" fillcolor="#2e3092" stroked="f">
              <v:path arrowok="t"/>
            </v:shape>
            <v:shape id="docshape135" o:spid="_x0000_s5172" style="position:absolute;left:7525;top:623;width:1044;height:1216" coordorigin="7525,624" coordsize="1044,1216" path="m8569,1839l7525,758r40,-38l7603,688r38,-31l7686,624r883,1215xe" filled="f" strokecolor="white" strokeweight="1.35pt">
              <v:path arrowok="t"/>
            </v:shape>
            <v:shape id="docshape136" o:spid="_x0000_s5171" style="position:absolute;left:7685;top:336;width:884;height:1503" coordorigin="7686,337" coordsize="884,1503" path="m8569,337r-81,2l8409,345r-78,10l8254,369r-76,18l8104,409r-73,26l7959,465r-70,34l7820,536r-68,42l7686,624r883,1215l8569,337xe" fillcolor="#2e3092" stroked="f">
              <v:path arrowok="t"/>
            </v:shape>
            <v:shape id="docshape137" o:spid="_x0000_s5170" style="position:absolute;left:7685;top:336;width:884;height:1503" coordorigin="7686,337" coordsize="884,1503" path="m8569,1839l7686,624r66,-46l7820,536r69,-37l7959,465r72,-30l8104,409r74,-22l8254,369r77,-14l8409,345r79,-6l8569,337r,1502xe" filled="f" strokecolor="white" strokeweight="1.35pt">
              <v:path arrowok="t"/>
            </v:shape>
            <v:shape id="docshape138" o:spid="_x0000_s5169" style="position:absolute;left:7721;top:988;width:1701;height:1701" coordorigin="7721,989" coordsize="1701,1701" path="m8572,989r-78,3l8419,1002r-73,17l8275,1042r-68,29l8142,1105r-61,39l8024,1189r-54,49l7921,1291r-44,58l7837,1410r-34,65l7774,1542r-22,71l7735,1686r-10,76l7721,1839r4,78l7735,1992r17,73l7774,2136r29,68l7837,2268r40,62l7921,2387r49,53l8024,2490r57,44l8142,2573r65,35l8275,2636r71,23l8419,2676r75,10l8572,2690r77,-4l8724,2676r74,-17l8868,2636r68,-28l9001,2573r61,-39l9120,2489r53,-49l9222,2387r44,-57l9306,2268r34,-64l9369,2136r23,-71l9408,1992r11,-75l9422,1839r-3,-77l9408,1686r-16,-73l9369,1542r-29,-67l9306,1410r-40,-61l9222,1291r-49,-53l9120,1189r-58,-45l9001,1105r-65,-34l8868,1042r-70,-23l8724,1002r-75,-10l8572,989xe" stroked="f">
              <v:path arrowok="t"/>
            </v:shape>
            <w10:wrap anchorx="page"/>
          </v:group>
        </w:pict>
      </w:r>
      <w:r w:rsidR="00F22F94">
        <w:rPr>
          <w:w w:val="80"/>
          <w:sz w:val="16"/>
        </w:rPr>
        <w:t>Other</w:t>
      </w:r>
      <w:r w:rsidR="00F22F94">
        <w:rPr>
          <w:spacing w:val="5"/>
          <w:sz w:val="16"/>
        </w:rPr>
        <w:t xml:space="preserve"> </w:t>
      </w:r>
      <w:r w:rsidR="00F22F94">
        <w:rPr>
          <w:spacing w:val="-5"/>
          <w:w w:val="90"/>
          <w:sz w:val="16"/>
        </w:rPr>
        <w:t>10%</w:t>
      </w:r>
    </w:p>
    <w:p w:rsidR="002C1123" w:rsidRDefault="002C1123">
      <w:pPr>
        <w:spacing w:line="110" w:lineRule="exact"/>
        <w:rPr>
          <w:sz w:val="16"/>
        </w:rPr>
        <w:sectPr w:rsidR="002C1123">
          <w:type w:val="continuous"/>
          <w:pgSz w:w="16840" w:h="11910" w:orient="landscape"/>
          <w:pgMar w:top="560" w:right="280" w:bottom="280" w:left="500" w:header="0" w:footer="517" w:gutter="0"/>
          <w:cols w:num="2" w:space="720" w:equalWidth="0">
            <w:col w:w="4984" w:space="135"/>
            <w:col w:w="10941"/>
          </w:cols>
        </w:sectPr>
      </w:pPr>
    </w:p>
    <w:p w:rsidR="002C1123" w:rsidRDefault="00F22F94">
      <w:pPr>
        <w:pStyle w:val="BodyText"/>
        <w:spacing w:before="6" w:line="249" w:lineRule="auto"/>
        <w:ind w:left="500" w:right="365" w:firstLine="3"/>
      </w:pPr>
      <w:r>
        <w:rPr>
          <w:w w:val="95"/>
        </w:rPr>
        <w:t>portion,</w:t>
      </w:r>
      <w:r>
        <w:rPr>
          <w:spacing w:val="-4"/>
          <w:w w:val="95"/>
        </w:rPr>
        <w:t xml:space="preserve"> </w:t>
      </w:r>
      <w:r>
        <w:rPr>
          <w:w w:val="95"/>
        </w:rPr>
        <w:t>$91</w:t>
      </w:r>
      <w:r>
        <w:rPr>
          <w:spacing w:val="-4"/>
          <w:w w:val="95"/>
        </w:rPr>
        <w:t xml:space="preserve"> </w:t>
      </w:r>
      <w:r>
        <w:rPr>
          <w:w w:val="95"/>
        </w:rPr>
        <w:t>billion,</w:t>
      </w:r>
      <w:r>
        <w:rPr>
          <w:spacing w:val="-4"/>
          <w:w w:val="95"/>
        </w:rPr>
        <w:t xml:space="preserve"> </w:t>
      </w:r>
      <w:r>
        <w:rPr>
          <w:w w:val="95"/>
        </w:rPr>
        <w:t>in</w:t>
      </w:r>
      <w:r>
        <w:rPr>
          <w:spacing w:val="-4"/>
          <w:w w:val="95"/>
        </w:rPr>
        <w:t xml:space="preserve"> </w:t>
      </w:r>
      <w:r>
        <w:rPr>
          <w:w w:val="95"/>
        </w:rPr>
        <w:t>transport</w:t>
      </w:r>
      <w:r>
        <w:rPr>
          <w:spacing w:val="-4"/>
          <w:w w:val="95"/>
        </w:rPr>
        <w:t xml:space="preserve"> </w:t>
      </w:r>
      <w:r>
        <w:rPr>
          <w:w w:val="95"/>
        </w:rPr>
        <w:t>assets</w:t>
      </w:r>
      <w:r>
        <w:rPr>
          <w:spacing w:val="-4"/>
          <w:w w:val="95"/>
        </w:rPr>
        <w:t xml:space="preserve"> </w:t>
      </w:r>
      <w:r>
        <w:rPr>
          <w:w w:val="95"/>
        </w:rPr>
        <w:t>(Figure</w:t>
      </w:r>
      <w:r>
        <w:rPr>
          <w:spacing w:val="-4"/>
          <w:w w:val="95"/>
        </w:rPr>
        <w:t xml:space="preserve"> </w:t>
      </w:r>
      <w:r>
        <w:rPr>
          <w:w w:val="95"/>
        </w:rPr>
        <w:t>1.1). In</w:t>
      </w:r>
      <w:r>
        <w:rPr>
          <w:spacing w:val="-11"/>
          <w:w w:val="95"/>
        </w:rPr>
        <w:t xml:space="preserve"> </w:t>
      </w:r>
      <w:r>
        <w:rPr>
          <w:w w:val="95"/>
        </w:rPr>
        <w:t>2012-13</w:t>
      </w:r>
      <w:r>
        <w:rPr>
          <w:spacing w:val="-11"/>
          <w:w w:val="95"/>
        </w:rPr>
        <w:t xml:space="preserve"> </w:t>
      </w:r>
      <w:r>
        <w:rPr>
          <w:w w:val="95"/>
        </w:rPr>
        <w:t>the</w:t>
      </w:r>
      <w:r>
        <w:rPr>
          <w:spacing w:val="-11"/>
          <w:w w:val="95"/>
        </w:rPr>
        <w:t xml:space="preserve"> </w:t>
      </w:r>
      <w:r>
        <w:rPr>
          <w:w w:val="95"/>
        </w:rPr>
        <w:t>capital</w:t>
      </w:r>
      <w:r>
        <w:rPr>
          <w:spacing w:val="-11"/>
          <w:w w:val="95"/>
        </w:rPr>
        <w:t xml:space="preserve"> </w:t>
      </w:r>
      <w:r>
        <w:rPr>
          <w:w w:val="95"/>
        </w:rPr>
        <w:t>budget</w:t>
      </w:r>
      <w:r>
        <w:rPr>
          <w:spacing w:val="-11"/>
          <w:w w:val="95"/>
        </w:rPr>
        <w:t xml:space="preserve"> </w:t>
      </w:r>
      <w:r>
        <w:rPr>
          <w:w w:val="95"/>
        </w:rPr>
        <w:t>is</w:t>
      </w:r>
      <w:r>
        <w:rPr>
          <w:spacing w:val="-11"/>
          <w:w w:val="95"/>
        </w:rPr>
        <w:t xml:space="preserve"> </w:t>
      </w:r>
      <w:r>
        <w:rPr>
          <w:w w:val="95"/>
        </w:rPr>
        <w:t>$15</w:t>
      </w:r>
      <w:r>
        <w:rPr>
          <w:spacing w:val="-11"/>
          <w:w w:val="95"/>
        </w:rPr>
        <w:t xml:space="preserve"> </w:t>
      </w:r>
      <w:r>
        <w:rPr>
          <w:w w:val="95"/>
        </w:rPr>
        <w:t>billion,</w:t>
      </w:r>
      <w:r>
        <w:rPr>
          <w:spacing w:val="-11"/>
          <w:w w:val="95"/>
        </w:rPr>
        <w:t xml:space="preserve"> </w:t>
      </w:r>
      <w:r>
        <w:rPr>
          <w:w w:val="95"/>
        </w:rPr>
        <w:t>of</w:t>
      </w:r>
      <w:r>
        <w:rPr>
          <w:spacing w:val="-11"/>
          <w:w w:val="95"/>
        </w:rPr>
        <w:t xml:space="preserve"> </w:t>
      </w:r>
      <w:r>
        <w:rPr>
          <w:w w:val="95"/>
        </w:rPr>
        <w:t>which</w:t>
      </w:r>
    </w:p>
    <w:p w:rsidR="002C1123" w:rsidRDefault="00F22F94">
      <w:pPr>
        <w:pStyle w:val="BodyText"/>
        <w:spacing w:before="1"/>
        <w:ind w:left="502"/>
      </w:pPr>
      <w:r>
        <w:rPr>
          <w:w w:val="95"/>
        </w:rPr>
        <w:t>$6</w:t>
      </w:r>
      <w:r>
        <w:rPr>
          <w:spacing w:val="-9"/>
          <w:w w:val="95"/>
        </w:rPr>
        <w:t xml:space="preserve"> </w:t>
      </w:r>
      <w:r>
        <w:rPr>
          <w:w w:val="95"/>
        </w:rPr>
        <w:t>billion</w:t>
      </w:r>
      <w:r>
        <w:rPr>
          <w:spacing w:val="-9"/>
          <w:w w:val="95"/>
        </w:rPr>
        <w:t xml:space="preserve"> </w:t>
      </w:r>
      <w:r>
        <w:rPr>
          <w:w w:val="95"/>
        </w:rPr>
        <w:t>is</w:t>
      </w:r>
      <w:r>
        <w:rPr>
          <w:spacing w:val="-9"/>
          <w:w w:val="95"/>
        </w:rPr>
        <w:t xml:space="preserve"> </w:t>
      </w:r>
      <w:r>
        <w:rPr>
          <w:w w:val="95"/>
        </w:rPr>
        <w:t>for</w:t>
      </w:r>
      <w:r>
        <w:rPr>
          <w:spacing w:val="-9"/>
          <w:w w:val="95"/>
        </w:rPr>
        <w:t xml:space="preserve"> </w:t>
      </w:r>
      <w:r>
        <w:rPr>
          <w:w w:val="95"/>
        </w:rPr>
        <w:t>transport</w:t>
      </w:r>
      <w:r>
        <w:rPr>
          <w:spacing w:val="-9"/>
          <w:w w:val="95"/>
        </w:rPr>
        <w:t xml:space="preserve"> </w:t>
      </w:r>
      <w:r>
        <w:rPr>
          <w:w w:val="95"/>
        </w:rPr>
        <w:t>projects</w:t>
      </w:r>
      <w:r>
        <w:rPr>
          <w:spacing w:val="-8"/>
          <w:w w:val="95"/>
        </w:rPr>
        <w:t xml:space="preserve"> </w:t>
      </w:r>
      <w:r>
        <w:rPr>
          <w:w w:val="95"/>
        </w:rPr>
        <w:t>(Figure</w:t>
      </w:r>
      <w:r>
        <w:rPr>
          <w:spacing w:val="-9"/>
          <w:w w:val="95"/>
        </w:rPr>
        <w:t xml:space="preserve"> </w:t>
      </w:r>
      <w:r>
        <w:rPr>
          <w:spacing w:val="-4"/>
          <w:w w:val="95"/>
        </w:rPr>
        <w:t>1.2).</w:t>
      </w:r>
    </w:p>
    <w:p w:rsidR="002C1123" w:rsidRDefault="00F22F94">
      <w:pPr>
        <w:pStyle w:val="BodyText"/>
        <w:spacing w:before="152" w:line="249" w:lineRule="auto"/>
        <w:ind w:left="498" w:firstLine="1"/>
        <w:jc w:val="both"/>
      </w:pPr>
      <w:r>
        <w:rPr>
          <w:w w:val="95"/>
        </w:rPr>
        <w:t>Within</w:t>
      </w:r>
      <w:r>
        <w:rPr>
          <w:spacing w:val="-7"/>
          <w:w w:val="95"/>
        </w:rPr>
        <w:t xml:space="preserve"> </w:t>
      </w:r>
      <w:r>
        <w:rPr>
          <w:w w:val="95"/>
        </w:rPr>
        <w:t>the</w:t>
      </w:r>
      <w:r>
        <w:rPr>
          <w:spacing w:val="-7"/>
          <w:w w:val="95"/>
        </w:rPr>
        <w:t xml:space="preserve"> </w:t>
      </w:r>
      <w:r>
        <w:rPr>
          <w:w w:val="95"/>
        </w:rPr>
        <w:t>scope</w:t>
      </w:r>
      <w:r>
        <w:rPr>
          <w:spacing w:val="-7"/>
          <w:w w:val="95"/>
        </w:rPr>
        <w:t xml:space="preserve"> </w:t>
      </w:r>
      <w:r>
        <w:rPr>
          <w:w w:val="95"/>
        </w:rPr>
        <w:t>of</w:t>
      </w:r>
      <w:r>
        <w:rPr>
          <w:spacing w:val="-7"/>
          <w:w w:val="95"/>
        </w:rPr>
        <w:t xml:space="preserve"> </w:t>
      </w:r>
      <w:r>
        <w:rPr>
          <w:w w:val="95"/>
        </w:rPr>
        <w:t>this</w:t>
      </w:r>
      <w:r>
        <w:rPr>
          <w:spacing w:val="-7"/>
          <w:w w:val="95"/>
        </w:rPr>
        <w:t xml:space="preserve"> </w:t>
      </w:r>
      <w:r>
        <w:rPr>
          <w:w w:val="95"/>
        </w:rPr>
        <w:t>Strategy,</w:t>
      </w:r>
      <w:r>
        <w:rPr>
          <w:spacing w:val="-7"/>
          <w:w w:val="95"/>
        </w:rPr>
        <w:t xml:space="preserve"> </w:t>
      </w:r>
      <w:r>
        <w:rPr>
          <w:w w:val="95"/>
        </w:rPr>
        <w:t>there</w:t>
      </w:r>
      <w:r>
        <w:rPr>
          <w:spacing w:val="-7"/>
          <w:w w:val="95"/>
        </w:rPr>
        <w:t xml:space="preserve"> </w:t>
      </w:r>
      <w:r>
        <w:rPr>
          <w:w w:val="95"/>
        </w:rPr>
        <w:t>is</w:t>
      </w:r>
      <w:r>
        <w:rPr>
          <w:spacing w:val="-7"/>
          <w:w w:val="95"/>
        </w:rPr>
        <w:t xml:space="preserve"> </w:t>
      </w:r>
      <w:r>
        <w:rPr>
          <w:w w:val="95"/>
        </w:rPr>
        <w:t>a</w:t>
      </w:r>
      <w:r>
        <w:rPr>
          <w:spacing w:val="-7"/>
          <w:w w:val="95"/>
        </w:rPr>
        <w:t xml:space="preserve"> </w:t>
      </w:r>
      <w:r>
        <w:rPr>
          <w:w w:val="95"/>
        </w:rPr>
        <w:t>mix</w:t>
      </w:r>
      <w:r>
        <w:rPr>
          <w:spacing w:val="-7"/>
          <w:w w:val="95"/>
        </w:rPr>
        <w:t xml:space="preserve"> </w:t>
      </w:r>
      <w:r>
        <w:rPr>
          <w:w w:val="95"/>
        </w:rPr>
        <w:t>of</w:t>
      </w:r>
      <w:r>
        <w:rPr>
          <w:spacing w:val="-7"/>
          <w:w w:val="95"/>
        </w:rPr>
        <w:t xml:space="preserve"> </w:t>
      </w:r>
      <w:r>
        <w:rPr>
          <w:w w:val="95"/>
        </w:rPr>
        <w:t>private and</w:t>
      </w:r>
      <w:r>
        <w:rPr>
          <w:spacing w:val="-3"/>
          <w:w w:val="95"/>
        </w:rPr>
        <w:t xml:space="preserve"> </w:t>
      </w:r>
      <w:r>
        <w:rPr>
          <w:w w:val="95"/>
        </w:rPr>
        <w:t>public</w:t>
      </w:r>
      <w:r>
        <w:rPr>
          <w:spacing w:val="-3"/>
          <w:w w:val="95"/>
        </w:rPr>
        <w:t xml:space="preserve"> </w:t>
      </w:r>
      <w:r>
        <w:rPr>
          <w:w w:val="95"/>
        </w:rPr>
        <w:t>infrastructure</w:t>
      </w:r>
      <w:r>
        <w:rPr>
          <w:spacing w:val="-3"/>
          <w:w w:val="95"/>
        </w:rPr>
        <w:t xml:space="preserve"> </w:t>
      </w:r>
      <w:r>
        <w:rPr>
          <w:w w:val="95"/>
        </w:rPr>
        <w:t>owners</w:t>
      </w:r>
      <w:r>
        <w:rPr>
          <w:spacing w:val="-3"/>
          <w:w w:val="95"/>
        </w:rPr>
        <w:t xml:space="preserve"> </w:t>
      </w:r>
      <w:r>
        <w:rPr>
          <w:w w:val="95"/>
        </w:rPr>
        <w:t>in</w:t>
      </w:r>
      <w:r>
        <w:rPr>
          <w:spacing w:val="-3"/>
          <w:w w:val="95"/>
        </w:rPr>
        <w:t xml:space="preserve"> </w:t>
      </w:r>
      <w:r>
        <w:rPr>
          <w:w w:val="95"/>
        </w:rPr>
        <w:t>the</w:t>
      </w:r>
      <w:r>
        <w:rPr>
          <w:spacing w:val="-3"/>
          <w:w w:val="95"/>
        </w:rPr>
        <w:t xml:space="preserve"> </w:t>
      </w:r>
      <w:r>
        <w:rPr>
          <w:w w:val="95"/>
        </w:rPr>
        <w:t>sectors</w:t>
      </w:r>
      <w:r>
        <w:rPr>
          <w:spacing w:val="-3"/>
          <w:w w:val="95"/>
        </w:rPr>
        <w:t xml:space="preserve"> </w:t>
      </w:r>
      <w:r>
        <w:rPr>
          <w:w w:val="95"/>
        </w:rPr>
        <w:t>and</w:t>
      </w:r>
      <w:r>
        <w:rPr>
          <w:spacing w:val="-3"/>
          <w:w w:val="95"/>
        </w:rPr>
        <w:t xml:space="preserve"> </w:t>
      </w:r>
      <w:r>
        <w:rPr>
          <w:w w:val="95"/>
        </w:rPr>
        <w:t>a</w:t>
      </w:r>
      <w:r>
        <w:rPr>
          <w:spacing w:val="-3"/>
          <w:w w:val="95"/>
        </w:rPr>
        <w:t xml:space="preserve"> </w:t>
      </w:r>
      <w:r>
        <w:rPr>
          <w:w w:val="95"/>
        </w:rPr>
        <w:t xml:space="preserve">mix </w:t>
      </w:r>
      <w:r>
        <w:t>of</w:t>
      </w:r>
      <w:r>
        <w:rPr>
          <w:spacing w:val="-9"/>
        </w:rPr>
        <w:t xml:space="preserve"> </w:t>
      </w:r>
      <w:r>
        <w:t>funding</w:t>
      </w:r>
      <w:r>
        <w:rPr>
          <w:spacing w:val="-9"/>
        </w:rPr>
        <w:t xml:space="preserve"> </w:t>
      </w:r>
      <w:r>
        <w:t>by</w:t>
      </w:r>
      <w:r>
        <w:rPr>
          <w:spacing w:val="-9"/>
        </w:rPr>
        <w:t xml:space="preserve"> </w:t>
      </w:r>
      <w:r>
        <w:t>Government</w:t>
      </w:r>
      <w:r>
        <w:rPr>
          <w:spacing w:val="-9"/>
        </w:rPr>
        <w:t xml:space="preserve"> </w:t>
      </w:r>
      <w:r>
        <w:t>and</w:t>
      </w:r>
      <w:r>
        <w:rPr>
          <w:spacing w:val="-9"/>
        </w:rPr>
        <w:t xml:space="preserve"> </w:t>
      </w:r>
      <w:r>
        <w:t>by</w:t>
      </w:r>
      <w:r>
        <w:rPr>
          <w:spacing w:val="-9"/>
        </w:rPr>
        <w:t xml:space="preserve"> </w:t>
      </w:r>
      <w:r>
        <w:t>user</w:t>
      </w:r>
      <w:r>
        <w:rPr>
          <w:spacing w:val="-9"/>
        </w:rPr>
        <w:t xml:space="preserve"> </w:t>
      </w:r>
      <w:r>
        <w:t>charges.</w:t>
      </w:r>
    </w:p>
    <w:p w:rsidR="002C1123" w:rsidRDefault="00F22F94">
      <w:pPr>
        <w:pStyle w:val="BodyText"/>
        <w:spacing w:before="144" w:line="249" w:lineRule="auto"/>
        <w:ind w:left="480" w:right="145" w:firstLine="21"/>
      </w:pPr>
      <w:r>
        <w:t>NSW</w:t>
      </w:r>
      <w:r>
        <w:rPr>
          <w:spacing w:val="-10"/>
        </w:rPr>
        <w:t xml:space="preserve"> </w:t>
      </w:r>
      <w:r>
        <w:t>has</w:t>
      </w:r>
      <w:r>
        <w:rPr>
          <w:spacing w:val="-10"/>
        </w:rPr>
        <w:t xml:space="preserve"> </w:t>
      </w:r>
      <w:r>
        <w:t>more</w:t>
      </w:r>
      <w:r>
        <w:rPr>
          <w:spacing w:val="-10"/>
        </w:rPr>
        <w:t xml:space="preserve"> </w:t>
      </w:r>
      <w:r>
        <w:t>Government</w:t>
      </w:r>
      <w:r>
        <w:rPr>
          <w:spacing w:val="-10"/>
        </w:rPr>
        <w:t xml:space="preserve"> </w:t>
      </w:r>
      <w:r>
        <w:t>ownership</w:t>
      </w:r>
      <w:r>
        <w:rPr>
          <w:spacing w:val="-10"/>
        </w:rPr>
        <w:t xml:space="preserve"> </w:t>
      </w:r>
      <w:r>
        <w:t>and</w:t>
      </w:r>
      <w:r>
        <w:rPr>
          <w:spacing w:val="-10"/>
        </w:rPr>
        <w:t xml:space="preserve"> </w:t>
      </w:r>
      <w:r>
        <w:t>less private</w:t>
      </w:r>
      <w:r>
        <w:rPr>
          <w:spacing w:val="-14"/>
        </w:rPr>
        <w:t xml:space="preserve"> </w:t>
      </w:r>
      <w:r>
        <w:t>ownership</w:t>
      </w:r>
      <w:r>
        <w:rPr>
          <w:spacing w:val="-14"/>
        </w:rPr>
        <w:t xml:space="preserve"> </w:t>
      </w:r>
      <w:r>
        <w:t>in</w:t>
      </w:r>
      <w:r>
        <w:rPr>
          <w:spacing w:val="-14"/>
        </w:rPr>
        <w:t xml:space="preserve"> </w:t>
      </w:r>
      <w:r>
        <w:t>the</w:t>
      </w:r>
      <w:r>
        <w:rPr>
          <w:spacing w:val="-14"/>
        </w:rPr>
        <w:t xml:space="preserve"> </w:t>
      </w:r>
      <w:r>
        <w:t>energy,</w:t>
      </w:r>
      <w:r>
        <w:rPr>
          <w:spacing w:val="-14"/>
        </w:rPr>
        <w:t xml:space="preserve"> </w:t>
      </w:r>
      <w:r>
        <w:t>rail</w:t>
      </w:r>
      <w:r>
        <w:rPr>
          <w:spacing w:val="-14"/>
        </w:rPr>
        <w:t xml:space="preserve"> </w:t>
      </w:r>
      <w:r>
        <w:t>and</w:t>
      </w:r>
      <w:r>
        <w:rPr>
          <w:spacing w:val="-14"/>
        </w:rPr>
        <w:t xml:space="preserve"> </w:t>
      </w:r>
      <w:r>
        <w:t xml:space="preserve">health </w:t>
      </w:r>
      <w:r>
        <w:rPr>
          <w:w w:val="95"/>
        </w:rPr>
        <w:t>sectors</w:t>
      </w:r>
      <w:r>
        <w:rPr>
          <w:spacing w:val="-5"/>
          <w:w w:val="95"/>
        </w:rPr>
        <w:t xml:space="preserve"> </w:t>
      </w:r>
      <w:r>
        <w:rPr>
          <w:w w:val="95"/>
        </w:rPr>
        <w:t>than</w:t>
      </w:r>
      <w:r>
        <w:rPr>
          <w:spacing w:val="-5"/>
          <w:w w:val="95"/>
        </w:rPr>
        <w:t xml:space="preserve"> </w:t>
      </w:r>
      <w:r>
        <w:rPr>
          <w:w w:val="95"/>
        </w:rPr>
        <w:t>other</w:t>
      </w:r>
      <w:r>
        <w:rPr>
          <w:spacing w:val="-5"/>
          <w:w w:val="95"/>
        </w:rPr>
        <w:t xml:space="preserve"> </w:t>
      </w:r>
      <w:r>
        <w:rPr>
          <w:w w:val="95"/>
        </w:rPr>
        <w:t>States.</w:t>
      </w:r>
      <w:r>
        <w:rPr>
          <w:spacing w:val="-5"/>
          <w:w w:val="95"/>
        </w:rPr>
        <w:t xml:space="preserve"> </w:t>
      </w:r>
      <w:r>
        <w:rPr>
          <w:w w:val="95"/>
        </w:rPr>
        <w:t>This</w:t>
      </w:r>
      <w:r>
        <w:rPr>
          <w:spacing w:val="-5"/>
          <w:w w:val="95"/>
        </w:rPr>
        <w:t xml:space="preserve"> </w:t>
      </w:r>
      <w:r>
        <w:rPr>
          <w:w w:val="95"/>
        </w:rPr>
        <w:t>is</w:t>
      </w:r>
      <w:r>
        <w:rPr>
          <w:spacing w:val="-5"/>
          <w:w w:val="95"/>
        </w:rPr>
        <w:t xml:space="preserve"> </w:t>
      </w:r>
      <w:r>
        <w:rPr>
          <w:w w:val="95"/>
        </w:rPr>
        <w:t>significant</w:t>
      </w:r>
      <w:r>
        <w:rPr>
          <w:spacing w:val="-5"/>
          <w:w w:val="95"/>
        </w:rPr>
        <w:t xml:space="preserve"> </w:t>
      </w:r>
      <w:r>
        <w:rPr>
          <w:w w:val="95"/>
        </w:rPr>
        <w:t>given</w:t>
      </w:r>
      <w:r>
        <w:rPr>
          <w:spacing w:val="-5"/>
          <w:w w:val="95"/>
        </w:rPr>
        <w:t xml:space="preserve"> </w:t>
      </w:r>
      <w:r>
        <w:rPr>
          <w:w w:val="95"/>
        </w:rPr>
        <w:t>that 72</w:t>
      </w:r>
      <w:r>
        <w:rPr>
          <w:spacing w:val="-3"/>
          <w:w w:val="95"/>
        </w:rPr>
        <w:t xml:space="preserve"> </w:t>
      </w:r>
      <w:r>
        <w:rPr>
          <w:w w:val="95"/>
        </w:rPr>
        <w:t>per</w:t>
      </w:r>
      <w:r>
        <w:rPr>
          <w:spacing w:val="-3"/>
          <w:w w:val="95"/>
        </w:rPr>
        <w:t xml:space="preserve"> </w:t>
      </w:r>
      <w:r>
        <w:rPr>
          <w:w w:val="95"/>
        </w:rPr>
        <w:t>cent</w:t>
      </w:r>
      <w:r>
        <w:rPr>
          <w:spacing w:val="-3"/>
          <w:w w:val="95"/>
        </w:rPr>
        <w:t xml:space="preserve"> </w:t>
      </w:r>
      <w:r>
        <w:rPr>
          <w:w w:val="95"/>
        </w:rPr>
        <w:t>of</w:t>
      </w:r>
      <w:r>
        <w:rPr>
          <w:spacing w:val="-3"/>
          <w:w w:val="95"/>
        </w:rPr>
        <w:t xml:space="preserve"> </w:t>
      </w:r>
      <w:r>
        <w:rPr>
          <w:w w:val="95"/>
        </w:rPr>
        <w:t>all</w:t>
      </w:r>
      <w:r>
        <w:rPr>
          <w:spacing w:val="-3"/>
          <w:w w:val="95"/>
        </w:rPr>
        <w:t xml:space="preserve"> </w:t>
      </w:r>
      <w:r>
        <w:rPr>
          <w:w w:val="95"/>
        </w:rPr>
        <w:t>hard</w:t>
      </w:r>
      <w:r>
        <w:rPr>
          <w:spacing w:val="-3"/>
          <w:w w:val="95"/>
        </w:rPr>
        <w:t xml:space="preserve"> </w:t>
      </w:r>
      <w:r>
        <w:rPr>
          <w:w w:val="95"/>
        </w:rPr>
        <w:t>infrastructure</w:t>
      </w:r>
      <w:r>
        <w:rPr>
          <w:spacing w:val="-3"/>
          <w:w w:val="95"/>
        </w:rPr>
        <w:t xml:space="preserve"> </w:t>
      </w:r>
      <w:r>
        <w:rPr>
          <w:w w:val="95"/>
        </w:rPr>
        <w:t>spending</w:t>
      </w:r>
      <w:r>
        <w:rPr>
          <w:spacing w:val="-3"/>
          <w:w w:val="95"/>
        </w:rPr>
        <w:t xml:space="preserve"> </w:t>
      </w:r>
      <w:r>
        <w:rPr>
          <w:w w:val="95"/>
        </w:rPr>
        <w:t>in</w:t>
      </w:r>
      <w:r>
        <w:rPr>
          <w:spacing w:val="-3"/>
          <w:w w:val="95"/>
        </w:rPr>
        <w:t xml:space="preserve"> </w:t>
      </w:r>
      <w:r>
        <w:rPr>
          <w:w w:val="95"/>
        </w:rPr>
        <w:t xml:space="preserve">NSW </w:t>
      </w:r>
      <w:r>
        <w:t>(all</w:t>
      </w:r>
      <w:r>
        <w:rPr>
          <w:spacing w:val="-13"/>
        </w:rPr>
        <w:t xml:space="preserve"> </w:t>
      </w:r>
      <w:r>
        <w:t>sectors)</w:t>
      </w:r>
      <w:r>
        <w:rPr>
          <w:spacing w:val="-13"/>
        </w:rPr>
        <w:t xml:space="preserve"> </w:t>
      </w:r>
      <w:r>
        <w:t>is</w:t>
      </w:r>
      <w:r>
        <w:rPr>
          <w:spacing w:val="-13"/>
        </w:rPr>
        <w:t xml:space="preserve"> </w:t>
      </w:r>
      <w:r>
        <w:t>Government</w:t>
      </w:r>
      <w:r>
        <w:rPr>
          <w:spacing w:val="-13"/>
        </w:rPr>
        <w:t xml:space="preserve"> </w:t>
      </w:r>
      <w:r>
        <w:t>funded,</w:t>
      </w:r>
      <w:r>
        <w:rPr>
          <w:spacing w:val="-13"/>
        </w:rPr>
        <w:t xml:space="preserve"> </w:t>
      </w:r>
      <w:r>
        <w:t>compared</w:t>
      </w:r>
      <w:r>
        <w:rPr>
          <w:spacing w:val="-13"/>
        </w:rPr>
        <w:t xml:space="preserve"> </w:t>
      </w:r>
      <w:r>
        <w:t>to</w:t>
      </w:r>
    </w:p>
    <w:p w:rsidR="002C1123" w:rsidRDefault="00F22F94">
      <w:pPr>
        <w:pStyle w:val="BodyText"/>
        <w:spacing w:before="4"/>
        <w:ind w:left="498"/>
      </w:pPr>
      <w:r>
        <w:rPr>
          <w:w w:val="95"/>
        </w:rPr>
        <w:t>55</w:t>
      </w:r>
      <w:r>
        <w:rPr>
          <w:spacing w:val="-5"/>
          <w:w w:val="95"/>
        </w:rPr>
        <w:t xml:space="preserve"> </w:t>
      </w:r>
      <w:r>
        <w:rPr>
          <w:w w:val="95"/>
        </w:rPr>
        <w:t>per</w:t>
      </w:r>
      <w:r>
        <w:rPr>
          <w:spacing w:val="-4"/>
          <w:w w:val="95"/>
        </w:rPr>
        <w:t xml:space="preserve"> </w:t>
      </w:r>
      <w:r>
        <w:rPr>
          <w:w w:val="95"/>
        </w:rPr>
        <w:t>cent</w:t>
      </w:r>
      <w:r>
        <w:rPr>
          <w:spacing w:val="-4"/>
          <w:w w:val="95"/>
        </w:rPr>
        <w:t xml:space="preserve"> </w:t>
      </w:r>
      <w:r>
        <w:rPr>
          <w:w w:val="95"/>
        </w:rPr>
        <w:t>in</w:t>
      </w:r>
      <w:r>
        <w:rPr>
          <w:spacing w:val="-4"/>
          <w:w w:val="95"/>
        </w:rPr>
        <w:t xml:space="preserve"> </w:t>
      </w:r>
      <w:r>
        <w:rPr>
          <w:spacing w:val="-2"/>
          <w:w w:val="95"/>
        </w:rPr>
        <w:t>Australia</w:t>
      </w:r>
      <w:r>
        <w:rPr>
          <w:spacing w:val="-2"/>
          <w:w w:val="95"/>
          <w:position w:val="7"/>
          <w:sz w:val="11"/>
        </w:rPr>
        <w:t>1</w:t>
      </w:r>
      <w:r>
        <w:rPr>
          <w:spacing w:val="-2"/>
          <w:w w:val="95"/>
        </w:rPr>
        <w:t>.</w:t>
      </w:r>
    </w:p>
    <w:p w:rsidR="002C1123" w:rsidRDefault="002060EF">
      <w:pPr>
        <w:pStyle w:val="BodyText"/>
        <w:spacing w:before="10"/>
        <w:rPr>
          <w:sz w:val="26"/>
        </w:rPr>
      </w:pPr>
      <w:r>
        <w:pict>
          <v:shape id="docshape139" o:spid="_x0000_s5167" style="position:absolute;margin-left:49.6pt;margin-top:16.65pt;width:1in;height:.1pt;z-index:-251428864;mso-wrap-distance-left:0;mso-wrap-distance-right:0;mso-position-horizontal-relative:page" coordorigin="992,333" coordsize="1440,0" path="m992,333r1440,e" filled="f" strokecolor="#9c9c9d" strokeweight=".5pt">
            <v:path arrowok="t"/>
            <w10:wrap type="topAndBottom" anchorx="page"/>
          </v:shape>
        </w:pict>
      </w:r>
    </w:p>
    <w:p w:rsidR="002C1123" w:rsidRDefault="00F22F94">
      <w:pPr>
        <w:pStyle w:val="ListParagraph"/>
        <w:numPr>
          <w:ilvl w:val="0"/>
          <w:numId w:val="3"/>
        </w:numPr>
        <w:tabs>
          <w:tab w:val="left" w:pos="691"/>
        </w:tabs>
        <w:spacing w:before="23"/>
        <w:ind w:right="267" w:hanging="218"/>
        <w:jc w:val="left"/>
        <w:rPr>
          <w:sz w:val="14"/>
        </w:rPr>
      </w:pPr>
      <w:r>
        <w:rPr>
          <w:w w:val="95"/>
          <w:sz w:val="14"/>
        </w:rPr>
        <w:t>Port Jackson Partners, report for Infrastructure NSW 2011, Better Value</w:t>
      </w:r>
      <w:r>
        <w:rPr>
          <w:spacing w:val="40"/>
          <w:sz w:val="14"/>
        </w:rPr>
        <w:t xml:space="preserve"> </w:t>
      </w:r>
      <w:r>
        <w:rPr>
          <w:sz w:val="14"/>
        </w:rPr>
        <w:t>Infrastructure Paper for COAG.</w:t>
      </w:r>
    </w:p>
    <w:p w:rsidR="002C1123" w:rsidRDefault="00F22F94">
      <w:pPr>
        <w:spacing w:before="105"/>
        <w:ind w:left="509"/>
        <w:rPr>
          <w:sz w:val="16"/>
        </w:rPr>
      </w:pPr>
      <w:r>
        <w:br w:type="column"/>
      </w:r>
      <w:r>
        <w:rPr>
          <w:w w:val="85"/>
          <w:sz w:val="16"/>
        </w:rPr>
        <w:t>Sports,</w:t>
      </w:r>
      <w:r>
        <w:rPr>
          <w:spacing w:val="-7"/>
          <w:sz w:val="16"/>
        </w:rPr>
        <w:t xml:space="preserve"> </w:t>
      </w:r>
      <w:r>
        <w:rPr>
          <w:w w:val="85"/>
          <w:sz w:val="16"/>
        </w:rPr>
        <w:t>Art,</w:t>
      </w:r>
      <w:r>
        <w:rPr>
          <w:spacing w:val="-6"/>
          <w:sz w:val="16"/>
        </w:rPr>
        <w:t xml:space="preserve"> </w:t>
      </w:r>
      <w:r>
        <w:rPr>
          <w:w w:val="85"/>
          <w:sz w:val="16"/>
        </w:rPr>
        <w:t>Culture</w:t>
      </w:r>
      <w:r>
        <w:rPr>
          <w:spacing w:val="-6"/>
          <w:sz w:val="16"/>
        </w:rPr>
        <w:t xml:space="preserve"> </w:t>
      </w:r>
      <w:r>
        <w:rPr>
          <w:spacing w:val="-5"/>
          <w:w w:val="85"/>
          <w:sz w:val="16"/>
        </w:rPr>
        <w:t>2%</w:t>
      </w:r>
    </w:p>
    <w:p w:rsidR="002C1123" w:rsidRDefault="00F22F94">
      <w:pPr>
        <w:spacing w:before="97"/>
        <w:ind w:left="650"/>
        <w:rPr>
          <w:sz w:val="16"/>
        </w:rPr>
      </w:pPr>
      <w:r>
        <w:rPr>
          <w:w w:val="85"/>
          <w:sz w:val="16"/>
        </w:rPr>
        <w:t>Justice</w:t>
      </w:r>
      <w:r>
        <w:rPr>
          <w:spacing w:val="7"/>
          <w:sz w:val="16"/>
        </w:rPr>
        <w:t xml:space="preserve"> </w:t>
      </w:r>
      <w:r>
        <w:rPr>
          <w:spacing w:val="-5"/>
          <w:w w:val="95"/>
          <w:sz w:val="16"/>
        </w:rPr>
        <w:t>3%</w:t>
      </w:r>
    </w:p>
    <w:p w:rsidR="002C1123" w:rsidRDefault="00F22F94">
      <w:pPr>
        <w:spacing w:before="134"/>
        <w:ind w:left="267"/>
        <w:rPr>
          <w:sz w:val="16"/>
        </w:rPr>
      </w:pPr>
      <w:r>
        <w:rPr>
          <w:w w:val="85"/>
          <w:sz w:val="16"/>
        </w:rPr>
        <w:t>Education</w:t>
      </w:r>
      <w:r>
        <w:rPr>
          <w:spacing w:val="-1"/>
          <w:w w:val="85"/>
          <w:sz w:val="16"/>
        </w:rPr>
        <w:t xml:space="preserve"> </w:t>
      </w:r>
      <w:r>
        <w:rPr>
          <w:spacing w:val="-5"/>
          <w:w w:val="95"/>
          <w:sz w:val="16"/>
        </w:rPr>
        <w:t>3%</w:t>
      </w:r>
    </w:p>
    <w:p w:rsidR="002C1123" w:rsidRDefault="002C1123">
      <w:pPr>
        <w:pStyle w:val="BodyText"/>
        <w:spacing w:before="8"/>
        <w:rPr>
          <w:sz w:val="26"/>
        </w:rPr>
      </w:pPr>
    </w:p>
    <w:p w:rsidR="002C1123" w:rsidRDefault="00F22F94">
      <w:pPr>
        <w:ind w:left="343"/>
        <w:rPr>
          <w:sz w:val="16"/>
        </w:rPr>
      </w:pPr>
      <w:r>
        <w:rPr>
          <w:w w:val="80"/>
          <w:sz w:val="16"/>
        </w:rPr>
        <w:t>Water</w:t>
      </w:r>
      <w:r>
        <w:rPr>
          <w:spacing w:val="10"/>
          <w:sz w:val="16"/>
        </w:rPr>
        <w:t xml:space="preserve"> </w:t>
      </w:r>
      <w:r>
        <w:rPr>
          <w:spacing w:val="-5"/>
          <w:w w:val="95"/>
          <w:sz w:val="16"/>
        </w:rPr>
        <w:t>6%</w:t>
      </w:r>
    </w:p>
    <w:p w:rsidR="002C1123" w:rsidRDefault="002C1123">
      <w:pPr>
        <w:pStyle w:val="BodyText"/>
        <w:rPr>
          <w:sz w:val="18"/>
        </w:rPr>
      </w:pPr>
    </w:p>
    <w:p w:rsidR="002C1123" w:rsidRDefault="002C1123">
      <w:pPr>
        <w:pStyle w:val="BodyText"/>
        <w:spacing w:before="10"/>
        <w:rPr>
          <w:sz w:val="26"/>
        </w:rPr>
      </w:pPr>
    </w:p>
    <w:p w:rsidR="002C1123" w:rsidRDefault="00F22F94">
      <w:pPr>
        <w:ind w:left="339"/>
        <w:rPr>
          <w:sz w:val="16"/>
        </w:rPr>
      </w:pPr>
      <w:r>
        <w:rPr>
          <w:w w:val="85"/>
          <w:sz w:val="16"/>
        </w:rPr>
        <w:t>Health</w:t>
      </w:r>
      <w:r>
        <w:rPr>
          <w:spacing w:val="-1"/>
          <w:w w:val="85"/>
          <w:sz w:val="16"/>
        </w:rPr>
        <w:t xml:space="preserve"> </w:t>
      </w:r>
      <w:r>
        <w:rPr>
          <w:spacing w:val="-7"/>
          <w:w w:val="90"/>
          <w:sz w:val="16"/>
        </w:rPr>
        <w:t>7%</w:t>
      </w: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F22F94">
      <w:pPr>
        <w:spacing w:before="119"/>
        <w:ind w:left="291"/>
        <w:rPr>
          <w:sz w:val="14"/>
        </w:rPr>
      </w:pPr>
      <w:r>
        <w:rPr>
          <w:w w:val="95"/>
          <w:sz w:val="14"/>
        </w:rPr>
        <w:t>Source:</w:t>
      </w:r>
      <w:r>
        <w:rPr>
          <w:spacing w:val="6"/>
          <w:sz w:val="14"/>
        </w:rPr>
        <w:t xml:space="preserve"> </w:t>
      </w:r>
      <w:r>
        <w:rPr>
          <w:w w:val="95"/>
          <w:sz w:val="14"/>
        </w:rPr>
        <w:t>NSW</w:t>
      </w:r>
      <w:r>
        <w:rPr>
          <w:spacing w:val="6"/>
          <w:sz w:val="14"/>
        </w:rPr>
        <w:t xml:space="preserve"> </w:t>
      </w:r>
      <w:r>
        <w:rPr>
          <w:spacing w:val="-2"/>
          <w:w w:val="95"/>
          <w:sz w:val="14"/>
        </w:rPr>
        <w:t>Treasury.</w:t>
      </w:r>
    </w:p>
    <w:p w:rsidR="002C1123" w:rsidRDefault="00F22F94">
      <w:pPr>
        <w:rPr>
          <w:sz w:val="20"/>
        </w:rPr>
      </w:pPr>
      <w:r>
        <w:br w:type="column"/>
      </w: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F22F94">
      <w:pPr>
        <w:spacing w:before="168"/>
        <w:ind w:left="443"/>
        <w:rPr>
          <w:b/>
          <w:sz w:val="18"/>
        </w:rPr>
      </w:pPr>
      <w:r>
        <w:rPr>
          <w:b/>
          <w:w w:val="85"/>
          <w:sz w:val="18"/>
        </w:rPr>
        <w:t>$15</w:t>
      </w:r>
      <w:r>
        <w:rPr>
          <w:b/>
          <w:spacing w:val="-2"/>
          <w:w w:val="95"/>
          <w:sz w:val="18"/>
        </w:rPr>
        <w:t xml:space="preserve"> billion</w:t>
      </w: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spacing w:before="5"/>
        <w:rPr>
          <w:b/>
          <w:sz w:val="26"/>
        </w:rPr>
      </w:pPr>
    </w:p>
    <w:p w:rsidR="002C1123" w:rsidRDefault="00F22F94">
      <w:pPr>
        <w:ind w:left="438"/>
        <w:rPr>
          <w:sz w:val="16"/>
        </w:rPr>
      </w:pPr>
      <w:r>
        <w:rPr>
          <w:w w:val="85"/>
          <w:sz w:val="16"/>
        </w:rPr>
        <w:t>Electricity</w:t>
      </w:r>
      <w:r>
        <w:rPr>
          <w:spacing w:val="13"/>
          <w:sz w:val="16"/>
        </w:rPr>
        <w:t xml:space="preserve"> </w:t>
      </w:r>
      <w:r>
        <w:rPr>
          <w:spacing w:val="-9"/>
          <w:w w:val="90"/>
          <w:sz w:val="16"/>
        </w:rPr>
        <w:t>28%</w:t>
      </w:r>
    </w:p>
    <w:p w:rsidR="002C1123" w:rsidRDefault="00F22F94">
      <w:pPr>
        <w:spacing w:before="59"/>
        <w:jc w:val="right"/>
        <w:rPr>
          <w:sz w:val="16"/>
        </w:rPr>
      </w:pPr>
      <w:r>
        <w:br w:type="column"/>
      </w:r>
      <w:r>
        <w:rPr>
          <w:w w:val="80"/>
          <w:sz w:val="16"/>
        </w:rPr>
        <w:t>Roads</w:t>
      </w:r>
      <w:r>
        <w:rPr>
          <w:spacing w:val="-1"/>
          <w:w w:val="95"/>
          <w:sz w:val="16"/>
        </w:rPr>
        <w:t xml:space="preserve"> </w:t>
      </w:r>
      <w:r>
        <w:rPr>
          <w:spacing w:val="-5"/>
          <w:w w:val="95"/>
          <w:sz w:val="16"/>
        </w:rPr>
        <w:t>19%</w:t>
      </w: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spacing w:before="6"/>
        <w:rPr>
          <w:sz w:val="25"/>
        </w:rPr>
      </w:pPr>
    </w:p>
    <w:p w:rsidR="002C1123" w:rsidRDefault="00F22F94">
      <w:pPr>
        <w:ind w:right="27"/>
        <w:jc w:val="right"/>
        <w:rPr>
          <w:sz w:val="16"/>
        </w:rPr>
      </w:pPr>
      <w:r>
        <w:rPr>
          <w:w w:val="85"/>
          <w:sz w:val="16"/>
        </w:rPr>
        <w:t>Ports</w:t>
      </w:r>
      <w:r>
        <w:rPr>
          <w:spacing w:val="-5"/>
          <w:w w:val="85"/>
          <w:sz w:val="16"/>
        </w:rPr>
        <w:t xml:space="preserve"> </w:t>
      </w:r>
      <w:r>
        <w:rPr>
          <w:spacing w:val="-5"/>
          <w:w w:val="90"/>
          <w:sz w:val="16"/>
        </w:rPr>
        <w:t>2%</w:t>
      </w:r>
    </w:p>
    <w:p w:rsidR="002C1123" w:rsidRDefault="00F22F94">
      <w:pPr>
        <w:rPr>
          <w:sz w:val="18"/>
        </w:rPr>
      </w:pPr>
      <w:r>
        <w:br w:type="column"/>
      </w: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F22F94">
      <w:pPr>
        <w:spacing w:before="117" w:line="247" w:lineRule="auto"/>
        <w:ind w:left="-7" w:right="5901"/>
        <w:jc w:val="both"/>
        <w:rPr>
          <w:sz w:val="16"/>
        </w:rPr>
      </w:pPr>
      <w:r>
        <w:rPr>
          <w:spacing w:val="-4"/>
          <w:w w:val="95"/>
          <w:sz w:val="16"/>
        </w:rPr>
        <w:t>Rail,</w:t>
      </w:r>
      <w:r>
        <w:rPr>
          <w:spacing w:val="-2"/>
          <w:w w:val="95"/>
          <w:sz w:val="16"/>
        </w:rPr>
        <w:t xml:space="preserve"> </w:t>
      </w:r>
      <w:r>
        <w:rPr>
          <w:spacing w:val="-2"/>
          <w:w w:val="90"/>
          <w:sz w:val="16"/>
        </w:rPr>
        <w:t>Light</w:t>
      </w:r>
      <w:r>
        <w:rPr>
          <w:spacing w:val="-2"/>
          <w:w w:val="95"/>
          <w:sz w:val="16"/>
        </w:rPr>
        <w:t xml:space="preserve"> </w:t>
      </w:r>
      <w:r>
        <w:rPr>
          <w:spacing w:val="-4"/>
          <w:w w:val="95"/>
          <w:sz w:val="16"/>
        </w:rPr>
        <w:t>Rail,</w:t>
      </w:r>
      <w:r>
        <w:rPr>
          <w:sz w:val="16"/>
        </w:rPr>
        <w:t xml:space="preserve"> </w:t>
      </w:r>
      <w:r>
        <w:rPr>
          <w:spacing w:val="-4"/>
          <w:w w:val="85"/>
          <w:sz w:val="16"/>
        </w:rPr>
        <w:t>Ferry</w:t>
      </w:r>
      <w:r>
        <w:rPr>
          <w:sz w:val="16"/>
        </w:rPr>
        <w:t xml:space="preserve"> </w:t>
      </w:r>
      <w:r>
        <w:rPr>
          <w:spacing w:val="-4"/>
          <w:w w:val="95"/>
          <w:sz w:val="16"/>
        </w:rPr>
        <w:t>20%</w:t>
      </w:r>
    </w:p>
    <w:p w:rsidR="002C1123" w:rsidRDefault="002C1123">
      <w:pPr>
        <w:spacing w:line="247" w:lineRule="auto"/>
        <w:jc w:val="both"/>
        <w:rPr>
          <w:sz w:val="16"/>
        </w:rPr>
        <w:sectPr w:rsidR="002C1123">
          <w:type w:val="continuous"/>
          <w:pgSz w:w="16840" w:h="11910" w:orient="landscape"/>
          <w:pgMar w:top="560" w:right="280" w:bottom="280" w:left="500" w:header="0" w:footer="517" w:gutter="0"/>
          <w:cols w:num="5" w:space="720" w:equalWidth="0">
            <w:col w:w="5267" w:space="40"/>
            <w:col w:w="1911" w:space="39"/>
            <w:col w:w="1354" w:space="39"/>
            <w:col w:w="1154" w:space="40"/>
            <w:col w:w="6216"/>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BodyText"/>
        <w:spacing w:before="102" w:line="249" w:lineRule="auto"/>
        <w:ind w:left="504" w:hanging="26"/>
      </w:pPr>
      <w:bookmarkStart w:id="39" w:name="_bookmark26"/>
      <w:bookmarkEnd w:id="39"/>
      <w:r>
        <w:t>Table</w:t>
      </w:r>
      <w:r>
        <w:rPr>
          <w:spacing w:val="-14"/>
        </w:rPr>
        <w:t xml:space="preserve"> </w:t>
      </w:r>
      <w:r>
        <w:t>1.1</w:t>
      </w:r>
      <w:r>
        <w:rPr>
          <w:spacing w:val="-14"/>
        </w:rPr>
        <w:t xml:space="preserve"> </w:t>
      </w:r>
      <w:r>
        <w:t>shows,</w:t>
      </w:r>
      <w:r>
        <w:rPr>
          <w:spacing w:val="-14"/>
        </w:rPr>
        <w:t xml:space="preserve"> </w:t>
      </w:r>
      <w:r>
        <w:t>for</w:t>
      </w:r>
      <w:r>
        <w:rPr>
          <w:spacing w:val="-14"/>
        </w:rPr>
        <w:t xml:space="preserve"> </w:t>
      </w:r>
      <w:r>
        <w:t>each</w:t>
      </w:r>
      <w:r>
        <w:rPr>
          <w:spacing w:val="-14"/>
        </w:rPr>
        <w:t xml:space="preserve"> </w:t>
      </w:r>
      <w:r>
        <w:t>sector,</w:t>
      </w:r>
      <w:r>
        <w:rPr>
          <w:spacing w:val="-14"/>
        </w:rPr>
        <w:t xml:space="preserve"> </w:t>
      </w:r>
      <w:r>
        <w:t>the</w:t>
      </w:r>
      <w:r>
        <w:rPr>
          <w:spacing w:val="-14"/>
        </w:rPr>
        <w:t xml:space="preserve"> </w:t>
      </w:r>
      <w:r>
        <w:t xml:space="preserve">asset </w:t>
      </w:r>
      <w:r>
        <w:rPr>
          <w:w w:val="95"/>
        </w:rPr>
        <w:t>managers,</w:t>
      </w:r>
      <w:r>
        <w:rPr>
          <w:spacing w:val="-7"/>
          <w:w w:val="95"/>
        </w:rPr>
        <w:t xml:space="preserve"> </w:t>
      </w:r>
      <w:r>
        <w:rPr>
          <w:w w:val="95"/>
        </w:rPr>
        <w:t>the</w:t>
      </w:r>
      <w:r>
        <w:rPr>
          <w:spacing w:val="-7"/>
          <w:w w:val="95"/>
        </w:rPr>
        <w:t xml:space="preserve"> </w:t>
      </w:r>
      <w:r>
        <w:rPr>
          <w:w w:val="95"/>
        </w:rPr>
        <w:t>sources</w:t>
      </w:r>
      <w:r>
        <w:rPr>
          <w:spacing w:val="-7"/>
          <w:w w:val="95"/>
        </w:rPr>
        <w:t xml:space="preserve"> </w:t>
      </w:r>
      <w:r>
        <w:rPr>
          <w:w w:val="95"/>
        </w:rPr>
        <w:t>of</w:t>
      </w:r>
      <w:r>
        <w:rPr>
          <w:spacing w:val="-7"/>
          <w:w w:val="95"/>
        </w:rPr>
        <w:t xml:space="preserve"> </w:t>
      </w:r>
      <w:r>
        <w:rPr>
          <w:w w:val="95"/>
        </w:rPr>
        <w:t>funding</w:t>
      </w:r>
      <w:r>
        <w:rPr>
          <w:spacing w:val="-7"/>
          <w:w w:val="95"/>
        </w:rPr>
        <w:t xml:space="preserve"> </w:t>
      </w:r>
      <w:r>
        <w:rPr>
          <w:w w:val="95"/>
        </w:rPr>
        <w:t>and</w:t>
      </w:r>
      <w:r>
        <w:rPr>
          <w:spacing w:val="-7"/>
          <w:w w:val="95"/>
        </w:rPr>
        <w:t xml:space="preserve"> </w:t>
      </w:r>
      <w:r>
        <w:rPr>
          <w:w w:val="95"/>
        </w:rPr>
        <w:t>the</w:t>
      </w:r>
      <w:r>
        <w:rPr>
          <w:spacing w:val="-7"/>
          <w:w w:val="95"/>
        </w:rPr>
        <w:t xml:space="preserve"> </w:t>
      </w:r>
      <w:r>
        <w:rPr>
          <w:w w:val="95"/>
        </w:rPr>
        <w:t>value</w:t>
      </w:r>
      <w:r>
        <w:rPr>
          <w:spacing w:val="-7"/>
          <w:w w:val="95"/>
        </w:rPr>
        <w:t xml:space="preserve"> </w:t>
      </w:r>
      <w:r>
        <w:rPr>
          <w:w w:val="95"/>
        </w:rPr>
        <w:t>of</w:t>
      </w:r>
    </w:p>
    <w:p w:rsidR="002C1123" w:rsidRDefault="00F22F94">
      <w:pPr>
        <w:spacing w:before="110"/>
        <w:ind w:left="478"/>
        <w:rPr>
          <w:b/>
          <w:sz w:val="18"/>
        </w:rPr>
      </w:pPr>
      <w:r>
        <w:br w:type="column"/>
      </w:r>
      <w:r>
        <w:rPr>
          <w:b/>
          <w:sz w:val="18"/>
        </w:rPr>
        <w:t>Table</w:t>
      </w:r>
      <w:r>
        <w:rPr>
          <w:b/>
          <w:spacing w:val="-17"/>
          <w:sz w:val="18"/>
        </w:rPr>
        <w:t xml:space="preserve"> </w:t>
      </w:r>
      <w:r>
        <w:rPr>
          <w:b/>
          <w:sz w:val="18"/>
        </w:rPr>
        <w:t>1.1</w:t>
      </w:r>
      <w:r>
        <w:rPr>
          <w:b/>
          <w:spacing w:val="19"/>
          <w:sz w:val="18"/>
        </w:rPr>
        <w:t xml:space="preserve"> </w:t>
      </w:r>
      <w:r>
        <w:rPr>
          <w:b/>
          <w:sz w:val="18"/>
        </w:rPr>
        <w:t>Scope</w:t>
      </w:r>
      <w:r>
        <w:rPr>
          <w:b/>
          <w:spacing w:val="-17"/>
          <w:sz w:val="18"/>
        </w:rPr>
        <w:t xml:space="preserve"> </w:t>
      </w:r>
      <w:r>
        <w:rPr>
          <w:b/>
          <w:sz w:val="18"/>
        </w:rPr>
        <w:t>of</w:t>
      </w:r>
      <w:r>
        <w:rPr>
          <w:b/>
          <w:spacing w:val="-17"/>
          <w:sz w:val="18"/>
        </w:rPr>
        <w:t xml:space="preserve"> </w:t>
      </w:r>
      <w:r>
        <w:rPr>
          <w:b/>
          <w:sz w:val="18"/>
        </w:rPr>
        <w:t>the</w:t>
      </w:r>
      <w:r>
        <w:rPr>
          <w:b/>
          <w:spacing w:val="-17"/>
          <w:sz w:val="18"/>
        </w:rPr>
        <w:t xml:space="preserve"> </w:t>
      </w:r>
      <w:r>
        <w:rPr>
          <w:b/>
          <w:sz w:val="18"/>
        </w:rPr>
        <w:t>State</w:t>
      </w:r>
      <w:r>
        <w:rPr>
          <w:b/>
          <w:spacing w:val="-17"/>
          <w:sz w:val="18"/>
        </w:rPr>
        <w:t xml:space="preserve"> </w:t>
      </w:r>
      <w:r>
        <w:rPr>
          <w:b/>
          <w:sz w:val="18"/>
        </w:rPr>
        <w:t>Infrastructure</w:t>
      </w:r>
      <w:r>
        <w:rPr>
          <w:b/>
          <w:spacing w:val="-16"/>
          <w:sz w:val="18"/>
        </w:rPr>
        <w:t xml:space="preserve"> </w:t>
      </w:r>
      <w:r>
        <w:rPr>
          <w:b/>
          <w:sz w:val="18"/>
        </w:rPr>
        <w:t>Strategy</w:t>
      </w:r>
      <w:r>
        <w:rPr>
          <w:b/>
          <w:spacing w:val="-17"/>
          <w:sz w:val="18"/>
        </w:rPr>
        <w:t xml:space="preserve"> </w:t>
      </w:r>
      <w:r>
        <w:rPr>
          <w:b/>
          <w:sz w:val="18"/>
        </w:rPr>
        <w:t>–</w:t>
      </w:r>
      <w:r>
        <w:rPr>
          <w:b/>
          <w:spacing w:val="-17"/>
          <w:sz w:val="18"/>
        </w:rPr>
        <w:t xml:space="preserve"> </w:t>
      </w:r>
      <w:r>
        <w:rPr>
          <w:b/>
          <w:sz w:val="18"/>
        </w:rPr>
        <w:t>Sector</w:t>
      </w:r>
      <w:r>
        <w:rPr>
          <w:b/>
          <w:spacing w:val="-16"/>
          <w:sz w:val="18"/>
        </w:rPr>
        <w:t xml:space="preserve"> </w:t>
      </w:r>
      <w:r>
        <w:rPr>
          <w:b/>
          <w:spacing w:val="-2"/>
          <w:sz w:val="18"/>
        </w:rPr>
        <w:t>Descriptions</w:t>
      </w:r>
    </w:p>
    <w:p w:rsidR="002C1123" w:rsidRDefault="002C1123">
      <w:pPr>
        <w:pStyle w:val="BodyText"/>
        <w:spacing w:before="3"/>
        <w:rPr>
          <w:b/>
          <w:sz w:val="16"/>
        </w:rPr>
      </w:pPr>
    </w:p>
    <w:p w:rsidR="002C1123" w:rsidRDefault="00F22F94">
      <w:pPr>
        <w:spacing w:line="76" w:lineRule="exact"/>
        <w:ind w:left="4059" w:right="5871"/>
        <w:jc w:val="center"/>
        <w:rPr>
          <w:b/>
          <w:sz w:val="18"/>
        </w:rPr>
      </w:pPr>
      <w:r>
        <w:rPr>
          <w:b/>
          <w:color w:val="2E3092"/>
          <w:spacing w:val="-2"/>
          <w:sz w:val="18"/>
        </w:rPr>
        <w:t>Government</w:t>
      </w:r>
    </w:p>
    <w:p w:rsidR="002C1123" w:rsidRDefault="002C1123">
      <w:pPr>
        <w:spacing w:line="76" w:lineRule="exact"/>
        <w:jc w:val="center"/>
        <w:rPr>
          <w:sz w:val="18"/>
        </w:rPr>
        <w:sectPr w:rsidR="002C1123">
          <w:type w:val="continuous"/>
          <w:pgSz w:w="16840" w:h="11910" w:orient="landscape"/>
          <w:pgMar w:top="560" w:right="280" w:bottom="280" w:left="500" w:header="0" w:footer="517" w:gutter="0"/>
          <w:cols w:num="2" w:space="720" w:equalWidth="0">
            <w:col w:w="4756" w:space="293"/>
            <w:col w:w="11011"/>
          </w:cols>
        </w:sectPr>
      </w:pPr>
    </w:p>
    <w:p w:rsidR="002C1123" w:rsidRDefault="00F22F94">
      <w:pPr>
        <w:pStyle w:val="BodyText"/>
        <w:spacing w:before="5" w:line="249" w:lineRule="auto"/>
        <w:ind w:left="501"/>
      </w:pPr>
      <w:r>
        <w:rPr>
          <w:w w:val="95"/>
        </w:rPr>
        <w:t>NSW</w:t>
      </w:r>
      <w:r>
        <w:rPr>
          <w:spacing w:val="-5"/>
          <w:w w:val="95"/>
        </w:rPr>
        <w:t xml:space="preserve"> </w:t>
      </w:r>
      <w:r>
        <w:rPr>
          <w:w w:val="95"/>
        </w:rPr>
        <w:t>Government</w:t>
      </w:r>
      <w:r>
        <w:rPr>
          <w:spacing w:val="-5"/>
          <w:w w:val="95"/>
        </w:rPr>
        <w:t xml:space="preserve"> </w:t>
      </w:r>
      <w:r>
        <w:rPr>
          <w:w w:val="95"/>
        </w:rPr>
        <w:t>assets</w:t>
      </w:r>
      <w:r>
        <w:rPr>
          <w:spacing w:val="-5"/>
          <w:w w:val="95"/>
        </w:rPr>
        <w:t xml:space="preserve"> </w:t>
      </w:r>
      <w:r>
        <w:rPr>
          <w:w w:val="95"/>
        </w:rPr>
        <w:t>and</w:t>
      </w:r>
      <w:r>
        <w:rPr>
          <w:spacing w:val="-5"/>
          <w:w w:val="95"/>
        </w:rPr>
        <w:t xml:space="preserve"> </w:t>
      </w:r>
      <w:r>
        <w:rPr>
          <w:w w:val="95"/>
        </w:rPr>
        <w:t>NSW</w:t>
      </w:r>
      <w:r>
        <w:rPr>
          <w:spacing w:val="-5"/>
          <w:w w:val="95"/>
        </w:rPr>
        <w:t xml:space="preserve"> </w:t>
      </w:r>
      <w:r>
        <w:rPr>
          <w:w w:val="95"/>
        </w:rPr>
        <w:t>Government</w:t>
      </w:r>
      <w:r>
        <w:rPr>
          <w:spacing w:val="-5"/>
          <w:w w:val="95"/>
        </w:rPr>
        <w:t xml:space="preserve"> </w:t>
      </w:r>
      <w:r>
        <w:rPr>
          <w:w w:val="95"/>
        </w:rPr>
        <w:t xml:space="preserve">capital </w:t>
      </w:r>
      <w:r>
        <w:t>expenditure</w:t>
      </w:r>
      <w:r>
        <w:rPr>
          <w:spacing w:val="-5"/>
        </w:rPr>
        <w:t xml:space="preserve"> </w:t>
      </w:r>
      <w:r>
        <w:t>planned</w:t>
      </w:r>
      <w:r>
        <w:rPr>
          <w:spacing w:val="-5"/>
        </w:rPr>
        <w:t xml:space="preserve"> </w:t>
      </w:r>
      <w:r>
        <w:t>for</w:t>
      </w:r>
      <w:r>
        <w:rPr>
          <w:spacing w:val="-5"/>
        </w:rPr>
        <w:t xml:space="preserve"> </w:t>
      </w:r>
      <w:r>
        <w:t>2012-13.</w:t>
      </w:r>
    </w:p>
    <w:p w:rsidR="002C1123" w:rsidRDefault="00F22F94">
      <w:pPr>
        <w:pStyle w:val="BodyText"/>
        <w:spacing w:before="144" w:line="249" w:lineRule="auto"/>
        <w:ind w:left="500" w:right="280" w:hanging="1"/>
      </w:pPr>
      <w:r>
        <w:rPr>
          <w:w w:val="95"/>
        </w:rPr>
        <w:t xml:space="preserve">In considering this installed infrastructure base and </w:t>
      </w:r>
      <w:r>
        <w:t>allocation</w:t>
      </w:r>
      <w:r>
        <w:rPr>
          <w:spacing w:val="-13"/>
        </w:rPr>
        <w:t xml:space="preserve"> </w:t>
      </w:r>
      <w:r>
        <w:t>of</w:t>
      </w:r>
      <w:r>
        <w:rPr>
          <w:spacing w:val="-13"/>
        </w:rPr>
        <w:t xml:space="preserve"> </w:t>
      </w:r>
      <w:r>
        <w:t>capital,</w:t>
      </w:r>
      <w:r>
        <w:rPr>
          <w:spacing w:val="-13"/>
        </w:rPr>
        <w:t xml:space="preserve"> </w:t>
      </w:r>
      <w:r>
        <w:t>a</w:t>
      </w:r>
      <w:r>
        <w:rPr>
          <w:spacing w:val="-13"/>
        </w:rPr>
        <w:t xml:space="preserve"> </w:t>
      </w:r>
      <w:r>
        <w:t>key</w:t>
      </w:r>
      <w:r>
        <w:rPr>
          <w:spacing w:val="-13"/>
        </w:rPr>
        <w:t xml:space="preserve"> </w:t>
      </w:r>
      <w:r>
        <w:t>question</w:t>
      </w:r>
      <w:r>
        <w:rPr>
          <w:spacing w:val="-13"/>
        </w:rPr>
        <w:t xml:space="preserve"> </w:t>
      </w:r>
      <w:r>
        <w:t>is</w:t>
      </w:r>
      <w:r>
        <w:rPr>
          <w:spacing w:val="-13"/>
        </w:rPr>
        <w:t xml:space="preserve"> </w:t>
      </w:r>
      <w:r>
        <w:t>whether</w:t>
      </w:r>
      <w:r>
        <w:rPr>
          <w:spacing w:val="-13"/>
        </w:rPr>
        <w:t xml:space="preserve"> </w:t>
      </w:r>
      <w:r>
        <w:t xml:space="preserve">the </w:t>
      </w:r>
      <w:r>
        <w:rPr>
          <w:spacing w:val="-2"/>
        </w:rPr>
        <w:t>funding</w:t>
      </w:r>
      <w:r>
        <w:rPr>
          <w:spacing w:val="-8"/>
        </w:rPr>
        <w:t xml:space="preserve"> </w:t>
      </w:r>
      <w:r>
        <w:rPr>
          <w:spacing w:val="-2"/>
        </w:rPr>
        <w:t>is</w:t>
      </w:r>
      <w:r>
        <w:rPr>
          <w:spacing w:val="-8"/>
        </w:rPr>
        <w:t xml:space="preserve"> </w:t>
      </w:r>
      <w:r>
        <w:rPr>
          <w:spacing w:val="-2"/>
        </w:rPr>
        <w:t>well</w:t>
      </w:r>
      <w:r>
        <w:rPr>
          <w:spacing w:val="-8"/>
        </w:rPr>
        <w:t xml:space="preserve"> </w:t>
      </w:r>
      <w:r>
        <w:rPr>
          <w:spacing w:val="-2"/>
        </w:rPr>
        <w:t>directed</w:t>
      </w:r>
      <w:r>
        <w:rPr>
          <w:spacing w:val="-8"/>
        </w:rPr>
        <w:t xml:space="preserve"> </w:t>
      </w:r>
      <w:r>
        <w:rPr>
          <w:spacing w:val="-2"/>
        </w:rPr>
        <w:t>towards</w:t>
      </w:r>
      <w:r>
        <w:rPr>
          <w:spacing w:val="-8"/>
        </w:rPr>
        <w:t xml:space="preserve"> </w:t>
      </w:r>
      <w:r>
        <w:rPr>
          <w:spacing w:val="-2"/>
        </w:rPr>
        <w:t>areas</w:t>
      </w:r>
      <w:r>
        <w:rPr>
          <w:spacing w:val="-8"/>
        </w:rPr>
        <w:t xml:space="preserve"> </w:t>
      </w:r>
      <w:r>
        <w:rPr>
          <w:spacing w:val="-2"/>
        </w:rPr>
        <w:t>of</w:t>
      </w:r>
      <w:r>
        <w:rPr>
          <w:spacing w:val="-8"/>
        </w:rPr>
        <w:t xml:space="preserve"> </w:t>
      </w:r>
      <w:r>
        <w:rPr>
          <w:spacing w:val="-2"/>
        </w:rPr>
        <w:t>need</w:t>
      </w:r>
      <w:r>
        <w:rPr>
          <w:spacing w:val="-8"/>
        </w:rPr>
        <w:t xml:space="preserve"> </w:t>
      </w:r>
      <w:r>
        <w:rPr>
          <w:spacing w:val="-2"/>
        </w:rPr>
        <w:t xml:space="preserve">that </w:t>
      </w:r>
      <w:r>
        <w:rPr>
          <w:w w:val="95"/>
        </w:rPr>
        <w:t>will</w:t>
      </w:r>
      <w:r>
        <w:rPr>
          <w:spacing w:val="-8"/>
          <w:w w:val="95"/>
        </w:rPr>
        <w:t xml:space="preserve"> </w:t>
      </w:r>
      <w:r>
        <w:rPr>
          <w:w w:val="95"/>
        </w:rPr>
        <w:t>help</w:t>
      </w:r>
      <w:r>
        <w:rPr>
          <w:spacing w:val="-8"/>
          <w:w w:val="95"/>
        </w:rPr>
        <w:t xml:space="preserve"> </w:t>
      </w:r>
      <w:r>
        <w:rPr>
          <w:w w:val="95"/>
        </w:rPr>
        <w:t>NSW</w:t>
      </w:r>
      <w:r>
        <w:rPr>
          <w:spacing w:val="-8"/>
          <w:w w:val="95"/>
        </w:rPr>
        <w:t xml:space="preserve"> </w:t>
      </w:r>
      <w:r>
        <w:rPr>
          <w:w w:val="95"/>
        </w:rPr>
        <w:t>communities</w:t>
      </w:r>
      <w:r>
        <w:rPr>
          <w:spacing w:val="-8"/>
          <w:w w:val="95"/>
        </w:rPr>
        <w:t xml:space="preserve"> </w:t>
      </w:r>
      <w:r>
        <w:rPr>
          <w:w w:val="95"/>
        </w:rPr>
        <w:t>and</w:t>
      </w:r>
      <w:r>
        <w:rPr>
          <w:spacing w:val="-8"/>
          <w:w w:val="95"/>
        </w:rPr>
        <w:t xml:space="preserve"> </w:t>
      </w:r>
      <w:r>
        <w:rPr>
          <w:w w:val="95"/>
        </w:rPr>
        <w:t>the</w:t>
      </w:r>
      <w:r>
        <w:rPr>
          <w:spacing w:val="-8"/>
          <w:w w:val="95"/>
        </w:rPr>
        <w:t xml:space="preserve"> </w:t>
      </w:r>
      <w:r>
        <w:rPr>
          <w:w w:val="95"/>
        </w:rPr>
        <w:t>State</w:t>
      </w:r>
      <w:r>
        <w:rPr>
          <w:spacing w:val="-8"/>
          <w:w w:val="95"/>
        </w:rPr>
        <w:t xml:space="preserve"> </w:t>
      </w:r>
      <w:r>
        <w:rPr>
          <w:w w:val="95"/>
        </w:rPr>
        <w:t>in</w:t>
      </w:r>
      <w:r>
        <w:rPr>
          <w:spacing w:val="-8"/>
          <w:w w:val="95"/>
        </w:rPr>
        <w:t xml:space="preserve"> </w:t>
      </w:r>
      <w:r>
        <w:rPr>
          <w:w w:val="95"/>
        </w:rPr>
        <w:t xml:space="preserve">general </w:t>
      </w:r>
      <w:r>
        <w:t>to</w:t>
      </w:r>
      <w:r>
        <w:rPr>
          <w:spacing w:val="-11"/>
        </w:rPr>
        <w:t xml:space="preserve"> </w:t>
      </w:r>
      <w:r>
        <w:t>prosper.</w:t>
      </w:r>
    </w:p>
    <w:p w:rsidR="002C1123" w:rsidRDefault="00F22F94">
      <w:pPr>
        <w:spacing w:before="1"/>
        <w:rPr>
          <w:sz w:val="28"/>
        </w:rPr>
      </w:pPr>
      <w:r>
        <w:br w:type="column"/>
      </w:r>
    </w:p>
    <w:p w:rsidR="002C1123" w:rsidRDefault="002060EF">
      <w:pPr>
        <w:spacing w:before="1"/>
        <w:ind w:left="376"/>
        <w:rPr>
          <w:b/>
          <w:sz w:val="18"/>
        </w:rPr>
      </w:pPr>
      <w:r>
        <w:pict>
          <v:shape id="docshape140" o:spid="_x0000_s5166" type="#_x0000_t202" style="position:absolute;left:0;text-align:left;margin-left:300.95pt;margin-top:13.65pt;width:492.8pt;height:357.2pt;z-index:251213824;mso-position-horizontal-relative:page" filled="f" stroked="f">
            <v:textbox inset="0,0,0,0">
              <w:txbxContent>
                <w:tbl>
                  <w:tblPr>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304"/>
                    <w:gridCol w:w="2168"/>
                    <w:gridCol w:w="2097"/>
                    <w:gridCol w:w="2168"/>
                    <w:gridCol w:w="2097"/>
                  </w:tblGrid>
                  <w:tr w:rsidR="00F22F94">
                    <w:trPr>
                      <w:trHeight w:val="1344"/>
                    </w:trPr>
                    <w:tc>
                      <w:tcPr>
                        <w:tcW w:w="1304" w:type="dxa"/>
                        <w:tcBorders>
                          <w:top w:val="nil"/>
                        </w:tcBorders>
                        <w:shd w:val="clear" w:color="auto" w:fill="E2E3E4"/>
                      </w:tcPr>
                      <w:p w:rsidR="00F22F94" w:rsidRDefault="00F22F94">
                        <w:pPr>
                          <w:pStyle w:val="TableParagraph"/>
                          <w:spacing w:before="73"/>
                          <w:ind w:left="123"/>
                          <w:rPr>
                            <w:sz w:val="18"/>
                          </w:rPr>
                        </w:pPr>
                        <w:r>
                          <w:rPr>
                            <w:spacing w:val="-2"/>
                            <w:w w:val="105"/>
                            <w:sz w:val="18"/>
                          </w:rPr>
                          <w:t>Roads</w:t>
                        </w:r>
                      </w:p>
                    </w:tc>
                    <w:tc>
                      <w:tcPr>
                        <w:tcW w:w="2168" w:type="dxa"/>
                        <w:tcBorders>
                          <w:top w:val="nil"/>
                        </w:tcBorders>
                        <w:shd w:val="clear" w:color="auto" w:fill="E1E0E1"/>
                      </w:tcPr>
                      <w:p w:rsidR="00F22F94" w:rsidRDefault="00F22F94">
                        <w:pPr>
                          <w:pStyle w:val="TableParagraph"/>
                          <w:numPr>
                            <w:ilvl w:val="0"/>
                            <w:numId w:val="171"/>
                          </w:numPr>
                          <w:tabs>
                            <w:tab w:val="left" w:pos="183"/>
                          </w:tabs>
                          <w:spacing w:before="80" w:line="235" w:lineRule="auto"/>
                          <w:ind w:right="501" w:hanging="131"/>
                          <w:rPr>
                            <w:sz w:val="16"/>
                          </w:rPr>
                        </w:pPr>
                        <w:r>
                          <w:rPr>
                            <w:sz w:val="16"/>
                          </w:rPr>
                          <w:t xml:space="preserve">Public Sector, from user charges, road </w:t>
                        </w:r>
                        <w:r>
                          <w:rPr>
                            <w:w w:val="95"/>
                            <w:sz w:val="16"/>
                          </w:rPr>
                          <w:t>user</w:t>
                        </w:r>
                        <w:r>
                          <w:rPr>
                            <w:spacing w:val="-9"/>
                            <w:w w:val="95"/>
                            <w:sz w:val="16"/>
                          </w:rPr>
                          <w:t xml:space="preserve"> </w:t>
                        </w:r>
                        <w:r>
                          <w:rPr>
                            <w:w w:val="95"/>
                            <w:sz w:val="16"/>
                          </w:rPr>
                          <w:t>charges,</w:t>
                        </w:r>
                        <w:r>
                          <w:rPr>
                            <w:spacing w:val="-9"/>
                            <w:w w:val="95"/>
                            <w:sz w:val="16"/>
                          </w:rPr>
                          <w:t xml:space="preserve"> </w:t>
                        </w:r>
                        <w:r>
                          <w:rPr>
                            <w:w w:val="95"/>
                            <w:sz w:val="16"/>
                          </w:rPr>
                          <w:t xml:space="preserve">vehicle </w:t>
                        </w:r>
                        <w:r>
                          <w:rPr>
                            <w:sz w:val="16"/>
                          </w:rPr>
                          <w:t>registration,</w:t>
                        </w:r>
                        <w:r>
                          <w:rPr>
                            <w:spacing w:val="-4"/>
                            <w:sz w:val="16"/>
                          </w:rPr>
                          <w:t xml:space="preserve"> </w:t>
                        </w:r>
                        <w:r>
                          <w:rPr>
                            <w:sz w:val="16"/>
                          </w:rPr>
                          <w:t>tolls</w:t>
                        </w:r>
                      </w:p>
                      <w:p w:rsidR="00F22F94" w:rsidRDefault="00F22F94">
                        <w:pPr>
                          <w:pStyle w:val="TableParagraph"/>
                          <w:numPr>
                            <w:ilvl w:val="0"/>
                            <w:numId w:val="171"/>
                          </w:numPr>
                          <w:tabs>
                            <w:tab w:val="left" w:pos="183"/>
                          </w:tabs>
                          <w:spacing w:before="56" w:line="235" w:lineRule="auto"/>
                          <w:ind w:left="187" w:right="272" w:hanging="127"/>
                          <w:rPr>
                            <w:sz w:val="16"/>
                          </w:rPr>
                        </w:pPr>
                        <w:r>
                          <w:rPr>
                            <w:w w:val="95"/>
                            <w:sz w:val="16"/>
                          </w:rPr>
                          <w:t>Local</w:t>
                        </w:r>
                        <w:r>
                          <w:rPr>
                            <w:spacing w:val="-6"/>
                            <w:w w:val="95"/>
                            <w:sz w:val="16"/>
                          </w:rPr>
                          <w:t xml:space="preserve"> </w:t>
                        </w:r>
                        <w:r>
                          <w:rPr>
                            <w:w w:val="95"/>
                            <w:sz w:val="16"/>
                          </w:rPr>
                          <w:t>Government,</w:t>
                        </w:r>
                        <w:r>
                          <w:rPr>
                            <w:spacing w:val="-6"/>
                            <w:w w:val="95"/>
                            <w:sz w:val="16"/>
                          </w:rPr>
                          <w:t xml:space="preserve"> </w:t>
                        </w:r>
                        <w:r>
                          <w:rPr>
                            <w:w w:val="95"/>
                            <w:sz w:val="16"/>
                          </w:rPr>
                          <w:t xml:space="preserve">rates </w:t>
                        </w:r>
                        <w:r>
                          <w:rPr>
                            <w:sz w:val="16"/>
                          </w:rPr>
                          <w:t>and council activity</w:t>
                        </w:r>
                      </w:p>
                    </w:tc>
                    <w:tc>
                      <w:tcPr>
                        <w:tcW w:w="2097" w:type="dxa"/>
                        <w:tcBorders>
                          <w:top w:val="nil"/>
                        </w:tcBorders>
                        <w:shd w:val="clear" w:color="auto" w:fill="2E3092"/>
                      </w:tcPr>
                      <w:p w:rsidR="00F22F94" w:rsidRDefault="00F22F94">
                        <w:pPr>
                          <w:pStyle w:val="TableParagraph"/>
                          <w:spacing w:before="390"/>
                          <w:ind w:left="135"/>
                          <w:rPr>
                            <w:rFonts w:ascii="Trebuchet MS"/>
                            <w:sz w:val="48"/>
                          </w:rPr>
                        </w:pPr>
                        <w:r>
                          <w:rPr>
                            <w:rFonts w:ascii="Trebuchet MS"/>
                            <w:color w:val="00AEEF"/>
                            <w:spacing w:val="-2"/>
                            <w:w w:val="70"/>
                            <w:sz w:val="48"/>
                          </w:rPr>
                          <w:t>$2.8b</w:t>
                        </w:r>
                      </w:p>
                    </w:tc>
                    <w:tc>
                      <w:tcPr>
                        <w:tcW w:w="2168" w:type="dxa"/>
                        <w:tcBorders>
                          <w:top w:val="nil"/>
                        </w:tcBorders>
                        <w:shd w:val="clear" w:color="auto" w:fill="E1E0E1"/>
                      </w:tcPr>
                      <w:p w:rsidR="00F22F94" w:rsidRDefault="00F22F94">
                        <w:pPr>
                          <w:pStyle w:val="TableParagraph"/>
                          <w:numPr>
                            <w:ilvl w:val="0"/>
                            <w:numId w:val="170"/>
                          </w:numPr>
                          <w:tabs>
                            <w:tab w:val="left" w:pos="184"/>
                          </w:tabs>
                          <w:spacing w:before="77"/>
                          <w:ind w:hanging="123"/>
                          <w:rPr>
                            <w:sz w:val="16"/>
                          </w:rPr>
                        </w:pPr>
                        <w:r>
                          <w:rPr>
                            <w:spacing w:val="-5"/>
                            <w:sz w:val="16"/>
                          </w:rPr>
                          <w:t>RMS</w:t>
                        </w:r>
                      </w:p>
                      <w:p w:rsidR="00F22F94" w:rsidRDefault="00F22F94">
                        <w:pPr>
                          <w:pStyle w:val="TableParagraph"/>
                          <w:numPr>
                            <w:ilvl w:val="0"/>
                            <w:numId w:val="170"/>
                          </w:numPr>
                          <w:tabs>
                            <w:tab w:val="left" w:pos="184"/>
                          </w:tabs>
                          <w:spacing w:before="53"/>
                          <w:ind w:hanging="123"/>
                          <w:rPr>
                            <w:sz w:val="16"/>
                          </w:rPr>
                        </w:pPr>
                        <w:r>
                          <w:rPr>
                            <w:w w:val="95"/>
                            <w:sz w:val="16"/>
                          </w:rPr>
                          <w:t>Local</w:t>
                        </w:r>
                        <w:r>
                          <w:rPr>
                            <w:spacing w:val="1"/>
                            <w:sz w:val="16"/>
                          </w:rPr>
                          <w:t xml:space="preserve"> </w:t>
                        </w:r>
                        <w:r>
                          <w:rPr>
                            <w:spacing w:val="-2"/>
                            <w:w w:val="95"/>
                            <w:sz w:val="16"/>
                          </w:rPr>
                          <w:t>Governments</w:t>
                        </w:r>
                      </w:p>
                      <w:p w:rsidR="00F22F94" w:rsidRDefault="00F22F94">
                        <w:pPr>
                          <w:pStyle w:val="TableParagraph"/>
                          <w:numPr>
                            <w:ilvl w:val="0"/>
                            <w:numId w:val="170"/>
                          </w:numPr>
                          <w:tabs>
                            <w:tab w:val="left" w:pos="184"/>
                          </w:tabs>
                          <w:spacing w:before="53"/>
                          <w:ind w:hanging="123"/>
                          <w:rPr>
                            <w:sz w:val="16"/>
                          </w:rPr>
                        </w:pPr>
                        <w:r>
                          <w:rPr>
                            <w:spacing w:val="-2"/>
                            <w:w w:val="95"/>
                            <w:sz w:val="16"/>
                          </w:rPr>
                          <w:t>Tollroad</w:t>
                        </w:r>
                        <w:r>
                          <w:rPr>
                            <w:spacing w:val="-3"/>
                            <w:sz w:val="16"/>
                          </w:rPr>
                          <w:t xml:space="preserve"> </w:t>
                        </w:r>
                        <w:r>
                          <w:rPr>
                            <w:spacing w:val="-2"/>
                            <w:w w:val="95"/>
                            <w:sz w:val="16"/>
                          </w:rPr>
                          <w:t>concessionaire</w:t>
                        </w:r>
                      </w:p>
                    </w:tc>
                    <w:tc>
                      <w:tcPr>
                        <w:tcW w:w="2097" w:type="dxa"/>
                        <w:tcBorders>
                          <w:top w:val="nil"/>
                        </w:tcBorders>
                        <w:shd w:val="clear" w:color="auto" w:fill="2E3092"/>
                      </w:tcPr>
                      <w:p w:rsidR="00F22F94" w:rsidRDefault="00F22F94">
                        <w:pPr>
                          <w:pStyle w:val="TableParagraph"/>
                          <w:spacing w:before="390"/>
                          <w:ind w:left="136"/>
                          <w:rPr>
                            <w:rFonts w:ascii="Trebuchet MS"/>
                            <w:sz w:val="48"/>
                          </w:rPr>
                        </w:pPr>
                        <w:r>
                          <w:rPr>
                            <w:rFonts w:ascii="Trebuchet MS"/>
                            <w:color w:val="00AEEF"/>
                            <w:spacing w:val="-4"/>
                            <w:w w:val="75"/>
                            <w:sz w:val="48"/>
                          </w:rPr>
                          <w:t>$64b</w:t>
                        </w:r>
                      </w:p>
                    </w:tc>
                  </w:tr>
                  <w:tr w:rsidR="00F22F94">
                    <w:trPr>
                      <w:trHeight w:val="1031"/>
                    </w:trPr>
                    <w:tc>
                      <w:tcPr>
                        <w:tcW w:w="1304" w:type="dxa"/>
                        <w:shd w:val="clear" w:color="auto" w:fill="E2E3E4"/>
                      </w:tcPr>
                      <w:p w:rsidR="00F22F94" w:rsidRDefault="00F22F94">
                        <w:pPr>
                          <w:pStyle w:val="TableParagraph"/>
                          <w:spacing w:before="63" w:line="254" w:lineRule="auto"/>
                          <w:ind w:left="107" w:firstLine="16"/>
                          <w:rPr>
                            <w:sz w:val="18"/>
                          </w:rPr>
                        </w:pPr>
                        <w:r>
                          <w:rPr>
                            <w:spacing w:val="-2"/>
                            <w:w w:val="105"/>
                            <w:sz w:val="18"/>
                          </w:rPr>
                          <w:t xml:space="preserve">Public </w:t>
                        </w:r>
                        <w:r>
                          <w:rPr>
                            <w:spacing w:val="-6"/>
                            <w:w w:val="105"/>
                            <w:sz w:val="18"/>
                          </w:rPr>
                          <w:t>Transport</w:t>
                        </w:r>
                      </w:p>
                    </w:tc>
                    <w:tc>
                      <w:tcPr>
                        <w:tcW w:w="2168" w:type="dxa"/>
                        <w:shd w:val="clear" w:color="auto" w:fill="E1E0E1"/>
                      </w:tcPr>
                      <w:p w:rsidR="00F22F94" w:rsidRDefault="00F22F94">
                        <w:pPr>
                          <w:pStyle w:val="TableParagraph"/>
                          <w:numPr>
                            <w:ilvl w:val="0"/>
                            <w:numId w:val="169"/>
                          </w:numPr>
                          <w:tabs>
                            <w:tab w:val="left" w:pos="183"/>
                          </w:tabs>
                          <w:spacing w:before="70" w:line="235" w:lineRule="auto"/>
                          <w:ind w:right="456" w:hanging="131"/>
                          <w:rPr>
                            <w:sz w:val="16"/>
                          </w:rPr>
                        </w:pPr>
                        <w:r>
                          <w:rPr>
                            <w:w w:val="95"/>
                            <w:sz w:val="16"/>
                          </w:rPr>
                          <w:t>Public</w:t>
                        </w:r>
                        <w:r>
                          <w:rPr>
                            <w:spacing w:val="-9"/>
                            <w:w w:val="95"/>
                            <w:sz w:val="16"/>
                          </w:rPr>
                          <w:t xml:space="preserve"> </w:t>
                        </w:r>
                        <w:r>
                          <w:rPr>
                            <w:w w:val="95"/>
                            <w:sz w:val="16"/>
                          </w:rPr>
                          <w:t>Sector,</w:t>
                        </w:r>
                        <w:r>
                          <w:rPr>
                            <w:spacing w:val="-9"/>
                            <w:w w:val="95"/>
                            <w:sz w:val="16"/>
                          </w:rPr>
                          <w:t xml:space="preserve"> </w:t>
                        </w:r>
                        <w:r>
                          <w:rPr>
                            <w:w w:val="95"/>
                            <w:sz w:val="16"/>
                          </w:rPr>
                          <w:t xml:space="preserve">farebox </w:t>
                        </w:r>
                        <w:r>
                          <w:rPr>
                            <w:spacing w:val="-2"/>
                            <w:sz w:val="16"/>
                          </w:rPr>
                          <w:t>revenue</w:t>
                        </w:r>
                      </w:p>
                      <w:p w:rsidR="00F22F94" w:rsidRDefault="00F22F94">
                        <w:pPr>
                          <w:pStyle w:val="TableParagraph"/>
                          <w:numPr>
                            <w:ilvl w:val="0"/>
                            <w:numId w:val="169"/>
                          </w:numPr>
                          <w:tabs>
                            <w:tab w:val="left" w:pos="183"/>
                          </w:tabs>
                          <w:spacing w:before="56" w:line="235" w:lineRule="auto"/>
                          <w:ind w:left="187" w:right="272" w:hanging="127"/>
                          <w:rPr>
                            <w:sz w:val="16"/>
                          </w:rPr>
                        </w:pPr>
                        <w:r>
                          <w:rPr>
                            <w:w w:val="95"/>
                            <w:sz w:val="16"/>
                          </w:rPr>
                          <w:t>Local</w:t>
                        </w:r>
                        <w:r>
                          <w:rPr>
                            <w:spacing w:val="-6"/>
                            <w:w w:val="95"/>
                            <w:sz w:val="16"/>
                          </w:rPr>
                          <w:t xml:space="preserve"> </w:t>
                        </w:r>
                        <w:r>
                          <w:rPr>
                            <w:w w:val="95"/>
                            <w:sz w:val="16"/>
                          </w:rPr>
                          <w:t>Government,</w:t>
                        </w:r>
                        <w:r>
                          <w:rPr>
                            <w:spacing w:val="-6"/>
                            <w:w w:val="95"/>
                            <w:sz w:val="16"/>
                          </w:rPr>
                          <w:t xml:space="preserve"> </w:t>
                        </w:r>
                        <w:r>
                          <w:rPr>
                            <w:w w:val="95"/>
                            <w:sz w:val="16"/>
                          </w:rPr>
                          <w:t xml:space="preserve">rates </w:t>
                        </w:r>
                        <w:r>
                          <w:rPr>
                            <w:sz w:val="16"/>
                          </w:rPr>
                          <w:t>and council activity</w:t>
                        </w:r>
                      </w:p>
                    </w:tc>
                    <w:tc>
                      <w:tcPr>
                        <w:tcW w:w="2097" w:type="dxa"/>
                        <w:shd w:val="clear" w:color="auto" w:fill="2E3092"/>
                      </w:tcPr>
                      <w:p w:rsidR="00F22F94" w:rsidRDefault="00F22F94">
                        <w:pPr>
                          <w:pStyle w:val="TableParagraph"/>
                          <w:spacing w:before="228"/>
                          <w:ind w:left="135"/>
                          <w:rPr>
                            <w:rFonts w:ascii="Trebuchet MS"/>
                            <w:sz w:val="48"/>
                          </w:rPr>
                        </w:pPr>
                        <w:r>
                          <w:rPr>
                            <w:rFonts w:ascii="Trebuchet MS"/>
                            <w:color w:val="00AEEF"/>
                            <w:spacing w:val="-2"/>
                            <w:w w:val="70"/>
                            <w:sz w:val="48"/>
                          </w:rPr>
                          <w:t>$3.3b</w:t>
                        </w:r>
                      </w:p>
                    </w:tc>
                    <w:tc>
                      <w:tcPr>
                        <w:tcW w:w="2168" w:type="dxa"/>
                        <w:shd w:val="clear" w:color="auto" w:fill="E1E0E1"/>
                      </w:tcPr>
                      <w:p w:rsidR="00F22F94" w:rsidRDefault="00F22F94">
                        <w:pPr>
                          <w:pStyle w:val="TableParagraph"/>
                          <w:numPr>
                            <w:ilvl w:val="0"/>
                            <w:numId w:val="168"/>
                          </w:numPr>
                          <w:tabs>
                            <w:tab w:val="left" w:pos="184"/>
                          </w:tabs>
                          <w:ind w:left="183" w:hanging="123"/>
                          <w:rPr>
                            <w:sz w:val="16"/>
                          </w:rPr>
                        </w:pPr>
                        <w:r>
                          <w:rPr>
                            <w:spacing w:val="-2"/>
                            <w:sz w:val="16"/>
                          </w:rPr>
                          <w:t>RailCorp</w:t>
                        </w:r>
                      </w:p>
                      <w:p w:rsidR="00F22F94" w:rsidRDefault="00F22F94">
                        <w:pPr>
                          <w:pStyle w:val="TableParagraph"/>
                          <w:numPr>
                            <w:ilvl w:val="0"/>
                            <w:numId w:val="168"/>
                          </w:numPr>
                          <w:tabs>
                            <w:tab w:val="left" w:pos="184"/>
                          </w:tabs>
                          <w:spacing w:before="56" w:line="235" w:lineRule="auto"/>
                          <w:ind w:right="166" w:hanging="124"/>
                          <w:rPr>
                            <w:sz w:val="16"/>
                          </w:rPr>
                        </w:pPr>
                        <w:r>
                          <w:rPr>
                            <w:w w:val="95"/>
                            <w:sz w:val="16"/>
                          </w:rPr>
                          <w:t>Country</w:t>
                        </w:r>
                        <w:r>
                          <w:rPr>
                            <w:spacing w:val="-9"/>
                            <w:w w:val="95"/>
                            <w:sz w:val="16"/>
                          </w:rPr>
                          <w:t xml:space="preserve"> </w:t>
                        </w:r>
                        <w:r>
                          <w:rPr>
                            <w:w w:val="95"/>
                            <w:sz w:val="16"/>
                          </w:rPr>
                          <w:t>Rail</w:t>
                        </w:r>
                        <w:r>
                          <w:rPr>
                            <w:spacing w:val="-8"/>
                            <w:w w:val="95"/>
                            <w:sz w:val="16"/>
                          </w:rPr>
                          <w:t xml:space="preserve"> </w:t>
                        </w:r>
                        <w:r>
                          <w:rPr>
                            <w:w w:val="95"/>
                            <w:sz w:val="16"/>
                          </w:rPr>
                          <w:t xml:space="preserve">Infrastructure </w:t>
                        </w:r>
                        <w:r>
                          <w:rPr>
                            <w:spacing w:val="-2"/>
                            <w:sz w:val="16"/>
                          </w:rPr>
                          <w:t>Authority</w:t>
                        </w:r>
                      </w:p>
                      <w:p w:rsidR="00F22F94" w:rsidRDefault="00F22F94">
                        <w:pPr>
                          <w:pStyle w:val="TableParagraph"/>
                          <w:numPr>
                            <w:ilvl w:val="0"/>
                            <w:numId w:val="168"/>
                          </w:numPr>
                          <w:tabs>
                            <w:tab w:val="left" w:pos="184"/>
                          </w:tabs>
                          <w:spacing w:before="53"/>
                          <w:ind w:left="183" w:hanging="123"/>
                          <w:rPr>
                            <w:sz w:val="16"/>
                          </w:rPr>
                        </w:pPr>
                        <w:r>
                          <w:rPr>
                            <w:spacing w:val="-2"/>
                            <w:sz w:val="16"/>
                          </w:rPr>
                          <w:t>CountryLink</w:t>
                        </w:r>
                      </w:p>
                    </w:tc>
                    <w:tc>
                      <w:tcPr>
                        <w:tcW w:w="2097" w:type="dxa"/>
                        <w:shd w:val="clear" w:color="auto" w:fill="2E3092"/>
                      </w:tcPr>
                      <w:p w:rsidR="00F22F94" w:rsidRDefault="00F22F94">
                        <w:pPr>
                          <w:pStyle w:val="TableParagraph"/>
                          <w:spacing w:before="228"/>
                          <w:ind w:left="136"/>
                          <w:rPr>
                            <w:rFonts w:ascii="Trebuchet MS"/>
                            <w:sz w:val="48"/>
                          </w:rPr>
                        </w:pPr>
                        <w:r>
                          <w:rPr>
                            <w:rFonts w:ascii="Trebuchet MS"/>
                            <w:color w:val="00AEEF"/>
                            <w:spacing w:val="-4"/>
                            <w:w w:val="70"/>
                            <w:sz w:val="48"/>
                          </w:rPr>
                          <w:t>$27b</w:t>
                        </w:r>
                      </w:p>
                    </w:tc>
                  </w:tr>
                  <w:tr w:rsidR="00F22F94">
                    <w:trPr>
                      <w:trHeight w:val="1211"/>
                    </w:trPr>
                    <w:tc>
                      <w:tcPr>
                        <w:tcW w:w="1304" w:type="dxa"/>
                        <w:shd w:val="clear" w:color="auto" w:fill="E2E3E4"/>
                      </w:tcPr>
                      <w:p w:rsidR="00F22F94" w:rsidRDefault="00F22F94">
                        <w:pPr>
                          <w:pStyle w:val="TableParagraph"/>
                          <w:spacing w:before="63" w:line="254" w:lineRule="auto"/>
                          <w:ind w:left="123" w:right="105" w:hanging="11"/>
                          <w:rPr>
                            <w:sz w:val="18"/>
                          </w:rPr>
                        </w:pPr>
                        <w:r>
                          <w:rPr>
                            <w:spacing w:val="-2"/>
                            <w:w w:val="105"/>
                            <w:sz w:val="18"/>
                          </w:rPr>
                          <w:t>Airports/ Ports</w:t>
                        </w:r>
                      </w:p>
                    </w:tc>
                    <w:tc>
                      <w:tcPr>
                        <w:tcW w:w="2168" w:type="dxa"/>
                        <w:shd w:val="clear" w:color="auto" w:fill="E1E0E1"/>
                      </w:tcPr>
                      <w:p w:rsidR="00F22F94" w:rsidRDefault="00F22F94">
                        <w:pPr>
                          <w:pStyle w:val="TableParagraph"/>
                          <w:numPr>
                            <w:ilvl w:val="0"/>
                            <w:numId w:val="167"/>
                          </w:numPr>
                          <w:tabs>
                            <w:tab w:val="left" w:pos="183"/>
                          </w:tabs>
                          <w:ind w:left="182"/>
                          <w:rPr>
                            <w:sz w:val="16"/>
                          </w:rPr>
                        </w:pPr>
                        <w:r>
                          <w:rPr>
                            <w:w w:val="95"/>
                            <w:sz w:val="16"/>
                          </w:rPr>
                          <w:t>Airport</w:t>
                        </w:r>
                        <w:r>
                          <w:rPr>
                            <w:spacing w:val="8"/>
                            <w:sz w:val="16"/>
                          </w:rPr>
                          <w:t xml:space="preserve"> </w:t>
                        </w:r>
                        <w:r>
                          <w:rPr>
                            <w:w w:val="95"/>
                            <w:sz w:val="16"/>
                          </w:rPr>
                          <w:t>and</w:t>
                        </w:r>
                        <w:r>
                          <w:rPr>
                            <w:spacing w:val="8"/>
                            <w:sz w:val="16"/>
                          </w:rPr>
                          <w:t xml:space="preserve"> </w:t>
                        </w:r>
                        <w:r>
                          <w:rPr>
                            <w:spacing w:val="-4"/>
                            <w:w w:val="95"/>
                            <w:sz w:val="16"/>
                          </w:rPr>
                          <w:t>Port</w:t>
                        </w:r>
                      </w:p>
                      <w:p w:rsidR="00F22F94" w:rsidRDefault="00F22F94">
                        <w:pPr>
                          <w:pStyle w:val="TableParagraph"/>
                          <w:numPr>
                            <w:ilvl w:val="0"/>
                            <w:numId w:val="167"/>
                          </w:numPr>
                          <w:tabs>
                            <w:tab w:val="left" w:pos="183"/>
                          </w:tabs>
                          <w:spacing w:before="56" w:line="235" w:lineRule="auto"/>
                          <w:ind w:right="323" w:hanging="126"/>
                          <w:rPr>
                            <w:sz w:val="16"/>
                          </w:rPr>
                        </w:pPr>
                        <w:r>
                          <w:rPr>
                            <w:w w:val="95"/>
                            <w:sz w:val="16"/>
                          </w:rPr>
                          <w:t xml:space="preserve">Corporations, from user </w:t>
                        </w:r>
                        <w:r>
                          <w:rPr>
                            <w:sz w:val="16"/>
                          </w:rPr>
                          <w:t xml:space="preserve">charges (airport and </w:t>
                        </w:r>
                        <w:r>
                          <w:rPr>
                            <w:w w:val="95"/>
                            <w:sz w:val="16"/>
                          </w:rPr>
                          <w:t>shipping</w:t>
                        </w:r>
                        <w:r>
                          <w:rPr>
                            <w:spacing w:val="-4"/>
                            <w:w w:val="95"/>
                            <w:sz w:val="16"/>
                          </w:rPr>
                          <w:t xml:space="preserve"> </w:t>
                        </w:r>
                        <w:r>
                          <w:rPr>
                            <w:w w:val="95"/>
                            <w:sz w:val="16"/>
                          </w:rPr>
                          <w:t>company</w:t>
                        </w:r>
                        <w:r>
                          <w:rPr>
                            <w:spacing w:val="-4"/>
                            <w:w w:val="95"/>
                            <w:sz w:val="16"/>
                          </w:rPr>
                          <w:t xml:space="preserve"> </w:t>
                        </w:r>
                        <w:r>
                          <w:rPr>
                            <w:w w:val="95"/>
                            <w:sz w:val="16"/>
                          </w:rPr>
                          <w:t>fees)</w:t>
                        </w:r>
                      </w:p>
                      <w:p w:rsidR="00F22F94" w:rsidRDefault="00F22F94">
                        <w:pPr>
                          <w:pStyle w:val="TableParagraph"/>
                          <w:numPr>
                            <w:ilvl w:val="0"/>
                            <w:numId w:val="167"/>
                          </w:numPr>
                          <w:tabs>
                            <w:tab w:val="left" w:pos="183"/>
                          </w:tabs>
                          <w:spacing w:before="53"/>
                          <w:ind w:left="182"/>
                          <w:rPr>
                            <w:sz w:val="16"/>
                          </w:rPr>
                        </w:pPr>
                        <w:r>
                          <w:rPr>
                            <w:w w:val="95"/>
                            <w:sz w:val="16"/>
                          </w:rPr>
                          <w:t>Shareholder</w:t>
                        </w:r>
                        <w:r>
                          <w:rPr>
                            <w:spacing w:val="-2"/>
                            <w:sz w:val="16"/>
                          </w:rPr>
                          <w:t xml:space="preserve"> contributions</w:t>
                        </w:r>
                      </w:p>
                    </w:tc>
                    <w:tc>
                      <w:tcPr>
                        <w:tcW w:w="2097" w:type="dxa"/>
                        <w:shd w:val="clear" w:color="auto" w:fill="2E3092"/>
                      </w:tcPr>
                      <w:p w:rsidR="00F22F94" w:rsidRDefault="00F22F94">
                        <w:pPr>
                          <w:pStyle w:val="TableParagraph"/>
                          <w:spacing w:before="318"/>
                          <w:ind w:left="135"/>
                          <w:rPr>
                            <w:rFonts w:ascii="Trebuchet MS"/>
                            <w:sz w:val="32"/>
                          </w:rPr>
                        </w:pPr>
                        <w:r>
                          <w:rPr>
                            <w:rFonts w:ascii="Trebuchet MS"/>
                            <w:color w:val="00AEEF"/>
                            <w:spacing w:val="-6"/>
                            <w:w w:val="60"/>
                            <w:sz w:val="48"/>
                          </w:rPr>
                          <w:t>$0.3b</w:t>
                        </w:r>
                        <w:r>
                          <w:rPr>
                            <w:rFonts w:ascii="Trebuchet MS"/>
                            <w:color w:val="00AEEF"/>
                            <w:spacing w:val="-25"/>
                            <w:w w:val="60"/>
                            <w:sz w:val="48"/>
                          </w:rPr>
                          <w:t xml:space="preserve"> </w:t>
                        </w:r>
                        <w:r>
                          <w:rPr>
                            <w:rFonts w:ascii="Trebuchet MS"/>
                            <w:color w:val="00AEEF"/>
                            <w:spacing w:val="-2"/>
                            <w:w w:val="70"/>
                            <w:sz w:val="32"/>
                          </w:rPr>
                          <w:t>(Ports)</w:t>
                        </w:r>
                      </w:p>
                    </w:tc>
                    <w:tc>
                      <w:tcPr>
                        <w:tcW w:w="2168" w:type="dxa"/>
                        <w:shd w:val="clear" w:color="auto" w:fill="E1E0E1"/>
                      </w:tcPr>
                      <w:p w:rsidR="00F22F94" w:rsidRDefault="00F22F94">
                        <w:pPr>
                          <w:pStyle w:val="TableParagraph"/>
                          <w:numPr>
                            <w:ilvl w:val="0"/>
                            <w:numId w:val="166"/>
                          </w:numPr>
                          <w:tabs>
                            <w:tab w:val="left" w:pos="184"/>
                          </w:tabs>
                          <w:ind w:hanging="123"/>
                          <w:rPr>
                            <w:sz w:val="16"/>
                          </w:rPr>
                        </w:pPr>
                        <w:r>
                          <w:rPr>
                            <w:w w:val="95"/>
                            <w:sz w:val="16"/>
                          </w:rPr>
                          <w:t>Stated-owned</w:t>
                        </w:r>
                        <w:r>
                          <w:rPr>
                            <w:spacing w:val="31"/>
                            <w:sz w:val="16"/>
                          </w:rPr>
                          <w:t xml:space="preserve"> </w:t>
                        </w:r>
                        <w:r>
                          <w:rPr>
                            <w:spacing w:val="-2"/>
                            <w:w w:val="95"/>
                            <w:sz w:val="16"/>
                          </w:rPr>
                          <w:t>enterprises</w:t>
                        </w:r>
                      </w:p>
                      <w:p w:rsidR="00F22F94" w:rsidRDefault="00F22F94">
                        <w:pPr>
                          <w:pStyle w:val="TableParagraph"/>
                          <w:numPr>
                            <w:ilvl w:val="0"/>
                            <w:numId w:val="166"/>
                          </w:numPr>
                          <w:tabs>
                            <w:tab w:val="left" w:pos="184"/>
                          </w:tabs>
                          <w:spacing w:before="53"/>
                          <w:ind w:hanging="123"/>
                          <w:rPr>
                            <w:sz w:val="16"/>
                          </w:rPr>
                        </w:pPr>
                        <w:r>
                          <w:rPr>
                            <w:w w:val="95"/>
                            <w:sz w:val="16"/>
                          </w:rPr>
                          <w:t>Listed</w:t>
                        </w:r>
                        <w:r>
                          <w:rPr>
                            <w:spacing w:val="2"/>
                            <w:sz w:val="16"/>
                          </w:rPr>
                          <w:t xml:space="preserve"> </w:t>
                        </w:r>
                        <w:r>
                          <w:rPr>
                            <w:spacing w:val="-2"/>
                            <w:sz w:val="16"/>
                          </w:rPr>
                          <w:t>companies</w:t>
                        </w:r>
                      </w:p>
                    </w:tc>
                    <w:tc>
                      <w:tcPr>
                        <w:tcW w:w="2097" w:type="dxa"/>
                        <w:shd w:val="clear" w:color="auto" w:fill="2E3092"/>
                      </w:tcPr>
                      <w:p w:rsidR="00F22F94" w:rsidRDefault="00F22F94">
                        <w:pPr>
                          <w:pStyle w:val="TableParagraph"/>
                          <w:spacing w:before="318"/>
                          <w:ind w:left="136"/>
                          <w:rPr>
                            <w:rFonts w:ascii="Trebuchet MS"/>
                            <w:sz w:val="48"/>
                          </w:rPr>
                        </w:pPr>
                        <w:r>
                          <w:rPr>
                            <w:rFonts w:ascii="Trebuchet MS"/>
                            <w:color w:val="00AEEF"/>
                            <w:spacing w:val="-5"/>
                            <w:w w:val="70"/>
                            <w:sz w:val="48"/>
                          </w:rPr>
                          <w:t>$2b</w:t>
                        </w:r>
                      </w:p>
                    </w:tc>
                  </w:tr>
                  <w:tr w:rsidR="00F22F94">
                    <w:trPr>
                      <w:trHeight w:val="917"/>
                    </w:trPr>
                    <w:tc>
                      <w:tcPr>
                        <w:tcW w:w="1304" w:type="dxa"/>
                        <w:shd w:val="clear" w:color="auto" w:fill="E2E3E4"/>
                      </w:tcPr>
                      <w:p w:rsidR="00F22F94" w:rsidRDefault="00F22F94">
                        <w:pPr>
                          <w:pStyle w:val="TableParagraph"/>
                          <w:spacing w:before="63"/>
                          <w:ind w:left="123"/>
                          <w:rPr>
                            <w:sz w:val="18"/>
                          </w:rPr>
                        </w:pPr>
                        <w:r>
                          <w:rPr>
                            <w:spacing w:val="-2"/>
                            <w:sz w:val="18"/>
                          </w:rPr>
                          <w:t>Energy</w:t>
                        </w:r>
                      </w:p>
                    </w:tc>
                    <w:tc>
                      <w:tcPr>
                        <w:tcW w:w="2168" w:type="dxa"/>
                        <w:shd w:val="clear" w:color="auto" w:fill="E1E0E1"/>
                      </w:tcPr>
                      <w:p w:rsidR="00F22F94" w:rsidRDefault="00F22F94">
                        <w:pPr>
                          <w:pStyle w:val="TableParagraph"/>
                          <w:spacing w:before="70" w:line="235" w:lineRule="auto"/>
                          <w:ind w:left="192" w:right="211" w:hanging="132"/>
                          <w:rPr>
                            <w:sz w:val="16"/>
                          </w:rPr>
                        </w:pPr>
                        <w:r>
                          <w:rPr>
                            <w:sz w:val="16"/>
                          </w:rPr>
                          <w:t xml:space="preserve">– Energy companies and </w:t>
                        </w:r>
                        <w:r>
                          <w:rPr>
                            <w:w w:val="95"/>
                            <w:sz w:val="16"/>
                          </w:rPr>
                          <w:t>State-owned</w:t>
                        </w:r>
                        <w:r>
                          <w:rPr>
                            <w:spacing w:val="-2"/>
                            <w:w w:val="95"/>
                            <w:sz w:val="16"/>
                          </w:rPr>
                          <w:t xml:space="preserve"> </w:t>
                        </w:r>
                        <w:r>
                          <w:rPr>
                            <w:w w:val="95"/>
                            <w:sz w:val="16"/>
                          </w:rPr>
                          <w:t xml:space="preserve">enterprises, </w:t>
                        </w:r>
                        <w:r>
                          <w:rPr>
                            <w:sz w:val="16"/>
                          </w:rPr>
                          <w:t xml:space="preserve">from user charges </w:t>
                        </w:r>
                        <w:r>
                          <w:rPr>
                            <w:spacing w:val="-2"/>
                            <w:sz w:val="16"/>
                          </w:rPr>
                          <w:t>(consumer)</w:t>
                        </w:r>
                      </w:p>
                    </w:tc>
                    <w:tc>
                      <w:tcPr>
                        <w:tcW w:w="2097" w:type="dxa"/>
                        <w:shd w:val="clear" w:color="auto" w:fill="2E3092"/>
                      </w:tcPr>
                      <w:p w:rsidR="00F22F94" w:rsidRDefault="00F22F94">
                        <w:pPr>
                          <w:pStyle w:val="TableParagraph"/>
                          <w:spacing w:before="172"/>
                          <w:ind w:left="135"/>
                          <w:rPr>
                            <w:rFonts w:ascii="Trebuchet MS"/>
                            <w:sz w:val="48"/>
                          </w:rPr>
                        </w:pPr>
                        <w:r>
                          <w:rPr>
                            <w:rFonts w:ascii="Trebuchet MS"/>
                            <w:color w:val="00AEEF"/>
                            <w:spacing w:val="-2"/>
                            <w:w w:val="75"/>
                            <w:sz w:val="48"/>
                          </w:rPr>
                          <w:t>$4.2b</w:t>
                        </w:r>
                      </w:p>
                    </w:tc>
                    <w:tc>
                      <w:tcPr>
                        <w:tcW w:w="2168" w:type="dxa"/>
                        <w:shd w:val="clear" w:color="auto" w:fill="E1E0E1"/>
                      </w:tcPr>
                      <w:p w:rsidR="00F22F94" w:rsidRDefault="00F22F94">
                        <w:pPr>
                          <w:pStyle w:val="TableParagraph"/>
                          <w:numPr>
                            <w:ilvl w:val="0"/>
                            <w:numId w:val="165"/>
                          </w:numPr>
                          <w:tabs>
                            <w:tab w:val="left" w:pos="184"/>
                          </w:tabs>
                          <w:ind w:hanging="123"/>
                          <w:rPr>
                            <w:sz w:val="16"/>
                          </w:rPr>
                        </w:pPr>
                        <w:r>
                          <w:rPr>
                            <w:w w:val="90"/>
                            <w:sz w:val="16"/>
                          </w:rPr>
                          <w:t>Private</w:t>
                        </w:r>
                        <w:r>
                          <w:rPr>
                            <w:spacing w:val="8"/>
                            <w:sz w:val="16"/>
                          </w:rPr>
                          <w:t xml:space="preserve"> </w:t>
                        </w:r>
                        <w:r>
                          <w:rPr>
                            <w:spacing w:val="-2"/>
                            <w:sz w:val="16"/>
                          </w:rPr>
                          <w:t>companies</w:t>
                        </w:r>
                      </w:p>
                      <w:p w:rsidR="00F22F94" w:rsidRDefault="00F22F94">
                        <w:pPr>
                          <w:pStyle w:val="TableParagraph"/>
                          <w:numPr>
                            <w:ilvl w:val="0"/>
                            <w:numId w:val="165"/>
                          </w:numPr>
                          <w:tabs>
                            <w:tab w:val="left" w:pos="184"/>
                          </w:tabs>
                          <w:spacing w:before="53"/>
                          <w:ind w:hanging="123"/>
                          <w:rPr>
                            <w:sz w:val="16"/>
                          </w:rPr>
                        </w:pPr>
                        <w:r>
                          <w:rPr>
                            <w:w w:val="95"/>
                            <w:sz w:val="16"/>
                          </w:rPr>
                          <w:t>State-owned</w:t>
                        </w:r>
                        <w:r>
                          <w:rPr>
                            <w:spacing w:val="24"/>
                            <w:sz w:val="16"/>
                          </w:rPr>
                          <w:t xml:space="preserve"> </w:t>
                        </w:r>
                        <w:r>
                          <w:rPr>
                            <w:spacing w:val="-2"/>
                            <w:w w:val="95"/>
                            <w:sz w:val="16"/>
                          </w:rPr>
                          <w:t>enterprises</w:t>
                        </w:r>
                      </w:p>
                    </w:tc>
                    <w:tc>
                      <w:tcPr>
                        <w:tcW w:w="2097" w:type="dxa"/>
                        <w:shd w:val="clear" w:color="auto" w:fill="2E3092"/>
                      </w:tcPr>
                      <w:p w:rsidR="00F22F94" w:rsidRDefault="00F22F94">
                        <w:pPr>
                          <w:pStyle w:val="TableParagraph"/>
                          <w:spacing w:before="172"/>
                          <w:ind w:left="136"/>
                          <w:rPr>
                            <w:rFonts w:ascii="Trebuchet MS"/>
                            <w:sz w:val="48"/>
                          </w:rPr>
                        </w:pPr>
                        <w:r>
                          <w:rPr>
                            <w:rFonts w:ascii="Trebuchet MS"/>
                            <w:color w:val="00AEEF"/>
                            <w:spacing w:val="-4"/>
                            <w:w w:val="70"/>
                            <w:sz w:val="48"/>
                          </w:rPr>
                          <w:t>$30b</w:t>
                        </w:r>
                      </w:p>
                    </w:tc>
                  </w:tr>
                  <w:tr w:rsidR="00F22F94">
                    <w:trPr>
                      <w:trHeight w:val="1047"/>
                    </w:trPr>
                    <w:tc>
                      <w:tcPr>
                        <w:tcW w:w="1304" w:type="dxa"/>
                        <w:shd w:val="clear" w:color="auto" w:fill="E2E3E4"/>
                      </w:tcPr>
                      <w:p w:rsidR="00F22F94" w:rsidRDefault="00F22F94">
                        <w:pPr>
                          <w:pStyle w:val="TableParagraph"/>
                          <w:spacing w:before="63"/>
                          <w:ind w:left="122"/>
                          <w:rPr>
                            <w:sz w:val="18"/>
                          </w:rPr>
                        </w:pPr>
                        <w:r>
                          <w:rPr>
                            <w:spacing w:val="-2"/>
                            <w:w w:val="105"/>
                            <w:sz w:val="18"/>
                          </w:rPr>
                          <w:t>Water</w:t>
                        </w:r>
                      </w:p>
                    </w:tc>
                    <w:tc>
                      <w:tcPr>
                        <w:tcW w:w="2168" w:type="dxa"/>
                        <w:shd w:val="clear" w:color="auto" w:fill="E1E0E1"/>
                      </w:tcPr>
                      <w:p w:rsidR="00F22F94" w:rsidRDefault="00F22F94">
                        <w:pPr>
                          <w:pStyle w:val="TableParagraph"/>
                          <w:spacing w:before="70" w:line="235" w:lineRule="auto"/>
                          <w:ind w:left="187" w:right="211" w:hanging="127"/>
                          <w:rPr>
                            <w:sz w:val="16"/>
                          </w:rPr>
                        </w:pPr>
                        <w:r>
                          <w:rPr>
                            <w:w w:val="95"/>
                            <w:sz w:val="16"/>
                          </w:rPr>
                          <w:t xml:space="preserve">– State-owned enterprises </w:t>
                        </w:r>
                        <w:r>
                          <w:rPr>
                            <w:sz w:val="16"/>
                          </w:rPr>
                          <w:t>and</w:t>
                        </w:r>
                        <w:r>
                          <w:rPr>
                            <w:spacing w:val="-5"/>
                            <w:sz w:val="16"/>
                          </w:rPr>
                          <w:t xml:space="preserve"> </w:t>
                        </w:r>
                        <w:r>
                          <w:rPr>
                            <w:sz w:val="16"/>
                          </w:rPr>
                          <w:t>Local</w:t>
                        </w:r>
                        <w:r>
                          <w:rPr>
                            <w:spacing w:val="-5"/>
                            <w:sz w:val="16"/>
                          </w:rPr>
                          <w:t xml:space="preserve"> </w:t>
                        </w:r>
                        <w:r>
                          <w:rPr>
                            <w:sz w:val="16"/>
                          </w:rPr>
                          <w:t>Government, from rates and user charges</w:t>
                        </w:r>
                        <w:r>
                          <w:rPr>
                            <w:spacing w:val="-4"/>
                            <w:sz w:val="16"/>
                          </w:rPr>
                          <w:t xml:space="preserve"> </w:t>
                        </w:r>
                        <w:r>
                          <w:rPr>
                            <w:sz w:val="16"/>
                          </w:rPr>
                          <w:t>(consumer)</w:t>
                        </w:r>
                      </w:p>
                    </w:tc>
                    <w:tc>
                      <w:tcPr>
                        <w:tcW w:w="2097" w:type="dxa"/>
                        <w:shd w:val="clear" w:color="auto" w:fill="2E3092"/>
                      </w:tcPr>
                      <w:p w:rsidR="00F22F94" w:rsidRDefault="00F22F94">
                        <w:pPr>
                          <w:pStyle w:val="TableParagraph"/>
                          <w:spacing w:before="45" w:line="235" w:lineRule="auto"/>
                          <w:ind w:left="135" w:hanging="1"/>
                          <w:rPr>
                            <w:rFonts w:ascii="Trebuchet MS"/>
                            <w:sz w:val="32"/>
                          </w:rPr>
                        </w:pPr>
                        <w:r>
                          <w:rPr>
                            <w:rFonts w:ascii="Trebuchet MS"/>
                            <w:color w:val="00AEEF"/>
                            <w:spacing w:val="-2"/>
                            <w:w w:val="65"/>
                            <w:sz w:val="48"/>
                          </w:rPr>
                          <w:t>$0.9b</w:t>
                        </w:r>
                        <w:r>
                          <w:rPr>
                            <w:rFonts w:ascii="Trebuchet MS"/>
                            <w:color w:val="00AEEF"/>
                            <w:spacing w:val="-41"/>
                            <w:w w:val="65"/>
                            <w:sz w:val="48"/>
                          </w:rPr>
                          <w:t xml:space="preserve"> </w:t>
                        </w:r>
                        <w:r>
                          <w:rPr>
                            <w:rFonts w:ascii="Trebuchet MS"/>
                            <w:color w:val="00AEEF"/>
                            <w:spacing w:val="-2"/>
                            <w:w w:val="65"/>
                            <w:sz w:val="32"/>
                          </w:rPr>
                          <w:t xml:space="preserve">(Including </w:t>
                        </w:r>
                        <w:r>
                          <w:rPr>
                            <w:rFonts w:ascii="Trebuchet MS"/>
                            <w:color w:val="00AEEF"/>
                            <w:spacing w:val="-2"/>
                            <w:w w:val="55"/>
                            <w:sz w:val="32"/>
                          </w:rPr>
                          <w:t>water</w:t>
                        </w:r>
                        <w:r>
                          <w:rPr>
                            <w:rFonts w:ascii="Trebuchet MS"/>
                            <w:color w:val="00AEEF"/>
                            <w:spacing w:val="-18"/>
                            <w:w w:val="55"/>
                            <w:sz w:val="32"/>
                          </w:rPr>
                          <w:t xml:space="preserve"> </w:t>
                        </w:r>
                        <w:r>
                          <w:rPr>
                            <w:rFonts w:ascii="Trebuchet MS"/>
                            <w:color w:val="00AEEF"/>
                            <w:spacing w:val="-2"/>
                            <w:w w:val="55"/>
                            <w:sz w:val="32"/>
                          </w:rPr>
                          <w:t>and</w:t>
                        </w:r>
                        <w:r>
                          <w:rPr>
                            <w:rFonts w:ascii="Trebuchet MS"/>
                            <w:color w:val="00AEEF"/>
                            <w:spacing w:val="-18"/>
                            <w:w w:val="55"/>
                            <w:sz w:val="32"/>
                          </w:rPr>
                          <w:t xml:space="preserve"> </w:t>
                        </w:r>
                        <w:r>
                          <w:rPr>
                            <w:rFonts w:ascii="Trebuchet MS"/>
                            <w:color w:val="00AEEF"/>
                            <w:spacing w:val="-2"/>
                            <w:w w:val="55"/>
                            <w:sz w:val="32"/>
                          </w:rPr>
                          <w:t>waste</w:t>
                        </w:r>
                        <w:r>
                          <w:rPr>
                            <w:rFonts w:ascii="Trebuchet MS"/>
                            <w:color w:val="00AEEF"/>
                            <w:spacing w:val="-16"/>
                            <w:w w:val="55"/>
                            <w:sz w:val="32"/>
                          </w:rPr>
                          <w:t xml:space="preserve"> </w:t>
                        </w:r>
                        <w:r>
                          <w:rPr>
                            <w:rFonts w:ascii="Trebuchet MS"/>
                            <w:color w:val="00AEEF"/>
                            <w:spacing w:val="-2"/>
                            <w:w w:val="55"/>
                            <w:sz w:val="32"/>
                          </w:rPr>
                          <w:t>water)</w:t>
                        </w:r>
                      </w:p>
                    </w:tc>
                    <w:tc>
                      <w:tcPr>
                        <w:tcW w:w="2168" w:type="dxa"/>
                        <w:shd w:val="clear" w:color="auto" w:fill="E1E0E1"/>
                      </w:tcPr>
                      <w:p w:rsidR="00F22F94" w:rsidRDefault="00F22F94">
                        <w:pPr>
                          <w:pStyle w:val="TableParagraph"/>
                          <w:numPr>
                            <w:ilvl w:val="0"/>
                            <w:numId w:val="164"/>
                          </w:numPr>
                          <w:tabs>
                            <w:tab w:val="left" w:pos="184"/>
                          </w:tabs>
                          <w:ind w:hanging="123"/>
                          <w:rPr>
                            <w:sz w:val="16"/>
                          </w:rPr>
                        </w:pPr>
                        <w:r>
                          <w:rPr>
                            <w:w w:val="95"/>
                            <w:sz w:val="16"/>
                          </w:rPr>
                          <w:t>State-owned</w:t>
                        </w:r>
                        <w:r>
                          <w:rPr>
                            <w:spacing w:val="24"/>
                            <w:sz w:val="16"/>
                          </w:rPr>
                          <w:t xml:space="preserve"> </w:t>
                        </w:r>
                        <w:r>
                          <w:rPr>
                            <w:spacing w:val="-2"/>
                            <w:w w:val="95"/>
                            <w:sz w:val="16"/>
                          </w:rPr>
                          <w:t>enterprises</w:t>
                        </w:r>
                      </w:p>
                      <w:p w:rsidR="00F22F94" w:rsidRDefault="00F22F94">
                        <w:pPr>
                          <w:pStyle w:val="TableParagraph"/>
                          <w:numPr>
                            <w:ilvl w:val="0"/>
                            <w:numId w:val="164"/>
                          </w:numPr>
                          <w:tabs>
                            <w:tab w:val="left" w:pos="184"/>
                          </w:tabs>
                          <w:spacing w:before="53"/>
                          <w:ind w:hanging="123"/>
                          <w:rPr>
                            <w:sz w:val="16"/>
                          </w:rPr>
                        </w:pPr>
                        <w:r>
                          <w:rPr>
                            <w:w w:val="95"/>
                            <w:sz w:val="16"/>
                          </w:rPr>
                          <w:t>Local</w:t>
                        </w:r>
                        <w:r>
                          <w:rPr>
                            <w:spacing w:val="1"/>
                            <w:sz w:val="16"/>
                          </w:rPr>
                          <w:t xml:space="preserve"> </w:t>
                        </w:r>
                        <w:r>
                          <w:rPr>
                            <w:spacing w:val="-2"/>
                            <w:sz w:val="16"/>
                          </w:rPr>
                          <w:t>Government</w:t>
                        </w:r>
                      </w:p>
                    </w:tc>
                    <w:tc>
                      <w:tcPr>
                        <w:tcW w:w="2097" w:type="dxa"/>
                        <w:shd w:val="clear" w:color="auto" w:fill="2E3092"/>
                      </w:tcPr>
                      <w:p w:rsidR="00F22F94" w:rsidRDefault="00F22F94">
                        <w:pPr>
                          <w:pStyle w:val="TableParagraph"/>
                          <w:spacing w:before="236"/>
                          <w:ind w:left="136"/>
                          <w:rPr>
                            <w:rFonts w:ascii="Trebuchet MS"/>
                            <w:sz w:val="48"/>
                          </w:rPr>
                        </w:pPr>
                        <w:r>
                          <w:rPr>
                            <w:rFonts w:ascii="Trebuchet MS"/>
                            <w:color w:val="00AEEF"/>
                            <w:spacing w:val="-4"/>
                            <w:w w:val="75"/>
                            <w:sz w:val="48"/>
                          </w:rPr>
                          <w:t>$20b</w:t>
                        </w:r>
                      </w:p>
                    </w:tc>
                  </w:tr>
                  <w:tr w:rsidR="00F22F94">
                    <w:trPr>
                      <w:trHeight w:val="794"/>
                    </w:trPr>
                    <w:tc>
                      <w:tcPr>
                        <w:tcW w:w="1304" w:type="dxa"/>
                        <w:shd w:val="clear" w:color="auto" w:fill="E2E3E4"/>
                      </w:tcPr>
                      <w:p w:rsidR="00F22F94" w:rsidRDefault="00F22F94">
                        <w:pPr>
                          <w:pStyle w:val="TableParagraph"/>
                          <w:spacing w:before="63" w:line="254" w:lineRule="auto"/>
                          <w:ind w:left="119" w:right="105" w:firstLine="4"/>
                          <w:rPr>
                            <w:sz w:val="18"/>
                          </w:rPr>
                        </w:pPr>
                        <w:r>
                          <w:rPr>
                            <w:spacing w:val="-2"/>
                            <w:w w:val="105"/>
                            <w:sz w:val="18"/>
                          </w:rPr>
                          <w:t xml:space="preserve">Health, </w:t>
                        </w:r>
                        <w:r>
                          <w:rPr>
                            <w:spacing w:val="-4"/>
                            <w:w w:val="105"/>
                            <w:sz w:val="18"/>
                          </w:rPr>
                          <w:t>Social</w:t>
                        </w:r>
                        <w:r>
                          <w:rPr>
                            <w:spacing w:val="-10"/>
                            <w:w w:val="105"/>
                            <w:sz w:val="18"/>
                          </w:rPr>
                          <w:t xml:space="preserve"> </w:t>
                        </w:r>
                        <w:r>
                          <w:rPr>
                            <w:spacing w:val="-4"/>
                            <w:w w:val="105"/>
                            <w:sz w:val="18"/>
                          </w:rPr>
                          <w:t xml:space="preserve">and </w:t>
                        </w:r>
                        <w:r>
                          <w:rPr>
                            <w:spacing w:val="-2"/>
                            <w:w w:val="105"/>
                            <w:sz w:val="18"/>
                          </w:rPr>
                          <w:t>other</w:t>
                        </w:r>
                      </w:p>
                    </w:tc>
                    <w:tc>
                      <w:tcPr>
                        <w:tcW w:w="2168" w:type="dxa"/>
                        <w:shd w:val="clear" w:color="auto" w:fill="E1E0E1"/>
                      </w:tcPr>
                      <w:p w:rsidR="00F22F94" w:rsidRDefault="00F22F94">
                        <w:pPr>
                          <w:pStyle w:val="TableParagraph"/>
                          <w:numPr>
                            <w:ilvl w:val="0"/>
                            <w:numId w:val="163"/>
                          </w:numPr>
                          <w:tabs>
                            <w:tab w:val="left" w:pos="183"/>
                          </w:tabs>
                          <w:ind w:left="182"/>
                          <w:rPr>
                            <w:sz w:val="16"/>
                          </w:rPr>
                        </w:pPr>
                        <w:r>
                          <w:rPr>
                            <w:w w:val="95"/>
                            <w:sz w:val="16"/>
                          </w:rPr>
                          <w:t>Public</w:t>
                        </w:r>
                        <w:r>
                          <w:rPr>
                            <w:sz w:val="16"/>
                          </w:rPr>
                          <w:t xml:space="preserve"> </w:t>
                        </w:r>
                        <w:r>
                          <w:rPr>
                            <w:spacing w:val="-2"/>
                            <w:w w:val="95"/>
                            <w:sz w:val="16"/>
                          </w:rPr>
                          <w:t>Sector</w:t>
                        </w:r>
                      </w:p>
                      <w:p w:rsidR="00F22F94" w:rsidRDefault="00F22F94">
                        <w:pPr>
                          <w:pStyle w:val="TableParagraph"/>
                          <w:numPr>
                            <w:ilvl w:val="0"/>
                            <w:numId w:val="163"/>
                          </w:numPr>
                          <w:tabs>
                            <w:tab w:val="left" w:pos="183"/>
                          </w:tabs>
                          <w:spacing w:before="56" w:line="235" w:lineRule="auto"/>
                          <w:ind w:right="594" w:hanging="126"/>
                          <w:rPr>
                            <w:sz w:val="16"/>
                          </w:rPr>
                        </w:pPr>
                        <w:r>
                          <w:rPr>
                            <w:sz w:val="16"/>
                          </w:rPr>
                          <w:t xml:space="preserve">Private health and </w:t>
                        </w:r>
                        <w:r>
                          <w:rPr>
                            <w:w w:val="95"/>
                            <w:sz w:val="16"/>
                          </w:rPr>
                          <w:t>education</w:t>
                        </w:r>
                        <w:r>
                          <w:rPr>
                            <w:spacing w:val="-2"/>
                            <w:w w:val="95"/>
                            <w:sz w:val="16"/>
                          </w:rPr>
                          <w:t xml:space="preserve"> </w:t>
                        </w:r>
                        <w:r>
                          <w:rPr>
                            <w:w w:val="95"/>
                            <w:sz w:val="16"/>
                          </w:rPr>
                          <w:t>providers</w:t>
                        </w:r>
                      </w:p>
                    </w:tc>
                    <w:tc>
                      <w:tcPr>
                        <w:tcW w:w="2097" w:type="dxa"/>
                        <w:shd w:val="clear" w:color="auto" w:fill="2E3092"/>
                      </w:tcPr>
                      <w:p w:rsidR="00F22F94" w:rsidRDefault="00F22F94">
                        <w:pPr>
                          <w:pStyle w:val="TableParagraph"/>
                          <w:spacing w:before="110"/>
                          <w:ind w:left="135"/>
                          <w:rPr>
                            <w:rFonts w:ascii="Trebuchet MS"/>
                            <w:sz w:val="48"/>
                          </w:rPr>
                        </w:pPr>
                        <w:r>
                          <w:rPr>
                            <w:rFonts w:ascii="Trebuchet MS"/>
                            <w:color w:val="00AEEF"/>
                            <w:spacing w:val="-2"/>
                            <w:w w:val="70"/>
                            <w:sz w:val="48"/>
                          </w:rPr>
                          <w:t>$3.8b</w:t>
                        </w:r>
                      </w:p>
                    </w:tc>
                    <w:tc>
                      <w:tcPr>
                        <w:tcW w:w="2168" w:type="dxa"/>
                        <w:shd w:val="clear" w:color="auto" w:fill="E1E0E1"/>
                      </w:tcPr>
                      <w:p w:rsidR="00F22F94" w:rsidRDefault="00F22F94">
                        <w:pPr>
                          <w:pStyle w:val="TableParagraph"/>
                          <w:numPr>
                            <w:ilvl w:val="0"/>
                            <w:numId w:val="162"/>
                          </w:numPr>
                          <w:tabs>
                            <w:tab w:val="left" w:pos="184"/>
                          </w:tabs>
                          <w:ind w:left="183" w:hanging="123"/>
                          <w:rPr>
                            <w:sz w:val="16"/>
                          </w:rPr>
                        </w:pPr>
                        <w:r>
                          <w:rPr>
                            <w:w w:val="95"/>
                            <w:sz w:val="16"/>
                          </w:rPr>
                          <w:t>Public</w:t>
                        </w:r>
                        <w:r>
                          <w:rPr>
                            <w:sz w:val="16"/>
                          </w:rPr>
                          <w:t xml:space="preserve"> </w:t>
                        </w:r>
                        <w:r>
                          <w:rPr>
                            <w:spacing w:val="-2"/>
                            <w:w w:val="95"/>
                            <w:sz w:val="16"/>
                          </w:rPr>
                          <w:t>Sector</w:t>
                        </w:r>
                      </w:p>
                      <w:p w:rsidR="00F22F94" w:rsidRDefault="00F22F94">
                        <w:pPr>
                          <w:pStyle w:val="TableParagraph"/>
                          <w:numPr>
                            <w:ilvl w:val="0"/>
                            <w:numId w:val="162"/>
                          </w:numPr>
                          <w:tabs>
                            <w:tab w:val="left" w:pos="184"/>
                          </w:tabs>
                          <w:spacing w:before="56" w:line="235" w:lineRule="auto"/>
                          <w:ind w:right="593" w:hanging="126"/>
                          <w:rPr>
                            <w:sz w:val="16"/>
                          </w:rPr>
                        </w:pPr>
                        <w:r>
                          <w:rPr>
                            <w:sz w:val="16"/>
                          </w:rPr>
                          <w:t xml:space="preserve">Private health and </w:t>
                        </w:r>
                        <w:r>
                          <w:rPr>
                            <w:w w:val="95"/>
                            <w:sz w:val="16"/>
                          </w:rPr>
                          <w:t>education</w:t>
                        </w:r>
                        <w:r>
                          <w:rPr>
                            <w:spacing w:val="-2"/>
                            <w:w w:val="95"/>
                            <w:sz w:val="16"/>
                          </w:rPr>
                          <w:t xml:space="preserve"> </w:t>
                        </w:r>
                        <w:r>
                          <w:rPr>
                            <w:w w:val="95"/>
                            <w:sz w:val="16"/>
                          </w:rPr>
                          <w:t>providers</w:t>
                        </w:r>
                      </w:p>
                    </w:tc>
                    <w:tc>
                      <w:tcPr>
                        <w:tcW w:w="2097" w:type="dxa"/>
                        <w:shd w:val="clear" w:color="auto" w:fill="2E3092"/>
                      </w:tcPr>
                      <w:p w:rsidR="00F22F94" w:rsidRDefault="00F22F94">
                        <w:pPr>
                          <w:pStyle w:val="TableParagraph"/>
                          <w:spacing w:before="110"/>
                          <w:ind w:left="136"/>
                          <w:rPr>
                            <w:rFonts w:ascii="Trebuchet MS"/>
                            <w:sz w:val="48"/>
                          </w:rPr>
                        </w:pPr>
                        <w:r>
                          <w:rPr>
                            <w:rFonts w:ascii="Trebuchet MS"/>
                            <w:color w:val="00AEEF"/>
                            <w:spacing w:val="-4"/>
                            <w:w w:val="70"/>
                            <w:sz w:val="48"/>
                          </w:rPr>
                          <w:t>$70b</w:t>
                        </w:r>
                      </w:p>
                    </w:tc>
                  </w:tr>
                  <w:tr w:rsidR="00F22F94">
                    <w:trPr>
                      <w:trHeight w:val="660"/>
                    </w:trPr>
                    <w:tc>
                      <w:tcPr>
                        <w:tcW w:w="3472" w:type="dxa"/>
                        <w:gridSpan w:val="2"/>
                        <w:tcBorders>
                          <w:left w:val="nil"/>
                          <w:bottom w:val="nil"/>
                        </w:tcBorders>
                      </w:tcPr>
                      <w:p w:rsidR="00F22F94" w:rsidRDefault="00F22F94">
                        <w:pPr>
                          <w:pStyle w:val="TableParagraph"/>
                          <w:spacing w:before="37"/>
                          <w:ind w:left="0" w:right="127"/>
                          <w:jc w:val="right"/>
                          <w:rPr>
                            <w:rFonts w:ascii="Trebuchet MS"/>
                            <w:sz w:val="48"/>
                          </w:rPr>
                        </w:pPr>
                        <w:r>
                          <w:rPr>
                            <w:rFonts w:ascii="Trebuchet MS"/>
                            <w:spacing w:val="-4"/>
                            <w:w w:val="65"/>
                            <w:sz w:val="48"/>
                          </w:rPr>
                          <w:t>Total</w:t>
                        </w:r>
                      </w:p>
                    </w:tc>
                    <w:tc>
                      <w:tcPr>
                        <w:tcW w:w="2097" w:type="dxa"/>
                        <w:shd w:val="clear" w:color="auto" w:fill="00AEEF"/>
                      </w:tcPr>
                      <w:p w:rsidR="00F22F94" w:rsidRDefault="00F22F94">
                        <w:pPr>
                          <w:pStyle w:val="TableParagraph"/>
                          <w:spacing w:before="71"/>
                          <w:ind w:left="135"/>
                          <w:rPr>
                            <w:rFonts w:ascii="Trebuchet MS"/>
                            <w:sz w:val="48"/>
                          </w:rPr>
                        </w:pPr>
                        <w:r>
                          <w:rPr>
                            <w:rFonts w:ascii="Trebuchet MS"/>
                            <w:color w:val="FFFFFF"/>
                            <w:spacing w:val="-2"/>
                            <w:w w:val="70"/>
                            <w:sz w:val="48"/>
                          </w:rPr>
                          <w:t>$15.3b</w:t>
                        </w:r>
                      </w:p>
                    </w:tc>
                    <w:tc>
                      <w:tcPr>
                        <w:tcW w:w="2168" w:type="dxa"/>
                        <w:tcBorders>
                          <w:bottom w:val="nil"/>
                        </w:tcBorders>
                      </w:tcPr>
                      <w:p w:rsidR="00F22F94" w:rsidRDefault="00F22F94">
                        <w:pPr>
                          <w:pStyle w:val="TableParagraph"/>
                          <w:spacing w:before="37"/>
                          <w:ind w:left="1431"/>
                          <w:rPr>
                            <w:rFonts w:ascii="Trebuchet MS"/>
                            <w:sz w:val="48"/>
                          </w:rPr>
                        </w:pPr>
                        <w:r>
                          <w:rPr>
                            <w:rFonts w:ascii="Trebuchet MS"/>
                            <w:spacing w:val="-6"/>
                            <w:w w:val="65"/>
                            <w:sz w:val="48"/>
                          </w:rPr>
                          <w:t>Total</w:t>
                        </w:r>
                      </w:p>
                    </w:tc>
                    <w:tc>
                      <w:tcPr>
                        <w:tcW w:w="2097" w:type="dxa"/>
                        <w:shd w:val="clear" w:color="auto" w:fill="00AEEF"/>
                      </w:tcPr>
                      <w:p w:rsidR="00F22F94" w:rsidRDefault="00F22F94">
                        <w:pPr>
                          <w:pStyle w:val="TableParagraph"/>
                          <w:spacing w:before="71"/>
                          <w:ind w:left="136"/>
                          <w:rPr>
                            <w:rFonts w:ascii="Trebuchet MS"/>
                            <w:sz w:val="48"/>
                          </w:rPr>
                        </w:pPr>
                        <w:r>
                          <w:rPr>
                            <w:rFonts w:ascii="Trebuchet MS"/>
                            <w:color w:val="FFFFFF"/>
                            <w:spacing w:val="-2"/>
                            <w:w w:val="70"/>
                            <w:sz w:val="48"/>
                          </w:rPr>
                          <w:t>$213b</w:t>
                        </w:r>
                      </w:p>
                    </w:tc>
                  </w:tr>
                </w:tbl>
                <w:p w:rsidR="00F22F94" w:rsidRDefault="00F22F94">
                  <w:pPr>
                    <w:pStyle w:val="BodyText"/>
                  </w:pPr>
                </w:p>
              </w:txbxContent>
            </v:textbox>
            <w10:wrap anchorx="page"/>
          </v:shape>
        </w:pict>
      </w:r>
      <w:r w:rsidR="00F22F94">
        <w:rPr>
          <w:b/>
          <w:color w:val="2E3092"/>
          <w:spacing w:val="-5"/>
          <w:sz w:val="18"/>
        </w:rPr>
        <w:t>Transport</w:t>
      </w:r>
    </w:p>
    <w:p w:rsidR="002C1123" w:rsidRDefault="00F22F94">
      <w:pPr>
        <w:spacing w:before="129" w:line="232" w:lineRule="auto"/>
        <w:ind w:left="458" w:firstLine="2"/>
        <w:rPr>
          <w:b/>
          <w:sz w:val="18"/>
        </w:rPr>
      </w:pPr>
      <w:r>
        <w:br w:type="column"/>
      </w:r>
      <w:r>
        <w:rPr>
          <w:b/>
          <w:color w:val="2E3092"/>
          <w:spacing w:val="-2"/>
          <w:sz w:val="18"/>
        </w:rPr>
        <w:t>Funding</w:t>
      </w:r>
      <w:r>
        <w:rPr>
          <w:b/>
          <w:color w:val="2E3092"/>
          <w:spacing w:val="-13"/>
          <w:sz w:val="18"/>
        </w:rPr>
        <w:t xml:space="preserve"> </w:t>
      </w:r>
      <w:r>
        <w:rPr>
          <w:b/>
          <w:color w:val="2E3092"/>
          <w:spacing w:val="-2"/>
          <w:sz w:val="18"/>
        </w:rPr>
        <w:t>and</w:t>
      </w:r>
      <w:r>
        <w:rPr>
          <w:b/>
          <w:color w:val="2E3092"/>
          <w:spacing w:val="-10"/>
          <w:sz w:val="18"/>
        </w:rPr>
        <w:t xml:space="preserve"> </w:t>
      </w:r>
      <w:r>
        <w:rPr>
          <w:b/>
          <w:color w:val="2E3092"/>
          <w:spacing w:val="-2"/>
          <w:sz w:val="18"/>
        </w:rPr>
        <w:t>Revenue Sources</w:t>
      </w:r>
    </w:p>
    <w:p w:rsidR="002C1123" w:rsidRDefault="00F22F94">
      <w:pPr>
        <w:spacing w:before="124" w:line="203" w:lineRule="exact"/>
        <w:ind w:left="279"/>
        <w:rPr>
          <w:b/>
          <w:sz w:val="18"/>
        </w:rPr>
      </w:pPr>
      <w:r>
        <w:br w:type="column"/>
      </w:r>
      <w:r>
        <w:rPr>
          <w:b/>
          <w:color w:val="2E3092"/>
          <w:sz w:val="18"/>
        </w:rPr>
        <w:t>Capital</w:t>
      </w:r>
      <w:r>
        <w:rPr>
          <w:b/>
          <w:color w:val="2E3092"/>
          <w:spacing w:val="-2"/>
          <w:sz w:val="18"/>
        </w:rPr>
        <w:t xml:space="preserve"> Expenditure</w:t>
      </w:r>
    </w:p>
    <w:p w:rsidR="002C1123" w:rsidRDefault="00F22F94">
      <w:pPr>
        <w:tabs>
          <w:tab w:val="left" w:pos="2370"/>
        </w:tabs>
        <w:spacing w:line="203" w:lineRule="exact"/>
        <w:ind w:left="279"/>
        <w:rPr>
          <w:b/>
          <w:sz w:val="18"/>
        </w:rPr>
      </w:pPr>
      <w:r>
        <w:rPr>
          <w:b/>
          <w:color w:val="2E3092"/>
          <w:w w:val="95"/>
          <w:sz w:val="18"/>
        </w:rPr>
        <w:t>(2012-</w:t>
      </w:r>
      <w:r>
        <w:rPr>
          <w:b/>
          <w:color w:val="2E3092"/>
          <w:spacing w:val="-5"/>
          <w:sz w:val="18"/>
        </w:rPr>
        <w:t>13)</w:t>
      </w:r>
      <w:r>
        <w:rPr>
          <w:b/>
          <w:color w:val="2E3092"/>
          <w:sz w:val="18"/>
        </w:rPr>
        <w:tab/>
      </w:r>
      <w:r>
        <w:rPr>
          <w:b/>
          <w:color w:val="2E3092"/>
          <w:w w:val="95"/>
          <w:sz w:val="18"/>
        </w:rPr>
        <w:t>Asset</w:t>
      </w:r>
      <w:r>
        <w:rPr>
          <w:b/>
          <w:color w:val="2E3092"/>
          <w:spacing w:val="8"/>
          <w:sz w:val="18"/>
        </w:rPr>
        <w:t xml:space="preserve"> </w:t>
      </w:r>
      <w:r>
        <w:rPr>
          <w:b/>
          <w:color w:val="2E3092"/>
          <w:spacing w:val="-2"/>
          <w:w w:val="95"/>
          <w:sz w:val="18"/>
        </w:rPr>
        <w:t>Managers</w:t>
      </w:r>
    </w:p>
    <w:p w:rsidR="002C1123" w:rsidRDefault="00F22F94">
      <w:pPr>
        <w:spacing w:before="129" w:line="232" w:lineRule="auto"/>
        <w:ind w:left="500" w:right="529" w:hanging="1"/>
        <w:rPr>
          <w:b/>
          <w:sz w:val="18"/>
        </w:rPr>
      </w:pPr>
      <w:r>
        <w:br w:type="column"/>
      </w:r>
      <w:r>
        <w:rPr>
          <w:b/>
          <w:color w:val="2E3092"/>
          <w:spacing w:val="-4"/>
          <w:sz w:val="18"/>
        </w:rPr>
        <w:t>Value</w:t>
      </w:r>
      <w:r>
        <w:rPr>
          <w:b/>
          <w:color w:val="2E3092"/>
          <w:spacing w:val="-9"/>
          <w:sz w:val="18"/>
        </w:rPr>
        <w:t xml:space="preserve"> </w:t>
      </w:r>
      <w:r>
        <w:rPr>
          <w:b/>
          <w:color w:val="2E3092"/>
          <w:spacing w:val="-4"/>
          <w:sz w:val="18"/>
        </w:rPr>
        <w:t>of</w:t>
      </w:r>
      <w:r>
        <w:rPr>
          <w:b/>
          <w:color w:val="2E3092"/>
          <w:spacing w:val="-8"/>
          <w:sz w:val="18"/>
        </w:rPr>
        <w:t xml:space="preserve"> </w:t>
      </w:r>
      <w:r>
        <w:rPr>
          <w:b/>
          <w:color w:val="2E3092"/>
          <w:spacing w:val="-4"/>
          <w:sz w:val="18"/>
        </w:rPr>
        <w:t>Assets</w:t>
      </w:r>
      <w:r>
        <w:rPr>
          <w:b/>
          <w:color w:val="2E3092"/>
          <w:spacing w:val="-9"/>
          <w:sz w:val="18"/>
        </w:rPr>
        <w:t xml:space="preserve"> </w:t>
      </w:r>
      <w:r>
        <w:rPr>
          <w:b/>
          <w:color w:val="2E3092"/>
          <w:spacing w:val="-4"/>
          <w:sz w:val="18"/>
        </w:rPr>
        <w:t xml:space="preserve">(July </w:t>
      </w:r>
      <w:r>
        <w:rPr>
          <w:b/>
          <w:color w:val="2E3092"/>
          <w:spacing w:val="-2"/>
          <w:sz w:val="18"/>
        </w:rPr>
        <w:t>2012)</w:t>
      </w:r>
    </w:p>
    <w:p w:rsidR="002C1123" w:rsidRDefault="002C1123">
      <w:pPr>
        <w:spacing w:line="232" w:lineRule="auto"/>
        <w:rPr>
          <w:sz w:val="18"/>
        </w:rPr>
        <w:sectPr w:rsidR="002C1123">
          <w:type w:val="continuous"/>
          <w:pgSz w:w="16840" w:h="11910" w:orient="landscape"/>
          <w:pgMar w:top="560" w:right="280" w:bottom="280" w:left="500" w:header="0" w:footer="517" w:gutter="0"/>
          <w:cols w:num="5" w:space="720" w:equalWidth="0">
            <w:col w:w="5225" w:space="40"/>
            <w:col w:w="1192" w:space="39"/>
            <w:col w:w="2305" w:space="40"/>
            <w:col w:w="3789" w:space="259"/>
            <w:col w:w="3171"/>
          </w:cols>
        </w:sect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spacing w:before="5"/>
        <w:rPr>
          <w:b/>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BodyText"/>
        <w:spacing w:before="106" w:line="249" w:lineRule="auto"/>
        <w:ind w:left="495" w:right="80" w:firstLine="3"/>
      </w:pPr>
      <w:bookmarkStart w:id="40" w:name="_bookmark27"/>
      <w:bookmarkEnd w:id="40"/>
      <w:r>
        <w:rPr>
          <w:w w:val="95"/>
        </w:rPr>
        <w:t>Over</w:t>
      </w:r>
      <w:r>
        <w:rPr>
          <w:spacing w:val="-8"/>
          <w:w w:val="95"/>
        </w:rPr>
        <w:t xml:space="preserve"> </w:t>
      </w:r>
      <w:r>
        <w:rPr>
          <w:w w:val="95"/>
        </w:rPr>
        <w:t>the</w:t>
      </w:r>
      <w:r>
        <w:rPr>
          <w:spacing w:val="-8"/>
          <w:w w:val="95"/>
        </w:rPr>
        <w:t xml:space="preserve"> </w:t>
      </w:r>
      <w:r>
        <w:rPr>
          <w:w w:val="95"/>
        </w:rPr>
        <w:t>past</w:t>
      </w:r>
      <w:r>
        <w:rPr>
          <w:spacing w:val="-8"/>
          <w:w w:val="95"/>
        </w:rPr>
        <w:t xml:space="preserve"> </w:t>
      </w:r>
      <w:r>
        <w:rPr>
          <w:w w:val="95"/>
        </w:rPr>
        <w:t>decade,</w:t>
      </w:r>
      <w:r>
        <w:rPr>
          <w:spacing w:val="-8"/>
          <w:w w:val="95"/>
        </w:rPr>
        <w:t xml:space="preserve"> </w:t>
      </w:r>
      <w:r>
        <w:rPr>
          <w:w w:val="95"/>
        </w:rPr>
        <w:t>NSW</w:t>
      </w:r>
      <w:r>
        <w:rPr>
          <w:spacing w:val="-8"/>
          <w:w w:val="95"/>
        </w:rPr>
        <w:t xml:space="preserve"> </w:t>
      </w:r>
      <w:r>
        <w:rPr>
          <w:w w:val="95"/>
        </w:rPr>
        <w:t>has</w:t>
      </w:r>
      <w:r>
        <w:rPr>
          <w:spacing w:val="-8"/>
          <w:w w:val="95"/>
        </w:rPr>
        <w:t xml:space="preserve"> </w:t>
      </w:r>
      <w:r>
        <w:rPr>
          <w:w w:val="95"/>
        </w:rPr>
        <w:t>achieved</w:t>
      </w:r>
      <w:r>
        <w:rPr>
          <w:spacing w:val="-8"/>
          <w:w w:val="95"/>
        </w:rPr>
        <w:t xml:space="preserve"> </w:t>
      </w:r>
      <w:r>
        <w:rPr>
          <w:w w:val="95"/>
        </w:rPr>
        <w:t xml:space="preserve">significantly </w:t>
      </w:r>
      <w:r>
        <w:t>lower</w:t>
      </w:r>
      <w:r>
        <w:rPr>
          <w:spacing w:val="-14"/>
        </w:rPr>
        <w:t xml:space="preserve"> </w:t>
      </w:r>
      <w:r>
        <w:t>economic</w:t>
      </w:r>
      <w:r>
        <w:rPr>
          <w:spacing w:val="-14"/>
        </w:rPr>
        <w:t xml:space="preserve"> </w:t>
      </w:r>
      <w:r>
        <w:t>growth</w:t>
      </w:r>
      <w:r>
        <w:rPr>
          <w:spacing w:val="-14"/>
        </w:rPr>
        <w:t xml:space="preserve"> </w:t>
      </w:r>
      <w:r>
        <w:t>than</w:t>
      </w:r>
      <w:r>
        <w:rPr>
          <w:spacing w:val="-14"/>
        </w:rPr>
        <w:t xml:space="preserve"> </w:t>
      </w:r>
      <w:r>
        <w:t>the</w:t>
      </w:r>
      <w:r>
        <w:rPr>
          <w:spacing w:val="-14"/>
        </w:rPr>
        <w:t xml:space="preserve"> </w:t>
      </w:r>
      <w:r>
        <w:t>rest</w:t>
      </w:r>
      <w:r>
        <w:rPr>
          <w:spacing w:val="-14"/>
        </w:rPr>
        <w:t xml:space="preserve"> </w:t>
      </w:r>
      <w:r>
        <w:t>of</w:t>
      </w:r>
      <w:r>
        <w:rPr>
          <w:spacing w:val="-14"/>
        </w:rPr>
        <w:t xml:space="preserve"> </w:t>
      </w:r>
      <w:r>
        <w:t>Australia</w:t>
      </w:r>
      <w:r>
        <w:rPr>
          <w:spacing w:val="-14"/>
        </w:rPr>
        <w:t xml:space="preserve"> </w:t>
      </w:r>
      <w:r>
        <w:t xml:space="preserve">and </w:t>
      </w:r>
      <w:r>
        <w:rPr>
          <w:spacing w:val="-2"/>
        </w:rPr>
        <w:t>Victoria</w:t>
      </w:r>
      <w:r>
        <w:rPr>
          <w:spacing w:val="-13"/>
        </w:rPr>
        <w:t xml:space="preserve"> </w:t>
      </w:r>
      <w:r>
        <w:rPr>
          <w:spacing w:val="-2"/>
        </w:rPr>
        <w:t>(as</w:t>
      </w:r>
      <w:r>
        <w:rPr>
          <w:spacing w:val="-13"/>
        </w:rPr>
        <w:t xml:space="preserve"> </w:t>
      </w:r>
      <w:r>
        <w:rPr>
          <w:spacing w:val="-2"/>
        </w:rPr>
        <w:t>shown</w:t>
      </w:r>
      <w:r>
        <w:rPr>
          <w:spacing w:val="-13"/>
        </w:rPr>
        <w:t xml:space="preserve"> </w:t>
      </w:r>
      <w:r>
        <w:rPr>
          <w:spacing w:val="-2"/>
        </w:rPr>
        <w:t>in</w:t>
      </w:r>
      <w:r>
        <w:rPr>
          <w:spacing w:val="-13"/>
        </w:rPr>
        <w:t xml:space="preserve"> </w:t>
      </w:r>
      <w:r>
        <w:rPr>
          <w:spacing w:val="-2"/>
        </w:rPr>
        <w:t>Figure</w:t>
      </w:r>
      <w:r>
        <w:rPr>
          <w:spacing w:val="-13"/>
        </w:rPr>
        <w:t xml:space="preserve"> </w:t>
      </w:r>
      <w:r>
        <w:rPr>
          <w:spacing w:val="-2"/>
        </w:rPr>
        <w:t>1.3).</w:t>
      </w:r>
      <w:r>
        <w:rPr>
          <w:spacing w:val="-13"/>
        </w:rPr>
        <w:t xml:space="preserve"> </w:t>
      </w:r>
      <w:r>
        <w:rPr>
          <w:spacing w:val="-2"/>
        </w:rPr>
        <w:t>In</w:t>
      </w:r>
      <w:r>
        <w:rPr>
          <w:spacing w:val="-13"/>
        </w:rPr>
        <w:t xml:space="preserve"> </w:t>
      </w:r>
      <w:r>
        <w:rPr>
          <w:spacing w:val="-2"/>
        </w:rPr>
        <w:t>1991,</w:t>
      </w:r>
      <w:r>
        <w:rPr>
          <w:spacing w:val="-13"/>
        </w:rPr>
        <w:t xml:space="preserve"> </w:t>
      </w:r>
      <w:r>
        <w:rPr>
          <w:spacing w:val="-2"/>
        </w:rPr>
        <w:t xml:space="preserve">NSW </w:t>
      </w:r>
      <w:r>
        <w:t>accounted</w:t>
      </w:r>
      <w:r>
        <w:rPr>
          <w:spacing w:val="-8"/>
        </w:rPr>
        <w:t xml:space="preserve"> </w:t>
      </w:r>
      <w:r>
        <w:t>for</w:t>
      </w:r>
      <w:r>
        <w:rPr>
          <w:spacing w:val="-8"/>
        </w:rPr>
        <w:t xml:space="preserve"> </w:t>
      </w:r>
      <w:r>
        <w:t>37</w:t>
      </w:r>
      <w:r>
        <w:rPr>
          <w:spacing w:val="-8"/>
        </w:rPr>
        <w:t xml:space="preserve"> </w:t>
      </w:r>
      <w:r>
        <w:t>percent</w:t>
      </w:r>
      <w:r>
        <w:rPr>
          <w:spacing w:val="-8"/>
        </w:rPr>
        <w:t xml:space="preserve"> </w:t>
      </w:r>
      <w:r>
        <w:t>of</w:t>
      </w:r>
      <w:r>
        <w:rPr>
          <w:spacing w:val="-8"/>
        </w:rPr>
        <w:t xml:space="preserve"> </w:t>
      </w:r>
      <w:r>
        <w:t>Australia’s</w:t>
      </w:r>
      <w:r>
        <w:rPr>
          <w:spacing w:val="-8"/>
        </w:rPr>
        <w:t xml:space="preserve"> </w:t>
      </w:r>
      <w:r>
        <w:t>economy;</w:t>
      </w:r>
    </w:p>
    <w:p w:rsidR="002C1123" w:rsidRDefault="00F22F94">
      <w:pPr>
        <w:pStyle w:val="BodyText"/>
        <w:spacing w:before="3" w:line="249" w:lineRule="auto"/>
        <w:ind w:left="474" w:firstLine="30"/>
        <w:jc w:val="both"/>
      </w:pPr>
      <w:r>
        <w:rPr>
          <w:w w:val="95"/>
        </w:rPr>
        <w:t>by</w:t>
      </w:r>
      <w:r>
        <w:rPr>
          <w:spacing w:val="-4"/>
          <w:w w:val="95"/>
        </w:rPr>
        <w:t xml:space="preserve"> </w:t>
      </w:r>
      <w:r>
        <w:rPr>
          <w:w w:val="95"/>
        </w:rPr>
        <w:t>2011</w:t>
      </w:r>
      <w:r>
        <w:rPr>
          <w:spacing w:val="-4"/>
          <w:w w:val="95"/>
        </w:rPr>
        <w:t xml:space="preserve"> </w:t>
      </w:r>
      <w:r>
        <w:rPr>
          <w:w w:val="95"/>
        </w:rPr>
        <w:t>this</w:t>
      </w:r>
      <w:r>
        <w:rPr>
          <w:spacing w:val="-4"/>
          <w:w w:val="95"/>
        </w:rPr>
        <w:t xml:space="preserve"> </w:t>
      </w:r>
      <w:r>
        <w:rPr>
          <w:w w:val="95"/>
        </w:rPr>
        <w:t>had</w:t>
      </w:r>
      <w:r>
        <w:rPr>
          <w:spacing w:val="-4"/>
          <w:w w:val="95"/>
        </w:rPr>
        <w:t xml:space="preserve"> </w:t>
      </w:r>
      <w:r>
        <w:rPr>
          <w:w w:val="95"/>
        </w:rPr>
        <w:t>fallen</w:t>
      </w:r>
      <w:r>
        <w:rPr>
          <w:spacing w:val="-4"/>
          <w:w w:val="95"/>
        </w:rPr>
        <w:t xml:space="preserve"> </w:t>
      </w:r>
      <w:r>
        <w:rPr>
          <w:w w:val="95"/>
        </w:rPr>
        <w:t>to</w:t>
      </w:r>
      <w:r>
        <w:rPr>
          <w:spacing w:val="-4"/>
          <w:w w:val="95"/>
        </w:rPr>
        <w:t xml:space="preserve"> </w:t>
      </w:r>
      <w:r>
        <w:rPr>
          <w:w w:val="95"/>
        </w:rPr>
        <w:t>32</w:t>
      </w:r>
      <w:r>
        <w:rPr>
          <w:spacing w:val="-4"/>
          <w:w w:val="95"/>
        </w:rPr>
        <w:t xml:space="preserve"> </w:t>
      </w:r>
      <w:r>
        <w:rPr>
          <w:w w:val="95"/>
        </w:rPr>
        <w:t>percent.</w:t>
      </w:r>
      <w:r>
        <w:rPr>
          <w:spacing w:val="-4"/>
          <w:w w:val="95"/>
        </w:rPr>
        <w:t xml:space="preserve"> </w:t>
      </w:r>
      <w:r>
        <w:rPr>
          <w:w w:val="95"/>
        </w:rPr>
        <w:t>NSW</w:t>
      </w:r>
      <w:r>
        <w:rPr>
          <w:spacing w:val="-4"/>
          <w:w w:val="95"/>
        </w:rPr>
        <w:t xml:space="preserve"> </w:t>
      </w:r>
      <w:r>
        <w:rPr>
          <w:w w:val="95"/>
        </w:rPr>
        <w:t xml:space="preserve">productivity and population growth has been sub-par for more than </w:t>
      </w:r>
      <w:r>
        <w:t>10</w:t>
      </w:r>
      <w:r>
        <w:rPr>
          <w:spacing w:val="-11"/>
        </w:rPr>
        <w:t xml:space="preserve"> </w:t>
      </w:r>
      <w:r>
        <w:t>years.</w:t>
      </w:r>
    </w:p>
    <w:p w:rsidR="002C1123" w:rsidRDefault="00F22F94">
      <w:pPr>
        <w:spacing w:before="133"/>
        <w:ind w:left="494"/>
        <w:rPr>
          <w:b/>
          <w:sz w:val="18"/>
        </w:rPr>
      </w:pPr>
      <w:r>
        <w:rPr>
          <w:b/>
          <w:sz w:val="18"/>
        </w:rPr>
        <w:t>Figure</w:t>
      </w:r>
      <w:r>
        <w:rPr>
          <w:b/>
          <w:spacing w:val="-13"/>
          <w:sz w:val="18"/>
        </w:rPr>
        <w:t xml:space="preserve"> </w:t>
      </w:r>
      <w:r>
        <w:rPr>
          <w:b/>
          <w:sz w:val="18"/>
        </w:rPr>
        <w:t>1.3</w:t>
      </w:r>
      <w:r>
        <w:rPr>
          <w:b/>
          <w:spacing w:val="39"/>
          <w:sz w:val="18"/>
        </w:rPr>
        <w:t xml:space="preserve"> </w:t>
      </w:r>
      <w:r>
        <w:rPr>
          <w:b/>
          <w:sz w:val="18"/>
        </w:rPr>
        <w:t>NSW</w:t>
      </w:r>
      <w:r>
        <w:rPr>
          <w:b/>
          <w:spacing w:val="-5"/>
          <w:sz w:val="18"/>
        </w:rPr>
        <w:t xml:space="preserve"> </w:t>
      </w:r>
      <w:r>
        <w:rPr>
          <w:b/>
          <w:sz w:val="18"/>
        </w:rPr>
        <w:t>Relative</w:t>
      </w:r>
      <w:r>
        <w:rPr>
          <w:b/>
          <w:spacing w:val="-5"/>
          <w:sz w:val="18"/>
        </w:rPr>
        <w:t xml:space="preserve"> </w:t>
      </w:r>
      <w:r>
        <w:rPr>
          <w:b/>
          <w:sz w:val="18"/>
        </w:rPr>
        <w:t>Economic</w:t>
      </w:r>
      <w:r>
        <w:rPr>
          <w:b/>
          <w:spacing w:val="-5"/>
          <w:sz w:val="18"/>
        </w:rPr>
        <w:t xml:space="preserve"> </w:t>
      </w:r>
      <w:r>
        <w:rPr>
          <w:b/>
          <w:spacing w:val="-2"/>
          <w:sz w:val="18"/>
        </w:rPr>
        <w:t>Performance</w:t>
      </w:r>
    </w:p>
    <w:p w:rsidR="002C1123" w:rsidRDefault="002060EF">
      <w:pPr>
        <w:spacing w:before="100"/>
        <w:ind w:left="991"/>
        <w:rPr>
          <w:sz w:val="16"/>
        </w:rPr>
      </w:pPr>
      <w:r>
        <w:pict>
          <v:rect id="docshape141" o:spid="_x0000_s5165" style="position:absolute;left:0;text-align:left;margin-left:91.3pt;margin-top:9.45pt;width:198.3pt;height:.4pt;z-index:251217920;mso-position-horizontal-relative:page" fillcolor="#b2b1b3" stroked="f">
            <w10:wrap anchorx="page"/>
          </v:rect>
        </w:pict>
      </w:r>
      <w:r w:rsidR="00F22F94">
        <w:rPr>
          <w:spacing w:val="-5"/>
          <w:w w:val="95"/>
          <w:sz w:val="16"/>
        </w:rPr>
        <w:t>5%</w:t>
      </w:r>
    </w:p>
    <w:p w:rsidR="002C1123" w:rsidRDefault="002C1123">
      <w:pPr>
        <w:pStyle w:val="BodyText"/>
        <w:rPr>
          <w:sz w:val="18"/>
        </w:rPr>
      </w:pPr>
    </w:p>
    <w:p w:rsidR="002C1123" w:rsidRDefault="002C1123">
      <w:pPr>
        <w:pStyle w:val="BodyText"/>
        <w:spacing w:before="9"/>
        <w:rPr>
          <w:sz w:val="16"/>
        </w:rPr>
      </w:pPr>
    </w:p>
    <w:p w:rsidR="002C1123" w:rsidRDefault="002060EF">
      <w:pPr>
        <w:ind w:left="991"/>
        <w:rPr>
          <w:sz w:val="16"/>
        </w:rPr>
      </w:pPr>
      <w:r>
        <w:pict>
          <v:group id="docshapegroup142" o:spid="_x0000_s5160" style="position:absolute;left:0;text-align:left;margin-left:91.3pt;margin-top:-9pt;width:198.35pt;height:81.65pt;z-index:-251535360;mso-position-horizontal-relative:page" coordorigin="1826,-180" coordsize="3967,1633">
            <v:shape id="docshape143" o:spid="_x0000_s5164" style="position:absolute;left:1825;top:89;width:3967;height:1176" coordorigin="1826,89" coordsize="3967,1176" o:spt="100" adj="0,,0" path="m5792,1256r-3966,l1826,1264r3966,l5792,1256xm5792,673r-3966,l1826,681r3966,l5792,673xm5792,89r-3966,l1826,97r3966,l5792,89xe" fillcolor="#b2b1b3" stroked="f">
              <v:stroke joinstyle="round"/>
              <v:formulas/>
              <v:path arrowok="t" o:connecttype="segments"/>
            </v:shape>
            <v:shape id="docshape144" o:spid="_x0000_s5163" style="position:absolute;left:1921;top:-35;width:3792;height:817" coordorigin="1921,-35" coordsize="3792,817" path="m5713,782l5461,607,5208,432,4955,82r-253,58l4449,82,4197,257r-253,l3691,316,3438,140,3185,316,2933,24,2680,-35,2427,82r-253,l1921,491e" filled="f" strokecolor="#2e3092" strokeweight="1.0005mm">
              <v:path arrowok="t"/>
            </v:shape>
            <v:shape id="docshape145" o:spid="_x0000_s5162" style="position:absolute;left:1921;top:-152;width:3792;height:1226" coordorigin="1921,-151" coordsize="3792,1226" path="m5713,1016r-252,58l5208,899,4955,549,4702,491,4449,432,4197,549r-253,l3691,316,3438,82r-253,58l2933,-151r-253,58l2427,257r-253,59l1921,957e" filled="f" strokecolor="#00aeef" strokeweight="1.0005mm">
              <v:path arrowok="t"/>
            </v:shape>
            <v:shape id="docshape146" o:spid="_x0000_s5161" style="position:absolute;left:1921;top:82;width:3792;height:1343" coordorigin="1921,82" coordsize="3792,1343" path="m5713,1366r-252,l5208,1424,4955,1191r-253,117l4449,1308r-252,58l3944,1074,3691,782,3438,549,3185,316,2933,82r-253,58l2427,257,2174,374,1921,782e" filled="f" strokecolor="#f47920" strokeweight="1.0005mm">
              <v:path arrowok="t"/>
            </v:shape>
            <w10:wrap anchorx="page"/>
          </v:group>
        </w:pict>
      </w:r>
      <w:r>
        <w:pict>
          <v:shape id="docshape147" o:spid="_x0000_s5159" type="#_x0000_t202" style="position:absolute;left:0;text-align:left;margin-left:47.95pt;margin-top:-6.25pt;width:20.55pt;height:110.15pt;z-index:251228160;mso-position-horizontal-relative:page" filled="f" stroked="f">
            <v:textbox style="layout-flow:vertical;mso-layout-flow-alt:bottom-to-top" inset="0,0,0,0">
              <w:txbxContent>
                <w:p w:rsidR="00F22F94" w:rsidRDefault="00F22F94">
                  <w:pPr>
                    <w:spacing w:before="18" w:line="247" w:lineRule="auto"/>
                    <w:ind w:left="20" w:firstLine="122"/>
                    <w:rPr>
                      <w:sz w:val="16"/>
                    </w:rPr>
                  </w:pPr>
                  <w:r>
                    <w:rPr>
                      <w:w w:val="85"/>
                      <w:sz w:val="16"/>
                    </w:rPr>
                    <w:t>Compound</w:t>
                  </w:r>
                  <w:r>
                    <w:rPr>
                      <w:spacing w:val="-5"/>
                      <w:w w:val="85"/>
                      <w:sz w:val="16"/>
                    </w:rPr>
                    <w:t xml:space="preserve"> </w:t>
                  </w:r>
                  <w:r>
                    <w:rPr>
                      <w:w w:val="85"/>
                      <w:sz w:val="16"/>
                    </w:rPr>
                    <w:t>annual</w:t>
                  </w:r>
                  <w:r>
                    <w:rPr>
                      <w:spacing w:val="-4"/>
                      <w:w w:val="85"/>
                      <w:sz w:val="16"/>
                    </w:rPr>
                    <w:t xml:space="preserve"> </w:t>
                  </w:r>
                  <w:r>
                    <w:rPr>
                      <w:w w:val="85"/>
                      <w:sz w:val="16"/>
                    </w:rPr>
                    <w:t>growth</w:t>
                  </w:r>
                  <w:r>
                    <w:rPr>
                      <w:spacing w:val="-5"/>
                      <w:w w:val="85"/>
                      <w:sz w:val="16"/>
                    </w:rPr>
                    <w:t xml:space="preserve"> </w:t>
                  </w:r>
                  <w:r>
                    <w:rPr>
                      <w:w w:val="85"/>
                      <w:sz w:val="16"/>
                    </w:rPr>
                    <w:t>of</w:t>
                  </w:r>
                  <w:r>
                    <w:rPr>
                      <w:spacing w:val="-4"/>
                      <w:w w:val="85"/>
                      <w:sz w:val="16"/>
                    </w:rPr>
                    <w:t xml:space="preserve"> </w:t>
                  </w:r>
                  <w:r>
                    <w:rPr>
                      <w:w w:val="85"/>
                      <w:sz w:val="16"/>
                    </w:rPr>
                    <w:t>GSP</w:t>
                  </w:r>
                  <w:r>
                    <w:rPr>
                      <w:sz w:val="16"/>
                    </w:rPr>
                    <w:t xml:space="preserve"> </w:t>
                  </w:r>
                  <w:r>
                    <w:rPr>
                      <w:w w:val="80"/>
                      <w:sz w:val="16"/>
                    </w:rPr>
                    <w:t>(real,</w:t>
                  </w:r>
                  <w:r>
                    <w:rPr>
                      <w:spacing w:val="-2"/>
                      <w:w w:val="80"/>
                      <w:sz w:val="16"/>
                    </w:rPr>
                    <w:t xml:space="preserve"> </w:t>
                  </w:r>
                  <w:r>
                    <w:rPr>
                      <w:w w:val="80"/>
                      <w:sz w:val="16"/>
                    </w:rPr>
                    <w:t>2009/10),</w:t>
                  </w:r>
                  <w:r>
                    <w:rPr>
                      <w:spacing w:val="-2"/>
                      <w:w w:val="80"/>
                      <w:sz w:val="16"/>
                    </w:rPr>
                    <w:t xml:space="preserve"> </w:t>
                  </w:r>
                  <w:r>
                    <w:rPr>
                      <w:w w:val="80"/>
                      <w:sz w:val="16"/>
                    </w:rPr>
                    <w:t>5</w:t>
                  </w:r>
                  <w:r>
                    <w:rPr>
                      <w:spacing w:val="-2"/>
                      <w:w w:val="80"/>
                      <w:sz w:val="16"/>
                    </w:rPr>
                    <w:t xml:space="preserve"> </w:t>
                  </w:r>
                  <w:r>
                    <w:rPr>
                      <w:w w:val="80"/>
                      <w:sz w:val="16"/>
                    </w:rPr>
                    <w:t>year</w:t>
                  </w:r>
                  <w:r>
                    <w:rPr>
                      <w:spacing w:val="-2"/>
                      <w:w w:val="80"/>
                      <w:sz w:val="16"/>
                    </w:rPr>
                    <w:t xml:space="preserve"> </w:t>
                  </w:r>
                  <w:r>
                    <w:rPr>
                      <w:w w:val="80"/>
                      <w:sz w:val="16"/>
                    </w:rPr>
                    <w:t>rolling</w:t>
                  </w:r>
                  <w:r>
                    <w:rPr>
                      <w:spacing w:val="-2"/>
                      <w:w w:val="80"/>
                      <w:sz w:val="16"/>
                    </w:rPr>
                    <w:t xml:space="preserve"> </w:t>
                  </w:r>
                  <w:r>
                    <w:rPr>
                      <w:w w:val="80"/>
                      <w:sz w:val="16"/>
                    </w:rPr>
                    <w:t>average</w:t>
                  </w:r>
                </w:p>
              </w:txbxContent>
            </v:textbox>
            <w10:wrap anchorx="page"/>
          </v:shape>
        </w:pict>
      </w:r>
      <w:r w:rsidR="00F22F94">
        <w:rPr>
          <w:spacing w:val="-5"/>
          <w:w w:val="95"/>
          <w:sz w:val="16"/>
        </w:rPr>
        <w:t>4%</w:t>
      </w:r>
    </w:p>
    <w:p w:rsidR="002C1123" w:rsidRDefault="002C1123">
      <w:pPr>
        <w:pStyle w:val="BodyText"/>
        <w:rPr>
          <w:sz w:val="18"/>
        </w:rPr>
      </w:pPr>
    </w:p>
    <w:p w:rsidR="002C1123" w:rsidRDefault="002C1123">
      <w:pPr>
        <w:pStyle w:val="BodyText"/>
        <w:spacing w:before="8"/>
        <w:rPr>
          <w:sz w:val="16"/>
        </w:rPr>
      </w:pPr>
    </w:p>
    <w:p w:rsidR="002C1123" w:rsidRDefault="00F22F94">
      <w:pPr>
        <w:spacing w:before="1"/>
        <w:ind w:left="991"/>
        <w:rPr>
          <w:sz w:val="16"/>
        </w:rPr>
      </w:pPr>
      <w:r>
        <w:rPr>
          <w:spacing w:val="-5"/>
          <w:w w:val="95"/>
          <w:sz w:val="16"/>
        </w:rPr>
        <w:t>3%</w:t>
      </w:r>
    </w:p>
    <w:p w:rsidR="002C1123" w:rsidRDefault="00F22F94">
      <w:pPr>
        <w:spacing w:before="131"/>
        <w:ind w:left="341"/>
        <w:rPr>
          <w:b/>
          <w:sz w:val="18"/>
        </w:rPr>
      </w:pPr>
      <w:r>
        <w:br w:type="column"/>
      </w:r>
      <w:r>
        <w:rPr>
          <w:b/>
          <w:sz w:val="18"/>
        </w:rPr>
        <w:t>Figure</w:t>
      </w:r>
      <w:r>
        <w:rPr>
          <w:b/>
          <w:spacing w:val="-4"/>
          <w:sz w:val="18"/>
        </w:rPr>
        <w:t xml:space="preserve"> </w:t>
      </w:r>
      <w:r>
        <w:rPr>
          <w:b/>
          <w:sz w:val="18"/>
        </w:rPr>
        <w:t>1.4</w:t>
      </w:r>
      <w:r>
        <w:rPr>
          <w:b/>
          <w:spacing w:val="42"/>
          <w:sz w:val="18"/>
        </w:rPr>
        <w:t xml:space="preserve"> </w:t>
      </w:r>
      <w:r>
        <w:rPr>
          <w:b/>
          <w:sz w:val="18"/>
        </w:rPr>
        <w:t>NSW</w:t>
      </w:r>
      <w:r>
        <w:rPr>
          <w:b/>
          <w:spacing w:val="-3"/>
          <w:sz w:val="18"/>
        </w:rPr>
        <w:t xml:space="preserve"> </w:t>
      </w:r>
      <w:r>
        <w:rPr>
          <w:b/>
          <w:sz w:val="18"/>
        </w:rPr>
        <w:t>Relative</w:t>
      </w:r>
      <w:r>
        <w:rPr>
          <w:b/>
          <w:spacing w:val="-4"/>
          <w:sz w:val="18"/>
        </w:rPr>
        <w:t xml:space="preserve"> </w:t>
      </w:r>
      <w:r>
        <w:rPr>
          <w:b/>
          <w:sz w:val="18"/>
        </w:rPr>
        <w:t>Infrastructure</w:t>
      </w:r>
      <w:r>
        <w:rPr>
          <w:b/>
          <w:spacing w:val="-4"/>
          <w:sz w:val="18"/>
        </w:rPr>
        <w:t xml:space="preserve"> </w:t>
      </w:r>
      <w:r>
        <w:rPr>
          <w:b/>
          <w:spacing w:val="-2"/>
          <w:sz w:val="18"/>
        </w:rPr>
        <w:t>Investment</w:t>
      </w:r>
    </w:p>
    <w:p w:rsidR="002C1123" w:rsidRDefault="002060EF">
      <w:pPr>
        <w:spacing w:before="112"/>
        <w:ind w:left="838"/>
        <w:rPr>
          <w:sz w:val="16"/>
        </w:rPr>
      </w:pPr>
      <w:r>
        <w:pict>
          <v:line id="_x0000_s5158" style="position:absolute;left:0;text-align:left;z-index:251225088;mso-position-horizontal-relative:page" from="342.65pt,10.15pt" to="540.4pt,10.15pt" strokecolor="#b2b1b3" strokeweight=".4pt">
            <w10:wrap anchorx="page"/>
          </v:line>
        </w:pict>
      </w:r>
      <w:r>
        <w:pict>
          <v:shape id="docshape148" o:spid="_x0000_s5157" type="#_x0000_t202" style="position:absolute;left:0;text-align:left;margin-left:299.3pt;margin-top:21.5pt;width:20.55pt;height:124.85pt;z-index:251230208;mso-position-horizontal-relative:page" filled="f" stroked="f">
            <v:textbox style="layout-flow:vertical;mso-layout-flow-alt:bottom-to-top" inset="0,0,0,0">
              <w:txbxContent>
                <w:p w:rsidR="00F22F94" w:rsidRDefault="00F22F94">
                  <w:pPr>
                    <w:spacing w:before="18" w:line="247" w:lineRule="auto"/>
                    <w:ind w:left="604" w:hanging="585"/>
                    <w:rPr>
                      <w:sz w:val="16"/>
                    </w:rPr>
                  </w:pPr>
                  <w:r>
                    <w:rPr>
                      <w:w w:val="80"/>
                      <w:sz w:val="16"/>
                    </w:rPr>
                    <w:t>Engineering</w:t>
                  </w:r>
                  <w:r>
                    <w:rPr>
                      <w:spacing w:val="-3"/>
                      <w:w w:val="80"/>
                      <w:sz w:val="16"/>
                    </w:rPr>
                    <w:t xml:space="preserve"> </w:t>
                  </w:r>
                  <w:r>
                    <w:rPr>
                      <w:w w:val="80"/>
                      <w:sz w:val="16"/>
                    </w:rPr>
                    <w:t>construction</w:t>
                  </w:r>
                  <w:r>
                    <w:rPr>
                      <w:spacing w:val="-2"/>
                      <w:w w:val="80"/>
                      <w:sz w:val="16"/>
                    </w:rPr>
                    <w:t xml:space="preserve"> </w:t>
                  </w:r>
                  <w:r>
                    <w:rPr>
                      <w:w w:val="80"/>
                      <w:sz w:val="16"/>
                    </w:rPr>
                    <w:t>-</w:t>
                  </w:r>
                  <w:r>
                    <w:rPr>
                      <w:spacing w:val="-2"/>
                      <w:w w:val="80"/>
                      <w:sz w:val="16"/>
                    </w:rPr>
                    <w:t xml:space="preserve"> </w:t>
                  </w:r>
                  <w:r>
                    <w:rPr>
                      <w:w w:val="80"/>
                      <w:sz w:val="16"/>
                    </w:rPr>
                    <w:t>excl.</w:t>
                  </w:r>
                  <w:r>
                    <w:rPr>
                      <w:spacing w:val="-2"/>
                      <w:w w:val="80"/>
                      <w:sz w:val="16"/>
                    </w:rPr>
                    <w:t xml:space="preserve"> </w:t>
                  </w:r>
                  <w:r>
                    <w:rPr>
                      <w:w w:val="80"/>
                      <w:sz w:val="16"/>
                    </w:rPr>
                    <w:t>Mining</w:t>
                  </w:r>
                  <w:r>
                    <w:rPr>
                      <w:spacing w:val="-3"/>
                      <w:w w:val="80"/>
                      <w:sz w:val="16"/>
                    </w:rPr>
                    <w:t xml:space="preserve"> </w:t>
                  </w:r>
                  <w:r>
                    <w:rPr>
                      <w:w w:val="80"/>
                      <w:sz w:val="16"/>
                    </w:rPr>
                    <w:t>and</w:t>
                  </w:r>
                  <w:r>
                    <w:rPr>
                      <w:sz w:val="16"/>
                    </w:rPr>
                    <w:t xml:space="preserve"> </w:t>
                  </w:r>
                  <w:r>
                    <w:rPr>
                      <w:w w:val="85"/>
                      <w:sz w:val="16"/>
                    </w:rPr>
                    <w:t>Heavy</w:t>
                  </w:r>
                  <w:r>
                    <w:rPr>
                      <w:spacing w:val="-5"/>
                      <w:w w:val="85"/>
                      <w:sz w:val="16"/>
                    </w:rPr>
                    <w:t xml:space="preserve"> </w:t>
                  </w:r>
                  <w:r>
                    <w:rPr>
                      <w:w w:val="85"/>
                      <w:sz w:val="16"/>
                    </w:rPr>
                    <w:t>Industry</w:t>
                  </w:r>
                  <w:r>
                    <w:rPr>
                      <w:spacing w:val="-4"/>
                      <w:w w:val="85"/>
                      <w:sz w:val="16"/>
                    </w:rPr>
                    <w:t xml:space="preserve"> </w:t>
                  </w:r>
                  <w:r>
                    <w:rPr>
                      <w:w w:val="85"/>
                      <w:sz w:val="16"/>
                    </w:rPr>
                    <w:t>(%</w:t>
                  </w:r>
                  <w:r>
                    <w:rPr>
                      <w:spacing w:val="-5"/>
                      <w:w w:val="85"/>
                      <w:sz w:val="16"/>
                    </w:rPr>
                    <w:t xml:space="preserve"> </w:t>
                  </w:r>
                  <w:r>
                    <w:rPr>
                      <w:w w:val="85"/>
                      <w:sz w:val="16"/>
                    </w:rPr>
                    <w:t>GSP)</w:t>
                  </w:r>
                </w:p>
              </w:txbxContent>
            </v:textbox>
            <w10:wrap anchorx="page"/>
          </v:shape>
        </w:pict>
      </w:r>
      <w:r w:rsidR="00F22F94">
        <w:rPr>
          <w:spacing w:val="-5"/>
          <w:w w:val="95"/>
          <w:sz w:val="16"/>
        </w:rPr>
        <w:t>5%</w:t>
      </w:r>
    </w:p>
    <w:p w:rsidR="002C1123" w:rsidRDefault="002C1123">
      <w:pPr>
        <w:pStyle w:val="BodyText"/>
        <w:rPr>
          <w:sz w:val="18"/>
        </w:rPr>
      </w:pPr>
    </w:p>
    <w:p w:rsidR="002C1123" w:rsidRDefault="002C1123">
      <w:pPr>
        <w:pStyle w:val="BodyText"/>
        <w:spacing w:before="8"/>
        <w:rPr>
          <w:sz w:val="15"/>
        </w:rPr>
      </w:pPr>
    </w:p>
    <w:p w:rsidR="002C1123" w:rsidRDefault="002060EF">
      <w:pPr>
        <w:ind w:left="838"/>
        <w:rPr>
          <w:sz w:val="16"/>
        </w:rPr>
      </w:pPr>
      <w:r>
        <w:pict>
          <v:group id="docshapegroup149" o:spid="_x0000_s5150" style="position:absolute;left:0;text-align:left;margin-left:342.65pt;margin-top:-2.75pt;width:197.8pt;height:77.3pt;z-index:251224064;mso-position-horizontal-relative:page" coordorigin="6853,-55" coordsize="3956,1546">
            <v:line id="_x0000_s5156" style="position:absolute" from="6853,1235" to="10808,1235" strokecolor="#b2b1b3" strokeweight=".4pt"/>
            <v:line id="_x0000_s5155" style="position:absolute" from="6853,663" to="10808,663" strokecolor="#b2b1b3" strokeweight=".4pt"/>
            <v:line id="_x0000_s5154" style="position:absolute" from="6853,91" to="10808,91" strokecolor="#b2b1b3" strokeweight=".4pt"/>
            <v:shape id="docshape150" o:spid="_x0000_s5153" style="position:absolute;left:6948;top:-25;width:3823;height:1201" coordorigin="6948,-25" coordsize="3823,1201" path="m10771,-25r-192,l10388,-25r-191,229l10006,375,9815,604,9624,718,9433,947r-191,57l9050,1061r-191,l8668,833r-191,57l8286,1004r-191,114l7904,1118r-191,l7521,1061r-191,57l7139,1176,6948,1004e" filled="f" strokecolor="#2e3092" strokeweight="1.058mm">
              <v:path arrowok="t"/>
            </v:shape>
            <v:shape id="docshape151" o:spid="_x0000_s5152" style="position:absolute;left:6948;top:489;width:3823;height:972" coordorigin="6948,490" coordsize="3823,972" path="m10771,490r-192,285l10388,890r-191,171l10006,947,9815,890r-191,171l9433,1233r-191,114l9050,1404r-191,l8668,1233,8477,1061r-191,172l8095,1404r-191,57l7713,1347r-192,57l7330,1404r-191,57l6948,1290e" filled="f" strokecolor="#00aeef" strokeweight="1.058mm">
              <v:path arrowok="t"/>
            </v:shape>
            <v:shape id="docshape152" o:spid="_x0000_s5151" style="position:absolute;left:6948;top:318;width:3823;height:972" coordorigin="6948,318" coordsize="3823,972" path="m10771,318r-192,172l10388,375r-191,343l10006,775,9815,661,9624,833,9433,947r-191,229l9050,1290,8859,1061r-191,-57l8477,1118r-191,l8095,1061r-191,-57l7713,1061r-192,57l7330,1061r-191,l6948,1004e" filled="f" strokecolor="#f47920" strokeweight="1.058mm">
              <v:path arrowok="t"/>
            </v:shape>
            <w10:wrap anchorx="page"/>
          </v:group>
        </w:pict>
      </w:r>
      <w:r w:rsidR="00F22F94">
        <w:rPr>
          <w:spacing w:val="-5"/>
          <w:w w:val="95"/>
          <w:sz w:val="16"/>
        </w:rPr>
        <w:t>4%</w:t>
      </w:r>
    </w:p>
    <w:p w:rsidR="002C1123" w:rsidRDefault="002C1123">
      <w:pPr>
        <w:pStyle w:val="BodyText"/>
        <w:rPr>
          <w:sz w:val="18"/>
        </w:rPr>
      </w:pPr>
    </w:p>
    <w:p w:rsidR="002C1123" w:rsidRDefault="002C1123">
      <w:pPr>
        <w:pStyle w:val="BodyText"/>
        <w:spacing w:before="8"/>
        <w:rPr>
          <w:sz w:val="15"/>
        </w:rPr>
      </w:pPr>
    </w:p>
    <w:p w:rsidR="002C1123" w:rsidRDefault="00F22F94">
      <w:pPr>
        <w:spacing w:before="1"/>
        <w:ind w:left="838"/>
        <w:rPr>
          <w:sz w:val="16"/>
        </w:rPr>
      </w:pPr>
      <w:r>
        <w:rPr>
          <w:spacing w:val="-5"/>
          <w:w w:val="95"/>
          <w:sz w:val="16"/>
        </w:rPr>
        <w:t>3%</w:t>
      </w:r>
    </w:p>
    <w:p w:rsidR="002C1123" w:rsidRDefault="002C1123">
      <w:pPr>
        <w:pStyle w:val="BodyText"/>
        <w:rPr>
          <w:sz w:val="18"/>
        </w:rPr>
      </w:pPr>
    </w:p>
    <w:p w:rsidR="002C1123" w:rsidRDefault="002C1123">
      <w:pPr>
        <w:pStyle w:val="BodyText"/>
        <w:spacing w:before="8"/>
        <w:rPr>
          <w:sz w:val="15"/>
        </w:rPr>
      </w:pPr>
    </w:p>
    <w:p w:rsidR="002C1123" w:rsidRDefault="00F22F94">
      <w:pPr>
        <w:ind w:left="838"/>
        <w:rPr>
          <w:sz w:val="16"/>
        </w:rPr>
      </w:pPr>
      <w:r>
        <w:rPr>
          <w:spacing w:val="-5"/>
          <w:w w:val="95"/>
          <w:sz w:val="16"/>
        </w:rPr>
        <w:t>2%</w:t>
      </w:r>
    </w:p>
    <w:p w:rsidR="002C1123" w:rsidRDefault="002C1123">
      <w:pPr>
        <w:pStyle w:val="BodyText"/>
        <w:rPr>
          <w:sz w:val="18"/>
        </w:rPr>
      </w:pPr>
    </w:p>
    <w:p w:rsidR="002C1123" w:rsidRDefault="002C1123">
      <w:pPr>
        <w:pStyle w:val="BodyText"/>
        <w:spacing w:before="8"/>
        <w:rPr>
          <w:sz w:val="15"/>
        </w:rPr>
      </w:pPr>
    </w:p>
    <w:p w:rsidR="002C1123" w:rsidRDefault="002060EF">
      <w:pPr>
        <w:ind w:left="838"/>
        <w:rPr>
          <w:sz w:val="16"/>
        </w:rPr>
      </w:pPr>
      <w:r>
        <w:pict>
          <v:line id="_x0000_s5149" style="position:absolute;left:0;text-align:left;z-index:251223040;mso-position-horizontal-relative:page" from="342.65pt,4.55pt" to="540.4pt,4.55pt" strokecolor="#b2b1b3" strokeweight=".4pt">
            <w10:wrap anchorx="page"/>
          </v:line>
        </w:pict>
      </w:r>
      <w:r w:rsidR="00F22F94">
        <w:rPr>
          <w:spacing w:val="-5"/>
          <w:w w:val="95"/>
          <w:sz w:val="16"/>
        </w:rPr>
        <w:t>1%</w:t>
      </w:r>
    </w:p>
    <w:p w:rsidR="002C1123" w:rsidRDefault="002C1123">
      <w:pPr>
        <w:pStyle w:val="BodyText"/>
        <w:rPr>
          <w:sz w:val="18"/>
        </w:rPr>
      </w:pPr>
    </w:p>
    <w:p w:rsidR="002C1123" w:rsidRDefault="002C1123">
      <w:pPr>
        <w:pStyle w:val="BodyText"/>
        <w:spacing w:before="8"/>
        <w:rPr>
          <w:sz w:val="15"/>
        </w:rPr>
      </w:pPr>
    </w:p>
    <w:p w:rsidR="002C1123" w:rsidRDefault="002060EF">
      <w:pPr>
        <w:ind w:left="838"/>
        <w:rPr>
          <w:sz w:val="16"/>
        </w:rPr>
      </w:pPr>
      <w:r>
        <w:pict>
          <v:line id="_x0000_s5148" style="position:absolute;left:0;text-align:left;z-index:251222016;mso-position-horizontal-relative:page" from="342.65pt,4.55pt" to="540.4pt,4.55pt" strokecolor="#b2b1b3" strokeweight=".8pt">
            <w10:wrap anchorx="page"/>
          </v:line>
        </w:pict>
      </w:r>
      <w:r w:rsidR="00F22F94">
        <w:rPr>
          <w:spacing w:val="-5"/>
          <w:w w:val="95"/>
          <w:sz w:val="16"/>
        </w:rPr>
        <w:t>0%</w:t>
      </w:r>
    </w:p>
    <w:p w:rsidR="002C1123" w:rsidRDefault="00F22F94">
      <w:pPr>
        <w:pStyle w:val="BodyText"/>
        <w:spacing w:before="106" w:line="249" w:lineRule="auto"/>
        <w:ind w:left="502" w:right="625" w:hanging="23"/>
      </w:pPr>
      <w:r>
        <w:br w:type="column"/>
      </w:r>
      <w:r>
        <w:rPr>
          <w:w w:val="95"/>
        </w:rPr>
        <w:t>The</w:t>
      </w:r>
      <w:r>
        <w:rPr>
          <w:spacing w:val="-2"/>
          <w:w w:val="95"/>
        </w:rPr>
        <w:t xml:space="preserve"> </w:t>
      </w:r>
      <w:r>
        <w:rPr>
          <w:w w:val="95"/>
        </w:rPr>
        <w:t>question</w:t>
      </w:r>
      <w:r>
        <w:rPr>
          <w:spacing w:val="-2"/>
          <w:w w:val="95"/>
        </w:rPr>
        <w:t xml:space="preserve"> </w:t>
      </w:r>
      <w:r>
        <w:rPr>
          <w:w w:val="95"/>
        </w:rPr>
        <w:t>for</w:t>
      </w:r>
      <w:r>
        <w:rPr>
          <w:spacing w:val="-2"/>
          <w:w w:val="95"/>
        </w:rPr>
        <w:t xml:space="preserve"> </w:t>
      </w:r>
      <w:r>
        <w:rPr>
          <w:w w:val="95"/>
        </w:rPr>
        <w:t>NSW</w:t>
      </w:r>
      <w:r>
        <w:rPr>
          <w:spacing w:val="-2"/>
          <w:w w:val="95"/>
        </w:rPr>
        <w:t xml:space="preserve"> </w:t>
      </w:r>
      <w:r>
        <w:rPr>
          <w:w w:val="95"/>
        </w:rPr>
        <w:t>is:</w:t>
      </w:r>
      <w:r>
        <w:rPr>
          <w:spacing w:val="-2"/>
          <w:w w:val="95"/>
        </w:rPr>
        <w:t xml:space="preserve"> </w:t>
      </w:r>
      <w:r>
        <w:rPr>
          <w:w w:val="95"/>
        </w:rPr>
        <w:t>what</w:t>
      </w:r>
      <w:r>
        <w:rPr>
          <w:spacing w:val="-2"/>
          <w:w w:val="95"/>
        </w:rPr>
        <w:t xml:space="preserve"> </w:t>
      </w:r>
      <w:r>
        <w:rPr>
          <w:w w:val="95"/>
        </w:rPr>
        <w:t>is</w:t>
      </w:r>
      <w:r>
        <w:rPr>
          <w:spacing w:val="-2"/>
          <w:w w:val="95"/>
        </w:rPr>
        <w:t xml:space="preserve"> </w:t>
      </w:r>
      <w:r>
        <w:rPr>
          <w:w w:val="95"/>
        </w:rPr>
        <w:t>the</w:t>
      </w:r>
      <w:r>
        <w:rPr>
          <w:spacing w:val="-2"/>
          <w:w w:val="95"/>
        </w:rPr>
        <w:t xml:space="preserve"> </w:t>
      </w:r>
      <w:r>
        <w:rPr>
          <w:w w:val="95"/>
        </w:rPr>
        <w:t>right</w:t>
      </w:r>
      <w:r>
        <w:rPr>
          <w:spacing w:val="-2"/>
          <w:w w:val="95"/>
        </w:rPr>
        <w:t xml:space="preserve"> </w:t>
      </w:r>
      <w:r>
        <w:rPr>
          <w:w w:val="95"/>
        </w:rPr>
        <w:t>formula</w:t>
      </w:r>
      <w:r>
        <w:rPr>
          <w:spacing w:val="-2"/>
          <w:w w:val="95"/>
        </w:rPr>
        <w:t xml:space="preserve"> </w:t>
      </w:r>
      <w:r>
        <w:rPr>
          <w:w w:val="95"/>
        </w:rPr>
        <w:t>for ensuring</w:t>
      </w:r>
      <w:r>
        <w:rPr>
          <w:spacing w:val="-4"/>
          <w:w w:val="95"/>
        </w:rPr>
        <w:t xml:space="preserve"> </w:t>
      </w:r>
      <w:r>
        <w:rPr>
          <w:w w:val="95"/>
        </w:rPr>
        <w:t>that</w:t>
      </w:r>
      <w:r>
        <w:rPr>
          <w:spacing w:val="-4"/>
          <w:w w:val="95"/>
        </w:rPr>
        <w:t xml:space="preserve"> </w:t>
      </w:r>
      <w:r>
        <w:rPr>
          <w:w w:val="95"/>
        </w:rPr>
        <w:t>State</w:t>
      </w:r>
      <w:r>
        <w:rPr>
          <w:spacing w:val="-4"/>
          <w:w w:val="95"/>
        </w:rPr>
        <w:t xml:space="preserve"> </w:t>
      </w:r>
      <w:r>
        <w:rPr>
          <w:w w:val="95"/>
        </w:rPr>
        <w:t>infrastructure</w:t>
      </w:r>
      <w:r>
        <w:rPr>
          <w:spacing w:val="-4"/>
          <w:w w:val="95"/>
        </w:rPr>
        <w:t xml:space="preserve"> </w:t>
      </w:r>
      <w:r>
        <w:rPr>
          <w:w w:val="95"/>
        </w:rPr>
        <w:t>investment</w:t>
      </w:r>
      <w:r>
        <w:rPr>
          <w:spacing w:val="-4"/>
          <w:w w:val="95"/>
        </w:rPr>
        <w:t xml:space="preserve"> </w:t>
      </w:r>
      <w:r>
        <w:rPr>
          <w:w w:val="95"/>
        </w:rPr>
        <w:t>is</w:t>
      </w:r>
      <w:r>
        <w:rPr>
          <w:spacing w:val="-4"/>
          <w:w w:val="95"/>
        </w:rPr>
        <w:t xml:space="preserve"> </w:t>
      </w:r>
      <w:r>
        <w:rPr>
          <w:w w:val="95"/>
        </w:rPr>
        <w:t xml:space="preserve">worth </w:t>
      </w:r>
      <w:r>
        <w:t>every</w:t>
      </w:r>
      <w:r>
        <w:rPr>
          <w:spacing w:val="-11"/>
        </w:rPr>
        <w:t xml:space="preserve"> </w:t>
      </w:r>
      <w:r>
        <w:t>cent?</w:t>
      </w:r>
    </w:p>
    <w:p w:rsidR="002C1123" w:rsidRDefault="00F22F94">
      <w:pPr>
        <w:pStyle w:val="BodyText"/>
        <w:spacing w:before="144" w:line="249" w:lineRule="auto"/>
        <w:ind w:left="499" w:right="626" w:hanging="20"/>
      </w:pPr>
      <w:r>
        <w:rPr>
          <w:w w:val="95"/>
        </w:rPr>
        <w:t>The</w:t>
      </w:r>
      <w:r>
        <w:rPr>
          <w:spacing w:val="-3"/>
          <w:w w:val="95"/>
        </w:rPr>
        <w:t xml:space="preserve"> </w:t>
      </w:r>
      <w:r>
        <w:rPr>
          <w:w w:val="95"/>
        </w:rPr>
        <w:t>evidence</w:t>
      </w:r>
      <w:r>
        <w:rPr>
          <w:spacing w:val="-3"/>
          <w:w w:val="95"/>
        </w:rPr>
        <w:t xml:space="preserve"> </w:t>
      </w:r>
      <w:r>
        <w:rPr>
          <w:w w:val="95"/>
        </w:rPr>
        <w:t>is</w:t>
      </w:r>
      <w:r>
        <w:rPr>
          <w:spacing w:val="-3"/>
          <w:w w:val="95"/>
        </w:rPr>
        <w:t xml:space="preserve"> </w:t>
      </w:r>
      <w:r>
        <w:rPr>
          <w:w w:val="95"/>
        </w:rPr>
        <w:t>that</w:t>
      </w:r>
      <w:r>
        <w:rPr>
          <w:spacing w:val="-3"/>
          <w:w w:val="95"/>
        </w:rPr>
        <w:t xml:space="preserve"> </w:t>
      </w:r>
      <w:r>
        <w:rPr>
          <w:w w:val="95"/>
        </w:rPr>
        <w:t>infrastructure</w:t>
      </w:r>
      <w:r>
        <w:rPr>
          <w:spacing w:val="-3"/>
          <w:w w:val="95"/>
        </w:rPr>
        <w:t xml:space="preserve"> </w:t>
      </w:r>
      <w:r>
        <w:rPr>
          <w:w w:val="95"/>
        </w:rPr>
        <w:t>affects</w:t>
      </w:r>
      <w:r>
        <w:rPr>
          <w:spacing w:val="-3"/>
          <w:w w:val="95"/>
        </w:rPr>
        <w:t xml:space="preserve"> </w:t>
      </w:r>
      <w:r>
        <w:rPr>
          <w:w w:val="95"/>
        </w:rPr>
        <w:t xml:space="preserve">economic </w:t>
      </w:r>
      <w:r>
        <w:t>growth</w:t>
      </w:r>
      <w:r>
        <w:rPr>
          <w:spacing w:val="-11"/>
        </w:rPr>
        <w:t xml:space="preserve"> </w:t>
      </w:r>
      <w:r>
        <w:t>positively</w:t>
      </w:r>
      <w:r>
        <w:rPr>
          <w:spacing w:val="-11"/>
        </w:rPr>
        <w:t xml:space="preserve"> </w:t>
      </w:r>
      <w:r>
        <w:t>via</w:t>
      </w:r>
      <w:r>
        <w:rPr>
          <w:spacing w:val="-11"/>
        </w:rPr>
        <w:t xml:space="preserve"> </w:t>
      </w:r>
      <w:r>
        <w:t>the</w:t>
      </w:r>
      <w:r>
        <w:rPr>
          <w:spacing w:val="-11"/>
        </w:rPr>
        <w:t xml:space="preserve"> </w:t>
      </w:r>
      <w:r>
        <w:t>three</w:t>
      </w:r>
      <w:r>
        <w:rPr>
          <w:spacing w:val="-11"/>
        </w:rPr>
        <w:t xml:space="preserve"> </w:t>
      </w:r>
      <w:r>
        <w:t>‘Ps’:</w:t>
      </w:r>
      <w:r>
        <w:rPr>
          <w:spacing w:val="-11"/>
        </w:rPr>
        <w:t xml:space="preserve"> </w:t>
      </w:r>
      <w:r>
        <w:t>productivity, participation and population</w:t>
      </w:r>
      <w:r>
        <w:rPr>
          <w:position w:val="7"/>
          <w:sz w:val="11"/>
        </w:rPr>
        <w:t>3</w:t>
      </w:r>
      <w:r>
        <w:t>:</w:t>
      </w:r>
    </w:p>
    <w:p w:rsidR="002C1123" w:rsidRDefault="00F22F94">
      <w:pPr>
        <w:pStyle w:val="ListParagraph"/>
        <w:numPr>
          <w:ilvl w:val="0"/>
          <w:numId w:val="161"/>
        </w:numPr>
        <w:tabs>
          <w:tab w:val="left" w:pos="786"/>
        </w:tabs>
        <w:spacing w:before="132" w:line="249" w:lineRule="auto"/>
        <w:ind w:right="1060" w:hanging="315"/>
        <w:jc w:val="both"/>
        <w:rPr>
          <w:sz w:val="20"/>
        </w:rPr>
      </w:pPr>
      <w:r>
        <w:rPr>
          <w:w w:val="95"/>
          <w:sz w:val="20"/>
        </w:rPr>
        <w:t xml:space="preserve">Infrastructure directly affects productivity through reduced travel costs, better communications and </w:t>
      </w:r>
      <w:r>
        <w:rPr>
          <w:sz w:val="20"/>
        </w:rPr>
        <w:t>increased production capacity.</w:t>
      </w:r>
    </w:p>
    <w:p w:rsidR="002C1123" w:rsidRDefault="00F22F94">
      <w:pPr>
        <w:pStyle w:val="ListParagraph"/>
        <w:numPr>
          <w:ilvl w:val="0"/>
          <w:numId w:val="161"/>
        </w:numPr>
        <w:tabs>
          <w:tab w:val="left" w:pos="785"/>
          <w:tab w:val="left" w:pos="786"/>
        </w:tabs>
        <w:spacing w:before="131" w:line="249" w:lineRule="auto"/>
        <w:ind w:left="786" w:right="804" w:hanging="312"/>
        <w:rPr>
          <w:sz w:val="20"/>
        </w:rPr>
      </w:pPr>
      <w:r>
        <w:rPr>
          <w:sz w:val="20"/>
        </w:rPr>
        <w:t>Infrastructure</w:t>
      </w:r>
      <w:r>
        <w:rPr>
          <w:spacing w:val="-10"/>
          <w:sz w:val="20"/>
        </w:rPr>
        <w:t xml:space="preserve"> </w:t>
      </w:r>
      <w:r>
        <w:rPr>
          <w:sz w:val="20"/>
        </w:rPr>
        <w:t>affects</w:t>
      </w:r>
      <w:r>
        <w:rPr>
          <w:spacing w:val="-10"/>
          <w:sz w:val="20"/>
        </w:rPr>
        <w:t xml:space="preserve"> </w:t>
      </w:r>
      <w:r>
        <w:rPr>
          <w:sz w:val="20"/>
        </w:rPr>
        <w:t>participation</w:t>
      </w:r>
      <w:r>
        <w:rPr>
          <w:spacing w:val="-10"/>
          <w:sz w:val="20"/>
        </w:rPr>
        <w:t xml:space="preserve"> </w:t>
      </w:r>
      <w:r>
        <w:rPr>
          <w:sz w:val="20"/>
        </w:rPr>
        <w:t>by</w:t>
      </w:r>
      <w:r>
        <w:rPr>
          <w:spacing w:val="-10"/>
          <w:sz w:val="20"/>
        </w:rPr>
        <w:t xml:space="preserve"> </w:t>
      </w:r>
      <w:r>
        <w:rPr>
          <w:sz w:val="20"/>
        </w:rPr>
        <w:t xml:space="preserve">increasing </w:t>
      </w:r>
      <w:r>
        <w:rPr>
          <w:w w:val="95"/>
          <w:sz w:val="20"/>
        </w:rPr>
        <w:t xml:space="preserve">access to employment opportunities for people who </w:t>
      </w:r>
      <w:r>
        <w:rPr>
          <w:sz w:val="20"/>
        </w:rPr>
        <w:t>may</w:t>
      </w:r>
      <w:r>
        <w:rPr>
          <w:spacing w:val="-5"/>
          <w:sz w:val="20"/>
        </w:rPr>
        <w:t xml:space="preserve"> </w:t>
      </w:r>
      <w:r>
        <w:rPr>
          <w:sz w:val="20"/>
        </w:rPr>
        <w:t>not</w:t>
      </w:r>
      <w:r>
        <w:rPr>
          <w:spacing w:val="-5"/>
          <w:sz w:val="20"/>
        </w:rPr>
        <w:t xml:space="preserve"> </w:t>
      </w:r>
      <w:r>
        <w:rPr>
          <w:sz w:val="20"/>
        </w:rPr>
        <w:t>otherwise</w:t>
      </w:r>
      <w:r>
        <w:rPr>
          <w:spacing w:val="-5"/>
          <w:sz w:val="20"/>
        </w:rPr>
        <w:t xml:space="preserve"> </w:t>
      </w:r>
      <w:r>
        <w:rPr>
          <w:sz w:val="20"/>
        </w:rPr>
        <w:t>join</w:t>
      </w:r>
      <w:r>
        <w:rPr>
          <w:spacing w:val="-5"/>
          <w:sz w:val="20"/>
        </w:rPr>
        <w:t xml:space="preserve"> </w:t>
      </w:r>
      <w:r>
        <w:rPr>
          <w:sz w:val="20"/>
        </w:rPr>
        <w:t>the</w:t>
      </w:r>
      <w:r>
        <w:rPr>
          <w:spacing w:val="-5"/>
          <w:sz w:val="20"/>
        </w:rPr>
        <w:t xml:space="preserve"> </w:t>
      </w:r>
      <w:r>
        <w:rPr>
          <w:sz w:val="20"/>
        </w:rPr>
        <w:t>labour</w:t>
      </w:r>
      <w:r>
        <w:rPr>
          <w:spacing w:val="-5"/>
          <w:sz w:val="20"/>
        </w:rPr>
        <w:t xml:space="preserve"> </w:t>
      </w:r>
      <w:r>
        <w:rPr>
          <w:sz w:val="20"/>
        </w:rPr>
        <w:t>force.</w:t>
      </w:r>
    </w:p>
    <w:p w:rsidR="002C1123" w:rsidRDefault="002060EF">
      <w:pPr>
        <w:pStyle w:val="ListParagraph"/>
        <w:numPr>
          <w:ilvl w:val="0"/>
          <w:numId w:val="161"/>
        </w:numPr>
        <w:tabs>
          <w:tab w:val="left" w:pos="785"/>
          <w:tab w:val="left" w:pos="786"/>
        </w:tabs>
        <w:spacing w:before="127" w:line="249" w:lineRule="auto"/>
        <w:ind w:left="785" w:right="909" w:hanging="312"/>
        <w:rPr>
          <w:sz w:val="20"/>
        </w:rPr>
      </w:pPr>
      <w:r>
        <w:pict>
          <v:line id="_x0000_s5147" style="position:absolute;left:0;text-align:left;z-index:251226112;mso-position-horizontal-relative:page" from="432.05pt,36pt" to="449.05pt,36pt" strokecolor="#2e3092" strokeweight="1.058mm">
            <w10:wrap anchorx="page"/>
          </v:line>
        </w:pict>
      </w:r>
      <w:r>
        <w:pict>
          <v:line id="_x0000_s5146" style="position:absolute;left:0;text-align:left;z-index:251227136;mso-position-horizontal-relative:page" from="368.85pt,36pt" to="385.85pt,36pt" strokecolor="#00aeef" strokeweight="1.058mm">
            <w10:wrap anchorx="page"/>
          </v:line>
        </w:pict>
      </w:r>
      <w:r>
        <w:pict>
          <v:shape id="docshape153" o:spid="_x0000_s5145" type="#_x0000_t202" style="position:absolute;left:0;text-align:left;margin-left:339pt;margin-top:5pt;width:202.25pt;height:17.4pt;z-index:251231232;mso-position-horizontal-relative:page" filled="f" stroked="f">
            <v:textbox style="layout-flow:vertical;mso-layout-flow-alt:bottom-to-top" inset="0,0,0,0">
              <w:txbxContent>
                <w:p w:rsidR="00F22F94" w:rsidRDefault="00F22F94">
                  <w:pPr>
                    <w:spacing w:before="18"/>
                    <w:ind w:left="20"/>
                    <w:rPr>
                      <w:sz w:val="16"/>
                    </w:rPr>
                  </w:pPr>
                  <w:r>
                    <w:rPr>
                      <w:spacing w:val="-4"/>
                      <w:w w:val="90"/>
                      <w:sz w:val="16"/>
                    </w:rPr>
                    <w:t>1991</w:t>
                  </w:r>
                </w:p>
                <w:p w:rsidR="00F22F94" w:rsidRDefault="00F22F94">
                  <w:pPr>
                    <w:spacing w:before="7"/>
                    <w:ind w:left="20"/>
                    <w:rPr>
                      <w:sz w:val="16"/>
                    </w:rPr>
                  </w:pPr>
                  <w:r>
                    <w:rPr>
                      <w:spacing w:val="-4"/>
                      <w:w w:val="90"/>
                      <w:sz w:val="16"/>
                    </w:rPr>
                    <w:t>1992</w:t>
                  </w:r>
                </w:p>
                <w:p w:rsidR="00F22F94" w:rsidRDefault="00F22F94">
                  <w:pPr>
                    <w:spacing w:before="7"/>
                    <w:ind w:left="20"/>
                    <w:rPr>
                      <w:sz w:val="16"/>
                    </w:rPr>
                  </w:pPr>
                  <w:r>
                    <w:rPr>
                      <w:spacing w:val="-4"/>
                      <w:w w:val="90"/>
                      <w:sz w:val="16"/>
                    </w:rPr>
                    <w:t>1993</w:t>
                  </w:r>
                </w:p>
                <w:p w:rsidR="00F22F94" w:rsidRDefault="00F22F94">
                  <w:pPr>
                    <w:spacing w:before="7"/>
                    <w:ind w:left="20"/>
                    <w:rPr>
                      <w:sz w:val="16"/>
                    </w:rPr>
                  </w:pPr>
                  <w:r>
                    <w:rPr>
                      <w:spacing w:val="-4"/>
                      <w:w w:val="90"/>
                      <w:sz w:val="16"/>
                    </w:rPr>
                    <w:t>1994</w:t>
                  </w:r>
                </w:p>
                <w:p w:rsidR="00F22F94" w:rsidRDefault="00F22F94">
                  <w:pPr>
                    <w:spacing w:before="8"/>
                    <w:ind w:left="20"/>
                    <w:rPr>
                      <w:sz w:val="16"/>
                    </w:rPr>
                  </w:pPr>
                  <w:r>
                    <w:rPr>
                      <w:spacing w:val="-4"/>
                      <w:w w:val="90"/>
                      <w:sz w:val="16"/>
                    </w:rPr>
                    <w:t>1995</w:t>
                  </w:r>
                </w:p>
                <w:p w:rsidR="00F22F94" w:rsidRDefault="00F22F94">
                  <w:pPr>
                    <w:spacing w:before="7"/>
                    <w:ind w:left="20"/>
                    <w:rPr>
                      <w:sz w:val="16"/>
                    </w:rPr>
                  </w:pPr>
                  <w:r>
                    <w:rPr>
                      <w:spacing w:val="-4"/>
                      <w:w w:val="90"/>
                      <w:sz w:val="16"/>
                    </w:rPr>
                    <w:t>1996</w:t>
                  </w:r>
                </w:p>
                <w:p w:rsidR="00F22F94" w:rsidRDefault="00F22F94">
                  <w:pPr>
                    <w:spacing w:before="7"/>
                    <w:ind w:left="20"/>
                    <w:rPr>
                      <w:sz w:val="16"/>
                    </w:rPr>
                  </w:pPr>
                  <w:r>
                    <w:rPr>
                      <w:spacing w:val="-4"/>
                      <w:w w:val="90"/>
                      <w:sz w:val="16"/>
                    </w:rPr>
                    <w:t>1997</w:t>
                  </w:r>
                </w:p>
                <w:p w:rsidR="00F22F94" w:rsidRDefault="00F22F94">
                  <w:pPr>
                    <w:spacing w:before="7"/>
                    <w:ind w:left="20"/>
                    <w:rPr>
                      <w:sz w:val="16"/>
                    </w:rPr>
                  </w:pPr>
                  <w:r>
                    <w:rPr>
                      <w:spacing w:val="-4"/>
                      <w:w w:val="90"/>
                      <w:sz w:val="16"/>
                    </w:rPr>
                    <w:t>1998</w:t>
                  </w:r>
                </w:p>
                <w:p w:rsidR="00F22F94" w:rsidRDefault="00F22F94">
                  <w:pPr>
                    <w:spacing w:before="7"/>
                    <w:ind w:left="20"/>
                    <w:rPr>
                      <w:sz w:val="16"/>
                    </w:rPr>
                  </w:pPr>
                  <w:r>
                    <w:rPr>
                      <w:spacing w:val="-4"/>
                      <w:w w:val="90"/>
                      <w:sz w:val="16"/>
                    </w:rPr>
                    <w:t>1999</w:t>
                  </w:r>
                </w:p>
                <w:p w:rsidR="00F22F94" w:rsidRDefault="00F22F94">
                  <w:pPr>
                    <w:spacing w:before="8"/>
                    <w:ind w:left="20"/>
                    <w:rPr>
                      <w:sz w:val="16"/>
                    </w:rPr>
                  </w:pPr>
                  <w:r>
                    <w:rPr>
                      <w:spacing w:val="-4"/>
                      <w:w w:val="90"/>
                      <w:sz w:val="16"/>
                    </w:rPr>
                    <w:t>2000</w:t>
                  </w:r>
                </w:p>
                <w:p w:rsidR="00F22F94" w:rsidRDefault="00F22F94">
                  <w:pPr>
                    <w:spacing w:before="7"/>
                    <w:ind w:left="20"/>
                    <w:rPr>
                      <w:sz w:val="16"/>
                    </w:rPr>
                  </w:pPr>
                  <w:r>
                    <w:rPr>
                      <w:spacing w:val="-4"/>
                      <w:w w:val="90"/>
                      <w:sz w:val="16"/>
                    </w:rPr>
                    <w:t>2001</w:t>
                  </w:r>
                </w:p>
                <w:p w:rsidR="00F22F94" w:rsidRDefault="00F22F94">
                  <w:pPr>
                    <w:spacing w:before="7"/>
                    <w:ind w:left="20"/>
                    <w:rPr>
                      <w:sz w:val="16"/>
                    </w:rPr>
                  </w:pPr>
                  <w:r>
                    <w:rPr>
                      <w:spacing w:val="-4"/>
                      <w:w w:val="90"/>
                      <w:sz w:val="16"/>
                    </w:rPr>
                    <w:t>2002</w:t>
                  </w:r>
                </w:p>
                <w:p w:rsidR="00F22F94" w:rsidRDefault="00F22F94">
                  <w:pPr>
                    <w:spacing w:before="7"/>
                    <w:ind w:left="20"/>
                    <w:rPr>
                      <w:sz w:val="16"/>
                    </w:rPr>
                  </w:pPr>
                  <w:r>
                    <w:rPr>
                      <w:spacing w:val="-4"/>
                      <w:w w:val="90"/>
                      <w:sz w:val="16"/>
                    </w:rPr>
                    <w:t>2003</w:t>
                  </w:r>
                </w:p>
                <w:p w:rsidR="00F22F94" w:rsidRDefault="00F22F94">
                  <w:pPr>
                    <w:spacing w:before="7"/>
                    <w:ind w:left="20"/>
                    <w:rPr>
                      <w:sz w:val="16"/>
                    </w:rPr>
                  </w:pPr>
                  <w:r>
                    <w:rPr>
                      <w:spacing w:val="-4"/>
                      <w:w w:val="90"/>
                      <w:sz w:val="16"/>
                    </w:rPr>
                    <w:t>2004</w:t>
                  </w:r>
                </w:p>
                <w:p w:rsidR="00F22F94" w:rsidRDefault="00F22F94">
                  <w:pPr>
                    <w:spacing w:before="7"/>
                    <w:ind w:left="20"/>
                    <w:rPr>
                      <w:sz w:val="16"/>
                    </w:rPr>
                  </w:pPr>
                  <w:r>
                    <w:rPr>
                      <w:spacing w:val="-4"/>
                      <w:w w:val="90"/>
                      <w:sz w:val="16"/>
                    </w:rPr>
                    <w:t>2005</w:t>
                  </w:r>
                </w:p>
                <w:p w:rsidR="00F22F94" w:rsidRDefault="00F22F94">
                  <w:pPr>
                    <w:spacing w:before="8"/>
                    <w:ind w:left="20"/>
                    <w:rPr>
                      <w:sz w:val="16"/>
                    </w:rPr>
                  </w:pPr>
                  <w:r>
                    <w:rPr>
                      <w:spacing w:val="-4"/>
                      <w:w w:val="90"/>
                      <w:sz w:val="16"/>
                    </w:rPr>
                    <w:t>2006</w:t>
                  </w:r>
                </w:p>
                <w:p w:rsidR="00F22F94" w:rsidRDefault="00F22F94">
                  <w:pPr>
                    <w:spacing w:before="7"/>
                    <w:ind w:left="20"/>
                    <w:rPr>
                      <w:sz w:val="16"/>
                    </w:rPr>
                  </w:pPr>
                  <w:r>
                    <w:rPr>
                      <w:spacing w:val="-4"/>
                      <w:w w:val="90"/>
                      <w:sz w:val="16"/>
                    </w:rPr>
                    <w:t>2007</w:t>
                  </w:r>
                </w:p>
                <w:p w:rsidR="00F22F94" w:rsidRDefault="00F22F94">
                  <w:pPr>
                    <w:spacing w:before="7"/>
                    <w:ind w:left="20"/>
                    <w:rPr>
                      <w:sz w:val="16"/>
                    </w:rPr>
                  </w:pPr>
                  <w:r>
                    <w:rPr>
                      <w:spacing w:val="-4"/>
                      <w:w w:val="90"/>
                      <w:sz w:val="16"/>
                    </w:rPr>
                    <w:t>2008</w:t>
                  </w:r>
                </w:p>
                <w:p w:rsidR="00F22F94" w:rsidRDefault="00F22F94">
                  <w:pPr>
                    <w:spacing w:before="7"/>
                    <w:ind w:left="20"/>
                    <w:rPr>
                      <w:sz w:val="16"/>
                    </w:rPr>
                  </w:pPr>
                  <w:r>
                    <w:rPr>
                      <w:spacing w:val="-4"/>
                      <w:w w:val="90"/>
                      <w:sz w:val="16"/>
                    </w:rPr>
                    <w:t>2009</w:t>
                  </w:r>
                </w:p>
                <w:p w:rsidR="00F22F94" w:rsidRDefault="00F22F94">
                  <w:pPr>
                    <w:spacing w:before="7"/>
                    <w:ind w:left="20"/>
                    <w:rPr>
                      <w:sz w:val="16"/>
                    </w:rPr>
                  </w:pPr>
                  <w:r>
                    <w:rPr>
                      <w:spacing w:val="-4"/>
                      <w:w w:val="90"/>
                      <w:sz w:val="16"/>
                    </w:rPr>
                    <w:t>2010</w:t>
                  </w:r>
                </w:p>
                <w:p w:rsidR="00F22F94" w:rsidRDefault="00F22F94">
                  <w:pPr>
                    <w:spacing w:before="8"/>
                    <w:ind w:left="20"/>
                    <w:rPr>
                      <w:sz w:val="16"/>
                    </w:rPr>
                  </w:pPr>
                  <w:r>
                    <w:rPr>
                      <w:spacing w:val="-4"/>
                      <w:w w:val="90"/>
                      <w:sz w:val="16"/>
                    </w:rPr>
                    <w:t>2011</w:t>
                  </w:r>
                </w:p>
              </w:txbxContent>
            </v:textbox>
            <w10:wrap anchorx="page"/>
          </v:shape>
        </w:pict>
      </w:r>
      <w:r w:rsidR="00F22F94">
        <w:rPr>
          <w:w w:val="95"/>
          <w:sz w:val="20"/>
        </w:rPr>
        <w:t>Infrastructure</w:t>
      </w:r>
      <w:r w:rsidR="00F22F94">
        <w:rPr>
          <w:spacing w:val="-1"/>
          <w:w w:val="95"/>
          <w:sz w:val="20"/>
        </w:rPr>
        <w:t xml:space="preserve"> </w:t>
      </w:r>
      <w:r w:rsidR="00F22F94">
        <w:rPr>
          <w:w w:val="95"/>
          <w:sz w:val="20"/>
        </w:rPr>
        <w:t>affects</w:t>
      </w:r>
      <w:r w:rsidR="00F22F94">
        <w:rPr>
          <w:spacing w:val="-1"/>
          <w:w w:val="95"/>
          <w:sz w:val="20"/>
        </w:rPr>
        <w:t xml:space="preserve"> </w:t>
      </w:r>
      <w:r w:rsidR="00F22F94">
        <w:rPr>
          <w:w w:val="95"/>
          <w:sz w:val="20"/>
        </w:rPr>
        <w:t>population</w:t>
      </w:r>
      <w:r w:rsidR="00F22F94">
        <w:rPr>
          <w:spacing w:val="-1"/>
          <w:w w:val="95"/>
          <w:sz w:val="20"/>
        </w:rPr>
        <w:t xml:space="preserve"> </w:t>
      </w:r>
      <w:r w:rsidR="00F22F94">
        <w:rPr>
          <w:w w:val="95"/>
          <w:sz w:val="20"/>
        </w:rPr>
        <w:t>flows</w:t>
      </w:r>
      <w:r w:rsidR="00F22F94">
        <w:rPr>
          <w:spacing w:val="-1"/>
          <w:w w:val="95"/>
          <w:sz w:val="20"/>
        </w:rPr>
        <w:t xml:space="preserve"> </w:t>
      </w:r>
      <w:r w:rsidR="00F22F94">
        <w:rPr>
          <w:w w:val="95"/>
          <w:sz w:val="20"/>
        </w:rPr>
        <w:t>by</w:t>
      </w:r>
      <w:r w:rsidR="00F22F94">
        <w:rPr>
          <w:spacing w:val="-1"/>
          <w:w w:val="95"/>
          <w:sz w:val="20"/>
        </w:rPr>
        <w:t xml:space="preserve"> </w:t>
      </w:r>
      <w:r w:rsidR="00F22F94">
        <w:rPr>
          <w:w w:val="95"/>
          <w:sz w:val="20"/>
        </w:rPr>
        <w:t xml:space="preserve">improving </w:t>
      </w:r>
      <w:r w:rsidR="00F22F94">
        <w:rPr>
          <w:sz w:val="20"/>
        </w:rPr>
        <w:t>the</w:t>
      </w:r>
      <w:r w:rsidR="00F22F94">
        <w:rPr>
          <w:spacing w:val="-14"/>
          <w:sz w:val="20"/>
        </w:rPr>
        <w:t xml:space="preserve"> </w:t>
      </w:r>
      <w:r w:rsidR="00F22F94">
        <w:rPr>
          <w:sz w:val="20"/>
        </w:rPr>
        <w:t>quality</w:t>
      </w:r>
      <w:r w:rsidR="00F22F94">
        <w:rPr>
          <w:spacing w:val="-14"/>
          <w:sz w:val="20"/>
        </w:rPr>
        <w:t xml:space="preserve"> </w:t>
      </w:r>
      <w:r w:rsidR="00F22F94">
        <w:rPr>
          <w:sz w:val="20"/>
        </w:rPr>
        <w:t>of</w:t>
      </w:r>
      <w:r w:rsidR="00F22F94">
        <w:rPr>
          <w:spacing w:val="-14"/>
          <w:sz w:val="20"/>
        </w:rPr>
        <w:t xml:space="preserve"> </w:t>
      </w:r>
      <w:r w:rsidR="00F22F94">
        <w:rPr>
          <w:sz w:val="20"/>
        </w:rPr>
        <w:t>life</w:t>
      </w:r>
      <w:r w:rsidR="00F22F94">
        <w:rPr>
          <w:spacing w:val="-14"/>
          <w:sz w:val="20"/>
        </w:rPr>
        <w:t xml:space="preserve"> </w:t>
      </w:r>
      <w:r w:rsidR="00F22F94">
        <w:rPr>
          <w:sz w:val="20"/>
        </w:rPr>
        <w:t>and</w:t>
      </w:r>
      <w:r w:rsidR="00F22F94">
        <w:rPr>
          <w:spacing w:val="-13"/>
          <w:sz w:val="20"/>
        </w:rPr>
        <w:t xml:space="preserve"> </w:t>
      </w:r>
      <w:r w:rsidR="00F22F94">
        <w:rPr>
          <w:sz w:val="20"/>
        </w:rPr>
        <w:t>encouraging</w:t>
      </w:r>
      <w:r w:rsidR="00F22F94">
        <w:rPr>
          <w:spacing w:val="-14"/>
          <w:sz w:val="20"/>
        </w:rPr>
        <w:t xml:space="preserve"> </w:t>
      </w:r>
      <w:r w:rsidR="00F22F94">
        <w:rPr>
          <w:sz w:val="20"/>
        </w:rPr>
        <w:t>more</w:t>
      </w:r>
      <w:r w:rsidR="00F22F94">
        <w:rPr>
          <w:spacing w:val="-14"/>
          <w:sz w:val="20"/>
        </w:rPr>
        <w:t xml:space="preserve"> </w:t>
      </w:r>
      <w:r w:rsidR="00F22F94">
        <w:rPr>
          <w:sz w:val="20"/>
        </w:rPr>
        <w:t>people</w:t>
      </w:r>
      <w:r w:rsidR="00F22F94">
        <w:rPr>
          <w:spacing w:val="-14"/>
          <w:sz w:val="20"/>
        </w:rPr>
        <w:t xml:space="preserve"> </w:t>
      </w:r>
      <w:r w:rsidR="00F22F94">
        <w:rPr>
          <w:sz w:val="20"/>
        </w:rPr>
        <w:t>to</w:t>
      </w:r>
    </w:p>
    <w:p w:rsidR="002C1123" w:rsidRDefault="002C1123">
      <w:pPr>
        <w:spacing w:line="249" w:lineRule="auto"/>
        <w:rPr>
          <w:sz w:val="20"/>
        </w:rPr>
        <w:sectPr w:rsidR="002C1123">
          <w:type w:val="continuous"/>
          <w:pgSz w:w="16840" w:h="11910" w:orient="landscape"/>
          <w:pgMar w:top="560" w:right="280" w:bottom="280" w:left="500" w:header="0" w:footer="517" w:gutter="0"/>
          <w:cols w:num="3" w:space="720" w:equalWidth="0">
            <w:col w:w="5141" w:space="40"/>
            <w:col w:w="4708" w:space="163"/>
            <w:col w:w="6008"/>
          </w:cols>
        </w:sectPr>
      </w:pPr>
    </w:p>
    <w:p w:rsidR="002C1123" w:rsidRDefault="002060EF">
      <w:pPr>
        <w:tabs>
          <w:tab w:val="left" w:pos="5943"/>
        </w:tabs>
        <w:spacing w:line="193" w:lineRule="exact"/>
        <w:ind w:left="991"/>
        <w:rPr>
          <w:sz w:val="16"/>
        </w:rPr>
      </w:pPr>
      <w:r>
        <w:pict>
          <v:line id="_x0000_s5144" style="position:absolute;left:0;text-align:left;z-index:-251534336;mso-position-horizontal-relative:page" from="300.95pt,5.1pt" to="317.95pt,5.1pt" strokecolor="#f47920" strokeweight="1.058mm">
            <w10:wrap anchorx="page"/>
          </v:line>
        </w:pict>
      </w:r>
      <w:r w:rsidR="00F22F94">
        <w:rPr>
          <w:spacing w:val="-5"/>
          <w:w w:val="90"/>
          <w:position w:val="6"/>
          <w:sz w:val="16"/>
        </w:rPr>
        <w:t>2%</w:t>
      </w:r>
      <w:r w:rsidR="00F22F94">
        <w:rPr>
          <w:position w:val="6"/>
          <w:sz w:val="16"/>
        </w:rPr>
        <w:tab/>
      </w:r>
      <w:r w:rsidR="00F22F94">
        <w:rPr>
          <w:spacing w:val="-5"/>
          <w:w w:val="85"/>
          <w:sz w:val="16"/>
        </w:rPr>
        <w:t>NSW</w:t>
      </w:r>
    </w:p>
    <w:p w:rsidR="002C1123" w:rsidRDefault="00F22F94">
      <w:pPr>
        <w:spacing w:before="9"/>
        <w:ind w:right="38"/>
        <w:jc w:val="right"/>
        <w:rPr>
          <w:sz w:val="16"/>
        </w:rPr>
      </w:pPr>
      <w:r>
        <w:br w:type="column"/>
      </w:r>
      <w:r>
        <w:rPr>
          <w:spacing w:val="-5"/>
          <w:w w:val="80"/>
          <w:sz w:val="16"/>
        </w:rPr>
        <w:t>VIC</w:t>
      </w:r>
    </w:p>
    <w:p w:rsidR="002C1123" w:rsidRDefault="00F22F94">
      <w:pPr>
        <w:spacing w:before="9"/>
        <w:ind w:left="991"/>
        <w:rPr>
          <w:sz w:val="16"/>
        </w:rPr>
      </w:pPr>
      <w:r>
        <w:br w:type="column"/>
      </w:r>
      <w:r>
        <w:rPr>
          <w:w w:val="75"/>
          <w:sz w:val="16"/>
        </w:rPr>
        <w:t>AUS</w:t>
      </w:r>
      <w:r>
        <w:rPr>
          <w:spacing w:val="-11"/>
          <w:sz w:val="16"/>
        </w:rPr>
        <w:t xml:space="preserve"> </w:t>
      </w:r>
      <w:r>
        <w:rPr>
          <w:w w:val="75"/>
          <w:sz w:val="16"/>
        </w:rPr>
        <w:t>excl</w:t>
      </w:r>
      <w:r>
        <w:rPr>
          <w:spacing w:val="-11"/>
          <w:sz w:val="16"/>
        </w:rPr>
        <w:t xml:space="preserve"> </w:t>
      </w:r>
      <w:r>
        <w:rPr>
          <w:spacing w:val="-5"/>
          <w:w w:val="75"/>
          <w:sz w:val="16"/>
        </w:rPr>
        <w:t>NSW</w:t>
      </w:r>
    </w:p>
    <w:p w:rsidR="002C1123" w:rsidRDefault="00F22F94">
      <w:pPr>
        <w:pStyle w:val="BodyText"/>
        <w:spacing w:before="6" w:line="225" w:lineRule="exact"/>
        <w:ind w:left="1011" w:right="964"/>
        <w:jc w:val="center"/>
      </w:pPr>
      <w:r>
        <w:br w:type="column"/>
      </w:r>
      <w:r>
        <w:rPr>
          <w:w w:val="95"/>
        </w:rPr>
        <w:t>remain</w:t>
      </w:r>
      <w:r>
        <w:rPr>
          <w:spacing w:val="-8"/>
          <w:w w:val="95"/>
        </w:rPr>
        <w:t xml:space="preserve"> </w:t>
      </w:r>
      <w:r>
        <w:rPr>
          <w:w w:val="95"/>
        </w:rPr>
        <w:t>in</w:t>
      </w:r>
      <w:r>
        <w:rPr>
          <w:spacing w:val="-8"/>
          <w:w w:val="95"/>
        </w:rPr>
        <w:t xml:space="preserve"> </w:t>
      </w:r>
      <w:r>
        <w:rPr>
          <w:w w:val="95"/>
        </w:rPr>
        <w:t>NSW,</w:t>
      </w:r>
      <w:r>
        <w:rPr>
          <w:spacing w:val="-8"/>
          <w:w w:val="95"/>
        </w:rPr>
        <w:t xml:space="preserve"> </w:t>
      </w:r>
      <w:r>
        <w:rPr>
          <w:w w:val="95"/>
        </w:rPr>
        <w:t>which</w:t>
      </w:r>
      <w:r>
        <w:rPr>
          <w:spacing w:val="-7"/>
          <w:w w:val="95"/>
        </w:rPr>
        <w:t xml:space="preserve"> </w:t>
      </w:r>
      <w:r>
        <w:rPr>
          <w:w w:val="95"/>
        </w:rPr>
        <w:t>facilitates</w:t>
      </w:r>
      <w:r>
        <w:rPr>
          <w:spacing w:val="-8"/>
          <w:w w:val="95"/>
        </w:rPr>
        <w:t xml:space="preserve"> </w:t>
      </w:r>
      <w:r>
        <w:rPr>
          <w:w w:val="95"/>
        </w:rPr>
        <w:t>economic</w:t>
      </w:r>
      <w:r>
        <w:rPr>
          <w:spacing w:val="-8"/>
          <w:w w:val="95"/>
        </w:rPr>
        <w:t xml:space="preserve"> </w:t>
      </w:r>
      <w:r>
        <w:rPr>
          <w:spacing w:val="-2"/>
          <w:w w:val="95"/>
        </w:rPr>
        <w:t>growth.</w:t>
      </w:r>
    </w:p>
    <w:p w:rsidR="002C1123" w:rsidRDefault="002C1123">
      <w:pPr>
        <w:spacing w:line="225" w:lineRule="exact"/>
        <w:jc w:val="center"/>
        <w:sectPr w:rsidR="002C1123">
          <w:type w:val="continuous"/>
          <w:pgSz w:w="16840" w:h="11910" w:orient="landscape"/>
          <w:pgMar w:top="560" w:right="280" w:bottom="280" w:left="500" w:header="0" w:footer="517" w:gutter="0"/>
          <w:cols w:num="4" w:space="720" w:equalWidth="0">
            <w:col w:w="6263" w:space="47"/>
            <w:col w:w="1219" w:space="45"/>
            <w:col w:w="1846" w:space="429"/>
            <w:col w:w="6211"/>
          </w:cols>
        </w:sectPr>
      </w:pPr>
    </w:p>
    <w:p w:rsidR="002C1123" w:rsidRDefault="002C1123">
      <w:pPr>
        <w:pStyle w:val="BodyText"/>
        <w:spacing w:before="1"/>
        <w:rPr>
          <w:sz w:val="26"/>
        </w:rPr>
      </w:pPr>
    </w:p>
    <w:p w:rsidR="002C1123" w:rsidRDefault="00F22F94">
      <w:pPr>
        <w:spacing w:before="1"/>
        <w:ind w:left="991"/>
        <w:rPr>
          <w:sz w:val="16"/>
        </w:rPr>
      </w:pPr>
      <w:r>
        <w:rPr>
          <w:spacing w:val="-5"/>
          <w:w w:val="95"/>
          <w:sz w:val="16"/>
        </w:rPr>
        <w:t>1%</w:t>
      </w:r>
    </w:p>
    <w:p w:rsidR="002C1123" w:rsidRDefault="002C1123">
      <w:pPr>
        <w:pStyle w:val="BodyText"/>
        <w:rPr>
          <w:sz w:val="18"/>
        </w:rPr>
      </w:pPr>
    </w:p>
    <w:p w:rsidR="002C1123" w:rsidRDefault="002C1123">
      <w:pPr>
        <w:pStyle w:val="BodyText"/>
        <w:spacing w:before="8"/>
        <w:rPr>
          <w:sz w:val="16"/>
        </w:rPr>
      </w:pPr>
    </w:p>
    <w:p w:rsidR="002C1123" w:rsidRDefault="00F22F94">
      <w:pPr>
        <w:ind w:left="991"/>
        <w:rPr>
          <w:sz w:val="16"/>
        </w:rPr>
      </w:pPr>
      <w:r>
        <w:rPr>
          <w:spacing w:val="-5"/>
          <w:w w:val="95"/>
          <w:sz w:val="16"/>
        </w:rPr>
        <w:t>0%</w:t>
      </w:r>
    </w:p>
    <w:p w:rsidR="002C1123" w:rsidRDefault="002C1123">
      <w:pPr>
        <w:pStyle w:val="BodyText"/>
        <w:rPr>
          <w:sz w:val="18"/>
        </w:rPr>
      </w:pPr>
    </w:p>
    <w:p w:rsidR="002C1123" w:rsidRDefault="002C1123">
      <w:pPr>
        <w:pStyle w:val="BodyText"/>
        <w:rPr>
          <w:sz w:val="25"/>
        </w:rPr>
      </w:pPr>
    </w:p>
    <w:p w:rsidR="002C1123" w:rsidRDefault="002060EF">
      <w:pPr>
        <w:ind w:left="917"/>
        <w:rPr>
          <w:sz w:val="16"/>
        </w:rPr>
      </w:pPr>
      <w:r>
        <w:pict>
          <v:line id="_x0000_s5143" style="position:absolute;left:0;text-align:left;z-index:251220992;mso-position-horizontal-relative:page" from="49.6pt,4.65pt" to="66.6pt,4.65pt" strokecolor="#f47920" strokeweight="3pt">
            <w10:wrap anchorx="page"/>
          </v:line>
        </w:pict>
      </w:r>
      <w:r w:rsidR="00F22F94">
        <w:rPr>
          <w:w w:val="75"/>
          <w:sz w:val="16"/>
        </w:rPr>
        <w:t>NSW</w:t>
      </w:r>
      <w:r w:rsidR="00F22F94">
        <w:rPr>
          <w:spacing w:val="-5"/>
          <w:w w:val="85"/>
          <w:sz w:val="16"/>
        </w:rPr>
        <w:t xml:space="preserve"> </w:t>
      </w:r>
      <w:r w:rsidR="00F22F94">
        <w:rPr>
          <w:spacing w:val="-7"/>
          <w:w w:val="85"/>
          <w:sz w:val="16"/>
        </w:rPr>
        <w:t>(32%)</w:t>
      </w:r>
    </w:p>
    <w:p w:rsidR="002C1123" w:rsidRDefault="00F22F94">
      <w:pPr>
        <w:rPr>
          <w:sz w:val="18"/>
        </w:rPr>
      </w:pPr>
      <w:r>
        <w:br w:type="column"/>
      </w: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060EF">
      <w:pPr>
        <w:spacing w:before="114"/>
        <w:ind w:left="661"/>
        <w:rPr>
          <w:sz w:val="16"/>
        </w:rPr>
      </w:pPr>
      <w:r>
        <w:pict>
          <v:line id="_x0000_s5142" style="position:absolute;left:0;text-align:left;z-index:251219968;mso-position-horizontal-relative:page" from="117.5pt,10.35pt" to="134.5pt,10.35pt" strokecolor="#00aeef" strokeweight="3pt">
            <w10:wrap anchorx="page"/>
          </v:line>
        </w:pict>
      </w:r>
      <w:r w:rsidR="00F22F94">
        <w:rPr>
          <w:w w:val="70"/>
          <w:sz w:val="16"/>
        </w:rPr>
        <w:t>VIC</w:t>
      </w:r>
      <w:r w:rsidR="00F22F94">
        <w:rPr>
          <w:spacing w:val="-1"/>
          <w:w w:val="80"/>
          <w:sz w:val="16"/>
        </w:rPr>
        <w:t xml:space="preserve"> </w:t>
      </w:r>
      <w:r w:rsidR="00F22F94">
        <w:rPr>
          <w:spacing w:val="-2"/>
          <w:w w:val="80"/>
          <w:sz w:val="16"/>
        </w:rPr>
        <w:t>(23%)</w:t>
      </w:r>
    </w:p>
    <w:p w:rsidR="002C1123" w:rsidRDefault="00F22F94">
      <w:pPr>
        <w:rPr>
          <w:sz w:val="14"/>
        </w:rPr>
      </w:pPr>
      <w:r>
        <w:br w:type="column"/>
      </w:r>
    </w:p>
    <w:p w:rsidR="002C1123" w:rsidRDefault="002C1123">
      <w:pPr>
        <w:pStyle w:val="BodyText"/>
        <w:rPr>
          <w:sz w:val="14"/>
        </w:rPr>
      </w:pPr>
    </w:p>
    <w:p w:rsidR="002C1123" w:rsidRDefault="002C1123">
      <w:pPr>
        <w:pStyle w:val="BodyText"/>
        <w:rPr>
          <w:sz w:val="14"/>
        </w:rPr>
      </w:pPr>
    </w:p>
    <w:p w:rsidR="002C1123" w:rsidRDefault="002C1123">
      <w:pPr>
        <w:pStyle w:val="BodyText"/>
        <w:spacing w:before="9"/>
        <w:rPr>
          <w:sz w:val="13"/>
        </w:rPr>
      </w:pPr>
    </w:p>
    <w:p w:rsidR="002C1123" w:rsidRDefault="00F22F94">
      <w:pPr>
        <w:ind w:left="304"/>
        <w:rPr>
          <w:sz w:val="12"/>
        </w:rPr>
      </w:pPr>
      <w:r>
        <w:rPr>
          <w:w w:val="80"/>
          <w:sz w:val="12"/>
        </w:rPr>
        <w:t>Sub-par</w:t>
      </w:r>
      <w:r>
        <w:rPr>
          <w:sz w:val="12"/>
        </w:rPr>
        <w:t xml:space="preserve"> </w:t>
      </w:r>
      <w:r>
        <w:rPr>
          <w:w w:val="80"/>
          <w:sz w:val="12"/>
        </w:rPr>
        <w:t>growth</w:t>
      </w:r>
      <w:r>
        <w:rPr>
          <w:spacing w:val="1"/>
          <w:sz w:val="12"/>
        </w:rPr>
        <w:t xml:space="preserve"> </w:t>
      </w:r>
      <w:r>
        <w:rPr>
          <w:w w:val="80"/>
          <w:sz w:val="12"/>
        </w:rPr>
        <w:t>for</w:t>
      </w:r>
      <w:r>
        <w:rPr>
          <w:sz w:val="12"/>
        </w:rPr>
        <w:t xml:space="preserve"> </w:t>
      </w:r>
      <w:r>
        <w:rPr>
          <w:w w:val="80"/>
          <w:sz w:val="12"/>
        </w:rPr>
        <w:t>10+</w:t>
      </w:r>
      <w:r>
        <w:rPr>
          <w:spacing w:val="1"/>
          <w:sz w:val="12"/>
        </w:rPr>
        <w:t xml:space="preserve"> </w:t>
      </w:r>
      <w:r>
        <w:rPr>
          <w:spacing w:val="-2"/>
          <w:w w:val="80"/>
          <w:sz w:val="12"/>
        </w:rPr>
        <w:t>years</w:t>
      </w:r>
    </w:p>
    <w:p w:rsidR="002C1123" w:rsidRDefault="002C1123">
      <w:pPr>
        <w:pStyle w:val="BodyText"/>
        <w:rPr>
          <w:sz w:val="14"/>
        </w:rPr>
      </w:pPr>
    </w:p>
    <w:p w:rsidR="002C1123" w:rsidRDefault="002C1123">
      <w:pPr>
        <w:pStyle w:val="BodyText"/>
        <w:rPr>
          <w:sz w:val="14"/>
        </w:rPr>
      </w:pPr>
    </w:p>
    <w:p w:rsidR="002C1123" w:rsidRDefault="002C1123">
      <w:pPr>
        <w:pStyle w:val="BodyText"/>
        <w:rPr>
          <w:sz w:val="14"/>
        </w:rPr>
      </w:pPr>
    </w:p>
    <w:p w:rsidR="002C1123" w:rsidRDefault="002C1123">
      <w:pPr>
        <w:pStyle w:val="BodyText"/>
        <w:rPr>
          <w:sz w:val="14"/>
        </w:rPr>
      </w:pPr>
    </w:p>
    <w:p w:rsidR="002C1123" w:rsidRDefault="002C1123">
      <w:pPr>
        <w:pStyle w:val="BodyText"/>
        <w:spacing w:before="1"/>
        <w:rPr>
          <w:sz w:val="12"/>
        </w:rPr>
      </w:pPr>
    </w:p>
    <w:p w:rsidR="002C1123" w:rsidRDefault="002060EF">
      <w:pPr>
        <w:ind w:left="659"/>
        <w:rPr>
          <w:sz w:val="16"/>
        </w:rPr>
      </w:pPr>
      <w:r>
        <w:pict>
          <v:line id="_x0000_s5141" style="position:absolute;left:0;text-align:left;z-index:251218944;mso-position-horizontal-relative:page" from="180.75pt,4.65pt" to="197.75pt,4.65pt" strokecolor="#2e3092" strokeweight="3pt">
            <w10:wrap anchorx="page"/>
          </v:line>
        </w:pict>
      </w:r>
      <w:r w:rsidR="00F22F94">
        <w:rPr>
          <w:w w:val="75"/>
          <w:sz w:val="16"/>
        </w:rPr>
        <w:t>AUS</w:t>
      </w:r>
      <w:r w:rsidR="00F22F94">
        <w:rPr>
          <w:spacing w:val="-10"/>
          <w:sz w:val="16"/>
        </w:rPr>
        <w:t xml:space="preserve"> </w:t>
      </w:r>
      <w:r w:rsidR="00F22F94">
        <w:rPr>
          <w:w w:val="75"/>
          <w:sz w:val="16"/>
        </w:rPr>
        <w:t>excl</w:t>
      </w:r>
      <w:r w:rsidR="00F22F94">
        <w:rPr>
          <w:spacing w:val="-10"/>
          <w:sz w:val="16"/>
        </w:rPr>
        <w:t xml:space="preserve"> </w:t>
      </w:r>
      <w:r w:rsidR="00F22F94">
        <w:rPr>
          <w:w w:val="75"/>
          <w:sz w:val="16"/>
        </w:rPr>
        <w:t>NSW</w:t>
      </w:r>
      <w:r w:rsidR="00F22F94">
        <w:rPr>
          <w:spacing w:val="25"/>
          <w:sz w:val="16"/>
        </w:rPr>
        <w:t xml:space="preserve"> </w:t>
      </w:r>
      <w:r w:rsidR="00F22F94">
        <w:rPr>
          <w:spacing w:val="-2"/>
          <w:w w:val="75"/>
          <w:sz w:val="16"/>
        </w:rPr>
        <w:t>(68%)</w:t>
      </w:r>
    </w:p>
    <w:p w:rsidR="002C1123" w:rsidRDefault="00F22F94">
      <w:pPr>
        <w:spacing w:before="4"/>
        <w:ind w:left="710"/>
        <w:rPr>
          <w:sz w:val="14"/>
        </w:rPr>
      </w:pPr>
      <w:r>
        <w:br w:type="column"/>
      </w:r>
      <w:r>
        <w:rPr>
          <w:sz w:val="14"/>
        </w:rPr>
        <w:t>Source:</w:t>
      </w:r>
      <w:r>
        <w:rPr>
          <w:spacing w:val="-10"/>
          <w:sz w:val="14"/>
        </w:rPr>
        <w:t xml:space="preserve"> </w:t>
      </w:r>
      <w:r>
        <w:rPr>
          <w:sz w:val="14"/>
        </w:rPr>
        <w:t>Port</w:t>
      </w:r>
      <w:r>
        <w:rPr>
          <w:spacing w:val="-10"/>
          <w:sz w:val="14"/>
        </w:rPr>
        <w:t xml:space="preserve"> </w:t>
      </w:r>
      <w:r>
        <w:rPr>
          <w:sz w:val="14"/>
        </w:rPr>
        <w:t>Jackson</w:t>
      </w:r>
      <w:r>
        <w:rPr>
          <w:spacing w:val="-10"/>
          <w:sz w:val="14"/>
        </w:rPr>
        <w:t xml:space="preserve"> </w:t>
      </w:r>
      <w:r>
        <w:rPr>
          <w:sz w:val="14"/>
        </w:rPr>
        <w:t>Partners.</w:t>
      </w:r>
      <w:r>
        <w:rPr>
          <w:spacing w:val="37"/>
          <w:sz w:val="14"/>
        </w:rPr>
        <w:t xml:space="preserve"> </w:t>
      </w:r>
      <w:r>
        <w:rPr>
          <w:sz w:val="14"/>
        </w:rPr>
        <w:t>Note:</w:t>
      </w:r>
      <w:r>
        <w:rPr>
          <w:spacing w:val="-9"/>
          <w:sz w:val="14"/>
        </w:rPr>
        <w:t xml:space="preserve"> </w:t>
      </w:r>
      <w:r>
        <w:rPr>
          <w:sz w:val="14"/>
        </w:rPr>
        <w:t>Engineering</w:t>
      </w:r>
      <w:r>
        <w:rPr>
          <w:spacing w:val="-10"/>
          <w:sz w:val="14"/>
        </w:rPr>
        <w:t xml:space="preserve"> </w:t>
      </w:r>
      <w:r>
        <w:rPr>
          <w:sz w:val="14"/>
        </w:rPr>
        <w:t>construction</w:t>
      </w:r>
      <w:r>
        <w:rPr>
          <w:spacing w:val="-10"/>
          <w:sz w:val="14"/>
        </w:rPr>
        <w:t xml:space="preserve"> </w:t>
      </w:r>
      <w:r>
        <w:rPr>
          <w:sz w:val="14"/>
        </w:rPr>
        <w:t>covers</w:t>
      </w:r>
      <w:r>
        <w:rPr>
          <w:spacing w:val="-10"/>
          <w:sz w:val="14"/>
        </w:rPr>
        <w:t xml:space="preserve"> </w:t>
      </w:r>
      <w:r>
        <w:rPr>
          <w:sz w:val="14"/>
        </w:rPr>
        <w:t>roads,</w:t>
      </w:r>
      <w:r>
        <w:rPr>
          <w:spacing w:val="40"/>
          <w:sz w:val="14"/>
        </w:rPr>
        <w:t xml:space="preserve"> </w:t>
      </w:r>
      <w:r>
        <w:rPr>
          <w:sz w:val="14"/>
        </w:rPr>
        <w:t>highways</w:t>
      </w:r>
      <w:r>
        <w:rPr>
          <w:spacing w:val="-2"/>
          <w:sz w:val="14"/>
        </w:rPr>
        <w:t xml:space="preserve"> </w:t>
      </w:r>
      <w:r>
        <w:rPr>
          <w:sz w:val="14"/>
        </w:rPr>
        <w:t>and</w:t>
      </w:r>
      <w:r>
        <w:rPr>
          <w:spacing w:val="-2"/>
          <w:sz w:val="14"/>
        </w:rPr>
        <w:t xml:space="preserve"> </w:t>
      </w:r>
      <w:r>
        <w:rPr>
          <w:sz w:val="14"/>
        </w:rPr>
        <w:t>subdivision,</w:t>
      </w:r>
      <w:r>
        <w:rPr>
          <w:spacing w:val="-2"/>
          <w:sz w:val="14"/>
        </w:rPr>
        <w:t xml:space="preserve"> </w:t>
      </w:r>
      <w:r>
        <w:rPr>
          <w:sz w:val="14"/>
        </w:rPr>
        <w:t>bridges,</w:t>
      </w:r>
      <w:r>
        <w:rPr>
          <w:spacing w:val="-2"/>
          <w:sz w:val="14"/>
        </w:rPr>
        <w:t xml:space="preserve"> </w:t>
      </w:r>
      <w:r>
        <w:rPr>
          <w:sz w:val="14"/>
        </w:rPr>
        <w:t>railways,</w:t>
      </w:r>
      <w:r>
        <w:rPr>
          <w:spacing w:val="-2"/>
          <w:sz w:val="14"/>
        </w:rPr>
        <w:t xml:space="preserve"> </w:t>
      </w:r>
      <w:r>
        <w:rPr>
          <w:sz w:val="14"/>
        </w:rPr>
        <w:t>harbours,</w:t>
      </w:r>
      <w:r>
        <w:rPr>
          <w:spacing w:val="-2"/>
          <w:sz w:val="14"/>
        </w:rPr>
        <w:t xml:space="preserve"> </w:t>
      </w:r>
      <w:r>
        <w:rPr>
          <w:sz w:val="14"/>
        </w:rPr>
        <w:t>water</w:t>
      </w:r>
      <w:r>
        <w:rPr>
          <w:spacing w:val="-2"/>
          <w:sz w:val="14"/>
        </w:rPr>
        <w:t xml:space="preserve"> </w:t>
      </w:r>
      <w:r>
        <w:rPr>
          <w:sz w:val="14"/>
        </w:rPr>
        <w:t>storage</w:t>
      </w:r>
      <w:r>
        <w:rPr>
          <w:spacing w:val="-2"/>
          <w:sz w:val="14"/>
        </w:rPr>
        <w:t xml:space="preserve"> </w:t>
      </w:r>
      <w:r>
        <w:rPr>
          <w:sz w:val="14"/>
        </w:rPr>
        <w:t>and</w:t>
      </w:r>
      <w:r>
        <w:rPr>
          <w:spacing w:val="40"/>
          <w:sz w:val="14"/>
        </w:rPr>
        <w:t xml:space="preserve"> </w:t>
      </w:r>
      <w:r>
        <w:rPr>
          <w:w w:val="95"/>
          <w:sz w:val="14"/>
        </w:rPr>
        <w:t>supply, sewerage and drainage, electricity generation, transmission and supply,</w:t>
      </w:r>
      <w:r>
        <w:rPr>
          <w:spacing w:val="40"/>
          <w:sz w:val="14"/>
        </w:rPr>
        <w:t xml:space="preserve"> </w:t>
      </w:r>
      <w:r>
        <w:rPr>
          <w:sz w:val="14"/>
        </w:rPr>
        <w:t>pipelines, recreation and telecommunications.</w:t>
      </w:r>
    </w:p>
    <w:p w:rsidR="002C1123" w:rsidRDefault="002C1123">
      <w:pPr>
        <w:pStyle w:val="BodyText"/>
        <w:spacing w:before="1"/>
        <w:rPr>
          <w:sz w:val="22"/>
        </w:rPr>
      </w:pPr>
    </w:p>
    <w:p w:rsidR="002C1123" w:rsidRDefault="002060EF">
      <w:pPr>
        <w:pStyle w:val="BodyText"/>
        <w:spacing w:line="240" w:lineRule="atLeast"/>
        <w:ind w:left="716" w:hanging="22"/>
      </w:pPr>
      <w:r>
        <w:pict>
          <v:rect id="docshape154" o:spid="_x0000_s5140" style="position:absolute;left:0;text-align:left;margin-left:91.3pt;margin-top:3.35pt;width:198.3pt;height:.8pt;z-index:251214848;mso-position-horizontal-relative:page" fillcolor="#b2b1b3" stroked="f">
            <w10:wrap anchorx="page"/>
          </v:rect>
        </w:pict>
      </w:r>
      <w:r>
        <w:pict>
          <v:rect id="docshape155" o:spid="_x0000_s5139" style="position:absolute;left:0;text-align:left;margin-left:91.3pt;margin-top:-25.65pt;width:198.3pt;height:.4pt;z-index:251215872;mso-position-horizontal-relative:page" fillcolor="#b2b1b3" stroked="f">
            <w10:wrap anchorx="page"/>
          </v:rect>
        </w:pict>
      </w:r>
      <w:r>
        <w:pict>
          <v:shape id="docshape156" o:spid="_x0000_s5138" style="position:absolute;left:0;text-align:left;margin-left:293.2pt;margin-top:-37.5pt;width:139.05pt;height:4.25pt;z-index:251216896;mso-position-horizontal-relative:page" coordorigin="2932,-375" coordsize="2782,85" path="m2932,-375r,85l5714,-290r,-85e" filled="f" strokeweight=".4pt">
            <v:path arrowok="t"/>
            <o:lock v:ext="edit" verticies="t"/>
            <w10:wrap anchorx="page"/>
          </v:shape>
        </w:pict>
      </w:r>
      <w:r>
        <w:pict>
          <v:shape id="docshape157" o:spid="_x0000_s5137" type="#_x0000_t202" style="position:absolute;left:0;text-align:left;margin-left:87.55pt;margin-top:8.95pt;width:200.9pt;height:17.4pt;z-index:251229184;mso-position-horizontal-relative:page" filled="f" stroked="f">
            <v:textbox style="layout-flow:vertical;mso-layout-flow-alt:bottom-to-top" inset="0,0,0,0">
              <w:txbxContent>
                <w:p w:rsidR="00F22F94" w:rsidRDefault="00F22F94">
                  <w:pPr>
                    <w:spacing w:before="18"/>
                    <w:ind w:left="20"/>
                    <w:rPr>
                      <w:sz w:val="16"/>
                    </w:rPr>
                  </w:pPr>
                  <w:r>
                    <w:rPr>
                      <w:spacing w:val="-4"/>
                      <w:w w:val="90"/>
                      <w:sz w:val="16"/>
                    </w:rPr>
                    <w:t>1996</w:t>
                  </w:r>
                </w:p>
                <w:p w:rsidR="00F22F94" w:rsidRDefault="00F22F94">
                  <w:pPr>
                    <w:spacing w:before="69"/>
                    <w:ind w:left="20"/>
                    <w:rPr>
                      <w:sz w:val="16"/>
                    </w:rPr>
                  </w:pPr>
                  <w:r>
                    <w:rPr>
                      <w:spacing w:val="-4"/>
                      <w:w w:val="90"/>
                      <w:sz w:val="16"/>
                    </w:rPr>
                    <w:t>1997</w:t>
                  </w:r>
                </w:p>
                <w:p w:rsidR="00F22F94" w:rsidRDefault="00F22F94">
                  <w:pPr>
                    <w:spacing w:before="69"/>
                    <w:ind w:left="20"/>
                    <w:rPr>
                      <w:sz w:val="16"/>
                    </w:rPr>
                  </w:pPr>
                  <w:r>
                    <w:rPr>
                      <w:spacing w:val="-4"/>
                      <w:w w:val="90"/>
                      <w:sz w:val="16"/>
                    </w:rPr>
                    <w:t>1998</w:t>
                  </w:r>
                </w:p>
                <w:p w:rsidR="00F22F94" w:rsidRDefault="00F22F94">
                  <w:pPr>
                    <w:spacing w:before="69"/>
                    <w:ind w:left="20"/>
                    <w:rPr>
                      <w:sz w:val="16"/>
                    </w:rPr>
                  </w:pPr>
                  <w:r>
                    <w:rPr>
                      <w:spacing w:val="-4"/>
                      <w:w w:val="90"/>
                      <w:sz w:val="16"/>
                    </w:rPr>
                    <w:t>1999</w:t>
                  </w:r>
                </w:p>
                <w:p w:rsidR="00F22F94" w:rsidRDefault="00F22F94">
                  <w:pPr>
                    <w:spacing w:before="69"/>
                    <w:ind w:left="20"/>
                    <w:rPr>
                      <w:sz w:val="16"/>
                    </w:rPr>
                  </w:pPr>
                  <w:r>
                    <w:rPr>
                      <w:spacing w:val="-4"/>
                      <w:w w:val="90"/>
                      <w:sz w:val="16"/>
                    </w:rPr>
                    <w:t>2000</w:t>
                  </w:r>
                </w:p>
                <w:p w:rsidR="00F22F94" w:rsidRDefault="00F22F94">
                  <w:pPr>
                    <w:spacing w:before="70"/>
                    <w:ind w:left="20"/>
                    <w:rPr>
                      <w:sz w:val="16"/>
                    </w:rPr>
                  </w:pPr>
                  <w:r>
                    <w:rPr>
                      <w:spacing w:val="-4"/>
                      <w:w w:val="90"/>
                      <w:sz w:val="16"/>
                    </w:rPr>
                    <w:t>2001</w:t>
                  </w:r>
                </w:p>
                <w:p w:rsidR="00F22F94" w:rsidRDefault="00F22F94">
                  <w:pPr>
                    <w:spacing w:before="69"/>
                    <w:ind w:left="20"/>
                    <w:rPr>
                      <w:sz w:val="16"/>
                    </w:rPr>
                  </w:pPr>
                  <w:r>
                    <w:rPr>
                      <w:spacing w:val="-4"/>
                      <w:w w:val="90"/>
                      <w:sz w:val="16"/>
                    </w:rPr>
                    <w:t>2002</w:t>
                  </w:r>
                </w:p>
                <w:p w:rsidR="00F22F94" w:rsidRDefault="00F22F94">
                  <w:pPr>
                    <w:spacing w:before="69"/>
                    <w:ind w:left="20"/>
                    <w:rPr>
                      <w:sz w:val="16"/>
                    </w:rPr>
                  </w:pPr>
                  <w:r>
                    <w:rPr>
                      <w:spacing w:val="-4"/>
                      <w:w w:val="90"/>
                      <w:sz w:val="16"/>
                    </w:rPr>
                    <w:t>2003</w:t>
                  </w:r>
                </w:p>
                <w:p w:rsidR="00F22F94" w:rsidRDefault="00F22F94">
                  <w:pPr>
                    <w:spacing w:before="69"/>
                    <w:ind w:left="20"/>
                    <w:rPr>
                      <w:sz w:val="16"/>
                    </w:rPr>
                  </w:pPr>
                  <w:r>
                    <w:rPr>
                      <w:spacing w:val="-4"/>
                      <w:w w:val="90"/>
                      <w:sz w:val="16"/>
                    </w:rPr>
                    <w:t>2004</w:t>
                  </w:r>
                </w:p>
                <w:p w:rsidR="00F22F94" w:rsidRDefault="00F22F94">
                  <w:pPr>
                    <w:spacing w:before="69"/>
                    <w:ind w:left="20"/>
                    <w:rPr>
                      <w:sz w:val="16"/>
                    </w:rPr>
                  </w:pPr>
                  <w:r>
                    <w:rPr>
                      <w:spacing w:val="-4"/>
                      <w:w w:val="90"/>
                      <w:sz w:val="16"/>
                    </w:rPr>
                    <w:t>2005</w:t>
                  </w:r>
                </w:p>
                <w:p w:rsidR="00F22F94" w:rsidRDefault="00F22F94">
                  <w:pPr>
                    <w:spacing w:before="69"/>
                    <w:ind w:left="20"/>
                    <w:rPr>
                      <w:sz w:val="16"/>
                    </w:rPr>
                  </w:pPr>
                  <w:r>
                    <w:rPr>
                      <w:spacing w:val="-4"/>
                      <w:w w:val="90"/>
                      <w:sz w:val="16"/>
                    </w:rPr>
                    <w:t>2006</w:t>
                  </w:r>
                </w:p>
                <w:p w:rsidR="00F22F94" w:rsidRDefault="00F22F94">
                  <w:pPr>
                    <w:spacing w:before="69"/>
                    <w:ind w:left="20"/>
                    <w:rPr>
                      <w:sz w:val="16"/>
                    </w:rPr>
                  </w:pPr>
                  <w:r>
                    <w:rPr>
                      <w:spacing w:val="-4"/>
                      <w:w w:val="90"/>
                      <w:sz w:val="16"/>
                    </w:rPr>
                    <w:t>2007</w:t>
                  </w:r>
                </w:p>
                <w:p w:rsidR="00F22F94" w:rsidRDefault="00F22F94">
                  <w:pPr>
                    <w:spacing w:before="70"/>
                    <w:ind w:left="20"/>
                    <w:rPr>
                      <w:sz w:val="16"/>
                    </w:rPr>
                  </w:pPr>
                  <w:r>
                    <w:rPr>
                      <w:spacing w:val="-4"/>
                      <w:w w:val="90"/>
                      <w:sz w:val="16"/>
                    </w:rPr>
                    <w:t>2008</w:t>
                  </w:r>
                </w:p>
                <w:p w:rsidR="00F22F94" w:rsidRDefault="00F22F94">
                  <w:pPr>
                    <w:spacing w:before="69"/>
                    <w:ind w:left="20"/>
                    <w:rPr>
                      <w:sz w:val="16"/>
                    </w:rPr>
                  </w:pPr>
                  <w:r>
                    <w:rPr>
                      <w:spacing w:val="-4"/>
                      <w:w w:val="90"/>
                      <w:sz w:val="16"/>
                    </w:rPr>
                    <w:t>2009</w:t>
                  </w:r>
                </w:p>
                <w:p w:rsidR="00F22F94" w:rsidRDefault="00F22F94">
                  <w:pPr>
                    <w:spacing w:before="69"/>
                    <w:ind w:left="20"/>
                    <w:rPr>
                      <w:sz w:val="16"/>
                    </w:rPr>
                  </w:pPr>
                  <w:r>
                    <w:rPr>
                      <w:spacing w:val="-4"/>
                      <w:w w:val="90"/>
                      <w:sz w:val="16"/>
                    </w:rPr>
                    <w:t>2010</w:t>
                  </w:r>
                </w:p>
                <w:p w:rsidR="00F22F94" w:rsidRDefault="00F22F94">
                  <w:pPr>
                    <w:spacing w:before="69"/>
                    <w:ind w:left="20"/>
                    <w:rPr>
                      <w:sz w:val="16"/>
                    </w:rPr>
                  </w:pPr>
                  <w:r>
                    <w:rPr>
                      <w:spacing w:val="-4"/>
                      <w:w w:val="90"/>
                      <w:sz w:val="16"/>
                    </w:rPr>
                    <w:t>2011</w:t>
                  </w:r>
                </w:p>
              </w:txbxContent>
            </v:textbox>
            <w10:wrap anchorx="page"/>
          </v:shape>
        </w:pict>
      </w:r>
      <w:r w:rsidR="00F22F94">
        <w:t>The</w:t>
      </w:r>
      <w:r w:rsidR="00F22F94">
        <w:rPr>
          <w:spacing w:val="-3"/>
        </w:rPr>
        <w:t xml:space="preserve"> </w:t>
      </w:r>
      <w:r w:rsidR="00F22F94">
        <w:t>current</w:t>
      </w:r>
      <w:r w:rsidR="00F22F94">
        <w:rPr>
          <w:spacing w:val="-3"/>
        </w:rPr>
        <w:t xml:space="preserve"> </w:t>
      </w:r>
      <w:r w:rsidR="00F22F94">
        <w:t>Budget</w:t>
      </w:r>
      <w:r w:rsidR="00F22F94">
        <w:rPr>
          <w:spacing w:val="-3"/>
        </w:rPr>
        <w:t xml:space="preserve"> </w:t>
      </w:r>
      <w:r w:rsidR="00F22F94">
        <w:t>context</w:t>
      </w:r>
      <w:r w:rsidR="00F22F94">
        <w:rPr>
          <w:spacing w:val="-3"/>
        </w:rPr>
        <w:t xml:space="preserve"> </w:t>
      </w:r>
      <w:r w:rsidR="00F22F94">
        <w:t>provides</w:t>
      </w:r>
      <w:r w:rsidR="00F22F94">
        <w:rPr>
          <w:spacing w:val="-3"/>
        </w:rPr>
        <w:t xml:space="preserve"> </w:t>
      </w:r>
      <w:r w:rsidR="00F22F94">
        <w:t xml:space="preserve">additional </w:t>
      </w:r>
      <w:r w:rsidR="00F22F94">
        <w:rPr>
          <w:w w:val="95"/>
        </w:rPr>
        <w:t>imperative</w:t>
      </w:r>
      <w:r w:rsidR="00F22F94">
        <w:rPr>
          <w:spacing w:val="-1"/>
          <w:w w:val="95"/>
        </w:rPr>
        <w:t xml:space="preserve"> </w:t>
      </w:r>
      <w:r w:rsidR="00F22F94">
        <w:rPr>
          <w:w w:val="95"/>
        </w:rPr>
        <w:t>to</w:t>
      </w:r>
      <w:r w:rsidR="00F22F94">
        <w:rPr>
          <w:spacing w:val="-1"/>
          <w:w w:val="95"/>
        </w:rPr>
        <w:t xml:space="preserve"> </w:t>
      </w:r>
      <w:r w:rsidR="00F22F94">
        <w:rPr>
          <w:w w:val="95"/>
        </w:rPr>
        <w:t>consider</w:t>
      </w:r>
      <w:r w:rsidR="00F22F94">
        <w:rPr>
          <w:spacing w:val="-1"/>
          <w:w w:val="95"/>
        </w:rPr>
        <w:t xml:space="preserve"> </w:t>
      </w:r>
      <w:r w:rsidR="00F22F94">
        <w:rPr>
          <w:w w:val="95"/>
        </w:rPr>
        <w:t>how</w:t>
      </w:r>
      <w:r w:rsidR="00F22F94">
        <w:rPr>
          <w:spacing w:val="-1"/>
          <w:w w:val="95"/>
        </w:rPr>
        <w:t xml:space="preserve"> </w:t>
      </w:r>
      <w:r w:rsidR="00F22F94">
        <w:rPr>
          <w:w w:val="95"/>
        </w:rPr>
        <w:t>best</w:t>
      </w:r>
      <w:r w:rsidR="00F22F94">
        <w:rPr>
          <w:spacing w:val="-1"/>
          <w:w w:val="95"/>
        </w:rPr>
        <w:t xml:space="preserve"> </w:t>
      </w:r>
      <w:r w:rsidR="00F22F94">
        <w:rPr>
          <w:w w:val="95"/>
        </w:rPr>
        <w:t>to</w:t>
      </w:r>
      <w:r w:rsidR="00F22F94">
        <w:rPr>
          <w:spacing w:val="-1"/>
          <w:w w:val="95"/>
        </w:rPr>
        <w:t xml:space="preserve"> </w:t>
      </w:r>
      <w:r w:rsidR="00F22F94">
        <w:rPr>
          <w:w w:val="95"/>
        </w:rPr>
        <w:t>target</w:t>
      </w:r>
      <w:r w:rsidR="00F22F94">
        <w:rPr>
          <w:spacing w:val="-1"/>
          <w:w w:val="95"/>
        </w:rPr>
        <w:t xml:space="preserve"> </w:t>
      </w:r>
      <w:r w:rsidR="00F22F94">
        <w:rPr>
          <w:w w:val="95"/>
        </w:rPr>
        <w:t>and</w:t>
      </w:r>
      <w:r w:rsidR="00F22F94">
        <w:rPr>
          <w:spacing w:val="-1"/>
          <w:w w:val="95"/>
        </w:rPr>
        <w:t xml:space="preserve"> </w:t>
      </w:r>
      <w:r w:rsidR="00F22F94">
        <w:rPr>
          <w:w w:val="95"/>
        </w:rPr>
        <w:t xml:space="preserve">fund </w:t>
      </w:r>
      <w:r w:rsidR="00F22F94">
        <w:t>infrastructure</w:t>
      </w:r>
      <w:r w:rsidR="00F22F94">
        <w:rPr>
          <w:spacing w:val="-11"/>
        </w:rPr>
        <w:t xml:space="preserve"> </w:t>
      </w:r>
      <w:r w:rsidR="00F22F94">
        <w:t>wisely</w:t>
      </w:r>
      <w:r w:rsidR="00F22F94">
        <w:rPr>
          <w:spacing w:val="-11"/>
        </w:rPr>
        <w:t xml:space="preserve"> </w:t>
      </w:r>
      <w:r w:rsidR="00F22F94">
        <w:t>given</w:t>
      </w:r>
      <w:r w:rsidR="00F22F94">
        <w:rPr>
          <w:spacing w:val="-11"/>
        </w:rPr>
        <w:t xml:space="preserve"> </w:t>
      </w:r>
      <w:r w:rsidR="00F22F94">
        <w:t>the</w:t>
      </w:r>
      <w:r w:rsidR="00F22F94">
        <w:rPr>
          <w:spacing w:val="-11"/>
        </w:rPr>
        <w:t xml:space="preserve"> </w:t>
      </w:r>
      <w:r w:rsidR="00F22F94">
        <w:t>extent</w:t>
      </w:r>
      <w:r w:rsidR="00F22F94">
        <w:rPr>
          <w:spacing w:val="-11"/>
        </w:rPr>
        <w:t xml:space="preserve"> </w:t>
      </w:r>
      <w:r w:rsidR="00F22F94">
        <w:t>to</w:t>
      </w:r>
      <w:r w:rsidR="00F22F94">
        <w:rPr>
          <w:spacing w:val="-11"/>
        </w:rPr>
        <w:t xml:space="preserve"> </w:t>
      </w:r>
      <w:r w:rsidR="00F22F94">
        <w:t>which</w:t>
      </w:r>
      <w:r w:rsidR="00F22F94">
        <w:rPr>
          <w:spacing w:val="-11"/>
        </w:rPr>
        <w:t xml:space="preserve"> </w:t>
      </w:r>
      <w:r w:rsidR="00F22F94">
        <w:t>it dominates public expenditure.</w:t>
      </w:r>
    </w:p>
    <w:p w:rsidR="002C1123" w:rsidRDefault="00F22F94">
      <w:pPr>
        <w:pStyle w:val="BodyText"/>
        <w:spacing w:before="157" w:line="249" w:lineRule="auto"/>
        <w:ind w:left="227" w:right="646" w:hanging="25"/>
      </w:pPr>
      <w:r>
        <w:br w:type="column"/>
      </w:r>
      <w:r>
        <w:rPr>
          <w:w w:val="95"/>
        </w:rPr>
        <w:t>This</w:t>
      </w:r>
      <w:r>
        <w:rPr>
          <w:spacing w:val="-7"/>
          <w:w w:val="95"/>
        </w:rPr>
        <w:t xml:space="preserve"> </w:t>
      </w:r>
      <w:r>
        <w:rPr>
          <w:w w:val="95"/>
        </w:rPr>
        <w:t>indicates</w:t>
      </w:r>
      <w:r>
        <w:rPr>
          <w:spacing w:val="-7"/>
          <w:w w:val="95"/>
        </w:rPr>
        <w:t xml:space="preserve"> </w:t>
      </w:r>
      <w:r>
        <w:rPr>
          <w:w w:val="95"/>
        </w:rPr>
        <w:t>that</w:t>
      </w:r>
      <w:r>
        <w:rPr>
          <w:spacing w:val="-7"/>
          <w:w w:val="95"/>
        </w:rPr>
        <w:t xml:space="preserve"> </w:t>
      </w:r>
      <w:r>
        <w:rPr>
          <w:w w:val="95"/>
        </w:rPr>
        <w:t>to</w:t>
      </w:r>
      <w:r>
        <w:rPr>
          <w:spacing w:val="-7"/>
          <w:w w:val="95"/>
        </w:rPr>
        <w:t xml:space="preserve"> </w:t>
      </w:r>
      <w:r>
        <w:rPr>
          <w:w w:val="95"/>
        </w:rPr>
        <w:t>deliver</w:t>
      </w:r>
      <w:r>
        <w:rPr>
          <w:spacing w:val="-7"/>
          <w:w w:val="95"/>
        </w:rPr>
        <w:t xml:space="preserve"> </w:t>
      </w:r>
      <w:r>
        <w:rPr>
          <w:w w:val="95"/>
        </w:rPr>
        <w:t>net</w:t>
      </w:r>
      <w:r>
        <w:rPr>
          <w:spacing w:val="-7"/>
          <w:w w:val="95"/>
        </w:rPr>
        <w:t xml:space="preserve"> </w:t>
      </w:r>
      <w:r>
        <w:rPr>
          <w:w w:val="95"/>
        </w:rPr>
        <w:t>benefits</w:t>
      </w:r>
      <w:r>
        <w:rPr>
          <w:spacing w:val="-7"/>
          <w:w w:val="95"/>
        </w:rPr>
        <w:t xml:space="preserve"> </w:t>
      </w:r>
      <w:r>
        <w:rPr>
          <w:w w:val="95"/>
        </w:rPr>
        <w:t>to</w:t>
      </w:r>
      <w:r>
        <w:rPr>
          <w:spacing w:val="-7"/>
          <w:w w:val="95"/>
        </w:rPr>
        <w:t xml:space="preserve"> </w:t>
      </w:r>
      <w:r>
        <w:rPr>
          <w:w w:val="95"/>
        </w:rPr>
        <w:t>the</w:t>
      </w:r>
      <w:r>
        <w:rPr>
          <w:spacing w:val="-7"/>
          <w:w w:val="95"/>
        </w:rPr>
        <w:t xml:space="preserve"> </w:t>
      </w:r>
      <w:r>
        <w:rPr>
          <w:w w:val="95"/>
        </w:rPr>
        <w:t xml:space="preserve">economy, </w:t>
      </w:r>
      <w:r>
        <w:t>infrastructure</w:t>
      </w:r>
      <w:r>
        <w:rPr>
          <w:spacing w:val="-11"/>
        </w:rPr>
        <w:t xml:space="preserve"> </w:t>
      </w:r>
      <w:r>
        <w:t>investments</w:t>
      </w:r>
      <w:r>
        <w:rPr>
          <w:spacing w:val="-11"/>
        </w:rPr>
        <w:t xml:space="preserve"> </w:t>
      </w:r>
      <w:r>
        <w:t>need</w:t>
      </w:r>
      <w:r>
        <w:rPr>
          <w:spacing w:val="-11"/>
        </w:rPr>
        <w:t xml:space="preserve"> </w:t>
      </w:r>
      <w:r>
        <w:t>to</w:t>
      </w:r>
      <w:r>
        <w:rPr>
          <w:spacing w:val="-11"/>
        </w:rPr>
        <w:t xml:space="preserve"> </w:t>
      </w:r>
      <w:r>
        <w:t>be</w:t>
      </w:r>
      <w:r>
        <w:rPr>
          <w:spacing w:val="-11"/>
        </w:rPr>
        <w:t xml:space="preserve"> </w:t>
      </w:r>
      <w:r>
        <w:t>of</w:t>
      </w:r>
      <w:r>
        <w:rPr>
          <w:spacing w:val="-11"/>
        </w:rPr>
        <w:t xml:space="preserve"> </w:t>
      </w:r>
      <w:r>
        <w:t>the</w:t>
      </w:r>
      <w:r>
        <w:rPr>
          <w:spacing w:val="-11"/>
        </w:rPr>
        <w:t xml:space="preserve"> </w:t>
      </w:r>
      <w:r>
        <w:t>right</w:t>
      </w:r>
    </w:p>
    <w:p w:rsidR="002C1123" w:rsidRDefault="00F22F94">
      <w:pPr>
        <w:pStyle w:val="BodyText"/>
        <w:spacing w:before="1" w:line="249" w:lineRule="auto"/>
        <w:ind w:left="224" w:right="895"/>
      </w:pPr>
      <w:r>
        <w:rPr>
          <w:spacing w:val="-2"/>
        </w:rPr>
        <w:t>type,</w:t>
      </w:r>
      <w:r>
        <w:rPr>
          <w:spacing w:val="-10"/>
        </w:rPr>
        <w:t xml:space="preserve"> </w:t>
      </w:r>
      <w:r>
        <w:rPr>
          <w:spacing w:val="-2"/>
        </w:rPr>
        <w:t>in</w:t>
      </w:r>
      <w:r>
        <w:rPr>
          <w:spacing w:val="-10"/>
        </w:rPr>
        <w:t xml:space="preserve"> </w:t>
      </w:r>
      <w:r>
        <w:rPr>
          <w:spacing w:val="-2"/>
        </w:rPr>
        <w:t>the</w:t>
      </w:r>
      <w:r>
        <w:rPr>
          <w:spacing w:val="-10"/>
        </w:rPr>
        <w:t xml:space="preserve"> </w:t>
      </w:r>
      <w:r>
        <w:rPr>
          <w:spacing w:val="-2"/>
        </w:rPr>
        <w:t>right</w:t>
      </w:r>
      <w:r>
        <w:rPr>
          <w:spacing w:val="-10"/>
        </w:rPr>
        <w:t xml:space="preserve"> </w:t>
      </w:r>
      <w:r>
        <w:rPr>
          <w:spacing w:val="-2"/>
        </w:rPr>
        <w:t>place,</w:t>
      </w:r>
      <w:r>
        <w:rPr>
          <w:spacing w:val="-10"/>
        </w:rPr>
        <w:t xml:space="preserve"> </w:t>
      </w:r>
      <w:r>
        <w:rPr>
          <w:spacing w:val="-2"/>
        </w:rPr>
        <w:t>at</w:t>
      </w:r>
      <w:r>
        <w:rPr>
          <w:spacing w:val="-10"/>
        </w:rPr>
        <w:t xml:space="preserve"> </w:t>
      </w:r>
      <w:r>
        <w:rPr>
          <w:spacing w:val="-2"/>
        </w:rPr>
        <w:t>the</w:t>
      </w:r>
      <w:r>
        <w:rPr>
          <w:spacing w:val="-10"/>
        </w:rPr>
        <w:t xml:space="preserve"> </w:t>
      </w:r>
      <w:r>
        <w:rPr>
          <w:spacing w:val="-2"/>
        </w:rPr>
        <w:t>right</w:t>
      </w:r>
      <w:r>
        <w:rPr>
          <w:spacing w:val="-10"/>
        </w:rPr>
        <w:t xml:space="preserve"> </w:t>
      </w:r>
      <w:r>
        <w:rPr>
          <w:spacing w:val="-2"/>
        </w:rPr>
        <w:t>time.</w:t>
      </w:r>
      <w:r>
        <w:rPr>
          <w:spacing w:val="-10"/>
        </w:rPr>
        <w:t xml:space="preserve"> </w:t>
      </w:r>
      <w:r>
        <w:rPr>
          <w:spacing w:val="-2"/>
        </w:rPr>
        <w:t>It</w:t>
      </w:r>
      <w:r>
        <w:rPr>
          <w:spacing w:val="-10"/>
        </w:rPr>
        <w:t xml:space="preserve"> </w:t>
      </w:r>
      <w:r>
        <w:rPr>
          <w:spacing w:val="-2"/>
        </w:rPr>
        <w:t xml:space="preserve">suggests </w:t>
      </w:r>
      <w:r>
        <w:rPr>
          <w:w w:val="95"/>
        </w:rPr>
        <w:t>that</w:t>
      </w:r>
      <w:r>
        <w:rPr>
          <w:spacing w:val="-4"/>
          <w:w w:val="95"/>
        </w:rPr>
        <w:t xml:space="preserve"> </w:t>
      </w:r>
      <w:r>
        <w:rPr>
          <w:w w:val="95"/>
        </w:rPr>
        <w:t>the</w:t>
      </w:r>
      <w:r>
        <w:rPr>
          <w:spacing w:val="-4"/>
          <w:w w:val="95"/>
        </w:rPr>
        <w:t xml:space="preserve"> </w:t>
      </w:r>
      <w:r>
        <w:rPr>
          <w:w w:val="95"/>
        </w:rPr>
        <w:t>greatest</w:t>
      </w:r>
      <w:r>
        <w:rPr>
          <w:spacing w:val="-4"/>
          <w:w w:val="95"/>
        </w:rPr>
        <w:t xml:space="preserve"> </w:t>
      </w:r>
      <w:r>
        <w:rPr>
          <w:w w:val="95"/>
        </w:rPr>
        <w:t>impact</w:t>
      </w:r>
      <w:r>
        <w:rPr>
          <w:spacing w:val="-4"/>
          <w:w w:val="95"/>
        </w:rPr>
        <w:t xml:space="preserve"> </w:t>
      </w:r>
      <w:r>
        <w:rPr>
          <w:w w:val="95"/>
        </w:rPr>
        <w:t>is</w:t>
      </w:r>
      <w:r>
        <w:rPr>
          <w:spacing w:val="-4"/>
          <w:w w:val="95"/>
        </w:rPr>
        <w:t xml:space="preserve"> </w:t>
      </w:r>
      <w:r>
        <w:rPr>
          <w:w w:val="95"/>
        </w:rPr>
        <w:t>gained</w:t>
      </w:r>
      <w:r>
        <w:rPr>
          <w:spacing w:val="-4"/>
          <w:w w:val="95"/>
        </w:rPr>
        <w:t xml:space="preserve"> </w:t>
      </w:r>
      <w:r>
        <w:rPr>
          <w:w w:val="95"/>
        </w:rPr>
        <w:t>by</w:t>
      </w:r>
      <w:r>
        <w:rPr>
          <w:spacing w:val="-4"/>
          <w:w w:val="95"/>
        </w:rPr>
        <w:t xml:space="preserve"> </w:t>
      </w:r>
      <w:r>
        <w:rPr>
          <w:w w:val="95"/>
        </w:rPr>
        <w:t>sharpening</w:t>
      </w:r>
      <w:r>
        <w:rPr>
          <w:spacing w:val="-4"/>
          <w:w w:val="95"/>
        </w:rPr>
        <w:t xml:space="preserve"> </w:t>
      </w:r>
      <w:r>
        <w:rPr>
          <w:w w:val="95"/>
        </w:rPr>
        <w:t xml:space="preserve">the </w:t>
      </w:r>
      <w:r>
        <w:t>focus</w:t>
      </w:r>
      <w:r>
        <w:rPr>
          <w:spacing w:val="-14"/>
        </w:rPr>
        <w:t xml:space="preserve"> </w:t>
      </w:r>
      <w:r>
        <w:t>of</w:t>
      </w:r>
      <w:r>
        <w:rPr>
          <w:spacing w:val="-13"/>
        </w:rPr>
        <w:t xml:space="preserve"> </w:t>
      </w:r>
      <w:r>
        <w:t>infrastructure</w:t>
      </w:r>
      <w:r>
        <w:rPr>
          <w:spacing w:val="-14"/>
        </w:rPr>
        <w:t xml:space="preserve"> </w:t>
      </w:r>
      <w:r>
        <w:t>projects</w:t>
      </w:r>
      <w:r>
        <w:rPr>
          <w:spacing w:val="-13"/>
        </w:rPr>
        <w:t xml:space="preserve"> </w:t>
      </w:r>
      <w:r>
        <w:t>on</w:t>
      </w:r>
      <w:r>
        <w:rPr>
          <w:spacing w:val="-14"/>
        </w:rPr>
        <w:t xml:space="preserve"> </w:t>
      </w:r>
      <w:r>
        <w:t>productivity</w:t>
      </w:r>
      <w:r>
        <w:rPr>
          <w:spacing w:val="-13"/>
        </w:rPr>
        <w:t xml:space="preserve"> </w:t>
      </w:r>
      <w:r>
        <w:t>and economic</w:t>
      </w:r>
      <w:r>
        <w:rPr>
          <w:spacing w:val="-11"/>
        </w:rPr>
        <w:t xml:space="preserve"> </w:t>
      </w:r>
      <w:r>
        <w:t>growth.</w:t>
      </w:r>
    </w:p>
    <w:p w:rsidR="002C1123" w:rsidRDefault="00F22F94">
      <w:pPr>
        <w:pStyle w:val="BodyText"/>
        <w:spacing w:before="146" w:line="59" w:lineRule="exact"/>
        <w:ind w:left="221"/>
      </w:pPr>
      <w:r>
        <w:rPr>
          <w:w w:val="95"/>
        </w:rPr>
        <w:t>Conversely,</w:t>
      </w:r>
      <w:r>
        <w:rPr>
          <w:spacing w:val="-10"/>
          <w:w w:val="95"/>
        </w:rPr>
        <w:t xml:space="preserve"> </w:t>
      </w:r>
      <w:r>
        <w:rPr>
          <w:w w:val="95"/>
        </w:rPr>
        <w:t>poor</w:t>
      </w:r>
      <w:r>
        <w:rPr>
          <w:spacing w:val="-9"/>
          <w:w w:val="95"/>
        </w:rPr>
        <w:t xml:space="preserve"> </w:t>
      </w:r>
      <w:r>
        <w:rPr>
          <w:w w:val="95"/>
        </w:rPr>
        <w:t>infrastructure</w:t>
      </w:r>
      <w:r>
        <w:rPr>
          <w:spacing w:val="-10"/>
          <w:w w:val="95"/>
        </w:rPr>
        <w:t xml:space="preserve"> </w:t>
      </w:r>
      <w:r>
        <w:rPr>
          <w:w w:val="95"/>
        </w:rPr>
        <w:t>investment</w:t>
      </w:r>
      <w:r>
        <w:rPr>
          <w:spacing w:val="-9"/>
          <w:w w:val="95"/>
        </w:rPr>
        <w:t xml:space="preserve"> </w:t>
      </w:r>
      <w:r>
        <w:rPr>
          <w:spacing w:val="-2"/>
          <w:w w:val="95"/>
        </w:rPr>
        <w:t>decisions</w:t>
      </w:r>
    </w:p>
    <w:p w:rsidR="002C1123" w:rsidRDefault="002C1123">
      <w:pPr>
        <w:spacing w:line="59" w:lineRule="exact"/>
        <w:sectPr w:rsidR="002C1123">
          <w:type w:val="continuous"/>
          <w:pgSz w:w="16840" w:h="11910" w:orient="landscape"/>
          <w:pgMar w:top="560" w:right="280" w:bottom="280" w:left="500" w:header="0" w:footer="517" w:gutter="0"/>
          <w:cols w:num="5" w:space="720" w:equalWidth="0">
            <w:col w:w="1575" w:space="40"/>
            <w:col w:w="1227" w:space="39"/>
            <w:col w:w="1891" w:space="39"/>
            <w:col w:w="5479" w:space="39"/>
            <w:col w:w="5731"/>
          </w:cols>
        </w:sectPr>
      </w:pPr>
    </w:p>
    <w:p w:rsidR="002C1123" w:rsidRDefault="00F22F94">
      <w:pPr>
        <w:spacing w:line="101" w:lineRule="exact"/>
        <w:ind w:left="494"/>
        <w:rPr>
          <w:sz w:val="14"/>
        </w:rPr>
      </w:pPr>
      <w:r>
        <w:rPr>
          <w:sz w:val="14"/>
        </w:rPr>
        <w:t>Source:</w:t>
      </w:r>
      <w:r>
        <w:rPr>
          <w:spacing w:val="-10"/>
          <w:sz w:val="14"/>
        </w:rPr>
        <w:t xml:space="preserve"> </w:t>
      </w:r>
      <w:r>
        <w:rPr>
          <w:sz w:val="14"/>
        </w:rPr>
        <w:t>Port</w:t>
      </w:r>
      <w:r>
        <w:rPr>
          <w:spacing w:val="-10"/>
          <w:sz w:val="14"/>
        </w:rPr>
        <w:t xml:space="preserve"> </w:t>
      </w:r>
      <w:r>
        <w:rPr>
          <w:sz w:val="14"/>
        </w:rPr>
        <w:t>Jackson</w:t>
      </w:r>
      <w:r>
        <w:rPr>
          <w:spacing w:val="-10"/>
          <w:sz w:val="14"/>
        </w:rPr>
        <w:t xml:space="preserve"> </w:t>
      </w:r>
      <w:r>
        <w:rPr>
          <w:sz w:val="14"/>
        </w:rPr>
        <w:t>Partners.</w:t>
      </w:r>
      <w:r>
        <w:rPr>
          <w:spacing w:val="49"/>
          <w:sz w:val="14"/>
        </w:rPr>
        <w:t xml:space="preserve"> </w:t>
      </w:r>
      <w:r>
        <w:rPr>
          <w:sz w:val="14"/>
        </w:rPr>
        <w:t>(</w:t>
      </w:r>
      <w:r>
        <w:rPr>
          <w:spacing w:val="49"/>
          <w:sz w:val="14"/>
        </w:rPr>
        <w:t xml:space="preserve"> </w:t>
      </w:r>
      <w:r>
        <w:rPr>
          <w:sz w:val="14"/>
        </w:rPr>
        <w:t>)</w:t>
      </w:r>
      <w:r>
        <w:rPr>
          <w:spacing w:val="-10"/>
          <w:sz w:val="14"/>
        </w:rPr>
        <w:t xml:space="preserve"> </w:t>
      </w:r>
      <w:r>
        <w:rPr>
          <w:sz w:val="14"/>
        </w:rPr>
        <w:t>gives</w:t>
      </w:r>
      <w:r>
        <w:rPr>
          <w:spacing w:val="-10"/>
          <w:sz w:val="14"/>
        </w:rPr>
        <w:t xml:space="preserve"> </w:t>
      </w:r>
      <w:r>
        <w:rPr>
          <w:sz w:val="14"/>
        </w:rPr>
        <w:t>%</w:t>
      </w:r>
      <w:r>
        <w:rPr>
          <w:spacing w:val="-9"/>
          <w:sz w:val="14"/>
        </w:rPr>
        <w:t xml:space="preserve"> </w:t>
      </w:r>
      <w:r>
        <w:rPr>
          <w:sz w:val="14"/>
        </w:rPr>
        <w:t>of</w:t>
      </w:r>
      <w:r>
        <w:rPr>
          <w:spacing w:val="-10"/>
          <w:sz w:val="14"/>
        </w:rPr>
        <w:t xml:space="preserve"> </w:t>
      </w:r>
      <w:r>
        <w:rPr>
          <w:sz w:val="14"/>
        </w:rPr>
        <w:t>national</w:t>
      </w:r>
      <w:r>
        <w:rPr>
          <w:spacing w:val="-10"/>
          <w:sz w:val="14"/>
        </w:rPr>
        <w:t xml:space="preserve"> </w:t>
      </w:r>
      <w:r>
        <w:rPr>
          <w:spacing w:val="-4"/>
          <w:sz w:val="14"/>
        </w:rPr>
        <w:t>GDP.</w:t>
      </w:r>
    </w:p>
    <w:p w:rsidR="002C1123" w:rsidRDefault="002C1123">
      <w:pPr>
        <w:pStyle w:val="BodyText"/>
        <w:spacing w:before="2"/>
        <w:rPr>
          <w:sz w:val="23"/>
        </w:rPr>
      </w:pPr>
    </w:p>
    <w:p w:rsidR="002C1123" w:rsidRDefault="00F22F94">
      <w:pPr>
        <w:pStyle w:val="BodyText"/>
        <w:spacing w:line="249" w:lineRule="auto"/>
        <w:ind w:left="498" w:firstLine="3"/>
      </w:pPr>
      <w:r>
        <w:rPr>
          <w:spacing w:val="-2"/>
        </w:rPr>
        <w:t>However,</w:t>
      </w:r>
      <w:r>
        <w:rPr>
          <w:spacing w:val="-9"/>
        </w:rPr>
        <w:t xml:space="preserve"> </w:t>
      </w:r>
      <w:r>
        <w:rPr>
          <w:spacing w:val="-2"/>
        </w:rPr>
        <w:t>NSW</w:t>
      </w:r>
      <w:r>
        <w:rPr>
          <w:spacing w:val="-9"/>
        </w:rPr>
        <w:t xml:space="preserve"> </w:t>
      </w:r>
      <w:r>
        <w:rPr>
          <w:spacing w:val="-2"/>
        </w:rPr>
        <w:t>has</w:t>
      </w:r>
      <w:r>
        <w:rPr>
          <w:spacing w:val="-9"/>
        </w:rPr>
        <w:t xml:space="preserve"> </w:t>
      </w:r>
      <w:r>
        <w:rPr>
          <w:spacing w:val="-2"/>
        </w:rPr>
        <w:t>invested</w:t>
      </w:r>
      <w:r>
        <w:rPr>
          <w:spacing w:val="-9"/>
        </w:rPr>
        <w:t xml:space="preserve"> </w:t>
      </w:r>
      <w:r>
        <w:rPr>
          <w:spacing w:val="-2"/>
        </w:rPr>
        <w:t>more</w:t>
      </w:r>
      <w:r>
        <w:rPr>
          <w:spacing w:val="-9"/>
        </w:rPr>
        <w:t xml:space="preserve"> </w:t>
      </w:r>
      <w:r>
        <w:rPr>
          <w:spacing w:val="-2"/>
        </w:rPr>
        <w:t>in</w:t>
      </w:r>
      <w:r>
        <w:rPr>
          <w:spacing w:val="-9"/>
        </w:rPr>
        <w:t xml:space="preserve"> </w:t>
      </w:r>
      <w:r>
        <w:rPr>
          <w:spacing w:val="-2"/>
        </w:rPr>
        <w:t>infrastructure,</w:t>
      </w:r>
      <w:r>
        <w:rPr>
          <w:spacing w:val="-9"/>
        </w:rPr>
        <w:t xml:space="preserve"> </w:t>
      </w:r>
      <w:r>
        <w:rPr>
          <w:spacing w:val="-2"/>
        </w:rPr>
        <w:t xml:space="preserve">in </w:t>
      </w:r>
      <w:r>
        <w:t>terms</w:t>
      </w:r>
      <w:r>
        <w:rPr>
          <w:spacing w:val="-14"/>
        </w:rPr>
        <w:t xml:space="preserve"> </w:t>
      </w:r>
      <w:r>
        <w:t>of</w:t>
      </w:r>
      <w:r>
        <w:rPr>
          <w:spacing w:val="-14"/>
        </w:rPr>
        <w:t xml:space="preserve"> </w:t>
      </w:r>
      <w:r>
        <w:t>percentage</w:t>
      </w:r>
      <w:r>
        <w:rPr>
          <w:spacing w:val="-14"/>
        </w:rPr>
        <w:t xml:space="preserve"> </w:t>
      </w:r>
      <w:r>
        <w:t>of</w:t>
      </w:r>
      <w:r>
        <w:rPr>
          <w:spacing w:val="-14"/>
        </w:rPr>
        <w:t xml:space="preserve"> </w:t>
      </w:r>
      <w:r>
        <w:t>GSP,</w:t>
      </w:r>
      <w:r>
        <w:rPr>
          <w:spacing w:val="-14"/>
        </w:rPr>
        <w:t xml:space="preserve"> </w:t>
      </w:r>
      <w:r>
        <w:t>than</w:t>
      </w:r>
      <w:r>
        <w:rPr>
          <w:spacing w:val="-14"/>
        </w:rPr>
        <w:t xml:space="preserve"> </w:t>
      </w:r>
      <w:r>
        <w:t>Victoria</w:t>
      </w:r>
      <w:r>
        <w:rPr>
          <w:spacing w:val="-14"/>
        </w:rPr>
        <w:t xml:space="preserve"> </w:t>
      </w:r>
      <w:r>
        <w:t>(the</w:t>
      </w:r>
      <w:r>
        <w:rPr>
          <w:spacing w:val="-14"/>
        </w:rPr>
        <w:t xml:space="preserve"> </w:t>
      </w:r>
      <w:r>
        <w:t>most comparable</w:t>
      </w:r>
      <w:r>
        <w:rPr>
          <w:spacing w:val="-14"/>
        </w:rPr>
        <w:t xml:space="preserve"> </w:t>
      </w:r>
      <w:r>
        <w:t>State,</w:t>
      </w:r>
      <w:r>
        <w:rPr>
          <w:spacing w:val="-14"/>
        </w:rPr>
        <w:t xml:space="preserve"> </w:t>
      </w:r>
      <w:r>
        <w:t>given</w:t>
      </w:r>
      <w:r>
        <w:rPr>
          <w:spacing w:val="-13"/>
        </w:rPr>
        <w:t xml:space="preserve"> </w:t>
      </w:r>
      <w:r>
        <w:t>the</w:t>
      </w:r>
      <w:r>
        <w:rPr>
          <w:spacing w:val="-14"/>
        </w:rPr>
        <w:t xml:space="preserve"> </w:t>
      </w:r>
      <w:r>
        <w:t>exceptional</w:t>
      </w:r>
      <w:r>
        <w:rPr>
          <w:spacing w:val="-14"/>
        </w:rPr>
        <w:t xml:space="preserve"> </w:t>
      </w:r>
      <w:r>
        <w:t>resources boom</w:t>
      </w:r>
      <w:r>
        <w:rPr>
          <w:spacing w:val="-14"/>
        </w:rPr>
        <w:t xml:space="preserve"> </w:t>
      </w:r>
      <w:r>
        <w:t>in</w:t>
      </w:r>
      <w:r>
        <w:rPr>
          <w:spacing w:val="-14"/>
        </w:rPr>
        <w:t xml:space="preserve"> </w:t>
      </w:r>
      <w:r>
        <w:t>other</w:t>
      </w:r>
      <w:r>
        <w:rPr>
          <w:spacing w:val="-14"/>
        </w:rPr>
        <w:t xml:space="preserve"> </w:t>
      </w:r>
      <w:r>
        <w:t>major</w:t>
      </w:r>
      <w:r>
        <w:rPr>
          <w:spacing w:val="-14"/>
        </w:rPr>
        <w:t xml:space="preserve"> </w:t>
      </w:r>
      <w:r>
        <w:t>States),</w:t>
      </w:r>
      <w:r>
        <w:rPr>
          <w:spacing w:val="-14"/>
        </w:rPr>
        <w:t xml:space="preserve"> </w:t>
      </w:r>
      <w:r>
        <w:t>as</w:t>
      </w:r>
      <w:r>
        <w:rPr>
          <w:spacing w:val="-14"/>
        </w:rPr>
        <w:t xml:space="preserve"> </w:t>
      </w:r>
      <w:r>
        <w:t>shown</w:t>
      </w:r>
      <w:r>
        <w:rPr>
          <w:spacing w:val="-14"/>
        </w:rPr>
        <w:t xml:space="preserve"> </w:t>
      </w:r>
      <w:r>
        <w:t>in</w:t>
      </w:r>
      <w:r>
        <w:rPr>
          <w:spacing w:val="-14"/>
        </w:rPr>
        <w:t xml:space="preserve"> </w:t>
      </w:r>
      <w:r>
        <w:t>Figure</w:t>
      </w:r>
      <w:r>
        <w:rPr>
          <w:spacing w:val="-14"/>
        </w:rPr>
        <w:t xml:space="preserve"> </w:t>
      </w:r>
      <w:r>
        <w:t>1.4 below.</w:t>
      </w:r>
      <w:r>
        <w:rPr>
          <w:spacing w:val="-14"/>
        </w:rPr>
        <w:t xml:space="preserve"> </w:t>
      </w:r>
      <w:r>
        <w:t>This</w:t>
      </w:r>
      <w:r>
        <w:rPr>
          <w:spacing w:val="-14"/>
        </w:rPr>
        <w:t xml:space="preserve"> </w:t>
      </w:r>
      <w:r>
        <w:t>suggests</w:t>
      </w:r>
      <w:r>
        <w:rPr>
          <w:spacing w:val="-14"/>
        </w:rPr>
        <w:t xml:space="preserve"> </w:t>
      </w:r>
      <w:r>
        <w:t>that</w:t>
      </w:r>
      <w:r>
        <w:rPr>
          <w:spacing w:val="-14"/>
        </w:rPr>
        <w:t xml:space="preserve"> </w:t>
      </w:r>
      <w:r>
        <w:t>high</w:t>
      </w:r>
      <w:r>
        <w:rPr>
          <w:spacing w:val="-14"/>
        </w:rPr>
        <w:t xml:space="preserve"> </w:t>
      </w:r>
      <w:r>
        <w:t>levels</w:t>
      </w:r>
      <w:r>
        <w:rPr>
          <w:spacing w:val="-14"/>
        </w:rPr>
        <w:t xml:space="preserve"> </w:t>
      </w:r>
      <w:r>
        <w:t>of</w:t>
      </w:r>
      <w:r>
        <w:rPr>
          <w:spacing w:val="-14"/>
        </w:rPr>
        <w:t xml:space="preserve"> </w:t>
      </w:r>
      <w:r>
        <w:t xml:space="preserve">infrastructure </w:t>
      </w:r>
      <w:r>
        <w:rPr>
          <w:w w:val="95"/>
        </w:rPr>
        <w:t>spending do not guarantee better economic outcomes.</w:t>
      </w:r>
    </w:p>
    <w:p w:rsidR="002C1123" w:rsidRDefault="00F22F94">
      <w:pPr>
        <w:pStyle w:val="BodyText"/>
        <w:spacing w:before="172"/>
        <w:ind w:left="289"/>
      </w:pPr>
      <w:r>
        <w:br w:type="column"/>
      </w:r>
      <w:r>
        <w:rPr>
          <w:spacing w:val="-2"/>
          <w:w w:val="95"/>
        </w:rPr>
        <w:t>As</w:t>
      </w:r>
      <w:r>
        <w:rPr>
          <w:spacing w:val="-4"/>
          <w:w w:val="95"/>
        </w:rPr>
        <w:t xml:space="preserve"> </w:t>
      </w:r>
      <w:r>
        <w:rPr>
          <w:spacing w:val="-2"/>
          <w:w w:val="95"/>
        </w:rPr>
        <w:t>the</w:t>
      </w:r>
      <w:r>
        <w:rPr>
          <w:spacing w:val="-5"/>
          <w:w w:val="95"/>
        </w:rPr>
        <w:t xml:space="preserve"> </w:t>
      </w:r>
      <w:r>
        <w:rPr>
          <w:spacing w:val="-2"/>
          <w:w w:val="95"/>
        </w:rPr>
        <w:t>Treasurer</w:t>
      </w:r>
      <w:r>
        <w:rPr>
          <w:spacing w:val="-4"/>
          <w:w w:val="95"/>
        </w:rPr>
        <w:t xml:space="preserve"> </w:t>
      </w:r>
      <w:r>
        <w:rPr>
          <w:spacing w:val="-2"/>
          <w:w w:val="95"/>
        </w:rPr>
        <w:t>noted</w:t>
      </w:r>
      <w:r>
        <w:rPr>
          <w:spacing w:val="-4"/>
          <w:w w:val="95"/>
        </w:rPr>
        <w:t xml:space="preserve"> </w:t>
      </w:r>
      <w:r>
        <w:rPr>
          <w:spacing w:val="-2"/>
          <w:w w:val="95"/>
        </w:rPr>
        <w:t>in</w:t>
      </w:r>
      <w:r>
        <w:rPr>
          <w:spacing w:val="-4"/>
          <w:w w:val="95"/>
        </w:rPr>
        <w:t xml:space="preserve"> </w:t>
      </w:r>
      <w:r>
        <w:rPr>
          <w:spacing w:val="-2"/>
          <w:w w:val="95"/>
        </w:rPr>
        <w:t>the</w:t>
      </w:r>
      <w:r>
        <w:rPr>
          <w:spacing w:val="-4"/>
          <w:w w:val="95"/>
        </w:rPr>
        <w:t xml:space="preserve"> </w:t>
      </w:r>
      <w:r>
        <w:rPr>
          <w:spacing w:val="-2"/>
          <w:w w:val="95"/>
        </w:rPr>
        <w:t>2012-13</w:t>
      </w:r>
      <w:r>
        <w:rPr>
          <w:spacing w:val="-4"/>
          <w:w w:val="95"/>
        </w:rPr>
        <w:t xml:space="preserve"> </w:t>
      </w:r>
      <w:r>
        <w:rPr>
          <w:spacing w:val="-2"/>
          <w:w w:val="95"/>
        </w:rPr>
        <w:t>Budget</w:t>
      </w:r>
      <w:r>
        <w:rPr>
          <w:spacing w:val="-4"/>
          <w:w w:val="95"/>
        </w:rPr>
        <w:t xml:space="preserve"> </w:t>
      </w:r>
      <w:r>
        <w:rPr>
          <w:spacing w:val="-2"/>
          <w:w w:val="95"/>
        </w:rPr>
        <w:t>speech:</w:t>
      </w:r>
    </w:p>
    <w:p w:rsidR="002C1123" w:rsidRDefault="00F22F94">
      <w:pPr>
        <w:spacing w:before="150" w:line="259" w:lineRule="auto"/>
        <w:ind w:left="583" w:hanging="18"/>
        <w:rPr>
          <w:sz w:val="18"/>
        </w:rPr>
      </w:pPr>
      <w:r>
        <w:rPr>
          <w:sz w:val="18"/>
        </w:rPr>
        <w:t>The</w:t>
      </w:r>
      <w:r>
        <w:rPr>
          <w:spacing w:val="-11"/>
          <w:sz w:val="18"/>
        </w:rPr>
        <w:t xml:space="preserve"> </w:t>
      </w:r>
      <w:r>
        <w:rPr>
          <w:sz w:val="18"/>
        </w:rPr>
        <w:t>deterioration</w:t>
      </w:r>
      <w:r>
        <w:rPr>
          <w:spacing w:val="-11"/>
          <w:sz w:val="18"/>
        </w:rPr>
        <w:t xml:space="preserve"> </w:t>
      </w:r>
      <w:r>
        <w:rPr>
          <w:sz w:val="18"/>
        </w:rPr>
        <w:t>in</w:t>
      </w:r>
      <w:r>
        <w:rPr>
          <w:spacing w:val="-11"/>
          <w:sz w:val="18"/>
        </w:rPr>
        <w:t xml:space="preserve"> </w:t>
      </w:r>
      <w:r>
        <w:rPr>
          <w:sz w:val="18"/>
        </w:rPr>
        <w:t>the</w:t>
      </w:r>
      <w:r>
        <w:rPr>
          <w:spacing w:val="-11"/>
          <w:sz w:val="18"/>
        </w:rPr>
        <w:t xml:space="preserve"> </w:t>
      </w:r>
      <w:r>
        <w:rPr>
          <w:sz w:val="18"/>
        </w:rPr>
        <w:t>State’s</w:t>
      </w:r>
      <w:r>
        <w:rPr>
          <w:spacing w:val="-11"/>
          <w:sz w:val="18"/>
        </w:rPr>
        <w:t xml:space="preserve"> </w:t>
      </w:r>
      <w:r>
        <w:rPr>
          <w:sz w:val="18"/>
        </w:rPr>
        <w:t>revenue</w:t>
      </w:r>
      <w:r>
        <w:rPr>
          <w:spacing w:val="-11"/>
          <w:sz w:val="18"/>
        </w:rPr>
        <w:t xml:space="preserve"> </w:t>
      </w:r>
      <w:r>
        <w:rPr>
          <w:sz w:val="18"/>
        </w:rPr>
        <w:t>position</w:t>
      </w:r>
      <w:r>
        <w:rPr>
          <w:spacing w:val="-11"/>
          <w:sz w:val="18"/>
        </w:rPr>
        <w:t xml:space="preserve"> </w:t>
      </w:r>
      <w:r>
        <w:rPr>
          <w:sz w:val="18"/>
        </w:rPr>
        <w:t>due</w:t>
      </w:r>
      <w:r>
        <w:rPr>
          <w:spacing w:val="-11"/>
          <w:sz w:val="18"/>
        </w:rPr>
        <w:t xml:space="preserve"> </w:t>
      </w:r>
      <w:r>
        <w:rPr>
          <w:sz w:val="18"/>
        </w:rPr>
        <w:t>to the</w:t>
      </w:r>
      <w:r>
        <w:rPr>
          <w:spacing w:val="-7"/>
          <w:sz w:val="18"/>
        </w:rPr>
        <w:t xml:space="preserve"> </w:t>
      </w:r>
      <w:r>
        <w:rPr>
          <w:sz w:val="18"/>
        </w:rPr>
        <w:t>write-down</w:t>
      </w:r>
      <w:r>
        <w:rPr>
          <w:spacing w:val="-7"/>
          <w:sz w:val="18"/>
        </w:rPr>
        <w:t xml:space="preserve"> </w:t>
      </w:r>
      <w:r>
        <w:rPr>
          <w:sz w:val="18"/>
        </w:rPr>
        <w:t>in</w:t>
      </w:r>
      <w:r>
        <w:rPr>
          <w:spacing w:val="-7"/>
          <w:sz w:val="18"/>
        </w:rPr>
        <w:t xml:space="preserve"> </w:t>
      </w:r>
      <w:r>
        <w:rPr>
          <w:sz w:val="18"/>
        </w:rPr>
        <w:t>the</w:t>
      </w:r>
      <w:r>
        <w:rPr>
          <w:spacing w:val="-7"/>
          <w:sz w:val="18"/>
        </w:rPr>
        <w:t xml:space="preserve"> </w:t>
      </w:r>
      <w:r>
        <w:rPr>
          <w:sz w:val="18"/>
        </w:rPr>
        <w:t>GST</w:t>
      </w:r>
      <w:r>
        <w:rPr>
          <w:spacing w:val="-7"/>
          <w:sz w:val="18"/>
        </w:rPr>
        <w:t xml:space="preserve"> </w:t>
      </w:r>
      <w:r>
        <w:rPr>
          <w:sz w:val="18"/>
        </w:rPr>
        <w:t>requires</w:t>
      </w:r>
      <w:r>
        <w:rPr>
          <w:spacing w:val="-7"/>
          <w:sz w:val="18"/>
        </w:rPr>
        <w:t xml:space="preserve"> </w:t>
      </w:r>
      <w:r>
        <w:rPr>
          <w:sz w:val="18"/>
        </w:rPr>
        <w:t>urgent</w:t>
      </w:r>
      <w:r>
        <w:rPr>
          <w:spacing w:val="-7"/>
          <w:sz w:val="18"/>
        </w:rPr>
        <w:t xml:space="preserve"> </w:t>
      </w:r>
      <w:r>
        <w:rPr>
          <w:sz w:val="18"/>
        </w:rPr>
        <w:t>and</w:t>
      </w:r>
      <w:r>
        <w:rPr>
          <w:spacing w:val="-7"/>
          <w:sz w:val="18"/>
        </w:rPr>
        <w:t xml:space="preserve"> </w:t>
      </w:r>
      <w:r>
        <w:rPr>
          <w:sz w:val="18"/>
        </w:rPr>
        <w:t xml:space="preserve">serious </w:t>
      </w:r>
      <w:r>
        <w:rPr>
          <w:w w:val="95"/>
          <w:sz w:val="18"/>
        </w:rPr>
        <w:t xml:space="preserve">action. A further $2.4 billion in savings is identified in this Budget, building on those savings measures announced last year. At a time when households are tightening their </w:t>
      </w:r>
      <w:r>
        <w:rPr>
          <w:sz w:val="18"/>
        </w:rPr>
        <w:t>belts, this Government will do the same</w:t>
      </w:r>
      <w:r>
        <w:rPr>
          <w:position w:val="6"/>
          <w:sz w:val="10"/>
        </w:rPr>
        <w:t>2</w:t>
      </w:r>
      <w:r>
        <w:rPr>
          <w:sz w:val="18"/>
        </w:rPr>
        <w:t>.</w:t>
      </w:r>
    </w:p>
    <w:p w:rsidR="002C1123" w:rsidRDefault="002060EF">
      <w:pPr>
        <w:pStyle w:val="BodyText"/>
        <w:spacing w:before="1"/>
        <w:rPr>
          <w:sz w:val="15"/>
        </w:rPr>
      </w:pPr>
      <w:r>
        <w:pict>
          <v:shape id="docshape158" o:spid="_x0000_s5136" style="position:absolute;margin-left:300.95pt;margin-top:9.9pt;width:1in;height:.1pt;z-index:-251427840;mso-wrap-distance-left:0;mso-wrap-distance-right:0;mso-position-horizontal-relative:page" coordorigin="6019,198" coordsize="1440,0" path="m6019,198r1440,e" filled="f" strokecolor="#9c9c9d" strokeweight=".5pt">
            <v:path arrowok="t"/>
            <w10:wrap type="topAndBottom" anchorx="page"/>
          </v:shape>
        </w:pict>
      </w:r>
    </w:p>
    <w:p w:rsidR="002C1123" w:rsidRDefault="00F22F94">
      <w:pPr>
        <w:pStyle w:val="ListParagraph"/>
        <w:numPr>
          <w:ilvl w:val="0"/>
          <w:numId w:val="3"/>
        </w:numPr>
        <w:tabs>
          <w:tab w:val="left" w:pos="491"/>
        </w:tabs>
        <w:spacing w:before="23"/>
        <w:ind w:left="491" w:hanging="188"/>
        <w:jc w:val="left"/>
        <w:rPr>
          <w:sz w:val="14"/>
        </w:rPr>
      </w:pPr>
      <w:r>
        <w:rPr>
          <w:w w:val="95"/>
          <w:sz w:val="14"/>
        </w:rPr>
        <w:t>NSW</w:t>
      </w:r>
      <w:r>
        <w:rPr>
          <w:spacing w:val="-1"/>
          <w:sz w:val="14"/>
        </w:rPr>
        <w:t xml:space="preserve"> </w:t>
      </w:r>
      <w:r>
        <w:rPr>
          <w:w w:val="95"/>
          <w:sz w:val="14"/>
        </w:rPr>
        <w:t>Treasurer</w:t>
      </w:r>
      <w:r>
        <w:rPr>
          <w:spacing w:val="-1"/>
          <w:sz w:val="14"/>
        </w:rPr>
        <w:t xml:space="preserve"> </w:t>
      </w:r>
      <w:r>
        <w:rPr>
          <w:w w:val="95"/>
          <w:sz w:val="14"/>
        </w:rPr>
        <w:t>Mike</w:t>
      </w:r>
      <w:r>
        <w:rPr>
          <w:spacing w:val="-1"/>
          <w:sz w:val="14"/>
        </w:rPr>
        <w:t xml:space="preserve"> </w:t>
      </w:r>
      <w:r>
        <w:rPr>
          <w:w w:val="95"/>
          <w:sz w:val="14"/>
        </w:rPr>
        <w:t>Baird,</w:t>
      </w:r>
      <w:r>
        <w:rPr>
          <w:spacing w:val="-1"/>
          <w:sz w:val="14"/>
        </w:rPr>
        <w:t xml:space="preserve"> </w:t>
      </w:r>
      <w:r>
        <w:rPr>
          <w:w w:val="95"/>
          <w:sz w:val="14"/>
        </w:rPr>
        <w:t>Budget</w:t>
      </w:r>
      <w:r>
        <w:rPr>
          <w:spacing w:val="-1"/>
          <w:sz w:val="14"/>
        </w:rPr>
        <w:t xml:space="preserve"> </w:t>
      </w:r>
      <w:r>
        <w:rPr>
          <w:w w:val="95"/>
          <w:sz w:val="14"/>
        </w:rPr>
        <w:t>Speech,</w:t>
      </w:r>
      <w:r>
        <w:rPr>
          <w:spacing w:val="-1"/>
          <w:sz w:val="14"/>
        </w:rPr>
        <w:t xml:space="preserve"> </w:t>
      </w:r>
      <w:r>
        <w:rPr>
          <w:w w:val="95"/>
          <w:sz w:val="14"/>
        </w:rPr>
        <w:t>2012-</w:t>
      </w:r>
      <w:r>
        <w:rPr>
          <w:spacing w:val="-5"/>
          <w:w w:val="95"/>
          <w:sz w:val="14"/>
        </w:rPr>
        <w:t>13.</w:t>
      </w:r>
    </w:p>
    <w:p w:rsidR="002C1123" w:rsidRDefault="00F22F94">
      <w:pPr>
        <w:pStyle w:val="BodyText"/>
        <w:spacing w:before="117" w:line="249" w:lineRule="auto"/>
        <w:ind w:left="382" w:right="908" w:firstLine="5"/>
      </w:pPr>
      <w:r>
        <w:br w:type="column"/>
      </w:r>
      <w:r>
        <w:rPr>
          <w:w w:val="95"/>
        </w:rPr>
        <w:t>risk increasing the public debt burden and/or the cost of living without improving productivity or providing a</w:t>
      </w:r>
    </w:p>
    <w:p w:rsidR="002C1123" w:rsidRDefault="00F22F94">
      <w:pPr>
        <w:pStyle w:val="BodyText"/>
        <w:spacing w:before="1" w:line="249" w:lineRule="auto"/>
        <w:ind w:left="382" w:right="477" w:firstLine="5"/>
      </w:pPr>
      <w:r>
        <w:rPr>
          <w:w w:val="95"/>
        </w:rPr>
        <w:t>better</w:t>
      </w:r>
      <w:r>
        <w:rPr>
          <w:spacing w:val="-7"/>
          <w:w w:val="95"/>
        </w:rPr>
        <w:t xml:space="preserve"> </w:t>
      </w:r>
      <w:r>
        <w:rPr>
          <w:w w:val="95"/>
        </w:rPr>
        <w:t>life.</w:t>
      </w:r>
      <w:r>
        <w:rPr>
          <w:spacing w:val="-7"/>
          <w:w w:val="95"/>
        </w:rPr>
        <w:t xml:space="preserve"> </w:t>
      </w:r>
      <w:r>
        <w:rPr>
          <w:w w:val="95"/>
        </w:rPr>
        <w:t>A</w:t>
      </w:r>
      <w:r>
        <w:rPr>
          <w:spacing w:val="-7"/>
          <w:w w:val="95"/>
        </w:rPr>
        <w:t xml:space="preserve"> </w:t>
      </w:r>
      <w:r>
        <w:rPr>
          <w:w w:val="95"/>
        </w:rPr>
        <w:t>single</w:t>
      </w:r>
      <w:r>
        <w:rPr>
          <w:spacing w:val="-7"/>
          <w:w w:val="95"/>
        </w:rPr>
        <w:t xml:space="preserve"> </w:t>
      </w:r>
      <w:r>
        <w:rPr>
          <w:w w:val="95"/>
        </w:rPr>
        <w:t>major</w:t>
      </w:r>
      <w:r>
        <w:rPr>
          <w:spacing w:val="-7"/>
          <w:w w:val="95"/>
        </w:rPr>
        <w:t xml:space="preserve"> </w:t>
      </w:r>
      <w:r>
        <w:rPr>
          <w:w w:val="95"/>
        </w:rPr>
        <w:t>public</w:t>
      </w:r>
      <w:r>
        <w:rPr>
          <w:spacing w:val="-7"/>
          <w:w w:val="95"/>
        </w:rPr>
        <w:t xml:space="preserve"> </w:t>
      </w:r>
      <w:r>
        <w:rPr>
          <w:w w:val="95"/>
        </w:rPr>
        <w:t>infrastructure</w:t>
      </w:r>
      <w:r>
        <w:rPr>
          <w:spacing w:val="-7"/>
          <w:w w:val="95"/>
        </w:rPr>
        <w:t xml:space="preserve"> </w:t>
      </w:r>
      <w:r>
        <w:rPr>
          <w:w w:val="95"/>
        </w:rPr>
        <w:t xml:space="preserve">investment </w:t>
      </w:r>
      <w:r>
        <w:t>can</w:t>
      </w:r>
      <w:r>
        <w:rPr>
          <w:spacing w:val="-10"/>
        </w:rPr>
        <w:t xml:space="preserve"> </w:t>
      </w:r>
      <w:r>
        <w:t>cost</w:t>
      </w:r>
      <w:r>
        <w:rPr>
          <w:spacing w:val="-10"/>
        </w:rPr>
        <w:t xml:space="preserve"> </w:t>
      </w:r>
      <w:r>
        <w:t>every</w:t>
      </w:r>
      <w:r>
        <w:rPr>
          <w:spacing w:val="-10"/>
        </w:rPr>
        <w:t xml:space="preserve"> </w:t>
      </w:r>
      <w:r>
        <w:t>person</w:t>
      </w:r>
      <w:r>
        <w:rPr>
          <w:spacing w:val="-10"/>
        </w:rPr>
        <w:t xml:space="preserve"> </w:t>
      </w:r>
      <w:r>
        <w:t>in</w:t>
      </w:r>
      <w:r>
        <w:rPr>
          <w:spacing w:val="-10"/>
        </w:rPr>
        <w:t xml:space="preserve"> </w:t>
      </w:r>
      <w:r>
        <w:t>NSW</w:t>
      </w:r>
      <w:r>
        <w:rPr>
          <w:spacing w:val="-10"/>
        </w:rPr>
        <w:t xml:space="preserve"> </w:t>
      </w:r>
      <w:r>
        <w:t>thousands</w:t>
      </w:r>
      <w:r>
        <w:rPr>
          <w:spacing w:val="-10"/>
        </w:rPr>
        <w:t xml:space="preserve"> </w:t>
      </w:r>
      <w:r>
        <w:t>of</w:t>
      </w:r>
      <w:r>
        <w:rPr>
          <w:spacing w:val="-10"/>
        </w:rPr>
        <w:t xml:space="preserve"> </w:t>
      </w:r>
      <w:r>
        <w:t>dollars.</w:t>
      </w:r>
    </w:p>
    <w:p w:rsidR="002C1123" w:rsidRDefault="00F22F94">
      <w:pPr>
        <w:pStyle w:val="BodyText"/>
        <w:spacing w:before="2" w:line="398" w:lineRule="auto"/>
        <w:ind w:left="373" w:right="1378" w:hanging="10"/>
      </w:pPr>
      <w:r>
        <w:t>Therefore</w:t>
      </w:r>
      <w:r>
        <w:rPr>
          <w:spacing w:val="-14"/>
        </w:rPr>
        <w:t xml:space="preserve"> </w:t>
      </w:r>
      <w:r>
        <w:t>the</w:t>
      </w:r>
      <w:r>
        <w:rPr>
          <w:spacing w:val="-14"/>
        </w:rPr>
        <w:t xml:space="preserve"> </w:t>
      </w:r>
      <w:r>
        <w:t>benefits</w:t>
      </w:r>
      <w:r>
        <w:rPr>
          <w:spacing w:val="-14"/>
        </w:rPr>
        <w:t xml:space="preserve"> </w:t>
      </w:r>
      <w:r>
        <w:t>must</w:t>
      </w:r>
      <w:r>
        <w:rPr>
          <w:spacing w:val="-14"/>
        </w:rPr>
        <w:t xml:space="preserve"> </w:t>
      </w:r>
      <w:r>
        <w:t>outweigh</w:t>
      </w:r>
      <w:r>
        <w:rPr>
          <w:spacing w:val="-14"/>
        </w:rPr>
        <w:t xml:space="preserve"> </w:t>
      </w:r>
      <w:r>
        <w:t>the</w:t>
      </w:r>
      <w:r>
        <w:rPr>
          <w:spacing w:val="-14"/>
        </w:rPr>
        <w:t xml:space="preserve"> </w:t>
      </w:r>
      <w:r>
        <w:t xml:space="preserve">costs. </w:t>
      </w:r>
      <w:r>
        <w:rPr>
          <w:w w:val="95"/>
        </w:rPr>
        <w:t>Although</w:t>
      </w:r>
      <w:r>
        <w:rPr>
          <w:spacing w:val="-3"/>
          <w:w w:val="95"/>
        </w:rPr>
        <w:t xml:space="preserve"> </w:t>
      </w:r>
      <w:r>
        <w:rPr>
          <w:w w:val="95"/>
        </w:rPr>
        <w:t>there</w:t>
      </w:r>
      <w:r>
        <w:rPr>
          <w:spacing w:val="-3"/>
          <w:w w:val="95"/>
        </w:rPr>
        <w:t xml:space="preserve"> </w:t>
      </w:r>
      <w:r>
        <w:rPr>
          <w:w w:val="95"/>
        </w:rPr>
        <w:t>are</w:t>
      </w:r>
      <w:r>
        <w:rPr>
          <w:spacing w:val="-3"/>
          <w:w w:val="95"/>
        </w:rPr>
        <w:t xml:space="preserve"> </w:t>
      </w:r>
      <w:r>
        <w:rPr>
          <w:w w:val="95"/>
        </w:rPr>
        <w:t>other</w:t>
      </w:r>
      <w:r>
        <w:rPr>
          <w:spacing w:val="-3"/>
          <w:w w:val="95"/>
        </w:rPr>
        <w:t xml:space="preserve"> </w:t>
      </w:r>
      <w:r>
        <w:rPr>
          <w:w w:val="95"/>
        </w:rPr>
        <w:t>factors</w:t>
      </w:r>
      <w:r>
        <w:rPr>
          <w:spacing w:val="-3"/>
          <w:w w:val="95"/>
        </w:rPr>
        <w:t xml:space="preserve"> </w:t>
      </w:r>
      <w:r>
        <w:rPr>
          <w:w w:val="95"/>
        </w:rPr>
        <w:t>that</w:t>
      </w:r>
      <w:r>
        <w:rPr>
          <w:spacing w:val="-3"/>
          <w:w w:val="95"/>
        </w:rPr>
        <w:t xml:space="preserve"> </w:t>
      </w:r>
      <w:r>
        <w:rPr>
          <w:w w:val="95"/>
        </w:rPr>
        <w:t>would</w:t>
      </w:r>
      <w:r>
        <w:rPr>
          <w:spacing w:val="-3"/>
          <w:w w:val="95"/>
        </w:rPr>
        <w:t xml:space="preserve"> </w:t>
      </w:r>
      <w:r>
        <w:rPr>
          <w:w w:val="95"/>
        </w:rPr>
        <w:t>affect</w:t>
      </w:r>
    </w:p>
    <w:p w:rsidR="002C1123" w:rsidRDefault="002060EF">
      <w:pPr>
        <w:pStyle w:val="BodyText"/>
        <w:spacing w:before="9"/>
        <w:rPr>
          <w:sz w:val="5"/>
        </w:rPr>
      </w:pPr>
      <w:r>
        <w:pict>
          <v:shape id="docshape159" o:spid="_x0000_s5135" style="position:absolute;margin-left:552.3pt;margin-top:4.55pt;width:1in;height:.1pt;z-index:-251426816;mso-wrap-distance-left:0;mso-wrap-distance-right:0;mso-position-horizontal-relative:page" coordorigin="11046,91" coordsize="1440,0" path="m11046,91r1440,e" filled="f" strokecolor="#9c9c9d" strokeweight=".5pt">
            <v:path arrowok="t"/>
            <w10:wrap type="topAndBottom" anchorx="page"/>
          </v:shape>
        </w:pict>
      </w:r>
    </w:p>
    <w:p w:rsidR="002C1123" w:rsidRDefault="00F22F94">
      <w:pPr>
        <w:pStyle w:val="ListParagraph"/>
        <w:numPr>
          <w:ilvl w:val="0"/>
          <w:numId w:val="3"/>
        </w:numPr>
        <w:tabs>
          <w:tab w:val="left" w:pos="575"/>
        </w:tabs>
        <w:spacing w:before="23"/>
        <w:ind w:left="587" w:right="755" w:hanging="199"/>
        <w:jc w:val="left"/>
        <w:rPr>
          <w:sz w:val="14"/>
        </w:rPr>
      </w:pPr>
      <w:r>
        <w:rPr>
          <w:w w:val="95"/>
          <w:sz w:val="14"/>
        </w:rPr>
        <w:t>Deloitte Access Economics 2012, The NSW Economy in 2031-32: Report to</w:t>
      </w:r>
      <w:r>
        <w:rPr>
          <w:spacing w:val="40"/>
          <w:sz w:val="14"/>
        </w:rPr>
        <w:t xml:space="preserve"> </w:t>
      </w:r>
      <w:r>
        <w:rPr>
          <w:sz w:val="14"/>
        </w:rPr>
        <w:t>Infrastructure</w:t>
      </w:r>
      <w:r>
        <w:rPr>
          <w:spacing w:val="-10"/>
          <w:sz w:val="14"/>
        </w:rPr>
        <w:t xml:space="preserve"> </w:t>
      </w:r>
      <w:r>
        <w:rPr>
          <w:sz w:val="14"/>
        </w:rPr>
        <w:t>NSW.</w:t>
      </w:r>
    </w:p>
    <w:p w:rsidR="002C1123" w:rsidRDefault="002C1123">
      <w:pPr>
        <w:rPr>
          <w:sz w:val="14"/>
        </w:rPr>
        <w:sectPr w:rsidR="002C1123">
          <w:type w:val="continuous"/>
          <w:pgSz w:w="16840" w:h="11910" w:orient="landscape"/>
          <w:pgMar w:top="560" w:right="280" w:bottom="280" w:left="500" w:header="0" w:footer="517" w:gutter="0"/>
          <w:cols w:num="3" w:space="720" w:equalWidth="0">
            <w:col w:w="5187" w:space="40"/>
            <w:col w:w="4903" w:space="39"/>
            <w:col w:w="5891"/>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BodyText"/>
        <w:spacing w:before="106" w:line="249" w:lineRule="auto"/>
        <w:ind w:left="500" w:right="266"/>
      </w:pPr>
      <w:bookmarkStart w:id="41" w:name="1.3_Infrastructure_NSW"/>
      <w:bookmarkStart w:id="42" w:name="_bookmark29"/>
      <w:bookmarkStart w:id="43" w:name="_bookmark28"/>
      <w:bookmarkEnd w:id="41"/>
      <w:bookmarkEnd w:id="42"/>
      <w:bookmarkEnd w:id="43"/>
      <w:r>
        <w:rPr>
          <w:w w:val="95"/>
        </w:rPr>
        <w:t xml:space="preserve">each State’s economic performance, this analysis </w:t>
      </w:r>
      <w:r>
        <w:t>suggests</w:t>
      </w:r>
      <w:r>
        <w:rPr>
          <w:spacing w:val="-12"/>
        </w:rPr>
        <w:t xml:space="preserve"> </w:t>
      </w:r>
      <w:r>
        <w:t>that</w:t>
      </w:r>
      <w:r>
        <w:rPr>
          <w:spacing w:val="-12"/>
        </w:rPr>
        <w:t xml:space="preserve"> </w:t>
      </w:r>
      <w:r>
        <w:t>the</w:t>
      </w:r>
      <w:r>
        <w:rPr>
          <w:spacing w:val="-12"/>
        </w:rPr>
        <w:t xml:space="preserve"> </w:t>
      </w:r>
      <w:r>
        <w:t>quality</w:t>
      </w:r>
      <w:r>
        <w:rPr>
          <w:spacing w:val="-12"/>
        </w:rPr>
        <w:t xml:space="preserve"> </w:t>
      </w:r>
      <w:r>
        <w:t>of</w:t>
      </w:r>
      <w:r>
        <w:rPr>
          <w:spacing w:val="-12"/>
        </w:rPr>
        <w:t xml:space="preserve"> </w:t>
      </w:r>
      <w:r>
        <w:t>investment</w:t>
      </w:r>
      <w:r>
        <w:rPr>
          <w:spacing w:val="-12"/>
        </w:rPr>
        <w:t xml:space="preserve"> </w:t>
      </w:r>
      <w:r>
        <w:t>is</w:t>
      </w:r>
      <w:r>
        <w:rPr>
          <w:spacing w:val="-12"/>
        </w:rPr>
        <w:t xml:space="preserve"> </w:t>
      </w:r>
      <w:r>
        <w:t>at</w:t>
      </w:r>
      <w:r>
        <w:rPr>
          <w:spacing w:val="-12"/>
        </w:rPr>
        <w:t xml:space="preserve"> </w:t>
      </w:r>
      <w:r>
        <w:t>least as</w:t>
      </w:r>
      <w:r>
        <w:rPr>
          <w:spacing w:val="-9"/>
        </w:rPr>
        <w:t xml:space="preserve"> </w:t>
      </w:r>
      <w:r>
        <w:t>important</w:t>
      </w:r>
      <w:r>
        <w:rPr>
          <w:spacing w:val="-9"/>
        </w:rPr>
        <w:t xml:space="preserve"> </w:t>
      </w:r>
      <w:r>
        <w:t>as</w:t>
      </w:r>
      <w:r>
        <w:rPr>
          <w:spacing w:val="-9"/>
        </w:rPr>
        <w:t xml:space="preserve"> </w:t>
      </w:r>
      <w:r>
        <w:t>that</w:t>
      </w:r>
      <w:r>
        <w:rPr>
          <w:spacing w:val="-9"/>
        </w:rPr>
        <w:t xml:space="preserve"> </w:t>
      </w:r>
      <w:r>
        <w:t>the</w:t>
      </w:r>
      <w:r>
        <w:rPr>
          <w:spacing w:val="-9"/>
        </w:rPr>
        <w:t xml:space="preserve"> </w:t>
      </w:r>
      <w:r>
        <w:t>quantity.</w:t>
      </w:r>
      <w:r>
        <w:rPr>
          <w:spacing w:val="-9"/>
        </w:rPr>
        <w:t xml:space="preserve"> </w:t>
      </w:r>
      <w:r>
        <w:t xml:space="preserve">Infrastructure </w:t>
      </w:r>
      <w:r>
        <w:rPr>
          <w:w w:val="95"/>
        </w:rPr>
        <w:t xml:space="preserve">performance is the result of planning, delivery and </w:t>
      </w:r>
      <w:r>
        <w:t>effective</w:t>
      </w:r>
      <w:r>
        <w:rPr>
          <w:spacing w:val="-10"/>
        </w:rPr>
        <w:t xml:space="preserve"> </w:t>
      </w:r>
      <w:r>
        <w:t>governance</w:t>
      </w:r>
      <w:r>
        <w:rPr>
          <w:spacing w:val="-10"/>
        </w:rPr>
        <w:t xml:space="preserve"> </w:t>
      </w:r>
      <w:r>
        <w:t>and</w:t>
      </w:r>
      <w:r>
        <w:rPr>
          <w:spacing w:val="-10"/>
        </w:rPr>
        <w:t xml:space="preserve"> </w:t>
      </w:r>
      <w:r>
        <w:t>market</w:t>
      </w:r>
      <w:r>
        <w:rPr>
          <w:spacing w:val="-10"/>
        </w:rPr>
        <w:t xml:space="preserve"> </w:t>
      </w:r>
      <w:r>
        <w:t xml:space="preserve">arrangements. </w:t>
      </w:r>
      <w:r>
        <w:rPr>
          <w:w w:val="95"/>
        </w:rPr>
        <w:t xml:space="preserve">Reform of infrastructure sectors introduced market </w:t>
      </w:r>
      <w:r>
        <w:t>incentives</w:t>
      </w:r>
      <w:r>
        <w:rPr>
          <w:spacing w:val="-13"/>
        </w:rPr>
        <w:t xml:space="preserve"> </w:t>
      </w:r>
      <w:r>
        <w:t>and</w:t>
      </w:r>
      <w:r>
        <w:rPr>
          <w:spacing w:val="-13"/>
        </w:rPr>
        <w:t xml:space="preserve"> </w:t>
      </w:r>
      <w:r>
        <w:t>efficiencies</w:t>
      </w:r>
      <w:r>
        <w:rPr>
          <w:spacing w:val="-13"/>
        </w:rPr>
        <w:t xml:space="preserve"> </w:t>
      </w:r>
      <w:r>
        <w:t>and</w:t>
      </w:r>
      <w:r>
        <w:rPr>
          <w:spacing w:val="-13"/>
        </w:rPr>
        <w:t xml:space="preserve"> </w:t>
      </w:r>
      <w:r>
        <w:t>delivered</w:t>
      </w:r>
      <w:r>
        <w:rPr>
          <w:spacing w:val="-13"/>
        </w:rPr>
        <w:t xml:space="preserve"> </w:t>
      </w:r>
      <w:r>
        <w:t xml:space="preserve">high </w:t>
      </w:r>
      <w:r>
        <w:rPr>
          <w:w w:val="95"/>
        </w:rPr>
        <w:t xml:space="preserve">productivity dividends in the 1980s and 1990s, but </w:t>
      </w:r>
      <w:r>
        <w:rPr>
          <w:spacing w:val="-2"/>
        </w:rPr>
        <w:t>the</w:t>
      </w:r>
      <w:r>
        <w:rPr>
          <w:spacing w:val="-9"/>
        </w:rPr>
        <w:t xml:space="preserve"> </w:t>
      </w:r>
      <w:r>
        <w:rPr>
          <w:spacing w:val="-2"/>
        </w:rPr>
        <w:t>reform</w:t>
      </w:r>
      <w:r>
        <w:rPr>
          <w:spacing w:val="-10"/>
        </w:rPr>
        <w:t xml:space="preserve"> </w:t>
      </w:r>
      <w:r>
        <w:rPr>
          <w:spacing w:val="-2"/>
        </w:rPr>
        <w:t>agenda</w:t>
      </w:r>
      <w:r>
        <w:rPr>
          <w:spacing w:val="-9"/>
        </w:rPr>
        <w:t xml:space="preserve"> </w:t>
      </w:r>
      <w:r>
        <w:rPr>
          <w:spacing w:val="-2"/>
        </w:rPr>
        <w:t>has</w:t>
      </w:r>
      <w:r>
        <w:rPr>
          <w:spacing w:val="-9"/>
        </w:rPr>
        <w:t xml:space="preserve"> </w:t>
      </w:r>
      <w:r>
        <w:rPr>
          <w:spacing w:val="-2"/>
        </w:rPr>
        <w:t>stalled</w:t>
      </w:r>
      <w:r>
        <w:rPr>
          <w:spacing w:val="-9"/>
        </w:rPr>
        <w:t xml:space="preserve"> </w:t>
      </w:r>
      <w:r>
        <w:rPr>
          <w:spacing w:val="-2"/>
        </w:rPr>
        <w:t>in</w:t>
      </w:r>
      <w:r>
        <w:rPr>
          <w:spacing w:val="-9"/>
        </w:rPr>
        <w:t xml:space="preserve"> </w:t>
      </w:r>
      <w:r>
        <w:rPr>
          <w:spacing w:val="-2"/>
        </w:rPr>
        <w:t>the</w:t>
      </w:r>
      <w:r>
        <w:rPr>
          <w:spacing w:val="-9"/>
        </w:rPr>
        <w:t xml:space="preserve"> </w:t>
      </w:r>
      <w:r>
        <w:rPr>
          <w:spacing w:val="-2"/>
        </w:rPr>
        <w:t>past</w:t>
      </w:r>
      <w:r>
        <w:rPr>
          <w:spacing w:val="-9"/>
        </w:rPr>
        <w:t xml:space="preserve"> </w:t>
      </w:r>
      <w:r>
        <w:rPr>
          <w:spacing w:val="-2"/>
        </w:rPr>
        <w:t>decade.</w:t>
      </w:r>
    </w:p>
    <w:p w:rsidR="002C1123" w:rsidRDefault="00F22F94">
      <w:pPr>
        <w:pStyle w:val="BodyText"/>
        <w:spacing w:before="149" w:line="249" w:lineRule="auto"/>
        <w:ind w:left="500"/>
      </w:pPr>
      <w:r>
        <w:t>Improving</w:t>
      </w:r>
      <w:r>
        <w:rPr>
          <w:spacing w:val="-8"/>
        </w:rPr>
        <w:t xml:space="preserve"> </w:t>
      </w:r>
      <w:r>
        <w:t>the</w:t>
      </w:r>
      <w:r>
        <w:rPr>
          <w:spacing w:val="-8"/>
        </w:rPr>
        <w:t xml:space="preserve"> </w:t>
      </w:r>
      <w:r>
        <w:t>planning,</w:t>
      </w:r>
      <w:r>
        <w:rPr>
          <w:spacing w:val="-8"/>
        </w:rPr>
        <w:t xml:space="preserve"> </w:t>
      </w:r>
      <w:r>
        <w:t>procurement</w:t>
      </w:r>
      <w:r>
        <w:rPr>
          <w:spacing w:val="-8"/>
        </w:rPr>
        <w:t xml:space="preserve"> </w:t>
      </w:r>
      <w:r>
        <w:t>and</w:t>
      </w:r>
      <w:r>
        <w:rPr>
          <w:spacing w:val="-8"/>
        </w:rPr>
        <w:t xml:space="preserve"> </w:t>
      </w:r>
      <w:r>
        <w:t>use</w:t>
      </w:r>
      <w:r>
        <w:rPr>
          <w:spacing w:val="-8"/>
        </w:rPr>
        <w:t xml:space="preserve"> </w:t>
      </w:r>
      <w:r>
        <w:t xml:space="preserve">of </w:t>
      </w:r>
      <w:r>
        <w:rPr>
          <w:w w:val="95"/>
        </w:rPr>
        <w:t>infrastructure</w:t>
      </w:r>
      <w:r>
        <w:rPr>
          <w:spacing w:val="-5"/>
          <w:w w:val="95"/>
        </w:rPr>
        <w:t xml:space="preserve"> </w:t>
      </w:r>
      <w:r>
        <w:rPr>
          <w:w w:val="95"/>
        </w:rPr>
        <w:t>will</w:t>
      </w:r>
      <w:r>
        <w:rPr>
          <w:spacing w:val="-5"/>
          <w:w w:val="95"/>
        </w:rPr>
        <w:t xml:space="preserve"> </w:t>
      </w:r>
      <w:r>
        <w:rPr>
          <w:w w:val="95"/>
        </w:rPr>
        <w:t>contribute</w:t>
      </w:r>
      <w:r>
        <w:rPr>
          <w:spacing w:val="-5"/>
          <w:w w:val="95"/>
        </w:rPr>
        <w:t xml:space="preserve"> </w:t>
      </w:r>
      <w:r>
        <w:rPr>
          <w:w w:val="95"/>
        </w:rPr>
        <w:t>to</w:t>
      </w:r>
      <w:r>
        <w:rPr>
          <w:spacing w:val="-5"/>
          <w:w w:val="95"/>
        </w:rPr>
        <w:t xml:space="preserve"> </w:t>
      </w:r>
      <w:r>
        <w:rPr>
          <w:w w:val="95"/>
        </w:rPr>
        <w:t>reversing</w:t>
      </w:r>
      <w:r>
        <w:rPr>
          <w:spacing w:val="-5"/>
          <w:w w:val="95"/>
        </w:rPr>
        <w:t xml:space="preserve"> </w:t>
      </w:r>
      <w:r>
        <w:rPr>
          <w:w w:val="95"/>
        </w:rPr>
        <w:t>this</w:t>
      </w:r>
      <w:r>
        <w:rPr>
          <w:spacing w:val="-5"/>
          <w:w w:val="95"/>
        </w:rPr>
        <w:t xml:space="preserve"> </w:t>
      </w:r>
      <w:r>
        <w:rPr>
          <w:w w:val="95"/>
        </w:rPr>
        <w:t>trend</w:t>
      </w:r>
      <w:r>
        <w:rPr>
          <w:spacing w:val="-5"/>
          <w:w w:val="95"/>
        </w:rPr>
        <w:t xml:space="preserve"> </w:t>
      </w:r>
      <w:r>
        <w:rPr>
          <w:w w:val="95"/>
        </w:rPr>
        <w:t xml:space="preserve">and </w:t>
      </w:r>
      <w:r>
        <w:t>delivering</w:t>
      </w:r>
      <w:r>
        <w:rPr>
          <w:spacing w:val="-6"/>
        </w:rPr>
        <w:t xml:space="preserve"> </w:t>
      </w:r>
      <w:r>
        <w:t>greater</w:t>
      </w:r>
      <w:r>
        <w:rPr>
          <w:spacing w:val="-6"/>
        </w:rPr>
        <w:t xml:space="preserve"> </w:t>
      </w:r>
      <w:r>
        <w:t>economic</w:t>
      </w:r>
      <w:r>
        <w:rPr>
          <w:spacing w:val="-6"/>
        </w:rPr>
        <w:t xml:space="preserve"> </w:t>
      </w:r>
      <w:r>
        <w:t>growth</w:t>
      </w:r>
      <w:r>
        <w:rPr>
          <w:spacing w:val="-6"/>
        </w:rPr>
        <w:t xml:space="preserve"> </w:t>
      </w:r>
      <w:r>
        <w:t>and</w:t>
      </w:r>
      <w:r>
        <w:rPr>
          <w:spacing w:val="-6"/>
        </w:rPr>
        <w:t xml:space="preserve"> </w:t>
      </w:r>
      <w:r>
        <w:t>enhanced standards of living in NSW.</w:t>
      </w:r>
    </w:p>
    <w:p w:rsidR="002C1123" w:rsidRDefault="002C1123">
      <w:pPr>
        <w:pStyle w:val="BodyText"/>
        <w:spacing w:before="7"/>
        <w:rPr>
          <w:sz w:val="23"/>
        </w:rPr>
      </w:pPr>
    </w:p>
    <w:p w:rsidR="002C1123" w:rsidRDefault="00F22F94">
      <w:pPr>
        <w:pStyle w:val="Heading5"/>
        <w:numPr>
          <w:ilvl w:val="1"/>
          <w:numId w:val="172"/>
        </w:numPr>
        <w:tabs>
          <w:tab w:val="left" w:pos="917"/>
        </w:tabs>
        <w:spacing w:before="0"/>
        <w:ind w:left="916" w:hanging="450"/>
        <w:jc w:val="left"/>
        <w:rPr>
          <w:color w:val="EC008C"/>
        </w:rPr>
      </w:pPr>
      <w:r>
        <w:rPr>
          <w:color w:val="EC008C"/>
          <w:spacing w:val="-5"/>
        </w:rPr>
        <w:t>Infrastructure NSW</w:t>
      </w:r>
    </w:p>
    <w:p w:rsidR="002C1123" w:rsidRDefault="00F22F94">
      <w:pPr>
        <w:pStyle w:val="BodyText"/>
        <w:spacing w:before="135" w:line="249" w:lineRule="auto"/>
        <w:ind w:left="501" w:hanging="23"/>
      </w:pPr>
      <w:r>
        <w:rPr>
          <w:w w:val="95"/>
        </w:rPr>
        <w:t>The NSW Government is determined to ‘Make NSW Number</w:t>
      </w:r>
      <w:r>
        <w:rPr>
          <w:spacing w:val="-9"/>
          <w:w w:val="95"/>
        </w:rPr>
        <w:t xml:space="preserve"> </w:t>
      </w:r>
      <w:r>
        <w:rPr>
          <w:w w:val="95"/>
        </w:rPr>
        <w:t>One’,</w:t>
      </w:r>
      <w:r>
        <w:rPr>
          <w:spacing w:val="-9"/>
          <w:w w:val="95"/>
        </w:rPr>
        <w:t xml:space="preserve"> </w:t>
      </w:r>
      <w:r>
        <w:rPr>
          <w:w w:val="95"/>
        </w:rPr>
        <w:t>and</w:t>
      </w:r>
      <w:r>
        <w:rPr>
          <w:spacing w:val="-9"/>
          <w:w w:val="95"/>
        </w:rPr>
        <w:t xml:space="preserve"> </w:t>
      </w:r>
      <w:r>
        <w:rPr>
          <w:w w:val="95"/>
        </w:rPr>
        <w:t>part</w:t>
      </w:r>
      <w:r>
        <w:rPr>
          <w:spacing w:val="-9"/>
          <w:w w:val="95"/>
        </w:rPr>
        <w:t xml:space="preserve"> </w:t>
      </w:r>
      <w:r>
        <w:rPr>
          <w:w w:val="95"/>
        </w:rPr>
        <w:t>of</w:t>
      </w:r>
      <w:r>
        <w:rPr>
          <w:spacing w:val="-9"/>
          <w:w w:val="95"/>
        </w:rPr>
        <w:t xml:space="preserve"> </w:t>
      </w:r>
      <w:r>
        <w:rPr>
          <w:w w:val="95"/>
        </w:rPr>
        <w:t>achieving</w:t>
      </w:r>
      <w:r>
        <w:rPr>
          <w:spacing w:val="-9"/>
          <w:w w:val="95"/>
        </w:rPr>
        <w:t xml:space="preserve"> </w:t>
      </w:r>
      <w:r>
        <w:rPr>
          <w:w w:val="95"/>
        </w:rPr>
        <w:t>this</w:t>
      </w:r>
      <w:r>
        <w:rPr>
          <w:spacing w:val="-9"/>
          <w:w w:val="95"/>
        </w:rPr>
        <w:t xml:space="preserve"> </w:t>
      </w:r>
      <w:r>
        <w:rPr>
          <w:w w:val="95"/>
        </w:rPr>
        <w:t>is</w:t>
      </w:r>
      <w:r>
        <w:rPr>
          <w:spacing w:val="-9"/>
          <w:w w:val="95"/>
        </w:rPr>
        <w:t xml:space="preserve"> </w:t>
      </w:r>
      <w:r>
        <w:rPr>
          <w:w w:val="95"/>
        </w:rPr>
        <w:t>a</w:t>
      </w:r>
      <w:r>
        <w:rPr>
          <w:spacing w:val="-9"/>
          <w:w w:val="95"/>
        </w:rPr>
        <w:t xml:space="preserve"> </w:t>
      </w:r>
      <w:r>
        <w:rPr>
          <w:w w:val="95"/>
        </w:rPr>
        <w:t>vision</w:t>
      </w:r>
      <w:r>
        <w:rPr>
          <w:spacing w:val="-9"/>
          <w:w w:val="95"/>
        </w:rPr>
        <w:t xml:space="preserve"> </w:t>
      </w:r>
      <w:r>
        <w:rPr>
          <w:w w:val="95"/>
        </w:rPr>
        <w:t xml:space="preserve">for </w:t>
      </w:r>
      <w:r>
        <w:rPr>
          <w:spacing w:val="-2"/>
        </w:rPr>
        <w:t>infrastructure:</w:t>
      </w:r>
    </w:p>
    <w:p w:rsidR="002C1123" w:rsidRDefault="00F22F94">
      <w:pPr>
        <w:spacing w:before="163" w:line="278" w:lineRule="auto"/>
        <w:ind w:left="782" w:right="266" w:hanging="47"/>
        <w:rPr>
          <w:sz w:val="18"/>
        </w:rPr>
      </w:pPr>
      <w:r>
        <w:rPr>
          <w:sz w:val="18"/>
        </w:rPr>
        <w:t>...the</w:t>
      </w:r>
      <w:r>
        <w:rPr>
          <w:spacing w:val="-9"/>
          <w:sz w:val="18"/>
        </w:rPr>
        <w:t xml:space="preserve"> </w:t>
      </w:r>
      <w:r>
        <w:rPr>
          <w:sz w:val="18"/>
        </w:rPr>
        <w:t>right</w:t>
      </w:r>
      <w:r>
        <w:rPr>
          <w:spacing w:val="-9"/>
          <w:sz w:val="18"/>
        </w:rPr>
        <w:t xml:space="preserve"> </w:t>
      </w:r>
      <w:r>
        <w:rPr>
          <w:sz w:val="18"/>
        </w:rPr>
        <w:t>infrastructure,</w:t>
      </w:r>
      <w:r>
        <w:rPr>
          <w:spacing w:val="-9"/>
          <w:sz w:val="18"/>
        </w:rPr>
        <w:t xml:space="preserve"> </w:t>
      </w:r>
      <w:r>
        <w:rPr>
          <w:sz w:val="18"/>
        </w:rPr>
        <w:t>in</w:t>
      </w:r>
      <w:r>
        <w:rPr>
          <w:spacing w:val="-9"/>
          <w:sz w:val="18"/>
        </w:rPr>
        <w:t xml:space="preserve"> </w:t>
      </w:r>
      <w:r>
        <w:rPr>
          <w:sz w:val="18"/>
        </w:rPr>
        <w:t>the</w:t>
      </w:r>
      <w:r>
        <w:rPr>
          <w:spacing w:val="-9"/>
          <w:sz w:val="18"/>
        </w:rPr>
        <w:t xml:space="preserve"> </w:t>
      </w:r>
      <w:r>
        <w:rPr>
          <w:sz w:val="18"/>
        </w:rPr>
        <w:t>right</w:t>
      </w:r>
      <w:r>
        <w:rPr>
          <w:spacing w:val="-9"/>
          <w:sz w:val="18"/>
        </w:rPr>
        <w:t xml:space="preserve"> </w:t>
      </w:r>
      <w:r>
        <w:rPr>
          <w:sz w:val="18"/>
        </w:rPr>
        <w:t>places,</w:t>
      </w:r>
      <w:r>
        <w:rPr>
          <w:spacing w:val="-9"/>
          <w:sz w:val="18"/>
        </w:rPr>
        <w:t xml:space="preserve"> </w:t>
      </w:r>
      <w:r>
        <w:rPr>
          <w:sz w:val="18"/>
        </w:rPr>
        <w:t>not</w:t>
      </w:r>
      <w:r>
        <w:rPr>
          <w:spacing w:val="-9"/>
          <w:sz w:val="18"/>
        </w:rPr>
        <w:t xml:space="preserve"> </w:t>
      </w:r>
      <w:r>
        <w:rPr>
          <w:sz w:val="18"/>
        </w:rPr>
        <w:t xml:space="preserve">only </w:t>
      </w:r>
      <w:r>
        <w:rPr>
          <w:w w:val="95"/>
          <w:sz w:val="18"/>
        </w:rPr>
        <w:t>boosting productivity and competitiveness, but makes</w:t>
      </w:r>
      <w:r>
        <w:rPr>
          <w:spacing w:val="40"/>
          <w:sz w:val="18"/>
        </w:rPr>
        <w:t xml:space="preserve"> </w:t>
      </w:r>
      <w:r>
        <w:rPr>
          <w:sz w:val="18"/>
        </w:rPr>
        <w:t>a difference to peoples’ quality of life</w:t>
      </w:r>
      <w:r>
        <w:rPr>
          <w:position w:val="6"/>
          <w:sz w:val="10"/>
        </w:rPr>
        <w:t>4</w:t>
      </w:r>
      <w:r>
        <w:rPr>
          <w:sz w:val="18"/>
        </w:rPr>
        <w:t>.</w:t>
      </w:r>
    </w:p>
    <w:p w:rsidR="002C1123" w:rsidRDefault="00F22F94">
      <w:pPr>
        <w:pStyle w:val="BodyText"/>
        <w:spacing w:before="123" w:line="249" w:lineRule="auto"/>
        <w:ind w:left="500" w:right="266" w:hanging="22"/>
      </w:pPr>
      <w:r>
        <w:rPr>
          <w:w w:val="95"/>
        </w:rPr>
        <w:t>To</w:t>
      </w:r>
      <w:r>
        <w:rPr>
          <w:spacing w:val="-12"/>
          <w:w w:val="95"/>
        </w:rPr>
        <w:t xml:space="preserve"> </w:t>
      </w:r>
      <w:r>
        <w:rPr>
          <w:w w:val="95"/>
        </w:rPr>
        <w:t>achieve</w:t>
      </w:r>
      <w:r>
        <w:rPr>
          <w:spacing w:val="-11"/>
          <w:w w:val="95"/>
        </w:rPr>
        <w:t xml:space="preserve"> </w:t>
      </w:r>
      <w:r>
        <w:rPr>
          <w:w w:val="95"/>
        </w:rPr>
        <w:t>this</w:t>
      </w:r>
      <w:r>
        <w:rPr>
          <w:spacing w:val="-11"/>
          <w:w w:val="95"/>
        </w:rPr>
        <w:t xml:space="preserve"> </w:t>
      </w:r>
      <w:r>
        <w:rPr>
          <w:w w:val="95"/>
        </w:rPr>
        <w:t>vision</w:t>
      </w:r>
      <w:r>
        <w:rPr>
          <w:spacing w:val="-11"/>
          <w:w w:val="95"/>
        </w:rPr>
        <w:t xml:space="preserve"> </w:t>
      </w:r>
      <w:r>
        <w:rPr>
          <w:w w:val="95"/>
        </w:rPr>
        <w:t>the</w:t>
      </w:r>
      <w:r>
        <w:rPr>
          <w:spacing w:val="-11"/>
          <w:w w:val="95"/>
        </w:rPr>
        <w:t xml:space="preserve"> </w:t>
      </w:r>
      <w:r>
        <w:rPr>
          <w:w w:val="95"/>
        </w:rPr>
        <w:t>Government</w:t>
      </w:r>
      <w:r>
        <w:rPr>
          <w:spacing w:val="-11"/>
          <w:w w:val="95"/>
        </w:rPr>
        <w:t xml:space="preserve"> </w:t>
      </w:r>
      <w:r>
        <w:rPr>
          <w:w w:val="95"/>
        </w:rPr>
        <w:t xml:space="preserve">created </w:t>
      </w:r>
      <w:r>
        <w:t>Infrastructure</w:t>
      </w:r>
      <w:r>
        <w:rPr>
          <w:spacing w:val="-5"/>
        </w:rPr>
        <w:t xml:space="preserve"> </w:t>
      </w:r>
      <w:r>
        <w:t>NSW</w:t>
      </w:r>
      <w:r>
        <w:rPr>
          <w:spacing w:val="-5"/>
        </w:rPr>
        <w:t xml:space="preserve"> </w:t>
      </w:r>
      <w:r>
        <w:t>in</w:t>
      </w:r>
      <w:r>
        <w:rPr>
          <w:spacing w:val="-5"/>
        </w:rPr>
        <w:t xml:space="preserve"> </w:t>
      </w:r>
      <w:r>
        <w:t>2011.</w:t>
      </w:r>
    </w:p>
    <w:p w:rsidR="002C1123" w:rsidRDefault="00F22F94">
      <w:pPr>
        <w:pStyle w:val="BodyText"/>
        <w:spacing w:before="143"/>
        <w:ind w:left="501"/>
      </w:pPr>
      <w:r>
        <w:t>Established</w:t>
      </w:r>
      <w:r>
        <w:rPr>
          <w:spacing w:val="-11"/>
        </w:rPr>
        <w:t xml:space="preserve"> </w:t>
      </w:r>
      <w:r>
        <w:t>by</w:t>
      </w:r>
      <w:r>
        <w:rPr>
          <w:spacing w:val="-11"/>
        </w:rPr>
        <w:t xml:space="preserve"> </w:t>
      </w:r>
      <w:r>
        <w:t>the</w:t>
      </w:r>
      <w:r>
        <w:rPr>
          <w:spacing w:val="-11"/>
        </w:rPr>
        <w:t xml:space="preserve"> </w:t>
      </w:r>
      <w:r>
        <w:t>Infrastructure</w:t>
      </w:r>
      <w:r>
        <w:rPr>
          <w:spacing w:val="-11"/>
        </w:rPr>
        <w:t xml:space="preserve"> </w:t>
      </w:r>
      <w:r>
        <w:t>NSW</w:t>
      </w:r>
      <w:r>
        <w:rPr>
          <w:spacing w:val="-11"/>
        </w:rPr>
        <w:t xml:space="preserve"> </w:t>
      </w:r>
      <w:r>
        <w:t>Act</w:t>
      </w:r>
      <w:r>
        <w:rPr>
          <w:spacing w:val="-11"/>
        </w:rPr>
        <w:t xml:space="preserve"> </w:t>
      </w:r>
      <w:r>
        <w:rPr>
          <w:spacing w:val="-4"/>
        </w:rPr>
        <w:t>2011</w:t>
      </w:r>
    </w:p>
    <w:p w:rsidR="002C1123" w:rsidRDefault="00F22F94">
      <w:pPr>
        <w:pStyle w:val="BodyText"/>
        <w:spacing w:before="10" w:line="249" w:lineRule="auto"/>
        <w:ind w:left="499" w:hanging="2"/>
      </w:pPr>
      <w:r>
        <w:rPr>
          <w:w w:val="95"/>
        </w:rPr>
        <w:t>(the Act), Infrastructure NSW’s prime task is to prepare and</w:t>
      </w:r>
      <w:r>
        <w:rPr>
          <w:spacing w:val="-8"/>
          <w:w w:val="95"/>
        </w:rPr>
        <w:t xml:space="preserve"> </w:t>
      </w:r>
      <w:r>
        <w:rPr>
          <w:w w:val="95"/>
        </w:rPr>
        <w:t>submit</w:t>
      </w:r>
      <w:r>
        <w:rPr>
          <w:spacing w:val="-8"/>
          <w:w w:val="95"/>
        </w:rPr>
        <w:t xml:space="preserve"> </w:t>
      </w:r>
      <w:r>
        <w:rPr>
          <w:w w:val="95"/>
        </w:rPr>
        <w:t>to</w:t>
      </w:r>
      <w:r>
        <w:rPr>
          <w:spacing w:val="-8"/>
          <w:w w:val="95"/>
        </w:rPr>
        <w:t xml:space="preserve"> </w:t>
      </w:r>
      <w:r>
        <w:rPr>
          <w:w w:val="95"/>
        </w:rPr>
        <w:t>the</w:t>
      </w:r>
      <w:r>
        <w:rPr>
          <w:spacing w:val="-8"/>
          <w:w w:val="95"/>
        </w:rPr>
        <w:t xml:space="preserve"> </w:t>
      </w:r>
      <w:r>
        <w:rPr>
          <w:w w:val="95"/>
        </w:rPr>
        <w:t>Premier</w:t>
      </w:r>
      <w:r>
        <w:rPr>
          <w:spacing w:val="-8"/>
          <w:w w:val="95"/>
        </w:rPr>
        <w:t xml:space="preserve"> </w:t>
      </w:r>
      <w:r>
        <w:rPr>
          <w:w w:val="95"/>
        </w:rPr>
        <w:t>a</w:t>
      </w:r>
      <w:r>
        <w:rPr>
          <w:spacing w:val="-8"/>
          <w:w w:val="95"/>
        </w:rPr>
        <w:t xml:space="preserve"> </w:t>
      </w:r>
      <w:r>
        <w:rPr>
          <w:w w:val="95"/>
        </w:rPr>
        <w:t>20</w:t>
      </w:r>
      <w:r>
        <w:rPr>
          <w:spacing w:val="-8"/>
          <w:w w:val="95"/>
        </w:rPr>
        <w:t xml:space="preserve"> </w:t>
      </w:r>
      <w:r>
        <w:rPr>
          <w:w w:val="95"/>
        </w:rPr>
        <w:t>year</w:t>
      </w:r>
      <w:r>
        <w:rPr>
          <w:spacing w:val="-8"/>
          <w:w w:val="95"/>
        </w:rPr>
        <w:t xml:space="preserve"> </w:t>
      </w:r>
      <w:r>
        <w:rPr>
          <w:w w:val="95"/>
        </w:rPr>
        <w:t>State</w:t>
      </w:r>
      <w:r>
        <w:rPr>
          <w:spacing w:val="-8"/>
          <w:w w:val="95"/>
        </w:rPr>
        <w:t xml:space="preserve"> </w:t>
      </w:r>
      <w:r>
        <w:rPr>
          <w:w w:val="95"/>
        </w:rPr>
        <w:t>Infrastructure Strategy</w:t>
      </w:r>
      <w:r>
        <w:rPr>
          <w:spacing w:val="-11"/>
          <w:w w:val="95"/>
        </w:rPr>
        <w:t xml:space="preserve"> </w:t>
      </w:r>
      <w:r>
        <w:rPr>
          <w:w w:val="95"/>
        </w:rPr>
        <w:t>(the</w:t>
      </w:r>
      <w:r>
        <w:rPr>
          <w:spacing w:val="-11"/>
          <w:w w:val="95"/>
        </w:rPr>
        <w:t xml:space="preserve"> </w:t>
      </w:r>
      <w:r>
        <w:rPr>
          <w:w w:val="95"/>
        </w:rPr>
        <w:t>Strategy).</w:t>
      </w:r>
      <w:r>
        <w:rPr>
          <w:spacing w:val="-11"/>
          <w:w w:val="95"/>
        </w:rPr>
        <w:t xml:space="preserve"> </w:t>
      </w:r>
      <w:r>
        <w:rPr>
          <w:w w:val="95"/>
        </w:rPr>
        <w:t>The</w:t>
      </w:r>
      <w:r>
        <w:rPr>
          <w:spacing w:val="-11"/>
          <w:w w:val="95"/>
        </w:rPr>
        <w:t xml:space="preserve"> </w:t>
      </w:r>
      <w:r>
        <w:rPr>
          <w:w w:val="95"/>
        </w:rPr>
        <w:t>Act</w:t>
      </w:r>
      <w:r>
        <w:rPr>
          <w:spacing w:val="-11"/>
          <w:w w:val="95"/>
        </w:rPr>
        <w:t xml:space="preserve"> </w:t>
      </w:r>
      <w:r>
        <w:rPr>
          <w:w w:val="95"/>
        </w:rPr>
        <w:t>States</w:t>
      </w:r>
      <w:r>
        <w:rPr>
          <w:spacing w:val="-11"/>
          <w:w w:val="95"/>
        </w:rPr>
        <w:t xml:space="preserve"> </w:t>
      </w:r>
      <w:r>
        <w:rPr>
          <w:w w:val="95"/>
        </w:rPr>
        <w:t>that</w:t>
      </w:r>
      <w:r>
        <w:rPr>
          <w:spacing w:val="-11"/>
          <w:w w:val="95"/>
        </w:rPr>
        <w:t xml:space="preserve"> </w:t>
      </w:r>
      <w:r>
        <w:rPr>
          <w:w w:val="95"/>
        </w:rPr>
        <w:t>the</w:t>
      </w:r>
      <w:r>
        <w:rPr>
          <w:spacing w:val="-11"/>
          <w:w w:val="95"/>
        </w:rPr>
        <w:t xml:space="preserve"> </w:t>
      </w:r>
      <w:r>
        <w:rPr>
          <w:w w:val="95"/>
        </w:rPr>
        <w:t xml:space="preserve">Strategy must assess the current State of infrastructure in NSW </w:t>
      </w:r>
      <w:r>
        <w:t>and</w:t>
      </w:r>
      <w:r>
        <w:rPr>
          <w:spacing w:val="-13"/>
        </w:rPr>
        <w:t xml:space="preserve"> </w:t>
      </w:r>
      <w:r>
        <w:t>the</w:t>
      </w:r>
      <w:r>
        <w:rPr>
          <w:spacing w:val="-13"/>
        </w:rPr>
        <w:t xml:space="preserve"> </w:t>
      </w:r>
      <w:r>
        <w:t>need</w:t>
      </w:r>
      <w:r>
        <w:rPr>
          <w:spacing w:val="-13"/>
        </w:rPr>
        <w:t xml:space="preserve"> </w:t>
      </w:r>
      <w:r>
        <w:t>and</w:t>
      </w:r>
      <w:r>
        <w:rPr>
          <w:spacing w:val="-13"/>
        </w:rPr>
        <w:t xml:space="preserve"> </w:t>
      </w:r>
      <w:r>
        <w:t>strategic</w:t>
      </w:r>
      <w:r>
        <w:rPr>
          <w:spacing w:val="-13"/>
        </w:rPr>
        <w:t xml:space="preserve"> </w:t>
      </w:r>
      <w:r>
        <w:t>priorities</w:t>
      </w:r>
      <w:r>
        <w:rPr>
          <w:spacing w:val="-13"/>
        </w:rPr>
        <w:t xml:space="preserve"> </w:t>
      </w:r>
      <w:r>
        <w:t>for</w:t>
      </w:r>
      <w:r>
        <w:rPr>
          <w:spacing w:val="-13"/>
        </w:rPr>
        <w:t xml:space="preserve"> </w:t>
      </w:r>
      <w:r>
        <w:t>infrastructure</w:t>
      </w:r>
    </w:p>
    <w:p w:rsidR="002C1123" w:rsidRDefault="00F22F94">
      <w:pPr>
        <w:pStyle w:val="BodyText"/>
        <w:spacing w:before="106" w:line="249" w:lineRule="auto"/>
        <w:ind w:left="322" w:right="5347" w:firstLine="1"/>
      </w:pPr>
      <w:r>
        <w:br w:type="column"/>
      </w:r>
      <w:r>
        <w:rPr>
          <w:w w:val="95"/>
        </w:rPr>
        <w:t>for</w:t>
      </w:r>
      <w:r>
        <w:rPr>
          <w:spacing w:val="-2"/>
          <w:w w:val="95"/>
        </w:rPr>
        <w:t xml:space="preserve"> </w:t>
      </w:r>
      <w:r>
        <w:rPr>
          <w:w w:val="95"/>
        </w:rPr>
        <w:t>the</w:t>
      </w:r>
      <w:r>
        <w:rPr>
          <w:spacing w:val="-2"/>
          <w:w w:val="95"/>
        </w:rPr>
        <w:t xml:space="preserve"> </w:t>
      </w:r>
      <w:r>
        <w:rPr>
          <w:w w:val="95"/>
        </w:rPr>
        <w:t>next</w:t>
      </w:r>
      <w:r>
        <w:rPr>
          <w:spacing w:val="-2"/>
          <w:w w:val="95"/>
        </w:rPr>
        <w:t xml:space="preserve"> </w:t>
      </w:r>
      <w:r>
        <w:rPr>
          <w:w w:val="95"/>
        </w:rPr>
        <w:t>20</w:t>
      </w:r>
      <w:r>
        <w:rPr>
          <w:spacing w:val="-2"/>
          <w:w w:val="95"/>
        </w:rPr>
        <w:t xml:space="preserve"> </w:t>
      </w:r>
      <w:r>
        <w:rPr>
          <w:w w:val="95"/>
        </w:rPr>
        <w:t>years.</w:t>
      </w:r>
      <w:r>
        <w:rPr>
          <w:spacing w:val="-2"/>
          <w:w w:val="95"/>
        </w:rPr>
        <w:t xml:space="preserve"> </w:t>
      </w:r>
      <w:r>
        <w:rPr>
          <w:w w:val="95"/>
        </w:rPr>
        <w:t>Further,</w:t>
      </w:r>
      <w:r>
        <w:rPr>
          <w:spacing w:val="-2"/>
          <w:w w:val="95"/>
        </w:rPr>
        <w:t xml:space="preserve"> </w:t>
      </w:r>
      <w:r>
        <w:rPr>
          <w:w w:val="95"/>
        </w:rPr>
        <w:t>the</w:t>
      </w:r>
      <w:r>
        <w:rPr>
          <w:spacing w:val="-2"/>
          <w:w w:val="95"/>
        </w:rPr>
        <w:t xml:space="preserve"> </w:t>
      </w:r>
      <w:r>
        <w:rPr>
          <w:w w:val="95"/>
        </w:rPr>
        <w:t>Strategy</w:t>
      </w:r>
      <w:r>
        <w:rPr>
          <w:spacing w:val="-2"/>
          <w:w w:val="95"/>
        </w:rPr>
        <w:t xml:space="preserve"> </w:t>
      </w:r>
      <w:r>
        <w:rPr>
          <w:w w:val="95"/>
        </w:rPr>
        <w:t>is</w:t>
      </w:r>
      <w:r>
        <w:rPr>
          <w:spacing w:val="-2"/>
          <w:w w:val="95"/>
        </w:rPr>
        <w:t xml:space="preserve"> </w:t>
      </w:r>
      <w:r>
        <w:rPr>
          <w:w w:val="95"/>
        </w:rPr>
        <w:t>to</w:t>
      </w:r>
      <w:r>
        <w:rPr>
          <w:spacing w:val="-2"/>
          <w:w w:val="95"/>
        </w:rPr>
        <w:t xml:space="preserve"> </w:t>
      </w:r>
      <w:r>
        <w:rPr>
          <w:w w:val="95"/>
        </w:rPr>
        <w:t>focus</w:t>
      </w:r>
      <w:r>
        <w:rPr>
          <w:spacing w:val="-2"/>
          <w:w w:val="95"/>
        </w:rPr>
        <w:t xml:space="preserve"> </w:t>
      </w:r>
      <w:r>
        <w:rPr>
          <w:w w:val="95"/>
        </w:rPr>
        <w:t>on major projects and reforms necessary for the successful provision</w:t>
      </w:r>
      <w:r>
        <w:rPr>
          <w:spacing w:val="-5"/>
          <w:w w:val="95"/>
        </w:rPr>
        <w:t xml:space="preserve"> </w:t>
      </w:r>
      <w:r>
        <w:rPr>
          <w:w w:val="95"/>
        </w:rPr>
        <w:t>and</w:t>
      </w:r>
      <w:r>
        <w:rPr>
          <w:spacing w:val="-5"/>
          <w:w w:val="95"/>
        </w:rPr>
        <w:t xml:space="preserve"> </w:t>
      </w:r>
      <w:r>
        <w:rPr>
          <w:w w:val="95"/>
        </w:rPr>
        <w:t>use</w:t>
      </w:r>
      <w:r>
        <w:rPr>
          <w:spacing w:val="-5"/>
          <w:w w:val="95"/>
        </w:rPr>
        <w:t xml:space="preserve"> </w:t>
      </w:r>
      <w:r>
        <w:rPr>
          <w:w w:val="95"/>
        </w:rPr>
        <w:t>of</w:t>
      </w:r>
      <w:r>
        <w:rPr>
          <w:spacing w:val="-5"/>
          <w:w w:val="95"/>
        </w:rPr>
        <w:t xml:space="preserve"> </w:t>
      </w:r>
      <w:r>
        <w:rPr>
          <w:w w:val="95"/>
        </w:rPr>
        <w:t>infrastructure.</w:t>
      </w:r>
      <w:r>
        <w:rPr>
          <w:spacing w:val="-5"/>
          <w:w w:val="95"/>
        </w:rPr>
        <w:t xml:space="preserve"> </w:t>
      </w:r>
      <w:r>
        <w:rPr>
          <w:w w:val="95"/>
        </w:rPr>
        <w:t>It</w:t>
      </w:r>
      <w:r>
        <w:rPr>
          <w:spacing w:val="-5"/>
          <w:w w:val="95"/>
        </w:rPr>
        <w:t xml:space="preserve"> </w:t>
      </w:r>
      <w:r>
        <w:rPr>
          <w:w w:val="95"/>
        </w:rPr>
        <w:t>is</w:t>
      </w:r>
      <w:r>
        <w:rPr>
          <w:spacing w:val="-5"/>
          <w:w w:val="95"/>
        </w:rPr>
        <w:t xml:space="preserve"> </w:t>
      </w:r>
      <w:r>
        <w:rPr>
          <w:w w:val="95"/>
        </w:rPr>
        <w:t>to</w:t>
      </w:r>
      <w:r>
        <w:rPr>
          <w:spacing w:val="-5"/>
          <w:w w:val="95"/>
        </w:rPr>
        <w:t xml:space="preserve"> </w:t>
      </w:r>
      <w:r>
        <w:rPr>
          <w:w w:val="95"/>
        </w:rPr>
        <w:t>be</w:t>
      </w:r>
      <w:r>
        <w:rPr>
          <w:spacing w:val="-5"/>
          <w:w w:val="95"/>
        </w:rPr>
        <w:t xml:space="preserve"> </w:t>
      </w:r>
      <w:r>
        <w:rPr>
          <w:w w:val="95"/>
        </w:rPr>
        <w:t>based</w:t>
      </w:r>
      <w:r>
        <w:rPr>
          <w:spacing w:val="-5"/>
          <w:w w:val="95"/>
        </w:rPr>
        <w:t xml:space="preserve"> </w:t>
      </w:r>
      <w:r>
        <w:rPr>
          <w:w w:val="95"/>
        </w:rPr>
        <w:t xml:space="preserve">upon </w:t>
      </w:r>
      <w:r>
        <w:t>independent</w:t>
      </w:r>
      <w:r>
        <w:rPr>
          <w:spacing w:val="-14"/>
        </w:rPr>
        <w:t xml:space="preserve"> </w:t>
      </w:r>
      <w:r>
        <w:t>and</w:t>
      </w:r>
      <w:r>
        <w:rPr>
          <w:spacing w:val="-14"/>
        </w:rPr>
        <w:t xml:space="preserve"> </w:t>
      </w:r>
      <w:r>
        <w:t>expert</w:t>
      </w:r>
      <w:r>
        <w:rPr>
          <w:spacing w:val="-14"/>
        </w:rPr>
        <w:t xml:space="preserve"> </w:t>
      </w:r>
      <w:r>
        <w:t>analysis</w:t>
      </w:r>
      <w:r>
        <w:rPr>
          <w:spacing w:val="-14"/>
        </w:rPr>
        <w:t xml:space="preserve"> </w:t>
      </w:r>
      <w:r>
        <w:t>and</w:t>
      </w:r>
      <w:r>
        <w:rPr>
          <w:spacing w:val="-14"/>
        </w:rPr>
        <w:t xml:space="preserve"> </w:t>
      </w:r>
      <w:r>
        <w:t>advice.</w:t>
      </w:r>
      <w:r>
        <w:rPr>
          <w:spacing w:val="-14"/>
        </w:rPr>
        <w:t xml:space="preserve"> </w:t>
      </w:r>
      <w:r>
        <w:t>The</w:t>
      </w:r>
      <w:r>
        <w:rPr>
          <w:spacing w:val="-14"/>
        </w:rPr>
        <w:t xml:space="preserve"> </w:t>
      </w:r>
      <w:r>
        <w:t>main points</w:t>
      </w:r>
      <w:r>
        <w:rPr>
          <w:spacing w:val="-12"/>
        </w:rPr>
        <w:t xml:space="preserve"> </w:t>
      </w:r>
      <w:r>
        <w:t>in</w:t>
      </w:r>
      <w:r>
        <w:rPr>
          <w:spacing w:val="-12"/>
        </w:rPr>
        <w:t xml:space="preserve"> </w:t>
      </w:r>
      <w:r>
        <w:t>the</w:t>
      </w:r>
      <w:r>
        <w:rPr>
          <w:spacing w:val="-12"/>
        </w:rPr>
        <w:t xml:space="preserve"> </w:t>
      </w:r>
      <w:r>
        <w:t>Act</w:t>
      </w:r>
      <w:r>
        <w:rPr>
          <w:spacing w:val="-12"/>
        </w:rPr>
        <w:t xml:space="preserve"> </w:t>
      </w:r>
      <w:r>
        <w:t>that</w:t>
      </w:r>
      <w:r>
        <w:rPr>
          <w:spacing w:val="-12"/>
        </w:rPr>
        <w:t xml:space="preserve"> </w:t>
      </w:r>
      <w:r>
        <w:t>relate</w:t>
      </w:r>
      <w:r>
        <w:rPr>
          <w:spacing w:val="-12"/>
        </w:rPr>
        <w:t xml:space="preserve"> </w:t>
      </w:r>
      <w:r>
        <w:t>to</w:t>
      </w:r>
      <w:r>
        <w:rPr>
          <w:spacing w:val="-12"/>
        </w:rPr>
        <w:t xml:space="preserve"> </w:t>
      </w:r>
      <w:r>
        <w:t>the</w:t>
      </w:r>
      <w:r>
        <w:rPr>
          <w:spacing w:val="-12"/>
        </w:rPr>
        <w:t xml:space="preserve"> </w:t>
      </w:r>
      <w:r>
        <w:t>development</w:t>
      </w:r>
      <w:r>
        <w:rPr>
          <w:spacing w:val="-12"/>
        </w:rPr>
        <w:t xml:space="preserve"> </w:t>
      </w:r>
      <w:r>
        <w:t>of</w:t>
      </w:r>
      <w:r>
        <w:rPr>
          <w:spacing w:val="-12"/>
        </w:rPr>
        <w:t xml:space="preserve"> </w:t>
      </w:r>
      <w:r>
        <w:t>the Strategy</w:t>
      </w:r>
      <w:r>
        <w:rPr>
          <w:spacing w:val="-14"/>
        </w:rPr>
        <w:t xml:space="preserve"> </w:t>
      </w:r>
      <w:r>
        <w:t>are</w:t>
      </w:r>
      <w:r>
        <w:rPr>
          <w:spacing w:val="-14"/>
        </w:rPr>
        <w:t xml:space="preserve"> </w:t>
      </w:r>
      <w:r>
        <w:t>summarised</w:t>
      </w:r>
      <w:r>
        <w:rPr>
          <w:spacing w:val="-14"/>
        </w:rPr>
        <w:t xml:space="preserve"> </w:t>
      </w:r>
      <w:r>
        <w:t>in</w:t>
      </w:r>
      <w:r>
        <w:rPr>
          <w:spacing w:val="-14"/>
        </w:rPr>
        <w:t xml:space="preserve"> </w:t>
      </w:r>
      <w:r>
        <w:t>Table</w:t>
      </w:r>
      <w:r>
        <w:rPr>
          <w:spacing w:val="-14"/>
        </w:rPr>
        <w:t xml:space="preserve"> </w:t>
      </w:r>
      <w:r>
        <w:t>1.2.</w:t>
      </w:r>
    </w:p>
    <w:p w:rsidR="002C1123" w:rsidRDefault="002C1123">
      <w:pPr>
        <w:spacing w:line="249" w:lineRule="auto"/>
        <w:sectPr w:rsidR="002C1123">
          <w:type w:val="continuous"/>
          <w:pgSz w:w="16840" w:h="11910" w:orient="landscape"/>
          <w:pgMar w:top="560" w:right="280" w:bottom="280" w:left="500" w:header="0" w:footer="517" w:gutter="0"/>
          <w:cols w:num="2" w:space="720" w:equalWidth="0">
            <w:col w:w="5164" w:space="40"/>
            <w:col w:w="10856"/>
          </w:cols>
        </w:sectPr>
      </w:pPr>
    </w:p>
    <w:p w:rsidR="002C1123" w:rsidRDefault="002C1123">
      <w:pPr>
        <w:pStyle w:val="BodyText"/>
        <w:spacing w:before="4"/>
        <w:rPr>
          <w:sz w:val="29"/>
        </w:rPr>
      </w:pPr>
    </w:p>
    <w:p w:rsidR="002C1123" w:rsidRDefault="002060EF">
      <w:pPr>
        <w:pStyle w:val="BodyText"/>
        <w:spacing w:line="20" w:lineRule="exact"/>
        <w:ind w:left="492"/>
        <w:rPr>
          <w:sz w:val="2"/>
        </w:rPr>
      </w:pPr>
      <w:r>
        <w:rPr>
          <w:sz w:val="2"/>
        </w:rPr>
      </w:r>
      <w:r>
        <w:rPr>
          <w:sz w:val="2"/>
        </w:rPr>
        <w:pict>
          <v:group id="docshapegroup160" o:spid="_x0000_s5133" style="width:1in;height:.5pt;mso-position-horizontal-relative:char;mso-position-vertical-relative:line" coordsize="1440,10">
            <v:line id="_x0000_s5134" style="position:absolute" from="0,5" to="1440,5" strokecolor="#9c9c9d" strokeweight=".5pt"/>
            <w10:anchorlock/>
          </v:group>
        </w:pict>
      </w:r>
    </w:p>
    <w:p w:rsidR="002C1123" w:rsidRDefault="00F22F94">
      <w:pPr>
        <w:pStyle w:val="ListParagraph"/>
        <w:numPr>
          <w:ilvl w:val="0"/>
          <w:numId w:val="3"/>
        </w:numPr>
        <w:tabs>
          <w:tab w:val="left" w:pos="691"/>
        </w:tabs>
        <w:spacing w:before="8"/>
        <w:ind w:left="690" w:hanging="199"/>
        <w:jc w:val="left"/>
        <w:rPr>
          <w:sz w:val="14"/>
        </w:rPr>
      </w:pPr>
      <w:r>
        <w:rPr>
          <w:w w:val="95"/>
          <w:sz w:val="14"/>
        </w:rPr>
        <w:t>NSW</w:t>
      </w:r>
      <w:r>
        <w:rPr>
          <w:spacing w:val="-3"/>
          <w:w w:val="95"/>
          <w:sz w:val="14"/>
        </w:rPr>
        <w:t xml:space="preserve"> </w:t>
      </w:r>
      <w:r>
        <w:rPr>
          <w:w w:val="95"/>
          <w:sz w:val="14"/>
        </w:rPr>
        <w:t>Government</w:t>
      </w:r>
      <w:r>
        <w:rPr>
          <w:spacing w:val="-3"/>
          <w:w w:val="95"/>
          <w:sz w:val="14"/>
        </w:rPr>
        <w:t xml:space="preserve"> </w:t>
      </w:r>
      <w:r>
        <w:rPr>
          <w:w w:val="95"/>
          <w:sz w:val="14"/>
        </w:rPr>
        <w:t>2011,</w:t>
      </w:r>
      <w:r>
        <w:rPr>
          <w:spacing w:val="-2"/>
          <w:w w:val="95"/>
          <w:sz w:val="14"/>
        </w:rPr>
        <w:t xml:space="preserve"> </w:t>
      </w:r>
      <w:r>
        <w:rPr>
          <w:w w:val="95"/>
          <w:sz w:val="14"/>
        </w:rPr>
        <w:t>NSW</w:t>
      </w:r>
      <w:r>
        <w:rPr>
          <w:spacing w:val="-3"/>
          <w:w w:val="95"/>
          <w:sz w:val="14"/>
        </w:rPr>
        <w:t xml:space="preserve"> </w:t>
      </w:r>
      <w:r>
        <w:rPr>
          <w:w w:val="95"/>
          <w:sz w:val="14"/>
        </w:rPr>
        <w:t>2021</w:t>
      </w:r>
      <w:r>
        <w:rPr>
          <w:spacing w:val="-3"/>
          <w:w w:val="95"/>
          <w:sz w:val="14"/>
        </w:rPr>
        <w:t xml:space="preserve"> </w:t>
      </w:r>
      <w:r>
        <w:rPr>
          <w:w w:val="95"/>
          <w:sz w:val="14"/>
        </w:rPr>
        <w:t>–</w:t>
      </w:r>
      <w:r>
        <w:rPr>
          <w:spacing w:val="-2"/>
          <w:w w:val="95"/>
          <w:sz w:val="14"/>
        </w:rPr>
        <w:t xml:space="preserve"> </w:t>
      </w:r>
      <w:r>
        <w:rPr>
          <w:w w:val="95"/>
          <w:sz w:val="14"/>
        </w:rPr>
        <w:t>A</w:t>
      </w:r>
      <w:r>
        <w:rPr>
          <w:spacing w:val="-3"/>
          <w:w w:val="95"/>
          <w:sz w:val="14"/>
        </w:rPr>
        <w:t xml:space="preserve"> </w:t>
      </w:r>
      <w:r>
        <w:rPr>
          <w:w w:val="95"/>
          <w:sz w:val="14"/>
        </w:rPr>
        <w:t>Plan</w:t>
      </w:r>
      <w:r>
        <w:rPr>
          <w:spacing w:val="-2"/>
          <w:w w:val="95"/>
          <w:sz w:val="14"/>
        </w:rPr>
        <w:t xml:space="preserve"> </w:t>
      </w:r>
      <w:r>
        <w:rPr>
          <w:w w:val="95"/>
          <w:sz w:val="14"/>
        </w:rPr>
        <w:t>to</w:t>
      </w:r>
      <w:r>
        <w:rPr>
          <w:spacing w:val="-3"/>
          <w:w w:val="95"/>
          <w:sz w:val="14"/>
        </w:rPr>
        <w:t xml:space="preserve"> </w:t>
      </w:r>
      <w:r>
        <w:rPr>
          <w:w w:val="95"/>
          <w:sz w:val="14"/>
        </w:rPr>
        <w:t>Make</w:t>
      </w:r>
      <w:r>
        <w:rPr>
          <w:spacing w:val="-3"/>
          <w:w w:val="95"/>
          <w:sz w:val="14"/>
        </w:rPr>
        <w:t xml:space="preserve"> </w:t>
      </w:r>
      <w:r>
        <w:rPr>
          <w:w w:val="95"/>
          <w:sz w:val="14"/>
        </w:rPr>
        <w:t>NSW</w:t>
      </w:r>
      <w:r>
        <w:rPr>
          <w:spacing w:val="-2"/>
          <w:w w:val="95"/>
          <w:sz w:val="14"/>
        </w:rPr>
        <w:t xml:space="preserve"> </w:t>
      </w:r>
      <w:r>
        <w:rPr>
          <w:w w:val="95"/>
          <w:sz w:val="14"/>
        </w:rPr>
        <w:t>Number</w:t>
      </w:r>
      <w:r>
        <w:rPr>
          <w:spacing w:val="-3"/>
          <w:w w:val="95"/>
          <w:sz w:val="14"/>
        </w:rPr>
        <w:t xml:space="preserve"> </w:t>
      </w:r>
      <w:r>
        <w:rPr>
          <w:spacing w:val="-4"/>
          <w:w w:val="95"/>
          <w:sz w:val="14"/>
        </w:rPr>
        <w:t>One.</w:t>
      </w:r>
    </w:p>
    <w:p w:rsidR="002C1123" w:rsidRDefault="002C1123">
      <w:pPr>
        <w:rPr>
          <w:sz w:val="14"/>
        </w:rPr>
        <w:sectPr w:rsidR="002C1123">
          <w:type w:val="continuous"/>
          <w:pgSz w:w="16840" w:h="11910" w:orient="landscape"/>
          <w:pgMar w:top="560" w:right="280" w:bottom="280" w:left="500" w:header="0" w:footer="517"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2"/>
        <w:rPr>
          <w:sz w:val="17"/>
        </w:rPr>
      </w:pPr>
    </w:p>
    <w:p w:rsidR="002C1123" w:rsidRDefault="002C1123">
      <w:pPr>
        <w:rPr>
          <w:sz w:val="17"/>
        </w:rPr>
        <w:sectPr w:rsidR="002C1123">
          <w:pgSz w:w="16840" w:h="11910" w:orient="landscape"/>
          <w:pgMar w:top="560" w:right="280" w:bottom="700" w:left="500" w:header="0" w:footer="517" w:gutter="0"/>
          <w:cols w:space="720"/>
        </w:sectPr>
      </w:pPr>
    </w:p>
    <w:p w:rsidR="002C1123" w:rsidRDefault="002060EF">
      <w:pPr>
        <w:pStyle w:val="Heading5"/>
        <w:ind w:left="636" w:firstLine="0"/>
      </w:pPr>
      <w:r>
        <w:pict>
          <v:rect id="docshape161" o:spid="_x0000_s5132" style="position:absolute;left:0;text-align:left;margin-left:49.6pt;margin-top:-2.65pt;width:742.7pt;height:411pt;z-index:-251533312;mso-position-horizontal-relative:page" fillcolor="#e1e0e1" stroked="f">
            <w10:wrap anchorx="page"/>
          </v:rect>
        </w:pict>
      </w:r>
      <w:bookmarkStart w:id="44" w:name="_bookmark30"/>
      <w:bookmarkEnd w:id="44"/>
      <w:r w:rsidR="00F22F94">
        <w:rPr>
          <w:color w:val="EC008C"/>
          <w:spacing w:val="-6"/>
        </w:rPr>
        <w:t>Table</w:t>
      </w:r>
      <w:r w:rsidR="00F22F94">
        <w:rPr>
          <w:color w:val="EC008C"/>
          <w:spacing w:val="-14"/>
        </w:rPr>
        <w:t xml:space="preserve"> </w:t>
      </w:r>
      <w:r w:rsidR="00F22F94">
        <w:rPr>
          <w:color w:val="EC008C"/>
          <w:spacing w:val="-6"/>
        </w:rPr>
        <w:t>1.2</w:t>
      </w:r>
      <w:r w:rsidR="00F22F94">
        <w:rPr>
          <w:color w:val="EC008C"/>
          <w:spacing w:val="46"/>
        </w:rPr>
        <w:t xml:space="preserve"> </w:t>
      </w:r>
      <w:r w:rsidR="00F22F94">
        <w:rPr>
          <w:color w:val="EC008C"/>
          <w:spacing w:val="-6"/>
        </w:rPr>
        <w:t>Legislative</w:t>
      </w:r>
      <w:r w:rsidR="00F22F94">
        <w:rPr>
          <w:color w:val="EC008C"/>
          <w:spacing w:val="-13"/>
        </w:rPr>
        <w:t xml:space="preserve"> </w:t>
      </w:r>
      <w:r w:rsidR="00F22F94">
        <w:rPr>
          <w:color w:val="EC008C"/>
          <w:spacing w:val="-6"/>
        </w:rPr>
        <w:t>Requirements</w:t>
      </w:r>
    </w:p>
    <w:p w:rsidR="002C1123" w:rsidRDefault="00F22F94">
      <w:pPr>
        <w:pStyle w:val="Heading6"/>
        <w:spacing w:before="134"/>
        <w:ind w:left="672"/>
      </w:pPr>
      <w:r>
        <w:rPr>
          <w:color w:val="EC008C"/>
          <w:spacing w:val="-2"/>
        </w:rPr>
        <w:t>Requirements</w:t>
      </w:r>
      <w:r>
        <w:rPr>
          <w:color w:val="EC008C"/>
          <w:spacing w:val="-12"/>
        </w:rPr>
        <w:t xml:space="preserve"> </w:t>
      </w:r>
      <w:r>
        <w:rPr>
          <w:color w:val="EC008C"/>
          <w:spacing w:val="-2"/>
        </w:rPr>
        <w:t>of</w:t>
      </w:r>
      <w:r>
        <w:rPr>
          <w:color w:val="EC008C"/>
          <w:spacing w:val="-11"/>
        </w:rPr>
        <w:t xml:space="preserve"> </w:t>
      </w:r>
      <w:r>
        <w:rPr>
          <w:color w:val="EC008C"/>
          <w:spacing w:val="-2"/>
        </w:rPr>
        <w:t>Infrastructure</w:t>
      </w:r>
      <w:r>
        <w:rPr>
          <w:color w:val="EC008C"/>
          <w:spacing w:val="-11"/>
        </w:rPr>
        <w:t xml:space="preserve"> </w:t>
      </w:r>
      <w:r>
        <w:rPr>
          <w:color w:val="EC008C"/>
          <w:spacing w:val="-2"/>
        </w:rPr>
        <w:t>NSW</w:t>
      </w:r>
      <w:r>
        <w:rPr>
          <w:color w:val="EC008C"/>
          <w:spacing w:val="-11"/>
        </w:rPr>
        <w:t xml:space="preserve"> </w:t>
      </w:r>
      <w:r>
        <w:rPr>
          <w:color w:val="EC008C"/>
          <w:spacing w:val="-2"/>
        </w:rPr>
        <w:t>Act</w:t>
      </w:r>
      <w:r>
        <w:rPr>
          <w:color w:val="EC008C"/>
          <w:spacing w:val="-12"/>
        </w:rPr>
        <w:t xml:space="preserve"> </w:t>
      </w:r>
      <w:r>
        <w:rPr>
          <w:color w:val="EC008C"/>
          <w:spacing w:val="-2"/>
        </w:rPr>
        <w:t>(2011)</w:t>
      </w:r>
    </w:p>
    <w:p w:rsidR="002C1123" w:rsidRDefault="00F22F94">
      <w:pPr>
        <w:spacing w:before="95" w:line="249" w:lineRule="auto"/>
        <w:ind w:left="672" w:hanging="12"/>
        <w:rPr>
          <w:b/>
          <w:sz w:val="20"/>
        </w:rPr>
      </w:pPr>
      <w:r>
        <w:rPr>
          <w:b/>
          <w:sz w:val="20"/>
        </w:rPr>
        <w:t>The</w:t>
      </w:r>
      <w:r>
        <w:rPr>
          <w:b/>
          <w:spacing w:val="-3"/>
          <w:sz w:val="20"/>
        </w:rPr>
        <w:t xml:space="preserve"> </w:t>
      </w:r>
      <w:r>
        <w:rPr>
          <w:b/>
          <w:sz w:val="20"/>
        </w:rPr>
        <w:t>Infrastructure</w:t>
      </w:r>
      <w:r>
        <w:rPr>
          <w:b/>
          <w:spacing w:val="-3"/>
          <w:sz w:val="20"/>
        </w:rPr>
        <w:t xml:space="preserve"> </w:t>
      </w:r>
      <w:r>
        <w:rPr>
          <w:b/>
          <w:sz w:val="20"/>
        </w:rPr>
        <w:t>NSW</w:t>
      </w:r>
      <w:r>
        <w:rPr>
          <w:b/>
          <w:spacing w:val="-3"/>
          <w:sz w:val="20"/>
        </w:rPr>
        <w:t xml:space="preserve"> </w:t>
      </w:r>
      <w:r>
        <w:rPr>
          <w:b/>
          <w:sz w:val="20"/>
        </w:rPr>
        <w:t>Act</w:t>
      </w:r>
      <w:r>
        <w:rPr>
          <w:b/>
          <w:spacing w:val="-3"/>
          <w:sz w:val="20"/>
        </w:rPr>
        <w:t xml:space="preserve"> </w:t>
      </w:r>
      <w:r>
        <w:rPr>
          <w:b/>
          <w:sz w:val="20"/>
        </w:rPr>
        <w:t>(the</w:t>
      </w:r>
      <w:r>
        <w:rPr>
          <w:b/>
          <w:spacing w:val="-3"/>
          <w:sz w:val="20"/>
        </w:rPr>
        <w:t xml:space="preserve"> </w:t>
      </w:r>
      <w:r>
        <w:rPr>
          <w:b/>
          <w:sz w:val="20"/>
        </w:rPr>
        <w:t>Act)</w:t>
      </w:r>
      <w:r>
        <w:rPr>
          <w:b/>
          <w:spacing w:val="-3"/>
          <w:sz w:val="20"/>
        </w:rPr>
        <w:t xml:space="preserve"> </w:t>
      </w:r>
      <w:r>
        <w:rPr>
          <w:b/>
          <w:sz w:val="20"/>
        </w:rPr>
        <w:t xml:space="preserve">tasks </w:t>
      </w:r>
      <w:r>
        <w:rPr>
          <w:b/>
          <w:spacing w:val="-6"/>
          <w:sz w:val="20"/>
        </w:rPr>
        <w:t>Infrastructure NSW with 14 functions including:</w:t>
      </w:r>
    </w:p>
    <w:p w:rsidR="002C1123" w:rsidRDefault="00F22F94">
      <w:pPr>
        <w:pStyle w:val="ListParagraph"/>
        <w:numPr>
          <w:ilvl w:val="1"/>
          <w:numId w:val="3"/>
        </w:numPr>
        <w:tabs>
          <w:tab w:val="left" w:pos="957"/>
          <w:tab w:val="left" w:pos="958"/>
        </w:tabs>
        <w:spacing w:before="18" w:line="249" w:lineRule="auto"/>
        <w:ind w:right="296" w:hanging="306"/>
        <w:rPr>
          <w:sz w:val="20"/>
        </w:rPr>
      </w:pPr>
      <w:r>
        <w:rPr>
          <w:w w:val="95"/>
          <w:sz w:val="20"/>
        </w:rPr>
        <w:t>preparation</w:t>
      </w:r>
      <w:r>
        <w:rPr>
          <w:spacing w:val="-5"/>
          <w:w w:val="95"/>
          <w:sz w:val="20"/>
        </w:rPr>
        <w:t xml:space="preserve"> </w:t>
      </w:r>
      <w:r>
        <w:rPr>
          <w:w w:val="95"/>
          <w:sz w:val="20"/>
        </w:rPr>
        <w:t>and</w:t>
      </w:r>
      <w:r>
        <w:rPr>
          <w:spacing w:val="-5"/>
          <w:w w:val="95"/>
          <w:sz w:val="20"/>
        </w:rPr>
        <w:t xml:space="preserve"> </w:t>
      </w:r>
      <w:r>
        <w:rPr>
          <w:w w:val="95"/>
          <w:sz w:val="20"/>
        </w:rPr>
        <w:t>submission</w:t>
      </w:r>
      <w:r>
        <w:rPr>
          <w:spacing w:val="-5"/>
          <w:w w:val="95"/>
          <w:sz w:val="20"/>
        </w:rPr>
        <w:t xml:space="preserve"> </w:t>
      </w:r>
      <w:r>
        <w:rPr>
          <w:w w:val="95"/>
          <w:sz w:val="20"/>
        </w:rPr>
        <w:t>to</w:t>
      </w:r>
      <w:r>
        <w:rPr>
          <w:spacing w:val="-5"/>
          <w:w w:val="95"/>
          <w:sz w:val="20"/>
        </w:rPr>
        <w:t xml:space="preserve"> </w:t>
      </w:r>
      <w:r>
        <w:rPr>
          <w:w w:val="95"/>
          <w:sz w:val="20"/>
        </w:rPr>
        <w:t>the</w:t>
      </w:r>
      <w:r>
        <w:rPr>
          <w:spacing w:val="-5"/>
          <w:w w:val="95"/>
          <w:sz w:val="20"/>
        </w:rPr>
        <w:t xml:space="preserve"> </w:t>
      </w:r>
      <w:r>
        <w:rPr>
          <w:w w:val="95"/>
          <w:sz w:val="20"/>
        </w:rPr>
        <w:t>Premier</w:t>
      </w:r>
      <w:r>
        <w:rPr>
          <w:spacing w:val="-5"/>
          <w:w w:val="95"/>
          <w:sz w:val="20"/>
        </w:rPr>
        <w:t xml:space="preserve"> </w:t>
      </w:r>
      <w:r>
        <w:rPr>
          <w:w w:val="95"/>
          <w:sz w:val="20"/>
        </w:rPr>
        <w:t>of</w:t>
      </w:r>
      <w:r>
        <w:rPr>
          <w:spacing w:val="-5"/>
          <w:w w:val="95"/>
          <w:sz w:val="20"/>
        </w:rPr>
        <w:t xml:space="preserve"> </w:t>
      </w:r>
      <w:r>
        <w:rPr>
          <w:w w:val="95"/>
          <w:sz w:val="20"/>
        </w:rPr>
        <w:t xml:space="preserve">a </w:t>
      </w:r>
      <w:r>
        <w:rPr>
          <w:sz w:val="20"/>
        </w:rPr>
        <w:t>20</w:t>
      </w:r>
      <w:r>
        <w:rPr>
          <w:spacing w:val="-8"/>
          <w:sz w:val="20"/>
        </w:rPr>
        <w:t xml:space="preserve"> </w:t>
      </w:r>
      <w:r>
        <w:rPr>
          <w:sz w:val="20"/>
        </w:rPr>
        <w:t>year</w:t>
      </w:r>
      <w:r>
        <w:rPr>
          <w:spacing w:val="-8"/>
          <w:sz w:val="20"/>
        </w:rPr>
        <w:t xml:space="preserve"> </w:t>
      </w:r>
      <w:r>
        <w:rPr>
          <w:sz w:val="20"/>
        </w:rPr>
        <w:t>State</w:t>
      </w:r>
      <w:r>
        <w:rPr>
          <w:spacing w:val="-8"/>
          <w:sz w:val="20"/>
        </w:rPr>
        <w:t xml:space="preserve"> </w:t>
      </w:r>
      <w:r>
        <w:rPr>
          <w:sz w:val="20"/>
        </w:rPr>
        <w:t>Infrastructure</w:t>
      </w:r>
      <w:r>
        <w:rPr>
          <w:spacing w:val="-8"/>
          <w:sz w:val="20"/>
        </w:rPr>
        <w:t xml:space="preserve"> </w:t>
      </w:r>
      <w:r>
        <w:rPr>
          <w:sz w:val="20"/>
        </w:rPr>
        <w:t>Strategy</w:t>
      </w:r>
    </w:p>
    <w:p w:rsidR="002C1123" w:rsidRDefault="00F22F94">
      <w:pPr>
        <w:pStyle w:val="ListParagraph"/>
        <w:numPr>
          <w:ilvl w:val="1"/>
          <w:numId w:val="3"/>
        </w:numPr>
        <w:tabs>
          <w:tab w:val="left" w:pos="957"/>
          <w:tab w:val="left" w:pos="958"/>
        </w:tabs>
        <w:spacing w:before="131" w:line="249" w:lineRule="auto"/>
        <w:ind w:right="285" w:hanging="306"/>
        <w:rPr>
          <w:sz w:val="20"/>
        </w:rPr>
      </w:pPr>
      <w:r>
        <w:rPr>
          <w:sz w:val="20"/>
        </w:rPr>
        <w:t>preparation</w:t>
      </w:r>
      <w:r>
        <w:rPr>
          <w:spacing w:val="-11"/>
          <w:sz w:val="20"/>
        </w:rPr>
        <w:t xml:space="preserve"> </w:t>
      </w:r>
      <w:r>
        <w:rPr>
          <w:sz w:val="20"/>
        </w:rPr>
        <w:t>and</w:t>
      </w:r>
      <w:r>
        <w:rPr>
          <w:spacing w:val="-11"/>
          <w:sz w:val="20"/>
        </w:rPr>
        <w:t xml:space="preserve"> </w:t>
      </w:r>
      <w:r>
        <w:rPr>
          <w:sz w:val="20"/>
        </w:rPr>
        <w:t>submission</w:t>
      </w:r>
      <w:r>
        <w:rPr>
          <w:spacing w:val="-11"/>
          <w:sz w:val="20"/>
        </w:rPr>
        <w:t xml:space="preserve"> </w:t>
      </w:r>
      <w:r>
        <w:rPr>
          <w:sz w:val="20"/>
        </w:rPr>
        <w:t>to</w:t>
      </w:r>
      <w:r>
        <w:rPr>
          <w:spacing w:val="-11"/>
          <w:sz w:val="20"/>
        </w:rPr>
        <w:t xml:space="preserve"> </w:t>
      </w:r>
      <w:r>
        <w:rPr>
          <w:sz w:val="20"/>
        </w:rPr>
        <w:t>the</w:t>
      </w:r>
      <w:r>
        <w:rPr>
          <w:spacing w:val="-11"/>
          <w:sz w:val="20"/>
        </w:rPr>
        <w:t xml:space="preserve"> </w:t>
      </w:r>
      <w:r>
        <w:rPr>
          <w:sz w:val="20"/>
        </w:rPr>
        <w:t>Premier</w:t>
      </w:r>
      <w:r>
        <w:rPr>
          <w:spacing w:val="-11"/>
          <w:sz w:val="20"/>
        </w:rPr>
        <w:t xml:space="preserve"> </w:t>
      </w:r>
      <w:r>
        <w:rPr>
          <w:sz w:val="20"/>
        </w:rPr>
        <w:t xml:space="preserve">of </w:t>
      </w:r>
      <w:r>
        <w:rPr>
          <w:w w:val="95"/>
          <w:sz w:val="20"/>
        </w:rPr>
        <w:t>five</w:t>
      </w:r>
      <w:r>
        <w:rPr>
          <w:spacing w:val="-11"/>
          <w:w w:val="95"/>
          <w:sz w:val="20"/>
        </w:rPr>
        <w:t xml:space="preserve"> </w:t>
      </w:r>
      <w:r>
        <w:rPr>
          <w:w w:val="95"/>
          <w:sz w:val="20"/>
        </w:rPr>
        <w:t>year</w:t>
      </w:r>
      <w:r>
        <w:rPr>
          <w:spacing w:val="-11"/>
          <w:w w:val="95"/>
          <w:sz w:val="20"/>
        </w:rPr>
        <w:t xml:space="preserve"> </w:t>
      </w:r>
      <w:r>
        <w:rPr>
          <w:w w:val="95"/>
          <w:sz w:val="20"/>
        </w:rPr>
        <w:t>infrastructure</w:t>
      </w:r>
      <w:r>
        <w:rPr>
          <w:spacing w:val="-11"/>
          <w:w w:val="95"/>
          <w:sz w:val="20"/>
        </w:rPr>
        <w:t xml:space="preserve"> </w:t>
      </w:r>
      <w:r>
        <w:rPr>
          <w:w w:val="95"/>
          <w:sz w:val="20"/>
        </w:rPr>
        <w:t>plans</w:t>
      </w:r>
      <w:r>
        <w:rPr>
          <w:spacing w:val="-11"/>
          <w:w w:val="95"/>
          <w:sz w:val="20"/>
        </w:rPr>
        <w:t xml:space="preserve"> </w:t>
      </w:r>
      <w:r>
        <w:rPr>
          <w:w w:val="95"/>
          <w:sz w:val="20"/>
        </w:rPr>
        <w:t>and</w:t>
      </w:r>
      <w:r>
        <w:rPr>
          <w:spacing w:val="-11"/>
          <w:w w:val="95"/>
          <w:sz w:val="20"/>
        </w:rPr>
        <w:t xml:space="preserve"> </w:t>
      </w:r>
      <w:r>
        <w:rPr>
          <w:w w:val="95"/>
          <w:sz w:val="20"/>
        </w:rPr>
        <w:t>other</w:t>
      </w:r>
      <w:r>
        <w:rPr>
          <w:spacing w:val="-11"/>
          <w:w w:val="95"/>
          <w:sz w:val="20"/>
        </w:rPr>
        <w:t xml:space="preserve"> </w:t>
      </w:r>
      <w:r>
        <w:rPr>
          <w:w w:val="95"/>
          <w:sz w:val="20"/>
        </w:rPr>
        <w:t>plans</w:t>
      </w:r>
      <w:r>
        <w:rPr>
          <w:spacing w:val="-11"/>
          <w:w w:val="95"/>
          <w:sz w:val="20"/>
        </w:rPr>
        <w:t xml:space="preserve"> </w:t>
      </w:r>
      <w:r>
        <w:rPr>
          <w:w w:val="95"/>
          <w:sz w:val="20"/>
        </w:rPr>
        <w:t xml:space="preserve">as </w:t>
      </w:r>
      <w:r>
        <w:rPr>
          <w:sz w:val="20"/>
        </w:rPr>
        <w:t>requested by the Premier</w:t>
      </w:r>
    </w:p>
    <w:p w:rsidR="002C1123" w:rsidRDefault="00F22F94">
      <w:pPr>
        <w:pStyle w:val="ListParagraph"/>
        <w:numPr>
          <w:ilvl w:val="1"/>
          <w:numId w:val="3"/>
        </w:numPr>
        <w:tabs>
          <w:tab w:val="left" w:pos="957"/>
          <w:tab w:val="left" w:pos="958"/>
        </w:tabs>
        <w:spacing w:before="131" w:line="249" w:lineRule="auto"/>
        <w:ind w:left="955" w:right="680" w:hanging="313"/>
        <w:rPr>
          <w:sz w:val="20"/>
        </w:rPr>
      </w:pPr>
      <w:r>
        <w:rPr>
          <w:w w:val="95"/>
          <w:sz w:val="20"/>
        </w:rPr>
        <w:t>preparation</w:t>
      </w:r>
      <w:r>
        <w:rPr>
          <w:spacing w:val="-6"/>
          <w:w w:val="95"/>
          <w:sz w:val="20"/>
        </w:rPr>
        <w:t xml:space="preserve"> </w:t>
      </w:r>
      <w:r>
        <w:rPr>
          <w:w w:val="95"/>
          <w:sz w:val="20"/>
        </w:rPr>
        <w:t>of</w:t>
      </w:r>
      <w:r>
        <w:rPr>
          <w:spacing w:val="-6"/>
          <w:w w:val="95"/>
          <w:sz w:val="20"/>
        </w:rPr>
        <w:t xml:space="preserve"> </w:t>
      </w:r>
      <w:r>
        <w:rPr>
          <w:w w:val="95"/>
          <w:sz w:val="20"/>
        </w:rPr>
        <w:t>sectoral</w:t>
      </w:r>
      <w:r>
        <w:rPr>
          <w:spacing w:val="-6"/>
          <w:w w:val="95"/>
          <w:sz w:val="20"/>
        </w:rPr>
        <w:t xml:space="preserve"> </w:t>
      </w:r>
      <w:r>
        <w:rPr>
          <w:w w:val="95"/>
          <w:sz w:val="20"/>
        </w:rPr>
        <w:t>State</w:t>
      </w:r>
      <w:r>
        <w:rPr>
          <w:spacing w:val="-6"/>
          <w:w w:val="95"/>
          <w:sz w:val="20"/>
        </w:rPr>
        <w:t xml:space="preserve"> </w:t>
      </w:r>
      <w:r>
        <w:rPr>
          <w:w w:val="95"/>
          <w:sz w:val="20"/>
        </w:rPr>
        <w:t xml:space="preserve">infrastructure </w:t>
      </w:r>
      <w:r>
        <w:rPr>
          <w:sz w:val="20"/>
        </w:rPr>
        <w:t>strategy</w:t>
      </w:r>
      <w:r>
        <w:rPr>
          <w:spacing w:val="-11"/>
          <w:sz w:val="20"/>
        </w:rPr>
        <w:t xml:space="preserve"> </w:t>
      </w:r>
      <w:r>
        <w:rPr>
          <w:sz w:val="20"/>
        </w:rPr>
        <w:t>Statements</w:t>
      </w:r>
    </w:p>
    <w:p w:rsidR="002C1123" w:rsidRDefault="00F22F94">
      <w:pPr>
        <w:pStyle w:val="ListParagraph"/>
        <w:numPr>
          <w:ilvl w:val="1"/>
          <w:numId w:val="3"/>
        </w:numPr>
        <w:tabs>
          <w:tab w:val="left" w:pos="957"/>
          <w:tab w:val="left" w:pos="958"/>
        </w:tabs>
        <w:spacing w:before="130" w:line="249" w:lineRule="auto"/>
        <w:ind w:left="951" w:right="216" w:hanging="309"/>
        <w:rPr>
          <w:sz w:val="20"/>
        </w:rPr>
      </w:pPr>
      <w:r>
        <w:rPr>
          <w:sz w:val="20"/>
        </w:rPr>
        <w:t>review</w:t>
      </w:r>
      <w:r>
        <w:rPr>
          <w:spacing w:val="-7"/>
          <w:sz w:val="20"/>
        </w:rPr>
        <w:t xml:space="preserve"> </w:t>
      </w:r>
      <w:r>
        <w:rPr>
          <w:sz w:val="20"/>
        </w:rPr>
        <w:t>and</w:t>
      </w:r>
      <w:r>
        <w:rPr>
          <w:spacing w:val="-7"/>
          <w:sz w:val="20"/>
        </w:rPr>
        <w:t xml:space="preserve"> </w:t>
      </w:r>
      <w:r>
        <w:rPr>
          <w:sz w:val="20"/>
        </w:rPr>
        <w:t>evaluation</w:t>
      </w:r>
      <w:r>
        <w:rPr>
          <w:spacing w:val="-7"/>
          <w:sz w:val="20"/>
        </w:rPr>
        <w:t xml:space="preserve"> </w:t>
      </w:r>
      <w:r>
        <w:rPr>
          <w:sz w:val="20"/>
        </w:rPr>
        <w:t>of</w:t>
      </w:r>
      <w:r>
        <w:rPr>
          <w:spacing w:val="-7"/>
          <w:sz w:val="20"/>
        </w:rPr>
        <w:t xml:space="preserve"> </w:t>
      </w:r>
      <w:r>
        <w:rPr>
          <w:sz w:val="20"/>
        </w:rPr>
        <w:t>proposed</w:t>
      </w:r>
      <w:r>
        <w:rPr>
          <w:spacing w:val="-7"/>
          <w:sz w:val="20"/>
        </w:rPr>
        <w:t xml:space="preserve"> </w:t>
      </w:r>
      <w:r>
        <w:rPr>
          <w:sz w:val="20"/>
        </w:rPr>
        <w:t xml:space="preserve">major </w:t>
      </w:r>
      <w:r>
        <w:rPr>
          <w:w w:val="95"/>
          <w:sz w:val="20"/>
        </w:rPr>
        <w:t xml:space="preserve">infrastructure projects by Government agencies </w:t>
      </w:r>
      <w:r>
        <w:rPr>
          <w:sz w:val="20"/>
        </w:rPr>
        <w:t>or the private sector</w:t>
      </w:r>
    </w:p>
    <w:p w:rsidR="002C1123" w:rsidRDefault="00F22F94">
      <w:pPr>
        <w:pStyle w:val="ListParagraph"/>
        <w:numPr>
          <w:ilvl w:val="1"/>
          <w:numId w:val="3"/>
        </w:numPr>
        <w:tabs>
          <w:tab w:val="left" w:pos="954"/>
          <w:tab w:val="left" w:pos="955"/>
        </w:tabs>
        <w:spacing w:before="132" w:line="249" w:lineRule="auto"/>
        <w:ind w:left="954" w:hanging="313"/>
        <w:rPr>
          <w:sz w:val="20"/>
        </w:rPr>
      </w:pPr>
      <w:r>
        <w:rPr>
          <w:sz w:val="20"/>
        </w:rPr>
        <w:t>advice</w:t>
      </w:r>
      <w:r>
        <w:rPr>
          <w:spacing w:val="-11"/>
          <w:sz w:val="20"/>
        </w:rPr>
        <w:t xml:space="preserve"> </w:t>
      </w:r>
      <w:r>
        <w:rPr>
          <w:sz w:val="20"/>
        </w:rPr>
        <w:t>on</w:t>
      </w:r>
      <w:r>
        <w:rPr>
          <w:spacing w:val="-11"/>
          <w:sz w:val="20"/>
        </w:rPr>
        <w:t xml:space="preserve"> </w:t>
      </w:r>
      <w:r>
        <w:rPr>
          <w:sz w:val="20"/>
        </w:rPr>
        <w:t>infrastructure</w:t>
      </w:r>
      <w:r>
        <w:rPr>
          <w:spacing w:val="-11"/>
          <w:sz w:val="20"/>
        </w:rPr>
        <w:t xml:space="preserve"> </w:t>
      </w:r>
      <w:r>
        <w:rPr>
          <w:sz w:val="20"/>
        </w:rPr>
        <w:t>planning</w:t>
      </w:r>
      <w:r>
        <w:rPr>
          <w:spacing w:val="-11"/>
          <w:sz w:val="20"/>
        </w:rPr>
        <w:t xml:space="preserve"> </w:t>
      </w:r>
      <w:r>
        <w:rPr>
          <w:sz w:val="20"/>
        </w:rPr>
        <w:t>and</w:t>
      </w:r>
      <w:r>
        <w:rPr>
          <w:spacing w:val="-11"/>
          <w:sz w:val="20"/>
        </w:rPr>
        <w:t xml:space="preserve"> </w:t>
      </w:r>
      <w:r>
        <w:rPr>
          <w:sz w:val="20"/>
        </w:rPr>
        <w:t xml:space="preserve">delivery </w:t>
      </w:r>
      <w:r>
        <w:rPr>
          <w:w w:val="95"/>
          <w:sz w:val="20"/>
        </w:rPr>
        <w:t xml:space="preserve">assessment, economic or regulatory impediments </w:t>
      </w:r>
      <w:r>
        <w:rPr>
          <w:sz w:val="20"/>
        </w:rPr>
        <w:t>and funding models</w:t>
      </w:r>
    </w:p>
    <w:p w:rsidR="002C1123" w:rsidRDefault="00F22F94">
      <w:pPr>
        <w:pStyle w:val="ListParagraph"/>
        <w:numPr>
          <w:ilvl w:val="1"/>
          <w:numId w:val="3"/>
        </w:numPr>
        <w:tabs>
          <w:tab w:val="left" w:pos="951"/>
          <w:tab w:val="left" w:pos="952"/>
        </w:tabs>
        <w:spacing w:before="131" w:line="249" w:lineRule="auto"/>
        <w:ind w:left="955" w:right="450" w:hanging="313"/>
        <w:rPr>
          <w:sz w:val="20"/>
        </w:rPr>
      </w:pPr>
      <w:r>
        <w:rPr>
          <w:w w:val="95"/>
          <w:sz w:val="20"/>
        </w:rPr>
        <w:t xml:space="preserve">coordination of infrastructure submissions by </w:t>
      </w:r>
      <w:r>
        <w:rPr>
          <w:sz w:val="20"/>
        </w:rPr>
        <w:t>NSW</w:t>
      </w:r>
      <w:r>
        <w:rPr>
          <w:spacing w:val="-1"/>
          <w:sz w:val="20"/>
        </w:rPr>
        <w:t xml:space="preserve"> </w:t>
      </w:r>
      <w:r>
        <w:rPr>
          <w:sz w:val="20"/>
        </w:rPr>
        <w:t>to</w:t>
      </w:r>
      <w:r>
        <w:rPr>
          <w:spacing w:val="-1"/>
          <w:sz w:val="20"/>
        </w:rPr>
        <w:t xml:space="preserve"> </w:t>
      </w:r>
      <w:r>
        <w:rPr>
          <w:sz w:val="20"/>
        </w:rPr>
        <w:t>the</w:t>
      </w:r>
      <w:r>
        <w:rPr>
          <w:spacing w:val="-1"/>
          <w:sz w:val="20"/>
        </w:rPr>
        <w:t xml:space="preserve"> </w:t>
      </w:r>
      <w:r>
        <w:rPr>
          <w:sz w:val="20"/>
        </w:rPr>
        <w:t>Commonwealth</w:t>
      </w:r>
      <w:r>
        <w:rPr>
          <w:spacing w:val="-1"/>
          <w:sz w:val="20"/>
        </w:rPr>
        <w:t xml:space="preserve"> </w:t>
      </w:r>
      <w:r>
        <w:rPr>
          <w:sz w:val="20"/>
        </w:rPr>
        <w:t>Government.</w:t>
      </w:r>
    </w:p>
    <w:p w:rsidR="002C1123" w:rsidRDefault="00F22F94">
      <w:pPr>
        <w:rPr>
          <w:sz w:val="24"/>
        </w:rPr>
      </w:pPr>
      <w:r>
        <w:br w:type="column"/>
      </w:r>
    </w:p>
    <w:p w:rsidR="002C1123" w:rsidRDefault="002C1123">
      <w:pPr>
        <w:pStyle w:val="BodyText"/>
        <w:spacing w:before="4"/>
        <w:rPr>
          <w:sz w:val="25"/>
        </w:rPr>
      </w:pPr>
    </w:p>
    <w:p w:rsidR="002C1123" w:rsidRDefault="00F22F94">
      <w:pPr>
        <w:pStyle w:val="Heading6"/>
        <w:spacing w:before="0"/>
        <w:ind w:left="342"/>
      </w:pPr>
      <w:r>
        <w:rPr>
          <w:spacing w:val="-4"/>
        </w:rPr>
        <w:t>20</w:t>
      </w:r>
      <w:r>
        <w:rPr>
          <w:spacing w:val="-9"/>
        </w:rPr>
        <w:t xml:space="preserve"> </w:t>
      </w:r>
      <w:r>
        <w:rPr>
          <w:spacing w:val="-4"/>
        </w:rPr>
        <w:t>year</w:t>
      </w:r>
      <w:r>
        <w:rPr>
          <w:spacing w:val="-6"/>
        </w:rPr>
        <w:t xml:space="preserve"> </w:t>
      </w:r>
      <w:r>
        <w:rPr>
          <w:spacing w:val="-4"/>
        </w:rPr>
        <w:t>Infrastructure</w:t>
      </w:r>
      <w:r>
        <w:rPr>
          <w:spacing w:val="-6"/>
        </w:rPr>
        <w:t xml:space="preserve"> </w:t>
      </w:r>
      <w:r>
        <w:rPr>
          <w:spacing w:val="-4"/>
        </w:rPr>
        <w:t>Strategy</w:t>
      </w:r>
    </w:p>
    <w:p w:rsidR="002C1123" w:rsidRDefault="00F22F94">
      <w:pPr>
        <w:pStyle w:val="BodyText"/>
        <w:spacing w:before="10" w:line="249" w:lineRule="auto"/>
        <w:ind w:left="341" w:firstLine="2"/>
      </w:pPr>
      <w:r>
        <w:rPr>
          <w:w w:val="95"/>
        </w:rPr>
        <w:t>Part</w:t>
      </w:r>
      <w:r>
        <w:rPr>
          <w:spacing w:val="-7"/>
          <w:w w:val="95"/>
        </w:rPr>
        <w:t xml:space="preserve"> </w:t>
      </w:r>
      <w:r>
        <w:rPr>
          <w:w w:val="95"/>
        </w:rPr>
        <w:t>4,</w:t>
      </w:r>
      <w:r>
        <w:rPr>
          <w:spacing w:val="-7"/>
          <w:w w:val="95"/>
        </w:rPr>
        <w:t xml:space="preserve"> </w:t>
      </w:r>
      <w:r>
        <w:rPr>
          <w:w w:val="95"/>
        </w:rPr>
        <w:t>Section</w:t>
      </w:r>
      <w:r>
        <w:rPr>
          <w:spacing w:val="-7"/>
          <w:w w:val="95"/>
        </w:rPr>
        <w:t xml:space="preserve"> </w:t>
      </w:r>
      <w:r>
        <w:rPr>
          <w:w w:val="95"/>
        </w:rPr>
        <w:t>17</w:t>
      </w:r>
      <w:r>
        <w:rPr>
          <w:spacing w:val="-7"/>
          <w:w w:val="95"/>
        </w:rPr>
        <w:t xml:space="preserve"> </w:t>
      </w:r>
      <w:r>
        <w:rPr>
          <w:w w:val="95"/>
        </w:rPr>
        <w:t>of</w:t>
      </w:r>
      <w:r>
        <w:rPr>
          <w:spacing w:val="-7"/>
          <w:w w:val="95"/>
        </w:rPr>
        <w:t xml:space="preserve"> </w:t>
      </w:r>
      <w:r>
        <w:rPr>
          <w:w w:val="95"/>
        </w:rPr>
        <w:t>the</w:t>
      </w:r>
      <w:r>
        <w:rPr>
          <w:spacing w:val="-7"/>
          <w:w w:val="95"/>
        </w:rPr>
        <w:t xml:space="preserve"> </w:t>
      </w:r>
      <w:r>
        <w:rPr>
          <w:w w:val="95"/>
        </w:rPr>
        <w:t>Act</w:t>
      </w:r>
      <w:r>
        <w:rPr>
          <w:spacing w:val="-7"/>
          <w:w w:val="95"/>
        </w:rPr>
        <w:t xml:space="preserve"> </w:t>
      </w:r>
      <w:r>
        <w:rPr>
          <w:w w:val="95"/>
        </w:rPr>
        <w:t>provides</w:t>
      </w:r>
      <w:r>
        <w:rPr>
          <w:spacing w:val="-7"/>
          <w:w w:val="95"/>
        </w:rPr>
        <w:t xml:space="preserve"> </w:t>
      </w:r>
      <w:r>
        <w:rPr>
          <w:w w:val="95"/>
        </w:rPr>
        <w:t>that</w:t>
      </w:r>
      <w:r>
        <w:rPr>
          <w:spacing w:val="-7"/>
          <w:w w:val="95"/>
        </w:rPr>
        <w:t xml:space="preserve"> </w:t>
      </w:r>
      <w:r>
        <w:rPr>
          <w:w w:val="95"/>
        </w:rPr>
        <w:t>the</w:t>
      </w:r>
      <w:r>
        <w:rPr>
          <w:spacing w:val="-7"/>
          <w:w w:val="95"/>
        </w:rPr>
        <w:t xml:space="preserve"> </w:t>
      </w:r>
      <w:r>
        <w:rPr>
          <w:w w:val="95"/>
        </w:rPr>
        <w:t>20</w:t>
      </w:r>
      <w:r>
        <w:rPr>
          <w:spacing w:val="-7"/>
          <w:w w:val="95"/>
        </w:rPr>
        <w:t xml:space="preserve"> </w:t>
      </w:r>
      <w:r>
        <w:rPr>
          <w:w w:val="95"/>
        </w:rPr>
        <w:t xml:space="preserve">year </w:t>
      </w:r>
      <w:r>
        <w:t>State</w:t>
      </w:r>
      <w:r>
        <w:rPr>
          <w:spacing w:val="-2"/>
        </w:rPr>
        <w:t xml:space="preserve"> </w:t>
      </w:r>
      <w:r>
        <w:t>Infrastructure Strategy must:</w:t>
      </w:r>
    </w:p>
    <w:p w:rsidR="002C1123" w:rsidRDefault="00F22F94">
      <w:pPr>
        <w:pStyle w:val="ListParagraph"/>
        <w:numPr>
          <w:ilvl w:val="0"/>
          <w:numId w:val="160"/>
        </w:numPr>
        <w:tabs>
          <w:tab w:val="left" w:pos="626"/>
          <w:tab w:val="left" w:pos="627"/>
        </w:tabs>
        <w:spacing w:before="131" w:line="249" w:lineRule="auto"/>
        <w:ind w:right="265"/>
        <w:rPr>
          <w:sz w:val="20"/>
        </w:rPr>
      </w:pPr>
      <w:r>
        <w:rPr>
          <w:sz w:val="20"/>
        </w:rPr>
        <w:t>assess</w:t>
      </w:r>
      <w:r>
        <w:rPr>
          <w:spacing w:val="-10"/>
          <w:sz w:val="20"/>
        </w:rPr>
        <w:t xml:space="preserve"> </w:t>
      </w:r>
      <w:r>
        <w:rPr>
          <w:sz w:val="20"/>
        </w:rPr>
        <w:t>the</w:t>
      </w:r>
      <w:r>
        <w:rPr>
          <w:spacing w:val="-10"/>
          <w:sz w:val="20"/>
        </w:rPr>
        <w:t xml:space="preserve"> </w:t>
      </w:r>
      <w:r>
        <w:rPr>
          <w:sz w:val="20"/>
        </w:rPr>
        <w:t>current</w:t>
      </w:r>
      <w:r>
        <w:rPr>
          <w:spacing w:val="-10"/>
          <w:sz w:val="20"/>
        </w:rPr>
        <w:t xml:space="preserve"> </w:t>
      </w:r>
      <w:r>
        <w:rPr>
          <w:sz w:val="20"/>
        </w:rPr>
        <w:t>State</w:t>
      </w:r>
      <w:r>
        <w:rPr>
          <w:spacing w:val="-10"/>
          <w:sz w:val="20"/>
        </w:rPr>
        <w:t xml:space="preserve"> </w:t>
      </w:r>
      <w:r>
        <w:rPr>
          <w:sz w:val="20"/>
        </w:rPr>
        <w:t>of</w:t>
      </w:r>
      <w:r>
        <w:rPr>
          <w:spacing w:val="-10"/>
          <w:sz w:val="20"/>
        </w:rPr>
        <w:t xml:space="preserve"> </w:t>
      </w:r>
      <w:r>
        <w:rPr>
          <w:sz w:val="20"/>
        </w:rPr>
        <w:t>infrastructure</w:t>
      </w:r>
      <w:r>
        <w:rPr>
          <w:spacing w:val="-10"/>
          <w:sz w:val="20"/>
        </w:rPr>
        <w:t xml:space="preserve"> </w:t>
      </w:r>
      <w:r>
        <w:rPr>
          <w:sz w:val="20"/>
        </w:rPr>
        <w:t xml:space="preserve">in </w:t>
      </w:r>
      <w:r>
        <w:rPr>
          <w:w w:val="95"/>
          <w:sz w:val="20"/>
        </w:rPr>
        <w:t>NSW and the needs and strategic priorities for infrastructure</w:t>
      </w:r>
      <w:r>
        <w:rPr>
          <w:spacing w:val="-9"/>
          <w:w w:val="95"/>
          <w:sz w:val="20"/>
        </w:rPr>
        <w:t xml:space="preserve"> </w:t>
      </w:r>
      <w:r>
        <w:rPr>
          <w:w w:val="95"/>
          <w:sz w:val="20"/>
        </w:rPr>
        <w:t>in</w:t>
      </w:r>
      <w:r>
        <w:rPr>
          <w:spacing w:val="-9"/>
          <w:w w:val="95"/>
          <w:sz w:val="20"/>
        </w:rPr>
        <w:t xml:space="preserve"> </w:t>
      </w:r>
      <w:r>
        <w:rPr>
          <w:w w:val="95"/>
          <w:sz w:val="20"/>
        </w:rPr>
        <w:t>NSW</w:t>
      </w:r>
      <w:r>
        <w:rPr>
          <w:spacing w:val="-9"/>
          <w:w w:val="95"/>
          <w:sz w:val="20"/>
        </w:rPr>
        <w:t xml:space="preserve"> </w:t>
      </w:r>
      <w:r>
        <w:rPr>
          <w:w w:val="95"/>
          <w:sz w:val="20"/>
        </w:rPr>
        <w:t>for</w:t>
      </w:r>
      <w:r>
        <w:rPr>
          <w:spacing w:val="-9"/>
          <w:w w:val="95"/>
          <w:sz w:val="20"/>
        </w:rPr>
        <w:t xml:space="preserve"> </w:t>
      </w:r>
      <w:r>
        <w:rPr>
          <w:w w:val="95"/>
          <w:sz w:val="20"/>
        </w:rPr>
        <w:t>the</w:t>
      </w:r>
      <w:r>
        <w:rPr>
          <w:spacing w:val="-9"/>
          <w:w w:val="95"/>
          <w:sz w:val="20"/>
        </w:rPr>
        <w:t xml:space="preserve"> </w:t>
      </w:r>
      <w:r>
        <w:rPr>
          <w:w w:val="95"/>
          <w:sz w:val="20"/>
        </w:rPr>
        <w:t>next</w:t>
      </w:r>
      <w:r>
        <w:rPr>
          <w:spacing w:val="-9"/>
          <w:w w:val="95"/>
          <w:sz w:val="20"/>
        </w:rPr>
        <w:t xml:space="preserve"> </w:t>
      </w:r>
      <w:r>
        <w:rPr>
          <w:w w:val="95"/>
          <w:sz w:val="20"/>
        </w:rPr>
        <w:t>20</w:t>
      </w:r>
      <w:r>
        <w:rPr>
          <w:spacing w:val="-9"/>
          <w:w w:val="95"/>
          <w:sz w:val="20"/>
        </w:rPr>
        <w:t xml:space="preserve"> </w:t>
      </w:r>
      <w:r>
        <w:rPr>
          <w:w w:val="95"/>
          <w:sz w:val="20"/>
        </w:rPr>
        <w:t>years;</w:t>
      </w:r>
      <w:r>
        <w:rPr>
          <w:spacing w:val="-9"/>
          <w:w w:val="95"/>
          <w:sz w:val="20"/>
        </w:rPr>
        <w:t xml:space="preserve"> </w:t>
      </w:r>
      <w:r>
        <w:rPr>
          <w:w w:val="95"/>
          <w:sz w:val="20"/>
        </w:rPr>
        <w:t>and</w:t>
      </w:r>
    </w:p>
    <w:p w:rsidR="002C1123" w:rsidRDefault="00F22F94">
      <w:pPr>
        <w:pStyle w:val="ListParagraph"/>
        <w:numPr>
          <w:ilvl w:val="0"/>
          <w:numId w:val="160"/>
        </w:numPr>
        <w:tabs>
          <w:tab w:val="left" w:pos="628"/>
          <w:tab w:val="left" w:pos="629"/>
        </w:tabs>
        <w:spacing w:before="132" w:line="249" w:lineRule="auto"/>
        <w:ind w:left="625" w:right="223" w:hanging="311"/>
        <w:rPr>
          <w:sz w:val="20"/>
        </w:rPr>
      </w:pPr>
      <w:r>
        <w:rPr>
          <w:sz w:val="20"/>
        </w:rPr>
        <w:t>in</w:t>
      </w:r>
      <w:r>
        <w:rPr>
          <w:spacing w:val="-12"/>
          <w:sz w:val="20"/>
        </w:rPr>
        <w:t xml:space="preserve"> </w:t>
      </w:r>
      <w:r>
        <w:rPr>
          <w:sz w:val="20"/>
        </w:rPr>
        <w:t>preparing</w:t>
      </w:r>
      <w:r>
        <w:rPr>
          <w:spacing w:val="-12"/>
          <w:sz w:val="20"/>
        </w:rPr>
        <w:t xml:space="preserve"> </w:t>
      </w:r>
      <w:r>
        <w:rPr>
          <w:sz w:val="20"/>
        </w:rPr>
        <w:t>or</w:t>
      </w:r>
      <w:r>
        <w:rPr>
          <w:spacing w:val="-12"/>
          <w:sz w:val="20"/>
        </w:rPr>
        <w:t xml:space="preserve"> </w:t>
      </w:r>
      <w:r>
        <w:rPr>
          <w:sz w:val="20"/>
        </w:rPr>
        <w:t>reviewing</w:t>
      </w:r>
      <w:r>
        <w:rPr>
          <w:spacing w:val="-12"/>
          <w:sz w:val="20"/>
        </w:rPr>
        <w:t xml:space="preserve"> </w:t>
      </w:r>
      <w:r>
        <w:rPr>
          <w:sz w:val="20"/>
        </w:rPr>
        <w:t>the</w:t>
      </w:r>
      <w:r>
        <w:rPr>
          <w:spacing w:val="-12"/>
          <w:sz w:val="20"/>
        </w:rPr>
        <w:t xml:space="preserve"> </w:t>
      </w:r>
      <w:r>
        <w:rPr>
          <w:sz w:val="20"/>
        </w:rPr>
        <w:t>20</w:t>
      </w:r>
      <w:r>
        <w:rPr>
          <w:spacing w:val="-12"/>
          <w:sz w:val="20"/>
        </w:rPr>
        <w:t xml:space="preserve"> </w:t>
      </w:r>
      <w:r>
        <w:rPr>
          <w:sz w:val="20"/>
        </w:rPr>
        <w:t>year</w:t>
      </w:r>
      <w:r>
        <w:rPr>
          <w:spacing w:val="-12"/>
          <w:sz w:val="20"/>
        </w:rPr>
        <w:t xml:space="preserve"> </w:t>
      </w:r>
      <w:r>
        <w:rPr>
          <w:sz w:val="20"/>
        </w:rPr>
        <w:t xml:space="preserve">State </w:t>
      </w:r>
      <w:r>
        <w:rPr>
          <w:w w:val="95"/>
          <w:sz w:val="20"/>
        </w:rPr>
        <w:t>Infrastructure</w:t>
      </w:r>
      <w:r>
        <w:rPr>
          <w:spacing w:val="-12"/>
          <w:w w:val="95"/>
          <w:sz w:val="20"/>
        </w:rPr>
        <w:t xml:space="preserve"> </w:t>
      </w:r>
      <w:r>
        <w:rPr>
          <w:w w:val="95"/>
          <w:sz w:val="20"/>
        </w:rPr>
        <w:t>Strategy,</w:t>
      </w:r>
      <w:r>
        <w:rPr>
          <w:spacing w:val="-11"/>
          <w:w w:val="95"/>
          <w:sz w:val="20"/>
        </w:rPr>
        <w:t xml:space="preserve"> </w:t>
      </w:r>
      <w:r>
        <w:rPr>
          <w:w w:val="95"/>
          <w:sz w:val="20"/>
        </w:rPr>
        <w:t>have</w:t>
      </w:r>
      <w:r>
        <w:rPr>
          <w:spacing w:val="-11"/>
          <w:w w:val="95"/>
          <w:sz w:val="20"/>
        </w:rPr>
        <w:t xml:space="preserve"> </w:t>
      </w:r>
      <w:r>
        <w:rPr>
          <w:w w:val="95"/>
          <w:sz w:val="20"/>
        </w:rPr>
        <w:t>regard</w:t>
      </w:r>
      <w:r>
        <w:rPr>
          <w:spacing w:val="-11"/>
          <w:w w:val="95"/>
          <w:sz w:val="20"/>
        </w:rPr>
        <w:t xml:space="preserve"> </w:t>
      </w:r>
      <w:r>
        <w:rPr>
          <w:w w:val="95"/>
          <w:sz w:val="20"/>
        </w:rPr>
        <w:t>to</w:t>
      </w:r>
      <w:r>
        <w:rPr>
          <w:spacing w:val="-11"/>
          <w:w w:val="95"/>
          <w:sz w:val="20"/>
        </w:rPr>
        <w:t xml:space="preserve"> </w:t>
      </w:r>
      <w:r>
        <w:rPr>
          <w:w w:val="95"/>
          <w:sz w:val="20"/>
        </w:rPr>
        <w:t>any</w:t>
      </w:r>
      <w:r>
        <w:rPr>
          <w:spacing w:val="-11"/>
          <w:w w:val="95"/>
          <w:sz w:val="20"/>
        </w:rPr>
        <w:t xml:space="preserve"> </w:t>
      </w:r>
      <w:r>
        <w:rPr>
          <w:w w:val="95"/>
          <w:sz w:val="20"/>
        </w:rPr>
        <w:t xml:space="preserve">State </w:t>
      </w:r>
      <w:r>
        <w:rPr>
          <w:sz w:val="20"/>
        </w:rPr>
        <w:t>strategic</w:t>
      </w:r>
      <w:r>
        <w:rPr>
          <w:spacing w:val="-8"/>
          <w:sz w:val="20"/>
        </w:rPr>
        <w:t xml:space="preserve"> </w:t>
      </w:r>
      <w:r>
        <w:rPr>
          <w:sz w:val="20"/>
        </w:rPr>
        <w:t>priority</w:t>
      </w:r>
      <w:r>
        <w:rPr>
          <w:spacing w:val="-8"/>
          <w:sz w:val="20"/>
        </w:rPr>
        <w:t xml:space="preserve"> </w:t>
      </w:r>
      <w:r>
        <w:rPr>
          <w:sz w:val="20"/>
        </w:rPr>
        <w:t>of</w:t>
      </w:r>
      <w:r>
        <w:rPr>
          <w:spacing w:val="-8"/>
          <w:sz w:val="20"/>
        </w:rPr>
        <w:t xml:space="preserve"> </w:t>
      </w:r>
      <w:r>
        <w:rPr>
          <w:sz w:val="20"/>
        </w:rPr>
        <w:t>which</w:t>
      </w:r>
      <w:r>
        <w:rPr>
          <w:spacing w:val="-8"/>
          <w:sz w:val="20"/>
        </w:rPr>
        <w:t xml:space="preserve"> </w:t>
      </w:r>
      <w:r>
        <w:rPr>
          <w:sz w:val="20"/>
        </w:rPr>
        <w:t>Infrastructure</w:t>
      </w:r>
      <w:r>
        <w:rPr>
          <w:spacing w:val="-8"/>
          <w:sz w:val="20"/>
        </w:rPr>
        <w:t xml:space="preserve"> </w:t>
      </w:r>
      <w:r>
        <w:rPr>
          <w:sz w:val="20"/>
        </w:rPr>
        <w:t>NSW has</w:t>
      </w:r>
      <w:r>
        <w:rPr>
          <w:spacing w:val="-7"/>
          <w:sz w:val="20"/>
        </w:rPr>
        <w:t xml:space="preserve"> </w:t>
      </w:r>
      <w:r>
        <w:rPr>
          <w:sz w:val="20"/>
        </w:rPr>
        <w:t>been</w:t>
      </w:r>
      <w:r>
        <w:rPr>
          <w:spacing w:val="-7"/>
          <w:sz w:val="20"/>
        </w:rPr>
        <w:t xml:space="preserve"> </w:t>
      </w:r>
      <w:r>
        <w:rPr>
          <w:sz w:val="20"/>
        </w:rPr>
        <w:t>advised</w:t>
      </w:r>
      <w:r>
        <w:rPr>
          <w:spacing w:val="-7"/>
          <w:sz w:val="20"/>
        </w:rPr>
        <w:t xml:space="preserve"> </w:t>
      </w:r>
      <w:r>
        <w:rPr>
          <w:sz w:val="20"/>
        </w:rPr>
        <w:t>by</w:t>
      </w:r>
      <w:r>
        <w:rPr>
          <w:spacing w:val="-7"/>
          <w:sz w:val="20"/>
        </w:rPr>
        <w:t xml:space="preserve"> </w:t>
      </w:r>
      <w:r>
        <w:rPr>
          <w:sz w:val="20"/>
        </w:rPr>
        <w:t>the</w:t>
      </w:r>
      <w:r>
        <w:rPr>
          <w:spacing w:val="-7"/>
          <w:sz w:val="20"/>
        </w:rPr>
        <w:t xml:space="preserve"> </w:t>
      </w:r>
      <w:r>
        <w:rPr>
          <w:sz w:val="20"/>
        </w:rPr>
        <w:t>Premier.</w:t>
      </w:r>
    </w:p>
    <w:p w:rsidR="002C1123" w:rsidRDefault="00F22F94">
      <w:pPr>
        <w:pStyle w:val="BodyText"/>
        <w:spacing w:before="144" w:line="249" w:lineRule="auto"/>
        <w:ind w:left="340" w:firstLine="1"/>
      </w:pPr>
      <w:r>
        <w:rPr>
          <w:w w:val="95"/>
        </w:rPr>
        <w:t>Section</w:t>
      </w:r>
      <w:r>
        <w:rPr>
          <w:spacing w:val="-1"/>
          <w:w w:val="95"/>
        </w:rPr>
        <w:t xml:space="preserve"> </w:t>
      </w:r>
      <w:r>
        <w:rPr>
          <w:w w:val="95"/>
        </w:rPr>
        <w:t>17</w:t>
      </w:r>
      <w:r>
        <w:rPr>
          <w:spacing w:val="-1"/>
          <w:w w:val="95"/>
        </w:rPr>
        <w:t xml:space="preserve"> </w:t>
      </w:r>
      <w:r>
        <w:rPr>
          <w:w w:val="95"/>
        </w:rPr>
        <w:t>(2)</w:t>
      </w:r>
      <w:r>
        <w:rPr>
          <w:spacing w:val="-1"/>
          <w:w w:val="95"/>
        </w:rPr>
        <w:t xml:space="preserve"> </w:t>
      </w:r>
      <w:r>
        <w:rPr>
          <w:w w:val="95"/>
        </w:rPr>
        <w:t>provides</w:t>
      </w:r>
      <w:r>
        <w:rPr>
          <w:spacing w:val="-1"/>
          <w:w w:val="95"/>
        </w:rPr>
        <w:t xml:space="preserve"> </w:t>
      </w:r>
      <w:r>
        <w:rPr>
          <w:w w:val="95"/>
        </w:rPr>
        <w:t>some</w:t>
      </w:r>
      <w:r>
        <w:rPr>
          <w:spacing w:val="-1"/>
          <w:w w:val="95"/>
        </w:rPr>
        <w:t xml:space="preserve"> </w:t>
      </w:r>
      <w:r>
        <w:rPr>
          <w:w w:val="95"/>
        </w:rPr>
        <w:t>guidance</w:t>
      </w:r>
      <w:r>
        <w:rPr>
          <w:spacing w:val="-1"/>
          <w:w w:val="95"/>
        </w:rPr>
        <w:t xml:space="preserve"> </w:t>
      </w:r>
      <w:r>
        <w:rPr>
          <w:w w:val="95"/>
        </w:rPr>
        <w:t>on</w:t>
      </w:r>
      <w:r>
        <w:rPr>
          <w:spacing w:val="-1"/>
          <w:w w:val="95"/>
        </w:rPr>
        <w:t xml:space="preserve"> </w:t>
      </w:r>
      <w:r>
        <w:rPr>
          <w:w w:val="95"/>
        </w:rPr>
        <w:t>the</w:t>
      </w:r>
      <w:r>
        <w:rPr>
          <w:spacing w:val="-1"/>
          <w:w w:val="95"/>
        </w:rPr>
        <w:t xml:space="preserve"> </w:t>
      </w:r>
      <w:r>
        <w:rPr>
          <w:w w:val="95"/>
        </w:rPr>
        <w:t xml:space="preserve">criteria </w:t>
      </w:r>
      <w:r>
        <w:t>and</w:t>
      </w:r>
      <w:r>
        <w:rPr>
          <w:spacing w:val="-4"/>
        </w:rPr>
        <w:t xml:space="preserve"> </w:t>
      </w:r>
      <w:r>
        <w:t>objectives</w:t>
      </w:r>
      <w:r>
        <w:rPr>
          <w:spacing w:val="-4"/>
        </w:rPr>
        <w:t xml:space="preserve"> </w:t>
      </w:r>
      <w:r>
        <w:t>which</w:t>
      </w:r>
      <w:r>
        <w:rPr>
          <w:spacing w:val="-4"/>
        </w:rPr>
        <w:t xml:space="preserve"> </w:t>
      </w:r>
      <w:r>
        <w:t>may</w:t>
      </w:r>
      <w:r>
        <w:rPr>
          <w:spacing w:val="-4"/>
        </w:rPr>
        <w:t xml:space="preserve"> </w:t>
      </w:r>
      <w:r>
        <w:t>be</w:t>
      </w:r>
      <w:r>
        <w:rPr>
          <w:spacing w:val="-4"/>
        </w:rPr>
        <w:t xml:space="preserve"> </w:t>
      </w:r>
      <w:r>
        <w:t>considered</w:t>
      </w:r>
      <w:r>
        <w:rPr>
          <w:spacing w:val="-4"/>
        </w:rPr>
        <w:t xml:space="preserve"> </w:t>
      </w:r>
      <w:r>
        <w:t xml:space="preserve">when </w:t>
      </w:r>
      <w:r>
        <w:rPr>
          <w:spacing w:val="-2"/>
        </w:rPr>
        <w:t>developing</w:t>
      </w:r>
      <w:r>
        <w:rPr>
          <w:spacing w:val="-8"/>
        </w:rPr>
        <w:t xml:space="preserve"> </w:t>
      </w:r>
      <w:r>
        <w:rPr>
          <w:spacing w:val="-2"/>
        </w:rPr>
        <w:t>the</w:t>
      </w:r>
      <w:r>
        <w:rPr>
          <w:spacing w:val="-8"/>
        </w:rPr>
        <w:t xml:space="preserve"> </w:t>
      </w:r>
      <w:r>
        <w:rPr>
          <w:spacing w:val="-2"/>
        </w:rPr>
        <w:t>20</w:t>
      </w:r>
      <w:r>
        <w:rPr>
          <w:spacing w:val="-8"/>
        </w:rPr>
        <w:t xml:space="preserve"> </w:t>
      </w:r>
      <w:r>
        <w:rPr>
          <w:spacing w:val="-2"/>
        </w:rPr>
        <w:t>year</w:t>
      </w:r>
      <w:r>
        <w:rPr>
          <w:spacing w:val="-8"/>
        </w:rPr>
        <w:t xml:space="preserve"> </w:t>
      </w:r>
      <w:r>
        <w:rPr>
          <w:spacing w:val="-2"/>
        </w:rPr>
        <w:t>State</w:t>
      </w:r>
      <w:r>
        <w:rPr>
          <w:spacing w:val="-8"/>
        </w:rPr>
        <w:t xml:space="preserve"> </w:t>
      </w:r>
      <w:r>
        <w:rPr>
          <w:spacing w:val="-2"/>
        </w:rPr>
        <w:t>Infrastructure</w:t>
      </w:r>
      <w:r>
        <w:rPr>
          <w:spacing w:val="-8"/>
        </w:rPr>
        <w:t xml:space="preserve"> </w:t>
      </w:r>
      <w:r>
        <w:rPr>
          <w:spacing w:val="-2"/>
        </w:rPr>
        <w:t xml:space="preserve">Strategy. </w:t>
      </w:r>
      <w:r>
        <w:t>Infrastructure</w:t>
      </w:r>
      <w:r>
        <w:rPr>
          <w:spacing w:val="-13"/>
        </w:rPr>
        <w:t xml:space="preserve"> </w:t>
      </w:r>
      <w:r>
        <w:t>NSW</w:t>
      </w:r>
      <w:r>
        <w:rPr>
          <w:spacing w:val="-13"/>
        </w:rPr>
        <w:t xml:space="preserve"> </w:t>
      </w:r>
      <w:r>
        <w:t>has</w:t>
      </w:r>
      <w:r>
        <w:rPr>
          <w:spacing w:val="-13"/>
        </w:rPr>
        <w:t xml:space="preserve"> </w:t>
      </w:r>
      <w:r>
        <w:t>taken</w:t>
      </w:r>
      <w:r>
        <w:rPr>
          <w:spacing w:val="-13"/>
        </w:rPr>
        <w:t xml:space="preserve"> </w:t>
      </w:r>
      <w:r>
        <w:t>this</w:t>
      </w:r>
      <w:r>
        <w:rPr>
          <w:spacing w:val="-13"/>
        </w:rPr>
        <w:t xml:space="preserve"> </w:t>
      </w:r>
      <w:r>
        <w:t>guidance</w:t>
      </w:r>
      <w:r>
        <w:rPr>
          <w:spacing w:val="-13"/>
        </w:rPr>
        <w:t xml:space="preserve"> </w:t>
      </w:r>
      <w:r>
        <w:t>into consideration</w:t>
      </w:r>
      <w:r>
        <w:rPr>
          <w:spacing w:val="-12"/>
        </w:rPr>
        <w:t xml:space="preserve"> </w:t>
      </w:r>
      <w:r>
        <w:t>in</w:t>
      </w:r>
      <w:r>
        <w:rPr>
          <w:spacing w:val="-12"/>
        </w:rPr>
        <w:t xml:space="preserve"> </w:t>
      </w:r>
      <w:r>
        <w:t>developing</w:t>
      </w:r>
      <w:r>
        <w:rPr>
          <w:spacing w:val="-12"/>
        </w:rPr>
        <w:t xml:space="preserve"> </w:t>
      </w:r>
      <w:r>
        <w:t>the</w:t>
      </w:r>
      <w:r>
        <w:rPr>
          <w:spacing w:val="-12"/>
        </w:rPr>
        <w:t xml:space="preserve"> </w:t>
      </w:r>
      <w:r>
        <w:t>Strategy</w:t>
      </w:r>
      <w:r>
        <w:rPr>
          <w:spacing w:val="-12"/>
        </w:rPr>
        <w:t xml:space="preserve"> </w:t>
      </w:r>
      <w:r>
        <w:t>and</w:t>
      </w:r>
      <w:r>
        <w:rPr>
          <w:spacing w:val="-12"/>
        </w:rPr>
        <w:t xml:space="preserve"> </w:t>
      </w:r>
      <w:r>
        <w:t xml:space="preserve">in </w:t>
      </w:r>
      <w:r>
        <w:rPr>
          <w:w w:val="95"/>
        </w:rPr>
        <w:t xml:space="preserve">particular, has developed a number of options to deal with identified deficiencies, including options relating to demand management and other policy, pricing and </w:t>
      </w:r>
      <w:r>
        <w:t>regulatory reform options.</w:t>
      </w:r>
    </w:p>
    <w:p w:rsidR="002C1123" w:rsidRDefault="00F22F94">
      <w:pPr>
        <w:pStyle w:val="BodyText"/>
        <w:spacing w:before="149" w:line="249" w:lineRule="auto"/>
        <w:ind w:left="342" w:hanging="2"/>
      </w:pPr>
      <w:r>
        <w:t>Section</w:t>
      </w:r>
      <w:r>
        <w:rPr>
          <w:spacing w:val="-12"/>
        </w:rPr>
        <w:t xml:space="preserve"> </w:t>
      </w:r>
      <w:r>
        <w:t>18</w:t>
      </w:r>
      <w:r>
        <w:rPr>
          <w:spacing w:val="-12"/>
        </w:rPr>
        <w:t xml:space="preserve"> </w:t>
      </w:r>
      <w:r>
        <w:t>provides</w:t>
      </w:r>
      <w:r>
        <w:rPr>
          <w:spacing w:val="-12"/>
        </w:rPr>
        <w:t xml:space="preserve"> </w:t>
      </w:r>
      <w:r>
        <w:t>that</w:t>
      </w:r>
      <w:r>
        <w:rPr>
          <w:spacing w:val="-12"/>
        </w:rPr>
        <w:t xml:space="preserve"> </w:t>
      </w:r>
      <w:r>
        <w:t>the</w:t>
      </w:r>
      <w:r>
        <w:rPr>
          <w:spacing w:val="-12"/>
        </w:rPr>
        <w:t xml:space="preserve"> </w:t>
      </w:r>
      <w:r>
        <w:t>Premier</w:t>
      </w:r>
      <w:r>
        <w:rPr>
          <w:spacing w:val="-12"/>
        </w:rPr>
        <w:t xml:space="preserve"> </w:t>
      </w:r>
      <w:r>
        <w:t>is</w:t>
      </w:r>
      <w:r>
        <w:rPr>
          <w:spacing w:val="-12"/>
        </w:rPr>
        <w:t xml:space="preserve"> </w:t>
      </w:r>
      <w:r>
        <w:t>to</w:t>
      </w:r>
      <w:r>
        <w:rPr>
          <w:spacing w:val="-12"/>
        </w:rPr>
        <w:t xml:space="preserve"> </w:t>
      </w:r>
      <w:r>
        <w:t>consider any</w:t>
      </w:r>
      <w:r>
        <w:rPr>
          <w:spacing w:val="-14"/>
        </w:rPr>
        <w:t xml:space="preserve"> </w:t>
      </w:r>
      <w:r>
        <w:t>20</w:t>
      </w:r>
      <w:r>
        <w:rPr>
          <w:spacing w:val="-14"/>
        </w:rPr>
        <w:t xml:space="preserve"> </w:t>
      </w:r>
      <w:r>
        <w:t>year</w:t>
      </w:r>
      <w:r>
        <w:rPr>
          <w:spacing w:val="-14"/>
        </w:rPr>
        <w:t xml:space="preserve"> </w:t>
      </w:r>
      <w:r>
        <w:t>State</w:t>
      </w:r>
      <w:r>
        <w:rPr>
          <w:spacing w:val="-14"/>
        </w:rPr>
        <w:t xml:space="preserve"> </w:t>
      </w:r>
      <w:r>
        <w:t>Infrastructure</w:t>
      </w:r>
      <w:r>
        <w:rPr>
          <w:spacing w:val="-14"/>
        </w:rPr>
        <w:t xml:space="preserve"> </w:t>
      </w:r>
      <w:r>
        <w:t>Strategy</w:t>
      </w:r>
      <w:r>
        <w:rPr>
          <w:spacing w:val="-14"/>
        </w:rPr>
        <w:t xml:space="preserve"> </w:t>
      </w:r>
      <w:r>
        <w:t xml:space="preserve">submitted </w:t>
      </w:r>
      <w:r>
        <w:rPr>
          <w:w w:val="95"/>
        </w:rPr>
        <w:t>by</w:t>
      </w:r>
      <w:r>
        <w:rPr>
          <w:spacing w:val="-3"/>
          <w:w w:val="95"/>
        </w:rPr>
        <w:t xml:space="preserve"> </w:t>
      </w:r>
      <w:r>
        <w:rPr>
          <w:w w:val="95"/>
        </w:rPr>
        <w:t>Infrastructure</w:t>
      </w:r>
      <w:r>
        <w:rPr>
          <w:spacing w:val="-3"/>
          <w:w w:val="95"/>
        </w:rPr>
        <w:t xml:space="preserve"> </w:t>
      </w:r>
      <w:r>
        <w:rPr>
          <w:w w:val="95"/>
        </w:rPr>
        <w:t>NSW,</w:t>
      </w:r>
      <w:r>
        <w:rPr>
          <w:spacing w:val="-3"/>
          <w:w w:val="95"/>
        </w:rPr>
        <w:t xml:space="preserve"> </w:t>
      </w:r>
      <w:r>
        <w:rPr>
          <w:w w:val="95"/>
        </w:rPr>
        <w:t>and</w:t>
      </w:r>
      <w:r>
        <w:rPr>
          <w:spacing w:val="-3"/>
          <w:w w:val="95"/>
        </w:rPr>
        <w:t xml:space="preserve"> </w:t>
      </w:r>
      <w:r>
        <w:rPr>
          <w:w w:val="95"/>
        </w:rPr>
        <w:t>adopt</w:t>
      </w:r>
      <w:r>
        <w:rPr>
          <w:spacing w:val="-3"/>
          <w:w w:val="95"/>
        </w:rPr>
        <w:t xml:space="preserve"> </w:t>
      </w:r>
      <w:r>
        <w:rPr>
          <w:w w:val="95"/>
        </w:rPr>
        <w:t>the</w:t>
      </w:r>
      <w:r>
        <w:rPr>
          <w:spacing w:val="-3"/>
          <w:w w:val="95"/>
        </w:rPr>
        <w:t xml:space="preserve"> </w:t>
      </w:r>
      <w:r>
        <w:rPr>
          <w:w w:val="95"/>
        </w:rPr>
        <w:t>strategy</w:t>
      </w:r>
      <w:r>
        <w:rPr>
          <w:spacing w:val="-3"/>
          <w:w w:val="95"/>
        </w:rPr>
        <w:t xml:space="preserve"> </w:t>
      </w:r>
      <w:r>
        <w:rPr>
          <w:w w:val="95"/>
        </w:rPr>
        <w:t>with</w:t>
      </w:r>
      <w:r>
        <w:rPr>
          <w:spacing w:val="-3"/>
          <w:w w:val="95"/>
        </w:rPr>
        <w:t xml:space="preserve"> </w:t>
      </w:r>
      <w:r>
        <w:rPr>
          <w:w w:val="95"/>
        </w:rPr>
        <w:t>or without</w:t>
      </w:r>
      <w:r>
        <w:rPr>
          <w:spacing w:val="-1"/>
          <w:w w:val="95"/>
        </w:rPr>
        <w:t xml:space="preserve"> </w:t>
      </w:r>
      <w:r>
        <w:rPr>
          <w:w w:val="95"/>
        </w:rPr>
        <w:t>amendments,</w:t>
      </w:r>
      <w:r>
        <w:rPr>
          <w:spacing w:val="-1"/>
          <w:w w:val="95"/>
        </w:rPr>
        <w:t xml:space="preserve"> </w:t>
      </w:r>
      <w:r>
        <w:rPr>
          <w:w w:val="95"/>
        </w:rPr>
        <w:t>or</w:t>
      </w:r>
      <w:r>
        <w:rPr>
          <w:spacing w:val="-1"/>
          <w:w w:val="95"/>
        </w:rPr>
        <w:t xml:space="preserve"> </w:t>
      </w:r>
      <w:r>
        <w:rPr>
          <w:w w:val="95"/>
        </w:rPr>
        <w:t>refer</w:t>
      </w:r>
      <w:r>
        <w:rPr>
          <w:spacing w:val="-1"/>
          <w:w w:val="95"/>
        </w:rPr>
        <w:t xml:space="preserve"> </w:t>
      </w:r>
      <w:r>
        <w:rPr>
          <w:w w:val="95"/>
        </w:rPr>
        <w:t>it</w:t>
      </w:r>
      <w:r>
        <w:rPr>
          <w:spacing w:val="-1"/>
          <w:w w:val="95"/>
        </w:rPr>
        <w:t xml:space="preserve"> </w:t>
      </w:r>
      <w:r>
        <w:rPr>
          <w:w w:val="95"/>
        </w:rPr>
        <w:t>back</w:t>
      </w:r>
      <w:r>
        <w:rPr>
          <w:spacing w:val="-1"/>
          <w:w w:val="95"/>
        </w:rPr>
        <w:t xml:space="preserve"> </w:t>
      </w:r>
      <w:r>
        <w:rPr>
          <w:w w:val="95"/>
        </w:rPr>
        <w:t>to</w:t>
      </w:r>
      <w:r>
        <w:rPr>
          <w:spacing w:val="-1"/>
          <w:w w:val="95"/>
        </w:rPr>
        <w:t xml:space="preserve"> </w:t>
      </w:r>
      <w:r>
        <w:rPr>
          <w:w w:val="95"/>
        </w:rPr>
        <w:t xml:space="preserve">Infrastructure </w:t>
      </w:r>
      <w:r>
        <w:t>NSW for further consideration.</w:t>
      </w:r>
    </w:p>
    <w:p w:rsidR="002C1123" w:rsidRDefault="00F22F94">
      <w:pPr>
        <w:rPr>
          <w:sz w:val="24"/>
        </w:rPr>
      </w:pPr>
      <w:r>
        <w:br w:type="column"/>
      </w:r>
    </w:p>
    <w:p w:rsidR="002C1123" w:rsidRDefault="002C1123">
      <w:pPr>
        <w:pStyle w:val="BodyText"/>
        <w:spacing w:before="4"/>
        <w:rPr>
          <w:sz w:val="25"/>
        </w:rPr>
      </w:pPr>
    </w:p>
    <w:p w:rsidR="002C1123" w:rsidRDefault="00F22F94">
      <w:pPr>
        <w:pStyle w:val="BodyText"/>
        <w:spacing w:before="1" w:line="249" w:lineRule="auto"/>
        <w:ind w:left="340" w:right="999"/>
        <w:jc w:val="both"/>
      </w:pPr>
      <w:r>
        <w:rPr>
          <w:w w:val="95"/>
        </w:rPr>
        <w:t>Further,</w:t>
      </w:r>
      <w:r>
        <w:rPr>
          <w:spacing w:val="-4"/>
          <w:w w:val="95"/>
        </w:rPr>
        <w:t xml:space="preserve"> </w:t>
      </w:r>
      <w:r>
        <w:rPr>
          <w:w w:val="95"/>
        </w:rPr>
        <w:t>the</w:t>
      </w:r>
      <w:r>
        <w:rPr>
          <w:spacing w:val="-4"/>
          <w:w w:val="95"/>
        </w:rPr>
        <w:t xml:space="preserve"> </w:t>
      </w:r>
      <w:r>
        <w:rPr>
          <w:w w:val="95"/>
        </w:rPr>
        <w:t>Premier</w:t>
      </w:r>
      <w:r>
        <w:rPr>
          <w:spacing w:val="-4"/>
          <w:w w:val="95"/>
        </w:rPr>
        <w:t xml:space="preserve"> </w:t>
      </w:r>
      <w:r>
        <w:rPr>
          <w:w w:val="95"/>
        </w:rPr>
        <w:t>must</w:t>
      </w:r>
      <w:r>
        <w:rPr>
          <w:spacing w:val="-4"/>
          <w:w w:val="95"/>
        </w:rPr>
        <w:t xml:space="preserve"> </w:t>
      </w:r>
      <w:r>
        <w:rPr>
          <w:w w:val="95"/>
        </w:rPr>
        <w:t>notify</w:t>
      </w:r>
      <w:r>
        <w:rPr>
          <w:spacing w:val="-4"/>
          <w:w w:val="95"/>
        </w:rPr>
        <w:t xml:space="preserve"> </w:t>
      </w:r>
      <w:r>
        <w:rPr>
          <w:w w:val="95"/>
        </w:rPr>
        <w:t>Infrastructure</w:t>
      </w:r>
      <w:r>
        <w:rPr>
          <w:spacing w:val="-4"/>
          <w:w w:val="95"/>
        </w:rPr>
        <w:t xml:space="preserve"> </w:t>
      </w:r>
      <w:r>
        <w:rPr>
          <w:w w:val="95"/>
        </w:rPr>
        <w:t>NSW</w:t>
      </w:r>
      <w:r>
        <w:rPr>
          <w:spacing w:val="-4"/>
          <w:w w:val="95"/>
        </w:rPr>
        <w:t xml:space="preserve"> </w:t>
      </w:r>
      <w:r>
        <w:rPr>
          <w:w w:val="95"/>
        </w:rPr>
        <w:t>of the</w:t>
      </w:r>
      <w:r>
        <w:rPr>
          <w:spacing w:val="-3"/>
          <w:w w:val="95"/>
        </w:rPr>
        <w:t xml:space="preserve"> </w:t>
      </w:r>
      <w:r>
        <w:rPr>
          <w:w w:val="95"/>
        </w:rPr>
        <w:t>Premier’s</w:t>
      </w:r>
      <w:r>
        <w:rPr>
          <w:spacing w:val="-3"/>
          <w:w w:val="95"/>
        </w:rPr>
        <w:t xml:space="preserve"> </w:t>
      </w:r>
      <w:r>
        <w:rPr>
          <w:w w:val="95"/>
        </w:rPr>
        <w:t>decision</w:t>
      </w:r>
      <w:r>
        <w:rPr>
          <w:spacing w:val="-3"/>
          <w:w w:val="95"/>
        </w:rPr>
        <w:t xml:space="preserve"> </w:t>
      </w:r>
      <w:r>
        <w:rPr>
          <w:w w:val="95"/>
        </w:rPr>
        <w:t>and</w:t>
      </w:r>
      <w:r>
        <w:rPr>
          <w:spacing w:val="-3"/>
          <w:w w:val="95"/>
        </w:rPr>
        <w:t xml:space="preserve"> </w:t>
      </w:r>
      <w:r>
        <w:rPr>
          <w:w w:val="95"/>
        </w:rPr>
        <w:t>make</w:t>
      </w:r>
      <w:r>
        <w:rPr>
          <w:spacing w:val="-3"/>
          <w:w w:val="95"/>
        </w:rPr>
        <w:t xml:space="preserve"> </w:t>
      </w:r>
      <w:r>
        <w:rPr>
          <w:w w:val="95"/>
        </w:rPr>
        <w:t>the</w:t>
      </w:r>
      <w:r>
        <w:rPr>
          <w:spacing w:val="-3"/>
          <w:w w:val="95"/>
        </w:rPr>
        <w:t xml:space="preserve"> </w:t>
      </w:r>
      <w:r>
        <w:rPr>
          <w:w w:val="95"/>
        </w:rPr>
        <w:t>adopted</w:t>
      </w:r>
      <w:r>
        <w:rPr>
          <w:spacing w:val="-3"/>
          <w:w w:val="95"/>
        </w:rPr>
        <w:t xml:space="preserve"> </w:t>
      </w:r>
      <w:r>
        <w:rPr>
          <w:w w:val="95"/>
        </w:rPr>
        <w:t xml:space="preserve">strategy </w:t>
      </w:r>
      <w:r>
        <w:t>publicly</w:t>
      </w:r>
      <w:r>
        <w:rPr>
          <w:spacing w:val="-11"/>
        </w:rPr>
        <w:t xml:space="preserve"> </w:t>
      </w:r>
      <w:r>
        <w:t>available.</w:t>
      </w:r>
    </w:p>
    <w:p w:rsidR="002C1123" w:rsidRDefault="00F22F94">
      <w:pPr>
        <w:pStyle w:val="BodyText"/>
        <w:spacing w:before="144" w:line="249" w:lineRule="auto"/>
        <w:ind w:left="340" w:right="910" w:hanging="2"/>
      </w:pPr>
      <w:r>
        <w:rPr>
          <w:spacing w:val="-2"/>
        </w:rPr>
        <w:t>Section</w:t>
      </w:r>
      <w:r>
        <w:rPr>
          <w:spacing w:val="-5"/>
        </w:rPr>
        <w:t xml:space="preserve"> </w:t>
      </w:r>
      <w:r>
        <w:rPr>
          <w:spacing w:val="-2"/>
        </w:rPr>
        <w:t>16</w:t>
      </w:r>
      <w:r>
        <w:rPr>
          <w:spacing w:val="-5"/>
        </w:rPr>
        <w:t xml:space="preserve"> </w:t>
      </w:r>
      <w:r>
        <w:rPr>
          <w:spacing w:val="-2"/>
        </w:rPr>
        <w:t>allows</w:t>
      </w:r>
      <w:r>
        <w:rPr>
          <w:spacing w:val="-5"/>
        </w:rPr>
        <w:t xml:space="preserve"> </w:t>
      </w:r>
      <w:r>
        <w:rPr>
          <w:spacing w:val="-2"/>
        </w:rPr>
        <w:t>for</w:t>
      </w:r>
      <w:r>
        <w:rPr>
          <w:spacing w:val="-5"/>
        </w:rPr>
        <w:t xml:space="preserve"> </w:t>
      </w:r>
      <w:r>
        <w:rPr>
          <w:spacing w:val="-2"/>
        </w:rPr>
        <w:t>the</w:t>
      </w:r>
      <w:r>
        <w:rPr>
          <w:spacing w:val="-5"/>
        </w:rPr>
        <w:t xml:space="preserve"> </w:t>
      </w:r>
      <w:r>
        <w:rPr>
          <w:spacing w:val="-2"/>
        </w:rPr>
        <w:t>State</w:t>
      </w:r>
      <w:r>
        <w:rPr>
          <w:spacing w:val="-5"/>
        </w:rPr>
        <w:t xml:space="preserve"> </w:t>
      </w:r>
      <w:r>
        <w:rPr>
          <w:spacing w:val="-2"/>
        </w:rPr>
        <w:t>Infrastructure</w:t>
      </w:r>
      <w:r>
        <w:rPr>
          <w:spacing w:val="-5"/>
        </w:rPr>
        <w:t xml:space="preserve"> </w:t>
      </w:r>
      <w:r>
        <w:rPr>
          <w:spacing w:val="-2"/>
        </w:rPr>
        <w:t xml:space="preserve">Strategy </w:t>
      </w:r>
      <w:r>
        <w:rPr>
          <w:w w:val="95"/>
        </w:rPr>
        <w:t>to</w:t>
      </w:r>
      <w:r>
        <w:rPr>
          <w:spacing w:val="-11"/>
          <w:w w:val="95"/>
        </w:rPr>
        <w:t xml:space="preserve"> </w:t>
      </w:r>
      <w:r>
        <w:rPr>
          <w:w w:val="95"/>
        </w:rPr>
        <w:t>be</w:t>
      </w:r>
      <w:r>
        <w:rPr>
          <w:spacing w:val="-11"/>
          <w:w w:val="95"/>
        </w:rPr>
        <w:t xml:space="preserve"> </w:t>
      </w:r>
      <w:r>
        <w:rPr>
          <w:w w:val="95"/>
        </w:rPr>
        <w:t>reviewed</w:t>
      </w:r>
      <w:r>
        <w:rPr>
          <w:spacing w:val="-11"/>
          <w:w w:val="95"/>
        </w:rPr>
        <w:t xml:space="preserve"> </w:t>
      </w:r>
      <w:r>
        <w:rPr>
          <w:w w:val="95"/>
        </w:rPr>
        <w:t>every</w:t>
      </w:r>
      <w:r>
        <w:rPr>
          <w:spacing w:val="-11"/>
          <w:w w:val="95"/>
        </w:rPr>
        <w:t xml:space="preserve"> </w:t>
      </w:r>
      <w:r>
        <w:rPr>
          <w:w w:val="95"/>
        </w:rPr>
        <w:t>five</w:t>
      </w:r>
      <w:r>
        <w:rPr>
          <w:spacing w:val="-11"/>
          <w:w w:val="95"/>
        </w:rPr>
        <w:t xml:space="preserve"> </w:t>
      </w:r>
      <w:r>
        <w:rPr>
          <w:w w:val="95"/>
        </w:rPr>
        <w:t>years</w:t>
      </w:r>
      <w:r>
        <w:rPr>
          <w:spacing w:val="-11"/>
          <w:w w:val="95"/>
        </w:rPr>
        <w:t xml:space="preserve"> </w:t>
      </w:r>
      <w:r>
        <w:rPr>
          <w:w w:val="95"/>
        </w:rPr>
        <w:t>(and</w:t>
      </w:r>
      <w:r>
        <w:rPr>
          <w:spacing w:val="-11"/>
          <w:w w:val="95"/>
        </w:rPr>
        <w:t xml:space="preserve"> </w:t>
      </w:r>
      <w:r>
        <w:rPr>
          <w:w w:val="95"/>
        </w:rPr>
        <w:t>at</w:t>
      </w:r>
      <w:r>
        <w:rPr>
          <w:spacing w:val="-11"/>
          <w:w w:val="95"/>
        </w:rPr>
        <w:t xml:space="preserve"> </w:t>
      </w:r>
      <w:r>
        <w:rPr>
          <w:w w:val="95"/>
        </w:rPr>
        <w:t>such</w:t>
      </w:r>
      <w:r>
        <w:rPr>
          <w:spacing w:val="-11"/>
          <w:w w:val="95"/>
        </w:rPr>
        <w:t xml:space="preserve"> </w:t>
      </w:r>
      <w:r>
        <w:rPr>
          <w:w w:val="95"/>
        </w:rPr>
        <w:t>other</w:t>
      </w:r>
      <w:r>
        <w:rPr>
          <w:spacing w:val="-11"/>
          <w:w w:val="95"/>
        </w:rPr>
        <w:t xml:space="preserve"> </w:t>
      </w:r>
      <w:r>
        <w:rPr>
          <w:w w:val="95"/>
        </w:rPr>
        <w:t xml:space="preserve">times </w:t>
      </w:r>
      <w:r>
        <w:t>as</w:t>
      </w:r>
      <w:r>
        <w:rPr>
          <w:spacing w:val="-14"/>
        </w:rPr>
        <w:t xml:space="preserve"> </w:t>
      </w:r>
      <w:r>
        <w:t>the</w:t>
      </w:r>
      <w:r>
        <w:rPr>
          <w:spacing w:val="-14"/>
        </w:rPr>
        <w:t xml:space="preserve"> </w:t>
      </w:r>
      <w:r>
        <w:t>Premier</w:t>
      </w:r>
      <w:r>
        <w:rPr>
          <w:spacing w:val="-14"/>
        </w:rPr>
        <w:t xml:space="preserve"> </w:t>
      </w:r>
      <w:r>
        <w:t>directs</w:t>
      </w:r>
      <w:r>
        <w:rPr>
          <w:spacing w:val="-14"/>
        </w:rPr>
        <w:t xml:space="preserve"> </w:t>
      </w:r>
      <w:r>
        <w:t>or</w:t>
      </w:r>
      <w:r>
        <w:rPr>
          <w:spacing w:val="-14"/>
        </w:rPr>
        <w:t xml:space="preserve"> </w:t>
      </w:r>
      <w:r>
        <w:t>is</w:t>
      </w:r>
      <w:r>
        <w:rPr>
          <w:spacing w:val="-14"/>
        </w:rPr>
        <w:t xml:space="preserve"> </w:t>
      </w:r>
      <w:r>
        <w:t>considered</w:t>
      </w:r>
      <w:r>
        <w:rPr>
          <w:spacing w:val="-14"/>
        </w:rPr>
        <w:t xml:space="preserve"> </w:t>
      </w:r>
      <w:r>
        <w:t>appropriate).</w:t>
      </w:r>
    </w:p>
    <w:p w:rsidR="002C1123" w:rsidRDefault="00F22F94">
      <w:pPr>
        <w:pStyle w:val="BodyText"/>
        <w:spacing w:before="2" w:line="249" w:lineRule="auto"/>
        <w:ind w:left="341" w:right="303" w:hanging="2"/>
      </w:pPr>
      <w:r>
        <w:rPr>
          <w:w w:val="95"/>
        </w:rPr>
        <w:t>Infrastructure</w:t>
      </w:r>
      <w:r>
        <w:rPr>
          <w:spacing w:val="-7"/>
          <w:w w:val="95"/>
        </w:rPr>
        <w:t xml:space="preserve"> </w:t>
      </w:r>
      <w:r>
        <w:rPr>
          <w:w w:val="95"/>
        </w:rPr>
        <w:t>NSW</w:t>
      </w:r>
      <w:r>
        <w:rPr>
          <w:spacing w:val="-7"/>
          <w:w w:val="95"/>
        </w:rPr>
        <w:t xml:space="preserve"> </w:t>
      </w:r>
      <w:r>
        <w:rPr>
          <w:w w:val="95"/>
        </w:rPr>
        <w:t>is</w:t>
      </w:r>
      <w:r>
        <w:rPr>
          <w:spacing w:val="-7"/>
          <w:w w:val="95"/>
        </w:rPr>
        <w:t xml:space="preserve"> </w:t>
      </w:r>
      <w:r>
        <w:rPr>
          <w:w w:val="95"/>
        </w:rPr>
        <w:t>then</w:t>
      </w:r>
      <w:r>
        <w:rPr>
          <w:spacing w:val="-7"/>
          <w:w w:val="95"/>
        </w:rPr>
        <w:t xml:space="preserve"> </w:t>
      </w:r>
      <w:r>
        <w:rPr>
          <w:w w:val="95"/>
        </w:rPr>
        <w:t>required</w:t>
      </w:r>
      <w:r>
        <w:rPr>
          <w:spacing w:val="-7"/>
          <w:w w:val="95"/>
        </w:rPr>
        <w:t xml:space="preserve"> </w:t>
      </w:r>
      <w:r>
        <w:rPr>
          <w:w w:val="95"/>
        </w:rPr>
        <w:t>to</w:t>
      </w:r>
      <w:r>
        <w:rPr>
          <w:spacing w:val="-7"/>
          <w:w w:val="95"/>
        </w:rPr>
        <w:t xml:space="preserve"> </w:t>
      </w:r>
      <w:r>
        <w:rPr>
          <w:w w:val="95"/>
        </w:rPr>
        <w:t>submit</w:t>
      </w:r>
      <w:r>
        <w:rPr>
          <w:spacing w:val="-7"/>
          <w:w w:val="95"/>
        </w:rPr>
        <w:t xml:space="preserve"> </w:t>
      </w:r>
      <w:r>
        <w:rPr>
          <w:w w:val="95"/>
        </w:rPr>
        <w:t>a</w:t>
      </w:r>
      <w:r>
        <w:rPr>
          <w:spacing w:val="-7"/>
          <w:w w:val="95"/>
        </w:rPr>
        <w:t xml:space="preserve"> </w:t>
      </w:r>
      <w:r>
        <w:rPr>
          <w:w w:val="95"/>
        </w:rPr>
        <w:t xml:space="preserve">revised </w:t>
      </w:r>
      <w:r>
        <w:t>strategy to the Premier.</w:t>
      </w:r>
    </w:p>
    <w:p w:rsidR="002C1123" w:rsidRDefault="00F22F94">
      <w:pPr>
        <w:pStyle w:val="Heading6"/>
        <w:numPr>
          <w:ilvl w:val="0"/>
          <w:numId w:val="3"/>
        </w:numPr>
        <w:tabs>
          <w:tab w:val="left" w:pos="506"/>
        </w:tabs>
        <w:spacing w:before="144"/>
        <w:ind w:left="506" w:hanging="165"/>
        <w:jc w:val="left"/>
      </w:pPr>
      <w:r>
        <w:t>year</w:t>
      </w:r>
      <w:r>
        <w:rPr>
          <w:spacing w:val="-13"/>
        </w:rPr>
        <w:t xml:space="preserve"> </w:t>
      </w:r>
      <w:r>
        <w:t>Infrastructure</w:t>
      </w:r>
      <w:r>
        <w:rPr>
          <w:spacing w:val="-12"/>
        </w:rPr>
        <w:t xml:space="preserve"> </w:t>
      </w:r>
      <w:r>
        <w:rPr>
          <w:spacing w:val="-2"/>
        </w:rPr>
        <w:t>Plans</w:t>
      </w:r>
    </w:p>
    <w:p w:rsidR="002C1123" w:rsidRDefault="00F22F94">
      <w:pPr>
        <w:pStyle w:val="BodyText"/>
        <w:spacing w:before="10" w:line="249" w:lineRule="auto"/>
        <w:ind w:left="340" w:right="910"/>
      </w:pPr>
      <w:r>
        <w:rPr>
          <w:w w:val="95"/>
        </w:rPr>
        <w:t>In</w:t>
      </w:r>
      <w:r>
        <w:rPr>
          <w:spacing w:val="-10"/>
          <w:w w:val="95"/>
        </w:rPr>
        <w:t xml:space="preserve"> </w:t>
      </w:r>
      <w:r>
        <w:rPr>
          <w:w w:val="95"/>
        </w:rPr>
        <w:t>addition</w:t>
      </w:r>
      <w:r>
        <w:rPr>
          <w:spacing w:val="-10"/>
          <w:w w:val="95"/>
        </w:rPr>
        <w:t xml:space="preserve"> </w:t>
      </w:r>
      <w:r>
        <w:rPr>
          <w:w w:val="95"/>
        </w:rPr>
        <w:t>to</w:t>
      </w:r>
      <w:r>
        <w:rPr>
          <w:spacing w:val="-10"/>
          <w:w w:val="95"/>
        </w:rPr>
        <w:t xml:space="preserve"> </w:t>
      </w:r>
      <w:r>
        <w:rPr>
          <w:w w:val="95"/>
        </w:rPr>
        <w:t>the</w:t>
      </w:r>
      <w:r>
        <w:rPr>
          <w:spacing w:val="-10"/>
          <w:w w:val="95"/>
        </w:rPr>
        <w:t xml:space="preserve"> </w:t>
      </w:r>
      <w:r>
        <w:rPr>
          <w:w w:val="95"/>
        </w:rPr>
        <w:t>20</w:t>
      </w:r>
      <w:r>
        <w:rPr>
          <w:spacing w:val="-10"/>
          <w:w w:val="95"/>
        </w:rPr>
        <w:t xml:space="preserve"> </w:t>
      </w:r>
      <w:r>
        <w:rPr>
          <w:w w:val="95"/>
        </w:rPr>
        <w:t>year</w:t>
      </w:r>
      <w:r>
        <w:rPr>
          <w:spacing w:val="-10"/>
          <w:w w:val="95"/>
        </w:rPr>
        <w:t xml:space="preserve"> </w:t>
      </w:r>
      <w:r>
        <w:rPr>
          <w:w w:val="95"/>
        </w:rPr>
        <w:t>State</w:t>
      </w:r>
      <w:r>
        <w:rPr>
          <w:spacing w:val="-10"/>
          <w:w w:val="95"/>
        </w:rPr>
        <w:t xml:space="preserve"> </w:t>
      </w:r>
      <w:r>
        <w:rPr>
          <w:w w:val="95"/>
        </w:rPr>
        <w:t>Infrastructure</w:t>
      </w:r>
      <w:r>
        <w:rPr>
          <w:spacing w:val="-10"/>
          <w:w w:val="95"/>
        </w:rPr>
        <w:t xml:space="preserve"> </w:t>
      </w:r>
      <w:r>
        <w:rPr>
          <w:w w:val="95"/>
        </w:rPr>
        <w:t xml:space="preserve">Strategy, </w:t>
      </w:r>
      <w:r>
        <w:t>Infrastructure</w:t>
      </w:r>
      <w:r>
        <w:rPr>
          <w:spacing w:val="-14"/>
        </w:rPr>
        <w:t xml:space="preserve"> </w:t>
      </w:r>
      <w:r>
        <w:t>NSW</w:t>
      </w:r>
      <w:r>
        <w:rPr>
          <w:spacing w:val="-14"/>
        </w:rPr>
        <w:t xml:space="preserve"> </w:t>
      </w:r>
      <w:r>
        <w:t>is</w:t>
      </w:r>
      <w:r>
        <w:rPr>
          <w:spacing w:val="-14"/>
        </w:rPr>
        <w:t xml:space="preserve"> </w:t>
      </w:r>
      <w:r>
        <w:t>also</w:t>
      </w:r>
      <w:r>
        <w:rPr>
          <w:spacing w:val="-14"/>
        </w:rPr>
        <w:t xml:space="preserve"> </w:t>
      </w:r>
      <w:r>
        <w:t>required</w:t>
      </w:r>
      <w:r>
        <w:rPr>
          <w:spacing w:val="-14"/>
        </w:rPr>
        <w:t xml:space="preserve"> </w:t>
      </w:r>
      <w:r>
        <w:t>to</w:t>
      </w:r>
      <w:r>
        <w:rPr>
          <w:spacing w:val="-14"/>
        </w:rPr>
        <w:t xml:space="preserve"> </w:t>
      </w:r>
      <w:r>
        <w:t>prepare</w:t>
      </w:r>
      <w:r>
        <w:rPr>
          <w:spacing w:val="-14"/>
        </w:rPr>
        <w:t xml:space="preserve"> </w:t>
      </w:r>
      <w:r>
        <w:t xml:space="preserve">and </w:t>
      </w:r>
      <w:r>
        <w:rPr>
          <w:spacing w:val="-2"/>
        </w:rPr>
        <w:t>submit</w:t>
      </w:r>
      <w:r>
        <w:rPr>
          <w:spacing w:val="-7"/>
        </w:rPr>
        <w:t xml:space="preserve"> </w:t>
      </w:r>
      <w:r>
        <w:rPr>
          <w:spacing w:val="-2"/>
        </w:rPr>
        <w:t>to</w:t>
      </w:r>
      <w:r>
        <w:rPr>
          <w:spacing w:val="-7"/>
        </w:rPr>
        <w:t xml:space="preserve"> </w:t>
      </w:r>
      <w:r>
        <w:rPr>
          <w:spacing w:val="-2"/>
        </w:rPr>
        <w:t>the</w:t>
      </w:r>
      <w:r>
        <w:rPr>
          <w:spacing w:val="-7"/>
        </w:rPr>
        <w:t xml:space="preserve"> </w:t>
      </w:r>
      <w:r>
        <w:rPr>
          <w:spacing w:val="-2"/>
        </w:rPr>
        <w:t>Premier</w:t>
      </w:r>
      <w:r>
        <w:rPr>
          <w:spacing w:val="-7"/>
        </w:rPr>
        <w:t xml:space="preserve"> </w:t>
      </w:r>
      <w:r>
        <w:rPr>
          <w:spacing w:val="-2"/>
        </w:rPr>
        <w:t>a</w:t>
      </w:r>
      <w:r>
        <w:rPr>
          <w:spacing w:val="-7"/>
        </w:rPr>
        <w:t xml:space="preserve"> </w:t>
      </w:r>
      <w:r>
        <w:rPr>
          <w:spacing w:val="-2"/>
        </w:rPr>
        <w:t>five</w:t>
      </w:r>
      <w:r>
        <w:rPr>
          <w:spacing w:val="-7"/>
        </w:rPr>
        <w:t xml:space="preserve"> </w:t>
      </w:r>
      <w:r>
        <w:rPr>
          <w:spacing w:val="-2"/>
        </w:rPr>
        <w:t>year</w:t>
      </w:r>
      <w:r>
        <w:rPr>
          <w:spacing w:val="-7"/>
        </w:rPr>
        <w:t xml:space="preserve"> </w:t>
      </w:r>
      <w:r>
        <w:rPr>
          <w:spacing w:val="-2"/>
        </w:rPr>
        <w:t>Infrastructure</w:t>
      </w:r>
      <w:r>
        <w:rPr>
          <w:spacing w:val="-7"/>
        </w:rPr>
        <w:t xml:space="preserve"> </w:t>
      </w:r>
      <w:r>
        <w:rPr>
          <w:spacing w:val="-2"/>
        </w:rPr>
        <w:t>Plan</w:t>
      </w:r>
    </w:p>
    <w:p w:rsidR="002C1123" w:rsidRDefault="00F22F94">
      <w:pPr>
        <w:pStyle w:val="BodyText"/>
        <w:spacing w:before="2" w:line="249" w:lineRule="auto"/>
        <w:ind w:left="341" w:right="910" w:hanging="1"/>
      </w:pPr>
      <w:r>
        <w:rPr>
          <w:w w:val="95"/>
        </w:rPr>
        <w:t>to</w:t>
      </w:r>
      <w:r>
        <w:rPr>
          <w:spacing w:val="-2"/>
          <w:w w:val="95"/>
        </w:rPr>
        <w:t xml:space="preserve"> </w:t>
      </w:r>
      <w:r>
        <w:rPr>
          <w:w w:val="95"/>
        </w:rPr>
        <w:t>identify</w:t>
      </w:r>
      <w:r>
        <w:rPr>
          <w:spacing w:val="-2"/>
          <w:w w:val="95"/>
        </w:rPr>
        <w:t xml:space="preserve"> </w:t>
      </w:r>
      <w:r>
        <w:rPr>
          <w:w w:val="95"/>
        </w:rPr>
        <w:t>specific</w:t>
      </w:r>
      <w:r>
        <w:rPr>
          <w:spacing w:val="-2"/>
          <w:w w:val="95"/>
        </w:rPr>
        <w:t xml:space="preserve"> </w:t>
      </w:r>
      <w:r>
        <w:rPr>
          <w:w w:val="95"/>
        </w:rPr>
        <w:t>major</w:t>
      </w:r>
      <w:r>
        <w:rPr>
          <w:spacing w:val="-2"/>
          <w:w w:val="95"/>
        </w:rPr>
        <w:t xml:space="preserve"> </w:t>
      </w:r>
      <w:r>
        <w:rPr>
          <w:w w:val="95"/>
        </w:rPr>
        <w:t>infrastructure</w:t>
      </w:r>
      <w:r>
        <w:rPr>
          <w:spacing w:val="-2"/>
          <w:w w:val="95"/>
        </w:rPr>
        <w:t xml:space="preserve"> </w:t>
      </w:r>
      <w:r>
        <w:rPr>
          <w:w w:val="95"/>
        </w:rPr>
        <w:t>projects</w:t>
      </w:r>
      <w:r>
        <w:rPr>
          <w:spacing w:val="-2"/>
          <w:w w:val="95"/>
        </w:rPr>
        <w:t xml:space="preserve"> </w:t>
      </w:r>
      <w:r>
        <w:rPr>
          <w:w w:val="95"/>
        </w:rPr>
        <w:t>to</w:t>
      </w:r>
      <w:r>
        <w:rPr>
          <w:spacing w:val="-2"/>
          <w:w w:val="95"/>
        </w:rPr>
        <w:t xml:space="preserve"> </w:t>
      </w:r>
      <w:r>
        <w:rPr>
          <w:w w:val="95"/>
        </w:rPr>
        <w:t xml:space="preserve">be </w:t>
      </w:r>
      <w:r>
        <w:t>undertaken</w:t>
      </w:r>
      <w:r>
        <w:rPr>
          <w:spacing w:val="-14"/>
        </w:rPr>
        <w:t xml:space="preserve"> </w:t>
      </w:r>
      <w:r>
        <w:t>as</w:t>
      </w:r>
      <w:r>
        <w:rPr>
          <w:spacing w:val="-14"/>
        </w:rPr>
        <w:t xml:space="preserve"> </w:t>
      </w:r>
      <w:r>
        <w:t>a</w:t>
      </w:r>
      <w:r>
        <w:rPr>
          <w:spacing w:val="-14"/>
        </w:rPr>
        <w:t xml:space="preserve"> </w:t>
      </w:r>
      <w:r>
        <w:t>priority</w:t>
      </w:r>
      <w:r>
        <w:rPr>
          <w:spacing w:val="-14"/>
        </w:rPr>
        <w:t xml:space="preserve"> </w:t>
      </w:r>
      <w:r>
        <w:t>in</w:t>
      </w:r>
      <w:r>
        <w:rPr>
          <w:spacing w:val="-14"/>
        </w:rPr>
        <w:t xml:space="preserve"> </w:t>
      </w:r>
      <w:r>
        <w:t>the</w:t>
      </w:r>
      <w:r>
        <w:rPr>
          <w:spacing w:val="-14"/>
        </w:rPr>
        <w:t xml:space="preserve"> </w:t>
      </w:r>
      <w:r>
        <w:t>following</w:t>
      </w:r>
      <w:r>
        <w:rPr>
          <w:spacing w:val="-14"/>
        </w:rPr>
        <w:t xml:space="preserve"> </w:t>
      </w:r>
      <w:r>
        <w:t>five-years.</w:t>
      </w:r>
    </w:p>
    <w:p w:rsidR="002C1123" w:rsidRDefault="00F22F94">
      <w:pPr>
        <w:pStyle w:val="BodyText"/>
        <w:spacing w:before="2" w:line="249" w:lineRule="auto"/>
        <w:ind w:left="341" w:right="910" w:hanging="23"/>
      </w:pPr>
      <w:r>
        <w:rPr>
          <w:w w:val="95"/>
        </w:rPr>
        <w:t>These</w:t>
      </w:r>
      <w:r>
        <w:rPr>
          <w:spacing w:val="-12"/>
          <w:w w:val="95"/>
        </w:rPr>
        <w:t xml:space="preserve"> </w:t>
      </w:r>
      <w:r>
        <w:rPr>
          <w:w w:val="95"/>
        </w:rPr>
        <w:t>five-year</w:t>
      </w:r>
      <w:r>
        <w:rPr>
          <w:spacing w:val="-11"/>
          <w:w w:val="95"/>
        </w:rPr>
        <w:t xml:space="preserve"> </w:t>
      </w:r>
      <w:r>
        <w:rPr>
          <w:w w:val="95"/>
        </w:rPr>
        <w:t>plans</w:t>
      </w:r>
      <w:r>
        <w:rPr>
          <w:spacing w:val="-11"/>
          <w:w w:val="95"/>
        </w:rPr>
        <w:t xml:space="preserve"> </w:t>
      </w:r>
      <w:r>
        <w:rPr>
          <w:w w:val="95"/>
        </w:rPr>
        <w:t>are</w:t>
      </w:r>
      <w:r>
        <w:rPr>
          <w:spacing w:val="-11"/>
          <w:w w:val="95"/>
        </w:rPr>
        <w:t xml:space="preserve"> </w:t>
      </w:r>
      <w:r>
        <w:rPr>
          <w:w w:val="95"/>
        </w:rPr>
        <w:t>to</w:t>
      </w:r>
      <w:r>
        <w:rPr>
          <w:spacing w:val="-11"/>
          <w:w w:val="95"/>
        </w:rPr>
        <w:t xml:space="preserve"> </w:t>
      </w:r>
      <w:r>
        <w:rPr>
          <w:w w:val="95"/>
        </w:rPr>
        <w:t>be</w:t>
      </w:r>
      <w:r>
        <w:rPr>
          <w:spacing w:val="-11"/>
          <w:w w:val="95"/>
        </w:rPr>
        <w:t xml:space="preserve"> </w:t>
      </w:r>
      <w:r>
        <w:rPr>
          <w:w w:val="95"/>
        </w:rPr>
        <w:t>reviewed</w:t>
      </w:r>
      <w:r>
        <w:rPr>
          <w:spacing w:val="-11"/>
          <w:w w:val="95"/>
        </w:rPr>
        <w:t xml:space="preserve"> </w:t>
      </w:r>
      <w:r>
        <w:rPr>
          <w:w w:val="95"/>
        </w:rPr>
        <w:t>every</w:t>
      </w:r>
      <w:r>
        <w:rPr>
          <w:spacing w:val="-11"/>
          <w:w w:val="95"/>
        </w:rPr>
        <w:t xml:space="preserve"> </w:t>
      </w:r>
      <w:r>
        <w:rPr>
          <w:w w:val="95"/>
        </w:rPr>
        <w:t>year</w:t>
      </w:r>
      <w:r>
        <w:rPr>
          <w:spacing w:val="-12"/>
          <w:w w:val="95"/>
        </w:rPr>
        <w:t xml:space="preserve"> </w:t>
      </w:r>
      <w:r>
        <w:rPr>
          <w:w w:val="95"/>
        </w:rPr>
        <w:t xml:space="preserve">and </w:t>
      </w:r>
      <w:r>
        <w:t>a</w:t>
      </w:r>
      <w:r>
        <w:rPr>
          <w:spacing w:val="-14"/>
        </w:rPr>
        <w:t xml:space="preserve"> </w:t>
      </w:r>
      <w:r>
        <w:t>revised</w:t>
      </w:r>
      <w:r>
        <w:rPr>
          <w:spacing w:val="-14"/>
        </w:rPr>
        <w:t xml:space="preserve"> </w:t>
      </w:r>
      <w:r>
        <w:t>plan</w:t>
      </w:r>
      <w:r>
        <w:rPr>
          <w:spacing w:val="-14"/>
        </w:rPr>
        <w:t xml:space="preserve"> </w:t>
      </w:r>
      <w:r>
        <w:t>submitted</w:t>
      </w:r>
      <w:r>
        <w:rPr>
          <w:spacing w:val="-14"/>
        </w:rPr>
        <w:t xml:space="preserve"> </w:t>
      </w:r>
      <w:r>
        <w:t>to</w:t>
      </w:r>
      <w:r>
        <w:rPr>
          <w:spacing w:val="-14"/>
        </w:rPr>
        <w:t xml:space="preserve"> </w:t>
      </w:r>
      <w:r>
        <w:t>the</w:t>
      </w:r>
      <w:r>
        <w:rPr>
          <w:spacing w:val="-14"/>
        </w:rPr>
        <w:t xml:space="preserve"> </w:t>
      </w:r>
      <w:r>
        <w:t>Premier,</w:t>
      </w:r>
      <w:r>
        <w:rPr>
          <w:spacing w:val="-14"/>
        </w:rPr>
        <w:t xml:space="preserve"> </w:t>
      </w:r>
      <w:r>
        <w:t>if</w:t>
      </w:r>
      <w:r>
        <w:rPr>
          <w:spacing w:val="-14"/>
        </w:rPr>
        <w:t xml:space="preserve"> </w:t>
      </w:r>
      <w:r>
        <w:t>required.</w:t>
      </w:r>
      <w:r>
        <w:rPr>
          <w:spacing w:val="-14"/>
        </w:rPr>
        <w:t xml:space="preserve"> </w:t>
      </w:r>
      <w:r>
        <w:t xml:space="preserve">In </w:t>
      </w:r>
      <w:r>
        <w:rPr>
          <w:w w:val="95"/>
        </w:rPr>
        <w:t>preparing the five-year plans, Infrastructure NSW must have</w:t>
      </w:r>
      <w:r>
        <w:rPr>
          <w:spacing w:val="-7"/>
          <w:w w:val="95"/>
        </w:rPr>
        <w:t xml:space="preserve"> </w:t>
      </w:r>
      <w:r>
        <w:rPr>
          <w:w w:val="95"/>
        </w:rPr>
        <w:t>regard</w:t>
      </w:r>
      <w:r>
        <w:rPr>
          <w:spacing w:val="-7"/>
          <w:w w:val="95"/>
        </w:rPr>
        <w:t xml:space="preserve"> </w:t>
      </w:r>
      <w:r>
        <w:rPr>
          <w:w w:val="95"/>
        </w:rPr>
        <w:t>to</w:t>
      </w:r>
      <w:r>
        <w:rPr>
          <w:spacing w:val="-7"/>
          <w:w w:val="95"/>
        </w:rPr>
        <w:t xml:space="preserve"> </w:t>
      </w:r>
      <w:r>
        <w:rPr>
          <w:w w:val="95"/>
        </w:rPr>
        <w:t>the</w:t>
      </w:r>
      <w:r>
        <w:rPr>
          <w:spacing w:val="-7"/>
          <w:w w:val="95"/>
        </w:rPr>
        <w:t xml:space="preserve"> </w:t>
      </w:r>
      <w:r>
        <w:rPr>
          <w:w w:val="95"/>
        </w:rPr>
        <w:t>20</w:t>
      </w:r>
      <w:r>
        <w:rPr>
          <w:spacing w:val="-7"/>
          <w:w w:val="95"/>
        </w:rPr>
        <w:t xml:space="preserve"> </w:t>
      </w:r>
      <w:r>
        <w:rPr>
          <w:w w:val="95"/>
        </w:rPr>
        <w:t>year</w:t>
      </w:r>
      <w:r>
        <w:rPr>
          <w:spacing w:val="-7"/>
          <w:w w:val="95"/>
        </w:rPr>
        <w:t xml:space="preserve"> </w:t>
      </w:r>
      <w:r>
        <w:rPr>
          <w:w w:val="95"/>
        </w:rPr>
        <w:t>State</w:t>
      </w:r>
      <w:r>
        <w:rPr>
          <w:spacing w:val="-7"/>
          <w:w w:val="95"/>
        </w:rPr>
        <w:t xml:space="preserve"> </w:t>
      </w:r>
      <w:r>
        <w:rPr>
          <w:w w:val="95"/>
        </w:rPr>
        <w:t>Infrastructure</w:t>
      </w:r>
      <w:r>
        <w:rPr>
          <w:spacing w:val="-7"/>
          <w:w w:val="95"/>
        </w:rPr>
        <w:t xml:space="preserve"> </w:t>
      </w:r>
      <w:r>
        <w:rPr>
          <w:w w:val="95"/>
        </w:rPr>
        <w:t xml:space="preserve">Strategy </w:t>
      </w:r>
      <w:r>
        <w:t>adopted by the Premier.</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202" w:space="40"/>
            <w:col w:w="4876" w:space="39"/>
            <w:col w:w="5903"/>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BodyText"/>
        <w:spacing w:before="106" w:line="249" w:lineRule="auto"/>
        <w:ind w:left="504" w:hanging="4"/>
      </w:pPr>
      <w:bookmarkStart w:id="45" w:name="_bookmark31"/>
      <w:bookmarkEnd w:id="45"/>
      <w:r>
        <w:rPr>
          <w:w w:val="95"/>
        </w:rPr>
        <w:t>Infrastructure</w:t>
      </w:r>
      <w:r>
        <w:rPr>
          <w:spacing w:val="-7"/>
          <w:w w:val="95"/>
        </w:rPr>
        <w:t xml:space="preserve"> </w:t>
      </w:r>
      <w:r>
        <w:rPr>
          <w:w w:val="95"/>
        </w:rPr>
        <w:t>NSW’s</w:t>
      </w:r>
      <w:r>
        <w:rPr>
          <w:spacing w:val="-7"/>
          <w:w w:val="95"/>
        </w:rPr>
        <w:t xml:space="preserve"> </w:t>
      </w:r>
      <w:r>
        <w:rPr>
          <w:w w:val="95"/>
        </w:rPr>
        <w:t>governance</w:t>
      </w:r>
      <w:r>
        <w:rPr>
          <w:spacing w:val="-7"/>
          <w:w w:val="95"/>
        </w:rPr>
        <w:t xml:space="preserve"> </w:t>
      </w:r>
      <w:r>
        <w:rPr>
          <w:w w:val="95"/>
        </w:rPr>
        <w:t>model</w:t>
      </w:r>
      <w:r>
        <w:rPr>
          <w:spacing w:val="-7"/>
          <w:w w:val="95"/>
        </w:rPr>
        <w:t xml:space="preserve"> </w:t>
      </w:r>
      <w:r>
        <w:rPr>
          <w:w w:val="95"/>
        </w:rPr>
        <w:t>(as</w:t>
      </w:r>
      <w:r>
        <w:rPr>
          <w:spacing w:val="-7"/>
          <w:w w:val="95"/>
        </w:rPr>
        <w:t xml:space="preserve"> </w:t>
      </w:r>
      <w:r>
        <w:rPr>
          <w:w w:val="95"/>
        </w:rPr>
        <w:t xml:space="preserve">established </w:t>
      </w:r>
      <w:r>
        <w:t>by</w:t>
      </w:r>
      <w:r>
        <w:rPr>
          <w:spacing w:val="-12"/>
        </w:rPr>
        <w:t xml:space="preserve"> </w:t>
      </w:r>
      <w:r>
        <w:t>the</w:t>
      </w:r>
      <w:r>
        <w:rPr>
          <w:spacing w:val="-12"/>
        </w:rPr>
        <w:t xml:space="preserve"> </w:t>
      </w:r>
      <w:r>
        <w:t>Act)</w:t>
      </w:r>
      <w:r>
        <w:rPr>
          <w:spacing w:val="-12"/>
        </w:rPr>
        <w:t xml:space="preserve"> </w:t>
      </w:r>
      <w:r>
        <w:t>comprises</w:t>
      </w:r>
      <w:r>
        <w:rPr>
          <w:spacing w:val="-12"/>
        </w:rPr>
        <w:t xml:space="preserve"> </w:t>
      </w:r>
      <w:r>
        <w:t>a</w:t>
      </w:r>
      <w:r>
        <w:rPr>
          <w:spacing w:val="-12"/>
        </w:rPr>
        <w:t xml:space="preserve"> </w:t>
      </w:r>
      <w:r>
        <w:t>Board,</w:t>
      </w:r>
      <w:r>
        <w:rPr>
          <w:spacing w:val="-12"/>
        </w:rPr>
        <w:t xml:space="preserve"> </w:t>
      </w:r>
      <w:r>
        <w:t>Chief</w:t>
      </w:r>
      <w:r>
        <w:rPr>
          <w:spacing w:val="-12"/>
        </w:rPr>
        <w:t xml:space="preserve"> </w:t>
      </w:r>
      <w:r>
        <w:t>Executive</w:t>
      </w:r>
    </w:p>
    <w:p w:rsidR="002C1123" w:rsidRDefault="00F22F94">
      <w:pPr>
        <w:pStyle w:val="BodyText"/>
        <w:spacing w:before="1" w:line="249" w:lineRule="auto"/>
        <w:ind w:left="500" w:hanging="2"/>
      </w:pPr>
      <w:r>
        <w:t>Officer</w:t>
      </w:r>
      <w:r>
        <w:rPr>
          <w:spacing w:val="-14"/>
        </w:rPr>
        <w:t xml:space="preserve"> </w:t>
      </w:r>
      <w:r>
        <w:t>and</w:t>
      </w:r>
      <w:r>
        <w:rPr>
          <w:spacing w:val="-14"/>
        </w:rPr>
        <w:t xml:space="preserve"> </w:t>
      </w:r>
      <w:r>
        <w:t>management</w:t>
      </w:r>
      <w:r>
        <w:rPr>
          <w:spacing w:val="-14"/>
        </w:rPr>
        <w:t xml:space="preserve"> </w:t>
      </w:r>
      <w:r>
        <w:t>team.</w:t>
      </w:r>
      <w:r>
        <w:rPr>
          <w:spacing w:val="-14"/>
        </w:rPr>
        <w:t xml:space="preserve"> </w:t>
      </w:r>
      <w:r>
        <w:t>The</w:t>
      </w:r>
      <w:r>
        <w:rPr>
          <w:spacing w:val="-14"/>
        </w:rPr>
        <w:t xml:space="preserve"> </w:t>
      </w:r>
      <w:r>
        <w:t>Board</w:t>
      </w:r>
      <w:r>
        <w:rPr>
          <w:spacing w:val="-14"/>
        </w:rPr>
        <w:t xml:space="preserve"> </w:t>
      </w:r>
      <w:r>
        <w:t xml:space="preserve">comprises </w:t>
      </w:r>
      <w:r>
        <w:rPr>
          <w:w w:val="95"/>
        </w:rPr>
        <w:t>the</w:t>
      </w:r>
      <w:r>
        <w:rPr>
          <w:spacing w:val="-7"/>
          <w:w w:val="95"/>
        </w:rPr>
        <w:t xml:space="preserve"> </w:t>
      </w:r>
      <w:r>
        <w:rPr>
          <w:w w:val="95"/>
        </w:rPr>
        <w:t>CEO,</w:t>
      </w:r>
      <w:r>
        <w:rPr>
          <w:spacing w:val="-7"/>
          <w:w w:val="95"/>
        </w:rPr>
        <w:t xml:space="preserve"> </w:t>
      </w:r>
      <w:r>
        <w:rPr>
          <w:w w:val="95"/>
        </w:rPr>
        <w:t>an</w:t>
      </w:r>
      <w:r>
        <w:rPr>
          <w:spacing w:val="-7"/>
          <w:w w:val="95"/>
        </w:rPr>
        <w:t xml:space="preserve"> </w:t>
      </w:r>
      <w:r>
        <w:rPr>
          <w:w w:val="95"/>
        </w:rPr>
        <w:t>independent</w:t>
      </w:r>
      <w:r>
        <w:rPr>
          <w:spacing w:val="-7"/>
          <w:w w:val="95"/>
        </w:rPr>
        <w:t xml:space="preserve"> </w:t>
      </w:r>
      <w:r>
        <w:rPr>
          <w:w w:val="95"/>
        </w:rPr>
        <w:t>Chairman</w:t>
      </w:r>
      <w:r>
        <w:rPr>
          <w:spacing w:val="-7"/>
          <w:w w:val="95"/>
        </w:rPr>
        <w:t xml:space="preserve"> </w:t>
      </w:r>
      <w:r>
        <w:rPr>
          <w:w w:val="95"/>
        </w:rPr>
        <w:t>and</w:t>
      </w:r>
      <w:r>
        <w:rPr>
          <w:spacing w:val="-7"/>
          <w:w w:val="95"/>
        </w:rPr>
        <w:t xml:space="preserve"> </w:t>
      </w:r>
      <w:r>
        <w:rPr>
          <w:w w:val="95"/>
        </w:rPr>
        <w:t>nine</w:t>
      </w:r>
      <w:r>
        <w:rPr>
          <w:spacing w:val="-7"/>
          <w:w w:val="95"/>
        </w:rPr>
        <w:t xml:space="preserve"> </w:t>
      </w:r>
      <w:r>
        <w:rPr>
          <w:w w:val="95"/>
        </w:rPr>
        <w:t xml:space="preserve">additional </w:t>
      </w:r>
      <w:r>
        <w:t>Board</w:t>
      </w:r>
      <w:r>
        <w:rPr>
          <w:spacing w:val="-8"/>
        </w:rPr>
        <w:t xml:space="preserve"> </w:t>
      </w:r>
      <w:r>
        <w:t>members.</w:t>
      </w:r>
      <w:r>
        <w:rPr>
          <w:spacing w:val="-8"/>
        </w:rPr>
        <w:t xml:space="preserve"> </w:t>
      </w:r>
      <w:r>
        <w:t>The</w:t>
      </w:r>
      <w:r>
        <w:rPr>
          <w:spacing w:val="-8"/>
        </w:rPr>
        <w:t xml:space="preserve"> </w:t>
      </w:r>
      <w:r>
        <w:t>Board</w:t>
      </w:r>
      <w:r>
        <w:rPr>
          <w:spacing w:val="-8"/>
        </w:rPr>
        <w:t xml:space="preserve"> </w:t>
      </w:r>
      <w:r>
        <w:t>provides</w:t>
      </w:r>
      <w:r>
        <w:rPr>
          <w:spacing w:val="-8"/>
        </w:rPr>
        <w:t xml:space="preserve"> </w:t>
      </w:r>
      <w:r>
        <w:t>strategic</w:t>
      </w:r>
      <w:r>
        <w:rPr>
          <w:spacing w:val="-8"/>
        </w:rPr>
        <w:t xml:space="preserve"> </w:t>
      </w:r>
      <w:r>
        <w:t>policy direction</w:t>
      </w:r>
      <w:r>
        <w:rPr>
          <w:spacing w:val="-9"/>
        </w:rPr>
        <w:t xml:space="preserve"> </w:t>
      </w:r>
      <w:r>
        <w:t>and</w:t>
      </w:r>
      <w:r>
        <w:rPr>
          <w:spacing w:val="-9"/>
        </w:rPr>
        <w:t xml:space="preserve"> </w:t>
      </w:r>
      <w:r>
        <w:t>oversight</w:t>
      </w:r>
      <w:r>
        <w:rPr>
          <w:spacing w:val="-9"/>
        </w:rPr>
        <w:t xml:space="preserve"> </w:t>
      </w:r>
      <w:r>
        <w:t>for</w:t>
      </w:r>
      <w:r>
        <w:rPr>
          <w:spacing w:val="-9"/>
        </w:rPr>
        <w:t xml:space="preserve"> </w:t>
      </w:r>
      <w:r>
        <w:t>planning,</w:t>
      </w:r>
      <w:r>
        <w:rPr>
          <w:spacing w:val="-9"/>
        </w:rPr>
        <w:t xml:space="preserve"> </w:t>
      </w:r>
      <w:r>
        <w:t>management</w:t>
      </w:r>
    </w:p>
    <w:p w:rsidR="002C1123" w:rsidRDefault="00F22F94">
      <w:pPr>
        <w:pStyle w:val="BodyText"/>
        <w:spacing w:before="4"/>
        <w:ind w:left="501"/>
      </w:pPr>
      <w:r>
        <w:rPr>
          <w:w w:val="95"/>
        </w:rPr>
        <w:t>and</w:t>
      </w:r>
      <w:r>
        <w:rPr>
          <w:spacing w:val="-3"/>
          <w:w w:val="95"/>
        </w:rPr>
        <w:t xml:space="preserve"> </w:t>
      </w:r>
      <w:r>
        <w:rPr>
          <w:spacing w:val="-2"/>
        </w:rPr>
        <w:t>performance.</w:t>
      </w:r>
    </w:p>
    <w:p w:rsidR="002C1123" w:rsidRDefault="00F22F94">
      <w:pPr>
        <w:pStyle w:val="BodyText"/>
        <w:spacing w:before="152" w:line="249" w:lineRule="auto"/>
        <w:ind w:left="498" w:hanging="20"/>
      </w:pPr>
      <w:r>
        <w:t>The</w:t>
      </w:r>
      <w:r>
        <w:rPr>
          <w:spacing w:val="-10"/>
        </w:rPr>
        <w:t xml:space="preserve"> </w:t>
      </w:r>
      <w:r>
        <w:t>Board</w:t>
      </w:r>
      <w:r>
        <w:rPr>
          <w:spacing w:val="-10"/>
        </w:rPr>
        <w:t xml:space="preserve"> </w:t>
      </w:r>
      <w:r>
        <w:t>is</w:t>
      </w:r>
      <w:r>
        <w:rPr>
          <w:spacing w:val="-10"/>
        </w:rPr>
        <w:t xml:space="preserve"> </w:t>
      </w:r>
      <w:r>
        <w:t>one</w:t>
      </w:r>
      <w:r>
        <w:rPr>
          <w:spacing w:val="-10"/>
        </w:rPr>
        <w:t xml:space="preserve"> </w:t>
      </w:r>
      <w:r>
        <w:t>of</w:t>
      </w:r>
      <w:r>
        <w:rPr>
          <w:spacing w:val="-10"/>
        </w:rPr>
        <w:t xml:space="preserve"> </w:t>
      </w:r>
      <w:r>
        <w:t>the</w:t>
      </w:r>
      <w:r>
        <w:rPr>
          <w:spacing w:val="-10"/>
        </w:rPr>
        <w:t xml:space="preserve"> </w:t>
      </w:r>
      <w:r>
        <w:t>most</w:t>
      </w:r>
      <w:r>
        <w:rPr>
          <w:spacing w:val="-10"/>
        </w:rPr>
        <w:t xml:space="preserve"> </w:t>
      </w:r>
      <w:r>
        <w:t>experienced</w:t>
      </w:r>
      <w:r>
        <w:rPr>
          <w:spacing w:val="-10"/>
        </w:rPr>
        <w:t xml:space="preserve"> </w:t>
      </w:r>
      <w:r>
        <w:t>in</w:t>
      </w:r>
      <w:r>
        <w:rPr>
          <w:spacing w:val="-10"/>
        </w:rPr>
        <w:t xml:space="preserve"> </w:t>
      </w:r>
      <w:r>
        <w:t xml:space="preserve">the </w:t>
      </w:r>
      <w:r>
        <w:rPr>
          <w:w w:val="95"/>
        </w:rPr>
        <w:t>country</w:t>
      </w:r>
      <w:r>
        <w:rPr>
          <w:spacing w:val="-3"/>
          <w:w w:val="95"/>
        </w:rPr>
        <w:t xml:space="preserve"> </w:t>
      </w:r>
      <w:r>
        <w:rPr>
          <w:w w:val="95"/>
        </w:rPr>
        <w:t>with</w:t>
      </w:r>
      <w:r>
        <w:rPr>
          <w:spacing w:val="-3"/>
          <w:w w:val="95"/>
        </w:rPr>
        <w:t xml:space="preserve"> </w:t>
      </w:r>
      <w:r>
        <w:rPr>
          <w:w w:val="95"/>
        </w:rPr>
        <w:t>a</w:t>
      </w:r>
      <w:r>
        <w:rPr>
          <w:spacing w:val="-3"/>
          <w:w w:val="95"/>
        </w:rPr>
        <w:t xml:space="preserve"> </w:t>
      </w:r>
      <w:r>
        <w:rPr>
          <w:w w:val="95"/>
        </w:rPr>
        <w:t>mix</w:t>
      </w:r>
      <w:r>
        <w:rPr>
          <w:spacing w:val="-3"/>
          <w:w w:val="95"/>
        </w:rPr>
        <w:t xml:space="preserve"> </w:t>
      </w:r>
      <w:r>
        <w:rPr>
          <w:w w:val="95"/>
        </w:rPr>
        <w:t>of</w:t>
      </w:r>
      <w:r>
        <w:rPr>
          <w:spacing w:val="-3"/>
          <w:w w:val="95"/>
        </w:rPr>
        <w:t xml:space="preserve"> </w:t>
      </w:r>
      <w:r>
        <w:rPr>
          <w:w w:val="95"/>
        </w:rPr>
        <w:t>leading</w:t>
      </w:r>
      <w:r>
        <w:rPr>
          <w:spacing w:val="-3"/>
          <w:w w:val="95"/>
        </w:rPr>
        <w:t xml:space="preserve"> </w:t>
      </w:r>
      <w:r>
        <w:rPr>
          <w:w w:val="95"/>
        </w:rPr>
        <w:t>business</w:t>
      </w:r>
      <w:r>
        <w:rPr>
          <w:spacing w:val="-3"/>
          <w:w w:val="95"/>
        </w:rPr>
        <w:t xml:space="preserve"> </w:t>
      </w:r>
      <w:r>
        <w:rPr>
          <w:w w:val="95"/>
        </w:rPr>
        <w:t>people</w:t>
      </w:r>
      <w:r>
        <w:rPr>
          <w:spacing w:val="-3"/>
          <w:w w:val="95"/>
        </w:rPr>
        <w:t xml:space="preserve"> </w:t>
      </w:r>
      <w:r>
        <w:rPr>
          <w:w w:val="95"/>
        </w:rPr>
        <w:t>with</w:t>
      </w:r>
    </w:p>
    <w:p w:rsidR="002C1123" w:rsidRDefault="00F22F94">
      <w:pPr>
        <w:pStyle w:val="BodyText"/>
        <w:spacing w:before="1" w:line="249" w:lineRule="auto"/>
        <w:ind w:left="504" w:hanging="3"/>
      </w:pPr>
      <w:r>
        <w:rPr>
          <w:w w:val="95"/>
        </w:rPr>
        <w:t>expertise</w:t>
      </w:r>
      <w:r>
        <w:rPr>
          <w:spacing w:val="-6"/>
          <w:w w:val="95"/>
        </w:rPr>
        <w:t xml:space="preserve"> </w:t>
      </w:r>
      <w:r>
        <w:rPr>
          <w:w w:val="95"/>
        </w:rPr>
        <w:t>in</w:t>
      </w:r>
      <w:r>
        <w:rPr>
          <w:spacing w:val="-6"/>
          <w:w w:val="95"/>
        </w:rPr>
        <w:t xml:space="preserve"> </w:t>
      </w:r>
      <w:r>
        <w:rPr>
          <w:w w:val="95"/>
        </w:rPr>
        <w:t>infrastructure,</w:t>
      </w:r>
      <w:r>
        <w:rPr>
          <w:spacing w:val="-6"/>
          <w:w w:val="95"/>
        </w:rPr>
        <w:t xml:space="preserve"> </w:t>
      </w:r>
      <w:r>
        <w:rPr>
          <w:w w:val="95"/>
        </w:rPr>
        <w:t>working</w:t>
      </w:r>
      <w:r>
        <w:rPr>
          <w:spacing w:val="-6"/>
          <w:w w:val="95"/>
        </w:rPr>
        <w:t xml:space="preserve"> </w:t>
      </w:r>
      <w:r>
        <w:rPr>
          <w:w w:val="95"/>
        </w:rPr>
        <w:t>alongside</w:t>
      </w:r>
      <w:r>
        <w:rPr>
          <w:spacing w:val="-6"/>
          <w:w w:val="95"/>
        </w:rPr>
        <w:t xml:space="preserve"> </w:t>
      </w:r>
      <w:r>
        <w:rPr>
          <w:w w:val="95"/>
        </w:rPr>
        <w:t>the</w:t>
      </w:r>
      <w:r>
        <w:rPr>
          <w:spacing w:val="-6"/>
          <w:w w:val="95"/>
        </w:rPr>
        <w:t xml:space="preserve"> </w:t>
      </w:r>
      <w:r>
        <w:rPr>
          <w:w w:val="95"/>
        </w:rPr>
        <w:t xml:space="preserve">State’s </w:t>
      </w:r>
      <w:r>
        <w:t>most senior public servants.</w:t>
      </w:r>
    </w:p>
    <w:p w:rsidR="002C1123" w:rsidRDefault="002C1123">
      <w:pPr>
        <w:pStyle w:val="BodyText"/>
        <w:spacing w:before="2"/>
        <w:rPr>
          <w:sz w:val="21"/>
        </w:rPr>
      </w:pPr>
    </w:p>
    <w:p w:rsidR="002C1123" w:rsidRDefault="00F22F94">
      <w:pPr>
        <w:spacing w:before="1"/>
        <w:ind w:left="491"/>
        <w:rPr>
          <w:b/>
          <w:sz w:val="18"/>
        </w:rPr>
      </w:pPr>
      <w:r>
        <w:rPr>
          <w:b/>
          <w:sz w:val="18"/>
        </w:rPr>
        <w:t>Table</w:t>
      </w:r>
      <w:r>
        <w:rPr>
          <w:b/>
          <w:spacing w:val="-19"/>
          <w:sz w:val="18"/>
        </w:rPr>
        <w:t xml:space="preserve"> </w:t>
      </w:r>
      <w:r>
        <w:rPr>
          <w:b/>
          <w:sz w:val="18"/>
        </w:rPr>
        <w:t>1.3</w:t>
      </w:r>
      <w:r>
        <w:rPr>
          <w:b/>
          <w:spacing w:val="15"/>
          <w:sz w:val="18"/>
        </w:rPr>
        <w:t xml:space="preserve"> </w:t>
      </w:r>
      <w:r>
        <w:rPr>
          <w:b/>
          <w:sz w:val="18"/>
        </w:rPr>
        <w:t>Infrastructure</w:t>
      </w:r>
      <w:r>
        <w:rPr>
          <w:b/>
          <w:spacing w:val="-19"/>
          <w:sz w:val="18"/>
        </w:rPr>
        <w:t xml:space="preserve"> </w:t>
      </w:r>
      <w:r>
        <w:rPr>
          <w:b/>
          <w:sz w:val="18"/>
        </w:rPr>
        <w:t>NSW</w:t>
      </w:r>
      <w:r>
        <w:rPr>
          <w:b/>
          <w:spacing w:val="-18"/>
          <w:sz w:val="18"/>
        </w:rPr>
        <w:t xml:space="preserve"> </w:t>
      </w:r>
      <w:r>
        <w:rPr>
          <w:b/>
          <w:spacing w:val="-4"/>
          <w:sz w:val="18"/>
        </w:rPr>
        <w:t>Board</w:t>
      </w:r>
    </w:p>
    <w:p w:rsidR="002C1123" w:rsidRDefault="00F22F94">
      <w:pPr>
        <w:pStyle w:val="BodyText"/>
        <w:spacing w:before="106" w:line="249" w:lineRule="auto"/>
        <w:ind w:left="267" w:hanging="23"/>
      </w:pPr>
      <w:r>
        <w:br w:type="column"/>
      </w:r>
      <w:r>
        <w:t>This</w:t>
      </w:r>
      <w:r>
        <w:rPr>
          <w:spacing w:val="-14"/>
        </w:rPr>
        <w:t xml:space="preserve"> </w:t>
      </w:r>
      <w:r>
        <w:t>Strategy</w:t>
      </w:r>
      <w:r>
        <w:rPr>
          <w:spacing w:val="-14"/>
        </w:rPr>
        <w:t xml:space="preserve"> </w:t>
      </w:r>
      <w:r>
        <w:t>was</w:t>
      </w:r>
      <w:r>
        <w:rPr>
          <w:spacing w:val="-14"/>
        </w:rPr>
        <w:t xml:space="preserve"> </w:t>
      </w:r>
      <w:r>
        <w:t>prepared</w:t>
      </w:r>
      <w:r>
        <w:rPr>
          <w:spacing w:val="-14"/>
        </w:rPr>
        <w:t xml:space="preserve"> </w:t>
      </w:r>
      <w:r>
        <w:t>by</w:t>
      </w:r>
      <w:r>
        <w:rPr>
          <w:spacing w:val="-14"/>
        </w:rPr>
        <w:t xml:space="preserve"> </w:t>
      </w:r>
      <w:r>
        <w:t>Infrastructure</w:t>
      </w:r>
      <w:r>
        <w:rPr>
          <w:spacing w:val="-14"/>
        </w:rPr>
        <w:t xml:space="preserve"> </w:t>
      </w:r>
      <w:r>
        <w:t xml:space="preserve">NSW </w:t>
      </w:r>
      <w:r>
        <w:rPr>
          <w:w w:val="95"/>
        </w:rPr>
        <w:t xml:space="preserve">following consultation with line departments, private sector proponents and other significant stakeholders </w:t>
      </w:r>
      <w:r>
        <w:t>including Infrastructure Australia.</w:t>
      </w:r>
    </w:p>
    <w:p w:rsidR="002C1123" w:rsidRDefault="002C1123">
      <w:pPr>
        <w:pStyle w:val="BodyText"/>
        <w:rPr>
          <w:sz w:val="15"/>
        </w:rPr>
      </w:pPr>
    </w:p>
    <w:p w:rsidR="002C1123" w:rsidRDefault="002060EF">
      <w:pPr>
        <w:pStyle w:val="BodyText"/>
        <w:ind w:left="259" w:right="-58"/>
      </w:pPr>
      <w:r>
        <w:pict>
          <v:shape id="docshape162" o:spid="_x0000_s5278" type="#_x0000_t202" style="width:240pt;height:117.35pt;mso-left-percent:-10001;mso-top-percent:-10001;mso-position-horizontal:absolute;mso-position-horizontal-relative:char;mso-position-vertical:absolute;mso-position-vertical-relative:line;mso-left-percent:-10001;mso-top-percent:-10001" fillcolor="#e1e0e1" stroked="f">
            <v:textbox inset="0,0,0,0">
              <w:txbxContent>
                <w:p w:rsidR="00F22F94" w:rsidRDefault="00F22F94">
                  <w:pPr>
                    <w:pStyle w:val="BodyText"/>
                    <w:spacing w:before="68"/>
                    <w:ind w:left="100"/>
                    <w:jc w:val="both"/>
                    <w:rPr>
                      <w:color w:val="000000"/>
                    </w:rPr>
                  </w:pPr>
                  <w:r>
                    <w:rPr>
                      <w:color w:val="000000"/>
                      <w:spacing w:val="-2"/>
                      <w:w w:val="95"/>
                    </w:rPr>
                    <w:t>The</w:t>
                  </w:r>
                  <w:r>
                    <w:rPr>
                      <w:color w:val="000000"/>
                      <w:spacing w:val="-6"/>
                      <w:w w:val="95"/>
                    </w:rPr>
                    <w:t xml:space="preserve"> </w:t>
                  </w:r>
                  <w:r>
                    <w:rPr>
                      <w:color w:val="000000"/>
                      <w:spacing w:val="-2"/>
                      <w:w w:val="95"/>
                    </w:rPr>
                    <w:t>development</w:t>
                  </w:r>
                  <w:r>
                    <w:rPr>
                      <w:color w:val="000000"/>
                      <w:spacing w:val="-5"/>
                      <w:w w:val="95"/>
                    </w:rPr>
                    <w:t xml:space="preserve"> </w:t>
                  </w:r>
                  <w:r>
                    <w:rPr>
                      <w:color w:val="000000"/>
                      <w:spacing w:val="-2"/>
                      <w:w w:val="95"/>
                    </w:rPr>
                    <w:t>of</w:t>
                  </w:r>
                  <w:r>
                    <w:rPr>
                      <w:color w:val="000000"/>
                      <w:spacing w:val="-5"/>
                      <w:w w:val="95"/>
                    </w:rPr>
                    <w:t xml:space="preserve"> </w:t>
                  </w:r>
                  <w:r>
                    <w:rPr>
                      <w:color w:val="000000"/>
                      <w:spacing w:val="-2"/>
                      <w:w w:val="95"/>
                    </w:rPr>
                    <w:t>this</w:t>
                  </w:r>
                  <w:r>
                    <w:rPr>
                      <w:color w:val="000000"/>
                      <w:spacing w:val="-6"/>
                      <w:w w:val="95"/>
                    </w:rPr>
                    <w:t xml:space="preserve"> </w:t>
                  </w:r>
                  <w:r>
                    <w:rPr>
                      <w:color w:val="000000"/>
                      <w:spacing w:val="-2"/>
                      <w:w w:val="95"/>
                    </w:rPr>
                    <w:t>Strategy</w:t>
                  </w:r>
                  <w:r>
                    <w:rPr>
                      <w:color w:val="000000"/>
                      <w:spacing w:val="-5"/>
                      <w:w w:val="95"/>
                    </w:rPr>
                    <w:t xml:space="preserve"> </w:t>
                  </w:r>
                  <w:r>
                    <w:rPr>
                      <w:color w:val="000000"/>
                      <w:spacing w:val="-2"/>
                      <w:w w:val="95"/>
                    </w:rPr>
                    <w:t>has</w:t>
                  </w:r>
                  <w:r>
                    <w:rPr>
                      <w:color w:val="000000"/>
                      <w:spacing w:val="-5"/>
                      <w:w w:val="95"/>
                    </w:rPr>
                    <w:t xml:space="preserve"> </w:t>
                  </w:r>
                  <w:r>
                    <w:rPr>
                      <w:color w:val="000000"/>
                      <w:spacing w:val="-4"/>
                      <w:w w:val="95"/>
                    </w:rPr>
                    <w:t>cost</w:t>
                  </w:r>
                </w:p>
                <w:p w:rsidR="00F22F94" w:rsidRDefault="00F22F94">
                  <w:pPr>
                    <w:pStyle w:val="BodyText"/>
                    <w:spacing w:before="10" w:line="249" w:lineRule="auto"/>
                    <w:ind w:left="110" w:right="539" w:firstLine="13"/>
                    <w:jc w:val="both"/>
                    <w:rPr>
                      <w:color w:val="000000"/>
                    </w:rPr>
                  </w:pPr>
                  <w:r>
                    <w:rPr>
                      <w:color w:val="000000"/>
                      <w:w w:val="95"/>
                    </w:rPr>
                    <w:t>$2</w:t>
                  </w:r>
                  <w:r>
                    <w:rPr>
                      <w:color w:val="000000"/>
                      <w:spacing w:val="-7"/>
                      <w:w w:val="95"/>
                    </w:rPr>
                    <w:t xml:space="preserve"> </w:t>
                  </w:r>
                  <w:r>
                    <w:rPr>
                      <w:color w:val="000000"/>
                      <w:w w:val="95"/>
                    </w:rPr>
                    <w:t>million,</w:t>
                  </w:r>
                  <w:r>
                    <w:rPr>
                      <w:color w:val="000000"/>
                      <w:spacing w:val="-7"/>
                      <w:w w:val="95"/>
                    </w:rPr>
                    <w:t xml:space="preserve"> </w:t>
                  </w:r>
                  <w:r>
                    <w:rPr>
                      <w:color w:val="000000"/>
                      <w:w w:val="95"/>
                    </w:rPr>
                    <w:t>which</w:t>
                  </w:r>
                  <w:r>
                    <w:rPr>
                      <w:color w:val="000000"/>
                      <w:spacing w:val="-7"/>
                      <w:w w:val="95"/>
                    </w:rPr>
                    <w:t xml:space="preserve"> </w:t>
                  </w:r>
                  <w:r>
                    <w:rPr>
                      <w:color w:val="000000"/>
                      <w:w w:val="95"/>
                    </w:rPr>
                    <w:t>was</w:t>
                  </w:r>
                  <w:r>
                    <w:rPr>
                      <w:color w:val="000000"/>
                      <w:spacing w:val="-7"/>
                      <w:w w:val="95"/>
                    </w:rPr>
                    <w:t xml:space="preserve"> </w:t>
                  </w:r>
                  <w:r>
                    <w:rPr>
                      <w:color w:val="000000"/>
                      <w:w w:val="95"/>
                    </w:rPr>
                    <w:t>spent</w:t>
                  </w:r>
                  <w:r>
                    <w:rPr>
                      <w:color w:val="000000"/>
                      <w:spacing w:val="-7"/>
                      <w:w w:val="95"/>
                    </w:rPr>
                    <w:t xml:space="preserve"> </w:t>
                  </w:r>
                  <w:r>
                    <w:rPr>
                      <w:color w:val="000000"/>
                      <w:w w:val="95"/>
                    </w:rPr>
                    <w:t>to</w:t>
                  </w:r>
                  <w:r>
                    <w:rPr>
                      <w:color w:val="000000"/>
                      <w:spacing w:val="-7"/>
                      <w:w w:val="95"/>
                    </w:rPr>
                    <w:t xml:space="preserve"> </w:t>
                  </w:r>
                  <w:r>
                    <w:rPr>
                      <w:color w:val="000000"/>
                      <w:w w:val="95"/>
                    </w:rPr>
                    <w:t>investigate</w:t>
                  </w:r>
                  <w:r>
                    <w:rPr>
                      <w:color w:val="000000"/>
                      <w:spacing w:val="-7"/>
                      <w:w w:val="95"/>
                    </w:rPr>
                    <w:t xml:space="preserve"> </w:t>
                  </w:r>
                  <w:r>
                    <w:rPr>
                      <w:color w:val="000000"/>
                      <w:w w:val="95"/>
                    </w:rPr>
                    <w:t>options and</w:t>
                  </w:r>
                  <w:r>
                    <w:rPr>
                      <w:color w:val="000000"/>
                      <w:spacing w:val="-2"/>
                      <w:w w:val="95"/>
                    </w:rPr>
                    <w:t xml:space="preserve"> </w:t>
                  </w:r>
                  <w:r>
                    <w:rPr>
                      <w:color w:val="000000"/>
                      <w:w w:val="95"/>
                    </w:rPr>
                    <w:t>obtain</w:t>
                  </w:r>
                  <w:r>
                    <w:rPr>
                      <w:color w:val="000000"/>
                      <w:spacing w:val="-2"/>
                      <w:w w:val="95"/>
                    </w:rPr>
                    <w:t xml:space="preserve"> </w:t>
                  </w:r>
                  <w:r>
                    <w:rPr>
                      <w:color w:val="000000"/>
                      <w:w w:val="95"/>
                    </w:rPr>
                    <w:t>advice</w:t>
                  </w:r>
                  <w:r>
                    <w:rPr>
                      <w:color w:val="000000"/>
                      <w:spacing w:val="-2"/>
                      <w:w w:val="95"/>
                    </w:rPr>
                    <w:t xml:space="preserve"> </w:t>
                  </w:r>
                  <w:r>
                    <w:rPr>
                      <w:color w:val="000000"/>
                      <w:w w:val="95"/>
                    </w:rPr>
                    <w:t>from</w:t>
                  </w:r>
                  <w:r>
                    <w:rPr>
                      <w:color w:val="000000"/>
                      <w:spacing w:val="-2"/>
                      <w:w w:val="95"/>
                    </w:rPr>
                    <w:t xml:space="preserve"> </w:t>
                  </w:r>
                  <w:r>
                    <w:rPr>
                      <w:color w:val="000000"/>
                      <w:w w:val="95"/>
                    </w:rPr>
                    <w:t>industry</w:t>
                  </w:r>
                  <w:r>
                    <w:rPr>
                      <w:color w:val="000000"/>
                      <w:spacing w:val="-2"/>
                      <w:w w:val="95"/>
                    </w:rPr>
                    <w:t xml:space="preserve"> </w:t>
                  </w:r>
                  <w:r>
                    <w:rPr>
                      <w:color w:val="000000"/>
                      <w:w w:val="95"/>
                    </w:rPr>
                    <w:t>experts</w:t>
                  </w:r>
                  <w:r>
                    <w:rPr>
                      <w:color w:val="000000"/>
                      <w:spacing w:val="-2"/>
                      <w:w w:val="95"/>
                    </w:rPr>
                    <w:t xml:space="preserve"> </w:t>
                  </w:r>
                  <w:r>
                    <w:rPr>
                      <w:color w:val="000000"/>
                      <w:w w:val="95"/>
                    </w:rPr>
                    <w:t>including Cisco,</w:t>
                  </w:r>
                  <w:r>
                    <w:rPr>
                      <w:color w:val="000000"/>
                      <w:spacing w:val="-12"/>
                      <w:w w:val="95"/>
                    </w:rPr>
                    <w:t xml:space="preserve"> </w:t>
                  </w:r>
                  <w:r>
                    <w:rPr>
                      <w:color w:val="000000"/>
                      <w:w w:val="95"/>
                    </w:rPr>
                    <w:t>Deloitte</w:t>
                  </w:r>
                  <w:r>
                    <w:rPr>
                      <w:color w:val="000000"/>
                      <w:spacing w:val="-11"/>
                      <w:w w:val="95"/>
                    </w:rPr>
                    <w:t xml:space="preserve"> </w:t>
                  </w:r>
                  <w:r>
                    <w:rPr>
                      <w:color w:val="000000"/>
                      <w:w w:val="95"/>
                    </w:rPr>
                    <w:t>Access</w:t>
                  </w:r>
                  <w:r>
                    <w:rPr>
                      <w:color w:val="000000"/>
                      <w:spacing w:val="-11"/>
                      <w:w w:val="95"/>
                    </w:rPr>
                    <w:t xml:space="preserve"> </w:t>
                  </w:r>
                  <w:r>
                    <w:rPr>
                      <w:color w:val="000000"/>
                      <w:w w:val="95"/>
                    </w:rPr>
                    <w:t>Economics,</w:t>
                  </w:r>
                  <w:r>
                    <w:rPr>
                      <w:color w:val="000000"/>
                      <w:spacing w:val="-11"/>
                      <w:w w:val="95"/>
                    </w:rPr>
                    <w:t xml:space="preserve"> </w:t>
                  </w:r>
                  <w:r>
                    <w:rPr>
                      <w:color w:val="000000"/>
                      <w:w w:val="95"/>
                    </w:rPr>
                    <w:t>Deloitte,</w:t>
                  </w:r>
                  <w:r>
                    <w:rPr>
                      <w:color w:val="000000"/>
                      <w:spacing w:val="-11"/>
                      <w:w w:val="95"/>
                    </w:rPr>
                    <w:t xml:space="preserve"> </w:t>
                  </w:r>
                  <w:r>
                    <w:rPr>
                      <w:color w:val="000000"/>
                      <w:w w:val="95"/>
                    </w:rPr>
                    <w:t xml:space="preserve">Ernst </w:t>
                  </w:r>
                  <w:r>
                    <w:rPr>
                      <w:color w:val="000000"/>
                      <w:spacing w:val="-2"/>
                      <w:w w:val="95"/>
                    </w:rPr>
                    <w:t>&amp;</w:t>
                  </w:r>
                  <w:r>
                    <w:rPr>
                      <w:color w:val="000000"/>
                      <w:spacing w:val="-9"/>
                      <w:w w:val="95"/>
                    </w:rPr>
                    <w:t xml:space="preserve"> </w:t>
                  </w:r>
                  <w:r>
                    <w:rPr>
                      <w:color w:val="000000"/>
                      <w:spacing w:val="-2"/>
                      <w:w w:val="95"/>
                    </w:rPr>
                    <w:t>Young,</w:t>
                  </w:r>
                  <w:r>
                    <w:rPr>
                      <w:color w:val="000000"/>
                      <w:spacing w:val="-9"/>
                      <w:w w:val="95"/>
                    </w:rPr>
                    <w:t xml:space="preserve"> </w:t>
                  </w:r>
                  <w:r>
                    <w:rPr>
                      <w:color w:val="000000"/>
                      <w:spacing w:val="-2"/>
                      <w:w w:val="95"/>
                    </w:rPr>
                    <w:t>Evans</w:t>
                  </w:r>
                  <w:r>
                    <w:rPr>
                      <w:color w:val="000000"/>
                      <w:spacing w:val="-9"/>
                      <w:w w:val="95"/>
                    </w:rPr>
                    <w:t xml:space="preserve"> </w:t>
                  </w:r>
                  <w:r>
                    <w:rPr>
                      <w:color w:val="000000"/>
                      <w:spacing w:val="-2"/>
                      <w:w w:val="95"/>
                    </w:rPr>
                    <w:t>&amp;</w:t>
                  </w:r>
                  <w:r>
                    <w:rPr>
                      <w:color w:val="000000"/>
                      <w:spacing w:val="-9"/>
                      <w:w w:val="95"/>
                    </w:rPr>
                    <w:t xml:space="preserve"> </w:t>
                  </w:r>
                  <w:r>
                    <w:rPr>
                      <w:color w:val="000000"/>
                      <w:spacing w:val="-2"/>
                      <w:w w:val="95"/>
                    </w:rPr>
                    <w:t>Peck,</w:t>
                  </w:r>
                  <w:r>
                    <w:rPr>
                      <w:color w:val="000000"/>
                      <w:spacing w:val="-9"/>
                      <w:w w:val="95"/>
                    </w:rPr>
                    <w:t xml:space="preserve"> </w:t>
                  </w:r>
                  <w:r>
                    <w:rPr>
                      <w:color w:val="000000"/>
                      <w:spacing w:val="-2"/>
                      <w:w w:val="95"/>
                    </w:rPr>
                    <w:t>GHD,</w:t>
                  </w:r>
                  <w:r>
                    <w:rPr>
                      <w:color w:val="000000"/>
                      <w:spacing w:val="-9"/>
                      <w:w w:val="95"/>
                    </w:rPr>
                    <w:t xml:space="preserve"> </w:t>
                  </w:r>
                  <w:r>
                    <w:rPr>
                      <w:color w:val="000000"/>
                      <w:spacing w:val="-2"/>
                      <w:w w:val="95"/>
                    </w:rPr>
                    <w:t>Interfleet</w:t>
                  </w:r>
                  <w:r>
                    <w:rPr>
                      <w:color w:val="000000"/>
                      <w:spacing w:val="-9"/>
                      <w:w w:val="95"/>
                    </w:rPr>
                    <w:t xml:space="preserve"> </w:t>
                  </w:r>
                  <w:r>
                    <w:rPr>
                      <w:color w:val="000000"/>
                      <w:spacing w:val="-2"/>
                      <w:w w:val="95"/>
                    </w:rPr>
                    <w:t xml:space="preserve">Transport </w:t>
                  </w:r>
                  <w:r>
                    <w:rPr>
                      <w:color w:val="000000"/>
                    </w:rPr>
                    <w:t>Advisory, L.E.K, Molino Stewart, MR Cagney,</w:t>
                  </w:r>
                </w:p>
                <w:p w:rsidR="00F22F94" w:rsidRDefault="00F22F94">
                  <w:pPr>
                    <w:pStyle w:val="BodyText"/>
                    <w:spacing w:before="4" w:line="249" w:lineRule="auto"/>
                    <w:ind w:left="119" w:right="122" w:firstLine="3"/>
                    <w:rPr>
                      <w:color w:val="000000"/>
                    </w:rPr>
                  </w:pPr>
                  <w:r>
                    <w:rPr>
                      <w:color w:val="000000"/>
                      <w:spacing w:val="-2"/>
                      <w:w w:val="95"/>
                    </w:rPr>
                    <w:t>PriceWaterhouseCoopers,</w:t>
                  </w:r>
                  <w:r>
                    <w:rPr>
                      <w:color w:val="000000"/>
                      <w:spacing w:val="-3"/>
                      <w:w w:val="95"/>
                    </w:rPr>
                    <w:t xml:space="preserve"> </w:t>
                  </w:r>
                  <w:r>
                    <w:rPr>
                      <w:color w:val="000000"/>
                      <w:spacing w:val="-2"/>
                      <w:w w:val="95"/>
                    </w:rPr>
                    <w:t>Sapere,</w:t>
                  </w:r>
                  <w:r>
                    <w:rPr>
                      <w:color w:val="000000"/>
                      <w:spacing w:val="-3"/>
                      <w:w w:val="95"/>
                    </w:rPr>
                    <w:t xml:space="preserve"> </w:t>
                  </w:r>
                  <w:r>
                    <w:rPr>
                      <w:color w:val="000000"/>
                      <w:spacing w:val="-2"/>
                      <w:w w:val="95"/>
                    </w:rPr>
                    <w:t>SMART</w:t>
                  </w:r>
                  <w:r>
                    <w:rPr>
                      <w:color w:val="000000"/>
                      <w:spacing w:val="-3"/>
                      <w:w w:val="95"/>
                    </w:rPr>
                    <w:t xml:space="preserve"> </w:t>
                  </w:r>
                  <w:r>
                    <w:rPr>
                      <w:color w:val="000000"/>
                      <w:spacing w:val="-2"/>
                      <w:w w:val="95"/>
                    </w:rPr>
                    <w:t xml:space="preserve">(University </w:t>
                  </w:r>
                  <w:r>
                    <w:rPr>
                      <w:color w:val="000000"/>
                    </w:rPr>
                    <w:t>of Wollongong) and others. All reports prepared for Infrastructure</w:t>
                  </w:r>
                  <w:r>
                    <w:rPr>
                      <w:color w:val="000000"/>
                      <w:spacing w:val="-2"/>
                    </w:rPr>
                    <w:t xml:space="preserve"> </w:t>
                  </w:r>
                  <w:r>
                    <w:rPr>
                      <w:color w:val="000000"/>
                    </w:rPr>
                    <w:t>NSW</w:t>
                  </w:r>
                  <w:r>
                    <w:rPr>
                      <w:color w:val="000000"/>
                      <w:spacing w:val="-2"/>
                    </w:rPr>
                    <w:t xml:space="preserve"> </w:t>
                  </w:r>
                  <w:r>
                    <w:rPr>
                      <w:color w:val="000000"/>
                    </w:rPr>
                    <w:t>are</w:t>
                  </w:r>
                  <w:r>
                    <w:rPr>
                      <w:color w:val="000000"/>
                      <w:spacing w:val="-2"/>
                    </w:rPr>
                    <w:t xml:space="preserve"> </w:t>
                  </w:r>
                  <w:r>
                    <w:rPr>
                      <w:color w:val="000000"/>
                    </w:rPr>
                    <w:t>available</w:t>
                  </w:r>
                  <w:r>
                    <w:rPr>
                      <w:color w:val="000000"/>
                      <w:spacing w:val="-2"/>
                    </w:rPr>
                    <w:t xml:space="preserve"> </w:t>
                  </w:r>
                  <w:r>
                    <w:rPr>
                      <w:color w:val="000000"/>
                    </w:rPr>
                    <w:t>on</w:t>
                  </w:r>
                  <w:r>
                    <w:rPr>
                      <w:color w:val="000000"/>
                      <w:spacing w:val="-2"/>
                    </w:rPr>
                    <w:t xml:space="preserve"> </w:t>
                  </w:r>
                  <w:r>
                    <w:rPr>
                      <w:color w:val="000000"/>
                    </w:rPr>
                    <w:t>our</w:t>
                  </w:r>
                  <w:r>
                    <w:rPr>
                      <w:color w:val="000000"/>
                      <w:spacing w:val="-2"/>
                    </w:rPr>
                    <w:t xml:space="preserve"> </w:t>
                  </w:r>
                  <w:r>
                    <w:rPr>
                      <w:color w:val="000000"/>
                    </w:rPr>
                    <w:t>website.</w:t>
                  </w:r>
                </w:p>
              </w:txbxContent>
            </v:textbox>
            <w10:anchorlock/>
          </v:shape>
        </w:pict>
      </w:r>
    </w:p>
    <w:p w:rsidR="002C1123" w:rsidRDefault="002C1123">
      <w:pPr>
        <w:pStyle w:val="BodyText"/>
        <w:spacing w:before="2"/>
      </w:pPr>
    </w:p>
    <w:p w:rsidR="002C1123" w:rsidRDefault="002060EF">
      <w:pPr>
        <w:pStyle w:val="BodyText"/>
        <w:spacing w:line="249" w:lineRule="auto"/>
        <w:ind w:left="268" w:hanging="23"/>
      </w:pPr>
      <w:r>
        <w:pict>
          <v:shape id="docshape163" o:spid="_x0000_s5130" type="#_x0000_t202" style="position:absolute;left:0;text-align:left;margin-left:49.1pt;margin-top:-21.75pt;width:240.5pt;height:239.95pt;z-index:251232256;mso-position-horizontal-relative:page" filled="f" stroked="f">
            <v:textbox inset="0,0,0,0">
              <w:txbxContent>
                <w:tbl>
                  <w:tblPr>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28"/>
                    <w:gridCol w:w="2863"/>
                  </w:tblGrid>
                  <w:tr w:rsidR="00F22F94">
                    <w:trPr>
                      <w:trHeight w:val="349"/>
                    </w:trPr>
                    <w:tc>
                      <w:tcPr>
                        <w:tcW w:w="1928" w:type="dxa"/>
                        <w:tcBorders>
                          <w:left w:val="nil"/>
                        </w:tcBorders>
                        <w:shd w:val="clear" w:color="auto" w:fill="C9C8C9"/>
                      </w:tcPr>
                      <w:p w:rsidR="00F22F94" w:rsidRDefault="002060EF">
                        <w:pPr>
                          <w:pStyle w:val="TableParagraph"/>
                          <w:ind w:left="125"/>
                          <w:rPr>
                            <w:sz w:val="16"/>
                          </w:rPr>
                        </w:pPr>
                        <w:hyperlink r:id="rId38">
                          <w:r w:rsidR="00F22F94">
                            <w:rPr>
                              <w:sz w:val="16"/>
                            </w:rPr>
                            <w:t>Nick</w:t>
                          </w:r>
                          <w:r w:rsidR="00F22F94">
                            <w:rPr>
                              <w:spacing w:val="-4"/>
                              <w:sz w:val="16"/>
                            </w:rPr>
                            <w:t xml:space="preserve"> </w:t>
                          </w:r>
                          <w:r w:rsidR="00F22F94">
                            <w:rPr>
                              <w:sz w:val="16"/>
                            </w:rPr>
                            <w:t>Greiner</w:t>
                          </w:r>
                          <w:r w:rsidR="00F22F94">
                            <w:rPr>
                              <w:spacing w:val="-3"/>
                              <w:sz w:val="16"/>
                            </w:rPr>
                            <w:t xml:space="preserve"> </w:t>
                          </w:r>
                          <w:r w:rsidR="00F22F94">
                            <w:rPr>
                              <w:spacing w:val="-5"/>
                              <w:sz w:val="16"/>
                            </w:rPr>
                            <w:t>AC</w:t>
                          </w:r>
                        </w:hyperlink>
                      </w:p>
                    </w:tc>
                    <w:tc>
                      <w:tcPr>
                        <w:tcW w:w="2863" w:type="dxa"/>
                        <w:shd w:val="clear" w:color="auto" w:fill="E1E0E1"/>
                      </w:tcPr>
                      <w:p w:rsidR="00F22F94" w:rsidRDefault="00F22F94">
                        <w:pPr>
                          <w:pStyle w:val="TableParagraph"/>
                          <w:ind w:left="122"/>
                          <w:rPr>
                            <w:sz w:val="16"/>
                          </w:rPr>
                        </w:pPr>
                        <w:r>
                          <w:rPr>
                            <w:spacing w:val="-2"/>
                            <w:sz w:val="16"/>
                          </w:rPr>
                          <w:t>Chairman</w:t>
                        </w:r>
                      </w:p>
                    </w:tc>
                  </w:tr>
                  <w:tr w:rsidR="00F22F94">
                    <w:trPr>
                      <w:trHeight w:val="349"/>
                    </w:trPr>
                    <w:tc>
                      <w:tcPr>
                        <w:tcW w:w="1928" w:type="dxa"/>
                        <w:tcBorders>
                          <w:left w:val="nil"/>
                        </w:tcBorders>
                        <w:shd w:val="clear" w:color="auto" w:fill="C9C8C9"/>
                      </w:tcPr>
                      <w:p w:rsidR="00F22F94" w:rsidRDefault="002060EF">
                        <w:pPr>
                          <w:pStyle w:val="TableParagraph"/>
                          <w:ind w:left="125"/>
                          <w:rPr>
                            <w:sz w:val="16"/>
                          </w:rPr>
                        </w:pPr>
                        <w:hyperlink r:id="rId39">
                          <w:r w:rsidR="00F22F94">
                            <w:rPr>
                              <w:sz w:val="16"/>
                            </w:rPr>
                            <w:t>Paul</w:t>
                          </w:r>
                          <w:r w:rsidR="00F22F94">
                            <w:rPr>
                              <w:spacing w:val="-7"/>
                              <w:sz w:val="16"/>
                            </w:rPr>
                            <w:t xml:space="preserve"> </w:t>
                          </w:r>
                          <w:r w:rsidR="00F22F94">
                            <w:rPr>
                              <w:spacing w:val="-2"/>
                              <w:w w:val="105"/>
                              <w:sz w:val="16"/>
                            </w:rPr>
                            <w:t>Broad</w:t>
                          </w:r>
                        </w:hyperlink>
                      </w:p>
                    </w:tc>
                    <w:tc>
                      <w:tcPr>
                        <w:tcW w:w="2863" w:type="dxa"/>
                        <w:shd w:val="clear" w:color="auto" w:fill="E1E0E1"/>
                      </w:tcPr>
                      <w:p w:rsidR="00F22F94" w:rsidRDefault="00F22F94">
                        <w:pPr>
                          <w:pStyle w:val="TableParagraph"/>
                          <w:ind w:left="122"/>
                          <w:rPr>
                            <w:sz w:val="16"/>
                          </w:rPr>
                        </w:pPr>
                        <w:r>
                          <w:rPr>
                            <w:w w:val="95"/>
                            <w:sz w:val="16"/>
                          </w:rPr>
                          <w:t>CEO,</w:t>
                        </w:r>
                        <w:r>
                          <w:rPr>
                            <w:spacing w:val="-5"/>
                            <w:w w:val="95"/>
                            <w:sz w:val="16"/>
                          </w:rPr>
                          <w:t xml:space="preserve"> </w:t>
                        </w:r>
                        <w:r>
                          <w:rPr>
                            <w:w w:val="95"/>
                            <w:sz w:val="16"/>
                          </w:rPr>
                          <w:t>Infrastructure</w:t>
                        </w:r>
                        <w:r>
                          <w:rPr>
                            <w:spacing w:val="-4"/>
                            <w:w w:val="95"/>
                            <w:sz w:val="16"/>
                          </w:rPr>
                          <w:t xml:space="preserve"> </w:t>
                        </w:r>
                        <w:r>
                          <w:rPr>
                            <w:spacing w:val="-5"/>
                            <w:w w:val="95"/>
                            <w:sz w:val="16"/>
                          </w:rPr>
                          <w:t>NSW</w:t>
                        </w:r>
                      </w:p>
                    </w:tc>
                  </w:tr>
                  <w:tr w:rsidR="00F22F94">
                    <w:trPr>
                      <w:trHeight w:val="349"/>
                    </w:trPr>
                    <w:tc>
                      <w:tcPr>
                        <w:tcW w:w="1928" w:type="dxa"/>
                        <w:tcBorders>
                          <w:left w:val="nil"/>
                        </w:tcBorders>
                        <w:shd w:val="clear" w:color="auto" w:fill="C9C8C9"/>
                      </w:tcPr>
                      <w:p w:rsidR="00F22F94" w:rsidRDefault="002060EF">
                        <w:pPr>
                          <w:pStyle w:val="TableParagraph"/>
                          <w:ind w:left="125"/>
                          <w:rPr>
                            <w:sz w:val="16"/>
                          </w:rPr>
                        </w:pPr>
                        <w:hyperlink r:id="rId40">
                          <w:r w:rsidR="00F22F94">
                            <w:rPr>
                              <w:sz w:val="16"/>
                            </w:rPr>
                            <w:t>Roger</w:t>
                          </w:r>
                          <w:r w:rsidR="00F22F94">
                            <w:rPr>
                              <w:spacing w:val="-4"/>
                              <w:sz w:val="16"/>
                            </w:rPr>
                            <w:t xml:space="preserve"> </w:t>
                          </w:r>
                          <w:r w:rsidR="00F22F94">
                            <w:rPr>
                              <w:spacing w:val="-2"/>
                              <w:w w:val="105"/>
                              <w:sz w:val="16"/>
                            </w:rPr>
                            <w:t>Fletcher</w:t>
                          </w:r>
                        </w:hyperlink>
                      </w:p>
                    </w:tc>
                    <w:tc>
                      <w:tcPr>
                        <w:tcW w:w="2863" w:type="dxa"/>
                        <w:shd w:val="clear" w:color="auto" w:fill="E1E0E1"/>
                      </w:tcPr>
                      <w:p w:rsidR="00F22F94" w:rsidRDefault="00F22F94">
                        <w:pPr>
                          <w:pStyle w:val="TableParagraph"/>
                          <w:ind w:left="125"/>
                          <w:rPr>
                            <w:sz w:val="16"/>
                          </w:rPr>
                        </w:pPr>
                        <w:r>
                          <w:rPr>
                            <w:w w:val="95"/>
                            <w:sz w:val="16"/>
                          </w:rPr>
                          <w:t>Private</w:t>
                        </w:r>
                        <w:r>
                          <w:rPr>
                            <w:spacing w:val="-4"/>
                            <w:w w:val="95"/>
                            <w:sz w:val="16"/>
                          </w:rPr>
                          <w:t xml:space="preserve"> </w:t>
                        </w:r>
                        <w:r>
                          <w:rPr>
                            <w:w w:val="95"/>
                            <w:sz w:val="16"/>
                          </w:rPr>
                          <w:t>Sector</w:t>
                        </w:r>
                        <w:r>
                          <w:rPr>
                            <w:spacing w:val="-4"/>
                            <w:w w:val="95"/>
                            <w:sz w:val="16"/>
                          </w:rPr>
                          <w:t xml:space="preserve"> </w:t>
                        </w:r>
                        <w:r>
                          <w:rPr>
                            <w:spacing w:val="-2"/>
                            <w:w w:val="95"/>
                            <w:sz w:val="16"/>
                          </w:rPr>
                          <w:t>Member</w:t>
                        </w:r>
                      </w:p>
                    </w:tc>
                  </w:tr>
                  <w:tr w:rsidR="00F22F94">
                    <w:trPr>
                      <w:trHeight w:val="349"/>
                    </w:trPr>
                    <w:tc>
                      <w:tcPr>
                        <w:tcW w:w="1928" w:type="dxa"/>
                        <w:tcBorders>
                          <w:left w:val="nil"/>
                        </w:tcBorders>
                        <w:shd w:val="clear" w:color="auto" w:fill="C9C8C9"/>
                      </w:tcPr>
                      <w:p w:rsidR="00F22F94" w:rsidRDefault="002060EF">
                        <w:pPr>
                          <w:pStyle w:val="TableParagraph"/>
                          <w:ind w:left="125"/>
                          <w:rPr>
                            <w:sz w:val="16"/>
                          </w:rPr>
                        </w:pPr>
                        <w:hyperlink r:id="rId41">
                          <w:r w:rsidR="00F22F94">
                            <w:rPr>
                              <w:sz w:val="16"/>
                            </w:rPr>
                            <w:t>David Gonski</w:t>
                          </w:r>
                          <w:r w:rsidR="00F22F94">
                            <w:rPr>
                              <w:spacing w:val="1"/>
                              <w:sz w:val="16"/>
                            </w:rPr>
                            <w:t xml:space="preserve"> </w:t>
                          </w:r>
                          <w:r w:rsidR="00F22F94">
                            <w:rPr>
                              <w:spacing w:val="-5"/>
                              <w:sz w:val="16"/>
                            </w:rPr>
                            <w:t>AC</w:t>
                          </w:r>
                        </w:hyperlink>
                      </w:p>
                    </w:tc>
                    <w:tc>
                      <w:tcPr>
                        <w:tcW w:w="2863" w:type="dxa"/>
                        <w:shd w:val="clear" w:color="auto" w:fill="E1E0E1"/>
                      </w:tcPr>
                      <w:p w:rsidR="00F22F94" w:rsidRDefault="00F22F94">
                        <w:pPr>
                          <w:pStyle w:val="TableParagraph"/>
                          <w:ind w:left="125"/>
                          <w:rPr>
                            <w:sz w:val="16"/>
                          </w:rPr>
                        </w:pPr>
                        <w:r>
                          <w:rPr>
                            <w:w w:val="95"/>
                            <w:sz w:val="16"/>
                          </w:rPr>
                          <w:t>Private</w:t>
                        </w:r>
                        <w:r>
                          <w:rPr>
                            <w:spacing w:val="-4"/>
                            <w:w w:val="95"/>
                            <w:sz w:val="16"/>
                          </w:rPr>
                          <w:t xml:space="preserve"> </w:t>
                        </w:r>
                        <w:r>
                          <w:rPr>
                            <w:w w:val="95"/>
                            <w:sz w:val="16"/>
                          </w:rPr>
                          <w:t>Sector</w:t>
                        </w:r>
                        <w:r>
                          <w:rPr>
                            <w:spacing w:val="-4"/>
                            <w:w w:val="95"/>
                            <w:sz w:val="16"/>
                          </w:rPr>
                          <w:t xml:space="preserve"> </w:t>
                        </w:r>
                        <w:r>
                          <w:rPr>
                            <w:spacing w:val="-2"/>
                            <w:w w:val="95"/>
                            <w:sz w:val="16"/>
                          </w:rPr>
                          <w:t>Member</w:t>
                        </w:r>
                      </w:p>
                    </w:tc>
                  </w:tr>
                  <w:tr w:rsidR="00F22F94">
                    <w:trPr>
                      <w:trHeight w:val="349"/>
                    </w:trPr>
                    <w:tc>
                      <w:tcPr>
                        <w:tcW w:w="1928" w:type="dxa"/>
                        <w:tcBorders>
                          <w:left w:val="nil"/>
                        </w:tcBorders>
                        <w:shd w:val="clear" w:color="auto" w:fill="C9C8C9"/>
                      </w:tcPr>
                      <w:p w:rsidR="00F22F94" w:rsidRDefault="002060EF">
                        <w:pPr>
                          <w:pStyle w:val="TableParagraph"/>
                          <w:ind w:left="123"/>
                          <w:rPr>
                            <w:sz w:val="16"/>
                          </w:rPr>
                        </w:pPr>
                        <w:hyperlink r:id="rId42">
                          <w:r w:rsidR="00F22F94">
                            <w:rPr>
                              <w:sz w:val="16"/>
                            </w:rPr>
                            <w:t>Carolyn</w:t>
                          </w:r>
                          <w:r w:rsidR="00F22F94">
                            <w:rPr>
                              <w:spacing w:val="-2"/>
                              <w:sz w:val="16"/>
                            </w:rPr>
                            <w:t xml:space="preserve"> </w:t>
                          </w:r>
                          <w:r w:rsidR="00F22F94">
                            <w:rPr>
                              <w:spacing w:val="-5"/>
                              <w:w w:val="105"/>
                              <w:sz w:val="16"/>
                            </w:rPr>
                            <w:t>Kay</w:t>
                          </w:r>
                        </w:hyperlink>
                      </w:p>
                    </w:tc>
                    <w:tc>
                      <w:tcPr>
                        <w:tcW w:w="2863" w:type="dxa"/>
                        <w:shd w:val="clear" w:color="auto" w:fill="E1E0E1"/>
                      </w:tcPr>
                      <w:p w:rsidR="00F22F94" w:rsidRDefault="00F22F94">
                        <w:pPr>
                          <w:pStyle w:val="TableParagraph"/>
                          <w:ind w:left="125"/>
                          <w:rPr>
                            <w:sz w:val="16"/>
                          </w:rPr>
                        </w:pPr>
                        <w:r>
                          <w:rPr>
                            <w:w w:val="95"/>
                            <w:sz w:val="16"/>
                          </w:rPr>
                          <w:t>Private</w:t>
                        </w:r>
                        <w:r>
                          <w:rPr>
                            <w:spacing w:val="-4"/>
                            <w:w w:val="95"/>
                            <w:sz w:val="16"/>
                          </w:rPr>
                          <w:t xml:space="preserve"> </w:t>
                        </w:r>
                        <w:r>
                          <w:rPr>
                            <w:w w:val="95"/>
                            <w:sz w:val="16"/>
                          </w:rPr>
                          <w:t>Sector</w:t>
                        </w:r>
                        <w:r>
                          <w:rPr>
                            <w:spacing w:val="-4"/>
                            <w:w w:val="95"/>
                            <w:sz w:val="16"/>
                          </w:rPr>
                          <w:t xml:space="preserve"> </w:t>
                        </w:r>
                        <w:r>
                          <w:rPr>
                            <w:spacing w:val="-2"/>
                            <w:w w:val="95"/>
                            <w:sz w:val="16"/>
                          </w:rPr>
                          <w:t>Member</w:t>
                        </w:r>
                      </w:p>
                    </w:tc>
                  </w:tr>
                  <w:tr w:rsidR="00F22F94">
                    <w:trPr>
                      <w:trHeight w:val="349"/>
                    </w:trPr>
                    <w:tc>
                      <w:tcPr>
                        <w:tcW w:w="1928" w:type="dxa"/>
                        <w:tcBorders>
                          <w:left w:val="nil"/>
                        </w:tcBorders>
                        <w:shd w:val="clear" w:color="auto" w:fill="C9C8C9"/>
                      </w:tcPr>
                      <w:p w:rsidR="00F22F94" w:rsidRDefault="002060EF">
                        <w:pPr>
                          <w:pStyle w:val="TableParagraph"/>
                          <w:ind w:left="125"/>
                          <w:rPr>
                            <w:sz w:val="16"/>
                          </w:rPr>
                        </w:pPr>
                        <w:hyperlink r:id="rId43">
                          <w:r w:rsidR="00F22F94">
                            <w:rPr>
                              <w:spacing w:val="-2"/>
                              <w:w w:val="105"/>
                              <w:sz w:val="16"/>
                            </w:rPr>
                            <w:t>Max</w:t>
                          </w:r>
                          <w:r w:rsidR="00F22F94">
                            <w:rPr>
                              <w:spacing w:val="-6"/>
                              <w:w w:val="105"/>
                              <w:sz w:val="16"/>
                            </w:rPr>
                            <w:t xml:space="preserve"> </w:t>
                          </w:r>
                          <w:r w:rsidR="00F22F94">
                            <w:rPr>
                              <w:spacing w:val="-2"/>
                              <w:w w:val="105"/>
                              <w:sz w:val="16"/>
                            </w:rPr>
                            <w:t>Moore-Wilton</w:t>
                          </w:r>
                          <w:r w:rsidR="00F22F94">
                            <w:rPr>
                              <w:spacing w:val="-5"/>
                              <w:w w:val="105"/>
                              <w:sz w:val="16"/>
                            </w:rPr>
                            <w:t xml:space="preserve"> AC</w:t>
                          </w:r>
                        </w:hyperlink>
                      </w:p>
                    </w:tc>
                    <w:tc>
                      <w:tcPr>
                        <w:tcW w:w="2863" w:type="dxa"/>
                        <w:shd w:val="clear" w:color="auto" w:fill="E1E0E1"/>
                      </w:tcPr>
                      <w:p w:rsidR="00F22F94" w:rsidRDefault="00F22F94">
                        <w:pPr>
                          <w:pStyle w:val="TableParagraph"/>
                          <w:ind w:left="125"/>
                          <w:rPr>
                            <w:sz w:val="16"/>
                          </w:rPr>
                        </w:pPr>
                        <w:r>
                          <w:rPr>
                            <w:w w:val="95"/>
                            <w:sz w:val="16"/>
                          </w:rPr>
                          <w:t>Private</w:t>
                        </w:r>
                        <w:r>
                          <w:rPr>
                            <w:spacing w:val="-4"/>
                            <w:w w:val="95"/>
                            <w:sz w:val="16"/>
                          </w:rPr>
                          <w:t xml:space="preserve"> </w:t>
                        </w:r>
                        <w:r>
                          <w:rPr>
                            <w:w w:val="95"/>
                            <w:sz w:val="16"/>
                          </w:rPr>
                          <w:t>Sector</w:t>
                        </w:r>
                        <w:r>
                          <w:rPr>
                            <w:spacing w:val="-4"/>
                            <w:w w:val="95"/>
                            <w:sz w:val="16"/>
                          </w:rPr>
                          <w:t xml:space="preserve"> </w:t>
                        </w:r>
                        <w:r>
                          <w:rPr>
                            <w:spacing w:val="-2"/>
                            <w:w w:val="95"/>
                            <w:sz w:val="16"/>
                          </w:rPr>
                          <w:t>Member</w:t>
                        </w:r>
                      </w:p>
                    </w:tc>
                  </w:tr>
                  <w:tr w:rsidR="00F22F94">
                    <w:trPr>
                      <w:trHeight w:val="349"/>
                    </w:trPr>
                    <w:tc>
                      <w:tcPr>
                        <w:tcW w:w="1928" w:type="dxa"/>
                        <w:tcBorders>
                          <w:left w:val="nil"/>
                        </w:tcBorders>
                        <w:shd w:val="clear" w:color="auto" w:fill="C9C8C9"/>
                      </w:tcPr>
                      <w:p w:rsidR="00F22F94" w:rsidRDefault="00F22F94">
                        <w:pPr>
                          <w:pStyle w:val="TableParagraph"/>
                          <w:ind w:left="125"/>
                          <w:rPr>
                            <w:sz w:val="16"/>
                          </w:rPr>
                        </w:pPr>
                        <w:r>
                          <w:rPr>
                            <w:sz w:val="16"/>
                          </w:rPr>
                          <w:t>Rod</w:t>
                        </w:r>
                        <w:r>
                          <w:rPr>
                            <w:spacing w:val="-3"/>
                            <w:sz w:val="16"/>
                          </w:rPr>
                          <w:t xml:space="preserve"> </w:t>
                        </w:r>
                        <w:r>
                          <w:rPr>
                            <w:sz w:val="16"/>
                          </w:rPr>
                          <w:t>Pearse</w:t>
                        </w:r>
                        <w:r>
                          <w:rPr>
                            <w:spacing w:val="-3"/>
                            <w:sz w:val="16"/>
                          </w:rPr>
                          <w:t xml:space="preserve"> </w:t>
                        </w:r>
                        <w:r>
                          <w:rPr>
                            <w:spacing w:val="-5"/>
                            <w:sz w:val="16"/>
                          </w:rPr>
                          <w:t>OAM</w:t>
                        </w:r>
                      </w:p>
                    </w:tc>
                    <w:tc>
                      <w:tcPr>
                        <w:tcW w:w="2863" w:type="dxa"/>
                        <w:shd w:val="clear" w:color="auto" w:fill="E1E0E1"/>
                      </w:tcPr>
                      <w:p w:rsidR="00F22F94" w:rsidRDefault="00F22F94">
                        <w:pPr>
                          <w:pStyle w:val="TableParagraph"/>
                          <w:ind w:left="125"/>
                          <w:rPr>
                            <w:sz w:val="16"/>
                          </w:rPr>
                        </w:pPr>
                        <w:r>
                          <w:rPr>
                            <w:w w:val="95"/>
                            <w:sz w:val="16"/>
                          </w:rPr>
                          <w:t>Private</w:t>
                        </w:r>
                        <w:r>
                          <w:rPr>
                            <w:spacing w:val="-4"/>
                            <w:w w:val="95"/>
                            <w:sz w:val="16"/>
                          </w:rPr>
                          <w:t xml:space="preserve"> </w:t>
                        </w:r>
                        <w:r>
                          <w:rPr>
                            <w:w w:val="95"/>
                            <w:sz w:val="16"/>
                          </w:rPr>
                          <w:t>Sector</w:t>
                        </w:r>
                        <w:r>
                          <w:rPr>
                            <w:spacing w:val="-4"/>
                            <w:w w:val="95"/>
                            <w:sz w:val="16"/>
                          </w:rPr>
                          <w:t xml:space="preserve"> </w:t>
                        </w:r>
                        <w:r>
                          <w:rPr>
                            <w:spacing w:val="-2"/>
                            <w:w w:val="95"/>
                            <w:sz w:val="16"/>
                          </w:rPr>
                          <w:t>Member</w:t>
                        </w:r>
                      </w:p>
                    </w:tc>
                  </w:tr>
                  <w:tr w:rsidR="00F22F94">
                    <w:trPr>
                      <w:trHeight w:val="529"/>
                    </w:trPr>
                    <w:tc>
                      <w:tcPr>
                        <w:tcW w:w="1928" w:type="dxa"/>
                        <w:tcBorders>
                          <w:left w:val="nil"/>
                        </w:tcBorders>
                        <w:shd w:val="clear" w:color="auto" w:fill="C9C8C9"/>
                      </w:tcPr>
                      <w:p w:rsidR="00F22F94" w:rsidRDefault="002060EF">
                        <w:pPr>
                          <w:pStyle w:val="TableParagraph"/>
                          <w:ind w:left="123"/>
                          <w:rPr>
                            <w:sz w:val="16"/>
                          </w:rPr>
                        </w:pPr>
                        <w:hyperlink r:id="rId44">
                          <w:r w:rsidR="00F22F94">
                            <w:rPr>
                              <w:sz w:val="16"/>
                            </w:rPr>
                            <w:t>Chris</w:t>
                          </w:r>
                          <w:r w:rsidR="00F22F94">
                            <w:rPr>
                              <w:spacing w:val="-1"/>
                              <w:sz w:val="16"/>
                            </w:rPr>
                            <w:t xml:space="preserve"> </w:t>
                          </w:r>
                          <w:r w:rsidR="00F22F94">
                            <w:rPr>
                              <w:spacing w:val="-2"/>
                              <w:w w:val="105"/>
                              <w:sz w:val="16"/>
                            </w:rPr>
                            <w:t>Eccles</w:t>
                          </w:r>
                        </w:hyperlink>
                      </w:p>
                    </w:tc>
                    <w:tc>
                      <w:tcPr>
                        <w:tcW w:w="2863" w:type="dxa"/>
                        <w:shd w:val="clear" w:color="auto" w:fill="E1E0E1"/>
                      </w:tcPr>
                      <w:p w:rsidR="00F22F94" w:rsidRDefault="00F22F94">
                        <w:pPr>
                          <w:pStyle w:val="TableParagraph"/>
                          <w:spacing w:before="70" w:line="235" w:lineRule="auto"/>
                          <w:ind w:left="125" w:right="15"/>
                          <w:rPr>
                            <w:sz w:val="16"/>
                          </w:rPr>
                        </w:pPr>
                        <w:r>
                          <w:rPr>
                            <w:w w:val="95"/>
                            <w:sz w:val="16"/>
                          </w:rPr>
                          <w:t xml:space="preserve">Director General, Department of </w:t>
                        </w:r>
                        <w:r>
                          <w:rPr>
                            <w:sz w:val="16"/>
                          </w:rPr>
                          <w:t>Premier and Cabinet</w:t>
                        </w:r>
                      </w:p>
                    </w:tc>
                  </w:tr>
                  <w:tr w:rsidR="00F22F94">
                    <w:trPr>
                      <w:trHeight w:val="529"/>
                    </w:trPr>
                    <w:tc>
                      <w:tcPr>
                        <w:tcW w:w="1928" w:type="dxa"/>
                        <w:tcBorders>
                          <w:left w:val="nil"/>
                        </w:tcBorders>
                        <w:shd w:val="clear" w:color="auto" w:fill="C9C8C9"/>
                      </w:tcPr>
                      <w:p w:rsidR="00F22F94" w:rsidRDefault="002060EF">
                        <w:pPr>
                          <w:pStyle w:val="TableParagraph"/>
                          <w:ind w:left="123"/>
                          <w:rPr>
                            <w:sz w:val="16"/>
                          </w:rPr>
                        </w:pPr>
                        <w:hyperlink r:id="rId45">
                          <w:r w:rsidR="00F22F94">
                            <w:rPr>
                              <w:sz w:val="16"/>
                            </w:rPr>
                            <w:t>Sam</w:t>
                          </w:r>
                          <w:r w:rsidR="00F22F94">
                            <w:rPr>
                              <w:spacing w:val="-8"/>
                              <w:sz w:val="16"/>
                            </w:rPr>
                            <w:t xml:space="preserve"> </w:t>
                          </w:r>
                          <w:r w:rsidR="00F22F94">
                            <w:rPr>
                              <w:spacing w:val="-2"/>
                              <w:sz w:val="16"/>
                            </w:rPr>
                            <w:t>Haddad</w:t>
                          </w:r>
                        </w:hyperlink>
                      </w:p>
                    </w:tc>
                    <w:tc>
                      <w:tcPr>
                        <w:tcW w:w="2863" w:type="dxa"/>
                        <w:shd w:val="clear" w:color="auto" w:fill="E1E0E1"/>
                      </w:tcPr>
                      <w:p w:rsidR="00F22F94" w:rsidRDefault="00F22F94">
                        <w:pPr>
                          <w:pStyle w:val="TableParagraph"/>
                          <w:spacing w:before="70" w:line="235" w:lineRule="auto"/>
                          <w:ind w:left="117" w:firstLine="7"/>
                          <w:rPr>
                            <w:sz w:val="16"/>
                          </w:rPr>
                        </w:pPr>
                        <w:r>
                          <w:rPr>
                            <w:w w:val="95"/>
                            <w:sz w:val="16"/>
                          </w:rPr>
                          <w:t>Director</w:t>
                        </w:r>
                        <w:r>
                          <w:rPr>
                            <w:spacing w:val="-4"/>
                            <w:w w:val="95"/>
                            <w:sz w:val="16"/>
                          </w:rPr>
                          <w:t xml:space="preserve"> </w:t>
                        </w:r>
                        <w:r>
                          <w:rPr>
                            <w:w w:val="95"/>
                            <w:sz w:val="16"/>
                          </w:rPr>
                          <w:t>General,</w:t>
                        </w:r>
                        <w:r>
                          <w:rPr>
                            <w:spacing w:val="-4"/>
                            <w:w w:val="95"/>
                            <w:sz w:val="16"/>
                          </w:rPr>
                          <w:t xml:space="preserve"> </w:t>
                        </w:r>
                        <w:r>
                          <w:rPr>
                            <w:w w:val="95"/>
                            <w:sz w:val="16"/>
                          </w:rPr>
                          <w:t>Director</w:t>
                        </w:r>
                        <w:r>
                          <w:rPr>
                            <w:spacing w:val="-4"/>
                            <w:w w:val="95"/>
                            <w:sz w:val="16"/>
                          </w:rPr>
                          <w:t xml:space="preserve"> </w:t>
                        </w:r>
                        <w:r>
                          <w:rPr>
                            <w:w w:val="95"/>
                            <w:sz w:val="16"/>
                          </w:rPr>
                          <w:t>of</w:t>
                        </w:r>
                        <w:r>
                          <w:rPr>
                            <w:spacing w:val="-4"/>
                            <w:w w:val="95"/>
                            <w:sz w:val="16"/>
                          </w:rPr>
                          <w:t xml:space="preserve"> </w:t>
                        </w:r>
                        <w:r>
                          <w:rPr>
                            <w:w w:val="95"/>
                            <w:sz w:val="16"/>
                          </w:rPr>
                          <w:t xml:space="preserve">Planning </w:t>
                        </w:r>
                        <w:r>
                          <w:rPr>
                            <w:sz w:val="16"/>
                          </w:rPr>
                          <w:t>and</w:t>
                        </w:r>
                        <w:r>
                          <w:rPr>
                            <w:spacing w:val="-4"/>
                            <w:sz w:val="16"/>
                          </w:rPr>
                          <w:t xml:space="preserve"> </w:t>
                        </w:r>
                        <w:r>
                          <w:rPr>
                            <w:sz w:val="16"/>
                          </w:rPr>
                          <w:t>Infrastructure</w:t>
                        </w:r>
                      </w:p>
                    </w:tc>
                  </w:tr>
                  <w:tr w:rsidR="00F22F94">
                    <w:trPr>
                      <w:trHeight w:val="349"/>
                    </w:trPr>
                    <w:tc>
                      <w:tcPr>
                        <w:tcW w:w="1928" w:type="dxa"/>
                        <w:tcBorders>
                          <w:left w:val="nil"/>
                        </w:tcBorders>
                        <w:shd w:val="clear" w:color="auto" w:fill="C9C8C9"/>
                      </w:tcPr>
                      <w:p w:rsidR="00F22F94" w:rsidRDefault="002060EF">
                        <w:pPr>
                          <w:pStyle w:val="TableParagraph"/>
                          <w:ind w:left="125"/>
                          <w:rPr>
                            <w:sz w:val="16"/>
                          </w:rPr>
                        </w:pPr>
                        <w:hyperlink r:id="rId46">
                          <w:r w:rsidR="00F22F94">
                            <w:rPr>
                              <w:spacing w:val="-2"/>
                              <w:w w:val="105"/>
                              <w:sz w:val="16"/>
                            </w:rPr>
                            <w:t>Philip</w:t>
                          </w:r>
                          <w:r w:rsidR="00F22F94">
                            <w:rPr>
                              <w:spacing w:val="-5"/>
                              <w:w w:val="105"/>
                              <w:sz w:val="16"/>
                            </w:rPr>
                            <w:t xml:space="preserve"> </w:t>
                          </w:r>
                          <w:r w:rsidR="00F22F94">
                            <w:rPr>
                              <w:spacing w:val="-2"/>
                              <w:w w:val="105"/>
                              <w:sz w:val="16"/>
                            </w:rPr>
                            <w:t>Gaetjens</w:t>
                          </w:r>
                        </w:hyperlink>
                      </w:p>
                    </w:tc>
                    <w:tc>
                      <w:tcPr>
                        <w:tcW w:w="2863" w:type="dxa"/>
                        <w:shd w:val="clear" w:color="auto" w:fill="E1E0E1"/>
                      </w:tcPr>
                      <w:p w:rsidR="00F22F94" w:rsidRDefault="00F22F94">
                        <w:pPr>
                          <w:pStyle w:val="TableParagraph"/>
                          <w:ind w:left="124"/>
                          <w:rPr>
                            <w:sz w:val="16"/>
                          </w:rPr>
                        </w:pPr>
                        <w:r>
                          <w:rPr>
                            <w:w w:val="95"/>
                            <w:sz w:val="16"/>
                          </w:rPr>
                          <w:t>Secretary,</w:t>
                        </w:r>
                        <w:r>
                          <w:rPr>
                            <w:spacing w:val="-3"/>
                            <w:w w:val="95"/>
                            <w:sz w:val="16"/>
                          </w:rPr>
                          <w:t xml:space="preserve"> </w:t>
                        </w:r>
                        <w:r>
                          <w:rPr>
                            <w:w w:val="95"/>
                            <w:sz w:val="16"/>
                          </w:rPr>
                          <w:t>NSW</w:t>
                        </w:r>
                        <w:r>
                          <w:rPr>
                            <w:spacing w:val="-3"/>
                            <w:w w:val="95"/>
                            <w:sz w:val="16"/>
                          </w:rPr>
                          <w:t xml:space="preserve"> </w:t>
                        </w:r>
                        <w:r>
                          <w:rPr>
                            <w:spacing w:val="-2"/>
                            <w:w w:val="95"/>
                            <w:sz w:val="16"/>
                          </w:rPr>
                          <w:t>Treasury</w:t>
                        </w:r>
                      </w:p>
                    </w:tc>
                  </w:tr>
                  <w:tr w:rsidR="00F22F94">
                    <w:trPr>
                      <w:trHeight w:val="709"/>
                    </w:trPr>
                    <w:tc>
                      <w:tcPr>
                        <w:tcW w:w="1928" w:type="dxa"/>
                        <w:tcBorders>
                          <w:left w:val="nil"/>
                        </w:tcBorders>
                        <w:shd w:val="clear" w:color="auto" w:fill="C9C8C9"/>
                      </w:tcPr>
                      <w:p w:rsidR="00F22F94" w:rsidRDefault="002060EF">
                        <w:pPr>
                          <w:pStyle w:val="TableParagraph"/>
                          <w:spacing w:before="66"/>
                          <w:ind w:left="125"/>
                          <w:rPr>
                            <w:sz w:val="16"/>
                          </w:rPr>
                        </w:pPr>
                        <w:hyperlink r:id="rId47">
                          <w:r w:rsidR="00F22F94">
                            <w:rPr>
                              <w:sz w:val="16"/>
                            </w:rPr>
                            <w:t>Mark</w:t>
                          </w:r>
                          <w:r w:rsidR="00F22F94">
                            <w:rPr>
                              <w:spacing w:val="4"/>
                              <w:sz w:val="16"/>
                            </w:rPr>
                            <w:t xml:space="preserve"> </w:t>
                          </w:r>
                          <w:r w:rsidR="00F22F94">
                            <w:rPr>
                              <w:sz w:val="16"/>
                            </w:rPr>
                            <w:t>Paterson</w:t>
                          </w:r>
                          <w:r w:rsidR="00F22F94">
                            <w:rPr>
                              <w:spacing w:val="4"/>
                              <w:sz w:val="16"/>
                            </w:rPr>
                            <w:t xml:space="preserve"> </w:t>
                          </w:r>
                          <w:r w:rsidR="00F22F94">
                            <w:rPr>
                              <w:spacing w:val="-5"/>
                              <w:sz w:val="16"/>
                            </w:rPr>
                            <w:t>AO</w:t>
                          </w:r>
                        </w:hyperlink>
                      </w:p>
                    </w:tc>
                    <w:tc>
                      <w:tcPr>
                        <w:tcW w:w="2863" w:type="dxa"/>
                        <w:shd w:val="clear" w:color="auto" w:fill="E1E0E1"/>
                      </w:tcPr>
                      <w:p w:rsidR="00F22F94" w:rsidRDefault="00F22F94">
                        <w:pPr>
                          <w:pStyle w:val="TableParagraph"/>
                          <w:spacing w:before="69" w:line="235" w:lineRule="auto"/>
                          <w:ind w:left="117" w:right="646" w:firstLine="7"/>
                          <w:jc w:val="both"/>
                          <w:rPr>
                            <w:sz w:val="16"/>
                          </w:rPr>
                        </w:pPr>
                        <w:r>
                          <w:rPr>
                            <w:w w:val="95"/>
                            <w:sz w:val="16"/>
                          </w:rPr>
                          <w:t>Director General, Department of</w:t>
                        </w:r>
                        <w:r>
                          <w:rPr>
                            <w:spacing w:val="-9"/>
                            <w:w w:val="95"/>
                            <w:sz w:val="16"/>
                          </w:rPr>
                          <w:t xml:space="preserve"> </w:t>
                        </w:r>
                        <w:r>
                          <w:rPr>
                            <w:w w:val="95"/>
                            <w:sz w:val="16"/>
                          </w:rPr>
                          <w:t>Trade,</w:t>
                        </w:r>
                        <w:r>
                          <w:rPr>
                            <w:spacing w:val="-9"/>
                            <w:w w:val="95"/>
                            <w:sz w:val="16"/>
                          </w:rPr>
                          <w:t xml:space="preserve"> </w:t>
                        </w:r>
                        <w:r>
                          <w:rPr>
                            <w:w w:val="95"/>
                            <w:sz w:val="16"/>
                          </w:rPr>
                          <w:t>Investment,</w:t>
                        </w:r>
                        <w:r>
                          <w:rPr>
                            <w:spacing w:val="-9"/>
                            <w:w w:val="95"/>
                            <w:sz w:val="16"/>
                          </w:rPr>
                          <w:t xml:space="preserve"> </w:t>
                        </w:r>
                        <w:r>
                          <w:rPr>
                            <w:w w:val="95"/>
                            <w:sz w:val="16"/>
                          </w:rPr>
                          <w:t xml:space="preserve">Regional </w:t>
                        </w:r>
                        <w:r>
                          <w:rPr>
                            <w:sz w:val="16"/>
                          </w:rPr>
                          <w:t>Infrastructure and Services</w:t>
                        </w:r>
                      </w:p>
                    </w:tc>
                  </w:tr>
                </w:tbl>
                <w:p w:rsidR="00F22F94" w:rsidRDefault="00F22F94">
                  <w:pPr>
                    <w:pStyle w:val="BodyText"/>
                  </w:pPr>
                </w:p>
              </w:txbxContent>
            </v:textbox>
            <w10:wrap anchorx="page"/>
          </v:shape>
        </w:pict>
      </w:r>
      <w:r w:rsidR="00F22F94">
        <w:rPr>
          <w:w w:val="95"/>
        </w:rPr>
        <w:t>The Strategy is the considered advice of Infrastructure NSW</w:t>
      </w:r>
      <w:r w:rsidR="00F22F94">
        <w:rPr>
          <w:spacing w:val="-8"/>
          <w:w w:val="95"/>
        </w:rPr>
        <w:t xml:space="preserve"> </w:t>
      </w:r>
      <w:r w:rsidR="00F22F94">
        <w:rPr>
          <w:w w:val="95"/>
        </w:rPr>
        <w:t>to</w:t>
      </w:r>
      <w:r w:rsidR="00F22F94">
        <w:rPr>
          <w:spacing w:val="-8"/>
          <w:w w:val="95"/>
        </w:rPr>
        <w:t xml:space="preserve"> </w:t>
      </w:r>
      <w:r w:rsidR="00F22F94">
        <w:rPr>
          <w:w w:val="95"/>
        </w:rPr>
        <w:t>the</w:t>
      </w:r>
      <w:r w:rsidR="00F22F94">
        <w:rPr>
          <w:spacing w:val="-8"/>
          <w:w w:val="95"/>
        </w:rPr>
        <w:t xml:space="preserve"> </w:t>
      </w:r>
      <w:r w:rsidR="00F22F94">
        <w:rPr>
          <w:w w:val="95"/>
        </w:rPr>
        <w:t>Premier</w:t>
      </w:r>
      <w:r w:rsidR="00F22F94">
        <w:rPr>
          <w:spacing w:val="-8"/>
          <w:w w:val="95"/>
        </w:rPr>
        <w:t xml:space="preserve"> </w:t>
      </w:r>
      <w:r w:rsidR="00F22F94">
        <w:rPr>
          <w:w w:val="95"/>
        </w:rPr>
        <w:t>of</w:t>
      </w:r>
      <w:r w:rsidR="00F22F94">
        <w:rPr>
          <w:spacing w:val="-8"/>
          <w:w w:val="95"/>
        </w:rPr>
        <w:t xml:space="preserve"> </w:t>
      </w:r>
      <w:r w:rsidR="00F22F94">
        <w:rPr>
          <w:w w:val="95"/>
        </w:rPr>
        <w:t>NSW,</w:t>
      </w:r>
      <w:r w:rsidR="00F22F94">
        <w:rPr>
          <w:spacing w:val="-8"/>
          <w:w w:val="95"/>
        </w:rPr>
        <w:t xml:space="preserve"> </w:t>
      </w:r>
      <w:r w:rsidR="00F22F94">
        <w:rPr>
          <w:w w:val="95"/>
        </w:rPr>
        <w:t>who</w:t>
      </w:r>
      <w:r w:rsidR="00F22F94">
        <w:rPr>
          <w:spacing w:val="-8"/>
          <w:w w:val="95"/>
        </w:rPr>
        <w:t xml:space="preserve"> </w:t>
      </w:r>
      <w:r w:rsidR="00F22F94">
        <w:rPr>
          <w:w w:val="95"/>
        </w:rPr>
        <w:t>told</w:t>
      </w:r>
      <w:r w:rsidR="00F22F94">
        <w:rPr>
          <w:spacing w:val="-8"/>
          <w:w w:val="95"/>
        </w:rPr>
        <w:t xml:space="preserve"> </w:t>
      </w:r>
      <w:r w:rsidR="00F22F94">
        <w:rPr>
          <w:w w:val="95"/>
        </w:rPr>
        <w:t>Parliament</w:t>
      </w:r>
      <w:r w:rsidR="00F22F94">
        <w:rPr>
          <w:spacing w:val="-8"/>
          <w:w w:val="95"/>
        </w:rPr>
        <w:t xml:space="preserve"> </w:t>
      </w:r>
      <w:r w:rsidR="00F22F94">
        <w:rPr>
          <w:w w:val="95"/>
        </w:rPr>
        <w:t xml:space="preserve">when </w:t>
      </w:r>
      <w:r w:rsidR="00F22F94">
        <w:t>introducing the legislation:</w:t>
      </w:r>
    </w:p>
    <w:p w:rsidR="002C1123" w:rsidRDefault="00F22F94">
      <w:pPr>
        <w:spacing w:before="143" w:line="254" w:lineRule="auto"/>
        <w:ind w:left="548" w:hanging="17"/>
        <w:rPr>
          <w:sz w:val="18"/>
        </w:rPr>
      </w:pPr>
      <w:r>
        <w:rPr>
          <w:sz w:val="18"/>
        </w:rPr>
        <w:t>The</w:t>
      </w:r>
      <w:r>
        <w:rPr>
          <w:spacing w:val="-8"/>
          <w:sz w:val="18"/>
        </w:rPr>
        <w:t xml:space="preserve"> </w:t>
      </w:r>
      <w:r>
        <w:rPr>
          <w:sz w:val="18"/>
        </w:rPr>
        <w:t>Government,</w:t>
      </w:r>
      <w:r>
        <w:rPr>
          <w:spacing w:val="-8"/>
          <w:sz w:val="18"/>
        </w:rPr>
        <w:t xml:space="preserve"> </w:t>
      </w:r>
      <w:r>
        <w:rPr>
          <w:sz w:val="18"/>
        </w:rPr>
        <w:t>through</w:t>
      </w:r>
      <w:r>
        <w:rPr>
          <w:spacing w:val="-8"/>
          <w:sz w:val="18"/>
        </w:rPr>
        <w:t xml:space="preserve"> </w:t>
      </w:r>
      <w:r>
        <w:rPr>
          <w:sz w:val="18"/>
        </w:rPr>
        <w:t>Infrastructure</w:t>
      </w:r>
      <w:r>
        <w:rPr>
          <w:spacing w:val="-8"/>
          <w:sz w:val="18"/>
        </w:rPr>
        <w:t xml:space="preserve"> </w:t>
      </w:r>
      <w:r>
        <w:rPr>
          <w:sz w:val="18"/>
        </w:rPr>
        <w:t>NSW,</w:t>
      </w:r>
      <w:r>
        <w:rPr>
          <w:spacing w:val="-8"/>
          <w:sz w:val="18"/>
        </w:rPr>
        <w:t xml:space="preserve"> </w:t>
      </w:r>
      <w:r>
        <w:rPr>
          <w:sz w:val="18"/>
        </w:rPr>
        <w:t>is determined</w:t>
      </w:r>
      <w:r>
        <w:rPr>
          <w:spacing w:val="-6"/>
          <w:sz w:val="18"/>
        </w:rPr>
        <w:t xml:space="preserve"> </w:t>
      </w:r>
      <w:r>
        <w:rPr>
          <w:sz w:val="18"/>
        </w:rPr>
        <w:t>to</w:t>
      </w:r>
      <w:r>
        <w:rPr>
          <w:spacing w:val="-6"/>
          <w:sz w:val="18"/>
        </w:rPr>
        <w:t xml:space="preserve"> </w:t>
      </w:r>
      <w:r>
        <w:rPr>
          <w:sz w:val="18"/>
        </w:rPr>
        <w:t>set</w:t>
      </w:r>
      <w:r>
        <w:rPr>
          <w:spacing w:val="-6"/>
          <w:sz w:val="18"/>
        </w:rPr>
        <w:t xml:space="preserve"> </w:t>
      </w:r>
      <w:r>
        <w:rPr>
          <w:sz w:val="18"/>
        </w:rPr>
        <w:t>New</w:t>
      </w:r>
      <w:r>
        <w:rPr>
          <w:spacing w:val="-6"/>
          <w:sz w:val="18"/>
        </w:rPr>
        <w:t xml:space="preserve"> </w:t>
      </w:r>
      <w:r>
        <w:rPr>
          <w:sz w:val="18"/>
        </w:rPr>
        <w:t>South</w:t>
      </w:r>
      <w:r>
        <w:rPr>
          <w:spacing w:val="-6"/>
          <w:sz w:val="18"/>
        </w:rPr>
        <w:t xml:space="preserve"> </w:t>
      </w:r>
      <w:r>
        <w:rPr>
          <w:sz w:val="18"/>
        </w:rPr>
        <w:t>Wales</w:t>
      </w:r>
      <w:r>
        <w:rPr>
          <w:spacing w:val="-6"/>
          <w:sz w:val="18"/>
        </w:rPr>
        <w:t xml:space="preserve"> </w:t>
      </w:r>
      <w:r>
        <w:rPr>
          <w:sz w:val="18"/>
        </w:rPr>
        <w:t>back</w:t>
      </w:r>
      <w:r>
        <w:rPr>
          <w:spacing w:val="-6"/>
          <w:sz w:val="18"/>
        </w:rPr>
        <w:t xml:space="preserve"> </w:t>
      </w:r>
      <w:r>
        <w:rPr>
          <w:sz w:val="18"/>
        </w:rPr>
        <w:t>on</w:t>
      </w:r>
      <w:r>
        <w:rPr>
          <w:spacing w:val="-6"/>
          <w:sz w:val="18"/>
        </w:rPr>
        <w:t xml:space="preserve"> </w:t>
      </w:r>
      <w:r>
        <w:rPr>
          <w:sz w:val="18"/>
        </w:rPr>
        <w:t>the</w:t>
      </w:r>
      <w:r>
        <w:rPr>
          <w:spacing w:val="-6"/>
          <w:sz w:val="18"/>
        </w:rPr>
        <w:t xml:space="preserve"> </w:t>
      </w:r>
      <w:r>
        <w:rPr>
          <w:sz w:val="18"/>
        </w:rPr>
        <w:t>path</w:t>
      </w:r>
      <w:r>
        <w:rPr>
          <w:spacing w:val="-6"/>
          <w:sz w:val="18"/>
        </w:rPr>
        <w:t xml:space="preserve"> </w:t>
      </w:r>
      <w:r>
        <w:rPr>
          <w:sz w:val="18"/>
        </w:rPr>
        <w:t xml:space="preserve">of </w:t>
      </w:r>
      <w:r>
        <w:rPr>
          <w:w w:val="95"/>
          <w:sz w:val="18"/>
        </w:rPr>
        <w:t xml:space="preserve">investment in world’s best practice infrastructure planning and delivery to improve the lives of our citizens across this </w:t>
      </w:r>
      <w:r>
        <w:rPr>
          <w:sz w:val="18"/>
        </w:rPr>
        <w:t>State.</w:t>
      </w:r>
      <w:r>
        <w:rPr>
          <w:spacing w:val="-9"/>
          <w:sz w:val="18"/>
        </w:rPr>
        <w:t xml:space="preserve"> </w:t>
      </w:r>
      <w:r>
        <w:rPr>
          <w:sz w:val="18"/>
        </w:rPr>
        <w:t>The</w:t>
      </w:r>
      <w:r>
        <w:rPr>
          <w:spacing w:val="-9"/>
          <w:sz w:val="18"/>
        </w:rPr>
        <w:t xml:space="preserve"> </w:t>
      </w:r>
      <w:r>
        <w:rPr>
          <w:sz w:val="18"/>
        </w:rPr>
        <w:t>people</w:t>
      </w:r>
      <w:r>
        <w:rPr>
          <w:spacing w:val="-9"/>
          <w:sz w:val="18"/>
        </w:rPr>
        <w:t xml:space="preserve"> </w:t>
      </w:r>
      <w:r>
        <w:rPr>
          <w:sz w:val="18"/>
        </w:rPr>
        <w:t>of</w:t>
      </w:r>
      <w:r>
        <w:rPr>
          <w:spacing w:val="-9"/>
          <w:sz w:val="18"/>
        </w:rPr>
        <w:t xml:space="preserve"> </w:t>
      </w:r>
      <w:r>
        <w:rPr>
          <w:sz w:val="18"/>
        </w:rPr>
        <w:t>New</w:t>
      </w:r>
      <w:r>
        <w:rPr>
          <w:spacing w:val="-9"/>
          <w:sz w:val="18"/>
        </w:rPr>
        <w:t xml:space="preserve"> </w:t>
      </w:r>
      <w:r>
        <w:rPr>
          <w:sz w:val="18"/>
        </w:rPr>
        <w:t>South</w:t>
      </w:r>
      <w:r>
        <w:rPr>
          <w:spacing w:val="-9"/>
          <w:sz w:val="18"/>
        </w:rPr>
        <w:t xml:space="preserve"> </w:t>
      </w:r>
      <w:r>
        <w:rPr>
          <w:sz w:val="18"/>
        </w:rPr>
        <w:t>Wales</w:t>
      </w:r>
      <w:r>
        <w:rPr>
          <w:spacing w:val="-9"/>
          <w:sz w:val="18"/>
        </w:rPr>
        <w:t xml:space="preserve"> </w:t>
      </w:r>
      <w:r>
        <w:rPr>
          <w:sz w:val="18"/>
        </w:rPr>
        <w:t>want</w:t>
      </w:r>
      <w:r>
        <w:rPr>
          <w:spacing w:val="-9"/>
          <w:sz w:val="18"/>
        </w:rPr>
        <w:t xml:space="preserve"> </w:t>
      </w:r>
      <w:r>
        <w:rPr>
          <w:sz w:val="18"/>
        </w:rPr>
        <w:t>our</w:t>
      </w:r>
      <w:r>
        <w:rPr>
          <w:spacing w:val="-9"/>
          <w:sz w:val="18"/>
        </w:rPr>
        <w:t xml:space="preserve"> </w:t>
      </w:r>
      <w:r>
        <w:rPr>
          <w:sz w:val="18"/>
        </w:rPr>
        <w:t>State</w:t>
      </w:r>
      <w:r>
        <w:rPr>
          <w:spacing w:val="-9"/>
          <w:sz w:val="18"/>
        </w:rPr>
        <w:t xml:space="preserve"> </w:t>
      </w:r>
      <w:r>
        <w:rPr>
          <w:sz w:val="18"/>
        </w:rPr>
        <w:t xml:space="preserve">to </w:t>
      </w:r>
      <w:r>
        <w:rPr>
          <w:w w:val="95"/>
          <w:sz w:val="18"/>
        </w:rPr>
        <w:t>be number one again. We want to restore that great sense of</w:t>
      </w:r>
      <w:r>
        <w:rPr>
          <w:spacing w:val="-2"/>
          <w:w w:val="95"/>
          <w:sz w:val="18"/>
        </w:rPr>
        <w:t xml:space="preserve"> </w:t>
      </w:r>
      <w:r>
        <w:rPr>
          <w:w w:val="95"/>
          <w:sz w:val="18"/>
        </w:rPr>
        <w:t>pride</w:t>
      </w:r>
      <w:r>
        <w:rPr>
          <w:spacing w:val="-2"/>
          <w:w w:val="95"/>
          <w:sz w:val="18"/>
        </w:rPr>
        <w:t xml:space="preserve"> </w:t>
      </w:r>
      <w:r>
        <w:rPr>
          <w:w w:val="95"/>
          <w:sz w:val="18"/>
        </w:rPr>
        <w:t>in</w:t>
      </w:r>
      <w:r>
        <w:rPr>
          <w:spacing w:val="-2"/>
          <w:w w:val="95"/>
          <w:sz w:val="18"/>
        </w:rPr>
        <w:t xml:space="preserve"> </w:t>
      </w:r>
      <w:r>
        <w:rPr>
          <w:w w:val="95"/>
          <w:sz w:val="18"/>
        </w:rPr>
        <w:t>our</w:t>
      </w:r>
      <w:r>
        <w:rPr>
          <w:spacing w:val="-2"/>
          <w:w w:val="95"/>
          <w:sz w:val="18"/>
        </w:rPr>
        <w:t xml:space="preserve"> </w:t>
      </w:r>
      <w:r>
        <w:rPr>
          <w:w w:val="95"/>
          <w:sz w:val="18"/>
        </w:rPr>
        <w:t>cities</w:t>
      </w:r>
      <w:r>
        <w:rPr>
          <w:spacing w:val="-2"/>
          <w:w w:val="95"/>
          <w:sz w:val="18"/>
        </w:rPr>
        <w:t xml:space="preserve"> </w:t>
      </w:r>
      <w:r>
        <w:rPr>
          <w:w w:val="95"/>
          <w:sz w:val="18"/>
        </w:rPr>
        <w:t>and</w:t>
      </w:r>
      <w:r>
        <w:rPr>
          <w:spacing w:val="-2"/>
          <w:w w:val="95"/>
          <w:sz w:val="18"/>
        </w:rPr>
        <w:t xml:space="preserve"> </w:t>
      </w:r>
      <w:r>
        <w:rPr>
          <w:w w:val="95"/>
          <w:sz w:val="18"/>
        </w:rPr>
        <w:t>in</w:t>
      </w:r>
      <w:r>
        <w:rPr>
          <w:spacing w:val="-2"/>
          <w:w w:val="95"/>
          <w:sz w:val="18"/>
        </w:rPr>
        <w:t xml:space="preserve"> </w:t>
      </w:r>
      <w:r>
        <w:rPr>
          <w:w w:val="95"/>
          <w:sz w:val="18"/>
        </w:rPr>
        <w:t>our</w:t>
      </w:r>
      <w:r>
        <w:rPr>
          <w:spacing w:val="-2"/>
          <w:w w:val="95"/>
          <w:sz w:val="18"/>
        </w:rPr>
        <w:t xml:space="preserve"> </w:t>
      </w:r>
      <w:r>
        <w:rPr>
          <w:w w:val="95"/>
          <w:sz w:val="18"/>
        </w:rPr>
        <w:t>regions,</w:t>
      </w:r>
      <w:r>
        <w:rPr>
          <w:spacing w:val="-2"/>
          <w:w w:val="95"/>
          <w:sz w:val="18"/>
        </w:rPr>
        <w:t xml:space="preserve"> </w:t>
      </w:r>
      <w:r>
        <w:rPr>
          <w:w w:val="95"/>
          <w:sz w:val="18"/>
        </w:rPr>
        <w:t>and</w:t>
      </w:r>
      <w:r>
        <w:rPr>
          <w:spacing w:val="-2"/>
          <w:w w:val="95"/>
          <w:sz w:val="18"/>
        </w:rPr>
        <w:t xml:space="preserve"> </w:t>
      </w:r>
      <w:r>
        <w:rPr>
          <w:w w:val="95"/>
          <w:sz w:val="18"/>
        </w:rPr>
        <w:t>to</w:t>
      </w:r>
      <w:r>
        <w:rPr>
          <w:spacing w:val="-2"/>
          <w:w w:val="95"/>
          <w:sz w:val="18"/>
        </w:rPr>
        <w:t xml:space="preserve"> </w:t>
      </w:r>
      <w:r>
        <w:rPr>
          <w:w w:val="95"/>
          <w:sz w:val="18"/>
        </w:rPr>
        <w:t>be</w:t>
      </w:r>
      <w:r>
        <w:rPr>
          <w:spacing w:val="-2"/>
          <w:w w:val="95"/>
          <w:sz w:val="18"/>
        </w:rPr>
        <w:t xml:space="preserve"> </w:t>
      </w:r>
      <w:r>
        <w:rPr>
          <w:w w:val="95"/>
          <w:sz w:val="18"/>
        </w:rPr>
        <w:t xml:space="preserve">confident </w:t>
      </w:r>
      <w:r>
        <w:rPr>
          <w:sz w:val="18"/>
        </w:rPr>
        <w:t>in</w:t>
      </w:r>
      <w:r>
        <w:rPr>
          <w:spacing w:val="-9"/>
          <w:sz w:val="18"/>
        </w:rPr>
        <w:t xml:space="preserve"> </w:t>
      </w:r>
      <w:r>
        <w:rPr>
          <w:sz w:val="18"/>
        </w:rPr>
        <w:t>the</w:t>
      </w:r>
      <w:r>
        <w:rPr>
          <w:spacing w:val="-9"/>
          <w:sz w:val="18"/>
        </w:rPr>
        <w:t xml:space="preserve"> </w:t>
      </w:r>
      <w:r>
        <w:rPr>
          <w:sz w:val="18"/>
        </w:rPr>
        <w:t>opportunities</w:t>
      </w:r>
      <w:r>
        <w:rPr>
          <w:spacing w:val="-9"/>
          <w:sz w:val="18"/>
        </w:rPr>
        <w:t xml:space="preserve"> </w:t>
      </w:r>
      <w:r>
        <w:rPr>
          <w:sz w:val="18"/>
        </w:rPr>
        <w:t>for</w:t>
      </w:r>
      <w:r>
        <w:rPr>
          <w:spacing w:val="-9"/>
          <w:sz w:val="18"/>
        </w:rPr>
        <w:t xml:space="preserve"> </w:t>
      </w:r>
      <w:r>
        <w:rPr>
          <w:sz w:val="18"/>
        </w:rPr>
        <w:t>the</w:t>
      </w:r>
      <w:r>
        <w:rPr>
          <w:spacing w:val="-9"/>
          <w:sz w:val="18"/>
        </w:rPr>
        <w:t xml:space="preserve"> </w:t>
      </w:r>
      <w:r>
        <w:rPr>
          <w:sz w:val="18"/>
        </w:rPr>
        <w:t>future</w:t>
      </w:r>
      <w:r>
        <w:rPr>
          <w:spacing w:val="-9"/>
          <w:sz w:val="18"/>
        </w:rPr>
        <w:t xml:space="preserve"> </w:t>
      </w:r>
      <w:r>
        <w:rPr>
          <w:sz w:val="18"/>
        </w:rPr>
        <w:t>available</w:t>
      </w:r>
      <w:r>
        <w:rPr>
          <w:spacing w:val="-9"/>
          <w:sz w:val="18"/>
        </w:rPr>
        <w:t xml:space="preserve"> </w:t>
      </w:r>
      <w:r>
        <w:rPr>
          <w:sz w:val="18"/>
        </w:rPr>
        <w:t>to</w:t>
      </w:r>
      <w:r>
        <w:rPr>
          <w:spacing w:val="-9"/>
          <w:sz w:val="18"/>
        </w:rPr>
        <w:t xml:space="preserve"> </w:t>
      </w:r>
      <w:r>
        <w:rPr>
          <w:sz w:val="18"/>
        </w:rPr>
        <w:t>all</w:t>
      </w:r>
      <w:r>
        <w:rPr>
          <w:spacing w:val="-9"/>
          <w:sz w:val="18"/>
        </w:rPr>
        <w:t xml:space="preserve"> </w:t>
      </w:r>
      <w:r>
        <w:rPr>
          <w:sz w:val="18"/>
        </w:rPr>
        <w:t xml:space="preserve">our </w:t>
      </w:r>
      <w:r>
        <w:rPr>
          <w:w w:val="95"/>
          <w:sz w:val="18"/>
        </w:rPr>
        <w:t>citizens.</w:t>
      </w:r>
      <w:r>
        <w:rPr>
          <w:spacing w:val="-3"/>
          <w:w w:val="95"/>
          <w:sz w:val="18"/>
        </w:rPr>
        <w:t xml:space="preserve"> </w:t>
      </w:r>
      <w:r>
        <w:rPr>
          <w:w w:val="95"/>
          <w:sz w:val="18"/>
        </w:rPr>
        <w:t>Providing</w:t>
      </w:r>
      <w:r>
        <w:rPr>
          <w:spacing w:val="-3"/>
          <w:w w:val="95"/>
          <w:sz w:val="18"/>
        </w:rPr>
        <w:t xml:space="preserve"> </w:t>
      </w:r>
      <w:r>
        <w:rPr>
          <w:w w:val="95"/>
          <w:sz w:val="18"/>
        </w:rPr>
        <w:t>the</w:t>
      </w:r>
      <w:r>
        <w:rPr>
          <w:spacing w:val="-3"/>
          <w:w w:val="95"/>
          <w:sz w:val="18"/>
        </w:rPr>
        <w:t xml:space="preserve"> </w:t>
      </w:r>
      <w:r>
        <w:rPr>
          <w:w w:val="95"/>
          <w:sz w:val="18"/>
        </w:rPr>
        <w:t>infrastructure</w:t>
      </w:r>
      <w:r>
        <w:rPr>
          <w:spacing w:val="-3"/>
          <w:w w:val="95"/>
          <w:sz w:val="18"/>
        </w:rPr>
        <w:t xml:space="preserve"> </w:t>
      </w:r>
      <w:r>
        <w:rPr>
          <w:w w:val="95"/>
          <w:sz w:val="18"/>
        </w:rPr>
        <w:t>that</w:t>
      </w:r>
      <w:r>
        <w:rPr>
          <w:spacing w:val="-3"/>
          <w:w w:val="95"/>
          <w:sz w:val="18"/>
        </w:rPr>
        <w:t xml:space="preserve"> </w:t>
      </w:r>
      <w:r>
        <w:rPr>
          <w:w w:val="95"/>
          <w:sz w:val="18"/>
        </w:rPr>
        <w:t>New</w:t>
      </w:r>
      <w:r>
        <w:rPr>
          <w:spacing w:val="-3"/>
          <w:w w:val="95"/>
          <w:sz w:val="18"/>
        </w:rPr>
        <w:t xml:space="preserve"> </w:t>
      </w:r>
      <w:r>
        <w:rPr>
          <w:w w:val="95"/>
          <w:sz w:val="18"/>
        </w:rPr>
        <w:t>South</w:t>
      </w:r>
      <w:r>
        <w:rPr>
          <w:spacing w:val="-3"/>
          <w:w w:val="95"/>
          <w:sz w:val="18"/>
        </w:rPr>
        <w:t xml:space="preserve"> </w:t>
      </w:r>
      <w:r>
        <w:rPr>
          <w:w w:val="95"/>
          <w:sz w:val="18"/>
        </w:rPr>
        <w:t xml:space="preserve">Wales </w:t>
      </w:r>
      <w:r>
        <w:rPr>
          <w:sz w:val="18"/>
        </w:rPr>
        <w:t>needs and deserves is the first step</w:t>
      </w:r>
      <w:r>
        <w:rPr>
          <w:position w:val="6"/>
          <w:sz w:val="10"/>
        </w:rPr>
        <w:t>5</w:t>
      </w:r>
      <w:r>
        <w:rPr>
          <w:sz w:val="18"/>
        </w:rPr>
        <w:t>.</w:t>
      </w:r>
    </w:p>
    <w:p w:rsidR="002C1123" w:rsidRDefault="00F22F94">
      <w:pPr>
        <w:pStyle w:val="BodyText"/>
        <w:spacing w:before="149" w:line="249" w:lineRule="auto"/>
        <w:ind w:left="268" w:hanging="1"/>
      </w:pPr>
      <w:r>
        <w:rPr>
          <w:w w:val="95"/>
        </w:rPr>
        <w:t>Infrastructure</w:t>
      </w:r>
      <w:r>
        <w:rPr>
          <w:spacing w:val="-7"/>
          <w:w w:val="95"/>
        </w:rPr>
        <w:t xml:space="preserve"> </w:t>
      </w:r>
      <w:r>
        <w:rPr>
          <w:w w:val="95"/>
        </w:rPr>
        <w:t>NSW</w:t>
      </w:r>
      <w:r>
        <w:rPr>
          <w:spacing w:val="-7"/>
          <w:w w:val="95"/>
        </w:rPr>
        <w:t xml:space="preserve"> </w:t>
      </w:r>
      <w:r>
        <w:rPr>
          <w:w w:val="95"/>
        </w:rPr>
        <w:t>is</w:t>
      </w:r>
      <w:r>
        <w:rPr>
          <w:spacing w:val="-7"/>
          <w:w w:val="95"/>
        </w:rPr>
        <w:t xml:space="preserve"> </w:t>
      </w:r>
      <w:r>
        <w:rPr>
          <w:w w:val="95"/>
        </w:rPr>
        <w:t>also</w:t>
      </w:r>
      <w:r>
        <w:rPr>
          <w:spacing w:val="-7"/>
          <w:w w:val="95"/>
        </w:rPr>
        <w:t xml:space="preserve"> </w:t>
      </w:r>
      <w:r>
        <w:rPr>
          <w:w w:val="95"/>
        </w:rPr>
        <w:t>charged</w:t>
      </w:r>
      <w:r>
        <w:rPr>
          <w:spacing w:val="-7"/>
          <w:w w:val="95"/>
        </w:rPr>
        <w:t xml:space="preserve"> </w:t>
      </w:r>
      <w:r>
        <w:rPr>
          <w:w w:val="95"/>
        </w:rPr>
        <w:t>by</w:t>
      </w:r>
      <w:r>
        <w:rPr>
          <w:spacing w:val="-7"/>
          <w:w w:val="95"/>
        </w:rPr>
        <w:t xml:space="preserve"> </w:t>
      </w:r>
      <w:r>
        <w:rPr>
          <w:w w:val="95"/>
        </w:rPr>
        <w:t>the</w:t>
      </w:r>
      <w:r>
        <w:rPr>
          <w:spacing w:val="-7"/>
          <w:w w:val="95"/>
        </w:rPr>
        <w:t xml:space="preserve"> </w:t>
      </w:r>
      <w:r>
        <w:rPr>
          <w:w w:val="95"/>
        </w:rPr>
        <w:t>Act</w:t>
      </w:r>
      <w:r>
        <w:rPr>
          <w:spacing w:val="-7"/>
          <w:w w:val="95"/>
        </w:rPr>
        <w:t xml:space="preserve"> </w:t>
      </w:r>
      <w:r>
        <w:rPr>
          <w:w w:val="95"/>
        </w:rPr>
        <w:t>to</w:t>
      </w:r>
      <w:r>
        <w:rPr>
          <w:spacing w:val="-7"/>
          <w:w w:val="95"/>
        </w:rPr>
        <w:t xml:space="preserve"> </w:t>
      </w:r>
      <w:r>
        <w:rPr>
          <w:w w:val="95"/>
        </w:rPr>
        <w:t xml:space="preserve">manage </w:t>
      </w:r>
      <w:r>
        <w:rPr>
          <w:spacing w:val="-2"/>
        </w:rPr>
        <w:t>and</w:t>
      </w:r>
      <w:r>
        <w:rPr>
          <w:spacing w:val="-7"/>
        </w:rPr>
        <w:t xml:space="preserve"> </w:t>
      </w:r>
      <w:r>
        <w:rPr>
          <w:spacing w:val="-2"/>
        </w:rPr>
        <w:t>monitor</w:t>
      </w:r>
      <w:r>
        <w:rPr>
          <w:spacing w:val="-7"/>
        </w:rPr>
        <w:t xml:space="preserve"> </w:t>
      </w:r>
      <w:r>
        <w:rPr>
          <w:spacing w:val="-2"/>
        </w:rPr>
        <w:t>the</w:t>
      </w:r>
      <w:r>
        <w:rPr>
          <w:spacing w:val="-7"/>
        </w:rPr>
        <w:t xml:space="preserve"> </w:t>
      </w:r>
      <w:r>
        <w:rPr>
          <w:spacing w:val="-2"/>
        </w:rPr>
        <w:t>implementation</w:t>
      </w:r>
      <w:r>
        <w:rPr>
          <w:spacing w:val="-7"/>
        </w:rPr>
        <w:t xml:space="preserve"> </w:t>
      </w:r>
      <w:r>
        <w:rPr>
          <w:spacing w:val="-2"/>
        </w:rPr>
        <w:t>of</w:t>
      </w:r>
      <w:r>
        <w:rPr>
          <w:spacing w:val="-7"/>
        </w:rPr>
        <w:t xml:space="preserve"> </w:t>
      </w:r>
      <w:r>
        <w:rPr>
          <w:spacing w:val="-2"/>
        </w:rPr>
        <w:t>the</w:t>
      </w:r>
      <w:r>
        <w:rPr>
          <w:spacing w:val="-7"/>
        </w:rPr>
        <w:t xml:space="preserve"> </w:t>
      </w:r>
      <w:r>
        <w:rPr>
          <w:spacing w:val="-2"/>
        </w:rPr>
        <w:t>Strategy</w:t>
      </w:r>
      <w:r>
        <w:rPr>
          <w:spacing w:val="-7"/>
        </w:rPr>
        <w:t xml:space="preserve"> </w:t>
      </w:r>
      <w:r>
        <w:rPr>
          <w:spacing w:val="-2"/>
        </w:rPr>
        <w:t>and</w:t>
      </w:r>
      <w:r>
        <w:rPr>
          <w:spacing w:val="-7"/>
        </w:rPr>
        <w:t xml:space="preserve"> </w:t>
      </w:r>
      <w:r>
        <w:rPr>
          <w:spacing w:val="-2"/>
        </w:rPr>
        <w:t xml:space="preserve">the </w:t>
      </w:r>
      <w:r>
        <w:t>major</w:t>
      </w:r>
      <w:r>
        <w:rPr>
          <w:spacing w:val="-12"/>
        </w:rPr>
        <w:t xml:space="preserve"> </w:t>
      </w:r>
      <w:r>
        <w:t>infrastructure</w:t>
      </w:r>
      <w:r>
        <w:rPr>
          <w:spacing w:val="-12"/>
        </w:rPr>
        <w:t xml:space="preserve"> </w:t>
      </w:r>
      <w:r>
        <w:t>projects</w:t>
      </w:r>
      <w:r>
        <w:rPr>
          <w:spacing w:val="-12"/>
        </w:rPr>
        <w:t xml:space="preserve"> </w:t>
      </w:r>
      <w:r>
        <w:t>including</w:t>
      </w:r>
      <w:r>
        <w:rPr>
          <w:spacing w:val="-12"/>
        </w:rPr>
        <w:t xml:space="preserve"> </w:t>
      </w:r>
      <w:r>
        <w:t>their</w:t>
      </w:r>
      <w:r>
        <w:rPr>
          <w:spacing w:val="-12"/>
        </w:rPr>
        <w:t xml:space="preserve"> </w:t>
      </w:r>
      <w:r>
        <w:t>funding.</w:t>
      </w:r>
    </w:p>
    <w:p w:rsidR="002C1123" w:rsidRDefault="002060EF">
      <w:pPr>
        <w:pStyle w:val="BodyText"/>
        <w:spacing w:before="4"/>
        <w:rPr>
          <w:sz w:val="23"/>
        </w:rPr>
      </w:pPr>
      <w:r>
        <w:pict>
          <v:shape id="docshape164" o:spid="_x0000_s5129" style="position:absolute;margin-left:300.95pt;margin-top:14.65pt;width:1in;height:.1pt;z-index:-251425792;mso-wrap-distance-left:0;mso-wrap-distance-right:0;mso-position-horizontal-relative:page" coordorigin="6019,293" coordsize="1440,0" path="m6019,293r1440,e" filled="f" strokecolor="#9c9c9d" strokeweight=".5pt">
            <v:path arrowok="t"/>
            <w10:wrap type="topAndBottom" anchorx="page"/>
          </v:shape>
        </w:pict>
      </w:r>
    </w:p>
    <w:p w:rsidR="002C1123" w:rsidRDefault="00F22F94">
      <w:pPr>
        <w:pStyle w:val="ListParagraph"/>
        <w:numPr>
          <w:ilvl w:val="0"/>
          <w:numId w:val="159"/>
        </w:numPr>
        <w:tabs>
          <w:tab w:val="left" w:pos="458"/>
        </w:tabs>
        <w:spacing w:before="23"/>
        <w:ind w:right="327" w:hanging="199"/>
        <w:jc w:val="left"/>
        <w:rPr>
          <w:sz w:val="14"/>
        </w:rPr>
      </w:pPr>
      <w:r>
        <w:rPr>
          <w:w w:val="95"/>
          <w:sz w:val="14"/>
        </w:rPr>
        <w:t>Premier Barry O’Farrell, Infrastructure NSW Bill 2011, Second Reading,</w:t>
      </w:r>
      <w:r>
        <w:rPr>
          <w:spacing w:val="40"/>
          <w:sz w:val="14"/>
        </w:rPr>
        <w:t xml:space="preserve"> </w:t>
      </w:r>
      <w:r>
        <w:rPr>
          <w:sz w:val="14"/>
        </w:rPr>
        <w:t>Hansard, 26 May 2011.</w:t>
      </w:r>
    </w:p>
    <w:p w:rsidR="002C1123" w:rsidRDefault="00F22F94">
      <w:pPr>
        <w:pStyle w:val="BodyText"/>
        <w:spacing w:before="106" w:line="249" w:lineRule="auto"/>
        <w:ind w:left="209" w:right="619" w:hanging="1"/>
      </w:pPr>
      <w:r>
        <w:br w:type="column"/>
      </w:r>
      <w:r>
        <w:t>Infrastructure</w:t>
      </w:r>
      <w:r>
        <w:rPr>
          <w:spacing w:val="-14"/>
        </w:rPr>
        <w:t xml:space="preserve"> </w:t>
      </w:r>
      <w:r>
        <w:t>NSW</w:t>
      </w:r>
      <w:r>
        <w:rPr>
          <w:spacing w:val="-14"/>
        </w:rPr>
        <w:t xml:space="preserve"> </w:t>
      </w:r>
      <w:r>
        <w:t>has</w:t>
      </w:r>
      <w:r>
        <w:rPr>
          <w:spacing w:val="-14"/>
        </w:rPr>
        <w:t xml:space="preserve"> </w:t>
      </w:r>
      <w:r>
        <w:t>been</w:t>
      </w:r>
      <w:r>
        <w:rPr>
          <w:spacing w:val="-14"/>
        </w:rPr>
        <w:t xml:space="preserve"> </w:t>
      </w:r>
      <w:r>
        <w:t>asked</w:t>
      </w:r>
      <w:r>
        <w:rPr>
          <w:spacing w:val="-13"/>
        </w:rPr>
        <w:t xml:space="preserve"> </w:t>
      </w:r>
      <w:r>
        <w:t>to</w:t>
      </w:r>
      <w:r>
        <w:rPr>
          <w:spacing w:val="-14"/>
        </w:rPr>
        <w:t xml:space="preserve"> </w:t>
      </w:r>
      <w:r>
        <w:t>provide</w:t>
      </w:r>
      <w:r>
        <w:rPr>
          <w:spacing w:val="-14"/>
        </w:rPr>
        <w:t xml:space="preserve"> </w:t>
      </w:r>
      <w:r>
        <w:t xml:space="preserve">specific </w:t>
      </w:r>
      <w:r>
        <w:rPr>
          <w:w w:val="95"/>
        </w:rPr>
        <w:t>identification</w:t>
      </w:r>
      <w:r>
        <w:rPr>
          <w:spacing w:val="-6"/>
          <w:w w:val="95"/>
        </w:rPr>
        <w:t xml:space="preserve"> </w:t>
      </w:r>
      <w:r>
        <w:rPr>
          <w:w w:val="95"/>
        </w:rPr>
        <w:t>of</w:t>
      </w:r>
      <w:r>
        <w:rPr>
          <w:spacing w:val="-6"/>
          <w:w w:val="95"/>
        </w:rPr>
        <w:t xml:space="preserve"> </w:t>
      </w:r>
      <w:r>
        <w:rPr>
          <w:w w:val="95"/>
        </w:rPr>
        <w:t>individual</w:t>
      </w:r>
      <w:r>
        <w:rPr>
          <w:spacing w:val="-6"/>
          <w:w w:val="95"/>
        </w:rPr>
        <w:t xml:space="preserve"> </w:t>
      </w:r>
      <w:r>
        <w:rPr>
          <w:w w:val="95"/>
        </w:rPr>
        <w:t>projects</w:t>
      </w:r>
      <w:r>
        <w:rPr>
          <w:spacing w:val="-6"/>
          <w:w w:val="95"/>
        </w:rPr>
        <w:t xml:space="preserve"> </w:t>
      </w:r>
      <w:r>
        <w:rPr>
          <w:w w:val="95"/>
        </w:rPr>
        <w:t>that</w:t>
      </w:r>
      <w:r>
        <w:rPr>
          <w:spacing w:val="-6"/>
          <w:w w:val="95"/>
        </w:rPr>
        <w:t xml:space="preserve"> </w:t>
      </w:r>
      <w:r>
        <w:rPr>
          <w:w w:val="95"/>
        </w:rPr>
        <w:t>will</w:t>
      </w:r>
      <w:r>
        <w:rPr>
          <w:spacing w:val="-6"/>
          <w:w w:val="95"/>
        </w:rPr>
        <w:t xml:space="preserve"> </w:t>
      </w:r>
      <w:r>
        <w:rPr>
          <w:w w:val="95"/>
        </w:rPr>
        <w:t>require</w:t>
      </w:r>
      <w:r>
        <w:rPr>
          <w:spacing w:val="-6"/>
          <w:w w:val="95"/>
        </w:rPr>
        <w:t xml:space="preserve"> </w:t>
      </w:r>
      <w:r>
        <w:rPr>
          <w:w w:val="95"/>
        </w:rPr>
        <w:t xml:space="preserve">priority </w:t>
      </w:r>
      <w:r>
        <w:t>for Government consideration.</w:t>
      </w:r>
    </w:p>
    <w:p w:rsidR="002C1123" w:rsidRDefault="00F22F94">
      <w:pPr>
        <w:pStyle w:val="BodyText"/>
        <w:spacing w:before="144" w:line="249" w:lineRule="auto"/>
        <w:ind w:left="208" w:right="619"/>
      </w:pPr>
      <w:r>
        <w:t>Infrastructure</w:t>
      </w:r>
      <w:r>
        <w:rPr>
          <w:spacing w:val="-13"/>
        </w:rPr>
        <w:t xml:space="preserve"> </w:t>
      </w:r>
      <w:r>
        <w:t>NSW’s</w:t>
      </w:r>
      <w:r>
        <w:rPr>
          <w:spacing w:val="-13"/>
        </w:rPr>
        <w:t xml:space="preserve"> </w:t>
      </w:r>
      <w:r>
        <w:t>findings</w:t>
      </w:r>
      <w:r>
        <w:rPr>
          <w:spacing w:val="-13"/>
        </w:rPr>
        <w:t xml:space="preserve"> </w:t>
      </w:r>
      <w:r>
        <w:t>and</w:t>
      </w:r>
      <w:r>
        <w:rPr>
          <w:spacing w:val="-13"/>
        </w:rPr>
        <w:t xml:space="preserve"> </w:t>
      </w:r>
      <w:r>
        <w:t>conclusions</w:t>
      </w:r>
      <w:r>
        <w:rPr>
          <w:spacing w:val="-13"/>
        </w:rPr>
        <w:t xml:space="preserve"> </w:t>
      </w:r>
      <w:r>
        <w:t>are informed</w:t>
      </w:r>
      <w:r>
        <w:rPr>
          <w:spacing w:val="-7"/>
        </w:rPr>
        <w:t xml:space="preserve"> </w:t>
      </w:r>
      <w:r>
        <w:t>recommendations</w:t>
      </w:r>
      <w:r>
        <w:rPr>
          <w:spacing w:val="-7"/>
        </w:rPr>
        <w:t xml:space="preserve"> </w:t>
      </w:r>
      <w:r>
        <w:t>to</w:t>
      </w:r>
      <w:r>
        <w:rPr>
          <w:spacing w:val="-7"/>
        </w:rPr>
        <w:t xml:space="preserve"> </w:t>
      </w:r>
      <w:r>
        <w:t>enable</w:t>
      </w:r>
      <w:r>
        <w:rPr>
          <w:spacing w:val="-7"/>
        </w:rPr>
        <w:t xml:space="preserve"> </w:t>
      </w:r>
      <w:r>
        <w:t xml:space="preserve">Government </w:t>
      </w:r>
      <w:r>
        <w:rPr>
          <w:w w:val="95"/>
        </w:rPr>
        <w:t>decision</w:t>
      </w:r>
      <w:r>
        <w:rPr>
          <w:spacing w:val="-3"/>
          <w:w w:val="95"/>
        </w:rPr>
        <w:t xml:space="preserve"> </w:t>
      </w:r>
      <w:r>
        <w:rPr>
          <w:w w:val="95"/>
        </w:rPr>
        <w:t>making</w:t>
      </w:r>
      <w:r>
        <w:rPr>
          <w:spacing w:val="-3"/>
          <w:w w:val="95"/>
        </w:rPr>
        <w:t xml:space="preserve"> </w:t>
      </w:r>
      <w:r>
        <w:rPr>
          <w:w w:val="95"/>
        </w:rPr>
        <w:t>and</w:t>
      </w:r>
      <w:r>
        <w:rPr>
          <w:spacing w:val="-3"/>
          <w:w w:val="95"/>
        </w:rPr>
        <w:t xml:space="preserve"> </w:t>
      </w:r>
      <w:r>
        <w:rPr>
          <w:w w:val="95"/>
        </w:rPr>
        <w:t>are</w:t>
      </w:r>
      <w:r>
        <w:rPr>
          <w:spacing w:val="-3"/>
          <w:w w:val="95"/>
        </w:rPr>
        <w:t xml:space="preserve"> </w:t>
      </w:r>
      <w:r>
        <w:rPr>
          <w:w w:val="95"/>
        </w:rPr>
        <w:t>not</w:t>
      </w:r>
      <w:r>
        <w:rPr>
          <w:spacing w:val="-3"/>
          <w:w w:val="95"/>
        </w:rPr>
        <w:t xml:space="preserve"> </w:t>
      </w:r>
      <w:r>
        <w:rPr>
          <w:w w:val="95"/>
        </w:rPr>
        <w:t>necessarily</w:t>
      </w:r>
      <w:r>
        <w:rPr>
          <w:spacing w:val="-3"/>
          <w:w w:val="95"/>
        </w:rPr>
        <w:t xml:space="preserve"> </w:t>
      </w:r>
      <w:r>
        <w:rPr>
          <w:w w:val="95"/>
        </w:rPr>
        <w:t xml:space="preserve">Government </w:t>
      </w:r>
      <w:r>
        <w:t>policy.</w:t>
      </w:r>
      <w:r>
        <w:rPr>
          <w:spacing w:val="-14"/>
        </w:rPr>
        <w:t xml:space="preserve"> </w:t>
      </w:r>
      <w:r>
        <w:t>The</w:t>
      </w:r>
      <w:r>
        <w:rPr>
          <w:spacing w:val="-14"/>
        </w:rPr>
        <w:t xml:space="preserve"> </w:t>
      </w:r>
      <w:r>
        <w:t>Government</w:t>
      </w:r>
      <w:r>
        <w:rPr>
          <w:spacing w:val="-14"/>
        </w:rPr>
        <w:t xml:space="preserve"> </w:t>
      </w:r>
      <w:r>
        <w:t>will</w:t>
      </w:r>
      <w:r>
        <w:rPr>
          <w:spacing w:val="-14"/>
        </w:rPr>
        <w:t xml:space="preserve"> </w:t>
      </w:r>
      <w:r>
        <w:t>consider</w:t>
      </w:r>
      <w:r>
        <w:rPr>
          <w:spacing w:val="-14"/>
        </w:rPr>
        <w:t xml:space="preserve"> </w:t>
      </w:r>
      <w:r>
        <w:t>Infrastructure NSW’s</w:t>
      </w:r>
      <w:r>
        <w:rPr>
          <w:spacing w:val="-1"/>
        </w:rPr>
        <w:t xml:space="preserve"> </w:t>
      </w:r>
      <w:r>
        <w:t>recommendations</w:t>
      </w:r>
      <w:r>
        <w:rPr>
          <w:spacing w:val="-1"/>
        </w:rPr>
        <w:t xml:space="preserve"> </w:t>
      </w:r>
      <w:r>
        <w:t>in</w:t>
      </w:r>
      <w:r>
        <w:rPr>
          <w:spacing w:val="-1"/>
        </w:rPr>
        <w:t xml:space="preserve"> </w:t>
      </w:r>
      <w:r>
        <w:t>conjunction</w:t>
      </w:r>
      <w:r>
        <w:rPr>
          <w:spacing w:val="-1"/>
        </w:rPr>
        <w:t xml:space="preserve"> </w:t>
      </w:r>
      <w:r>
        <w:t>with:</w:t>
      </w:r>
    </w:p>
    <w:p w:rsidR="002C1123" w:rsidRDefault="00F22F94">
      <w:pPr>
        <w:pStyle w:val="ListParagraph"/>
        <w:numPr>
          <w:ilvl w:val="0"/>
          <w:numId w:val="158"/>
        </w:numPr>
        <w:tabs>
          <w:tab w:val="left" w:pos="492"/>
          <w:tab w:val="left" w:pos="493"/>
        </w:tabs>
        <w:spacing w:before="105" w:line="249" w:lineRule="auto"/>
        <w:ind w:right="729"/>
        <w:rPr>
          <w:sz w:val="20"/>
        </w:rPr>
      </w:pPr>
      <w:r>
        <w:rPr>
          <w:sz w:val="20"/>
        </w:rPr>
        <w:t>the</w:t>
      </w:r>
      <w:r>
        <w:rPr>
          <w:spacing w:val="-12"/>
          <w:sz w:val="20"/>
        </w:rPr>
        <w:t xml:space="preserve"> </w:t>
      </w:r>
      <w:r>
        <w:rPr>
          <w:sz w:val="20"/>
        </w:rPr>
        <w:t>Department</w:t>
      </w:r>
      <w:r>
        <w:rPr>
          <w:spacing w:val="-12"/>
          <w:sz w:val="20"/>
        </w:rPr>
        <w:t xml:space="preserve"> </w:t>
      </w:r>
      <w:r>
        <w:rPr>
          <w:sz w:val="20"/>
        </w:rPr>
        <w:t>of</w:t>
      </w:r>
      <w:r>
        <w:rPr>
          <w:spacing w:val="-12"/>
          <w:sz w:val="20"/>
        </w:rPr>
        <w:t xml:space="preserve"> </w:t>
      </w:r>
      <w:r>
        <w:rPr>
          <w:sz w:val="20"/>
        </w:rPr>
        <w:t>Planning</w:t>
      </w:r>
      <w:r>
        <w:rPr>
          <w:spacing w:val="-12"/>
          <w:sz w:val="20"/>
        </w:rPr>
        <w:t xml:space="preserve"> </w:t>
      </w:r>
      <w:r>
        <w:rPr>
          <w:sz w:val="20"/>
        </w:rPr>
        <w:t>and</w:t>
      </w:r>
      <w:r>
        <w:rPr>
          <w:spacing w:val="-12"/>
          <w:sz w:val="20"/>
        </w:rPr>
        <w:t xml:space="preserve"> </w:t>
      </w:r>
      <w:r>
        <w:rPr>
          <w:sz w:val="20"/>
        </w:rPr>
        <w:t>Infrastructure’s advice,</w:t>
      </w:r>
      <w:r>
        <w:rPr>
          <w:spacing w:val="-10"/>
          <w:sz w:val="20"/>
        </w:rPr>
        <w:t xml:space="preserve"> </w:t>
      </w:r>
      <w:r>
        <w:rPr>
          <w:sz w:val="20"/>
        </w:rPr>
        <w:t>which</w:t>
      </w:r>
      <w:r>
        <w:rPr>
          <w:spacing w:val="-10"/>
          <w:sz w:val="20"/>
        </w:rPr>
        <w:t xml:space="preserve"> </w:t>
      </w:r>
      <w:r>
        <w:rPr>
          <w:sz w:val="20"/>
        </w:rPr>
        <w:t>will</w:t>
      </w:r>
      <w:r>
        <w:rPr>
          <w:spacing w:val="-10"/>
          <w:sz w:val="20"/>
        </w:rPr>
        <w:t xml:space="preserve"> </w:t>
      </w:r>
      <w:r>
        <w:rPr>
          <w:sz w:val="20"/>
        </w:rPr>
        <w:t>include</w:t>
      </w:r>
      <w:r>
        <w:rPr>
          <w:spacing w:val="-10"/>
          <w:sz w:val="20"/>
        </w:rPr>
        <w:t xml:space="preserve"> </w:t>
      </w:r>
      <w:r>
        <w:rPr>
          <w:sz w:val="20"/>
        </w:rPr>
        <w:t>the</w:t>
      </w:r>
      <w:r>
        <w:rPr>
          <w:spacing w:val="-10"/>
          <w:sz w:val="20"/>
        </w:rPr>
        <w:t xml:space="preserve"> </w:t>
      </w:r>
      <w:r>
        <w:rPr>
          <w:sz w:val="20"/>
        </w:rPr>
        <w:t>Metropolitan</w:t>
      </w:r>
      <w:r>
        <w:rPr>
          <w:spacing w:val="-10"/>
          <w:sz w:val="20"/>
        </w:rPr>
        <w:t xml:space="preserve"> </w:t>
      </w:r>
      <w:r>
        <w:rPr>
          <w:sz w:val="20"/>
        </w:rPr>
        <w:t>Strategy for Sydney and Regional Strategies, an integrated planning</w:t>
      </w:r>
      <w:r>
        <w:rPr>
          <w:spacing w:val="-6"/>
          <w:sz w:val="20"/>
        </w:rPr>
        <w:t xml:space="preserve"> </w:t>
      </w:r>
      <w:r>
        <w:rPr>
          <w:sz w:val="20"/>
        </w:rPr>
        <w:t>approach</w:t>
      </w:r>
      <w:r>
        <w:rPr>
          <w:spacing w:val="-6"/>
          <w:sz w:val="20"/>
        </w:rPr>
        <w:t xml:space="preserve"> </w:t>
      </w:r>
      <w:r>
        <w:rPr>
          <w:sz w:val="20"/>
        </w:rPr>
        <w:t>to</w:t>
      </w:r>
      <w:r>
        <w:rPr>
          <w:spacing w:val="-6"/>
          <w:sz w:val="20"/>
        </w:rPr>
        <w:t xml:space="preserve"> </w:t>
      </w:r>
      <w:r>
        <w:rPr>
          <w:sz w:val="20"/>
        </w:rPr>
        <w:t>meeting</w:t>
      </w:r>
      <w:r>
        <w:rPr>
          <w:spacing w:val="-6"/>
          <w:sz w:val="20"/>
        </w:rPr>
        <w:t xml:space="preserve"> </w:t>
      </w:r>
      <w:r>
        <w:rPr>
          <w:sz w:val="20"/>
        </w:rPr>
        <w:t>NSW’s</w:t>
      </w:r>
      <w:r>
        <w:rPr>
          <w:spacing w:val="-6"/>
          <w:sz w:val="20"/>
        </w:rPr>
        <w:t xml:space="preserve"> </w:t>
      </w:r>
      <w:r>
        <w:rPr>
          <w:sz w:val="20"/>
        </w:rPr>
        <w:t>housing, employment,</w:t>
      </w:r>
      <w:r>
        <w:rPr>
          <w:spacing w:val="-13"/>
          <w:sz w:val="20"/>
        </w:rPr>
        <w:t xml:space="preserve"> </w:t>
      </w:r>
      <w:r>
        <w:rPr>
          <w:sz w:val="20"/>
        </w:rPr>
        <w:t>land</w:t>
      </w:r>
      <w:r>
        <w:rPr>
          <w:spacing w:val="-13"/>
          <w:sz w:val="20"/>
        </w:rPr>
        <w:t xml:space="preserve"> </w:t>
      </w:r>
      <w:r>
        <w:rPr>
          <w:sz w:val="20"/>
        </w:rPr>
        <w:t>and</w:t>
      </w:r>
      <w:r>
        <w:rPr>
          <w:spacing w:val="-13"/>
          <w:sz w:val="20"/>
        </w:rPr>
        <w:t xml:space="preserve"> </w:t>
      </w:r>
      <w:r>
        <w:rPr>
          <w:sz w:val="20"/>
        </w:rPr>
        <w:t>recreational</w:t>
      </w:r>
      <w:r>
        <w:rPr>
          <w:spacing w:val="-13"/>
          <w:sz w:val="20"/>
        </w:rPr>
        <w:t xml:space="preserve"> </w:t>
      </w:r>
      <w:r>
        <w:rPr>
          <w:sz w:val="20"/>
        </w:rPr>
        <w:t>needs</w:t>
      </w:r>
      <w:r>
        <w:rPr>
          <w:spacing w:val="-13"/>
          <w:sz w:val="20"/>
        </w:rPr>
        <w:t xml:space="preserve"> </w:t>
      </w:r>
      <w:r>
        <w:rPr>
          <w:sz w:val="20"/>
        </w:rPr>
        <w:t>over</w:t>
      </w:r>
      <w:r>
        <w:rPr>
          <w:spacing w:val="-13"/>
          <w:sz w:val="20"/>
        </w:rPr>
        <w:t xml:space="preserve"> </w:t>
      </w:r>
      <w:r>
        <w:rPr>
          <w:sz w:val="20"/>
        </w:rPr>
        <w:t>the next 20 years</w:t>
      </w:r>
    </w:p>
    <w:p w:rsidR="002C1123" w:rsidRDefault="00F22F94">
      <w:pPr>
        <w:pStyle w:val="ListParagraph"/>
        <w:numPr>
          <w:ilvl w:val="0"/>
          <w:numId w:val="158"/>
        </w:numPr>
        <w:tabs>
          <w:tab w:val="left" w:pos="471"/>
        </w:tabs>
        <w:spacing w:before="105" w:line="249" w:lineRule="auto"/>
        <w:ind w:right="1047"/>
        <w:rPr>
          <w:sz w:val="20"/>
        </w:rPr>
      </w:pPr>
      <w:r>
        <w:rPr>
          <w:w w:val="95"/>
          <w:sz w:val="20"/>
        </w:rPr>
        <w:t>Transport</w:t>
      </w:r>
      <w:r>
        <w:rPr>
          <w:spacing w:val="-7"/>
          <w:w w:val="95"/>
          <w:sz w:val="20"/>
        </w:rPr>
        <w:t xml:space="preserve"> </w:t>
      </w:r>
      <w:r>
        <w:rPr>
          <w:w w:val="95"/>
          <w:sz w:val="20"/>
        </w:rPr>
        <w:t>for</w:t>
      </w:r>
      <w:r>
        <w:rPr>
          <w:spacing w:val="-7"/>
          <w:w w:val="95"/>
          <w:sz w:val="20"/>
        </w:rPr>
        <w:t xml:space="preserve"> </w:t>
      </w:r>
      <w:r>
        <w:rPr>
          <w:w w:val="95"/>
          <w:sz w:val="20"/>
        </w:rPr>
        <w:t>NSW’s</w:t>
      </w:r>
      <w:r>
        <w:rPr>
          <w:spacing w:val="-7"/>
          <w:w w:val="95"/>
          <w:sz w:val="20"/>
        </w:rPr>
        <w:t xml:space="preserve"> </w:t>
      </w:r>
      <w:r>
        <w:rPr>
          <w:w w:val="95"/>
          <w:sz w:val="20"/>
        </w:rPr>
        <w:t>advice,</w:t>
      </w:r>
      <w:r>
        <w:rPr>
          <w:spacing w:val="-7"/>
          <w:w w:val="95"/>
          <w:sz w:val="20"/>
        </w:rPr>
        <w:t xml:space="preserve"> </w:t>
      </w:r>
      <w:r>
        <w:rPr>
          <w:w w:val="95"/>
          <w:sz w:val="20"/>
        </w:rPr>
        <w:t>which</w:t>
      </w:r>
      <w:r>
        <w:rPr>
          <w:spacing w:val="-7"/>
          <w:w w:val="95"/>
          <w:sz w:val="20"/>
        </w:rPr>
        <w:t xml:space="preserve"> </w:t>
      </w:r>
      <w:r>
        <w:rPr>
          <w:w w:val="95"/>
          <w:sz w:val="20"/>
        </w:rPr>
        <w:t>will</w:t>
      </w:r>
      <w:r>
        <w:rPr>
          <w:spacing w:val="-7"/>
          <w:w w:val="95"/>
          <w:sz w:val="20"/>
        </w:rPr>
        <w:t xml:space="preserve"> </w:t>
      </w:r>
      <w:r>
        <w:rPr>
          <w:w w:val="95"/>
          <w:sz w:val="20"/>
        </w:rPr>
        <w:t>include</w:t>
      </w:r>
      <w:r>
        <w:rPr>
          <w:spacing w:val="-7"/>
          <w:w w:val="95"/>
          <w:sz w:val="20"/>
        </w:rPr>
        <w:t xml:space="preserve"> </w:t>
      </w:r>
      <w:r>
        <w:rPr>
          <w:w w:val="95"/>
          <w:sz w:val="20"/>
        </w:rPr>
        <w:t xml:space="preserve">the </w:t>
      </w:r>
      <w:r>
        <w:rPr>
          <w:sz w:val="20"/>
        </w:rPr>
        <w:t>Long Term Transport Master Plan, setting out an</w:t>
      </w:r>
      <w:r>
        <w:rPr>
          <w:spacing w:val="-12"/>
          <w:sz w:val="20"/>
        </w:rPr>
        <w:t xml:space="preserve"> </w:t>
      </w:r>
      <w:r>
        <w:rPr>
          <w:sz w:val="20"/>
        </w:rPr>
        <w:t>approach</w:t>
      </w:r>
      <w:r>
        <w:rPr>
          <w:spacing w:val="-12"/>
          <w:sz w:val="20"/>
        </w:rPr>
        <w:t xml:space="preserve"> </w:t>
      </w:r>
      <w:r>
        <w:rPr>
          <w:sz w:val="20"/>
        </w:rPr>
        <w:t>for</w:t>
      </w:r>
      <w:r>
        <w:rPr>
          <w:spacing w:val="-12"/>
          <w:sz w:val="20"/>
        </w:rPr>
        <w:t xml:space="preserve"> </w:t>
      </w:r>
      <w:r>
        <w:rPr>
          <w:sz w:val="20"/>
        </w:rPr>
        <w:t>delivering</w:t>
      </w:r>
      <w:r>
        <w:rPr>
          <w:spacing w:val="-12"/>
          <w:sz w:val="20"/>
        </w:rPr>
        <w:t xml:space="preserve"> </w:t>
      </w:r>
      <w:r>
        <w:rPr>
          <w:sz w:val="20"/>
        </w:rPr>
        <w:t>world</w:t>
      </w:r>
      <w:r>
        <w:rPr>
          <w:spacing w:val="-12"/>
          <w:sz w:val="20"/>
        </w:rPr>
        <w:t xml:space="preserve"> </w:t>
      </w:r>
      <w:r>
        <w:rPr>
          <w:sz w:val="20"/>
        </w:rPr>
        <w:t>class</w:t>
      </w:r>
      <w:r>
        <w:rPr>
          <w:spacing w:val="-12"/>
          <w:sz w:val="20"/>
        </w:rPr>
        <w:t xml:space="preserve"> </w:t>
      </w:r>
      <w:r>
        <w:rPr>
          <w:sz w:val="20"/>
        </w:rPr>
        <w:t>transport networks</w:t>
      </w:r>
      <w:r>
        <w:rPr>
          <w:spacing w:val="-7"/>
          <w:sz w:val="20"/>
        </w:rPr>
        <w:t xml:space="preserve"> </w:t>
      </w:r>
      <w:r>
        <w:rPr>
          <w:sz w:val="20"/>
        </w:rPr>
        <w:t>and</w:t>
      </w:r>
      <w:r>
        <w:rPr>
          <w:spacing w:val="-7"/>
          <w:sz w:val="20"/>
        </w:rPr>
        <w:t xml:space="preserve"> </w:t>
      </w:r>
      <w:r>
        <w:rPr>
          <w:sz w:val="20"/>
        </w:rPr>
        <w:t>services</w:t>
      </w:r>
      <w:r>
        <w:rPr>
          <w:spacing w:val="-7"/>
          <w:sz w:val="20"/>
        </w:rPr>
        <w:t xml:space="preserve"> </w:t>
      </w:r>
      <w:r>
        <w:rPr>
          <w:sz w:val="20"/>
        </w:rPr>
        <w:t>to</w:t>
      </w:r>
      <w:r>
        <w:rPr>
          <w:spacing w:val="-7"/>
          <w:sz w:val="20"/>
        </w:rPr>
        <w:t xml:space="preserve"> </w:t>
      </w:r>
      <w:r>
        <w:rPr>
          <w:sz w:val="20"/>
        </w:rPr>
        <w:t>the</w:t>
      </w:r>
      <w:r>
        <w:rPr>
          <w:spacing w:val="-7"/>
          <w:sz w:val="20"/>
        </w:rPr>
        <w:t xml:space="preserve"> </w:t>
      </w:r>
      <w:r>
        <w:rPr>
          <w:sz w:val="20"/>
        </w:rPr>
        <w:t>people</w:t>
      </w:r>
      <w:r>
        <w:rPr>
          <w:spacing w:val="-7"/>
          <w:sz w:val="20"/>
        </w:rPr>
        <w:t xml:space="preserve"> </w:t>
      </w:r>
      <w:r>
        <w:rPr>
          <w:sz w:val="20"/>
        </w:rPr>
        <w:t>of</w:t>
      </w:r>
      <w:r>
        <w:rPr>
          <w:spacing w:val="-7"/>
          <w:sz w:val="20"/>
        </w:rPr>
        <w:t xml:space="preserve"> </w:t>
      </w:r>
      <w:r>
        <w:rPr>
          <w:sz w:val="20"/>
        </w:rPr>
        <w:t>NSW.</w:t>
      </w:r>
    </w:p>
    <w:p w:rsidR="002C1123" w:rsidRDefault="00F22F94">
      <w:pPr>
        <w:pStyle w:val="BodyText"/>
        <w:spacing w:before="117" w:line="249" w:lineRule="auto"/>
        <w:ind w:left="209" w:right="721" w:hanging="1"/>
        <w:jc w:val="both"/>
      </w:pPr>
      <w:r>
        <w:rPr>
          <w:w w:val="95"/>
        </w:rPr>
        <w:t>Infrastructure NSW’s recommendations were formulated following</w:t>
      </w:r>
      <w:r>
        <w:rPr>
          <w:spacing w:val="-2"/>
          <w:w w:val="95"/>
        </w:rPr>
        <w:t xml:space="preserve"> </w:t>
      </w:r>
      <w:r>
        <w:rPr>
          <w:w w:val="95"/>
        </w:rPr>
        <w:t>extensive</w:t>
      </w:r>
      <w:r>
        <w:rPr>
          <w:spacing w:val="-2"/>
          <w:w w:val="95"/>
        </w:rPr>
        <w:t xml:space="preserve"> </w:t>
      </w:r>
      <w:r>
        <w:rPr>
          <w:w w:val="95"/>
        </w:rPr>
        <w:t>discussion</w:t>
      </w:r>
      <w:r>
        <w:rPr>
          <w:spacing w:val="-2"/>
          <w:w w:val="95"/>
        </w:rPr>
        <w:t xml:space="preserve"> </w:t>
      </w:r>
      <w:r>
        <w:rPr>
          <w:w w:val="95"/>
        </w:rPr>
        <w:t>with</w:t>
      </w:r>
      <w:r>
        <w:rPr>
          <w:spacing w:val="-2"/>
          <w:w w:val="95"/>
        </w:rPr>
        <w:t xml:space="preserve"> </w:t>
      </w:r>
      <w:r>
        <w:rPr>
          <w:w w:val="95"/>
        </w:rPr>
        <w:t>these</w:t>
      </w:r>
      <w:r>
        <w:rPr>
          <w:spacing w:val="-2"/>
          <w:w w:val="95"/>
        </w:rPr>
        <w:t xml:space="preserve"> </w:t>
      </w:r>
      <w:r>
        <w:rPr>
          <w:w w:val="95"/>
        </w:rPr>
        <w:t>State</w:t>
      </w:r>
      <w:r>
        <w:rPr>
          <w:spacing w:val="-2"/>
          <w:w w:val="95"/>
        </w:rPr>
        <w:t xml:space="preserve"> </w:t>
      </w:r>
      <w:r>
        <w:rPr>
          <w:w w:val="95"/>
        </w:rPr>
        <w:t xml:space="preserve">agencies </w:t>
      </w:r>
      <w:r>
        <w:t>among</w:t>
      </w:r>
      <w:r>
        <w:rPr>
          <w:spacing w:val="-11"/>
        </w:rPr>
        <w:t xml:space="preserve"> </w:t>
      </w:r>
      <w:r>
        <w:t>others.</w:t>
      </w:r>
    </w:p>
    <w:p w:rsidR="002C1123" w:rsidRDefault="00F22F94">
      <w:pPr>
        <w:pStyle w:val="BodyText"/>
        <w:spacing w:before="144" w:line="249" w:lineRule="auto"/>
        <w:ind w:left="208" w:right="991" w:hanging="1"/>
      </w:pPr>
      <w:r>
        <w:rPr>
          <w:w w:val="95"/>
        </w:rPr>
        <w:t>Infrastructure</w:t>
      </w:r>
      <w:r>
        <w:rPr>
          <w:spacing w:val="-3"/>
          <w:w w:val="95"/>
        </w:rPr>
        <w:t xml:space="preserve"> </w:t>
      </w:r>
      <w:r>
        <w:rPr>
          <w:w w:val="95"/>
        </w:rPr>
        <w:t>NSW</w:t>
      </w:r>
      <w:r>
        <w:rPr>
          <w:spacing w:val="-3"/>
          <w:w w:val="95"/>
        </w:rPr>
        <w:t xml:space="preserve"> </w:t>
      </w:r>
      <w:r>
        <w:rPr>
          <w:w w:val="95"/>
        </w:rPr>
        <w:t>recognises</w:t>
      </w:r>
      <w:r>
        <w:rPr>
          <w:spacing w:val="-3"/>
          <w:w w:val="95"/>
        </w:rPr>
        <w:t xml:space="preserve"> </w:t>
      </w:r>
      <w:r>
        <w:rPr>
          <w:w w:val="95"/>
        </w:rPr>
        <w:t>that</w:t>
      </w:r>
      <w:r>
        <w:rPr>
          <w:spacing w:val="-3"/>
          <w:w w:val="95"/>
        </w:rPr>
        <w:t xml:space="preserve"> </w:t>
      </w:r>
      <w:r>
        <w:rPr>
          <w:w w:val="95"/>
        </w:rPr>
        <w:t>these</w:t>
      </w:r>
      <w:r>
        <w:rPr>
          <w:spacing w:val="-3"/>
          <w:w w:val="95"/>
        </w:rPr>
        <w:t xml:space="preserve"> </w:t>
      </w:r>
      <w:r>
        <w:rPr>
          <w:w w:val="95"/>
        </w:rPr>
        <w:t>agencies will be responsible for the detailed development of future plans for investment in their sectors and has sought</w:t>
      </w:r>
      <w:r>
        <w:rPr>
          <w:spacing w:val="-1"/>
          <w:w w:val="95"/>
        </w:rPr>
        <w:t xml:space="preserve"> </w:t>
      </w:r>
      <w:r>
        <w:rPr>
          <w:w w:val="95"/>
        </w:rPr>
        <w:t>to</w:t>
      </w:r>
      <w:r>
        <w:rPr>
          <w:spacing w:val="-1"/>
          <w:w w:val="95"/>
        </w:rPr>
        <w:t xml:space="preserve"> </w:t>
      </w:r>
      <w:r>
        <w:rPr>
          <w:w w:val="95"/>
        </w:rPr>
        <w:t>co-ordinate</w:t>
      </w:r>
      <w:r>
        <w:rPr>
          <w:spacing w:val="-1"/>
          <w:w w:val="95"/>
        </w:rPr>
        <w:t xml:space="preserve"> </w:t>
      </w:r>
      <w:r>
        <w:rPr>
          <w:w w:val="95"/>
        </w:rPr>
        <w:t>wherever</w:t>
      </w:r>
      <w:r>
        <w:rPr>
          <w:spacing w:val="-1"/>
          <w:w w:val="95"/>
        </w:rPr>
        <w:t xml:space="preserve"> </w:t>
      </w:r>
      <w:r>
        <w:rPr>
          <w:w w:val="95"/>
        </w:rPr>
        <w:t>possible.</w:t>
      </w:r>
      <w:r>
        <w:rPr>
          <w:spacing w:val="-1"/>
          <w:w w:val="95"/>
        </w:rPr>
        <w:t xml:space="preserve"> </w:t>
      </w:r>
      <w:r>
        <w:rPr>
          <w:w w:val="95"/>
        </w:rPr>
        <w:t>However,</w:t>
      </w:r>
    </w:p>
    <w:p w:rsidR="002C1123" w:rsidRDefault="00F22F94">
      <w:pPr>
        <w:pStyle w:val="BodyText"/>
        <w:spacing w:before="3" w:line="249" w:lineRule="auto"/>
        <w:ind w:left="206" w:right="803" w:firstLine="2"/>
      </w:pPr>
      <w:r>
        <w:rPr>
          <w:w w:val="95"/>
        </w:rPr>
        <w:t>Infrastructure</w:t>
      </w:r>
      <w:r>
        <w:rPr>
          <w:spacing w:val="-5"/>
          <w:w w:val="95"/>
        </w:rPr>
        <w:t xml:space="preserve"> </w:t>
      </w:r>
      <w:r>
        <w:rPr>
          <w:w w:val="95"/>
        </w:rPr>
        <w:t>NSW’s</w:t>
      </w:r>
      <w:r>
        <w:rPr>
          <w:spacing w:val="-6"/>
          <w:w w:val="95"/>
        </w:rPr>
        <w:t xml:space="preserve"> </w:t>
      </w:r>
      <w:r>
        <w:rPr>
          <w:w w:val="95"/>
        </w:rPr>
        <w:t>mission</w:t>
      </w:r>
      <w:r>
        <w:rPr>
          <w:spacing w:val="-5"/>
          <w:w w:val="95"/>
        </w:rPr>
        <w:t xml:space="preserve"> </w:t>
      </w:r>
      <w:r>
        <w:rPr>
          <w:w w:val="95"/>
        </w:rPr>
        <w:t>is</w:t>
      </w:r>
      <w:r>
        <w:rPr>
          <w:spacing w:val="-6"/>
          <w:w w:val="95"/>
        </w:rPr>
        <w:t xml:space="preserve"> </w:t>
      </w:r>
      <w:r>
        <w:rPr>
          <w:w w:val="95"/>
        </w:rPr>
        <w:t>to</w:t>
      </w:r>
      <w:r>
        <w:rPr>
          <w:spacing w:val="-5"/>
          <w:w w:val="95"/>
        </w:rPr>
        <w:t xml:space="preserve"> </w:t>
      </w:r>
      <w:r>
        <w:rPr>
          <w:w w:val="95"/>
        </w:rPr>
        <w:t>provide</w:t>
      </w:r>
      <w:r>
        <w:rPr>
          <w:spacing w:val="-6"/>
          <w:w w:val="95"/>
        </w:rPr>
        <w:t xml:space="preserve"> </w:t>
      </w:r>
      <w:r>
        <w:rPr>
          <w:w w:val="95"/>
        </w:rPr>
        <w:t xml:space="preserve">Government </w:t>
      </w:r>
      <w:r>
        <w:rPr>
          <w:spacing w:val="-2"/>
        </w:rPr>
        <w:t>with</w:t>
      </w:r>
      <w:r>
        <w:rPr>
          <w:spacing w:val="-9"/>
        </w:rPr>
        <w:t xml:space="preserve"> </w:t>
      </w:r>
      <w:r>
        <w:rPr>
          <w:spacing w:val="-2"/>
        </w:rPr>
        <w:t>independent</w:t>
      </w:r>
      <w:r>
        <w:rPr>
          <w:spacing w:val="-9"/>
        </w:rPr>
        <w:t xml:space="preserve"> </w:t>
      </w:r>
      <w:r>
        <w:rPr>
          <w:spacing w:val="-2"/>
        </w:rPr>
        <w:t>advice</w:t>
      </w:r>
      <w:r>
        <w:rPr>
          <w:spacing w:val="-9"/>
        </w:rPr>
        <w:t xml:space="preserve"> </w:t>
      </w:r>
      <w:r>
        <w:rPr>
          <w:spacing w:val="-2"/>
        </w:rPr>
        <w:t>in</w:t>
      </w:r>
      <w:r>
        <w:rPr>
          <w:spacing w:val="-9"/>
        </w:rPr>
        <w:t xml:space="preserve"> </w:t>
      </w:r>
      <w:r>
        <w:rPr>
          <w:spacing w:val="-2"/>
        </w:rPr>
        <w:t>a</w:t>
      </w:r>
      <w:r>
        <w:rPr>
          <w:spacing w:val="-9"/>
        </w:rPr>
        <w:t xml:space="preserve"> </w:t>
      </w:r>
      <w:r>
        <w:rPr>
          <w:spacing w:val="-2"/>
        </w:rPr>
        <w:t>‘big</w:t>
      </w:r>
      <w:r>
        <w:rPr>
          <w:spacing w:val="-9"/>
        </w:rPr>
        <w:t xml:space="preserve"> </w:t>
      </w:r>
      <w:r>
        <w:rPr>
          <w:spacing w:val="-2"/>
        </w:rPr>
        <w:t>picture’</w:t>
      </w:r>
      <w:r>
        <w:rPr>
          <w:spacing w:val="-9"/>
        </w:rPr>
        <w:t xml:space="preserve"> </w:t>
      </w:r>
      <w:r>
        <w:rPr>
          <w:spacing w:val="-2"/>
        </w:rPr>
        <w:t>context</w:t>
      </w:r>
      <w:r>
        <w:rPr>
          <w:spacing w:val="-9"/>
        </w:rPr>
        <w:t xml:space="preserve"> </w:t>
      </w:r>
      <w:r>
        <w:rPr>
          <w:spacing w:val="-2"/>
        </w:rPr>
        <w:t>of</w:t>
      </w:r>
      <w:r>
        <w:rPr>
          <w:spacing w:val="-9"/>
        </w:rPr>
        <w:t xml:space="preserve"> </w:t>
      </w:r>
      <w:r>
        <w:rPr>
          <w:spacing w:val="-2"/>
        </w:rPr>
        <w:t xml:space="preserve">all </w:t>
      </w:r>
      <w:r>
        <w:t>State</w:t>
      </w:r>
      <w:r>
        <w:rPr>
          <w:spacing w:val="-14"/>
        </w:rPr>
        <w:t xml:space="preserve"> </w:t>
      </w:r>
      <w:r>
        <w:t>infrastructure</w:t>
      </w:r>
      <w:r>
        <w:rPr>
          <w:spacing w:val="-14"/>
        </w:rPr>
        <w:t xml:space="preserve"> </w:t>
      </w:r>
      <w:r>
        <w:t>for</w:t>
      </w:r>
      <w:r>
        <w:rPr>
          <w:spacing w:val="-14"/>
        </w:rPr>
        <w:t xml:space="preserve"> </w:t>
      </w:r>
      <w:r>
        <w:t>the</w:t>
      </w:r>
      <w:r>
        <w:rPr>
          <w:spacing w:val="-14"/>
        </w:rPr>
        <w:t xml:space="preserve"> </w:t>
      </w:r>
      <w:r>
        <w:t>next</w:t>
      </w:r>
      <w:r>
        <w:rPr>
          <w:spacing w:val="-14"/>
        </w:rPr>
        <w:t xml:space="preserve"> </w:t>
      </w:r>
      <w:r>
        <w:t>20</w:t>
      </w:r>
      <w:r>
        <w:rPr>
          <w:spacing w:val="-14"/>
        </w:rPr>
        <w:t xml:space="preserve"> </w:t>
      </w:r>
      <w:r>
        <w:t>years.</w:t>
      </w:r>
      <w:r>
        <w:rPr>
          <w:spacing w:val="-14"/>
        </w:rPr>
        <w:t xml:space="preserve"> </w:t>
      </w:r>
      <w:r>
        <w:t>While</w:t>
      </w:r>
      <w:r>
        <w:rPr>
          <w:spacing w:val="-14"/>
        </w:rPr>
        <w:t xml:space="preserve"> </w:t>
      </w:r>
      <w:r>
        <w:t xml:space="preserve">there </w:t>
      </w:r>
      <w:r>
        <w:rPr>
          <w:w w:val="95"/>
        </w:rPr>
        <w:t xml:space="preserve">are some differences of emphasis, these are relatively </w:t>
      </w:r>
      <w:r>
        <w:t>few</w:t>
      </w:r>
      <w:r>
        <w:rPr>
          <w:spacing w:val="-14"/>
        </w:rPr>
        <w:t xml:space="preserve"> </w:t>
      </w:r>
      <w:r>
        <w:t>and</w:t>
      </w:r>
      <w:r>
        <w:rPr>
          <w:spacing w:val="-14"/>
        </w:rPr>
        <w:t xml:space="preserve"> </w:t>
      </w:r>
      <w:r>
        <w:t>Infrastructure</w:t>
      </w:r>
      <w:r>
        <w:rPr>
          <w:spacing w:val="-14"/>
        </w:rPr>
        <w:t xml:space="preserve"> </w:t>
      </w:r>
      <w:r>
        <w:t>NSW</w:t>
      </w:r>
      <w:r>
        <w:rPr>
          <w:spacing w:val="-14"/>
        </w:rPr>
        <w:t xml:space="preserve"> </w:t>
      </w:r>
      <w:r>
        <w:t>has</w:t>
      </w:r>
      <w:r>
        <w:rPr>
          <w:spacing w:val="-14"/>
        </w:rPr>
        <w:t xml:space="preserve"> </w:t>
      </w:r>
      <w:r>
        <w:t>noted</w:t>
      </w:r>
      <w:r>
        <w:rPr>
          <w:spacing w:val="-13"/>
        </w:rPr>
        <w:t xml:space="preserve"> </w:t>
      </w:r>
      <w:r>
        <w:t>a</w:t>
      </w:r>
      <w:r>
        <w:rPr>
          <w:spacing w:val="-14"/>
        </w:rPr>
        <w:t xml:space="preserve"> </w:t>
      </w:r>
      <w:r>
        <w:t>high</w:t>
      </w:r>
      <w:r>
        <w:rPr>
          <w:spacing w:val="-14"/>
        </w:rPr>
        <w:t xml:space="preserve"> </w:t>
      </w:r>
      <w:r>
        <w:t>degree of</w:t>
      </w:r>
      <w:r>
        <w:rPr>
          <w:spacing w:val="-11"/>
        </w:rPr>
        <w:t xml:space="preserve"> </w:t>
      </w:r>
      <w:r>
        <w:t>co-operation</w:t>
      </w:r>
      <w:r>
        <w:rPr>
          <w:spacing w:val="-11"/>
        </w:rPr>
        <w:t xml:space="preserve"> </w:t>
      </w:r>
      <w:r>
        <w:t>and</w:t>
      </w:r>
      <w:r>
        <w:rPr>
          <w:spacing w:val="-11"/>
        </w:rPr>
        <w:t xml:space="preserve"> </w:t>
      </w:r>
      <w:r>
        <w:t>common</w:t>
      </w:r>
      <w:r>
        <w:rPr>
          <w:spacing w:val="-11"/>
        </w:rPr>
        <w:t xml:space="preserve"> </w:t>
      </w:r>
      <w:r>
        <w:t>thought</w:t>
      </w:r>
      <w:r>
        <w:rPr>
          <w:spacing w:val="-11"/>
        </w:rPr>
        <w:t xml:space="preserve"> </w:t>
      </w:r>
      <w:r>
        <w:t>on</w:t>
      </w:r>
      <w:r>
        <w:rPr>
          <w:spacing w:val="-11"/>
        </w:rPr>
        <w:t xml:space="preserve"> </w:t>
      </w:r>
      <w:r>
        <w:t>where</w:t>
      </w:r>
      <w:r>
        <w:rPr>
          <w:spacing w:val="-11"/>
        </w:rPr>
        <w:t xml:space="preserve"> </w:t>
      </w:r>
      <w:r>
        <w:t>NSW needs to go next.</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220" w:space="40"/>
            <w:col w:w="5046" w:space="39"/>
            <w:col w:w="5715"/>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7"/>
        </w:rPr>
      </w:pPr>
    </w:p>
    <w:p w:rsidR="002C1123" w:rsidRDefault="002C1123">
      <w:pPr>
        <w:rPr>
          <w:sz w:val="17"/>
        </w:rPr>
        <w:sectPr w:rsidR="002C1123">
          <w:pgSz w:w="16840" w:h="11910" w:orient="landscape"/>
          <w:pgMar w:top="560" w:right="280" w:bottom="700" w:left="500" w:header="0" w:footer="517" w:gutter="0"/>
          <w:cols w:space="720"/>
        </w:sectPr>
      </w:pPr>
    </w:p>
    <w:p w:rsidR="002C1123" w:rsidRDefault="00F22F94">
      <w:pPr>
        <w:pStyle w:val="Heading5"/>
        <w:numPr>
          <w:ilvl w:val="1"/>
          <w:numId w:val="172"/>
        </w:numPr>
        <w:tabs>
          <w:tab w:val="left" w:pos="1342"/>
        </w:tabs>
        <w:ind w:left="1341" w:hanging="450"/>
        <w:jc w:val="left"/>
        <w:rPr>
          <w:color w:val="EC008C"/>
        </w:rPr>
      </w:pPr>
      <w:bookmarkStart w:id="46" w:name="1.4_The_State_Infrastructure_Strategy"/>
      <w:bookmarkStart w:id="47" w:name="_bookmark33"/>
      <w:bookmarkStart w:id="48" w:name="_bookmark32"/>
      <w:bookmarkEnd w:id="46"/>
      <w:bookmarkEnd w:id="47"/>
      <w:bookmarkEnd w:id="48"/>
      <w:r>
        <w:rPr>
          <w:color w:val="EC008C"/>
          <w:spacing w:val="-4"/>
        </w:rPr>
        <w:t>The</w:t>
      </w:r>
      <w:r>
        <w:rPr>
          <w:color w:val="EC008C"/>
          <w:spacing w:val="-7"/>
        </w:rPr>
        <w:t xml:space="preserve"> </w:t>
      </w:r>
      <w:r>
        <w:rPr>
          <w:color w:val="EC008C"/>
          <w:spacing w:val="-4"/>
        </w:rPr>
        <w:t>State</w:t>
      </w:r>
      <w:r>
        <w:rPr>
          <w:color w:val="EC008C"/>
          <w:spacing w:val="-7"/>
        </w:rPr>
        <w:t xml:space="preserve"> </w:t>
      </w:r>
      <w:r>
        <w:rPr>
          <w:color w:val="EC008C"/>
          <w:spacing w:val="-4"/>
        </w:rPr>
        <w:t>Infrastructure</w:t>
      </w:r>
      <w:r>
        <w:rPr>
          <w:color w:val="EC008C"/>
          <w:spacing w:val="-7"/>
        </w:rPr>
        <w:t xml:space="preserve"> </w:t>
      </w:r>
      <w:r>
        <w:rPr>
          <w:color w:val="EC008C"/>
          <w:spacing w:val="-4"/>
        </w:rPr>
        <w:t>Strategy</w:t>
      </w:r>
    </w:p>
    <w:p w:rsidR="002C1123" w:rsidRDefault="00F22F94">
      <w:pPr>
        <w:pStyle w:val="BodyText"/>
        <w:spacing w:before="135" w:line="249" w:lineRule="auto"/>
        <w:ind w:left="929" w:hanging="26"/>
      </w:pPr>
      <w:r>
        <w:rPr>
          <w:w w:val="95"/>
        </w:rPr>
        <w:t>The Strategy focuses on the strategic investments and reforms</w:t>
      </w:r>
      <w:r>
        <w:rPr>
          <w:spacing w:val="-7"/>
          <w:w w:val="95"/>
        </w:rPr>
        <w:t xml:space="preserve"> </w:t>
      </w:r>
      <w:r>
        <w:rPr>
          <w:w w:val="95"/>
        </w:rPr>
        <w:t>that</w:t>
      </w:r>
      <w:r>
        <w:rPr>
          <w:spacing w:val="-7"/>
          <w:w w:val="95"/>
        </w:rPr>
        <w:t xml:space="preserve"> </w:t>
      </w:r>
      <w:r>
        <w:rPr>
          <w:w w:val="95"/>
        </w:rPr>
        <w:t>Infrastructure</w:t>
      </w:r>
      <w:r>
        <w:rPr>
          <w:spacing w:val="-7"/>
          <w:w w:val="95"/>
        </w:rPr>
        <w:t xml:space="preserve"> </w:t>
      </w:r>
      <w:r>
        <w:rPr>
          <w:w w:val="95"/>
        </w:rPr>
        <w:t>NSW</w:t>
      </w:r>
      <w:r>
        <w:rPr>
          <w:spacing w:val="-7"/>
          <w:w w:val="95"/>
        </w:rPr>
        <w:t xml:space="preserve"> </w:t>
      </w:r>
      <w:r>
        <w:rPr>
          <w:w w:val="95"/>
        </w:rPr>
        <w:t>has</w:t>
      </w:r>
      <w:r>
        <w:rPr>
          <w:spacing w:val="-7"/>
          <w:w w:val="95"/>
        </w:rPr>
        <w:t xml:space="preserve"> </w:t>
      </w:r>
      <w:r>
        <w:rPr>
          <w:w w:val="95"/>
        </w:rPr>
        <w:t>assessed</w:t>
      </w:r>
      <w:r>
        <w:rPr>
          <w:spacing w:val="-7"/>
          <w:w w:val="95"/>
        </w:rPr>
        <w:t xml:space="preserve"> </w:t>
      </w:r>
      <w:r>
        <w:rPr>
          <w:w w:val="95"/>
        </w:rPr>
        <w:t>as</w:t>
      </w:r>
      <w:r>
        <w:rPr>
          <w:spacing w:val="-7"/>
          <w:w w:val="95"/>
        </w:rPr>
        <w:t xml:space="preserve"> </w:t>
      </w:r>
      <w:r>
        <w:rPr>
          <w:w w:val="95"/>
        </w:rPr>
        <w:t xml:space="preserve">being </w:t>
      </w:r>
      <w:r>
        <w:t>likely</w:t>
      </w:r>
      <w:r>
        <w:rPr>
          <w:spacing w:val="-13"/>
        </w:rPr>
        <w:t xml:space="preserve"> </w:t>
      </w:r>
      <w:r>
        <w:t>to</w:t>
      </w:r>
      <w:r>
        <w:rPr>
          <w:spacing w:val="-13"/>
        </w:rPr>
        <w:t xml:space="preserve"> </w:t>
      </w:r>
      <w:r>
        <w:t>have</w:t>
      </w:r>
      <w:r>
        <w:rPr>
          <w:spacing w:val="-13"/>
        </w:rPr>
        <w:t xml:space="preserve"> </w:t>
      </w:r>
      <w:r>
        <w:t>most</w:t>
      </w:r>
      <w:r>
        <w:rPr>
          <w:spacing w:val="-13"/>
        </w:rPr>
        <w:t xml:space="preserve"> </w:t>
      </w:r>
      <w:r>
        <w:t>impact</w:t>
      </w:r>
      <w:r>
        <w:rPr>
          <w:spacing w:val="-13"/>
        </w:rPr>
        <w:t xml:space="preserve"> </w:t>
      </w:r>
      <w:r>
        <w:t>over</w:t>
      </w:r>
      <w:r>
        <w:rPr>
          <w:spacing w:val="-13"/>
        </w:rPr>
        <w:t xml:space="preserve"> </w:t>
      </w:r>
      <w:r>
        <w:t>the</w:t>
      </w:r>
      <w:r>
        <w:rPr>
          <w:spacing w:val="-13"/>
        </w:rPr>
        <w:t xml:space="preserve"> </w:t>
      </w:r>
      <w:r>
        <w:t>next</w:t>
      </w:r>
      <w:r>
        <w:rPr>
          <w:spacing w:val="-13"/>
        </w:rPr>
        <w:t xml:space="preserve"> </w:t>
      </w:r>
      <w:r>
        <w:t>20</w:t>
      </w:r>
      <w:r>
        <w:rPr>
          <w:spacing w:val="-13"/>
        </w:rPr>
        <w:t xml:space="preserve"> </w:t>
      </w:r>
      <w:r>
        <w:t>years.</w:t>
      </w:r>
    </w:p>
    <w:p w:rsidR="002C1123" w:rsidRDefault="00F22F94">
      <w:pPr>
        <w:pStyle w:val="BodyText"/>
        <w:spacing w:before="144" w:line="249" w:lineRule="auto"/>
        <w:ind w:left="926" w:right="257" w:hanging="1"/>
      </w:pPr>
      <w:r>
        <w:t>It</w:t>
      </w:r>
      <w:r>
        <w:rPr>
          <w:spacing w:val="-11"/>
        </w:rPr>
        <w:t xml:space="preserve"> </w:t>
      </w:r>
      <w:r>
        <w:t>is</w:t>
      </w:r>
      <w:r>
        <w:rPr>
          <w:spacing w:val="-11"/>
        </w:rPr>
        <w:t xml:space="preserve"> </w:t>
      </w:r>
      <w:r>
        <w:t>not</w:t>
      </w:r>
      <w:r>
        <w:rPr>
          <w:spacing w:val="-11"/>
        </w:rPr>
        <w:t xml:space="preserve"> </w:t>
      </w:r>
      <w:r>
        <w:t>intended</w:t>
      </w:r>
      <w:r>
        <w:rPr>
          <w:spacing w:val="-11"/>
        </w:rPr>
        <w:t xml:space="preserve"> </w:t>
      </w:r>
      <w:r>
        <w:t>as</w:t>
      </w:r>
      <w:r>
        <w:rPr>
          <w:spacing w:val="-11"/>
        </w:rPr>
        <w:t xml:space="preserve"> </w:t>
      </w:r>
      <w:r>
        <w:t>a</w:t>
      </w:r>
      <w:r>
        <w:rPr>
          <w:spacing w:val="-11"/>
        </w:rPr>
        <w:t xml:space="preserve"> </w:t>
      </w:r>
      <w:r>
        <w:t>comprehensive</w:t>
      </w:r>
      <w:r>
        <w:rPr>
          <w:spacing w:val="-11"/>
        </w:rPr>
        <w:t xml:space="preserve"> </w:t>
      </w:r>
      <w:r>
        <w:t>capital</w:t>
      </w:r>
      <w:r>
        <w:rPr>
          <w:spacing w:val="-11"/>
        </w:rPr>
        <w:t xml:space="preserve"> </w:t>
      </w:r>
      <w:r>
        <w:t>plan for</w:t>
      </w:r>
      <w:r>
        <w:rPr>
          <w:spacing w:val="-10"/>
        </w:rPr>
        <w:t xml:space="preserve"> </w:t>
      </w:r>
      <w:r>
        <w:t>the</w:t>
      </w:r>
      <w:r>
        <w:rPr>
          <w:spacing w:val="-10"/>
        </w:rPr>
        <w:t xml:space="preserve"> </w:t>
      </w:r>
      <w:r>
        <w:t>whole</w:t>
      </w:r>
      <w:r>
        <w:rPr>
          <w:spacing w:val="-10"/>
        </w:rPr>
        <w:t xml:space="preserve"> </w:t>
      </w:r>
      <w:r>
        <w:t>of</w:t>
      </w:r>
      <w:r>
        <w:rPr>
          <w:spacing w:val="-10"/>
        </w:rPr>
        <w:t xml:space="preserve"> </w:t>
      </w:r>
      <w:r>
        <w:t>the</w:t>
      </w:r>
      <w:r>
        <w:rPr>
          <w:spacing w:val="-10"/>
        </w:rPr>
        <w:t xml:space="preserve"> </w:t>
      </w:r>
      <w:r>
        <w:t>NSW</w:t>
      </w:r>
      <w:r>
        <w:rPr>
          <w:spacing w:val="-10"/>
        </w:rPr>
        <w:t xml:space="preserve"> </w:t>
      </w:r>
      <w:r>
        <w:t>public</w:t>
      </w:r>
      <w:r>
        <w:rPr>
          <w:spacing w:val="-10"/>
        </w:rPr>
        <w:t xml:space="preserve"> </w:t>
      </w:r>
      <w:r>
        <w:t>sector</w:t>
      </w:r>
      <w:r>
        <w:rPr>
          <w:spacing w:val="-10"/>
        </w:rPr>
        <w:t xml:space="preserve"> </w:t>
      </w:r>
      <w:r>
        <w:t>for</w:t>
      </w:r>
      <w:r>
        <w:rPr>
          <w:spacing w:val="-10"/>
        </w:rPr>
        <w:t xml:space="preserve"> </w:t>
      </w:r>
      <w:r>
        <w:t>the</w:t>
      </w:r>
      <w:r>
        <w:rPr>
          <w:spacing w:val="-10"/>
        </w:rPr>
        <w:t xml:space="preserve"> </w:t>
      </w:r>
      <w:r>
        <w:t>next two</w:t>
      </w:r>
      <w:r>
        <w:rPr>
          <w:spacing w:val="-4"/>
        </w:rPr>
        <w:t xml:space="preserve"> </w:t>
      </w:r>
      <w:r>
        <w:t>decades;</w:t>
      </w:r>
      <w:r>
        <w:rPr>
          <w:spacing w:val="-4"/>
        </w:rPr>
        <w:t xml:space="preserve"> </w:t>
      </w:r>
      <w:r>
        <w:t>as</w:t>
      </w:r>
      <w:r>
        <w:rPr>
          <w:spacing w:val="-4"/>
        </w:rPr>
        <w:t xml:space="preserve"> </w:t>
      </w:r>
      <w:r>
        <w:t>noted</w:t>
      </w:r>
      <w:r>
        <w:rPr>
          <w:spacing w:val="-4"/>
        </w:rPr>
        <w:t xml:space="preserve"> </w:t>
      </w:r>
      <w:r>
        <w:t>much</w:t>
      </w:r>
      <w:r>
        <w:rPr>
          <w:spacing w:val="-4"/>
        </w:rPr>
        <w:t xml:space="preserve"> </w:t>
      </w:r>
      <w:r>
        <w:t>of</w:t>
      </w:r>
      <w:r>
        <w:rPr>
          <w:spacing w:val="-4"/>
        </w:rPr>
        <w:t xml:space="preserve"> </w:t>
      </w:r>
      <w:r>
        <w:t>this</w:t>
      </w:r>
      <w:r>
        <w:rPr>
          <w:spacing w:val="-4"/>
        </w:rPr>
        <w:t xml:space="preserve"> </w:t>
      </w:r>
      <w:r>
        <w:t>detailed</w:t>
      </w:r>
      <w:r>
        <w:rPr>
          <w:spacing w:val="-4"/>
        </w:rPr>
        <w:t xml:space="preserve"> </w:t>
      </w:r>
      <w:r>
        <w:t>work properly</w:t>
      </w:r>
      <w:r>
        <w:rPr>
          <w:spacing w:val="-8"/>
        </w:rPr>
        <w:t xml:space="preserve"> </w:t>
      </w:r>
      <w:r>
        <w:t>devolves</w:t>
      </w:r>
      <w:r>
        <w:rPr>
          <w:spacing w:val="-8"/>
        </w:rPr>
        <w:t xml:space="preserve"> </w:t>
      </w:r>
      <w:r>
        <w:t>to</w:t>
      </w:r>
      <w:r>
        <w:rPr>
          <w:spacing w:val="-8"/>
        </w:rPr>
        <w:t xml:space="preserve"> </w:t>
      </w:r>
      <w:r>
        <w:t>the</w:t>
      </w:r>
      <w:r>
        <w:rPr>
          <w:spacing w:val="-8"/>
        </w:rPr>
        <w:t xml:space="preserve"> </w:t>
      </w:r>
      <w:r>
        <w:t>expertise</w:t>
      </w:r>
      <w:r>
        <w:rPr>
          <w:spacing w:val="-8"/>
        </w:rPr>
        <w:t xml:space="preserve"> </w:t>
      </w:r>
      <w:r>
        <w:t>of</w:t>
      </w:r>
      <w:r>
        <w:rPr>
          <w:spacing w:val="-8"/>
        </w:rPr>
        <w:t xml:space="preserve"> </w:t>
      </w:r>
      <w:r>
        <w:t xml:space="preserve">departments </w:t>
      </w:r>
      <w:r>
        <w:rPr>
          <w:w w:val="95"/>
        </w:rPr>
        <w:t>and</w:t>
      </w:r>
      <w:r>
        <w:rPr>
          <w:spacing w:val="-3"/>
          <w:w w:val="95"/>
        </w:rPr>
        <w:t xml:space="preserve"> </w:t>
      </w:r>
      <w:r>
        <w:rPr>
          <w:w w:val="95"/>
        </w:rPr>
        <w:t>specialist</w:t>
      </w:r>
      <w:r>
        <w:rPr>
          <w:spacing w:val="-3"/>
          <w:w w:val="95"/>
        </w:rPr>
        <w:t xml:space="preserve"> </w:t>
      </w:r>
      <w:r>
        <w:rPr>
          <w:w w:val="95"/>
        </w:rPr>
        <w:t>agencies</w:t>
      </w:r>
      <w:r>
        <w:rPr>
          <w:spacing w:val="-3"/>
          <w:w w:val="95"/>
        </w:rPr>
        <w:t xml:space="preserve"> </w:t>
      </w:r>
      <w:r>
        <w:rPr>
          <w:w w:val="95"/>
        </w:rPr>
        <w:t>at</w:t>
      </w:r>
      <w:r>
        <w:rPr>
          <w:spacing w:val="-3"/>
          <w:w w:val="95"/>
        </w:rPr>
        <w:t xml:space="preserve"> </w:t>
      </w:r>
      <w:r>
        <w:rPr>
          <w:w w:val="95"/>
        </w:rPr>
        <w:t>the</w:t>
      </w:r>
      <w:r>
        <w:rPr>
          <w:spacing w:val="-3"/>
          <w:w w:val="95"/>
        </w:rPr>
        <w:t xml:space="preserve"> </w:t>
      </w:r>
      <w:r>
        <w:rPr>
          <w:w w:val="95"/>
        </w:rPr>
        <w:t>coalface.</w:t>
      </w:r>
      <w:r>
        <w:rPr>
          <w:spacing w:val="-3"/>
          <w:w w:val="95"/>
        </w:rPr>
        <w:t xml:space="preserve"> </w:t>
      </w:r>
      <w:r>
        <w:rPr>
          <w:w w:val="95"/>
        </w:rPr>
        <w:t>It</w:t>
      </w:r>
      <w:r>
        <w:rPr>
          <w:spacing w:val="-3"/>
          <w:w w:val="95"/>
        </w:rPr>
        <w:t xml:space="preserve"> </w:t>
      </w:r>
      <w:r>
        <w:rPr>
          <w:w w:val="95"/>
        </w:rPr>
        <w:t xml:space="preserve">comprises </w:t>
      </w:r>
      <w:r>
        <w:t>recommendations</w:t>
      </w:r>
      <w:r>
        <w:rPr>
          <w:spacing w:val="-11"/>
        </w:rPr>
        <w:t xml:space="preserve"> </w:t>
      </w:r>
      <w:r>
        <w:t>for:</w:t>
      </w:r>
    </w:p>
    <w:p w:rsidR="002C1123" w:rsidRDefault="00F22F94">
      <w:pPr>
        <w:pStyle w:val="ListParagraph"/>
        <w:numPr>
          <w:ilvl w:val="0"/>
          <w:numId w:val="153"/>
        </w:numPr>
        <w:tabs>
          <w:tab w:val="left" w:pos="1212"/>
          <w:tab w:val="left" w:pos="1213"/>
        </w:tabs>
        <w:spacing w:before="134"/>
        <w:ind w:left="1212"/>
        <w:rPr>
          <w:sz w:val="20"/>
        </w:rPr>
      </w:pPr>
      <w:r>
        <w:rPr>
          <w:w w:val="95"/>
          <w:sz w:val="20"/>
        </w:rPr>
        <w:t>investment</w:t>
      </w:r>
      <w:r>
        <w:rPr>
          <w:spacing w:val="-7"/>
          <w:w w:val="95"/>
          <w:sz w:val="20"/>
        </w:rPr>
        <w:t xml:space="preserve"> </w:t>
      </w:r>
      <w:r>
        <w:rPr>
          <w:w w:val="95"/>
          <w:sz w:val="20"/>
        </w:rPr>
        <w:t>in</w:t>
      </w:r>
      <w:r>
        <w:rPr>
          <w:spacing w:val="-7"/>
          <w:w w:val="95"/>
          <w:sz w:val="20"/>
        </w:rPr>
        <w:t xml:space="preserve"> </w:t>
      </w:r>
      <w:r>
        <w:rPr>
          <w:w w:val="95"/>
          <w:sz w:val="20"/>
        </w:rPr>
        <w:t>specific</w:t>
      </w:r>
      <w:r>
        <w:rPr>
          <w:spacing w:val="-6"/>
          <w:w w:val="95"/>
          <w:sz w:val="20"/>
        </w:rPr>
        <w:t xml:space="preserve"> </w:t>
      </w:r>
      <w:r>
        <w:rPr>
          <w:w w:val="95"/>
          <w:sz w:val="20"/>
        </w:rPr>
        <w:t>major</w:t>
      </w:r>
      <w:r>
        <w:rPr>
          <w:spacing w:val="-7"/>
          <w:w w:val="95"/>
          <w:sz w:val="20"/>
        </w:rPr>
        <w:t xml:space="preserve"> </w:t>
      </w:r>
      <w:r>
        <w:rPr>
          <w:spacing w:val="-2"/>
          <w:w w:val="95"/>
          <w:sz w:val="20"/>
        </w:rPr>
        <w:t>projects</w:t>
      </w:r>
    </w:p>
    <w:p w:rsidR="002C1123" w:rsidRDefault="00F22F94">
      <w:pPr>
        <w:pStyle w:val="ListParagraph"/>
        <w:numPr>
          <w:ilvl w:val="0"/>
          <w:numId w:val="153"/>
        </w:numPr>
        <w:tabs>
          <w:tab w:val="left" w:pos="1209"/>
          <w:tab w:val="left" w:pos="1210"/>
        </w:tabs>
        <w:spacing w:before="139" w:line="249" w:lineRule="auto"/>
        <w:ind w:right="139" w:hanging="309"/>
        <w:rPr>
          <w:sz w:val="20"/>
        </w:rPr>
      </w:pPr>
      <w:r>
        <w:rPr>
          <w:sz w:val="20"/>
        </w:rPr>
        <w:t>wider</w:t>
      </w:r>
      <w:r>
        <w:rPr>
          <w:spacing w:val="-7"/>
          <w:sz w:val="20"/>
        </w:rPr>
        <w:t xml:space="preserve"> </w:t>
      </w:r>
      <w:r>
        <w:rPr>
          <w:sz w:val="20"/>
        </w:rPr>
        <w:t>policy</w:t>
      </w:r>
      <w:r>
        <w:rPr>
          <w:spacing w:val="-7"/>
          <w:sz w:val="20"/>
        </w:rPr>
        <w:t xml:space="preserve"> </w:t>
      </w:r>
      <w:r>
        <w:rPr>
          <w:sz w:val="20"/>
        </w:rPr>
        <w:t>and</w:t>
      </w:r>
      <w:r>
        <w:rPr>
          <w:spacing w:val="-7"/>
          <w:sz w:val="20"/>
        </w:rPr>
        <w:t xml:space="preserve"> </w:t>
      </w:r>
      <w:r>
        <w:rPr>
          <w:sz w:val="20"/>
        </w:rPr>
        <w:t>market</w:t>
      </w:r>
      <w:r>
        <w:rPr>
          <w:spacing w:val="-7"/>
          <w:sz w:val="20"/>
        </w:rPr>
        <w:t xml:space="preserve"> </w:t>
      </w:r>
      <w:r>
        <w:rPr>
          <w:sz w:val="20"/>
        </w:rPr>
        <w:t>reforms</w:t>
      </w:r>
      <w:r>
        <w:rPr>
          <w:spacing w:val="-7"/>
          <w:sz w:val="20"/>
        </w:rPr>
        <w:t xml:space="preserve"> </w:t>
      </w:r>
      <w:r>
        <w:rPr>
          <w:sz w:val="20"/>
        </w:rPr>
        <w:t>to</w:t>
      </w:r>
      <w:r>
        <w:rPr>
          <w:spacing w:val="-7"/>
          <w:sz w:val="20"/>
        </w:rPr>
        <w:t xml:space="preserve"> </w:t>
      </w:r>
      <w:r>
        <w:rPr>
          <w:sz w:val="20"/>
        </w:rPr>
        <w:t>improve</w:t>
      </w:r>
      <w:r>
        <w:rPr>
          <w:spacing w:val="-7"/>
          <w:sz w:val="20"/>
        </w:rPr>
        <w:t xml:space="preserve"> </w:t>
      </w:r>
      <w:r>
        <w:rPr>
          <w:sz w:val="20"/>
        </w:rPr>
        <w:t>how infrastructure</w:t>
      </w:r>
      <w:r>
        <w:rPr>
          <w:spacing w:val="-11"/>
          <w:sz w:val="20"/>
        </w:rPr>
        <w:t xml:space="preserve"> </w:t>
      </w:r>
      <w:r>
        <w:rPr>
          <w:sz w:val="20"/>
        </w:rPr>
        <w:t>is</w:t>
      </w:r>
      <w:r>
        <w:rPr>
          <w:spacing w:val="-11"/>
          <w:sz w:val="20"/>
        </w:rPr>
        <w:t xml:space="preserve"> </w:t>
      </w:r>
      <w:r>
        <w:rPr>
          <w:sz w:val="20"/>
        </w:rPr>
        <w:t>planned,</w:t>
      </w:r>
      <w:r>
        <w:rPr>
          <w:spacing w:val="-11"/>
          <w:sz w:val="20"/>
        </w:rPr>
        <w:t xml:space="preserve"> </w:t>
      </w:r>
      <w:r>
        <w:rPr>
          <w:sz w:val="20"/>
        </w:rPr>
        <w:t>procured</w:t>
      </w:r>
      <w:r>
        <w:rPr>
          <w:spacing w:val="-11"/>
          <w:sz w:val="20"/>
        </w:rPr>
        <w:t xml:space="preserve"> </w:t>
      </w:r>
      <w:r>
        <w:rPr>
          <w:sz w:val="20"/>
        </w:rPr>
        <w:t>and</w:t>
      </w:r>
      <w:r>
        <w:rPr>
          <w:spacing w:val="-11"/>
          <w:sz w:val="20"/>
        </w:rPr>
        <w:t xml:space="preserve"> </w:t>
      </w:r>
      <w:r>
        <w:rPr>
          <w:sz w:val="20"/>
        </w:rPr>
        <w:t xml:space="preserve">delivered, </w:t>
      </w:r>
      <w:r>
        <w:rPr>
          <w:w w:val="95"/>
          <w:sz w:val="20"/>
        </w:rPr>
        <w:t xml:space="preserve">particularly reforms that introduce competition and </w:t>
      </w:r>
      <w:r>
        <w:rPr>
          <w:sz w:val="20"/>
        </w:rPr>
        <w:t>increase</w:t>
      </w:r>
      <w:r>
        <w:rPr>
          <w:spacing w:val="-14"/>
          <w:sz w:val="20"/>
        </w:rPr>
        <w:t xml:space="preserve"> </w:t>
      </w:r>
      <w:r>
        <w:rPr>
          <w:sz w:val="20"/>
        </w:rPr>
        <w:t>private</w:t>
      </w:r>
      <w:r>
        <w:rPr>
          <w:spacing w:val="-14"/>
          <w:sz w:val="20"/>
        </w:rPr>
        <w:t xml:space="preserve"> </w:t>
      </w:r>
      <w:r>
        <w:rPr>
          <w:sz w:val="20"/>
        </w:rPr>
        <w:t>sector</w:t>
      </w:r>
      <w:r>
        <w:rPr>
          <w:spacing w:val="-14"/>
          <w:sz w:val="20"/>
        </w:rPr>
        <w:t xml:space="preserve"> </w:t>
      </w:r>
      <w:r>
        <w:rPr>
          <w:sz w:val="20"/>
        </w:rPr>
        <w:t>involvement</w:t>
      </w:r>
      <w:r>
        <w:rPr>
          <w:spacing w:val="-14"/>
          <w:sz w:val="20"/>
        </w:rPr>
        <w:t xml:space="preserve"> </w:t>
      </w:r>
      <w:r>
        <w:rPr>
          <w:sz w:val="20"/>
        </w:rPr>
        <w:t>and</w:t>
      </w:r>
      <w:r>
        <w:rPr>
          <w:spacing w:val="-14"/>
          <w:sz w:val="20"/>
        </w:rPr>
        <w:t xml:space="preserve"> </w:t>
      </w:r>
      <w:r>
        <w:rPr>
          <w:sz w:val="20"/>
        </w:rPr>
        <w:t>offer</w:t>
      </w:r>
      <w:r>
        <w:rPr>
          <w:spacing w:val="-14"/>
          <w:sz w:val="20"/>
        </w:rPr>
        <w:t xml:space="preserve"> </w:t>
      </w:r>
      <w:r>
        <w:rPr>
          <w:sz w:val="20"/>
        </w:rPr>
        <w:t xml:space="preserve">an </w:t>
      </w:r>
      <w:r>
        <w:rPr>
          <w:w w:val="95"/>
          <w:sz w:val="20"/>
        </w:rPr>
        <w:t>opportunity</w:t>
      </w:r>
      <w:r>
        <w:rPr>
          <w:spacing w:val="-5"/>
          <w:w w:val="95"/>
          <w:sz w:val="20"/>
        </w:rPr>
        <w:t xml:space="preserve"> </w:t>
      </w:r>
      <w:r>
        <w:rPr>
          <w:w w:val="95"/>
          <w:sz w:val="20"/>
        </w:rPr>
        <w:t>for</w:t>
      </w:r>
      <w:r>
        <w:rPr>
          <w:spacing w:val="-5"/>
          <w:w w:val="95"/>
          <w:sz w:val="20"/>
        </w:rPr>
        <w:t xml:space="preserve"> </w:t>
      </w:r>
      <w:r>
        <w:rPr>
          <w:w w:val="95"/>
          <w:sz w:val="20"/>
        </w:rPr>
        <w:t>innovation</w:t>
      </w:r>
      <w:r>
        <w:rPr>
          <w:spacing w:val="-5"/>
          <w:w w:val="95"/>
          <w:sz w:val="20"/>
        </w:rPr>
        <w:t xml:space="preserve"> </w:t>
      </w:r>
      <w:r>
        <w:rPr>
          <w:w w:val="95"/>
          <w:sz w:val="20"/>
        </w:rPr>
        <w:t>and</w:t>
      </w:r>
      <w:r>
        <w:rPr>
          <w:spacing w:val="-5"/>
          <w:w w:val="95"/>
          <w:sz w:val="20"/>
        </w:rPr>
        <w:t xml:space="preserve"> </w:t>
      </w:r>
      <w:r>
        <w:rPr>
          <w:w w:val="95"/>
          <w:sz w:val="20"/>
        </w:rPr>
        <w:t>for</w:t>
      </w:r>
      <w:r>
        <w:rPr>
          <w:spacing w:val="-5"/>
          <w:w w:val="95"/>
          <w:sz w:val="20"/>
        </w:rPr>
        <w:t xml:space="preserve"> </w:t>
      </w:r>
      <w:r>
        <w:rPr>
          <w:w w:val="95"/>
          <w:sz w:val="20"/>
        </w:rPr>
        <w:t>greater</w:t>
      </w:r>
      <w:r>
        <w:rPr>
          <w:spacing w:val="-5"/>
          <w:w w:val="95"/>
          <w:sz w:val="20"/>
        </w:rPr>
        <w:t xml:space="preserve"> </w:t>
      </w:r>
      <w:r>
        <w:rPr>
          <w:w w:val="95"/>
          <w:sz w:val="20"/>
        </w:rPr>
        <w:t>efficiency.</w:t>
      </w:r>
    </w:p>
    <w:p w:rsidR="002C1123" w:rsidRDefault="00F22F94">
      <w:pPr>
        <w:pStyle w:val="BodyText"/>
        <w:spacing w:before="146" w:line="249" w:lineRule="auto"/>
        <w:ind w:left="926" w:hanging="2"/>
      </w:pPr>
      <w:r>
        <w:rPr>
          <w:spacing w:val="-2"/>
        </w:rPr>
        <w:t>In</w:t>
      </w:r>
      <w:r>
        <w:rPr>
          <w:spacing w:val="-6"/>
        </w:rPr>
        <w:t xml:space="preserve"> </w:t>
      </w:r>
      <w:r>
        <w:rPr>
          <w:spacing w:val="-2"/>
        </w:rPr>
        <w:t>framing</w:t>
      </w:r>
      <w:r>
        <w:rPr>
          <w:spacing w:val="-6"/>
        </w:rPr>
        <w:t xml:space="preserve"> </w:t>
      </w:r>
      <w:r>
        <w:rPr>
          <w:spacing w:val="-2"/>
        </w:rPr>
        <w:t>the</w:t>
      </w:r>
      <w:r>
        <w:rPr>
          <w:spacing w:val="-6"/>
        </w:rPr>
        <w:t xml:space="preserve"> </w:t>
      </w:r>
      <w:r>
        <w:rPr>
          <w:spacing w:val="-2"/>
        </w:rPr>
        <w:t>priorities</w:t>
      </w:r>
      <w:r>
        <w:rPr>
          <w:spacing w:val="-6"/>
        </w:rPr>
        <w:t xml:space="preserve"> </w:t>
      </w:r>
      <w:r>
        <w:rPr>
          <w:spacing w:val="-2"/>
        </w:rPr>
        <w:t>for</w:t>
      </w:r>
      <w:r>
        <w:rPr>
          <w:spacing w:val="-6"/>
        </w:rPr>
        <w:t xml:space="preserve"> </w:t>
      </w:r>
      <w:r>
        <w:rPr>
          <w:spacing w:val="-2"/>
        </w:rPr>
        <w:t>this</w:t>
      </w:r>
      <w:r>
        <w:rPr>
          <w:spacing w:val="-6"/>
        </w:rPr>
        <w:t xml:space="preserve"> </w:t>
      </w:r>
      <w:r>
        <w:rPr>
          <w:spacing w:val="-2"/>
        </w:rPr>
        <w:t>Strategy,</w:t>
      </w:r>
      <w:r>
        <w:rPr>
          <w:spacing w:val="-6"/>
        </w:rPr>
        <w:t xml:space="preserve"> </w:t>
      </w:r>
      <w:r>
        <w:rPr>
          <w:spacing w:val="-2"/>
        </w:rPr>
        <w:t xml:space="preserve">Infrastructure </w:t>
      </w:r>
      <w:r>
        <w:rPr>
          <w:w w:val="95"/>
        </w:rPr>
        <w:t>NSW</w:t>
      </w:r>
      <w:r>
        <w:rPr>
          <w:spacing w:val="-9"/>
          <w:w w:val="95"/>
        </w:rPr>
        <w:t xml:space="preserve"> </w:t>
      </w:r>
      <w:r>
        <w:rPr>
          <w:w w:val="95"/>
        </w:rPr>
        <w:t>has</w:t>
      </w:r>
      <w:r>
        <w:rPr>
          <w:spacing w:val="-9"/>
          <w:w w:val="95"/>
        </w:rPr>
        <w:t xml:space="preserve"> </w:t>
      </w:r>
      <w:r>
        <w:rPr>
          <w:w w:val="95"/>
        </w:rPr>
        <w:t>taken</w:t>
      </w:r>
      <w:r>
        <w:rPr>
          <w:spacing w:val="-9"/>
          <w:w w:val="95"/>
        </w:rPr>
        <w:t xml:space="preserve"> </w:t>
      </w:r>
      <w:r>
        <w:rPr>
          <w:w w:val="95"/>
        </w:rPr>
        <w:t>the</w:t>
      </w:r>
      <w:r>
        <w:rPr>
          <w:spacing w:val="-9"/>
          <w:w w:val="95"/>
        </w:rPr>
        <w:t xml:space="preserve"> </w:t>
      </w:r>
      <w:r>
        <w:rPr>
          <w:w w:val="95"/>
        </w:rPr>
        <w:t>Premier’s</w:t>
      </w:r>
      <w:r>
        <w:rPr>
          <w:spacing w:val="-9"/>
          <w:w w:val="95"/>
        </w:rPr>
        <w:t xml:space="preserve"> </w:t>
      </w:r>
      <w:r>
        <w:rPr>
          <w:w w:val="95"/>
        </w:rPr>
        <w:t>directive</w:t>
      </w:r>
      <w:r>
        <w:rPr>
          <w:spacing w:val="-9"/>
          <w:w w:val="95"/>
        </w:rPr>
        <w:t xml:space="preserve"> </w:t>
      </w:r>
      <w:r>
        <w:rPr>
          <w:w w:val="95"/>
        </w:rPr>
        <w:t>that</w:t>
      </w:r>
      <w:r>
        <w:rPr>
          <w:spacing w:val="-9"/>
          <w:w w:val="95"/>
        </w:rPr>
        <w:t xml:space="preserve"> </w:t>
      </w:r>
      <w:r>
        <w:rPr>
          <w:w w:val="95"/>
        </w:rPr>
        <w:t>NSW</w:t>
      </w:r>
      <w:r>
        <w:rPr>
          <w:spacing w:val="-9"/>
          <w:w w:val="95"/>
        </w:rPr>
        <w:t xml:space="preserve"> </w:t>
      </w:r>
      <w:r>
        <w:rPr>
          <w:w w:val="95"/>
        </w:rPr>
        <w:t xml:space="preserve">should </w:t>
      </w:r>
      <w:r>
        <w:t>be</w:t>
      </w:r>
      <w:r>
        <w:rPr>
          <w:spacing w:val="-11"/>
        </w:rPr>
        <w:t xml:space="preserve"> </w:t>
      </w:r>
      <w:r>
        <w:t>number</w:t>
      </w:r>
      <w:r>
        <w:rPr>
          <w:spacing w:val="-11"/>
        </w:rPr>
        <w:t xml:space="preserve"> </w:t>
      </w:r>
      <w:r>
        <w:t>one</w:t>
      </w:r>
      <w:r>
        <w:rPr>
          <w:spacing w:val="-11"/>
        </w:rPr>
        <w:t xml:space="preserve"> </w:t>
      </w:r>
      <w:r>
        <w:t>again</w:t>
      </w:r>
      <w:r>
        <w:rPr>
          <w:spacing w:val="-11"/>
        </w:rPr>
        <w:t xml:space="preserve"> </w:t>
      </w:r>
      <w:r>
        <w:t>as</w:t>
      </w:r>
      <w:r>
        <w:rPr>
          <w:spacing w:val="-11"/>
        </w:rPr>
        <w:t xml:space="preserve"> </w:t>
      </w:r>
      <w:r>
        <w:t>per</w:t>
      </w:r>
      <w:r>
        <w:rPr>
          <w:spacing w:val="-11"/>
        </w:rPr>
        <w:t xml:space="preserve"> </w:t>
      </w:r>
      <w:r>
        <w:t>its</w:t>
      </w:r>
      <w:r>
        <w:rPr>
          <w:spacing w:val="-11"/>
        </w:rPr>
        <w:t xml:space="preserve"> </w:t>
      </w:r>
      <w:r>
        <w:t>mission</w:t>
      </w:r>
      <w:r>
        <w:rPr>
          <w:spacing w:val="-11"/>
        </w:rPr>
        <w:t xml:space="preserve"> </w:t>
      </w:r>
      <w:r>
        <w:t>Statement.</w:t>
      </w:r>
    </w:p>
    <w:p w:rsidR="002C1123" w:rsidRDefault="00F22F94">
      <w:pPr>
        <w:pStyle w:val="BodyText"/>
        <w:spacing w:before="2" w:line="249" w:lineRule="auto"/>
        <w:ind w:left="926" w:hanging="1"/>
        <w:jc w:val="both"/>
      </w:pPr>
      <w:r>
        <w:rPr>
          <w:w w:val="95"/>
        </w:rPr>
        <w:t>Infrastructure</w:t>
      </w:r>
      <w:r>
        <w:rPr>
          <w:spacing w:val="-8"/>
          <w:w w:val="95"/>
        </w:rPr>
        <w:t xml:space="preserve"> </w:t>
      </w:r>
      <w:r>
        <w:rPr>
          <w:w w:val="95"/>
        </w:rPr>
        <w:t>needs</w:t>
      </w:r>
      <w:r>
        <w:rPr>
          <w:spacing w:val="-8"/>
          <w:w w:val="95"/>
        </w:rPr>
        <w:t xml:space="preserve"> </w:t>
      </w:r>
      <w:r>
        <w:rPr>
          <w:w w:val="95"/>
        </w:rPr>
        <w:t>to</w:t>
      </w:r>
      <w:r>
        <w:rPr>
          <w:spacing w:val="-8"/>
          <w:w w:val="95"/>
        </w:rPr>
        <w:t xml:space="preserve"> </w:t>
      </w:r>
      <w:r>
        <w:rPr>
          <w:w w:val="95"/>
        </w:rPr>
        <w:t>act</w:t>
      </w:r>
      <w:r>
        <w:rPr>
          <w:spacing w:val="-8"/>
          <w:w w:val="95"/>
        </w:rPr>
        <w:t xml:space="preserve"> </w:t>
      </w:r>
      <w:r>
        <w:rPr>
          <w:w w:val="95"/>
        </w:rPr>
        <w:t>as</w:t>
      </w:r>
      <w:r>
        <w:rPr>
          <w:spacing w:val="-8"/>
          <w:w w:val="95"/>
        </w:rPr>
        <w:t xml:space="preserve"> </w:t>
      </w:r>
      <w:r>
        <w:rPr>
          <w:w w:val="95"/>
        </w:rPr>
        <w:t>a</w:t>
      </w:r>
      <w:r>
        <w:rPr>
          <w:spacing w:val="-8"/>
          <w:w w:val="95"/>
        </w:rPr>
        <w:t xml:space="preserve"> </w:t>
      </w:r>
      <w:r>
        <w:rPr>
          <w:w w:val="95"/>
        </w:rPr>
        <w:t>key</w:t>
      </w:r>
      <w:r>
        <w:rPr>
          <w:spacing w:val="-8"/>
          <w:w w:val="95"/>
        </w:rPr>
        <w:t xml:space="preserve"> </w:t>
      </w:r>
      <w:r>
        <w:rPr>
          <w:w w:val="95"/>
        </w:rPr>
        <w:t>enabler</w:t>
      </w:r>
      <w:r>
        <w:rPr>
          <w:spacing w:val="-8"/>
          <w:w w:val="95"/>
        </w:rPr>
        <w:t xml:space="preserve"> </w:t>
      </w:r>
      <w:r>
        <w:rPr>
          <w:w w:val="95"/>
        </w:rPr>
        <w:t>in</w:t>
      </w:r>
      <w:r>
        <w:rPr>
          <w:spacing w:val="-8"/>
          <w:w w:val="95"/>
        </w:rPr>
        <w:t xml:space="preserve"> </w:t>
      </w:r>
      <w:r>
        <w:rPr>
          <w:w w:val="95"/>
        </w:rPr>
        <w:t>getting</w:t>
      </w:r>
      <w:r>
        <w:rPr>
          <w:spacing w:val="-8"/>
          <w:w w:val="95"/>
        </w:rPr>
        <w:t xml:space="preserve"> </w:t>
      </w:r>
      <w:r>
        <w:rPr>
          <w:w w:val="95"/>
        </w:rPr>
        <w:t>the economy</w:t>
      </w:r>
      <w:r>
        <w:rPr>
          <w:spacing w:val="-6"/>
          <w:w w:val="95"/>
        </w:rPr>
        <w:t xml:space="preserve"> </w:t>
      </w:r>
      <w:r>
        <w:rPr>
          <w:w w:val="95"/>
        </w:rPr>
        <w:t>moving</w:t>
      </w:r>
      <w:r>
        <w:rPr>
          <w:spacing w:val="-6"/>
          <w:w w:val="95"/>
        </w:rPr>
        <w:t xml:space="preserve"> </w:t>
      </w:r>
      <w:r>
        <w:rPr>
          <w:w w:val="95"/>
        </w:rPr>
        <w:t>again</w:t>
      </w:r>
      <w:r>
        <w:rPr>
          <w:spacing w:val="-6"/>
          <w:w w:val="95"/>
        </w:rPr>
        <w:t xml:space="preserve"> </w:t>
      </w:r>
      <w:r>
        <w:rPr>
          <w:w w:val="95"/>
        </w:rPr>
        <w:t>and</w:t>
      </w:r>
      <w:r>
        <w:rPr>
          <w:spacing w:val="-6"/>
          <w:w w:val="95"/>
        </w:rPr>
        <w:t xml:space="preserve"> </w:t>
      </w:r>
      <w:r>
        <w:rPr>
          <w:w w:val="95"/>
        </w:rPr>
        <w:t>in</w:t>
      </w:r>
      <w:r>
        <w:rPr>
          <w:spacing w:val="-6"/>
          <w:w w:val="95"/>
        </w:rPr>
        <w:t xml:space="preserve"> </w:t>
      </w:r>
      <w:r>
        <w:rPr>
          <w:w w:val="95"/>
        </w:rPr>
        <w:t>so</w:t>
      </w:r>
      <w:r>
        <w:rPr>
          <w:spacing w:val="-6"/>
          <w:w w:val="95"/>
        </w:rPr>
        <w:t xml:space="preserve"> </w:t>
      </w:r>
      <w:r>
        <w:rPr>
          <w:w w:val="95"/>
        </w:rPr>
        <w:t>doing</w:t>
      </w:r>
      <w:r>
        <w:rPr>
          <w:spacing w:val="-6"/>
          <w:w w:val="95"/>
        </w:rPr>
        <w:t xml:space="preserve"> </w:t>
      </w:r>
      <w:r>
        <w:rPr>
          <w:w w:val="95"/>
        </w:rPr>
        <w:t>make</w:t>
      </w:r>
      <w:r>
        <w:rPr>
          <w:spacing w:val="-6"/>
          <w:w w:val="95"/>
        </w:rPr>
        <w:t xml:space="preserve"> </w:t>
      </w:r>
      <w:r>
        <w:rPr>
          <w:w w:val="95"/>
        </w:rPr>
        <w:t>the</w:t>
      </w:r>
      <w:r>
        <w:rPr>
          <w:spacing w:val="-6"/>
          <w:w w:val="95"/>
        </w:rPr>
        <w:t xml:space="preserve"> </w:t>
      </w:r>
      <w:r>
        <w:rPr>
          <w:w w:val="95"/>
        </w:rPr>
        <w:t>lives</w:t>
      </w:r>
      <w:r>
        <w:rPr>
          <w:spacing w:val="-6"/>
          <w:w w:val="95"/>
        </w:rPr>
        <w:t xml:space="preserve"> </w:t>
      </w:r>
      <w:r>
        <w:rPr>
          <w:w w:val="95"/>
        </w:rPr>
        <w:t xml:space="preserve">of </w:t>
      </w:r>
      <w:r>
        <w:t>all people in NSW better.</w:t>
      </w:r>
    </w:p>
    <w:p w:rsidR="002C1123" w:rsidRDefault="00F22F94">
      <w:pPr>
        <w:pStyle w:val="BodyText"/>
        <w:spacing w:before="145" w:line="249" w:lineRule="auto"/>
        <w:ind w:left="922" w:hanging="19"/>
      </w:pPr>
      <w:r>
        <w:t>The</w:t>
      </w:r>
      <w:r>
        <w:rPr>
          <w:spacing w:val="-14"/>
        </w:rPr>
        <w:t xml:space="preserve"> </w:t>
      </w:r>
      <w:r>
        <w:t>Report</w:t>
      </w:r>
      <w:r>
        <w:rPr>
          <w:spacing w:val="-14"/>
        </w:rPr>
        <w:t xml:space="preserve"> </w:t>
      </w:r>
      <w:r>
        <w:t>of</w:t>
      </w:r>
      <w:r>
        <w:rPr>
          <w:spacing w:val="-14"/>
        </w:rPr>
        <w:t xml:space="preserve"> </w:t>
      </w:r>
      <w:r>
        <w:t>the</w:t>
      </w:r>
      <w:r>
        <w:rPr>
          <w:spacing w:val="-14"/>
        </w:rPr>
        <w:t xml:space="preserve"> </w:t>
      </w:r>
      <w:r>
        <w:t>NSW</w:t>
      </w:r>
      <w:r>
        <w:rPr>
          <w:spacing w:val="-14"/>
        </w:rPr>
        <w:t xml:space="preserve"> </w:t>
      </w:r>
      <w:r>
        <w:t>Financial</w:t>
      </w:r>
      <w:r>
        <w:rPr>
          <w:spacing w:val="-14"/>
        </w:rPr>
        <w:t xml:space="preserve"> </w:t>
      </w:r>
      <w:r>
        <w:t>Audit</w:t>
      </w:r>
      <w:r>
        <w:rPr>
          <w:spacing w:val="-14"/>
        </w:rPr>
        <w:t xml:space="preserve"> </w:t>
      </w:r>
      <w:r>
        <w:t>2011</w:t>
      </w:r>
      <w:r>
        <w:rPr>
          <w:spacing w:val="-14"/>
        </w:rPr>
        <w:t xml:space="preserve"> </w:t>
      </w:r>
      <w:r>
        <w:t>and Commission</w:t>
      </w:r>
      <w:r>
        <w:rPr>
          <w:spacing w:val="-7"/>
        </w:rPr>
        <w:t xml:space="preserve"> </w:t>
      </w:r>
      <w:r>
        <w:t>of</w:t>
      </w:r>
      <w:r>
        <w:rPr>
          <w:spacing w:val="-7"/>
        </w:rPr>
        <w:t xml:space="preserve"> </w:t>
      </w:r>
      <w:r>
        <w:t>Audit</w:t>
      </w:r>
      <w:r>
        <w:rPr>
          <w:spacing w:val="-7"/>
        </w:rPr>
        <w:t xml:space="preserve"> </w:t>
      </w:r>
      <w:r>
        <w:t>reports</w:t>
      </w:r>
      <w:r>
        <w:rPr>
          <w:spacing w:val="-7"/>
        </w:rPr>
        <w:t xml:space="preserve"> </w:t>
      </w:r>
      <w:r>
        <w:t>have</w:t>
      </w:r>
      <w:r>
        <w:rPr>
          <w:spacing w:val="-7"/>
        </w:rPr>
        <w:t xml:space="preserve"> </w:t>
      </w:r>
      <w:r>
        <w:t xml:space="preserve">highlighted </w:t>
      </w:r>
      <w:r>
        <w:rPr>
          <w:w w:val="95"/>
        </w:rPr>
        <w:t>deficiencies</w:t>
      </w:r>
      <w:r>
        <w:rPr>
          <w:spacing w:val="-3"/>
          <w:w w:val="95"/>
        </w:rPr>
        <w:t xml:space="preserve"> </w:t>
      </w:r>
      <w:r>
        <w:rPr>
          <w:w w:val="95"/>
        </w:rPr>
        <w:t>in</w:t>
      </w:r>
      <w:r>
        <w:rPr>
          <w:spacing w:val="-3"/>
          <w:w w:val="95"/>
        </w:rPr>
        <w:t xml:space="preserve"> </w:t>
      </w:r>
      <w:r>
        <w:rPr>
          <w:w w:val="95"/>
        </w:rPr>
        <w:t>asset</w:t>
      </w:r>
      <w:r>
        <w:rPr>
          <w:spacing w:val="-3"/>
          <w:w w:val="95"/>
        </w:rPr>
        <w:t xml:space="preserve"> </w:t>
      </w:r>
      <w:r>
        <w:rPr>
          <w:w w:val="95"/>
        </w:rPr>
        <w:t>management</w:t>
      </w:r>
      <w:r>
        <w:rPr>
          <w:spacing w:val="-3"/>
          <w:w w:val="95"/>
        </w:rPr>
        <w:t xml:space="preserve"> </w:t>
      </w:r>
      <w:r>
        <w:rPr>
          <w:w w:val="95"/>
        </w:rPr>
        <w:t>and</w:t>
      </w:r>
      <w:r>
        <w:rPr>
          <w:spacing w:val="-3"/>
          <w:w w:val="95"/>
        </w:rPr>
        <w:t xml:space="preserve"> </w:t>
      </w:r>
      <w:r>
        <w:rPr>
          <w:w w:val="95"/>
        </w:rPr>
        <w:t xml:space="preserve">infrastructure </w:t>
      </w:r>
      <w:r>
        <w:t>decisions</w:t>
      </w:r>
      <w:r>
        <w:rPr>
          <w:spacing w:val="-9"/>
        </w:rPr>
        <w:t xml:space="preserve"> </w:t>
      </w:r>
      <w:r>
        <w:t>across</w:t>
      </w:r>
      <w:r>
        <w:rPr>
          <w:spacing w:val="-9"/>
        </w:rPr>
        <w:t xml:space="preserve"> </w:t>
      </w:r>
      <w:r>
        <w:t>NSW</w:t>
      </w:r>
      <w:r>
        <w:rPr>
          <w:spacing w:val="-9"/>
        </w:rPr>
        <w:t xml:space="preserve"> </w:t>
      </w:r>
      <w:r>
        <w:t>Government</w:t>
      </w:r>
      <w:r>
        <w:rPr>
          <w:spacing w:val="-9"/>
        </w:rPr>
        <w:t xml:space="preserve"> </w:t>
      </w:r>
      <w:r>
        <w:t>agencies.</w:t>
      </w:r>
    </w:p>
    <w:p w:rsidR="002C1123" w:rsidRDefault="00F22F94">
      <w:pPr>
        <w:pStyle w:val="BodyText"/>
        <w:spacing w:before="3" w:line="249" w:lineRule="auto"/>
        <w:ind w:left="923" w:firstLine="1"/>
      </w:pPr>
      <w:r>
        <w:rPr>
          <w:w w:val="95"/>
        </w:rPr>
        <w:t>Some</w:t>
      </w:r>
      <w:r>
        <w:rPr>
          <w:spacing w:val="-6"/>
          <w:w w:val="95"/>
        </w:rPr>
        <w:t xml:space="preserve"> </w:t>
      </w:r>
      <w:r>
        <w:rPr>
          <w:w w:val="95"/>
        </w:rPr>
        <w:t>specific</w:t>
      </w:r>
      <w:r>
        <w:rPr>
          <w:spacing w:val="-6"/>
          <w:w w:val="95"/>
        </w:rPr>
        <w:t xml:space="preserve"> </w:t>
      </w:r>
      <w:r>
        <w:rPr>
          <w:w w:val="95"/>
        </w:rPr>
        <w:t>issues</w:t>
      </w:r>
      <w:r>
        <w:rPr>
          <w:spacing w:val="-6"/>
          <w:w w:val="95"/>
        </w:rPr>
        <w:t xml:space="preserve"> </w:t>
      </w:r>
      <w:r>
        <w:rPr>
          <w:w w:val="95"/>
        </w:rPr>
        <w:t>that</w:t>
      </w:r>
      <w:r>
        <w:rPr>
          <w:spacing w:val="-6"/>
          <w:w w:val="95"/>
        </w:rPr>
        <w:t xml:space="preserve"> </w:t>
      </w:r>
      <w:r>
        <w:rPr>
          <w:w w:val="95"/>
        </w:rPr>
        <w:t>Infrastructure</w:t>
      </w:r>
      <w:r>
        <w:rPr>
          <w:spacing w:val="-6"/>
          <w:w w:val="95"/>
        </w:rPr>
        <w:t xml:space="preserve"> </w:t>
      </w:r>
      <w:r>
        <w:rPr>
          <w:w w:val="95"/>
        </w:rPr>
        <w:t>NSW</w:t>
      </w:r>
      <w:r>
        <w:rPr>
          <w:spacing w:val="-6"/>
          <w:w w:val="95"/>
        </w:rPr>
        <w:t xml:space="preserve"> </w:t>
      </w:r>
      <w:r>
        <w:rPr>
          <w:w w:val="95"/>
        </w:rPr>
        <w:t xml:space="preserve">has </w:t>
      </w:r>
      <w:r>
        <w:t>considered</w:t>
      </w:r>
      <w:r>
        <w:rPr>
          <w:spacing w:val="-11"/>
        </w:rPr>
        <w:t xml:space="preserve"> </w:t>
      </w:r>
      <w:r>
        <w:t>include:</w:t>
      </w:r>
    </w:p>
    <w:p w:rsidR="002C1123" w:rsidRDefault="00F22F94">
      <w:pPr>
        <w:pStyle w:val="ListParagraph"/>
        <w:numPr>
          <w:ilvl w:val="0"/>
          <w:numId w:val="158"/>
        </w:numPr>
        <w:tabs>
          <w:tab w:val="left" w:pos="508"/>
          <w:tab w:val="left" w:pos="509"/>
        </w:tabs>
        <w:spacing w:before="117"/>
        <w:ind w:left="508" w:hanging="313"/>
        <w:rPr>
          <w:sz w:val="20"/>
        </w:rPr>
      </w:pPr>
      <w:r>
        <w:br w:type="column"/>
      </w:r>
      <w:r>
        <w:rPr>
          <w:sz w:val="20"/>
        </w:rPr>
        <w:t>Low</w:t>
      </w:r>
      <w:r>
        <w:rPr>
          <w:spacing w:val="6"/>
          <w:sz w:val="20"/>
        </w:rPr>
        <w:t xml:space="preserve"> </w:t>
      </w:r>
      <w:r>
        <w:rPr>
          <w:sz w:val="20"/>
        </w:rPr>
        <w:t>levels</w:t>
      </w:r>
      <w:r>
        <w:rPr>
          <w:spacing w:val="6"/>
          <w:sz w:val="20"/>
        </w:rPr>
        <w:t xml:space="preserve"> </w:t>
      </w:r>
      <w:r>
        <w:rPr>
          <w:sz w:val="20"/>
        </w:rPr>
        <w:t>of</w:t>
      </w:r>
      <w:r>
        <w:rPr>
          <w:spacing w:val="6"/>
          <w:sz w:val="20"/>
        </w:rPr>
        <w:t xml:space="preserve"> </w:t>
      </w:r>
      <w:r>
        <w:rPr>
          <w:sz w:val="20"/>
        </w:rPr>
        <w:t>capital</w:t>
      </w:r>
      <w:r>
        <w:rPr>
          <w:spacing w:val="7"/>
          <w:sz w:val="20"/>
        </w:rPr>
        <w:t xml:space="preserve"> </w:t>
      </w:r>
      <w:r>
        <w:rPr>
          <w:spacing w:val="-2"/>
          <w:sz w:val="20"/>
        </w:rPr>
        <w:t>utilisation</w:t>
      </w:r>
    </w:p>
    <w:p w:rsidR="002C1123" w:rsidRDefault="00F22F94">
      <w:pPr>
        <w:pStyle w:val="BodyText"/>
        <w:spacing w:before="10" w:line="249" w:lineRule="auto"/>
        <w:ind w:left="505" w:right="243" w:firstLine="2"/>
      </w:pPr>
      <w:r>
        <w:t>Inadequate</w:t>
      </w:r>
      <w:r>
        <w:rPr>
          <w:spacing w:val="-8"/>
        </w:rPr>
        <w:t xml:space="preserve"> </w:t>
      </w:r>
      <w:r>
        <w:t>consideration</w:t>
      </w:r>
      <w:r>
        <w:rPr>
          <w:spacing w:val="-8"/>
        </w:rPr>
        <w:t xml:space="preserve"> </w:t>
      </w:r>
      <w:r>
        <w:t>has</w:t>
      </w:r>
      <w:r>
        <w:rPr>
          <w:spacing w:val="-8"/>
        </w:rPr>
        <w:t xml:space="preserve"> </w:t>
      </w:r>
      <w:r>
        <w:t>been</w:t>
      </w:r>
      <w:r>
        <w:rPr>
          <w:spacing w:val="-8"/>
        </w:rPr>
        <w:t xml:space="preserve"> </w:t>
      </w:r>
      <w:r>
        <w:t>made</w:t>
      </w:r>
      <w:r>
        <w:rPr>
          <w:spacing w:val="-8"/>
        </w:rPr>
        <w:t xml:space="preserve"> </w:t>
      </w:r>
      <w:r>
        <w:t xml:space="preserve">of </w:t>
      </w:r>
      <w:r>
        <w:rPr>
          <w:w w:val="95"/>
        </w:rPr>
        <w:t>options</w:t>
      </w:r>
      <w:r>
        <w:rPr>
          <w:spacing w:val="-5"/>
          <w:w w:val="95"/>
        </w:rPr>
        <w:t xml:space="preserve"> </w:t>
      </w:r>
      <w:r>
        <w:rPr>
          <w:w w:val="95"/>
        </w:rPr>
        <w:t>that</w:t>
      </w:r>
      <w:r>
        <w:rPr>
          <w:spacing w:val="-5"/>
          <w:w w:val="95"/>
        </w:rPr>
        <w:t xml:space="preserve"> </w:t>
      </w:r>
      <w:r>
        <w:rPr>
          <w:w w:val="95"/>
        </w:rPr>
        <w:t>can</w:t>
      </w:r>
      <w:r>
        <w:rPr>
          <w:spacing w:val="-5"/>
          <w:w w:val="95"/>
        </w:rPr>
        <w:t xml:space="preserve"> </w:t>
      </w:r>
      <w:r>
        <w:rPr>
          <w:w w:val="95"/>
        </w:rPr>
        <w:t>delay</w:t>
      </w:r>
      <w:r>
        <w:rPr>
          <w:spacing w:val="-5"/>
          <w:w w:val="95"/>
        </w:rPr>
        <w:t xml:space="preserve"> </w:t>
      </w:r>
      <w:r>
        <w:rPr>
          <w:w w:val="95"/>
        </w:rPr>
        <w:t>major</w:t>
      </w:r>
      <w:r>
        <w:rPr>
          <w:spacing w:val="-5"/>
          <w:w w:val="95"/>
        </w:rPr>
        <w:t xml:space="preserve"> </w:t>
      </w:r>
      <w:r>
        <w:rPr>
          <w:w w:val="95"/>
        </w:rPr>
        <w:t>capital</w:t>
      </w:r>
      <w:r>
        <w:rPr>
          <w:spacing w:val="-5"/>
          <w:w w:val="95"/>
        </w:rPr>
        <w:t xml:space="preserve"> </w:t>
      </w:r>
      <w:r>
        <w:rPr>
          <w:w w:val="95"/>
        </w:rPr>
        <w:t>investment</w:t>
      </w:r>
      <w:r>
        <w:rPr>
          <w:spacing w:val="-5"/>
          <w:w w:val="95"/>
        </w:rPr>
        <w:t xml:space="preserve"> </w:t>
      </w:r>
      <w:r>
        <w:rPr>
          <w:w w:val="95"/>
        </w:rPr>
        <w:t xml:space="preserve">by </w:t>
      </w:r>
      <w:r>
        <w:t>incrementally</w:t>
      </w:r>
      <w:r>
        <w:rPr>
          <w:spacing w:val="-14"/>
        </w:rPr>
        <w:t xml:space="preserve"> </w:t>
      </w:r>
      <w:r>
        <w:t>improving</w:t>
      </w:r>
      <w:r>
        <w:rPr>
          <w:spacing w:val="-14"/>
        </w:rPr>
        <w:t xml:space="preserve"> </w:t>
      </w:r>
      <w:r>
        <w:t>how</w:t>
      </w:r>
      <w:r>
        <w:rPr>
          <w:spacing w:val="-14"/>
        </w:rPr>
        <w:t xml:space="preserve"> </w:t>
      </w:r>
      <w:r>
        <w:t>assets</w:t>
      </w:r>
      <w:r>
        <w:rPr>
          <w:spacing w:val="-14"/>
        </w:rPr>
        <w:t xml:space="preserve"> </w:t>
      </w:r>
      <w:r>
        <w:t>are</w:t>
      </w:r>
      <w:r>
        <w:rPr>
          <w:spacing w:val="-14"/>
        </w:rPr>
        <w:t xml:space="preserve"> </w:t>
      </w:r>
      <w:r>
        <w:t>utilised.</w:t>
      </w:r>
    </w:p>
    <w:p w:rsidR="002C1123" w:rsidRDefault="00F22F94">
      <w:pPr>
        <w:pStyle w:val="BodyText"/>
        <w:spacing w:before="144" w:line="249" w:lineRule="auto"/>
        <w:ind w:left="509" w:hanging="10"/>
      </w:pPr>
      <w:r>
        <w:rPr>
          <w:w w:val="95"/>
        </w:rPr>
        <w:t>For</w:t>
      </w:r>
      <w:r>
        <w:rPr>
          <w:spacing w:val="-12"/>
          <w:w w:val="95"/>
        </w:rPr>
        <w:t xml:space="preserve"> </w:t>
      </w:r>
      <w:r>
        <w:rPr>
          <w:w w:val="95"/>
        </w:rPr>
        <w:t>example,</w:t>
      </w:r>
      <w:r>
        <w:rPr>
          <w:spacing w:val="-11"/>
          <w:w w:val="95"/>
        </w:rPr>
        <w:t xml:space="preserve"> </w:t>
      </w:r>
      <w:r>
        <w:rPr>
          <w:w w:val="95"/>
        </w:rPr>
        <w:t>in</w:t>
      </w:r>
      <w:r>
        <w:rPr>
          <w:spacing w:val="-11"/>
          <w:w w:val="95"/>
        </w:rPr>
        <w:t xml:space="preserve"> </w:t>
      </w:r>
      <w:r>
        <w:rPr>
          <w:w w:val="95"/>
        </w:rPr>
        <w:t>the</w:t>
      </w:r>
      <w:r>
        <w:rPr>
          <w:spacing w:val="-11"/>
          <w:w w:val="95"/>
        </w:rPr>
        <w:t xml:space="preserve"> </w:t>
      </w:r>
      <w:r>
        <w:rPr>
          <w:w w:val="95"/>
        </w:rPr>
        <w:t>energy</w:t>
      </w:r>
      <w:r>
        <w:rPr>
          <w:spacing w:val="-11"/>
          <w:w w:val="95"/>
        </w:rPr>
        <w:t xml:space="preserve"> </w:t>
      </w:r>
      <w:r>
        <w:rPr>
          <w:w w:val="95"/>
        </w:rPr>
        <w:t>sector,</w:t>
      </w:r>
      <w:r>
        <w:rPr>
          <w:spacing w:val="-11"/>
          <w:w w:val="95"/>
        </w:rPr>
        <w:t xml:space="preserve"> </w:t>
      </w:r>
      <w:r>
        <w:rPr>
          <w:w w:val="95"/>
        </w:rPr>
        <w:t>the</w:t>
      </w:r>
      <w:r>
        <w:rPr>
          <w:spacing w:val="-11"/>
          <w:w w:val="95"/>
        </w:rPr>
        <w:t xml:space="preserve"> </w:t>
      </w:r>
      <w:r>
        <w:rPr>
          <w:w w:val="95"/>
        </w:rPr>
        <w:t>Australian Energy Market Commission has estimated that</w:t>
      </w:r>
    </w:p>
    <w:p w:rsidR="002C1123" w:rsidRDefault="00F22F94">
      <w:pPr>
        <w:pStyle w:val="BodyText"/>
        <w:spacing w:before="1" w:line="249" w:lineRule="auto"/>
        <w:ind w:left="508" w:firstLine="1"/>
      </w:pPr>
      <w:r>
        <w:rPr>
          <w:w w:val="95"/>
        </w:rPr>
        <w:t>$11</w:t>
      </w:r>
      <w:r>
        <w:rPr>
          <w:spacing w:val="-11"/>
          <w:w w:val="95"/>
        </w:rPr>
        <w:t xml:space="preserve"> </w:t>
      </w:r>
      <w:r>
        <w:rPr>
          <w:w w:val="95"/>
        </w:rPr>
        <w:t>billion</w:t>
      </w:r>
      <w:r>
        <w:rPr>
          <w:spacing w:val="-11"/>
          <w:w w:val="95"/>
        </w:rPr>
        <w:t xml:space="preserve"> </w:t>
      </w:r>
      <w:r>
        <w:rPr>
          <w:w w:val="95"/>
        </w:rPr>
        <w:t>of</w:t>
      </w:r>
      <w:r>
        <w:rPr>
          <w:spacing w:val="-11"/>
          <w:w w:val="95"/>
        </w:rPr>
        <w:t xml:space="preserve"> </w:t>
      </w:r>
      <w:r>
        <w:rPr>
          <w:w w:val="95"/>
        </w:rPr>
        <w:t>electricity</w:t>
      </w:r>
      <w:r>
        <w:rPr>
          <w:spacing w:val="-11"/>
          <w:w w:val="95"/>
        </w:rPr>
        <w:t xml:space="preserve"> </w:t>
      </w:r>
      <w:r>
        <w:rPr>
          <w:w w:val="95"/>
        </w:rPr>
        <w:t>infrastructure</w:t>
      </w:r>
      <w:r>
        <w:rPr>
          <w:spacing w:val="-11"/>
          <w:w w:val="95"/>
        </w:rPr>
        <w:t xml:space="preserve"> </w:t>
      </w:r>
      <w:r>
        <w:rPr>
          <w:w w:val="95"/>
        </w:rPr>
        <w:t>is</w:t>
      </w:r>
      <w:r>
        <w:rPr>
          <w:spacing w:val="-11"/>
          <w:w w:val="95"/>
        </w:rPr>
        <w:t xml:space="preserve"> </w:t>
      </w:r>
      <w:r>
        <w:rPr>
          <w:w w:val="95"/>
        </w:rPr>
        <w:t>used</w:t>
      </w:r>
      <w:r>
        <w:rPr>
          <w:spacing w:val="-11"/>
          <w:w w:val="95"/>
        </w:rPr>
        <w:t xml:space="preserve"> </w:t>
      </w:r>
      <w:r>
        <w:rPr>
          <w:w w:val="95"/>
        </w:rPr>
        <w:t>for</w:t>
      </w:r>
      <w:r>
        <w:rPr>
          <w:spacing w:val="-11"/>
          <w:w w:val="95"/>
        </w:rPr>
        <w:t xml:space="preserve"> </w:t>
      </w:r>
      <w:r>
        <w:rPr>
          <w:w w:val="95"/>
        </w:rPr>
        <w:t xml:space="preserve">less </w:t>
      </w:r>
      <w:r>
        <w:t>than 100 hours per year.</w:t>
      </w:r>
    </w:p>
    <w:p w:rsidR="002C1123" w:rsidRDefault="00F22F94">
      <w:pPr>
        <w:pStyle w:val="BodyText"/>
        <w:spacing w:before="144" w:line="249" w:lineRule="auto"/>
        <w:ind w:left="505" w:right="243" w:hanging="7"/>
      </w:pPr>
      <w:r>
        <w:t>Rail</w:t>
      </w:r>
      <w:r>
        <w:rPr>
          <w:spacing w:val="-12"/>
        </w:rPr>
        <w:t xml:space="preserve"> </w:t>
      </w:r>
      <w:r>
        <w:t>infrastructure</w:t>
      </w:r>
      <w:r>
        <w:rPr>
          <w:spacing w:val="-12"/>
        </w:rPr>
        <w:t xml:space="preserve"> </w:t>
      </w:r>
      <w:r>
        <w:t>primarily</w:t>
      </w:r>
      <w:r>
        <w:rPr>
          <w:spacing w:val="-12"/>
        </w:rPr>
        <w:t xml:space="preserve"> </w:t>
      </w:r>
      <w:r>
        <w:t>services</w:t>
      </w:r>
      <w:r>
        <w:rPr>
          <w:spacing w:val="-12"/>
        </w:rPr>
        <w:t xml:space="preserve"> </w:t>
      </w:r>
      <w:r>
        <w:t>commuter traffic</w:t>
      </w:r>
      <w:r>
        <w:rPr>
          <w:spacing w:val="-14"/>
        </w:rPr>
        <w:t xml:space="preserve"> </w:t>
      </w:r>
      <w:r>
        <w:t>between</w:t>
      </w:r>
      <w:r>
        <w:rPr>
          <w:spacing w:val="-14"/>
        </w:rPr>
        <w:t xml:space="preserve"> </w:t>
      </w:r>
      <w:r>
        <w:t>a</w:t>
      </w:r>
      <w:r>
        <w:rPr>
          <w:spacing w:val="-14"/>
        </w:rPr>
        <w:t xml:space="preserve"> </w:t>
      </w:r>
      <w:r>
        <w:t>small</w:t>
      </w:r>
      <w:r>
        <w:rPr>
          <w:spacing w:val="-14"/>
        </w:rPr>
        <w:t xml:space="preserve"> </w:t>
      </w:r>
      <w:r>
        <w:t>number</w:t>
      </w:r>
      <w:r>
        <w:rPr>
          <w:spacing w:val="-14"/>
        </w:rPr>
        <w:t xml:space="preserve"> </w:t>
      </w:r>
      <w:r>
        <w:t>of</w:t>
      </w:r>
      <w:r>
        <w:rPr>
          <w:spacing w:val="-14"/>
        </w:rPr>
        <w:t xml:space="preserve"> </w:t>
      </w:r>
      <w:r>
        <w:t>stations,</w:t>
      </w:r>
      <w:r>
        <w:rPr>
          <w:spacing w:val="-14"/>
        </w:rPr>
        <w:t xml:space="preserve"> </w:t>
      </w:r>
      <w:r>
        <w:t xml:space="preserve">rather </w:t>
      </w:r>
      <w:r>
        <w:rPr>
          <w:spacing w:val="-2"/>
        </w:rPr>
        <w:t>than</w:t>
      </w:r>
      <w:r>
        <w:rPr>
          <w:spacing w:val="-9"/>
        </w:rPr>
        <w:t xml:space="preserve"> </w:t>
      </w:r>
      <w:r>
        <w:rPr>
          <w:spacing w:val="-2"/>
        </w:rPr>
        <w:t>providing</w:t>
      </w:r>
      <w:r>
        <w:rPr>
          <w:spacing w:val="-9"/>
        </w:rPr>
        <w:t xml:space="preserve"> </w:t>
      </w:r>
      <w:r>
        <w:rPr>
          <w:spacing w:val="-2"/>
        </w:rPr>
        <w:t>an</w:t>
      </w:r>
      <w:r>
        <w:rPr>
          <w:spacing w:val="-9"/>
        </w:rPr>
        <w:t xml:space="preserve"> </w:t>
      </w:r>
      <w:r>
        <w:rPr>
          <w:spacing w:val="-2"/>
        </w:rPr>
        <w:t>all</w:t>
      </w:r>
      <w:r>
        <w:rPr>
          <w:spacing w:val="-9"/>
        </w:rPr>
        <w:t xml:space="preserve"> </w:t>
      </w:r>
      <w:r>
        <w:rPr>
          <w:spacing w:val="-2"/>
        </w:rPr>
        <w:t>day</w:t>
      </w:r>
      <w:r>
        <w:rPr>
          <w:spacing w:val="-9"/>
        </w:rPr>
        <w:t xml:space="preserve"> </w:t>
      </w:r>
      <w:r>
        <w:rPr>
          <w:spacing w:val="-2"/>
        </w:rPr>
        <w:t>network</w:t>
      </w:r>
      <w:r>
        <w:rPr>
          <w:spacing w:val="-9"/>
        </w:rPr>
        <w:t xml:space="preserve"> </w:t>
      </w:r>
      <w:r>
        <w:rPr>
          <w:spacing w:val="-2"/>
        </w:rPr>
        <w:t>across</w:t>
      </w:r>
      <w:r>
        <w:rPr>
          <w:spacing w:val="-9"/>
        </w:rPr>
        <w:t xml:space="preserve"> </w:t>
      </w:r>
      <w:r>
        <w:rPr>
          <w:spacing w:val="-2"/>
        </w:rPr>
        <w:t xml:space="preserve">Sydney. </w:t>
      </w:r>
      <w:r>
        <w:t>Only</w:t>
      </w:r>
      <w:r>
        <w:rPr>
          <w:spacing w:val="-11"/>
        </w:rPr>
        <w:t xml:space="preserve"> </w:t>
      </w:r>
      <w:r>
        <w:t>35</w:t>
      </w:r>
      <w:r>
        <w:rPr>
          <w:spacing w:val="-11"/>
        </w:rPr>
        <w:t xml:space="preserve"> </w:t>
      </w:r>
      <w:r>
        <w:t>percent</w:t>
      </w:r>
      <w:r>
        <w:rPr>
          <w:spacing w:val="-11"/>
        </w:rPr>
        <w:t xml:space="preserve"> </w:t>
      </w:r>
      <w:r>
        <w:t>of</w:t>
      </w:r>
      <w:r>
        <w:rPr>
          <w:spacing w:val="-11"/>
        </w:rPr>
        <w:t xml:space="preserve"> </w:t>
      </w:r>
      <w:r>
        <w:t>weekday</w:t>
      </w:r>
      <w:r>
        <w:rPr>
          <w:spacing w:val="-11"/>
        </w:rPr>
        <w:t xml:space="preserve"> </w:t>
      </w:r>
      <w:r>
        <w:t>journeys</w:t>
      </w:r>
      <w:r>
        <w:rPr>
          <w:spacing w:val="-11"/>
        </w:rPr>
        <w:t xml:space="preserve"> </w:t>
      </w:r>
      <w:r>
        <w:t>take</w:t>
      </w:r>
      <w:r>
        <w:rPr>
          <w:spacing w:val="-11"/>
        </w:rPr>
        <w:t xml:space="preserve"> </w:t>
      </w:r>
      <w:r>
        <w:t xml:space="preserve">place </w:t>
      </w:r>
      <w:r>
        <w:rPr>
          <w:w w:val="95"/>
        </w:rPr>
        <w:t>outside</w:t>
      </w:r>
      <w:r>
        <w:rPr>
          <w:spacing w:val="-4"/>
          <w:w w:val="95"/>
        </w:rPr>
        <w:t xml:space="preserve"> </w:t>
      </w:r>
      <w:r>
        <w:rPr>
          <w:w w:val="95"/>
        </w:rPr>
        <w:t>the</w:t>
      </w:r>
      <w:r>
        <w:rPr>
          <w:spacing w:val="-4"/>
          <w:w w:val="95"/>
        </w:rPr>
        <w:t xml:space="preserve"> </w:t>
      </w:r>
      <w:r>
        <w:rPr>
          <w:w w:val="95"/>
        </w:rPr>
        <w:t>AM</w:t>
      </w:r>
      <w:r>
        <w:rPr>
          <w:spacing w:val="-5"/>
          <w:w w:val="95"/>
        </w:rPr>
        <w:t xml:space="preserve"> </w:t>
      </w:r>
      <w:r>
        <w:rPr>
          <w:w w:val="95"/>
        </w:rPr>
        <w:t>and</w:t>
      </w:r>
      <w:r>
        <w:rPr>
          <w:spacing w:val="-4"/>
          <w:w w:val="95"/>
        </w:rPr>
        <w:t xml:space="preserve"> </w:t>
      </w:r>
      <w:r>
        <w:rPr>
          <w:w w:val="95"/>
        </w:rPr>
        <w:t>PM</w:t>
      </w:r>
      <w:r>
        <w:rPr>
          <w:spacing w:val="-5"/>
          <w:w w:val="95"/>
        </w:rPr>
        <w:t xml:space="preserve"> </w:t>
      </w:r>
      <w:r>
        <w:rPr>
          <w:w w:val="95"/>
        </w:rPr>
        <w:t>peak</w:t>
      </w:r>
      <w:r>
        <w:rPr>
          <w:spacing w:val="-4"/>
          <w:w w:val="95"/>
        </w:rPr>
        <w:t xml:space="preserve"> </w:t>
      </w:r>
      <w:r>
        <w:rPr>
          <w:w w:val="95"/>
        </w:rPr>
        <w:t>hours</w:t>
      </w:r>
      <w:r>
        <w:rPr>
          <w:w w:val="95"/>
          <w:position w:val="7"/>
          <w:sz w:val="11"/>
        </w:rPr>
        <w:t>6</w:t>
      </w:r>
      <w:r>
        <w:rPr>
          <w:w w:val="95"/>
        </w:rPr>
        <w:t>,</w:t>
      </w:r>
      <w:r>
        <w:rPr>
          <w:spacing w:val="-4"/>
          <w:w w:val="95"/>
        </w:rPr>
        <w:t xml:space="preserve"> </w:t>
      </w:r>
      <w:r>
        <w:rPr>
          <w:w w:val="95"/>
        </w:rPr>
        <w:t>while</w:t>
      </w:r>
      <w:r>
        <w:rPr>
          <w:spacing w:val="-4"/>
          <w:w w:val="95"/>
        </w:rPr>
        <w:t xml:space="preserve"> </w:t>
      </w:r>
      <w:r>
        <w:rPr>
          <w:w w:val="95"/>
        </w:rPr>
        <w:t>half</w:t>
      </w:r>
      <w:r>
        <w:rPr>
          <w:spacing w:val="-4"/>
          <w:w w:val="95"/>
        </w:rPr>
        <w:t xml:space="preserve"> </w:t>
      </w:r>
      <w:r>
        <w:rPr>
          <w:w w:val="95"/>
        </w:rPr>
        <w:t xml:space="preserve">the stations on the network service only six percent of </w:t>
      </w:r>
      <w:r>
        <w:t>traffic in aggregate</w:t>
      </w:r>
      <w:r>
        <w:rPr>
          <w:position w:val="7"/>
          <w:sz w:val="11"/>
        </w:rPr>
        <w:t>7</w:t>
      </w:r>
      <w:r>
        <w:t>.</w:t>
      </w:r>
    </w:p>
    <w:p w:rsidR="002C1123" w:rsidRDefault="00F22F94">
      <w:pPr>
        <w:pStyle w:val="ListParagraph"/>
        <w:numPr>
          <w:ilvl w:val="0"/>
          <w:numId w:val="158"/>
        </w:numPr>
        <w:tabs>
          <w:tab w:val="left" w:pos="508"/>
          <w:tab w:val="left" w:pos="509"/>
        </w:tabs>
        <w:spacing w:before="135"/>
        <w:ind w:left="508"/>
        <w:rPr>
          <w:sz w:val="20"/>
        </w:rPr>
      </w:pPr>
      <w:r>
        <w:rPr>
          <w:w w:val="105"/>
          <w:sz w:val="20"/>
        </w:rPr>
        <w:t>Poor</w:t>
      </w:r>
      <w:r>
        <w:rPr>
          <w:spacing w:val="-10"/>
          <w:w w:val="105"/>
          <w:sz w:val="20"/>
        </w:rPr>
        <w:t xml:space="preserve"> </w:t>
      </w:r>
      <w:r>
        <w:rPr>
          <w:w w:val="105"/>
          <w:sz w:val="20"/>
        </w:rPr>
        <w:t>project</w:t>
      </w:r>
      <w:r>
        <w:rPr>
          <w:spacing w:val="-10"/>
          <w:w w:val="105"/>
          <w:sz w:val="20"/>
        </w:rPr>
        <w:t xml:space="preserve"> </w:t>
      </w:r>
      <w:r>
        <w:rPr>
          <w:spacing w:val="-2"/>
          <w:w w:val="105"/>
          <w:sz w:val="20"/>
        </w:rPr>
        <w:t>selection</w:t>
      </w:r>
    </w:p>
    <w:p w:rsidR="002C1123" w:rsidRDefault="00F22F94">
      <w:pPr>
        <w:pStyle w:val="BodyText"/>
        <w:spacing w:before="10" w:line="249" w:lineRule="auto"/>
        <w:ind w:left="505" w:firstLine="3"/>
      </w:pPr>
      <w:r>
        <w:t>Public</w:t>
      </w:r>
      <w:r>
        <w:rPr>
          <w:spacing w:val="-14"/>
        </w:rPr>
        <w:t xml:space="preserve"> </w:t>
      </w:r>
      <w:r>
        <w:t>infrastructure</w:t>
      </w:r>
      <w:r>
        <w:rPr>
          <w:spacing w:val="-14"/>
        </w:rPr>
        <w:t xml:space="preserve"> </w:t>
      </w:r>
      <w:r>
        <w:t>investment</w:t>
      </w:r>
      <w:r>
        <w:rPr>
          <w:spacing w:val="-14"/>
        </w:rPr>
        <w:t xml:space="preserve"> </w:t>
      </w:r>
      <w:r>
        <w:t>has</w:t>
      </w:r>
      <w:r>
        <w:rPr>
          <w:spacing w:val="-14"/>
        </w:rPr>
        <w:t xml:space="preserve"> </w:t>
      </w:r>
      <w:r>
        <w:t>in</w:t>
      </w:r>
      <w:r>
        <w:rPr>
          <w:spacing w:val="-14"/>
        </w:rPr>
        <w:t xml:space="preserve"> </w:t>
      </w:r>
      <w:r>
        <w:t>recent</w:t>
      </w:r>
      <w:r>
        <w:rPr>
          <w:spacing w:val="-14"/>
        </w:rPr>
        <w:t xml:space="preserve"> </w:t>
      </w:r>
      <w:r>
        <w:t>years lacked</w:t>
      </w:r>
      <w:r>
        <w:rPr>
          <w:spacing w:val="-2"/>
        </w:rPr>
        <w:t xml:space="preserve"> </w:t>
      </w:r>
      <w:r>
        <w:t>focus</w:t>
      </w:r>
      <w:r>
        <w:rPr>
          <w:spacing w:val="-2"/>
        </w:rPr>
        <w:t xml:space="preserve"> </w:t>
      </w:r>
      <w:r>
        <w:t>on</w:t>
      </w:r>
      <w:r>
        <w:rPr>
          <w:spacing w:val="-2"/>
        </w:rPr>
        <w:t xml:space="preserve"> </w:t>
      </w:r>
      <w:r>
        <w:t>projects</w:t>
      </w:r>
      <w:r>
        <w:rPr>
          <w:spacing w:val="-2"/>
        </w:rPr>
        <w:t xml:space="preserve"> </w:t>
      </w:r>
      <w:r>
        <w:t>that</w:t>
      </w:r>
      <w:r>
        <w:rPr>
          <w:spacing w:val="-2"/>
        </w:rPr>
        <w:t xml:space="preserve"> </w:t>
      </w:r>
      <w:r>
        <w:t>underpin</w:t>
      </w:r>
      <w:r>
        <w:rPr>
          <w:spacing w:val="-2"/>
        </w:rPr>
        <w:t xml:space="preserve"> </w:t>
      </w:r>
      <w:r>
        <w:t>productivity growth.</w:t>
      </w:r>
      <w:r>
        <w:rPr>
          <w:spacing w:val="-10"/>
        </w:rPr>
        <w:t xml:space="preserve"> </w:t>
      </w:r>
      <w:r>
        <w:t>For</w:t>
      </w:r>
      <w:r>
        <w:rPr>
          <w:spacing w:val="-10"/>
        </w:rPr>
        <w:t xml:space="preserve"> </w:t>
      </w:r>
      <w:r>
        <w:t>example,</w:t>
      </w:r>
      <w:r>
        <w:rPr>
          <w:spacing w:val="-10"/>
        </w:rPr>
        <w:t xml:space="preserve"> </w:t>
      </w:r>
      <w:r>
        <w:t>there</w:t>
      </w:r>
      <w:r>
        <w:rPr>
          <w:spacing w:val="-10"/>
        </w:rPr>
        <w:t xml:space="preserve"> </w:t>
      </w:r>
      <w:r>
        <w:t>has</w:t>
      </w:r>
      <w:r>
        <w:rPr>
          <w:spacing w:val="-10"/>
        </w:rPr>
        <w:t xml:space="preserve"> </w:t>
      </w:r>
      <w:r>
        <w:t>been</w:t>
      </w:r>
      <w:r>
        <w:rPr>
          <w:spacing w:val="-10"/>
        </w:rPr>
        <w:t xml:space="preserve"> </w:t>
      </w:r>
      <w:r>
        <w:t xml:space="preserve">limited </w:t>
      </w:r>
      <w:r>
        <w:rPr>
          <w:w w:val="95"/>
        </w:rPr>
        <w:t xml:space="preserve">investment in metropolitan roads despite widespread congestion, which is estimated to cost the Australian </w:t>
      </w:r>
      <w:r>
        <w:t>economy around $5 billion</w:t>
      </w:r>
      <w:r>
        <w:rPr>
          <w:position w:val="7"/>
          <w:sz w:val="11"/>
        </w:rPr>
        <w:t>8</w:t>
      </w:r>
      <w:r>
        <w:t>.</w:t>
      </w:r>
    </w:p>
    <w:p w:rsidR="002C1123" w:rsidRDefault="00F22F94">
      <w:pPr>
        <w:pStyle w:val="BodyText"/>
        <w:spacing w:before="146" w:line="249" w:lineRule="auto"/>
        <w:ind w:left="505" w:hanging="7"/>
      </w:pPr>
      <w:r>
        <w:t>A</w:t>
      </w:r>
      <w:r>
        <w:rPr>
          <w:spacing w:val="-14"/>
        </w:rPr>
        <w:t xml:space="preserve"> </w:t>
      </w:r>
      <w:r>
        <w:t>number</w:t>
      </w:r>
      <w:r>
        <w:rPr>
          <w:spacing w:val="-14"/>
        </w:rPr>
        <w:t xml:space="preserve"> </w:t>
      </w:r>
      <w:r>
        <w:t>of</w:t>
      </w:r>
      <w:r>
        <w:rPr>
          <w:spacing w:val="-14"/>
        </w:rPr>
        <w:t xml:space="preserve"> </w:t>
      </w:r>
      <w:r>
        <w:t>major</w:t>
      </w:r>
      <w:r>
        <w:rPr>
          <w:spacing w:val="-14"/>
        </w:rPr>
        <w:t xml:space="preserve"> </w:t>
      </w:r>
      <w:r>
        <w:t>projects</w:t>
      </w:r>
      <w:r>
        <w:rPr>
          <w:spacing w:val="-14"/>
        </w:rPr>
        <w:t xml:space="preserve"> </w:t>
      </w:r>
      <w:r>
        <w:t>that</w:t>
      </w:r>
      <w:r>
        <w:rPr>
          <w:spacing w:val="-14"/>
        </w:rPr>
        <w:t xml:space="preserve"> </w:t>
      </w:r>
      <w:r>
        <w:t>have</w:t>
      </w:r>
      <w:r>
        <w:rPr>
          <w:spacing w:val="-14"/>
        </w:rPr>
        <w:t xml:space="preserve"> </w:t>
      </w:r>
      <w:r>
        <w:t>been</w:t>
      </w:r>
      <w:r>
        <w:rPr>
          <w:spacing w:val="-14"/>
        </w:rPr>
        <w:t xml:space="preserve"> </w:t>
      </w:r>
      <w:r>
        <w:t>selected have</w:t>
      </w:r>
      <w:r>
        <w:rPr>
          <w:spacing w:val="-14"/>
        </w:rPr>
        <w:t xml:space="preserve"> </w:t>
      </w:r>
      <w:r>
        <w:t>either</w:t>
      </w:r>
      <w:r>
        <w:rPr>
          <w:spacing w:val="-14"/>
        </w:rPr>
        <w:t xml:space="preserve"> </w:t>
      </w:r>
      <w:r>
        <w:t>been</w:t>
      </w:r>
      <w:r>
        <w:rPr>
          <w:spacing w:val="-14"/>
        </w:rPr>
        <w:t xml:space="preserve"> </w:t>
      </w:r>
      <w:r>
        <w:t>delayed</w:t>
      </w:r>
      <w:r>
        <w:rPr>
          <w:spacing w:val="-14"/>
        </w:rPr>
        <w:t xml:space="preserve"> </w:t>
      </w:r>
      <w:r>
        <w:t>or</w:t>
      </w:r>
      <w:r>
        <w:rPr>
          <w:spacing w:val="-14"/>
        </w:rPr>
        <w:t xml:space="preserve"> </w:t>
      </w:r>
      <w:r>
        <w:t>cancelled</w:t>
      </w:r>
      <w:r>
        <w:rPr>
          <w:spacing w:val="-14"/>
        </w:rPr>
        <w:t xml:space="preserve"> </w:t>
      </w:r>
      <w:r>
        <w:t>–</w:t>
      </w:r>
      <w:r>
        <w:rPr>
          <w:spacing w:val="-14"/>
        </w:rPr>
        <w:t xml:space="preserve"> </w:t>
      </w:r>
      <w:r>
        <w:t>notably</w:t>
      </w:r>
      <w:r>
        <w:rPr>
          <w:spacing w:val="-14"/>
        </w:rPr>
        <w:t xml:space="preserve"> </w:t>
      </w:r>
      <w:r>
        <w:t>the Sydney</w:t>
      </w:r>
      <w:r>
        <w:rPr>
          <w:spacing w:val="-13"/>
        </w:rPr>
        <w:t xml:space="preserve"> </w:t>
      </w:r>
      <w:r>
        <w:t>Metro,</w:t>
      </w:r>
      <w:r>
        <w:rPr>
          <w:spacing w:val="-13"/>
        </w:rPr>
        <w:t xml:space="preserve"> </w:t>
      </w:r>
      <w:r>
        <w:t>a</w:t>
      </w:r>
      <w:r>
        <w:rPr>
          <w:spacing w:val="-13"/>
        </w:rPr>
        <w:t xml:space="preserve"> </w:t>
      </w:r>
      <w:r>
        <w:t>$400</w:t>
      </w:r>
      <w:r>
        <w:rPr>
          <w:spacing w:val="-13"/>
        </w:rPr>
        <w:t xml:space="preserve"> </w:t>
      </w:r>
      <w:r>
        <w:t>million</w:t>
      </w:r>
      <w:r>
        <w:rPr>
          <w:spacing w:val="-13"/>
        </w:rPr>
        <w:t xml:space="preserve"> </w:t>
      </w:r>
      <w:r>
        <w:t>bill</w:t>
      </w:r>
      <w:r>
        <w:rPr>
          <w:spacing w:val="-13"/>
        </w:rPr>
        <w:t xml:space="preserve"> </w:t>
      </w:r>
      <w:r>
        <w:t>for</w:t>
      </w:r>
      <w:r>
        <w:rPr>
          <w:spacing w:val="-13"/>
        </w:rPr>
        <w:t xml:space="preserve"> </w:t>
      </w:r>
      <w:r>
        <w:t>taxpayers</w:t>
      </w:r>
      <w:r>
        <w:rPr>
          <w:spacing w:val="-13"/>
        </w:rPr>
        <w:t xml:space="preserve"> </w:t>
      </w:r>
      <w:r>
        <w:t xml:space="preserve">for </w:t>
      </w:r>
      <w:r>
        <w:rPr>
          <w:w w:val="95"/>
        </w:rPr>
        <w:t>nothing</w:t>
      </w:r>
      <w:r>
        <w:rPr>
          <w:spacing w:val="-7"/>
          <w:w w:val="95"/>
        </w:rPr>
        <w:t xml:space="preserve"> </w:t>
      </w:r>
      <w:r>
        <w:rPr>
          <w:w w:val="95"/>
        </w:rPr>
        <w:t>at</w:t>
      </w:r>
      <w:r>
        <w:rPr>
          <w:spacing w:val="-7"/>
          <w:w w:val="95"/>
        </w:rPr>
        <w:t xml:space="preserve"> </w:t>
      </w:r>
      <w:r>
        <w:rPr>
          <w:w w:val="95"/>
        </w:rPr>
        <w:t>all.</w:t>
      </w:r>
      <w:r>
        <w:rPr>
          <w:spacing w:val="-7"/>
          <w:w w:val="95"/>
        </w:rPr>
        <w:t xml:space="preserve"> </w:t>
      </w:r>
      <w:r>
        <w:rPr>
          <w:w w:val="95"/>
        </w:rPr>
        <w:t>The</w:t>
      </w:r>
      <w:r>
        <w:rPr>
          <w:spacing w:val="-7"/>
          <w:w w:val="95"/>
        </w:rPr>
        <w:t xml:space="preserve"> </w:t>
      </w:r>
      <w:r>
        <w:rPr>
          <w:w w:val="95"/>
        </w:rPr>
        <w:t>underlying</w:t>
      </w:r>
      <w:r>
        <w:rPr>
          <w:spacing w:val="-7"/>
          <w:w w:val="95"/>
        </w:rPr>
        <w:t xml:space="preserve"> </w:t>
      </w:r>
      <w:r>
        <w:rPr>
          <w:w w:val="95"/>
        </w:rPr>
        <w:t>failures</w:t>
      </w:r>
      <w:r>
        <w:rPr>
          <w:spacing w:val="-7"/>
          <w:w w:val="95"/>
        </w:rPr>
        <w:t xml:space="preserve"> </w:t>
      </w:r>
      <w:r>
        <w:rPr>
          <w:w w:val="95"/>
        </w:rPr>
        <w:t>leading</w:t>
      </w:r>
      <w:r>
        <w:rPr>
          <w:spacing w:val="-7"/>
          <w:w w:val="95"/>
        </w:rPr>
        <w:t xml:space="preserve"> </w:t>
      </w:r>
      <w:r>
        <w:rPr>
          <w:w w:val="95"/>
        </w:rPr>
        <w:t>to</w:t>
      </w:r>
      <w:r>
        <w:rPr>
          <w:spacing w:val="-7"/>
          <w:w w:val="95"/>
        </w:rPr>
        <w:t xml:space="preserve"> </w:t>
      </w:r>
      <w:r>
        <w:rPr>
          <w:w w:val="95"/>
        </w:rPr>
        <w:t xml:space="preserve">these </w:t>
      </w:r>
      <w:r>
        <w:t>outcomes</w:t>
      </w:r>
      <w:r>
        <w:rPr>
          <w:spacing w:val="-4"/>
        </w:rPr>
        <w:t xml:space="preserve"> </w:t>
      </w:r>
      <w:r>
        <w:t>have</w:t>
      </w:r>
      <w:r>
        <w:rPr>
          <w:spacing w:val="-4"/>
        </w:rPr>
        <w:t xml:space="preserve"> </w:t>
      </w:r>
      <w:r>
        <w:t>been</w:t>
      </w:r>
      <w:r>
        <w:rPr>
          <w:spacing w:val="-4"/>
        </w:rPr>
        <w:t xml:space="preserve"> </w:t>
      </w:r>
      <w:r>
        <w:t>poor</w:t>
      </w:r>
      <w:r>
        <w:rPr>
          <w:spacing w:val="-4"/>
        </w:rPr>
        <w:t xml:space="preserve"> </w:t>
      </w:r>
      <w:r>
        <w:t>planning</w:t>
      </w:r>
      <w:r>
        <w:rPr>
          <w:spacing w:val="-4"/>
        </w:rPr>
        <w:t xml:space="preserve"> </w:t>
      </w:r>
      <w:r>
        <w:t>and</w:t>
      </w:r>
      <w:r>
        <w:rPr>
          <w:spacing w:val="-4"/>
        </w:rPr>
        <w:t xml:space="preserve"> </w:t>
      </w:r>
      <w:r>
        <w:t xml:space="preserve">project </w:t>
      </w:r>
      <w:r>
        <w:rPr>
          <w:w w:val="95"/>
        </w:rPr>
        <w:t>selection,</w:t>
      </w:r>
      <w:r>
        <w:rPr>
          <w:spacing w:val="-5"/>
          <w:w w:val="95"/>
        </w:rPr>
        <w:t xml:space="preserve"> </w:t>
      </w:r>
      <w:r>
        <w:rPr>
          <w:w w:val="95"/>
        </w:rPr>
        <w:t>rather</w:t>
      </w:r>
      <w:r>
        <w:rPr>
          <w:spacing w:val="-5"/>
          <w:w w:val="95"/>
        </w:rPr>
        <w:t xml:space="preserve"> </w:t>
      </w:r>
      <w:r>
        <w:rPr>
          <w:w w:val="95"/>
        </w:rPr>
        <w:t>than</w:t>
      </w:r>
      <w:r>
        <w:rPr>
          <w:spacing w:val="-5"/>
          <w:w w:val="95"/>
        </w:rPr>
        <w:t xml:space="preserve"> </w:t>
      </w:r>
      <w:r>
        <w:rPr>
          <w:w w:val="95"/>
        </w:rPr>
        <w:t>an</w:t>
      </w:r>
      <w:r>
        <w:rPr>
          <w:spacing w:val="-5"/>
          <w:w w:val="95"/>
        </w:rPr>
        <w:t xml:space="preserve"> </w:t>
      </w:r>
      <w:r>
        <w:rPr>
          <w:w w:val="95"/>
        </w:rPr>
        <w:t>inability</w:t>
      </w:r>
      <w:r>
        <w:rPr>
          <w:spacing w:val="-5"/>
          <w:w w:val="95"/>
        </w:rPr>
        <w:t xml:space="preserve"> </w:t>
      </w:r>
      <w:r>
        <w:rPr>
          <w:w w:val="95"/>
        </w:rPr>
        <w:t>to</w:t>
      </w:r>
      <w:r>
        <w:rPr>
          <w:spacing w:val="-5"/>
          <w:w w:val="95"/>
        </w:rPr>
        <w:t xml:space="preserve"> </w:t>
      </w:r>
      <w:r>
        <w:rPr>
          <w:w w:val="95"/>
        </w:rPr>
        <w:t>deliver.</w:t>
      </w:r>
      <w:r>
        <w:rPr>
          <w:spacing w:val="-5"/>
          <w:w w:val="95"/>
        </w:rPr>
        <w:t xml:space="preserve"> </w:t>
      </w:r>
      <w:r>
        <w:rPr>
          <w:w w:val="95"/>
        </w:rPr>
        <w:t>NSW</w:t>
      </w:r>
      <w:r>
        <w:rPr>
          <w:spacing w:val="-5"/>
          <w:w w:val="95"/>
        </w:rPr>
        <w:t xml:space="preserve"> </w:t>
      </w:r>
      <w:r>
        <w:rPr>
          <w:w w:val="95"/>
        </w:rPr>
        <w:t>is</w:t>
      </w:r>
      <w:r>
        <w:rPr>
          <w:spacing w:val="-5"/>
          <w:w w:val="95"/>
        </w:rPr>
        <w:t xml:space="preserve"> </w:t>
      </w:r>
      <w:r>
        <w:rPr>
          <w:w w:val="95"/>
        </w:rPr>
        <w:t>in fact</w:t>
      </w:r>
      <w:r>
        <w:rPr>
          <w:spacing w:val="-7"/>
          <w:w w:val="95"/>
        </w:rPr>
        <w:t xml:space="preserve"> </w:t>
      </w:r>
      <w:r>
        <w:rPr>
          <w:w w:val="95"/>
        </w:rPr>
        <w:t>capable</w:t>
      </w:r>
      <w:r>
        <w:rPr>
          <w:spacing w:val="-7"/>
          <w:w w:val="95"/>
        </w:rPr>
        <w:t xml:space="preserve"> </w:t>
      </w:r>
      <w:r>
        <w:rPr>
          <w:w w:val="95"/>
        </w:rPr>
        <w:t>of</w:t>
      </w:r>
      <w:r>
        <w:rPr>
          <w:spacing w:val="-7"/>
          <w:w w:val="95"/>
        </w:rPr>
        <w:t xml:space="preserve"> </w:t>
      </w:r>
      <w:r>
        <w:rPr>
          <w:w w:val="95"/>
        </w:rPr>
        <w:t>delivering</w:t>
      </w:r>
      <w:r>
        <w:rPr>
          <w:spacing w:val="-7"/>
          <w:w w:val="95"/>
        </w:rPr>
        <w:t xml:space="preserve"> </w:t>
      </w:r>
      <w:r>
        <w:rPr>
          <w:w w:val="95"/>
        </w:rPr>
        <w:t>excellent</w:t>
      </w:r>
      <w:r>
        <w:rPr>
          <w:spacing w:val="-7"/>
          <w:w w:val="95"/>
        </w:rPr>
        <w:t xml:space="preserve"> </w:t>
      </w:r>
      <w:r>
        <w:rPr>
          <w:w w:val="95"/>
        </w:rPr>
        <w:t>results</w:t>
      </w:r>
      <w:r>
        <w:rPr>
          <w:spacing w:val="-7"/>
          <w:w w:val="95"/>
        </w:rPr>
        <w:t xml:space="preserve"> </w:t>
      </w:r>
      <w:r>
        <w:rPr>
          <w:w w:val="95"/>
        </w:rPr>
        <w:t>as</w:t>
      </w:r>
      <w:r>
        <w:rPr>
          <w:spacing w:val="-7"/>
          <w:w w:val="95"/>
        </w:rPr>
        <w:t xml:space="preserve"> </w:t>
      </w:r>
      <w:r>
        <w:rPr>
          <w:w w:val="95"/>
        </w:rPr>
        <w:t>projects</w:t>
      </w:r>
    </w:p>
    <w:p w:rsidR="002C1123" w:rsidRDefault="002060EF">
      <w:pPr>
        <w:pStyle w:val="BodyText"/>
        <w:spacing w:before="10"/>
      </w:pPr>
      <w:r>
        <w:pict>
          <v:shape id="docshape165" o:spid="_x0000_s5128" style="position:absolute;margin-left:322.2pt;margin-top:13.25pt;width:1in;height:.1pt;z-index:-251424768;mso-wrap-distance-left:0;mso-wrap-distance-right:0;mso-position-horizontal-relative:page" coordorigin="6444,265" coordsize="1440,0" path="m6444,265r1440,e" filled="f" strokecolor="#9c9c9d" strokeweight=".5pt">
            <v:path arrowok="t"/>
            <w10:wrap type="topAndBottom" anchorx="page"/>
          </v:shape>
        </w:pict>
      </w:r>
    </w:p>
    <w:p w:rsidR="002C1123" w:rsidRDefault="00F22F94">
      <w:pPr>
        <w:pStyle w:val="ListParagraph"/>
        <w:numPr>
          <w:ilvl w:val="0"/>
          <w:numId w:val="159"/>
        </w:numPr>
        <w:tabs>
          <w:tab w:val="left" w:pos="415"/>
        </w:tabs>
        <w:spacing w:before="23" w:line="161" w:lineRule="exact"/>
        <w:ind w:left="414" w:hanging="186"/>
        <w:jc w:val="left"/>
        <w:rPr>
          <w:sz w:val="14"/>
        </w:rPr>
      </w:pPr>
      <w:r>
        <w:rPr>
          <w:w w:val="95"/>
          <w:sz w:val="14"/>
        </w:rPr>
        <w:t>CityRail</w:t>
      </w:r>
      <w:r>
        <w:rPr>
          <w:spacing w:val="-3"/>
          <w:w w:val="95"/>
          <w:sz w:val="14"/>
        </w:rPr>
        <w:t xml:space="preserve"> </w:t>
      </w:r>
      <w:r>
        <w:rPr>
          <w:w w:val="95"/>
          <w:sz w:val="14"/>
        </w:rPr>
        <w:t>2010,</w:t>
      </w:r>
      <w:r>
        <w:rPr>
          <w:spacing w:val="-2"/>
          <w:w w:val="95"/>
          <w:sz w:val="14"/>
        </w:rPr>
        <w:t xml:space="preserve"> </w:t>
      </w:r>
      <w:r>
        <w:rPr>
          <w:w w:val="95"/>
          <w:sz w:val="14"/>
        </w:rPr>
        <w:t>Compendium</w:t>
      </w:r>
      <w:r>
        <w:rPr>
          <w:spacing w:val="-3"/>
          <w:w w:val="95"/>
          <w:sz w:val="14"/>
        </w:rPr>
        <w:t xml:space="preserve"> </w:t>
      </w:r>
      <w:r>
        <w:rPr>
          <w:w w:val="95"/>
          <w:sz w:val="14"/>
        </w:rPr>
        <w:t>of</w:t>
      </w:r>
      <w:r>
        <w:rPr>
          <w:spacing w:val="-2"/>
          <w:w w:val="95"/>
          <w:sz w:val="14"/>
        </w:rPr>
        <w:t xml:space="preserve"> </w:t>
      </w:r>
      <w:r>
        <w:rPr>
          <w:w w:val="95"/>
          <w:sz w:val="14"/>
        </w:rPr>
        <w:t>Travel</w:t>
      </w:r>
      <w:r>
        <w:rPr>
          <w:spacing w:val="-3"/>
          <w:w w:val="95"/>
          <w:sz w:val="14"/>
        </w:rPr>
        <w:t xml:space="preserve"> </w:t>
      </w:r>
      <w:r>
        <w:rPr>
          <w:spacing w:val="-2"/>
          <w:w w:val="95"/>
          <w:sz w:val="14"/>
        </w:rPr>
        <w:t>Statistics.</w:t>
      </w:r>
    </w:p>
    <w:p w:rsidR="002C1123" w:rsidRDefault="00F22F94">
      <w:pPr>
        <w:pStyle w:val="ListParagraph"/>
        <w:numPr>
          <w:ilvl w:val="0"/>
          <w:numId w:val="159"/>
        </w:numPr>
        <w:tabs>
          <w:tab w:val="left" w:pos="415"/>
        </w:tabs>
        <w:spacing w:line="160" w:lineRule="exact"/>
        <w:ind w:left="414" w:hanging="202"/>
        <w:jc w:val="left"/>
        <w:rPr>
          <w:sz w:val="14"/>
        </w:rPr>
      </w:pPr>
      <w:r>
        <w:rPr>
          <w:w w:val="95"/>
          <w:sz w:val="14"/>
        </w:rPr>
        <w:t>CityRail</w:t>
      </w:r>
      <w:r>
        <w:rPr>
          <w:spacing w:val="-3"/>
          <w:w w:val="95"/>
          <w:sz w:val="14"/>
        </w:rPr>
        <w:t xml:space="preserve"> </w:t>
      </w:r>
      <w:r>
        <w:rPr>
          <w:w w:val="95"/>
          <w:sz w:val="14"/>
        </w:rPr>
        <w:t>2010,</w:t>
      </w:r>
      <w:r>
        <w:rPr>
          <w:spacing w:val="-2"/>
          <w:w w:val="95"/>
          <w:sz w:val="14"/>
        </w:rPr>
        <w:t xml:space="preserve"> </w:t>
      </w:r>
      <w:r>
        <w:rPr>
          <w:w w:val="95"/>
          <w:sz w:val="14"/>
        </w:rPr>
        <w:t>Compendium</w:t>
      </w:r>
      <w:r>
        <w:rPr>
          <w:spacing w:val="-3"/>
          <w:w w:val="95"/>
          <w:sz w:val="14"/>
        </w:rPr>
        <w:t xml:space="preserve"> </w:t>
      </w:r>
      <w:r>
        <w:rPr>
          <w:w w:val="95"/>
          <w:sz w:val="14"/>
        </w:rPr>
        <w:t>of</w:t>
      </w:r>
      <w:r>
        <w:rPr>
          <w:spacing w:val="-2"/>
          <w:w w:val="95"/>
          <w:sz w:val="14"/>
        </w:rPr>
        <w:t xml:space="preserve"> </w:t>
      </w:r>
      <w:r>
        <w:rPr>
          <w:w w:val="95"/>
          <w:sz w:val="14"/>
        </w:rPr>
        <w:t>Travel</w:t>
      </w:r>
      <w:r>
        <w:rPr>
          <w:spacing w:val="-3"/>
          <w:w w:val="95"/>
          <w:sz w:val="14"/>
        </w:rPr>
        <w:t xml:space="preserve"> </w:t>
      </w:r>
      <w:r>
        <w:rPr>
          <w:spacing w:val="-2"/>
          <w:w w:val="95"/>
          <w:sz w:val="14"/>
        </w:rPr>
        <w:t>Statistics.</w:t>
      </w:r>
    </w:p>
    <w:p w:rsidR="002C1123" w:rsidRDefault="00F22F94">
      <w:pPr>
        <w:pStyle w:val="ListParagraph"/>
        <w:numPr>
          <w:ilvl w:val="0"/>
          <w:numId w:val="159"/>
        </w:numPr>
        <w:tabs>
          <w:tab w:val="left" w:pos="415"/>
        </w:tabs>
        <w:spacing w:line="161" w:lineRule="exact"/>
        <w:ind w:left="414" w:hanging="186"/>
        <w:jc w:val="left"/>
        <w:rPr>
          <w:sz w:val="14"/>
        </w:rPr>
      </w:pPr>
      <w:r>
        <w:rPr>
          <w:w w:val="95"/>
          <w:sz w:val="14"/>
        </w:rPr>
        <w:t>Infrastructure</w:t>
      </w:r>
      <w:r>
        <w:rPr>
          <w:spacing w:val="12"/>
          <w:sz w:val="14"/>
        </w:rPr>
        <w:t xml:space="preserve"> </w:t>
      </w:r>
      <w:r>
        <w:rPr>
          <w:spacing w:val="-2"/>
          <w:sz w:val="14"/>
        </w:rPr>
        <w:t>Australia.</w:t>
      </w:r>
    </w:p>
    <w:p w:rsidR="002C1123" w:rsidRDefault="00F22F94">
      <w:pPr>
        <w:pStyle w:val="BodyText"/>
        <w:spacing w:before="129" w:line="249" w:lineRule="auto"/>
        <w:ind w:left="501" w:right="295" w:hanging="4"/>
      </w:pPr>
      <w:r>
        <w:br w:type="column"/>
      </w:r>
      <w:r>
        <w:rPr>
          <w:spacing w:val="-2"/>
        </w:rPr>
        <w:t>(such</w:t>
      </w:r>
      <w:r>
        <w:rPr>
          <w:spacing w:val="-9"/>
        </w:rPr>
        <w:t xml:space="preserve"> </w:t>
      </w:r>
      <w:r>
        <w:rPr>
          <w:spacing w:val="-2"/>
        </w:rPr>
        <w:t>as</w:t>
      </w:r>
      <w:r>
        <w:rPr>
          <w:spacing w:val="-9"/>
        </w:rPr>
        <w:t xml:space="preserve"> </w:t>
      </w:r>
      <w:r>
        <w:rPr>
          <w:spacing w:val="-2"/>
        </w:rPr>
        <w:t>the</w:t>
      </w:r>
      <w:r>
        <w:rPr>
          <w:spacing w:val="-9"/>
        </w:rPr>
        <w:t xml:space="preserve"> </w:t>
      </w:r>
      <w:r>
        <w:rPr>
          <w:spacing w:val="-2"/>
        </w:rPr>
        <w:t>Westlink</w:t>
      </w:r>
      <w:r>
        <w:rPr>
          <w:spacing w:val="-9"/>
        </w:rPr>
        <w:t xml:space="preserve"> </w:t>
      </w:r>
      <w:r>
        <w:rPr>
          <w:spacing w:val="-2"/>
        </w:rPr>
        <w:t>M7</w:t>
      </w:r>
      <w:r>
        <w:rPr>
          <w:spacing w:val="-9"/>
        </w:rPr>
        <w:t xml:space="preserve"> </w:t>
      </w:r>
      <w:r>
        <w:rPr>
          <w:spacing w:val="-2"/>
        </w:rPr>
        <w:t>indicate),</w:t>
      </w:r>
      <w:r>
        <w:rPr>
          <w:spacing w:val="-9"/>
        </w:rPr>
        <w:t xml:space="preserve"> </w:t>
      </w:r>
      <w:r>
        <w:rPr>
          <w:spacing w:val="-2"/>
        </w:rPr>
        <w:t>given</w:t>
      </w:r>
      <w:r>
        <w:rPr>
          <w:spacing w:val="-9"/>
        </w:rPr>
        <w:t xml:space="preserve"> </w:t>
      </w:r>
      <w:r>
        <w:rPr>
          <w:spacing w:val="-2"/>
        </w:rPr>
        <w:t>the</w:t>
      </w:r>
      <w:r>
        <w:rPr>
          <w:spacing w:val="-9"/>
        </w:rPr>
        <w:t xml:space="preserve"> </w:t>
      </w:r>
      <w:r>
        <w:rPr>
          <w:spacing w:val="-2"/>
        </w:rPr>
        <w:t xml:space="preserve">right </w:t>
      </w:r>
      <w:r>
        <w:rPr>
          <w:w w:val="95"/>
        </w:rPr>
        <w:t>policy framework, long term</w:t>
      </w:r>
      <w:r>
        <w:rPr>
          <w:spacing w:val="-1"/>
          <w:w w:val="95"/>
        </w:rPr>
        <w:t xml:space="preserve"> </w:t>
      </w:r>
      <w:r>
        <w:rPr>
          <w:w w:val="95"/>
        </w:rPr>
        <w:t xml:space="preserve">planning and judicious </w:t>
      </w:r>
      <w:r>
        <w:t>use of private sector expertise.</w:t>
      </w:r>
    </w:p>
    <w:p w:rsidR="002C1123" w:rsidRDefault="00F22F94">
      <w:pPr>
        <w:pStyle w:val="ListParagraph"/>
        <w:numPr>
          <w:ilvl w:val="0"/>
          <w:numId w:val="158"/>
        </w:numPr>
        <w:tabs>
          <w:tab w:val="left" w:pos="501"/>
        </w:tabs>
        <w:spacing w:before="132"/>
        <w:ind w:left="500"/>
        <w:jc w:val="both"/>
        <w:rPr>
          <w:sz w:val="20"/>
        </w:rPr>
      </w:pPr>
      <w:r>
        <w:rPr>
          <w:sz w:val="20"/>
        </w:rPr>
        <w:t>Poor</w:t>
      </w:r>
      <w:r>
        <w:rPr>
          <w:spacing w:val="-2"/>
          <w:sz w:val="20"/>
        </w:rPr>
        <w:t xml:space="preserve"> </w:t>
      </w:r>
      <w:r>
        <w:rPr>
          <w:sz w:val="20"/>
        </w:rPr>
        <w:t>value</w:t>
      </w:r>
      <w:r>
        <w:rPr>
          <w:spacing w:val="-1"/>
          <w:sz w:val="20"/>
        </w:rPr>
        <w:t xml:space="preserve"> </w:t>
      </w:r>
      <w:r>
        <w:rPr>
          <w:sz w:val="20"/>
        </w:rPr>
        <w:t>for</w:t>
      </w:r>
      <w:r>
        <w:rPr>
          <w:spacing w:val="-1"/>
          <w:sz w:val="20"/>
        </w:rPr>
        <w:t xml:space="preserve"> </w:t>
      </w:r>
      <w:r>
        <w:rPr>
          <w:sz w:val="20"/>
        </w:rPr>
        <w:t>money</w:t>
      </w:r>
      <w:r>
        <w:rPr>
          <w:spacing w:val="-1"/>
          <w:sz w:val="20"/>
        </w:rPr>
        <w:t xml:space="preserve"> </w:t>
      </w:r>
      <w:r>
        <w:rPr>
          <w:sz w:val="20"/>
        </w:rPr>
        <w:t>in</w:t>
      </w:r>
      <w:r>
        <w:rPr>
          <w:spacing w:val="-1"/>
          <w:sz w:val="20"/>
        </w:rPr>
        <w:t xml:space="preserve"> </w:t>
      </w:r>
      <w:r>
        <w:rPr>
          <w:spacing w:val="-2"/>
          <w:sz w:val="20"/>
        </w:rPr>
        <w:t>delivery</w:t>
      </w:r>
    </w:p>
    <w:p w:rsidR="002C1123" w:rsidRDefault="00F22F94">
      <w:pPr>
        <w:pStyle w:val="BodyText"/>
        <w:spacing w:before="10" w:line="249" w:lineRule="auto"/>
        <w:ind w:left="504" w:right="606" w:hanging="4"/>
        <w:jc w:val="both"/>
      </w:pPr>
      <w:r>
        <w:rPr>
          <w:w w:val="95"/>
        </w:rPr>
        <w:t>Infrastructure construction costs in Australia have been rising between 5 and 7 percent per annum</w:t>
      </w:r>
      <w:r>
        <w:rPr>
          <w:w w:val="95"/>
          <w:position w:val="7"/>
          <w:sz w:val="11"/>
        </w:rPr>
        <w:t>9</w:t>
      </w:r>
      <w:r>
        <w:rPr>
          <w:w w:val="95"/>
        </w:rPr>
        <w:t xml:space="preserve">, </w:t>
      </w:r>
      <w:r>
        <w:t>much</w:t>
      </w:r>
      <w:r>
        <w:rPr>
          <w:spacing w:val="-9"/>
        </w:rPr>
        <w:t xml:space="preserve"> </w:t>
      </w:r>
      <w:r>
        <w:t>faster</w:t>
      </w:r>
      <w:r>
        <w:rPr>
          <w:spacing w:val="-9"/>
        </w:rPr>
        <w:t xml:space="preserve"> </w:t>
      </w:r>
      <w:r>
        <w:t>than</w:t>
      </w:r>
      <w:r>
        <w:rPr>
          <w:spacing w:val="-9"/>
        </w:rPr>
        <w:t xml:space="preserve"> </w:t>
      </w:r>
      <w:r>
        <w:t>the</w:t>
      </w:r>
      <w:r>
        <w:rPr>
          <w:spacing w:val="-9"/>
        </w:rPr>
        <w:t xml:space="preserve"> </w:t>
      </w:r>
      <w:r>
        <w:t>wider</w:t>
      </w:r>
      <w:r>
        <w:rPr>
          <w:spacing w:val="-9"/>
        </w:rPr>
        <w:t xml:space="preserve"> </w:t>
      </w:r>
      <w:r>
        <w:t>inflationary</w:t>
      </w:r>
      <w:r>
        <w:rPr>
          <w:spacing w:val="-9"/>
        </w:rPr>
        <w:t xml:space="preserve"> </w:t>
      </w:r>
      <w:r>
        <w:t>trend.</w:t>
      </w:r>
    </w:p>
    <w:p w:rsidR="002C1123" w:rsidRDefault="00F22F94">
      <w:pPr>
        <w:pStyle w:val="BodyText"/>
        <w:spacing w:before="2" w:line="249" w:lineRule="auto"/>
        <w:ind w:left="497" w:right="295" w:firstLine="3"/>
      </w:pPr>
      <w:r>
        <w:t>Increases</w:t>
      </w:r>
      <w:r>
        <w:rPr>
          <w:spacing w:val="-9"/>
        </w:rPr>
        <w:t xml:space="preserve"> </w:t>
      </w:r>
      <w:r>
        <w:t>in</w:t>
      </w:r>
      <w:r>
        <w:rPr>
          <w:spacing w:val="-9"/>
        </w:rPr>
        <w:t xml:space="preserve"> </w:t>
      </w:r>
      <w:r>
        <w:t>project</w:t>
      </w:r>
      <w:r>
        <w:rPr>
          <w:spacing w:val="-9"/>
        </w:rPr>
        <w:t xml:space="preserve"> </w:t>
      </w:r>
      <w:r>
        <w:t>scope</w:t>
      </w:r>
      <w:r>
        <w:rPr>
          <w:spacing w:val="-9"/>
        </w:rPr>
        <w:t xml:space="preserve"> </w:t>
      </w:r>
      <w:r>
        <w:t>have</w:t>
      </w:r>
      <w:r>
        <w:rPr>
          <w:spacing w:val="-9"/>
        </w:rPr>
        <w:t xml:space="preserve"> </w:t>
      </w:r>
      <w:r>
        <w:t>produced</w:t>
      </w:r>
      <w:r>
        <w:rPr>
          <w:spacing w:val="-9"/>
        </w:rPr>
        <w:t xml:space="preserve"> </w:t>
      </w:r>
      <w:r>
        <w:t>even larger</w:t>
      </w:r>
      <w:r>
        <w:rPr>
          <w:spacing w:val="-14"/>
        </w:rPr>
        <w:t xml:space="preserve"> </w:t>
      </w:r>
      <w:r>
        <w:t>cost</w:t>
      </w:r>
      <w:r>
        <w:rPr>
          <w:spacing w:val="-14"/>
        </w:rPr>
        <w:t xml:space="preserve"> </w:t>
      </w:r>
      <w:r>
        <w:t>increases.</w:t>
      </w:r>
      <w:r>
        <w:rPr>
          <w:spacing w:val="-14"/>
        </w:rPr>
        <w:t xml:space="preserve"> </w:t>
      </w:r>
      <w:r>
        <w:t>In</w:t>
      </w:r>
      <w:r>
        <w:rPr>
          <w:spacing w:val="-14"/>
        </w:rPr>
        <w:t xml:space="preserve"> </w:t>
      </w:r>
      <w:r>
        <w:t>2011,</w:t>
      </w:r>
      <w:r>
        <w:rPr>
          <w:spacing w:val="-14"/>
        </w:rPr>
        <w:t xml:space="preserve"> </w:t>
      </w:r>
      <w:r>
        <w:t>the</w:t>
      </w:r>
      <w:r>
        <w:rPr>
          <w:spacing w:val="-14"/>
        </w:rPr>
        <w:t xml:space="preserve"> </w:t>
      </w:r>
      <w:r>
        <w:t>NSW</w:t>
      </w:r>
      <w:r>
        <w:rPr>
          <w:spacing w:val="-14"/>
        </w:rPr>
        <w:t xml:space="preserve"> </w:t>
      </w:r>
      <w:r>
        <w:t>Auditor General</w:t>
      </w:r>
      <w:r>
        <w:rPr>
          <w:spacing w:val="-8"/>
        </w:rPr>
        <w:t xml:space="preserve"> </w:t>
      </w:r>
      <w:r>
        <w:t>found</w:t>
      </w:r>
      <w:r>
        <w:rPr>
          <w:spacing w:val="-8"/>
        </w:rPr>
        <w:t xml:space="preserve"> </w:t>
      </w:r>
      <w:r>
        <w:t>that</w:t>
      </w:r>
      <w:r>
        <w:rPr>
          <w:spacing w:val="-8"/>
        </w:rPr>
        <w:t xml:space="preserve"> </w:t>
      </w:r>
      <w:r>
        <w:t>19</w:t>
      </w:r>
      <w:r>
        <w:rPr>
          <w:spacing w:val="-8"/>
        </w:rPr>
        <w:t xml:space="preserve"> </w:t>
      </w:r>
      <w:r>
        <w:t>of</w:t>
      </w:r>
      <w:r>
        <w:rPr>
          <w:spacing w:val="-8"/>
        </w:rPr>
        <w:t xml:space="preserve"> </w:t>
      </w:r>
      <w:r>
        <w:t>the</w:t>
      </w:r>
      <w:r>
        <w:rPr>
          <w:spacing w:val="-8"/>
        </w:rPr>
        <w:t xml:space="preserve"> </w:t>
      </w:r>
      <w:r>
        <w:t>43</w:t>
      </w:r>
      <w:r>
        <w:rPr>
          <w:spacing w:val="-8"/>
        </w:rPr>
        <w:t xml:space="preserve"> </w:t>
      </w:r>
      <w:r>
        <w:t>major</w:t>
      </w:r>
      <w:r>
        <w:rPr>
          <w:spacing w:val="-8"/>
        </w:rPr>
        <w:t xml:space="preserve"> </w:t>
      </w:r>
      <w:r>
        <w:t>transport projects</w:t>
      </w:r>
      <w:r>
        <w:rPr>
          <w:spacing w:val="-12"/>
        </w:rPr>
        <w:t xml:space="preserve"> </w:t>
      </w:r>
      <w:r>
        <w:t>are</w:t>
      </w:r>
      <w:r>
        <w:rPr>
          <w:spacing w:val="-12"/>
        </w:rPr>
        <w:t xml:space="preserve"> </w:t>
      </w:r>
      <w:r>
        <w:t>late</w:t>
      </w:r>
      <w:r>
        <w:rPr>
          <w:spacing w:val="-12"/>
        </w:rPr>
        <w:t xml:space="preserve"> </w:t>
      </w:r>
      <w:r>
        <w:t>or</w:t>
      </w:r>
      <w:r>
        <w:rPr>
          <w:spacing w:val="-12"/>
        </w:rPr>
        <w:t xml:space="preserve"> </w:t>
      </w:r>
      <w:r>
        <w:t>over</w:t>
      </w:r>
      <w:r>
        <w:rPr>
          <w:spacing w:val="-12"/>
        </w:rPr>
        <w:t xml:space="preserve"> </w:t>
      </w:r>
      <w:r>
        <w:t>budget,</w:t>
      </w:r>
      <w:r>
        <w:rPr>
          <w:spacing w:val="-12"/>
        </w:rPr>
        <w:t xml:space="preserve"> </w:t>
      </w:r>
      <w:r>
        <w:t>with</w:t>
      </w:r>
      <w:r>
        <w:rPr>
          <w:spacing w:val="-12"/>
        </w:rPr>
        <w:t xml:space="preserve"> </w:t>
      </w:r>
      <w:r>
        <w:t>rail</w:t>
      </w:r>
      <w:r>
        <w:rPr>
          <w:spacing w:val="-12"/>
        </w:rPr>
        <w:t xml:space="preserve"> </w:t>
      </w:r>
      <w:r>
        <w:t>projects</w:t>
      </w:r>
      <w:r>
        <w:rPr>
          <w:spacing w:val="-12"/>
        </w:rPr>
        <w:t xml:space="preserve"> </w:t>
      </w:r>
      <w:r>
        <w:t>of particular</w:t>
      </w:r>
      <w:r>
        <w:rPr>
          <w:spacing w:val="-14"/>
        </w:rPr>
        <w:t xml:space="preserve"> </w:t>
      </w:r>
      <w:r>
        <w:t>concern</w:t>
      </w:r>
      <w:r>
        <w:rPr>
          <w:position w:val="7"/>
          <w:sz w:val="11"/>
        </w:rPr>
        <w:t>10</w:t>
      </w:r>
      <w:r>
        <w:t>.</w:t>
      </w:r>
      <w:r>
        <w:rPr>
          <w:spacing w:val="-14"/>
        </w:rPr>
        <w:t xml:space="preserve"> </w:t>
      </w:r>
      <w:r>
        <w:t>For</w:t>
      </w:r>
      <w:r>
        <w:rPr>
          <w:spacing w:val="-14"/>
        </w:rPr>
        <w:t xml:space="preserve"> </w:t>
      </w:r>
      <w:r>
        <w:t>example</w:t>
      </w:r>
      <w:r>
        <w:rPr>
          <w:spacing w:val="-14"/>
        </w:rPr>
        <w:t xml:space="preserve"> </w:t>
      </w:r>
      <w:r>
        <w:t>the</w:t>
      </w:r>
      <w:r>
        <w:rPr>
          <w:spacing w:val="-14"/>
        </w:rPr>
        <w:t xml:space="preserve"> </w:t>
      </w:r>
      <w:r>
        <w:t>rail</w:t>
      </w:r>
      <w:r>
        <w:rPr>
          <w:spacing w:val="-14"/>
        </w:rPr>
        <w:t xml:space="preserve"> </w:t>
      </w:r>
      <w:r>
        <w:t xml:space="preserve">clearways </w:t>
      </w:r>
      <w:r>
        <w:rPr>
          <w:w w:val="95"/>
        </w:rPr>
        <w:t>program</w:t>
      </w:r>
      <w:r>
        <w:rPr>
          <w:spacing w:val="-7"/>
          <w:w w:val="95"/>
        </w:rPr>
        <w:t xml:space="preserve"> </w:t>
      </w:r>
      <w:r>
        <w:rPr>
          <w:w w:val="95"/>
        </w:rPr>
        <w:t>will</w:t>
      </w:r>
      <w:r>
        <w:rPr>
          <w:spacing w:val="-6"/>
          <w:w w:val="95"/>
        </w:rPr>
        <w:t xml:space="preserve"> </w:t>
      </w:r>
      <w:r>
        <w:rPr>
          <w:w w:val="95"/>
        </w:rPr>
        <w:t>be</w:t>
      </w:r>
      <w:r>
        <w:rPr>
          <w:spacing w:val="-6"/>
          <w:w w:val="95"/>
        </w:rPr>
        <w:t xml:space="preserve"> </w:t>
      </w:r>
      <w:r>
        <w:rPr>
          <w:w w:val="95"/>
        </w:rPr>
        <w:t>completed</w:t>
      </w:r>
      <w:r>
        <w:rPr>
          <w:spacing w:val="-6"/>
          <w:w w:val="95"/>
        </w:rPr>
        <w:t xml:space="preserve"> </w:t>
      </w:r>
      <w:r>
        <w:rPr>
          <w:w w:val="95"/>
        </w:rPr>
        <w:t>five</w:t>
      </w:r>
      <w:r>
        <w:rPr>
          <w:spacing w:val="-6"/>
          <w:w w:val="95"/>
        </w:rPr>
        <w:t xml:space="preserve"> </w:t>
      </w:r>
      <w:r>
        <w:rPr>
          <w:w w:val="95"/>
        </w:rPr>
        <w:t>years</w:t>
      </w:r>
      <w:r>
        <w:rPr>
          <w:spacing w:val="-6"/>
          <w:w w:val="95"/>
        </w:rPr>
        <w:t xml:space="preserve"> </w:t>
      </w:r>
      <w:r>
        <w:rPr>
          <w:w w:val="95"/>
        </w:rPr>
        <w:t>after</w:t>
      </w:r>
      <w:r>
        <w:rPr>
          <w:spacing w:val="-6"/>
          <w:w w:val="95"/>
        </w:rPr>
        <w:t xml:space="preserve"> </w:t>
      </w:r>
      <w:r>
        <w:rPr>
          <w:w w:val="95"/>
        </w:rPr>
        <w:t>the</w:t>
      </w:r>
      <w:r>
        <w:rPr>
          <w:spacing w:val="-6"/>
          <w:w w:val="95"/>
        </w:rPr>
        <w:t xml:space="preserve"> </w:t>
      </w:r>
      <w:r>
        <w:rPr>
          <w:w w:val="95"/>
        </w:rPr>
        <w:t xml:space="preserve">original completion date at a cost of $2 billion compared with </w:t>
      </w:r>
      <w:r>
        <w:t>a budget of $1.3 billion</w:t>
      </w:r>
      <w:r>
        <w:rPr>
          <w:position w:val="7"/>
          <w:sz w:val="11"/>
        </w:rPr>
        <w:t>11</w:t>
      </w:r>
      <w:r>
        <w:t>.</w:t>
      </w:r>
    </w:p>
    <w:p w:rsidR="002C1123" w:rsidRDefault="00F22F94">
      <w:pPr>
        <w:pStyle w:val="ListParagraph"/>
        <w:numPr>
          <w:ilvl w:val="0"/>
          <w:numId w:val="158"/>
        </w:numPr>
        <w:tabs>
          <w:tab w:val="left" w:pos="500"/>
          <w:tab w:val="left" w:pos="501"/>
        </w:tabs>
        <w:spacing w:before="136"/>
        <w:ind w:left="500"/>
        <w:rPr>
          <w:sz w:val="20"/>
        </w:rPr>
      </w:pPr>
      <w:r>
        <w:rPr>
          <w:sz w:val="20"/>
        </w:rPr>
        <w:t>Low</w:t>
      </w:r>
      <w:r>
        <w:rPr>
          <w:spacing w:val="3"/>
          <w:sz w:val="20"/>
        </w:rPr>
        <w:t xml:space="preserve"> </w:t>
      </w:r>
      <w:r>
        <w:rPr>
          <w:sz w:val="20"/>
        </w:rPr>
        <w:t>levels</w:t>
      </w:r>
      <w:r>
        <w:rPr>
          <w:spacing w:val="3"/>
          <w:sz w:val="20"/>
        </w:rPr>
        <w:t xml:space="preserve"> </w:t>
      </w:r>
      <w:r>
        <w:rPr>
          <w:sz w:val="20"/>
        </w:rPr>
        <w:t>of</w:t>
      </w:r>
      <w:r>
        <w:rPr>
          <w:spacing w:val="3"/>
          <w:sz w:val="20"/>
        </w:rPr>
        <w:t xml:space="preserve"> </w:t>
      </w:r>
      <w:r>
        <w:rPr>
          <w:sz w:val="20"/>
        </w:rPr>
        <w:t>private</w:t>
      </w:r>
      <w:r>
        <w:rPr>
          <w:spacing w:val="3"/>
          <w:sz w:val="20"/>
        </w:rPr>
        <w:t xml:space="preserve"> </w:t>
      </w:r>
      <w:r>
        <w:rPr>
          <w:spacing w:val="-2"/>
          <w:sz w:val="20"/>
        </w:rPr>
        <w:t>participation</w:t>
      </w:r>
    </w:p>
    <w:p w:rsidR="002C1123" w:rsidRDefault="00F22F94">
      <w:pPr>
        <w:pStyle w:val="BodyText"/>
        <w:spacing w:before="10" w:line="249" w:lineRule="auto"/>
        <w:ind w:left="498" w:right="421" w:firstLine="2"/>
      </w:pPr>
      <w:r>
        <w:t>Increasing</w:t>
      </w:r>
      <w:r>
        <w:rPr>
          <w:spacing w:val="-14"/>
        </w:rPr>
        <w:t xml:space="preserve"> </w:t>
      </w:r>
      <w:r>
        <w:t>use</w:t>
      </w:r>
      <w:r>
        <w:rPr>
          <w:spacing w:val="-14"/>
        </w:rPr>
        <w:t xml:space="preserve"> </w:t>
      </w:r>
      <w:r>
        <w:t>of</w:t>
      </w:r>
      <w:r>
        <w:rPr>
          <w:spacing w:val="-14"/>
        </w:rPr>
        <w:t xml:space="preserve"> </w:t>
      </w:r>
      <w:r>
        <w:t>outsourcing</w:t>
      </w:r>
      <w:r>
        <w:rPr>
          <w:spacing w:val="-14"/>
        </w:rPr>
        <w:t xml:space="preserve"> </w:t>
      </w:r>
      <w:r>
        <w:t>and</w:t>
      </w:r>
      <w:r>
        <w:rPr>
          <w:spacing w:val="-14"/>
        </w:rPr>
        <w:t xml:space="preserve"> </w:t>
      </w:r>
      <w:r>
        <w:t>divestment</w:t>
      </w:r>
      <w:r>
        <w:rPr>
          <w:spacing w:val="-14"/>
        </w:rPr>
        <w:t xml:space="preserve"> </w:t>
      </w:r>
      <w:r>
        <w:t>are a</w:t>
      </w:r>
      <w:r>
        <w:rPr>
          <w:spacing w:val="-14"/>
        </w:rPr>
        <w:t xml:space="preserve"> </w:t>
      </w:r>
      <w:r>
        <w:t>feature</w:t>
      </w:r>
      <w:r>
        <w:rPr>
          <w:spacing w:val="-14"/>
        </w:rPr>
        <w:t xml:space="preserve"> </w:t>
      </w:r>
      <w:r>
        <w:t>of</w:t>
      </w:r>
      <w:r>
        <w:rPr>
          <w:spacing w:val="-14"/>
        </w:rPr>
        <w:t xml:space="preserve"> </w:t>
      </w:r>
      <w:r>
        <w:t>modern</w:t>
      </w:r>
      <w:r>
        <w:rPr>
          <w:spacing w:val="-13"/>
        </w:rPr>
        <w:t xml:space="preserve"> </w:t>
      </w:r>
      <w:r>
        <w:t>Government</w:t>
      </w:r>
      <w:r>
        <w:rPr>
          <w:spacing w:val="-14"/>
        </w:rPr>
        <w:t xml:space="preserve"> </w:t>
      </w:r>
      <w:r>
        <w:t>service</w:t>
      </w:r>
      <w:r>
        <w:rPr>
          <w:spacing w:val="-14"/>
        </w:rPr>
        <w:t xml:space="preserve"> </w:t>
      </w:r>
      <w:r>
        <w:t xml:space="preserve">delivery </w:t>
      </w:r>
      <w:r>
        <w:rPr>
          <w:w w:val="95"/>
        </w:rPr>
        <w:t>and</w:t>
      </w:r>
      <w:r>
        <w:rPr>
          <w:spacing w:val="-9"/>
          <w:w w:val="95"/>
        </w:rPr>
        <w:t xml:space="preserve"> </w:t>
      </w:r>
      <w:r>
        <w:rPr>
          <w:w w:val="95"/>
        </w:rPr>
        <w:t>can</w:t>
      </w:r>
      <w:r>
        <w:rPr>
          <w:spacing w:val="-9"/>
          <w:w w:val="95"/>
        </w:rPr>
        <w:t xml:space="preserve"> </w:t>
      </w:r>
      <w:r>
        <w:rPr>
          <w:w w:val="95"/>
        </w:rPr>
        <w:t>deliver</w:t>
      </w:r>
      <w:r>
        <w:rPr>
          <w:spacing w:val="-9"/>
          <w:w w:val="95"/>
        </w:rPr>
        <w:t xml:space="preserve"> </w:t>
      </w:r>
      <w:r>
        <w:rPr>
          <w:w w:val="95"/>
        </w:rPr>
        <w:t>lower</w:t>
      </w:r>
      <w:r>
        <w:rPr>
          <w:spacing w:val="-9"/>
          <w:w w:val="95"/>
        </w:rPr>
        <w:t xml:space="preserve"> </w:t>
      </w:r>
      <w:r>
        <w:rPr>
          <w:w w:val="95"/>
        </w:rPr>
        <w:t>cost</w:t>
      </w:r>
      <w:r>
        <w:rPr>
          <w:spacing w:val="-9"/>
          <w:w w:val="95"/>
        </w:rPr>
        <w:t xml:space="preserve"> </w:t>
      </w:r>
      <w:r>
        <w:rPr>
          <w:w w:val="95"/>
        </w:rPr>
        <w:t>with</w:t>
      </w:r>
      <w:r>
        <w:rPr>
          <w:spacing w:val="-9"/>
          <w:w w:val="95"/>
        </w:rPr>
        <w:t xml:space="preserve"> </w:t>
      </w:r>
      <w:r>
        <w:rPr>
          <w:w w:val="95"/>
        </w:rPr>
        <w:t>greater</w:t>
      </w:r>
      <w:r>
        <w:rPr>
          <w:spacing w:val="-9"/>
          <w:w w:val="95"/>
        </w:rPr>
        <w:t xml:space="preserve"> </w:t>
      </w:r>
      <w:r>
        <w:rPr>
          <w:w w:val="95"/>
        </w:rPr>
        <w:t>innovation</w:t>
      </w:r>
      <w:r>
        <w:rPr>
          <w:w w:val="95"/>
          <w:position w:val="7"/>
          <w:sz w:val="11"/>
        </w:rPr>
        <w:t>12</w:t>
      </w:r>
      <w:r>
        <w:rPr>
          <w:w w:val="95"/>
        </w:rPr>
        <w:t>. In</w:t>
      </w:r>
      <w:r>
        <w:rPr>
          <w:spacing w:val="-2"/>
          <w:w w:val="95"/>
        </w:rPr>
        <w:t xml:space="preserve"> </w:t>
      </w:r>
      <w:r>
        <w:rPr>
          <w:w w:val="95"/>
        </w:rPr>
        <w:t>general,</w:t>
      </w:r>
      <w:r>
        <w:rPr>
          <w:spacing w:val="-2"/>
          <w:w w:val="95"/>
        </w:rPr>
        <w:t xml:space="preserve"> </w:t>
      </w:r>
      <w:r>
        <w:rPr>
          <w:w w:val="95"/>
        </w:rPr>
        <w:t>private</w:t>
      </w:r>
      <w:r>
        <w:rPr>
          <w:spacing w:val="-2"/>
          <w:w w:val="95"/>
        </w:rPr>
        <w:t xml:space="preserve"> </w:t>
      </w:r>
      <w:r>
        <w:rPr>
          <w:w w:val="95"/>
        </w:rPr>
        <w:t>sector-led</w:t>
      </w:r>
      <w:r>
        <w:rPr>
          <w:spacing w:val="-2"/>
          <w:w w:val="95"/>
        </w:rPr>
        <w:t xml:space="preserve"> </w:t>
      </w:r>
      <w:r>
        <w:rPr>
          <w:w w:val="95"/>
        </w:rPr>
        <w:t>projects</w:t>
      </w:r>
      <w:r>
        <w:rPr>
          <w:spacing w:val="-2"/>
          <w:w w:val="95"/>
        </w:rPr>
        <w:t xml:space="preserve"> </w:t>
      </w:r>
      <w:r>
        <w:rPr>
          <w:w w:val="95"/>
        </w:rPr>
        <w:t>are</w:t>
      </w:r>
      <w:r>
        <w:rPr>
          <w:spacing w:val="-2"/>
          <w:w w:val="95"/>
        </w:rPr>
        <w:t xml:space="preserve"> </w:t>
      </w:r>
      <w:r>
        <w:rPr>
          <w:w w:val="95"/>
        </w:rPr>
        <w:t xml:space="preserve">delivered </w:t>
      </w:r>
      <w:r>
        <w:t>closer</w:t>
      </w:r>
      <w:r>
        <w:rPr>
          <w:spacing w:val="-4"/>
        </w:rPr>
        <w:t xml:space="preserve"> </w:t>
      </w:r>
      <w:r>
        <w:t>to</w:t>
      </w:r>
      <w:r>
        <w:rPr>
          <w:spacing w:val="-4"/>
        </w:rPr>
        <w:t xml:space="preserve"> </w:t>
      </w:r>
      <w:r>
        <w:t>time</w:t>
      </w:r>
      <w:r>
        <w:rPr>
          <w:spacing w:val="-4"/>
        </w:rPr>
        <w:t xml:space="preserve"> </w:t>
      </w:r>
      <w:r>
        <w:t>and</w:t>
      </w:r>
      <w:r>
        <w:rPr>
          <w:spacing w:val="-4"/>
        </w:rPr>
        <w:t xml:space="preserve"> </w:t>
      </w:r>
      <w:r>
        <w:t>budget</w:t>
      </w:r>
      <w:r>
        <w:rPr>
          <w:spacing w:val="-4"/>
        </w:rPr>
        <w:t xml:space="preserve"> </w:t>
      </w:r>
      <w:r>
        <w:t>than</w:t>
      </w:r>
      <w:r>
        <w:rPr>
          <w:spacing w:val="-4"/>
        </w:rPr>
        <w:t xml:space="preserve"> </w:t>
      </w:r>
      <w:r>
        <w:t>public</w:t>
      </w:r>
      <w:r>
        <w:rPr>
          <w:spacing w:val="-4"/>
        </w:rPr>
        <w:t xml:space="preserve"> </w:t>
      </w:r>
      <w:r>
        <w:t>sector</w:t>
      </w:r>
      <w:r>
        <w:rPr>
          <w:spacing w:val="-4"/>
        </w:rPr>
        <w:t xml:space="preserve"> </w:t>
      </w:r>
      <w:r>
        <w:t>led</w:t>
      </w:r>
    </w:p>
    <w:p w:rsidR="002C1123" w:rsidRDefault="00F22F94">
      <w:pPr>
        <w:pStyle w:val="BodyText"/>
        <w:spacing w:before="4" w:line="249" w:lineRule="auto"/>
        <w:ind w:left="501" w:right="295" w:firstLine="2"/>
      </w:pPr>
      <w:r>
        <w:rPr>
          <w:w w:val="95"/>
        </w:rPr>
        <w:t>projects.</w:t>
      </w:r>
      <w:r>
        <w:rPr>
          <w:spacing w:val="-5"/>
          <w:w w:val="95"/>
        </w:rPr>
        <w:t xml:space="preserve"> </w:t>
      </w:r>
      <w:r>
        <w:rPr>
          <w:w w:val="95"/>
        </w:rPr>
        <w:t>However,</w:t>
      </w:r>
      <w:r>
        <w:rPr>
          <w:spacing w:val="-5"/>
          <w:w w:val="95"/>
        </w:rPr>
        <w:t xml:space="preserve"> </w:t>
      </w:r>
      <w:r>
        <w:rPr>
          <w:w w:val="95"/>
        </w:rPr>
        <w:t>a</w:t>
      </w:r>
      <w:r>
        <w:rPr>
          <w:spacing w:val="-5"/>
          <w:w w:val="95"/>
        </w:rPr>
        <w:t xml:space="preserve"> </w:t>
      </w:r>
      <w:r>
        <w:rPr>
          <w:w w:val="95"/>
        </w:rPr>
        <w:t>significantly</w:t>
      </w:r>
      <w:r>
        <w:rPr>
          <w:spacing w:val="-5"/>
          <w:w w:val="95"/>
        </w:rPr>
        <w:t xml:space="preserve"> </w:t>
      </w:r>
      <w:r>
        <w:rPr>
          <w:w w:val="95"/>
        </w:rPr>
        <w:t>lower</w:t>
      </w:r>
      <w:r>
        <w:rPr>
          <w:spacing w:val="-5"/>
          <w:w w:val="95"/>
        </w:rPr>
        <w:t xml:space="preserve"> </w:t>
      </w:r>
      <w:r>
        <w:rPr>
          <w:w w:val="95"/>
        </w:rPr>
        <w:t>proportion</w:t>
      </w:r>
      <w:r>
        <w:rPr>
          <w:spacing w:val="-5"/>
          <w:w w:val="95"/>
        </w:rPr>
        <w:t xml:space="preserve"> </w:t>
      </w:r>
      <w:r>
        <w:rPr>
          <w:w w:val="95"/>
        </w:rPr>
        <w:t xml:space="preserve">of </w:t>
      </w:r>
      <w:r>
        <w:rPr>
          <w:spacing w:val="-2"/>
        </w:rPr>
        <w:t>infrastructure</w:t>
      </w:r>
      <w:r>
        <w:rPr>
          <w:spacing w:val="-9"/>
        </w:rPr>
        <w:t xml:space="preserve"> </w:t>
      </w:r>
      <w:r>
        <w:rPr>
          <w:spacing w:val="-2"/>
        </w:rPr>
        <w:t>investment</w:t>
      </w:r>
      <w:r>
        <w:rPr>
          <w:spacing w:val="-9"/>
        </w:rPr>
        <w:t xml:space="preserve"> </w:t>
      </w:r>
      <w:r>
        <w:rPr>
          <w:spacing w:val="-2"/>
        </w:rPr>
        <w:t>is</w:t>
      </w:r>
      <w:r>
        <w:rPr>
          <w:spacing w:val="-9"/>
        </w:rPr>
        <w:t xml:space="preserve"> </w:t>
      </w:r>
      <w:r>
        <w:rPr>
          <w:spacing w:val="-2"/>
        </w:rPr>
        <w:t>delivered</w:t>
      </w:r>
      <w:r>
        <w:rPr>
          <w:spacing w:val="-9"/>
        </w:rPr>
        <w:t xml:space="preserve"> </w:t>
      </w:r>
      <w:r>
        <w:rPr>
          <w:spacing w:val="-2"/>
        </w:rPr>
        <w:t>by</w:t>
      </w:r>
      <w:r>
        <w:rPr>
          <w:spacing w:val="-9"/>
        </w:rPr>
        <w:t xml:space="preserve"> </w:t>
      </w:r>
      <w:r>
        <w:rPr>
          <w:spacing w:val="-2"/>
        </w:rPr>
        <w:t>the</w:t>
      </w:r>
      <w:r>
        <w:rPr>
          <w:spacing w:val="-9"/>
        </w:rPr>
        <w:t xml:space="preserve"> </w:t>
      </w:r>
      <w:r>
        <w:rPr>
          <w:spacing w:val="-2"/>
        </w:rPr>
        <w:t xml:space="preserve">private </w:t>
      </w:r>
      <w:r>
        <w:t>sector</w:t>
      </w:r>
      <w:r>
        <w:rPr>
          <w:spacing w:val="-14"/>
        </w:rPr>
        <w:t xml:space="preserve"> </w:t>
      </w:r>
      <w:r>
        <w:t>in</w:t>
      </w:r>
      <w:r>
        <w:rPr>
          <w:spacing w:val="-14"/>
        </w:rPr>
        <w:t xml:space="preserve"> </w:t>
      </w:r>
      <w:r>
        <w:t>NSW</w:t>
      </w:r>
      <w:r>
        <w:rPr>
          <w:spacing w:val="-14"/>
        </w:rPr>
        <w:t xml:space="preserve"> </w:t>
      </w:r>
      <w:r>
        <w:t>than</w:t>
      </w:r>
      <w:r>
        <w:rPr>
          <w:spacing w:val="-14"/>
        </w:rPr>
        <w:t xml:space="preserve"> </w:t>
      </w:r>
      <w:r>
        <w:t>the</w:t>
      </w:r>
      <w:r>
        <w:rPr>
          <w:spacing w:val="-14"/>
        </w:rPr>
        <w:t xml:space="preserve"> </w:t>
      </w:r>
      <w:r>
        <w:t>Australian</w:t>
      </w:r>
      <w:r>
        <w:rPr>
          <w:spacing w:val="-14"/>
        </w:rPr>
        <w:t xml:space="preserve"> </w:t>
      </w:r>
      <w:r>
        <w:t>average.</w:t>
      </w: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060EF">
      <w:pPr>
        <w:pStyle w:val="BodyText"/>
        <w:spacing w:before="8"/>
        <w:rPr>
          <w:sz w:val="15"/>
        </w:rPr>
      </w:pPr>
      <w:r>
        <w:pict>
          <v:shape id="docshape166" o:spid="_x0000_s5127" style="position:absolute;margin-left:573.55pt;margin-top:10.25pt;width:1in;height:.1pt;z-index:-251423744;mso-wrap-distance-left:0;mso-wrap-distance-right:0;mso-position-horizontal-relative:page" coordorigin="11471,205" coordsize="1440,0" path="m11471,205r1440,e" filled="f" strokecolor="#9c9c9d" strokeweight=".5pt">
            <v:path arrowok="t"/>
            <w10:wrap type="topAndBottom" anchorx="page"/>
          </v:shape>
        </w:pict>
      </w:r>
    </w:p>
    <w:p w:rsidR="002C1123" w:rsidRDefault="00F22F94">
      <w:pPr>
        <w:pStyle w:val="ListParagraph"/>
        <w:numPr>
          <w:ilvl w:val="0"/>
          <w:numId w:val="159"/>
        </w:numPr>
        <w:tabs>
          <w:tab w:val="left" w:pos="408"/>
        </w:tabs>
        <w:spacing w:before="23" w:line="161" w:lineRule="exact"/>
        <w:ind w:left="407" w:hanging="186"/>
        <w:jc w:val="left"/>
        <w:rPr>
          <w:sz w:val="14"/>
        </w:rPr>
      </w:pPr>
      <w:r>
        <w:rPr>
          <w:w w:val="95"/>
          <w:sz w:val="14"/>
        </w:rPr>
        <w:t>Infrastructure</w:t>
      </w:r>
      <w:r>
        <w:rPr>
          <w:spacing w:val="12"/>
          <w:sz w:val="14"/>
        </w:rPr>
        <w:t xml:space="preserve"> </w:t>
      </w:r>
      <w:r>
        <w:rPr>
          <w:spacing w:val="-2"/>
          <w:w w:val="95"/>
          <w:sz w:val="14"/>
        </w:rPr>
        <w:t>Australia.</w:t>
      </w:r>
    </w:p>
    <w:p w:rsidR="002C1123" w:rsidRDefault="00F22F94">
      <w:pPr>
        <w:pStyle w:val="ListParagraph"/>
        <w:numPr>
          <w:ilvl w:val="0"/>
          <w:numId w:val="159"/>
        </w:numPr>
        <w:tabs>
          <w:tab w:val="left" w:pos="407"/>
        </w:tabs>
        <w:spacing w:line="160" w:lineRule="exact"/>
        <w:ind w:left="407" w:hanging="205"/>
        <w:jc w:val="left"/>
        <w:rPr>
          <w:sz w:val="14"/>
        </w:rPr>
      </w:pPr>
      <w:r>
        <w:rPr>
          <w:w w:val="95"/>
          <w:sz w:val="14"/>
        </w:rPr>
        <w:t>Audit</w:t>
      </w:r>
      <w:r>
        <w:rPr>
          <w:spacing w:val="-1"/>
          <w:w w:val="95"/>
          <w:sz w:val="14"/>
        </w:rPr>
        <w:t xml:space="preserve"> </w:t>
      </w:r>
      <w:r>
        <w:rPr>
          <w:w w:val="95"/>
          <w:sz w:val="14"/>
        </w:rPr>
        <w:t>Office</w:t>
      </w:r>
      <w:r>
        <w:rPr>
          <w:spacing w:val="-2"/>
          <w:sz w:val="14"/>
        </w:rPr>
        <w:t xml:space="preserve"> </w:t>
      </w:r>
      <w:r>
        <w:rPr>
          <w:w w:val="95"/>
          <w:sz w:val="14"/>
        </w:rPr>
        <w:t>of</w:t>
      </w:r>
      <w:r>
        <w:rPr>
          <w:spacing w:val="-2"/>
          <w:sz w:val="14"/>
        </w:rPr>
        <w:t xml:space="preserve"> </w:t>
      </w:r>
      <w:r>
        <w:rPr>
          <w:w w:val="95"/>
          <w:sz w:val="14"/>
        </w:rPr>
        <w:t>NSW</w:t>
      </w:r>
      <w:r>
        <w:rPr>
          <w:spacing w:val="-2"/>
          <w:sz w:val="14"/>
        </w:rPr>
        <w:t xml:space="preserve"> </w:t>
      </w:r>
      <w:r>
        <w:rPr>
          <w:spacing w:val="-2"/>
          <w:w w:val="95"/>
          <w:sz w:val="14"/>
        </w:rPr>
        <w:t>Overview.</w:t>
      </w:r>
    </w:p>
    <w:p w:rsidR="002C1123" w:rsidRDefault="00F22F94">
      <w:pPr>
        <w:pStyle w:val="ListParagraph"/>
        <w:numPr>
          <w:ilvl w:val="0"/>
          <w:numId w:val="159"/>
        </w:numPr>
        <w:tabs>
          <w:tab w:val="left" w:pos="407"/>
        </w:tabs>
        <w:spacing w:line="160" w:lineRule="exact"/>
        <w:ind w:left="406" w:hanging="205"/>
        <w:jc w:val="left"/>
        <w:rPr>
          <w:sz w:val="14"/>
        </w:rPr>
      </w:pPr>
      <w:r>
        <w:rPr>
          <w:w w:val="95"/>
          <w:sz w:val="14"/>
        </w:rPr>
        <w:t>Auditor</w:t>
      </w:r>
      <w:r>
        <w:rPr>
          <w:spacing w:val="-1"/>
          <w:w w:val="95"/>
          <w:sz w:val="14"/>
        </w:rPr>
        <w:t xml:space="preserve"> </w:t>
      </w:r>
      <w:r>
        <w:rPr>
          <w:w w:val="95"/>
          <w:sz w:val="14"/>
        </w:rPr>
        <w:t>General’s</w:t>
      </w:r>
      <w:r>
        <w:rPr>
          <w:spacing w:val="-2"/>
          <w:sz w:val="14"/>
        </w:rPr>
        <w:t xml:space="preserve"> </w:t>
      </w:r>
      <w:r>
        <w:rPr>
          <w:w w:val="95"/>
          <w:sz w:val="14"/>
        </w:rPr>
        <w:t>Report</w:t>
      </w:r>
      <w:r>
        <w:rPr>
          <w:spacing w:val="-2"/>
          <w:sz w:val="14"/>
        </w:rPr>
        <w:t xml:space="preserve"> </w:t>
      </w:r>
      <w:r>
        <w:rPr>
          <w:w w:val="95"/>
          <w:sz w:val="14"/>
        </w:rPr>
        <w:t>2011,</w:t>
      </w:r>
      <w:r>
        <w:rPr>
          <w:spacing w:val="-2"/>
          <w:sz w:val="14"/>
        </w:rPr>
        <w:t xml:space="preserve"> </w:t>
      </w:r>
      <w:r>
        <w:rPr>
          <w:spacing w:val="-2"/>
          <w:w w:val="95"/>
          <w:sz w:val="14"/>
        </w:rPr>
        <w:t>Transport.</w:t>
      </w:r>
    </w:p>
    <w:p w:rsidR="002C1123" w:rsidRDefault="00F22F94">
      <w:pPr>
        <w:pStyle w:val="ListParagraph"/>
        <w:numPr>
          <w:ilvl w:val="0"/>
          <w:numId w:val="159"/>
        </w:numPr>
        <w:tabs>
          <w:tab w:val="left" w:pos="407"/>
        </w:tabs>
        <w:spacing w:line="161" w:lineRule="exact"/>
        <w:ind w:left="406" w:hanging="205"/>
        <w:jc w:val="left"/>
        <w:rPr>
          <w:sz w:val="14"/>
        </w:rPr>
      </w:pPr>
      <w:r>
        <w:rPr>
          <w:w w:val="95"/>
          <w:sz w:val="14"/>
        </w:rPr>
        <w:t>NSW</w:t>
      </w:r>
      <w:r>
        <w:rPr>
          <w:sz w:val="14"/>
        </w:rPr>
        <w:t xml:space="preserve"> </w:t>
      </w:r>
      <w:r>
        <w:rPr>
          <w:w w:val="95"/>
          <w:sz w:val="14"/>
        </w:rPr>
        <w:t>Commission</w:t>
      </w:r>
      <w:r>
        <w:rPr>
          <w:spacing w:val="1"/>
          <w:sz w:val="14"/>
        </w:rPr>
        <w:t xml:space="preserve"> </w:t>
      </w:r>
      <w:r>
        <w:rPr>
          <w:w w:val="95"/>
          <w:sz w:val="14"/>
        </w:rPr>
        <w:t>of</w:t>
      </w:r>
      <w:r>
        <w:rPr>
          <w:sz w:val="14"/>
        </w:rPr>
        <w:t xml:space="preserve"> </w:t>
      </w:r>
      <w:r>
        <w:rPr>
          <w:w w:val="95"/>
          <w:sz w:val="14"/>
        </w:rPr>
        <w:t>Audit</w:t>
      </w:r>
      <w:r>
        <w:rPr>
          <w:spacing w:val="1"/>
          <w:sz w:val="14"/>
        </w:rPr>
        <w:t xml:space="preserve"> </w:t>
      </w:r>
      <w:r>
        <w:rPr>
          <w:w w:val="95"/>
          <w:sz w:val="14"/>
        </w:rPr>
        <w:t>2012,</w:t>
      </w:r>
      <w:r>
        <w:rPr>
          <w:spacing w:val="1"/>
          <w:sz w:val="14"/>
        </w:rPr>
        <w:t xml:space="preserve"> </w:t>
      </w:r>
      <w:r>
        <w:rPr>
          <w:w w:val="95"/>
          <w:sz w:val="14"/>
        </w:rPr>
        <w:t>Final</w:t>
      </w:r>
      <w:r>
        <w:rPr>
          <w:sz w:val="14"/>
        </w:rPr>
        <w:t xml:space="preserve"> </w:t>
      </w:r>
      <w:r>
        <w:rPr>
          <w:w w:val="95"/>
          <w:sz w:val="14"/>
        </w:rPr>
        <w:t>Report:</w:t>
      </w:r>
      <w:r>
        <w:rPr>
          <w:spacing w:val="1"/>
          <w:sz w:val="14"/>
        </w:rPr>
        <w:t xml:space="preserve"> </w:t>
      </w:r>
      <w:r>
        <w:rPr>
          <w:w w:val="95"/>
          <w:sz w:val="14"/>
        </w:rPr>
        <w:t>Government</w:t>
      </w:r>
      <w:r>
        <w:rPr>
          <w:sz w:val="14"/>
        </w:rPr>
        <w:t xml:space="preserve"> </w:t>
      </w:r>
      <w:r>
        <w:rPr>
          <w:spacing w:val="-2"/>
          <w:w w:val="95"/>
          <w:sz w:val="14"/>
        </w:rPr>
        <w:t>Expenditure.</w:t>
      </w:r>
    </w:p>
    <w:p w:rsidR="002C1123" w:rsidRDefault="002C1123">
      <w:pPr>
        <w:spacing w:line="161" w:lineRule="exact"/>
        <w:rPr>
          <w:sz w:val="14"/>
        </w:rPr>
        <w:sectPr w:rsidR="002C1123">
          <w:type w:val="continuous"/>
          <w:pgSz w:w="16840" w:h="11910" w:orient="landscape"/>
          <w:pgMar w:top="560" w:right="280" w:bottom="280" w:left="500" w:header="0" w:footer="517" w:gutter="0"/>
          <w:cols w:num="3" w:space="720" w:equalWidth="0">
            <w:col w:w="5688" w:space="40"/>
            <w:col w:w="4995" w:space="39"/>
            <w:col w:w="5298"/>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ListParagraph"/>
        <w:numPr>
          <w:ilvl w:val="1"/>
          <w:numId w:val="159"/>
        </w:numPr>
        <w:tabs>
          <w:tab w:val="left" w:pos="1209"/>
          <w:tab w:val="left" w:pos="1210"/>
        </w:tabs>
        <w:spacing w:before="93"/>
        <w:rPr>
          <w:sz w:val="20"/>
        </w:rPr>
      </w:pPr>
      <w:bookmarkStart w:id="49" w:name="1.5_The_Strategy’s_regions"/>
      <w:bookmarkStart w:id="50" w:name="_bookmark35"/>
      <w:bookmarkStart w:id="51" w:name="_bookmark34"/>
      <w:bookmarkEnd w:id="49"/>
      <w:bookmarkEnd w:id="50"/>
      <w:bookmarkEnd w:id="51"/>
      <w:r>
        <w:rPr>
          <w:w w:val="105"/>
          <w:sz w:val="20"/>
        </w:rPr>
        <w:t>Difficulty</w:t>
      </w:r>
      <w:r>
        <w:rPr>
          <w:spacing w:val="-7"/>
          <w:w w:val="105"/>
          <w:sz w:val="20"/>
        </w:rPr>
        <w:t xml:space="preserve"> </w:t>
      </w:r>
      <w:r>
        <w:rPr>
          <w:w w:val="105"/>
          <w:sz w:val="20"/>
        </w:rPr>
        <w:t>in</w:t>
      </w:r>
      <w:r>
        <w:rPr>
          <w:spacing w:val="-4"/>
          <w:w w:val="105"/>
          <w:sz w:val="20"/>
        </w:rPr>
        <w:t xml:space="preserve"> </w:t>
      </w:r>
      <w:r>
        <w:rPr>
          <w:w w:val="105"/>
          <w:sz w:val="20"/>
        </w:rPr>
        <w:t>predicting</w:t>
      </w:r>
      <w:r>
        <w:rPr>
          <w:spacing w:val="-4"/>
          <w:w w:val="105"/>
          <w:sz w:val="20"/>
        </w:rPr>
        <w:t xml:space="preserve"> </w:t>
      </w:r>
      <w:r>
        <w:rPr>
          <w:w w:val="105"/>
          <w:sz w:val="20"/>
        </w:rPr>
        <w:t>the</w:t>
      </w:r>
      <w:r>
        <w:rPr>
          <w:spacing w:val="-4"/>
          <w:w w:val="105"/>
          <w:sz w:val="20"/>
        </w:rPr>
        <w:t xml:space="preserve"> </w:t>
      </w:r>
      <w:r>
        <w:rPr>
          <w:spacing w:val="-2"/>
          <w:w w:val="105"/>
          <w:sz w:val="20"/>
        </w:rPr>
        <w:t>future.</w:t>
      </w:r>
    </w:p>
    <w:p w:rsidR="002C1123" w:rsidRDefault="00F22F94">
      <w:pPr>
        <w:pStyle w:val="BodyText"/>
        <w:spacing w:before="10" w:line="249" w:lineRule="auto"/>
        <w:ind w:left="1208" w:hanging="21"/>
      </w:pPr>
      <w:r>
        <w:rPr>
          <w:w w:val="95"/>
        </w:rPr>
        <w:t xml:space="preserve">The acknowledged difficulty in predicting future </w:t>
      </w:r>
      <w:r>
        <w:rPr>
          <w:spacing w:val="-2"/>
        </w:rPr>
        <w:t>demand</w:t>
      </w:r>
      <w:r>
        <w:rPr>
          <w:spacing w:val="-11"/>
        </w:rPr>
        <w:t xml:space="preserve"> </w:t>
      </w:r>
      <w:r>
        <w:rPr>
          <w:spacing w:val="-2"/>
        </w:rPr>
        <w:t>and</w:t>
      </w:r>
      <w:r>
        <w:rPr>
          <w:spacing w:val="-11"/>
        </w:rPr>
        <w:t xml:space="preserve"> </w:t>
      </w:r>
      <w:r>
        <w:rPr>
          <w:spacing w:val="-2"/>
        </w:rPr>
        <w:t>the</w:t>
      </w:r>
      <w:r>
        <w:rPr>
          <w:spacing w:val="-11"/>
        </w:rPr>
        <w:t xml:space="preserve"> </w:t>
      </w:r>
      <w:r>
        <w:rPr>
          <w:spacing w:val="-2"/>
        </w:rPr>
        <w:t>disruptive</w:t>
      </w:r>
      <w:r>
        <w:rPr>
          <w:spacing w:val="-11"/>
        </w:rPr>
        <w:t xml:space="preserve"> </w:t>
      </w:r>
      <w:r>
        <w:rPr>
          <w:spacing w:val="-2"/>
        </w:rPr>
        <w:t>change</w:t>
      </w:r>
      <w:r>
        <w:rPr>
          <w:spacing w:val="-11"/>
        </w:rPr>
        <w:t xml:space="preserve"> </w:t>
      </w:r>
      <w:r>
        <w:rPr>
          <w:spacing w:val="-2"/>
        </w:rPr>
        <w:t>of</w:t>
      </w:r>
      <w:r>
        <w:rPr>
          <w:spacing w:val="-11"/>
        </w:rPr>
        <w:t xml:space="preserve"> </w:t>
      </w:r>
      <w:r>
        <w:rPr>
          <w:spacing w:val="-2"/>
        </w:rPr>
        <w:t xml:space="preserve">new </w:t>
      </w:r>
      <w:r>
        <w:rPr>
          <w:w w:val="95"/>
        </w:rPr>
        <w:t>technologies</w:t>
      </w:r>
      <w:r>
        <w:rPr>
          <w:spacing w:val="-13"/>
          <w:w w:val="95"/>
        </w:rPr>
        <w:t xml:space="preserve"> </w:t>
      </w:r>
      <w:r>
        <w:rPr>
          <w:w w:val="95"/>
        </w:rPr>
        <w:t>means</w:t>
      </w:r>
      <w:r>
        <w:rPr>
          <w:spacing w:val="-12"/>
          <w:w w:val="95"/>
        </w:rPr>
        <w:t xml:space="preserve"> </w:t>
      </w:r>
      <w:r>
        <w:rPr>
          <w:w w:val="95"/>
        </w:rPr>
        <w:t>that</w:t>
      </w:r>
      <w:r>
        <w:rPr>
          <w:spacing w:val="-12"/>
          <w:w w:val="95"/>
        </w:rPr>
        <w:t xml:space="preserve"> </w:t>
      </w:r>
      <w:r>
        <w:rPr>
          <w:w w:val="95"/>
        </w:rPr>
        <w:t>when</w:t>
      </w:r>
      <w:r>
        <w:rPr>
          <w:spacing w:val="-12"/>
          <w:w w:val="95"/>
        </w:rPr>
        <w:t xml:space="preserve"> </w:t>
      </w:r>
      <w:r>
        <w:rPr>
          <w:w w:val="95"/>
        </w:rPr>
        <w:t>the</w:t>
      </w:r>
      <w:r>
        <w:rPr>
          <w:spacing w:val="-13"/>
          <w:w w:val="95"/>
        </w:rPr>
        <w:t xml:space="preserve"> </w:t>
      </w:r>
      <w:r>
        <w:rPr>
          <w:w w:val="95"/>
        </w:rPr>
        <w:t>unexpected</w:t>
      </w:r>
      <w:r>
        <w:rPr>
          <w:spacing w:val="-12"/>
          <w:w w:val="95"/>
        </w:rPr>
        <w:t xml:space="preserve"> </w:t>
      </w:r>
      <w:r>
        <w:rPr>
          <w:w w:val="95"/>
        </w:rPr>
        <w:t xml:space="preserve">occurs </w:t>
      </w:r>
      <w:r>
        <w:rPr>
          <w:spacing w:val="-2"/>
          <w:w w:val="95"/>
        </w:rPr>
        <w:t>infrastructure</w:t>
      </w:r>
      <w:r>
        <w:rPr>
          <w:spacing w:val="-8"/>
          <w:w w:val="95"/>
        </w:rPr>
        <w:t xml:space="preserve"> </w:t>
      </w:r>
      <w:r>
        <w:rPr>
          <w:spacing w:val="-2"/>
          <w:w w:val="95"/>
        </w:rPr>
        <w:t>assets</w:t>
      </w:r>
      <w:r>
        <w:rPr>
          <w:spacing w:val="-8"/>
          <w:w w:val="95"/>
        </w:rPr>
        <w:t xml:space="preserve"> </w:t>
      </w:r>
      <w:r>
        <w:rPr>
          <w:spacing w:val="-2"/>
          <w:w w:val="95"/>
        </w:rPr>
        <w:t>can</w:t>
      </w:r>
      <w:r>
        <w:rPr>
          <w:spacing w:val="-8"/>
          <w:w w:val="95"/>
        </w:rPr>
        <w:t xml:space="preserve"> </w:t>
      </w:r>
      <w:r>
        <w:rPr>
          <w:spacing w:val="-2"/>
          <w:w w:val="95"/>
        </w:rPr>
        <w:t>be</w:t>
      </w:r>
      <w:r>
        <w:rPr>
          <w:spacing w:val="-8"/>
          <w:w w:val="95"/>
        </w:rPr>
        <w:t xml:space="preserve"> </w:t>
      </w:r>
      <w:r>
        <w:rPr>
          <w:spacing w:val="-2"/>
          <w:w w:val="95"/>
        </w:rPr>
        <w:t>stranded</w:t>
      </w:r>
      <w:r>
        <w:rPr>
          <w:spacing w:val="-8"/>
          <w:w w:val="95"/>
        </w:rPr>
        <w:t xml:space="preserve"> </w:t>
      </w:r>
      <w:r>
        <w:rPr>
          <w:spacing w:val="-2"/>
          <w:w w:val="95"/>
        </w:rPr>
        <w:t>as</w:t>
      </w:r>
      <w:r>
        <w:rPr>
          <w:spacing w:val="-8"/>
          <w:w w:val="95"/>
        </w:rPr>
        <w:t xml:space="preserve"> </w:t>
      </w:r>
      <w:r>
        <w:rPr>
          <w:spacing w:val="-2"/>
          <w:w w:val="95"/>
        </w:rPr>
        <w:t>a</w:t>
      </w:r>
      <w:r>
        <w:rPr>
          <w:spacing w:val="-8"/>
          <w:w w:val="95"/>
        </w:rPr>
        <w:t xml:space="preserve"> </w:t>
      </w:r>
      <w:r>
        <w:rPr>
          <w:spacing w:val="-2"/>
          <w:w w:val="95"/>
        </w:rPr>
        <w:t>result.</w:t>
      </w:r>
      <w:r>
        <w:rPr>
          <w:spacing w:val="-8"/>
          <w:w w:val="95"/>
        </w:rPr>
        <w:t xml:space="preserve"> </w:t>
      </w:r>
      <w:r>
        <w:rPr>
          <w:spacing w:val="-2"/>
          <w:w w:val="95"/>
        </w:rPr>
        <w:t>It</w:t>
      </w:r>
      <w:r>
        <w:rPr>
          <w:spacing w:val="-8"/>
          <w:w w:val="95"/>
        </w:rPr>
        <w:t xml:space="preserve"> </w:t>
      </w:r>
      <w:r>
        <w:rPr>
          <w:spacing w:val="-2"/>
          <w:w w:val="95"/>
        </w:rPr>
        <w:t>is</w:t>
      </w:r>
      <w:r>
        <w:rPr>
          <w:spacing w:val="-8"/>
          <w:w w:val="95"/>
        </w:rPr>
        <w:t xml:space="preserve"> </w:t>
      </w:r>
      <w:r>
        <w:rPr>
          <w:spacing w:val="-2"/>
          <w:w w:val="95"/>
        </w:rPr>
        <w:t xml:space="preserve">a </w:t>
      </w:r>
      <w:r>
        <w:rPr>
          <w:w w:val="95"/>
        </w:rPr>
        <w:t>better</w:t>
      </w:r>
      <w:r>
        <w:rPr>
          <w:spacing w:val="-13"/>
          <w:w w:val="95"/>
        </w:rPr>
        <w:t xml:space="preserve"> </w:t>
      </w:r>
      <w:r>
        <w:rPr>
          <w:w w:val="95"/>
        </w:rPr>
        <w:t>option</w:t>
      </w:r>
      <w:r>
        <w:rPr>
          <w:spacing w:val="-12"/>
          <w:w w:val="95"/>
        </w:rPr>
        <w:t xml:space="preserve"> </w:t>
      </w:r>
      <w:r>
        <w:rPr>
          <w:w w:val="95"/>
        </w:rPr>
        <w:t>to</w:t>
      </w:r>
      <w:r>
        <w:rPr>
          <w:spacing w:val="-12"/>
          <w:w w:val="95"/>
        </w:rPr>
        <w:t xml:space="preserve"> </w:t>
      </w:r>
      <w:r>
        <w:rPr>
          <w:w w:val="95"/>
        </w:rPr>
        <w:t>prioritise</w:t>
      </w:r>
      <w:r>
        <w:rPr>
          <w:spacing w:val="-12"/>
          <w:w w:val="95"/>
        </w:rPr>
        <w:t xml:space="preserve"> </w:t>
      </w:r>
      <w:r>
        <w:rPr>
          <w:w w:val="95"/>
        </w:rPr>
        <w:t>‘no-regret’</w:t>
      </w:r>
      <w:r>
        <w:rPr>
          <w:spacing w:val="-13"/>
          <w:w w:val="95"/>
        </w:rPr>
        <w:t xml:space="preserve"> </w:t>
      </w:r>
      <w:r>
        <w:rPr>
          <w:w w:val="95"/>
        </w:rPr>
        <w:t>options</w:t>
      </w:r>
      <w:r>
        <w:rPr>
          <w:spacing w:val="-12"/>
          <w:w w:val="95"/>
        </w:rPr>
        <w:t xml:space="preserve"> </w:t>
      </w:r>
      <w:r>
        <w:rPr>
          <w:w w:val="95"/>
        </w:rPr>
        <w:t>that</w:t>
      </w:r>
      <w:r>
        <w:rPr>
          <w:spacing w:val="-12"/>
          <w:w w:val="95"/>
        </w:rPr>
        <w:t xml:space="preserve"> </w:t>
      </w:r>
      <w:r>
        <w:rPr>
          <w:w w:val="95"/>
        </w:rPr>
        <w:t>will</w:t>
      </w:r>
      <w:r>
        <w:rPr>
          <w:spacing w:val="-12"/>
          <w:w w:val="95"/>
        </w:rPr>
        <w:t xml:space="preserve"> </w:t>
      </w:r>
      <w:r>
        <w:rPr>
          <w:w w:val="95"/>
        </w:rPr>
        <w:t>be required in all likely demand scenarios.</w:t>
      </w:r>
    </w:p>
    <w:p w:rsidR="002C1123" w:rsidRDefault="00F22F94">
      <w:pPr>
        <w:pStyle w:val="BodyText"/>
        <w:spacing w:before="147" w:line="249" w:lineRule="auto"/>
        <w:ind w:left="928" w:hanging="5"/>
      </w:pPr>
      <w:r>
        <w:t>Wrong</w:t>
      </w:r>
      <w:r>
        <w:rPr>
          <w:spacing w:val="-10"/>
        </w:rPr>
        <w:t xml:space="preserve"> </w:t>
      </w:r>
      <w:r>
        <w:t>infrastructure</w:t>
      </w:r>
      <w:r>
        <w:rPr>
          <w:spacing w:val="-10"/>
        </w:rPr>
        <w:t xml:space="preserve"> </w:t>
      </w:r>
      <w:r>
        <w:t>choices</w:t>
      </w:r>
      <w:r>
        <w:rPr>
          <w:spacing w:val="-10"/>
        </w:rPr>
        <w:t xml:space="preserve"> </w:t>
      </w:r>
      <w:r>
        <w:t>and</w:t>
      </w:r>
      <w:r>
        <w:rPr>
          <w:spacing w:val="-10"/>
        </w:rPr>
        <w:t xml:space="preserve"> </w:t>
      </w:r>
      <w:r>
        <w:t>failures</w:t>
      </w:r>
      <w:r>
        <w:rPr>
          <w:spacing w:val="-10"/>
        </w:rPr>
        <w:t xml:space="preserve"> </w:t>
      </w:r>
      <w:r>
        <w:t>of implementation dampen economic growth, reduce productivity</w:t>
      </w:r>
      <w:r>
        <w:rPr>
          <w:spacing w:val="-12"/>
        </w:rPr>
        <w:t xml:space="preserve"> </w:t>
      </w:r>
      <w:r>
        <w:t>and</w:t>
      </w:r>
      <w:r>
        <w:rPr>
          <w:spacing w:val="-12"/>
        </w:rPr>
        <w:t xml:space="preserve"> </w:t>
      </w:r>
      <w:r>
        <w:t>get</w:t>
      </w:r>
      <w:r>
        <w:rPr>
          <w:spacing w:val="-12"/>
        </w:rPr>
        <w:t xml:space="preserve"> </w:t>
      </w:r>
      <w:r>
        <w:t>in</w:t>
      </w:r>
      <w:r>
        <w:rPr>
          <w:spacing w:val="-12"/>
        </w:rPr>
        <w:t xml:space="preserve"> </w:t>
      </w:r>
      <w:r>
        <w:t>the</w:t>
      </w:r>
      <w:r>
        <w:rPr>
          <w:spacing w:val="-12"/>
        </w:rPr>
        <w:t xml:space="preserve"> </w:t>
      </w:r>
      <w:r>
        <w:t>way</w:t>
      </w:r>
      <w:r>
        <w:rPr>
          <w:spacing w:val="-12"/>
        </w:rPr>
        <w:t xml:space="preserve"> </w:t>
      </w:r>
      <w:r>
        <w:t>of</w:t>
      </w:r>
      <w:r>
        <w:rPr>
          <w:spacing w:val="-12"/>
        </w:rPr>
        <w:t xml:space="preserve"> </w:t>
      </w:r>
      <w:r>
        <w:t>peoples’</w:t>
      </w:r>
      <w:r>
        <w:rPr>
          <w:spacing w:val="-12"/>
        </w:rPr>
        <w:t xml:space="preserve"> </w:t>
      </w:r>
      <w:r>
        <w:t>lives.</w:t>
      </w:r>
      <w:r>
        <w:rPr>
          <w:spacing w:val="-12"/>
        </w:rPr>
        <w:t xml:space="preserve"> </w:t>
      </w:r>
      <w:r>
        <w:t xml:space="preserve">NSW </w:t>
      </w:r>
      <w:r>
        <w:rPr>
          <w:w w:val="95"/>
        </w:rPr>
        <w:t>needs</w:t>
      </w:r>
      <w:r>
        <w:rPr>
          <w:spacing w:val="-7"/>
          <w:w w:val="95"/>
        </w:rPr>
        <w:t xml:space="preserve"> </w:t>
      </w:r>
      <w:r>
        <w:rPr>
          <w:w w:val="95"/>
        </w:rPr>
        <w:t>to</w:t>
      </w:r>
      <w:r>
        <w:rPr>
          <w:spacing w:val="-7"/>
          <w:w w:val="95"/>
        </w:rPr>
        <w:t xml:space="preserve"> </w:t>
      </w:r>
      <w:r>
        <w:rPr>
          <w:w w:val="95"/>
        </w:rPr>
        <w:t>look</w:t>
      </w:r>
      <w:r>
        <w:rPr>
          <w:spacing w:val="-7"/>
          <w:w w:val="95"/>
        </w:rPr>
        <w:t xml:space="preserve"> </w:t>
      </w:r>
      <w:r>
        <w:rPr>
          <w:w w:val="95"/>
        </w:rPr>
        <w:t>honestly</w:t>
      </w:r>
      <w:r>
        <w:rPr>
          <w:spacing w:val="-7"/>
          <w:w w:val="95"/>
        </w:rPr>
        <w:t xml:space="preserve"> </w:t>
      </w:r>
      <w:r>
        <w:rPr>
          <w:w w:val="95"/>
        </w:rPr>
        <w:t>at</w:t>
      </w:r>
      <w:r>
        <w:rPr>
          <w:spacing w:val="-7"/>
          <w:w w:val="95"/>
        </w:rPr>
        <w:t xml:space="preserve"> </w:t>
      </w:r>
      <w:r>
        <w:rPr>
          <w:w w:val="95"/>
        </w:rPr>
        <w:t>its</w:t>
      </w:r>
      <w:r>
        <w:rPr>
          <w:spacing w:val="-7"/>
          <w:w w:val="95"/>
        </w:rPr>
        <w:t xml:space="preserve"> </w:t>
      </w:r>
      <w:r>
        <w:rPr>
          <w:w w:val="95"/>
        </w:rPr>
        <w:t>recent</w:t>
      </w:r>
      <w:r>
        <w:rPr>
          <w:spacing w:val="-7"/>
          <w:w w:val="95"/>
        </w:rPr>
        <w:t xml:space="preserve"> </w:t>
      </w:r>
      <w:r>
        <w:rPr>
          <w:w w:val="95"/>
        </w:rPr>
        <w:t>record</w:t>
      </w:r>
      <w:r>
        <w:rPr>
          <w:spacing w:val="-7"/>
          <w:w w:val="95"/>
        </w:rPr>
        <w:t xml:space="preserve"> </w:t>
      </w:r>
      <w:r>
        <w:rPr>
          <w:w w:val="95"/>
        </w:rPr>
        <w:t>if</w:t>
      </w:r>
      <w:r>
        <w:rPr>
          <w:spacing w:val="-7"/>
          <w:w w:val="95"/>
        </w:rPr>
        <w:t xml:space="preserve"> </w:t>
      </w:r>
      <w:r>
        <w:rPr>
          <w:w w:val="95"/>
        </w:rPr>
        <w:t>it</w:t>
      </w:r>
      <w:r>
        <w:rPr>
          <w:spacing w:val="-7"/>
          <w:w w:val="95"/>
        </w:rPr>
        <w:t xml:space="preserve"> </w:t>
      </w:r>
      <w:r>
        <w:rPr>
          <w:w w:val="95"/>
        </w:rPr>
        <w:t>is</w:t>
      </w:r>
      <w:r>
        <w:rPr>
          <w:spacing w:val="-7"/>
          <w:w w:val="95"/>
        </w:rPr>
        <w:t xml:space="preserve"> </w:t>
      </w:r>
      <w:r>
        <w:rPr>
          <w:w w:val="95"/>
        </w:rPr>
        <w:t>to</w:t>
      </w:r>
      <w:r>
        <w:rPr>
          <w:spacing w:val="-7"/>
          <w:w w:val="95"/>
        </w:rPr>
        <w:t xml:space="preserve"> </w:t>
      </w:r>
      <w:r>
        <w:rPr>
          <w:w w:val="95"/>
        </w:rPr>
        <w:t xml:space="preserve">avoid </w:t>
      </w:r>
      <w:r>
        <w:t>repeating such failures.</w:t>
      </w:r>
    </w:p>
    <w:p w:rsidR="002C1123" w:rsidRDefault="00F22F94">
      <w:pPr>
        <w:pStyle w:val="BodyText"/>
        <w:spacing w:before="146"/>
        <w:ind w:left="903"/>
      </w:pPr>
      <w:r>
        <w:rPr>
          <w:spacing w:val="-2"/>
          <w:w w:val="95"/>
        </w:rPr>
        <w:t>To</w:t>
      </w:r>
      <w:r>
        <w:rPr>
          <w:spacing w:val="-1"/>
        </w:rPr>
        <w:t xml:space="preserve"> </w:t>
      </w:r>
      <w:r>
        <w:rPr>
          <w:spacing w:val="-2"/>
          <w:w w:val="95"/>
        </w:rPr>
        <w:t>summarise</w:t>
      </w:r>
      <w:r>
        <w:t xml:space="preserve"> </w:t>
      </w:r>
      <w:r>
        <w:rPr>
          <w:spacing w:val="-2"/>
          <w:w w:val="95"/>
        </w:rPr>
        <w:t>Infrastructure</w:t>
      </w:r>
      <w:r>
        <w:rPr>
          <w:spacing w:val="-1"/>
        </w:rPr>
        <w:t xml:space="preserve"> </w:t>
      </w:r>
      <w:r>
        <w:rPr>
          <w:spacing w:val="-2"/>
          <w:w w:val="95"/>
        </w:rPr>
        <w:t>NSW’s</w:t>
      </w:r>
      <w:r>
        <w:t xml:space="preserve"> </w:t>
      </w:r>
      <w:r>
        <w:rPr>
          <w:spacing w:val="-2"/>
          <w:w w:val="95"/>
        </w:rPr>
        <w:t>thinking:</w:t>
      </w:r>
    </w:p>
    <w:p w:rsidR="002C1123" w:rsidRDefault="00F22F94">
      <w:pPr>
        <w:pStyle w:val="ListParagraph"/>
        <w:numPr>
          <w:ilvl w:val="1"/>
          <w:numId w:val="159"/>
        </w:numPr>
        <w:tabs>
          <w:tab w:val="left" w:pos="1198"/>
        </w:tabs>
        <w:spacing w:before="139" w:line="249" w:lineRule="auto"/>
        <w:ind w:right="52"/>
        <w:rPr>
          <w:sz w:val="20"/>
        </w:rPr>
      </w:pPr>
      <w:r>
        <w:rPr>
          <w:sz w:val="20"/>
        </w:rPr>
        <w:t>A ‘first things first’ approach is needed to ensure priorities</w:t>
      </w:r>
      <w:r>
        <w:rPr>
          <w:spacing w:val="-9"/>
          <w:sz w:val="20"/>
        </w:rPr>
        <w:t xml:space="preserve"> </w:t>
      </w:r>
      <w:r>
        <w:rPr>
          <w:sz w:val="20"/>
        </w:rPr>
        <w:t>for</w:t>
      </w:r>
      <w:r>
        <w:rPr>
          <w:spacing w:val="-9"/>
          <w:sz w:val="20"/>
        </w:rPr>
        <w:t xml:space="preserve"> </w:t>
      </w:r>
      <w:r>
        <w:rPr>
          <w:sz w:val="20"/>
        </w:rPr>
        <w:t>action</w:t>
      </w:r>
      <w:r>
        <w:rPr>
          <w:spacing w:val="-9"/>
          <w:sz w:val="20"/>
        </w:rPr>
        <w:t xml:space="preserve"> </w:t>
      </w:r>
      <w:r>
        <w:rPr>
          <w:sz w:val="20"/>
        </w:rPr>
        <w:t>are</w:t>
      </w:r>
      <w:r>
        <w:rPr>
          <w:spacing w:val="-9"/>
          <w:sz w:val="20"/>
        </w:rPr>
        <w:t xml:space="preserve"> </w:t>
      </w:r>
      <w:r>
        <w:rPr>
          <w:sz w:val="20"/>
        </w:rPr>
        <w:t>projects</w:t>
      </w:r>
      <w:r>
        <w:rPr>
          <w:spacing w:val="-9"/>
          <w:sz w:val="20"/>
        </w:rPr>
        <w:t xml:space="preserve"> </w:t>
      </w:r>
      <w:r>
        <w:rPr>
          <w:sz w:val="20"/>
        </w:rPr>
        <w:t>and</w:t>
      </w:r>
      <w:r>
        <w:rPr>
          <w:spacing w:val="-9"/>
          <w:sz w:val="20"/>
        </w:rPr>
        <w:t xml:space="preserve"> </w:t>
      </w:r>
      <w:r>
        <w:rPr>
          <w:sz w:val="20"/>
        </w:rPr>
        <w:t>policies</w:t>
      </w:r>
      <w:r>
        <w:rPr>
          <w:spacing w:val="-9"/>
          <w:sz w:val="20"/>
        </w:rPr>
        <w:t xml:space="preserve"> </w:t>
      </w:r>
      <w:r>
        <w:rPr>
          <w:sz w:val="20"/>
        </w:rPr>
        <w:t>that maximise</w:t>
      </w:r>
      <w:r>
        <w:rPr>
          <w:spacing w:val="-14"/>
          <w:sz w:val="20"/>
        </w:rPr>
        <w:t xml:space="preserve"> </w:t>
      </w:r>
      <w:r>
        <w:rPr>
          <w:sz w:val="20"/>
        </w:rPr>
        <w:t>economic</w:t>
      </w:r>
      <w:r>
        <w:rPr>
          <w:spacing w:val="-14"/>
          <w:sz w:val="20"/>
        </w:rPr>
        <w:t xml:space="preserve"> </w:t>
      </w:r>
      <w:r>
        <w:rPr>
          <w:sz w:val="20"/>
        </w:rPr>
        <w:t>benefits</w:t>
      </w:r>
      <w:r>
        <w:rPr>
          <w:spacing w:val="-14"/>
          <w:sz w:val="20"/>
        </w:rPr>
        <w:t xml:space="preserve"> </w:t>
      </w:r>
      <w:r>
        <w:rPr>
          <w:sz w:val="20"/>
        </w:rPr>
        <w:t>for</w:t>
      </w:r>
      <w:r>
        <w:rPr>
          <w:spacing w:val="-14"/>
          <w:sz w:val="20"/>
        </w:rPr>
        <w:t xml:space="preserve"> </w:t>
      </w:r>
      <w:r>
        <w:rPr>
          <w:sz w:val="20"/>
        </w:rPr>
        <w:t>all</w:t>
      </w:r>
      <w:r>
        <w:rPr>
          <w:spacing w:val="-13"/>
          <w:sz w:val="20"/>
        </w:rPr>
        <w:t xml:space="preserve"> </w:t>
      </w:r>
      <w:r>
        <w:rPr>
          <w:sz w:val="20"/>
        </w:rPr>
        <w:t>of</w:t>
      </w:r>
      <w:r>
        <w:rPr>
          <w:spacing w:val="-14"/>
          <w:sz w:val="20"/>
        </w:rPr>
        <w:t xml:space="preserve"> </w:t>
      </w:r>
      <w:r>
        <w:rPr>
          <w:sz w:val="20"/>
        </w:rPr>
        <w:t>NSW.</w:t>
      </w:r>
      <w:r>
        <w:rPr>
          <w:spacing w:val="-14"/>
          <w:sz w:val="20"/>
        </w:rPr>
        <w:t xml:space="preserve"> </w:t>
      </w:r>
      <w:r>
        <w:rPr>
          <w:sz w:val="20"/>
        </w:rPr>
        <w:t xml:space="preserve">NSW </w:t>
      </w:r>
      <w:r>
        <w:rPr>
          <w:w w:val="95"/>
          <w:sz w:val="20"/>
        </w:rPr>
        <w:t>should</w:t>
      </w:r>
      <w:r>
        <w:rPr>
          <w:spacing w:val="-5"/>
          <w:w w:val="95"/>
          <w:sz w:val="20"/>
        </w:rPr>
        <w:t xml:space="preserve"> </w:t>
      </w:r>
      <w:r>
        <w:rPr>
          <w:w w:val="95"/>
          <w:sz w:val="20"/>
        </w:rPr>
        <w:t>focus</w:t>
      </w:r>
      <w:r>
        <w:rPr>
          <w:spacing w:val="-5"/>
          <w:w w:val="95"/>
          <w:sz w:val="20"/>
        </w:rPr>
        <w:t xml:space="preserve"> </w:t>
      </w:r>
      <w:r>
        <w:rPr>
          <w:w w:val="95"/>
          <w:sz w:val="20"/>
        </w:rPr>
        <w:t>on</w:t>
      </w:r>
      <w:r>
        <w:rPr>
          <w:spacing w:val="-5"/>
          <w:w w:val="95"/>
          <w:sz w:val="20"/>
        </w:rPr>
        <w:t xml:space="preserve"> </w:t>
      </w:r>
      <w:r>
        <w:rPr>
          <w:w w:val="95"/>
          <w:sz w:val="20"/>
        </w:rPr>
        <w:t>what</w:t>
      </w:r>
      <w:r>
        <w:rPr>
          <w:spacing w:val="-5"/>
          <w:w w:val="95"/>
          <w:sz w:val="20"/>
        </w:rPr>
        <w:t xml:space="preserve"> </w:t>
      </w:r>
      <w:r>
        <w:rPr>
          <w:w w:val="95"/>
          <w:sz w:val="20"/>
        </w:rPr>
        <w:t>will</w:t>
      </w:r>
      <w:r>
        <w:rPr>
          <w:spacing w:val="-5"/>
          <w:w w:val="95"/>
          <w:sz w:val="20"/>
        </w:rPr>
        <w:t xml:space="preserve"> </w:t>
      </w:r>
      <w:r>
        <w:rPr>
          <w:w w:val="95"/>
          <w:sz w:val="20"/>
        </w:rPr>
        <w:t>have</w:t>
      </w:r>
      <w:r>
        <w:rPr>
          <w:spacing w:val="-5"/>
          <w:w w:val="95"/>
          <w:sz w:val="20"/>
        </w:rPr>
        <w:t xml:space="preserve"> </w:t>
      </w:r>
      <w:r>
        <w:rPr>
          <w:w w:val="95"/>
          <w:sz w:val="20"/>
        </w:rPr>
        <w:t>the</w:t>
      </w:r>
      <w:r>
        <w:rPr>
          <w:spacing w:val="-5"/>
          <w:w w:val="95"/>
          <w:sz w:val="20"/>
        </w:rPr>
        <w:t xml:space="preserve"> </w:t>
      </w:r>
      <w:r>
        <w:rPr>
          <w:w w:val="95"/>
          <w:sz w:val="20"/>
        </w:rPr>
        <w:t>greatest</w:t>
      </w:r>
      <w:r>
        <w:rPr>
          <w:spacing w:val="-5"/>
          <w:w w:val="95"/>
          <w:sz w:val="20"/>
        </w:rPr>
        <w:t xml:space="preserve"> </w:t>
      </w:r>
      <w:r>
        <w:rPr>
          <w:w w:val="95"/>
          <w:sz w:val="20"/>
        </w:rPr>
        <w:t>impact</w:t>
      </w:r>
      <w:r>
        <w:rPr>
          <w:spacing w:val="-5"/>
          <w:w w:val="95"/>
          <w:sz w:val="20"/>
        </w:rPr>
        <w:t xml:space="preserve"> </w:t>
      </w:r>
      <w:r>
        <w:rPr>
          <w:w w:val="95"/>
          <w:sz w:val="20"/>
        </w:rPr>
        <w:t xml:space="preserve">in </w:t>
      </w:r>
      <w:r>
        <w:rPr>
          <w:sz w:val="20"/>
        </w:rPr>
        <w:t>the shortest timeframe</w:t>
      </w:r>
    </w:p>
    <w:p w:rsidR="002C1123" w:rsidRDefault="00F22F94">
      <w:pPr>
        <w:pStyle w:val="ListParagraph"/>
        <w:numPr>
          <w:ilvl w:val="1"/>
          <w:numId w:val="159"/>
        </w:numPr>
        <w:tabs>
          <w:tab w:val="left" w:pos="1209"/>
        </w:tabs>
        <w:spacing w:before="133" w:line="249" w:lineRule="auto"/>
        <w:ind w:left="1203" w:right="161" w:hanging="306"/>
        <w:jc w:val="both"/>
        <w:rPr>
          <w:sz w:val="20"/>
        </w:rPr>
      </w:pPr>
      <w:r>
        <w:rPr>
          <w:sz w:val="20"/>
        </w:rPr>
        <w:t>Investment</w:t>
      </w:r>
      <w:r>
        <w:rPr>
          <w:spacing w:val="-7"/>
          <w:sz w:val="20"/>
        </w:rPr>
        <w:t xml:space="preserve"> </w:t>
      </w:r>
      <w:r>
        <w:rPr>
          <w:sz w:val="20"/>
        </w:rPr>
        <w:t>should</w:t>
      </w:r>
      <w:r>
        <w:rPr>
          <w:spacing w:val="-7"/>
          <w:sz w:val="20"/>
        </w:rPr>
        <w:t xml:space="preserve"> </w:t>
      </w:r>
      <w:r>
        <w:rPr>
          <w:sz w:val="20"/>
        </w:rPr>
        <w:t>support</w:t>
      </w:r>
      <w:r>
        <w:rPr>
          <w:spacing w:val="-7"/>
          <w:sz w:val="20"/>
        </w:rPr>
        <w:t xml:space="preserve"> </w:t>
      </w:r>
      <w:r>
        <w:rPr>
          <w:sz w:val="20"/>
        </w:rPr>
        <w:t>NSW’s</w:t>
      </w:r>
      <w:r>
        <w:rPr>
          <w:spacing w:val="-7"/>
          <w:sz w:val="20"/>
        </w:rPr>
        <w:t xml:space="preserve"> </w:t>
      </w:r>
      <w:r>
        <w:rPr>
          <w:sz w:val="20"/>
        </w:rPr>
        <w:t>strengths</w:t>
      </w:r>
      <w:r>
        <w:rPr>
          <w:spacing w:val="-5"/>
          <w:sz w:val="20"/>
        </w:rPr>
        <w:t xml:space="preserve"> </w:t>
      </w:r>
      <w:r>
        <w:rPr>
          <w:sz w:val="20"/>
        </w:rPr>
        <w:t>as</w:t>
      </w:r>
      <w:r>
        <w:rPr>
          <w:spacing w:val="-7"/>
          <w:sz w:val="20"/>
        </w:rPr>
        <w:t xml:space="preserve"> </w:t>
      </w:r>
      <w:r>
        <w:rPr>
          <w:sz w:val="20"/>
        </w:rPr>
        <w:t xml:space="preserve">a </w:t>
      </w:r>
      <w:r>
        <w:rPr>
          <w:w w:val="95"/>
          <w:sz w:val="20"/>
        </w:rPr>
        <w:t>first</w:t>
      </w:r>
      <w:r>
        <w:rPr>
          <w:spacing w:val="-5"/>
          <w:w w:val="95"/>
          <w:sz w:val="20"/>
        </w:rPr>
        <w:t xml:space="preserve"> </w:t>
      </w:r>
      <w:r>
        <w:rPr>
          <w:w w:val="95"/>
          <w:sz w:val="20"/>
        </w:rPr>
        <w:t>priority,</w:t>
      </w:r>
      <w:r>
        <w:rPr>
          <w:spacing w:val="-5"/>
          <w:w w:val="95"/>
          <w:sz w:val="20"/>
        </w:rPr>
        <w:t xml:space="preserve"> </w:t>
      </w:r>
      <w:r>
        <w:rPr>
          <w:w w:val="95"/>
          <w:sz w:val="20"/>
        </w:rPr>
        <w:t>rather</w:t>
      </w:r>
      <w:r>
        <w:rPr>
          <w:spacing w:val="-5"/>
          <w:w w:val="95"/>
          <w:sz w:val="20"/>
        </w:rPr>
        <w:t xml:space="preserve"> </w:t>
      </w:r>
      <w:r>
        <w:rPr>
          <w:w w:val="95"/>
          <w:sz w:val="20"/>
        </w:rPr>
        <w:t>than</w:t>
      </w:r>
      <w:r>
        <w:rPr>
          <w:spacing w:val="-5"/>
          <w:w w:val="95"/>
          <w:sz w:val="20"/>
        </w:rPr>
        <w:t xml:space="preserve"> </w:t>
      </w:r>
      <w:r>
        <w:rPr>
          <w:w w:val="95"/>
          <w:sz w:val="20"/>
        </w:rPr>
        <w:t>seeking</w:t>
      </w:r>
      <w:r>
        <w:rPr>
          <w:spacing w:val="-5"/>
          <w:w w:val="95"/>
          <w:sz w:val="20"/>
        </w:rPr>
        <w:t xml:space="preserve"> </w:t>
      </w:r>
      <w:r>
        <w:rPr>
          <w:w w:val="95"/>
          <w:sz w:val="20"/>
        </w:rPr>
        <w:t>to</w:t>
      </w:r>
      <w:r>
        <w:rPr>
          <w:spacing w:val="-5"/>
          <w:w w:val="95"/>
          <w:sz w:val="20"/>
        </w:rPr>
        <w:t xml:space="preserve"> </w:t>
      </w:r>
      <w:r>
        <w:rPr>
          <w:w w:val="95"/>
          <w:sz w:val="20"/>
        </w:rPr>
        <w:t>create</w:t>
      </w:r>
      <w:r>
        <w:rPr>
          <w:spacing w:val="-5"/>
          <w:w w:val="95"/>
          <w:sz w:val="20"/>
        </w:rPr>
        <w:t xml:space="preserve"> </w:t>
      </w:r>
      <w:r>
        <w:rPr>
          <w:w w:val="95"/>
          <w:sz w:val="20"/>
        </w:rPr>
        <w:t xml:space="preserve">economic </w:t>
      </w:r>
      <w:r>
        <w:rPr>
          <w:sz w:val="20"/>
        </w:rPr>
        <w:t>growth from scratch</w:t>
      </w:r>
    </w:p>
    <w:p w:rsidR="002C1123" w:rsidRDefault="00F22F94">
      <w:pPr>
        <w:pStyle w:val="ListParagraph"/>
        <w:numPr>
          <w:ilvl w:val="1"/>
          <w:numId w:val="159"/>
        </w:numPr>
        <w:tabs>
          <w:tab w:val="left" w:pos="1210"/>
        </w:tabs>
        <w:spacing w:before="131" w:line="249" w:lineRule="auto"/>
        <w:ind w:left="1212" w:right="153" w:hanging="315"/>
        <w:jc w:val="both"/>
        <w:rPr>
          <w:sz w:val="20"/>
        </w:rPr>
      </w:pPr>
      <w:r>
        <w:rPr>
          <w:w w:val="105"/>
          <w:sz w:val="20"/>
        </w:rPr>
        <w:t>Priority</w:t>
      </w:r>
      <w:r>
        <w:rPr>
          <w:spacing w:val="-15"/>
          <w:w w:val="105"/>
          <w:sz w:val="20"/>
        </w:rPr>
        <w:t xml:space="preserve"> </w:t>
      </w:r>
      <w:r>
        <w:rPr>
          <w:w w:val="105"/>
          <w:sz w:val="20"/>
        </w:rPr>
        <w:t>investments</w:t>
      </w:r>
      <w:r>
        <w:rPr>
          <w:spacing w:val="-15"/>
          <w:w w:val="105"/>
          <w:sz w:val="20"/>
        </w:rPr>
        <w:t xml:space="preserve"> </w:t>
      </w:r>
      <w:r>
        <w:rPr>
          <w:w w:val="105"/>
          <w:sz w:val="20"/>
        </w:rPr>
        <w:t>should</w:t>
      </w:r>
      <w:r>
        <w:rPr>
          <w:spacing w:val="-14"/>
          <w:w w:val="105"/>
          <w:sz w:val="20"/>
        </w:rPr>
        <w:t xml:space="preserve"> </w:t>
      </w:r>
      <w:r>
        <w:rPr>
          <w:w w:val="105"/>
          <w:sz w:val="20"/>
        </w:rPr>
        <w:t>benefit</w:t>
      </w:r>
      <w:r>
        <w:rPr>
          <w:spacing w:val="-15"/>
          <w:w w:val="105"/>
          <w:sz w:val="20"/>
        </w:rPr>
        <w:t xml:space="preserve"> </w:t>
      </w:r>
      <w:r>
        <w:rPr>
          <w:w w:val="105"/>
          <w:sz w:val="20"/>
        </w:rPr>
        <w:t>the</w:t>
      </w:r>
      <w:r>
        <w:rPr>
          <w:spacing w:val="-14"/>
          <w:w w:val="105"/>
          <w:sz w:val="20"/>
        </w:rPr>
        <w:t xml:space="preserve"> </w:t>
      </w:r>
      <w:r>
        <w:rPr>
          <w:w w:val="105"/>
          <w:sz w:val="20"/>
        </w:rPr>
        <w:t>greatest number of people</w:t>
      </w:r>
    </w:p>
    <w:p w:rsidR="002C1123" w:rsidRDefault="00F22F94">
      <w:pPr>
        <w:pStyle w:val="ListParagraph"/>
        <w:numPr>
          <w:ilvl w:val="1"/>
          <w:numId w:val="159"/>
        </w:numPr>
        <w:tabs>
          <w:tab w:val="left" w:pos="1188"/>
        </w:tabs>
        <w:spacing w:before="131" w:line="249" w:lineRule="auto"/>
        <w:ind w:left="1206" w:hanging="309"/>
        <w:rPr>
          <w:sz w:val="20"/>
        </w:rPr>
      </w:pPr>
      <w:r>
        <w:rPr>
          <w:sz w:val="20"/>
        </w:rPr>
        <w:t>There</w:t>
      </w:r>
      <w:r>
        <w:rPr>
          <w:spacing w:val="-14"/>
          <w:sz w:val="20"/>
        </w:rPr>
        <w:t xml:space="preserve"> </w:t>
      </w:r>
      <w:r>
        <w:rPr>
          <w:sz w:val="20"/>
        </w:rPr>
        <w:t>has</w:t>
      </w:r>
      <w:r>
        <w:rPr>
          <w:spacing w:val="-14"/>
          <w:sz w:val="20"/>
        </w:rPr>
        <w:t xml:space="preserve"> </w:t>
      </w:r>
      <w:r>
        <w:rPr>
          <w:sz w:val="20"/>
        </w:rPr>
        <w:t>been</w:t>
      </w:r>
      <w:r>
        <w:rPr>
          <w:spacing w:val="-14"/>
          <w:sz w:val="20"/>
        </w:rPr>
        <w:t xml:space="preserve"> </w:t>
      </w:r>
      <w:r>
        <w:rPr>
          <w:sz w:val="20"/>
        </w:rPr>
        <w:t>a</w:t>
      </w:r>
      <w:r>
        <w:rPr>
          <w:spacing w:val="-14"/>
          <w:sz w:val="20"/>
        </w:rPr>
        <w:t xml:space="preserve"> </w:t>
      </w:r>
      <w:r>
        <w:rPr>
          <w:sz w:val="20"/>
        </w:rPr>
        <w:t>bias</w:t>
      </w:r>
      <w:r>
        <w:rPr>
          <w:spacing w:val="-14"/>
          <w:sz w:val="20"/>
        </w:rPr>
        <w:t xml:space="preserve"> </w:t>
      </w:r>
      <w:r>
        <w:rPr>
          <w:sz w:val="20"/>
        </w:rPr>
        <w:t>towards</w:t>
      </w:r>
      <w:r>
        <w:rPr>
          <w:spacing w:val="-14"/>
          <w:sz w:val="20"/>
        </w:rPr>
        <w:t xml:space="preserve"> </w:t>
      </w:r>
      <w:r>
        <w:rPr>
          <w:sz w:val="20"/>
        </w:rPr>
        <w:t>major</w:t>
      </w:r>
      <w:r>
        <w:rPr>
          <w:spacing w:val="-14"/>
          <w:sz w:val="20"/>
        </w:rPr>
        <w:t xml:space="preserve"> </w:t>
      </w:r>
      <w:r>
        <w:rPr>
          <w:sz w:val="20"/>
        </w:rPr>
        <w:t>projects</w:t>
      </w:r>
      <w:r>
        <w:rPr>
          <w:spacing w:val="-14"/>
          <w:sz w:val="20"/>
        </w:rPr>
        <w:t xml:space="preserve"> </w:t>
      </w:r>
      <w:r>
        <w:rPr>
          <w:sz w:val="20"/>
        </w:rPr>
        <w:t>at</w:t>
      </w:r>
      <w:r>
        <w:rPr>
          <w:spacing w:val="-14"/>
          <w:sz w:val="20"/>
        </w:rPr>
        <w:t xml:space="preserve"> </w:t>
      </w:r>
      <w:r>
        <w:rPr>
          <w:sz w:val="20"/>
        </w:rPr>
        <w:t xml:space="preserve">the expense of incremental projects that are capable </w:t>
      </w:r>
      <w:r>
        <w:rPr>
          <w:w w:val="95"/>
          <w:sz w:val="20"/>
        </w:rPr>
        <w:t>of</w:t>
      </w:r>
      <w:r>
        <w:rPr>
          <w:spacing w:val="-6"/>
          <w:w w:val="95"/>
          <w:sz w:val="20"/>
        </w:rPr>
        <w:t xml:space="preserve"> </w:t>
      </w:r>
      <w:r>
        <w:rPr>
          <w:w w:val="95"/>
          <w:sz w:val="20"/>
        </w:rPr>
        <w:t>yielding</w:t>
      </w:r>
      <w:r>
        <w:rPr>
          <w:spacing w:val="-6"/>
          <w:w w:val="95"/>
          <w:sz w:val="20"/>
        </w:rPr>
        <w:t xml:space="preserve"> </w:t>
      </w:r>
      <w:r>
        <w:rPr>
          <w:w w:val="95"/>
          <w:sz w:val="20"/>
        </w:rPr>
        <w:t>substantial</w:t>
      </w:r>
      <w:r>
        <w:rPr>
          <w:spacing w:val="-6"/>
          <w:w w:val="95"/>
          <w:sz w:val="20"/>
        </w:rPr>
        <w:t xml:space="preserve"> </w:t>
      </w:r>
      <w:r>
        <w:rPr>
          <w:w w:val="95"/>
          <w:sz w:val="20"/>
        </w:rPr>
        <w:t>benefits</w:t>
      </w:r>
      <w:r>
        <w:rPr>
          <w:spacing w:val="-6"/>
          <w:w w:val="95"/>
          <w:sz w:val="20"/>
        </w:rPr>
        <w:t xml:space="preserve"> </w:t>
      </w:r>
      <w:r>
        <w:rPr>
          <w:w w:val="95"/>
          <w:sz w:val="20"/>
        </w:rPr>
        <w:t>and</w:t>
      </w:r>
      <w:r>
        <w:rPr>
          <w:spacing w:val="-6"/>
          <w:w w:val="95"/>
          <w:sz w:val="20"/>
        </w:rPr>
        <w:t xml:space="preserve"> </w:t>
      </w:r>
      <w:r>
        <w:rPr>
          <w:w w:val="95"/>
          <w:sz w:val="20"/>
        </w:rPr>
        <w:t>addressing</w:t>
      </w:r>
      <w:r>
        <w:rPr>
          <w:spacing w:val="-6"/>
          <w:w w:val="95"/>
          <w:sz w:val="20"/>
        </w:rPr>
        <w:t xml:space="preserve"> </w:t>
      </w:r>
      <w:r>
        <w:rPr>
          <w:w w:val="95"/>
          <w:sz w:val="20"/>
        </w:rPr>
        <w:t xml:space="preserve">critical </w:t>
      </w:r>
      <w:r>
        <w:rPr>
          <w:sz w:val="20"/>
        </w:rPr>
        <w:t>pinch</w:t>
      </w:r>
      <w:r>
        <w:rPr>
          <w:spacing w:val="-11"/>
          <w:sz w:val="20"/>
        </w:rPr>
        <w:t xml:space="preserve"> </w:t>
      </w:r>
      <w:r>
        <w:rPr>
          <w:sz w:val="20"/>
        </w:rPr>
        <w:t>points</w:t>
      </w:r>
    </w:p>
    <w:p w:rsidR="002C1123" w:rsidRDefault="00F22F94">
      <w:pPr>
        <w:pStyle w:val="ListParagraph"/>
        <w:numPr>
          <w:ilvl w:val="0"/>
          <w:numId w:val="158"/>
        </w:numPr>
        <w:tabs>
          <w:tab w:val="left" w:pos="504"/>
          <w:tab w:val="left" w:pos="505"/>
        </w:tabs>
        <w:spacing w:before="94" w:line="249" w:lineRule="auto"/>
        <w:ind w:left="500" w:right="16" w:hanging="309"/>
        <w:rPr>
          <w:sz w:val="20"/>
        </w:rPr>
      </w:pPr>
      <w:r>
        <w:br w:type="column"/>
      </w:r>
      <w:r>
        <w:rPr>
          <w:sz w:val="20"/>
        </w:rPr>
        <w:t>NSW should also maximise the use of existing assets</w:t>
      </w:r>
      <w:r>
        <w:rPr>
          <w:spacing w:val="-14"/>
          <w:sz w:val="20"/>
        </w:rPr>
        <w:t xml:space="preserve"> </w:t>
      </w:r>
      <w:r>
        <w:rPr>
          <w:sz w:val="20"/>
        </w:rPr>
        <w:t>wherever</w:t>
      </w:r>
      <w:r>
        <w:rPr>
          <w:spacing w:val="-14"/>
          <w:sz w:val="20"/>
        </w:rPr>
        <w:t xml:space="preserve"> </w:t>
      </w:r>
      <w:r>
        <w:rPr>
          <w:sz w:val="20"/>
        </w:rPr>
        <w:t>possible</w:t>
      </w:r>
      <w:r>
        <w:rPr>
          <w:spacing w:val="-14"/>
          <w:sz w:val="20"/>
        </w:rPr>
        <w:t xml:space="preserve"> </w:t>
      </w:r>
      <w:r>
        <w:rPr>
          <w:sz w:val="20"/>
        </w:rPr>
        <w:t>before</w:t>
      </w:r>
      <w:r>
        <w:rPr>
          <w:spacing w:val="-14"/>
          <w:sz w:val="20"/>
        </w:rPr>
        <w:t xml:space="preserve"> </w:t>
      </w:r>
      <w:r>
        <w:rPr>
          <w:sz w:val="20"/>
        </w:rPr>
        <w:t>investing</w:t>
      </w:r>
      <w:r>
        <w:rPr>
          <w:spacing w:val="-14"/>
          <w:sz w:val="20"/>
        </w:rPr>
        <w:t xml:space="preserve"> </w:t>
      </w:r>
      <w:r>
        <w:rPr>
          <w:sz w:val="20"/>
        </w:rPr>
        <w:t>in</w:t>
      </w:r>
      <w:r>
        <w:rPr>
          <w:spacing w:val="-14"/>
          <w:sz w:val="20"/>
        </w:rPr>
        <w:t xml:space="preserve"> </w:t>
      </w:r>
      <w:r>
        <w:rPr>
          <w:sz w:val="20"/>
        </w:rPr>
        <w:t>new projects</w:t>
      </w:r>
      <w:r>
        <w:rPr>
          <w:spacing w:val="-8"/>
          <w:sz w:val="20"/>
        </w:rPr>
        <w:t xml:space="preserve"> </w:t>
      </w:r>
      <w:r>
        <w:rPr>
          <w:sz w:val="20"/>
        </w:rPr>
        <w:t>because</w:t>
      </w:r>
      <w:r>
        <w:rPr>
          <w:spacing w:val="-8"/>
          <w:sz w:val="20"/>
        </w:rPr>
        <w:t xml:space="preserve"> </w:t>
      </w:r>
      <w:r>
        <w:rPr>
          <w:sz w:val="20"/>
        </w:rPr>
        <w:t>it</w:t>
      </w:r>
      <w:r>
        <w:rPr>
          <w:spacing w:val="-8"/>
          <w:sz w:val="20"/>
        </w:rPr>
        <w:t xml:space="preserve"> </w:t>
      </w:r>
      <w:r>
        <w:rPr>
          <w:sz w:val="20"/>
        </w:rPr>
        <w:t>is</w:t>
      </w:r>
      <w:r>
        <w:rPr>
          <w:spacing w:val="-8"/>
          <w:sz w:val="20"/>
        </w:rPr>
        <w:t xml:space="preserve"> </w:t>
      </w:r>
      <w:r>
        <w:rPr>
          <w:sz w:val="20"/>
        </w:rPr>
        <w:t>both</w:t>
      </w:r>
      <w:r>
        <w:rPr>
          <w:spacing w:val="-8"/>
          <w:sz w:val="20"/>
        </w:rPr>
        <w:t xml:space="preserve"> </w:t>
      </w:r>
      <w:r>
        <w:rPr>
          <w:sz w:val="20"/>
        </w:rPr>
        <w:t>cost</w:t>
      </w:r>
      <w:r>
        <w:rPr>
          <w:spacing w:val="-8"/>
          <w:sz w:val="20"/>
        </w:rPr>
        <w:t xml:space="preserve"> </w:t>
      </w:r>
      <w:r>
        <w:rPr>
          <w:sz w:val="20"/>
        </w:rPr>
        <w:t>effective</w:t>
      </w:r>
      <w:r>
        <w:rPr>
          <w:spacing w:val="-8"/>
          <w:sz w:val="20"/>
        </w:rPr>
        <w:t xml:space="preserve"> </w:t>
      </w:r>
      <w:r>
        <w:rPr>
          <w:sz w:val="20"/>
        </w:rPr>
        <w:t>and</w:t>
      </w:r>
      <w:r>
        <w:rPr>
          <w:spacing w:val="-8"/>
          <w:sz w:val="20"/>
        </w:rPr>
        <w:t xml:space="preserve"> </w:t>
      </w:r>
      <w:r>
        <w:rPr>
          <w:sz w:val="20"/>
        </w:rPr>
        <w:t>it</w:t>
      </w:r>
      <w:r>
        <w:rPr>
          <w:spacing w:val="-8"/>
          <w:sz w:val="20"/>
        </w:rPr>
        <w:t xml:space="preserve"> </w:t>
      </w:r>
      <w:r>
        <w:rPr>
          <w:sz w:val="20"/>
        </w:rPr>
        <w:t>is capable</w:t>
      </w:r>
      <w:r>
        <w:rPr>
          <w:spacing w:val="-10"/>
          <w:sz w:val="20"/>
        </w:rPr>
        <w:t xml:space="preserve"> </w:t>
      </w:r>
      <w:r>
        <w:rPr>
          <w:sz w:val="20"/>
        </w:rPr>
        <w:t>of</w:t>
      </w:r>
      <w:r>
        <w:rPr>
          <w:spacing w:val="-10"/>
          <w:sz w:val="20"/>
        </w:rPr>
        <w:t xml:space="preserve"> </w:t>
      </w:r>
      <w:r>
        <w:rPr>
          <w:sz w:val="20"/>
        </w:rPr>
        <w:t>delivering</w:t>
      </w:r>
      <w:r>
        <w:rPr>
          <w:spacing w:val="-10"/>
          <w:sz w:val="20"/>
        </w:rPr>
        <w:t xml:space="preserve"> </w:t>
      </w:r>
      <w:r>
        <w:rPr>
          <w:sz w:val="20"/>
        </w:rPr>
        <w:t>quick</w:t>
      </w:r>
      <w:r>
        <w:rPr>
          <w:spacing w:val="-10"/>
          <w:sz w:val="20"/>
        </w:rPr>
        <w:t xml:space="preserve"> </w:t>
      </w:r>
      <w:r>
        <w:rPr>
          <w:sz w:val="20"/>
        </w:rPr>
        <w:t>improvements</w:t>
      </w:r>
      <w:r>
        <w:rPr>
          <w:spacing w:val="-10"/>
          <w:sz w:val="20"/>
        </w:rPr>
        <w:t xml:space="preserve"> </w:t>
      </w:r>
      <w:r>
        <w:rPr>
          <w:sz w:val="20"/>
        </w:rPr>
        <w:t>for</w:t>
      </w:r>
      <w:r>
        <w:rPr>
          <w:spacing w:val="-10"/>
          <w:sz w:val="20"/>
        </w:rPr>
        <w:t xml:space="preserve"> </w:t>
      </w:r>
      <w:r>
        <w:rPr>
          <w:sz w:val="20"/>
        </w:rPr>
        <w:t xml:space="preserve">the </w:t>
      </w:r>
      <w:r>
        <w:rPr>
          <w:w w:val="95"/>
          <w:sz w:val="20"/>
        </w:rPr>
        <w:t>community</w:t>
      </w:r>
      <w:r>
        <w:rPr>
          <w:spacing w:val="-2"/>
          <w:w w:val="95"/>
          <w:sz w:val="20"/>
        </w:rPr>
        <w:t xml:space="preserve"> </w:t>
      </w:r>
      <w:r>
        <w:rPr>
          <w:w w:val="95"/>
          <w:sz w:val="20"/>
        </w:rPr>
        <w:t>that</w:t>
      </w:r>
      <w:r>
        <w:rPr>
          <w:spacing w:val="-2"/>
          <w:w w:val="95"/>
          <w:sz w:val="20"/>
        </w:rPr>
        <w:t xml:space="preserve"> </w:t>
      </w:r>
      <w:r>
        <w:rPr>
          <w:w w:val="95"/>
          <w:sz w:val="20"/>
        </w:rPr>
        <w:t>are</w:t>
      </w:r>
      <w:r>
        <w:rPr>
          <w:spacing w:val="-2"/>
          <w:w w:val="95"/>
          <w:sz w:val="20"/>
        </w:rPr>
        <w:t xml:space="preserve"> </w:t>
      </w:r>
      <w:r>
        <w:rPr>
          <w:w w:val="95"/>
          <w:sz w:val="20"/>
        </w:rPr>
        <w:t>sacrificed</w:t>
      </w:r>
      <w:r>
        <w:rPr>
          <w:spacing w:val="-2"/>
          <w:w w:val="95"/>
          <w:sz w:val="20"/>
        </w:rPr>
        <w:t xml:space="preserve"> </w:t>
      </w:r>
      <w:r>
        <w:rPr>
          <w:w w:val="95"/>
          <w:sz w:val="20"/>
        </w:rPr>
        <w:t>when</w:t>
      </w:r>
      <w:r>
        <w:rPr>
          <w:spacing w:val="-2"/>
          <w:w w:val="95"/>
          <w:sz w:val="20"/>
        </w:rPr>
        <w:t xml:space="preserve"> </w:t>
      </w:r>
      <w:r>
        <w:rPr>
          <w:w w:val="95"/>
          <w:sz w:val="20"/>
        </w:rPr>
        <w:t>there</w:t>
      </w:r>
      <w:r>
        <w:rPr>
          <w:spacing w:val="-2"/>
          <w:w w:val="95"/>
          <w:sz w:val="20"/>
        </w:rPr>
        <w:t xml:space="preserve"> </w:t>
      </w:r>
      <w:r>
        <w:rPr>
          <w:w w:val="95"/>
          <w:sz w:val="20"/>
        </w:rPr>
        <w:t>is</w:t>
      </w:r>
      <w:r>
        <w:rPr>
          <w:spacing w:val="-2"/>
          <w:w w:val="95"/>
          <w:sz w:val="20"/>
        </w:rPr>
        <w:t xml:space="preserve"> </w:t>
      </w:r>
      <w:r>
        <w:rPr>
          <w:w w:val="95"/>
          <w:sz w:val="20"/>
        </w:rPr>
        <w:t>too</w:t>
      </w:r>
      <w:r>
        <w:rPr>
          <w:spacing w:val="-2"/>
          <w:w w:val="95"/>
          <w:sz w:val="20"/>
        </w:rPr>
        <w:t xml:space="preserve"> </w:t>
      </w:r>
      <w:r>
        <w:rPr>
          <w:w w:val="95"/>
          <w:sz w:val="20"/>
        </w:rPr>
        <w:t xml:space="preserve">great </w:t>
      </w:r>
      <w:r>
        <w:rPr>
          <w:sz w:val="20"/>
        </w:rPr>
        <w:t>a</w:t>
      </w:r>
      <w:r>
        <w:rPr>
          <w:spacing w:val="-5"/>
          <w:sz w:val="20"/>
        </w:rPr>
        <w:t xml:space="preserve"> </w:t>
      </w:r>
      <w:r>
        <w:rPr>
          <w:sz w:val="20"/>
        </w:rPr>
        <w:t>focus</w:t>
      </w:r>
      <w:r>
        <w:rPr>
          <w:spacing w:val="-5"/>
          <w:sz w:val="20"/>
        </w:rPr>
        <w:t xml:space="preserve"> </w:t>
      </w:r>
      <w:r>
        <w:rPr>
          <w:sz w:val="20"/>
        </w:rPr>
        <w:t>on</w:t>
      </w:r>
      <w:r>
        <w:rPr>
          <w:spacing w:val="-5"/>
          <w:sz w:val="20"/>
        </w:rPr>
        <w:t xml:space="preserve"> </w:t>
      </w:r>
      <w:r>
        <w:rPr>
          <w:sz w:val="20"/>
        </w:rPr>
        <w:t>big</w:t>
      </w:r>
      <w:r>
        <w:rPr>
          <w:spacing w:val="-5"/>
          <w:sz w:val="20"/>
        </w:rPr>
        <w:t xml:space="preserve"> </w:t>
      </w:r>
      <w:r>
        <w:rPr>
          <w:sz w:val="20"/>
        </w:rPr>
        <w:t>projects</w:t>
      </w:r>
      <w:r>
        <w:rPr>
          <w:spacing w:val="-5"/>
          <w:sz w:val="20"/>
        </w:rPr>
        <w:t xml:space="preserve"> </w:t>
      </w:r>
      <w:r>
        <w:rPr>
          <w:sz w:val="20"/>
        </w:rPr>
        <w:t>with</w:t>
      </w:r>
      <w:r>
        <w:rPr>
          <w:spacing w:val="-5"/>
          <w:sz w:val="20"/>
        </w:rPr>
        <w:t xml:space="preserve"> </w:t>
      </w:r>
      <w:r>
        <w:rPr>
          <w:sz w:val="20"/>
        </w:rPr>
        <w:t>long</w:t>
      </w:r>
      <w:r>
        <w:rPr>
          <w:spacing w:val="-5"/>
          <w:sz w:val="20"/>
        </w:rPr>
        <w:t xml:space="preserve"> </w:t>
      </w:r>
      <w:r>
        <w:rPr>
          <w:sz w:val="20"/>
        </w:rPr>
        <w:t>lead</w:t>
      </w:r>
      <w:r>
        <w:rPr>
          <w:spacing w:val="-5"/>
          <w:sz w:val="20"/>
        </w:rPr>
        <w:t xml:space="preserve"> </w:t>
      </w:r>
      <w:r>
        <w:rPr>
          <w:sz w:val="20"/>
        </w:rPr>
        <w:t>times</w:t>
      </w:r>
    </w:p>
    <w:p w:rsidR="002C1123" w:rsidRDefault="00F22F94">
      <w:pPr>
        <w:pStyle w:val="ListParagraph"/>
        <w:numPr>
          <w:ilvl w:val="0"/>
          <w:numId w:val="158"/>
        </w:numPr>
        <w:tabs>
          <w:tab w:val="left" w:pos="491"/>
        </w:tabs>
        <w:spacing w:before="133" w:line="249" w:lineRule="auto"/>
        <w:ind w:left="502" w:right="107" w:hanging="311"/>
        <w:rPr>
          <w:sz w:val="20"/>
        </w:rPr>
      </w:pPr>
      <w:r>
        <w:rPr>
          <w:sz w:val="20"/>
        </w:rPr>
        <w:t xml:space="preserve">A key objective is to ensure projects of all scale, both big and small, are done well. Governance of </w:t>
      </w:r>
      <w:r>
        <w:rPr>
          <w:w w:val="95"/>
          <w:sz w:val="20"/>
        </w:rPr>
        <w:t>delivery</w:t>
      </w:r>
      <w:r>
        <w:rPr>
          <w:spacing w:val="-6"/>
          <w:w w:val="95"/>
          <w:sz w:val="20"/>
        </w:rPr>
        <w:t xml:space="preserve"> </w:t>
      </w:r>
      <w:r>
        <w:rPr>
          <w:w w:val="95"/>
          <w:sz w:val="20"/>
        </w:rPr>
        <w:t>and</w:t>
      </w:r>
      <w:r>
        <w:rPr>
          <w:spacing w:val="-6"/>
          <w:w w:val="95"/>
          <w:sz w:val="20"/>
        </w:rPr>
        <w:t xml:space="preserve"> </w:t>
      </w:r>
      <w:r>
        <w:rPr>
          <w:w w:val="95"/>
          <w:sz w:val="20"/>
        </w:rPr>
        <w:t>ongoing</w:t>
      </w:r>
      <w:r>
        <w:rPr>
          <w:spacing w:val="-6"/>
          <w:w w:val="95"/>
          <w:sz w:val="20"/>
        </w:rPr>
        <w:t xml:space="preserve"> </w:t>
      </w:r>
      <w:r>
        <w:rPr>
          <w:w w:val="95"/>
          <w:sz w:val="20"/>
        </w:rPr>
        <w:t>management</w:t>
      </w:r>
      <w:r>
        <w:rPr>
          <w:spacing w:val="-6"/>
          <w:w w:val="95"/>
          <w:sz w:val="20"/>
        </w:rPr>
        <w:t xml:space="preserve"> </w:t>
      </w:r>
      <w:r>
        <w:rPr>
          <w:w w:val="95"/>
          <w:sz w:val="20"/>
        </w:rPr>
        <w:t>of</w:t>
      </w:r>
      <w:r>
        <w:rPr>
          <w:spacing w:val="-6"/>
          <w:w w:val="95"/>
          <w:sz w:val="20"/>
        </w:rPr>
        <w:t xml:space="preserve"> </w:t>
      </w:r>
      <w:r>
        <w:rPr>
          <w:w w:val="95"/>
          <w:sz w:val="20"/>
        </w:rPr>
        <w:t>the</w:t>
      </w:r>
      <w:r>
        <w:rPr>
          <w:spacing w:val="-6"/>
          <w:w w:val="95"/>
          <w:sz w:val="20"/>
        </w:rPr>
        <w:t xml:space="preserve"> </w:t>
      </w:r>
      <w:r>
        <w:rPr>
          <w:w w:val="95"/>
          <w:sz w:val="20"/>
        </w:rPr>
        <w:t>asset</w:t>
      </w:r>
      <w:r>
        <w:rPr>
          <w:spacing w:val="-6"/>
          <w:w w:val="95"/>
          <w:sz w:val="20"/>
        </w:rPr>
        <w:t xml:space="preserve"> </w:t>
      </w:r>
      <w:r>
        <w:rPr>
          <w:w w:val="95"/>
          <w:sz w:val="20"/>
        </w:rPr>
        <w:t>is</w:t>
      </w:r>
      <w:r>
        <w:rPr>
          <w:spacing w:val="-6"/>
          <w:w w:val="95"/>
          <w:sz w:val="20"/>
        </w:rPr>
        <w:t xml:space="preserve"> </w:t>
      </w:r>
      <w:r>
        <w:rPr>
          <w:w w:val="95"/>
          <w:sz w:val="20"/>
        </w:rPr>
        <w:t xml:space="preserve">as </w:t>
      </w:r>
      <w:r>
        <w:rPr>
          <w:sz w:val="20"/>
        </w:rPr>
        <w:t>important as the initial investment</w:t>
      </w:r>
    </w:p>
    <w:p w:rsidR="002C1123" w:rsidRDefault="00F22F94">
      <w:pPr>
        <w:pStyle w:val="ListParagraph"/>
        <w:numPr>
          <w:ilvl w:val="0"/>
          <w:numId w:val="158"/>
        </w:numPr>
        <w:tabs>
          <w:tab w:val="left" w:pos="503"/>
          <w:tab w:val="left" w:pos="504"/>
        </w:tabs>
        <w:spacing w:before="133" w:line="249" w:lineRule="auto"/>
        <w:ind w:left="503" w:right="29"/>
        <w:rPr>
          <w:sz w:val="20"/>
        </w:rPr>
      </w:pPr>
      <w:r>
        <w:rPr>
          <w:sz w:val="20"/>
        </w:rPr>
        <w:t>Establishing</w:t>
      </w:r>
      <w:r>
        <w:rPr>
          <w:spacing w:val="-14"/>
          <w:sz w:val="20"/>
        </w:rPr>
        <w:t xml:space="preserve"> </w:t>
      </w:r>
      <w:r>
        <w:rPr>
          <w:sz w:val="20"/>
        </w:rPr>
        <w:t>a</w:t>
      </w:r>
      <w:r>
        <w:rPr>
          <w:spacing w:val="-14"/>
          <w:sz w:val="20"/>
        </w:rPr>
        <w:t xml:space="preserve"> </w:t>
      </w:r>
      <w:r>
        <w:rPr>
          <w:sz w:val="20"/>
        </w:rPr>
        <w:t>solid</w:t>
      </w:r>
      <w:r>
        <w:rPr>
          <w:spacing w:val="-14"/>
          <w:sz w:val="20"/>
        </w:rPr>
        <w:t xml:space="preserve"> </w:t>
      </w:r>
      <w:r>
        <w:rPr>
          <w:sz w:val="20"/>
        </w:rPr>
        <w:t>pipeline</w:t>
      </w:r>
      <w:r>
        <w:rPr>
          <w:spacing w:val="-14"/>
          <w:sz w:val="20"/>
        </w:rPr>
        <w:t xml:space="preserve"> </w:t>
      </w:r>
      <w:r>
        <w:rPr>
          <w:sz w:val="20"/>
        </w:rPr>
        <w:t>of</w:t>
      </w:r>
      <w:r>
        <w:rPr>
          <w:spacing w:val="-14"/>
          <w:sz w:val="20"/>
        </w:rPr>
        <w:t xml:space="preserve"> </w:t>
      </w:r>
      <w:r>
        <w:rPr>
          <w:sz w:val="20"/>
        </w:rPr>
        <w:t>projects</w:t>
      </w:r>
      <w:r>
        <w:rPr>
          <w:spacing w:val="-14"/>
          <w:sz w:val="20"/>
        </w:rPr>
        <w:t xml:space="preserve"> </w:t>
      </w:r>
      <w:r>
        <w:rPr>
          <w:sz w:val="20"/>
        </w:rPr>
        <w:t>is</w:t>
      </w:r>
      <w:r>
        <w:rPr>
          <w:spacing w:val="-14"/>
          <w:sz w:val="20"/>
        </w:rPr>
        <w:t xml:space="preserve"> </w:t>
      </w:r>
      <w:r>
        <w:rPr>
          <w:sz w:val="20"/>
        </w:rPr>
        <w:t>important for</w:t>
      </w:r>
      <w:r>
        <w:rPr>
          <w:spacing w:val="-14"/>
          <w:sz w:val="20"/>
        </w:rPr>
        <w:t xml:space="preserve"> </w:t>
      </w:r>
      <w:r>
        <w:rPr>
          <w:sz w:val="20"/>
        </w:rPr>
        <w:t>future</w:t>
      </w:r>
      <w:r>
        <w:rPr>
          <w:spacing w:val="-14"/>
          <w:sz w:val="20"/>
        </w:rPr>
        <w:t xml:space="preserve"> </w:t>
      </w:r>
      <w:r>
        <w:rPr>
          <w:sz w:val="20"/>
        </w:rPr>
        <w:t>success</w:t>
      </w:r>
      <w:r>
        <w:rPr>
          <w:spacing w:val="-14"/>
          <w:sz w:val="20"/>
        </w:rPr>
        <w:t xml:space="preserve"> </w:t>
      </w:r>
      <w:r>
        <w:rPr>
          <w:sz w:val="20"/>
        </w:rPr>
        <w:t>as</w:t>
      </w:r>
      <w:r>
        <w:rPr>
          <w:spacing w:val="-14"/>
          <w:sz w:val="20"/>
        </w:rPr>
        <w:t xml:space="preserve"> </w:t>
      </w:r>
      <w:r>
        <w:rPr>
          <w:sz w:val="20"/>
        </w:rPr>
        <w:t>it</w:t>
      </w:r>
      <w:r>
        <w:rPr>
          <w:spacing w:val="-13"/>
          <w:sz w:val="20"/>
        </w:rPr>
        <w:t xml:space="preserve"> </w:t>
      </w:r>
      <w:r>
        <w:rPr>
          <w:sz w:val="20"/>
        </w:rPr>
        <w:t>enables</w:t>
      </w:r>
      <w:r>
        <w:rPr>
          <w:spacing w:val="-14"/>
          <w:sz w:val="20"/>
        </w:rPr>
        <w:t xml:space="preserve"> </w:t>
      </w:r>
      <w:r>
        <w:rPr>
          <w:sz w:val="20"/>
        </w:rPr>
        <w:t>meaningful</w:t>
      </w:r>
      <w:r>
        <w:rPr>
          <w:spacing w:val="-14"/>
          <w:sz w:val="20"/>
        </w:rPr>
        <w:t xml:space="preserve"> </w:t>
      </w:r>
      <w:r>
        <w:rPr>
          <w:sz w:val="20"/>
        </w:rPr>
        <w:t>private sector</w:t>
      </w:r>
      <w:r>
        <w:rPr>
          <w:spacing w:val="-11"/>
          <w:sz w:val="20"/>
        </w:rPr>
        <w:t xml:space="preserve"> </w:t>
      </w:r>
      <w:r>
        <w:rPr>
          <w:sz w:val="20"/>
        </w:rPr>
        <w:t>involvement.</w:t>
      </w:r>
    </w:p>
    <w:p w:rsidR="002C1123" w:rsidRDefault="00F22F94">
      <w:pPr>
        <w:pStyle w:val="BodyText"/>
        <w:spacing w:before="143" w:line="249" w:lineRule="auto"/>
        <w:ind w:left="222" w:hanging="4"/>
      </w:pPr>
      <w:r>
        <w:rPr>
          <w:w w:val="95"/>
        </w:rPr>
        <w:t>Investment</w:t>
      </w:r>
      <w:r>
        <w:rPr>
          <w:spacing w:val="-4"/>
          <w:w w:val="95"/>
        </w:rPr>
        <w:t xml:space="preserve"> </w:t>
      </w:r>
      <w:r>
        <w:rPr>
          <w:w w:val="95"/>
        </w:rPr>
        <w:t>in</w:t>
      </w:r>
      <w:r>
        <w:rPr>
          <w:spacing w:val="-4"/>
          <w:w w:val="95"/>
        </w:rPr>
        <w:t xml:space="preserve"> </w:t>
      </w:r>
      <w:r>
        <w:rPr>
          <w:w w:val="95"/>
        </w:rPr>
        <w:t>infrastructure</w:t>
      </w:r>
      <w:r>
        <w:rPr>
          <w:spacing w:val="-4"/>
          <w:w w:val="95"/>
        </w:rPr>
        <w:t xml:space="preserve"> </w:t>
      </w:r>
      <w:r>
        <w:rPr>
          <w:w w:val="95"/>
        </w:rPr>
        <w:t>should</w:t>
      </w:r>
      <w:r>
        <w:rPr>
          <w:spacing w:val="-4"/>
          <w:w w:val="95"/>
        </w:rPr>
        <w:t xml:space="preserve"> </w:t>
      </w:r>
      <w:r>
        <w:rPr>
          <w:w w:val="95"/>
        </w:rPr>
        <w:t>be</w:t>
      </w:r>
      <w:r>
        <w:rPr>
          <w:spacing w:val="-4"/>
          <w:w w:val="95"/>
        </w:rPr>
        <w:t xml:space="preserve"> </w:t>
      </w:r>
      <w:r>
        <w:rPr>
          <w:w w:val="95"/>
        </w:rPr>
        <w:t>made</w:t>
      </w:r>
      <w:r>
        <w:rPr>
          <w:spacing w:val="-4"/>
          <w:w w:val="95"/>
        </w:rPr>
        <w:t xml:space="preserve"> </w:t>
      </w:r>
      <w:r>
        <w:rPr>
          <w:w w:val="95"/>
        </w:rPr>
        <w:t>when</w:t>
      </w:r>
      <w:r>
        <w:rPr>
          <w:spacing w:val="-4"/>
          <w:w w:val="95"/>
        </w:rPr>
        <w:t xml:space="preserve"> </w:t>
      </w:r>
      <w:r>
        <w:rPr>
          <w:w w:val="95"/>
        </w:rPr>
        <w:t>it</w:t>
      </w:r>
      <w:r>
        <w:rPr>
          <w:spacing w:val="-4"/>
          <w:w w:val="95"/>
        </w:rPr>
        <w:t xml:space="preserve"> </w:t>
      </w:r>
      <w:r>
        <w:rPr>
          <w:w w:val="95"/>
        </w:rPr>
        <w:t xml:space="preserve">can </w:t>
      </w:r>
      <w:r>
        <w:t>be shown to:</w:t>
      </w:r>
    </w:p>
    <w:p w:rsidR="002C1123" w:rsidRDefault="00F22F94">
      <w:pPr>
        <w:pStyle w:val="ListParagraph"/>
        <w:numPr>
          <w:ilvl w:val="0"/>
          <w:numId w:val="158"/>
        </w:numPr>
        <w:tabs>
          <w:tab w:val="left" w:pos="503"/>
          <w:tab w:val="left" w:pos="504"/>
        </w:tabs>
        <w:spacing w:before="131"/>
        <w:ind w:left="503" w:hanging="313"/>
        <w:rPr>
          <w:sz w:val="20"/>
        </w:rPr>
      </w:pPr>
      <w:r>
        <w:rPr>
          <w:w w:val="95"/>
          <w:sz w:val="20"/>
        </w:rPr>
        <w:t>support</w:t>
      </w:r>
      <w:r>
        <w:rPr>
          <w:spacing w:val="1"/>
          <w:sz w:val="20"/>
        </w:rPr>
        <w:t xml:space="preserve"> </w:t>
      </w:r>
      <w:r>
        <w:rPr>
          <w:w w:val="95"/>
          <w:sz w:val="20"/>
        </w:rPr>
        <w:t>economic</w:t>
      </w:r>
      <w:r>
        <w:rPr>
          <w:spacing w:val="2"/>
          <w:sz w:val="20"/>
        </w:rPr>
        <w:t xml:space="preserve"> </w:t>
      </w:r>
      <w:r>
        <w:rPr>
          <w:w w:val="95"/>
          <w:sz w:val="20"/>
        </w:rPr>
        <w:t>activity</w:t>
      </w:r>
      <w:r>
        <w:rPr>
          <w:spacing w:val="2"/>
          <w:sz w:val="20"/>
        </w:rPr>
        <w:t xml:space="preserve"> </w:t>
      </w:r>
      <w:r>
        <w:rPr>
          <w:w w:val="95"/>
          <w:sz w:val="20"/>
        </w:rPr>
        <w:t>and</w:t>
      </w:r>
      <w:r>
        <w:rPr>
          <w:spacing w:val="1"/>
          <w:sz w:val="20"/>
        </w:rPr>
        <w:t xml:space="preserve"> </w:t>
      </w:r>
      <w:r>
        <w:rPr>
          <w:w w:val="95"/>
          <w:sz w:val="20"/>
        </w:rPr>
        <w:t>improve</w:t>
      </w:r>
      <w:r>
        <w:rPr>
          <w:spacing w:val="2"/>
          <w:sz w:val="20"/>
        </w:rPr>
        <w:t xml:space="preserve"> </w:t>
      </w:r>
      <w:r>
        <w:rPr>
          <w:spacing w:val="-2"/>
          <w:w w:val="95"/>
          <w:sz w:val="20"/>
        </w:rPr>
        <w:t>amenity</w:t>
      </w:r>
    </w:p>
    <w:p w:rsidR="002C1123" w:rsidRDefault="00F22F94">
      <w:pPr>
        <w:pStyle w:val="ListParagraph"/>
        <w:numPr>
          <w:ilvl w:val="0"/>
          <w:numId w:val="158"/>
        </w:numPr>
        <w:tabs>
          <w:tab w:val="left" w:pos="503"/>
          <w:tab w:val="left" w:pos="504"/>
        </w:tabs>
        <w:spacing w:before="139"/>
        <w:ind w:left="503"/>
        <w:rPr>
          <w:sz w:val="20"/>
        </w:rPr>
      </w:pPr>
      <w:r>
        <w:rPr>
          <w:w w:val="90"/>
          <w:sz w:val="20"/>
        </w:rPr>
        <w:t>enable</w:t>
      </w:r>
      <w:r>
        <w:rPr>
          <w:spacing w:val="-2"/>
          <w:sz w:val="20"/>
        </w:rPr>
        <w:t xml:space="preserve"> </w:t>
      </w:r>
      <w:r>
        <w:rPr>
          <w:w w:val="90"/>
          <w:sz w:val="20"/>
        </w:rPr>
        <w:t>the</w:t>
      </w:r>
      <w:r>
        <w:rPr>
          <w:spacing w:val="-2"/>
          <w:sz w:val="20"/>
        </w:rPr>
        <w:t xml:space="preserve"> </w:t>
      </w:r>
      <w:r>
        <w:rPr>
          <w:w w:val="90"/>
          <w:sz w:val="20"/>
        </w:rPr>
        <w:t>movement</w:t>
      </w:r>
      <w:r>
        <w:rPr>
          <w:spacing w:val="-1"/>
          <w:sz w:val="20"/>
        </w:rPr>
        <w:t xml:space="preserve"> </w:t>
      </w:r>
      <w:r>
        <w:rPr>
          <w:w w:val="90"/>
          <w:sz w:val="20"/>
        </w:rPr>
        <w:t>of</w:t>
      </w:r>
      <w:r>
        <w:rPr>
          <w:spacing w:val="-2"/>
          <w:sz w:val="20"/>
        </w:rPr>
        <w:t xml:space="preserve"> </w:t>
      </w:r>
      <w:r>
        <w:rPr>
          <w:w w:val="90"/>
          <w:sz w:val="20"/>
        </w:rPr>
        <w:t>people,</w:t>
      </w:r>
      <w:r>
        <w:rPr>
          <w:spacing w:val="-2"/>
          <w:sz w:val="20"/>
        </w:rPr>
        <w:t xml:space="preserve"> </w:t>
      </w:r>
      <w:r>
        <w:rPr>
          <w:w w:val="90"/>
          <w:sz w:val="20"/>
        </w:rPr>
        <w:t>goods</w:t>
      </w:r>
      <w:r>
        <w:rPr>
          <w:spacing w:val="-1"/>
          <w:sz w:val="20"/>
        </w:rPr>
        <w:t xml:space="preserve"> </w:t>
      </w:r>
      <w:r>
        <w:rPr>
          <w:w w:val="90"/>
          <w:sz w:val="20"/>
        </w:rPr>
        <w:t>and</w:t>
      </w:r>
      <w:r>
        <w:rPr>
          <w:spacing w:val="-2"/>
          <w:sz w:val="20"/>
        </w:rPr>
        <w:t xml:space="preserve"> </w:t>
      </w:r>
      <w:r>
        <w:rPr>
          <w:spacing w:val="-2"/>
          <w:w w:val="90"/>
          <w:sz w:val="20"/>
        </w:rPr>
        <w:t>information</w:t>
      </w:r>
    </w:p>
    <w:p w:rsidR="002C1123" w:rsidRDefault="00F22F94">
      <w:pPr>
        <w:pStyle w:val="ListParagraph"/>
        <w:numPr>
          <w:ilvl w:val="0"/>
          <w:numId w:val="158"/>
        </w:numPr>
        <w:tabs>
          <w:tab w:val="left" w:pos="504"/>
          <w:tab w:val="left" w:pos="505"/>
        </w:tabs>
        <w:spacing w:before="139"/>
        <w:ind w:left="504" w:hanging="314"/>
        <w:rPr>
          <w:sz w:val="20"/>
        </w:rPr>
      </w:pPr>
      <w:r>
        <w:rPr>
          <w:w w:val="95"/>
          <w:sz w:val="20"/>
        </w:rPr>
        <w:t>service</w:t>
      </w:r>
      <w:r>
        <w:rPr>
          <w:spacing w:val="-7"/>
          <w:w w:val="95"/>
          <w:sz w:val="20"/>
        </w:rPr>
        <w:t xml:space="preserve"> </w:t>
      </w:r>
      <w:r>
        <w:rPr>
          <w:w w:val="95"/>
          <w:sz w:val="20"/>
        </w:rPr>
        <w:t>the</w:t>
      </w:r>
      <w:r>
        <w:rPr>
          <w:spacing w:val="-6"/>
          <w:w w:val="95"/>
          <w:sz w:val="20"/>
        </w:rPr>
        <w:t xml:space="preserve"> </w:t>
      </w:r>
      <w:r>
        <w:rPr>
          <w:w w:val="95"/>
          <w:sz w:val="20"/>
        </w:rPr>
        <w:t>needs</w:t>
      </w:r>
      <w:r>
        <w:rPr>
          <w:spacing w:val="-6"/>
          <w:w w:val="95"/>
          <w:sz w:val="20"/>
        </w:rPr>
        <w:t xml:space="preserve"> </w:t>
      </w:r>
      <w:r>
        <w:rPr>
          <w:w w:val="95"/>
          <w:sz w:val="20"/>
        </w:rPr>
        <w:t>of</w:t>
      </w:r>
      <w:r>
        <w:rPr>
          <w:spacing w:val="-6"/>
          <w:w w:val="95"/>
          <w:sz w:val="20"/>
        </w:rPr>
        <w:t xml:space="preserve"> </w:t>
      </w:r>
      <w:r>
        <w:rPr>
          <w:spacing w:val="-2"/>
          <w:w w:val="95"/>
          <w:sz w:val="20"/>
        </w:rPr>
        <w:t>households</w:t>
      </w:r>
    </w:p>
    <w:p w:rsidR="002C1123" w:rsidRDefault="00F22F94">
      <w:pPr>
        <w:pStyle w:val="ListParagraph"/>
        <w:numPr>
          <w:ilvl w:val="0"/>
          <w:numId w:val="158"/>
        </w:numPr>
        <w:tabs>
          <w:tab w:val="left" w:pos="504"/>
          <w:tab w:val="left" w:pos="505"/>
        </w:tabs>
        <w:spacing w:before="139" w:line="249" w:lineRule="auto"/>
        <w:ind w:left="500" w:right="81" w:hanging="309"/>
        <w:rPr>
          <w:sz w:val="20"/>
        </w:rPr>
      </w:pPr>
      <w:r>
        <w:rPr>
          <w:w w:val="95"/>
          <w:sz w:val="20"/>
        </w:rPr>
        <w:t>support</w:t>
      </w:r>
      <w:r>
        <w:rPr>
          <w:spacing w:val="-8"/>
          <w:w w:val="95"/>
          <w:sz w:val="20"/>
        </w:rPr>
        <w:t xml:space="preserve"> </w:t>
      </w:r>
      <w:r>
        <w:rPr>
          <w:w w:val="95"/>
          <w:sz w:val="20"/>
        </w:rPr>
        <w:t>the</w:t>
      </w:r>
      <w:r>
        <w:rPr>
          <w:spacing w:val="-8"/>
          <w:w w:val="95"/>
          <w:sz w:val="20"/>
        </w:rPr>
        <w:t xml:space="preserve"> </w:t>
      </w:r>
      <w:r>
        <w:rPr>
          <w:w w:val="95"/>
          <w:sz w:val="20"/>
        </w:rPr>
        <w:t>quality</w:t>
      </w:r>
      <w:r>
        <w:rPr>
          <w:spacing w:val="-8"/>
          <w:w w:val="95"/>
          <w:sz w:val="20"/>
        </w:rPr>
        <w:t xml:space="preserve"> </w:t>
      </w:r>
      <w:r>
        <w:rPr>
          <w:w w:val="95"/>
          <w:sz w:val="20"/>
        </w:rPr>
        <w:t>of</w:t>
      </w:r>
      <w:r>
        <w:rPr>
          <w:spacing w:val="-8"/>
          <w:w w:val="95"/>
          <w:sz w:val="20"/>
        </w:rPr>
        <w:t xml:space="preserve"> </w:t>
      </w:r>
      <w:r>
        <w:rPr>
          <w:w w:val="95"/>
          <w:sz w:val="20"/>
        </w:rPr>
        <w:t>life</w:t>
      </w:r>
      <w:r>
        <w:rPr>
          <w:spacing w:val="-8"/>
          <w:w w:val="95"/>
          <w:sz w:val="20"/>
        </w:rPr>
        <w:t xml:space="preserve"> </w:t>
      </w:r>
      <w:r>
        <w:rPr>
          <w:w w:val="95"/>
          <w:sz w:val="20"/>
        </w:rPr>
        <w:t>of</w:t>
      </w:r>
      <w:r>
        <w:rPr>
          <w:spacing w:val="-8"/>
          <w:w w:val="95"/>
          <w:sz w:val="20"/>
        </w:rPr>
        <w:t xml:space="preserve"> </w:t>
      </w:r>
      <w:r>
        <w:rPr>
          <w:w w:val="95"/>
          <w:sz w:val="20"/>
        </w:rPr>
        <w:t>individuals</w:t>
      </w:r>
      <w:r>
        <w:rPr>
          <w:spacing w:val="-8"/>
          <w:w w:val="95"/>
          <w:sz w:val="20"/>
        </w:rPr>
        <w:t xml:space="preserve"> </w:t>
      </w:r>
      <w:r>
        <w:rPr>
          <w:w w:val="95"/>
          <w:sz w:val="20"/>
        </w:rPr>
        <w:t>and</w:t>
      </w:r>
      <w:r>
        <w:rPr>
          <w:spacing w:val="-8"/>
          <w:w w:val="95"/>
          <w:sz w:val="20"/>
        </w:rPr>
        <w:t xml:space="preserve"> </w:t>
      </w:r>
      <w:r>
        <w:rPr>
          <w:w w:val="95"/>
          <w:sz w:val="20"/>
        </w:rPr>
        <w:t xml:space="preserve">resilience </w:t>
      </w:r>
      <w:r>
        <w:rPr>
          <w:sz w:val="20"/>
        </w:rPr>
        <w:t>of</w:t>
      </w:r>
      <w:r>
        <w:rPr>
          <w:spacing w:val="-11"/>
          <w:sz w:val="20"/>
        </w:rPr>
        <w:t xml:space="preserve"> </w:t>
      </w:r>
      <w:r>
        <w:rPr>
          <w:sz w:val="20"/>
        </w:rPr>
        <w:t>communities</w:t>
      </w:r>
    </w:p>
    <w:p w:rsidR="002C1123" w:rsidRDefault="00F22F94">
      <w:pPr>
        <w:pStyle w:val="ListParagraph"/>
        <w:numPr>
          <w:ilvl w:val="0"/>
          <w:numId w:val="158"/>
        </w:numPr>
        <w:tabs>
          <w:tab w:val="left" w:pos="500"/>
          <w:tab w:val="left" w:pos="501"/>
        </w:tabs>
        <w:spacing w:before="131" w:line="249" w:lineRule="auto"/>
        <w:ind w:left="503" w:right="285"/>
        <w:rPr>
          <w:sz w:val="20"/>
        </w:rPr>
      </w:pPr>
      <w:r>
        <w:rPr>
          <w:w w:val="95"/>
          <w:sz w:val="20"/>
        </w:rPr>
        <w:t xml:space="preserve">connect individuals, businesses and communities </w:t>
      </w:r>
      <w:r>
        <w:rPr>
          <w:sz w:val="20"/>
        </w:rPr>
        <w:t>with</w:t>
      </w:r>
      <w:r>
        <w:rPr>
          <w:spacing w:val="-5"/>
          <w:sz w:val="20"/>
        </w:rPr>
        <w:t xml:space="preserve"> </w:t>
      </w:r>
      <w:r>
        <w:rPr>
          <w:sz w:val="20"/>
        </w:rPr>
        <w:t>each</w:t>
      </w:r>
      <w:r>
        <w:rPr>
          <w:spacing w:val="-5"/>
          <w:sz w:val="20"/>
        </w:rPr>
        <w:t xml:space="preserve"> </w:t>
      </w:r>
      <w:r>
        <w:rPr>
          <w:sz w:val="20"/>
        </w:rPr>
        <w:t>other</w:t>
      </w:r>
      <w:r>
        <w:rPr>
          <w:spacing w:val="-5"/>
          <w:sz w:val="20"/>
        </w:rPr>
        <w:t xml:space="preserve"> </w:t>
      </w:r>
      <w:r>
        <w:rPr>
          <w:sz w:val="20"/>
        </w:rPr>
        <w:t>and</w:t>
      </w:r>
      <w:r>
        <w:rPr>
          <w:spacing w:val="-5"/>
          <w:sz w:val="20"/>
        </w:rPr>
        <w:t xml:space="preserve"> </w:t>
      </w:r>
      <w:r>
        <w:rPr>
          <w:sz w:val="20"/>
        </w:rPr>
        <w:t>the</w:t>
      </w:r>
      <w:r>
        <w:rPr>
          <w:spacing w:val="-5"/>
          <w:sz w:val="20"/>
        </w:rPr>
        <w:t xml:space="preserve"> </w:t>
      </w:r>
      <w:r>
        <w:rPr>
          <w:sz w:val="20"/>
        </w:rPr>
        <w:t>rest</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world.</w:t>
      </w:r>
    </w:p>
    <w:p w:rsidR="002C1123" w:rsidRDefault="002C1123">
      <w:pPr>
        <w:pStyle w:val="BodyText"/>
        <w:spacing w:before="5"/>
        <w:rPr>
          <w:sz w:val="23"/>
        </w:rPr>
      </w:pPr>
    </w:p>
    <w:p w:rsidR="002C1123" w:rsidRDefault="00F22F94">
      <w:pPr>
        <w:pStyle w:val="Heading5"/>
        <w:numPr>
          <w:ilvl w:val="1"/>
          <w:numId w:val="172"/>
        </w:numPr>
        <w:tabs>
          <w:tab w:val="left" w:pos="636"/>
        </w:tabs>
        <w:spacing w:before="0"/>
        <w:ind w:left="635" w:hanging="450"/>
        <w:jc w:val="left"/>
        <w:rPr>
          <w:color w:val="EC008C"/>
        </w:rPr>
      </w:pPr>
      <w:r>
        <w:rPr>
          <w:color w:val="EC008C"/>
          <w:spacing w:val="-6"/>
        </w:rPr>
        <w:t>The</w:t>
      </w:r>
      <w:r>
        <w:rPr>
          <w:color w:val="EC008C"/>
          <w:spacing w:val="-12"/>
        </w:rPr>
        <w:t xml:space="preserve"> </w:t>
      </w:r>
      <w:r>
        <w:rPr>
          <w:color w:val="EC008C"/>
          <w:spacing w:val="-6"/>
        </w:rPr>
        <w:t>Strategy’s</w:t>
      </w:r>
      <w:r>
        <w:rPr>
          <w:color w:val="EC008C"/>
          <w:spacing w:val="-11"/>
        </w:rPr>
        <w:t xml:space="preserve"> </w:t>
      </w:r>
      <w:r>
        <w:rPr>
          <w:color w:val="EC008C"/>
          <w:spacing w:val="-6"/>
        </w:rPr>
        <w:t>regions</w:t>
      </w:r>
    </w:p>
    <w:p w:rsidR="002C1123" w:rsidRDefault="00F22F94">
      <w:pPr>
        <w:pStyle w:val="BodyText"/>
        <w:spacing w:before="135" w:line="249" w:lineRule="auto"/>
        <w:ind w:left="220" w:right="8" w:hanging="1"/>
      </w:pPr>
      <w:r>
        <w:rPr>
          <w:w w:val="95"/>
        </w:rPr>
        <w:t>Infrastructure</w:t>
      </w:r>
      <w:r>
        <w:rPr>
          <w:spacing w:val="-9"/>
          <w:w w:val="95"/>
        </w:rPr>
        <w:t xml:space="preserve"> </w:t>
      </w:r>
      <w:r>
        <w:rPr>
          <w:w w:val="95"/>
        </w:rPr>
        <w:t>NSW</w:t>
      </w:r>
      <w:r>
        <w:rPr>
          <w:spacing w:val="-9"/>
          <w:w w:val="95"/>
        </w:rPr>
        <w:t xml:space="preserve"> </w:t>
      </w:r>
      <w:r>
        <w:rPr>
          <w:w w:val="95"/>
        </w:rPr>
        <w:t>has</w:t>
      </w:r>
      <w:r>
        <w:rPr>
          <w:spacing w:val="-9"/>
          <w:w w:val="95"/>
        </w:rPr>
        <w:t xml:space="preserve"> </w:t>
      </w:r>
      <w:r>
        <w:rPr>
          <w:w w:val="95"/>
        </w:rPr>
        <w:t>divided</w:t>
      </w:r>
      <w:r>
        <w:rPr>
          <w:spacing w:val="-9"/>
          <w:w w:val="95"/>
        </w:rPr>
        <w:t xml:space="preserve"> </w:t>
      </w:r>
      <w:r>
        <w:rPr>
          <w:w w:val="95"/>
        </w:rPr>
        <w:t>NSW</w:t>
      </w:r>
      <w:r>
        <w:rPr>
          <w:spacing w:val="-9"/>
          <w:w w:val="95"/>
        </w:rPr>
        <w:t xml:space="preserve"> </w:t>
      </w:r>
      <w:r>
        <w:rPr>
          <w:w w:val="95"/>
        </w:rPr>
        <w:t>into</w:t>
      </w:r>
      <w:r>
        <w:rPr>
          <w:spacing w:val="-9"/>
          <w:w w:val="95"/>
        </w:rPr>
        <w:t xml:space="preserve"> </w:t>
      </w:r>
      <w:r>
        <w:rPr>
          <w:w w:val="95"/>
        </w:rPr>
        <w:t>three</w:t>
      </w:r>
      <w:r>
        <w:rPr>
          <w:spacing w:val="-9"/>
          <w:w w:val="95"/>
        </w:rPr>
        <w:t xml:space="preserve"> </w:t>
      </w:r>
      <w:r>
        <w:rPr>
          <w:w w:val="95"/>
        </w:rPr>
        <w:t xml:space="preserve">regions </w:t>
      </w:r>
      <w:r>
        <w:rPr>
          <w:spacing w:val="-2"/>
        </w:rPr>
        <w:t>as</w:t>
      </w:r>
      <w:r>
        <w:rPr>
          <w:spacing w:val="-9"/>
        </w:rPr>
        <w:t xml:space="preserve"> </w:t>
      </w:r>
      <w:r>
        <w:rPr>
          <w:spacing w:val="-2"/>
        </w:rPr>
        <w:t>shown</w:t>
      </w:r>
      <w:r>
        <w:rPr>
          <w:spacing w:val="-9"/>
        </w:rPr>
        <w:t xml:space="preserve"> </w:t>
      </w:r>
      <w:r>
        <w:rPr>
          <w:spacing w:val="-2"/>
        </w:rPr>
        <w:t>in</w:t>
      </w:r>
      <w:r>
        <w:rPr>
          <w:spacing w:val="-9"/>
        </w:rPr>
        <w:t xml:space="preserve"> </w:t>
      </w:r>
      <w:r>
        <w:rPr>
          <w:spacing w:val="-2"/>
        </w:rPr>
        <w:t>Figure</w:t>
      </w:r>
      <w:r>
        <w:rPr>
          <w:spacing w:val="-9"/>
        </w:rPr>
        <w:t xml:space="preserve"> </w:t>
      </w:r>
      <w:r>
        <w:rPr>
          <w:spacing w:val="-2"/>
        </w:rPr>
        <w:t>1.5.</w:t>
      </w:r>
      <w:r>
        <w:rPr>
          <w:spacing w:val="-9"/>
        </w:rPr>
        <w:t xml:space="preserve"> </w:t>
      </w:r>
      <w:r>
        <w:rPr>
          <w:spacing w:val="-2"/>
        </w:rPr>
        <w:t>The</w:t>
      </w:r>
      <w:r>
        <w:rPr>
          <w:spacing w:val="-9"/>
        </w:rPr>
        <w:t xml:space="preserve"> </w:t>
      </w:r>
      <w:r>
        <w:rPr>
          <w:spacing w:val="-2"/>
        </w:rPr>
        <w:t>Strategy</w:t>
      </w:r>
      <w:r>
        <w:rPr>
          <w:spacing w:val="-9"/>
        </w:rPr>
        <w:t xml:space="preserve"> </w:t>
      </w:r>
      <w:r>
        <w:rPr>
          <w:spacing w:val="-2"/>
        </w:rPr>
        <w:t>examines</w:t>
      </w:r>
      <w:r>
        <w:rPr>
          <w:spacing w:val="-9"/>
        </w:rPr>
        <w:t xml:space="preserve"> </w:t>
      </w:r>
      <w:r>
        <w:rPr>
          <w:spacing w:val="-2"/>
        </w:rPr>
        <w:t>each</w:t>
      </w:r>
    </w:p>
    <w:p w:rsidR="002C1123" w:rsidRDefault="00F22F94">
      <w:pPr>
        <w:pStyle w:val="BodyText"/>
        <w:spacing w:before="1" w:line="249" w:lineRule="auto"/>
        <w:ind w:left="220" w:right="8" w:hanging="4"/>
      </w:pPr>
      <w:r>
        <w:rPr>
          <w:w w:val="95"/>
        </w:rPr>
        <w:t>of</w:t>
      </w:r>
      <w:r>
        <w:rPr>
          <w:spacing w:val="-12"/>
          <w:w w:val="95"/>
        </w:rPr>
        <w:t xml:space="preserve"> </w:t>
      </w:r>
      <w:r>
        <w:rPr>
          <w:w w:val="95"/>
        </w:rPr>
        <w:t>Regional</w:t>
      </w:r>
      <w:r>
        <w:rPr>
          <w:spacing w:val="-11"/>
          <w:w w:val="95"/>
        </w:rPr>
        <w:t xml:space="preserve"> </w:t>
      </w:r>
      <w:r>
        <w:rPr>
          <w:w w:val="95"/>
        </w:rPr>
        <w:t>NSW,</w:t>
      </w:r>
      <w:r>
        <w:rPr>
          <w:spacing w:val="-11"/>
          <w:w w:val="95"/>
        </w:rPr>
        <w:t xml:space="preserve"> </w:t>
      </w:r>
      <w:r>
        <w:rPr>
          <w:w w:val="95"/>
        </w:rPr>
        <w:t>Greater</w:t>
      </w:r>
      <w:r>
        <w:rPr>
          <w:spacing w:val="-11"/>
          <w:w w:val="95"/>
        </w:rPr>
        <w:t xml:space="preserve"> </w:t>
      </w:r>
      <w:r>
        <w:rPr>
          <w:w w:val="95"/>
        </w:rPr>
        <w:t>Sydney</w:t>
      </w:r>
      <w:r>
        <w:rPr>
          <w:spacing w:val="-11"/>
          <w:w w:val="95"/>
        </w:rPr>
        <w:t xml:space="preserve"> </w:t>
      </w:r>
      <w:r>
        <w:rPr>
          <w:w w:val="95"/>
        </w:rPr>
        <w:t>and</w:t>
      </w:r>
      <w:r>
        <w:rPr>
          <w:spacing w:val="-11"/>
          <w:w w:val="95"/>
        </w:rPr>
        <w:t xml:space="preserve"> </w:t>
      </w:r>
      <w:r>
        <w:rPr>
          <w:w w:val="95"/>
        </w:rPr>
        <w:t>Global</w:t>
      </w:r>
      <w:r>
        <w:rPr>
          <w:spacing w:val="-11"/>
          <w:w w:val="95"/>
        </w:rPr>
        <w:t xml:space="preserve"> </w:t>
      </w:r>
      <w:r>
        <w:rPr>
          <w:w w:val="95"/>
        </w:rPr>
        <w:t xml:space="preserve">Sydney </w:t>
      </w:r>
      <w:r>
        <w:rPr>
          <w:spacing w:val="-2"/>
        </w:rPr>
        <w:t>separately.</w:t>
      </w:r>
    </w:p>
    <w:p w:rsidR="002C1123" w:rsidRDefault="00F22F94">
      <w:pPr>
        <w:pStyle w:val="BodyText"/>
        <w:spacing w:before="106" w:line="249" w:lineRule="auto"/>
        <w:ind w:left="207" w:right="259" w:hanging="2"/>
      </w:pPr>
      <w:r>
        <w:br w:type="column"/>
      </w:r>
      <w:r>
        <w:t>Our</w:t>
      </w:r>
      <w:r>
        <w:rPr>
          <w:spacing w:val="-14"/>
        </w:rPr>
        <w:t xml:space="preserve"> </w:t>
      </w:r>
      <w:r>
        <w:t>analysis</w:t>
      </w:r>
      <w:r>
        <w:rPr>
          <w:spacing w:val="-14"/>
        </w:rPr>
        <w:t xml:space="preserve"> </w:t>
      </w:r>
      <w:r>
        <w:t>of</w:t>
      </w:r>
      <w:r>
        <w:rPr>
          <w:spacing w:val="-14"/>
        </w:rPr>
        <w:t xml:space="preserve"> </w:t>
      </w:r>
      <w:r>
        <w:t>the</w:t>
      </w:r>
      <w:r>
        <w:rPr>
          <w:spacing w:val="-14"/>
        </w:rPr>
        <w:t xml:space="preserve"> </w:t>
      </w:r>
      <w:r>
        <w:t>economy,</w:t>
      </w:r>
      <w:r>
        <w:rPr>
          <w:spacing w:val="-14"/>
        </w:rPr>
        <w:t xml:space="preserve"> </w:t>
      </w:r>
      <w:r>
        <w:t>(described</w:t>
      </w:r>
      <w:r>
        <w:rPr>
          <w:spacing w:val="-14"/>
        </w:rPr>
        <w:t xml:space="preserve"> </w:t>
      </w:r>
      <w:r>
        <w:t>in</w:t>
      </w:r>
      <w:r>
        <w:rPr>
          <w:spacing w:val="-14"/>
        </w:rPr>
        <w:t xml:space="preserve"> </w:t>
      </w:r>
      <w:r>
        <w:t>detail</w:t>
      </w:r>
      <w:r>
        <w:rPr>
          <w:spacing w:val="-14"/>
        </w:rPr>
        <w:t xml:space="preserve"> </w:t>
      </w:r>
      <w:r>
        <w:t>in Section</w:t>
      </w:r>
      <w:r>
        <w:rPr>
          <w:spacing w:val="-14"/>
        </w:rPr>
        <w:t xml:space="preserve"> </w:t>
      </w:r>
      <w:r>
        <w:t>2),</w:t>
      </w:r>
      <w:r>
        <w:rPr>
          <w:spacing w:val="-14"/>
        </w:rPr>
        <w:t xml:space="preserve"> </w:t>
      </w:r>
      <w:r>
        <w:t>shows</w:t>
      </w:r>
      <w:r>
        <w:rPr>
          <w:spacing w:val="-14"/>
        </w:rPr>
        <w:t xml:space="preserve"> </w:t>
      </w:r>
      <w:r>
        <w:t>that</w:t>
      </w:r>
      <w:r>
        <w:rPr>
          <w:spacing w:val="-14"/>
        </w:rPr>
        <w:t xml:space="preserve"> </w:t>
      </w:r>
      <w:r>
        <w:t>the</w:t>
      </w:r>
      <w:r>
        <w:rPr>
          <w:spacing w:val="-14"/>
        </w:rPr>
        <w:t xml:space="preserve"> </w:t>
      </w:r>
      <w:r>
        <w:t>situation</w:t>
      </w:r>
      <w:r>
        <w:rPr>
          <w:spacing w:val="-14"/>
        </w:rPr>
        <w:t xml:space="preserve"> </w:t>
      </w:r>
      <w:r>
        <w:t>and</w:t>
      </w:r>
      <w:r>
        <w:rPr>
          <w:spacing w:val="-14"/>
        </w:rPr>
        <w:t xml:space="preserve"> </w:t>
      </w:r>
      <w:r>
        <w:t xml:space="preserve">imperatives, </w:t>
      </w:r>
      <w:r>
        <w:rPr>
          <w:w w:val="95"/>
        </w:rPr>
        <w:t>and therefore the infrastructure needs, of regional and rural</w:t>
      </w:r>
      <w:r>
        <w:rPr>
          <w:spacing w:val="-12"/>
          <w:w w:val="95"/>
        </w:rPr>
        <w:t xml:space="preserve"> </w:t>
      </w:r>
      <w:r>
        <w:rPr>
          <w:w w:val="95"/>
        </w:rPr>
        <w:t>NSW,</w:t>
      </w:r>
      <w:r>
        <w:rPr>
          <w:spacing w:val="-11"/>
          <w:w w:val="95"/>
        </w:rPr>
        <w:t xml:space="preserve"> </w:t>
      </w:r>
      <w:r>
        <w:rPr>
          <w:w w:val="95"/>
        </w:rPr>
        <w:t>the</w:t>
      </w:r>
      <w:r>
        <w:rPr>
          <w:spacing w:val="-11"/>
          <w:w w:val="95"/>
        </w:rPr>
        <w:t xml:space="preserve"> </w:t>
      </w:r>
      <w:r>
        <w:rPr>
          <w:w w:val="95"/>
        </w:rPr>
        <w:t>Greater</w:t>
      </w:r>
      <w:r>
        <w:rPr>
          <w:spacing w:val="-11"/>
          <w:w w:val="95"/>
        </w:rPr>
        <w:t xml:space="preserve"> </w:t>
      </w:r>
      <w:r>
        <w:rPr>
          <w:w w:val="95"/>
        </w:rPr>
        <w:t>Sydney</w:t>
      </w:r>
      <w:r>
        <w:rPr>
          <w:spacing w:val="-11"/>
          <w:w w:val="95"/>
        </w:rPr>
        <w:t xml:space="preserve"> </w:t>
      </w:r>
      <w:r>
        <w:rPr>
          <w:w w:val="95"/>
        </w:rPr>
        <w:t>area</w:t>
      </w:r>
      <w:r>
        <w:rPr>
          <w:spacing w:val="-11"/>
          <w:w w:val="95"/>
        </w:rPr>
        <w:t xml:space="preserve"> </w:t>
      </w:r>
      <w:r>
        <w:rPr>
          <w:w w:val="95"/>
        </w:rPr>
        <w:t>and</w:t>
      </w:r>
      <w:r>
        <w:rPr>
          <w:spacing w:val="-11"/>
          <w:w w:val="95"/>
        </w:rPr>
        <w:t xml:space="preserve"> </w:t>
      </w:r>
      <w:r>
        <w:rPr>
          <w:w w:val="95"/>
        </w:rPr>
        <w:t>Global</w:t>
      </w:r>
      <w:r>
        <w:rPr>
          <w:spacing w:val="-11"/>
          <w:w w:val="95"/>
        </w:rPr>
        <w:t xml:space="preserve"> </w:t>
      </w:r>
      <w:r>
        <w:rPr>
          <w:w w:val="95"/>
        </w:rPr>
        <w:t xml:space="preserve">Sydney </w:t>
      </w:r>
      <w:r>
        <w:t>are</w:t>
      </w:r>
      <w:r>
        <w:rPr>
          <w:spacing w:val="-11"/>
        </w:rPr>
        <w:t xml:space="preserve"> </w:t>
      </w:r>
      <w:r>
        <w:t>different.</w:t>
      </w:r>
    </w:p>
    <w:p w:rsidR="002C1123" w:rsidRDefault="002C1123">
      <w:pPr>
        <w:pStyle w:val="BodyText"/>
        <w:spacing w:before="7"/>
        <w:rPr>
          <w:sz w:val="19"/>
        </w:rPr>
      </w:pPr>
    </w:p>
    <w:p w:rsidR="002C1123" w:rsidRDefault="00F22F94">
      <w:pPr>
        <w:spacing w:line="249" w:lineRule="auto"/>
        <w:ind w:left="1023" w:right="1033" w:hanging="815"/>
        <w:rPr>
          <w:b/>
          <w:sz w:val="18"/>
        </w:rPr>
      </w:pPr>
      <w:r>
        <w:rPr>
          <w:b/>
          <w:sz w:val="18"/>
        </w:rPr>
        <w:t>Table</w:t>
      </w:r>
      <w:r>
        <w:rPr>
          <w:b/>
          <w:spacing w:val="-19"/>
          <w:sz w:val="18"/>
        </w:rPr>
        <w:t xml:space="preserve"> </w:t>
      </w:r>
      <w:r>
        <w:rPr>
          <w:b/>
          <w:sz w:val="18"/>
        </w:rPr>
        <w:t>1.4</w:t>
      </w:r>
      <w:r>
        <w:rPr>
          <w:b/>
          <w:spacing w:val="-9"/>
          <w:sz w:val="18"/>
        </w:rPr>
        <w:t xml:space="preserve"> </w:t>
      </w:r>
      <w:r>
        <w:rPr>
          <w:b/>
          <w:sz w:val="18"/>
        </w:rPr>
        <w:t>The</w:t>
      </w:r>
      <w:r>
        <w:rPr>
          <w:b/>
          <w:spacing w:val="-19"/>
          <w:sz w:val="18"/>
        </w:rPr>
        <w:t xml:space="preserve"> </w:t>
      </w:r>
      <w:r>
        <w:rPr>
          <w:b/>
          <w:sz w:val="18"/>
        </w:rPr>
        <w:t>Strategy’s</w:t>
      </w:r>
      <w:r>
        <w:rPr>
          <w:b/>
          <w:spacing w:val="-19"/>
          <w:sz w:val="18"/>
        </w:rPr>
        <w:t xml:space="preserve"> </w:t>
      </w:r>
      <w:r>
        <w:rPr>
          <w:b/>
          <w:sz w:val="18"/>
        </w:rPr>
        <w:t>Regions</w:t>
      </w:r>
      <w:r>
        <w:rPr>
          <w:b/>
          <w:spacing w:val="-19"/>
          <w:sz w:val="18"/>
        </w:rPr>
        <w:t xml:space="preserve"> </w:t>
      </w:r>
      <w:r>
        <w:rPr>
          <w:b/>
          <w:sz w:val="18"/>
        </w:rPr>
        <w:t>–</w:t>
      </w:r>
      <w:r>
        <w:rPr>
          <w:b/>
          <w:spacing w:val="-19"/>
          <w:sz w:val="18"/>
        </w:rPr>
        <w:t xml:space="preserve"> </w:t>
      </w:r>
      <w:r>
        <w:rPr>
          <w:b/>
          <w:sz w:val="18"/>
        </w:rPr>
        <w:t>Key</w:t>
      </w:r>
      <w:r>
        <w:rPr>
          <w:b/>
          <w:spacing w:val="-19"/>
          <w:sz w:val="18"/>
        </w:rPr>
        <w:t xml:space="preserve"> </w:t>
      </w:r>
      <w:r>
        <w:rPr>
          <w:b/>
          <w:sz w:val="18"/>
        </w:rPr>
        <w:t>Facts and</w:t>
      </w:r>
      <w:r>
        <w:rPr>
          <w:b/>
          <w:spacing w:val="-19"/>
          <w:sz w:val="18"/>
        </w:rPr>
        <w:t xml:space="preserve"> </w:t>
      </w:r>
      <w:r>
        <w:rPr>
          <w:b/>
          <w:sz w:val="18"/>
        </w:rPr>
        <w:t>Imperatives</w:t>
      </w:r>
    </w:p>
    <w:p w:rsidR="002C1123" w:rsidRDefault="00F22F94">
      <w:pPr>
        <w:tabs>
          <w:tab w:val="left" w:pos="1352"/>
        </w:tabs>
        <w:spacing w:before="145"/>
        <w:ind w:left="336"/>
        <w:rPr>
          <w:b/>
          <w:sz w:val="16"/>
        </w:rPr>
      </w:pPr>
      <w:r>
        <w:rPr>
          <w:b/>
          <w:color w:val="2E3092"/>
          <w:spacing w:val="-2"/>
          <w:sz w:val="16"/>
        </w:rPr>
        <w:t>Location</w:t>
      </w:r>
      <w:r>
        <w:rPr>
          <w:b/>
          <w:color w:val="2E3092"/>
          <w:sz w:val="16"/>
        </w:rPr>
        <w:tab/>
      </w:r>
      <w:r>
        <w:rPr>
          <w:b/>
          <w:color w:val="2E3092"/>
          <w:spacing w:val="-4"/>
          <w:sz w:val="16"/>
        </w:rPr>
        <w:t>Fact</w:t>
      </w:r>
    </w:p>
    <w:tbl>
      <w:tblPr>
        <w:tblW w:w="0" w:type="auto"/>
        <w:tblInd w:w="20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015"/>
        <w:gridCol w:w="3764"/>
      </w:tblGrid>
      <w:tr w:rsidR="002C1123">
        <w:trPr>
          <w:trHeight w:val="1211"/>
        </w:trPr>
        <w:tc>
          <w:tcPr>
            <w:tcW w:w="1015" w:type="dxa"/>
            <w:tcBorders>
              <w:left w:val="nil"/>
            </w:tcBorders>
            <w:shd w:val="clear" w:color="auto" w:fill="C9C8C9"/>
          </w:tcPr>
          <w:p w:rsidR="002C1123" w:rsidRDefault="00F22F94">
            <w:pPr>
              <w:pStyle w:val="TableParagraph"/>
              <w:spacing w:before="63" w:line="254" w:lineRule="auto"/>
              <w:ind w:left="124" w:hanging="1"/>
              <w:rPr>
                <w:sz w:val="18"/>
              </w:rPr>
            </w:pPr>
            <w:r>
              <w:rPr>
                <w:spacing w:val="-2"/>
                <w:sz w:val="18"/>
              </w:rPr>
              <w:t xml:space="preserve">Regional </w:t>
            </w:r>
            <w:r>
              <w:rPr>
                <w:spacing w:val="-4"/>
                <w:sz w:val="18"/>
              </w:rPr>
              <w:t>NSW</w:t>
            </w:r>
          </w:p>
        </w:tc>
        <w:tc>
          <w:tcPr>
            <w:tcW w:w="3764" w:type="dxa"/>
            <w:shd w:val="clear" w:color="auto" w:fill="E1E0E1"/>
          </w:tcPr>
          <w:p w:rsidR="002C1123" w:rsidRDefault="00F22F94">
            <w:pPr>
              <w:pStyle w:val="TableParagraph"/>
              <w:numPr>
                <w:ilvl w:val="0"/>
                <w:numId w:val="157"/>
              </w:numPr>
              <w:tabs>
                <w:tab w:val="left" w:pos="259"/>
              </w:tabs>
              <w:spacing w:before="60" w:line="235" w:lineRule="auto"/>
              <w:ind w:right="253" w:hanging="157"/>
              <w:rPr>
                <w:sz w:val="16"/>
              </w:rPr>
            </w:pPr>
            <w:r>
              <w:rPr>
                <w:w w:val="95"/>
                <w:sz w:val="16"/>
              </w:rPr>
              <w:t>Australia’s largest and most diversified regional economy, contributes 25 percent of NSW GSP.</w:t>
            </w:r>
          </w:p>
          <w:p w:rsidR="002C1123" w:rsidRDefault="00F22F94">
            <w:pPr>
              <w:pStyle w:val="TableParagraph"/>
              <w:numPr>
                <w:ilvl w:val="0"/>
                <w:numId w:val="157"/>
              </w:numPr>
              <w:tabs>
                <w:tab w:val="left" w:pos="268"/>
              </w:tabs>
              <w:spacing w:before="47" w:line="235" w:lineRule="auto"/>
              <w:ind w:left="264" w:right="230" w:hanging="161"/>
              <w:rPr>
                <w:sz w:val="16"/>
              </w:rPr>
            </w:pPr>
            <w:r>
              <w:rPr>
                <w:w w:val="95"/>
                <w:sz w:val="16"/>
              </w:rPr>
              <w:t xml:space="preserve">Home to over a third (36 percent) of population, </w:t>
            </w:r>
            <w:r>
              <w:rPr>
                <w:sz w:val="16"/>
              </w:rPr>
              <w:t>with 36 percent of jobs.</w:t>
            </w:r>
          </w:p>
          <w:p w:rsidR="002C1123" w:rsidRDefault="00F22F94">
            <w:pPr>
              <w:pStyle w:val="TableParagraph"/>
              <w:numPr>
                <w:ilvl w:val="0"/>
                <w:numId w:val="157"/>
              </w:numPr>
              <w:tabs>
                <w:tab w:val="left" w:pos="266"/>
              </w:tabs>
              <w:spacing w:before="43"/>
              <w:ind w:left="265" w:hanging="163"/>
              <w:rPr>
                <w:sz w:val="16"/>
              </w:rPr>
            </w:pPr>
            <w:r>
              <w:rPr>
                <w:w w:val="95"/>
                <w:sz w:val="16"/>
              </w:rPr>
              <w:t>World’s</w:t>
            </w:r>
            <w:r>
              <w:rPr>
                <w:spacing w:val="2"/>
                <w:sz w:val="16"/>
              </w:rPr>
              <w:t xml:space="preserve"> </w:t>
            </w:r>
            <w:r>
              <w:rPr>
                <w:w w:val="95"/>
                <w:sz w:val="16"/>
              </w:rPr>
              <w:t>largest</w:t>
            </w:r>
            <w:r>
              <w:rPr>
                <w:spacing w:val="3"/>
                <w:sz w:val="16"/>
              </w:rPr>
              <w:t xml:space="preserve"> </w:t>
            </w:r>
            <w:r>
              <w:rPr>
                <w:w w:val="95"/>
                <w:sz w:val="16"/>
              </w:rPr>
              <w:t>coal</w:t>
            </w:r>
            <w:r>
              <w:rPr>
                <w:spacing w:val="3"/>
                <w:sz w:val="16"/>
              </w:rPr>
              <w:t xml:space="preserve"> </w:t>
            </w:r>
            <w:r>
              <w:rPr>
                <w:w w:val="95"/>
                <w:sz w:val="16"/>
              </w:rPr>
              <w:t>port</w:t>
            </w:r>
            <w:r>
              <w:rPr>
                <w:spacing w:val="3"/>
                <w:sz w:val="16"/>
              </w:rPr>
              <w:t xml:space="preserve"> </w:t>
            </w:r>
            <w:r>
              <w:rPr>
                <w:w w:val="95"/>
                <w:sz w:val="16"/>
              </w:rPr>
              <w:t>at</w:t>
            </w:r>
            <w:r>
              <w:rPr>
                <w:spacing w:val="3"/>
                <w:sz w:val="16"/>
              </w:rPr>
              <w:t xml:space="preserve"> </w:t>
            </w:r>
            <w:r>
              <w:rPr>
                <w:spacing w:val="-2"/>
                <w:w w:val="95"/>
                <w:sz w:val="16"/>
              </w:rPr>
              <w:t>Newcastle.</w:t>
            </w:r>
          </w:p>
        </w:tc>
      </w:tr>
      <w:tr w:rsidR="002C1123">
        <w:trPr>
          <w:trHeight w:val="974"/>
        </w:trPr>
        <w:tc>
          <w:tcPr>
            <w:tcW w:w="1015" w:type="dxa"/>
            <w:tcBorders>
              <w:left w:val="nil"/>
            </w:tcBorders>
            <w:shd w:val="clear" w:color="auto" w:fill="C9C8C9"/>
          </w:tcPr>
          <w:p w:rsidR="002C1123" w:rsidRDefault="00F22F94">
            <w:pPr>
              <w:pStyle w:val="TableParagraph"/>
              <w:spacing w:before="63" w:line="254" w:lineRule="auto"/>
              <w:ind w:left="120" w:hanging="2"/>
              <w:rPr>
                <w:sz w:val="18"/>
              </w:rPr>
            </w:pPr>
            <w:r>
              <w:rPr>
                <w:spacing w:val="-2"/>
                <w:sz w:val="18"/>
              </w:rPr>
              <w:t>Greater Sydney</w:t>
            </w:r>
          </w:p>
        </w:tc>
        <w:tc>
          <w:tcPr>
            <w:tcW w:w="3764" w:type="dxa"/>
            <w:shd w:val="clear" w:color="auto" w:fill="E1E0E1"/>
          </w:tcPr>
          <w:p w:rsidR="002C1123" w:rsidRDefault="00F22F94">
            <w:pPr>
              <w:pStyle w:val="TableParagraph"/>
              <w:numPr>
                <w:ilvl w:val="0"/>
                <w:numId w:val="156"/>
              </w:numPr>
              <w:tabs>
                <w:tab w:val="left" w:pos="269"/>
              </w:tabs>
              <w:spacing w:before="60" w:line="235" w:lineRule="auto"/>
              <w:ind w:right="475" w:hanging="163"/>
              <w:rPr>
                <w:sz w:val="16"/>
              </w:rPr>
            </w:pPr>
            <w:r>
              <w:rPr>
                <w:w w:val="95"/>
                <w:sz w:val="16"/>
              </w:rPr>
              <w:t>Nearly</w:t>
            </w:r>
            <w:r>
              <w:rPr>
                <w:spacing w:val="-3"/>
                <w:w w:val="95"/>
                <w:sz w:val="16"/>
              </w:rPr>
              <w:t xml:space="preserve"> </w:t>
            </w:r>
            <w:r>
              <w:rPr>
                <w:w w:val="95"/>
                <w:sz w:val="16"/>
              </w:rPr>
              <w:t>half</w:t>
            </w:r>
            <w:r>
              <w:rPr>
                <w:spacing w:val="-3"/>
                <w:w w:val="95"/>
                <w:sz w:val="16"/>
              </w:rPr>
              <w:t xml:space="preserve"> </w:t>
            </w:r>
            <w:r>
              <w:rPr>
                <w:w w:val="95"/>
                <w:sz w:val="16"/>
              </w:rPr>
              <w:t>of</w:t>
            </w:r>
            <w:r>
              <w:rPr>
                <w:spacing w:val="-3"/>
                <w:w w:val="95"/>
                <w:sz w:val="16"/>
              </w:rPr>
              <w:t xml:space="preserve"> </w:t>
            </w:r>
            <w:r>
              <w:rPr>
                <w:w w:val="95"/>
                <w:sz w:val="16"/>
              </w:rPr>
              <w:t>the</w:t>
            </w:r>
            <w:r>
              <w:rPr>
                <w:spacing w:val="-3"/>
                <w:w w:val="95"/>
                <w:sz w:val="16"/>
              </w:rPr>
              <w:t xml:space="preserve"> </w:t>
            </w:r>
            <w:r>
              <w:rPr>
                <w:w w:val="95"/>
                <w:sz w:val="16"/>
              </w:rPr>
              <w:t>NSW</w:t>
            </w:r>
            <w:r>
              <w:rPr>
                <w:spacing w:val="-3"/>
                <w:w w:val="95"/>
                <w:sz w:val="16"/>
              </w:rPr>
              <w:t xml:space="preserve"> </w:t>
            </w:r>
            <w:r>
              <w:rPr>
                <w:w w:val="95"/>
                <w:sz w:val="16"/>
              </w:rPr>
              <w:t>population</w:t>
            </w:r>
            <w:r>
              <w:rPr>
                <w:spacing w:val="-3"/>
                <w:w w:val="95"/>
                <w:sz w:val="16"/>
              </w:rPr>
              <w:t xml:space="preserve"> </w:t>
            </w:r>
            <w:r>
              <w:rPr>
                <w:w w:val="95"/>
                <w:sz w:val="16"/>
              </w:rPr>
              <w:t>lives</w:t>
            </w:r>
            <w:r>
              <w:rPr>
                <w:spacing w:val="-3"/>
                <w:w w:val="95"/>
                <w:sz w:val="16"/>
              </w:rPr>
              <w:t xml:space="preserve"> </w:t>
            </w:r>
            <w:r>
              <w:rPr>
                <w:w w:val="95"/>
                <w:sz w:val="16"/>
              </w:rPr>
              <w:t xml:space="preserve">here </w:t>
            </w:r>
            <w:r>
              <w:rPr>
                <w:sz w:val="16"/>
              </w:rPr>
              <w:t>(46 per cent)</w:t>
            </w:r>
          </w:p>
          <w:p w:rsidR="002C1123" w:rsidRDefault="00F22F94">
            <w:pPr>
              <w:pStyle w:val="TableParagraph"/>
              <w:numPr>
                <w:ilvl w:val="0"/>
                <w:numId w:val="156"/>
              </w:numPr>
              <w:tabs>
                <w:tab w:val="left" w:pos="268"/>
              </w:tabs>
              <w:spacing w:before="47" w:line="235" w:lineRule="auto"/>
              <w:ind w:left="264" w:right="538" w:hanging="161"/>
              <w:rPr>
                <w:sz w:val="16"/>
              </w:rPr>
            </w:pPr>
            <w:r>
              <w:rPr>
                <w:w w:val="95"/>
                <w:sz w:val="16"/>
              </w:rPr>
              <w:t xml:space="preserve">Lower proportion of jobs, (36 percent), and </w:t>
            </w:r>
            <w:r>
              <w:rPr>
                <w:sz w:val="16"/>
              </w:rPr>
              <w:t>production, (34 percent).</w:t>
            </w:r>
          </w:p>
        </w:tc>
      </w:tr>
      <w:tr w:rsidR="002C1123">
        <w:trPr>
          <w:trHeight w:val="974"/>
        </w:trPr>
        <w:tc>
          <w:tcPr>
            <w:tcW w:w="1015" w:type="dxa"/>
            <w:tcBorders>
              <w:left w:val="nil"/>
            </w:tcBorders>
            <w:shd w:val="clear" w:color="auto" w:fill="C9C8C9"/>
          </w:tcPr>
          <w:p w:rsidR="002C1123" w:rsidRDefault="00F22F94">
            <w:pPr>
              <w:pStyle w:val="TableParagraph"/>
              <w:spacing w:before="63" w:line="254" w:lineRule="auto"/>
              <w:ind w:left="120" w:right="258" w:hanging="2"/>
              <w:rPr>
                <w:sz w:val="18"/>
              </w:rPr>
            </w:pPr>
            <w:r>
              <w:rPr>
                <w:spacing w:val="-2"/>
                <w:w w:val="105"/>
                <w:sz w:val="18"/>
              </w:rPr>
              <w:t xml:space="preserve">Global </w:t>
            </w:r>
            <w:r>
              <w:rPr>
                <w:spacing w:val="-4"/>
                <w:w w:val="105"/>
                <w:sz w:val="18"/>
              </w:rPr>
              <w:t>Sydney</w:t>
            </w:r>
          </w:p>
        </w:tc>
        <w:tc>
          <w:tcPr>
            <w:tcW w:w="3764" w:type="dxa"/>
            <w:shd w:val="clear" w:color="auto" w:fill="E1E0E1"/>
          </w:tcPr>
          <w:p w:rsidR="002C1123" w:rsidRDefault="00F22F94">
            <w:pPr>
              <w:pStyle w:val="TableParagraph"/>
              <w:numPr>
                <w:ilvl w:val="0"/>
                <w:numId w:val="155"/>
              </w:numPr>
              <w:tabs>
                <w:tab w:val="left" w:pos="259"/>
              </w:tabs>
              <w:spacing w:before="57" w:line="192" w:lineRule="exact"/>
              <w:ind w:hanging="156"/>
              <w:rPr>
                <w:sz w:val="16"/>
              </w:rPr>
            </w:pPr>
            <w:r>
              <w:rPr>
                <w:w w:val="95"/>
                <w:sz w:val="16"/>
              </w:rPr>
              <w:t>Australia’s</w:t>
            </w:r>
            <w:r>
              <w:rPr>
                <w:spacing w:val="-4"/>
                <w:w w:val="95"/>
                <w:sz w:val="16"/>
              </w:rPr>
              <w:t xml:space="preserve"> </w:t>
            </w:r>
            <w:r>
              <w:rPr>
                <w:w w:val="95"/>
                <w:sz w:val="16"/>
              </w:rPr>
              <w:t>only</w:t>
            </w:r>
            <w:r>
              <w:rPr>
                <w:spacing w:val="-4"/>
                <w:w w:val="95"/>
                <w:sz w:val="16"/>
              </w:rPr>
              <w:t xml:space="preserve"> </w:t>
            </w:r>
            <w:r>
              <w:rPr>
                <w:w w:val="95"/>
                <w:sz w:val="16"/>
              </w:rPr>
              <w:t>global</w:t>
            </w:r>
            <w:r>
              <w:rPr>
                <w:spacing w:val="-4"/>
                <w:w w:val="95"/>
                <w:sz w:val="16"/>
              </w:rPr>
              <w:t xml:space="preserve"> </w:t>
            </w:r>
            <w:r>
              <w:rPr>
                <w:w w:val="95"/>
                <w:sz w:val="16"/>
              </w:rPr>
              <w:t>city.</w:t>
            </w:r>
            <w:r>
              <w:rPr>
                <w:spacing w:val="-3"/>
                <w:w w:val="95"/>
                <w:sz w:val="16"/>
              </w:rPr>
              <w:t xml:space="preserve"> </w:t>
            </w:r>
            <w:r>
              <w:rPr>
                <w:w w:val="95"/>
                <w:sz w:val="16"/>
              </w:rPr>
              <w:t>Nearly</w:t>
            </w:r>
            <w:r>
              <w:rPr>
                <w:spacing w:val="-4"/>
                <w:w w:val="95"/>
                <w:sz w:val="16"/>
              </w:rPr>
              <w:t xml:space="preserve"> half</w:t>
            </w:r>
          </w:p>
          <w:p w:rsidR="002C1123" w:rsidRDefault="00F22F94">
            <w:pPr>
              <w:pStyle w:val="TableParagraph"/>
              <w:spacing w:before="1" w:line="235" w:lineRule="auto"/>
              <w:ind w:left="262" w:firstLine="3"/>
              <w:rPr>
                <w:sz w:val="16"/>
              </w:rPr>
            </w:pPr>
            <w:r>
              <w:rPr>
                <w:w w:val="95"/>
                <w:sz w:val="16"/>
              </w:rPr>
              <w:t>(41</w:t>
            </w:r>
            <w:r>
              <w:rPr>
                <w:spacing w:val="-4"/>
                <w:w w:val="95"/>
                <w:sz w:val="16"/>
              </w:rPr>
              <w:t xml:space="preserve"> </w:t>
            </w:r>
            <w:r>
              <w:rPr>
                <w:w w:val="95"/>
                <w:sz w:val="16"/>
              </w:rPr>
              <w:t>per</w:t>
            </w:r>
            <w:r>
              <w:rPr>
                <w:spacing w:val="-4"/>
                <w:w w:val="95"/>
                <w:sz w:val="16"/>
              </w:rPr>
              <w:t xml:space="preserve"> </w:t>
            </w:r>
            <w:r>
              <w:rPr>
                <w:w w:val="95"/>
                <w:sz w:val="16"/>
              </w:rPr>
              <w:t>cent),</w:t>
            </w:r>
            <w:r>
              <w:rPr>
                <w:spacing w:val="-4"/>
                <w:w w:val="95"/>
                <w:sz w:val="16"/>
              </w:rPr>
              <w:t xml:space="preserve"> </w:t>
            </w:r>
            <w:r>
              <w:rPr>
                <w:w w:val="95"/>
                <w:sz w:val="16"/>
              </w:rPr>
              <w:t>of</w:t>
            </w:r>
            <w:r>
              <w:rPr>
                <w:spacing w:val="-4"/>
                <w:w w:val="95"/>
                <w:sz w:val="16"/>
              </w:rPr>
              <w:t xml:space="preserve"> </w:t>
            </w:r>
            <w:r>
              <w:rPr>
                <w:w w:val="95"/>
                <w:sz w:val="16"/>
              </w:rPr>
              <w:t>GSP</w:t>
            </w:r>
            <w:r>
              <w:rPr>
                <w:spacing w:val="-4"/>
                <w:w w:val="95"/>
                <w:sz w:val="16"/>
              </w:rPr>
              <w:t xml:space="preserve"> </w:t>
            </w:r>
            <w:r>
              <w:rPr>
                <w:w w:val="95"/>
                <w:sz w:val="16"/>
              </w:rPr>
              <w:t>is</w:t>
            </w:r>
            <w:r>
              <w:rPr>
                <w:spacing w:val="-4"/>
                <w:w w:val="95"/>
                <w:sz w:val="16"/>
              </w:rPr>
              <w:t xml:space="preserve"> </w:t>
            </w:r>
            <w:r>
              <w:rPr>
                <w:w w:val="95"/>
                <w:sz w:val="16"/>
              </w:rPr>
              <w:t>generated</w:t>
            </w:r>
            <w:r>
              <w:rPr>
                <w:spacing w:val="-4"/>
                <w:w w:val="95"/>
                <w:sz w:val="16"/>
              </w:rPr>
              <w:t xml:space="preserve"> </w:t>
            </w:r>
            <w:r>
              <w:rPr>
                <w:w w:val="95"/>
                <w:sz w:val="16"/>
              </w:rPr>
              <w:t>here</w:t>
            </w:r>
            <w:r>
              <w:rPr>
                <w:spacing w:val="-4"/>
                <w:w w:val="95"/>
                <w:sz w:val="16"/>
              </w:rPr>
              <w:t xml:space="preserve"> </w:t>
            </w:r>
            <w:r>
              <w:rPr>
                <w:w w:val="95"/>
                <w:sz w:val="16"/>
              </w:rPr>
              <w:t>from</w:t>
            </w:r>
            <w:r>
              <w:rPr>
                <w:spacing w:val="-4"/>
                <w:w w:val="95"/>
                <w:sz w:val="16"/>
              </w:rPr>
              <w:t xml:space="preserve"> </w:t>
            </w:r>
            <w:r>
              <w:rPr>
                <w:w w:val="95"/>
                <w:sz w:val="16"/>
              </w:rPr>
              <w:t xml:space="preserve">high </w:t>
            </w:r>
            <w:r>
              <w:rPr>
                <w:sz w:val="16"/>
              </w:rPr>
              <w:t>value, knowledge-based industries.</w:t>
            </w:r>
          </w:p>
          <w:p w:rsidR="002C1123" w:rsidRDefault="00F22F94">
            <w:pPr>
              <w:pStyle w:val="TableParagraph"/>
              <w:numPr>
                <w:ilvl w:val="0"/>
                <w:numId w:val="155"/>
              </w:numPr>
              <w:tabs>
                <w:tab w:val="left" w:pos="267"/>
              </w:tabs>
              <w:spacing w:before="43"/>
              <w:ind w:left="266" w:hanging="164"/>
              <w:rPr>
                <w:sz w:val="16"/>
              </w:rPr>
            </w:pPr>
            <w:r>
              <w:rPr>
                <w:w w:val="95"/>
                <w:sz w:val="16"/>
              </w:rPr>
              <w:t>Only</w:t>
            </w:r>
            <w:r>
              <w:rPr>
                <w:spacing w:val="1"/>
                <w:sz w:val="16"/>
              </w:rPr>
              <w:t xml:space="preserve"> </w:t>
            </w:r>
            <w:r>
              <w:rPr>
                <w:w w:val="95"/>
                <w:sz w:val="16"/>
              </w:rPr>
              <w:t>17</w:t>
            </w:r>
            <w:r>
              <w:rPr>
                <w:spacing w:val="1"/>
                <w:sz w:val="16"/>
              </w:rPr>
              <w:t xml:space="preserve"> </w:t>
            </w:r>
            <w:r>
              <w:rPr>
                <w:w w:val="95"/>
                <w:sz w:val="16"/>
              </w:rPr>
              <w:t>percent</w:t>
            </w:r>
            <w:r>
              <w:rPr>
                <w:spacing w:val="1"/>
                <w:sz w:val="16"/>
              </w:rPr>
              <w:t xml:space="preserve"> </w:t>
            </w:r>
            <w:r>
              <w:rPr>
                <w:w w:val="95"/>
                <w:sz w:val="16"/>
              </w:rPr>
              <w:t>of</w:t>
            </w:r>
            <w:r>
              <w:rPr>
                <w:spacing w:val="1"/>
                <w:sz w:val="16"/>
              </w:rPr>
              <w:t xml:space="preserve"> </w:t>
            </w:r>
            <w:r>
              <w:rPr>
                <w:w w:val="95"/>
                <w:sz w:val="16"/>
              </w:rPr>
              <w:t>population,</w:t>
            </w:r>
            <w:r>
              <w:rPr>
                <w:spacing w:val="1"/>
                <w:sz w:val="16"/>
              </w:rPr>
              <w:t xml:space="preserve"> </w:t>
            </w:r>
            <w:r>
              <w:rPr>
                <w:w w:val="95"/>
                <w:sz w:val="16"/>
              </w:rPr>
              <w:t>28</w:t>
            </w:r>
            <w:r>
              <w:rPr>
                <w:spacing w:val="1"/>
                <w:sz w:val="16"/>
              </w:rPr>
              <w:t xml:space="preserve"> </w:t>
            </w:r>
            <w:r>
              <w:rPr>
                <w:w w:val="95"/>
                <w:sz w:val="16"/>
              </w:rPr>
              <w:t>percent</w:t>
            </w:r>
            <w:r>
              <w:rPr>
                <w:spacing w:val="2"/>
                <w:sz w:val="16"/>
              </w:rPr>
              <w:t xml:space="preserve"> </w:t>
            </w:r>
            <w:r>
              <w:rPr>
                <w:w w:val="95"/>
                <w:sz w:val="16"/>
              </w:rPr>
              <w:t>of</w:t>
            </w:r>
            <w:r>
              <w:rPr>
                <w:spacing w:val="1"/>
                <w:sz w:val="16"/>
              </w:rPr>
              <w:t xml:space="preserve"> </w:t>
            </w:r>
            <w:r>
              <w:rPr>
                <w:spacing w:val="-2"/>
                <w:w w:val="95"/>
                <w:sz w:val="16"/>
              </w:rPr>
              <w:t>jobs.</w:t>
            </w:r>
          </w:p>
        </w:tc>
      </w:tr>
    </w:tbl>
    <w:p w:rsidR="002C1123" w:rsidRDefault="002C1123">
      <w:pPr>
        <w:rPr>
          <w:sz w:val="16"/>
        </w:rPr>
        <w:sectPr w:rsidR="002C1123">
          <w:type w:val="continuous"/>
          <w:pgSz w:w="16840" w:h="11910" w:orient="landscape"/>
          <w:pgMar w:top="560" w:right="280" w:bottom="280" w:left="500" w:header="0" w:footer="517" w:gutter="0"/>
          <w:cols w:num="3" w:space="720" w:equalWidth="0">
            <w:col w:w="5693" w:space="40"/>
            <w:col w:w="4998" w:space="39"/>
            <w:col w:w="5290"/>
          </w:cols>
        </w:sectPr>
      </w:pPr>
    </w:p>
    <w:p w:rsidR="002C1123" w:rsidRDefault="002060EF">
      <w:pPr>
        <w:spacing w:before="83"/>
        <w:ind w:left="747"/>
        <w:rPr>
          <w:b/>
          <w:sz w:val="17"/>
        </w:rPr>
      </w:pPr>
      <w:r>
        <w:lastRenderedPageBreak/>
        <w:pict>
          <v:shape id="docshape167" o:spid="_x0000_s5126" type="#_x0000_t202" style="position:absolute;left:0;text-align:left;margin-left:60.5pt;margin-top:17.55pt;width:394.15pt;height:23.35pt;z-index:-251531264;mso-position-horizontal-relative:page" filled="f" stroked="f">
            <v:textbox inset="0,0,0,0">
              <w:txbxContent>
                <w:p w:rsidR="00F22F94" w:rsidRDefault="00F22F94">
                  <w:pPr>
                    <w:spacing w:before="7" w:line="259" w:lineRule="auto"/>
                    <w:rPr>
                      <w:sz w:val="19"/>
                    </w:rPr>
                  </w:pPr>
                  <w:r>
                    <w:rPr>
                      <w:sz w:val="19"/>
                    </w:rPr>
                    <w:t>Our</w:t>
                  </w:r>
                  <w:r>
                    <w:rPr>
                      <w:spacing w:val="-13"/>
                      <w:sz w:val="19"/>
                    </w:rPr>
                    <w:t xml:space="preserve"> </w:t>
                  </w:r>
                  <w:r>
                    <w:rPr>
                      <w:sz w:val="19"/>
                    </w:rPr>
                    <w:t>Strategy</w:t>
                  </w:r>
                  <w:r>
                    <w:rPr>
                      <w:spacing w:val="-13"/>
                      <w:sz w:val="19"/>
                    </w:rPr>
                    <w:t xml:space="preserve"> </w:t>
                  </w:r>
                  <w:r>
                    <w:rPr>
                      <w:sz w:val="19"/>
                    </w:rPr>
                    <w:t>examines</w:t>
                  </w:r>
                  <w:r>
                    <w:rPr>
                      <w:spacing w:val="-13"/>
                      <w:sz w:val="19"/>
                    </w:rPr>
                    <w:t xml:space="preserve"> </w:t>
                  </w:r>
                  <w:r>
                    <w:rPr>
                      <w:sz w:val="19"/>
                    </w:rPr>
                    <w:t>each</w:t>
                  </w:r>
                  <w:r>
                    <w:rPr>
                      <w:spacing w:val="-13"/>
                      <w:sz w:val="19"/>
                    </w:rPr>
                    <w:t xml:space="preserve"> </w:t>
                  </w:r>
                  <w:r>
                    <w:rPr>
                      <w:sz w:val="19"/>
                    </w:rPr>
                    <w:t>of</w:t>
                  </w:r>
                  <w:r>
                    <w:rPr>
                      <w:spacing w:val="-13"/>
                      <w:sz w:val="19"/>
                    </w:rPr>
                    <w:t xml:space="preserve"> </w:t>
                  </w:r>
                  <w:r>
                    <w:rPr>
                      <w:sz w:val="19"/>
                    </w:rPr>
                    <w:t>Regional</w:t>
                  </w:r>
                  <w:r>
                    <w:rPr>
                      <w:spacing w:val="-13"/>
                      <w:sz w:val="19"/>
                    </w:rPr>
                    <w:t xml:space="preserve"> </w:t>
                  </w:r>
                  <w:r>
                    <w:rPr>
                      <w:sz w:val="19"/>
                    </w:rPr>
                    <w:t>NSW,</w:t>
                  </w:r>
                  <w:r>
                    <w:rPr>
                      <w:spacing w:val="-13"/>
                      <w:sz w:val="19"/>
                    </w:rPr>
                    <w:t xml:space="preserve"> </w:t>
                  </w:r>
                  <w:r>
                    <w:rPr>
                      <w:sz w:val="19"/>
                    </w:rPr>
                    <w:t>Greater</w:t>
                  </w:r>
                  <w:r>
                    <w:rPr>
                      <w:spacing w:val="-13"/>
                      <w:sz w:val="19"/>
                    </w:rPr>
                    <w:t xml:space="preserve"> </w:t>
                  </w:r>
                  <w:r>
                    <w:rPr>
                      <w:sz w:val="19"/>
                    </w:rPr>
                    <w:t>Sydney</w:t>
                  </w:r>
                  <w:r>
                    <w:rPr>
                      <w:spacing w:val="-13"/>
                      <w:sz w:val="19"/>
                    </w:rPr>
                    <w:t xml:space="preserve"> </w:t>
                  </w:r>
                  <w:r>
                    <w:rPr>
                      <w:sz w:val="19"/>
                    </w:rPr>
                    <w:t>and</w:t>
                  </w:r>
                  <w:r>
                    <w:rPr>
                      <w:spacing w:val="-13"/>
                      <w:sz w:val="19"/>
                    </w:rPr>
                    <w:t xml:space="preserve"> </w:t>
                  </w:r>
                  <w:r>
                    <w:rPr>
                      <w:sz w:val="19"/>
                    </w:rPr>
                    <w:t>Global</w:t>
                  </w:r>
                  <w:r>
                    <w:rPr>
                      <w:spacing w:val="-13"/>
                      <w:sz w:val="19"/>
                    </w:rPr>
                    <w:t xml:space="preserve"> </w:t>
                  </w:r>
                  <w:r>
                    <w:rPr>
                      <w:sz w:val="19"/>
                    </w:rPr>
                    <w:t>Sydney</w:t>
                  </w:r>
                  <w:r>
                    <w:rPr>
                      <w:spacing w:val="-13"/>
                      <w:sz w:val="19"/>
                    </w:rPr>
                    <w:t xml:space="preserve"> </w:t>
                  </w:r>
                  <w:r>
                    <w:rPr>
                      <w:sz w:val="19"/>
                    </w:rPr>
                    <w:t>separately. The economic drivers and infrastructure imperatives for these three areas are very different:</w:t>
                  </w:r>
                </w:p>
              </w:txbxContent>
            </v:textbox>
            <w10:wrap anchorx="page"/>
          </v:shape>
        </w:pict>
      </w:r>
      <w:bookmarkStart w:id="52" w:name="_bookmark36"/>
      <w:bookmarkEnd w:id="52"/>
      <w:r w:rsidR="00F22F94">
        <w:rPr>
          <w:b/>
          <w:w w:val="105"/>
          <w:sz w:val="17"/>
        </w:rPr>
        <w:t>Figure</w:t>
      </w:r>
      <w:r w:rsidR="00F22F94">
        <w:rPr>
          <w:b/>
          <w:spacing w:val="-9"/>
          <w:w w:val="105"/>
          <w:sz w:val="17"/>
        </w:rPr>
        <w:t xml:space="preserve"> </w:t>
      </w:r>
      <w:r w:rsidR="00F22F94">
        <w:rPr>
          <w:b/>
          <w:w w:val="105"/>
          <w:sz w:val="17"/>
        </w:rPr>
        <w:t>1.5</w:t>
      </w:r>
      <w:r w:rsidR="00F22F94">
        <w:rPr>
          <w:b/>
          <w:spacing w:val="33"/>
          <w:w w:val="105"/>
          <w:sz w:val="17"/>
        </w:rPr>
        <w:t xml:space="preserve"> </w:t>
      </w:r>
      <w:r w:rsidR="00F22F94">
        <w:rPr>
          <w:b/>
          <w:w w:val="105"/>
          <w:sz w:val="17"/>
        </w:rPr>
        <w:t>The</w:t>
      </w:r>
      <w:r w:rsidR="00F22F94">
        <w:rPr>
          <w:b/>
          <w:spacing w:val="-8"/>
          <w:w w:val="105"/>
          <w:sz w:val="17"/>
        </w:rPr>
        <w:t xml:space="preserve"> </w:t>
      </w:r>
      <w:r w:rsidR="00F22F94">
        <w:rPr>
          <w:b/>
          <w:w w:val="105"/>
          <w:sz w:val="17"/>
        </w:rPr>
        <w:t>Strategy</w:t>
      </w:r>
      <w:r w:rsidR="00F22F94">
        <w:rPr>
          <w:b/>
          <w:spacing w:val="-9"/>
          <w:w w:val="105"/>
          <w:sz w:val="17"/>
        </w:rPr>
        <w:t xml:space="preserve"> </w:t>
      </w:r>
      <w:r w:rsidR="00F22F94">
        <w:rPr>
          <w:b/>
          <w:w w:val="105"/>
          <w:sz w:val="17"/>
        </w:rPr>
        <w:t>and</w:t>
      </w:r>
      <w:r w:rsidR="00F22F94">
        <w:rPr>
          <w:b/>
          <w:spacing w:val="-8"/>
          <w:w w:val="105"/>
          <w:sz w:val="17"/>
        </w:rPr>
        <w:t xml:space="preserve"> </w:t>
      </w:r>
      <w:r w:rsidR="00F22F94">
        <w:rPr>
          <w:b/>
          <w:spacing w:val="-2"/>
          <w:w w:val="105"/>
          <w:sz w:val="17"/>
        </w:rPr>
        <w:t>Regions</w:t>
      </w:r>
    </w:p>
    <w:p w:rsidR="002C1123" w:rsidRDefault="002C1123">
      <w:pPr>
        <w:pStyle w:val="BodyText"/>
        <w:spacing w:before="8"/>
        <w:rPr>
          <w:b/>
          <w:sz w:val="17"/>
        </w:rPr>
      </w:pPr>
    </w:p>
    <w:p w:rsidR="002C1123" w:rsidRDefault="00F22F94">
      <w:pPr>
        <w:ind w:right="3891"/>
        <w:jc w:val="right"/>
        <w:rPr>
          <w:sz w:val="19"/>
        </w:rPr>
      </w:pPr>
      <w:r>
        <w:rPr>
          <w:w w:val="85"/>
          <w:sz w:val="19"/>
        </w:rPr>
        <w:t>Global</w:t>
      </w:r>
      <w:r>
        <w:rPr>
          <w:spacing w:val="-4"/>
          <w:w w:val="95"/>
          <w:sz w:val="19"/>
        </w:rPr>
        <w:t xml:space="preserve"> </w:t>
      </w:r>
      <w:r>
        <w:rPr>
          <w:spacing w:val="-2"/>
          <w:w w:val="95"/>
          <w:sz w:val="19"/>
        </w:rPr>
        <w:t>Sydney</w:t>
      </w:r>
    </w:p>
    <w:p w:rsidR="002C1123" w:rsidRDefault="002C1123">
      <w:pPr>
        <w:jc w:val="right"/>
        <w:rPr>
          <w:sz w:val="19"/>
        </w:rPr>
        <w:sectPr w:rsidR="002C1123">
          <w:headerReference w:type="default" r:id="rId48"/>
          <w:footerReference w:type="default" r:id="rId49"/>
          <w:pgSz w:w="16840" w:h="11910" w:orient="landscape"/>
          <w:pgMar w:top="1200" w:right="280" w:bottom="280" w:left="500" w:header="0" w:footer="0" w:gutter="0"/>
          <w:cols w:space="720"/>
        </w:sectPr>
      </w:pPr>
    </w:p>
    <w:p w:rsidR="002C1123" w:rsidRDefault="00F22F94">
      <w:pPr>
        <w:spacing w:before="113"/>
        <w:ind w:left="11166"/>
        <w:rPr>
          <w:sz w:val="15"/>
        </w:rPr>
      </w:pPr>
      <w:r>
        <w:rPr>
          <w:b/>
          <w:position w:val="1"/>
          <w:sz w:val="12"/>
        </w:rPr>
        <w:t>1</w:t>
      </w:r>
      <w:r>
        <w:rPr>
          <w:b/>
          <w:spacing w:val="37"/>
          <w:position w:val="1"/>
          <w:sz w:val="12"/>
        </w:rPr>
        <w:t xml:space="preserve">  </w:t>
      </w:r>
      <w:r>
        <w:rPr>
          <w:spacing w:val="-2"/>
          <w:sz w:val="15"/>
        </w:rPr>
        <w:t>Ashfield</w:t>
      </w:r>
    </w:p>
    <w:p w:rsidR="002C1123" w:rsidRDefault="00F22F94">
      <w:pPr>
        <w:spacing w:before="102"/>
        <w:ind w:left="11166"/>
        <w:rPr>
          <w:sz w:val="15"/>
        </w:rPr>
      </w:pPr>
      <w:r>
        <w:rPr>
          <w:b/>
          <w:w w:val="90"/>
          <w:position w:val="1"/>
          <w:sz w:val="12"/>
        </w:rPr>
        <w:t>2</w:t>
      </w:r>
      <w:r>
        <w:rPr>
          <w:b/>
          <w:spacing w:val="73"/>
          <w:position w:val="1"/>
          <w:sz w:val="12"/>
        </w:rPr>
        <w:t xml:space="preserve"> </w:t>
      </w:r>
      <w:r>
        <w:rPr>
          <w:w w:val="90"/>
          <w:sz w:val="15"/>
        </w:rPr>
        <w:t>Botany</w:t>
      </w:r>
      <w:r>
        <w:rPr>
          <w:spacing w:val="-6"/>
          <w:w w:val="90"/>
          <w:sz w:val="15"/>
        </w:rPr>
        <w:t xml:space="preserve"> </w:t>
      </w:r>
      <w:r>
        <w:rPr>
          <w:spacing w:val="-5"/>
          <w:w w:val="90"/>
          <w:sz w:val="15"/>
        </w:rPr>
        <w:t>Bay</w:t>
      </w:r>
    </w:p>
    <w:p w:rsidR="002C1123" w:rsidRDefault="00F22F94">
      <w:pPr>
        <w:spacing w:before="102"/>
        <w:ind w:left="11166"/>
        <w:rPr>
          <w:sz w:val="15"/>
        </w:rPr>
      </w:pPr>
      <w:r>
        <w:rPr>
          <w:b/>
          <w:position w:val="1"/>
          <w:sz w:val="12"/>
        </w:rPr>
        <w:t>3</w:t>
      </w:r>
      <w:r>
        <w:rPr>
          <w:b/>
          <w:spacing w:val="37"/>
          <w:position w:val="1"/>
          <w:sz w:val="12"/>
        </w:rPr>
        <w:t xml:space="preserve">  </w:t>
      </w:r>
      <w:r>
        <w:rPr>
          <w:spacing w:val="-2"/>
          <w:sz w:val="15"/>
        </w:rPr>
        <w:t>Burwood</w:t>
      </w:r>
    </w:p>
    <w:p w:rsidR="002C1123" w:rsidRDefault="00F22F94">
      <w:pPr>
        <w:spacing w:before="102"/>
        <w:ind w:left="11166"/>
        <w:rPr>
          <w:sz w:val="15"/>
        </w:rPr>
      </w:pPr>
      <w:r>
        <w:rPr>
          <w:b/>
          <w:w w:val="90"/>
          <w:position w:val="1"/>
          <w:sz w:val="12"/>
        </w:rPr>
        <w:t>4</w:t>
      </w:r>
      <w:r>
        <w:rPr>
          <w:b/>
          <w:spacing w:val="67"/>
          <w:position w:val="1"/>
          <w:sz w:val="12"/>
        </w:rPr>
        <w:t xml:space="preserve"> </w:t>
      </w:r>
      <w:r>
        <w:rPr>
          <w:w w:val="90"/>
          <w:sz w:val="15"/>
        </w:rPr>
        <w:t>Canada</w:t>
      </w:r>
      <w:r>
        <w:rPr>
          <w:spacing w:val="-6"/>
          <w:w w:val="90"/>
          <w:sz w:val="15"/>
        </w:rPr>
        <w:t xml:space="preserve"> </w:t>
      </w:r>
      <w:r>
        <w:rPr>
          <w:spacing w:val="-9"/>
          <w:w w:val="85"/>
          <w:sz w:val="15"/>
        </w:rPr>
        <w:t>Bay</w:t>
      </w:r>
    </w:p>
    <w:p w:rsidR="002C1123" w:rsidRDefault="00F22F94">
      <w:pPr>
        <w:spacing w:before="102"/>
        <w:ind w:left="11166"/>
        <w:rPr>
          <w:sz w:val="15"/>
        </w:rPr>
      </w:pPr>
      <w:r>
        <w:rPr>
          <w:b/>
          <w:w w:val="90"/>
          <w:position w:val="1"/>
          <w:sz w:val="12"/>
        </w:rPr>
        <w:t>5</w:t>
      </w:r>
      <w:r>
        <w:rPr>
          <w:b/>
          <w:spacing w:val="72"/>
          <w:position w:val="1"/>
          <w:sz w:val="12"/>
        </w:rPr>
        <w:t xml:space="preserve"> </w:t>
      </w:r>
      <w:r>
        <w:rPr>
          <w:w w:val="90"/>
          <w:sz w:val="15"/>
        </w:rPr>
        <w:t>Hunters</w:t>
      </w:r>
      <w:r>
        <w:rPr>
          <w:spacing w:val="-6"/>
          <w:w w:val="90"/>
          <w:sz w:val="15"/>
        </w:rPr>
        <w:t xml:space="preserve"> </w:t>
      </w:r>
      <w:r>
        <w:rPr>
          <w:spacing w:val="-4"/>
          <w:w w:val="90"/>
          <w:sz w:val="15"/>
        </w:rPr>
        <w:t>Hill</w:t>
      </w:r>
    </w:p>
    <w:p w:rsidR="002C1123" w:rsidRDefault="00F22F94">
      <w:pPr>
        <w:spacing w:before="102"/>
        <w:ind w:left="11166"/>
        <w:rPr>
          <w:sz w:val="15"/>
        </w:rPr>
      </w:pPr>
      <w:r>
        <w:rPr>
          <w:b/>
          <w:w w:val="95"/>
          <w:position w:val="1"/>
          <w:sz w:val="12"/>
        </w:rPr>
        <w:t>6</w:t>
      </w:r>
      <w:r>
        <w:rPr>
          <w:b/>
          <w:spacing w:val="66"/>
          <w:position w:val="1"/>
          <w:sz w:val="12"/>
        </w:rPr>
        <w:t xml:space="preserve"> </w:t>
      </w:r>
      <w:r>
        <w:rPr>
          <w:w w:val="95"/>
          <w:sz w:val="15"/>
        </w:rPr>
        <w:t>Lane</w:t>
      </w:r>
      <w:r>
        <w:rPr>
          <w:spacing w:val="-8"/>
          <w:w w:val="95"/>
          <w:sz w:val="15"/>
        </w:rPr>
        <w:t xml:space="preserve"> </w:t>
      </w:r>
      <w:r>
        <w:rPr>
          <w:spacing w:val="-4"/>
          <w:w w:val="95"/>
          <w:sz w:val="15"/>
        </w:rPr>
        <w:t>Cove</w:t>
      </w:r>
    </w:p>
    <w:p w:rsidR="002C1123" w:rsidRDefault="00F22F94">
      <w:pPr>
        <w:spacing w:before="113"/>
        <w:ind w:left="477"/>
        <w:rPr>
          <w:sz w:val="15"/>
        </w:rPr>
      </w:pPr>
      <w:r>
        <w:br w:type="column"/>
      </w:r>
      <w:r>
        <w:rPr>
          <w:b/>
          <w:position w:val="1"/>
          <w:sz w:val="12"/>
        </w:rPr>
        <w:t>7</w:t>
      </w:r>
      <w:r>
        <w:rPr>
          <w:b/>
          <w:spacing w:val="37"/>
          <w:position w:val="1"/>
          <w:sz w:val="12"/>
        </w:rPr>
        <w:t xml:space="preserve">  </w:t>
      </w:r>
      <w:r>
        <w:rPr>
          <w:spacing w:val="-2"/>
          <w:sz w:val="15"/>
        </w:rPr>
        <w:t>Leichhardt</w:t>
      </w:r>
    </w:p>
    <w:p w:rsidR="002C1123" w:rsidRDefault="00F22F94">
      <w:pPr>
        <w:spacing w:before="102"/>
        <w:ind w:left="477"/>
        <w:rPr>
          <w:sz w:val="15"/>
        </w:rPr>
      </w:pPr>
      <w:r>
        <w:rPr>
          <w:b/>
          <w:position w:val="1"/>
          <w:sz w:val="12"/>
        </w:rPr>
        <w:t>8</w:t>
      </w:r>
      <w:r>
        <w:rPr>
          <w:b/>
          <w:spacing w:val="37"/>
          <w:position w:val="1"/>
          <w:sz w:val="12"/>
        </w:rPr>
        <w:t xml:space="preserve">  </w:t>
      </w:r>
      <w:r>
        <w:rPr>
          <w:spacing w:val="-2"/>
          <w:sz w:val="15"/>
        </w:rPr>
        <w:t>Manly</w:t>
      </w:r>
    </w:p>
    <w:p w:rsidR="002C1123" w:rsidRDefault="00F22F94">
      <w:pPr>
        <w:spacing w:before="102"/>
        <w:ind w:left="477"/>
        <w:rPr>
          <w:sz w:val="15"/>
        </w:rPr>
      </w:pPr>
      <w:r>
        <w:rPr>
          <w:b/>
          <w:position w:val="1"/>
          <w:sz w:val="12"/>
        </w:rPr>
        <w:t>9</w:t>
      </w:r>
      <w:r>
        <w:rPr>
          <w:b/>
          <w:spacing w:val="37"/>
          <w:position w:val="1"/>
          <w:sz w:val="12"/>
        </w:rPr>
        <w:t xml:space="preserve">  </w:t>
      </w:r>
      <w:r>
        <w:rPr>
          <w:spacing w:val="-2"/>
          <w:w w:val="95"/>
          <w:sz w:val="15"/>
        </w:rPr>
        <w:t>Marrickville</w:t>
      </w:r>
    </w:p>
    <w:p w:rsidR="002C1123" w:rsidRDefault="00F22F94">
      <w:pPr>
        <w:spacing w:before="102"/>
        <w:ind w:left="440"/>
        <w:rPr>
          <w:sz w:val="15"/>
        </w:rPr>
      </w:pPr>
      <w:r>
        <w:rPr>
          <w:b/>
          <w:position w:val="1"/>
          <w:sz w:val="12"/>
        </w:rPr>
        <w:t>10</w:t>
      </w:r>
      <w:r>
        <w:rPr>
          <w:b/>
          <w:spacing w:val="78"/>
          <w:position w:val="1"/>
          <w:sz w:val="12"/>
        </w:rPr>
        <w:t xml:space="preserve"> </w:t>
      </w:r>
      <w:r>
        <w:rPr>
          <w:spacing w:val="-2"/>
          <w:sz w:val="15"/>
        </w:rPr>
        <w:t>Mosman</w:t>
      </w:r>
    </w:p>
    <w:p w:rsidR="002C1123" w:rsidRDefault="00F22F94">
      <w:pPr>
        <w:spacing w:before="102"/>
        <w:ind w:left="444"/>
        <w:rPr>
          <w:sz w:val="15"/>
        </w:rPr>
      </w:pPr>
      <w:r>
        <w:rPr>
          <w:b/>
          <w:spacing w:val="-2"/>
          <w:w w:val="95"/>
          <w:position w:val="1"/>
          <w:sz w:val="12"/>
        </w:rPr>
        <w:t>11</w:t>
      </w:r>
      <w:r>
        <w:rPr>
          <w:b/>
          <w:spacing w:val="50"/>
          <w:position w:val="1"/>
          <w:sz w:val="12"/>
        </w:rPr>
        <w:t xml:space="preserve"> </w:t>
      </w:r>
      <w:r>
        <w:rPr>
          <w:spacing w:val="-2"/>
          <w:w w:val="95"/>
          <w:sz w:val="15"/>
        </w:rPr>
        <w:t>North</w:t>
      </w:r>
      <w:r>
        <w:rPr>
          <w:spacing w:val="-6"/>
          <w:w w:val="95"/>
          <w:sz w:val="15"/>
        </w:rPr>
        <w:t xml:space="preserve"> </w:t>
      </w:r>
      <w:r>
        <w:rPr>
          <w:spacing w:val="-2"/>
          <w:w w:val="80"/>
          <w:sz w:val="15"/>
        </w:rPr>
        <w:t>Sydney</w:t>
      </w:r>
    </w:p>
    <w:p w:rsidR="002C1123" w:rsidRDefault="00F22F94">
      <w:pPr>
        <w:pStyle w:val="ListParagraph"/>
        <w:numPr>
          <w:ilvl w:val="0"/>
          <w:numId w:val="154"/>
        </w:numPr>
        <w:tabs>
          <w:tab w:val="left" w:pos="688"/>
        </w:tabs>
        <w:spacing w:before="102"/>
        <w:ind w:hanging="244"/>
        <w:jc w:val="left"/>
        <w:rPr>
          <w:sz w:val="15"/>
        </w:rPr>
      </w:pPr>
      <w:r>
        <w:rPr>
          <w:spacing w:val="-2"/>
          <w:w w:val="90"/>
          <w:sz w:val="15"/>
        </w:rPr>
        <w:t>Randwick</w:t>
      </w:r>
    </w:p>
    <w:p w:rsidR="002C1123" w:rsidRDefault="00F22F94">
      <w:pPr>
        <w:pStyle w:val="ListParagraph"/>
        <w:numPr>
          <w:ilvl w:val="0"/>
          <w:numId w:val="154"/>
        </w:numPr>
        <w:tabs>
          <w:tab w:val="left" w:pos="612"/>
        </w:tabs>
        <w:spacing w:before="113"/>
        <w:ind w:left="611"/>
        <w:jc w:val="left"/>
        <w:rPr>
          <w:sz w:val="15"/>
        </w:rPr>
      </w:pPr>
      <w:r>
        <w:br w:type="column"/>
      </w:r>
      <w:r>
        <w:rPr>
          <w:spacing w:val="-4"/>
          <w:w w:val="85"/>
          <w:sz w:val="15"/>
        </w:rPr>
        <w:t>Ryde</w:t>
      </w:r>
    </w:p>
    <w:p w:rsidR="002C1123" w:rsidRDefault="00F22F94">
      <w:pPr>
        <w:pStyle w:val="ListParagraph"/>
        <w:numPr>
          <w:ilvl w:val="0"/>
          <w:numId w:val="154"/>
        </w:numPr>
        <w:tabs>
          <w:tab w:val="left" w:pos="612"/>
        </w:tabs>
        <w:spacing w:before="102"/>
        <w:ind w:left="611"/>
        <w:jc w:val="left"/>
        <w:rPr>
          <w:sz w:val="15"/>
        </w:rPr>
      </w:pPr>
      <w:r>
        <w:rPr>
          <w:spacing w:val="-2"/>
          <w:w w:val="95"/>
          <w:sz w:val="15"/>
        </w:rPr>
        <w:t>Strathfield</w:t>
      </w:r>
    </w:p>
    <w:p w:rsidR="002C1123" w:rsidRDefault="00F22F94">
      <w:pPr>
        <w:pStyle w:val="ListParagraph"/>
        <w:numPr>
          <w:ilvl w:val="0"/>
          <w:numId w:val="154"/>
        </w:numPr>
        <w:tabs>
          <w:tab w:val="left" w:pos="612"/>
        </w:tabs>
        <w:spacing w:before="102"/>
        <w:ind w:left="611"/>
        <w:jc w:val="left"/>
        <w:rPr>
          <w:sz w:val="15"/>
        </w:rPr>
      </w:pPr>
      <w:r>
        <w:rPr>
          <w:spacing w:val="-2"/>
          <w:w w:val="90"/>
          <w:sz w:val="15"/>
        </w:rPr>
        <w:t>Sydney</w:t>
      </w:r>
    </w:p>
    <w:p w:rsidR="002C1123" w:rsidRDefault="00F22F94">
      <w:pPr>
        <w:pStyle w:val="ListParagraph"/>
        <w:numPr>
          <w:ilvl w:val="0"/>
          <w:numId w:val="154"/>
        </w:numPr>
        <w:tabs>
          <w:tab w:val="left" w:pos="612"/>
        </w:tabs>
        <w:spacing w:before="102"/>
        <w:ind w:left="611"/>
        <w:jc w:val="left"/>
        <w:rPr>
          <w:sz w:val="15"/>
        </w:rPr>
      </w:pPr>
      <w:r>
        <w:rPr>
          <w:spacing w:val="-2"/>
          <w:w w:val="90"/>
          <w:sz w:val="15"/>
        </w:rPr>
        <w:t>Waverley</w:t>
      </w:r>
    </w:p>
    <w:p w:rsidR="002C1123" w:rsidRDefault="00F22F94">
      <w:pPr>
        <w:pStyle w:val="ListParagraph"/>
        <w:numPr>
          <w:ilvl w:val="0"/>
          <w:numId w:val="154"/>
        </w:numPr>
        <w:tabs>
          <w:tab w:val="left" w:pos="612"/>
        </w:tabs>
        <w:spacing w:before="102"/>
        <w:ind w:left="611"/>
        <w:jc w:val="left"/>
        <w:rPr>
          <w:sz w:val="15"/>
        </w:rPr>
      </w:pPr>
      <w:r>
        <w:rPr>
          <w:spacing w:val="-2"/>
          <w:w w:val="90"/>
          <w:sz w:val="15"/>
        </w:rPr>
        <w:t>Willoughby</w:t>
      </w:r>
    </w:p>
    <w:p w:rsidR="002C1123" w:rsidRDefault="00F22F94">
      <w:pPr>
        <w:pStyle w:val="ListParagraph"/>
        <w:numPr>
          <w:ilvl w:val="0"/>
          <w:numId w:val="154"/>
        </w:numPr>
        <w:tabs>
          <w:tab w:val="left" w:pos="612"/>
        </w:tabs>
        <w:spacing w:before="102"/>
        <w:ind w:left="611"/>
        <w:jc w:val="left"/>
        <w:rPr>
          <w:sz w:val="15"/>
        </w:rPr>
      </w:pPr>
      <w:r>
        <w:rPr>
          <w:spacing w:val="-2"/>
          <w:w w:val="90"/>
          <w:sz w:val="15"/>
        </w:rPr>
        <w:t>Woollahra</w:t>
      </w:r>
    </w:p>
    <w:p w:rsidR="002C1123" w:rsidRDefault="002C1123">
      <w:pPr>
        <w:rPr>
          <w:sz w:val="15"/>
        </w:rPr>
        <w:sectPr w:rsidR="002C1123">
          <w:type w:val="continuous"/>
          <w:pgSz w:w="16840" w:h="11910" w:orient="landscape"/>
          <w:pgMar w:top="560" w:right="280" w:bottom="280" w:left="500" w:header="0" w:footer="0" w:gutter="0"/>
          <w:cols w:num="3" w:space="720" w:equalWidth="0">
            <w:col w:w="12038" w:space="40"/>
            <w:col w:w="1425" w:space="39"/>
            <w:col w:w="2518"/>
          </w:cols>
        </w:sectPr>
      </w:pPr>
    </w:p>
    <w:p w:rsidR="002C1123" w:rsidRDefault="002C1123">
      <w:pPr>
        <w:pStyle w:val="BodyText"/>
      </w:pPr>
    </w:p>
    <w:p w:rsidR="002C1123" w:rsidRDefault="002C1123">
      <w:pPr>
        <w:sectPr w:rsidR="002C1123">
          <w:type w:val="continuous"/>
          <w:pgSz w:w="16840" w:h="11910" w:orient="landscape"/>
          <w:pgMar w:top="560" w:right="280" w:bottom="280" w:left="500" w:header="0" w:footer="0" w:gutter="0"/>
          <w:cols w:space="720"/>
        </w:sect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spacing w:before="5"/>
        <w:rPr>
          <w:sz w:val="19"/>
        </w:rPr>
      </w:pPr>
    </w:p>
    <w:p w:rsidR="002C1123" w:rsidRDefault="00F22F94">
      <w:pPr>
        <w:ind w:left="1908"/>
        <w:rPr>
          <w:sz w:val="15"/>
        </w:rPr>
      </w:pPr>
      <w:r>
        <w:rPr>
          <w:w w:val="85"/>
          <w:sz w:val="15"/>
        </w:rPr>
        <w:t>Inland</w:t>
      </w:r>
      <w:r>
        <w:rPr>
          <w:spacing w:val="-5"/>
          <w:sz w:val="15"/>
        </w:rPr>
        <w:t xml:space="preserve"> </w:t>
      </w:r>
      <w:r>
        <w:rPr>
          <w:spacing w:val="-9"/>
          <w:w w:val="85"/>
          <w:sz w:val="15"/>
        </w:rPr>
        <w:t>NSW</w:t>
      </w: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spacing w:before="7"/>
        <w:rPr>
          <w:sz w:val="18"/>
        </w:rPr>
      </w:pPr>
    </w:p>
    <w:p w:rsidR="002C1123" w:rsidRDefault="00F22F94">
      <w:pPr>
        <w:ind w:left="1843"/>
        <w:rPr>
          <w:sz w:val="15"/>
        </w:rPr>
      </w:pPr>
      <w:r>
        <w:rPr>
          <w:spacing w:val="-2"/>
          <w:w w:val="95"/>
          <w:sz w:val="15"/>
        </w:rPr>
        <w:t>Murray</w:t>
      </w:r>
    </w:p>
    <w:p w:rsidR="002C1123" w:rsidRDefault="00F22F94">
      <w:pPr>
        <w:rPr>
          <w:sz w:val="18"/>
        </w:rPr>
      </w:pPr>
      <w:r>
        <w:br w:type="column"/>
      </w: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spacing w:before="2"/>
        <w:rPr>
          <w:sz w:val="18"/>
        </w:rPr>
      </w:pPr>
    </w:p>
    <w:p w:rsidR="002C1123" w:rsidRDefault="00F22F94">
      <w:pPr>
        <w:spacing w:line="218" w:lineRule="auto"/>
        <w:ind w:left="573"/>
        <w:jc w:val="right"/>
        <w:rPr>
          <w:sz w:val="15"/>
        </w:rPr>
      </w:pPr>
      <w:r>
        <w:rPr>
          <w:spacing w:val="-2"/>
          <w:w w:val="85"/>
          <w:sz w:val="15"/>
        </w:rPr>
        <w:t>South</w:t>
      </w:r>
      <w:r>
        <w:rPr>
          <w:sz w:val="15"/>
        </w:rPr>
        <w:t xml:space="preserve"> </w:t>
      </w:r>
      <w:r>
        <w:rPr>
          <w:spacing w:val="-2"/>
          <w:w w:val="85"/>
          <w:sz w:val="15"/>
        </w:rPr>
        <w:t>Coast</w:t>
      </w:r>
    </w:p>
    <w:p w:rsidR="002C1123" w:rsidRDefault="00F22F94">
      <w:pPr>
        <w:rPr>
          <w:sz w:val="18"/>
        </w:rPr>
      </w:pPr>
      <w:r>
        <w:br w:type="column"/>
      </w:r>
    </w:p>
    <w:p w:rsidR="002C1123" w:rsidRDefault="00F22F94">
      <w:pPr>
        <w:spacing w:before="115" w:line="218" w:lineRule="auto"/>
        <w:ind w:left="1045" w:right="276"/>
        <w:rPr>
          <w:sz w:val="15"/>
        </w:rPr>
      </w:pPr>
      <w:r>
        <w:rPr>
          <w:spacing w:val="-4"/>
          <w:w w:val="85"/>
          <w:sz w:val="15"/>
        </w:rPr>
        <w:t>North</w:t>
      </w:r>
      <w:r>
        <w:rPr>
          <w:sz w:val="15"/>
        </w:rPr>
        <w:t xml:space="preserve"> </w:t>
      </w:r>
      <w:r>
        <w:rPr>
          <w:spacing w:val="-4"/>
          <w:w w:val="80"/>
          <w:sz w:val="15"/>
        </w:rPr>
        <w:t>Coast</w:t>
      </w:r>
    </w:p>
    <w:p w:rsidR="002C1123" w:rsidRDefault="002C1123">
      <w:pPr>
        <w:pStyle w:val="BodyText"/>
        <w:rPr>
          <w:sz w:val="18"/>
        </w:rPr>
      </w:pPr>
    </w:p>
    <w:p w:rsidR="002C1123" w:rsidRDefault="002C1123">
      <w:pPr>
        <w:pStyle w:val="BodyText"/>
        <w:rPr>
          <w:sz w:val="18"/>
        </w:rPr>
      </w:pPr>
    </w:p>
    <w:p w:rsidR="002C1123" w:rsidRDefault="002C1123">
      <w:pPr>
        <w:pStyle w:val="BodyText"/>
        <w:spacing w:before="3"/>
        <w:rPr>
          <w:sz w:val="25"/>
        </w:rPr>
      </w:pPr>
    </w:p>
    <w:p w:rsidR="002C1123" w:rsidRDefault="00F22F94">
      <w:pPr>
        <w:ind w:left="713" w:right="717"/>
        <w:jc w:val="center"/>
        <w:rPr>
          <w:sz w:val="15"/>
        </w:rPr>
      </w:pPr>
      <w:r>
        <w:rPr>
          <w:spacing w:val="-2"/>
          <w:w w:val="95"/>
          <w:sz w:val="15"/>
        </w:rPr>
        <w:t>Hunter</w:t>
      </w:r>
    </w:p>
    <w:p w:rsidR="002C1123" w:rsidRDefault="002C1123">
      <w:pPr>
        <w:pStyle w:val="BodyText"/>
        <w:spacing w:before="2"/>
        <w:rPr>
          <w:sz w:val="18"/>
        </w:rPr>
      </w:pPr>
    </w:p>
    <w:p w:rsidR="002C1123" w:rsidRDefault="00F22F94">
      <w:pPr>
        <w:ind w:left="1001"/>
        <w:rPr>
          <w:sz w:val="15"/>
        </w:rPr>
      </w:pPr>
      <w:r>
        <w:rPr>
          <w:w w:val="80"/>
          <w:sz w:val="15"/>
        </w:rPr>
        <w:t>Greater</w:t>
      </w:r>
      <w:r>
        <w:rPr>
          <w:spacing w:val="10"/>
          <w:sz w:val="15"/>
        </w:rPr>
        <w:t xml:space="preserve"> </w:t>
      </w:r>
      <w:r>
        <w:rPr>
          <w:spacing w:val="-7"/>
          <w:w w:val="90"/>
          <w:sz w:val="15"/>
        </w:rPr>
        <w:t>Sydney</w:t>
      </w:r>
    </w:p>
    <w:p w:rsidR="002C1123" w:rsidRDefault="00F22F94">
      <w:pPr>
        <w:rPr>
          <w:sz w:val="18"/>
        </w:rPr>
      </w:pPr>
      <w:r>
        <w:br w:type="column"/>
      </w:r>
    </w:p>
    <w:p w:rsidR="002C1123" w:rsidRDefault="002C1123">
      <w:pPr>
        <w:pStyle w:val="BodyText"/>
        <w:rPr>
          <w:sz w:val="18"/>
        </w:rPr>
      </w:pPr>
    </w:p>
    <w:p w:rsidR="002C1123" w:rsidRDefault="002C1123">
      <w:pPr>
        <w:pStyle w:val="BodyText"/>
        <w:rPr>
          <w:sz w:val="18"/>
        </w:rPr>
      </w:pPr>
    </w:p>
    <w:p w:rsidR="002C1123" w:rsidRDefault="00F22F94">
      <w:pPr>
        <w:spacing w:before="109" w:line="218" w:lineRule="auto"/>
        <w:ind w:left="1680" w:right="104"/>
        <w:rPr>
          <w:sz w:val="15"/>
        </w:rPr>
      </w:pPr>
      <w:r>
        <w:rPr>
          <w:spacing w:val="-4"/>
          <w:w w:val="85"/>
          <w:sz w:val="15"/>
        </w:rPr>
        <w:t>North</w:t>
      </w:r>
      <w:r>
        <w:rPr>
          <w:sz w:val="15"/>
        </w:rPr>
        <w:t xml:space="preserve"> </w:t>
      </w:r>
      <w:r>
        <w:rPr>
          <w:spacing w:val="-4"/>
          <w:w w:val="90"/>
          <w:sz w:val="15"/>
        </w:rPr>
        <w:t>West</w:t>
      </w: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22"/>
        </w:rPr>
      </w:pPr>
    </w:p>
    <w:p w:rsidR="002C1123" w:rsidRDefault="00F22F94">
      <w:pPr>
        <w:ind w:left="1689"/>
        <w:rPr>
          <w:sz w:val="15"/>
        </w:rPr>
      </w:pPr>
      <w:r>
        <w:rPr>
          <w:w w:val="85"/>
          <w:sz w:val="15"/>
        </w:rPr>
        <w:t>South</w:t>
      </w:r>
      <w:r>
        <w:rPr>
          <w:spacing w:val="-1"/>
          <w:w w:val="90"/>
          <w:sz w:val="15"/>
        </w:rPr>
        <w:t xml:space="preserve"> </w:t>
      </w:r>
      <w:r>
        <w:rPr>
          <w:spacing w:val="-9"/>
          <w:w w:val="90"/>
          <w:sz w:val="15"/>
        </w:rPr>
        <w:t>West</w:t>
      </w:r>
    </w:p>
    <w:p w:rsidR="002C1123" w:rsidRDefault="00F22F94">
      <w:pPr>
        <w:rPr>
          <w:sz w:val="18"/>
        </w:rPr>
      </w:pPr>
      <w:r>
        <w:br w:type="column"/>
      </w: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spacing w:before="6"/>
        <w:rPr>
          <w:sz w:val="17"/>
        </w:rPr>
      </w:pPr>
    </w:p>
    <w:p w:rsidR="002C1123" w:rsidRDefault="00F22F94">
      <w:pPr>
        <w:spacing w:line="218" w:lineRule="auto"/>
        <w:ind w:left="13" w:right="114"/>
        <w:rPr>
          <w:sz w:val="15"/>
        </w:rPr>
      </w:pPr>
      <w:r>
        <w:rPr>
          <w:spacing w:val="-4"/>
          <w:w w:val="95"/>
          <w:sz w:val="15"/>
        </w:rPr>
        <w:t>West</w:t>
      </w:r>
      <w:r>
        <w:rPr>
          <w:sz w:val="15"/>
        </w:rPr>
        <w:t xml:space="preserve"> </w:t>
      </w:r>
      <w:r>
        <w:rPr>
          <w:spacing w:val="-2"/>
          <w:w w:val="85"/>
          <w:sz w:val="15"/>
        </w:rPr>
        <w:t>Central</w:t>
      </w: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F22F94">
      <w:pPr>
        <w:spacing w:before="131"/>
        <w:ind w:left="211"/>
        <w:rPr>
          <w:sz w:val="15"/>
        </w:rPr>
      </w:pPr>
      <w:r>
        <w:rPr>
          <w:spacing w:val="-2"/>
          <w:w w:val="85"/>
          <w:sz w:val="15"/>
        </w:rPr>
        <w:t>South</w:t>
      </w:r>
    </w:p>
    <w:p w:rsidR="002C1123" w:rsidRDefault="00F22F94">
      <w:pPr>
        <w:rPr>
          <w:sz w:val="18"/>
        </w:rPr>
      </w:pPr>
      <w:r>
        <w:br w:type="column"/>
      </w: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F22F94">
      <w:pPr>
        <w:spacing w:before="105"/>
        <w:ind w:left="99"/>
        <w:rPr>
          <w:sz w:val="15"/>
        </w:rPr>
      </w:pPr>
      <w:r>
        <w:rPr>
          <w:spacing w:val="-4"/>
          <w:w w:val="85"/>
          <w:sz w:val="15"/>
        </w:rPr>
        <w:t>North</w:t>
      </w:r>
    </w:p>
    <w:p w:rsidR="002C1123" w:rsidRDefault="00F22F94">
      <w:pPr>
        <w:rPr>
          <w:sz w:val="18"/>
        </w:rPr>
      </w:pPr>
      <w:r>
        <w:br w:type="column"/>
      </w:r>
    </w:p>
    <w:p w:rsidR="002C1123" w:rsidRDefault="00F22F94">
      <w:pPr>
        <w:spacing w:before="130" w:line="218" w:lineRule="auto"/>
        <w:ind w:left="35" w:right="-5"/>
        <w:rPr>
          <w:sz w:val="15"/>
        </w:rPr>
      </w:pPr>
      <w:r>
        <w:rPr>
          <w:spacing w:val="-2"/>
          <w:w w:val="85"/>
          <w:sz w:val="15"/>
        </w:rPr>
        <w:t>Central</w:t>
      </w:r>
      <w:r>
        <w:rPr>
          <w:sz w:val="15"/>
        </w:rPr>
        <w:t xml:space="preserve"> </w:t>
      </w:r>
      <w:r>
        <w:rPr>
          <w:spacing w:val="-2"/>
          <w:w w:val="95"/>
          <w:sz w:val="15"/>
        </w:rPr>
        <w:t>Coast</w:t>
      </w:r>
    </w:p>
    <w:p w:rsidR="002C1123" w:rsidRDefault="00F22F94">
      <w:pPr>
        <w:rPr>
          <w:sz w:val="18"/>
        </w:rPr>
      </w:pPr>
      <w:r>
        <w:br w:type="column"/>
      </w: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spacing w:before="9"/>
        <w:rPr>
          <w:sz w:val="23"/>
        </w:rPr>
      </w:pPr>
    </w:p>
    <w:p w:rsidR="002C1123" w:rsidRDefault="00F22F94">
      <w:pPr>
        <w:ind w:left="142"/>
        <w:rPr>
          <w:sz w:val="15"/>
        </w:rPr>
      </w:pPr>
      <w:r>
        <w:rPr>
          <w:w w:val="80"/>
          <w:sz w:val="15"/>
        </w:rPr>
        <w:t>Global</w:t>
      </w:r>
      <w:r>
        <w:rPr>
          <w:spacing w:val="8"/>
          <w:sz w:val="15"/>
        </w:rPr>
        <w:t xml:space="preserve"> </w:t>
      </w:r>
      <w:r>
        <w:rPr>
          <w:spacing w:val="-2"/>
          <w:w w:val="85"/>
          <w:sz w:val="15"/>
        </w:rPr>
        <w:t>Sydney</w:t>
      </w:r>
    </w:p>
    <w:p w:rsidR="002C1123" w:rsidRDefault="00F22F94">
      <w:pPr>
        <w:rPr>
          <w:sz w:val="14"/>
        </w:rPr>
      </w:pPr>
      <w:r>
        <w:br w:type="column"/>
      </w:r>
    </w:p>
    <w:p w:rsidR="002C1123" w:rsidRDefault="002C1123">
      <w:pPr>
        <w:pStyle w:val="BodyText"/>
        <w:spacing w:before="10"/>
        <w:rPr>
          <w:sz w:val="18"/>
        </w:rPr>
      </w:pPr>
    </w:p>
    <w:p w:rsidR="002C1123" w:rsidRDefault="00F22F94">
      <w:pPr>
        <w:spacing w:before="1"/>
        <w:ind w:left="1099"/>
        <w:rPr>
          <w:b/>
          <w:sz w:val="12"/>
        </w:rPr>
      </w:pPr>
      <w:r>
        <w:rPr>
          <w:b/>
          <w:spacing w:val="-5"/>
          <w:w w:val="105"/>
          <w:sz w:val="12"/>
        </w:rPr>
        <w:t>13</w:t>
      </w:r>
    </w:p>
    <w:p w:rsidR="002C1123" w:rsidRDefault="002C1123">
      <w:pPr>
        <w:pStyle w:val="BodyText"/>
        <w:rPr>
          <w:b/>
          <w:sz w:val="11"/>
        </w:rPr>
      </w:pPr>
    </w:p>
    <w:p w:rsidR="002C1123" w:rsidRDefault="00F22F94">
      <w:pPr>
        <w:ind w:left="1917"/>
        <w:rPr>
          <w:b/>
          <w:sz w:val="12"/>
        </w:rPr>
      </w:pPr>
      <w:r>
        <w:rPr>
          <w:b/>
          <w:w w:val="106"/>
          <w:sz w:val="12"/>
        </w:rPr>
        <w:t>6</w:t>
      </w:r>
    </w:p>
    <w:p w:rsidR="002C1123" w:rsidRDefault="00F22F94">
      <w:pPr>
        <w:spacing w:before="60"/>
        <w:ind w:left="1578"/>
        <w:rPr>
          <w:b/>
          <w:sz w:val="12"/>
        </w:rPr>
      </w:pPr>
      <w:r>
        <w:rPr>
          <w:b/>
          <w:w w:val="106"/>
          <w:sz w:val="12"/>
        </w:rPr>
        <w:t>5</w:t>
      </w:r>
    </w:p>
    <w:p w:rsidR="002C1123" w:rsidRDefault="002C1123">
      <w:pPr>
        <w:pStyle w:val="BodyText"/>
        <w:spacing w:before="1"/>
        <w:rPr>
          <w:b/>
          <w:sz w:val="14"/>
        </w:rPr>
      </w:pPr>
    </w:p>
    <w:p w:rsidR="002C1123" w:rsidRDefault="00F22F94">
      <w:pPr>
        <w:ind w:left="1082"/>
        <w:rPr>
          <w:b/>
          <w:sz w:val="12"/>
        </w:rPr>
      </w:pPr>
      <w:r>
        <w:rPr>
          <w:b/>
          <w:w w:val="106"/>
          <w:sz w:val="12"/>
        </w:rPr>
        <w:t>4</w:t>
      </w:r>
    </w:p>
    <w:p w:rsidR="002C1123" w:rsidRDefault="002C1123">
      <w:pPr>
        <w:pStyle w:val="BodyText"/>
        <w:spacing w:before="7"/>
        <w:rPr>
          <w:b/>
          <w:sz w:val="11"/>
        </w:rPr>
      </w:pPr>
    </w:p>
    <w:p w:rsidR="002C1123" w:rsidRDefault="002060EF">
      <w:pPr>
        <w:tabs>
          <w:tab w:val="left" w:pos="1917"/>
        </w:tabs>
        <w:spacing w:before="1" w:line="206" w:lineRule="exact"/>
        <w:ind w:left="657"/>
        <w:rPr>
          <w:b/>
          <w:sz w:val="12"/>
        </w:rPr>
      </w:pPr>
      <w:r>
        <w:pict>
          <v:shape id="docshape168" o:spid="_x0000_s5125" type="#_x0000_t202" style="position:absolute;left:0;text-align:left;margin-left:614.15pt;margin-top:5.85pt;width:3.55pt;height:7.6pt;z-index:-251529216;mso-position-horizontal-relative:page" filled="f" stroked="f">
            <v:textbox inset="0,0,0,0">
              <w:txbxContent>
                <w:p w:rsidR="00F22F94" w:rsidRDefault="00F22F94">
                  <w:pPr>
                    <w:spacing w:before="11"/>
                    <w:rPr>
                      <w:b/>
                      <w:sz w:val="12"/>
                    </w:rPr>
                  </w:pPr>
                  <w:r>
                    <w:rPr>
                      <w:b/>
                      <w:w w:val="106"/>
                      <w:sz w:val="12"/>
                    </w:rPr>
                    <w:t>3</w:t>
                  </w:r>
                </w:p>
              </w:txbxContent>
            </v:textbox>
            <w10:wrap anchorx="page"/>
          </v:shape>
        </w:pict>
      </w:r>
      <w:r w:rsidR="00F22F94">
        <w:rPr>
          <w:b/>
          <w:spacing w:val="-5"/>
          <w:w w:val="105"/>
          <w:sz w:val="12"/>
        </w:rPr>
        <w:t>14</w:t>
      </w:r>
      <w:r w:rsidR="00F22F94">
        <w:rPr>
          <w:b/>
          <w:sz w:val="12"/>
        </w:rPr>
        <w:tab/>
      </w:r>
      <w:r w:rsidR="00F22F94">
        <w:rPr>
          <w:b/>
          <w:spacing w:val="-10"/>
          <w:w w:val="105"/>
          <w:position w:val="8"/>
          <w:sz w:val="12"/>
        </w:rPr>
        <w:t>7</w:t>
      </w:r>
    </w:p>
    <w:p w:rsidR="002C1123" w:rsidRDefault="00F22F94">
      <w:pPr>
        <w:spacing w:line="126" w:lineRule="exact"/>
        <w:ind w:left="1490"/>
        <w:rPr>
          <w:b/>
          <w:sz w:val="12"/>
        </w:rPr>
      </w:pPr>
      <w:r>
        <w:rPr>
          <w:b/>
          <w:w w:val="106"/>
          <w:sz w:val="12"/>
        </w:rPr>
        <w:t>1</w:t>
      </w:r>
    </w:p>
    <w:p w:rsidR="002C1123" w:rsidRDefault="002C1123">
      <w:pPr>
        <w:pStyle w:val="BodyText"/>
        <w:spacing w:before="7"/>
        <w:rPr>
          <w:b/>
          <w:sz w:val="14"/>
        </w:rPr>
      </w:pPr>
    </w:p>
    <w:p w:rsidR="002C1123" w:rsidRDefault="00F22F94">
      <w:pPr>
        <w:ind w:left="1874"/>
        <w:rPr>
          <w:b/>
          <w:sz w:val="12"/>
        </w:rPr>
      </w:pPr>
      <w:r>
        <w:rPr>
          <w:b/>
          <w:w w:val="106"/>
          <w:sz w:val="12"/>
        </w:rPr>
        <w:t>9</w:t>
      </w:r>
    </w:p>
    <w:p w:rsidR="002C1123" w:rsidRDefault="00F22F94">
      <w:pPr>
        <w:spacing w:before="2"/>
        <w:rPr>
          <w:b/>
          <w:sz w:val="24"/>
        </w:rPr>
      </w:pPr>
      <w:r>
        <w:br w:type="column"/>
      </w:r>
    </w:p>
    <w:p w:rsidR="002C1123" w:rsidRDefault="00F22F94">
      <w:pPr>
        <w:tabs>
          <w:tab w:val="left" w:pos="1555"/>
        </w:tabs>
        <w:spacing w:before="1"/>
        <w:ind w:left="331"/>
        <w:rPr>
          <w:b/>
          <w:sz w:val="12"/>
        </w:rPr>
      </w:pPr>
      <w:r>
        <w:rPr>
          <w:b/>
          <w:spacing w:val="-5"/>
          <w:w w:val="105"/>
          <w:sz w:val="12"/>
        </w:rPr>
        <w:t>17</w:t>
      </w:r>
      <w:r>
        <w:rPr>
          <w:b/>
          <w:sz w:val="12"/>
        </w:rPr>
        <w:tab/>
      </w:r>
      <w:r>
        <w:rPr>
          <w:b/>
          <w:spacing w:val="-10"/>
          <w:w w:val="105"/>
          <w:position w:val="10"/>
          <w:sz w:val="12"/>
        </w:rPr>
        <w:t>8</w:t>
      </w:r>
    </w:p>
    <w:p w:rsidR="002C1123" w:rsidRDefault="002C1123">
      <w:pPr>
        <w:pStyle w:val="BodyText"/>
        <w:spacing w:before="6"/>
        <w:rPr>
          <w:b/>
          <w:sz w:val="22"/>
        </w:rPr>
      </w:pPr>
    </w:p>
    <w:p w:rsidR="002C1123" w:rsidRDefault="00F22F94">
      <w:pPr>
        <w:tabs>
          <w:tab w:val="left" w:pos="1017"/>
        </w:tabs>
        <w:ind w:left="535"/>
        <w:rPr>
          <w:b/>
          <w:sz w:val="12"/>
        </w:rPr>
      </w:pPr>
      <w:r>
        <w:rPr>
          <w:b/>
          <w:spacing w:val="-5"/>
          <w:w w:val="105"/>
          <w:position w:val="-2"/>
          <w:sz w:val="12"/>
        </w:rPr>
        <w:t>11</w:t>
      </w:r>
      <w:r>
        <w:rPr>
          <w:b/>
          <w:position w:val="-2"/>
          <w:sz w:val="12"/>
        </w:rPr>
        <w:tab/>
      </w:r>
      <w:r>
        <w:rPr>
          <w:b/>
          <w:spacing w:val="-5"/>
          <w:w w:val="105"/>
          <w:sz w:val="12"/>
        </w:rPr>
        <w:t>10</w:t>
      </w:r>
    </w:p>
    <w:p w:rsidR="002C1123" w:rsidRDefault="002C1123">
      <w:pPr>
        <w:pStyle w:val="BodyText"/>
        <w:rPr>
          <w:b/>
          <w:sz w:val="18"/>
        </w:rPr>
      </w:pPr>
    </w:p>
    <w:p w:rsidR="002C1123" w:rsidRDefault="002C1123">
      <w:pPr>
        <w:pStyle w:val="BodyText"/>
        <w:spacing w:before="1"/>
        <w:rPr>
          <w:b/>
          <w:sz w:val="24"/>
        </w:rPr>
      </w:pPr>
    </w:p>
    <w:p w:rsidR="002C1123" w:rsidRDefault="00F22F94">
      <w:pPr>
        <w:ind w:left="1093"/>
        <w:rPr>
          <w:b/>
          <w:sz w:val="12"/>
        </w:rPr>
      </w:pPr>
      <w:r>
        <w:rPr>
          <w:b/>
          <w:spacing w:val="-5"/>
          <w:w w:val="105"/>
          <w:sz w:val="12"/>
        </w:rPr>
        <w:t>18</w:t>
      </w:r>
    </w:p>
    <w:p w:rsidR="002C1123" w:rsidRDefault="00F22F94">
      <w:pPr>
        <w:tabs>
          <w:tab w:val="left" w:pos="1341"/>
        </w:tabs>
        <w:spacing w:before="99"/>
        <w:ind w:left="400"/>
        <w:rPr>
          <w:b/>
          <w:sz w:val="12"/>
        </w:rPr>
      </w:pPr>
      <w:r>
        <w:rPr>
          <w:b/>
          <w:spacing w:val="-5"/>
          <w:w w:val="105"/>
          <w:sz w:val="12"/>
        </w:rPr>
        <w:t>15</w:t>
      </w:r>
      <w:r>
        <w:rPr>
          <w:b/>
          <w:sz w:val="12"/>
        </w:rPr>
        <w:tab/>
      </w:r>
      <w:r>
        <w:rPr>
          <w:b/>
          <w:spacing w:val="-5"/>
          <w:w w:val="105"/>
          <w:position w:val="-8"/>
          <w:sz w:val="12"/>
        </w:rPr>
        <w:t>16</w:t>
      </w:r>
    </w:p>
    <w:p w:rsidR="002C1123" w:rsidRDefault="002C1123">
      <w:pPr>
        <w:pStyle w:val="BodyText"/>
        <w:spacing w:before="2"/>
        <w:rPr>
          <w:b/>
          <w:sz w:val="28"/>
        </w:rPr>
      </w:pPr>
    </w:p>
    <w:p w:rsidR="002C1123" w:rsidRDefault="00F22F94">
      <w:pPr>
        <w:spacing w:before="1"/>
        <w:ind w:left="1017"/>
        <w:rPr>
          <w:b/>
          <w:sz w:val="12"/>
        </w:rPr>
      </w:pPr>
      <w:r>
        <w:rPr>
          <w:b/>
          <w:spacing w:val="-5"/>
          <w:w w:val="105"/>
          <w:sz w:val="12"/>
        </w:rPr>
        <w:t>12</w:t>
      </w:r>
    </w:p>
    <w:p w:rsidR="002C1123" w:rsidRDefault="00F22F94">
      <w:pPr>
        <w:spacing w:before="80"/>
        <w:ind w:left="429"/>
        <w:rPr>
          <w:b/>
          <w:sz w:val="12"/>
        </w:rPr>
      </w:pPr>
      <w:r>
        <w:rPr>
          <w:b/>
          <w:w w:val="106"/>
          <w:sz w:val="12"/>
        </w:rPr>
        <w:t>2</w:t>
      </w:r>
    </w:p>
    <w:p w:rsidR="002C1123" w:rsidRDefault="002C1123">
      <w:pPr>
        <w:rPr>
          <w:sz w:val="12"/>
        </w:rPr>
        <w:sectPr w:rsidR="002C1123">
          <w:type w:val="continuous"/>
          <w:pgSz w:w="16840" w:h="11910" w:orient="landscape"/>
          <w:pgMar w:top="560" w:right="280" w:bottom="280" w:left="500" w:header="0" w:footer="0" w:gutter="0"/>
          <w:cols w:num="10" w:space="720" w:equalWidth="0">
            <w:col w:w="2577" w:space="40"/>
            <w:col w:w="1200" w:space="39"/>
            <w:col w:w="1887" w:space="40"/>
            <w:col w:w="2348" w:space="39"/>
            <w:col w:w="545" w:space="40"/>
            <w:col w:w="417" w:space="40"/>
            <w:col w:w="448" w:space="39"/>
            <w:col w:w="962" w:space="40"/>
            <w:col w:w="1989" w:space="39"/>
            <w:col w:w="3331"/>
          </w:cols>
        </w:sectPr>
      </w:pPr>
    </w:p>
    <w:p w:rsidR="002C1123" w:rsidRDefault="002C1123">
      <w:pPr>
        <w:pStyle w:val="BodyText"/>
        <w:spacing w:before="6"/>
        <w:rPr>
          <w:b/>
          <w:sz w:val="17"/>
        </w:rPr>
      </w:pPr>
    </w:p>
    <w:p w:rsidR="002C1123" w:rsidRDefault="00F22F94">
      <w:pPr>
        <w:ind w:left="1002"/>
        <w:rPr>
          <w:b/>
          <w:sz w:val="17"/>
        </w:rPr>
      </w:pPr>
      <w:r>
        <w:rPr>
          <w:b/>
          <w:sz w:val="17"/>
        </w:rPr>
        <w:t>Regional</w:t>
      </w:r>
      <w:r>
        <w:rPr>
          <w:b/>
          <w:spacing w:val="20"/>
          <w:w w:val="105"/>
          <w:sz w:val="17"/>
        </w:rPr>
        <w:t xml:space="preserve"> </w:t>
      </w:r>
      <w:r>
        <w:rPr>
          <w:b/>
          <w:spacing w:val="-5"/>
          <w:w w:val="105"/>
          <w:sz w:val="17"/>
        </w:rPr>
        <w:t>NSW</w:t>
      </w:r>
    </w:p>
    <w:p w:rsidR="002C1123" w:rsidRDefault="00F22F94">
      <w:pPr>
        <w:spacing w:before="6"/>
        <w:rPr>
          <w:b/>
          <w:sz w:val="17"/>
        </w:rPr>
      </w:pPr>
      <w:r>
        <w:br w:type="column"/>
      </w:r>
    </w:p>
    <w:p w:rsidR="002C1123" w:rsidRDefault="00F22F94">
      <w:pPr>
        <w:ind w:left="1002"/>
        <w:rPr>
          <w:b/>
          <w:sz w:val="17"/>
        </w:rPr>
      </w:pPr>
      <w:r>
        <w:rPr>
          <w:b/>
          <w:w w:val="105"/>
          <w:sz w:val="17"/>
        </w:rPr>
        <w:t>Greater</w:t>
      </w:r>
      <w:r>
        <w:rPr>
          <w:b/>
          <w:spacing w:val="-8"/>
          <w:w w:val="105"/>
          <w:sz w:val="17"/>
        </w:rPr>
        <w:t xml:space="preserve"> </w:t>
      </w:r>
      <w:r>
        <w:rPr>
          <w:b/>
          <w:spacing w:val="-2"/>
          <w:w w:val="105"/>
          <w:sz w:val="17"/>
        </w:rPr>
        <w:t>Sydney</w:t>
      </w:r>
    </w:p>
    <w:p w:rsidR="002C1123" w:rsidRDefault="00F22F94">
      <w:pPr>
        <w:spacing w:before="6"/>
        <w:rPr>
          <w:b/>
          <w:sz w:val="17"/>
        </w:rPr>
      </w:pPr>
      <w:r>
        <w:br w:type="column"/>
      </w:r>
    </w:p>
    <w:p w:rsidR="002C1123" w:rsidRDefault="00F22F94">
      <w:pPr>
        <w:ind w:left="1002"/>
        <w:rPr>
          <w:b/>
          <w:sz w:val="17"/>
        </w:rPr>
      </w:pPr>
      <w:r>
        <w:rPr>
          <w:b/>
          <w:sz w:val="17"/>
        </w:rPr>
        <w:t>Global</w:t>
      </w:r>
      <w:r>
        <w:rPr>
          <w:b/>
          <w:spacing w:val="11"/>
          <w:sz w:val="17"/>
        </w:rPr>
        <w:t xml:space="preserve"> </w:t>
      </w:r>
      <w:r>
        <w:rPr>
          <w:b/>
          <w:spacing w:val="-2"/>
          <w:sz w:val="17"/>
        </w:rPr>
        <w:t>Sydney</w:t>
      </w:r>
    </w:p>
    <w:p w:rsidR="002C1123" w:rsidRDefault="002C1123">
      <w:pPr>
        <w:rPr>
          <w:sz w:val="17"/>
        </w:rPr>
        <w:sectPr w:rsidR="002C1123">
          <w:type w:val="continuous"/>
          <w:pgSz w:w="16840" w:h="11910" w:orient="landscape"/>
          <w:pgMar w:top="560" w:right="280" w:bottom="280" w:left="500" w:header="0" w:footer="0" w:gutter="0"/>
          <w:cols w:num="3" w:space="720" w:equalWidth="0">
            <w:col w:w="2245" w:space="2729"/>
            <w:col w:w="2337" w:space="3091"/>
            <w:col w:w="5658"/>
          </w:cols>
        </w:sectPr>
      </w:pPr>
    </w:p>
    <w:p w:rsidR="002C1123" w:rsidRDefault="002C1123">
      <w:pPr>
        <w:pStyle w:val="BodyText"/>
        <w:spacing w:before="10"/>
        <w:rPr>
          <w:b/>
          <w:sz w:val="26"/>
        </w:rPr>
      </w:pPr>
    </w:p>
    <w:p w:rsidR="002C1123" w:rsidRDefault="002C1123">
      <w:pPr>
        <w:rPr>
          <w:sz w:val="26"/>
        </w:rPr>
        <w:sectPr w:rsidR="002C1123">
          <w:type w:val="continuous"/>
          <w:pgSz w:w="16840" w:h="11910" w:orient="landscape"/>
          <w:pgMar w:top="560" w:right="280" w:bottom="280" w:left="500" w:header="0" w:footer="0" w:gutter="0"/>
          <w:cols w:space="720"/>
        </w:sectPr>
      </w:pPr>
    </w:p>
    <w:p w:rsidR="002C1123" w:rsidRDefault="002C1123">
      <w:pPr>
        <w:pStyle w:val="BodyText"/>
        <w:rPr>
          <w:b/>
        </w:rPr>
      </w:pPr>
    </w:p>
    <w:p w:rsidR="002C1123" w:rsidRDefault="00F22F94">
      <w:pPr>
        <w:spacing w:before="175" w:line="460" w:lineRule="auto"/>
        <w:ind w:left="738"/>
        <w:rPr>
          <w:b/>
          <w:sz w:val="17"/>
        </w:rPr>
      </w:pPr>
      <w:r>
        <w:rPr>
          <w:b/>
          <w:spacing w:val="-2"/>
          <w:sz w:val="17"/>
        </w:rPr>
        <w:t xml:space="preserve">Population </w:t>
      </w:r>
      <w:r>
        <w:rPr>
          <w:b/>
          <w:spacing w:val="-4"/>
          <w:w w:val="105"/>
          <w:sz w:val="17"/>
        </w:rPr>
        <w:t xml:space="preserve">Jobs </w:t>
      </w:r>
      <w:r>
        <w:rPr>
          <w:b/>
          <w:spacing w:val="-2"/>
          <w:w w:val="105"/>
          <w:sz w:val="17"/>
        </w:rPr>
        <w:t>GRP/GSP</w:t>
      </w:r>
    </w:p>
    <w:p w:rsidR="002C1123" w:rsidRDefault="002C1123">
      <w:pPr>
        <w:pStyle w:val="BodyText"/>
        <w:rPr>
          <w:b/>
        </w:rPr>
      </w:pPr>
    </w:p>
    <w:p w:rsidR="002C1123" w:rsidRDefault="002C1123">
      <w:pPr>
        <w:pStyle w:val="BodyText"/>
        <w:rPr>
          <w:b/>
        </w:rPr>
      </w:pPr>
    </w:p>
    <w:p w:rsidR="002C1123" w:rsidRDefault="002C1123">
      <w:pPr>
        <w:pStyle w:val="BodyText"/>
        <w:spacing w:before="3"/>
        <w:rPr>
          <w:b/>
          <w:sz w:val="29"/>
        </w:rPr>
      </w:pPr>
    </w:p>
    <w:p w:rsidR="002C1123" w:rsidRDefault="00F22F94">
      <w:pPr>
        <w:spacing w:line="460" w:lineRule="auto"/>
        <w:ind w:left="738"/>
        <w:rPr>
          <w:b/>
          <w:sz w:val="17"/>
        </w:rPr>
      </w:pPr>
      <w:r>
        <w:rPr>
          <w:b/>
          <w:spacing w:val="-2"/>
          <w:sz w:val="17"/>
        </w:rPr>
        <w:t xml:space="preserve">Population </w:t>
      </w:r>
      <w:r>
        <w:rPr>
          <w:b/>
          <w:spacing w:val="-4"/>
          <w:w w:val="105"/>
          <w:sz w:val="17"/>
        </w:rPr>
        <w:t xml:space="preserve">Jobs </w:t>
      </w:r>
      <w:r>
        <w:rPr>
          <w:b/>
          <w:spacing w:val="-2"/>
          <w:w w:val="105"/>
          <w:sz w:val="17"/>
        </w:rPr>
        <w:t>GRP/GSP</w:t>
      </w:r>
    </w:p>
    <w:p w:rsidR="002C1123" w:rsidRDefault="00F22F94">
      <w:pPr>
        <w:spacing w:before="113"/>
        <w:ind w:left="290"/>
        <w:rPr>
          <w:b/>
          <w:sz w:val="17"/>
        </w:rPr>
      </w:pPr>
      <w:r>
        <w:br w:type="column"/>
      </w:r>
      <w:r>
        <w:rPr>
          <w:b/>
          <w:spacing w:val="-4"/>
          <w:w w:val="105"/>
          <w:sz w:val="17"/>
        </w:rPr>
        <w:t>2011</w:t>
      </w:r>
    </w:p>
    <w:p w:rsidR="002C1123" w:rsidRDefault="002C1123">
      <w:pPr>
        <w:pStyle w:val="BodyText"/>
        <w:spacing w:before="4"/>
        <w:rPr>
          <w:b/>
          <w:sz w:val="6"/>
        </w:rPr>
      </w:pPr>
    </w:p>
    <w:tbl>
      <w:tblPr>
        <w:tblW w:w="0" w:type="auto"/>
        <w:tblInd w:w="244" w:type="dxa"/>
        <w:tblLayout w:type="fixed"/>
        <w:tblCellMar>
          <w:left w:w="0" w:type="dxa"/>
          <w:right w:w="0" w:type="dxa"/>
        </w:tblCellMar>
        <w:tblLook w:val="01E0" w:firstRow="1" w:lastRow="1" w:firstColumn="1" w:lastColumn="1" w:noHBand="0" w:noVBand="0"/>
      </w:tblPr>
      <w:tblGrid>
        <w:gridCol w:w="3141"/>
        <w:gridCol w:w="1368"/>
        <w:gridCol w:w="124"/>
        <w:gridCol w:w="2739"/>
        <w:gridCol w:w="1618"/>
        <w:gridCol w:w="1371"/>
        <w:gridCol w:w="2114"/>
      </w:tblGrid>
      <w:tr w:rsidR="002C1123">
        <w:trPr>
          <w:trHeight w:val="261"/>
        </w:trPr>
        <w:tc>
          <w:tcPr>
            <w:tcW w:w="4633" w:type="dxa"/>
            <w:gridSpan w:val="3"/>
            <w:tcBorders>
              <w:bottom w:val="single" w:sz="48" w:space="0" w:color="FFFFFF"/>
            </w:tcBorders>
            <w:shd w:val="clear" w:color="auto" w:fill="B2B1B3"/>
          </w:tcPr>
          <w:p w:rsidR="002C1123" w:rsidRDefault="00F22F94">
            <w:pPr>
              <w:pStyle w:val="TableParagraph"/>
              <w:spacing w:before="49"/>
              <w:ind w:left="0" w:right="77"/>
              <w:jc w:val="right"/>
              <w:rPr>
                <w:sz w:val="15"/>
              </w:rPr>
            </w:pPr>
            <w:r>
              <w:rPr>
                <w:color w:val="FFFFFF"/>
                <w:spacing w:val="-5"/>
                <w:sz w:val="15"/>
              </w:rPr>
              <w:t>37%</w:t>
            </w:r>
          </w:p>
        </w:tc>
        <w:tc>
          <w:tcPr>
            <w:tcW w:w="5728" w:type="dxa"/>
            <w:gridSpan w:val="3"/>
            <w:tcBorders>
              <w:bottom w:val="single" w:sz="48" w:space="0" w:color="FFFFFF"/>
            </w:tcBorders>
            <w:shd w:val="clear" w:color="auto" w:fill="00AEEF"/>
          </w:tcPr>
          <w:p w:rsidR="002C1123" w:rsidRDefault="00F22F94">
            <w:pPr>
              <w:pStyle w:val="TableParagraph"/>
              <w:spacing w:before="49"/>
              <w:ind w:left="0" w:right="82"/>
              <w:jc w:val="right"/>
              <w:rPr>
                <w:sz w:val="15"/>
              </w:rPr>
            </w:pPr>
            <w:r>
              <w:rPr>
                <w:color w:val="FFFFFF"/>
                <w:spacing w:val="-5"/>
                <w:sz w:val="15"/>
              </w:rPr>
              <w:t>46%</w:t>
            </w:r>
          </w:p>
        </w:tc>
        <w:tc>
          <w:tcPr>
            <w:tcW w:w="2114" w:type="dxa"/>
            <w:tcBorders>
              <w:bottom w:val="single" w:sz="48" w:space="0" w:color="FFFFFF"/>
            </w:tcBorders>
            <w:shd w:val="clear" w:color="auto" w:fill="2E3092"/>
          </w:tcPr>
          <w:p w:rsidR="002C1123" w:rsidRDefault="00F22F94">
            <w:pPr>
              <w:pStyle w:val="TableParagraph"/>
              <w:spacing w:before="49"/>
              <w:ind w:left="0" w:right="83"/>
              <w:jc w:val="right"/>
              <w:rPr>
                <w:sz w:val="15"/>
              </w:rPr>
            </w:pPr>
            <w:r>
              <w:rPr>
                <w:color w:val="FFFFFF"/>
                <w:spacing w:val="-5"/>
                <w:sz w:val="15"/>
              </w:rPr>
              <w:t>17%</w:t>
            </w:r>
          </w:p>
        </w:tc>
      </w:tr>
      <w:tr w:rsidR="002C1123">
        <w:trPr>
          <w:trHeight w:val="253"/>
        </w:trPr>
        <w:tc>
          <w:tcPr>
            <w:tcW w:w="4509" w:type="dxa"/>
            <w:gridSpan w:val="2"/>
            <w:tcBorders>
              <w:top w:val="single" w:sz="48" w:space="0" w:color="FFFFFF"/>
              <w:bottom w:val="single" w:sz="48" w:space="0" w:color="FFFFFF"/>
            </w:tcBorders>
            <w:shd w:val="clear" w:color="auto" w:fill="B2B1B3"/>
          </w:tcPr>
          <w:p w:rsidR="002C1123" w:rsidRDefault="00F22F94">
            <w:pPr>
              <w:pStyle w:val="TableParagraph"/>
              <w:spacing w:before="41"/>
              <w:ind w:left="0" w:right="77"/>
              <w:jc w:val="right"/>
              <w:rPr>
                <w:sz w:val="15"/>
              </w:rPr>
            </w:pPr>
            <w:r>
              <w:rPr>
                <w:color w:val="FFFFFF"/>
                <w:spacing w:val="-5"/>
                <w:sz w:val="15"/>
              </w:rPr>
              <w:t>36%</w:t>
            </w:r>
          </w:p>
        </w:tc>
        <w:tc>
          <w:tcPr>
            <w:tcW w:w="4481" w:type="dxa"/>
            <w:gridSpan w:val="3"/>
            <w:tcBorders>
              <w:top w:val="single" w:sz="48" w:space="0" w:color="FFFFFF"/>
              <w:bottom w:val="single" w:sz="48" w:space="0" w:color="FFFFFF"/>
            </w:tcBorders>
            <w:shd w:val="clear" w:color="auto" w:fill="00AEEF"/>
          </w:tcPr>
          <w:p w:rsidR="002C1123" w:rsidRDefault="00F22F94">
            <w:pPr>
              <w:pStyle w:val="TableParagraph"/>
              <w:spacing w:before="41"/>
              <w:ind w:left="0" w:right="80"/>
              <w:jc w:val="right"/>
              <w:rPr>
                <w:sz w:val="15"/>
              </w:rPr>
            </w:pPr>
            <w:r>
              <w:rPr>
                <w:color w:val="FFFFFF"/>
                <w:spacing w:val="-5"/>
                <w:sz w:val="15"/>
              </w:rPr>
              <w:t>36%</w:t>
            </w:r>
          </w:p>
        </w:tc>
        <w:tc>
          <w:tcPr>
            <w:tcW w:w="3485" w:type="dxa"/>
            <w:gridSpan w:val="2"/>
            <w:tcBorders>
              <w:top w:val="single" w:sz="48" w:space="0" w:color="FFFFFF"/>
              <w:bottom w:val="single" w:sz="48" w:space="0" w:color="FFFFFF"/>
            </w:tcBorders>
            <w:shd w:val="clear" w:color="auto" w:fill="2E3092"/>
          </w:tcPr>
          <w:p w:rsidR="002C1123" w:rsidRDefault="00F22F94">
            <w:pPr>
              <w:pStyle w:val="TableParagraph"/>
              <w:spacing w:before="41"/>
              <w:ind w:left="0" w:right="83"/>
              <w:jc w:val="right"/>
              <w:rPr>
                <w:sz w:val="15"/>
              </w:rPr>
            </w:pPr>
            <w:r>
              <w:rPr>
                <w:color w:val="FFFFFF"/>
                <w:spacing w:val="-5"/>
                <w:sz w:val="15"/>
              </w:rPr>
              <w:t>28%</w:t>
            </w:r>
          </w:p>
        </w:tc>
      </w:tr>
      <w:tr w:rsidR="002C1123">
        <w:trPr>
          <w:trHeight w:val="261"/>
        </w:trPr>
        <w:tc>
          <w:tcPr>
            <w:tcW w:w="3141" w:type="dxa"/>
            <w:tcBorders>
              <w:top w:val="single" w:sz="48" w:space="0" w:color="FFFFFF"/>
            </w:tcBorders>
            <w:shd w:val="clear" w:color="auto" w:fill="B2B1B3"/>
          </w:tcPr>
          <w:p w:rsidR="002C1123" w:rsidRDefault="00F22F94">
            <w:pPr>
              <w:pStyle w:val="TableParagraph"/>
              <w:spacing w:before="41"/>
              <w:ind w:left="0" w:right="76"/>
              <w:jc w:val="right"/>
              <w:rPr>
                <w:sz w:val="15"/>
              </w:rPr>
            </w:pPr>
            <w:r>
              <w:rPr>
                <w:color w:val="FFFFFF"/>
                <w:spacing w:val="-5"/>
                <w:sz w:val="15"/>
              </w:rPr>
              <w:t>25%</w:t>
            </w:r>
          </w:p>
        </w:tc>
        <w:tc>
          <w:tcPr>
            <w:tcW w:w="4231" w:type="dxa"/>
            <w:gridSpan w:val="3"/>
            <w:tcBorders>
              <w:top w:val="single" w:sz="48" w:space="0" w:color="FFFFFF"/>
            </w:tcBorders>
            <w:shd w:val="clear" w:color="auto" w:fill="00AEEF"/>
          </w:tcPr>
          <w:p w:rsidR="002C1123" w:rsidRDefault="00F22F94">
            <w:pPr>
              <w:pStyle w:val="TableParagraph"/>
              <w:spacing w:before="41"/>
              <w:ind w:left="0" w:right="79"/>
              <w:jc w:val="right"/>
              <w:rPr>
                <w:sz w:val="15"/>
              </w:rPr>
            </w:pPr>
            <w:r>
              <w:rPr>
                <w:color w:val="FFFFFF"/>
                <w:spacing w:val="-5"/>
                <w:sz w:val="15"/>
              </w:rPr>
              <w:t>34%</w:t>
            </w:r>
          </w:p>
        </w:tc>
        <w:tc>
          <w:tcPr>
            <w:tcW w:w="5103" w:type="dxa"/>
            <w:gridSpan w:val="3"/>
            <w:tcBorders>
              <w:top w:val="single" w:sz="48" w:space="0" w:color="FFFFFF"/>
            </w:tcBorders>
            <w:shd w:val="clear" w:color="auto" w:fill="2E3092"/>
          </w:tcPr>
          <w:p w:rsidR="002C1123" w:rsidRDefault="00F22F94">
            <w:pPr>
              <w:pStyle w:val="TableParagraph"/>
              <w:spacing w:before="41"/>
              <w:ind w:left="0" w:right="83"/>
              <w:jc w:val="right"/>
              <w:rPr>
                <w:sz w:val="15"/>
              </w:rPr>
            </w:pPr>
            <w:r>
              <w:rPr>
                <w:color w:val="FFFFFF"/>
                <w:spacing w:val="-5"/>
                <w:sz w:val="15"/>
              </w:rPr>
              <w:t>41%</w:t>
            </w:r>
          </w:p>
        </w:tc>
      </w:tr>
    </w:tbl>
    <w:p w:rsidR="002C1123" w:rsidRDefault="002C1123">
      <w:pPr>
        <w:pStyle w:val="BodyText"/>
        <w:rPr>
          <w:b/>
        </w:rPr>
      </w:pPr>
    </w:p>
    <w:p w:rsidR="002C1123" w:rsidRDefault="002C1123">
      <w:pPr>
        <w:pStyle w:val="BodyText"/>
        <w:rPr>
          <w:b/>
        </w:rPr>
      </w:pPr>
    </w:p>
    <w:p w:rsidR="002C1123" w:rsidRDefault="002060EF">
      <w:pPr>
        <w:spacing w:before="179"/>
        <w:ind w:left="290"/>
        <w:rPr>
          <w:b/>
          <w:sz w:val="17"/>
        </w:rPr>
      </w:pPr>
      <w:r>
        <w:pict>
          <v:shape id="docshape169" o:spid="_x0000_s5124" type="#_x0000_t202" style="position:absolute;left:0;text-align:left;margin-left:122.55pt;margin-top:22.4pt;width:621.85pt;height:50.75pt;z-index:25123328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861"/>
                    <w:gridCol w:w="1367"/>
                    <w:gridCol w:w="125"/>
                    <w:gridCol w:w="2737"/>
                    <w:gridCol w:w="1865"/>
                    <w:gridCol w:w="1245"/>
                    <w:gridCol w:w="2237"/>
                  </w:tblGrid>
                  <w:tr w:rsidR="00F22F94">
                    <w:trPr>
                      <w:trHeight w:val="261"/>
                    </w:trPr>
                    <w:tc>
                      <w:tcPr>
                        <w:tcW w:w="4228" w:type="dxa"/>
                        <w:gridSpan w:val="2"/>
                        <w:tcBorders>
                          <w:bottom w:val="single" w:sz="48" w:space="0" w:color="FFFFFF"/>
                        </w:tcBorders>
                        <w:shd w:val="clear" w:color="auto" w:fill="B2B1B3"/>
                      </w:tcPr>
                      <w:p w:rsidR="00F22F94" w:rsidRDefault="00F22F94">
                        <w:pPr>
                          <w:pStyle w:val="TableParagraph"/>
                          <w:spacing w:before="49"/>
                          <w:ind w:left="0" w:right="76"/>
                          <w:jc w:val="right"/>
                          <w:rPr>
                            <w:sz w:val="15"/>
                          </w:rPr>
                        </w:pPr>
                        <w:r>
                          <w:rPr>
                            <w:color w:val="FFFFFF"/>
                            <w:spacing w:val="-5"/>
                            <w:sz w:val="15"/>
                          </w:rPr>
                          <w:t>34%</w:t>
                        </w:r>
                      </w:p>
                    </w:tc>
                    <w:tc>
                      <w:tcPr>
                        <w:tcW w:w="5972" w:type="dxa"/>
                        <w:gridSpan w:val="4"/>
                        <w:tcBorders>
                          <w:bottom w:val="single" w:sz="48" w:space="0" w:color="FFFFFF"/>
                        </w:tcBorders>
                        <w:shd w:val="clear" w:color="auto" w:fill="00AEEF"/>
                      </w:tcPr>
                      <w:p w:rsidR="00F22F94" w:rsidRDefault="00F22F94">
                        <w:pPr>
                          <w:pStyle w:val="TableParagraph"/>
                          <w:spacing w:before="49"/>
                          <w:ind w:left="0" w:right="76"/>
                          <w:jc w:val="right"/>
                          <w:rPr>
                            <w:sz w:val="15"/>
                          </w:rPr>
                        </w:pPr>
                        <w:r>
                          <w:rPr>
                            <w:color w:val="FFFFFF"/>
                            <w:spacing w:val="-5"/>
                            <w:sz w:val="15"/>
                          </w:rPr>
                          <w:t>48%</w:t>
                        </w:r>
                      </w:p>
                    </w:tc>
                    <w:tc>
                      <w:tcPr>
                        <w:tcW w:w="2237" w:type="dxa"/>
                        <w:tcBorders>
                          <w:bottom w:val="single" w:sz="48" w:space="0" w:color="FFFFFF"/>
                        </w:tcBorders>
                        <w:shd w:val="clear" w:color="auto" w:fill="2E3092"/>
                      </w:tcPr>
                      <w:p w:rsidR="00F22F94" w:rsidRDefault="00F22F94">
                        <w:pPr>
                          <w:pStyle w:val="TableParagraph"/>
                          <w:spacing w:before="49"/>
                          <w:ind w:left="0" w:right="76"/>
                          <w:jc w:val="right"/>
                          <w:rPr>
                            <w:sz w:val="15"/>
                          </w:rPr>
                        </w:pPr>
                        <w:r>
                          <w:rPr>
                            <w:color w:val="FFFFFF"/>
                            <w:spacing w:val="-5"/>
                            <w:sz w:val="15"/>
                          </w:rPr>
                          <w:t>18%</w:t>
                        </w:r>
                      </w:p>
                    </w:tc>
                  </w:tr>
                  <w:tr w:rsidR="00F22F94">
                    <w:trPr>
                      <w:trHeight w:val="253"/>
                    </w:trPr>
                    <w:tc>
                      <w:tcPr>
                        <w:tcW w:w="4353" w:type="dxa"/>
                        <w:gridSpan w:val="3"/>
                        <w:tcBorders>
                          <w:top w:val="single" w:sz="48" w:space="0" w:color="FFFFFF"/>
                          <w:bottom w:val="single" w:sz="48" w:space="0" w:color="FFFFFF"/>
                        </w:tcBorders>
                        <w:shd w:val="clear" w:color="auto" w:fill="B2B1B3"/>
                      </w:tcPr>
                      <w:p w:rsidR="00F22F94" w:rsidRDefault="00F22F94">
                        <w:pPr>
                          <w:pStyle w:val="TableParagraph"/>
                          <w:spacing w:before="41"/>
                          <w:ind w:left="0" w:right="76"/>
                          <w:jc w:val="right"/>
                          <w:rPr>
                            <w:sz w:val="15"/>
                          </w:rPr>
                        </w:pPr>
                        <w:r>
                          <w:rPr>
                            <w:color w:val="FFFFFF"/>
                            <w:spacing w:val="-5"/>
                            <w:sz w:val="15"/>
                          </w:rPr>
                          <w:t>35%</w:t>
                        </w:r>
                      </w:p>
                    </w:tc>
                    <w:tc>
                      <w:tcPr>
                        <w:tcW w:w="4602" w:type="dxa"/>
                        <w:gridSpan w:val="2"/>
                        <w:tcBorders>
                          <w:top w:val="single" w:sz="48" w:space="0" w:color="FFFFFF"/>
                          <w:bottom w:val="single" w:sz="48" w:space="0" w:color="FFFFFF"/>
                        </w:tcBorders>
                        <w:shd w:val="clear" w:color="auto" w:fill="00AEEF"/>
                      </w:tcPr>
                      <w:p w:rsidR="00F22F94" w:rsidRDefault="00F22F94">
                        <w:pPr>
                          <w:pStyle w:val="TableParagraph"/>
                          <w:spacing w:before="41"/>
                          <w:ind w:left="0" w:right="76"/>
                          <w:jc w:val="right"/>
                          <w:rPr>
                            <w:sz w:val="15"/>
                          </w:rPr>
                        </w:pPr>
                        <w:r>
                          <w:rPr>
                            <w:color w:val="FFFFFF"/>
                            <w:spacing w:val="-5"/>
                            <w:sz w:val="15"/>
                          </w:rPr>
                          <w:t>37%</w:t>
                        </w:r>
                      </w:p>
                    </w:tc>
                    <w:tc>
                      <w:tcPr>
                        <w:tcW w:w="3482" w:type="dxa"/>
                        <w:gridSpan w:val="2"/>
                        <w:tcBorders>
                          <w:top w:val="single" w:sz="48" w:space="0" w:color="FFFFFF"/>
                          <w:bottom w:val="single" w:sz="48" w:space="0" w:color="FFFFFF"/>
                        </w:tcBorders>
                        <w:shd w:val="clear" w:color="auto" w:fill="2E3092"/>
                      </w:tcPr>
                      <w:p w:rsidR="00F22F94" w:rsidRDefault="00F22F94">
                        <w:pPr>
                          <w:pStyle w:val="TableParagraph"/>
                          <w:spacing w:before="41"/>
                          <w:ind w:left="0" w:right="76"/>
                          <w:jc w:val="right"/>
                          <w:rPr>
                            <w:sz w:val="15"/>
                          </w:rPr>
                        </w:pPr>
                        <w:r>
                          <w:rPr>
                            <w:color w:val="FFFFFF"/>
                            <w:spacing w:val="-5"/>
                            <w:sz w:val="15"/>
                          </w:rPr>
                          <w:t>28%</w:t>
                        </w:r>
                      </w:p>
                    </w:tc>
                  </w:tr>
                  <w:tr w:rsidR="00F22F94">
                    <w:trPr>
                      <w:trHeight w:val="261"/>
                    </w:trPr>
                    <w:tc>
                      <w:tcPr>
                        <w:tcW w:w="2861" w:type="dxa"/>
                        <w:tcBorders>
                          <w:top w:val="single" w:sz="48" w:space="0" w:color="FFFFFF"/>
                        </w:tcBorders>
                        <w:shd w:val="clear" w:color="auto" w:fill="B2B1B3"/>
                      </w:tcPr>
                      <w:p w:rsidR="00F22F94" w:rsidRDefault="00F22F94">
                        <w:pPr>
                          <w:pStyle w:val="TableParagraph"/>
                          <w:spacing w:before="41"/>
                          <w:ind w:left="0" w:right="76"/>
                          <w:jc w:val="right"/>
                          <w:rPr>
                            <w:sz w:val="15"/>
                          </w:rPr>
                        </w:pPr>
                        <w:r>
                          <w:rPr>
                            <w:color w:val="FFFFFF"/>
                            <w:spacing w:val="-5"/>
                            <w:sz w:val="15"/>
                          </w:rPr>
                          <w:t>23%</w:t>
                        </w:r>
                      </w:p>
                    </w:tc>
                    <w:tc>
                      <w:tcPr>
                        <w:tcW w:w="4229" w:type="dxa"/>
                        <w:gridSpan w:val="3"/>
                        <w:tcBorders>
                          <w:top w:val="single" w:sz="48" w:space="0" w:color="FFFFFF"/>
                        </w:tcBorders>
                        <w:shd w:val="clear" w:color="auto" w:fill="00AEEF"/>
                      </w:tcPr>
                      <w:p w:rsidR="00F22F94" w:rsidRDefault="00F22F94">
                        <w:pPr>
                          <w:pStyle w:val="TableParagraph"/>
                          <w:spacing w:before="41"/>
                          <w:ind w:left="0" w:right="76"/>
                          <w:jc w:val="right"/>
                          <w:rPr>
                            <w:sz w:val="15"/>
                          </w:rPr>
                        </w:pPr>
                        <w:r>
                          <w:rPr>
                            <w:color w:val="FFFFFF"/>
                            <w:spacing w:val="-5"/>
                            <w:sz w:val="15"/>
                          </w:rPr>
                          <w:t>34%</w:t>
                        </w:r>
                      </w:p>
                    </w:tc>
                    <w:tc>
                      <w:tcPr>
                        <w:tcW w:w="5347" w:type="dxa"/>
                        <w:gridSpan w:val="3"/>
                        <w:tcBorders>
                          <w:top w:val="single" w:sz="48" w:space="0" w:color="FFFFFF"/>
                        </w:tcBorders>
                        <w:shd w:val="clear" w:color="auto" w:fill="2E3092"/>
                      </w:tcPr>
                      <w:p w:rsidR="00F22F94" w:rsidRDefault="00F22F94">
                        <w:pPr>
                          <w:pStyle w:val="TableParagraph"/>
                          <w:spacing w:before="41"/>
                          <w:ind w:left="0" w:right="76"/>
                          <w:jc w:val="right"/>
                          <w:rPr>
                            <w:sz w:val="15"/>
                          </w:rPr>
                        </w:pPr>
                        <w:r>
                          <w:rPr>
                            <w:color w:val="FFFFFF"/>
                            <w:spacing w:val="-5"/>
                            <w:sz w:val="15"/>
                          </w:rPr>
                          <w:t>43%</w:t>
                        </w:r>
                      </w:p>
                    </w:tc>
                  </w:tr>
                </w:tbl>
                <w:p w:rsidR="00F22F94" w:rsidRDefault="00F22F94">
                  <w:pPr>
                    <w:pStyle w:val="BodyText"/>
                  </w:pPr>
                </w:p>
              </w:txbxContent>
            </v:textbox>
            <w10:wrap anchorx="page"/>
          </v:shape>
        </w:pict>
      </w:r>
      <w:r w:rsidR="00F22F94">
        <w:rPr>
          <w:b/>
          <w:spacing w:val="-4"/>
          <w:w w:val="105"/>
          <w:sz w:val="17"/>
        </w:rPr>
        <w:t>2031</w:t>
      </w:r>
    </w:p>
    <w:p w:rsidR="002C1123" w:rsidRDefault="002C1123">
      <w:pPr>
        <w:rPr>
          <w:sz w:val="17"/>
        </w:rPr>
        <w:sectPr w:rsidR="002C1123">
          <w:type w:val="continuous"/>
          <w:pgSz w:w="16840" w:h="11910" w:orient="landscape"/>
          <w:pgMar w:top="560" w:right="280" w:bottom="280" w:left="500" w:header="0" w:footer="0" w:gutter="0"/>
          <w:cols w:num="2" w:space="720" w:equalWidth="0">
            <w:col w:w="1644" w:space="40"/>
            <w:col w:w="14376"/>
          </w:cols>
        </w:sectPr>
      </w:pPr>
    </w:p>
    <w:p w:rsidR="002C1123" w:rsidRDefault="002060EF">
      <w:pPr>
        <w:pStyle w:val="BodyText"/>
        <w:spacing w:before="6"/>
        <w:rPr>
          <w:b/>
          <w:sz w:val="24"/>
        </w:rPr>
      </w:pPr>
      <w:r>
        <w:pict>
          <v:shape id="docshape170" o:spid="_x0000_s5123" type="#_x0000_t202" style="position:absolute;margin-left:49.6pt;margin-top:26.25pt;width:763.95pt;height:542.75pt;z-index:-251532288;mso-position-horizontal-relative:page;mso-position-vertical-relative:page" filled="f" stroked="f">
            <v:textbox inset="0,0,0,0">
              <w:txbxContent>
                <w:p w:rsidR="00F22F94" w:rsidRDefault="00F22F94">
                  <w:pPr>
                    <w:spacing w:before="6"/>
                    <w:jc w:val="right"/>
                    <w:rPr>
                      <w:b/>
                      <w:sz w:val="16"/>
                    </w:rPr>
                  </w:pPr>
                  <w:r>
                    <w:rPr>
                      <w:w w:val="95"/>
                      <w:sz w:val="16"/>
                    </w:rPr>
                    <w:t>The</w:t>
                  </w:r>
                  <w:r>
                    <w:rPr>
                      <w:spacing w:val="8"/>
                      <w:sz w:val="16"/>
                    </w:rPr>
                    <w:t xml:space="preserve"> </w:t>
                  </w:r>
                  <w:r>
                    <w:rPr>
                      <w:w w:val="95"/>
                      <w:sz w:val="16"/>
                    </w:rPr>
                    <w:t>context</w:t>
                  </w:r>
                  <w:r>
                    <w:rPr>
                      <w:spacing w:val="8"/>
                      <w:sz w:val="16"/>
                    </w:rPr>
                    <w:t xml:space="preserve"> </w:t>
                  </w:r>
                  <w:r>
                    <w:rPr>
                      <w:b/>
                      <w:w w:val="95"/>
                      <w:sz w:val="16"/>
                    </w:rPr>
                    <w:t>Section</w:t>
                  </w:r>
                  <w:r>
                    <w:rPr>
                      <w:b/>
                      <w:spacing w:val="9"/>
                      <w:sz w:val="16"/>
                    </w:rPr>
                    <w:t xml:space="preserve"> </w:t>
                  </w:r>
                  <w:r>
                    <w:rPr>
                      <w:b/>
                      <w:w w:val="95"/>
                      <w:sz w:val="16"/>
                    </w:rPr>
                    <w:t>1</w:t>
                  </w:r>
                  <w:r>
                    <w:rPr>
                      <w:b/>
                      <w:spacing w:val="8"/>
                      <w:sz w:val="16"/>
                    </w:rPr>
                    <w:t xml:space="preserve"> </w:t>
                  </w:r>
                  <w:r>
                    <w:rPr>
                      <w:w w:val="95"/>
                      <w:sz w:val="16"/>
                    </w:rPr>
                    <w:t>Strategic</w:t>
                  </w:r>
                  <w:r>
                    <w:rPr>
                      <w:spacing w:val="9"/>
                      <w:sz w:val="16"/>
                    </w:rPr>
                    <w:t xml:space="preserve"> </w:t>
                  </w:r>
                  <w:r>
                    <w:rPr>
                      <w:w w:val="95"/>
                      <w:sz w:val="16"/>
                    </w:rPr>
                    <w:t>framework</w:t>
                  </w:r>
                  <w:r>
                    <w:rPr>
                      <w:spacing w:val="8"/>
                      <w:sz w:val="16"/>
                    </w:rPr>
                    <w:t xml:space="preserve"> </w:t>
                  </w:r>
                  <w:r>
                    <w:rPr>
                      <w:b/>
                      <w:w w:val="95"/>
                      <w:sz w:val="16"/>
                    </w:rPr>
                    <w:t>Page</w:t>
                  </w:r>
                  <w:r>
                    <w:rPr>
                      <w:b/>
                      <w:spacing w:val="9"/>
                      <w:sz w:val="16"/>
                    </w:rPr>
                    <w:t xml:space="preserve"> </w:t>
                  </w:r>
                  <w:r>
                    <w:rPr>
                      <w:b/>
                      <w:spacing w:val="-5"/>
                      <w:w w:val="95"/>
                      <w:sz w:val="16"/>
                    </w:rPr>
                    <w:t>25</w:t>
                  </w:r>
                </w:p>
                <w:p w:rsidR="00F22F94" w:rsidRDefault="00F22F94">
                  <w:pPr>
                    <w:pStyle w:val="BodyText"/>
                    <w:rPr>
                      <w:b/>
                      <w:sz w:val="18"/>
                    </w:rPr>
                  </w:pPr>
                </w:p>
                <w:p w:rsidR="00F22F94" w:rsidRDefault="00F22F94">
                  <w:pPr>
                    <w:pStyle w:val="BodyText"/>
                    <w:rPr>
                      <w:b/>
                      <w:sz w:val="18"/>
                    </w:rPr>
                  </w:pPr>
                </w:p>
                <w:p w:rsidR="00F22F94" w:rsidRDefault="00F22F94">
                  <w:pPr>
                    <w:pStyle w:val="BodyText"/>
                    <w:rPr>
                      <w:b/>
                      <w:sz w:val="18"/>
                    </w:rPr>
                  </w:pPr>
                </w:p>
                <w:p w:rsidR="00F22F94" w:rsidRDefault="00F22F94">
                  <w:pPr>
                    <w:pStyle w:val="BodyText"/>
                    <w:rPr>
                      <w:b/>
                      <w:sz w:val="18"/>
                    </w:rPr>
                  </w:pPr>
                </w:p>
                <w:p w:rsidR="00F22F94" w:rsidRDefault="00F22F94">
                  <w:pPr>
                    <w:pStyle w:val="BodyText"/>
                    <w:rPr>
                      <w:b/>
                      <w:sz w:val="18"/>
                    </w:rPr>
                  </w:pPr>
                </w:p>
                <w:p w:rsidR="00F22F94" w:rsidRDefault="00F22F94">
                  <w:pPr>
                    <w:pStyle w:val="BodyText"/>
                    <w:rPr>
                      <w:b/>
                      <w:sz w:val="18"/>
                    </w:rPr>
                  </w:pPr>
                </w:p>
                <w:p w:rsidR="00F22F94" w:rsidRDefault="00F22F94">
                  <w:pPr>
                    <w:pStyle w:val="BodyText"/>
                    <w:rPr>
                      <w:b/>
                      <w:sz w:val="18"/>
                    </w:rPr>
                  </w:pPr>
                </w:p>
                <w:p w:rsidR="00F22F94" w:rsidRDefault="00F22F94">
                  <w:pPr>
                    <w:pStyle w:val="BodyText"/>
                    <w:rPr>
                      <w:b/>
                      <w:sz w:val="18"/>
                    </w:rPr>
                  </w:pPr>
                </w:p>
                <w:p w:rsidR="00F22F94" w:rsidRDefault="00F22F94">
                  <w:pPr>
                    <w:pStyle w:val="BodyText"/>
                    <w:rPr>
                      <w:b/>
                      <w:sz w:val="18"/>
                    </w:rPr>
                  </w:pPr>
                </w:p>
                <w:p w:rsidR="00F22F94" w:rsidRDefault="00F22F94">
                  <w:pPr>
                    <w:pStyle w:val="BodyText"/>
                    <w:rPr>
                      <w:b/>
                      <w:sz w:val="18"/>
                    </w:rPr>
                  </w:pPr>
                </w:p>
                <w:p w:rsidR="00F22F94" w:rsidRDefault="00F22F94">
                  <w:pPr>
                    <w:pStyle w:val="BodyText"/>
                    <w:rPr>
                      <w:b/>
                      <w:sz w:val="18"/>
                    </w:rPr>
                  </w:pPr>
                </w:p>
                <w:p w:rsidR="00F22F94" w:rsidRDefault="00F22F94">
                  <w:pPr>
                    <w:pStyle w:val="BodyText"/>
                    <w:rPr>
                      <w:b/>
                      <w:sz w:val="18"/>
                    </w:rPr>
                  </w:pPr>
                </w:p>
                <w:p w:rsidR="00F22F94" w:rsidRDefault="00F22F94">
                  <w:pPr>
                    <w:pStyle w:val="BodyText"/>
                    <w:rPr>
                      <w:b/>
                      <w:sz w:val="18"/>
                    </w:rPr>
                  </w:pPr>
                </w:p>
                <w:p w:rsidR="00F22F94" w:rsidRDefault="00F22F94">
                  <w:pPr>
                    <w:pStyle w:val="BodyText"/>
                    <w:rPr>
                      <w:b/>
                      <w:sz w:val="18"/>
                    </w:rPr>
                  </w:pPr>
                </w:p>
                <w:p w:rsidR="00F22F94" w:rsidRDefault="00F22F94">
                  <w:pPr>
                    <w:pStyle w:val="BodyText"/>
                    <w:rPr>
                      <w:b/>
                      <w:sz w:val="18"/>
                    </w:rPr>
                  </w:pPr>
                </w:p>
                <w:p w:rsidR="00F22F94" w:rsidRDefault="00F22F94">
                  <w:pPr>
                    <w:pStyle w:val="BodyText"/>
                    <w:rPr>
                      <w:b/>
                      <w:sz w:val="18"/>
                    </w:rPr>
                  </w:pPr>
                </w:p>
                <w:p w:rsidR="00F22F94" w:rsidRDefault="00F22F94">
                  <w:pPr>
                    <w:pStyle w:val="BodyText"/>
                    <w:rPr>
                      <w:b/>
                      <w:sz w:val="18"/>
                    </w:rPr>
                  </w:pPr>
                </w:p>
                <w:p w:rsidR="00F22F94" w:rsidRDefault="00F22F94">
                  <w:pPr>
                    <w:pStyle w:val="BodyText"/>
                    <w:rPr>
                      <w:b/>
                      <w:sz w:val="18"/>
                    </w:rPr>
                  </w:pPr>
                </w:p>
                <w:p w:rsidR="00F22F94" w:rsidRDefault="00F22F94">
                  <w:pPr>
                    <w:pStyle w:val="BodyText"/>
                    <w:rPr>
                      <w:b/>
                      <w:sz w:val="18"/>
                    </w:rPr>
                  </w:pPr>
                </w:p>
                <w:p w:rsidR="00F22F94" w:rsidRDefault="00F22F94">
                  <w:pPr>
                    <w:pStyle w:val="BodyText"/>
                    <w:rPr>
                      <w:b/>
                      <w:sz w:val="18"/>
                    </w:rPr>
                  </w:pPr>
                </w:p>
                <w:p w:rsidR="00F22F94" w:rsidRDefault="00F22F94">
                  <w:pPr>
                    <w:pStyle w:val="BodyText"/>
                    <w:rPr>
                      <w:b/>
                      <w:sz w:val="18"/>
                    </w:rPr>
                  </w:pPr>
                </w:p>
                <w:p w:rsidR="00F22F94" w:rsidRDefault="00F22F94">
                  <w:pPr>
                    <w:pStyle w:val="BodyText"/>
                    <w:rPr>
                      <w:b/>
                      <w:sz w:val="18"/>
                    </w:rPr>
                  </w:pPr>
                </w:p>
                <w:p w:rsidR="00F22F94" w:rsidRDefault="00F22F94">
                  <w:pPr>
                    <w:pStyle w:val="BodyText"/>
                    <w:rPr>
                      <w:b/>
                      <w:sz w:val="18"/>
                    </w:rPr>
                  </w:pPr>
                </w:p>
                <w:p w:rsidR="00F22F94" w:rsidRDefault="00F22F94">
                  <w:pPr>
                    <w:pStyle w:val="BodyText"/>
                    <w:rPr>
                      <w:b/>
                      <w:sz w:val="18"/>
                    </w:rPr>
                  </w:pPr>
                </w:p>
                <w:p w:rsidR="00F22F94" w:rsidRDefault="00F22F94">
                  <w:pPr>
                    <w:pStyle w:val="BodyText"/>
                    <w:rPr>
                      <w:b/>
                      <w:sz w:val="18"/>
                    </w:rPr>
                  </w:pPr>
                </w:p>
                <w:p w:rsidR="00F22F94" w:rsidRDefault="00F22F94">
                  <w:pPr>
                    <w:pStyle w:val="BodyText"/>
                    <w:rPr>
                      <w:b/>
                      <w:sz w:val="18"/>
                    </w:rPr>
                  </w:pPr>
                </w:p>
                <w:p w:rsidR="00F22F94" w:rsidRDefault="00F22F94">
                  <w:pPr>
                    <w:pStyle w:val="BodyText"/>
                    <w:rPr>
                      <w:b/>
                      <w:sz w:val="18"/>
                    </w:rPr>
                  </w:pPr>
                </w:p>
                <w:p w:rsidR="00F22F94" w:rsidRDefault="00F22F94">
                  <w:pPr>
                    <w:pStyle w:val="BodyText"/>
                    <w:rPr>
                      <w:b/>
                      <w:sz w:val="18"/>
                    </w:rPr>
                  </w:pPr>
                </w:p>
                <w:p w:rsidR="00F22F94" w:rsidRDefault="00F22F94">
                  <w:pPr>
                    <w:pStyle w:val="BodyText"/>
                    <w:rPr>
                      <w:b/>
                      <w:sz w:val="18"/>
                    </w:rPr>
                  </w:pPr>
                </w:p>
                <w:p w:rsidR="00F22F94" w:rsidRDefault="00F22F94">
                  <w:pPr>
                    <w:pStyle w:val="BodyText"/>
                    <w:rPr>
                      <w:b/>
                      <w:sz w:val="18"/>
                    </w:rPr>
                  </w:pPr>
                </w:p>
                <w:p w:rsidR="00F22F94" w:rsidRDefault="00F22F94">
                  <w:pPr>
                    <w:pStyle w:val="BodyText"/>
                    <w:rPr>
                      <w:b/>
                      <w:sz w:val="18"/>
                    </w:rPr>
                  </w:pPr>
                </w:p>
                <w:p w:rsidR="00F22F94" w:rsidRDefault="00F22F94">
                  <w:pPr>
                    <w:pStyle w:val="BodyText"/>
                    <w:rPr>
                      <w:b/>
                      <w:sz w:val="18"/>
                    </w:rPr>
                  </w:pPr>
                </w:p>
                <w:p w:rsidR="00F22F94" w:rsidRDefault="00F22F94">
                  <w:pPr>
                    <w:pStyle w:val="BodyText"/>
                    <w:rPr>
                      <w:b/>
                      <w:sz w:val="18"/>
                    </w:rPr>
                  </w:pPr>
                </w:p>
                <w:p w:rsidR="00F22F94" w:rsidRDefault="00F22F94">
                  <w:pPr>
                    <w:pStyle w:val="BodyText"/>
                    <w:rPr>
                      <w:b/>
                      <w:sz w:val="18"/>
                    </w:rPr>
                  </w:pPr>
                </w:p>
                <w:p w:rsidR="00F22F94" w:rsidRDefault="00F22F94">
                  <w:pPr>
                    <w:pStyle w:val="BodyText"/>
                    <w:rPr>
                      <w:b/>
                      <w:sz w:val="18"/>
                    </w:rPr>
                  </w:pPr>
                </w:p>
                <w:p w:rsidR="00F22F94" w:rsidRDefault="00F22F94">
                  <w:pPr>
                    <w:pStyle w:val="BodyText"/>
                    <w:rPr>
                      <w:b/>
                      <w:sz w:val="18"/>
                    </w:rPr>
                  </w:pPr>
                </w:p>
                <w:p w:rsidR="00F22F94" w:rsidRDefault="00F22F94">
                  <w:pPr>
                    <w:pStyle w:val="BodyText"/>
                    <w:rPr>
                      <w:b/>
                      <w:sz w:val="18"/>
                    </w:rPr>
                  </w:pPr>
                </w:p>
                <w:p w:rsidR="00F22F94" w:rsidRDefault="00F22F94">
                  <w:pPr>
                    <w:pStyle w:val="BodyText"/>
                    <w:rPr>
                      <w:b/>
                      <w:sz w:val="18"/>
                    </w:rPr>
                  </w:pPr>
                </w:p>
                <w:p w:rsidR="00F22F94" w:rsidRDefault="00F22F94">
                  <w:pPr>
                    <w:pStyle w:val="BodyText"/>
                    <w:rPr>
                      <w:b/>
                      <w:sz w:val="18"/>
                    </w:rPr>
                  </w:pPr>
                </w:p>
                <w:p w:rsidR="00F22F94" w:rsidRDefault="00F22F94">
                  <w:pPr>
                    <w:pStyle w:val="BodyText"/>
                    <w:rPr>
                      <w:b/>
                      <w:sz w:val="18"/>
                    </w:rPr>
                  </w:pPr>
                </w:p>
                <w:p w:rsidR="00F22F94" w:rsidRDefault="00F22F94">
                  <w:pPr>
                    <w:pStyle w:val="BodyText"/>
                    <w:rPr>
                      <w:b/>
                      <w:sz w:val="18"/>
                    </w:rPr>
                  </w:pPr>
                </w:p>
                <w:p w:rsidR="00F22F94" w:rsidRDefault="00F22F94">
                  <w:pPr>
                    <w:pStyle w:val="BodyText"/>
                    <w:rPr>
                      <w:b/>
                      <w:sz w:val="18"/>
                    </w:rPr>
                  </w:pPr>
                </w:p>
                <w:p w:rsidR="00F22F94" w:rsidRDefault="00F22F94">
                  <w:pPr>
                    <w:pStyle w:val="BodyText"/>
                    <w:rPr>
                      <w:b/>
                      <w:sz w:val="18"/>
                    </w:rPr>
                  </w:pPr>
                </w:p>
                <w:p w:rsidR="00F22F94" w:rsidRDefault="00F22F94">
                  <w:pPr>
                    <w:pStyle w:val="BodyText"/>
                    <w:rPr>
                      <w:b/>
                      <w:sz w:val="18"/>
                    </w:rPr>
                  </w:pPr>
                </w:p>
                <w:p w:rsidR="00F22F94" w:rsidRDefault="00F22F94">
                  <w:pPr>
                    <w:pStyle w:val="BodyText"/>
                    <w:rPr>
                      <w:b/>
                      <w:sz w:val="18"/>
                    </w:rPr>
                  </w:pPr>
                </w:p>
                <w:p w:rsidR="00F22F94" w:rsidRDefault="00F22F94">
                  <w:pPr>
                    <w:pStyle w:val="BodyText"/>
                    <w:rPr>
                      <w:b/>
                      <w:sz w:val="18"/>
                    </w:rPr>
                  </w:pPr>
                </w:p>
                <w:p w:rsidR="00F22F94" w:rsidRDefault="00F22F94">
                  <w:pPr>
                    <w:pStyle w:val="BodyText"/>
                    <w:rPr>
                      <w:b/>
                      <w:sz w:val="18"/>
                    </w:rPr>
                  </w:pPr>
                </w:p>
                <w:p w:rsidR="00F22F94" w:rsidRDefault="00F22F94">
                  <w:pPr>
                    <w:pStyle w:val="BodyText"/>
                    <w:rPr>
                      <w:b/>
                      <w:sz w:val="18"/>
                    </w:rPr>
                  </w:pPr>
                </w:p>
                <w:p w:rsidR="00F22F94" w:rsidRDefault="00F22F94">
                  <w:pPr>
                    <w:pStyle w:val="BodyText"/>
                    <w:rPr>
                      <w:b/>
                      <w:sz w:val="18"/>
                    </w:rPr>
                  </w:pPr>
                </w:p>
                <w:p w:rsidR="00F22F94" w:rsidRDefault="00F22F94">
                  <w:pPr>
                    <w:pStyle w:val="BodyText"/>
                    <w:rPr>
                      <w:b/>
                      <w:sz w:val="18"/>
                    </w:rPr>
                  </w:pPr>
                </w:p>
                <w:p w:rsidR="00F22F94" w:rsidRDefault="00F22F94">
                  <w:pPr>
                    <w:tabs>
                      <w:tab w:val="left" w:pos="11205"/>
                    </w:tabs>
                    <w:spacing w:before="130"/>
                    <w:jc w:val="right"/>
                    <w:rPr>
                      <w:sz w:val="14"/>
                    </w:rPr>
                  </w:pPr>
                  <w:r>
                    <w:rPr>
                      <w:w w:val="95"/>
                      <w:sz w:val="14"/>
                    </w:rPr>
                    <w:t>Infrastructure</w:t>
                  </w:r>
                  <w:r>
                    <w:rPr>
                      <w:spacing w:val="8"/>
                      <w:sz w:val="14"/>
                    </w:rPr>
                    <w:t xml:space="preserve"> </w:t>
                  </w:r>
                  <w:r>
                    <w:rPr>
                      <w:w w:val="95"/>
                      <w:sz w:val="14"/>
                    </w:rPr>
                    <w:t>NSW</w:t>
                  </w:r>
                  <w:r>
                    <w:rPr>
                      <w:spacing w:val="55"/>
                      <w:sz w:val="14"/>
                    </w:rPr>
                    <w:t xml:space="preserve"> </w:t>
                  </w:r>
                  <w:r>
                    <w:rPr>
                      <w:w w:val="95"/>
                      <w:sz w:val="14"/>
                    </w:rPr>
                    <w:t>|</w:t>
                  </w:r>
                  <w:r>
                    <w:rPr>
                      <w:spacing w:val="9"/>
                      <w:sz w:val="14"/>
                    </w:rPr>
                    <w:t xml:space="preserve"> </w:t>
                  </w:r>
                  <w:r>
                    <w:rPr>
                      <w:w w:val="95"/>
                      <w:sz w:val="14"/>
                    </w:rPr>
                    <w:t>State</w:t>
                  </w:r>
                  <w:r>
                    <w:rPr>
                      <w:spacing w:val="9"/>
                      <w:sz w:val="14"/>
                    </w:rPr>
                    <w:t xml:space="preserve"> </w:t>
                  </w:r>
                  <w:r>
                    <w:rPr>
                      <w:w w:val="95"/>
                      <w:sz w:val="14"/>
                    </w:rPr>
                    <w:t>Infrastructure</w:t>
                  </w:r>
                  <w:r>
                    <w:rPr>
                      <w:spacing w:val="9"/>
                      <w:sz w:val="14"/>
                    </w:rPr>
                    <w:t xml:space="preserve"> </w:t>
                  </w:r>
                  <w:r>
                    <w:rPr>
                      <w:spacing w:val="-2"/>
                      <w:w w:val="95"/>
                      <w:sz w:val="14"/>
                    </w:rPr>
                    <w:t>Strategy</w:t>
                  </w:r>
                  <w:r>
                    <w:rPr>
                      <w:sz w:val="14"/>
                    </w:rPr>
                    <w:tab/>
                  </w:r>
                  <w:r>
                    <w:rPr>
                      <w:spacing w:val="-26"/>
                      <w:w w:val="95"/>
                      <w:sz w:val="16"/>
                    </w:rPr>
                    <w:t>The</w:t>
                  </w:r>
                  <w:r>
                    <w:rPr>
                      <w:spacing w:val="9"/>
                      <w:sz w:val="16"/>
                    </w:rPr>
                    <w:t xml:space="preserve"> </w:t>
                  </w:r>
                  <w:r>
                    <w:rPr>
                      <w:spacing w:val="-26"/>
                      <w:w w:val="95"/>
                      <w:sz w:val="16"/>
                    </w:rPr>
                    <w:t>context</w:t>
                  </w:r>
                  <w:r>
                    <w:rPr>
                      <w:spacing w:val="10"/>
                      <w:sz w:val="16"/>
                    </w:rPr>
                    <w:t xml:space="preserve"> </w:t>
                  </w:r>
                  <w:r>
                    <w:rPr>
                      <w:b/>
                      <w:spacing w:val="-26"/>
                      <w:w w:val="95"/>
                      <w:sz w:val="16"/>
                    </w:rPr>
                    <w:t>Se</w:t>
                  </w:r>
                  <w:r>
                    <w:rPr>
                      <w:spacing w:val="-26"/>
                      <w:w w:val="95"/>
                      <w:sz w:val="14"/>
                    </w:rPr>
                    <w:t>I</w:t>
                  </w:r>
                  <w:r>
                    <w:rPr>
                      <w:b/>
                      <w:spacing w:val="-26"/>
                      <w:w w:val="95"/>
                      <w:sz w:val="16"/>
                    </w:rPr>
                    <w:t>c</w:t>
                  </w:r>
                  <w:r>
                    <w:rPr>
                      <w:spacing w:val="-26"/>
                      <w:w w:val="95"/>
                      <w:sz w:val="14"/>
                    </w:rPr>
                    <w:t>nf</w:t>
                  </w:r>
                  <w:r>
                    <w:rPr>
                      <w:b/>
                      <w:spacing w:val="-26"/>
                      <w:w w:val="95"/>
                      <w:sz w:val="16"/>
                    </w:rPr>
                    <w:t>t</w:t>
                  </w:r>
                  <w:r>
                    <w:rPr>
                      <w:spacing w:val="-26"/>
                      <w:w w:val="95"/>
                      <w:sz w:val="14"/>
                    </w:rPr>
                    <w:t>r</w:t>
                  </w:r>
                  <w:r>
                    <w:rPr>
                      <w:b/>
                      <w:spacing w:val="-26"/>
                      <w:w w:val="95"/>
                      <w:sz w:val="16"/>
                    </w:rPr>
                    <w:t>i</w:t>
                  </w:r>
                  <w:r>
                    <w:rPr>
                      <w:spacing w:val="-26"/>
                      <w:w w:val="95"/>
                      <w:sz w:val="14"/>
                    </w:rPr>
                    <w:t>a</w:t>
                  </w:r>
                  <w:r>
                    <w:rPr>
                      <w:b/>
                      <w:spacing w:val="-26"/>
                      <w:w w:val="95"/>
                      <w:sz w:val="16"/>
                    </w:rPr>
                    <w:t>o</w:t>
                  </w:r>
                  <w:r>
                    <w:rPr>
                      <w:spacing w:val="-26"/>
                      <w:w w:val="95"/>
                      <w:sz w:val="14"/>
                    </w:rPr>
                    <w:t>s</w:t>
                  </w:r>
                  <w:r>
                    <w:rPr>
                      <w:b/>
                      <w:spacing w:val="-26"/>
                      <w:w w:val="95"/>
                      <w:sz w:val="16"/>
                    </w:rPr>
                    <w:t>n</w:t>
                  </w:r>
                  <w:r>
                    <w:rPr>
                      <w:spacing w:val="-26"/>
                      <w:w w:val="95"/>
                      <w:sz w:val="14"/>
                    </w:rPr>
                    <w:t>tru</w:t>
                  </w:r>
                  <w:r>
                    <w:rPr>
                      <w:b/>
                      <w:spacing w:val="-26"/>
                      <w:w w:val="95"/>
                      <w:sz w:val="16"/>
                    </w:rPr>
                    <w:t>1</w:t>
                  </w:r>
                  <w:r>
                    <w:rPr>
                      <w:spacing w:val="-26"/>
                      <w:w w:val="95"/>
                      <w:sz w:val="14"/>
                    </w:rPr>
                    <w:t>ct</w:t>
                  </w:r>
                  <w:r>
                    <w:rPr>
                      <w:spacing w:val="-26"/>
                      <w:w w:val="95"/>
                      <w:sz w:val="16"/>
                    </w:rPr>
                    <w:t>S</w:t>
                  </w:r>
                  <w:r>
                    <w:rPr>
                      <w:spacing w:val="-26"/>
                      <w:w w:val="95"/>
                      <w:sz w:val="14"/>
                    </w:rPr>
                    <w:t>u</w:t>
                  </w:r>
                  <w:r>
                    <w:rPr>
                      <w:spacing w:val="-26"/>
                      <w:w w:val="95"/>
                      <w:sz w:val="16"/>
                    </w:rPr>
                    <w:t>t</w:t>
                  </w:r>
                  <w:r>
                    <w:rPr>
                      <w:spacing w:val="-26"/>
                      <w:w w:val="95"/>
                      <w:sz w:val="14"/>
                    </w:rPr>
                    <w:t>r</w:t>
                  </w:r>
                  <w:r>
                    <w:rPr>
                      <w:spacing w:val="-26"/>
                      <w:w w:val="95"/>
                      <w:sz w:val="16"/>
                    </w:rPr>
                    <w:t>r</w:t>
                  </w:r>
                  <w:r>
                    <w:rPr>
                      <w:spacing w:val="-26"/>
                      <w:w w:val="95"/>
                      <w:sz w:val="14"/>
                    </w:rPr>
                    <w:t>e</w:t>
                  </w:r>
                  <w:r>
                    <w:rPr>
                      <w:spacing w:val="-26"/>
                      <w:w w:val="95"/>
                      <w:sz w:val="16"/>
                    </w:rPr>
                    <w:t>a</w:t>
                  </w:r>
                  <w:r>
                    <w:rPr>
                      <w:spacing w:val="-26"/>
                      <w:w w:val="95"/>
                      <w:sz w:val="14"/>
                    </w:rPr>
                    <w:t>N</w:t>
                  </w:r>
                  <w:r>
                    <w:rPr>
                      <w:spacing w:val="-26"/>
                      <w:w w:val="95"/>
                      <w:sz w:val="16"/>
                    </w:rPr>
                    <w:t>te</w:t>
                  </w:r>
                  <w:r>
                    <w:rPr>
                      <w:spacing w:val="-26"/>
                      <w:w w:val="95"/>
                      <w:sz w:val="14"/>
                    </w:rPr>
                    <w:t>S</w:t>
                  </w:r>
                  <w:r>
                    <w:rPr>
                      <w:spacing w:val="-26"/>
                      <w:w w:val="95"/>
                      <w:sz w:val="16"/>
                    </w:rPr>
                    <w:t>g</w:t>
                  </w:r>
                  <w:r>
                    <w:rPr>
                      <w:spacing w:val="-26"/>
                      <w:w w:val="95"/>
                      <w:sz w:val="14"/>
                    </w:rPr>
                    <w:t>W</w:t>
                  </w:r>
                  <w:r>
                    <w:rPr>
                      <w:spacing w:val="-26"/>
                      <w:w w:val="95"/>
                      <w:sz w:val="16"/>
                    </w:rPr>
                    <w:t>ic</w:t>
                  </w:r>
                  <w:r>
                    <w:rPr>
                      <w:spacing w:val="-26"/>
                      <w:w w:val="95"/>
                      <w:sz w:val="14"/>
                    </w:rPr>
                    <w:t>|</w:t>
                  </w:r>
                  <w:r>
                    <w:rPr>
                      <w:spacing w:val="-18"/>
                      <w:sz w:val="14"/>
                    </w:rPr>
                    <w:t xml:space="preserve"> </w:t>
                  </w:r>
                  <w:r>
                    <w:rPr>
                      <w:spacing w:val="-17"/>
                      <w:w w:val="88"/>
                      <w:sz w:val="16"/>
                    </w:rPr>
                    <w:t>f</w:t>
                  </w:r>
                  <w:r>
                    <w:rPr>
                      <w:spacing w:val="10"/>
                      <w:w w:val="96"/>
                      <w:sz w:val="14"/>
                    </w:rPr>
                    <w:t>S</w:t>
                  </w:r>
                  <w:r>
                    <w:rPr>
                      <w:spacing w:val="-102"/>
                      <w:w w:val="96"/>
                      <w:sz w:val="14"/>
                    </w:rPr>
                    <w:t>t</w:t>
                  </w:r>
                  <w:r>
                    <w:rPr>
                      <w:spacing w:val="9"/>
                      <w:w w:val="89"/>
                      <w:sz w:val="16"/>
                    </w:rPr>
                    <w:t>r</w:t>
                  </w:r>
                  <w:r>
                    <w:rPr>
                      <w:spacing w:val="-15"/>
                      <w:w w:val="88"/>
                      <w:sz w:val="16"/>
                    </w:rPr>
                    <w:t>a</w:t>
                  </w:r>
                  <w:r>
                    <w:rPr>
                      <w:spacing w:val="-43"/>
                      <w:w w:val="91"/>
                      <w:sz w:val="14"/>
                    </w:rPr>
                    <w:t>a</w:t>
                  </w:r>
                  <w:r>
                    <w:rPr>
                      <w:spacing w:val="-74"/>
                      <w:w w:val="94"/>
                      <w:sz w:val="16"/>
                    </w:rPr>
                    <w:t>m</w:t>
                  </w:r>
                  <w:r>
                    <w:rPr>
                      <w:spacing w:val="7"/>
                      <w:w w:val="108"/>
                      <w:sz w:val="14"/>
                    </w:rPr>
                    <w:t>t</w:t>
                  </w:r>
                  <w:r>
                    <w:rPr>
                      <w:spacing w:val="-28"/>
                      <w:w w:val="91"/>
                      <w:sz w:val="14"/>
                    </w:rPr>
                    <w:t>e</w:t>
                  </w:r>
                  <w:r>
                    <w:rPr>
                      <w:spacing w:val="-10"/>
                      <w:w w:val="88"/>
                      <w:sz w:val="16"/>
                    </w:rPr>
                    <w:t>e</w:t>
                  </w:r>
                  <w:r>
                    <w:rPr>
                      <w:spacing w:val="-11"/>
                      <w:w w:val="88"/>
                      <w:sz w:val="14"/>
                    </w:rPr>
                    <w:t>I</w:t>
                  </w:r>
                  <w:r>
                    <w:rPr>
                      <w:spacing w:val="-91"/>
                      <w:w w:val="97"/>
                      <w:sz w:val="16"/>
                    </w:rPr>
                    <w:t>w</w:t>
                  </w:r>
                  <w:r>
                    <w:rPr>
                      <w:spacing w:val="9"/>
                      <w:w w:val="94"/>
                      <w:sz w:val="14"/>
                    </w:rPr>
                    <w:t>n</w:t>
                  </w:r>
                  <w:r>
                    <w:rPr>
                      <w:spacing w:val="10"/>
                      <w:w w:val="97"/>
                      <w:sz w:val="14"/>
                    </w:rPr>
                    <w:t>f</w:t>
                  </w:r>
                  <w:r>
                    <w:rPr>
                      <w:spacing w:val="-64"/>
                      <w:w w:val="97"/>
                      <w:sz w:val="14"/>
                    </w:rPr>
                    <w:t>r</w:t>
                  </w:r>
                  <w:r>
                    <w:rPr>
                      <w:spacing w:val="-8"/>
                      <w:w w:val="94"/>
                      <w:sz w:val="16"/>
                    </w:rPr>
                    <w:t>o</w:t>
                  </w:r>
                  <w:r>
                    <w:rPr>
                      <w:spacing w:val="-50"/>
                      <w:w w:val="91"/>
                      <w:sz w:val="14"/>
                    </w:rPr>
                    <w:t>a</w:t>
                  </w:r>
                  <w:r>
                    <w:rPr>
                      <w:spacing w:val="10"/>
                      <w:w w:val="89"/>
                      <w:sz w:val="16"/>
                    </w:rPr>
                    <w:t>r</w:t>
                  </w:r>
                  <w:r>
                    <w:rPr>
                      <w:spacing w:val="-65"/>
                      <w:w w:val="95"/>
                      <w:sz w:val="16"/>
                    </w:rPr>
                    <w:t>k</w:t>
                  </w:r>
                  <w:r>
                    <w:rPr>
                      <w:spacing w:val="10"/>
                      <w:w w:val="99"/>
                      <w:sz w:val="14"/>
                    </w:rPr>
                    <w:t>s</w:t>
                  </w:r>
                  <w:r>
                    <w:rPr>
                      <w:spacing w:val="-2"/>
                      <w:w w:val="99"/>
                      <w:sz w:val="14"/>
                    </w:rPr>
                    <w:t>t</w:t>
                  </w:r>
                  <w:r>
                    <w:rPr>
                      <w:b/>
                      <w:spacing w:val="-88"/>
                      <w:w w:val="95"/>
                      <w:sz w:val="16"/>
                    </w:rPr>
                    <w:t>P</w:t>
                  </w:r>
                  <w:r>
                    <w:rPr>
                      <w:spacing w:val="10"/>
                      <w:w w:val="95"/>
                      <w:sz w:val="14"/>
                    </w:rPr>
                    <w:t>r</w:t>
                  </w:r>
                  <w:r>
                    <w:rPr>
                      <w:spacing w:val="10"/>
                      <w:w w:val="98"/>
                      <w:sz w:val="14"/>
                    </w:rPr>
                    <w:t>u</w:t>
                  </w:r>
                  <w:r>
                    <w:rPr>
                      <w:spacing w:val="-101"/>
                      <w:w w:val="98"/>
                      <w:sz w:val="14"/>
                    </w:rPr>
                    <w:t>c</w:t>
                  </w:r>
                  <w:r>
                    <w:rPr>
                      <w:b/>
                      <w:spacing w:val="10"/>
                      <w:w w:val="98"/>
                      <w:sz w:val="16"/>
                    </w:rPr>
                    <w:t>a</w:t>
                  </w:r>
                  <w:r>
                    <w:rPr>
                      <w:b/>
                      <w:spacing w:val="-73"/>
                      <w:w w:val="95"/>
                      <w:sz w:val="16"/>
                    </w:rPr>
                    <w:t>g</w:t>
                  </w:r>
                  <w:r>
                    <w:rPr>
                      <w:spacing w:val="8"/>
                      <w:w w:val="108"/>
                      <w:sz w:val="14"/>
                    </w:rPr>
                    <w:t>t</w:t>
                  </w:r>
                  <w:r>
                    <w:rPr>
                      <w:spacing w:val="-32"/>
                      <w:w w:val="94"/>
                      <w:sz w:val="14"/>
                    </w:rPr>
                    <w:t>u</w:t>
                  </w:r>
                  <w:r>
                    <w:rPr>
                      <w:b/>
                      <w:spacing w:val="-43"/>
                      <w:w w:val="98"/>
                      <w:sz w:val="16"/>
                    </w:rPr>
                    <w:t>e</w:t>
                  </w:r>
                  <w:r>
                    <w:rPr>
                      <w:spacing w:val="9"/>
                      <w:w w:val="94"/>
                      <w:sz w:val="14"/>
                    </w:rPr>
                    <w:t>r</w:t>
                  </w:r>
                  <w:r>
                    <w:rPr>
                      <w:spacing w:val="-31"/>
                      <w:w w:val="91"/>
                      <w:sz w:val="14"/>
                    </w:rPr>
                    <w:t>e</w:t>
                  </w:r>
                  <w:r>
                    <w:rPr>
                      <w:b/>
                      <w:spacing w:val="-13"/>
                      <w:w w:val="94"/>
                      <w:sz w:val="16"/>
                    </w:rPr>
                    <w:t>2</w:t>
                  </w:r>
                  <w:r>
                    <w:rPr>
                      <w:spacing w:val="10"/>
                      <w:w w:val="96"/>
                      <w:sz w:val="14"/>
                    </w:rPr>
                    <w:t>S</w:t>
                  </w:r>
                  <w:r>
                    <w:rPr>
                      <w:spacing w:val="-105"/>
                      <w:w w:val="96"/>
                      <w:sz w:val="14"/>
                    </w:rPr>
                    <w:t>t</w:t>
                  </w:r>
                  <w:r>
                    <w:rPr>
                      <w:b/>
                      <w:spacing w:val="8"/>
                      <w:w w:val="94"/>
                      <w:sz w:val="16"/>
                    </w:rPr>
                    <w:t>5</w:t>
                  </w:r>
                  <w:r>
                    <w:rPr>
                      <w:b/>
                      <w:spacing w:val="-5"/>
                      <w:sz w:val="16"/>
                    </w:rPr>
                    <w:t xml:space="preserve"> </w:t>
                  </w:r>
                  <w:r>
                    <w:rPr>
                      <w:spacing w:val="-26"/>
                      <w:w w:val="95"/>
                      <w:sz w:val="14"/>
                    </w:rPr>
                    <w:t>rategy</w:t>
                  </w:r>
                </w:p>
              </w:txbxContent>
            </v:textbox>
            <w10:wrap anchorx="page" anchory="page"/>
          </v:shape>
        </w:pict>
      </w:r>
      <w:r>
        <w:pict>
          <v:group id="docshapegroup171" o:spid="_x0000_s5065" style="position:absolute;margin-left:0;margin-top:0;width:841.9pt;height:595.3pt;z-index:-251530240;mso-position-horizontal-relative:page;mso-position-vertical-relative:page" coordsize="16838,11906">
            <v:shape id="docshape172" o:spid="_x0000_s5122" style="position:absolute;top:571;width:16838;height:11334" coordorigin=",572" coordsize="16838,11334" path="m16838,572l,572,,766,,11906r16347,l16838,11906r,-11334xe" fillcolor="#e1e0e1" stroked="f">
              <v:path arrowok="t"/>
            </v:shape>
            <v:shape id="docshape173" o:spid="_x0000_s5121" type="#_x0000_t75" style="position:absolute;left:1233;top:3708;width:4449;height:3308">
              <v:imagedata r:id="rId50" o:title=""/>
            </v:shape>
            <v:shape id="docshape174" o:spid="_x0000_s5120" type="#_x0000_t75" style="position:absolute;left:6184;top:3579;width:4812;height:3224">
              <v:imagedata r:id="rId51" o:title=""/>
            </v:shape>
            <v:shape id="docshape175" o:spid="_x0000_s5119" type="#_x0000_t75" style="position:absolute;left:11639;top:3689;width:3542;height:3400">
              <v:imagedata r:id="rId52" o:title=""/>
            </v:shape>
            <v:line id="_x0000_s5118" style="position:absolute" from="2450,9062" to="14887,9062" strokecolor="#b2b1b3" strokeweight=".27658mm"/>
            <v:line id="_x0000_s5117" style="position:absolute" from="2451,10984" to="14887,10984" strokecolor="#b2b1b3" strokeweight=".27658mm"/>
            <v:rect id="docshape176" o:spid="_x0000_s5116" style="position:absolute;left:1241;top:7017;width:167;height:167" fillcolor="#b2b1b3" stroked="f"/>
            <v:rect id="docshape177" o:spid="_x0000_s5115" style="position:absolute;left:6226;top:7017;width:167;height:167" fillcolor="#00aeef" stroked="f"/>
            <v:rect id="docshape178" o:spid="_x0000_s5114" style="position:absolute;left:11640;top:7017;width:167;height:167" fillcolor="#2e3092" stroked="f"/>
            <v:shape id="docshape179" o:spid="_x0000_s5113" style="position:absolute;left:4139;top:5158;width:1108;height:1108" coordorigin="4140,5159" coordsize="1108,1108" path="m5247,5712r-5,-75l5227,5565r-24,-68l5171,5433r-39,-59l5085,5321r-53,-47l4973,5234r-64,-32l4840,5179r-72,-15l4693,5159r-75,5l4546,5179r-68,23l4414,5234r-59,40l4302,5321r-47,53l4215,5433r-32,64l4159,5565r-14,72l4140,5712r5,76l4159,5860r24,68l4215,5992r40,59l4302,6104r53,47l4414,6191r64,32l4546,6246r72,15l4693,6266r75,-5l4840,6246r69,-23l4973,6191r59,-40l5085,6104r47,-53l5171,5992r32,-64l5227,5860r15,-72l5247,5712xe" filled="f" strokecolor="#f47920" strokeweight="1.96pt">
              <v:path arrowok="t"/>
            </v:shape>
            <v:shape id="docshape180" o:spid="_x0000_s5112" style="position:absolute;left:9123;top:5158;width:1108;height:1108" coordorigin="9124,5159" coordsize="1108,1108" path="m10231,5712r-5,-75l10211,5565r-23,-68l10156,5433r-40,-59l10069,5321r-53,-47l9957,5234r-64,-32l9825,5179r-72,-15l9678,5159r-76,5l9530,5179r-68,23l9398,5234r-59,40l9286,5321r-47,53l9200,5433r-33,64l9144,5565r-15,72l9124,5712r5,76l9144,5860r23,68l9200,5992r39,59l9286,6104r53,47l9398,6191r64,32l9530,6246r72,15l9678,6266r75,-5l9825,6246r68,-23l9957,6191r59,-40l10069,6104r47,-53l10156,5992r32,-64l10211,5860r15,-72l10231,5712xe" filled="f" strokecolor="#f47920" strokeweight="1.96pt">
              <v:path arrowok="t"/>
            </v:shape>
            <v:line id="_x0000_s5111" style="position:absolute" from="5247,5712" to="6351,5712" strokecolor="#f47920" strokeweight="1.96pt"/>
            <v:line id="_x0000_s5110" style="position:absolute" from="10231,5712" to="11336,5712" strokecolor="#f47920" strokeweight="1.96pt"/>
            <v:shape id="docshape181" o:spid="_x0000_s5109" type="#_x0000_t75" style="position:absolute;left:13586;top:5416;width:216;height:216">
              <v:imagedata r:id="rId53" o:title=""/>
            </v:shape>
            <v:shape id="docshape182" o:spid="_x0000_s5108" type="#_x0000_t75" style="position:absolute;left:13719;top:4557;width:216;height:216">
              <v:imagedata r:id="rId54" o:title=""/>
            </v:shape>
            <v:shape id="docshape183" o:spid="_x0000_s5107" type="#_x0000_t75" style="position:absolute;left:14282;top:5179;width:216;height:216">
              <v:imagedata r:id="rId54" o:title=""/>
            </v:shape>
            <v:shape id="docshape184" o:spid="_x0000_s5106" type="#_x0000_t75" style="position:absolute;left:14531;top:5508;width:216;height:216">
              <v:imagedata r:id="rId55" o:title=""/>
            </v:shape>
            <v:shape id="docshape185" o:spid="_x0000_s5105" type="#_x0000_t75" style="position:absolute;left:14207;top:5968;width:216;height:216">
              <v:imagedata r:id="rId54" o:title=""/>
            </v:shape>
            <v:shape id="docshape186" o:spid="_x0000_s5104" type="#_x0000_t75" style="position:absolute;left:13586;top:6187;width:216;height:216">
              <v:imagedata r:id="rId53" o:title=""/>
            </v:shape>
            <v:shape id="docshape187" o:spid="_x0000_s5103" type="#_x0000_t75" style="position:absolute;left:13002;top:5664;width:216;height:216">
              <v:imagedata r:id="rId55" o:title=""/>
            </v:shape>
            <v:shape id="docshape188" o:spid="_x0000_s5102" type="#_x0000_t75" style="position:absolute;left:13045;top:5164;width:216;height:216">
              <v:imagedata r:id="rId54" o:title=""/>
            </v:shape>
            <v:shape id="docshape189" o:spid="_x0000_s5101" type="#_x0000_t75" style="position:absolute;left:12619;top:5358;width:216;height:216">
              <v:imagedata r:id="rId55" o:title=""/>
            </v:shape>
            <v:shape id="docshape190" o:spid="_x0000_s5100" type="#_x0000_t75" style="position:absolute;left:12210;top:4893;width:216;height:216">
              <v:imagedata r:id="rId54" o:title=""/>
            </v:shape>
            <v:shape id="docshape191" o:spid="_x0000_s5099" type="#_x0000_t75" style="position:absolute;left:11817;top:5245;width:216;height:216">
              <v:imagedata r:id="rId55" o:title=""/>
            </v:shape>
            <v:shape id="docshape192" o:spid="_x0000_s5098" type="#_x0000_t75" style="position:absolute;left:12210;top:5292;width:216;height:216">
              <v:imagedata r:id="rId54" o:title=""/>
            </v:shape>
            <v:shape id="docshape193" o:spid="_x0000_s5097" type="#_x0000_t75" style="position:absolute;left:12262;top:4130;width:216;height:216">
              <v:imagedata r:id="rId54" o:title=""/>
            </v:shape>
            <v:shape id="docshape194" o:spid="_x0000_s5096" type="#_x0000_t75" style="position:absolute;left:13045;top:4395;width:216;height:216">
              <v:imagedata r:id="rId53" o:title=""/>
            </v:shape>
            <v:shape id="docshape195" o:spid="_x0000_s5095" type="#_x0000_t75" style="position:absolute;left:12706;top:4593;width:216;height:216">
              <v:imagedata r:id="rId54" o:title=""/>
            </v:shape>
            <v:shape id="docshape196" o:spid="_x0000_s5094" type="#_x0000_t75" style="position:absolute;left:13523;top:4130;width:216;height:216">
              <v:imagedata r:id="rId54" o:title=""/>
            </v:shape>
            <v:shape id="docshape197" o:spid="_x0000_s5093" type="#_x0000_t75" style="position:absolute;left:14711;top:4032;width:216;height:216">
              <v:imagedata r:id="rId55" o:title=""/>
            </v:shape>
            <v:shape id="docshape198" o:spid="_x0000_s5092" type="#_x0000_t75" style="position:absolute;left:11594;top:1999;width:216;height:216">
              <v:imagedata r:id="rId54" o:title=""/>
            </v:shape>
            <v:shape id="docshape199" o:spid="_x0000_s5091" type="#_x0000_t75" style="position:absolute;left:11594;top:2274;width:216;height:216">
              <v:imagedata r:id="rId54" o:title=""/>
            </v:shape>
            <v:shape id="docshape200" o:spid="_x0000_s5090" type="#_x0000_t75" style="position:absolute;left:11594;top:2548;width:216;height:216">
              <v:imagedata r:id="rId54" o:title=""/>
            </v:shape>
            <v:shape id="docshape201" o:spid="_x0000_s5089" type="#_x0000_t75" style="position:absolute;left:11594;top:2822;width:216;height:216">
              <v:imagedata r:id="rId54" o:title=""/>
            </v:shape>
            <v:shape id="docshape202" o:spid="_x0000_s5088" type="#_x0000_t75" style="position:absolute;left:11594;top:3097;width:216;height:216">
              <v:imagedata r:id="rId53" o:title=""/>
            </v:shape>
            <v:shape id="docshape203" o:spid="_x0000_s5087" type="#_x0000_t75" style="position:absolute;left:11594;top:3371;width:216;height:216">
              <v:imagedata r:id="rId54" o:title=""/>
            </v:shape>
            <v:shape id="docshape204" o:spid="_x0000_s5086" type="#_x0000_t75" style="position:absolute;left:12983;top:1999;width:216;height:216">
              <v:imagedata r:id="rId54" o:title=""/>
            </v:shape>
            <v:shape id="docshape205" o:spid="_x0000_s5085" type="#_x0000_t75" style="position:absolute;left:12983;top:2274;width:216;height:216">
              <v:imagedata r:id="rId54" o:title=""/>
            </v:shape>
            <v:shape id="docshape206" o:spid="_x0000_s5084" type="#_x0000_t75" style="position:absolute;left:12983;top:2548;width:216;height:216">
              <v:imagedata r:id="rId54" o:title=""/>
            </v:shape>
            <v:shape id="docshape207" o:spid="_x0000_s5083" type="#_x0000_t75" style="position:absolute;left:12983;top:2822;width:216;height:216">
              <v:imagedata r:id="rId54" o:title=""/>
            </v:shape>
            <v:shape id="docshape208" o:spid="_x0000_s5082" type="#_x0000_t75" style="position:absolute;left:12983;top:3097;width:216;height:216">
              <v:imagedata r:id="rId53" o:title=""/>
            </v:shape>
            <v:shape id="docshape209" o:spid="_x0000_s5081" type="#_x0000_t75" style="position:absolute;left:12983;top:3371;width:216;height:216">
              <v:imagedata r:id="rId54" o:title=""/>
            </v:shape>
            <v:shape id="docshape210" o:spid="_x0000_s5080" type="#_x0000_t75" style="position:absolute;left:14372;top:1999;width:216;height:216">
              <v:imagedata r:id="rId56" o:title=""/>
            </v:shape>
            <v:shape id="docshape211" o:spid="_x0000_s5079" type="#_x0000_t75" style="position:absolute;left:14372;top:2274;width:216;height:216">
              <v:imagedata r:id="rId56" o:title=""/>
            </v:shape>
            <v:shape id="docshape212" o:spid="_x0000_s5078" type="#_x0000_t75" style="position:absolute;left:14372;top:2548;width:216;height:216">
              <v:imagedata r:id="rId56" o:title=""/>
            </v:shape>
            <v:shape id="docshape213" o:spid="_x0000_s5077" type="#_x0000_t75" style="position:absolute;left:14372;top:2822;width:216;height:216">
              <v:imagedata r:id="rId57" o:title=""/>
            </v:shape>
            <v:shape id="docshape214" o:spid="_x0000_s5076" type="#_x0000_t75" style="position:absolute;left:14372;top:3097;width:216;height:216">
              <v:imagedata r:id="rId58" o:title=""/>
            </v:shape>
            <v:shape id="docshape215" o:spid="_x0000_s5075" type="#_x0000_t75" style="position:absolute;left:14372;top:3371;width:216;height:216">
              <v:imagedata r:id="rId57" o:title=""/>
            </v:shape>
            <v:shape id="docshape216" o:spid="_x0000_s5074" type="#_x0000_t75" style="position:absolute;left:14207;top:4527;width:216;height:216">
              <v:imagedata r:id="rId54" o:title=""/>
            </v:shape>
            <v:rect id="docshape217" o:spid="_x0000_s5073" style="position:absolute;width:16838;height:567" fillcolor="#ec008c" stroked="f"/>
            <v:shape id="docshape218" o:spid="_x0000_s5072" type="#_x0000_t75" style="position:absolute;left:972;top:148;width:399;height:312">
              <v:imagedata r:id="rId59" o:title=""/>
            </v:shape>
            <v:shape id="docshape219" o:spid="_x0000_s5071" style="position:absolute;left:2815;top:150;width:307;height:307" coordorigin="2815,151" coordsize="307,307" o:spt="100" adj="0,,0" path="m3055,284r-173,l2882,324r173,l3055,284xm3121,304r-12,-60l3095,223r,81l3085,353r-27,40l3017,421r-49,9l2919,421r-40,-28l2852,353r-10,-49l2852,255r27,-40l2919,187r49,-9l3017,187r41,28l3085,255r10,49l3095,223r-19,-27l3049,178r-21,-15l2968,151r-59,12l2860,196r-33,48l2815,304r12,60l2860,412r49,33l2968,457r60,-12l3049,430r27,-18l3109,364r12,-60xe" stroked="f">
              <v:stroke joinstyle="round"/>
              <v:formulas/>
              <v:path arrowok="t" o:connecttype="segments"/>
            </v:shape>
            <v:shape id="docshape220" o:spid="_x0000_s5070" type="#_x0000_t75" style="position:absolute;left:3250;top:150;width:307;height:307">
              <v:imagedata r:id="rId60" o:title=""/>
            </v:shape>
            <v:shape id="docshape221" o:spid="_x0000_s5069" type="#_x0000_t75" style="position:absolute;left:14523;top:147;width:330;height:313">
              <v:imagedata r:id="rId61" o:title=""/>
            </v:shape>
            <v:shape id="docshape222" o:spid="_x0000_s5068" type="#_x0000_t75" style="position:absolute;left:15144;top:150;width:307;height:307">
              <v:imagedata r:id="rId62" o:title=""/>
            </v:shape>
            <v:shape id="docshape223" o:spid="_x0000_s5067" type="#_x0000_t75" style="position:absolute;left:15557;top:150;width:307;height:307">
              <v:imagedata r:id="rId63" o:title=""/>
            </v:shape>
            <v:shape id="docshape224" o:spid="_x0000_s5066" type="#_x0000_t75" style="position:absolute;left:1687;top:147;width:314;height:313">
              <v:imagedata r:id="rId64" o:title=""/>
            </v:shape>
            <w10:wrap anchorx="page" anchory="page"/>
          </v:group>
        </w:pict>
      </w:r>
    </w:p>
    <w:p w:rsidR="002C1123" w:rsidRDefault="00F22F94">
      <w:pPr>
        <w:spacing w:before="111"/>
        <w:ind w:left="747"/>
        <w:rPr>
          <w:sz w:val="13"/>
        </w:rPr>
      </w:pPr>
      <w:r>
        <w:rPr>
          <w:sz w:val="13"/>
        </w:rPr>
        <w:t>Source:</w:t>
      </w:r>
      <w:r>
        <w:rPr>
          <w:spacing w:val="9"/>
          <w:sz w:val="13"/>
        </w:rPr>
        <w:t xml:space="preserve"> </w:t>
      </w:r>
      <w:r>
        <w:rPr>
          <w:sz w:val="13"/>
        </w:rPr>
        <w:t>Deloitte</w:t>
      </w:r>
      <w:r>
        <w:rPr>
          <w:spacing w:val="9"/>
          <w:sz w:val="13"/>
        </w:rPr>
        <w:t xml:space="preserve"> </w:t>
      </w:r>
      <w:r>
        <w:rPr>
          <w:sz w:val="13"/>
        </w:rPr>
        <w:t>Access</w:t>
      </w:r>
      <w:r>
        <w:rPr>
          <w:spacing w:val="9"/>
          <w:sz w:val="13"/>
        </w:rPr>
        <w:t xml:space="preserve"> </w:t>
      </w:r>
      <w:r>
        <w:rPr>
          <w:spacing w:val="-2"/>
          <w:sz w:val="13"/>
        </w:rPr>
        <w:t>Economics.</w:t>
      </w:r>
    </w:p>
    <w:p w:rsidR="002C1123" w:rsidRDefault="002C1123">
      <w:pPr>
        <w:rPr>
          <w:sz w:val="13"/>
        </w:rPr>
        <w:sectPr w:rsidR="002C1123">
          <w:type w:val="continuous"/>
          <w:pgSz w:w="16840" w:h="11910" w:orient="landscape"/>
          <w:pgMar w:top="560" w:right="280" w:bottom="280" w:left="500" w:header="0" w:footer="0"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7"/>
        </w:rPr>
      </w:pPr>
    </w:p>
    <w:p w:rsidR="002C1123" w:rsidRDefault="002C1123">
      <w:pPr>
        <w:rPr>
          <w:sz w:val="17"/>
        </w:rPr>
        <w:sectPr w:rsidR="002C1123">
          <w:headerReference w:type="default" r:id="rId65"/>
          <w:footerReference w:type="default" r:id="rId66"/>
          <w:pgSz w:w="16840" w:h="11910" w:orient="landscape"/>
          <w:pgMar w:top="560" w:right="280" w:bottom="700" w:left="500" w:header="0" w:footer="517" w:gutter="0"/>
          <w:pgNumType w:start="26"/>
          <w:cols w:space="720"/>
        </w:sectPr>
      </w:pPr>
    </w:p>
    <w:p w:rsidR="002C1123" w:rsidRDefault="00F22F94">
      <w:pPr>
        <w:pStyle w:val="Heading5"/>
        <w:numPr>
          <w:ilvl w:val="1"/>
          <w:numId w:val="172"/>
        </w:numPr>
        <w:tabs>
          <w:tab w:val="left" w:pos="917"/>
        </w:tabs>
        <w:ind w:left="916" w:hanging="450"/>
        <w:jc w:val="left"/>
        <w:rPr>
          <w:color w:val="EC008C"/>
        </w:rPr>
      </w:pPr>
      <w:bookmarkStart w:id="53" w:name="1.6_Economic_benefits"/>
      <w:bookmarkStart w:id="54" w:name="_bookmark38"/>
      <w:bookmarkStart w:id="55" w:name="_bookmark37"/>
      <w:bookmarkEnd w:id="53"/>
      <w:bookmarkEnd w:id="54"/>
      <w:bookmarkEnd w:id="55"/>
      <w:r>
        <w:rPr>
          <w:color w:val="EC008C"/>
          <w:w w:val="95"/>
        </w:rPr>
        <w:t>Economic</w:t>
      </w:r>
      <w:r>
        <w:rPr>
          <w:color w:val="EC008C"/>
          <w:spacing w:val="9"/>
        </w:rPr>
        <w:t xml:space="preserve"> </w:t>
      </w:r>
      <w:r>
        <w:rPr>
          <w:color w:val="EC008C"/>
          <w:spacing w:val="-2"/>
        </w:rPr>
        <w:t>benefits</w:t>
      </w:r>
    </w:p>
    <w:p w:rsidR="002C1123" w:rsidRDefault="00F22F94">
      <w:pPr>
        <w:pStyle w:val="BodyText"/>
        <w:spacing w:before="135" w:line="202" w:lineRule="exact"/>
        <w:ind w:left="500"/>
      </w:pPr>
      <w:r>
        <w:rPr>
          <w:w w:val="95"/>
        </w:rPr>
        <w:t>Infrastructure</w:t>
      </w:r>
      <w:r>
        <w:rPr>
          <w:spacing w:val="-1"/>
          <w:w w:val="95"/>
        </w:rPr>
        <w:t xml:space="preserve"> </w:t>
      </w:r>
      <w:r>
        <w:rPr>
          <w:w w:val="95"/>
        </w:rPr>
        <w:t>NSW</w:t>
      </w:r>
      <w:r>
        <w:rPr>
          <w:spacing w:val="-3"/>
        </w:rPr>
        <w:t xml:space="preserve"> </w:t>
      </w:r>
      <w:r>
        <w:rPr>
          <w:w w:val="95"/>
        </w:rPr>
        <w:t>commissioned</w:t>
      </w:r>
      <w:r>
        <w:rPr>
          <w:spacing w:val="-3"/>
        </w:rPr>
        <w:t xml:space="preserve"> </w:t>
      </w:r>
      <w:r>
        <w:rPr>
          <w:spacing w:val="-2"/>
          <w:w w:val="95"/>
        </w:rPr>
        <w:t>Deloitte</w:t>
      </w:r>
    </w:p>
    <w:p w:rsidR="002C1123" w:rsidRDefault="00F22F94">
      <w:pPr>
        <w:spacing w:before="9"/>
        <w:rPr>
          <w:sz w:val="24"/>
        </w:rPr>
      </w:pPr>
      <w:r>
        <w:br w:type="column"/>
      </w:r>
    </w:p>
    <w:p w:rsidR="002C1123" w:rsidRDefault="00F22F94">
      <w:pPr>
        <w:ind w:left="467"/>
        <w:rPr>
          <w:b/>
          <w:sz w:val="26"/>
        </w:rPr>
      </w:pPr>
      <w:r>
        <w:rPr>
          <w:b/>
          <w:color w:val="EC008C"/>
          <w:spacing w:val="-2"/>
          <w:sz w:val="26"/>
        </w:rPr>
        <w:t>Economic</w:t>
      </w:r>
      <w:r>
        <w:rPr>
          <w:b/>
          <w:color w:val="EC008C"/>
          <w:spacing w:val="-16"/>
          <w:sz w:val="26"/>
        </w:rPr>
        <w:t xml:space="preserve"> </w:t>
      </w:r>
      <w:r>
        <w:rPr>
          <w:b/>
          <w:color w:val="EC008C"/>
          <w:spacing w:val="-2"/>
          <w:sz w:val="26"/>
        </w:rPr>
        <w:t>benefits</w:t>
      </w:r>
      <w:r>
        <w:rPr>
          <w:b/>
          <w:color w:val="EC008C"/>
          <w:spacing w:val="-16"/>
          <w:sz w:val="26"/>
        </w:rPr>
        <w:t xml:space="preserve"> </w:t>
      </w:r>
      <w:r>
        <w:rPr>
          <w:b/>
          <w:color w:val="EC008C"/>
          <w:spacing w:val="-2"/>
          <w:sz w:val="26"/>
        </w:rPr>
        <w:t>of</w:t>
      </w:r>
      <w:r>
        <w:rPr>
          <w:b/>
          <w:color w:val="EC008C"/>
          <w:spacing w:val="-16"/>
          <w:sz w:val="26"/>
        </w:rPr>
        <w:t xml:space="preserve"> </w:t>
      </w:r>
      <w:r>
        <w:rPr>
          <w:b/>
          <w:color w:val="EC008C"/>
          <w:spacing w:val="-2"/>
          <w:sz w:val="26"/>
        </w:rPr>
        <w:t>the</w:t>
      </w:r>
      <w:r>
        <w:rPr>
          <w:b/>
          <w:color w:val="EC008C"/>
          <w:spacing w:val="-16"/>
          <w:sz w:val="26"/>
        </w:rPr>
        <w:t xml:space="preserve"> </w:t>
      </w:r>
      <w:r>
        <w:rPr>
          <w:b/>
          <w:color w:val="EC008C"/>
          <w:spacing w:val="-2"/>
          <w:sz w:val="26"/>
        </w:rPr>
        <w:t>State</w:t>
      </w:r>
      <w:r>
        <w:rPr>
          <w:b/>
          <w:color w:val="EC008C"/>
          <w:spacing w:val="-16"/>
          <w:sz w:val="26"/>
        </w:rPr>
        <w:t xml:space="preserve"> </w:t>
      </w:r>
      <w:r>
        <w:rPr>
          <w:b/>
          <w:color w:val="EC008C"/>
          <w:spacing w:val="-2"/>
          <w:sz w:val="26"/>
        </w:rPr>
        <w:t>Infrastructure</w:t>
      </w:r>
      <w:r>
        <w:rPr>
          <w:b/>
          <w:color w:val="EC008C"/>
          <w:spacing w:val="-15"/>
          <w:sz w:val="26"/>
        </w:rPr>
        <w:t xml:space="preserve"> </w:t>
      </w:r>
      <w:r>
        <w:rPr>
          <w:b/>
          <w:color w:val="EC008C"/>
          <w:spacing w:val="-2"/>
          <w:sz w:val="26"/>
        </w:rPr>
        <w:t>Strategy</w:t>
      </w:r>
      <w:r>
        <w:rPr>
          <w:b/>
          <w:color w:val="EC008C"/>
          <w:spacing w:val="-16"/>
          <w:sz w:val="26"/>
        </w:rPr>
        <w:t xml:space="preserve"> </w:t>
      </w:r>
      <w:r>
        <w:rPr>
          <w:b/>
          <w:color w:val="EC008C"/>
          <w:spacing w:val="-2"/>
          <w:sz w:val="26"/>
        </w:rPr>
        <w:t>recommendations</w:t>
      </w:r>
    </w:p>
    <w:p w:rsidR="002C1123" w:rsidRDefault="002C1123">
      <w:pPr>
        <w:rPr>
          <w:sz w:val="26"/>
        </w:rPr>
        <w:sectPr w:rsidR="002C1123">
          <w:type w:val="continuous"/>
          <w:pgSz w:w="16840" w:h="11910" w:orient="landscape"/>
          <w:pgMar w:top="560" w:right="280" w:bottom="280" w:left="500" w:header="0" w:footer="517" w:gutter="0"/>
          <w:cols w:num="2" w:space="720" w:equalWidth="0">
            <w:col w:w="4157" w:space="1073"/>
            <w:col w:w="10830"/>
          </w:cols>
        </w:sectPr>
      </w:pPr>
    </w:p>
    <w:p w:rsidR="002C1123" w:rsidRDefault="00F22F94">
      <w:pPr>
        <w:pStyle w:val="BodyText"/>
        <w:spacing w:before="38" w:line="249" w:lineRule="auto"/>
        <w:ind w:left="498" w:right="362" w:hanging="10"/>
      </w:pPr>
      <w:r>
        <w:rPr>
          <w:w w:val="95"/>
        </w:rPr>
        <w:t xml:space="preserve">Access Economics to model the economic benefits </w:t>
      </w:r>
      <w:r>
        <w:t>of the Strategy.</w:t>
      </w:r>
    </w:p>
    <w:p w:rsidR="002C1123" w:rsidRDefault="00F22F94">
      <w:pPr>
        <w:pStyle w:val="BodyText"/>
        <w:spacing w:before="143" w:line="249" w:lineRule="auto"/>
        <w:ind w:left="497" w:hanging="19"/>
      </w:pPr>
      <w:r>
        <w:t>The</w:t>
      </w:r>
      <w:r>
        <w:rPr>
          <w:spacing w:val="-12"/>
        </w:rPr>
        <w:t xml:space="preserve"> </w:t>
      </w:r>
      <w:r>
        <w:t>model</w:t>
      </w:r>
      <w:r>
        <w:rPr>
          <w:spacing w:val="-12"/>
        </w:rPr>
        <w:t xml:space="preserve"> </w:t>
      </w:r>
      <w:r>
        <w:t>found</w:t>
      </w:r>
      <w:r>
        <w:rPr>
          <w:spacing w:val="-12"/>
        </w:rPr>
        <w:t xml:space="preserve"> </w:t>
      </w:r>
      <w:r>
        <w:t>that</w:t>
      </w:r>
      <w:r>
        <w:rPr>
          <w:spacing w:val="-12"/>
        </w:rPr>
        <w:t xml:space="preserve"> </w:t>
      </w:r>
      <w:r>
        <w:t>effective</w:t>
      </w:r>
      <w:r>
        <w:rPr>
          <w:spacing w:val="-12"/>
        </w:rPr>
        <w:t xml:space="preserve"> </w:t>
      </w:r>
      <w:r>
        <w:t>implementation</w:t>
      </w:r>
      <w:r>
        <w:rPr>
          <w:spacing w:val="-12"/>
        </w:rPr>
        <w:t xml:space="preserve"> </w:t>
      </w:r>
      <w:r>
        <w:t>of</w:t>
      </w:r>
      <w:r>
        <w:rPr>
          <w:spacing w:val="-12"/>
        </w:rPr>
        <w:t xml:space="preserve"> </w:t>
      </w:r>
      <w:r>
        <w:t xml:space="preserve">this </w:t>
      </w:r>
      <w:r>
        <w:rPr>
          <w:w w:val="95"/>
        </w:rPr>
        <w:t>Strategy</w:t>
      </w:r>
      <w:r>
        <w:rPr>
          <w:spacing w:val="-7"/>
          <w:w w:val="95"/>
        </w:rPr>
        <w:t xml:space="preserve"> </w:t>
      </w:r>
      <w:r>
        <w:rPr>
          <w:w w:val="95"/>
        </w:rPr>
        <w:t>could</w:t>
      </w:r>
      <w:r>
        <w:rPr>
          <w:spacing w:val="-7"/>
          <w:w w:val="95"/>
        </w:rPr>
        <w:t xml:space="preserve"> </w:t>
      </w:r>
      <w:r>
        <w:rPr>
          <w:w w:val="95"/>
        </w:rPr>
        <w:t>increase</w:t>
      </w:r>
      <w:r>
        <w:rPr>
          <w:spacing w:val="-7"/>
          <w:w w:val="95"/>
        </w:rPr>
        <w:t xml:space="preserve"> </w:t>
      </w:r>
      <w:r>
        <w:rPr>
          <w:w w:val="95"/>
        </w:rPr>
        <w:t>the</w:t>
      </w:r>
      <w:r>
        <w:rPr>
          <w:spacing w:val="-7"/>
          <w:w w:val="95"/>
        </w:rPr>
        <w:t xml:space="preserve"> </w:t>
      </w:r>
      <w:r>
        <w:rPr>
          <w:w w:val="95"/>
        </w:rPr>
        <w:t>size</w:t>
      </w:r>
      <w:r>
        <w:rPr>
          <w:spacing w:val="-7"/>
          <w:w w:val="95"/>
        </w:rPr>
        <w:t xml:space="preserve"> </w:t>
      </w:r>
      <w:r>
        <w:rPr>
          <w:w w:val="95"/>
        </w:rPr>
        <w:t>of</w:t>
      </w:r>
      <w:r>
        <w:rPr>
          <w:spacing w:val="-7"/>
          <w:w w:val="95"/>
        </w:rPr>
        <w:t xml:space="preserve"> </w:t>
      </w:r>
      <w:r>
        <w:rPr>
          <w:w w:val="95"/>
        </w:rPr>
        <w:t>the</w:t>
      </w:r>
      <w:r>
        <w:rPr>
          <w:spacing w:val="-7"/>
          <w:w w:val="95"/>
        </w:rPr>
        <w:t xml:space="preserve"> </w:t>
      </w:r>
      <w:r>
        <w:rPr>
          <w:w w:val="95"/>
        </w:rPr>
        <w:t>NSW</w:t>
      </w:r>
      <w:r>
        <w:rPr>
          <w:spacing w:val="-7"/>
          <w:w w:val="95"/>
        </w:rPr>
        <w:t xml:space="preserve"> </w:t>
      </w:r>
      <w:r>
        <w:rPr>
          <w:w w:val="95"/>
        </w:rPr>
        <w:t>economy</w:t>
      </w:r>
      <w:r>
        <w:rPr>
          <w:spacing w:val="-7"/>
          <w:w w:val="95"/>
        </w:rPr>
        <w:t xml:space="preserve"> </w:t>
      </w:r>
      <w:r>
        <w:rPr>
          <w:w w:val="95"/>
        </w:rPr>
        <w:t>by over</w:t>
      </w:r>
      <w:r>
        <w:rPr>
          <w:spacing w:val="-5"/>
          <w:w w:val="95"/>
        </w:rPr>
        <w:t xml:space="preserve"> </w:t>
      </w:r>
      <w:r>
        <w:rPr>
          <w:w w:val="95"/>
        </w:rPr>
        <w:t>$50</w:t>
      </w:r>
      <w:r>
        <w:rPr>
          <w:spacing w:val="-5"/>
          <w:w w:val="95"/>
        </w:rPr>
        <w:t xml:space="preserve"> </w:t>
      </w:r>
      <w:r>
        <w:rPr>
          <w:w w:val="95"/>
        </w:rPr>
        <w:t>billion</w:t>
      </w:r>
      <w:r>
        <w:rPr>
          <w:spacing w:val="-5"/>
          <w:w w:val="95"/>
        </w:rPr>
        <w:t xml:space="preserve"> </w:t>
      </w:r>
      <w:r>
        <w:rPr>
          <w:w w:val="95"/>
        </w:rPr>
        <w:t>(net</w:t>
      </w:r>
      <w:r>
        <w:rPr>
          <w:spacing w:val="-5"/>
          <w:w w:val="95"/>
        </w:rPr>
        <w:t xml:space="preserve"> </w:t>
      </w:r>
      <w:r>
        <w:rPr>
          <w:w w:val="95"/>
        </w:rPr>
        <w:t>present</w:t>
      </w:r>
      <w:r>
        <w:rPr>
          <w:spacing w:val="-5"/>
          <w:w w:val="95"/>
        </w:rPr>
        <w:t xml:space="preserve"> </w:t>
      </w:r>
      <w:r>
        <w:rPr>
          <w:w w:val="95"/>
        </w:rPr>
        <w:t>value)</w:t>
      </w:r>
      <w:r>
        <w:rPr>
          <w:spacing w:val="-5"/>
          <w:w w:val="95"/>
        </w:rPr>
        <w:t xml:space="preserve"> </w:t>
      </w:r>
      <w:r>
        <w:rPr>
          <w:w w:val="95"/>
        </w:rPr>
        <w:t>or</w:t>
      </w:r>
      <w:r>
        <w:rPr>
          <w:spacing w:val="-5"/>
          <w:w w:val="95"/>
        </w:rPr>
        <w:t xml:space="preserve"> </w:t>
      </w:r>
      <w:r>
        <w:rPr>
          <w:w w:val="95"/>
        </w:rPr>
        <w:t>$18.4</w:t>
      </w:r>
      <w:r>
        <w:rPr>
          <w:spacing w:val="-5"/>
          <w:w w:val="95"/>
        </w:rPr>
        <w:t xml:space="preserve"> </w:t>
      </w:r>
      <w:r>
        <w:rPr>
          <w:w w:val="95"/>
        </w:rPr>
        <w:t>billion</w:t>
      </w:r>
      <w:r>
        <w:rPr>
          <w:spacing w:val="-5"/>
          <w:w w:val="95"/>
        </w:rPr>
        <w:t xml:space="preserve"> </w:t>
      </w:r>
      <w:r>
        <w:rPr>
          <w:w w:val="95"/>
        </w:rPr>
        <w:t>a</w:t>
      </w:r>
      <w:r>
        <w:rPr>
          <w:spacing w:val="-5"/>
          <w:w w:val="95"/>
        </w:rPr>
        <w:t xml:space="preserve"> </w:t>
      </w:r>
      <w:r>
        <w:rPr>
          <w:w w:val="95"/>
        </w:rPr>
        <w:t>year (in</w:t>
      </w:r>
      <w:r>
        <w:rPr>
          <w:spacing w:val="-4"/>
          <w:w w:val="95"/>
        </w:rPr>
        <w:t xml:space="preserve"> </w:t>
      </w:r>
      <w:r>
        <w:rPr>
          <w:w w:val="95"/>
        </w:rPr>
        <w:t>current</w:t>
      </w:r>
      <w:r>
        <w:rPr>
          <w:spacing w:val="-4"/>
          <w:w w:val="95"/>
        </w:rPr>
        <w:t xml:space="preserve"> </w:t>
      </w:r>
      <w:r>
        <w:rPr>
          <w:w w:val="95"/>
        </w:rPr>
        <w:t>dollars)</w:t>
      </w:r>
      <w:r>
        <w:rPr>
          <w:spacing w:val="-4"/>
          <w:w w:val="95"/>
        </w:rPr>
        <w:t xml:space="preserve"> </w:t>
      </w:r>
      <w:r>
        <w:rPr>
          <w:w w:val="95"/>
        </w:rPr>
        <w:t>by</w:t>
      </w:r>
      <w:r>
        <w:rPr>
          <w:spacing w:val="-4"/>
          <w:w w:val="95"/>
        </w:rPr>
        <w:t xml:space="preserve"> </w:t>
      </w:r>
      <w:r>
        <w:rPr>
          <w:w w:val="95"/>
        </w:rPr>
        <w:t>2032.</w:t>
      </w:r>
      <w:r>
        <w:rPr>
          <w:spacing w:val="-4"/>
          <w:w w:val="95"/>
        </w:rPr>
        <w:t xml:space="preserve"> </w:t>
      </w:r>
      <w:r>
        <w:rPr>
          <w:w w:val="95"/>
        </w:rPr>
        <w:t>This</w:t>
      </w:r>
      <w:r>
        <w:rPr>
          <w:spacing w:val="-4"/>
          <w:w w:val="95"/>
        </w:rPr>
        <w:t xml:space="preserve"> </w:t>
      </w:r>
      <w:r>
        <w:rPr>
          <w:w w:val="95"/>
        </w:rPr>
        <w:t>is</w:t>
      </w:r>
      <w:r>
        <w:rPr>
          <w:spacing w:val="-4"/>
          <w:w w:val="95"/>
        </w:rPr>
        <w:t xml:space="preserve"> </w:t>
      </w:r>
      <w:r>
        <w:rPr>
          <w:w w:val="95"/>
        </w:rPr>
        <w:t>around</w:t>
      </w:r>
      <w:r>
        <w:rPr>
          <w:spacing w:val="-4"/>
          <w:w w:val="95"/>
        </w:rPr>
        <w:t xml:space="preserve"> </w:t>
      </w:r>
      <w:r>
        <w:rPr>
          <w:w w:val="95"/>
        </w:rPr>
        <w:t>a</w:t>
      </w:r>
      <w:r>
        <w:rPr>
          <w:spacing w:val="-4"/>
          <w:w w:val="95"/>
        </w:rPr>
        <w:t xml:space="preserve"> </w:t>
      </w:r>
      <w:r>
        <w:rPr>
          <w:w w:val="95"/>
        </w:rPr>
        <w:t>2.4</w:t>
      </w:r>
      <w:r>
        <w:rPr>
          <w:spacing w:val="-4"/>
          <w:w w:val="95"/>
        </w:rPr>
        <w:t xml:space="preserve"> </w:t>
      </w:r>
      <w:r>
        <w:rPr>
          <w:w w:val="95"/>
        </w:rPr>
        <w:t>per</w:t>
      </w:r>
      <w:r>
        <w:rPr>
          <w:spacing w:val="-4"/>
          <w:w w:val="95"/>
        </w:rPr>
        <w:t xml:space="preserve"> </w:t>
      </w:r>
      <w:r>
        <w:rPr>
          <w:w w:val="95"/>
        </w:rPr>
        <w:t xml:space="preserve">cent </w:t>
      </w:r>
      <w:r>
        <w:t>increase</w:t>
      </w:r>
      <w:r>
        <w:rPr>
          <w:spacing w:val="-12"/>
        </w:rPr>
        <w:t xml:space="preserve"> </w:t>
      </w:r>
      <w:r>
        <w:t>from</w:t>
      </w:r>
      <w:r>
        <w:rPr>
          <w:spacing w:val="-13"/>
        </w:rPr>
        <w:t xml:space="preserve"> </w:t>
      </w:r>
      <w:r>
        <w:t>the</w:t>
      </w:r>
      <w:r>
        <w:rPr>
          <w:spacing w:val="-12"/>
        </w:rPr>
        <w:t xml:space="preserve"> </w:t>
      </w:r>
      <w:r>
        <w:t>long</w:t>
      </w:r>
      <w:r>
        <w:rPr>
          <w:spacing w:val="-12"/>
        </w:rPr>
        <w:t xml:space="preserve"> </w:t>
      </w:r>
      <w:r>
        <w:t>term</w:t>
      </w:r>
      <w:r>
        <w:rPr>
          <w:spacing w:val="-13"/>
        </w:rPr>
        <w:t xml:space="preserve"> </w:t>
      </w:r>
      <w:r>
        <w:t>baseline,</w:t>
      </w:r>
      <w:r>
        <w:rPr>
          <w:spacing w:val="-12"/>
        </w:rPr>
        <w:t xml:space="preserve"> </w:t>
      </w:r>
      <w:r>
        <w:t>which</w:t>
      </w:r>
      <w:r>
        <w:rPr>
          <w:spacing w:val="-12"/>
        </w:rPr>
        <w:t xml:space="preserve"> </w:t>
      </w:r>
      <w:r>
        <w:t xml:space="preserve">means </w:t>
      </w:r>
      <w:r>
        <w:rPr>
          <w:w w:val="95"/>
        </w:rPr>
        <w:t xml:space="preserve">around 100,000 extra jobs by 2032. The Deloitte Access </w:t>
      </w:r>
      <w:r>
        <w:t>Economics</w:t>
      </w:r>
      <w:r>
        <w:rPr>
          <w:spacing w:val="-7"/>
        </w:rPr>
        <w:t xml:space="preserve"> </w:t>
      </w:r>
      <w:r>
        <w:t>report</w:t>
      </w:r>
      <w:r>
        <w:rPr>
          <w:spacing w:val="-7"/>
        </w:rPr>
        <w:t xml:space="preserve"> </w:t>
      </w:r>
      <w:r>
        <w:t>can</w:t>
      </w:r>
      <w:r>
        <w:rPr>
          <w:spacing w:val="-7"/>
        </w:rPr>
        <w:t xml:space="preserve"> </w:t>
      </w:r>
      <w:r>
        <w:t>be</w:t>
      </w:r>
      <w:r>
        <w:rPr>
          <w:spacing w:val="-7"/>
        </w:rPr>
        <w:t xml:space="preserve"> </w:t>
      </w:r>
      <w:r>
        <w:t>found</w:t>
      </w:r>
      <w:r>
        <w:rPr>
          <w:spacing w:val="-7"/>
        </w:rPr>
        <w:t xml:space="preserve"> </w:t>
      </w:r>
      <w:r>
        <w:t>on</w:t>
      </w:r>
      <w:r>
        <w:rPr>
          <w:spacing w:val="-7"/>
        </w:rPr>
        <w:t xml:space="preserve"> </w:t>
      </w:r>
      <w:r>
        <w:t>the</w:t>
      </w:r>
      <w:r>
        <w:rPr>
          <w:spacing w:val="-7"/>
        </w:rPr>
        <w:t xml:space="preserve"> </w:t>
      </w:r>
      <w:r>
        <w:t>Infrastructure NSW</w:t>
      </w:r>
      <w:r>
        <w:rPr>
          <w:spacing w:val="-11"/>
        </w:rPr>
        <w:t xml:space="preserve"> </w:t>
      </w:r>
      <w:r>
        <w:t>website.</w:t>
      </w:r>
    </w:p>
    <w:p w:rsidR="002C1123" w:rsidRDefault="00F22F94">
      <w:pPr>
        <w:pStyle w:val="BodyText"/>
        <w:spacing w:before="149" w:line="249" w:lineRule="auto"/>
        <w:ind w:left="498" w:hanging="20"/>
      </w:pPr>
      <w:r>
        <w:t>The</w:t>
      </w:r>
      <w:r>
        <w:rPr>
          <w:spacing w:val="-6"/>
        </w:rPr>
        <w:t xml:space="preserve"> </w:t>
      </w:r>
      <w:r>
        <w:t>economic</w:t>
      </w:r>
      <w:r>
        <w:rPr>
          <w:spacing w:val="-6"/>
        </w:rPr>
        <w:t xml:space="preserve"> </w:t>
      </w:r>
      <w:r>
        <w:t>benefits</w:t>
      </w:r>
      <w:r>
        <w:rPr>
          <w:spacing w:val="-6"/>
        </w:rPr>
        <w:t xml:space="preserve"> </w:t>
      </w:r>
      <w:r>
        <w:t>exclude</w:t>
      </w:r>
      <w:r>
        <w:rPr>
          <w:spacing w:val="-6"/>
        </w:rPr>
        <w:t xml:space="preserve"> </w:t>
      </w:r>
      <w:r>
        <w:t>the</w:t>
      </w:r>
      <w:r>
        <w:rPr>
          <w:spacing w:val="-6"/>
        </w:rPr>
        <w:t xml:space="preserve"> </w:t>
      </w:r>
      <w:r>
        <w:t>direct</w:t>
      </w:r>
      <w:r>
        <w:rPr>
          <w:spacing w:val="-6"/>
        </w:rPr>
        <w:t xml:space="preserve"> </w:t>
      </w:r>
      <w:r>
        <w:t>economic activity</w:t>
      </w:r>
      <w:r>
        <w:rPr>
          <w:spacing w:val="-8"/>
        </w:rPr>
        <w:t xml:space="preserve"> </w:t>
      </w:r>
      <w:r>
        <w:t>from</w:t>
      </w:r>
      <w:r>
        <w:rPr>
          <w:spacing w:val="-9"/>
        </w:rPr>
        <w:t xml:space="preserve"> </w:t>
      </w:r>
      <w:r>
        <w:t>the</w:t>
      </w:r>
      <w:r>
        <w:rPr>
          <w:spacing w:val="-8"/>
        </w:rPr>
        <w:t xml:space="preserve"> </w:t>
      </w:r>
      <w:r>
        <w:t>infrastructure</w:t>
      </w:r>
      <w:r>
        <w:rPr>
          <w:spacing w:val="-8"/>
        </w:rPr>
        <w:t xml:space="preserve"> </w:t>
      </w:r>
      <w:r>
        <w:t>capital</w:t>
      </w:r>
      <w:r>
        <w:rPr>
          <w:spacing w:val="-8"/>
        </w:rPr>
        <w:t xml:space="preserve"> </w:t>
      </w:r>
      <w:r>
        <w:t>and</w:t>
      </w:r>
      <w:r>
        <w:rPr>
          <w:spacing w:val="-8"/>
        </w:rPr>
        <w:t xml:space="preserve"> </w:t>
      </w:r>
      <w:r>
        <w:t>ongoing operating</w:t>
      </w:r>
      <w:r>
        <w:rPr>
          <w:spacing w:val="-13"/>
        </w:rPr>
        <w:t xml:space="preserve"> </w:t>
      </w:r>
      <w:r>
        <w:t>expenditure.</w:t>
      </w:r>
      <w:r>
        <w:rPr>
          <w:spacing w:val="-13"/>
        </w:rPr>
        <w:t xml:space="preserve"> </w:t>
      </w:r>
      <w:r>
        <w:t>This</w:t>
      </w:r>
      <w:r>
        <w:rPr>
          <w:spacing w:val="-13"/>
        </w:rPr>
        <w:t xml:space="preserve"> </w:t>
      </w:r>
      <w:r>
        <w:t>effect</w:t>
      </w:r>
      <w:r>
        <w:rPr>
          <w:spacing w:val="-13"/>
        </w:rPr>
        <w:t xml:space="preserve"> </w:t>
      </w:r>
      <w:r>
        <w:t>has</w:t>
      </w:r>
      <w:r>
        <w:rPr>
          <w:spacing w:val="-13"/>
        </w:rPr>
        <w:t xml:space="preserve"> </w:t>
      </w:r>
      <w:r>
        <w:t>been</w:t>
      </w:r>
      <w:r>
        <w:rPr>
          <w:spacing w:val="-13"/>
        </w:rPr>
        <w:t xml:space="preserve"> </w:t>
      </w:r>
      <w:r>
        <w:t xml:space="preserve">excluded </w:t>
      </w:r>
      <w:r>
        <w:rPr>
          <w:w w:val="95"/>
        </w:rPr>
        <w:t>as</w:t>
      </w:r>
      <w:r>
        <w:rPr>
          <w:spacing w:val="-4"/>
          <w:w w:val="95"/>
        </w:rPr>
        <w:t xml:space="preserve"> </w:t>
      </w:r>
      <w:r>
        <w:rPr>
          <w:w w:val="95"/>
        </w:rPr>
        <w:t>it</w:t>
      </w:r>
      <w:r>
        <w:rPr>
          <w:spacing w:val="-4"/>
          <w:w w:val="95"/>
        </w:rPr>
        <w:t xml:space="preserve"> </w:t>
      </w:r>
      <w:r>
        <w:rPr>
          <w:w w:val="95"/>
        </w:rPr>
        <w:t>is</w:t>
      </w:r>
      <w:r>
        <w:rPr>
          <w:spacing w:val="-4"/>
          <w:w w:val="95"/>
        </w:rPr>
        <w:t xml:space="preserve"> </w:t>
      </w:r>
      <w:r>
        <w:rPr>
          <w:w w:val="95"/>
        </w:rPr>
        <w:t>of</w:t>
      </w:r>
      <w:r>
        <w:rPr>
          <w:spacing w:val="-4"/>
          <w:w w:val="95"/>
        </w:rPr>
        <w:t xml:space="preserve"> </w:t>
      </w:r>
      <w:r>
        <w:rPr>
          <w:w w:val="95"/>
        </w:rPr>
        <w:t>little</w:t>
      </w:r>
      <w:r>
        <w:rPr>
          <w:spacing w:val="-4"/>
          <w:w w:val="95"/>
        </w:rPr>
        <w:t xml:space="preserve"> </w:t>
      </w:r>
      <w:r>
        <w:rPr>
          <w:w w:val="95"/>
        </w:rPr>
        <w:t>long</w:t>
      </w:r>
      <w:r>
        <w:rPr>
          <w:spacing w:val="-4"/>
          <w:w w:val="95"/>
        </w:rPr>
        <w:t xml:space="preserve"> </w:t>
      </w:r>
      <w:r>
        <w:rPr>
          <w:w w:val="95"/>
        </w:rPr>
        <w:t>term</w:t>
      </w:r>
      <w:r>
        <w:rPr>
          <w:spacing w:val="-4"/>
          <w:w w:val="95"/>
        </w:rPr>
        <w:t xml:space="preserve"> </w:t>
      </w:r>
      <w:r>
        <w:rPr>
          <w:w w:val="95"/>
        </w:rPr>
        <w:t>economic</w:t>
      </w:r>
      <w:r>
        <w:rPr>
          <w:spacing w:val="-4"/>
          <w:w w:val="95"/>
        </w:rPr>
        <w:t xml:space="preserve"> </w:t>
      </w:r>
      <w:r>
        <w:rPr>
          <w:w w:val="95"/>
        </w:rPr>
        <w:t>importance.</w:t>
      </w:r>
      <w:r>
        <w:rPr>
          <w:spacing w:val="-4"/>
          <w:w w:val="95"/>
        </w:rPr>
        <w:t xml:space="preserve"> </w:t>
      </w:r>
      <w:r>
        <w:rPr>
          <w:w w:val="95"/>
        </w:rPr>
        <w:t>The</w:t>
      </w:r>
      <w:r>
        <w:rPr>
          <w:spacing w:val="-4"/>
          <w:w w:val="95"/>
        </w:rPr>
        <w:t xml:space="preserve"> </w:t>
      </w:r>
      <w:r>
        <w:rPr>
          <w:w w:val="95"/>
        </w:rPr>
        <w:t xml:space="preserve">long term value of the Strategy to the economy is generated </w:t>
      </w:r>
      <w:r>
        <w:t>by the services.</w:t>
      </w:r>
    </w:p>
    <w:p w:rsidR="002C1123" w:rsidRDefault="00F22F94">
      <w:pPr>
        <w:pStyle w:val="BodyText"/>
        <w:spacing w:before="146" w:line="249" w:lineRule="auto"/>
        <w:ind w:left="504" w:hanging="26"/>
      </w:pPr>
      <w:r>
        <w:rPr>
          <w:w w:val="95"/>
        </w:rPr>
        <w:t>The</w:t>
      </w:r>
      <w:r>
        <w:rPr>
          <w:spacing w:val="-10"/>
          <w:w w:val="95"/>
        </w:rPr>
        <w:t xml:space="preserve"> </w:t>
      </w:r>
      <w:r>
        <w:rPr>
          <w:w w:val="95"/>
        </w:rPr>
        <w:t>CGE</w:t>
      </w:r>
      <w:r>
        <w:rPr>
          <w:spacing w:val="-10"/>
          <w:w w:val="95"/>
        </w:rPr>
        <w:t xml:space="preserve"> </w:t>
      </w:r>
      <w:r>
        <w:rPr>
          <w:w w:val="95"/>
        </w:rPr>
        <w:t>modelling</w:t>
      </w:r>
      <w:r>
        <w:rPr>
          <w:spacing w:val="-10"/>
          <w:w w:val="95"/>
        </w:rPr>
        <w:t xml:space="preserve"> </w:t>
      </w:r>
      <w:r>
        <w:rPr>
          <w:w w:val="95"/>
        </w:rPr>
        <w:t>of</w:t>
      </w:r>
      <w:r>
        <w:rPr>
          <w:spacing w:val="-10"/>
          <w:w w:val="95"/>
        </w:rPr>
        <w:t xml:space="preserve"> </w:t>
      </w:r>
      <w:r>
        <w:rPr>
          <w:w w:val="95"/>
        </w:rPr>
        <w:t>the</w:t>
      </w:r>
      <w:r>
        <w:rPr>
          <w:spacing w:val="-10"/>
          <w:w w:val="95"/>
        </w:rPr>
        <w:t xml:space="preserve"> </w:t>
      </w:r>
      <w:r>
        <w:rPr>
          <w:w w:val="95"/>
        </w:rPr>
        <w:t>key</w:t>
      </w:r>
      <w:r>
        <w:rPr>
          <w:spacing w:val="-10"/>
          <w:w w:val="95"/>
        </w:rPr>
        <w:t xml:space="preserve"> </w:t>
      </w:r>
      <w:r>
        <w:rPr>
          <w:w w:val="95"/>
        </w:rPr>
        <w:t>infrastructure</w:t>
      </w:r>
      <w:r>
        <w:rPr>
          <w:spacing w:val="-10"/>
          <w:w w:val="95"/>
        </w:rPr>
        <w:t xml:space="preserve"> </w:t>
      </w:r>
      <w:r>
        <w:rPr>
          <w:w w:val="95"/>
        </w:rPr>
        <w:t xml:space="preserve">investments </w:t>
      </w:r>
      <w:r>
        <w:t>means</w:t>
      </w:r>
      <w:r>
        <w:rPr>
          <w:spacing w:val="-10"/>
        </w:rPr>
        <w:t xml:space="preserve"> </w:t>
      </w:r>
      <w:r>
        <w:t>that</w:t>
      </w:r>
      <w:r>
        <w:rPr>
          <w:spacing w:val="-10"/>
        </w:rPr>
        <w:t xml:space="preserve"> </w:t>
      </w:r>
      <w:r>
        <w:t>the</w:t>
      </w:r>
      <w:r>
        <w:rPr>
          <w:spacing w:val="-10"/>
        </w:rPr>
        <w:t xml:space="preserve"> </w:t>
      </w:r>
      <w:r>
        <w:t>Strategy</w:t>
      </w:r>
      <w:r>
        <w:rPr>
          <w:spacing w:val="-10"/>
        </w:rPr>
        <w:t xml:space="preserve"> </w:t>
      </w:r>
      <w:r>
        <w:t>assessment</w:t>
      </w:r>
      <w:r>
        <w:rPr>
          <w:spacing w:val="-10"/>
        </w:rPr>
        <w:t xml:space="preserve"> </w:t>
      </w:r>
      <w:r>
        <w:t>is</w:t>
      </w:r>
      <w:r>
        <w:rPr>
          <w:spacing w:val="-10"/>
        </w:rPr>
        <w:t xml:space="preserve"> </w:t>
      </w:r>
      <w:r>
        <w:t>focused</w:t>
      </w:r>
      <w:r>
        <w:rPr>
          <w:spacing w:val="-10"/>
        </w:rPr>
        <w:t xml:space="preserve"> </w:t>
      </w:r>
      <w:r>
        <w:t>on</w:t>
      </w:r>
    </w:p>
    <w:p w:rsidR="002C1123" w:rsidRDefault="00F22F94">
      <w:pPr>
        <w:pStyle w:val="BodyText"/>
        <w:spacing w:before="2" w:line="249" w:lineRule="auto"/>
        <w:ind w:left="501" w:hanging="1"/>
      </w:pPr>
      <w:r>
        <w:rPr>
          <w:w w:val="95"/>
        </w:rPr>
        <w:t>the</w:t>
      </w:r>
      <w:r>
        <w:rPr>
          <w:spacing w:val="-3"/>
          <w:w w:val="95"/>
        </w:rPr>
        <w:t xml:space="preserve"> </w:t>
      </w:r>
      <w:r>
        <w:rPr>
          <w:w w:val="95"/>
        </w:rPr>
        <w:t>benefits</w:t>
      </w:r>
      <w:r>
        <w:rPr>
          <w:spacing w:val="-3"/>
          <w:w w:val="95"/>
        </w:rPr>
        <w:t xml:space="preserve"> </w:t>
      </w:r>
      <w:r>
        <w:rPr>
          <w:w w:val="95"/>
        </w:rPr>
        <w:t>of</w:t>
      </w:r>
      <w:r>
        <w:rPr>
          <w:spacing w:val="-3"/>
          <w:w w:val="95"/>
        </w:rPr>
        <w:t xml:space="preserve"> </w:t>
      </w:r>
      <w:r>
        <w:rPr>
          <w:w w:val="95"/>
        </w:rPr>
        <w:t>completed</w:t>
      </w:r>
      <w:r>
        <w:rPr>
          <w:spacing w:val="-3"/>
          <w:w w:val="95"/>
        </w:rPr>
        <w:t xml:space="preserve"> </w:t>
      </w:r>
      <w:r>
        <w:rPr>
          <w:w w:val="95"/>
        </w:rPr>
        <w:t>infrastructure</w:t>
      </w:r>
      <w:r>
        <w:rPr>
          <w:spacing w:val="-3"/>
          <w:w w:val="95"/>
        </w:rPr>
        <w:t xml:space="preserve"> </w:t>
      </w:r>
      <w:r>
        <w:rPr>
          <w:w w:val="95"/>
        </w:rPr>
        <w:t>rather</w:t>
      </w:r>
      <w:r>
        <w:rPr>
          <w:spacing w:val="-3"/>
          <w:w w:val="95"/>
        </w:rPr>
        <w:t xml:space="preserve"> </w:t>
      </w:r>
      <w:r>
        <w:rPr>
          <w:w w:val="95"/>
        </w:rPr>
        <w:t>than</w:t>
      </w:r>
      <w:r>
        <w:rPr>
          <w:spacing w:val="-3"/>
          <w:w w:val="95"/>
        </w:rPr>
        <w:t xml:space="preserve"> </w:t>
      </w:r>
      <w:r>
        <w:rPr>
          <w:w w:val="95"/>
        </w:rPr>
        <w:t xml:space="preserve">on </w:t>
      </w:r>
      <w:r>
        <w:t>funding</w:t>
      </w:r>
      <w:r>
        <w:rPr>
          <w:spacing w:val="-14"/>
        </w:rPr>
        <w:t xml:space="preserve"> </w:t>
      </w:r>
      <w:r>
        <w:t>sources</w:t>
      </w:r>
      <w:r>
        <w:rPr>
          <w:spacing w:val="-14"/>
        </w:rPr>
        <w:t xml:space="preserve"> </w:t>
      </w:r>
      <w:r>
        <w:t>or</w:t>
      </w:r>
      <w:r>
        <w:rPr>
          <w:spacing w:val="-14"/>
        </w:rPr>
        <w:t xml:space="preserve"> </w:t>
      </w:r>
      <w:r>
        <w:t>jobs</w:t>
      </w:r>
      <w:r>
        <w:rPr>
          <w:spacing w:val="-14"/>
        </w:rPr>
        <w:t xml:space="preserve"> </w:t>
      </w:r>
      <w:r>
        <w:t>created</w:t>
      </w:r>
      <w:r>
        <w:rPr>
          <w:spacing w:val="-14"/>
        </w:rPr>
        <w:t xml:space="preserve"> </w:t>
      </w:r>
      <w:r>
        <w:t>during</w:t>
      </w:r>
      <w:r>
        <w:rPr>
          <w:spacing w:val="-14"/>
        </w:rPr>
        <w:t xml:space="preserve"> </w:t>
      </w:r>
      <w:r>
        <w:t>construction.</w:t>
      </w:r>
    </w:p>
    <w:p w:rsidR="002C1123" w:rsidRDefault="00F22F94">
      <w:pPr>
        <w:pStyle w:val="BodyText"/>
        <w:spacing w:before="143" w:line="249" w:lineRule="auto"/>
        <w:ind w:left="500" w:right="151" w:hanging="22"/>
      </w:pPr>
      <w:r>
        <w:rPr>
          <w:w w:val="95"/>
        </w:rPr>
        <w:t>To finesse the model, Deloitte Access Economics has relied</w:t>
      </w:r>
      <w:r>
        <w:rPr>
          <w:spacing w:val="-3"/>
          <w:w w:val="95"/>
        </w:rPr>
        <w:t xml:space="preserve"> </w:t>
      </w:r>
      <w:r>
        <w:rPr>
          <w:w w:val="95"/>
        </w:rPr>
        <w:t>on</w:t>
      </w:r>
      <w:r>
        <w:rPr>
          <w:spacing w:val="-3"/>
          <w:w w:val="95"/>
        </w:rPr>
        <w:t xml:space="preserve"> </w:t>
      </w:r>
      <w:r>
        <w:rPr>
          <w:w w:val="95"/>
        </w:rPr>
        <w:t>relationships</w:t>
      </w:r>
      <w:r>
        <w:rPr>
          <w:spacing w:val="-3"/>
          <w:w w:val="95"/>
        </w:rPr>
        <w:t xml:space="preserve"> </w:t>
      </w:r>
      <w:r>
        <w:rPr>
          <w:w w:val="95"/>
        </w:rPr>
        <w:t>identified</w:t>
      </w:r>
      <w:r>
        <w:rPr>
          <w:spacing w:val="-3"/>
          <w:w w:val="95"/>
        </w:rPr>
        <w:t xml:space="preserve"> </w:t>
      </w:r>
      <w:r>
        <w:rPr>
          <w:w w:val="95"/>
        </w:rPr>
        <w:t>in</w:t>
      </w:r>
      <w:r>
        <w:rPr>
          <w:spacing w:val="-3"/>
          <w:w w:val="95"/>
        </w:rPr>
        <w:t xml:space="preserve"> </w:t>
      </w:r>
      <w:r>
        <w:rPr>
          <w:w w:val="95"/>
        </w:rPr>
        <w:t>economic</w:t>
      </w:r>
      <w:r>
        <w:rPr>
          <w:spacing w:val="-3"/>
          <w:w w:val="95"/>
        </w:rPr>
        <w:t xml:space="preserve"> </w:t>
      </w:r>
      <w:r>
        <w:rPr>
          <w:w w:val="95"/>
        </w:rPr>
        <w:t xml:space="preserve">literature </w:t>
      </w:r>
      <w:r>
        <w:t>and</w:t>
      </w:r>
      <w:r>
        <w:rPr>
          <w:spacing w:val="-6"/>
        </w:rPr>
        <w:t xml:space="preserve"> </w:t>
      </w:r>
      <w:r>
        <w:t>adapted</w:t>
      </w:r>
      <w:r>
        <w:rPr>
          <w:spacing w:val="-6"/>
        </w:rPr>
        <w:t xml:space="preserve"> </w:t>
      </w:r>
      <w:r>
        <w:t>these</w:t>
      </w:r>
      <w:r>
        <w:rPr>
          <w:spacing w:val="-6"/>
        </w:rPr>
        <w:t xml:space="preserve"> </w:t>
      </w:r>
      <w:r>
        <w:t>to</w:t>
      </w:r>
      <w:r>
        <w:rPr>
          <w:spacing w:val="-6"/>
        </w:rPr>
        <w:t xml:space="preserve"> </w:t>
      </w:r>
      <w:r>
        <w:t>the</w:t>
      </w:r>
      <w:r>
        <w:rPr>
          <w:spacing w:val="-6"/>
        </w:rPr>
        <w:t xml:space="preserve"> </w:t>
      </w:r>
      <w:r>
        <w:t>specific</w:t>
      </w:r>
      <w:r>
        <w:rPr>
          <w:spacing w:val="-6"/>
        </w:rPr>
        <w:t xml:space="preserve"> </w:t>
      </w:r>
      <w:r>
        <w:t>circumstances</w:t>
      </w:r>
      <w:r>
        <w:rPr>
          <w:spacing w:val="-6"/>
        </w:rPr>
        <w:t xml:space="preserve"> </w:t>
      </w:r>
      <w:r>
        <w:t>of NSW</w:t>
      </w:r>
      <w:r>
        <w:rPr>
          <w:spacing w:val="-14"/>
        </w:rPr>
        <w:t xml:space="preserve"> </w:t>
      </w:r>
      <w:r>
        <w:t>as</w:t>
      </w:r>
      <w:r>
        <w:rPr>
          <w:spacing w:val="-14"/>
        </w:rPr>
        <w:t xml:space="preserve"> </w:t>
      </w:r>
      <w:r>
        <w:t>required.</w:t>
      </w:r>
      <w:r>
        <w:rPr>
          <w:spacing w:val="-14"/>
        </w:rPr>
        <w:t xml:space="preserve"> </w:t>
      </w:r>
      <w:r>
        <w:t>Each</w:t>
      </w:r>
      <w:r>
        <w:rPr>
          <w:spacing w:val="-14"/>
        </w:rPr>
        <w:t xml:space="preserve"> </w:t>
      </w:r>
      <w:r>
        <w:t>type</w:t>
      </w:r>
      <w:r>
        <w:rPr>
          <w:spacing w:val="-14"/>
        </w:rPr>
        <w:t xml:space="preserve"> </w:t>
      </w:r>
      <w:r>
        <w:t>of</w:t>
      </w:r>
      <w:r>
        <w:rPr>
          <w:spacing w:val="-14"/>
        </w:rPr>
        <w:t xml:space="preserve"> </w:t>
      </w:r>
      <w:r>
        <w:t>infrastructure</w:t>
      </w:r>
      <w:r>
        <w:rPr>
          <w:spacing w:val="-14"/>
        </w:rPr>
        <w:t xml:space="preserve"> </w:t>
      </w:r>
      <w:r>
        <w:t xml:space="preserve">project </w:t>
      </w:r>
      <w:r>
        <w:rPr>
          <w:w w:val="95"/>
        </w:rPr>
        <w:t>will</w:t>
      </w:r>
      <w:r>
        <w:rPr>
          <w:spacing w:val="-7"/>
          <w:w w:val="95"/>
        </w:rPr>
        <w:t xml:space="preserve"> </w:t>
      </w:r>
      <w:r>
        <w:rPr>
          <w:w w:val="95"/>
        </w:rPr>
        <w:t>have</w:t>
      </w:r>
      <w:r>
        <w:rPr>
          <w:spacing w:val="-7"/>
          <w:w w:val="95"/>
        </w:rPr>
        <w:t xml:space="preserve"> </w:t>
      </w:r>
      <w:r>
        <w:rPr>
          <w:w w:val="95"/>
        </w:rPr>
        <w:t>a</w:t>
      </w:r>
      <w:r>
        <w:rPr>
          <w:spacing w:val="-7"/>
          <w:w w:val="95"/>
        </w:rPr>
        <w:t xml:space="preserve"> </w:t>
      </w:r>
      <w:r>
        <w:rPr>
          <w:w w:val="95"/>
        </w:rPr>
        <w:t>different</w:t>
      </w:r>
      <w:r>
        <w:rPr>
          <w:spacing w:val="-7"/>
          <w:w w:val="95"/>
        </w:rPr>
        <w:t xml:space="preserve"> </w:t>
      </w:r>
      <w:r>
        <w:rPr>
          <w:w w:val="95"/>
        </w:rPr>
        <w:t>mechanism</w:t>
      </w:r>
      <w:r>
        <w:rPr>
          <w:spacing w:val="-8"/>
          <w:w w:val="95"/>
        </w:rPr>
        <w:t xml:space="preserve"> </w:t>
      </w:r>
      <w:r>
        <w:rPr>
          <w:w w:val="95"/>
        </w:rPr>
        <w:t>for</w:t>
      </w:r>
      <w:r>
        <w:rPr>
          <w:spacing w:val="-7"/>
          <w:w w:val="95"/>
        </w:rPr>
        <w:t xml:space="preserve"> </w:t>
      </w:r>
      <w:r>
        <w:rPr>
          <w:w w:val="95"/>
        </w:rPr>
        <w:t>how</w:t>
      </w:r>
      <w:r>
        <w:rPr>
          <w:spacing w:val="-7"/>
          <w:w w:val="95"/>
        </w:rPr>
        <w:t xml:space="preserve"> </w:t>
      </w:r>
      <w:r>
        <w:rPr>
          <w:w w:val="95"/>
        </w:rPr>
        <w:t>these</w:t>
      </w:r>
      <w:r>
        <w:rPr>
          <w:spacing w:val="-7"/>
          <w:w w:val="95"/>
        </w:rPr>
        <w:t xml:space="preserve"> </w:t>
      </w:r>
      <w:r>
        <w:rPr>
          <w:w w:val="95"/>
        </w:rPr>
        <w:t>benefits will manifest themselves in everyday life. That is,</w:t>
      </w:r>
    </w:p>
    <w:p w:rsidR="002C1123" w:rsidRDefault="00F22F94">
      <w:pPr>
        <w:pStyle w:val="BodyText"/>
        <w:spacing w:before="5" w:line="249" w:lineRule="auto"/>
        <w:ind w:left="504" w:right="362" w:hanging="3"/>
      </w:pPr>
      <w:r>
        <w:rPr>
          <w:w w:val="95"/>
        </w:rPr>
        <w:t xml:space="preserve">each project will affect population, participation and </w:t>
      </w:r>
      <w:r>
        <w:t>productivity</w:t>
      </w:r>
      <w:r>
        <w:rPr>
          <w:spacing w:val="-11"/>
        </w:rPr>
        <w:t xml:space="preserve"> </w:t>
      </w:r>
      <w:r>
        <w:t>differently.</w:t>
      </w:r>
    </w:p>
    <w:p w:rsidR="002C1123" w:rsidRDefault="00F22F94">
      <w:pPr>
        <w:spacing w:before="8" w:line="232" w:lineRule="auto"/>
        <w:ind w:left="383" w:firstLine="3"/>
        <w:rPr>
          <w:sz w:val="18"/>
        </w:rPr>
      </w:pPr>
      <w:r>
        <w:br w:type="column"/>
      </w:r>
      <w:r>
        <w:rPr>
          <w:w w:val="105"/>
          <w:sz w:val="18"/>
        </w:rPr>
        <w:t>Infrastructure</w:t>
      </w:r>
      <w:r>
        <w:rPr>
          <w:spacing w:val="-14"/>
          <w:w w:val="105"/>
          <w:sz w:val="18"/>
        </w:rPr>
        <w:t xml:space="preserve"> </w:t>
      </w:r>
      <w:r>
        <w:rPr>
          <w:w w:val="105"/>
          <w:sz w:val="18"/>
        </w:rPr>
        <w:t>NSW</w:t>
      </w:r>
      <w:r>
        <w:rPr>
          <w:spacing w:val="-13"/>
          <w:w w:val="105"/>
          <w:sz w:val="18"/>
        </w:rPr>
        <w:t xml:space="preserve"> </w:t>
      </w:r>
      <w:r>
        <w:rPr>
          <w:w w:val="105"/>
          <w:sz w:val="18"/>
        </w:rPr>
        <w:t>and</w:t>
      </w:r>
      <w:r>
        <w:rPr>
          <w:spacing w:val="-13"/>
          <w:w w:val="105"/>
          <w:sz w:val="18"/>
        </w:rPr>
        <w:t xml:space="preserve"> </w:t>
      </w:r>
      <w:r>
        <w:rPr>
          <w:w w:val="105"/>
          <w:sz w:val="18"/>
        </w:rPr>
        <w:t>Deloitte</w:t>
      </w:r>
      <w:r>
        <w:rPr>
          <w:spacing w:val="-13"/>
          <w:w w:val="105"/>
          <w:sz w:val="18"/>
        </w:rPr>
        <w:t xml:space="preserve"> </w:t>
      </w:r>
      <w:r>
        <w:rPr>
          <w:w w:val="105"/>
          <w:sz w:val="18"/>
        </w:rPr>
        <w:t>Access</w:t>
      </w:r>
      <w:r>
        <w:rPr>
          <w:spacing w:val="-13"/>
          <w:w w:val="105"/>
          <w:sz w:val="18"/>
        </w:rPr>
        <w:t xml:space="preserve"> </w:t>
      </w:r>
      <w:r>
        <w:rPr>
          <w:w w:val="105"/>
          <w:sz w:val="18"/>
        </w:rPr>
        <w:t>Economics have estimated the potential economic benefits expected from the recommended strategies.</w:t>
      </w:r>
    </w:p>
    <w:p w:rsidR="002C1123" w:rsidRDefault="00F22F94">
      <w:pPr>
        <w:spacing w:line="232" w:lineRule="auto"/>
        <w:ind w:left="384" w:right="224" w:hanging="14"/>
        <w:rPr>
          <w:sz w:val="18"/>
        </w:rPr>
      </w:pPr>
      <w:r>
        <w:rPr>
          <w:sz w:val="18"/>
        </w:rPr>
        <w:t xml:space="preserve">This detailed Comparable General Equilibrium (CGE) </w:t>
      </w:r>
      <w:r>
        <w:rPr>
          <w:w w:val="105"/>
          <w:sz w:val="18"/>
        </w:rPr>
        <w:t>analysis was conducted from a whole of economy perspective to assess the flow on additional</w:t>
      </w:r>
      <w:r>
        <w:rPr>
          <w:spacing w:val="40"/>
          <w:w w:val="105"/>
          <w:sz w:val="18"/>
        </w:rPr>
        <w:t xml:space="preserve"> </w:t>
      </w:r>
      <w:r>
        <w:rPr>
          <w:w w:val="105"/>
          <w:sz w:val="18"/>
        </w:rPr>
        <w:t>benefits</w:t>
      </w:r>
      <w:r>
        <w:rPr>
          <w:spacing w:val="-5"/>
          <w:w w:val="105"/>
          <w:sz w:val="18"/>
        </w:rPr>
        <w:t xml:space="preserve"> </w:t>
      </w:r>
      <w:r>
        <w:rPr>
          <w:w w:val="105"/>
          <w:sz w:val="18"/>
        </w:rPr>
        <w:t>of</w:t>
      </w:r>
      <w:r>
        <w:rPr>
          <w:spacing w:val="-5"/>
          <w:w w:val="105"/>
          <w:sz w:val="18"/>
        </w:rPr>
        <w:t xml:space="preserve"> </w:t>
      </w:r>
      <w:r>
        <w:rPr>
          <w:w w:val="105"/>
          <w:sz w:val="18"/>
        </w:rPr>
        <w:t>the</w:t>
      </w:r>
      <w:r>
        <w:rPr>
          <w:spacing w:val="-5"/>
          <w:w w:val="105"/>
          <w:sz w:val="18"/>
        </w:rPr>
        <w:t xml:space="preserve"> </w:t>
      </w:r>
      <w:r>
        <w:rPr>
          <w:w w:val="105"/>
          <w:sz w:val="18"/>
        </w:rPr>
        <w:t>recommended</w:t>
      </w:r>
      <w:r>
        <w:rPr>
          <w:spacing w:val="-5"/>
          <w:w w:val="105"/>
          <w:sz w:val="18"/>
        </w:rPr>
        <w:t xml:space="preserve"> </w:t>
      </w:r>
      <w:r>
        <w:rPr>
          <w:w w:val="105"/>
          <w:sz w:val="18"/>
        </w:rPr>
        <w:t>strategies</w:t>
      </w:r>
      <w:r>
        <w:rPr>
          <w:spacing w:val="-5"/>
          <w:w w:val="105"/>
          <w:sz w:val="18"/>
        </w:rPr>
        <w:t xml:space="preserve"> </w:t>
      </w:r>
      <w:r>
        <w:rPr>
          <w:w w:val="105"/>
          <w:sz w:val="18"/>
        </w:rPr>
        <w:t>in</w:t>
      </w:r>
      <w:r>
        <w:rPr>
          <w:spacing w:val="-5"/>
          <w:w w:val="105"/>
          <w:sz w:val="18"/>
        </w:rPr>
        <w:t xml:space="preserve"> </w:t>
      </w:r>
      <w:r>
        <w:rPr>
          <w:w w:val="105"/>
          <w:sz w:val="18"/>
        </w:rPr>
        <w:t>regard</w:t>
      </w:r>
      <w:r>
        <w:rPr>
          <w:spacing w:val="-5"/>
          <w:w w:val="105"/>
          <w:sz w:val="18"/>
        </w:rPr>
        <w:t xml:space="preserve"> </w:t>
      </w:r>
      <w:r>
        <w:rPr>
          <w:w w:val="105"/>
          <w:sz w:val="18"/>
        </w:rPr>
        <w:t>to</w:t>
      </w:r>
    </w:p>
    <w:p w:rsidR="002C1123" w:rsidRDefault="00F22F94">
      <w:pPr>
        <w:spacing w:line="232" w:lineRule="auto"/>
        <w:ind w:left="388" w:hanging="2"/>
        <w:rPr>
          <w:sz w:val="18"/>
        </w:rPr>
      </w:pPr>
      <w:r>
        <w:rPr>
          <w:w w:val="105"/>
          <w:sz w:val="18"/>
        </w:rPr>
        <w:t>productivity,</w:t>
      </w:r>
      <w:r>
        <w:rPr>
          <w:spacing w:val="-2"/>
          <w:w w:val="105"/>
          <w:sz w:val="18"/>
        </w:rPr>
        <w:t xml:space="preserve"> </w:t>
      </w:r>
      <w:r>
        <w:rPr>
          <w:w w:val="105"/>
          <w:sz w:val="18"/>
        </w:rPr>
        <w:t>population</w:t>
      </w:r>
      <w:r>
        <w:rPr>
          <w:spacing w:val="-2"/>
          <w:w w:val="105"/>
          <w:sz w:val="18"/>
        </w:rPr>
        <w:t xml:space="preserve"> </w:t>
      </w:r>
      <w:r>
        <w:rPr>
          <w:w w:val="105"/>
          <w:sz w:val="18"/>
        </w:rPr>
        <w:t>and</w:t>
      </w:r>
      <w:r>
        <w:rPr>
          <w:spacing w:val="-2"/>
          <w:w w:val="105"/>
          <w:sz w:val="18"/>
        </w:rPr>
        <w:t xml:space="preserve"> </w:t>
      </w:r>
      <w:r>
        <w:rPr>
          <w:w w:val="105"/>
          <w:sz w:val="18"/>
        </w:rPr>
        <w:t>participation</w:t>
      </w:r>
      <w:r>
        <w:rPr>
          <w:spacing w:val="-2"/>
          <w:w w:val="105"/>
          <w:sz w:val="18"/>
        </w:rPr>
        <w:t xml:space="preserve"> </w:t>
      </w:r>
      <w:r>
        <w:rPr>
          <w:w w:val="105"/>
          <w:sz w:val="18"/>
        </w:rPr>
        <w:t>over</w:t>
      </w:r>
      <w:r>
        <w:rPr>
          <w:spacing w:val="-2"/>
          <w:w w:val="105"/>
          <w:sz w:val="18"/>
        </w:rPr>
        <w:t xml:space="preserve"> </w:t>
      </w:r>
      <w:r>
        <w:rPr>
          <w:w w:val="105"/>
          <w:sz w:val="18"/>
        </w:rPr>
        <w:t>the</w:t>
      </w:r>
      <w:r>
        <w:rPr>
          <w:spacing w:val="-2"/>
          <w:w w:val="105"/>
          <w:sz w:val="18"/>
        </w:rPr>
        <w:t xml:space="preserve"> </w:t>
      </w:r>
      <w:r>
        <w:rPr>
          <w:w w:val="105"/>
          <w:sz w:val="18"/>
        </w:rPr>
        <w:t>long term to 2032.</w:t>
      </w:r>
    </w:p>
    <w:p w:rsidR="002C1123" w:rsidRDefault="00F22F94">
      <w:pPr>
        <w:spacing w:before="110" w:line="244" w:lineRule="auto"/>
        <w:ind w:left="381" w:right="55" w:firstLine="7"/>
        <w:rPr>
          <w:sz w:val="17"/>
        </w:rPr>
      </w:pPr>
      <w:r>
        <w:rPr>
          <w:w w:val="95"/>
          <w:sz w:val="17"/>
        </w:rPr>
        <w:t xml:space="preserve">Effective implementation of the Strategy could increase the </w:t>
      </w:r>
      <w:r>
        <w:rPr>
          <w:sz w:val="17"/>
        </w:rPr>
        <w:t>size</w:t>
      </w:r>
      <w:r>
        <w:rPr>
          <w:spacing w:val="-4"/>
          <w:sz w:val="17"/>
        </w:rPr>
        <w:t xml:space="preserve"> </w:t>
      </w:r>
      <w:r>
        <w:rPr>
          <w:sz w:val="17"/>
        </w:rPr>
        <w:t>of</w:t>
      </w:r>
      <w:r>
        <w:rPr>
          <w:spacing w:val="-4"/>
          <w:sz w:val="17"/>
        </w:rPr>
        <w:t xml:space="preserve"> </w:t>
      </w:r>
      <w:r>
        <w:rPr>
          <w:sz w:val="17"/>
        </w:rPr>
        <w:t>the</w:t>
      </w:r>
      <w:r>
        <w:rPr>
          <w:spacing w:val="-4"/>
          <w:sz w:val="17"/>
        </w:rPr>
        <w:t xml:space="preserve"> </w:t>
      </w:r>
      <w:r>
        <w:rPr>
          <w:sz w:val="17"/>
        </w:rPr>
        <w:t>NSW</w:t>
      </w:r>
      <w:r>
        <w:rPr>
          <w:spacing w:val="-4"/>
          <w:sz w:val="17"/>
        </w:rPr>
        <w:t xml:space="preserve"> </w:t>
      </w:r>
      <w:r>
        <w:rPr>
          <w:sz w:val="17"/>
        </w:rPr>
        <w:t>economy</w:t>
      </w:r>
      <w:r>
        <w:rPr>
          <w:spacing w:val="-4"/>
          <w:sz w:val="17"/>
        </w:rPr>
        <w:t xml:space="preserve"> </w:t>
      </w:r>
      <w:r>
        <w:rPr>
          <w:sz w:val="17"/>
        </w:rPr>
        <w:t>by</w:t>
      </w:r>
      <w:r>
        <w:rPr>
          <w:spacing w:val="-4"/>
          <w:sz w:val="17"/>
        </w:rPr>
        <w:t xml:space="preserve"> </w:t>
      </w:r>
      <w:r>
        <w:rPr>
          <w:sz w:val="17"/>
        </w:rPr>
        <w:t>around</w:t>
      </w:r>
      <w:r>
        <w:rPr>
          <w:spacing w:val="-4"/>
          <w:sz w:val="17"/>
        </w:rPr>
        <w:t xml:space="preserve"> </w:t>
      </w:r>
      <w:r>
        <w:rPr>
          <w:sz w:val="17"/>
        </w:rPr>
        <w:t>$50.8</w:t>
      </w:r>
      <w:r>
        <w:rPr>
          <w:spacing w:val="-4"/>
          <w:sz w:val="17"/>
        </w:rPr>
        <w:t xml:space="preserve"> </w:t>
      </w:r>
      <w:r>
        <w:rPr>
          <w:sz w:val="17"/>
        </w:rPr>
        <w:t>billion</w:t>
      </w:r>
      <w:r>
        <w:rPr>
          <w:spacing w:val="-4"/>
          <w:sz w:val="17"/>
        </w:rPr>
        <w:t xml:space="preserve"> </w:t>
      </w:r>
      <w:r>
        <w:rPr>
          <w:sz w:val="17"/>
        </w:rPr>
        <w:t>(present value</w:t>
      </w:r>
      <w:r>
        <w:rPr>
          <w:spacing w:val="-8"/>
          <w:sz w:val="17"/>
        </w:rPr>
        <w:t xml:space="preserve"> </w:t>
      </w:r>
      <w:r>
        <w:rPr>
          <w:sz w:val="17"/>
        </w:rPr>
        <w:t>of</w:t>
      </w:r>
      <w:r>
        <w:rPr>
          <w:spacing w:val="-8"/>
          <w:sz w:val="17"/>
        </w:rPr>
        <w:t xml:space="preserve"> </w:t>
      </w:r>
      <w:r>
        <w:rPr>
          <w:sz w:val="17"/>
        </w:rPr>
        <w:t>the</w:t>
      </w:r>
      <w:r>
        <w:rPr>
          <w:spacing w:val="-8"/>
          <w:sz w:val="17"/>
        </w:rPr>
        <w:t xml:space="preserve"> </w:t>
      </w:r>
      <w:r>
        <w:rPr>
          <w:sz w:val="17"/>
        </w:rPr>
        <w:t>total</w:t>
      </w:r>
      <w:r>
        <w:rPr>
          <w:spacing w:val="-8"/>
          <w:sz w:val="17"/>
        </w:rPr>
        <w:t xml:space="preserve"> </w:t>
      </w:r>
      <w:r>
        <w:rPr>
          <w:sz w:val="17"/>
        </w:rPr>
        <w:t>benefits</w:t>
      </w:r>
      <w:r>
        <w:rPr>
          <w:spacing w:val="-8"/>
          <w:sz w:val="17"/>
        </w:rPr>
        <w:t xml:space="preserve"> </w:t>
      </w:r>
      <w:r>
        <w:rPr>
          <w:sz w:val="17"/>
        </w:rPr>
        <w:t>over</w:t>
      </w:r>
      <w:r>
        <w:rPr>
          <w:spacing w:val="-8"/>
          <w:sz w:val="17"/>
        </w:rPr>
        <w:t xml:space="preserve"> </w:t>
      </w:r>
      <w:r>
        <w:rPr>
          <w:sz w:val="17"/>
        </w:rPr>
        <w:t>the</w:t>
      </w:r>
      <w:r>
        <w:rPr>
          <w:spacing w:val="-8"/>
          <w:sz w:val="17"/>
        </w:rPr>
        <w:t xml:space="preserve"> </w:t>
      </w:r>
      <w:r>
        <w:rPr>
          <w:sz w:val="17"/>
        </w:rPr>
        <w:t>period</w:t>
      </w:r>
      <w:r>
        <w:rPr>
          <w:spacing w:val="-8"/>
          <w:sz w:val="17"/>
        </w:rPr>
        <w:t xml:space="preserve"> </w:t>
      </w:r>
      <w:r>
        <w:rPr>
          <w:sz w:val="17"/>
        </w:rPr>
        <w:t>to</w:t>
      </w:r>
      <w:r>
        <w:rPr>
          <w:spacing w:val="-8"/>
          <w:sz w:val="17"/>
        </w:rPr>
        <w:t xml:space="preserve"> </w:t>
      </w:r>
      <w:r>
        <w:rPr>
          <w:sz w:val="17"/>
        </w:rPr>
        <w:t>2032),</w:t>
      </w:r>
      <w:r>
        <w:rPr>
          <w:spacing w:val="-8"/>
          <w:sz w:val="17"/>
        </w:rPr>
        <w:t xml:space="preserve"> </w:t>
      </w:r>
      <w:r>
        <w:rPr>
          <w:sz w:val="17"/>
        </w:rPr>
        <w:t>which</w:t>
      </w:r>
      <w:r>
        <w:rPr>
          <w:spacing w:val="-8"/>
          <w:sz w:val="17"/>
        </w:rPr>
        <w:t xml:space="preserve"> </w:t>
      </w:r>
      <w:r>
        <w:rPr>
          <w:sz w:val="17"/>
        </w:rPr>
        <w:t xml:space="preserve">is </w:t>
      </w:r>
      <w:r>
        <w:rPr>
          <w:w w:val="95"/>
          <w:sz w:val="17"/>
        </w:rPr>
        <w:t xml:space="preserve">an increase in GSP of around $18.4 billion a year (in current </w:t>
      </w:r>
      <w:r>
        <w:rPr>
          <w:sz w:val="17"/>
        </w:rPr>
        <w:t>dollars) by 2032, in today’s dollars.</w:t>
      </w:r>
    </w:p>
    <w:p w:rsidR="002C1123" w:rsidRDefault="002C1123">
      <w:pPr>
        <w:pStyle w:val="BodyText"/>
      </w:pPr>
    </w:p>
    <w:p w:rsidR="002C1123" w:rsidRDefault="002C1123">
      <w:pPr>
        <w:pStyle w:val="BodyText"/>
      </w:pPr>
    </w:p>
    <w:p w:rsidR="002C1123" w:rsidRDefault="002C1123">
      <w:pPr>
        <w:pStyle w:val="BodyText"/>
        <w:spacing w:before="3"/>
        <w:rPr>
          <w:sz w:val="25"/>
        </w:rPr>
      </w:pPr>
    </w:p>
    <w:p w:rsidR="002C1123" w:rsidRDefault="00F22F94">
      <w:pPr>
        <w:pStyle w:val="BodyText"/>
        <w:spacing w:line="249" w:lineRule="auto"/>
        <w:ind w:left="216" w:hanging="23"/>
      </w:pPr>
      <w:r>
        <w:t>To</w:t>
      </w:r>
      <w:r>
        <w:rPr>
          <w:spacing w:val="-14"/>
        </w:rPr>
        <w:t xml:space="preserve"> </w:t>
      </w:r>
      <w:r>
        <w:t>be</w:t>
      </w:r>
      <w:r>
        <w:rPr>
          <w:spacing w:val="-14"/>
        </w:rPr>
        <w:t xml:space="preserve"> </w:t>
      </w:r>
      <w:r>
        <w:t>conservative,</w:t>
      </w:r>
      <w:r>
        <w:rPr>
          <w:spacing w:val="-14"/>
        </w:rPr>
        <w:t xml:space="preserve"> </w:t>
      </w:r>
      <w:r>
        <w:t>not</w:t>
      </w:r>
      <w:r>
        <w:rPr>
          <w:spacing w:val="-13"/>
        </w:rPr>
        <w:t xml:space="preserve"> </w:t>
      </w:r>
      <w:r>
        <w:t>all</w:t>
      </w:r>
      <w:r>
        <w:rPr>
          <w:spacing w:val="-14"/>
        </w:rPr>
        <w:t xml:space="preserve"> </w:t>
      </w:r>
      <w:r>
        <w:t>benefits</w:t>
      </w:r>
      <w:r>
        <w:rPr>
          <w:spacing w:val="-14"/>
        </w:rPr>
        <w:t xml:space="preserve"> </w:t>
      </w:r>
      <w:r>
        <w:t>or</w:t>
      </w:r>
      <w:r>
        <w:rPr>
          <w:spacing w:val="-14"/>
        </w:rPr>
        <w:t xml:space="preserve"> </w:t>
      </w:r>
      <w:r>
        <w:t>the</w:t>
      </w:r>
      <w:r>
        <w:rPr>
          <w:spacing w:val="-13"/>
        </w:rPr>
        <w:t xml:space="preserve"> </w:t>
      </w:r>
      <w:r>
        <w:t xml:space="preserve">direct </w:t>
      </w:r>
      <w:r>
        <w:rPr>
          <w:w w:val="95"/>
        </w:rPr>
        <w:t>expenditure</w:t>
      </w:r>
      <w:r>
        <w:rPr>
          <w:spacing w:val="-6"/>
          <w:w w:val="95"/>
        </w:rPr>
        <w:t xml:space="preserve"> </w:t>
      </w:r>
      <w:r>
        <w:rPr>
          <w:w w:val="95"/>
        </w:rPr>
        <w:t>on</w:t>
      </w:r>
      <w:r>
        <w:rPr>
          <w:spacing w:val="-6"/>
          <w:w w:val="95"/>
        </w:rPr>
        <w:t xml:space="preserve"> </w:t>
      </w:r>
      <w:r>
        <w:rPr>
          <w:w w:val="95"/>
        </w:rPr>
        <w:t>the</w:t>
      </w:r>
      <w:r>
        <w:rPr>
          <w:spacing w:val="-6"/>
          <w:w w:val="95"/>
        </w:rPr>
        <w:t xml:space="preserve"> </w:t>
      </w:r>
      <w:r>
        <w:rPr>
          <w:w w:val="95"/>
        </w:rPr>
        <w:t>key</w:t>
      </w:r>
      <w:r>
        <w:rPr>
          <w:spacing w:val="-6"/>
          <w:w w:val="95"/>
        </w:rPr>
        <w:t xml:space="preserve"> </w:t>
      </w:r>
      <w:r>
        <w:rPr>
          <w:w w:val="95"/>
        </w:rPr>
        <w:t>infrastructure</w:t>
      </w:r>
      <w:r>
        <w:rPr>
          <w:spacing w:val="-6"/>
          <w:w w:val="95"/>
        </w:rPr>
        <w:t xml:space="preserve"> </w:t>
      </w:r>
      <w:r>
        <w:rPr>
          <w:w w:val="95"/>
        </w:rPr>
        <w:t>is</w:t>
      </w:r>
      <w:r>
        <w:rPr>
          <w:spacing w:val="-6"/>
          <w:w w:val="95"/>
        </w:rPr>
        <w:t xml:space="preserve"> </w:t>
      </w:r>
      <w:r>
        <w:rPr>
          <w:w w:val="95"/>
        </w:rPr>
        <w:t>captured</w:t>
      </w:r>
      <w:r>
        <w:rPr>
          <w:spacing w:val="-6"/>
          <w:w w:val="95"/>
        </w:rPr>
        <w:t xml:space="preserve"> </w:t>
      </w:r>
      <w:r>
        <w:rPr>
          <w:w w:val="95"/>
        </w:rPr>
        <w:t>in</w:t>
      </w:r>
      <w:r>
        <w:rPr>
          <w:spacing w:val="-6"/>
          <w:w w:val="95"/>
        </w:rPr>
        <w:t xml:space="preserve"> </w:t>
      </w:r>
      <w:r>
        <w:rPr>
          <w:w w:val="95"/>
        </w:rPr>
        <w:t xml:space="preserve">the </w:t>
      </w:r>
      <w:r>
        <w:t>model.</w:t>
      </w:r>
      <w:r>
        <w:rPr>
          <w:spacing w:val="-8"/>
        </w:rPr>
        <w:t xml:space="preserve"> </w:t>
      </w:r>
      <w:r>
        <w:t>Also</w:t>
      </w:r>
      <w:r>
        <w:rPr>
          <w:spacing w:val="-8"/>
        </w:rPr>
        <w:t xml:space="preserve"> </w:t>
      </w:r>
      <w:r>
        <w:t>the</w:t>
      </w:r>
      <w:r>
        <w:rPr>
          <w:spacing w:val="-8"/>
        </w:rPr>
        <w:t xml:space="preserve"> </w:t>
      </w:r>
      <w:r>
        <w:t>economic</w:t>
      </w:r>
      <w:r>
        <w:rPr>
          <w:spacing w:val="-8"/>
        </w:rPr>
        <w:t xml:space="preserve"> </w:t>
      </w:r>
      <w:r>
        <w:t>benefits</w:t>
      </w:r>
      <w:r>
        <w:rPr>
          <w:spacing w:val="-8"/>
        </w:rPr>
        <w:t xml:space="preserve"> </w:t>
      </w:r>
      <w:r>
        <w:t>of</w:t>
      </w:r>
      <w:r>
        <w:rPr>
          <w:spacing w:val="-8"/>
        </w:rPr>
        <w:t xml:space="preserve"> </w:t>
      </w:r>
      <w:r>
        <w:t>certain</w:t>
      </w:r>
      <w:r>
        <w:rPr>
          <w:spacing w:val="-8"/>
        </w:rPr>
        <w:t xml:space="preserve"> </w:t>
      </w:r>
      <w:r>
        <w:t>social infrastructure</w:t>
      </w:r>
      <w:r>
        <w:rPr>
          <w:spacing w:val="-9"/>
        </w:rPr>
        <w:t xml:space="preserve"> </w:t>
      </w:r>
      <w:r>
        <w:t>investments</w:t>
      </w:r>
      <w:r>
        <w:rPr>
          <w:spacing w:val="-9"/>
        </w:rPr>
        <w:t xml:space="preserve"> </w:t>
      </w:r>
      <w:r>
        <w:t>are</w:t>
      </w:r>
      <w:r>
        <w:rPr>
          <w:spacing w:val="-9"/>
        </w:rPr>
        <w:t xml:space="preserve"> </w:t>
      </w:r>
      <w:r>
        <w:t>not</w:t>
      </w:r>
      <w:r>
        <w:rPr>
          <w:spacing w:val="-9"/>
        </w:rPr>
        <w:t xml:space="preserve"> </w:t>
      </w:r>
      <w:r>
        <w:t>modelled.</w:t>
      </w:r>
    </w:p>
    <w:p w:rsidR="002C1123" w:rsidRDefault="00F22F94">
      <w:pPr>
        <w:spacing w:before="5" w:line="244" w:lineRule="auto"/>
        <w:ind w:left="328" w:right="1014" w:hanging="21"/>
        <w:rPr>
          <w:sz w:val="17"/>
        </w:rPr>
      </w:pPr>
      <w:r>
        <w:br w:type="column"/>
      </w:r>
      <w:r>
        <w:rPr>
          <w:sz w:val="17"/>
        </w:rPr>
        <w:t>This</w:t>
      </w:r>
      <w:r>
        <w:rPr>
          <w:spacing w:val="-10"/>
          <w:sz w:val="17"/>
        </w:rPr>
        <w:t xml:space="preserve"> </w:t>
      </w:r>
      <w:r>
        <w:rPr>
          <w:sz w:val="17"/>
        </w:rPr>
        <w:t>is</w:t>
      </w:r>
      <w:r>
        <w:rPr>
          <w:spacing w:val="-10"/>
          <w:sz w:val="17"/>
        </w:rPr>
        <w:t xml:space="preserve"> </w:t>
      </w:r>
      <w:r>
        <w:rPr>
          <w:sz w:val="17"/>
        </w:rPr>
        <w:t>around</w:t>
      </w:r>
      <w:r>
        <w:rPr>
          <w:spacing w:val="-10"/>
          <w:sz w:val="17"/>
        </w:rPr>
        <w:t xml:space="preserve"> </w:t>
      </w:r>
      <w:r>
        <w:rPr>
          <w:sz w:val="17"/>
        </w:rPr>
        <w:t>a</w:t>
      </w:r>
      <w:r>
        <w:rPr>
          <w:spacing w:val="-10"/>
          <w:sz w:val="17"/>
        </w:rPr>
        <w:t xml:space="preserve"> </w:t>
      </w:r>
      <w:r>
        <w:rPr>
          <w:sz w:val="17"/>
        </w:rPr>
        <w:t>2.4</w:t>
      </w:r>
      <w:r>
        <w:rPr>
          <w:spacing w:val="-10"/>
          <w:sz w:val="17"/>
        </w:rPr>
        <w:t xml:space="preserve"> </w:t>
      </w:r>
      <w:r>
        <w:rPr>
          <w:sz w:val="17"/>
        </w:rPr>
        <w:t>percent</w:t>
      </w:r>
      <w:r>
        <w:rPr>
          <w:spacing w:val="-10"/>
          <w:sz w:val="17"/>
        </w:rPr>
        <w:t xml:space="preserve"> </w:t>
      </w:r>
      <w:r>
        <w:rPr>
          <w:sz w:val="17"/>
        </w:rPr>
        <w:t>increase</w:t>
      </w:r>
      <w:r>
        <w:rPr>
          <w:spacing w:val="-10"/>
          <w:sz w:val="17"/>
        </w:rPr>
        <w:t xml:space="preserve"> </w:t>
      </w:r>
      <w:r>
        <w:rPr>
          <w:sz w:val="17"/>
        </w:rPr>
        <w:t>from</w:t>
      </w:r>
      <w:r>
        <w:rPr>
          <w:spacing w:val="-11"/>
          <w:sz w:val="17"/>
        </w:rPr>
        <w:t xml:space="preserve"> </w:t>
      </w:r>
      <w:r>
        <w:rPr>
          <w:sz w:val="17"/>
        </w:rPr>
        <w:t>the</w:t>
      </w:r>
      <w:r>
        <w:rPr>
          <w:spacing w:val="-10"/>
          <w:sz w:val="17"/>
        </w:rPr>
        <w:t xml:space="preserve"> </w:t>
      </w:r>
      <w:r>
        <w:rPr>
          <w:sz w:val="17"/>
        </w:rPr>
        <w:t>long</w:t>
      </w:r>
      <w:r>
        <w:rPr>
          <w:spacing w:val="-10"/>
          <w:sz w:val="17"/>
        </w:rPr>
        <w:t xml:space="preserve"> </w:t>
      </w:r>
      <w:r>
        <w:rPr>
          <w:sz w:val="17"/>
        </w:rPr>
        <w:t>term baseline as forecast by the NSW Treasury</w:t>
      </w:r>
      <w:r>
        <w:rPr>
          <w:position w:val="6"/>
          <w:sz w:val="10"/>
        </w:rPr>
        <w:t>13</w:t>
      </w:r>
      <w:r>
        <w:rPr>
          <w:sz w:val="17"/>
        </w:rPr>
        <w:t>.</w:t>
      </w:r>
    </w:p>
    <w:p w:rsidR="002C1123" w:rsidRDefault="00F22F94">
      <w:pPr>
        <w:spacing w:before="114" w:line="244" w:lineRule="auto"/>
        <w:ind w:left="302" w:right="1014" w:firstLine="5"/>
        <w:rPr>
          <w:sz w:val="17"/>
        </w:rPr>
      </w:pPr>
      <w:r>
        <w:rPr>
          <w:sz w:val="17"/>
        </w:rPr>
        <w:t>This</w:t>
      </w:r>
      <w:r>
        <w:rPr>
          <w:spacing w:val="-8"/>
          <w:sz w:val="17"/>
        </w:rPr>
        <w:t xml:space="preserve"> </w:t>
      </w:r>
      <w:r>
        <w:rPr>
          <w:sz w:val="17"/>
        </w:rPr>
        <w:t>increase</w:t>
      </w:r>
      <w:r>
        <w:rPr>
          <w:spacing w:val="-8"/>
          <w:sz w:val="17"/>
        </w:rPr>
        <w:t xml:space="preserve"> </w:t>
      </w:r>
      <w:r>
        <w:rPr>
          <w:sz w:val="17"/>
        </w:rPr>
        <w:t>in</w:t>
      </w:r>
      <w:r>
        <w:rPr>
          <w:spacing w:val="-8"/>
          <w:sz w:val="17"/>
        </w:rPr>
        <w:t xml:space="preserve"> </w:t>
      </w:r>
      <w:r>
        <w:rPr>
          <w:sz w:val="17"/>
        </w:rPr>
        <w:t>growth</w:t>
      </w:r>
      <w:r>
        <w:rPr>
          <w:spacing w:val="-8"/>
          <w:sz w:val="17"/>
        </w:rPr>
        <w:t xml:space="preserve"> </w:t>
      </w:r>
      <w:r>
        <w:rPr>
          <w:sz w:val="17"/>
        </w:rPr>
        <w:t>means</w:t>
      </w:r>
      <w:r>
        <w:rPr>
          <w:spacing w:val="-8"/>
          <w:sz w:val="17"/>
        </w:rPr>
        <w:t xml:space="preserve"> </w:t>
      </w:r>
      <w:r>
        <w:rPr>
          <w:sz w:val="17"/>
        </w:rPr>
        <w:t>that</w:t>
      </w:r>
      <w:r>
        <w:rPr>
          <w:spacing w:val="-8"/>
          <w:sz w:val="17"/>
        </w:rPr>
        <w:t xml:space="preserve"> </w:t>
      </w:r>
      <w:r>
        <w:rPr>
          <w:sz w:val="17"/>
        </w:rPr>
        <w:t>there</w:t>
      </w:r>
      <w:r>
        <w:rPr>
          <w:spacing w:val="-8"/>
          <w:sz w:val="17"/>
        </w:rPr>
        <w:t xml:space="preserve"> </w:t>
      </w:r>
      <w:r>
        <w:rPr>
          <w:sz w:val="17"/>
        </w:rPr>
        <w:t>could</w:t>
      </w:r>
      <w:r>
        <w:rPr>
          <w:spacing w:val="-8"/>
          <w:sz w:val="17"/>
        </w:rPr>
        <w:t xml:space="preserve"> </w:t>
      </w:r>
      <w:r>
        <w:rPr>
          <w:sz w:val="17"/>
        </w:rPr>
        <w:t>be</w:t>
      </w:r>
      <w:r>
        <w:rPr>
          <w:spacing w:val="-8"/>
          <w:sz w:val="17"/>
        </w:rPr>
        <w:t xml:space="preserve"> </w:t>
      </w:r>
      <w:r>
        <w:rPr>
          <w:sz w:val="17"/>
        </w:rPr>
        <w:t>up</w:t>
      </w:r>
      <w:r>
        <w:rPr>
          <w:spacing w:val="-8"/>
          <w:sz w:val="17"/>
        </w:rPr>
        <w:t xml:space="preserve"> </w:t>
      </w:r>
      <w:r>
        <w:rPr>
          <w:sz w:val="17"/>
        </w:rPr>
        <w:t>to 100,000 more jobs created by 2032.</w:t>
      </w:r>
    </w:p>
    <w:p w:rsidR="002C1123" w:rsidRDefault="00F22F94">
      <w:pPr>
        <w:spacing w:before="115" w:line="244" w:lineRule="auto"/>
        <w:ind w:left="319" w:right="1105" w:hanging="12"/>
        <w:rPr>
          <w:sz w:val="17"/>
        </w:rPr>
      </w:pPr>
      <w:r>
        <w:rPr>
          <w:sz w:val="17"/>
        </w:rPr>
        <w:t>The</w:t>
      </w:r>
      <w:r>
        <w:rPr>
          <w:spacing w:val="-9"/>
          <w:sz w:val="17"/>
        </w:rPr>
        <w:t xml:space="preserve"> </w:t>
      </w:r>
      <w:r>
        <w:rPr>
          <w:sz w:val="17"/>
        </w:rPr>
        <w:t>analysis</w:t>
      </w:r>
      <w:r>
        <w:rPr>
          <w:spacing w:val="-9"/>
          <w:sz w:val="17"/>
        </w:rPr>
        <w:t xml:space="preserve"> </w:t>
      </w:r>
      <w:r>
        <w:rPr>
          <w:sz w:val="17"/>
        </w:rPr>
        <w:t>reveals</w:t>
      </w:r>
      <w:r>
        <w:rPr>
          <w:spacing w:val="-9"/>
          <w:sz w:val="17"/>
        </w:rPr>
        <w:t xml:space="preserve"> </w:t>
      </w:r>
      <w:r>
        <w:rPr>
          <w:sz w:val="17"/>
        </w:rPr>
        <w:t>that</w:t>
      </w:r>
      <w:r>
        <w:rPr>
          <w:spacing w:val="-9"/>
          <w:sz w:val="17"/>
        </w:rPr>
        <w:t xml:space="preserve"> </w:t>
      </w:r>
      <w:r>
        <w:rPr>
          <w:sz w:val="17"/>
        </w:rPr>
        <w:t>the</w:t>
      </w:r>
      <w:r>
        <w:rPr>
          <w:spacing w:val="-9"/>
          <w:sz w:val="17"/>
        </w:rPr>
        <w:t xml:space="preserve"> </w:t>
      </w:r>
      <w:r>
        <w:rPr>
          <w:sz w:val="17"/>
        </w:rPr>
        <w:t>investments</w:t>
      </w:r>
      <w:r>
        <w:rPr>
          <w:spacing w:val="-9"/>
          <w:sz w:val="17"/>
        </w:rPr>
        <w:t xml:space="preserve"> </w:t>
      </w:r>
      <w:r>
        <w:rPr>
          <w:sz w:val="17"/>
        </w:rPr>
        <w:t>improve</w:t>
      </w:r>
      <w:r>
        <w:rPr>
          <w:spacing w:val="-9"/>
          <w:sz w:val="17"/>
        </w:rPr>
        <w:t xml:space="preserve"> </w:t>
      </w:r>
      <w:r>
        <w:rPr>
          <w:sz w:val="17"/>
        </w:rPr>
        <w:t xml:space="preserve">quality </w:t>
      </w:r>
      <w:r>
        <w:rPr>
          <w:w w:val="95"/>
          <w:sz w:val="17"/>
        </w:rPr>
        <w:t xml:space="preserve">of life, driving a significant increase in population which, in </w:t>
      </w:r>
      <w:r>
        <w:rPr>
          <w:sz w:val="17"/>
        </w:rPr>
        <w:t>turn,</w:t>
      </w:r>
      <w:r>
        <w:rPr>
          <w:spacing w:val="-7"/>
          <w:sz w:val="17"/>
        </w:rPr>
        <w:t xml:space="preserve"> </w:t>
      </w:r>
      <w:r>
        <w:rPr>
          <w:sz w:val="17"/>
        </w:rPr>
        <w:t>lifts</w:t>
      </w:r>
      <w:r>
        <w:rPr>
          <w:spacing w:val="-7"/>
          <w:sz w:val="17"/>
        </w:rPr>
        <w:t xml:space="preserve"> </w:t>
      </w:r>
      <w:r>
        <w:rPr>
          <w:sz w:val="17"/>
        </w:rPr>
        <w:t>GSP.</w:t>
      </w:r>
      <w:r>
        <w:rPr>
          <w:spacing w:val="-7"/>
          <w:sz w:val="17"/>
        </w:rPr>
        <w:t xml:space="preserve"> </w:t>
      </w:r>
      <w:r>
        <w:rPr>
          <w:sz w:val="17"/>
        </w:rPr>
        <w:t>These</w:t>
      </w:r>
      <w:r>
        <w:rPr>
          <w:spacing w:val="-7"/>
          <w:sz w:val="17"/>
        </w:rPr>
        <w:t xml:space="preserve"> </w:t>
      </w:r>
      <w:r>
        <w:rPr>
          <w:sz w:val="17"/>
        </w:rPr>
        <w:t>include</w:t>
      </w:r>
      <w:r>
        <w:rPr>
          <w:spacing w:val="-7"/>
          <w:sz w:val="17"/>
        </w:rPr>
        <w:t xml:space="preserve"> </w:t>
      </w:r>
      <w:r>
        <w:rPr>
          <w:sz w:val="17"/>
        </w:rPr>
        <w:t>access</w:t>
      </w:r>
      <w:r>
        <w:rPr>
          <w:spacing w:val="-7"/>
          <w:sz w:val="17"/>
        </w:rPr>
        <w:t xml:space="preserve"> </w:t>
      </w:r>
      <w:r>
        <w:rPr>
          <w:sz w:val="17"/>
        </w:rPr>
        <w:t>to</w:t>
      </w:r>
      <w:r>
        <w:rPr>
          <w:spacing w:val="-7"/>
          <w:sz w:val="17"/>
        </w:rPr>
        <w:t xml:space="preserve"> </w:t>
      </w:r>
      <w:r>
        <w:rPr>
          <w:sz w:val="17"/>
        </w:rPr>
        <w:t>markets</w:t>
      </w:r>
      <w:r>
        <w:rPr>
          <w:spacing w:val="-7"/>
          <w:sz w:val="17"/>
        </w:rPr>
        <w:t xml:space="preserve"> </w:t>
      </w:r>
      <w:r>
        <w:rPr>
          <w:sz w:val="17"/>
        </w:rPr>
        <w:t>and</w:t>
      </w:r>
      <w:r>
        <w:rPr>
          <w:spacing w:val="-7"/>
          <w:sz w:val="17"/>
        </w:rPr>
        <w:t xml:space="preserve"> </w:t>
      </w:r>
      <w:r>
        <w:rPr>
          <w:sz w:val="17"/>
        </w:rPr>
        <w:t>less</w:t>
      </w:r>
    </w:p>
    <w:p w:rsidR="002C1123" w:rsidRDefault="00F22F94">
      <w:pPr>
        <w:spacing w:before="1" w:line="244" w:lineRule="auto"/>
        <w:ind w:left="319" w:right="651"/>
        <w:rPr>
          <w:sz w:val="17"/>
        </w:rPr>
      </w:pPr>
      <w:r>
        <w:rPr>
          <w:sz w:val="17"/>
        </w:rPr>
        <w:t>congestion,</w:t>
      </w:r>
      <w:r>
        <w:rPr>
          <w:spacing w:val="-10"/>
          <w:sz w:val="17"/>
        </w:rPr>
        <w:t xml:space="preserve"> </w:t>
      </w:r>
      <w:r>
        <w:rPr>
          <w:sz w:val="17"/>
        </w:rPr>
        <w:t>all</w:t>
      </w:r>
      <w:r>
        <w:rPr>
          <w:spacing w:val="-10"/>
          <w:sz w:val="17"/>
        </w:rPr>
        <w:t xml:space="preserve"> </w:t>
      </w:r>
      <w:r>
        <w:rPr>
          <w:sz w:val="17"/>
        </w:rPr>
        <w:t>of</w:t>
      </w:r>
      <w:r>
        <w:rPr>
          <w:spacing w:val="-10"/>
          <w:sz w:val="17"/>
        </w:rPr>
        <w:t xml:space="preserve"> </w:t>
      </w:r>
      <w:r>
        <w:rPr>
          <w:sz w:val="17"/>
        </w:rPr>
        <w:t>which</w:t>
      </w:r>
      <w:r>
        <w:rPr>
          <w:spacing w:val="-10"/>
          <w:sz w:val="17"/>
        </w:rPr>
        <w:t xml:space="preserve"> </w:t>
      </w:r>
      <w:r>
        <w:rPr>
          <w:sz w:val="17"/>
        </w:rPr>
        <w:t>make</w:t>
      </w:r>
      <w:r>
        <w:rPr>
          <w:spacing w:val="-10"/>
          <w:sz w:val="17"/>
        </w:rPr>
        <w:t xml:space="preserve"> </w:t>
      </w:r>
      <w:r>
        <w:rPr>
          <w:sz w:val="17"/>
        </w:rPr>
        <w:t>NSW</w:t>
      </w:r>
      <w:r>
        <w:rPr>
          <w:spacing w:val="-10"/>
          <w:sz w:val="17"/>
        </w:rPr>
        <w:t xml:space="preserve"> </w:t>
      </w:r>
      <w:r>
        <w:rPr>
          <w:sz w:val="17"/>
        </w:rPr>
        <w:t>a</w:t>
      </w:r>
      <w:r>
        <w:rPr>
          <w:spacing w:val="-10"/>
          <w:sz w:val="17"/>
        </w:rPr>
        <w:t xml:space="preserve"> </w:t>
      </w:r>
      <w:r>
        <w:rPr>
          <w:sz w:val="17"/>
        </w:rPr>
        <w:t>more</w:t>
      </w:r>
      <w:r>
        <w:rPr>
          <w:spacing w:val="-10"/>
          <w:sz w:val="17"/>
        </w:rPr>
        <w:t xml:space="preserve"> </w:t>
      </w:r>
      <w:r>
        <w:rPr>
          <w:sz w:val="17"/>
        </w:rPr>
        <w:t>desirable</w:t>
      </w:r>
      <w:r>
        <w:rPr>
          <w:spacing w:val="-10"/>
          <w:sz w:val="17"/>
        </w:rPr>
        <w:t xml:space="preserve"> </w:t>
      </w:r>
      <w:r>
        <w:rPr>
          <w:sz w:val="17"/>
        </w:rPr>
        <w:t>place</w:t>
      </w:r>
      <w:r>
        <w:rPr>
          <w:spacing w:val="-10"/>
          <w:sz w:val="17"/>
        </w:rPr>
        <w:t xml:space="preserve"> </w:t>
      </w:r>
      <w:r>
        <w:rPr>
          <w:sz w:val="17"/>
        </w:rPr>
        <w:t>to live, leading to more jobs, more ideas and more demand for goods, all of which enhance economic activity.</w:t>
      </w:r>
    </w:p>
    <w:p w:rsidR="002C1123" w:rsidRDefault="00F22F94">
      <w:pPr>
        <w:spacing w:before="115" w:line="244" w:lineRule="auto"/>
        <w:ind w:left="323" w:right="1014" w:hanging="10"/>
        <w:rPr>
          <w:sz w:val="17"/>
        </w:rPr>
      </w:pPr>
      <w:r>
        <w:rPr>
          <w:sz w:val="17"/>
        </w:rPr>
        <w:t>An</w:t>
      </w:r>
      <w:r>
        <w:rPr>
          <w:spacing w:val="-2"/>
          <w:sz w:val="17"/>
        </w:rPr>
        <w:t xml:space="preserve"> </w:t>
      </w:r>
      <w:r>
        <w:rPr>
          <w:sz w:val="17"/>
        </w:rPr>
        <w:t>important</w:t>
      </w:r>
      <w:r>
        <w:rPr>
          <w:spacing w:val="-2"/>
          <w:sz w:val="17"/>
        </w:rPr>
        <w:t xml:space="preserve"> </w:t>
      </w:r>
      <w:r>
        <w:rPr>
          <w:sz w:val="17"/>
        </w:rPr>
        <w:t>result</w:t>
      </w:r>
      <w:r>
        <w:rPr>
          <w:spacing w:val="-2"/>
          <w:sz w:val="17"/>
        </w:rPr>
        <w:t xml:space="preserve"> </w:t>
      </w:r>
      <w:r>
        <w:rPr>
          <w:sz w:val="17"/>
        </w:rPr>
        <w:t>is</w:t>
      </w:r>
      <w:r>
        <w:rPr>
          <w:spacing w:val="-2"/>
          <w:sz w:val="17"/>
        </w:rPr>
        <w:t xml:space="preserve"> </w:t>
      </w:r>
      <w:r>
        <w:rPr>
          <w:sz w:val="17"/>
        </w:rPr>
        <w:t>that</w:t>
      </w:r>
      <w:r>
        <w:rPr>
          <w:spacing w:val="-2"/>
          <w:sz w:val="17"/>
        </w:rPr>
        <w:t xml:space="preserve"> </w:t>
      </w:r>
      <w:r>
        <w:rPr>
          <w:sz w:val="17"/>
        </w:rPr>
        <w:t>there</w:t>
      </w:r>
      <w:r>
        <w:rPr>
          <w:spacing w:val="-2"/>
          <w:sz w:val="17"/>
        </w:rPr>
        <w:t xml:space="preserve"> </w:t>
      </w:r>
      <w:r>
        <w:rPr>
          <w:sz w:val="17"/>
        </w:rPr>
        <w:t>are</w:t>
      </w:r>
      <w:r>
        <w:rPr>
          <w:spacing w:val="-2"/>
          <w:sz w:val="17"/>
        </w:rPr>
        <w:t xml:space="preserve"> </w:t>
      </w:r>
      <w:r>
        <w:rPr>
          <w:sz w:val="17"/>
        </w:rPr>
        <w:t>significant</w:t>
      </w:r>
      <w:r>
        <w:rPr>
          <w:spacing w:val="-2"/>
          <w:sz w:val="17"/>
        </w:rPr>
        <w:t xml:space="preserve"> </w:t>
      </w:r>
      <w:r>
        <w:rPr>
          <w:sz w:val="17"/>
        </w:rPr>
        <w:t>benefits</w:t>
      </w:r>
      <w:r>
        <w:rPr>
          <w:spacing w:val="-2"/>
          <w:sz w:val="17"/>
        </w:rPr>
        <w:t xml:space="preserve"> </w:t>
      </w:r>
      <w:r>
        <w:rPr>
          <w:sz w:val="17"/>
        </w:rPr>
        <w:t>for regional</w:t>
      </w:r>
      <w:r>
        <w:rPr>
          <w:spacing w:val="-9"/>
          <w:sz w:val="17"/>
        </w:rPr>
        <w:t xml:space="preserve"> </w:t>
      </w:r>
      <w:r>
        <w:rPr>
          <w:sz w:val="17"/>
        </w:rPr>
        <w:t>NSW.</w:t>
      </w:r>
      <w:r>
        <w:rPr>
          <w:spacing w:val="-9"/>
          <w:sz w:val="17"/>
        </w:rPr>
        <w:t xml:space="preserve"> </w:t>
      </w:r>
      <w:r>
        <w:rPr>
          <w:sz w:val="17"/>
        </w:rPr>
        <w:t>Gross</w:t>
      </w:r>
      <w:r>
        <w:rPr>
          <w:spacing w:val="-9"/>
          <w:sz w:val="17"/>
        </w:rPr>
        <w:t xml:space="preserve"> </w:t>
      </w:r>
      <w:r>
        <w:rPr>
          <w:sz w:val="17"/>
        </w:rPr>
        <w:t>Regional</w:t>
      </w:r>
      <w:r>
        <w:rPr>
          <w:spacing w:val="-9"/>
          <w:sz w:val="17"/>
        </w:rPr>
        <w:t xml:space="preserve"> </w:t>
      </w:r>
      <w:r>
        <w:rPr>
          <w:sz w:val="17"/>
        </w:rPr>
        <w:t>Product</w:t>
      </w:r>
      <w:r>
        <w:rPr>
          <w:spacing w:val="-9"/>
          <w:sz w:val="17"/>
        </w:rPr>
        <w:t xml:space="preserve"> </w:t>
      </w:r>
      <w:r>
        <w:rPr>
          <w:sz w:val="17"/>
        </w:rPr>
        <w:t>(GRP)</w:t>
      </w:r>
      <w:r>
        <w:rPr>
          <w:spacing w:val="-9"/>
          <w:sz w:val="17"/>
        </w:rPr>
        <w:t xml:space="preserve"> </w:t>
      </w:r>
      <w:r>
        <w:rPr>
          <w:sz w:val="17"/>
        </w:rPr>
        <w:t>is</w:t>
      </w:r>
      <w:r>
        <w:rPr>
          <w:spacing w:val="-9"/>
          <w:sz w:val="17"/>
        </w:rPr>
        <w:t xml:space="preserve"> </w:t>
      </w:r>
      <w:r>
        <w:rPr>
          <w:sz w:val="17"/>
        </w:rPr>
        <w:t xml:space="preserve">expected </w:t>
      </w:r>
      <w:r>
        <w:rPr>
          <w:w w:val="95"/>
          <w:sz w:val="17"/>
        </w:rPr>
        <w:t xml:space="preserve">to increase by $21 billion reflecting the close economic ties </w:t>
      </w:r>
      <w:r>
        <w:rPr>
          <w:sz w:val="17"/>
        </w:rPr>
        <w:t>between Sydney and Regional NSW.</w:t>
      </w:r>
    </w:p>
    <w:p w:rsidR="002C1123" w:rsidRDefault="002C1123">
      <w:pPr>
        <w:spacing w:line="244" w:lineRule="auto"/>
        <w:rPr>
          <w:sz w:val="17"/>
        </w:rPr>
        <w:sectPr w:rsidR="002C1123">
          <w:type w:val="continuous"/>
          <w:pgSz w:w="16840" w:h="11910" w:orient="landscape"/>
          <w:pgMar w:top="560" w:right="280" w:bottom="280" w:left="500" w:header="0" w:footer="517" w:gutter="0"/>
          <w:cols w:num="3" w:space="720" w:equalWidth="0">
            <w:col w:w="5272" w:space="40"/>
            <w:col w:w="4936" w:space="39"/>
            <w:col w:w="5773"/>
          </w:cols>
        </w:sectPr>
      </w:pPr>
    </w:p>
    <w:p w:rsidR="002C1123" w:rsidRDefault="002060EF">
      <w:pPr>
        <w:pStyle w:val="BodyText"/>
        <w:spacing w:before="3"/>
        <w:rPr>
          <w:sz w:val="12"/>
        </w:rPr>
      </w:pPr>
      <w:r>
        <w:pict>
          <v:shape id="docshape236" o:spid="_x0000_s5064" style="position:absolute;margin-left:300.95pt;margin-top:127.6pt;width:491.35pt;height:202.05pt;z-index:-251528192;mso-position-horizontal-relative:page;mso-position-vertical-relative:page" coordorigin="6019,2552" coordsize="9827,4041" path="m15846,2552r-9827,l6019,3078r,3514l10932,6592r,l15846,6592r,-3514l15846,2552xe" fillcolor="#e1e0e1" stroked="f">
            <v:path arrowok="t"/>
            <w10:wrap anchorx="page" anchory="page"/>
          </v:shape>
        </w:pict>
      </w:r>
    </w:p>
    <w:p w:rsidR="002C1123" w:rsidRDefault="002060EF">
      <w:pPr>
        <w:pStyle w:val="BodyText"/>
        <w:spacing w:line="20" w:lineRule="exact"/>
        <w:ind w:left="10545"/>
        <w:rPr>
          <w:sz w:val="2"/>
        </w:rPr>
      </w:pPr>
      <w:r>
        <w:rPr>
          <w:sz w:val="2"/>
        </w:rPr>
      </w:r>
      <w:r>
        <w:rPr>
          <w:sz w:val="2"/>
        </w:rPr>
        <w:pict>
          <v:group id="docshapegroup237" o:spid="_x0000_s5062" style="width:1in;height:.5pt;mso-position-horizontal-relative:char;mso-position-vertical-relative:line" coordsize="1440,10">
            <v:line id="_x0000_s5063" style="position:absolute" from="0,5" to="1440,5" strokecolor="#9c9c9d" strokeweight=".5pt"/>
            <w10:anchorlock/>
          </v:group>
        </w:pict>
      </w:r>
    </w:p>
    <w:p w:rsidR="002C1123" w:rsidRDefault="00F22F94">
      <w:pPr>
        <w:pStyle w:val="ListParagraph"/>
        <w:numPr>
          <w:ilvl w:val="0"/>
          <w:numId w:val="159"/>
        </w:numPr>
        <w:tabs>
          <w:tab w:val="left" w:pos="10745"/>
        </w:tabs>
        <w:spacing w:before="8"/>
        <w:ind w:left="10744" w:hanging="206"/>
        <w:jc w:val="left"/>
        <w:rPr>
          <w:sz w:val="14"/>
        </w:rPr>
      </w:pPr>
      <w:r>
        <w:rPr>
          <w:w w:val="95"/>
          <w:sz w:val="14"/>
        </w:rPr>
        <w:t>NSW</w:t>
      </w:r>
      <w:r>
        <w:rPr>
          <w:spacing w:val="-7"/>
          <w:w w:val="95"/>
          <w:sz w:val="14"/>
        </w:rPr>
        <w:t xml:space="preserve"> </w:t>
      </w:r>
      <w:r>
        <w:rPr>
          <w:w w:val="95"/>
          <w:sz w:val="14"/>
        </w:rPr>
        <w:t>Treasury,</w:t>
      </w:r>
      <w:r>
        <w:rPr>
          <w:spacing w:val="-6"/>
          <w:w w:val="95"/>
          <w:sz w:val="14"/>
        </w:rPr>
        <w:t xml:space="preserve"> </w:t>
      </w:r>
      <w:r>
        <w:rPr>
          <w:w w:val="95"/>
          <w:sz w:val="14"/>
        </w:rPr>
        <w:t>2011-12,</w:t>
      </w:r>
      <w:r>
        <w:rPr>
          <w:spacing w:val="-7"/>
          <w:w w:val="95"/>
          <w:sz w:val="14"/>
        </w:rPr>
        <w:t xml:space="preserve"> </w:t>
      </w:r>
      <w:r>
        <w:rPr>
          <w:w w:val="95"/>
          <w:sz w:val="14"/>
        </w:rPr>
        <w:t>Budget</w:t>
      </w:r>
      <w:r>
        <w:rPr>
          <w:spacing w:val="-6"/>
          <w:w w:val="95"/>
          <w:sz w:val="14"/>
        </w:rPr>
        <w:t xml:space="preserve"> </w:t>
      </w:r>
      <w:r>
        <w:rPr>
          <w:w w:val="95"/>
          <w:sz w:val="14"/>
        </w:rPr>
        <w:t>Paper</w:t>
      </w:r>
      <w:r>
        <w:rPr>
          <w:spacing w:val="-6"/>
          <w:w w:val="95"/>
          <w:sz w:val="14"/>
        </w:rPr>
        <w:t xml:space="preserve"> </w:t>
      </w:r>
      <w:r>
        <w:rPr>
          <w:spacing w:val="-7"/>
          <w:w w:val="95"/>
          <w:sz w:val="14"/>
        </w:rPr>
        <w:t>6.</w:t>
      </w:r>
    </w:p>
    <w:p w:rsidR="002C1123" w:rsidRDefault="002C1123">
      <w:pPr>
        <w:rPr>
          <w:sz w:val="14"/>
        </w:rPr>
        <w:sectPr w:rsidR="002C1123">
          <w:type w:val="continuous"/>
          <w:pgSz w:w="16840" w:h="11910" w:orient="landscape"/>
          <w:pgMar w:top="560" w:right="280" w:bottom="280" w:left="500" w:header="0" w:footer="517"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7"/>
        </w:rPr>
      </w:pPr>
    </w:p>
    <w:p w:rsidR="002C1123" w:rsidRDefault="002C1123">
      <w:pPr>
        <w:rPr>
          <w:sz w:val="17"/>
        </w:rPr>
        <w:sectPr w:rsidR="002C1123">
          <w:pgSz w:w="16840" w:h="11910" w:orient="landscape"/>
          <w:pgMar w:top="560" w:right="280" w:bottom="700" w:left="500" w:header="0" w:footer="517" w:gutter="0"/>
          <w:cols w:space="720"/>
        </w:sectPr>
      </w:pPr>
    </w:p>
    <w:p w:rsidR="002C1123" w:rsidRDefault="00F22F94">
      <w:pPr>
        <w:pStyle w:val="Heading5"/>
        <w:numPr>
          <w:ilvl w:val="1"/>
          <w:numId w:val="172"/>
        </w:numPr>
        <w:tabs>
          <w:tab w:val="left" w:pos="917"/>
        </w:tabs>
        <w:ind w:left="916" w:hanging="450"/>
        <w:jc w:val="left"/>
        <w:rPr>
          <w:color w:val="EC008C"/>
        </w:rPr>
      </w:pPr>
      <w:bookmarkStart w:id="56" w:name="1.7_Methodology_"/>
      <w:bookmarkStart w:id="57" w:name="_bookmark40"/>
      <w:bookmarkStart w:id="58" w:name="_bookmark39"/>
      <w:bookmarkEnd w:id="56"/>
      <w:bookmarkEnd w:id="57"/>
      <w:bookmarkEnd w:id="58"/>
      <w:r>
        <w:rPr>
          <w:color w:val="EC008C"/>
          <w:spacing w:val="-2"/>
        </w:rPr>
        <w:t>Methodology</w:t>
      </w:r>
    </w:p>
    <w:p w:rsidR="002C1123" w:rsidRDefault="00F22F94">
      <w:pPr>
        <w:pStyle w:val="BodyText"/>
        <w:spacing w:before="135" w:line="249" w:lineRule="auto"/>
        <w:ind w:left="501" w:hanging="1"/>
      </w:pPr>
      <w:r>
        <w:rPr>
          <w:w w:val="95"/>
        </w:rPr>
        <w:t>Infrastructure</w:t>
      </w:r>
      <w:r>
        <w:rPr>
          <w:spacing w:val="-6"/>
          <w:w w:val="95"/>
        </w:rPr>
        <w:t xml:space="preserve"> </w:t>
      </w:r>
      <w:r>
        <w:rPr>
          <w:w w:val="95"/>
        </w:rPr>
        <w:t>NSW</w:t>
      </w:r>
      <w:r>
        <w:rPr>
          <w:spacing w:val="-6"/>
          <w:w w:val="95"/>
        </w:rPr>
        <w:t xml:space="preserve"> </w:t>
      </w:r>
      <w:r>
        <w:rPr>
          <w:w w:val="95"/>
        </w:rPr>
        <w:t>has</w:t>
      </w:r>
      <w:r>
        <w:rPr>
          <w:spacing w:val="-6"/>
          <w:w w:val="95"/>
        </w:rPr>
        <w:t xml:space="preserve"> </w:t>
      </w:r>
      <w:r>
        <w:rPr>
          <w:w w:val="95"/>
        </w:rPr>
        <w:t>undertaken</w:t>
      </w:r>
      <w:r>
        <w:rPr>
          <w:spacing w:val="-6"/>
          <w:w w:val="95"/>
        </w:rPr>
        <w:t xml:space="preserve"> </w:t>
      </w:r>
      <w:r>
        <w:rPr>
          <w:w w:val="95"/>
        </w:rPr>
        <w:t>a</w:t>
      </w:r>
      <w:r>
        <w:rPr>
          <w:spacing w:val="-6"/>
          <w:w w:val="95"/>
        </w:rPr>
        <w:t xml:space="preserve"> </w:t>
      </w:r>
      <w:r>
        <w:rPr>
          <w:w w:val="95"/>
        </w:rPr>
        <w:t>systematic approach</w:t>
      </w:r>
      <w:r>
        <w:rPr>
          <w:spacing w:val="-3"/>
          <w:w w:val="95"/>
        </w:rPr>
        <w:t xml:space="preserve"> </w:t>
      </w:r>
      <w:r>
        <w:rPr>
          <w:w w:val="95"/>
        </w:rPr>
        <w:t>to</w:t>
      </w:r>
      <w:r>
        <w:rPr>
          <w:spacing w:val="-3"/>
          <w:w w:val="95"/>
        </w:rPr>
        <w:t xml:space="preserve"> </w:t>
      </w:r>
      <w:r>
        <w:rPr>
          <w:w w:val="95"/>
        </w:rPr>
        <w:t>develop</w:t>
      </w:r>
      <w:r>
        <w:rPr>
          <w:spacing w:val="-3"/>
          <w:w w:val="95"/>
        </w:rPr>
        <w:t xml:space="preserve"> </w:t>
      </w:r>
      <w:r>
        <w:rPr>
          <w:w w:val="95"/>
        </w:rPr>
        <w:t>the</w:t>
      </w:r>
      <w:r>
        <w:rPr>
          <w:spacing w:val="-3"/>
          <w:w w:val="95"/>
        </w:rPr>
        <w:t xml:space="preserve"> </w:t>
      </w:r>
      <w:r>
        <w:rPr>
          <w:w w:val="95"/>
        </w:rPr>
        <w:t>Strategy</w:t>
      </w:r>
      <w:r>
        <w:rPr>
          <w:spacing w:val="-3"/>
          <w:w w:val="95"/>
        </w:rPr>
        <w:t xml:space="preserve"> </w:t>
      </w:r>
      <w:r>
        <w:rPr>
          <w:w w:val="95"/>
        </w:rPr>
        <w:t>and</w:t>
      </w:r>
      <w:r>
        <w:rPr>
          <w:spacing w:val="-2"/>
          <w:w w:val="95"/>
        </w:rPr>
        <w:t xml:space="preserve"> </w:t>
      </w:r>
      <w:r>
        <w:rPr>
          <w:w w:val="95"/>
        </w:rPr>
        <w:t>to</w:t>
      </w:r>
      <w:r>
        <w:rPr>
          <w:spacing w:val="-3"/>
          <w:w w:val="95"/>
        </w:rPr>
        <w:t xml:space="preserve"> </w:t>
      </w:r>
      <w:r>
        <w:rPr>
          <w:spacing w:val="-2"/>
          <w:w w:val="95"/>
        </w:rPr>
        <w:t>identify</w:t>
      </w:r>
    </w:p>
    <w:p w:rsidR="002C1123" w:rsidRDefault="00F22F94">
      <w:pPr>
        <w:pStyle w:val="BodyText"/>
        <w:spacing w:before="1" w:line="249" w:lineRule="auto"/>
        <w:ind w:left="498" w:firstLine="3"/>
      </w:pPr>
      <w:r>
        <w:t>and</w:t>
      </w:r>
      <w:r>
        <w:rPr>
          <w:spacing w:val="-9"/>
        </w:rPr>
        <w:t xml:space="preserve"> </w:t>
      </w:r>
      <w:r>
        <w:t>prioritise</w:t>
      </w:r>
      <w:r>
        <w:rPr>
          <w:spacing w:val="-9"/>
        </w:rPr>
        <w:t xml:space="preserve"> </w:t>
      </w:r>
      <w:r>
        <w:t>potential</w:t>
      </w:r>
      <w:r>
        <w:rPr>
          <w:spacing w:val="-9"/>
        </w:rPr>
        <w:t xml:space="preserve"> </w:t>
      </w:r>
      <w:r>
        <w:t>projects</w:t>
      </w:r>
      <w:r>
        <w:rPr>
          <w:spacing w:val="-9"/>
        </w:rPr>
        <w:t xml:space="preserve"> </w:t>
      </w:r>
      <w:r>
        <w:t>and</w:t>
      </w:r>
      <w:r>
        <w:rPr>
          <w:spacing w:val="-9"/>
        </w:rPr>
        <w:t xml:space="preserve"> </w:t>
      </w:r>
      <w:r>
        <w:t>programs</w:t>
      </w:r>
      <w:r>
        <w:rPr>
          <w:spacing w:val="-9"/>
        </w:rPr>
        <w:t xml:space="preserve"> </w:t>
      </w:r>
      <w:r>
        <w:t>that</w:t>
      </w:r>
      <w:r>
        <w:rPr>
          <w:spacing w:val="-9"/>
        </w:rPr>
        <w:t xml:space="preserve"> </w:t>
      </w:r>
      <w:r>
        <w:t xml:space="preserve">add </w:t>
      </w:r>
      <w:r>
        <w:rPr>
          <w:w w:val="95"/>
        </w:rPr>
        <w:t>to the economic and social well being of the whole NSW community.</w:t>
      </w:r>
      <w:r>
        <w:rPr>
          <w:spacing w:val="-1"/>
          <w:w w:val="95"/>
        </w:rPr>
        <w:t xml:space="preserve"> </w:t>
      </w:r>
      <w:r>
        <w:rPr>
          <w:w w:val="95"/>
        </w:rPr>
        <w:t>The</w:t>
      </w:r>
      <w:r>
        <w:rPr>
          <w:spacing w:val="-1"/>
          <w:w w:val="95"/>
        </w:rPr>
        <w:t xml:space="preserve"> </w:t>
      </w:r>
      <w:r>
        <w:rPr>
          <w:w w:val="95"/>
        </w:rPr>
        <w:t>method</w:t>
      </w:r>
      <w:r>
        <w:rPr>
          <w:spacing w:val="-1"/>
          <w:w w:val="95"/>
        </w:rPr>
        <w:t xml:space="preserve"> </w:t>
      </w:r>
      <w:r>
        <w:rPr>
          <w:w w:val="95"/>
        </w:rPr>
        <w:t>follows</w:t>
      </w:r>
      <w:r>
        <w:rPr>
          <w:spacing w:val="-1"/>
          <w:w w:val="95"/>
        </w:rPr>
        <w:t xml:space="preserve"> </w:t>
      </w:r>
      <w:r>
        <w:rPr>
          <w:w w:val="95"/>
        </w:rPr>
        <w:t>the</w:t>
      </w:r>
      <w:r>
        <w:rPr>
          <w:spacing w:val="-1"/>
          <w:w w:val="95"/>
        </w:rPr>
        <w:t xml:space="preserve"> </w:t>
      </w:r>
      <w:r>
        <w:rPr>
          <w:w w:val="95"/>
        </w:rPr>
        <w:t>logical</w:t>
      </w:r>
      <w:r>
        <w:rPr>
          <w:spacing w:val="-1"/>
          <w:w w:val="95"/>
        </w:rPr>
        <w:t xml:space="preserve"> </w:t>
      </w:r>
      <w:r>
        <w:rPr>
          <w:w w:val="95"/>
        </w:rPr>
        <w:t>framework</w:t>
      </w:r>
      <w:r>
        <w:rPr>
          <w:spacing w:val="-1"/>
          <w:w w:val="95"/>
        </w:rPr>
        <w:t xml:space="preserve"> </w:t>
      </w:r>
      <w:r>
        <w:rPr>
          <w:w w:val="95"/>
        </w:rPr>
        <w:t xml:space="preserve">of </w:t>
      </w:r>
      <w:r>
        <w:t>problem</w:t>
      </w:r>
      <w:r>
        <w:rPr>
          <w:spacing w:val="-14"/>
        </w:rPr>
        <w:t xml:space="preserve"> </w:t>
      </w:r>
      <w:r>
        <w:t>analysis,</w:t>
      </w:r>
      <w:r>
        <w:rPr>
          <w:spacing w:val="-14"/>
        </w:rPr>
        <w:t xml:space="preserve"> </w:t>
      </w:r>
      <w:r>
        <w:t>option</w:t>
      </w:r>
      <w:r>
        <w:rPr>
          <w:spacing w:val="-14"/>
        </w:rPr>
        <w:t xml:space="preserve"> </w:t>
      </w:r>
      <w:r>
        <w:t>assessment</w:t>
      </w:r>
      <w:r>
        <w:rPr>
          <w:spacing w:val="-14"/>
        </w:rPr>
        <w:t xml:space="preserve"> </w:t>
      </w:r>
      <w:r>
        <w:t>and</w:t>
      </w:r>
      <w:r>
        <w:rPr>
          <w:spacing w:val="-14"/>
        </w:rPr>
        <w:t xml:space="preserve"> </w:t>
      </w:r>
      <w:r>
        <w:t>prioritisation illustrated</w:t>
      </w:r>
      <w:r>
        <w:rPr>
          <w:spacing w:val="-1"/>
        </w:rPr>
        <w:t xml:space="preserve"> </w:t>
      </w:r>
      <w:r>
        <w:t>in</w:t>
      </w:r>
      <w:r>
        <w:rPr>
          <w:spacing w:val="-1"/>
        </w:rPr>
        <w:t xml:space="preserve"> </w:t>
      </w:r>
      <w:r>
        <w:t>Figure</w:t>
      </w:r>
      <w:r>
        <w:rPr>
          <w:spacing w:val="-1"/>
        </w:rPr>
        <w:t xml:space="preserve"> </w:t>
      </w:r>
      <w:r>
        <w:t>1.6.</w:t>
      </w:r>
    </w:p>
    <w:p w:rsidR="002C1123" w:rsidRDefault="00F22F94">
      <w:pPr>
        <w:pStyle w:val="BodyText"/>
        <w:spacing w:before="146" w:line="249" w:lineRule="auto"/>
        <w:ind w:left="504" w:hanging="4"/>
      </w:pPr>
      <w:r>
        <w:rPr>
          <w:w w:val="95"/>
        </w:rPr>
        <w:t xml:space="preserve">Infrastructure NSW’s methodology was guided by the </w:t>
      </w:r>
      <w:r>
        <w:rPr>
          <w:spacing w:val="-2"/>
        </w:rPr>
        <w:t>requirements</w:t>
      </w:r>
      <w:r>
        <w:rPr>
          <w:spacing w:val="-11"/>
        </w:rPr>
        <w:t xml:space="preserve"> </w:t>
      </w:r>
      <w:r>
        <w:rPr>
          <w:spacing w:val="-2"/>
        </w:rPr>
        <w:t>of</w:t>
      </w:r>
      <w:r>
        <w:rPr>
          <w:spacing w:val="-11"/>
        </w:rPr>
        <w:t xml:space="preserve"> </w:t>
      </w:r>
      <w:r>
        <w:rPr>
          <w:spacing w:val="-2"/>
        </w:rPr>
        <w:t>the</w:t>
      </w:r>
      <w:r>
        <w:rPr>
          <w:spacing w:val="-11"/>
        </w:rPr>
        <w:t xml:space="preserve"> </w:t>
      </w:r>
      <w:r>
        <w:rPr>
          <w:spacing w:val="-2"/>
        </w:rPr>
        <w:t>Infrastructure</w:t>
      </w:r>
      <w:r>
        <w:rPr>
          <w:spacing w:val="-11"/>
        </w:rPr>
        <w:t xml:space="preserve"> </w:t>
      </w:r>
      <w:r>
        <w:rPr>
          <w:spacing w:val="-2"/>
        </w:rPr>
        <w:t>NSW</w:t>
      </w:r>
      <w:r>
        <w:rPr>
          <w:spacing w:val="-11"/>
        </w:rPr>
        <w:t xml:space="preserve"> </w:t>
      </w:r>
      <w:r>
        <w:rPr>
          <w:spacing w:val="-2"/>
        </w:rPr>
        <w:t>Act</w:t>
      </w:r>
      <w:r>
        <w:rPr>
          <w:spacing w:val="-11"/>
        </w:rPr>
        <w:t xml:space="preserve"> </w:t>
      </w:r>
      <w:r>
        <w:rPr>
          <w:spacing w:val="-2"/>
        </w:rPr>
        <w:t>(2011).</w:t>
      </w:r>
    </w:p>
    <w:p w:rsidR="002C1123" w:rsidRDefault="00F22F94">
      <w:pPr>
        <w:pStyle w:val="Heading6"/>
        <w:numPr>
          <w:ilvl w:val="2"/>
          <w:numId w:val="172"/>
        </w:numPr>
        <w:tabs>
          <w:tab w:val="left" w:pos="968"/>
        </w:tabs>
        <w:spacing w:before="144"/>
        <w:ind w:hanging="487"/>
        <w:jc w:val="left"/>
      </w:pPr>
      <w:r>
        <w:rPr>
          <w:color w:val="EC008C"/>
          <w:spacing w:val="-2"/>
        </w:rPr>
        <w:t>Principles</w:t>
      </w:r>
    </w:p>
    <w:p w:rsidR="002C1123" w:rsidRDefault="00F22F94">
      <w:pPr>
        <w:pStyle w:val="BodyText"/>
        <w:spacing w:before="95" w:line="249" w:lineRule="auto"/>
        <w:ind w:left="500" w:hanging="22"/>
      </w:pPr>
      <w:r>
        <w:t>Three</w:t>
      </w:r>
      <w:r>
        <w:rPr>
          <w:spacing w:val="-14"/>
        </w:rPr>
        <w:t xml:space="preserve"> </w:t>
      </w:r>
      <w:r>
        <w:t>principles</w:t>
      </w:r>
      <w:r>
        <w:rPr>
          <w:spacing w:val="-14"/>
        </w:rPr>
        <w:t xml:space="preserve"> </w:t>
      </w:r>
      <w:r>
        <w:t>have</w:t>
      </w:r>
      <w:r>
        <w:rPr>
          <w:spacing w:val="-14"/>
        </w:rPr>
        <w:t xml:space="preserve"> </w:t>
      </w:r>
      <w:r>
        <w:t>guided</w:t>
      </w:r>
      <w:r>
        <w:rPr>
          <w:spacing w:val="-14"/>
        </w:rPr>
        <w:t xml:space="preserve"> </w:t>
      </w:r>
      <w:r>
        <w:t>Infrastructure</w:t>
      </w:r>
      <w:r>
        <w:rPr>
          <w:spacing w:val="-14"/>
        </w:rPr>
        <w:t xml:space="preserve"> </w:t>
      </w:r>
      <w:r>
        <w:t>NSW</w:t>
      </w:r>
      <w:r>
        <w:rPr>
          <w:spacing w:val="-14"/>
        </w:rPr>
        <w:t xml:space="preserve"> </w:t>
      </w:r>
      <w:r>
        <w:t xml:space="preserve">in </w:t>
      </w:r>
      <w:r>
        <w:rPr>
          <w:w w:val="95"/>
        </w:rPr>
        <w:t>ensuring</w:t>
      </w:r>
      <w:r>
        <w:rPr>
          <w:spacing w:val="-8"/>
          <w:w w:val="95"/>
        </w:rPr>
        <w:t xml:space="preserve"> </w:t>
      </w:r>
      <w:r>
        <w:rPr>
          <w:w w:val="95"/>
        </w:rPr>
        <w:t>that</w:t>
      </w:r>
      <w:r>
        <w:rPr>
          <w:spacing w:val="-8"/>
          <w:w w:val="95"/>
        </w:rPr>
        <w:t xml:space="preserve"> </w:t>
      </w:r>
      <w:r>
        <w:rPr>
          <w:w w:val="95"/>
        </w:rPr>
        <w:t>the</w:t>
      </w:r>
      <w:r>
        <w:rPr>
          <w:spacing w:val="-8"/>
          <w:w w:val="95"/>
        </w:rPr>
        <w:t xml:space="preserve"> </w:t>
      </w:r>
      <w:r>
        <w:rPr>
          <w:w w:val="95"/>
        </w:rPr>
        <w:t>Strategy</w:t>
      </w:r>
      <w:r>
        <w:rPr>
          <w:spacing w:val="-8"/>
          <w:w w:val="95"/>
        </w:rPr>
        <w:t xml:space="preserve"> </w:t>
      </w:r>
      <w:r>
        <w:rPr>
          <w:w w:val="95"/>
        </w:rPr>
        <w:t>is</w:t>
      </w:r>
      <w:r>
        <w:rPr>
          <w:spacing w:val="-8"/>
          <w:w w:val="95"/>
        </w:rPr>
        <w:t xml:space="preserve"> </w:t>
      </w:r>
      <w:r>
        <w:rPr>
          <w:w w:val="95"/>
        </w:rPr>
        <w:t>affordable,</w:t>
      </w:r>
      <w:r>
        <w:rPr>
          <w:spacing w:val="-8"/>
          <w:w w:val="95"/>
        </w:rPr>
        <w:t xml:space="preserve"> </w:t>
      </w:r>
      <w:r>
        <w:rPr>
          <w:w w:val="95"/>
        </w:rPr>
        <w:t>achievable</w:t>
      </w:r>
      <w:r>
        <w:rPr>
          <w:spacing w:val="-8"/>
          <w:w w:val="95"/>
        </w:rPr>
        <w:t xml:space="preserve"> </w:t>
      </w:r>
      <w:r>
        <w:rPr>
          <w:w w:val="95"/>
        </w:rPr>
        <w:t xml:space="preserve">and </w:t>
      </w:r>
      <w:r>
        <w:t>delivers</w:t>
      </w:r>
      <w:r>
        <w:rPr>
          <w:spacing w:val="-12"/>
        </w:rPr>
        <w:t xml:space="preserve"> </w:t>
      </w:r>
      <w:r>
        <w:t>the</w:t>
      </w:r>
      <w:r>
        <w:rPr>
          <w:spacing w:val="-12"/>
        </w:rPr>
        <w:t xml:space="preserve"> </w:t>
      </w:r>
      <w:r>
        <w:t>best</w:t>
      </w:r>
      <w:r>
        <w:rPr>
          <w:spacing w:val="-12"/>
        </w:rPr>
        <w:t xml:space="preserve"> </w:t>
      </w:r>
      <w:r>
        <w:t>value</w:t>
      </w:r>
      <w:r>
        <w:rPr>
          <w:spacing w:val="-12"/>
        </w:rPr>
        <w:t xml:space="preserve"> </w:t>
      </w:r>
      <w:r>
        <w:t>across</w:t>
      </w:r>
      <w:r>
        <w:rPr>
          <w:spacing w:val="-12"/>
        </w:rPr>
        <w:t xml:space="preserve"> </w:t>
      </w:r>
      <w:r>
        <w:t>scarce</w:t>
      </w:r>
      <w:r>
        <w:rPr>
          <w:spacing w:val="-12"/>
        </w:rPr>
        <w:t xml:space="preserve"> </w:t>
      </w:r>
      <w:r>
        <w:t>resources.</w:t>
      </w:r>
    </w:p>
    <w:p w:rsidR="002C1123" w:rsidRDefault="002C1123">
      <w:pPr>
        <w:pStyle w:val="BodyText"/>
        <w:spacing w:before="7"/>
        <w:rPr>
          <w:sz w:val="22"/>
        </w:rPr>
      </w:pPr>
    </w:p>
    <w:p w:rsidR="002C1123" w:rsidRDefault="002060EF">
      <w:pPr>
        <w:ind w:left="492"/>
        <w:rPr>
          <w:b/>
          <w:sz w:val="18"/>
        </w:rPr>
      </w:pPr>
      <w:r>
        <w:pict>
          <v:group id="docshapegroup238" o:spid="_x0000_s5050" style="position:absolute;left:0;text-align:left;margin-left:49.6pt;margin-top:8.95pt;width:491.35pt;height:54.6pt;z-index:251234304;mso-position-horizontal-relative:page" coordorigin="992,179" coordsize="9827,1092">
            <v:shape id="docshape239" o:spid="_x0000_s5061" style="position:absolute;left:992;top:322;width:9827;height:723" coordorigin="992,323" coordsize="9827,723" path="m10632,323r-9640,l992,1046r9640,l10819,684,10632,323xe" fillcolor="#c9c8c9" stroked="f">
              <v:path arrowok="t"/>
            </v:shape>
            <v:shape id="docshape240" o:spid="_x0000_s5060" style="position:absolute;left:4855;top:209;width:212;height:886" coordorigin="4855,209" coordsize="212,886" path="m4855,209r212,443l4855,1095e" filled="f" strokecolor="white" strokeweight="3pt">
              <v:path arrowok="t"/>
            </v:shape>
            <v:shape id="docshape241" o:spid="_x0000_s5059" style="position:absolute;left:6746;top:219;width:212;height:886" coordorigin="6747,220" coordsize="212,886" path="m6747,220r212,443l6747,1105e" filled="f" strokecolor="white" strokeweight="3pt">
              <v:path arrowok="t"/>
            </v:shape>
            <v:shape id="docshape242" o:spid="_x0000_s5058" style="position:absolute;left:8693;top:230;width:212;height:886" coordorigin="8693,231" coordsize="212,886" path="m8693,231r212,442l8693,1116e" filled="f" strokecolor="white" strokeweight="3pt">
              <v:path arrowok="t"/>
            </v:shape>
            <v:shape id="docshape243" o:spid="_x0000_s5057" style="position:absolute;left:2878;top:252;width:212;height:886" coordorigin="2879,252" coordsize="212,886" path="m2879,252r212,443l2879,1138e" filled="f" strokecolor="white" strokeweight="3pt">
              <v:path arrowok="t"/>
            </v:shape>
            <v:shape id="docshape244" o:spid="_x0000_s5056" style="position:absolute;left:1764;top:1107;width:8114;height:164" coordorigin="1765,1108" coordsize="8114,164" o:spt="100" adj="0,,0" path="m2091,1108r-326,l1928,1271r163,-163xm4038,1108r-327,l3874,1271r164,-163xm5984,1108r-326,l5821,1271r163,-163xm7931,1108r-326,l7768,1271r163,-163xm9878,1108r-326,l9715,1271r163,-163xe" fillcolor="#2e3092" stroked="f">
              <v:stroke joinstyle="round"/>
              <v:formulas/>
              <v:path arrowok="t" o:connecttype="segments"/>
            </v:shape>
            <v:shape id="docshape245" o:spid="_x0000_s5055" type="#_x0000_t202" style="position:absolute;left:1074;top:429;width:1721;height:479" filled="f" stroked="f">
              <v:textbox inset="0,0,0,0">
                <w:txbxContent>
                  <w:p w:rsidR="00F22F94" w:rsidRDefault="00F22F94">
                    <w:pPr>
                      <w:spacing w:before="3" w:line="249" w:lineRule="auto"/>
                      <w:ind w:left="62" w:right="14" w:hanging="63"/>
                      <w:rPr>
                        <w:b/>
                        <w:sz w:val="20"/>
                      </w:rPr>
                    </w:pPr>
                    <w:r>
                      <w:rPr>
                        <w:b/>
                        <w:color w:val="2E3092"/>
                        <w:spacing w:val="-2"/>
                        <w:w w:val="95"/>
                        <w:sz w:val="20"/>
                      </w:rPr>
                      <w:t>Infrastructure</w:t>
                    </w:r>
                    <w:r>
                      <w:rPr>
                        <w:b/>
                        <w:color w:val="2E3092"/>
                        <w:spacing w:val="-10"/>
                        <w:w w:val="95"/>
                        <w:sz w:val="20"/>
                      </w:rPr>
                      <w:t xml:space="preserve"> </w:t>
                    </w:r>
                    <w:r>
                      <w:rPr>
                        <w:b/>
                        <w:color w:val="2E3092"/>
                        <w:spacing w:val="-2"/>
                        <w:w w:val="95"/>
                        <w:sz w:val="20"/>
                      </w:rPr>
                      <w:t xml:space="preserve">NSW </w:t>
                    </w:r>
                    <w:r>
                      <w:rPr>
                        <w:b/>
                        <w:color w:val="2E3092"/>
                        <w:w w:val="95"/>
                        <w:sz w:val="20"/>
                      </w:rPr>
                      <w:t>guiding</w:t>
                    </w:r>
                    <w:r>
                      <w:rPr>
                        <w:b/>
                        <w:color w:val="2E3092"/>
                        <w:spacing w:val="-12"/>
                        <w:w w:val="95"/>
                        <w:sz w:val="20"/>
                      </w:rPr>
                      <w:t xml:space="preserve"> </w:t>
                    </w:r>
                    <w:r>
                      <w:rPr>
                        <w:b/>
                        <w:color w:val="2E3092"/>
                        <w:w w:val="95"/>
                        <w:sz w:val="20"/>
                      </w:rPr>
                      <w:t>principles</w:t>
                    </w:r>
                  </w:p>
                </w:txbxContent>
              </v:textbox>
            </v:shape>
            <v:shape id="docshape246" o:spid="_x0000_s5054" type="#_x0000_t202" style="position:absolute;left:3577;top:545;width:805;height:239" filled="f" stroked="f">
              <v:textbox inset="0,0,0,0">
                <w:txbxContent>
                  <w:p w:rsidR="00F22F94" w:rsidRDefault="00F22F94">
                    <w:pPr>
                      <w:spacing w:before="7"/>
                      <w:rPr>
                        <w:b/>
                        <w:sz w:val="20"/>
                      </w:rPr>
                    </w:pPr>
                    <w:r>
                      <w:rPr>
                        <w:b/>
                        <w:color w:val="2E3092"/>
                        <w:spacing w:val="-2"/>
                        <w:w w:val="95"/>
                        <w:sz w:val="20"/>
                      </w:rPr>
                      <w:t>Analysis</w:t>
                    </w:r>
                  </w:p>
                </w:txbxContent>
              </v:textbox>
            </v:shape>
            <v:shape id="docshape247" o:spid="_x0000_s5053" type="#_x0000_t202" style="position:absolute;left:5342;top:425;width:1155;height:479" filled="f" stroked="f">
              <v:textbox inset="0,0,0,0">
                <w:txbxContent>
                  <w:p w:rsidR="00F22F94" w:rsidRDefault="00F22F94">
                    <w:pPr>
                      <w:spacing w:before="3" w:line="249" w:lineRule="auto"/>
                      <w:ind w:right="9" w:firstLine="196"/>
                      <w:rPr>
                        <w:b/>
                        <w:sz w:val="20"/>
                      </w:rPr>
                    </w:pPr>
                    <w:r>
                      <w:rPr>
                        <w:b/>
                        <w:color w:val="2E3092"/>
                        <w:spacing w:val="-2"/>
                        <w:sz w:val="20"/>
                      </w:rPr>
                      <w:t>Options assessment</w:t>
                    </w:r>
                  </w:p>
                </w:txbxContent>
              </v:textbox>
            </v:shape>
            <v:shape id="docshape248" o:spid="_x0000_s5052" type="#_x0000_t202" style="position:absolute;left:7291;top:425;width:1114;height:479" filled="f" stroked="f">
              <v:textbox inset="0,0,0,0">
                <w:txbxContent>
                  <w:p w:rsidR="00F22F94" w:rsidRDefault="00F22F94">
                    <w:pPr>
                      <w:spacing w:before="3" w:line="249" w:lineRule="auto"/>
                      <w:ind w:firstLine="176"/>
                      <w:rPr>
                        <w:b/>
                        <w:sz w:val="20"/>
                      </w:rPr>
                    </w:pPr>
                    <w:r>
                      <w:rPr>
                        <w:b/>
                        <w:color w:val="2E3092"/>
                        <w:spacing w:val="-2"/>
                        <w:sz w:val="20"/>
                      </w:rPr>
                      <w:t xml:space="preserve">Options </w:t>
                    </w:r>
                    <w:r>
                      <w:rPr>
                        <w:b/>
                        <w:color w:val="2E3092"/>
                        <w:spacing w:val="-2"/>
                        <w:w w:val="95"/>
                        <w:sz w:val="20"/>
                      </w:rPr>
                      <w:t>sequencing</w:t>
                    </w:r>
                  </w:p>
                </w:txbxContent>
              </v:textbox>
            </v:shape>
            <v:shape id="docshape249" o:spid="_x0000_s5051" type="#_x0000_t202" style="position:absolute;left:9149;top:305;width:1311;height:719" filled="f" stroked="f">
              <v:textbox inset="0,0,0,0">
                <w:txbxContent>
                  <w:p w:rsidR="00F22F94" w:rsidRDefault="00F22F94">
                    <w:pPr>
                      <w:spacing w:before="3" w:line="249" w:lineRule="auto"/>
                      <w:ind w:right="18" w:hanging="2"/>
                      <w:jc w:val="center"/>
                      <w:rPr>
                        <w:b/>
                        <w:sz w:val="20"/>
                      </w:rPr>
                    </w:pPr>
                    <w:r>
                      <w:rPr>
                        <w:b/>
                        <w:color w:val="2E3092"/>
                        <w:spacing w:val="-2"/>
                        <w:sz w:val="20"/>
                      </w:rPr>
                      <w:t>State Infrastructure Strategy</w:t>
                    </w:r>
                  </w:p>
                </w:txbxContent>
              </v:textbox>
            </v:shape>
            <w10:wrap anchorx="page"/>
          </v:group>
        </w:pict>
      </w:r>
      <w:r w:rsidR="00F22F94">
        <w:rPr>
          <w:b/>
          <w:sz w:val="18"/>
        </w:rPr>
        <w:t>Figure</w:t>
      </w:r>
      <w:r w:rsidR="00F22F94">
        <w:rPr>
          <w:b/>
          <w:spacing w:val="-16"/>
          <w:sz w:val="18"/>
        </w:rPr>
        <w:t xml:space="preserve"> </w:t>
      </w:r>
      <w:r w:rsidR="00F22F94">
        <w:rPr>
          <w:b/>
          <w:sz w:val="18"/>
        </w:rPr>
        <w:t>1.6</w:t>
      </w:r>
      <w:r w:rsidR="00F22F94">
        <w:rPr>
          <w:b/>
          <w:spacing w:val="21"/>
          <w:sz w:val="18"/>
        </w:rPr>
        <w:t xml:space="preserve"> </w:t>
      </w:r>
      <w:r w:rsidR="00F22F94">
        <w:rPr>
          <w:b/>
          <w:sz w:val="18"/>
        </w:rPr>
        <w:t>State</w:t>
      </w:r>
      <w:r w:rsidR="00F22F94">
        <w:rPr>
          <w:b/>
          <w:spacing w:val="-16"/>
          <w:sz w:val="18"/>
        </w:rPr>
        <w:t xml:space="preserve"> </w:t>
      </w:r>
      <w:r w:rsidR="00F22F94">
        <w:rPr>
          <w:b/>
          <w:sz w:val="18"/>
        </w:rPr>
        <w:t>Infrastructure</w:t>
      </w:r>
      <w:r w:rsidR="00F22F94">
        <w:rPr>
          <w:b/>
          <w:spacing w:val="-15"/>
          <w:sz w:val="18"/>
        </w:rPr>
        <w:t xml:space="preserve"> </w:t>
      </w:r>
      <w:r w:rsidR="00F22F94">
        <w:rPr>
          <w:b/>
          <w:sz w:val="18"/>
        </w:rPr>
        <w:t>Strategy:</w:t>
      </w:r>
      <w:r w:rsidR="00F22F94">
        <w:rPr>
          <w:b/>
          <w:spacing w:val="-16"/>
          <w:sz w:val="18"/>
        </w:rPr>
        <w:t xml:space="preserve"> </w:t>
      </w:r>
      <w:r w:rsidR="00F22F94">
        <w:rPr>
          <w:b/>
          <w:spacing w:val="-2"/>
          <w:sz w:val="18"/>
        </w:rPr>
        <w:t>Methodology</w:t>
      </w:r>
    </w:p>
    <w:p w:rsidR="002C1123" w:rsidRDefault="00F22F94">
      <w:pPr>
        <w:pStyle w:val="Heading6"/>
        <w:spacing w:before="129"/>
        <w:ind w:left="226"/>
      </w:pPr>
      <w:r>
        <w:rPr>
          <w:b w:val="0"/>
        </w:rPr>
        <w:br w:type="column"/>
      </w:r>
      <w:r>
        <w:t>Incremental</w:t>
      </w:r>
      <w:r>
        <w:rPr>
          <w:spacing w:val="-9"/>
        </w:rPr>
        <w:t xml:space="preserve"> </w:t>
      </w:r>
      <w:r>
        <w:rPr>
          <w:spacing w:val="-2"/>
        </w:rPr>
        <w:t>improvement</w:t>
      </w:r>
    </w:p>
    <w:p w:rsidR="002C1123" w:rsidRDefault="00F22F94">
      <w:pPr>
        <w:pStyle w:val="BodyText"/>
        <w:spacing w:before="10" w:line="249" w:lineRule="auto"/>
        <w:ind w:left="222" w:firstLine="2"/>
      </w:pPr>
      <w:r>
        <w:t>Incremental</w:t>
      </w:r>
      <w:r>
        <w:rPr>
          <w:spacing w:val="-13"/>
        </w:rPr>
        <w:t xml:space="preserve"> </w:t>
      </w:r>
      <w:r>
        <w:t>improvement</w:t>
      </w:r>
      <w:r>
        <w:rPr>
          <w:spacing w:val="-13"/>
        </w:rPr>
        <w:t xml:space="preserve"> </w:t>
      </w:r>
      <w:r>
        <w:t>can</w:t>
      </w:r>
      <w:r>
        <w:rPr>
          <w:spacing w:val="-13"/>
        </w:rPr>
        <w:t xml:space="preserve"> </w:t>
      </w:r>
      <w:r>
        <w:t>address</w:t>
      </w:r>
      <w:r>
        <w:rPr>
          <w:spacing w:val="-13"/>
        </w:rPr>
        <w:t xml:space="preserve"> </w:t>
      </w:r>
      <w:r>
        <w:t xml:space="preserve">infrastructure </w:t>
      </w:r>
      <w:r>
        <w:rPr>
          <w:w w:val="95"/>
        </w:rPr>
        <w:t xml:space="preserve">problems more quickly and cost effectively than one-off </w:t>
      </w:r>
      <w:r>
        <w:t>major</w:t>
      </w:r>
      <w:r>
        <w:rPr>
          <w:spacing w:val="-7"/>
        </w:rPr>
        <w:t xml:space="preserve"> </w:t>
      </w:r>
      <w:r>
        <w:t>and</w:t>
      </w:r>
      <w:r>
        <w:rPr>
          <w:spacing w:val="-7"/>
        </w:rPr>
        <w:t xml:space="preserve"> </w:t>
      </w:r>
      <w:r>
        <w:t>mega</w:t>
      </w:r>
      <w:r>
        <w:rPr>
          <w:spacing w:val="-7"/>
        </w:rPr>
        <w:t xml:space="preserve"> </w:t>
      </w:r>
      <w:r>
        <w:t>projects,</w:t>
      </w:r>
      <w:r>
        <w:rPr>
          <w:spacing w:val="-7"/>
        </w:rPr>
        <w:t xml:space="preserve"> </w:t>
      </w:r>
      <w:r>
        <w:t>and</w:t>
      </w:r>
      <w:r>
        <w:rPr>
          <w:spacing w:val="-7"/>
        </w:rPr>
        <w:t xml:space="preserve"> </w:t>
      </w:r>
      <w:r>
        <w:t>should</w:t>
      </w:r>
      <w:r>
        <w:rPr>
          <w:spacing w:val="-7"/>
        </w:rPr>
        <w:t xml:space="preserve"> </w:t>
      </w:r>
      <w:r>
        <w:t>be</w:t>
      </w:r>
      <w:r>
        <w:rPr>
          <w:spacing w:val="-7"/>
        </w:rPr>
        <w:t xml:space="preserve"> </w:t>
      </w:r>
      <w:r>
        <w:t>thoroughly considered</w:t>
      </w:r>
      <w:r>
        <w:rPr>
          <w:spacing w:val="-12"/>
        </w:rPr>
        <w:t xml:space="preserve"> </w:t>
      </w:r>
      <w:r>
        <w:t>first</w:t>
      </w:r>
      <w:r>
        <w:rPr>
          <w:spacing w:val="-12"/>
        </w:rPr>
        <w:t xml:space="preserve"> </w:t>
      </w:r>
      <w:r>
        <w:t>to</w:t>
      </w:r>
      <w:r>
        <w:rPr>
          <w:spacing w:val="-12"/>
        </w:rPr>
        <w:t xml:space="preserve"> </w:t>
      </w:r>
      <w:r>
        <w:t>resolve</w:t>
      </w:r>
      <w:r>
        <w:rPr>
          <w:spacing w:val="-12"/>
        </w:rPr>
        <w:t xml:space="preserve"> </w:t>
      </w:r>
      <w:r>
        <w:t>problems.</w:t>
      </w:r>
      <w:r>
        <w:rPr>
          <w:spacing w:val="-12"/>
        </w:rPr>
        <w:t xml:space="preserve"> </w:t>
      </w:r>
      <w:r>
        <w:t>Major</w:t>
      </w:r>
      <w:r>
        <w:rPr>
          <w:spacing w:val="-12"/>
        </w:rPr>
        <w:t xml:space="preserve"> </w:t>
      </w:r>
      <w:r>
        <w:t>projects,</w:t>
      </w:r>
      <w:r>
        <w:rPr>
          <w:spacing w:val="-12"/>
        </w:rPr>
        <w:t xml:space="preserve"> </w:t>
      </w:r>
      <w:r>
        <w:t xml:space="preserve">if </w:t>
      </w:r>
      <w:r>
        <w:rPr>
          <w:w w:val="95"/>
        </w:rPr>
        <w:t>shown</w:t>
      </w:r>
      <w:r>
        <w:rPr>
          <w:spacing w:val="-1"/>
          <w:w w:val="95"/>
        </w:rPr>
        <w:t xml:space="preserve"> </w:t>
      </w:r>
      <w:r>
        <w:rPr>
          <w:w w:val="95"/>
        </w:rPr>
        <w:t>to</w:t>
      </w:r>
      <w:r>
        <w:rPr>
          <w:spacing w:val="-1"/>
          <w:w w:val="95"/>
        </w:rPr>
        <w:t xml:space="preserve"> </w:t>
      </w:r>
      <w:r>
        <w:rPr>
          <w:w w:val="95"/>
        </w:rPr>
        <w:t>be</w:t>
      </w:r>
      <w:r>
        <w:rPr>
          <w:spacing w:val="-1"/>
          <w:w w:val="95"/>
        </w:rPr>
        <w:t xml:space="preserve"> </w:t>
      </w:r>
      <w:r>
        <w:rPr>
          <w:w w:val="95"/>
        </w:rPr>
        <w:t>necessary</w:t>
      </w:r>
      <w:r>
        <w:rPr>
          <w:spacing w:val="-1"/>
          <w:w w:val="95"/>
        </w:rPr>
        <w:t xml:space="preserve"> </w:t>
      </w:r>
      <w:r>
        <w:rPr>
          <w:w w:val="95"/>
        </w:rPr>
        <w:t>and</w:t>
      </w:r>
      <w:r>
        <w:rPr>
          <w:spacing w:val="-1"/>
          <w:w w:val="95"/>
        </w:rPr>
        <w:t xml:space="preserve"> </w:t>
      </w:r>
      <w:r>
        <w:rPr>
          <w:w w:val="95"/>
        </w:rPr>
        <w:t>cost</w:t>
      </w:r>
      <w:r>
        <w:rPr>
          <w:spacing w:val="-1"/>
          <w:w w:val="95"/>
        </w:rPr>
        <w:t xml:space="preserve"> </w:t>
      </w:r>
      <w:r>
        <w:rPr>
          <w:w w:val="95"/>
        </w:rPr>
        <w:t>effective,</w:t>
      </w:r>
      <w:r>
        <w:rPr>
          <w:spacing w:val="-1"/>
          <w:w w:val="95"/>
        </w:rPr>
        <w:t xml:space="preserve"> </w:t>
      </w:r>
      <w:r>
        <w:rPr>
          <w:w w:val="95"/>
        </w:rPr>
        <w:t>should</w:t>
      </w:r>
      <w:r>
        <w:rPr>
          <w:spacing w:val="-1"/>
          <w:w w:val="95"/>
        </w:rPr>
        <w:t xml:space="preserve"> </w:t>
      </w:r>
      <w:r>
        <w:rPr>
          <w:w w:val="95"/>
        </w:rPr>
        <w:t>be</w:t>
      </w:r>
      <w:r>
        <w:rPr>
          <w:spacing w:val="-1"/>
          <w:w w:val="95"/>
        </w:rPr>
        <w:t xml:space="preserve"> </w:t>
      </w:r>
      <w:r>
        <w:rPr>
          <w:w w:val="95"/>
        </w:rPr>
        <w:t xml:space="preserve">the </w:t>
      </w:r>
      <w:r>
        <w:t>second</w:t>
      </w:r>
      <w:r>
        <w:rPr>
          <w:spacing w:val="-8"/>
        </w:rPr>
        <w:t xml:space="preserve"> </w:t>
      </w:r>
      <w:r>
        <w:t>option</w:t>
      </w:r>
      <w:r>
        <w:rPr>
          <w:spacing w:val="-8"/>
        </w:rPr>
        <w:t xml:space="preserve"> </w:t>
      </w:r>
      <w:r>
        <w:t>considered.</w:t>
      </w:r>
      <w:r>
        <w:rPr>
          <w:spacing w:val="-8"/>
        </w:rPr>
        <w:t xml:space="preserve"> </w:t>
      </w:r>
      <w:r>
        <w:t>Incremental</w:t>
      </w:r>
      <w:r>
        <w:rPr>
          <w:spacing w:val="-8"/>
        </w:rPr>
        <w:t xml:space="preserve"> </w:t>
      </w:r>
      <w:r>
        <w:t xml:space="preserve">improvements </w:t>
      </w:r>
      <w:r>
        <w:rPr>
          <w:w w:val="95"/>
        </w:rPr>
        <w:t xml:space="preserve">include operational and economic reforms that increase </w:t>
      </w:r>
      <w:r>
        <w:t>the</w:t>
      </w:r>
      <w:r>
        <w:rPr>
          <w:spacing w:val="-5"/>
        </w:rPr>
        <w:t xml:space="preserve"> </w:t>
      </w:r>
      <w:r>
        <w:t>utilisation</w:t>
      </w:r>
      <w:r>
        <w:rPr>
          <w:spacing w:val="-5"/>
        </w:rPr>
        <w:t xml:space="preserve"> </w:t>
      </w:r>
      <w:r>
        <w:t>of</w:t>
      </w:r>
      <w:r>
        <w:rPr>
          <w:spacing w:val="-5"/>
        </w:rPr>
        <w:t xml:space="preserve"> </w:t>
      </w:r>
      <w:r>
        <w:t>existing</w:t>
      </w:r>
      <w:r>
        <w:rPr>
          <w:spacing w:val="-5"/>
        </w:rPr>
        <w:t xml:space="preserve"> </w:t>
      </w:r>
      <w:r>
        <w:t>assets.</w:t>
      </w:r>
    </w:p>
    <w:p w:rsidR="002C1123" w:rsidRDefault="00F22F94">
      <w:pPr>
        <w:pStyle w:val="Heading6"/>
        <w:spacing w:before="148"/>
        <w:ind w:left="226"/>
      </w:pPr>
      <w:r>
        <w:rPr>
          <w:w w:val="95"/>
        </w:rPr>
        <w:t>Investing</w:t>
      </w:r>
      <w:r>
        <w:rPr>
          <w:spacing w:val="6"/>
        </w:rPr>
        <w:t xml:space="preserve"> </w:t>
      </w:r>
      <w:r>
        <w:rPr>
          <w:w w:val="95"/>
        </w:rPr>
        <w:t>in</w:t>
      </w:r>
      <w:r>
        <w:rPr>
          <w:spacing w:val="7"/>
        </w:rPr>
        <w:t xml:space="preserve"> </w:t>
      </w:r>
      <w:r>
        <w:rPr>
          <w:w w:val="95"/>
        </w:rPr>
        <w:t>NSW’s</w:t>
      </w:r>
      <w:r>
        <w:rPr>
          <w:spacing w:val="6"/>
        </w:rPr>
        <w:t xml:space="preserve"> </w:t>
      </w:r>
      <w:r>
        <w:rPr>
          <w:spacing w:val="-2"/>
          <w:w w:val="95"/>
        </w:rPr>
        <w:t>strengths</w:t>
      </w:r>
    </w:p>
    <w:p w:rsidR="002C1123" w:rsidRDefault="00F22F94">
      <w:pPr>
        <w:pStyle w:val="BodyText"/>
        <w:spacing w:before="10" w:line="249" w:lineRule="auto"/>
        <w:ind w:left="225" w:right="129" w:hanging="22"/>
      </w:pPr>
      <w:r>
        <w:t>The</w:t>
      </w:r>
      <w:r>
        <w:rPr>
          <w:spacing w:val="-12"/>
        </w:rPr>
        <w:t xml:space="preserve"> </w:t>
      </w:r>
      <w:r>
        <w:t>priority</w:t>
      </w:r>
      <w:r>
        <w:rPr>
          <w:spacing w:val="-12"/>
        </w:rPr>
        <w:t xml:space="preserve"> </w:t>
      </w:r>
      <w:r>
        <w:t>is</w:t>
      </w:r>
      <w:r>
        <w:rPr>
          <w:spacing w:val="-12"/>
        </w:rPr>
        <w:t xml:space="preserve"> </w:t>
      </w:r>
      <w:r>
        <w:t>those</w:t>
      </w:r>
      <w:r>
        <w:rPr>
          <w:spacing w:val="-12"/>
        </w:rPr>
        <w:t xml:space="preserve"> </w:t>
      </w:r>
      <w:r>
        <w:t>regions</w:t>
      </w:r>
      <w:r>
        <w:rPr>
          <w:spacing w:val="-12"/>
        </w:rPr>
        <w:t xml:space="preserve"> </w:t>
      </w:r>
      <w:r>
        <w:t>of</w:t>
      </w:r>
      <w:r>
        <w:rPr>
          <w:spacing w:val="-12"/>
        </w:rPr>
        <w:t xml:space="preserve"> </w:t>
      </w:r>
      <w:r>
        <w:t>NSW</w:t>
      </w:r>
      <w:r>
        <w:rPr>
          <w:spacing w:val="-12"/>
        </w:rPr>
        <w:t xml:space="preserve"> </w:t>
      </w:r>
      <w:r>
        <w:t>and</w:t>
      </w:r>
      <w:r>
        <w:rPr>
          <w:spacing w:val="-12"/>
        </w:rPr>
        <w:t xml:space="preserve"> </w:t>
      </w:r>
      <w:r>
        <w:t>sectors</w:t>
      </w:r>
      <w:r>
        <w:rPr>
          <w:spacing w:val="-12"/>
        </w:rPr>
        <w:t xml:space="preserve"> </w:t>
      </w:r>
      <w:r>
        <w:t xml:space="preserve">of </w:t>
      </w:r>
      <w:r>
        <w:rPr>
          <w:w w:val="95"/>
        </w:rPr>
        <w:t>the economy with the highest growth potential, which are</w:t>
      </w:r>
      <w:r>
        <w:rPr>
          <w:spacing w:val="-3"/>
          <w:w w:val="95"/>
        </w:rPr>
        <w:t xml:space="preserve"> </w:t>
      </w:r>
      <w:r>
        <w:rPr>
          <w:w w:val="95"/>
        </w:rPr>
        <w:t>constrained</w:t>
      </w:r>
      <w:r>
        <w:rPr>
          <w:spacing w:val="-3"/>
          <w:w w:val="95"/>
        </w:rPr>
        <w:t xml:space="preserve"> </w:t>
      </w:r>
      <w:r>
        <w:rPr>
          <w:w w:val="95"/>
        </w:rPr>
        <w:t>by</w:t>
      </w:r>
      <w:r>
        <w:rPr>
          <w:spacing w:val="-3"/>
          <w:w w:val="95"/>
        </w:rPr>
        <w:t xml:space="preserve"> </w:t>
      </w:r>
      <w:r>
        <w:rPr>
          <w:w w:val="95"/>
        </w:rPr>
        <w:t>inadequate</w:t>
      </w:r>
      <w:r>
        <w:rPr>
          <w:spacing w:val="-3"/>
          <w:w w:val="95"/>
        </w:rPr>
        <w:t xml:space="preserve"> </w:t>
      </w:r>
      <w:r>
        <w:rPr>
          <w:w w:val="95"/>
        </w:rPr>
        <w:t>infrastructure</w:t>
      </w:r>
      <w:r>
        <w:rPr>
          <w:spacing w:val="-3"/>
          <w:w w:val="95"/>
        </w:rPr>
        <w:t xml:space="preserve"> </w:t>
      </w:r>
      <w:r>
        <w:rPr>
          <w:w w:val="95"/>
        </w:rPr>
        <w:t>capacity.</w:t>
      </w:r>
    </w:p>
    <w:p w:rsidR="002C1123" w:rsidRDefault="00F22F94">
      <w:pPr>
        <w:pStyle w:val="BodyText"/>
        <w:spacing w:before="3" w:line="249" w:lineRule="auto"/>
        <w:ind w:left="222" w:firstLine="1"/>
      </w:pPr>
      <w:r>
        <w:rPr>
          <w:w w:val="95"/>
        </w:rPr>
        <w:t>Speculative infrastructure investment on the promise of creating</w:t>
      </w:r>
      <w:r>
        <w:rPr>
          <w:spacing w:val="-3"/>
          <w:w w:val="95"/>
        </w:rPr>
        <w:t xml:space="preserve"> </w:t>
      </w:r>
      <w:r>
        <w:rPr>
          <w:w w:val="95"/>
        </w:rPr>
        <w:t>growth</w:t>
      </w:r>
      <w:r>
        <w:rPr>
          <w:spacing w:val="-3"/>
          <w:w w:val="95"/>
        </w:rPr>
        <w:t xml:space="preserve"> </w:t>
      </w:r>
      <w:r>
        <w:rPr>
          <w:w w:val="95"/>
        </w:rPr>
        <w:t>has</w:t>
      </w:r>
      <w:r>
        <w:rPr>
          <w:spacing w:val="-3"/>
          <w:w w:val="95"/>
        </w:rPr>
        <w:t xml:space="preserve"> </w:t>
      </w:r>
      <w:r>
        <w:rPr>
          <w:w w:val="95"/>
        </w:rPr>
        <w:t>often</w:t>
      </w:r>
      <w:r>
        <w:rPr>
          <w:spacing w:val="-3"/>
          <w:w w:val="95"/>
        </w:rPr>
        <w:t xml:space="preserve"> </w:t>
      </w:r>
      <w:r>
        <w:rPr>
          <w:w w:val="95"/>
        </w:rPr>
        <w:t>led</w:t>
      </w:r>
      <w:r>
        <w:rPr>
          <w:spacing w:val="-3"/>
          <w:w w:val="95"/>
        </w:rPr>
        <w:t xml:space="preserve"> </w:t>
      </w:r>
      <w:r>
        <w:rPr>
          <w:w w:val="95"/>
        </w:rPr>
        <w:t>to</w:t>
      </w:r>
      <w:r>
        <w:rPr>
          <w:spacing w:val="-3"/>
          <w:w w:val="95"/>
        </w:rPr>
        <w:t xml:space="preserve"> </w:t>
      </w:r>
      <w:r>
        <w:rPr>
          <w:w w:val="95"/>
        </w:rPr>
        <w:t>waste,</w:t>
      </w:r>
      <w:r>
        <w:rPr>
          <w:spacing w:val="-3"/>
          <w:w w:val="95"/>
        </w:rPr>
        <w:t xml:space="preserve"> </w:t>
      </w:r>
      <w:r>
        <w:rPr>
          <w:w w:val="95"/>
        </w:rPr>
        <w:t>not</w:t>
      </w:r>
      <w:r>
        <w:rPr>
          <w:spacing w:val="-3"/>
          <w:w w:val="95"/>
        </w:rPr>
        <w:t xml:space="preserve"> </w:t>
      </w:r>
      <w:r>
        <w:rPr>
          <w:w w:val="95"/>
        </w:rPr>
        <w:t xml:space="preserve">regeneration, </w:t>
      </w:r>
      <w:r>
        <w:t>and should be avoided.</w:t>
      </w:r>
    </w:p>
    <w:p w:rsidR="002C1123" w:rsidRDefault="00F22F94">
      <w:pPr>
        <w:pStyle w:val="Heading6"/>
        <w:spacing w:before="129"/>
        <w:ind w:left="218"/>
      </w:pPr>
      <w:r>
        <w:rPr>
          <w:b w:val="0"/>
        </w:rPr>
        <w:br w:type="column"/>
      </w:r>
      <w:r>
        <w:rPr>
          <w:spacing w:val="-2"/>
        </w:rPr>
        <w:t>Affordability</w:t>
      </w:r>
      <w:r>
        <w:rPr>
          <w:spacing w:val="-7"/>
        </w:rPr>
        <w:t xml:space="preserve"> </w:t>
      </w:r>
      <w:r>
        <w:rPr>
          <w:spacing w:val="-2"/>
        </w:rPr>
        <w:t>and</w:t>
      </w:r>
      <w:r>
        <w:rPr>
          <w:spacing w:val="-6"/>
        </w:rPr>
        <w:t xml:space="preserve"> </w:t>
      </w:r>
      <w:r>
        <w:rPr>
          <w:spacing w:val="-2"/>
        </w:rPr>
        <w:t>fiscal</w:t>
      </w:r>
      <w:r>
        <w:rPr>
          <w:spacing w:val="-7"/>
        </w:rPr>
        <w:t xml:space="preserve"> </w:t>
      </w:r>
      <w:r>
        <w:rPr>
          <w:spacing w:val="-2"/>
        </w:rPr>
        <w:t>sustainability</w:t>
      </w:r>
    </w:p>
    <w:p w:rsidR="002C1123" w:rsidRDefault="00F22F94">
      <w:pPr>
        <w:pStyle w:val="BodyText"/>
        <w:spacing w:before="10" w:line="249" w:lineRule="auto"/>
        <w:ind w:left="233" w:right="1038" w:hanging="26"/>
      </w:pPr>
      <w:r>
        <w:rPr>
          <w:w w:val="95"/>
        </w:rPr>
        <w:t>To be capable of being delivered the Strategy must be</w:t>
      </w:r>
      <w:r>
        <w:rPr>
          <w:spacing w:val="-7"/>
          <w:w w:val="95"/>
        </w:rPr>
        <w:t xml:space="preserve"> </w:t>
      </w:r>
      <w:r>
        <w:rPr>
          <w:w w:val="95"/>
        </w:rPr>
        <w:t>affordable</w:t>
      </w:r>
      <w:r>
        <w:rPr>
          <w:spacing w:val="-7"/>
          <w:w w:val="95"/>
        </w:rPr>
        <w:t xml:space="preserve"> </w:t>
      </w:r>
      <w:r>
        <w:rPr>
          <w:w w:val="95"/>
        </w:rPr>
        <w:t>and</w:t>
      </w:r>
      <w:r>
        <w:rPr>
          <w:spacing w:val="-7"/>
          <w:w w:val="95"/>
        </w:rPr>
        <w:t xml:space="preserve"> </w:t>
      </w:r>
      <w:r>
        <w:rPr>
          <w:w w:val="95"/>
        </w:rPr>
        <w:t>realistic.</w:t>
      </w:r>
      <w:r>
        <w:rPr>
          <w:spacing w:val="-7"/>
          <w:w w:val="95"/>
        </w:rPr>
        <w:t xml:space="preserve"> </w:t>
      </w:r>
      <w:r>
        <w:rPr>
          <w:w w:val="95"/>
        </w:rPr>
        <w:t>Rigorous</w:t>
      </w:r>
      <w:r>
        <w:rPr>
          <w:spacing w:val="-7"/>
          <w:w w:val="95"/>
        </w:rPr>
        <w:t xml:space="preserve"> </w:t>
      </w:r>
      <w:r>
        <w:rPr>
          <w:w w:val="95"/>
        </w:rPr>
        <w:t>prioritisation</w:t>
      </w:r>
      <w:r>
        <w:rPr>
          <w:spacing w:val="-7"/>
          <w:w w:val="95"/>
        </w:rPr>
        <w:t xml:space="preserve"> </w:t>
      </w:r>
      <w:r>
        <w:rPr>
          <w:w w:val="95"/>
        </w:rPr>
        <w:t>of</w:t>
      </w:r>
    </w:p>
    <w:p w:rsidR="002C1123" w:rsidRDefault="00F22F94">
      <w:pPr>
        <w:pStyle w:val="BodyText"/>
        <w:spacing w:before="2" w:line="249" w:lineRule="auto"/>
        <w:ind w:left="233" w:right="759" w:hanging="1"/>
      </w:pPr>
      <w:r>
        <w:rPr>
          <w:spacing w:val="-2"/>
        </w:rPr>
        <w:t>infrastructure</w:t>
      </w:r>
      <w:r>
        <w:rPr>
          <w:spacing w:val="-5"/>
        </w:rPr>
        <w:t xml:space="preserve"> </w:t>
      </w:r>
      <w:r>
        <w:rPr>
          <w:spacing w:val="-2"/>
        </w:rPr>
        <w:t>investment</w:t>
      </w:r>
      <w:r>
        <w:rPr>
          <w:spacing w:val="-5"/>
        </w:rPr>
        <w:t xml:space="preserve"> </w:t>
      </w:r>
      <w:r>
        <w:rPr>
          <w:spacing w:val="-2"/>
        </w:rPr>
        <w:t>ensures</w:t>
      </w:r>
      <w:r>
        <w:rPr>
          <w:spacing w:val="-5"/>
        </w:rPr>
        <w:t xml:space="preserve"> </w:t>
      </w:r>
      <w:r>
        <w:rPr>
          <w:spacing w:val="-2"/>
        </w:rPr>
        <w:t>that</w:t>
      </w:r>
      <w:r>
        <w:rPr>
          <w:spacing w:val="-5"/>
        </w:rPr>
        <w:t xml:space="preserve"> </w:t>
      </w:r>
      <w:r>
        <w:rPr>
          <w:spacing w:val="-2"/>
        </w:rPr>
        <w:t>the</w:t>
      </w:r>
      <w:r>
        <w:rPr>
          <w:spacing w:val="-5"/>
        </w:rPr>
        <w:t xml:space="preserve"> </w:t>
      </w:r>
      <w:r>
        <w:rPr>
          <w:spacing w:val="-2"/>
        </w:rPr>
        <w:t>projects</w:t>
      </w:r>
      <w:r>
        <w:rPr>
          <w:spacing w:val="-5"/>
        </w:rPr>
        <w:t xml:space="preserve"> </w:t>
      </w:r>
      <w:r>
        <w:rPr>
          <w:spacing w:val="-2"/>
        </w:rPr>
        <w:t xml:space="preserve">and </w:t>
      </w:r>
      <w:r>
        <w:rPr>
          <w:w w:val="95"/>
        </w:rPr>
        <w:t xml:space="preserve">reforms recommended deliver strong positive economic </w:t>
      </w:r>
      <w:r>
        <w:t>returns to NSW.</w:t>
      </w:r>
    </w:p>
    <w:p w:rsidR="002C1123" w:rsidRDefault="00F22F94">
      <w:pPr>
        <w:pStyle w:val="Heading6"/>
        <w:numPr>
          <w:ilvl w:val="2"/>
          <w:numId w:val="172"/>
        </w:numPr>
        <w:tabs>
          <w:tab w:val="left" w:pos="698"/>
        </w:tabs>
        <w:spacing w:before="144"/>
        <w:ind w:left="697" w:hanging="487"/>
        <w:jc w:val="left"/>
      </w:pPr>
      <w:r>
        <w:rPr>
          <w:color w:val="EC008C"/>
          <w:spacing w:val="-2"/>
        </w:rPr>
        <w:t>Analysis</w:t>
      </w:r>
    </w:p>
    <w:p w:rsidR="002C1123" w:rsidRDefault="00F22F94">
      <w:pPr>
        <w:pStyle w:val="BodyText"/>
        <w:spacing w:before="95" w:line="249" w:lineRule="auto"/>
        <w:ind w:left="229" w:right="759"/>
      </w:pPr>
      <w:r>
        <w:rPr>
          <w:w w:val="95"/>
        </w:rPr>
        <w:t>Infrastructure</w:t>
      </w:r>
      <w:r>
        <w:rPr>
          <w:spacing w:val="-10"/>
          <w:w w:val="95"/>
        </w:rPr>
        <w:t xml:space="preserve"> </w:t>
      </w:r>
      <w:r>
        <w:rPr>
          <w:w w:val="95"/>
        </w:rPr>
        <w:t>NSW</w:t>
      </w:r>
      <w:r>
        <w:rPr>
          <w:spacing w:val="-10"/>
          <w:w w:val="95"/>
        </w:rPr>
        <w:t xml:space="preserve"> </w:t>
      </w:r>
      <w:r>
        <w:rPr>
          <w:w w:val="95"/>
        </w:rPr>
        <w:t>is</w:t>
      </w:r>
      <w:r>
        <w:rPr>
          <w:spacing w:val="-10"/>
          <w:w w:val="95"/>
        </w:rPr>
        <w:t xml:space="preserve"> </w:t>
      </w:r>
      <w:r>
        <w:rPr>
          <w:w w:val="95"/>
        </w:rPr>
        <w:t>required</w:t>
      </w:r>
      <w:r>
        <w:rPr>
          <w:spacing w:val="-10"/>
          <w:w w:val="95"/>
        </w:rPr>
        <w:t xml:space="preserve"> </w:t>
      </w:r>
      <w:r>
        <w:rPr>
          <w:w w:val="95"/>
        </w:rPr>
        <w:t>to</w:t>
      </w:r>
      <w:r>
        <w:rPr>
          <w:spacing w:val="-10"/>
          <w:w w:val="95"/>
        </w:rPr>
        <w:t xml:space="preserve"> </w:t>
      </w:r>
      <w:r>
        <w:rPr>
          <w:w w:val="95"/>
        </w:rPr>
        <w:t>analyse</w:t>
      </w:r>
      <w:r>
        <w:rPr>
          <w:spacing w:val="-10"/>
          <w:w w:val="95"/>
        </w:rPr>
        <w:t xml:space="preserve"> </w:t>
      </w:r>
      <w:r>
        <w:rPr>
          <w:w w:val="95"/>
        </w:rPr>
        <w:t>the</w:t>
      </w:r>
      <w:r>
        <w:rPr>
          <w:spacing w:val="-10"/>
          <w:w w:val="95"/>
        </w:rPr>
        <w:t xml:space="preserve"> </w:t>
      </w:r>
      <w:r>
        <w:rPr>
          <w:w w:val="95"/>
        </w:rPr>
        <w:t xml:space="preserve">challenges </w:t>
      </w:r>
      <w:r>
        <w:t>and</w:t>
      </w:r>
      <w:r>
        <w:rPr>
          <w:spacing w:val="-14"/>
        </w:rPr>
        <w:t xml:space="preserve"> </w:t>
      </w:r>
      <w:r>
        <w:t>gaps</w:t>
      </w:r>
      <w:r>
        <w:rPr>
          <w:spacing w:val="-14"/>
        </w:rPr>
        <w:t xml:space="preserve"> </w:t>
      </w:r>
      <w:r>
        <w:t>confronting</w:t>
      </w:r>
      <w:r>
        <w:rPr>
          <w:spacing w:val="-14"/>
        </w:rPr>
        <w:t xml:space="preserve"> </w:t>
      </w:r>
      <w:r>
        <w:t>infrastructure</w:t>
      </w:r>
      <w:r>
        <w:rPr>
          <w:spacing w:val="-14"/>
        </w:rPr>
        <w:t xml:space="preserve"> </w:t>
      </w:r>
      <w:r>
        <w:t>in</w:t>
      </w:r>
      <w:r>
        <w:rPr>
          <w:spacing w:val="-14"/>
        </w:rPr>
        <w:t xml:space="preserve"> </w:t>
      </w:r>
      <w:r>
        <w:t>NSW.</w:t>
      </w:r>
      <w:r>
        <w:rPr>
          <w:spacing w:val="-14"/>
        </w:rPr>
        <w:t xml:space="preserve"> </w:t>
      </w:r>
      <w:r>
        <w:t>This</w:t>
      </w:r>
      <w:r>
        <w:rPr>
          <w:spacing w:val="-14"/>
        </w:rPr>
        <w:t xml:space="preserve"> </w:t>
      </w:r>
      <w:r>
        <w:t>is discussed in Sections 2 – 5.</w:t>
      </w:r>
    </w:p>
    <w:p w:rsidR="002C1123" w:rsidRDefault="00F22F94">
      <w:pPr>
        <w:pStyle w:val="BodyText"/>
        <w:spacing w:before="144" w:line="249" w:lineRule="auto"/>
        <w:ind w:left="218" w:right="885" w:firstLine="11"/>
      </w:pPr>
      <w:r>
        <w:rPr>
          <w:spacing w:val="-2"/>
        </w:rPr>
        <w:t xml:space="preserve">Infrastructure NSW considered the macro-economic </w:t>
      </w:r>
      <w:r>
        <w:t>challenges</w:t>
      </w:r>
      <w:r>
        <w:rPr>
          <w:spacing w:val="-13"/>
        </w:rPr>
        <w:t xml:space="preserve"> </w:t>
      </w:r>
      <w:r>
        <w:t>and</w:t>
      </w:r>
      <w:r>
        <w:rPr>
          <w:spacing w:val="-13"/>
        </w:rPr>
        <w:t xml:space="preserve"> </w:t>
      </w:r>
      <w:r>
        <w:t>trends:</w:t>
      </w:r>
      <w:r>
        <w:rPr>
          <w:spacing w:val="-13"/>
        </w:rPr>
        <w:t xml:space="preserve"> </w:t>
      </w:r>
      <w:r>
        <w:t>what</w:t>
      </w:r>
      <w:r>
        <w:rPr>
          <w:spacing w:val="-13"/>
        </w:rPr>
        <w:t xml:space="preserve"> </w:t>
      </w:r>
      <w:r>
        <w:t>is</w:t>
      </w:r>
      <w:r>
        <w:rPr>
          <w:spacing w:val="-13"/>
        </w:rPr>
        <w:t xml:space="preserve"> </w:t>
      </w:r>
      <w:r>
        <w:t>the</w:t>
      </w:r>
      <w:r>
        <w:rPr>
          <w:spacing w:val="-13"/>
        </w:rPr>
        <w:t xml:space="preserve"> </w:t>
      </w:r>
      <w:r>
        <w:t>situation</w:t>
      </w:r>
      <w:r>
        <w:rPr>
          <w:spacing w:val="-13"/>
        </w:rPr>
        <w:t xml:space="preserve"> </w:t>
      </w:r>
      <w:r>
        <w:t>today, and</w:t>
      </w:r>
      <w:r>
        <w:rPr>
          <w:spacing w:val="-12"/>
        </w:rPr>
        <w:t xml:space="preserve"> </w:t>
      </w:r>
      <w:r>
        <w:t>how</w:t>
      </w:r>
      <w:r>
        <w:rPr>
          <w:spacing w:val="-12"/>
        </w:rPr>
        <w:t xml:space="preserve"> </w:t>
      </w:r>
      <w:r>
        <w:t>will</w:t>
      </w:r>
      <w:r>
        <w:rPr>
          <w:spacing w:val="-12"/>
        </w:rPr>
        <w:t xml:space="preserve"> </w:t>
      </w:r>
      <w:r>
        <w:t>needs</w:t>
      </w:r>
      <w:r>
        <w:rPr>
          <w:spacing w:val="-12"/>
        </w:rPr>
        <w:t xml:space="preserve"> </w:t>
      </w:r>
      <w:r>
        <w:t>change</w:t>
      </w:r>
      <w:r>
        <w:rPr>
          <w:spacing w:val="-12"/>
        </w:rPr>
        <w:t xml:space="preserve"> </w:t>
      </w:r>
      <w:r>
        <w:t>over</w:t>
      </w:r>
      <w:r>
        <w:rPr>
          <w:spacing w:val="-12"/>
        </w:rPr>
        <w:t xml:space="preserve"> </w:t>
      </w:r>
      <w:r>
        <w:t>the</w:t>
      </w:r>
      <w:r>
        <w:rPr>
          <w:spacing w:val="-12"/>
        </w:rPr>
        <w:t xml:space="preserve"> </w:t>
      </w:r>
      <w:r>
        <w:t>next</w:t>
      </w:r>
      <w:r>
        <w:rPr>
          <w:spacing w:val="-12"/>
        </w:rPr>
        <w:t xml:space="preserve"> </w:t>
      </w:r>
      <w:r>
        <w:t>20</w:t>
      </w:r>
      <w:r>
        <w:rPr>
          <w:spacing w:val="-12"/>
        </w:rPr>
        <w:t xml:space="preserve"> </w:t>
      </w:r>
      <w:r>
        <w:t xml:space="preserve">years? </w:t>
      </w:r>
      <w:r>
        <w:rPr>
          <w:w w:val="95"/>
        </w:rPr>
        <w:t xml:space="preserve">Added to this was a ‘capability assessment’ of today’s </w:t>
      </w:r>
      <w:r>
        <w:t>infrastructure</w:t>
      </w:r>
      <w:r>
        <w:rPr>
          <w:spacing w:val="-5"/>
        </w:rPr>
        <w:t xml:space="preserve"> </w:t>
      </w:r>
      <w:r>
        <w:t>networks,</w:t>
      </w:r>
      <w:r>
        <w:rPr>
          <w:spacing w:val="-5"/>
        </w:rPr>
        <w:t xml:space="preserve"> </w:t>
      </w:r>
      <w:r>
        <w:t>and</w:t>
      </w:r>
      <w:r>
        <w:rPr>
          <w:spacing w:val="-5"/>
        </w:rPr>
        <w:t xml:space="preserve"> </w:t>
      </w:r>
      <w:r>
        <w:t>forward</w:t>
      </w:r>
      <w:r>
        <w:rPr>
          <w:spacing w:val="-5"/>
        </w:rPr>
        <w:t xml:space="preserve"> </w:t>
      </w:r>
      <w:r>
        <w:t>projections</w:t>
      </w:r>
      <w:r>
        <w:rPr>
          <w:spacing w:val="-5"/>
        </w:rPr>
        <w:t xml:space="preserve"> </w:t>
      </w:r>
      <w:r>
        <w:t>of infrastructure demand and economic forecasts.</w:t>
      </w:r>
    </w:p>
    <w:p w:rsidR="002C1123" w:rsidRDefault="00F22F94">
      <w:pPr>
        <w:pStyle w:val="BodyText"/>
        <w:spacing w:before="147" w:line="249" w:lineRule="auto"/>
        <w:ind w:left="227" w:right="773" w:hanging="19"/>
      </w:pPr>
      <w:r>
        <w:rPr>
          <w:w w:val="95"/>
        </w:rPr>
        <w:t>The gap analysis was undertaken for each sector and the</w:t>
      </w:r>
      <w:r>
        <w:rPr>
          <w:spacing w:val="-6"/>
          <w:w w:val="95"/>
        </w:rPr>
        <w:t xml:space="preserve"> </w:t>
      </w:r>
      <w:r>
        <w:rPr>
          <w:w w:val="95"/>
        </w:rPr>
        <w:t>needs</w:t>
      </w:r>
      <w:r>
        <w:rPr>
          <w:spacing w:val="-6"/>
          <w:w w:val="95"/>
        </w:rPr>
        <w:t xml:space="preserve"> </w:t>
      </w:r>
      <w:r>
        <w:rPr>
          <w:w w:val="95"/>
        </w:rPr>
        <w:t>assessed</w:t>
      </w:r>
      <w:r>
        <w:rPr>
          <w:spacing w:val="-6"/>
          <w:w w:val="95"/>
        </w:rPr>
        <w:t xml:space="preserve"> </w:t>
      </w:r>
      <w:r>
        <w:rPr>
          <w:w w:val="95"/>
        </w:rPr>
        <w:t>for</w:t>
      </w:r>
      <w:r>
        <w:rPr>
          <w:spacing w:val="-6"/>
          <w:w w:val="95"/>
        </w:rPr>
        <w:t xml:space="preserve"> </w:t>
      </w:r>
      <w:r>
        <w:rPr>
          <w:w w:val="95"/>
        </w:rPr>
        <w:t>each</w:t>
      </w:r>
      <w:r>
        <w:rPr>
          <w:spacing w:val="-6"/>
          <w:w w:val="95"/>
        </w:rPr>
        <w:t xml:space="preserve"> </w:t>
      </w:r>
      <w:r>
        <w:rPr>
          <w:w w:val="95"/>
        </w:rPr>
        <w:t>of</w:t>
      </w:r>
      <w:r>
        <w:rPr>
          <w:spacing w:val="-6"/>
          <w:w w:val="95"/>
        </w:rPr>
        <w:t xml:space="preserve"> </w:t>
      </w:r>
      <w:r>
        <w:rPr>
          <w:w w:val="95"/>
        </w:rPr>
        <w:t>the</w:t>
      </w:r>
      <w:r>
        <w:rPr>
          <w:spacing w:val="-6"/>
          <w:w w:val="95"/>
        </w:rPr>
        <w:t xml:space="preserve"> </w:t>
      </w:r>
      <w:r>
        <w:rPr>
          <w:w w:val="95"/>
        </w:rPr>
        <w:t>Strategy’s</w:t>
      </w:r>
      <w:r>
        <w:rPr>
          <w:spacing w:val="-6"/>
          <w:w w:val="95"/>
        </w:rPr>
        <w:t xml:space="preserve"> </w:t>
      </w:r>
      <w:r>
        <w:rPr>
          <w:w w:val="95"/>
        </w:rPr>
        <w:t xml:space="preserve">regions: </w:t>
      </w:r>
      <w:r>
        <w:rPr>
          <w:spacing w:val="-2"/>
        </w:rPr>
        <w:t>Global</w:t>
      </w:r>
      <w:r>
        <w:rPr>
          <w:spacing w:val="-12"/>
        </w:rPr>
        <w:t xml:space="preserve"> </w:t>
      </w:r>
      <w:r>
        <w:rPr>
          <w:spacing w:val="-2"/>
        </w:rPr>
        <w:t>Sydney,</w:t>
      </w:r>
      <w:r>
        <w:rPr>
          <w:spacing w:val="-12"/>
        </w:rPr>
        <w:t xml:space="preserve"> </w:t>
      </w:r>
      <w:r>
        <w:rPr>
          <w:spacing w:val="-2"/>
        </w:rPr>
        <w:t>Greater</w:t>
      </w:r>
      <w:r>
        <w:rPr>
          <w:spacing w:val="-12"/>
        </w:rPr>
        <w:t xml:space="preserve"> </w:t>
      </w:r>
      <w:r>
        <w:rPr>
          <w:spacing w:val="-2"/>
        </w:rPr>
        <w:t>Sydney</w:t>
      </w:r>
      <w:r>
        <w:rPr>
          <w:spacing w:val="-12"/>
        </w:rPr>
        <w:t xml:space="preserve"> </w:t>
      </w:r>
      <w:r>
        <w:rPr>
          <w:spacing w:val="-2"/>
        </w:rPr>
        <w:t>and</w:t>
      </w:r>
      <w:r>
        <w:rPr>
          <w:spacing w:val="-12"/>
        </w:rPr>
        <w:t xml:space="preserve"> </w:t>
      </w:r>
      <w:r>
        <w:rPr>
          <w:spacing w:val="-2"/>
        </w:rPr>
        <w:t>Regional</w:t>
      </w:r>
      <w:r>
        <w:rPr>
          <w:spacing w:val="-12"/>
        </w:rPr>
        <w:t xml:space="preserve"> </w:t>
      </w:r>
      <w:r>
        <w:rPr>
          <w:spacing w:val="-2"/>
        </w:rPr>
        <w:t>NSW.</w:t>
      </w:r>
    </w:p>
    <w:p w:rsidR="002C1123" w:rsidRDefault="002060EF">
      <w:pPr>
        <w:pStyle w:val="BodyText"/>
        <w:spacing w:before="144" w:line="249" w:lineRule="auto"/>
        <w:ind w:left="233" w:right="773" w:hanging="25"/>
      </w:pPr>
      <w:r>
        <w:pict>
          <v:shape id="docshape250" o:spid="_x0000_s5049" type="#_x0000_t202" style="position:absolute;left:0;text-align:left;margin-left:49.6pt;margin-top:23.4pt;width:482.95pt;height:122.25pt;z-index:251235328;mso-position-horizontal-relative:page" filled="f" stroked="f">
            <v:textbox inset="0,0,0,0">
              <w:txbxContent>
                <w:tbl>
                  <w:tblPr>
                    <w:tblW w:w="0" w:type="auto"/>
                    <w:tblCellSpacing w:w="38" w:type="dxa"/>
                    <w:tblInd w:w="45" w:type="dxa"/>
                    <w:tblLayout w:type="fixed"/>
                    <w:tblCellMar>
                      <w:left w:w="0" w:type="dxa"/>
                      <w:right w:w="0" w:type="dxa"/>
                    </w:tblCellMar>
                    <w:tblLook w:val="01E0" w:firstRow="1" w:lastRow="1" w:firstColumn="1" w:lastColumn="1" w:noHBand="0" w:noVBand="0"/>
                  </w:tblPr>
                  <w:tblGrid>
                    <w:gridCol w:w="2023"/>
                    <w:gridCol w:w="2023"/>
                    <w:gridCol w:w="2023"/>
                    <w:gridCol w:w="2023"/>
                    <w:gridCol w:w="2023"/>
                  </w:tblGrid>
                  <w:tr w:rsidR="00F22F94">
                    <w:trPr>
                      <w:trHeight w:val="2445"/>
                      <w:tblCellSpacing w:w="38" w:type="dxa"/>
                    </w:trPr>
                    <w:tc>
                      <w:tcPr>
                        <w:tcW w:w="1909" w:type="dxa"/>
                        <w:tcBorders>
                          <w:right w:val="nil"/>
                        </w:tcBorders>
                        <w:shd w:val="clear" w:color="auto" w:fill="E1E0E1"/>
                      </w:tcPr>
                      <w:p w:rsidR="00F22F94" w:rsidRDefault="00F22F94">
                        <w:pPr>
                          <w:pStyle w:val="TableParagraph"/>
                          <w:numPr>
                            <w:ilvl w:val="0"/>
                            <w:numId w:val="152"/>
                          </w:numPr>
                          <w:tabs>
                            <w:tab w:val="left" w:pos="184"/>
                          </w:tabs>
                          <w:spacing w:before="77" w:line="259" w:lineRule="auto"/>
                          <w:ind w:right="902"/>
                          <w:rPr>
                            <w:rFonts w:ascii="Trebuchet MS" w:hAnsi="Trebuchet MS"/>
                            <w:sz w:val="16"/>
                          </w:rPr>
                        </w:pPr>
                        <w:r>
                          <w:rPr>
                            <w:rFonts w:ascii="Trebuchet MS" w:hAnsi="Trebuchet MS"/>
                            <w:spacing w:val="-2"/>
                            <w:w w:val="85"/>
                            <w:sz w:val="16"/>
                          </w:rPr>
                          <w:t>Incremental</w:t>
                        </w:r>
                        <w:r>
                          <w:rPr>
                            <w:rFonts w:ascii="Trebuchet MS" w:hAnsi="Trebuchet MS"/>
                            <w:sz w:val="16"/>
                          </w:rPr>
                          <w:t xml:space="preserve"> </w:t>
                        </w:r>
                        <w:r>
                          <w:rPr>
                            <w:rFonts w:ascii="Trebuchet MS" w:hAnsi="Trebuchet MS"/>
                            <w:spacing w:val="-2"/>
                            <w:w w:val="85"/>
                            <w:sz w:val="16"/>
                          </w:rPr>
                          <w:t>improvement</w:t>
                        </w:r>
                      </w:p>
                      <w:p w:rsidR="00F22F94" w:rsidRDefault="00F22F94">
                        <w:pPr>
                          <w:pStyle w:val="TableParagraph"/>
                          <w:numPr>
                            <w:ilvl w:val="0"/>
                            <w:numId w:val="152"/>
                          </w:numPr>
                          <w:tabs>
                            <w:tab w:val="left" w:pos="184"/>
                          </w:tabs>
                          <w:spacing w:before="13" w:line="259" w:lineRule="auto"/>
                          <w:ind w:right="584"/>
                          <w:rPr>
                            <w:rFonts w:ascii="Trebuchet MS" w:hAnsi="Trebuchet MS"/>
                            <w:sz w:val="16"/>
                          </w:rPr>
                        </w:pPr>
                        <w:r>
                          <w:rPr>
                            <w:rFonts w:ascii="Trebuchet MS" w:hAnsi="Trebuchet MS"/>
                            <w:w w:val="85"/>
                            <w:sz w:val="16"/>
                          </w:rPr>
                          <w:t>Investing</w:t>
                        </w:r>
                        <w:r>
                          <w:rPr>
                            <w:rFonts w:ascii="Trebuchet MS" w:hAnsi="Trebuchet MS"/>
                            <w:spacing w:val="-5"/>
                            <w:w w:val="85"/>
                            <w:sz w:val="16"/>
                          </w:rPr>
                          <w:t xml:space="preserve"> </w:t>
                        </w:r>
                        <w:r>
                          <w:rPr>
                            <w:rFonts w:ascii="Trebuchet MS" w:hAnsi="Trebuchet MS"/>
                            <w:w w:val="85"/>
                            <w:sz w:val="16"/>
                          </w:rPr>
                          <w:t>in</w:t>
                        </w:r>
                        <w:r>
                          <w:rPr>
                            <w:rFonts w:ascii="Trebuchet MS" w:hAnsi="Trebuchet MS"/>
                            <w:spacing w:val="-5"/>
                            <w:w w:val="85"/>
                            <w:sz w:val="16"/>
                          </w:rPr>
                          <w:t xml:space="preserve"> </w:t>
                        </w:r>
                        <w:r>
                          <w:rPr>
                            <w:rFonts w:ascii="Trebuchet MS" w:hAnsi="Trebuchet MS"/>
                            <w:w w:val="85"/>
                            <w:sz w:val="16"/>
                          </w:rPr>
                          <w:t xml:space="preserve">NSW’s </w:t>
                        </w:r>
                        <w:r>
                          <w:rPr>
                            <w:rFonts w:ascii="Trebuchet MS" w:hAnsi="Trebuchet MS"/>
                            <w:spacing w:val="-2"/>
                            <w:w w:val="90"/>
                            <w:sz w:val="16"/>
                          </w:rPr>
                          <w:t>strengths</w:t>
                        </w:r>
                      </w:p>
                      <w:p w:rsidR="00F22F94" w:rsidRDefault="00F22F94">
                        <w:pPr>
                          <w:pStyle w:val="TableParagraph"/>
                          <w:numPr>
                            <w:ilvl w:val="0"/>
                            <w:numId w:val="152"/>
                          </w:numPr>
                          <w:tabs>
                            <w:tab w:val="left" w:pos="184"/>
                          </w:tabs>
                          <w:spacing w:before="13" w:line="259" w:lineRule="auto"/>
                          <w:ind w:right="510"/>
                          <w:rPr>
                            <w:rFonts w:ascii="Trebuchet MS" w:hAnsi="Trebuchet MS"/>
                            <w:sz w:val="16"/>
                          </w:rPr>
                        </w:pPr>
                        <w:r>
                          <w:rPr>
                            <w:rFonts w:ascii="Trebuchet MS" w:hAnsi="Trebuchet MS"/>
                            <w:w w:val="80"/>
                            <w:sz w:val="16"/>
                          </w:rPr>
                          <w:t>Affordability</w:t>
                        </w:r>
                        <w:r>
                          <w:rPr>
                            <w:rFonts w:ascii="Trebuchet MS" w:hAnsi="Trebuchet MS"/>
                            <w:spacing w:val="-4"/>
                            <w:w w:val="80"/>
                            <w:sz w:val="16"/>
                          </w:rPr>
                          <w:t xml:space="preserve"> </w:t>
                        </w:r>
                        <w:r>
                          <w:rPr>
                            <w:rFonts w:ascii="Trebuchet MS" w:hAnsi="Trebuchet MS"/>
                            <w:w w:val="80"/>
                            <w:sz w:val="16"/>
                          </w:rPr>
                          <w:t>&amp;</w:t>
                        </w:r>
                        <w:r>
                          <w:rPr>
                            <w:rFonts w:ascii="Trebuchet MS" w:hAnsi="Trebuchet MS"/>
                            <w:spacing w:val="-3"/>
                            <w:w w:val="80"/>
                            <w:sz w:val="16"/>
                          </w:rPr>
                          <w:t xml:space="preserve"> </w:t>
                        </w:r>
                        <w:r>
                          <w:rPr>
                            <w:rFonts w:ascii="Trebuchet MS" w:hAnsi="Trebuchet MS"/>
                            <w:w w:val="80"/>
                            <w:sz w:val="16"/>
                          </w:rPr>
                          <w:t>fiscal</w:t>
                        </w:r>
                        <w:r>
                          <w:rPr>
                            <w:rFonts w:ascii="Trebuchet MS" w:hAnsi="Trebuchet MS"/>
                            <w:w w:val="85"/>
                            <w:sz w:val="16"/>
                          </w:rPr>
                          <w:t xml:space="preserve"> </w:t>
                        </w:r>
                        <w:r>
                          <w:rPr>
                            <w:rFonts w:ascii="Trebuchet MS" w:hAnsi="Trebuchet MS"/>
                            <w:spacing w:val="-2"/>
                            <w:w w:val="85"/>
                            <w:sz w:val="16"/>
                          </w:rPr>
                          <w:t>responsibility</w:t>
                        </w:r>
                      </w:p>
                    </w:tc>
                    <w:tc>
                      <w:tcPr>
                        <w:tcW w:w="1947" w:type="dxa"/>
                        <w:tcBorders>
                          <w:left w:val="nil"/>
                          <w:right w:val="nil"/>
                        </w:tcBorders>
                        <w:shd w:val="clear" w:color="auto" w:fill="E1E0E1"/>
                      </w:tcPr>
                      <w:p w:rsidR="00F22F94" w:rsidRDefault="00F22F94">
                        <w:pPr>
                          <w:pStyle w:val="TableParagraph"/>
                          <w:numPr>
                            <w:ilvl w:val="0"/>
                            <w:numId w:val="151"/>
                          </w:numPr>
                          <w:tabs>
                            <w:tab w:val="left" w:pos="222"/>
                          </w:tabs>
                          <w:spacing w:before="77" w:line="259" w:lineRule="auto"/>
                          <w:ind w:right="523"/>
                          <w:rPr>
                            <w:rFonts w:ascii="Trebuchet MS" w:hAnsi="Trebuchet MS"/>
                            <w:sz w:val="16"/>
                          </w:rPr>
                        </w:pPr>
                        <w:r>
                          <w:rPr>
                            <w:rFonts w:ascii="Trebuchet MS" w:hAnsi="Trebuchet MS"/>
                            <w:spacing w:val="-2"/>
                            <w:w w:val="90"/>
                            <w:sz w:val="16"/>
                          </w:rPr>
                          <w:t xml:space="preserve">Macro-economic </w:t>
                        </w:r>
                        <w:r>
                          <w:rPr>
                            <w:rFonts w:ascii="Trebuchet MS" w:hAnsi="Trebuchet MS"/>
                            <w:w w:val="85"/>
                            <w:sz w:val="16"/>
                          </w:rPr>
                          <w:t>challenges</w:t>
                        </w:r>
                        <w:r>
                          <w:rPr>
                            <w:rFonts w:ascii="Trebuchet MS" w:hAnsi="Trebuchet MS"/>
                            <w:spacing w:val="-6"/>
                            <w:w w:val="85"/>
                            <w:sz w:val="16"/>
                          </w:rPr>
                          <w:t xml:space="preserve"> </w:t>
                        </w:r>
                        <w:r>
                          <w:rPr>
                            <w:rFonts w:ascii="Trebuchet MS" w:hAnsi="Trebuchet MS"/>
                            <w:w w:val="85"/>
                            <w:sz w:val="16"/>
                          </w:rPr>
                          <w:t>&amp;</w:t>
                        </w:r>
                        <w:r>
                          <w:rPr>
                            <w:rFonts w:ascii="Trebuchet MS" w:hAnsi="Trebuchet MS"/>
                            <w:spacing w:val="-6"/>
                            <w:w w:val="85"/>
                            <w:sz w:val="16"/>
                          </w:rPr>
                          <w:t xml:space="preserve"> </w:t>
                        </w:r>
                        <w:r>
                          <w:rPr>
                            <w:rFonts w:ascii="Trebuchet MS" w:hAnsi="Trebuchet MS"/>
                            <w:w w:val="85"/>
                            <w:sz w:val="16"/>
                          </w:rPr>
                          <w:t>trends</w:t>
                        </w:r>
                      </w:p>
                      <w:p w:rsidR="00F22F94" w:rsidRDefault="00F22F94">
                        <w:pPr>
                          <w:pStyle w:val="TableParagraph"/>
                          <w:numPr>
                            <w:ilvl w:val="0"/>
                            <w:numId w:val="151"/>
                          </w:numPr>
                          <w:tabs>
                            <w:tab w:val="left" w:pos="222"/>
                          </w:tabs>
                          <w:spacing w:before="13"/>
                          <w:rPr>
                            <w:rFonts w:ascii="Trebuchet MS" w:hAnsi="Trebuchet MS"/>
                            <w:sz w:val="16"/>
                          </w:rPr>
                        </w:pPr>
                        <w:r>
                          <w:rPr>
                            <w:rFonts w:ascii="Trebuchet MS" w:hAnsi="Trebuchet MS"/>
                            <w:w w:val="75"/>
                            <w:sz w:val="16"/>
                          </w:rPr>
                          <w:t>Capability</w:t>
                        </w:r>
                        <w:r>
                          <w:rPr>
                            <w:rFonts w:ascii="Trebuchet MS" w:hAnsi="Trebuchet MS"/>
                            <w:spacing w:val="-6"/>
                            <w:w w:val="90"/>
                            <w:sz w:val="16"/>
                          </w:rPr>
                          <w:t xml:space="preserve"> </w:t>
                        </w:r>
                        <w:r>
                          <w:rPr>
                            <w:rFonts w:ascii="Trebuchet MS" w:hAnsi="Trebuchet MS"/>
                            <w:spacing w:val="-2"/>
                            <w:w w:val="90"/>
                            <w:sz w:val="16"/>
                          </w:rPr>
                          <w:t>assessment</w:t>
                        </w:r>
                      </w:p>
                      <w:p w:rsidR="00F22F94" w:rsidRDefault="00F22F94">
                        <w:pPr>
                          <w:pStyle w:val="TableParagraph"/>
                          <w:numPr>
                            <w:ilvl w:val="0"/>
                            <w:numId w:val="151"/>
                          </w:numPr>
                          <w:tabs>
                            <w:tab w:val="left" w:pos="222"/>
                          </w:tabs>
                          <w:spacing w:before="29"/>
                          <w:rPr>
                            <w:rFonts w:ascii="Trebuchet MS" w:hAnsi="Trebuchet MS"/>
                            <w:sz w:val="16"/>
                          </w:rPr>
                        </w:pPr>
                        <w:r>
                          <w:rPr>
                            <w:rFonts w:ascii="Trebuchet MS" w:hAnsi="Trebuchet MS"/>
                            <w:w w:val="75"/>
                            <w:sz w:val="16"/>
                          </w:rPr>
                          <w:t>Gap</w:t>
                        </w:r>
                        <w:r>
                          <w:rPr>
                            <w:rFonts w:ascii="Trebuchet MS" w:hAnsi="Trebuchet MS"/>
                            <w:sz w:val="16"/>
                          </w:rPr>
                          <w:t xml:space="preserve"> </w:t>
                        </w:r>
                        <w:r>
                          <w:rPr>
                            <w:rFonts w:ascii="Trebuchet MS" w:hAnsi="Trebuchet MS"/>
                            <w:spacing w:val="-2"/>
                            <w:w w:val="85"/>
                            <w:sz w:val="16"/>
                          </w:rPr>
                          <w:t>analysis</w:t>
                        </w:r>
                      </w:p>
                    </w:tc>
                    <w:tc>
                      <w:tcPr>
                        <w:tcW w:w="1947" w:type="dxa"/>
                        <w:tcBorders>
                          <w:left w:val="nil"/>
                          <w:right w:val="nil"/>
                        </w:tcBorders>
                        <w:shd w:val="clear" w:color="auto" w:fill="E1E0E1"/>
                      </w:tcPr>
                      <w:p w:rsidR="00F22F94" w:rsidRDefault="00F22F94">
                        <w:pPr>
                          <w:pStyle w:val="TableParagraph"/>
                          <w:numPr>
                            <w:ilvl w:val="0"/>
                            <w:numId w:val="150"/>
                          </w:numPr>
                          <w:tabs>
                            <w:tab w:val="left" w:pos="222"/>
                          </w:tabs>
                          <w:spacing w:before="77"/>
                          <w:rPr>
                            <w:rFonts w:ascii="Trebuchet MS" w:hAnsi="Trebuchet MS"/>
                            <w:sz w:val="16"/>
                          </w:rPr>
                        </w:pPr>
                        <w:r>
                          <w:rPr>
                            <w:rFonts w:ascii="Trebuchet MS" w:hAnsi="Trebuchet MS"/>
                            <w:spacing w:val="-2"/>
                            <w:w w:val="85"/>
                            <w:sz w:val="16"/>
                          </w:rPr>
                          <w:t>Strategic</w:t>
                        </w:r>
                      </w:p>
                      <w:p w:rsidR="00F22F94" w:rsidRDefault="00F22F94">
                        <w:pPr>
                          <w:pStyle w:val="TableParagraph"/>
                          <w:numPr>
                            <w:ilvl w:val="1"/>
                            <w:numId w:val="150"/>
                          </w:numPr>
                          <w:tabs>
                            <w:tab w:val="left" w:pos="342"/>
                          </w:tabs>
                          <w:spacing w:before="29"/>
                          <w:rPr>
                            <w:rFonts w:ascii="Trebuchet MS" w:hAnsi="Trebuchet MS"/>
                            <w:sz w:val="16"/>
                          </w:rPr>
                        </w:pPr>
                        <w:r>
                          <w:rPr>
                            <w:rFonts w:ascii="Trebuchet MS" w:hAnsi="Trebuchet MS"/>
                            <w:spacing w:val="-2"/>
                            <w:w w:val="85"/>
                            <w:sz w:val="16"/>
                          </w:rPr>
                          <w:t>connectivity?</w:t>
                        </w:r>
                      </w:p>
                      <w:p w:rsidR="00F22F94" w:rsidRDefault="00F22F94">
                        <w:pPr>
                          <w:pStyle w:val="TableParagraph"/>
                          <w:numPr>
                            <w:ilvl w:val="1"/>
                            <w:numId w:val="150"/>
                          </w:numPr>
                          <w:tabs>
                            <w:tab w:val="left" w:pos="342"/>
                          </w:tabs>
                          <w:spacing w:before="28"/>
                          <w:rPr>
                            <w:rFonts w:ascii="Trebuchet MS" w:hAnsi="Trebuchet MS"/>
                            <w:sz w:val="16"/>
                          </w:rPr>
                        </w:pPr>
                        <w:r>
                          <w:rPr>
                            <w:rFonts w:ascii="Trebuchet MS" w:hAnsi="Trebuchet MS"/>
                            <w:w w:val="70"/>
                            <w:sz w:val="16"/>
                          </w:rPr>
                          <w:t>a</w:t>
                        </w:r>
                        <w:r>
                          <w:rPr>
                            <w:rFonts w:ascii="Trebuchet MS" w:hAnsi="Trebuchet MS"/>
                            <w:spacing w:val="-3"/>
                            <w:sz w:val="16"/>
                          </w:rPr>
                          <w:t xml:space="preserve"> </w:t>
                        </w:r>
                        <w:r>
                          <w:rPr>
                            <w:rFonts w:ascii="Trebuchet MS" w:hAnsi="Trebuchet MS"/>
                            <w:w w:val="70"/>
                            <w:sz w:val="16"/>
                          </w:rPr>
                          <w:t>better</w:t>
                        </w:r>
                        <w:r>
                          <w:rPr>
                            <w:rFonts w:ascii="Trebuchet MS" w:hAnsi="Trebuchet MS"/>
                            <w:spacing w:val="-3"/>
                            <w:sz w:val="16"/>
                          </w:rPr>
                          <w:t xml:space="preserve"> </w:t>
                        </w:r>
                        <w:r>
                          <w:rPr>
                            <w:rFonts w:ascii="Trebuchet MS" w:hAnsi="Trebuchet MS"/>
                            <w:spacing w:val="-2"/>
                            <w:w w:val="70"/>
                            <w:sz w:val="16"/>
                          </w:rPr>
                          <w:t>life?</w:t>
                        </w:r>
                      </w:p>
                      <w:p w:rsidR="00F22F94" w:rsidRDefault="00F22F94">
                        <w:pPr>
                          <w:pStyle w:val="TableParagraph"/>
                          <w:numPr>
                            <w:ilvl w:val="1"/>
                            <w:numId w:val="150"/>
                          </w:numPr>
                          <w:tabs>
                            <w:tab w:val="left" w:pos="342"/>
                          </w:tabs>
                          <w:spacing w:before="28"/>
                          <w:rPr>
                            <w:rFonts w:ascii="Trebuchet MS" w:hAnsi="Trebuchet MS"/>
                            <w:sz w:val="16"/>
                          </w:rPr>
                        </w:pPr>
                        <w:r>
                          <w:rPr>
                            <w:rFonts w:ascii="Trebuchet MS" w:hAnsi="Trebuchet MS"/>
                            <w:spacing w:val="-2"/>
                            <w:w w:val="90"/>
                            <w:sz w:val="16"/>
                          </w:rPr>
                          <w:t>resilience?</w:t>
                        </w:r>
                      </w:p>
                      <w:p w:rsidR="00F22F94" w:rsidRDefault="00F22F94">
                        <w:pPr>
                          <w:pStyle w:val="TableParagraph"/>
                          <w:numPr>
                            <w:ilvl w:val="0"/>
                            <w:numId w:val="150"/>
                          </w:numPr>
                          <w:tabs>
                            <w:tab w:val="left" w:pos="222"/>
                          </w:tabs>
                          <w:spacing w:before="15"/>
                          <w:rPr>
                            <w:rFonts w:ascii="Trebuchet MS" w:hAnsi="Trebuchet MS"/>
                            <w:sz w:val="16"/>
                          </w:rPr>
                        </w:pPr>
                        <w:r>
                          <w:rPr>
                            <w:rFonts w:ascii="Trebuchet MS" w:hAnsi="Trebuchet MS"/>
                            <w:spacing w:val="-2"/>
                            <w:w w:val="90"/>
                            <w:sz w:val="16"/>
                          </w:rPr>
                          <w:t>Economic</w:t>
                        </w:r>
                      </w:p>
                      <w:p w:rsidR="00F22F94" w:rsidRDefault="00F22F94">
                        <w:pPr>
                          <w:pStyle w:val="TableParagraph"/>
                          <w:numPr>
                            <w:ilvl w:val="1"/>
                            <w:numId w:val="150"/>
                          </w:numPr>
                          <w:tabs>
                            <w:tab w:val="left" w:pos="339"/>
                          </w:tabs>
                          <w:spacing w:before="28" w:line="259" w:lineRule="auto"/>
                          <w:ind w:left="338" w:right="330" w:hanging="112"/>
                          <w:rPr>
                            <w:rFonts w:ascii="Trebuchet MS" w:hAnsi="Trebuchet MS"/>
                            <w:sz w:val="16"/>
                          </w:rPr>
                        </w:pPr>
                        <w:r>
                          <w:rPr>
                            <w:rFonts w:ascii="Trebuchet MS" w:hAnsi="Trebuchet MS"/>
                            <w:spacing w:val="-2"/>
                            <w:w w:val="85"/>
                            <w:sz w:val="16"/>
                          </w:rPr>
                          <w:t>are</w:t>
                        </w:r>
                        <w:r>
                          <w:rPr>
                            <w:rFonts w:ascii="Trebuchet MS" w:hAnsi="Trebuchet MS"/>
                            <w:spacing w:val="-10"/>
                            <w:w w:val="85"/>
                            <w:sz w:val="16"/>
                          </w:rPr>
                          <w:t xml:space="preserve"> </w:t>
                        </w:r>
                        <w:r>
                          <w:rPr>
                            <w:rFonts w:ascii="Trebuchet MS" w:hAnsi="Trebuchet MS"/>
                            <w:spacing w:val="-2"/>
                            <w:w w:val="85"/>
                            <w:sz w:val="16"/>
                          </w:rPr>
                          <w:t>benefits</w:t>
                        </w:r>
                        <w:r>
                          <w:rPr>
                            <w:rFonts w:ascii="Trebuchet MS" w:hAnsi="Trebuchet MS"/>
                            <w:spacing w:val="-10"/>
                            <w:w w:val="85"/>
                            <w:sz w:val="16"/>
                          </w:rPr>
                          <w:t xml:space="preserve"> </w:t>
                        </w:r>
                        <w:r>
                          <w:rPr>
                            <w:rFonts w:ascii="Trebuchet MS" w:hAnsi="Trebuchet MS"/>
                            <w:spacing w:val="-2"/>
                            <w:w w:val="85"/>
                            <w:sz w:val="16"/>
                          </w:rPr>
                          <w:t>in</w:t>
                        </w:r>
                        <w:r>
                          <w:rPr>
                            <w:rFonts w:ascii="Trebuchet MS" w:hAnsi="Trebuchet MS"/>
                            <w:spacing w:val="-10"/>
                            <w:w w:val="85"/>
                            <w:sz w:val="16"/>
                          </w:rPr>
                          <w:t xml:space="preserve"> </w:t>
                        </w:r>
                        <w:r>
                          <w:rPr>
                            <w:rFonts w:ascii="Trebuchet MS" w:hAnsi="Trebuchet MS"/>
                            <w:spacing w:val="-2"/>
                            <w:w w:val="85"/>
                            <w:sz w:val="16"/>
                          </w:rPr>
                          <w:t>excess</w:t>
                        </w:r>
                        <w:r>
                          <w:rPr>
                            <w:rFonts w:ascii="Trebuchet MS" w:hAnsi="Trebuchet MS"/>
                            <w:w w:val="85"/>
                            <w:sz w:val="16"/>
                          </w:rPr>
                          <w:t xml:space="preserve"> </w:t>
                        </w:r>
                        <w:r>
                          <w:rPr>
                            <w:rFonts w:ascii="Trebuchet MS" w:hAnsi="Trebuchet MS"/>
                            <w:w w:val="90"/>
                            <w:sz w:val="16"/>
                          </w:rPr>
                          <w:t>of</w:t>
                        </w:r>
                        <w:r>
                          <w:rPr>
                            <w:rFonts w:ascii="Trebuchet MS" w:hAnsi="Trebuchet MS"/>
                            <w:spacing w:val="-13"/>
                            <w:w w:val="90"/>
                            <w:sz w:val="16"/>
                          </w:rPr>
                          <w:t xml:space="preserve"> </w:t>
                        </w:r>
                        <w:r>
                          <w:rPr>
                            <w:rFonts w:ascii="Trebuchet MS" w:hAnsi="Trebuchet MS"/>
                            <w:w w:val="90"/>
                            <w:sz w:val="16"/>
                          </w:rPr>
                          <w:t>costs?</w:t>
                        </w:r>
                      </w:p>
                      <w:p w:rsidR="00F22F94" w:rsidRDefault="00F22F94">
                        <w:pPr>
                          <w:pStyle w:val="TableParagraph"/>
                          <w:numPr>
                            <w:ilvl w:val="0"/>
                            <w:numId w:val="150"/>
                          </w:numPr>
                          <w:tabs>
                            <w:tab w:val="left" w:pos="222"/>
                          </w:tabs>
                          <w:spacing w:before="0" w:line="184" w:lineRule="exact"/>
                          <w:rPr>
                            <w:rFonts w:ascii="Trebuchet MS" w:hAnsi="Trebuchet MS"/>
                            <w:sz w:val="16"/>
                          </w:rPr>
                        </w:pPr>
                        <w:r>
                          <w:rPr>
                            <w:rFonts w:ascii="Trebuchet MS" w:hAnsi="Trebuchet MS"/>
                            <w:spacing w:val="-4"/>
                            <w:w w:val="90"/>
                            <w:sz w:val="16"/>
                          </w:rPr>
                          <w:t>Risk</w:t>
                        </w:r>
                      </w:p>
                      <w:p w:rsidR="00F22F94" w:rsidRDefault="00F22F94">
                        <w:pPr>
                          <w:pStyle w:val="TableParagraph"/>
                          <w:numPr>
                            <w:ilvl w:val="1"/>
                            <w:numId w:val="150"/>
                          </w:numPr>
                          <w:tabs>
                            <w:tab w:val="left" w:pos="342"/>
                          </w:tabs>
                          <w:spacing w:before="29" w:line="259" w:lineRule="auto"/>
                          <w:ind w:right="274"/>
                          <w:rPr>
                            <w:rFonts w:ascii="Trebuchet MS" w:hAnsi="Trebuchet MS"/>
                            <w:sz w:val="16"/>
                          </w:rPr>
                        </w:pPr>
                        <w:r>
                          <w:rPr>
                            <w:rFonts w:ascii="Trebuchet MS" w:hAnsi="Trebuchet MS"/>
                            <w:w w:val="85"/>
                            <w:sz w:val="16"/>
                          </w:rPr>
                          <w:t>can delivery be adequately</w:t>
                        </w:r>
                        <w:r>
                          <w:rPr>
                            <w:rFonts w:ascii="Trebuchet MS" w:hAnsi="Trebuchet MS"/>
                            <w:spacing w:val="-6"/>
                            <w:w w:val="85"/>
                            <w:sz w:val="16"/>
                          </w:rPr>
                          <w:t xml:space="preserve"> </w:t>
                        </w:r>
                        <w:r>
                          <w:rPr>
                            <w:rFonts w:ascii="Trebuchet MS" w:hAnsi="Trebuchet MS"/>
                            <w:w w:val="85"/>
                            <w:sz w:val="16"/>
                          </w:rPr>
                          <w:t>managed?</w:t>
                        </w:r>
                      </w:p>
                    </w:tc>
                    <w:tc>
                      <w:tcPr>
                        <w:tcW w:w="1947" w:type="dxa"/>
                        <w:tcBorders>
                          <w:left w:val="nil"/>
                          <w:right w:val="nil"/>
                        </w:tcBorders>
                        <w:shd w:val="clear" w:color="auto" w:fill="E1E0E1"/>
                      </w:tcPr>
                      <w:p w:rsidR="00F22F94" w:rsidRDefault="00F22F94">
                        <w:pPr>
                          <w:pStyle w:val="TableParagraph"/>
                          <w:numPr>
                            <w:ilvl w:val="0"/>
                            <w:numId w:val="149"/>
                          </w:numPr>
                          <w:tabs>
                            <w:tab w:val="left" w:pos="222"/>
                          </w:tabs>
                          <w:spacing w:before="77"/>
                          <w:ind w:left="221"/>
                          <w:rPr>
                            <w:rFonts w:ascii="Trebuchet MS" w:hAnsi="Trebuchet MS"/>
                            <w:sz w:val="16"/>
                          </w:rPr>
                        </w:pPr>
                        <w:r>
                          <w:rPr>
                            <w:rFonts w:ascii="Trebuchet MS" w:hAnsi="Trebuchet MS"/>
                            <w:w w:val="75"/>
                            <w:sz w:val="16"/>
                          </w:rPr>
                          <w:t>Immediate</w:t>
                        </w:r>
                        <w:r>
                          <w:rPr>
                            <w:rFonts w:ascii="Trebuchet MS" w:hAnsi="Trebuchet MS"/>
                            <w:spacing w:val="10"/>
                            <w:sz w:val="16"/>
                          </w:rPr>
                          <w:t xml:space="preserve"> </w:t>
                        </w:r>
                        <w:r>
                          <w:rPr>
                            <w:rFonts w:ascii="Trebuchet MS" w:hAnsi="Trebuchet MS"/>
                            <w:w w:val="75"/>
                            <w:sz w:val="16"/>
                          </w:rPr>
                          <w:t>0-5</w:t>
                        </w:r>
                        <w:r>
                          <w:rPr>
                            <w:rFonts w:ascii="Trebuchet MS" w:hAnsi="Trebuchet MS"/>
                            <w:spacing w:val="10"/>
                            <w:sz w:val="16"/>
                          </w:rPr>
                          <w:t xml:space="preserve"> </w:t>
                        </w:r>
                        <w:r>
                          <w:rPr>
                            <w:rFonts w:ascii="Trebuchet MS" w:hAnsi="Trebuchet MS"/>
                            <w:spacing w:val="-2"/>
                            <w:w w:val="75"/>
                            <w:sz w:val="16"/>
                          </w:rPr>
                          <w:t>years</w:t>
                        </w:r>
                      </w:p>
                      <w:p w:rsidR="00F22F94" w:rsidRDefault="00F22F94">
                        <w:pPr>
                          <w:pStyle w:val="TableParagraph"/>
                          <w:numPr>
                            <w:ilvl w:val="0"/>
                            <w:numId w:val="149"/>
                          </w:numPr>
                          <w:tabs>
                            <w:tab w:val="left" w:pos="225"/>
                          </w:tabs>
                          <w:spacing w:before="29" w:line="259" w:lineRule="auto"/>
                          <w:ind w:right="506" w:hanging="119"/>
                          <w:rPr>
                            <w:rFonts w:ascii="Trebuchet MS" w:hAnsi="Trebuchet MS"/>
                            <w:sz w:val="16"/>
                          </w:rPr>
                        </w:pPr>
                        <w:r>
                          <w:rPr>
                            <w:rFonts w:ascii="Trebuchet MS" w:hAnsi="Trebuchet MS"/>
                            <w:w w:val="85"/>
                            <w:sz w:val="16"/>
                          </w:rPr>
                          <w:t>Planning</w:t>
                        </w:r>
                        <w:r>
                          <w:rPr>
                            <w:rFonts w:ascii="Trebuchet MS" w:hAnsi="Trebuchet MS"/>
                            <w:spacing w:val="-5"/>
                            <w:w w:val="85"/>
                            <w:sz w:val="16"/>
                          </w:rPr>
                          <w:t xml:space="preserve"> </w:t>
                        </w:r>
                        <w:r>
                          <w:rPr>
                            <w:rFonts w:ascii="Trebuchet MS" w:hAnsi="Trebuchet MS"/>
                            <w:w w:val="85"/>
                            <w:sz w:val="16"/>
                          </w:rPr>
                          <w:t>for</w:t>
                        </w:r>
                        <w:r>
                          <w:rPr>
                            <w:rFonts w:ascii="Trebuchet MS" w:hAnsi="Trebuchet MS"/>
                            <w:spacing w:val="-5"/>
                            <w:w w:val="85"/>
                            <w:sz w:val="16"/>
                          </w:rPr>
                          <w:t xml:space="preserve"> </w:t>
                        </w:r>
                        <w:r>
                          <w:rPr>
                            <w:rFonts w:ascii="Trebuchet MS" w:hAnsi="Trebuchet MS"/>
                            <w:w w:val="85"/>
                            <w:sz w:val="16"/>
                          </w:rPr>
                          <w:t xml:space="preserve">growth </w:t>
                        </w:r>
                        <w:r>
                          <w:rPr>
                            <w:rFonts w:ascii="Trebuchet MS" w:hAnsi="Trebuchet MS"/>
                            <w:w w:val="90"/>
                            <w:sz w:val="16"/>
                          </w:rPr>
                          <w:t>5-10</w:t>
                        </w:r>
                        <w:r>
                          <w:rPr>
                            <w:rFonts w:ascii="Trebuchet MS" w:hAnsi="Trebuchet MS"/>
                            <w:spacing w:val="-8"/>
                            <w:w w:val="90"/>
                            <w:sz w:val="16"/>
                          </w:rPr>
                          <w:t xml:space="preserve"> </w:t>
                        </w:r>
                        <w:r>
                          <w:rPr>
                            <w:rFonts w:ascii="Trebuchet MS" w:hAnsi="Trebuchet MS"/>
                            <w:w w:val="90"/>
                            <w:sz w:val="16"/>
                          </w:rPr>
                          <w:t>years</w:t>
                        </w:r>
                      </w:p>
                      <w:p w:rsidR="00F22F94" w:rsidRDefault="00F22F94">
                        <w:pPr>
                          <w:pStyle w:val="TableParagraph"/>
                          <w:numPr>
                            <w:ilvl w:val="0"/>
                            <w:numId w:val="149"/>
                          </w:numPr>
                          <w:tabs>
                            <w:tab w:val="left" w:pos="222"/>
                          </w:tabs>
                          <w:spacing w:before="13" w:line="259" w:lineRule="auto"/>
                          <w:ind w:left="221" w:right="593"/>
                          <w:rPr>
                            <w:rFonts w:ascii="Trebuchet MS" w:hAnsi="Trebuchet MS"/>
                            <w:sz w:val="16"/>
                          </w:rPr>
                        </w:pPr>
                        <w:r>
                          <w:rPr>
                            <w:rFonts w:ascii="Trebuchet MS" w:hAnsi="Trebuchet MS"/>
                            <w:w w:val="85"/>
                            <w:sz w:val="16"/>
                          </w:rPr>
                          <w:t>Longer</w:t>
                        </w:r>
                        <w:r>
                          <w:rPr>
                            <w:rFonts w:ascii="Trebuchet MS" w:hAnsi="Trebuchet MS"/>
                            <w:spacing w:val="-6"/>
                            <w:w w:val="85"/>
                            <w:sz w:val="16"/>
                          </w:rPr>
                          <w:t xml:space="preserve"> </w:t>
                        </w:r>
                        <w:r>
                          <w:rPr>
                            <w:rFonts w:ascii="Trebuchet MS" w:hAnsi="Trebuchet MS"/>
                            <w:w w:val="85"/>
                            <w:sz w:val="16"/>
                          </w:rPr>
                          <w:t>term</w:t>
                        </w:r>
                        <w:r>
                          <w:rPr>
                            <w:rFonts w:ascii="Trebuchet MS" w:hAnsi="Trebuchet MS"/>
                            <w:spacing w:val="-6"/>
                            <w:w w:val="85"/>
                            <w:sz w:val="16"/>
                          </w:rPr>
                          <w:t xml:space="preserve"> </w:t>
                        </w:r>
                        <w:r>
                          <w:rPr>
                            <w:rFonts w:ascii="Trebuchet MS" w:hAnsi="Trebuchet MS"/>
                            <w:w w:val="85"/>
                            <w:sz w:val="16"/>
                          </w:rPr>
                          <w:t xml:space="preserve">vision </w:t>
                        </w:r>
                        <w:r>
                          <w:rPr>
                            <w:rFonts w:ascii="Trebuchet MS" w:hAnsi="Trebuchet MS"/>
                            <w:w w:val="90"/>
                            <w:sz w:val="16"/>
                          </w:rPr>
                          <w:t>10-20</w:t>
                        </w:r>
                        <w:r>
                          <w:rPr>
                            <w:rFonts w:ascii="Trebuchet MS" w:hAnsi="Trebuchet MS"/>
                            <w:spacing w:val="-9"/>
                            <w:w w:val="90"/>
                            <w:sz w:val="16"/>
                          </w:rPr>
                          <w:t xml:space="preserve"> </w:t>
                        </w:r>
                        <w:r>
                          <w:rPr>
                            <w:rFonts w:ascii="Trebuchet MS" w:hAnsi="Trebuchet MS"/>
                            <w:w w:val="90"/>
                            <w:sz w:val="16"/>
                          </w:rPr>
                          <w:t>years</w:t>
                        </w:r>
                      </w:p>
                    </w:tc>
                    <w:tc>
                      <w:tcPr>
                        <w:tcW w:w="1909" w:type="dxa"/>
                        <w:tcBorders>
                          <w:left w:val="nil"/>
                        </w:tcBorders>
                        <w:shd w:val="clear" w:color="auto" w:fill="E1E0E1"/>
                      </w:tcPr>
                      <w:p w:rsidR="00F22F94" w:rsidRDefault="00F22F94">
                        <w:pPr>
                          <w:pStyle w:val="TableParagraph"/>
                          <w:numPr>
                            <w:ilvl w:val="0"/>
                            <w:numId w:val="148"/>
                          </w:numPr>
                          <w:tabs>
                            <w:tab w:val="left" w:pos="222"/>
                          </w:tabs>
                          <w:spacing w:before="77" w:line="259" w:lineRule="auto"/>
                          <w:ind w:right="499"/>
                          <w:rPr>
                            <w:rFonts w:ascii="Trebuchet MS" w:hAnsi="Trebuchet MS"/>
                            <w:sz w:val="16"/>
                          </w:rPr>
                        </w:pPr>
                        <w:r>
                          <w:rPr>
                            <w:rFonts w:ascii="Trebuchet MS" w:hAnsi="Trebuchet MS"/>
                            <w:spacing w:val="-2"/>
                            <w:w w:val="85"/>
                            <w:sz w:val="16"/>
                          </w:rPr>
                          <w:t>Specific</w:t>
                        </w:r>
                        <w:r>
                          <w:rPr>
                            <w:rFonts w:ascii="Trebuchet MS" w:hAnsi="Trebuchet MS"/>
                            <w:spacing w:val="-6"/>
                            <w:w w:val="85"/>
                            <w:sz w:val="16"/>
                          </w:rPr>
                          <w:t xml:space="preserve"> </w:t>
                        </w:r>
                        <w:r>
                          <w:rPr>
                            <w:rFonts w:ascii="Trebuchet MS" w:hAnsi="Trebuchet MS"/>
                            <w:spacing w:val="-2"/>
                            <w:w w:val="85"/>
                            <w:sz w:val="16"/>
                          </w:rPr>
                          <w:t>investment</w:t>
                        </w:r>
                        <w:r>
                          <w:rPr>
                            <w:rFonts w:ascii="Trebuchet MS" w:hAnsi="Trebuchet MS"/>
                            <w:w w:val="85"/>
                            <w:sz w:val="16"/>
                          </w:rPr>
                          <w:t xml:space="preserve"> &amp;</w:t>
                        </w:r>
                        <w:r>
                          <w:rPr>
                            <w:rFonts w:ascii="Trebuchet MS" w:hAnsi="Trebuchet MS"/>
                            <w:spacing w:val="-6"/>
                            <w:w w:val="85"/>
                            <w:sz w:val="16"/>
                          </w:rPr>
                          <w:t xml:space="preserve"> </w:t>
                        </w:r>
                        <w:r>
                          <w:rPr>
                            <w:rFonts w:ascii="Trebuchet MS" w:hAnsi="Trebuchet MS"/>
                            <w:w w:val="85"/>
                            <w:sz w:val="16"/>
                          </w:rPr>
                          <w:t xml:space="preserve">reform </w:t>
                        </w:r>
                        <w:r>
                          <w:rPr>
                            <w:rFonts w:ascii="Trebuchet MS" w:hAnsi="Trebuchet MS"/>
                            <w:spacing w:val="-2"/>
                            <w:w w:val="85"/>
                            <w:sz w:val="16"/>
                          </w:rPr>
                          <w:t>recommendations</w:t>
                        </w:r>
                      </w:p>
                      <w:p w:rsidR="00F22F94" w:rsidRDefault="00F22F94">
                        <w:pPr>
                          <w:pStyle w:val="TableParagraph"/>
                          <w:numPr>
                            <w:ilvl w:val="0"/>
                            <w:numId w:val="148"/>
                          </w:numPr>
                          <w:tabs>
                            <w:tab w:val="left" w:pos="222"/>
                          </w:tabs>
                          <w:spacing w:before="12"/>
                          <w:rPr>
                            <w:rFonts w:ascii="Trebuchet MS" w:hAnsi="Trebuchet MS"/>
                            <w:sz w:val="16"/>
                          </w:rPr>
                        </w:pPr>
                        <w:r>
                          <w:rPr>
                            <w:rFonts w:ascii="Trebuchet MS" w:hAnsi="Trebuchet MS"/>
                            <w:spacing w:val="-2"/>
                            <w:w w:val="75"/>
                            <w:sz w:val="16"/>
                          </w:rPr>
                          <w:t>Value</w:t>
                        </w:r>
                        <w:r>
                          <w:rPr>
                            <w:rFonts w:ascii="Trebuchet MS" w:hAnsi="Trebuchet MS"/>
                            <w:spacing w:val="-7"/>
                            <w:sz w:val="16"/>
                          </w:rPr>
                          <w:t xml:space="preserve"> </w:t>
                        </w:r>
                        <w:r>
                          <w:rPr>
                            <w:rFonts w:ascii="Trebuchet MS" w:hAnsi="Trebuchet MS"/>
                            <w:spacing w:val="-2"/>
                            <w:w w:val="75"/>
                            <w:sz w:val="16"/>
                          </w:rPr>
                          <w:t>for</w:t>
                        </w:r>
                        <w:r>
                          <w:rPr>
                            <w:rFonts w:ascii="Trebuchet MS" w:hAnsi="Trebuchet MS"/>
                            <w:spacing w:val="-7"/>
                            <w:sz w:val="16"/>
                          </w:rPr>
                          <w:t xml:space="preserve"> </w:t>
                        </w:r>
                        <w:r>
                          <w:rPr>
                            <w:rFonts w:ascii="Trebuchet MS" w:hAnsi="Trebuchet MS"/>
                            <w:spacing w:val="-2"/>
                            <w:w w:val="75"/>
                            <w:sz w:val="16"/>
                          </w:rPr>
                          <w:t>money</w:t>
                        </w:r>
                      </w:p>
                      <w:p w:rsidR="00F22F94" w:rsidRDefault="00F22F94">
                        <w:pPr>
                          <w:pStyle w:val="TableParagraph"/>
                          <w:numPr>
                            <w:ilvl w:val="0"/>
                            <w:numId w:val="148"/>
                          </w:numPr>
                          <w:tabs>
                            <w:tab w:val="left" w:pos="222"/>
                          </w:tabs>
                          <w:spacing w:before="29"/>
                          <w:rPr>
                            <w:rFonts w:ascii="Trebuchet MS" w:hAnsi="Trebuchet MS"/>
                            <w:sz w:val="16"/>
                          </w:rPr>
                        </w:pPr>
                        <w:r>
                          <w:rPr>
                            <w:rFonts w:ascii="Trebuchet MS" w:hAnsi="Trebuchet MS"/>
                            <w:spacing w:val="-2"/>
                            <w:w w:val="90"/>
                            <w:sz w:val="16"/>
                          </w:rPr>
                          <w:t>Funding</w:t>
                        </w:r>
                      </w:p>
                      <w:p w:rsidR="00F22F94" w:rsidRDefault="00F22F94">
                        <w:pPr>
                          <w:pStyle w:val="TableParagraph"/>
                          <w:numPr>
                            <w:ilvl w:val="0"/>
                            <w:numId w:val="148"/>
                          </w:numPr>
                          <w:tabs>
                            <w:tab w:val="left" w:pos="222"/>
                          </w:tabs>
                          <w:spacing w:before="28" w:line="259" w:lineRule="auto"/>
                          <w:ind w:right="721"/>
                          <w:rPr>
                            <w:rFonts w:ascii="Trebuchet MS" w:hAnsi="Trebuchet MS"/>
                            <w:sz w:val="16"/>
                          </w:rPr>
                        </w:pPr>
                        <w:r>
                          <w:rPr>
                            <w:rFonts w:ascii="Trebuchet MS" w:hAnsi="Trebuchet MS"/>
                            <w:spacing w:val="-2"/>
                            <w:w w:val="85"/>
                            <w:sz w:val="16"/>
                          </w:rPr>
                          <w:t>Private</w:t>
                        </w:r>
                        <w:r>
                          <w:rPr>
                            <w:rFonts w:ascii="Trebuchet MS" w:hAnsi="Trebuchet MS"/>
                            <w:spacing w:val="-6"/>
                            <w:w w:val="85"/>
                            <w:sz w:val="16"/>
                          </w:rPr>
                          <w:t xml:space="preserve"> </w:t>
                        </w:r>
                        <w:r>
                          <w:rPr>
                            <w:rFonts w:ascii="Trebuchet MS" w:hAnsi="Trebuchet MS"/>
                            <w:spacing w:val="-2"/>
                            <w:w w:val="85"/>
                            <w:sz w:val="16"/>
                          </w:rPr>
                          <w:t>&amp;</w:t>
                        </w:r>
                        <w:r>
                          <w:rPr>
                            <w:rFonts w:ascii="Trebuchet MS" w:hAnsi="Trebuchet MS"/>
                            <w:spacing w:val="-6"/>
                            <w:w w:val="85"/>
                            <w:sz w:val="16"/>
                          </w:rPr>
                          <w:t xml:space="preserve"> </w:t>
                        </w:r>
                        <w:r>
                          <w:rPr>
                            <w:rFonts w:ascii="Trebuchet MS" w:hAnsi="Trebuchet MS"/>
                            <w:spacing w:val="-2"/>
                            <w:w w:val="85"/>
                            <w:sz w:val="16"/>
                          </w:rPr>
                          <w:t>public</w:t>
                        </w:r>
                        <w:r>
                          <w:rPr>
                            <w:rFonts w:ascii="Trebuchet MS" w:hAnsi="Trebuchet MS"/>
                            <w:sz w:val="16"/>
                          </w:rPr>
                          <w:t xml:space="preserve"> </w:t>
                        </w:r>
                        <w:r>
                          <w:rPr>
                            <w:rFonts w:ascii="Trebuchet MS" w:hAnsi="Trebuchet MS"/>
                            <w:spacing w:val="-2"/>
                            <w:w w:val="85"/>
                            <w:sz w:val="16"/>
                          </w:rPr>
                          <w:t>provision</w:t>
                        </w:r>
                      </w:p>
                      <w:p w:rsidR="00F22F94" w:rsidRDefault="00F22F94">
                        <w:pPr>
                          <w:pStyle w:val="TableParagraph"/>
                          <w:numPr>
                            <w:ilvl w:val="0"/>
                            <w:numId w:val="148"/>
                          </w:numPr>
                          <w:tabs>
                            <w:tab w:val="left" w:pos="222"/>
                          </w:tabs>
                          <w:spacing w:before="13"/>
                          <w:rPr>
                            <w:rFonts w:ascii="Trebuchet MS" w:hAnsi="Trebuchet MS"/>
                            <w:sz w:val="16"/>
                          </w:rPr>
                        </w:pPr>
                        <w:r>
                          <w:rPr>
                            <w:rFonts w:ascii="Trebuchet MS" w:hAnsi="Trebuchet MS"/>
                            <w:w w:val="80"/>
                            <w:sz w:val="16"/>
                          </w:rPr>
                          <w:t>Assurance</w:t>
                        </w:r>
                        <w:r>
                          <w:rPr>
                            <w:rFonts w:ascii="Trebuchet MS" w:hAnsi="Trebuchet MS"/>
                            <w:spacing w:val="-4"/>
                            <w:sz w:val="16"/>
                          </w:rPr>
                          <w:t xml:space="preserve"> </w:t>
                        </w:r>
                        <w:r>
                          <w:rPr>
                            <w:rFonts w:ascii="Trebuchet MS" w:hAnsi="Trebuchet MS"/>
                            <w:w w:val="80"/>
                            <w:sz w:val="16"/>
                          </w:rPr>
                          <w:t>and</w:t>
                        </w:r>
                        <w:r>
                          <w:rPr>
                            <w:rFonts w:ascii="Trebuchet MS" w:hAnsi="Trebuchet MS"/>
                            <w:spacing w:val="-3"/>
                            <w:sz w:val="16"/>
                          </w:rPr>
                          <w:t xml:space="preserve"> </w:t>
                        </w:r>
                        <w:r>
                          <w:rPr>
                            <w:rFonts w:ascii="Trebuchet MS" w:hAnsi="Trebuchet MS"/>
                            <w:spacing w:val="-2"/>
                            <w:w w:val="80"/>
                            <w:sz w:val="16"/>
                          </w:rPr>
                          <w:t>delivery</w:t>
                        </w:r>
                      </w:p>
                    </w:tc>
                  </w:tr>
                </w:tbl>
                <w:p w:rsidR="00F22F94" w:rsidRDefault="00F22F94">
                  <w:pPr>
                    <w:pStyle w:val="BodyText"/>
                  </w:pPr>
                </w:p>
              </w:txbxContent>
            </v:textbox>
            <w10:wrap anchorx="page"/>
          </v:shape>
        </w:pict>
      </w:r>
      <w:r w:rsidR="00F22F94">
        <w:rPr>
          <w:w w:val="95"/>
        </w:rPr>
        <w:t>The</w:t>
      </w:r>
      <w:r w:rsidR="00F22F94">
        <w:rPr>
          <w:spacing w:val="-10"/>
          <w:w w:val="95"/>
        </w:rPr>
        <w:t xml:space="preserve"> </w:t>
      </w:r>
      <w:r w:rsidR="00F22F94">
        <w:rPr>
          <w:w w:val="95"/>
        </w:rPr>
        <w:t>results</w:t>
      </w:r>
      <w:r w:rsidR="00F22F94">
        <w:rPr>
          <w:spacing w:val="-10"/>
          <w:w w:val="95"/>
        </w:rPr>
        <w:t xml:space="preserve"> </w:t>
      </w:r>
      <w:r w:rsidR="00F22F94">
        <w:rPr>
          <w:w w:val="95"/>
        </w:rPr>
        <w:t>of</w:t>
      </w:r>
      <w:r w:rsidR="00F22F94">
        <w:rPr>
          <w:spacing w:val="-10"/>
          <w:w w:val="95"/>
        </w:rPr>
        <w:t xml:space="preserve"> </w:t>
      </w:r>
      <w:r w:rsidR="00F22F94">
        <w:rPr>
          <w:w w:val="95"/>
        </w:rPr>
        <w:t>the</w:t>
      </w:r>
      <w:r w:rsidR="00F22F94">
        <w:rPr>
          <w:spacing w:val="-10"/>
          <w:w w:val="95"/>
        </w:rPr>
        <w:t xml:space="preserve"> </w:t>
      </w:r>
      <w:r w:rsidR="00F22F94">
        <w:rPr>
          <w:w w:val="95"/>
        </w:rPr>
        <w:t>analysis</w:t>
      </w:r>
      <w:r w:rsidR="00F22F94">
        <w:rPr>
          <w:spacing w:val="-10"/>
          <w:w w:val="95"/>
        </w:rPr>
        <w:t xml:space="preserve"> </w:t>
      </w:r>
      <w:r w:rsidR="00F22F94">
        <w:rPr>
          <w:w w:val="95"/>
        </w:rPr>
        <w:t>of</w:t>
      </w:r>
      <w:r w:rsidR="00F22F94">
        <w:rPr>
          <w:spacing w:val="-10"/>
          <w:w w:val="95"/>
        </w:rPr>
        <w:t xml:space="preserve"> </w:t>
      </w:r>
      <w:r w:rsidR="00F22F94">
        <w:rPr>
          <w:w w:val="95"/>
        </w:rPr>
        <w:t>the</w:t>
      </w:r>
      <w:r w:rsidR="00F22F94">
        <w:rPr>
          <w:spacing w:val="-10"/>
          <w:w w:val="95"/>
        </w:rPr>
        <w:t xml:space="preserve"> </w:t>
      </w:r>
      <w:r w:rsidR="00F22F94">
        <w:rPr>
          <w:w w:val="95"/>
        </w:rPr>
        <w:t>challenges</w:t>
      </w:r>
      <w:r w:rsidR="00F22F94">
        <w:rPr>
          <w:spacing w:val="-10"/>
          <w:w w:val="95"/>
        </w:rPr>
        <w:t xml:space="preserve"> </w:t>
      </w:r>
      <w:r w:rsidR="00F22F94">
        <w:rPr>
          <w:w w:val="95"/>
        </w:rPr>
        <w:t>and</w:t>
      </w:r>
      <w:r w:rsidR="00F22F94">
        <w:rPr>
          <w:spacing w:val="-10"/>
          <w:w w:val="95"/>
        </w:rPr>
        <w:t xml:space="preserve"> </w:t>
      </w:r>
      <w:r w:rsidR="00F22F94">
        <w:rPr>
          <w:w w:val="95"/>
        </w:rPr>
        <w:t xml:space="preserve">gaps </w:t>
      </w:r>
      <w:r w:rsidR="00F22F94">
        <w:t>inform</w:t>
      </w:r>
      <w:r w:rsidR="00F22F94">
        <w:rPr>
          <w:spacing w:val="-9"/>
        </w:rPr>
        <w:t xml:space="preserve"> </w:t>
      </w:r>
      <w:r w:rsidR="00F22F94">
        <w:t>the</w:t>
      </w:r>
      <w:r w:rsidR="00F22F94">
        <w:rPr>
          <w:spacing w:val="-9"/>
        </w:rPr>
        <w:t xml:space="preserve"> </w:t>
      </w:r>
      <w:r w:rsidR="00F22F94">
        <w:t>assessment</w:t>
      </w:r>
      <w:r w:rsidR="00F22F94">
        <w:rPr>
          <w:spacing w:val="-9"/>
        </w:rPr>
        <w:t xml:space="preserve"> </w:t>
      </w:r>
      <w:r w:rsidR="00F22F94">
        <w:t>of</w:t>
      </w:r>
      <w:r w:rsidR="00F22F94">
        <w:rPr>
          <w:spacing w:val="-9"/>
        </w:rPr>
        <w:t xml:space="preserve"> </w:t>
      </w:r>
      <w:r w:rsidR="00F22F94">
        <w:t>the</w:t>
      </w:r>
      <w:r w:rsidR="00F22F94">
        <w:rPr>
          <w:spacing w:val="-9"/>
        </w:rPr>
        <w:t xml:space="preserve"> </w:t>
      </w:r>
      <w:r w:rsidR="00F22F94">
        <w:t>various</w:t>
      </w:r>
      <w:r w:rsidR="00F22F94">
        <w:rPr>
          <w:spacing w:val="-9"/>
        </w:rPr>
        <w:t xml:space="preserve"> </w:t>
      </w:r>
      <w:r w:rsidR="00F22F94">
        <w:t>options.</w:t>
      </w:r>
    </w:p>
    <w:p w:rsidR="002C1123" w:rsidRDefault="00F22F94">
      <w:pPr>
        <w:pStyle w:val="Heading6"/>
        <w:numPr>
          <w:ilvl w:val="2"/>
          <w:numId w:val="172"/>
        </w:numPr>
        <w:tabs>
          <w:tab w:val="left" w:pos="698"/>
        </w:tabs>
        <w:spacing w:before="143"/>
        <w:ind w:left="697" w:hanging="487"/>
        <w:jc w:val="left"/>
      </w:pPr>
      <w:r>
        <w:rPr>
          <w:color w:val="EC008C"/>
          <w:spacing w:val="-4"/>
        </w:rPr>
        <w:t>Options assessment</w:t>
      </w:r>
      <w:r>
        <w:rPr>
          <w:color w:val="EC008C"/>
          <w:spacing w:val="-2"/>
        </w:rPr>
        <w:t xml:space="preserve"> </w:t>
      </w:r>
      <w:r>
        <w:rPr>
          <w:color w:val="EC008C"/>
          <w:spacing w:val="-4"/>
        </w:rPr>
        <w:t>and</w:t>
      </w:r>
      <w:r>
        <w:rPr>
          <w:color w:val="EC008C"/>
          <w:spacing w:val="-1"/>
        </w:rPr>
        <w:t xml:space="preserve"> </w:t>
      </w:r>
      <w:r>
        <w:rPr>
          <w:color w:val="EC008C"/>
          <w:spacing w:val="-4"/>
        </w:rPr>
        <w:t>prioritisation</w:t>
      </w:r>
    </w:p>
    <w:p w:rsidR="002C1123" w:rsidRDefault="00F22F94">
      <w:pPr>
        <w:pStyle w:val="BodyText"/>
        <w:spacing w:before="95" w:line="249" w:lineRule="auto"/>
        <w:ind w:left="230" w:right="759" w:hanging="22"/>
      </w:pPr>
      <w:r>
        <w:t>To</w:t>
      </w:r>
      <w:r>
        <w:rPr>
          <w:spacing w:val="-10"/>
        </w:rPr>
        <w:t xml:space="preserve"> </w:t>
      </w:r>
      <w:r>
        <w:t>establish</w:t>
      </w:r>
      <w:r>
        <w:rPr>
          <w:spacing w:val="-10"/>
        </w:rPr>
        <w:t xml:space="preserve"> </w:t>
      </w:r>
      <w:r>
        <w:t>the</w:t>
      </w:r>
      <w:r>
        <w:rPr>
          <w:spacing w:val="-10"/>
        </w:rPr>
        <w:t xml:space="preserve"> </w:t>
      </w:r>
      <w:r>
        <w:t>priority</w:t>
      </w:r>
      <w:r>
        <w:rPr>
          <w:spacing w:val="-10"/>
        </w:rPr>
        <w:t xml:space="preserve"> </w:t>
      </w:r>
      <w:r>
        <w:t>projects</w:t>
      </w:r>
      <w:r>
        <w:rPr>
          <w:spacing w:val="-10"/>
        </w:rPr>
        <w:t xml:space="preserve"> </w:t>
      </w:r>
      <w:r>
        <w:t>and</w:t>
      </w:r>
      <w:r>
        <w:rPr>
          <w:spacing w:val="-10"/>
        </w:rPr>
        <w:t xml:space="preserve"> </w:t>
      </w:r>
      <w:r>
        <w:t xml:space="preserve">reforms, </w:t>
      </w:r>
      <w:r>
        <w:rPr>
          <w:w w:val="95"/>
        </w:rPr>
        <w:t>Infrastructure NSW applied a multi-criteria assessment to</w:t>
      </w:r>
      <w:r>
        <w:rPr>
          <w:spacing w:val="-4"/>
          <w:w w:val="95"/>
        </w:rPr>
        <w:t xml:space="preserve"> </w:t>
      </w:r>
      <w:r>
        <w:rPr>
          <w:w w:val="95"/>
        </w:rPr>
        <w:t>gauge</w:t>
      </w:r>
      <w:r>
        <w:rPr>
          <w:spacing w:val="-4"/>
          <w:w w:val="95"/>
        </w:rPr>
        <w:t xml:space="preserve"> </w:t>
      </w:r>
      <w:r>
        <w:rPr>
          <w:w w:val="95"/>
        </w:rPr>
        <w:t>strategic</w:t>
      </w:r>
      <w:r>
        <w:rPr>
          <w:spacing w:val="-4"/>
          <w:w w:val="95"/>
        </w:rPr>
        <w:t xml:space="preserve"> </w:t>
      </w:r>
      <w:r>
        <w:rPr>
          <w:w w:val="95"/>
        </w:rPr>
        <w:t>fit,</w:t>
      </w:r>
      <w:r>
        <w:rPr>
          <w:spacing w:val="-4"/>
          <w:w w:val="95"/>
        </w:rPr>
        <w:t xml:space="preserve"> </w:t>
      </w:r>
      <w:r>
        <w:rPr>
          <w:w w:val="95"/>
        </w:rPr>
        <w:t>economic</w:t>
      </w:r>
      <w:r>
        <w:rPr>
          <w:spacing w:val="-4"/>
          <w:w w:val="95"/>
        </w:rPr>
        <w:t xml:space="preserve"> </w:t>
      </w:r>
      <w:r>
        <w:rPr>
          <w:w w:val="95"/>
        </w:rPr>
        <w:t>benefit</w:t>
      </w:r>
      <w:r>
        <w:rPr>
          <w:spacing w:val="-4"/>
          <w:w w:val="95"/>
        </w:rPr>
        <w:t xml:space="preserve"> </w:t>
      </w:r>
      <w:r>
        <w:rPr>
          <w:w w:val="95"/>
        </w:rPr>
        <w:t>and</w:t>
      </w:r>
      <w:r>
        <w:rPr>
          <w:spacing w:val="-4"/>
          <w:w w:val="95"/>
        </w:rPr>
        <w:t xml:space="preserve"> </w:t>
      </w:r>
      <w:r>
        <w:rPr>
          <w:w w:val="95"/>
        </w:rPr>
        <w:t>delivery</w:t>
      </w:r>
      <w:r>
        <w:rPr>
          <w:spacing w:val="-4"/>
          <w:w w:val="95"/>
        </w:rPr>
        <w:t xml:space="preserve"> </w:t>
      </w:r>
      <w:r>
        <w:rPr>
          <w:w w:val="95"/>
        </w:rPr>
        <w:t>risk.</w:t>
      </w:r>
    </w:p>
    <w:p w:rsidR="002C1123" w:rsidRDefault="00F22F94">
      <w:pPr>
        <w:pStyle w:val="BodyText"/>
        <w:spacing w:before="145"/>
        <w:ind w:left="208"/>
      </w:pPr>
      <w:r>
        <w:rPr>
          <w:w w:val="95"/>
        </w:rPr>
        <w:t>The</w:t>
      </w:r>
      <w:r>
        <w:rPr>
          <w:spacing w:val="-5"/>
          <w:w w:val="95"/>
        </w:rPr>
        <w:t xml:space="preserve"> </w:t>
      </w:r>
      <w:r>
        <w:rPr>
          <w:w w:val="95"/>
        </w:rPr>
        <w:t>options</w:t>
      </w:r>
      <w:r>
        <w:rPr>
          <w:spacing w:val="-4"/>
          <w:w w:val="95"/>
        </w:rPr>
        <w:t xml:space="preserve"> </w:t>
      </w:r>
      <w:r>
        <w:rPr>
          <w:w w:val="95"/>
        </w:rPr>
        <w:t>are</w:t>
      </w:r>
      <w:r>
        <w:rPr>
          <w:spacing w:val="-4"/>
          <w:w w:val="95"/>
        </w:rPr>
        <w:t xml:space="preserve"> </w:t>
      </w:r>
      <w:r>
        <w:rPr>
          <w:w w:val="95"/>
        </w:rPr>
        <w:t>discussed</w:t>
      </w:r>
      <w:r>
        <w:rPr>
          <w:spacing w:val="-4"/>
          <w:w w:val="95"/>
        </w:rPr>
        <w:t xml:space="preserve"> </w:t>
      </w:r>
      <w:r>
        <w:rPr>
          <w:w w:val="95"/>
        </w:rPr>
        <w:t>by</w:t>
      </w:r>
      <w:r>
        <w:rPr>
          <w:spacing w:val="-4"/>
          <w:w w:val="95"/>
        </w:rPr>
        <w:t xml:space="preserve"> </w:t>
      </w:r>
      <w:r>
        <w:rPr>
          <w:w w:val="95"/>
        </w:rPr>
        <w:t>sector</w:t>
      </w:r>
      <w:r>
        <w:rPr>
          <w:spacing w:val="-5"/>
          <w:w w:val="95"/>
        </w:rPr>
        <w:t xml:space="preserve"> </w:t>
      </w:r>
      <w:r>
        <w:rPr>
          <w:w w:val="95"/>
        </w:rPr>
        <w:t>in</w:t>
      </w:r>
      <w:r>
        <w:rPr>
          <w:spacing w:val="-4"/>
          <w:w w:val="95"/>
        </w:rPr>
        <w:t xml:space="preserve"> </w:t>
      </w:r>
      <w:r>
        <w:rPr>
          <w:w w:val="95"/>
        </w:rPr>
        <w:t>Sections</w:t>
      </w:r>
      <w:r>
        <w:rPr>
          <w:spacing w:val="-4"/>
          <w:w w:val="95"/>
        </w:rPr>
        <w:t xml:space="preserve"> </w:t>
      </w:r>
      <w:r>
        <w:rPr>
          <w:w w:val="95"/>
        </w:rPr>
        <w:t>6-</w:t>
      </w:r>
      <w:r>
        <w:rPr>
          <w:spacing w:val="-5"/>
          <w:w w:val="95"/>
        </w:rPr>
        <w:t>14.</w:t>
      </w:r>
    </w:p>
    <w:p w:rsidR="002C1123" w:rsidRDefault="002C1123">
      <w:pPr>
        <w:sectPr w:rsidR="002C1123">
          <w:type w:val="continuous"/>
          <w:pgSz w:w="16840" w:h="11910" w:orient="landscape"/>
          <w:pgMar w:top="560" w:right="280" w:bottom="280" w:left="500" w:header="0" w:footer="517" w:gutter="0"/>
          <w:cols w:num="3" w:space="720" w:equalWidth="0">
            <w:col w:w="5263" w:space="40"/>
            <w:col w:w="4982" w:space="39"/>
            <w:col w:w="5736"/>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3"/>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Heading6"/>
        <w:ind w:left="500"/>
      </w:pPr>
      <w:bookmarkStart w:id="59" w:name="_bookmark41"/>
      <w:bookmarkEnd w:id="59"/>
      <w:r>
        <w:t>Strategic</w:t>
      </w:r>
      <w:r>
        <w:rPr>
          <w:spacing w:val="-2"/>
        </w:rPr>
        <w:t xml:space="preserve"> assessment</w:t>
      </w:r>
    </w:p>
    <w:p w:rsidR="002C1123" w:rsidRDefault="00F22F94">
      <w:pPr>
        <w:pStyle w:val="BodyText"/>
        <w:spacing w:before="10" w:line="249" w:lineRule="auto"/>
        <w:ind w:left="498" w:firstLine="2"/>
      </w:pPr>
      <w:r>
        <w:rPr>
          <w:spacing w:val="-2"/>
        </w:rPr>
        <w:t>Infrastructure</w:t>
      </w:r>
      <w:r>
        <w:rPr>
          <w:spacing w:val="-5"/>
        </w:rPr>
        <w:t xml:space="preserve"> </w:t>
      </w:r>
      <w:r>
        <w:rPr>
          <w:spacing w:val="-2"/>
        </w:rPr>
        <w:t>NSW</w:t>
      </w:r>
      <w:r>
        <w:rPr>
          <w:spacing w:val="-5"/>
        </w:rPr>
        <w:t xml:space="preserve"> </w:t>
      </w:r>
      <w:r>
        <w:rPr>
          <w:spacing w:val="-2"/>
        </w:rPr>
        <w:t>has</w:t>
      </w:r>
      <w:r>
        <w:rPr>
          <w:spacing w:val="-5"/>
        </w:rPr>
        <w:t xml:space="preserve"> </w:t>
      </w:r>
      <w:r>
        <w:rPr>
          <w:spacing w:val="-2"/>
        </w:rPr>
        <w:t>applied</w:t>
      </w:r>
      <w:r>
        <w:rPr>
          <w:spacing w:val="-5"/>
        </w:rPr>
        <w:t xml:space="preserve"> </w:t>
      </w:r>
      <w:r>
        <w:rPr>
          <w:spacing w:val="-2"/>
        </w:rPr>
        <w:t>a</w:t>
      </w:r>
      <w:r>
        <w:rPr>
          <w:spacing w:val="-5"/>
        </w:rPr>
        <w:t xml:space="preserve"> </w:t>
      </w:r>
      <w:r>
        <w:rPr>
          <w:spacing w:val="-2"/>
        </w:rPr>
        <w:t>strategy</w:t>
      </w:r>
      <w:r>
        <w:rPr>
          <w:spacing w:val="-5"/>
        </w:rPr>
        <w:t xml:space="preserve"> </w:t>
      </w:r>
      <w:r>
        <w:rPr>
          <w:spacing w:val="-2"/>
        </w:rPr>
        <w:t xml:space="preserve">evaluation </w:t>
      </w:r>
      <w:r>
        <w:t>method</w:t>
      </w:r>
      <w:r>
        <w:rPr>
          <w:spacing w:val="-12"/>
        </w:rPr>
        <w:t xml:space="preserve"> </w:t>
      </w:r>
      <w:r>
        <w:t>and</w:t>
      </w:r>
      <w:r>
        <w:rPr>
          <w:spacing w:val="-12"/>
        </w:rPr>
        <w:t xml:space="preserve"> </w:t>
      </w:r>
      <w:r>
        <w:t>an</w:t>
      </w:r>
      <w:r>
        <w:rPr>
          <w:spacing w:val="-12"/>
        </w:rPr>
        <w:t xml:space="preserve"> </w:t>
      </w:r>
      <w:r>
        <w:t>investment</w:t>
      </w:r>
      <w:r>
        <w:rPr>
          <w:spacing w:val="-12"/>
        </w:rPr>
        <w:t xml:space="preserve"> </w:t>
      </w:r>
      <w:r>
        <w:t>planning</w:t>
      </w:r>
      <w:r>
        <w:rPr>
          <w:spacing w:val="-12"/>
        </w:rPr>
        <w:t xml:space="preserve"> </w:t>
      </w:r>
      <w:r>
        <w:t>and</w:t>
      </w:r>
      <w:r>
        <w:rPr>
          <w:spacing w:val="-12"/>
        </w:rPr>
        <w:t xml:space="preserve"> </w:t>
      </w:r>
      <w:r>
        <w:t xml:space="preserve">prioritisation </w:t>
      </w:r>
      <w:r>
        <w:rPr>
          <w:w w:val="95"/>
        </w:rPr>
        <w:t>framework developed with Deloitte</w:t>
      </w:r>
      <w:r>
        <w:rPr>
          <w:w w:val="95"/>
          <w:position w:val="7"/>
          <w:sz w:val="11"/>
        </w:rPr>
        <w:t>14</w:t>
      </w:r>
      <w:r>
        <w:rPr>
          <w:spacing w:val="23"/>
          <w:position w:val="7"/>
          <w:sz w:val="11"/>
        </w:rPr>
        <w:t xml:space="preserve"> </w:t>
      </w:r>
      <w:r>
        <w:rPr>
          <w:w w:val="95"/>
        </w:rPr>
        <w:t>consisting of three criteria (described below). This approach is in line with that</w:t>
      </w:r>
      <w:r>
        <w:rPr>
          <w:spacing w:val="-8"/>
          <w:w w:val="95"/>
        </w:rPr>
        <w:t xml:space="preserve"> </w:t>
      </w:r>
      <w:r>
        <w:rPr>
          <w:w w:val="95"/>
        </w:rPr>
        <w:t>applied</w:t>
      </w:r>
      <w:r>
        <w:rPr>
          <w:spacing w:val="-8"/>
          <w:w w:val="95"/>
        </w:rPr>
        <w:t xml:space="preserve"> </w:t>
      </w:r>
      <w:r>
        <w:rPr>
          <w:w w:val="95"/>
        </w:rPr>
        <w:t>by</w:t>
      </w:r>
      <w:r>
        <w:rPr>
          <w:spacing w:val="-8"/>
          <w:w w:val="95"/>
        </w:rPr>
        <w:t xml:space="preserve"> </w:t>
      </w:r>
      <w:r>
        <w:rPr>
          <w:w w:val="95"/>
        </w:rPr>
        <w:t>Infrastructure</w:t>
      </w:r>
      <w:r>
        <w:rPr>
          <w:spacing w:val="-8"/>
          <w:w w:val="95"/>
        </w:rPr>
        <w:t xml:space="preserve"> </w:t>
      </w:r>
      <w:r>
        <w:rPr>
          <w:w w:val="95"/>
        </w:rPr>
        <w:t>Australia</w:t>
      </w:r>
      <w:r>
        <w:rPr>
          <w:spacing w:val="-8"/>
          <w:w w:val="95"/>
        </w:rPr>
        <w:t xml:space="preserve"> </w:t>
      </w:r>
      <w:r>
        <w:rPr>
          <w:w w:val="95"/>
        </w:rPr>
        <w:t>in</w:t>
      </w:r>
      <w:r>
        <w:rPr>
          <w:spacing w:val="-8"/>
          <w:w w:val="95"/>
        </w:rPr>
        <w:t xml:space="preserve"> </w:t>
      </w:r>
      <w:r>
        <w:rPr>
          <w:w w:val="95"/>
        </w:rPr>
        <w:t>its</w:t>
      </w:r>
      <w:r>
        <w:rPr>
          <w:spacing w:val="-8"/>
          <w:w w:val="95"/>
        </w:rPr>
        <w:t xml:space="preserve"> </w:t>
      </w:r>
      <w:r>
        <w:rPr>
          <w:w w:val="95"/>
        </w:rPr>
        <w:t>Reform</w:t>
      </w:r>
      <w:r>
        <w:rPr>
          <w:spacing w:val="-9"/>
          <w:w w:val="95"/>
        </w:rPr>
        <w:t xml:space="preserve"> </w:t>
      </w:r>
      <w:r>
        <w:rPr>
          <w:w w:val="95"/>
        </w:rPr>
        <w:t xml:space="preserve">and </w:t>
      </w:r>
      <w:r>
        <w:t>Investment</w:t>
      </w:r>
      <w:r>
        <w:rPr>
          <w:spacing w:val="-11"/>
        </w:rPr>
        <w:t xml:space="preserve"> </w:t>
      </w:r>
      <w:r>
        <w:t>Framework.</w:t>
      </w:r>
    </w:p>
    <w:p w:rsidR="002C1123" w:rsidRDefault="00F22F94">
      <w:pPr>
        <w:pStyle w:val="BodyText"/>
        <w:spacing w:before="147" w:line="249" w:lineRule="auto"/>
        <w:ind w:left="501" w:hanging="23"/>
      </w:pPr>
      <w:r>
        <w:t>These</w:t>
      </w:r>
      <w:r>
        <w:rPr>
          <w:spacing w:val="-14"/>
        </w:rPr>
        <w:t xml:space="preserve"> </w:t>
      </w:r>
      <w:r>
        <w:t>three</w:t>
      </w:r>
      <w:r>
        <w:rPr>
          <w:spacing w:val="-14"/>
        </w:rPr>
        <w:t xml:space="preserve"> </w:t>
      </w:r>
      <w:r>
        <w:t>criteria</w:t>
      </w:r>
      <w:r>
        <w:rPr>
          <w:spacing w:val="-14"/>
        </w:rPr>
        <w:t xml:space="preserve"> </w:t>
      </w:r>
      <w:r>
        <w:t>also</w:t>
      </w:r>
      <w:r>
        <w:rPr>
          <w:spacing w:val="-14"/>
        </w:rPr>
        <w:t xml:space="preserve"> </w:t>
      </w:r>
      <w:r>
        <w:t>align</w:t>
      </w:r>
      <w:r>
        <w:rPr>
          <w:spacing w:val="-14"/>
        </w:rPr>
        <w:t xml:space="preserve"> </w:t>
      </w:r>
      <w:r>
        <w:t>with</w:t>
      </w:r>
      <w:r>
        <w:rPr>
          <w:spacing w:val="-14"/>
        </w:rPr>
        <w:t xml:space="preserve"> </w:t>
      </w:r>
      <w:r>
        <w:t>the</w:t>
      </w:r>
      <w:r>
        <w:rPr>
          <w:spacing w:val="-14"/>
        </w:rPr>
        <w:t xml:space="preserve"> </w:t>
      </w:r>
      <w:r>
        <w:t>Department</w:t>
      </w:r>
      <w:r>
        <w:rPr>
          <w:spacing w:val="-14"/>
        </w:rPr>
        <w:t xml:space="preserve"> </w:t>
      </w:r>
      <w:r>
        <w:t xml:space="preserve">of </w:t>
      </w:r>
      <w:r>
        <w:rPr>
          <w:w w:val="95"/>
        </w:rPr>
        <w:t>Planning</w:t>
      </w:r>
      <w:r>
        <w:rPr>
          <w:spacing w:val="-5"/>
          <w:w w:val="95"/>
        </w:rPr>
        <w:t xml:space="preserve"> </w:t>
      </w:r>
      <w:r>
        <w:rPr>
          <w:w w:val="95"/>
        </w:rPr>
        <w:t>and</w:t>
      </w:r>
      <w:r>
        <w:rPr>
          <w:spacing w:val="-5"/>
          <w:w w:val="95"/>
        </w:rPr>
        <w:t xml:space="preserve"> </w:t>
      </w:r>
      <w:r>
        <w:rPr>
          <w:w w:val="95"/>
        </w:rPr>
        <w:t>Infrastructure,</w:t>
      </w:r>
      <w:r>
        <w:rPr>
          <w:spacing w:val="-5"/>
          <w:w w:val="95"/>
        </w:rPr>
        <w:t xml:space="preserve"> </w:t>
      </w:r>
      <w:r>
        <w:rPr>
          <w:w w:val="95"/>
        </w:rPr>
        <w:t>Draft</w:t>
      </w:r>
      <w:r>
        <w:rPr>
          <w:spacing w:val="-5"/>
          <w:w w:val="95"/>
        </w:rPr>
        <w:t xml:space="preserve"> </w:t>
      </w:r>
      <w:r>
        <w:rPr>
          <w:w w:val="95"/>
        </w:rPr>
        <w:t>Metropolitan</w:t>
      </w:r>
      <w:r>
        <w:rPr>
          <w:spacing w:val="-5"/>
          <w:w w:val="95"/>
        </w:rPr>
        <w:t xml:space="preserve"> </w:t>
      </w:r>
      <w:r>
        <w:rPr>
          <w:w w:val="95"/>
        </w:rPr>
        <w:t xml:space="preserve">Strategy </w:t>
      </w:r>
      <w:r>
        <w:t>for</w:t>
      </w:r>
      <w:r>
        <w:rPr>
          <w:spacing w:val="-14"/>
        </w:rPr>
        <w:t xml:space="preserve"> </w:t>
      </w:r>
      <w:r>
        <w:t>Sydney:</w:t>
      </w:r>
      <w:r>
        <w:rPr>
          <w:spacing w:val="-14"/>
        </w:rPr>
        <w:t xml:space="preserve"> </w:t>
      </w:r>
      <w:r>
        <w:t>liveability,</w:t>
      </w:r>
      <w:r>
        <w:rPr>
          <w:spacing w:val="-14"/>
        </w:rPr>
        <w:t xml:space="preserve"> </w:t>
      </w:r>
      <w:r>
        <w:t>productivity</w:t>
      </w:r>
      <w:r>
        <w:rPr>
          <w:spacing w:val="-14"/>
        </w:rPr>
        <w:t xml:space="preserve"> </w:t>
      </w:r>
      <w:r>
        <w:t>and</w:t>
      </w:r>
      <w:r>
        <w:rPr>
          <w:spacing w:val="-14"/>
        </w:rPr>
        <w:t xml:space="preserve"> </w:t>
      </w:r>
      <w:r>
        <w:t>prosperity, healthy</w:t>
      </w:r>
      <w:r>
        <w:rPr>
          <w:spacing w:val="-14"/>
        </w:rPr>
        <w:t xml:space="preserve"> </w:t>
      </w:r>
      <w:r>
        <w:t>environment,</w:t>
      </w:r>
      <w:r>
        <w:rPr>
          <w:spacing w:val="-14"/>
        </w:rPr>
        <w:t xml:space="preserve"> </w:t>
      </w:r>
      <w:r>
        <w:t>accessibility</w:t>
      </w:r>
      <w:r>
        <w:rPr>
          <w:spacing w:val="-14"/>
        </w:rPr>
        <w:t xml:space="preserve"> </w:t>
      </w:r>
      <w:r>
        <w:t>and</w:t>
      </w:r>
      <w:r>
        <w:rPr>
          <w:spacing w:val="-14"/>
        </w:rPr>
        <w:t xml:space="preserve"> </w:t>
      </w:r>
      <w:r>
        <w:t>connectivity.</w:t>
      </w:r>
    </w:p>
    <w:p w:rsidR="002C1123" w:rsidRDefault="00F22F94">
      <w:pPr>
        <w:pStyle w:val="Heading7"/>
        <w:numPr>
          <w:ilvl w:val="3"/>
          <w:numId w:val="172"/>
        </w:numPr>
        <w:tabs>
          <w:tab w:val="left" w:pos="684"/>
        </w:tabs>
      </w:pPr>
      <w:r>
        <w:rPr>
          <w:spacing w:val="-2"/>
        </w:rPr>
        <w:t>connectivity</w:t>
      </w:r>
    </w:p>
    <w:p w:rsidR="002C1123" w:rsidRDefault="00F22F94">
      <w:pPr>
        <w:pStyle w:val="BodyText"/>
        <w:spacing w:before="10" w:line="249" w:lineRule="auto"/>
        <w:ind w:left="501" w:right="353" w:hanging="1"/>
      </w:pPr>
      <w:r>
        <w:t>Infrastructure</w:t>
      </w:r>
      <w:r>
        <w:rPr>
          <w:spacing w:val="-12"/>
        </w:rPr>
        <w:t xml:space="preserve"> </w:t>
      </w:r>
      <w:r>
        <w:t>worthy</w:t>
      </w:r>
      <w:r>
        <w:rPr>
          <w:spacing w:val="-12"/>
        </w:rPr>
        <w:t xml:space="preserve"> </w:t>
      </w:r>
      <w:r>
        <w:t>of</w:t>
      </w:r>
      <w:r>
        <w:rPr>
          <w:spacing w:val="-12"/>
        </w:rPr>
        <w:t xml:space="preserve"> </w:t>
      </w:r>
      <w:r>
        <w:t>consideration</w:t>
      </w:r>
      <w:r>
        <w:rPr>
          <w:spacing w:val="-12"/>
        </w:rPr>
        <w:t xml:space="preserve"> </w:t>
      </w:r>
      <w:r>
        <w:t>must</w:t>
      </w:r>
      <w:r>
        <w:rPr>
          <w:spacing w:val="-12"/>
        </w:rPr>
        <w:t xml:space="preserve"> </w:t>
      </w:r>
      <w:r>
        <w:t xml:space="preserve">deliver </w:t>
      </w:r>
      <w:r>
        <w:rPr>
          <w:w w:val="95"/>
        </w:rPr>
        <w:t xml:space="preserve">economic growth and productivity improvements by better connecting people and business with markets </w:t>
      </w:r>
      <w:r>
        <w:t>and</w:t>
      </w:r>
      <w:r>
        <w:rPr>
          <w:spacing w:val="-11"/>
        </w:rPr>
        <w:t xml:space="preserve"> </w:t>
      </w:r>
      <w:r>
        <w:t>services.</w:t>
      </w:r>
    </w:p>
    <w:p w:rsidR="002C1123" w:rsidRDefault="00F22F94">
      <w:pPr>
        <w:pStyle w:val="Heading7"/>
        <w:numPr>
          <w:ilvl w:val="3"/>
          <w:numId w:val="172"/>
        </w:numPr>
        <w:tabs>
          <w:tab w:val="left" w:pos="721"/>
        </w:tabs>
        <w:ind w:left="720" w:hanging="219"/>
      </w:pPr>
      <w:r>
        <w:t>a</w:t>
      </w:r>
      <w:r>
        <w:rPr>
          <w:spacing w:val="-1"/>
        </w:rPr>
        <w:t xml:space="preserve"> </w:t>
      </w:r>
      <w:r>
        <w:t>better</w:t>
      </w:r>
      <w:r>
        <w:rPr>
          <w:spacing w:val="-1"/>
        </w:rPr>
        <w:t xml:space="preserve"> </w:t>
      </w:r>
      <w:r>
        <w:rPr>
          <w:spacing w:val="-4"/>
        </w:rPr>
        <w:t>life</w:t>
      </w:r>
    </w:p>
    <w:p w:rsidR="002C1123" w:rsidRDefault="00F22F94">
      <w:pPr>
        <w:pStyle w:val="BodyText"/>
        <w:spacing w:before="10" w:line="249" w:lineRule="auto"/>
        <w:ind w:left="498" w:firstLine="2"/>
      </w:pPr>
      <w:r>
        <w:t>If</w:t>
      </w:r>
      <w:r>
        <w:rPr>
          <w:spacing w:val="-12"/>
        </w:rPr>
        <w:t xml:space="preserve"> </w:t>
      </w:r>
      <w:r>
        <w:t>the</w:t>
      </w:r>
      <w:r>
        <w:rPr>
          <w:spacing w:val="-12"/>
        </w:rPr>
        <w:t xml:space="preserve"> </w:t>
      </w:r>
      <w:r>
        <w:t>State</w:t>
      </w:r>
      <w:r>
        <w:rPr>
          <w:spacing w:val="-12"/>
        </w:rPr>
        <w:t xml:space="preserve"> </w:t>
      </w:r>
      <w:r>
        <w:t>is</w:t>
      </w:r>
      <w:r>
        <w:rPr>
          <w:spacing w:val="-12"/>
        </w:rPr>
        <w:t xml:space="preserve"> </w:t>
      </w:r>
      <w:r>
        <w:t>to</w:t>
      </w:r>
      <w:r>
        <w:rPr>
          <w:spacing w:val="-12"/>
        </w:rPr>
        <w:t xml:space="preserve"> </w:t>
      </w:r>
      <w:r>
        <w:t>continue</w:t>
      </w:r>
      <w:r>
        <w:rPr>
          <w:spacing w:val="-12"/>
        </w:rPr>
        <w:t xml:space="preserve"> </w:t>
      </w:r>
      <w:r>
        <w:t>to</w:t>
      </w:r>
      <w:r>
        <w:rPr>
          <w:spacing w:val="-12"/>
        </w:rPr>
        <w:t xml:space="preserve"> </w:t>
      </w:r>
      <w:r>
        <w:t>be</w:t>
      </w:r>
      <w:r>
        <w:rPr>
          <w:spacing w:val="-12"/>
        </w:rPr>
        <w:t xml:space="preserve"> </w:t>
      </w:r>
      <w:r>
        <w:t>an</w:t>
      </w:r>
      <w:r>
        <w:rPr>
          <w:spacing w:val="-12"/>
        </w:rPr>
        <w:t xml:space="preserve"> </w:t>
      </w:r>
      <w:r>
        <w:t>attractive</w:t>
      </w:r>
      <w:r>
        <w:rPr>
          <w:spacing w:val="-12"/>
        </w:rPr>
        <w:t xml:space="preserve"> </w:t>
      </w:r>
      <w:r>
        <w:t>place</w:t>
      </w:r>
      <w:r>
        <w:rPr>
          <w:spacing w:val="-12"/>
        </w:rPr>
        <w:t xml:space="preserve"> </w:t>
      </w:r>
      <w:r>
        <w:t xml:space="preserve">to </w:t>
      </w:r>
      <w:r>
        <w:rPr>
          <w:w w:val="95"/>
        </w:rPr>
        <w:t>work,</w:t>
      </w:r>
      <w:r>
        <w:rPr>
          <w:spacing w:val="-5"/>
          <w:w w:val="95"/>
        </w:rPr>
        <w:t xml:space="preserve"> </w:t>
      </w:r>
      <w:r>
        <w:rPr>
          <w:w w:val="95"/>
        </w:rPr>
        <w:t>live</w:t>
      </w:r>
      <w:r>
        <w:rPr>
          <w:spacing w:val="-5"/>
          <w:w w:val="95"/>
        </w:rPr>
        <w:t xml:space="preserve"> </w:t>
      </w:r>
      <w:r>
        <w:rPr>
          <w:w w:val="95"/>
        </w:rPr>
        <w:t>or</w:t>
      </w:r>
      <w:r>
        <w:rPr>
          <w:spacing w:val="-5"/>
          <w:w w:val="95"/>
        </w:rPr>
        <w:t xml:space="preserve"> </w:t>
      </w:r>
      <w:r>
        <w:rPr>
          <w:w w:val="95"/>
        </w:rPr>
        <w:t>start</w:t>
      </w:r>
      <w:r>
        <w:rPr>
          <w:spacing w:val="-5"/>
          <w:w w:val="95"/>
        </w:rPr>
        <w:t xml:space="preserve"> </w:t>
      </w:r>
      <w:r>
        <w:rPr>
          <w:w w:val="95"/>
        </w:rPr>
        <w:t>and</w:t>
      </w:r>
      <w:r>
        <w:rPr>
          <w:spacing w:val="-5"/>
          <w:w w:val="95"/>
        </w:rPr>
        <w:t xml:space="preserve"> </w:t>
      </w:r>
      <w:r>
        <w:rPr>
          <w:w w:val="95"/>
        </w:rPr>
        <w:t>run</w:t>
      </w:r>
      <w:r>
        <w:rPr>
          <w:spacing w:val="-5"/>
          <w:w w:val="95"/>
        </w:rPr>
        <w:t xml:space="preserve"> </w:t>
      </w:r>
      <w:r>
        <w:rPr>
          <w:w w:val="95"/>
        </w:rPr>
        <w:t>a</w:t>
      </w:r>
      <w:r>
        <w:rPr>
          <w:spacing w:val="-5"/>
          <w:w w:val="95"/>
        </w:rPr>
        <w:t xml:space="preserve"> </w:t>
      </w:r>
      <w:r>
        <w:rPr>
          <w:w w:val="95"/>
        </w:rPr>
        <w:t>business,</w:t>
      </w:r>
      <w:r>
        <w:rPr>
          <w:spacing w:val="-5"/>
          <w:w w:val="95"/>
        </w:rPr>
        <w:t xml:space="preserve"> </w:t>
      </w:r>
      <w:r>
        <w:rPr>
          <w:w w:val="95"/>
        </w:rPr>
        <w:t>infrastructure</w:t>
      </w:r>
      <w:r>
        <w:rPr>
          <w:spacing w:val="-5"/>
          <w:w w:val="95"/>
        </w:rPr>
        <w:t xml:space="preserve"> </w:t>
      </w:r>
      <w:r>
        <w:rPr>
          <w:w w:val="95"/>
        </w:rPr>
        <w:t>to</w:t>
      </w:r>
      <w:r>
        <w:rPr>
          <w:spacing w:val="-5"/>
          <w:w w:val="95"/>
        </w:rPr>
        <w:t xml:space="preserve"> </w:t>
      </w:r>
      <w:r>
        <w:rPr>
          <w:w w:val="95"/>
        </w:rPr>
        <w:t xml:space="preserve">be supported must improve the quality of life for the people </w:t>
      </w:r>
      <w:r>
        <w:t>of</w:t>
      </w:r>
      <w:r>
        <w:rPr>
          <w:spacing w:val="-10"/>
        </w:rPr>
        <w:t xml:space="preserve"> </w:t>
      </w:r>
      <w:r>
        <w:t>NSW,</w:t>
      </w:r>
      <w:r>
        <w:rPr>
          <w:spacing w:val="-10"/>
        </w:rPr>
        <w:t xml:space="preserve"> </w:t>
      </w:r>
      <w:r>
        <w:t>and</w:t>
      </w:r>
      <w:r>
        <w:rPr>
          <w:spacing w:val="-10"/>
        </w:rPr>
        <w:t xml:space="preserve"> </w:t>
      </w:r>
      <w:r>
        <w:t>the</w:t>
      </w:r>
      <w:r>
        <w:rPr>
          <w:spacing w:val="-10"/>
        </w:rPr>
        <w:t xml:space="preserve"> </w:t>
      </w:r>
      <w:r>
        <w:t>benefits</w:t>
      </w:r>
      <w:r>
        <w:rPr>
          <w:spacing w:val="-10"/>
        </w:rPr>
        <w:t xml:space="preserve"> </w:t>
      </w:r>
      <w:r>
        <w:t>must</w:t>
      </w:r>
      <w:r>
        <w:rPr>
          <w:spacing w:val="-10"/>
        </w:rPr>
        <w:t xml:space="preserve"> </w:t>
      </w:r>
      <w:r>
        <w:t>exceed</w:t>
      </w:r>
      <w:r>
        <w:rPr>
          <w:spacing w:val="-10"/>
        </w:rPr>
        <w:t xml:space="preserve"> </w:t>
      </w:r>
      <w:r>
        <w:t>the</w:t>
      </w:r>
      <w:r>
        <w:rPr>
          <w:spacing w:val="-10"/>
        </w:rPr>
        <w:t xml:space="preserve"> </w:t>
      </w:r>
      <w:r>
        <w:t>costs.</w:t>
      </w:r>
    </w:p>
    <w:p w:rsidR="002C1123" w:rsidRDefault="00F22F94">
      <w:pPr>
        <w:pStyle w:val="Heading7"/>
        <w:numPr>
          <w:ilvl w:val="3"/>
          <w:numId w:val="172"/>
        </w:numPr>
        <w:tabs>
          <w:tab w:val="left" w:pos="736"/>
        </w:tabs>
        <w:ind w:left="735" w:hanging="241"/>
      </w:pPr>
      <w:r>
        <w:rPr>
          <w:spacing w:val="-2"/>
          <w:w w:val="105"/>
        </w:rPr>
        <w:t>resilience</w:t>
      </w:r>
    </w:p>
    <w:p w:rsidR="002C1123" w:rsidRDefault="00F22F94">
      <w:pPr>
        <w:pStyle w:val="BodyText"/>
        <w:spacing w:before="10" w:line="249" w:lineRule="auto"/>
        <w:ind w:left="498" w:right="353" w:firstLine="3"/>
      </w:pPr>
      <w:r>
        <w:rPr>
          <w:w w:val="95"/>
        </w:rPr>
        <w:t xml:space="preserve">Resilient infrastructure ensures NSW has a reliable </w:t>
      </w:r>
      <w:r>
        <w:t>backbone,</w:t>
      </w:r>
      <w:r>
        <w:rPr>
          <w:spacing w:val="-14"/>
        </w:rPr>
        <w:t xml:space="preserve"> </w:t>
      </w:r>
      <w:r>
        <w:t>which</w:t>
      </w:r>
      <w:r>
        <w:rPr>
          <w:spacing w:val="-14"/>
        </w:rPr>
        <w:t xml:space="preserve"> </w:t>
      </w:r>
      <w:r>
        <w:t>meets</w:t>
      </w:r>
      <w:r>
        <w:rPr>
          <w:spacing w:val="-14"/>
        </w:rPr>
        <w:t xml:space="preserve"> </w:t>
      </w:r>
      <w:r>
        <w:t>the</w:t>
      </w:r>
      <w:r>
        <w:rPr>
          <w:spacing w:val="-14"/>
        </w:rPr>
        <w:t xml:space="preserve"> </w:t>
      </w:r>
      <w:r>
        <w:t>State’s</w:t>
      </w:r>
      <w:r>
        <w:rPr>
          <w:spacing w:val="-14"/>
        </w:rPr>
        <w:t xml:space="preserve"> </w:t>
      </w:r>
      <w:r>
        <w:t>needs</w:t>
      </w:r>
      <w:r>
        <w:rPr>
          <w:spacing w:val="-14"/>
        </w:rPr>
        <w:t xml:space="preserve"> </w:t>
      </w:r>
      <w:r>
        <w:t>now</w:t>
      </w:r>
      <w:r>
        <w:rPr>
          <w:spacing w:val="-14"/>
        </w:rPr>
        <w:t xml:space="preserve"> </w:t>
      </w:r>
      <w:r>
        <w:t>and into</w:t>
      </w:r>
      <w:r>
        <w:rPr>
          <w:spacing w:val="-9"/>
        </w:rPr>
        <w:t xml:space="preserve"> </w:t>
      </w:r>
      <w:r>
        <w:t>the</w:t>
      </w:r>
      <w:r>
        <w:rPr>
          <w:spacing w:val="-9"/>
        </w:rPr>
        <w:t xml:space="preserve"> </w:t>
      </w:r>
      <w:r>
        <w:t>future.</w:t>
      </w:r>
      <w:r>
        <w:rPr>
          <w:spacing w:val="-9"/>
        </w:rPr>
        <w:t xml:space="preserve"> </w:t>
      </w:r>
      <w:r>
        <w:t>It</w:t>
      </w:r>
      <w:r>
        <w:rPr>
          <w:spacing w:val="-9"/>
        </w:rPr>
        <w:t xml:space="preserve"> </w:t>
      </w:r>
      <w:r>
        <w:t>covers</w:t>
      </w:r>
      <w:r>
        <w:rPr>
          <w:spacing w:val="-9"/>
        </w:rPr>
        <w:t xml:space="preserve"> </w:t>
      </w:r>
      <w:r>
        <w:t>the</w:t>
      </w:r>
      <w:r>
        <w:rPr>
          <w:spacing w:val="-9"/>
        </w:rPr>
        <w:t xml:space="preserve"> </w:t>
      </w:r>
      <w:r>
        <w:t>capacity</w:t>
      </w:r>
      <w:r>
        <w:rPr>
          <w:spacing w:val="-9"/>
        </w:rPr>
        <w:t xml:space="preserve"> </w:t>
      </w:r>
      <w:r>
        <w:t>of</w:t>
      </w:r>
      <w:r>
        <w:rPr>
          <w:spacing w:val="-9"/>
        </w:rPr>
        <w:t xml:space="preserve"> </w:t>
      </w:r>
      <w:r>
        <w:t>public</w:t>
      </w:r>
      <w:r>
        <w:rPr>
          <w:spacing w:val="-9"/>
        </w:rPr>
        <w:t xml:space="preserve"> </w:t>
      </w:r>
      <w:r>
        <w:t xml:space="preserve">and </w:t>
      </w:r>
      <w:r>
        <w:rPr>
          <w:w w:val="95"/>
        </w:rPr>
        <w:t xml:space="preserve">private infrastructure to withstand disruption, absorb </w:t>
      </w:r>
      <w:r>
        <w:t>disturbances,</w:t>
      </w:r>
      <w:r>
        <w:rPr>
          <w:spacing w:val="-11"/>
        </w:rPr>
        <w:t xml:space="preserve"> </w:t>
      </w:r>
      <w:r>
        <w:t>act</w:t>
      </w:r>
      <w:r>
        <w:rPr>
          <w:spacing w:val="-11"/>
        </w:rPr>
        <w:t xml:space="preserve"> </w:t>
      </w:r>
      <w:r>
        <w:t>effectively</w:t>
      </w:r>
      <w:r>
        <w:rPr>
          <w:spacing w:val="-11"/>
        </w:rPr>
        <w:t xml:space="preserve"> </w:t>
      </w:r>
      <w:r>
        <w:t>in</w:t>
      </w:r>
      <w:r>
        <w:rPr>
          <w:spacing w:val="-11"/>
        </w:rPr>
        <w:t xml:space="preserve"> </w:t>
      </w:r>
      <w:r>
        <w:t>crisis</w:t>
      </w:r>
      <w:r>
        <w:rPr>
          <w:spacing w:val="-11"/>
        </w:rPr>
        <w:t xml:space="preserve"> </w:t>
      </w:r>
      <w:r>
        <w:t>and</w:t>
      </w:r>
      <w:r>
        <w:rPr>
          <w:spacing w:val="-11"/>
        </w:rPr>
        <w:t xml:space="preserve"> </w:t>
      </w:r>
      <w:r>
        <w:t>deal</w:t>
      </w:r>
      <w:r>
        <w:rPr>
          <w:spacing w:val="-11"/>
        </w:rPr>
        <w:t xml:space="preserve"> </w:t>
      </w:r>
      <w:r>
        <w:t xml:space="preserve">with </w:t>
      </w:r>
      <w:r>
        <w:rPr>
          <w:w w:val="95"/>
        </w:rPr>
        <w:t>climatic</w:t>
      </w:r>
      <w:r>
        <w:rPr>
          <w:spacing w:val="-2"/>
          <w:w w:val="95"/>
        </w:rPr>
        <w:t xml:space="preserve"> </w:t>
      </w:r>
      <w:r>
        <w:rPr>
          <w:w w:val="95"/>
        </w:rPr>
        <w:t>variability.</w:t>
      </w:r>
      <w:r>
        <w:rPr>
          <w:spacing w:val="-2"/>
          <w:w w:val="95"/>
        </w:rPr>
        <w:t xml:space="preserve"> </w:t>
      </w:r>
      <w:r>
        <w:rPr>
          <w:w w:val="95"/>
        </w:rPr>
        <w:t>Infrastructure</w:t>
      </w:r>
      <w:r>
        <w:rPr>
          <w:spacing w:val="-2"/>
          <w:w w:val="95"/>
        </w:rPr>
        <w:t xml:space="preserve"> </w:t>
      </w:r>
      <w:r>
        <w:rPr>
          <w:w w:val="95"/>
        </w:rPr>
        <w:t>that</w:t>
      </w:r>
      <w:r>
        <w:rPr>
          <w:spacing w:val="-2"/>
          <w:w w:val="95"/>
        </w:rPr>
        <w:t xml:space="preserve"> </w:t>
      </w:r>
      <w:r>
        <w:rPr>
          <w:w w:val="95"/>
        </w:rPr>
        <w:t>fails</w:t>
      </w:r>
      <w:r>
        <w:rPr>
          <w:spacing w:val="-2"/>
          <w:w w:val="95"/>
        </w:rPr>
        <w:t xml:space="preserve"> </w:t>
      </w:r>
      <w:r>
        <w:rPr>
          <w:w w:val="95"/>
        </w:rPr>
        <w:t>at</w:t>
      </w:r>
      <w:r>
        <w:rPr>
          <w:spacing w:val="-2"/>
          <w:w w:val="95"/>
        </w:rPr>
        <w:t xml:space="preserve"> </w:t>
      </w:r>
      <w:r>
        <w:rPr>
          <w:w w:val="95"/>
        </w:rPr>
        <w:t>times</w:t>
      </w:r>
      <w:r>
        <w:rPr>
          <w:spacing w:val="-2"/>
          <w:w w:val="95"/>
        </w:rPr>
        <w:t xml:space="preserve"> </w:t>
      </w:r>
      <w:r>
        <w:rPr>
          <w:w w:val="95"/>
        </w:rPr>
        <w:t xml:space="preserve">of </w:t>
      </w:r>
      <w:r>
        <w:t>greatest</w:t>
      </w:r>
      <w:r>
        <w:rPr>
          <w:spacing w:val="-13"/>
        </w:rPr>
        <w:t xml:space="preserve"> </w:t>
      </w:r>
      <w:r>
        <w:t>need</w:t>
      </w:r>
      <w:r>
        <w:rPr>
          <w:spacing w:val="-13"/>
        </w:rPr>
        <w:t xml:space="preserve"> </w:t>
      </w:r>
      <w:r>
        <w:t>is</w:t>
      </w:r>
      <w:r>
        <w:rPr>
          <w:spacing w:val="-13"/>
        </w:rPr>
        <w:t xml:space="preserve"> </w:t>
      </w:r>
      <w:r>
        <w:t>not</w:t>
      </w:r>
      <w:r>
        <w:rPr>
          <w:spacing w:val="-13"/>
        </w:rPr>
        <w:t xml:space="preserve"> </w:t>
      </w:r>
      <w:r>
        <w:t>resilient</w:t>
      </w:r>
      <w:r>
        <w:rPr>
          <w:spacing w:val="-13"/>
        </w:rPr>
        <w:t xml:space="preserve"> </w:t>
      </w:r>
      <w:r>
        <w:t>and</w:t>
      </w:r>
      <w:r>
        <w:rPr>
          <w:spacing w:val="-13"/>
        </w:rPr>
        <w:t xml:space="preserve"> </w:t>
      </w:r>
      <w:r>
        <w:t>is</w:t>
      </w:r>
      <w:r>
        <w:rPr>
          <w:spacing w:val="-13"/>
        </w:rPr>
        <w:t xml:space="preserve"> </w:t>
      </w:r>
      <w:r>
        <w:t>not</w:t>
      </w:r>
      <w:r>
        <w:rPr>
          <w:spacing w:val="-13"/>
        </w:rPr>
        <w:t xml:space="preserve"> </w:t>
      </w:r>
      <w:r>
        <w:t>serving</w:t>
      </w:r>
      <w:r>
        <w:rPr>
          <w:spacing w:val="-13"/>
        </w:rPr>
        <w:t xml:space="preserve"> </w:t>
      </w:r>
      <w:r>
        <w:t xml:space="preserve">the </w:t>
      </w:r>
      <w:r>
        <w:rPr>
          <w:spacing w:val="-2"/>
        </w:rPr>
        <w:t>public</w:t>
      </w:r>
      <w:r>
        <w:rPr>
          <w:spacing w:val="-7"/>
        </w:rPr>
        <w:t xml:space="preserve"> </w:t>
      </w:r>
      <w:r>
        <w:rPr>
          <w:spacing w:val="-2"/>
        </w:rPr>
        <w:t>interest</w:t>
      </w:r>
      <w:r>
        <w:rPr>
          <w:spacing w:val="-7"/>
        </w:rPr>
        <w:t xml:space="preserve"> </w:t>
      </w:r>
      <w:r>
        <w:rPr>
          <w:spacing w:val="-2"/>
        </w:rPr>
        <w:t>because</w:t>
      </w:r>
      <w:r>
        <w:rPr>
          <w:spacing w:val="-7"/>
        </w:rPr>
        <w:t xml:space="preserve"> </w:t>
      </w:r>
      <w:r>
        <w:rPr>
          <w:spacing w:val="-2"/>
        </w:rPr>
        <w:t>it</w:t>
      </w:r>
      <w:r>
        <w:rPr>
          <w:spacing w:val="-7"/>
        </w:rPr>
        <w:t xml:space="preserve"> </w:t>
      </w:r>
      <w:r>
        <w:rPr>
          <w:spacing w:val="-2"/>
        </w:rPr>
        <w:t>destroys</w:t>
      </w:r>
      <w:r>
        <w:rPr>
          <w:spacing w:val="-7"/>
        </w:rPr>
        <w:t xml:space="preserve"> </w:t>
      </w:r>
      <w:r>
        <w:rPr>
          <w:spacing w:val="-2"/>
        </w:rPr>
        <w:t>economic</w:t>
      </w:r>
      <w:r>
        <w:rPr>
          <w:spacing w:val="-7"/>
        </w:rPr>
        <w:t xml:space="preserve"> </w:t>
      </w:r>
      <w:r>
        <w:rPr>
          <w:spacing w:val="-2"/>
        </w:rPr>
        <w:t>value.</w:t>
      </w:r>
    </w:p>
    <w:p w:rsidR="002C1123" w:rsidRDefault="002060EF">
      <w:pPr>
        <w:pStyle w:val="BodyText"/>
        <w:spacing w:before="10"/>
        <w:rPr>
          <w:sz w:val="9"/>
        </w:rPr>
      </w:pPr>
      <w:r>
        <w:pict>
          <v:shape id="docshape251" o:spid="_x0000_s5048" style="position:absolute;margin-left:49.6pt;margin-top:6.9pt;width:1in;height:.1pt;z-index:-251422720;mso-wrap-distance-left:0;mso-wrap-distance-right:0;mso-position-horizontal-relative:page" coordorigin="992,138" coordsize="1440,0" path="m992,138r1440,e" filled="f" strokecolor="#9c9c9d" strokeweight=".5pt">
            <v:path arrowok="t"/>
            <w10:wrap type="topAndBottom" anchorx="page"/>
          </v:shape>
        </w:pict>
      </w:r>
    </w:p>
    <w:p w:rsidR="002C1123" w:rsidRDefault="00F22F94">
      <w:pPr>
        <w:pStyle w:val="ListParagraph"/>
        <w:numPr>
          <w:ilvl w:val="0"/>
          <w:numId w:val="159"/>
        </w:numPr>
        <w:tabs>
          <w:tab w:val="left" w:pos="691"/>
        </w:tabs>
        <w:spacing w:before="23"/>
        <w:ind w:left="703" w:right="141" w:hanging="218"/>
        <w:jc w:val="both"/>
        <w:rPr>
          <w:sz w:val="14"/>
        </w:rPr>
      </w:pPr>
      <w:r>
        <w:rPr>
          <w:w w:val="95"/>
          <w:sz w:val="14"/>
        </w:rPr>
        <w:t>Deloitte Access Economics 2012, Economic Evaluation, CGE Models and</w:t>
      </w:r>
      <w:r>
        <w:rPr>
          <w:spacing w:val="40"/>
          <w:sz w:val="14"/>
        </w:rPr>
        <w:t xml:space="preserve"> </w:t>
      </w:r>
      <w:r>
        <w:rPr>
          <w:w w:val="95"/>
          <w:sz w:val="14"/>
        </w:rPr>
        <w:t>Infrastructure and State Infrastructure Strategy Prioritisation Assessment,</w:t>
      </w:r>
      <w:r>
        <w:rPr>
          <w:spacing w:val="40"/>
          <w:sz w:val="14"/>
        </w:rPr>
        <w:t xml:space="preserve"> </w:t>
      </w:r>
      <w:r>
        <w:rPr>
          <w:sz w:val="14"/>
        </w:rPr>
        <w:t>Report to Infrastructure NSW.</w:t>
      </w:r>
    </w:p>
    <w:p w:rsidR="002C1123" w:rsidRDefault="00F22F94">
      <w:pPr>
        <w:pStyle w:val="Heading6"/>
        <w:ind w:left="213"/>
      </w:pPr>
      <w:r>
        <w:rPr>
          <w:b w:val="0"/>
        </w:rPr>
        <w:br w:type="column"/>
      </w:r>
      <w:r>
        <w:rPr>
          <w:spacing w:val="-2"/>
        </w:rPr>
        <w:t>Economic</w:t>
      </w:r>
      <w:r>
        <w:rPr>
          <w:spacing w:val="-3"/>
        </w:rPr>
        <w:t xml:space="preserve"> </w:t>
      </w:r>
      <w:r>
        <w:rPr>
          <w:spacing w:val="-2"/>
        </w:rPr>
        <w:t>assessment</w:t>
      </w:r>
    </w:p>
    <w:p w:rsidR="002C1123" w:rsidRDefault="00F22F94">
      <w:pPr>
        <w:pStyle w:val="BodyText"/>
        <w:spacing w:before="10" w:line="249" w:lineRule="auto"/>
        <w:ind w:left="214" w:hanging="2"/>
      </w:pPr>
      <w:r>
        <w:t>Economic</w:t>
      </w:r>
      <w:r>
        <w:rPr>
          <w:spacing w:val="-11"/>
        </w:rPr>
        <w:t xml:space="preserve"> </w:t>
      </w:r>
      <w:r>
        <w:t>benefit</w:t>
      </w:r>
      <w:r>
        <w:rPr>
          <w:spacing w:val="-11"/>
        </w:rPr>
        <w:t xml:space="preserve"> </w:t>
      </w:r>
      <w:r>
        <w:t>cost</w:t>
      </w:r>
      <w:r>
        <w:rPr>
          <w:spacing w:val="-11"/>
        </w:rPr>
        <w:t xml:space="preserve"> </w:t>
      </w:r>
      <w:r>
        <w:t>analysis</w:t>
      </w:r>
      <w:r>
        <w:rPr>
          <w:spacing w:val="-11"/>
        </w:rPr>
        <w:t xml:space="preserve"> </w:t>
      </w:r>
      <w:r>
        <w:t>is</w:t>
      </w:r>
      <w:r>
        <w:rPr>
          <w:spacing w:val="-11"/>
        </w:rPr>
        <w:t xml:space="preserve"> </w:t>
      </w:r>
      <w:r>
        <w:t>the</w:t>
      </w:r>
      <w:r>
        <w:rPr>
          <w:spacing w:val="-11"/>
        </w:rPr>
        <w:t xml:space="preserve"> </w:t>
      </w:r>
      <w:r>
        <w:t>standard</w:t>
      </w:r>
      <w:r>
        <w:rPr>
          <w:spacing w:val="-11"/>
        </w:rPr>
        <w:t xml:space="preserve"> </w:t>
      </w:r>
      <w:r>
        <w:t>tool</w:t>
      </w:r>
      <w:r>
        <w:rPr>
          <w:spacing w:val="-11"/>
        </w:rPr>
        <w:t xml:space="preserve"> </w:t>
      </w:r>
      <w:r>
        <w:t xml:space="preserve">for </w:t>
      </w:r>
      <w:r>
        <w:rPr>
          <w:w w:val="95"/>
        </w:rPr>
        <w:t>rigorous</w:t>
      </w:r>
      <w:r>
        <w:rPr>
          <w:spacing w:val="-4"/>
          <w:w w:val="95"/>
        </w:rPr>
        <w:t xml:space="preserve"> </w:t>
      </w:r>
      <w:r>
        <w:rPr>
          <w:w w:val="95"/>
        </w:rPr>
        <w:t>and</w:t>
      </w:r>
      <w:r>
        <w:rPr>
          <w:spacing w:val="-4"/>
          <w:w w:val="95"/>
        </w:rPr>
        <w:t xml:space="preserve"> </w:t>
      </w:r>
      <w:r>
        <w:rPr>
          <w:w w:val="95"/>
        </w:rPr>
        <w:t>objective</w:t>
      </w:r>
      <w:r>
        <w:rPr>
          <w:spacing w:val="-4"/>
          <w:w w:val="95"/>
        </w:rPr>
        <w:t xml:space="preserve"> </w:t>
      </w:r>
      <w:r>
        <w:rPr>
          <w:w w:val="95"/>
        </w:rPr>
        <w:t>project</w:t>
      </w:r>
      <w:r>
        <w:rPr>
          <w:spacing w:val="-4"/>
          <w:w w:val="95"/>
        </w:rPr>
        <w:t xml:space="preserve"> </w:t>
      </w:r>
      <w:r>
        <w:rPr>
          <w:w w:val="95"/>
        </w:rPr>
        <w:t>assessment.</w:t>
      </w:r>
      <w:r>
        <w:rPr>
          <w:spacing w:val="-4"/>
          <w:w w:val="95"/>
        </w:rPr>
        <w:t xml:space="preserve"> </w:t>
      </w:r>
      <w:r>
        <w:rPr>
          <w:w w:val="95"/>
        </w:rPr>
        <w:t>To</w:t>
      </w:r>
      <w:r>
        <w:rPr>
          <w:spacing w:val="-4"/>
          <w:w w:val="95"/>
        </w:rPr>
        <w:t xml:space="preserve"> </w:t>
      </w:r>
      <w:r>
        <w:rPr>
          <w:w w:val="95"/>
        </w:rPr>
        <w:t>the</w:t>
      </w:r>
      <w:r>
        <w:rPr>
          <w:spacing w:val="-4"/>
          <w:w w:val="95"/>
        </w:rPr>
        <w:t xml:space="preserve"> </w:t>
      </w:r>
      <w:r>
        <w:rPr>
          <w:w w:val="95"/>
        </w:rPr>
        <w:t xml:space="preserve">extent </w:t>
      </w:r>
      <w:r>
        <w:t>possible</w:t>
      </w:r>
      <w:r>
        <w:rPr>
          <w:spacing w:val="-14"/>
        </w:rPr>
        <w:t xml:space="preserve"> </w:t>
      </w:r>
      <w:r>
        <w:t>it</w:t>
      </w:r>
      <w:r>
        <w:rPr>
          <w:spacing w:val="-14"/>
        </w:rPr>
        <w:t xml:space="preserve"> </w:t>
      </w:r>
      <w:r>
        <w:t>monetises</w:t>
      </w:r>
      <w:r>
        <w:rPr>
          <w:spacing w:val="-14"/>
        </w:rPr>
        <w:t xml:space="preserve"> </w:t>
      </w:r>
      <w:r>
        <w:t>all</w:t>
      </w:r>
      <w:r>
        <w:rPr>
          <w:spacing w:val="-14"/>
        </w:rPr>
        <w:t xml:space="preserve"> </w:t>
      </w:r>
      <w:r>
        <w:t>financial</w:t>
      </w:r>
      <w:r>
        <w:rPr>
          <w:spacing w:val="-14"/>
        </w:rPr>
        <w:t xml:space="preserve"> </w:t>
      </w:r>
      <w:r>
        <w:t>and</w:t>
      </w:r>
      <w:r>
        <w:rPr>
          <w:spacing w:val="-14"/>
        </w:rPr>
        <w:t xml:space="preserve"> </w:t>
      </w:r>
      <w:r>
        <w:t>non-financial impacts</w:t>
      </w:r>
      <w:r>
        <w:rPr>
          <w:spacing w:val="-9"/>
        </w:rPr>
        <w:t xml:space="preserve"> </w:t>
      </w:r>
      <w:r>
        <w:t>of</w:t>
      </w:r>
      <w:r>
        <w:rPr>
          <w:spacing w:val="-9"/>
        </w:rPr>
        <w:t xml:space="preserve"> </w:t>
      </w:r>
      <w:r>
        <w:t>a</w:t>
      </w:r>
      <w:r>
        <w:rPr>
          <w:spacing w:val="-9"/>
        </w:rPr>
        <w:t xml:space="preserve"> </w:t>
      </w:r>
      <w:r>
        <w:t>project</w:t>
      </w:r>
      <w:r>
        <w:rPr>
          <w:spacing w:val="-9"/>
        </w:rPr>
        <w:t xml:space="preserve"> </w:t>
      </w:r>
      <w:r>
        <w:t>to</w:t>
      </w:r>
      <w:r>
        <w:rPr>
          <w:spacing w:val="-9"/>
        </w:rPr>
        <w:t xml:space="preserve"> </w:t>
      </w:r>
      <w:r>
        <w:t>determine</w:t>
      </w:r>
      <w:r>
        <w:rPr>
          <w:spacing w:val="-9"/>
        </w:rPr>
        <w:t xml:space="preserve"> </w:t>
      </w:r>
      <w:r>
        <w:t>whether</w:t>
      </w:r>
      <w:r>
        <w:rPr>
          <w:spacing w:val="-9"/>
        </w:rPr>
        <w:t xml:space="preserve"> </w:t>
      </w:r>
      <w:r>
        <w:t>it</w:t>
      </w:r>
      <w:r>
        <w:rPr>
          <w:spacing w:val="-9"/>
        </w:rPr>
        <w:t xml:space="preserve"> </w:t>
      </w:r>
      <w:r>
        <w:t>offers</w:t>
      </w:r>
      <w:r>
        <w:rPr>
          <w:spacing w:val="-9"/>
        </w:rPr>
        <w:t xml:space="preserve"> </w:t>
      </w:r>
      <w:r>
        <w:t>net benefits to society.</w:t>
      </w:r>
    </w:p>
    <w:p w:rsidR="002C1123" w:rsidRDefault="00F22F94">
      <w:pPr>
        <w:pStyle w:val="BodyText"/>
        <w:spacing w:before="146" w:line="249" w:lineRule="auto"/>
        <w:ind w:left="211" w:right="582"/>
      </w:pPr>
      <w:r>
        <w:rPr>
          <w:spacing w:val="-2"/>
        </w:rPr>
        <w:t>Projects</w:t>
      </w:r>
      <w:r>
        <w:rPr>
          <w:spacing w:val="-11"/>
        </w:rPr>
        <w:t xml:space="preserve"> </w:t>
      </w:r>
      <w:r>
        <w:rPr>
          <w:spacing w:val="-2"/>
        </w:rPr>
        <w:t>or</w:t>
      </w:r>
      <w:r>
        <w:rPr>
          <w:spacing w:val="-11"/>
        </w:rPr>
        <w:t xml:space="preserve"> </w:t>
      </w:r>
      <w:r>
        <w:rPr>
          <w:spacing w:val="-2"/>
        </w:rPr>
        <w:t>reforms</w:t>
      </w:r>
      <w:r>
        <w:rPr>
          <w:spacing w:val="-11"/>
        </w:rPr>
        <w:t xml:space="preserve"> </w:t>
      </w:r>
      <w:r>
        <w:rPr>
          <w:spacing w:val="-2"/>
        </w:rPr>
        <w:t>that</w:t>
      </w:r>
      <w:r>
        <w:rPr>
          <w:spacing w:val="-11"/>
        </w:rPr>
        <w:t xml:space="preserve"> </w:t>
      </w:r>
      <w:r>
        <w:rPr>
          <w:spacing w:val="-2"/>
        </w:rPr>
        <w:t>demonstrate</w:t>
      </w:r>
      <w:r>
        <w:rPr>
          <w:spacing w:val="-11"/>
        </w:rPr>
        <w:t xml:space="preserve"> </w:t>
      </w:r>
      <w:r>
        <w:rPr>
          <w:spacing w:val="-2"/>
        </w:rPr>
        <w:t>a</w:t>
      </w:r>
      <w:r>
        <w:rPr>
          <w:spacing w:val="-11"/>
        </w:rPr>
        <w:t xml:space="preserve"> </w:t>
      </w:r>
      <w:r>
        <w:rPr>
          <w:spacing w:val="-2"/>
        </w:rPr>
        <w:t xml:space="preserve">potential </w:t>
      </w:r>
      <w:r>
        <w:rPr>
          <w:w w:val="95"/>
        </w:rPr>
        <w:t>to</w:t>
      </w:r>
      <w:r>
        <w:rPr>
          <w:spacing w:val="-6"/>
          <w:w w:val="95"/>
        </w:rPr>
        <w:t xml:space="preserve"> </w:t>
      </w:r>
      <w:r>
        <w:rPr>
          <w:w w:val="95"/>
        </w:rPr>
        <w:t>generate</w:t>
      </w:r>
      <w:r>
        <w:rPr>
          <w:spacing w:val="-6"/>
          <w:w w:val="95"/>
        </w:rPr>
        <w:t xml:space="preserve"> </w:t>
      </w:r>
      <w:r>
        <w:rPr>
          <w:w w:val="95"/>
        </w:rPr>
        <w:t>positive</w:t>
      </w:r>
      <w:r>
        <w:rPr>
          <w:spacing w:val="-6"/>
          <w:w w:val="95"/>
        </w:rPr>
        <w:t xml:space="preserve"> </w:t>
      </w:r>
      <w:r>
        <w:rPr>
          <w:w w:val="95"/>
        </w:rPr>
        <w:t>economic</w:t>
      </w:r>
      <w:r>
        <w:rPr>
          <w:spacing w:val="-6"/>
          <w:w w:val="95"/>
        </w:rPr>
        <w:t xml:space="preserve"> </w:t>
      </w:r>
      <w:r>
        <w:rPr>
          <w:w w:val="95"/>
        </w:rPr>
        <w:t>returns</w:t>
      </w:r>
      <w:r>
        <w:rPr>
          <w:spacing w:val="-6"/>
          <w:w w:val="95"/>
        </w:rPr>
        <w:t xml:space="preserve"> </w:t>
      </w:r>
      <w:r>
        <w:rPr>
          <w:w w:val="95"/>
        </w:rPr>
        <w:t>have</w:t>
      </w:r>
      <w:r>
        <w:rPr>
          <w:spacing w:val="-6"/>
          <w:w w:val="95"/>
        </w:rPr>
        <w:t xml:space="preserve"> </w:t>
      </w:r>
      <w:r>
        <w:rPr>
          <w:w w:val="95"/>
        </w:rPr>
        <w:t>been</w:t>
      </w:r>
    </w:p>
    <w:p w:rsidR="002C1123" w:rsidRDefault="00F22F94">
      <w:pPr>
        <w:pStyle w:val="BodyText"/>
        <w:spacing w:before="1" w:line="249" w:lineRule="auto"/>
        <w:ind w:left="215" w:hanging="1"/>
      </w:pPr>
      <w:r>
        <w:rPr>
          <w:w w:val="95"/>
        </w:rPr>
        <w:t>prioritised</w:t>
      </w:r>
      <w:r>
        <w:rPr>
          <w:spacing w:val="-6"/>
          <w:w w:val="95"/>
        </w:rPr>
        <w:t xml:space="preserve"> </w:t>
      </w:r>
      <w:r>
        <w:rPr>
          <w:w w:val="95"/>
        </w:rPr>
        <w:t>accordingly</w:t>
      </w:r>
      <w:r>
        <w:rPr>
          <w:spacing w:val="-6"/>
          <w:w w:val="95"/>
        </w:rPr>
        <w:t xml:space="preserve"> </w:t>
      </w:r>
      <w:r>
        <w:rPr>
          <w:w w:val="95"/>
        </w:rPr>
        <w:t>by</w:t>
      </w:r>
      <w:r>
        <w:rPr>
          <w:spacing w:val="-6"/>
          <w:w w:val="95"/>
        </w:rPr>
        <w:t xml:space="preserve"> </w:t>
      </w:r>
      <w:r>
        <w:rPr>
          <w:w w:val="95"/>
        </w:rPr>
        <w:t>Infrastructure</w:t>
      </w:r>
      <w:r>
        <w:rPr>
          <w:spacing w:val="-6"/>
          <w:w w:val="95"/>
        </w:rPr>
        <w:t xml:space="preserve"> </w:t>
      </w:r>
      <w:r>
        <w:rPr>
          <w:w w:val="95"/>
        </w:rPr>
        <w:t>NSW.</w:t>
      </w:r>
      <w:r>
        <w:rPr>
          <w:spacing w:val="-6"/>
          <w:w w:val="95"/>
        </w:rPr>
        <w:t xml:space="preserve"> </w:t>
      </w:r>
      <w:r>
        <w:rPr>
          <w:w w:val="95"/>
        </w:rPr>
        <w:t>It</w:t>
      </w:r>
      <w:r>
        <w:rPr>
          <w:spacing w:val="-6"/>
          <w:w w:val="95"/>
        </w:rPr>
        <w:t xml:space="preserve"> </w:t>
      </w:r>
      <w:r>
        <w:rPr>
          <w:w w:val="95"/>
        </w:rPr>
        <w:t xml:space="preserve">should </w:t>
      </w:r>
      <w:r>
        <w:t>however</w:t>
      </w:r>
      <w:r>
        <w:rPr>
          <w:spacing w:val="-10"/>
        </w:rPr>
        <w:t xml:space="preserve"> </w:t>
      </w:r>
      <w:r>
        <w:t>be</w:t>
      </w:r>
      <w:r>
        <w:rPr>
          <w:spacing w:val="-10"/>
        </w:rPr>
        <w:t xml:space="preserve"> </w:t>
      </w:r>
      <w:r>
        <w:t>noted</w:t>
      </w:r>
      <w:r>
        <w:rPr>
          <w:spacing w:val="-10"/>
        </w:rPr>
        <w:t xml:space="preserve"> </w:t>
      </w:r>
      <w:r>
        <w:t>that</w:t>
      </w:r>
      <w:r>
        <w:rPr>
          <w:spacing w:val="-10"/>
        </w:rPr>
        <w:t xml:space="preserve"> </w:t>
      </w:r>
      <w:r>
        <w:t>in</w:t>
      </w:r>
      <w:r>
        <w:rPr>
          <w:spacing w:val="-10"/>
        </w:rPr>
        <w:t xml:space="preserve"> </w:t>
      </w:r>
      <w:r>
        <w:t>some</w:t>
      </w:r>
      <w:r>
        <w:rPr>
          <w:spacing w:val="-10"/>
        </w:rPr>
        <w:t xml:space="preserve"> </w:t>
      </w:r>
      <w:r>
        <w:t>cases</w:t>
      </w:r>
      <w:r>
        <w:rPr>
          <w:spacing w:val="-10"/>
        </w:rPr>
        <w:t xml:space="preserve"> </w:t>
      </w:r>
      <w:r>
        <w:t>projects</w:t>
      </w:r>
      <w:r>
        <w:rPr>
          <w:spacing w:val="-10"/>
        </w:rPr>
        <w:t xml:space="preserve"> </w:t>
      </w:r>
      <w:r>
        <w:t>are</w:t>
      </w:r>
    </w:p>
    <w:p w:rsidR="002C1123" w:rsidRDefault="00F22F94">
      <w:pPr>
        <w:pStyle w:val="BodyText"/>
        <w:spacing w:before="2" w:line="249" w:lineRule="auto"/>
        <w:ind w:left="214" w:right="414" w:hanging="3"/>
      </w:pPr>
      <w:r>
        <w:rPr>
          <w:w w:val="95"/>
        </w:rPr>
        <w:t xml:space="preserve">at an early development stage and economic merit </w:t>
      </w:r>
      <w:r>
        <w:t>is</w:t>
      </w:r>
      <w:r>
        <w:rPr>
          <w:spacing w:val="-9"/>
        </w:rPr>
        <w:t xml:space="preserve"> </w:t>
      </w:r>
      <w:r>
        <w:t>correspondingly</w:t>
      </w:r>
      <w:r>
        <w:rPr>
          <w:spacing w:val="-9"/>
        </w:rPr>
        <w:t xml:space="preserve"> </w:t>
      </w:r>
      <w:r>
        <w:t>uncertain.</w:t>
      </w:r>
      <w:r>
        <w:rPr>
          <w:spacing w:val="-9"/>
        </w:rPr>
        <w:t xml:space="preserve"> </w:t>
      </w:r>
      <w:r>
        <w:t>In</w:t>
      </w:r>
      <w:r>
        <w:rPr>
          <w:spacing w:val="-9"/>
        </w:rPr>
        <w:t xml:space="preserve"> </w:t>
      </w:r>
      <w:r>
        <w:t>these</w:t>
      </w:r>
      <w:r>
        <w:rPr>
          <w:spacing w:val="-10"/>
        </w:rPr>
        <w:t xml:space="preserve"> </w:t>
      </w:r>
      <w:r>
        <w:t>cases</w:t>
      </w:r>
      <w:r>
        <w:rPr>
          <w:spacing w:val="-9"/>
        </w:rPr>
        <w:t xml:space="preserve"> </w:t>
      </w:r>
      <w:r>
        <w:t xml:space="preserve">the </w:t>
      </w:r>
      <w:r>
        <w:rPr>
          <w:w w:val="95"/>
        </w:rPr>
        <w:t>recommended priority determined by Infrastructure</w:t>
      </w:r>
    </w:p>
    <w:p w:rsidR="002C1123" w:rsidRDefault="00F22F94">
      <w:pPr>
        <w:pStyle w:val="BodyText"/>
        <w:spacing w:before="2" w:line="249" w:lineRule="auto"/>
        <w:ind w:left="217" w:hanging="5"/>
      </w:pPr>
      <w:r>
        <w:rPr>
          <w:w w:val="95"/>
        </w:rPr>
        <w:t>NSW</w:t>
      </w:r>
      <w:r>
        <w:rPr>
          <w:spacing w:val="-7"/>
          <w:w w:val="95"/>
        </w:rPr>
        <w:t xml:space="preserve"> </w:t>
      </w:r>
      <w:r>
        <w:rPr>
          <w:w w:val="95"/>
        </w:rPr>
        <w:t>is</w:t>
      </w:r>
      <w:r>
        <w:rPr>
          <w:spacing w:val="-7"/>
          <w:w w:val="95"/>
        </w:rPr>
        <w:t xml:space="preserve"> </w:t>
      </w:r>
      <w:r>
        <w:rPr>
          <w:w w:val="95"/>
        </w:rPr>
        <w:t>necessarily</w:t>
      </w:r>
      <w:r>
        <w:rPr>
          <w:spacing w:val="-7"/>
          <w:w w:val="95"/>
        </w:rPr>
        <w:t xml:space="preserve"> </w:t>
      </w:r>
      <w:r>
        <w:rPr>
          <w:w w:val="95"/>
        </w:rPr>
        <w:t>more</w:t>
      </w:r>
      <w:r>
        <w:rPr>
          <w:spacing w:val="-7"/>
          <w:w w:val="95"/>
        </w:rPr>
        <w:t xml:space="preserve"> </w:t>
      </w:r>
      <w:r>
        <w:rPr>
          <w:w w:val="95"/>
        </w:rPr>
        <w:t>indicative,</w:t>
      </w:r>
      <w:r>
        <w:rPr>
          <w:spacing w:val="-7"/>
          <w:w w:val="95"/>
        </w:rPr>
        <w:t xml:space="preserve"> </w:t>
      </w:r>
      <w:r>
        <w:rPr>
          <w:w w:val="95"/>
        </w:rPr>
        <w:t>and</w:t>
      </w:r>
      <w:r>
        <w:rPr>
          <w:spacing w:val="-7"/>
          <w:w w:val="95"/>
        </w:rPr>
        <w:t xml:space="preserve"> </w:t>
      </w:r>
      <w:r>
        <w:rPr>
          <w:w w:val="95"/>
        </w:rPr>
        <w:t>could</w:t>
      </w:r>
      <w:r>
        <w:rPr>
          <w:spacing w:val="-7"/>
          <w:w w:val="95"/>
        </w:rPr>
        <w:t xml:space="preserve"> </w:t>
      </w:r>
      <w:r>
        <w:rPr>
          <w:w w:val="95"/>
        </w:rPr>
        <w:t>change</w:t>
      </w:r>
      <w:r>
        <w:rPr>
          <w:spacing w:val="-7"/>
          <w:w w:val="95"/>
        </w:rPr>
        <w:t xml:space="preserve"> </w:t>
      </w:r>
      <w:r>
        <w:rPr>
          <w:w w:val="95"/>
        </w:rPr>
        <w:t xml:space="preserve">in </w:t>
      </w:r>
      <w:r>
        <w:t>light</w:t>
      </w:r>
      <w:r>
        <w:rPr>
          <w:spacing w:val="-3"/>
        </w:rPr>
        <w:t xml:space="preserve"> </w:t>
      </w:r>
      <w:r>
        <w:t>of</w:t>
      </w:r>
      <w:r>
        <w:rPr>
          <w:spacing w:val="-3"/>
        </w:rPr>
        <w:t xml:space="preserve"> </w:t>
      </w:r>
      <w:r>
        <w:t>further</w:t>
      </w:r>
      <w:r>
        <w:rPr>
          <w:spacing w:val="-3"/>
        </w:rPr>
        <w:t xml:space="preserve"> </w:t>
      </w:r>
      <w:r>
        <w:t>detailed</w:t>
      </w:r>
      <w:r>
        <w:rPr>
          <w:spacing w:val="-3"/>
        </w:rPr>
        <w:t xml:space="preserve"> </w:t>
      </w:r>
      <w:r>
        <w:t>analysis.</w:t>
      </w:r>
    </w:p>
    <w:p w:rsidR="002C1123" w:rsidRDefault="00F22F94">
      <w:pPr>
        <w:pStyle w:val="Heading6"/>
        <w:spacing w:before="144"/>
        <w:ind w:left="213"/>
      </w:pPr>
      <w:r>
        <w:t>Risk</w:t>
      </w:r>
      <w:r>
        <w:rPr>
          <w:spacing w:val="-14"/>
        </w:rPr>
        <w:t xml:space="preserve"> </w:t>
      </w:r>
      <w:r>
        <w:rPr>
          <w:spacing w:val="-2"/>
        </w:rPr>
        <w:t>assessment</w:t>
      </w:r>
    </w:p>
    <w:p w:rsidR="002C1123" w:rsidRDefault="00F22F94">
      <w:pPr>
        <w:pStyle w:val="BodyText"/>
        <w:spacing w:before="10" w:line="249" w:lineRule="auto"/>
        <w:ind w:left="209" w:right="414" w:firstLine="2"/>
      </w:pPr>
      <w:r>
        <w:rPr>
          <w:w w:val="95"/>
        </w:rPr>
        <w:t>Infrastructure</w:t>
      </w:r>
      <w:r>
        <w:rPr>
          <w:spacing w:val="-7"/>
          <w:w w:val="95"/>
        </w:rPr>
        <w:t xml:space="preserve"> </w:t>
      </w:r>
      <w:r>
        <w:rPr>
          <w:w w:val="95"/>
        </w:rPr>
        <w:t>NSW</w:t>
      </w:r>
      <w:r>
        <w:rPr>
          <w:spacing w:val="-7"/>
          <w:w w:val="95"/>
        </w:rPr>
        <w:t xml:space="preserve"> </w:t>
      </w:r>
      <w:r>
        <w:rPr>
          <w:w w:val="95"/>
        </w:rPr>
        <w:t>has</w:t>
      </w:r>
      <w:r>
        <w:rPr>
          <w:spacing w:val="-7"/>
          <w:w w:val="95"/>
        </w:rPr>
        <w:t xml:space="preserve"> </w:t>
      </w:r>
      <w:r>
        <w:rPr>
          <w:w w:val="95"/>
        </w:rPr>
        <w:t>assessed</w:t>
      </w:r>
      <w:r>
        <w:rPr>
          <w:spacing w:val="-7"/>
          <w:w w:val="95"/>
        </w:rPr>
        <w:t xml:space="preserve"> </w:t>
      </w:r>
      <w:r>
        <w:rPr>
          <w:w w:val="95"/>
        </w:rPr>
        <w:t>the</w:t>
      </w:r>
      <w:r>
        <w:rPr>
          <w:spacing w:val="-7"/>
          <w:w w:val="95"/>
        </w:rPr>
        <w:t xml:space="preserve"> </w:t>
      </w:r>
      <w:r>
        <w:rPr>
          <w:w w:val="95"/>
        </w:rPr>
        <w:t>current</w:t>
      </w:r>
      <w:r>
        <w:rPr>
          <w:spacing w:val="-7"/>
          <w:w w:val="95"/>
        </w:rPr>
        <w:t xml:space="preserve"> </w:t>
      </w:r>
      <w:r>
        <w:rPr>
          <w:w w:val="95"/>
        </w:rPr>
        <w:t xml:space="preserve">State </w:t>
      </w:r>
      <w:r>
        <w:t>of</w:t>
      </w:r>
      <w:r>
        <w:rPr>
          <w:spacing w:val="-10"/>
        </w:rPr>
        <w:t xml:space="preserve"> </w:t>
      </w:r>
      <w:r>
        <w:t>development</w:t>
      </w:r>
      <w:r>
        <w:rPr>
          <w:spacing w:val="-10"/>
        </w:rPr>
        <w:t xml:space="preserve"> </w:t>
      </w:r>
      <w:r>
        <w:t>of</w:t>
      </w:r>
      <w:r>
        <w:rPr>
          <w:spacing w:val="-10"/>
        </w:rPr>
        <w:t xml:space="preserve"> </w:t>
      </w:r>
      <w:r>
        <w:t>each</w:t>
      </w:r>
      <w:r>
        <w:rPr>
          <w:spacing w:val="-10"/>
        </w:rPr>
        <w:t xml:space="preserve"> </w:t>
      </w:r>
      <w:r>
        <w:t>project,</w:t>
      </w:r>
      <w:r>
        <w:rPr>
          <w:spacing w:val="-10"/>
        </w:rPr>
        <w:t xml:space="preserve"> </w:t>
      </w:r>
      <w:r>
        <w:t>particularly</w:t>
      </w:r>
      <w:r>
        <w:rPr>
          <w:spacing w:val="-10"/>
        </w:rPr>
        <w:t xml:space="preserve"> </w:t>
      </w:r>
      <w:r>
        <w:t>in</w:t>
      </w:r>
      <w:r>
        <w:rPr>
          <w:spacing w:val="-10"/>
        </w:rPr>
        <w:t xml:space="preserve"> </w:t>
      </w:r>
      <w:r>
        <w:t>its</w:t>
      </w:r>
    </w:p>
    <w:p w:rsidR="002C1123" w:rsidRDefault="00F22F94">
      <w:pPr>
        <w:pStyle w:val="BodyText"/>
        <w:spacing w:before="2" w:line="249" w:lineRule="auto"/>
        <w:ind w:left="209" w:firstLine="5"/>
      </w:pPr>
      <w:r>
        <w:rPr>
          <w:w w:val="95"/>
        </w:rPr>
        <w:t>identification and assessment of delivery risks. It should be</w:t>
      </w:r>
      <w:r>
        <w:rPr>
          <w:spacing w:val="-3"/>
          <w:w w:val="95"/>
        </w:rPr>
        <w:t xml:space="preserve"> </w:t>
      </w:r>
      <w:r>
        <w:rPr>
          <w:w w:val="95"/>
        </w:rPr>
        <w:t>noted</w:t>
      </w:r>
      <w:r>
        <w:rPr>
          <w:spacing w:val="-3"/>
          <w:w w:val="95"/>
        </w:rPr>
        <w:t xml:space="preserve"> </w:t>
      </w:r>
      <w:r>
        <w:rPr>
          <w:w w:val="95"/>
        </w:rPr>
        <w:t>that</w:t>
      </w:r>
      <w:r>
        <w:rPr>
          <w:spacing w:val="-3"/>
          <w:w w:val="95"/>
        </w:rPr>
        <w:t xml:space="preserve"> </w:t>
      </w:r>
      <w:r>
        <w:rPr>
          <w:w w:val="95"/>
        </w:rPr>
        <w:t>some</w:t>
      </w:r>
      <w:r>
        <w:rPr>
          <w:spacing w:val="-3"/>
          <w:w w:val="95"/>
        </w:rPr>
        <w:t xml:space="preserve"> </w:t>
      </w:r>
      <w:r>
        <w:rPr>
          <w:w w:val="95"/>
        </w:rPr>
        <w:t>projects</w:t>
      </w:r>
      <w:r>
        <w:rPr>
          <w:spacing w:val="-3"/>
          <w:w w:val="95"/>
        </w:rPr>
        <w:t xml:space="preserve"> </w:t>
      </w:r>
      <w:r>
        <w:rPr>
          <w:w w:val="95"/>
        </w:rPr>
        <w:t>are</w:t>
      </w:r>
      <w:r>
        <w:rPr>
          <w:spacing w:val="-3"/>
          <w:w w:val="95"/>
        </w:rPr>
        <w:t xml:space="preserve"> </w:t>
      </w:r>
      <w:r>
        <w:rPr>
          <w:w w:val="95"/>
        </w:rPr>
        <w:t>at</w:t>
      </w:r>
      <w:r>
        <w:rPr>
          <w:spacing w:val="-3"/>
          <w:w w:val="95"/>
        </w:rPr>
        <w:t xml:space="preserve"> </w:t>
      </w:r>
      <w:r>
        <w:rPr>
          <w:w w:val="95"/>
        </w:rPr>
        <w:t>the</w:t>
      </w:r>
      <w:r>
        <w:rPr>
          <w:spacing w:val="-3"/>
          <w:w w:val="95"/>
        </w:rPr>
        <w:t xml:space="preserve"> </w:t>
      </w:r>
      <w:r>
        <w:rPr>
          <w:w w:val="95"/>
        </w:rPr>
        <w:t>early</w:t>
      </w:r>
      <w:r>
        <w:rPr>
          <w:spacing w:val="-3"/>
          <w:w w:val="95"/>
        </w:rPr>
        <w:t xml:space="preserve"> </w:t>
      </w:r>
      <w:r>
        <w:rPr>
          <w:w w:val="95"/>
        </w:rPr>
        <w:t>scoping</w:t>
      </w:r>
      <w:r>
        <w:rPr>
          <w:spacing w:val="-3"/>
          <w:w w:val="95"/>
        </w:rPr>
        <w:t xml:space="preserve"> </w:t>
      </w:r>
      <w:r>
        <w:rPr>
          <w:w w:val="95"/>
        </w:rPr>
        <w:t xml:space="preserve">and </w:t>
      </w:r>
      <w:r>
        <w:t>concept</w:t>
      </w:r>
      <w:r>
        <w:rPr>
          <w:spacing w:val="-11"/>
        </w:rPr>
        <w:t xml:space="preserve"> </w:t>
      </w:r>
      <w:r>
        <w:t>stages.</w:t>
      </w:r>
    </w:p>
    <w:p w:rsidR="002C1123" w:rsidRDefault="00F22F94">
      <w:pPr>
        <w:pStyle w:val="BodyText"/>
        <w:spacing w:before="144" w:line="249" w:lineRule="auto"/>
        <w:ind w:left="206" w:right="96" w:hanging="17"/>
      </w:pPr>
      <w:r>
        <w:rPr>
          <w:w w:val="95"/>
        </w:rPr>
        <w:t>The</w:t>
      </w:r>
      <w:r>
        <w:rPr>
          <w:spacing w:val="-1"/>
          <w:w w:val="95"/>
        </w:rPr>
        <w:t xml:space="preserve"> </w:t>
      </w:r>
      <w:r>
        <w:rPr>
          <w:w w:val="95"/>
        </w:rPr>
        <w:t>risk</w:t>
      </w:r>
      <w:r>
        <w:rPr>
          <w:spacing w:val="-1"/>
          <w:w w:val="95"/>
        </w:rPr>
        <w:t xml:space="preserve"> </w:t>
      </w:r>
      <w:r>
        <w:rPr>
          <w:w w:val="95"/>
        </w:rPr>
        <w:t>assessment</w:t>
      </w:r>
      <w:r>
        <w:rPr>
          <w:spacing w:val="-1"/>
          <w:w w:val="95"/>
        </w:rPr>
        <w:t xml:space="preserve"> </w:t>
      </w:r>
      <w:r>
        <w:rPr>
          <w:w w:val="95"/>
        </w:rPr>
        <w:t>has</w:t>
      </w:r>
      <w:r>
        <w:rPr>
          <w:spacing w:val="-1"/>
          <w:w w:val="95"/>
        </w:rPr>
        <w:t xml:space="preserve"> </w:t>
      </w:r>
      <w:r>
        <w:rPr>
          <w:w w:val="95"/>
        </w:rPr>
        <w:t>also</w:t>
      </w:r>
      <w:r>
        <w:rPr>
          <w:spacing w:val="-1"/>
          <w:w w:val="95"/>
        </w:rPr>
        <w:t xml:space="preserve"> </w:t>
      </w:r>
      <w:r>
        <w:rPr>
          <w:w w:val="95"/>
        </w:rPr>
        <w:t>considered</w:t>
      </w:r>
      <w:r>
        <w:rPr>
          <w:spacing w:val="-1"/>
          <w:w w:val="95"/>
        </w:rPr>
        <w:t xml:space="preserve"> </w:t>
      </w:r>
      <w:r>
        <w:rPr>
          <w:w w:val="95"/>
        </w:rPr>
        <w:t>the</w:t>
      </w:r>
      <w:r>
        <w:rPr>
          <w:spacing w:val="-1"/>
          <w:w w:val="95"/>
        </w:rPr>
        <w:t xml:space="preserve"> </w:t>
      </w:r>
      <w:r>
        <w:rPr>
          <w:w w:val="95"/>
        </w:rPr>
        <w:t xml:space="preserve">proposed </w:t>
      </w:r>
      <w:r>
        <w:t>way</w:t>
      </w:r>
      <w:r>
        <w:rPr>
          <w:spacing w:val="-9"/>
        </w:rPr>
        <w:t xml:space="preserve"> </w:t>
      </w:r>
      <w:r>
        <w:t>in</w:t>
      </w:r>
      <w:r>
        <w:rPr>
          <w:spacing w:val="-9"/>
        </w:rPr>
        <w:t xml:space="preserve"> </w:t>
      </w:r>
      <w:r>
        <w:t>which</w:t>
      </w:r>
      <w:r>
        <w:rPr>
          <w:spacing w:val="-9"/>
        </w:rPr>
        <w:t xml:space="preserve"> </w:t>
      </w:r>
      <w:r>
        <w:t>the</w:t>
      </w:r>
      <w:r>
        <w:rPr>
          <w:spacing w:val="-9"/>
        </w:rPr>
        <w:t xml:space="preserve"> </w:t>
      </w:r>
      <w:r>
        <w:t>project</w:t>
      </w:r>
      <w:r>
        <w:rPr>
          <w:spacing w:val="-9"/>
        </w:rPr>
        <w:t xml:space="preserve"> </w:t>
      </w:r>
      <w:r>
        <w:t>or</w:t>
      </w:r>
      <w:r>
        <w:rPr>
          <w:spacing w:val="-9"/>
        </w:rPr>
        <w:t xml:space="preserve"> </w:t>
      </w:r>
      <w:r>
        <w:t>reform</w:t>
      </w:r>
      <w:r>
        <w:rPr>
          <w:spacing w:val="-10"/>
        </w:rPr>
        <w:t xml:space="preserve"> </w:t>
      </w:r>
      <w:r>
        <w:t>will</w:t>
      </w:r>
      <w:r>
        <w:rPr>
          <w:spacing w:val="-9"/>
        </w:rPr>
        <w:t xml:space="preserve"> </w:t>
      </w:r>
      <w:r>
        <w:t>be</w:t>
      </w:r>
      <w:r>
        <w:rPr>
          <w:spacing w:val="-9"/>
        </w:rPr>
        <w:t xml:space="preserve"> </w:t>
      </w:r>
      <w:r>
        <w:t>funded</w:t>
      </w:r>
      <w:r>
        <w:rPr>
          <w:spacing w:val="-9"/>
        </w:rPr>
        <w:t xml:space="preserve"> </w:t>
      </w:r>
      <w:r>
        <w:t>and financed,</w:t>
      </w:r>
      <w:r>
        <w:rPr>
          <w:spacing w:val="-14"/>
        </w:rPr>
        <w:t xml:space="preserve"> </w:t>
      </w:r>
      <w:r>
        <w:t>since</w:t>
      </w:r>
      <w:r>
        <w:rPr>
          <w:spacing w:val="-14"/>
        </w:rPr>
        <w:t xml:space="preserve"> </w:t>
      </w:r>
      <w:r>
        <w:t>financial</w:t>
      </w:r>
      <w:r>
        <w:rPr>
          <w:spacing w:val="-14"/>
        </w:rPr>
        <w:t xml:space="preserve"> </w:t>
      </w:r>
      <w:r>
        <w:t>viability</w:t>
      </w:r>
      <w:r>
        <w:rPr>
          <w:spacing w:val="-14"/>
        </w:rPr>
        <w:t xml:space="preserve"> </w:t>
      </w:r>
      <w:r>
        <w:t>can</w:t>
      </w:r>
      <w:r>
        <w:rPr>
          <w:spacing w:val="-14"/>
        </w:rPr>
        <w:t xml:space="preserve"> </w:t>
      </w:r>
      <w:r>
        <w:t xml:space="preserve">substantially </w:t>
      </w:r>
      <w:r>
        <w:rPr>
          <w:w w:val="95"/>
        </w:rPr>
        <w:t>affect project delivery and the realisation of community</w:t>
      </w:r>
    </w:p>
    <w:p w:rsidR="002C1123" w:rsidRDefault="00F22F94">
      <w:pPr>
        <w:pStyle w:val="BodyText"/>
        <w:spacing w:before="3" w:line="249" w:lineRule="auto"/>
        <w:ind w:left="212" w:firstLine="3"/>
        <w:jc w:val="both"/>
      </w:pPr>
      <w:r>
        <w:rPr>
          <w:w w:val="95"/>
        </w:rPr>
        <w:t>benefits.</w:t>
      </w:r>
      <w:r>
        <w:rPr>
          <w:spacing w:val="-11"/>
          <w:w w:val="95"/>
        </w:rPr>
        <w:t xml:space="preserve"> </w:t>
      </w:r>
      <w:r>
        <w:rPr>
          <w:w w:val="95"/>
        </w:rPr>
        <w:t>Financial</w:t>
      </w:r>
      <w:r>
        <w:rPr>
          <w:spacing w:val="-11"/>
          <w:w w:val="95"/>
        </w:rPr>
        <w:t xml:space="preserve"> </w:t>
      </w:r>
      <w:r>
        <w:rPr>
          <w:w w:val="95"/>
        </w:rPr>
        <w:t>risk</w:t>
      </w:r>
      <w:r>
        <w:rPr>
          <w:spacing w:val="-11"/>
          <w:w w:val="95"/>
        </w:rPr>
        <w:t xml:space="preserve"> </w:t>
      </w:r>
      <w:r>
        <w:rPr>
          <w:w w:val="95"/>
        </w:rPr>
        <w:t>can</w:t>
      </w:r>
      <w:r>
        <w:rPr>
          <w:spacing w:val="-11"/>
          <w:w w:val="95"/>
        </w:rPr>
        <w:t xml:space="preserve"> </w:t>
      </w:r>
      <w:r>
        <w:rPr>
          <w:w w:val="95"/>
        </w:rPr>
        <w:t>be</w:t>
      </w:r>
      <w:r>
        <w:rPr>
          <w:spacing w:val="-11"/>
          <w:w w:val="95"/>
        </w:rPr>
        <w:t xml:space="preserve"> </w:t>
      </w:r>
      <w:r>
        <w:rPr>
          <w:w w:val="95"/>
        </w:rPr>
        <w:t>affected</w:t>
      </w:r>
      <w:r>
        <w:rPr>
          <w:spacing w:val="-11"/>
          <w:w w:val="95"/>
        </w:rPr>
        <w:t xml:space="preserve"> </w:t>
      </w:r>
      <w:r>
        <w:rPr>
          <w:w w:val="95"/>
        </w:rPr>
        <w:t>(either</w:t>
      </w:r>
      <w:r>
        <w:rPr>
          <w:spacing w:val="-11"/>
          <w:w w:val="95"/>
        </w:rPr>
        <w:t xml:space="preserve"> </w:t>
      </w:r>
      <w:r>
        <w:rPr>
          <w:w w:val="95"/>
        </w:rPr>
        <w:t>way)</w:t>
      </w:r>
      <w:r>
        <w:rPr>
          <w:spacing w:val="-11"/>
          <w:w w:val="95"/>
        </w:rPr>
        <w:t xml:space="preserve"> </w:t>
      </w:r>
      <w:r>
        <w:rPr>
          <w:w w:val="95"/>
        </w:rPr>
        <w:t>by</w:t>
      </w:r>
      <w:r>
        <w:rPr>
          <w:spacing w:val="-11"/>
          <w:w w:val="95"/>
        </w:rPr>
        <w:t xml:space="preserve"> </w:t>
      </w:r>
      <w:r>
        <w:rPr>
          <w:w w:val="95"/>
        </w:rPr>
        <w:t>the adoption</w:t>
      </w:r>
      <w:r>
        <w:rPr>
          <w:spacing w:val="-2"/>
          <w:w w:val="95"/>
        </w:rPr>
        <w:t xml:space="preserve"> </w:t>
      </w:r>
      <w:r>
        <w:rPr>
          <w:w w:val="95"/>
        </w:rPr>
        <w:t>of</w:t>
      </w:r>
      <w:r>
        <w:rPr>
          <w:spacing w:val="-2"/>
          <w:w w:val="95"/>
        </w:rPr>
        <w:t xml:space="preserve"> </w:t>
      </w:r>
      <w:r>
        <w:rPr>
          <w:w w:val="95"/>
        </w:rPr>
        <w:t>user-charging</w:t>
      </w:r>
      <w:r>
        <w:rPr>
          <w:spacing w:val="-2"/>
          <w:w w:val="95"/>
        </w:rPr>
        <w:t xml:space="preserve"> </w:t>
      </w:r>
      <w:r>
        <w:rPr>
          <w:w w:val="95"/>
        </w:rPr>
        <w:t>and/or</w:t>
      </w:r>
      <w:r>
        <w:rPr>
          <w:spacing w:val="-2"/>
          <w:w w:val="95"/>
        </w:rPr>
        <w:t xml:space="preserve"> </w:t>
      </w:r>
      <w:r>
        <w:rPr>
          <w:w w:val="95"/>
        </w:rPr>
        <w:t>using</w:t>
      </w:r>
      <w:r>
        <w:rPr>
          <w:spacing w:val="-2"/>
          <w:w w:val="95"/>
        </w:rPr>
        <w:t xml:space="preserve"> </w:t>
      </w:r>
      <w:r>
        <w:rPr>
          <w:w w:val="95"/>
        </w:rPr>
        <w:t>the</w:t>
      </w:r>
      <w:r>
        <w:rPr>
          <w:spacing w:val="-2"/>
          <w:w w:val="95"/>
        </w:rPr>
        <w:t xml:space="preserve"> </w:t>
      </w:r>
      <w:r>
        <w:rPr>
          <w:w w:val="95"/>
        </w:rPr>
        <w:t>private</w:t>
      </w:r>
      <w:r>
        <w:rPr>
          <w:spacing w:val="-2"/>
          <w:w w:val="95"/>
        </w:rPr>
        <w:t xml:space="preserve"> </w:t>
      </w:r>
      <w:r>
        <w:rPr>
          <w:w w:val="95"/>
        </w:rPr>
        <w:t xml:space="preserve">sector </w:t>
      </w:r>
      <w:r>
        <w:t>for</w:t>
      </w:r>
      <w:r>
        <w:rPr>
          <w:spacing w:val="-9"/>
        </w:rPr>
        <w:t xml:space="preserve"> </w:t>
      </w:r>
      <w:r>
        <w:t>delivery</w:t>
      </w:r>
      <w:r>
        <w:rPr>
          <w:spacing w:val="-9"/>
        </w:rPr>
        <w:t xml:space="preserve"> </w:t>
      </w:r>
      <w:r>
        <w:t>of</w:t>
      </w:r>
      <w:r>
        <w:rPr>
          <w:spacing w:val="-9"/>
        </w:rPr>
        <w:t xml:space="preserve"> </w:t>
      </w:r>
      <w:r>
        <w:t>the</w:t>
      </w:r>
      <w:r>
        <w:rPr>
          <w:spacing w:val="-9"/>
        </w:rPr>
        <w:t xml:space="preserve"> </w:t>
      </w:r>
      <w:r>
        <w:t>project,</w:t>
      </w:r>
      <w:r>
        <w:rPr>
          <w:spacing w:val="-9"/>
        </w:rPr>
        <w:t xml:space="preserve"> </w:t>
      </w:r>
      <w:r>
        <w:t>service</w:t>
      </w:r>
      <w:r>
        <w:rPr>
          <w:spacing w:val="-9"/>
        </w:rPr>
        <w:t xml:space="preserve"> </w:t>
      </w:r>
      <w:r>
        <w:t>or</w:t>
      </w:r>
      <w:r>
        <w:rPr>
          <w:spacing w:val="-9"/>
        </w:rPr>
        <w:t xml:space="preserve"> </w:t>
      </w:r>
      <w:r>
        <w:t>reform.</w:t>
      </w:r>
    </w:p>
    <w:p w:rsidR="002C1123" w:rsidRDefault="00F22F94">
      <w:pPr>
        <w:pStyle w:val="Heading6"/>
        <w:ind w:left="173"/>
      </w:pPr>
      <w:r>
        <w:rPr>
          <w:b w:val="0"/>
        </w:rPr>
        <w:br w:type="column"/>
      </w:r>
      <w:r>
        <w:rPr>
          <w:color w:val="EC008C"/>
          <w:spacing w:val="-2"/>
        </w:rPr>
        <w:t>1.7.4.</w:t>
      </w:r>
      <w:r>
        <w:rPr>
          <w:color w:val="EC008C"/>
          <w:spacing w:val="-12"/>
        </w:rPr>
        <w:t xml:space="preserve"> </w:t>
      </w:r>
      <w:r>
        <w:rPr>
          <w:color w:val="EC008C"/>
          <w:spacing w:val="-2"/>
        </w:rPr>
        <w:t>Option</w:t>
      </w:r>
      <w:r>
        <w:rPr>
          <w:color w:val="EC008C"/>
          <w:spacing w:val="-11"/>
        </w:rPr>
        <w:t xml:space="preserve"> </w:t>
      </w:r>
      <w:r>
        <w:rPr>
          <w:color w:val="EC008C"/>
          <w:spacing w:val="-2"/>
        </w:rPr>
        <w:t>sequencing</w:t>
      </w:r>
    </w:p>
    <w:p w:rsidR="002C1123" w:rsidRDefault="00F22F94">
      <w:pPr>
        <w:pStyle w:val="BodyText"/>
        <w:spacing w:before="95" w:line="249" w:lineRule="auto"/>
        <w:ind w:left="193" w:right="788" w:hanging="3"/>
      </w:pPr>
      <w:r>
        <w:t>Once</w:t>
      </w:r>
      <w:r>
        <w:rPr>
          <w:spacing w:val="-9"/>
        </w:rPr>
        <w:t xml:space="preserve"> </w:t>
      </w:r>
      <w:r>
        <w:t>the</w:t>
      </w:r>
      <w:r>
        <w:rPr>
          <w:spacing w:val="-9"/>
        </w:rPr>
        <w:t xml:space="preserve"> </w:t>
      </w:r>
      <w:r>
        <w:t>project</w:t>
      </w:r>
      <w:r>
        <w:rPr>
          <w:spacing w:val="-9"/>
        </w:rPr>
        <w:t xml:space="preserve"> </w:t>
      </w:r>
      <w:r>
        <w:t>or</w:t>
      </w:r>
      <w:r>
        <w:rPr>
          <w:spacing w:val="-9"/>
        </w:rPr>
        <w:t xml:space="preserve"> </w:t>
      </w:r>
      <w:r>
        <w:t>reform</w:t>
      </w:r>
      <w:r>
        <w:rPr>
          <w:spacing w:val="-10"/>
        </w:rPr>
        <w:t xml:space="preserve"> </w:t>
      </w:r>
      <w:r>
        <w:t>option</w:t>
      </w:r>
      <w:r>
        <w:rPr>
          <w:spacing w:val="-9"/>
        </w:rPr>
        <w:t xml:space="preserve"> </w:t>
      </w:r>
      <w:r>
        <w:t>has</w:t>
      </w:r>
      <w:r>
        <w:rPr>
          <w:spacing w:val="-9"/>
        </w:rPr>
        <w:t xml:space="preserve"> </w:t>
      </w:r>
      <w:r>
        <w:t>been</w:t>
      </w:r>
      <w:r>
        <w:rPr>
          <w:spacing w:val="-9"/>
        </w:rPr>
        <w:t xml:space="preserve"> </w:t>
      </w:r>
      <w:r>
        <w:t xml:space="preserve">assessed </w:t>
      </w:r>
      <w:r>
        <w:rPr>
          <w:w w:val="95"/>
        </w:rPr>
        <w:t>and</w:t>
      </w:r>
      <w:r>
        <w:rPr>
          <w:spacing w:val="-2"/>
          <w:w w:val="95"/>
        </w:rPr>
        <w:t xml:space="preserve"> </w:t>
      </w:r>
      <w:r>
        <w:rPr>
          <w:w w:val="95"/>
        </w:rPr>
        <w:t>prioritised,</w:t>
      </w:r>
      <w:r>
        <w:rPr>
          <w:spacing w:val="-2"/>
          <w:w w:val="95"/>
        </w:rPr>
        <w:t xml:space="preserve"> </w:t>
      </w:r>
      <w:r>
        <w:rPr>
          <w:w w:val="95"/>
        </w:rPr>
        <w:t>the</w:t>
      </w:r>
      <w:r>
        <w:rPr>
          <w:spacing w:val="-2"/>
          <w:w w:val="95"/>
        </w:rPr>
        <w:t xml:space="preserve"> </w:t>
      </w:r>
      <w:r>
        <w:rPr>
          <w:w w:val="95"/>
        </w:rPr>
        <w:t>Strategy</w:t>
      </w:r>
      <w:r>
        <w:rPr>
          <w:spacing w:val="-2"/>
          <w:w w:val="95"/>
        </w:rPr>
        <w:t xml:space="preserve"> </w:t>
      </w:r>
      <w:r>
        <w:rPr>
          <w:w w:val="95"/>
        </w:rPr>
        <w:t>has</w:t>
      </w:r>
      <w:r>
        <w:rPr>
          <w:spacing w:val="-2"/>
          <w:w w:val="95"/>
        </w:rPr>
        <w:t xml:space="preserve"> </w:t>
      </w:r>
      <w:r>
        <w:rPr>
          <w:w w:val="95"/>
        </w:rPr>
        <w:t>ranked</w:t>
      </w:r>
      <w:r>
        <w:rPr>
          <w:spacing w:val="-2"/>
          <w:w w:val="95"/>
        </w:rPr>
        <w:t xml:space="preserve"> </w:t>
      </w:r>
      <w:r>
        <w:rPr>
          <w:w w:val="95"/>
        </w:rPr>
        <w:t>each</w:t>
      </w:r>
      <w:r>
        <w:rPr>
          <w:spacing w:val="-2"/>
          <w:w w:val="95"/>
        </w:rPr>
        <w:t xml:space="preserve"> </w:t>
      </w:r>
      <w:r>
        <w:rPr>
          <w:w w:val="95"/>
        </w:rPr>
        <w:t xml:space="preserve">according </w:t>
      </w:r>
      <w:r>
        <w:t>to</w:t>
      </w:r>
      <w:r>
        <w:rPr>
          <w:spacing w:val="-14"/>
        </w:rPr>
        <w:t xml:space="preserve"> </w:t>
      </w:r>
      <w:r>
        <w:t>its</w:t>
      </w:r>
      <w:r>
        <w:rPr>
          <w:spacing w:val="-13"/>
        </w:rPr>
        <w:t xml:space="preserve"> </w:t>
      </w:r>
      <w:r>
        <w:t>recommended</w:t>
      </w:r>
      <w:r>
        <w:rPr>
          <w:spacing w:val="-14"/>
        </w:rPr>
        <w:t xml:space="preserve"> </w:t>
      </w:r>
      <w:r>
        <w:t>timeframe</w:t>
      </w:r>
      <w:r>
        <w:rPr>
          <w:spacing w:val="-13"/>
        </w:rPr>
        <w:t xml:space="preserve"> </w:t>
      </w:r>
      <w:r>
        <w:t>for</w:t>
      </w:r>
      <w:r>
        <w:rPr>
          <w:spacing w:val="-14"/>
        </w:rPr>
        <w:t xml:space="preserve"> </w:t>
      </w:r>
      <w:r>
        <w:t>delivery.</w:t>
      </w:r>
      <w:r>
        <w:rPr>
          <w:spacing w:val="-13"/>
        </w:rPr>
        <w:t xml:space="preserve"> </w:t>
      </w:r>
      <w:r>
        <w:t>This</w:t>
      </w:r>
      <w:r>
        <w:rPr>
          <w:spacing w:val="-14"/>
        </w:rPr>
        <w:t xml:space="preserve"> </w:t>
      </w:r>
      <w:r>
        <w:t>is summarised</w:t>
      </w:r>
      <w:r>
        <w:rPr>
          <w:spacing w:val="-6"/>
        </w:rPr>
        <w:t xml:space="preserve"> </w:t>
      </w:r>
      <w:r>
        <w:t>in</w:t>
      </w:r>
      <w:r>
        <w:rPr>
          <w:spacing w:val="-6"/>
        </w:rPr>
        <w:t xml:space="preserve"> </w:t>
      </w:r>
      <w:r>
        <w:t>Table</w:t>
      </w:r>
      <w:r>
        <w:rPr>
          <w:spacing w:val="-6"/>
        </w:rPr>
        <w:t xml:space="preserve"> </w:t>
      </w:r>
      <w:r>
        <w:t>1.5</w:t>
      </w:r>
      <w:r>
        <w:rPr>
          <w:spacing w:val="-6"/>
        </w:rPr>
        <w:t xml:space="preserve"> </w:t>
      </w:r>
      <w:r>
        <w:t>below.</w:t>
      </w:r>
    </w:p>
    <w:p w:rsidR="002C1123" w:rsidRDefault="00F22F94">
      <w:pPr>
        <w:spacing w:before="189"/>
        <w:ind w:left="202"/>
        <w:rPr>
          <w:b/>
          <w:sz w:val="18"/>
        </w:rPr>
      </w:pPr>
      <w:r>
        <w:rPr>
          <w:b/>
          <w:sz w:val="18"/>
        </w:rPr>
        <w:t>Table</w:t>
      </w:r>
      <w:r>
        <w:rPr>
          <w:b/>
          <w:spacing w:val="-19"/>
          <w:sz w:val="18"/>
        </w:rPr>
        <w:t xml:space="preserve"> </w:t>
      </w:r>
      <w:r>
        <w:rPr>
          <w:b/>
          <w:sz w:val="18"/>
        </w:rPr>
        <w:t>1.5</w:t>
      </w:r>
      <w:r>
        <w:rPr>
          <w:b/>
          <w:spacing w:val="6"/>
          <w:sz w:val="18"/>
        </w:rPr>
        <w:t xml:space="preserve"> </w:t>
      </w:r>
      <w:r>
        <w:rPr>
          <w:b/>
          <w:sz w:val="18"/>
        </w:rPr>
        <w:t>Strategy</w:t>
      </w:r>
      <w:r>
        <w:rPr>
          <w:b/>
          <w:spacing w:val="-19"/>
          <w:sz w:val="18"/>
        </w:rPr>
        <w:t xml:space="preserve"> </w:t>
      </w:r>
      <w:r>
        <w:rPr>
          <w:b/>
          <w:sz w:val="18"/>
        </w:rPr>
        <w:t>Priorities</w:t>
      </w:r>
      <w:r>
        <w:rPr>
          <w:b/>
          <w:spacing w:val="-19"/>
          <w:sz w:val="18"/>
        </w:rPr>
        <w:t xml:space="preserve"> </w:t>
      </w:r>
      <w:r>
        <w:rPr>
          <w:b/>
          <w:spacing w:val="-2"/>
          <w:sz w:val="18"/>
        </w:rPr>
        <w:t>Timeframe</w:t>
      </w:r>
    </w:p>
    <w:p w:rsidR="002C1123" w:rsidRDefault="00F22F94">
      <w:pPr>
        <w:tabs>
          <w:tab w:val="left" w:pos="1708"/>
        </w:tabs>
        <w:spacing w:before="96"/>
        <w:ind w:left="320"/>
        <w:rPr>
          <w:b/>
          <w:sz w:val="16"/>
        </w:rPr>
      </w:pPr>
      <w:r>
        <w:rPr>
          <w:b/>
          <w:color w:val="2E3092"/>
          <w:spacing w:val="-2"/>
          <w:sz w:val="16"/>
        </w:rPr>
        <w:t>Period</w:t>
      </w:r>
      <w:r>
        <w:rPr>
          <w:b/>
          <w:color w:val="2E3092"/>
          <w:sz w:val="16"/>
        </w:rPr>
        <w:tab/>
      </w:r>
      <w:r>
        <w:rPr>
          <w:b/>
          <w:color w:val="2E3092"/>
          <w:spacing w:val="-2"/>
          <w:sz w:val="16"/>
        </w:rPr>
        <w:t>Description</w:t>
      </w:r>
    </w:p>
    <w:tbl>
      <w:tblPr>
        <w:tblW w:w="0" w:type="auto"/>
        <w:tblInd w:w="19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388"/>
        <w:gridCol w:w="3391"/>
      </w:tblGrid>
      <w:tr w:rsidR="002C1123">
        <w:trPr>
          <w:trHeight w:val="1761"/>
        </w:trPr>
        <w:tc>
          <w:tcPr>
            <w:tcW w:w="1388" w:type="dxa"/>
            <w:tcBorders>
              <w:left w:val="nil"/>
            </w:tcBorders>
            <w:shd w:val="clear" w:color="auto" w:fill="C9C8C9"/>
          </w:tcPr>
          <w:p w:rsidR="002C1123" w:rsidRDefault="00F22F94">
            <w:pPr>
              <w:pStyle w:val="TableParagraph"/>
              <w:spacing w:before="63" w:line="249" w:lineRule="auto"/>
              <w:ind w:left="120" w:firstLine="4"/>
              <w:rPr>
                <w:b/>
                <w:sz w:val="18"/>
              </w:rPr>
            </w:pPr>
            <w:r>
              <w:rPr>
                <w:b/>
                <w:spacing w:val="-2"/>
                <w:sz w:val="18"/>
              </w:rPr>
              <w:t>Immediate actions</w:t>
            </w:r>
          </w:p>
          <w:p w:rsidR="002C1123" w:rsidRDefault="00F22F94">
            <w:pPr>
              <w:pStyle w:val="TableParagraph"/>
              <w:spacing w:before="1"/>
              <w:ind w:left="124"/>
              <w:rPr>
                <w:sz w:val="18"/>
              </w:rPr>
            </w:pPr>
            <w:r>
              <w:rPr>
                <w:w w:val="95"/>
                <w:sz w:val="18"/>
              </w:rPr>
              <w:t>0</w:t>
            </w:r>
            <w:r>
              <w:rPr>
                <w:spacing w:val="-16"/>
                <w:w w:val="95"/>
                <w:sz w:val="18"/>
              </w:rPr>
              <w:t xml:space="preserve"> </w:t>
            </w:r>
            <w:r>
              <w:rPr>
                <w:w w:val="95"/>
                <w:sz w:val="18"/>
              </w:rPr>
              <w:t>–</w:t>
            </w:r>
            <w:r>
              <w:rPr>
                <w:spacing w:val="-16"/>
                <w:w w:val="95"/>
                <w:sz w:val="18"/>
              </w:rPr>
              <w:t xml:space="preserve"> </w:t>
            </w:r>
            <w:r>
              <w:rPr>
                <w:w w:val="95"/>
                <w:sz w:val="18"/>
              </w:rPr>
              <w:t>5</w:t>
            </w:r>
            <w:r>
              <w:rPr>
                <w:spacing w:val="-16"/>
                <w:w w:val="95"/>
                <w:sz w:val="18"/>
              </w:rPr>
              <w:t xml:space="preserve"> </w:t>
            </w:r>
            <w:r>
              <w:rPr>
                <w:spacing w:val="-2"/>
                <w:w w:val="95"/>
                <w:sz w:val="18"/>
              </w:rPr>
              <w:t>years</w:t>
            </w:r>
          </w:p>
        </w:tc>
        <w:tc>
          <w:tcPr>
            <w:tcW w:w="3391" w:type="dxa"/>
            <w:shd w:val="clear" w:color="auto" w:fill="C9C8C9"/>
          </w:tcPr>
          <w:p w:rsidR="002C1123" w:rsidRDefault="00F22F94">
            <w:pPr>
              <w:pStyle w:val="TableParagraph"/>
              <w:spacing w:before="70" w:line="235" w:lineRule="auto"/>
              <w:ind w:left="118" w:right="308" w:firstLine="6"/>
              <w:rPr>
                <w:sz w:val="16"/>
              </w:rPr>
            </w:pPr>
            <w:r>
              <w:rPr>
                <w:sz w:val="16"/>
              </w:rPr>
              <w:t>In the short term, Infrastructure NSW’s recommendations</w:t>
            </w:r>
            <w:r>
              <w:rPr>
                <w:spacing w:val="-3"/>
                <w:sz w:val="16"/>
              </w:rPr>
              <w:t xml:space="preserve"> </w:t>
            </w:r>
            <w:r>
              <w:rPr>
                <w:sz w:val="16"/>
              </w:rPr>
              <w:t>focus</w:t>
            </w:r>
            <w:r>
              <w:rPr>
                <w:spacing w:val="-3"/>
                <w:sz w:val="16"/>
              </w:rPr>
              <w:t xml:space="preserve"> </w:t>
            </w:r>
            <w:r>
              <w:rPr>
                <w:sz w:val="16"/>
              </w:rPr>
              <w:t>on</w:t>
            </w:r>
            <w:r>
              <w:rPr>
                <w:spacing w:val="-3"/>
                <w:sz w:val="16"/>
              </w:rPr>
              <w:t xml:space="preserve"> </w:t>
            </w:r>
            <w:r>
              <w:rPr>
                <w:sz w:val="16"/>
              </w:rPr>
              <w:t>ensuring</w:t>
            </w:r>
            <w:r>
              <w:rPr>
                <w:spacing w:val="-3"/>
                <w:sz w:val="16"/>
              </w:rPr>
              <w:t xml:space="preserve"> </w:t>
            </w:r>
            <w:r>
              <w:rPr>
                <w:sz w:val="16"/>
              </w:rPr>
              <w:t xml:space="preserve">the existing infrastructure asset base is of </w:t>
            </w:r>
            <w:r>
              <w:rPr>
                <w:w w:val="95"/>
                <w:sz w:val="16"/>
              </w:rPr>
              <w:t>high</w:t>
            </w:r>
            <w:r>
              <w:rPr>
                <w:spacing w:val="-2"/>
                <w:w w:val="95"/>
                <w:sz w:val="16"/>
              </w:rPr>
              <w:t xml:space="preserve"> </w:t>
            </w:r>
            <w:r>
              <w:rPr>
                <w:w w:val="95"/>
                <w:sz w:val="16"/>
              </w:rPr>
              <w:t>quality</w:t>
            </w:r>
            <w:r>
              <w:rPr>
                <w:spacing w:val="-1"/>
                <w:w w:val="95"/>
                <w:sz w:val="16"/>
              </w:rPr>
              <w:t xml:space="preserve"> </w:t>
            </w:r>
            <w:r>
              <w:rPr>
                <w:w w:val="95"/>
                <w:sz w:val="16"/>
              </w:rPr>
              <w:t>and</w:t>
            </w:r>
            <w:r>
              <w:rPr>
                <w:spacing w:val="-1"/>
                <w:w w:val="95"/>
                <w:sz w:val="16"/>
              </w:rPr>
              <w:t xml:space="preserve"> </w:t>
            </w:r>
            <w:r>
              <w:rPr>
                <w:w w:val="95"/>
                <w:sz w:val="16"/>
              </w:rPr>
              <w:t>delivers</w:t>
            </w:r>
            <w:r>
              <w:rPr>
                <w:spacing w:val="-1"/>
                <w:w w:val="95"/>
                <w:sz w:val="16"/>
              </w:rPr>
              <w:t xml:space="preserve"> </w:t>
            </w:r>
            <w:r>
              <w:rPr>
                <w:w w:val="95"/>
                <w:sz w:val="16"/>
              </w:rPr>
              <w:t>value-for-</w:t>
            </w:r>
            <w:r>
              <w:rPr>
                <w:spacing w:val="-2"/>
                <w:w w:val="95"/>
                <w:sz w:val="16"/>
              </w:rPr>
              <w:t>money.</w:t>
            </w:r>
          </w:p>
          <w:p w:rsidR="002C1123" w:rsidRDefault="00F22F94">
            <w:pPr>
              <w:pStyle w:val="TableParagraph"/>
              <w:spacing w:before="0" w:line="235" w:lineRule="auto"/>
              <w:ind w:left="122" w:right="101" w:firstLine="3"/>
              <w:rPr>
                <w:sz w:val="16"/>
              </w:rPr>
            </w:pPr>
            <w:r>
              <w:rPr>
                <w:sz w:val="16"/>
              </w:rPr>
              <w:t>Recommendations in this period focus on packages</w:t>
            </w:r>
            <w:r>
              <w:rPr>
                <w:spacing w:val="-12"/>
                <w:sz w:val="16"/>
              </w:rPr>
              <w:t xml:space="preserve"> </w:t>
            </w:r>
            <w:r>
              <w:rPr>
                <w:sz w:val="16"/>
              </w:rPr>
              <w:t>of</w:t>
            </w:r>
            <w:r>
              <w:rPr>
                <w:spacing w:val="-11"/>
                <w:sz w:val="16"/>
              </w:rPr>
              <w:t xml:space="preserve"> </w:t>
            </w:r>
            <w:r>
              <w:rPr>
                <w:sz w:val="16"/>
              </w:rPr>
              <w:t>minor</w:t>
            </w:r>
            <w:r>
              <w:rPr>
                <w:spacing w:val="-11"/>
                <w:sz w:val="16"/>
              </w:rPr>
              <w:t xml:space="preserve"> </w:t>
            </w:r>
            <w:r>
              <w:rPr>
                <w:sz w:val="16"/>
              </w:rPr>
              <w:t>investments</w:t>
            </w:r>
            <w:r>
              <w:rPr>
                <w:spacing w:val="-11"/>
                <w:sz w:val="16"/>
              </w:rPr>
              <w:t xml:space="preserve"> </w:t>
            </w:r>
            <w:r>
              <w:rPr>
                <w:sz w:val="16"/>
              </w:rPr>
              <w:t>(for</w:t>
            </w:r>
            <w:r>
              <w:rPr>
                <w:spacing w:val="-11"/>
                <w:sz w:val="16"/>
              </w:rPr>
              <w:t xml:space="preserve"> </w:t>
            </w:r>
            <w:r>
              <w:rPr>
                <w:sz w:val="16"/>
              </w:rPr>
              <w:t xml:space="preserve">example, </w:t>
            </w:r>
            <w:r>
              <w:rPr>
                <w:w w:val="95"/>
                <w:sz w:val="16"/>
              </w:rPr>
              <w:t xml:space="preserve">resolving pinch-points) and the most essential </w:t>
            </w:r>
            <w:r>
              <w:rPr>
                <w:sz w:val="16"/>
              </w:rPr>
              <w:t>major</w:t>
            </w:r>
            <w:r>
              <w:rPr>
                <w:spacing w:val="-9"/>
                <w:sz w:val="16"/>
              </w:rPr>
              <w:t xml:space="preserve"> </w:t>
            </w:r>
            <w:r>
              <w:rPr>
                <w:sz w:val="16"/>
              </w:rPr>
              <w:t>investments,</w:t>
            </w:r>
            <w:r>
              <w:rPr>
                <w:spacing w:val="-9"/>
                <w:sz w:val="16"/>
              </w:rPr>
              <w:t xml:space="preserve"> </w:t>
            </w:r>
            <w:r>
              <w:rPr>
                <w:sz w:val="16"/>
              </w:rPr>
              <w:t>as</w:t>
            </w:r>
            <w:r>
              <w:rPr>
                <w:spacing w:val="-9"/>
                <w:sz w:val="16"/>
              </w:rPr>
              <w:t xml:space="preserve"> </w:t>
            </w:r>
            <w:r>
              <w:rPr>
                <w:sz w:val="16"/>
              </w:rPr>
              <w:t>well</w:t>
            </w:r>
            <w:r>
              <w:rPr>
                <w:spacing w:val="-9"/>
                <w:sz w:val="16"/>
              </w:rPr>
              <w:t xml:space="preserve"> </w:t>
            </w:r>
            <w:r>
              <w:rPr>
                <w:sz w:val="16"/>
              </w:rPr>
              <w:t>as</w:t>
            </w:r>
            <w:r>
              <w:rPr>
                <w:spacing w:val="-9"/>
                <w:sz w:val="16"/>
              </w:rPr>
              <w:t xml:space="preserve"> </w:t>
            </w:r>
            <w:r>
              <w:rPr>
                <w:sz w:val="16"/>
              </w:rPr>
              <w:t>regulatory</w:t>
            </w:r>
            <w:r>
              <w:rPr>
                <w:spacing w:val="-9"/>
                <w:sz w:val="16"/>
              </w:rPr>
              <w:t xml:space="preserve"> </w:t>
            </w:r>
            <w:r>
              <w:rPr>
                <w:sz w:val="16"/>
              </w:rPr>
              <w:t>and policy</w:t>
            </w:r>
            <w:r>
              <w:rPr>
                <w:spacing w:val="-4"/>
                <w:sz w:val="16"/>
              </w:rPr>
              <w:t xml:space="preserve"> </w:t>
            </w:r>
            <w:r>
              <w:rPr>
                <w:sz w:val="16"/>
              </w:rPr>
              <w:t>reforms.</w:t>
            </w:r>
          </w:p>
        </w:tc>
      </w:tr>
      <w:tr w:rsidR="002C1123">
        <w:trPr>
          <w:trHeight w:val="1401"/>
        </w:trPr>
        <w:tc>
          <w:tcPr>
            <w:tcW w:w="1388" w:type="dxa"/>
            <w:tcBorders>
              <w:left w:val="nil"/>
            </w:tcBorders>
            <w:shd w:val="clear" w:color="auto" w:fill="C9C8C9"/>
          </w:tcPr>
          <w:p w:rsidR="002C1123" w:rsidRDefault="00F22F94">
            <w:pPr>
              <w:pStyle w:val="TableParagraph"/>
              <w:spacing w:before="63" w:line="249" w:lineRule="auto"/>
              <w:ind w:left="119" w:right="203" w:firstLine="5"/>
              <w:rPr>
                <w:b/>
                <w:sz w:val="18"/>
              </w:rPr>
            </w:pPr>
            <w:r>
              <w:rPr>
                <w:b/>
                <w:sz w:val="18"/>
              </w:rPr>
              <w:t>Planning</w:t>
            </w:r>
            <w:r>
              <w:rPr>
                <w:b/>
                <w:spacing w:val="-19"/>
                <w:sz w:val="18"/>
              </w:rPr>
              <w:t xml:space="preserve"> </w:t>
            </w:r>
            <w:r>
              <w:rPr>
                <w:b/>
                <w:sz w:val="18"/>
              </w:rPr>
              <w:t xml:space="preserve">for </w:t>
            </w:r>
            <w:r>
              <w:rPr>
                <w:b/>
                <w:spacing w:val="-2"/>
                <w:sz w:val="18"/>
              </w:rPr>
              <w:t>growth</w:t>
            </w:r>
          </w:p>
          <w:p w:rsidR="002C1123" w:rsidRDefault="00F22F94">
            <w:pPr>
              <w:pStyle w:val="TableParagraph"/>
              <w:spacing w:before="1"/>
              <w:ind w:left="124"/>
              <w:rPr>
                <w:sz w:val="18"/>
              </w:rPr>
            </w:pPr>
            <w:r>
              <w:rPr>
                <w:w w:val="95"/>
                <w:sz w:val="18"/>
              </w:rPr>
              <w:t>0</w:t>
            </w:r>
            <w:r>
              <w:rPr>
                <w:spacing w:val="-16"/>
                <w:w w:val="95"/>
                <w:sz w:val="18"/>
              </w:rPr>
              <w:t xml:space="preserve"> </w:t>
            </w:r>
            <w:r>
              <w:rPr>
                <w:w w:val="95"/>
                <w:sz w:val="18"/>
              </w:rPr>
              <w:t>–</w:t>
            </w:r>
            <w:r>
              <w:rPr>
                <w:spacing w:val="-16"/>
                <w:w w:val="95"/>
                <w:sz w:val="18"/>
              </w:rPr>
              <w:t xml:space="preserve"> </w:t>
            </w:r>
            <w:r>
              <w:rPr>
                <w:w w:val="95"/>
                <w:sz w:val="18"/>
              </w:rPr>
              <w:t>5</w:t>
            </w:r>
            <w:r>
              <w:rPr>
                <w:spacing w:val="-16"/>
                <w:w w:val="95"/>
                <w:sz w:val="18"/>
              </w:rPr>
              <w:t xml:space="preserve"> </w:t>
            </w:r>
            <w:r>
              <w:rPr>
                <w:spacing w:val="-2"/>
                <w:w w:val="95"/>
                <w:sz w:val="18"/>
              </w:rPr>
              <w:t>years</w:t>
            </w:r>
          </w:p>
        </w:tc>
        <w:tc>
          <w:tcPr>
            <w:tcW w:w="3391" w:type="dxa"/>
            <w:shd w:val="clear" w:color="auto" w:fill="C9C8C9"/>
          </w:tcPr>
          <w:p w:rsidR="002C1123" w:rsidRDefault="00F22F94">
            <w:pPr>
              <w:pStyle w:val="TableParagraph"/>
              <w:spacing w:before="70" w:line="235" w:lineRule="auto"/>
              <w:ind w:left="118" w:right="308" w:firstLine="5"/>
              <w:rPr>
                <w:sz w:val="16"/>
              </w:rPr>
            </w:pPr>
            <w:r>
              <w:rPr>
                <w:sz w:val="16"/>
              </w:rPr>
              <w:t xml:space="preserve">Given the long lead times for delivering </w:t>
            </w:r>
            <w:r>
              <w:rPr>
                <w:w w:val="95"/>
                <w:sz w:val="16"/>
              </w:rPr>
              <w:t xml:space="preserve">infrastructure projects, this period includes </w:t>
            </w:r>
            <w:r>
              <w:rPr>
                <w:sz w:val="16"/>
              </w:rPr>
              <w:t>many of the most important major infrastructure investments for the State – those projects which can have a ‘game changing’ impact on NSW’s economy</w:t>
            </w:r>
          </w:p>
          <w:p w:rsidR="002C1123" w:rsidRDefault="00F22F94">
            <w:pPr>
              <w:pStyle w:val="TableParagraph"/>
              <w:spacing w:before="0" w:line="179" w:lineRule="exact"/>
              <w:ind w:left="118"/>
              <w:rPr>
                <w:sz w:val="16"/>
              </w:rPr>
            </w:pPr>
            <w:r>
              <w:rPr>
                <w:w w:val="95"/>
                <w:sz w:val="16"/>
              </w:rPr>
              <w:t>and</w:t>
            </w:r>
            <w:r>
              <w:rPr>
                <w:spacing w:val="3"/>
                <w:sz w:val="16"/>
              </w:rPr>
              <w:t xml:space="preserve"> </w:t>
            </w:r>
            <w:r>
              <w:rPr>
                <w:spacing w:val="-2"/>
                <w:sz w:val="16"/>
              </w:rPr>
              <w:t>society.</w:t>
            </w:r>
          </w:p>
        </w:tc>
      </w:tr>
      <w:tr w:rsidR="002C1123">
        <w:trPr>
          <w:trHeight w:val="1401"/>
        </w:trPr>
        <w:tc>
          <w:tcPr>
            <w:tcW w:w="1388" w:type="dxa"/>
            <w:tcBorders>
              <w:left w:val="nil"/>
            </w:tcBorders>
            <w:shd w:val="clear" w:color="auto" w:fill="C9C8C9"/>
          </w:tcPr>
          <w:p w:rsidR="002C1123" w:rsidRDefault="00F22F94">
            <w:pPr>
              <w:pStyle w:val="TableParagraph"/>
              <w:spacing w:before="63" w:line="249" w:lineRule="auto"/>
              <w:ind w:left="122" w:firstLine="2"/>
              <w:rPr>
                <w:b/>
                <w:sz w:val="18"/>
              </w:rPr>
            </w:pPr>
            <w:r>
              <w:rPr>
                <w:b/>
                <w:sz w:val="18"/>
              </w:rPr>
              <w:t>Longer</w:t>
            </w:r>
            <w:r>
              <w:rPr>
                <w:b/>
                <w:spacing w:val="-19"/>
                <w:sz w:val="18"/>
              </w:rPr>
              <w:t xml:space="preserve"> </w:t>
            </w:r>
            <w:r>
              <w:rPr>
                <w:b/>
                <w:sz w:val="18"/>
              </w:rPr>
              <w:t xml:space="preserve">term </w:t>
            </w:r>
            <w:r>
              <w:rPr>
                <w:b/>
                <w:spacing w:val="-2"/>
                <w:sz w:val="18"/>
              </w:rPr>
              <w:t>vision</w:t>
            </w:r>
          </w:p>
          <w:p w:rsidR="002C1123" w:rsidRDefault="00F22F94">
            <w:pPr>
              <w:pStyle w:val="TableParagraph"/>
              <w:spacing w:before="1"/>
              <w:ind w:left="124"/>
              <w:rPr>
                <w:sz w:val="18"/>
              </w:rPr>
            </w:pPr>
            <w:r>
              <w:rPr>
                <w:w w:val="95"/>
                <w:sz w:val="18"/>
              </w:rPr>
              <w:t>0</w:t>
            </w:r>
            <w:r>
              <w:rPr>
                <w:spacing w:val="-16"/>
                <w:w w:val="95"/>
                <w:sz w:val="18"/>
              </w:rPr>
              <w:t xml:space="preserve"> </w:t>
            </w:r>
            <w:r>
              <w:rPr>
                <w:w w:val="95"/>
                <w:sz w:val="18"/>
              </w:rPr>
              <w:t>–</w:t>
            </w:r>
            <w:r>
              <w:rPr>
                <w:spacing w:val="-16"/>
                <w:w w:val="95"/>
                <w:sz w:val="18"/>
              </w:rPr>
              <w:t xml:space="preserve"> </w:t>
            </w:r>
            <w:r>
              <w:rPr>
                <w:w w:val="95"/>
                <w:sz w:val="18"/>
              </w:rPr>
              <w:t>5</w:t>
            </w:r>
            <w:r>
              <w:rPr>
                <w:spacing w:val="-16"/>
                <w:w w:val="95"/>
                <w:sz w:val="18"/>
              </w:rPr>
              <w:t xml:space="preserve"> </w:t>
            </w:r>
            <w:r>
              <w:rPr>
                <w:spacing w:val="-2"/>
                <w:w w:val="95"/>
                <w:sz w:val="18"/>
              </w:rPr>
              <w:t>years</w:t>
            </w:r>
          </w:p>
        </w:tc>
        <w:tc>
          <w:tcPr>
            <w:tcW w:w="3391" w:type="dxa"/>
            <w:shd w:val="clear" w:color="auto" w:fill="C9C8C9"/>
          </w:tcPr>
          <w:p w:rsidR="002C1123" w:rsidRDefault="00F22F94">
            <w:pPr>
              <w:pStyle w:val="TableParagraph"/>
              <w:spacing w:before="70" w:line="235" w:lineRule="auto"/>
              <w:ind w:left="118" w:right="101" w:firstLine="7"/>
              <w:rPr>
                <w:sz w:val="16"/>
              </w:rPr>
            </w:pPr>
            <w:r>
              <w:rPr>
                <w:sz w:val="16"/>
              </w:rPr>
              <w:t xml:space="preserve">Beyond 10 years, the phasing of projects is </w:t>
            </w:r>
            <w:r>
              <w:rPr>
                <w:spacing w:val="-2"/>
                <w:sz w:val="16"/>
              </w:rPr>
              <w:t>inevitably</w:t>
            </w:r>
            <w:r>
              <w:rPr>
                <w:spacing w:val="-5"/>
                <w:sz w:val="16"/>
              </w:rPr>
              <w:t xml:space="preserve"> </w:t>
            </w:r>
            <w:r>
              <w:rPr>
                <w:spacing w:val="-2"/>
                <w:sz w:val="16"/>
              </w:rPr>
              <w:t>more</w:t>
            </w:r>
            <w:r>
              <w:rPr>
                <w:spacing w:val="-5"/>
                <w:sz w:val="16"/>
              </w:rPr>
              <w:t xml:space="preserve"> </w:t>
            </w:r>
            <w:r>
              <w:rPr>
                <w:spacing w:val="-2"/>
                <w:sz w:val="16"/>
              </w:rPr>
              <w:t>subjective.</w:t>
            </w:r>
            <w:r>
              <w:rPr>
                <w:spacing w:val="-5"/>
                <w:sz w:val="16"/>
              </w:rPr>
              <w:t xml:space="preserve"> </w:t>
            </w:r>
            <w:r>
              <w:rPr>
                <w:spacing w:val="-2"/>
                <w:sz w:val="16"/>
              </w:rPr>
              <w:t>The</w:t>
            </w:r>
            <w:r>
              <w:rPr>
                <w:spacing w:val="-5"/>
                <w:sz w:val="16"/>
              </w:rPr>
              <w:t xml:space="preserve"> </w:t>
            </w:r>
            <w:r>
              <w:rPr>
                <w:spacing w:val="-2"/>
                <w:sz w:val="16"/>
              </w:rPr>
              <w:t>urgency</w:t>
            </w:r>
            <w:r>
              <w:rPr>
                <w:spacing w:val="-5"/>
                <w:sz w:val="16"/>
              </w:rPr>
              <w:t xml:space="preserve"> </w:t>
            </w:r>
            <w:r>
              <w:rPr>
                <w:spacing w:val="-2"/>
                <w:sz w:val="16"/>
              </w:rPr>
              <w:t>for</w:t>
            </w:r>
            <w:r>
              <w:rPr>
                <w:spacing w:val="-5"/>
                <w:sz w:val="16"/>
              </w:rPr>
              <w:t xml:space="preserve"> </w:t>
            </w:r>
            <w:r>
              <w:rPr>
                <w:spacing w:val="-2"/>
                <w:sz w:val="16"/>
              </w:rPr>
              <w:t>a project</w:t>
            </w:r>
            <w:r>
              <w:rPr>
                <w:spacing w:val="-6"/>
                <w:sz w:val="16"/>
              </w:rPr>
              <w:t xml:space="preserve"> </w:t>
            </w:r>
            <w:r>
              <w:rPr>
                <w:spacing w:val="-2"/>
                <w:sz w:val="16"/>
              </w:rPr>
              <w:t>may</w:t>
            </w:r>
            <w:r>
              <w:rPr>
                <w:spacing w:val="-6"/>
                <w:sz w:val="16"/>
              </w:rPr>
              <w:t xml:space="preserve"> </w:t>
            </w:r>
            <w:r>
              <w:rPr>
                <w:spacing w:val="-2"/>
                <w:sz w:val="16"/>
              </w:rPr>
              <w:t>change</w:t>
            </w:r>
            <w:r>
              <w:rPr>
                <w:spacing w:val="-6"/>
                <w:sz w:val="16"/>
              </w:rPr>
              <w:t xml:space="preserve"> </w:t>
            </w:r>
            <w:r>
              <w:rPr>
                <w:spacing w:val="-2"/>
                <w:sz w:val="16"/>
              </w:rPr>
              <w:t>in</w:t>
            </w:r>
            <w:r>
              <w:rPr>
                <w:spacing w:val="-6"/>
                <w:sz w:val="16"/>
              </w:rPr>
              <w:t xml:space="preserve"> </w:t>
            </w:r>
            <w:r>
              <w:rPr>
                <w:spacing w:val="-2"/>
                <w:sz w:val="16"/>
              </w:rPr>
              <w:t>response</w:t>
            </w:r>
            <w:r>
              <w:rPr>
                <w:spacing w:val="-6"/>
                <w:sz w:val="16"/>
              </w:rPr>
              <w:t xml:space="preserve"> </w:t>
            </w:r>
            <w:r>
              <w:rPr>
                <w:spacing w:val="-2"/>
                <w:sz w:val="16"/>
              </w:rPr>
              <w:t>to</w:t>
            </w:r>
            <w:r>
              <w:rPr>
                <w:spacing w:val="-6"/>
                <w:sz w:val="16"/>
              </w:rPr>
              <w:t xml:space="preserve"> </w:t>
            </w:r>
            <w:r>
              <w:rPr>
                <w:spacing w:val="-2"/>
                <w:sz w:val="16"/>
              </w:rPr>
              <w:t xml:space="preserve">economic </w:t>
            </w:r>
            <w:r>
              <w:rPr>
                <w:sz w:val="16"/>
              </w:rPr>
              <w:t>or societal change. For projects beyond</w:t>
            </w:r>
          </w:p>
          <w:p w:rsidR="002C1123" w:rsidRDefault="00F22F94">
            <w:pPr>
              <w:pStyle w:val="TableParagraph"/>
              <w:spacing w:before="0" w:line="235" w:lineRule="auto"/>
              <w:ind w:left="122" w:right="101" w:firstLine="2"/>
              <w:rPr>
                <w:sz w:val="16"/>
              </w:rPr>
            </w:pPr>
            <w:r>
              <w:rPr>
                <w:spacing w:val="-2"/>
                <w:sz w:val="16"/>
              </w:rPr>
              <w:t>the</w:t>
            </w:r>
            <w:r>
              <w:rPr>
                <w:spacing w:val="-5"/>
                <w:sz w:val="16"/>
              </w:rPr>
              <w:t xml:space="preserve"> </w:t>
            </w:r>
            <w:r>
              <w:rPr>
                <w:spacing w:val="-2"/>
                <w:sz w:val="16"/>
              </w:rPr>
              <w:t>immediate</w:t>
            </w:r>
            <w:r>
              <w:rPr>
                <w:spacing w:val="-5"/>
                <w:sz w:val="16"/>
              </w:rPr>
              <w:t xml:space="preserve"> </w:t>
            </w:r>
            <w:r>
              <w:rPr>
                <w:spacing w:val="-2"/>
                <w:sz w:val="16"/>
              </w:rPr>
              <w:t>horizon,</w:t>
            </w:r>
            <w:r>
              <w:rPr>
                <w:spacing w:val="-5"/>
                <w:sz w:val="16"/>
              </w:rPr>
              <w:t xml:space="preserve"> </w:t>
            </w:r>
            <w:r>
              <w:rPr>
                <w:spacing w:val="-2"/>
                <w:sz w:val="16"/>
              </w:rPr>
              <w:t>Infrastructure</w:t>
            </w:r>
            <w:r>
              <w:rPr>
                <w:spacing w:val="-5"/>
                <w:sz w:val="16"/>
              </w:rPr>
              <w:t xml:space="preserve"> </w:t>
            </w:r>
            <w:r>
              <w:rPr>
                <w:spacing w:val="-2"/>
                <w:sz w:val="16"/>
              </w:rPr>
              <w:t xml:space="preserve">NSW </w:t>
            </w:r>
            <w:r>
              <w:rPr>
                <w:w w:val="95"/>
                <w:sz w:val="16"/>
              </w:rPr>
              <w:t xml:space="preserve">recommends that flexibility over the precise </w:t>
            </w:r>
            <w:r>
              <w:rPr>
                <w:sz w:val="16"/>
              </w:rPr>
              <w:t>timing be retained.</w:t>
            </w:r>
          </w:p>
        </w:tc>
      </w:tr>
    </w:tbl>
    <w:p w:rsidR="002C1123" w:rsidRDefault="00F22F94">
      <w:pPr>
        <w:pStyle w:val="BodyText"/>
        <w:spacing w:before="127" w:line="249" w:lineRule="auto"/>
        <w:ind w:left="192" w:right="788" w:firstLine="1"/>
      </w:pPr>
      <w:r>
        <w:t>Final</w:t>
      </w:r>
      <w:r>
        <w:rPr>
          <w:spacing w:val="-14"/>
        </w:rPr>
        <w:t xml:space="preserve"> </w:t>
      </w:r>
      <w:r>
        <w:t>confirmation</w:t>
      </w:r>
      <w:r>
        <w:rPr>
          <w:spacing w:val="-14"/>
        </w:rPr>
        <w:t xml:space="preserve"> </w:t>
      </w:r>
      <w:r>
        <w:t>of</w:t>
      </w:r>
      <w:r>
        <w:rPr>
          <w:spacing w:val="-14"/>
        </w:rPr>
        <w:t xml:space="preserve"> </w:t>
      </w:r>
      <w:r>
        <w:t>project</w:t>
      </w:r>
      <w:r>
        <w:rPr>
          <w:spacing w:val="-14"/>
        </w:rPr>
        <w:t xml:space="preserve"> </w:t>
      </w:r>
      <w:r>
        <w:t>priorities</w:t>
      </w:r>
      <w:r>
        <w:rPr>
          <w:spacing w:val="-14"/>
        </w:rPr>
        <w:t xml:space="preserve"> </w:t>
      </w:r>
      <w:r>
        <w:t>and</w:t>
      </w:r>
      <w:r>
        <w:rPr>
          <w:spacing w:val="-14"/>
        </w:rPr>
        <w:t xml:space="preserve"> </w:t>
      </w:r>
      <w:r>
        <w:t>their</w:t>
      </w:r>
      <w:r>
        <w:rPr>
          <w:spacing w:val="-14"/>
        </w:rPr>
        <w:t xml:space="preserve"> </w:t>
      </w:r>
      <w:r>
        <w:t>timing is</w:t>
      </w:r>
      <w:r>
        <w:rPr>
          <w:spacing w:val="-12"/>
        </w:rPr>
        <w:t xml:space="preserve"> </w:t>
      </w:r>
      <w:r>
        <w:t>to</w:t>
      </w:r>
      <w:r>
        <w:rPr>
          <w:spacing w:val="-12"/>
        </w:rPr>
        <w:t xml:space="preserve"> </w:t>
      </w:r>
      <w:r>
        <w:t>be</w:t>
      </w:r>
      <w:r>
        <w:rPr>
          <w:spacing w:val="-12"/>
        </w:rPr>
        <w:t xml:space="preserve"> </w:t>
      </w:r>
      <w:r>
        <w:t>determined</w:t>
      </w:r>
      <w:r>
        <w:rPr>
          <w:spacing w:val="-12"/>
        </w:rPr>
        <w:t xml:space="preserve"> </w:t>
      </w:r>
      <w:r>
        <w:t>in</w:t>
      </w:r>
      <w:r>
        <w:rPr>
          <w:spacing w:val="-12"/>
        </w:rPr>
        <w:t xml:space="preserve"> </w:t>
      </w:r>
      <w:r>
        <w:t>association</w:t>
      </w:r>
      <w:r>
        <w:rPr>
          <w:spacing w:val="-12"/>
        </w:rPr>
        <w:t xml:space="preserve"> </w:t>
      </w:r>
      <w:r>
        <w:t>with</w:t>
      </w:r>
      <w:r>
        <w:rPr>
          <w:spacing w:val="-12"/>
        </w:rPr>
        <w:t xml:space="preserve"> </w:t>
      </w:r>
      <w:r>
        <w:t>Infrastructure NSW’s</w:t>
      </w:r>
      <w:r>
        <w:rPr>
          <w:spacing w:val="-12"/>
        </w:rPr>
        <w:t xml:space="preserve"> </w:t>
      </w:r>
      <w:r>
        <w:t>review</w:t>
      </w:r>
      <w:r>
        <w:rPr>
          <w:spacing w:val="-12"/>
        </w:rPr>
        <w:t xml:space="preserve"> </w:t>
      </w:r>
      <w:r>
        <w:t>of</w:t>
      </w:r>
      <w:r>
        <w:rPr>
          <w:spacing w:val="-12"/>
        </w:rPr>
        <w:t xml:space="preserve"> </w:t>
      </w:r>
      <w:r>
        <w:t>agency</w:t>
      </w:r>
      <w:r>
        <w:rPr>
          <w:spacing w:val="-12"/>
        </w:rPr>
        <w:t xml:space="preserve"> </w:t>
      </w:r>
      <w:r>
        <w:t>project</w:t>
      </w:r>
      <w:r>
        <w:rPr>
          <w:spacing w:val="-12"/>
        </w:rPr>
        <w:t xml:space="preserve"> </w:t>
      </w:r>
      <w:r>
        <w:t>plans</w:t>
      </w:r>
      <w:r>
        <w:rPr>
          <w:spacing w:val="-12"/>
        </w:rPr>
        <w:t xml:space="preserve"> </w:t>
      </w:r>
      <w:r>
        <w:t>in</w:t>
      </w:r>
      <w:r>
        <w:rPr>
          <w:spacing w:val="-12"/>
        </w:rPr>
        <w:t xml:space="preserve"> </w:t>
      </w:r>
      <w:r>
        <w:t xml:space="preserve">accordance </w:t>
      </w:r>
      <w:r>
        <w:rPr>
          <w:w w:val="95"/>
        </w:rPr>
        <w:t xml:space="preserve">with the assurance framework described in Section 16, </w:t>
      </w:r>
      <w:r>
        <w:t>and</w:t>
      </w:r>
      <w:r>
        <w:rPr>
          <w:spacing w:val="-14"/>
        </w:rPr>
        <w:t xml:space="preserve"> </w:t>
      </w:r>
      <w:r>
        <w:t>will</w:t>
      </w:r>
      <w:r>
        <w:rPr>
          <w:spacing w:val="-14"/>
        </w:rPr>
        <w:t xml:space="preserve"> </w:t>
      </w:r>
      <w:r>
        <w:t>inform</w:t>
      </w:r>
      <w:r>
        <w:rPr>
          <w:spacing w:val="-14"/>
        </w:rPr>
        <w:t xml:space="preserve"> </w:t>
      </w:r>
      <w:r>
        <w:t>Infrastructure</w:t>
      </w:r>
      <w:r>
        <w:rPr>
          <w:spacing w:val="-14"/>
        </w:rPr>
        <w:t xml:space="preserve"> </w:t>
      </w:r>
      <w:r>
        <w:t>NSW’s</w:t>
      </w:r>
      <w:r>
        <w:rPr>
          <w:spacing w:val="-14"/>
        </w:rPr>
        <w:t xml:space="preserve"> </w:t>
      </w:r>
      <w:r>
        <w:t>five-year Infrastructure</w:t>
      </w:r>
      <w:r>
        <w:rPr>
          <w:spacing w:val="-11"/>
        </w:rPr>
        <w:t xml:space="preserve"> </w:t>
      </w:r>
      <w:r>
        <w:t>Plans.</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276" w:space="40"/>
            <w:col w:w="5006" w:space="39"/>
            <w:col w:w="5699"/>
          </w:cols>
        </w:sectPr>
      </w:pPr>
    </w:p>
    <w:p w:rsidR="002C1123" w:rsidRDefault="002C1123">
      <w:pPr>
        <w:pStyle w:val="BodyText"/>
      </w:pPr>
    </w:p>
    <w:p w:rsidR="002C1123" w:rsidRDefault="002C1123">
      <w:pPr>
        <w:sectPr w:rsidR="002C1123">
          <w:headerReference w:type="default" r:id="rId67"/>
          <w:footerReference w:type="default" r:id="rId68"/>
          <w:pgSz w:w="16840" w:h="11910" w:orient="landscape"/>
          <w:pgMar w:top="560" w:right="280" w:bottom="700" w:left="500" w:header="0" w:footer="517" w:gutter="0"/>
          <w:cols w:space="720"/>
        </w:sectPr>
      </w:pPr>
    </w:p>
    <w:p w:rsidR="002C1123" w:rsidRDefault="002060EF">
      <w:pPr>
        <w:pStyle w:val="Heading1"/>
        <w:numPr>
          <w:ilvl w:val="1"/>
          <w:numId w:val="147"/>
        </w:numPr>
        <w:tabs>
          <w:tab w:val="left" w:pos="1641"/>
        </w:tabs>
        <w:ind w:hanging="1149"/>
        <w:jc w:val="left"/>
        <w:rPr>
          <w:color w:val="2E3092"/>
        </w:rPr>
      </w:pPr>
      <w:r>
        <w:pict>
          <v:rect id="docshape263" o:spid="_x0000_s5047" style="position:absolute;left:0;text-align:left;margin-left:38.25pt;margin-top:80.8pt;width:502.7pt;height:416pt;z-index:-251527168;mso-position-horizontal-relative:page" fillcolor="#e1e0e1" stroked="f">
            <w10:wrap anchorx="page"/>
          </v:rect>
        </w:pict>
      </w:r>
      <w:bookmarkStart w:id="60" w:name="2.0_Infrastructure_challenges"/>
      <w:bookmarkStart w:id="61" w:name="2.1_Introduction"/>
      <w:bookmarkStart w:id="62" w:name="2.2_NSW_now_and_in_the_future"/>
      <w:bookmarkStart w:id="63" w:name="_bookmark43"/>
      <w:bookmarkStart w:id="64" w:name="_bookmark42"/>
      <w:bookmarkEnd w:id="60"/>
      <w:bookmarkEnd w:id="61"/>
      <w:bookmarkEnd w:id="62"/>
      <w:bookmarkEnd w:id="63"/>
      <w:bookmarkEnd w:id="64"/>
      <w:r w:rsidR="00F22F94">
        <w:rPr>
          <w:color w:val="EC008C"/>
          <w:w w:val="55"/>
        </w:rPr>
        <w:t>Infrastructure</w:t>
      </w:r>
      <w:r w:rsidR="00F22F94">
        <w:rPr>
          <w:color w:val="EC008C"/>
          <w:spacing w:val="22"/>
        </w:rPr>
        <w:t xml:space="preserve"> </w:t>
      </w:r>
      <w:r w:rsidR="00F22F94">
        <w:rPr>
          <w:color w:val="EC008C"/>
          <w:spacing w:val="-2"/>
          <w:w w:val="55"/>
        </w:rPr>
        <w:t>challenges</w:t>
      </w:r>
    </w:p>
    <w:p w:rsidR="002C1123" w:rsidRDefault="00F22F94">
      <w:pPr>
        <w:pStyle w:val="Heading5"/>
        <w:spacing w:before="153"/>
        <w:ind w:left="492" w:firstLine="0"/>
      </w:pPr>
      <w:r>
        <w:rPr>
          <w:color w:val="EC008C"/>
          <w:w w:val="95"/>
        </w:rPr>
        <w:t>Key</w:t>
      </w:r>
      <w:r>
        <w:rPr>
          <w:color w:val="EC008C"/>
          <w:spacing w:val="-4"/>
        </w:rPr>
        <w:t xml:space="preserve"> </w:t>
      </w:r>
      <w:r>
        <w:rPr>
          <w:color w:val="EC008C"/>
          <w:spacing w:val="-2"/>
        </w:rPr>
        <w:t>points</w:t>
      </w:r>
    </w:p>
    <w:p w:rsidR="002C1123" w:rsidRDefault="00F22F94">
      <w:pPr>
        <w:rPr>
          <w:b/>
          <w:sz w:val="32"/>
        </w:rPr>
      </w:pPr>
      <w:r>
        <w:br w:type="column"/>
      </w:r>
    </w:p>
    <w:p w:rsidR="002C1123" w:rsidRDefault="002C1123">
      <w:pPr>
        <w:pStyle w:val="BodyText"/>
        <w:rPr>
          <w:b/>
          <w:sz w:val="32"/>
        </w:rPr>
      </w:pPr>
    </w:p>
    <w:p w:rsidR="002C1123" w:rsidRDefault="002C1123">
      <w:pPr>
        <w:pStyle w:val="BodyText"/>
        <w:rPr>
          <w:b/>
          <w:sz w:val="32"/>
        </w:rPr>
      </w:pPr>
    </w:p>
    <w:p w:rsidR="002C1123" w:rsidRDefault="002C1123">
      <w:pPr>
        <w:pStyle w:val="BodyText"/>
        <w:rPr>
          <w:b/>
          <w:sz w:val="32"/>
        </w:rPr>
      </w:pPr>
    </w:p>
    <w:p w:rsidR="002C1123" w:rsidRDefault="002C1123">
      <w:pPr>
        <w:pStyle w:val="BodyText"/>
        <w:spacing w:before="9"/>
        <w:rPr>
          <w:b/>
          <w:sz w:val="26"/>
        </w:rPr>
      </w:pPr>
    </w:p>
    <w:p w:rsidR="002C1123" w:rsidRDefault="00F22F94">
      <w:pPr>
        <w:pStyle w:val="Heading5"/>
        <w:numPr>
          <w:ilvl w:val="1"/>
          <w:numId w:val="147"/>
        </w:numPr>
        <w:tabs>
          <w:tab w:val="left" w:pos="942"/>
        </w:tabs>
        <w:spacing w:before="1"/>
        <w:ind w:left="941" w:hanging="450"/>
        <w:jc w:val="left"/>
        <w:rPr>
          <w:color w:val="EC008C"/>
        </w:rPr>
      </w:pPr>
      <w:r>
        <w:rPr>
          <w:color w:val="EC008C"/>
          <w:spacing w:val="-2"/>
        </w:rPr>
        <w:t>Introduction</w:t>
      </w:r>
    </w:p>
    <w:p w:rsidR="002C1123" w:rsidRDefault="002C1123">
      <w:pPr>
        <w:sectPr w:rsidR="002C1123">
          <w:type w:val="continuous"/>
          <w:pgSz w:w="16840" w:h="11910" w:orient="landscape"/>
          <w:pgMar w:top="560" w:right="280" w:bottom="280" w:left="500" w:header="0" w:footer="517" w:gutter="0"/>
          <w:cols w:num="2" w:space="720" w:equalWidth="0">
            <w:col w:w="8837" w:space="1216"/>
            <w:col w:w="6007"/>
          </w:cols>
        </w:sectPr>
      </w:pPr>
    </w:p>
    <w:p w:rsidR="002C1123" w:rsidRDefault="00F22F94">
      <w:pPr>
        <w:pStyle w:val="BodyText"/>
        <w:spacing w:before="78"/>
        <w:ind w:left="492"/>
      </w:pPr>
      <w:r>
        <w:rPr>
          <w:w w:val="95"/>
        </w:rPr>
        <w:t>Over</w:t>
      </w:r>
      <w:r>
        <w:rPr>
          <w:spacing w:val="-4"/>
          <w:w w:val="95"/>
        </w:rPr>
        <w:t xml:space="preserve"> </w:t>
      </w:r>
      <w:r>
        <w:rPr>
          <w:w w:val="95"/>
        </w:rPr>
        <w:t>the</w:t>
      </w:r>
      <w:r>
        <w:rPr>
          <w:spacing w:val="-4"/>
          <w:w w:val="95"/>
        </w:rPr>
        <w:t xml:space="preserve"> </w:t>
      </w:r>
      <w:r>
        <w:rPr>
          <w:w w:val="95"/>
        </w:rPr>
        <w:t>next</w:t>
      </w:r>
      <w:r>
        <w:rPr>
          <w:spacing w:val="-4"/>
          <w:w w:val="95"/>
        </w:rPr>
        <w:t xml:space="preserve"> </w:t>
      </w:r>
      <w:r>
        <w:rPr>
          <w:w w:val="95"/>
        </w:rPr>
        <w:t>two</w:t>
      </w:r>
      <w:r>
        <w:rPr>
          <w:spacing w:val="-4"/>
          <w:w w:val="95"/>
        </w:rPr>
        <w:t xml:space="preserve"> </w:t>
      </w:r>
      <w:r>
        <w:rPr>
          <w:spacing w:val="-2"/>
          <w:w w:val="95"/>
        </w:rPr>
        <w:t>decades:</w:t>
      </w:r>
    </w:p>
    <w:p w:rsidR="002C1123" w:rsidRDefault="00F22F94">
      <w:pPr>
        <w:pStyle w:val="ListParagraph"/>
        <w:numPr>
          <w:ilvl w:val="0"/>
          <w:numId w:val="144"/>
        </w:numPr>
        <w:tabs>
          <w:tab w:val="left" w:pos="776"/>
        </w:tabs>
        <w:spacing w:before="139" w:line="249" w:lineRule="auto"/>
        <w:ind w:right="225"/>
        <w:rPr>
          <w:sz w:val="20"/>
        </w:rPr>
      </w:pPr>
      <w:r>
        <w:rPr>
          <w:w w:val="95"/>
          <w:sz w:val="20"/>
        </w:rPr>
        <w:t>Some</w:t>
      </w:r>
      <w:r>
        <w:rPr>
          <w:spacing w:val="-2"/>
          <w:w w:val="95"/>
          <w:sz w:val="20"/>
        </w:rPr>
        <w:t xml:space="preserve"> </w:t>
      </w:r>
      <w:r>
        <w:rPr>
          <w:w w:val="95"/>
          <w:sz w:val="20"/>
        </w:rPr>
        <w:t>two</w:t>
      </w:r>
      <w:r>
        <w:rPr>
          <w:spacing w:val="-2"/>
          <w:w w:val="95"/>
          <w:sz w:val="20"/>
        </w:rPr>
        <w:t xml:space="preserve"> </w:t>
      </w:r>
      <w:r>
        <w:rPr>
          <w:w w:val="95"/>
          <w:sz w:val="20"/>
        </w:rPr>
        <w:t>million</w:t>
      </w:r>
      <w:r>
        <w:rPr>
          <w:spacing w:val="-2"/>
          <w:w w:val="95"/>
          <w:sz w:val="20"/>
        </w:rPr>
        <w:t xml:space="preserve"> </w:t>
      </w:r>
      <w:r>
        <w:rPr>
          <w:w w:val="95"/>
          <w:sz w:val="20"/>
        </w:rPr>
        <w:t>more</w:t>
      </w:r>
      <w:r>
        <w:rPr>
          <w:spacing w:val="-2"/>
          <w:w w:val="95"/>
          <w:sz w:val="20"/>
        </w:rPr>
        <w:t xml:space="preserve"> </w:t>
      </w:r>
      <w:r>
        <w:rPr>
          <w:w w:val="95"/>
          <w:sz w:val="20"/>
        </w:rPr>
        <w:t>people</w:t>
      </w:r>
      <w:r>
        <w:rPr>
          <w:spacing w:val="-2"/>
          <w:w w:val="95"/>
          <w:sz w:val="20"/>
        </w:rPr>
        <w:t xml:space="preserve"> </w:t>
      </w:r>
      <w:r>
        <w:rPr>
          <w:w w:val="95"/>
          <w:sz w:val="20"/>
        </w:rPr>
        <w:t>will</w:t>
      </w:r>
      <w:r>
        <w:rPr>
          <w:spacing w:val="-2"/>
          <w:w w:val="95"/>
          <w:sz w:val="20"/>
        </w:rPr>
        <w:t xml:space="preserve"> </w:t>
      </w:r>
      <w:r>
        <w:rPr>
          <w:w w:val="95"/>
          <w:sz w:val="20"/>
        </w:rPr>
        <w:t>live</w:t>
      </w:r>
      <w:r>
        <w:rPr>
          <w:spacing w:val="-2"/>
          <w:w w:val="95"/>
          <w:sz w:val="20"/>
        </w:rPr>
        <w:t xml:space="preserve"> </w:t>
      </w:r>
      <w:r>
        <w:rPr>
          <w:w w:val="95"/>
          <w:sz w:val="20"/>
        </w:rPr>
        <w:t>in</w:t>
      </w:r>
      <w:r>
        <w:rPr>
          <w:spacing w:val="-2"/>
          <w:w w:val="95"/>
          <w:sz w:val="20"/>
        </w:rPr>
        <w:t xml:space="preserve"> </w:t>
      </w:r>
      <w:r>
        <w:rPr>
          <w:w w:val="95"/>
          <w:sz w:val="20"/>
        </w:rPr>
        <w:t>NSW,</w:t>
      </w:r>
      <w:r>
        <w:rPr>
          <w:spacing w:val="-2"/>
          <w:w w:val="95"/>
          <w:sz w:val="20"/>
        </w:rPr>
        <w:t xml:space="preserve"> </w:t>
      </w:r>
      <w:r>
        <w:rPr>
          <w:w w:val="95"/>
          <w:sz w:val="20"/>
        </w:rPr>
        <w:t>of whom</w:t>
      </w:r>
      <w:r>
        <w:rPr>
          <w:spacing w:val="-7"/>
          <w:w w:val="95"/>
          <w:sz w:val="20"/>
        </w:rPr>
        <w:t xml:space="preserve"> </w:t>
      </w:r>
      <w:r>
        <w:rPr>
          <w:w w:val="95"/>
          <w:sz w:val="20"/>
        </w:rPr>
        <w:t>three</w:t>
      </w:r>
      <w:r>
        <w:rPr>
          <w:spacing w:val="-6"/>
          <w:w w:val="95"/>
          <w:sz w:val="20"/>
        </w:rPr>
        <w:t xml:space="preserve"> </w:t>
      </w:r>
      <w:r>
        <w:rPr>
          <w:w w:val="95"/>
          <w:sz w:val="20"/>
        </w:rPr>
        <w:t>quarters</w:t>
      </w:r>
      <w:r>
        <w:rPr>
          <w:spacing w:val="-6"/>
          <w:w w:val="95"/>
          <w:sz w:val="20"/>
        </w:rPr>
        <w:t xml:space="preserve"> </w:t>
      </w:r>
      <w:r>
        <w:rPr>
          <w:w w:val="95"/>
          <w:sz w:val="20"/>
        </w:rPr>
        <w:t>will</w:t>
      </w:r>
      <w:r>
        <w:rPr>
          <w:spacing w:val="-6"/>
          <w:w w:val="95"/>
          <w:sz w:val="20"/>
        </w:rPr>
        <w:t xml:space="preserve"> </w:t>
      </w:r>
      <w:r>
        <w:rPr>
          <w:w w:val="95"/>
          <w:sz w:val="20"/>
        </w:rPr>
        <w:t>settle</w:t>
      </w:r>
      <w:r>
        <w:rPr>
          <w:spacing w:val="-6"/>
          <w:w w:val="95"/>
          <w:sz w:val="20"/>
        </w:rPr>
        <w:t xml:space="preserve"> </w:t>
      </w:r>
      <w:r>
        <w:rPr>
          <w:w w:val="95"/>
          <w:sz w:val="20"/>
        </w:rPr>
        <w:t>in</w:t>
      </w:r>
      <w:r>
        <w:rPr>
          <w:spacing w:val="-6"/>
          <w:w w:val="95"/>
          <w:sz w:val="20"/>
        </w:rPr>
        <w:t xml:space="preserve"> </w:t>
      </w:r>
      <w:r>
        <w:rPr>
          <w:w w:val="95"/>
          <w:sz w:val="20"/>
        </w:rPr>
        <w:t>Sydney</w:t>
      </w:r>
      <w:r>
        <w:rPr>
          <w:spacing w:val="-6"/>
          <w:w w:val="95"/>
          <w:sz w:val="20"/>
        </w:rPr>
        <w:t xml:space="preserve"> </w:t>
      </w:r>
      <w:r>
        <w:rPr>
          <w:w w:val="95"/>
          <w:sz w:val="20"/>
        </w:rPr>
        <w:t xml:space="preserve">needing </w:t>
      </w:r>
      <w:r>
        <w:rPr>
          <w:sz w:val="20"/>
        </w:rPr>
        <w:t>jobs, housing, transport and services</w:t>
      </w:r>
    </w:p>
    <w:p w:rsidR="002C1123" w:rsidRDefault="00F22F94">
      <w:pPr>
        <w:pStyle w:val="ListParagraph"/>
        <w:numPr>
          <w:ilvl w:val="0"/>
          <w:numId w:val="144"/>
        </w:numPr>
        <w:tabs>
          <w:tab w:val="left" w:pos="776"/>
        </w:tabs>
        <w:spacing w:before="131" w:line="249" w:lineRule="auto"/>
        <w:ind w:right="77"/>
        <w:rPr>
          <w:sz w:val="20"/>
        </w:rPr>
      </w:pPr>
      <w:r>
        <w:rPr>
          <w:w w:val="95"/>
          <w:sz w:val="20"/>
        </w:rPr>
        <w:t>NSW</w:t>
      </w:r>
      <w:r>
        <w:rPr>
          <w:spacing w:val="-7"/>
          <w:w w:val="95"/>
          <w:sz w:val="20"/>
        </w:rPr>
        <w:t xml:space="preserve"> </w:t>
      </w:r>
      <w:r>
        <w:rPr>
          <w:w w:val="95"/>
          <w:sz w:val="20"/>
        </w:rPr>
        <w:t>is</w:t>
      </w:r>
      <w:r>
        <w:rPr>
          <w:spacing w:val="-7"/>
          <w:w w:val="95"/>
          <w:sz w:val="20"/>
        </w:rPr>
        <w:t xml:space="preserve"> </w:t>
      </w:r>
      <w:r>
        <w:rPr>
          <w:w w:val="95"/>
          <w:sz w:val="20"/>
        </w:rPr>
        <w:t>the</w:t>
      </w:r>
      <w:r>
        <w:rPr>
          <w:spacing w:val="-7"/>
          <w:w w:val="95"/>
          <w:sz w:val="20"/>
        </w:rPr>
        <w:t xml:space="preserve"> </w:t>
      </w:r>
      <w:r>
        <w:rPr>
          <w:w w:val="95"/>
          <w:sz w:val="20"/>
        </w:rPr>
        <w:t>largest</w:t>
      </w:r>
      <w:r>
        <w:rPr>
          <w:spacing w:val="-7"/>
          <w:w w:val="95"/>
          <w:sz w:val="20"/>
        </w:rPr>
        <w:t xml:space="preserve"> </w:t>
      </w:r>
      <w:r>
        <w:rPr>
          <w:w w:val="95"/>
          <w:sz w:val="20"/>
        </w:rPr>
        <w:t>and</w:t>
      </w:r>
      <w:r>
        <w:rPr>
          <w:spacing w:val="-7"/>
          <w:w w:val="95"/>
          <w:sz w:val="20"/>
        </w:rPr>
        <w:t xml:space="preserve"> </w:t>
      </w:r>
      <w:r>
        <w:rPr>
          <w:w w:val="95"/>
          <w:sz w:val="20"/>
        </w:rPr>
        <w:t>most</w:t>
      </w:r>
      <w:r>
        <w:rPr>
          <w:spacing w:val="-7"/>
          <w:w w:val="95"/>
          <w:sz w:val="20"/>
        </w:rPr>
        <w:t xml:space="preserve"> </w:t>
      </w:r>
      <w:r>
        <w:rPr>
          <w:w w:val="95"/>
          <w:sz w:val="20"/>
        </w:rPr>
        <w:t>diversified</w:t>
      </w:r>
      <w:r>
        <w:rPr>
          <w:spacing w:val="-7"/>
          <w:w w:val="95"/>
          <w:sz w:val="20"/>
        </w:rPr>
        <w:t xml:space="preserve"> </w:t>
      </w:r>
      <w:r>
        <w:rPr>
          <w:w w:val="95"/>
          <w:sz w:val="20"/>
        </w:rPr>
        <w:t>economy</w:t>
      </w:r>
      <w:r>
        <w:rPr>
          <w:spacing w:val="-7"/>
          <w:w w:val="95"/>
          <w:sz w:val="20"/>
        </w:rPr>
        <w:t xml:space="preserve"> </w:t>
      </w:r>
      <w:r>
        <w:rPr>
          <w:w w:val="95"/>
          <w:sz w:val="20"/>
        </w:rPr>
        <w:t xml:space="preserve">in </w:t>
      </w:r>
      <w:r>
        <w:rPr>
          <w:sz w:val="20"/>
        </w:rPr>
        <w:t>Australia</w:t>
      </w:r>
      <w:r>
        <w:rPr>
          <w:spacing w:val="-8"/>
          <w:sz w:val="20"/>
        </w:rPr>
        <w:t xml:space="preserve"> </w:t>
      </w:r>
      <w:r>
        <w:rPr>
          <w:sz w:val="20"/>
        </w:rPr>
        <w:t>and</w:t>
      </w:r>
      <w:r>
        <w:rPr>
          <w:spacing w:val="-8"/>
          <w:sz w:val="20"/>
        </w:rPr>
        <w:t xml:space="preserve"> </w:t>
      </w:r>
      <w:r>
        <w:rPr>
          <w:sz w:val="20"/>
        </w:rPr>
        <w:t>is</w:t>
      </w:r>
      <w:r>
        <w:rPr>
          <w:spacing w:val="-8"/>
          <w:sz w:val="20"/>
        </w:rPr>
        <w:t xml:space="preserve"> </w:t>
      </w:r>
      <w:r>
        <w:rPr>
          <w:sz w:val="20"/>
        </w:rPr>
        <w:t>predicted</w:t>
      </w:r>
      <w:r>
        <w:rPr>
          <w:spacing w:val="-8"/>
          <w:sz w:val="20"/>
        </w:rPr>
        <w:t xml:space="preserve"> </w:t>
      </w:r>
      <w:r>
        <w:rPr>
          <w:sz w:val="20"/>
        </w:rPr>
        <w:t>to</w:t>
      </w:r>
      <w:r>
        <w:rPr>
          <w:spacing w:val="-8"/>
          <w:sz w:val="20"/>
        </w:rPr>
        <w:t xml:space="preserve"> </w:t>
      </w:r>
      <w:r>
        <w:rPr>
          <w:sz w:val="20"/>
        </w:rPr>
        <w:t>grow</w:t>
      </w:r>
      <w:r>
        <w:rPr>
          <w:spacing w:val="-8"/>
          <w:sz w:val="20"/>
        </w:rPr>
        <w:t xml:space="preserve"> </w:t>
      </w:r>
      <w:r>
        <w:rPr>
          <w:sz w:val="20"/>
        </w:rPr>
        <w:t>by</w:t>
      </w:r>
      <w:r>
        <w:rPr>
          <w:spacing w:val="-8"/>
          <w:sz w:val="20"/>
        </w:rPr>
        <w:t xml:space="preserve"> </w:t>
      </w:r>
      <w:r>
        <w:rPr>
          <w:sz w:val="20"/>
        </w:rPr>
        <w:t>70</w:t>
      </w:r>
      <w:r>
        <w:rPr>
          <w:spacing w:val="-8"/>
          <w:sz w:val="20"/>
        </w:rPr>
        <w:t xml:space="preserve"> </w:t>
      </w:r>
      <w:r>
        <w:rPr>
          <w:sz w:val="20"/>
        </w:rPr>
        <w:t>percent</w:t>
      </w:r>
    </w:p>
    <w:p w:rsidR="002C1123" w:rsidRDefault="00F22F94">
      <w:pPr>
        <w:pStyle w:val="ListParagraph"/>
        <w:numPr>
          <w:ilvl w:val="0"/>
          <w:numId w:val="144"/>
        </w:numPr>
        <w:tabs>
          <w:tab w:val="left" w:pos="776"/>
        </w:tabs>
        <w:spacing w:before="131" w:line="249" w:lineRule="auto"/>
        <w:rPr>
          <w:sz w:val="20"/>
        </w:rPr>
      </w:pPr>
      <w:r>
        <w:rPr>
          <w:w w:val="95"/>
          <w:sz w:val="20"/>
        </w:rPr>
        <w:t>The</w:t>
      </w:r>
      <w:r>
        <w:rPr>
          <w:spacing w:val="-6"/>
          <w:w w:val="95"/>
          <w:sz w:val="20"/>
        </w:rPr>
        <w:t xml:space="preserve"> </w:t>
      </w:r>
      <w:r>
        <w:rPr>
          <w:w w:val="95"/>
          <w:sz w:val="20"/>
        </w:rPr>
        <w:t>links</w:t>
      </w:r>
      <w:r>
        <w:rPr>
          <w:spacing w:val="-6"/>
          <w:w w:val="95"/>
          <w:sz w:val="20"/>
        </w:rPr>
        <w:t xml:space="preserve"> </w:t>
      </w:r>
      <w:r>
        <w:rPr>
          <w:w w:val="95"/>
          <w:sz w:val="20"/>
        </w:rPr>
        <w:t>between</w:t>
      </w:r>
      <w:r>
        <w:rPr>
          <w:spacing w:val="-6"/>
          <w:w w:val="95"/>
          <w:sz w:val="20"/>
        </w:rPr>
        <w:t xml:space="preserve"> </w:t>
      </w:r>
      <w:r>
        <w:rPr>
          <w:w w:val="95"/>
          <w:sz w:val="20"/>
        </w:rPr>
        <w:t>NSW</w:t>
      </w:r>
      <w:r>
        <w:rPr>
          <w:spacing w:val="-6"/>
          <w:w w:val="95"/>
          <w:sz w:val="20"/>
        </w:rPr>
        <w:t xml:space="preserve"> </w:t>
      </w:r>
      <w:r>
        <w:rPr>
          <w:w w:val="95"/>
          <w:sz w:val="20"/>
        </w:rPr>
        <w:t>and</w:t>
      </w:r>
      <w:r>
        <w:rPr>
          <w:spacing w:val="-6"/>
          <w:w w:val="95"/>
          <w:sz w:val="20"/>
        </w:rPr>
        <w:t xml:space="preserve"> </w:t>
      </w:r>
      <w:r>
        <w:rPr>
          <w:w w:val="95"/>
          <w:sz w:val="20"/>
        </w:rPr>
        <w:t>the</w:t>
      </w:r>
      <w:r>
        <w:rPr>
          <w:spacing w:val="-6"/>
          <w:w w:val="95"/>
          <w:sz w:val="20"/>
        </w:rPr>
        <w:t xml:space="preserve"> </w:t>
      </w:r>
      <w:r>
        <w:rPr>
          <w:w w:val="95"/>
          <w:sz w:val="20"/>
        </w:rPr>
        <w:t>global</w:t>
      </w:r>
      <w:r>
        <w:rPr>
          <w:spacing w:val="-6"/>
          <w:w w:val="95"/>
          <w:sz w:val="20"/>
        </w:rPr>
        <w:t xml:space="preserve"> </w:t>
      </w:r>
      <w:r>
        <w:rPr>
          <w:w w:val="95"/>
          <w:sz w:val="20"/>
        </w:rPr>
        <w:t>economy</w:t>
      </w:r>
      <w:r>
        <w:rPr>
          <w:spacing w:val="-6"/>
          <w:w w:val="95"/>
          <w:sz w:val="20"/>
        </w:rPr>
        <w:t xml:space="preserve"> </w:t>
      </w:r>
      <w:r>
        <w:rPr>
          <w:w w:val="95"/>
          <w:sz w:val="20"/>
        </w:rPr>
        <w:t xml:space="preserve">will </w:t>
      </w:r>
      <w:r>
        <w:rPr>
          <w:sz w:val="20"/>
        </w:rPr>
        <w:t>be even closer</w:t>
      </w:r>
    </w:p>
    <w:p w:rsidR="002C1123" w:rsidRDefault="00F22F94">
      <w:pPr>
        <w:pStyle w:val="ListParagraph"/>
        <w:numPr>
          <w:ilvl w:val="0"/>
          <w:numId w:val="144"/>
        </w:numPr>
        <w:tabs>
          <w:tab w:val="left" w:pos="776"/>
        </w:tabs>
        <w:spacing w:before="130" w:line="249" w:lineRule="auto"/>
        <w:ind w:right="233"/>
        <w:rPr>
          <w:sz w:val="20"/>
        </w:rPr>
      </w:pPr>
      <w:r>
        <w:rPr>
          <w:w w:val="95"/>
          <w:sz w:val="20"/>
        </w:rPr>
        <w:t>Businesses,</w:t>
      </w:r>
      <w:r>
        <w:rPr>
          <w:spacing w:val="-1"/>
          <w:w w:val="95"/>
          <w:sz w:val="20"/>
        </w:rPr>
        <w:t xml:space="preserve"> </w:t>
      </w:r>
      <w:r>
        <w:rPr>
          <w:w w:val="95"/>
          <w:sz w:val="20"/>
        </w:rPr>
        <w:t>people</w:t>
      </w:r>
      <w:r>
        <w:rPr>
          <w:spacing w:val="-1"/>
          <w:w w:val="95"/>
          <w:sz w:val="20"/>
        </w:rPr>
        <w:t xml:space="preserve"> </w:t>
      </w:r>
      <w:r>
        <w:rPr>
          <w:w w:val="95"/>
          <w:sz w:val="20"/>
        </w:rPr>
        <w:t>and</w:t>
      </w:r>
      <w:r>
        <w:rPr>
          <w:spacing w:val="-1"/>
          <w:w w:val="95"/>
          <w:sz w:val="20"/>
        </w:rPr>
        <w:t xml:space="preserve"> </w:t>
      </w:r>
      <w:r>
        <w:rPr>
          <w:w w:val="95"/>
          <w:sz w:val="20"/>
        </w:rPr>
        <w:t>communities</w:t>
      </w:r>
      <w:r>
        <w:rPr>
          <w:spacing w:val="-1"/>
          <w:w w:val="95"/>
          <w:sz w:val="20"/>
        </w:rPr>
        <w:t xml:space="preserve"> </w:t>
      </w:r>
      <w:r>
        <w:rPr>
          <w:w w:val="95"/>
          <w:sz w:val="20"/>
        </w:rPr>
        <w:t>will</w:t>
      </w:r>
      <w:r>
        <w:rPr>
          <w:spacing w:val="-1"/>
          <w:w w:val="95"/>
          <w:sz w:val="20"/>
        </w:rPr>
        <w:t xml:space="preserve"> </w:t>
      </w:r>
      <w:r>
        <w:rPr>
          <w:w w:val="95"/>
          <w:sz w:val="20"/>
        </w:rPr>
        <w:t>need</w:t>
      </w:r>
      <w:r>
        <w:rPr>
          <w:spacing w:val="-1"/>
          <w:w w:val="95"/>
          <w:sz w:val="20"/>
        </w:rPr>
        <w:t xml:space="preserve"> </w:t>
      </w:r>
      <w:r>
        <w:rPr>
          <w:w w:val="95"/>
          <w:sz w:val="20"/>
        </w:rPr>
        <w:t xml:space="preserve">to </w:t>
      </w:r>
      <w:r>
        <w:rPr>
          <w:sz w:val="20"/>
        </w:rPr>
        <w:t>connect efficiently and safely</w:t>
      </w:r>
    </w:p>
    <w:p w:rsidR="002C1123" w:rsidRDefault="00F22F94">
      <w:pPr>
        <w:pStyle w:val="ListParagraph"/>
        <w:numPr>
          <w:ilvl w:val="0"/>
          <w:numId w:val="144"/>
        </w:numPr>
        <w:tabs>
          <w:tab w:val="left" w:pos="776"/>
        </w:tabs>
        <w:spacing w:before="131" w:line="249" w:lineRule="auto"/>
        <w:ind w:right="565"/>
        <w:rPr>
          <w:sz w:val="20"/>
        </w:rPr>
      </w:pPr>
      <w:r>
        <w:rPr>
          <w:sz w:val="20"/>
        </w:rPr>
        <w:t>NSW</w:t>
      </w:r>
      <w:r>
        <w:rPr>
          <w:spacing w:val="-12"/>
          <w:sz w:val="20"/>
        </w:rPr>
        <w:t xml:space="preserve"> </w:t>
      </w:r>
      <w:r>
        <w:rPr>
          <w:sz w:val="20"/>
        </w:rPr>
        <w:t>and</w:t>
      </w:r>
      <w:r>
        <w:rPr>
          <w:spacing w:val="-12"/>
          <w:sz w:val="20"/>
        </w:rPr>
        <w:t xml:space="preserve"> </w:t>
      </w:r>
      <w:r>
        <w:rPr>
          <w:sz w:val="20"/>
        </w:rPr>
        <w:t>Sydney</w:t>
      </w:r>
      <w:r>
        <w:rPr>
          <w:spacing w:val="-12"/>
          <w:sz w:val="20"/>
        </w:rPr>
        <w:t xml:space="preserve"> </w:t>
      </w:r>
      <w:r>
        <w:rPr>
          <w:sz w:val="20"/>
        </w:rPr>
        <w:t>must</w:t>
      </w:r>
      <w:r>
        <w:rPr>
          <w:spacing w:val="-12"/>
          <w:sz w:val="20"/>
        </w:rPr>
        <w:t xml:space="preserve"> </w:t>
      </w:r>
      <w:r>
        <w:rPr>
          <w:sz w:val="20"/>
        </w:rPr>
        <w:t>remain</w:t>
      </w:r>
      <w:r>
        <w:rPr>
          <w:spacing w:val="-12"/>
          <w:sz w:val="20"/>
        </w:rPr>
        <w:t xml:space="preserve"> </w:t>
      </w:r>
      <w:r>
        <w:rPr>
          <w:sz w:val="20"/>
        </w:rPr>
        <w:t>liveable</w:t>
      </w:r>
      <w:r>
        <w:rPr>
          <w:spacing w:val="-12"/>
          <w:sz w:val="20"/>
        </w:rPr>
        <w:t xml:space="preserve"> </w:t>
      </w:r>
      <w:r>
        <w:rPr>
          <w:sz w:val="20"/>
        </w:rPr>
        <w:t xml:space="preserve">and </w:t>
      </w:r>
      <w:r>
        <w:rPr>
          <w:w w:val="95"/>
          <w:sz w:val="20"/>
        </w:rPr>
        <w:t>productive places that attract talented people</w:t>
      </w:r>
    </w:p>
    <w:p w:rsidR="002C1123" w:rsidRDefault="00F22F94">
      <w:pPr>
        <w:pStyle w:val="BodyText"/>
        <w:spacing w:before="1" w:line="249" w:lineRule="auto"/>
        <w:ind w:left="775"/>
      </w:pPr>
      <w:r>
        <w:rPr>
          <w:w w:val="95"/>
        </w:rPr>
        <w:t>and</w:t>
      </w:r>
      <w:r>
        <w:rPr>
          <w:spacing w:val="-7"/>
          <w:w w:val="95"/>
        </w:rPr>
        <w:t xml:space="preserve"> </w:t>
      </w:r>
      <w:r>
        <w:rPr>
          <w:w w:val="95"/>
        </w:rPr>
        <w:t>businesses</w:t>
      </w:r>
      <w:r>
        <w:rPr>
          <w:spacing w:val="-7"/>
          <w:w w:val="95"/>
        </w:rPr>
        <w:t xml:space="preserve"> </w:t>
      </w:r>
      <w:r>
        <w:rPr>
          <w:w w:val="95"/>
        </w:rPr>
        <w:t>given</w:t>
      </w:r>
      <w:r>
        <w:rPr>
          <w:spacing w:val="-7"/>
          <w:w w:val="95"/>
        </w:rPr>
        <w:t xml:space="preserve"> </w:t>
      </w:r>
      <w:r>
        <w:rPr>
          <w:w w:val="95"/>
        </w:rPr>
        <w:t>the</w:t>
      </w:r>
      <w:r>
        <w:rPr>
          <w:spacing w:val="-7"/>
          <w:w w:val="95"/>
        </w:rPr>
        <w:t xml:space="preserve"> </w:t>
      </w:r>
      <w:r>
        <w:rPr>
          <w:w w:val="95"/>
        </w:rPr>
        <w:t>ongoing</w:t>
      </w:r>
      <w:r>
        <w:rPr>
          <w:spacing w:val="-7"/>
          <w:w w:val="95"/>
        </w:rPr>
        <w:t xml:space="preserve"> </w:t>
      </w:r>
      <w:r>
        <w:rPr>
          <w:w w:val="95"/>
        </w:rPr>
        <w:t>role</w:t>
      </w:r>
      <w:r>
        <w:rPr>
          <w:spacing w:val="-7"/>
          <w:w w:val="95"/>
        </w:rPr>
        <w:t xml:space="preserve"> </w:t>
      </w:r>
      <w:r>
        <w:rPr>
          <w:w w:val="95"/>
        </w:rPr>
        <w:t>of</w:t>
      </w:r>
      <w:r>
        <w:rPr>
          <w:spacing w:val="-7"/>
          <w:w w:val="95"/>
        </w:rPr>
        <w:t xml:space="preserve"> </w:t>
      </w:r>
      <w:r>
        <w:rPr>
          <w:w w:val="95"/>
        </w:rPr>
        <w:t>services</w:t>
      </w:r>
      <w:r>
        <w:rPr>
          <w:spacing w:val="-7"/>
          <w:w w:val="95"/>
        </w:rPr>
        <w:t xml:space="preserve"> </w:t>
      </w:r>
      <w:r>
        <w:rPr>
          <w:w w:val="95"/>
        </w:rPr>
        <w:t xml:space="preserve">in </w:t>
      </w:r>
      <w:r>
        <w:t>the</w:t>
      </w:r>
      <w:r>
        <w:rPr>
          <w:spacing w:val="-11"/>
        </w:rPr>
        <w:t xml:space="preserve"> </w:t>
      </w:r>
      <w:r>
        <w:t>economy</w:t>
      </w:r>
    </w:p>
    <w:p w:rsidR="002C1123" w:rsidRDefault="00F22F94">
      <w:pPr>
        <w:pStyle w:val="ListParagraph"/>
        <w:numPr>
          <w:ilvl w:val="0"/>
          <w:numId w:val="144"/>
        </w:numPr>
        <w:tabs>
          <w:tab w:val="left" w:pos="776"/>
        </w:tabs>
        <w:spacing w:before="131" w:line="249" w:lineRule="auto"/>
        <w:ind w:right="10"/>
        <w:rPr>
          <w:sz w:val="20"/>
        </w:rPr>
      </w:pPr>
      <w:r>
        <w:rPr>
          <w:w w:val="95"/>
          <w:sz w:val="20"/>
        </w:rPr>
        <w:t>The</w:t>
      </w:r>
      <w:r>
        <w:rPr>
          <w:spacing w:val="-7"/>
          <w:w w:val="95"/>
          <w:sz w:val="20"/>
        </w:rPr>
        <w:t xml:space="preserve"> </w:t>
      </w:r>
      <w:r>
        <w:rPr>
          <w:w w:val="95"/>
          <w:sz w:val="20"/>
        </w:rPr>
        <w:t>Mining</w:t>
      </w:r>
      <w:r>
        <w:rPr>
          <w:spacing w:val="-7"/>
          <w:w w:val="95"/>
          <w:sz w:val="20"/>
        </w:rPr>
        <w:t xml:space="preserve"> </w:t>
      </w:r>
      <w:r>
        <w:rPr>
          <w:w w:val="95"/>
          <w:sz w:val="20"/>
        </w:rPr>
        <w:t>sector’s</w:t>
      </w:r>
      <w:r>
        <w:rPr>
          <w:spacing w:val="-7"/>
          <w:w w:val="95"/>
          <w:sz w:val="20"/>
        </w:rPr>
        <w:t xml:space="preserve"> </w:t>
      </w:r>
      <w:r>
        <w:rPr>
          <w:w w:val="95"/>
          <w:sz w:val="20"/>
        </w:rPr>
        <w:t>role</w:t>
      </w:r>
      <w:r>
        <w:rPr>
          <w:spacing w:val="-7"/>
          <w:w w:val="95"/>
          <w:sz w:val="20"/>
        </w:rPr>
        <w:t xml:space="preserve"> </w:t>
      </w:r>
      <w:r>
        <w:rPr>
          <w:w w:val="95"/>
          <w:sz w:val="20"/>
        </w:rPr>
        <w:t>in</w:t>
      </w:r>
      <w:r>
        <w:rPr>
          <w:spacing w:val="-7"/>
          <w:w w:val="95"/>
          <w:sz w:val="20"/>
        </w:rPr>
        <w:t xml:space="preserve"> </w:t>
      </w:r>
      <w:r>
        <w:rPr>
          <w:w w:val="95"/>
          <w:sz w:val="20"/>
        </w:rPr>
        <w:t>regional</w:t>
      </w:r>
      <w:r>
        <w:rPr>
          <w:spacing w:val="-7"/>
          <w:w w:val="95"/>
          <w:sz w:val="20"/>
        </w:rPr>
        <w:t xml:space="preserve"> </w:t>
      </w:r>
      <w:r>
        <w:rPr>
          <w:w w:val="95"/>
          <w:sz w:val="20"/>
        </w:rPr>
        <w:t>employment</w:t>
      </w:r>
      <w:r>
        <w:rPr>
          <w:spacing w:val="-7"/>
          <w:w w:val="95"/>
          <w:sz w:val="20"/>
        </w:rPr>
        <w:t xml:space="preserve"> </w:t>
      </w:r>
      <w:r>
        <w:rPr>
          <w:w w:val="95"/>
          <w:sz w:val="20"/>
        </w:rPr>
        <w:t xml:space="preserve">and </w:t>
      </w:r>
      <w:r>
        <w:rPr>
          <w:sz w:val="20"/>
        </w:rPr>
        <w:t>development will increase</w:t>
      </w:r>
    </w:p>
    <w:p w:rsidR="002C1123" w:rsidRDefault="00F22F94">
      <w:pPr>
        <w:pStyle w:val="ListParagraph"/>
        <w:numPr>
          <w:ilvl w:val="0"/>
          <w:numId w:val="144"/>
        </w:numPr>
        <w:tabs>
          <w:tab w:val="left" w:pos="776"/>
        </w:tabs>
        <w:spacing w:before="130" w:line="249" w:lineRule="auto"/>
        <w:ind w:right="369"/>
        <w:rPr>
          <w:sz w:val="20"/>
        </w:rPr>
      </w:pPr>
      <w:r>
        <w:rPr>
          <w:w w:val="95"/>
          <w:sz w:val="20"/>
        </w:rPr>
        <w:t>The</w:t>
      </w:r>
      <w:r>
        <w:rPr>
          <w:spacing w:val="-5"/>
          <w:w w:val="95"/>
          <w:sz w:val="20"/>
        </w:rPr>
        <w:t xml:space="preserve"> </w:t>
      </w:r>
      <w:r>
        <w:rPr>
          <w:w w:val="95"/>
          <w:sz w:val="20"/>
        </w:rPr>
        <w:t>unpredictable</w:t>
      </w:r>
      <w:r>
        <w:rPr>
          <w:spacing w:val="-5"/>
          <w:w w:val="95"/>
          <w:sz w:val="20"/>
        </w:rPr>
        <w:t xml:space="preserve"> </w:t>
      </w:r>
      <w:r>
        <w:rPr>
          <w:w w:val="95"/>
          <w:sz w:val="20"/>
        </w:rPr>
        <w:t>rates</w:t>
      </w:r>
      <w:r>
        <w:rPr>
          <w:spacing w:val="-5"/>
          <w:w w:val="95"/>
          <w:sz w:val="20"/>
        </w:rPr>
        <w:t xml:space="preserve"> </w:t>
      </w:r>
      <w:r>
        <w:rPr>
          <w:w w:val="95"/>
          <w:sz w:val="20"/>
        </w:rPr>
        <w:t>of</w:t>
      </w:r>
      <w:r>
        <w:rPr>
          <w:spacing w:val="-5"/>
          <w:w w:val="95"/>
          <w:sz w:val="20"/>
        </w:rPr>
        <w:t xml:space="preserve"> </w:t>
      </w:r>
      <w:r>
        <w:rPr>
          <w:w w:val="95"/>
          <w:sz w:val="20"/>
        </w:rPr>
        <w:t>change</w:t>
      </w:r>
      <w:r>
        <w:rPr>
          <w:spacing w:val="-5"/>
          <w:w w:val="95"/>
          <w:sz w:val="20"/>
        </w:rPr>
        <w:t xml:space="preserve"> </w:t>
      </w:r>
      <w:r>
        <w:rPr>
          <w:w w:val="95"/>
          <w:sz w:val="20"/>
        </w:rPr>
        <w:t>and</w:t>
      </w:r>
      <w:r>
        <w:rPr>
          <w:spacing w:val="-5"/>
          <w:w w:val="95"/>
          <w:sz w:val="20"/>
        </w:rPr>
        <w:t xml:space="preserve"> </w:t>
      </w:r>
      <w:r>
        <w:rPr>
          <w:w w:val="95"/>
          <w:sz w:val="20"/>
        </w:rPr>
        <w:t xml:space="preserve">potential </w:t>
      </w:r>
      <w:r>
        <w:rPr>
          <w:sz w:val="20"/>
        </w:rPr>
        <w:t>disruption</w:t>
      </w:r>
      <w:r>
        <w:rPr>
          <w:spacing w:val="-8"/>
          <w:sz w:val="20"/>
        </w:rPr>
        <w:t xml:space="preserve"> </w:t>
      </w:r>
      <w:r>
        <w:rPr>
          <w:sz w:val="20"/>
        </w:rPr>
        <w:t>from</w:t>
      </w:r>
      <w:r>
        <w:rPr>
          <w:spacing w:val="-8"/>
          <w:sz w:val="20"/>
        </w:rPr>
        <w:t xml:space="preserve"> </w:t>
      </w:r>
      <w:r>
        <w:rPr>
          <w:sz w:val="20"/>
        </w:rPr>
        <w:t>technology</w:t>
      </w:r>
      <w:r>
        <w:rPr>
          <w:spacing w:val="-8"/>
          <w:sz w:val="20"/>
        </w:rPr>
        <w:t xml:space="preserve"> </w:t>
      </w:r>
      <w:r>
        <w:rPr>
          <w:sz w:val="20"/>
        </w:rPr>
        <w:t>will</w:t>
      </w:r>
      <w:r>
        <w:rPr>
          <w:spacing w:val="-8"/>
          <w:sz w:val="20"/>
        </w:rPr>
        <w:t xml:space="preserve"> </w:t>
      </w:r>
      <w:r>
        <w:rPr>
          <w:sz w:val="20"/>
        </w:rPr>
        <w:t>only</w:t>
      </w:r>
      <w:r>
        <w:rPr>
          <w:spacing w:val="-8"/>
          <w:sz w:val="20"/>
        </w:rPr>
        <w:t xml:space="preserve"> </w:t>
      </w:r>
      <w:r>
        <w:rPr>
          <w:sz w:val="20"/>
        </w:rPr>
        <w:t>increase</w:t>
      </w:r>
    </w:p>
    <w:p w:rsidR="002C1123" w:rsidRDefault="00F22F94">
      <w:pPr>
        <w:pStyle w:val="ListParagraph"/>
        <w:numPr>
          <w:ilvl w:val="0"/>
          <w:numId w:val="144"/>
        </w:numPr>
        <w:tabs>
          <w:tab w:val="left" w:pos="776"/>
        </w:tabs>
        <w:spacing w:before="131" w:line="249" w:lineRule="auto"/>
        <w:ind w:right="633"/>
        <w:rPr>
          <w:sz w:val="20"/>
        </w:rPr>
      </w:pPr>
      <w:r>
        <w:rPr>
          <w:w w:val="95"/>
          <w:sz w:val="20"/>
        </w:rPr>
        <w:t>Competition</w:t>
      </w:r>
      <w:r>
        <w:rPr>
          <w:spacing w:val="-1"/>
          <w:w w:val="95"/>
          <w:sz w:val="20"/>
        </w:rPr>
        <w:t xml:space="preserve"> </w:t>
      </w:r>
      <w:r>
        <w:rPr>
          <w:w w:val="95"/>
          <w:sz w:val="20"/>
        </w:rPr>
        <w:t>for</w:t>
      </w:r>
      <w:r>
        <w:rPr>
          <w:spacing w:val="-1"/>
          <w:w w:val="95"/>
          <w:sz w:val="20"/>
        </w:rPr>
        <w:t xml:space="preserve"> </w:t>
      </w:r>
      <w:r>
        <w:rPr>
          <w:w w:val="95"/>
          <w:sz w:val="20"/>
        </w:rPr>
        <w:t>public</w:t>
      </w:r>
      <w:r>
        <w:rPr>
          <w:spacing w:val="-1"/>
          <w:w w:val="95"/>
          <w:sz w:val="20"/>
        </w:rPr>
        <w:t xml:space="preserve"> </w:t>
      </w:r>
      <w:r>
        <w:rPr>
          <w:w w:val="95"/>
          <w:sz w:val="20"/>
        </w:rPr>
        <w:t>capital</w:t>
      </w:r>
      <w:r>
        <w:rPr>
          <w:spacing w:val="-1"/>
          <w:w w:val="95"/>
          <w:sz w:val="20"/>
        </w:rPr>
        <w:t xml:space="preserve"> </w:t>
      </w:r>
      <w:r>
        <w:rPr>
          <w:w w:val="95"/>
          <w:sz w:val="20"/>
        </w:rPr>
        <w:t>will</w:t>
      </w:r>
      <w:r>
        <w:rPr>
          <w:spacing w:val="-1"/>
          <w:w w:val="95"/>
          <w:sz w:val="20"/>
        </w:rPr>
        <w:t xml:space="preserve"> </w:t>
      </w:r>
      <w:r>
        <w:rPr>
          <w:w w:val="95"/>
          <w:sz w:val="20"/>
        </w:rPr>
        <w:t>continue</w:t>
      </w:r>
      <w:r>
        <w:rPr>
          <w:spacing w:val="-1"/>
          <w:w w:val="95"/>
          <w:sz w:val="20"/>
        </w:rPr>
        <w:t xml:space="preserve"> </w:t>
      </w:r>
      <w:r>
        <w:rPr>
          <w:w w:val="95"/>
          <w:sz w:val="20"/>
        </w:rPr>
        <w:t xml:space="preserve">to </w:t>
      </w:r>
      <w:r>
        <w:rPr>
          <w:sz w:val="20"/>
        </w:rPr>
        <w:t>be</w:t>
      </w:r>
      <w:r>
        <w:rPr>
          <w:spacing w:val="-11"/>
          <w:sz w:val="20"/>
        </w:rPr>
        <w:t xml:space="preserve"> </w:t>
      </w:r>
      <w:r>
        <w:rPr>
          <w:sz w:val="20"/>
        </w:rPr>
        <w:t>strong.</w:t>
      </w:r>
    </w:p>
    <w:p w:rsidR="002C1123" w:rsidRDefault="00F22F94">
      <w:pPr>
        <w:pStyle w:val="BodyText"/>
        <w:spacing w:before="78" w:line="249" w:lineRule="auto"/>
        <w:ind w:left="211" w:right="133"/>
        <w:jc w:val="both"/>
      </w:pPr>
      <w:r>
        <w:br w:type="column"/>
      </w:r>
      <w:r>
        <w:rPr>
          <w:w w:val="95"/>
        </w:rPr>
        <w:t>As a result, well-connected and resilient infrastructure networks</w:t>
      </w:r>
      <w:r>
        <w:rPr>
          <w:spacing w:val="-2"/>
          <w:w w:val="95"/>
        </w:rPr>
        <w:t xml:space="preserve"> </w:t>
      </w:r>
      <w:r>
        <w:rPr>
          <w:w w:val="95"/>
        </w:rPr>
        <w:t>will</w:t>
      </w:r>
      <w:r>
        <w:rPr>
          <w:spacing w:val="-2"/>
          <w:w w:val="95"/>
        </w:rPr>
        <w:t xml:space="preserve"> </w:t>
      </w:r>
      <w:r>
        <w:rPr>
          <w:w w:val="95"/>
        </w:rPr>
        <w:t>be</w:t>
      </w:r>
      <w:r>
        <w:rPr>
          <w:spacing w:val="-2"/>
          <w:w w:val="95"/>
        </w:rPr>
        <w:t xml:space="preserve"> </w:t>
      </w:r>
      <w:r>
        <w:rPr>
          <w:w w:val="95"/>
        </w:rPr>
        <w:t>even</w:t>
      </w:r>
      <w:r>
        <w:rPr>
          <w:spacing w:val="-2"/>
          <w:w w:val="95"/>
        </w:rPr>
        <w:t xml:space="preserve"> </w:t>
      </w:r>
      <w:r>
        <w:rPr>
          <w:w w:val="95"/>
        </w:rPr>
        <w:t>more</w:t>
      </w:r>
      <w:r>
        <w:rPr>
          <w:spacing w:val="-2"/>
          <w:w w:val="95"/>
        </w:rPr>
        <w:t xml:space="preserve"> </w:t>
      </w:r>
      <w:r>
        <w:rPr>
          <w:w w:val="95"/>
        </w:rPr>
        <w:t>important</w:t>
      </w:r>
      <w:r>
        <w:rPr>
          <w:spacing w:val="-2"/>
          <w:w w:val="95"/>
        </w:rPr>
        <w:t xml:space="preserve"> </w:t>
      </w:r>
      <w:r>
        <w:rPr>
          <w:w w:val="95"/>
        </w:rPr>
        <w:t>over</w:t>
      </w:r>
      <w:r>
        <w:rPr>
          <w:spacing w:val="-2"/>
          <w:w w:val="95"/>
        </w:rPr>
        <w:t xml:space="preserve"> </w:t>
      </w:r>
      <w:r>
        <w:rPr>
          <w:w w:val="95"/>
        </w:rPr>
        <w:t>the</w:t>
      </w:r>
      <w:r>
        <w:rPr>
          <w:spacing w:val="-2"/>
          <w:w w:val="95"/>
        </w:rPr>
        <w:t xml:space="preserve"> </w:t>
      </w:r>
      <w:r>
        <w:rPr>
          <w:w w:val="95"/>
        </w:rPr>
        <w:t xml:space="preserve">coming </w:t>
      </w:r>
      <w:r>
        <w:t>decades</w:t>
      </w:r>
      <w:r>
        <w:rPr>
          <w:spacing w:val="-14"/>
        </w:rPr>
        <w:t xml:space="preserve"> </w:t>
      </w:r>
      <w:r>
        <w:t>in</w:t>
      </w:r>
      <w:r>
        <w:rPr>
          <w:spacing w:val="-14"/>
        </w:rPr>
        <w:t xml:space="preserve"> </w:t>
      </w:r>
      <w:r>
        <w:t>delivering</w:t>
      </w:r>
      <w:r>
        <w:rPr>
          <w:spacing w:val="-14"/>
        </w:rPr>
        <w:t xml:space="preserve"> </w:t>
      </w:r>
      <w:r>
        <w:t>a</w:t>
      </w:r>
      <w:r>
        <w:rPr>
          <w:spacing w:val="-14"/>
        </w:rPr>
        <w:t xml:space="preserve"> </w:t>
      </w:r>
      <w:r>
        <w:t>better</w:t>
      </w:r>
      <w:r>
        <w:rPr>
          <w:spacing w:val="-14"/>
        </w:rPr>
        <w:t xml:space="preserve"> </w:t>
      </w:r>
      <w:r>
        <w:t>life</w:t>
      </w:r>
      <w:r>
        <w:rPr>
          <w:spacing w:val="-14"/>
        </w:rPr>
        <w:t xml:space="preserve"> </w:t>
      </w:r>
      <w:r>
        <w:t>for</w:t>
      </w:r>
      <w:r>
        <w:rPr>
          <w:spacing w:val="-14"/>
        </w:rPr>
        <w:t xml:space="preserve"> </w:t>
      </w:r>
      <w:r>
        <w:t>NSW</w:t>
      </w:r>
      <w:r>
        <w:rPr>
          <w:spacing w:val="-14"/>
        </w:rPr>
        <w:t xml:space="preserve"> </w:t>
      </w:r>
      <w:r>
        <w:t>citizens.</w:t>
      </w:r>
    </w:p>
    <w:p w:rsidR="002C1123" w:rsidRDefault="00F22F94">
      <w:pPr>
        <w:pStyle w:val="BodyText"/>
        <w:spacing w:before="3" w:line="249" w:lineRule="auto"/>
        <w:ind w:left="211" w:right="367"/>
        <w:jc w:val="both"/>
      </w:pPr>
      <w:r>
        <w:rPr>
          <w:w w:val="95"/>
        </w:rPr>
        <w:t>The</w:t>
      </w:r>
      <w:r>
        <w:rPr>
          <w:spacing w:val="-8"/>
          <w:w w:val="95"/>
        </w:rPr>
        <w:t xml:space="preserve"> </w:t>
      </w:r>
      <w:r>
        <w:rPr>
          <w:w w:val="95"/>
        </w:rPr>
        <w:t>economic</w:t>
      </w:r>
      <w:r>
        <w:rPr>
          <w:spacing w:val="-8"/>
          <w:w w:val="95"/>
        </w:rPr>
        <w:t xml:space="preserve"> </w:t>
      </w:r>
      <w:r>
        <w:rPr>
          <w:w w:val="95"/>
        </w:rPr>
        <w:t>success</w:t>
      </w:r>
      <w:r>
        <w:rPr>
          <w:spacing w:val="-8"/>
          <w:w w:val="95"/>
        </w:rPr>
        <w:t xml:space="preserve"> </w:t>
      </w:r>
      <w:r>
        <w:rPr>
          <w:w w:val="95"/>
        </w:rPr>
        <w:t>of</w:t>
      </w:r>
      <w:r>
        <w:rPr>
          <w:spacing w:val="-8"/>
          <w:w w:val="95"/>
        </w:rPr>
        <w:t xml:space="preserve"> </w:t>
      </w:r>
      <w:r>
        <w:rPr>
          <w:w w:val="95"/>
        </w:rPr>
        <w:t>NSW</w:t>
      </w:r>
      <w:r>
        <w:rPr>
          <w:spacing w:val="-8"/>
          <w:w w:val="95"/>
        </w:rPr>
        <w:t xml:space="preserve"> </w:t>
      </w:r>
      <w:r>
        <w:rPr>
          <w:w w:val="95"/>
        </w:rPr>
        <w:t>will</w:t>
      </w:r>
      <w:r>
        <w:rPr>
          <w:spacing w:val="-8"/>
          <w:w w:val="95"/>
        </w:rPr>
        <w:t xml:space="preserve"> </w:t>
      </w:r>
      <w:r>
        <w:rPr>
          <w:w w:val="95"/>
        </w:rPr>
        <w:t>rely</w:t>
      </w:r>
      <w:r>
        <w:rPr>
          <w:spacing w:val="-8"/>
          <w:w w:val="95"/>
        </w:rPr>
        <w:t xml:space="preserve"> </w:t>
      </w:r>
      <w:r>
        <w:rPr>
          <w:w w:val="95"/>
        </w:rPr>
        <w:t>on</w:t>
      </w:r>
      <w:r>
        <w:rPr>
          <w:spacing w:val="-8"/>
          <w:w w:val="95"/>
        </w:rPr>
        <w:t xml:space="preserve"> </w:t>
      </w:r>
      <w:r>
        <w:rPr>
          <w:w w:val="95"/>
        </w:rPr>
        <w:t>the</w:t>
      </w:r>
      <w:r>
        <w:rPr>
          <w:spacing w:val="-8"/>
          <w:w w:val="95"/>
        </w:rPr>
        <w:t xml:space="preserve"> </w:t>
      </w:r>
      <w:r>
        <w:rPr>
          <w:w w:val="95"/>
        </w:rPr>
        <w:t xml:space="preserve">ease </w:t>
      </w:r>
      <w:r>
        <w:t>with</w:t>
      </w:r>
      <w:r>
        <w:rPr>
          <w:spacing w:val="-8"/>
        </w:rPr>
        <w:t xml:space="preserve"> </w:t>
      </w:r>
      <w:r>
        <w:t>which</w:t>
      </w:r>
      <w:r>
        <w:rPr>
          <w:spacing w:val="-8"/>
        </w:rPr>
        <w:t xml:space="preserve"> </w:t>
      </w:r>
      <w:r>
        <w:t>ideas,</w:t>
      </w:r>
      <w:r>
        <w:rPr>
          <w:spacing w:val="-8"/>
        </w:rPr>
        <w:t xml:space="preserve"> </w:t>
      </w:r>
      <w:r>
        <w:t>people</w:t>
      </w:r>
      <w:r>
        <w:rPr>
          <w:spacing w:val="-8"/>
        </w:rPr>
        <w:t xml:space="preserve"> </w:t>
      </w:r>
      <w:r>
        <w:t>and</w:t>
      </w:r>
      <w:r>
        <w:rPr>
          <w:spacing w:val="-8"/>
        </w:rPr>
        <w:t xml:space="preserve"> </w:t>
      </w:r>
      <w:r>
        <w:t>goods</w:t>
      </w:r>
      <w:r>
        <w:rPr>
          <w:spacing w:val="-8"/>
        </w:rPr>
        <w:t xml:space="preserve"> </w:t>
      </w:r>
      <w:r>
        <w:t>can</w:t>
      </w:r>
      <w:r>
        <w:rPr>
          <w:spacing w:val="-8"/>
        </w:rPr>
        <w:t xml:space="preserve"> </w:t>
      </w:r>
      <w:r>
        <w:t>connect.</w:t>
      </w:r>
    </w:p>
    <w:p w:rsidR="002C1123" w:rsidRDefault="00F22F94">
      <w:pPr>
        <w:pStyle w:val="BodyText"/>
        <w:spacing w:before="143" w:line="249" w:lineRule="auto"/>
        <w:ind w:left="211"/>
      </w:pPr>
      <w:r>
        <w:t>Infrastructure</w:t>
      </w:r>
      <w:r>
        <w:rPr>
          <w:spacing w:val="-12"/>
        </w:rPr>
        <w:t xml:space="preserve"> </w:t>
      </w:r>
      <w:r>
        <w:t>NSW’s</w:t>
      </w:r>
      <w:r>
        <w:rPr>
          <w:spacing w:val="-12"/>
        </w:rPr>
        <w:t xml:space="preserve"> </w:t>
      </w:r>
      <w:r>
        <w:t>assessment</w:t>
      </w:r>
      <w:r>
        <w:rPr>
          <w:spacing w:val="-12"/>
        </w:rPr>
        <w:t xml:space="preserve"> </w:t>
      </w:r>
      <w:r>
        <w:t>of</w:t>
      </w:r>
      <w:r>
        <w:rPr>
          <w:spacing w:val="-12"/>
        </w:rPr>
        <w:t xml:space="preserve"> </w:t>
      </w:r>
      <w:r>
        <w:t xml:space="preserve">existing </w:t>
      </w:r>
      <w:r>
        <w:rPr>
          <w:w w:val="95"/>
        </w:rPr>
        <w:t xml:space="preserve">infrastructure capability and forecast demand highlights </w:t>
      </w:r>
      <w:r>
        <w:t>that</w:t>
      </w:r>
      <w:r>
        <w:rPr>
          <w:spacing w:val="-3"/>
        </w:rPr>
        <w:t xml:space="preserve"> </w:t>
      </w:r>
      <w:r>
        <w:t>what</w:t>
      </w:r>
      <w:r>
        <w:rPr>
          <w:spacing w:val="-3"/>
        </w:rPr>
        <w:t xml:space="preserve"> </w:t>
      </w:r>
      <w:r>
        <w:t>matters</w:t>
      </w:r>
      <w:r>
        <w:rPr>
          <w:spacing w:val="-3"/>
        </w:rPr>
        <w:t xml:space="preserve"> </w:t>
      </w:r>
      <w:r>
        <w:t>most</w:t>
      </w:r>
      <w:r>
        <w:rPr>
          <w:spacing w:val="-3"/>
        </w:rPr>
        <w:t xml:space="preserve"> </w:t>
      </w:r>
      <w:r>
        <w:t>is</w:t>
      </w:r>
      <w:r>
        <w:rPr>
          <w:spacing w:val="-3"/>
        </w:rPr>
        <w:t xml:space="preserve"> </w:t>
      </w:r>
      <w:r>
        <w:t>to</w:t>
      </w:r>
      <w:r>
        <w:rPr>
          <w:spacing w:val="-3"/>
        </w:rPr>
        <w:t xml:space="preserve"> </w:t>
      </w:r>
      <w:r>
        <w:t>fix</w:t>
      </w:r>
      <w:r>
        <w:rPr>
          <w:spacing w:val="-3"/>
        </w:rPr>
        <w:t xml:space="preserve"> </w:t>
      </w:r>
      <w:r>
        <w:t>are:</w:t>
      </w:r>
    </w:p>
    <w:p w:rsidR="002C1123" w:rsidRDefault="00F22F94">
      <w:pPr>
        <w:pStyle w:val="ListParagraph"/>
        <w:numPr>
          <w:ilvl w:val="0"/>
          <w:numId w:val="146"/>
        </w:numPr>
        <w:tabs>
          <w:tab w:val="left" w:pos="495"/>
        </w:tabs>
        <w:spacing w:before="132" w:line="249" w:lineRule="auto"/>
        <w:ind w:left="494" w:right="1169"/>
        <w:rPr>
          <w:sz w:val="20"/>
        </w:rPr>
      </w:pPr>
      <w:r>
        <w:rPr>
          <w:w w:val="95"/>
          <w:sz w:val="20"/>
        </w:rPr>
        <w:t>the</w:t>
      </w:r>
      <w:r>
        <w:rPr>
          <w:spacing w:val="-11"/>
          <w:w w:val="95"/>
          <w:sz w:val="20"/>
        </w:rPr>
        <w:t xml:space="preserve"> </w:t>
      </w:r>
      <w:r>
        <w:rPr>
          <w:w w:val="95"/>
          <w:sz w:val="20"/>
        </w:rPr>
        <w:t>constraints</w:t>
      </w:r>
      <w:r>
        <w:rPr>
          <w:spacing w:val="-11"/>
          <w:w w:val="95"/>
          <w:sz w:val="20"/>
        </w:rPr>
        <w:t xml:space="preserve"> </w:t>
      </w:r>
      <w:r>
        <w:rPr>
          <w:w w:val="95"/>
          <w:sz w:val="20"/>
        </w:rPr>
        <w:t>in</w:t>
      </w:r>
      <w:r>
        <w:rPr>
          <w:spacing w:val="-11"/>
          <w:w w:val="95"/>
          <w:sz w:val="20"/>
        </w:rPr>
        <w:t xml:space="preserve"> </w:t>
      </w:r>
      <w:r>
        <w:rPr>
          <w:w w:val="95"/>
          <w:sz w:val="20"/>
        </w:rPr>
        <w:t>regional</w:t>
      </w:r>
      <w:r>
        <w:rPr>
          <w:spacing w:val="-11"/>
          <w:w w:val="95"/>
          <w:sz w:val="20"/>
        </w:rPr>
        <w:t xml:space="preserve"> </w:t>
      </w:r>
      <w:r>
        <w:rPr>
          <w:w w:val="95"/>
          <w:sz w:val="20"/>
        </w:rPr>
        <w:t>road</w:t>
      </w:r>
      <w:r>
        <w:rPr>
          <w:spacing w:val="-11"/>
          <w:w w:val="95"/>
          <w:sz w:val="20"/>
        </w:rPr>
        <w:t xml:space="preserve"> </w:t>
      </w:r>
      <w:r>
        <w:rPr>
          <w:w w:val="95"/>
          <w:sz w:val="20"/>
        </w:rPr>
        <w:t>and</w:t>
      </w:r>
      <w:r>
        <w:rPr>
          <w:spacing w:val="-11"/>
          <w:w w:val="95"/>
          <w:sz w:val="20"/>
        </w:rPr>
        <w:t xml:space="preserve"> </w:t>
      </w:r>
      <w:r>
        <w:rPr>
          <w:w w:val="95"/>
          <w:sz w:val="20"/>
        </w:rPr>
        <w:t xml:space="preserve">rail </w:t>
      </w:r>
      <w:r>
        <w:rPr>
          <w:sz w:val="20"/>
        </w:rPr>
        <w:t>freight</w:t>
      </w:r>
      <w:r>
        <w:rPr>
          <w:spacing w:val="-11"/>
          <w:sz w:val="20"/>
        </w:rPr>
        <w:t xml:space="preserve"> </w:t>
      </w:r>
      <w:r>
        <w:rPr>
          <w:sz w:val="20"/>
        </w:rPr>
        <w:t>networks</w:t>
      </w:r>
    </w:p>
    <w:p w:rsidR="002C1123" w:rsidRDefault="00F22F94">
      <w:pPr>
        <w:pStyle w:val="ListParagraph"/>
        <w:numPr>
          <w:ilvl w:val="0"/>
          <w:numId w:val="146"/>
        </w:numPr>
        <w:tabs>
          <w:tab w:val="left" w:pos="495"/>
        </w:tabs>
        <w:spacing w:before="130" w:line="249" w:lineRule="auto"/>
        <w:ind w:left="494"/>
        <w:rPr>
          <w:sz w:val="20"/>
        </w:rPr>
      </w:pPr>
      <w:r>
        <w:rPr>
          <w:w w:val="95"/>
          <w:sz w:val="20"/>
        </w:rPr>
        <w:t>land-side</w:t>
      </w:r>
      <w:r>
        <w:rPr>
          <w:spacing w:val="-1"/>
          <w:w w:val="95"/>
          <w:sz w:val="20"/>
        </w:rPr>
        <w:t xml:space="preserve"> </w:t>
      </w:r>
      <w:r>
        <w:rPr>
          <w:w w:val="95"/>
          <w:sz w:val="20"/>
        </w:rPr>
        <w:t>access</w:t>
      </w:r>
      <w:r>
        <w:rPr>
          <w:spacing w:val="-1"/>
          <w:w w:val="95"/>
          <w:sz w:val="20"/>
        </w:rPr>
        <w:t xml:space="preserve"> </w:t>
      </w:r>
      <w:r>
        <w:rPr>
          <w:w w:val="95"/>
          <w:sz w:val="20"/>
        </w:rPr>
        <w:t>to</w:t>
      </w:r>
      <w:r>
        <w:rPr>
          <w:spacing w:val="-1"/>
          <w:w w:val="95"/>
          <w:sz w:val="20"/>
        </w:rPr>
        <w:t xml:space="preserve"> </w:t>
      </w:r>
      <w:r>
        <w:rPr>
          <w:w w:val="95"/>
          <w:sz w:val="20"/>
        </w:rPr>
        <w:t>the</w:t>
      </w:r>
      <w:r>
        <w:rPr>
          <w:spacing w:val="-1"/>
          <w:w w:val="95"/>
          <w:sz w:val="20"/>
        </w:rPr>
        <w:t xml:space="preserve"> </w:t>
      </w:r>
      <w:r>
        <w:rPr>
          <w:w w:val="95"/>
          <w:sz w:val="20"/>
        </w:rPr>
        <w:t>State’s</w:t>
      </w:r>
      <w:r>
        <w:rPr>
          <w:spacing w:val="-1"/>
          <w:w w:val="95"/>
          <w:sz w:val="20"/>
        </w:rPr>
        <w:t xml:space="preserve"> </w:t>
      </w:r>
      <w:r>
        <w:rPr>
          <w:w w:val="95"/>
          <w:sz w:val="20"/>
        </w:rPr>
        <w:t>rapidly</w:t>
      </w:r>
      <w:r>
        <w:rPr>
          <w:spacing w:val="-1"/>
          <w:w w:val="95"/>
          <w:sz w:val="20"/>
        </w:rPr>
        <w:t xml:space="preserve"> </w:t>
      </w:r>
      <w:r>
        <w:rPr>
          <w:w w:val="95"/>
          <w:sz w:val="20"/>
        </w:rPr>
        <w:t>growing</w:t>
      </w:r>
      <w:r>
        <w:rPr>
          <w:spacing w:val="-1"/>
          <w:w w:val="95"/>
          <w:sz w:val="20"/>
        </w:rPr>
        <w:t xml:space="preserve"> </w:t>
      </w:r>
      <w:r>
        <w:rPr>
          <w:w w:val="95"/>
          <w:sz w:val="20"/>
        </w:rPr>
        <w:t xml:space="preserve">ports </w:t>
      </w:r>
      <w:r>
        <w:rPr>
          <w:sz w:val="20"/>
        </w:rPr>
        <w:t>and</w:t>
      </w:r>
      <w:r>
        <w:rPr>
          <w:spacing w:val="-11"/>
          <w:sz w:val="20"/>
        </w:rPr>
        <w:t xml:space="preserve"> </w:t>
      </w:r>
      <w:r>
        <w:rPr>
          <w:sz w:val="20"/>
        </w:rPr>
        <w:t>airports</w:t>
      </w:r>
    </w:p>
    <w:p w:rsidR="002C1123" w:rsidRDefault="00F22F94">
      <w:pPr>
        <w:pStyle w:val="ListParagraph"/>
        <w:numPr>
          <w:ilvl w:val="0"/>
          <w:numId w:val="146"/>
        </w:numPr>
        <w:tabs>
          <w:tab w:val="left" w:pos="495"/>
        </w:tabs>
        <w:spacing w:before="131"/>
        <w:rPr>
          <w:sz w:val="20"/>
        </w:rPr>
      </w:pPr>
      <w:r>
        <w:rPr>
          <w:w w:val="95"/>
          <w:sz w:val="20"/>
        </w:rPr>
        <w:t>congestion</w:t>
      </w:r>
      <w:r>
        <w:rPr>
          <w:spacing w:val="-2"/>
          <w:sz w:val="20"/>
        </w:rPr>
        <w:t xml:space="preserve"> </w:t>
      </w:r>
      <w:r>
        <w:rPr>
          <w:w w:val="95"/>
          <w:sz w:val="20"/>
        </w:rPr>
        <w:t>on</w:t>
      </w:r>
      <w:r>
        <w:rPr>
          <w:spacing w:val="-1"/>
          <w:sz w:val="20"/>
        </w:rPr>
        <w:t xml:space="preserve"> </w:t>
      </w:r>
      <w:r>
        <w:rPr>
          <w:w w:val="95"/>
          <w:sz w:val="20"/>
        </w:rPr>
        <w:t>the</w:t>
      </w:r>
      <w:r>
        <w:rPr>
          <w:spacing w:val="-1"/>
          <w:sz w:val="20"/>
        </w:rPr>
        <w:t xml:space="preserve"> </w:t>
      </w:r>
      <w:r>
        <w:rPr>
          <w:w w:val="95"/>
          <w:sz w:val="20"/>
        </w:rPr>
        <w:t>metropolitan</w:t>
      </w:r>
      <w:r>
        <w:rPr>
          <w:spacing w:val="-2"/>
          <w:sz w:val="20"/>
        </w:rPr>
        <w:t xml:space="preserve"> </w:t>
      </w:r>
      <w:r>
        <w:rPr>
          <w:w w:val="95"/>
          <w:sz w:val="20"/>
        </w:rPr>
        <w:t>road</w:t>
      </w:r>
      <w:r>
        <w:rPr>
          <w:spacing w:val="-1"/>
          <w:sz w:val="20"/>
        </w:rPr>
        <w:t xml:space="preserve"> </w:t>
      </w:r>
      <w:r>
        <w:rPr>
          <w:spacing w:val="-2"/>
          <w:w w:val="95"/>
          <w:sz w:val="20"/>
        </w:rPr>
        <w:t>networks</w:t>
      </w:r>
    </w:p>
    <w:p w:rsidR="002C1123" w:rsidRDefault="00F22F94">
      <w:pPr>
        <w:pStyle w:val="ListParagraph"/>
        <w:numPr>
          <w:ilvl w:val="0"/>
          <w:numId w:val="146"/>
        </w:numPr>
        <w:tabs>
          <w:tab w:val="left" w:pos="495"/>
        </w:tabs>
        <w:spacing w:before="139" w:line="249" w:lineRule="auto"/>
        <w:ind w:left="494" w:right="506"/>
        <w:rPr>
          <w:sz w:val="20"/>
        </w:rPr>
      </w:pPr>
      <w:r>
        <w:rPr>
          <w:w w:val="95"/>
          <w:sz w:val="20"/>
        </w:rPr>
        <w:t xml:space="preserve">public transport services, by improving speed, </w:t>
      </w:r>
      <w:r>
        <w:rPr>
          <w:sz w:val="20"/>
        </w:rPr>
        <w:t>reliability and frequency</w:t>
      </w:r>
    </w:p>
    <w:p w:rsidR="002C1123" w:rsidRDefault="00F22F94">
      <w:pPr>
        <w:pStyle w:val="ListParagraph"/>
        <w:numPr>
          <w:ilvl w:val="0"/>
          <w:numId w:val="146"/>
        </w:numPr>
        <w:tabs>
          <w:tab w:val="left" w:pos="495"/>
        </w:tabs>
        <w:spacing w:before="131" w:line="249" w:lineRule="auto"/>
        <w:ind w:left="494" w:right="637"/>
        <w:rPr>
          <w:sz w:val="20"/>
        </w:rPr>
      </w:pPr>
      <w:r>
        <w:rPr>
          <w:w w:val="95"/>
          <w:sz w:val="20"/>
        </w:rPr>
        <w:t>infrastructure</w:t>
      </w:r>
      <w:r>
        <w:rPr>
          <w:spacing w:val="-5"/>
          <w:w w:val="95"/>
          <w:sz w:val="20"/>
        </w:rPr>
        <w:t xml:space="preserve"> </w:t>
      </w:r>
      <w:r>
        <w:rPr>
          <w:w w:val="95"/>
          <w:sz w:val="20"/>
        </w:rPr>
        <w:t>for</w:t>
      </w:r>
      <w:r>
        <w:rPr>
          <w:spacing w:val="-5"/>
          <w:w w:val="95"/>
          <w:sz w:val="20"/>
        </w:rPr>
        <w:t xml:space="preserve"> </w:t>
      </w:r>
      <w:r>
        <w:rPr>
          <w:w w:val="95"/>
          <w:sz w:val="20"/>
        </w:rPr>
        <w:t>housing</w:t>
      </w:r>
      <w:r>
        <w:rPr>
          <w:spacing w:val="-5"/>
          <w:w w:val="95"/>
          <w:sz w:val="20"/>
        </w:rPr>
        <w:t xml:space="preserve"> </w:t>
      </w:r>
      <w:r>
        <w:rPr>
          <w:w w:val="95"/>
          <w:sz w:val="20"/>
        </w:rPr>
        <w:t>to</w:t>
      </w:r>
      <w:r>
        <w:rPr>
          <w:spacing w:val="-5"/>
          <w:w w:val="95"/>
          <w:sz w:val="20"/>
        </w:rPr>
        <w:t xml:space="preserve"> </w:t>
      </w:r>
      <w:r>
        <w:rPr>
          <w:w w:val="95"/>
          <w:sz w:val="20"/>
        </w:rPr>
        <w:t>help</w:t>
      </w:r>
      <w:r>
        <w:rPr>
          <w:spacing w:val="-5"/>
          <w:w w:val="95"/>
          <w:sz w:val="20"/>
        </w:rPr>
        <w:t xml:space="preserve"> </w:t>
      </w:r>
      <w:r>
        <w:rPr>
          <w:w w:val="95"/>
          <w:sz w:val="20"/>
        </w:rPr>
        <w:t>address</w:t>
      </w:r>
      <w:r>
        <w:rPr>
          <w:spacing w:val="-5"/>
          <w:w w:val="95"/>
          <w:sz w:val="20"/>
        </w:rPr>
        <w:t xml:space="preserve"> </w:t>
      </w:r>
      <w:r>
        <w:rPr>
          <w:w w:val="95"/>
          <w:sz w:val="20"/>
        </w:rPr>
        <w:t xml:space="preserve">the </w:t>
      </w:r>
      <w:r>
        <w:rPr>
          <w:sz w:val="20"/>
        </w:rPr>
        <w:t>supply</w:t>
      </w:r>
      <w:r>
        <w:rPr>
          <w:spacing w:val="-11"/>
          <w:sz w:val="20"/>
        </w:rPr>
        <w:t xml:space="preserve"> </w:t>
      </w:r>
      <w:r>
        <w:rPr>
          <w:sz w:val="20"/>
        </w:rPr>
        <w:t>backlog</w:t>
      </w:r>
    </w:p>
    <w:p w:rsidR="002C1123" w:rsidRDefault="00F22F94">
      <w:pPr>
        <w:pStyle w:val="ListParagraph"/>
        <w:numPr>
          <w:ilvl w:val="0"/>
          <w:numId w:val="146"/>
        </w:numPr>
        <w:tabs>
          <w:tab w:val="left" w:pos="495"/>
        </w:tabs>
        <w:spacing w:before="130"/>
        <w:rPr>
          <w:sz w:val="20"/>
        </w:rPr>
      </w:pPr>
      <w:r>
        <w:rPr>
          <w:w w:val="95"/>
          <w:sz w:val="20"/>
        </w:rPr>
        <w:t>quality</w:t>
      </w:r>
      <w:r>
        <w:rPr>
          <w:spacing w:val="-8"/>
          <w:w w:val="95"/>
          <w:sz w:val="20"/>
        </w:rPr>
        <w:t xml:space="preserve"> </w:t>
      </w:r>
      <w:r>
        <w:rPr>
          <w:w w:val="95"/>
          <w:sz w:val="20"/>
        </w:rPr>
        <w:t>of</w:t>
      </w:r>
      <w:r>
        <w:rPr>
          <w:spacing w:val="-8"/>
          <w:w w:val="95"/>
          <w:sz w:val="20"/>
        </w:rPr>
        <w:t xml:space="preserve"> </w:t>
      </w:r>
      <w:r>
        <w:rPr>
          <w:w w:val="95"/>
          <w:sz w:val="20"/>
        </w:rPr>
        <w:t>regional</w:t>
      </w:r>
      <w:r>
        <w:rPr>
          <w:spacing w:val="-8"/>
          <w:w w:val="95"/>
          <w:sz w:val="20"/>
        </w:rPr>
        <w:t xml:space="preserve"> </w:t>
      </w:r>
      <w:r>
        <w:rPr>
          <w:w w:val="95"/>
          <w:sz w:val="20"/>
        </w:rPr>
        <w:t>water</w:t>
      </w:r>
      <w:r>
        <w:rPr>
          <w:spacing w:val="-8"/>
          <w:w w:val="95"/>
          <w:sz w:val="20"/>
        </w:rPr>
        <w:t xml:space="preserve"> </w:t>
      </w:r>
      <w:r>
        <w:rPr>
          <w:w w:val="95"/>
          <w:sz w:val="20"/>
        </w:rPr>
        <w:t>systems</w:t>
      </w:r>
      <w:r>
        <w:rPr>
          <w:spacing w:val="-8"/>
          <w:w w:val="95"/>
          <w:sz w:val="20"/>
        </w:rPr>
        <w:t xml:space="preserve"> </w:t>
      </w:r>
      <w:r>
        <w:rPr>
          <w:w w:val="95"/>
          <w:sz w:val="20"/>
        </w:rPr>
        <w:t>and</w:t>
      </w:r>
      <w:r>
        <w:rPr>
          <w:spacing w:val="-8"/>
          <w:w w:val="95"/>
          <w:sz w:val="20"/>
        </w:rPr>
        <w:t xml:space="preserve"> </w:t>
      </w:r>
      <w:r>
        <w:rPr>
          <w:spacing w:val="-4"/>
          <w:w w:val="95"/>
          <w:sz w:val="20"/>
        </w:rPr>
        <w:t>dams</w:t>
      </w:r>
    </w:p>
    <w:p w:rsidR="002C1123" w:rsidRDefault="00F22F94">
      <w:pPr>
        <w:pStyle w:val="ListParagraph"/>
        <w:numPr>
          <w:ilvl w:val="0"/>
          <w:numId w:val="146"/>
        </w:numPr>
        <w:tabs>
          <w:tab w:val="left" w:pos="495"/>
        </w:tabs>
        <w:spacing w:before="139" w:line="249" w:lineRule="auto"/>
        <w:ind w:left="494" w:right="433"/>
        <w:rPr>
          <w:sz w:val="20"/>
        </w:rPr>
      </w:pPr>
      <w:r>
        <w:rPr>
          <w:w w:val="95"/>
          <w:sz w:val="20"/>
        </w:rPr>
        <w:t xml:space="preserve">flood mitigation to protect people, communities </w:t>
      </w:r>
      <w:r>
        <w:rPr>
          <w:sz w:val="20"/>
        </w:rPr>
        <w:t>and</w:t>
      </w:r>
      <w:r>
        <w:rPr>
          <w:spacing w:val="-11"/>
          <w:sz w:val="20"/>
        </w:rPr>
        <w:t xml:space="preserve"> </w:t>
      </w:r>
      <w:r>
        <w:rPr>
          <w:sz w:val="20"/>
        </w:rPr>
        <w:t>economies</w:t>
      </w:r>
    </w:p>
    <w:p w:rsidR="002C1123" w:rsidRDefault="00F22F94">
      <w:pPr>
        <w:pStyle w:val="ListParagraph"/>
        <w:numPr>
          <w:ilvl w:val="0"/>
          <w:numId w:val="146"/>
        </w:numPr>
        <w:tabs>
          <w:tab w:val="left" w:pos="495"/>
        </w:tabs>
        <w:spacing w:before="131" w:line="249" w:lineRule="auto"/>
        <w:ind w:left="494" w:right="922"/>
        <w:rPr>
          <w:sz w:val="20"/>
        </w:rPr>
      </w:pPr>
      <w:r>
        <w:rPr>
          <w:w w:val="95"/>
          <w:sz w:val="20"/>
        </w:rPr>
        <w:t>healthcare</w:t>
      </w:r>
      <w:r>
        <w:rPr>
          <w:spacing w:val="-4"/>
          <w:w w:val="95"/>
          <w:sz w:val="20"/>
        </w:rPr>
        <w:t xml:space="preserve"> </w:t>
      </w:r>
      <w:r>
        <w:rPr>
          <w:w w:val="95"/>
          <w:sz w:val="20"/>
        </w:rPr>
        <w:t>facilities,</w:t>
      </w:r>
      <w:r>
        <w:rPr>
          <w:spacing w:val="-4"/>
          <w:w w:val="95"/>
          <w:sz w:val="20"/>
        </w:rPr>
        <w:t xml:space="preserve"> </w:t>
      </w:r>
      <w:r>
        <w:rPr>
          <w:w w:val="95"/>
          <w:sz w:val="20"/>
        </w:rPr>
        <w:t>supported</w:t>
      </w:r>
      <w:r>
        <w:rPr>
          <w:spacing w:val="-4"/>
          <w:w w:val="95"/>
          <w:sz w:val="20"/>
        </w:rPr>
        <w:t xml:space="preserve"> </w:t>
      </w:r>
      <w:r>
        <w:rPr>
          <w:w w:val="95"/>
          <w:sz w:val="20"/>
        </w:rPr>
        <w:t>by</w:t>
      </w:r>
      <w:r>
        <w:rPr>
          <w:spacing w:val="-4"/>
          <w:w w:val="95"/>
          <w:sz w:val="20"/>
        </w:rPr>
        <w:t xml:space="preserve"> </w:t>
      </w:r>
      <w:r>
        <w:rPr>
          <w:w w:val="95"/>
          <w:sz w:val="20"/>
        </w:rPr>
        <w:t xml:space="preserve">service </w:t>
      </w:r>
      <w:r>
        <w:rPr>
          <w:sz w:val="20"/>
        </w:rPr>
        <w:t>delivery</w:t>
      </w:r>
      <w:r>
        <w:rPr>
          <w:spacing w:val="-11"/>
          <w:sz w:val="20"/>
        </w:rPr>
        <w:t xml:space="preserve"> </w:t>
      </w:r>
      <w:r>
        <w:rPr>
          <w:sz w:val="20"/>
        </w:rPr>
        <w:t>reform</w:t>
      </w:r>
    </w:p>
    <w:p w:rsidR="002C1123" w:rsidRDefault="00F22F94">
      <w:pPr>
        <w:pStyle w:val="ListParagraph"/>
        <w:numPr>
          <w:ilvl w:val="0"/>
          <w:numId w:val="146"/>
        </w:numPr>
        <w:tabs>
          <w:tab w:val="left" w:pos="495"/>
        </w:tabs>
        <w:spacing w:before="130"/>
        <w:rPr>
          <w:sz w:val="20"/>
        </w:rPr>
      </w:pPr>
      <w:r>
        <w:rPr>
          <w:w w:val="95"/>
          <w:sz w:val="20"/>
        </w:rPr>
        <w:t>education</w:t>
      </w:r>
      <w:r>
        <w:rPr>
          <w:spacing w:val="-2"/>
          <w:w w:val="95"/>
          <w:sz w:val="20"/>
        </w:rPr>
        <w:t xml:space="preserve"> </w:t>
      </w:r>
      <w:r>
        <w:rPr>
          <w:w w:val="95"/>
          <w:sz w:val="20"/>
        </w:rPr>
        <w:t>and</w:t>
      </w:r>
      <w:r>
        <w:rPr>
          <w:spacing w:val="-1"/>
          <w:w w:val="95"/>
          <w:sz w:val="20"/>
        </w:rPr>
        <w:t xml:space="preserve"> </w:t>
      </w:r>
      <w:r>
        <w:rPr>
          <w:w w:val="95"/>
          <w:sz w:val="20"/>
        </w:rPr>
        <w:t>cultural</w:t>
      </w:r>
      <w:r>
        <w:rPr>
          <w:spacing w:val="-1"/>
          <w:w w:val="95"/>
          <w:sz w:val="20"/>
        </w:rPr>
        <w:t xml:space="preserve"> </w:t>
      </w:r>
      <w:r>
        <w:rPr>
          <w:spacing w:val="-2"/>
          <w:w w:val="95"/>
          <w:sz w:val="20"/>
        </w:rPr>
        <w:t>venues.</w:t>
      </w:r>
    </w:p>
    <w:p w:rsidR="002C1123" w:rsidRDefault="00F22F94">
      <w:pPr>
        <w:pStyle w:val="BodyText"/>
        <w:spacing w:before="134" w:line="249" w:lineRule="auto"/>
        <w:ind w:left="368" w:right="740"/>
      </w:pPr>
      <w:r>
        <w:br w:type="column"/>
      </w:r>
      <w:r>
        <w:t>Having</w:t>
      </w:r>
      <w:r>
        <w:rPr>
          <w:spacing w:val="-9"/>
        </w:rPr>
        <w:t xml:space="preserve"> </w:t>
      </w:r>
      <w:r>
        <w:t>established</w:t>
      </w:r>
      <w:r>
        <w:rPr>
          <w:spacing w:val="-9"/>
        </w:rPr>
        <w:t xml:space="preserve"> </w:t>
      </w:r>
      <w:r>
        <w:t>the</w:t>
      </w:r>
      <w:r>
        <w:rPr>
          <w:spacing w:val="-9"/>
        </w:rPr>
        <w:t xml:space="preserve"> </w:t>
      </w:r>
      <w:r>
        <w:t>importance</w:t>
      </w:r>
      <w:r>
        <w:rPr>
          <w:spacing w:val="-9"/>
        </w:rPr>
        <w:t xml:space="preserve"> </w:t>
      </w:r>
      <w:r>
        <w:t>of</w:t>
      </w:r>
      <w:r>
        <w:rPr>
          <w:spacing w:val="-9"/>
        </w:rPr>
        <w:t xml:space="preserve"> </w:t>
      </w:r>
      <w:r>
        <w:t>the</w:t>
      </w:r>
      <w:r>
        <w:rPr>
          <w:spacing w:val="-9"/>
        </w:rPr>
        <w:t xml:space="preserve"> </w:t>
      </w:r>
      <w:r>
        <w:t>context</w:t>
      </w:r>
      <w:r>
        <w:rPr>
          <w:spacing w:val="-9"/>
        </w:rPr>
        <w:t xml:space="preserve"> </w:t>
      </w:r>
      <w:r>
        <w:t>in prioritising</w:t>
      </w:r>
      <w:r>
        <w:rPr>
          <w:spacing w:val="-12"/>
        </w:rPr>
        <w:t xml:space="preserve"> </w:t>
      </w:r>
      <w:r>
        <w:t>which</w:t>
      </w:r>
      <w:r>
        <w:rPr>
          <w:spacing w:val="-12"/>
        </w:rPr>
        <w:t xml:space="preserve"> </w:t>
      </w:r>
      <w:r>
        <w:t>infrastructure</w:t>
      </w:r>
      <w:r>
        <w:rPr>
          <w:spacing w:val="-12"/>
        </w:rPr>
        <w:t xml:space="preserve"> </w:t>
      </w:r>
      <w:r>
        <w:t>investments</w:t>
      </w:r>
      <w:r>
        <w:rPr>
          <w:spacing w:val="-12"/>
        </w:rPr>
        <w:t xml:space="preserve"> </w:t>
      </w:r>
      <w:r>
        <w:t>should occur,</w:t>
      </w:r>
      <w:r>
        <w:rPr>
          <w:spacing w:val="-10"/>
        </w:rPr>
        <w:t xml:space="preserve"> </w:t>
      </w:r>
      <w:r>
        <w:t>it</w:t>
      </w:r>
      <w:r>
        <w:rPr>
          <w:spacing w:val="-10"/>
        </w:rPr>
        <w:t xml:space="preserve"> </w:t>
      </w:r>
      <w:r>
        <w:t>is</w:t>
      </w:r>
      <w:r>
        <w:rPr>
          <w:spacing w:val="-10"/>
        </w:rPr>
        <w:t xml:space="preserve"> </w:t>
      </w:r>
      <w:r>
        <w:t>important</w:t>
      </w:r>
      <w:r>
        <w:rPr>
          <w:spacing w:val="-10"/>
        </w:rPr>
        <w:t xml:space="preserve"> </w:t>
      </w:r>
      <w:r>
        <w:t>to</w:t>
      </w:r>
      <w:r>
        <w:rPr>
          <w:spacing w:val="-10"/>
        </w:rPr>
        <w:t xml:space="preserve"> </w:t>
      </w:r>
      <w:r>
        <w:t>examine</w:t>
      </w:r>
      <w:r>
        <w:rPr>
          <w:spacing w:val="-10"/>
        </w:rPr>
        <w:t xml:space="preserve"> </w:t>
      </w:r>
      <w:r>
        <w:t>the</w:t>
      </w:r>
      <w:r>
        <w:rPr>
          <w:spacing w:val="-10"/>
        </w:rPr>
        <w:t xml:space="preserve"> </w:t>
      </w:r>
      <w:r>
        <w:t>State’s</w:t>
      </w:r>
      <w:r>
        <w:rPr>
          <w:spacing w:val="-10"/>
        </w:rPr>
        <w:t xml:space="preserve"> </w:t>
      </w:r>
      <w:r>
        <w:t>economic strengths</w:t>
      </w:r>
      <w:r>
        <w:rPr>
          <w:spacing w:val="-6"/>
        </w:rPr>
        <w:t xml:space="preserve"> </w:t>
      </w:r>
      <w:r>
        <w:t>and</w:t>
      </w:r>
      <w:r>
        <w:rPr>
          <w:spacing w:val="-6"/>
        </w:rPr>
        <w:t xml:space="preserve"> </w:t>
      </w:r>
      <w:r>
        <w:t>weaknesses</w:t>
      </w:r>
      <w:r>
        <w:rPr>
          <w:spacing w:val="-6"/>
        </w:rPr>
        <w:t xml:space="preserve"> </w:t>
      </w:r>
      <w:r>
        <w:t>and</w:t>
      </w:r>
      <w:r>
        <w:rPr>
          <w:spacing w:val="-6"/>
        </w:rPr>
        <w:t xml:space="preserve"> </w:t>
      </w:r>
      <w:r>
        <w:t>to</w:t>
      </w:r>
      <w:r>
        <w:rPr>
          <w:spacing w:val="-6"/>
        </w:rPr>
        <w:t xml:space="preserve"> </w:t>
      </w:r>
      <w:r>
        <w:t>consider</w:t>
      </w:r>
      <w:r>
        <w:rPr>
          <w:spacing w:val="-6"/>
        </w:rPr>
        <w:t xml:space="preserve"> </w:t>
      </w:r>
      <w:r>
        <w:t>future growth</w:t>
      </w:r>
      <w:r>
        <w:rPr>
          <w:spacing w:val="-5"/>
        </w:rPr>
        <w:t xml:space="preserve"> </w:t>
      </w:r>
      <w:r>
        <w:t>opportunities</w:t>
      </w:r>
      <w:r>
        <w:rPr>
          <w:spacing w:val="-5"/>
        </w:rPr>
        <w:t xml:space="preserve"> </w:t>
      </w:r>
      <w:r>
        <w:t>and</w:t>
      </w:r>
      <w:r>
        <w:rPr>
          <w:spacing w:val="-5"/>
        </w:rPr>
        <w:t xml:space="preserve"> </w:t>
      </w:r>
      <w:r>
        <w:t>trends.</w:t>
      </w:r>
      <w:r>
        <w:rPr>
          <w:spacing w:val="-5"/>
        </w:rPr>
        <w:t xml:space="preserve"> </w:t>
      </w:r>
      <w:r>
        <w:t>It</w:t>
      </w:r>
      <w:r>
        <w:rPr>
          <w:spacing w:val="-5"/>
        </w:rPr>
        <w:t xml:space="preserve"> </w:t>
      </w:r>
      <w:r>
        <w:t>is</w:t>
      </w:r>
      <w:r>
        <w:rPr>
          <w:spacing w:val="-5"/>
        </w:rPr>
        <w:t xml:space="preserve"> </w:t>
      </w:r>
      <w:r>
        <w:t>also</w:t>
      </w:r>
      <w:r>
        <w:rPr>
          <w:spacing w:val="-5"/>
        </w:rPr>
        <w:t xml:space="preserve"> </w:t>
      </w:r>
      <w:r>
        <w:t>important</w:t>
      </w:r>
      <w:r>
        <w:rPr>
          <w:spacing w:val="-5"/>
        </w:rPr>
        <w:t xml:space="preserve"> </w:t>
      </w:r>
      <w:r>
        <w:t xml:space="preserve">to </w:t>
      </w:r>
      <w:r>
        <w:rPr>
          <w:w w:val="95"/>
        </w:rPr>
        <w:t xml:space="preserve">understand the weaknesses and strengths in the current </w:t>
      </w:r>
      <w:r>
        <w:t>infrastructure</w:t>
      </w:r>
      <w:r>
        <w:rPr>
          <w:spacing w:val="-11"/>
        </w:rPr>
        <w:t xml:space="preserve"> </w:t>
      </w:r>
      <w:r>
        <w:t>asset</w:t>
      </w:r>
      <w:r>
        <w:rPr>
          <w:spacing w:val="-11"/>
        </w:rPr>
        <w:t xml:space="preserve"> </w:t>
      </w:r>
      <w:r>
        <w:t>mix</w:t>
      </w:r>
      <w:r>
        <w:rPr>
          <w:spacing w:val="-11"/>
        </w:rPr>
        <w:t xml:space="preserve"> </w:t>
      </w:r>
      <w:r>
        <w:t>in</w:t>
      </w:r>
      <w:r>
        <w:rPr>
          <w:spacing w:val="-11"/>
        </w:rPr>
        <w:t xml:space="preserve"> </w:t>
      </w:r>
      <w:r>
        <w:t>light</w:t>
      </w:r>
      <w:r>
        <w:rPr>
          <w:spacing w:val="-11"/>
        </w:rPr>
        <w:t xml:space="preserve"> </w:t>
      </w:r>
      <w:r>
        <w:t>of</w:t>
      </w:r>
      <w:r>
        <w:rPr>
          <w:spacing w:val="-11"/>
        </w:rPr>
        <w:t xml:space="preserve"> </w:t>
      </w:r>
      <w:r>
        <w:t>future</w:t>
      </w:r>
      <w:r>
        <w:rPr>
          <w:spacing w:val="-11"/>
        </w:rPr>
        <w:t xml:space="preserve"> </w:t>
      </w:r>
      <w:r>
        <w:t>demand.</w:t>
      </w:r>
    </w:p>
    <w:p w:rsidR="002C1123" w:rsidRDefault="002C1123">
      <w:pPr>
        <w:pStyle w:val="BodyText"/>
        <w:spacing w:before="10"/>
        <w:rPr>
          <w:sz w:val="23"/>
        </w:rPr>
      </w:pPr>
    </w:p>
    <w:p w:rsidR="002C1123" w:rsidRDefault="00F22F94">
      <w:pPr>
        <w:pStyle w:val="Heading5"/>
        <w:numPr>
          <w:ilvl w:val="1"/>
          <w:numId w:val="147"/>
        </w:numPr>
        <w:tabs>
          <w:tab w:val="left" w:pos="818"/>
        </w:tabs>
        <w:spacing w:before="0"/>
        <w:ind w:left="817" w:hanging="450"/>
        <w:jc w:val="left"/>
        <w:rPr>
          <w:color w:val="EC008C"/>
        </w:rPr>
      </w:pPr>
      <w:r>
        <w:rPr>
          <w:color w:val="EC008C"/>
          <w:spacing w:val="-2"/>
        </w:rPr>
        <w:t>NSW</w:t>
      </w:r>
      <w:r>
        <w:rPr>
          <w:color w:val="EC008C"/>
          <w:spacing w:val="-15"/>
        </w:rPr>
        <w:t xml:space="preserve"> </w:t>
      </w:r>
      <w:r>
        <w:rPr>
          <w:color w:val="EC008C"/>
          <w:spacing w:val="-2"/>
        </w:rPr>
        <w:t>now</w:t>
      </w:r>
      <w:r>
        <w:rPr>
          <w:color w:val="EC008C"/>
          <w:spacing w:val="-14"/>
        </w:rPr>
        <w:t xml:space="preserve"> </w:t>
      </w:r>
      <w:r>
        <w:rPr>
          <w:color w:val="EC008C"/>
          <w:spacing w:val="-2"/>
        </w:rPr>
        <w:t>and</w:t>
      </w:r>
      <w:r>
        <w:rPr>
          <w:color w:val="EC008C"/>
          <w:spacing w:val="-14"/>
        </w:rPr>
        <w:t xml:space="preserve"> </w:t>
      </w:r>
      <w:r>
        <w:rPr>
          <w:color w:val="EC008C"/>
          <w:spacing w:val="-2"/>
        </w:rPr>
        <w:t>in</w:t>
      </w:r>
      <w:r>
        <w:rPr>
          <w:color w:val="EC008C"/>
          <w:spacing w:val="-14"/>
        </w:rPr>
        <w:t xml:space="preserve"> </w:t>
      </w:r>
      <w:r>
        <w:rPr>
          <w:color w:val="EC008C"/>
          <w:spacing w:val="-2"/>
        </w:rPr>
        <w:t>the</w:t>
      </w:r>
      <w:r>
        <w:rPr>
          <w:color w:val="EC008C"/>
          <w:spacing w:val="-14"/>
        </w:rPr>
        <w:t xml:space="preserve"> </w:t>
      </w:r>
      <w:r>
        <w:rPr>
          <w:color w:val="EC008C"/>
          <w:spacing w:val="-2"/>
        </w:rPr>
        <w:t>future</w:t>
      </w:r>
    </w:p>
    <w:p w:rsidR="002C1123" w:rsidRDefault="00F22F94">
      <w:pPr>
        <w:pStyle w:val="BodyText"/>
        <w:spacing w:before="135" w:line="249" w:lineRule="auto"/>
        <w:ind w:left="368" w:right="740"/>
      </w:pPr>
      <w:r>
        <w:t>The</w:t>
      </w:r>
      <w:r>
        <w:rPr>
          <w:spacing w:val="-14"/>
        </w:rPr>
        <w:t xml:space="preserve"> </w:t>
      </w:r>
      <w:r>
        <w:t>NSW</w:t>
      </w:r>
      <w:r>
        <w:rPr>
          <w:spacing w:val="-14"/>
        </w:rPr>
        <w:t xml:space="preserve"> </w:t>
      </w:r>
      <w:r>
        <w:t>economy</w:t>
      </w:r>
      <w:r>
        <w:rPr>
          <w:spacing w:val="-14"/>
        </w:rPr>
        <w:t xml:space="preserve"> </w:t>
      </w:r>
      <w:r>
        <w:t>is</w:t>
      </w:r>
      <w:r>
        <w:rPr>
          <w:spacing w:val="-14"/>
        </w:rPr>
        <w:t xml:space="preserve"> </w:t>
      </w:r>
      <w:r>
        <w:t>the</w:t>
      </w:r>
      <w:r>
        <w:rPr>
          <w:spacing w:val="-14"/>
        </w:rPr>
        <w:t xml:space="preserve"> </w:t>
      </w:r>
      <w:r>
        <w:t>largest</w:t>
      </w:r>
      <w:r>
        <w:rPr>
          <w:spacing w:val="-14"/>
        </w:rPr>
        <w:t xml:space="preserve"> </w:t>
      </w:r>
      <w:r>
        <w:t>and</w:t>
      </w:r>
      <w:r>
        <w:rPr>
          <w:spacing w:val="-14"/>
        </w:rPr>
        <w:t xml:space="preserve"> </w:t>
      </w:r>
      <w:r>
        <w:t>most</w:t>
      </w:r>
      <w:r>
        <w:rPr>
          <w:spacing w:val="-14"/>
        </w:rPr>
        <w:t xml:space="preserve"> </w:t>
      </w:r>
      <w:r>
        <w:t xml:space="preserve">diversified </w:t>
      </w:r>
      <w:r>
        <w:rPr>
          <w:w w:val="95"/>
        </w:rPr>
        <w:t>in</w:t>
      </w:r>
      <w:r>
        <w:rPr>
          <w:spacing w:val="-11"/>
          <w:w w:val="95"/>
        </w:rPr>
        <w:t xml:space="preserve"> </w:t>
      </w:r>
      <w:r>
        <w:rPr>
          <w:w w:val="95"/>
        </w:rPr>
        <w:t>Australia.</w:t>
      </w:r>
      <w:r>
        <w:rPr>
          <w:spacing w:val="-11"/>
          <w:w w:val="95"/>
        </w:rPr>
        <w:t xml:space="preserve"> </w:t>
      </w:r>
      <w:r>
        <w:rPr>
          <w:w w:val="95"/>
        </w:rPr>
        <w:t>NSW</w:t>
      </w:r>
      <w:r>
        <w:rPr>
          <w:spacing w:val="-11"/>
          <w:w w:val="95"/>
        </w:rPr>
        <w:t xml:space="preserve"> </w:t>
      </w:r>
      <w:r>
        <w:rPr>
          <w:w w:val="95"/>
        </w:rPr>
        <w:t>is</w:t>
      </w:r>
      <w:r>
        <w:rPr>
          <w:spacing w:val="-11"/>
          <w:w w:val="95"/>
        </w:rPr>
        <w:t xml:space="preserve"> </w:t>
      </w:r>
      <w:r>
        <w:rPr>
          <w:w w:val="95"/>
        </w:rPr>
        <w:t>primarily</w:t>
      </w:r>
      <w:r>
        <w:rPr>
          <w:spacing w:val="-11"/>
          <w:w w:val="95"/>
        </w:rPr>
        <w:t xml:space="preserve"> </w:t>
      </w:r>
      <w:r>
        <w:rPr>
          <w:w w:val="95"/>
        </w:rPr>
        <w:t>a</w:t>
      </w:r>
      <w:r>
        <w:rPr>
          <w:spacing w:val="-11"/>
          <w:w w:val="95"/>
        </w:rPr>
        <w:t xml:space="preserve"> </w:t>
      </w:r>
      <w:r>
        <w:rPr>
          <w:w w:val="95"/>
        </w:rPr>
        <w:t>service</w:t>
      </w:r>
      <w:r>
        <w:rPr>
          <w:spacing w:val="-11"/>
          <w:w w:val="95"/>
        </w:rPr>
        <w:t xml:space="preserve"> </w:t>
      </w:r>
      <w:r>
        <w:rPr>
          <w:w w:val="95"/>
        </w:rPr>
        <w:t>based</w:t>
      </w:r>
      <w:r>
        <w:rPr>
          <w:spacing w:val="-11"/>
          <w:w w:val="95"/>
        </w:rPr>
        <w:t xml:space="preserve"> </w:t>
      </w:r>
      <w:r>
        <w:rPr>
          <w:w w:val="95"/>
        </w:rPr>
        <w:t xml:space="preserve">economy, </w:t>
      </w:r>
      <w:r>
        <w:t>with</w:t>
      </w:r>
      <w:r>
        <w:rPr>
          <w:spacing w:val="-6"/>
        </w:rPr>
        <w:t xml:space="preserve"> </w:t>
      </w:r>
      <w:r>
        <w:t>a</w:t>
      </w:r>
      <w:r>
        <w:rPr>
          <w:spacing w:val="-6"/>
        </w:rPr>
        <w:t xml:space="preserve"> </w:t>
      </w:r>
      <w:r>
        <w:t>number</w:t>
      </w:r>
      <w:r>
        <w:rPr>
          <w:spacing w:val="-6"/>
        </w:rPr>
        <w:t xml:space="preserve"> </w:t>
      </w:r>
      <w:r>
        <w:t>of</w:t>
      </w:r>
      <w:r>
        <w:rPr>
          <w:spacing w:val="-6"/>
        </w:rPr>
        <w:t xml:space="preserve"> </w:t>
      </w:r>
      <w:r>
        <w:t>particular</w:t>
      </w:r>
      <w:r>
        <w:rPr>
          <w:spacing w:val="-6"/>
        </w:rPr>
        <w:t xml:space="preserve"> </w:t>
      </w:r>
      <w:r>
        <w:t>strengths</w:t>
      </w:r>
      <w:r>
        <w:rPr>
          <w:spacing w:val="-6"/>
        </w:rPr>
        <w:t xml:space="preserve"> </w:t>
      </w:r>
      <w:r>
        <w:t>including:</w:t>
      </w:r>
    </w:p>
    <w:p w:rsidR="002C1123" w:rsidRDefault="00F22F94">
      <w:pPr>
        <w:pStyle w:val="ListParagraph"/>
        <w:numPr>
          <w:ilvl w:val="0"/>
          <w:numId w:val="145"/>
        </w:numPr>
        <w:tabs>
          <w:tab w:val="left" w:pos="652"/>
        </w:tabs>
        <w:spacing w:before="132" w:line="249" w:lineRule="auto"/>
        <w:ind w:right="1029"/>
        <w:rPr>
          <w:sz w:val="20"/>
        </w:rPr>
      </w:pPr>
      <w:r>
        <w:rPr>
          <w:spacing w:val="-2"/>
          <w:sz w:val="20"/>
        </w:rPr>
        <w:t>NSW</w:t>
      </w:r>
      <w:r>
        <w:rPr>
          <w:spacing w:val="-14"/>
          <w:sz w:val="20"/>
        </w:rPr>
        <w:t xml:space="preserve"> </w:t>
      </w:r>
      <w:r>
        <w:rPr>
          <w:spacing w:val="-2"/>
          <w:sz w:val="20"/>
        </w:rPr>
        <w:t>GSP</w:t>
      </w:r>
      <w:r>
        <w:rPr>
          <w:spacing w:val="-14"/>
          <w:sz w:val="20"/>
        </w:rPr>
        <w:t xml:space="preserve"> </w:t>
      </w:r>
      <w:r>
        <w:rPr>
          <w:spacing w:val="-2"/>
          <w:sz w:val="20"/>
        </w:rPr>
        <w:t>was</w:t>
      </w:r>
      <w:r>
        <w:rPr>
          <w:spacing w:val="-14"/>
          <w:sz w:val="20"/>
        </w:rPr>
        <w:t xml:space="preserve"> </w:t>
      </w:r>
      <w:r>
        <w:rPr>
          <w:spacing w:val="-2"/>
          <w:sz w:val="20"/>
        </w:rPr>
        <w:t>$420</w:t>
      </w:r>
      <w:r>
        <w:rPr>
          <w:spacing w:val="-14"/>
          <w:sz w:val="20"/>
        </w:rPr>
        <w:t xml:space="preserve"> </w:t>
      </w:r>
      <w:r>
        <w:rPr>
          <w:spacing w:val="-2"/>
          <w:sz w:val="20"/>
        </w:rPr>
        <w:t>billion</w:t>
      </w:r>
      <w:r>
        <w:rPr>
          <w:spacing w:val="-2"/>
          <w:position w:val="7"/>
          <w:sz w:val="11"/>
        </w:rPr>
        <w:t>1</w:t>
      </w:r>
      <w:r>
        <w:rPr>
          <w:spacing w:val="-4"/>
          <w:position w:val="7"/>
          <w:sz w:val="11"/>
        </w:rPr>
        <w:t xml:space="preserve"> </w:t>
      </w:r>
      <w:r>
        <w:rPr>
          <w:spacing w:val="-2"/>
          <w:sz w:val="20"/>
        </w:rPr>
        <w:t>in</w:t>
      </w:r>
      <w:r>
        <w:rPr>
          <w:spacing w:val="-14"/>
          <w:sz w:val="20"/>
        </w:rPr>
        <w:t xml:space="preserve"> </w:t>
      </w:r>
      <w:r>
        <w:rPr>
          <w:spacing w:val="-2"/>
          <w:sz w:val="20"/>
        </w:rPr>
        <w:t>2010/11,</w:t>
      </w:r>
      <w:r>
        <w:rPr>
          <w:spacing w:val="-14"/>
          <w:sz w:val="20"/>
        </w:rPr>
        <w:t xml:space="preserve"> </w:t>
      </w:r>
      <w:r>
        <w:rPr>
          <w:spacing w:val="-2"/>
          <w:sz w:val="20"/>
        </w:rPr>
        <w:t xml:space="preserve">which </w:t>
      </w:r>
      <w:r>
        <w:rPr>
          <w:spacing w:val="-2"/>
          <w:w w:val="95"/>
          <w:sz w:val="20"/>
        </w:rPr>
        <w:t>accounted</w:t>
      </w:r>
      <w:r>
        <w:rPr>
          <w:spacing w:val="-6"/>
          <w:w w:val="95"/>
          <w:sz w:val="20"/>
        </w:rPr>
        <w:t xml:space="preserve"> </w:t>
      </w:r>
      <w:r>
        <w:rPr>
          <w:spacing w:val="-2"/>
          <w:w w:val="95"/>
          <w:sz w:val="20"/>
        </w:rPr>
        <w:t>for</w:t>
      </w:r>
      <w:r>
        <w:rPr>
          <w:spacing w:val="-6"/>
          <w:w w:val="95"/>
          <w:sz w:val="20"/>
        </w:rPr>
        <w:t xml:space="preserve"> </w:t>
      </w:r>
      <w:r>
        <w:rPr>
          <w:spacing w:val="-2"/>
          <w:w w:val="95"/>
          <w:sz w:val="20"/>
        </w:rPr>
        <w:t>32</w:t>
      </w:r>
      <w:r>
        <w:rPr>
          <w:spacing w:val="-6"/>
          <w:w w:val="95"/>
          <w:sz w:val="20"/>
        </w:rPr>
        <w:t xml:space="preserve"> </w:t>
      </w:r>
      <w:r>
        <w:rPr>
          <w:spacing w:val="-2"/>
          <w:w w:val="95"/>
          <w:sz w:val="20"/>
        </w:rPr>
        <w:t>percent</w:t>
      </w:r>
      <w:r>
        <w:rPr>
          <w:spacing w:val="-6"/>
          <w:w w:val="95"/>
          <w:sz w:val="20"/>
        </w:rPr>
        <w:t xml:space="preserve"> </w:t>
      </w:r>
      <w:r>
        <w:rPr>
          <w:spacing w:val="-2"/>
          <w:w w:val="95"/>
          <w:sz w:val="20"/>
        </w:rPr>
        <w:t>of</w:t>
      </w:r>
      <w:r>
        <w:rPr>
          <w:spacing w:val="-6"/>
          <w:w w:val="95"/>
          <w:sz w:val="20"/>
        </w:rPr>
        <w:t xml:space="preserve"> </w:t>
      </w:r>
      <w:r>
        <w:rPr>
          <w:spacing w:val="-2"/>
          <w:w w:val="95"/>
          <w:sz w:val="20"/>
        </w:rPr>
        <w:t>national</w:t>
      </w:r>
      <w:r>
        <w:rPr>
          <w:spacing w:val="-6"/>
          <w:w w:val="95"/>
          <w:sz w:val="20"/>
        </w:rPr>
        <w:t xml:space="preserve"> </w:t>
      </w:r>
      <w:r>
        <w:rPr>
          <w:spacing w:val="-2"/>
          <w:w w:val="95"/>
          <w:sz w:val="20"/>
        </w:rPr>
        <w:t>GDP</w:t>
      </w:r>
      <w:r>
        <w:rPr>
          <w:spacing w:val="-6"/>
          <w:w w:val="95"/>
          <w:sz w:val="20"/>
        </w:rPr>
        <w:t xml:space="preserve"> </w:t>
      </w:r>
      <w:r>
        <w:rPr>
          <w:spacing w:val="-2"/>
          <w:w w:val="95"/>
          <w:sz w:val="20"/>
        </w:rPr>
        <w:t>(the</w:t>
      </w:r>
      <w:r>
        <w:rPr>
          <w:spacing w:val="-6"/>
          <w:w w:val="95"/>
          <w:sz w:val="20"/>
        </w:rPr>
        <w:t xml:space="preserve"> </w:t>
      </w:r>
      <w:r>
        <w:rPr>
          <w:spacing w:val="-2"/>
          <w:w w:val="95"/>
          <w:sz w:val="20"/>
        </w:rPr>
        <w:t xml:space="preserve">next </w:t>
      </w:r>
      <w:r>
        <w:rPr>
          <w:w w:val="95"/>
          <w:sz w:val="20"/>
        </w:rPr>
        <w:t xml:space="preserve">largest state is Victoria which had a GSP of $317 </w:t>
      </w:r>
      <w:r>
        <w:rPr>
          <w:spacing w:val="-2"/>
          <w:sz w:val="20"/>
        </w:rPr>
        <w:t>billion,</w:t>
      </w:r>
      <w:r>
        <w:rPr>
          <w:spacing w:val="-12"/>
          <w:sz w:val="20"/>
        </w:rPr>
        <w:t xml:space="preserve"> </w:t>
      </w:r>
      <w:r>
        <w:rPr>
          <w:spacing w:val="-2"/>
          <w:sz w:val="20"/>
        </w:rPr>
        <w:t>or</w:t>
      </w:r>
      <w:r>
        <w:rPr>
          <w:spacing w:val="-12"/>
          <w:sz w:val="20"/>
        </w:rPr>
        <w:t xml:space="preserve"> </w:t>
      </w:r>
      <w:r>
        <w:rPr>
          <w:spacing w:val="-2"/>
          <w:sz w:val="20"/>
        </w:rPr>
        <w:t>23</w:t>
      </w:r>
      <w:r>
        <w:rPr>
          <w:spacing w:val="-12"/>
          <w:sz w:val="20"/>
        </w:rPr>
        <w:t xml:space="preserve"> </w:t>
      </w:r>
      <w:r>
        <w:rPr>
          <w:spacing w:val="-2"/>
          <w:sz w:val="20"/>
        </w:rPr>
        <w:t>percent</w:t>
      </w:r>
      <w:r>
        <w:rPr>
          <w:spacing w:val="-12"/>
          <w:sz w:val="20"/>
        </w:rPr>
        <w:t xml:space="preserve"> </w:t>
      </w:r>
      <w:r>
        <w:rPr>
          <w:spacing w:val="-2"/>
          <w:sz w:val="20"/>
        </w:rPr>
        <w:t>of</w:t>
      </w:r>
      <w:r>
        <w:rPr>
          <w:spacing w:val="-12"/>
          <w:sz w:val="20"/>
        </w:rPr>
        <w:t xml:space="preserve"> </w:t>
      </w:r>
      <w:r>
        <w:rPr>
          <w:spacing w:val="-2"/>
          <w:sz w:val="20"/>
        </w:rPr>
        <w:t>the</w:t>
      </w:r>
      <w:r>
        <w:rPr>
          <w:spacing w:val="-12"/>
          <w:sz w:val="20"/>
        </w:rPr>
        <w:t xml:space="preserve"> </w:t>
      </w:r>
      <w:r>
        <w:rPr>
          <w:spacing w:val="-2"/>
          <w:sz w:val="20"/>
        </w:rPr>
        <w:t>national</w:t>
      </w:r>
      <w:r>
        <w:rPr>
          <w:spacing w:val="-12"/>
          <w:sz w:val="20"/>
        </w:rPr>
        <w:t xml:space="preserve"> </w:t>
      </w:r>
      <w:r>
        <w:rPr>
          <w:spacing w:val="-2"/>
          <w:sz w:val="20"/>
        </w:rPr>
        <w:t>total</w:t>
      </w:r>
      <w:r>
        <w:rPr>
          <w:spacing w:val="-2"/>
          <w:position w:val="7"/>
          <w:sz w:val="11"/>
        </w:rPr>
        <w:t>2</w:t>
      </w:r>
      <w:r>
        <w:rPr>
          <w:spacing w:val="-2"/>
          <w:sz w:val="20"/>
        </w:rPr>
        <w:t>).</w:t>
      </w:r>
    </w:p>
    <w:p w:rsidR="002C1123" w:rsidRDefault="00F22F94">
      <w:pPr>
        <w:pStyle w:val="ListParagraph"/>
        <w:numPr>
          <w:ilvl w:val="0"/>
          <w:numId w:val="145"/>
        </w:numPr>
        <w:tabs>
          <w:tab w:val="left" w:pos="652"/>
        </w:tabs>
        <w:spacing w:before="132" w:line="249" w:lineRule="auto"/>
        <w:ind w:right="1094"/>
        <w:rPr>
          <w:sz w:val="20"/>
        </w:rPr>
      </w:pPr>
      <w:r>
        <w:rPr>
          <w:sz w:val="20"/>
        </w:rPr>
        <w:t>Regional</w:t>
      </w:r>
      <w:r>
        <w:rPr>
          <w:spacing w:val="-12"/>
          <w:sz w:val="20"/>
        </w:rPr>
        <w:t xml:space="preserve"> </w:t>
      </w:r>
      <w:r>
        <w:rPr>
          <w:sz w:val="20"/>
        </w:rPr>
        <w:t>centres</w:t>
      </w:r>
      <w:r>
        <w:rPr>
          <w:spacing w:val="-12"/>
          <w:sz w:val="20"/>
        </w:rPr>
        <w:t xml:space="preserve"> </w:t>
      </w:r>
      <w:r>
        <w:rPr>
          <w:sz w:val="20"/>
        </w:rPr>
        <w:t>and</w:t>
      </w:r>
      <w:r>
        <w:rPr>
          <w:spacing w:val="-12"/>
          <w:sz w:val="20"/>
        </w:rPr>
        <w:t xml:space="preserve"> </w:t>
      </w:r>
      <w:r>
        <w:rPr>
          <w:sz w:val="20"/>
        </w:rPr>
        <w:t>the</w:t>
      </w:r>
      <w:r>
        <w:rPr>
          <w:spacing w:val="-12"/>
          <w:sz w:val="20"/>
        </w:rPr>
        <w:t xml:space="preserve"> </w:t>
      </w:r>
      <w:r>
        <w:rPr>
          <w:sz w:val="20"/>
        </w:rPr>
        <w:t>NSW</w:t>
      </w:r>
      <w:r>
        <w:rPr>
          <w:spacing w:val="-12"/>
          <w:sz w:val="20"/>
        </w:rPr>
        <w:t xml:space="preserve"> </w:t>
      </w:r>
      <w:r>
        <w:rPr>
          <w:sz w:val="20"/>
        </w:rPr>
        <w:t>economy</w:t>
      </w:r>
      <w:r>
        <w:rPr>
          <w:spacing w:val="-12"/>
          <w:sz w:val="20"/>
        </w:rPr>
        <w:t xml:space="preserve"> </w:t>
      </w:r>
      <w:r>
        <w:rPr>
          <w:sz w:val="20"/>
        </w:rPr>
        <w:t xml:space="preserve">have </w:t>
      </w:r>
      <w:r>
        <w:rPr>
          <w:w w:val="95"/>
          <w:sz w:val="20"/>
        </w:rPr>
        <w:t>benefitted from the unprecedented improvement in</w:t>
      </w:r>
      <w:r>
        <w:rPr>
          <w:spacing w:val="-10"/>
          <w:w w:val="95"/>
          <w:sz w:val="20"/>
        </w:rPr>
        <w:t xml:space="preserve"> </w:t>
      </w:r>
      <w:r>
        <w:rPr>
          <w:w w:val="95"/>
          <w:sz w:val="20"/>
        </w:rPr>
        <w:t>the</w:t>
      </w:r>
      <w:r>
        <w:rPr>
          <w:spacing w:val="-10"/>
          <w:w w:val="95"/>
          <w:sz w:val="20"/>
        </w:rPr>
        <w:t xml:space="preserve"> </w:t>
      </w:r>
      <w:r>
        <w:rPr>
          <w:w w:val="95"/>
          <w:sz w:val="20"/>
        </w:rPr>
        <w:t>national</w:t>
      </w:r>
      <w:r>
        <w:rPr>
          <w:spacing w:val="-10"/>
          <w:w w:val="95"/>
          <w:sz w:val="20"/>
        </w:rPr>
        <w:t xml:space="preserve"> </w:t>
      </w:r>
      <w:r>
        <w:rPr>
          <w:w w:val="95"/>
          <w:sz w:val="20"/>
        </w:rPr>
        <w:t>terms</w:t>
      </w:r>
      <w:r>
        <w:rPr>
          <w:spacing w:val="-10"/>
          <w:w w:val="95"/>
          <w:sz w:val="20"/>
        </w:rPr>
        <w:t xml:space="preserve"> </w:t>
      </w:r>
      <w:r>
        <w:rPr>
          <w:w w:val="95"/>
          <w:sz w:val="20"/>
        </w:rPr>
        <w:t>of</w:t>
      </w:r>
      <w:r>
        <w:rPr>
          <w:spacing w:val="-10"/>
          <w:w w:val="95"/>
          <w:sz w:val="20"/>
        </w:rPr>
        <w:t xml:space="preserve"> </w:t>
      </w:r>
      <w:r>
        <w:rPr>
          <w:w w:val="95"/>
          <w:sz w:val="20"/>
        </w:rPr>
        <w:t>trade</w:t>
      </w:r>
      <w:r>
        <w:rPr>
          <w:spacing w:val="-10"/>
          <w:w w:val="95"/>
          <w:sz w:val="20"/>
        </w:rPr>
        <w:t xml:space="preserve"> </w:t>
      </w:r>
      <w:r>
        <w:rPr>
          <w:w w:val="95"/>
          <w:sz w:val="20"/>
        </w:rPr>
        <w:t>and</w:t>
      </w:r>
      <w:r>
        <w:rPr>
          <w:spacing w:val="-10"/>
          <w:w w:val="95"/>
          <w:sz w:val="20"/>
        </w:rPr>
        <w:t xml:space="preserve"> </w:t>
      </w:r>
      <w:r>
        <w:rPr>
          <w:w w:val="95"/>
          <w:sz w:val="20"/>
        </w:rPr>
        <w:t>the</w:t>
      </w:r>
      <w:r>
        <w:rPr>
          <w:spacing w:val="-10"/>
          <w:w w:val="95"/>
          <w:sz w:val="20"/>
        </w:rPr>
        <w:t xml:space="preserve"> </w:t>
      </w:r>
      <w:r>
        <w:rPr>
          <w:w w:val="95"/>
          <w:sz w:val="20"/>
        </w:rPr>
        <w:t>rise</w:t>
      </w:r>
      <w:r>
        <w:rPr>
          <w:spacing w:val="-10"/>
          <w:w w:val="95"/>
          <w:sz w:val="20"/>
        </w:rPr>
        <w:t xml:space="preserve"> </w:t>
      </w:r>
      <w:r>
        <w:rPr>
          <w:w w:val="95"/>
          <w:sz w:val="20"/>
        </w:rPr>
        <w:t>of</w:t>
      </w:r>
      <w:r>
        <w:rPr>
          <w:spacing w:val="-10"/>
          <w:w w:val="95"/>
          <w:sz w:val="20"/>
        </w:rPr>
        <w:t xml:space="preserve"> </w:t>
      </w:r>
      <w:r>
        <w:rPr>
          <w:w w:val="95"/>
          <w:sz w:val="20"/>
        </w:rPr>
        <w:t xml:space="preserve">Asian </w:t>
      </w:r>
      <w:r>
        <w:rPr>
          <w:sz w:val="20"/>
        </w:rPr>
        <w:t>demand</w:t>
      </w:r>
      <w:r>
        <w:rPr>
          <w:spacing w:val="-6"/>
          <w:sz w:val="20"/>
        </w:rPr>
        <w:t xml:space="preserve"> </w:t>
      </w:r>
      <w:r>
        <w:rPr>
          <w:sz w:val="20"/>
        </w:rPr>
        <w:t>for</w:t>
      </w:r>
      <w:r>
        <w:rPr>
          <w:spacing w:val="-6"/>
          <w:sz w:val="20"/>
        </w:rPr>
        <w:t xml:space="preserve"> </w:t>
      </w:r>
      <w:r>
        <w:rPr>
          <w:sz w:val="20"/>
        </w:rPr>
        <w:t>minerals</w:t>
      </w:r>
      <w:r>
        <w:rPr>
          <w:spacing w:val="-6"/>
          <w:sz w:val="20"/>
        </w:rPr>
        <w:t xml:space="preserve"> </w:t>
      </w:r>
      <w:r>
        <w:rPr>
          <w:sz w:val="20"/>
        </w:rPr>
        <w:t>and</w:t>
      </w:r>
      <w:r>
        <w:rPr>
          <w:spacing w:val="-6"/>
          <w:sz w:val="20"/>
        </w:rPr>
        <w:t xml:space="preserve"> </w:t>
      </w:r>
      <w:r>
        <w:rPr>
          <w:sz w:val="20"/>
        </w:rPr>
        <w:t>agricultural</w:t>
      </w:r>
      <w:r>
        <w:rPr>
          <w:spacing w:val="-6"/>
          <w:sz w:val="20"/>
        </w:rPr>
        <w:t xml:space="preserve"> </w:t>
      </w:r>
      <w:r>
        <w:rPr>
          <w:sz w:val="20"/>
        </w:rPr>
        <w:t>products.</w:t>
      </w:r>
    </w:p>
    <w:p w:rsidR="002C1123" w:rsidRDefault="00F22F94">
      <w:pPr>
        <w:pStyle w:val="ListParagraph"/>
        <w:numPr>
          <w:ilvl w:val="0"/>
          <w:numId w:val="145"/>
        </w:numPr>
        <w:tabs>
          <w:tab w:val="left" w:pos="652"/>
        </w:tabs>
        <w:spacing w:before="132" w:line="249" w:lineRule="auto"/>
        <w:ind w:right="815"/>
        <w:rPr>
          <w:sz w:val="20"/>
        </w:rPr>
      </w:pPr>
      <w:r>
        <w:rPr>
          <w:w w:val="95"/>
          <w:sz w:val="20"/>
        </w:rPr>
        <w:t>NSW</w:t>
      </w:r>
      <w:r>
        <w:rPr>
          <w:spacing w:val="-7"/>
          <w:w w:val="95"/>
          <w:sz w:val="20"/>
        </w:rPr>
        <w:t xml:space="preserve"> </w:t>
      </w:r>
      <w:r>
        <w:rPr>
          <w:w w:val="95"/>
          <w:sz w:val="20"/>
        </w:rPr>
        <w:t>has</w:t>
      </w:r>
      <w:r>
        <w:rPr>
          <w:spacing w:val="-7"/>
          <w:w w:val="95"/>
          <w:sz w:val="20"/>
        </w:rPr>
        <w:t xml:space="preserve"> </w:t>
      </w:r>
      <w:r>
        <w:rPr>
          <w:w w:val="95"/>
          <w:sz w:val="20"/>
        </w:rPr>
        <w:t>significant</w:t>
      </w:r>
      <w:r>
        <w:rPr>
          <w:spacing w:val="-7"/>
          <w:w w:val="95"/>
          <w:sz w:val="20"/>
        </w:rPr>
        <w:t xml:space="preserve"> </w:t>
      </w:r>
      <w:r>
        <w:rPr>
          <w:w w:val="95"/>
          <w:sz w:val="20"/>
        </w:rPr>
        <w:t>black</w:t>
      </w:r>
      <w:r>
        <w:rPr>
          <w:spacing w:val="-7"/>
          <w:w w:val="95"/>
          <w:sz w:val="20"/>
        </w:rPr>
        <w:t xml:space="preserve"> </w:t>
      </w:r>
      <w:r>
        <w:rPr>
          <w:w w:val="95"/>
          <w:sz w:val="20"/>
        </w:rPr>
        <w:t>coal</w:t>
      </w:r>
      <w:r>
        <w:rPr>
          <w:spacing w:val="-7"/>
          <w:w w:val="95"/>
          <w:sz w:val="20"/>
        </w:rPr>
        <w:t xml:space="preserve"> </w:t>
      </w:r>
      <w:r>
        <w:rPr>
          <w:w w:val="95"/>
          <w:sz w:val="20"/>
        </w:rPr>
        <w:t>reserves</w:t>
      </w:r>
      <w:r>
        <w:rPr>
          <w:spacing w:val="-7"/>
          <w:w w:val="95"/>
          <w:sz w:val="20"/>
        </w:rPr>
        <w:t xml:space="preserve"> </w:t>
      </w:r>
      <w:r>
        <w:rPr>
          <w:w w:val="95"/>
          <w:sz w:val="20"/>
        </w:rPr>
        <w:t xml:space="preserve">(accounting </w:t>
      </w:r>
      <w:r>
        <w:rPr>
          <w:sz w:val="20"/>
        </w:rPr>
        <w:t>for</w:t>
      </w:r>
      <w:r>
        <w:rPr>
          <w:spacing w:val="-11"/>
          <w:sz w:val="20"/>
        </w:rPr>
        <w:t xml:space="preserve"> </w:t>
      </w:r>
      <w:r>
        <w:rPr>
          <w:sz w:val="20"/>
        </w:rPr>
        <w:t>40</w:t>
      </w:r>
      <w:r>
        <w:rPr>
          <w:spacing w:val="-11"/>
          <w:sz w:val="20"/>
        </w:rPr>
        <w:t xml:space="preserve"> </w:t>
      </w:r>
      <w:r>
        <w:rPr>
          <w:sz w:val="20"/>
        </w:rPr>
        <w:t>percent</w:t>
      </w:r>
      <w:r>
        <w:rPr>
          <w:spacing w:val="-11"/>
          <w:sz w:val="20"/>
        </w:rPr>
        <w:t xml:space="preserve"> </w:t>
      </w:r>
      <w:r>
        <w:rPr>
          <w:sz w:val="20"/>
        </w:rPr>
        <w:t>of</w:t>
      </w:r>
      <w:r>
        <w:rPr>
          <w:spacing w:val="-11"/>
          <w:sz w:val="20"/>
        </w:rPr>
        <w:t xml:space="preserve"> </w:t>
      </w:r>
      <w:r>
        <w:rPr>
          <w:sz w:val="20"/>
        </w:rPr>
        <w:t>the</w:t>
      </w:r>
      <w:r>
        <w:rPr>
          <w:spacing w:val="-11"/>
          <w:sz w:val="20"/>
        </w:rPr>
        <w:t xml:space="preserve"> </w:t>
      </w:r>
      <w:r>
        <w:rPr>
          <w:sz w:val="20"/>
        </w:rPr>
        <w:t>country’s</w:t>
      </w:r>
      <w:r>
        <w:rPr>
          <w:spacing w:val="-11"/>
          <w:sz w:val="20"/>
        </w:rPr>
        <w:t xml:space="preserve"> </w:t>
      </w:r>
      <w:r>
        <w:rPr>
          <w:sz w:val="20"/>
        </w:rPr>
        <w:t>total</w:t>
      </w:r>
      <w:r>
        <w:rPr>
          <w:position w:val="7"/>
          <w:sz w:val="11"/>
        </w:rPr>
        <w:t>3</w:t>
      </w:r>
      <w:r>
        <w:rPr>
          <w:sz w:val="20"/>
        </w:rPr>
        <w:t>),</w:t>
      </w:r>
      <w:r>
        <w:rPr>
          <w:spacing w:val="-11"/>
          <w:sz w:val="20"/>
        </w:rPr>
        <w:t xml:space="preserve"> </w:t>
      </w:r>
      <w:r>
        <w:rPr>
          <w:sz w:val="20"/>
        </w:rPr>
        <w:t>minerals</w:t>
      </w:r>
      <w:r>
        <w:rPr>
          <w:spacing w:val="-11"/>
          <w:sz w:val="20"/>
        </w:rPr>
        <w:t xml:space="preserve"> </w:t>
      </w:r>
      <w:r>
        <w:rPr>
          <w:sz w:val="20"/>
        </w:rPr>
        <w:t>and gas</w:t>
      </w:r>
      <w:r>
        <w:rPr>
          <w:spacing w:val="-11"/>
          <w:sz w:val="20"/>
        </w:rPr>
        <w:t xml:space="preserve"> </w:t>
      </w:r>
      <w:r>
        <w:rPr>
          <w:sz w:val="20"/>
        </w:rPr>
        <w:t>reserves.</w:t>
      </w:r>
    </w:p>
    <w:p w:rsidR="002C1123" w:rsidRDefault="002C1123">
      <w:pPr>
        <w:pStyle w:val="BodyText"/>
      </w:pPr>
    </w:p>
    <w:p w:rsidR="002C1123" w:rsidRDefault="002C1123">
      <w:pPr>
        <w:pStyle w:val="BodyText"/>
      </w:pPr>
    </w:p>
    <w:p w:rsidR="002C1123" w:rsidRDefault="002060EF">
      <w:pPr>
        <w:pStyle w:val="BodyText"/>
        <w:spacing w:before="7"/>
        <w:rPr>
          <w:sz w:val="19"/>
        </w:rPr>
      </w:pPr>
      <w:r>
        <w:pict>
          <v:shape id="docshape264" o:spid="_x0000_s5046" style="position:absolute;margin-left:552.3pt;margin-top:12.5pt;width:1in;height:.1pt;z-index:-251421696;mso-wrap-distance-left:0;mso-wrap-distance-right:0;mso-position-horizontal-relative:page" coordorigin="11046,250" coordsize="1440,0" path="m11046,250r1440,e" filled="f" strokecolor="#9c9c9d" strokeweight=".5pt">
            <v:path arrowok="t"/>
            <w10:wrap type="topAndBottom" anchorx="page"/>
          </v:shape>
        </w:pict>
      </w:r>
    </w:p>
    <w:p w:rsidR="002C1123" w:rsidRDefault="00F22F94">
      <w:pPr>
        <w:pStyle w:val="ListParagraph"/>
        <w:numPr>
          <w:ilvl w:val="1"/>
          <w:numId w:val="146"/>
        </w:numPr>
        <w:tabs>
          <w:tab w:val="left" w:pos="567"/>
        </w:tabs>
        <w:spacing w:before="23"/>
        <w:ind w:right="800"/>
        <w:jc w:val="left"/>
        <w:rPr>
          <w:sz w:val="14"/>
        </w:rPr>
      </w:pPr>
      <w:r>
        <w:rPr>
          <w:w w:val="95"/>
          <w:sz w:val="14"/>
        </w:rPr>
        <w:t>Deloitte Access Economics 2012, The NSW Economy in 2031-32, Report to</w:t>
      </w:r>
      <w:r>
        <w:rPr>
          <w:spacing w:val="40"/>
          <w:sz w:val="14"/>
        </w:rPr>
        <w:t xml:space="preserve"> </w:t>
      </w:r>
      <w:r>
        <w:rPr>
          <w:sz w:val="14"/>
        </w:rPr>
        <w:t>Infrastructure</w:t>
      </w:r>
      <w:r>
        <w:rPr>
          <w:spacing w:val="-10"/>
          <w:sz w:val="14"/>
        </w:rPr>
        <w:t xml:space="preserve"> </w:t>
      </w:r>
      <w:r>
        <w:rPr>
          <w:sz w:val="14"/>
        </w:rPr>
        <w:t>NSW.</w:t>
      </w:r>
    </w:p>
    <w:p w:rsidR="002C1123" w:rsidRDefault="00F22F94">
      <w:pPr>
        <w:pStyle w:val="ListParagraph"/>
        <w:numPr>
          <w:ilvl w:val="1"/>
          <w:numId w:val="146"/>
        </w:numPr>
        <w:tabs>
          <w:tab w:val="left" w:pos="567"/>
        </w:tabs>
        <w:spacing w:line="159" w:lineRule="exact"/>
        <w:jc w:val="left"/>
        <w:rPr>
          <w:sz w:val="14"/>
        </w:rPr>
      </w:pPr>
      <w:r>
        <w:rPr>
          <w:w w:val="95"/>
          <w:sz w:val="14"/>
        </w:rPr>
        <w:t>Australian</w:t>
      </w:r>
      <w:r>
        <w:rPr>
          <w:spacing w:val="-2"/>
          <w:w w:val="95"/>
          <w:sz w:val="14"/>
        </w:rPr>
        <w:t xml:space="preserve"> </w:t>
      </w:r>
      <w:r>
        <w:rPr>
          <w:w w:val="95"/>
          <w:sz w:val="14"/>
        </w:rPr>
        <w:t>Bureau</w:t>
      </w:r>
      <w:r>
        <w:rPr>
          <w:spacing w:val="-1"/>
          <w:w w:val="95"/>
          <w:sz w:val="14"/>
        </w:rPr>
        <w:t xml:space="preserve"> </w:t>
      </w:r>
      <w:r>
        <w:rPr>
          <w:w w:val="95"/>
          <w:sz w:val="14"/>
        </w:rPr>
        <w:t>of</w:t>
      </w:r>
      <w:r>
        <w:rPr>
          <w:spacing w:val="-2"/>
          <w:w w:val="95"/>
          <w:sz w:val="14"/>
        </w:rPr>
        <w:t xml:space="preserve"> Statistics.</w:t>
      </w:r>
    </w:p>
    <w:p w:rsidR="002C1123" w:rsidRDefault="00F22F94">
      <w:pPr>
        <w:pStyle w:val="ListParagraph"/>
        <w:numPr>
          <w:ilvl w:val="1"/>
          <w:numId w:val="146"/>
        </w:numPr>
        <w:tabs>
          <w:tab w:val="left" w:pos="567"/>
        </w:tabs>
        <w:ind w:right="755"/>
        <w:jc w:val="left"/>
        <w:rPr>
          <w:sz w:val="14"/>
        </w:rPr>
      </w:pPr>
      <w:r>
        <w:rPr>
          <w:w w:val="95"/>
          <w:sz w:val="14"/>
        </w:rPr>
        <w:t>Deloitte Access Economics 2012, The NSW Economy in 2031-32, Report to</w:t>
      </w:r>
      <w:r>
        <w:rPr>
          <w:spacing w:val="40"/>
          <w:sz w:val="14"/>
        </w:rPr>
        <w:t xml:space="preserve"> </w:t>
      </w:r>
      <w:r>
        <w:rPr>
          <w:sz w:val="14"/>
        </w:rPr>
        <w:t>Infrastructure</w:t>
      </w:r>
      <w:r>
        <w:rPr>
          <w:spacing w:val="-10"/>
          <w:sz w:val="14"/>
        </w:rPr>
        <w:t xml:space="preserve"> </w:t>
      </w:r>
      <w:r>
        <w:rPr>
          <w:sz w:val="14"/>
        </w:rPr>
        <w:t>NSW.</w:t>
      </w:r>
    </w:p>
    <w:p w:rsidR="002C1123" w:rsidRDefault="002C1123">
      <w:pPr>
        <w:rPr>
          <w:sz w:val="14"/>
        </w:rPr>
        <w:sectPr w:rsidR="002C1123">
          <w:type w:val="continuous"/>
          <w:pgSz w:w="16840" w:h="11910" w:orient="landscape"/>
          <w:pgMar w:top="560" w:right="280" w:bottom="280" w:left="500" w:header="0" w:footer="517" w:gutter="0"/>
          <w:cols w:num="3" w:space="720" w:equalWidth="0">
            <w:col w:w="5183" w:space="40"/>
            <w:col w:w="4916" w:space="39"/>
            <w:col w:w="5882"/>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ListParagraph"/>
        <w:numPr>
          <w:ilvl w:val="2"/>
          <w:numId w:val="146"/>
        </w:numPr>
        <w:tabs>
          <w:tab w:val="left" w:pos="776"/>
        </w:tabs>
        <w:spacing w:before="93" w:line="249" w:lineRule="auto"/>
        <w:ind w:right="373"/>
        <w:rPr>
          <w:sz w:val="20"/>
        </w:rPr>
      </w:pPr>
      <w:bookmarkStart w:id="65" w:name="_bookmark44"/>
      <w:bookmarkEnd w:id="65"/>
      <w:r>
        <w:rPr>
          <w:w w:val="95"/>
          <w:sz w:val="20"/>
        </w:rPr>
        <w:t>Sydney</w:t>
      </w:r>
      <w:r>
        <w:rPr>
          <w:spacing w:val="-12"/>
          <w:w w:val="95"/>
          <w:sz w:val="20"/>
        </w:rPr>
        <w:t xml:space="preserve"> </w:t>
      </w:r>
      <w:r>
        <w:rPr>
          <w:w w:val="95"/>
          <w:sz w:val="20"/>
        </w:rPr>
        <w:t>is</w:t>
      </w:r>
      <w:r>
        <w:rPr>
          <w:spacing w:val="-11"/>
          <w:w w:val="95"/>
          <w:sz w:val="20"/>
        </w:rPr>
        <w:t xml:space="preserve"> </w:t>
      </w:r>
      <w:r>
        <w:rPr>
          <w:w w:val="95"/>
          <w:sz w:val="20"/>
        </w:rPr>
        <w:t>Australia’s</w:t>
      </w:r>
      <w:r>
        <w:rPr>
          <w:spacing w:val="-11"/>
          <w:w w:val="95"/>
          <w:sz w:val="20"/>
        </w:rPr>
        <w:t xml:space="preserve"> </w:t>
      </w:r>
      <w:r>
        <w:rPr>
          <w:w w:val="95"/>
          <w:sz w:val="20"/>
        </w:rPr>
        <w:t>only</w:t>
      </w:r>
      <w:r>
        <w:rPr>
          <w:spacing w:val="-11"/>
          <w:w w:val="95"/>
          <w:sz w:val="20"/>
        </w:rPr>
        <w:t xml:space="preserve"> </w:t>
      </w:r>
      <w:r>
        <w:rPr>
          <w:w w:val="95"/>
          <w:sz w:val="20"/>
        </w:rPr>
        <w:t>global</w:t>
      </w:r>
      <w:r>
        <w:rPr>
          <w:spacing w:val="-11"/>
          <w:w w:val="95"/>
          <w:sz w:val="20"/>
        </w:rPr>
        <w:t xml:space="preserve"> </w:t>
      </w:r>
      <w:r>
        <w:rPr>
          <w:w w:val="95"/>
          <w:sz w:val="20"/>
        </w:rPr>
        <w:t>city.</w:t>
      </w:r>
      <w:r>
        <w:rPr>
          <w:spacing w:val="-11"/>
          <w:w w:val="95"/>
          <w:sz w:val="20"/>
        </w:rPr>
        <w:t xml:space="preserve"> </w:t>
      </w:r>
      <w:r>
        <w:rPr>
          <w:w w:val="95"/>
          <w:sz w:val="20"/>
        </w:rPr>
        <w:t>Its</w:t>
      </w:r>
      <w:r>
        <w:rPr>
          <w:spacing w:val="-11"/>
          <w:w w:val="95"/>
          <w:sz w:val="20"/>
        </w:rPr>
        <w:t xml:space="preserve"> </w:t>
      </w:r>
      <w:r>
        <w:rPr>
          <w:w w:val="95"/>
          <w:sz w:val="20"/>
        </w:rPr>
        <w:t>economy is</w:t>
      </w:r>
      <w:r>
        <w:rPr>
          <w:spacing w:val="-4"/>
          <w:w w:val="95"/>
          <w:sz w:val="20"/>
        </w:rPr>
        <w:t xml:space="preserve"> </w:t>
      </w:r>
      <w:r>
        <w:rPr>
          <w:w w:val="95"/>
          <w:sz w:val="20"/>
        </w:rPr>
        <w:t>the</w:t>
      </w:r>
      <w:r>
        <w:rPr>
          <w:spacing w:val="-4"/>
          <w:w w:val="95"/>
          <w:sz w:val="20"/>
        </w:rPr>
        <w:t xml:space="preserve"> </w:t>
      </w:r>
      <w:r>
        <w:rPr>
          <w:w w:val="95"/>
          <w:sz w:val="20"/>
        </w:rPr>
        <w:t>sixteenth</w:t>
      </w:r>
      <w:r>
        <w:rPr>
          <w:spacing w:val="-4"/>
          <w:w w:val="95"/>
          <w:sz w:val="20"/>
        </w:rPr>
        <w:t xml:space="preserve"> </w:t>
      </w:r>
      <w:r>
        <w:rPr>
          <w:w w:val="95"/>
          <w:sz w:val="20"/>
        </w:rPr>
        <w:t>largest</w:t>
      </w:r>
      <w:r>
        <w:rPr>
          <w:spacing w:val="-4"/>
          <w:w w:val="95"/>
          <w:sz w:val="20"/>
        </w:rPr>
        <w:t xml:space="preserve"> </w:t>
      </w:r>
      <w:r>
        <w:rPr>
          <w:w w:val="95"/>
          <w:sz w:val="20"/>
        </w:rPr>
        <w:t>city</w:t>
      </w:r>
      <w:r>
        <w:rPr>
          <w:spacing w:val="-4"/>
          <w:w w:val="95"/>
          <w:sz w:val="20"/>
        </w:rPr>
        <w:t xml:space="preserve"> </w:t>
      </w:r>
      <w:r>
        <w:rPr>
          <w:w w:val="95"/>
          <w:sz w:val="20"/>
        </w:rPr>
        <w:t>economy</w:t>
      </w:r>
      <w:r>
        <w:rPr>
          <w:spacing w:val="-4"/>
          <w:w w:val="95"/>
          <w:sz w:val="20"/>
        </w:rPr>
        <w:t xml:space="preserve"> </w:t>
      </w:r>
      <w:r>
        <w:rPr>
          <w:w w:val="95"/>
          <w:sz w:val="20"/>
        </w:rPr>
        <w:t>in</w:t>
      </w:r>
      <w:r>
        <w:rPr>
          <w:spacing w:val="-4"/>
          <w:w w:val="95"/>
          <w:sz w:val="20"/>
        </w:rPr>
        <w:t xml:space="preserve"> </w:t>
      </w:r>
      <w:r>
        <w:rPr>
          <w:w w:val="95"/>
          <w:sz w:val="20"/>
        </w:rPr>
        <w:t>the</w:t>
      </w:r>
      <w:r>
        <w:rPr>
          <w:spacing w:val="-4"/>
          <w:w w:val="95"/>
          <w:sz w:val="20"/>
        </w:rPr>
        <w:t xml:space="preserve"> </w:t>
      </w:r>
      <w:r>
        <w:rPr>
          <w:w w:val="95"/>
          <w:sz w:val="20"/>
        </w:rPr>
        <w:t>world,</w:t>
      </w:r>
    </w:p>
    <w:p w:rsidR="002C1123" w:rsidRDefault="00F22F94">
      <w:pPr>
        <w:pStyle w:val="BodyText"/>
        <w:spacing w:before="1" w:line="249" w:lineRule="auto"/>
        <w:ind w:left="775" w:hanging="1"/>
      </w:pPr>
      <w:r>
        <w:rPr>
          <w:w w:val="95"/>
        </w:rPr>
        <w:t>ahead of major cities like Singapore and Hong Kong</w:t>
      </w:r>
      <w:r>
        <w:rPr>
          <w:w w:val="95"/>
          <w:position w:val="7"/>
          <w:sz w:val="11"/>
        </w:rPr>
        <w:t>4</w:t>
      </w:r>
      <w:r>
        <w:rPr>
          <w:spacing w:val="40"/>
          <w:position w:val="7"/>
          <w:sz w:val="11"/>
        </w:rPr>
        <w:t xml:space="preserve"> </w:t>
      </w:r>
      <w:r>
        <w:rPr>
          <w:w w:val="95"/>
        </w:rPr>
        <w:t>and</w:t>
      </w:r>
      <w:r>
        <w:rPr>
          <w:spacing w:val="-5"/>
          <w:w w:val="95"/>
        </w:rPr>
        <w:t xml:space="preserve"> </w:t>
      </w:r>
      <w:r>
        <w:rPr>
          <w:w w:val="95"/>
        </w:rPr>
        <w:t>is</w:t>
      </w:r>
      <w:r>
        <w:rPr>
          <w:spacing w:val="-5"/>
          <w:w w:val="95"/>
        </w:rPr>
        <w:t xml:space="preserve"> </w:t>
      </w:r>
      <w:r>
        <w:rPr>
          <w:w w:val="95"/>
        </w:rPr>
        <w:t>a</w:t>
      </w:r>
      <w:r>
        <w:rPr>
          <w:spacing w:val="-5"/>
          <w:w w:val="95"/>
        </w:rPr>
        <w:t xml:space="preserve"> </w:t>
      </w:r>
      <w:r>
        <w:rPr>
          <w:w w:val="95"/>
        </w:rPr>
        <w:t>key</w:t>
      </w:r>
      <w:r>
        <w:rPr>
          <w:spacing w:val="-5"/>
          <w:w w:val="95"/>
        </w:rPr>
        <w:t xml:space="preserve"> </w:t>
      </w:r>
      <w:r>
        <w:rPr>
          <w:w w:val="95"/>
        </w:rPr>
        <w:t>driver</w:t>
      </w:r>
      <w:r>
        <w:rPr>
          <w:spacing w:val="-5"/>
          <w:w w:val="95"/>
        </w:rPr>
        <w:t xml:space="preserve"> </w:t>
      </w:r>
      <w:r>
        <w:rPr>
          <w:w w:val="95"/>
        </w:rPr>
        <w:t>of</w:t>
      </w:r>
      <w:r>
        <w:rPr>
          <w:spacing w:val="-5"/>
          <w:w w:val="95"/>
        </w:rPr>
        <w:t xml:space="preserve"> </w:t>
      </w:r>
      <w:r>
        <w:rPr>
          <w:w w:val="95"/>
        </w:rPr>
        <w:t>national</w:t>
      </w:r>
      <w:r>
        <w:rPr>
          <w:spacing w:val="-5"/>
          <w:w w:val="95"/>
        </w:rPr>
        <w:t xml:space="preserve"> </w:t>
      </w:r>
      <w:r>
        <w:rPr>
          <w:w w:val="95"/>
        </w:rPr>
        <w:t>economic</w:t>
      </w:r>
      <w:r>
        <w:rPr>
          <w:spacing w:val="-5"/>
          <w:w w:val="95"/>
        </w:rPr>
        <w:t xml:space="preserve"> </w:t>
      </w:r>
      <w:r>
        <w:rPr>
          <w:w w:val="95"/>
        </w:rPr>
        <w:t>performance.</w:t>
      </w:r>
    </w:p>
    <w:p w:rsidR="002C1123" w:rsidRDefault="00F22F94">
      <w:pPr>
        <w:pStyle w:val="ListParagraph"/>
        <w:numPr>
          <w:ilvl w:val="2"/>
          <w:numId w:val="146"/>
        </w:numPr>
        <w:tabs>
          <w:tab w:val="left" w:pos="776"/>
        </w:tabs>
        <w:spacing w:before="131" w:line="249" w:lineRule="auto"/>
        <w:rPr>
          <w:sz w:val="20"/>
        </w:rPr>
      </w:pPr>
      <w:r>
        <w:rPr>
          <w:w w:val="95"/>
          <w:sz w:val="20"/>
        </w:rPr>
        <w:t>Sydney</w:t>
      </w:r>
      <w:r>
        <w:rPr>
          <w:spacing w:val="-8"/>
          <w:w w:val="95"/>
          <w:sz w:val="20"/>
        </w:rPr>
        <w:t xml:space="preserve"> </w:t>
      </w:r>
      <w:r>
        <w:rPr>
          <w:w w:val="95"/>
          <w:sz w:val="20"/>
        </w:rPr>
        <w:t>is</w:t>
      </w:r>
      <w:r>
        <w:rPr>
          <w:spacing w:val="-8"/>
          <w:w w:val="95"/>
          <w:sz w:val="20"/>
        </w:rPr>
        <w:t xml:space="preserve"> </w:t>
      </w:r>
      <w:r>
        <w:rPr>
          <w:w w:val="95"/>
          <w:sz w:val="20"/>
        </w:rPr>
        <w:t>critically</w:t>
      </w:r>
      <w:r>
        <w:rPr>
          <w:spacing w:val="-8"/>
          <w:w w:val="95"/>
          <w:sz w:val="20"/>
        </w:rPr>
        <w:t xml:space="preserve"> </w:t>
      </w:r>
      <w:r>
        <w:rPr>
          <w:w w:val="95"/>
          <w:sz w:val="20"/>
        </w:rPr>
        <w:t>important</w:t>
      </w:r>
      <w:r>
        <w:rPr>
          <w:spacing w:val="-8"/>
          <w:w w:val="95"/>
          <w:sz w:val="20"/>
        </w:rPr>
        <w:t xml:space="preserve"> </w:t>
      </w:r>
      <w:r>
        <w:rPr>
          <w:w w:val="95"/>
          <w:sz w:val="20"/>
        </w:rPr>
        <w:t>to</w:t>
      </w:r>
      <w:r>
        <w:rPr>
          <w:spacing w:val="-8"/>
          <w:w w:val="95"/>
          <w:sz w:val="20"/>
        </w:rPr>
        <w:t xml:space="preserve"> </w:t>
      </w:r>
      <w:r>
        <w:rPr>
          <w:w w:val="95"/>
          <w:sz w:val="20"/>
        </w:rPr>
        <w:t>NSW</w:t>
      </w:r>
      <w:r>
        <w:rPr>
          <w:spacing w:val="-8"/>
          <w:w w:val="95"/>
          <w:sz w:val="20"/>
        </w:rPr>
        <w:t xml:space="preserve"> </w:t>
      </w:r>
      <w:r>
        <w:rPr>
          <w:w w:val="95"/>
          <w:sz w:val="20"/>
        </w:rPr>
        <w:t>and</w:t>
      </w:r>
      <w:r>
        <w:rPr>
          <w:spacing w:val="-8"/>
          <w:w w:val="95"/>
          <w:sz w:val="20"/>
        </w:rPr>
        <w:t xml:space="preserve"> </w:t>
      </w:r>
      <w:r>
        <w:rPr>
          <w:w w:val="95"/>
          <w:sz w:val="20"/>
        </w:rPr>
        <w:t>to</w:t>
      </w:r>
      <w:r>
        <w:rPr>
          <w:spacing w:val="-8"/>
          <w:w w:val="95"/>
          <w:sz w:val="20"/>
        </w:rPr>
        <w:t xml:space="preserve"> </w:t>
      </w:r>
      <w:r>
        <w:rPr>
          <w:w w:val="95"/>
          <w:sz w:val="20"/>
        </w:rPr>
        <w:t xml:space="preserve">Australia, </w:t>
      </w:r>
      <w:r>
        <w:rPr>
          <w:sz w:val="20"/>
        </w:rPr>
        <w:t>contributing</w:t>
      </w:r>
      <w:r>
        <w:rPr>
          <w:spacing w:val="-7"/>
          <w:sz w:val="20"/>
        </w:rPr>
        <w:t xml:space="preserve"> </w:t>
      </w:r>
      <w:r>
        <w:rPr>
          <w:sz w:val="20"/>
        </w:rPr>
        <w:t>75</w:t>
      </w:r>
      <w:r>
        <w:rPr>
          <w:spacing w:val="-7"/>
          <w:sz w:val="20"/>
        </w:rPr>
        <w:t xml:space="preserve"> </w:t>
      </w:r>
      <w:r>
        <w:rPr>
          <w:sz w:val="20"/>
        </w:rPr>
        <w:t>percent</w:t>
      </w:r>
      <w:r>
        <w:rPr>
          <w:spacing w:val="-7"/>
          <w:sz w:val="20"/>
        </w:rPr>
        <w:t xml:space="preserve"> </w:t>
      </w:r>
      <w:r>
        <w:rPr>
          <w:sz w:val="20"/>
        </w:rPr>
        <w:t>of</w:t>
      </w:r>
      <w:r>
        <w:rPr>
          <w:spacing w:val="-7"/>
          <w:sz w:val="20"/>
        </w:rPr>
        <w:t xml:space="preserve"> </w:t>
      </w:r>
      <w:r>
        <w:rPr>
          <w:sz w:val="20"/>
        </w:rPr>
        <w:t>NSW’s</w:t>
      </w:r>
      <w:r>
        <w:rPr>
          <w:spacing w:val="-7"/>
          <w:sz w:val="20"/>
        </w:rPr>
        <w:t xml:space="preserve"> </w:t>
      </w:r>
      <w:r>
        <w:rPr>
          <w:sz w:val="20"/>
        </w:rPr>
        <w:t>GSP</w:t>
      </w:r>
      <w:r>
        <w:rPr>
          <w:spacing w:val="-7"/>
          <w:sz w:val="20"/>
        </w:rPr>
        <w:t xml:space="preserve"> </w:t>
      </w:r>
      <w:r>
        <w:rPr>
          <w:sz w:val="20"/>
        </w:rPr>
        <w:t>and</w:t>
      </w:r>
      <w:r>
        <w:rPr>
          <w:spacing w:val="-7"/>
          <w:sz w:val="20"/>
        </w:rPr>
        <w:t xml:space="preserve"> </w:t>
      </w:r>
      <w:r>
        <w:rPr>
          <w:sz w:val="20"/>
        </w:rPr>
        <w:t xml:space="preserve">24 </w:t>
      </w:r>
      <w:r>
        <w:rPr>
          <w:spacing w:val="-2"/>
          <w:sz w:val="20"/>
        </w:rPr>
        <w:t>percent</w:t>
      </w:r>
      <w:r>
        <w:rPr>
          <w:spacing w:val="-11"/>
          <w:sz w:val="20"/>
        </w:rPr>
        <w:t xml:space="preserve"> </w:t>
      </w:r>
      <w:r>
        <w:rPr>
          <w:spacing w:val="-2"/>
          <w:sz w:val="20"/>
        </w:rPr>
        <w:t>of</w:t>
      </w:r>
      <w:r>
        <w:rPr>
          <w:spacing w:val="-11"/>
          <w:sz w:val="20"/>
        </w:rPr>
        <w:t xml:space="preserve"> </w:t>
      </w:r>
      <w:r>
        <w:rPr>
          <w:spacing w:val="-2"/>
          <w:sz w:val="20"/>
        </w:rPr>
        <w:t>Australia’s</w:t>
      </w:r>
      <w:r>
        <w:rPr>
          <w:spacing w:val="-11"/>
          <w:sz w:val="20"/>
        </w:rPr>
        <w:t xml:space="preserve"> </w:t>
      </w:r>
      <w:r>
        <w:rPr>
          <w:spacing w:val="-2"/>
          <w:sz w:val="20"/>
        </w:rPr>
        <w:t>GDP.</w:t>
      </w:r>
      <w:r>
        <w:rPr>
          <w:spacing w:val="-11"/>
          <w:sz w:val="20"/>
        </w:rPr>
        <w:t xml:space="preserve"> </w:t>
      </w:r>
      <w:r>
        <w:rPr>
          <w:spacing w:val="-2"/>
          <w:sz w:val="20"/>
        </w:rPr>
        <w:t>Within</w:t>
      </w:r>
      <w:r>
        <w:rPr>
          <w:spacing w:val="-11"/>
          <w:sz w:val="20"/>
        </w:rPr>
        <w:t xml:space="preserve"> </w:t>
      </w:r>
      <w:r>
        <w:rPr>
          <w:spacing w:val="-2"/>
          <w:sz w:val="20"/>
        </w:rPr>
        <w:t>Sydney,</w:t>
      </w:r>
      <w:r>
        <w:rPr>
          <w:spacing w:val="-11"/>
          <w:sz w:val="20"/>
        </w:rPr>
        <w:t xml:space="preserve"> </w:t>
      </w:r>
      <w:r>
        <w:rPr>
          <w:spacing w:val="-2"/>
          <w:sz w:val="20"/>
        </w:rPr>
        <w:t xml:space="preserve">Global </w:t>
      </w:r>
      <w:r>
        <w:rPr>
          <w:sz w:val="20"/>
        </w:rPr>
        <w:t>Sydney</w:t>
      </w:r>
      <w:r>
        <w:rPr>
          <w:spacing w:val="-8"/>
          <w:sz w:val="20"/>
        </w:rPr>
        <w:t xml:space="preserve"> </w:t>
      </w:r>
      <w:r>
        <w:rPr>
          <w:sz w:val="20"/>
        </w:rPr>
        <w:t>accounts</w:t>
      </w:r>
      <w:r>
        <w:rPr>
          <w:spacing w:val="-8"/>
          <w:sz w:val="20"/>
        </w:rPr>
        <w:t xml:space="preserve"> </w:t>
      </w:r>
      <w:r>
        <w:rPr>
          <w:sz w:val="20"/>
        </w:rPr>
        <w:t>for</w:t>
      </w:r>
      <w:r>
        <w:rPr>
          <w:spacing w:val="-8"/>
          <w:sz w:val="20"/>
        </w:rPr>
        <w:t xml:space="preserve"> </w:t>
      </w:r>
      <w:r>
        <w:rPr>
          <w:sz w:val="20"/>
        </w:rPr>
        <w:t>41</w:t>
      </w:r>
      <w:r>
        <w:rPr>
          <w:spacing w:val="-8"/>
          <w:sz w:val="20"/>
        </w:rPr>
        <w:t xml:space="preserve"> </w:t>
      </w:r>
      <w:r>
        <w:rPr>
          <w:sz w:val="20"/>
        </w:rPr>
        <w:t>percent</w:t>
      </w:r>
      <w:r>
        <w:rPr>
          <w:spacing w:val="-8"/>
          <w:sz w:val="20"/>
        </w:rPr>
        <w:t xml:space="preserve"> </w:t>
      </w:r>
      <w:r>
        <w:rPr>
          <w:sz w:val="20"/>
        </w:rPr>
        <w:t>of</w:t>
      </w:r>
      <w:r>
        <w:rPr>
          <w:spacing w:val="-8"/>
          <w:sz w:val="20"/>
        </w:rPr>
        <w:t xml:space="preserve"> </w:t>
      </w:r>
      <w:r>
        <w:rPr>
          <w:sz w:val="20"/>
        </w:rPr>
        <w:t>NSW’s</w:t>
      </w:r>
      <w:r>
        <w:rPr>
          <w:spacing w:val="-8"/>
          <w:sz w:val="20"/>
        </w:rPr>
        <w:t xml:space="preserve"> </w:t>
      </w:r>
      <w:r>
        <w:rPr>
          <w:sz w:val="20"/>
        </w:rPr>
        <w:t>output.</w:t>
      </w:r>
    </w:p>
    <w:p w:rsidR="002C1123" w:rsidRDefault="00F22F94">
      <w:pPr>
        <w:pStyle w:val="ListParagraph"/>
        <w:numPr>
          <w:ilvl w:val="2"/>
          <w:numId w:val="146"/>
        </w:numPr>
        <w:tabs>
          <w:tab w:val="left" w:pos="776"/>
        </w:tabs>
        <w:spacing w:before="133" w:line="249" w:lineRule="auto"/>
        <w:ind w:right="251"/>
        <w:jc w:val="both"/>
        <w:rPr>
          <w:sz w:val="20"/>
        </w:rPr>
      </w:pPr>
      <w:r>
        <w:rPr>
          <w:w w:val="95"/>
          <w:sz w:val="20"/>
        </w:rPr>
        <w:t>NSW</w:t>
      </w:r>
      <w:r>
        <w:rPr>
          <w:spacing w:val="-7"/>
          <w:w w:val="95"/>
          <w:sz w:val="20"/>
        </w:rPr>
        <w:t xml:space="preserve"> </w:t>
      </w:r>
      <w:r>
        <w:rPr>
          <w:w w:val="95"/>
          <w:sz w:val="20"/>
        </w:rPr>
        <w:t>has</w:t>
      </w:r>
      <w:r>
        <w:rPr>
          <w:spacing w:val="-7"/>
          <w:w w:val="95"/>
          <w:sz w:val="20"/>
        </w:rPr>
        <w:t xml:space="preserve"> </w:t>
      </w:r>
      <w:r>
        <w:rPr>
          <w:w w:val="95"/>
          <w:sz w:val="20"/>
        </w:rPr>
        <w:t>experienced</w:t>
      </w:r>
      <w:r>
        <w:rPr>
          <w:spacing w:val="-7"/>
          <w:w w:val="95"/>
          <w:sz w:val="20"/>
        </w:rPr>
        <w:t xml:space="preserve"> </w:t>
      </w:r>
      <w:r>
        <w:rPr>
          <w:w w:val="95"/>
          <w:sz w:val="20"/>
        </w:rPr>
        <w:t>large</w:t>
      </w:r>
      <w:r>
        <w:rPr>
          <w:spacing w:val="-7"/>
          <w:w w:val="95"/>
          <w:sz w:val="20"/>
        </w:rPr>
        <w:t xml:space="preserve"> </w:t>
      </w:r>
      <w:r>
        <w:rPr>
          <w:w w:val="95"/>
          <w:sz w:val="20"/>
        </w:rPr>
        <w:t>growth</w:t>
      </w:r>
      <w:r>
        <w:rPr>
          <w:spacing w:val="-7"/>
          <w:w w:val="95"/>
          <w:sz w:val="20"/>
        </w:rPr>
        <w:t xml:space="preserve"> </w:t>
      </w:r>
      <w:r>
        <w:rPr>
          <w:w w:val="95"/>
          <w:sz w:val="20"/>
        </w:rPr>
        <w:t>of</w:t>
      </w:r>
      <w:r>
        <w:rPr>
          <w:spacing w:val="-7"/>
          <w:w w:val="95"/>
          <w:sz w:val="20"/>
        </w:rPr>
        <w:t xml:space="preserve"> </w:t>
      </w:r>
      <w:r>
        <w:rPr>
          <w:w w:val="95"/>
          <w:sz w:val="20"/>
        </w:rPr>
        <w:t>the</w:t>
      </w:r>
      <w:r>
        <w:rPr>
          <w:spacing w:val="-7"/>
          <w:w w:val="95"/>
          <w:sz w:val="20"/>
        </w:rPr>
        <w:t xml:space="preserve"> </w:t>
      </w:r>
      <w:r>
        <w:rPr>
          <w:w w:val="95"/>
          <w:sz w:val="20"/>
        </w:rPr>
        <w:t>financial services</w:t>
      </w:r>
      <w:r>
        <w:rPr>
          <w:spacing w:val="-4"/>
          <w:w w:val="95"/>
          <w:sz w:val="20"/>
        </w:rPr>
        <w:t xml:space="preserve"> </w:t>
      </w:r>
      <w:r>
        <w:rPr>
          <w:w w:val="95"/>
          <w:sz w:val="20"/>
        </w:rPr>
        <w:t>sector</w:t>
      </w:r>
      <w:r>
        <w:rPr>
          <w:spacing w:val="-4"/>
          <w:w w:val="95"/>
          <w:sz w:val="20"/>
        </w:rPr>
        <w:t xml:space="preserve"> </w:t>
      </w:r>
      <w:r>
        <w:rPr>
          <w:w w:val="95"/>
          <w:sz w:val="20"/>
        </w:rPr>
        <w:t>where</w:t>
      </w:r>
      <w:r>
        <w:rPr>
          <w:spacing w:val="-4"/>
          <w:w w:val="95"/>
          <w:sz w:val="20"/>
        </w:rPr>
        <w:t xml:space="preserve"> </w:t>
      </w:r>
      <w:r>
        <w:rPr>
          <w:w w:val="95"/>
          <w:sz w:val="20"/>
        </w:rPr>
        <w:t>NSW</w:t>
      </w:r>
      <w:r>
        <w:rPr>
          <w:spacing w:val="-4"/>
          <w:w w:val="95"/>
          <w:sz w:val="20"/>
        </w:rPr>
        <w:t xml:space="preserve"> </w:t>
      </w:r>
      <w:r>
        <w:rPr>
          <w:w w:val="95"/>
          <w:sz w:val="20"/>
        </w:rPr>
        <w:t>has</w:t>
      </w:r>
      <w:r>
        <w:rPr>
          <w:spacing w:val="-4"/>
          <w:w w:val="95"/>
          <w:sz w:val="20"/>
        </w:rPr>
        <w:t xml:space="preserve"> </w:t>
      </w:r>
      <w:r>
        <w:rPr>
          <w:w w:val="95"/>
          <w:sz w:val="20"/>
        </w:rPr>
        <w:t>a</w:t>
      </w:r>
      <w:r>
        <w:rPr>
          <w:spacing w:val="-4"/>
          <w:w w:val="95"/>
          <w:sz w:val="20"/>
        </w:rPr>
        <w:t xml:space="preserve"> </w:t>
      </w:r>
      <w:r>
        <w:rPr>
          <w:w w:val="95"/>
          <w:sz w:val="20"/>
        </w:rPr>
        <w:t>historic</w:t>
      </w:r>
      <w:r>
        <w:rPr>
          <w:spacing w:val="-4"/>
          <w:w w:val="95"/>
          <w:sz w:val="20"/>
        </w:rPr>
        <w:t xml:space="preserve"> </w:t>
      </w:r>
      <w:r>
        <w:rPr>
          <w:w w:val="95"/>
          <w:sz w:val="20"/>
        </w:rPr>
        <w:t xml:space="preserve">strength </w:t>
      </w:r>
      <w:r>
        <w:rPr>
          <w:sz w:val="20"/>
        </w:rPr>
        <w:t>(accounting</w:t>
      </w:r>
      <w:r>
        <w:rPr>
          <w:spacing w:val="-8"/>
          <w:sz w:val="20"/>
        </w:rPr>
        <w:t xml:space="preserve"> </w:t>
      </w:r>
      <w:r>
        <w:rPr>
          <w:sz w:val="20"/>
        </w:rPr>
        <w:t>16</w:t>
      </w:r>
      <w:r>
        <w:rPr>
          <w:spacing w:val="-8"/>
          <w:sz w:val="20"/>
        </w:rPr>
        <w:t xml:space="preserve"> </w:t>
      </w:r>
      <w:r>
        <w:rPr>
          <w:sz w:val="20"/>
        </w:rPr>
        <w:t>percent</w:t>
      </w:r>
      <w:r>
        <w:rPr>
          <w:spacing w:val="-8"/>
          <w:sz w:val="20"/>
        </w:rPr>
        <w:t xml:space="preserve"> </w:t>
      </w:r>
      <w:r>
        <w:rPr>
          <w:sz w:val="20"/>
        </w:rPr>
        <w:t>of</w:t>
      </w:r>
      <w:r>
        <w:rPr>
          <w:spacing w:val="-8"/>
          <w:sz w:val="20"/>
        </w:rPr>
        <w:t xml:space="preserve"> </w:t>
      </w:r>
      <w:r>
        <w:rPr>
          <w:sz w:val="20"/>
        </w:rPr>
        <w:t>GSP</w:t>
      </w:r>
      <w:r>
        <w:rPr>
          <w:spacing w:val="-8"/>
          <w:sz w:val="20"/>
        </w:rPr>
        <w:t xml:space="preserve"> </w:t>
      </w:r>
      <w:r>
        <w:rPr>
          <w:sz w:val="20"/>
        </w:rPr>
        <w:t>in</w:t>
      </w:r>
      <w:r>
        <w:rPr>
          <w:spacing w:val="-8"/>
          <w:sz w:val="20"/>
        </w:rPr>
        <w:t xml:space="preserve"> </w:t>
      </w:r>
      <w:r>
        <w:rPr>
          <w:sz w:val="20"/>
        </w:rPr>
        <w:t>2009)</w:t>
      </w:r>
      <w:r>
        <w:rPr>
          <w:position w:val="7"/>
          <w:sz w:val="11"/>
        </w:rPr>
        <w:t>5</w:t>
      </w:r>
      <w:r>
        <w:rPr>
          <w:sz w:val="20"/>
        </w:rPr>
        <w:t>.</w:t>
      </w:r>
    </w:p>
    <w:p w:rsidR="002C1123" w:rsidRDefault="00F22F94">
      <w:pPr>
        <w:pStyle w:val="ListParagraph"/>
        <w:numPr>
          <w:ilvl w:val="2"/>
          <w:numId w:val="146"/>
        </w:numPr>
        <w:tabs>
          <w:tab w:val="left" w:pos="776"/>
        </w:tabs>
        <w:spacing w:before="131"/>
        <w:rPr>
          <w:sz w:val="20"/>
        </w:rPr>
      </w:pPr>
      <w:r>
        <w:rPr>
          <w:w w:val="95"/>
          <w:sz w:val="20"/>
        </w:rPr>
        <w:t>Key</w:t>
      </w:r>
      <w:r>
        <w:rPr>
          <w:spacing w:val="-2"/>
          <w:w w:val="95"/>
          <w:sz w:val="20"/>
        </w:rPr>
        <w:t xml:space="preserve"> </w:t>
      </w:r>
      <w:r>
        <w:rPr>
          <w:w w:val="95"/>
          <w:sz w:val="20"/>
        </w:rPr>
        <w:t>economic</w:t>
      </w:r>
      <w:r>
        <w:rPr>
          <w:spacing w:val="-1"/>
          <w:w w:val="95"/>
          <w:sz w:val="20"/>
        </w:rPr>
        <w:t xml:space="preserve"> </w:t>
      </w:r>
      <w:r>
        <w:rPr>
          <w:w w:val="95"/>
          <w:sz w:val="20"/>
        </w:rPr>
        <w:t>centres</w:t>
      </w:r>
      <w:r>
        <w:rPr>
          <w:spacing w:val="-1"/>
          <w:w w:val="95"/>
          <w:sz w:val="20"/>
        </w:rPr>
        <w:t xml:space="preserve"> </w:t>
      </w:r>
      <w:r>
        <w:rPr>
          <w:spacing w:val="-2"/>
          <w:w w:val="95"/>
          <w:sz w:val="20"/>
        </w:rPr>
        <w:t>include:</w:t>
      </w:r>
    </w:p>
    <w:p w:rsidR="002C1123" w:rsidRDefault="00F22F94">
      <w:pPr>
        <w:pStyle w:val="ListParagraph"/>
        <w:numPr>
          <w:ilvl w:val="3"/>
          <w:numId w:val="146"/>
        </w:numPr>
        <w:tabs>
          <w:tab w:val="left" w:pos="1059"/>
        </w:tabs>
        <w:spacing w:before="152" w:line="249" w:lineRule="auto"/>
        <w:ind w:right="351"/>
        <w:rPr>
          <w:sz w:val="20"/>
        </w:rPr>
      </w:pPr>
      <w:r>
        <w:rPr>
          <w:w w:val="95"/>
          <w:sz w:val="20"/>
        </w:rPr>
        <w:t>The</w:t>
      </w:r>
      <w:r>
        <w:rPr>
          <w:spacing w:val="-4"/>
          <w:w w:val="95"/>
          <w:sz w:val="20"/>
        </w:rPr>
        <w:t xml:space="preserve"> </w:t>
      </w:r>
      <w:r>
        <w:rPr>
          <w:w w:val="95"/>
          <w:sz w:val="20"/>
        </w:rPr>
        <w:t>largest</w:t>
      </w:r>
      <w:r>
        <w:rPr>
          <w:spacing w:val="-4"/>
          <w:w w:val="95"/>
          <w:sz w:val="20"/>
        </w:rPr>
        <w:t xml:space="preserve"> </w:t>
      </w:r>
      <w:r>
        <w:rPr>
          <w:w w:val="95"/>
          <w:sz w:val="20"/>
        </w:rPr>
        <w:t>coal</w:t>
      </w:r>
      <w:r>
        <w:rPr>
          <w:spacing w:val="-4"/>
          <w:w w:val="95"/>
          <w:sz w:val="20"/>
        </w:rPr>
        <w:t xml:space="preserve"> </w:t>
      </w:r>
      <w:r>
        <w:rPr>
          <w:w w:val="95"/>
          <w:sz w:val="20"/>
        </w:rPr>
        <w:t>export</w:t>
      </w:r>
      <w:r>
        <w:rPr>
          <w:spacing w:val="-4"/>
          <w:w w:val="95"/>
          <w:sz w:val="20"/>
        </w:rPr>
        <w:t xml:space="preserve"> </w:t>
      </w:r>
      <w:r>
        <w:rPr>
          <w:w w:val="95"/>
          <w:sz w:val="20"/>
        </w:rPr>
        <w:t>port</w:t>
      </w:r>
      <w:r>
        <w:rPr>
          <w:spacing w:val="-4"/>
          <w:w w:val="95"/>
          <w:sz w:val="20"/>
        </w:rPr>
        <w:t xml:space="preserve"> </w:t>
      </w:r>
      <w:r>
        <w:rPr>
          <w:w w:val="95"/>
          <w:sz w:val="20"/>
        </w:rPr>
        <w:t>in</w:t>
      </w:r>
      <w:r>
        <w:rPr>
          <w:spacing w:val="-4"/>
          <w:w w:val="95"/>
          <w:sz w:val="20"/>
        </w:rPr>
        <w:t xml:space="preserve"> </w:t>
      </w:r>
      <w:r>
        <w:rPr>
          <w:w w:val="95"/>
          <w:sz w:val="20"/>
        </w:rPr>
        <w:t>the</w:t>
      </w:r>
      <w:r>
        <w:rPr>
          <w:spacing w:val="-4"/>
          <w:w w:val="95"/>
          <w:sz w:val="20"/>
        </w:rPr>
        <w:t xml:space="preserve"> </w:t>
      </w:r>
      <w:r>
        <w:rPr>
          <w:w w:val="95"/>
          <w:sz w:val="20"/>
        </w:rPr>
        <w:t>world</w:t>
      </w:r>
      <w:r>
        <w:rPr>
          <w:spacing w:val="-4"/>
          <w:w w:val="95"/>
          <w:sz w:val="20"/>
        </w:rPr>
        <w:t xml:space="preserve"> </w:t>
      </w:r>
      <w:r>
        <w:rPr>
          <w:w w:val="95"/>
          <w:sz w:val="20"/>
        </w:rPr>
        <w:t>at</w:t>
      </w:r>
      <w:r>
        <w:rPr>
          <w:spacing w:val="-4"/>
          <w:w w:val="95"/>
          <w:sz w:val="20"/>
        </w:rPr>
        <w:t xml:space="preserve"> </w:t>
      </w:r>
      <w:r>
        <w:rPr>
          <w:w w:val="95"/>
          <w:sz w:val="20"/>
        </w:rPr>
        <w:t xml:space="preserve">the </w:t>
      </w:r>
      <w:r>
        <w:rPr>
          <w:sz w:val="20"/>
        </w:rPr>
        <w:t>Port of Newcastle</w:t>
      </w:r>
      <w:r>
        <w:rPr>
          <w:position w:val="7"/>
          <w:sz w:val="11"/>
        </w:rPr>
        <w:t>6</w:t>
      </w:r>
      <w:r>
        <w:rPr>
          <w:sz w:val="20"/>
        </w:rPr>
        <w:t>.</w:t>
      </w:r>
    </w:p>
    <w:p w:rsidR="002C1123" w:rsidRDefault="00F22F94">
      <w:pPr>
        <w:pStyle w:val="ListParagraph"/>
        <w:numPr>
          <w:ilvl w:val="3"/>
          <w:numId w:val="146"/>
        </w:numPr>
        <w:tabs>
          <w:tab w:val="left" w:pos="1059"/>
        </w:tabs>
        <w:spacing w:before="143" w:line="249" w:lineRule="auto"/>
        <w:ind w:right="179"/>
        <w:rPr>
          <w:sz w:val="20"/>
        </w:rPr>
      </w:pPr>
      <w:r>
        <w:rPr>
          <w:w w:val="95"/>
          <w:sz w:val="20"/>
        </w:rPr>
        <w:t>Sydney’s</w:t>
      </w:r>
      <w:r>
        <w:rPr>
          <w:spacing w:val="-1"/>
          <w:w w:val="95"/>
          <w:sz w:val="20"/>
        </w:rPr>
        <w:t xml:space="preserve"> </w:t>
      </w:r>
      <w:r>
        <w:rPr>
          <w:w w:val="95"/>
          <w:sz w:val="20"/>
        </w:rPr>
        <w:t>CBD</w:t>
      </w:r>
      <w:r>
        <w:rPr>
          <w:spacing w:val="-1"/>
          <w:w w:val="95"/>
          <w:sz w:val="20"/>
        </w:rPr>
        <w:t xml:space="preserve"> </w:t>
      </w:r>
      <w:r>
        <w:rPr>
          <w:w w:val="95"/>
          <w:sz w:val="20"/>
        </w:rPr>
        <w:t>-</w:t>
      </w:r>
      <w:r>
        <w:rPr>
          <w:spacing w:val="-1"/>
          <w:w w:val="95"/>
          <w:sz w:val="20"/>
        </w:rPr>
        <w:t xml:space="preserve"> </w:t>
      </w:r>
      <w:r>
        <w:rPr>
          <w:w w:val="95"/>
          <w:sz w:val="20"/>
        </w:rPr>
        <w:t>330,000</w:t>
      </w:r>
      <w:r>
        <w:rPr>
          <w:spacing w:val="-1"/>
          <w:w w:val="95"/>
          <w:sz w:val="20"/>
        </w:rPr>
        <w:t xml:space="preserve"> </w:t>
      </w:r>
      <w:r>
        <w:rPr>
          <w:w w:val="95"/>
          <w:sz w:val="20"/>
        </w:rPr>
        <w:t>people</w:t>
      </w:r>
      <w:r>
        <w:rPr>
          <w:spacing w:val="-1"/>
          <w:w w:val="95"/>
          <w:sz w:val="20"/>
        </w:rPr>
        <w:t xml:space="preserve"> </w:t>
      </w:r>
      <w:r>
        <w:rPr>
          <w:w w:val="95"/>
          <w:sz w:val="20"/>
        </w:rPr>
        <w:t>work</w:t>
      </w:r>
      <w:r>
        <w:rPr>
          <w:spacing w:val="-1"/>
          <w:w w:val="95"/>
          <w:sz w:val="20"/>
        </w:rPr>
        <w:t xml:space="preserve"> </w:t>
      </w:r>
      <w:r>
        <w:rPr>
          <w:w w:val="95"/>
          <w:sz w:val="20"/>
        </w:rPr>
        <w:t>in</w:t>
      </w:r>
      <w:r>
        <w:rPr>
          <w:spacing w:val="-1"/>
          <w:w w:val="95"/>
          <w:sz w:val="20"/>
        </w:rPr>
        <w:t xml:space="preserve"> </w:t>
      </w:r>
      <w:r>
        <w:rPr>
          <w:w w:val="95"/>
          <w:sz w:val="20"/>
        </w:rPr>
        <w:t>the</w:t>
      </w:r>
      <w:r>
        <w:rPr>
          <w:spacing w:val="-1"/>
          <w:w w:val="95"/>
          <w:sz w:val="20"/>
        </w:rPr>
        <w:t xml:space="preserve"> </w:t>
      </w:r>
      <w:r>
        <w:rPr>
          <w:w w:val="95"/>
          <w:sz w:val="20"/>
        </w:rPr>
        <w:t xml:space="preserve">city </w:t>
      </w:r>
      <w:r>
        <w:rPr>
          <w:spacing w:val="-2"/>
          <w:sz w:val="20"/>
        </w:rPr>
        <w:t>centre</w:t>
      </w:r>
      <w:r>
        <w:rPr>
          <w:spacing w:val="-2"/>
          <w:position w:val="7"/>
          <w:sz w:val="11"/>
        </w:rPr>
        <w:t>7</w:t>
      </w:r>
      <w:r>
        <w:rPr>
          <w:spacing w:val="-2"/>
          <w:sz w:val="20"/>
        </w:rPr>
        <w:t>.</w:t>
      </w:r>
    </w:p>
    <w:p w:rsidR="002C1123" w:rsidRDefault="00F22F94">
      <w:pPr>
        <w:pStyle w:val="ListParagraph"/>
        <w:numPr>
          <w:ilvl w:val="3"/>
          <w:numId w:val="146"/>
        </w:numPr>
        <w:tabs>
          <w:tab w:val="left" w:pos="1059"/>
        </w:tabs>
        <w:spacing w:before="143" w:line="249" w:lineRule="auto"/>
        <w:ind w:left="1059" w:right="9"/>
        <w:rPr>
          <w:sz w:val="20"/>
        </w:rPr>
      </w:pPr>
      <w:r>
        <w:rPr>
          <w:sz w:val="20"/>
        </w:rPr>
        <w:t>Parramatta</w:t>
      </w:r>
      <w:r>
        <w:rPr>
          <w:spacing w:val="-14"/>
          <w:sz w:val="20"/>
        </w:rPr>
        <w:t xml:space="preserve"> </w:t>
      </w:r>
      <w:r>
        <w:rPr>
          <w:sz w:val="20"/>
        </w:rPr>
        <w:t>is</w:t>
      </w:r>
      <w:r>
        <w:rPr>
          <w:spacing w:val="-14"/>
          <w:sz w:val="20"/>
        </w:rPr>
        <w:t xml:space="preserve"> </w:t>
      </w:r>
      <w:r>
        <w:rPr>
          <w:sz w:val="20"/>
        </w:rPr>
        <w:t>Australia’s</w:t>
      </w:r>
      <w:r>
        <w:rPr>
          <w:spacing w:val="-14"/>
          <w:sz w:val="20"/>
        </w:rPr>
        <w:t xml:space="preserve"> </w:t>
      </w:r>
      <w:r>
        <w:rPr>
          <w:sz w:val="20"/>
        </w:rPr>
        <w:t>second</w:t>
      </w:r>
      <w:r>
        <w:rPr>
          <w:spacing w:val="-14"/>
          <w:sz w:val="20"/>
        </w:rPr>
        <w:t xml:space="preserve"> </w:t>
      </w:r>
      <w:r>
        <w:rPr>
          <w:sz w:val="20"/>
        </w:rPr>
        <w:t>fastest</w:t>
      </w:r>
      <w:r>
        <w:rPr>
          <w:spacing w:val="-14"/>
          <w:sz w:val="20"/>
        </w:rPr>
        <w:t xml:space="preserve"> </w:t>
      </w:r>
      <w:r>
        <w:rPr>
          <w:sz w:val="20"/>
        </w:rPr>
        <w:t xml:space="preserve">growing </w:t>
      </w:r>
      <w:r>
        <w:rPr>
          <w:w w:val="95"/>
          <w:sz w:val="20"/>
        </w:rPr>
        <w:t>city</w:t>
      </w:r>
      <w:r>
        <w:rPr>
          <w:spacing w:val="-4"/>
          <w:w w:val="95"/>
          <w:sz w:val="20"/>
        </w:rPr>
        <w:t xml:space="preserve"> </w:t>
      </w:r>
      <w:r>
        <w:rPr>
          <w:w w:val="95"/>
          <w:sz w:val="20"/>
        </w:rPr>
        <w:t>(second</w:t>
      </w:r>
      <w:r>
        <w:rPr>
          <w:spacing w:val="-4"/>
          <w:w w:val="95"/>
          <w:sz w:val="20"/>
        </w:rPr>
        <w:t xml:space="preserve"> </w:t>
      </w:r>
      <w:r>
        <w:rPr>
          <w:w w:val="95"/>
          <w:sz w:val="20"/>
        </w:rPr>
        <w:t>to</w:t>
      </w:r>
      <w:r>
        <w:rPr>
          <w:spacing w:val="-4"/>
          <w:w w:val="95"/>
          <w:sz w:val="20"/>
        </w:rPr>
        <w:t xml:space="preserve"> </w:t>
      </w:r>
      <w:r>
        <w:rPr>
          <w:w w:val="95"/>
          <w:sz w:val="20"/>
        </w:rPr>
        <w:t>Perth)</w:t>
      </w:r>
      <w:r>
        <w:rPr>
          <w:spacing w:val="-4"/>
          <w:w w:val="95"/>
          <w:sz w:val="20"/>
        </w:rPr>
        <w:t xml:space="preserve"> </w:t>
      </w:r>
      <w:r>
        <w:rPr>
          <w:w w:val="95"/>
          <w:sz w:val="20"/>
        </w:rPr>
        <w:t>with</w:t>
      </w:r>
      <w:r>
        <w:rPr>
          <w:spacing w:val="-4"/>
          <w:w w:val="95"/>
          <w:sz w:val="20"/>
        </w:rPr>
        <w:t xml:space="preserve"> </w:t>
      </w:r>
      <w:r>
        <w:rPr>
          <w:w w:val="95"/>
          <w:sz w:val="20"/>
        </w:rPr>
        <w:t>8,000</w:t>
      </w:r>
      <w:r>
        <w:rPr>
          <w:spacing w:val="-4"/>
          <w:w w:val="95"/>
          <w:sz w:val="20"/>
        </w:rPr>
        <w:t xml:space="preserve"> </w:t>
      </w:r>
      <w:r>
        <w:rPr>
          <w:w w:val="95"/>
          <w:sz w:val="20"/>
        </w:rPr>
        <w:t>new</w:t>
      </w:r>
      <w:r>
        <w:rPr>
          <w:spacing w:val="-4"/>
          <w:w w:val="95"/>
          <w:sz w:val="20"/>
        </w:rPr>
        <w:t xml:space="preserve"> </w:t>
      </w:r>
      <w:r>
        <w:rPr>
          <w:w w:val="95"/>
          <w:sz w:val="20"/>
        </w:rPr>
        <w:t>jobs</w:t>
      </w:r>
      <w:r>
        <w:rPr>
          <w:spacing w:val="-4"/>
          <w:w w:val="95"/>
          <w:sz w:val="20"/>
        </w:rPr>
        <w:t xml:space="preserve"> </w:t>
      </w:r>
      <w:r>
        <w:rPr>
          <w:w w:val="95"/>
          <w:sz w:val="20"/>
        </w:rPr>
        <w:t xml:space="preserve">created </w:t>
      </w:r>
      <w:r>
        <w:rPr>
          <w:sz w:val="20"/>
        </w:rPr>
        <w:t>in Parramatta in 2011</w:t>
      </w:r>
      <w:r>
        <w:rPr>
          <w:position w:val="7"/>
          <w:sz w:val="11"/>
        </w:rPr>
        <w:t>8</w:t>
      </w:r>
      <w:r>
        <w:rPr>
          <w:sz w:val="20"/>
        </w:rPr>
        <w:t>.</w:t>
      </w:r>
    </w:p>
    <w:p w:rsidR="002C1123" w:rsidRDefault="00F22F94">
      <w:pPr>
        <w:pStyle w:val="ListParagraph"/>
        <w:numPr>
          <w:ilvl w:val="3"/>
          <w:numId w:val="146"/>
        </w:numPr>
        <w:tabs>
          <w:tab w:val="left" w:pos="1059"/>
        </w:tabs>
        <w:spacing w:before="144" w:line="249" w:lineRule="auto"/>
        <w:ind w:right="136"/>
        <w:rPr>
          <w:sz w:val="20"/>
        </w:rPr>
      </w:pPr>
      <w:r>
        <w:rPr>
          <w:sz w:val="20"/>
        </w:rPr>
        <w:t>Sydney</w:t>
      </w:r>
      <w:r>
        <w:rPr>
          <w:spacing w:val="-10"/>
          <w:sz w:val="20"/>
        </w:rPr>
        <w:t xml:space="preserve"> </w:t>
      </w:r>
      <w:r>
        <w:rPr>
          <w:sz w:val="20"/>
        </w:rPr>
        <w:t>Airport</w:t>
      </w:r>
      <w:r>
        <w:rPr>
          <w:spacing w:val="-10"/>
          <w:sz w:val="20"/>
        </w:rPr>
        <w:t xml:space="preserve"> </w:t>
      </w:r>
      <w:r>
        <w:rPr>
          <w:sz w:val="20"/>
        </w:rPr>
        <w:t>is</w:t>
      </w:r>
      <w:r>
        <w:rPr>
          <w:spacing w:val="-10"/>
          <w:sz w:val="20"/>
        </w:rPr>
        <w:t xml:space="preserve"> </w:t>
      </w:r>
      <w:r>
        <w:rPr>
          <w:sz w:val="20"/>
        </w:rPr>
        <w:t>the</w:t>
      </w:r>
      <w:r>
        <w:rPr>
          <w:spacing w:val="-10"/>
          <w:sz w:val="20"/>
        </w:rPr>
        <w:t xml:space="preserve"> </w:t>
      </w:r>
      <w:r>
        <w:rPr>
          <w:sz w:val="20"/>
        </w:rPr>
        <w:t>primary</w:t>
      </w:r>
      <w:r>
        <w:rPr>
          <w:spacing w:val="-10"/>
          <w:sz w:val="20"/>
        </w:rPr>
        <w:t xml:space="preserve"> </w:t>
      </w:r>
      <w:r>
        <w:rPr>
          <w:sz w:val="20"/>
        </w:rPr>
        <w:t>gateway</w:t>
      </w:r>
      <w:r>
        <w:rPr>
          <w:spacing w:val="-10"/>
          <w:sz w:val="20"/>
        </w:rPr>
        <w:t xml:space="preserve"> </w:t>
      </w:r>
      <w:r>
        <w:rPr>
          <w:sz w:val="20"/>
        </w:rPr>
        <w:t>in</w:t>
      </w:r>
      <w:r>
        <w:rPr>
          <w:spacing w:val="-10"/>
          <w:sz w:val="20"/>
        </w:rPr>
        <w:t xml:space="preserve"> </w:t>
      </w:r>
      <w:r>
        <w:rPr>
          <w:sz w:val="20"/>
        </w:rPr>
        <w:t xml:space="preserve">the </w:t>
      </w:r>
      <w:r>
        <w:rPr>
          <w:spacing w:val="-2"/>
          <w:sz w:val="20"/>
        </w:rPr>
        <w:t>country</w:t>
      </w:r>
      <w:r>
        <w:rPr>
          <w:spacing w:val="-6"/>
          <w:sz w:val="20"/>
        </w:rPr>
        <w:t xml:space="preserve"> </w:t>
      </w:r>
      <w:r>
        <w:rPr>
          <w:spacing w:val="-2"/>
          <w:sz w:val="20"/>
        </w:rPr>
        <w:t>accounting</w:t>
      </w:r>
      <w:r>
        <w:rPr>
          <w:spacing w:val="-6"/>
          <w:sz w:val="20"/>
        </w:rPr>
        <w:t xml:space="preserve"> </w:t>
      </w:r>
      <w:r>
        <w:rPr>
          <w:spacing w:val="-2"/>
          <w:sz w:val="20"/>
        </w:rPr>
        <w:t>for</w:t>
      </w:r>
      <w:r>
        <w:rPr>
          <w:spacing w:val="-6"/>
          <w:sz w:val="20"/>
        </w:rPr>
        <w:t xml:space="preserve"> </w:t>
      </w:r>
      <w:r>
        <w:rPr>
          <w:spacing w:val="-2"/>
          <w:sz w:val="20"/>
        </w:rPr>
        <w:t>46</w:t>
      </w:r>
      <w:r>
        <w:rPr>
          <w:spacing w:val="-6"/>
          <w:sz w:val="20"/>
        </w:rPr>
        <w:t xml:space="preserve"> </w:t>
      </w:r>
      <w:r>
        <w:rPr>
          <w:spacing w:val="-2"/>
          <w:sz w:val="20"/>
        </w:rPr>
        <w:t>percent</w:t>
      </w:r>
      <w:r>
        <w:rPr>
          <w:spacing w:val="-6"/>
          <w:sz w:val="20"/>
        </w:rPr>
        <w:t xml:space="preserve"> </w:t>
      </w:r>
      <w:r>
        <w:rPr>
          <w:spacing w:val="-2"/>
          <w:sz w:val="20"/>
        </w:rPr>
        <w:t>of</w:t>
      </w:r>
      <w:r>
        <w:rPr>
          <w:spacing w:val="-6"/>
          <w:sz w:val="20"/>
        </w:rPr>
        <w:t xml:space="preserve"> </w:t>
      </w:r>
      <w:r>
        <w:rPr>
          <w:spacing w:val="-2"/>
          <w:sz w:val="20"/>
        </w:rPr>
        <w:t>Australia’s international</w:t>
      </w:r>
      <w:r>
        <w:rPr>
          <w:spacing w:val="-7"/>
          <w:sz w:val="20"/>
        </w:rPr>
        <w:t xml:space="preserve"> </w:t>
      </w:r>
      <w:r>
        <w:rPr>
          <w:spacing w:val="-2"/>
          <w:sz w:val="20"/>
        </w:rPr>
        <w:t>passenger</w:t>
      </w:r>
      <w:r>
        <w:rPr>
          <w:spacing w:val="-7"/>
          <w:sz w:val="20"/>
        </w:rPr>
        <w:t xml:space="preserve"> </w:t>
      </w:r>
      <w:r>
        <w:rPr>
          <w:spacing w:val="-2"/>
          <w:sz w:val="20"/>
        </w:rPr>
        <w:t>journeys,</w:t>
      </w:r>
      <w:r>
        <w:rPr>
          <w:spacing w:val="-7"/>
          <w:sz w:val="20"/>
        </w:rPr>
        <w:t xml:space="preserve"> </w:t>
      </w:r>
      <w:r>
        <w:rPr>
          <w:spacing w:val="-2"/>
          <w:sz w:val="20"/>
        </w:rPr>
        <w:t>23</w:t>
      </w:r>
      <w:r>
        <w:rPr>
          <w:spacing w:val="-7"/>
          <w:sz w:val="20"/>
        </w:rPr>
        <w:t xml:space="preserve"> </w:t>
      </w:r>
      <w:r>
        <w:rPr>
          <w:spacing w:val="-2"/>
          <w:sz w:val="20"/>
        </w:rPr>
        <w:t>percent</w:t>
      </w:r>
      <w:r>
        <w:rPr>
          <w:spacing w:val="-7"/>
          <w:sz w:val="20"/>
        </w:rPr>
        <w:t xml:space="preserve"> </w:t>
      </w:r>
      <w:r>
        <w:rPr>
          <w:spacing w:val="-2"/>
          <w:sz w:val="20"/>
        </w:rPr>
        <w:t xml:space="preserve">of </w:t>
      </w:r>
      <w:r>
        <w:rPr>
          <w:w w:val="95"/>
          <w:sz w:val="20"/>
        </w:rPr>
        <w:t>domestic</w:t>
      </w:r>
      <w:r>
        <w:rPr>
          <w:spacing w:val="-1"/>
          <w:w w:val="95"/>
          <w:sz w:val="20"/>
        </w:rPr>
        <w:t xml:space="preserve"> </w:t>
      </w:r>
      <w:r>
        <w:rPr>
          <w:w w:val="95"/>
          <w:sz w:val="20"/>
        </w:rPr>
        <w:t>air</w:t>
      </w:r>
      <w:r>
        <w:rPr>
          <w:spacing w:val="-1"/>
          <w:w w:val="95"/>
          <w:sz w:val="20"/>
        </w:rPr>
        <w:t xml:space="preserve"> </w:t>
      </w:r>
      <w:r>
        <w:rPr>
          <w:w w:val="95"/>
          <w:sz w:val="20"/>
        </w:rPr>
        <w:t>passenger</w:t>
      </w:r>
      <w:r>
        <w:rPr>
          <w:spacing w:val="-1"/>
          <w:w w:val="95"/>
          <w:sz w:val="20"/>
        </w:rPr>
        <w:t xml:space="preserve"> </w:t>
      </w:r>
      <w:r>
        <w:rPr>
          <w:w w:val="95"/>
          <w:sz w:val="20"/>
        </w:rPr>
        <w:t>journeys</w:t>
      </w:r>
      <w:r>
        <w:rPr>
          <w:spacing w:val="-1"/>
          <w:w w:val="95"/>
          <w:sz w:val="20"/>
        </w:rPr>
        <w:t xml:space="preserve"> </w:t>
      </w:r>
      <w:r>
        <w:rPr>
          <w:w w:val="95"/>
          <w:sz w:val="20"/>
        </w:rPr>
        <w:t>and</w:t>
      </w:r>
      <w:r>
        <w:rPr>
          <w:spacing w:val="-1"/>
          <w:w w:val="95"/>
          <w:sz w:val="20"/>
        </w:rPr>
        <w:t xml:space="preserve"> </w:t>
      </w:r>
      <w:r>
        <w:rPr>
          <w:w w:val="95"/>
          <w:sz w:val="20"/>
        </w:rPr>
        <w:t>50</w:t>
      </w:r>
      <w:r>
        <w:rPr>
          <w:spacing w:val="-1"/>
          <w:w w:val="95"/>
          <w:sz w:val="20"/>
        </w:rPr>
        <w:t xml:space="preserve"> </w:t>
      </w:r>
      <w:r>
        <w:rPr>
          <w:w w:val="95"/>
          <w:sz w:val="20"/>
        </w:rPr>
        <w:t xml:space="preserve">percent </w:t>
      </w:r>
      <w:r>
        <w:rPr>
          <w:sz w:val="20"/>
        </w:rPr>
        <w:t>of international air freight</w:t>
      </w:r>
      <w:r>
        <w:rPr>
          <w:position w:val="7"/>
          <w:sz w:val="11"/>
        </w:rPr>
        <w:t>9</w:t>
      </w:r>
      <w:r>
        <w:rPr>
          <w:sz w:val="20"/>
        </w:rPr>
        <w:t>.</w:t>
      </w:r>
    </w:p>
    <w:p w:rsidR="002C1123" w:rsidRDefault="002C1123">
      <w:pPr>
        <w:pStyle w:val="BodyText"/>
      </w:pPr>
    </w:p>
    <w:p w:rsidR="002C1123" w:rsidRDefault="002060EF">
      <w:pPr>
        <w:pStyle w:val="BodyText"/>
        <w:spacing w:before="5"/>
        <w:rPr>
          <w:sz w:val="12"/>
        </w:rPr>
      </w:pPr>
      <w:r>
        <w:pict>
          <v:shape id="docshape265" o:spid="_x0000_s5045" style="position:absolute;margin-left:49.6pt;margin-top:8.4pt;width:1in;height:.1pt;z-index:-251420672;mso-wrap-distance-left:0;mso-wrap-distance-right:0;mso-position-horizontal-relative:page" coordorigin="992,168" coordsize="1440,0" path="m992,168r1440,e" filled="f" strokecolor="#9c9c9d" strokeweight=".5pt">
            <v:path arrowok="t"/>
            <w10:wrap type="topAndBottom" anchorx="page"/>
          </v:shape>
        </w:pict>
      </w:r>
    </w:p>
    <w:p w:rsidR="002C1123" w:rsidRDefault="00F22F94">
      <w:pPr>
        <w:pStyle w:val="ListParagraph"/>
        <w:numPr>
          <w:ilvl w:val="1"/>
          <w:numId w:val="146"/>
        </w:numPr>
        <w:tabs>
          <w:tab w:val="left" w:pos="691"/>
        </w:tabs>
        <w:spacing w:before="23" w:line="161" w:lineRule="exact"/>
        <w:ind w:left="690"/>
        <w:jc w:val="left"/>
        <w:rPr>
          <w:sz w:val="14"/>
        </w:rPr>
      </w:pPr>
      <w:r>
        <w:rPr>
          <w:w w:val="95"/>
          <w:sz w:val="14"/>
        </w:rPr>
        <w:t>McKinsey</w:t>
      </w:r>
      <w:r>
        <w:rPr>
          <w:spacing w:val="1"/>
          <w:sz w:val="14"/>
        </w:rPr>
        <w:t xml:space="preserve"> </w:t>
      </w:r>
      <w:r>
        <w:rPr>
          <w:w w:val="95"/>
          <w:sz w:val="14"/>
        </w:rPr>
        <w:t>Global</w:t>
      </w:r>
      <w:r>
        <w:rPr>
          <w:spacing w:val="2"/>
          <w:sz w:val="14"/>
        </w:rPr>
        <w:t xml:space="preserve"> </w:t>
      </w:r>
      <w:r>
        <w:rPr>
          <w:w w:val="95"/>
          <w:sz w:val="14"/>
        </w:rPr>
        <w:t>Institute</w:t>
      </w:r>
      <w:r>
        <w:rPr>
          <w:spacing w:val="2"/>
          <w:sz w:val="14"/>
        </w:rPr>
        <w:t xml:space="preserve"> </w:t>
      </w:r>
      <w:r>
        <w:rPr>
          <w:w w:val="95"/>
          <w:sz w:val="14"/>
        </w:rPr>
        <w:t>2010,</w:t>
      </w:r>
      <w:r>
        <w:rPr>
          <w:spacing w:val="2"/>
          <w:sz w:val="14"/>
        </w:rPr>
        <w:t xml:space="preserve"> </w:t>
      </w:r>
      <w:r>
        <w:rPr>
          <w:w w:val="95"/>
          <w:sz w:val="14"/>
        </w:rPr>
        <w:t>City</w:t>
      </w:r>
      <w:r>
        <w:rPr>
          <w:spacing w:val="1"/>
          <w:sz w:val="14"/>
        </w:rPr>
        <w:t xml:space="preserve"> </w:t>
      </w:r>
      <w:r>
        <w:rPr>
          <w:w w:val="95"/>
          <w:sz w:val="14"/>
        </w:rPr>
        <w:t>Scope</w:t>
      </w:r>
      <w:r>
        <w:rPr>
          <w:spacing w:val="2"/>
          <w:sz w:val="14"/>
        </w:rPr>
        <w:t xml:space="preserve"> </w:t>
      </w:r>
      <w:r>
        <w:rPr>
          <w:spacing w:val="-2"/>
          <w:w w:val="95"/>
          <w:sz w:val="14"/>
        </w:rPr>
        <w:t>Database.</w:t>
      </w:r>
    </w:p>
    <w:p w:rsidR="002C1123" w:rsidRDefault="00F22F94">
      <w:pPr>
        <w:pStyle w:val="ListParagraph"/>
        <w:numPr>
          <w:ilvl w:val="1"/>
          <w:numId w:val="146"/>
        </w:numPr>
        <w:tabs>
          <w:tab w:val="left" w:pos="691"/>
        </w:tabs>
        <w:ind w:left="690" w:right="61"/>
        <w:jc w:val="left"/>
        <w:rPr>
          <w:sz w:val="14"/>
        </w:rPr>
      </w:pPr>
      <w:r>
        <w:rPr>
          <w:w w:val="95"/>
          <w:sz w:val="14"/>
        </w:rPr>
        <w:t>Deloitte Access Economics 2012, The NSW Economy in 2031-32, Report to</w:t>
      </w:r>
      <w:r>
        <w:rPr>
          <w:spacing w:val="40"/>
          <w:sz w:val="14"/>
        </w:rPr>
        <w:t xml:space="preserve"> </w:t>
      </w:r>
      <w:r>
        <w:rPr>
          <w:sz w:val="14"/>
        </w:rPr>
        <w:t>Infrastructure</w:t>
      </w:r>
      <w:r>
        <w:rPr>
          <w:spacing w:val="-10"/>
          <w:sz w:val="14"/>
        </w:rPr>
        <w:t xml:space="preserve"> </w:t>
      </w:r>
      <w:r>
        <w:rPr>
          <w:sz w:val="14"/>
        </w:rPr>
        <w:t>NSW.</w:t>
      </w:r>
    </w:p>
    <w:p w:rsidR="002C1123" w:rsidRDefault="00F22F94">
      <w:pPr>
        <w:pStyle w:val="ListParagraph"/>
        <w:numPr>
          <w:ilvl w:val="1"/>
          <w:numId w:val="146"/>
        </w:numPr>
        <w:tabs>
          <w:tab w:val="left" w:pos="691"/>
        </w:tabs>
        <w:spacing w:line="159" w:lineRule="exact"/>
        <w:ind w:left="690"/>
        <w:jc w:val="left"/>
        <w:rPr>
          <w:sz w:val="14"/>
        </w:rPr>
      </w:pPr>
      <w:r>
        <w:rPr>
          <w:w w:val="95"/>
          <w:sz w:val="14"/>
        </w:rPr>
        <w:t>Newcastle</w:t>
      </w:r>
      <w:r>
        <w:rPr>
          <w:spacing w:val="7"/>
          <w:sz w:val="14"/>
        </w:rPr>
        <w:t xml:space="preserve"> </w:t>
      </w:r>
      <w:r>
        <w:rPr>
          <w:w w:val="95"/>
          <w:sz w:val="14"/>
        </w:rPr>
        <w:t>Ports</w:t>
      </w:r>
      <w:r>
        <w:rPr>
          <w:spacing w:val="8"/>
          <w:sz w:val="14"/>
        </w:rPr>
        <w:t xml:space="preserve"> </w:t>
      </w:r>
      <w:r>
        <w:rPr>
          <w:spacing w:val="-2"/>
          <w:w w:val="95"/>
          <w:sz w:val="14"/>
        </w:rPr>
        <w:t>Corporation.</w:t>
      </w:r>
    </w:p>
    <w:p w:rsidR="002C1123" w:rsidRDefault="00F22F94">
      <w:pPr>
        <w:pStyle w:val="ListParagraph"/>
        <w:numPr>
          <w:ilvl w:val="1"/>
          <w:numId w:val="146"/>
        </w:numPr>
        <w:tabs>
          <w:tab w:val="left" w:pos="691"/>
        </w:tabs>
        <w:spacing w:line="160" w:lineRule="exact"/>
        <w:ind w:left="690"/>
        <w:jc w:val="left"/>
        <w:rPr>
          <w:sz w:val="14"/>
        </w:rPr>
      </w:pPr>
      <w:r>
        <w:rPr>
          <w:w w:val="90"/>
          <w:sz w:val="14"/>
        </w:rPr>
        <w:t>NSW</w:t>
      </w:r>
      <w:r>
        <w:rPr>
          <w:spacing w:val="3"/>
          <w:sz w:val="14"/>
        </w:rPr>
        <w:t xml:space="preserve"> </w:t>
      </w:r>
      <w:r>
        <w:rPr>
          <w:w w:val="90"/>
          <w:sz w:val="14"/>
        </w:rPr>
        <w:t>Bureau</w:t>
      </w:r>
      <w:r>
        <w:rPr>
          <w:spacing w:val="3"/>
          <w:sz w:val="14"/>
        </w:rPr>
        <w:t xml:space="preserve"> </w:t>
      </w:r>
      <w:r>
        <w:rPr>
          <w:w w:val="90"/>
          <w:sz w:val="14"/>
        </w:rPr>
        <w:t>of</w:t>
      </w:r>
      <w:r>
        <w:rPr>
          <w:spacing w:val="3"/>
          <w:sz w:val="14"/>
        </w:rPr>
        <w:t xml:space="preserve"> </w:t>
      </w:r>
      <w:r>
        <w:rPr>
          <w:w w:val="90"/>
          <w:sz w:val="14"/>
        </w:rPr>
        <w:t>Transport</w:t>
      </w:r>
      <w:r>
        <w:rPr>
          <w:spacing w:val="3"/>
          <w:sz w:val="14"/>
        </w:rPr>
        <w:t xml:space="preserve"> </w:t>
      </w:r>
      <w:r>
        <w:rPr>
          <w:w w:val="90"/>
          <w:sz w:val="14"/>
        </w:rPr>
        <w:t>Statistics,</w:t>
      </w:r>
      <w:r>
        <w:rPr>
          <w:spacing w:val="3"/>
          <w:sz w:val="14"/>
        </w:rPr>
        <w:t xml:space="preserve"> </w:t>
      </w:r>
      <w:r>
        <w:rPr>
          <w:spacing w:val="-2"/>
          <w:w w:val="90"/>
          <w:sz w:val="14"/>
        </w:rPr>
        <w:t>2011.</w:t>
      </w:r>
    </w:p>
    <w:p w:rsidR="002C1123" w:rsidRDefault="00F22F94">
      <w:pPr>
        <w:pStyle w:val="ListParagraph"/>
        <w:numPr>
          <w:ilvl w:val="1"/>
          <w:numId w:val="146"/>
        </w:numPr>
        <w:tabs>
          <w:tab w:val="left" w:pos="691"/>
        </w:tabs>
        <w:spacing w:line="160" w:lineRule="exact"/>
        <w:ind w:left="690"/>
        <w:jc w:val="left"/>
        <w:rPr>
          <w:sz w:val="14"/>
        </w:rPr>
      </w:pPr>
      <w:r>
        <w:rPr>
          <w:w w:val="95"/>
          <w:sz w:val="14"/>
        </w:rPr>
        <w:t>Parramatta</w:t>
      </w:r>
      <w:r>
        <w:rPr>
          <w:spacing w:val="3"/>
          <w:sz w:val="14"/>
        </w:rPr>
        <w:t xml:space="preserve"> </w:t>
      </w:r>
      <w:r>
        <w:rPr>
          <w:w w:val="95"/>
          <w:sz w:val="14"/>
        </w:rPr>
        <w:t>City</w:t>
      </w:r>
      <w:r>
        <w:rPr>
          <w:spacing w:val="4"/>
          <w:sz w:val="14"/>
        </w:rPr>
        <w:t xml:space="preserve"> </w:t>
      </w:r>
      <w:r>
        <w:rPr>
          <w:spacing w:val="-2"/>
          <w:w w:val="95"/>
          <w:sz w:val="14"/>
        </w:rPr>
        <w:t>Council.</w:t>
      </w:r>
    </w:p>
    <w:p w:rsidR="002C1123" w:rsidRDefault="00F22F94">
      <w:pPr>
        <w:pStyle w:val="ListParagraph"/>
        <w:numPr>
          <w:ilvl w:val="1"/>
          <w:numId w:val="146"/>
        </w:numPr>
        <w:tabs>
          <w:tab w:val="left" w:pos="691"/>
        </w:tabs>
        <w:spacing w:line="161" w:lineRule="exact"/>
        <w:ind w:left="690"/>
        <w:jc w:val="left"/>
        <w:rPr>
          <w:sz w:val="14"/>
        </w:rPr>
      </w:pPr>
      <w:r>
        <w:rPr>
          <w:w w:val="90"/>
          <w:sz w:val="14"/>
        </w:rPr>
        <w:t>Sydney</w:t>
      </w:r>
      <w:r>
        <w:rPr>
          <w:spacing w:val="-2"/>
          <w:sz w:val="14"/>
        </w:rPr>
        <w:t xml:space="preserve"> </w:t>
      </w:r>
      <w:r>
        <w:rPr>
          <w:w w:val="90"/>
          <w:sz w:val="14"/>
        </w:rPr>
        <w:t>Airport</w:t>
      </w:r>
      <w:r>
        <w:rPr>
          <w:spacing w:val="-1"/>
          <w:sz w:val="14"/>
        </w:rPr>
        <w:t xml:space="preserve"> </w:t>
      </w:r>
      <w:r>
        <w:rPr>
          <w:w w:val="90"/>
          <w:sz w:val="14"/>
        </w:rPr>
        <w:t>Corporation</w:t>
      </w:r>
      <w:r>
        <w:rPr>
          <w:spacing w:val="-1"/>
          <w:sz w:val="14"/>
        </w:rPr>
        <w:t xml:space="preserve"> </w:t>
      </w:r>
      <w:r>
        <w:rPr>
          <w:w w:val="90"/>
          <w:sz w:val="14"/>
        </w:rPr>
        <w:t>2009,</w:t>
      </w:r>
      <w:r>
        <w:rPr>
          <w:spacing w:val="-1"/>
          <w:sz w:val="14"/>
        </w:rPr>
        <w:t xml:space="preserve"> </w:t>
      </w:r>
      <w:r>
        <w:rPr>
          <w:w w:val="90"/>
          <w:sz w:val="14"/>
        </w:rPr>
        <w:t>Sydney</w:t>
      </w:r>
      <w:r>
        <w:rPr>
          <w:spacing w:val="-2"/>
          <w:sz w:val="14"/>
        </w:rPr>
        <w:t xml:space="preserve"> </w:t>
      </w:r>
      <w:r>
        <w:rPr>
          <w:w w:val="90"/>
          <w:sz w:val="14"/>
        </w:rPr>
        <w:t>Airport</w:t>
      </w:r>
      <w:r>
        <w:rPr>
          <w:spacing w:val="-1"/>
          <w:sz w:val="14"/>
        </w:rPr>
        <w:t xml:space="preserve"> </w:t>
      </w:r>
      <w:r>
        <w:rPr>
          <w:w w:val="90"/>
          <w:sz w:val="14"/>
        </w:rPr>
        <w:t>Master</w:t>
      </w:r>
      <w:r>
        <w:rPr>
          <w:spacing w:val="-1"/>
          <w:sz w:val="14"/>
        </w:rPr>
        <w:t xml:space="preserve"> </w:t>
      </w:r>
      <w:r>
        <w:rPr>
          <w:spacing w:val="-2"/>
          <w:w w:val="90"/>
          <w:sz w:val="14"/>
        </w:rPr>
        <w:t>Plan.</w:t>
      </w:r>
    </w:p>
    <w:p w:rsidR="002C1123" w:rsidRDefault="00F22F94">
      <w:pPr>
        <w:pStyle w:val="ListParagraph"/>
        <w:numPr>
          <w:ilvl w:val="0"/>
          <w:numId w:val="146"/>
        </w:numPr>
        <w:tabs>
          <w:tab w:val="left" w:pos="477"/>
        </w:tabs>
        <w:spacing w:before="93" w:line="249" w:lineRule="auto"/>
        <w:ind w:left="476" w:right="147"/>
        <w:rPr>
          <w:sz w:val="20"/>
        </w:rPr>
      </w:pPr>
      <w:r>
        <w:br w:type="column"/>
      </w:r>
      <w:r>
        <w:rPr>
          <w:sz w:val="20"/>
        </w:rPr>
        <w:t>Global</w:t>
      </w:r>
      <w:r>
        <w:rPr>
          <w:spacing w:val="-7"/>
          <w:sz w:val="20"/>
        </w:rPr>
        <w:t xml:space="preserve"> </w:t>
      </w:r>
      <w:r>
        <w:rPr>
          <w:sz w:val="20"/>
        </w:rPr>
        <w:t>connectivity</w:t>
      </w:r>
      <w:r>
        <w:rPr>
          <w:spacing w:val="-7"/>
          <w:sz w:val="20"/>
        </w:rPr>
        <w:t xml:space="preserve"> </w:t>
      </w:r>
      <w:r>
        <w:rPr>
          <w:sz w:val="20"/>
        </w:rPr>
        <w:t>-</w:t>
      </w:r>
      <w:r>
        <w:rPr>
          <w:spacing w:val="-7"/>
          <w:sz w:val="20"/>
        </w:rPr>
        <w:t xml:space="preserve"> </w:t>
      </w:r>
      <w:r>
        <w:rPr>
          <w:sz w:val="20"/>
        </w:rPr>
        <w:t>65</w:t>
      </w:r>
      <w:r>
        <w:rPr>
          <w:spacing w:val="-7"/>
          <w:sz w:val="20"/>
        </w:rPr>
        <w:t xml:space="preserve"> </w:t>
      </w:r>
      <w:r>
        <w:rPr>
          <w:sz w:val="20"/>
        </w:rPr>
        <w:t>percent</w:t>
      </w:r>
      <w:r>
        <w:rPr>
          <w:spacing w:val="-7"/>
          <w:sz w:val="20"/>
        </w:rPr>
        <w:t xml:space="preserve"> </w:t>
      </w:r>
      <w:r>
        <w:rPr>
          <w:sz w:val="20"/>
        </w:rPr>
        <w:t>of</w:t>
      </w:r>
      <w:r>
        <w:rPr>
          <w:spacing w:val="-7"/>
          <w:sz w:val="20"/>
        </w:rPr>
        <w:t xml:space="preserve"> </w:t>
      </w:r>
      <w:r>
        <w:rPr>
          <w:sz w:val="20"/>
        </w:rPr>
        <w:t xml:space="preserve">international </w:t>
      </w:r>
      <w:r>
        <w:rPr>
          <w:w w:val="95"/>
          <w:sz w:val="20"/>
        </w:rPr>
        <w:t>companies</w:t>
      </w:r>
      <w:r>
        <w:rPr>
          <w:spacing w:val="-11"/>
          <w:w w:val="95"/>
          <w:sz w:val="20"/>
        </w:rPr>
        <w:t xml:space="preserve"> </w:t>
      </w:r>
      <w:r>
        <w:rPr>
          <w:w w:val="95"/>
          <w:sz w:val="20"/>
        </w:rPr>
        <w:t>represented</w:t>
      </w:r>
      <w:r>
        <w:rPr>
          <w:spacing w:val="-11"/>
          <w:w w:val="95"/>
          <w:sz w:val="20"/>
        </w:rPr>
        <w:t xml:space="preserve"> </w:t>
      </w:r>
      <w:r>
        <w:rPr>
          <w:w w:val="95"/>
          <w:sz w:val="20"/>
        </w:rPr>
        <w:t>in</w:t>
      </w:r>
      <w:r>
        <w:rPr>
          <w:spacing w:val="-11"/>
          <w:w w:val="95"/>
          <w:sz w:val="20"/>
        </w:rPr>
        <w:t xml:space="preserve"> </w:t>
      </w:r>
      <w:r>
        <w:rPr>
          <w:w w:val="95"/>
          <w:sz w:val="20"/>
        </w:rPr>
        <w:t>Australia,</w:t>
      </w:r>
      <w:r>
        <w:rPr>
          <w:spacing w:val="-11"/>
          <w:w w:val="95"/>
          <w:sz w:val="20"/>
        </w:rPr>
        <w:t xml:space="preserve"> </w:t>
      </w:r>
      <w:r>
        <w:rPr>
          <w:w w:val="95"/>
          <w:sz w:val="20"/>
        </w:rPr>
        <w:t>half</w:t>
      </w:r>
      <w:r>
        <w:rPr>
          <w:spacing w:val="-11"/>
          <w:w w:val="95"/>
          <w:sz w:val="20"/>
        </w:rPr>
        <w:t xml:space="preserve"> </w:t>
      </w:r>
      <w:r>
        <w:rPr>
          <w:w w:val="95"/>
          <w:sz w:val="20"/>
        </w:rPr>
        <w:t>of</w:t>
      </w:r>
      <w:r>
        <w:rPr>
          <w:spacing w:val="-11"/>
          <w:w w:val="95"/>
          <w:sz w:val="20"/>
        </w:rPr>
        <w:t xml:space="preserve"> </w:t>
      </w:r>
      <w:r>
        <w:rPr>
          <w:w w:val="95"/>
          <w:sz w:val="20"/>
        </w:rPr>
        <w:t xml:space="preserve">Australia </w:t>
      </w:r>
      <w:r>
        <w:rPr>
          <w:sz w:val="20"/>
        </w:rPr>
        <w:t>and</w:t>
      </w:r>
      <w:r>
        <w:rPr>
          <w:spacing w:val="-3"/>
          <w:sz w:val="20"/>
        </w:rPr>
        <w:t xml:space="preserve"> </w:t>
      </w:r>
      <w:r>
        <w:rPr>
          <w:sz w:val="20"/>
        </w:rPr>
        <w:t>New</w:t>
      </w:r>
      <w:r>
        <w:rPr>
          <w:spacing w:val="-3"/>
          <w:sz w:val="20"/>
        </w:rPr>
        <w:t xml:space="preserve"> </w:t>
      </w:r>
      <w:r>
        <w:rPr>
          <w:sz w:val="20"/>
        </w:rPr>
        <w:t>Zealand’s</w:t>
      </w:r>
      <w:r>
        <w:rPr>
          <w:spacing w:val="-3"/>
          <w:sz w:val="20"/>
        </w:rPr>
        <w:t xml:space="preserve"> </w:t>
      </w:r>
      <w:r>
        <w:rPr>
          <w:sz w:val="20"/>
        </w:rPr>
        <w:t>top</w:t>
      </w:r>
      <w:r>
        <w:rPr>
          <w:spacing w:val="-3"/>
          <w:sz w:val="20"/>
        </w:rPr>
        <w:t xml:space="preserve"> </w:t>
      </w:r>
      <w:r>
        <w:rPr>
          <w:sz w:val="20"/>
        </w:rPr>
        <w:t>500</w:t>
      </w:r>
      <w:r>
        <w:rPr>
          <w:spacing w:val="-3"/>
          <w:sz w:val="20"/>
        </w:rPr>
        <w:t xml:space="preserve"> </w:t>
      </w:r>
      <w:r>
        <w:rPr>
          <w:sz w:val="20"/>
        </w:rPr>
        <w:t>companies</w:t>
      </w:r>
      <w:r>
        <w:rPr>
          <w:spacing w:val="-3"/>
          <w:sz w:val="20"/>
        </w:rPr>
        <w:t xml:space="preserve"> </w:t>
      </w:r>
      <w:r>
        <w:rPr>
          <w:sz w:val="20"/>
        </w:rPr>
        <w:t>and</w:t>
      </w:r>
      <w:r>
        <w:rPr>
          <w:spacing w:val="-3"/>
          <w:sz w:val="20"/>
        </w:rPr>
        <w:t xml:space="preserve"> </w:t>
      </w:r>
      <w:r>
        <w:rPr>
          <w:sz w:val="20"/>
        </w:rPr>
        <w:t>30 percent</w:t>
      </w:r>
      <w:r>
        <w:rPr>
          <w:spacing w:val="-12"/>
          <w:sz w:val="20"/>
        </w:rPr>
        <w:t xml:space="preserve"> </w:t>
      </w:r>
      <w:r>
        <w:rPr>
          <w:sz w:val="20"/>
        </w:rPr>
        <w:t>of</w:t>
      </w:r>
      <w:r>
        <w:rPr>
          <w:spacing w:val="-12"/>
          <w:sz w:val="20"/>
        </w:rPr>
        <w:t xml:space="preserve"> </w:t>
      </w:r>
      <w:r>
        <w:rPr>
          <w:sz w:val="20"/>
        </w:rPr>
        <w:t>Australia’s</w:t>
      </w:r>
      <w:r>
        <w:rPr>
          <w:spacing w:val="-12"/>
          <w:sz w:val="20"/>
        </w:rPr>
        <w:t xml:space="preserve"> </w:t>
      </w:r>
      <w:r>
        <w:rPr>
          <w:sz w:val="20"/>
        </w:rPr>
        <w:t>employment</w:t>
      </w:r>
      <w:r>
        <w:rPr>
          <w:spacing w:val="-12"/>
          <w:sz w:val="20"/>
        </w:rPr>
        <w:t xml:space="preserve"> </w:t>
      </w:r>
      <w:r>
        <w:rPr>
          <w:sz w:val="20"/>
        </w:rPr>
        <w:t>in</w:t>
      </w:r>
      <w:r>
        <w:rPr>
          <w:spacing w:val="-12"/>
          <w:sz w:val="20"/>
        </w:rPr>
        <w:t xml:space="preserve"> </w:t>
      </w:r>
      <w:r>
        <w:rPr>
          <w:sz w:val="20"/>
        </w:rPr>
        <w:t>finance</w:t>
      </w:r>
      <w:r>
        <w:rPr>
          <w:spacing w:val="-12"/>
          <w:sz w:val="20"/>
        </w:rPr>
        <w:t xml:space="preserve"> </w:t>
      </w:r>
      <w:r>
        <w:rPr>
          <w:sz w:val="20"/>
        </w:rPr>
        <w:t>and business are in Sydney</w:t>
      </w:r>
      <w:r>
        <w:rPr>
          <w:position w:val="7"/>
          <w:sz w:val="11"/>
        </w:rPr>
        <w:t>10</w:t>
      </w:r>
      <w:r>
        <w:rPr>
          <w:sz w:val="20"/>
        </w:rPr>
        <w:t>.</w:t>
      </w:r>
    </w:p>
    <w:p w:rsidR="002C1123" w:rsidRDefault="00F22F94">
      <w:pPr>
        <w:pStyle w:val="ListParagraph"/>
        <w:numPr>
          <w:ilvl w:val="0"/>
          <w:numId w:val="146"/>
        </w:numPr>
        <w:tabs>
          <w:tab w:val="left" w:pos="477"/>
        </w:tabs>
        <w:spacing w:before="133" w:line="249" w:lineRule="auto"/>
        <w:ind w:left="476"/>
        <w:rPr>
          <w:sz w:val="20"/>
        </w:rPr>
      </w:pPr>
      <w:r>
        <w:rPr>
          <w:sz w:val="20"/>
        </w:rPr>
        <w:t>Demographic</w:t>
      </w:r>
      <w:r>
        <w:rPr>
          <w:spacing w:val="-9"/>
          <w:sz w:val="20"/>
        </w:rPr>
        <w:t xml:space="preserve"> </w:t>
      </w:r>
      <w:r>
        <w:rPr>
          <w:sz w:val="20"/>
        </w:rPr>
        <w:t>advantages</w:t>
      </w:r>
      <w:r>
        <w:rPr>
          <w:spacing w:val="-9"/>
          <w:sz w:val="20"/>
        </w:rPr>
        <w:t xml:space="preserve"> </w:t>
      </w:r>
      <w:r>
        <w:rPr>
          <w:sz w:val="20"/>
        </w:rPr>
        <w:t>–</w:t>
      </w:r>
      <w:r>
        <w:rPr>
          <w:spacing w:val="-9"/>
          <w:sz w:val="20"/>
        </w:rPr>
        <w:t xml:space="preserve"> </w:t>
      </w:r>
      <w:r>
        <w:rPr>
          <w:sz w:val="20"/>
        </w:rPr>
        <w:t>NSW</w:t>
      </w:r>
      <w:r>
        <w:rPr>
          <w:spacing w:val="-9"/>
          <w:sz w:val="20"/>
        </w:rPr>
        <w:t xml:space="preserve"> </w:t>
      </w:r>
      <w:r>
        <w:rPr>
          <w:sz w:val="20"/>
        </w:rPr>
        <w:t>has</w:t>
      </w:r>
      <w:r>
        <w:rPr>
          <w:spacing w:val="-9"/>
          <w:sz w:val="20"/>
        </w:rPr>
        <w:t xml:space="preserve"> </w:t>
      </w:r>
      <w:r>
        <w:rPr>
          <w:sz w:val="20"/>
        </w:rPr>
        <w:t>a</w:t>
      </w:r>
      <w:r>
        <w:rPr>
          <w:spacing w:val="-9"/>
          <w:sz w:val="20"/>
        </w:rPr>
        <w:t xml:space="preserve"> </w:t>
      </w:r>
      <w:r>
        <w:rPr>
          <w:sz w:val="20"/>
        </w:rPr>
        <w:t>low dependency</w:t>
      </w:r>
      <w:r>
        <w:rPr>
          <w:spacing w:val="-11"/>
          <w:sz w:val="20"/>
        </w:rPr>
        <w:t xml:space="preserve"> </w:t>
      </w:r>
      <w:r>
        <w:rPr>
          <w:sz w:val="20"/>
        </w:rPr>
        <w:t>rate</w:t>
      </w:r>
      <w:r>
        <w:rPr>
          <w:spacing w:val="-11"/>
          <w:sz w:val="20"/>
        </w:rPr>
        <w:t xml:space="preserve"> </w:t>
      </w:r>
      <w:r>
        <w:rPr>
          <w:sz w:val="20"/>
        </w:rPr>
        <w:t>compared</w:t>
      </w:r>
      <w:r>
        <w:rPr>
          <w:spacing w:val="-11"/>
          <w:sz w:val="20"/>
        </w:rPr>
        <w:t xml:space="preserve"> </w:t>
      </w:r>
      <w:r>
        <w:rPr>
          <w:sz w:val="20"/>
        </w:rPr>
        <w:t>to</w:t>
      </w:r>
      <w:r>
        <w:rPr>
          <w:spacing w:val="-11"/>
          <w:sz w:val="20"/>
        </w:rPr>
        <w:t xml:space="preserve"> </w:t>
      </w:r>
      <w:r>
        <w:rPr>
          <w:sz w:val="20"/>
        </w:rPr>
        <w:t>the</w:t>
      </w:r>
      <w:r>
        <w:rPr>
          <w:spacing w:val="-11"/>
          <w:sz w:val="20"/>
        </w:rPr>
        <w:t xml:space="preserve"> </w:t>
      </w:r>
      <w:r>
        <w:rPr>
          <w:sz w:val="20"/>
        </w:rPr>
        <w:t>OECD</w:t>
      </w:r>
      <w:r>
        <w:rPr>
          <w:spacing w:val="-11"/>
          <w:sz w:val="20"/>
        </w:rPr>
        <w:t xml:space="preserve"> </w:t>
      </w:r>
      <w:r>
        <w:rPr>
          <w:sz w:val="20"/>
        </w:rPr>
        <w:t>average which</w:t>
      </w:r>
      <w:r>
        <w:rPr>
          <w:spacing w:val="-5"/>
          <w:sz w:val="20"/>
        </w:rPr>
        <w:t xml:space="preserve"> </w:t>
      </w:r>
      <w:r>
        <w:rPr>
          <w:sz w:val="20"/>
        </w:rPr>
        <w:t>means</w:t>
      </w:r>
      <w:r>
        <w:rPr>
          <w:spacing w:val="-5"/>
          <w:sz w:val="20"/>
        </w:rPr>
        <w:t xml:space="preserve"> </w:t>
      </w:r>
      <w:r>
        <w:rPr>
          <w:sz w:val="20"/>
        </w:rPr>
        <w:t>that</w:t>
      </w:r>
      <w:r>
        <w:rPr>
          <w:spacing w:val="-5"/>
          <w:sz w:val="20"/>
        </w:rPr>
        <w:t xml:space="preserve"> </w:t>
      </w:r>
      <w:r>
        <w:rPr>
          <w:sz w:val="20"/>
        </w:rPr>
        <w:t>the</w:t>
      </w:r>
      <w:r>
        <w:rPr>
          <w:spacing w:val="-5"/>
          <w:sz w:val="20"/>
        </w:rPr>
        <w:t xml:space="preserve"> </w:t>
      </w:r>
      <w:r>
        <w:rPr>
          <w:sz w:val="20"/>
        </w:rPr>
        <w:t>State’s</w:t>
      </w:r>
      <w:r>
        <w:rPr>
          <w:spacing w:val="-5"/>
          <w:sz w:val="20"/>
        </w:rPr>
        <w:t xml:space="preserve"> </w:t>
      </w:r>
      <w:r>
        <w:rPr>
          <w:sz w:val="20"/>
        </w:rPr>
        <w:t>workforce</w:t>
      </w:r>
      <w:r>
        <w:rPr>
          <w:spacing w:val="-5"/>
          <w:sz w:val="20"/>
        </w:rPr>
        <w:t xml:space="preserve"> </w:t>
      </w:r>
      <w:r>
        <w:rPr>
          <w:sz w:val="20"/>
        </w:rPr>
        <w:t>does</w:t>
      </w:r>
      <w:r>
        <w:rPr>
          <w:spacing w:val="-5"/>
          <w:sz w:val="20"/>
        </w:rPr>
        <w:t xml:space="preserve"> </w:t>
      </w:r>
      <w:r>
        <w:rPr>
          <w:sz w:val="20"/>
        </w:rPr>
        <w:t xml:space="preserve">not </w:t>
      </w:r>
      <w:r>
        <w:rPr>
          <w:w w:val="95"/>
          <w:sz w:val="20"/>
        </w:rPr>
        <w:t>have</w:t>
      </w:r>
      <w:r>
        <w:rPr>
          <w:spacing w:val="-3"/>
          <w:w w:val="95"/>
          <w:sz w:val="20"/>
        </w:rPr>
        <w:t xml:space="preserve"> </w:t>
      </w:r>
      <w:r>
        <w:rPr>
          <w:w w:val="95"/>
          <w:sz w:val="20"/>
        </w:rPr>
        <w:t>as</w:t>
      </w:r>
      <w:r>
        <w:rPr>
          <w:spacing w:val="-3"/>
          <w:w w:val="95"/>
          <w:sz w:val="20"/>
        </w:rPr>
        <w:t xml:space="preserve"> </w:t>
      </w:r>
      <w:r>
        <w:rPr>
          <w:w w:val="95"/>
          <w:sz w:val="20"/>
        </w:rPr>
        <w:t>large</w:t>
      </w:r>
      <w:r>
        <w:rPr>
          <w:spacing w:val="-3"/>
          <w:w w:val="95"/>
          <w:sz w:val="20"/>
        </w:rPr>
        <w:t xml:space="preserve"> </w:t>
      </w:r>
      <w:r>
        <w:rPr>
          <w:w w:val="95"/>
          <w:sz w:val="20"/>
        </w:rPr>
        <w:t>a</w:t>
      </w:r>
      <w:r>
        <w:rPr>
          <w:spacing w:val="-3"/>
          <w:w w:val="95"/>
          <w:sz w:val="20"/>
        </w:rPr>
        <w:t xml:space="preserve"> </w:t>
      </w:r>
      <w:r>
        <w:rPr>
          <w:w w:val="95"/>
          <w:sz w:val="20"/>
        </w:rPr>
        <w:t>burden</w:t>
      </w:r>
      <w:r>
        <w:rPr>
          <w:spacing w:val="-3"/>
          <w:w w:val="95"/>
          <w:sz w:val="20"/>
        </w:rPr>
        <w:t xml:space="preserve"> </w:t>
      </w:r>
      <w:r>
        <w:rPr>
          <w:w w:val="95"/>
          <w:sz w:val="20"/>
        </w:rPr>
        <w:t>of</w:t>
      </w:r>
      <w:r>
        <w:rPr>
          <w:spacing w:val="-3"/>
          <w:w w:val="95"/>
          <w:sz w:val="20"/>
        </w:rPr>
        <w:t xml:space="preserve"> </w:t>
      </w:r>
      <w:r>
        <w:rPr>
          <w:w w:val="95"/>
          <w:sz w:val="20"/>
        </w:rPr>
        <w:t>supporting</w:t>
      </w:r>
      <w:r>
        <w:rPr>
          <w:spacing w:val="-3"/>
          <w:w w:val="95"/>
          <w:sz w:val="20"/>
        </w:rPr>
        <w:t xml:space="preserve"> </w:t>
      </w:r>
      <w:r>
        <w:rPr>
          <w:w w:val="95"/>
          <w:sz w:val="20"/>
        </w:rPr>
        <w:t>the</w:t>
      </w:r>
      <w:r>
        <w:rPr>
          <w:spacing w:val="-3"/>
          <w:w w:val="95"/>
          <w:sz w:val="20"/>
        </w:rPr>
        <w:t xml:space="preserve"> </w:t>
      </w:r>
      <w:r>
        <w:rPr>
          <w:w w:val="95"/>
          <w:sz w:val="20"/>
        </w:rPr>
        <w:t>non-working population compared to other states. NSW has a low unemployment</w:t>
      </w:r>
      <w:r>
        <w:rPr>
          <w:spacing w:val="-2"/>
          <w:w w:val="95"/>
          <w:sz w:val="20"/>
        </w:rPr>
        <w:t xml:space="preserve"> </w:t>
      </w:r>
      <w:r>
        <w:rPr>
          <w:w w:val="95"/>
          <w:sz w:val="20"/>
        </w:rPr>
        <w:t>rate</w:t>
      </w:r>
      <w:r>
        <w:rPr>
          <w:spacing w:val="-2"/>
          <w:w w:val="95"/>
          <w:sz w:val="20"/>
        </w:rPr>
        <w:t xml:space="preserve"> </w:t>
      </w:r>
      <w:r>
        <w:rPr>
          <w:w w:val="95"/>
          <w:sz w:val="20"/>
        </w:rPr>
        <w:t>of</w:t>
      </w:r>
      <w:r>
        <w:rPr>
          <w:spacing w:val="-2"/>
          <w:w w:val="95"/>
          <w:sz w:val="20"/>
        </w:rPr>
        <w:t xml:space="preserve"> </w:t>
      </w:r>
      <w:r>
        <w:rPr>
          <w:w w:val="95"/>
          <w:sz w:val="20"/>
        </w:rPr>
        <w:t>4.8</w:t>
      </w:r>
      <w:r>
        <w:rPr>
          <w:spacing w:val="-2"/>
          <w:w w:val="95"/>
          <w:sz w:val="20"/>
        </w:rPr>
        <w:t xml:space="preserve"> </w:t>
      </w:r>
      <w:r>
        <w:rPr>
          <w:w w:val="95"/>
          <w:sz w:val="20"/>
        </w:rPr>
        <w:t>percent,</w:t>
      </w:r>
      <w:r>
        <w:rPr>
          <w:spacing w:val="-2"/>
          <w:w w:val="95"/>
          <w:sz w:val="20"/>
        </w:rPr>
        <w:t xml:space="preserve"> </w:t>
      </w:r>
      <w:r>
        <w:rPr>
          <w:w w:val="95"/>
          <w:sz w:val="20"/>
        </w:rPr>
        <w:t>which</w:t>
      </w:r>
      <w:r>
        <w:rPr>
          <w:spacing w:val="-2"/>
          <w:w w:val="95"/>
          <w:sz w:val="20"/>
        </w:rPr>
        <w:t xml:space="preserve"> </w:t>
      </w:r>
      <w:r>
        <w:rPr>
          <w:w w:val="95"/>
          <w:sz w:val="20"/>
        </w:rPr>
        <w:t>is</w:t>
      </w:r>
      <w:r>
        <w:rPr>
          <w:spacing w:val="-2"/>
          <w:w w:val="95"/>
          <w:sz w:val="20"/>
        </w:rPr>
        <w:t xml:space="preserve"> </w:t>
      </w:r>
      <w:r>
        <w:rPr>
          <w:w w:val="95"/>
          <w:sz w:val="20"/>
        </w:rPr>
        <w:t>below</w:t>
      </w:r>
      <w:r>
        <w:rPr>
          <w:spacing w:val="-2"/>
          <w:w w:val="95"/>
          <w:sz w:val="20"/>
        </w:rPr>
        <w:t xml:space="preserve"> </w:t>
      </w:r>
      <w:r>
        <w:rPr>
          <w:w w:val="95"/>
          <w:sz w:val="20"/>
        </w:rPr>
        <w:t xml:space="preserve">the </w:t>
      </w:r>
      <w:r>
        <w:rPr>
          <w:sz w:val="20"/>
        </w:rPr>
        <w:t>national</w:t>
      </w:r>
      <w:r>
        <w:rPr>
          <w:spacing w:val="-14"/>
          <w:sz w:val="20"/>
        </w:rPr>
        <w:t xml:space="preserve"> </w:t>
      </w:r>
      <w:r>
        <w:rPr>
          <w:sz w:val="20"/>
        </w:rPr>
        <w:t>average</w:t>
      </w:r>
      <w:r>
        <w:rPr>
          <w:spacing w:val="-14"/>
          <w:sz w:val="20"/>
        </w:rPr>
        <w:t xml:space="preserve"> </w:t>
      </w:r>
      <w:r>
        <w:rPr>
          <w:sz w:val="20"/>
        </w:rPr>
        <w:t>(5.2</w:t>
      </w:r>
      <w:r>
        <w:rPr>
          <w:spacing w:val="-14"/>
          <w:sz w:val="20"/>
        </w:rPr>
        <w:t xml:space="preserve"> </w:t>
      </w:r>
      <w:r>
        <w:rPr>
          <w:sz w:val="20"/>
        </w:rPr>
        <w:t>percent)</w:t>
      </w:r>
      <w:r>
        <w:rPr>
          <w:position w:val="7"/>
          <w:sz w:val="11"/>
        </w:rPr>
        <w:t>11</w:t>
      </w:r>
      <w:r>
        <w:rPr>
          <w:sz w:val="20"/>
        </w:rPr>
        <w:t>.</w:t>
      </w:r>
    </w:p>
    <w:p w:rsidR="002C1123" w:rsidRDefault="00F22F94">
      <w:pPr>
        <w:pStyle w:val="BodyText"/>
        <w:spacing w:before="147" w:line="249" w:lineRule="auto"/>
        <w:ind w:left="192"/>
      </w:pPr>
      <w:r>
        <w:rPr>
          <w:w w:val="95"/>
        </w:rPr>
        <w:t>Despite</w:t>
      </w:r>
      <w:r>
        <w:rPr>
          <w:spacing w:val="-6"/>
          <w:w w:val="95"/>
        </w:rPr>
        <w:t xml:space="preserve"> </w:t>
      </w:r>
      <w:r>
        <w:rPr>
          <w:w w:val="95"/>
        </w:rPr>
        <w:t>these</w:t>
      </w:r>
      <w:r>
        <w:rPr>
          <w:spacing w:val="-6"/>
          <w:w w:val="95"/>
        </w:rPr>
        <w:t xml:space="preserve"> </w:t>
      </w:r>
      <w:r>
        <w:rPr>
          <w:w w:val="95"/>
        </w:rPr>
        <w:t>advantages,</w:t>
      </w:r>
      <w:r>
        <w:rPr>
          <w:spacing w:val="-6"/>
          <w:w w:val="95"/>
        </w:rPr>
        <w:t xml:space="preserve"> </w:t>
      </w:r>
      <w:r>
        <w:rPr>
          <w:w w:val="95"/>
        </w:rPr>
        <w:t>NSW</w:t>
      </w:r>
      <w:r>
        <w:rPr>
          <w:spacing w:val="-6"/>
          <w:w w:val="95"/>
        </w:rPr>
        <w:t xml:space="preserve"> </w:t>
      </w:r>
      <w:r>
        <w:rPr>
          <w:w w:val="95"/>
        </w:rPr>
        <w:t>has</w:t>
      </w:r>
      <w:r>
        <w:rPr>
          <w:spacing w:val="-6"/>
          <w:w w:val="95"/>
        </w:rPr>
        <w:t xml:space="preserve"> </w:t>
      </w:r>
      <w:r>
        <w:rPr>
          <w:w w:val="95"/>
        </w:rPr>
        <w:t>experienced</w:t>
      </w:r>
      <w:r>
        <w:rPr>
          <w:spacing w:val="-6"/>
          <w:w w:val="95"/>
        </w:rPr>
        <w:t xml:space="preserve"> </w:t>
      </w:r>
      <w:r>
        <w:rPr>
          <w:w w:val="95"/>
        </w:rPr>
        <w:t xml:space="preserve">lower </w:t>
      </w:r>
      <w:r>
        <w:t xml:space="preserve">population growth, productivity and economic growth </w:t>
      </w:r>
      <w:r>
        <w:rPr>
          <w:spacing w:val="-2"/>
        </w:rPr>
        <w:t>than</w:t>
      </w:r>
      <w:r>
        <w:rPr>
          <w:spacing w:val="-10"/>
        </w:rPr>
        <w:t xml:space="preserve"> </w:t>
      </w:r>
      <w:r>
        <w:rPr>
          <w:spacing w:val="-2"/>
        </w:rPr>
        <w:t>the</w:t>
      </w:r>
      <w:r>
        <w:rPr>
          <w:spacing w:val="-10"/>
        </w:rPr>
        <w:t xml:space="preserve"> </w:t>
      </w:r>
      <w:r>
        <w:rPr>
          <w:spacing w:val="-2"/>
        </w:rPr>
        <w:t>rest</w:t>
      </w:r>
      <w:r>
        <w:rPr>
          <w:spacing w:val="-10"/>
        </w:rPr>
        <w:t xml:space="preserve"> </w:t>
      </w:r>
      <w:r>
        <w:rPr>
          <w:spacing w:val="-2"/>
        </w:rPr>
        <w:t>of</w:t>
      </w:r>
      <w:r>
        <w:rPr>
          <w:spacing w:val="-10"/>
        </w:rPr>
        <w:t xml:space="preserve"> </w:t>
      </w:r>
      <w:r>
        <w:rPr>
          <w:spacing w:val="-2"/>
        </w:rPr>
        <w:t>Australia</w:t>
      </w:r>
      <w:r>
        <w:rPr>
          <w:spacing w:val="-10"/>
        </w:rPr>
        <w:t xml:space="preserve"> </w:t>
      </w:r>
      <w:r>
        <w:rPr>
          <w:spacing w:val="-2"/>
        </w:rPr>
        <w:t>(as</w:t>
      </w:r>
      <w:r>
        <w:rPr>
          <w:spacing w:val="-10"/>
        </w:rPr>
        <w:t xml:space="preserve"> </w:t>
      </w:r>
      <w:r>
        <w:rPr>
          <w:spacing w:val="-2"/>
        </w:rPr>
        <w:t>outlined</w:t>
      </w:r>
      <w:r>
        <w:rPr>
          <w:spacing w:val="-10"/>
        </w:rPr>
        <w:t xml:space="preserve"> </w:t>
      </w:r>
      <w:r>
        <w:rPr>
          <w:spacing w:val="-2"/>
        </w:rPr>
        <w:t>in</w:t>
      </w:r>
      <w:r>
        <w:rPr>
          <w:spacing w:val="-10"/>
        </w:rPr>
        <w:t xml:space="preserve"> </w:t>
      </w:r>
      <w:r>
        <w:rPr>
          <w:spacing w:val="-2"/>
        </w:rPr>
        <w:t>Section</w:t>
      </w:r>
      <w:r>
        <w:rPr>
          <w:spacing w:val="-10"/>
        </w:rPr>
        <w:t xml:space="preserve"> </w:t>
      </w:r>
      <w:r>
        <w:rPr>
          <w:spacing w:val="-2"/>
        </w:rPr>
        <w:t>1).</w:t>
      </w:r>
    </w:p>
    <w:p w:rsidR="002C1123" w:rsidRDefault="00F22F94">
      <w:pPr>
        <w:pStyle w:val="BodyText"/>
        <w:spacing w:before="3" w:line="249" w:lineRule="auto"/>
        <w:ind w:left="192"/>
      </w:pPr>
      <w:r>
        <w:rPr>
          <w:w w:val="95"/>
        </w:rPr>
        <w:t xml:space="preserve">NSW’s economic weaknesses, (including low population </w:t>
      </w:r>
      <w:r>
        <w:t>growth),</w:t>
      </w:r>
      <w:r>
        <w:rPr>
          <w:spacing w:val="-14"/>
        </w:rPr>
        <w:t xml:space="preserve"> </w:t>
      </w:r>
      <w:r>
        <w:t>are</w:t>
      </w:r>
      <w:r>
        <w:rPr>
          <w:spacing w:val="-14"/>
        </w:rPr>
        <w:t xml:space="preserve"> </w:t>
      </w:r>
      <w:r>
        <w:t>driven</w:t>
      </w:r>
      <w:r>
        <w:rPr>
          <w:spacing w:val="-14"/>
        </w:rPr>
        <w:t xml:space="preserve"> </w:t>
      </w:r>
      <w:r>
        <w:t>by</w:t>
      </w:r>
      <w:r>
        <w:rPr>
          <w:spacing w:val="-14"/>
        </w:rPr>
        <w:t xml:space="preserve"> </w:t>
      </w:r>
      <w:r>
        <w:t>the</w:t>
      </w:r>
      <w:r>
        <w:rPr>
          <w:spacing w:val="-14"/>
        </w:rPr>
        <w:t xml:space="preserve"> </w:t>
      </w:r>
      <w:r>
        <w:t>under-supply</w:t>
      </w:r>
      <w:r>
        <w:rPr>
          <w:spacing w:val="-14"/>
        </w:rPr>
        <w:t xml:space="preserve"> </w:t>
      </w:r>
      <w:r>
        <w:t>of</w:t>
      </w:r>
      <w:r>
        <w:rPr>
          <w:spacing w:val="-14"/>
        </w:rPr>
        <w:t xml:space="preserve"> </w:t>
      </w:r>
      <w:r>
        <w:t>housing</w:t>
      </w:r>
      <w:r>
        <w:rPr>
          <w:spacing w:val="-14"/>
        </w:rPr>
        <w:t xml:space="preserve"> </w:t>
      </w:r>
      <w:r>
        <w:t>and high</w:t>
      </w:r>
      <w:r>
        <w:rPr>
          <w:spacing w:val="-4"/>
        </w:rPr>
        <w:t xml:space="preserve"> </w:t>
      </w:r>
      <w:r>
        <w:t>cost</w:t>
      </w:r>
      <w:r>
        <w:rPr>
          <w:spacing w:val="-4"/>
        </w:rPr>
        <w:t xml:space="preserve"> </w:t>
      </w:r>
      <w:r>
        <w:t>of</w:t>
      </w:r>
      <w:r>
        <w:rPr>
          <w:spacing w:val="-4"/>
        </w:rPr>
        <w:t xml:space="preserve"> </w:t>
      </w:r>
      <w:r>
        <w:t>living</w:t>
      </w:r>
      <w:r>
        <w:rPr>
          <w:spacing w:val="-4"/>
        </w:rPr>
        <w:t xml:space="preserve"> </w:t>
      </w:r>
      <w:r>
        <w:t>and</w:t>
      </w:r>
      <w:r>
        <w:rPr>
          <w:spacing w:val="-4"/>
        </w:rPr>
        <w:t xml:space="preserve"> </w:t>
      </w:r>
      <w:r>
        <w:t>traffic</w:t>
      </w:r>
      <w:r>
        <w:rPr>
          <w:spacing w:val="-4"/>
        </w:rPr>
        <w:t xml:space="preserve"> </w:t>
      </w:r>
      <w:r>
        <w:t>congestion.</w:t>
      </w:r>
    </w:p>
    <w:p w:rsidR="002C1123" w:rsidRDefault="00F22F94">
      <w:pPr>
        <w:pStyle w:val="BodyText"/>
        <w:spacing w:before="144" w:line="249" w:lineRule="auto"/>
        <w:ind w:left="192"/>
      </w:pPr>
      <w:r>
        <w:t>Lower</w:t>
      </w:r>
      <w:r>
        <w:rPr>
          <w:spacing w:val="-5"/>
        </w:rPr>
        <w:t xml:space="preserve"> </w:t>
      </w:r>
      <w:r>
        <w:t>population</w:t>
      </w:r>
      <w:r>
        <w:rPr>
          <w:spacing w:val="-5"/>
        </w:rPr>
        <w:t xml:space="preserve"> </w:t>
      </w:r>
      <w:r>
        <w:t>growth</w:t>
      </w:r>
      <w:r>
        <w:rPr>
          <w:spacing w:val="-5"/>
        </w:rPr>
        <w:t xml:space="preserve"> </w:t>
      </w:r>
      <w:r>
        <w:t>between</w:t>
      </w:r>
      <w:r>
        <w:rPr>
          <w:spacing w:val="-5"/>
        </w:rPr>
        <w:t xml:space="preserve"> </w:t>
      </w:r>
      <w:r>
        <w:t>2000</w:t>
      </w:r>
      <w:r>
        <w:rPr>
          <w:spacing w:val="-5"/>
        </w:rPr>
        <w:t xml:space="preserve"> </w:t>
      </w:r>
      <w:r>
        <w:t>and</w:t>
      </w:r>
      <w:r>
        <w:rPr>
          <w:spacing w:val="-5"/>
        </w:rPr>
        <w:t xml:space="preserve"> </w:t>
      </w:r>
      <w:r>
        <w:t>2010</w:t>
      </w:r>
      <w:r>
        <w:rPr>
          <w:spacing w:val="-5"/>
        </w:rPr>
        <w:t xml:space="preserve"> </w:t>
      </w:r>
      <w:r>
        <w:t>has caused</w:t>
      </w:r>
      <w:r>
        <w:rPr>
          <w:spacing w:val="-12"/>
        </w:rPr>
        <w:t xml:space="preserve"> </w:t>
      </w:r>
      <w:r>
        <w:t>lower</w:t>
      </w:r>
      <w:r>
        <w:rPr>
          <w:spacing w:val="-12"/>
        </w:rPr>
        <w:t xml:space="preserve"> </w:t>
      </w:r>
      <w:r>
        <w:t>economic</w:t>
      </w:r>
      <w:r>
        <w:rPr>
          <w:spacing w:val="-12"/>
        </w:rPr>
        <w:t xml:space="preserve"> </w:t>
      </w:r>
      <w:r>
        <w:t>growth</w:t>
      </w:r>
      <w:r>
        <w:rPr>
          <w:spacing w:val="-12"/>
        </w:rPr>
        <w:t xml:space="preserve"> </w:t>
      </w:r>
      <w:r>
        <w:t>in</w:t>
      </w:r>
      <w:r>
        <w:rPr>
          <w:spacing w:val="-12"/>
        </w:rPr>
        <w:t xml:space="preserve"> </w:t>
      </w:r>
      <w:r>
        <w:t>NSW</w:t>
      </w:r>
      <w:r>
        <w:rPr>
          <w:spacing w:val="-12"/>
        </w:rPr>
        <w:t xml:space="preserve"> </w:t>
      </w:r>
      <w:r>
        <w:t>than</w:t>
      </w:r>
      <w:r>
        <w:rPr>
          <w:spacing w:val="-12"/>
        </w:rPr>
        <w:t xml:space="preserve"> </w:t>
      </w:r>
      <w:r>
        <w:t>in</w:t>
      </w:r>
      <w:r>
        <w:rPr>
          <w:spacing w:val="-12"/>
        </w:rPr>
        <w:t xml:space="preserve"> </w:t>
      </w:r>
      <w:r>
        <w:t>the</w:t>
      </w:r>
      <w:r>
        <w:rPr>
          <w:spacing w:val="-12"/>
        </w:rPr>
        <w:t xml:space="preserve"> </w:t>
      </w:r>
      <w:r>
        <w:t xml:space="preserve">rest </w:t>
      </w:r>
      <w:r>
        <w:rPr>
          <w:w w:val="95"/>
        </w:rPr>
        <w:t>of</w:t>
      </w:r>
      <w:r>
        <w:rPr>
          <w:spacing w:val="-8"/>
          <w:w w:val="95"/>
        </w:rPr>
        <w:t xml:space="preserve"> </w:t>
      </w:r>
      <w:r>
        <w:rPr>
          <w:w w:val="95"/>
        </w:rPr>
        <w:t>Australia.</w:t>
      </w:r>
      <w:r>
        <w:rPr>
          <w:spacing w:val="-8"/>
          <w:w w:val="95"/>
        </w:rPr>
        <w:t xml:space="preserve"> </w:t>
      </w:r>
      <w:r>
        <w:rPr>
          <w:w w:val="95"/>
        </w:rPr>
        <w:t>Since</w:t>
      </w:r>
      <w:r>
        <w:rPr>
          <w:spacing w:val="-8"/>
          <w:w w:val="95"/>
        </w:rPr>
        <w:t xml:space="preserve"> </w:t>
      </w:r>
      <w:r>
        <w:rPr>
          <w:w w:val="95"/>
        </w:rPr>
        <w:t>2000,</w:t>
      </w:r>
      <w:r>
        <w:rPr>
          <w:spacing w:val="-8"/>
          <w:w w:val="95"/>
        </w:rPr>
        <w:t xml:space="preserve"> </w:t>
      </w:r>
      <w:r>
        <w:rPr>
          <w:w w:val="95"/>
        </w:rPr>
        <w:t>Australia’s</w:t>
      </w:r>
      <w:r>
        <w:rPr>
          <w:spacing w:val="-8"/>
          <w:w w:val="95"/>
        </w:rPr>
        <w:t xml:space="preserve"> </w:t>
      </w:r>
      <w:r>
        <w:rPr>
          <w:w w:val="95"/>
        </w:rPr>
        <w:t>population</w:t>
      </w:r>
      <w:r>
        <w:rPr>
          <w:spacing w:val="-8"/>
          <w:w w:val="95"/>
        </w:rPr>
        <w:t xml:space="preserve"> </w:t>
      </w:r>
      <w:r>
        <w:rPr>
          <w:w w:val="95"/>
        </w:rPr>
        <w:t xml:space="preserve">increased </w:t>
      </w:r>
      <w:r>
        <w:rPr>
          <w:spacing w:val="-2"/>
        </w:rPr>
        <w:t>by</w:t>
      </w:r>
      <w:r>
        <w:rPr>
          <w:spacing w:val="-11"/>
        </w:rPr>
        <w:t xml:space="preserve"> </w:t>
      </w:r>
      <w:r>
        <w:rPr>
          <w:spacing w:val="-2"/>
        </w:rPr>
        <w:t>3.1</w:t>
      </w:r>
      <w:r>
        <w:rPr>
          <w:spacing w:val="-11"/>
        </w:rPr>
        <w:t xml:space="preserve"> </w:t>
      </w:r>
      <w:r>
        <w:rPr>
          <w:spacing w:val="-2"/>
        </w:rPr>
        <w:t>million,</w:t>
      </w:r>
      <w:r>
        <w:rPr>
          <w:spacing w:val="-11"/>
        </w:rPr>
        <w:t xml:space="preserve"> </w:t>
      </w:r>
      <w:r>
        <w:rPr>
          <w:spacing w:val="-2"/>
        </w:rPr>
        <w:t>averaging</w:t>
      </w:r>
      <w:r>
        <w:rPr>
          <w:spacing w:val="-11"/>
        </w:rPr>
        <w:t xml:space="preserve"> </w:t>
      </w:r>
      <w:r>
        <w:rPr>
          <w:spacing w:val="-2"/>
        </w:rPr>
        <w:t>around</w:t>
      </w:r>
      <w:r>
        <w:rPr>
          <w:spacing w:val="-11"/>
        </w:rPr>
        <w:t xml:space="preserve"> </w:t>
      </w:r>
      <w:r>
        <w:rPr>
          <w:spacing w:val="-2"/>
        </w:rPr>
        <w:t>1.8</w:t>
      </w:r>
      <w:r>
        <w:rPr>
          <w:spacing w:val="-11"/>
        </w:rPr>
        <w:t xml:space="preserve"> </w:t>
      </w:r>
      <w:r>
        <w:rPr>
          <w:spacing w:val="-2"/>
        </w:rPr>
        <w:t>percent</w:t>
      </w:r>
      <w:r>
        <w:rPr>
          <w:spacing w:val="-11"/>
        </w:rPr>
        <w:t xml:space="preserve"> </w:t>
      </w:r>
      <w:r>
        <w:rPr>
          <w:spacing w:val="-2"/>
        </w:rPr>
        <w:t>a</w:t>
      </w:r>
      <w:r>
        <w:rPr>
          <w:spacing w:val="-11"/>
        </w:rPr>
        <w:t xml:space="preserve"> </w:t>
      </w:r>
      <w:r>
        <w:rPr>
          <w:spacing w:val="-2"/>
        </w:rPr>
        <w:t>year,</w:t>
      </w:r>
      <w:r>
        <w:rPr>
          <w:spacing w:val="-11"/>
        </w:rPr>
        <w:t xml:space="preserve"> </w:t>
      </w:r>
      <w:r>
        <w:rPr>
          <w:spacing w:val="-2"/>
        </w:rPr>
        <w:t xml:space="preserve">the </w:t>
      </w:r>
      <w:r>
        <w:rPr>
          <w:w w:val="95"/>
        </w:rPr>
        <w:t xml:space="preserve">highest level of growth in Australia’s history. In the same </w:t>
      </w:r>
      <w:r>
        <w:t>period,</w:t>
      </w:r>
      <w:r>
        <w:rPr>
          <w:spacing w:val="-9"/>
        </w:rPr>
        <w:t xml:space="preserve"> </w:t>
      </w:r>
      <w:r>
        <w:t>NSW’s</w:t>
      </w:r>
      <w:r>
        <w:rPr>
          <w:spacing w:val="-9"/>
        </w:rPr>
        <w:t xml:space="preserve"> </w:t>
      </w:r>
      <w:r>
        <w:t>population</w:t>
      </w:r>
      <w:r>
        <w:rPr>
          <w:spacing w:val="-9"/>
        </w:rPr>
        <w:t xml:space="preserve"> </w:t>
      </w:r>
      <w:r>
        <w:t>increased</w:t>
      </w:r>
      <w:r>
        <w:rPr>
          <w:spacing w:val="-9"/>
        </w:rPr>
        <w:t xml:space="preserve"> </w:t>
      </w:r>
      <w:r>
        <w:t>by</w:t>
      </w:r>
      <w:r>
        <w:rPr>
          <w:spacing w:val="-9"/>
        </w:rPr>
        <w:t xml:space="preserve"> </w:t>
      </w:r>
      <w:r>
        <w:t>only</w:t>
      </w:r>
      <w:r>
        <w:rPr>
          <w:spacing w:val="-9"/>
        </w:rPr>
        <w:t xml:space="preserve"> </w:t>
      </w:r>
      <w:r>
        <w:t>700,000, around</w:t>
      </w:r>
      <w:r>
        <w:rPr>
          <w:spacing w:val="-14"/>
        </w:rPr>
        <w:t xml:space="preserve"> </w:t>
      </w:r>
      <w:r>
        <w:t>one</w:t>
      </w:r>
      <w:r>
        <w:rPr>
          <w:spacing w:val="-14"/>
        </w:rPr>
        <w:t xml:space="preserve"> </w:t>
      </w:r>
      <w:r>
        <w:t>percent</w:t>
      </w:r>
      <w:r>
        <w:rPr>
          <w:spacing w:val="-14"/>
        </w:rPr>
        <w:t xml:space="preserve"> </w:t>
      </w:r>
      <w:r>
        <w:t>a</w:t>
      </w:r>
      <w:r>
        <w:rPr>
          <w:spacing w:val="-14"/>
        </w:rPr>
        <w:t xml:space="preserve"> </w:t>
      </w:r>
      <w:r>
        <w:t>year.</w:t>
      </w:r>
      <w:r>
        <w:rPr>
          <w:spacing w:val="-14"/>
        </w:rPr>
        <w:t xml:space="preserve"> </w:t>
      </w:r>
      <w:r>
        <w:t>This</w:t>
      </w:r>
      <w:r>
        <w:rPr>
          <w:spacing w:val="-14"/>
        </w:rPr>
        <w:t xml:space="preserve"> </w:t>
      </w:r>
      <w:r>
        <w:t>means</w:t>
      </w:r>
      <w:r>
        <w:rPr>
          <w:spacing w:val="-13"/>
        </w:rPr>
        <w:t xml:space="preserve"> </w:t>
      </w:r>
      <w:r>
        <w:t>that</w:t>
      </w:r>
      <w:r>
        <w:rPr>
          <w:spacing w:val="-14"/>
        </w:rPr>
        <w:t xml:space="preserve"> </w:t>
      </w:r>
      <w:r>
        <w:t>NSW became</w:t>
      </w:r>
      <w:r>
        <w:rPr>
          <w:spacing w:val="-14"/>
        </w:rPr>
        <w:t xml:space="preserve"> </w:t>
      </w:r>
      <w:r>
        <w:t>home</w:t>
      </w:r>
      <w:r>
        <w:rPr>
          <w:spacing w:val="-14"/>
        </w:rPr>
        <w:t xml:space="preserve"> </w:t>
      </w:r>
      <w:r>
        <w:t>for</w:t>
      </w:r>
      <w:r>
        <w:rPr>
          <w:spacing w:val="-14"/>
        </w:rPr>
        <w:t xml:space="preserve"> </w:t>
      </w:r>
      <w:r>
        <w:t>only</w:t>
      </w:r>
      <w:r>
        <w:rPr>
          <w:spacing w:val="-14"/>
        </w:rPr>
        <w:t xml:space="preserve"> </w:t>
      </w:r>
      <w:r>
        <w:t>22</w:t>
      </w:r>
      <w:r>
        <w:rPr>
          <w:spacing w:val="-14"/>
        </w:rPr>
        <w:t xml:space="preserve"> </w:t>
      </w:r>
      <w:r>
        <w:t>percent</w:t>
      </w:r>
      <w:r>
        <w:rPr>
          <w:spacing w:val="-14"/>
        </w:rPr>
        <w:t xml:space="preserve"> </w:t>
      </w:r>
      <w:r>
        <w:t>of</w:t>
      </w:r>
      <w:r>
        <w:rPr>
          <w:spacing w:val="-14"/>
        </w:rPr>
        <w:t xml:space="preserve"> </w:t>
      </w:r>
      <w:r>
        <w:t>Australia’s</w:t>
      </w:r>
      <w:r>
        <w:rPr>
          <w:spacing w:val="-14"/>
        </w:rPr>
        <w:t xml:space="preserve"> </w:t>
      </w:r>
      <w:r>
        <w:t xml:space="preserve">newest </w:t>
      </w:r>
      <w:r>
        <w:rPr>
          <w:spacing w:val="-2"/>
        </w:rPr>
        <w:t>residents,</w:t>
      </w:r>
      <w:r>
        <w:rPr>
          <w:spacing w:val="-10"/>
        </w:rPr>
        <w:t xml:space="preserve"> </w:t>
      </w:r>
      <w:r>
        <w:rPr>
          <w:spacing w:val="-2"/>
        </w:rPr>
        <w:t>compared</w:t>
      </w:r>
      <w:r>
        <w:rPr>
          <w:spacing w:val="-10"/>
        </w:rPr>
        <w:t xml:space="preserve"> </w:t>
      </w:r>
      <w:r>
        <w:rPr>
          <w:spacing w:val="-2"/>
        </w:rPr>
        <w:t>to</w:t>
      </w:r>
      <w:r>
        <w:rPr>
          <w:spacing w:val="-10"/>
        </w:rPr>
        <w:t xml:space="preserve"> </w:t>
      </w:r>
      <w:r>
        <w:rPr>
          <w:spacing w:val="-2"/>
        </w:rPr>
        <w:t>around</w:t>
      </w:r>
      <w:r>
        <w:rPr>
          <w:spacing w:val="-10"/>
        </w:rPr>
        <w:t xml:space="preserve"> </w:t>
      </w:r>
      <w:r>
        <w:rPr>
          <w:spacing w:val="-2"/>
        </w:rPr>
        <w:t>a</w:t>
      </w:r>
      <w:r>
        <w:rPr>
          <w:spacing w:val="-10"/>
        </w:rPr>
        <w:t xml:space="preserve"> </w:t>
      </w:r>
      <w:r>
        <w:rPr>
          <w:spacing w:val="-2"/>
        </w:rPr>
        <w:t>third</w:t>
      </w:r>
      <w:r>
        <w:rPr>
          <w:spacing w:val="-10"/>
        </w:rPr>
        <w:t xml:space="preserve"> </w:t>
      </w:r>
      <w:r>
        <w:rPr>
          <w:spacing w:val="-2"/>
        </w:rPr>
        <w:t>(32</w:t>
      </w:r>
      <w:r>
        <w:rPr>
          <w:spacing w:val="-10"/>
        </w:rPr>
        <w:t xml:space="preserve"> </w:t>
      </w:r>
      <w:r>
        <w:rPr>
          <w:spacing w:val="-2"/>
        </w:rPr>
        <w:t>percent)</w:t>
      </w:r>
      <w:r>
        <w:rPr>
          <w:spacing w:val="-10"/>
        </w:rPr>
        <w:t xml:space="preserve"> </w:t>
      </w:r>
      <w:r>
        <w:rPr>
          <w:spacing w:val="-2"/>
        </w:rPr>
        <w:t>of</w:t>
      </w:r>
      <w:r>
        <w:rPr>
          <w:spacing w:val="-10"/>
        </w:rPr>
        <w:t xml:space="preserve"> </w:t>
      </w:r>
      <w:r>
        <w:rPr>
          <w:spacing w:val="-2"/>
        </w:rPr>
        <w:t>all Australians.</w:t>
      </w:r>
      <w:r>
        <w:rPr>
          <w:spacing w:val="-8"/>
        </w:rPr>
        <w:t xml:space="preserve"> </w:t>
      </w:r>
      <w:r>
        <w:rPr>
          <w:spacing w:val="-2"/>
        </w:rPr>
        <w:t>Each</w:t>
      </w:r>
      <w:r>
        <w:rPr>
          <w:spacing w:val="-8"/>
        </w:rPr>
        <w:t xml:space="preserve"> </w:t>
      </w:r>
      <w:r>
        <w:rPr>
          <w:spacing w:val="-2"/>
        </w:rPr>
        <w:t>year</w:t>
      </w:r>
      <w:r>
        <w:rPr>
          <w:spacing w:val="-8"/>
        </w:rPr>
        <w:t xml:space="preserve"> </w:t>
      </w:r>
      <w:r>
        <w:rPr>
          <w:spacing w:val="-2"/>
        </w:rPr>
        <w:t>over</w:t>
      </w:r>
      <w:r>
        <w:rPr>
          <w:spacing w:val="-8"/>
        </w:rPr>
        <w:t xml:space="preserve"> </w:t>
      </w:r>
      <w:r>
        <w:rPr>
          <w:spacing w:val="-2"/>
        </w:rPr>
        <w:t>the</w:t>
      </w:r>
      <w:r>
        <w:rPr>
          <w:spacing w:val="-8"/>
        </w:rPr>
        <w:t xml:space="preserve"> </w:t>
      </w:r>
      <w:r>
        <w:rPr>
          <w:spacing w:val="-2"/>
        </w:rPr>
        <w:t>past</w:t>
      </w:r>
      <w:r>
        <w:rPr>
          <w:spacing w:val="-8"/>
        </w:rPr>
        <w:t xml:space="preserve"> </w:t>
      </w:r>
      <w:r>
        <w:rPr>
          <w:spacing w:val="-2"/>
        </w:rPr>
        <w:t>decade,</w:t>
      </w:r>
      <w:r>
        <w:rPr>
          <w:spacing w:val="-8"/>
        </w:rPr>
        <w:t xml:space="preserve"> </w:t>
      </w:r>
      <w:r>
        <w:rPr>
          <w:spacing w:val="-2"/>
        </w:rPr>
        <w:t>NSW</w:t>
      </w:r>
      <w:r>
        <w:rPr>
          <w:spacing w:val="-8"/>
        </w:rPr>
        <w:t xml:space="preserve"> </w:t>
      </w:r>
      <w:r>
        <w:rPr>
          <w:spacing w:val="-2"/>
        </w:rPr>
        <w:t xml:space="preserve">has </w:t>
      </w:r>
      <w:r>
        <w:t>had</w:t>
      </w:r>
      <w:r>
        <w:rPr>
          <w:spacing w:val="-14"/>
        </w:rPr>
        <w:t xml:space="preserve"> </w:t>
      </w:r>
      <w:r>
        <w:t>an</w:t>
      </w:r>
      <w:r>
        <w:rPr>
          <w:spacing w:val="-14"/>
        </w:rPr>
        <w:t xml:space="preserve"> </w:t>
      </w:r>
      <w:r>
        <w:t>average</w:t>
      </w:r>
      <w:r>
        <w:rPr>
          <w:spacing w:val="-14"/>
        </w:rPr>
        <w:t xml:space="preserve"> </w:t>
      </w:r>
      <w:r>
        <w:t>net</w:t>
      </w:r>
      <w:r>
        <w:rPr>
          <w:spacing w:val="-14"/>
        </w:rPr>
        <w:t xml:space="preserve"> </w:t>
      </w:r>
      <w:r>
        <w:t>interstate</w:t>
      </w:r>
      <w:r>
        <w:rPr>
          <w:spacing w:val="-14"/>
        </w:rPr>
        <w:t xml:space="preserve"> </w:t>
      </w:r>
      <w:r>
        <w:t>migration</w:t>
      </w:r>
      <w:r>
        <w:rPr>
          <w:spacing w:val="-14"/>
        </w:rPr>
        <w:t xml:space="preserve"> </w:t>
      </w:r>
      <w:r>
        <w:t>loss</w:t>
      </w:r>
      <w:r>
        <w:rPr>
          <w:spacing w:val="-14"/>
        </w:rPr>
        <w:t xml:space="preserve"> </w:t>
      </w:r>
      <w:r>
        <w:t>of</w:t>
      </w:r>
      <w:r>
        <w:rPr>
          <w:spacing w:val="-14"/>
        </w:rPr>
        <w:t xml:space="preserve"> </w:t>
      </w:r>
      <w:r>
        <w:t xml:space="preserve">24,000 </w:t>
      </w:r>
      <w:r>
        <w:rPr>
          <w:spacing w:val="-2"/>
        </w:rPr>
        <w:t>people.</w:t>
      </w:r>
      <w:r>
        <w:rPr>
          <w:spacing w:val="-11"/>
        </w:rPr>
        <w:t xml:space="preserve"> </w:t>
      </w:r>
      <w:r>
        <w:rPr>
          <w:spacing w:val="-2"/>
        </w:rPr>
        <w:t>(However,</w:t>
      </w:r>
      <w:r>
        <w:rPr>
          <w:spacing w:val="-11"/>
        </w:rPr>
        <w:t xml:space="preserve"> </w:t>
      </w:r>
      <w:r>
        <w:rPr>
          <w:spacing w:val="-2"/>
        </w:rPr>
        <w:t>since</w:t>
      </w:r>
      <w:r>
        <w:rPr>
          <w:spacing w:val="-11"/>
        </w:rPr>
        <w:t xml:space="preserve"> </w:t>
      </w:r>
      <w:r>
        <w:rPr>
          <w:spacing w:val="-2"/>
        </w:rPr>
        <w:t>2010</w:t>
      </w:r>
      <w:r>
        <w:rPr>
          <w:spacing w:val="-11"/>
        </w:rPr>
        <w:t xml:space="preserve"> </w:t>
      </w:r>
      <w:r>
        <w:rPr>
          <w:spacing w:val="-2"/>
        </w:rPr>
        <w:t>the</w:t>
      </w:r>
      <w:r>
        <w:rPr>
          <w:spacing w:val="-11"/>
        </w:rPr>
        <w:t xml:space="preserve"> </w:t>
      </w:r>
      <w:r>
        <w:rPr>
          <w:spacing w:val="-2"/>
        </w:rPr>
        <w:t>level</w:t>
      </w:r>
      <w:r>
        <w:rPr>
          <w:spacing w:val="-11"/>
        </w:rPr>
        <w:t xml:space="preserve"> </w:t>
      </w:r>
      <w:r>
        <w:rPr>
          <w:spacing w:val="-2"/>
        </w:rPr>
        <w:t>of</w:t>
      </w:r>
      <w:r>
        <w:rPr>
          <w:spacing w:val="-11"/>
        </w:rPr>
        <w:t xml:space="preserve"> </w:t>
      </w:r>
      <w:r>
        <w:rPr>
          <w:spacing w:val="-2"/>
        </w:rPr>
        <w:t>interstate</w:t>
      </w:r>
    </w:p>
    <w:p w:rsidR="002C1123" w:rsidRDefault="002060EF">
      <w:pPr>
        <w:pStyle w:val="BodyText"/>
        <w:spacing w:before="8"/>
        <w:rPr>
          <w:sz w:val="12"/>
        </w:rPr>
      </w:pPr>
      <w:r>
        <w:pict>
          <v:shape id="docshape266" o:spid="_x0000_s5044" style="position:absolute;margin-left:300.95pt;margin-top:8.5pt;width:1in;height:.1pt;z-index:-251419648;mso-wrap-distance-left:0;mso-wrap-distance-right:0;mso-position-horizontal-relative:page" coordorigin="6019,170" coordsize="1440,0" path="m6019,170r1440,e" filled="f" strokecolor="#9c9c9d" strokeweight=".5pt">
            <v:path arrowok="t"/>
            <w10:wrap type="topAndBottom" anchorx="page"/>
          </v:shape>
        </w:pict>
      </w:r>
    </w:p>
    <w:p w:rsidR="002C1123" w:rsidRDefault="00F22F94">
      <w:pPr>
        <w:spacing w:before="23"/>
        <w:ind w:left="391" w:hanging="199"/>
        <w:rPr>
          <w:sz w:val="14"/>
        </w:rPr>
      </w:pPr>
      <w:r>
        <w:rPr>
          <w:w w:val="95"/>
          <w:sz w:val="14"/>
        </w:rPr>
        <w:t>10</w:t>
      </w:r>
      <w:r>
        <w:rPr>
          <w:spacing w:val="35"/>
          <w:sz w:val="14"/>
        </w:rPr>
        <w:t xml:space="preserve"> </w:t>
      </w:r>
      <w:r>
        <w:rPr>
          <w:w w:val="95"/>
          <w:sz w:val="14"/>
        </w:rPr>
        <w:t>NSW Government, Metropolitan Strategy: Economy and Employment</w:t>
      </w:r>
      <w:r>
        <w:rPr>
          <w:spacing w:val="40"/>
          <w:sz w:val="14"/>
        </w:rPr>
        <w:t xml:space="preserve"> </w:t>
      </w:r>
      <w:r>
        <w:rPr>
          <w:sz w:val="14"/>
        </w:rPr>
        <w:t>Strategy for Sydney.</w:t>
      </w:r>
    </w:p>
    <w:p w:rsidR="002C1123" w:rsidRDefault="00F22F94">
      <w:pPr>
        <w:spacing w:line="159" w:lineRule="exact"/>
        <w:ind w:left="192"/>
        <w:rPr>
          <w:sz w:val="14"/>
        </w:rPr>
      </w:pPr>
      <w:r>
        <w:rPr>
          <w:w w:val="95"/>
          <w:sz w:val="14"/>
        </w:rPr>
        <w:t>11</w:t>
      </w:r>
      <w:r>
        <w:rPr>
          <w:spacing w:val="25"/>
          <w:sz w:val="14"/>
        </w:rPr>
        <w:t xml:space="preserve"> </w:t>
      </w:r>
      <w:r>
        <w:rPr>
          <w:w w:val="95"/>
          <w:sz w:val="14"/>
        </w:rPr>
        <w:t>Australian</w:t>
      </w:r>
      <w:r>
        <w:rPr>
          <w:spacing w:val="-3"/>
          <w:w w:val="95"/>
          <w:sz w:val="14"/>
        </w:rPr>
        <w:t xml:space="preserve"> </w:t>
      </w:r>
      <w:r>
        <w:rPr>
          <w:w w:val="95"/>
          <w:sz w:val="14"/>
        </w:rPr>
        <w:t>Bureau</w:t>
      </w:r>
      <w:r>
        <w:rPr>
          <w:spacing w:val="-2"/>
          <w:w w:val="95"/>
          <w:sz w:val="14"/>
        </w:rPr>
        <w:t xml:space="preserve"> </w:t>
      </w:r>
      <w:r>
        <w:rPr>
          <w:w w:val="95"/>
          <w:sz w:val="14"/>
        </w:rPr>
        <w:t>of</w:t>
      </w:r>
      <w:r>
        <w:rPr>
          <w:spacing w:val="-3"/>
          <w:w w:val="95"/>
          <w:sz w:val="14"/>
        </w:rPr>
        <w:t xml:space="preserve"> </w:t>
      </w:r>
      <w:r>
        <w:rPr>
          <w:w w:val="95"/>
          <w:sz w:val="14"/>
        </w:rPr>
        <w:t>Statistics</w:t>
      </w:r>
      <w:r>
        <w:rPr>
          <w:spacing w:val="-2"/>
          <w:w w:val="95"/>
          <w:sz w:val="14"/>
        </w:rPr>
        <w:t xml:space="preserve"> 2012.</w:t>
      </w:r>
    </w:p>
    <w:p w:rsidR="002C1123" w:rsidRDefault="00F22F94">
      <w:pPr>
        <w:pStyle w:val="BodyText"/>
        <w:spacing w:before="106" w:line="249" w:lineRule="auto"/>
        <w:ind w:left="188" w:right="701"/>
      </w:pPr>
      <w:r>
        <w:br w:type="column"/>
      </w:r>
      <w:r>
        <w:rPr>
          <w:w w:val="95"/>
        </w:rPr>
        <w:t>migration</w:t>
      </w:r>
      <w:r>
        <w:rPr>
          <w:spacing w:val="-12"/>
          <w:w w:val="95"/>
        </w:rPr>
        <w:t xml:space="preserve"> </w:t>
      </w:r>
      <w:r>
        <w:rPr>
          <w:w w:val="95"/>
        </w:rPr>
        <w:t>from</w:t>
      </w:r>
      <w:r>
        <w:rPr>
          <w:spacing w:val="-11"/>
          <w:w w:val="95"/>
        </w:rPr>
        <w:t xml:space="preserve"> </w:t>
      </w:r>
      <w:r>
        <w:rPr>
          <w:w w:val="95"/>
        </w:rPr>
        <w:t>NSW</w:t>
      </w:r>
      <w:r>
        <w:rPr>
          <w:spacing w:val="-11"/>
          <w:w w:val="95"/>
        </w:rPr>
        <w:t xml:space="preserve"> </w:t>
      </w:r>
      <w:r>
        <w:rPr>
          <w:w w:val="95"/>
        </w:rPr>
        <w:t>has</w:t>
      </w:r>
      <w:r>
        <w:rPr>
          <w:spacing w:val="-11"/>
          <w:w w:val="95"/>
        </w:rPr>
        <w:t xml:space="preserve"> </w:t>
      </w:r>
      <w:r>
        <w:rPr>
          <w:w w:val="95"/>
        </w:rPr>
        <w:t>fallen</w:t>
      </w:r>
      <w:r>
        <w:rPr>
          <w:spacing w:val="-11"/>
          <w:w w:val="95"/>
        </w:rPr>
        <w:t xml:space="preserve"> </w:t>
      </w:r>
      <w:r>
        <w:rPr>
          <w:w w:val="95"/>
        </w:rPr>
        <w:t>and</w:t>
      </w:r>
      <w:r>
        <w:rPr>
          <w:spacing w:val="-11"/>
          <w:w w:val="95"/>
        </w:rPr>
        <w:t xml:space="preserve"> </w:t>
      </w:r>
      <w:r>
        <w:rPr>
          <w:w w:val="95"/>
        </w:rPr>
        <w:t>the</w:t>
      </w:r>
      <w:r>
        <w:rPr>
          <w:spacing w:val="-11"/>
          <w:w w:val="95"/>
        </w:rPr>
        <w:t xml:space="preserve"> </w:t>
      </w:r>
      <w:r>
        <w:rPr>
          <w:w w:val="95"/>
        </w:rPr>
        <w:t>level</w:t>
      </w:r>
      <w:r>
        <w:rPr>
          <w:spacing w:val="-11"/>
          <w:w w:val="95"/>
        </w:rPr>
        <w:t xml:space="preserve"> </w:t>
      </w:r>
      <w:r>
        <w:rPr>
          <w:w w:val="95"/>
        </w:rPr>
        <w:t>of</w:t>
      </w:r>
      <w:r>
        <w:rPr>
          <w:spacing w:val="-12"/>
          <w:w w:val="95"/>
        </w:rPr>
        <w:t xml:space="preserve"> </w:t>
      </w:r>
      <w:r>
        <w:rPr>
          <w:w w:val="95"/>
        </w:rPr>
        <w:t xml:space="preserve">natural </w:t>
      </w:r>
      <w:r>
        <w:t>growth</w:t>
      </w:r>
      <w:r>
        <w:rPr>
          <w:spacing w:val="-14"/>
        </w:rPr>
        <w:t xml:space="preserve"> </w:t>
      </w:r>
      <w:r>
        <w:t>(fertility</w:t>
      </w:r>
      <w:r>
        <w:rPr>
          <w:spacing w:val="-14"/>
        </w:rPr>
        <w:t xml:space="preserve"> </w:t>
      </w:r>
      <w:r>
        <w:t>rates)</w:t>
      </w:r>
      <w:r>
        <w:rPr>
          <w:spacing w:val="-14"/>
        </w:rPr>
        <w:t xml:space="preserve"> </w:t>
      </w:r>
      <w:r>
        <w:t>has</w:t>
      </w:r>
      <w:r>
        <w:rPr>
          <w:spacing w:val="-14"/>
        </w:rPr>
        <w:t xml:space="preserve"> </w:t>
      </w:r>
      <w:r>
        <w:t>increased).</w:t>
      </w:r>
    </w:p>
    <w:p w:rsidR="002C1123" w:rsidRDefault="00F22F94">
      <w:pPr>
        <w:pStyle w:val="ListParagraph"/>
        <w:numPr>
          <w:ilvl w:val="0"/>
          <w:numId w:val="146"/>
        </w:numPr>
        <w:tabs>
          <w:tab w:val="left" w:pos="472"/>
        </w:tabs>
        <w:spacing w:before="131" w:line="249" w:lineRule="auto"/>
        <w:ind w:left="471" w:right="922"/>
        <w:rPr>
          <w:sz w:val="20"/>
        </w:rPr>
      </w:pPr>
      <w:r>
        <w:rPr>
          <w:sz w:val="20"/>
        </w:rPr>
        <w:t>Under-supply</w:t>
      </w:r>
      <w:r>
        <w:rPr>
          <w:spacing w:val="-14"/>
          <w:sz w:val="20"/>
        </w:rPr>
        <w:t xml:space="preserve"> </w:t>
      </w:r>
      <w:r>
        <w:rPr>
          <w:sz w:val="20"/>
        </w:rPr>
        <w:t>of</w:t>
      </w:r>
      <w:r>
        <w:rPr>
          <w:spacing w:val="-13"/>
          <w:sz w:val="20"/>
        </w:rPr>
        <w:t xml:space="preserve"> </w:t>
      </w:r>
      <w:r>
        <w:rPr>
          <w:sz w:val="20"/>
        </w:rPr>
        <w:t>housing</w:t>
      </w:r>
      <w:r>
        <w:rPr>
          <w:spacing w:val="-14"/>
          <w:sz w:val="20"/>
        </w:rPr>
        <w:t xml:space="preserve"> </w:t>
      </w:r>
      <w:r>
        <w:rPr>
          <w:sz w:val="20"/>
        </w:rPr>
        <w:t>has</w:t>
      </w:r>
      <w:r>
        <w:rPr>
          <w:spacing w:val="-13"/>
          <w:sz w:val="20"/>
        </w:rPr>
        <w:t xml:space="preserve"> </w:t>
      </w:r>
      <w:r>
        <w:rPr>
          <w:sz w:val="20"/>
        </w:rPr>
        <w:t>contributed</w:t>
      </w:r>
      <w:r>
        <w:rPr>
          <w:spacing w:val="-14"/>
          <w:sz w:val="20"/>
        </w:rPr>
        <w:t xml:space="preserve"> </w:t>
      </w:r>
      <w:r>
        <w:rPr>
          <w:sz w:val="20"/>
        </w:rPr>
        <w:t>to</w:t>
      </w:r>
      <w:r>
        <w:rPr>
          <w:spacing w:val="-13"/>
          <w:sz w:val="20"/>
        </w:rPr>
        <w:t xml:space="preserve"> </w:t>
      </w:r>
      <w:r>
        <w:rPr>
          <w:sz w:val="20"/>
        </w:rPr>
        <w:t>lower population</w:t>
      </w:r>
      <w:r>
        <w:rPr>
          <w:spacing w:val="-4"/>
          <w:sz w:val="20"/>
        </w:rPr>
        <w:t xml:space="preserve"> </w:t>
      </w:r>
      <w:r>
        <w:rPr>
          <w:sz w:val="20"/>
        </w:rPr>
        <w:t>growth.</w:t>
      </w:r>
      <w:r>
        <w:rPr>
          <w:spacing w:val="-4"/>
          <w:sz w:val="20"/>
        </w:rPr>
        <w:t xml:space="preserve"> </w:t>
      </w:r>
      <w:r>
        <w:rPr>
          <w:sz w:val="20"/>
        </w:rPr>
        <w:t>Building</w:t>
      </w:r>
      <w:r>
        <w:rPr>
          <w:spacing w:val="-4"/>
          <w:sz w:val="20"/>
        </w:rPr>
        <w:t xml:space="preserve"> </w:t>
      </w:r>
      <w:r>
        <w:rPr>
          <w:sz w:val="20"/>
        </w:rPr>
        <w:t>enough</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right housing</w:t>
      </w:r>
      <w:r>
        <w:rPr>
          <w:spacing w:val="-9"/>
          <w:sz w:val="20"/>
        </w:rPr>
        <w:t xml:space="preserve"> </w:t>
      </w:r>
      <w:r>
        <w:rPr>
          <w:sz w:val="20"/>
        </w:rPr>
        <w:t>is</w:t>
      </w:r>
      <w:r>
        <w:rPr>
          <w:spacing w:val="-9"/>
          <w:sz w:val="20"/>
        </w:rPr>
        <w:t xml:space="preserve"> </w:t>
      </w:r>
      <w:r>
        <w:rPr>
          <w:sz w:val="20"/>
        </w:rPr>
        <w:t>not</w:t>
      </w:r>
      <w:r>
        <w:rPr>
          <w:spacing w:val="-9"/>
          <w:sz w:val="20"/>
        </w:rPr>
        <w:t xml:space="preserve"> </w:t>
      </w:r>
      <w:r>
        <w:rPr>
          <w:sz w:val="20"/>
        </w:rPr>
        <w:t>only</w:t>
      </w:r>
      <w:r>
        <w:rPr>
          <w:spacing w:val="-9"/>
          <w:sz w:val="20"/>
        </w:rPr>
        <w:t xml:space="preserve"> </w:t>
      </w:r>
      <w:r>
        <w:rPr>
          <w:sz w:val="20"/>
        </w:rPr>
        <w:t>important</w:t>
      </w:r>
      <w:r>
        <w:rPr>
          <w:spacing w:val="-9"/>
          <w:sz w:val="20"/>
        </w:rPr>
        <w:t xml:space="preserve"> </w:t>
      </w:r>
      <w:r>
        <w:rPr>
          <w:sz w:val="20"/>
        </w:rPr>
        <w:t>for</w:t>
      </w:r>
      <w:r>
        <w:rPr>
          <w:spacing w:val="-9"/>
          <w:sz w:val="20"/>
        </w:rPr>
        <w:t xml:space="preserve"> </w:t>
      </w:r>
      <w:r>
        <w:rPr>
          <w:sz w:val="20"/>
        </w:rPr>
        <w:t>individual</w:t>
      </w:r>
      <w:r>
        <w:rPr>
          <w:spacing w:val="-9"/>
          <w:sz w:val="20"/>
        </w:rPr>
        <w:t xml:space="preserve"> </w:t>
      </w:r>
      <w:r>
        <w:rPr>
          <w:sz w:val="20"/>
        </w:rPr>
        <w:t>needs but</w:t>
      </w:r>
      <w:r>
        <w:rPr>
          <w:spacing w:val="-9"/>
          <w:sz w:val="20"/>
        </w:rPr>
        <w:t xml:space="preserve"> </w:t>
      </w:r>
      <w:r>
        <w:rPr>
          <w:sz w:val="20"/>
        </w:rPr>
        <w:t>also</w:t>
      </w:r>
      <w:r>
        <w:rPr>
          <w:spacing w:val="-9"/>
          <w:sz w:val="20"/>
        </w:rPr>
        <w:t xml:space="preserve"> </w:t>
      </w:r>
      <w:r>
        <w:rPr>
          <w:sz w:val="20"/>
        </w:rPr>
        <w:t>for</w:t>
      </w:r>
      <w:r>
        <w:rPr>
          <w:spacing w:val="-9"/>
          <w:sz w:val="20"/>
        </w:rPr>
        <w:t xml:space="preserve"> </w:t>
      </w:r>
      <w:r>
        <w:rPr>
          <w:sz w:val="20"/>
        </w:rPr>
        <w:t>the</w:t>
      </w:r>
      <w:r>
        <w:rPr>
          <w:spacing w:val="-9"/>
          <w:sz w:val="20"/>
        </w:rPr>
        <w:t xml:space="preserve"> </w:t>
      </w:r>
      <w:r>
        <w:rPr>
          <w:sz w:val="20"/>
        </w:rPr>
        <w:t>structure</w:t>
      </w:r>
      <w:r>
        <w:rPr>
          <w:spacing w:val="-9"/>
          <w:sz w:val="20"/>
        </w:rPr>
        <w:t xml:space="preserve"> </w:t>
      </w:r>
      <w:r>
        <w:rPr>
          <w:sz w:val="20"/>
        </w:rPr>
        <w:t>of</w:t>
      </w:r>
      <w:r>
        <w:rPr>
          <w:spacing w:val="-9"/>
          <w:sz w:val="20"/>
        </w:rPr>
        <w:t xml:space="preserve"> </w:t>
      </w:r>
      <w:r>
        <w:rPr>
          <w:sz w:val="20"/>
        </w:rPr>
        <w:t>our</w:t>
      </w:r>
      <w:r>
        <w:rPr>
          <w:spacing w:val="-9"/>
          <w:sz w:val="20"/>
        </w:rPr>
        <w:t xml:space="preserve"> </w:t>
      </w:r>
      <w:r>
        <w:rPr>
          <w:sz w:val="20"/>
        </w:rPr>
        <w:t>cities</w:t>
      </w:r>
      <w:r>
        <w:rPr>
          <w:position w:val="7"/>
          <w:sz w:val="11"/>
        </w:rPr>
        <w:t>12</w:t>
      </w:r>
      <w:r>
        <w:rPr>
          <w:sz w:val="20"/>
        </w:rPr>
        <w:t>.</w:t>
      </w:r>
      <w:r>
        <w:rPr>
          <w:spacing w:val="-9"/>
          <w:sz w:val="20"/>
        </w:rPr>
        <w:t xml:space="preserve"> </w:t>
      </w:r>
      <w:r>
        <w:rPr>
          <w:sz w:val="20"/>
        </w:rPr>
        <w:t xml:space="preserve">Housing </w:t>
      </w:r>
      <w:r>
        <w:rPr>
          <w:w w:val="95"/>
          <w:sz w:val="20"/>
        </w:rPr>
        <w:t>construction in Sydney declined from</w:t>
      </w:r>
      <w:r>
        <w:rPr>
          <w:spacing w:val="-1"/>
          <w:w w:val="95"/>
          <w:sz w:val="20"/>
        </w:rPr>
        <w:t xml:space="preserve"> </w:t>
      </w:r>
      <w:r>
        <w:rPr>
          <w:w w:val="95"/>
          <w:sz w:val="20"/>
        </w:rPr>
        <w:t xml:space="preserve">2000 to 2010 </w:t>
      </w:r>
      <w:r>
        <w:rPr>
          <w:spacing w:val="-2"/>
          <w:w w:val="95"/>
          <w:sz w:val="20"/>
        </w:rPr>
        <w:t>and</w:t>
      </w:r>
      <w:r>
        <w:rPr>
          <w:spacing w:val="-6"/>
          <w:w w:val="95"/>
          <w:sz w:val="20"/>
        </w:rPr>
        <w:t xml:space="preserve"> </w:t>
      </w:r>
      <w:r>
        <w:rPr>
          <w:spacing w:val="-2"/>
          <w:w w:val="95"/>
          <w:sz w:val="20"/>
        </w:rPr>
        <w:t>is</w:t>
      </w:r>
      <w:r>
        <w:rPr>
          <w:spacing w:val="-6"/>
          <w:w w:val="95"/>
          <w:sz w:val="20"/>
        </w:rPr>
        <w:t xml:space="preserve"> </w:t>
      </w:r>
      <w:r>
        <w:rPr>
          <w:spacing w:val="-2"/>
          <w:w w:val="95"/>
          <w:sz w:val="20"/>
        </w:rPr>
        <w:t>at</w:t>
      </w:r>
      <w:r>
        <w:rPr>
          <w:spacing w:val="-6"/>
          <w:w w:val="95"/>
          <w:sz w:val="20"/>
        </w:rPr>
        <w:t xml:space="preserve"> </w:t>
      </w:r>
      <w:r>
        <w:rPr>
          <w:spacing w:val="-2"/>
          <w:w w:val="95"/>
          <w:sz w:val="20"/>
        </w:rPr>
        <w:t>historical</w:t>
      </w:r>
      <w:r>
        <w:rPr>
          <w:spacing w:val="-6"/>
          <w:w w:val="95"/>
          <w:sz w:val="20"/>
        </w:rPr>
        <w:t xml:space="preserve"> </w:t>
      </w:r>
      <w:r>
        <w:rPr>
          <w:spacing w:val="-2"/>
          <w:w w:val="95"/>
          <w:sz w:val="20"/>
        </w:rPr>
        <w:t>low</w:t>
      </w:r>
      <w:r>
        <w:rPr>
          <w:spacing w:val="-6"/>
          <w:w w:val="95"/>
          <w:sz w:val="20"/>
        </w:rPr>
        <w:t xml:space="preserve"> </w:t>
      </w:r>
      <w:r>
        <w:rPr>
          <w:spacing w:val="-2"/>
          <w:w w:val="95"/>
          <w:sz w:val="20"/>
        </w:rPr>
        <w:t>levels</w:t>
      </w:r>
      <w:r>
        <w:rPr>
          <w:spacing w:val="-6"/>
          <w:w w:val="95"/>
          <w:sz w:val="20"/>
        </w:rPr>
        <w:t xml:space="preserve"> </w:t>
      </w:r>
      <w:r>
        <w:rPr>
          <w:spacing w:val="-2"/>
          <w:w w:val="95"/>
          <w:sz w:val="20"/>
        </w:rPr>
        <w:t>as</w:t>
      </w:r>
      <w:r>
        <w:rPr>
          <w:spacing w:val="-6"/>
          <w:w w:val="95"/>
          <w:sz w:val="20"/>
        </w:rPr>
        <w:t xml:space="preserve"> </w:t>
      </w:r>
      <w:r>
        <w:rPr>
          <w:spacing w:val="-2"/>
          <w:w w:val="95"/>
          <w:sz w:val="20"/>
        </w:rPr>
        <w:t>shown</w:t>
      </w:r>
      <w:r>
        <w:rPr>
          <w:spacing w:val="-6"/>
          <w:w w:val="95"/>
          <w:sz w:val="20"/>
        </w:rPr>
        <w:t xml:space="preserve"> </w:t>
      </w:r>
      <w:r>
        <w:rPr>
          <w:spacing w:val="-2"/>
          <w:w w:val="95"/>
          <w:sz w:val="20"/>
        </w:rPr>
        <w:t>in</w:t>
      </w:r>
      <w:r>
        <w:rPr>
          <w:spacing w:val="-6"/>
          <w:w w:val="95"/>
          <w:sz w:val="20"/>
        </w:rPr>
        <w:t xml:space="preserve"> </w:t>
      </w:r>
      <w:r>
        <w:rPr>
          <w:spacing w:val="-2"/>
          <w:w w:val="95"/>
          <w:sz w:val="20"/>
        </w:rPr>
        <w:t>Figure</w:t>
      </w:r>
      <w:r>
        <w:rPr>
          <w:spacing w:val="-6"/>
          <w:w w:val="95"/>
          <w:sz w:val="20"/>
        </w:rPr>
        <w:t xml:space="preserve"> </w:t>
      </w:r>
      <w:r>
        <w:rPr>
          <w:spacing w:val="-2"/>
          <w:w w:val="95"/>
          <w:sz w:val="20"/>
        </w:rPr>
        <w:t>2.1.</w:t>
      </w:r>
    </w:p>
    <w:p w:rsidR="002C1123" w:rsidRDefault="00F22F94">
      <w:pPr>
        <w:pStyle w:val="ListParagraph"/>
        <w:numPr>
          <w:ilvl w:val="0"/>
          <w:numId w:val="146"/>
        </w:numPr>
        <w:tabs>
          <w:tab w:val="left" w:pos="472"/>
        </w:tabs>
        <w:spacing w:before="133" w:line="249" w:lineRule="auto"/>
        <w:ind w:left="471" w:right="711"/>
        <w:rPr>
          <w:sz w:val="20"/>
        </w:rPr>
      </w:pPr>
      <w:r>
        <w:rPr>
          <w:sz w:val="20"/>
        </w:rPr>
        <w:t>Under-supply</w:t>
      </w:r>
      <w:r>
        <w:rPr>
          <w:spacing w:val="-13"/>
          <w:sz w:val="20"/>
        </w:rPr>
        <w:t xml:space="preserve"> </w:t>
      </w:r>
      <w:r>
        <w:rPr>
          <w:sz w:val="20"/>
        </w:rPr>
        <w:t>of</w:t>
      </w:r>
      <w:r>
        <w:rPr>
          <w:spacing w:val="-13"/>
          <w:sz w:val="20"/>
        </w:rPr>
        <w:t xml:space="preserve"> </w:t>
      </w:r>
      <w:r>
        <w:rPr>
          <w:sz w:val="20"/>
        </w:rPr>
        <w:t>housing</w:t>
      </w:r>
      <w:r>
        <w:rPr>
          <w:spacing w:val="-13"/>
          <w:sz w:val="20"/>
        </w:rPr>
        <w:t xml:space="preserve"> </w:t>
      </w:r>
      <w:r>
        <w:rPr>
          <w:sz w:val="20"/>
        </w:rPr>
        <w:t>in</w:t>
      </w:r>
      <w:r>
        <w:rPr>
          <w:spacing w:val="-13"/>
          <w:sz w:val="20"/>
        </w:rPr>
        <w:t xml:space="preserve"> </w:t>
      </w:r>
      <w:r>
        <w:rPr>
          <w:sz w:val="20"/>
        </w:rPr>
        <w:t>established</w:t>
      </w:r>
      <w:r>
        <w:rPr>
          <w:spacing w:val="-13"/>
          <w:sz w:val="20"/>
        </w:rPr>
        <w:t xml:space="preserve"> </w:t>
      </w:r>
      <w:r>
        <w:rPr>
          <w:sz w:val="20"/>
        </w:rPr>
        <w:t>areas</w:t>
      </w:r>
      <w:r>
        <w:rPr>
          <w:spacing w:val="-13"/>
          <w:sz w:val="20"/>
        </w:rPr>
        <w:t xml:space="preserve"> </w:t>
      </w:r>
      <w:r>
        <w:rPr>
          <w:sz w:val="20"/>
        </w:rPr>
        <w:t xml:space="preserve">is </w:t>
      </w:r>
      <w:r>
        <w:rPr>
          <w:w w:val="95"/>
          <w:sz w:val="20"/>
        </w:rPr>
        <w:t>reportedly</w:t>
      </w:r>
      <w:r>
        <w:rPr>
          <w:spacing w:val="-2"/>
          <w:w w:val="95"/>
          <w:sz w:val="20"/>
        </w:rPr>
        <w:t xml:space="preserve"> </w:t>
      </w:r>
      <w:r>
        <w:rPr>
          <w:w w:val="95"/>
          <w:sz w:val="20"/>
        </w:rPr>
        <w:t>due</w:t>
      </w:r>
      <w:r>
        <w:rPr>
          <w:spacing w:val="-2"/>
          <w:w w:val="95"/>
          <w:sz w:val="20"/>
        </w:rPr>
        <w:t xml:space="preserve"> </w:t>
      </w:r>
      <w:r>
        <w:rPr>
          <w:w w:val="95"/>
          <w:sz w:val="20"/>
        </w:rPr>
        <w:t>to</w:t>
      </w:r>
      <w:r>
        <w:rPr>
          <w:spacing w:val="-2"/>
          <w:w w:val="95"/>
          <w:sz w:val="20"/>
        </w:rPr>
        <w:t xml:space="preserve"> </w:t>
      </w:r>
      <w:r>
        <w:rPr>
          <w:w w:val="95"/>
          <w:sz w:val="20"/>
        </w:rPr>
        <w:t>planning</w:t>
      </w:r>
      <w:r>
        <w:rPr>
          <w:spacing w:val="-2"/>
          <w:w w:val="95"/>
          <w:sz w:val="20"/>
        </w:rPr>
        <w:t xml:space="preserve"> </w:t>
      </w:r>
      <w:r>
        <w:rPr>
          <w:w w:val="95"/>
          <w:sz w:val="20"/>
        </w:rPr>
        <w:t>complexity</w:t>
      </w:r>
      <w:r>
        <w:rPr>
          <w:spacing w:val="-2"/>
          <w:w w:val="95"/>
          <w:sz w:val="20"/>
        </w:rPr>
        <w:t xml:space="preserve"> </w:t>
      </w:r>
      <w:r>
        <w:rPr>
          <w:w w:val="95"/>
          <w:sz w:val="20"/>
        </w:rPr>
        <w:t>and</w:t>
      </w:r>
      <w:r>
        <w:rPr>
          <w:spacing w:val="-2"/>
          <w:w w:val="95"/>
          <w:sz w:val="20"/>
        </w:rPr>
        <w:t xml:space="preserve"> </w:t>
      </w:r>
      <w:r>
        <w:rPr>
          <w:w w:val="95"/>
          <w:sz w:val="20"/>
        </w:rPr>
        <w:t>delays</w:t>
      </w:r>
      <w:r>
        <w:rPr>
          <w:spacing w:val="-2"/>
          <w:w w:val="95"/>
          <w:sz w:val="20"/>
        </w:rPr>
        <w:t xml:space="preserve"> </w:t>
      </w:r>
      <w:r>
        <w:rPr>
          <w:w w:val="95"/>
          <w:sz w:val="20"/>
        </w:rPr>
        <w:t xml:space="preserve">and </w:t>
      </w:r>
      <w:r>
        <w:rPr>
          <w:sz w:val="20"/>
        </w:rPr>
        <w:t>higher</w:t>
      </w:r>
      <w:r>
        <w:rPr>
          <w:spacing w:val="-6"/>
          <w:sz w:val="20"/>
        </w:rPr>
        <w:t xml:space="preserve"> </w:t>
      </w:r>
      <w:r>
        <w:rPr>
          <w:sz w:val="20"/>
        </w:rPr>
        <w:t>construction</w:t>
      </w:r>
      <w:r>
        <w:rPr>
          <w:spacing w:val="-6"/>
          <w:sz w:val="20"/>
        </w:rPr>
        <w:t xml:space="preserve"> </w:t>
      </w:r>
      <w:r>
        <w:rPr>
          <w:sz w:val="20"/>
        </w:rPr>
        <w:t>costs</w:t>
      </w:r>
      <w:r>
        <w:rPr>
          <w:position w:val="7"/>
          <w:sz w:val="11"/>
        </w:rPr>
        <w:t>13</w:t>
      </w:r>
      <w:r>
        <w:rPr>
          <w:sz w:val="20"/>
        </w:rPr>
        <w:t>.</w:t>
      </w:r>
      <w:r>
        <w:rPr>
          <w:spacing w:val="-6"/>
          <w:sz w:val="20"/>
        </w:rPr>
        <w:t xml:space="preserve"> </w:t>
      </w:r>
      <w:r>
        <w:rPr>
          <w:sz w:val="20"/>
        </w:rPr>
        <w:t>Sydney’s</w:t>
      </w:r>
      <w:r>
        <w:rPr>
          <w:spacing w:val="-6"/>
          <w:sz w:val="20"/>
        </w:rPr>
        <w:t xml:space="preserve"> </w:t>
      </w:r>
      <w:r>
        <w:rPr>
          <w:sz w:val="20"/>
        </w:rPr>
        <w:t>high</w:t>
      </w:r>
      <w:r>
        <w:rPr>
          <w:spacing w:val="-6"/>
          <w:sz w:val="20"/>
        </w:rPr>
        <w:t xml:space="preserve"> </w:t>
      </w:r>
      <w:r>
        <w:rPr>
          <w:sz w:val="20"/>
        </w:rPr>
        <w:t>cost</w:t>
      </w:r>
      <w:r>
        <w:rPr>
          <w:spacing w:val="-6"/>
          <w:sz w:val="20"/>
        </w:rPr>
        <w:t xml:space="preserve"> </w:t>
      </w:r>
      <w:r>
        <w:rPr>
          <w:sz w:val="20"/>
        </w:rPr>
        <w:t xml:space="preserve">of </w:t>
      </w:r>
      <w:r>
        <w:rPr>
          <w:w w:val="95"/>
          <w:sz w:val="20"/>
        </w:rPr>
        <w:t xml:space="preserve">land (the highest in Australia) and lack of land supply </w:t>
      </w:r>
      <w:r>
        <w:rPr>
          <w:sz w:val="20"/>
        </w:rPr>
        <w:t>in</w:t>
      </w:r>
      <w:r>
        <w:rPr>
          <w:spacing w:val="-14"/>
          <w:sz w:val="20"/>
        </w:rPr>
        <w:t xml:space="preserve"> </w:t>
      </w:r>
      <w:r>
        <w:rPr>
          <w:sz w:val="20"/>
        </w:rPr>
        <w:t>greenfield</w:t>
      </w:r>
      <w:r>
        <w:rPr>
          <w:spacing w:val="-14"/>
          <w:sz w:val="20"/>
        </w:rPr>
        <w:t xml:space="preserve"> </w:t>
      </w:r>
      <w:r>
        <w:rPr>
          <w:sz w:val="20"/>
        </w:rPr>
        <w:t>areas,</w:t>
      </w:r>
      <w:r>
        <w:rPr>
          <w:spacing w:val="-14"/>
          <w:sz w:val="20"/>
        </w:rPr>
        <w:t xml:space="preserve"> </w:t>
      </w:r>
      <w:r>
        <w:rPr>
          <w:sz w:val="20"/>
        </w:rPr>
        <w:t>combined</w:t>
      </w:r>
      <w:r>
        <w:rPr>
          <w:spacing w:val="-14"/>
          <w:sz w:val="20"/>
        </w:rPr>
        <w:t xml:space="preserve"> </w:t>
      </w:r>
      <w:r>
        <w:rPr>
          <w:sz w:val="20"/>
        </w:rPr>
        <w:t>with</w:t>
      </w:r>
      <w:r>
        <w:rPr>
          <w:spacing w:val="-14"/>
          <w:sz w:val="20"/>
        </w:rPr>
        <w:t xml:space="preserve"> </w:t>
      </w:r>
      <w:r>
        <w:rPr>
          <w:sz w:val="20"/>
        </w:rPr>
        <w:t>the</w:t>
      </w:r>
      <w:r>
        <w:rPr>
          <w:spacing w:val="-14"/>
          <w:sz w:val="20"/>
        </w:rPr>
        <w:t xml:space="preserve"> </w:t>
      </w:r>
      <w:r>
        <w:rPr>
          <w:sz w:val="20"/>
        </w:rPr>
        <w:t>under-supply in</w:t>
      </w:r>
      <w:r>
        <w:rPr>
          <w:spacing w:val="-11"/>
          <w:sz w:val="20"/>
        </w:rPr>
        <w:t xml:space="preserve"> </w:t>
      </w:r>
      <w:r>
        <w:rPr>
          <w:sz w:val="20"/>
        </w:rPr>
        <w:t>established</w:t>
      </w:r>
      <w:r>
        <w:rPr>
          <w:spacing w:val="-11"/>
          <w:sz w:val="20"/>
        </w:rPr>
        <w:t xml:space="preserve"> </w:t>
      </w:r>
      <w:r>
        <w:rPr>
          <w:sz w:val="20"/>
        </w:rPr>
        <w:t>areas,</w:t>
      </w:r>
      <w:r>
        <w:rPr>
          <w:spacing w:val="-11"/>
          <w:sz w:val="20"/>
        </w:rPr>
        <w:t xml:space="preserve"> </w:t>
      </w:r>
      <w:r>
        <w:rPr>
          <w:sz w:val="20"/>
        </w:rPr>
        <w:t>contributes</w:t>
      </w:r>
      <w:r>
        <w:rPr>
          <w:spacing w:val="-11"/>
          <w:sz w:val="20"/>
        </w:rPr>
        <w:t xml:space="preserve"> </w:t>
      </w:r>
      <w:r>
        <w:rPr>
          <w:sz w:val="20"/>
        </w:rPr>
        <w:t>to</w:t>
      </w:r>
      <w:r>
        <w:rPr>
          <w:spacing w:val="-11"/>
          <w:sz w:val="20"/>
        </w:rPr>
        <w:t xml:space="preserve"> </w:t>
      </w:r>
      <w:r>
        <w:rPr>
          <w:sz w:val="20"/>
        </w:rPr>
        <w:t>households</w:t>
      </w:r>
      <w:r>
        <w:rPr>
          <w:spacing w:val="-11"/>
          <w:sz w:val="20"/>
        </w:rPr>
        <w:t xml:space="preserve"> </w:t>
      </w:r>
      <w:r>
        <w:rPr>
          <w:sz w:val="20"/>
        </w:rPr>
        <w:t>in Sydney</w:t>
      </w:r>
      <w:r>
        <w:rPr>
          <w:spacing w:val="-13"/>
          <w:sz w:val="20"/>
        </w:rPr>
        <w:t xml:space="preserve"> </w:t>
      </w:r>
      <w:r>
        <w:rPr>
          <w:sz w:val="20"/>
        </w:rPr>
        <w:t>facing</w:t>
      </w:r>
      <w:r>
        <w:rPr>
          <w:spacing w:val="-13"/>
          <w:sz w:val="20"/>
        </w:rPr>
        <w:t xml:space="preserve"> </w:t>
      </w:r>
      <w:r>
        <w:rPr>
          <w:sz w:val="20"/>
        </w:rPr>
        <w:t>the</w:t>
      </w:r>
      <w:r>
        <w:rPr>
          <w:spacing w:val="-13"/>
          <w:sz w:val="20"/>
        </w:rPr>
        <w:t xml:space="preserve"> </w:t>
      </w:r>
      <w:r>
        <w:rPr>
          <w:sz w:val="20"/>
        </w:rPr>
        <w:t>greatest</w:t>
      </w:r>
      <w:r>
        <w:rPr>
          <w:spacing w:val="-13"/>
          <w:sz w:val="20"/>
        </w:rPr>
        <w:t xml:space="preserve"> </w:t>
      </w:r>
      <w:r>
        <w:rPr>
          <w:sz w:val="20"/>
        </w:rPr>
        <w:t>housing</w:t>
      </w:r>
      <w:r>
        <w:rPr>
          <w:spacing w:val="-13"/>
          <w:sz w:val="20"/>
        </w:rPr>
        <w:t xml:space="preserve"> </w:t>
      </w:r>
      <w:r>
        <w:rPr>
          <w:sz w:val="20"/>
        </w:rPr>
        <w:t>affordability pressures</w:t>
      </w:r>
      <w:r>
        <w:rPr>
          <w:position w:val="7"/>
          <w:sz w:val="11"/>
        </w:rPr>
        <w:t>14</w:t>
      </w:r>
      <w:r>
        <w:rPr>
          <w:spacing w:val="-1"/>
          <w:position w:val="7"/>
          <w:sz w:val="11"/>
        </w:rPr>
        <w:t xml:space="preserve"> </w:t>
      </w:r>
      <w:r>
        <w:rPr>
          <w:sz w:val="20"/>
        </w:rPr>
        <w:t>and,</w:t>
      </w:r>
      <w:r>
        <w:rPr>
          <w:spacing w:val="-14"/>
          <w:sz w:val="20"/>
        </w:rPr>
        <w:t xml:space="preserve"> </w:t>
      </w:r>
      <w:r>
        <w:rPr>
          <w:sz w:val="20"/>
        </w:rPr>
        <w:t>in</w:t>
      </w:r>
      <w:r>
        <w:rPr>
          <w:spacing w:val="-14"/>
          <w:sz w:val="20"/>
        </w:rPr>
        <w:t xml:space="preserve"> </w:t>
      </w:r>
      <w:r>
        <w:rPr>
          <w:sz w:val="20"/>
        </w:rPr>
        <w:t>turn,</w:t>
      </w:r>
      <w:r>
        <w:rPr>
          <w:spacing w:val="-14"/>
          <w:sz w:val="20"/>
        </w:rPr>
        <w:t xml:space="preserve"> </w:t>
      </w:r>
      <w:r>
        <w:rPr>
          <w:sz w:val="20"/>
        </w:rPr>
        <w:t>contributes</w:t>
      </w:r>
      <w:r>
        <w:rPr>
          <w:spacing w:val="-14"/>
          <w:sz w:val="20"/>
        </w:rPr>
        <w:t xml:space="preserve"> </w:t>
      </w:r>
      <w:r>
        <w:rPr>
          <w:sz w:val="20"/>
        </w:rPr>
        <w:t>to</w:t>
      </w:r>
      <w:r>
        <w:rPr>
          <w:spacing w:val="-14"/>
          <w:sz w:val="20"/>
        </w:rPr>
        <w:t xml:space="preserve"> </w:t>
      </w:r>
      <w:r>
        <w:rPr>
          <w:sz w:val="20"/>
        </w:rPr>
        <w:t>the</w:t>
      </w:r>
      <w:r>
        <w:rPr>
          <w:spacing w:val="-14"/>
          <w:sz w:val="20"/>
        </w:rPr>
        <w:t xml:space="preserve"> </w:t>
      </w:r>
      <w:r>
        <w:rPr>
          <w:sz w:val="20"/>
        </w:rPr>
        <w:t>high</w:t>
      </w:r>
      <w:r>
        <w:rPr>
          <w:spacing w:val="-13"/>
          <w:sz w:val="20"/>
        </w:rPr>
        <w:t xml:space="preserve"> </w:t>
      </w:r>
      <w:r>
        <w:rPr>
          <w:sz w:val="20"/>
        </w:rPr>
        <w:t>level of interstate migration.</w:t>
      </w:r>
    </w:p>
    <w:p w:rsidR="002C1123" w:rsidRDefault="00F22F94">
      <w:pPr>
        <w:pStyle w:val="ListParagraph"/>
        <w:numPr>
          <w:ilvl w:val="0"/>
          <w:numId w:val="146"/>
        </w:numPr>
        <w:tabs>
          <w:tab w:val="left" w:pos="472"/>
        </w:tabs>
        <w:spacing w:before="137" w:line="249" w:lineRule="auto"/>
        <w:ind w:left="471" w:right="857"/>
        <w:rPr>
          <w:sz w:val="20"/>
        </w:rPr>
      </w:pPr>
      <w:r>
        <w:rPr>
          <w:sz w:val="20"/>
        </w:rPr>
        <w:t>Road and traffic congestion impact on the economies</w:t>
      </w:r>
      <w:r>
        <w:rPr>
          <w:spacing w:val="-10"/>
          <w:sz w:val="20"/>
        </w:rPr>
        <w:t xml:space="preserve"> </w:t>
      </w:r>
      <w:r>
        <w:rPr>
          <w:sz w:val="20"/>
        </w:rPr>
        <w:t>of</w:t>
      </w:r>
      <w:r>
        <w:rPr>
          <w:spacing w:val="-10"/>
          <w:sz w:val="20"/>
        </w:rPr>
        <w:t xml:space="preserve"> </w:t>
      </w:r>
      <w:r>
        <w:rPr>
          <w:sz w:val="20"/>
        </w:rPr>
        <w:t>both</w:t>
      </w:r>
      <w:r>
        <w:rPr>
          <w:spacing w:val="-10"/>
          <w:sz w:val="20"/>
        </w:rPr>
        <w:t xml:space="preserve"> </w:t>
      </w:r>
      <w:r>
        <w:rPr>
          <w:sz w:val="20"/>
        </w:rPr>
        <w:t>NSW</w:t>
      </w:r>
      <w:r>
        <w:rPr>
          <w:spacing w:val="-10"/>
          <w:sz w:val="20"/>
        </w:rPr>
        <w:t xml:space="preserve"> </w:t>
      </w:r>
      <w:r>
        <w:rPr>
          <w:sz w:val="20"/>
        </w:rPr>
        <w:t>and</w:t>
      </w:r>
      <w:r>
        <w:rPr>
          <w:spacing w:val="-10"/>
          <w:sz w:val="20"/>
        </w:rPr>
        <w:t xml:space="preserve"> </w:t>
      </w:r>
      <w:r>
        <w:rPr>
          <w:sz w:val="20"/>
        </w:rPr>
        <w:t>Australia</w:t>
      </w:r>
      <w:r>
        <w:rPr>
          <w:spacing w:val="-10"/>
          <w:sz w:val="20"/>
        </w:rPr>
        <w:t xml:space="preserve"> </w:t>
      </w:r>
      <w:r>
        <w:rPr>
          <w:sz w:val="20"/>
        </w:rPr>
        <w:t>has</w:t>
      </w:r>
      <w:r>
        <w:rPr>
          <w:spacing w:val="-10"/>
          <w:sz w:val="20"/>
        </w:rPr>
        <w:t xml:space="preserve"> </w:t>
      </w:r>
      <w:r>
        <w:rPr>
          <w:sz w:val="20"/>
        </w:rPr>
        <w:t xml:space="preserve">been </w:t>
      </w:r>
      <w:r>
        <w:rPr>
          <w:w w:val="95"/>
          <w:sz w:val="20"/>
        </w:rPr>
        <w:t>variously</w:t>
      </w:r>
      <w:r>
        <w:rPr>
          <w:spacing w:val="-6"/>
          <w:w w:val="95"/>
          <w:sz w:val="20"/>
        </w:rPr>
        <w:t xml:space="preserve"> </w:t>
      </w:r>
      <w:r>
        <w:rPr>
          <w:w w:val="95"/>
          <w:sz w:val="20"/>
        </w:rPr>
        <w:t>estimated</w:t>
      </w:r>
      <w:r>
        <w:rPr>
          <w:spacing w:val="-6"/>
          <w:w w:val="95"/>
          <w:sz w:val="20"/>
        </w:rPr>
        <w:t xml:space="preserve"> </w:t>
      </w:r>
      <w:r>
        <w:rPr>
          <w:w w:val="95"/>
          <w:sz w:val="20"/>
        </w:rPr>
        <w:t>between</w:t>
      </w:r>
      <w:r>
        <w:rPr>
          <w:spacing w:val="-6"/>
          <w:w w:val="95"/>
          <w:sz w:val="20"/>
        </w:rPr>
        <w:t xml:space="preserve"> </w:t>
      </w:r>
      <w:r>
        <w:rPr>
          <w:w w:val="95"/>
          <w:sz w:val="20"/>
        </w:rPr>
        <w:t>$5</w:t>
      </w:r>
      <w:r>
        <w:rPr>
          <w:spacing w:val="-6"/>
          <w:w w:val="95"/>
          <w:sz w:val="20"/>
        </w:rPr>
        <w:t xml:space="preserve"> </w:t>
      </w:r>
      <w:r>
        <w:rPr>
          <w:w w:val="95"/>
          <w:sz w:val="20"/>
        </w:rPr>
        <w:t>billion</w:t>
      </w:r>
      <w:r>
        <w:rPr>
          <w:spacing w:val="-6"/>
          <w:w w:val="95"/>
          <w:sz w:val="20"/>
        </w:rPr>
        <w:t xml:space="preserve"> </w:t>
      </w:r>
      <w:r>
        <w:rPr>
          <w:w w:val="95"/>
          <w:sz w:val="20"/>
        </w:rPr>
        <w:t>and</w:t>
      </w:r>
      <w:r>
        <w:rPr>
          <w:spacing w:val="-6"/>
          <w:w w:val="95"/>
          <w:sz w:val="20"/>
        </w:rPr>
        <w:t xml:space="preserve"> </w:t>
      </w:r>
      <w:r>
        <w:rPr>
          <w:w w:val="95"/>
          <w:sz w:val="20"/>
        </w:rPr>
        <w:t>$8</w:t>
      </w:r>
      <w:r>
        <w:rPr>
          <w:spacing w:val="-6"/>
          <w:w w:val="95"/>
          <w:sz w:val="20"/>
        </w:rPr>
        <w:t xml:space="preserve"> </w:t>
      </w:r>
      <w:r>
        <w:rPr>
          <w:w w:val="95"/>
          <w:sz w:val="20"/>
        </w:rPr>
        <w:t xml:space="preserve">billion </w:t>
      </w:r>
      <w:r>
        <w:rPr>
          <w:sz w:val="20"/>
        </w:rPr>
        <w:t>per</w:t>
      </w:r>
      <w:r>
        <w:rPr>
          <w:spacing w:val="-5"/>
          <w:sz w:val="20"/>
        </w:rPr>
        <w:t xml:space="preserve"> </w:t>
      </w:r>
      <w:r>
        <w:rPr>
          <w:sz w:val="20"/>
        </w:rPr>
        <w:t>annum.</w:t>
      </w:r>
      <w:r>
        <w:rPr>
          <w:spacing w:val="-5"/>
          <w:sz w:val="20"/>
        </w:rPr>
        <w:t xml:space="preserve"> </w:t>
      </w:r>
      <w:r>
        <w:rPr>
          <w:sz w:val="20"/>
        </w:rPr>
        <w:t>In</w:t>
      </w:r>
      <w:r>
        <w:rPr>
          <w:spacing w:val="-5"/>
          <w:sz w:val="20"/>
        </w:rPr>
        <w:t xml:space="preserve"> </w:t>
      </w:r>
      <w:r>
        <w:rPr>
          <w:sz w:val="20"/>
        </w:rPr>
        <w:t>the</w:t>
      </w:r>
      <w:r>
        <w:rPr>
          <w:spacing w:val="-5"/>
          <w:sz w:val="20"/>
        </w:rPr>
        <w:t xml:space="preserve"> </w:t>
      </w:r>
      <w:r>
        <w:rPr>
          <w:sz w:val="20"/>
        </w:rPr>
        <w:t>Property</w:t>
      </w:r>
      <w:r>
        <w:rPr>
          <w:spacing w:val="-5"/>
          <w:sz w:val="20"/>
        </w:rPr>
        <w:t xml:space="preserve"> </w:t>
      </w:r>
      <w:r>
        <w:rPr>
          <w:sz w:val="20"/>
        </w:rPr>
        <w:t>Council’s</w:t>
      </w:r>
      <w:r>
        <w:rPr>
          <w:spacing w:val="-5"/>
          <w:sz w:val="20"/>
        </w:rPr>
        <w:t xml:space="preserve"> </w:t>
      </w:r>
      <w:r>
        <w:rPr>
          <w:sz w:val="20"/>
        </w:rPr>
        <w:t>‘My</w:t>
      </w:r>
      <w:r>
        <w:rPr>
          <w:spacing w:val="-5"/>
          <w:sz w:val="20"/>
        </w:rPr>
        <w:t xml:space="preserve"> </w:t>
      </w:r>
      <w:r>
        <w:rPr>
          <w:sz w:val="20"/>
        </w:rPr>
        <w:t>City’ survey,</w:t>
      </w:r>
      <w:r>
        <w:rPr>
          <w:spacing w:val="-14"/>
          <w:sz w:val="20"/>
        </w:rPr>
        <w:t xml:space="preserve"> </w:t>
      </w:r>
      <w:r>
        <w:rPr>
          <w:sz w:val="20"/>
        </w:rPr>
        <w:t>87</w:t>
      </w:r>
      <w:r>
        <w:rPr>
          <w:spacing w:val="-14"/>
          <w:sz w:val="20"/>
        </w:rPr>
        <w:t xml:space="preserve"> </w:t>
      </w:r>
      <w:r>
        <w:rPr>
          <w:sz w:val="20"/>
        </w:rPr>
        <w:t>percent</w:t>
      </w:r>
      <w:r>
        <w:rPr>
          <w:spacing w:val="-14"/>
          <w:sz w:val="20"/>
        </w:rPr>
        <w:t xml:space="preserve"> </w:t>
      </w:r>
      <w:r>
        <w:rPr>
          <w:sz w:val="20"/>
        </w:rPr>
        <w:t>of</w:t>
      </w:r>
      <w:r>
        <w:rPr>
          <w:spacing w:val="-14"/>
          <w:sz w:val="20"/>
        </w:rPr>
        <w:t xml:space="preserve"> </w:t>
      </w:r>
      <w:r>
        <w:rPr>
          <w:sz w:val="20"/>
        </w:rPr>
        <w:t>surveyed</w:t>
      </w:r>
      <w:r>
        <w:rPr>
          <w:spacing w:val="-14"/>
          <w:sz w:val="20"/>
        </w:rPr>
        <w:t xml:space="preserve"> </w:t>
      </w:r>
      <w:r>
        <w:rPr>
          <w:sz w:val="20"/>
        </w:rPr>
        <w:t>Sydney</w:t>
      </w:r>
      <w:r>
        <w:rPr>
          <w:spacing w:val="-14"/>
          <w:sz w:val="20"/>
        </w:rPr>
        <w:t xml:space="preserve"> </w:t>
      </w:r>
      <w:r>
        <w:rPr>
          <w:sz w:val="20"/>
        </w:rPr>
        <w:t>residents were</w:t>
      </w:r>
      <w:r>
        <w:rPr>
          <w:spacing w:val="-8"/>
          <w:sz w:val="20"/>
        </w:rPr>
        <w:t xml:space="preserve"> </w:t>
      </w:r>
      <w:r>
        <w:rPr>
          <w:sz w:val="20"/>
        </w:rPr>
        <w:t>dissatisfied</w:t>
      </w:r>
      <w:r>
        <w:rPr>
          <w:spacing w:val="-8"/>
          <w:sz w:val="20"/>
        </w:rPr>
        <w:t xml:space="preserve"> </w:t>
      </w:r>
      <w:r>
        <w:rPr>
          <w:sz w:val="20"/>
        </w:rPr>
        <w:t>with</w:t>
      </w:r>
      <w:r>
        <w:rPr>
          <w:spacing w:val="-8"/>
          <w:sz w:val="20"/>
        </w:rPr>
        <w:t xml:space="preserve"> </w:t>
      </w:r>
      <w:r>
        <w:rPr>
          <w:sz w:val="20"/>
        </w:rPr>
        <w:t>the</w:t>
      </w:r>
      <w:r>
        <w:rPr>
          <w:spacing w:val="-8"/>
          <w:sz w:val="20"/>
        </w:rPr>
        <w:t xml:space="preserve"> </w:t>
      </w:r>
      <w:r>
        <w:rPr>
          <w:sz w:val="20"/>
        </w:rPr>
        <w:t>road</w:t>
      </w:r>
      <w:r>
        <w:rPr>
          <w:spacing w:val="-8"/>
          <w:sz w:val="20"/>
        </w:rPr>
        <w:t xml:space="preserve"> </w:t>
      </w:r>
      <w:r>
        <w:rPr>
          <w:sz w:val="20"/>
        </w:rPr>
        <w:t>network</w:t>
      </w:r>
      <w:r>
        <w:rPr>
          <w:spacing w:val="-8"/>
          <w:sz w:val="20"/>
        </w:rPr>
        <w:t xml:space="preserve"> </w:t>
      </w:r>
      <w:r>
        <w:rPr>
          <w:sz w:val="20"/>
        </w:rPr>
        <w:t>and</w:t>
      </w:r>
      <w:r>
        <w:rPr>
          <w:spacing w:val="-8"/>
          <w:sz w:val="20"/>
        </w:rPr>
        <w:t xml:space="preserve"> </w:t>
      </w:r>
      <w:r>
        <w:rPr>
          <w:sz w:val="20"/>
        </w:rPr>
        <w:t xml:space="preserve">traffic </w:t>
      </w:r>
      <w:r>
        <w:rPr>
          <w:w w:val="95"/>
          <w:sz w:val="20"/>
        </w:rPr>
        <w:t xml:space="preserve">congestion, leading to Sydney ranking lowest in the </w:t>
      </w:r>
      <w:r>
        <w:rPr>
          <w:sz w:val="20"/>
        </w:rPr>
        <w:t>liveability</w:t>
      </w:r>
      <w:r>
        <w:rPr>
          <w:spacing w:val="-14"/>
          <w:sz w:val="20"/>
        </w:rPr>
        <w:t xml:space="preserve"> </w:t>
      </w:r>
      <w:r>
        <w:rPr>
          <w:sz w:val="20"/>
        </w:rPr>
        <w:t>index</w:t>
      </w:r>
      <w:r>
        <w:rPr>
          <w:spacing w:val="-14"/>
          <w:sz w:val="20"/>
        </w:rPr>
        <w:t xml:space="preserve"> </w:t>
      </w:r>
      <w:r>
        <w:rPr>
          <w:sz w:val="20"/>
        </w:rPr>
        <w:t>of</w:t>
      </w:r>
      <w:r>
        <w:rPr>
          <w:spacing w:val="-14"/>
          <w:sz w:val="20"/>
        </w:rPr>
        <w:t xml:space="preserve"> </w:t>
      </w:r>
      <w:r>
        <w:rPr>
          <w:sz w:val="20"/>
        </w:rPr>
        <w:t>all</w:t>
      </w:r>
      <w:r>
        <w:rPr>
          <w:spacing w:val="-14"/>
          <w:sz w:val="20"/>
        </w:rPr>
        <w:t xml:space="preserve"> </w:t>
      </w:r>
      <w:r>
        <w:rPr>
          <w:sz w:val="20"/>
        </w:rPr>
        <w:t>cities</w:t>
      </w:r>
      <w:r>
        <w:rPr>
          <w:spacing w:val="-14"/>
          <w:sz w:val="20"/>
        </w:rPr>
        <w:t xml:space="preserve"> </w:t>
      </w:r>
      <w:r>
        <w:rPr>
          <w:sz w:val="20"/>
        </w:rPr>
        <w:t>in</w:t>
      </w:r>
      <w:r>
        <w:rPr>
          <w:spacing w:val="-14"/>
          <w:sz w:val="20"/>
        </w:rPr>
        <w:t xml:space="preserve"> </w:t>
      </w:r>
      <w:r>
        <w:rPr>
          <w:sz w:val="20"/>
        </w:rPr>
        <w:t>Australia.</w:t>
      </w: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060EF">
      <w:pPr>
        <w:pStyle w:val="BodyText"/>
        <w:spacing w:before="8"/>
        <w:rPr>
          <w:sz w:val="16"/>
        </w:rPr>
      </w:pPr>
      <w:r>
        <w:pict>
          <v:shape id="docshape267" o:spid="_x0000_s5043" style="position:absolute;margin-left:552.3pt;margin-top:10.8pt;width:1in;height:.1pt;z-index:-251418624;mso-wrap-distance-left:0;mso-wrap-distance-right:0;mso-position-horizontal-relative:page" coordorigin="11046,216" coordsize="1440,0" path="m11046,216r1440,e" filled="f" strokecolor="#9c9c9d" strokeweight=".5pt">
            <v:path arrowok="t"/>
            <w10:wrap type="topAndBottom" anchorx="page"/>
          </v:shape>
        </w:pict>
      </w:r>
    </w:p>
    <w:p w:rsidR="002C1123" w:rsidRDefault="00F22F94">
      <w:pPr>
        <w:spacing w:before="23" w:line="161" w:lineRule="exact"/>
        <w:ind w:left="188"/>
        <w:rPr>
          <w:sz w:val="14"/>
        </w:rPr>
      </w:pPr>
      <w:r>
        <w:rPr>
          <w:w w:val="95"/>
          <w:sz w:val="14"/>
        </w:rPr>
        <w:t>12</w:t>
      </w:r>
      <w:r>
        <w:rPr>
          <w:spacing w:val="17"/>
          <w:sz w:val="14"/>
        </w:rPr>
        <w:t xml:space="preserve"> </w:t>
      </w:r>
      <w:r>
        <w:rPr>
          <w:w w:val="95"/>
          <w:sz w:val="14"/>
        </w:rPr>
        <w:t>Grattan</w:t>
      </w:r>
      <w:r>
        <w:rPr>
          <w:spacing w:val="-3"/>
          <w:w w:val="95"/>
          <w:sz w:val="14"/>
        </w:rPr>
        <w:t xml:space="preserve"> </w:t>
      </w:r>
      <w:r>
        <w:rPr>
          <w:w w:val="95"/>
          <w:sz w:val="14"/>
        </w:rPr>
        <w:t>Institute</w:t>
      </w:r>
      <w:r>
        <w:rPr>
          <w:spacing w:val="-4"/>
          <w:w w:val="95"/>
          <w:sz w:val="14"/>
        </w:rPr>
        <w:t xml:space="preserve"> </w:t>
      </w:r>
      <w:r>
        <w:rPr>
          <w:w w:val="95"/>
          <w:sz w:val="14"/>
        </w:rPr>
        <w:t>2011,</w:t>
      </w:r>
      <w:r>
        <w:rPr>
          <w:spacing w:val="-3"/>
          <w:w w:val="95"/>
          <w:sz w:val="14"/>
        </w:rPr>
        <w:t xml:space="preserve"> </w:t>
      </w:r>
      <w:r>
        <w:rPr>
          <w:w w:val="95"/>
          <w:sz w:val="14"/>
        </w:rPr>
        <w:t>The</w:t>
      </w:r>
      <w:r>
        <w:rPr>
          <w:spacing w:val="-3"/>
          <w:w w:val="95"/>
          <w:sz w:val="14"/>
        </w:rPr>
        <w:t xml:space="preserve"> </w:t>
      </w:r>
      <w:r>
        <w:rPr>
          <w:w w:val="95"/>
          <w:sz w:val="14"/>
        </w:rPr>
        <w:t>Housing</w:t>
      </w:r>
      <w:r>
        <w:rPr>
          <w:spacing w:val="-4"/>
          <w:w w:val="95"/>
          <w:sz w:val="14"/>
        </w:rPr>
        <w:t xml:space="preserve"> </w:t>
      </w:r>
      <w:r>
        <w:rPr>
          <w:w w:val="95"/>
          <w:sz w:val="14"/>
        </w:rPr>
        <w:t>We’d</w:t>
      </w:r>
      <w:r>
        <w:rPr>
          <w:spacing w:val="-3"/>
          <w:w w:val="95"/>
          <w:sz w:val="14"/>
        </w:rPr>
        <w:t xml:space="preserve"> </w:t>
      </w:r>
      <w:r>
        <w:rPr>
          <w:spacing w:val="-2"/>
          <w:w w:val="95"/>
          <w:sz w:val="14"/>
        </w:rPr>
        <w:t>Choose.</w:t>
      </w:r>
    </w:p>
    <w:p w:rsidR="002C1123" w:rsidRDefault="00F22F94">
      <w:pPr>
        <w:spacing w:line="160" w:lineRule="exact"/>
        <w:ind w:left="188"/>
        <w:rPr>
          <w:sz w:val="14"/>
        </w:rPr>
      </w:pPr>
      <w:r>
        <w:rPr>
          <w:w w:val="95"/>
          <w:sz w:val="14"/>
        </w:rPr>
        <w:t>13</w:t>
      </w:r>
      <w:r>
        <w:rPr>
          <w:spacing w:val="16"/>
          <w:sz w:val="14"/>
        </w:rPr>
        <w:t xml:space="preserve"> </w:t>
      </w:r>
      <w:r>
        <w:rPr>
          <w:w w:val="95"/>
          <w:sz w:val="14"/>
        </w:rPr>
        <w:t>Grattan</w:t>
      </w:r>
      <w:r>
        <w:rPr>
          <w:spacing w:val="-3"/>
          <w:w w:val="95"/>
          <w:sz w:val="14"/>
        </w:rPr>
        <w:t xml:space="preserve"> </w:t>
      </w:r>
      <w:r>
        <w:rPr>
          <w:w w:val="95"/>
          <w:sz w:val="14"/>
        </w:rPr>
        <w:t>Institute</w:t>
      </w:r>
      <w:r>
        <w:rPr>
          <w:spacing w:val="-3"/>
          <w:w w:val="95"/>
          <w:sz w:val="14"/>
        </w:rPr>
        <w:t xml:space="preserve"> </w:t>
      </w:r>
      <w:r>
        <w:rPr>
          <w:w w:val="95"/>
          <w:sz w:val="14"/>
        </w:rPr>
        <w:t>2011,</w:t>
      </w:r>
      <w:r>
        <w:rPr>
          <w:spacing w:val="-3"/>
          <w:w w:val="95"/>
          <w:sz w:val="14"/>
        </w:rPr>
        <w:t xml:space="preserve"> </w:t>
      </w:r>
      <w:r>
        <w:rPr>
          <w:w w:val="95"/>
          <w:sz w:val="14"/>
        </w:rPr>
        <w:t>The</w:t>
      </w:r>
      <w:r>
        <w:rPr>
          <w:spacing w:val="-3"/>
          <w:w w:val="95"/>
          <w:sz w:val="14"/>
        </w:rPr>
        <w:t xml:space="preserve"> </w:t>
      </w:r>
      <w:r>
        <w:rPr>
          <w:w w:val="95"/>
          <w:sz w:val="14"/>
        </w:rPr>
        <w:t>Housing</w:t>
      </w:r>
      <w:r>
        <w:rPr>
          <w:spacing w:val="-3"/>
          <w:w w:val="95"/>
          <w:sz w:val="14"/>
        </w:rPr>
        <w:t xml:space="preserve"> </w:t>
      </w:r>
      <w:r>
        <w:rPr>
          <w:w w:val="95"/>
          <w:sz w:val="14"/>
        </w:rPr>
        <w:t>We’d</w:t>
      </w:r>
      <w:r>
        <w:rPr>
          <w:spacing w:val="-3"/>
          <w:w w:val="95"/>
          <w:sz w:val="14"/>
        </w:rPr>
        <w:t xml:space="preserve"> </w:t>
      </w:r>
      <w:r>
        <w:rPr>
          <w:spacing w:val="-2"/>
          <w:w w:val="95"/>
          <w:sz w:val="14"/>
        </w:rPr>
        <w:t>Choose.</w:t>
      </w:r>
    </w:p>
    <w:p w:rsidR="002C1123" w:rsidRDefault="00F22F94">
      <w:pPr>
        <w:spacing w:line="161" w:lineRule="exact"/>
        <w:ind w:left="188"/>
        <w:rPr>
          <w:sz w:val="14"/>
        </w:rPr>
      </w:pPr>
      <w:r>
        <w:rPr>
          <w:w w:val="95"/>
          <w:sz w:val="14"/>
        </w:rPr>
        <w:t>14</w:t>
      </w:r>
      <w:r>
        <w:rPr>
          <w:spacing w:val="20"/>
          <w:sz w:val="14"/>
        </w:rPr>
        <w:t xml:space="preserve"> </w:t>
      </w:r>
      <w:r>
        <w:rPr>
          <w:w w:val="95"/>
          <w:sz w:val="14"/>
        </w:rPr>
        <w:t>NSW</w:t>
      </w:r>
      <w:r>
        <w:rPr>
          <w:spacing w:val="-2"/>
          <w:w w:val="95"/>
          <w:sz w:val="14"/>
        </w:rPr>
        <w:t xml:space="preserve"> </w:t>
      </w:r>
      <w:r>
        <w:rPr>
          <w:w w:val="95"/>
          <w:sz w:val="14"/>
        </w:rPr>
        <w:t>Government</w:t>
      </w:r>
      <w:r>
        <w:rPr>
          <w:spacing w:val="-2"/>
          <w:w w:val="95"/>
          <w:sz w:val="14"/>
        </w:rPr>
        <w:t xml:space="preserve"> </w:t>
      </w:r>
      <w:r>
        <w:rPr>
          <w:w w:val="95"/>
          <w:sz w:val="14"/>
        </w:rPr>
        <w:t>2012,</w:t>
      </w:r>
      <w:r>
        <w:rPr>
          <w:spacing w:val="-2"/>
          <w:w w:val="95"/>
          <w:sz w:val="14"/>
        </w:rPr>
        <w:t xml:space="preserve"> </w:t>
      </w:r>
      <w:r>
        <w:rPr>
          <w:w w:val="95"/>
          <w:sz w:val="14"/>
        </w:rPr>
        <w:t>Sydney</w:t>
      </w:r>
      <w:r>
        <w:rPr>
          <w:spacing w:val="-1"/>
          <w:w w:val="95"/>
          <w:sz w:val="14"/>
        </w:rPr>
        <w:t xml:space="preserve"> </w:t>
      </w:r>
      <w:r>
        <w:rPr>
          <w:w w:val="95"/>
          <w:sz w:val="14"/>
        </w:rPr>
        <w:t>over</w:t>
      </w:r>
      <w:r>
        <w:rPr>
          <w:spacing w:val="-2"/>
          <w:w w:val="95"/>
          <w:sz w:val="14"/>
        </w:rPr>
        <w:t xml:space="preserve"> </w:t>
      </w:r>
      <w:r>
        <w:rPr>
          <w:w w:val="95"/>
          <w:sz w:val="14"/>
        </w:rPr>
        <w:t>the</w:t>
      </w:r>
      <w:r>
        <w:rPr>
          <w:spacing w:val="-2"/>
          <w:w w:val="95"/>
          <w:sz w:val="14"/>
        </w:rPr>
        <w:t xml:space="preserve"> </w:t>
      </w:r>
      <w:r>
        <w:rPr>
          <w:w w:val="95"/>
          <w:sz w:val="14"/>
        </w:rPr>
        <w:t>next</w:t>
      </w:r>
      <w:r>
        <w:rPr>
          <w:spacing w:val="-2"/>
          <w:w w:val="95"/>
          <w:sz w:val="14"/>
        </w:rPr>
        <w:t xml:space="preserve"> </w:t>
      </w:r>
      <w:r>
        <w:rPr>
          <w:w w:val="95"/>
          <w:sz w:val="14"/>
        </w:rPr>
        <w:t>20</w:t>
      </w:r>
      <w:r>
        <w:rPr>
          <w:spacing w:val="-2"/>
          <w:w w:val="95"/>
          <w:sz w:val="14"/>
        </w:rPr>
        <w:t xml:space="preserve"> </w:t>
      </w:r>
      <w:r>
        <w:rPr>
          <w:w w:val="95"/>
          <w:sz w:val="14"/>
        </w:rPr>
        <w:t>years:</w:t>
      </w:r>
      <w:r>
        <w:rPr>
          <w:spacing w:val="-2"/>
          <w:w w:val="95"/>
          <w:sz w:val="14"/>
        </w:rPr>
        <w:t xml:space="preserve"> </w:t>
      </w:r>
      <w:r>
        <w:rPr>
          <w:w w:val="95"/>
          <w:sz w:val="14"/>
        </w:rPr>
        <w:t>A</w:t>
      </w:r>
      <w:r>
        <w:rPr>
          <w:spacing w:val="-2"/>
          <w:w w:val="95"/>
          <w:sz w:val="14"/>
        </w:rPr>
        <w:t xml:space="preserve"> </w:t>
      </w:r>
      <w:r>
        <w:rPr>
          <w:w w:val="95"/>
          <w:sz w:val="14"/>
        </w:rPr>
        <w:t>Discussion</w:t>
      </w:r>
      <w:r>
        <w:rPr>
          <w:spacing w:val="-2"/>
          <w:w w:val="95"/>
          <w:sz w:val="14"/>
        </w:rPr>
        <w:t xml:space="preserve"> Paper.</w:t>
      </w:r>
    </w:p>
    <w:p w:rsidR="002C1123" w:rsidRDefault="002C1123">
      <w:pPr>
        <w:spacing w:line="161" w:lineRule="exact"/>
        <w:rPr>
          <w:sz w:val="14"/>
        </w:rPr>
        <w:sectPr w:rsidR="002C1123">
          <w:type w:val="continuous"/>
          <w:pgSz w:w="16840" w:h="11910" w:orient="landscape"/>
          <w:pgMar w:top="560" w:right="280" w:bottom="280" w:left="500" w:header="0" w:footer="517" w:gutter="0"/>
          <w:cols w:num="3" w:space="720" w:equalWidth="0">
            <w:col w:w="5287" w:space="40"/>
            <w:col w:w="4992" w:space="39"/>
            <w:col w:w="5702"/>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3"/>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spacing w:before="160"/>
        <w:ind w:left="531"/>
        <w:rPr>
          <w:b/>
          <w:sz w:val="18"/>
        </w:rPr>
      </w:pPr>
      <w:bookmarkStart w:id="66" w:name="_bookmark45"/>
      <w:bookmarkEnd w:id="66"/>
      <w:r>
        <w:rPr>
          <w:b/>
          <w:sz w:val="18"/>
        </w:rPr>
        <w:t>Figure</w:t>
      </w:r>
      <w:r>
        <w:rPr>
          <w:b/>
          <w:spacing w:val="-10"/>
          <w:sz w:val="18"/>
        </w:rPr>
        <w:t xml:space="preserve"> </w:t>
      </w:r>
      <w:r>
        <w:rPr>
          <w:b/>
          <w:sz w:val="18"/>
        </w:rPr>
        <w:t>2.1</w:t>
      </w:r>
      <w:r>
        <w:rPr>
          <w:b/>
          <w:spacing w:val="30"/>
          <w:sz w:val="18"/>
        </w:rPr>
        <w:t xml:space="preserve"> </w:t>
      </w:r>
      <w:r>
        <w:rPr>
          <w:b/>
          <w:sz w:val="18"/>
        </w:rPr>
        <w:t>Sydney</w:t>
      </w:r>
      <w:r>
        <w:rPr>
          <w:b/>
          <w:spacing w:val="-10"/>
          <w:sz w:val="18"/>
        </w:rPr>
        <w:t xml:space="preserve"> </w:t>
      </w:r>
      <w:r>
        <w:rPr>
          <w:b/>
          <w:sz w:val="18"/>
        </w:rPr>
        <w:t>Regional</w:t>
      </w:r>
      <w:r>
        <w:rPr>
          <w:b/>
          <w:spacing w:val="-9"/>
          <w:sz w:val="18"/>
        </w:rPr>
        <w:t xml:space="preserve"> </w:t>
      </w:r>
      <w:r>
        <w:rPr>
          <w:b/>
          <w:sz w:val="18"/>
        </w:rPr>
        <w:t>Dwelling</w:t>
      </w:r>
      <w:r>
        <w:rPr>
          <w:b/>
          <w:spacing w:val="-10"/>
          <w:sz w:val="18"/>
        </w:rPr>
        <w:t xml:space="preserve"> </w:t>
      </w:r>
      <w:r>
        <w:rPr>
          <w:b/>
          <w:sz w:val="18"/>
        </w:rPr>
        <w:t>Production</w:t>
      </w:r>
      <w:r>
        <w:rPr>
          <w:b/>
          <w:spacing w:val="-10"/>
          <w:sz w:val="18"/>
        </w:rPr>
        <w:t xml:space="preserve"> </w:t>
      </w:r>
      <w:r>
        <w:rPr>
          <w:b/>
          <w:sz w:val="18"/>
        </w:rPr>
        <w:t>–</w:t>
      </w:r>
      <w:r>
        <w:rPr>
          <w:b/>
          <w:spacing w:val="-10"/>
          <w:sz w:val="18"/>
        </w:rPr>
        <w:t xml:space="preserve"> </w:t>
      </w:r>
      <w:r>
        <w:rPr>
          <w:b/>
          <w:sz w:val="18"/>
        </w:rPr>
        <w:t>Existing</w:t>
      </w:r>
      <w:r>
        <w:rPr>
          <w:b/>
          <w:spacing w:val="-10"/>
          <w:sz w:val="18"/>
        </w:rPr>
        <w:t xml:space="preserve"> </w:t>
      </w:r>
      <w:r>
        <w:rPr>
          <w:b/>
          <w:sz w:val="18"/>
        </w:rPr>
        <w:t>Urban</w:t>
      </w:r>
      <w:r>
        <w:rPr>
          <w:b/>
          <w:spacing w:val="-9"/>
          <w:sz w:val="18"/>
        </w:rPr>
        <w:t xml:space="preserve"> </w:t>
      </w:r>
      <w:r>
        <w:rPr>
          <w:b/>
          <w:sz w:val="18"/>
        </w:rPr>
        <w:t>&amp;</w:t>
      </w:r>
      <w:r>
        <w:rPr>
          <w:b/>
          <w:spacing w:val="-10"/>
          <w:sz w:val="18"/>
        </w:rPr>
        <w:t xml:space="preserve"> </w:t>
      </w:r>
      <w:r>
        <w:rPr>
          <w:b/>
          <w:sz w:val="18"/>
        </w:rPr>
        <w:t>Greenfield</w:t>
      </w:r>
      <w:r>
        <w:rPr>
          <w:b/>
          <w:spacing w:val="-10"/>
          <w:sz w:val="18"/>
        </w:rPr>
        <w:t xml:space="preserve"> </w:t>
      </w:r>
      <w:r>
        <w:rPr>
          <w:b/>
          <w:sz w:val="18"/>
        </w:rPr>
        <w:t>Areas</w:t>
      </w:r>
      <w:r>
        <w:rPr>
          <w:b/>
          <w:spacing w:val="-10"/>
          <w:sz w:val="18"/>
        </w:rPr>
        <w:t xml:space="preserve"> </w:t>
      </w:r>
      <w:r>
        <w:rPr>
          <w:b/>
          <w:sz w:val="18"/>
        </w:rPr>
        <w:t>(1982-</w:t>
      </w:r>
      <w:r>
        <w:rPr>
          <w:b/>
          <w:spacing w:val="-2"/>
          <w:sz w:val="18"/>
        </w:rPr>
        <w:t>2014)</w:t>
      </w:r>
    </w:p>
    <w:p w:rsidR="002C1123" w:rsidRDefault="002C1123">
      <w:pPr>
        <w:pStyle w:val="BodyText"/>
        <w:spacing w:before="4"/>
        <w:rPr>
          <w:b/>
          <w:sz w:val="28"/>
        </w:rPr>
      </w:pPr>
    </w:p>
    <w:p w:rsidR="002C1123" w:rsidRDefault="00F22F94">
      <w:pPr>
        <w:ind w:right="7648"/>
        <w:jc w:val="right"/>
        <w:rPr>
          <w:sz w:val="16"/>
        </w:rPr>
      </w:pPr>
      <w:r>
        <w:rPr>
          <w:spacing w:val="-2"/>
          <w:w w:val="95"/>
          <w:sz w:val="16"/>
        </w:rPr>
        <w:t>35,000</w:t>
      </w:r>
    </w:p>
    <w:p w:rsidR="002C1123" w:rsidRDefault="002C1123">
      <w:pPr>
        <w:pStyle w:val="BodyText"/>
        <w:rPr>
          <w:sz w:val="18"/>
        </w:rPr>
      </w:pPr>
    </w:p>
    <w:p w:rsidR="002C1123" w:rsidRDefault="002C1123">
      <w:pPr>
        <w:pStyle w:val="BodyText"/>
        <w:spacing w:before="4"/>
        <w:rPr>
          <w:sz w:val="18"/>
        </w:rPr>
      </w:pPr>
    </w:p>
    <w:p w:rsidR="002C1123" w:rsidRDefault="00F22F94">
      <w:pPr>
        <w:ind w:right="7648"/>
        <w:jc w:val="right"/>
        <w:rPr>
          <w:sz w:val="16"/>
        </w:rPr>
      </w:pPr>
      <w:r>
        <w:rPr>
          <w:spacing w:val="-2"/>
          <w:w w:val="95"/>
          <w:sz w:val="16"/>
        </w:rPr>
        <w:t>30,000</w:t>
      </w:r>
    </w:p>
    <w:p w:rsidR="002C1123" w:rsidRDefault="002C1123">
      <w:pPr>
        <w:pStyle w:val="BodyText"/>
        <w:rPr>
          <w:sz w:val="18"/>
        </w:rPr>
      </w:pPr>
    </w:p>
    <w:p w:rsidR="002C1123" w:rsidRDefault="002C1123">
      <w:pPr>
        <w:pStyle w:val="BodyText"/>
        <w:spacing w:before="4"/>
        <w:rPr>
          <w:sz w:val="18"/>
        </w:rPr>
      </w:pPr>
    </w:p>
    <w:p w:rsidR="002C1123" w:rsidRDefault="00F22F94">
      <w:pPr>
        <w:ind w:right="7648"/>
        <w:jc w:val="right"/>
        <w:rPr>
          <w:sz w:val="16"/>
        </w:rPr>
      </w:pPr>
      <w:r>
        <w:rPr>
          <w:spacing w:val="-2"/>
          <w:w w:val="95"/>
          <w:sz w:val="16"/>
        </w:rPr>
        <w:t>25,000</w:t>
      </w:r>
    </w:p>
    <w:p w:rsidR="002C1123" w:rsidRDefault="002C1123">
      <w:pPr>
        <w:pStyle w:val="BodyText"/>
        <w:rPr>
          <w:sz w:val="18"/>
        </w:rPr>
      </w:pPr>
    </w:p>
    <w:p w:rsidR="002C1123" w:rsidRDefault="002C1123">
      <w:pPr>
        <w:pStyle w:val="BodyText"/>
        <w:spacing w:before="4"/>
        <w:rPr>
          <w:sz w:val="18"/>
        </w:rPr>
      </w:pPr>
    </w:p>
    <w:p w:rsidR="002C1123" w:rsidRDefault="002060EF">
      <w:pPr>
        <w:spacing w:before="1"/>
        <w:ind w:right="7648"/>
        <w:jc w:val="right"/>
        <w:rPr>
          <w:sz w:val="16"/>
        </w:rPr>
      </w:pPr>
      <w:r>
        <w:pict>
          <v:shape id="docshape268" o:spid="_x0000_s5042" type="#_x0000_t202" style="position:absolute;left:0;text-align:left;margin-left:49.15pt;margin-top:-6.9pt;width:11.05pt;height:53.65pt;z-index:251242496;mso-position-horizontal-relative:page" filled="f" stroked="f">
            <v:textbox style="layout-flow:vertical;mso-layout-flow-alt:bottom-to-top" inset="0,0,0,0">
              <w:txbxContent>
                <w:p w:rsidR="00F22F94" w:rsidRDefault="00F22F94">
                  <w:pPr>
                    <w:spacing w:before="18"/>
                    <w:ind w:left="20"/>
                    <w:rPr>
                      <w:sz w:val="16"/>
                    </w:rPr>
                  </w:pPr>
                  <w:r>
                    <w:rPr>
                      <w:w w:val="75"/>
                      <w:sz w:val="16"/>
                    </w:rPr>
                    <w:t>Annual</w:t>
                  </w:r>
                  <w:r>
                    <w:rPr>
                      <w:spacing w:val="7"/>
                      <w:sz w:val="16"/>
                    </w:rPr>
                    <w:t xml:space="preserve"> </w:t>
                  </w:r>
                  <w:r>
                    <w:rPr>
                      <w:spacing w:val="-2"/>
                      <w:w w:val="80"/>
                      <w:sz w:val="16"/>
                    </w:rPr>
                    <w:t>Production</w:t>
                  </w:r>
                </w:p>
              </w:txbxContent>
            </v:textbox>
            <w10:wrap anchorx="page"/>
          </v:shape>
        </w:pict>
      </w:r>
      <w:r w:rsidR="00F22F94">
        <w:rPr>
          <w:spacing w:val="-2"/>
          <w:w w:val="95"/>
          <w:sz w:val="16"/>
        </w:rPr>
        <w:t>20,000</w:t>
      </w:r>
    </w:p>
    <w:p w:rsidR="002C1123" w:rsidRDefault="002C1123">
      <w:pPr>
        <w:pStyle w:val="BodyText"/>
        <w:rPr>
          <w:sz w:val="18"/>
        </w:rPr>
      </w:pPr>
    </w:p>
    <w:p w:rsidR="002C1123" w:rsidRDefault="002C1123">
      <w:pPr>
        <w:pStyle w:val="BodyText"/>
        <w:spacing w:before="4"/>
        <w:rPr>
          <w:sz w:val="18"/>
        </w:rPr>
      </w:pPr>
    </w:p>
    <w:p w:rsidR="002C1123" w:rsidRDefault="00F22F94">
      <w:pPr>
        <w:ind w:right="7648"/>
        <w:jc w:val="right"/>
        <w:rPr>
          <w:sz w:val="16"/>
        </w:rPr>
      </w:pPr>
      <w:r>
        <w:rPr>
          <w:spacing w:val="-2"/>
          <w:w w:val="95"/>
          <w:sz w:val="16"/>
        </w:rPr>
        <w:t>15,000</w:t>
      </w:r>
    </w:p>
    <w:p w:rsidR="002C1123" w:rsidRDefault="002C1123">
      <w:pPr>
        <w:pStyle w:val="BodyText"/>
        <w:rPr>
          <w:sz w:val="18"/>
        </w:rPr>
      </w:pPr>
    </w:p>
    <w:p w:rsidR="002C1123" w:rsidRDefault="002C1123">
      <w:pPr>
        <w:pStyle w:val="BodyText"/>
        <w:spacing w:before="4"/>
        <w:rPr>
          <w:sz w:val="18"/>
        </w:rPr>
      </w:pPr>
    </w:p>
    <w:p w:rsidR="002C1123" w:rsidRDefault="00F22F94">
      <w:pPr>
        <w:ind w:right="7648"/>
        <w:jc w:val="right"/>
        <w:rPr>
          <w:sz w:val="16"/>
        </w:rPr>
      </w:pPr>
      <w:r>
        <w:rPr>
          <w:spacing w:val="-2"/>
          <w:w w:val="95"/>
          <w:sz w:val="16"/>
        </w:rPr>
        <w:t>10,000</w:t>
      </w:r>
    </w:p>
    <w:p w:rsidR="002C1123" w:rsidRDefault="002C1123">
      <w:pPr>
        <w:pStyle w:val="BodyText"/>
        <w:rPr>
          <w:sz w:val="18"/>
        </w:rPr>
      </w:pPr>
    </w:p>
    <w:p w:rsidR="002C1123" w:rsidRDefault="002C1123">
      <w:pPr>
        <w:pStyle w:val="BodyText"/>
        <w:spacing w:before="4"/>
        <w:rPr>
          <w:sz w:val="18"/>
        </w:rPr>
      </w:pPr>
    </w:p>
    <w:p w:rsidR="002C1123" w:rsidRDefault="00F22F94">
      <w:pPr>
        <w:ind w:right="7648"/>
        <w:jc w:val="right"/>
        <w:rPr>
          <w:sz w:val="16"/>
        </w:rPr>
      </w:pPr>
      <w:r>
        <w:rPr>
          <w:spacing w:val="-2"/>
          <w:w w:val="95"/>
          <w:sz w:val="16"/>
        </w:rPr>
        <w:t>5,000</w:t>
      </w:r>
    </w:p>
    <w:p w:rsidR="002C1123" w:rsidRDefault="002C1123">
      <w:pPr>
        <w:pStyle w:val="BodyText"/>
        <w:rPr>
          <w:sz w:val="18"/>
        </w:rPr>
      </w:pPr>
    </w:p>
    <w:p w:rsidR="002C1123" w:rsidRDefault="002C1123">
      <w:pPr>
        <w:pStyle w:val="BodyText"/>
        <w:spacing w:before="4"/>
        <w:rPr>
          <w:sz w:val="18"/>
        </w:rPr>
      </w:pPr>
    </w:p>
    <w:p w:rsidR="002C1123" w:rsidRDefault="002060EF">
      <w:pPr>
        <w:ind w:right="7648"/>
        <w:jc w:val="right"/>
        <w:rPr>
          <w:sz w:val="16"/>
        </w:rPr>
      </w:pPr>
      <w:r>
        <w:pict>
          <v:rect id="docshape269" o:spid="_x0000_s5041" style="position:absolute;left:0;text-align:left;margin-left:408.1pt;margin-top:40.5pt;width:8.5pt;height:8.5pt;z-index:251238400;mso-position-horizontal-relative:page" fillcolor="#b0acd5" stroked="f">
            <w10:wrap anchorx="page"/>
          </v:rect>
        </w:pict>
      </w:r>
      <w:r>
        <w:pict>
          <v:rect id="docshape270" o:spid="_x0000_s5040" style="position:absolute;left:0;text-align:left;margin-left:318.1pt;margin-top:40.5pt;width:8.5pt;height:8.5pt;z-index:251239424;mso-position-horizontal-relative:page" fillcolor="#2e3092" stroked="f">
            <w10:wrap anchorx="page"/>
          </v:rect>
        </w:pict>
      </w:r>
      <w:r w:rsidR="00F22F94">
        <w:rPr>
          <w:w w:val="86"/>
          <w:sz w:val="16"/>
        </w:rPr>
        <w:t>0</w:t>
      </w:r>
    </w:p>
    <w:p w:rsidR="002C1123" w:rsidRDefault="00F22F94">
      <w:pPr>
        <w:pStyle w:val="Heading6"/>
        <w:numPr>
          <w:ilvl w:val="2"/>
          <w:numId w:val="147"/>
        </w:numPr>
        <w:tabs>
          <w:tab w:val="left" w:pos="1018"/>
        </w:tabs>
        <w:ind w:hanging="487"/>
      </w:pPr>
      <w:r>
        <w:rPr>
          <w:b w:val="0"/>
        </w:rPr>
        <w:br w:type="column"/>
      </w:r>
      <w:r>
        <w:rPr>
          <w:color w:val="EC008C"/>
          <w:w w:val="95"/>
        </w:rPr>
        <w:t>Global</w:t>
      </w:r>
      <w:r>
        <w:rPr>
          <w:color w:val="EC008C"/>
          <w:spacing w:val="-2"/>
          <w:w w:val="95"/>
        </w:rPr>
        <w:t xml:space="preserve"> </w:t>
      </w:r>
      <w:r>
        <w:rPr>
          <w:color w:val="EC008C"/>
          <w:w w:val="95"/>
        </w:rPr>
        <w:t>Trends</w:t>
      </w:r>
      <w:r>
        <w:rPr>
          <w:color w:val="EC008C"/>
          <w:spacing w:val="-1"/>
          <w:w w:val="95"/>
        </w:rPr>
        <w:t xml:space="preserve"> </w:t>
      </w:r>
      <w:r>
        <w:rPr>
          <w:color w:val="EC008C"/>
          <w:w w:val="95"/>
        </w:rPr>
        <w:t>and</w:t>
      </w:r>
      <w:r>
        <w:rPr>
          <w:color w:val="EC008C"/>
          <w:spacing w:val="-2"/>
          <w:w w:val="95"/>
        </w:rPr>
        <w:t xml:space="preserve"> </w:t>
      </w:r>
      <w:r>
        <w:rPr>
          <w:color w:val="EC008C"/>
          <w:w w:val="95"/>
        </w:rPr>
        <w:t>Driving</w:t>
      </w:r>
      <w:r>
        <w:rPr>
          <w:color w:val="EC008C"/>
          <w:spacing w:val="-1"/>
          <w:w w:val="95"/>
        </w:rPr>
        <w:t xml:space="preserve"> </w:t>
      </w:r>
      <w:r>
        <w:rPr>
          <w:color w:val="EC008C"/>
          <w:spacing w:val="-2"/>
          <w:w w:val="95"/>
        </w:rPr>
        <w:t>Forces</w:t>
      </w:r>
    </w:p>
    <w:p w:rsidR="002C1123" w:rsidRDefault="002060EF">
      <w:pPr>
        <w:pStyle w:val="BodyText"/>
        <w:spacing w:before="95" w:line="249" w:lineRule="auto"/>
        <w:ind w:left="531" w:right="743"/>
      </w:pPr>
      <w:r>
        <w:pict>
          <v:rect id="docshape271" o:spid="_x0000_s5039" style="position:absolute;left:0;text-align:left;margin-left:96.75pt;margin-top:22.35pt;width:444.15pt;height:.35pt;z-index:251236352;mso-position-horizontal-relative:page" fillcolor="#b2b1b3" stroked="f">
            <w10:wrap anchorx="page"/>
          </v:rect>
        </w:pict>
      </w:r>
      <w:r>
        <w:pict>
          <v:group id="docshapegroup272" o:spid="_x0000_s4938" style="position:absolute;left:0;text-align:left;margin-left:96.75pt;margin-top:40.75pt;width:444.2pt;height:193pt;z-index:251237376;mso-position-horizontal-relative:page" coordorigin="1935,815" coordsize="8884,3860">
            <v:shape id="docshape273" o:spid="_x0000_s5038" style="position:absolute;left:1935;top:1049;width:4887;height:2417" coordorigin="1935,1049" coordsize="4887,2417" o:spt="100" adj="0,,0" path="m2162,3458r-227,l1935,3466r227,l2162,3458xm2162,2856r-227,l1935,2863r227,l2162,2856xm2421,3458r-72,l2349,3466r72,l2421,3458xm2680,2856r-331,l2349,2863r331,l2680,2856xm2939,2254r-1004,l1935,2261r1004,l2939,2254xm5527,1652r-3592,l1935,1659r3592,l5527,1652xm6304,1652r-590,l5714,1658r,1l6304,1659r,-1l6304,1652xm6822,1049r-4887,l1935,1057r4887,l6822,1049xe" fillcolor="#b2b1b3" stroked="f">
              <v:stroke joinstyle="round"/>
              <v:formulas/>
              <v:path arrowok="t" o:connecttype="segments"/>
            </v:shape>
            <v:rect id="docshape274" o:spid="_x0000_s5037" style="position:absolute;left:2162;top:2261;width:187;height:1385" fillcolor="#abe1fa" stroked="f"/>
            <v:shape id="docshape275" o:spid="_x0000_s5036" style="position:absolute;left:2348;top:3458;width:332;height:610" coordorigin="2349,3458" coordsize="332,610" o:spt="100" adj="0,,0" path="m2421,4060r-72,l2349,4068r72,l2421,4060xm2680,4060r-72,l2608,4068r72,l2680,4060xm2680,3458r-72,l2608,3466r72,l2680,3458xe" fillcolor="#b2b1b3" stroked="f">
              <v:stroke joinstyle="round"/>
              <v:formulas/>
              <v:path arrowok="t" o:connecttype="segments"/>
            </v:shape>
            <v:rect id="docshape276" o:spid="_x0000_s5035" style="position:absolute;left:2421;top:2984;width:187;height:1024" fillcolor="#abe1fa" stroked="f"/>
            <v:shape id="docshape277" o:spid="_x0000_s5034" style="position:absolute;left:2866;top:2856;width:73;height:1212" coordorigin="2866,2856" coordsize="73,1212" o:spt="100" adj="0,,0" path="m2939,4060r-73,l2866,4068r73,l2939,4060xm2939,3458r-73,l2866,3466r73,l2939,3458xm2939,2856r-73,l2866,2863r73,l2939,2856xe" fillcolor="#b2b1b3" stroked="f">
              <v:stroke joinstyle="round"/>
              <v:formulas/>
              <v:path arrowok="t" o:connecttype="segments"/>
            </v:shape>
            <v:rect id="docshape278" o:spid="_x0000_s5033" style="position:absolute;left:2680;top:2502;width:187;height:1493" fillcolor="#abe1fa" stroked="f"/>
            <v:shape id="docshape279" o:spid="_x0000_s5032" style="position:absolute;left:3125;top:2253;width:591;height:1212" coordorigin="3125,2254" coordsize="591,1212" o:spt="100" adj="0,,0" path="m3198,3458r-73,l3125,3466r73,l3198,3458xm3198,2856r-73,l3125,2863r73,l3198,2856xm3715,2254r-590,l3125,2261r590,l3715,2254xe" fillcolor="#b2b1b3" stroked="f">
              <v:stroke joinstyle="round"/>
              <v:formulas/>
              <v:path arrowok="t" o:connecttype="segments"/>
            </v:shape>
            <v:rect id="docshape280" o:spid="_x0000_s5031" style="position:absolute;left:2938;top:2141;width:187;height:1566" fillcolor="#abe1fa" stroked="f"/>
            <v:shape id="docshape281" o:spid="_x0000_s5030" style="position:absolute;left:3384;top:2856;width:73;height:610" coordorigin="3384,2856" coordsize="73,610" o:spt="100" adj="0,,0" path="m3457,3458r-73,l3384,3466r73,l3457,3458xm3457,2856r-73,l3384,2863r73,l3457,2856xe" fillcolor="#b2b1b3" stroked="f">
              <v:stroke joinstyle="round"/>
              <v:formulas/>
              <v:path arrowok="t" o:connecttype="segments"/>
            </v:shape>
            <v:rect id="docshape282" o:spid="_x0000_s5029" style="position:absolute;left:3197;top:2381;width:187;height:1505" fillcolor="#abe1fa" stroked="f"/>
            <v:shape id="docshape283" o:spid="_x0000_s5028" style="position:absolute;left:3384;top:2856;width:332;height:1212" coordorigin="3384,2856" coordsize="332,1212" o:spt="100" adj="0,,0" path="m3457,4060r-73,l3384,4068r73,l3457,4060xm3715,4060r-72,l3643,4068r72,l3715,4060xm3715,3458r-72,l3643,3466r72,l3715,3458xm3715,2856r-72,l3643,2863r72,l3715,2856xe" fillcolor="#b2b1b3" stroked="f">
              <v:stroke joinstyle="round"/>
              <v:formulas/>
              <v:path arrowok="t" o:connecttype="segments"/>
            </v:shape>
            <v:rect id="docshape284" o:spid="_x0000_s5027" style="position:absolute;left:3456;top:2622;width:187;height:1373" fillcolor="#abe1fa" stroked="f"/>
            <v:shape id="docshape285" o:spid="_x0000_s5026" style="position:absolute;left:3901;top:2253;width:73;height:1212" coordorigin="3902,2254" coordsize="73,1212" o:spt="100" adj="0,,0" path="m3974,3458r-72,l3902,3466r72,l3974,3458xm3974,2856r-72,l3902,2863r72,l3974,2856xm3974,2254r-72,l3902,2261r72,l3974,2254xe" fillcolor="#b2b1b3" stroked="f">
              <v:stroke joinstyle="round"/>
              <v:formulas/>
              <v:path arrowok="t" o:connecttype="segments"/>
            </v:shape>
            <v:rect id="docshape286" o:spid="_x0000_s5025" style="position:absolute;left:3715;top:2020;width:187;height:1746" fillcolor="#abe1fa" stroked="f"/>
            <v:shape id="docshape287" o:spid="_x0000_s5024" style="position:absolute;left:4160;top:2253;width:849;height:1212" coordorigin="4161,2254" coordsize="849,1212" o:spt="100" adj="0,,0" path="m4233,3458r-72,l4161,3466r72,l4233,3458xm4233,2856r-72,l4161,2863r72,l4233,2856xm5010,2254r-849,l4161,2261r849,l5010,2254xe" fillcolor="#b2b1b3" stroked="f">
              <v:stroke joinstyle="round"/>
              <v:formulas/>
              <v:path arrowok="t" o:connecttype="segments"/>
            </v:shape>
            <v:rect id="docshape288" o:spid="_x0000_s5023" style="position:absolute;left:3974;top:1899;width:187;height:1572" fillcolor="#abe1fa" stroked="f"/>
            <v:shape id="docshape289" o:spid="_x0000_s5022" style="position:absolute;left:4419;top:2856;width:73;height:610" coordorigin="4419,2856" coordsize="73,610" o:spt="100" adj="0,,0" path="m4492,3458r-73,l4419,3466r73,l4492,3458xm4492,2856r-73,l4419,2863r73,l4492,2856xe" fillcolor="#b2b1b3" stroked="f">
              <v:stroke joinstyle="round"/>
              <v:formulas/>
              <v:path arrowok="t" o:connecttype="segments"/>
            </v:shape>
            <v:rect id="docshape290" o:spid="_x0000_s5021" style="position:absolute;left:4233;top:2622;width:187;height:1084" fillcolor="#abe1fa" stroked="f"/>
            <v:shape id="docshape291" o:spid="_x0000_s5020" style="position:absolute;left:4678;top:2856;width:73;height:610" coordorigin="4678,2856" coordsize="73,610" o:spt="100" adj="0,,0" path="m4751,3458r-73,l4678,3466r73,l4751,3458xm4751,2856r-73,l4678,2863r73,l4751,2856xe" fillcolor="#b2b1b3" stroked="f">
              <v:stroke joinstyle="round"/>
              <v:formulas/>
              <v:path arrowok="t" o:connecttype="segments"/>
            </v:shape>
            <v:rect id="docshape292" o:spid="_x0000_s5019" style="position:absolute;left:4491;top:2742;width:187;height:1192" fillcolor="#abe1fa" stroked="f"/>
            <v:shape id="docshape293" o:spid="_x0000_s5018" style="position:absolute;left:4937;top:2856;width:73;height:610" coordorigin="4937,2856" coordsize="73,610" o:spt="100" adj="0,,0" path="m5010,3458r-73,l4937,3466r73,l5010,3458xm5010,2856r-73,l4937,2863r73,l5010,2856xe" fillcolor="#b2b1b3" stroked="f">
              <v:stroke joinstyle="round"/>
              <v:formulas/>
              <v:path arrowok="t" o:connecttype="segments"/>
            </v:shape>
            <v:rect id="docshape294" o:spid="_x0000_s5017" style="position:absolute;left:4750;top:2320;width:187;height:1433" fillcolor="#abe1fa" stroked="f"/>
            <v:shape id="docshape295" o:spid="_x0000_s5016" style="position:absolute;left:5196;top:2253;width:73;height:1212" coordorigin="5196,2254" coordsize="73,1212" o:spt="100" adj="0,,0" path="m5268,3458r-72,l5196,3466r72,l5268,3458xm5268,2856r-72,l5196,2863r72,l5268,2856xm5268,2254r-72,l5196,2261r72,l5268,2254xe" fillcolor="#b2b1b3" stroked="f">
              <v:stroke joinstyle="round"/>
              <v:formulas/>
              <v:path arrowok="t" o:connecttype="segments"/>
            </v:shape>
            <v:rect id="docshape296" o:spid="_x0000_s5015" style="position:absolute;left:5009;top:2019;width:187;height:1722" fillcolor="#abe1fa" stroked="f"/>
            <v:shape id="docshape297" o:spid="_x0000_s5014" style="position:absolute;left:5454;top:2253;width:332;height:1212" coordorigin="5455,2254" coordsize="332,1212" o:spt="100" adj="0,,0" path="m5527,2856r-72,l5455,2863r72,l5527,2856xm5527,2254r-72,l5455,2261r72,l5527,2254xm5786,3458r-331,l5455,3458r,8l5527,3466r,-8l5714,3458r,8l5786,3466r,-8l5786,3458xe" fillcolor="#b2b1b3" stroked="f">
              <v:stroke joinstyle="round"/>
              <v:formulas/>
              <v:path arrowok="t" o:connecttype="segments"/>
            </v:shape>
            <v:rect id="docshape298" o:spid="_x0000_s5013" style="position:absolute;left:5268;top:1959;width:187;height:1517" fillcolor="#abe1fa" stroked="f"/>
            <v:shape id="docshape299" o:spid="_x0000_s5012" style="position:absolute;left:5713;top:2253;width:73;height:610" coordorigin="5714,2254" coordsize="73,610" o:spt="100" adj="0,,0" path="m5786,2856r-72,l5714,2863r72,l5786,2856xm5786,2254r-72,l5714,2261r72,l5786,2254xe" fillcolor="#b2b1b3" stroked="f">
              <v:stroke joinstyle="round"/>
              <v:formulas/>
              <v:path arrowok="t" o:connecttype="segments"/>
            </v:shape>
            <v:rect id="docshape300" o:spid="_x0000_s5011" style="position:absolute;left:5527;top:1417;width:187;height:2041" fillcolor="#abe1fa" stroked="f"/>
            <v:shape id="docshape301" o:spid="_x0000_s5010" style="position:absolute;left:5972;top:2253;width:73;height:1212" coordorigin="5973,2254" coordsize="73,1212" o:spt="100" adj="0,,0" path="m6045,3458r-72,l5973,3458r,8l6045,3466r,-8l6045,3458xm6045,2856r-72,l5973,2863r72,l6045,2856xm6045,2254r-72,l5973,2261r72,l6045,2254xe" fillcolor="#b2b1b3" stroked="f">
              <v:stroke joinstyle="round"/>
              <v:formulas/>
              <v:path arrowok="t" o:connecttype="segments"/>
            </v:shape>
            <v:rect id="docshape302" o:spid="_x0000_s5009" style="position:absolute;left:5786;top:1658;width:187;height:2107" fillcolor="#abe1fa" stroked="f"/>
            <v:shape id="docshape303" o:spid="_x0000_s5008" style="position:absolute;left:6231;top:2253;width:73;height:1212" coordorigin="6231,2254" coordsize="73,1212" o:spt="100" adj="0,,0" path="m6304,3458r-73,l6231,3458r,8l6304,3466r,-8l6304,3458xm6304,2856r-73,l6231,2863r73,l6304,2856xm6304,2254r-73,l6231,2261r73,l6304,2254xe" fillcolor="#b2b1b3" stroked="f">
              <v:stroke joinstyle="round"/>
              <v:formulas/>
              <v:path arrowok="t" o:connecttype="segments"/>
            </v:shape>
            <v:rect id="docshape304" o:spid="_x0000_s5007" style="position:absolute;left:6045;top:1778;width:187;height:2017" fillcolor="#abe1fa" stroked="f"/>
            <v:shape id="docshape305" o:spid="_x0000_s5006" style="position:absolute;left:6490;top:1651;width:73;height:1814" coordorigin="6490,1652" coordsize="73,1814" o:spt="100" adj="0,,0" path="m6563,3458r-73,l6490,3458r,8l6563,3466r,-8l6563,3458xm6563,2856r-73,l6490,2863r73,l6563,2856xm6563,2254r-73,l6490,2261r73,l6563,2254xm6563,1652r-73,l6490,1658r,1l6563,1659r,-1l6563,1652xe" fillcolor="#b2b1b3" stroked="f">
              <v:stroke joinstyle="round"/>
              <v:formulas/>
              <v:path arrowok="t" o:connecttype="segments"/>
            </v:shape>
            <v:rect id="docshape306" o:spid="_x0000_s5005" style="position:absolute;left:6303;top:1634;width:187;height:2071" fillcolor="#abe1fa" stroked="f"/>
            <v:shape id="docshape307" o:spid="_x0000_s5004" style="position:absolute;left:6749;top:1651;width:73;height:1814" coordorigin="6749,1652" coordsize="73,1814" o:spt="100" adj="0,,0" path="m6822,3458r-73,l6749,3458r,8l6822,3466r,-8l6822,3458xm6822,2856r-73,l6749,2863r73,l6822,2856xm6822,2254r-73,l6749,2261r73,l6822,2254xm6822,1652r-73,l6749,1658r,1l6822,1659r,-1l6822,1652xe" fillcolor="#b2b1b3" stroked="f">
              <v:stroke joinstyle="round"/>
              <v:formulas/>
              <v:path arrowok="t" o:connecttype="segments"/>
            </v:shape>
            <v:rect id="docshape308" o:spid="_x0000_s5003" style="position:absolute;left:6562;top:1116;width:187;height:2529" fillcolor="#abe1fa" stroked="f"/>
            <v:shape id="docshape309" o:spid="_x0000_s5002" style="position:absolute;left:7007;top:1049;width:3811;height:2417" coordorigin="7008,1049" coordsize="3811,2417" o:spt="100" adj="0,,0" path="m7080,3458r-72,l7008,3458r,8l7080,3466r,-8l7080,3458xm7080,2856r-72,l7008,2863r72,l7080,2856xm7080,2254r-72,l7008,2261r72,l7080,2254xm7080,1652r-72,l7008,1658r,1l7080,1659r,-1l7080,1652xm10819,1049r-3811,l7008,1056r,1l10819,1057r,-1l10819,1049xe" fillcolor="#b2b1b3" stroked="f">
              <v:stroke joinstyle="round"/>
              <v:formulas/>
              <v:path arrowok="t" o:connecttype="segments"/>
            </v:shape>
            <v:rect id="docshape310" o:spid="_x0000_s5001" style="position:absolute;left:6821;top:815;width:187;height:2770" fillcolor="#abe1fa" stroked="f"/>
            <v:shape id="docshape311" o:spid="_x0000_s5000" style="position:absolute;left:7266;top:1651;width:73;height:1814" coordorigin="7267,1652" coordsize="73,1814" o:spt="100" adj="0,,0" path="m7339,3458r-72,l7267,3458r,8l7339,3466r,-8l7339,3458xm7339,2856r-72,l7267,2863r72,l7339,2856xm7339,2254r-72,l7267,2261r72,l7339,2254xm7339,1652r-72,l7267,1658r,1l7339,1659r,-1l7339,1652xe" fillcolor="#b2b1b3" stroked="f">
              <v:stroke joinstyle="round"/>
              <v:formulas/>
              <v:path arrowok="t" o:connecttype="segments"/>
            </v:shape>
            <v:rect id="docshape312" o:spid="_x0000_s4999" style="position:absolute;left:7080;top:1055;width:187;height:2700" fillcolor="#abe1fa" stroked="f"/>
            <v:shape id="docshape313" o:spid="_x0000_s4998" style="position:absolute;left:7525;top:1651;width:3294;height:1814" coordorigin="7526,1652" coordsize="3294,1814" o:spt="100" adj="0,,0" path="m7598,3458r-72,l7526,3458r,8l7598,3466r,-8l7598,3458xm7598,2856r-72,l7526,2863r72,l7598,2856xm7598,2254r-72,l7526,2261r72,l7598,2254xm10819,1652r-3293,l7526,1658r,1l10819,1659r,-1l10819,1652xe" fillcolor="#b2b1b3" stroked="f">
              <v:stroke joinstyle="round"/>
              <v:formulas/>
              <v:path arrowok="t" o:connecttype="segments"/>
            </v:shape>
            <v:rect id="docshape314" o:spid="_x0000_s4997" style="position:absolute;left:7339;top:1296;width:187;height:2348" fillcolor="#abe1fa" stroked="f"/>
            <v:shape id="docshape315" o:spid="_x0000_s4996" style="position:absolute;left:7784;top:2253;width:73;height:1212" coordorigin="7784,2254" coordsize="73,1212" o:spt="100" adj="0,,0" path="m7857,3458r-73,l7784,3458r,8l7857,3466r,-8l7857,3458xm7857,2856r-73,l7784,2863r73,l7857,2856xm7857,2254r-73,l7784,2261r73,l7857,2254xe" fillcolor="#b2b1b3" stroked="f">
              <v:stroke joinstyle="round"/>
              <v:formulas/>
              <v:path arrowok="t" o:connecttype="segments"/>
            </v:shape>
            <v:rect id="docshape316" o:spid="_x0000_s4995" style="position:absolute;left:7598;top:1753;width:187;height:2131" fillcolor="#abe1fa" stroked="f"/>
            <v:shape id="docshape317" o:spid="_x0000_s4994" style="position:absolute;left:7784;top:2253;width:332;height:1814" coordorigin="7784,2254" coordsize="332,1814" o:spt="100" adj="0,,0" path="m7857,4060r-73,l7784,4068r73,l7857,4060xm8116,4060r-73,l8043,4068r73,l8116,4060xm8116,3458r-73,l8043,3458r,8l8116,3466r,-8l8116,3458xm8116,2856r-73,l8043,2863r73,l8116,2856xm8116,2254r-73,l8043,2261r73,l8116,2254xe" fillcolor="#b2b1b3" stroked="f">
              <v:stroke joinstyle="round"/>
              <v:formulas/>
              <v:path arrowok="t" o:connecttype="segments"/>
            </v:shape>
            <v:rect id="docshape318" o:spid="_x0000_s4993" style="position:absolute;left:7856;top:1837;width:187;height:2348" fillcolor="#abe1fa" stroked="f"/>
            <v:shape id="docshape319" o:spid="_x0000_s4992" style="position:absolute;left:8302;top:2253;width:2144;height:1814" coordorigin="8302,2254" coordsize="2144,1814" o:spt="100" adj="0,,0" path="m9669,4060r-73,l9596,4068r73,l9669,4060xm9669,3458r-73,l9596,3458r,8l9669,3466r,-8l9669,3458xm9669,2856r-849,l8820,2863r849,l9669,2856xm9928,3458r-73,l9855,3466r73,l9928,3458xm9928,2856r-73,l9855,2863r73,l9928,2856xm10186,4060r-331,l9855,4064r,4l9928,4068r,-4l10114,4064r,4l10186,4068r,-4l10186,4060xm10186,2254r-1884,l8302,2261r1884,l10186,2254xm10445,2254r-72,l10373,2261r72,l10445,2254xe" fillcolor="#b2b1b3" stroked="f">
              <v:stroke joinstyle="round"/>
              <v:formulas/>
              <v:path arrowok="t" o:connecttype="segments"/>
            </v:shape>
            <v:rect id="docshape320" o:spid="_x0000_s4991" style="position:absolute;left:9668;top:2740;width:187;height:1445" fillcolor="#b0acd5" stroked="f"/>
            <v:shape id="docshape321" o:spid="_x0000_s4990" style="position:absolute;left:10113;top:2856;width:73;height:610" coordorigin="10114,2856" coordsize="73,610" o:spt="100" adj="0,,0" path="m10186,3458r-72,l10114,3466r72,l10186,3458xm10186,2856r-72,l10114,2863r72,l10186,2856xe" fillcolor="#b2b1b3" stroked="f">
              <v:stroke joinstyle="round"/>
              <v:formulas/>
              <v:path arrowok="t" o:connecttype="segments"/>
            </v:shape>
            <v:rect id="docshape322" o:spid="_x0000_s4989" style="position:absolute;left:9927;top:2378;width:187;height:1686" fillcolor="#b0acd5" stroked="f"/>
            <v:shape id="docshape323" o:spid="_x0000_s4988" style="position:absolute;left:10372;top:2856;width:73;height:1212" coordorigin="10373,2856" coordsize="73,1212" o:spt="100" adj="0,,0" path="m10445,4060r-72,l10373,4064r,4l10445,4068r,-4l10445,4060xm10445,3458r-72,l10373,3466r72,l10445,3458xm10445,2856r-72,l10373,2863r72,l10445,2856xe" fillcolor="#b2b1b3" stroked="f">
              <v:stroke joinstyle="round"/>
              <v:formulas/>
              <v:path arrowok="t" o:connecttype="segments"/>
            </v:shape>
            <v:rect id="docshape324" o:spid="_x0000_s4987" style="position:absolute;left:10186;top:2077;width:187;height:1975" fillcolor="#b0acd5" stroked="f"/>
            <v:shape id="docshape325" o:spid="_x0000_s4986" style="position:absolute;left:10631;top:2253;width:188;height:1814" coordorigin="10632,2254" coordsize="188,1814" o:spt="100" adj="0,,0" path="m10819,4060r-187,l10632,4064r,4l10819,4068r,-4l10819,4060xm10819,3458r-187,l10632,3466r187,l10819,3458xm10819,2856r-187,l10632,2863r187,l10819,2856xm10819,2254r-187,l10632,2261r187,l10819,2254xe" fillcolor="#b2b1b3" stroked="f">
              <v:stroke joinstyle="round"/>
              <v:formulas/>
              <v:path arrowok="t" o:connecttype="segments"/>
            </v:shape>
            <v:rect id="docshape326" o:spid="_x0000_s4985" style="position:absolute;left:10445;top:2077;width:187;height:1975" fillcolor="#b0acd5" stroked="f"/>
            <v:shape id="docshape327" o:spid="_x0000_s4984" style="position:absolute;left:9668;top:4052;width:963;height:615" coordorigin="9669,4052" coordsize="963,615" o:spt="100" adj="0,,0" path="m9855,4185r-186,l9669,4666r186,l9855,4185xm10114,4064r-186,l9928,4666r186,l10114,4064xm10373,4052r-187,l10186,4666r187,l10373,4052xm10632,4052r-187,l10445,4666r187,l10632,4052xe" fillcolor="#2e3092" stroked="f">
              <v:stroke joinstyle="round"/>
              <v:formulas/>
              <v:path arrowok="t" o:connecttype="segments"/>
            </v:shape>
            <v:shape id="docshape328" o:spid="_x0000_s4983" style="position:absolute;left:8302;top:2856;width:73;height:1212" coordorigin="8302,2856" coordsize="73,1212" o:spt="100" adj="0,,0" path="m8375,4060r-73,l8302,4068r73,l8375,4060xm8375,3458r-73,l8302,3458r,8l8375,3466r,-8l8375,3458xm8375,2856r-73,l8302,2863r73,l8375,2856xe" fillcolor="#b2b1b3" stroked="f">
              <v:stroke joinstyle="round"/>
              <v:formulas/>
              <v:path arrowok="t" o:connecttype="segments"/>
            </v:shape>
            <v:rect id="docshape329" o:spid="_x0000_s4982" style="position:absolute;left:8115;top:2235;width:187;height:2071" fillcolor="#abe1fa" stroked="f"/>
            <v:shape id="docshape330" o:spid="_x0000_s4981" style="position:absolute;left:8560;top:2856;width:73;height:1212" coordorigin="8561,2856" coordsize="73,1212" o:spt="100" adj="0,,0" path="m8633,4060r-72,l8561,4068r72,l8633,4060xm8633,3458r-72,l8561,3458r,8l8633,3466r,-8l8633,3458xm8633,2856r-72,l8561,2863r72,l8633,2856xe" fillcolor="#b2b1b3" stroked="f">
              <v:stroke joinstyle="round"/>
              <v:formulas/>
              <v:path arrowok="t" o:connecttype="segments"/>
            </v:shape>
            <v:rect id="docshape331" o:spid="_x0000_s4980" style="position:absolute;left:8374;top:2560;width:187;height:1837" fillcolor="#abe1fa" stroked="f"/>
            <v:shape id="docshape332" o:spid="_x0000_s4979" style="position:absolute;left:8819;top:3458;width:73;height:610" coordorigin="8820,3458" coordsize="73,610" o:spt="100" adj="0,,0" path="m8892,4060r-72,l8820,4068r72,l8892,4060xm8892,3458r-72,l8820,3458r,8l8892,3466r,-8l8892,3458xe" fillcolor="#b2b1b3" stroked="f">
              <v:stroke joinstyle="round"/>
              <v:formulas/>
              <v:path arrowok="t" o:connecttype="segments"/>
            </v:shape>
            <v:rect id="docshape333" o:spid="_x0000_s4978" style="position:absolute;left:8633;top:2800;width:187;height:1566" fillcolor="#abe1fa" stroked="f"/>
            <v:shape id="docshape334" o:spid="_x0000_s4977" style="position:absolute;left:9078;top:3458;width:73;height:610" coordorigin="9079,3458" coordsize="73,610" o:spt="100" adj="0,,0" path="m9151,4060r-72,l9079,4068r72,l9151,4060xm9151,3458r-72,l9079,3458r,8l9151,3466r,-8l9151,3458xe" fillcolor="#b2b1b3" stroked="f">
              <v:stroke joinstyle="round"/>
              <v:formulas/>
              <v:path arrowok="t" o:connecttype="segments"/>
            </v:shape>
            <v:rect id="docshape335" o:spid="_x0000_s4976" style="position:absolute;left:8892;top:2921;width:187;height:1463" fillcolor="#abe1fa" stroked="f"/>
            <v:shape id="docshape336" o:spid="_x0000_s4975" style="position:absolute;left:9337;top:3458;width:73;height:610" coordorigin="9337,3458" coordsize="73,610" o:spt="100" adj="0,,0" path="m9410,4060r-73,l9337,4068r73,l9410,4060xm9410,3458r-73,l9337,3458r,8l9410,3466r,-8l9410,3458xe" fillcolor="#b2b1b3" stroked="f">
              <v:stroke joinstyle="round"/>
              <v:formulas/>
              <v:path arrowok="t" o:connecttype="segments"/>
            </v:shape>
            <v:shape id="docshape337" o:spid="_x0000_s4974" style="position:absolute;left:9151;top:2980;width:446;height:1385" coordorigin="9151,2981" coordsize="446,1385" o:spt="100" adj="0,,0" path="m9337,3041r-186,l9151,4366r186,l9337,3041xm9596,2981r-186,l9410,4341r186,l9596,2981xe" fillcolor="#abe1fa" stroked="f">
              <v:stroke joinstyle="round"/>
              <v:formulas/>
              <v:path arrowok="t" o:connecttype="segments"/>
            </v:shape>
            <v:rect id="docshape338" o:spid="_x0000_s4973" style="position:absolute;left:1935;top:4060;width:227;height:8" fillcolor="#b2b1b3" stroked="f"/>
            <v:shape id="docshape339" o:spid="_x0000_s4972" style="position:absolute;left:2162;top:3646;width:705;height:1024" coordorigin="2162,3647" coordsize="705,1024" o:spt="100" adj="0,,0" path="m2349,3647r-187,l2162,4670r187,l2349,3647xm2608,4008r-187,l2421,4670r187,l2608,4008xm2866,3995r-186,l2680,4670r186,l2866,3995xe" fillcolor="#00aeef" stroked="f">
              <v:stroke joinstyle="round"/>
              <v:formulas/>
              <v:path arrowok="t" o:connecttype="segments"/>
            </v:shape>
            <v:rect id="docshape340" o:spid="_x0000_s4971" style="position:absolute;left:3125;top:4060;width:73;height:8" fillcolor="#b2b1b3" stroked="f"/>
            <v:shape id="docshape341" o:spid="_x0000_s4970" style="position:absolute;left:2938;top:3706;width:705;height:964" coordorigin="2939,3706" coordsize="705,964" o:spt="100" adj="0,,0" path="m3125,3706r-186,l2939,4670r186,l3125,3706xm3384,3887r-186,l3198,4669r186,l3384,3887xm3643,3995r-186,l3457,4669r186,l3643,3995xe" fillcolor="#00aeef" stroked="f">
              <v:stroke joinstyle="round"/>
              <v:formulas/>
              <v:path arrowok="t" o:connecttype="segments"/>
            </v:shape>
            <v:rect id="docshape342" o:spid="_x0000_s4969" style="position:absolute;left:3901;top:4060;width:73;height:8" fillcolor="#b2b1b3" stroked="f"/>
            <v:rect id="docshape343" o:spid="_x0000_s4968" style="position:absolute;left:3715;top:3766;width:187;height:903" fillcolor="#00aeef" stroked="f"/>
            <v:rect id="docshape344" o:spid="_x0000_s4967" style="position:absolute;left:4160;top:4060;width:73;height:8" fillcolor="#b2b1b3" stroked="f"/>
            <v:rect id="docshape345" o:spid="_x0000_s4966" style="position:absolute;left:3974;top:3471;width:187;height:1198" fillcolor="#00aeef" stroked="f"/>
            <v:rect id="docshape346" o:spid="_x0000_s4965" style="position:absolute;left:4419;top:4060;width:73;height:8" fillcolor="#b2b1b3" stroked="f"/>
            <v:rect id="docshape347" o:spid="_x0000_s4964" style="position:absolute;left:4233;top:3705;width:187;height:964" fillcolor="#00aeef" stroked="f"/>
            <v:rect id="docshape348" o:spid="_x0000_s4963" style="position:absolute;left:4678;top:4060;width:73;height:8" fillcolor="#b2b1b3" stroked="f"/>
            <v:rect id="docshape349" o:spid="_x0000_s4962" style="position:absolute;left:4491;top:3934;width:187;height:735" fillcolor="#00aeef" stroked="f"/>
            <v:rect id="docshape350" o:spid="_x0000_s4961" style="position:absolute;left:4937;top:4060;width:73;height:8" fillcolor="#b2b1b3" stroked="f"/>
            <v:rect id="docshape351" o:spid="_x0000_s4960" style="position:absolute;left:4750;top:3753;width:187;height:915" fillcolor="#00aeef" stroked="f"/>
            <v:rect id="docshape352" o:spid="_x0000_s4959" style="position:absolute;left:5196;top:4060;width:73;height:8" fillcolor="#b2b1b3" stroked="f"/>
            <v:rect id="docshape353" o:spid="_x0000_s4958" style="position:absolute;left:5009;top:3741;width:187;height:928" fillcolor="#00aeef" stroked="f"/>
            <v:rect id="docshape354" o:spid="_x0000_s4957" style="position:absolute;left:5454;top:4060;width:73;height:8" fillcolor="#b2b1b3" stroked="f"/>
            <v:rect id="docshape355" o:spid="_x0000_s4956" style="position:absolute;left:5268;top:3476;width:187;height:1192" fillcolor="#00aeef" stroked="f"/>
            <v:rect id="docshape356" o:spid="_x0000_s4955" style="position:absolute;left:5713;top:4060;width:73;height:8" fillcolor="#b2b1b3" stroked="f"/>
            <v:rect id="docshape357" o:spid="_x0000_s4954" style="position:absolute;left:5527;top:3458;width:187;height:1210" fillcolor="#00aeef" stroked="f"/>
            <v:rect id="docshape358" o:spid="_x0000_s4953" style="position:absolute;left:5972;top:4060;width:73;height:8" fillcolor="#b2b1b3" stroked="f"/>
            <v:rect id="docshape359" o:spid="_x0000_s4952" style="position:absolute;left:5786;top:3765;width:187;height:903" fillcolor="#00aeef" stroked="f"/>
            <v:rect id="docshape360" o:spid="_x0000_s4951" style="position:absolute;left:6231;top:4060;width:73;height:8" fillcolor="#b2b1b3" stroked="f"/>
            <v:rect id="docshape361" o:spid="_x0000_s4950" style="position:absolute;left:6045;top:3795;width:187;height:873" fillcolor="#00aeef" stroked="f"/>
            <v:rect id="docshape362" o:spid="_x0000_s4949" style="position:absolute;left:6490;top:4060;width:73;height:8" fillcolor="#b2b1b3" stroked="f"/>
            <v:rect id="docshape363" o:spid="_x0000_s4948" style="position:absolute;left:6303;top:3704;width:187;height:964" fillcolor="#00aeef" stroked="f"/>
            <v:rect id="docshape364" o:spid="_x0000_s4947" style="position:absolute;left:6749;top:4060;width:73;height:8" fillcolor="#b2b1b3" stroked="f"/>
            <v:rect id="docshape365" o:spid="_x0000_s4946" style="position:absolute;left:6562;top:3644;width:187;height:1024" fillcolor="#00aeef" stroked="f"/>
            <v:rect id="docshape366" o:spid="_x0000_s4945" style="position:absolute;left:7007;top:4060;width:73;height:8" fillcolor="#b2b1b3" stroked="f"/>
            <v:rect id="docshape367" o:spid="_x0000_s4944" style="position:absolute;left:6821;top:3584;width:187;height:1084" fillcolor="#00aeef" stroked="f"/>
            <v:rect id="docshape368" o:spid="_x0000_s4943" style="position:absolute;left:7266;top:4060;width:73;height:8" fillcolor="#b2b1b3" stroked="f"/>
            <v:rect id="docshape369" o:spid="_x0000_s4942" style="position:absolute;left:7080;top:3754;width:187;height:913" fillcolor="#00aeef" stroked="f"/>
            <v:rect id="docshape370" o:spid="_x0000_s4941" style="position:absolute;left:7525;top:4060;width:73;height:8" fillcolor="#b2b1b3" stroked="f"/>
            <v:shape id="docshape371" o:spid="_x0000_s4940" style="position:absolute;left:7339;top:3644;width:2258;height:1024" coordorigin="7339,3644" coordsize="2258,1024" o:spt="100" adj="0,,0" path="m7526,3644r-187,l7339,4667r187,l7526,3644xm7784,3885r-186,l7598,4667r186,l7784,3885xm8043,4186r-186,l7857,4667r186,l8043,4186xm8302,4306r-186,l8116,4667r186,l8302,4306xm8561,4396r-186,l8375,4667r186,l8561,4396xm8820,4366r-187,l8633,4667r187,l8820,4366xm9079,4384r-187,l8892,4667r187,l9079,4384xm9337,4366r-186,l9151,4667r186,l9337,4366xm9596,4341r-186,l9410,4667r186,l9596,4341xe" fillcolor="#00aeef" stroked="f">
              <v:stroke joinstyle="round"/>
              <v:formulas/>
              <v:path arrowok="t" o:connecttype="segments"/>
            </v:shape>
            <v:rect id="docshape372" o:spid="_x0000_s4939" style="position:absolute;left:1935;top:4658;width:8884;height:16" fillcolor="#b2b1b3" stroked="f"/>
            <w10:wrap anchorx="page"/>
          </v:group>
        </w:pict>
      </w:r>
      <w:r w:rsidR="00F22F94">
        <w:rPr>
          <w:spacing w:val="-2"/>
        </w:rPr>
        <w:t>Infrastructure</w:t>
      </w:r>
      <w:r w:rsidR="00F22F94">
        <w:rPr>
          <w:spacing w:val="-3"/>
        </w:rPr>
        <w:t xml:space="preserve"> </w:t>
      </w:r>
      <w:r w:rsidR="00F22F94">
        <w:rPr>
          <w:spacing w:val="-2"/>
        </w:rPr>
        <w:t>NSW</w:t>
      </w:r>
      <w:r w:rsidR="00F22F94">
        <w:rPr>
          <w:spacing w:val="-3"/>
        </w:rPr>
        <w:t xml:space="preserve"> </w:t>
      </w:r>
      <w:r w:rsidR="00F22F94">
        <w:rPr>
          <w:spacing w:val="-2"/>
        </w:rPr>
        <w:t>has</w:t>
      </w:r>
      <w:r w:rsidR="00F22F94">
        <w:rPr>
          <w:spacing w:val="-3"/>
        </w:rPr>
        <w:t xml:space="preserve"> </w:t>
      </w:r>
      <w:r w:rsidR="00F22F94">
        <w:rPr>
          <w:spacing w:val="-2"/>
        </w:rPr>
        <w:t>considered</w:t>
      </w:r>
      <w:r w:rsidR="00F22F94">
        <w:rPr>
          <w:spacing w:val="-3"/>
        </w:rPr>
        <w:t xml:space="preserve"> </w:t>
      </w:r>
      <w:r w:rsidR="00F22F94">
        <w:rPr>
          <w:spacing w:val="-2"/>
        </w:rPr>
        <w:t>two</w:t>
      </w:r>
      <w:r w:rsidR="00F22F94">
        <w:rPr>
          <w:spacing w:val="-3"/>
        </w:rPr>
        <w:t xml:space="preserve"> </w:t>
      </w:r>
      <w:r w:rsidR="00F22F94">
        <w:rPr>
          <w:spacing w:val="-2"/>
        </w:rPr>
        <w:t>potentially disruptive</w:t>
      </w:r>
      <w:r w:rsidR="00F22F94">
        <w:rPr>
          <w:spacing w:val="-6"/>
        </w:rPr>
        <w:t xml:space="preserve"> </w:t>
      </w:r>
      <w:r w:rsidR="00F22F94">
        <w:rPr>
          <w:spacing w:val="-2"/>
        </w:rPr>
        <w:t>trends</w:t>
      </w:r>
      <w:r w:rsidR="00F22F94">
        <w:rPr>
          <w:spacing w:val="-6"/>
        </w:rPr>
        <w:t xml:space="preserve"> </w:t>
      </w:r>
      <w:r w:rsidR="00F22F94">
        <w:rPr>
          <w:spacing w:val="-2"/>
        </w:rPr>
        <w:t>which</w:t>
      </w:r>
      <w:r w:rsidR="00F22F94">
        <w:rPr>
          <w:spacing w:val="-6"/>
        </w:rPr>
        <w:t xml:space="preserve"> </w:t>
      </w:r>
      <w:r w:rsidR="00F22F94">
        <w:rPr>
          <w:spacing w:val="-2"/>
        </w:rPr>
        <w:t>will</w:t>
      </w:r>
      <w:r w:rsidR="00F22F94">
        <w:rPr>
          <w:spacing w:val="-6"/>
        </w:rPr>
        <w:t xml:space="preserve"> </w:t>
      </w:r>
      <w:r w:rsidR="00F22F94">
        <w:rPr>
          <w:spacing w:val="-2"/>
        </w:rPr>
        <w:t>influence</w:t>
      </w:r>
      <w:r w:rsidR="00F22F94">
        <w:rPr>
          <w:spacing w:val="-6"/>
        </w:rPr>
        <w:t xml:space="preserve"> </w:t>
      </w:r>
      <w:r w:rsidR="00F22F94">
        <w:rPr>
          <w:spacing w:val="-2"/>
        </w:rPr>
        <w:t>the</w:t>
      </w:r>
      <w:r w:rsidR="00F22F94">
        <w:rPr>
          <w:spacing w:val="-6"/>
        </w:rPr>
        <w:t xml:space="preserve"> </w:t>
      </w:r>
      <w:r w:rsidR="00F22F94">
        <w:rPr>
          <w:spacing w:val="-2"/>
        </w:rPr>
        <w:t xml:space="preserve">State’s </w:t>
      </w:r>
      <w:r w:rsidR="00F22F94">
        <w:rPr>
          <w:w w:val="95"/>
        </w:rPr>
        <w:t>infrastructure</w:t>
      </w:r>
      <w:r w:rsidR="00F22F94">
        <w:rPr>
          <w:spacing w:val="-10"/>
          <w:w w:val="95"/>
        </w:rPr>
        <w:t xml:space="preserve"> </w:t>
      </w:r>
      <w:r w:rsidR="00F22F94">
        <w:rPr>
          <w:w w:val="95"/>
        </w:rPr>
        <w:t>investment</w:t>
      </w:r>
      <w:r w:rsidR="00F22F94">
        <w:rPr>
          <w:spacing w:val="-10"/>
          <w:w w:val="95"/>
        </w:rPr>
        <w:t xml:space="preserve"> </w:t>
      </w:r>
      <w:r w:rsidR="00F22F94">
        <w:rPr>
          <w:w w:val="95"/>
        </w:rPr>
        <w:t>priorities</w:t>
      </w:r>
      <w:r w:rsidR="00F22F94">
        <w:rPr>
          <w:spacing w:val="-10"/>
          <w:w w:val="95"/>
        </w:rPr>
        <w:t xml:space="preserve"> </w:t>
      </w:r>
      <w:r w:rsidR="00F22F94">
        <w:rPr>
          <w:w w:val="95"/>
        </w:rPr>
        <w:t>and</w:t>
      </w:r>
      <w:r w:rsidR="00F22F94">
        <w:rPr>
          <w:spacing w:val="-10"/>
          <w:w w:val="95"/>
        </w:rPr>
        <w:t xml:space="preserve"> </w:t>
      </w:r>
      <w:r w:rsidR="00F22F94">
        <w:rPr>
          <w:w w:val="95"/>
        </w:rPr>
        <w:t>needs.</w:t>
      </w:r>
      <w:r w:rsidR="00F22F94">
        <w:rPr>
          <w:spacing w:val="-10"/>
          <w:w w:val="95"/>
        </w:rPr>
        <w:t xml:space="preserve"> </w:t>
      </w:r>
      <w:r w:rsidR="00F22F94">
        <w:rPr>
          <w:w w:val="95"/>
        </w:rPr>
        <w:t>These</w:t>
      </w:r>
      <w:r w:rsidR="00F22F94">
        <w:rPr>
          <w:spacing w:val="-10"/>
          <w:w w:val="95"/>
        </w:rPr>
        <w:t xml:space="preserve"> </w:t>
      </w:r>
      <w:r w:rsidR="00F22F94">
        <w:rPr>
          <w:w w:val="95"/>
        </w:rPr>
        <w:t>are global</w:t>
      </w:r>
      <w:r w:rsidR="00F22F94">
        <w:rPr>
          <w:spacing w:val="-7"/>
          <w:w w:val="95"/>
        </w:rPr>
        <w:t xml:space="preserve"> </w:t>
      </w:r>
      <w:r w:rsidR="00F22F94">
        <w:rPr>
          <w:w w:val="95"/>
        </w:rPr>
        <w:t>competition</w:t>
      </w:r>
      <w:r w:rsidR="00F22F94">
        <w:rPr>
          <w:spacing w:val="-7"/>
          <w:w w:val="95"/>
        </w:rPr>
        <w:t xml:space="preserve"> </w:t>
      </w:r>
      <w:r w:rsidR="00F22F94">
        <w:rPr>
          <w:w w:val="95"/>
        </w:rPr>
        <w:t>and</w:t>
      </w:r>
      <w:r w:rsidR="00F22F94">
        <w:rPr>
          <w:spacing w:val="-7"/>
          <w:w w:val="95"/>
        </w:rPr>
        <w:t xml:space="preserve"> </w:t>
      </w:r>
      <w:r w:rsidR="00F22F94">
        <w:rPr>
          <w:w w:val="95"/>
        </w:rPr>
        <w:t>technological</w:t>
      </w:r>
      <w:r w:rsidR="00F22F94">
        <w:rPr>
          <w:spacing w:val="-7"/>
          <w:w w:val="95"/>
        </w:rPr>
        <w:t xml:space="preserve"> </w:t>
      </w:r>
      <w:r w:rsidR="00F22F94">
        <w:rPr>
          <w:w w:val="95"/>
        </w:rPr>
        <w:t>change.</w:t>
      </w:r>
      <w:r w:rsidR="00F22F94">
        <w:rPr>
          <w:spacing w:val="-7"/>
          <w:w w:val="95"/>
        </w:rPr>
        <w:t xml:space="preserve"> </w:t>
      </w:r>
      <w:r w:rsidR="00F22F94">
        <w:rPr>
          <w:w w:val="95"/>
        </w:rPr>
        <w:t>As</w:t>
      </w:r>
      <w:r w:rsidR="00F22F94">
        <w:rPr>
          <w:spacing w:val="-7"/>
          <w:w w:val="95"/>
        </w:rPr>
        <w:t xml:space="preserve"> </w:t>
      </w:r>
      <w:r w:rsidR="00F22F94">
        <w:rPr>
          <w:w w:val="95"/>
        </w:rPr>
        <w:t>a</w:t>
      </w:r>
      <w:r w:rsidR="00F22F94">
        <w:rPr>
          <w:spacing w:val="-7"/>
          <w:w w:val="95"/>
        </w:rPr>
        <w:t xml:space="preserve"> </w:t>
      </w:r>
      <w:r w:rsidR="00F22F94">
        <w:rPr>
          <w:w w:val="95"/>
        </w:rPr>
        <w:t>result of</w:t>
      </w:r>
      <w:r w:rsidR="00F22F94">
        <w:rPr>
          <w:spacing w:val="-7"/>
          <w:w w:val="95"/>
        </w:rPr>
        <w:t xml:space="preserve"> </w:t>
      </w:r>
      <w:r w:rsidR="00F22F94">
        <w:rPr>
          <w:w w:val="95"/>
        </w:rPr>
        <w:t>these</w:t>
      </w:r>
      <w:r w:rsidR="00F22F94">
        <w:rPr>
          <w:spacing w:val="-7"/>
          <w:w w:val="95"/>
        </w:rPr>
        <w:t xml:space="preserve"> </w:t>
      </w:r>
      <w:r w:rsidR="00F22F94">
        <w:rPr>
          <w:w w:val="95"/>
        </w:rPr>
        <w:t>trends,</w:t>
      </w:r>
      <w:r w:rsidR="00F22F94">
        <w:rPr>
          <w:spacing w:val="-7"/>
          <w:w w:val="95"/>
        </w:rPr>
        <w:t xml:space="preserve"> </w:t>
      </w:r>
      <w:r w:rsidR="00F22F94">
        <w:rPr>
          <w:w w:val="95"/>
        </w:rPr>
        <w:t>the</w:t>
      </w:r>
      <w:r w:rsidR="00F22F94">
        <w:rPr>
          <w:spacing w:val="-7"/>
          <w:w w:val="95"/>
        </w:rPr>
        <w:t xml:space="preserve"> </w:t>
      </w:r>
      <w:r w:rsidR="00F22F94">
        <w:rPr>
          <w:w w:val="95"/>
        </w:rPr>
        <w:t>infrastructure</w:t>
      </w:r>
      <w:r w:rsidR="00F22F94">
        <w:rPr>
          <w:spacing w:val="-7"/>
          <w:w w:val="95"/>
        </w:rPr>
        <w:t xml:space="preserve"> </w:t>
      </w:r>
      <w:r w:rsidR="00F22F94">
        <w:rPr>
          <w:w w:val="95"/>
        </w:rPr>
        <w:t>networks</w:t>
      </w:r>
      <w:r w:rsidR="00F22F94">
        <w:rPr>
          <w:spacing w:val="-7"/>
          <w:w w:val="95"/>
        </w:rPr>
        <w:t xml:space="preserve"> </w:t>
      </w:r>
      <w:r w:rsidR="00F22F94">
        <w:rPr>
          <w:w w:val="95"/>
        </w:rPr>
        <w:t>needed</w:t>
      </w:r>
      <w:r w:rsidR="00F22F94">
        <w:rPr>
          <w:spacing w:val="-7"/>
          <w:w w:val="95"/>
        </w:rPr>
        <w:t xml:space="preserve"> </w:t>
      </w:r>
      <w:r w:rsidR="00F22F94">
        <w:rPr>
          <w:w w:val="95"/>
        </w:rPr>
        <w:t>in</w:t>
      </w:r>
      <w:r w:rsidR="00F22F94">
        <w:rPr>
          <w:spacing w:val="-7"/>
          <w:w w:val="95"/>
        </w:rPr>
        <w:t xml:space="preserve"> </w:t>
      </w:r>
      <w:r w:rsidR="00F22F94">
        <w:rPr>
          <w:w w:val="95"/>
        </w:rPr>
        <w:t xml:space="preserve">20 </w:t>
      </w:r>
      <w:r w:rsidR="00F22F94">
        <w:rPr>
          <w:spacing w:val="-2"/>
        </w:rPr>
        <w:t>years</w:t>
      </w:r>
      <w:r w:rsidR="00F22F94">
        <w:rPr>
          <w:spacing w:val="-10"/>
        </w:rPr>
        <w:t xml:space="preserve"> </w:t>
      </w:r>
      <w:r w:rsidR="00F22F94">
        <w:rPr>
          <w:spacing w:val="-2"/>
        </w:rPr>
        <w:t>will</w:t>
      </w:r>
      <w:r w:rsidR="00F22F94">
        <w:rPr>
          <w:spacing w:val="-10"/>
        </w:rPr>
        <w:t xml:space="preserve"> </w:t>
      </w:r>
      <w:r w:rsidR="00F22F94">
        <w:rPr>
          <w:spacing w:val="-2"/>
        </w:rPr>
        <w:t>not</w:t>
      </w:r>
      <w:r w:rsidR="00F22F94">
        <w:rPr>
          <w:spacing w:val="-10"/>
        </w:rPr>
        <w:t xml:space="preserve"> </w:t>
      </w:r>
      <w:r w:rsidR="00F22F94">
        <w:rPr>
          <w:spacing w:val="-2"/>
        </w:rPr>
        <w:t>be</w:t>
      </w:r>
      <w:r w:rsidR="00F22F94">
        <w:rPr>
          <w:spacing w:val="-10"/>
        </w:rPr>
        <w:t xml:space="preserve"> </w:t>
      </w:r>
      <w:r w:rsidR="00F22F94">
        <w:rPr>
          <w:spacing w:val="-2"/>
        </w:rPr>
        <w:t>designed</w:t>
      </w:r>
      <w:r w:rsidR="00F22F94">
        <w:rPr>
          <w:spacing w:val="-10"/>
        </w:rPr>
        <w:t xml:space="preserve"> </w:t>
      </w:r>
      <w:r w:rsidR="00F22F94">
        <w:rPr>
          <w:spacing w:val="-2"/>
        </w:rPr>
        <w:t>and</w:t>
      </w:r>
      <w:r w:rsidR="00F22F94">
        <w:rPr>
          <w:spacing w:val="-10"/>
        </w:rPr>
        <w:t xml:space="preserve"> </w:t>
      </w:r>
      <w:r w:rsidR="00F22F94">
        <w:rPr>
          <w:spacing w:val="-2"/>
        </w:rPr>
        <w:t>used</w:t>
      </w:r>
      <w:r w:rsidR="00F22F94">
        <w:rPr>
          <w:spacing w:val="-10"/>
        </w:rPr>
        <w:t xml:space="preserve"> </w:t>
      </w:r>
      <w:r w:rsidR="00F22F94">
        <w:rPr>
          <w:spacing w:val="-2"/>
        </w:rPr>
        <w:t>as</w:t>
      </w:r>
      <w:r w:rsidR="00F22F94">
        <w:rPr>
          <w:spacing w:val="-10"/>
        </w:rPr>
        <w:t xml:space="preserve"> </w:t>
      </w:r>
      <w:r w:rsidR="00F22F94">
        <w:rPr>
          <w:spacing w:val="-2"/>
        </w:rPr>
        <w:t>they</w:t>
      </w:r>
      <w:r w:rsidR="00F22F94">
        <w:rPr>
          <w:spacing w:val="-10"/>
        </w:rPr>
        <w:t xml:space="preserve"> </w:t>
      </w:r>
      <w:r w:rsidR="00F22F94">
        <w:rPr>
          <w:spacing w:val="-2"/>
        </w:rPr>
        <w:t>are</w:t>
      </w:r>
      <w:r w:rsidR="00F22F94">
        <w:rPr>
          <w:spacing w:val="-10"/>
        </w:rPr>
        <w:t xml:space="preserve"> </w:t>
      </w:r>
      <w:r w:rsidR="00F22F94">
        <w:rPr>
          <w:spacing w:val="-2"/>
        </w:rPr>
        <w:t>now.</w:t>
      </w:r>
    </w:p>
    <w:p w:rsidR="002C1123" w:rsidRDefault="00F22F94">
      <w:pPr>
        <w:pStyle w:val="Heading6"/>
        <w:spacing w:before="147"/>
        <w:ind w:left="531"/>
      </w:pPr>
      <w:r>
        <w:rPr>
          <w:spacing w:val="-2"/>
        </w:rPr>
        <w:t>Globalisation</w:t>
      </w:r>
    </w:p>
    <w:p w:rsidR="002C1123" w:rsidRDefault="00F22F94">
      <w:pPr>
        <w:pStyle w:val="BodyText"/>
        <w:spacing w:before="10" w:line="249" w:lineRule="auto"/>
        <w:ind w:left="531" w:right="822"/>
      </w:pPr>
      <w:r>
        <w:t>NSW</w:t>
      </w:r>
      <w:r>
        <w:rPr>
          <w:spacing w:val="-8"/>
        </w:rPr>
        <w:t xml:space="preserve"> </w:t>
      </w:r>
      <w:r>
        <w:t>must</w:t>
      </w:r>
      <w:r>
        <w:rPr>
          <w:spacing w:val="-8"/>
        </w:rPr>
        <w:t xml:space="preserve"> </w:t>
      </w:r>
      <w:r>
        <w:t>compete</w:t>
      </w:r>
      <w:r>
        <w:rPr>
          <w:spacing w:val="-8"/>
        </w:rPr>
        <w:t xml:space="preserve"> </w:t>
      </w:r>
      <w:r>
        <w:t>against</w:t>
      </w:r>
      <w:r>
        <w:rPr>
          <w:spacing w:val="-8"/>
        </w:rPr>
        <w:t xml:space="preserve"> </w:t>
      </w:r>
      <w:r>
        <w:t>the</w:t>
      </w:r>
      <w:r>
        <w:rPr>
          <w:spacing w:val="-8"/>
        </w:rPr>
        <w:t xml:space="preserve"> </w:t>
      </w:r>
      <w:r>
        <w:t>other</w:t>
      </w:r>
      <w:r>
        <w:rPr>
          <w:spacing w:val="-8"/>
        </w:rPr>
        <w:t xml:space="preserve"> </w:t>
      </w:r>
      <w:r>
        <w:t>States</w:t>
      </w:r>
      <w:r>
        <w:rPr>
          <w:spacing w:val="-8"/>
        </w:rPr>
        <w:t xml:space="preserve"> </w:t>
      </w:r>
      <w:r>
        <w:t xml:space="preserve">and </w:t>
      </w:r>
      <w:r>
        <w:rPr>
          <w:w w:val="95"/>
        </w:rPr>
        <w:t>other</w:t>
      </w:r>
      <w:r>
        <w:rPr>
          <w:spacing w:val="-9"/>
          <w:w w:val="95"/>
        </w:rPr>
        <w:t xml:space="preserve"> </w:t>
      </w:r>
      <w:r>
        <w:rPr>
          <w:w w:val="95"/>
        </w:rPr>
        <w:t>international</w:t>
      </w:r>
      <w:r>
        <w:rPr>
          <w:spacing w:val="-9"/>
          <w:w w:val="95"/>
        </w:rPr>
        <w:t xml:space="preserve"> </w:t>
      </w:r>
      <w:r>
        <w:rPr>
          <w:w w:val="95"/>
        </w:rPr>
        <w:t>centres.</w:t>
      </w:r>
      <w:r>
        <w:rPr>
          <w:spacing w:val="-9"/>
          <w:w w:val="95"/>
        </w:rPr>
        <w:t xml:space="preserve"> </w:t>
      </w:r>
      <w:r>
        <w:rPr>
          <w:w w:val="95"/>
        </w:rPr>
        <w:t>To</w:t>
      </w:r>
      <w:r>
        <w:rPr>
          <w:spacing w:val="-9"/>
          <w:w w:val="95"/>
        </w:rPr>
        <w:t xml:space="preserve"> </w:t>
      </w:r>
      <w:r>
        <w:rPr>
          <w:w w:val="95"/>
        </w:rPr>
        <w:t>be</w:t>
      </w:r>
      <w:r>
        <w:rPr>
          <w:spacing w:val="-9"/>
          <w:w w:val="95"/>
        </w:rPr>
        <w:t xml:space="preserve"> </w:t>
      </w:r>
      <w:r>
        <w:rPr>
          <w:w w:val="95"/>
        </w:rPr>
        <w:t>globally</w:t>
      </w:r>
      <w:r>
        <w:rPr>
          <w:spacing w:val="-9"/>
          <w:w w:val="95"/>
        </w:rPr>
        <w:t xml:space="preserve"> </w:t>
      </w:r>
      <w:r>
        <w:rPr>
          <w:w w:val="95"/>
        </w:rPr>
        <w:t>competitive,</w:t>
      </w:r>
    </w:p>
    <w:p w:rsidR="002C1123" w:rsidRDefault="00F22F94">
      <w:pPr>
        <w:pStyle w:val="BodyText"/>
        <w:spacing w:before="1" w:line="249" w:lineRule="auto"/>
        <w:ind w:left="531" w:right="622"/>
      </w:pPr>
      <w:r>
        <w:rPr>
          <w:w w:val="95"/>
        </w:rPr>
        <w:t xml:space="preserve">organisations in business, Government and civil society </w:t>
      </w:r>
      <w:r>
        <w:rPr>
          <w:spacing w:val="-2"/>
        </w:rPr>
        <w:t>are</w:t>
      </w:r>
      <w:r>
        <w:rPr>
          <w:spacing w:val="-6"/>
        </w:rPr>
        <w:t xml:space="preserve"> </w:t>
      </w:r>
      <w:r>
        <w:rPr>
          <w:spacing w:val="-2"/>
        </w:rPr>
        <w:t>searching</w:t>
      </w:r>
      <w:r>
        <w:rPr>
          <w:spacing w:val="-6"/>
        </w:rPr>
        <w:t xml:space="preserve"> </w:t>
      </w:r>
      <w:r>
        <w:rPr>
          <w:spacing w:val="-2"/>
        </w:rPr>
        <w:t>for</w:t>
      </w:r>
      <w:r>
        <w:rPr>
          <w:spacing w:val="-6"/>
        </w:rPr>
        <w:t xml:space="preserve"> </w:t>
      </w:r>
      <w:r>
        <w:rPr>
          <w:spacing w:val="-2"/>
        </w:rPr>
        <w:t>clever</w:t>
      </w:r>
      <w:r>
        <w:rPr>
          <w:spacing w:val="-6"/>
        </w:rPr>
        <w:t xml:space="preserve"> </w:t>
      </w:r>
      <w:r>
        <w:rPr>
          <w:spacing w:val="-2"/>
        </w:rPr>
        <w:t>ideas</w:t>
      </w:r>
      <w:r>
        <w:rPr>
          <w:spacing w:val="-6"/>
        </w:rPr>
        <w:t xml:space="preserve"> </w:t>
      </w:r>
      <w:r>
        <w:rPr>
          <w:spacing w:val="-2"/>
        </w:rPr>
        <w:t>to</w:t>
      </w:r>
      <w:r>
        <w:rPr>
          <w:spacing w:val="-6"/>
        </w:rPr>
        <w:t xml:space="preserve"> </w:t>
      </w:r>
      <w:r>
        <w:rPr>
          <w:spacing w:val="-2"/>
        </w:rPr>
        <w:t>either</w:t>
      </w:r>
      <w:r>
        <w:rPr>
          <w:spacing w:val="-6"/>
        </w:rPr>
        <w:t xml:space="preserve"> </w:t>
      </w:r>
      <w:r>
        <w:rPr>
          <w:spacing w:val="-2"/>
        </w:rPr>
        <w:t xml:space="preserve">incrementally </w:t>
      </w:r>
      <w:r>
        <w:rPr>
          <w:w w:val="95"/>
        </w:rPr>
        <w:t>improve or dramatically change their products, services and</w:t>
      </w:r>
      <w:r>
        <w:rPr>
          <w:spacing w:val="-5"/>
          <w:w w:val="95"/>
        </w:rPr>
        <w:t xml:space="preserve"> </w:t>
      </w:r>
      <w:r>
        <w:rPr>
          <w:w w:val="95"/>
        </w:rPr>
        <w:t>capabilities.</w:t>
      </w:r>
      <w:r>
        <w:rPr>
          <w:spacing w:val="-5"/>
          <w:w w:val="95"/>
        </w:rPr>
        <w:t xml:space="preserve"> </w:t>
      </w:r>
      <w:r>
        <w:rPr>
          <w:w w:val="95"/>
        </w:rPr>
        <w:t>Economic</w:t>
      </w:r>
      <w:r>
        <w:rPr>
          <w:spacing w:val="-5"/>
          <w:w w:val="95"/>
        </w:rPr>
        <w:t xml:space="preserve"> </w:t>
      </w:r>
      <w:r>
        <w:rPr>
          <w:w w:val="95"/>
        </w:rPr>
        <w:t>success</w:t>
      </w:r>
      <w:r>
        <w:rPr>
          <w:spacing w:val="-5"/>
          <w:w w:val="95"/>
        </w:rPr>
        <w:t xml:space="preserve"> </w:t>
      </w:r>
      <w:r>
        <w:rPr>
          <w:w w:val="95"/>
        </w:rPr>
        <w:t>will</w:t>
      </w:r>
      <w:r>
        <w:rPr>
          <w:spacing w:val="-5"/>
          <w:w w:val="95"/>
        </w:rPr>
        <w:t xml:space="preserve"> </w:t>
      </w:r>
      <w:r>
        <w:rPr>
          <w:w w:val="95"/>
        </w:rPr>
        <w:t>rely</w:t>
      </w:r>
      <w:r>
        <w:rPr>
          <w:spacing w:val="-5"/>
          <w:w w:val="95"/>
        </w:rPr>
        <w:t xml:space="preserve"> </w:t>
      </w:r>
      <w:r>
        <w:rPr>
          <w:w w:val="95"/>
        </w:rPr>
        <w:t xml:space="preserve">increasingly </w:t>
      </w:r>
      <w:r>
        <w:t>on</w:t>
      </w:r>
      <w:r>
        <w:rPr>
          <w:spacing w:val="-7"/>
        </w:rPr>
        <w:t xml:space="preserve"> </w:t>
      </w:r>
      <w:r>
        <w:t>the</w:t>
      </w:r>
      <w:r>
        <w:rPr>
          <w:spacing w:val="-7"/>
        </w:rPr>
        <w:t xml:space="preserve"> </w:t>
      </w:r>
      <w:r>
        <w:t>ease</w:t>
      </w:r>
      <w:r>
        <w:rPr>
          <w:spacing w:val="-7"/>
        </w:rPr>
        <w:t xml:space="preserve"> </w:t>
      </w:r>
      <w:r>
        <w:t>with</w:t>
      </w:r>
      <w:r>
        <w:rPr>
          <w:spacing w:val="-7"/>
        </w:rPr>
        <w:t xml:space="preserve"> </w:t>
      </w:r>
      <w:r>
        <w:t>which</w:t>
      </w:r>
      <w:r>
        <w:rPr>
          <w:spacing w:val="-7"/>
        </w:rPr>
        <w:t xml:space="preserve"> </w:t>
      </w:r>
      <w:r>
        <w:t>ideas</w:t>
      </w:r>
      <w:r>
        <w:rPr>
          <w:spacing w:val="-7"/>
        </w:rPr>
        <w:t xml:space="preserve"> </w:t>
      </w:r>
      <w:r>
        <w:t>and</w:t>
      </w:r>
      <w:r>
        <w:rPr>
          <w:spacing w:val="-7"/>
        </w:rPr>
        <w:t xml:space="preserve"> </w:t>
      </w:r>
      <w:r>
        <w:t>people</w:t>
      </w:r>
      <w:r>
        <w:rPr>
          <w:spacing w:val="-7"/>
        </w:rPr>
        <w:t xml:space="preserve"> </w:t>
      </w:r>
      <w:r>
        <w:t>can</w:t>
      </w:r>
      <w:r>
        <w:rPr>
          <w:spacing w:val="-7"/>
        </w:rPr>
        <w:t xml:space="preserve"> </w:t>
      </w:r>
      <w:r>
        <w:t>connect around the corner or across the world.</w:t>
      </w:r>
    </w:p>
    <w:p w:rsidR="002C1123" w:rsidRDefault="002060EF">
      <w:pPr>
        <w:pStyle w:val="BodyText"/>
        <w:spacing w:before="143" w:line="249" w:lineRule="auto"/>
        <w:ind w:left="531" w:right="743"/>
      </w:pPr>
      <w:r>
        <w:pict>
          <v:shape id="docshape373" o:spid="_x0000_s4937" type="#_x0000_t202" style="position:absolute;left:0;text-align:left;margin-left:107.2pt;margin-top:49.8pt;width:425.25pt;height:17.4pt;z-index:251243520;mso-position-horizontal-relative:page" filled="f" stroked="f">
            <v:textbox style="layout-flow:vertical;mso-layout-flow-alt:bottom-to-top" inset="0,0,0,0">
              <w:txbxContent>
                <w:p w:rsidR="00F22F94" w:rsidRDefault="00F22F94">
                  <w:pPr>
                    <w:spacing w:before="18"/>
                    <w:ind w:left="20"/>
                    <w:rPr>
                      <w:sz w:val="16"/>
                    </w:rPr>
                  </w:pPr>
                  <w:r>
                    <w:rPr>
                      <w:spacing w:val="-4"/>
                      <w:w w:val="90"/>
                      <w:sz w:val="16"/>
                    </w:rPr>
                    <w:t>1982</w:t>
                  </w:r>
                </w:p>
                <w:p w:rsidR="00F22F94" w:rsidRDefault="00F22F94">
                  <w:pPr>
                    <w:spacing w:before="75"/>
                    <w:ind w:left="20"/>
                    <w:rPr>
                      <w:sz w:val="16"/>
                    </w:rPr>
                  </w:pPr>
                  <w:r>
                    <w:rPr>
                      <w:spacing w:val="-4"/>
                      <w:w w:val="90"/>
                      <w:sz w:val="16"/>
                    </w:rPr>
                    <w:t>1983</w:t>
                  </w:r>
                </w:p>
                <w:p w:rsidR="00F22F94" w:rsidRDefault="00F22F94">
                  <w:pPr>
                    <w:spacing w:before="75"/>
                    <w:ind w:left="20"/>
                    <w:rPr>
                      <w:sz w:val="16"/>
                    </w:rPr>
                  </w:pPr>
                  <w:r>
                    <w:rPr>
                      <w:spacing w:val="-4"/>
                      <w:w w:val="90"/>
                      <w:sz w:val="16"/>
                    </w:rPr>
                    <w:t>1984</w:t>
                  </w:r>
                </w:p>
                <w:p w:rsidR="00F22F94" w:rsidRDefault="00F22F94">
                  <w:pPr>
                    <w:spacing w:before="75"/>
                    <w:ind w:left="20"/>
                    <w:rPr>
                      <w:sz w:val="16"/>
                    </w:rPr>
                  </w:pPr>
                  <w:r>
                    <w:rPr>
                      <w:spacing w:val="-4"/>
                      <w:w w:val="90"/>
                      <w:sz w:val="16"/>
                    </w:rPr>
                    <w:t>1985</w:t>
                  </w:r>
                </w:p>
                <w:p w:rsidR="00F22F94" w:rsidRDefault="00F22F94">
                  <w:pPr>
                    <w:spacing w:before="75"/>
                    <w:ind w:left="20"/>
                    <w:rPr>
                      <w:sz w:val="16"/>
                    </w:rPr>
                  </w:pPr>
                  <w:r>
                    <w:rPr>
                      <w:spacing w:val="-4"/>
                      <w:w w:val="90"/>
                      <w:sz w:val="16"/>
                    </w:rPr>
                    <w:t>1986</w:t>
                  </w:r>
                </w:p>
                <w:p w:rsidR="00F22F94" w:rsidRDefault="00F22F94">
                  <w:pPr>
                    <w:spacing w:before="74"/>
                    <w:ind w:left="20"/>
                    <w:rPr>
                      <w:sz w:val="16"/>
                    </w:rPr>
                  </w:pPr>
                  <w:r>
                    <w:rPr>
                      <w:spacing w:val="-4"/>
                      <w:w w:val="90"/>
                      <w:sz w:val="16"/>
                    </w:rPr>
                    <w:t>1987</w:t>
                  </w:r>
                </w:p>
                <w:p w:rsidR="00F22F94" w:rsidRDefault="00F22F94">
                  <w:pPr>
                    <w:spacing w:before="75"/>
                    <w:ind w:left="20"/>
                    <w:rPr>
                      <w:sz w:val="16"/>
                    </w:rPr>
                  </w:pPr>
                  <w:r>
                    <w:rPr>
                      <w:spacing w:val="-4"/>
                      <w:w w:val="90"/>
                      <w:sz w:val="16"/>
                    </w:rPr>
                    <w:t>1988</w:t>
                  </w:r>
                </w:p>
                <w:p w:rsidR="00F22F94" w:rsidRDefault="00F22F94">
                  <w:pPr>
                    <w:spacing w:before="75"/>
                    <w:ind w:left="20"/>
                    <w:rPr>
                      <w:sz w:val="16"/>
                    </w:rPr>
                  </w:pPr>
                  <w:r>
                    <w:rPr>
                      <w:spacing w:val="-4"/>
                      <w:w w:val="90"/>
                      <w:sz w:val="16"/>
                    </w:rPr>
                    <w:t>1989</w:t>
                  </w:r>
                </w:p>
                <w:p w:rsidR="00F22F94" w:rsidRDefault="00F22F94">
                  <w:pPr>
                    <w:spacing w:before="75"/>
                    <w:ind w:left="20"/>
                    <w:rPr>
                      <w:sz w:val="16"/>
                    </w:rPr>
                  </w:pPr>
                  <w:r>
                    <w:rPr>
                      <w:spacing w:val="-4"/>
                      <w:w w:val="90"/>
                      <w:sz w:val="16"/>
                    </w:rPr>
                    <w:t>1990</w:t>
                  </w:r>
                </w:p>
                <w:p w:rsidR="00F22F94" w:rsidRDefault="00F22F94">
                  <w:pPr>
                    <w:spacing w:before="75"/>
                    <w:ind w:left="20"/>
                    <w:rPr>
                      <w:sz w:val="16"/>
                    </w:rPr>
                  </w:pPr>
                  <w:r>
                    <w:rPr>
                      <w:spacing w:val="-4"/>
                      <w:w w:val="90"/>
                      <w:sz w:val="16"/>
                    </w:rPr>
                    <w:t>1991</w:t>
                  </w:r>
                </w:p>
                <w:p w:rsidR="00F22F94" w:rsidRDefault="00F22F94">
                  <w:pPr>
                    <w:spacing w:before="75"/>
                    <w:ind w:left="20"/>
                    <w:rPr>
                      <w:sz w:val="16"/>
                    </w:rPr>
                  </w:pPr>
                  <w:r>
                    <w:rPr>
                      <w:spacing w:val="-4"/>
                      <w:w w:val="90"/>
                      <w:sz w:val="16"/>
                    </w:rPr>
                    <w:t>1992</w:t>
                  </w:r>
                </w:p>
                <w:p w:rsidR="00F22F94" w:rsidRDefault="00F22F94">
                  <w:pPr>
                    <w:spacing w:before="75"/>
                    <w:ind w:left="20"/>
                    <w:rPr>
                      <w:sz w:val="16"/>
                    </w:rPr>
                  </w:pPr>
                  <w:r>
                    <w:rPr>
                      <w:spacing w:val="-4"/>
                      <w:w w:val="90"/>
                      <w:sz w:val="16"/>
                    </w:rPr>
                    <w:t>1993</w:t>
                  </w:r>
                </w:p>
                <w:p w:rsidR="00F22F94" w:rsidRDefault="00F22F94">
                  <w:pPr>
                    <w:spacing w:before="75"/>
                    <w:ind w:left="20"/>
                    <w:rPr>
                      <w:sz w:val="16"/>
                    </w:rPr>
                  </w:pPr>
                  <w:r>
                    <w:rPr>
                      <w:spacing w:val="-4"/>
                      <w:w w:val="90"/>
                      <w:sz w:val="16"/>
                    </w:rPr>
                    <w:t>1994</w:t>
                  </w:r>
                </w:p>
                <w:p w:rsidR="00F22F94" w:rsidRDefault="00F22F94">
                  <w:pPr>
                    <w:spacing w:before="74"/>
                    <w:ind w:left="20"/>
                    <w:rPr>
                      <w:sz w:val="16"/>
                    </w:rPr>
                  </w:pPr>
                  <w:r>
                    <w:rPr>
                      <w:spacing w:val="-4"/>
                      <w:w w:val="90"/>
                      <w:sz w:val="16"/>
                    </w:rPr>
                    <w:t>1995</w:t>
                  </w:r>
                </w:p>
                <w:p w:rsidR="00F22F94" w:rsidRDefault="00F22F94">
                  <w:pPr>
                    <w:spacing w:before="75"/>
                    <w:ind w:left="20"/>
                    <w:rPr>
                      <w:sz w:val="16"/>
                    </w:rPr>
                  </w:pPr>
                  <w:r>
                    <w:rPr>
                      <w:spacing w:val="-4"/>
                      <w:w w:val="90"/>
                      <w:sz w:val="16"/>
                    </w:rPr>
                    <w:t>1996</w:t>
                  </w:r>
                </w:p>
                <w:p w:rsidR="00F22F94" w:rsidRDefault="00F22F94">
                  <w:pPr>
                    <w:spacing w:before="75"/>
                    <w:ind w:left="20"/>
                    <w:rPr>
                      <w:sz w:val="16"/>
                    </w:rPr>
                  </w:pPr>
                  <w:r>
                    <w:rPr>
                      <w:spacing w:val="-4"/>
                      <w:w w:val="90"/>
                      <w:sz w:val="16"/>
                    </w:rPr>
                    <w:t>1997</w:t>
                  </w:r>
                </w:p>
                <w:p w:rsidR="00F22F94" w:rsidRDefault="00F22F94">
                  <w:pPr>
                    <w:spacing w:before="75"/>
                    <w:ind w:left="20"/>
                    <w:rPr>
                      <w:sz w:val="16"/>
                    </w:rPr>
                  </w:pPr>
                  <w:r>
                    <w:rPr>
                      <w:spacing w:val="-4"/>
                      <w:w w:val="90"/>
                      <w:sz w:val="16"/>
                    </w:rPr>
                    <w:t>1998</w:t>
                  </w:r>
                </w:p>
                <w:p w:rsidR="00F22F94" w:rsidRDefault="00F22F94">
                  <w:pPr>
                    <w:spacing w:before="75"/>
                    <w:ind w:left="20"/>
                    <w:rPr>
                      <w:sz w:val="16"/>
                    </w:rPr>
                  </w:pPr>
                  <w:r>
                    <w:rPr>
                      <w:spacing w:val="-4"/>
                      <w:w w:val="90"/>
                      <w:sz w:val="16"/>
                    </w:rPr>
                    <w:t>1999</w:t>
                  </w:r>
                </w:p>
                <w:p w:rsidR="00F22F94" w:rsidRDefault="00F22F94">
                  <w:pPr>
                    <w:spacing w:before="75"/>
                    <w:ind w:left="20"/>
                    <w:rPr>
                      <w:sz w:val="16"/>
                    </w:rPr>
                  </w:pPr>
                  <w:r>
                    <w:rPr>
                      <w:spacing w:val="-4"/>
                      <w:w w:val="90"/>
                      <w:sz w:val="16"/>
                    </w:rPr>
                    <w:t>2000</w:t>
                  </w:r>
                </w:p>
                <w:p w:rsidR="00F22F94" w:rsidRDefault="00F22F94">
                  <w:pPr>
                    <w:spacing w:before="75"/>
                    <w:ind w:left="20"/>
                    <w:rPr>
                      <w:sz w:val="16"/>
                    </w:rPr>
                  </w:pPr>
                  <w:r>
                    <w:rPr>
                      <w:spacing w:val="-4"/>
                      <w:w w:val="90"/>
                      <w:sz w:val="16"/>
                    </w:rPr>
                    <w:t>2001</w:t>
                  </w:r>
                </w:p>
                <w:p w:rsidR="00F22F94" w:rsidRDefault="00F22F94">
                  <w:pPr>
                    <w:spacing w:before="75"/>
                    <w:ind w:left="20"/>
                    <w:rPr>
                      <w:sz w:val="16"/>
                    </w:rPr>
                  </w:pPr>
                  <w:r>
                    <w:rPr>
                      <w:spacing w:val="-4"/>
                      <w:w w:val="90"/>
                      <w:sz w:val="16"/>
                    </w:rPr>
                    <w:t>2002</w:t>
                  </w:r>
                </w:p>
                <w:p w:rsidR="00F22F94" w:rsidRDefault="00F22F94">
                  <w:pPr>
                    <w:spacing w:before="75"/>
                    <w:ind w:left="20"/>
                    <w:rPr>
                      <w:sz w:val="16"/>
                    </w:rPr>
                  </w:pPr>
                  <w:r>
                    <w:rPr>
                      <w:spacing w:val="-4"/>
                      <w:w w:val="90"/>
                      <w:sz w:val="16"/>
                    </w:rPr>
                    <w:t>2003</w:t>
                  </w:r>
                </w:p>
                <w:p w:rsidR="00F22F94" w:rsidRDefault="00F22F94">
                  <w:pPr>
                    <w:spacing w:before="74"/>
                    <w:ind w:left="20"/>
                    <w:rPr>
                      <w:sz w:val="16"/>
                    </w:rPr>
                  </w:pPr>
                  <w:r>
                    <w:rPr>
                      <w:spacing w:val="-4"/>
                      <w:w w:val="90"/>
                      <w:sz w:val="16"/>
                    </w:rPr>
                    <w:t>2004</w:t>
                  </w:r>
                </w:p>
                <w:p w:rsidR="00F22F94" w:rsidRDefault="00F22F94">
                  <w:pPr>
                    <w:spacing w:before="75"/>
                    <w:ind w:left="20"/>
                    <w:rPr>
                      <w:sz w:val="16"/>
                    </w:rPr>
                  </w:pPr>
                  <w:r>
                    <w:rPr>
                      <w:spacing w:val="-4"/>
                      <w:w w:val="90"/>
                      <w:sz w:val="16"/>
                    </w:rPr>
                    <w:t>2005</w:t>
                  </w:r>
                </w:p>
                <w:p w:rsidR="00F22F94" w:rsidRDefault="00F22F94">
                  <w:pPr>
                    <w:spacing w:before="75"/>
                    <w:ind w:left="20"/>
                    <w:rPr>
                      <w:sz w:val="16"/>
                    </w:rPr>
                  </w:pPr>
                  <w:r>
                    <w:rPr>
                      <w:spacing w:val="-4"/>
                      <w:w w:val="90"/>
                      <w:sz w:val="16"/>
                    </w:rPr>
                    <w:t>2006</w:t>
                  </w:r>
                </w:p>
                <w:p w:rsidR="00F22F94" w:rsidRDefault="00F22F94">
                  <w:pPr>
                    <w:spacing w:before="75"/>
                    <w:ind w:left="20"/>
                    <w:rPr>
                      <w:sz w:val="16"/>
                    </w:rPr>
                  </w:pPr>
                  <w:r>
                    <w:rPr>
                      <w:spacing w:val="-4"/>
                      <w:w w:val="90"/>
                      <w:sz w:val="16"/>
                    </w:rPr>
                    <w:t>2007</w:t>
                  </w:r>
                </w:p>
                <w:p w:rsidR="00F22F94" w:rsidRDefault="00F22F94">
                  <w:pPr>
                    <w:spacing w:before="75"/>
                    <w:ind w:left="20"/>
                    <w:rPr>
                      <w:sz w:val="16"/>
                    </w:rPr>
                  </w:pPr>
                  <w:r>
                    <w:rPr>
                      <w:spacing w:val="-4"/>
                      <w:w w:val="90"/>
                      <w:sz w:val="16"/>
                    </w:rPr>
                    <w:t>2008</w:t>
                  </w:r>
                </w:p>
                <w:p w:rsidR="00F22F94" w:rsidRDefault="00F22F94">
                  <w:pPr>
                    <w:spacing w:before="75"/>
                    <w:ind w:left="20"/>
                    <w:rPr>
                      <w:sz w:val="16"/>
                    </w:rPr>
                  </w:pPr>
                  <w:r>
                    <w:rPr>
                      <w:spacing w:val="-4"/>
                      <w:w w:val="90"/>
                      <w:sz w:val="16"/>
                    </w:rPr>
                    <w:t>2009</w:t>
                  </w:r>
                </w:p>
                <w:p w:rsidR="00F22F94" w:rsidRDefault="00F22F94">
                  <w:pPr>
                    <w:spacing w:before="75"/>
                    <w:ind w:left="20"/>
                    <w:rPr>
                      <w:sz w:val="16"/>
                    </w:rPr>
                  </w:pPr>
                  <w:r>
                    <w:rPr>
                      <w:spacing w:val="-4"/>
                      <w:w w:val="90"/>
                      <w:sz w:val="16"/>
                    </w:rPr>
                    <w:t>2010</w:t>
                  </w:r>
                </w:p>
                <w:p w:rsidR="00F22F94" w:rsidRDefault="00F22F94">
                  <w:pPr>
                    <w:spacing w:before="75"/>
                    <w:ind w:left="20"/>
                    <w:rPr>
                      <w:sz w:val="16"/>
                    </w:rPr>
                  </w:pPr>
                  <w:r>
                    <w:rPr>
                      <w:spacing w:val="-4"/>
                      <w:w w:val="90"/>
                      <w:sz w:val="16"/>
                    </w:rPr>
                    <w:t>2011</w:t>
                  </w:r>
                </w:p>
                <w:p w:rsidR="00F22F94" w:rsidRDefault="00F22F94">
                  <w:pPr>
                    <w:spacing w:before="74"/>
                    <w:ind w:left="20"/>
                    <w:rPr>
                      <w:sz w:val="16"/>
                    </w:rPr>
                  </w:pPr>
                  <w:r>
                    <w:rPr>
                      <w:spacing w:val="-4"/>
                      <w:w w:val="90"/>
                      <w:sz w:val="16"/>
                    </w:rPr>
                    <w:t>2012</w:t>
                  </w:r>
                </w:p>
                <w:p w:rsidR="00F22F94" w:rsidRDefault="00F22F94">
                  <w:pPr>
                    <w:spacing w:before="75"/>
                    <w:ind w:left="20"/>
                    <w:rPr>
                      <w:sz w:val="16"/>
                    </w:rPr>
                  </w:pPr>
                  <w:r>
                    <w:rPr>
                      <w:spacing w:val="-4"/>
                      <w:w w:val="90"/>
                      <w:sz w:val="16"/>
                    </w:rPr>
                    <w:t>2013</w:t>
                  </w:r>
                </w:p>
                <w:p w:rsidR="00F22F94" w:rsidRDefault="00F22F94">
                  <w:pPr>
                    <w:spacing w:before="75"/>
                    <w:ind w:left="20"/>
                    <w:rPr>
                      <w:sz w:val="16"/>
                    </w:rPr>
                  </w:pPr>
                  <w:r>
                    <w:rPr>
                      <w:spacing w:val="-4"/>
                      <w:w w:val="90"/>
                      <w:sz w:val="16"/>
                    </w:rPr>
                    <w:t>2014</w:t>
                  </w:r>
                </w:p>
              </w:txbxContent>
            </v:textbox>
            <w10:wrap anchorx="page"/>
          </v:shape>
        </w:pict>
      </w:r>
      <w:r w:rsidR="00F22F94">
        <w:t>NSW’s</w:t>
      </w:r>
      <w:r w:rsidR="00F22F94">
        <w:rPr>
          <w:spacing w:val="-7"/>
        </w:rPr>
        <w:t xml:space="preserve"> </w:t>
      </w:r>
      <w:r w:rsidR="00F22F94">
        <w:t>two</w:t>
      </w:r>
      <w:r w:rsidR="00F22F94">
        <w:rPr>
          <w:spacing w:val="-7"/>
        </w:rPr>
        <w:t xml:space="preserve"> </w:t>
      </w:r>
      <w:r w:rsidR="00F22F94">
        <w:t>speed</w:t>
      </w:r>
      <w:r w:rsidR="00F22F94">
        <w:rPr>
          <w:spacing w:val="-7"/>
        </w:rPr>
        <w:t xml:space="preserve"> </w:t>
      </w:r>
      <w:r w:rsidR="00F22F94">
        <w:t>economy</w:t>
      </w:r>
      <w:r w:rsidR="00F22F94">
        <w:rPr>
          <w:spacing w:val="-7"/>
        </w:rPr>
        <w:t xml:space="preserve"> </w:t>
      </w:r>
      <w:r w:rsidR="00F22F94">
        <w:t>is</w:t>
      </w:r>
      <w:r w:rsidR="00F22F94">
        <w:rPr>
          <w:spacing w:val="-7"/>
        </w:rPr>
        <w:t xml:space="preserve"> </w:t>
      </w:r>
      <w:r w:rsidR="00F22F94">
        <w:t>fundamentally</w:t>
      </w:r>
      <w:r w:rsidR="00F22F94">
        <w:rPr>
          <w:spacing w:val="-7"/>
        </w:rPr>
        <w:t xml:space="preserve"> </w:t>
      </w:r>
      <w:r w:rsidR="00F22F94">
        <w:t>caused by</w:t>
      </w:r>
      <w:r w:rsidR="00F22F94">
        <w:rPr>
          <w:spacing w:val="-8"/>
        </w:rPr>
        <w:t xml:space="preserve"> </w:t>
      </w:r>
      <w:r w:rsidR="00F22F94">
        <w:t>global</w:t>
      </w:r>
      <w:r w:rsidR="00F22F94">
        <w:rPr>
          <w:spacing w:val="-8"/>
        </w:rPr>
        <w:t xml:space="preserve"> </w:t>
      </w:r>
      <w:r w:rsidR="00F22F94">
        <w:t>demand</w:t>
      </w:r>
      <w:r w:rsidR="00F22F94">
        <w:rPr>
          <w:spacing w:val="-8"/>
        </w:rPr>
        <w:t xml:space="preserve"> </w:t>
      </w:r>
      <w:r w:rsidR="00F22F94">
        <w:t>for</w:t>
      </w:r>
      <w:r w:rsidR="00F22F94">
        <w:rPr>
          <w:spacing w:val="-8"/>
        </w:rPr>
        <w:t xml:space="preserve"> </w:t>
      </w:r>
      <w:r w:rsidR="00F22F94">
        <w:t>resources</w:t>
      </w:r>
      <w:r w:rsidR="00F22F94">
        <w:rPr>
          <w:spacing w:val="-8"/>
        </w:rPr>
        <w:t xml:space="preserve"> </w:t>
      </w:r>
      <w:r w:rsidR="00F22F94">
        <w:t>driven</w:t>
      </w:r>
      <w:r w:rsidR="00F22F94">
        <w:rPr>
          <w:spacing w:val="-8"/>
        </w:rPr>
        <w:t xml:space="preserve"> </w:t>
      </w:r>
      <w:r w:rsidR="00F22F94">
        <w:t>by</w:t>
      </w:r>
      <w:r w:rsidR="00F22F94">
        <w:rPr>
          <w:spacing w:val="-8"/>
        </w:rPr>
        <w:t xml:space="preserve"> </w:t>
      </w:r>
      <w:r w:rsidR="00F22F94">
        <w:t>economic development</w:t>
      </w:r>
      <w:r w:rsidR="00F22F94">
        <w:rPr>
          <w:spacing w:val="-14"/>
        </w:rPr>
        <w:t xml:space="preserve"> </w:t>
      </w:r>
      <w:r w:rsidR="00F22F94">
        <w:t>in</w:t>
      </w:r>
      <w:r w:rsidR="00F22F94">
        <w:rPr>
          <w:spacing w:val="-14"/>
        </w:rPr>
        <w:t xml:space="preserve"> </w:t>
      </w:r>
      <w:r w:rsidR="00F22F94">
        <w:t>emerging</w:t>
      </w:r>
      <w:r w:rsidR="00F22F94">
        <w:rPr>
          <w:spacing w:val="-14"/>
        </w:rPr>
        <w:t xml:space="preserve"> </w:t>
      </w:r>
      <w:r w:rsidR="00F22F94">
        <w:t>Asian</w:t>
      </w:r>
      <w:r w:rsidR="00F22F94">
        <w:rPr>
          <w:spacing w:val="-14"/>
        </w:rPr>
        <w:t xml:space="preserve"> </w:t>
      </w:r>
      <w:r w:rsidR="00F22F94">
        <w:t>markets.</w:t>
      </w:r>
      <w:r w:rsidR="00F22F94">
        <w:rPr>
          <w:spacing w:val="-14"/>
        </w:rPr>
        <w:t xml:space="preserve"> </w:t>
      </w:r>
      <w:r w:rsidR="00F22F94">
        <w:t xml:space="preserve">Mineral </w:t>
      </w:r>
      <w:r w:rsidR="00F22F94">
        <w:rPr>
          <w:w w:val="95"/>
        </w:rPr>
        <w:t>exports and agricultural products have benefited while other</w:t>
      </w:r>
      <w:r w:rsidR="00F22F94">
        <w:rPr>
          <w:spacing w:val="-7"/>
          <w:w w:val="95"/>
        </w:rPr>
        <w:t xml:space="preserve"> </w:t>
      </w:r>
      <w:r w:rsidR="00F22F94">
        <w:rPr>
          <w:w w:val="95"/>
        </w:rPr>
        <w:t>trade</w:t>
      </w:r>
      <w:r w:rsidR="00F22F94">
        <w:rPr>
          <w:spacing w:val="-7"/>
          <w:w w:val="95"/>
        </w:rPr>
        <w:t xml:space="preserve"> </w:t>
      </w:r>
      <w:r w:rsidR="00F22F94">
        <w:rPr>
          <w:w w:val="95"/>
        </w:rPr>
        <w:t>exposed</w:t>
      </w:r>
      <w:r w:rsidR="00F22F94">
        <w:rPr>
          <w:spacing w:val="-7"/>
          <w:w w:val="95"/>
        </w:rPr>
        <w:t xml:space="preserve"> </w:t>
      </w:r>
      <w:r w:rsidR="00F22F94">
        <w:rPr>
          <w:w w:val="95"/>
        </w:rPr>
        <w:t>industries</w:t>
      </w:r>
      <w:r w:rsidR="00F22F94">
        <w:rPr>
          <w:spacing w:val="-7"/>
          <w:w w:val="95"/>
        </w:rPr>
        <w:t xml:space="preserve"> </w:t>
      </w:r>
      <w:r w:rsidR="00F22F94">
        <w:rPr>
          <w:w w:val="95"/>
        </w:rPr>
        <w:t>have</w:t>
      </w:r>
      <w:r w:rsidR="00F22F94">
        <w:rPr>
          <w:spacing w:val="-7"/>
          <w:w w:val="95"/>
        </w:rPr>
        <w:t xml:space="preserve"> </w:t>
      </w:r>
      <w:r w:rsidR="00F22F94">
        <w:rPr>
          <w:w w:val="95"/>
        </w:rPr>
        <w:t>suffered</w:t>
      </w:r>
      <w:r w:rsidR="00F22F94">
        <w:rPr>
          <w:spacing w:val="-7"/>
          <w:w w:val="95"/>
        </w:rPr>
        <w:t xml:space="preserve"> </w:t>
      </w:r>
      <w:r w:rsidR="00F22F94">
        <w:rPr>
          <w:w w:val="95"/>
        </w:rPr>
        <w:t>as</w:t>
      </w:r>
      <w:r w:rsidR="00F22F94">
        <w:rPr>
          <w:spacing w:val="-7"/>
          <w:w w:val="95"/>
        </w:rPr>
        <w:t xml:space="preserve"> </w:t>
      </w:r>
      <w:r w:rsidR="00F22F94">
        <w:rPr>
          <w:w w:val="95"/>
        </w:rPr>
        <w:t>a</w:t>
      </w:r>
      <w:r w:rsidR="00F22F94">
        <w:rPr>
          <w:spacing w:val="-7"/>
          <w:w w:val="95"/>
        </w:rPr>
        <w:t xml:space="preserve"> </w:t>
      </w:r>
      <w:r w:rsidR="00F22F94">
        <w:rPr>
          <w:w w:val="95"/>
        </w:rPr>
        <w:t>result of a high Australian dollar and a greater competition for</w:t>
      </w:r>
    </w:p>
    <w:p w:rsidR="002C1123" w:rsidRDefault="002C1123">
      <w:pPr>
        <w:spacing w:line="249" w:lineRule="auto"/>
        <w:sectPr w:rsidR="002C1123">
          <w:type w:val="continuous"/>
          <w:pgSz w:w="16840" w:h="11910" w:orient="landscape"/>
          <w:pgMar w:top="560" w:right="280" w:bottom="280" w:left="500" w:header="0" w:footer="517" w:gutter="0"/>
          <w:cols w:num="2" w:space="720" w:equalWidth="0">
            <w:col w:w="8856" w:space="1158"/>
            <w:col w:w="6046"/>
          </w:cols>
        </w:sectPr>
      </w:pPr>
    </w:p>
    <w:p w:rsidR="002C1123" w:rsidRDefault="002060EF">
      <w:pPr>
        <w:spacing w:line="146" w:lineRule="exact"/>
        <w:ind w:left="1889"/>
        <w:rPr>
          <w:sz w:val="16"/>
        </w:rPr>
      </w:pPr>
      <w:r>
        <w:pict>
          <v:rect id="docshape374" o:spid="_x0000_s4936" style="position:absolute;left:0;text-align:left;margin-left:106.7pt;margin-top:-1.45pt;width:8.5pt;height:8.5pt;z-index:251240448;mso-position-horizontal-relative:page" fillcolor="#00aeef" stroked="f">
            <w10:wrap anchorx="page"/>
          </v:rect>
        </w:pict>
      </w:r>
      <w:r>
        <w:pict>
          <v:rect id="docshape375" o:spid="_x0000_s4935" style="position:absolute;left:0;text-align:left;margin-left:198.55pt;margin-top:-1.45pt;width:8.5pt;height:8.5pt;z-index:251241472;mso-position-horizontal-relative:page" fillcolor="#abe1fa" stroked="f">
            <w10:wrap anchorx="page"/>
          </v:rect>
        </w:pict>
      </w:r>
      <w:r w:rsidR="00F22F94">
        <w:rPr>
          <w:w w:val="75"/>
          <w:sz w:val="16"/>
        </w:rPr>
        <w:t>Greenfield</w:t>
      </w:r>
      <w:r w:rsidR="00F22F94">
        <w:rPr>
          <w:spacing w:val="6"/>
          <w:sz w:val="16"/>
        </w:rPr>
        <w:t xml:space="preserve"> </w:t>
      </w:r>
      <w:r w:rsidR="00F22F94">
        <w:rPr>
          <w:w w:val="75"/>
          <w:sz w:val="16"/>
        </w:rPr>
        <w:t>–</w:t>
      </w:r>
      <w:r w:rsidR="00F22F94">
        <w:rPr>
          <w:spacing w:val="7"/>
          <w:sz w:val="16"/>
        </w:rPr>
        <w:t xml:space="preserve"> </w:t>
      </w:r>
      <w:r w:rsidR="00F22F94">
        <w:rPr>
          <w:spacing w:val="-2"/>
          <w:w w:val="75"/>
          <w:sz w:val="16"/>
        </w:rPr>
        <w:t>Historical</w:t>
      </w:r>
    </w:p>
    <w:p w:rsidR="002C1123" w:rsidRDefault="002C1123">
      <w:pPr>
        <w:pStyle w:val="BodyText"/>
        <w:rPr>
          <w:sz w:val="18"/>
        </w:rPr>
      </w:pPr>
    </w:p>
    <w:p w:rsidR="002C1123" w:rsidRDefault="00F22F94">
      <w:pPr>
        <w:spacing w:before="151"/>
        <w:ind w:left="531"/>
        <w:rPr>
          <w:sz w:val="14"/>
        </w:rPr>
      </w:pPr>
      <w:r>
        <w:rPr>
          <w:w w:val="95"/>
          <w:sz w:val="14"/>
        </w:rPr>
        <w:t>Source:</w:t>
      </w:r>
      <w:r>
        <w:rPr>
          <w:spacing w:val="5"/>
          <w:sz w:val="14"/>
        </w:rPr>
        <w:t xml:space="preserve"> </w:t>
      </w:r>
      <w:r>
        <w:rPr>
          <w:w w:val="95"/>
          <w:sz w:val="14"/>
        </w:rPr>
        <w:t>Department</w:t>
      </w:r>
      <w:r>
        <w:rPr>
          <w:spacing w:val="5"/>
          <w:sz w:val="14"/>
        </w:rPr>
        <w:t xml:space="preserve"> </w:t>
      </w:r>
      <w:r>
        <w:rPr>
          <w:w w:val="95"/>
          <w:sz w:val="14"/>
        </w:rPr>
        <w:t>of</w:t>
      </w:r>
      <w:r>
        <w:rPr>
          <w:spacing w:val="5"/>
          <w:sz w:val="14"/>
        </w:rPr>
        <w:t xml:space="preserve"> </w:t>
      </w:r>
      <w:r>
        <w:rPr>
          <w:w w:val="95"/>
          <w:sz w:val="14"/>
        </w:rPr>
        <w:t>Planning</w:t>
      </w:r>
      <w:r>
        <w:rPr>
          <w:spacing w:val="5"/>
          <w:sz w:val="14"/>
        </w:rPr>
        <w:t xml:space="preserve"> </w:t>
      </w:r>
      <w:r>
        <w:rPr>
          <w:w w:val="95"/>
          <w:sz w:val="14"/>
        </w:rPr>
        <w:t>and</w:t>
      </w:r>
      <w:r>
        <w:rPr>
          <w:spacing w:val="5"/>
          <w:sz w:val="14"/>
        </w:rPr>
        <w:t xml:space="preserve"> </w:t>
      </w:r>
      <w:r>
        <w:rPr>
          <w:spacing w:val="-2"/>
          <w:w w:val="95"/>
          <w:sz w:val="14"/>
        </w:rPr>
        <w:t>Infrastructure.</w:t>
      </w:r>
    </w:p>
    <w:p w:rsidR="002C1123" w:rsidRDefault="00F22F94">
      <w:pPr>
        <w:spacing w:line="146" w:lineRule="exact"/>
        <w:ind w:left="86"/>
        <w:rPr>
          <w:sz w:val="16"/>
        </w:rPr>
      </w:pPr>
      <w:r>
        <w:br w:type="column"/>
      </w:r>
      <w:r>
        <w:rPr>
          <w:w w:val="75"/>
          <w:sz w:val="16"/>
        </w:rPr>
        <w:t>Existing</w:t>
      </w:r>
      <w:r>
        <w:rPr>
          <w:spacing w:val="1"/>
          <w:sz w:val="16"/>
        </w:rPr>
        <w:t xml:space="preserve"> </w:t>
      </w:r>
      <w:r>
        <w:rPr>
          <w:w w:val="75"/>
          <w:sz w:val="16"/>
        </w:rPr>
        <w:t>Urban</w:t>
      </w:r>
      <w:r>
        <w:rPr>
          <w:spacing w:val="2"/>
          <w:sz w:val="16"/>
        </w:rPr>
        <w:t xml:space="preserve"> </w:t>
      </w:r>
      <w:r>
        <w:rPr>
          <w:w w:val="75"/>
          <w:sz w:val="16"/>
        </w:rPr>
        <w:t>Area</w:t>
      </w:r>
      <w:r>
        <w:rPr>
          <w:spacing w:val="2"/>
          <w:sz w:val="16"/>
        </w:rPr>
        <w:t xml:space="preserve"> </w:t>
      </w:r>
      <w:r>
        <w:rPr>
          <w:w w:val="75"/>
          <w:sz w:val="16"/>
        </w:rPr>
        <w:t>–</w:t>
      </w:r>
      <w:r>
        <w:rPr>
          <w:spacing w:val="1"/>
          <w:sz w:val="16"/>
        </w:rPr>
        <w:t xml:space="preserve"> </w:t>
      </w:r>
      <w:r>
        <w:rPr>
          <w:spacing w:val="-2"/>
          <w:w w:val="75"/>
          <w:sz w:val="16"/>
        </w:rPr>
        <w:t>Historical</w:t>
      </w:r>
    </w:p>
    <w:p w:rsidR="002C1123" w:rsidRDefault="00F22F94">
      <w:pPr>
        <w:spacing w:line="146" w:lineRule="exact"/>
        <w:ind w:left="531"/>
        <w:rPr>
          <w:sz w:val="16"/>
        </w:rPr>
      </w:pPr>
      <w:r>
        <w:br w:type="column"/>
      </w:r>
      <w:r>
        <w:rPr>
          <w:w w:val="75"/>
          <w:sz w:val="16"/>
        </w:rPr>
        <w:t>Greenfield</w:t>
      </w:r>
      <w:r>
        <w:rPr>
          <w:spacing w:val="6"/>
          <w:sz w:val="16"/>
        </w:rPr>
        <w:t xml:space="preserve"> </w:t>
      </w:r>
      <w:r>
        <w:rPr>
          <w:w w:val="75"/>
          <w:sz w:val="16"/>
        </w:rPr>
        <w:t>–</w:t>
      </w:r>
      <w:r>
        <w:rPr>
          <w:spacing w:val="7"/>
          <w:sz w:val="16"/>
        </w:rPr>
        <w:t xml:space="preserve"> </w:t>
      </w:r>
      <w:r>
        <w:rPr>
          <w:spacing w:val="-2"/>
          <w:w w:val="75"/>
          <w:sz w:val="16"/>
        </w:rPr>
        <w:t>Forecast</w:t>
      </w:r>
    </w:p>
    <w:p w:rsidR="002C1123" w:rsidRDefault="00F22F94">
      <w:pPr>
        <w:spacing w:line="146" w:lineRule="exact"/>
        <w:ind w:left="531"/>
        <w:rPr>
          <w:sz w:val="16"/>
        </w:rPr>
      </w:pPr>
      <w:r>
        <w:br w:type="column"/>
      </w:r>
      <w:r>
        <w:rPr>
          <w:w w:val="75"/>
          <w:sz w:val="16"/>
        </w:rPr>
        <w:t>Existing</w:t>
      </w:r>
      <w:r>
        <w:rPr>
          <w:spacing w:val="1"/>
          <w:sz w:val="16"/>
        </w:rPr>
        <w:t xml:space="preserve"> </w:t>
      </w:r>
      <w:r>
        <w:rPr>
          <w:w w:val="75"/>
          <w:sz w:val="16"/>
        </w:rPr>
        <w:t>Urban</w:t>
      </w:r>
      <w:r>
        <w:rPr>
          <w:spacing w:val="2"/>
          <w:sz w:val="16"/>
        </w:rPr>
        <w:t xml:space="preserve"> </w:t>
      </w:r>
      <w:r>
        <w:rPr>
          <w:w w:val="75"/>
          <w:sz w:val="16"/>
        </w:rPr>
        <w:t>Area</w:t>
      </w:r>
      <w:r>
        <w:rPr>
          <w:spacing w:val="2"/>
          <w:sz w:val="16"/>
        </w:rPr>
        <w:t xml:space="preserve"> </w:t>
      </w:r>
      <w:r>
        <w:rPr>
          <w:w w:val="75"/>
          <w:sz w:val="16"/>
        </w:rPr>
        <w:t>–</w:t>
      </w:r>
      <w:r>
        <w:rPr>
          <w:spacing w:val="1"/>
          <w:sz w:val="16"/>
        </w:rPr>
        <w:t xml:space="preserve"> </w:t>
      </w:r>
      <w:r>
        <w:rPr>
          <w:spacing w:val="-2"/>
          <w:w w:val="75"/>
          <w:sz w:val="16"/>
        </w:rPr>
        <w:t>Forecast</w:t>
      </w:r>
    </w:p>
    <w:p w:rsidR="002C1123" w:rsidRDefault="00F22F94">
      <w:pPr>
        <w:pStyle w:val="BodyText"/>
        <w:spacing w:before="9"/>
        <w:ind w:left="531"/>
      </w:pPr>
      <w:r>
        <w:br w:type="column"/>
      </w:r>
      <w:r>
        <w:rPr>
          <w:w w:val="95"/>
        </w:rPr>
        <w:t>labour</w:t>
      </w:r>
      <w:r>
        <w:rPr>
          <w:spacing w:val="-2"/>
          <w:w w:val="95"/>
        </w:rPr>
        <w:t xml:space="preserve"> </w:t>
      </w:r>
      <w:r>
        <w:rPr>
          <w:w w:val="95"/>
        </w:rPr>
        <w:t>and</w:t>
      </w:r>
      <w:r>
        <w:rPr>
          <w:spacing w:val="-2"/>
          <w:w w:val="95"/>
        </w:rPr>
        <w:t xml:space="preserve"> </w:t>
      </w:r>
      <w:r>
        <w:rPr>
          <w:w w:val="95"/>
        </w:rPr>
        <w:t>capital</w:t>
      </w:r>
      <w:r>
        <w:rPr>
          <w:spacing w:val="-1"/>
          <w:w w:val="95"/>
        </w:rPr>
        <w:t xml:space="preserve"> </w:t>
      </w:r>
      <w:r>
        <w:rPr>
          <w:spacing w:val="-2"/>
          <w:w w:val="95"/>
        </w:rPr>
        <w:t>resources.</w:t>
      </w:r>
    </w:p>
    <w:p w:rsidR="002C1123" w:rsidRDefault="00F22F94">
      <w:pPr>
        <w:pStyle w:val="BodyText"/>
        <w:spacing w:before="152" w:line="249" w:lineRule="auto"/>
        <w:ind w:left="531" w:right="1036"/>
      </w:pPr>
      <w:r>
        <w:t>The</w:t>
      </w:r>
      <w:r>
        <w:rPr>
          <w:spacing w:val="-9"/>
        </w:rPr>
        <w:t xml:space="preserve"> </w:t>
      </w:r>
      <w:r>
        <w:t>negative</w:t>
      </w:r>
      <w:r>
        <w:rPr>
          <w:spacing w:val="-9"/>
        </w:rPr>
        <w:t xml:space="preserve"> </w:t>
      </w:r>
      <w:r>
        <w:t>and</w:t>
      </w:r>
      <w:r>
        <w:rPr>
          <w:spacing w:val="-9"/>
        </w:rPr>
        <w:t xml:space="preserve"> </w:t>
      </w:r>
      <w:r>
        <w:t>positive</w:t>
      </w:r>
      <w:r>
        <w:rPr>
          <w:spacing w:val="-9"/>
        </w:rPr>
        <w:t xml:space="preserve"> </w:t>
      </w:r>
      <w:r>
        <w:t>side</w:t>
      </w:r>
      <w:r>
        <w:rPr>
          <w:spacing w:val="-9"/>
        </w:rPr>
        <w:t xml:space="preserve"> </w:t>
      </w:r>
      <w:r>
        <w:t>of</w:t>
      </w:r>
      <w:r>
        <w:rPr>
          <w:spacing w:val="-9"/>
        </w:rPr>
        <w:t xml:space="preserve"> </w:t>
      </w:r>
      <w:r>
        <w:t>the</w:t>
      </w:r>
      <w:r>
        <w:rPr>
          <w:spacing w:val="-9"/>
        </w:rPr>
        <w:t xml:space="preserve"> </w:t>
      </w:r>
      <w:r>
        <w:t xml:space="preserve">two-speed </w:t>
      </w:r>
      <w:r>
        <w:rPr>
          <w:w w:val="95"/>
        </w:rPr>
        <w:t>economy</w:t>
      </w:r>
      <w:r>
        <w:rPr>
          <w:spacing w:val="-4"/>
          <w:w w:val="95"/>
        </w:rPr>
        <w:t xml:space="preserve"> </w:t>
      </w:r>
      <w:r>
        <w:rPr>
          <w:w w:val="95"/>
        </w:rPr>
        <w:t>are</w:t>
      </w:r>
      <w:r>
        <w:rPr>
          <w:spacing w:val="-4"/>
          <w:w w:val="95"/>
        </w:rPr>
        <w:t xml:space="preserve"> </w:t>
      </w:r>
      <w:r>
        <w:rPr>
          <w:w w:val="95"/>
        </w:rPr>
        <w:t>felt</w:t>
      </w:r>
      <w:r>
        <w:rPr>
          <w:spacing w:val="-4"/>
          <w:w w:val="95"/>
        </w:rPr>
        <w:t xml:space="preserve"> </w:t>
      </w:r>
      <w:r>
        <w:rPr>
          <w:w w:val="95"/>
        </w:rPr>
        <w:t>across</w:t>
      </w:r>
      <w:r>
        <w:rPr>
          <w:spacing w:val="-4"/>
          <w:w w:val="95"/>
        </w:rPr>
        <w:t xml:space="preserve"> </w:t>
      </w:r>
      <w:r>
        <w:rPr>
          <w:w w:val="95"/>
        </w:rPr>
        <w:t>NSW</w:t>
      </w:r>
      <w:r>
        <w:rPr>
          <w:spacing w:val="-4"/>
          <w:w w:val="95"/>
        </w:rPr>
        <w:t xml:space="preserve"> </w:t>
      </w:r>
      <w:r>
        <w:rPr>
          <w:w w:val="95"/>
        </w:rPr>
        <w:t>regions,</w:t>
      </w:r>
      <w:r>
        <w:rPr>
          <w:spacing w:val="-4"/>
          <w:w w:val="95"/>
        </w:rPr>
        <w:t xml:space="preserve"> </w:t>
      </w:r>
      <w:r>
        <w:rPr>
          <w:w w:val="95"/>
        </w:rPr>
        <w:t>as</w:t>
      </w:r>
      <w:r>
        <w:rPr>
          <w:spacing w:val="-4"/>
          <w:w w:val="95"/>
        </w:rPr>
        <w:t xml:space="preserve"> </w:t>
      </w:r>
      <w:r>
        <w:rPr>
          <w:w w:val="95"/>
        </w:rPr>
        <w:t xml:space="preserve">described </w:t>
      </w:r>
      <w:r>
        <w:t>in Section 5.</w:t>
      </w:r>
    </w:p>
    <w:p w:rsidR="002C1123" w:rsidRDefault="00F22F94">
      <w:pPr>
        <w:pStyle w:val="BodyText"/>
        <w:spacing w:before="144" w:line="249" w:lineRule="auto"/>
        <w:ind w:left="531" w:right="578"/>
      </w:pPr>
      <w:r>
        <w:rPr>
          <w:w w:val="95"/>
        </w:rPr>
        <w:t>As NSW’s wealth is ever more closely connected to the world</w:t>
      </w:r>
      <w:r>
        <w:rPr>
          <w:spacing w:val="-10"/>
          <w:w w:val="95"/>
        </w:rPr>
        <w:t xml:space="preserve"> </w:t>
      </w:r>
      <w:r>
        <w:rPr>
          <w:w w:val="95"/>
        </w:rPr>
        <w:t>economy,</w:t>
      </w:r>
      <w:r>
        <w:rPr>
          <w:spacing w:val="-10"/>
          <w:w w:val="95"/>
        </w:rPr>
        <w:t xml:space="preserve"> </w:t>
      </w:r>
      <w:r>
        <w:rPr>
          <w:w w:val="95"/>
        </w:rPr>
        <w:t>trade</w:t>
      </w:r>
      <w:r>
        <w:rPr>
          <w:spacing w:val="-10"/>
          <w:w w:val="95"/>
        </w:rPr>
        <w:t xml:space="preserve"> </w:t>
      </w:r>
      <w:r>
        <w:rPr>
          <w:w w:val="95"/>
        </w:rPr>
        <w:t>in</w:t>
      </w:r>
      <w:r>
        <w:rPr>
          <w:spacing w:val="-10"/>
          <w:w w:val="95"/>
        </w:rPr>
        <w:t xml:space="preserve"> </w:t>
      </w:r>
      <w:r>
        <w:rPr>
          <w:w w:val="95"/>
        </w:rPr>
        <w:t>goods</w:t>
      </w:r>
      <w:r>
        <w:rPr>
          <w:spacing w:val="-10"/>
          <w:w w:val="95"/>
        </w:rPr>
        <w:t xml:space="preserve"> </w:t>
      </w:r>
      <w:r>
        <w:rPr>
          <w:w w:val="95"/>
        </w:rPr>
        <w:t>and</w:t>
      </w:r>
      <w:r>
        <w:rPr>
          <w:spacing w:val="-10"/>
          <w:w w:val="95"/>
        </w:rPr>
        <w:t xml:space="preserve"> </w:t>
      </w:r>
      <w:r>
        <w:rPr>
          <w:w w:val="95"/>
        </w:rPr>
        <w:t>services</w:t>
      </w:r>
      <w:r>
        <w:rPr>
          <w:spacing w:val="-10"/>
          <w:w w:val="95"/>
        </w:rPr>
        <w:t xml:space="preserve"> </w:t>
      </w:r>
      <w:r>
        <w:rPr>
          <w:w w:val="95"/>
        </w:rPr>
        <w:t>and</w:t>
      </w:r>
      <w:r>
        <w:rPr>
          <w:spacing w:val="-10"/>
          <w:w w:val="95"/>
        </w:rPr>
        <w:t xml:space="preserve"> </w:t>
      </w:r>
      <w:r>
        <w:rPr>
          <w:w w:val="95"/>
        </w:rPr>
        <w:t>demand for travel will continue to increase. This implies that investment supporting NSW air and sea gateways</w:t>
      </w:r>
    </w:p>
    <w:p w:rsidR="002C1123" w:rsidRDefault="00F22F94">
      <w:pPr>
        <w:pStyle w:val="BodyText"/>
        <w:spacing w:before="3"/>
        <w:ind w:left="531"/>
      </w:pPr>
      <w:r>
        <w:rPr>
          <w:w w:val="90"/>
        </w:rPr>
        <w:t>is</w:t>
      </w:r>
      <w:r>
        <w:rPr>
          <w:spacing w:val="-8"/>
          <w:w w:val="90"/>
        </w:rPr>
        <w:t xml:space="preserve"> </w:t>
      </w:r>
      <w:r>
        <w:rPr>
          <w:w w:val="90"/>
        </w:rPr>
        <w:t>a</w:t>
      </w:r>
      <w:r>
        <w:rPr>
          <w:spacing w:val="-8"/>
          <w:w w:val="90"/>
        </w:rPr>
        <w:t xml:space="preserve"> </w:t>
      </w:r>
      <w:r>
        <w:rPr>
          <w:spacing w:val="-2"/>
          <w:w w:val="90"/>
        </w:rPr>
        <w:t>priority.</w:t>
      </w:r>
    </w:p>
    <w:p w:rsidR="002C1123" w:rsidRDefault="002C1123">
      <w:pPr>
        <w:sectPr w:rsidR="002C1123">
          <w:type w:val="continuous"/>
          <w:pgSz w:w="16840" w:h="11910" w:orient="landscape"/>
          <w:pgMar w:top="560" w:right="280" w:bottom="280" w:left="500" w:header="0" w:footer="517" w:gutter="0"/>
          <w:cols w:num="5" w:space="720" w:equalWidth="0">
            <w:col w:w="3600" w:space="40"/>
            <w:col w:w="1906" w:space="40"/>
            <w:col w:w="1747" w:space="53"/>
            <w:col w:w="2316" w:space="311"/>
            <w:col w:w="6047"/>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BodyText"/>
        <w:spacing w:before="106" w:line="249" w:lineRule="auto"/>
        <w:ind w:left="492" w:right="279"/>
      </w:pPr>
      <w:bookmarkStart w:id="67" w:name="_bookmark46"/>
      <w:bookmarkEnd w:id="67"/>
      <w:r>
        <w:rPr>
          <w:w w:val="95"/>
        </w:rPr>
        <w:t xml:space="preserve">In terms of direct infrastructure effects, the continued </w:t>
      </w:r>
      <w:r>
        <w:t>demand</w:t>
      </w:r>
      <w:r>
        <w:rPr>
          <w:spacing w:val="-14"/>
        </w:rPr>
        <w:t xml:space="preserve"> </w:t>
      </w:r>
      <w:r>
        <w:t>from</w:t>
      </w:r>
      <w:r>
        <w:rPr>
          <w:spacing w:val="-14"/>
        </w:rPr>
        <w:t xml:space="preserve"> </w:t>
      </w:r>
      <w:r>
        <w:t>emerging</w:t>
      </w:r>
      <w:r>
        <w:rPr>
          <w:spacing w:val="-14"/>
        </w:rPr>
        <w:t xml:space="preserve"> </w:t>
      </w:r>
      <w:r>
        <w:t>markets</w:t>
      </w:r>
      <w:r>
        <w:rPr>
          <w:spacing w:val="-14"/>
        </w:rPr>
        <w:t xml:space="preserve"> </w:t>
      </w:r>
      <w:r>
        <w:t>means</w:t>
      </w:r>
      <w:r>
        <w:rPr>
          <w:spacing w:val="-14"/>
        </w:rPr>
        <w:t xml:space="preserve"> </w:t>
      </w:r>
      <w:r>
        <w:t>a</w:t>
      </w:r>
      <w:r>
        <w:rPr>
          <w:spacing w:val="-14"/>
        </w:rPr>
        <w:t xml:space="preserve"> </w:t>
      </w:r>
      <w:r>
        <w:t xml:space="preserve">continued </w:t>
      </w:r>
      <w:r>
        <w:rPr>
          <w:w w:val="95"/>
        </w:rPr>
        <w:t xml:space="preserve">increase in the sheer volume of resources and goods </w:t>
      </w:r>
      <w:r>
        <w:t>that</w:t>
      </w:r>
      <w:r>
        <w:rPr>
          <w:spacing w:val="-10"/>
        </w:rPr>
        <w:t xml:space="preserve"> </w:t>
      </w:r>
      <w:r>
        <w:t>must</w:t>
      </w:r>
      <w:r>
        <w:rPr>
          <w:spacing w:val="-10"/>
        </w:rPr>
        <w:t xml:space="preserve"> </w:t>
      </w:r>
      <w:r>
        <w:t>be</w:t>
      </w:r>
      <w:r>
        <w:rPr>
          <w:spacing w:val="-10"/>
        </w:rPr>
        <w:t xml:space="preserve"> </w:t>
      </w:r>
      <w:r>
        <w:t>moved</w:t>
      </w:r>
      <w:r>
        <w:rPr>
          <w:spacing w:val="-10"/>
        </w:rPr>
        <w:t xml:space="preserve"> </w:t>
      </w:r>
      <w:r>
        <w:t>through</w:t>
      </w:r>
      <w:r>
        <w:rPr>
          <w:spacing w:val="-10"/>
        </w:rPr>
        <w:t xml:space="preserve"> </w:t>
      </w:r>
      <w:r>
        <w:t>NSW’s</w:t>
      </w:r>
      <w:r>
        <w:rPr>
          <w:spacing w:val="-10"/>
        </w:rPr>
        <w:t xml:space="preserve"> </w:t>
      </w:r>
      <w:r>
        <w:t>ports,</w:t>
      </w:r>
      <w:r>
        <w:rPr>
          <w:spacing w:val="-10"/>
        </w:rPr>
        <w:t xml:space="preserve"> </w:t>
      </w:r>
      <w:r>
        <w:t>the</w:t>
      </w:r>
      <w:r>
        <w:rPr>
          <w:spacing w:val="-10"/>
        </w:rPr>
        <w:t xml:space="preserve"> </w:t>
      </w:r>
      <w:r>
        <w:t xml:space="preserve">need </w:t>
      </w:r>
      <w:r>
        <w:rPr>
          <w:w w:val="95"/>
        </w:rPr>
        <w:t>to</w:t>
      </w:r>
      <w:r>
        <w:rPr>
          <w:spacing w:val="-3"/>
          <w:w w:val="95"/>
        </w:rPr>
        <w:t xml:space="preserve"> </w:t>
      </w:r>
      <w:r>
        <w:rPr>
          <w:w w:val="95"/>
        </w:rPr>
        <w:t>distribute</w:t>
      </w:r>
      <w:r>
        <w:rPr>
          <w:spacing w:val="-3"/>
          <w:w w:val="95"/>
        </w:rPr>
        <w:t xml:space="preserve"> </w:t>
      </w:r>
      <w:r>
        <w:rPr>
          <w:w w:val="95"/>
        </w:rPr>
        <w:t>products</w:t>
      </w:r>
      <w:r>
        <w:rPr>
          <w:spacing w:val="-3"/>
          <w:w w:val="95"/>
        </w:rPr>
        <w:t xml:space="preserve"> </w:t>
      </w:r>
      <w:r>
        <w:rPr>
          <w:w w:val="95"/>
        </w:rPr>
        <w:t>efficiently</w:t>
      </w:r>
      <w:r>
        <w:rPr>
          <w:spacing w:val="-3"/>
          <w:w w:val="95"/>
        </w:rPr>
        <w:t xml:space="preserve"> </w:t>
      </w:r>
      <w:r>
        <w:rPr>
          <w:w w:val="95"/>
        </w:rPr>
        <w:t>within</w:t>
      </w:r>
      <w:r>
        <w:rPr>
          <w:spacing w:val="-3"/>
          <w:w w:val="95"/>
        </w:rPr>
        <w:t xml:space="preserve"> </w:t>
      </w:r>
      <w:r>
        <w:rPr>
          <w:w w:val="95"/>
        </w:rPr>
        <w:t>our</w:t>
      </w:r>
      <w:r>
        <w:rPr>
          <w:spacing w:val="-3"/>
          <w:w w:val="95"/>
        </w:rPr>
        <w:t xml:space="preserve"> </w:t>
      </w:r>
      <w:r>
        <w:rPr>
          <w:w w:val="95"/>
        </w:rPr>
        <w:t>cities</w:t>
      </w:r>
      <w:r>
        <w:rPr>
          <w:spacing w:val="-3"/>
          <w:w w:val="95"/>
        </w:rPr>
        <w:t xml:space="preserve"> </w:t>
      </w:r>
      <w:r>
        <w:rPr>
          <w:w w:val="95"/>
        </w:rPr>
        <w:t>and</w:t>
      </w:r>
      <w:r>
        <w:rPr>
          <w:spacing w:val="-3"/>
          <w:w w:val="95"/>
        </w:rPr>
        <w:t xml:space="preserve"> </w:t>
      </w:r>
      <w:r>
        <w:rPr>
          <w:w w:val="95"/>
        </w:rPr>
        <w:t>a</w:t>
      </w:r>
    </w:p>
    <w:p w:rsidR="002C1123" w:rsidRDefault="00F22F94">
      <w:pPr>
        <w:pStyle w:val="BodyText"/>
        <w:spacing w:before="4"/>
        <w:ind w:left="492"/>
      </w:pPr>
      <w:r>
        <w:rPr>
          <w:w w:val="95"/>
        </w:rPr>
        <w:t>potential</w:t>
      </w:r>
      <w:r>
        <w:rPr>
          <w:spacing w:val="-5"/>
          <w:w w:val="95"/>
        </w:rPr>
        <w:t xml:space="preserve"> </w:t>
      </w:r>
      <w:r>
        <w:rPr>
          <w:w w:val="95"/>
        </w:rPr>
        <w:t>shift</w:t>
      </w:r>
      <w:r>
        <w:rPr>
          <w:spacing w:val="-5"/>
          <w:w w:val="95"/>
        </w:rPr>
        <w:t xml:space="preserve"> </w:t>
      </w:r>
      <w:r>
        <w:rPr>
          <w:w w:val="95"/>
        </w:rPr>
        <w:t>in</w:t>
      </w:r>
      <w:r>
        <w:rPr>
          <w:spacing w:val="-5"/>
          <w:w w:val="95"/>
        </w:rPr>
        <w:t xml:space="preserve"> </w:t>
      </w:r>
      <w:r>
        <w:rPr>
          <w:w w:val="95"/>
        </w:rPr>
        <w:t>the</w:t>
      </w:r>
      <w:r>
        <w:rPr>
          <w:spacing w:val="-5"/>
          <w:w w:val="95"/>
        </w:rPr>
        <w:t xml:space="preserve"> </w:t>
      </w:r>
      <w:r>
        <w:rPr>
          <w:w w:val="95"/>
        </w:rPr>
        <w:t>mix</w:t>
      </w:r>
      <w:r>
        <w:rPr>
          <w:spacing w:val="-5"/>
          <w:w w:val="95"/>
        </w:rPr>
        <w:t xml:space="preserve"> </w:t>
      </w:r>
      <w:r>
        <w:rPr>
          <w:w w:val="95"/>
        </w:rPr>
        <w:t>of</w:t>
      </w:r>
      <w:r>
        <w:rPr>
          <w:spacing w:val="-5"/>
          <w:w w:val="95"/>
        </w:rPr>
        <w:t xml:space="preserve"> </w:t>
      </w:r>
      <w:r>
        <w:rPr>
          <w:w w:val="95"/>
        </w:rPr>
        <w:t>bulk</w:t>
      </w:r>
      <w:r>
        <w:rPr>
          <w:spacing w:val="-5"/>
          <w:w w:val="95"/>
        </w:rPr>
        <w:t xml:space="preserve"> </w:t>
      </w:r>
      <w:r>
        <w:rPr>
          <w:w w:val="95"/>
        </w:rPr>
        <w:t>and</w:t>
      </w:r>
      <w:r>
        <w:rPr>
          <w:spacing w:val="-5"/>
          <w:w w:val="95"/>
        </w:rPr>
        <w:t xml:space="preserve"> </w:t>
      </w:r>
      <w:r>
        <w:rPr>
          <w:w w:val="95"/>
        </w:rPr>
        <w:t>containerised</w:t>
      </w:r>
      <w:r>
        <w:rPr>
          <w:spacing w:val="-5"/>
          <w:w w:val="95"/>
        </w:rPr>
        <w:t xml:space="preserve"> </w:t>
      </w:r>
      <w:r>
        <w:rPr>
          <w:spacing w:val="-2"/>
          <w:w w:val="95"/>
        </w:rPr>
        <w:t>freight.</w:t>
      </w:r>
    </w:p>
    <w:p w:rsidR="002C1123" w:rsidRDefault="00F22F94">
      <w:pPr>
        <w:pStyle w:val="BodyText"/>
        <w:spacing w:before="152" w:line="249" w:lineRule="auto"/>
        <w:ind w:left="492" w:right="137"/>
        <w:jc w:val="both"/>
      </w:pPr>
      <w:r>
        <w:rPr>
          <w:w w:val="95"/>
        </w:rPr>
        <w:t>Over the longer term, the economy’s expected sectoral adjustments</w:t>
      </w:r>
      <w:r>
        <w:rPr>
          <w:spacing w:val="-5"/>
          <w:w w:val="95"/>
        </w:rPr>
        <w:t xml:space="preserve"> </w:t>
      </w:r>
      <w:r>
        <w:rPr>
          <w:w w:val="95"/>
        </w:rPr>
        <w:t>mean</w:t>
      </w:r>
      <w:r>
        <w:rPr>
          <w:spacing w:val="-5"/>
          <w:w w:val="95"/>
        </w:rPr>
        <w:t xml:space="preserve"> </w:t>
      </w:r>
      <w:r>
        <w:rPr>
          <w:w w:val="95"/>
        </w:rPr>
        <w:t>that</w:t>
      </w:r>
      <w:r>
        <w:rPr>
          <w:spacing w:val="-5"/>
          <w:w w:val="95"/>
        </w:rPr>
        <w:t xml:space="preserve"> </w:t>
      </w:r>
      <w:r>
        <w:rPr>
          <w:w w:val="95"/>
        </w:rPr>
        <w:t>the</w:t>
      </w:r>
      <w:r>
        <w:rPr>
          <w:spacing w:val="-5"/>
          <w:w w:val="95"/>
        </w:rPr>
        <w:t xml:space="preserve"> </w:t>
      </w:r>
      <w:r>
        <w:rPr>
          <w:w w:val="95"/>
        </w:rPr>
        <w:t>demand</w:t>
      </w:r>
      <w:r>
        <w:rPr>
          <w:spacing w:val="-5"/>
          <w:w w:val="95"/>
        </w:rPr>
        <w:t xml:space="preserve"> </w:t>
      </w:r>
      <w:r>
        <w:rPr>
          <w:w w:val="95"/>
        </w:rPr>
        <w:t>for</w:t>
      </w:r>
      <w:r>
        <w:rPr>
          <w:spacing w:val="-5"/>
          <w:w w:val="95"/>
        </w:rPr>
        <w:t xml:space="preserve"> </w:t>
      </w:r>
      <w:r>
        <w:rPr>
          <w:w w:val="95"/>
        </w:rPr>
        <w:t>high-value</w:t>
      </w:r>
      <w:r>
        <w:rPr>
          <w:spacing w:val="-5"/>
          <w:w w:val="95"/>
        </w:rPr>
        <w:t xml:space="preserve"> </w:t>
      </w:r>
      <w:r>
        <w:rPr>
          <w:w w:val="95"/>
        </w:rPr>
        <w:t xml:space="preserve">skills </w:t>
      </w:r>
      <w:r>
        <w:t>and</w:t>
      </w:r>
      <w:r>
        <w:rPr>
          <w:spacing w:val="-9"/>
        </w:rPr>
        <w:t xml:space="preserve"> </w:t>
      </w:r>
      <w:r>
        <w:t>innovation</w:t>
      </w:r>
      <w:r>
        <w:rPr>
          <w:spacing w:val="-9"/>
        </w:rPr>
        <w:t xml:space="preserve"> </w:t>
      </w:r>
      <w:r>
        <w:t>is</w:t>
      </w:r>
      <w:r>
        <w:rPr>
          <w:spacing w:val="-9"/>
        </w:rPr>
        <w:t xml:space="preserve"> </w:t>
      </w:r>
      <w:r>
        <w:t>expected</w:t>
      </w:r>
      <w:r>
        <w:rPr>
          <w:spacing w:val="-9"/>
        </w:rPr>
        <w:t xml:space="preserve"> </w:t>
      </w:r>
      <w:r>
        <w:t>to</w:t>
      </w:r>
      <w:r>
        <w:rPr>
          <w:spacing w:val="-9"/>
        </w:rPr>
        <w:t xml:space="preserve"> </w:t>
      </w:r>
      <w:r>
        <w:t>intensify.</w:t>
      </w:r>
    </w:p>
    <w:p w:rsidR="002C1123" w:rsidRDefault="00F22F94">
      <w:pPr>
        <w:pStyle w:val="BodyText"/>
        <w:spacing w:before="144" w:line="249" w:lineRule="auto"/>
        <w:ind w:left="492" w:right="279"/>
      </w:pPr>
      <w:r>
        <w:rPr>
          <w:w w:val="95"/>
        </w:rPr>
        <w:t>To</w:t>
      </w:r>
      <w:r>
        <w:rPr>
          <w:spacing w:val="-11"/>
          <w:w w:val="95"/>
        </w:rPr>
        <w:t xml:space="preserve"> </w:t>
      </w:r>
      <w:r>
        <w:rPr>
          <w:w w:val="95"/>
        </w:rPr>
        <w:t>win</w:t>
      </w:r>
      <w:r>
        <w:rPr>
          <w:spacing w:val="-11"/>
          <w:w w:val="95"/>
        </w:rPr>
        <w:t xml:space="preserve"> </w:t>
      </w:r>
      <w:r>
        <w:rPr>
          <w:w w:val="95"/>
        </w:rPr>
        <w:t>the</w:t>
      </w:r>
      <w:r>
        <w:rPr>
          <w:spacing w:val="-11"/>
          <w:w w:val="95"/>
        </w:rPr>
        <w:t xml:space="preserve"> </w:t>
      </w:r>
      <w:r>
        <w:rPr>
          <w:w w:val="95"/>
        </w:rPr>
        <w:t>war</w:t>
      </w:r>
      <w:r>
        <w:rPr>
          <w:spacing w:val="-11"/>
          <w:w w:val="95"/>
        </w:rPr>
        <w:t xml:space="preserve"> </w:t>
      </w:r>
      <w:r>
        <w:rPr>
          <w:w w:val="95"/>
        </w:rPr>
        <w:t>for</w:t>
      </w:r>
      <w:r>
        <w:rPr>
          <w:spacing w:val="-11"/>
          <w:w w:val="95"/>
        </w:rPr>
        <w:t xml:space="preserve"> </w:t>
      </w:r>
      <w:r>
        <w:rPr>
          <w:w w:val="95"/>
        </w:rPr>
        <w:t>talent,</w:t>
      </w:r>
      <w:r>
        <w:rPr>
          <w:spacing w:val="-11"/>
          <w:w w:val="95"/>
        </w:rPr>
        <w:t xml:space="preserve"> </w:t>
      </w:r>
      <w:r>
        <w:rPr>
          <w:w w:val="95"/>
        </w:rPr>
        <w:t>NSW</w:t>
      </w:r>
      <w:r>
        <w:rPr>
          <w:spacing w:val="-11"/>
          <w:w w:val="95"/>
        </w:rPr>
        <w:t xml:space="preserve"> </w:t>
      </w:r>
      <w:r>
        <w:rPr>
          <w:w w:val="95"/>
        </w:rPr>
        <w:t>needs</w:t>
      </w:r>
      <w:r>
        <w:rPr>
          <w:spacing w:val="-11"/>
          <w:w w:val="95"/>
        </w:rPr>
        <w:t xml:space="preserve"> </w:t>
      </w:r>
      <w:r>
        <w:rPr>
          <w:w w:val="95"/>
        </w:rPr>
        <w:t>to</w:t>
      </w:r>
      <w:r>
        <w:rPr>
          <w:spacing w:val="-11"/>
          <w:w w:val="95"/>
        </w:rPr>
        <w:t xml:space="preserve"> </w:t>
      </w:r>
      <w:r>
        <w:rPr>
          <w:w w:val="95"/>
        </w:rPr>
        <w:t>be</w:t>
      </w:r>
      <w:r>
        <w:rPr>
          <w:spacing w:val="-11"/>
          <w:w w:val="95"/>
        </w:rPr>
        <w:t xml:space="preserve"> </w:t>
      </w:r>
      <w:r>
        <w:rPr>
          <w:w w:val="95"/>
        </w:rPr>
        <w:t>a</w:t>
      </w:r>
      <w:r>
        <w:rPr>
          <w:spacing w:val="-11"/>
          <w:w w:val="95"/>
        </w:rPr>
        <w:t xml:space="preserve"> </w:t>
      </w:r>
      <w:r>
        <w:rPr>
          <w:w w:val="95"/>
        </w:rPr>
        <w:t xml:space="preserve">liveable </w:t>
      </w:r>
      <w:r>
        <w:t>and</w:t>
      </w:r>
      <w:r>
        <w:rPr>
          <w:spacing w:val="-13"/>
        </w:rPr>
        <w:t xml:space="preserve"> </w:t>
      </w:r>
      <w:r>
        <w:t>productive</w:t>
      </w:r>
      <w:r>
        <w:rPr>
          <w:spacing w:val="-13"/>
        </w:rPr>
        <w:t xml:space="preserve"> </w:t>
      </w:r>
      <w:r>
        <w:t>place.</w:t>
      </w:r>
      <w:r>
        <w:rPr>
          <w:spacing w:val="-13"/>
        </w:rPr>
        <w:t xml:space="preserve"> </w:t>
      </w:r>
      <w:r>
        <w:t>Therefore</w:t>
      </w:r>
      <w:r>
        <w:rPr>
          <w:spacing w:val="-13"/>
        </w:rPr>
        <w:t xml:space="preserve"> </w:t>
      </w:r>
      <w:r>
        <w:t>the</w:t>
      </w:r>
      <w:r>
        <w:rPr>
          <w:spacing w:val="-13"/>
        </w:rPr>
        <w:t xml:space="preserve"> </w:t>
      </w:r>
      <w:r>
        <w:t>Strategy</w:t>
      </w:r>
      <w:r>
        <w:rPr>
          <w:spacing w:val="-13"/>
        </w:rPr>
        <w:t xml:space="preserve"> </w:t>
      </w:r>
      <w:r>
        <w:t xml:space="preserve">has </w:t>
      </w:r>
      <w:r>
        <w:rPr>
          <w:w w:val="95"/>
        </w:rPr>
        <w:t xml:space="preserve">been guided by the principles of connecting people, </w:t>
      </w:r>
      <w:r>
        <w:t>building</w:t>
      </w:r>
      <w:r>
        <w:rPr>
          <w:spacing w:val="-10"/>
        </w:rPr>
        <w:t xml:space="preserve"> </w:t>
      </w:r>
      <w:r>
        <w:t>resilience</w:t>
      </w:r>
      <w:r>
        <w:rPr>
          <w:spacing w:val="-10"/>
        </w:rPr>
        <w:t xml:space="preserve"> </w:t>
      </w:r>
      <w:r>
        <w:t>and</w:t>
      </w:r>
      <w:r>
        <w:rPr>
          <w:spacing w:val="-10"/>
        </w:rPr>
        <w:t xml:space="preserve"> </w:t>
      </w:r>
      <w:r>
        <w:t>improving</w:t>
      </w:r>
      <w:r>
        <w:rPr>
          <w:spacing w:val="-10"/>
        </w:rPr>
        <w:t xml:space="preserve"> </w:t>
      </w:r>
      <w:r>
        <w:t>amenity</w:t>
      </w:r>
      <w:r>
        <w:rPr>
          <w:spacing w:val="-10"/>
        </w:rPr>
        <w:t xml:space="preserve"> </w:t>
      </w:r>
      <w:r>
        <w:t>to</w:t>
      </w:r>
      <w:r>
        <w:rPr>
          <w:spacing w:val="-10"/>
        </w:rPr>
        <w:t xml:space="preserve"> </w:t>
      </w:r>
      <w:r>
        <w:t>be globally</w:t>
      </w:r>
      <w:r>
        <w:rPr>
          <w:spacing w:val="-11"/>
        </w:rPr>
        <w:t xml:space="preserve"> </w:t>
      </w:r>
      <w:r>
        <w:t>competitive.</w:t>
      </w:r>
    </w:p>
    <w:p w:rsidR="002C1123" w:rsidRDefault="00F22F94">
      <w:pPr>
        <w:pStyle w:val="Heading6"/>
        <w:spacing w:before="146"/>
        <w:ind w:left="492"/>
      </w:pPr>
      <w:r>
        <w:rPr>
          <w:w w:val="95"/>
        </w:rPr>
        <w:t>Technology</w:t>
      </w:r>
      <w:r>
        <w:rPr>
          <w:spacing w:val="7"/>
        </w:rPr>
        <w:t xml:space="preserve"> </w:t>
      </w:r>
      <w:r>
        <w:rPr>
          <w:w w:val="95"/>
        </w:rPr>
        <w:t>and</w:t>
      </w:r>
      <w:r>
        <w:rPr>
          <w:spacing w:val="8"/>
        </w:rPr>
        <w:t xml:space="preserve"> </w:t>
      </w:r>
      <w:r>
        <w:rPr>
          <w:spacing w:val="-2"/>
          <w:w w:val="95"/>
        </w:rPr>
        <w:t>Infrastructure</w:t>
      </w:r>
    </w:p>
    <w:p w:rsidR="002C1123" w:rsidRDefault="00F22F94">
      <w:pPr>
        <w:pStyle w:val="BodyText"/>
        <w:spacing w:before="10" w:line="249" w:lineRule="auto"/>
        <w:ind w:left="492"/>
      </w:pPr>
      <w:r>
        <w:t>Advances</w:t>
      </w:r>
      <w:r>
        <w:rPr>
          <w:spacing w:val="-14"/>
        </w:rPr>
        <w:t xml:space="preserve"> </w:t>
      </w:r>
      <w:r>
        <w:t>in</w:t>
      </w:r>
      <w:r>
        <w:rPr>
          <w:spacing w:val="-14"/>
        </w:rPr>
        <w:t xml:space="preserve"> </w:t>
      </w:r>
      <w:r>
        <w:t>technology</w:t>
      </w:r>
      <w:r>
        <w:rPr>
          <w:spacing w:val="-14"/>
        </w:rPr>
        <w:t xml:space="preserve"> </w:t>
      </w:r>
      <w:r>
        <w:t>have</w:t>
      </w:r>
      <w:r>
        <w:rPr>
          <w:spacing w:val="-14"/>
        </w:rPr>
        <w:t xml:space="preserve"> </w:t>
      </w:r>
      <w:r>
        <w:t>always</w:t>
      </w:r>
      <w:r>
        <w:rPr>
          <w:spacing w:val="-14"/>
        </w:rPr>
        <w:t xml:space="preserve"> </w:t>
      </w:r>
      <w:r>
        <w:t>driven</w:t>
      </w:r>
      <w:r>
        <w:rPr>
          <w:spacing w:val="-14"/>
        </w:rPr>
        <w:t xml:space="preserve"> </w:t>
      </w:r>
      <w:r>
        <w:t>human success</w:t>
      </w:r>
      <w:r>
        <w:rPr>
          <w:spacing w:val="-5"/>
        </w:rPr>
        <w:t xml:space="preserve"> </w:t>
      </w:r>
      <w:r>
        <w:t>and</w:t>
      </w:r>
      <w:r>
        <w:rPr>
          <w:spacing w:val="-5"/>
        </w:rPr>
        <w:t xml:space="preserve"> </w:t>
      </w:r>
      <w:r>
        <w:t>prosperity.</w:t>
      </w:r>
      <w:r>
        <w:rPr>
          <w:spacing w:val="-5"/>
        </w:rPr>
        <w:t xml:space="preserve"> </w:t>
      </w:r>
      <w:r>
        <w:t>Understanding</w:t>
      </w:r>
      <w:r>
        <w:rPr>
          <w:spacing w:val="-5"/>
        </w:rPr>
        <w:t xml:space="preserve"> </w:t>
      </w:r>
      <w:r>
        <w:t>the</w:t>
      </w:r>
      <w:r>
        <w:rPr>
          <w:spacing w:val="-5"/>
        </w:rPr>
        <w:t xml:space="preserve"> </w:t>
      </w:r>
      <w:r>
        <w:t>impact</w:t>
      </w:r>
      <w:r>
        <w:rPr>
          <w:spacing w:val="-5"/>
        </w:rPr>
        <w:t xml:space="preserve"> </w:t>
      </w:r>
      <w:r>
        <w:t xml:space="preserve">of </w:t>
      </w:r>
      <w:r>
        <w:rPr>
          <w:w w:val="95"/>
        </w:rPr>
        <w:t>new</w:t>
      </w:r>
      <w:r>
        <w:rPr>
          <w:spacing w:val="-4"/>
          <w:w w:val="95"/>
        </w:rPr>
        <w:t xml:space="preserve"> </w:t>
      </w:r>
      <w:r>
        <w:rPr>
          <w:w w:val="95"/>
        </w:rPr>
        <w:t>technologies</w:t>
      </w:r>
      <w:r>
        <w:rPr>
          <w:spacing w:val="-4"/>
          <w:w w:val="95"/>
        </w:rPr>
        <w:t xml:space="preserve"> </w:t>
      </w:r>
      <w:r>
        <w:rPr>
          <w:w w:val="95"/>
        </w:rPr>
        <w:t>is</w:t>
      </w:r>
      <w:r>
        <w:rPr>
          <w:spacing w:val="-4"/>
          <w:w w:val="95"/>
        </w:rPr>
        <w:t xml:space="preserve"> </w:t>
      </w:r>
      <w:r>
        <w:rPr>
          <w:w w:val="95"/>
        </w:rPr>
        <w:t>central</w:t>
      </w:r>
      <w:r>
        <w:rPr>
          <w:spacing w:val="-4"/>
          <w:w w:val="95"/>
        </w:rPr>
        <w:t xml:space="preserve"> </w:t>
      </w:r>
      <w:r>
        <w:rPr>
          <w:w w:val="95"/>
        </w:rPr>
        <w:t>to</w:t>
      </w:r>
      <w:r>
        <w:rPr>
          <w:spacing w:val="-4"/>
          <w:w w:val="95"/>
        </w:rPr>
        <w:t xml:space="preserve"> </w:t>
      </w:r>
      <w:r>
        <w:rPr>
          <w:w w:val="95"/>
        </w:rPr>
        <w:t>making</w:t>
      </w:r>
      <w:r>
        <w:rPr>
          <w:spacing w:val="-4"/>
          <w:w w:val="95"/>
        </w:rPr>
        <w:t xml:space="preserve"> </w:t>
      </w:r>
      <w:r>
        <w:rPr>
          <w:w w:val="95"/>
        </w:rPr>
        <w:t>sure</w:t>
      </w:r>
      <w:r>
        <w:rPr>
          <w:spacing w:val="-4"/>
          <w:w w:val="95"/>
        </w:rPr>
        <w:t xml:space="preserve"> </w:t>
      </w:r>
      <w:r>
        <w:rPr>
          <w:w w:val="95"/>
        </w:rPr>
        <w:t xml:space="preserve">infrastructure </w:t>
      </w:r>
      <w:r>
        <w:t>investment</w:t>
      </w:r>
      <w:r>
        <w:rPr>
          <w:spacing w:val="-7"/>
        </w:rPr>
        <w:t xml:space="preserve"> </w:t>
      </w:r>
      <w:r>
        <w:t>supports</w:t>
      </w:r>
      <w:r>
        <w:rPr>
          <w:spacing w:val="-7"/>
        </w:rPr>
        <w:t xml:space="preserve"> </w:t>
      </w:r>
      <w:r>
        <w:t>people</w:t>
      </w:r>
      <w:r>
        <w:rPr>
          <w:spacing w:val="-7"/>
        </w:rPr>
        <w:t xml:space="preserve"> </w:t>
      </w:r>
      <w:r>
        <w:t>and</w:t>
      </w:r>
      <w:r>
        <w:rPr>
          <w:spacing w:val="-7"/>
        </w:rPr>
        <w:t xml:space="preserve"> </w:t>
      </w:r>
      <w:r>
        <w:t>businesses</w:t>
      </w:r>
      <w:r>
        <w:rPr>
          <w:spacing w:val="-7"/>
        </w:rPr>
        <w:t xml:space="preserve"> </w:t>
      </w:r>
      <w:r>
        <w:t>in</w:t>
      </w:r>
      <w:r>
        <w:rPr>
          <w:spacing w:val="-7"/>
        </w:rPr>
        <w:t xml:space="preserve"> </w:t>
      </w:r>
      <w:r>
        <w:t>the coming</w:t>
      </w:r>
      <w:r>
        <w:rPr>
          <w:spacing w:val="-11"/>
        </w:rPr>
        <w:t xml:space="preserve"> </w:t>
      </w:r>
      <w:r>
        <w:t>decades.</w:t>
      </w:r>
    </w:p>
    <w:p w:rsidR="002C1123" w:rsidRDefault="00F22F94">
      <w:pPr>
        <w:pStyle w:val="BodyText"/>
        <w:spacing w:before="146" w:line="249" w:lineRule="auto"/>
        <w:ind w:left="492"/>
        <w:rPr>
          <w:sz w:val="11"/>
        </w:rPr>
      </w:pPr>
      <w:r>
        <w:t>Deloitte</w:t>
      </w:r>
      <w:r>
        <w:rPr>
          <w:spacing w:val="-14"/>
        </w:rPr>
        <w:t xml:space="preserve"> </w:t>
      </w:r>
      <w:r>
        <w:t>Access</w:t>
      </w:r>
      <w:r>
        <w:rPr>
          <w:spacing w:val="-14"/>
        </w:rPr>
        <w:t xml:space="preserve"> </w:t>
      </w:r>
      <w:r>
        <w:t>Economics</w:t>
      </w:r>
      <w:r>
        <w:rPr>
          <w:spacing w:val="-14"/>
        </w:rPr>
        <w:t xml:space="preserve"> </w:t>
      </w:r>
      <w:r>
        <w:t>advise</w:t>
      </w:r>
      <w:r>
        <w:rPr>
          <w:spacing w:val="-14"/>
        </w:rPr>
        <w:t xml:space="preserve"> </w:t>
      </w:r>
      <w:r>
        <w:t>that</w:t>
      </w:r>
      <w:r>
        <w:rPr>
          <w:spacing w:val="-14"/>
        </w:rPr>
        <w:t xml:space="preserve"> </w:t>
      </w:r>
      <w:r>
        <w:t>the</w:t>
      </w:r>
      <w:r>
        <w:rPr>
          <w:spacing w:val="-14"/>
        </w:rPr>
        <w:t xml:space="preserve"> </w:t>
      </w:r>
      <w:r>
        <w:t xml:space="preserve">Australian </w:t>
      </w:r>
      <w:r>
        <w:rPr>
          <w:w w:val="95"/>
        </w:rPr>
        <w:t xml:space="preserve">economy is at a tipping point in the shift towards a digital </w:t>
      </w:r>
      <w:r>
        <w:t>economy.</w:t>
      </w:r>
      <w:r>
        <w:rPr>
          <w:spacing w:val="-13"/>
        </w:rPr>
        <w:t xml:space="preserve"> </w:t>
      </w:r>
      <w:r>
        <w:t>Australia’s</w:t>
      </w:r>
      <w:r>
        <w:rPr>
          <w:spacing w:val="-13"/>
        </w:rPr>
        <w:t xml:space="preserve"> </w:t>
      </w:r>
      <w:r>
        <w:t>digital</w:t>
      </w:r>
      <w:r>
        <w:rPr>
          <w:spacing w:val="-13"/>
        </w:rPr>
        <w:t xml:space="preserve"> </w:t>
      </w:r>
      <w:r>
        <w:t>economy</w:t>
      </w:r>
      <w:r>
        <w:rPr>
          <w:spacing w:val="-13"/>
        </w:rPr>
        <w:t xml:space="preserve"> </w:t>
      </w:r>
      <w:r>
        <w:t>is</w:t>
      </w:r>
      <w:r>
        <w:rPr>
          <w:spacing w:val="-13"/>
        </w:rPr>
        <w:t xml:space="preserve"> </w:t>
      </w:r>
      <w:r>
        <w:t>worth</w:t>
      </w:r>
      <w:r>
        <w:rPr>
          <w:spacing w:val="-13"/>
        </w:rPr>
        <w:t xml:space="preserve"> </w:t>
      </w:r>
      <w:r>
        <w:t>as</w:t>
      </w:r>
      <w:r>
        <w:rPr>
          <w:spacing w:val="-13"/>
        </w:rPr>
        <w:t xml:space="preserve"> </w:t>
      </w:r>
      <w:r>
        <w:t xml:space="preserve">much </w:t>
      </w:r>
      <w:r>
        <w:rPr>
          <w:w w:val="95"/>
        </w:rPr>
        <w:t>as</w:t>
      </w:r>
      <w:r>
        <w:rPr>
          <w:spacing w:val="-6"/>
          <w:w w:val="95"/>
        </w:rPr>
        <w:t xml:space="preserve"> </w:t>
      </w:r>
      <w:r>
        <w:rPr>
          <w:w w:val="95"/>
        </w:rPr>
        <w:t>the</w:t>
      </w:r>
      <w:r>
        <w:rPr>
          <w:spacing w:val="-6"/>
          <w:w w:val="95"/>
        </w:rPr>
        <w:t xml:space="preserve"> </w:t>
      </w:r>
      <w:r>
        <w:rPr>
          <w:w w:val="95"/>
        </w:rPr>
        <w:t>nation’s</w:t>
      </w:r>
      <w:r>
        <w:rPr>
          <w:spacing w:val="-6"/>
          <w:w w:val="95"/>
        </w:rPr>
        <w:t xml:space="preserve"> </w:t>
      </w:r>
      <w:r>
        <w:rPr>
          <w:w w:val="95"/>
        </w:rPr>
        <w:t>iron</w:t>
      </w:r>
      <w:r>
        <w:rPr>
          <w:spacing w:val="-6"/>
          <w:w w:val="95"/>
        </w:rPr>
        <w:t xml:space="preserve"> </w:t>
      </w:r>
      <w:r>
        <w:rPr>
          <w:w w:val="95"/>
        </w:rPr>
        <w:t>ore</w:t>
      </w:r>
      <w:r>
        <w:rPr>
          <w:spacing w:val="-6"/>
          <w:w w:val="95"/>
        </w:rPr>
        <w:t xml:space="preserve"> </w:t>
      </w:r>
      <w:r>
        <w:rPr>
          <w:w w:val="95"/>
        </w:rPr>
        <w:t>exports</w:t>
      </w:r>
      <w:r>
        <w:rPr>
          <w:spacing w:val="-6"/>
          <w:w w:val="95"/>
        </w:rPr>
        <w:t xml:space="preserve"> </w:t>
      </w:r>
      <w:r>
        <w:rPr>
          <w:w w:val="95"/>
        </w:rPr>
        <w:t>and</w:t>
      </w:r>
      <w:r>
        <w:rPr>
          <w:spacing w:val="-6"/>
          <w:w w:val="95"/>
        </w:rPr>
        <w:t xml:space="preserve"> </w:t>
      </w:r>
      <w:r>
        <w:rPr>
          <w:w w:val="95"/>
        </w:rPr>
        <w:t>is</w:t>
      </w:r>
      <w:r>
        <w:rPr>
          <w:spacing w:val="-6"/>
          <w:w w:val="95"/>
        </w:rPr>
        <w:t xml:space="preserve"> </w:t>
      </w:r>
      <w:r>
        <w:rPr>
          <w:w w:val="95"/>
        </w:rPr>
        <w:t>forecast</w:t>
      </w:r>
      <w:r>
        <w:rPr>
          <w:spacing w:val="-6"/>
          <w:w w:val="95"/>
        </w:rPr>
        <w:t xml:space="preserve"> </w:t>
      </w:r>
      <w:r>
        <w:rPr>
          <w:w w:val="95"/>
        </w:rPr>
        <w:t>to</w:t>
      </w:r>
      <w:r>
        <w:rPr>
          <w:spacing w:val="-6"/>
          <w:w w:val="95"/>
        </w:rPr>
        <w:t xml:space="preserve"> </w:t>
      </w:r>
      <w:r>
        <w:rPr>
          <w:w w:val="95"/>
        </w:rPr>
        <w:t>grow</w:t>
      </w:r>
      <w:r>
        <w:rPr>
          <w:spacing w:val="-6"/>
          <w:w w:val="95"/>
        </w:rPr>
        <w:t xml:space="preserve"> </w:t>
      </w:r>
      <w:r>
        <w:rPr>
          <w:w w:val="95"/>
        </w:rPr>
        <w:t xml:space="preserve">by </w:t>
      </w:r>
      <w:r>
        <w:t>up</w:t>
      </w:r>
      <w:r>
        <w:rPr>
          <w:spacing w:val="-14"/>
        </w:rPr>
        <w:t xml:space="preserve"> </w:t>
      </w:r>
      <w:r>
        <w:t>to</w:t>
      </w:r>
      <w:r>
        <w:rPr>
          <w:spacing w:val="-14"/>
        </w:rPr>
        <w:t xml:space="preserve"> </w:t>
      </w:r>
      <w:r>
        <w:t>$70</w:t>
      </w:r>
      <w:r>
        <w:rPr>
          <w:spacing w:val="-13"/>
        </w:rPr>
        <w:t xml:space="preserve"> </w:t>
      </w:r>
      <w:r>
        <w:t>billion</w:t>
      </w:r>
      <w:r>
        <w:rPr>
          <w:spacing w:val="-14"/>
        </w:rPr>
        <w:t xml:space="preserve"> </w:t>
      </w:r>
      <w:r>
        <w:t>over</w:t>
      </w:r>
      <w:r>
        <w:rPr>
          <w:spacing w:val="-14"/>
        </w:rPr>
        <w:t xml:space="preserve"> </w:t>
      </w:r>
      <w:r>
        <w:t>the</w:t>
      </w:r>
      <w:r>
        <w:rPr>
          <w:spacing w:val="-13"/>
        </w:rPr>
        <w:t xml:space="preserve"> </w:t>
      </w:r>
      <w:r>
        <w:t>next</w:t>
      </w:r>
      <w:r>
        <w:rPr>
          <w:spacing w:val="-14"/>
        </w:rPr>
        <w:t xml:space="preserve"> </w:t>
      </w:r>
      <w:r>
        <w:t>four</w:t>
      </w:r>
      <w:r>
        <w:rPr>
          <w:spacing w:val="-14"/>
        </w:rPr>
        <w:t xml:space="preserve"> </w:t>
      </w:r>
      <w:r>
        <w:t>years.</w:t>
      </w:r>
      <w:r>
        <w:rPr>
          <w:position w:val="7"/>
          <w:sz w:val="11"/>
        </w:rPr>
        <w:t>15</w:t>
      </w:r>
    </w:p>
    <w:p w:rsidR="002C1123" w:rsidRDefault="00F22F94">
      <w:pPr>
        <w:pStyle w:val="BodyText"/>
        <w:spacing w:before="106" w:line="249" w:lineRule="auto"/>
        <w:ind w:left="191"/>
      </w:pPr>
      <w:r>
        <w:br w:type="column"/>
      </w:r>
      <w:r>
        <w:t>New</w:t>
      </w:r>
      <w:r>
        <w:rPr>
          <w:spacing w:val="-11"/>
        </w:rPr>
        <w:t xml:space="preserve"> </w:t>
      </w:r>
      <w:r>
        <w:t>and</w:t>
      </w:r>
      <w:r>
        <w:rPr>
          <w:spacing w:val="-11"/>
        </w:rPr>
        <w:t xml:space="preserve"> </w:t>
      </w:r>
      <w:r>
        <w:t>emerging</w:t>
      </w:r>
      <w:r>
        <w:rPr>
          <w:spacing w:val="-11"/>
        </w:rPr>
        <w:t xml:space="preserve"> </w:t>
      </w:r>
      <w:r>
        <w:t>technologies</w:t>
      </w:r>
      <w:r>
        <w:rPr>
          <w:spacing w:val="-11"/>
        </w:rPr>
        <w:t xml:space="preserve"> </w:t>
      </w:r>
      <w:r>
        <w:t>will</w:t>
      </w:r>
      <w:r>
        <w:rPr>
          <w:spacing w:val="-11"/>
        </w:rPr>
        <w:t xml:space="preserve"> </w:t>
      </w:r>
      <w:r>
        <w:t>be</w:t>
      </w:r>
      <w:r>
        <w:rPr>
          <w:spacing w:val="-11"/>
        </w:rPr>
        <w:t xml:space="preserve"> </w:t>
      </w:r>
      <w:r>
        <w:t>a</w:t>
      </w:r>
      <w:r>
        <w:rPr>
          <w:spacing w:val="-11"/>
        </w:rPr>
        <w:t xml:space="preserve"> </w:t>
      </w:r>
      <w:r>
        <w:t>powerful</w:t>
      </w:r>
      <w:r>
        <w:rPr>
          <w:spacing w:val="-11"/>
        </w:rPr>
        <w:t xml:space="preserve"> </w:t>
      </w:r>
      <w:r>
        <w:t>and often</w:t>
      </w:r>
      <w:r>
        <w:rPr>
          <w:spacing w:val="-14"/>
        </w:rPr>
        <w:t xml:space="preserve"> </w:t>
      </w:r>
      <w:r>
        <w:t>disruptive</w:t>
      </w:r>
      <w:r>
        <w:rPr>
          <w:spacing w:val="-14"/>
        </w:rPr>
        <w:t xml:space="preserve"> </w:t>
      </w:r>
      <w:r>
        <w:t>source</w:t>
      </w:r>
      <w:r>
        <w:rPr>
          <w:spacing w:val="-14"/>
        </w:rPr>
        <w:t xml:space="preserve"> </w:t>
      </w:r>
      <w:r>
        <w:t>of</w:t>
      </w:r>
      <w:r>
        <w:rPr>
          <w:spacing w:val="-14"/>
        </w:rPr>
        <w:t xml:space="preserve"> </w:t>
      </w:r>
      <w:r>
        <w:t>innovation</w:t>
      </w:r>
      <w:r>
        <w:rPr>
          <w:spacing w:val="-14"/>
        </w:rPr>
        <w:t xml:space="preserve"> </w:t>
      </w:r>
      <w:r>
        <w:t>and</w:t>
      </w:r>
      <w:r>
        <w:rPr>
          <w:spacing w:val="-14"/>
        </w:rPr>
        <w:t xml:space="preserve"> </w:t>
      </w:r>
      <w:r>
        <w:t>renewal.</w:t>
      </w:r>
      <w:r>
        <w:rPr>
          <w:spacing w:val="-14"/>
        </w:rPr>
        <w:t xml:space="preserve"> </w:t>
      </w:r>
      <w:r>
        <w:t xml:space="preserve">In </w:t>
      </w:r>
      <w:r>
        <w:rPr>
          <w:w w:val="95"/>
        </w:rPr>
        <w:t>particular,</w:t>
      </w:r>
      <w:r>
        <w:rPr>
          <w:spacing w:val="-4"/>
          <w:w w:val="95"/>
        </w:rPr>
        <w:t xml:space="preserve"> </w:t>
      </w:r>
      <w:r>
        <w:rPr>
          <w:w w:val="95"/>
        </w:rPr>
        <w:t>the</w:t>
      </w:r>
      <w:r>
        <w:rPr>
          <w:spacing w:val="-4"/>
          <w:w w:val="95"/>
        </w:rPr>
        <w:t xml:space="preserve"> </w:t>
      </w:r>
      <w:r>
        <w:rPr>
          <w:w w:val="95"/>
        </w:rPr>
        <w:t>digital</w:t>
      </w:r>
      <w:r>
        <w:rPr>
          <w:spacing w:val="-4"/>
          <w:w w:val="95"/>
        </w:rPr>
        <w:t xml:space="preserve"> </w:t>
      </w:r>
      <w:r>
        <w:rPr>
          <w:w w:val="95"/>
        </w:rPr>
        <w:t>age</w:t>
      </w:r>
      <w:r>
        <w:rPr>
          <w:spacing w:val="-4"/>
          <w:w w:val="95"/>
        </w:rPr>
        <w:t xml:space="preserve"> </w:t>
      </w:r>
      <w:r>
        <w:rPr>
          <w:w w:val="95"/>
        </w:rPr>
        <w:t>is</w:t>
      </w:r>
      <w:r>
        <w:rPr>
          <w:spacing w:val="-4"/>
          <w:w w:val="95"/>
        </w:rPr>
        <w:t xml:space="preserve"> </w:t>
      </w:r>
      <w:r>
        <w:rPr>
          <w:w w:val="95"/>
        </w:rPr>
        <w:t>disrupting</w:t>
      </w:r>
      <w:r>
        <w:rPr>
          <w:spacing w:val="-4"/>
          <w:w w:val="95"/>
        </w:rPr>
        <w:t xml:space="preserve"> </w:t>
      </w:r>
      <w:r>
        <w:rPr>
          <w:w w:val="95"/>
        </w:rPr>
        <w:t>patterns</w:t>
      </w:r>
      <w:r>
        <w:rPr>
          <w:spacing w:val="-4"/>
          <w:w w:val="95"/>
        </w:rPr>
        <w:t xml:space="preserve"> </w:t>
      </w:r>
      <w:r>
        <w:rPr>
          <w:w w:val="95"/>
        </w:rPr>
        <w:t>of</w:t>
      </w:r>
      <w:r>
        <w:rPr>
          <w:spacing w:val="-4"/>
          <w:w w:val="95"/>
        </w:rPr>
        <w:t xml:space="preserve"> </w:t>
      </w:r>
      <w:r>
        <w:rPr>
          <w:w w:val="95"/>
        </w:rPr>
        <w:t>mobility and</w:t>
      </w:r>
      <w:r>
        <w:rPr>
          <w:spacing w:val="-2"/>
          <w:w w:val="95"/>
        </w:rPr>
        <w:t xml:space="preserve"> </w:t>
      </w:r>
      <w:r>
        <w:rPr>
          <w:w w:val="95"/>
        </w:rPr>
        <w:t>engagement</w:t>
      </w:r>
      <w:r>
        <w:rPr>
          <w:spacing w:val="-2"/>
          <w:w w:val="95"/>
        </w:rPr>
        <w:t xml:space="preserve"> </w:t>
      </w:r>
      <w:r>
        <w:rPr>
          <w:w w:val="95"/>
        </w:rPr>
        <w:t>(how</w:t>
      </w:r>
      <w:r>
        <w:rPr>
          <w:spacing w:val="-1"/>
          <w:w w:val="95"/>
        </w:rPr>
        <w:t xml:space="preserve"> </w:t>
      </w:r>
      <w:r>
        <w:rPr>
          <w:w w:val="95"/>
        </w:rPr>
        <w:t>we</w:t>
      </w:r>
      <w:r>
        <w:rPr>
          <w:spacing w:val="-2"/>
          <w:w w:val="95"/>
        </w:rPr>
        <w:t xml:space="preserve"> </w:t>
      </w:r>
      <w:r>
        <w:rPr>
          <w:w w:val="95"/>
        </w:rPr>
        <w:t>work,</w:t>
      </w:r>
      <w:r>
        <w:rPr>
          <w:spacing w:val="-1"/>
          <w:w w:val="95"/>
        </w:rPr>
        <w:t xml:space="preserve"> </w:t>
      </w:r>
      <w:r>
        <w:rPr>
          <w:w w:val="95"/>
        </w:rPr>
        <w:t>shop,</w:t>
      </w:r>
      <w:r>
        <w:rPr>
          <w:spacing w:val="-2"/>
          <w:w w:val="95"/>
        </w:rPr>
        <w:t xml:space="preserve"> </w:t>
      </w:r>
      <w:r>
        <w:rPr>
          <w:w w:val="95"/>
        </w:rPr>
        <w:t>meet</w:t>
      </w:r>
      <w:r>
        <w:rPr>
          <w:spacing w:val="-1"/>
          <w:w w:val="95"/>
        </w:rPr>
        <w:t xml:space="preserve"> </w:t>
      </w:r>
      <w:r>
        <w:rPr>
          <w:w w:val="95"/>
        </w:rPr>
        <w:t>friends,</w:t>
      </w:r>
      <w:r>
        <w:rPr>
          <w:spacing w:val="-2"/>
          <w:w w:val="95"/>
        </w:rPr>
        <w:t xml:space="preserve"> </w:t>
      </w:r>
      <w:r>
        <w:rPr>
          <w:spacing w:val="-4"/>
          <w:w w:val="95"/>
        </w:rPr>
        <w:t>etc).</w:t>
      </w:r>
    </w:p>
    <w:p w:rsidR="002C1123" w:rsidRDefault="00F22F94">
      <w:pPr>
        <w:pStyle w:val="BodyText"/>
        <w:spacing w:before="145" w:line="249" w:lineRule="auto"/>
        <w:ind w:left="191" w:right="191"/>
      </w:pPr>
      <w:r>
        <w:rPr>
          <w:w w:val="95"/>
        </w:rPr>
        <w:t>Failure to embrace these changes risks creating an infrastructure</w:t>
      </w:r>
      <w:r>
        <w:rPr>
          <w:spacing w:val="-3"/>
          <w:w w:val="95"/>
        </w:rPr>
        <w:t xml:space="preserve"> </w:t>
      </w:r>
      <w:r>
        <w:rPr>
          <w:w w:val="95"/>
        </w:rPr>
        <w:t>investment</w:t>
      </w:r>
      <w:r>
        <w:rPr>
          <w:spacing w:val="-3"/>
          <w:w w:val="95"/>
        </w:rPr>
        <w:t xml:space="preserve"> </w:t>
      </w:r>
      <w:r>
        <w:rPr>
          <w:w w:val="95"/>
        </w:rPr>
        <w:t>strategy</w:t>
      </w:r>
      <w:r>
        <w:rPr>
          <w:spacing w:val="-3"/>
          <w:w w:val="95"/>
        </w:rPr>
        <w:t xml:space="preserve"> </w:t>
      </w:r>
      <w:r>
        <w:rPr>
          <w:w w:val="95"/>
        </w:rPr>
        <w:t>that</w:t>
      </w:r>
      <w:r>
        <w:rPr>
          <w:spacing w:val="-3"/>
          <w:w w:val="95"/>
        </w:rPr>
        <w:t xml:space="preserve"> </w:t>
      </w:r>
      <w:r>
        <w:rPr>
          <w:w w:val="95"/>
        </w:rPr>
        <w:t>“hits</w:t>
      </w:r>
      <w:r>
        <w:rPr>
          <w:spacing w:val="-3"/>
          <w:w w:val="95"/>
        </w:rPr>
        <w:t xml:space="preserve"> </w:t>
      </w:r>
      <w:r>
        <w:rPr>
          <w:w w:val="95"/>
        </w:rPr>
        <w:t>the</w:t>
      </w:r>
      <w:r>
        <w:rPr>
          <w:spacing w:val="-3"/>
          <w:w w:val="95"/>
        </w:rPr>
        <w:t xml:space="preserve"> </w:t>
      </w:r>
      <w:r>
        <w:rPr>
          <w:w w:val="95"/>
        </w:rPr>
        <w:t>mark but</w:t>
      </w:r>
      <w:r>
        <w:rPr>
          <w:spacing w:val="-2"/>
          <w:w w:val="95"/>
        </w:rPr>
        <w:t xml:space="preserve"> </w:t>
      </w:r>
      <w:r>
        <w:rPr>
          <w:w w:val="95"/>
        </w:rPr>
        <w:t>misses</w:t>
      </w:r>
      <w:r>
        <w:rPr>
          <w:spacing w:val="-2"/>
          <w:w w:val="95"/>
        </w:rPr>
        <w:t xml:space="preserve"> </w:t>
      </w:r>
      <w:r>
        <w:rPr>
          <w:w w:val="95"/>
        </w:rPr>
        <w:t>the</w:t>
      </w:r>
      <w:r>
        <w:rPr>
          <w:spacing w:val="-2"/>
          <w:w w:val="95"/>
        </w:rPr>
        <w:t xml:space="preserve"> </w:t>
      </w:r>
      <w:r>
        <w:rPr>
          <w:w w:val="95"/>
        </w:rPr>
        <w:t>point”</w:t>
      </w:r>
      <w:r>
        <w:rPr>
          <w:w w:val="95"/>
          <w:position w:val="7"/>
          <w:sz w:val="11"/>
        </w:rPr>
        <w:t>16</w:t>
      </w:r>
      <w:r>
        <w:rPr>
          <w:w w:val="95"/>
        </w:rPr>
        <w:t>,</w:t>
      </w:r>
      <w:r>
        <w:rPr>
          <w:spacing w:val="-2"/>
          <w:w w:val="95"/>
        </w:rPr>
        <w:t xml:space="preserve"> </w:t>
      </w:r>
      <w:r>
        <w:rPr>
          <w:w w:val="95"/>
        </w:rPr>
        <w:t>in</w:t>
      </w:r>
      <w:r>
        <w:rPr>
          <w:spacing w:val="-2"/>
          <w:w w:val="95"/>
        </w:rPr>
        <w:t xml:space="preserve"> </w:t>
      </w:r>
      <w:r>
        <w:rPr>
          <w:w w:val="95"/>
        </w:rPr>
        <w:t>other</w:t>
      </w:r>
      <w:r>
        <w:rPr>
          <w:spacing w:val="-2"/>
          <w:w w:val="95"/>
        </w:rPr>
        <w:t xml:space="preserve"> </w:t>
      </w:r>
      <w:r>
        <w:rPr>
          <w:w w:val="95"/>
        </w:rPr>
        <w:t>words,</w:t>
      </w:r>
      <w:r>
        <w:rPr>
          <w:spacing w:val="-2"/>
          <w:w w:val="95"/>
        </w:rPr>
        <w:t xml:space="preserve"> </w:t>
      </w:r>
      <w:r>
        <w:rPr>
          <w:w w:val="95"/>
        </w:rPr>
        <w:t>a</w:t>
      </w:r>
      <w:r>
        <w:rPr>
          <w:spacing w:val="-2"/>
          <w:w w:val="95"/>
        </w:rPr>
        <w:t xml:space="preserve"> </w:t>
      </w:r>
      <w:r>
        <w:rPr>
          <w:w w:val="95"/>
        </w:rPr>
        <w:t>plan</w:t>
      </w:r>
      <w:r>
        <w:rPr>
          <w:spacing w:val="-2"/>
          <w:w w:val="95"/>
        </w:rPr>
        <w:t xml:space="preserve"> </w:t>
      </w:r>
      <w:r>
        <w:rPr>
          <w:w w:val="95"/>
        </w:rPr>
        <w:t>for</w:t>
      </w:r>
      <w:r>
        <w:rPr>
          <w:spacing w:val="-2"/>
          <w:w w:val="95"/>
        </w:rPr>
        <w:t xml:space="preserve"> </w:t>
      </w:r>
      <w:r>
        <w:rPr>
          <w:w w:val="95"/>
        </w:rPr>
        <w:t xml:space="preserve">the </w:t>
      </w:r>
      <w:r>
        <w:t>wrong</w:t>
      </w:r>
      <w:r>
        <w:rPr>
          <w:spacing w:val="-11"/>
        </w:rPr>
        <w:t xml:space="preserve"> </w:t>
      </w:r>
      <w:r>
        <w:t>infrastructure.</w:t>
      </w:r>
    </w:p>
    <w:p w:rsidR="002C1123" w:rsidRDefault="00F22F94">
      <w:pPr>
        <w:pStyle w:val="BodyText"/>
        <w:spacing w:before="145" w:line="249" w:lineRule="auto"/>
        <w:ind w:left="191" w:right="87"/>
      </w:pPr>
      <w:r>
        <w:rPr>
          <w:w w:val="95"/>
        </w:rPr>
        <w:t>A</w:t>
      </w:r>
      <w:r>
        <w:rPr>
          <w:spacing w:val="-4"/>
          <w:w w:val="95"/>
        </w:rPr>
        <w:t xml:space="preserve"> </w:t>
      </w:r>
      <w:r>
        <w:rPr>
          <w:w w:val="95"/>
        </w:rPr>
        <w:t>broad</w:t>
      </w:r>
      <w:r>
        <w:rPr>
          <w:spacing w:val="-4"/>
          <w:w w:val="95"/>
        </w:rPr>
        <w:t xml:space="preserve"> </w:t>
      </w:r>
      <w:r>
        <w:rPr>
          <w:w w:val="95"/>
        </w:rPr>
        <w:t>range</w:t>
      </w:r>
      <w:r>
        <w:rPr>
          <w:spacing w:val="-4"/>
          <w:w w:val="95"/>
        </w:rPr>
        <w:t xml:space="preserve"> </w:t>
      </w:r>
      <w:r>
        <w:rPr>
          <w:w w:val="95"/>
        </w:rPr>
        <w:t>of</w:t>
      </w:r>
      <w:r>
        <w:rPr>
          <w:spacing w:val="-4"/>
          <w:w w:val="95"/>
        </w:rPr>
        <w:t xml:space="preserve"> </w:t>
      </w:r>
      <w:r>
        <w:rPr>
          <w:w w:val="95"/>
        </w:rPr>
        <w:t>hard</w:t>
      </w:r>
      <w:r>
        <w:rPr>
          <w:spacing w:val="-4"/>
          <w:w w:val="95"/>
        </w:rPr>
        <w:t xml:space="preserve"> </w:t>
      </w:r>
      <w:r>
        <w:rPr>
          <w:w w:val="95"/>
        </w:rPr>
        <w:t>and</w:t>
      </w:r>
      <w:r>
        <w:rPr>
          <w:spacing w:val="-4"/>
          <w:w w:val="95"/>
        </w:rPr>
        <w:t xml:space="preserve"> </w:t>
      </w:r>
      <w:r>
        <w:rPr>
          <w:w w:val="95"/>
        </w:rPr>
        <w:t>soft</w:t>
      </w:r>
      <w:r>
        <w:rPr>
          <w:spacing w:val="-4"/>
          <w:w w:val="95"/>
        </w:rPr>
        <w:t xml:space="preserve"> </w:t>
      </w:r>
      <w:r>
        <w:rPr>
          <w:w w:val="95"/>
        </w:rPr>
        <w:t>infrastructure</w:t>
      </w:r>
      <w:r>
        <w:rPr>
          <w:spacing w:val="-4"/>
          <w:w w:val="95"/>
        </w:rPr>
        <w:t xml:space="preserve"> </w:t>
      </w:r>
      <w:r>
        <w:rPr>
          <w:w w:val="95"/>
        </w:rPr>
        <w:t>is</w:t>
      </w:r>
      <w:r>
        <w:rPr>
          <w:spacing w:val="-4"/>
          <w:w w:val="95"/>
        </w:rPr>
        <w:t xml:space="preserve"> </w:t>
      </w:r>
      <w:r>
        <w:rPr>
          <w:w w:val="95"/>
        </w:rPr>
        <w:t xml:space="preserve">needed </w:t>
      </w:r>
      <w:r>
        <w:t>to</w:t>
      </w:r>
      <w:r>
        <w:rPr>
          <w:spacing w:val="-9"/>
        </w:rPr>
        <w:t xml:space="preserve"> </w:t>
      </w:r>
      <w:r>
        <w:t>support</w:t>
      </w:r>
      <w:r>
        <w:rPr>
          <w:spacing w:val="-9"/>
        </w:rPr>
        <w:t xml:space="preserve"> </w:t>
      </w:r>
      <w:r>
        <w:t>a</w:t>
      </w:r>
      <w:r>
        <w:rPr>
          <w:spacing w:val="-9"/>
        </w:rPr>
        <w:t xml:space="preserve"> </w:t>
      </w:r>
      <w:r>
        <w:t>growing</w:t>
      </w:r>
      <w:r>
        <w:rPr>
          <w:spacing w:val="-9"/>
        </w:rPr>
        <w:t xml:space="preserve"> </w:t>
      </w:r>
      <w:r>
        <w:t>innovative</w:t>
      </w:r>
      <w:r>
        <w:rPr>
          <w:spacing w:val="-9"/>
        </w:rPr>
        <w:t xml:space="preserve"> </w:t>
      </w:r>
      <w:r>
        <w:t>economy,</w:t>
      </w:r>
      <w:r>
        <w:rPr>
          <w:spacing w:val="-9"/>
        </w:rPr>
        <w:t xml:space="preserve"> </w:t>
      </w:r>
      <w:r>
        <w:t>such</w:t>
      </w:r>
      <w:r>
        <w:rPr>
          <w:spacing w:val="-9"/>
        </w:rPr>
        <w:t xml:space="preserve"> </w:t>
      </w:r>
      <w:r>
        <w:t xml:space="preserve">as </w:t>
      </w:r>
      <w:r>
        <w:rPr>
          <w:w w:val="95"/>
        </w:rPr>
        <w:t xml:space="preserve">world class broadband communications, investment in vocational and skills education, improved connectivity </w:t>
      </w:r>
      <w:r>
        <w:t>for</w:t>
      </w:r>
      <w:r>
        <w:rPr>
          <w:spacing w:val="-3"/>
        </w:rPr>
        <w:t xml:space="preserve"> </w:t>
      </w:r>
      <w:r>
        <w:t>export</w:t>
      </w:r>
      <w:r>
        <w:rPr>
          <w:spacing w:val="-3"/>
        </w:rPr>
        <w:t xml:space="preserve"> </w:t>
      </w:r>
      <w:r>
        <w:t>and</w:t>
      </w:r>
      <w:r>
        <w:rPr>
          <w:spacing w:val="-3"/>
        </w:rPr>
        <w:t xml:space="preserve"> </w:t>
      </w:r>
      <w:r>
        <w:t>import</w:t>
      </w:r>
      <w:r>
        <w:rPr>
          <w:spacing w:val="-3"/>
        </w:rPr>
        <w:t xml:space="preserve"> </w:t>
      </w:r>
      <w:r>
        <w:t>of</w:t>
      </w:r>
      <w:r>
        <w:rPr>
          <w:spacing w:val="-3"/>
        </w:rPr>
        <w:t xml:space="preserve"> </w:t>
      </w:r>
      <w:r>
        <w:t>skills.</w:t>
      </w:r>
      <w:r>
        <w:rPr>
          <w:spacing w:val="-3"/>
        </w:rPr>
        <w:t xml:space="preserve"> </w:t>
      </w:r>
      <w:r>
        <w:t>Automating</w:t>
      </w:r>
      <w:r>
        <w:rPr>
          <w:spacing w:val="-3"/>
        </w:rPr>
        <w:t xml:space="preserve"> </w:t>
      </w:r>
      <w:r>
        <w:t>“hard” infrastructure</w:t>
      </w:r>
      <w:r>
        <w:rPr>
          <w:spacing w:val="-12"/>
        </w:rPr>
        <w:t xml:space="preserve"> </w:t>
      </w:r>
      <w:r>
        <w:t>-</w:t>
      </w:r>
      <w:r>
        <w:rPr>
          <w:spacing w:val="-12"/>
        </w:rPr>
        <w:t xml:space="preserve"> </w:t>
      </w:r>
      <w:r>
        <w:t>roads,</w:t>
      </w:r>
      <w:r>
        <w:rPr>
          <w:spacing w:val="-12"/>
        </w:rPr>
        <w:t xml:space="preserve"> </w:t>
      </w:r>
      <w:r>
        <w:t>bridges,</w:t>
      </w:r>
      <w:r>
        <w:rPr>
          <w:spacing w:val="-12"/>
        </w:rPr>
        <w:t xml:space="preserve"> </w:t>
      </w:r>
      <w:r>
        <w:t>railways,</w:t>
      </w:r>
      <w:r>
        <w:rPr>
          <w:spacing w:val="-12"/>
        </w:rPr>
        <w:t xml:space="preserve"> </w:t>
      </w:r>
      <w:r>
        <w:t>electricity</w:t>
      </w:r>
    </w:p>
    <w:p w:rsidR="002C1123" w:rsidRDefault="00F22F94">
      <w:pPr>
        <w:pStyle w:val="BodyText"/>
        <w:spacing w:before="5" w:line="249" w:lineRule="auto"/>
        <w:ind w:left="191"/>
      </w:pPr>
      <w:r>
        <w:rPr>
          <w:w w:val="95"/>
        </w:rPr>
        <w:t>networks,</w:t>
      </w:r>
      <w:r>
        <w:rPr>
          <w:spacing w:val="-1"/>
          <w:w w:val="95"/>
        </w:rPr>
        <w:t xml:space="preserve"> </w:t>
      </w:r>
      <w:r>
        <w:rPr>
          <w:w w:val="95"/>
        </w:rPr>
        <w:t>hospitals</w:t>
      </w:r>
      <w:r>
        <w:rPr>
          <w:spacing w:val="-1"/>
          <w:w w:val="95"/>
        </w:rPr>
        <w:t xml:space="preserve"> </w:t>
      </w:r>
      <w:r>
        <w:rPr>
          <w:w w:val="95"/>
        </w:rPr>
        <w:t>and</w:t>
      </w:r>
      <w:r>
        <w:rPr>
          <w:spacing w:val="-1"/>
          <w:w w:val="95"/>
        </w:rPr>
        <w:t xml:space="preserve"> </w:t>
      </w:r>
      <w:r>
        <w:rPr>
          <w:w w:val="95"/>
        </w:rPr>
        <w:t>schools</w:t>
      </w:r>
      <w:r>
        <w:rPr>
          <w:spacing w:val="-1"/>
          <w:w w:val="95"/>
        </w:rPr>
        <w:t xml:space="preserve"> </w:t>
      </w:r>
      <w:r>
        <w:rPr>
          <w:w w:val="95"/>
        </w:rPr>
        <w:t>-</w:t>
      </w:r>
      <w:r>
        <w:rPr>
          <w:spacing w:val="-1"/>
          <w:w w:val="95"/>
        </w:rPr>
        <w:t xml:space="preserve"> </w:t>
      </w:r>
      <w:r>
        <w:rPr>
          <w:w w:val="95"/>
        </w:rPr>
        <w:t>can</w:t>
      </w:r>
      <w:r>
        <w:rPr>
          <w:spacing w:val="-1"/>
          <w:w w:val="95"/>
        </w:rPr>
        <w:t xml:space="preserve"> </w:t>
      </w:r>
      <w:r>
        <w:rPr>
          <w:w w:val="95"/>
        </w:rPr>
        <w:t>achieve</w:t>
      </w:r>
      <w:r>
        <w:rPr>
          <w:spacing w:val="-1"/>
          <w:w w:val="95"/>
        </w:rPr>
        <w:t xml:space="preserve"> </w:t>
      </w:r>
      <w:r>
        <w:rPr>
          <w:w w:val="95"/>
        </w:rPr>
        <w:t xml:space="preserve">significant </w:t>
      </w:r>
      <w:r>
        <w:t>productivity</w:t>
      </w:r>
      <w:r>
        <w:rPr>
          <w:spacing w:val="-10"/>
        </w:rPr>
        <w:t xml:space="preserve"> </w:t>
      </w:r>
      <w:r>
        <w:t>gains</w:t>
      </w:r>
      <w:r>
        <w:rPr>
          <w:spacing w:val="-10"/>
        </w:rPr>
        <w:t xml:space="preserve"> </w:t>
      </w:r>
      <w:r>
        <w:t>through</w:t>
      </w:r>
      <w:r>
        <w:rPr>
          <w:spacing w:val="-10"/>
        </w:rPr>
        <w:t xml:space="preserve"> </w:t>
      </w:r>
      <w:r>
        <w:t>the</w:t>
      </w:r>
      <w:r>
        <w:rPr>
          <w:spacing w:val="-10"/>
        </w:rPr>
        <w:t xml:space="preserve"> </w:t>
      </w:r>
      <w:r>
        <w:t>use</w:t>
      </w:r>
      <w:r>
        <w:rPr>
          <w:spacing w:val="-10"/>
        </w:rPr>
        <w:t xml:space="preserve"> </w:t>
      </w:r>
      <w:r>
        <w:t>of</w:t>
      </w:r>
      <w:r>
        <w:rPr>
          <w:spacing w:val="-10"/>
        </w:rPr>
        <w:t xml:space="preserve"> </w:t>
      </w:r>
      <w:r>
        <w:t>Information</w:t>
      </w:r>
      <w:r>
        <w:rPr>
          <w:spacing w:val="-10"/>
        </w:rPr>
        <w:t xml:space="preserve"> </w:t>
      </w:r>
      <w:r>
        <w:t xml:space="preserve">and </w:t>
      </w:r>
      <w:r>
        <w:rPr>
          <w:spacing w:val="-2"/>
        </w:rPr>
        <w:t>Communications</w:t>
      </w:r>
      <w:r>
        <w:rPr>
          <w:spacing w:val="-4"/>
        </w:rPr>
        <w:t xml:space="preserve"> </w:t>
      </w:r>
      <w:r>
        <w:rPr>
          <w:spacing w:val="-2"/>
        </w:rPr>
        <w:t>Technology</w:t>
      </w:r>
      <w:r>
        <w:rPr>
          <w:spacing w:val="-4"/>
        </w:rPr>
        <w:t xml:space="preserve"> </w:t>
      </w:r>
      <w:r>
        <w:rPr>
          <w:spacing w:val="-2"/>
        </w:rPr>
        <w:t>(ICT)</w:t>
      </w:r>
      <w:r>
        <w:rPr>
          <w:spacing w:val="-4"/>
        </w:rPr>
        <w:t xml:space="preserve"> </w:t>
      </w:r>
      <w:r>
        <w:rPr>
          <w:spacing w:val="-2"/>
        </w:rPr>
        <w:t>in</w:t>
      </w:r>
      <w:r>
        <w:rPr>
          <w:spacing w:val="-4"/>
        </w:rPr>
        <w:t xml:space="preserve"> </w:t>
      </w:r>
      <w:r>
        <w:rPr>
          <w:spacing w:val="-2"/>
        </w:rPr>
        <w:t xml:space="preserve">infrastructure </w:t>
      </w:r>
      <w:r>
        <w:t>design,</w:t>
      </w:r>
      <w:r>
        <w:rPr>
          <w:spacing w:val="-12"/>
        </w:rPr>
        <w:t xml:space="preserve"> </w:t>
      </w:r>
      <w:r>
        <w:t>operation</w:t>
      </w:r>
      <w:r>
        <w:rPr>
          <w:spacing w:val="-12"/>
        </w:rPr>
        <w:t xml:space="preserve"> </w:t>
      </w:r>
      <w:r>
        <w:t>and</w:t>
      </w:r>
      <w:r>
        <w:rPr>
          <w:spacing w:val="-12"/>
        </w:rPr>
        <w:t xml:space="preserve"> </w:t>
      </w:r>
      <w:r>
        <w:t>optimisation</w:t>
      </w:r>
      <w:r>
        <w:rPr>
          <w:position w:val="7"/>
          <w:sz w:val="11"/>
        </w:rPr>
        <w:t>17</w:t>
      </w:r>
      <w:r>
        <w:t>.</w:t>
      </w:r>
      <w:r>
        <w:rPr>
          <w:spacing w:val="-12"/>
        </w:rPr>
        <w:t xml:space="preserve"> </w:t>
      </w:r>
      <w:r>
        <w:t>A</w:t>
      </w:r>
      <w:r>
        <w:rPr>
          <w:spacing w:val="-12"/>
        </w:rPr>
        <w:t xml:space="preserve"> </w:t>
      </w:r>
      <w:r>
        <w:t>major</w:t>
      </w:r>
      <w:r>
        <w:rPr>
          <w:spacing w:val="-12"/>
        </w:rPr>
        <w:t xml:space="preserve"> </w:t>
      </w:r>
      <w:r>
        <w:t>study</w:t>
      </w:r>
    </w:p>
    <w:p w:rsidR="002C1123" w:rsidRDefault="00F22F94">
      <w:pPr>
        <w:pStyle w:val="BodyText"/>
        <w:spacing w:before="3" w:line="249" w:lineRule="auto"/>
        <w:ind w:left="191"/>
      </w:pPr>
      <w:r>
        <w:rPr>
          <w:w w:val="95"/>
        </w:rPr>
        <w:t>has</w:t>
      </w:r>
      <w:r>
        <w:rPr>
          <w:spacing w:val="-5"/>
          <w:w w:val="95"/>
        </w:rPr>
        <w:t xml:space="preserve"> </w:t>
      </w:r>
      <w:r>
        <w:rPr>
          <w:w w:val="95"/>
        </w:rPr>
        <w:t>found</w:t>
      </w:r>
      <w:r>
        <w:rPr>
          <w:spacing w:val="-5"/>
          <w:w w:val="95"/>
        </w:rPr>
        <w:t xml:space="preserve"> </w:t>
      </w:r>
      <w:r>
        <w:rPr>
          <w:w w:val="95"/>
        </w:rPr>
        <w:t>that</w:t>
      </w:r>
      <w:r>
        <w:rPr>
          <w:spacing w:val="-5"/>
          <w:w w:val="95"/>
        </w:rPr>
        <w:t xml:space="preserve"> </w:t>
      </w:r>
      <w:r>
        <w:rPr>
          <w:w w:val="95"/>
        </w:rPr>
        <w:t>this</w:t>
      </w:r>
      <w:r>
        <w:rPr>
          <w:spacing w:val="-5"/>
          <w:w w:val="95"/>
        </w:rPr>
        <w:t xml:space="preserve"> </w:t>
      </w:r>
      <w:r>
        <w:rPr>
          <w:w w:val="95"/>
        </w:rPr>
        <w:t>could</w:t>
      </w:r>
      <w:r>
        <w:rPr>
          <w:spacing w:val="-5"/>
          <w:w w:val="95"/>
        </w:rPr>
        <w:t xml:space="preserve"> </w:t>
      </w:r>
      <w:r>
        <w:rPr>
          <w:w w:val="95"/>
        </w:rPr>
        <w:t>improve</w:t>
      </w:r>
      <w:r>
        <w:rPr>
          <w:spacing w:val="-5"/>
          <w:w w:val="95"/>
        </w:rPr>
        <w:t xml:space="preserve"> </w:t>
      </w:r>
      <w:r>
        <w:rPr>
          <w:w w:val="95"/>
        </w:rPr>
        <w:t>existing</w:t>
      </w:r>
      <w:r>
        <w:rPr>
          <w:spacing w:val="-5"/>
          <w:w w:val="95"/>
        </w:rPr>
        <w:t xml:space="preserve"> </w:t>
      </w:r>
      <w:r>
        <w:rPr>
          <w:w w:val="95"/>
        </w:rPr>
        <w:t xml:space="preserve">infrastructure performance (lowering operation costs and increasing </w:t>
      </w:r>
      <w:r>
        <w:t>capital</w:t>
      </w:r>
      <w:r>
        <w:rPr>
          <w:spacing w:val="-4"/>
        </w:rPr>
        <w:t xml:space="preserve"> </w:t>
      </w:r>
      <w:r>
        <w:t>utilisation)</w:t>
      </w:r>
      <w:r>
        <w:rPr>
          <w:spacing w:val="-4"/>
        </w:rPr>
        <w:t xml:space="preserve"> </w:t>
      </w:r>
      <w:r>
        <w:t>by</w:t>
      </w:r>
      <w:r>
        <w:rPr>
          <w:spacing w:val="-4"/>
        </w:rPr>
        <w:t xml:space="preserve"> </w:t>
      </w:r>
      <w:r>
        <w:t>15</w:t>
      </w:r>
      <w:r>
        <w:rPr>
          <w:spacing w:val="-4"/>
        </w:rPr>
        <w:t xml:space="preserve"> </w:t>
      </w:r>
      <w:r>
        <w:t>percent</w:t>
      </w:r>
      <w:r>
        <w:rPr>
          <w:position w:val="7"/>
          <w:sz w:val="11"/>
        </w:rPr>
        <w:t>18</w:t>
      </w:r>
      <w:r>
        <w:t>.</w:t>
      </w:r>
    </w:p>
    <w:p w:rsidR="002C1123" w:rsidRDefault="00F22F94">
      <w:pPr>
        <w:pStyle w:val="BodyText"/>
        <w:spacing w:before="144" w:line="249" w:lineRule="auto"/>
        <w:ind w:left="191"/>
      </w:pPr>
      <w:r>
        <w:t>The</w:t>
      </w:r>
      <w:r>
        <w:rPr>
          <w:spacing w:val="-12"/>
        </w:rPr>
        <w:t xml:space="preserve"> </w:t>
      </w:r>
      <w:r>
        <w:t>NSW</w:t>
      </w:r>
      <w:r>
        <w:rPr>
          <w:spacing w:val="-12"/>
        </w:rPr>
        <w:t xml:space="preserve"> </w:t>
      </w:r>
      <w:r>
        <w:t>Government</w:t>
      </w:r>
      <w:r>
        <w:rPr>
          <w:spacing w:val="-12"/>
        </w:rPr>
        <w:t xml:space="preserve"> </w:t>
      </w:r>
      <w:r>
        <w:t>has</w:t>
      </w:r>
      <w:r>
        <w:rPr>
          <w:spacing w:val="-12"/>
        </w:rPr>
        <w:t xml:space="preserve"> </w:t>
      </w:r>
      <w:r>
        <w:t>put</w:t>
      </w:r>
      <w:r>
        <w:rPr>
          <w:spacing w:val="-12"/>
        </w:rPr>
        <w:t xml:space="preserve"> </w:t>
      </w:r>
      <w:r>
        <w:t>in</w:t>
      </w:r>
      <w:r>
        <w:rPr>
          <w:spacing w:val="-12"/>
        </w:rPr>
        <w:t xml:space="preserve"> </w:t>
      </w:r>
      <w:r>
        <w:t>place</w:t>
      </w:r>
      <w:r>
        <w:rPr>
          <w:spacing w:val="-12"/>
        </w:rPr>
        <w:t xml:space="preserve"> </w:t>
      </w:r>
      <w:r>
        <w:t>some</w:t>
      </w:r>
      <w:r>
        <w:rPr>
          <w:spacing w:val="-12"/>
        </w:rPr>
        <w:t xml:space="preserve"> </w:t>
      </w:r>
      <w:r>
        <w:t>of</w:t>
      </w:r>
      <w:r>
        <w:rPr>
          <w:spacing w:val="-12"/>
        </w:rPr>
        <w:t xml:space="preserve"> </w:t>
      </w:r>
      <w:r>
        <w:t>the ‘building</w:t>
      </w:r>
      <w:r>
        <w:rPr>
          <w:spacing w:val="-13"/>
        </w:rPr>
        <w:t xml:space="preserve"> </w:t>
      </w:r>
      <w:r>
        <w:t>blocks’</w:t>
      </w:r>
      <w:r>
        <w:rPr>
          <w:spacing w:val="-13"/>
        </w:rPr>
        <w:t xml:space="preserve"> </w:t>
      </w:r>
      <w:r>
        <w:t>for</w:t>
      </w:r>
      <w:r>
        <w:rPr>
          <w:spacing w:val="-13"/>
        </w:rPr>
        <w:t xml:space="preserve"> </w:t>
      </w:r>
      <w:r>
        <w:t>ensuring</w:t>
      </w:r>
      <w:r>
        <w:rPr>
          <w:spacing w:val="-13"/>
        </w:rPr>
        <w:t xml:space="preserve"> </w:t>
      </w:r>
      <w:r>
        <w:t>that</w:t>
      </w:r>
      <w:r>
        <w:rPr>
          <w:spacing w:val="-13"/>
        </w:rPr>
        <w:t xml:space="preserve"> </w:t>
      </w:r>
      <w:r>
        <w:t>NSW</w:t>
      </w:r>
      <w:r>
        <w:rPr>
          <w:spacing w:val="-13"/>
        </w:rPr>
        <w:t xml:space="preserve"> </w:t>
      </w:r>
      <w:r>
        <w:t>industries</w:t>
      </w:r>
      <w:r>
        <w:rPr>
          <w:spacing w:val="-13"/>
        </w:rPr>
        <w:t xml:space="preserve"> </w:t>
      </w:r>
      <w:r>
        <w:t>and the</w:t>
      </w:r>
      <w:r>
        <w:rPr>
          <w:spacing w:val="-9"/>
        </w:rPr>
        <w:t xml:space="preserve"> </w:t>
      </w:r>
      <w:r>
        <w:t>Government</w:t>
      </w:r>
      <w:r>
        <w:rPr>
          <w:spacing w:val="-9"/>
        </w:rPr>
        <w:t xml:space="preserve"> </w:t>
      </w:r>
      <w:r>
        <w:t>sector</w:t>
      </w:r>
      <w:r>
        <w:rPr>
          <w:spacing w:val="-9"/>
        </w:rPr>
        <w:t xml:space="preserve"> </w:t>
      </w:r>
      <w:r>
        <w:t>are</w:t>
      </w:r>
      <w:r>
        <w:rPr>
          <w:spacing w:val="-9"/>
        </w:rPr>
        <w:t xml:space="preserve"> </w:t>
      </w:r>
      <w:r>
        <w:t>well</w:t>
      </w:r>
      <w:r>
        <w:rPr>
          <w:spacing w:val="-9"/>
        </w:rPr>
        <w:t xml:space="preserve"> </w:t>
      </w:r>
      <w:r>
        <w:t>placed</w:t>
      </w:r>
      <w:r>
        <w:rPr>
          <w:spacing w:val="-9"/>
        </w:rPr>
        <w:t xml:space="preserve"> </w:t>
      </w:r>
      <w:r>
        <w:t>to</w:t>
      </w:r>
      <w:r>
        <w:rPr>
          <w:spacing w:val="-9"/>
        </w:rPr>
        <w:t xml:space="preserve"> </w:t>
      </w:r>
      <w:r>
        <w:t xml:space="preserve">embrace </w:t>
      </w:r>
      <w:r>
        <w:rPr>
          <w:w w:val="95"/>
        </w:rPr>
        <w:t>these</w:t>
      </w:r>
      <w:r>
        <w:rPr>
          <w:spacing w:val="-9"/>
          <w:w w:val="95"/>
        </w:rPr>
        <w:t xml:space="preserve"> </w:t>
      </w:r>
      <w:r>
        <w:rPr>
          <w:w w:val="95"/>
        </w:rPr>
        <w:t>changes,</w:t>
      </w:r>
      <w:r>
        <w:rPr>
          <w:spacing w:val="-9"/>
          <w:w w:val="95"/>
        </w:rPr>
        <w:t xml:space="preserve"> </w:t>
      </w:r>
      <w:r>
        <w:rPr>
          <w:w w:val="95"/>
        </w:rPr>
        <w:t>(including</w:t>
      </w:r>
      <w:r>
        <w:rPr>
          <w:spacing w:val="-9"/>
          <w:w w:val="95"/>
        </w:rPr>
        <w:t xml:space="preserve"> </w:t>
      </w:r>
      <w:r>
        <w:rPr>
          <w:w w:val="95"/>
        </w:rPr>
        <w:t>ICT</w:t>
      </w:r>
      <w:r>
        <w:rPr>
          <w:spacing w:val="-9"/>
          <w:w w:val="95"/>
        </w:rPr>
        <w:t xml:space="preserve"> </w:t>
      </w:r>
      <w:r>
        <w:rPr>
          <w:w w:val="95"/>
        </w:rPr>
        <w:t>and</w:t>
      </w:r>
      <w:r>
        <w:rPr>
          <w:spacing w:val="-9"/>
          <w:w w:val="95"/>
        </w:rPr>
        <w:t xml:space="preserve"> </w:t>
      </w:r>
      <w:r>
        <w:rPr>
          <w:w w:val="95"/>
        </w:rPr>
        <w:t xml:space="preserve">Telecommunications </w:t>
      </w:r>
      <w:r>
        <w:t>Boards),</w:t>
      </w:r>
      <w:r>
        <w:rPr>
          <w:spacing w:val="-6"/>
        </w:rPr>
        <w:t xml:space="preserve"> </w:t>
      </w:r>
      <w:r>
        <w:t>and</w:t>
      </w:r>
      <w:r>
        <w:rPr>
          <w:spacing w:val="-6"/>
        </w:rPr>
        <w:t xml:space="preserve"> </w:t>
      </w:r>
      <w:r>
        <w:t>supporting</w:t>
      </w:r>
      <w:r>
        <w:rPr>
          <w:spacing w:val="-6"/>
        </w:rPr>
        <w:t xml:space="preserve"> </w:t>
      </w:r>
      <w:r>
        <w:t>the</w:t>
      </w:r>
      <w:r>
        <w:rPr>
          <w:spacing w:val="-6"/>
        </w:rPr>
        <w:t xml:space="preserve"> </w:t>
      </w:r>
      <w:r>
        <w:t>growth</w:t>
      </w:r>
      <w:r>
        <w:rPr>
          <w:spacing w:val="-6"/>
        </w:rPr>
        <w:t xml:space="preserve"> </w:t>
      </w:r>
      <w:r>
        <w:t>of</w:t>
      </w:r>
      <w:r>
        <w:rPr>
          <w:spacing w:val="-6"/>
        </w:rPr>
        <w:t xml:space="preserve"> </w:t>
      </w:r>
      <w:r>
        <w:t>the</w:t>
      </w:r>
      <w:r>
        <w:rPr>
          <w:spacing w:val="-6"/>
        </w:rPr>
        <w:t xml:space="preserve"> </w:t>
      </w:r>
      <w:r>
        <w:t>digital economy</w:t>
      </w:r>
      <w:r>
        <w:rPr>
          <w:spacing w:val="-3"/>
        </w:rPr>
        <w:t xml:space="preserve"> </w:t>
      </w:r>
      <w:r>
        <w:t>through</w:t>
      </w:r>
      <w:r>
        <w:rPr>
          <w:spacing w:val="-3"/>
        </w:rPr>
        <w:t xml:space="preserve"> </w:t>
      </w:r>
      <w:r>
        <w:t>industry</w:t>
      </w:r>
      <w:r>
        <w:rPr>
          <w:spacing w:val="-3"/>
        </w:rPr>
        <w:t xml:space="preserve"> </w:t>
      </w:r>
      <w:r>
        <w:t>action</w:t>
      </w:r>
      <w:r>
        <w:rPr>
          <w:spacing w:val="-3"/>
        </w:rPr>
        <w:t xml:space="preserve"> </w:t>
      </w:r>
      <w:r>
        <w:t>plans</w:t>
      </w:r>
      <w:r>
        <w:rPr>
          <w:spacing w:val="-3"/>
        </w:rPr>
        <w:t xml:space="preserve"> </w:t>
      </w:r>
      <w:r>
        <w:t>and</w:t>
      </w:r>
      <w:r>
        <w:rPr>
          <w:spacing w:val="-3"/>
        </w:rPr>
        <w:t xml:space="preserve"> </w:t>
      </w:r>
      <w:r>
        <w:t>the establishment</w:t>
      </w:r>
      <w:r>
        <w:rPr>
          <w:spacing w:val="-14"/>
        </w:rPr>
        <w:t xml:space="preserve"> </w:t>
      </w:r>
      <w:r>
        <w:t>of</w:t>
      </w:r>
      <w:r>
        <w:rPr>
          <w:spacing w:val="-14"/>
        </w:rPr>
        <w:t xml:space="preserve"> </w:t>
      </w:r>
      <w:r>
        <w:t>a</w:t>
      </w:r>
      <w:r>
        <w:rPr>
          <w:spacing w:val="-14"/>
        </w:rPr>
        <w:t xml:space="preserve"> </w:t>
      </w:r>
      <w:r>
        <w:t>Digital</w:t>
      </w:r>
      <w:r>
        <w:rPr>
          <w:spacing w:val="-14"/>
        </w:rPr>
        <w:t xml:space="preserve"> </w:t>
      </w:r>
      <w:r>
        <w:t>Precinct</w:t>
      </w:r>
      <w:r>
        <w:rPr>
          <w:spacing w:val="-14"/>
        </w:rPr>
        <w:t xml:space="preserve"> </w:t>
      </w:r>
      <w:r>
        <w:t>in</w:t>
      </w:r>
      <w:r>
        <w:rPr>
          <w:spacing w:val="-14"/>
        </w:rPr>
        <w:t xml:space="preserve"> </w:t>
      </w:r>
      <w:r>
        <w:t>Sydney.</w:t>
      </w:r>
    </w:p>
    <w:p w:rsidR="002C1123" w:rsidRDefault="00F22F94">
      <w:pPr>
        <w:pStyle w:val="BodyText"/>
        <w:spacing w:before="106" w:line="249" w:lineRule="auto"/>
        <w:ind w:left="187" w:right="769"/>
      </w:pPr>
      <w:r>
        <w:br w:type="column"/>
      </w:r>
      <w:r>
        <w:t>It</w:t>
      </w:r>
      <w:r>
        <w:rPr>
          <w:spacing w:val="-8"/>
        </w:rPr>
        <w:t xml:space="preserve"> </w:t>
      </w:r>
      <w:r>
        <w:t>is</w:t>
      </w:r>
      <w:r>
        <w:rPr>
          <w:spacing w:val="-8"/>
        </w:rPr>
        <w:t xml:space="preserve"> </w:t>
      </w:r>
      <w:r>
        <w:t>hard</w:t>
      </w:r>
      <w:r>
        <w:rPr>
          <w:spacing w:val="-8"/>
        </w:rPr>
        <w:t xml:space="preserve"> </w:t>
      </w:r>
      <w:r>
        <w:t>to</w:t>
      </w:r>
      <w:r>
        <w:rPr>
          <w:spacing w:val="-8"/>
        </w:rPr>
        <w:t xml:space="preserve"> </w:t>
      </w:r>
      <w:r>
        <w:t>predict</w:t>
      </w:r>
      <w:r>
        <w:rPr>
          <w:spacing w:val="-8"/>
        </w:rPr>
        <w:t xml:space="preserve"> </w:t>
      </w:r>
      <w:r>
        <w:t>how</w:t>
      </w:r>
      <w:r>
        <w:rPr>
          <w:spacing w:val="-8"/>
        </w:rPr>
        <w:t xml:space="preserve"> </w:t>
      </w:r>
      <w:r>
        <w:t>these</w:t>
      </w:r>
      <w:r>
        <w:rPr>
          <w:spacing w:val="-8"/>
        </w:rPr>
        <w:t xml:space="preserve"> </w:t>
      </w:r>
      <w:r>
        <w:t>new</w:t>
      </w:r>
      <w:r>
        <w:rPr>
          <w:spacing w:val="-8"/>
        </w:rPr>
        <w:t xml:space="preserve"> </w:t>
      </w:r>
      <w:r>
        <w:t>and</w:t>
      </w:r>
      <w:r>
        <w:rPr>
          <w:spacing w:val="-8"/>
        </w:rPr>
        <w:t xml:space="preserve"> </w:t>
      </w:r>
      <w:r>
        <w:t>emerging technologies</w:t>
      </w:r>
      <w:r>
        <w:rPr>
          <w:spacing w:val="-14"/>
        </w:rPr>
        <w:t xml:space="preserve"> </w:t>
      </w:r>
      <w:r>
        <w:t>(and</w:t>
      </w:r>
      <w:r>
        <w:rPr>
          <w:spacing w:val="-14"/>
        </w:rPr>
        <w:t xml:space="preserve"> </w:t>
      </w:r>
      <w:r>
        <w:t>reactions</w:t>
      </w:r>
      <w:r>
        <w:rPr>
          <w:spacing w:val="-14"/>
        </w:rPr>
        <w:t xml:space="preserve"> </w:t>
      </w:r>
      <w:r>
        <w:t>to</w:t>
      </w:r>
      <w:r>
        <w:rPr>
          <w:spacing w:val="-14"/>
        </w:rPr>
        <w:t xml:space="preserve"> </w:t>
      </w:r>
      <w:r>
        <w:t>them)</w:t>
      </w:r>
      <w:r>
        <w:rPr>
          <w:spacing w:val="-14"/>
        </w:rPr>
        <w:t xml:space="preserve"> </w:t>
      </w:r>
      <w:r>
        <w:t>will</w:t>
      </w:r>
      <w:r>
        <w:rPr>
          <w:spacing w:val="-14"/>
        </w:rPr>
        <w:t xml:space="preserve"> </w:t>
      </w:r>
      <w:r>
        <w:t>change infrastructure</w:t>
      </w:r>
      <w:r>
        <w:rPr>
          <w:spacing w:val="-14"/>
        </w:rPr>
        <w:t xml:space="preserve"> </w:t>
      </w:r>
      <w:r>
        <w:t>demand.</w:t>
      </w:r>
      <w:r>
        <w:rPr>
          <w:spacing w:val="-14"/>
        </w:rPr>
        <w:t xml:space="preserve"> </w:t>
      </w:r>
      <w:r>
        <w:t>Therefore</w:t>
      </w:r>
      <w:r>
        <w:rPr>
          <w:spacing w:val="-14"/>
        </w:rPr>
        <w:t xml:space="preserve"> </w:t>
      </w:r>
      <w:r>
        <w:t>the</w:t>
      </w:r>
      <w:r>
        <w:rPr>
          <w:spacing w:val="-14"/>
        </w:rPr>
        <w:t xml:space="preserve"> </w:t>
      </w:r>
      <w:r>
        <w:t>Strategy</w:t>
      </w:r>
      <w:r>
        <w:rPr>
          <w:spacing w:val="-14"/>
        </w:rPr>
        <w:t xml:space="preserve"> </w:t>
      </w:r>
      <w:r>
        <w:t xml:space="preserve">has </w:t>
      </w:r>
      <w:r>
        <w:rPr>
          <w:w w:val="95"/>
        </w:rPr>
        <w:t xml:space="preserve">prioritised those ‘no-regret’ options that will be required </w:t>
      </w:r>
      <w:r>
        <w:t>in</w:t>
      </w:r>
      <w:r>
        <w:rPr>
          <w:spacing w:val="-14"/>
        </w:rPr>
        <w:t xml:space="preserve"> </w:t>
      </w:r>
      <w:r>
        <w:t>all</w:t>
      </w:r>
      <w:r>
        <w:rPr>
          <w:spacing w:val="-14"/>
        </w:rPr>
        <w:t xml:space="preserve"> </w:t>
      </w:r>
      <w:r>
        <w:t>likely</w:t>
      </w:r>
      <w:r>
        <w:rPr>
          <w:spacing w:val="-14"/>
        </w:rPr>
        <w:t xml:space="preserve"> </w:t>
      </w:r>
      <w:r>
        <w:t>demand</w:t>
      </w:r>
      <w:r>
        <w:rPr>
          <w:spacing w:val="-14"/>
        </w:rPr>
        <w:t xml:space="preserve"> </w:t>
      </w:r>
      <w:r>
        <w:t>scenarios.</w:t>
      </w:r>
      <w:r>
        <w:rPr>
          <w:spacing w:val="-14"/>
        </w:rPr>
        <w:t xml:space="preserve"> </w:t>
      </w:r>
      <w:r>
        <w:t>The</w:t>
      </w:r>
      <w:r>
        <w:rPr>
          <w:spacing w:val="-14"/>
        </w:rPr>
        <w:t xml:space="preserve"> </w:t>
      </w:r>
      <w:r>
        <w:t>strategy</w:t>
      </w:r>
      <w:r>
        <w:rPr>
          <w:spacing w:val="-14"/>
        </w:rPr>
        <w:t xml:space="preserve"> </w:t>
      </w:r>
      <w:r>
        <w:t>takes</w:t>
      </w:r>
      <w:r>
        <w:rPr>
          <w:spacing w:val="-14"/>
        </w:rPr>
        <w:t xml:space="preserve"> </w:t>
      </w:r>
      <w:r>
        <w:t xml:space="preserve">an </w:t>
      </w:r>
      <w:r>
        <w:rPr>
          <w:w w:val="95"/>
        </w:rPr>
        <w:t xml:space="preserve">incremental approach and prefers the high value, small projects over mega projects which would be exposed to </w:t>
      </w:r>
      <w:r>
        <w:t>higher technology risks.</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288" w:space="40"/>
            <w:col w:w="4991" w:space="39"/>
            <w:col w:w="5702"/>
          </w:cols>
        </w:sectPr>
      </w:pPr>
    </w:p>
    <w:p w:rsidR="002C1123" w:rsidRDefault="002C1123">
      <w:pPr>
        <w:pStyle w:val="BodyText"/>
        <w:spacing w:before="4"/>
        <w:rPr>
          <w:sz w:val="28"/>
        </w:rPr>
      </w:pPr>
    </w:p>
    <w:p w:rsidR="002C1123" w:rsidRDefault="002060EF">
      <w:pPr>
        <w:pStyle w:val="BodyText"/>
        <w:spacing w:line="20" w:lineRule="exact"/>
        <w:ind w:left="5518"/>
        <w:rPr>
          <w:sz w:val="2"/>
        </w:rPr>
      </w:pPr>
      <w:r>
        <w:rPr>
          <w:sz w:val="2"/>
        </w:rPr>
      </w:r>
      <w:r>
        <w:rPr>
          <w:sz w:val="2"/>
        </w:rPr>
        <w:pict>
          <v:group id="docshapegroup376" o:spid="_x0000_s4933" style="width:1in;height:.5pt;mso-position-horizontal-relative:char;mso-position-vertical-relative:line" coordsize="1440,10">
            <v:line id="_x0000_s4934" style="position:absolute" from="0,5" to="1440,5" strokecolor="#9c9c9d" strokeweight=".5pt"/>
            <w10:anchorlock/>
          </v:group>
        </w:pict>
      </w:r>
    </w:p>
    <w:p w:rsidR="002C1123" w:rsidRDefault="002C1123">
      <w:pPr>
        <w:spacing w:line="20" w:lineRule="exact"/>
        <w:rPr>
          <w:sz w:val="2"/>
        </w:rPr>
        <w:sectPr w:rsidR="002C1123">
          <w:type w:val="continuous"/>
          <w:pgSz w:w="16840" w:h="11910" w:orient="landscape"/>
          <w:pgMar w:top="560" w:right="280" w:bottom="280" w:left="500" w:header="0" w:footer="517" w:gutter="0"/>
          <w:cols w:space="720"/>
        </w:sectPr>
      </w:pPr>
    </w:p>
    <w:p w:rsidR="002C1123" w:rsidRDefault="002C1123">
      <w:pPr>
        <w:pStyle w:val="BodyText"/>
      </w:pPr>
    </w:p>
    <w:p w:rsidR="002C1123" w:rsidRDefault="002C1123">
      <w:pPr>
        <w:pStyle w:val="BodyText"/>
      </w:pPr>
    </w:p>
    <w:p w:rsidR="002C1123" w:rsidRDefault="002060EF">
      <w:pPr>
        <w:pStyle w:val="BodyText"/>
        <w:spacing w:line="20" w:lineRule="exact"/>
        <w:ind w:left="492"/>
        <w:rPr>
          <w:sz w:val="2"/>
        </w:rPr>
      </w:pPr>
      <w:r>
        <w:rPr>
          <w:sz w:val="2"/>
        </w:rPr>
      </w:r>
      <w:r>
        <w:rPr>
          <w:sz w:val="2"/>
        </w:rPr>
        <w:pict>
          <v:group id="docshapegroup377" o:spid="_x0000_s4931" style="width:1in;height:.5pt;mso-position-horizontal-relative:char;mso-position-vertical-relative:line" coordsize="1440,10">
            <v:line id="_x0000_s4932" style="position:absolute" from="0,5" to="1440,5" strokecolor="#9c9c9d" strokeweight=".5pt"/>
            <w10:anchorlock/>
          </v:group>
        </w:pict>
      </w:r>
    </w:p>
    <w:p w:rsidR="002C1123" w:rsidRDefault="00F22F94">
      <w:pPr>
        <w:pStyle w:val="ListParagraph"/>
        <w:numPr>
          <w:ilvl w:val="0"/>
          <w:numId w:val="159"/>
        </w:numPr>
        <w:tabs>
          <w:tab w:val="left" w:pos="691"/>
        </w:tabs>
        <w:spacing w:before="8"/>
        <w:ind w:left="690" w:right="38" w:hanging="199"/>
        <w:jc w:val="left"/>
        <w:rPr>
          <w:sz w:val="14"/>
        </w:rPr>
      </w:pPr>
      <w:r>
        <w:rPr>
          <w:w w:val="95"/>
          <w:sz w:val="14"/>
        </w:rPr>
        <w:t>Deloitte Access Economics, quoted by Australian Associated Press</w:t>
      </w:r>
      <w:r>
        <w:rPr>
          <w:spacing w:val="40"/>
          <w:sz w:val="14"/>
        </w:rPr>
        <w:t xml:space="preserve"> </w:t>
      </w:r>
      <w:r>
        <w:rPr>
          <w:sz w:val="14"/>
        </w:rPr>
        <w:t>31 August 2012.</w:t>
      </w:r>
    </w:p>
    <w:p w:rsidR="002C1123" w:rsidRDefault="00F22F94">
      <w:pPr>
        <w:pStyle w:val="ListParagraph"/>
        <w:numPr>
          <w:ilvl w:val="0"/>
          <w:numId w:val="159"/>
        </w:numPr>
        <w:tabs>
          <w:tab w:val="left" w:pos="691"/>
        </w:tabs>
        <w:spacing w:before="8" w:line="161" w:lineRule="exact"/>
        <w:ind w:left="690" w:hanging="199"/>
        <w:jc w:val="left"/>
        <w:rPr>
          <w:sz w:val="14"/>
        </w:rPr>
      </w:pPr>
      <w:r>
        <w:br w:type="column"/>
      </w:r>
      <w:r>
        <w:rPr>
          <w:w w:val="95"/>
          <w:sz w:val="14"/>
        </w:rPr>
        <w:t>Cisco</w:t>
      </w:r>
      <w:r>
        <w:rPr>
          <w:spacing w:val="2"/>
          <w:sz w:val="14"/>
        </w:rPr>
        <w:t xml:space="preserve"> </w:t>
      </w:r>
      <w:r>
        <w:rPr>
          <w:w w:val="95"/>
          <w:sz w:val="14"/>
        </w:rPr>
        <w:t>Systems</w:t>
      </w:r>
      <w:r>
        <w:rPr>
          <w:spacing w:val="3"/>
          <w:sz w:val="14"/>
        </w:rPr>
        <w:t xml:space="preserve"> </w:t>
      </w:r>
      <w:r>
        <w:rPr>
          <w:w w:val="95"/>
          <w:sz w:val="14"/>
        </w:rPr>
        <w:t>2012,</w:t>
      </w:r>
      <w:r>
        <w:rPr>
          <w:spacing w:val="3"/>
          <w:sz w:val="14"/>
        </w:rPr>
        <w:t xml:space="preserve"> </w:t>
      </w:r>
      <w:r>
        <w:rPr>
          <w:w w:val="95"/>
          <w:sz w:val="14"/>
        </w:rPr>
        <w:t>Report</w:t>
      </w:r>
      <w:r>
        <w:rPr>
          <w:spacing w:val="3"/>
          <w:sz w:val="14"/>
        </w:rPr>
        <w:t xml:space="preserve"> </w:t>
      </w:r>
      <w:r>
        <w:rPr>
          <w:w w:val="95"/>
          <w:sz w:val="14"/>
        </w:rPr>
        <w:t>to</w:t>
      </w:r>
      <w:r>
        <w:rPr>
          <w:spacing w:val="2"/>
          <w:sz w:val="14"/>
        </w:rPr>
        <w:t xml:space="preserve"> </w:t>
      </w:r>
      <w:r>
        <w:rPr>
          <w:w w:val="95"/>
          <w:sz w:val="14"/>
        </w:rPr>
        <w:t>Infrastructure</w:t>
      </w:r>
      <w:r>
        <w:rPr>
          <w:spacing w:val="3"/>
          <w:sz w:val="14"/>
        </w:rPr>
        <w:t xml:space="preserve"> </w:t>
      </w:r>
      <w:r>
        <w:rPr>
          <w:spacing w:val="-4"/>
          <w:w w:val="95"/>
          <w:sz w:val="14"/>
        </w:rPr>
        <w:t>NSW.</w:t>
      </w:r>
    </w:p>
    <w:p w:rsidR="002C1123" w:rsidRDefault="00F22F94">
      <w:pPr>
        <w:pStyle w:val="ListParagraph"/>
        <w:numPr>
          <w:ilvl w:val="0"/>
          <w:numId w:val="159"/>
        </w:numPr>
        <w:tabs>
          <w:tab w:val="left" w:pos="691"/>
        </w:tabs>
        <w:ind w:left="690" w:right="6139" w:hanging="199"/>
        <w:jc w:val="left"/>
        <w:rPr>
          <w:sz w:val="14"/>
        </w:rPr>
      </w:pPr>
      <w:r>
        <w:rPr>
          <w:w w:val="95"/>
          <w:sz w:val="14"/>
        </w:rPr>
        <w:t>Digital Economy Industry Taskforce 2012, NSW Digital Economy Draft</w:t>
      </w:r>
      <w:r>
        <w:rPr>
          <w:spacing w:val="40"/>
          <w:sz w:val="14"/>
        </w:rPr>
        <w:t xml:space="preserve"> </w:t>
      </w:r>
      <w:r>
        <w:rPr>
          <w:sz w:val="14"/>
        </w:rPr>
        <w:t>Industry Action Plan.</w:t>
      </w:r>
    </w:p>
    <w:p w:rsidR="002C1123" w:rsidRDefault="00F22F94">
      <w:pPr>
        <w:pStyle w:val="ListParagraph"/>
        <w:numPr>
          <w:ilvl w:val="0"/>
          <w:numId w:val="159"/>
        </w:numPr>
        <w:tabs>
          <w:tab w:val="left" w:pos="691"/>
        </w:tabs>
        <w:ind w:left="690" w:right="5868" w:hanging="199"/>
        <w:jc w:val="left"/>
        <w:rPr>
          <w:sz w:val="14"/>
        </w:rPr>
      </w:pPr>
      <w:r>
        <w:rPr>
          <w:w w:val="95"/>
          <w:sz w:val="14"/>
        </w:rPr>
        <w:t>The Climate group 2008, SMART 2020: Enabling the low carbon economy</w:t>
      </w:r>
      <w:r>
        <w:rPr>
          <w:spacing w:val="40"/>
          <w:sz w:val="14"/>
        </w:rPr>
        <w:t xml:space="preserve"> </w:t>
      </w:r>
      <w:r>
        <w:rPr>
          <w:sz w:val="14"/>
        </w:rPr>
        <w:t>in the information age.</w:t>
      </w:r>
    </w:p>
    <w:p w:rsidR="002C1123" w:rsidRDefault="002C1123">
      <w:pPr>
        <w:rPr>
          <w:sz w:val="14"/>
        </w:rPr>
        <w:sectPr w:rsidR="002C1123">
          <w:type w:val="continuous"/>
          <w:pgSz w:w="16840" w:h="11910" w:orient="landscape"/>
          <w:pgMar w:top="560" w:right="280" w:bottom="280" w:left="500" w:header="0" w:footer="517" w:gutter="0"/>
          <w:cols w:num="2" w:space="720" w:equalWidth="0">
            <w:col w:w="4798" w:space="228"/>
            <w:col w:w="11034"/>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7"/>
        </w:rPr>
      </w:pPr>
    </w:p>
    <w:p w:rsidR="002C1123" w:rsidRDefault="002C1123">
      <w:pPr>
        <w:rPr>
          <w:sz w:val="17"/>
        </w:rPr>
        <w:sectPr w:rsidR="002C1123">
          <w:pgSz w:w="16840" w:h="11910" w:orient="landscape"/>
          <w:pgMar w:top="560" w:right="280" w:bottom="700" w:left="500" w:header="0" w:footer="517" w:gutter="0"/>
          <w:cols w:space="720"/>
        </w:sectPr>
      </w:pPr>
    </w:p>
    <w:p w:rsidR="002C1123" w:rsidRDefault="002060EF">
      <w:pPr>
        <w:pStyle w:val="Heading5"/>
        <w:ind w:left="662" w:firstLine="0"/>
        <w:rPr>
          <w:sz w:val="16"/>
        </w:rPr>
      </w:pPr>
      <w:r>
        <w:pict>
          <v:rect id="docshape378" o:spid="_x0000_s4930" style="position:absolute;left:0;text-align:left;margin-left:49.6pt;margin-top:.9pt;width:491.35pt;height:391.2pt;z-index:-251526144;mso-position-horizontal-relative:page" fillcolor="#e1e0e1" stroked="f">
            <w10:wrap anchorx="page"/>
          </v:rect>
        </w:pict>
      </w:r>
      <w:bookmarkStart w:id="68" w:name="2.3__Forecast_of_the_NSW_economy_in_2031"/>
      <w:bookmarkStart w:id="69" w:name="_bookmark48"/>
      <w:bookmarkStart w:id="70" w:name="_bookmark47"/>
      <w:bookmarkEnd w:id="68"/>
      <w:bookmarkEnd w:id="69"/>
      <w:bookmarkEnd w:id="70"/>
      <w:r w:rsidR="00F22F94">
        <w:rPr>
          <w:color w:val="EC008C"/>
          <w:w w:val="95"/>
        </w:rPr>
        <w:t>Technology-driven</w:t>
      </w:r>
      <w:r w:rsidR="00F22F94">
        <w:rPr>
          <w:color w:val="EC008C"/>
          <w:spacing w:val="-15"/>
          <w:w w:val="95"/>
        </w:rPr>
        <w:t xml:space="preserve"> </w:t>
      </w:r>
      <w:r w:rsidR="00F22F94">
        <w:rPr>
          <w:color w:val="EC008C"/>
          <w:spacing w:val="-2"/>
          <w:w w:val="95"/>
        </w:rPr>
        <w:t>transformation</w:t>
      </w:r>
      <w:r w:rsidR="00F22F94">
        <w:rPr>
          <w:color w:val="EC008C"/>
          <w:spacing w:val="-2"/>
          <w:w w:val="95"/>
          <w:position w:val="9"/>
          <w:sz w:val="16"/>
        </w:rPr>
        <w:t>19</w:t>
      </w:r>
    </w:p>
    <w:p w:rsidR="002C1123" w:rsidRDefault="00F22F94">
      <w:pPr>
        <w:pStyle w:val="Heading6"/>
        <w:spacing w:before="135" w:line="249" w:lineRule="auto"/>
        <w:ind w:left="662"/>
      </w:pPr>
      <w:r>
        <w:t>New</w:t>
      </w:r>
      <w:r>
        <w:rPr>
          <w:spacing w:val="-4"/>
        </w:rPr>
        <w:t xml:space="preserve"> </w:t>
      </w:r>
      <w:r>
        <w:t>digital</w:t>
      </w:r>
      <w:r>
        <w:rPr>
          <w:spacing w:val="-4"/>
        </w:rPr>
        <w:t xml:space="preserve"> </w:t>
      </w:r>
      <w:r>
        <w:t>technologies</w:t>
      </w:r>
      <w:r>
        <w:rPr>
          <w:spacing w:val="-4"/>
        </w:rPr>
        <w:t xml:space="preserve"> </w:t>
      </w:r>
      <w:r>
        <w:t>have</w:t>
      </w:r>
      <w:r>
        <w:rPr>
          <w:spacing w:val="-4"/>
        </w:rPr>
        <w:t xml:space="preserve"> </w:t>
      </w:r>
      <w:r>
        <w:t>already</w:t>
      </w:r>
      <w:r>
        <w:rPr>
          <w:spacing w:val="-4"/>
        </w:rPr>
        <w:t xml:space="preserve"> </w:t>
      </w:r>
      <w:r>
        <w:t>changed patterns</w:t>
      </w:r>
      <w:r>
        <w:rPr>
          <w:spacing w:val="-8"/>
        </w:rPr>
        <w:t xml:space="preserve"> </w:t>
      </w:r>
      <w:r>
        <w:t>of</w:t>
      </w:r>
      <w:r>
        <w:rPr>
          <w:spacing w:val="-8"/>
        </w:rPr>
        <w:t xml:space="preserve"> </w:t>
      </w:r>
      <w:r>
        <w:t>mobility</w:t>
      </w:r>
      <w:r>
        <w:rPr>
          <w:spacing w:val="-8"/>
        </w:rPr>
        <w:t xml:space="preserve"> </w:t>
      </w:r>
      <w:r>
        <w:t>and</w:t>
      </w:r>
      <w:r>
        <w:rPr>
          <w:spacing w:val="-8"/>
        </w:rPr>
        <w:t xml:space="preserve"> </w:t>
      </w:r>
      <w:r>
        <w:t>work,</w:t>
      </w:r>
      <w:r>
        <w:rPr>
          <w:spacing w:val="-8"/>
        </w:rPr>
        <w:t xml:space="preserve"> </w:t>
      </w:r>
      <w:r>
        <w:t>retailing,</w:t>
      </w:r>
      <w:r>
        <w:rPr>
          <w:spacing w:val="-8"/>
        </w:rPr>
        <w:t xml:space="preserve"> </w:t>
      </w:r>
      <w:r>
        <w:t>leisure and</w:t>
      </w:r>
      <w:r>
        <w:rPr>
          <w:spacing w:val="40"/>
        </w:rPr>
        <w:t xml:space="preserve"> </w:t>
      </w:r>
      <w:r>
        <w:t>learning.</w:t>
      </w:r>
      <w:r>
        <w:rPr>
          <w:spacing w:val="-6"/>
        </w:rPr>
        <w:t xml:space="preserve"> </w:t>
      </w:r>
      <w:r>
        <w:t>For</w:t>
      </w:r>
      <w:r>
        <w:rPr>
          <w:spacing w:val="-6"/>
        </w:rPr>
        <w:t xml:space="preserve"> </w:t>
      </w:r>
      <w:r>
        <w:t>example,</w:t>
      </w:r>
      <w:r>
        <w:rPr>
          <w:spacing w:val="-6"/>
        </w:rPr>
        <w:t xml:space="preserve"> </w:t>
      </w:r>
      <w:r>
        <w:t>soft</w:t>
      </w:r>
      <w:r>
        <w:rPr>
          <w:spacing w:val="-6"/>
        </w:rPr>
        <w:t xml:space="preserve"> </w:t>
      </w:r>
      <w:r>
        <w:t xml:space="preserve">infrastructure </w:t>
      </w:r>
      <w:r>
        <w:rPr>
          <w:spacing w:val="-2"/>
        </w:rPr>
        <w:t>such</w:t>
      </w:r>
      <w:r>
        <w:rPr>
          <w:spacing w:val="-12"/>
        </w:rPr>
        <w:t xml:space="preserve"> </w:t>
      </w:r>
      <w:r>
        <w:rPr>
          <w:spacing w:val="-2"/>
        </w:rPr>
        <w:t>as</w:t>
      </w:r>
      <w:r>
        <w:rPr>
          <w:spacing w:val="-12"/>
        </w:rPr>
        <w:t xml:space="preserve"> </w:t>
      </w:r>
      <w:r>
        <w:rPr>
          <w:spacing w:val="-2"/>
        </w:rPr>
        <w:t>health</w:t>
      </w:r>
      <w:r>
        <w:rPr>
          <w:spacing w:val="-12"/>
        </w:rPr>
        <w:t xml:space="preserve"> </w:t>
      </w:r>
      <w:r>
        <w:rPr>
          <w:spacing w:val="-2"/>
        </w:rPr>
        <w:t>services</w:t>
      </w:r>
      <w:r>
        <w:rPr>
          <w:spacing w:val="-12"/>
        </w:rPr>
        <w:t xml:space="preserve"> </w:t>
      </w:r>
      <w:r>
        <w:rPr>
          <w:spacing w:val="-2"/>
        </w:rPr>
        <w:t>and</w:t>
      </w:r>
      <w:r>
        <w:rPr>
          <w:spacing w:val="-12"/>
        </w:rPr>
        <w:t xml:space="preserve"> </w:t>
      </w:r>
      <w:r>
        <w:rPr>
          <w:spacing w:val="-2"/>
        </w:rPr>
        <w:t>justice</w:t>
      </w:r>
      <w:r>
        <w:rPr>
          <w:spacing w:val="-12"/>
        </w:rPr>
        <w:t xml:space="preserve"> </w:t>
      </w:r>
      <w:r>
        <w:rPr>
          <w:spacing w:val="-2"/>
        </w:rPr>
        <w:t>services</w:t>
      </w:r>
      <w:r>
        <w:rPr>
          <w:spacing w:val="-12"/>
        </w:rPr>
        <w:t xml:space="preserve"> </w:t>
      </w:r>
      <w:r>
        <w:rPr>
          <w:spacing w:val="-2"/>
        </w:rPr>
        <w:t xml:space="preserve">(vital </w:t>
      </w:r>
      <w:r>
        <w:rPr>
          <w:spacing w:val="-4"/>
        </w:rPr>
        <w:t>for</w:t>
      </w:r>
      <w:r>
        <w:rPr>
          <w:spacing w:val="-10"/>
        </w:rPr>
        <w:t xml:space="preserve"> </w:t>
      </w:r>
      <w:r>
        <w:rPr>
          <w:spacing w:val="-4"/>
        </w:rPr>
        <w:t>a</w:t>
      </w:r>
      <w:r>
        <w:rPr>
          <w:spacing w:val="-10"/>
        </w:rPr>
        <w:t xml:space="preserve"> </w:t>
      </w:r>
      <w:r>
        <w:rPr>
          <w:spacing w:val="-4"/>
        </w:rPr>
        <w:t>better</w:t>
      </w:r>
      <w:r>
        <w:rPr>
          <w:spacing w:val="-10"/>
        </w:rPr>
        <w:t xml:space="preserve"> </w:t>
      </w:r>
      <w:r>
        <w:rPr>
          <w:spacing w:val="-4"/>
        </w:rPr>
        <w:t>life)</w:t>
      </w:r>
      <w:r>
        <w:rPr>
          <w:spacing w:val="-10"/>
        </w:rPr>
        <w:t xml:space="preserve"> </w:t>
      </w:r>
      <w:r>
        <w:rPr>
          <w:spacing w:val="-4"/>
        </w:rPr>
        <w:t>are</w:t>
      </w:r>
      <w:r>
        <w:rPr>
          <w:spacing w:val="-10"/>
        </w:rPr>
        <w:t xml:space="preserve"> </w:t>
      </w:r>
      <w:r>
        <w:rPr>
          <w:spacing w:val="-4"/>
        </w:rPr>
        <w:t>increasingly</w:t>
      </w:r>
      <w:r>
        <w:rPr>
          <w:spacing w:val="-10"/>
        </w:rPr>
        <w:t xml:space="preserve"> </w:t>
      </w:r>
      <w:r>
        <w:rPr>
          <w:spacing w:val="-4"/>
        </w:rPr>
        <w:t>provided</w:t>
      </w:r>
      <w:r>
        <w:rPr>
          <w:spacing w:val="-10"/>
        </w:rPr>
        <w:t xml:space="preserve"> </w:t>
      </w:r>
      <w:r>
        <w:rPr>
          <w:spacing w:val="-4"/>
        </w:rPr>
        <w:t xml:space="preserve">remotely </w:t>
      </w:r>
      <w:r>
        <w:t>via</w:t>
      </w:r>
      <w:r>
        <w:rPr>
          <w:spacing w:val="-8"/>
        </w:rPr>
        <w:t xml:space="preserve"> </w:t>
      </w:r>
      <w:r>
        <w:t>ICT.</w:t>
      </w:r>
      <w:r>
        <w:rPr>
          <w:spacing w:val="-8"/>
        </w:rPr>
        <w:t xml:space="preserve"> </w:t>
      </w:r>
      <w:r>
        <w:t>The</w:t>
      </w:r>
      <w:r>
        <w:rPr>
          <w:spacing w:val="-8"/>
        </w:rPr>
        <w:t xml:space="preserve"> </w:t>
      </w:r>
      <w:r>
        <w:t>pace</w:t>
      </w:r>
      <w:r>
        <w:rPr>
          <w:spacing w:val="-8"/>
        </w:rPr>
        <w:t xml:space="preserve"> </w:t>
      </w:r>
      <w:r>
        <w:t>of</w:t>
      </w:r>
      <w:r>
        <w:rPr>
          <w:spacing w:val="-8"/>
        </w:rPr>
        <w:t xml:space="preserve"> </w:t>
      </w:r>
      <w:r>
        <w:t>change</w:t>
      </w:r>
      <w:r>
        <w:rPr>
          <w:spacing w:val="-8"/>
        </w:rPr>
        <w:t xml:space="preserve"> </w:t>
      </w:r>
      <w:r>
        <w:t>will</w:t>
      </w:r>
      <w:r>
        <w:rPr>
          <w:spacing w:val="-8"/>
        </w:rPr>
        <w:t xml:space="preserve"> </w:t>
      </w:r>
      <w:r>
        <w:t>only</w:t>
      </w:r>
      <w:r>
        <w:rPr>
          <w:spacing w:val="-8"/>
        </w:rPr>
        <w:t xml:space="preserve"> </w:t>
      </w:r>
      <w:r>
        <w:t>continue</w:t>
      </w:r>
      <w:r>
        <w:rPr>
          <w:spacing w:val="-8"/>
        </w:rPr>
        <w:t xml:space="preserve"> </w:t>
      </w:r>
      <w:r>
        <w:t>to rapidly</w:t>
      </w:r>
      <w:r>
        <w:rPr>
          <w:spacing w:val="-1"/>
        </w:rPr>
        <w:t xml:space="preserve"> </w:t>
      </w:r>
      <w:r>
        <w:t>accelerate.</w:t>
      </w:r>
    </w:p>
    <w:p w:rsidR="002C1123" w:rsidRDefault="00F22F94">
      <w:pPr>
        <w:pStyle w:val="BodyText"/>
        <w:spacing w:before="147" w:line="249" w:lineRule="auto"/>
        <w:ind w:left="662" w:right="163"/>
      </w:pPr>
      <w:r>
        <w:t>The</w:t>
      </w:r>
      <w:r>
        <w:rPr>
          <w:spacing w:val="-4"/>
        </w:rPr>
        <w:t xml:space="preserve"> </w:t>
      </w:r>
      <w:r>
        <w:t>new</w:t>
      </w:r>
      <w:r>
        <w:rPr>
          <w:spacing w:val="-4"/>
        </w:rPr>
        <w:t xml:space="preserve"> </w:t>
      </w:r>
      <w:r>
        <w:t>capabilities</w:t>
      </w:r>
      <w:r>
        <w:rPr>
          <w:spacing w:val="-4"/>
        </w:rPr>
        <w:t xml:space="preserve"> </w:t>
      </w:r>
      <w:r>
        <w:t>of</w:t>
      </w:r>
      <w:r>
        <w:rPr>
          <w:spacing w:val="-4"/>
        </w:rPr>
        <w:t xml:space="preserve"> </w:t>
      </w:r>
      <w:r>
        <w:t>‘cloud’</w:t>
      </w:r>
      <w:r>
        <w:rPr>
          <w:spacing w:val="-4"/>
        </w:rPr>
        <w:t xml:space="preserve"> </w:t>
      </w:r>
      <w:r>
        <w:t>computing</w:t>
      </w:r>
      <w:r>
        <w:rPr>
          <w:spacing w:val="-4"/>
        </w:rPr>
        <w:t xml:space="preserve"> </w:t>
      </w:r>
      <w:r>
        <w:t>and</w:t>
      </w:r>
      <w:r>
        <w:rPr>
          <w:spacing w:val="-4"/>
        </w:rPr>
        <w:t xml:space="preserve"> </w:t>
      </w:r>
      <w:r>
        <w:t xml:space="preserve">the </w:t>
      </w:r>
      <w:r>
        <w:rPr>
          <w:w w:val="95"/>
        </w:rPr>
        <w:t xml:space="preserve">massive volume of distributed information seems to have changed the collective and cumulative impact of technology and communication. This is disrupting </w:t>
      </w:r>
      <w:r>
        <w:t>patterns</w:t>
      </w:r>
      <w:r>
        <w:rPr>
          <w:spacing w:val="-8"/>
        </w:rPr>
        <w:t xml:space="preserve"> </w:t>
      </w:r>
      <w:r>
        <w:t>of</w:t>
      </w:r>
      <w:r>
        <w:rPr>
          <w:spacing w:val="-8"/>
        </w:rPr>
        <w:t xml:space="preserve"> </w:t>
      </w:r>
      <w:r>
        <w:t>mobility</w:t>
      </w:r>
      <w:r>
        <w:rPr>
          <w:spacing w:val="-8"/>
        </w:rPr>
        <w:t xml:space="preserve"> </w:t>
      </w:r>
      <w:r>
        <w:t>and</w:t>
      </w:r>
      <w:r>
        <w:rPr>
          <w:spacing w:val="-8"/>
        </w:rPr>
        <w:t xml:space="preserve"> </w:t>
      </w:r>
      <w:r>
        <w:t>engagement</w:t>
      </w:r>
      <w:r>
        <w:rPr>
          <w:spacing w:val="-8"/>
        </w:rPr>
        <w:t xml:space="preserve"> </w:t>
      </w:r>
      <w:r>
        <w:t>in</w:t>
      </w:r>
      <w:r>
        <w:rPr>
          <w:spacing w:val="-8"/>
        </w:rPr>
        <w:t xml:space="preserve"> </w:t>
      </w:r>
      <w:r>
        <w:t>cities</w:t>
      </w:r>
      <w:r>
        <w:rPr>
          <w:spacing w:val="-8"/>
        </w:rPr>
        <w:t xml:space="preserve"> </w:t>
      </w:r>
      <w:r>
        <w:t>and regions</w:t>
      </w:r>
      <w:r>
        <w:rPr>
          <w:spacing w:val="-14"/>
        </w:rPr>
        <w:t xml:space="preserve"> </w:t>
      </w:r>
      <w:r>
        <w:t>and</w:t>
      </w:r>
      <w:r>
        <w:rPr>
          <w:spacing w:val="-14"/>
        </w:rPr>
        <w:t xml:space="preserve"> </w:t>
      </w:r>
      <w:r>
        <w:t>is</w:t>
      </w:r>
      <w:r>
        <w:rPr>
          <w:spacing w:val="-14"/>
        </w:rPr>
        <w:t xml:space="preserve"> </w:t>
      </w:r>
      <w:r>
        <w:t>driving</w:t>
      </w:r>
      <w:r>
        <w:rPr>
          <w:spacing w:val="-14"/>
        </w:rPr>
        <w:t xml:space="preserve"> </w:t>
      </w:r>
      <w:r>
        <w:t>major</w:t>
      </w:r>
      <w:r>
        <w:rPr>
          <w:spacing w:val="-14"/>
        </w:rPr>
        <w:t xml:space="preserve"> </w:t>
      </w:r>
      <w:r>
        <w:t>behavioural</w:t>
      </w:r>
      <w:r>
        <w:rPr>
          <w:spacing w:val="-13"/>
        </w:rPr>
        <w:t xml:space="preserve"> </w:t>
      </w:r>
      <w:r>
        <w:t>change.</w:t>
      </w:r>
    </w:p>
    <w:p w:rsidR="002C1123" w:rsidRDefault="00F22F94">
      <w:pPr>
        <w:pStyle w:val="BodyText"/>
        <w:spacing w:before="147" w:line="249" w:lineRule="auto"/>
        <w:ind w:left="662"/>
      </w:pPr>
      <w:r>
        <w:t>More</w:t>
      </w:r>
      <w:r>
        <w:rPr>
          <w:spacing w:val="-6"/>
        </w:rPr>
        <w:t xml:space="preserve"> </w:t>
      </w:r>
      <w:r>
        <w:t>and</w:t>
      </w:r>
      <w:r>
        <w:rPr>
          <w:spacing w:val="-6"/>
        </w:rPr>
        <w:t xml:space="preserve"> </w:t>
      </w:r>
      <w:r>
        <w:t>more,</w:t>
      </w:r>
      <w:r>
        <w:rPr>
          <w:spacing w:val="-6"/>
        </w:rPr>
        <w:t xml:space="preserve"> </w:t>
      </w:r>
      <w:r>
        <w:t>work</w:t>
      </w:r>
      <w:r>
        <w:rPr>
          <w:spacing w:val="-6"/>
        </w:rPr>
        <w:t xml:space="preserve"> </w:t>
      </w:r>
      <w:r>
        <w:t>is</w:t>
      </w:r>
      <w:r>
        <w:rPr>
          <w:spacing w:val="-6"/>
        </w:rPr>
        <w:t xml:space="preserve"> </w:t>
      </w:r>
      <w:r>
        <w:t>something</w:t>
      </w:r>
      <w:r>
        <w:rPr>
          <w:spacing w:val="-6"/>
        </w:rPr>
        <w:t xml:space="preserve"> </w:t>
      </w:r>
      <w:r>
        <w:t>you</w:t>
      </w:r>
      <w:r>
        <w:rPr>
          <w:spacing w:val="-6"/>
        </w:rPr>
        <w:t xml:space="preserve"> </w:t>
      </w:r>
      <w:r>
        <w:t>do,</w:t>
      </w:r>
      <w:r>
        <w:rPr>
          <w:spacing w:val="-6"/>
        </w:rPr>
        <w:t xml:space="preserve"> </w:t>
      </w:r>
      <w:r>
        <w:t>not necessarily</w:t>
      </w:r>
      <w:r>
        <w:rPr>
          <w:spacing w:val="-9"/>
        </w:rPr>
        <w:t xml:space="preserve"> </w:t>
      </w:r>
      <w:r>
        <w:t>somewhere</w:t>
      </w:r>
      <w:r>
        <w:rPr>
          <w:spacing w:val="-9"/>
        </w:rPr>
        <w:t xml:space="preserve"> </w:t>
      </w:r>
      <w:r>
        <w:t>you</w:t>
      </w:r>
      <w:r>
        <w:rPr>
          <w:spacing w:val="-9"/>
        </w:rPr>
        <w:t xml:space="preserve"> </w:t>
      </w:r>
      <w:r>
        <w:t>go.</w:t>
      </w:r>
      <w:r>
        <w:rPr>
          <w:spacing w:val="-9"/>
        </w:rPr>
        <w:t xml:space="preserve"> </w:t>
      </w:r>
      <w:r>
        <w:t>New</w:t>
      </w:r>
      <w:r>
        <w:rPr>
          <w:spacing w:val="-9"/>
        </w:rPr>
        <w:t xml:space="preserve"> </w:t>
      </w:r>
      <w:r>
        <w:t>patterns</w:t>
      </w:r>
      <w:r>
        <w:rPr>
          <w:spacing w:val="-9"/>
        </w:rPr>
        <w:t xml:space="preserve"> </w:t>
      </w:r>
      <w:r>
        <w:t xml:space="preserve">of </w:t>
      </w:r>
      <w:r>
        <w:rPr>
          <w:w w:val="95"/>
        </w:rPr>
        <w:t>productivity</w:t>
      </w:r>
      <w:r>
        <w:rPr>
          <w:spacing w:val="-2"/>
          <w:w w:val="95"/>
        </w:rPr>
        <w:t xml:space="preserve"> </w:t>
      </w:r>
      <w:r>
        <w:rPr>
          <w:w w:val="95"/>
        </w:rPr>
        <w:t>and</w:t>
      </w:r>
      <w:r>
        <w:rPr>
          <w:spacing w:val="-2"/>
          <w:w w:val="95"/>
        </w:rPr>
        <w:t xml:space="preserve"> </w:t>
      </w:r>
      <w:r>
        <w:rPr>
          <w:w w:val="95"/>
        </w:rPr>
        <w:t>creativity</w:t>
      </w:r>
      <w:r>
        <w:rPr>
          <w:spacing w:val="-2"/>
          <w:w w:val="95"/>
        </w:rPr>
        <w:t xml:space="preserve"> </w:t>
      </w:r>
      <w:r>
        <w:rPr>
          <w:w w:val="95"/>
        </w:rPr>
        <w:t>are</w:t>
      </w:r>
      <w:r>
        <w:rPr>
          <w:spacing w:val="-2"/>
          <w:w w:val="95"/>
        </w:rPr>
        <w:t xml:space="preserve"> </w:t>
      </w:r>
      <w:r>
        <w:rPr>
          <w:w w:val="95"/>
        </w:rPr>
        <w:t>emerging</w:t>
      </w:r>
      <w:r>
        <w:rPr>
          <w:spacing w:val="-2"/>
          <w:w w:val="95"/>
        </w:rPr>
        <w:t xml:space="preserve"> </w:t>
      </w:r>
      <w:r>
        <w:rPr>
          <w:w w:val="95"/>
        </w:rPr>
        <w:t>as</w:t>
      </w:r>
      <w:r>
        <w:rPr>
          <w:spacing w:val="-2"/>
          <w:w w:val="95"/>
        </w:rPr>
        <w:t xml:space="preserve"> </w:t>
      </w:r>
      <w:r>
        <w:rPr>
          <w:w w:val="95"/>
        </w:rPr>
        <w:t>people</w:t>
      </w:r>
      <w:r>
        <w:rPr>
          <w:spacing w:val="-2"/>
          <w:w w:val="95"/>
        </w:rPr>
        <w:t xml:space="preserve"> </w:t>
      </w:r>
      <w:r>
        <w:rPr>
          <w:w w:val="95"/>
        </w:rPr>
        <w:t>find ways</w:t>
      </w:r>
      <w:r>
        <w:rPr>
          <w:spacing w:val="-6"/>
          <w:w w:val="95"/>
        </w:rPr>
        <w:t xml:space="preserve"> </w:t>
      </w:r>
      <w:r>
        <w:rPr>
          <w:w w:val="95"/>
        </w:rPr>
        <w:t>to</w:t>
      </w:r>
      <w:r>
        <w:rPr>
          <w:spacing w:val="-6"/>
          <w:w w:val="95"/>
        </w:rPr>
        <w:t xml:space="preserve"> </w:t>
      </w:r>
      <w:r>
        <w:rPr>
          <w:w w:val="95"/>
        </w:rPr>
        <w:t>work</w:t>
      </w:r>
      <w:r>
        <w:rPr>
          <w:spacing w:val="-6"/>
          <w:w w:val="95"/>
        </w:rPr>
        <w:t xml:space="preserve"> </w:t>
      </w:r>
      <w:r>
        <w:rPr>
          <w:w w:val="95"/>
        </w:rPr>
        <w:t>at</w:t>
      </w:r>
      <w:r>
        <w:rPr>
          <w:spacing w:val="-6"/>
          <w:w w:val="95"/>
        </w:rPr>
        <w:t xml:space="preserve"> </w:t>
      </w:r>
      <w:r>
        <w:rPr>
          <w:w w:val="95"/>
        </w:rPr>
        <w:t>home</w:t>
      </w:r>
      <w:r>
        <w:rPr>
          <w:spacing w:val="-6"/>
          <w:w w:val="95"/>
        </w:rPr>
        <w:t xml:space="preserve"> </w:t>
      </w:r>
      <w:r>
        <w:rPr>
          <w:w w:val="95"/>
        </w:rPr>
        <w:t>or,</w:t>
      </w:r>
      <w:r>
        <w:rPr>
          <w:spacing w:val="-6"/>
          <w:w w:val="95"/>
        </w:rPr>
        <w:t xml:space="preserve"> </w:t>
      </w:r>
      <w:r>
        <w:rPr>
          <w:w w:val="95"/>
        </w:rPr>
        <w:t>increasingly,</w:t>
      </w:r>
      <w:r>
        <w:rPr>
          <w:spacing w:val="-6"/>
          <w:w w:val="95"/>
        </w:rPr>
        <w:t xml:space="preserve"> </w:t>
      </w:r>
      <w:r>
        <w:rPr>
          <w:w w:val="95"/>
        </w:rPr>
        <w:t>in</w:t>
      </w:r>
      <w:r>
        <w:rPr>
          <w:spacing w:val="-6"/>
          <w:w w:val="95"/>
        </w:rPr>
        <w:t xml:space="preserve"> </w:t>
      </w:r>
      <w:r>
        <w:rPr>
          <w:w w:val="95"/>
        </w:rPr>
        <w:t>‘third</w:t>
      </w:r>
      <w:r>
        <w:rPr>
          <w:spacing w:val="-6"/>
          <w:w w:val="95"/>
        </w:rPr>
        <w:t xml:space="preserve"> </w:t>
      </w:r>
      <w:r>
        <w:rPr>
          <w:w w:val="95"/>
        </w:rPr>
        <w:t xml:space="preserve">spaces’ </w:t>
      </w:r>
      <w:r>
        <w:t>that</w:t>
      </w:r>
      <w:r>
        <w:rPr>
          <w:spacing w:val="-9"/>
        </w:rPr>
        <w:t xml:space="preserve"> </w:t>
      </w:r>
      <w:r>
        <w:t>sit</w:t>
      </w:r>
      <w:r>
        <w:rPr>
          <w:spacing w:val="-9"/>
        </w:rPr>
        <w:t xml:space="preserve"> </w:t>
      </w:r>
      <w:r>
        <w:t>between</w:t>
      </w:r>
      <w:r>
        <w:rPr>
          <w:spacing w:val="-9"/>
        </w:rPr>
        <w:t xml:space="preserve"> </w:t>
      </w:r>
      <w:r>
        <w:t>the</w:t>
      </w:r>
      <w:r>
        <w:rPr>
          <w:spacing w:val="-9"/>
        </w:rPr>
        <w:t xml:space="preserve"> </w:t>
      </w:r>
      <w:r>
        <w:t>home</w:t>
      </w:r>
      <w:r>
        <w:rPr>
          <w:spacing w:val="-9"/>
        </w:rPr>
        <w:t xml:space="preserve"> </w:t>
      </w:r>
      <w:r>
        <w:t>and</w:t>
      </w:r>
      <w:r>
        <w:rPr>
          <w:spacing w:val="-9"/>
        </w:rPr>
        <w:t xml:space="preserve"> </w:t>
      </w:r>
      <w:r>
        <w:t>the</w:t>
      </w:r>
      <w:r>
        <w:rPr>
          <w:spacing w:val="-9"/>
        </w:rPr>
        <w:t xml:space="preserve"> </w:t>
      </w:r>
      <w:r>
        <w:t>traditional</w:t>
      </w:r>
      <w:r>
        <w:rPr>
          <w:spacing w:val="-9"/>
        </w:rPr>
        <w:t xml:space="preserve"> </w:t>
      </w:r>
      <w:r>
        <w:t>office.</w:t>
      </w:r>
    </w:p>
    <w:p w:rsidR="002C1123" w:rsidRDefault="00F22F94">
      <w:pPr>
        <w:pStyle w:val="BodyText"/>
        <w:spacing w:before="146" w:line="249" w:lineRule="auto"/>
        <w:ind w:left="662"/>
      </w:pPr>
      <w:r>
        <w:rPr>
          <w:w w:val="95"/>
        </w:rPr>
        <w:t xml:space="preserve">The city of Amsterdam undertook a survey recently to </w:t>
      </w:r>
      <w:r>
        <w:t>look</w:t>
      </w:r>
      <w:r>
        <w:rPr>
          <w:spacing w:val="-14"/>
        </w:rPr>
        <w:t xml:space="preserve"> </w:t>
      </w:r>
      <w:r>
        <w:t>at</w:t>
      </w:r>
      <w:r>
        <w:rPr>
          <w:spacing w:val="-14"/>
        </w:rPr>
        <w:t xml:space="preserve"> </w:t>
      </w:r>
      <w:r>
        <w:t>the</w:t>
      </w:r>
      <w:r>
        <w:rPr>
          <w:spacing w:val="-14"/>
        </w:rPr>
        <w:t xml:space="preserve"> </w:t>
      </w:r>
      <w:r>
        <w:t>impact</w:t>
      </w:r>
      <w:r>
        <w:rPr>
          <w:spacing w:val="-14"/>
        </w:rPr>
        <w:t xml:space="preserve"> </w:t>
      </w:r>
      <w:r>
        <w:t>of</w:t>
      </w:r>
      <w:r>
        <w:rPr>
          <w:spacing w:val="-14"/>
        </w:rPr>
        <w:t xml:space="preserve"> </w:t>
      </w:r>
      <w:r>
        <w:t>a</w:t>
      </w:r>
      <w:r>
        <w:rPr>
          <w:spacing w:val="-14"/>
        </w:rPr>
        <w:t xml:space="preserve"> </w:t>
      </w:r>
      <w:r>
        <w:t>decision</w:t>
      </w:r>
      <w:r>
        <w:rPr>
          <w:spacing w:val="-14"/>
        </w:rPr>
        <w:t xml:space="preserve"> </w:t>
      </w:r>
      <w:r>
        <w:t>by</w:t>
      </w:r>
      <w:r>
        <w:rPr>
          <w:spacing w:val="-14"/>
        </w:rPr>
        <w:t xml:space="preserve"> </w:t>
      </w:r>
      <w:r>
        <w:t>every</w:t>
      </w:r>
      <w:r>
        <w:rPr>
          <w:spacing w:val="-14"/>
        </w:rPr>
        <w:t xml:space="preserve"> </w:t>
      </w:r>
      <w:r>
        <w:t>employee</w:t>
      </w:r>
      <w:r>
        <w:rPr>
          <w:spacing w:val="-13"/>
        </w:rPr>
        <w:t xml:space="preserve"> </w:t>
      </w:r>
      <w:r>
        <w:t>in the</w:t>
      </w:r>
      <w:r>
        <w:rPr>
          <w:spacing w:val="-9"/>
        </w:rPr>
        <w:t xml:space="preserve"> </w:t>
      </w:r>
      <w:r>
        <w:t>city</w:t>
      </w:r>
      <w:r>
        <w:rPr>
          <w:spacing w:val="-9"/>
        </w:rPr>
        <w:t xml:space="preserve"> </w:t>
      </w:r>
      <w:r>
        <w:t>to</w:t>
      </w:r>
      <w:r>
        <w:rPr>
          <w:spacing w:val="-9"/>
        </w:rPr>
        <w:t xml:space="preserve"> </w:t>
      </w:r>
      <w:r>
        <w:t>work</w:t>
      </w:r>
      <w:r>
        <w:rPr>
          <w:spacing w:val="-9"/>
        </w:rPr>
        <w:t xml:space="preserve"> </w:t>
      </w:r>
      <w:r>
        <w:t>one</w:t>
      </w:r>
      <w:r>
        <w:rPr>
          <w:spacing w:val="-9"/>
        </w:rPr>
        <w:t xml:space="preserve"> </w:t>
      </w:r>
      <w:r>
        <w:t>day</w:t>
      </w:r>
      <w:r>
        <w:rPr>
          <w:spacing w:val="-9"/>
        </w:rPr>
        <w:t xml:space="preserve"> </w:t>
      </w:r>
      <w:r>
        <w:t>a</w:t>
      </w:r>
      <w:r>
        <w:rPr>
          <w:spacing w:val="-9"/>
        </w:rPr>
        <w:t xml:space="preserve"> </w:t>
      </w:r>
      <w:r>
        <w:t>week</w:t>
      </w:r>
      <w:r>
        <w:rPr>
          <w:spacing w:val="-9"/>
        </w:rPr>
        <w:t xml:space="preserve"> </w:t>
      </w:r>
      <w:r>
        <w:t>either</w:t>
      </w:r>
      <w:r>
        <w:rPr>
          <w:spacing w:val="-9"/>
        </w:rPr>
        <w:t xml:space="preserve"> </w:t>
      </w:r>
      <w:r>
        <w:t>from</w:t>
      </w:r>
      <w:r>
        <w:rPr>
          <w:spacing w:val="-10"/>
        </w:rPr>
        <w:t xml:space="preserve"> </w:t>
      </w:r>
      <w:r>
        <w:t>home</w:t>
      </w:r>
      <w:r>
        <w:rPr>
          <w:spacing w:val="-9"/>
        </w:rPr>
        <w:t xml:space="preserve"> </w:t>
      </w:r>
      <w:r>
        <w:t xml:space="preserve">or </w:t>
      </w:r>
      <w:r>
        <w:rPr>
          <w:w w:val="95"/>
        </w:rPr>
        <w:t xml:space="preserve">from a ‘third place’ location like a smart work centre or </w:t>
      </w:r>
      <w:r>
        <w:t>a</w:t>
      </w:r>
      <w:r>
        <w:rPr>
          <w:spacing w:val="-9"/>
        </w:rPr>
        <w:t xml:space="preserve"> </w:t>
      </w:r>
      <w:r>
        <w:t>shared</w:t>
      </w:r>
      <w:r>
        <w:rPr>
          <w:spacing w:val="-9"/>
        </w:rPr>
        <w:t xml:space="preserve"> </w:t>
      </w:r>
      <w:r>
        <w:t>workspace</w:t>
      </w:r>
      <w:r>
        <w:rPr>
          <w:spacing w:val="-9"/>
        </w:rPr>
        <w:t xml:space="preserve"> </w:t>
      </w:r>
      <w:r>
        <w:t>‘hub’.</w:t>
      </w:r>
      <w:r>
        <w:rPr>
          <w:spacing w:val="-9"/>
        </w:rPr>
        <w:t xml:space="preserve"> </w:t>
      </w:r>
      <w:r>
        <w:t>The</w:t>
      </w:r>
      <w:r>
        <w:rPr>
          <w:spacing w:val="-9"/>
        </w:rPr>
        <w:t xml:space="preserve"> </w:t>
      </w:r>
      <w:r>
        <w:t>study</w:t>
      </w:r>
      <w:r>
        <w:rPr>
          <w:spacing w:val="-9"/>
        </w:rPr>
        <w:t xml:space="preserve"> </w:t>
      </w:r>
      <w:r>
        <w:t>calculated</w:t>
      </w:r>
      <w:r>
        <w:rPr>
          <w:spacing w:val="-9"/>
        </w:rPr>
        <w:t xml:space="preserve"> </w:t>
      </w:r>
      <w:r>
        <w:t>that cost</w:t>
      </w:r>
      <w:r>
        <w:rPr>
          <w:spacing w:val="-9"/>
        </w:rPr>
        <w:t xml:space="preserve"> </w:t>
      </w:r>
      <w:r>
        <w:t>savings,</w:t>
      </w:r>
      <w:r>
        <w:rPr>
          <w:spacing w:val="-9"/>
        </w:rPr>
        <w:t xml:space="preserve"> </w:t>
      </w:r>
      <w:r>
        <w:t>in</w:t>
      </w:r>
      <w:r>
        <w:rPr>
          <w:spacing w:val="-9"/>
        </w:rPr>
        <w:t xml:space="preserve"> </w:t>
      </w:r>
      <w:r>
        <w:t>terms</w:t>
      </w:r>
      <w:r>
        <w:rPr>
          <w:spacing w:val="-9"/>
        </w:rPr>
        <w:t xml:space="preserve"> </w:t>
      </w:r>
      <w:r>
        <w:t>of</w:t>
      </w:r>
      <w:r>
        <w:rPr>
          <w:spacing w:val="-9"/>
        </w:rPr>
        <w:t xml:space="preserve"> </w:t>
      </w:r>
      <w:r>
        <w:t>time,</w:t>
      </w:r>
      <w:r>
        <w:rPr>
          <w:spacing w:val="-9"/>
        </w:rPr>
        <w:t xml:space="preserve"> </w:t>
      </w:r>
      <w:r>
        <w:t>commuting</w:t>
      </w:r>
      <w:r>
        <w:rPr>
          <w:spacing w:val="-9"/>
        </w:rPr>
        <w:t xml:space="preserve"> </w:t>
      </w:r>
      <w:r>
        <w:t xml:space="preserve">expenses </w:t>
      </w:r>
      <w:r>
        <w:rPr>
          <w:w w:val="95"/>
        </w:rPr>
        <w:t>and</w:t>
      </w:r>
      <w:r>
        <w:rPr>
          <w:spacing w:val="-10"/>
          <w:w w:val="95"/>
        </w:rPr>
        <w:t xml:space="preserve"> </w:t>
      </w:r>
      <w:r>
        <w:rPr>
          <w:w w:val="95"/>
        </w:rPr>
        <w:t>work</w:t>
      </w:r>
      <w:r>
        <w:rPr>
          <w:spacing w:val="-10"/>
          <w:w w:val="95"/>
        </w:rPr>
        <w:t xml:space="preserve"> </w:t>
      </w:r>
      <w:r>
        <w:rPr>
          <w:w w:val="95"/>
        </w:rPr>
        <w:t>travel,</w:t>
      </w:r>
      <w:r>
        <w:rPr>
          <w:spacing w:val="-10"/>
          <w:w w:val="95"/>
        </w:rPr>
        <w:t xml:space="preserve"> </w:t>
      </w:r>
      <w:r>
        <w:rPr>
          <w:w w:val="95"/>
        </w:rPr>
        <w:t>would</w:t>
      </w:r>
      <w:r>
        <w:rPr>
          <w:spacing w:val="-10"/>
          <w:w w:val="95"/>
        </w:rPr>
        <w:t xml:space="preserve"> </w:t>
      </w:r>
      <w:r>
        <w:rPr>
          <w:w w:val="95"/>
        </w:rPr>
        <w:t>be</w:t>
      </w:r>
      <w:r>
        <w:rPr>
          <w:spacing w:val="-10"/>
          <w:w w:val="95"/>
        </w:rPr>
        <w:t xml:space="preserve"> </w:t>
      </w:r>
      <w:r>
        <w:rPr>
          <w:w w:val="95"/>
        </w:rPr>
        <w:t>about</w:t>
      </w:r>
      <w:r>
        <w:rPr>
          <w:spacing w:val="-10"/>
          <w:w w:val="95"/>
        </w:rPr>
        <w:t xml:space="preserve"> </w:t>
      </w:r>
      <w:r>
        <w:rPr>
          <w:w w:val="95"/>
        </w:rPr>
        <w:t>€15</w:t>
      </w:r>
      <w:r>
        <w:rPr>
          <w:spacing w:val="-10"/>
          <w:w w:val="95"/>
        </w:rPr>
        <w:t xml:space="preserve"> </w:t>
      </w:r>
      <w:r>
        <w:rPr>
          <w:w w:val="95"/>
        </w:rPr>
        <w:t>million</w:t>
      </w:r>
      <w:r>
        <w:rPr>
          <w:spacing w:val="-10"/>
          <w:w w:val="95"/>
        </w:rPr>
        <w:t xml:space="preserve"> </w:t>
      </w:r>
      <w:r>
        <w:rPr>
          <w:w w:val="95"/>
        </w:rPr>
        <w:t>every</w:t>
      </w:r>
      <w:r>
        <w:rPr>
          <w:spacing w:val="-10"/>
          <w:w w:val="95"/>
        </w:rPr>
        <w:t xml:space="preserve"> </w:t>
      </w:r>
      <w:r>
        <w:rPr>
          <w:w w:val="95"/>
        </w:rPr>
        <w:t>year.</w:t>
      </w:r>
    </w:p>
    <w:p w:rsidR="002C1123" w:rsidRDefault="00F22F94">
      <w:pPr>
        <w:pStyle w:val="BodyText"/>
        <w:spacing w:before="147" w:line="249" w:lineRule="auto"/>
        <w:ind w:left="662"/>
      </w:pPr>
      <w:r>
        <w:rPr>
          <w:w w:val="95"/>
        </w:rPr>
        <w:t>As</w:t>
      </w:r>
      <w:r>
        <w:rPr>
          <w:spacing w:val="-4"/>
          <w:w w:val="95"/>
        </w:rPr>
        <w:t xml:space="preserve"> </w:t>
      </w:r>
      <w:r>
        <w:rPr>
          <w:w w:val="95"/>
        </w:rPr>
        <w:t>far</w:t>
      </w:r>
      <w:r>
        <w:rPr>
          <w:spacing w:val="-4"/>
          <w:w w:val="95"/>
        </w:rPr>
        <w:t xml:space="preserve"> </w:t>
      </w:r>
      <w:r>
        <w:rPr>
          <w:w w:val="95"/>
        </w:rPr>
        <w:t>back</w:t>
      </w:r>
      <w:r>
        <w:rPr>
          <w:spacing w:val="-4"/>
          <w:w w:val="95"/>
        </w:rPr>
        <w:t xml:space="preserve"> </w:t>
      </w:r>
      <w:r>
        <w:rPr>
          <w:w w:val="95"/>
        </w:rPr>
        <w:t>as</w:t>
      </w:r>
      <w:r>
        <w:rPr>
          <w:spacing w:val="-4"/>
          <w:w w:val="95"/>
        </w:rPr>
        <w:t xml:space="preserve"> </w:t>
      </w:r>
      <w:r>
        <w:rPr>
          <w:w w:val="95"/>
        </w:rPr>
        <w:t>2006,</w:t>
      </w:r>
      <w:r>
        <w:rPr>
          <w:spacing w:val="-4"/>
          <w:w w:val="95"/>
        </w:rPr>
        <w:t xml:space="preserve"> </w:t>
      </w:r>
      <w:r>
        <w:rPr>
          <w:w w:val="95"/>
        </w:rPr>
        <w:t>some</w:t>
      </w:r>
      <w:r>
        <w:rPr>
          <w:spacing w:val="-4"/>
          <w:w w:val="95"/>
        </w:rPr>
        <w:t xml:space="preserve"> </w:t>
      </w:r>
      <w:r>
        <w:rPr>
          <w:w w:val="95"/>
        </w:rPr>
        <w:t>30</w:t>
      </w:r>
      <w:r>
        <w:rPr>
          <w:spacing w:val="-4"/>
          <w:w w:val="95"/>
        </w:rPr>
        <w:t xml:space="preserve"> </w:t>
      </w:r>
      <w:r>
        <w:rPr>
          <w:w w:val="95"/>
        </w:rPr>
        <w:t>million</w:t>
      </w:r>
      <w:r>
        <w:rPr>
          <w:spacing w:val="-4"/>
          <w:w w:val="95"/>
        </w:rPr>
        <w:t xml:space="preserve"> </w:t>
      </w:r>
      <w:r>
        <w:rPr>
          <w:w w:val="95"/>
        </w:rPr>
        <w:t>Americans,</w:t>
      </w:r>
      <w:r>
        <w:rPr>
          <w:spacing w:val="-4"/>
          <w:w w:val="95"/>
        </w:rPr>
        <w:t xml:space="preserve"> </w:t>
      </w:r>
      <w:r>
        <w:rPr>
          <w:w w:val="95"/>
        </w:rPr>
        <w:t xml:space="preserve">or </w:t>
      </w:r>
      <w:r>
        <w:t>about</w:t>
      </w:r>
      <w:r>
        <w:rPr>
          <w:spacing w:val="-14"/>
        </w:rPr>
        <w:t xml:space="preserve"> </w:t>
      </w:r>
      <w:r>
        <w:t>a</w:t>
      </w:r>
      <w:r>
        <w:rPr>
          <w:spacing w:val="-14"/>
        </w:rPr>
        <w:t xml:space="preserve"> </w:t>
      </w:r>
      <w:r>
        <w:t>fifth</w:t>
      </w:r>
      <w:r>
        <w:rPr>
          <w:spacing w:val="-14"/>
        </w:rPr>
        <w:t xml:space="preserve"> </w:t>
      </w:r>
      <w:r>
        <w:t>of</w:t>
      </w:r>
      <w:r>
        <w:rPr>
          <w:spacing w:val="-13"/>
        </w:rPr>
        <w:t xml:space="preserve"> </w:t>
      </w:r>
      <w:r>
        <w:t>the</w:t>
      </w:r>
      <w:r>
        <w:rPr>
          <w:spacing w:val="-14"/>
        </w:rPr>
        <w:t xml:space="preserve"> </w:t>
      </w:r>
      <w:r>
        <w:t>workforce,</w:t>
      </w:r>
      <w:r>
        <w:rPr>
          <w:spacing w:val="-14"/>
        </w:rPr>
        <w:t xml:space="preserve"> </w:t>
      </w:r>
      <w:r>
        <w:t>was</w:t>
      </w:r>
      <w:r>
        <w:rPr>
          <w:spacing w:val="-14"/>
        </w:rPr>
        <w:t xml:space="preserve"> </w:t>
      </w:r>
      <w:r>
        <w:t>estimated</w:t>
      </w:r>
      <w:r>
        <w:rPr>
          <w:spacing w:val="-13"/>
        </w:rPr>
        <w:t xml:space="preserve"> </w:t>
      </w:r>
      <w:r>
        <w:t>to</w:t>
      </w:r>
      <w:r>
        <w:rPr>
          <w:spacing w:val="-14"/>
        </w:rPr>
        <w:t xml:space="preserve"> </w:t>
      </w:r>
      <w:r>
        <w:t>be</w:t>
      </w:r>
    </w:p>
    <w:p w:rsidR="002C1123" w:rsidRDefault="002C1123">
      <w:pPr>
        <w:pStyle w:val="BodyText"/>
      </w:pPr>
    </w:p>
    <w:p w:rsidR="002C1123" w:rsidRDefault="002C1123">
      <w:pPr>
        <w:pStyle w:val="BodyText"/>
      </w:pPr>
    </w:p>
    <w:p w:rsidR="002C1123" w:rsidRDefault="002060EF">
      <w:pPr>
        <w:pStyle w:val="BodyText"/>
        <w:spacing w:before="11"/>
        <w:rPr>
          <w:sz w:val="11"/>
        </w:rPr>
      </w:pPr>
      <w:r>
        <w:pict>
          <v:shape id="docshape379" o:spid="_x0000_s4929" style="position:absolute;margin-left:58.1pt;margin-top:8.1pt;width:1in;height:.1pt;z-index:-251417600;mso-wrap-distance-left:0;mso-wrap-distance-right:0;mso-position-horizontal-relative:page" coordorigin="1162,162" coordsize="1440,0" path="m1162,162r1440,e" filled="f" strokecolor="#9c9c9d" strokeweight=".5pt">
            <v:path arrowok="t"/>
            <w10:wrap type="topAndBottom" anchorx="page"/>
          </v:shape>
        </w:pict>
      </w:r>
    </w:p>
    <w:p w:rsidR="002C1123" w:rsidRDefault="00F22F94">
      <w:pPr>
        <w:pStyle w:val="ListParagraph"/>
        <w:numPr>
          <w:ilvl w:val="0"/>
          <w:numId w:val="159"/>
        </w:numPr>
        <w:tabs>
          <w:tab w:val="left" w:pos="842"/>
        </w:tabs>
        <w:spacing w:before="23"/>
        <w:ind w:left="841" w:hanging="180"/>
        <w:jc w:val="left"/>
        <w:rPr>
          <w:sz w:val="14"/>
        </w:rPr>
      </w:pPr>
      <w:r>
        <w:rPr>
          <w:w w:val="95"/>
          <w:sz w:val="14"/>
        </w:rPr>
        <w:t>CISCO</w:t>
      </w:r>
      <w:r>
        <w:rPr>
          <w:sz w:val="14"/>
        </w:rPr>
        <w:t xml:space="preserve"> </w:t>
      </w:r>
      <w:r>
        <w:rPr>
          <w:w w:val="95"/>
          <w:sz w:val="14"/>
        </w:rPr>
        <w:t>Systems</w:t>
      </w:r>
      <w:r>
        <w:rPr>
          <w:spacing w:val="1"/>
          <w:sz w:val="14"/>
        </w:rPr>
        <w:t xml:space="preserve"> </w:t>
      </w:r>
      <w:r>
        <w:rPr>
          <w:w w:val="95"/>
          <w:sz w:val="14"/>
        </w:rPr>
        <w:t>2012,</w:t>
      </w:r>
      <w:r>
        <w:rPr>
          <w:sz w:val="14"/>
        </w:rPr>
        <w:t xml:space="preserve"> </w:t>
      </w:r>
      <w:r>
        <w:rPr>
          <w:w w:val="95"/>
          <w:sz w:val="14"/>
        </w:rPr>
        <w:t>Report</w:t>
      </w:r>
      <w:r>
        <w:rPr>
          <w:spacing w:val="1"/>
          <w:sz w:val="14"/>
        </w:rPr>
        <w:t xml:space="preserve"> </w:t>
      </w:r>
      <w:r>
        <w:rPr>
          <w:w w:val="95"/>
          <w:sz w:val="14"/>
        </w:rPr>
        <w:t>to</w:t>
      </w:r>
      <w:r>
        <w:rPr>
          <w:spacing w:val="1"/>
          <w:sz w:val="14"/>
        </w:rPr>
        <w:t xml:space="preserve"> </w:t>
      </w:r>
      <w:r>
        <w:rPr>
          <w:w w:val="95"/>
          <w:sz w:val="14"/>
        </w:rPr>
        <w:t>Infrastructure</w:t>
      </w:r>
      <w:r>
        <w:rPr>
          <w:sz w:val="14"/>
        </w:rPr>
        <w:t xml:space="preserve"> </w:t>
      </w:r>
      <w:r>
        <w:rPr>
          <w:spacing w:val="-4"/>
          <w:w w:val="95"/>
          <w:sz w:val="14"/>
        </w:rPr>
        <w:t>NSW.</w:t>
      </w:r>
    </w:p>
    <w:p w:rsidR="002C1123" w:rsidRDefault="00F22F94">
      <w:pPr>
        <w:rPr>
          <w:sz w:val="24"/>
        </w:rPr>
      </w:pPr>
      <w:r>
        <w:br w:type="column"/>
      </w:r>
    </w:p>
    <w:p w:rsidR="002C1123" w:rsidRDefault="002C1123">
      <w:pPr>
        <w:pStyle w:val="BodyText"/>
        <w:spacing w:before="10"/>
        <w:rPr>
          <w:sz w:val="22"/>
        </w:rPr>
      </w:pPr>
    </w:p>
    <w:p w:rsidR="002C1123" w:rsidRDefault="00F22F94">
      <w:pPr>
        <w:pStyle w:val="BodyText"/>
        <w:spacing w:line="249" w:lineRule="auto"/>
        <w:ind w:left="227"/>
      </w:pPr>
      <w:r>
        <w:rPr>
          <w:w w:val="95"/>
        </w:rPr>
        <w:t>regularly</w:t>
      </w:r>
      <w:r>
        <w:rPr>
          <w:spacing w:val="-4"/>
          <w:w w:val="95"/>
        </w:rPr>
        <w:t xml:space="preserve"> </w:t>
      </w:r>
      <w:r>
        <w:rPr>
          <w:w w:val="95"/>
        </w:rPr>
        <w:t>spending</w:t>
      </w:r>
      <w:r>
        <w:rPr>
          <w:spacing w:val="-4"/>
          <w:w w:val="95"/>
        </w:rPr>
        <w:t xml:space="preserve"> </w:t>
      </w:r>
      <w:r>
        <w:rPr>
          <w:w w:val="95"/>
        </w:rPr>
        <w:t>significant</w:t>
      </w:r>
      <w:r>
        <w:rPr>
          <w:spacing w:val="-4"/>
          <w:w w:val="95"/>
        </w:rPr>
        <w:t xml:space="preserve"> </w:t>
      </w:r>
      <w:r>
        <w:rPr>
          <w:w w:val="95"/>
        </w:rPr>
        <w:t>work</w:t>
      </w:r>
      <w:r>
        <w:rPr>
          <w:spacing w:val="-4"/>
          <w:w w:val="95"/>
        </w:rPr>
        <w:t xml:space="preserve"> </w:t>
      </w:r>
      <w:r>
        <w:rPr>
          <w:w w:val="95"/>
        </w:rPr>
        <w:t>time</w:t>
      </w:r>
      <w:r>
        <w:rPr>
          <w:spacing w:val="-4"/>
          <w:w w:val="95"/>
        </w:rPr>
        <w:t xml:space="preserve"> </w:t>
      </w:r>
      <w:r>
        <w:rPr>
          <w:w w:val="95"/>
        </w:rPr>
        <w:t>not</w:t>
      </w:r>
      <w:r>
        <w:rPr>
          <w:spacing w:val="-4"/>
          <w:w w:val="95"/>
        </w:rPr>
        <w:t xml:space="preserve"> </w:t>
      </w:r>
      <w:r>
        <w:rPr>
          <w:w w:val="95"/>
        </w:rPr>
        <w:t>at</w:t>
      </w:r>
      <w:r>
        <w:rPr>
          <w:spacing w:val="-4"/>
          <w:w w:val="95"/>
        </w:rPr>
        <w:t xml:space="preserve"> </w:t>
      </w:r>
      <w:r>
        <w:rPr>
          <w:w w:val="95"/>
        </w:rPr>
        <w:t>home</w:t>
      </w:r>
      <w:r>
        <w:rPr>
          <w:spacing w:val="-4"/>
          <w:w w:val="95"/>
        </w:rPr>
        <w:t xml:space="preserve"> </w:t>
      </w:r>
      <w:r>
        <w:rPr>
          <w:w w:val="95"/>
        </w:rPr>
        <w:t xml:space="preserve">or </w:t>
      </w:r>
      <w:r>
        <w:t>in</w:t>
      </w:r>
      <w:r>
        <w:rPr>
          <w:spacing w:val="-14"/>
        </w:rPr>
        <w:t xml:space="preserve"> </w:t>
      </w:r>
      <w:r>
        <w:t>the</w:t>
      </w:r>
      <w:r>
        <w:rPr>
          <w:spacing w:val="-14"/>
        </w:rPr>
        <w:t xml:space="preserve"> </w:t>
      </w:r>
      <w:r>
        <w:t>office</w:t>
      </w:r>
      <w:r>
        <w:rPr>
          <w:spacing w:val="-14"/>
        </w:rPr>
        <w:t xml:space="preserve"> </w:t>
      </w:r>
      <w:r>
        <w:t>but</w:t>
      </w:r>
      <w:r>
        <w:rPr>
          <w:spacing w:val="-14"/>
        </w:rPr>
        <w:t xml:space="preserve"> </w:t>
      </w:r>
      <w:r>
        <w:t>in</w:t>
      </w:r>
      <w:r>
        <w:rPr>
          <w:spacing w:val="-14"/>
        </w:rPr>
        <w:t xml:space="preserve"> </w:t>
      </w:r>
      <w:r>
        <w:t>these</w:t>
      </w:r>
      <w:r>
        <w:rPr>
          <w:spacing w:val="-14"/>
        </w:rPr>
        <w:t xml:space="preserve"> </w:t>
      </w:r>
      <w:r>
        <w:t>third</w:t>
      </w:r>
      <w:r>
        <w:rPr>
          <w:spacing w:val="-13"/>
        </w:rPr>
        <w:t xml:space="preserve"> </w:t>
      </w:r>
      <w:r>
        <w:t>or</w:t>
      </w:r>
      <w:r>
        <w:rPr>
          <w:spacing w:val="-14"/>
        </w:rPr>
        <w:t xml:space="preserve"> </w:t>
      </w:r>
      <w:r>
        <w:t>intermediate</w:t>
      </w:r>
      <w:r>
        <w:rPr>
          <w:spacing w:val="-14"/>
        </w:rPr>
        <w:t xml:space="preserve"> </w:t>
      </w:r>
      <w:r>
        <w:t>spaces. The</w:t>
      </w:r>
      <w:r>
        <w:rPr>
          <w:spacing w:val="-8"/>
        </w:rPr>
        <w:t xml:space="preserve"> </w:t>
      </w:r>
      <w:r>
        <w:t>development</w:t>
      </w:r>
      <w:r>
        <w:rPr>
          <w:spacing w:val="-8"/>
        </w:rPr>
        <w:t xml:space="preserve"> </w:t>
      </w:r>
      <w:r>
        <w:t>of</w:t>
      </w:r>
      <w:r>
        <w:rPr>
          <w:spacing w:val="-8"/>
        </w:rPr>
        <w:t xml:space="preserve"> </w:t>
      </w:r>
      <w:r>
        <w:t>smart</w:t>
      </w:r>
      <w:r>
        <w:rPr>
          <w:spacing w:val="-8"/>
        </w:rPr>
        <w:t xml:space="preserve"> </w:t>
      </w:r>
      <w:r>
        <w:t>work</w:t>
      </w:r>
      <w:r>
        <w:rPr>
          <w:spacing w:val="-8"/>
        </w:rPr>
        <w:t xml:space="preserve"> </w:t>
      </w:r>
      <w:r>
        <w:t>stations</w:t>
      </w:r>
      <w:r>
        <w:rPr>
          <w:spacing w:val="-8"/>
        </w:rPr>
        <w:t xml:space="preserve"> </w:t>
      </w:r>
      <w:r>
        <w:t>means</w:t>
      </w:r>
      <w:r>
        <w:rPr>
          <w:spacing w:val="-8"/>
        </w:rPr>
        <w:t xml:space="preserve"> </w:t>
      </w:r>
      <w:r>
        <w:t>new infrastructure</w:t>
      </w:r>
      <w:r>
        <w:rPr>
          <w:spacing w:val="-14"/>
        </w:rPr>
        <w:t xml:space="preserve"> </w:t>
      </w:r>
      <w:r>
        <w:t>systems</w:t>
      </w:r>
      <w:r>
        <w:rPr>
          <w:spacing w:val="-14"/>
        </w:rPr>
        <w:t xml:space="preserve"> </w:t>
      </w:r>
      <w:r>
        <w:t>and</w:t>
      </w:r>
      <w:r>
        <w:rPr>
          <w:spacing w:val="-14"/>
        </w:rPr>
        <w:t xml:space="preserve"> </w:t>
      </w:r>
      <w:r>
        <w:t>innovations</w:t>
      </w:r>
      <w:r>
        <w:rPr>
          <w:spacing w:val="-14"/>
        </w:rPr>
        <w:t xml:space="preserve"> </w:t>
      </w:r>
      <w:r>
        <w:t>that</w:t>
      </w:r>
      <w:r>
        <w:rPr>
          <w:spacing w:val="-14"/>
        </w:rPr>
        <w:t xml:space="preserve"> </w:t>
      </w:r>
      <w:r>
        <w:t>integrate land</w:t>
      </w:r>
      <w:r>
        <w:rPr>
          <w:spacing w:val="-11"/>
        </w:rPr>
        <w:t xml:space="preserve"> </w:t>
      </w:r>
      <w:r>
        <w:t>use</w:t>
      </w:r>
      <w:r>
        <w:rPr>
          <w:spacing w:val="-11"/>
        </w:rPr>
        <w:t xml:space="preserve"> </w:t>
      </w:r>
      <w:r>
        <w:t>planning</w:t>
      </w:r>
      <w:r>
        <w:rPr>
          <w:spacing w:val="-11"/>
        </w:rPr>
        <w:t xml:space="preserve"> </w:t>
      </w:r>
      <w:r>
        <w:t>with</w:t>
      </w:r>
      <w:r>
        <w:rPr>
          <w:spacing w:val="-11"/>
        </w:rPr>
        <w:t xml:space="preserve"> </w:t>
      </w:r>
      <w:r>
        <w:t>different</w:t>
      </w:r>
      <w:r>
        <w:rPr>
          <w:spacing w:val="-11"/>
        </w:rPr>
        <w:t xml:space="preserve"> </w:t>
      </w:r>
      <w:r>
        <w:t>business</w:t>
      </w:r>
      <w:r>
        <w:rPr>
          <w:spacing w:val="-11"/>
        </w:rPr>
        <w:t xml:space="preserve"> </w:t>
      </w:r>
      <w:r>
        <w:t>models</w:t>
      </w:r>
      <w:r>
        <w:rPr>
          <w:spacing w:val="-11"/>
        </w:rPr>
        <w:t xml:space="preserve"> </w:t>
      </w:r>
      <w:r>
        <w:t>for infrastructure</w:t>
      </w:r>
      <w:r>
        <w:rPr>
          <w:spacing w:val="-11"/>
        </w:rPr>
        <w:t xml:space="preserve"> </w:t>
      </w:r>
      <w:r>
        <w:t>provision.</w:t>
      </w:r>
    </w:p>
    <w:p w:rsidR="002C1123" w:rsidRDefault="00F22F94">
      <w:pPr>
        <w:pStyle w:val="BodyText"/>
        <w:spacing w:before="147" w:line="249" w:lineRule="auto"/>
        <w:ind w:left="227" w:right="103"/>
      </w:pPr>
      <w:r>
        <w:t>But</w:t>
      </w:r>
      <w:r>
        <w:rPr>
          <w:spacing w:val="-7"/>
        </w:rPr>
        <w:t xml:space="preserve"> </w:t>
      </w:r>
      <w:r>
        <w:t>an</w:t>
      </w:r>
      <w:r>
        <w:rPr>
          <w:spacing w:val="-7"/>
        </w:rPr>
        <w:t xml:space="preserve"> </w:t>
      </w:r>
      <w:r>
        <w:t>enduring</w:t>
      </w:r>
      <w:r>
        <w:rPr>
          <w:spacing w:val="-7"/>
        </w:rPr>
        <w:t xml:space="preserve"> </w:t>
      </w:r>
      <w:r>
        <w:t>human</w:t>
      </w:r>
      <w:r>
        <w:rPr>
          <w:spacing w:val="-7"/>
        </w:rPr>
        <w:t xml:space="preserve"> </w:t>
      </w:r>
      <w:r>
        <w:t>need</w:t>
      </w:r>
      <w:r>
        <w:rPr>
          <w:spacing w:val="-7"/>
        </w:rPr>
        <w:t xml:space="preserve"> </w:t>
      </w:r>
      <w:r>
        <w:t>is</w:t>
      </w:r>
      <w:r>
        <w:rPr>
          <w:spacing w:val="-7"/>
        </w:rPr>
        <w:t xml:space="preserve"> </w:t>
      </w:r>
      <w:r>
        <w:t>for</w:t>
      </w:r>
      <w:r>
        <w:rPr>
          <w:spacing w:val="-7"/>
        </w:rPr>
        <w:t xml:space="preserve"> </w:t>
      </w:r>
      <w:r>
        <w:t>connection</w:t>
      </w:r>
      <w:r>
        <w:rPr>
          <w:spacing w:val="-7"/>
        </w:rPr>
        <w:t xml:space="preserve"> </w:t>
      </w:r>
      <w:r>
        <w:t>and collaboration.</w:t>
      </w:r>
      <w:r>
        <w:rPr>
          <w:spacing w:val="-14"/>
        </w:rPr>
        <w:t xml:space="preserve"> </w:t>
      </w:r>
      <w:r>
        <w:t>Workers</w:t>
      </w:r>
      <w:r>
        <w:rPr>
          <w:spacing w:val="-14"/>
        </w:rPr>
        <w:t xml:space="preserve"> </w:t>
      </w:r>
      <w:r>
        <w:t>still</w:t>
      </w:r>
      <w:r>
        <w:rPr>
          <w:spacing w:val="-14"/>
        </w:rPr>
        <w:t xml:space="preserve"> </w:t>
      </w:r>
      <w:r>
        <w:t>need</w:t>
      </w:r>
      <w:r>
        <w:rPr>
          <w:spacing w:val="-14"/>
        </w:rPr>
        <w:t xml:space="preserve"> </w:t>
      </w:r>
      <w:r>
        <w:t>an</w:t>
      </w:r>
      <w:r>
        <w:rPr>
          <w:spacing w:val="-14"/>
        </w:rPr>
        <w:t xml:space="preserve"> </w:t>
      </w:r>
      <w:r>
        <w:t>‘office’,</w:t>
      </w:r>
      <w:r>
        <w:rPr>
          <w:spacing w:val="-14"/>
        </w:rPr>
        <w:t xml:space="preserve"> </w:t>
      </w:r>
      <w:r>
        <w:t>but</w:t>
      </w:r>
      <w:r>
        <w:rPr>
          <w:spacing w:val="-14"/>
        </w:rPr>
        <w:t xml:space="preserve"> </w:t>
      </w:r>
      <w:r>
        <w:t xml:space="preserve">less </w:t>
      </w:r>
      <w:r>
        <w:rPr>
          <w:w w:val="95"/>
        </w:rPr>
        <w:t>and</w:t>
      </w:r>
      <w:r>
        <w:rPr>
          <w:spacing w:val="-2"/>
          <w:w w:val="95"/>
        </w:rPr>
        <w:t xml:space="preserve"> </w:t>
      </w:r>
      <w:r>
        <w:rPr>
          <w:w w:val="95"/>
        </w:rPr>
        <w:t>less</w:t>
      </w:r>
      <w:r>
        <w:rPr>
          <w:spacing w:val="-2"/>
          <w:w w:val="95"/>
        </w:rPr>
        <w:t xml:space="preserve"> </w:t>
      </w:r>
      <w:r>
        <w:rPr>
          <w:w w:val="95"/>
        </w:rPr>
        <w:t>of</w:t>
      </w:r>
      <w:r>
        <w:rPr>
          <w:spacing w:val="-2"/>
          <w:w w:val="95"/>
        </w:rPr>
        <w:t xml:space="preserve"> </w:t>
      </w:r>
      <w:r>
        <w:rPr>
          <w:w w:val="95"/>
        </w:rPr>
        <w:t>the</w:t>
      </w:r>
      <w:r>
        <w:rPr>
          <w:spacing w:val="-2"/>
          <w:w w:val="95"/>
        </w:rPr>
        <w:t xml:space="preserve"> </w:t>
      </w:r>
      <w:r>
        <w:rPr>
          <w:w w:val="95"/>
        </w:rPr>
        <w:t>sort</w:t>
      </w:r>
      <w:r>
        <w:rPr>
          <w:spacing w:val="-2"/>
          <w:w w:val="95"/>
        </w:rPr>
        <w:t xml:space="preserve"> </w:t>
      </w:r>
      <w:r>
        <w:rPr>
          <w:w w:val="95"/>
        </w:rPr>
        <w:t>that</w:t>
      </w:r>
      <w:r>
        <w:rPr>
          <w:spacing w:val="-2"/>
          <w:w w:val="95"/>
        </w:rPr>
        <w:t xml:space="preserve"> </w:t>
      </w:r>
      <w:r>
        <w:rPr>
          <w:w w:val="95"/>
        </w:rPr>
        <w:t>has</w:t>
      </w:r>
      <w:r>
        <w:rPr>
          <w:spacing w:val="-2"/>
          <w:w w:val="95"/>
        </w:rPr>
        <w:t xml:space="preserve"> </w:t>
      </w:r>
      <w:r>
        <w:rPr>
          <w:w w:val="95"/>
        </w:rPr>
        <w:t>been</w:t>
      </w:r>
      <w:r>
        <w:rPr>
          <w:spacing w:val="-2"/>
          <w:w w:val="95"/>
        </w:rPr>
        <w:t xml:space="preserve"> </w:t>
      </w:r>
      <w:r>
        <w:rPr>
          <w:w w:val="95"/>
        </w:rPr>
        <w:t>used</w:t>
      </w:r>
      <w:r>
        <w:rPr>
          <w:spacing w:val="-2"/>
          <w:w w:val="95"/>
        </w:rPr>
        <w:t xml:space="preserve"> </w:t>
      </w:r>
      <w:r>
        <w:rPr>
          <w:w w:val="95"/>
        </w:rPr>
        <w:t>for</w:t>
      </w:r>
      <w:r>
        <w:rPr>
          <w:spacing w:val="-2"/>
          <w:w w:val="95"/>
        </w:rPr>
        <w:t xml:space="preserve"> </w:t>
      </w:r>
      <w:r>
        <w:rPr>
          <w:w w:val="95"/>
        </w:rPr>
        <w:t>the</w:t>
      </w:r>
      <w:r>
        <w:rPr>
          <w:spacing w:val="-2"/>
          <w:w w:val="95"/>
        </w:rPr>
        <w:t xml:space="preserve"> </w:t>
      </w:r>
      <w:r>
        <w:rPr>
          <w:w w:val="95"/>
        </w:rPr>
        <w:t>last</w:t>
      </w:r>
      <w:r>
        <w:rPr>
          <w:spacing w:val="-2"/>
          <w:w w:val="95"/>
        </w:rPr>
        <w:t xml:space="preserve"> </w:t>
      </w:r>
      <w:r>
        <w:rPr>
          <w:w w:val="95"/>
        </w:rPr>
        <w:t>50 years</w:t>
      </w:r>
      <w:r>
        <w:rPr>
          <w:spacing w:val="-12"/>
          <w:w w:val="95"/>
        </w:rPr>
        <w:t xml:space="preserve"> </w:t>
      </w:r>
      <w:r>
        <w:rPr>
          <w:w w:val="95"/>
        </w:rPr>
        <w:t>or</w:t>
      </w:r>
      <w:r>
        <w:rPr>
          <w:spacing w:val="-11"/>
          <w:w w:val="95"/>
        </w:rPr>
        <w:t xml:space="preserve"> </w:t>
      </w:r>
      <w:r>
        <w:rPr>
          <w:w w:val="95"/>
        </w:rPr>
        <w:t>more.</w:t>
      </w:r>
      <w:r>
        <w:rPr>
          <w:spacing w:val="-11"/>
          <w:w w:val="95"/>
        </w:rPr>
        <w:t xml:space="preserve"> </w:t>
      </w:r>
      <w:r>
        <w:rPr>
          <w:w w:val="95"/>
        </w:rPr>
        <w:t>This</w:t>
      </w:r>
      <w:r>
        <w:rPr>
          <w:spacing w:val="-11"/>
          <w:w w:val="95"/>
        </w:rPr>
        <w:t xml:space="preserve"> </w:t>
      </w:r>
      <w:r>
        <w:rPr>
          <w:w w:val="95"/>
        </w:rPr>
        <w:t>is</w:t>
      </w:r>
      <w:r>
        <w:rPr>
          <w:spacing w:val="-11"/>
          <w:w w:val="95"/>
        </w:rPr>
        <w:t xml:space="preserve"> </w:t>
      </w:r>
      <w:r>
        <w:rPr>
          <w:w w:val="95"/>
        </w:rPr>
        <w:t>likely</w:t>
      </w:r>
      <w:r>
        <w:rPr>
          <w:spacing w:val="-11"/>
          <w:w w:val="95"/>
        </w:rPr>
        <w:t xml:space="preserve"> </w:t>
      </w:r>
      <w:r>
        <w:rPr>
          <w:w w:val="95"/>
        </w:rPr>
        <w:t>to</w:t>
      </w:r>
      <w:r>
        <w:rPr>
          <w:spacing w:val="-11"/>
          <w:w w:val="95"/>
        </w:rPr>
        <w:t xml:space="preserve"> </w:t>
      </w:r>
      <w:r>
        <w:rPr>
          <w:w w:val="95"/>
        </w:rPr>
        <w:t>lead</w:t>
      </w:r>
      <w:r>
        <w:rPr>
          <w:spacing w:val="-11"/>
          <w:w w:val="95"/>
        </w:rPr>
        <w:t xml:space="preserve"> </w:t>
      </w:r>
      <w:r>
        <w:rPr>
          <w:w w:val="95"/>
        </w:rPr>
        <w:t>to</w:t>
      </w:r>
      <w:r>
        <w:rPr>
          <w:spacing w:val="-12"/>
          <w:w w:val="95"/>
        </w:rPr>
        <w:t xml:space="preserve"> </w:t>
      </w:r>
      <w:r>
        <w:rPr>
          <w:w w:val="95"/>
        </w:rPr>
        <w:t>a</w:t>
      </w:r>
      <w:r>
        <w:rPr>
          <w:spacing w:val="-11"/>
          <w:w w:val="95"/>
        </w:rPr>
        <w:t xml:space="preserve"> </w:t>
      </w:r>
      <w:r>
        <w:rPr>
          <w:w w:val="95"/>
        </w:rPr>
        <w:t>different</w:t>
      </w:r>
      <w:r>
        <w:rPr>
          <w:spacing w:val="-11"/>
          <w:w w:val="95"/>
        </w:rPr>
        <w:t xml:space="preserve"> </w:t>
      </w:r>
      <w:r>
        <w:rPr>
          <w:w w:val="95"/>
        </w:rPr>
        <w:t>mix</w:t>
      </w:r>
      <w:r>
        <w:rPr>
          <w:spacing w:val="-11"/>
          <w:w w:val="95"/>
        </w:rPr>
        <w:t xml:space="preserve"> </w:t>
      </w:r>
      <w:r>
        <w:rPr>
          <w:w w:val="95"/>
        </w:rPr>
        <w:t xml:space="preserve">of </w:t>
      </w:r>
      <w:r>
        <w:t>cleverly</w:t>
      </w:r>
      <w:r>
        <w:rPr>
          <w:spacing w:val="-14"/>
        </w:rPr>
        <w:t xml:space="preserve"> </w:t>
      </w:r>
      <w:r>
        <w:t>designed</w:t>
      </w:r>
      <w:r>
        <w:rPr>
          <w:spacing w:val="-14"/>
        </w:rPr>
        <w:t xml:space="preserve"> </w:t>
      </w:r>
      <w:r>
        <w:t>places</w:t>
      </w:r>
      <w:r>
        <w:rPr>
          <w:spacing w:val="-14"/>
        </w:rPr>
        <w:t xml:space="preserve"> </w:t>
      </w:r>
      <w:r>
        <w:t>and</w:t>
      </w:r>
      <w:r>
        <w:rPr>
          <w:spacing w:val="-14"/>
        </w:rPr>
        <w:t xml:space="preserve"> </w:t>
      </w:r>
      <w:r>
        <w:t>spaces</w:t>
      </w:r>
      <w:r>
        <w:rPr>
          <w:spacing w:val="-14"/>
        </w:rPr>
        <w:t xml:space="preserve"> </w:t>
      </w:r>
      <w:r>
        <w:t>where</w:t>
      </w:r>
      <w:r>
        <w:rPr>
          <w:spacing w:val="-14"/>
        </w:rPr>
        <w:t xml:space="preserve"> </w:t>
      </w:r>
      <w:r>
        <w:t xml:space="preserve">people, </w:t>
      </w:r>
      <w:r>
        <w:rPr>
          <w:w w:val="95"/>
        </w:rPr>
        <w:t xml:space="preserve">workers and citizens can congregate and connect for </w:t>
      </w:r>
      <w:r>
        <w:t>all sorts of work-related reasons.</w:t>
      </w:r>
    </w:p>
    <w:p w:rsidR="002C1123" w:rsidRDefault="00F22F94">
      <w:pPr>
        <w:pStyle w:val="BodyText"/>
        <w:spacing w:before="147" w:line="249" w:lineRule="auto"/>
        <w:ind w:left="227" w:right="300"/>
      </w:pPr>
      <w:r>
        <w:t>This</w:t>
      </w:r>
      <w:r>
        <w:rPr>
          <w:spacing w:val="-12"/>
        </w:rPr>
        <w:t xml:space="preserve"> </w:t>
      </w:r>
      <w:r>
        <w:t>focuses</w:t>
      </w:r>
      <w:r>
        <w:rPr>
          <w:spacing w:val="-12"/>
        </w:rPr>
        <w:t xml:space="preserve"> </w:t>
      </w:r>
      <w:r>
        <w:t>Infrastructure</w:t>
      </w:r>
      <w:r>
        <w:rPr>
          <w:spacing w:val="-12"/>
        </w:rPr>
        <w:t xml:space="preserve"> </w:t>
      </w:r>
      <w:r>
        <w:t>NSW’s</w:t>
      </w:r>
      <w:r>
        <w:rPr>
          <w:spacing w:val="-12"/>
        </w:rPr>
        <w:t xml:space="preserve"> </w:t>
      </w:r>
      <w:r>
        <w:t>attention</w:t>
      </w:r>
      <w:r>
        <w:rPr>
          <w:spacing w:val="-12"/>
        </w:rPr>
        <w:t xml:space="preserve"> </w:t>
      </w:r>
      <w:r>
        <w:t xml:space="preserve">on </w:t>
      </w:r>
      <w:r>
        <w:rPr>
          <w:w w:val="95"/>
        </w:rPr>
        <w:t>the importance of amenity of towns and suburbs -</w:t>
      </w:r>
    </w:p>
    <w:p w:rsidR="002C1123" w:rsidRDefault="00F22F94">
      <w:pPr>
        <w:pStyle w:val="BodyText"/>
        <w:spacing w:before="2" w:line="249" w:lineRule="auto"/>
        <w:ind w:left="227" w:right="103"/>
      </w:pPr>
      <w:r>
        <w:rPr>
          <w:w w:val="95"/>
        </w:rPr>
        <w:t>appeal</w:t>
      </w:r>
      <w:r>
        <w:rPr>
          <w:spacing w:val="-2"/>
          <w:w w:val="95"/>
        </w:rPr>
        <w:t xml:space="preserve"> </w:t>
      </w:r>
      <w:r>
        <w:rPr>
          <w:w w:val="95"/>
        </w:rPr>
        <w:t>and</w:t>
      </w:r>
      <w:r>
        <w:rPr>
          <w:spacing w:val="-2"/>
          <w:w w:val="95"/>
        </w:rPr>
        <w:t xml:space="preserve"> </w:t>
      </w:r>
      <w:r>
        <w:rPr>
          <w:w w:val="95"/>
        </w:rPr>
        <w:t>design,</w:t>
      </w:r>
      <w:r>
        <w:rPr>
          <w:spacing w:val="-2"/>
          <w:w w:val="95"/>
        </w:rPr>
        <w:t xml:space="preserve"> </w:t>
      </w:r>
      <w:r>
        <w:rPr>
          <w:w w:val="95"/>
        </w:rPr>
        <w:t>facilities,</w:t>
      </w:r>
      <w:r>
        <w:rPr>
          <w:spacing w:val="-2"/>
          <w:w w:val="95"/>
        </w:rPr>
        <w:t xml:space="preserve"> </w:t>
      </w:r>
      <w:r>
        <w:rPr>
          <w:w w:val="95"/>
        </w:rPr>
        <w:t>risks</w:t>
      </w:r>
      <w:r>
        <w:rPr>
          <w:spacing w:val="-2"/>
          <w:w w:val="95"/>
        </w:rPr>
        <w:t xml:space="preserve"> </w:t>
      </w:r>
      <w:r>
        <w:rPr>
          <w:w w:val="95"/>
        </w:rPr>
        <w:t>and</w:t>
      </w:r>
      <w:r>
        <w:rPr>
          <w:spacing w:val="-2"/>
          <w:w w:val="95"/>
        </w:rPr>
        <w:t xml:space="preserve"> </w:t>
      </w:r>
      <w:r>
        <w:rPr>
          <w:w w:val="95"/>
        </w:rPr>
        <w:t xml:space="preserve">opportunities, </w:t>
      </w:r>
      <w:r>
        <w:t>all</w:t>
      </w:r>
      <w:r>
        <w:rPr>
          <w:spacing w:val="-9"/>
        </w:rPr>
        <w:t xml:space="preserve"> </w:t>
      </w:r>
      <w:r>
        <w:t>become</w:t>
      </w:r>
      <w:r>
        <w:rPr>
          <w:spacing w:val="-9"/>
        </w:rPr>
        <w:t xml:space="preserve"> </w:t>
      </w:r>
      <w:r>
        <w:t>a</w:t>
      </w:r>
      <w:r>
        <w:rPr>
          <w:spacing w:val="-9"/>
        </w:rPr>
        <w:t xml:space="preserve"> </w:t>
      </w:r>
      <w:r>
        <w:t>powerful</w:t>
      </w:r>
      <w:r>
        <w:rPr>
          <w:spacing w:val="-9"/>
        </w:rPr>
        <w:t xml:space="preserve"> </w:t>
      </w:r>
      <w:r>
        <w:t>element</w:t>
      </w:r>
      <w:r>
        <w:rPr>
          <w:spacing w:val="-9"/>
        </w:rPr>
        <w:t xml:space="preserve"> </w:t>
      </w:r>
      <w:r>
        <w:t>in</w:t>
      </w:r>
      <w:r>
        <w:rPr>
          <w:spacing w:val="-9"/>
        </w:rPr>
        <w:t xml:space="preserve"> </w:t>
      </w:r>
      <w:r>
        <w:t>the</w:t>
      </w:r>
      <w:r>
        <w:rPr>
          <w:spacing w:val="-9"/>
        </w:rPr>
        <w:t xml:space="preserve"> </w:t>
      </w:r>
      <w:r>
        <w:t>equation.</w:t>
      </w:r>
    </w:p>
    <w:p w:rsidR="002C1123" w:rsidRDefault="00F22F94">
      <w:pPr>
        <w:pStyle w:val="BodyText"/>
        <w:spacing w:before="1" w:line="249" w:lineRule="auto"/>
        <w:ind w:left="227"/>
      </w:pPr>
      <w:r>
        <w:t>Evidence</w:t>
      </w:r>
      <w:r>
        <w:rPr>
          <w:spacing w:val="-14"/>
        </w:rPr>
        <w:t xml:space="preserve"> </w:t>
      </w:r>
      <w:r>
        <w:t>from</w:t>
      </w:r>
      <w:r>
        <w:rPr>
          <w:spacing w:val="-14"/>
        </w:rPr>
        <w:t xml:space="preserve"> </w:t>
      </w:r>
      <w:r>
        <w:t>leading</w:t>
      </w:r>
      <w:r>
        <w:rPr>
          <w:spacing w:val="-14"/>
        </w:rPr>
        <w:t xml:space="preserve"> </w:t>
      </w:r>
      <w:r>
        <w:t>cities</w:t>
      </w:r>
      <w:r>
        <w:rPr>
          <w:spacing w:val="-13"/>
        </w:rPr>
        <w:t xml:space="preserve"> </w:t>
      </w:r>
      <w:r>
        <w:t>and</w:t>
      </w:r>
      <w:r>
        <w:rPr>
          <w:spacing w:val="-14"/>
        </w:rPr>
        <w:t xml:space="preserve"> </w:t>
      </w:r>
      <w:r>
        <w:t>regions,</w:t>
      </w:r>
      <w:r>
        <w:rPr>
          <w:spacing w:val="-14"/>
        </w:rPr>
        <w:t xml:space="preserve"> </w:t>
      </w:r>
      <w:r>
        <w:t xml:space="preserve">including </w:t>
      </w:r>
      <w:r>
        <w:rPr>
          <w:w w:val="95"/>
        </w:rPr>
        <w:t>Amsterdam,</w:t>
      </w:r>
      <w:r>
        <w:rPr>
          <w:spacing w:val="-6"/>
          <w:w w:val="95"/>
        </w:rPr>
        <w:t xml:space="preserve"> </w:t>
      </w:r>
      <w:r>
        <w:rPr>
          <w:w w:val="95"/>
        </w:rPr>
        <w:t>Seoul,</w:t>
      </w:r>
      <w:r>
        <w:rPr>
          <w:spacing w:val="-6"/>
          <w:w w:val="95"/>
        </w:rPr>
        <w:t xml:space="preserve"> </w:t>
      </w:r>
      <w:r>
        <w:rPr>
          <w:w w:val="95"/>
        </w:rPr>
        <w:t>London,</w:t>
      </w:r>
      <w:r>
        <w:rPr>
          <w:spacing w:val="-6"/>
          <w:w w:val="95"/>
        </w:rPr>
        <w:t xml:space="preserve"> </w:t>
      </w:r>
      <w:r>
        <w:rPr>
          <w:w w:val="95"/>
        </w:rPr>
        <w:t>Paris,</w:t>
      </w:r>
      <w:r>
        <w:rPr>
          <w:spacing w:val="-6"/>
          <w:w w:val="95"/>
        </w:rPr>
        <w:t xml:space="preserve"> </w:t>
      </w:r>
      <w:r>
        <w:rPr>
          <w:w w:val="95"/>
        </w:rPr>
        <w:t>and</w:t>
      </w:r>
      <w:r>
        <w:rPr>
          <w:spacing w:val="-6"/>
          <w:w w:val="95"/>
        </w:rPr>
        <w:t xml:space="preserve"> </w:t>
      </w:r>
      <w:r>
        <w:rPr>
          <w:w w:val="95"/>
        </w:rPr>
        <w:t>the</w:t>
      </w:r>
      <w:r>
        <w:rPr>
          <w:spacing w:val="-6"/>
          <w:w w:val="95"/>
        </w:rPr>
        <w:t xml:space="preserve"> </w:t>
      </w:r>
      <w:r>
        <w:rPr>
          <w:w w:val="95"/>
        </w:rPr>
        <w:t xml:space="preserve">innovation </w:t>
      </w:r>
      <w:r>
        <w:t>hubs</w:t>
      </w:r>
      <w:r>
        <w:rPr>
          <w:spacing w:val="-7"/>
        </w:rPr>
        <w:t xml:space="preserve"> </w:t>
      </w:r>
      <w:r>
        <w:t>springing</w:t>
      </w:r>
      <w:r>
        <w:rPr>
          <w:spacing w:val="-7"/>
        </w:rPr>
        <w:t xml:space="preserve"> </w:t>
      </w:r>
      <w:r>
        <w:t>up</w:t>
      </w:r>
      <w:r>
        <w:rPr>
          <w:spacing w:val="-7"/>
        </w:rPr>
        <w:t xml:space="preserve"> </w:t>
      </w:r>
      <w:r>
        <w:t>in</w:t>
      </w:r>
      <w:r>
        <w:rPr>
          <w:spacing w:val="-7"/>
        </w:rPr>
        <w:t xml:space="preserve"> </w:t>
      </w:r>
      <w:r>
        <w:t>East</w:t>
      </w:r>
      <w:r>
        <w:rPr>
          <w:spacing w:val="-7"/>
        </w:rPr>
        <w:t xml:space="preserve"> </w:t>
      </w:r>
      <w:r>
        <w:t>London</w:t>
      </w:r>
      <w:r>
        <w:rPr>
          <w:spacing w:val="-7"/>
        </w:rPr>
        <w:t xml:space="preserve"> </w:t>
      </w:r>
      <w:r>
        <w:t>and</w:t>
      </w:r>
      <w:r>
        <w:rPr>
          <w:spacing w:val="-7"/>
        </w:rPr>
        <w:t xml:space="preserve"> </w:t>
      </w:r>
      <w:r>
        <w:t xml:space="preserve">Birmingham </w:t>
      </w:r>
      <w:r>
        <w:rPr>
          <w:w w:val="95"/>
        </w:rPr>
        <w:t xml:space="preserve">for example, suggests a powerful collision of design, </w:t>
      </w:r>
      <w:r>
        <w:t>economics, property development, science and technology</w:t>
      </w:r>
      <w:r>
        <w:rPr>
          <w:spacing w:val="-14"/>
        </w:rPr>
        <w:t xml:space="preserve"> </w:t>
      </w:r>
      <w:r>
        <w:t>is</w:t>
      </w:r>
      <w:r>
        <w:rPr>
          <w:spacing w:val="-14"/>
        </w:rPr>
        <w:t xml:space="preserve"> </w:t>
      </w:r>
      <w:r>
        <w:t>fuelling</w:t>
      </w:r>
      <w:r>
        <w:rPr>
          <w:spacing w:val="-14"/>
        </w:rPr>
        <w:t xml:space="preserve"> </w:t>
      </w:r>
      <w:r>
        <w:t>exciting</w:t>
      </w:r>
      <w:r>
        <w:rPr>
          <w:spacing w:val="-14"/>
        </w:rPr>
        <w:t xml:space="preserve"> </w:t>
      </w:r>
      <w:r>
        <w:t>experiments</w:t>
      </w:r>
      <w:r>
        <w:rPr>
          <w:spacing w:val="-14"/>
        </w:rPr>
        <w:t xml:space="preserve"> </w:t>
      </w:r>
      <w:r>
        <w:t>in</w:t>
      </w:r>
      <w:r>
        <w:rPr>
          <w:spacing w:val="-14"/>
        </w:rPr>
        <w:t xml:space="preserve"> </w:t>
      </w:r>
      <w:r>
        <w:t>new ‘office’</w:t>
      </w:r>
      <w:r>
        <w:rPr>
          <w:spacing w:val="-4"/>
        </w:rPr>
        <w:t xml:space="preserve"> </w:t>
      </w:r>
      <w:r>
        <w:t>or</w:t>
      </w:r>
      <w:r>
        <w:rPr>
          <w:spacing w:val="-4"/>
        </w:rPr>
        <w:t xml:space="preserve"> </w:t>
      </w:r>
      <w:r>
        <w:t>collaborative</w:t>
      </w:r>
      <w:r>
        <w:rPr>
          <w:spacing w:val="-4"/>
        </w:rPr>
        <w:t xml:space="preserve"> </w:t>
      </w:r>
      <w:r>
        <w:t>work</w:t>
      </w:r>
      <w:r>
        <w:rPr>
          <w:spacing w:val="-4"/>
        </w:rPr>
        <w:t xml:space="preserve"> </w:t>
      </w:r>
      <w:r>
        <w:t>environments.</w:t>
      </w:r>
    </w:p>
    <w:p w:rsidR="002C1123" w:rsidRDefault="00F22F94">
      <w:pPr>
        <w:pStyle w:val="BodyText"/>
        <w:spacing w:before="148" w:line="249" w:lineRule="auto"/>
        <w:ind w:left="227"/>
      </w:pPr>
      <w:r>
        <w:rPr>
          <w:w w:val="95"/>
        </w:rPr>
        <w:t>Enabling</w:t>
      </w:r>
      <w:r>
        <w:rPr>
          <w:spacing w:val="-11"/>
          <w:w w:val="95"/>
        </w:rPr>
        <w:t xml:space="preserve"> </w:t>
      </w:r>
      <w:r>
        <w:rPr>
          <w:w w:val="95"/>
        </w:rPr>
        <w:t>these</w:t>
      </w:r>
      <w:r>
        <w:rPr>
          <w:spacing w:val="-11"/>
          <w:w w:val="95"/>
        </w:rPr>
        <w:t xml:space="preserve"> </w:t>
      </w:r>
      <w:r>
        <w:rPr>
          <w:w w:val="95"/>
        </w:rPr>
        <w:t>innovation</w:t>
      </w:r>
      <w:r>
        <w:rPr>
          <w:spacing w:val="-11"/>
          <w:w w:val="95"/>
        </w:rPr>
        <w:t xml:space="preserve"> </w:t>
      </w:r>
      <w:r>
        <w:rPr>
          <w:w w:val="95"/>
        </w:rPr>
        <w:t>hubs</w:t>
      </w:r>
      <w:r>
        <w:rPr>
          <w:spacing w:val="-11"/>
          <w:w w:val="95"/>
        </w:rPr>
        <w:t xml:space="preserve"> </w:t>
      </w:r>
      <w:r>
        <w:rPr>
          <w:w w:val="95"/>
        </w:rPr>
        <w:t>requires</w:t>
      </w:r>
      <w:r>
        <w:rPr>
          <w:spacing w:val="-11"/>
          <w:w w:val="95"/>
        </w:rPr>
        <w:t xml:space="preserve"> </w:t>
      </w:r>
      <w:r>
        <w:rPr>
          <w:w w:val="95"/>
        </w:rPr>
        <w:t>a</w:t>
      </w:r>
      <w:r>
        <w:rPr>
          <w:spacing w:val="-11"/>
          <w:w w:val="95"/>
        </w:rPr>
        <w:t xml:space="preserve"> </w:t>
      </w:r>
      <w:r>
        <w:rPr>
          <w:w w:val="95"/>
        </w:rPr>
        <w:t xml:space="preserve">planning </w:t>
      </w:r>
      <w:r>
        <w:t>system</w:t>
      </w:r>
      <w:r>
        <w:rPr>
          <w:spacing w:val="-6"/>
        </w:rPr>
        <w:t xml:space="preserve"> </w:t>
      </w:r>
      <w:r>
        <w:t>that</w:t>
      </w:r>
      <w:r>
        <w:rPr>
          <w:spacing w:val="-5"/>
        </w:rPr>
        <w:t xml:space="preserve"> </w:t>
      </w:r>
      <w:r>
        <w:t>supports</w:t>
      </w:r>
      <w:r>
        <w:rPr>
          <w:spacing w:val="-5"/>
        </w:rPr>
        <w:t xml:space="preserve"> </w:t>
      </w:r>
      <w:r>
        <w:t>flexible</w:t>
      </w:r>
      <w:r>
        <w:rPr>
          <w:spacing w:val="-5"/>
        </w:rPr>
        <w:t xml:space="preserve"> </w:t>
      </w:r>
      <w:r>
        <w:t>development</w:t>
      </w:r>
      <w:r>
        <w:rPr>
          <w:spacing w:val="-5"/>
        </w:rPr>
        <w:t xml:space="preserve"> </w:t>
      </w:r>
      <w:r>
        <w:t>and transport infrastructure that accommodates new journey</w:t>
      </w:r>
      <w:r>
        <w:rPr>
          <w:spacing w:val="-11"/>
        </w:rPr>
        <w:t xml:space="preserve"> </w:t>
      </w:r>
      <w:r>
        <w:t>patterns.</w:t>
      </w:r>
    </w:p>
    <w:p w:rsidR="002C1123" w:rsidRDefault="00F22F94">
      <w:pPr>
        <w:pStyle w:val="Heading5"/>
        <w:numPr>
          <w:ilvl w:val="1"/>
          <w:numId w:val="147"/>
        </w:numPr>
        <w:tabs>
          <w:tab w:val="left" w:pos="828"/>
        </w:tabs>
        <w:spacing w:before="129" w:line="223" w:lineRule="auto"/>
        <w:ind w:left="827" w:right="2397" w:hanging="450"/>
        <w:jc w:val="left"/>
        <w:rPr>
          <w:color w:val="EC008C"/>
        </w:rPr>
      </w:pPr>
      <w:r>
        <w:rPr>
          <w:b w:val="0"/>
        </w:rPr>
        <w:br w:type="column"/>
      </w:r>
      <w:r>
        <w:rPr>
          <w:color w:val="EC008C"/>
          <w:spacing w:val="-2"/>
        </w:rPr>
        <w:t>Forecast</w:t>
      </w:r>
      <w:r>
        <w:rPr>
          <w:color w:val="EC008C"/>
          <w:spacing w:val="-18"/>
        </w:rPr>
        <w:t xml:space="preserve"> </w:t>
      </w:r>
      <w:r>
        <w:rPr>
          <w:color w:val="EC008C"/>
          <w:spacing w:val="-2"/>
        </w:rPr>
        <w:t>of</w:t>
      </w:r>
      <w:r>
        <w:rPr>
          <w:color w:val="EC008C"/>
          <w:spacing w:val="-17"/>
        </w:rPr>
        <w:t xml:space="preserve"> </w:t>
      </w:r>
      <w:r>
        <w:rPr>
          <w:color w:val="EC008C"/>
          <w:spacing w:val="-2"/>
        </w:rPr>
        <w:t>the</w:t>
      </w:r>
      <w:r>
        <w:rPr>
          <w:color w:val="EC008C"/>
          <w:spacing w:val="-18"/>
        </w:rPr>
        <w:t xml:space="preserve"> </w:t>
      </w:r>
      <w:r>
        <w:rPr>
          <w:color w:val="EC008C"/>
          <w:spacing w:val="-2"/>
        </w:rPr>
        <w:t xml:space="preserve">NSW </w:t>
      </w:r>
      <w:r>
        <w:rPr>
          <w:color w:val="EC008C"/>
        </w:rPr>
        <w:t>economy in 2031</w:t>
      </w:r>
    </w:p>
    <w:p w:rsidR="002C1123" w:rsidRDefault="00F22F94">
      <w:pPr>
        <w:pStyle w:val="BodyText"/>
        <w:spacing w:before="140" w:line="249" w:lineRule="auto"/>
        <w:ind w:left="378" w:right="616"/>
      </w:pPr>
      <w:r>
        <w:rPr>
          <w:w w:val="95"/>
        </w:rPr>
        <w:t xml:space="preserve">Infrastructure NSW engaged Deloitte Access Economics </w:t>
      </w:r>
      <w:r>
        <w:t>to</w:t>
      </w:r>
      <w:r>
        <w:rPr>
          <w:spacing w:val="-13"/>
        </w:rPr>
        <w:t xml:space="preserve"> </w:t>
      </w:r>
      <w:r>
        <w:t>prepare</w:t>
      </w:r>
      <w:r>
        <w:rPr>
          <w:spacing w:val="-13"/>
        </w:rPr>
        <w:t xml:space="preserve"> </w:t>
      </w:r>
      <w:r>
        <w:t>a</w:t>
      </w:r>
      <w:r>
        <w:rPr>
          <w:spacing w:val="-13"/>
        </w:rPr>
        <w:t xml:space="preserve"> </w:t>
      </w:r>
      <w:r>
        <w:t>baseline</w:t>
      </w:r>
      <w:r>
        <w:rPr>
          <w:spacing w:val="-13"/>
        </w:rPr>
        <w:t xml:space="preserve"> </w:t>
      </w:r>
      <w:r>
        <w:t>economic</w:t>
      </w:r>
      <w:r>
        <w:rPr>
          <w:spacing w:val="-13"/>
        </w:rPr>
        <w:t xml:space="preserve"> </w:t>
      </w:r>
      <w:r>
        <w:t>forecast</w:t>
      </w:r>
      <w:r>
        <w:rPr>
          <w:spacing w:val="-13"/>
        </w:rPr>
        <w:t xml:space="preserve"> </w:t>
      </w:r>
      <w:r>
        <w:t>to</w:t>
      </w:r>
      <w:r>
        <w:rPr>
          <w:spacing w:val="-13"/>
        </w:rPr>
        <w:t xml:space="preserve"> </w:t>
      </w:r>
      <w:r>
        <w:t>2031-32</w:t>
      </w:r>
      <w:r>
        <w:rPr>
          <w:spacing w:val="-13"/>
        </w:rPr>
        <w:t xml:space="preserve"> </w:t>
      </w:r>
      <w:r>
        <w:t>for use</w:t>
      </w:r>
      <w:r>
        <w:rPr>
          <w:spacing w:val="-14"/>
        </w:rPr>
        <w:t xml:space="preserve"> </w:t>
      </w:r>
      <w:r>
        <w:t>by</w:t>
      </w:r>
      <w:r>
        <w:rPr>
          <w:spacing w:val="-14"/>
        </w:rPr>
        <w:t xml:space="preserve"> </w:t>
      </w:r>
      <w:r>
        <w:t>the</w:t>
      </w:r>
      <w:r>
        <w:rPr>
          <w:spacing w:val="-14"/>
        </w:rPr>
        <w:t xml:space="preserve"> </w:t>
      </w:r>
      <w:r>
        <w:t>Strategy,</w:t>
      </w:r>
      <w:r>
        <w:rPr>
          <w:spacing w:val="-14"/>
        </w:rPr>
        <w:t xml:space="preserve"> </w:t>
      </w:r>
      <w:r>
        <w:t>the</w:t>
      </w:r>
      <w:r>
        <w:rPr>
          <w:spacing w:val="-14"/>
        </w:rPr>
        <w:t xml:space="preserve"> </w:t>
      </w:r>
      <w:r>
        <w:t>Metropolitan</w:t>
      </w:r>
      <w:r>
        <w:rPr>
          <w:spacing w:val="-14"/>
        </w:rPr>
        <w:t xml:space="preserve"> </w:t>
      </w:r>
      <w:r>
        <w:t>Plan</w:t>
      </w:r>
      <w:r>
        <w:rPr>
          <w:spacing w:val="-14"/>
        </w:rPr>
        <w:t xml:space="preserve"> </w:t>
      </w:r>
      <w:r>
        <w:t>for</w:t>
      </w:r>
      <w:r>
        <w:rPr>
          <w:spacing w:val="-14"/>
        </w:rPr>
        <w:t xml:space="preserve"> </w:t>
      </w:r>
      <w:r>
        <w:t>Sydney and</w:t>
      </w:r>
      <w:r>
        <w:rPr>
          <w:spacing w:val="-13"/>
        </w:rPr>
        <w:t xml:space="preserve"> </w:t>
      </w:r>
      <w:r>
        <w:t>the</w:t>
      </w:r>
      <w:r>
        <w:rPr>
          <w:spacing w:val="-13"/>
        </w:rPr>
        <w:t xml:space="preserve"> </w:t>
      </w:r>
      <w:r>
        <w:t>Long</w:t>
      </w:r>
      <w:r>
        <w:rPr>
          <w:spacing w:val="-13"/>
        </w:rPr>
        <w:t xml:space="preserve"> </w:t>
      </w:r>
      <w:r>
        <w:t>Term</w:t>
      </w:r>
      <w:r>
        <w:rPr>
          <w:spacing w:val="-13"/>
        </w:rPr>
        <w:t xml:space="preserve"> </w:t>
      </w:r>
      <w:r>
        <w:t>Transport</w:t>
      </w:r>
      <w:r>
        <w:rPr>
          <w:spacing w:val="-13"/>
        </w:rPr>
        <w:t xml:space="preserve"> </w:t>
      </w:r>
      <w:r>
        <w:t>Master</w:t>
      </w:r>
      <w:r>
        <w:rPr>
          <w:spacing w:val="-13"/>
        </w:rPr>
        <w:t xml:space="preserve"> </w:t>
      </w:r>
      <w:r>
        <w:t>Plan.</w:t>
      </w:r>
    </w:p>
    <w:p w:rsidR="002C1123" w:rsidRDefault="00F22F94">
      <w:pPr>
        <w:pStyle w:val="BodyText"/>
        <w:spacing w:before="145"/>
        <w:ind w:left="378"/>
      </w:pPr>
      <w:r>
        <w:rPr>
          <w:spacing w:val="-2"/>
          <w:w w:val="95"/>
        </w:rPr>
        <w:t>Key</w:t>
      </w:r>
      <w:r>
        <w:rPr>
          <w:spacing w:val="-3"/>
          <w:w w:val="95"/>
        </w:rPr>
        <w:t xml:space="preserve"> </w:t>
      </w:r>
      <w:r>
        <w:rPr>
          <w:spacing w:val="-2"/>
          <w:w w:val="95"/>
        </w:rPr>
        <w:t>forecasts</w:t>
      </w:r>
      <w:r>
        <w:rPr>
          <w:spacing w:val="-3"/>
          <w:w w:val="95"/>
        </w:rPr>
        <w:t xml:space="preserve"> </w:t>
      </w:r>
      <w:r>
        <w:rPr>
          <w:spacing w:val="-2"/>
          <w:w w:val="95"/>
        </w:rPr>
        <w:t>are</w:t>
      </w:r>
      <w:r>
        <w:rPr>
          <w:spacing w:val="-5"/>
        </w:rPr>
        <w:t xml:space="preserve"> </w:t>
      </w:r>
      <w:r>
        <w:rPr>
          <w:spacing w:val="-2"/>
          <w:w w:val="95"/>
        </w:rPr>
        <w:t>provided</w:t>
      </w:r>
      <w:r>
        <w:rPr>
          <w:spacing w:val="-3"/>
          <w:w w:val="95"/>
        </w:rPr>
        <w:t xml:space="preserve"> </w:t>
      </w:r>
      <w:r>
        <w:rPr>
          <w:spacing w:val="-2"/>
          <w:w w:val="95"/>
        </w:rPr>
        <w:t>in</w:t>
      </w:r>
      <w:r>
        <w:rPr>
          <w:spacing w:val="-5"/>
        </w:rPr>
        <w:t xml:space="preserve"> </w:t>
      </w:r>
      <w:r>
        <w:rPr>
          <w:spacing w:val="-2"/>
          <w:w w:val="95"/>
        </w:rPr>
        <w:t>Table</w:t>
      </w:r>
      <w:r>
        <w:rPr>
          <w:spacing w:val="-3"/>
          <w:w w:val="95"/>
        </w:rPr>
        <w:t xml:space="preserve"> </w:t>
      </w:r>
      <w:r>
        <w:rPr>
          <w:spacing w:val="-4"/>
          <w:w w:val="95"/>
        </w:rPr>
        <w:t>2.1.</w:t>
      </w:r>
    </w:p>
    <w:p w:rsidR="002C1123" w:rsidRDefault="00F22F94">
      <w:pPr>
        <w:spacing w:before="196"/>
        <w:ind w:left="378"/>
        <w:rPr>
          <w:b/>
          <w:sz w:val="18"/>
        </w:rPr>
      </w:pPr>
      <w:r>
        <w:rPr>
          <w:b/>
          <w:spacing w:val="-2"/>
          <w:sz w:val="18"/>
        </w:rPr>
        <w:t>Table</w:t>
      </w:r>
      <w:r>
        <w:rPr>
          <w:b/>
          <w:spacing w:val="-19"/>
          <w:sz w:val="18"/>
        </w:rPr>
        <w:t xml:space="preserve"> </w:t>
      </w:r>
      <w:r>
        <w:rPr>
          <w:b/>
          <w:spacing w:val="-2"/>
          <w:sz w:val="18"/>
        </w:rPr>
        <w:t>2.1</w:t>
      </w:r>
      <w:r>
        <w:rPr>
          <w:b/>
          <w:spacing w:val="6"/>
          <w:sz w:val="18"/>
        </w:rPr>
        <w:t xml:space="preserve"> </w:t>
      </w:r>
      <w:r>
        <w:rPr>
          <w:b/>
          <w:spacing w:val="-2"/>
          <w:sz w:val="18"/>
        </w:rPr>
        <w:t>Key</w:t>
      </w:r>
      <w:r>
        <w:rPr>
          <w:b/>
          <w:spacing w:val="-19"/>
          <w:sz w:val="18"/>
        </w:rPr>
        <w:t xml:space="preserve"> </w:t>
      </w:r>
      <w:r>
        <w:rPr>
          <w:b/>
          <w:spacing w:val="-2"/>
          <w:sz w:val="18"/>
        </w:rPr>
        <w:t>forecasts</w:t>
      </w:r>
    </w:p>
    <w:p w:rsidR="002C1123" w:rsidRDefault="00F22F94">
      <w:pPr>
        <w:tabs>
          <w:tab w:val="left" w:pos="3712"/>
          <w:tab w:val="left" w:pos="4506"/>
        </w:tabs>
        <w:spacing w:before="67"/>
        <w:ind w:left="2918"/>
        <w:rPr>
          <w:b/>
          <w:sz w:val="16"/>
        </w:rPr>
      </w:pPr>
      <w:r>
        <w:rPr>
          <w:b/>
          <w:color w:val="2E3092"/>
          <w:spacing w:val="-4"/>
          <w:sz w:val="16"/>
        </w:rPr>
        <w:t>2011</w:t>
      </w:r>
      <w:r>
        <w:rPr>
          <w:b/>
          <w:color w:val="2E3092"/>
          <w:sz w:val="16"/>
        </w:rPr>
        <w:tab/>
      </w:r>
      <w:r>
        <w:rPr>
          <w:b/>
          <w:color w:val="2E3092"/>
          <w:spacing w:val="-4"/>
          <w:sz w:val="16"/>
        </w:rPr>
        <w:t>2031</w:t>
      </w:r>
      <w:r>
        <w:rPr>
          <w:b/>
          <w:color w:val="2E3092"/>
          <w:sz w:val="16"/>
        </w:rPr>
        <w:tab/>
      </w:r>
      <w:r>
        <w:rPr>
          <w:b/>
          <w:color w:val="2E3092"/>
          <w:spacing w:val="-2"/>
          <w:sz w:val="16"/>
        </w:rPr>
        <w:t>Growth</w:t>
      </w:r>
    </w:p>
    <w:tbl>
      <w:tblPr>
        <w:tblW w:w="0" w:type="auto"/>
        <w:tblInd w:w="37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426"/>
        <w:gridCol w:w="793"/>
        <w:gridCol w:w="793"/>
        <w:gridCol w:w="793"/>
      </w:tblGrid>
      <w:tr w:rsidR="002C1123">
        <w:trPr>
          <w:trHeight w:val="555"/>
        </w:trPr>
        <w:tc>
          <w:tcPr>
            <w:tcW w:w="2426" w:type="dxa"/>
            <w:tcBorders>
              <w:left w:val="nil"/>
            </w:tcBorders>
            <w:shd w:val="clear" w:color="auto" w:fill="C9C8C9"/>
          </w:tcPr>
          <w:p w:rsidR="002C1123" w:rsidRDefault="00F22F94">
            <w:pPr>
              <w:pStyle w:val="TableParagraph"/>
              <w:spacing w:before="63"/>
              <w:rPr>
                <w:sz w:val="18"/>
              </w:rPr>
            </w:pPr>
            <w:r>
              <w:rPr>
                <w:sz w:val="18"/>
              </w:rPr>
              <w:t>Gross</w:t>
            </w:r>
            <w:r>
              <w:rPr>
                <w:spacing w:val="-3"/>
                <w:sz w:val="18"/>
              </w:rPr>
              <w:t xml:space="preserve"> </w:t>
            </w:r>
            <w:r>
              <w:rPr>
                <w:sz w:val="18"/>
              </w:rPr>
              <w:t>State</w:t>
            </w:r>
            <w:r>
              <w:rPr>
                <w:spacing w:val="-2"/>
                <w:sz w:val="18"/>
              </w:rPr>
              <w:t xml:space="preserve"> Product</w:t>
            </w:r>
          </w:p>
          <w:p w:rsidR="002C1123" w:rsidRDefault="00F22F94">
            <w:pPr>
              <w:pStyle w:val="TableParagraph"/>
              <w:spacing w:before="13"/>
              <w:rPr>
                <w:sz w:val="18"/>
              </w:rPr>
            </w:pPr>
            <w:r>
              <w:rPr>
                <w:w w:val="95"/>
                <w:sz w:val="18"/>
              </w:rPr>
              <w:t>($</w:t>
            </w:r>
            <w:r>
              <w:rPr>
                <w:spacing w:val="-10"/>
                <w:w w:val="95"/>
                <w:sz w:val="18"/>
              </w:rPr>
              <w:t xml:space="preserve"> </w:t>
            </w:r>
            <w:r>
              <w:rPr>
                <w:w w:val="95"/>
                <w:sz w:val="18"/>
              </w:rPr>
              <w:t>billions,</w:t>
            </w:r>
            <w:r>
              <w:rPr>
                <w:spacing w:val="-9"/>
                <w:w w:val="95"/>
                <w:sz w:val="18"/>
              </w:rPr>
              <w:t xml:space="preserve"> </w:t>
            </w:r>
            <w:r>
              <w:rPr>
                <w:w w:val="95"/>
                <w:sz w:val="18"/>
              </w:rPr>
              <w:t>2010</w:t>
            </w:r>
            <w:r>
              <w:rPr>
                <w:spacing w:val="-10"/>
                <w:w w:val="95"/>
                <w:sz w:val="18"/>
              </w:rPr>
              <w:t xml:space="preserve"> </w:t>
            </w:r>
            <w:r>
              <w:rPr>
                <w:spacing w:val="-2"/>
                <w:w w:val="95"/>
                <w:sz w:val="18"/>
              </w:rPr>
              <w:t>prices)</w:t>
            </w:r>
          </w:p>
        </w:tc>
        <w:tc>
          <w:tcPr>
            <w:tcW w:w="793" w:type="dxa"/>
            <w:shd w:val="clear" w:color="auto" w:fill="E1E0E1"/>
          </w:tcPr>
          <w:p w:rsidR="002C1123" w:rsidRDefault="00F22F94">
            <w:pPr>
              <w:pStyle w:val="TableParagraph"/>
              <w:rPr>
                <w:sz w:val="16"/>
              </w:rPr>
            </w:pPr>
            <w:r>
              <w:rPr>
                <w:spacing w:val="-5"/>
                <w:sz w:val="16"/>
              </w:rPr>
              <w:t>420</w:t>
            </w:r>
          </w:p>
        </w:tc>
        <w:tc>
          <w:tcPr>
            <w:tcW w:w="793" w:type="dxa"/>
            <w:shd w:val="clear" w:color="auto" w:fill="E1E0E1"/>
          </w:tcPr>
          <w:p w:rsidR="002C1123" w:rsidRDefault="00F22F94">
            <w:pPr>
              <w:pStyle w:val="TableParagraph"/>
              <w:ind w:left="114"/>
              <w:rPr>
                <w:sz w:val="16"/>
              </w:rPr>
            </w:pPr>
            <w:r>
              <w:rPr>
                <w:spacing w:val="-5"/>
                <w:sz w:val="16"/>
              </w:rPr>
              <w:t>731</w:t>
            </w:r>
          </w:p>
        </w:tc>
        <w:tc>
          <w:tcPr>
            <w:tcW w:w="793" w:type="dxa"/>
            <w:shd w:val="clear" w:color="auto" w:fill="E1E0E1"/>
          </w:tcPr>
          <w:p w:rsidR="002C1123" w:rsidRDefault="00F22F94">
            <w:pPr>
              <w:pStyle w:val="TableParagraph"/>
              <w:spacing w:before="57"/>
              <w:ind w:left="115"/>
              <w:rPr>
                <w:rFonts w:ascii="Tahoma"/>
                <w:sz w:val="16"/>
              </w:rPr>
            </w:pPr>
            <w:r>
              <w:rPr>
                <w:rFonts w:ascii="Tahoma"/>
                <w:spacing w:val="-4"/>
                <w:sz w:val="16"/>
              </w:rPr>
              <w:t>+70%</w:t>
            </w:r>
          </w:p>
        </w:tc>
      </w:tr>
      <w:tr w:rsidR="002C1123">
        <w:trPr>
          <w:trHeight w:val="335"/>
        </w:trPr>
        <w:tc>
          <w:tcPr>
            <w:tcW w:w="2426" w:type="dxa"/>
            <w:tcBorders>
              <w:left w:val="nil"/>
            </w:tcBorders>
            <w:shd w:val="clear" w:color="auto" w:fill="C9C8C9"/>
          </w:tcPr>
          <w:p w:rsidR="002C1123" w:rsidRDefault="00F22F94">
            <w:pPr>
              <w:pStyle w:val="TableParagraph"/>
              <w:spacing w:before="63"/>
              <w:rPr>
                <w:sz w:val="18"/>
              </w:rPr>
            </w:pPr>
            <w:r>
              <w:rPr>
                <w:sz w:val="18"/>
              </w:rPr>
              <w:t>Population</w:t>
            </w:r>
            <w:r>
              <w:rPr>
                <w:spacing w:val="20"/>
                <w:sz w:val="18"/>
              </w:rPr>
              <w:t xml:space="preserve"> </w:t>
            </w:r>
            <w:r>
              <w:rPr>
                <w:spacing w:val="-2"/>
                <w:sz w:val="18"/>
              </w:rPr>
              <w:t>(millions)</w:t>
            </w:r>
          </w:p>
        </w:tc>
        <w:tc>
          <w:tcPr>
            <w:tcW w:w="793" w:type="dxa"/>
            <w:shd w:val="clear" w:color="auto" w:fill="E1E0E1"/>
          </w:tcPr>
          <w:p w:rsidR="002C1123" w:rsidRDefault="00F22F94">
            <w:pPr>
              <w:pStyle w:val="TableParagraph"/>
              <w:rPr>
                <w:sz w:val="16"/>
              </w:rPr>
            </w:pPr>
            <w:r>
              <w:rPr>
                <w:spacing w:val="-5"/>
                <w:sz w:val="16"/>
              </w:rPr>
              <w:t>7.2</w:t>
            </w:r>
          </w:p>
        </w:tc>
        <w:tc>
          <w:tcPr>
            <w:tcW w:w="793" w:type="dxa"/>
            <w:shd w:val="clear" w:color="auto" w:fill="E1E0E1"/>
          </w:tcPr>
          <w:p w:rsidR="002C1123" w:rsidRDefault="00F22F94">
            <w:pPr>
              <w:pStyle w:val="TableParagraph"/>
              <w:ind w:left="114"/>
              <w:rPr>
                <w:sz w:val="16"/>
              </w:rPr>
            </w:pPr>
            <w:r>
              <w:rPr>
                <w:spacing w:val="-5"/>
                <w:sz w:val="16"/>
              </w:rPr>
              <w:t>9.2</w:t>
            </w:r>
          </w:p>
        </w:tc>
        <w:tc>
          <w:tcPr>
            <w:tcW w:w="793" w:type="dxa"/>
            <w:shd w:val="clear" w:color="auto" w:fill="E1E0E1"/>
          </w:tcPr>
          <w:p w:rsidR="002C1123" w:rsidRDefault="00F22F94">
            <w:pPr>
              <w:pStyle w:val="TableParagraph"/>
              <w:spacing w:before="57"/>
              <w:ind w:left="115"/>
              <w:rPr>
                <w:rFonts w:ascii="Tahoma"/>
                <w:sz w:val="16"/>
              </w:rPr>
            </w:pPr>
            <w:r>
              <w:rPr>
                <w:rFonts w:ascii="Tahoma"/>
                <w:spacing w:val="-4"/>
                <w:sz w:val="16"/>
              </w:rPr>
              <w:t>+27%</w:t>
            </w:r>
          </w:p>
        </w:tc>
      </w:tr>
      <w:tr w:rsidR="002C1123">
        <w:trPr>
          <w:trHeight w:val="335"/>
        </w:trPr>
        <w:tc>
          <w:tcPr>
            <w:tcW w:w="2426" w:type="dxa"/>
            <w:tcBorders>
              <w:left w:val="nil"/>
            </w:tcBorders>
            <w:shd w:val="clear" w:color="auto" w:fill="C9C8C9"/>
          </w:tcPr>
          <w:p w:rsidR="002C1123" w:rsidRDefault="00F22F94">
            <w:pPr>
              <w:pStyle w:val="TableParagraph"/>
              <w:spacing w:before="63"/>
              <w:rPr>
                <w:sz w:val="18"/>
              </w:rPr>
            </w:pPr>
            <w:r>
              <w:rPr>
                <w:sz w:val="18"/>
              </w:rPr>
              <w:t>GSP</w:t>
            </w:r>
            <w:r>
              <w:rPr>
                <w:spacing w:val="1"/>
                <w:sz w:val="18"/>
              </w:rPr>
              <w:t xml:space="preserve"> </w:t>
            </w:r>
            <w:r>
              <w:rPr>
                <w:sz w:val="18"/>
              </w:rPr>
              <w:t>per</w:t>
            </w:r>
            <w:r>
              <w:rPr>
                <w:spacing w:val="1"/>
                <w:sz w:val="18"/>
              </w:rPr>
              <w:t xml:space="preserve"> </w:t>
            </w:r>
            <w:r>
              <w:rPr>
                <w:sz w:val="18"/>
              </w:rPr>
              <w:t>capita</w:t>
            </w:r>
            <w:r>
              <w:rPr>
                <w:spacing w:val="2"/>
                <w:sz w:val="18"/>
              </w:rPr>
              <w:t xml:space="preserve"> </w:t>
            </w:r>
            <w:r>
              <w:rPr>
                <w:spacing w:val="-2"/>
                <w:sz w:val="18"/>
              </w:rPr>
              <w:t>($,000)</w:t>
            </w:r>
          </w:p>
        </w:tc>
        <w:tc>
          <w:tcPr>
            <w:tcW w:w="793" w:type="dxa"/>
            <w:shd w:val="clear" w:color="auto" w:fill="E1E0E1"/>
          </w:tcPr>
          <w:p w:rsidR="002C1123" w:rsidRDefault="00F22F94">
            <w:pPr>
              <w:pStyle w:val="TableParagraph"/>
              <w:rPr>
                <w:sz w:val="16"/>
              </w:rPr>
            </w:pPr>
            <w:r>
              <w:rPr>
                <w:spacing w:val="-5"/>
                <w:sz w:val="16"/>
              </w:rPr>
              <w:t>58</w:t>
            </w:r>
          </w:p>
        </w:tc>
        <w:tc>
          <w:tcPr>
            <w:tcW w:w="793" w:type="dxa"/>
            <w:shd w:val="clear" w:color="auto" w:fill="E1E0E1"/>
          </w:tcPr>
          <w:p w:rsidR="002C1123" w:rsidRDefault="00F22F94">
            <w:pPr>
              <w:pStyle w:val="TableParagraph"/>
              <w:ind w:left="114"/>
              <w:rPr>
                <w:sz w:val="16"/>
              </w:rPr>
            </w:pPr>
            <w:r>
              <w:rPr>
                <w:spacing w:val="-5"/>
                <w:sz w:val="16"/>
              </w:rPr>
              <w:t>80</w:t>
            </w:r>
          </w:p>
        </w:tc>
        <w:tc>
          <w:tcPr>
            <w:tcW w:w="793" w:type="dxa"/>
            <w:shd w:val="clear" w:color="auto" w:fill="E1E0E1"/>
          </w:tcPr>
          <w:p w:rsidR="002C1123" w:rsidRDefault="00F22F94">
            <w:pPr>
              <w:pStyle w:val="TableParagraph"/>
              <w:spacing w:before="57"/>
              <w:ind w:left="115"/>
              <w:rPr>
                <w:rFonts w:ascii="Tahoma"/>
                <w:sz w:val="16"/>
              </w:rPr>
            </w:pPr>
            <w:r>
              <w:rPr>
                <w:rFonts w:ascii="Tahoma"/>
                <w:spacing w:val="-4"/>
                <w:sz w:val="16"/>
              </w:rPr>
              <w:t>+40%</w:t>
            </w:r>
          </w:p>
        </w:tc>
      </w:tr>
      <w:tr w:rsidR="002C1123">
        <w:trPr>
          <w:trHeight w:val="335"/>
        </w:trPr>
        <w:tc>
          <w:tcPr>
            <w:tcW w:w="2426" w:type="dxa"/>
            <w:tcBorders>
              <w:left w:val="nil"/>
            </w:tcBorders>
            <w:shd w:val="clear" w:color="auto" w:fill="C9C8C9"/>
          </w:tcPr>
          <w:p w:rsidR="002C1123" w:rsidRDefault="00F22F94">
            <w:pPr>
              <w:pStyle w:val="TableParagraph"/>
              <w:spacing w:before="63"/>
              <w:rPr>
                <w:sz w:val="18"/>
              </w:rPr>
            </w:pPr>
            <w:r>
              <w:rPr>
                <w:spacing w:val="-2"/>
                <w:sz w:val="18"/>
              </w:rPr>
              <w:t>Employment</w:t>
            </w:r>
            <w:r>
              <w:rPr>
                <w:spacing w:val="-9"/>
                <w:sz w:val="18"/>
              </w:rPr>
              <w:t xml:space="preserve"> </w:t>
            </w:r>
            <w:r>
              <w:rPr>
                <w:spacing w:val="-2"/>
                <w:sz w:val="18"/>
              </w:rPr>
              <w:t>(jobs</w:t>
            </w:r>
            <w:r>
              <w:rPr>
                <w:spacing w:val="-9"/>
                <w:sz w:val="18"/>
              </w:rPr>
              <w:t xml:space="preserve"> </w:t>
            </w:r>
            <w:r>
              <w:rPr>
                <w:spacing w:val="-2"/>
                <w:sz w:val="18"/>
              </w:rPr>
              <w:t>millions)</w:t>
            </w:r>
          </w:p>
        </w:tc>
        <w:tc>
          <w:tcPr>
            <w:tcW w:w="793" w:type="dxa"/>
            <w:shd w:val="clear" w:color="auto" w:fill="E1E0E1"/>
          </w:tcPr>
          <w:p w:rsidR="002C1123" w:rsidRDefault="00F22F94">
            <w:pPr>
              <w:pStyle w:val="TableParagraph"/>
              <w:rPr>
                <w:sz w:val="16"/>
              </w:rPr>
            </w:pPr>
            <w:r>
              <w:rPr>
                <w:spacing w:val="-5"/>
                <w:sz w:val="16"/>
              </w:rPr>
              <w:t>3.6</w:t>
            </w:r>
          </w:p>
        </w:tc>
        <w:tc>
          <w:tcPr>
            <w:tcW w:w="793" w:type="dxa"/>
            <w:shd w:val="clear" w:color="auto" w:fill="E1E0E1"/>
          </w:tcPr>
          <w:p w:rsidR="002C1123" w:rsidRDefault="00F22F94">
            <w:pPr>
              <w:pStyle w:val="TableParagraph"/>
              <w:ind w:left="114"/>
              <w:rPr>
                <w:sz w:val="16"/>
              </w:rPr>
            </w:pPr>
            <w:r>
              <w:rPr>
                <w:spacing w:val="-5"/>
                <w:sz w:val="16"/>
              </w:rPr>
              <w:t>4.4</w:t>
            </w:r>
          </w:p>
        </w:tc>
        <w:tc>
          <w:tcPr>
            <w:tcW w:w="793" w:type="dxa"/>
            <w:shd w:val="clear" w:color="auto" w:fill="E1E0E1"/>
          </w:tcPr>
          <w:p w:rsidR="002C1123" w:rsidRDefault="00F22F94">
            <w:pPr>
              <w:pStyle w:val="TableParagraph"/>
              <w:spacing w:before="57"/>
              <w:ind w:left="115"/>
              <w:rPr>
                <w:rFonts w:ascii="Tahoma"/>
                <w:sz w:val="16"/>
              </w:rPr>
            </w:pPr>
            <w:r>
              <w:rPr>
                <w:rFonts w:ascii="Tahoma"/>
                <w:spacing w:val="-4"/>
                <w:sz w:val="16"/>
              </w:rPr>
              <w:t>+22%</w:t>
            </w:r>
          </w:p>
        </w:tc>
      </w:tr>
    </w:tbl>
    <w:p w:rsidR="002C1123" w:rsidRDefault="00F22F94">
      <w:pPr>
        <w:spacing w:before="58"/>
        <w:ind w:left="378"/>
        <w:rPr>
          <w:sz w:val="14"/>
        </w:rPr>
      </w:pPr>
      <w:r>
        <w:rPr>
          <w:w w:val="95"/>
          <w:sz w:val="14"/>
        </w:rPr>
        <w:t>Source:</w:t>
      </w:r>
      <w:r>
        <w:rPr>
          <w:spacing w:val="17"/>
          <w:sz w:val="14"/>
        </w:rPr>
        <w:t xml:space="preserve"> </w:t>
      </w:r>
      <w:r>
        <w:rPr>
          <w:w w:val="95"/>
          <w:sz w:val="14"/>
        </w:rPr>
        <w:t>Deloitte</w:t>
      </w:r>
      <w:r>
        <w:rPr>
          <w:spacing w:val="17"/>
          <w:sz w:val="14"/>
        </w:rPr>
        <w:t xml:space="preserve"> </w:t>
      </w:r>
      <w:r>
        <w:rPr>
          <w:w w:val="95"/>
          <w:sz w:val="14"/>
        </w:rPr>
        <w:t>Access</w:t>
      </w:r>
      <w:r>
        <w:rPr>
          <w:spacing w:val="17"/>
          <w:sz w:val="14"/>
        </w:rPr>
        <w:t xml:space="preserve"> </w:t>
      </w:r>
      <w:r>
        <w:rPr>
          <w:spacing w:val="-2"/>
          <w:w w:val="95"/>
          <w:sz w:val="14"/>
        </w:rPr>
        <w:t>Economics.</w:t>
      </w:r>
    </w:p>
    <w:p w:rsidR="002C1123" w:rsidRDefault="002C1123">
      <w:pPr>
        <w:pStyle w:val="BodyText"/>
        <w:rPr>
          <w:sz w:val="16"/>
        </w:rPr>
      </w:pPr>
    </w:p>
    <w:p w:rsidR="002C1123" w:rsidRDefault="002C1123">
      <w:pPr>
        <w:pStyle w:val="BodyText"/>
        <w:rPr>
          <w:sz w:val="18"/>
        </w:rPr>
      </w:pPr>
    </w:p>
    <w:p w:rsidR="002C1123" w:rsidRDefault="00F22F94">
      <w:pPr>
        <w:pStyle w:val="Heading6"/>
        <w:numPr>
          <w:ilvl w:val="2"/>
          <w:numId w:val="147"/>
        </w:numPr>
        <w:tabs>
          <w:tab w:val="left" w:pos="865"/>
        </w:tabs>
        <w:spacing w:before="0"/>
        <w:ind w:left="864" w:hanging="487"/>
      </w:pPr>
      <w:r>
        <w:rPr>
          <w:color w:val="EC008C"/>
          <w:spacing w:val="-2"/>
        </w:rPr>
        <w:t>NSW</w:t>
      </w:r>
      <w:r>
        <w:rPr>
          <w:color w:val="EC008C"/>
          <w:spacing w:val="-9"/>
        </w:rPr>
        <w:t xml:space="preserve"> </w:t>
      </w:r>
      <w:r>
        <w:rPr>
          <w:color w:val="EC008C"/>
          <w:spacing w:val="-2"/>
        </w:rPr>
        <w:t>Demographic</w:t>
      </w:r>
      <w:r>
        <w:rPr>
          <w:color w:val="EC008C"/>
          <w:spacing w:val="-9"/>
        </w:rPr>
        <w:t xml:space="preserve"> </w:t>
      </w:r>
      <w:r>
        <w:rPr>
          <w:color w:val="EC008C"/>
          <w:spacing w:val="-2"/>
        </w:rPr>
        <w:t>Forecasts</w:t>
      </w:r>
    </w:p>
    <w:p w:rsidR="002C1123" w:rsidRDefault="00F22F94">
      <w:pPr>
        <w:pStyle w:val="BodyText"/>
        <w:spacing w:before="96" w:line="249" w:lineRule="auto"/>
        <w:ind w:left="378" w:right="795"/>
      </w:pPr>
      <w:r>
        <w:rPr>
          <w:w w:val="95"/>
        </w:rPr>
        <w:t xml:space="preserve">Infrastructure investment supports the daily movement </w:t>
      </w:r>
      <w:r>
        <w:t>of</w:t>
      </w:r>
      <w:r>
        <w:rPr>
          <w:spacing w:val="-3"/>
        </w:rPr>
        <w:t xml:space="preserve"> </w:t>
      </w:r>
      <w:r>
        <w:t>people,</w:t>
      </w:r>
      <w:r>
        <w:rPr>
          <w:spacing w:val="-3"/>
        </w:rPr>
        <w:t xml:space="preserve"> </w:t>
      </w:r>
      <w:r>
        <w:t>the</w:t>
      </w:r>
      <w:r>
        <w:rPr>
          <w:spacing w:val="-3"/>
        </w:rPr>
        <w:t xml:space="preserve"> </w:t>
      </w:r>
      <w:r>
        <w:t>freight</w:t>
      </w:r>
      <w:r>
        <w:rPr>
          <w:spacing w:val="-3"/>
        </w:rPr>
        <w:t xml:space="preserve"> </w:t>
      </w:r>
      <w:r>
        <w:t>of</w:t>
      </w:r>
      <w:r>
        <w:rPr>
          <w:spacing w:val="-3"/>
        </w:rPr>
        <w:t xml:space="preserve"> </w:t>
      </w:r>
      <w:r>
        <w:t>goods</w:t>
      </w:r>
      <w:r>
        <w:rPr>
          <w:spacing w:val="-3"/>
        </w:rPr>
        <w:t xml:space="preserve"> </w:t>
      </w:r>
      <w:r>
        <w:t>they</w:t>
      </w:r>
      <w:r>
        <w:rPr>
          <w:spacing w:val="-3"/>
        </w:rPr>
        <w:t xml:space="preserve"> </w:t>
      </w:r>
      <w:r>
        <w:t>consume,</w:t>
      </w:r>
      <w:r>
        <w:rPr>
          <w:spacing w:val="-3"/>
        </w:rPr>
        <w:t xml:space="preserve"> </w:t>
      </w:r>
      <w:r>
        <w:t>and</w:t>
      </w:r>
    </w:p>
    <w:p w:rsidR="002C1123" w:rsidRDefault="00F22F94">
      <w:pPr>
        <w:pStyle w:val="BodyText"/>
        <w:spacing w:before="1" w:line="249" w:lineRule="auto"/>
        <w:ind w:left="378" w:right="930"/>
      </w:pPr>
      <w:r>
        <w:rPr>
          <w:w w:val="95"/>
        </w:rPr>
        <w:t>the</w:t>
      </w:r>
      <w:r>
        <w:rPr>
          <w:spacing w:val="-3"/>
          <w:w w:val="95"/>
        </w:rPr>
        <w:t xml:space="preserve"> </w:t>
      </w:r>
      <w:r>
        <w:rPr>
          <w:w w:val="95"/>
        </w:rPr>
        <w:t>economic</w:t>
      </w:r>
      <w:r>
        <w:rPr>
          <w:spacing w:val="-3"/>
          <w:w w:val="95"/>
        </w:rPr>
        <w:t xml:space="preserve"> </w:t>
      </w:r>
      <w:r>
        <w:rPr>
          <w:w w:val="95"/>
        </w:rPr>
        <w:t>and</w:t>
      </w:r>
      <w:r>
        <w:rPr>
          <w:spacing w:val="-3"/>
          <w:w w:val="95"/>
        </w:rPr>
        <w:t xml:space="preserve"> </w:t>
      </w:r>
      <w:r>
        <w:rPr>
          <w:w w:val="95"/>
        </w:rPr>
        <w:t>social</w:t>
      </w:r>
      <w:r>
        <w:rPr>
          <w:spacing w:val="-3"/>
          <w:w w:val="95"/>
        </w:rPr>
        <w:t xml:space="preserve"> </w:t>
      </w:r>
      <w:r>
        <w:rPr>
          <w:w w:val="95"/>
        </w:rPr>
        <w:t>services</w:t>
      </w:r>
      <w:r>
        <w:rPr>
          <w:spacing w:val="-3"/>
          <w:w w:val="95"/>
        </w:rPr>
        <w:t xml:space="preserve"> </w:t>
      </w:r>
      <w:r>
        <w:rPr>
          <w:w w:val="95"/>
        </w:rPr>
        <w:t>that</w:t>
      </w:r>
      <w:r>
        <w:rPr>
          <w:spacing w:val="-3"/>
          <w:w w:val="95"/>
        </w:rPr>
        <w:t xml:space="preserve"> </w:t>
      </w:r>
      <w:r>
        <w:rPr>
          <w:w w:val="95"/>
        </w:rPr>
        <w:t>they</w:t>
      </w:r>
      <w:r>
        <w:rPr>
          <w:spacing w:val="-3"/>
          <w:w w:val="95"/>
        </w:rPr>
        <w:t xml:space="preserve"> </w:t>
      </w:r>
      <w:r>
        <w:rPr>
          <w:w w:val="95"/>
        </w:rPr>
        <w:t>rely</w:t>
      </w:r>
      <w:r>
        <w:rPr>
          <w:spacing w:val="-3"/>
          <w:w w:val="95"/>
        </w:rPr>
        <w:t xml:space="preserve"> </w:t>
      </w:r>
      <w:r>
        <w:rPr>
          <w:w w:val="95"/>
        </w:rPr>
        <w:t>on.</w:t>
      </w:r>
      <w:r>
        <w:rPr>
          <w:spacing w:val="-3"/>
          <w:w w:val="95"/>
        </w:rPr>
        <w:t xml:space="preserve"> </w:t>
      </w:r>
      <w:r>
        <w:rPr>
          <w:w w:val="95"/>
        </w:rPr>
        <w:t xml:space="preserve">To </w:t>
      </w:r>
      <w:r>
        <w:t>a</w:t>
      </w:r>
      <w:r>
        <w:rPr>
          <w:spacing w:val="-6"/>
        </w:rPr>
        <w:t xml:space="preserve"> </w:t>
      </w:r>
      <w:r>
        <w:t>large</w:t>
      </w:r>
      <w:r>
        <w:rPr>
          <w:spacing w:val="-6"/>
        </w:rPr>
        <w:t xml:space="preserve"> </w:t>
      </w:r>
      <w:r>
        <w:t>extent,</w:t>
      </w:r>
      <w:r>
        <w:rPr>
          <w:spacing w:val="-6"/>
        </w:rPr>
        <w:t xml:space="preserve"> </w:t>
      </w:r>
      <w:r>
        <w:t>demographic</w:t>
      </w:r>
      <w:r>
        <w:rPr>
          <w:spacing w:val="-6"/>
        </w:rPr>
        <w:t xml:space="preserve"> </w:t>
      </w:r>
      <w:r>
        <w:t>patterns</w:t>
      </w:r>
      <w:r>
        <w:rPr>
          <w:spacing w:val="-6"/>
        </w:rPr>
        <w:t xml:space="preserve"> </w:t>
      </w:r>
      <w:r>
        <w:t>determine</w:t>
      </w:r>
      <w:r>
        <w:rPr>
          <w:spacing w:val="-6"/>
        </w:rPr>
        <w:t xml:space="preserve"> </w:t>
      </w:r>
      <w:r>
        <w:t>the allocation of investment.</w:t>
      </w:r>
    </w:p>
    <w:p w:rsidR="002C1123" w:rsidRDefault="00F22F94">
      <w:pPr>
        <w:pStyle w:val="BodyText"/>
        <w:spacing w:before="144" w:line="249" w:lineRule="auto"/>
        <w:ind w:left="378" w:right="795"/>
      </w:pPr>
      <w:r>
        <w:rPr>
          <w:w w:val="95"/>
        </w:rPr>
        <w:t xml:space="preserve">More than 75 percent of population growth is expected </w:t>
      </w:r>
      <w:r>
        <w:t>to</w:t>
      </w:r>
      <w:r>
        <w:rPr>
          <w:spacing w:val="-9"/>
        </w:rPr>
        <w:t xml:space="preserve"> </w:t>
      </w:r>
      <w:r>
        <w:t>occur</w:t>
      </w:r>
      <w:r>
        <w:rPr>
          <w:spacing w:val="-9"/>
        </w:rPr>
        <w:t xml:space="preserve"> </w:t>
      </w:r>
      <w:r>
        <w:t>in</w:t>
      </w:r>
      <w:r>
        <w:rPr>
          <w:spacing w:val="-9"/>
        </w:rPr>
        <w:t xml:space="preserve"> </w:t>
      </w:r>
      <w:r>
        <w:t>Sydney,</w:t>
      </w:r>
      <w:r>
        <w:rPr>
          <w:spacing w:val="-9"/>
        </w:rPr>
        <w:t xml:space="preserve"> </w:t>
      </w:r>
      <w:r>
        <w:t>which</w:t>
      </w:r>
      <w:r>
        <w:rPr>
          <w:spacing w:val="-9"/>
        </w:rPr>
        <w:t xml:space="preserve"> </w:t>
      </w:r>
      <w:r>
        <w:t>will</w:t>
      </w:r>
      <w:r>
        <w:rPr>
          <w:spacing w:val="-9"/>
        </w:rPr>
        <w:t xml:space="preserve"> </w:t>
      </w:r>
      <w:r>
        <w:t>grow</w:t>
      </w:r>
      <w:r>
        <w:rPr>
          <w:spacing w:val="-9"/>
        </w:rPr>
        <w:t xml:space="preserve"> </w:t>
      </w:r>
      <w:r>
        <w:t>to</w:t>
      </w:r>
      <w:r>
        <w:rPr>
          <w:spacing w:val="-9"/>
        </w:rPr>
        <w:t xml:space="preserve"> </w:t>
      </w:r>
      <w:r>
        <w:t>become</w:t>
      </w:r>
      <w:r>
        <w:rPr>
          <w:spacing w:val="-9"/>
        </w:rPr>
        <w:t xml:space="preserve"> </w:t>
      </w:r>
      <w:r>
        <w:t>a</w:t>
      </w:r>
      <w:r>
        <w:rPr>
          <w:spacing w:val="-9"/>
        </w:rPr>
        <w:t xml:space="preserve"> </w:t>
      </w:r>
      <w:r>
        <w:t>city</w:t>
      </w:r>
    </w:p>
    <w:p w:rsidR="002C1123" w:rsidRDefault="00F22F94">
      <w:pPr>
        <w:pStyle w:val="BodyText"/>
        <w:spacing w:before="2"/>
        <w:ind w:left="378"/>
      </w:pPr>
      <w:r>
        <w:rPr>
          <w:w w:val="95"/>
        </w:rPr>
        <w:t>of</w:t>
      </w:r>
      <w:r>
        <w:rPr>
          <w:spacing w:val="-8"/>
          <w:w w:val="95"/>
        </w:rPr>
        <w:t xml:space="preserve"> </w:t>
      </w:r>
      <w:r>
        <w:rPr>
          <w:w w:val="95"/>
        </w:rPr>
        <w:t>more</w:t>
      </w:r>
      <w:r>
        <w:rPr>
          <w:spacing w:val="-8"/>
          <w:w w:val="95"/>
        </w:rPr>
        <w:t xml:space="preserve"> </w:t>
      </w:r>
      <w:r>
        <w:rPr>
          <w:w w:val="95"/>
        </w:rPr>
        <w:t>than</w:t>
      </w:r>
      <w:r>
        <w:rPr>
          <w:spacing w:val="-8"/>
          <w:w w:val="95"/>
        </w:rPr>
        <w:t xml:space="preserve"> </w:t>
      </w:r>
      <w:r>
        <w:rPr>
          <w:w w:val="95"/>
        </w:rPr>
        <w:t>six</w:t>
      </w:r>
      <w:r>
        <w:rPr>
          <w:spacing w:val="-8"/>
          <w:w w:val="95"/>
        </w:rPr>
        <w:t xml:space="preserve"> </w:t>
      </w:r>
      <w:r>
        <w:rPr>
          <w:w w:val="95"/>
        </w:rPr>
        <w:t>million</w:t>
      </w:r>
      <w:r>
        <w:rPr>
          <w:spacing w:val="-8"/>
          <w:w w:val="95"/>
        </w:rPr>
        <w:t xml:space="preserve"> </w:t>
      </w:r>
      <w:r>
        <w:rPr>
          <w:w w:val="95"/>
        </w:rPr>
        <w:t>people</w:t>
      </w:r>
      <w:r>
        <w:rPr>
          <w:spacing w:val="-8"/>
          <w:w w:val="95"/>
        </w:rPr>
        <w:t xml:space="preserve"> </w:t>
      </w:r>
      <w:r>
        <w:rPr>
          <w:w w:val="95"/>
        </w:rPr>
        <w:t>by</w:t>
      </w:r>
      <w:r>
        <w:rPr>
          <w:spacing w:val="-8"/>
          <w:w w:val="95"/>
        </w:rPr>
        <w:t xml:space="preserve"> </w:t>
      </w:r>
      <w:r>
        <w:rPr>
          <w:w w:val="95"/>
        </w:rPr>
        <w:t>2031</w:t>
      </w:r>
      <w:r>
        <w:rPr>
          <w:spacing w:val="-8"/>
          <w:w w:val="95"/>
        </w:rPr>
        <w:t xml:space="preserve"> </w:t>
      </w:r>
      <w:r>
        <w:rPr>
          <w:w w:val="95"/>
        </w:rPr>
        <w:t>(growing</w:t>
      </w:r>
      <w:r>
        <w:rPr>
          <w:spacing w:val="-8"/>
          <w:w w:val="95"/>
        </w:rPr>
        <w:t xml:space="preserve"> </w:t>
      </w:r>
      <w:r>
        <w:rPr>
          <w:spacing w:val="-5"/>
          <w:w w:val="95"/>
        </w:rPr>
        <w:t>by</w:t>
      </w:r>
    </w:p>
    <w:p w:rsidR="002C1123" w:rsidRDefault="00F22F94">
      <w:pPr>
        <w:pStyle w:val="BodyText"/>
        <w:spacing w:before="10" w:line="249" w:lineRule="auto"/>
        <w:ind w:left="378" w:right="795"/>
      </w:pPr>
      <w:r>
        <w:rPr>
          <w:w w:val="95"/>
        </w:rPr>
        <w:t>33</w:t>
      </w:r>
      <w:r>
        <w:rPr>
          <w:spacing w:val="-10"/>
          <w:w w:val="95"/>
        </w:rPr>
        <w:t xml:space="preserve"> </w:t>
      </w:r>
      <w:r>
        <w:rPr>
          <w:w w:val="95"/>
        </w:rPr>
        <w:t>percent).</w:t>
      </w:r>
      <w:r>
        <w:rPr>
          <w:spacing w:val="-10"/>
          <w:w w:val="95"/>
        </w:rPr>
        <w:t xml:space="preserve"> </w:t>
      </w:r>
      <w:r>
        <w:rPr>
          <w:w w:val="95"/>
        </w:rPr>
        <w:t>Regional</w:t>
      </w:r>
      <w:r>
        <w:rPr>
          <w:spacing w:val="-10"/>
          <w:w w:val="95"/>
        </w:rPr>
        <w:t xml:space="preserve"> </w:t>
      </w:r>
      <w:r>
        <w:rPr>
          <w:w w:val="95"/>
        </w:rPr>
        <w:t>population</w:t>
      </w:r>
      <w:r>
        <w:rPr>
          <w:spacing w:val="-10"/>
          <w:w w:val="95"/>
        </w:rPr>
        <w:t xml:space="preserve"> </w:t>
      </w:r>
      <w:r>
        <w:rPr>
          <w:w w:val="95"/>
        </w:rPr>
        <w:t>will</w:t>
      </w:r>
      <w:r>
        <w:rPr>
          <w:spacing w:val="-10"/>
          <w:w w:val="95"/>
        </w:rPr>
        <w:t xml:space="preserve"> </w:t>
      </w:r>
      <w:r>
        <w:rPr>
          <w:w w:val="95"/>
        </w:rPr>
        <w:t>grow</w:t>
      </w:r>
      <w:r>
        <w:rPr>
          <w:spacing w:val="-10"/>
          <w:w w:val="95"/>
        </w:rPr>
        <w:t xml:space="preserve"> </w:t>
      </w:r>
      <w:r>
        <w:rPr>
          <w:w w:val="95"/>
        </w:rPr>
        <w:t>to</w:t>
      </w:r>
      <w:r>
        <w:rPr>
          <w:spacing w:val="-10"/>
          <w:w w:val="95"/>
        </w:rPr>
        <w:t xml:space="preserve"> </w:t>
      </w:r>
      <w:r>
        <w:rPr>
          <w:w w:val="95"/>
        </w:rPr>
        <w:t>3.1</w:t>
      </w:r>
      <w:r>
        <w:rPr>
          <w:spacing w:val="-10"/>
          <w:w w:val="95"/>
        </w:rPr>
        <w:t xml:space="preserve"> </w:t>
      </w:r>
      <w:r>
        <w:rPr>
          <w:w w:val="95"/>
        </w:rPr>
        <w:t xml:space="preserve">million </w:t>
      </w:r>
      <w:r>
        <w:t>people</w:t>
      </w:r>
      <w:r>
        <w:rPr>
          <w:spacing w:val="-8"/>
        </w:rPr>
        <w:t xml:space="preserve"> </w:t>
      </w:r>
      <w:r>
        <w:t>(growing</w:t>
      </w:r>
      <w:r>
        <w:rPr>
          <w:spacing w:val="-8"/>
        </w:rPr>
        <w:t xml:space="preserve"> </w:t>
      </w:r>
      <w:r>
        <w:t>by</w:t>
      </w:r>
      <w:r>
        <w:rPr>
          <w:spacing w:val="-8"/>
        </w:rPr>
        <w:t xml:space="preserve"> </w:t>
      </w:r>
      <w:r>
        <w:t>17</w:t>
      </w:r>
      <w:r>
        <w:rPr>
          <w:spacing w:val="-8"/>
        </w:rPr>
        <w:t xml:space="preserve"> </w:t>
      </w:r>
      <w:r>
        <w:t>percent)</w:t>
      </w:r>
      <w:r>
        <w:rPr>
          <w:spacing w:val="-8"/>
        </w:rPr>
        <w:t xml:space="preserve"> </w:t>
      </w:r>
      <w:r>
        <w:t>with</w:t>
      </w:r>
      <w:r>
        <w:rPr>
          <w:spacing w:val="-8"/>
        </w:rPr>
        <w:t xml:space="preserve"> </w:t>
      </w:r>
      <w:r>
        <w:t>most</w:t>
      </w:r>
      <w:r>
        <w:rPr>
          <w:spacing w:val="-8"/>
        </w:rPr>
        <w:t xml:space="preserve"> </w:t>
      </w:r>
      <w:r>
        <w:t>growth expected to be along the coast.</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252" w:space="40"/>
            <w:col w:w="4836" w:space="39"/>
            <w:col w:w="5893"/>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8"/>
        <w:rPr>
          <w:sz w:val="19"/>
        </w:rPr>
      </w:pPr>
    </w:p>
    <w:p w:rsidR="002C1123" w:rsidRDefault="00F22F94">
      <w:pPr>
        <w:spacing w:before="107"/>
        <w:ind w:left="512"/>
        <w:rPr>
          <w:b/>
          <w:sz w:val="18"/>
        </w:rPr>
      </w:pPr>
      <w:bookmarkStart w:id="71" w:name="_bookmark49"/>
      <w:bookmarkEnd w:id="71"/>
      <w:r>
        <w:rPr>
          <w:b/>
          <w:sz w:val="18"/>
        </w:rPr>
        <w:t>Table</w:t>
      </w:r>
      <w:r>
        <w:rPr>
          <w:b/>
          <w:spacing w:val="-19"/>
          <w:sz w:val="18"/>
        </w:rPr>
        <w:t xml:space="preserve"> </w:t>
      </w:r>
      <w:r>
        <w:rPr>
          <w:b/>
          <w:sz w:val="18"/>
        </w:rPr>
        <w:t>2.2</w:t>
      </w:r>
      <w:r>
        <w:rPr>
          <w:b/>
          <w:spacing w:val="42"/>
          <w:sz w:val="18"/>
        </w:rPr>
        <w:t xml:space="preserve"> </w:t>
      </w:r>
      <w:r>
        <w:rPr>
          <w:b/>
          <w:sz w:val="18"/>
        </w:rPr>
        <w:t>Population</w:t>
      </w:r>
      <w:r>
        <w:rPr>
          <w:b/>
          <w:spacing w:val="-19"/>
          <w:sz w:val="18"/>
        </w:rPr>
        <w:t xml:space="preserve"> </w:t>
      </w:r>
      <w:r>
        <w:rPr>
          <w:b/>
          <w:sz w:val="18"/>
        </w:rPr>
        <w:t>Growth</w:t>
      </w:r>
      <w:r>
        <w:rPr>
          <w:b/>
          <w:spacing w:val="-19"/>
          <w:sz w:val="18"/>
        </w:rPr>
        <w:t xml:space="preserve"> </w:t>
      </w:r>
      <w:r>
        <w:rPr>
          <w:b/>
          <w:sz w:val="18"/>
        </w:rPr>
        <w:t>by</w:t>
      </w:r>
      <w:r>
        <w:rPr>
          <w:b/>
          <w:spacing w:val="-19"/>
          <w:sz w:val="18"/>
        </w:rPr>
        <w:t xml:space="preserve"> </w:t>
      </w:r>
      <w:r>
        <w:rPr>
          <w:b/>
          <w:sz w:val="18"/>
        </w:rPr>
        <w:t>Region</w:t>
      </w:r>
      <w:r>
        <w:rPr>
          <w:b/>
          <w:spacing w:val="-19"/>
          <w:sz w:val="18"/>
        </w:rPr>
        <w:t xml:space="preserve"> </w:t>
      </w:r>
      <w:r>
        <w:rPr>
          <w:b/>
          <w:spacing w:val="-2"/>
          <w:sz w:val="18"/>
        </w:rPr>
        <w:t>(millions)</w:t>
      </w:r>
    </w:p>
    <w:p w:rsidR="002C1123" w:rsidRDefault="00F22F94">
      <w:pPr>
        <w:tabs>
          <w:tab w:val="left" w:pos="5491"/>
          <w:tab w:val="left" w:pos="6965"/>
          <w:tab w:val="left" w:pos="8439"/>
        </w:tabs>
        <w:spacing w:before="153" w:after="13"/>
        <w:ind w:left="4017"/>
        <w:rPr>
          <w:b/>
          <w:sz w:val="16"/>
        </w:rPr>
      </w:pPr>
      <w:r>
        <w:rPr>
          <w:b/>
          <w:color w:val="2E3092"/>
          <w:spacing w:val="-2"/>
          <w:sz w:val="16"/>
        </w:rPr>
        <w:t>2010-</w:t>
      </w:r>
      <w:r>
        <w:rPr>
          <w:b/>
          <w:color w:val="2E3092"/>
          <w:spacing w:val="-5"/>
          <w:sz w:val="16"/>
        </w:rPr>
        <w:t>11</w:t>
      </w:r>
      <w:r>
        <w:rPr>
          <w:b/>
          <w:color w:val="2E3092"/>
          <w:sz w:val="16"/>
        </w:rPr>
        <w:tab/>
      </w:r>
      <w:r>
        <w:rPr>
          <w:b/>
          <w:color w:val="2E3092"/>
          <w:spacing w:val="-2"/>
          <w:sz w:val="16"/>
        </w:rPr>
        <w:t>2031-</w:t>
      </w:r>
      <w:r>
        <w:rPr>
          <w:b/>
          <w:color w:val="2E3092"/>
          <w:spacing w:val="-5"/>
          <w:sz w:val="16"/>
        </w:rPr>
        <w:t>32</w:t>
      </w:r>
      <w:r>
        <w:rPr>
          <w:b/>
          <w:color w:val="2E3092"/>
          <w:sz w:val="16"/>
        </w:rPr>
        <w:tab/>
      </w:r>
      <w:r>
        <w:rPr>
          <w:b/>
          <w:color w:val="2E3092"/>
          <w:spacing w:val="-2"/>
          <w:sz w:val="16"/>
        </w:rPr>
        <w:t>Growth</w:t>
      </w:r>
      <w:r>
        <w:rPr>
          <w:b/>
          <w:color w:val="2E3092"/>
          <w:sz w:val="16"/>
        </w:rPr>
        <w:tab/>
      </w:r>
      <w:r>
        <w:rPr>
          <w:b/>
          <w:color w:val="2E3092"/>
          <w:w w:val="95"/>
          <w:sz w:val="16"/>
        </w:rPr>
        <w:t>Average</w:t>
      </w:r>
      <w:r>
        <w:rPr>
          <w:b/>
          <w:color w:val="2E3092"/>
          <w:spacing w:val="3"/>
          <w:sz w:val="16"/>
        </w:rPr>
        <w:t xml:space="preserve"> </w:t>
      </w:r>
      <w:r>
        <w:rPr>
          <w:b/>
          <w:color w:val="2E3092"/>
          <w:w w:val="95"/>
          <w:sz w:val="16"/>
        </w:rPr>
        <w:t>annual</w:t>
      </w:r>
      <w:r>
        <w:rPr>
          <w:b/>
          <w:color w:val="2E3092"/>
          <w:spacing w:val="4"/>
          <w:sz w:val="16"/>
        </w:rPr>
        <w:t xml:space="preserve"> </w:t>
      </w:r>
      <w:r>
        <w:rPr>
          <w:b/>
          <w:color w:val="2E3092"/>
          <w:spacing w:val="-2"/>
          <w:w w:val="95"/>
          <w:sz w:val="16"/>
        </w:rPr>
        <w:t>growth</w:t>
      </w:r>
    </w:p>
    <w:tbl>
      <w:tblPr>
        <w:tblW w:w="0" w:type="auto"/>
        <w:tblInd w:w="5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402"/>
        <w:gridCol w:w="1474"/>
        <w:gridCol w:w="1474"/>
        <w:gridCol w:w="1474"/>
        <w:gridCol w:w="1984"/>
      </w:tblGrid>
      <w:tr w:rsidR="002C1123">
        <w:trPr>
          <w:trHeight w:val="377"/>
        </w:trPr>
        <w:tc>
          <w:tcPr>
            <w:tcW w:w="3402" w:type="dxa"/>
            <w:tcBorders>
              <w:top w:val="nil"/>
              <w:left w:val="nil"/>
            </w:tcBorders>
            <w:shd w:val="clear" w:color="auto" w:fill="C9C8C9"/>
          </w:tcPr>
          <w:p w:rsidR="002C1123" w:rsidRDefault="00F22F94">
            <w:pPr>
              <w:pStyle w:val="TableParagraph"/>
              <w:spacing w:before="89"/>
              <w:rPr>
                <w:sz w:val="18"/>
              </w:rPr>
            </w:pPr>
            <w:r>
              <w:rPr>
                <w:spacing w:val="-5"/>
                <w:sz w:val="18"/>
              </w:rPr>
              <w:t>NSW</w:t>
            </w:r>
          </w:p>
        </w:tc>
        <w:tc>
          <w:tcPr>
            <w:tcW w:w="1474" w:type="dxa"/>
            <w:tcBorders>
              <w:top w:val="nil"/>
            </w:tcBorders>
            <w:shd w:val="clear" w:color="auto" w:fill="C9C8C9"/>
          </w:tcPr>
          <w:p w:rsidR="002C1123" w:rsidRDefault="00F22F94">
            <w:pPr>
              <w:pStyle w:val="TableParagraph"/>
              <w:spacing w:before="89"/>
              <w:rPr>
                <w:sz w:val="18"/>
              </w:rPr>
            </w:pPr>
            <w:r>
              <w:rPr>
                <w:spacing w:val="-5"/>
                <w:sz w:val="18"/>
              </w:rPr>
              <w:t>7.2</w:t>
            </w:r>
          </w:p>
        </w:tc>
        <w:tc>
          <w:tcPr>
            <w:tcW w:w="1474" w:type="dxa"/>
            <w:tcBorders>
              <w:top w:val="nil"/>
            </w:tcBorders>
            <w:shd w:val="clear" w:color="auto" w:fill="C9C8C9"/>
          </w:tcPr>
          <w:p w:rsidR="002C1123" w:rsidRDefault="00F22F94">
            <w:pPr>
              <w:pStyle w:val="TableParagraph"/>
              <w:spacing w:before="89"/>
              <w:rPr>
                <w:sz w:val="18"/>
              </w:rPr>
            </w:pPr>
            <w:r>
              <w:rPr>
                <w:spacing w:val="-5"/>
                <w:sz w:val="18"/>
              </w:rPr>
              <w:t>9.2</w:t>
            </w:r>
          </w:p>
        </w:tc>
        <w:tc>
          <w:tcPr>
            <w:tcW w:w="1474" w:type="dxa"/>
            <w:tcBorders>
              <w:top w:val="nil"/>
            </w:tcBorders>
            <w:shd w:val="clear" w:color="auto" w:fill="C9C8C9"/>
          </w:tcPr>
          <w:p w:rsidR="002C1123" w:rsidRDefault="00F22F94">
            <w:pPr>
              <w:pStyle w:val="TableParagraph"/>
              <w:spacing w:before="89"/>
              <w:rPr>
                <w:sz w:val="18"/>
              </w:rPr>
            </w:pPr>
            <w:r>
              <w:rPr>
                <w:spacing w:val="-5"/>
                <w:w w:val="105"/>
                <w:sz w:val="18"/>
              </w:rPr>
              <w:t>27%</w:t>
            </w:r>
          </w:p>
        </w:tc>
        <w:tc>
          <w:tcPr>
            <w:tcW w:w="1984" w:type="dxa"/>
            <w:tcBorders>
              <w:top w:val="nil"/>
            </w:tcBorders>
            <w:shd w:val="clear" w:color="auto" w:fill="C9C8C9"/>
          </w:tcPr>
          <w:p w:rsidR="002C1123" w:rsidRDefault="00F22F94">
            <w:pPr>
              <w:pStyle w:val="TableParagraph"/>
              <w:spacing w:before="89"/>
              <w:rPr>
                <w:sz w:val="18"/>
              </w:rPr>
            </w:pPr>
            <w:r>
              <w:rPr>
                <w:spacing w:val="-4"/>
                <w:w w:val="105"/>
                <w:sz w:val="18"/>
              </w:rPr>
              <w:t>1.1%</w:t>
            </w:r>
          </w:p>
        </w:tc>
      </w:tr>
      <w:tr w:rsidR="002C1123">
        <w:trPr>
          <w:trHeight w:val="335"/>
        </w:trPr>
        <w:tc>
          <w:tcPr>
            <w:tcW w:w="3402" w:type="dxa"/>
            <w:shd w:val="clear" w:color="auto" w:fill="E1E0E1"/>
          </w:tcPr>
          <w:p w:rsidR="002C1123" w:rsidRDefault="00F22F94">
            <w:pPr>
              <w:pStyle w:val="TableParagraph"/>
              <w:spacing w:before="63"/>
              <w:rPr>
                <w:sz w:val="18"/>
              </w:rPr>
            </w:pPr>
            <w:r>
              <w:rPr>
                <w:sz w:val="18"/>
              </w:rPr>
              <w:t>Global</w:t>
            </w:r>
            <w:r>
              <w:rPr>
                <w:spacing w:val="-1"/>
                <w:w w:val="105"/>
                <w:sz w:val="18"/>
              </w:rPr>
              <w:t xml:space="preserve"> </w:t>
            </w:r>
            <w:r>
              <w:rPr>
                <w:spacing w:val="-2"/>
                <w:w w:val="105"/>
                <w:sz w:val="18"/>
              </w:rPr>
              <w:t>Sydney</w:t>
            </w:r>
          </w:p>
        </w:tc>
        <w:tc>
          <w:tcPr>
            <w:tcW w:w="1474" w:type="dxa"/>
            <w:shd w:val="clear" w:color="auto" w:fill="E1E0E1"/>
          </w:tcPr>
          <w:p w:rsidR="002C1123" w:rsidRDefault="00F22F94">
            <w:pPr>
              <w:pStyle w:val="TableParagraph"/>
              <w:spacing w:before="74"/>
              <w:ind w:left="112"/>
              <w:rPr>
                <w:sz w:val="16"/>
              </w:rPr>
            </w:pPr>
            <w:r>
              <w:rPr>
                <w:spacing w:val="-5"/>
                <w:sz w:val="16"/>
              </w:rPr>
              <w:t>1.3</w:t>
            </w:r>
          </w:p>
        </w:tc>
        <w:tc>
          <w:tcPr>
            <w:tcW w:w="1474" w:type="dxa"/>
            <w:shd w:val="clear" w:color="auto" w:fill="E1E0E1"/>
          </w:tcPr>
          <w:p w:rsidR="002C1123" w:rsidRDefault="00F22F94">
            <w:pPr>
              <w:pStyle w:val="TableParagraph"/>
              <w:spacing w:before="74"/>
              <w:rPr>
                <w:sz w:val="16"/>
              </w:rPr>
            </w:pPr>
            <w:r>
              <w:rPr>
                <w:spacing w:val="-5"/>
                <w:sz w:val="16"/>
              </w:rPr>
              <w:t>1.7</w:t>
            </w:r>
          </w:p>
        </w:tc>
        <w:tc>
          <w:tcPr>
            <w:tcW w:w="1474" w:type="dxa"/>
            <w:shd w:val="clear" w:color="auto" w:fill="E1E0E1"/>
          </w:tcPr>
          <w:p w:rsidR="002C1123" w:rsidRDefault="00F22F94">
            <w:pPr>
              <w:pStyle w:val="TableParagraph"/>
              <w:spacing w:before="64"/>
              <w:rPr>
                <w:rFonts w:ascii="Tahoma"/>
                <w:sz w:val="16"/>
              </w:rPr>
            </w:pPr>
            <w:r>
              <w:rPr>
                <w:rFonts w:ascii="Tahoma"/>
                <w:spacing w:val="-5"/>
                <w:sz w:val="16"/>
              </w:rPr>
              <w:t>31%</w:t>
            </w:r>
          </w:p>
        </w:tc>
        <w:tc>
          <w:tcPr>
            <w:tcW w:w="1984" w:type="dxa"/>
            <w:shd w:val="clear" w:color="auto" w:fill="E1E0E1"/>
          </w:tcPr>
          <w:p w:rsidR="002C1123" w:rsidRDefault="00F22F94">
            <w:pPr>
              <w:pStyle w:val="TableParagraph"/>
              <w:spacing w:before="64"/>
              <w:rPr>
                <w:rFonts w:ascii="Tahoma"/>
                <w:sz w:val="16"/>
              </w:rPr>
            </w:pPr>
            <w:r>
              <w:rPr>
                <w:rFonts w:ascii="Tahoma"/>
                <w:spacing w:val="-4"/>
                <w:sz w:val="16"/>
              </w:rPr>
              <w:t>1.3%</w:t>
            </w:r>
          </w:p>
        </w:tc>
      </w:tr>
      <w:tr w:rsidR="002C1123">
        <w:trPr>
          <w:trHeight w:val="335"/>
        </w:trPr>
        <w:tc>
          <w:tcPr>
            <w:tcW w:w="3402" w:type="dxa"/>
            <w:shd w:val="clear" w:color="auto" w:fill="E1E0E1"/>
          </w:tcPr>
          <w:p w:rsidR="002C1123" w:rsidRDefault="00F22F94">
            <w:pPr>
              <w:pStyle w:val="TableParagraph"/>
              <w:spacing w:before="63"/>
              <w:rPr>
                <w:sz w:val="18"/>
              </w:rPr>
            </w:pPr>
            <w:r>
              <w:rPr>
                <w:sz w:val="18"/>
              </w:rPr>
              <w:t>Greater</w:t>
            </w:r>
            <w:r>
              <w:rPr>
                <w:spacing w:val="-8"/>
                <w:sz w:val="18"/>
              </w:rPr>
              <w:t xml:space="preserve"> </w:t>
            </w:r>
            <w:r>
              <w:rPr>
                <w:spacing w:val="-2"/>
                <w:sz w:val="18"/>
              </w:rPr>
              <w:t>Sydney</w:t>
            </w:r>
          </w:p>
        </w:tc>
        <w:tc>
          <w:tcPr>
            <w:tcW w:w="1474" w:type="dxa"/>
            <w:shd w:val="clear" w:color="auto" w:fill="E1E0E1"/>
          </w:tcPr>
          <w:p w:rsidR="002C1123" w:rsidRDefault="00F22F94">
            <w:pPr>
              <w:pStyle w:val="TableParagraph"/>
              <w:spacing w:before="74"/>
              <w:ind w:left="112"/>
              <w:rPr>
                <w:sz w:val="16"/>
              </w:rPr>
            </w:pPr>
            <w:r>
              <w:rPr>
                <w:spacing w:val="-5"/>
                <w:sz w:val="16"/>
              </w:rPr>
              <w:t>3.3</w:t>
            </w:r>
          </w:p>
        </w:tc>
        <w:tc>
          <w:tcPr>
            <w:tcW w:w="1474" w:type="dxa"/>
            <w:shd w:val="clear" w:color="auto" w:fill="E1E0E1"/>
          </w:tcPr>
          <w:p w:rsidR="002C1123" w:rsidRDefault="00F22F94">
            <w:pPr>
              <w:pStyle w:val="TableParagraph"/>
              <w:spacing w:before="74"/>
              <w:rPr>
                <w:sz w:val="16"/>
              </w:rPr>
            </w:pPr>
            <w:r>
              <w:rPr>
                <w:spacing w:val="-5"/>
                <w:sz w:val="16"/>
              </w:rPr>
              <w:t>4.4</w:t>
            </w:r>
          </w:p>
        </w:tc>
        <w:tc>
          <w:tcPr>
            <w:tcW w:w="1474" w:type="dxa"/>
            <w:shd w:val="clear" w:color="auto" w:fill="E1E0E1"/>
          </w:tcPr>
          <w:p w:rsidR="002C1123" w:rsidRDefault="00F22F94">
            <w:pPr>
              <w:pStyle w:val="TableParagraph"/>
              <w:spacing w:before="64"/>
              <w:rPr>
                <w:rFonts w:ascii="Tahoma"/>
                <w:sz w:val="16"/>
              </w:rPr>
            </w:pPr>
            <w:r>
              <w:rPr>
                <w:rFonts w:ascii="Tahoma"/>
                <w:spacing w:val="-5"/>
                <w:sz w:val="16"/>
              </w:rPr>
              <w:t>33%</w:t>
            </w:r>
          </w:p>
        </w:tc>
        <w:tc>
          <w:tcPr>
            <w:tcW w:w="1984" w:type="dxa"/>
            <w:shd w:val="clear" w:color="auto" w:fill="E1E0E1"/>
          </w:tcPr>
          <w:p w:rsidR="002C1123" w:rsidRDefault="00F22F94">
            <w:pPr>
              <w:pStyle w:val="TableParagraph"/>
              <w:spacing w:before="64"/>
              <w:rPr>
                <w:rFonts w:ascii="Tahoma"/>
                <w:sz w:val="16"/>
              </w:rPr>
            </w:pPr>
            <w:r>
              <w:rPr>
                <w:rFonts w:ascii="Tahoma"/>
                <w:spacing w:val="-4"/>
                <w:sz w:val="16"/>
              </w:rPr>
              <w:t>1.3%</w:t>
            </w:r>
          </w:p>
        </w:tc>
      </w:tr>
      <w:tr w:rsidR="002C1123">
        <w:trPr>
          <w:trHeight w:val="335"/>
        </w:trPr>
        <w:tc>
          <w:tcPr>
            <w:tcW w:w="3402" w:type="dxa"/>
            <w:shd w:val="clear" w:color="auto" w:fill="E1E0E1"/>
          </w:tcPr>
          <w:p w:rsidR="002C1123" w:rsidRDefault="00F22F94">
            <w:pPr>
              <w:pStyle w:val="TableParagraph"/>
              <w:spacing w:before="63"/>
              <w:rPr>
                <w:sz w:val="18"/>
              </w:rPr>
            </w:pPr>
            <w:r>
              <w:rPr>
                <w:sz w:val="18"/>
              </w:rPr>
              <w:t>Regional</w:t>
            </w:r>
            <w:r>
              <w:rPr>
                <w:spacing w:val="-4"/>
                <w:sz w:val="18"/>
              </w:rPr>
              <w:t xml:space="preserve"> </w:t>
            </w:r>
            <w:r>
              <w:rPr>
                <w:spacing w:val="-5"/>
                <w:sz w:val="18"/>
              </w:rPr>
              <w:t>NSW</w:t>
            </w:r>
          </w:p>
        </w:tc>
        <w:tc>
          <w:tcPr>
            <w:tcW w:w="1474" w:type="dxa"/>
            <w:shd w:val="clear" w:color="auto" w:fill="E1E0E1"/>
          </w:tcPr>
          <w:p w:rsidR="002C1123" w:rsidRDefault="00F22F94">
            <w:pPr>
              <w:pStyle w:val="TableParagraph"/>
              <w:spacing w:before="74"/>
              <w:ind w:left="112"/>
              <w:rPr>
                <w:sz w:val="16"/>
              </w:rPr>
            </w:pPr>
            <w:r>
              <w:rPr>
                <w:spacing w:val="-5"/>
                <w:sz w:val="16"/>
              </w:rPr>
              <w:t>2.6</w:t>
            </w:r>
          </w:p>
        </w:tc>
        <w:tc>
          <w:tcPr>
            <w:tcW w:w="1474" w:type="dxa"/>
            <w:shd w:val="clear" w:color="auto" w:fill="E1E0E1"/>
          </w:tcPr>
          <w:p w:rsidR="002C1123" w:rsidRDefault="00F22F94">
            <w:pPr>
              <w:pStyle w:val="TableParagraph"/>
              <w:spacing w:before="74"/>
              <w:rPr>
                <w:sz w:val="16"/>
              </w:rPr>
            </w:pPr>
            <w:r>
              <w:rPr>
                <w:spacing w:val="-5"/>
                <w:sz w:val="16"/>
              </w:rPr>
              <w:t>3.1</w:t>
            </w:r>
          </w:p>
        </w:tc>
        <w:tc>
          <w:tcPr>
            <w:tcW w:w="1474" w:type="dxa"/>
            <w:shd w:val="clear" w:color="auto" w:fill="E1E0E1"/>
          </w:tcPr>
          <w:p w:rsidR="002C1123" w:rsidRDefault="00F22F94">
            <w:pPr>
              <w:pStyle w:val="TableParagraph"/>
              <w:spacing w:before="64"/>
              <w:rPr>
                <w:rFonts w:ascii="Tahoma"/>
                <w:sz w:val="16"/>
              </w:rPr>
            </w:pPr>
            <w:r>
              <w:rPr>
                <w:rFonts w:ascii="Tahoma"/>
                <w:spacing w:val="-5"/>
                <w:sz w:val="16"/>
              </w:rPr>
              <w:t>17%</w:t>
            </w:r>
          </w:p>
        </w:tc>
        <w:tc>
          <w:tcPr>
            <w:tcW w:w="1984" w:type="dxa"/>
            <w:shd w:val="clear" w:color="auto" w:fill="E1E0E1"/>
          </w:tcPr>
          <w:p w:rsidR="002C1123" w:rsidRDefault="00F22F94">
            <w:pPr>
              <w:pStyle w:val="TableParagraph"/>
              <w:spacing w:before="64"/>
              <w:rPr>
                <w:rFonts w:ascii="Tahoma"/>
                <w:sz w:val="16"/>
              </w:rPr>
            </w:pPr>
            <w:r>
              <w:rPr>
                <w:rFonts w:ascii="Tahoma"/>
                <w:spacing w:val="-4"/>
                <w:sz w:val="16"/>
              </w:rPr>
              <w:t>0.7%</w:t>
            </w:r>
          </w:p>
        </w:tc>
      </w:tr>
    </w:tbl>
    <w:p w:rsidR="002C1123" w:rsidRDefault="00F22F94">
      <w:pPr>
        <w:spacing w:before="55"/>
        <w:ind w:left="502"/>
        <w:rPr>
          <w:sz w:val="14"/>
        </w:rPr>
      </w:pPr>
      <w:r>
        <w:rPr>
          <w:w w:val="95"/>
          <w:sz w:val="14"/>
        </w:rPr>
        <w:t>Source:</w:t>
      </w:r>
      <w:r>
        <w:rPr>
          <w:spacing w:val="17"/>
          <w:sz w:val="14"/>
        </w:rPr>
        <w:t xml:space="preserve"> </w:t>
      </w:r>
      <w:r>
        <w:rPr>
          <w:w w:val="95"/>
          <w:sz w:val="14"/>
        </w:rPr>
        <w:t>Deloitte</w:t>
      </w:r>
      <w:r>
        <w:rPr>
          <w:spacing w:val="17"/>
          <w:sz w:val="14"/>
        </w:rPr>
        <w:t xml:space="preserve"> </w:t>
      </w:r>
      <w:r>
        <w:rPr>
          <w:w w:val="95"/>
          <w:sz w:val="14"/>
        </w:rPr>
        <w:t>Access</w:t>
      </w:r>
      <w:r>
        <w:rPr>
          <w:spacing w:val="17"/>
          <w:sz w:val="14"/>
        </w:rPr>
        <w:t xml:space="preserve"> </w:t>
      </w:r>
      <w:r>
        <w:rPr>
          <w:spacing w:val="-2"/>
          <w:w w:val="95"/>
          <w:sz w:val="14"/>
        </w:rPr>
        <w:t>Economics</w:t>
      </w:r>
    </w:p>
    <w:p w:rsidR="002C1123" w:rsidRDefault="002C1123">
      <w:pPr>
        <w:pStyle w:val="BodyText"/>
        <w:spacing w:before="4"/>
        <w:rPr>
          <w:sz w:val="25"/>
        </w:rPr>
      </w:pPr>
    </w:p>
    <w:p w:rsidR="002C1123" w:rsidRDefault="002C1123">
      <w:pPr>
        <w:rPr>
          <w:sz w:val="25"/>
        </w:rPr>
        <w:sectPr w:rsidR="002C1123">
          <w:pgSz w:w="16840" w:h="11910" w:orient="landscape"/>
          <w:pgMar w:top="560" w:right="280" w:bottom="700" w:left="500" w:header="0" w:footer="517" w:gutter="0"/>
          <w:cols w:space="720"/>
        </w:sectPr>
      </w:pPr>
    </w:p>
    <w:p w:rsidR="002C1123" w:rsidRDefault="00F22F94">
      <w:pPr>
        <w:pStyle w:val="BodyText"/>
        <w:spacing w:before="203" w:line="249" w:lineRule="auto"/>
        <w:ind w:left="492" w:right="28"/>
      </w:pPr>
      <w:r>
        <w:rPr>
          <w:w w:val="95"/>
        </w:rPr>
        <w:t xml:space="preserve">Most of the forecast growth comes from immigration, </w:t>
      </w:r>
      <w:r>
        <w:t>with</w:t>
      </w:r>
      <w:r>
        <w:rPr>
          <w:spacing w:val="-2"/>
        </w:rPr>
        <w:t xml:space="preserve"> </w:t>
      </w:r>
      <w:r>
        <w:t>56,000</w:t>
      </w:r>
      <w:r>
        <w:rPr>
          <w:spacing w:val="-2"/>
        </w:rPr>
        <w:t xml:space="preserve"> </w:t>
      </w:r>
      <w:r>
        <w:t>new</w:t>
      </w:r>
      <w:r>
        <w:rPr>
          <w:spacing w:val="-2"/>
        </w:rPr>
        <w:t xml:space="preserve"> </w:t>
      </w:r>
      <w:r>
        <w:t>migrants</w:t>
      </w:r>
      <w:r>
        <w:rPr>
          <w:spacing w:val="-2"/>
        </w:rPr>
        <w:t xml:space="preserve"> </w:t>
      </w:r>
      <w:r>
        <w:t>expected</w:t>
      </w:r>
      <w:r>
        <w:rPr>
          <w:spacing w:val="-2"/>
        </w:rPr>
        <w:t xml:space="preserve"> </w:t>
      </w:r>
      <w:r>
        <w:t>per</w:t>
      </w:r>
      <w:r>
        <w:rPr>
          <w:spacing w:val="-2"/>
        </w:rPr>
        <w:t xml:space="preserve"> </w:t>
      </w:r>
      <w:r>
        <w:t>annum.</w:t>
      </w:r>
    </w:p>
    <w:p w:rsidR="002C1123" w:rsidRDefault="00F22F94">
      <w:pPr>
        <w:pStyle w:val="BodyText"/>
        <w:spacing w:before="143"/>
        <w:ind w:left="492"/>
      </w:pPr>
      <w:r>
        <w:rPr>
          <w:w w:val="95"/>
        </w:rPr>
        <w:t>This</w:t>
      </w:r>
      <w:r>
        <w:rPr>
          <w:spacing w:val="-6"/>
          <w:w w:val="95"/>
        </w:rPr>
        <w:t xml:space="preserve"> </w:t>
      </w:r>
      <w:r>
        <w:rPr>
          <w:w w:val="95"/>
        </w:rPr>
        <w:t>growth</w:t>
      </w:r>
      <w:r>
        <w:rPr>
          <w:spacing w:val="-6"/>
          <w:w w:val="95"/>
        </w:rPr>
        <w:t xml:space="preserve"> </w:t>
      </w:r>
      <w:r>
        <w:rPr>
          <w:w w:val="95"/>
        </w:rPr>
        <w:t>and</w:t>
      </w:r>
      <w:r>
        <w:rPr>
          <w:spacing w:val="-6"/>
          <w:w w:val="95"/>
        </w:rPr>
        <w:t xml:space="preserve"> </w:t>
      </w:r>
      <w:r>
        <w:rPr>
          <w:w w:val="95"/>
        </w:rPr>
        <w:t>region</w:t>
      </w:r>
      <w:r>
        <w:rPr>
          <w:spacing w:val="-6"/>
          <w:w w:val="95"/>
        </w:rPr>
        <w:t xml:space="preserve"> </w:t>
      </w:r>
      <w:r>
        <w:rPr>
          <w:w w:val="95"/>
        </w:rPr>
        <w:t>breakdown</w:t>
      </w:r>
      <w:r>
        <w:rPr>
          <w:spacing w:val="-5"/>
          <w:w w:val="95"/>
        </w:rPr>
        <w:t xml:space="preserve"> </w:t>
      </w:r>
      <w:r>
        <w:rPr>
          <w:w w:val="95"/>
        </w:rPr>
        <w:t>is</w:t>
      </w:r>
      <w:r>
        <w:rPr>
          <w:spacing w:val="-6"/>
          <w:w w:val="95"/>
        </w:rPr>
        <w:t xml:space="preserve"> </w:t>
      </w:r>
      <w:r>
        <w:rPr>
          <w:w w:val="95"/>
        </w:rPr>
        <w:t>shown</w:t>
      </w:r>
      <w:r>
        <w:rPr>
          <w:spacing w:val="-6"/>
          <w:w w:val="95"/>
        </w:rPr>
        <w:t xml:space="preserve"> </w:t>
      </w:r>
      <w:r>
        <w:rPr>
          <w:w w:val="95"/>
        </w:rPr>
        <w:t>in</w:t>
      </w:r>
      <w:r>
        <w:rPr>
          <w:spacing w:val="-6"/>
          <w:w w:val="95"/>
        </w:rPr>
        <w:t xml:space="preserve"> </w:t>
      </w:r>
      <w:r>
        <w:rPr>
          <w:w w:val="95"/>
        </w:rPr>
        <w:t>Table</w:t>
      </w:r>
      <w:r>
        <w:rPr>
          <w:spacing w:val="-6"/>
          <w:w w:val="95"/>
        </w:rPr>
        <w:t xml:space="preserve"> </w:t>
      </w:r>
      <w:r>
        <w:rPr>
          <w:spacing w:val="-4"/>
          <w:w w:val="95"/>
        </w:rPr>
        <w:t>2.2.</w:t>
      </w:r>
    </w:p>
    <w:p w:rsidR="002C1123" w:rsidRDefault="00F22F94">
      <w:pPr>
        <w:pStyle w:val="BodyText"/>
        <w:spacing w:before="152" w:line="249" w:lineRule="auto"/>
        <w:ind w:left="492" w:right="115"/>
        <w:jc w:val="both"/>
      </w:pPr>
      <w:r>
        <w:rPr>
          <w:w w:val="95"/>
        </w:rPr>
        <w:t>Population</w:t>
      </w:r>
      <w:r>
        <w:rPr>
          <w:spacing w:val="-5"/>
          <w:w w:val="95"/>
        </w:rPr>
        <w:t xml:space="preserve"> </w:t>
      </w:r>
      <w:r>
        <w:rPr>
          <w:w w:val="95"/>
        </w:rPr>
        <w:t>ageing</w:t>
      </w:r>
      <w:r>
        <w:rPr>
          <w:spacing w:val="-5"/>
          <w:w w:val="95"/>
        </w:rPr>
        <w:t xml:space="preserve"> </w:t>
      </w:r>
      <w:r>
        <w:rPr>
          <w:w w:val="95"/>
        </w:rPr>
        <w:t>is</w:t>
      </w:r>
      <w:r>
        <w:rPr>
          <w:spacing w:val="-5"/>
          <w:w w:val="95"/>
        </w:rPr>
        <w:t xml:space="preserve"> </w:t>
      </w:r>
      <w:r>
        <w:rPr>
          <w:w w:val="95"/>
        </w:rPr>
        <w:t>expected</w:t>
      </w:r>
      <w:r>
        <w:rPr>
          <w:spacing w:val="-5"/>
          <w:w w:val="95"/>
        </w:rPr>
        <w:t xml:space="preserve"> </w:t>
      </w:r>
      <w:r>
        <w:rPr>
          <w:w w:val="95"/>
        </w:rPr>
        <w:t>to</w:t>
      </w:r>
      <w:r>
        <w:rPr>
          <w:spacing w:val="-5"/>
          <w:w w:val="95"/>
        </w:rPr>
        <w:t xml:space="preserve"> </w:t>
      </w:r>
      <w:r>
        <w:rPr>
          <w:w w:val="95"/>
        </w:rPr>
        <w:t>continue</w:t>
      </w:r>
      <w:r>
        <w:rPr>
          <w:spacing w:val="-5"/>
          <w:w w:val="95"/>
        </w:rPr>
        <w:t xml:space="preserve"> </w:t>
      </w:r>
      <w:r>
        <w:rPr>
          <w:w w:val="95"/>
        </w:rPr>
        <w:t>–</w:t>
      </w:r>
      <w:r>
        <w:rPr>
          <w:spacing w:val="-5"/>
          <w:w w:val="95"/>
        </w:rPr>
        <w:t xml:space="preserve"> </w:t>
      </w:r>
      <w:r>
        <w:rPr>
          <w:w w:val="95"/>
        </w:rPr>
        <w:t>the</w:t>
      </w:r>
      <w:r>
        <w:rPr>
          <w:spacing w:val="-5"/>
          <w:w w:val="95"/>
        </w:rPr>
        <w:t xml:space="preserve"> </w:t>
      </w:r>
      <w:r>
        <w:rPr>
          <w:w w:val="95"/>
        </w:rPr>
        <w:t xml:space="preserve">median </w:t>
      </w:r>
      <w:r>
        <w:t>age</w:t>
      </w:r>
      <w:r>
        <w:rPr>
          <w:spacing w:val="-12"/>
        </w:rPr>
        <w:t xml:space="preserve"> </w:t>
      </w:r>
      <w:r>
        <w:t>for</w:t>
      </w:r>
      <w:r>
        <w:rPr>
          <w:spacing w:val="-12"/>
        </w:rPr>
        <w:t xml:space="preserve"> </w:t>
      </w:r>
      <w:r>
        <w:t>NSW</w:t>
      </w:r>
      <w:r>
        <w:rPr>
          <w:spacing w:val="-12"/>
        </w:rPr>
        <w:t xml:space="preserve"> </w:t>
      </w:r>
      <w:r>
        <w:t>was</w:t>
      </w:r>
      <w:r>
        <w:rPr>
          <w:spacing w:val="-12"/>
        </w:rPr>
        <w:t xml:space="preserve"> </w:t>
      </w:r>
      <w:r>
        <w:t>36</w:t>
      </w:r>
      <w:r>
        <w:rPr>
          <w:spacing w:val="-12"/>
        </w:rPr>
        <w:t xml:space="preserve"> </w:t>
      </w:r>
      <w:r>
        <w:t>in</w:t>
      </w:r>
      <w:r>
        <w:rPr>
          <w:spacing w:val="-12"/>
        </w:rPr>
        <w:t xml:space="preserve"> </w:t>
      </w:r>
      <w:r>
        <w:t>2011</w:t>
      </w:r>
      <w:r>
        <w:rPr>
          <w:spacing w:val="-12"/>
        </w:rPr>
        <w:t xml:space="preserve"> </w:t>
      </w:r>
      <w:r>
        <w:t>and</w:t>
      </w:r>
      <w:r>
        <w:rPr>
          <w:spacing w:val="-12"/>
        </w:rPr>
        <w:t xml:space="preserve"> </w:t>
      </w:r>
      <w:r>
        <w:t>is</w:t>
      </w:r>
      <w:r>
        <w:rPr>
          <w:spacing w:val="-12"/>
        </w:rPr>
        <w:t xml:space="preserve"> </w:t>
      </w:r>
      <w:r>
        <w:t>expected</w:t>
      </w:r>
      <w:r>
        <w:rPr>
          <w:spacing w:val="-12"/>
        </w:rPr>
        <w:t xml:space="preserve"> </w:t>
      </w:r>
      <w:r>
        <w:t>to</w:t>
      </w:r>
      <w:r>
        <w:rPr>
          <w:spacing w:val="-12"/>
        </w:rPr>
        <w:t xml:space="preserve"> </w:t>
      </w:r>
      <w:r>
        <w:t>be</w:t>
      </w:r>
    </w:p>
    <w:p w:rsidR="002C1123" w:rsidRDefault="00F22F94">
      <w:pPr>
        <w:pStyle w:val="BodyText"/>
        <w:spacing w:before="2" w:line="249" w:lineRule="auto"/>
        <w:ind w:left="492" w:right="18"/>
        <w:jc w:val="both"/>
      </w:pPr>
      <w:r>
        <w:rPr>
          <w:w w:val="95"/>
        </w:rPr>
        <w:t>40</w:t>
      </w:r>
      <w:r>
        <w:rPr>
          <w:spacing w:val="-11"/>
          <w:w w:val="95"/>
        </w:rPr>
        <w:t xml:space="preserve"> </w:t>
      </w:r>
      <w:r>
        <w:rPr>
          <w:w w:val="95"/>
        </w:rPr>
        <w:t>in</w:t>
      </w:r>
      <w:r>
        <w:rPr>
          <w:spacing w:val="-11"/>
          <w:w w:val="95"/>
        </w:rPr>
        <w:t xml:space="preserve"> </w:t>
      </w:r>
      <w:r>
        <w:rPr>
          <w:w w:val="95"/>
        </w:rPr>
        <w:t>2031,</w:t>
      </w:r>
      <w:r>
        <w:rPr>
          <w:spacing w:val="-11"/>
          <w:w w:val="95"/>
        </w:rPr>
        <w:t xml:space="preserve"> </w:t>
      </w:r>
      <w:r>
        <w:rPr>
          <w:w w:val="95"/>
        </w:rPr>
        <w:t>driven</w:t>
      </w:r>
      <w:r>
        <w:rPr>
          <w:spacing w:val="-11"/>
          <w:w w:val="95"/>
        </w:rPr>
        <w:t xml:space="preserve"> </w:t>
      </w:r>
      <w:r>
        <w:rPr>
          <w:w w:val="95"/>
        </w:rPr>
        <w:t>primarily</w:t>
      </w:r>
      <w:r>
        <w:rPr>
          <w:spacing w:val="-11"/>
          <w:w w:val="95"/>
        </w:rPr>
        <w:t xml:space="preserve"> </w:t>
      </w:r>
      <w:r>
        <w:rPr>
          <w:w w:val="95"/>
        </w:rPr>
        <w:t>by</w:t>
      </w:r>
      <w:r>
        <w:rPr>
          <w:spacing w:val="-11"/>
          <w:w w:val="95"/>
        </w:rPr>
        <w:t xml:space="preserve"> </w:t>
      </w:r>
      <w:r>
        <w:rPr>
          <w:w w:val="95"/>
        </w:rPr>
        <w:t>increasing</w:t>
      </w:r>
      <w:r>
        <w:rPr>
          <w:spacing w:val="-11"/>
          <w:w w:val="95"/>
        </w:rPr>
        <w:t xml:space="preserve"> </w:t>
      </w:r>
      <w:r>
        <w:rPr>
          <w:w w:val="95"/>
        </w:rPr>
        <w:t>life</w:t>
      </w:r>
      <w:r>
        <w:rPr>
          <w:spacing w:val="-11"/>
          <w:w w:val="95"/>
        </w:rPr>
        <w:t xml:space="preserve"> </w:t>
      </w:r>
      <w:r>
        <w:rPr>
          <w:w w:val="95"/>
        </w:rPr>
        <w:t>expectancy. However,</w:t>
      </w:r>
      <w:r>
        <w:rPr>
          <w:spacing w:val="-6"/>
          <w:w w:val="95"/>
        </w:rPr>
        <w:t xml:space="preserve"> </w:t>
      </w:r>
      <w:r>
        <w:rPr>
          <w:w w:val="95"/>
        </w:rPr>
        <w:t>the</w:t>
      </w:r>
      <w:r>
        <w:rPr>
          <w:spacing w:val="-6"/>
          <w:w w:val="95"/>
        </w:rPr>
        <w:t xml:space="preserve"> </w:t>
      </w:r>
      <w:r>
        <w:rPr>
          <w:w w:val="95"/>
        </w:rPr>
        <w:t>proportion</w:t>
      </w:r>
      <w:r>
        <w:rPr>
          <w:spacing w:val="-6"/>
          <w:w w:val="95"/>
        </w:rPr>
        <w:t xml:space="preserve"> </w:t>
      </w:r>
      <w:r>
        <w:rPr>
          <w:w w:val="95"/>
        </w:rPr>
        <w:t>of</w:t>
      </w:r>
      <w:r>
        <w:rPr>
          <w:spacing w:val="-6"/>
          <w:w w:val="95"/>
        </w:rPr>
        <w:t xml:space="preserve"> </w:t>
      </w:r>
      <w:r>
        <w:rPr>
          <w:w w:val="95"/>
        </w:rPr>
        <w:t>children</w:t>
      </w:r>
      <w:r>
        <w:rPr>
          <w:spacing w:val="-6"/>
          <w:w w:val="95"/>
        </w:rPr>
        <w:t xml:space="preserve"> </w:t>
      </w:r>
      <w:r>
        <w:rPr>
          <w:w w:val="95"/>
        </w:rPr>
        <w:t>in</w:t>
      </w:r>
      <w:r>
        <w:rPr>
          <w:spacing w:val="-6"/>
          <w:w w:val="95"/>
        </w:rPr>
        <w:t xml:space="preserve"> </w:t>
      </w:r>
      <w:r>
        <w:rPr>
          <w:w w:val="95"/>
        </w:rPr>
        <w:t>NSW</w:t>
      </w:r>
      <w:r>
        <w:rPr>
          <w:spacing w:val="-6"/>
          <w:w w:val="95"/>
        </w:rPr>
        <w:t xml:space="preserve"> </w:t>
      </w:r>
      <w:r>
        <w:rPr>
          <w:w w:val="95"/>
        </w:rPr>
        <w:t>is</w:t>
      </w:r>
      <w:r>
        <w:rPr>
          <w:spacing w:val="-6"/>
          <w:w w:val="95"/>
        </w:rPr>
        <w:t xml:space="preserve"> </w:t>
      </w:r>
      <w:r>
        <w:rPr>
          <w:w w:val="95"/>
        </w:rPr>
        <w:t>forecast</w:t>
      </w:r>
      <w:r>
        <w:rPr>
          <w:spacing w:val="-6"/>
          <w:w w:val="95"/>
        </w:rPr>
        <w:t xml:space="preserve"> </w:t>
      </w:r>
      <w:r>
        <w:rPr>
          <w:w w:val="95"/>
        </w:rPr>
        <w:t>to increase</w:t>
      </w:r>
      <w:r>
        <w:rPr>
          <w:spacing w:val="-6"/>
          <w:w w:val="95"/>
        </w:rPr>
        <w:t xml:space="preserve"> </w:t>
      </w:r>
      <w:r>
        <w:rPr>
          <w:w w:val="95"/>
        </w:rPr>
        <w:t>over</w:t>
      </w:r>
      <w:r>
        <w:rPr>
          <w:spacing w:val="-6"/>
          <w:w w:val="95"/>
        </w:rPr>
        <w:t xml:space="preserve"> </w:t>
      </w:r>
      <w:r>
        <w:rPr>
          <w:w w:val="95"/>
        </w:rPr>
        <w:t>the</w:t>
      </w:r>
      <w:r>
        <w:rPr>
          <w:spacing w:val="-6"/>
          <w:w w:val="95"/>
        </w:rPr>
        <w:t xml:space="preserve"> </w:t>
      </w:r>
      <w:r>
        <w:rPr>
          <w:w w:val="95"/>
        </w:rPr>
        <w:t>next</w:t>
      </w:r>
      <w:r>
        <w:rPr>
          <w:spacing w:val="-6"/>
          <w:w w:val="95"/>
        </w:rPr>
        <w:t xml:space="preserve"> </w:t>
      </w:r>
      <w:r>
        <w:rPr>
          <w:w w:val="95"/>
        </w:rPr>
        <w:t>20</w:t>
      </w:r>
      <w:r>
        <w:rPr>
          <w:spacing w:val="-6"/>
          <w:w w:val="95"/>
        </w:rPr>
        <w:t xml:space="preserve"> </w:t>
      </w:r>
      <w:r>
        <w:rPr>
          <w:w w:val="95"/>
        </w:rPr>
        <w:t>years,</w:t>
      </w:r>
      <w:r>
        <w:rPr>
          <w:spacing w:val="-6"/>
          <w:w w:val="95"/>
        </w:rPr>
        <w:t xml:space="preserve"> </w:t>
      </w:r>
      <w:r>
        <w:rPr>
          <w:w w:val="95"/>
        </w:rPr>
        <w:t>as</w:t>
      </w:r>
      <w:r>
        <w:rPr>
          <w:spacing w:val="-6"/>
          <w:w w:val="95"/>
        </w:rPr>
        <w:t xml:space="preserve"> </w:t>
      </w:r>
      <w:r>
        <w:rPr>
          <w:w w:val="95"/>
        </w:rPr>
        <w:t>the</w:t>
      </w:r>
      <w:r>
        <w:rPr>
          <w:spacing w:val="-6"/>
          <w:w w:val="95"/>
        </w:rPr>
        <w:t xml:space="preserve"> </w:t>
      </w:r>
      <w:r>
        <w:rPr>
          <w:w w:val="95"/>
        </w:rPr>
        <w:t>long-term</w:t>
      </w:r>
      <w:r>
        <w:rPr>
          <w:spacing w:val="-7"/>
          <w:w w:val="95"/>
        </w:rPr>
        <w:t xml:space="preserve"> </w:t>
      </w:r>
      <w:r>
        <w:rPr>
          <w:w w:val="95"/>
        </w:rPr>
        <w:t xml:space="preserve">decline </w:t>
      </w:r>
      <w:r>
        <w:t>in</w:t>
      </w:r>
      <w:r>
        <w:rPr>
          <w:spacing w:val="-6"/>
        </w:rPr>
        <w:t xml:space="preserve"> </w:t>
      </w:r>
      <w:r>
        <w:t>fertility</w:t>
      </w:r>
      <w:r>
        <w:rPr>
          <w:spacing w:val="-6"/>
        </w:rPr>
        <w:t xml:space="preserve"> </w:t>
      </w:r>
      <w:r>
        <w:t>rates</w:t>
      </w:r>
      <w:r>
        <w:rPr>
          <w:spacing w:val="-6"/>
        </w:rPr>
        <w:t xml:space="preserve"> </w:t>
      </w:r>
      <w:r>
        <w:t>appears</w:t>
      </w:r>
      <w:r>
        <w:rPr>
          <w:spacing w:val="-6"/>
        </w:rPr>
        <w:t xml:space="preserve"> </w:t>
      </w:r>
      <w:r>
        <w:t>to</w:t>
      </w:r>
      <w:r>
        <w:rPr>
          <w:spacing w:val="-6"/>
        </w:rPr>
        <w:t xml:space="preserve"> </w:t>
      </w:r>
      <w:r>
        <w:t>be</w:t>
      </w:r>
      <w:r>
        <w:rPr>
          <w:spacing w:val="-6"/>
        </w:rPr>
        <w:t xml:space="preserve"> </w:t>
      </w:r>
      <w:r>
        <w:t>changing.</w:t>
      </w:r>
    </w:p>
    <w:p w:rsidR="002C1123" w:rsidRDefault="00F22F94">
      <w:pPr>
        <w:pStyle w:val="BodyText"/>
        <w:spacing w:before="145" w:line="249" w:lineRule="auto"/>
        <w:ind w:left="492" w:right="120"/>
        <w:jc w:val="both"/>
      </w:pPr>
      <w:r>
        <w:rPr>
          <w:w w:val="95"/>
        </w:rPr>
        <w:t>These</w:t>
      </w:r>
      <w:r>
        <w:rPr>
          <w:spacing w:val="-3"/>
          <w:w w:val="95"/>
        </w:rPr>
        <w:t xml:space="preserve"> </w:t>
      </w:r>
      <w:r>
        <w:rPr>
          <w:w w:val="95"/>
        </w:rPr>
        <w:t>trends</w:t>
      </w:r>
      <w:r>
        <w:rPr>
          <w:spacing w:val="-3"/>
          <w:w w:val="95"/>
        </w:rPr>
        <w:t xml:space="preserve"> </w:t>
      </w:r>
      <w:r>
        <w:rPr>
          <w:w w:val="95"/>
        </w:rPr>
        <w:t>are</w:t>
      </w:r>
      <w:r>
        <w:rPr>
          <w:spacing w:val="-3"/>
          <w:w w:val="95"/>
        </w:rPr>
        <w:t xml:space="preserve"> </w:t>
      </w:r>
      <w:r>
        <w:rPr>
          <w:w w:val="95"/>
        </w:rPr>
        <w:t>expected</w:t>
      </w:r>
      <w:r>
        <w:rPr>
          <w:spacing w:val="-3"/>
          <w:w w:val="95"/>
        </w:rPr>
        <w:t xml:space="preserve"> </w:t>
      </w:r>
      <w:r>
        <w:rPr>
          <w:w w:val="95"/>
        </w:rPr>
        <w:t>to</w:t>
      </w:r>
      <w:r>
        <w:rPr>
          <w:spacing w:val="-3"/>
          <w:w w:val="95"/>
        </w:rPr>
        <w:t xml:space="preserve"> </w:t>
      </w:r>
      <w:r>
        <w:rPr>
          <w:w w:val="95"/>
        </w:rPr>
        <w:t>lower</w:t>
      </w:r>
      <w:r>
        <w:rPr>
          <w:spacing w:val="-3"/>
          <w:w w:val="95"/>
        </w:rPr>
        <w:t xml:space="preserve"> </w:t>
      </w:r>
      <w:r>
        <w:rPr>
          <w:w w:val="95"/>
        </w:rPr>
        <w:t>the</w:t>
      </w:r>
      <w:r>
        <w:rPr>
          <w:spacing w:val="-3"/>
          <w:w w:val="95"/>
        </w:rPr>
        <w:t xml:space="preserve"> </w:t>
      </w:r>
      <w:r>
        <w:rPr>
          <w:w w:val="95"/>
        </w:rPr>
        <w:t>ratio</w:t>
      </w:r>
      <w:r>
        <w:rPr>
          <w:spacing w:val="-3"/>
          <w:w w:val="95"/>
        </w:rPr>
        <w:t xml:space="preserve"> </w:t>
      </w:r>
      <w:r>
        <w:rPr>
          <w:w w:val="95"/>
        </w:rPr>
        <w:t>of</w:t>
      </w:r>
      <w:r>
        <w:rPr>
          <w:spacing w:val="-3"/>
          <w:w w:val="95"/>
        </w:rPr>
        <w:t xml:space="preserve"> </w:t>
      </w:r>
      <w:r>
        <w:rPr>
          <w:w w:val="95"/>
        </w:rPr>
        <w:t xml:space="preserve">workers to non-workers during this period, which will impact our </w:t>
      </w:r>
      <w:r>
        <w:t>ability</w:t>
      </w:r>
      <w:r>
        <w:rPr>
          <w:spacing w:val="-14"/>
        </w:rPr>
        <w:t xml:space="preserve"> </w:t>
      </w:r>
      <w:r>
        <w:t>to</w:t>
      </w:r>
      <w:r>
        <w:rPr>
          <w:spacing w:val="-14"/>
        </w:rPr>
        <w:t xml:space="preserve"> </w:t>
      </w:r>
      <w:r>
        <w:t>afford</w:t>
      </w:r>
      <w:r>
        <w:rPr>
          <w:spacing w:val="-13"/>
        </w:rPr>
        <w:t xml:space="preserve"> </w:t>
      </w:r>
      <w:r>
        <w:t>the</w:t>
      </w:r>
      <w:r>
        <w:rPr>
          <w:spacing w:val="-14"/>
        </w:rPr>
        <w:t xml:space="preserve"> </w:t>
      </w:r>
      <w:r>
        <w:t>infrastructure</w:t>
      </w:r>
      <w:r>
        <w:rPr>
          <w:spacing w:val="-14"/>
        </w:rPr>
        <w:t xml:space="preserve"> </w:t>
      </w:r>
      <w:r>
        <w:t>investment</w:t>
      </w:r>
      <w:r>
        <w:rPr>
          <w:spacing w:val="-13"/>
        </w:rPr>
        <w:t xml:space="preserve"> </w:t>
      </w:r>
      <w:r>
        <w:t>needed.</w:t>
      </w:r>
    </w:p>
    <w:p w:rsidR="002C1123" w:rsidRDefault="00F22F94">
      <w:pPr>
        <w:pStyle w:val="BodyText"/>
        <w:spacing w:before="2" w:line="249" w:lineRule="auto"/>
        <w:ind w:left="492" w:right="21"/>
        <w:jc w:val="both"/>
      </w:pPr>
      <w:r>
        <w:rPr>
          <w:w w:val="95"/>
        </w:rPr>
        <w:t>Overall,</w:t>
      </w:r>
      <w:r>
        <w:rPr>
          <w:spacing w:val="-6"/>
          <w:w w:val="95"/>
        </w:rPr>
        <w:t xml:space="preserve"> </w:t>
      </w:r>
      <w:r>
        <w:rPr>
          <w:w w:val="95"/>
        </w:rPr>
        <w:t>NSW’s</w:t>
      </w:r>
      <w:r>
        <w:rPr>
          <w:spacing w:val="-6"/>
          <w:w w:val="95"/>
        </w:rPr>
        <w:t xml:space="preserve"> </w:t>
      </w:r>
      <w:r>
        <w:rPr>
          <w:w w:val="95"/>
        </w:rPr>
        <w:t>demographic</w:t>
      </w:r>
      <w:r>
        <w:rPr>
          <w:spacing w:val="-6"/>
          <w:w w:val="95"/>
        </w:rPr>
        <w:t xml:space="preserve"> </w:t>
      </w:r>
      <w:r>
        <w:rPr>
          <w:w w:val="95"/>
        </w:rPr>
        <w:t>position</w:t>
      </w:r>
      <w:r>
        <w:rPr>
          <w:spacing w:val="-6"/>
          <w:w w:val="95"/>
        </w:rPr>
        <w:t xml:space="preserve"> </w:t>
      </w:r>
      <w:r>
        <w:rPr>
          <w:w w:val="95"/>
        </w:rPr>
        <w:t>is</w:t>
      </w:r>
      <w:r>
        <w:rPr>
          <w:spacing w:val="-6"/>
          <w:w w:val="95"/>
        </w:rPr>
        <w:t xml:space="preserve"> </w:t>
      </w:r>
      <w:r>
        <w:rPr>
          <w:w w:val="95"/>
        </w:rPr>
        <w:t>more</w:t>
      </w:r>
      <w:r>
        <w:rPr>
          <w:spacing w:val="-6"/>
          <w:w w:val="95"/>
        </w:rPr>
        <w:t xml:space="preserve"> </w:t>
      </w:r>
      <w:r>
        <w:rPr>
          <w:w w:val="95"/>
        </w:rPr>
        <w:t xml:space="preserve">favourable </w:t>
      </w:r>
      <w:r>
        <w:t>than</w:t>
      </w:r>
      <w:r>
        <w:rPr>
          <w:spacing w:val="-1"/>
        </w:rPr>
        <w:t xml:space="preserve"> </w:t>
      </w:r>
      <w:r>
        <w:t>in</w:t>
      </w:r>
      <w:r>
        <w:rPr>
          <w:spacing w:val="-1"/>
        </w:rPr>
        <w:t xml:space="preserve"> </w:t>
      </w:r>
      <w:r>
        <w:t>much</w:t>
      </w:r>
      <w:r>
        <w:rPr>
          <w:spacing w:val="-1"/>
        </w:rPr>
        <w:t xml:space="preserve"> </w:t>
      </w:r>
      <w:r>
        <w:t>of</w:t>
      </w:r>
      <w:r>
        <w:rPr>
          <w:spacing w:val="-1"/>
        </w:rPr>
        <w:t xml:space="preserve"> </w:t>
      </w:r>
      <w:r>
        <w:t>the</w:t>
      </w:r>
      <w:r>
        <w:rPr>
          <w:spacing w:val="-1"/>
        </w:rPr>
        <w:t xml:space="preserve"> </w:t>
      </w:r>
      <w:r>
        <w:t>developed</w:t>
      </w:r>
      <w:r>
        <w:rPr>
          <w:spacing w:val="-1"/>
        </w:rPr>
        <w:t xml:space="preserve"> </w:t>
      </w:r>
      <w:r>
        <w:t>world.</w:t>
      </w:r>
    </w:p>
    <w:p w:rsidR="002C1123" w:rsidRDefault="00F22F94">
      <w:pPr>
        <w:pStyle w:val="BodyText"/>
        <w:spacing w:before="106" w:line="249" w:lineRule="auto"/>
        <w:ind w:left="198" w:right="5756"/>
      </w:pPr>
      <w:r>
        <w:br w:type="column"/>
      </w:r>
      <w:r>
        <w:t>The</w:t>
      </w:r>
      <w:r>
        <w:rPr>
          <w:spacing w:val="-14"/>
        </w:rPr>
        <w:t xml:space="preserve"> </w:t>
      </w:r>
      <w:r>
        <w:t>growing</w:t>
      </w:r>
      <w:r>
        <w:rPr>
          <w:spacing w:val="-14"/>
        </w:rPr>
        <w:t xml:space="preserve"> </w:t>
      </w:r>
      <w:r>
        <w:t>population</w:t>
      </w:r>
      <w:r>
        <w:rPr>
          <w:spacing w:val="-14"/>
        </w:rPr>
        <w:t xml:space="preserve"> </w:t>
      </w:r>
      <w:r>
        <w:t>will</w:t>
      </w:r>
      <w:r>
        <w:rPr>
          <w:spacing w:val="-14"/>
        </w:rPr>
        <w:t xml:space="preserve"> </w:t>
      </w:r>
      <w:r>
        <w:t>require</w:t>
      </w:r>
      <w:r>
        <w:rPr>
          <w:spacing w:val="-14"/>
        </w:rPr>
        <w:t xml:space="preserve"> </w:t>
      </w:r>
      <w:r>
        <w:t>investment</w:t>
      </w:r>
      <w:r>
        <w:rPr>
          <w:spacing w:val="-14"/>
        </w:rPr>
        <w:t xml:space="preserve"> </w:t>
      </w:r>
      <w:r>
        <w:t xml:space="preserve">in </w:t>
      </w:r>
      <w:r>
        <w:rPr>
          <w:w w:val="95"/>
        </w:rPr>
        <w:t>additional</w:t>
      </w:r>
      <w:r>
        <w:rPr>
          <w:spacing w:val="-7"/>
          <w:w w:val="95"/>
        </w:rPr>
        <w:t xml:space="preserve"> </w:t>
      </w:r>
      <w:r>
        <w:rPr>
          <w:w w:val="95"/>
        </w:rPr>
        <w:t>basic</w:t>
      </w:r>
      <w:r>
        <w:rPr>
          <w:spacing w:val="-7"/>
          <w:w w:val="95"/>
        </w:rPr>
        <w:t xml:space="preserve"> </w:t>
      </w:r>
      <w:r>
        <w:rPr>
          <w:w w:val="95"/>
        </w:rPr>
        <w:t>services:</w:t>
      </w:r>
      <w:r>
        <w:rPr>
          <w:spacing w:val="-7"/>
          <w:w w:val="95"/>
        </w:rPr>
        <w:t xml:space="preserve"> </w:t>
      </w:r>
      <w:r>
        <w:rPr>
          <w:w w:val="95"/>
        </w:rPr>
        <w:t>local</w:t>
      </w:r>
      <w:r>
        <w:rPr>
          <w:spacing w:val="-7"/>
          <w:w w:val="95"/>
        </w:rPr>
        <w:t xml:space="preserve"> </w:t>
      </w:r>
      <w:r>
        <w:rPr>
          <w:w w:val="95"/>
        </w:rPr>
        <w:t>roads,</w:t>
      </w:r>
      <w:r>
        <w:rPr>
          <w:spacing w:val="-7"/>
          <w:w w:val="95"/>
        </w:rPr>
        <w:t xml:space="preserve"> </w:t>
      </w:r>
      <w:r>
        <w:rPr>
          <w:w w:val="95"/>
        </w:rPr>
        <w:t>utilities,</w:t>
      </w:r>
      <w:r>
        <w:rPr>
          <w:spacing w:val="-7"/>
          <w:w w:val="95"/>
        </w:rPr>
        <w:t xml:space="preserve"> </w:t>
      </w:r>
      <w:r>
        <w:rPr>
          <w:w w:val="95"/>
        </w:rPr>
        <w:t>healthcare and</w:t>
      </w:r>
      <w:r>
        <w:rPr>
          <w:spacing w:val="-3"/>
          <w:w w:val="95"/>
        </w:rPr>
        <w:t xml:space="preserve"> </w:t>
      </w:r>
      <w:r>
        <w:rPr>
          <w:w w:val="95"/>
        </w:rPr>
        <w:t>education.</w:t>
      </w:r>
      <w:r>
        <w:rPr>
          <w:spacing w:val="-3"/>
          <w:w w:val="95"/>
        </w:rPr>
        <w:t xml:space="preserve"> </w:t>
      </w:r>
      <w:r>
        <w:rPr>
          <w:w w:val="95"/>
        </w:rPr>
        <w:t>It</w:t>
      </w:r>
      <w:r>
        <w:rPr>
          <w:spacing w:val="-3"/>
          <w:w w:val="95"/>
        </w:rPr>
        <w:t xml:space="preserve"> </w:t>
      </w:r>
      <w:r>
        <w:rPr>
          <w:w w:val="95"/>
        </w:rPr>
        <w:t>will</w:t>
      </w:r>
      <w:r>
        <w:rPr>
          <w:spacing w:val="-3"/>
          <w:w w:val="95"/>
        </w:rPr>
        <w:t xml:space="preserve"> </w:t>
      </w:r>
      <w:r>
        <w:rPr>
          <w:w w:val="95"/>
        </w:rPr>
        <w:t>also</w:t>
      </w:r>
      <w:r>
        <w:rPr>
          <w:spacing w:val="-3"/>
          <w:w w:val="95"/>
        </w:rPr>
        <w:t xml:space="preserve"> </w:t>
      </w:r>
      <w:r>
        <w:rPr>
          <w:w w:val="95"/>
        </w:rPr>
        <w:t>require</w:t>
      </w:r>
      <w:r>
        <w:rPr>
          <w:spacing w:val="-3"/>
          <w:w w:val="95"/>
        </w:rPr>
        <w:t xml:space="preserve"> </w:t>
      </w:r>
      <w:r>
        <w:rPr>
          <w:w w:val="95"/>
        </w:rPr>
        <w:t>investment</w:t>
      </w:r>
      <w:r>
        <w:rPr>
          <w:spacing w:val="-3"/>
          <w:w w:val="95"/>
        </w:rPr>
        <w:t xml:space="preserve"> </w:t>
      </w:r>
      <w:r>
        <w:rPr>
          <w:w w:val="95"/>
        </w:rPr>
        <w:t>in</w:t>
      </w:r>
      <w:r>
        <w:rPr>
          <w:spacing w:val="-3"/>
          <w:w w:val="95"/>
        </w:rPr>
        <w:t xml:space="preserve"> </w:t>
      </w:r>
      <w:r>
        <w:rPr>
          <w:w w:val="95"/>
        </w:rPr>
        <w:t xml:space="preserve">transport </w:t>
      </w:r>
      <w:r>
        <w:t>infrastructure</w:t>
      </w:r>
      <w:r>
        <w:rPr>
          <w:spacing w:val="-8"/>
        </w:rPr>
        <w:t xml:space="preserve"> </w:t>
      </w:r>
      <w:r>
        <w:t>to</w:t>
      </w:r>
      <w:r>
        <w:rPr>
          <w:spacing w:val="-8"/>
        </w:rPr>
        <w:t xml:space="preserve"> </w:t>
      </w:r>
      <w:r>
        <w:t>connect</w:t>
      </w:r>
      <w:r>
        <w:rPr>
          <w:spacing w:val="-8"/>
        </w:rPr>
        <w:t xml:space="preserve"> </w:t>
      </w:r>
      <w:r>
        <w:t>new</w:t>
      </w:r>
      <w:r>
        <w:rPr>
          <w:spacing w:val="-8"/>
        </w:rPr>
        <w:t xml:space="preserve"> </w:t>
      </w:r>
      <w:r>
        <w:t>housing</w:t>
      </w:r>
      <w:r>
        <w:rPr>
          <w:spacing w:val="-8"/>
        </w:rPr>
        <w:t xml:space="preserve"> </w:t>
      </w:r>
      <w:r>
        <w:t>centres</w:t>
      </w:r>
      <w:r>
        <w:rPr>
          <w:spacing w:val="-8"/>
        </w:rPr>
        <w:t xml:space="preserve"> </w:t>
      </w:r>
      <w:r>
        <w:t>with</w:t>
      </w:r>
      <w:r>
        <w:rPr>
          <w:spacing w:val="-8"/>
        </w:rPr>
        <w:t xml:space="preserve"> </w:t>
      </w:r>
      <w:r>
        <w:t>the greatest</w:t>
      </w:r>
      <w:r>
        <w:rPr>
          <w:spacing w:val="-1"/>
        </w:rPr>
        <w:t xml:space="preserve"> </w:t>
      </w:r>
      <w:r>
        <w:t>range</w:t>
      </w:r>
      <w:r>
        <w:rPr>
          <w:spacing w:val="-1"/>
        </w:rPr>
        <w:t xml:space="preserve"> </w:t>
      </w:r>
      <w:r>
        <w:t>of</w:t>
      </w:r>
      <w:r>
        <w:rPr>
          <w:spacing w:val="-1"/>
        </w:rPr>
        <w:t xml:space="preserve"> </w:t>
      </w:r>
      <w:r>
        <w:t>employment</w:t>
      </w:r>
      <w:r>
        <w:rPr>
          <w:spacing w:val="-1"/>
        </w:rPr>
        <w:t xml:space="preserve"> </w:t>
      </w:r>
      <w:r>
        <w:t>opportunities.</w:t>
      </w:r>
    </w:p>
    <w:p w:rsidR="002C1123" w:rsidRDefault="00F22F94">
      <w:pPr>
        <w:pStyle w:val="BodyText"/>
        <w:spacing w:before="146" w:line="249" w:lineRule="auto"/>
        <w:ind w:left="198" w:right="5756"/>
      </w:pPr>
      <w:r>
        <w:t>An</w:t>
      </w:r>
      <w:r>
        <w:rPr>
          <w:spacing w:val="-7"/>
        </w:rPr>
        <w:t xml:space="preserve"> </w:t>
      </w:r>
      <w:r>
        <w:t>ageing</w:t>
      </w:r>
      <w:r>
        <w:rPr>
          <w:spacing w:val="-7"/>
        </w:rPr>
        <w:t xml:space="preserve"> </w:t>
      </w:r>
      <w:r>
        <w:t>population</w:t>
      </w:r>
      <w:r>
        <w:rPr>
          <w:spacing w:val="-7"/>
        </w:rPr>
        <w:t xml:space="preserve"> </w:t>
      </w:r>
      <w:r>
        <w:t>will</w:t>
      </w:r>
      <w:r>
        <w:rPr>
          <w:spacing w:val="-7"/>
        </w:rPr>
        <w:t xml:space="preserve"> </w:t>
      </w:r>
      <w:r>
        <w:t>change</w:t>
      </w:r>
      <w:r>
        <w:rPr>
          <w:spacing w:val="-7"/>
        </w:rPr>
        <w:t xml:space="preserve"> </w:t>
      </w:r>
      <w:r>
        <w:t>the</w:t>
      </w:r>
      <w:r>
        <w:rPr>
          <w:spacing w:val="-7"/>
        </w:rPr>
        <w:t xml:space="preserve"> </w:t>
      </w:r>
      <w:r>
        <w:t>types</w:t>
      </w:r>
      <w:r>
        <w:rPr>
          <w:spacing w:val="-7"/>
        </w:rPr>
        <w:t xml:space="preserve"> </w:t>
      </w:r>
      <w:r>
        <w:t xml:space="preserve">of </w:t>
      </w:r>
      <w:r>
        <w:rPr>
          <w:spacing w:val="-2"/>
        </w:rPr>
        <w:t>infrastructure</w:t>
      </w:r>
      <w:r>
        <w:rPr>
          <w:spacing w:val="-3"/>
        </w:rPr>
        <w:t xml:space="preserve"> </w:t>
      </w:r>
      <w:r>
        <w:rPr>
          <w:spacing w:val="-2"/>
        </w:rPr>
        <w:t>that</w:t>
      </w:r>
      <w:r>
        <w:rPr>
          <w:spacing w:val="-3"/>
        </w:rPr>
        <w:t xml:space="preserve"> </w:t>
      </w:r>
      <w:r>
        <w:rPr>
          <w:spacing w:val="-2"/>
        </w:rPr>
        <w:t>NSW</w:t>
      </w:r>
      <w:r>
        <w:rPr>
          <w:spacing w:val="-3"/>
        </w:rPr>
        <w:t xml:space="preserve"> </w:t>
      </w:r>
      <w:r>
        <w:rPr>
          <w:spacing w:val="-2"/>
        </w:rPr>
        <w:t>requires.</w:t>
      </w:r>
      <w:r>
        <w:rPr>
          <w:spacing w:val="-3"/>
        </w:rPr>
        <w:t xml:space="preserve"> </w:t>
      </w:r>
      <w:r>
        <w:rPr>
          <w:spacing w:val="-2"/>
        </w:rPr>
        <w:t>This</w:t>
      </w:r>
      <w:r>
        <w:rPr>
          <w:spacing w:val="-3"/>
        </w:rPr>
        <w:t xml:space="preserve"> </w:t>
      </w:r>
      <w:r>
        <w:rPr>
          <w:spacing w:val="-2"/>
        </w:rPr>
        <w:t>will</w:t>
      </w:r>
      <w:r>
        <w:rPr>
          <w:spacing w:val="-3"/>
        </w:rPr>
        <w:t xml:space="preserve"> </w:t>
      </w:r>
      <w:r>
        <w:rPr>
          <w:spacing w:val="-2"/>
        </w:rPr>
        <w:t xml:space="preserve">particularly </w:t>
      </w:r>
      <w:r>
        <w:t>be</w:t>
      </w:r>
      <w:r>
        <w:rPr>
          <w:spacing w:val="-14"/>
        </w:rPr>
        <w:t xml:space="preserve"> </w:t>
      </w:r>
      <w:r>
        <w:t>the</w:t>
      </w:r>
      <w:r>
        <w:rPr>
          <w:spacing w:val="-14"/>
        </w:rPr>
        <w:t xml:space="preserve"> </w:t>
      </w:r>
      <w:r>
        <w:t>case</w:t>
      </w:r>
      <w:r>
        <w:rPr>
          <w:spacing w:val="-14"/>
        </w:rPr>
        <w:t xml:space="preserve"> </w:t>
      </w:r>
      <w:r>
        <w:t>for</w:t>
      </w:r>
      <w:r>
        <w:rPr>
          <w:spacing w:val="-14"/>
        </w:rPr>
        <w:t xml:space="preserve"> </w:t>
      </w:r>
      <w:r>
        <w:t>social</w:t>
      </w:r>
      <w:r>
        <w:rPr>
          <w:spacing w:val="-14"/>
        </w:rPr>
        <w:t xml:space="preserve"> </w:t>
      </w:r>
      <w:r>
        <w:t>infrastructure</w:t>
      </w:r>
      <w:r>
        <w:rPr>
          <w:spacing w:val="-14"/>
        </w:rPr>
        <w:t xml:space="preserve"> </w:t>
      </w:r>
      <w:r>
        <w:t>–</w:t>
      </w:r>
      <w:r>
        <w:rPr>
          <w:spacing w:val="-14"/>
        </w:rPr>
        <w:t xml:space="preserve"> </w:t>
      </w:r>
      <w:r>
        <w:t>for</w:t>
      </w:r>
      <w:r>
        <w:rPr>
          <w:spacing w:val="-14"/>
        </w:rPr>
        <w:t xml:space="preserve"> </w:t>
      </w:r>
      <w:r>
        <w:t>example,</w:t>
      </w:r>
      <w:r>
        <w:rPr>
          <w:spacing w:val="-14"/>
        </w:rPr>
        <w:t xml:space="preserve"> </w:t>
      </w:r>
      <w:r>
        <w:t xml:space="preserve">an </w:t>
      </w:r>
      <w:r>
        <w:rPr>
          <w:w w:val="95"/>
        </w:rPr>
        <w:t>increase</w:t>
      </w:r>
      <w:r>
        <w:rPr>
          <w:spacing w:val="-7"/>
          <w:w w:val="95"/>
        </w:rPr>
        <w:t xml:space="preserve"> </w:t>
      </w:r>
      <w:r>
        <w:rPr>
          <w:w w:val="95"/>
        </w:rPr>
        <w:t>in</w:t>
      </w:r>
      <w:r>
        <w:rPr>
          <w:spacing w:val="-7"/>
          <w:w w:val="95"/>
        </w:rPr>
        <w:t xml:space="preserve"> </w:t>
      </w:r>
      <w:r>
        <w:rPr>
          <w:w w:val="95"/>
        </w:rPr>
        <w:t>the</w:t>
      </w:r>
      <w:r>
        <w:rPr>
          <w:spacing w:val="-7"/>
          <w:w w:val="95"/>
        </w:rPr>
        <w:t xml:space="preserve"> </w:t>
      </w:r>
      <w:r>
        <w:rPr>
          <w:w w:val="95"/>
        </w:rPr>
        <w:t>proportion</w:t>
      </w:r>
      <w:r>
        <w:rPr>
          <w:spacing w:val="-7"/>
          <w:w w:val="95"/>
        </w:rPr>
        <w:t xml:space="preserve"> </w:t>
      </w:r>
      <w:r>
        <w:rPr>
          <w:w w:val="95"/>
        </w:rPr>
        <w:t>of</w:t>
      </w:r>
      <w:r>
        <w:rPr>
          <w:spacing w:val="-7"/>
          <w:w w:val="95"/>
        </w:rPr>
        <w:t xml:space="preserve"> </w:t>
      </w:r>
      <w:r>
        <w:rPr>
          <w:w w:val="95"/>
        </w:rPr>
        <w:t>older</w:t>
      </w:r>
      <w:r>
        <w:rPr>
          <w:spacing w:val="-7"/>
          <w:w w:val="95"/>
        </w:rPr>
        <w:t xml:space="preserve"> </w:t>
      </w:r>
      <w:r>
        <w:rPr>
          <w:w w:val="95"/>
        </w:rPr>
        <w:t>people</w:t>
      </w:r>
      <w:r>
        <w:rPr>
          <w:spacing w:val="-7"/>
          <w:w w:val="95"/>
        </w:rPr>
        <w:t xml:space="preserve"> </w:t>
      </w:r>
      <w:r>
        <w:rPr>
          <w:w w:val="95"/>
        </w:rPr>
        <w:t>in</w:t>
      </w:r>
      <w:r>
        <w:rPr>
          <w:spacing w:val="-7"/>
          <w:w w:val="95"/>
        </w:rPr>
        <w:t xml:space="preserve"> </w:t>
      </w:r>
      <w:r>
        <w:rPr>
          <w:w w:val="95"/>
        </w:rPr>
        <w:t>an</w:t>
      </w:r>
      <w:r>
        <w:rPr>
          <w:spacing w:val="-7"/>
          <w:w w:val="95"/>
        </w:rPr>
        <w:t xml:space="preserve"> </w:t>
      </w:r>
      <w:r>
        <w:rPr>
          <w:w w:val="95"/>
        </w:rPr>
        <w:t>area</w:t>
      </w:r>
      <w:r>
        <w:rPr>
          <w:spacing w:val="-7"/>
          <w:w w:val="95"/>
        </w:rPr>
        <w:t xml:space="preserve"> </w:t>
      </w:r>
      <w:r>
        <w:rPr>
          <w:w w:val="95"/>
        </w:rPr>
        <w:t>will</w:t>
      </w:r>
    </w:p>
    <w:p w:rsidR="002C1123" w:rsidRDefault="00F22F94">
      <w:pPr>
        <w:pStyle w:val="BodyText"/>
        <w:spacing w:before="3" w:line="249" w:lineRule="auto"/>
        <w:ind w:left="198" w:right="5756"/>
      </w:pPr>
      <w:r>
        <w:rPr>
          <w:w w:val="95"/>
        </w:rPr>
        <w:t>be</w:t>
      </w:r>
      <w:r>
        <w:rPr>
          <w:spacing w:val="-1"/>
          <w:w w:val="95"/>
        </w:rPr>
        <w:t xml:space="preserve"> </w:t>
      </w:r>
      <w:r>
        <w:rPr>
          <w:w w:val="95"/>
        </w:rPr>
        <w:t>likely</w:t>
      </w:r>
      <w:r>
        <w:rPr>
          <w:spacing w:val="-1"/>
          <w:w w:val="95"/>
        </w:rPr>
        <w:t xml:space="preserve"> </w:t>
      </w:r>
      <w:r>
        <w:rPr>
          <w:w w:val="95"/>
        </w:rPr>
        <w:t>to</w:t>
      </w:r>
      <w:r>
        <w:rPr>
          <w:spacing w:val="-1"/>
          <w:w w:val="95"/>
        </w:rPr>
        <w:t xml:space="preserve"> </w:t>
      </w:r>
      <w:r>
        <w:rPr>
          <w:w w:val="95"/>
        </w:rPr>
        <w:t>increase</w:t>
      </w:r>
      <w:r>
        <w:rPr>
          <w:spacing w:val="-1"/>
          <w:w w:val="95"/>
        </w:rPr>
        <w:t xml:space="preserve"> </w:t>
      </w:r>
      <w:r>
        <w:rPr>
          <w:w w:val="95"/>
        </w:rPr>
        <w:t>demand</w:t>
      </w:r>
      <w:r>
        <w:rPr>
          <w:spacing w:val="-1"/>
          <w:w w:val="95"/>
        </w:rPr>
        <w:t xml:space="preserve"> </w:t>
      </w:r>
      <w:r>
        <w:rPr>
          <w:w w:val="95"/>
        </w:rPr>
        <w:t>for</w:t>
      </w:r>
      <w:r>
        <w:rPr>
          <w:spacing w:val="-1"/>
          <w:w w:val="95"/>
        </w:rPr>
        <w:t xml:space="preserve"> </w:t>
      </w:r>
      <w:r>
        <w:rPr>
          <w:w w:val="95"/>
        </w:rPr>
        <w:t>shared</w:t>
      </w:r>
      <w:r>
        <w:rPr>
          <w:spacing w:val="-1"/>
          <w:w w:val="95"/>
        </w:rPr>
        <w:t xml:space="preserve"> </w:t>
      </w:r>
      <w:r>
        <w:rPr>
          <w:w w:val="95"/>
        </w:rPr>
        <w:t xml:space="preserve">accommodation </w:t>
      </w:r>
      <w:r>
        <w:t>and healthcare services.</w:t>
      </w:r>
    </w:p>
    <w:p w:rsidR="002C1123" w:rsidRDefault="00F22F94">
      <w:pPr>
        <w:pStyle w:val="BodyText"/>
        <w:spacing w:before="143" w:line="249" w:lineRule="auto"/>
        <w:ind w:left="198" w:right="5756"/>
      </w:pPr>
      <w:r>
        <w:t>Changes</w:t>
      </w:r>
      <w:r>
        <w:rPr>
          <w:spacing w:val="-10"/>
        </w:rPr>
        <w:t xml:space="preserve"> </w:t>
      </w:r>
      <w:r>
        <w:t>in</w:t>
      </w:r>
      <w:r>
        <w:rPr>
          <w:spacing w:val="-10"/>
        </w:rPr>
        <w:t xml:space="preserve"> </w:t>
      </w:r>
      <w:r>
        <w:t>population</w:t>
      </w:r>
      <w:r>
        <w:rPr>
          <w:spacing w:val="-10"/>
        </w:rPr>
        <w:t xml:space="preserve"> </w:t>
      </w:r>
      <w:r>
        <w:t>distribution</w:t>
      </w:r>
      <w:r>
        <w:rPr>
          <w:spacing w:val="-10"/>
        </w:rPr>
        <w:t xml:space="preserve"> </w:t>
      </w:r>
      <w:r>
        <w:t>across</w:t>
      </w:r>
      <w:r>
        <w:rPr>
          <w:spacing w:val="-10"/>
        </w:rPr>
        <w:t xml:space="preserve"> </w:t>
      </w:r>
      <w:r>
        <w:t xml:space="preserve">regional </w:t>
      </w:r>
      <w:r>
        <w:rPr>
          <w:w w:val="95"/>
        </w:rPr>
        <w:t>NSW</w:t>
      </w:r>
      <w:r>
        <w:rPr>
          <w:spacing w:val="-11"/>
          <w:w w:val="95"/>
        </w:rPr>
        <w:t xml:space="preserve"> </w:t>
      </w:r>
      <w:r>
        <w:rPr>
          <w:w w:val="95"/>
        </w:rPr>
        <w:t>will</w:t>
      </w:r>
      <w:r>
        <w:rPr>
          <w:spacing w:val="-11"/>
          <w:w w:val="95"/>
        </w:rPr>
        <w:t xml:space="preserve"> </w:t>
      </w:r>
      <w:r>
        <w:rPr>
          <w:w w:val="95"/>
        </w:rPr>
        <w:t>present</w:t>
      </w:r>
      <w:r>
        <w:rPr>
          <w:spacing w:val="-11"/>
          <w:w w:val="95"/>
        </w:rPr>
        <w:t xml:space="preserve"> </w:t>
      </w:r>
      <w:r>
        <w:rPr>
          <w:w w:val="95"/>
        </w:rPr>
        <w:t>various</w:t>
      </w:r>
      <w:r>
        <w:rPr>
          <w:spacing w:val="-11"/>
          <w:w w:val="95"/>
        </w:rPr>
        <w:t xml:space="preserve"> </w:t>
      </w:r>
      <w:r>
        <w:rPr>
          <w:w w:val="95"/>
        </w:rPr>
        <w:t>challenges.</w:t>
      </w:r>
      <w:r>
        <w:rPr>
          <w:spacing w:val="-11"/>
          <w:w w:val="95"/>
        </w:rPr>
        <w:t xml:space="preserve"> </w:t>
      </w:r>
      <w:r>
        <w:rPr>
          <w:w w:val="95"/>
        </w:rPr>
        <w:t>Service</w:t>
      </w:r>
      <w:r>
        <w:rPr>
          <w:spacing w:val="-11"/>
          <w:w w:val="95"/>
        </w:rPr>
        <w:t xml:space="preserve"> </w:t>
      </w:r>
      <w:r>
        <w:rPr>
          <w:w w:val="95"/>
        </w:rPr>
        <w:t>delivery models</w:t>
      </w:r>
      <w:r>
        <w:rPr>
          <w:spacing w:val="-3"/>
        </w:rPr>
        <w:t xml:space="preserve"> </w:t>
      </w:r>
      <w:r>
        <w:rPr>
          <w:w w:val="95"/>
        </w:rPr>
        <w:t>will</w:t>
      </w:r>
      <w:r>
        <w:rPr>
          <w:spacing w:val="-2"/>
        </w:rPr>
        <w:t xml:space="preserve"> </w:t>
      </w:r>
      <w:r>
        <w:rPr>
          <w:w w:val="95"/>
        </w:rPr>
        <w:t>need</w:t>
      </w:r>
      <w:r>
        <w:rPr>
          <w:spacing w:val="-2"/>
        </w:rPr>
        <w:t xml:space="preserve"> </w:t>
      </w:r>
      <w:r>
        <w:rPr>
          <w:w w:val="95"/>
        </w:rPr>
        <w:t>to</w:t>
      </w:r>
      <w:r>
        <w:rPr>
          <w:spacing w:val="-2"/>
        </w:rPr>
        <w:t xml:space="preserve"> </w:t>
      </w:r>
      <w:r>
        <w:rPr>
          <w:w w:val="95"/>
        </w:rPr>
        <w:t>change</w:t>
      </w:r>
      <w:r>
        <w:rPr>
          <w:spacing w:val="-2"/>
        </w:rPr>
        <w:t xml:space="preserve"> </w:t>
      </w:r>
      <w:r>
        <w:rPr>
          <w:w w:val="95"/>
        </w:rPr>
        <w:t>to</w:t>
      </w:r>
      <w:r>
        <w:rPr>
          <w:spacing w:val="-2"/>
        </w:rPr>
        <w:t xml:space="preserve"> </w:t>
      </w:r>
      <w:r>
        <w:rPr>
          <w:w w:val="95"/>
        </w:rPr>
        <w:t>support</w:t>
      </w:r>
      <w:r>
        <w:rPr>
          <w:spacing w:val="-2"/>
        </w:rPr>
        <w:t xml:space="preserve"> </w:t>
      </w:r>
      <w:r>
        <w:rPr>
          <w:w w:val="95"/>
        </w:rPr>
        <w:t>growing</w:t>
      </w:r>
      <w:r>
        <w:rPr>
          <w:spacing w:val="-2"/>
        </w:rPr>
        <w:t xml:space="preserve"> </w:t>
      </w:r>
      <w:r>
        <w:rPr>
          <w:spacing w:val="-4"/>
          <w:w w:val="95"/>
        </w:rPr>
        <w:t>areas</w:t>
      </w:r>
    </w:p>
    <w:p w:rsidR="002C1123" w:rsidRDefault="00F22F94">
      <w:pPr>
        <w:pStyle w:val="BodyText"/>
        <w:spacing w:before="3" w:line="249" w:lineRule="auto"/>
        <w:ind w:left="198" w:right="5756"/>
      </w:pPr>
      <w:r>
        <w:rPr>
          <w:w w:val="95"/>
        </w:rPr>
        <w:t>and</w:t>
      </w:r>
      <w:r>
        <w:rPr>
          <w:spacing w:val="-4"/>
          <w:w w:val="95"/>
        </w:rPr>
        <w:t xml:space="preserve"> </w:t>
      </w:r>
      <w:r>
        <w:rPr>
          <w:w w:val="95"/>
        </w:rPr>
        <w:t>to</w:t>
      </w:r>
      <w:r>
        <w:rPr>
          <w:spacing w:val="-4"/>
          <w:w w:val="95"/>
        </w:rPr>
        <w:t xml:space="preserve"> </w:t>
      </w:r>
      <w:r>
        <w:rPr>
          <w:w w:val="95"/>
        </w:rPr>
        <w:t>ensure</w:t>
      </w:r>
      <w:r>
        <w:rPr>
          <w:spacing w:val="-4"/>
          <w:w w:val="95"/>
        </w:rPr>
        <w:t xml:space="preserve"> </w:t>
      </w:r>
      <w:r>
        <w:rPr>
          <w:w w:val="95"/>
        </w:rPr>
        <w:t>delivery</w:t>
      </w:r>
      <w:r>
        <w:rPr>
          <w:spacing w:val="-4"/>
          <w:w w:val="95"/>
        </w:rPr>
        <w:t xml:space="preserve"> </w:t>
      </w:r>
      <w:r>
        <w:rPr>
          <w:w w:val="95"/>
        </w:rPr>
        <w:t>is</w:t>
      </w:r>
      <w:r>
        <w:rPr>
          <w:spacing w:val="-4"/>
          <w:w w:val="95"/>
        </w:rPr>
        <w:t xml:space="preserve"> </w:t>
      </w:r>
      <w:r>
        <w:rPr>
          <w:w w:val="95"/>
        </w:rPr>
        <w:t>cost-effective</w:t>
      </w:r>
      <w:r>
        <w:rPr>
          <w:spacing w:val="-4"/>
          <w:w w:val="95"/>
        </w:rPr>
        <w:t xml:space="preserve"> </w:t>
      </w:r>
      <w:r>
        <w:rPr>
          <w:w w:val="95"/>
        </w:rPr>
        <w:t>where</w:t>
      </w:r>
      <w:r>
        <w:rPr>
          <w:spacing w:val="-4"/>
          <w:w w:val="95"/>
        </w:rPr>
        <w:t xml:space="preserve"> </w:t>
      </w:r>
      <w:r>
        <w:rPr>
          <w:w w:val="95"/>
        </w:rPr>
        <w:t xml:space="preserve">population </w:t>
      </w:r>
      <w:r>
        <w:t>levels</w:t>
      </w:r>
      <w:r>
        <w:rPr>
          <w:spacing w:val="-11"/>
        </w:rPr>
        <w:t xml:space="preserve"> </w:t>
      </w:r>
      <w:r>
        <w:t>decline.</w:t>
      </w:r>
    </w:p>
    <w:p w:rsidR="002C1123" w:rsidRDefault="002C1123">
      <w:pPr>
        <w:spacing w:line="249" w:lineRule="auto"/>
        <w:sectPr w:rsidR="002C1123">
          <w:type w:val="continuous"/>
          <w:pgSz w:w="16840" w:h="11910" w:orient="landscape"/>
          <w:pgMar w:top="560" w:right="280" w:bottom="280" w:left="500" w:header="0" w:footer="517" w:gutter="0"/>
          <w:cols w:num="2" w:space="720" w:equalWidth="0">
            <w:col w:w="5280" w:space="40"/>
            <w:col w:w="10740"/>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3"/>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Heading6"/>
        <w:numPr>
          <w:ilvl w:val="2"/>
          <w:numId w:val="147"/>
        </w:numPr>
        <w:tabs>
          <w:tab w:val="left" w:pos="979"/>
        </w:tabs>
        <w:ind w:left="978" w:hanging="487"/>
      </w:pPr>
      <w:bookmarkStart w:id="72" w:name="_bookmark50"/>
      <w:bookmarkEnd w:id="72"/>
      <w:r>
        <w:rPr>
          <w:color w:val="EC008C"/>
          <w:spacing w:val="-4"/>
        </w:rPr>
        <w:t>Industry</w:t>
      </w:r>
      <w:r>
        <w:rPr>
          <w:color w:val="EC008C"/>
          <w:spacing w:val="-3"/>
        </w:rPr>
        <w:t xml:space="preserve"> </w:t>
      </w:r>
      <w:r>
        <w:rPr>
          <w:color w:val="EC008C"/>
          <w:spacing w:val="-4"/>
        </w:rPr>
        <w:t>and</w:t>
      </w:r>
      <w:r>
        <w:rPr>
          <w:color w:val="EC008C"/>
          <w:spacing w:val="-3"/>
        </w:rPr>
        <w:t xml:space="preserve"> </w:t>
      </w:r>
      <w:r>
        <w:rPr>
          <w:color w:val="EC008C"/>
          <w:spacing w:val="-4"/>
        </w:rPr>
        <w:t>Job</w:t>
      </w:r>
      <w:r>
        <w:rPr>
          <w:color w:val="EC008C"/>
          <w:spacing w:val="-2"/>
        </w:rPr>
        <w:t xml:space="preserve"> </w:t>
      </w:r>
      <w:r>
        <w:rPr>
          <w:color w:val="EC008C"/>
          <w:spacing w:val="-4"/>
        </w:rPr>
        <w:t>Forecasts</w:t>
      </w:r>
    </w:p>
    <w:p w:rsidR="002C1123" w:rsidRDefault="00F22F94">
      <w:pPr>
        <w:pStyle w:val="BodyText"/>
        <w:spacing w:before="95" w:line="249" w:lineRule="auto"/>
        <w:ind w:left="492"/>
      </w:pPr>
      <w:r>
        <w:rPr>
          <w:w w:val="95"/>
        </w:rPr>
        <w:t>The</w:t>
      </w:r>
      <w:r>
        <w:rPr>
          <w:spacing w:val="-6"/>
          <w:w w:val="95"/>
        </w:rPr>
        <w:t xml:space="preserve"> </w:t>
      </w:r>
      <w:r>
        <w:rPr>
          <w:w w:val="95"/>
        </w:rPr>
        <w:t>State</w:t>
      </w:r>
      <w:r>
        <w:rPr>
          <w:spacing w:val="-6"/>
          <w:w w:val="95"/>
        </w:rPr>
        <w:t xml:space="preserve"> </w:t>
      </w:r>
      <w:r>
        <w:rPr>
          <w:w w:val="95"/>
        </w:rPr>
        <w:t>economy</w:t>
      </w:r>
      <w:r>
        <w:rPr>
          <w:spacing w:val="-6"/>
          <w:w w:val="95"/>
        </w:rPr>
        <w:t xml:space="preserve"> </w:t>
      </w:r>
      <w:r>
        <w:rPr>
          <w:w w:val="95"/>
        </w:rPr>
        <w:t>is</w:t>
      </w:r>
      <w:r>
        <w:rPr>
          <w:spacing w:val="-6"/>
          <w:w w:val="95"/>
        </w:rPr>
        <w:t xml:space="preserve"> </w:t>
      </w:r>
      <w:r>
        <w:rPr>
          <w:w w:val="95"/>
        </w:rPr>
        <w:t>expected</w:t>
      </w:r>
      <w:r>
        <w:rPr>
          <w:spacing w:val="-6"/>
          <w:w w:val="95"/>
        </w:rPr>
        <w:t xml:space="preserve"> </w:t>
      </w:r>
      <w:r>
        <w:rPr>
          <w:w w:val="95"/>
        </w:rPr>
        <w:t>to</w:t>
      </w:r>
      <w:r>
        <w:rPr>
          <w:spacing w:val="-6"/>
          <w:w w:val="95"/>
        </w:rPr>
        <w:t xml:space="preserve"> </w:t>
      </w:r>
      <w:r>
        <w:rPr>
          <w:w w:val="95"/>
        </w:rPr>
        <w:t>grow</w:t>
      </w:r>
      <w:r>
        <w:rPr>
          <w:spacing w:val="-6"/>
          <w:w w:val="95"/>
        </w:rPr>
        <w:t xml:space="preserve"> </w:t>
      </w:r>
      <w:r>
        <w:rPr>
          <w:w w:val="95"/>
        </w:rPr>
        <w:t>by</w:t>
      </w:r>
      <w:r>
        <w:rPr>
          <w:spacing w:val="-6"/>
          <w:w w:val="95"/>
        </w:rPr>
        <w:t xml:space="preserve"> </w:t>
      </w:r>
      <w:r>
        <w:rPr>
          <w:w w:val="95"/>
        </w:rPr>
        <w:t>an</w:t>
      </w:r>
      <w:r>
        <w:rPr>
          <w:spacing w:val="-6"/>
          <w:w w:val="95"/>
        </w:rPr>
        <w:t xml:space="preserve"> </w:t>
      </w:r>
      <w:r>
        <w:rPr>
          <w:w w:val="95"/>
        </w:rPr>
        <w:t xml:space="preserve">average </w:t>
      </w:r>
      <w:r>
        <w:t>annual</w:t>
      </w:r>
      <w:r>
        <w:rPr>
          <w:spacing w:val="-12"/>
        </w:rPr>
        <w:t xml:space="preserve"> </w:t>
      </w:r>
      <w:r>
        <w:t>rate</w:t>
      </w:r>
      <w:r>
        <w:rPr>
          <w:spacing w:val="-12"/>
        </w:rPr>
        <w:t xml:space="preserve"> </w:t>
      </w:r>
      <w:r>
        <w:t>of</w:t>
      </w:r>
      <w:r>
        <w:rPr>
          <w:spacing w:val="-12"/>
        </w:rPr>
        <w:t xml:space="preserve"> </w:t>
      </w:r>
      <w:r>
        <w:t>2.6</w:t>
      </w:r>
      <w:r>
        <w:rPr>
          <w:spacing w:val="-12"/>
        </w:rPr>
        <w:t xml:space="preserve"> </w:t>
      </w:r>
      <w:r>
        <w:t>percent</w:t>
      </w:r>
      <w:r>
        <w:rPr>
          <w:spacing w:val="-12"/>
        </w:rPr>
        <w:t xml:space="preserve"> </w:t>
      </w:r>
      <w:r>
        <w:t>per</w:t>
      </w:r>
      <w:r>
        <w:rPr>
          <w:spacing w:val="-12"/>
        </w:rPr>
        <w:t xml:space="preserve"> </w:t>
      </w:r>
      <w:r>
        <w:t>annum</w:t>
      </w:r>
      <w:r>
        <w:rPr>
          <w:spacing w:val="-13"/>
        </w:rPr>
        <w:t xml:space="preserve"> </w:t>
      </w:r>
      <w:r>
        <w:t>to</w:t>
      </w:r>
      <w:r>
        <w:rPr>
          <w:spacing w:val="-12"/>
        </w:rPr>
        <w:t xml:space="preserve"> </w:t>
      </w:r>
      <w:r>
        <w:t>2031,</w:t>
      </w:r>
      <w:r>
        <w:rPr>
          <w:spacing w:val="-12"/>
        </w:rPr>
        <w:t xml:space="preserve"> </w:t>
      </w:r>
      <w:r>
        <w:t>from</w:t>
      </w:r>
    </w:p>
    <w:p w:rsidR="002C1123" w:rsidRDefault="00F22F94">
      <w:pPr>
        <w:pStyle w:val="BodyText"/>
        <w:spacing w:before="1"/>
        <w:ind w:left="492"/>
      </w:pPr>
      <w:r>
        <w:rPr>
          <w:w w:val="95"/>
        </w:rPr>
        <w:t>$420</w:t>
      </w:r>
      <w:r>
        <w:rPr>
          <w:spacing w:val="-9"/>
          <w:w w:val="95"/>
        </w:rPr>
        <w:t xml:space="preserve"> </w:t>
      </w:r>
      <w:r>
        <w:rPr>
          <w:w w:val="95"/>
        </w:rPr>
        <w:t>billion</w:t>
      </w:r>
      <w:r>
        <w:rPr>
          <w:spacing w:val="-9"/>
          <w:w w:val="95"/>
        </w:rPr>
        <w:t xml:space="preserve"> </w:t>
      </w:r>
      <w:r>
        <w:rPr>
          <w:w w:val="95"/>
        </w:rPr>
        <w:t>to</w:t>
      </w:r>
      <w:r>
        <w:rPr>
          <w:spacing w:val="-9"/>
          <w:w w:val="95"/>
        </w:rPr>
        <w:t xml:space="preserve"> </w:t>
      </w:r>
      <w:r>
        <w:rPr>
          <w:w w:val="95"/>
        </w:rPr>
        <w:t>$731</w:t>
      </w:r>
      <w:r>
        <w:rPr>
          <w:spacing w:val="-9"/>
          <w:w w:val="95"/>
        </w:rPr>
        <w:t xml:space="preserve"> </w:t>
      </w:r>
      <w:r>
        <w:rPr>
          <w:w w:val="95"/>
        </w:rPr>
        <w:t>billion,</w:t>
      </w:r>
      <w:r>
        <w:rPr>
          <w:spacing w:val="-9"/>
          <w:w w:val="95"/>
        </w:rPr>
        <w:t xml:space="preserve"> </w:t>
      </w:r>
      <w:r>
        <w:rPr>
          <w:w w:val="95"/>
        </w:rPr>
        <w:t>over</w:t>
      </w:r>
      <w:r>
        <w:rPr>
          <w:spacing w:val="-9"/>
          <w:w w:val="95"/>
        </w:rPr>
        <w:t xml:space="preserve"> </w:t>
      </w:r>
      <w:r>
        <w:rPr>
          <w:w w:val="95"/>
        </w:rPr>
        <w:t>70</w:t>
      </w:r>
      <w:r>
        <w:rPr>
          <w:spacing w:val="-9"/>
          <w:w w:val="95"/>
        </w:rPr>
        <w:t xml:space="preserve"> </w:t>
      </w:r>
      <w:r>
        <w:rPr>
          <w:w w:val="95"/>
        </w:rPr>
        <w:t>percent</w:t>
      </w:r>
      <w:r>
        <w:rPr>
          <w:spacing w:val="-9"/>
          <w:w w:val="95"/>
        </w:rPr>
        <w:t xml:space="preserve"> </w:t>
      </w:r>
      <w:r>
        <w:rPr>
          <w:w w:val="95"/>
        </w:rPr>
        <w:t>total</w:t>
      </w:r>
      <w:r>
        <w:rPr>
          <w:spacing w:val="-9"/>
          <w:w w:val="95"/>
        </w:rPr>
        <w:t xml:space="preserve"> </w:t>
      </w:r>
      <w:r>
        <w:rPr>
          <w:spacing w:val="-2"/>
          <w:w w:val="95"/>
        </w:rPr>
        <w:t>growth.</w:t>
      </w:r>
    </w:p>
    <w:p w:rsidR="002C1123" w:rsidRDefault="00F22F94">
      <w:pPr>
        <w:pStyle w:val="BodyText"/>
        <w:spacing w:before="152"/>
        <w:ind w:left="492"/>
      </w:pPr>
      <w:r>
        <w:rPr>
          <w:w w:val="95"/>
        </w:rPr>
        <w:t>Employment</w:t>
      </w:r>
      <w:r>
        <w:rPr>
          <w:spacing w:val="-4"/>
          <w:w w:val="95"/>
        </w:rPr>
        <w:t xml:space="preserve"> </w:t>
      </w:r>
      <w:r>
        <w:rPr>
          <w:w w:val="95"/>
        </w:rPr>
        <w:t>is</w:t>
      </w:r>
      <w:r>
        <w:rPr>
          <w:spacing w:val="-3"/>
          <w:w w:val="95"/>
        </w:rPr>
        <w:t xml:space="preserve"> </w:t>
      </w:r>
      <w:r>
        <w:rPr>
          <w:w w:val="95"/>
        </w:rPr>
        <w:t>expected</w:t>
      </w:r>
      <w:r>
        <w:rPr>
          <w:spacing w:val="-4"/>
          <w:w w:val="95"/>
        </w:rPr>
        <w:t xml:space="preserve"> </w:t>
      </w:r>
      <w:r>
        <w:rPr>
          <w:w w:val="95"/>
        </w:rPr>
        <w:t>to</w:t>
      </w:r>
      <w:r>
        <w:rPr>
          <w:spacing w:val="-3"/>
          <w:w w:val="95"/>
        </w:rPr>
        <w:t xml:space="preserve"> </w:t>
      </w:r>
      <w:r>
        <w:rPr>
          <w:w w:val="95"/>
        </w:rPr>
        <w:t>grow</w:t>
      </w:r>
      <w:r>
        <w:rPr>
          <w:spacing w:val="-4"/>
          <w:w w:val="95"/>
        </w:rPr>
        <w:t xml:space="preserve"> </w:t>
      </w:r>
      <w:r>
        <w:rPr>
          <w:w w:val="95"/>
        </w:rPr>
        <w:t>from</w:t>
      </w:r>
      <w:r>
        <w:rPr>
          <w:spacing w:val="-4"/>
          <w:w w:val="95"/>
        </w:rPr>
        <w:t xml:space="preserve"> </w:t>
      </w:r>
      <w:r>
        <w:rPr>
          <w:w w:val="95"/>
        </w:rPr>
        <w:t>3.6</w:t>
      </w:r>
      <w:r>
        <w:rPr>
          <w:spacing w:val="-4"/>
          <w:w w:val="95"/>
        </w:rPr>
        <w:t xml:space="preserve"> </w:t>
      </w:r>
      <w:r>
        <w:rPr>
          <w:w w:val="95"/>
        </w:rPr>
        <w:t>million</w:t>
      </w:r>
      <w:r>
        <w:rPr>
          <w:spacing w:val="-3"/>
          <w:w w:val="95"/>
        </w:rPr>
        <w:t xml:space="preserve"> </w:t>
      </w:r>
      <w:r>
        <w:rPr>
          <w:w w:val="95"/>
        </w:rPr>
        <w:t>jobs</w:t>
      </w:r>
      <w:r>
        <w:rPr>
          <w:spacing w:val="-4"/>
          <w:w w:val="95"/>
        </w:rPr>
        <w:t xml:space="preserve"> </w:t>
      </w:r>
      <w:r>
        <w:rPr>
          <w:spacing w:val="-5"/>
          <w:w w:val="95"/>
        </w:rPr>
        <w:t>to</w:t>
      </w:r>
    </w:p>
    <w:p w:rsidR="002C1123" w:rsidRDefault="00F22F94">
      <w:pPr>
        <w:pStyle w:val="BodyText"/>
        <w:spacing w:before="10"/>
        <w:ind w:left="492"/>
      </w:pPr>
      <w:r>
        <w:rPr>
          <w:w w:val="95"/>
        </w:rPr>
        <w:t>4.4</w:t>
      </w:r>
      <w:r>
        <w:rPr>
          <w:spacing w:val="-11"/>
          <w:w w:val="95"/>
        </w:rPr>
        <w:t xml:space="preserve"> </w:t>
      </w:r>
      <w:r>
        <w:rPr>
          <w:spacing w:val="-2"/>
        </w:rPr>
        <w:t>million.</w:t>
      </w:r>
    </w:p>
    <w:p w:rsidR="002C1123" w:rsidRDefault="00F22F94">
      <w:pPr>
        <w:pStyle w:val="BodyText"/>
        <w:spacing w:before="152" w:line="249" w:lineRule="auto"/>
        <w:ind w:left="492"/>
      </w:pPr>
      <w:r>
        <w:rPr>
          <w:spacing w:val="-2"/>
          <w:w w:val="95"/>
        </w:rPr>
        <w:t>Sydney</w:t>
      </w:r>
      <w:r>
        <w:rPr>
          <w:spacing w:val="-11"/>
          <w:w w:val="95"/>
        </w:rPr>
        <w:t xml:space="preserve"> </w:t>
      </w:r>
      <w:r>
        <w:rPr>
          <w:spacing w:val="-2"/>
          <w:w w:val="95"/>
        </w:rPr>
        <w:t>is</w:t>
      </w:r>
      <w:r>
        <w:rPr>
          <w:spacing w:val="-11"/>
          <w:w w:val="95"/>
        </w:rPr>
        <w:t xml:space="preserve"> </w:t>
      </w:r>
      <w:r>
        <w:rPr>
          <w:spacing w:val="-2"/>
          <w:w w:val="95"/>
        </w:rPr>
        <w:t>forecast</w:t>
      </w:r>
      <w:r>
        <w:rPr>
          <w:spacing w:val="-11"/>
          <w:w w:val="95"/>
        </w:rPr>
        <w:t xml:space="preserve"> </w:t>
      </w:r>
      <w:r>
        <w:rPr>
          <w:spacing w:val="-2"/>
          <w:w w:val="95"/>
        </w:rPr>
        <w:t>to</w:t>
      </w:r>
      <w:r>
        <w:rPr>
          <w:spacing w:val="-11"/>
          <w:w w:val="95"/>
        </w:rPr>
        <w:t xml:space="preserve"> </w:t>
      </w:r>
      <w:r>
        <w:rPr>
          <w:spacing w:val="-2"/>
          <w:w w:val="95"/>
        </w:rPr>
        <w:t>grow</w:t>
      </w:r>
      <w:r>
        <w:rPr>
          <w:spacing w:val="-11"/>
          <w:w w:val="95"/>
        </w:rPr>
        <w:t xml:space="preserve"> </w:t>
      </w:r>
      <w:r>
        <w:rPr>
          <w:spacing w:val="-2"/>
          <w:w w:val="95"/>
        </w:rPr>
        <w:t>faster</w:t>
      </w:r>
      <w:r>
        <w:rPr>
          <w:spacing w:val="-11"/>
          <w:w w:val="95"/>
        </w:rPr>
        <w:t xml:space="preserve"> </w:t>
      </w:r>
      <w:r>
        <w:rPr>
          <w:spacing w:val="-2"/>
          <w:w w:val="95"/>
        </w:rPr>
        <w:t>than</w:t>
      </w:r>
      <w:r>
        <w:rPr>
          <w:spacing w:val="-11"/>
          <w:w w:val="95"/>
        </w:rPr>
        <w:t xml:space="preserve"> </w:t>
      </w:r>
      <w:r>
        <w:rPr>
          <w:spacing w:val="-2"/>
          <w:w w:val="95"/>
        </w:rPr>
        <w:t>regional</w:t>
      </w:r>
      <w:r>
        <w:rPr>
          <w:spacing w:val="-11"/>
          <w:w w:val="95"/>
        </w:rPr>
        <w:t xml:space="preserve"> </w:t>
      </w:r>
      <w:r>
        <w:rPr>
          <w:spacing w:val="-2"/>
          <w:w w:val="95"/>
        </w:rPr>
        <w:t>NSW</w:t>
      </w:r>
      <w:r>
        <w:rPr>
          <w:spacing w:val="-11"/>
          <w:w w:val="95"/>
        </w:rPr>
        <w:t xml:space="preserve"> </w:t>
      </w:r>
      <w:r>
        <w:rPr>
          <w:spacing w:val="-2"/>
          <w:w w:val="95"/>
        </w:rPr>
        <w:t xml:space="preserve">and </w:t>
      </w:r>
      <w:r>
        <w:rPr>
          <w:w w:val="90"/>
        </w:rPr>
        <w:t>coastal</w:t>
      </w:r>
      <w:r>
        <w:rPr>
          <w:spacing w:val="-3"/>
          <w:w w:val="90"/>
        </w:rPr>
        <w:t xml:space="preserve"> </w:t>
      </w:r>
      <w:r>
        <w:rPr>
          <w:w w:val="90"/>
        </w:rPr>
        <w:t>regions</w:t>
      </w:r>
      <w:r>
        <w:rPr>
          <w:spacing w:val="-3"/>
          <w:w w:val="90"/>
        </w:rPr>
        <w:t xml:space="preserve"> </w:t>
      </w:r>
      <w:r>
        <w:rPr>
          <w:w w:val="90"/>
        </w:rPr>
        <w:t>faster</w:t>
      </w:r>
      <w:r>
        <w:rPr>
          <w:spacing w:val="-3"/>
          <w:w w:val="90"/>
        </w:rPr>
        <w:t xml:space="preserve"> </w:t>
      </w:r>
      <w:r>
        <w:rPr>
          <w:w w:val="90"/>
        </w:rPr>
        <w:t>than</w:t>
      </w:r>
      <w:r>
        <w:rPr>
          <w:spacing w:val="-3"/>
          <w:w w:val="90"/>
        </w:rPr>
        <w:t xml:space="preserve"> </w:t>
      </w:r>
      <w:r>
        <w:rPr>
          <w:w w:val="90"/>
        </w:rPr>
        <w:t>inland</w:t>
      </w:r>
      <w:r>
        <w:rPr>
          <w:spacing w:val="-3"/>
          <w:w w:val="90"/>
        </w:rPr>
        <w:t xml:space="preserve"> </w:t>
      </w:r>
      <w:r>
        <w:rPr>
          <w:w w:val="90"/>
        </w:rPr>
        <w:t>areas.</w:t>
      </w:r>
      <w:r>
        <w:rPr>
          <w:spacing w:val="-3"/>
          <w:w w:val="90"/>
        </w:rPr>
        <w:t xml:space="preserve"> </w:t>
      </w:r>
      <w:r>
        <w:rPr>
          <w:w w:val="90"/>
        </w:rPr>
        <w:t>Sydney’s</w:t>
      </w:r>
      <w:r>
        <w:rPr>
          <w:spacing w:val="-3"/>
          <w:w w:val="90"/>
        </w:rPr>
        <w:t xml:space="preserve"> </w:t>
      </w:r>
      <w:r>
        <w:rPr>
          <w:w w:val="90"/>
        </w:rPr>
        <w:t>share</w:t>
      </w:r>
      <w:r>
        <w:rPr>
          <w:spacing w:val="-3"/>
          <w:w w:val="90"/>
        </w:rPr>
        <w:t xml:space="preserve"> </w:t>
      </w:r>
      <w:r>
        <w:rPr>
          <w:w w:val="90"/>
        </w:rPr>
        <w:t>of GSP</w:t>
      </w:r>
      <w:r>
        <w:rPr>
          <w:spacing w:val="-9"/>
          <w:w w:val="90"/>
        </w:rPr>
        <w:t xml:space="preserve"> </w:t>
      </w:r>
      <w:r>
        <w:rPr>
          <w:w w:val="90"/>
        </w:rPr>
        <w:t>is</w:t>
      </w:r>
      <w:r>
        <w:rPr>
          <w:spacing w:val="-9"/>
          <w:w w:val="90"/>
        </w:rPr>
        <w:t xml:space="preserve"> </w:t>
      </w:r>
      <w:r>
        <w:rPr>
          <w:w w:val="90"/>
        </w:rPr>
        <w:t>expected</w:t>
      </w:r>
      <w:r>
        <w:rPr>
          <w:spacing w:val="-9"/>
          <w:w w:val="90"/>
        </w:rPr>
        <w:t xml:space="preserve"> </w:t>
      </w:r>
      <w:r>
        <w:rPr>
          <w:w w:val="90"/>
        </w:rPr>
        <w:t>to</w:t>
      </w:r>
      <w:r>
        <w:rPr>
          <w:spacing w:val="-9"/>
          <w:w w:val="90"/>
        </w:rPr>
        <w:t xml:space="preserve"> </w:t>
      </w:r>
      <w:r>
        <w:rPr>
          <w:w w:val="90"/>
        </w:rPr>
        <w:t>increase</w:t>
      </w:r>
      <w:r>
        <w:rPr>
          <w:spacing w:val="-9"/>
          <w:w w:val="90"/>
        </w:rPr>
        <w:t xml:space="preserve"> </w:t>
      </w:r>
      <w:r>
        <w:rPr>
          <w:w w:val="90"/>
        </w:rPr>
        <w:t>from</w:t>
      </w:r>
      <w:r>
        <w:rPr>
          <w:spacing w:val="-9"/>
          <w:w w:val="90"/>
        </w:rPr>
        <w:t xml:space="preserve"> </w:t>
      </w:r>
      <w:r>
        <w:rPr>
          <w:w w:val="90"/>
        </w:rPr>
        <w:t>75</w:t>
      </w:r>
      <w:r>
        <w:rPr>
          <w:spacing w:val="-9"/>
          <w:w w:val="90"/>
        </w:rPr>
        <w:t xml:space="preserve"> </w:t>
      </w:r>
      <w:r>
        <w:rPr>
          <w:w w:val="90"/>
        </w:rPr>
        <w:t>percent</w:t>
      </w:r>
      <w:r>
        <w:rPr>
          <w:spacing w:val="-9"/>
          <w:w w:val="90"/>
        </w:rPr>
        <w:t xml:space="preserve"> </w:t>
      </w:r>
      <w:r>
        <w:rPr>
          <w:w w:val="90"/>
        </w:rPr>
        <w:t>to</w:t>
      </w:r>
      <w:r>
        <w:rPr>
          <w:spacing w:val="-9"/>
          <w:w w:val="90"/>
        </w:rPr>
        <w:t xml:space="preserve"> </w:t>
      </w:r>
      <w:r>
        <w:rPr>
          <w:w w:val="90"/>
        </w:rPr>
        <w:t>77</w:t>
      </w:r>
      <w:r>
        <w:rPr>
          <w:spacing w:val="-9"/>
          <w:w w:val="90"/>
        </w:rPr>
        <w:t xml:space="preserve"> </w:t>
      </w:r>
      <w:r>
        <w:rPr>
          <w:w w:val="90"/>
        </w:rPr>
        <w:t>percent.</w:t>
      </w:r>
    </w:p>
    <w:p w:rsidR="002C1123" w:rsidRDefault="00F22F94">
      <w:pPr>
        <w:pStyle w:val="BodyText"/>
        <w:spacing w:before="144" w:line="249" w:lineRule="auto"/>
        <w:ind w:left="492" w:right="2"/>
      </w:pPr>
      <w:r>
        <w:rPr>
          <w:w w:val="95"/>
        </w:rPr>
        <w:t>The</w:t>
      </w:r>
      <w:r>
        <w:rPr>
          <w:spacing w:val="-3"/>
          <w:w w:val="95"/>
        </w:rPr>
        <w:t xml:space="preserve"> </w:t>
      </w:r>
      <w:r>
        <w:rPr>
          <w:w w:val="95"/>
        </w:rPr>
        <w:t>growth</w:t>
      </w:r>
      <w:r>
        <w:rPr>
          <w:spacing w:val="-3"/>
          <w:w w:val="95"/>
        </w:rPr>
        <w:t xml:space="preserve"> </w:t>
      </w:r>
      <w:r>
        <w:rPr>
          <w:w w:val="95"/>
        </w:rPr>
        <w:t>in</w:t>
      </w:r>
      <w:r>
        <w:rPr>
          <w:spacing w:val="-3"/>
          <w:w w:val="95"/>
        </w:rPr>
        <w:t xml:space="preserve"> </w:t>
      </w:r>
      <w:r>
        <w:rPr>
          <w:w w:val="95"/>
        </w:rPr>
        <w:t>regional</w:t>
      </w:r>
      <w:r>
        <w:rPr>
          <w:spacing w:val="-3"/>
          <w:w w:val="95"/>
        </w:rPr>
        <w:t xml:space="preserve"> </w:t>
      </w:r>
      <w:r>
        <w:rPr>
          <w:w w:val="95"/>
        </w:rPr>
        <w:t>production</w:t>
      </w:r>
      <w:r>
        <w:rPr>
          <w:spacing w:val="-3"/>
          <w:w w:val="95"/>
        </w:rPr>
        <w:t xml:space="preserve"> </w:t>
      </w:r>
      <w:r>
        <w:rPr>
          <w:w w:val="95"/>
        </w:rPr>
        <w:t>and</w:t>
      </w:r>
      <w:r>
        <w:rPr>
          <w:spacing w:val="-3"/>
          <w:w w:val="95"/>
        </w:rPr>
        <w:t xml:space="preserve"> </w:t>
      </w:r>
      <w:r>
        <w:rPr>
          <w:w w:val="95"/>
        </w:rPr>
        <w:t>shares</w:t>
      </w:r>
      <w:r>
        <w:rPr>
          <w:spacing w:val="-3"/>
          <w:w w:val="95"/>
        </w:rPr>
        <w:t xml:space="preserve"> </w:t>
      </w:r>
      <w:r>
        <w:rPr>
          <w:w w:val="95"/>
        </w:rPr>
        <w:t>is</w:t>
      </w:r>
      <w:r>
        <w:rPr>
          <w:spacing w:val="-3"/>
          <w:w w:val="95"/>
        </w:rPr>
        <w:t xml:space="preserve"> </w:t>
      </w:r>
      <w:r>
        <w:rPr>
          <w:w w:val="95"/>
        </w:rPr>
        <w:t xml:space="preserve">shown </w:t>
      </w:r>
      <w:r>
        <w:t>in Figure 2.2.</w:t>
      </w:r>
    </w:p>
    <w:p w:rsidR="002C1123" w:rsidRDefault="002060EF">
      <w:pPr>
        <w:pStyle w:val="BodyText"/>
        <w:spacing w:before="114" w:line="240" w:lineRule="atLeast"/>
        <w:ind w:left="492"/>
      </w:pPr>
      <w:r>
        <w:pict>
          <v:shape id="docshape380" o:spid="_x0000_s4928" style="position:absolute;left:0;text-align:left;margin-left:689.95pt;margin-top:-96.75pt;width:57.8pt;height:14.5pt;z-index:-251525120;mso-position-horizontal-relative:page" coordorigin="13799,-1935" coordsize="1156,290" path="m14711,-1935r-912,l13799,-1646r912,l14954,-1793r-243,-142xe" fillcolor="#2e3092" stroked="f">
            <v:path arrowok="t"/>
            <w10:wrap anchorx="page"/>
          </v:shape>
        </w:pict>
      </w:r>
      <w:r>
        <w:pict>
          <v:shape id="docshape381" o:spid="_x0000_s4927" style="position:absolute;left:0;text-align:left;margin-left:689.95pt;margin-top:-67.2pt;width:57.8pt;height:14.2pt;z-index:-251524096;mso-position-horizontal-relative:page" coordorigin="13799,-1344" coordsize="1156,284" path="m14711,-1344r-912,l13799,-1060r912,l14954,-1205r-243,-139xe" fillcolor="#2e3092" stroked="f">
            <v:path arrowok="t"/>
            <w10:wrap anchorx="page"/>
          </v:shape>
        </w:pict>
      </w:r>
      <w:r>
        <w:pict>
          <v:shape id="docshape382" o:spid="_x0000_s4926" style="position:absolute;left:0;text-align:left;margin-left:689.95pt;margin-top:-38.1pt;width:57.8pt;height:14.2pt;z-index:-251523072;mso-position-horizontal-relative:page" coordorigin="13799,-762" coordsize="1156,284" path="m14711,-762r-912,l13799,-478r912,l14954,-623r-243,-139xe" fillcolor="#2e3092" stroked="f">
            <v:path arrowok="t"/>
            <w10:wrap anchorx="page"/>
          </v:shape>
        </w:pict>
      </w:r>
      <w:r>
        <w:pict>
          <v:shape id="docshape383" o:spid="_x0000_s4925" style="position:absolute;left:0;text-align:left;margin-left:689.95pt;margin-top:-8.95pt;width:57.8pt;height:14.2pt;z-index:-251522048;mso-position-horizontal-relative:page" coordorigin="13799,-179" coordsize="1156,284" path="m14711,-179r-912,l13799,104r912,l14954,-40r-243,-139xe" fillcolor="#2e3092" stroked="f">
            <v:path arrowok="t"/>
            <w10:wrap anchorx="page"/>
          </v:shape>
        </w:pict>
      </w:r>
      <w:r>
        <w:pict>
          <v:shape id="docshape384" o:spid="_x0000_s4924" style="position:absolute;left:0;text-align:left;margin-left:689.95pt;margin-top:20.15pt;width:57.8pt;height:14.2pt;z-index:-251521024;mso-position-horizontal-relative:page" coordorigin="13799,403" coordsize="1156,284" path="m14711,403r-912,l13799,687r912,l14954,542,14711,403xe" fillcolor="#2e3092" stroked="f">
            <v:path arrowok="t"/>
            <w10:wrap anchorx="page"/>
          </v:shape>
        </w:pict>
      </w:r>
      <w:r>
        <w:pict>
          <v:rect id="docshape385" o:spid="_x0000_s4923" style="position:absolute;left:0;text-align:left;margin-left:347.15pt;margin-top:19.9pt;width:279.55pt;height:14.2pt;z-index:-251520000;mso-position-horizontal-relative:page" fillcolor="#2e3092" stroked="f">
            <w10:wrap anchorx="page"/>
          </v:rect>
        </w:pict>
      </w:r>
      <w:r>
        <w:pict>
          <v:group id="docshapegroup386" o:spid="_x0000_s4918" style="position:absolute;left:0;text-align:left;margin-left:689.95pt;margin-top:49.25pt;width:99.95pt;height:14.25pt;z-index:251244544;mso-position-horizontal-relative:page" coordorigin="13799,985" coordsize="1999,285">
            <v:rect id="docshape387" o:spid="_x0000_s4922" style="position:absolute;left:14669;top:985;width:1129;height:285" fillcolor="#00aeef" stroked="f"/>
            <v:shape id="docshape388" o:spid="_x0000_s4921" style="position:absolute;left:13799;top:985;width:1156;height:285" coordorigin="13799,985" coordsize="1156,285" path="m14711,985r-912,l13799,1269r912,l14954,1125,14711,985xe" fillcolor="#2e3092" stroked="f">
              <v:path arrowok="t"/>
            </v:shape>
            <v:shape id="docshape389" o:spid="_x0000_s4920" type="#_x0000_t202" style="position:absolute;left:14250;top:1028;width:99;height:187" filled="f" stroked="f">
              <v:textbox inset="0,0,0,0">
                <w:txbxContent>
                  <w:p w:rsidR="00F22F94" w:rsidRDefault="00F22F94">
                    <w:pPr>
                      <w:spacing w:before="2"/>
                      <w:rPr>
                        <w:sz w:val="16"/>
                      </w:rPr>
                    </w:pPr>
                    <w:r>
                      <w:rPr>
                        <w:color w:val="FFFFFF"/>
                        <w:w w:val="88"/>
                        <w:sz w:val="16"/>
                      </w:rPr>
                      <w:t>2</w:t>
                    </w:r>
                  </w:p>
                </w:txbxContent>
              </v:textbox>
            </v:shape>
            <v:shape id="docshape390" o:spid="_x0000_s4919" type="#_x0000_t202" style="position:absolute;left:15291;top:1028;width:99;height:187" filled="f" stroked="f">
              <v:textbox inset="0,0,0,0">
                <w:txbxContent>
                  <w:p w:rsidR="00F22F94" w:rsidRDefault="00F22F94">
                    <w:pPr>
                      <w:spacing w:before="2"/>
                      <w:rPr>
                        <w:sz w:val="16"/>
                      </w:rPr>
                    </w:pPr>
                    <w:r>
                      <w:rPr>
                        <w:color w:val="FFFFFF"/>
                        <w:w w:val="88"/>
                        <w:sz w:val="16"/>
                      </w:rPr>
                      <w:t>2</w:t>
                    </w:r>
                  </w:p>
                </w:txbxContent>
              </v:textbox>
            </v:shape>
            <w10:wrap anchorx="page"/>
          </v:group>
        </w:pict>
      </w:r>
      <w:r>
        <w:pict>
          <v:rect id="docshape391" o:spid="_x0000_s4917" style="position:absolute;left:0;text-align:left;margin-left:347.15pt;margin-top:49pt;width:182.9pt;height:14.2pt;z-index:-251518976;mso-position-horizontal-relative:page" fillcolor="#2e3092" stroked="f">
            <w10:wrap anchorx="page"/>
          </v:rect>
        </w:pict>
      </w:r>
      <w:r w:rsidR="00F22F94">
        <w:t>The</w:t>
      </w:r>
      <w:r w:rsidR="00F22F94">
        <w:rPr>
          <w:spacing w:val="-10"/>
        </w:rPr>
        <w:t xml:space="preserve"> </w:t>
      </w:r>
      <w:r w:rsidR="00F22F94">
        <w:t>ongoing</w:t>
      </w:r>
      <w:r w:rsidR="00F22F94">
        <w:rPr>
          <w:spacing w:val="-10"/>
        </w:rPr>
        <w:t xml:space="preserve"> </w:t>
      </w:r>
      <w:r w:rsidR="00F22F94">
        <w:t>decline</w:t>
      </w:r>
      <w:r w:rsidR="00F22F94">
        <w:rPr>
          <w:spacing w:val="-10"/>
        </w:rPr>
        <w:t xml:space="preserve"> </w:t>
      </w:r>
      <w:r w:rsidR="00F22F94">
        <w:t>of</w:t>
      </w:r>
      <w:r w:rsidR="00F22F94">
        <w:rPr>
          <w:spacing w:val="-10"/>
        </w:rPr>
        <w:t xml:space="preserve"> </w:t>
      </w:r>
      <w:r w:rsidR="00F22F94">
        <w:t>the</w:t>
      </w:r>
      <w:r w:rsidR="00F22F94">
        <w:rPr>
          <w:spacing w:val="-10"/>
        </w:rPr>
        <w:t xml:space="preserve"> </w:t>
      </w:r>
      <w:r w:rsidR="00F22F94">
        <w:t>manufacturing</w:t>
      </w:r>
      <w:r w:rsidR="00F22F94">
        <w:rPr>
          <w:spacing w:val="-10"/>
        </w:rPr>
        <w:t xml:space="preserve"> </w:t>
      </w:r>
      <w:r w:rsidR="00F22F94">
        <w:t>sector</w:t>
      </w:r>
      <w:r w:rsidR="00F22F94">
        <w:rPr>
          <w:spacing w:val="-10"/>
        </w:rPr>
        <w:t xml:space="preserve"> </w:t>
      </w:r>
      <w:r w:rsidR="00F22F94">
        <w:t xml:space="preserve">and </w:t>
      </w:r>
      <w:r w:rsidR="00F22F94">
        <w:rPr>
          <w:w w:val="95"/>
        </w:rPr>
        <w:t>the impact of lower water irrigation allocations accounts for</w:t>
      </w:r>
      <w:r w:rsidR="00F22F94">
        <w:rPr>
          <w:spacing w:val="-4"/>
          <w:w w:val="95"/>
        </w:rPr>
        <w:t xml:space="preserve"> </w:t>
      </w:r>
      <w:r w:rsidR="00F22F94">
        <w:rPr>
          <w:w w:val="95"/>
        </w:rPr>
        <w:t>the</w:t>
      </w:r>
      <w:r w:rsidR="00F22F94">
        <w:rPr>
          <w:spacing w:val="-4"/>
          <w:w w:val="95"/>
        </w:rPr>
        <w:t xml:space="preserve"> </w:t>
      </w:r>
      <w:r w:rsidR="00F22F94">
        <w:rPr>
          <w:w w:val="95"/>
        </w:rPr>
        <w:t>lower</w:t>
      </w:r>
      <w:r w:rsidR="00F22F94">
        <w:rPr>
          <w:spacing w:val="-4"/>
          <w:w w:val="95"/>
        </w:rPr>
        <w:t xml:space="preserve"> </w:t>
      </w:r>
      <w:r w:rsidR="00F22F94">
        <w:rPr>
          <w:w w:val="95"/>
        </w:rPr>
        <w:t>growth</w:t>
      </w:r>
      <w:r w:rsidR="00F22F94">
        <w:rPr>
          <w:spacing w:val="-4"/>
          <w:w w:val="95"/>
        </w:rPr>
        <w:t xml:space="preserve"> </w:t>
      </w:r>
      <w:r w:rsidR="00F22F94">
        <w:rPr>
          <w:w w:val="95"/>
        </w:rPr>
        <w:t>forecast</w:t>
      </w:r>
      <w:r w:rsidR="00F22F94">
        <w:rPr>
          <w:spacing w:val="-4"/>
          <w:w w:val="95"/>
        </w:rPr>
        <w:t xml:space="preserve"> </w:t>
      </w:r>
      <w:r w:rsidR="00F22F94">
        <w:rPr>
          <w:w w:val="95"/>
        </w:rPr>
        <w:t>in</w:t>
      </w:r>
      <w:r w:rsidR="00F22F94">
        <w:rPr>
          <w:spacing w:val="-4"/>
          <w:w w:val="95"/>
        </w:rPr>
        <w:t xml:space="preserve"> </w:t>
      </w:r>
      <w:r w:rsidR="00F22F94">
        <w:rPr>
          <w:w w:val="95"/>
        </w:rPr>
        <w:t>the</w:t>
      </w:r>
      <w:r w:rsidR="00F22F94">
        <w:rPr>
          <w:spacing w:val="-4"/>
          <w:w w:val="95"/>
        </w:rPr>
        <w:t xml:space="preserve"> </w:t>
      </w:r>
      <w:r w:rsidR="00F22F94">
        <w:rPr>
          <w:w w:val="95"/>
        </w:rPr>
        <w:t>South</w:t>
      </w:r>
      <w:r w:rsidR="00F22F94">
        <w:rPr>
          <w:spacing w:val="-4"/>
          <w:w w:val="95"/>
        </w:rPr>
        <w:t xml:space="preserve"> </w:t>
      </w:r>
      <w:r w:rsidR="00F22F94">
        <w:rPr>
          <w:w w:val="95"/>
        </w:rPr>
        <w:t>Coast,</w:t>
      </w:r>
      <w:r w:rsidR="00F22F94">
        <w:rPr>
          <w:spacing w:val="-4"/>
          <w:w w:val="95"/>
        </w:rPr>
        <w:t xml:space="preserve"> </w:t>
      </w:r>
      <w:r w:rsidR="00F22F94">
        <w:rPr>
          <w:w w:val="95"/>
        </w:rPr>
        <w:t xml:space="preserve">Murray </w:t>
      </w:r>
      <w:r w:rsidR="00F22F94">
        <w:t>and Inland NSW.</w:t>
      </w:r>
    </w:p>
    <w:p w:rsidR="002C1123" w:rsidRDefault="00F22F94">
      <w:pPr>
        <w:spacing w:before="196"/>
        <w:ind w:left="332"/>
        <w:rPr>
          <w:b/>
          <w:sz w:val="18"/>
        </w:rPr>
      </w:pPr>
      <w:r>
        <w:br w:type="column"/>
      </w:r>
      <w:r>
        <w:rPr>
          <w:b/>
          <w:sz w:val="18"/>
        </w:rPr>
        <w:t>Figure</w:t>
      </w:r>
      <w:r>
        <w:rPr>
          <w:b/>
          <w:spacing w:val="6"/>
          <w:sz w:val="18"/>
        </w:rPr>
        <w:t xml:space="preserve"> </w:t>
      </w:r>
      <w:r>
        <w:rPr>
          <w:b/>
          <w:sz w:val="18"/>
        </w:rPr>
        <w:t>2.2</w:t>
      </w:r>
      <w:r>
        <w:rPr>
          <w:b/>
          <w:spacing w:val="63"/>
          <w:sz w:val="18"/>
        </w:rPr>
        <w:t xml:space="preserve"> </w:t>
      </w:r>
      <w:r>
        <w:rPr>
          <w:b/>
          <w:sz w:val="18"/>
        </w:rPr>
        <w:t>Forecast</w:t>
      </w:r>
      <w:r>
        <w:rPr>
          <w:b/>
          <w:spacing w:val="6"/>
          <w:sz w:val="18"/>
        </w:rPr>
        <w:t xml:space="preserve"> </w:t>
      </w:r>
      <w:r>
        <w:rPr>
          <w:b/>
          <w:sz w:val="18"/>
        </w:rPr>
        <w:t>Economic</w:t>
      </w:r>
      <w:r>
        <w:rPr>
          <w:b/>
          <w:spacing w:val="6"/>
          <w:sz w:val="18"/>
        </w:rPr>
        <w:t xml:space="preserve"> </w:t>
      </w:r>
      <w:r>
        <w:rPr>
          <w:b/>
          <w:sz w:val="18"/>
        </w:rPr>
        <w:t>structure</w:t>
      </w:r>
      <w:r>
        <w:rPr>
          <w:b/>
          <w:spacing w:val="7"/>
          <w:sz w:val="18"/>
        </w:rPr>
        <w:t xml:space="preserve"> </w:t>
      </w:r>
      <w:r>
        <w:rPr>
          <w:b/>
          <w:sz w:val="18"/>
        </w:rPr>
        <w:t>of</w:t>
      </w:r>
      <w:r>
        <w:rPr>
          <w:b/>
          <w:spacing w:val="6"/>
          <w:sz w:val="18"/>
        </w:rPr>
        <w:t xml:space="preserve"> </w:t>
      </w:r>
      <w:r>
        <w:rPr>
          <w:b/>
          <w:sz w:val="18"/>
        </w:rPr>
        <w:t>NSW</w:t>
      </w:r>
      <w:r>
        <w:rPr>
          <w:b/>
          <w:spacing w:val="6"/>
          <w:sz w:val="18"/>
        </w:rPr>
        <w:t xml:space="preserve"> </w:t>
      </w:r>
      <w:r>
        <w:rPr>
          <w:b/>
          <w:sz w:val="18"/>
        </w:rPr>
        <w:t>GSP</w:t>
      </w:r>
      <w:r>
        <w:rPr>
          <w:b/>
          <w:spacing w:val="7"/>
          <w:sz w:val="18"/>
        </w:rPr>
        <w:t xml:space="preserve"> </w:t>
      </w:r>
      <w:r>
        <w:rPr>
          <w:b/>
          <w:sz w:val="18"/>
        </w:rPr>
        <w:t>growth</w:t>
      </w:r>
      <w:r>
        <w:rPr>
          <w:b/>
          <w:spacing w:val="6"/>
          <w:sz w:val="18"/>
        </w:rPr>
        <w:t xml:space="preserve"> </w:t>
      </w:r>
      <w:r>
        <w:rPr>
          <w:b/>
          <w:sz w:val="18"/>
        </w:rPr>
        <w:t>by</w:t>
      </w:r>
      <w:r>
        <w:rPr>
          <w:b/>
          <w:spacing w:val="6"/>
          <w:sz w:val="18"/>
        </w:rPr>
        <w:t xml:space="preserve"> </w:t>
      </w:r>
      <w:r>
        <w:rPr>
          <w:b/>
          <w:spacing w:val="-2"/>
          <w:sz w:val="18"/>
        </w:rPr>
        <w:t>region</w:t>
      </w:r>
    </w:p>
    <w:p w:rsidR="002C1123" w:rsidRDefault="002C1123">
      <w:pPr>
        <w:pStyle w:val="BodyText"/>
        <w:spacing w:before="10"/>
        <w:rPr>
          <w:b/>
          <w:sz w:val="23"/>
        </w:rPr>
      </w:pPr>
    </w:p>
    <w:tbl>
      <w:tblPr>
        <w:tblW w:w="0" w:type="auto"/>
        <w:tblInd w:w="285" w:type="dxa"/>
        <w:tblLayout w:type="fixed"/>
        <w:tblCellMar>
          <w:left w:w="0" w:type="dxa"/>
          <w:right w:w="0" w:type="dxa"/>
        </w:tblCellMar>
        <w:tblLook w:val="01E0" w:firstRow="1" w:lastRow="1" w:firstColumn="1" w:lastColumn="1" w:noHBand="0" w:noVBand="0"/>
      </w:tblPr>
      <w:tblGrid>
        <w:gridCol w:w="914"/>
        <w:gridCol w:w="3013"/>
        <w:gridCol w:w="2367"/>
        <w:gridCol w:w="645"/>
        <w:gridCol w:w="689"/>
        <w:gridCol w:w="1010"/>
        <w:gridCol w:w="1128"/>
      </w:tblGrid>
      <w:tr w:rsidR="002C1123">
        <w:trPr>
          <w:trHeight w:val="189"/>
        </w:trPr>
        <w:tc>
          <w:tcPr>
            <w:tcW w:w="7628" w:type="dxa"/>
            <w:gridSpan w:val="5"/>
            <w:vMerge w:val="restart"/>
          </w:tcPr>
          <w:p w:rsidR="002C1123" w:rsidRDefault="002C1123">
            <w:pPr>
              <w:pStyle w:val="TableParagraph"/>
              <w:spacing w:before="0"/>
              <w:ind w:left="0"/>
              <w:rPr>
                <w:rFonts w:ascii="Times New Roman"/>
                <w:sz w:val="18"/>
              </w:rPr>
            </w:pPr>
          </w:p>
        </w:tc>
        <w:tc>
          <w:tcPr>
            <w:tcW w:w="1010" w:type="dxa"/>
          </w:tcPr>
          <w:p w:rsidR="002C1123" w:rsidRDefault="00F22F94">
            <w:pPr>
              <w:pStyle w:val="TableParagraph"/>
              <w:spacing w:before="1" w:line="168" w:lineRule="exact"/>
              <w:ind w:left="229" w:right="13"/>
              <w:jc w:val="center"/>
              <w:rPr>
                <w:sz w:val="16"/>
              </w:rPr>
            </w:pPr>
            <w:r>
              <w:rPr>
                <w:w w:val="70"/>
                <w:sz w:val="16"/>
              </w:rPr>
              <w:t>GSP</w:t>
            </w:r>
            <w:r>
              <w:rPr>
                <w:sz w:val="16"/>
              </w:rPr>
              <w:t xml:space="preserve"> </w:t>
            </w:r>
            <w:r>
              <w:rPr>
                <w:spacing w:val="-4"/>
                <w:w w:val="85"/>
                <w:sz w:val="16"/>
              </w:rPr>
              <w:t>share</w:t>
            </w:r>
          </w:p>
        </w:tc>
        <w:tc>
          <w:tcPr>
            <w:tcW w:w="1128" w:type="dxa"/>
          </w:tcPr>
          <w:p w:rsidR="002C1123" w:rsidRDefault="00F22F94">
            <w:pPr>
              <w:pStyle w:val="TableParagraph"/>
              <w:spacing w:before="1" w:line="168" w:lineRule="exact"/>
              <w:ind w:left="259" w:right="100"/>
              <w:jc w:val="center"/>
              <w:rPr>
                <w:sz w:val="16"/>
              </w:rPr>
            </w:pPr>
            <w:r>
              <w:rPr>
                <w:w w:val="70"/>
                <w:sz w:val="16"/>
              </w:rPr>
              <w:t>GSP</w:t>
            </w:r>
            <w:r>
              <w:rPr>
                <w:sz w:val="16"/>
              </w:rPr>
              <w:t xml:space="preserve"> </w:t>
            </w:r>
            <w:r>
              <w:rPr>
                <w:spacing w:val="-4"/>
                <w:w w:val="85"/>
                <w:sz w:val="16"/>
              </w:rPr>
              <w:t>share</w:t>
            </w:r>
          </w:p>
        </w:tc>
      </w:tr>
      <w:tr w:rsidR="002C1123">
        <w:trPr>
          <w:trHeight w:val="454"/>
        </w:trPr>
        <w:tc>
          <w:tcPr>
            <w:tcW w:w="7628" w:type="dxa"/>
            <w:gridSpan w:val="5"/>
            <w:vMerge/>
            <w:tcBorders>
              <w:top w:val="nil"/>
            </w:tcBorders>
          </w:tcPr>
          <w:p w:rsidR="002C1123" w:rsidRDefault="002C1123">
            <w:pPr>
              <w:rPr>
                <w:sz w:val="2"/>
                <w:szCs w:val="2"/>
              </w:rPr>
            </w:pPr>
          </w:p>
        </w:tc>
        <w:tc>
          <w:tcPr>
            <w:tcW w:w="1010" w:type="dxa"/>
          </w:tcPr>
          <w:p w:rsidR="002C1123" w:rsidRDefault="00F22F94">
            <w:pPr>
              <w:pStyle w:val="TableParagraph"/>
              <w:spacing w:before="5"/>
              <w:ind w:left="268" w:right="13"/>
              <w:jc w:val="center"/>
              <w:rPr>
                <w:sz w:val="16"/>
              </w:rPr>
            </w:pPr>
            <w:r>
              <w:rPr>
                <w:w w:val="85"/>
                <w:sz w:val="16"/>
              </w:rPr>
              <w:t>in</w:t>
            </w:r>
            <w:r>
              <w:rPr>
                <w:spacing w:val="-3"/>
                <w:sz w:val="16"/>
              </w:rPr>
              <w:t xml:space="preserve"> </w:t>
            </w:r>
            <w:r>
              <w:rPr>
                <w:w w:val="85"/>
                <w:sz w:val="16"/>
              </w:rPr>
              <w:t>2011</w:t>
            </w:r>
            <w:r>
              <w:rPr>
                <w:spacing w:val="-3"/>
                <w:sz w:val="16"/>
              </w:rPr>
              <w:t xml:space="preserve"> </w:t>
            </w:r>
            <w:r>
              <w:rPr>
                <w:spacing w:val="-5"/>
                <w:w w:val="85"/>
                <w:sz w:val="16"/>
              </w:rPr>
              <w:t>(%)</w:t>
            </w:r>
          </w:p>
        </w:tc>
        <w:tc>
          <w:tcPr>
            <w:tcW w:w="1128" w:type="dxa"/>
          </w:tcPr>
          <w:p w:rsidR="002C1123" w:rsidRDefault="00F22F94">
            <w:pPr>
              <w:pStyle w:val="TableParagraph"/>
              <w:spacing w:before="5"/>
              <w:ind w:left="299" w:right="100"/>
              <w:jc w:val="center"/>
              <w:rPr>
                <w:sz w:val="16"/>
              </w:rPr>
            </w:pPr>
            <w:r>
              <w:rPr>
                <w:w w:val="85"/>
                <w:sz w:val="16"/>
              </w:rPr>
              <w:t>in</w:t>
            </w:r>
            <w:r>
              <w:rPr>
                <w:spacing w:val="-3"/>
                <w:sz w:val="16"/>
              </w:rPr>
              <w:t xml:space="preserve"> </w:t>
            </w:r>
            <w:r>
              <w:rPr>
                <w:w w:val="85"/>
                <w:sz w:val="16"/>
              </w:rPr>
              <w:t>2031</w:t>
            </w:r>
            <w:r>
              <w:rPr>
                <w:spacing w:val="-3"/>
                <w:sz w:val="16"/>
              </w:rPr>
              <w:t xml:space="preserve"> </w:t>
            </w:r>
            <w:r>
              <w:rPr>
                <w:spacing w:val="-5"/>
                <w:w w:val="85"/>
                <w:sz w:val="16"/>
              </w:rPr>
              <w:t>(%)</w:t>
            </w:r>
          </w:p>
        </w:tc>
      </w:tr>
      <w:tr w:rsidR="002C1123">
        <w:trPr>
          <w:trHeight w:val="289"/>
        </w:trPr>
        <w:tc>
          <w:tcPr>
            <w:tcW w:w="914" w:type="dxa"/>
          </w:tcPr>
          <w:p w:rsidR="002C1123" w:rsidRDefault="00F22F94">
            <w:pPr>
              <w:pStyle w:val="TableParagraph"/>
              <w:spacing w:before="52"/>
              <w:ind w:left="54"/>
              <w:rPr>
                <w:sz w:val="16"/>
              </w:rPr>
            </w:pPr>
            <w:r>
              <w:rPr>
                <w:spacing w:val="-2"/>
                <w:w w:val="85"/>
                <w:sz w:val="16"/>
              </w:rPr>
              <w:t>Sydney</w:t>
            </w:r>
          </w:p>
        </w:tc>
        <w:tc>
          <w:tcPr>
            <w:tcW w:w="3013" w:type="dxa"/>
            <w:shd w:val="clear" w:color="auto" w:fill="2E3092"/>
          </w:tcPr>
          <w:p w:rsidR="002C1123" w:rsidRDefault="002C1123">
            <w:pPr>
              <w:pStyle w:val="TableParagraph"/>
              <w:spacing w:before="0"/>
              <w:ind w:left="0"/>
              <w:rPr>
                <w:rFonts w:ascii="Times New Roman"/>
                <w:sz w:val="18"/>
              </w:rPr>
            </w:pPr>
          </w:p>
        </w:tc>
        <w:tc>
          <w:tcPr>
            <w:tcW w:w="2367" w:type="dxa"/>
            <w:shd w:val="clear" w:color="auto" w:fill="2E3092"/>
          </w:tcPr>
          <w:p w:rsidR="002C1123" w:rsidRDefault="002C1123">
            <w:pPr>
              <w:pStyle w:val="TableParagraph"/>
              <w:spacing w:before="0"/>
              <w:ind w:left="0"/>
              <w:rPr>
                <w:rFonts w:ascii="Times New Roman"/>
                <w:sz w:val="18"/>
              </w:rPr>
            </w:pPr>
          </w:p>
        </w:tc>
        <w:tc>
          <w:tcPr>
            <w:tcW w:w="645" w:type="dxa"/>
            <w:shd w:val="clear" w:color="auto" w:fill="2E3092"/>
          </w:tcPr>
          <w:p w:rsidR="002C1123" w:rsidRDefault="002C1123">
            <w:pPr>
              <w:pStyle w:val="TableParagraph"/>
              <w:spacing w:before="0"/>
              <w:ind w:left="0"/>
              <w:rPr>
                <w:rFonts w:ascii="Times New Roman"/>
                <w:sz w:val="18"/>
              </w:rPr>
            </w:pPr>
          </w:p>
        </w:tc>
        <w:tc>
          <w:tcPr>
            <w:tcW w:w="689" w:type="dxa"/>
          </w:tcPr>
          <w:p w:rsidR="002C1123" w:rsidRDefault="00F22F94">
            <w:pPr>
              <w:pStyle w:val="TableParagraph"/>
              <w:spacing w:before="45"/>
              <w:ind w:left="87"/>
              <w:rPr>
                <w:sz w:val="16"/>
              </w:rPr>
            </w:pPr>
            <w:r>
              <w:rPr>
                <w:spacing w:val="-4"/>
                <w:w w:val="95"/>
                <w:sz w:val="16"/>
              </w:rPr>
              <w:t>2.8%</w:t>
            </w:r>
          </w:p>
        </w:tc>
        <w:tc>
          <w:tcPr>
            <w:tcW w:w="1010" w:type="dxa"/>
          </w:tcPr>
          <w:p w:rsidR="002C1123" w:rsidRDefault="00F22F94">
            <w:pPr>
              <w:pStyle w:val="TableParagraph"/>
              <w:spacing w:before="52"/>
              <w:ind w:left="268" w:right="12"/>
              <w:jc w:val="center"/>
              <w:rPr>
                <w:sz w:val="16"/>
              </w:rPr>
            </w:pPr>
            <w:r>
              <w:rPr>
                <w:color w:val="FFFFFF"/>
                <w:spacing w:val="-5"/>
                <w:sz w:val="16"/>
              </w:rPr>
              <w:t>75</w:t>
            </w:r>
          </w:p>
        </w:tc>
        <w:tc>
          <w:tcPr>
            <w:tcW w:w="1128" w:type="dxa"/>
            <w:shd w:val="clear" w:color="auto" w:fill="00AEEF"/>
          </w:tcPr>
          <w:p w:rsidR="002C1123" w:rsidRDefault="00F22F94">
            <w:pPr>
              <w:pStyle w:val="TableParagraph"/>
              <w:spacing w:before="52"/>
              <w:ind w:left="299" w:right="100"/>
              <w:jc w:val="center"/>
              <w:rPr>
                <w:sz w:val="16"/>
              </w:rPr>
            </w:pPr>
            <w:r>
              <w:rPr>
                <w:color w:val="FFFFFF"/>
                <w:spacing w:val="-5"/>
                <w:sz w:val="16"/>
              </w:rPr>
              <w:t>77</w:t>
            </w:r>
          </w:p>
        </w:tc>
      </w:tr>
      <w:tr w:rsidR="002C1123">
        <w:trPr>
          <w:trHeight w:val="301"/>
        </w:trPr>
        <w:tc>
          <w:tcPr>
            <w:tcW w:w="914" w:type="dxa"/>
          </w:tcPr>
          <w:p w:rsidR="002C1123" w:rsidRDefault="002C1123">
            <w:pPr>
              <w:pStyle w:val="TableParagraph"/>
              <w:spacing w:before="0"/>
              <w:ind w:left="0"/>
              <w:rPr>
                <w:rFonts w:ascii="Times New Roman"/>
                <w:sz w:val="18"/>
              </w:rPr>
            </w:pPr>
          </w:p>
        </w:tc>
        <w:tc>
          <w:tcPr>
            <w:tcW w:w="3013" w:type="dxa"/>
          </w:tcPr>
          <w:p w:rsidR="002C1123" w:rsidRDefault="002C1123">
            <w:pPr>
              <w:pStyle w:val="TableParagraph"/>
              <w:spacing w:before="0"/>
              <w:ind w:left="0"/>
              <w:rPr>
                <w:rFonts w:ascii="Times New Roman"/>
                <w:sz w:val="18"/>
              </w:rPr>
            </w:pPr>
          </w:p>
        </w:tc>
        <w:tc>
          <w:tcPr>
            <w:tcW w:w="2367" w:type="dxa"/>
          </w:tcPr>
          <w:p w:rsidR="002C1123" w:rsidRDefault="002C1123">
            <w:pPr>
              <w:pStyle w:val="TableParagraph"/>
              <w:spacing w:before="0"/>
              <w:ind w:left="0"/>
              <w:rPr>
                <w:rFonts w:ascii="Times New Roman"/>
                <w:sz w:val="18"/>
              </w:rPr>
            </w:pPr>
          </w:p>
        </w:tc>
        <w:tc>
          <w:tcPr>
            <w:tcW w:w="645" w:type="dxa"/>
          </w:tcPr>
          <w:p w:rsidR="002C1123" w:rsidRDefault="002C1123">
            <w:pPr>
              <w:pStyle w:val="TableParagraph"/>
              <w:spacing w:before="0"/>
              <w:ind w:left="0"/>
              <w:rPr>
                <w:rFonts w:ascii="Times New Roman"/>
                <w:sz w:val="18"/>
              </w:rPr>
            </w:pPr>
          </w:p>
        </w:tc>
        <w:tc>
          <w:tcPr>
            <w:tcW w:w="689" w:type="dxa"/>
          </w:tcPr>
          <w:p w:rsidR="002C1123" w:rsidRDefault="002C1123">
            <w:pPr>
              <w:pStyle w:val="TableParagraph"/>
              <w:spacing w:before="0"/>
              <w:ind w:left="0"/>
              <w:rPr>
                <w:rFonts w:ascii="Times New Roman"/>
                <w:sz w:val="18"/>
              </w:rPr>
            </w:pPr>
          </w:p>
        </w:tc>
        <w:tc>
          <w:tcPr>
            <w:tcW w:w="1010" w:type="dxa"/>
          </w:tcPr>
          <w:p w:rsidR="002C1123" w:rsidRDefault="002C1123">
            <w:pPr>
              <w:pStyle w:val="TableParagraph"/>
              <w:spacing w:before="0"/>
              <w:ind w:left="0"/>
              <w:rPr>
                <w:rFonts w:ascii="Times New Roman"/>
                <w:sz w:val="18"/>
              </w:rPr>
            </w:pPr>
          </w:p>
        </w:tc>
        <w:tc>
          <w:tcPr>
            <w:tcW w:w="1128" w:type="dxa"/>
          </w:tcPr>
          <w:p w:rsidR="002C1123" w:rsidRDefault="002C1123">
            <w:pPr>
              <w:pStyle w:val="TableParagraph"/>
              <w:spacing w:before="0"/>
              <w:ind w:left="0"/>
              <w:rPr>
                <w:rFonts w:ascii="Times New Roman"/>
                <w:sz w:val="18"/>
              </w:rPr>
            </w:pPr>
          </w:p>
        </w:tc>
      </w:tr>
      <w:tr w:rsidR="002C1123">
        <w:trPr>
          <w:trHeight w:val="281"/>
        </w:trPr>
        <w:tc>
          <w:tcPr>
            <w:tcW w:w="914" w:type="dxa"/>
          </w:tcPr>
          <w:p w:rsidR="002C1123" w:rsidRDefault="00F22F94">
            <w:pPr>
              <w:pStyle w:val="TableParagraph"/>
              <w:spacing w:before="44"/>
              <w:ind w:left="50"/>
              <w:rPr>
                <w:sz w:val="16"/>
              </w:rPr>
            </w:pPr>
            <w:r>
              <w:rPr>
                <w:w w:val="80"/>
                <w:sz w:val="16"/>
              </w:rPr>
              <w:t>Inland</w:t>
            </w:r>
            <w:r>
              <w:rPr>
                <w:spacing w:val="-2"/>
                <w:w w:val="80"/>
                <w:sz w:val="16"/>
              </w:rPr>
              <w:t xml:space="preserve"> </w:t>
            </w:r>
            <w:r>
              <w:rPr>
                <w:spacing w:val="-5"/>
                <w:w w:val="85"/>
                <w:sz w:val="16"/>
              </w:rPr>
              <w:t>NSW</w:t>
            </w:r>
          </w:p>
        </w:tc>
        <w:tc>
          <w:tcPr>
            <w:tcW w:w="3013" w:type="dxa"/>
            <w:shd w:val="clear" w:color="auto" w:fill="2E3092"/>
          </w:tcPr>
          <w:p w:rsidR="002C1123" w:rsidRDefault="002C1123">
            <w:pPr>
              <w:pStyle w:val="TableParagraph"/>
              <w:spacing w:before="0"/>
              <w:ind w:left="0"/>
              <w:rPr>
                <w:rFonts w:ascii="Times New Roman"/>
                <w:sz w:val="18"/>
              </w:rPr>
            </w:pPr>
          </w:p>
        </w:tc>
        <w:tc>
          <w:tcPr>
            <w:tcW w:w="2367" w:type="dxa"/>
          </w:tcPr>
          <w:p w:rsidR="002C1123" w:rsidRDefault="00F22F94">
            <w:pPr>
              <w:pStyle w:val="TableParagraph"/>
              <w:spacing w:before="40"/>
              <w:ind w:left="86"/>
              <w:rPr>
                <w:sz w:val="16"/>
              </w:rPr>
            </w:pPr>
            <w:r>
              <w:rPr>
                <w:spacing w:val="-4"/>
                <w:w w:val="95"/>
                <w:sz w:val="16"/>
              </w:rPr>
              <w:t>1.4%</w:t>
            </w:r>
          </w:p>
        </w:tc>
        <w:tc>
          <w:tcPr>
            <w:tcW w:w="645" w:type="dxa"/>
          </w:tcPr>
          <w:p w:rsidR="002C1123" w:rsidRDefault="002C1123">
            <w:pPr>
              <w:pStyle w:val="TableParagraph"/>
              <w:spacing w:before="0"/>
              <w:ind w:left="0"/>
              <w:rPr>
                <w:rFonts w:ascii="Times New Roman"/>
                <w:sz w:val="18"/>
              </w:rPr>
            </w:pPr>
          </w:p>
        </w:tc>
        <w:tc>
          <w:tcPr>
            <w:tcW w:w="689" w:type="dxa"/>
          </w:tcPr>
          <w:p w:rsidR="002C1123" w:rsidRDefault="002C1123">
            <w:pPr>
              <w:pStyle w:val="TableParagraph"/>
              <w:spacing w:before="0"/>
              <w:ind w:left="0"/>
              <w:rPr>
                <w:rFonts w:ascii="Times New Roman"/>
                <w:sz w:val="18"/>
              </w:rPr>
            </w:pPr>
          </w:p>
        </w:tc>
        <w:tc>
          <w:tcPr>
            <w:tcW w:w="1010" w:type="dxa"/>
          </w:tcPr>
          <w:p w:rsidR="002C1123" w:rsidRDefault="00F22F94">
            <w:pPr>
              <w:pStyle w:val="TableParagraph"/>
              <w:spacing w:before="38"/>
              <w:ind w:left="256"/>
              <w:jc w:val="center"/>
              <w:rPr>
                <w:sz w:val="16"/>
              </w:rPr>
            </w:pPr>
            <w:r>
              <w:rPr>
                <w:color w:val="FFFFFF"/>
                <w:w w:val="88"/>
                <w:sz w:val="16"/>
              </w:rPr>
              <w:t>9</w:t>
            </w:r>
          </w:p>
        </w:tc>
        <w:tc>
          <w:tcPr>
            <w:tcW w:w="1128" w:type="dxa"/>
            <w:shd w:val="clear" w:color="auto" w:fill="00AEEF"/>
          </w:tcPr>
          <w:p w:rsidR="002C1123" w:rsidRDefault="00F22F94">
            <w:pPr>
              <w:pStyle w:val="TableParagraph"/>
              <w:spacing w:before="38"/>
              <w:ind w:left="199"/>
              <w:jc w:val="center"/>
              <w:rPr>
                <w:sz w:val="16"/>
              </w:rPr>
            </w:pPr>
            <w:r>
              <w:rPr>
                <w:color w:val="FFFFFF"/>
                <w:w w:val="88"/>
                <w:sz w:val="16"/>
              </w:rPr>
              <w:t>8</w:t>
            </w:r>
          </w:p>
        </w:tc>
      </w:tr>
      <w:tr w:rsidR="002C1123">
        <w:trPr>
          <w:trHeight w:val="301"/>
        </w:trPr>
        <w:tc>
          <w:tcPr>
            <w:tcW w:w="914" w:type="dxa"/>
          </w:tcPr>
          <w:p w:rsidR="002C1123" w:rsidRDefault="002C1123">
            <w:pPr>
              <w:pStyle w:val="TableParagraph"/>
              <w:spacing w:before="0"/>
              <w:ind w:left="0"/>
              <w:rPr>
                <w:rFonts w:ascii="Times New Roman"/>
                <w:sz w:val="18"/>
              </w:rPr>
            </w:pPr>
          </w:p>
        </w:tc>
        <w:tc>
          <w:tcPr>
            <w:tcW w:w="3013" w:type="dxa"/>
          </w:tcPr>
          <w:p w:rsidR="002C1123" w:rsidRDefault="002C1123">
            <w:pPr>
              <w:pStyle w:val="TableParagraph"/>
              <w:spacing w:before="0"/>
              <w:ind w:left="0"/>
              <w:rPr>
                <w:rFonts w:ascii="Times New Roman"/>
                <w:sz w:val="18"/>
              </w:rPr>
            </w:pPr>
          </w:p>
        </w:tc>
        <w:tc>
          <w:tcPr>
            <w:tcW w:w="2367" w:type="dxa"/>
          </w:tcPr>
          <w:p w:rsidR="002C1123" w:rsidRDefault="002C1123">
            <w:pPr>
              <w:pStyle w:val="TableParagraph"/>
              <w:spacing w:before="0"/>
              <w:ind w:left="0"/>
              <w:rPr>
                <w:rFonts w:ascii="Times New Roman"/>
                <w:sz w:val="18"/>
              </w:rPr>
            </w:pPr>
          </w:p>
        </w:tc>
        <w:tc>
          <w:tcPr>
            <w:tcW w:w="645" w:type="dxa"/>
          </w:tcPr>
          <w:p w:rsidR="002C1123" w:rsidRDefault="002C1123">
            <w:pPr>
              <w:pStyle w:val="TableParagraph"/>
              <w:spacing w:before="0"/>
              <w:ind w:left="0"/>
              <w:rPr>
                <w:rFonts w:ascii="Times New Roman"/>
                <w:sz w:val="18"/>
              </w:rPr>
            </w:pPr>
          </w:p>
        </w:tc>
        <w:tc>
          <w:tcPr>
            <w:tcW w:w="689" w:type="dxa"/>
          </w:tcPr>
          <w:p w:rsidR="002C1123" w:rsidRDefault="002C1123">
            <w:pPr>
              <w:pStyle w:val="TableParagraph"/>
              <w:spacing w:before="0"/>
              <w:ind w:left="0"/>
              <w:rPr>
                <w:rFonts w:ascii="Times New Roman"/>
                <w:sz w:val="18"/>
              </w:rPr>
            </w:pPr>
          </w:p>
        </w:tc>
        <w:tc>
          <w:tcPr>
            <w:tcW w:w="1010" w:type="dxa"/>
          </w:tcPr>
          <w:p w:rsidR="002C1123" w:rsidRDefault="002C1123">
            <w:pPr>
              <w:pStyle w:val="TableParagraph"/>
              <w:spacing w:before="0"/>
              <w:ind w:left="0"/>
              <w:rPr>
                <w:rFonts w:ascii="Times New Roman"/>
                <w:sz w:val="18"/>
              </w:rPr>
            </w:pPr>
          </w:p>
        </w:tc>
        <w:tc>
          <w:tcPr>
            <w:tcW w:w="1128" w:type="dxa"/>
          </w:tcPr>
          <w:p w:rsidR="002C1123" w:rsidRDefault="002C1123">
            <w:pPr>
              <w:pStyle w:val="TableParagraph"/>
              <w:spacing w:before="0"/>
              <w:ind w:left="0"/>
              <w:rPr>
                <w:rFonts w:ascii="Times New Roman"/>
                <w:sz w:val="18"/>
              </w:rPr>
            </w:pPr>
          </w:p>
        </w:tc>
      </w:tr>
      <w:tr w:rsidR="002C1123">
        <w:trPr>
          <w:trHeight w:val="281"/>
        </w:trPr>
        <w:tc>
          <w:tcPr>
            <w:tcW w:w="914" w:type="dxa"/>
          </w:tcPr>
          <w:p w:rsidR="002C1123" w:rsidRDefault="00F22F94">
            <w:pPr>
              <w:pStyle w:val="TableParagraph"/>
              <w:spacing w:before="43"/>
              <w:ind w:left="50"/>
              <w:rPr>
                <w:sz w:val="16"/>
              </w:rPr>
            </w:pPr>
            <w:r>
              <w:rPr>
                <w:spacing w:val="-2"/>
                <w:w w:val="90"/>
                <w:sz w:val="16"/>
              </w:rPr>
              <w:t>Hunter</w:t>
            </w:r>
          </w:p>
        </w:tc>
        <w:tc>
          <w:tcPr>
            <w:tcW w:w="3013" w:type="dxa"/>
            <w:shd w:val="clear" w:color="auto" w:fill="2E3092"/>
          </w:tcPr>
          <w:p w:rsidR="002C1123" w:rsidRDefault="002C1123">
            <w:pPr>
              <w:pStyle w:val="TableParagraph"/>
              <w:spacing w:before="0"/>
              <w:ind w:left="0"/>
              <w:rPr>
                <w:rFonts w:ascii="Times New Roman"/>
                <w:sz w:val="18"/>
              </w:rPr>
            </w:pPr>
          </w:p>
        </w:tc>
        <w:tc>
          <w:tcPr>
            <w:tcW w:w="2367" w:type="dxa"/>
            <w:shd w:val="clear" w:color="auto" w:fill="2E3092"/>
          </w:tcPr>
          <w:p w:rsidR="002C1123" w:rsidRDefault="002C1123">
            <w:pPr>
              <w:pStyle w:val="TableParagraph"/>
              <w:spacing w:before="0"/>
              <w:ind w:left="0"/>
              <w:rPr>
                <w:rFonts w:ascii="Times New Roman"/>
                <w:sz w:val="18"/>
              </w:rPr>
            </w:pPr>
          </w:p>
        </w:tc>
        <w:tc>
          <w:tcPr>
            <w:tcW w:w="645" w:type="dxa"/>
          </w:tcPr>
          <w:p w:rsidR="002C1123" w:rsidRDefault="00F22F94">
            <w:pPr>
              <w:pStyle w:val="TableParagraph"/>
              <w:spacing w:before="40"/>
              <w:ind w:left="86"/>
              <w:rPr>
                <w:sz w:val="16"/>
              </w:rPr>
            </w:pPr>
            <w:r>
              <w:rPr>
                <w:spacing w:val="-4"/>
                <w:w w:val="95"/>
                <w:sz w:val="16"/>
              </w:rPr>
              <w:t>2.5%</w:t>
            </w:r>
          </w:p>
        </w:tc>
        <w:tc>
          <w:tcPr>
            <w:tcW w:w="689" w:type="dxa"/>
          </w:tcPr>
          <w:p w:rsidR="002C1123" w:rsidRDefault="002C1123">
            <w:pPr>
              <w:pStyle w:val="TableParagraph"/>
              <w:spacing w:before="0"/>
              <w:ind w:left="0"/>
              <w:rPr>
                <w:rFonts w:ascii="Times New Roman"/>
                <w:sz w:val="18"/>
              </w:rPr>
            </w:pPr>
          </w:p>
        </w:tc>
        <w:tc>
          <w:tcPr>
            <w:tcW w:w="1010" w:type="dxa"/>
          </w:tcPr>
          <w:p w:rsidR="002C1123" w:rsidRDefault="00F22F94">
            <w:pPr>
              <w:pStyle w:val="TableParagraph"/>
              <w:spacing w:before="44"/>
              <w:ind w:left="256"/>
              <w:jc w:val="center"/>
              <w:rPr>
                <w:sz w:val="16"/>
              </w:rPr>
            </w:pPr>
            <w:r>
              <w:rPr>
                <w:color w:val="FFFFFF"/>
                <w:w w:val="88"/>
                <w:sz w:val="16"/>
              </w:rPr>
              <w:t>6</w:t>
            </w:r>
          </w:p>
        </w:tc>
        <w:tc>
          <w:tcPr>
            <w:tcW w:w="1128" w:type="dxa"/>
            <w:shd w:val="clear" w:color="auto" w:fill="00AEEF"/>
          </w:tcPr>
          <w:p w:rsidR="002C1123" w:rsidRDefault="00F22F94">
            <w:pPr>
              <w:pStyle w:val="TableParagraph"/>
              <w:spacing w:before="44"/>
              <w:ind w:left="199"/>
              <w:jc w:val="center"/>
              <w:rPr>
                <w:sz w:val="16"/>
              </w:rPr>
            </w:pPr>
            <w:r>
              <w:rPr>
                <w:color w:val="FFFFFF"/>
                <w:w w:val="88"/>
                <w:sz w:val="16"/>
              </w:rPr>
              <w:t>6</w:t>
            </w:r>
          </w:p>
        </w:tc>
      </w:tr>
      <w:tr w:rsidR="002C1123">
        <w:trPr>
          <w:trHeight w:val="301"/>
        </w:trPr>
        <w:tc>
          <w:tcPr>
            <w:tcW w:w="914" w:type="dxa"/>
          </w:tcPr>
          <w:p w:rsidR="002C1123" w:rsidRDefault="002C1123">
            <w:pPr>
              <w:pStyle w:val="TableParagraph"/>
              <w:spacing w:before="0"/>
              <w:ind w:left="0"/>
              <w:rPr>
                <w:rFonts w:ascii="Times New Roman"/>
                <w:sz w:val="18"/>
              </w:rPr>
            </w:pPr>
          </w:p>
        </w:tc>
        <w:tc>
          <w:tcPr>
            <w:tcW w:w="3013" w:type="dxa"/>
          </w:tcPr>
          <w:p w:rsidR="002C1123" w:rsidRDefault="002C1123">
            <w:pPr>
              <w:pStyle w:val="TableParagraph"/>
              <w:spacing w:before="0"/>
              <w:ind w:left="0"/>
              <w:rPr>
                <w:rFonts w:ascii="Times New Roman"/>
                <w:sz w:val="18"/>
              </w:rPr>
            </w:pPr>
          </w:p>
        </w:tc>
        <w:tc>
          <w:tcPr>
            <w:tcW w:w="2367" w:type="dxa"/>
          </w:tcPr>
          <w:p w:rsidR="002C1123" w:rsidRDefault="002C1123">
            <w:pPr>
              <w:pStyle w:val="TableParagraph"/>
              <w:spacing w:before="0"/>
              <w:ind w:left="0"/>
              <w:rPr>
                <w:rFonts w:ascii="Times New Roman"/>
                <w:sz w:val="18"/>
              </w:rPr>
            </w:pPr>
          </w:p>
        </w:tc>
        <w:tc>
          <w:tcPr>
            <w:tcW w:w="645" w:type="dxa"/>
          </w:tcPr>
          <w:p w:rsidR="002C1123" w:rsidRDefault="002C1123">
            <w:pPr>
              <w:pStyle w:val="TableParagraph"/>
              <w:spacing w:before="0"/>
              <w:ind w:left="0"/>
              <w:rPr>
                <w:rFonts w:ascii="Times New Roman"/>
                <w:sz w:val="18"/>
              </w:rPr>
            </w:pPr>
          </w:p>
        </w:tc>
        <w:tc>
          <w:tcPr>
            <w:tcW w:w="689" w:type="dxa"/>
          </w:tcPr>
          <w:p w:rsidR="002C1123" w:rsidRDefault="002C1123">
            <w:pPr>
              <w:pStyle w:val="TableParagraph"/>
              <w:spacing w:before="0"/>
              <w:ind w:left="0"/>
              <w:rPr>
                <w:rFonts w:ascii="Times New Roman"/>
                <w:sz w:val="18"/>
              </w:rPr>
            </w:pPr>
          </w:p>
        </w:tc>
        <w:tc>
          <w:tcPr>
            <w:tcW w:w="1010" w:type="dxa"/>
          </w:tcPr>
          <w:p w:rsidR="002C1123" w:rsidRDefault="002C1123">
            <w:pPr>
              <w:pStyle w:val="TableParagraph"/>
              <w:spacing w:before="0"/>
              <w:ind w:left="0"/>
              <w:rPr>
                <w:rFonts w:ascii="Times New Roman"/>
                <w:sz w:val="18"/>
              </w:rPr>
            </w:pPr>
          </w:p>
        </w:tc>
        <w:tc>
          <w:tcPr>
            <w:tcW w:w="1128" w:type="dxa"/>
          </w:tcPr>
          <w:p w:rsidR="002C1123" w:rsidRDefault="002C1123">
            <w:pPr>
              <w:pStyle w:val="TableParagraph"/>
              <w:spacing w:before="0"/>
              <w:ind w:left="0"/>
              <w:rPr>
                <w:rFonts w:ascii="Times New Roman"/>
                <w:sz w:val="18"/>
              </w:rPr>
            </w:pPr>
          </w:p>
        </w:tc>
      </w:tr>
      <w:tr w:rsidR="002C1123">
        <w:trPr>
          <w:trHeight w:val="281"/>
        </w:trPr>
        <w:tc>
          <w:tcPr>
            <w:tcW w:w="914" w:type="dxa"/>
          </w:tcPr>
          <w:p w:rsidR="002C1123" w:rsidRDefault="00F22F94">
            <w:pPr>
              <w:pStyle w:val="TableParagraph"/>
              <w:spacing w:before="43"/>
              <w:ind w:left="50"/>
              <w:rPr>
                <w:sz w:val="16"/>
              </w:rPr>
            </w:pPr>
            <w:r>
              <w:rPr>
                <w:w w:val="80"/>
                <w:sz w:val="16"/>
              </w:rPr>
              <w:t>South</w:t>
            </w:r>
            <w:r>
              <w:rPr>
                <w:spacing w:val="-2"/>
                <w:w w:val="80"/>
                <w:sz w:val="16"/>
              </w:rPr>
              <w:t xml:space="preserve"> </w:t>
            </w:r>
            <w:r>
              <w:rPr>
                <w:spacing w:val="-2"/>
                <w:w w:val="90"/>
                <w:sz w:val="16"/>
              </w:rPr>
              <w:t>Coast</w:t>
            </w:r>
          </w:p>
        </w:tc>
        <w:tc>
          <w:tcPr>
            <w:tcW w:w="3013" w:type="dxa"/>
            <w:shd w:val="clear" w:color="auto" w:fill="2E3092"/>
          </w:tcPr>
          <w:p w:rsidR="002C1123" w:rsidRDefault="002C1123">
            <w:pPr>
              <w:pStyle w:val="TableParagraph"/>
              <w:spacing w:before="0"/>
              <w:ind w:left="0"/>
              <w:rPr>
                <w:rFonts w:ascii="Times New Roman"/>
                <w:sz w:val="18"/>
              </w:rPr>
            </w:pPr>
          </w:p>
        </w:tc>
        <w:tc>
          <w:tcPr>
            <w:tcW w:w="2367" w:type="dxa"/>
            <w:shd w:val="clear" w:color="auto" w:fill="2E3092"/>
          </w:tcPr>
          <w:p w:rsidR="002C1123" w:rsidRDefault="002C1123">
            <w:pPr>
              <w:pStyle w:val="TableParagraph"/>
              <w:spacing w:before="0"/>
              <w:ind w:left="0"/>
              <w:rPr>
                <w:rFonts w:ascii="Times New Roman"/>
                <w:sz w:val="18"/>
              </w:rPr>
            </w:pPr>
          </w:p>
        </w:tc>
        <w:tc>
          <w:tcPr>
            <w:tcW w:w="645" w:type="dxa"/>
          </w:tcPr>
          <w:p w:rsidR="002C1123" w:rsidRDefault="00F22F94">
            <w:pPr>
              <w:pStyle w:val="TableParagraph"/>
              <w:spacing w:before="40"/>
              <w:ind w:left="86"/>
              <w:rPr>
                <w:sz w:val="16"/>
              </w:rPr>
            </w:pPr>
            <w:r>
              <w:rPr>
                <w:spacing w:val="-4"/>
                <w:w w:val="95"/>
                <w:sz w:val="16"/>
              </w:rPr>
              <w:t>2.5%</w:t>
            </w:r>
          </w:p>
        </w:tc>
        <w:tc>
          <w:tcPr>
            <w:tcW w:w="689" w:type="dxa"/>
          </w:tcPr>
          <w:p w:rsidR="002C1123" w:rsidRDefault="002C1123">
            <w:pPr>
              <w:pStyle w:val="TableParagraph"/>
              <w:spacing w:before="0"/>
              <w:ind w:left="0"/>
              <w:rPr>
                <w:rFonts w:ascii="Times New Roman"/>
                <w:sz w:val="18"/>
              </w:rPr>
            </w:pPr>
          </w:p>
        </w:tc>
        <w:tc>
          <w:tcPr>
            <w:tcW w:w="1010" w:type="dxa"/>
          </w:tcPr>
          <w:p w:rsidR="002C1123" w:rsidRDefault="00F22F94">
            <w:pPr>
              <w:pStyle w:val="TableParagraph"/>
              <w:spacing w:before="48"/>
              <w:ind w:left="256"/>
              <w:jc w:val="center"/>
              <w:rPr>
                <w:sz w:val="16"/>
              </w:rPr>
            </w:pPr>
            <w:r>
              <w:rPr>
                <w:color w:val="FFFFFF"/>
                <w:w w:val="88"/>
                <w:sz w:val="16"/>
              </w:rPr>
              <w:t>5</w:t>
            </w:r>
          </w:p>
        </w:tc>
        <w:tc>
          <w:tcPr>
            <w:tcW w:w="1128" w:type="dxa"/>
            <w:shd w:val="clear" w:color="auto" w:fill="00AEEF"/>
          </w:tcPr>
          <w:p w:rsidR="002C1123" w:rsidRDefault="00F22F94">
            <w:pPr>
              <w:pStyle w:val="TableParagraph"/>
              <w:spacing w:before="48"/>
              <w:ind w:left="199"/>
              <w:jc w:val="center"/>
              <w:rPr>
                <w:sz w:val="16"/>
              </w:rPr>
            </w:pPr>
            <w:r>
              <w:rPr>
                <w:color w:val="FFFFFF"/>
                <w:w w:val="88"/>
                <w:sz w:val="16"/>
              </w:rPr>
              <w:t>4</w:t>
            </w:r>
          </w:p>
        </w:tc>
      </w:tr>
      <w:tr w:rsidR="002C1123">
        <w:trPr>
          <w:trHeight w:val="301"/>
        </w:trPr>
        <w:tc>
          <w:tcPr>
            <w:tcW w:w="914" w:type="dxa"/>
          </w:tcPr>
          <w:p w:rsidR="002C1123" w:rsidRDefault="002C1123">
            <w:pPr>
              <w:pStyle w:val="TableParagraph"/>
              <w:spacing w:before="0"/>
              <w:ind w:left="0"/>
              <w:rPr>
                <w:rFonts w:ascii="Times New Roman"/>
                <w:sz w:val="18"/>
              </w:rPr>
            </w:pPr>
          </w:p>
        </w:tc>
        <w:tc>
          <w:tcPr>
            <w:tcW w:w="3013" w:type="dxa"/>
            <w:shd w:val="clear" w:color="auto" w:fill="2E3092"/>
          </w:tcPr>
          <w:p w:rsidR="002C1123" w:rsidRDefault="002C1123">
            <w:pPr>
              <w:pStyle w:val="TableParagraph"/>
              <w:spacing w:before="0"/>
              <w:ind w:left="0"/>
              <w:rPr>
                <w:rFonts w:ascii="Times New Roman"/>
                <w:sz w:val="2"/>
              </w:rPr>
            </w:pPr>
          </w:p>
        </w:tc>
        <w:tc>
          <w:tcPr>
            <w:tcW w:w="2367" w:type="dxa"/>
            <w:shd w:val="clear" w:color="auto" w:fill="2E3092"/>
          </w:tcPr>
          <w:p w:rsidR="002C1123" w:rsidRDefault="002C1123">
            <w:pPr>
              <w:pStyle w:val="TableParagraph"/>
              <w:spacing w:before="0"/>
              <w:ind w:left="0"/>
              <w:rPr>
                <w:rFonts w:ascii="Times New Roman"/>
                <w:sz w:val="2"/>
              </w:rPr>
            </w:pPr>
          </w:p>
        </w:tc>
        <w:tc>
          <w:tcPr>
            <w:tcW w:w="645" w:type="dxa"/>
          </w:tcPr>
          <w:p w:rsidR="002C1123" w:rsidRDefault="002C1123">
            <w:pPr>
              <w:pStyle w:val="TableParagraph"/>
              <w:spacing w:before="0"/>
              <w:ind w:left="0"/>
              <w:rPr>
                <w:rFonts w:ascii="Times New Roman"/>
                <w:sz w:val="18"/>
              </w:rPr>
            </w:pPr>
          </w:p>
        </w:tc>
        <w:tc>
          <w:tcPr>
            <w:tcW w:w="689" w:type="dxa"/>
          </w:tcPr>
          <w:p w:rsidR="002C1123" w:rsidRDefault="002C1123">
            <w:pPr>
              <w:pStyle w:val="TableParagraph"/>
              <w:spacing w:before="0"/>
              <w:ind w:left="0"/>
              <w:rPr>
                <w:rFonts w:ascii="Times New Roman"/>
                <w:sz w:val="18"/>
              </w:rPr>
            </w:pPr>
          </w:p>
        </w:tc>
        <w:tc>
          <w:tcPr>
            <w:tcW w:w="1010" w:type="dxa"/>
          </w:tcPr>
          <w:p w:rsidR="002C1123" w:rsidRDefault="002C1123">
            <w:pPr>
              <w:pStyle w:val="TableParagraph"/>
              <w:spacing w:before="0"/>
              <w:ind w:left="0"/>
              <w:rPr>
                <w:rFonts w:ascii="Times New Roman"/>
                <w:sz w:val="18"/>
              </w:rPr>
            </w:pPr>
          </w:p>
        </w:tc>
        <w:tc>
          <w:tcPr>
            <w:tcW w:w="1128" w:type="dxa"/>
          </w:tcPr>
          <w:p w:rsidR="002C1123" w:rsidRDefault="002C1123">
            <w:pPr>
              <w:pStyle w:val="TableParagraph"/>
              <w:spacing w:before="0"/>
              <w:ind w:left="0"/>
              <w:rPr>
                <w:rFonts w:ascii="Times New Roman"/>
                <w:sz w:val="18"/>
              </w:rPr>
            </w:pPr>
          </w:p>
        </w:tc>
      </w:tr>
      <w:tr w:rsidR="002C1123">
        <w:trPr>
          <w:trHeight w:val="257"/>
        </w:trPr>
        <w:tc>
          <w:tcPr>
            <w:tcW w:w="914" w:type="dxa"/>
          </w:tcPr>
          <w:p w:rsidR="002C1123" w:rsidRDefault="00F22F94">
            <w:pPr>
              <w:pStyle w:val="TableParagraph"/>
              <w:spacing w:before="17"/>
              <w:ind w:left="50"/>
              <w:rPr>
                <w:sz w:val="16"/>
              </w:rPr>
            </w:pPr>
            <w:r>
              <w:rPr>
                <w:w w:val="80"/>
                <w:sz w:val="16"/>
              </w:rPr>
              <w:t>North</w:t>
            </w:r>
            <w:r>
              <w:rPr>
                <w:spacing w:val="-2"/>
                <w:w w:val="90"/>
                <w:sz w:val="16"/>
              </w:rPr>
              <w:t xml:space="preserve"> Coast</w:t>
            </w:r>
          </w:p>
        </w:tc>
        <w:tc>
          <w:tcPr>
            <w:tcW w:w="3013" w:type="dxa"/>
          </w:tcPr>
          <w:p w:rsidR="002C1123" w:rsidRDefault="002C1123">
            <w:pPr>
              <w:pStyle w:val="TableParagraph"/>
              <w:spacing w:before="0"/>
              <w:ind w:left="0"/>
              <w:rPr>
                <w:rFonts w:ascii="Times New Roman"/>
                <w:sz w:val="18"/>
              </w:rPr>
            </w:pPr>
          </w:p>
        </w:tc>
        <w:tc>
          <w:tcPr>
            <w:tcW w:w="2367" w:type="dxa"/>
          </w:tcPr>
          <w:p w:rsidR="002C1123" w:rsidRDefault="002C1123">
            <w:pPr>
              <w:pStyle w:val="TableParagraph"/>
              <w:spacing w:before="0"/>
              <w:ind w:left="0"/>
              <w:rPr>
                <w:rFonts w:ascii="Times New Roman"/>
                <w:sz w:val="18"/>
              </w:rPr>
            </w:pPr>
          </w:p>
        </w:tc>
        <w:tc>
          <w:tcPr>
            <w:tcW w:w="645" w:type="dxa"/>
          </w:tcPr>
          <w:p w:rsidR="002C1123" w:rsidRDefault="00F22F94">
            <w:pPr>
              <w:pStyle w:val="TableParagraph"/>
              <w:spacing w:before="14"/>
              <w:ind w:left="294"/>
              <w:rPr>
                <w:sz w:val="16"/>
              </w:rPr>
            </w:pPr>
            <w:r>
              <w:rPr>
                <w:spacing w:val="-4"/>
                <w:w w:val="95"/>
                <w:sz w:val="16"/>
              </w:rPr>
              <w:t>2.6%</w:t>
            </w:r>
          </w:p>
        </w:tc>
        <w:tc>
          <w:tcPr>
            <w:tcW w:w="689" w:type="dxa"/>
          </w:tcPr>
          <w:p w:rsidR="002C1123" w:rsidRDefault="002C1123">
            <w:pPr>
              <w:pStyle w:val="TableParagraph"/>
              <w:spacing w:before="0"/>
              <w:ind w:left="0"/>
              <w:rPr>
                <w:rFonts w:ascii="Times New Roman"/>
                <w:sz w:val="18"/>
              </w:rPr>
            </w:pPr>
          </w:p>
        </w:tc>
        <w:tc>
          <w:tcPr>
            <w:tcW w:w="1010" w:type="dxa"/>
          </w:tcPr>
          <w:p w:rsidR="002C1123" w:rsidRDefault="00F22F94">
            <w:pPr>
              <w:pStyle w:val="TableParagraph"/>
              <w:spacing w:before="22"/>
              <w:ind w:left="256"/>
              <w:jc w:val="center"/>
              <w:rPr>
                <w:sz w:val="16"/>
              </w:rPr>
            </w:pPr>
            <w:r>
              <w:rPr>
                <w:color w:val="FFFFFF"/>
                <w:w w:val="88"/>
                <w:sz w:val="16"/>
              </w:rPr>
              <w:t>4</w:t>
            </w:r>
          </w:p>
        </w:tc>
        <w:tc>
          <w:tcPr>
            <w:tcW w:w="1128" w:type="dxa"/>
            <w:shd w:val="clear" w:color="auto" w:fill="00AEEF"/>
          </w:tcPr>
          <w:p w:rsidR="002C1123" w:rsidRDefault="00F22F94">
            <w:pPr>
              <w:pStyle w:val="TableParagraph"/>
              <w:spacing w:before="22"/>
              <w:ind w:left="199"/>
              <w:jc w:val="center"/>
              <w:rPr>
                <w:sz w:val="16"/>
              </w:rPr>
            </w:pPr>
            <w:r>
              <w:rPr>
                <w:color w:val="FFFFFF"/>
                <w:w w:val="88"/>
                <w:sz w:val="16"/>
              </w:rPr>
              <w:t>3</w:t>
            </w:r>
          </w:p>
        </w:tc>
      </w:tr>
    </w:tbl>
    <w:p w:rsidR="002C1123" w:rsidRDefault="002C1123">
      <w:pPr>
        <w:jc w:val="center"/>
        <w:rPr>
          <w:sz w:val="16"/>
        </w:rPr>
        <w:sectPr w:rsidR="002C1123">
          <w:type w:val="continuous"/>
          <w:pgSz w:w="16840" w:h="11910" w:orient="landscape"/>
          <w:pgMar w:top="560" w:right="280" w:bottom="280" w:left="500" w:header="0" w:footer="517" w:gutter="0"/>
          <w:cols w:num="2" w:space="720" w:equalWidth="0">
            <w:col w:w="5211" w:space="40"/>
            <w:col w:w="10809"/>
          </w:cols>
        </w:sectPr>
      </w:pPr>
    </w:p>
    <w:p w:rsidR="002C1123" w:rsidRDefault="00F22F94">
      <w:pPr>
        <w:tabs>
          <w:tab w:val="left" w:pos="4631"/>
        </w:tabs>
        <w:spacing w:line="138" w:lineRule="exact"/>
        <w:ind w:left="30"/>
        <w:jc w:val="center"/>
        <w:rPr>
          <w:sz w:val="16"/>
        </w:rPr>
      </w:pPr>
      <w:r>
        <w:rPr>
          <w:spacing w:val="-2"/>
          <w:w w:val="95"/>
          <w:sz w:val="16"/>
        </w:rPr>
        <w:t>Murray</w:t>
      </w:r>
      <w:r>
        <w:rPr>
          <w:sz w:val="16"/>
        </w:rPr>
        <w:tab/>
      </w:r>
      <w:r>
        <w:rPr>
          <w:spacing w:val="-4"/>
          <w:w w:val="95"/>
          <w:sz w:val="16"/>
        </w:rPr>
        <w:t>1.7%</w:t>
      </w:r>
    </w:p>
    <w:p w:rsidR="002C1123" w:rsidRDefault="002060EF">
      <w:pPr>
        <w:pStyle w:val="BodyText"/>
        <w:spacing w:before="7"/>
        <w:rPr>
          <w:sz w:val="11"/>
        </w:rPr>
      </w:pPr>
      <w:r>
        <w:pict>
          <v:shape id="docshape392" o:spid="_x0000_s4916" style="position:absolute;margin-left:347.15pt;margin-top:7.9pt;width:322.8pt;height:.1pt;z-index:-251416576;mso-wrap-distance-left:0;mso-wrap-distance-right:0;mso-position-horizontal-relative:page" coordorigin="6943,158" coordsize="6456,0" path="m6943,158r6456,e" filled="f" strokecolor="#b2b1b3" strokeweight=".28786mm">
            <v:path arrowok="t"/>
            <w10:wrap type="topAndBottom" anchorx="page"/>
          </v:shape>
        </w:pict>
      </w:r>
    </w:p>
    <w:p w:rsidR="002C1123" w:rsidRDefault="00F22F94">
      <w:pPr>
        <w:tabs>
          <w:tab w:val="left" w:pos="7361"/>
          <w:tab w:val="left" w:pos="8496"/>
          <w:tab w:val="left" w:pos="9513"/>
          <w:tab w:val="left" w:pos="10648"/>
          <w:tab w:val="left" w:pos="11665"/>
          <w:tab w:val="left" w:pos="12800"/>
        </w:tabs>
        <w:spacing w:before="127"/>
        <w:ind w:left="6344"/>
        <w:rPr>
          <w:sz w:val="16"/>
        </w:rPr>
      </w:pPr>
      <w:r>
        <w:rPr>
          <w:spacing w:val="-5"/>
          <w:w w:val="95"/>
          <w:sz w:val="16"/>
        </w:rPr>
        <w:t>0%</w:t>
      </w:r>
      <w:r>
        <w:rPr>
          <w:sz w:val="16"/>
        </w:rPr>
        <w:tab/>
      </w:r>
      <w:r>
        <w:rPr>
          <w:spacing w:val="-4"/>
          <w:w w:val="95"/>
          <w:sz w:val="16"/>
        </w:rPr>
        <w:t>0.5%</w:t>
      </w:r>
      <w:r>
        <w:rPr>
          <w:sz w:val="16"/>
        </w:rPr>
        <w:tab/>
      </w:r>
      <w:r>
        <w:rPr>
          <w:spacing w:val="-5"/>
          <w:w w:val="95"/>
          <w:sz w:val="16"/>
        </w:rPr>
        <w:t>1%</w:t>
      </w:r>
      <w:r>
        <w:rPr>
          <w:sz w:val="16"/>
        </w:rPr>
        <w:tab/>
      </w:r>
      <w:r>
        <w:rPr>
          <w:spacing w:val="-4"/>
          <w:w w:val="95"/>
          <w:sz w:val="16"/>
        </w:rPr>
        <w:t>1.5%</w:t>
      </w:r>
      <w:r>
        <w:rPr>
          <w:sz w:val="16"/>
        </w:rPr>
        <w:tab/>
      </w:r>
      <w:r>
        <w:rPr>
          <w:spacing w:val="-5"/>
          <w:w w:val="95"/>
          <w:sz w:val="16"/>
        </w:rPr>
        <w:t>2%</w:t>
      </w:r>
      <w:r>
        <w:rPr>
          <w:sz w:val="16"/>
        </w:rPr>
        <w:tab/>
      </w:r>
      <w:r>
        <w:rPr>
          <w:spacing w:val="-4"/>
          <w:w w:val="95"/>
          <w:sz w:val="16"/>
        </w:rPr>
        <w:t>2.5%</w:t>
      </w:r>
      <w:r>
        <w:rPr>
          <w:sz w:val="16"/>
        </w:rPr>
        <w:tab/>
      </w:r>
      <w:r>
        <w:rPr>
          <w:spacing w:val="-5"/>
          <w:w w:val="95"/>
          <w:sz w:val="16"/>
        </w:rPr>
        <w:t>3%</w:t>
      </w:r>
    </w:p>
    <w:p w:rsidR="002C1123" w:rsidRDefault="002C1123">
      <w:pPr>
        <w:pStyle w:val="BodyText"/>
        <w:spacing w:before="8"/>
        <w:rPr>
          <w:sz w:val="14"/>
        </w:rPr>
      </w:pPr>
    </w:p>
    <w:p w:rsidR="002C1123" w:rsidRDefault="00F22F94">
      <w:pPr>
        <w:spacing w:before="106"/>
        <w:ind w:right="936"/>
        <w:jc w:val="center"/>
        <w:rPr>
          <w:sz w:val="14"/>
        </w:rPr>
      </w:pPr>
      <w:r>
        <w:rPr>
          <w:sz w:val="14"/>
        </w:rPr>
        <w:t>Source:</w:t>
      </w:r>
      <w:r>
        <w:rPr>
          <w:spacing w:val="-8"/>
          <w:sz w:val="14"/>
        </w:rPr>
        <w:t xml:space="preserve"> </w:t>
      </w:r>
      <w:r>
        <w:rPr>
          <w:sz w:val="14"/>
        </w:rPr>
        <w:t>Deloitte</w:t>
      </w:r>
      <w:r>
        <w:rPr>
          <w:spacing w:val="-8"/>
          <w:sz w:val="14"/>
        </w:rPr>
        <w:t xml:space="preserve"> </w:t>
      </w:r>
      <w:r>
        <w:rPr>
          <w:sz w:val="14"/>
        </w:rPr>
        <w:t>Access</w:t>
      </w:r>
      <w:r>
        <w:rPr>
          <w:spacing w:val="-8"/>
          <w:sz w:val="14"/>
        </w:rPr>
        <w:t xml:space="preserve"> </w:t>
      </w:r>
      <w:r>
        <w:rPr>
          <w:spacing w:val="-2"/>
          <w:sz w:val="14"/>
        </w:rPr>
        <w:t>Economics.</w:t>
      </w:r>
    </w:p>
    <w:p w:rsidR="002C1123" w:rsidRDefault="002C1123">
      <w:pPr>
        <w:jc w:val="center"/>
        <w:rPr>
          <w:sz w:val="14"/>
        </w:rPr>
        <w:sectPr w:rsidR="002C1123">
          <w:type w:val="continuous"/>
          <w:pgSz w:w="16840" w:h="11910" w:orient="landscape"/>
          <w:pgMar w:top="560" w:right="280" w:bottom="280" w:left="500" w:header="0" w:footer="517"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3"/>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Heading6"/>
        <w:ind w:left="492"/>
      </w:pPr>
      <w:bookmarkStart w:id="73" w:name="_bookmark51"/>
      <w:bookmarkEnd w:id="73"/>
      <w:r>
        <w:rPr>
          <w:w w:val="95"/>
        </w:rPr>
        <w:t>Economic</w:t>
      </w:r>
      <w:r>
        <w:rPr>
          <w:spacing w:val="12"/>
        </w:rPr>
        <w:t xml:space="preserve"> </w:t>
      </w:r>
      <w:r>
        <w:rPr>
          <w:spacing w:val="-2"/>
        </w:rPr>
        <w:t>Structure</w:t>
      </w:r>
    </w:p>
    <w:p w:rsidR="002C1123" w:rsidRDefault="00F22F94">
      <w:pPr>
        <w:pStyle w:val="BodyText"/>
        <w:spacing w:before="10" w:line="249" w:lineRule="auto"/>
        <w:ind w:left="492"/>
      </w:pPr>
      <w:r>
        <w:t>NSW</w:t>
      </w:r>
      <w:r>
        <w:rPr>
          <w:spacing w:val="-14"/>
        </w:rPr>
        <w:t xml:space="preserve"> </w:t>
      </w:r>
      <w:r>
        <w:t>is</w:t>
      </w:r>
      <w:r>
        <w:rPr>
          <w:spacing w:val="-14"/>
        </w:rPr>
        <w:t xml:space="preserve"> </w:t>
      </w:r>
      <w:r>
        <w:t>primarily</w:t>
      </w:r>
      <w:r>
        <w:rPr>
          <w:spacing w:val="-14"/>
        </w:rPr>
        <w:t xml:space="preserve"> </w:t>
      </w:r>
      <w:r>
        <w:t>a</w:t>
      </w:r>
      <w:r>
        <w:rPr>
          <w:spacing w:val="-13"/>
        </w:rPr>
        <w:t xml:space="preserve"> </w:t>
      </w:r>
      <w:r>
        <w:t>service</w:t>
      </w:r>
      <w:r>
        <w:rPr>
          <w:spacing w:val="-14"/>
        </w:rPr>
        <w:t xml:space="preserve"> </w:t>
      </w:r>
      <w:r>
        <w:t>economy,</w:t>
      </w:r>
      <w:r>
        <w:rPr>
          <w:spacing w:val="-14"/>
        </w:rPr>
        <w:t xml:space="preserve"> </w:t>
      </w:r>
      <w:r>
        <w:t>with</w:t>
      </w:r>
      <w:r>
        <w:rPr>
          <w:spacing w:val="-14"/>
        </w:rPr>
        <w:t xml:space="preserve"> </w:t>
      </w:r>
      <w:r>
        <w:t>this</w:t>
      </w:r>
      <w:r>
        <w:rPr>
          <w:spacing w:val="-13"/>
        </w:rPr>
        <w:t xml:space="preserve"> </w:t>
      </w:r>
      <w:r>
        <w:t xml:space="preserve">sector </w:t>
      </w:r>
      <w:r>
        <w:rPr>
          <w:w w:val="95"/>
        </w:rPr>
        <w:t>comprising 73 percent of GSP in 2011 and expected to make up nearly 76 percent in 2031. The manufacturing sector</w:t>
      </w:r>
      <w:r>
        <w:rPr>
          <w:spacing w:val="-4"/>
          <w:w w:val="95"/>
        </w:rPr>
        <w:t xml:space="preserve"> </w:t>
      </w:r>
      <w:r>
        <w:rPr>
          <w:w w:val="95"/>
        </w:rPr>
        <w:t>is</w:t>
      </w:r>
      <w:r>
        <w:rPr>
          <w:spacing w:val="-4"/>
          <w:w w:val="95"/>
        </w:rPr>
        <w:t xml:space="preserve"> </w:t>
      </w:r>
      <w:r>
        <w:rPr>
          <w:w w:val="95"/>
        </w:rPr>
        <w:t>expected</w:t>
      </w:r>
      <w:r>
        <w:rPr>
          <w:spacing w:val="-4"/>
          <w:w w:val="95"/>
        </w:rPr>
        <w:t xml:space="preserve"> </w:t>
      </w:r>
      <w:r>
        <w:rPr>
          <w:w w:val="95"/>
        </w:rPr>
        <w:t>to</w:t>
      </w:r>
      <w:r>
        <w:rPr>
          <w:spacing w:val="-4"/>
          <w:w w:val="95"/>
        </w:rPr>
        <w:t xml:space="preserve"> </w:t>
      </w:r>
      <w:r>
        <w:rPr>
          <w:w w:val="95"/>
        </w:rPr>
        <w:t>decline</w:t>
      </w:r>
      <w:r>
        <w:rPr>
          <w:spacing w:val="-4"/>
          <w:w w:val="95"/>
        </w:rPr>
        <w:t xml:space="preserve"> </w:t>
      </w:r>
      <w:r>
        <w:rPr>
          <w:w w:val="95"/>
        </w:rPr>
        <w:t>from</w:t>
      </w:r>
      <w:r>
        <w:rPr>
          <w:spacing w:val="-5"/>
          <w:w w:val="95"/>
        </w:rPr>
        <w:t xml:space="preserve"> </w:t>
      </w:r>
      <w:r>
        <w:rPr>
          <w:w w:val="95"/>
        </w:rPr>
        <w:t>10</w:t>
      </w:r>
      <w:r>
        <w:rPr>
          <w:spacing w:val="-4"/>
          <w:w w:val="95"/>
        </w:rPr>
        <w:t xml:space="preserve"> </w:t>
      </w:r>
      <w:r>
        <w:rPr>
          <w:w w:val="95"/>
        </w:rPr>
        <w:t>percent</w:t>
      </w:r>
      <w:r>
        <w:rPr>
          <w:spacing w:val="-4"/>
          <w:w w:val="95"/>
        </w:rPr>
        <w:t xml:space="preserve"> </w:t>
      </w:r>
      <w:r>
        <w:rPr>
          <w:w w:val="95"/>
        </w:rPr>
        <w:t>of</w:t>
      </w:r>
      <w:r>
        <w:rPr>
          <w:spacing w:val="-4"/>
          <w:w w:val="95"/>
        </w:rPr>
        <w:t xml:space="preserve"> </w:t>
      </w:r>
      <w:r>
        <w:rPr>
          <w:w w:val="95"/>
        </w:rPr>
        <w:t>GSP</w:t>
      </w:r>
      <w:r>
        <w:rPr>
          <w:spacing w:val="-4"/>
          <w:w w:val="95"/>
        </w:rPr>
        <w:t xml:space="preserve"> </w:t>
      </w:r>
      <w:r>
        <w:rPr>
          <w:w w:val="95"/>
        </w:rPr>
        <w:t xml:space="preserve">to </w:t>
      </w:r>
      <w:r>
        <w:t>seven percent over this period.</w:t>
      </w:r>
    </w:p>
    <w:p w:rsidR="002C1123" w:rsidRDefault="00F22F94">
      <w:pPr>
        <w:pStyle w:val="BodyText"/>
        <w:spacing w:before="146" w:line="249" w:lineRule="auto"/>
        <w:ind w:left="492"/>
      </w:pPr>
      <w:r>
        <w:t>Important</w:t>
      </w:r>
      <w:r>
        <w:rPr>
          <w:spacing w:val="-7"/>
        </w:rPr>
        <w:t xml:space="preserve"> </w:t>
      </w:r>
      <w:r>
        <w:t>changes</w:t>
      </w:r>
      <w:r>
        <w:rPr>
          <w:spacing w:val="-7"/>
        </w:rPr>
        <w:t xml:space="preserve"> </w:t>
      </w:r>
      <w:r>
        <w:t>in</w:t>
      </w:r>
      <w:r>
        <w:rPr>
          <w:spacing w:val="-7"/>
        </w:rPr>
        <w:t xml:space="preserve"> </w:t>
      </w:r>
      <w:r>
        <w:t>the</w:t>
      </w:r>
      <w:r>
        <w:rPr>
          <w:spacing w:val="-7"/>
        </w:rPr>
        <w:t xml:space="preserve"> </w:t>
      </w:r>
      <w:r>
        <w:t>rates</w:t>
      </w:r>
      <w:r>
        <w:rPr>
          <w:spacing w:val="-7"/>
        </w:rPr>
        <w:t xml:space="preserve"> </w:t>
      </w:r>
      <w:r>
        <w:t>of</w:t>
      </w:r>
      <w:r>
        <w:rPr>
          <w:spacing w:val="-7"/>
        </w:rPr>
        <w:t xml:space="preserve"> </w:t>
      </w:r>
      <w:r>
        <w:t>growth</w:t>
      </w:r>
      <w:r>
        <w:rPr>
          <w:spacing w:val="-7"/>
        </w:rPr>
        <w:t xml:space="preserve"> </w:t>
      </w:r>
      <w:r>
        <w:t xml:space="preserve">between </w:t>
      </w:r>
      <w:r>
        <w:rPr>
          <w:w w:val="95"/>
        </w:rPr>
        <w:t>different</w:t>
      </w:r>
      <w:r>
        <w:rPr>
          <w:spacing w:val="-5"/>
          <w:w w:val="95"/>
        </w:rPr>
        <w:t xml:space="preserve"> </w:t>
      </w:r>
      <w:r>
        <w:rPr>
          <w:w w:val="95"/>
        </w:rPr>
        <w:t>sectors</w:t>
      </w:r>
      <w:r>
        <w:rPr>
          <w:spacing w:val="-5"/>
          <w:w w:val="95"/>
        </w:rPr>
        <w:t xml:space="preserve"> </w:t>
      </w:r>
      <w:r>
        <w:rPr>
          <w:w w:val="95"/>
        </w:rPr>
        <w:t>are</w:t>
      </w:r>
      <w:r>
        <w:rPr>
          <w:spacing w:val="-5"/>
          <w:w w:val="95"/>
        </w:rPr>
        <w:t xml:space="preserve"> </w:t>
      </w:r>
      <w:r>
        <w:rPr>
          <w:w w:val="95"/>
        </w:rPr>
        <w:t>shown</w:t>
      </w:r>
      <w:r>
        <w:rPr>
          <w:spacing w:val="-5"/>
          <w:w w:val="95"/>
        </w:rPr>
        <w:t xml:space="preserve"> </w:t>
      </w:r>
      <w:r>
        <w:rPr>
          <w:w w:val="95"/>
        </w:rPr>
        <w:t>in</w:t>
      </w:r>
      <w:r>
        <w:rPr>
          <w:spacing w:val="-5"/>
          <w:w w:val="95"/>
        </w:rPr>
        <w:t xml:space="preserve"> </w:t>
      </w:r>
      <w:r>
        <w:rPr>
          <w:w w:val="95"/>
        </w:rPr>
        <w:t>Figure</w:t>
      </w:r>
      <w:r>
        <w:rPr>
          <w:spacing w:val="-5"/>
          <w:w w:val="95"/>
        </w:rPr>
        <w:t xml:space="preserve"> </w:t>
      </w:r>
      <w:r>
        <w:rPr>
          <w:w w:val="95"/>
        </w:rPr>
        <w:t>2.3</w:t>
      </w:r>
      <w:r>
        <w:rPr>
          <w:spacing w:val="-5"/>
          <w:w w:val="95"/>
        </w:rPr>
        <w:t xml:space="preserve"> </w:t>
      </w:r>
      <w:r>
        <w:rPr>
          <w:w w:val="95"/>
        </w:rPr>
        <w:t>for</w:t>
      </w:r>
      <w:r>
        <w:rPr>
          <w:spacing w:val="-5"/>
          <w:w w:val="95"/>
        </w:rPr>
        <w:t xml:space="preserve"> </w:t>
      </w:r>
      <w:r>
        <w:rPr>
          <w:w w:val="95"/>
        </w:rPr>
        <w:t>the</w:t>
      </w:r>
      <w:r>
        <w:rPr>
          <w:spacing w:val="-5"/>
          <w:w w:val="95"/>
        </w:rPr>
        <w:t xml:space="preserve"> </w:t>
      </w:r>
      <w:r>
        <w:rPr>
          <w:w w:val="95"/>
        </w:rPr>
        <w:t>past decade,</w:t>
      </w:r>
      <w:r>
        <w:rPr>
          <w:spacing w:val="-7"/>
          <w:w w:val="95"/>
        </w:rPr>
        <w:t xml:space="preserve"> </w:t>
      </w:r>
      <w:r>
        <w:rPr>
          <w:w w:val="95"/>
        </w:rPr>
        <w:t>2001</w:t>
      </w:r>
      <w:r>
        <w:rPr>
          <w:spacing w:val="-7"/>
          <w:w w:val="95"/>
        </w:rPr>
        <w:t xml:space="preserve"> </w:t>
      </w:r>
      <w:r>
        <w:rPr>
          <w:w w:val="95"/>
        </w:rPr>
        <w:t>–</w:t>
      </w:r>
      <w:r>
        <w:rPr>
          <w:spacing w:val="-6"/>
          <w:w w:val="95"/>
        </w:rPr>
        <w:t xml:space="preserve"> </w:t>
      </w:r>
      <w:r>
        <w:rPr>
          <w:w w:val="95"/>
        </w:rPr>
        <w:t>2011,</w:t>
      </w:r>
      <w:r>
        <w:rPr>
          <w:spacing w:val="-7"/>
          <w:w w:val="95"/>
        </w:rPr>
        <w:t xml:space="preserve"> </w:t>
      </w:r>
      <w:r>
        <w:rPr>
          <w:w w:val="95"/>
        </w:rPr>
        <w:t>and</w:t>
      </w:r>
      <w:r>
        <w:rPr>
          <w:spacing w:val="-6"/>
          <w:w w:val="95"/>
        </w:rPr>
        <w:t xml:space="preserve"> </w:t>
      </w:r>
      <w:r>
        <w:rPr>
          <w:w w:val="95"/>
        </w:rPr>
        <w:t>for</w:t>
      </w:r>
      <w:r>
        <w:rPr>
          <w:spacing w:val="-7"/>
          <w:w w:val="95"/>
        </w:rPr>
        <w:t xml:space="preserve"> </w:t>
      </w:r>
      <w:r>
        <w:rPr>
          <w:w w:val="95"/>
        </w:rPr>
        <w:t>the</w:t>
      </w:r>
      <w:r>
        <w:rPr>
          <w:spacing w:val="-7"/>
          <w:w w:val="95"/>
        </w:rPr>
        <w:t xml:space="preserve"> </w:t>
      </w:r>
      <w:r>
        <w:rPr>
          <w:w w:val="95"/>
        </w:rPr>
        <w:t>next</w:t>
      </w:r>
      <w:r>
        <w:rPr>
          <w:spacing w:val="-6"/>
          <w:w w:val="95"/>
        </w:rPr>
        <w:t xml:space="preserve"> </w:t>
      </w:r>
      <w:r>
        <w:rPr>
          <w:w w:val="95"/>
        </w:rPr>
        <w:t>two</w:t>
      </w:r>
      <w:r>
        <w:rPr>
          <w:spacing w:val="-7"/>
          <w:w w:val="95"/>
        </w:rPr>
        <w:t xml:space="preserve"> </w:t>
      </w:r>
      <w:r>
        <w:rPr>
          <w:spacing w:val="-2"/>
          <w:w w:val="95"/>
        </w:rPr>
        <w:t>decades.</w:t>
      </w:r>
    </w:p>
    <w:p w:rsidR="002C1123" w:rsidRDefault="00F22F94">
      <w:pPr>
        <w:pStyle w:val="BodyText"/>
        <w:spacing w:before="144"/>
        <w:ind w:left="492"/>
      </w:pPr>
      <w:r>
        <w:rPr>
          <w:w w:val="95"/>
        </w:rPr>
        <w:t>Key</w:t>
      </w:r>
      <w:r>
        <w:rPr>
          <w:spacing w:val="-9"/>
          <w:w w:val="95"/>
        </w:rPr>
        <w:t xml:space="preserve"> </w:t>
      </w:r>
      <w:r>
        <w:rPr>
          <w:w w:val="95"/>
        </w:rPr>
        <w:t>points</w:t>
      </w:r>
      <w:r>
        <w:rPr>
          <w:spacing w:val="-9"/>
          <w:w w:val="95"/>
        </w:rPr>
        <w:t xml:space="preserve"> </w:t>
      </w:r>
      <w:r>
        <w:rPr>
          <w:spacing w:val="-4"/>
          <w:w w:val="95"/>
        </w:rPr>
        <w:t>are:</w:t>
      </w:r>
    </w:p>
    <w:p w:rsidR="002C1123" w:rsidRDefault="00F22F94">
      <w:pPr>
        <w:pStyle w:val="ListParagraph"/>
        <w:numPr>
          <w:ilvl w:val="0"/>
          <w:numId w:val="143"/>
        </w:numPr>
        <w:tabs>
          <w:tab w:val="left" w:pos="776"/>
        </w:tabs>
        <w:spacing w:before="139" w:line="249" w:lineRule="auto"/>
        <w:rPr>
          <w:sz w:val="20"/>
        </w:rPr>
      </w:pPr>
      <w:r>
        <w:rPr>
          <w:w w:val="95"/>
          <w:sz w:val="20"/>
        </w:rPr>
        <w:t>The</w:t>
      </w:r>
      <w:r>
        <w:rPr>
          <w:spacing w:val="-12"/>
          <w:w w:val="95"/>
          <w:sz w:val="20"/>
        </w:rPr>
        <w:t xml:space="preserve"> </w:t>
      </w:r>
      <w:r>
        <w:rPr>
          <w:w w:val="95"/>
          <w:sz w:val="20"/>
        </w:rPr>
        <w:t>highest</w:t>
      </w:r>
      <w:r>
        <w:rPr>
          <w:spacing w:val="-11"/>
          <w:w w:val="95"/>
          <w:sz w:val="20"/>
        </w:rPr>
        <w:t xml:space="preserve"> </w:t>
      </w:r>
      <w:r>
        <w:rPr>
          <w:w w:val="95"/>
          <w:sz w:val="20"/>
        </w:rPr>
        <w:t>growth</w:t>
      </w:r>
      <w:r>
        <w:rPr>
          <w:spacing w:val="-11"/>
          <w:w w:val="95"/>
          <w:sz w:val="20"/>
        </w:rPr>
        <w:t xml:space="preserve"> </w:t>
      </w:r>
      <w:r>
        <w:rPr>
          <w:w w:val="95"/>
          <w:sz w:val="20"/>
        </w:rPr>
        <w:t>in</w:t>
      </w:r>
      <w:r>
        <w:rPr>
          <w:spacing w:val="-11"/>
          <w:w w:val="95"/>
          <w:sz w:val="20"/>
        </w:rPr>
        <w:t xml:space="preserve"> </w:t>
      </w:r>
      <w:r>
        <w:rPr>
          <w:w w:val="95"/>
          <w:sz w:val="20"/>
        </w:rPr>
        <w:t>the</w:t>
      </w:r>
      <w:r>
        <w:rPr>
          <w:spacing w:val="-11"/>
          <w:w w:val="95"/>
          <w:sz w:val="20"/>
        </w:rPr>
        <w:t xml:space="preserve"> </w:t>
      </w:r>
      <w:r>
        <w:rPr>
          <w:w w:val="95"/>
          <w:sz w:val="20"/>
        </w:rPr>
        <w:t>next</w:t>
      </w:r>
      <w:r>
        <w:rPr>
          <w:spacing w:val="-11"/>
          <w:w w:val="95"/>
          <w:sz w:val="20"/>
        </w:rPr>
        <w:t xml:space="preserve"> </w:t>
      </w:r>
      <w:r>
        <w:rPr>
          <w:w w:val="95"/>
          <w:sz w:val="20"/>
        </w:rPr>
        <w:t>decade,</w:t>
      </w:r>
      <w:r>
        <w:rPr>
          <w:spacing w:val="-11"/>
          <w:w w:val="95"/>
          <w:sz w:val="20"/>
        </w:rPr>
        <w:t xml:space="preserve"> </w:t>
      </w:r>
      <w:r>
        <w:rPr>
          <w:w w:val="95"/>
          <w:sz w:val="20"/>
        </w:rPr>
        <w:t>(2011</w:t>
      </w:r>
      <w:r>
        <w:rPr>
          <w:spacing w:val="-11"/>
          <w:w w:val="95"/>
          <w:sz w:val="20"/>
        </w:rPr>
        <w:t xml:space="preserve"> </w:t>
      </w:r>
      <w:r>
        <w:rPr>
          <w:w w:val="95"/>
          <w:sz w:val="20"/>
        </w:rPr>
        <w:t>–</w:t>
      </w:r>
      <w:r>
        <w:rPr>
          <w:spacing w:val="-12"/>
          <w:w w:val="95"/>
          <w:sz w:val="20"/>
        </w:rPr>
        <w:t xml:space="preserve"> </w:t>
      </w:r>
      <w:r>
        <w:rPr>
          <w:w w:val="95"/>
          <w:sz w:val="20"/>
        </w:rPr>
        <w:t xml:space="preserve">2021) </w:t>
      </w:r>
      <w:r>
        <w:rPr>
          <w:sz w:val="20"/>
        </w:rPr>
        <w:t>is</w:t>
      </w:r>
      <w:r>
        <w:rPr>
          <w:spacing w:val="-10"/>
          <w:sz w:val="20"/>
        </w:rPr>
        <w:t xml:space="preserve"> </w:t>
      </w:r>
      <w:r>
        <w:rPr>
          <w:sz w:val="20"/>
        </w:rPr>
        <w:t>expected</w:t>
      </w:r>
      <w:r>
        <w:rPr>
          <w:spacing w:val="-10"/>
          <w:sz w:val="20"/>
        </w:rPr>
        <w:t xml:space="preserve"> </w:t>
      </w:r>
      <w:r>
        <w:rPr>
          <w:sz w:val="20"/>
        </w:rPr>
        <w:t>in</w:t>
      </w:r>
      <w:r>
        <w:rPr>
          <w:spacing w:val="-10"/>
          <w:sz w:val="20"/>
        </w:rPr>
        <w:t xml:space="preserve"> </w:t>
      </w:r>
      <w:r>
        <w:rPr>
          <w:sz w:val="20"/>
        </w:rPr>
        <w:t>mining,</w:t>
      </w:r>
      <w:r>
        <w:rPr>
          <w:spacing w:val="-10"/>
          <w:sz w:val="20"/>
        </w:rPr>
        <w:t xml:space="preserve"> </w:t>
      </w:r>
      <w:r>
        <w:rPr>
          <w:sz w:val="20"/>
        </w:rPr>
        <w:t>with</w:t>
      </w:r>
      <w:r>
        <w:rPr>
          <w:spacing w:val="-10"/>
          <w:sz w:val="20"/>
        </w:rPr>
        <w:t xml:space="preserve"> </w:t>
      </w:r>
      <w:r>
        <w:rPr>
          <w:sz w:val="20"/>
        </w:rPr>
        <w:t>information</w:t>
      </w:r>
      <w:r>
        <w:rPr>
          <w:spacing w:val="-10"/>
          <w:sz w:val="20"/>
        </w:rPr>
        <w:t xml:space="preserve"> </w:t>
      </w:r>
      <w:r>
        <w:rPr>
          <w:sz w:val="20"/>
        </w:rPr>
        <w:t>media</w:t>
      </w:r>
      <w:r>
        <w:rPr>
          <w:spacing w:val="-10"/>
          <w:sz w:val="20"/>
        </w:rPr>
        <w:t xml:space="preserve"> </w:t>
      </w:r>
      <w:r>
        <w:rPr>
          <w:sz w:val="20"/>
        </w:rPr>
        <w:t xml:space="preserve">and </w:t>
      </w:r>
      <w:r>
        <w:rPr>
          <w:w w:val="95"/>
          <w:sz w:val="20"/>
        </w:rPr>
        <w:t xml:space="preserve">telecommunications sector experiencing the second </w:t>
      </w:r>
      <w:r>
        <w:rPr>
          <w:sz w:val="20"/>
        </w:rPr>
        <w:t>highest levels of growth.</w:t>
      </w:r>
    </w:p>
    <w:p w:rsidR="002C1123" w:rsidRDefault="00F22F94">
      <w:pPr>
        <w:pStyle w:val="ListParagraph"/>
        <w:numPr>
          <w:ilvl w:val="0"/>
          <w:numId w:val="143"/>
        </w:numPr>
        <w:tabs>
          <w:tab w:val="left" w:pos="776"/>
        </w:tabs>
        <w:spacing w:before="132" w:line="249" w:lineRule="auto"/>
        <w:ind w:right="157"/>
        <w:rPr>
          <w:sz w:val="20"/>
        </w:rPr>
      </w:pPr>
      <w:r>
        <w:rPr>
          <w:w w:val="95"/>
          <w:sz w:val="20"/>
        </w:rPr>
        <w:t>The</w:t>
      </w:r>
      <w:r>
        <w:rPr>
          <w:spacing w:val="-8"/>
          <w:w w:val="95"/>
          <w:sz w:val="20"/>
        </w:rPr>
        <w:t xml:space="preserve"> </w:t>
      </w:r>
      <w:r>
        <w:rPr>
          <w:w w:val="95"/>
          <w:sz w:val="20"/>
        </w:rPr>
        <w:t>finance</w:t>
      </w:r>
      <w:r>
        <w:rPr>
          <w:spacing w:val="-8"/>
          <w:w w:val="95"/>
          <w:sz w:val="20"/>
        </w:rPr>
        <w:t xml:space="preserve"> </w:t>
      </w:r>
      <w:r>
        <w:rPr>
          <w:w w:val="95"/>
          <w:sz w:val="20"/>
        </w:rPr>
        <w:t>sector</w:t>
      </w:r>
      <w:r>
        <w:rPr>
          <w:spacing w:val="-8"/>
          <w:w w:val="95"/>
          <w:sz w:val="20"/>
        </w:rPr>
        <w:t xml:space="preserve"> </w:t>
      </w:r>
      <w:r>
        <w:rPr>
          <w:w w:val="95"/>
          <w:sz w:val="20"/>
        </w:rPr>
        <w:t>retains</w:t>
      </w:r>
      <w:r>
        <w:rPr>
          <w:spacing w:val="-8"/>
          <w:w w:val="95"/>
          <w:sz w:val="20"/>
        </w:rPr>
        <w:t xml:space="preserve"> </w:t>
      </w:r>
      <w:r>
        <w:rPr>
          <w:w w:val="95"/>
          <w:sz w:val="20"/>
        </w:rPr>
        <w:t>its</w:t>
      </w:r>
      <w:r>
        <w:rPr>
          <w:spacing w:val="-8"/>
          <w:w w:val="95"/>
          <w:sz w:val="20"/>
        </w:rPr>
        <w:t xml:space="preserve"> </w:t>
      </w:r>
      <w:r>
        <w:rPr>
          <w:w w:val="95"/>
          <w:sz w:val="20"/>
        </w:rPr>
        <w:t>share</w:t>
      </w:r>
      <w:r>
        <w:rPr>
          <w:spacing w:val="-8"/>
          <w:w w:val="95"/>
          <w:sz w:val="20"/>
        </w:rPr>
        <w:t xml:space="preserve"> </w:t>
      </w:r>
      <w:r>
        <w:rPr>
          <w:w w:val="95"/>
          <w:sz w:val="20"/>
        </w:rPr>
        <w:t>of</w:t>
      </w:r>
      <w:r>
        <w:rPr>
          <w:spacing w:val="-8"/>
          <w:w w:val="95"/>
          <w:sz w:val="20"/>
        </w:rPr>
        <w:t xml:space="preserve"> </w:t>
      </w:r>
      <w:r>
        <w:rPr>
          <w:w w:val="95"/>
          <w:sz w:val="20"/>
        </w:rPr>
        <w:t>the</w:t>
      </w:r>
      <w:r>
        <w:rPr>
          <w:spacing w:val="-8"/>
          <w:w w:val="95"/>
          <w:sz w:val="20"/>
        </w:rPr>
        <w:t xml:space="preserve"> </w:t>
      </w:r>
      <w:r>
        <w:rPr>
          <w:w w:val="95"/>
          <w:sz w:val="20"/>
        </w:rPr>
        <w:t>economy but does not grow as fast in the next two decades.</w:t>
      </w:r>
    </w:p>
    <w:p w:rsidR="002C1123" w:rsidRDefault="00F22F94">
      <w:pPr>
        <w:pStyle w:val="ListParagraph"/>
        <w:numPr>
          <w:ilvl w:val="0"/>
          <w:numId w:val="143"/>
        </w:numPr>
        <w:tabs>
          <w:tab w:val="left" w:pos="776"/>
        </w:tabs>
        <w:spacing w:before="131" w:line="249" w:lineRule="auto"/>
        <w:ind w:right="331"/>
        <w:rPr>
          <w:sz w:val="20"/>
        </w:rPr>
      </w:pPr>
      <w:r>
        <w:rPr>
          <w:sz w:val="20"/>
        </w:rPr>
        <w:t>The</w:t>
      </w:r>
      <w:r>
        <w:rPr>
          <w:spacing w:val="-9"/>
          <w:sz w:val="20"/>
        </w:rPr>
        <w:t xml:space="preserve"> </w:t>
      </w:r>
      <w:r>
        <w:rPr>
          <w:sz w:val="20"/>
        </w:rPr>
        <w:t>healthcare</w:t>
      </w:r>
      <w:r>
        <w:rPr>
          <w:spacing w:val="-9"/>
          <w:sz w:val="20"/>
        </w:rPr>
        <w:t xml:space="preserve"> </w:t>
      </w:r>
      <w:r>
        <w:rPr>
          <w:sz w:val="20"/>
        </w:rPr>
        <w:t>and</w:t>
      </w:r>
      <w:r>
        <w:rPr>
          <w:spacing w:val="-9"/>
          <w:sz w:val="20"/>
        </w:rPr>
        <w:t xml:space="preserve"> </w:t>
      </w:r>
      <w:r>
        <w:rPr>
          <w:sz w:val="20"/>
        </w:rPr>
        <w:t>social</w:t>
      </w:r>
      <w:r>
        <w:rPr>
          <w:spacing w:val="-9"/>
          <w:sz w:val="20"/>
        </w:rPr>
        <w:t xml:space="preserve"> </w:t>
      </w:r>
      <w:r>
        <w:rPr>
          <w:sz w:val="20"/>
        </w:rPr>
        <w:t>services</w:t>
      </w:r>
      <w:r>
        <w:rPr>
          <w:spacing w:val="-9"/>
          <w:sz w:val="20"/>
        </w:rPr>
        <w:t xml:space="preserve"> </w:t>
      </w:r>
      <w:r>
        <w:rPr>
          <w:sz w:val="20"/>
        </w:rPr>
        <w:t>sector</w:t>
      </w:r>
      <w:r>
        <w:rPr>
          <w:spacing w:val="-9"/>
          <w:sz w:val="20"/>
        </w:rPr>
        <w:t xml:space="preserve"> </w:t>
      </w:r>
      <w:r>
        <w:rPr>
          <w:sz w:val="20"/>
        </w:rPr>
        <w:t xml:space="preserve">and </w:t>
      </w:r>
      <w:r>
        <w:rPr>
          <w:w w:val="95"/>
          <w:sz w:val="20"/>
        </w:rPr>
        <w:t>the</w:t>
      </w:r>
      <w:r>
        <w:rPr>
          <w:spacing w:val="-6"/>
          <w:w w:val="95"/>
          <w:sz w:val="20"/>
        </w:rPr>
        <w:t xml:space="preserve"> </w:t>
      </w:r>
      <w:r>
        <w:rPr>
          <w:w w:val="95"/>
          <w:sz w:val="20"/>
        </w:rPr>
        <w:t>professional,</w:t>
      </w:r>
      <w:r>
        <w:rPr>
          <w:spacing w:val="-6"/>
          <w:w w:val="95"/>
          <w:sz w:val="20"/>
        </w:rPr>
        <w:t xml:space="preserve"> </w:t>
      </w:r>
      <w:r>
        <w:rPr>
          <w:w w:val="95"/>
          <w:sz w:val="20"/>
        </w:rPr>
        <w:t>scientific</w:t>
      </w:r>
      <w:r>
        <w:rPr>
          <w:spacing w:val="-6"/>
          <w:w w:val="95"/>
          <w:sz w:val="20"/>
        </w:rPr>
        <w:t xml:space="preserve"> </w:t>
      </w:r>
      <w:r>
        <w:rPr>
          <w:w w:val="95"/>
          <w:sz w:val="20"/>
        </w:rPr>
        <w:t>and</w:t>
      </w:r>
      <w:r>
        <w:rPr>
          <w:spacing w:val="-6"/>
          <w:w w:val="95"/>
          <w:sz w:val="20"/>
        </w:rPr>
        <w:t xml:space="preserve"> </w:t>
      </w:r>
      <w:r>
        <w:rPr>
          <w:w w:val="95"/>
          <w:sz w:val="20"/>
        </w:rPr>
        <w:t>technical</w:t>
      </w:r>
      <w:r>
        <w:rPr>
          <w:spacing w:val="-6"/>
          <w:w w:val="95"/>
          <w:sz w:val="20"/>
        </w:rPr>
        <w:t xml:space="preserve"> </w:t>
      </w:r>
      <w:r>
        <w:rPr>
          <w:w w:val="95"/>
          <w:sz w:val="20"/>
        </w:rPr>
        <w:t>sector</w:t>
      </w:r>
      <w:r>
        <w:rPr>
          <w:spacing w:val="-6"/>
          <w:w w:val="95"/>
          <w:sz w:val="20"/>
        </w:rPr>
        <w:t xml:space="preserve"> </w:t>
      </w:r>
      <w:r>
        <w:rPr>
          <w:w w:val="95"/>
          <w:sz w:val="20"/>
        </w:rPr>
        <w:t>is expected</w:t>
      </w:r>
      <w:r>
        <w:rPr>
          <w:spacing w:val="-1"/>
          <w:w w:val="95"/>
          <w:sz w:val="20"/>
        </w:rPr>
        <w:t xml:space="preserve"> </w:t>
      </w:r>
      <w:r>
        <w:rPr>
          <w:w w:val="95"/>
          <w:sz w:val="20"/>
        </w:rPr>
        <w:t>to</w:t>
      </w:r>
      <w:r>
        <w:rPr>
          <w:spacing w:val="-1"/>
          <w:w w:val="95"/>
          <w:sz w:val="20"/>
        </w:rPr>
        <w:t xml:space="preserve"> </w:t>
      </w:r>
      <w:r>
        <w:rPr>
          <w:w w:val="95"/>
          <w:sz w:val="20"/>
        </w:rPr>
        <w:t>grow</w:t>
      </w:r>
      <w:r>
        <w:rPr>
          <w:spacing w:val="-1"/>
          <w:w w:val="95"/>
          <w:sz w:val="20"/>
        </w:rPr>
        <w:t xml:space="preserve"> </w:t>
      </w:r>
      <w:r>
        <w:rPr>
          <w:w w:val="95"/>
          <w:sz w:val="20"/>
        </w:rPr>
        <w:t>by</w:t>
      </w:r>
      <w:r>
        <w:rPr>
          <w:spacing w:val="-1"/>
          <w:w w:val="95"/>
          <w:sz w:val="20"/>
        </w:rPr>
        <w:t xml:space="preserve"> </w:t>
      </w:r>
      <w:r>
        <w:rPr>
          <w:w w:val="95"/>
          <w:sz w:val="20"/>
        </w:rPr>
        <w:t>3.5</w:t>
      </w:r>
      <w:r>
        <w:rPr>
          <w:spacing w:val="-1"/>
          <w:w w:val="95"/>
          <w:sz w:val="20"/>
        </w:rPr>
        <w:t xml:space="preserve"> </w:t>
      </w:r>
      <w:r>
        <w:rPr>
          <w:w w:val="95"/>
          <w:sz w:val="20"/>
        </w:rPr>
        <w:t>percent</w:t>
      </w:r>
      <w:r>
        <w:rPr>
          <w:spacing w:val="-1"/>
          <w:w w:val="95"/>
          <w:sz w:val="20"/>
        </w:rPr>
        <w:t xml:space="preserve"> </w:t>
      </w:r>
      <w:r>
        <w:rPr>
          <w:w w:val="95"/>
          <w:sz w:val="20"/>
        </w:rPr>
        <w:t>and</w:t>
      </w:r>
      <w:r>
        <w:rPr>
          <w:spacing w:val="-1"/>
          <w:w w:val="95"/>
          <w:sz w:val="20"/>
        </w:rPr>
        <w:t xml:space="preserve"> </w:t>
      </w:r>
      <w:r>
        <w:rPr>
          <w:w w:val="95"/>
          <w:sz w:val="20"/>
        </w:rPr>
        <w:t>3.1</w:t>
      </w:r>
      <w:r>
        <w:rPr>
          <w:spacing w:val="-1"/>
          <w:w w:val="95"/>
          <w:sz w:val="20"/>
        </w:rPr>
        <w:t xml:space="preserve"> </w:t>
      </w:r>
      <w:r>
        <w:rPr>
          <w:w w:val="95"/>
          <w:sz w:val="20"/>
        </w:rPr>
        <w:t xml:space="preserve">percent </w:t>
      </w:r>
      <w:r>
        <w:rPr>
          <w:sz w:val="20"/>
        </w:rPr>
        <w:t>respectively.</w:t>
      </w:r>
      <w:r>
        <w:rPr>
          <w:spacing w:val="-12"/>
          <w:sz w:val="20"/>
        </w:rPr>
        <w:t xml:space="preserve"> </w:t>
      </w:r>
      <w:r>
        <w:rPr>
          <w:sz w:val="20"/>
        </w:rPr>
        <w:t>These</w:t>
      </w:r>
      <w:r>
        <w:rPr>
          <w:spacing w:val="-12"/>
          <w:sz w:val="20"/>
        </w:rPr>
        <w:t xml:space="preserve"> </w:t>
      </w:r>
      <w:r>
        <w:rPr>
          <w:sz w:val="20"/>
        </w:rPr>
        <w:t>sectors</w:t>
      </w:r>
      <w:r>
        <w:rPr>
          <w:spacing w:val="-12"/>
          <w:sz w:val="20"/>
        </w:rPr>
        <w:t xml:space="preserve"> </w:t>
      </w:r>
      <w:r>
        <w:rPr>
          <w:sz w:val="20"/>
        </w:rPr>
        <w:t>are</w:t>
      </w:r>
      <w:r>
        <w:rPr>
          <w:spacing w:val="-12"/>
          <w:sz w:val="20"/>
        </w:rPr>
        <w:t xml:space="preserve"> </w:t>
      </w:r>
      <w:r>
        <w:rPr>
          <w:sz w:val="20"/>
        </w:rPr>
        <w:t>growing</w:t>
      </w:r>
      <w:r>
        <w:rPr>
          <w:spacing w:val="-12"/>
          <w:sz w:val="20"/>
        </w:rPr>
        <w:t xml:space="preserve"> </w:t>
      </w:r>
      <w:r>
        <w:rPr>
          <w:sz w:val="20"/>
        </w:rPr>
        <w:t>due</w:t>
      </w:r>
      <w:r>
        <w:rPr>
          <w:spacing w:val="-12"/>
          <w:sz w:val="20"/>
        </w:rPr>
        <w:t xml:space="preserve"> </w:t>
      </w:r>
      <w:r>
        <w:rPr>
          <w:sz w:val="20"/>
        </w:rPr>
        <w:t>to</w:t>
      </w:r>
    </w:p>
    <w:p w:rsidR="002C1123" w:rsidRDefault="00F22F94">
      <w:pPr>
        <w:pStyle w:val="BodyText"/>
        <w:spacing w:line="249" w:lineRule="auto"/>
        <w:ind w:left="775"/>
      </w:pPr>
      <w:r>
        <w:rPr>
          <w:w w:val="95"/>
        </w:rPr>
        <w:t>international</w:t>
      </w:r>
      <w:r>
        <w:rPr>
          <w:spacing w:val="-6"/>
          <w:w w:val="95"/>
        </w:rPr>
        <w:t xml:space="preserve"> </w:t>
      </w:r>
      <w:r>
        <w:rPr>
          <w:w w:val="95"/>
        </w:rPr>
        <w:t>demand</w:t>
      </w:r>
      <w:r>
        <w:rPr>
          <w:spacing w:val="-6"/>
          <w:w w:val="95"/>
        </w:rPr>
        <w:t xml:space="preserve"> </w:t>
      </w:r>
      <w:r>
        <w:rPr>
          <w:w w:val="95"/>
        </w:rPr>
        <w:t>in</w:t>
      </w:r>
      <w:r>
        <w:rPr>
          <w:spacing w:val="-6"/>
          <w:w w:val="95"/>
        </w:rPr>
        <w:t xml:space="preserve"> </w:t>
      </w:r>
      <w:r>
        <w:rPr>
          <w:w w:val="95"/>
        </w:rPr>
        <w:t>emerging</w:t>
      </w:r>
      <w:r>
        <w:rPr>
          <w:spacing w:val="-6"/>
          <w:w w:val="95"/>
        </w:rPr>
        <w:t xml:space="preserve"> </w:t>
      </w:r>
      <w:r>
        <w:rPr>
          <w:w w:val="95"/>
        </w:rPr>
        <w:t>economies</w:t>
      </w:r>
      <w:r>
        <w:rPr>
          <w:spacing w:val="-6"/>
          <w:w w:val="95"/>
        </w:rPr>
        <w:t xml:space="preserve"> </w:t>
      </w:r>
      <w:r>
        <w:rPr>
          <w:w w:val="95"/>
        </w:rPr>
        <w:t>as</w:t>
      </w:r>
      <w:r>
        <w:rPr>
          <w:spacing w:val="-6"/>
          <w:w w:val="95"/>
        </w:rPr>
        <w:t xml:space="preserve"> </w:t>
      </w:r>
      <w:r>
        <w:rPr>
          <w:w w:val="95"/>
        </w:rPr>
        <w:t xml:space="preserve">well </w:t>
      </w:r>
      <w:r>
        <w:t>as</w:t>
      </w:r>
      <w:r>
        <w:rPr>
          <w:spacing w:val="-10"/>
        </w:rPr>
        <w:t xml:space="preserve"> </w:t>
      </w:r>
      <w:r>
        <w:t>growth</w:t>
      </w:r>
      <w:r>
        <w:rPr>
          <w:spacing w:val="-10"/>
        </w:rPr>
        <w:t xml:space="preserve"> </w:t>
      </w:r>
      <w:r>
        <w:t>in</w:t>
      </w:r>
      <w:r>
        <w:rPr>
          <w:spacing w:val="-10"/>
        </w:rPr>
        <w:t xml:space="preserve"> </w:t>
      </w:r>
      <w:r>
        <w:t>the</w:t>
      </w:r>
      <w:r>
        <w:rPr>
          <w:spacing w:val="-10"/>
        </w:rPr>
        <w:t xml:space="preserve"> </w:t>
      </w:r>
      <w:r>
        <w:t>digital</w:t>
      </w:r>
      <w:r>
        <w:rPr>
          <w:spacing w:val="-10"/>
        </w:rPr>
        <w:t xml:space="preserve"> </w:t>
      </w:r>
      <w:r>
        <w:t>economy</w:t>
      </w:r>
      <w:r>
        <w:rPr>
          <w:spacing w:val="-10"/>
        </w:rPr>
        <w:t xml:space="preserve"> </w:t>
      </w:r>
      <w:r>
        <w:t>in</w:t>
      </w:r>
      <w:r>
        <w:rPr>
          <w:spacing w:val="-10"/>
        </w:rPr>
        <w:t xml:space="preserve"> </w:t>
      </w:r>
      <w:r>
        <w:t>Australia.</w:t>
      </w:r>
    </w:p>
    <w:p w:rsidR="002C1123" w:rsidRDefault="00F22F94">
      <w:pPr>
        <w:spacing w:before="135"/>
        <w:ind w:left="274"/>
        <w:rPr>
          <w:b/>
          <w:sz w:val="18"/>
        </w:rPr>
      </w:pPr>
      <w:r>
        <w:br w:type="column"/>
      </w:r>
      <w:r>
        <w:rPr>
          <w:b/>
          <w:sz w:val="18"/>
        </w:rPr>
        <w:t>Figure</w:t>
      </w:r>
      <w:r>
        <w:rPr>
          <w:b/>
          <w:spacing w:val="-2"/>
          <w:sz w:val="18"/>
        </w:rPr>
        <w:t xml:space="preserve"> </w:t>
      </w:r>
      <w:r>
        <w:rPr>
          <w:b/>
          <w:sz w:val="18"/>
        </w:rPr>
        <w:t>2.3</w:t>
      </w:r>
      <w:r>
        <w:rPr>
          <w:b/>
          <w:spacing w:val="48"/>
          <w:sz w:val="18"/>
        </w:rPr>
        <w:t xml:space="preserve"> </w:t>
      </w:r>
      <w:r>
        <w:rPr>
          <w:b/>
          <w:sz w:val="18"/>
        </w:rPr>
        <w:t>NSW</w:t>
      </w:r>
      <w:r>
        <w:rPr>
          <w:b/>
          <w:spacing w:val="-2"/>
          <w:sz w:val="18"/>
        </w:rPr>
        <w:t xml:space="preserve"> </w:t>
      </w:r>
      <w:r>
        <w:rPr>
          <w:b/>
          <w:sz w:val="18"/>
        </w:rPr>
        <w:t>economic</w:t>
      </w:r>
      <w:r>
        <w:rPr>
          <w:b/>
          <w:spacing w:val="-1"/>
          <w:sz w:val="18"/>
        </w:rPr>
        <w:t xml:space="preserve"> </w:t>
      </w:r>
      <w:r>
        <w:rPr>
          <w:b/>
          <w:sz w:val="18"/>
        </w:rPr>
        <w:t>structure</w:t>
      </w:r>
      <w:r>
        <w:rPr>
          <w:b/>
          <w:spacing w:val="-1"/>
          <w:sz w:val="18"/>
        </w:rPr>
        <w:t xml:space="preserve"> </w:t>
      </w:r>
      <w:r>
        <w:rPr>
          <w:b/>
          <w:sz w:val="18"/>
        </w:rPr>
        <w:t>and</w:t>
      </w:r>
      <w:r>
        <w:rPr>
          <w:b/>
          <w:spacing w:val="-2"/>
          <w:sz w:val="18"/>
        </w:rPr>
        <w:t xml:space="preserve"> </w:t>
      </w:r>
      <w:r>
        <w:rPr>
          <w:b/>
          <w:sz w:val="18"/>
        </w:rPr>
        <w:t>growth</w:t>
      </w:r>
      <w:r>
        <w:rPr>
          <w:b/>
          <w:spacing w:val="-1"/>
          <w:sz w:val="18"/>
        </w:rPr>
        <w:t xml:space="preserve"> </w:t>
      </w:r>
      <w:r>
        <w:rPr>
          <w:b/>
          <w:sz w:val="18"/>
        </w:rPr>
        <w:t>2001-</w:t>
      </w:r>
      <w:r>
        <w:rPr>
          <w:b/>
          <w:spacing w:val="-4"/>
          <w:sz w:val="18"/>
        </w:rPr>
        <w:t>2031</w:t>
      </w:r>
    </w:p>
    <w:p w:rsidR="002C1123" w:rsidRDefault="00F22F94">
      <w:pPr>
        <w:spacing w:before="28"/>
        <w:ind w:left="274"/>
        <w:rPr>
          <w:sz w:val="18"/>
        </w:rPr>
      </w:pPr>
      <w:r>
        <w:rPr>
          <w:w w:val="95"/>
          <w:sz w:val="18"/>
        </w:rPr>
        <w:t>Compound</w:t>
      </w:r>
      <w:r>
        <w:rPr>
          <w:spacing w:val="5"/>
          <w:sz w:val="18"/>
        </w:rPr>
        <w:t xml:space="preserve"> </w:t>
      </w:r>
      <w:r>
        <w:rPr>
          <w:w w:val="95"/>
          <w:sz w:val="18"/>
        </w:rPr>
        <w:t>annual</w:t>
      </w:r>
      <w:r>
        <w:rPr>
          <w:spacing w:val="6"/>
          <w:sz w:val="18"/>
        </w:rPr>
        <w:t xml:space="preserve"> </w:t>
      </w:r>
      <w:r>
        <w:rPr>
          <w:w w:val="95"/>
          <w:sz w:val="18"/>
        </w:rPr>
        <w:t>growth</w:t>
      </w:r>
      <w:r>
        <w:rPr>
          <w:spacing w:val="6"/>
          <w:sz w:val="18"/>
        </w:rPr>
        <w:t xml:space="preserve"> </w:t>
      </w:r>
      <w:r>
        <w:rPr>
          <w:w w:val="95"/>
          <w:sz w:val="18"/>
        </w:rPr>
        <w:t>rate</w:t>
      </w:r>
      <w:r>
        <w:rPr>
          <w:spacing w:val="6"/>
          <w:sz w:val="18"/>
        </w:rPr>
        <w:t xml:space="preserve"> </w:t>
      </w:r>
      <w:r>
        <w:rPr>
          <w:w w:val="95"/>
          <w:sz w:val="18"/>
        </w:rPr>
        <w:t>of</w:t>
      </w:r>
      <w:r>
        <w:rPr>
          <w:spacing w:val="6"/>
          <w:sz w:val="18"/>
        </w:rPr>
        <w:t xml:space="preserve"> </w:t>
      </w:r>
      <w:r>
        <w:rPr>
          <w:w w:val="95"/>
          <w:sz w:val="18"/>
        </w:rPr>
        <w:t>gross</w:t>
      </w:r>
      <w:r>
        <w:rPr>
          <w:spacing w:val="5"/>
          <w:sz w:val="18"/>
        </w:rPr>
        <w:t xml:space="preserve"> </w:t>
      </w:r>
      <w:r>
        <w:rPr>
          <w:w w:val="95"/>
          <w:sz w:val="18"/>
        </w:rPr>
        <w:t>value</w:t>
      </w:r>
      <w:r>
        <w:rPr>
          <w:spacing w:val="6"/>
          <w:sz w:val="18"/>
        </w:rPr>
        <w:t xml:space="preserve"> </w:t>
      </w:r>
      <w:r>
        <w:rPr>
          <w:w w:val="95"/>
          <w:sz w:val="18"/>
        </w:rPr>
        <w:t>added</w:t>
      </w:r>
      <w:r>
        <w:rPr>
          <w:spacing w:val="6"/>
          <w:sz w:val="18"/>
        </w:rPr>
        <w:t xml:space="preserve"> </w:t>
      </w:r>
      <w:r>
        <w:rPr>
          <w:w w:val="95"/>
          <w:sz w:val="18"/>
        </w:rPr>
        <w:t>to</w:t>
      </w:r>
      <w:r>
        <w:rPr>
          <w:spacing w:val="6"/>
          <w:sz w:val="18"/>
        </w:rPr>
        <w:t xml:space="preserve"> </w:t>
      </w:r>
      <w:r>
        <w:rPr>
          <w:w w:val="95"/>
          <w:sz w:val="18"/>
        </w:rPr>
        <w:t>Gross</w:t>
      </w:r>
      <w:r>
        <w:rPr>
          <w:spacing w:val="6"/>
          <w:sz w:val="18"/>
        </w:rPr>
        <w:t xml:space="preserve"> </w:t>
      </w:r>
      <w:r>
        <w:rPr>
          <w:w w:val="95"/>
          <w:sz w:val="18"/>
        </w:rPr>
        <w:t>State</w:t>
      </w:r>
      <w:r>
        <w:rPr>
          <w:spacing w:val="6"/>
          <w:sz w:val="18"/>
        </w:rPr>
        <w:t xml:space="preserve"> </w:t>
      </w:r>
      <w:r>
        <w:rPr>
          <w:w w:val="95"/>
          <w:sz w:val="18"/>
        </w:rPr>
        <w:t>Product</w:t>
      </w:r>
      <w:r>
        <w:rPr>
          <w:spacing w:val="5"/>
          <w:sz w:val="18"/>
        </w:rPr>
        <w:t xml:space="preserve"> </w:t>
      </w:r>
      <w:r>
        <w:rPr>
          <w:w w:val="95"/>
          <w:sz w:val="18"/>
        </w:rPr>
        <w:t>(real,</w:t>
      </w:r>
      <w:r>
        <w:rPr>
          <w:spacing w:val="6"/>
          <w:sz w:val="18"/>
        </w:rPr>
        <w:t xml:space="preserve"> </w:t>
      </w:r>
      <w:r>
        <w:rPr>
          <w:spacing w:val="-2"/>
          <w:w w:val="95"/>
          <w:sz w:val="18"/>
        </w:rPr>
        <w:t>2009/10)</w:t>
      </w:r>
    </w:p>
    <w:p w:rsidR="002C1123" w:rsidRDefault="002C1123">
      <w:pPr>
        <w:pStyle w:val="BodyText"/>
        <w:spacing w:before="1"/>
        <w:rPr>
          <w:sz w:val="17"/>
        </w:rPr>
      </w:pPr>
    </w:p>
    <w:p w:rsidR="002C1123" w:rsidRDefault="002060EF">
      <w:pPr>
        <w:spacing w:before="1"/>
        <w:ind w:left="512"/>
        <w:rPr>
          <w:sz w:val="16"/>
        </w:rPr>
      </w:pPr>
      <w:r>
        <w:pict>
          <v:rect id="docshape393" o:spid="_x0000_s4915" style="position:absolute;left:0;text-align:left;margin-left:327pt;margin-top:4.7pt;width:465.3pt;height:.35pt;z-index:251247616;mso-position-horizontal-relative:page" fillcolor="#b2b1b3" stroked="f">
            <w10:wrap anchorx="page"/>
          </v:rect>
        </w:pict>
      </w:r>
      <w:r>
        <w:pict>
          <v:shape id="docshape394" o:spid="_x0000_s4914" type="#_x0000_t202" style="position:absolute;left:0;text-align:left;margin-left:299.15pt;margin-top:13.9pt;width:12.65pt;height:157.75pt;z-index:251251712;mso-position-horizontal-relative:page" filled="f" stroked="f">
            <v:textbox style="layout-flow:vertical;mso-layout-flow-alt:bottom-to-top" inset="0,0,0,0">
              <w:txbxContent>
                <w:p w:rsidR="00F22F94" w:rsidRDefault="00F22F94">
                  <w:pPr>
                    <w:spacing w:before="25"/>
                    <w:ind w:left="20"/>
                    <w:rPr>
                      <w:sz w:val="18"/>
                    </w:rPr>
                  </w:pPr>
                  <w:r>
                    <w:rPr>
                      <w:w w:val="95"/>
                      <w:sz w:val="18"/>
                    </w:rPr>
                    <w:t>Compound</w:t>
                  </w:r>
                  <w:r>
                    <w:rPr>
                      <w:spacing w:val="12"/>
                      <w:sz w:val="18"/>
                    </w:rPr>
                    <w:t xml:space="preserve"> </w:t>
                  </w:r>
                  <w:r>
                    <w:rPr>
                      <w:w w:val="95"/>
                      <w:sz w:val="18"/>
                    </w:rPr>
                    <w:t>annual</w:t>
                  </w:r>
                  <w:r>
                    <w:rPr>
                      <w:spacing w:val="12"/>
                      <w:sz w:val="18"/>
                    </w:rPr>
                    <w:t xml:space="preserve"> </w:t>
                  </w:r>
                  <w:r>
                    <w:rPr>
                      <w:w w:val="95"/>
                      <w:sz w:val="18"/>
                    </w:rPr>
                    <w:t>growth</w:t>
                  </w:r>
                  <w:r>
                    <w:rPr>
                      <w:spacing w:val="12"/>
                      <w:sz w:val="18"/>
                    </w:rPr>
                    <w:t xml:space="preserve"> </w:t>
                  </w:r>
                  <w:r>
                    <w:rPr>
                      <w:w w:val="95"/>
                      <w:sz w:val="18"/>
                    </w:rPr>
                    <w:t>rate,</w:t>
                  </w:r>
                  <w:r>
                    <w:rPr>
                      <w:spacing w:val="12"/>
                      <w:sz w:val="18"/>
                    </w:rPr>
                    <w:t xml:space="preserve"> </w:t>
                  </w:r>
                  <w:r>
                    <w:rPr>
                      <w:w w:val="95"/>
                      <w:sz w:val="18"/>
                    </w:rPr>
                    <w:t>per</w:t>
                  </w:r>
                  <w:r>
                    <w:rPr>
                      <w:spacing w:val="12"/>
                      <w:sz w:val="18"/>
                    </w:rPr>
                    <w:t xml:space="preserve"> </w:t>
                  </w:r>
                  <w:r>
                    <w:rPr>
                      <w:spacing w:val="-4"/>
                      <w:w w:val="95"/>
                      <w:sz w:val="18"/>
                    </w:rPr>
                    <w:t>cent</w:t>
                  </w:r>
                </w:p>
              </w:txbxContent>
            </v:textbox>
            <w10:wrap anchorx="page"/>
          </v:shape>
        </w:pict>
      </w:r>
      <w:r w:rsidR="00F22F94">
        <w:rPr>
          <w:spacing w:val="-5"/>
          <w:w w:val="95"/>
          <w:sz w:val="16"/>
        </w:rPr>
        <w:t>7%</w:t>
      </w:r>
    </w:p>
    <w:p w:rsidR="002C1123" w:rsidRDefault="002C1123">
      <w:pPr>
        <w:pStyle w:val="BodyText"/>
        <w:spacing w:before="4"/>
        <w:rPr>
          <w:sz w:val="18"/>
        </w:rPr>
      </w:pPr>
    </w:p>
    <w:p w:rsidR="002C1123" w:rsidRDefault="00F22F94">
      <w:pPr>
        <w:spacing w:line="122" w:lineRule="exact"/>
        <w:ind w:left="3632" w:right="6885"/>
        <w:jc w:val="center"/>
        <w:rPr>
          <w:sz w:val="12"/>
        </w:rPr>
      </w:pPr>
      <w:r>
        <w:rPr>
          <w:spacing w:val="-4"/>
          <w:w w:val="95"/>
          <w:sz w:val="12"/>
        </w:rPr>
        <w:t>6.0%</w:t>
      </w:r>
    </w:p>
    <w:p w:rsidR="002C1123" w:rsidRDefault="002060EF">
      <w:pPr>
        <w:spacing w:line="168" w:lineRule="exact"/>
        <w:ind w:left="512"/>
        <w:rPr>
          <w:sz w:val="16"/>
        </w:rPr>
      </w:pPr>
      <w:r>
        <w:pict>
          <v:group id="docshapegroup395" o:spid="_x0000_s4837" style="position:absolute;left:0;text-align:left;margin-left:327pt;margin-top:3.85pt;width:465.35pt;height:151.25pt;z-index:251245568;mso-position-horizontal-relative:page" coordorigin="6540,77" coordsize="9307,3025">
            <v:shape id="docshape396" o:spid="_x0000_s4913" style="position:absolute;left:6539;top:2085;width:2207;height:510" coordorigin="6540,2085" coordsize="2207,510" o:spt="100" adj="0,,0" path="m6620,2587r-80,l6540,2595r80,l6620,2587xm6873,2587r-51,l6822,2595r51,l6873,2587xm7125,2587r-50,l7075,2595r50,l7125,2587xm7125,2085r-50,l7075,2092r50,l7125,2085xm7511,2587r-183,l7328,2595r183,l7511,2587xm8746,2085r-1418,l7328,2092r1418,l8746,2085xe" fillcolor="#b2b1b3" stroked="f">
              <v:stroke joinstyle="round"/>
              <v:formulas/>
              <v:path arrowok="t" o:connecttype="segments"/>
            </v:shape>
            <v:rect id="docshape397" o:spid="_x0000_s4912" style="position:absolute;left:7125;top:1887;width:203;height:1206" fillcolor="#9c9c9d" stroked="f"/>
            <v:shape id="docshape398" o:spid="_x0000_s4911" style="position:absolute;left:7794;top:2587;width:659;height:8" coordorigin="7794,2587" coordsize="659,8" o:spt="100" adj="0,,0" path="m8062,2587r-268,l7794,2595r268,l8062,2587xm8452,2587r-188,l8264,2591r,4l8452,2595r,-4l8452,2587xe" fillcolor="#b2b1b3" stroked="f">
              <v:stroke joinstyle="round"/>
              <v:formulas/>
              <v:path arrowok="t" o:connecttype="segments"/>
            </v:shape>
            <v:rect id="docshape399" o:spid="_x0000_s4910" style="position:absolute;left:8061;top:2440;width:203;height:653" fillcolor="#9c9c9d" stroked="f"/>
            <v:shape id="docshape400" o:spid="_x0000_s4909" style="position:absolute;left:6822;top:1582;width:1924;height:510" coordorigin="6822,1583" coordsize="1924,510" o:spt="100" adj="0,,0" path="m6832,1583r-10,l6822,1590r10,l6832,1583xm6873,2085r-51,l6822,2092r51,l6873,2085xm8746,1583r-1631,l7115,1590r1631,l8746,1583xe" fillcolor="#b2b1b3" stroked="f">
              <v:stroke joinstyle="round"/>
              <v:formulas/>
              <v:path arrowok="t" o:connecttype="segments"/>
            </v:shape>
            <v:shape id="docshape401" o:spid="_x0000_s4908" style="position:absolute;left:6872;top:1636;width:1139;height:1457" coordorigin="6873,1637" coordsize="1139,1457" o:spt="100" adj="0,,0" path="m7075,1637r-202,l6873,3093r202,l7075,1637xm8011,2993r-202,l7809,3093r202,l8011,2993xe" fillcolor="#00aeef" stroked="f">
              <v:stroke joinstyle="round"/>
              <v:formulas/>
              <v:path arrowok="t" o:connecttype="segments"/>
            </v:shape>
            <v:shape id="docshape402" o:spid="_x0000_s4907" style="position:absolute;left:8735;top:1582;width:694;height:1012" coordorigin="8736,1583" coordsize="694,1012" o:spt="100" adj="0,,0" path="m8746,2587r-10,l8736,2591r,4l8746,2595r,-4l8746,2587xm8955,1583r-7,l8948,1590r7,l8955,1583xm8998,2587r-50,l8948,2595r50,l8998,2587xm8998,2085r-50,l8948,2092r50,l8998,2085xm9429,2587r-228,l9201,2595r228,l9429,2587xm9429,2085r-228,l9201,2089r,3l9429,2092r,-3l9429,2085xm9429,1583r-190,l9239,1590r190,l9429,1583xe" fillcolor="#b2b1b3" stroked="f">
              <v:stroke joinstyle="round"/>
              <v:formulas/>
              <v:path arrowok="t" o:connecttype="segments"/>
            </v:shape>
            <v:rect id="docshape403" o:spid="_x0000_s4906" style="position:absolute;left:8998;top:1636;width:203;height:1457" fillcolor="#9c9c9d" stroked="f"/>
            <v:rect id="docshape404" o:spid="_x0000_s4905" style="position:absolute;left:8745;top:1536;width:203;height:1557" fillcolor="#00aeef" stroked="f"/>
            <v:shape id="docshape405" o:spid="_x0000_s4904" style="position:absolute;left:6539;top:1080;width:2890;height:1012" coordorigin="6540,1081" coordsize="2890,1012" o:spt="100" adj="0,,0" path="m6620,2085r-80,l6540,2092r80,l6620,2085xm6620,1583r-80,l6540,1590r80,l6620,1583xm6620,1081r-80,l6540,1088r80,l6620,1081xm9429,1081r-2607,l6822,1088r2607,l9429,1081xe" fillcolor="#b2b1b3" stroked="f">
              <v:stroke joinstyle="round"/>
              <v:formulas/>
              <v:path arrowok="t" o:connecttype="segments"/>
            </v:shape>
            <v:shape id="docshape406" o:spid="_x0000_s4903" style="position:absolute;left:6619;top:883;width:2076;height:2210" coordorigin="6620,884" coordsize="2076,2210" o:spt="100" adj="0,,0" path="m6822,884r-202,l6620,3093r202,l6822,884xm7759,2650r-203,l7556,3093r203,l7759,2650xm8695,2606r-202,l8493,3093r202,l8695,2606xe" fillcolor="#2e3092" stroked="f">
              <v:stroke joinstyle="round"/>
              <v:formulas/>
              <v:path arrowok="t" o:connecttype="segments"/>
            </v:shape>
            <v:shape id="docshape407" o:spid="_x0000_s4902" style="position:absolute;left:9631;top:2085;width:735;height:510" coordorigin="9632,2085" coordsize="735,510" o:spt="100" adj="0,,0" path="m9682,2587r-50,l9632,2595r50,l9682,2587xm9935,2587r-51,l9884,2595r51,l9935,2587xm9935,2085r-303,l9632,2089r,3l9935,2092r,-3l9935,2085xm10366,2587r-229,l10137,2595r229,l10366,2587xm10366,2085r-229,l10137,2092r229,l10366,2085xe" fillcolor="#b2b1b3" stroked="f">
              <v:stroke joinstyle="round"/>
              <v:formulas/>
              <v:path arrowok="t" o:connecttype="segments"/>
            </v:shape>
            <v:rect id="docshape408" o:spid="_x0000_s4901" style="position:absolute;left:9934;top:2038;width:203;height:1055" fillcolor="#9c9c9d" stroked="f"/>
            <v:rect id="docshape409" o:spid="_x0000_s4900" style="position:absolute;left:9682;top:2088;width:203;height:1005" fillcolor="#00aeef" stroked="f"/>
            <v:shape id="docshape410" o:spid="_x0000_s4899" style="position:absolute;left:13377;top:2085;width:735;height:510" coordorigin="13378,2085" coordsize="735,510" o:spt="100" adj="0,,0" path="m13428,2587r-50,l13378,2595r50,l13428,2587xm13681,2587r-50,l13631,2595r50,l13681,2587xm13681,2085r-50,l13631,2092r50,l13681,2085xm14071,2085r-188,l13883,2092r188,l14071,2085xm14112,2587r-229,l13883,2595r229,l14112,2587xe" fillcolor="#b2b1b3" stroked="f">
              <v:stroke joinstyle="round"/>
              <v:formulas/>
              <v:path arrowok="t" o:connecttype="segments"/>
            </v:shape>
            <v:rect id="docshape411" o:spid="_x0000_s4898" style="position:absolute;left:13681;top:1737;width:203;height:1356" fillcolor="#9c9c9d" stroked="f"/>
            <v:shape id="docshape412" o:spid="_x0000_s4897" style="position:absolute;left:10568;top:1080;width:4734;height:1012" coordorigin="10568,1081" coordsize="4734,1012" o:spt="100" adj="0,,0" path="m13398,1081r-2830,l10568,1088r2830,l13398,1081xm13428,2085r-50,l13378,2092r50,l13428,2085xm13428,1583r-50,l13378,1587r,3l13428,1590r,-3l13428,1583xm13640,1583r-9,l13631,1587r,3l13640,1590r,-3l13640,1583xm15301,1081r-1620,l13681,1088r1620,l15301,1081xe" fillcolor="#b2b1b3" stroked="f">
              <v:stroke joinstyle="round"/>
              <v:formulas/>
              <v:path arrowok="t" o:connecttype="segments"/>
            </v:shape>
            <v:rect id="docshape413" o:spid="_x0000_s4896" style="position:absolute;left:13428;top:1134;width:203;height:1959" fillcolor="#00aeef" stroked="f"/>
            <v:shape id="docshape414" o:spid="_x0000_s4895" style="position:absolute;left:14314;top:2085;width:735;height:510" coordorigin="14314,2085" coordsize="735,510" o:spt="100" adj="0,,0" path="m14365,2587r-51,l14314,2595r51,l14365,2587xm14618,2587r-51,l14567,2595r51,l14618,2587xm14618,2085r-51,l14567,2092r51,l14618,2085xm15049,2587r-229,l14820,2595r229,l15049,2587xm15049,2085r-229,l14820,2092r229,l15049,2085xe" fillcolor="#b2b1b3" stroked="f">
              <v:stroke joinstyle="round"/>
              <v:formulas/>
              <v:path arrowok="t" o:connecttype="segments"/>
            </v:shape>
            <v:rect id="docshape415" o:spid="_x0000_s4894" style="position:absolute;left:14617;top:1737;width:203;height:1356" fillcolor="#9c9c9d" stroked="f"/>
            <v:shape id="docshape416" o:spid="_x0000_s4893" style="position:absolute;left:13923;top:1582;width:654;height:510" coordorigin="13924,1583" coordsize="654,510" o:spt="100" adj="0,,0" path="m14365,2085r-10,l14355,2092r10,l14365,2085xm14577,1583r-653,l13924,1587r,3l14365,1590r,-3l14567,1587r,3l14577,1590r,-3l14577,1583xe" fillcolor="#b2b1b3" stroked="f">
              <v:stroke joinstyle="round"/>
              <v:formulas/>
              <v:path arrowok="t" o:connecttype="segments"/>
            </v:shape>
            <v:rect id="docshape417" o:spid="_x0000_s4892" style="position:absolute;left:14364;top:1586;width:203;height:1507" fillcolor="#00aeef" stroked="f"/>
            <v:shape id="docshape418" o:spid="_x0000_s4891" style="position:absolute;left:15250;top:2587;width:595;height:8" coordorigin="15251,2587" coordsize="595,8" o:spt="100" adj="0,,0" path="m15301,2587r-50,l15251,2595r50,l15301,2587xm15554,2587r-50,l15504,2595r50,l15554,2587xm15846,2587r-90,l15756,2595r90,l15846,2587xe" fillcolor="#b2b1b3" stroked="f">
              <v:stroke joinstyle="round"/>
              <v:formulas/>
              <v:path arrowok="t" o:connecttype="segments"/>
            </v:shape>
            <v:rect id="docshape419" o:spid="_x0000_s4890" style="position:absolute;left:15554;top:2239;width:203;height:854" fillcolor="#9c9c9d" stroked="f"/>
            <v:shape id="docshape420" o:spid="_x0000_s4889" style="position:absolute;left:9631;top:578;width:6215;height:1514" coordorigin="9632,579" coordsize="6215,1514" o:spt="100" adj="0,,0" path="m15301,2085r-50,l15251,2092r50,l15301,2085xm15301,1583r-10,l15291,1587r,3l15301,1590r,-3l15301,1583xm15301,579r-5669,l9632,586r5669,l15301,579xm15514,2085r-10,l15504,2092r10,l15514,2085xm15846,1583r-342,l15504,1587r,3l15846,1590r,-3l15846,1583xm15846,1081r-342,l15504,1088r342,l15846,1081xm15846,579r-342,l15504,586r342,l15846,579xe" fillcolor="#b2b1b3" stroked="f">
              <v:stroke joinstyle="round"/>
              <v:formulas/>
              <v:path arrowok="t" o:connecttype="segments"/>
            </v:shape>
            <v:rect id="docshape421" o:spid="_x0000_s4888" style="position:absolute;left:15301;top:532;width:203;height:2561" fillcolor="#00aeef" stroked="f"/>
            <v:shape id="docshape422" o:spid="_x0000_s4887" style="position:absolute;left:6539;top:76;width:9307;height:1514" coordorigin="6540,77" coordsize="9307,1514" o:spt="100" adj="0,,0" path="m9429,579r-2889,l6540,586r2889,l9429,579xm10366,1583r-734,l9632,1590r734,l10366,1583xm10366,1081r-734,l9632,1088r734,l10366,1081xm15846,77r-9306,l6540,80r,4l15846,84r,-4l15846,77xe" fillcolor="#b2b1b3" stroked="f">
              <v:stroke joinstyle="round"/>
              <v:formulas/>
              <v:path arrowok="t" o:connecttype="segments"/>
            </v:shape>
            <v:rect id="docshape423" o:spid="_x0000_s4886" style="position:absolute;left:9429;top:80;width:203;height:3013" fillcolor="#2e3092" stroked="f"/>
            <v:shape id="docshape424" o:spid="_x0000_s4885" style="position:absolute;left:10568;top:1582;width:735;height:1012" coordorigin="10568,1583" coordsize="735,1012" o:spt="100" adj="0,,0" path="m10619,2587r-51,l10568,2595r51,l10619,2587xm10831,1583r-10,l10821,1587r,3l10831,1590r,-3l10831,1583xm10871,2587r-50,l10821,2595r50,l10871,2587xm10871,2085r-50,l10821,2092r50,l10871,2085xm11262,1583r-148,l11114,1587r,3l11262,1590r,-3l11262,1583xm11303,2587r-229,l11074,2595r229,l11303,2587xm11303,2085r-229,l11074,2092r229,l11303,2085xe" fillcolor="#b2b1b3" stroked="f">
              <v:stroke joinstyle="round"/>
              <v:formulas/>
              <v:path arrowok="t" o:connecttype="segments"/>
            </v:shape>
            <v:rect id="docshape425" o:spid="_x0000_s4884" style="position:absolute;left:10871;top:1636;width:203;height:1457" fillcolor="#9c9c9d" stroked="f"/>
            <v:shape id="docshape426" o:spid="_x0000_s4883" style="position:absolute;left:10568;top:1582;width:51;height:510" coordorigin="10568,1583" coordsize="51,510" o:spt="100" adj="0,,0" path="m10619,2085r-51,l10568,2092r51,l10619,2085xm10619,1583r-51,l10568,1590r51,l10619,1583xe" fillcolor="#b2b1b3" stroked="f">
              <v:stroke joinstyle="round"/>
              <v:formulas/>
              <v:path arrowok="t" o:connecttype="segments"/>
            </v:shape>
            <v:rect id="docshape427" o:spid="_x0000_s4882" style="position:absolute;left:10618;top:1335;width:203;height:1758" fillcolor="#00aeef" stroked="f"/>
            <v:rect id="docshape428" o:spid="_x0000_s4881" style="position:absolute;left:10365;top:933;width:203;height:2160" fillcolor="#2e3092" stroked="f"/>
            <v:shape id="docshape429" o:spid="_x0000_s4880" style="position:absolute;left:11504;top:2587;width:269;height:8" coordorigin="11505,2587" coordsize="269,8" o:spt="100" adj="0,,0" path="m11555,2587r-50,l11505,2595r50,l11555,2587xm11773,2587r-16,l11757,2595r16,l11773,2587xe" fillcolor="#b2b1b3" stroked="f">
              <v:stroke joinstyle="round"/>
              <v:formulas/>
              <v:path arrowok="t" o:connecttype="segments"/>
            </v:shape>
            <v:rect id="docshape430" o:spid="_x0000_s4879" style="position:absolute;left:11808;top:2641;width:203;height:452" fillcolor="#9c9c9d" stroked="f"/>
            <v:shape id="docshape431" o:spid="_x0000_s4878" style="position:absolute;left:11504;top:2085;width:988;height:8" coordorigin="11505,2085" coordsize="988,8" o:spt="100" adj="0,,0" path="m11555,2085r-50,l11505,2092r50,l11555,2085xm12492,2085r-735,l11757,2092r735,l12492,2085xe" fillcolor="#b2b1b3" stroked="f">
              <v:stroke joinstyle="round"/>
              <v:formulas/>
              <v:path arrowok="t" o:connecttype="segments"/>
            </v:shape>
            <v:rect id="docshape432" o:spid="_x0000_s4877" style="position:absolute;left:11555;top:1938;width:203;height:1155" fillcolor="#00aeef" stroked="f"/>
            <v:shape id="docshape433" o:spid="_x0000_s4876" style="position:absolute;left:12441;top:2085;width:735;height:510" coordorigin="12441,2085" coordsize="735,510" o:spt="100" adj="0,,0" path="m12492,2587r-51,l12441,2595r51,l12492,2587xm12745,2587r-51,l12694,2595r51,l12745,2587xm12745,2085r-51,l12694,2092r51,l12745,2085xm13176,2587r-229,l12947,2595r229,l13176,2587xm13176,2085r-229,l12947,2092r229,l13176,2085xe" fillcolor="#b2b1b3" stroked="f">
              <v:stroke joinstyle="round"/>
              <v:formulas/>
              <v:path arrowok="t" o:connecttype="segments"/>
            </v:shape>
            <v:rect id="docshape434" o:spid="_x0000_s4875" style="position:absolute;left:12744;top:1787;width:203;height:1306" fillcolor="#9c9c9d" stroked="f"/>
            <v:shape id="docshape435" o:spid="_x0000_s4874" style="position:absolute;left:11545;top:1582;width:1631;height:8" coordorigin="11545,1583" coordsize="1631,8" path="m13176,1583r-1631,l11545,1587r,3l13176,1590r,-3l13176,1583xe" fillcolor="#b2b1b3" stroked="f">
              <v:path arrowok="t"/>
            </v:shape>
            <v:rect id="docshape436" o:spid="_x0000_s4873" style="position:absolute;left:12491;top:1586;width:203;height:1507" fillcolor="#00aeef" stroked="f"/>
            <v:rect id="docshape437" o:spid="_x0000_s4872" style="position:absolute;left:11302;top:1737;width:203;height:1356" fillcolor="#2e3092" stroked="f"/>
            <v:rect id="docshape438" o:spid="_x0000_s4871" style="position:absolute;left:12113;top:2587;width:126;height:8" fillcolor="#b2b1b3" stroked="f"/>
            <v:shape id="docshape439" o:spid="_x0000_s4870" style="position:absolute;left:12239;top:1436;width:2076;height:1658" coordorigin="12239,1436" coordsize="2076,1658" o:spt="100" adj="0,,0" path="m12441,2340r-202,l12239,3093r202,l12441,2340xm13378,1436r-202,l13176,3093r202,l13378,1436xm14314,2239r-202,l14112,3093r202,l14314,2239xe" fillcolor="#2e3092" stroked="f">
              <v:stroke joinstyle="round"/>
              <v:formulas/>
              <v:path arrowok="t" o:connecttype="segments"/>
            </v:shape>
            <v:shape id="docshape440" o:spid="_x0000_s4869" style="position:absolute;left:14860;top:1582;width:148;height:8" coordorigin="14860,1583" coordsize="148,8" path="m15008,1583r-148,l14860,1587r,3l15008,1590r,-3l15008,1583xe" fillcolor="#b2b1b3" stroked="f">
              <v:path arrowok="t"/>
            </v:shape>
            <v:rect id="docshape441" o:spid="_x0000_s4868" style="position:absolute;left:15048;top:1636;width:203;height:1457" fillcolor="#2e3092" stroked="f"/>
            <v:rect id="docshape442" o:spid="_x0000_s4867" style="position:absolute;left:6539;top:3085;width:9307;height:16" fillcolor="#b2b1b3" stroked="f"/>
            <v:rect id="docshape443" o:spid="_x0000_s4866" style="position:absolute;left:13387;top:964;width:284;height:171" stroked="f"/>
            <v:shape id="docshape444" o:spid="_x0000_s4865" type="#_x0000_t202" style="position:absolute;left:15287;top:336;width:251;height:136" filled="f" stroked="f">
              <v:textbox inset="0,0,0,0">
                <w:txbxContent>
                  <w:p w:rsidR="00F22F94" w:rsidRDefault="00F22F94">
                    <w:pPr>
                      <w:spacing w:line="136" w:lineRule="exact"/>
                      <w:rPr>
                        <w:sz w:val="12"/>
                      </w:rPr>
                    </w:pPr>
                    <w:r>
                      <w:rPr>
                        <w:spacing w:val="-4"/>
                        <w:w w:val="90"/>
                        <w:sz w:val="12"/>
                      </w:rPr>
                      <w:t>5.1%</w:t>
                    </w:r>
                  </w:p>
                </w:txbxContent>
              </v:textbox>
            </v:shape>
            <v:shape id="docshape445" o:spid="_x0000_s4864" type="#_x0000_t202" style="position:absolute;left:6605;top:701;width:251;height:136" filled="f" stroked="f">
              <v:textbox inset="0,0,0,0">
                <w:txbxContent>
                  <w:p w:rsidR="00F22F94" w:rsidRDefault="00F22F94">
                    <w:pPr>
                      <w:spacing w:line="136" w:lineRule="exact"/>
                      <w:rPr>
                        <w:sz w:val="12"/>
                      </w:rPr>
                    </w:pPr>
                    <w:r>
                      <w:rPr>
                        <w:spacing w:val="-4"/>
                        <w:w w:val="90"/>
                        <w:sz w:val="12"/>
                      </w:rPr>
                      <w:t>4.4%</w:t>
                    </w:r>
                  </w:p>
                </w:txbxContent>
              </v:textbox>
            </v:shape>
            <v:shape id="docshape446" o:spid="_x0000_s4863" type="#_x0000_t202" style="position:absolute;left:10361;top:736;width:251;height:136" filled="f" stroked="f">
              <v:textbox inset="0,0,0,0">
                <w:txbxContent>
                  <w:p w:rsidR="00F22F94" w:rsidRDefault="00F22F94">
                    <w:pPr>
                      <w:spacing w:line="136" w:lineRule="exact"/>
                      <w:rPr>
                        <w:sz w:val="12"/>
                      </w:rPr>
                    </w:pPr>
                    <w:r>
                      <w:rPr>
                        <w:spacing w:val="-4"/>
                        <w:w w:val="90"/>
                        <w:sz w:val="12"/>
                      </w:rPr>
                      <w:t>4.3%</w:t>
                    </w:r>
                  </w:p>
                </w:txbxContent>
              </v:textbox>
            </v:shape>
            <v:shape id="docshape447" o:spid="_x0000_s4862" type="#_x0000_t202" style="position:absolute;left:13414;top:939;width:251;height:136" filled="f" stroked="f">
              <v:textbox inset="0,0,0,0">
                <w:txbxContent>
                  <w:p w:rsidR="00F22F94" w:rsidRDefault="00F22F94">
                    <w:pPr>
                      <w:spacing w:line="136" w:lineRule="exact"/>
                      <w:rPr>
                        <w:sz w:val="12"/>
                      </w:rPr>
                    </w:pPr>
                    <w:r>
                      <w:rPr>
                        <w:spacing w:val="-4"/>
                        <w:w w:val="90"/>
                        <w:sz w:val="12"/>
                      </w:rPr>
                      <w:t>3.9%</w:t>
                    </w:r>
                  </w:p>
                </w:txbxContent>
              </v:textbox>
            </v:shape>
            <v:shape id="docshape448" o:spid="_x0000_s4861" type="#_x0000_t202" style="position:absolute;left:10604;top:1139;width:251;height:136" filled="f" stroked="f">
              <v:textbox inset="0,0,0,0">
                <w:txbxContent>
                  <w:p w:rsidR="00F22F94" w:rsidRDefault="00F22F94">
                    <w:pPr>
                      <w:spacing w:line="136" w:lineRule="exact"/>
                      <w:rPr>
                        <w:sz w:val="12"/>
                      </w:rPr>
                    </w:pPr>
                    <w:r>
                      <w:rPr>
                        <w:spacing w:val="-4"/>
                        <w:w w:val="90"/>
                        <w:sz w:val="12"/>
                      </w:rPr>
                      <w:t>3.5%</w:t>
                    </w:r>
                  </w:p>
                </w:txbxContent>
              </v:textbox>
            </v:shape>
            <v:shape id="docshape449" o:spid="_x0000_s4860" type="#_x0000_t202" style="position:absolute;left:13161;top:1240;width:251;height:136" filled="f" stroked="f">
              <v:textbox inset="0,0,0,0">
                <w:txbxContent>
                  <w:p w:rsidR="00F22F94" w:rsidRDefault="00F22F94">
                    <w:pPr>
                      <w:spacing w:line="136" w:lineRule="exact"/>
                      <w:rPr>
                        <w:sz w:val="12"/>
                      </w:rPr>
                    </w:pPr>
                    <w:r>
                      <w:rPr>
                        <w:spacing w:val="-4"/>
                        <w:w w:val="90"/>
                        <w:sz w:val="12"/>
                      </w:rPr>
                      <w:t>3.3%</w:t>
                    </w:r>
                  </w:p>
                </w:txbxContent>
              </v:textbox>
            </v:shape>
            <v:shape id="docshape450" o:spid="_x0000_s4859" type="#_x0000_t202" style="position:absolute;left:8728;top:1340;width:251;height:136" filled="f" stroked="f">
              <v:textbox inset="0,0,0,0">
                <w:txbxContent>
                  <w:p w:rsidR="00F22F94" w:rsidRDefault="00F22F94">
                    <w:pPr>
                      <w:spacing w:line="136" w:lineRule="exact"/>
                      <w:rPr>
                        <w:sz w:val="12"/>
                      </w:rPr>
                    </w:pPr>
                    <w:r>
                      <w:rPr>
                        <w:spacing w:val="-4"/>
                        <w:w w:val="90"/>
                        <w:sz w:val="12"/>
                      </w:rPr>
                      <w:t>3.1%</w:t>
                    </w:r>
                  </w:p>
                </w:txbxContent>
              </v:textbox>
            </v:shape>
            <v:shape id="docshape451" o:spid="_x0000_s4858" type="#_x0000_t202" style="position:absolute;left:6858;top:1447;width:251;height:136" filled="f" stroked="f">
              <v:textbox inset="0,0,0,0">
                <w:txbxContent>
                  <w:p w:rsidR="00F22F94" w:rsidRDefault="00F22F94">
                    <w:pPr>
                      <w:spacing w:line="136" w:lineRule="exact"/>
                      <w:rPr>
                        <w:sz w:val="12"/>
                      </w:rPr>
                    </w:pPr>
                    <w:r>
                      <w:rPr>
                        <w:spacing w:val="-4"/>
                        <w:w w:val="90"/>
                        <w:sz w:val="12"/>
                      </w:rPr>
                      <w:t>2.9%</w:t>
                    </w:r>
                  </w:p>
                </w:txbxContent>
              </v:textbox>
            </v:shape>
            <v:shape id="docshape452" o:spid="_x0000_s4857" type="#_x0000_t202" style="position:absolute;left:8981;top:1441;width:251;height:136" filled="f" stroked="f">
              <v:textbox inset="0,0,0,0">
                <w:txbxContent>
                  <w:p w:rsidR="00F22F94" w:rsidRDefault="00F22F94">
                    <w:pPr>
                      <w:spacing w:line="136" w:lineRule="exact"/>
                      <w:rPr>
                        <w:sz w:val="12"/>
                      </w:rPr>
                    </w:pPr>
                    <w:r>
                      <w:rPr>
                        <w:spacing w:val="-4"/>
                        <w:w w:val="90"/>
                        <w:sz w:val="12"/>
                      </w:rPr>
                      <w:t>2.9%</w:t>
                    </w:r>
                  </w:p>
                </w:txbxContent>
              </v:textbox>
            </v:shape>
            <v:shape id="docshape453" o:spid="_x0000_s4856" type="#_x0000_t202" style="position:absolute;left:10857;top:1441;width:251;height:136" filled="f" stroked="f">
              <v:textbox inset="0,0,0,0">
                <w:txbxContent>
                  <w:p w:rsidR="00F22F94" w:rsidRDefault="00F22F94">
                    <w:pPr>
                      <w:spacing w:line="136" w:lineRule="exact"/>
                      <w:rPr>
                        <w:sz w:val="12"/>
                      </w:rPr>
                    </w:pPr>
                    <w:r>
                      <w:rPr>
                        <w:spacing w:val="-4"/>
                        <w:w w:val="90"/>
                        <w:sz w:val="12"/>
                      </w:rPr>
                      <w:t>2.9%</w:t>
                    </w:r>
                  </w:p>
                </w:txbxContent>
              </v:textbox>
            </v:shape>
            <v:shape id="docshape454" o:spid="_x0000_s4855" type="#_x0000_t202" style="position:absolute;left:12477;top:1390;width:251;height:136" filled="f" stroked="f">
              <v:textbox inset="0,0,0,0">
                <w:txbxContent>
                  <w:p w:rsidR="00F22F94" w:rsidRDefault="00F22F94">
                    <w:pPr>
                      <w:spacing w:line="136" w:lineRule="exact"/>
                      <w:rPr>
                        <w:sz w:val="12"/>
                      </w:rPr>
                    </w:pPr>
                    <w:r>
                      <w:rPr>
                        <w:spacing w:val="-4"/>
                        <w:w w:val="90"/>
                        <w:sz w:val="12"/>
                      </w:rPr>
                      <w:t>3.0%</w:t>
                    </w:r>
                  </w:p>
                </w:txbxContent>
              </v:textbox>
            </v:shape>
            <v:shape id="docshape455" o:spid="_x0000_s4854" type="#_x0000_t202" style="position:absolute;left:14350;top:1379;width:251;height:136" filled="f" stroked="f">
              <v:textbox inset="0,0,0,0">
                <w:txbxContent>
                  <w:p w:rsidR="00F22F94" w:rsidRDefault="00F22F94">
                    <w:pPr>
                      <w:spacing w:line="136" w:lineRule="exact"/>
                      <w:rPr>
                        <w:sz w:val="12"/>
                      </w:rPr>
                    </w:pPr>
                    <w:r>
                      <w:rPr>
                        <w:spacing w:val="-4"/>
                        <w:w w:val="90"/>
                        <w:sz w:val="12"/>
                      </w:rPr>
                      <w:t>3.0%</w:t>
                    </w:r>
                  </w:p>
                </w:txbxContent>
              </v:textbox>
            </v:shape>
            <v:shape id="docshape456" o:spid="_x0000_s4853" type="#_x0000_t202" style="position:absolute;left:15034;top:1441;width:251;height:136" filled="f" stroked="f">
              <v:textbox inset="0,0,0,0">
                <w:txbxContent>
                  <w:p w:rsidR="00F22F94" w:rsidRDefault="00F22F94">
                    <w:pPr>
                      <w:spacing w:line="136" w:lineRule="exact"/>
                      <w:rPr>
                        <w:sz w:val="12"/>
                      </w:rPr>
                    </w:pPr>
                    <w:r>
                      <w:rPr>
                        <w:spacing w:val="-4"/>
                        <w:w w:val="90"/>
                        <w:sz w:val="12"/>
                      </w:rPr>
                      <w:t>2.9%</w:t>
                    </w:r>
                  </w:p>
                </w:txbxContent>
              </v:textbox>
            </v:shape>
            <v:shape id="docshape457" o:spid="_x0000_s4852" type="#_x0000_t202" style="position:absolute;left:11288;top:1541;width:251;height:136" filled="f" stroked="f">
              <v:textbox inset="0,0,0,0">
                <w:txbxContent>
                  <w:p w:rsidR="00F22F94" w:rsidRDefault="00F22F94">
                    <w:pPr>
                      <w:spacing w:line="136" w:lineRule="exact"/>
                      <w:rPr>
                        <w:sz w:val="12"/>
                      </w:rPr>
                    </w:pPr>
                    <w:r>
                      <w:rPr>
                        <w:spacing w:val="-4"/>
                        <w:w w:val="90"/>
                        <w:sz w:val="12"/>
                      </w:rPr>
                      <w:t>2.7%</w:t>
                    </w:r>
                  </w:p>
                </w:txbxContent>
              </v:textbox>
            </v:shape>
            <v:shape id="docshape458" o:spid="_x0000_s4851" type="#_x0000_t202" style="position:absolute;left:12730;top:1591;width:251;height:136" filled="f" stroked="f">
              <v:textbox inset="0,0,0,0">
                <w:txbxContent>
                  <w:p w:rsidR="00F22F94" w:rsidRDefault="00F22F94">
                    <w:pPr>
                      <w:spacing w:line="136" w:lineRule="exact"/>
                      <w:rPr>
                        <w:sz w:val="12"/>
                      </w:rPr>
                    </w:pPr>
                    <w:r>
                      <w:rPr>
                        <w:spacing w:val="-4"/>
                        <w:w w:val="90"/>
                        <w:sz w:val="12"/>
                      </w:rPr>
                      <w:t>2.6%</w:t>
                    </w:r>
                  </w:p>
                </w:txbxContent>
              </v:textbox>
            </v:shape>
            <v:shape id="docshape459" o:spid="_x0000_s4850" type="#_x0000_t202" style="position:absolute;left:13666;top:1541;width:251;height:136" filled="f" stroked="f">
              <v:textbox inset="0,0,0,0">
                <w:txbxContent>
                  <w:p w:rsidR="00F22F94" w:rsidRDefault="00F22F94">
                    <w:pPr>
                      <w:spacing w:line="136" w:lineRule="exact"/>
                      <w:rPr>
                        <w:sz w:val="12"/>
                      </w:rPr>
                    </w:pPr>
                    <w:r>
                      <w:rPr>
                        <w:spacing w:val="-4"/>
                        <w:w w:val="90"/>
                        <w:sz w:val="12"/>
                      </w:rPr>
                      <w:t>2.7%</w:t>
                    </w:r>
                  </w:p>
                </w:txbxContent>
              </v:textbox>
            </v:shape>
            <v:shape id="docshape460" o:spid="_x0000_s4849" type="#_x0000_t202" style="position:absolute;left:14603;top:1532;width:251;height:136" filled="f" stroked="f">
              <v:textbox inset="0,0,0,0">
                <w:txbxContent>
                  <w:p w:rsidR="00F22F94" w:rsidRDefault="00F22F94">
                    <w:pPr>
                      <w:spacing w:line="136" w:lineRule="exact"/>
                      <w:rPr>
                        <w:sz w:val="12"/>
                      </w:rPr>
                    </w:pPr>
                    <w:r>
                      <w:rPr>
                        <w:spacing w:val="-4"/>
                        <w:w w:val="90"/>
                        <w:sz w:val="12"/>
                      </w:rPr>
                      <w:t>2.7%</w:t>
                    </w:r>
                  </w:p>
                </w:txbxContent>
              </v:textbox>
            </v:shape>
            <v:shape id="docshape461" o:spid="_x0000_s4848" type="#_x0000_t202" style="position:absolute;left:7111;top:1692;width:251;height:136" filled="f" stroked="f">
              <v:textbox inset="0,0,0,0">
                <w:txbxContent>
                  <w:p w:rsidR="00F22F94" w:rsidRDefault="00F22F94">
                    <w:pPr>
                      <w:spacing w:line="136" w:lineRule="exact"/>
                      <w:rPr>
                        <w:sz w:val="12"/>
                      </w:rPr>
                    </w:pPr>
                    <w:r>
                      <w:rPr>
                        <w:spacing w:val="-4"/>
                        <w:w w:val="90"/>
                        <w:sz w:val="12"/>
                      </w:rPr>
                      <w:t>2.4%</w:t>
                    </w:r>
                  </w:p>
                </w:txbxContent>
              </v:textbox>
            </v:shape>
            <v:shape id="docshape462" o:spid="_x0000_s4847" type="#_x0000_t202" style="position:absolute;left:11541;top:1742;width:251;height:136" filled="f" stroked="f">
              <v:textbox inset="0,0,0,0">
                <w:txbxContent>
                  <w:p w:rsidR="00F22F94" w:rsidRDefault="00F22F94">
                    <w:pPr>
                      <w:spacing w:line="136" w:lineRule="exact"/>
                      <w:rPr>
                        <w:sz w:val="12"/>
                      </w:rPr>
                    </w:pPr>
                    <w:r>
                      <w:rPr>
                        <w:spacing w:val="-4"/>
                        <w:w w:val="90"/>
                        <w:sz w:val="12"/>
                      </w:rPr>
                      <w:t>2.3%</w:t>
                    </w:r>
                  </w:p>
                </w:txbxContent>
              </v:textbox>
            </v:shape>
            <v:shape id="docshape463" o:spid="_x0000_s4846" type="#_x0000_t202" style="position:absolute;left:9668;top:1842;width:504;height:182" filled="f" stroked="f">
              <v:textbox inset="0,0,0,0">
                <w:txbxContent>
                  <w:p w:rsidR="00F22F94" w:rsidRDefault="00F22F94">
                    <w:pPr>
                      <w:spacing w:before="2" w:line="223" w:lineRule="auto"/>
                      <w:rPr>
                        <w:sz w:val="12"/>
                      </w:rPr>
                    </w:pPr>
                    <w:r>
                      <w:rPr>
                        <w:w w:val="80"/>
                        <w:position w:val="-4"/>
                        <w:sz w:val="12"/>
                      </w:rPr>
                      <w:t>2.0%</w:t>
                    </w:r>
                    <w:r>
                      <w:rPr>
                        <w:spacing w:val="-2"/>
                        <w:position w:val="-4"/>
                        <w:sz w:val="12"/>
                      </w:rPr>
                      <w:t xml:space="preserve"> </w:t>
                    </w:r>
                    <w:r>
                      <w:rPr>
                        <w:spacing w:val="-4"/>
                        <w:w w:val="90"/>
                        <w:sz w:val="12"/>
                      </w:rPr>
                      <w:t>2.1%</w:t>
                    </w:r>
                  </w:p>
                </w:txbxContent>
              </v:textbox>
            </v:shape>
            <v:shape id="docshape464" o:spid="_x0000_s4845" type="#_x0000_t202" style="position:absolute;left:14097;top:2034;width:251;height:136" filled="f" stroked="f">
              <v:textbox inset="0,0,0,0">
                <w:txbxContent>
                  <w:p w:rsidR="00F22F94" w:rsidRDefault="00F22F94">
                    <w:pPr>
                      <w:spacing w:line="136" w:lineRule="exact"/>
                      <w:rPr>
                        <w:sz w:val="12"/>
                      </w:rPr>
                    </w:pPr>
                    <w:r>
                      <w:rPr>
                        <w:spacing w:val="-4"/>
                        <w:w w:val="90"/>
                        <w:sz w:val="12"/>
                      </w:rPr>
                      <w:t>1.7%</w:t>
                    </w:r>
                  </w:p>
                </w:txbxContent>
              </v:textbox>
            </v:shape>
            <v:shape id="docshape465" o:spid="_x0000_s4844" type="#_x0000_t202" style="position:absolute;left:15539;top:2043;width:251;height:136" filled="f" stroked="f">
              <v:textbox inset="0,0,0,0">
                <w:txbxContent>
                  <w:p w:rsidR="00F22F94" w:rsidRDefault="00F22F94">
                    <w:pPr>
                      <w:spacing w:line="136" w:lineRule="exact"/>
                      <w:rPr>
                        <w:sz w:val="12"/>
                      </w:rPr>
                    </w:pPr>
                    <w:r>
                      <w:rPr>
                        <w:spacing w:val="-4"/>
                        <w:w w:val="90"/>
                        <w:sz w:val="12"/>
                      </w:rPr>
                      <w:t>1.7%</w:t>
                    </w:r>
                  </w:p>
                </w:txbxContent>
              </v:textbox>
            </v:shape>
            <v:shape id="docshape466" o:spid="_x0000_s4843" type="#_x0000_t202" style="position:absolute;left:12224;top:2144;width:251;height:136" filled="f" stroked="f">
              <v:textbox inset="0,0,0,0">
                <w:txbxContent>
                  <w:p w:rsidR="00F22F94" w:rsidRDefault="00F22F94">
                    <w:pPr>
                      <w:spacing w:line="136" w:lineRule="exact"/>
                      <w:rPr>
                        <w:sz w:val="12"/>
                      </w:rPr>
                    </w:pPr>
                    <w:r>
                      <w:rPr>
                        <w:spacing w:val="-4"/>
                        <w:w w:val="90"/>
                        <w:sz w:val="12"/>
                      </w:rPr>
                      <w:t>1.5%</w:t>
                    </w:r>
                  </w:p>
                </w:txbxContent>
              </v:textbox>
            </v:shape>
            <v:shape id="docshape467" o:spid="_x0000_s4842" type="#_x0000_t202" style="position:absolute;left:8047;top:2244;width:251;height:136" filled="f" stroked="f">
              <v:textbox inset="0,0,0,0">
                <w:txbxContent>
                  <w:p w:rsidR="00F22F94" w:rsidRDefault="00F22F94">
                    <w:pPr>
                      <w:spacing w:line="136" w:lineRule="exact"/>
                      <w:rPr>
                        <w:sz w:val="12"/>
                      </w:rPr>
                    </w:pPr>
                    <w:r>
                      <w:rPr>
                        <w:spacing w:val="-4"/>
                        <w:w w:val="90"/>
                        <w:sz w:val="12"/>
                      </w:rPr>
                      <w:t>1.3%</w:t>
                    </w:r>
                  </w:p>
                </w:txbxContent>
              </v:textbox>
            </v:shape>
            <v:shape id="docshape468" o:spid="_x0000_s4841" type="#_x0000_t202" style="position:absolute;left:7537;top:2454;width:251;height:136" filled="f" stroked="f">
              <v:textbox inset="0,0,0,0">
                <w:txbxContent>
                  <w:p w:rsidR="00F22F94" w:rsidRDefault="00F22F94">
                    <w:pPr>
                      <w:spacing w:line="136" w:lineRule="exact"/>
                      <w:rPr>
                        <w:sz w:val="12"/>
                      </w:rPr>
                    </w:pPr>
                    <w:r>
                      <w:rPr>
                        <w:spacing w:val="-4"/>
                        <w:w w:val="90"/>
                        <w:sz w:val="12"/>
                      </w:rPr>
                      <w:t>0.9%</w:t>
                    </w:r>
                  </w:p>
                </w:txbxContent>
              </v:textbox>
            </v:shape>
            <v:shape id="docshape469" o:spid="_x0000_s4840" type="#_x0000_t202" style="position:absolute;left:8478;top:2410;width:251;height:136" filled="f" stroked="f">
              <v:textbox inset="0,0,0,0">
                <w:txbxContent>
                  <w:p w:rsidR="00F22F94" w:rsidRDefault="00F22F94">
                    <w:pPr>
                      <w:spacing w:line="136" w:lineRule="exact"/>
                      <w:rPr>
                        <w:sz w:val="12"/>
                      </w:rPr>
                    </w:pPr>
                    <w:r>
                      <w:rPr>
                        <w:spacing w:val="-4"/>
                        <w:w w:val="90"/>
                        <w:sz w:val="12"/>
                      </w:rPr>
                      <w:t>1.0%</w:t>
                    </w:r>
                  </w:p>
                </w:txbxContent>
              </v:textbox>
            </v:shape>
            <v:shape id="docshape470" o:spid="_x0000_s4839" type="#_x0000_t202" style="position:absolute;left:11827;top:2445;width:251;height:136" filled="f" stroked="f">
              <v:textbox inset="0,0,0,0">
                <w:txbxContent>
                  <w:p w:rsidR="00F22F94" w:rsidRDefault="00F22F94">
                    <w:pPr>
                      <w:spacing w:line="136" w:lineRule="exact"/>
                      <w:rPr>
                        <w:sz w:val="12"/>
                      </w:rPr>
                    </w:pPr>
                    <w:r>
                      <w:rPr>
                        <w:spacing w:val="-4"/>
                        <w:w w:val="90"/>
                        <w:sz w:val="12"/>
                      </w:rPr>
                      <w:t>0.9%</w:t>
                    </w:r>
                  </w:p>
                </w:txbxContent>
              </v:textbox>
            </v:shape>
            <v:shape id="docshape471" o:spid="_x0000_s4838" type="#_x0000_t202" style="position:absolute;left:7794;top:2797;width:251;height:136" filled="f" stroked="f">
              <v:textbox inset="0,0,0,0">
                <w:txbxContent>
                  <w:p w:rsidR="00F22F94" w:rsidRDefault="00F22F94">
                    <w:pPr>
                      <w:spacing w:line="136" w:lineRule="exact"/>
                      <w:rPr>
                        <w:sz w:val="12"/>
                      </w:rPr>
                    </w:pPr>
                    <w:r>
                      <w:rPr>
                        <w:spacing w:val="-4"/>
                        <w:w w:val="90"/>
                        <w:sz w:val="12"/>
                      </w:rPr>
                      <w:t>0.2%</w:t>
                    </w:r>
                  </w:p>
                </w:txbxContent>
              </v:textbox>
            </v:shape>
            <w10:wrap anchorx="page"/>
          </v:group>
        </w:pict>
      </w:r>
      <w:r w:rsidR="00F22F94">
        <w:rPr>
          <w:spacing w:val="-5"/>
          <w:w w:val="95"/>
          <w:sz w:val="16"/>
        </w:rPr>
        <w:t>6%</w:t>
      </w:r>
    </w:p>
    <w:p w:rsidR="002C1123" w:rsidRDefault="002C1123">
      <w:pPr>
        <w:pStyle w:val="BodyText"/>
        <w:rPr>
          <w:sz w:val="18"/>
        </w:rPr>
      </w:pPr>
    </w:p>
    <w:p w:rsidR="002C1123" w:rsidRDefault="00F22F94">
      <w:pPr>
        <w:spacing w:before="112"/>
        <w:ind w:left="512"/>
        <w:rPr>
          <w:sz w:val="16"/>
        </w:rPr>
      </w:pPr>
      <w:r>
        <w:rPr>
          <w:spacing w:val="-5"/>
          <w:w w:val="95"/>
          <w:sz w:val="16"/>
        </w:rPr>
        <w:t>5%</w:t>
      </w:r>
    </w:p>
    <w:p w:rsidR="002C1123" w:rsidRDefault="002C1123">
      <w:pPr>
        <w:pStyle w:val="BodyText"/>
        <w:rPr>
          <w:sz w:val="18"/>
        </w:rPr>
      </w:pPr>
    </w:p>
    <w:p w:rsidR="002C1123" w:rsidRDefault="002060EF">
      <w:pPr>
        <w:spacing w:before="112"/>
        <w:ind w:left="512"/>
        <w:rPr>
          <w:sz w:val="16"/>
        </w:rPr>
      </w:pPr>
      <w:r>
        <w:pict>
          <v:shape id="docshape472" o:spid="_x0000_s4836" type="#_x0000_t202" style="position:absolute;left:0;text-align:left;margin-left:671.2pt;margin-top:3.05pt;width:11.55pt;height:6.8pt;z-index:-251517952;mso-position-horizontal-relative:page" filled="f" stroked="f">
            <v:textbox inset="0,0,0,0">
              <w:txbxContent>
                <w:p w:rsidR="00F22F94" w:rsidRDefault="00F22F94">
                  <w:pPr>
                    <w:spacing w:line="136" w:lineRule="exact"/>
                    <w:rPr>
                      <w:sz w:val="12"/>
                    </w:rPr>
                  </w:pPr>
                  <w:r>
                    <w:rPr>
                      <w:spacing w:val="-4"/>
                      <w:w w:val="80"/>
                      <w:sz w:val="12"/>
                    </w:rPr>
                    <w:t>1.5%</w:t>
                  </w:r>
                </w:p>
              </w:txbxContent>
            </v:textbox>
            <w10:wrap anchorx="page"/>
          </v:shape>
        </w:pict>
      </w:r>
      <w:r w:rsidR="00F22F94">
        <w:rPr>
          <w:spacing w:val="-5"/>
          <w:w w:val="95"/>
          <w:sz w:val="16"/>
        </w:rPr>
        <w:t>4%</w:t>
      </w:r>
    </w:p>
    <w:p w:rsidR="002C1123" w:rsidRDefault="002C1123">
      <w:pPr>
        <w:pStyle w:val="BodyText"/>
        <w:rPr>
          <w:sz w:val="18"/>
        </w:rPr>
      </w:pPr>
    </w:p>
    <w:p w:rsidR="002C1123" w:rsidRDefault="00F22F94">
      <w:pPr>
        <w:spacing w:before="112"/>
        <w:ind w:left="512"/>
        <w:rPr>
          <w:sz w:val="16"/>
        </w:rPr>
      </w:pPr>
      <w:r>
        <w:rPr>
          <w:spacing w:val="-5"/>
          <w:w w:val="95"/>
          <w:sz w:val="16"/>
        </w:rPr>
        <w:t>3%</w:t>
      </w:r>
    </w:p>
    <w:p w:rsidR="002C1123" w:rsidRDefault="002C1123">
      <w:pPr>
        <w:pStyle w:val="BodyText"/>
        <w:rPr>
          <w:sz w:val="18"/>
        </w:rPr>
      </w:pPr>
    </w:p>
    <w:p w:rsidR="002C1123" w:rsidRDefault="002060EF">
      <w:pPr>
        <w:spacing w:before="112"/>
        <w:ind w:left="512"/>
        <w:rPr>
          <w:sz w:val="16"/>
        </w:rPr>
      </w:pPr>
      <w:r>
        <w:pict>
          <v:rect id="docshape473" o:spid="_x0000_s4835" style="position:absolute;left:0;text-align:left;margin-left:789.85pt;margin-top:10.1pt;width:2.45pt;height:.35pt;z-index:251246592;mso-position-horizontal-relative:page" fillcolor="#b2b1b3" stroked="f">
            <w10:wrap anchorx="page"/>
          </v:rect>
        </w:pict>
      </w:r>
      <w:r w:rsidR="00F22F94">
        <w:rPr>
          <w:spacing w:val="-5"/>
          <w:w w:val="95"/>
          <w:sz w:val="16"/>
        </w:rPr>
        <w:t>2%</w:t>
      </w:r>
    </w:p>
    <w:p w:rsidR="002C1123" w:rsidRDefault="002C1123">
      <w:pPr>
        <w:pStyle w:val="BodyText"/>
        <w:rPr>
          <w:sz w:val="18"/>
        </w:rPr>
      </w:pPr>
    </w:p>
    <w:p w:rsidR="002C1123" w:rsidRDefault="00F22F94">
      <w:pPr>
        <w:spacing w:before="111"/>
        <w:ind w:left="512"/>
        <w:rPr>
          <w:sz w:val="16"/>
        </w:rPr>
      </w:pPr>
      <w:r>
        <w:rPr>
          <w:spacing w:val="-5"/>
          <w:w w:val="95"/>
          <w:sz w:val="16"/>
        </w:rPr>
        <w:t>1%</w:t>
      </w:r>
    </w:p>
    <w:p w:rsidR="002C1123" w:rsidRDefault="002C1123">
      <w:pPr>
        <w:pStyle w:val="BodyText"/>
        <w:rPr>
          <w:sz w:val="18"/>
        </w:rPr>
      </w:pPr>
    </w:p>
    <w:p w:rsidR="002C1123" w:rsidRDefault="002060EF">
      <w:pPr>
        <w:spacing w:before="112"/>
        <w:ind w:left="512"/>
        <w:rPr>
          <w:sz w:val="16"/>
        </w:rPr>
      </w:pPr>
      <w:r>
        <w:pict>
          <v:shape id="docshape474" o:spid="_x0000_s4834" type="#_x0000_t202" style="position:absolute;left:0;text-align:left;margin-left:338pt;margin-top:16.3pt;width:20.55pt;height:39.45pt;z-index:251252736;mso-position-horizontal-relative:page" filled="f" stroked="f">
            <v:textbox style="layout-flow:vertical;mso-layout-flow-alt:bottom-to-top" inset="0,0,0,0">
              <w:txbxContent>
                <w:p w:rsidR="00F22F94" w:rsidRDefault="00F22F94">
                  <w:pPr>
                    <w:spacing w:before="18" w:line="247" w:lineRule="auto"/>
                    <w:ind w:left="217" w:right="13" w:hanging="198"/>
                    <w:rPr>
                      <w:sz w:val="16"/>
                    </w:rPr>
                  </w:pPr>
                  <w:r>
                    <w:rPr>
                      <w:spacing w:val="-2"/>
                      <w:w w:val="80"/>
                      <w:sz w:val="16"/>
                    </w:rPr>
                    <w:t>Financial</w:t>
                  </w:r>
                  <w:r>
                    <w:rPr>
                      <w:spacing w:val="-10"/>
                      <w:sz w:val="16"/>
                    </w:rPr>
                    <w:t xml:space="preserve"> </w:t>
                  </w:r>
                  <w:r>
                    <w:rPr>
                      <w:spacing w:val="-2"/>
                      <w:w w:val="80"/>
                      <w:sz w:val="16"/>
                    </w:rPr>
                    <w:t>and</w:t>
                  </w:r>
                  <w:r>
                    <w:rPr>
                      <w:sz w:val="16"/>
                    </w:rPr>
                    <w:t xml:space="preserve"> </w:t>
                  </w:r>
                  <w:r>
                    <w:rPr>
                      <w:spacing w:val="-2"/>
                      <w:w w:val="75"/>
                      <w:sz w:val="16"/>
                    </w:rPr>
                    <w:t>insurance</w:t>
                  </w:r>
                </w:p>
              </w:txbxContent>
            </v:textbox>
            <w10:wrap anchorx="page"/>
          </v:shape>
        </w:pict>
      </w:r>
      <w:r>
        <w:pict>
          <v:shape id="docshape475" o:spid="_x0000_s4833" type="#_x0000_t202" style="position:absolute;left:0;text-align:left;margin-left:389.6pt;margin-top:16.3pt;width:11.05pt;height:42.9pt;z-index:251253760;mso-position-horizontal-relative:page" filled="f" stroked="f">
            <v:textbox style="layout-flow:vertical;mso-layout-flow-alt:bottom-to-top" inset="0,0,0,0">
              <w:txbxContent>
                <w:p w:rsidR="00F22F94" w:rsidRDefault="00F22F94">
                  <w:pPr>
                    <w:spacing w:before="18"/>
                    <w:ind w:left="20"/>
                    <w:rPr>
                      <w:sz w:val="16"/>
                    </w:rPr>
                  </w:pPr>
                  <w:r>
                    <w:rPr>
                      <w:spacing w:val="-2"/>
                      <w:w w:val="80"/>
                      <w:sz w:val="16"/>
                    </w:rPr>
                    <w:t>Manufacturing</w:t>
                  </w:r>
                </w:p>
              </w:txbxContent>
            </v:textbox>
            <w10:wrap anchorx="page"/>
          </v:shape>
        </w:pict>
      </w:r>
      <w:r>
        <w:pict>
          <v:shape id="docshape476" o:spid="_x0000_s4832" type="#_x0000_t202" style="position:absolute;left:0;text-align:left;margin-left:431.65pt;margin-top:16.3pt;width:20.55pt;height:65.05pt;z-index:251254784;mso-position-horizontal-relative:page" filled="f" stroked="f">
            <v:textbox style="layout-flow:vertical;mso-layout-flow-alt:bottom-to-top" inset="0,0,0,0">
              <w:txbxContent>
                <w:p w:rsidR="00F22F94" w:rsidRDefault="00F22F94">
                  <w:pPr>
                    <w:spacing w:before="18" w:line="247" w:lineRule="auto"/>
                    <w:ind w:left="28" w:right="11" w:hanging="9"/>
                    <w:rPr>
                      <w:sz w:val="16"/>
                    </w:rPr>
                  </w:pPr>
                  <w:r>
                    <w:rPr>
                      <w:w w:val="80"/>
                      <w:sz w:val="16"/>
                    </w:rPr>
                    <w:t>Professional,</w:t>
                  </w:r>
                  <w:r>
                    <w:rPr>
                      <w:spacing w:val="-3"/>
                      <w:w w:val="80"/>
                      <w:sz w:val="16"/>
                    </w:rPr>
                    <w:t xml:space="preserve"> </w:t>
                  </w:r>
                  <w:r>
                    <w:rPr>
                      <w:w w:val="80"/>
                      <w:sz w:val="16"/>
                    </w:rPr>
                    <w:t>scientifc</w:t>
                  </w:r>
                  <w:r>
                    <w:rPr>
                      <w:sz w:val="16"/>
                    </w:rPr>
                    <w:t xml:space="preserve"> </w:t>
                  </w:r>
                  <w:r>
                    <w:rPr>
                      <w:w w:val="80"/>
                      <w:sz w:val="16"/>
                    </w:rPr>
                    <w:t>and</w:t>
                  </w:r>
                  <w:r>
                    <w:rPr>
                      <w:spacing w:val="-1"/>
                      <w:w w:val="80"/>
                      <w:sz w:val="16"/>
                    </w:rPr>
                    <w:t xml:space="preserve"> </w:t>
                  </w:r>
                  <w:r>
                    <w:rPr>
                      <w:w w:val="80"/>
                      <w:sz w:val="16"/>
                    </w:rPr>
                    <w:t>technical</w:t>
                  </w:r>
                  <w:r>
                    <w:rPr>
                      <w:spacing w:val="-1"/>
                      <w:w w:val="80"/>
                      <w:sz w:val="16"/>
                    </w:rPr>
                    <w:t xml:space="preserve"> </w:t>
                  </w:r>
                  <w:r>
                    <w:rPr>
                      <w:spacing w:val="-2"/>
                      <w:w w:val="80"/>
                      <w:sz w:val="16"/>
                    </w:rPr>
                    <w:t>services</w:t>
                  </w:r>
                </w:p>
              </w:txbxContent>
            </v:textbox>
            <w10:wrap anchorx="page"/>
          </v:shape>
        </w:pict>
      </w:r>
      <w:r>
        <w:pict>
          <v:shape id="docshape477" o:spid="_x0000_s4831" type="#_x0000_t202" style="position:absolute;left:0;text-align:left;margin-left:483.25pt;margin-top:16.3pt;width:11.05pt;height:37.55pt;z-index:251255808;mso-position-horizontal-relative:page" filled="f" stroked="f">
            <v:textbox style="layout-flow:vertical;mso-layout-flow-alt:bottom-to-top" inset="0,0,0,0">
              <w:txbxContent>
                <w:p w:rsidR="00F22F94" w:rsidRDefault="00F22F94">
                  <w:pPr>
                    <w:spacing w:before="18"/>
                    <w:ind w:left="20"/>
                    <w:rPr>
                      <w:sz w:val="16"/>
                    </w:rPr>
                  </w:pPr>
                  <w:r>
                    <w:rPr>
                      <w:spacing w:val="-2"/>
                      <w:w w:val="80"/>
                      <w:sz w:val="16"/>
                    </w:rPr>
                    <w:t>Construction</w:t>
                  </w:r>
                </w:p>
              </w:txbxContent>
            </v:textbox>
            <w10:wrap anchorx="page"/>
          </v:shape>
        </w:pict>
      </w:r>
      <w:r>
        <w:pict>
          <v:shape id="docshape478" o:spid="_x0000_s4830" type="#_x0000_t202" style="position:absolute;left:0;text-align:left;margin-left:525.3pt;margin-top:16.3pt;width:20.55pt;height:49.85pt;z-index:251256832;mso-position-horizontal-relative:page" filled="f" stroked="f">
            <v:textbox style="layout-flow:vertical;mso-layout-flow-alt:bottom-to-top" inset="0,0,0,0">
              <w:txbxContent>
                <w:p w:rsidR="00F22F94" w:rsidRDefault="00F22F94">
                  <w:pPr>
                    <w:spacing w:before="18" w:line="247" w:lineRule="auto"/>
                    <w:ind w:left="20" w:right="16" w:firstLine="64"/>
                    <w:rPr>
                      <w:sz w:val="16"/>
                    </w:rPr>
                  </w:pPr>
                  <w:r>
                    <w:rPr>
                      <w:spacing w:val="-2"/>
                      <w:w w:val="80"/>
                      <w:sz w:val="16"/>
                    </w:rPr>
                    <w:t>Health</w:t>
                  </w:r>
                  <w:r>
                    <w:rPr>
                      <w:spacing w:val="-10"/>
                      <w:sz w:val="16"/>
                    </w:rPr>
                    <w:t xml:space="preserve"> </w:t>
                  </w:r>
                  <w:r>
                    <w:rPr>
                      <w:spacing w:val="-2"/>
                      <w:w w:val="80"/>
                      <w:sz w:val="16"/>
                    </w:rPr>
                    <w:t>care</w:t>
                  </w:r>
                  <w:r>
                    <w:rPr>
                      <w:spacing w:val="-9"/>
                      <w:sz w:val="16"/>
                    </w:rPr>
                    <w:t xml:space="preserve"> </w:t>
                  </w:r>
                  <w:r>
                    <w:rPr>
                      <w:spacing w:val="-2"/>
                      <w:w w:val="80"/>
                      <w:sz w:val="16"/>
                    </w:rPr>
                    <w:t>and</w:t>
                  </w:r>
                  <w:r>
                    <w:rPr>
                      <w:sz w:val="16"/>
                    </w:rPr>
                    <w:t xml:space="preserve"> </w:t>
                  </w:r>
                  <w:r>
                    <w:rPr>
                      <w:w w:val="75"/>
                      <w:sz w:val="16"/>
                    </w:rPr>
                    <w:t>social</w:t>
                  </w:r>
                  <w:r>
                    <w:rPr>
                      <w:spacing w:val="5"/>
                      <w:sz w:val="16"/>
                    </w:rPr>
                    <w:t xml:space="preserve"> </w:t>
                  </w:r>
                  <w:r>
                    <w:rPr>
                      <w:spacing w:val="-2"/>
                      <w:w w:val="80"/>
                      <w:sz w:val="16"/>
                    </w:rPr>
                    <w:t>assistance</w:t>
                  </w:r>
                </w:p>
              </w:txbxContent>
            </v:textbox>
            <w10:wrap anchorx="page"/>
          </v:shape>
        </w:pict>
      </w:r>
      <w:r>
        <w:pict>
          <v:shape id="docshape479" o:spid="_x0000_s4829" type="#_x0000_t202" style="position:absolute;left:0;text-align:left;margin-left:572.15pt;margin-top:16.3pt;width:20.55pt;height:50.45pt;z-index:251257856;mso-position-horizontal-relative:page" filled="f" stroked="f">
            <v:textbox style="layout-flow:vertical;mso-layout-flow-alt:bottom-to-top" inset="0,0,0,0">
              <w:txbxContent>
                <w:p w:rsidR="00F22F94" w:rsidRDefault="00F22F94">
                  <w:pPr>
                    <w:spacing w:before="18" w:line="247" w:lineRule="auto"/>
                    <w:ind w:left="20" w:firstLine="14"/>
                    <w:rPr>
                      <w:sz w:val="16"/>
                    </w:rPr>
                  </w:pPr>
                  <w:r>
                    <w:rPr>
                      <w:spacing w:val="-2"/>
                      <w:w w:val="80"/>
                      <w:sz w:val="16"/>
                    </w:rPr>
                    <w:t>Transport,</w:t>
                  </w:r>
                  <w:r>
                    <w:rPr>
                      <w:spacing w:val="-10"/>
                      <w:sz w:val="16"/>
                    </w:rPr>
                    <w:t xml:space="preserve"> </w:t>
                  </w:r>
                  <w:r>
                    <w:rPr>
                      <w:spacing w:val="-2"/>
                      <w:w w:val="80"/>
                      <w:sz w:val="16"/>
                    </w:rPr>
                    <w:t>postal</w:t>
                  </w:r>
                  <w:r>
                    <w:rPr>
                      <w:sz w:val="16"/>
                    </w:rPr>
                    <w:t xml:space="preserve"> </w:t>
                  </w:r>
                  <w:r>
                    <w:rPr>
                      <w:w w:val="75"/>
                      <w:sz w:val="16"/>
                    </w:rPr>
                    <w:t>and</w:t>
                  </w:r>
                  <w:r>
                    <w:rPr>
                      <w:spacing w:val="1"/>
                      <w:sz w:val="16"/>
                    </w:rPr>
                    <w:t xml:space="preserve"> </w:t>
                  </w:r>
                  <w:r>
                    <w:rPr>
                      <w:spacing w:val="-2"/>
                      <w:w w:val="80"/>
                      <w:sz w:val="16"/>
                    </w:rPr>
                    <w:t>warehousing</w:t>
                  </w:r>
                </w:p>
              </w:txbxContent>
            </v:textbox>
            <w10:wrap anchorx="page"/>
          </v:shape>
        </w:pict>
      </w:r>
      <w:r>
        <w:pict>
          <v:shape id="docshape480" o:spid="_x0000_s4828" type="#_x0000_t202" style="position:absolute;left:0;text-align:left;margin-left:618.95pt;margin-top:16.3pt;width:20.55pt;height:61.05pt;z-index:251258880;mso-position-horizontal-relative:page" filled="f" stroked="f">
            <v:textbox style="layout-flow:vertical;mso-layout-flow-alt:bottom-to-top" inset="0,0,0,0">
              <w:txbxContent>
                <w:p w:rsidR="00F22F94" w:rsidRDefault="00F22F94">
                  <w:pPr>
                    <w:spacing w:before="18"/>
                    <w:ind w:right="18"/>
                    <w:jc w:val="right"/>
                    <w:rPr>
                      <w:sz w:val="16"/>
                    </w:rPr>
                  </w:pPr>
                  <w:r>
                    <w:rPr>
                      <w:w w:val="75"/>
                      <w:sz w:val="16"/>
                    </w:rPr>
                    <w:t>Public</w:t>
                  </w:r>
                  <w:r>
                    <w:rPr>
                      <w:spacing w:val="6"/>
                      <w:sz w:val="16"/>
                    </w:rPr>
                    <w:t xml:space="preserve"> </w:t>
                  </w:r>
                  <w:r>
                    <w:rPr>
                      <w:spacing w:val="-2"/>
                      <w:w w:val="80"/>
                      <w:sz w:val="16"/>
                    </w:rPr>
                    <w:t>administration</w:t>
                  </w:r>
                </w:p>
                <w:p w:rsidR="00F22F94" w:rsidRDefault="00F22F94">
                  <w:pPr>
                    <w:spacing w:before="6"/>
                    <w:ind w:right="18"/>
                    <w:jc w:val="right"/>
                    <w:rPr>
                      <w:sz w:val="16"/>
                    </w:rPr>
                  </w:pPr>
                  <w:r>
                    <w:rPr>
                      <w:w w:val="75"/>
                      <w:sz w:val="16"/>
                    </w:rPr>
                    <w:t>and</w:t>
                  </w:r>
                  <w:r>
                    <w:rPr>
                      <w:spacing w:val="1"/>
                      <w:sz w:val="16"/>
                    </w:rPr>
                    <w:t xml:space="preserve"> </w:t>
                  </w:r>
                  <w:r>
                    <w:rPr>
                      <w:spacing w:val="-2"/>
                      <w:w w:val="90"/>
                      <w:sz w:val="16"/>
                    </w:rPr>
                    <w:t>safety</w:t>
                  </w:r>
                </w:p>
              </w:txbxContent>
            </v:textbox>
            <w10:wrap anchorx="page"/>
          </v:shape>
        </w:pict>
      </w:r>
      <w:r>
        <w:pict>
          <v:shape id="docshape481" o:spid="_x0000_s4827" type="#_x0000_t202" style="position:absolute;left:0;text-align:left;margin-left:665.8pt;margin-top:16.3pt;width:20.55pt;height:65.55pt;z-index:251259904;mso-position-horizontal-relative:page" filled="f" stroked="f">
            <v:textbox style="layout-flow:vertical;mso-layout-flow-alt:bottom-to-top" inset="0,0,0,0">
              <w:txbxContent>
                <w:p w:rsidR="00F22F94" w:rsidRDefault="00F22F94">
                  <w:pPr>
                    <w:spacing w:before="18" w:line="247" w:lineRule="auto"/>
                    <w:ind w:left="159" w:hanging="140"/>
                    <w:rPr>
                      <w:sz w:val="16"/>
                    </w:rPr>
                  </w:pPr>
                  <w:r>
                    <w:rPr>
                      <w:spacing w:val="-2"/>
                      <w:w w:val="80"/>
                      <w:sz w:val="16"/>
                    </w:rPr>
                    <w:t>Information</w:t>
                  </w:r>
                  <w:r>
                    <w:rPr>
                      <w:spacing w:val="-10"/>
                      <w:sz w:val="16"/>
                    </w:rPr>
                    <w:t xml:space="preserve"> </w:t>
                  </w:r>
                  <w:r>
                    <w:rPr>
                      <w:spacing w:val="-2"/>
                      <w:w w:val="80"/>
                      <w:sz w:val="16"/>
                    </w:rPr>
                    <w:t>media</w:t>
                  </w:r>
                  <w:r>
                    <w:rPr>
                      <w:spacing w:val="-9"/>
                      <w:sz w:val="16"/>
                    </w:rPr>
                    <w:t xml:space="preserve"> </w:t>
                  </w:r>
                  <w:r>
                    <w:rPr>
                      <w:spacing w:val="-2"/>
                      <w:w w:val="80"/>
                      <w:sz w:val="16"/>
                    </w:rPr>
                    <w:t>and</w:t>
                  </w:r>
                  <w:r>
                    <w:rPr>
                      <w:sz w:val="16"/>
                    </w:rPr>
                    <w:t xml:space="preserve"> </w:t>
                  </w:r>
                  <w:r>
                    <w:rPr>
                      <w:spacing w:val="-2"/>
                      <w:w w:val="80"/>
                      <w:sz w:val="16"/>
                    </w:rPr>
                    <w:t>telecommunications</w:t>
                  </w:r>
                </w:p>
              </w:txbxContent>
            </v:textbox>
            <w10:wrap anchorx="page"/>
          </v:shape>
        </w:pict>
      </w:r>
      <w:r>
        <w:pict>
          <v:shape id="docshape482" o:spid="_x0000_s4826" type="#_x0000_t202" style="position:absolute;left:0;text-align:left;margin-left:717.4pt;margin-top:16.3pt;width:11.05pt;height:59pt;z-index:251260928;mso-position-horizontal-relative:page" filled="f" stroked="f">
            <v:textbox style="layout-flow:vertical;mso-layout-flow-alt:bottom-to-top" inset="0,0,0,0">
              <w:txbxContent>
                <w:p w:rsidR="00F22F94" w:rsidRDefault="00F22F94">
                  <w:pPr>
                    <w:spacing w:before="18"/>
                    <w:ind w:left="20"/>
                    <w:rPr>
                      <w:sz w:val="16"/>
                    </w:rPr>
                  </w:pPr>
                  <w:r>
                    <w:rPr>
                      <w:w w:val="75"/>
                      <w:sz w:val="16"/>
                    </w:rPr>
                    <w:t>Education</w:t>
                  </w:r>
                  <w:r>
                    <w:rPr>
                      <w:spacing w:val="2"/>
                      <w:sz w:val="16"/>
                    </w:rPr>
                    <w:t xml:space="preserve"> </w:t>
                  </w:r>
                  <w:r>
                    <w:rPr>
                      <w:w w:val="75"/>
                      <w:sz w:val="16"/>
                    </w:rPr>
                    <w:t>&amp;</w:t>
                  </w:r>
                  <w:r>
                    <w:rPr>
                      <w:spacing w:val="3"/>
                      <w:sz w:val="16"/>
                    </w:rPr>
                    <w:t xml:space="preserve"> </w:t>
                  </w:r>
                  <w:r>
                    <w:rPr>
                      <w:spacing w:val="-2"/>
                      <w:w w:val="75"/>
                      <w:sz w:val="16"/>
                    </w:rPr>
                    <w:t>training</w:t>
                  </w:r>
                </w:p>
              </w:txbxContent>
            </v:textbox>
            <w10:wrap anchorx="page"/>
          </v:shape>
        </w:pict>
      </w:r>
      <w:r>
        <w:pict>
          <v:shape id="docshape483" o:spid="_x0000_s4825" type="#_x0000_t202" style="position:absolute;left:0;text-align:left;margin-left:764.2pt;margin-top:16.3pt;width:11.05pt;height:21.1pt;z-index:251261952;mso-position-horizontal-relative:page" filled="f" stroked="f">
            <v:textbox style="layout-flow:vertical;mso-layout-flow-alt:bottom-to-top" inset="0,0,0,0">
              <w:txbxContent>
                <w:p w:rsidR="00F22F94" w:rsidRDefault="00F22F94">
                  <w:pPr>
                    <w:spacing w:before="18"/>
                    <w:ind w:left="20"/>
                    <w:rPr>
                      <w:sz w:val="16"/>
                    </w:rPr>
                  </w:pPr>
                  <w:r>
                    <w:rPr>
                      <w:spacing w:val="-2"/>
                      <w:w w:val="85"/>
                      <w:sz w:val="16"/>
                    </w:rPr>
                    <w:t>Mining</w:t>
                  </w:r>
                </w:p>
              </w:txbxContent>
            </v:textbox>
            <w10:wrap anchorx="page"/>
          </v:shape>
        </w:pict>
      </w:r>
      <w:r w:rsidR="00F22F94">
        <w:rPr>
          <w:spacing w:val="-5"/>
          <w:w w:val="95"/>
          <w:sz w:val="16"/>
        </w:rPr>
        <w:t>0%</w:t>
      </w: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spacing w:before="4"/>
        <w:rPr>
          <w:sz w:val="21"/>
        </w:rPr>
      </w:pPr>
    </w:p>
    <w:p w:rsidR="002C1123" w:rsidRDefault="00F22F94">
      <w:pPr>
        <w:ind w:left="279"/>
        <w:rPr>
          <w:sz w:val="16"/>
        </w:rPr>
      </w:pPr>
      <w:r>
        <w:rPr>
          <w:w w:val="80"/>
          <w:sz w:val="16"/>
        </w:rPr>
        <w:t>%</w:t>
      </w:r>
      <w:r>
        <w:rPr>
          <w:spacing w:val="-1"/>
          <w:w w:val="80"/>
          <w:sz w:val="16"/>
        </w:rPr>
        <w:t xml:space="preserve"> </w:t>
      </w:r>
      <w:r>
        <w:rPr>
          <w:w w:val="80"/>
          <w:sz w:val="16"/>
        </w:rPr>
        <w:t>of</w:t>
      </w:r>
      <w:r>
        <w:rPr>
          <w:spacing w:val="-9"/>
          <w:sz w:val="16"/>
        </w:rPr>
        <w:t xml:space="preserve"> </w:t>
      </w:r>
      <w:r>
        <w:rPr>
          <w:w w:val="80"/>
          <w:sz w:val="16"/>
        </w:rPr>
        <w:t>GSP</w:t>
      </w:r>
      <w:r>
        <w:rPr>
          <w:spacing w:val="-8"/>
          <w:sz w:val="16"/>
        </w:rPr>
        <w:t xml:space="preserve"> </w:t>
      </w:r>
      <w:r>
        <w:rPr>
          <w:spacing w:val="-5"/>
          <w:w w:val="80"/>
          <w:sz w:val="16"/>
        </w:rPr>
        <w:t>in:</w:t>
      </w:r>
    </w:p>
    <w:p w:rsidR="002C1123" w:rsidRDefault="002C1123">
      <w:pPr>
        <w:rPr>
          <w:sz w:val="16"/>
        </w:rPr>
        <w:sectPr w:rsidR="002C1123">
          <w:type w:val="continuous"/>
          <w:pgSz w:w="16840" w:h="11910" w:orient="landscape"/>
          <w:pgMar w:top="560" w:right="280" w:bottom="280" w:left="500" w:header="0" w:footer="517" w:gutter="0"/>
          <w:cols w:num="2" w:space="720" w:equalWidth="0">
            <w:col w:w="5219" w:space="40"/>
            <w:col w:w="10801"/>
          </w:cols>
        </w:sectPr>
      </w:pPr>
    </w:p>
    <w:p w:rsidR="002C1123" w:rsidRDefault="002060EF">
      <w:pPr>
        <w:tabs>
          <w:tab w:val="left" w:pos="6339"/>
          <w:tab w:val="left" w:pos="7275"/>
          <w:tab w:val="left" w:pos="8250"/>
          <w:tab w:val="left" w:pos="9186"/>
          <w:tab w:val="left" w:pos="10123"/>
          <w:tab w:val="left" w:pos="11059"/>
          <w:tab w:val="left" w:pos="11996"/>
          <w:tab w:val="left" w:pos="12932"/>
          <w:tab w:val="left" w:pos="13869"/>
          <w:tab w:val="left" w:pos="14794"/>
        </w:tabs>
        <w:spacing w:line="153" w:lineRule="exact"/>
        <w:ind w:left="5538"/>
        <w:rPr>
          <w:sz w:val="16"/>
        </w:rPr>
      </w:pPr>
      <w:r>
        <w:pict>
          <v:shape id="docshape484" o:spid="_x0000_s4824" style="position:absolute;left:0;text-align:left;margin-left:301.9pt;margin-top:9.65pt;width:490.4pt;height:.6pt;z-index:-251415552;mso-wrap-distance-left:0;mso-wrap-distance-right:0;mso-position-horizontal-relative:page" coordorigin="6038,193" coordsize="9808,12" path="m15846,193r-9808,l6038,194r,8l6038,204r9808,l15846,202r,-8l15846,193xe" fillcolor="#b2b1b3" stroked="f">
            <v:path arrowok="t"/>
            <w10:wrap type="topAndBottom" anchorx="page"/>
          </v:shape>
        </w:pict>
      </w:r>
      <w:r w:rsidR="00F22F94">
        <w:rPr>
          <w:spacing w:val="-4"/>
          <w:w w:val="95"/>
          <w:sz w:val="16"/>
        </w:rPr>
        <w:t>FY11*</w:t>
      </w:r>
      <w:r w:rsidR="00F22F94">
        <w:rPr>
          <w:sz w:val="16"/>
        </w:rPr>
        <w:tab/>
      </w:r>
      <w:r w:rsidR="00F22F94">
        <w:rPr>
          <w:spacing w:val="-5"/>
          <w:w w:val="95"/>
          <w:sz w:val="16"/>
        </w:rPr>
        <w:t>16%</w:t>
      </w:r>
      <w:r w:rsidR="00F22F94">
        <w:rPr>
          <w:sz w:val="16"/>
        </w:rPr>
        <w:tab/>
      </w:r>
      <w:r w:rsidR="00F22F94">
        <w:rPr>
          <w:spacing w:val="-5"/>
          <w:w w:val="95"/>
          <w:sz w:val="16"/>
        </w:rPr>
        <w:t>10%</w:t>
      </w:r>
      <w:r w:rsidR="00F22F94">
        <w:rPr>
          <w:sz w:val="16"/>
        </w:rPr>
        <w:tab/>
      </w:r>
      <w:r w:rsidR="00F22F94">
        <w:rPr>
          <w:spacing w:val="-5"/>
          <w:w w:val="95"/>
          <w:sz w:val="16"/>
        </w:rPr>
        <w:t>8%</w:t>
      </w:r>
      <w:r w:rsidR="00F22F94">
        <w:rPr>
          <w:sz w:val="16"/>
        </w:rPr>
        <w:tab/>
      </w:r>
      <w:r w:rsidR="00F22F94">
        <w:rPr>
          <w:spacing w:val="-5"/>
          <w:w w:val="95"/>
          <w:sz w:val="16"/>
        </w:rPr>
        <w:t>7%</w:t>
      </w:r>
      <w:r w:rsidR="00F22F94">
        <w:rPr>
          <w:sz w:val="16"/>
        </w:rPr>
        <w:tab/>
      </w:r>
      <w:r w:rsidR="00F22F94">
        <w:rPr>
          <w:spacing w:val="-5"/>
          <w:w w:val="95"/>
          <w:sz w:val="16"/>
        </w:rPr>
        <w:t>7%</w:t>
      </w:r>
      <w:r w:rsidR="00F22F94">
        <w:rPr>
          <w:sz w:val="16"/>
        </w:rPr>
        <w:tab/>
      </w:r>
      <w:r w:rsidR="00F22F94">
        <w:rPr>
          <w:spacing w:val="-5"/>
          <w:w w:val="95"/>
          <w:sz w:val="16"/>
        </w:rPr>
        <w:t>6%</w:t>
      </w:r>
      <w:r w:rsidR="00F22F94">
        <w:rPr>
          <w:sz w:val="16"/>
        </w:rPr>
        <w:tab/>
      </w:r>
      <w:r w:rsidR="00F22F94">
        <w:rPr>
          <w:spacing w:val="-5"/>
          <w:w w:val="95"/>
          <w:sz w:val="16"/>
        </w:rPr>
        <w:t>5%</w:t>
      </w:r>
      <w:r w:rsidR="00F22F94">
        <w:rPr>
          <w:sz w:val="16"/>
        </w:rPr>
        <w:tab/>
      </w:r>
      <w:r w:rsidR="00F22F94">
        <w:rPr>
          <w:spacing w:val="-5"/>
          <w:w w:val="95"/>
          <w:sz w:val="16"/>
        </w:rPr>
        <w:t>5%</w:t>
      </w:r>
      <w:r w:rsidR="00F22F94">
        <w:rPr>
          <w:sz w:val="16"/>
        </w:rPr>
        <w:tab/>
      </w:r>
      <w:r w:rsidR="00F22F94">
        <w:rPr>
          <w:spacing w:val="-5"/>
          <w:w w:val="95"/>
          <w:sz w:val="16"/>
        </w:rPr>
        <w:t>5%</w:t>
      </w:r>
      <w:r w:rsidR="00F22F94">
        <w:rPr>
          <w:sz w:val="16"/>
        </w:rPr>
        <w:tab/>
      </w:r>
      <w:r w:rsidR="00F22F94">
        <w:rPr>
          <w:spacing w:val="-5"/>
          <w:w w:val="95"/>
          <w:sz w:val="16"/>
        </w:rPr>
        <w:t>3%</w:t>
      </w:r>
    </w:p>
    <w:p w:rsidR="002C1123" w:rsidRDefault="00F22F94">
      <w:pPr>
        <w:tabs>
          <w:tab w:val="left" w:pos="6338"/>
          <w:tab w:val="left" w:pos="7313"/>
          <w:tab w:val="left" w:pos="8249"/>
          <w:tab w:val="left" w:pos="9186"/>
          <w:tab w:val="left" w:pos="10122"/>
          <w:tab w:val="left" w:pos="11059"/>
          <w:tab w:val="left" w:pos="11995"/>
          <w:tab w:val="left" w:pos="12932"/>
          <w:tab w:val="left" w:pos="13868"/>
          <w:tab w:val="left" w:pos="14793"/>
        </w:tabs>
        <w:spacing w:before="49" w:after="39"/>
        <w:ind w:left="5537"/>
        <w:rPr>
          <w:sz w:val="16"/>
        </w:rPr>
      </w:pPr>
      <w:r>
        <w:rPr>
          <w:spacing w:val="-4"/>
          <w:w w:val="90"/>
          <w:sz w:val="16"/>
        </w:rPr>
        <w:t>FY20</w:t>
      </w:r>
      <w:r>
        <w:rPr>
          <w:sz w:val="16"/>
        </w:rPr>
        <w:tab/>
      </w:r>
      <w:r>
        <w:rPr>
          <w:spacing w:val="-5"/>
          <w:w w:val="90"/>
          <w:sz w:val="16"/>
        </w:rPr>
        <w:t>16%</w:t>
      </w:r>
      <w:r>
        <w:rPr>
          <w:sz w:val="16"/>
        </w:rPr>
        <w:tab/>
      </w:r>
      <w:r>
        <w:rPr>
          <w:spacing w:val="-5"/>
          <w:w w:val="90"/>
          <w:sz w:val="16"/>
        </w:rPr>
        <w:t>8%</w:t>
      </w:r>
      <w:r>
        <w:rPr>
          <w:sz w:val="16"/>
        </w:rPr>
        <w:tab/>
      </w:r>
      <w:r>
        <w:rPr>
          <w:spacing w:val="-5"/>
          <w:w w:val="90"/>
          <w:sz w:val="16"/>
        </w:rPr>
        <w:t>9%</w:t>
      </w:r>
      <w:r>
        <w:rPr>
          <w:sz w:val="16"/>
        </w:rPr>
        <w:tab/>
      </w:r>
      <w:r>
        <w:rPr>
          <w:spacing w:val="-5"/>
          <w:w w:val="90"/>
          <w:sz w:val="16"/>
        </w:rPr>
        <w:t>7%</w:t>
      </w:r>
      <w:r>
        <w:rPr>
          <w:sz w:val="16"/>
        </w:rPr>
        <w:tab/>
      </w:r>
      <w:r>
        <w:rPr>
          <w:spacing w:val="-5"/>
          <w:w w:val="90"/>
          <w:sz w:val="16"/>
        </w:rPr>
        <w:t>7%</w:t>
      </w:r>
      <w:r>
        <w:rPr>
          <w:sz w:val="16"/>
        </w:rPr>
        <w:tab/>
      </w:r>
      <w:r>
        <w:rPr>
          <w:spacing w:val="-5"/>
          <w:w w:val="90"/>
          <w:sz w:val="16"/>
        </w:rPr>
        <w:t>6%</w:t>
      </w:r>
      <w:r>
        <w:rPr>
          <w:sz w:val="16"/>
        </w:rPr>
        <w:tab/>
      </w:r>
      <w:r>
        <w:rPr>
          <w:spacing w:val="-5"/>
          <w:w w:val="90"/>
          <w:sz w:val="16"/>
        </w:rPr>
        <w:t>6%</w:t>
      </w:r>
      <w:r>
        <w:rPr>
          <w:sz w:val="16"/>
        </w:rPr>
        <w:tab/>
      </w:r>
      <w:r>
        <w:rPr>
          <w:spacing w:val="-5"/>
          <w:w w:val="90"/>
          <w:sz w:val="16"/>
        </w:rPr>
        <w:t>6%</w:t>
      </w:r>
      <w:r>
        <w:rPr>
          <w:sz w:val="16"/>
        </w:rPr>
        <w:tab/>
      </w:r>
      <w:r>
        <w:rPr>
          <w:spacing w:val="-5"/>
          <w:w w:val="90"/>
          <w:sz w:val="16"/>
        </w:rPr>
        <w:t>5%</w:t>
      </w:r>
      <w:r>
        <w:rPr>
          <w:sz w:val="16"/>
        </w:rPr>
        <w:tab/>
      </w:r>
      <w:r>
        <w:rPr>
          <w:spacing w:val="-5"/>
          <w:w w:val="90"/>
          <w:sz w:val="16"/>
        </w:rPr>
        <w:t>4%</w:t>
      </w:r>
    </w:p>
    <w:p w:rsidR="002C1123" w:rsidRDefault="002060EF">
      <w:pPr>
        <w:pStyle w:val="BodyText"/>
        <w:spacing w:line="20" w:lineRule="exact"/>
        <w:ind w:left="5538"/>
        <w:rPr>
          <w:sz w:val="2"/>
        </w:rPr>
      </w:pPr>
      <w:r>
        <w:rPr>
          <w:sz w:val="2"/>
        </w:rPr>
      </w:r>
      <w:r>
        <w:rPr>
          <w:sz w:val="2"/>
        </w:rPr>
        <w:pict>
          <v:group id="docshapegroup485" o:spid="_x0000_s4822" style="width:490.4pt;height:.6pt;mso-position-horizontal-relative:char;mso-position-vertical-relative:line" coordsize="9808,12">
            <v:shape id="docshape486" o:spid="_x0000_s4823" style="position:absolute;width:9808;height:12" coordsize="9808,12" path="m9807,l,,,2r,8l,11r9807,l9807,10r,-8l9807,xe" fillcolor="#b2b1b3" stroked="f">
              <v:path arrowok="t"/>
            </v:shape>
            <w10:anchorlock/>
          </v:group>
        </w:pict>
      </w:r>
    </w:p>
    <w:p w:rsidR="002C1123" w:rsidRDefault="002060EF">
      <w:pPr>
        <w:tabs>
          <w:tab w:val="left" w:pos="6338"/>
          <w:tab w:val="left" w:pos="7312"/>
          <w:tab w:val="left" w:pos="8249"/>
          <w:tab w:val="left" w:pos="9185"/>
          <w:tab w:val="left" w:pos="10122"/>
          <w:tab w:val="left" w:pos="11058"/>
          <w:tab w:val="left" w:pos="11995"/>
          <w:tab w:val="left" w:pos="12931"/>
          <w:tab w:val="left" w:pos="13868"/>
          <w:tab w:val="left" w:pos="14793"/>
        </w:tabs>
        <w:spacing w:before="40"/>
        <w:ind w:left="5537"/>
        <w:rPr>
          <w:sz w:val="16"/>
        </w:rPr>
      </w:pPr>
      <w:r>
        <w:pict>
          <v:shape id="docshape487" o:spid="_x0000_s4821" style="position:absolute;left:0;text-align:left;margin-left:301.9pt;margin-top:13.15pt;width:490.4pt;height:.6pt;z-index:-251414528;mso-wrap-distance-left:0;mso-wrap-distance-right:0;mso-position-horizontal-relative:page" coordorigin="6038,263" coordsize="9808,12" path="m15846,263r-9808,l6038,265r,8l6038,275r9808,l15846,273r,-8l15846,263xe" fillcolor="#b2b1b3" stroked="f">
            <v:path arrowok="t"/>
            <w10:wrap type="topAndBottom" anchorx="page"/>
          </v:shape>
        </w:pict>
      </w:r>
      <w:r w:rsidR="00F22F94">
        <w:rPr>
          <w:spacing w:val="-4"/>
          <w:w w:val="90"/>
          <w:sz w:val="16"/>
        </w:rPr>
        <w:t>FY32</w:t>
      </w:r>
      <w:r w:rsidR="00F22F94">
        <w:rPr>
          <w:sz w:val="16"/>
        </w:rPr>
        <w:tab/>
      </w:r>
      <w:r w:rsidR="00F22F94">
        <w:rPr>
          <w:spacing w:val="-5"/>
          <w:w w:val="90"/>
          <w:sz w:val="16"/>
        </w:rPr>
        <w:t>16%</w:t>
      </w:r>
      <w:r w:rsidR="00F22F94">
        <w:rPr>
          <w:sz w:val="16"/>
        </w:rPr>
        <w:tab/>
      </w:r>
      <w:r w:rsidR="00F22F94">
        <w:rPr>
          <w:spacing w:val="-5"/>
          <w:w w:val="90"/>
          <w:sz w:val="16"/>
        </w:rPr>
        <w:t>7%</w:t>
      </w:r>
      <w:r w:rsidR="00F22F94">
        <w:rPr>
          <w:sz w:val="16"/>
        </w:rPr>
        <w:tab/>
      </w:r>
      <w:r w:rsidR="00F22F94">
        <w:rPr>
          <w:spacing w:val="-5"/>
          <w:w w:val="90"/>
          <w:sz w:val="16"/>
        </w:rPr>
        <w:t>9%</w:t>
      </w:r>
      <w:r w:rsidR="00F22F94">
        <w:rPr>
          <w:sz w:val="16"/>
        </w:rPr>
        <w:tab/>
      </w:r>
      <w:r w:rsidR="00F22F94">
        <w:rPr>
          <w:spacing w:val="-5"/>
          <w:w w:val="90"/>
          <w:sz w:val="16"/>
        </w:rPr>
        <w:t>6%</w:t>
      </w:r>
      <w:r w:rsidR="00F22F94">
        <w:rPr>
          <w:sz w:val="16"/>
        </w:rPr>
        <w:tab/>
      </w:r>
      <w:r w:rsidR="00F22F94">
        <w:rPr>
          <w:spacing w:val="-5"/>
          <w:w w:val="90"/>
          <w:sz w:val="16"/>
        </w:rPr>
        <w:t>7%</w:t>
      </w:r>
      <w:r w:rsidR="00F22F94">
        <w:rPr>
          <w:sz w:val="16"/>
        </w:rPr>
        <w:tab/>
      </w:r>
      <w:r w:rsidR="00F22F94">
        <w:rPr>
          <w:spacing w:val="-5"/>
          <w:w w:val="90"/>
          <w:sz w:val="16"/>
        </w:rPr>
        <w:t>5%</w:t>
      </w:r>
      <w:r w:rsidR="00F22F94">
        <w:rPr>
          <w:sz w:val="16"/>
        </w:rPr>
        <w:tab/>
      </w:r>
      <w:r w:rsidR="00F22F94">
        <w:rPr>
          <w:spacing w:val="-5"/>
          <w:w w:val="90"/>
          <w:sz w:val="16"/>
        </w:rPr>
        <w:t>6%</w:t>
      </w:r>
      <w:r w:rsidR="00F22F94">
        <w:rPr>
          <w:sz w:val="16"/>
        </w:rPr>
        <w:tab/>
      </w:r>
      <w:r w:rsidR="00F22F94">
        <w:rPr>
          <w:spacing w:val="-5"/>
          <w:w w:val="90"/>
          <w:sz w:val="16"/>
        </w:rPr>
        <w:t>6%</w:t>
      </w:r>
      <w:r w:rsidR="00F22F94">
        <w:rPr>
          <w:sz w:val="16"/>
        </w:rPr>
        <w:tab/>
      </w:r>
      <w:r w:rsidR="00F22F94">
        <w:rPr>
          <w:spacing w:val="-5"/>
          <w:w w:val="90"/>
          <w:sz w:val="16"/>
        </w:rPr>
        <w:t>6%</w:t>
      </w:r>
      <w:r w:rsidR="00F22F94">
        <w:rPr>
          <w:sz w:val="16"/>
        </w:rPr>
        <w:tab/>
      </w:r>
      <w:r w:rsidR="00F22F94">
        <w:rPr>
          <w:spacing w:val="-5"/>
          <w:w w:val="90"/>
          <w:sz w:val="16"/>
        </w:rPr>
        <w:t>3%</w:t>
      </w:r>
    </w:p>
    <w:p w:rsidR="002C1123" w:rsidRDefault="002C1123">
      <w:pPr>
        <w:pStyle w:val="BodyText"/>
        <w:spacing w:before="10"/>
        <w:rPr>
          <w:sz w:val="14"/>
        </w:rPr>
      </w:pPr>
    </w:p>
    <w:p w:rsidR="002C1123" w:rsidRDefault="002C1123">
      <w:pPr>
        <w:rPr>
          <w:sz w:val="14"/>
        </w:rPr>
        <w:sectPr w:rsidR="002C1123">
          <w:type w:val="continuous"/>
          <w:pgSz w:w="16840" w:h="11910" w:orient="landscape"/>
          <w:pgMar w:top="560" w:right="280" w:bottom="280" w:left="500" w:header="0" w:footer="517" w:gutter="0"/>
          <w:cols w:space="720"/>
        </w:sectPr>
      </w:pPr>
    </w:p>
    <w:p w:rsidR="002C1123" w:rsidRDefault="002060EF">
      <w:pPr>
        <w:spacing w:before="98"/>
        <w:jc w:val="right"/>
        <w:rPr>
          <w:sz w:val="16"/>
        </w:rPr>
      </w:pPr>
      <w:r>
        <w:pict>
          <v:rect id="docshape488" o:spid="_x0000_s4820" style="position:absolute;left:0;text-align:left;margin-left:301.9pt;margin-top:5.3pt;width:8.5pt;height:8.5pt;z-index:251250688;mso-position-horizontal-relative:page" fillcolor="#2e3092" stroked="f">
            <w10:wrap anchorx="page"/>
          </v:rect>
        </w:pict>
      </w:r>
      <w:r w:rsidR="00F22F94">
        <w:rPr>
          <w:w w:val="85"/>
          <w:sz w:val="16"/>
        </w:rPr>
        <w:t>2001-</w:t>
      </w:r>
      <w:r w:rsidR="00F22F94">
        <w:rPr>
          <w:spacing w:val="-4"/>
          <w:w w:val="95"/>
          <w:sz w:val="16"/>
        </w:rPr>
        <w:t>2011</w:t>
      </w:r>
    </w:p>
    <w:p w:rsidR="002C1123" w:rsidRDefault="00F22F94">
      <w:pPr>
        <w:spacing w:before="98"/>
        <w:ind w:left="476"/>
        <w:rPr>
          <w:sz w:val="16"/>
        </w:rPr>
      </w:pPr>
      <w:r>
        <w:br w:type="column"/>
      </w:r>
      <w:r>
        <w:rPr>
          <w:w w:val="85"/>
          <w:sz w:val="16"/>
        </w:rPr>
        <w:t>2011-</w:t>
      </w:r>
      <w:r>
        <w:rPr>
          <w:spacing w:val="-4"/>
          <w:w w:val="85"/>
          <w:sz w:val="16"/>
        </w:rPr>
        <w:t>2020</w:t>
      </w:r>
    </w:p>
    <w:p w:rsidR="002C1123" w:rsidRDefault="00F22F94">
      <w:pPr>
        <w:spacing w:before="98"/>
        <w:ind w:left="497"/>
        <w:rPr>
          <w:sz w:val="16"/>
        </w:rPr>
      </w:pPr>
      <w:r>
        <w:br w:type="column"/>
      </w:r>
      <w:r>
        <w:rPr>
          <w:w w:val="85"/>
          <w:sz w:val="16"/>
        </w:rPr>
        <w:t>2020-</w:t>
      </w:r>
      <w:r>
        <w:rPr>
          <w:spacing w:val="-4"/>
          <w:w w:val="95"/>
          <w:sz w:val="16"/>
        </w:rPr>
        <w:t>2032</w:t>
      </w:r>
    </w:p>
    <w:p w:rsidR="002C1123" w:rsidRDefault="002C1123">
      <w:pPr>
        <w:rPr>
          <w:sz w:val="16"/>
        </w:rPr>
        <w:sectPr w:rsidR="002C1123">
          <w:type w:val="continuous"/>
          <w:pgSz w:w="16840" w:h="11910" w:orient="landscape"/>
          <w:pgMar w:top="560" w:right="280" w:bottom="280" w:left="500" w:header="0" w:footer="517" w:gutter="0"/>
          <w:cols w:num="3" w:space="720" w:equalWidth="0">
            <w:col w:w="6462" w:space="40"/>
            <w:col w:w="1145" w:space="39"/>
            <w:col w:w="8374"/>
          </w:cols>
        </w:sectPr>
      </w:pPr>
    </w:p>
    <w:p w:rsidR="002C1123" w:rsidRDefault="002060EF">
      <w:pPr>
        <w:spacing w:before="129" w:line="161" w:lineRule="exact"/>
        <w:ind w:left="5547"/>
        <w:rPr>
          <w:sz w:val="14"/>
        </w:rPr>
      </w:pPr>
      <w:r>
        <w:pict>
          <v:rect id="docshape489" o:spid="_x0000_s4819" style="position:absolute;left:0;text-align:left;margin-left:421.35pt;margin-top:-8.8pt;width:8.5pt;height:8.5pt;z-index:251248640;mso-position-horizontal-relative:page" fillcolor="#9c9c9d" stroked="f">
            <w10:wrap anchorx="page"/>
          </v:rect>
        </w:pict>
      </w:r>
      <w:r>
        <w:pict>
          <v:rect id="docshape490" o:spid="_x0000_s4818" style="position:absolute;left:0;text-align:left;margin-left:361.15pt;margin-top:-8.8pt;width:8.5pt;height:8.5pt;z-index:251249664;mso-position-horizontal-relative:page" fillcolor="#00aeef" stroked="f">
            <w10:wrap anchorx="page"/>
          </v:rect>
        </w:pict>
      </w:r>
      <w:r w:rsidR="00F22F94">
        <w:rPr>
          <w:w w:val="95"/>
          <w:sz w:val="14"/>
        </w:rPr>
        <w:t>Source:</w:t>
      </w:r>
      <w:r w:rsidR="00F22F94">
        <w:rPr>
          <w:spacing w:val="10"/>
          <w:sz w:val="14"/>
        </w:rPr>
        <w:t xml:space="preserve"> </w:t>
      </w:r>
      <w:r w:rsidR="00F22F94">
        <w:rPr>
          <w:w w:val="95"/>
          <w:sz w:val="14"/>
        </w:rPr>
        <w:t>Port</w:t>
      </w:r>
      <w:r w:rsidR="00F22F94">
        <w:rPr>
          <w:spacing w:val="10"/>
          <w:sz w:val="14"/>
        </w:rPr>
        <w:t xml:space="preserve"> </w:t>
      </w:r>
      <w:r w:rsidR="00F22F94">
        <w:rPr>
          <w:w w:val="95"/>
          <w:sz w:val="14"/>
        </w:rPr>
        <w:t>Jackson</w:t>
      </w:r>
      <w:r w:rsidR="00F22F94">
        <w:rPr>
          <w:spacing w:val="10"/>
          <w:sz w:val="14"/>
        </w:rPr>
        <w:t xml:space="preserve"> </w:t>
      </w:r>
      <w:r w:rsidR="00F22F94">
        <w:rPr>
          <w:spacing w:val="-2"/>
          <w:w w:val="95"/>
          <w:sz w:val="14"/>
        </w:rPr>
        <w:t>Partners.</w:t>
      </w:r>
    </w:p>
    <w:p w:rsidR="002C1123" w:rsidRDefault="00F22F94">
      <w:pPr>
        <w:spacing w:line="161" w:lineRule="exact"/>
        <w:ind w:left="5547"/>
        <w:rPr>
          <w:sz w:val="14"/>
        </w:rPr>
      </w:pPr>
      <w:r>
        <w:rPr>
          <w:w w:val="95"/>
          <w:sz w:val="14"/>
        </w:rPr>
        <w:t>*</w:t>
      </w:r>
      <w:r>
        <w:rPr>
          <w:spacing w:val="2"/>
          <w:sz w:val="14"/>
        </w:rPr>
        <w:t xml:space="preserve"> </w:t>
      </w:r>
      <w:r>
        <w:rPr>
          <w:w w:val="95"/>
          <w:sz w:val="14"/>
        </w:rPr>
        <w:t>Per</w:t>
      </w:r>
      <w:r>
        <w:rPr>
          <w:spacing w:val="3"/>
          <w:sz w:val="14"/>
        </w:rPr>
        <w:t xml:space="preserve"> </w:t>
      </w:r>
      <w:r>
        <w:rPr>
          <w:w w:val="95"/>
          <w:sz w:val="14"/>
        </w:rPr>
        <w:t>cent</w:t>
      </w:r>
      <w:r>
        <w:rPr>
          <w:spacing w:val="3"/>
          <w:sz w:val="14"/>
        </w:rPr>
        <w:t xml:space="preserve"> </w:t>
      </w:r>
      <w:r>
        <w:rPr>
          <w:w w:val="95"/>
          <w:sz w:val="14"/>
        </w:rPr>
        <w:t>of</w:t>
      </w:r>
      <w:r>
        <w:rPr>
          <w:spacing w:val="3"/>
          <w:sz w:val="14"/>
        </w:rPr>
        <w:t xml:space="preserve"> </w:t>
      </w:r>
      <w:r>
        <w:rPr>
          <w:w w:val="95"/>
          <w:sz w:val="14"/>
        </w:rPr>
        <w:t>FY11</w:t>
      </w:r>
      <w:r>
        <w:rPr>
          <w:spacing w:val="3"/>
          <w:sz w:val="14"/>
        </w:rPr>
        <w:t xml:space="preserve"> </w:t>
      </w:r>
      <w:r>
        <w:rPr>
          <w:w w:val="95"/>
          <w:sz w:val="14"/>
        </w:rPr>
        <w:t>GSP</w:t>
      </w:r>
      <w:r>
        <w:rPr>
          <w:spacing w:val="2"/>
          <w:sz w:val="14"/>
        </w:rPr>
        <w:t xml:space="preserve"> </w:t>
      </w:r>
      <w:r>
        <w:rPr>
          <w:w w:val="95"/>
          <w:sz w:val="14"/>
        </w:rPr>
        <w:t>excluding</w:t>
      </w:r>
      <w:r>
        <w:rPr>
          <w:spacing w:val="3"/>
          <w:sz w:val="14"/>
        </w:rPr>
        <w:t xml:space="preserve"> </w:t>
      </w:r>
      <w:r>
        <w:rPr>
          <w:w w:val="95"/>
          <w:sz w:val="14"/>
        </w:rPr>
        <w:t>value</w:t>
      </w:r>
      <w:r>
        <w:rPr>
          <w:spacing w:val="3"/>
          <w:sz w:val="14"/>
        </w:rPr>
        <w:t xml:space="preserve"> </w:t>
      </w:r>
      <w:r>
        <w:rPr>
          <w:w w:val="95"/>
          <w:sz w:val="14"/>
        </w:rPr>
        <w:t>added</w:t>
      </w:r>
      <w:r>
        <w:rPr>
          <w:spacing w:val="3"/>
          <w:sz w:val="14"/>
        </w:rPr>
        <w:t xml:space="preserve"> </w:t>
      </w:r>
      <w:r>
        <w:rPr>
          <w:w w:val="95"/>
          <w:sz w:val="14"/>
        </w:rPr>
        <w:t>by</w:t>
      </w:r>
      <w:r>
        <w:rPr>
          <w:spacing w:val="3"/>
          <w:sz w:val="14"/>
        </w:rPr>
        <w:t xml:space="preserve"> </w:t>
      </w:r>
      <w:r>
        <w:rPr>
          <w:w w:val="95"/>
          <w:sz w:val="14"/>
        </w:rPr>
        <w:t>ownership</w:t>
      </w:r>
      <w:r>
        <w:rPr>
          <w:spacing w:val="3"/>
          <w:sz w:val="14"/>
        </w:rPr>
        <w:t xml:space="preserve"> </w:t>
      </w:r>
      <w:r>
        <w:rPr>
          <w:w w:val="95"/>
          <w:sz w:val="14"/>
        </w:rPr>
        <w:t>of</w:t>
      </w:r>
      <w:r>
        <w:rPr>
          <w:spacing w:val="2"/>
          <w:sz w:val="14"/>
        </w:rPr>
        <w:t xml:space="preserve"> </w:t>
      </w:r>
      <w:r>
        <w:rPr>
          <w:w w:val="95"/>
          <w:sz w:val="14"/>
        </w:rPr>
        <w:t>dwellings,</w:t>
      </w:r>
      <w:r>
        <w:rPr>
          <w:spacing w:val="3"/>
          <w:sz w:val="14"/>
        </w:rPr>
        <w:t xml:space="preserve"> </w:t>
      </w:r>
      <w:r>
        <w:rPr>
          <w:w w:val="95"/>
          <w:sz w:val="14"/>
        </w:rPr>
        <w:t>taxes</w:t>
      </w:r>
      <w:r>
        <w:rPr>
          <w:spacing w:val="3"/>
          <w:sz w:val="14"/>
        </w:rPr>
        <w:t xml:space="preserve"> </w:t>
      </w:r>
      <w:r>
        <w:rPr>
          <w:w w:val="95"/>
          <w:sz w:val="14"/>
        </w:rPr>
        <w:t>less</w:t>
      </w:r>
      <w:r>
        <w:rPr>
          <w:spacing w:val="3"/>
          <w:sz w:val="14"/>
        </w:rPr>
        <w:t xml:space="preserve"> </w:t>
      </w:r>
      <w:r>
        <w:rPr>
          <w:w w:val="95"/>
          <w:sz w:val="14"/>
        </w:rPr>
        <w:t>subsidies</w:t>
      </w:r>
      <w:r>
        <w:rPr>
          <w:spacing w:val="3"/>
          <w:sz w:val="14"/>
        </w:rPr>
        <w:t xml:space="preserve"> </w:t>
      </w:r>
      <w:r>
        <w:rPr>
          <w:w w:val="95"/>
          <w:sz w:val="14"/>
        </w:rPr>
        <w:t>and</w:t>
      </w:r>
      <w:r>
        <w:rPr>
          <w:spacing w:val="3"/>
          <w:sz w:val="14"/>
        </w:rPr>
        <w:t xml:space="preserve"> </w:t>
      </w:r>
      <w:r>
        <w:rPr>
          <w:w w:val="95"/>
          <w:sz w:val="14"/>
        </w:rPr>
        <w:t>statistical</w:t>
      </w:r>
      <w:r>
        <w:rPr>
          <w:spacing w:val="2"/>
          <w:sz w:val="14"/>
        </w:rPr>
        <w:t xml:space="preserve"> </w:t>
      </w:r>
      <w:r>
        <w:rPr>
          <w:spacing w:val="-2"/>
          <w:w w:val="95"/>
          <w:sz w:val="14"/>
        </w:rPr>
        <w:t>discrepancies.</w:t>
      </w:r>
    </w:p>
    <w:p w:rsidR="002C1123" w:rsidRDefault="002C1123">
      <w:pPr>
        <w:spacing w:line="161" w:lineRule="exact"/>
        <w:rPr>
          <w:sz w:val="14"/>
        </w:rPr>
        <w:sectPr w:rsidR="002C1123">
          <w:type w:val="continuous"/>
          <w:pgSz w:w="16840" w:h="11910" w:orient="landscape"/>
          <w:pgMar w:top="560" w:right="280" w:bottom="280" w:left="500" w:header="0" w:footer="517"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7"/>
        </w:rPr>
      </w:pPr>
    </w:p>
    <w:p w:rsidR="002C1123" w:rsidRDefault="002C1123">
      <w:pPr>
        <w:rPr>
          <w:sz w:val="17"/>
        </w:rPr>
        <w:sectPr w:rsidR="002C1123">
          <w:pgSz w:w="16840" w:h="11910" w:orient="landscape"/>
          <w:pgMar w:top="560" w:right="280" w:bottom="700" w:left="500" w:header="0" w:footer="517" w:gutter="0"/>
          <w:cols w:space="720"/>
        </w:sectPr>
      </w:pPr>
    </w:p>
    <w:p w:rsidR="002C1123" w:rsidRDefault="00F22F94">
      <w:pPr>
        <w:pStyle w:val="BodyText"/>
        <w:spacing w:before="129" w:line="249" w:lineRule="auto"/>
        <w:ind w:left="492"/>
      </w:pPr>
      <w:bookmarkStart w:id="74" w:name="2.4_The_state_of_NSW’s_infrastructure_"/>
      <w:bookmarkStart w:id="75" w:name="_bookmark53"/>
      <w:bookmarkStart w:id="76" w:name="_bookmark52"/>
      <w:bookmarkEnd w:id="74"/>
      <w:bookmarkEnd w:id="75"/>
      <w:bookmarkEnd w:id="76"/>
      <w:r>
        <w:rPr>
          <w:w w:val="95"/>
        </w:rPr>
        <w:t xml:space="preserve">These growth industries depend on NSW attracting and retaining people with high skills in knowledge intensive </w:t>
      </w:r>
      <w:r>
        <w:t>industries.</w:t>
      </w:r>
      <w:r>
        <w:rPr>
          <w:spacing w:val="-14"/>
        </w:rPr>
        <w:t xml:space="preserve"> </w:t>
      </w:r>
      <w:r>
        <w:t>Also</w:t>
      </w:r>
      <w:r>
        <w:rPr>
          <w:spacing w:val="-14"/>
        </w:rPr>
        <w:t xml:space="preserve"> </w:t>
      </w:r>
      <w:r>
        <w:t>these</w:t>
      </w:r>
      <w:r>
        <w:rPr>
          <w:spacing w:val="-14"/>
        </w:rPr>
        <w:t xml:space="preserve"> </w:t>
      </w:r>
      <w:r>
        <w:t>businesses</w:t>
      </w:r>
      <w:r>
        <w:rPr>
          <w:spacing w:val="-14"/>
        </w:rPr>
        <w:t xml:space="preserve"> </w:t>
      </w:r>
      <w:r>
        <w:t>tend</w:t>
      </w:r>
      <w:r>
        <w:rPr>
          <w:spacing w:val="-14"/>
        </w:rPr>
        <w:t xml:space="preserve"> </w:t>
      </w:r>
      <w:r>
        <w:t>to</w:t>
      </w:r>
      <w:r>
        <w:rPr>
          <w:spacing w:val="-14"/>
        </w:rPr>
        <w:t xml:space="preserve"> </w:t>
      </w:r>
      <w:r>
        <w:t>thrive</w:t>
      </w:r>
      <w:r>
        <w:rPr>
          <w:spacing w:val="-14"/>
        </w:rPr>
        <w:t xml:space="preserve"> </w:t>
      </w:r>
      <w:r>
        <w:t xml:space="preserve">where </w:t>
      </w:r>
      <w:r>
        <w:rPr>
          <w:w w:val="95"/>
        </w:rPr>
        <w:t xml:space="preserve">there is strong connection enabling interaction between </w:t>
      </w:r>
      <w:r>
        <w:t>many</w:t>
      </w:r>
      <w:r>
        <w:rPr>
          <w:spacing w:val="-14"/>
        </w:rPr>
        <w:t xml:space="preserve"> </w:t>
      </w:r>
      <w:r>
        <w:t>people</w:t>
      </w:r>
      <w:r>
        <w:rPr>
          <w:spacing w:val="-14"/>
        </w:rPr>
        <w:t xml:space="preserve"> </w:t>
      </w:r>
      <w:r>
        <w:t>and</w:t>
      </w:r>
      <w:r>
        <w:rPr>
          <w:spacing w:val="-14"/>
        </w:rPr>
        <w:t xml:space="preserve"> </w:t>
      </w:r>
      <w:r>
        <w:t>businesses.</w:t>
      </w:r>
      <w:r>
        <w:rPr>
          <w:spacing w:val="-14"/>
        </w:rPr>
        <w:t xml:space="preserve"> </w:t>
      </w:r>
      <w:r>
        <w:t>NSW’s</w:t>
      </w:r>
      <w:r>
        <w:rPr>
          <w:spacing w:val="-14"/>
        </w:rPr>
        <w:t xml:space="preserve"> </w:t>
      </w:r>
      <w:r>
        <w:t>strengths</w:t>
      </w:r>
      <w:r>
        <w:rPr>
          <w:spacing w:val="-14"/>
        </w:rPr>
        <w:t xml:space="preserve"> </w:t>
      </w:r>
      <w:r>
        <w:t>are</w:t>
      </w:r>
      <w:r>
        <w:rPr>
          <w:spacing w:val="-14"/>
        </w:rPr>
        <w:t xml:space="preserve"> </w:t>
      </w:r>
      <w:r>
        <w:t>in industries</w:t>
      </w:r>
      <w:r>
        <w:rPr>
          <w:spacing w:val="-12"/>
        </w:rPr>
        <w:t xml:space="preserve"> </w:t>
      </w:r>
      <w:r>
        <w:t>where</w:t>
      </w:r>
      <w:r>
        <w:rPr>
          <w:spacing w:val="-12"/>
        </w:rPr>
        <w:t xml:space="preserve"> </w:t>
      </w:r>
      <w:r>
        <w:t>there</w:t>
      </w:r>
      <w:r>
        <w:rPr>
          <w:spacing w:val="-12"/>
        </w:rPr>
        <w:t xml:space="preserve"> </w:t>
      </w:r>
      <w:r>
        <w:t>will</w:t>
      </w:r>
      <w:r>
        <w:rPr>
          <w:spacing w:val="-12"/>
        </w:rPr>
        <w:t xml:space="preserve"> </w:t>
      </w:r>
      <w:r>
        <w:t>be</w:t>
      </w:r>
      <w:r>
        <w:rPr>
          <w:spacing w:val="-12"/>
        </w:rPr>
        <w:t xml:space="preserve"> </w:t>
      </w:r>
      <w:r>
        <w:t>strong</w:t>
      </w:r>
      <w:r>
        <w:rPr>
          <w:spacing w:val="-12"/>
        </w:rPr>
        <w:t xml:space="preserve"> </w:t>
      </w:r>
      <w:r>
        <w:t>continued</w:t>
      </w:r>
      <w:r>
        <w:rPr>
          <w:spacing w:val="-12"/>
        </w:rPr>
        <w:t xml:space="preserve"> </w:t>
      </w:r>
      <w:r>
        <w:t>global competition.</w:t>
      </w:r>
      <w:r>
        <w:rPr>
          <w:spacing w:val="-6"/>
        </w:rPr>
        <w:t xml:space="preserve"> </w:t>
      </w:r>
      <w:r>
        <w:t>It</w:t>
      </w:r>
      <w:r>
        <w:rPr>
          <w:spacing w:val="-6"/>
        </w:rPr>
        <w:t xml:space="preserve"> </w:t>
      </w:r>
      <w:r>
        <w:t>follows</w:t>
      </w:r>
      <w:r>
        <w:rPr>
          <w:spacing w:val="-6"/>
        </w:rPr>
        <w:t xml:space="preserve"> </w:t>
      </w:r>
      <w:r>
        <w:t>that</w:t>
      </w:r>
      <w:r>
        <w:rPr>
          <w:spacing w:val="-6"/>
        </w:rPr>
        <w:t xml:space="preserve"> </w:t>
      </w:r>
      <w:r>
        <w:t>NSW</w:t>
      </w:r>
      <w:r>
        <w:rPr>
          <w:spacing w:val="-6"/>
        </w:rPr>
        <w:t xml:space="preserve"> </w:t>
      </w:r>
      <w:r>
        <w:t>needs</w:t>
      </w:r>
      <w:r>
        <w:rPr>
          <w:spacing w:val="-6"/>
        </w:rPr>
        <w:t xml:space="preserve"> </w:t>
      </w:r>
      <w:r>
        <w:t>to</w:t>
      </w:r>
      <w:r>
        <w:rPr>
          <w:spacing w:val="-6"/>
        </w:rPr>
        <w:t xml:space="preserve"> </w:t>
      </w:r>
      <w:r>
        <w:t>protect</w:t>
      </w:r>
    </w:p>
    <w:p w:rsidR="002C1123" w:rsidRDefault="00F22F94">
      <w:pPr>
        <w:pStyle w:val="BodyText"/>
        <w:spacing w:before="6" w:line="249" w:lineRule="auto"/>
        <w:ind w:left="492"/>
      </w:pPr>
      <w:r>
        <w:t>its</w:t>
      </w:r>
      <w:r>
        <w:rPr>
          <w:spacing w:val="-10"/>
        </w:rPr>
        <w:t xml:space="preserve"> </w:t>
      </w:r>
      <w:r>
        <w:t>competitive</w:t>
      </w:r>
      <w:r>
        <w:rPr>
          <w:spacing w:val="-10"/>
        </w:rPr>
        <w:t xml:space="preserve"> </w:t>
      </w:r>
      <w:r>
        <w:t>edge</w:t>
      </w:r>
      <w:r>
        <w:rPr>
          <w:spacing w:val="-10"/>
        </w:rPr>
        <w:t xml:space="preserve"> </w:t>
      </w:r>
      <w:r>
        <w:t>by</w:t>
      </w:r>
      <w:r>
        <w:rPr>
          <w:spacing w:val="-10"/>
        </w:rPr>
        <w:t xml:space="preserve"> </w:t>
      </w:r>
      <w:r>
        <w:t>prioritising</w:t>
      </w:r>
      <w:r>
        <w:rPr>
          <w:spacing w:val="-10"/>
        </w:rPr>
        <w:t xml:space="preserve"> </w:t>
      </w:r>
      <w:r>
        <w:t>infrastructure investments</w:t>
      </w:r>
      <w:r>
        <w:rPr>
          <w:spacing w:val="-11"/>
        </w:rPr>
        <w:t xml:space="preserve"> </w:t>
      </w:r>
      <w:r>
        <w:t>that</w:t>
      </w:r>
      <w:r>
        <w:rPr>
          <w:spacing w:val="-11"/>
        </w:rPr>
        <w:t xml:space="preserve"> </w:t>
      </w:r>
      <w:r>
        <w:t>improve</w:t>
      </w:r>
      <w:r>
        <w:rPr>
          <w:spacing w:val="-11"/>
        </w:rPr>
        <w:t xml:space="preserve"> </w:t>
      </w:r>
      <w:r>
        <w:t>productivity,</w:t>
      </w:r>
      <w:r>
        <w:rPr>
          <w:spacing w:val="-11"/>
        </w:rPr>
        <w:t xml:space="preserve"> </w:t>
      </w:r>
      <w:r>
        <w:t>build</w:t>
      </w:r>
      <w:r>
        <w:rPr>
          <w:spacing w:val="-11"/>
        </w:rPr>
        <w:t xml:space="preserve"> </w:t>
      </w:r>
      <w:r>
        <w:t>global connections</w:t>
      </w:r>
      <w:r>
        <w:rPr>
          <w:spacing w:val="-11"/>
        </w:rPr>
        <w:t xml:space="preserve"> </w:t>
      </w:r>
      <w:r>
        <w:t>and</w:t>
      </w:r>
      <w:r>
        <w:rPr>
          <w:spacing w:val="-11"/>
        </w:rPr>
        <w:t xml:space="preserve"> </w:t>
      </w:r>
      <w:r>
        <w:t>improve</w:t>
      </w:r>
      <w:r>
        <w:rPr>
          <w:spacing w:val="-11"/>
        </w:rPr>
        <w:t xml:space="preserve"> </w:t>
      </w:r>
      <w:r>
        <w:t>amenity.</w:t>
      </w:r>
      <w:r>
        <w:rPr>
          <w:spacing w:val="-11"/>
        </w:rPr>
        <w:t xml:space="preserve"> </w:t>
      </w:r>
      <w:r>
        <w:t>Losing</w:t>
      </w:r>
      <w:r>
        <w:rPr>
          <w:spacing w:val="-11"/>
        </w:rPr>
        <w:t xml:space="preserve"> </w:t>
      </w:r>
      <w:r>
        <w:t>the</w:t>
      </w:r>
      <w:r>
        <w:rPr>
          <w:spacing w:val="-11"/>
        </w:rPr>
        <w:t xml:space="preserve"> </w:t>
      </w:r>
      <w:r>
        <w:t>war</w:t>
      </w:r>
      <w:r>
        <w:rPr>
          <w:spacing w:val="-11"/>
        </w:rPr>
        <w:t xml:space="preserve"> </w:t>
      </w:r>
      <w:r>
        <w:t xml:space="preserve">for </w:t>
      </w:r>
      <w:r>
        <w:rPr>
          <w:w w:val="95"/>
        </w:rPr>
        <w:t xml:space="preserve">talent would have considerable negative consequences </w:t>
      </w:r>
      <w:r>
        <w:t>for Sydney and NSW.</w:t>
      </w:r>
    </w:p>
    <w:p w:rsidR="002C1123" w:rsidRDefault="00F22F94">
      <w:pPr>
        <w:pStyle w:val="BodyText"/>
        <w:spacing w:before="145" w:line="249" w:lineRule="auto"/>
        <w:ind w:left="492"/>
      </w:pPr>
      <w:r>
        <w:rPr>
          <w:w w:val="95"/>
        </w:rPr>
        <w:t>Therefore, it is essential for infrastructure investment to make</w:t>
      </w:r>
      <w:r>
        <w:rPr>
          <w:spacing w:val="-5"/>
          <w:w w:val="95"/>
        </w:rPr>
        <w:t xml:space="preserve"> </w:t>
      </w:r>
      <w:r>
        <w:rPr>
          <w:w w:val="95"/>
        </w:rPr>
        <w:t>Sydney</w:t>
      </w:r>
      <w:r>
        <w:rPr>
          <w:spacing w:val="-5"/>
          <w:w w:val="95"/>
        </w:rPr>
        <w:t xml:space="preserve"> </w:t>
      </w:r>
      <w:r>
        <w:rPr>
          <w:w w:val="95"/>
        </w:rPr>
        <w:t>a</w:t>
      </w:r>
      <w:r>
        <w:rPr>
          <w:spacing w:val="-5"/>
          <w:w w:val="95"/>
        </w:rPr>
        <w:t xml:space="preserve"> </w:t>
      </w:r>
      <w:r>
        <w:rPr>
          <w:w w:val="95"/>
        </w:rPr>
        <w:t>more</w:t>
      </w:r>
      <w:r>
        <w:rPr>
          <w:spacing w:val="-5"/>
          <w:w w:val="95"/>
        </w:rPr>
        <w:t xml:space="preserve"> </w:t>
      </w:r>
      <w:r>
        <w:rPr>
          <w:w w:val="95"/>
        </w:rPr>
        <w:t>attractive</w:t>
      </w:r>
      <w:r>
        <w:rPr>
          <w:spacing w:val="-5"/>
          <w:w w:val="95"/>
        </w:rPr>
        <w:t xml:space="preserve"> </w:t>
      </w:r>
      <w:r>
        <w:rPr>
          <w:w w:val="95"/>
        </w:rPr>
        <w:t>place</w:t>
      </w:r>
      <w:r>
        <w:rPr>
          <w:spacing w:val="-5"/>
          <w:w w:val="95"/>
        </w:rPr>
        <w:t xml:space="preserve"> </w:t>
      </w:r>
      <w:r>
        <w:rPr>
          <w:w w:val="95"/>
        </w:rPr>
        <w:t>for</w:t>
      </w:r>
      <w:r>
        <w:rPr>
          <w:spacing w:val="-5"/>
          <w:w w:val="95"/>
        </w:rPr>
        <w:t xml:space="preserve"> </w:t>
      </w:r>
      <w:r>
        <w:rPr>
          <w:w w:val="95"/>
        </w:rPr>
        <w:t>the</w:t>
      </w:r>
      <w:r>
        <w:rPr>
          <w:spacing w:val="-5"/>
          <w:w w:val="95"/>
        </w:rPr>
        <w:t xml:space="preserve"> </w:t>
      </w:r>
      <w:r>
        <w:rPr>
          <w:w w:val="95"/>
        </w:rPr>
        <w:t xml:space="preserve">knowledge </w:t>
      </w:r>
      <w:r>
        <w:t>workers</w:t>
      </w:r>
      <w:r>
        <w:rPr>
          <w:spacing w:val="-12"/>
        </w:rPr>
        <w:t xml:space="preserve"> </w:t>
      </w:r>
      <w:r>
        <w:t>whose</w:t>
      </w:r>
      <w:r>
        <w:rPr>
          <w:spacing w:val="-12"/>
        </w:rPr>
        <w:t xml:space="preserve"> </w:t>
      </w:r>
      <w:r>
        <w:t>skill</w:t>
      </w:r>
      <w:r>
        <w:rPr>
          <w:spacing w:val="-12"/>
        </w:rPr>
        <w:t xml:space="preserve"> </w:t>
      </w:r>
      <w:r>
        <w:t>and</w:t>
      </w:r>
      <w:r>
        <w:rPr>
          <w:spacing w:val="-12"/>
        </w:rPr>
        <w:t xml:space="preserve"> </w:t>
      </w:r>
      <w:r>
        <w:t>expertise</w:t>
      </w:r>
      <w:r>
        <w:rPr>
          <w:spacing w:val="-12"/>
        </w:rPr>
        <w:t xml:space="preserve"> </w:t>
      </w:r>
      <w:r>
        <w:t>is</w:t>
      </w:r>
      <w:r>
        <w:rPr>
          <w:spacing w:val="-12"/>
        </w:rPr>
        <w:t xml:space="preserve"> </w:t>
      </w:r>
      <w:r>
        <w:t>at</w:t>
      </w:r>
      <w:r>
        <w:rPr>
          <w:spacing w:val="-12"/>
        </w:rPr>
        <w:t xml:space="preserve"> </w:t>
      </w:r>
      <w:r>
        <w:t>the</w:t>
      </w:r>
      <w:r>
        <w:rPr>
          <w:spacing w:val="-12"/>
        </w:rPr>
        <w:t xml:space="preserve"> </w:t>
      </w:r>
      <w:r>
        <w:t>heart</w:t>
      </w:r>
      <w:r>
        <w:rPr>
          <w:spacing w:val="-12"/>
        </w:rPr>
        <w:t xml:space="preserve"> </w:t>
      </w:r>
      <w:r>
        <w:t>of</w:t>
      </w:r>
      <w:r>
        <w:rPr>
          <w:spacing w:val="-12"/>
        </w:rPr>
        <w:t xml:space="preserve"> </w:t>
      </w:r>
      <w:r>
        <w:t>a successful services based economy.</w:t>
      </w:r>
    </w:p>
    <w:p w:rsidR="002C1123" w:rsidRDefault="00F22F94">
      <w:pPr>
        <w:pStyle w:val="Heading5"/>
        <w:numPr>
          <w:ilvl w:val="1"/>
          <w:numId w:val="147"/>
        </w:numPr>
        <w:tabs>
          <w:tab w:val="left" w:pos="720"/>
        </w:tabs>
        <w:ind w:left="719" w:hanging="450"/>
        <w:jc w:val="left"/>
        <w:rPr>
          <w:color w:val="EC008C"/>
        </w:rPr>
      </w:pPr>
      <w:r>
        <w:rPr>
          <w:b w:val="0"/>
        </w:rPr>
        <w:br w:type="column"/>
      </w:r>
      <w:r>
        <w:rPr>
          <w:color w:val="EC008C"/>
          <w:spacing w:val="-4"/>
        </w:rPr>
        <w:t>The</w:t>
      </w:r>
      <w:r>
        <w:rPr>
          <w:color w:val="EC008C"/>
          <w:spacing w:val="-12"/>
        </w:rPr>
        <w:t xml:space="preserve"> </w:t>
      </w:r>
      <w:r>
        <w:rPr>
          <w:color w:val="EC008C"/>
          <w:spacing w:val="-4"/>
        </w:rPr>
        <w:t>state</w:t>
      </w:r>
      <w:r>
        <w:rPr>
          <w:color w:val="EC008C"/>
          <w:spacing w:val="-11"/>
        </w:rPr>
        <w:t xml:space="preserve"> </w:t>
      </w:r>
      <w:r>
        <w:rPr>
          <w:color w:val="EC008C"/>
          <w:spacing w:val="-4"/>
        </w:rPr>
        <w:t>of</w:t>
      </w:r>
      <w:r>
        <w:rPr>
          <w:color w:val="EC008C"/>
          <w:spacing w:val="-11"/>
        </w:rPr>
        <w:t xml:space="preserve"> </w:t>
      </w:r>
      <w:r>
        <w:rPr>
          <w:color w:val="EC008C"/>
          <w:spacing w:val="-4"/>
        </w:rPr>
        <w:t>NSW’s</w:t>
      </w:r>
      <w:r>
        <w:rPr>
          <w:color w:val="EC008C"/>
          <w:spacing w:val="-12"/>
        </w:rPr>
        <w:t xml:space="preserve"> </w:t>
      </w:r>
      <w:r>
        <w:rPr>
          <w:color w:val="EC008C"/>
          <w:spacing w:val="-6"/>
        </w:rPr>
        <w:t>infrastructure</w:t>
      </w:r>
    </w:p>
    <w:p w:rsidR="002C1123" w:rsidRDefault="00F22F94">
      <w:pPr>
        <w:pStyle w:val="Heading6"/>
        <w:numPr>
          <w:ilvl w:val="2"/>
          <w:numId w:val="147"/>
        </w:numPr>
        <w:tabs>
          <w:tab w:val="left" w:pos="757"/>
        </w:tabs>
        <w:spacing w:before="135"/>
        <w:ind w:left="756" w:hanging="487"/>
      </w:pPr>
      <w:r>
        <w:rPr>
          <w:color w:val="EC008C"/>
          <w:spacing w:val="-2"/>
        </w:rPr>
        <w:t>Infrastructure</w:t>
      </w:r>
      <w:r>
        <w:rPr>
          <w:color w:val="EC008C"/>
          <w:spacing w:val="-8"/>
        </w:rPr>
        <w:t xml:space="preserve"> </w:t>
      </w:r>
      <w:r>
        <w:rPr>
          <w:color w:val="EC008C"/>
          <w:spacing w:val="-2"/>
        </w:rPr>
        <w:t>Demand</w:t>
      </w:r>
      <w:r>
        <w:rPr>
          <w:color w:val="EC008C"/>
          <w:spacing w:val="-8"/>
        </w:rPr>
        <w:t xml:space="preserve"> </w:t>
      </w:r>
      <w:r>
        <w:rPr>
          <w:color w:val="EC008C"/>
          <w:spacing w:val="-2"/>
        </w:rPr>
        <w:t>Forecasts</w:t>
      </w:r>
    </w:p>
    <w:p w:rsidR="002C1123" w:rsidRDefault="00F22F94">
      <w:pPr>
        <w:pStyle w:val="BodyText"/>
        <w:spacing w:before="95" w:line="249" w:lineRule="auto"/>
        <w:ind w:left="270" w:right="86"/>
      </w:pPr>
      <w:r>
        <w:rPr>
          <w:w w:val="95"/>
        </w:rPr>
        <w:t xml:space="preserve">Based on the economic and demographic forecasts </w:t>
      </w:r>
      <w:r>
        <w:t>and</w:t>
      </w:r>
      <w:r>
        <w:rPr>
          <w:spacing w:val="-10"/>
        </w:rPr>
        <w:t xml:space="preserve"> </w:t>
      </w:r>
      <w:r>
        <w:t>the</w:t>
      </w:r>
      <w:r>
        <w:rPr>
          <w:spacing w:val="-10"/>
        </w:rPr>
        <w:t xml:space="preserve"> </w:t>
      </w:r>
      <w:r>
        <w:t>global</w:t>
      </w:r>
      <w:r>
        <w:rPr>
          <w:spacing w:val="-10"/>
        </w:rPr>
        <w:t xml:space="preserve"> </w:t>
      </w:r>
      <w:r>
        <w:t>infrastructure</w:t>
      </w:r>
      <w:r>
        <w:rPr>
          <w:spacing w:val="-10"/>
        </w:rPr>
        <w:t xml:space="preserve"> </w:t>
      </w:r>
      <w:r>
        <w:t>trends</w:t>
      </w:r>
      <w:r>
        <w:rPr>
          <w:spacing w:val="-10"/>
        </w:rPr>
        <w:t xml:space="preserve"> </w:t>
      </w:r>
      <w:r>
        <w:t>set</w:t>
      </w:r>
      <w:r>
        <w:rPr>
          <w:spacing w:val="-10"/>
        </w:rPr>
        <w:t xml:space="preserve"> </w:t>
      </w:r>
      <w:r>
        <w:t>out</w:t>
      </w:r>
      <w:r>
        <w:rPr>
          <w:spacing w:val="-10"/>
        </w:rPr>
        <w:t xml:space="preserve"> </w:t>
      </w:r>
      <w:r>
        <w:t>above, Infrastructure</w:t>
      </w:r>
      <w:r>
        <w:rPr>
          <w:spacing w:val="-14"/>
        </w:rPr>
        <w:t xml:space="preserve"> </w:t>
      </w:r>
      <w:r>
        <w:t>NSW</w:t>
      </w:r>
      <w:r>
        <w:rPr>
          <w:spacing w:val="-14"/>
        </w:rPr>
        <w:t xml:space="preserve"> </w:t>
      </w:r>
      <w:r>
        <w:t>has</w:t>
      </w:r>
      <w:r>
        <w:rPr>
          <w:spacing w:val="-14"/>
        </w:rPr>
        <w:t xml:space="preserve"> </w:t>
      </w:r>
      <w:r>
        <w:t>collected</w:t>
      </w:r>
      <w:r>
        <w:rPr>
          <w:spacing w:val="-14"/>
        </w:rPr>
        <w:t xml:space="preserve"> </w:t>
      </w:r>
      <w:r>
        <w:t>sectoral</w:t>
      </w:r>
      <w:r>
        <w:rPr>
          <w:spacing w:val="-14"/>
        </w:rPr>
        <w:t xml:space="preserve"> </w:t>
      </w:r>
      <w:r>
        <w:t xml:space="preserve">demand </w:t>
      </w:r>
      <w:r>
        <w:rPr>
          <w:spacing w:val="-2"/>
        </w:rPr>
        <w:t>forecasts</w:t>
      </w:r>
      <w:r>
        <w:rPr>
          <w:spacing w:val="-10"/>
        </w:rPr>
        <w:t xml:space="preserve"> </w:t>
      </w:r>
      <w:r>
        <w:rPr>
          <w:spacing w:val="-2"/>
        </w:rPr>
        <w:t>summarised</w:t>
      </w:r>
      <w:r>
        <w:rPr>
          <w:spacing w:val="-10"/>
        </w:rPr>
        <w:t xml:space="preserve"> </w:t>
      </w:r>
      <w:r>
        <w:rPr>
          <w:spacing w:val="-2"/>
        </w:rPr>
        <w:t>in</w:t>
      </w:r>
      <w:r>
        <w:rPr>
          <w:spacing w:val="-10"/>
        </w:rPr>
        <w:t xml:space="preserve"> </w:t>
      </w:r>
      <w:r>
        <w:rPr>
          <w:spacing w:val="-2"/>
        </w:rPr>
        <w:t>Figure</w:t>
      </w:r>
      <w:r>
        <w:rPr>
          <w:spacing w:val="-10"/>
        </w:rPr>
        <w:t xml:space="preserve"> </w:t>
      </w:r>
      <w:r>
        <w:rPr>
          <w:spacing w:val="-2"/>
        </w:rPr>
        <w:t>2.4</w:t>
      </w:r>
      <w:r>
        <w:rPr>
          <w:spacing w:val="-10"/>
        </w:rPr>
        <w:t xml:space="preserve"> </w:t>
      </w:r>
      <w:r>
        <w:rPr>
          <w:spacing w:val="-2"/>
        </w:rPr>
        <w:t>and</w:t>
      </w:r>
      <w:r>
        <w:rPr>
          <w:spacing w:val="-10"/>
        </w:rPr>
        <w:t xml:space="preserve"> </w:t>
      </w:r>
      <w:r>
        <w:rPr>
          <w:spacing w:val="-2"/>
        </w:rPr>
        <w:t>daily</w:t>
      </w:r>
      <w:r>
        <w:rPr>
          <w:spacing w:val="-10"/>
        </w:rPr>
        <w:t xml:space="preserve"> </w:t>
      </w:r>
      <w:r>
        <w:rPr>
          <w:spacing w:val="-2"/>
        </w:rPr>
        <w:t xml:space="preserve">travel </w:t>
      </w:r>
      <w:r>
        <w:t>summarised in Figure 2.5.</w:t>
      </w:r>
    </w:p>
    <w:p w:rsidR="002C1123" w:rsidRDefault="00F22F94">
      <w:pPr>
        <w:pStyle w:val="BodyText"/>
        <w:spacing w:before="146"/>
        <w:ind w:left="270"/>
      </w:pPr>
      <w:r>
        <w:rPr>
          <w:w w:val="95"/>
        </w:rPr>
        <w:t>The</w:t>
      </w:r>
      <w:r>
        <w:rPr>
          <w:spacing w:val="-10"/>
          <w:w w:val="95"/>
        </w:rPr>
        <w:t xml:space="preserve"> </w:t>
      </w:r>
      <w:r>
        <w:rPr>
          <w:w w:val="95"/>
        </w:rPr>
        <w:t>key</w:t>
      </w:r>
      <w:r>
        <w:rPr>
          <w:spacing w:val="-9"/>
          <w:w w:val="95"/>
        </w:rPr>
        <w:t xml:space="preserve"> </w:t>
      </w:r>
      <w:r>
        <w:rPr>
          <w:w w:val="95"/>
        </w:rPr>
        <w:t>points</w:t>
      </w:r>
      <w:r>
        <w:rPr>
          <w:spacing w:val="-9"/>
          <w:w w:val="95"/>
        </w:rPr>
        <w:t xml:space="preserve"> </w:t>
      </w:r>
      <w:r>
        <w:rPr>
          <w:spacing w:val="-4"/>
          <w:w w:val="95"/>
        </w:rPr>
        <w:t>are:</w:t>
      </w:r>
    </w:p>
    <w:p w:rsidR="002C1123" w:rsidRDefault="00F22F94">
      <w:pPr>
        <w:pStyle w:val="ListParagraph"/>
        <w:numPr>
          <w:ilvl w:val="3"/>
          <w:numId w:val="147"/>
        </w:numPr>
        <w:tabs>
          <w:tab w:val="left" w:pos="555"/>
        </w:tabs>
        <w:spacing w:before="139" w:line="249" w:lineRule="auto"/>
        <w:ind w:right="123"/>
        <w:rPr>
          <w:sz w:val="20"/>
        </w:rPr>
      </w:pPr>
      <w:r>
        <w:rPr>
          <w:w w:val="95"/>
          <w:sz w:val="20"/>
        </w:rPr>
        <w:t>While</w:t>
      </w:r>
      <w:r>
        <w:rPr>
          <w:spacing w:val="-2"/>
          <w:w w:val="95"/>
          <w:sz w:val="20"/>
        </w:rPr>
        <w:t xml:space="preserve"> </w:t>
      </w:r>
      <w:r>
        <w:rPr>
          <w:w w:val="95"/>
          <w:sz w:val="20"/>
        </w:rPr>
        <w:t>population</w:t>
      </w:r>
      <w:r>
        <w:rPr>
          <w:spacing w:val="-2"/>
          <w:w w:val="95"/>
          <w:sz w:val="20"/>
        </w:rPr>
        <w:t xml:space="preserve"> </w:t>
      </w:r>
      <w:r>
        <w:rPr>
          <w:w w:val="95"/>
          <w:sz w:val="20"/>
        </w:rPr>
        <w:t>is</w:t>
      </w:r>
      <w:r>
        <w:rPr>
          <w:spacing w:val="-2"/>
          <w:w w:val="95"/>
          <w:sz w:val="20"/>
        </w:rPr>
        <w:t xml:space="preserve"> </w:t>
      </w:r>
      <w:r>
        <w:rPr>
          <w:w w:val="95"/>
          <w:sz w:val="20"/>
        </w:rPr>
        <w:t>expected</w:t>
      </w:r>
      <w:r>
        <w:rPr>
          <w:spacing w:val="-2"/>
          <w:w w:val="95"/>
          <w:sz w:val="20"/>
        </w:rPr>
        <w:t xml:space="preserve"> </w:t>
      </w:r>
      <w:r>
        <w:rPr>
          <w:w w:val="95"/>
          <w:sz w:val="20"/>
        </w:rPr>
        <w:t>to</w:t>
      </w:r>
      <w:r>
        <w:rPr>
          <w:spacing w:val="-2"/>
          <w:w w:val="95"/>
          <w:sz w:val="20"/>
        </w:rPr>
        <w:t xml:space="preserve"> </w:t>
      </w:r>
      <w:r>
        <w:rPr>
          <w:w w:val="95"/>
          <w:sz w:val="20"/>
        </w:rPr>
        <w:t>grow</w:t>
      </w:r>
      <w:r>
        <w:rPr>
          <w:spacing w:val="-2"/>
          <w:w w:val="95"/>
          <w:sz w:val="20"/>
        </w:rPr>
        <w:t xml:space="preserve"> </w:t>
      </w:r>
      <w:r>
        <w:rPr>
          <w:w w:val="95"/>
          <w:sz w:val="20"/>
        </w:rPr>
        <w:t>by</w:t>
      </w:r>
      <w:r>
        <w:rPr>
          <w:spacing w:val="-2"/>
          <w:w w:val="95"/>
          <w:sz w:val="20"/>
        </w:rPr>
        <w:t xml:space="preserve"> </w:t>
      </w:r>
      <w:r>
        <w:rPr>
          <w:w w:val="95"/>
          <w:sz w:val="20"/>
        </w:rPr>
        <w:t>27</w:t>
      </w:r>
      <w:r>
        <w:rPr>
          <w:spacing w:val="-2"/>
          <w:w w:val="95"/>
          <w:sz w:val="20"/>
        </w:rPr>
        <w:t xml:space="preserve"> </w:t>
      </w:r>
      <w:r>
        <w:rPr>
          <w:w w:val="95"/>
          <w:sz w:val="20"/>
        </w:rPr>
        <w:t>percent and</w:t>
      </w:r>
      <w:r>
        <w:rPr>
          <w:spacing w:val="-1"/>
          <w:w w:val="95"/>
          <w:sz w:val="20"/>
        </w:rPr>
        <w:t xml:space="preserve"> </w:t>
      </w:r>
      <w:r>
        <w:rPr>
          <w:w w:val="95"/>
          <w:sz w:val="20"/>
        </w:rPr>
        <w:t>economic</w:t>
      </w:r>
      <w:r>
        <w:rPr>
          <w:spacing w:val="-1"/>
          <w:w w:val="95"/>
          <w:sz w:val="20"/>
        </w:rPr>
        <w:t xml:space="preserve"> </w:t>
      </w:r>
      <w:r>
        <w:rPr>
          <w:w w:val="95"/>
          <w:sz w:val="20"/>
        </w:rPr>
        <w:t>output</w:t>
      </w:r>
      <w:r>
        <w:rPr>
          <w:spacing w:val="-1"/>
          <w:w w:val="95"/>
          <w:sz w:val="20"/>
        </w:rPr>
        <w:t xml:space="preserve"> </w:t>
      </w:r>
      <w:r>
        <w:rPr>
          <w:w w:val="95"/>
          <w:sz w:val="20"/>
        </w:rPr>
        <w:t>(GSP)</w:t>
      </w:r>
      <w:r>
        <w:rPr>
          <w:spacing w:val="-1"/>
          <w:w w:val="95"/>
          <w:sz w:val="20"/>
        </w:rPr>
        <w:t xml:space="preserve"> </w:t>
      </w:r>
      <w:r>
        <w:rPr>
          <w:w w:val="95"/>
          <w:sz w:val="20"/>
        </w:rPr>
        <w:t>is</w:t>
      </w:r>
      <w:r>
        <w:rPr>
          <w:spacing w:val="-1"/>
          <w:w w:val="95"/>
          <w:sz w:val="20"/>
        </w:rPr>
        <w:t xml:space="preserve"> </w:t>
      </w:r>
      <w:r>
        <w:rPr>
          <w:w w:val="95"/>
          <w:sz w:val="20"/>
        </w:rPr>
        <w:t>expected</w:t>
      </w:r>
      <w:r>
        <w:rPr>
          <w:spacing w:val="-1"/>
          <w:w w:val="95"/>
          <w:sz w:val="20"/>
        </w:rPr>
        <w:t xml:space="preserve"> </w:t>
      </w:r>
      <w:r>
        <w:rPr>
          <w:w w:val="95"/>
          <w:sz w:val="20"/>
        </w:rPr>
        <w:t>to</w:t>
      </w:r>
      <w:r>
        <w:rPr>
          <w:spacing w:val="-1"/>
          <w:w w:val="95"/>
          <w:sz w:val="20"/>
        </w:rPr>
        <w:t xml:space="preserve"> </w:t>
      </w:r>
      <w:r>
        <w:rPr>
          <w:w w:val="95"/>
          <w:sz w:val="20"/>
        </w:rPr>
        <w:t>grow</w:t>
      </w:r>
      <w:r>
        <w:rPr>
          <w:spacing w:val="-1"/>
          <w:w w:val="95"/>
          <w:sz w:val="20"/>
        </w:rPr>
        <w:t xml:space="preserve"> </w:t>
      </w:r>
      <w:r>
        <w:rPr>
          <w:w w:val="95"/>
          <w:sz w:val="20"/>
        </w:rPr>
        <w:t xml:space="preserve">by </w:t>
      </w:r>
      <w:r>
        <w:rPr>
          <w:sz w:val="20"/>
        </w:rPr>
        <w:t>70</w:t>
      </w:r>
      <w:r>
        <w:rPr>
          <w:spacing w:val="-13"/>
          <w:sz w:val="20"/>
        </w:rPr>
        <w:t xml:space="preserve"> </w:t>
      </w:r>
      <w:r>
        <w:rPr>
          <w:sz w:val="20"/>
        </w:rPr>
        <w:t>percent,</w:t>
      </w:r>
      <w:r>
        <w:rPr>
          <w:spacing w:val="-13"/>
          <w:sz w:val="20"/>
        </w:rPr>
        <w:t xml:space="preserve"> </w:t>
      </w:r>
      <w:r>
        <w:rPr>
          <w:sz w:val="20"/>
        </w:rPr>
        <w:t>the</w:t>
      </w:r>
      <w:r>
        <w:rPr>
          <w:spacing w:val="-13"/>
          <w:sz w:val="20"/>
        </w:rPr>
        <w:t xml:space="preserve"> </w:t>
      </w:r>
      <w:r>
        <w:rPr>
          <w:sz w:val="20"/>
        </w:rPr>
        <w:t>demand</w:t>
      </w:r>
      <w:r>
        <w:rPr>
          <w:spacing w:val="-13"/>
          <w:sz w:val="20"/>
        </w:rPr>
        <w:t xml:space="preserve"> </w:t>
      </w:r>
      <w:r>
        <w:rPr>
          <w:sz w:val="20"/>
        </w:rPr>
        <w:t>for</w:t>
      </w:r>
      <w:r>
        <w:rPr>
          <w:spacing w:val="-13"/>
          <w:sz w:val="20"/>
        </w:rPr>
        <w:t xml:space="preserve"> </w:t>
      </w:r>
      <w:r>
        <w:rPr>
          <w:sz w:val="20"/>
        </w:rPr>
        <w:t>some</w:t>
      </w:r>
      <w:r>
        <w:rPr>
          <w:spacing w:val="-13"/>
          <w:sz w:val="20"/>
        </w:rPr>
        <w:t xml:space="preserve"> </w:t>
      </w:r>
      <w:r>
        <w:rPr>
          <w:sz w:val="20"/>
        </w:rPr>
        <w:t>infrastructure</w:t>
      </w:r>
      <w:r>
        <w:rPr>
          <w:spacing w:val="-13"/>
          <w:sz w:val="20"/>
        </w:rPr>
        <w:t xml:space="preserve"> </w:t>
      </w:r>
      <w:r>
        <w:rPr>
          <w:sz w:val="20"/>
        </w:rPr>
        <w:t>is expected</w:t>
      </w:r>
      <w:r>
        <w:rPr>
          <w:spacing w:val="-3"/>
          <w:sz w:val="20"/>
        </w:rPr>
        <w:t xml:space="preserve"> </w:t>
      </w:r>
      <w:r>
        <w:rPr>
          <w:sz w:val="20"/>
        </w:rPr>
        <w:t>to</w:t>
      </w:r>
      <w:r>
        <w:rPr>
          <w:spacing w:val="-3"/>
          <w:sz w:val="20"/>
        </w:rPr>
        <w:t xml:space="preserve"> </w:t>
      </w:r>
      <w:r>
        <w:rPr>
          <w:sz w:val="20"/>
        </w:rPr>
        <w:t>grow</w:t>
      </w:r>
      <w:r>
        <w:rPr>
          <w:spacing w:val="-3"/>
          <w:sz w:val="20"/>
        </w:rPr>
        <w:t xml:space="preserve"> </w:t>
      </w:r>
      <w:r>
        <w:rPr>
          <w:sz w:val="20"/>
        </w:rPr>
        <w:t>many</w:t>
      </w:r>
      <w:r>
        <w:rPr>
          <w:spacing w:val="-3"/>
          <w:sz w:val="20"/>
        </w:rPr>
        <w:t xml:space="preserve"> </w:t>
      </w:r>
      <w:r>
        <w:rPr>
          <w:sz w:val="20"/>
        </w:rPr>
        <w:t>times</w:t>
      </w:r>
      <w:r>
        <w:rPr>
          <w:spacing w:val="-3"/>
          <w:sz w:val="20"/>
        </w:rPr>
        <w:t xml:space="preserve"> </w:t>
      </w:r>
      <w:r>
        <w:rPr>
          <w:sz w:val="20"/>
        </w:rPr>
        <w:t>faster.</w:t>
      </w:r>
    </w:p>
    <w:p w:rsidR="002C1123" w:rsidRDefault="00F22F94">
      <w:pPr>
        <w:pStyle w:val="ListParagraph"/>
        <w:numPr>
          <w:ilvl w:val="3"/>
          <w:numId w:val="147"/>
        </w:numPr>
        <w:tabs>
          <w:tab w:val="left" w:pos="555"/>
        </w:tabs>
        <w:spacing w:before="132" w:line="249" w:lineRule="auto"/>
        <w:rPr>
          <w:sz w:val="20"/>
        </w:rPr>
      </w:pPr>
      <w:r>
        <w:rPr>
          <w:w w:val="95"/>
          <w:sz w:val="20"/>
        </w:rPr>
        <w:t>Private</w:t>
      </w:r>
      <w:r>
        <w:rPr>
          <w:spacing w:val="-5"/>
          <w:w w:val="95"/>
          <w:sz w:val="20"/>
        </w:rPr>
        <w:t xml:space="preserve"> </w:t>
      </w:r>
      <w:r>
        <w:rPr>
          <w:w w:val="95"/>
          <w:sz w:val="20"/>
        </w:rPr>
        <w:t>car</w:t>
      </w:r>
      <w:r>
        <w:rPr>
          <w:spacing w:val="-5"/>
          <w:w w:val="95"/>
          <w:sz w:val="20"/>
        </w:rPr>
        <w:t xml:space="preserve"> </w:t>
      </w:r>
      <w:r>
        <w:rPr>
          <w:w w:val="95"/>
          <w:sz w:val="20"/>
        </w:rPr>
        <w:t>trips</w:t>
      </w:r>
      <w:r>
        <w:rPr>
          <w:spacing w:val="-5"/>
          <w:w w:val="95"/>
          <w:sz w:val="20"/>
        </w:rPr>
        <w:t xml:space="preserve"> </w:t>
      </w:r>
      <w:r>
        <w:rPr>
          <w:w w:val="95"/>
          <w:sz w:val="20"/>
        </w:rPr>
        <w:t>are</w:t>
      </w:r>
      <w:r>
        <w:rPr>
          <w:spacing w:val="-5"/>
          <w:w w:val="95"/>
          <w:sz w:val="20"/>
        </w:rPr>
        <w:t xml:space="preserve"> </w:t>
      </w:r>
      <w:r>
        <w:rPr>
          <w:w w:val="95"/>
          <w:sz w:val="20"/>
        </w:rPr>
        <w:t>expected</w:t>
      </w:r>
      <w:r>
        <w:rPr>
          <w:spacing w:val="-5"/>
          <w:w w:val="95"/>
          <w:sz w:val="20"/>
        </w:rPr>
        <w:t xml:space="preserve"> </w:t>
      </w:r>
      <w:r>
        <w:rPr>
          <w:w w:val="95"/>
          <w:sz w:val="20"/>
        </w:rPr>
        <w:t>to</w:t>
      </w:r>
      <w:r>
        <w:rPr>
          <w:spacing w:val="-5"/>
          <w:w w:val="95"/>
          <w:sz w:val="20"/>
        </w:rPr>
        <w:t xml:space="preserve"> </w:t>
      </w:r>
      <w:r>
        <w:rPr>
          <w:w w:val="95"/>
          <w:sz w:val="20"/>
        </w:rPr>
        <w:t>grow</w:t>
      </w:r>
      <w:r>
        <w:rPr>
          <w:spacing w:val="-5"/>
          <w:w w:val="95"/>
          <w:sz w:val="20"/>
        </w:rPr>
        <w:t xml:space="preserve"> </w:t>
      </w:r>
      <w:r>
        <w:rPr>
          <w:w w:val="95"/>
          <w:sz w:val="20"/>
        </w:rPr>
        <w:t>by</w:t>
      </w:r>
      <w:r>
        <w:rPr>
          <w:spacing w:val="-5"/>
          <w:w w:val="95"/>
          <w:sz w:val="20"/>
        </w:rPr>
        <w:t xml:space="preserve"> </w:t>
      </w:r>
      <w:r>
        <w:rPr>
          <w:w w:val="95"/>
          <w:sz w:val="20"/>
        </w:rPr>
        <w:t>27</w:t>
      </w:r>
      <w:r>
        <w:rPr>
          <w:spacing w:val="-5"/>
          <w:w w:val="95"/>
          <w:sz w:val="20"/>
        </w:rPr>
        <w:t xml:space="preserve"> </w:t>
      </w:r>
      <w:r>
        <w:rPr>
          <w:w w:val="95"/>
          <w:sz w:val="20"/>
        </w:rPr>
        <w:t>per</w:t>
      </w:r>
      <w:r>
        <w:rPr>
          <w:spacing w:val="-5"/>
          <w:w w:val="95"/>
          <w:sz w:val="20"/>
        </w:rPr>
        <w:t xml:space="preserve"> </w:t>
      </w:r>
      <w:r>
        <w:rPr>
          <w:w w:val="95"/>
          <w:sz w:val="20"/>
        </w:rPr>
        <w:t xml:space="preserve">cent. </w:t>
      </w:r>
      <w:r>
        <w:rPr>
          <w:sz w:val="20"/>
        </w:rPr>
        <w:t>Cars</w:t>
      </w:r>
      <w:r>
        <w:rPr>
          <w:spacing w:val="-7"/>
          <w:sz w:val="20"/>
        </w:rPr>
        <w:t xml:space="preserve"> </w:t>
      </w:r>
      <w:r>
        <w:rPr>
          <w:sz w:val="20"/>
        </w:rPr>
        <w:t>will</w:t>
      </w:r>
      <w:r>
        <w:rPr>
          <w:spacing w:val="-7"/>
          <w:sz w:val="20"/>
        </w:rPr>
        <w:t xml:space="preserve"> </w:t>
      </w:r>
      <w:r>
        <w:rPr>
          <w:sz w:val="20"/>
        </w:rPr>
        <w:t>remain</w:t>
      </w:r>
      <w:r>
        <w:rPr>
          <w:spacing w:val="-7"/>
          <w:sz w:val="20"/>
        </w:rPr>
        <w:t xml:space="preserve"> </w:t>
      </w:r>
      <w:r>
        <w:rPr>
          <w:sz w:val="20"/>
        </w:rPr>
        <w:t>the</w:t>
      </w:r>
      <w:r>
        <w:rPr>
          <w:spacing w:val="-7"/>
          <w:sz w:val="20"/>
        </w:rPr>
        <w:t xml:space="preserve"> </w:t>
      </w:r>
      <w:r>
        <w:rPr>
          <w:sz w:val="20"/>
        </w:rPr>
        <w:t>mode</w:t>
      </w:r>
      <w:r>
        <w:rPr>
          <w:spacing w:val="-7"/>
          <w:sz w:val="20"/>
        </w:rPr>
        <w:t xml:space="preserve"> </w:t>
      </w:r>
      <w:r>
        <w:rPr>
          <w:sz w:val="20"/>
        </w:rPr>
        <w:t>of</w:t>
      </w:r>
      <w:r>
        <w:rPr>
          <w:spacing w:val="-7"/>
          <w:sz w:val="20"/>
        </w:rPr>
        <w:t xml:space="preserve"> </w:t>
      </w:r>
      <w:r>
        <w:rPr>
          <w:sz w:val="20"/>
        </w:rPr>
        <w:t>choice</w:t>
      </w:r>
      <w:r>
        <w:rPr>
          <w:spacing w:val="-7"/>
          <w:sz w:val="20"/>
        </w:rPr>
        <w:t xml:space="preserve"> </w:t>
      </w:r>
      <w:r>
        <w:rPr>
          <w:sz w:val="20"/>
        </w:rPr>
        <w:t>for</w:t>
      </w:r>
      <w:r>
        <w:rPr>
          <w:spacing w:val="-7"/>
          <w:sz w:val="20"/>
        </w:rPr>
        <w:t xml:space="preserve"> </w:t>
      </w:r>
      <w:r>
        <w:rPr>
          <w:sz w:val="20"/>
        </w:rPr>
        <w:t xml:space="preserve">most </w:t>
      </w:r>
      <w:r>
        <w:rPr>
          <w:spacing w:val="-2"/>
          <w:sz w:val="20"/>
        </w:rPr>
        <w:t>journeys.</w:t>
      </w:r>
    </w:p>
    <w:p w:rsidR="002C1123" w:rsidRDefault="00F22F94">
      <w:pPr>
        <w:pStyle w:val="ListParagraph"/>
        <w:numPr>
          <w:ilvl w:val="3"/>
          <w:numId w:val="147"/>
        </w:numPr>
        <w:tabs>
          <w:tab w:val="left" w:pos="555"/>
        </w:tabs>
        <w:spacing w:before="131" w:line="249" w:lineRule="auto"/>
        <w:ind w:right="119"/>
        <w:rPr>
          <w:sz w:val="20"/>
        </w:rPr>
      </w:pPr>
      <w:r>
        <w:rPr>
          <w:w w:val="95"/>
          <w:sz w:val="20"/>
        </w:rPr>
        <w:t>Demand</w:t>
      </w:r>
      <w:r>
        <w:rPr>
          <w:spacing w:val="-8"/>
          <w:w w:val="95"/>
          <w:sz w:val="20"/>
        </w:rPr>
        <w:t xml:space="preserve"> </w:t>
      </w:r>
      <w:r>
        <w:rPr>
          <w:w w:val="95"/>
          <w:sz w:val="20"/>
        </w:rPr>
        <w:t>for</w:t>
      </w:r>
      <w:r>
        <w:rPr>
          <w:spacing w:val="-8"/>
          <w:w w:val="95"/>
          <w:sz w:val="20"/>
        </w:rPr>
        <w:t xml:space="preserve"> </w:t>
      </w:r>
      <w:r>
        <w:rPr>
          <w:w w:val="95"/>
          <w:sz w:val="20"/>
        </w:rPr>
        <w:t>roads</w:t>
      </w:r>
      <w:r>
        <w:rPr>
          <w:spacing w:val="-8"/>
          <w:w w:val="95"/>
          <w:sz w:val="20"/>
        </w:rPr>
        <w:t xml:space="preserve"> </w:t>
      </w:r>
      <w:r>
        <w:rPr>
          <w:w w:val="95"/>
          <w:sz w:val="20"/>
        </w:rPr>
        <w:t>and</w:t>
      </w:r>
      <w:r>
        <w:rPr>
          <w:spacing w:val="-8"/>
          <w:w w:val="95"/>
          <w:sz w:val="20"/>
        </w:rPr>
        <w:t xml:space="preserve"> </w:t>
      </w:r>
      <w:r>
        <w:rPr>
          <w:w w:val="95"/>
          <w:sz w:val="20"/>
        </w:rPr>
        <w:t>rail</w:t>
      </w:r>
      <w:r>
        <w:rPr>
          <w:spacing w:val="-8"/>
          <w:w w:val="95"/>
          <w:sz w:val="20"/>
        </w:rPr>
        <w:t xml:space="preserve"> </w:t>
      </w:r>
      <w:r>
        <w:rPr>
          <w:w w:val="95"/>
          <w:sz w:val="20"/>
        </w:rPr>
        <w:t>for</w:t>
      </w:r>
      <w:r>
        <w:rPr>
          <w:spacing w:val="-8"/>
          <w:w w:val="95"/>
          <w:sz w:val="20"/>
        </w:rPr>
        <w:t xml:space="preserve"> </w:t>
      </w:r>
      <w:r>
        <w:rPr>
          <w:w w:val="95"/>
          <w:sz w:val="20"/>
        </w:rPr>
        <w:t>freight</w:t>
      </w:r>
      <w:r>
        <w:rPr>
          <w:spacing w:val="-8"/>
          <w:w w:val="95"/>
          <w:sz w:val="20"/>
        </w:rPr>
        <w:t xml:space="preserve"> </w:t>
      </w:r>
      <w:r>
        <w:rPr>
          <w:w w:val="95"/>
          <w:sz w:val="20"/>
        </w:rPr>
        <w:t>will</w:t>
      </w:r>
      <w:r>
        <w:rPr>
          <w:spacing w:val="-8"/>
          <w:w w:val="95"/>
          <w:sz w:val="20"/>
        </w:rPr>
        <w:t xml:space="preserve"> </w:t>
      </w:r>
      <w:r>
        <w:rPr>
          <w:w w:val="95"/>
          <w:sz w:val="20"/>
        </w:rPr>
        <w:t>continue</w:t>
      </w:r>
      <w:r>
        <w:rPr>
          <w:spacing w:val="-8"/>
          <w:w w:val="95"/>
          <w:sz w:val="20"/>
        </w:rPr>
        <w:t xml:space="preserve"> </w:t>
      </w:r>
      <w:r>
        <w:rPr>
          <w:w w:val="95"/>
          <w:sz w:val="20"/>
        </w:rPr>
        <w:t xml:space="preserve">to </w:t>
      </w:r>
      <w:r>
        <w:rPr>
          <w:sz w:val="20"/>
        </w:rPr>
        <w:t>grow</w:t>
      </w:r>
      <w:r>
        <w:rPr>
          <w:spacing w:val="-14"/>
          <w:sz w:val="20"/>
        </w:rPr>
        <w:t xml:space="preserve"> </w:t>
      </w:r>
      <w:r>
        <w:rPr>
          <w:sz w:val="20"/>
        </w:rPr>
        <w:t>at</w:t>
      </w:r>
      <w:r>
        <w:rPr>
          <w:spacing w:val="-14"/>
          <w:sz w:val="20"/>
        </w:rPr>
        <w:t xml:space="preserve"> </w:t>
      </w:r>
      <w:r>
        <w:rPr>
          <w:sz w:val="20"/>
        </w:rPr>
        <w:t>a</w:t>
      </w:r>
      <w:r>
        <w:rPr>
          <w:spacing w:val="-14"/>
          <w:sz w:val="20"/>
        </w:rPr>
        <w:t xml:space="preserve"> </w:t>
      </w:r>
      <w:r>
        <w:rPr>
          <w:sz w:val="20"/>
        </w:rPr>
        <w:t>multiple</w:t>
      </w:r>
      <w:r>
        <w:rPr>
          <w:spacing w:val="-14"/>
          <w:sz w:val="20"/>
        </w:rPr>
        <w:t xml:space="preserve"> </w:t>
      </w:r>
      <w:r>
        <w:rPr>
          <w:sz w:val="20"/>
        </w:rPr>
        <w:t>of</w:t>
      </w:r>
      <w:r>
        <w:rPr>
          <w:spacing w:val="-14"/>
          <w:sz w:val="20"/>
        </w:rPr>
        <w:t xml:space="preserve"> </w:t>
      </w:r>
      <w:r>
        <w:rPr>
          <w:sz w:val="20"/>
        </w:rPr>
        <w:t>1.5</w:t>
      </w:r>
      <w:r>
        <w:rPr>
          <w:spacing w:val="-14"/>
          <w:sz w:val="20"/>
        </w:rPr>
        <w:t xml:space="preserve"> </w:t>
      </w:r>
      <w:r>
        <w:rPr>
          <w:sz w:val="20"/>
        </w:rPr>
        <w:t>to</w:t>
      </w:r>
      <w:r>
        <w:rPr>
          <w:spacing w:val="-14"/>
          <w:sz w:val="20"/>
        </w:rPr>
        <w:t xml:space="preserve"> </w:t>
      </w:r>
      <w:r>
        <w:rPr>
          <w:sz w:val="20"/>
        </w:rPr>
        <w:t>two</w:t>
      </w:r>
      <w:r>
        <w:rPr>
          <w:spacing w:val="-14"/>
          <w:sz w:val="20"/>
        </w:rPr>
        <w:t xml:space="preserve"> </w:t>
      </w:r>
      <w:r>
        <w:rPr>
          <w:sz w:val="20"/>
        </w:rPr>
        <w:t>times</w:t>
      </w:r>
      <w:r>
        <w:rPr>
          <w:spacing w:val="-14"/>
          <w:sz w:val="20"/>
        </w:rPr>
        <w:t xml:space="preserve"> </w:t>
      </w:r>
      <w:r>
        <w:rPr>
          <w:sz w:val="20"/>
        </w:rPr>
        <w:t>GDP</w:t>
      </w:r>
      <w:r>
        <w:rPr>
          <w:spacing w:val="-13"/>
          <w:sz w:val="20"/>
        </w:rPr>
        <w:t xml:space="preserve"> </w:t>
      </w:r>
      <w:r>
        <w:rPr>
          <w:sz w:val="20"/>
        </w:rPr>
        <w:t>growth. Freight</w:t>
      </w:r>
      <w:r>
        <w:rPr>
          <w:spacing w:val="-13"/>
          <w:sz w:val="20"/>
        </w:rPr>
        <w:t xml:space="preserve"> </w:t>
      </w:r>
      <w:r>
        <w:rPr>
          <w:sz w:val="20"/>
        </w:rPr>
        <w:t>demands</w:t>
      </w:r>
      <w:r>
        <w:rPr>
          <w:spacing w:val="-13"/>
          <w:sz w:val="20"/>
        </w:rPr>
        <w:t xml:space="preserve"> </w:t>
      </w:r>
      <w:r>
        <w:rPr>
          <w:sz w:val="20"/>
        </w:rPr>
        <w:t>over</w:t>
      </w:r>
      <w:r>
        <w:rPr>
          <w:spacing w:val="-13"/>
          <w:sz w:val="20"/>
        </w:rPr>
        <w:t xml:space="preserve"> </w:t>
      </w:r>
      <w:r>
        <w:rPr>
          <w:sz w:val="20"/>
        </w:rPr>
        <w:t>the</w:t>
      </w:r>
      <w:r>
        <w:rPr>
          <w:spacing w:val="-13"/>
          <w:sz w:val="20"/>
        </w:rPr>
        <w:t xml:space="preserve"> </w:t>
      </w:r>
      <w:r>
        <w:rPr>
          <w:sz w:val="20"/>
        </w:rPr>
        <w:t>next</w:t>
      </w:r>
      <w:r>
        <w:rPr>
          <w:spacing w:val="-13"/>
          <w:sz w:val="20"/>
        </w:rPr>
        <w:t xml:space="preserve"> </w:t>
      </w:r>
      <w:r>
        <w:rPr>
          <w:sz w:val="20"/>
        </w:rPr>
        <w:t>20</w:t>
      </w:r>
      <w:r>
        <w:rPr>
          <w:spacing w:val="-13"/>
          <w:sz w:val="20"/>
        </w:rPr>
        <w:t xml:space="preserve"> </w:t>
      </w:r>
      <w:r>
        <w:rPr>
          <w:sz w:val="20"/>
        </w:rPr>
        <w:t>years</w:t>
      </w:r>
      <w:r>
        <w:rPr>
          <w:spacing w:val="-13"/>
          <w:sz w:val="20"/>
        </w:rPr>
        <w:t xml:space="preserve"> </w:t>
      </w:r>
      <w:r>
        <w:rPr>
          <w:sz w:val="20"/>
        </w:rPr>
        <w:t>will</w:t>
      </w:r>
      <w:r>
        <w:rPr>
          <w:spacing w:val="-13"/>
          <w:sz w:val="20"/>
        </w:rPr>
        <w:t xml:space="preserve"> </w:t>
      </w:r>
      <w:r>
        <w:rPr>
          <w:sz w:val="20"/>
        </w:rPr>
        <w:t>more than</w:t>
      </w:r>
      <w:r>
        <w:rPr>
          <w:spacing w:val="-12"/>
          <w:sz w:val="20"/>
        </w:rPr>
        <w:t xml:space="preserve"> </w:t>
      </w:r>
      <w:r>
        <w:rPr>
          <w:sz w:val="20"/>
        </w:rPr>
        <w:t>triple</w:t>
      </w:r>
      <w:r>
        <w:rPr>
          <w:spacing w:val="-12"/>
          <w:sz w:val="20"/>
        </w:rPr>
        <w:t xml:space="preserve"> </w:t>
      </w:r>
      <w:r>
        <w:rPr>
          <w:sz w:val="20"/>
        </w:rPr>
        <w:t>for</w:t>
      </w:r>
      <w:r>
        <w:rPr>
          <w:spacing w:val="-12"/>
          <w:sz w:val="20"/>
        </w:rPr>
        <w:t xml:space="preserve"> </w:t>
      </w:r>
      <w:r>
        <w:rPr>
          <w:sz w:val="20"/>
        </w:rPr>
        <w:t>port</w:t>
      </w:r>
      <w:r>
        <w:rPr>
          <w:spacing w:val="-12"/>
          <w:sz w:val="20"/>
        </w:rPr>
        <w:t xml:space="preserve"> </w:t>
      </w:r>
      <w:r>
        <w:rPr>
          <w:sz w:val="20"/>
        </w:rPr>
        <w:t>container</w:t>
      </w:r>
      <w:r>
        <w:rPr>
          <w:spacing w:val="-12"/>
          <w:sz w:val="20"/>
        </w:rPr>
        <w:t xml:space="preserve"> </w:t>
      </w:r>
      <w:r>
        <w:rPr>
          <w:sz w:val="20"/>
        </w:rPr>
        <w:t>freight</w:t>
      </w:r>
      <w:r>
        <w:rPr>
          <w:spacing w:val="-12"/>
          <w:sz w:val="20"/>
        </w:rPr>
        <w:t xml:space="preserve"> </w:t>
      </w:r>
      <w:r>
        <w:rPr>
          <w:sz w:val="20"/>
        </w:rPr>
        <w:t>in</w:t>
      </w:r>
      <w:r>
        <w:rPr>
          <w:spacing w:val="-12"/>
          <w:sz w:val="20"/>
        </w:rPr>
        <w:t xml:space="preserve"> </w:t>
      </w:r>
      <w:r>
        <w:rPr>
          <w:sz w:val="20"/>
        </w:rPr>
        <w:t>Sydney</w:t>
      </w:r>
      <w:r>
        <w:rPr>
          <w:spacing w:val="-12"/>
          <w:sz w:val="20"/>
        </w:rPr>
        <w:t xml:space="preserve"> </w:t>
      </w:r>
      <w:r>
        <w:rPr>
          <w:sz w:val="20"/>
        </w:rPr>
        <w:t>and double for bulk freight.</w:t>
      </w:r>
    </w:p>
    <w:p w:rsidR="002C1123" w:rsidRDefault="00F22F94">
      <w:pPr>
        <w:pStyle w:val="ListParagraph"/>
        <w:numPr>
          <w:ilvl w:val="3"/>
          <w:numId w:val="147"/>
        </w:numPr>
        <w:tabs>
          <w:tab w:val="left" w:pos="555"/>
        </w:tabs>
        <w:spacing w:before="133" w:line="249" w:lineRule="auto"/>
        <w:ind w:right="44"/>
        <w:rPr>
          <w:sz w:val="20"/>
        </w:rPr>
      </w:pPr>
      <w:r>
        <w:rPr>
          <w:sz w:val="20"/>
        </w:rPr>
        <w:t>The</w:t>
      </w:r>
      <w:r>
        <w:rPr>
          <w:spacing w:val="-8"/>
          <w:sz w:val="20"/>
        </w:rPr>
        <w:t xml:space="preserve"> </w:t>
      </w:r>
      <w:r>
        <w:rPr>
          <w:sz w:val="20"/>
        </w:rPr>
        <w:t>continuation</w:t>
      </w:r>
      <w:r>
        <w:rPr>
          <w:spacing w:val="-8"/>
          <w:sz w:val="20"/>
        </w:rPr>
        <w:t xml:space="preserve"> </w:t>
      </w:r>
      <w:r>
        <w:rPr>
          <w:sz w:val="20"/>
        </w:rPr>
        <w:t>of</w:t>
      </w:r>
      <w:r>
        <w:rPr>
          <w:spacing w:val="-8"/>
          <w:sz w:val="20"/>
        </w:rPr>
        <w:t xml:space="preserve"> </w:t>
      </w:r>
      <w:r>
        <w:rPr>
          <w:sz w:val="20"/>
        </w:rPr>
        <w:t>the</w:t>
      </w:r>
      <w:r>
        <w:rPr>
          <w:spacing w:val="-8"/>
          <w:sz w:val="20"/>
        </w:rPr>
        <w:t xml:space="preserve"> </w:t>
      </w:r>
      <w:r>
        <w:rPr>
          <w:sz w:val="20"/>
        </w:rPr>
        <w:t>shift</w:t>
      </w:r>
      <w:r>
        <w:rPr>
          <w:spacing w:val="-8"/>
          <w:sz w:val="20"/>
        </w:rPr>
        <w:t xml:space="preserve"> </w:t>
      </w:r>
      <w:r>
        <w:rPr>
          <w:sz w:val="20"/>
        </w:rPr>
        <w:t>away</w:t>
      </w:r>
      <w:r>
        <w:rPr>
          <w:spacing w:val="-8"/>
          <w:sz w:val="20"/>
        </w:rPr>
        <w:t xml:space="preserve"> </w:t>
      </w:r>
      <w:r>
        <w:rPr>
          <w:sz w:val="20"/>
        </w:rPr>
        <w:t>from</w:t>
      </w:r>
      <w:r>
        <w:rPr>
          <w:spacing w:val="-9"/>
          <w:sz w:val="20"/>
        </w:rPr>
        <w:t xml:space="preserve"> </w:t>
      </w:r>
      <w:r>
        <w:rPr>
          <w:sz w:val="20"/>
        </w:rPr>
        <w:t>a manufacturing</w:t>
      </w:r>
      <w:r>
        <w:rPr>
          <w:spacing w:val="-6"/>
          <w:sz w:val="20"/>
        </w:rPr>
        <w:t xml:space="preserve"> </w:t>
      </w:r>
      <w:r>
        <w:rPr>
          <w:sz w:val="20"/>
        </w:rPr>
        <w:t>base</w:t>
      </w:r>
      <w:r>
        <w:rPr>
          <w:spacing w:val="-6"/>
          <w:sz w:val="20"/>
        </w:rPr>
        <w:t xml:space="preserve"> </w:t>
      </w:r>
      <w:r>
        <w:rPr>
          <w:sz w:val="20"/>
        </w:rPr>
        <w:t>to</w:t>
      </w:r>
      <w:r>
        <w:rPr>
          <w:spacing w:val="-6"/>
          <w:sz w:val="20"/>
        </w:rPr>
        <w:t xml:space="preserve"> </w:t>
      </w:r>
      <w:r>
        <w:rPr>
          <w:sz w:val="20"/>
        </w:rPr>
        <w:t>a</w:t>
      </w:r>
      <w:r>
        <w:rPr>
          <w:spacing w:val="-6"/>
          <w:sz w:val="20"/>
        </w:rPr>
        <w:t xml:space="preserve"> </w:t>
      </w:r>
      <w:r>
        <w:rPr>
          <w:sz w:val="20"/>
        </w:rPr>
        <w:t>service</w:t>
      </w:r>
      <w:r>
        <w:rPr>
          <w:spacing w:val="-6"/>
          <w:sz w:val="20"/>
        </w:rPr>
        <w:t xml:space="preserve"> </w:t>
      </w:r>
      <w:r>
        <w:rPr>
          <w:sz w:val="20"/>
        </w:rPr>
        <w:t>based</w:t>
      </w:r>
      <w:r>
        <w:rPr>
          <w:spacing w:val="-6"/>
          <w:sz w:val="20"/>
        </w:rPr>
        <w:t xml:space="preserve"> </w:t>
      </w:r>
      <w:r>
        <w:rPr>
          <w:sz w:val="20"/>
        </w:rPr>
        <w:t xml:space="preserve">economy </w:t>
      </w:r>
      <w:r>
        <w:rPr>
          <w:w w:val="95"/>
          <w:sz w:val="20"/>
        </w:rPr>
        <w:t xml:space="preserve">will see a greater demand for imported goods which drives the significant growth in port container traffic. </w:t>
      </w:r>
      <w:r>
        <w:rPr>
          <w:sz w:val="20"/>
        </w:rPr>
        <w:t>This</w:t>
      </w:r>
      <w:r>
        <w:rPr>
          <w:spacing w:val="-12"/>
          <w:sz w:val="20"/>
        </w:rPr>
        <w:t xml:space="preserve"> </w:t>
      </w:r>
      <w:r>
        <w:rPr>
          <w:sz w:val="20"/>
        </w:rPr>
        <w:t>will</w:t>
      </w:r>
      <w:r>
        <w:rPr>
          <w:spacing w:val="-12"/>
          <w:sz w:val="20"/>
        </w:rPr>
        <w:t xml:space="preserve"> </w:t>
      </w:r>
      <w:r>
        <w:rPr>
          <w:sz w:val="20"/>
        </w:rPr>
        <w:t>result</w:t>
      </w:r>
      <w:r>
        <w:rPr>
          <w:spacing w:val="-12"/>
          <w:sz w:val="20"/>
        </w:rPr>
        <w:t xml:space="preserve"> </w:t>
      </w:r>
      <w:r>
        <w:rPr>
          <w:sz w:val="20"/>
        </w:rPr>
        <w:t>in</w:t>
      </w:r>
      <w:r>
        <w:rPr>
          <w:spacing w:val="-12"/>
          <w:sz w:val="20"/>
        </w:rPr>
        <w:t xml:space="preserve"> </w:t>
      </w:r>
      <w:r>
        <w:rPr>
          <w:sz w:val="20"/>
        </w:rPr>
        <w:t>increased</w:t>
      </w:r>
      <w:r>
        <w:rPr>
          <w:spacing w:val="-12"/>
          <w:sz w:val="20"/>
        </w:rPr>
        <w:t xml:space="preserve"> </w:t>
      </w:r>
      <w:r>
        <w:rPr>
          <w:sz w:val="20"/>
        </w:rPr>
        <w:t>land</w:t>
      </w:r>
      <w:r>
        <w:rPr>
          <w:spacing w:val="-12"/>
          <w:sz w:val="20"/>
        </w:rPr>
        <w:t xml:space="preserve"> </w:t>
      </w:r>
      <w:r>
        <w:rPr>
          <w:sz w:val="20"/>
        </w:rPr>
        <w:t>transport</w:t>
      </w:r>
      <w:r>
        <w:rPr>
          <w:spacing w:val="-12"/>
          <w:sz w:val="20"/>
        </w:rPr>
        <w:t xml:space="preserve"> </w:t>
      </w:r>
      <w:r>
        <w:rPr>
          <w:sz w:val="20"/>
        </w:rPr>
        <w:t xml:space="preserve">needs </w:t>
      </w:r>
      <w:r>
        <w:rPr>
          <w:w w:val="95"/>
          <w:sz w:val="20"/>
        </w:rPr>
        <w:t>particularly</w:t>
      </w:r>
      <w:r>
        <w:rPr>
          <w:spacing w:val="-2"/>
          <w:w w:val="95"/>
          <w:sz w:val="20"/>
        </w:rPr>
        <w:t xml:space="preserve"> </w:t>
      </w:r>
      <w:r>
        <w:rPr>
          <w:w w:val="95"/>
          <w:sz w:val="20"/>
        </w:rPr>
        <w:t>around</w:t>
      </w:r>
      <w:r>
        <w:rPr>
          <w:spacing w:val="-2"/>
          <w:w w:val="95"/>
          <w:sz w:val="20"/>
        </w:rPr>
        <w:t xml:space="preserve"> </w:t>
      </w:r>
      <w:r>
        <w:rPr>
          <w:w w:val="95"/>
          <w:sz w:val="20"/>
        </w:rPr>
        <w:t>the</w:t>
      </w:r>
      <w:r>
        <w:rPr>
          <w:spacing w:val="-2"/>
          <w:w w:val="95"/>
          <w:sz w:val="20"/>
        </w:rPr>
        <w:t xml:space="preserve"> </w:t>
      </w:r>
      <w:r>
        <w:rPr>
          <w:w w:val="95"/>
          <w:sz w:val="20"/>
        </w:rPr>
        <w:t>Port</w:t>
      </w:r>
      <w:r>
        <w:rPr>
          <w:spacing w:val="-2"/>
          <w:w w:val="95"/>
          <w:sz w:val="20"/>
        </w:rPr>
        <w:t xml:space="preserve"> </w:t>
      </w:r>
      <w:r>
        <w:rPr>
          <w:w w:val="95"/>
          <w:sz w:val="20"/>
        </w:rPr>
        <w:t>Botany</w:t>
      </w:r>
      <w:r>
        <w:rPr>
          <w:spacing w:val="-2"/>
          <w:w w:val="95"/>
          <w:sz w:val="20"/>
        </w:rPr>
        <w:t xml:space="preserve"> </w:t>
      </w:r>
      <w:r>
        <w:rPr>
          <w:w w:val="95"/>
          <w:sz w:val="20"/>
        </w:rPr>
        <w:t>precinct</w:t>
      </w:r>
      <w:r>
        <w:rPr>
          <w:spacing w:val="-2"/>
          <w:w w:val="95"/>
          <w:sz w:val="20"/>
        </w:rPr>
        <w:t xml:space="preserve"> </w:t>
      </w:r>
      <w:r>
        <w:rPr>
          <w:w w:val="95"/>
          <w:sz w:val="20"/>
        </w:rPr>
        <w:t>in</w:t>
      </w:r>
      <w:r>
        <w:rPr>
          <w:spacing w:val="-2"/>
          <w:w w:val="95"/>
          <w:sz w:val="20"/>
        </w:rPr>
        <w:t xml:space="preserve"> </w:t>
      </w:r>
      <w:r>
        <w:rPr>
          <w:w w:val="95"/>
          <w:sz w:val="20"/>
        </w:rPr>
        <w:t xml:space="preserve">major </w:t>
      </w:r>
      <w:r>
        <w:rPr>
          <w:sz w:val="20"/>
        </w:rPr>
        <w:t>regional arterial routes.</w:t>
      </w:r>
    </w:p>
    <w:p w:rsidR="002C1123" w:rsidRDefault="00F22F94">
      <w:pPr>
        <w:pStyle w:val="ListParagraph"/>
        <w:numPr>
          <w:ilvl w:val="3"/>
          <w:numId w:val="147"/>
        </w:numPr>
        <w:tabs>
          <w:tab w:val="left" w:pos="541"/>
        </w:tabs>
        <w:spacing w:before="117" w:line="249" w:lineRule="auto"/>
        <w:ind w:left="540" w:right="1286"/>
        <w:rPr>
          <w:sz w:val="20"/>
        </w:rPr>
      </w:pPr>
      <w:r>
        <w:br w:type="column"/>
      </w:r>
      <w:r>
        <w:rPr>
          <w:sz w:val="20"/>
        </w:rPr>
        <w:t xml:space="preserve">Continued growth is expected in the bulk </w:t>
      </w:r>
      <w:r>
        <w:rPr>
          <w:spacing w:val="-2"/>
          <w:sz w:val="20"/>
        </w:rPr>
        <w:t>commodities</w:t>
      </w:r>
      <w:r>
        <w:rPr>
          <w:spacing w:val="-8"/>
          <w:sz w:val="20"/>
        </w:rPr>
        <w:t xml:space="preserve"> </w:t>
      </w:r>
      <w:r>
        <w:rPr>
          <w:spacing w:val="-2"/>
          <w:sz w:val="20"/>
        </w:rPr>
        <w:t>export</w:t>
      </w:r>
      <w:r>
        <w:rPr>
          <w:spacing w:val="-8"/>
          <w:sz w:val="20"/>
        </w:rPr>
        <w:t xml:space="preserve"> </w:t>
      </w:r>
      <w:r>
        <w:rPr>
          <w:spacing w:val="-2"/>
          <w:sz w:val="20"/>
        </w:rPr>
        <w:t>of</w:t>
      </w:r>
      <w:r>
        <w:rPr>
          <w:spacing w:val="-8"/>
          <w:sz w:val="20"/>
        </w:rPr>
        <w:t xml:space="preserve"> </w:t>
      </w:r>
      <w:r>
        <w:rPr>
          <w:spacing w:val="-2"/>
          <w:sz w:val="20"/>
        </w:rPr>
        <w:t>coal</w:t>
      </w:r>
      <w:r>
        <w:rPr>
          <w:spacing w:val="-8"/>
          <w:sz w:val="20"/>
        </w:rPr>
        <w:t xml:space="preserve"> </w:t>
      </w:r>
      <w:r>
        <w:rPr>
          <w:spacing w:val="-2"/>
          <w:sz w:val="20"/>
        </w:rPr>
        <w:t>and</w:t>
      </w:r>
      <w:r>
        <w:rPr>
          <w:spacing w:val="-8"/>
          <w:sz w:val="20"/>
        </w:rPr>
        <w:t xml:space="preserve"> </w:t>
      </w:r>
      <w:r>
        <w:rPr>
          <w:spacing w:val="-2"/>
          <w:sz w:val="20"/>
        </w:rPr>
        <w:t>minerals,</w:t>
      </w:r>
      <w:r>
        <w:rPr>
          <w:spacing w:val="-8"/>
          <w:sz w:val="20"/>
        </w:rPr>
        <w:t xml:space="preserve"> </w:t>
      </w:r>
      <w:r>
        <w:rPr>
          <w:spacing w:val="-2"/>
          <w:sz w:val="20"/>
        </w:rPr>
        <w:t xml:space="preserve">and </w:t>
      </w:r>
      <w:r>
        <w:rPr>
          <w:sz w:val="20"/>
        </w:rPr>
        <w:t>in</w:t>
      </w:r>
      <w:r>
        <w:rPr>
          <w:spacing w:val="-6"/>
          <w:sz w:val="20"/>
        </w:rPr>
        <w:t xml:space="preserve"> </w:t>
      </w:r>
      <w:r>
        <w:rPr>
          <w:sz w:val="20"/>
        </w:rPr>
        <w:t>agricultural</w:t>
      </w:r>
      <w:r>
        <w:rPr>
          <w:spacing w:val="-6"/>
          <w:sz w:val="20"/>
        </w:rPr>
        <w:t xml:space="preserve"> </w:t>
      </w:r>
      <w:r>
        <w:rPr>
          <w:sz w:val="20"/>
        </w:rPr>
        <w:t>products,</w:t>
      </w:r>
      <w:r>
        <w:rPr>
          <w:spacing w:val="-6"/>
          <w:sz w:val="20"/>
        </w:rPr>
        <w:t xml:space="preserve"> </w:t>
      </w:r>
      <w:r>
        <w:rPr>
          <w:sz w:val="20"/>
        </w:rPr>
        <w:t>driving</w:t>
      </w:r>
      <w:r>
        <w:rPr>
          <w:spacing w:val="-6"/>
          <w:sz w:val="20"/>
        </w:rPr>
        <w:t xml:space="preserve"> </w:t>
      </w:r>
      <w:r>
        <w:rPr>
          <w:sz w:val="20"/>
        </w:rPr>
        <w:t>the</w:t>
      </w:r>
      <w:r>
        <w:rPr>
          <w:spacing w:val="-6"/>
          <w:sz w:val="20"/>
        </w:rPr>
        <w:t xml:space="preserve"> </w:t>
      </w:r>
      <w:r>
        <w:rPr>
          <w:sz w:val="20"/>
        </w:rPr>
        <w:t>need</w:t>
      </w:r>
      <w:r>
        <w:rPr>
          <w:spacing w:val="-6"/>
          <w:sz w:val="20"/>
        </w:rPr>
        <w:t xml:space="preserve"> </w:t>
      </w:r>
      <w:r>
        <w:rPr>
          <w:sz w:val="20"/>
        </w:rPr>
        <w:t xml:space="preserve">for </w:t>
      </w:r>
      <w:r>
        <w:rPr>
          <w:w w:val="95"/>
          <w:sz w:val="20"/>
        </w:rPr>
        <w:t xml:space="preserve">efficient transport connection to get product to </w:t>
      </w:r>
      <w:r>
        <w:rPr>
          <w:sz w:val="20"/>
        </w:rPr>
        <w:t>market</w:t>
      </w:r>
      <w:r>
        <w:rPr>
          <w:spacing w:val="-11"/>
          <w:sz w:val="20"/>
        </w:rPr>
        <w:t xml:space="preserve"> </w:t>
      </w:r>
      <w:r>
        <w:rPr>
          <w:sz w:val="20"/>
        </w:rPr>
        <w:t>efficiently.</w:t>
      </w:r>
    </w:p>
    <w:p w:rsidR="002C1123" w:rsidRDefault="00F22F94">
      <w:pPr>
        <w:pStyle w:val="ListParagraph"/>
        <w:numPr>
          <w:ilvl w:val="3"/>
          <w:numId w:val="147"/>
        </w:numPr>
        <w:tabs>
          <w:tab w:val="left" w:pos="541"/>
        </w:tabs>
        <w:spacing w:before="132" w:line="249" w:lineRule="auto"/>
        <w:ind w:left="540" w:right="833"/>
        <w:jc w:val="both"/>
        <w:rPr>
          <w:sz w:val="20"/>
        </w:rPr>
      </w:pPr>
      <w:r>
        <w:rPr>
          <w:w w:val="95"/>
          <w:sz w:val="20"/>
        </w:rPr>
        <w:t>A</w:t>
      </w:r>
      <w:r>
        <w:rPr>
          <w:spacing w:val="-6"/>
          <w:w w:val="95"/>
          <w:sz w:val="20"/>
        </w:rPr>
        <w:t xml:space="preserve"> </w:t>
      </w:r>
      <w:r>
        <w:rPr>
          <w:w w:val="95"/>
          <w:sz w:val="20"/>
        </w:rPr>
        <w:t>shift</w:t>
      </w:r>
      <w:r>
        <w:rPr>
          <w:spacing w:val="-6"/>
          <w:w w:val="95"/>
          <w:sz w:val="20"/>
        </w:rPr>
        <w:t xml:space="preserve"> </w:t>
      </w:r>
      <w:r>
        <w:rPr>
          <w:w w:val="95"/>
          <w:sz w:val="20"/>
        </w:rPr>
        <w:t>in</w:t>
      </w:r>
      <w:r>
        <w:rPr>
          <w:spacing w:val="-6"/>
          <w:w w:val="95"/>
          <w:sz w:val="20"/>
        </w:rPr>
        <w:t xml:space="preserve"> </w:t>
      </w:r>
      <w:r>
        <w:rPr>
          <w:w w:val="95"/>
          <w:sz w:val="20"/>
        </w:rPr>
        <w:t>the</w:t>
      </w:r>
      <w:r>
        <w:rPr>
          <w:spacing w:val="-6"/>
          <w:w w:val="95"/>
          <w:sz w:val="20"/>
        </w:rPr>
        <w:t xml:space="preserve"> </w:t>
      </w:r>
      <w:r>
        <w:rPr>
          <w:w w:val="95"/>
          <w:sz w:val="20"/>
        </w:rPr>
        <w:t>demographic</w:t>
      </w:r>
      <w:r>
        <w:rPr>
          <w:spacing w:val="-6"/>
          <w:w w:val="95"/>
          <w:sz w:val="20"/>
        </w:rPr>
        <w:t xml:space="preserve"> </w:t>
      </w:r>
      <w:r>
        <w:rPr>
          <w:w w:val="95"/>
          <w:sz w:val="20"/>
        </w:rPr>
        <w:t>profile</w:t>
      </w:r>
      <w:r>
        <w:rPr>
          <w:spacing w:val="-6"/>
          <w:w w:val="95"/>
          <w:sz w:val="20"/>
        </w:rPr>
        <w:t xml:space="preserve"> </w:t>
      </w:r>
      <w:r>
        <w:rPr>
          <w:w w:val="95"/>
          <w:sz w:val="20"/>
        </w:rPr>
        <w:t>of</w:t>
      </w:r>
      <w:r>
        <w:rPr>
          <w:spacing w:val="-6"/>
          <w:w w:val="95"/>
          <w:sz w:val="20"/>
        </w:rPr>
        <w:t xml:space="preserve"> </w:t>
      </w:r>
      <w:r>
        <w:rPr>
          <w:w w:val="95"/>
          <w:sz w:val="20"/>
        </w:rPr>
        <w:t>our</w:t>
      </w:r>
      <w:r>
        <w:rPr>
          <w:spacing w:val="-6"/>
          <w:w w:val="95"/>
          <w:sz w:val="20"/>
        </w:rPr>
        <w:t xml:space="preserve"> </w:t>
      </w:r>
      <w:r>
        <w:rPr>
          <w:w w:val="95"/>
          <w:sz w:val="20"/>
        </w:rPr>
        <w:t>society</w:t>
      </w:r>
      <w:r>
        <w:rPr>
          <w:spacing w:val="-6"/>
          <w:w w:val="95"/>
          <w:sz w:val="20"/>
        </w:rPr>
        <w:t xml:space="preserve"> </w:t>
      </w:r>
      <w:r>
        <w:rPr>
          <w:w w:val="95"/>
          <w:sz w:val="20"/>
        </w:rPr>
        <w:t>(with an</w:t>
      </w:r>
      <w:r>
        <w:rPr>
          <w:spacing w:val="-3"/>
          <w:w w:val="95"/>
          <w:sz w:val="20"/>
        </w:rPr>
        <w:t xml:space="preserve"> </w:t>
      </w:r>
      <w:r>
        <w:rPr>
          <w:w w:val="95"/>
          <w:sz w:val="20"/>
        </w:rPr>
        <w:t>ageing</w:t>
      </w:r>
      <w:r>
        <w:rPr>
          <w:spacing w:val="-3"/>
          <w:w w:val="95"/>
          <w:sz w:val="20"/>
        </w:rPr>
        <w:t xml:space="preserve"> </w:t>
      </w:r>
      <w:r>
        <w:rPr>
          <w:w w:val="95"/>
          <w:sz w:val="20"/>
        </w:rPr>
        <w:t>population)</w:t>
      </w:r>
      <w:r>
        <w:rPr>
          <w:spacing w:val="-3"/>
          <w:w w:val="95"/>
          <w:sz w:val="20"/>
        </w:rPr>
        <w:t xml:space="preserve"> </w:t>
      </w:r>
      <w:r>
        <w:rPr>
          <w:w w:val="95"/>
          <w:sz w:val="20"/>
        </w:rPr>
        <w:t>will</w:t>
      </w:r>
      <w:r>
        <w:rPr>
          <w:spacing w:val="-3"/>
          <w:w w:val="95"/>
          <w:sz w:val="20"/>
        </w:rPr>
        <w:t xml:space="preserve"> </w:t>
      </w:r>
      <w:r>
        <w:rPr>
          <w:w w:val="95"/>
          <w:sz w:val="20"/>
        </w:rPr>
        <w:t>provide</w:t>
      </w:r>
      <w:r>
        <w:rPr>
          <w:spacing w:val="-3"/>
          <w:w w:val="95"/>
          <w:sz w:val="20"/>
        </w:rPr>
        <w:t xml:space="preserve"> </w:t>
      </w:r>
      <w:r>
        <w:rPr>
          <w:w w:val="95"/>
          <w:sz w:val="20"/>
        </w:rPr>
        <w:t>challenges</w:t>
      </w:r>
      <w:r>
        <w:rPr>
          <w:spacing w:val="-3"/>
          <w:w w:val="95"/>
          <w:sz w:val="20"/>
        </w:rPr>
        <w:t xml:space="preserve"> </w:t>
      </w:r>
      <w:r>
        <w:rPr>
          <w:w w:val="95"/>
          <w:sz w:val="20"/>
        </w:rPr>
        <w:t>for</w:t>
      </w:r>
      <w:r>
        <w:rPr>
          <w:spacing w:val="-3"/>
          <w:w w:val="95"/>
          <w:sz w:val="20"/>
        </w:rPr>
        <w:t xml:space="preserve"> </w:t>
      </w:r>
      <w:r>
        <w:rPr>
          <w:w w:val="95"/>
          <w:sz w:val="20"/>
        </w:rPr>
        <w:t xml:space="preserve">the </w:t>
      </w:r>
      <w:r>
        <w:rPr>
          <w:sz w:val="20"/>
        </w:rPr>
        <w:t>health</w:t>
      </w:r>
      <w:r>
        <w:rPr>
          <w:spacing w:val="-11"/>
          <w:sz w:val="20"/>
        </w:rPr>
        <w:t xml:space="preserve"> </w:t>
      </w:r>
      <w:r>
        <w:rPr>
          <w:sz w:val="20"/>
        </w:rPr>
        <w:t>sector.</w:t>
      </w:r>
    </w:p>
    <w:p w:rsidR="002C1123" w:rsidRDefault="00F22F94">
      <w:pPr>
        <w:pStyle w:val="ListParagraph"/>
        <w:numPr>
          <w:ilvl w:val="3"/>
          <w:numId w:val="147"/>
        </w:numPr>
        <w:tabs>
          <w:tab w:val="left" w:pos="541"/>
        </w:tabs>
        <w:spacing w:before="132" w:line="249" w:lineRule="auto"/>
        <w:ind w:left="540" w:right="793"/>
        <w:rPr>
          <w:sz w:val="20"/>
        </w:rPr>
      </w:pPr>
      <w:r>
        <w:rPr>
          <w:w w:val="95"/>
          <w:sz w:val="20"/>
        </w:rPr>
        <w:t>NSW</w:t>
      </w:r>
      <w:r>
        <w:rPr>
          <w:spacing w:val="-7"/>
          <w:w w:val="95"/>
          <w:sz w:val="20"/>
        </w:rPr>
        <w:t xml:space="preserve"> </w:t>
      </w:r>
      <w:r>
        <w:rPr>
          <w:w w:val="95"/>
          <w:sz w:val="20"/>
        </w:rPr>
        <w:t>is</w:t>
      </w:r>
      <w:r>
        <w:rPr>
          <w:spacing w:val="-7"/>
          <w:w w:val="95"/>
          <w:sz w:val="20"/>
        </w:rPr>
        <w:t xml:space="preserve"> </w:t>
      </w:r>
      <w:r>
        <w:rPr>
          <w:w w:val="95"/>
          <w:sz w:val="20"/>
        </w:rPr>
        <w:t>a</w:t>
      </w:r>
      <w:r>
        <w:rPr>
          <w:spacing w:val="-7"/>
          <w:w w:val="95"/>
          <w:sz w:val="20"/>
        </w:rPr>
        <w:t xml:space="preserve"> </w:t>
      </w:r>
      <w:r>
        <w:rPr>
          <w:w w:val="95"/>
          <w:sz w:val="20"/>
        </w:rPr>
        <w:t>desirable</w:t>
      </w:r>
      <w:r>
        <w:rPr>
          <w:spacing w:val="-7"/>
          <w:w w:val="95"/>
          <w:sz w:val="20"/>
        </w:rPr>
        <w:t xml:space="preserve"> </w:t>
      </w:r>
      <w:r>
        <w:rPr>
          <w:w w:val="95"/>
          <w:sz w:val="20"/>
        </w:rPr>
        <w:t>tourist,</w:t>
      </w:r>
      <w:r>
        <w:rPr>
          <w:spacing w:val="-7"/>
          <w:w w:val="95"/>
          <w:sz w:val="20"/>
        </w:rPr>
        <w:t xml:space="preserve"> </w:t>
      </w:r>
      <w:r>
        <w:rPr>
          <w:w w:val="95"/>
          <w:sz w:val="20"/>
        </w:rPr>
        <w:t>business</w:t>
      </w:r>
      <w:r>
        <w:rPr>
          <w:spacing w:val="-7"/>
          <w:w w:val="95"/>
          <w:sz w:val="20"/>
        </w:rPr>
        <w:t xml:space="preserve"> </w:t>
      </w:r>
      <w:r>
        <w:rPr>
          <w:w w:val="95"/>
          <w:sz w:val="20"/>
        </w:rPr>
        <w:t>and</w:t>
      </w:r>
      <w:r>
        <w:rPr>
          <w:spacing w:val="-7"/>
          <w:w w:val="95"/>
          <w:sz w:val="20"/>
        </w:rPr>
        <w:t xml:space="preserve"> </w:t>
      </w:r>
      <w:r>
        <w:rPr>
          <w:w w:val="95"/>
          <w:sz w:val="20"/>
        </w:rPr>
        <w:t xml:space="preserve">immigration </w:t>
      </w:r>
      <w:r>
        <w:rPr>
          <w:sz w:val="20"/>
        </w:rPr>
        <w:t>destination</w:t>
      </w:r>
      <w:r>
        <w:rPr>
          <w:spacing w:val="-12"/>
          <w:sz w:val="20"/>
        </w:rPr>
        <w:t xml:space="preserve"> </w:t>
      </w:r>
      <w:r>
        <w:rPr>
          <w:sz w:val="20"/>
        </w:rPr>
        <w:t>in</w:t>
      </w:r>
      <w:r>
        <w:rPr>
          <w:spacing w:val="-12"/>
          <w:sz w:val="20"/>
        </w:rPr>
        <w:t xml:space="preserve"> </w:t>
      </w:r>
      <w:r>
        <w:rPr>
          <w:sz w:val="20"/>
        </w:rPr>
        <w:t>the</w:t>
      </w:r>
      <w:r>
        <w:rPr>
          <w:spacing w:val="-12"/>
          <w:sz w:val="20"/>
        </w:rPr>
        <w:t xml:space="preserve"> </w:t>
      </w:r>
      <w:r>
        <w:rPr>
          <w:sz w:val="20"/>
        </w:rPr>
        <w:t>region,</w:t>
      </w:r>
      <w:r>
        <w:rPr>
          <w:spacing w:val="-12"/>
          <w:sz w:val="20"/>
        </w:rPr>
        <w:t xml:space="preserve"> </w:t>
      </w:r>
      <w:r>
        <w:rPr>
          <w:sz w:val="20"/>
        </w:rPr>
        <w:t>reflected</w:t>
      </w:r>
      <w:r>
        <w:rPr>
          <w:spacing w:val="-12"/>
          <w:sz w:val="20"/>
        </w:rPr>
        <w:t xml:space="preserve"> </w:t>
      </w:r>
      <w:r>
        <w:rPr>
          <w:sz w:val="20"/>
        </w:rPr>
        <w:t>in</w:t>
      </w:r>
      <w:r>
        <w:rPr>
          <w:spacing w:val="-12"/>
          <w:sz w:val="20"/>
        </w:rPr>
        <w:t xml:space="preserve"> </w:t>
      </w:r>
      <w:r>
        <w:rPr>
          <w:sz w:val="20"/>
        </w:rPr>
        <w:t>the</w:t>
      </w:r>
      <w:r>
        <w:rPr>
          <w:spacing w:val="-12"/>
          <w:sz w:val="20"/>
        </w:rPr>
        <w:t xml:space="preserve"> </w:t>
      </w:r>
      <w:r>
        <w:rPr>
          <w:sz w:val="20"/>
        </w:rPr>
        <w:t>growth</w:t>
      </w:r>
      <w:r>
        <w:rPr>
          <w:spacing w:val="-12"/>
          <w:sz w:val="20"/>
        </w:rPr>
        <w:t xml:space="preserve"> </w:t>
      </w:r>
      <w:r>
        <w:rPr>
          <w:sz w:val="20"/>
        </w:rPr>
        <w:t>in visitor</w:t>
      </w:r>
      <w:r>
        <w:rPr>
          <w:spacing w:val="-14"/>
          <w:sz w:val="20"/>
        </w:rPr>
        <w:t xml:space="preserve"> </w:t>
      </w:r>
      <w:r>
        <w:rPr>
          <w:sz w:val="20"/>
        </w:rPr>
        <w:t>and</w:t>
      </w:r>
      <w:r>
        <w:rPr>
          <w:spacing w:val="-14"/>
          <w:sz w:val="20"/>
        </w:rPr>
        <w:t xml:space="preserve"> </w:t>
      </w:r>
      <w:r>
        <w:rPr>
          <w:sz w:val="20"/>
        </w:rPr>
        <w:t>air</w:t>
      </w:r>
      <w:r>
        <w:rPr>
          <w:spacing w:val="-14"/>
          <w:sz w:val="20"/>
        </w:rPr>
        <w:t xml:space="preserve"> </w:t>
      </w:r>
      <w:r>
        <w:rPr>
          <w:sz w:val="20"/>
        </w:rPr>
        <w:t>passenger</w:t>
      </w:r>
      <w:r>
        <w:rPr>
          <w:spacing w:val="-14"/>
          <w:sz w:val="20"/>
        </w:rPr>
        <w:t xml:space="preserve"> </w:t>
      </w:r>
      <w:r>
        <w:rPr>
          <w:sz w:val="20"/>
        </w:rPr>
        <w:t>travel</w:t>
      </w:r>
      <w:r>
        <w:rPr>
          <w:spacing w:val="-14"/>
          <w:sz w:val="20"/>
        </w:rPr>
        <w:t xml:space="preserve"> </w:t>
      </w:r>
      <w:r>
        <w:rPr>
          <w:sz w:val="20"/>
        </w:rPr>
        <w:t>numbers.</w:t>
      </w:r>
      <w:r>
        <w:rPr>
          <w:spacing w:val="-14"/>
          <w:sz w:val="20"/>
        </w:rPr>
        <w:t xml:space="preserve"> </w:t>
      </w:r>
      <w:r>
        <w:rPr>
          <w:sz w:val="20"/>
        </w:rPr>
        <w:t>This</w:t>
      </w:r>
      <w:r>
        <w:rPr>
          <w:spacing w:val="-14"/>
          <w:sz w:val="20"/>
        </w:rPr>
        <w:t xml:space="preserve"> </w:t>
      </w:r>
      <w:r>
        <w:rPr>
          <w:sz w:val="20"/>
        </w:rPr>
        <w:t>will place</w:t>
      </w:r>
      <w:r>
        <w:rPr>
          <w:spacing w:val="-6"/>
          <w:sz w:val="20"/>
        </w:rPr>
        <w:t xml:space="preserve"> </w:t>
      </w:r>
      <w:r>
        <w:rPr>
          <w:sz w:val="20"/>
        </w:rPr>
        <w:t>greater</w:t>
      </w:r>
      <w:r>
        <w:rPr>
          <w:spacing w:val="-6"/>
          <w:sz w:val="20"/>
        </w:rPr>
        <w:t xml:space="preserve"> </w:t>
      </w:r>
      <w:r>
        <w:rPr>
          <w:sz w:val="20"/>
        </w:rPr>
        <w:t>demands</w:t>
      </w:r>
      <w:r>
        <w:rPr>
          <w:spacing w:val="-6"/>
          <w:sz w:val="20"/>
        </w:rPr>
        <w:t xml:space="preserve"> </w:t>
      </w:r>
      <w:r>
        <w:rPr>
          <w:sz w:val="20"/>
        </w:rPr>
        <w:t>on</w:t>
      </w:r>
      <w:r>
        <w:rPr>
          <w:spacing w:val="-6"/>
          <w:sz w:val="20"/>
        </w:rPr>
        <w:t xml:space="preserve"> </w:t>
      </w:r>
      <w:r>
        <w:rPr>
          <w:sz w:val="20"/>
        </w:rPr>
        <w:t>our</w:t>
      </w:r>
      <w:r>
        <w:rPr>
          <w:spacing w:val="-6"/>
          <w:sz w:val="20"/>
        </w:rPr>
        <w:t xml:space="preserve"> </w:t>
      </w:r>
      <w:r>
        <w:rPr>
          <w:sz w:val="20"/>
        </w:rPr>
        <w:t>key</w:t>
      </w:r>
      <w:r>
        <w:rPr>
          <w:spacing w:val="-6"/>
          <w:sz w:val="20"/>
        </w:rPr>
        <w:t xml:space="preserve"> </w:t>
      </w:r>
      <w:r>
        <w:rPr>
          <w:sz w:val="20"/>
        </w:rPr>
        <w:t>transport</w:t>
      </w:r>
      <w:r>
        <w:rPr>
          <w:spacing w:val="-6"/>
          <w:sz w:val="20"/>
        </w:rPr>
        <w:t xml:space="preserve"> </w:t>
      </w:r>
      <w:r>
        <w:rPr>
          <w:sz w:val="20"/>
        </w:rPr>
        <w:t>hubs such</w:t>
      </w:r>
      <w:r>
        <w:rPr>
          <w:spacing w:val="-8"/>
          <w:sz w:val="20"/>
        </w:rPr>
        <w:t xml:space="preserve"> </w:t>
      </w:r>
      <w:r>
        <w:rPr>
          <w:sz w:val="20"/>
        </w:rPr>
        <w:t>as</w:t>
      </w:r>
      <w:r>
        <w:rPr>
          <w:spacing w:val="-8"/>
          <w:sz w:val="20"/>
        </w:rPr>
        <w:t xml:space="preserve"> </w:t>
      </w:r>
      <w:r>
        <w:rPr>
          <w:sz w:val="20"/>
        </w:rPr>
        <w:t>Sydney</w:t>
      </w:r>
      <w:r>
        <w:rPr>
          <w:spacing w:val="-8"/>
          <w:sz w:val="20"/>
        </w:rPr>
        <w:t xml:space="preserve"> </w:t>
      </w:r>
      <w:r>
        <w:rPr>
          <w:sz w:val="20"/>
        </w:rPr>
        <w:t>Airport</w:t>
      </w:r>
      <w:r>
        <w:rPr>
          <w:spacing w:val="-8"/>
          <w:sz w:val="20"/>
        </w:rPr>
        <w:t xml:space="preserve"> </w:t>
      </w:r>
      <w:r>
        <w:rPr>
          <w:sz w:val="20"/>
        </w:rPr>
        <w:t>and</w:t>
      </w:r>
      <w:r>
        <w:rPr>
          <w:spacing w:val="-8"/>
          <w:sz w:val="20"/>
        </w:rPr>
        <w:t xml:space="preserve"> </w:t>
      </w:r>
      <w:r>
        <w:rPr>
          <w:sz w:val="20"/>
        </w:rPr>
        <w:t>the</w:t>
      </w:r>
      <w:r>
        <w:rPr>
          <w:spacing w:val="-8"/>
          <w:sz w:val="20"/>
        </w:rPr>
        <w:t xml:space="preserve"> </w:t>
      </w:r>
      <w:r>
        <w:rPr>
          <w:sz w:val="20"/>
        </w:rPr>
        <w:t>associated</w:t>
      </w:r>
      <w:r>
        <w:rPr>
          <w:spacing w:val="-8"/>
          <w:sz w:val="20"/>
        </w:rPr>
        <w:t xml:space="preserve"> </w:t>
      </w:r>
      <w:r>
        <w:rPr>
          <w:sz w:val="20"/>
        </w:rPr>
        <w:t>land transport</w:t>
      </w:r>
      <w:r>
        <w:rPr>
          <w:spacing w:val="-11"/>
          <w:sz w:val="20"/>
        </w:rPr>
        <w:t xml:space="preserve"> </w:t>
      </w:r>
      <w:r>
        <w:rPr>
          <w:sz w:val="20"/>
        </w:rPr>
        <w:t>connections.</w:t>
      </w:r>
    </w:p>
    <w:p w:rsidR="002C1123" w:rsidRDefault="00F22F94">
      <w:pPr>
        <w:pStyle w:val="ListParagraph"/>
        <w:numPr>
          <w:ilvl w:val="3"/>
          <w:numId w:val="147"/>
        </w:numPr>
        <w:tabs>
          <w:tab w:val="left" w:pos="541"/>
        </w:tabs>
        <w:spacing w:before="134" w:line="249" w:lineRule="auto"/>
        <w:ind w:left="540" w:right="1031"/>
        <w:jc w:val="both"/>
        <w:rPr>
          <w:sz w:val="20"/>
        </w:rPr>
      </w:pPr>
      <w:r>
        <w:rPr>
          <w:w w:val="95"/>
          <w:sz w:val="20"/>
        </w:rPr>
        <w:t xml:space="preserve">Public transport is expected to experience strong growth particularly supporting Global Sydney and </w:t>
      </w:r>
      <w:r>
        <w:rPr>
          <w:sz w:val="20"/>
        </w:rPr>
        <w:t>other business centres.</w:t>
      </w:r>
    </w:p>
    <w:p w:rsidR="002C1123" w:rsidRDefault="002C1123">
      <w:pPr>
        <w:spacing w:line="249" w:lineRule="auto"/>
        <w:jc w:val="both"/>
        <w:rPr>
          <w:sz w:val="20"/>
        </w:rPr>
        <w:sectPr w:rsidR="002C1123">
          <w:type w:val="continuous"/>
          <w:pgSz w:w="16840" w:h="11910" w:orient="landscape"/>
          <w:pgMar w:top="560" w:right="280" w:bottom="280" w:left="500" w:header="0" w:footer="517" w:gutter="0"/>
          <w:cols w:num="3" w:space="720" w:equalWidth="0">
            <w:col w:w="5209" w:space="40"/>
            <w:col w:w="5001" w:space="39"/>
            <w:col w:w="5771"/>
          </w:cols>
        </w:sectPr>
      </w:pPr>
    </w:p>
    <w:p w:rsidR="002C1123" w:rsidRDefault="002C1123">
      <w:pPr>
        <w:pStyle w:val="BodyText"/>
      </w:pPr>
    </w:p>
    <w:p w:rsidR="002C1123" w:rsidRDefault="002C1123">
      <w:pPr>
        <w:pStyle w:val="BodyText"/>
        <w:spacing w:before="1"/>
        <w:rPr>
          <w:sz w:val="22"/>
        </w:rPr>
      </w:pPr>
    </w:p>
    <w:p w:rsidR="002C1123" w:rsidRDefault="002060EF">
      <w:pPr>
        <w:pStyle w:val="Heading6"/>
        <w:ind w:left="531"/>
      </w:pPr>
      <w:r>
        <w:pict>
          <v:group id="docshapegroup491" o:spid="_x0000_s4815" style="position:absolute;left:0;text-align:left;margin-left:49.7pt;margin-top:26.85pt;width:127.2pt;height:59.65pt;z-index:-251413504;mso-wrap-distance-left:0;mso-wrap-distance-right:0;mso-position-horizontal-relative:page" coordorigin="994,537" coordsize="2544,1193">
            <v:shape id="docshape492" o:spid="_x0000_s4817" style="position:absolute;left:994;top:536;width:2543;height:1193" coordorigin="994,537" coordsize="2543,1193" o:spt="100" adj="0,,0" path="m1730,1463r-9,-71l1694,1329r-42,-54l1598,1233r-63,-27l1464,1197r-70,9l1330,1233r-54,42l1235,1329r-27,63l1198,1463r10,70l1235,1597r41,54l1330,1692r64,27l1464,1729r71,-10l1598,1692r54,-41l1694,1597r27,-64l1730,1463xm3403,1463r-9,-71l3367,1329r-42,-54l3271,1233r-63,-27l3137,1197r-70,9l3003,1233r-54,42l2908,1329r-27,63l2871,1463r10,70l2908,1597r41,54l3003,1692r64,27l3137,1729r71,-10l3271,1692r54,-41l3367,1597r27,-64l3403,1463xm3537,1295r-21,-94l3466,1101r-14,-18l3407,1040r-75,-47l3224,958,2830,868r-68,-55l2589,693,2351,578,2089,537r-84,6l1928,550r-73,8l1786,569r-67,15l1653,602r-65,23l1521,654r-68,36l1381,733r-77,51l1222,844r-65,67l1041,1078r-47,216l1136,1511r2,-1l1136,1497r-1,-13l1134,1470r-1,-13l1142,1382r24,-68l1205,1254r50,-51l1315,1165r69,-25l1458,1132r73,8l1599,1164r59,37l1708,1250r39,58l1772,1374r2,7l1777,1407r3,54l1780,1552r1034,l2814,1432r13,-70l2853,1299r39,-56l2942,1197r59,-35l3066,1140r71,-8l3212,1140r68,25l3340,1203r51,51l3429,1314r25,68l3462,1457r,11l3462,1479r-2,11l3459,1535r2,13l3466,1553r13,-13l3500,1505r22,-55l3536,1379r1,-84xe" fillcolor="#c9c8c9" stroked="f">
              <v:stroke joinstyle="round"/>
              <v:formulas/>
              <v:path arrowok="t" o:connecttype="segments"/>
            </v:shape>
            <v:shape id="docshape493" o:spid="_x0000_s4816" style="position:absolute;left:993;top:664;width:2273;height:1065" coordorigin="994,664" coordsize="2273,1065" o:spt="100" adj="0,,0" path="m1651,1491r-12,-75l1605,1351r-51,-51l1489,1266r-75,-12l1339,1266r-66,34l1222,1351r-34,65l1176,1491r12,75l1222,1631r51,52l1339,1717r75,12l1489,1717r65,-34l1605,1631r34,-65l1651,1491xm3145,1491r-12,-75l3099,1351r-51,-51l2982,1266r-75,-12l2832,1266r-65,34l2716,1351r-34,65l2670,1491r12,75l2716,1631r51,52l2832,1717r75,12l2982,1717r66,-34l3099,1631r34,-65l3145,1491xm3266,1367r-16,-95l3201,1168r-13,-16l3149,1114r-68,-43l2985,1040,2633,960r-60,-49l2418,804,2205,702,1971,664r-81,6l1815,677r-70,9l1679,698r-65,15l1551,733r-65,26l1420,792r-69,40l1277,881r-79,58l1139,999r-103,148l994,1341r126,193l1122,1533r-1,-11l1119,1510r,-12l1118,1486r11,-77l1158,1339r45,-58l1262,1235r69,-29l1408,1196r78,10l1556,1236r59,46l1660,1342r29,70l1690,1418r3,23l1695,1489r1,82l2618,1571r,-107l2633,1392r31,-64l2710,1274r57,-42l2834,1205r73,-9l2985,1206r69,29l3113,1281r45,58l3187,1409r10,77l3197,1496r,10l3196,1516r-1,40l3196,1568r5,4l3215,1556r23,-42l3258,1449r8,-82xe" fillcolor="#00aeef" stroked="f">
              <v:stroke joinstyle="round"/>
              <v:formulas/>
              <v:path arrowok="t" o:connecttype="segments"/>
            </v:shape>
            <w10:wrap type="topAndBottom" anchorx="page"/>
          </v:group>
        </w:pict>
      </w:r>
      <w:r>
        <w:pict>
          <v:group id="docshapegroup494" o:spid="_x0000_s4808" style="position:absolute;left:0;text-align:left;margin-left:258.05pt;margin-top:34.65pt;width:157.7pt;height:50.4pt;z-index:-251412480;mso-wrap-distance-left:0;mso-wrap-distance-right:0;mso-position-horizontal-relative:page" coordorigin="5161,693" coordsize="3154,1008">
            <v:shape id="docshape495" o:spid="_x0000_s4814" type="#_x0000_t75" style="position:absolute;left:5873;top:1407;width:293;height:293">
              <v:imagedata r:id="rId69" o:title=""/>
            </v:shape>
            <v:shape id="docshape496" o:spid="_x0000_s4813" type="#_x0000_t75" style="position:absolute;left:7561;top:1407;width:293;height:293">
              <v:imagedata r:id="rId69" o:title=""/>
            </v:shape>
            <v:shape id="docshape497" o:spid="_x0000_s4812" style="position:absolute;left:5160;top:692;width:3154;height:862" coordorigin="5161,693" coordsize="3154,862" o:spt="100" adj="0,,0" path="m7966,693r-790,l7144,699r-26,14l7099,728r-6,6l5402,734r-143,24l5188,811r-25,53l5161,888r,581l5161,1498r7,28l5186,1542r27,8l5245,1554r,l5245,1554r599,l5858,1486r37,-56l5951,1393r68,-14l8315,1379r,-64l8095,1315r,-200l5348,1115r,-2l5286,1100r-50,-34l5202,1015r-12,-62l5203,891r34,-51l5288,805r62,-12l8095,793r,-3l8252,790r-18,-21l8117,717,8012,697r-46,-4xm7707,1379r-1688,l6040,1381r21,3l6080,1390r19,9l6133,1421r29,29l6182,1486r11,41l6196,1554r1336,l7546,1486r37,-56l7639,1393r68,-14xm8315,1379r-608,l7775,1393r55,37l7868,1486r14,68l8249,1554r38,-10l8306,1522r8,-22l8315,1491r,-112xm8252,790r-92,l8195,795r17,18l8222,846r,469l8315,1315r,-449l8252,790xm8095,793r-2312,l5783,1115r30,l5813,793r2282,l8095,793xm6303,793r-29,l6274,1115r29,l6303,793xm6800,793r-29,l6771,1115r29,l6800,793xm7289,793r-29,l7260,1115r29,l7289,793xm8095,793r-256,l7839,1115r256,l8095,793xm5357,793r-4,l5355,793r2,l5357,793xe" fillcolor="#c9c8c9" stroked="f">
              <v:stroke joinstyle="round"/>
              <v:formulas/>
              <v:path arrowok="t" o:connecttype="segments"/>
            </v:shape>
            <v:shape id="docshape498" o:spid="_x0000_s4811" type="#_x0000_t75" style="position:absolute;left:5826;top:1426;width:274;height:274">
              <v:imagedata r:id="rId70" o:title=""/>
            </v:shape>
            <v:shape id="docshape499" o:spid="_x0000_s4810" type="#_x0000_t75" style="position:absolute;left:7404;top:1426;width:274;height:274">
              <v:imagedata r:id="rId71" o:title=""/>
            </v:shape>
            <v:shape id="docshape500" o:spid="_x0000_s4809" style="position:absolute;left:5160;top:758;width:2948;height:805" coordorigin="5161,759" coordsize="2948,805" o:spt="100" adj="0,,0" path="m7782,759r-738,l7015,765r-25,13l6973,791r-7,6l5386,797r-133,23l5186,869r-23,50l5161,941r,543l5161,1511r7,26l5185,1552r24,8l5239,1563r1,l5240,1564r559,l5812,1500r35,-52l5899,1413r64,-13l8108,1400r,-60l7903,1340r,-187l5336,1153r,-1l5278,1139r-47,-32l5200,1060r-12,-58l5200,944r32,-48l5280,864r58,-12l7903,852r,-2l8049,849r-16,-19l7924,781r-99,-19l7782,759xm7540,1400r-1577,l5983,1401r19,4l6020,1411r17,7l6070,1439r26,28l6115,1500r11,38l6129,1564r1248,l7390,1500r35,-52l7477,1413r63,-13xm8108,1400r-568,l7604,1413r52,35l7691,1500r13,64l8047,1564r35,-10l8101,1534r6,-20l8108,1504r,-104xm8049,849r-85,l7997,855r15,16l8022,902r,438l8108,1340r,-419l8049,849xm5770,852r-27,l5743,1153r27,l5770,852xm6228,852r-27,l6201,1153r27,l6228,852xm6693,852r-27,l6666,1153r27,l6693,852xm7150,852r-28,l7122,1153r28,l7150,852xm7903,852r-239,l7664,1153r239,l7903,852xm5345,852r-5,l5342,852r3,l5345,852xe" fillcolor="#00aeef" stroked="f">
              <v:stroke joinstyle="round"/>
              <v:formulas/>
              <v:path arrowok="t" o:connecttype="segments"/>
            </v:shape>
            <w10:wrap type="topAndBottom" anchorx="page"/>
          </v:group>
        </w:pict>
      </w:r>
      <w:r>
        <w:pict>
          <v:group id="docshapegroup501" o:spid="_x0000_s4805" style="position:absolute;left:0;text-align:left;margin-left:469.3pt;margin-top:18.55pt;width:89pt;height:68.9pt;z-index:-251411456;mso-wrap-distance-left:0;mso-wrap-distance-right:0;mso-position-horizontal-relative:page" coordorigin="9386,371" coordsize="1780,1378">
            <v:shape id="docshape502" o:spid="_x0000_s4807" style="position:absolute;left:9386;top:370;width:1780;height:1378" coordorigin="9386,371" coordsize="1780,1378" o:spt="100" adj="0,,0" path="m11166,1573r-1131,l10035,1645r-302,l9733,1573r-206,l9524,1641r-137,l9387,1748r975,l10600,1685r264,-31l11078,1645r88,l11166,1573xm11166,1231r-100,-27l11047,1199r-108,-39l10842,1116r-66,-37l10756,1068r-77,-53l10611,960r-59,-56l10501,846r-44,-57l10441,766r-1,-2l10419,734r-31,-53l10362,630r-21,-45l10324,544r-13,-34l10301,482r-8,-19l10290,460r-35,-50l10254,409r,346l10238,763r-39,1l10170,764r,378l10166,1166r-14,20l10132,1199r-24,5l10083,1199r-20,-13l10050,1166r-5,-24l10050,1117r13,-20l10083,1084r25,-5l10132,1084r20,13l10166,1117r4,25l10170,764r-148,l9636,766r,376l9631,1166r-14,20l9597,1199r-24,5l9548,1199r-20,-13l9515,1166r-5,-24l9515,1117r13,-20l9548,1084r25,-5l9597,1084r20,13l9631,1117r5,25l9636,766r-98,l9506,761r-13,-11l9496,725r15,-48l9535,604r20,-64l9568,495r5,-18l9577,464r550,l10149,460r14,3l10172,478r11,31l10199,559r18,60l10231,668r6,20l10253,732r1,23l10254,409r-42,-27l10176,372r-14,-1l9582,371r-6,6l9540,426r-32,58l9480,549r-24,72l9436,697r-16,79l9407,856r-9,81l9391,1017r-3,78l9386,1169r2,68l9417,1394r55,87l9526,1519r24,8l11137,1527r,l11138,1527r16,l11154,1527r12,-12l11166,1231xe" fillcolor="#c9c8c9" stroked="f">
              <v:stroke joinstyle="round"/>
              <v:formulas/>
              <v:path arrowok="t" o:connecttype="segments"/>
            </v:shape>
            <v:shape id="docshape503" o:spid="_x0000_s4806" style="position:absolute;left:9386;top:580;width:1508;height:1168" coordorigin="9387,581" coordsize="1508,1168" o:spt="100" adj="0,,0" path="m10894,1600r-958,l9936,1661r-256,l9680,1600r-175,l9503,1657r-116,l9387,1748r827,l10415,1694r224,-25l10820,1661r74,l10894,1600xm10894,1310r-82,-23l10773,1276r-107,-41l10572,1187r-9,-6l10491,1134r-70,-57l10361,1019r-50,-59l10280,916r-1,-2l10270,902r-33,-55l10210,795r-20,-46l10174,710r-11,-30l10155,659r-2,-3l10122,614r,l10122,907r-14,7l10075,914r-24,l10051,1234r-4,21l10035,1272r-17,11l9998,1287r-21,-4l9960,1272r-11,-17l9945,1234r4,-21l9960,1196r17,-11l9998,1181r20,4l10035,1196r12,17l10051,1234r,-320l9925,914r-327,2l9598,1234r-5,21l9582,1272r-17,11l9544,1287r-20,-4l9507,1272r-12,-17l9491,1234r4,-21l9507,1196r17,-11l9544,1181r21,4l9582,1196r11,17l9598,1234r,-318l9515,916r-27,-4l9477,902r2,-21l9492,840r20,-62l9529,724r11,-38l9544,671r4,-11l10014,660r19,-4l10044,659r8,13l10062,698r13,43l10090,791r12,41l10107,850r14,37l10122,907r,-293l10086,590r-30,-8l10043,581r-491,l9548,586r-37,51l9479,698r-26,70l9432,844r-17,80l9402,1006r-8,82l9388,1169r-1,65l9387,1255r,60l9412,1448r47,74l9505,1554r20,7l10870,1561r,l10871,1561r13,l10884,1561r10,-10l10894,1310xe" fillcolor="#00aeef" stroked="f">
              <v:stroke joinstyle="round"/>
              <v:formulas/>
              <v:path arrowok="t" o:connecttype="segments"/>
            </v:shape>
            <w10:wrap type="topAndBottom" anchorx="page"/>
          </v:group>
        </w:pict>
      </w:r>
      <w:bookmarkStart w:id="77" w:name="_bookmark54"/>
      <w:bookmarkEnd w:id="77"/>
      <w:r w:rsidR="00F22F94">
        <w:t>Figure</w:t>
      </w:r>
      <w:r w:rsidR="00F22F94">
        <w:rPr>
          <w:spacing w:val="-13"/>
        </w:rPr>
        <w:t xml:space="preserve"> </w:t>
      </w:r>
      <w:r w:rsidR="00F22F94">
        <w:t>2.4</w:t>
      </w:r>
      <w:r w:rsidR="00F22F94">
        <w:rPr>
          <w:spacing w:val="32"/>
        </w:rPr>
        <w:t xml:space="preserve"> </w:t>
      </w:r>
      <w:r w:rsidR="00F22F94">
        <w:t>Future</w:t>
      </w:r>
      <w:r w:rsidR="00F22F94">
        <w:rPr>
          <w:spacing w:val="-13"/>
        </w:rPr>
        <w:t xml:space="preserve"> </w:t>
      </w:r>
      <w:r w:rsidR="00F22F94">
        <w:t>Infrastructure</w:t>
      </w:r>
      <w:r w:rsidR="00F22F94">
        <w:rPr>
          <w:spacing w:val="-12"/>
        </w:rPr>
        <w:t xml:space="preserve"> </w:t>
      </w:r>
      <w:r w:rsidR="00F22F94">
        <w:t>Demands</w:t>
      </w:r>
      <w:r w:rsidR="00F22F94">
        <w:rPr>
          <w:spacing w:val="-12"/>
        </w:rPr>
        <w:t xml:space="preserve"> </w:t>
      </w:r>
      <w:r w:rsidR="00F22F94">
        <w:t>(percentage</w:t>
      </w:r>
      <w:r w:rsidR="00F22F94">
        <w:rPr>
          <w:spacing w:val="-13"/>
        </w:rPr>
        <w:t xml:space="preserve"> </w:t>
      </w:r>
      <w:r w:rsidR="00F22F94">
        <w:rPr>
          <w:spacing w:val="-2"/>
        </w:rPr>
        <w:t>growth)</w:t>
      </w:r>
    </w:p>
    <w:p w:rsidR="002C1123" w:rsidRDefault="002C1123">
      <w:pPr>
        <w:pStyle w:val="BodyText"/>
        <w:spacing w:before="1"/>
        <w:rPr>
          <w:b/>
          <w:sz w:val="6"/>
        </w:rPr>
      </w:pPr>
    </w:p>
    <w:p w:rsidR="002C1123" w:rsidRDefault="002C1123">
      <w:pPr>
        <w:rPr>
          <w:sz w:val="6"/>
        </w:rPr>
        <w:sectPr w:rsidR="002C1123">
          <w:pgSz w:w="16840" w:h="11910" w:orient="landscape"/>
          <w:pgMar w:top="560" w:right="280" w:bottom="700" w:left="500" w:header="0" w:footer="517" w:gutter="0"/>
          <w:cols w:space="720"/>
        </w:sectPr>
      </w:pPr>
    </w:p>
    <w:p w:rsidR="002C1123" w:rsidRDefault="002C1123">
      <w:pPr>
        <w:pStyle w:val="BodyText"/>
        <w:spacing w:before="5"/>
        <w:rPr>
          <w:b/>
        </w:rPr>
      </w:pPr>
    </w:p>
    <w:p w:rsidR="002C1123" w:rsidRDefault="00F22F94">
      <w:pPr>
        <w:spacing w:line="224" w:lineRule="exact"/>
        <w:ind w:left="520"/>
        <w:rPr>
          <w:b/>
          <w:sz w:val="20"/>
        </w:rPr>
      </w:pPr>
      <w:r>
        <w:rPr>
          <w:b/>
          <w:color w:val="EC008C"/>
          <w:sz w:val="20"/>
        </w:rPr>
        <w:t>Road</w:t>
      </w:r>
      <w:r>
        <w:rPr>
          <w:b/>
          <w:color w:val="EC008C"/>
          <w:spacing w:val="-6"/>
          <w:sz w:val="20"/>
        </w:rPr>
        <w:t xml:space="preserve"> </w:t>
      </w:r>
      <w:r>
        <w:rPr>
          <w:b/>
          <w:color w:val="EC008C"/>
          <w:sz w:val="20"/>
        </w:rPr>
        <w:t>–</w:t>
      </w:r>
      <w:r>
        <w:rPr>
          <w:b/>
          <w:color w:val="EC008C"/>
          <w:spacing w:val="-6"/>
          <w:sz w:val="20"/>
        </w:rPr>
        <w:t xml:space="preserve"> </w:t>
      </w:r>
      <w:r>
        <w:rPr>
          <w:b/>
          <w:color w:val="EC008C"/>
          <w:sz w:val="20"/>
        </w:rPr>
        <w:t>Car</w:t>
      </w:r>
      <w:r>
        <w:rPr>
          <w:b/>
          <w:color w:val="EC008C"/>
          <w:spacing w:val="-5"/>
          <w:sz w:val="20"/>
        </w:rPr>
        <w:t xml:space="preserve"> </w:t>
      </w:r>
      <w:r>
        <w:rPr>
          <w:b/>
          <w:color w:val="EC008C"/>
          <w:spacing w:val="-8"/>
          <w:sz w:val="20"/>
        </w:rPr>
        <w:t>Trips</w:t>
      </w:r>
    </w:p>
    <w:p w:rsidR="002C1123" w:rsidRDefault="00F22F94">
      <w:pPr>
        <w:spacing w:line="201" w:lineRule="exact"/>
        <w:ind w:left="520"/>
        <w:rPr>
          <w:sz w:val="18"/>
        </w:rPr>
      </w:pPr>
      <w:r>
        <w:rPr>
          <w:spacing w:val="-2"/>
          <w:sz w:val="18"/>
        </w:rPr>
        <w:t>2011</w:t>
      </w:r>
      <w:r>
        <w:rPr>
          <w:spacing w:val="-10"/>
          <w:sz w:val="18"/>
        </w:rPr>
        <w:t xml:space="preserve"> </w:t>
      </w:r>
      <w:r>
        <w:rPr>
          <w:spacing w:val="-2"/>
          <w:sz w:val="18"/>
        </w:rPr>
        <w:t>–</w:t>
      </w:r>
      <w:r>
        <w:rPr>
          <w:spacing w:val="-10"/>
          <w:sz w:val="18"/>
        </w:rPr>
        <w:t xml:space="preserve"> </w:t>
      </w:r>
      <w:r>
        <w:rPr>
          <w:spacing w:val="-4"/>
          <w:sz w:val="18"/>
        </w:rPr>
        <w:t>8.6m</w:t>
      </w:r>
    </w:p>
    <w:p w:rsidR="002C1123" w:rsidRDefault="00F22F94">
      <w:pPr>
        <w:spacing w:before="50"/>
        <w:ind w:left="520"/>
        <w:rPr>
          <w:sz w:val="18"/>
        </w:rPr>
      </w:pPr>
      <w:r>
        <w:rPr>
          <w:spacing w:val="-2"/>
          <w:sz w:val="18"/>
        </w:rPr>
        <w:t>2031</w:t>
      </w:r>
      <w:r>
        <w:rPr>
          <w:spacing w:val="-10"/>
          <w:sz w:val="18"/>
        </w:rPr>
        <w:t xml:space="preserve"> </w:t>
      </w:r>
      <w:r>
        <w:rPr>
          <w:spacing w:val="-2"/>
          <w:sz w:val="18"/>
        </w:rPr>
        <w:t>–</w:t>
      </w:r>
      <w:r>
        <w:rPr>
          <w:spacing w:val="-10"/>
          <w:sz w:val="18"/>
        </w:rPr>
        <w:t xml:space="preserve"> </w:t>
      </w:r>
      <w:r>
        <w:rPr>
          <w:spacing w:val="-2"/>
          <w:sz w:val="18"/>
        </w:rPr>
        <w:t>10.9m</w:t>
      </w:r>
    </w:p>
    <w:p w:rsidR="002C1123" w:rsidRDefault="00F22F94">
      <w:pPr>
        <w:spacing w:before="78" w:line="868" w:lineRule="exact"/>
        <w:ind w:left="206"/>
        <w:rPr>
          <w:rFonts w:ascii="Trebuchet MS"/>
          <w:sz w:val="87"/>
        </w:rPr>
      </w:pPr>
      <w:r>
        <w:br w:type="column"/>
      </w:r>
      <w:r>
        <w:rPr>
          <w:rFonts w:ascii="Trebuchet MS"/>
          <w:color w:val="2E3092"/>
          <w:spacing w:val="-7"/>
          <w:w w:val="75"/>
          <w:sz w:val="87"/>
        </w:rPr>
        <w:t>27%</w:t>
      </w:r>
    </w:p>
    <w:p w:rsidR="002C1123" w:rsidRDefault="00F22F94">
      <w:pPr>
        <w:pStyle w:val="Heading6"/>
        <w:spacing w:before="206" w:line="224" w:lineRule="exact"/>
        <w:ind w:left="520"/>
      </w:pPr>
      <w:r>
        <w:rPr>
          <w:b w:val="0"/>
        </w:rPr>
        <w:br w:type="column"/>
      </w:r>
      <w:r>
        <w:rPr>
          <w:color w:val="EC008C"/>
        </w:rPr>
        <w:t>Road</w:t>
      </w:r>
      <w:r>
        <w:rPr>
          <w:color w:val="EC008C"/>
          <w:spacing w:val="-12"/>
        </w:rPr>
        <w:t xml:space="preserve"> </w:t>
      </w:r>
      <w:r>
        <w:rPr>
          <w:color w:val="EC008C"/>
        </w:rPr>
        <w:t>–</w:t>
      </w:r>
      <w:r>
        <w:rPr>
          <w:color w:val="EC008C"/>
          <w:spacing w:val="-12"/>
        </w:rPr>
        <w:t xml:space="preserve"> </w:t>
      </w:r>
      <w:r>
        <w:rPr>
          <w:color w:val="EC008C"/>
        </w:rPr>
        <w:t>Bus</w:t>
      </w:r>
      <w:r>
        <w:rPr>
          <w:color w:val="EC008C"/>
          <w:spacing w:val="-11"/>
        </w:rPr>
        <w:t xml:space="preserve"> </w:t>
      </w:r>
      <w:r>
        <w:rPr>
          <w:color w:val="EC008C"/>
          <w:spacing w:val="-4"/>
        </w:rPr>
        <w:t>trips</w:t>
      </w:r>
    </w:p>
    <w:p w:rsidR="002C1123" w:rsidRDefault="00F22F94">
      <w:pPr>
        <w:spacing w:line="201" w:lineRule="exact"/>
        <w:ind w:left="520"/>
        <w:rPr>
          <w:sz w:val="18"/>
        </w:rPr>
      </w:pPr>
      <w:r>
        <w:rPr>
          <w:spacing w:val="-2"/>
          <w:sz w:val="18"/>
        </w:rPr>
        <w:t>2011</w:t>
      </w:r>
      <w:r>
        <w:rPr>
          <w:spacing w:val="-10"/>
          <w:sz w:val="18"/>
        </w:rPr>
        <w:t xml:space="preserve"> </w:t>
      </w:r>
      <w:r>
        <w:rPr>
          <w:spacing w:val="-2"/>
          <w:sz w:val="18"/>
        </w:rPr>
        <w:t>–</w:t>
      </w:r>
      <w:r>
        <w:rPr>
          <w:spacing w:val="-10"/>
          <w:sz w:val="18"/>
        </w:rPr>
        <w:t xml:space="preserve"> </w:t>
      </w:r>
      <w:r>
        <w:rPr>
          <w:spacing w:val="-4"/>
          <w:sz w:val="18"/>
        </w:rPr>
        <w:t>0.7m</w:t>
      </w:r>
    </w:p>
    <w:p w:rsidR="002C1123" w:rsidRDefault="00F22F94">
      <w:pPr>
        <w:spacing w:before="50"/>
        <w:ind w:left="520"/>
        <w:rPr>
          <w:sz w:val="18"/>
        </w:rPr>
      </w:pPr>
      <w:r>
        <w:rPr>
          <w:spacing w:val="-2"/>
          <w:sz w:val="18"/>
        </w:rPr>
        <w:t>2031</w:t>
      </w:r>
      <w:r>
        <w:rPr>
          <w:spacing w:val="-10"/>
          <w:sz w:val="18"/>
        </w:rPr>
        <w:t xml:space="preserve"> </w:t>
      </w:r>
      <w:r>
        <w:rPr>
          <w:spacing w:val="-2"/>
          <w:sz w:val="18"/>
        </w:rPr>
        <w:t>–</w:t>
      </w:r>
      <w:r>
        <w:rPr>
          <w:spacing w:val="-10"/>
          <w:sz w:val="18"/>
        </w:rPr>
        <w:t xml:space="preserve"> </w:t>
      </w:r>
      <w:r>
        <w:rPr>
          <w:spacing w:val="-4"/>
          <w:sz w:val="18"/>
        </w:rPr>
        <w:t>0.9m</w:t>
      </w:r>
    </w:p>
    <w:p w:rsidR="002C1123" w:rsidRDefault="00F22F94">
      <w:pPr>
        <w:spacing w:before="63" w:line="882" w:lineRule="exact"/>
        <w:ind w:left="197"/>
        <w:rPr>
          <w:rFonts w:ascii="Trebuchet MS"/>
          <w:sz w:val="87"/>
        </w:rPr>
      </w:pPr>
      <w:r>
        <w:br w:type="column"/>
      </w:r>
      <w:r>
        <w:rPr>
          <w:rFonts w:ascii="Trebuchet MS"/>
          <w:color w:val="2E3092"/>
          <w:spacing w:val="-5"/>
          <w:w w:val="70"/>
          <w:sz w:val="87"/>
        </w:rPr>
        <w:t>16%</w:t>
      </w:r>
    </w:p>
    <w:p w:rsidR="002C1123" w:rsidRDefault="00F22F94">
      <w:pPr>
        <w:spacing w:before="2"/>
        <w:rPr>
          <w:rFonts w:ascii="Trebuchet MS"/>
          <w:sz w:val="20"/>
        </w:rPr>
      </w:pPr>
      <w:r>
        <w:br w:type="column"/>
      </w:r>
    </w:p>
    <w:p w:rsidR="002C1123" w:rsidRDefault="00F22F94">
      <w:pPr>
        <w:pStyle w:val="Heading6"/>
        <w:spacing w:before="0" w:line="224" w:lineRule="exact"/>
        <w:ind w:left="520"/>
      </w:pPr>
      <w:r>
        <w:rPr>
          <w:color w:val="EC008C"/>
          <w:w w:val="95"/>
        </w:rPr>
        <w:t>Train</w:t>
      </w:r>
      <w:r>
        <w:rPr>
          <w:color w:val="EC008C"/>
          <w:spacing w:val="-6"/>
          <w:w w:val="95"/>
        </w:rPr>
        <w:t xml:space="preserve"> </w:t>
      </w:r>
      <w:r>
        <w:rPr>
          <w:color w:val="EC008C"/>
          <w:spacing w:val="-4"/>
        </w:rPr>
        <w:t>trips</w:t>
      </w:r>
    </w:p>
    <w:p w:rsidR="002C1123" w:rsidRDefault="00F22F94">
      <w:pPr>
        <w:spacing w:line="201" w:lineRule="exact"/>
        <w:ind w:left="520"/>
        <w:rPr>
          <w:sz w:val="18"/>
        </w:rPr>
      </w:pPr>
      <w:r>
        <w:rPr>
          <w:spacing w:val="-2"/>
          <w:sz w:val="18"/>
        </w:rPr>
        <w:t>2011</w:t>
      </w:r>
      <w:r>
        <w:rPr>
          <w:spacing w:val="-10"/>
          <w:sz w:val="18"/>
        </w:rPr>
        <w:t xml:space="preserve"> </w:t>
      </w:r>
      <w:r>
        <w:rPr>
          <w:spacing w:val="-2"/>
          <w:sz w:val="18"/>
        </w:rPr>
        <w:t>–</w:t>
      </w:r>
      <w:r>
        <w:rPr>
          <w:spacing w:val="-10"/>
          <w:sz w:val="18"/>
        </w:rPr>
        <w:t xml:space="preserve"> </w:t>
      </w:r>
      <w:r>
        <w:rPr>
          <w:spacing w:val="-4"/>
          <w:sz w:val="18"/>
        </w:rPr>
        <w:t>0.8m</w:t>
      </w:r>
    </w:p>
    <w:p w:rsidR="002C1123" w:rsidRDefault="00F22F94">
      <w:pPr>
        <w:spacing w:before="50"/>
        <w:ind w:left="520"/>
        <w:rPr>
          <w:sz w:val="18"/>
        </w:rPr>
      </w:pPr>
      <w:r>
        <w:rPr>
          <w:spacing w:val="-2"/>
          <w:sz w:val="18"/>
        </w:rPr>
        <w:t>2031</w:t>
      </w:r>
      <w:r>
        <w:rPr>
          <w:spacing w:val="-10"/>
          <w:sz w:val="18"/>
        </w:rPr>
        <w:t xml:space="preserve"> </w:t>
      </w:r>
      <w:r>
        <w:rPr>
          <w:spacing w:val="-2"/>
          <w:sz w:val="18"/>
        </w:rPr>
        <w:t>–</w:t>
      </w:r>
      <w:r>
        <w:rPr>
          <w:spacing w:val="-10"/>
          <w:sz w:val="18"/>
        </w:rPr>
        <w:t xml:space="preserve"> </w:t>
      </w:r>
      <w:r>
        <w:rPr>
          <w:spacing w:val="-4"/>
          <w:sz w:val="18"/>
        </w:rPr>
        <w:t>1.1m</w:t>
      </w:r>
    </w:p>
    <w:p w:rsidR="002C1123" w:rsidRDefault="00F22F94">
      <w:pPr>
        <w:spacing w:before="67" w:line="878" w:lineRule="exact"/>
        <w:ind w:left="520"/>
        <w:rPr>
          <w:rFonts w:ascii="Trebuchet MS"/>
          <w:sz w:val="87"/>
        </w:rPr>
      </w:pPr>
      <w:r>
        <w:br w:type="column"/>
      </w:r>
      <w:r>
        <w:rPr>
          <w:rFonts w:ascii="Trebuchet MS"/>
          <w:color w:val="2E3092"/>
          <w:spacing w:val="-5"/>
          <w:w w:val="80"/>
          <w:sz w:val="87"/>
        </w:rPr>
        <w:t>37%</w:t>
      </w:r>
    </w:p>
    <w:p w:rsidR="002C1123" w:rsidRDefault="002C1123">
      <w:pPr>
        <w:spacing w:line="878" w:lineRule="exact"/>
        <w:rPr>
          <w:rFonts w:ascii="Trebuchet MS"/>
          <w:sz w:val="87"/>
        </w:rPr>
        <w:sectPr w:rsidR="002C1123">
          <w:type w:val="continuous"/>
          <w:pgSz w:w="16840" w:h="11910" w:orient="landscape"/>
          <w:pgMar w:top="560" w:right="280" w:bottom="280" w:left="500" w:header="0" w:footer="517" w:gutter="0"/>
          <w:cols w:num="6" w:space="720" w:equalWidth="0">
            <w:col w:w="2079" w:space="40"/>
            <w:col w:w="1276" w:space="731"/>
            <w:col w:w="2071" w:space="40"/>
            <w:col w:w="1220" w:space="884"/>
            <w:col w:w="1538" w:space="266"/>
            <w:col w:w="5915"/>
          </w:cols>
        </w:sectPr>
      </w:pPr>
    </w:p>
    <w:p w:rsidR="002C1123" w:rsidRDefault="00F22F94">
      <w:pPr>
        <w:spacing w:before="28"/>
        <w:ind w:left="520"/>
        <w:rPr>
          <w:sz w:val="14"/>
        </w:rPr>
      </w:pPr>
      <w:r>
        <w:rPr>
          <w:sz w:val="14"/>
        </w:rPr>
        <w:t>2.3</w:t>
      </w:r>
      <w:r>
        <w:rPr>
          <w:spacing w:val="-7"/>
          <w:sz w:val="14"/>
        </w:rPr>
        <w:t xml:space="preserve"> </w:t>
      </w:r>
      <w:r>
        <w:rPr>
          <w:sz w:val="14"/>
        </w:rPr>
        <w:t>million</w:t>
      </w:r>
      <w:r>
        <w:rPr>
          <w:spacing w:val="-7"/>
          <w:sz w:val="14"/>
        </w:rPr>
        <w:t xml:space="preserve"> </w:t>
      </w:r>
      <w:r>
        <w:rPr>
          <w:sz w:val="14"/>
        </w:rPr>
        <w:t>more</w:t>
      </w:r>
      <w:r>
        <w:rPr>
          <w:spacing w:val="-7"/>
          <w:sz w:val="14"/>
        </w:rPr>
        <w:t xml:space="preserve"> </w:t>
      </w:r>
      <w:r>
        <w:rPr>
          <w:sz w:val="14"/>
        </w:rPr>
        <w:t>daily</w:t>
      </w:r>
      <w:r>
        <w:rPr>
          <w:spacing w:val="-7"/>
          <w:sz w:val="14"/>
        </w:rPr>
        <w:t xml:space="preserve"> </w:t>
      </w:r>
      <w:r>
        <w:rPr>
          <w:sz w:val="14"/>
        </w:rPr>
        <w:t>car</w:t>
      </w:r>
      <w:r>
        <w:rPr>
          <w:spacing w:val="-7"/>
          <w:sz w:val="14"/>
        </w:rPr>
        <w:t xml:space="preserve"> </w:t>
      </w:r>
      <w:r>
        <w:rPr>
          <w:sz w:val="14"/>
        </w:rPr>
        <w:t>trips</w:t>
      </w:r>
      <w:r>
        <w:rPr>
          <w:spacing w:val="-7"/>
          <w:sz w:val="14"/>
        </w:rPr>
        <w:t xml:space="preserve"> </w:t>
      </w:r>
      <w:r>
        <w:rPr>
          <w:sz w:val="14"/>
        </w:rPr>
        <w:t>need</w:t>
      </w:r>
      <w:r>
        <w:rPr>
          <w:spacing w:val="-7"/>
          <w:sz w:val="14"/>
        </w:rPr>
        <w:t xml:space="preserve"> </w:t>
      </w:r>
      <w:r>
        <w:rPr>
          <w:sz w:val="14"/>
        </w:rPr>
        <w:t>to</w:t>
      </w:r>
      <w:r>
        <w:rPr>
          <w:spacing w:val="-7"/>
          <w:sz w:val="14"/>
        </w:rPr>
        <w:t xml:space="preserve"> </w:t>
      </w:r>
      <w:r>
        <w:rPr>
          <w:sz w:val="14"/>
        </w:rPr>
        <w:t>be</w:t>
      </w:r>
      <w:r>
        <w:rPr>
          <w:spacing w:val="40"/>
          <w:sz w:val="14"/>
        </w:rPr>
        <w:t xml:space="preserve"> </w:t>
      </w:r>
      <w:r>
        <w:rPr>
          <w:sz w:val="14"/>
        </w:rPr>
        <w:t>accommodated</w:t>
      </w:r>
      <w:r>
        <w:rPr>
          <w:spacing w:val="-3"/>
          <w:sz w:val="14"/>
        </w:rPr>
        <w:t xml:space="preserve"> </w:t>
      </w:r>
      <w:r>
        <w:rPr>
          <w:sz w:val="14"/>
        </w:rPr>
        <w:t>on</w:t>
      </w:r>
      <w:r>
        <w:rPr>
          <w:spacing w:val="-2"/>
          <w:sz w:val="14"/>
        </w:rPr>
        <w:t xml:space="preserve"> </w:t>
      </w:r>
      <w:r>
        <w:rPr>
          <w:sz w:val="14"/>
        </w:rPr>
        <w:t>our</w:t>
      </w:r>
      <w:r>
        <w:rPr>
          <w:spacing w:val="-2"/>
          <w:sz w:val="14"/>
        </w:rPr>
        <w:t xml:space="preserve"> </w:t>
      </w:r>
      <w:r>
        <w:rPr>
          <w:sz w:val="14"/>
        </w:rPr>
        <w:t>roads</w:t>
      </w:r>
      <w:r>
        <w:rPr>
          <w:spacing w:val="-2"/>
          <w:sz w:val="14"/>
        </w:rPr>
        <w:t xml:space="preserve"> </w:t>
      </w:r>
      <w:r>
        <w:rPr>
          <w:sz w:val="14"/>
        </w:rPr>
        <w:t>in</w:t>
      </w:r>
      <w:r>
        <w:rPr>
          <w:spacing w:val="-2"/>
          <w:sz w:val="14"/>
        </w:rPr>
        <w:t xml:space="preserve"> </w:t>
      </w:r>
      <w:r>
        <w:rPr>
          <w:sz w:val="14"/>
        </w:rPr>
        <w:t>2031-</w:t>
      </w:r>
      <w:r>
        <w:rPr>
          <w:spacing w:val="-5"/>
          <w:sz w:val="14"/>
        </w:rPr>
        <w:t>32.</w:t>
      </w:r>
    </w:p>
    <w:p w:rsidR="002C1123" w:rsidRDefault="00F22F94">
      <w:pPr>
        <w:spacing w:before="28"/>
        <w:ind w:left="520"/>
        <w:rPr>
          <w:sz w:val="14"/>
        </w:rPr>
      </w:pPr>
      <w:r>
        <w:br w:type="column"/>
      </w:r>
      <w:r>
        <w:rPr>
          <w:sz w:val="14"/>
        </w:rPr>
        <w:t>An</w:t>
      </w:r>
      <w:r>
        <w:rPr>
          <w:spacing w:val="-8"/>
          <w:sz w:val="14"/>
        </w:rPr>
        <w:t xml:space="preserve"> </w:t>
      </w:r>
      <w:r>
        <w:rPr>
          <w:sz w:val="14"/>
        </w:rPr>
        <w:t>extra</w:t>
      </w:r>
      <w:r>
        <w:rPr>
          <w:spacing w:val="-8"/>
          <w:sz w:val="14"/>
        </w:rPr>
        <w:t xml:space="preserve"> </w:t>
      </w:r>
      <w:r>
        <w:rPr>
          <w:sz w:val="14"/>
        </w:rPr>
        <w:t>121,000</w:t>
      </w:r>
      <w:r>
        <w:rPr>
          <w:spacing w:val="-8"/>
          <w:sz w:val="14"/>
        </w:rPr>
        <w:t xml:space="preserve"> </w:t>
      </w:r>
      <w:r>
        <w:rPr>
          <w:sz w:val="14"/>
        </w:rPr>
        <w:t>more</w:t>
      </w:r>
      <w:r>
        <w:rPr>
          <w:spacing w:val="-8"/>
          <w:sz w:val="14"/>
        </w:rPr>
        <w:t xml:space="preserve"> </w:t>
      </w:r>
      <w:r>
        <w:rPr>
          <w:sz w:val="14"/>
        </w:rPr>
        <w:t>bus</w:t>
      </w:r>
      <w:r>
        <w:rPr>
          <w:spacing w:val="-8"/>
          <w:sz w:val="14"/>
        </w:rPr>
        <w:t xml:space="preserve"> </w:t>
      </w:r>
      <w:r>
        <w:rPr>
          <w:sz w:val="14"/>
        </w:rPr>
        <w:t>trips</w:t>
      </w:r>
      <w:r>
        <w:rPr>
          <w:spacing w:val="-8"/>
          <w:sz w:val="14"/>
        </w:rPr>
        <w:t xml:space="preserve"> </w:t>
      </w:r>
      <w:r>
        <w:rPr>
          <w:sz w:val="14"/>
        </w:rPr>
        <w:t>each</w:t>
      </w:r>
      <w:r>
        <w:rPr>
          <w:spacing w:val="-8"/>
          <w:sz w:val="14"/>
        </w:rPr>
        <w:t xml:space="preserve"> </w:t>
      </w:r>
      <w:r>
        <w:rPr>
          <w:sz w:val="14"/>
        </w:rPr>
        <w:t>day</w:t>
      </w:r>
      <w:r>
        <w:rPr>
          <w:spacing w:val="-8"/>
          <w:sz w:val="14"/>
        </w:rPr>
        <w:t xml:space="preserve"> </w:t>
      </w:r>
      <w:r>
        <w:rPr>
          <w:sz w:val="14"/>
        </w:rPr>
        <w:t>need</w:t>
      </w:r>
      <w:r>
        <w:rPr>
          <w:spacing w:val="40"/>
          <w:sz w:val="14"/>
        </w:rPr>
        <w:t xml:space="preserve"> </w:t>
      </w:r>
      <w:r>
        <w:rPr>
          <w:sz w:val="14"/>
        </w:rPr>
        <w:t>to be accommodated on our roads.</w:t>
      </w:r>
    </w:p>
    <w:p w:rsidR="002C1123" w:rsidRDefault="00F22F94">
      <w:pPr>
        <w:spacing w:before="4"/>
        <w:ind w:left="520" w:right="4121"/>
        <w:rPr>
          <w:sz w:val="14"/>
        </w:rPr>
      </w:pPr>
      <w:r>
        <w:br w:type="column"/>
      </w:r>
      <w:r>
        <w:rPr>
          <w:sz w:val="14"/>
        </w:rPr>
        <w:t>An extra 326,000 train trips each day are</w:t>
      </w:r>
      <w:r>
        <w:rPr>
          <w:spacing w:val="40"/>
          <w:sz w:val="14"/>
        </w:rPr>
        <w:t xml:space="preserve"> </w:t>
      </w:r>
      <w:r>
        <w:rPr>
          <w:sz w:val="14"/>
        </w:rPr>
        <w:t>expected</w:t>
      </w:r>
      <w:r>
        <w:rPr>
          <w:spacing w:val="-6"/>
          <w:sz w:val="14"/>
        </w:rPr>
        <w:t xml:space="preserve"> </w:t>
      </w:r>
      <w:r>
        <w:rPr>
          <w:sz w:val="14"/>
        </w:rPr>
        <w:t>in</w:t>
      </w:r>
      <w:r>
        <w:rPr>
          <w:spacing w:val="-6"/>
          <w:sz w:val="14"/>
        </w:rPr>
        <w:t xml:space="preserve"> </w:t>
      </w:r>
      <w:r>
        <w:rPr>
          <w:sz w:val="14"/>
        </w:rPr>
        <w:t>2031-32,</w:t>
      </w:r>
      <w:r>
        <w:rPr>
          <w:spacing w:val="-6"/>
          <w:sz w:val="14"/>
        </w:rPr>
        <w:t xml:space="preserve"> </w:t>
      </w:r>
      <w:r>
        <w:rPr>
          <w:sz w:val="14"/>
        </w:rPr>
        <w:t>including</w:t>
      </w:r>
      <w:r>
        <w:rPr>
          <w:spacing w:val="-6"/>
          <w:sz w:val="14"/>
        </w:rPr>
        <w:t xml:space="preserve"> </w:t>
      </w:r>
      <w:r>
        <w:rPr>
          <w:sz w:val="14"/>
        </w:rPr>
        <w:t>the</w:t>
      </w:r>
      <w:r>
        <w:rPr>
          <w:spacing w:val="-6"/>
          <w:sz w:val="14"/>
        </w:rPr>
        <w:t xml:space="preserve"> </w:t>
      </w:r>
      <w:r>
        <w:rPr>
          <w:sz w:val="14"/>
        </w:rPr>
        <w:t>new</w:t>
      </w:r>
      <w:r>
        <w:rPr>
          <w:spacing w:val="-6"/>
          <w:sz w:val="14"/>
        </w:rPr>
        <w:t xml:space="preserve"> </w:t>
      </w:r>
      <w:r>
        <w:rPr>
          <w:sz w:val="14"/>
        </w:rPr>
        <w:t>South</w:t>
      </w:r>
      <w:r>
        <w:rPr>
          <w:spacing w:val="40"/>
          <w:sz w:val="14"/>
        </w:rPr>
        <w:t xml:space="preserve"> </w:t>
      </w:r>
      <w:r>
        <w:rPr>
          <w:sz w:val="14"/>
        </w:rPr>
        <w:t>West and North West Services.</w:t>
      </w:r>
    </w:p>
    <w:p w:rsidR="002C1123" w:rsidRDefault="002C1123">
      <w:pPr>
        <w:rPr>
          <w:sz w:val="14"/>
        </w:rPr>
        <w:sectPr w:rsidR="002C1123">
          <w:type w:val="continuous"/>
          <w:pgSz w:w="16840" w:h="11910" w:orient="landscape"/>
          <w:pgMar w:top="560" w:right="280" w:bottom="280" w:left="500" w:header="0" w:footer="517" w:gutter="0"/>
          <w:cols w:num="3" w:space="720" w:equalWidth="0">
            <w:col w:w="3099" w:space="1027"/>
            <w:col w:w="3490" w:space="725"/>
            <w:col w:w="7719"/>
          </w:cols>
        </w:sectPr>
      </w:pPr>
    </w:p>
    <w:p w:rsidR="002C1123" w:rsidRDefault="002C1123">
      <w:pPr>
        <w:pStyle w:val="BodyText"/>
      </w:pPr>
    </w:p>
    <w:p w:rsidR="002C1123" w:rsidRDefault="002C1123">
      <w:pPr>
        <w:pStyle w:val="BodyText"/>
        <w:spacing w:before="1"/>
        <w:rPr>
          <w:sz w:val="12"/>
        </w:rPr>
      </w:pPr>
    </w:p>
    <w:p w:rsidR="002C1123" w:rsidRDefault="002060EF">
      <w:pPr>
        <w:tabs>
          <w:tab w:val="left" w:pos="4654"/>
          <w:tab w:val="left" w:pos="8861"/>
        </w:tabs>
        <w:ind w:left="501"/>
        <w:rPr>
          <w:sz w:val="20"/>
        </w:rPr>
      </w:pPr>
      <w:r>
        <w:rPr>
          <w:sz w:val="20"/>
        </w:rPr>
      </w:r>
      <w:r>
        <w:rPr>
          <w:sz w:val="20"/>
        </w:rPr>
        <w:pict>
          <v:group id="docshapegroup504" o:spid="_x0000_s4802" style="width:111.25pt;height:67.65pt;mso-position-horizontal-relative:char;mso-position-vertical-relative:line" coordsize="2225,1353">
            <v:shape id="docshape505" o:spid="_x0000_s4804" style="position:absolute;width:2225;height:1350" coordsize="2225,1350" o:spt="100" adj="0,,0" path="m184,238r-47,1l93,256,55,287,25,332,6,387,,451r11,70l40,595r50,77l189,796r215,79l558,918r165,22l973,956r-94,148l851,1191r43,63l1009,1326r103,24l1174,1350r53,-16l1284,1224r64,-228l2040,996r89,-82l2225,672r-9,-45l966,627r-12,-3l944,617r-7,-10l934,595r,-80l370,515r8,-95l366,362,321,316,231,257,184,238xm2040,996r-692,l1772,1045r233,-17l2040,996xm1167,466r-105,l1074,469r10,7l1091,486r2,12l1093,595r-2,12l1084,617r-10,7l1062,627r105,l1155,624r-10,-7l1138,607r-2,-12l1135,498r3,-12l1145,476r10,-7l1167,466xm1368,466r-105,l1275,469r10,7l1292,486r3,12l1294,595r-2,12l1285,617r-10,7l1263,627r105,l1356,624r-10,-7l1339,607r-2,-12l1336,498r3,-12l1346,476r10,-7l1368,466xm1569,466r-105,l1476,469r10,7l1493,486r3,12l1495,595r-2,12l1486,617r-10,7l1464,627r105,l1557,624r-10,-7l1540,607r-2,-12l1538,498r2,-12l1547,476r10,-7l1569,466xm1770,466r-105,l1677,469r10,7l1694,486r3,12l1697,595r-3,12l1687,617r-10,7l1665,627r105,l1758,624r-10,-7l1741,607r-2,-12l1739,498r2,-12l1748,476r10,-7l1770,466xm1950,466r-84,l1878,469r10,7l1895,486r3,12l1898,595r-3,12l1888,617r-10,7l1866,627r350,l2216,626r-266,l1950,466xm2159,466r-209,l2045,494r61,54l2139,602r10,24l2216,626,2192,507r-33,-41xm1006,l867,25,814,74r28,109l946,390,685,433,538,460r-87,24l370,515r564,l934,498r3,-12l944,476r10,-7l966,466r1193,l2119,418,1949,374,1628,345r-322,l1276,151,1235,50,1154,11,1006,xe" fillcolor="#c9c8c9" stroked="f">
              <v:stroke joinstyle="round"/>
              <v:formulas/>
              <v:path arrowok="t" o:connecttype="segments"/>
            </v:shape>
            <v:shape id="docshape506" o:spid="_x0000_s4803" style="position:absolute;left:2;top:266;width:1777;height:1086" coordorigin="2,267" coordsize="1777,1086" o:spt="100" adj="0,,0" path="m138,456r-47,7l51,489,20,532,2,588r,66l24,727r48,77l151,903r172,63l446,1001r132,17l778,1031r-75,118l681,1219r33,50l807,1327r109,25l981,1334r45,-89l1078,1063r553,l1702,997r77,-193l1772,768r-1014,l747,756r,-78l295,678r7,-75l292,556,257,519,185,472,138,456xm1631,1063r-553,l1417,1102r186,-13l1631,1063xm919,639r-56,l874,651r,105l863,768r56,l908,756r,-105l919,639xm1080,639r-57,l1035,651r,105l1023,768r57,l1068,756r,-105l1080,639xm1241,639r-57,l1196,651r,105l1184,768r57,l1229,756r,-105l1241,639xm1401,639r-56,l1356,651r,105l1345,768r56,l1390,756r,-105l1401,639xm1559,639r-53,l1517,651r,105l1506,768r266,l1771,767r-212,l1559,639xm1726,639r-167,l1635,661r49,44l1710,748r8,19l1771,767r-19,-95l1726,639xm804,267l693,287r-42,39l673,413r83,166l548,613,430,635r-69,18l295,678r452,l747,651r11,-12l1726,639r-32,-38l1558,566,1301,543r-257,l1020,387,987,307,923,275,804,267xe" fillcolor="#00aeef" stroked="f">
              <v:stroke joinstyle="round"/>
              <v:formulas/>
              <v:path arrowok="t" o:connecttype="segments"/>
            </v:shape>
            <w10:anchorlock/>
          </v:group>
        </w:pict>
      </w:r>
      <w:r w:rsidR="00F22F94">
        <w:rPr>
          <w:sz w:val="20"/>
        </w:rPr>
        <w:tab/>
      </w:r>
      <w:r>
        <w:rPr>
          <w:position w:val="1"/>
          <w:sz w:val="20"/>
        </w:rPr>
      </w:r>
      <w:r>
        <w:rPr>
          <w:position w:val="1"/>
          <w:sz w:val="20"/>
        </w:rPr>
        <w:pict>
          <v:group id="docshapegroup507" o:spid="_x0000_s4799" style="width:67.35pt;height:68pt;mso-position-horizontal-relative:char;mso-position-vertical-relative:line" coordsize="1347,1360">
            <v:shape id="docshape508" o:spid="_x0000_s4801" style="position:absolute;width:1347;height:1360" coordsize="1347,1360" path="m1347,130r-121,l1226,,121,r,130l,130,,1360r1347,l1347,130xe" fillcolor="#c9c8c9" stroked="f">
              <v:path arrowok="t"/>
            </v:shape>
            <v:shape id="docshape509" o:spid="_x0000_s4800" style="position:absolute;top:291;width:1059;height:1068" coordorigin=",291" coordsize="1059,1068" path="m1059,393r-96,l963,291r-868,l95,393,,393r,966l1059,1359r,-966xe" fillcolor="#00aeef" stroked="f">
              <v:path arrowok="t"/>
            </v:shape>
            <w10:anchorlock/>
          </v:group>
        </w:pict>
      </w:r>
      <w:r w:rsidR="00F22F94">
        <w:rPr>
          <w:position w:val="1"/>
          <w:sz w:val="20"/>
        </w:rPr>
        <w:tab/>
      </w:r>
      <w:r>
        <w:rPr>
          <w:sz w:val="20"/>
        </w:rPr>
      </w:r>
      <w:r>
        <w:rPr>
          <w:sz w:val="20"/>
        </w:rPr>
        <w:pict>
          <v:group id="docshapegroup510" o:spid="_x0000_s4786" style="width:89.3pt;height:61.15pt;mso-position-horizontal-relative:char;mso-position-vertical-relative:line" coordsize="1786,1223">
            <v:rect id="docshape511" o:spid="_x0000_s4798" style="position:absolute;top:979;width:1512;height:114" fillcolor="#00aeef" stroked="f"/>
            <v:shape id="docshape512" o:spid="_x0000_s4797" type="#_x0000_t75" style="position:absolute;left:79;top:1108;width:113;height:114">
              <v:imagedata r:id="rId72" o:title=""/>
            </v:shape>
            <v:shape id="docshape513" o:spid="_x0000_s4796" type="#_x0000_t75" style="position:absolute;left:1135;top:1108;width:113;height:114">
              <v:imagedata r:id="rId72" o:title=""/>
            </v:shape>
            <v:shape id="docshape514" o:spid="_x0000_s4795" type="#_x0000_t75" style="position:absolute;left:231;top:1108;width:113;height:114">
              <v:imagedata r:id="rId72" o:title=""/>
            </v:shape>
            <v:shape id="docshape515" o:spid="_x0000_s4794" type="#_x0000_t75" style="position:absolute;left:1288;top:1108;width:113;height:114">
              <v:imagedata r:id="rId72" o:title=""/>
            </v:shape>
            <v:shape id="docshape516" o:spid="_x0000_s4793" style="position:absolute;left:16;top:189;width:1481;height:746" coordorigin="17,189" coordsize="1481,746" path="m1413,189l99,189r,2l73,218,50,273,33,353,21,451,17,562r4,111l33,771r17,79l73,906r26,27l99,935r1314,l1413,933r27,-24l1463,855r18,-80l1493,676r4,-114l1493,448r-12,-99l1463,269r-23,-54l1413,190r,-1xe" fillcolor="#00aeef" stroked="f">
              <v:path arrowok="t"/>
            </v:shape>
            <v:rect id="docshape517" o:spid="_x0000_s4792" style="position:absolute;top:935;width:1786;height:135" fillcolor="#c9c8c9" stroked="f"/>
            <v:shape id="docshape518" o:spid="_x0000_s4791" type="#_x0000_t75" style="position:absolute;left:93;top:1087;width:133;height:135">
              <v:imagedata r:id="rId73" o:title=""/>
            </v:shape>
            <v:shape id="docshape519" o:spid="_x0000_s4790" type="#_x0000_t75" style="position:absolute;left:1341;top:1087;width:133;height:135">
              <v:imagedata r:id="rId74" o:title=""/>
            </v:shape>
            <v:shape id="docshape520" o:spid="_x0000_s4789" type="#_x0000_t75" style="position:absolute;left:273;top:1087;width:133;height:135">
              <v:imagedata r:id="rId73" o:title=""/>
            </v:shape>
            <v:shape id="docshape521" o:spid="_x0000_s4788" type="#_x0000_t75" style="position:absolute;left:1521;top:1087;width:133;height:135">
              <v:imagedata r:id="rId74" o:title=""/>
            </v:shape>
            <v:shape id="docshape522" o:spid="_x0000_s4787" style="position:absolute;left:20;width:1749;height:882" coordorigin="20" coordsize="1749,882" path="m1669,l117,r,2l91,26,48,143,33,230,23,330,20,441r3,111l33,652r15,87l68,808r49,72l117,882r1552,l1669,881r26,-22l1740,743r15,-87l1765,554r4,-113l1765,328,1755,226r-15,-87l1719,69,1669,1r,-1xe" fillcolor="#c9c8c9" stroked="f">
              <v:path arrowok="t"/>
            </v:shape>
            <w10:anchorlock/>
          </v:group>
        </w:pict>
      </w:r>
    </w:p>
    <w:p w:rsidR="002C1123" w:rsidRDefault="002C1123">
      <w:pPr>
        <w:rPr>
          <w:sz w:val="20"/>
        </w:rPr>
        <w:sectPr w:rsidR="002C1123">
          <w:type w:val="continuous"/>
          <w:pgSz w:w="16840" w:h="11910" w:orient="landscape"/>
          <w:pgMar w:top="560" w:right="280" w:bottom="280" w:left="500" w:header="0" w:footer="517" w:gutter="0"/>
          <w:cols w:space="720"/>
        </w:sectPr>
      </w:pPr>
    </w:p>
    <w:p w:rsidR="002C1123" w:rsidRDefault="002C1123">
      <w:pPr>
        <w:pStyle w:val="BodyText"/>
        <w:spacing w:before="9"/>
        <w:rPr>
          <w:sz w:val="18"/>
        </w:rPr>
      </w:pPr>
    </w:p>
    <w:p w:rsidR="002C1123" w:rsidRDefault="00F22F94">
      <w:pPr>
        <w:pStyle w:val="Heading6"/>
        <w:spacing w:before="0" w:line="224" w:lineRule="exact"/>
        <w:ind w:left="507"/>
      </w:pPr>
      <w:r>
        <w:rPr>
          <w:color w:val="EC008C"/>
          <w:w w:val="95"/>
        </w:rPr>
        <w:t>Sydney</w:t>
      </w:r>
      <w:r>
        <w:rPr>
          <w:color w:val="EC008C"/>
          <w:spacing w:val="7"/>
        </w:rPr>
        <w:t xml:space="preserve"> </w:t>
      </w:r>
      <w:r>
        <w:rPr>
          <w:color w:val="EC008C"/>
          <w:spacing w:val="-4"/>
        </w:rPr>
        <w:t>Airport</w:t>
      </w:r>
    </w:p>
    <w:p w:rsidR="002C1123" w:rsidRDefault="00F22F94">
      <w:pPr>
        <w:spacing w:line="201" w:lineRule="exact"/>
        <w:ind w:left="507"/>
        <w:rPr>
          <w:sz w:val="18"/>
        </w:rPr>
      </w:pPr>
      <w:r>
        <w:rPr>
          <w:spacing w:val="-2"/>
          <w:sz w:val="18"/>
        </w:rPr>
        <w:t>2010</w:t>
      </w:r>
      <w:r>
        <w:rPr>
          <w:spacing w:val="-10"/>
          <w:sz w:val="18"/>
        </w:rPr>
        <w:t xml:space="preserve"> </w:t>
      </w:r>
      <w:r>
        <w:rPr>
          <w:spacing w:val="-2"/>
          <w:sz w:val="18"/>
        </w:rPr>
        <w:t>–</w:t>
      </w:r>
      <w:r>
        <w:rPr>
          <w:spacing w:val="-10"/>
          <w:sz w:val="18"/>
        </w:rPr>
        <w:t xml:space="preserve"> </w:t>
      </w:r>
      <w:r>
        <w:rPr>
          <w:spacing w:val="-5"/>
          <w:sz w:val="18"/>
        </w:rPr>
        <w:t>40m</w:t>
      </w:r>
    </w:p>
    <w:p w:rsidR="002C1123" w:rsidRDefault="00F22F94">
      <w:pPr>
        <w:spacing w:before="50"/>
        <w:ind w:left="507"/>
        <w:rPr>
          <w:sz w:val="18"/>
        </w:rPr>
      </w:pPr>
      <w:r>
        <w:rPr>
          <w:spacing w:val="-2"/>
          <w:sz w:val="18"/>
        </w:rPr>
        <w:t>2029</w:t>
      </w:r>
      <w:r>
        <w:rPr>
          <w:spacing w:val="-10"/>
          <w:sz w:val="18"/>
        </w:rPr>
        <w:t xml:space="preserve"> </w:t>
      </w:r>
      <w:r>
        <w:rPr>
          <w:spacing w:val="-2"/>
          <w:sz w:val="18"/>
        </w:rPr>
        <w:t>–</w:t>
      </w:r>
      <w:r>
        <w:rPr>
          <w:spacing w:val="-10"/>
          <w:sz w:val="18"/>
        </w:rPr>
        <w:t xml:space="preserve"> </w:t>
      </w:r>
      <w:r>
        <w:rPr>
          <w:spacing w:val="-5"/>
          <w:sz w:val="18"/>
        </w:rPr>
        <w:t>79m</w:t>
      </w:r>
    </w:p>
    <w:p w:rsidR="002C1123" w:rsidRDefault="00F22F94">
      <w:pPr>
        <w:spacing w:before="47" w:line="953" w:lineRule="exact"/>
        <w:ind w:left="378"/>
        <w:rPr>
          <w:rFonts w:ascii="Trebuchet MS"/>
          <w:sz w:val="87"/>
        </w:rPr>
      </w:pPr>
      <w:r>
        <w:br w:type="column"/>
      </w:r>
      <w:r>
        <w:rPr>
          <w:rFonts w:ascii="Trebuchet MS"/>
          <w:color w:val="2E3092"/>
          <w:spacing w:val="-5"/>
          <w:w w:val="75"/>
          <w:sz w:val="87"/>
        </w:rPr>
        <w:t>98%</w:t>
      </w:r>
    </w:p>
    <w:p w:rsidR="002C1123" w:rsidRDefault="00F22F94">
      <w:pPr>
        <w:spacing w:before="5" w:line="228" w:lineRule="auto"/>
        <w:ind w:left="507" w:right="-6"/>
        <w:rPr>
          <w:sz w:val="18"/>
        </w:rPr>
      </w:pPr>
      <w:r>
        <w:br w:type="column"/>
      </w:r>
      <w:r>
        <w:rPr>
          <w:b/>
          <w:color w:val="EC008C"/>
          <w:sz w:val="20"/>
        </w:rPr>
        <w:t>Port Botany – Container</w:t>
      </w:r>
      <w:r>
        <w:rPr>
          <w:b/>
          <w:color w:val="EC008C"/>
          <w:spacing w:val="-14"/>
          <w:sz w:val="20"/>
        </w:rPr>
        <w:t xml:space="preserve"> </w:t>
      </w:r>
      <w:r>
        <w:rPr>
          <w:b/>
          <w:color w:val="EC008C"/>
          <w:sz w:val="20"/>
        </w:rPr>
        <w:t xml:space="preserve">trade </w:t>
      </w:r>
      <w:r>
        <w:rPr>
          <w:sz w:val="18"/>
        </w:rPr>
        <w:t>2011 – 2m TEU</w:t>
      </w:r>
    </w:p>
    <w:p w:rsidR="002C1123" w:rsidRDefault="00F22F94">
      <w:pPr>
        <w:spacing w:before="53"/>
        <w:ind w:left="507"/>
        <w:rPr>
          <w:sz w:val="18"/>
        </w:rPr>
      </w:pPr>
      <w:r>
        <w:rPr>
          <w:sz w:val="18"/>
        </w:rPr>
        <w:t>2031</w:t>
      </w:r>
      <w:r>
        <w:rPr>
          <w:spacing w:val="-10"/>
          <w:sz w:val="18"/>
        </w:rPr>
        <w:t xml:space="preserve"> </w:t>
      </w:r>
      <w:r>
        <w:rPr>
          <w:sz w:val="18"/>
        </w:rPr>
        <w:t>–</w:t>
      </w:r>
      <w:r>
        <w:rPr>
          <w:spacing w:val="-11"/>
          <w:sz w:val="18"/>
        </w:rPr>
        <w:t xml:space="preserve"> </w:t>
      </w:r>
      <w:r>
        <w:rPr>
          <w:sz w:val="18"/>
        </w:rPr>
        <w:t>7m</w:t>
      </w:r>
      <w:r>
        <w:rPr>
          <w:spacing w:val="-10"/>
          <w:sz w:val="18"/>
        </w:rPr>
        <w:t xml:space="preserve"> </w:t>
      </w:r>
      <w:r>
        <w:rPr>
          <w:spacing w:val="-5"/>
          <w:sz w:val="18"/>
        </w:rPr>
        <w:t>TEU</w:t>
      </w:r>
    </w:p>
    <w:p w:rsidR="002C1123" w:rsidRDefault="00F22F94">
      <w:pPr>
        <w:pStyle w:val="Heading2"/>
        <w:spacing w:before="47"/>
      </w:pPr>
      <w:r>
        <w:br w:type="column"/>
      </w:r>
      <w:r>
        <w:rPr>
          <w:color w:val="2E3092"/>
          <w:spacing w:val="-4"/>
          <w:w w:val="70"/>
        </w:rPr>
        <w:t>272%</w:t>
      </w:r>
    </w:p>
    <w:p w:rsidR="002C1123" w:rsidRDefault="00F22F94">
      <w:pPr>
        <w:spacing w:before="7"/>
        <w:rPr>
          <w:rFonts w:ascii="Trebuchet MS"/>
          <w:sz w:val="18"/>
        </w:rPr>
      </w:pPr>
      <w:r>
        <w:br w:type="column"/>
      </w:r>
    </w:p>
    <w:p w:rsidR="002C1123" w:rsidRDefault="00F22F94">
      <w:pPr>
        <w:pStyle w:val="Heading6"/>
        <w:spacing w:before="0" w:line="224" w:lineRule="exact"/>
        <w:ind w:left="507"/>
      </w:pPr>
      <w:r>
        <w:rPr>
          <w:color w:val="EC008C"/>
        </w:rPr>
        <w:t>Coal</w:t>
      </w:r>
      <w:r>
        <w:rPr>
          <w:color w:val="EC008C"/>
          <w:spacing w:val="-5"/>
        </w:rPr>
        <w:t xml:space="preserve"> </w:t>
      </w:r>
      <w:r>
        <w:rPr>
          <w:color w:val="EC008C"/>
          <w:spacing w:val="-2"/>
        </w:rPr>
        <w:t>Freight</w:t>
      </w:r>
    </w:p>
    <w:p w:rsidR="002C1123" w:rsidRDefault="00F22F94">
      <w:pPr>
        <w:spacing w:line="201" w:lineRule="exact"/>
        <w:ind w:left="507"/>
        <w:rPr>
          <w:sz w:val="18"/>
        </w:rPr>
      </w:pPr>
      <w:r>
        <w:rPr>
          <w:spacing w:val="-2"/>
          <w:sz w:val="18"/>
        </w:rPr>
        <w:t>2011</w:t>
      </w:r>
      <w:r>
        <w:rPr>
          <w:spacing w:val="-10"/>
          <w:sz w:val="18"/>
        </w:rPr>
        <w:t xml:space="preserve"> </w:t>
      </w:r>
      <w:r>
        <w:rPr>
          <w:spacing w:val="-2"/>
          <w:sz w:val="18"/>
        </w:rPr>
        <w:t>–</w:t>
      </w:r>
      <w:r>
        <w:rPr>
          <w:spacing w:val="-10"/>
          <w:sz w:val="18"/>
        </w:rPr>
        <w:t xml:space="preserve"> </w:t>
      </w:r>
      <w:r>
        <w:rPr>
          <w:spacing w:val="-2"/>
          <w:sz w:val="18"/>
        </w:rPr>
        <w:t>170mt</w:t>
      </w:r>
    </w:p>
    <w:p w:rsidR="002C1123" w:rsidRDefault="00F22F94">
      <w:pPr>
        <w:spacing w:before="50"/>
        <w:ind w:left="507"/>
        <w:rPr>
          <w:sz w:val="18"/>
        </w:rPr>
      </w:pPr>
      <w:r>
        <w:rPr>
          <w:spacing w:val="-2"/>
          <w:sz w:val="18"/>
        </w:rPr>
        <w:t>2031</w:t>
      </w:r>
      <w:r>
        <w:rPr>
          <w:spacing w:val="-10"/>
          <w:sz w:val="18"/>
        </w:rPr>
        <w:t xml:space="preserve"> </w:t>
      </w:r>
      <w:r>
        <w:rPr>
          <w:spacing w:val="-2"/>
          <w:sz w:val="18"/>
        </w:rPr>
        <w:t>–</w:t>
      </w:r>
      <w:r>
        <w:rPr>
          <w:spacing w:val="-10"/>
          <w:sz w:val="18"/>
        </w:rPr>
        <w:t xml:space="preserve"> </w:t>
      </w:r>
      <w:r>
        <w:rPr>
          <w:spacing w:val="-2"/>
          <w:sz w:val="18"/>
        </w:rPr>
        <w:t>370mt</w:t>
      </w:r>
    </w:p>
    <w:p w:rsidR="002C1123" w:rsidRDefault="00F22F94">
      <w:pPr>
        <w:pStyle w:val="Heading2"/>
        <w:spacing w:line="981" w:lineRule="exact"/>
        <w:ind w:left="507"/>
      </w:pPr>
      <w:r>
        <w:br w:type="column"/>
      </w:r>
      <w:r>
        <w:rPr>
          <w:color w:val="2E3092"/>
          <w:spacing w:val="-10"/>
          <w:w w:val="75"/>
        </w:rPr>
        <w:t>117%</w:t>
      </w:r>
    </w:p>
    <w:p w:rsidR="002C1123" w:rsidRDefault="002C1123">
      <w:pPr>
        <w:spacing w:line="981" w:lineRule="exact"/>
        <w:sectPr w:rsidR="002C1123">
          <w:type w:val="continuous"/>
          <w:pgSz w:w="16840" w:h="11910" w:orient="landscape"/>
          <w:pgMar w:top="560" w:right="280" w:bottom="280" w:left="500" w:header="0" w:footer="517" w:gutter="0"/>
          <w:cols w:num="6" w:space="720" w:equalWidth="0">
            <w:col w:w="1902" w:space="40"/>
            <w:col w:w="1473" w:space="719"/>
            <w:col w:w="1986" w:space="39"/>
            <w:col w:w="1580" w:space="632"/>
            <w:col w:w="1699" w:space="113"/>
            <w:col w:w="5877"/>
          </w:cols>
        </w:sectPr>
      </w:pPr>
    </w:p>
    <w:p w:rsidR="002C1123" w:rsidRDefault="00F22F94">
      <w:pPr>
        <w:spacing w:before="4"/>
        <w:ind w:left="507" w:right="54"/>
        <w:rPr>
          <w:sz w:val="14"/>
        </w:rPr>
      </w:pPr>
      <w:r>
        <w:rPr>
          <w:w w:val="95"/>
          <w:sz w:val="14"/>
        </w:rPr>
        <w:t>An extra 39 million Passenger trips are expected</w:t>
      </w:r>
      <w:r>
        <w:rPr>
          <w:spacing w:val="40"/>
          <w:sz w:val="14"/>
        </w:rPr>
        <w:t xml:space="preserve"> </w:t>
      </w:r>
      <w:r>
        <w:rPr>
          <w:sz w:val="14"/>
        </w:rPr>
        <w:t>to and from Sydney airport by 2029.</w:t>
      </w:r>
    </w:p>
    <w:p w:rsidR="002C1123" w:rsidRDefault="00F22F94">
      <w:pPr>
        <w:spacing w:before="4" w:line="161" w:lineRule="exact"/>
        <w:ind w:left="507"/>
        <w:rPr>
          <w:sz w:val="14"/>
        </w:rPr>
      </w:pPr>
      <w:r>
        <w:br w:type="column"/>
      </w:r>
      <w:r>
        <w:rPr>
          <w:w w:val="95"/>
          <w:sz w:val="14"/>
        </w:rPr>
        <w:t>Freight</w:t>
      </w:r>
      <w:r>
        <w:rPr>
          <w:spacing w:val="11"/>
          <w:sz w:val="14"/>
        </w:rPr>
        <w:t xml:space="preserve"> </w:t>
      </w:r>
      <w:r>
        <w:rPr>
          <w:w w:val="95"/>
          <w:sz w:val="14"/>
        </w:rPr>
        <w:t>demand</w:t>
      </w:r>
      <w:r>
        <w:rPr>
          <w:spacing w:val="11"/>
          <w:sz w:val="14"/>
        </w:rPr>
        <w:t xml:space="preserve"> </w:t>
      </w:r>
      <w:r>
        <w:rPr>
          <w:w w:val="95"/>
          <w:sz w:val="14"/>
        </w:rPr>
        <w:t>grows</w:t>
      </w:r>
      <w:r>
        <w:rPr>
          <w:spacing w:val="11"/>
          <w:sz w:val="14"/>
        </w:rPr>
        <w:t xml:space="preserve"> </w:t>
      </w:r>
      <w:r>
        <w:rPr>
          <w:w w:val="95"/>
          <w:sz w:val="14"/>
        </w:rPr>
        <w:t>at</w:t>
      </w:r>
      <w:r>
        <w:rPr>
          <w:spacing w:val="11"/>
          <w:sz w:val="14"/>
        </w:rPr>
        <w:t xml:space="preserve"> </w:t>
      </w:r>
      <w:r>
        <w:rPr>
          <w:w w:val="95"/>
          <w:sz w:val="14"/>
        </w:rPr>
        <w:t>a</w:t>
      </w:r>
      <w:r>
        <w:rPr>
          <w:spacing w:val="12"/>
          <w:sz w:val="14"/>
        </w:rPr>
        <w:t xml:space="preserve"> </w:t>
      </w:r>
      <w:r>
        <w:rPr>
          <w:w w:val="95"/>
          <w:sz w:val="14"/>
        </w:rPr>
        <w:t>multiple</w:t>
      </w:r>
      <w:r>
        <w:rPr>
          <w:spacing w:val="11"/>
          <w:sz w:val="14"/>
        </w:rPr>
        <w:t xml:space="preserve"> </w:t>
      </w:r>
      <w:r>
        <w:rPr>
          <w:spacing w:val="-5"/>
          <w:w w:val="95"/>
          <w:sz w:val="14"/>
        </w:rPr>
        <w:t>of</w:t>
      </w:r>
    </w:p>
    <w:p w:rsidR="002C1123" w:rsidRDefault="00F22F94">
      <w:pPr>
        <w:ind w:left="507"/>
        <w:rPr>
          <w:sz w:val="14"/>
        </w:rPr>
      </w:pPr>
      <w:r>
        <w:rPr>
          <w:sz w:val="14"/>
        </w:rPr>
        <w:t>1.5</w:t>
      </w:r>
      <w:r>
        <w:rPr>
          <w:spacing w:val="-10"/>
          <w:sz w:val="14"/>
        </w:rPr>
        <w:t xml:space="preserve"> </w:t>
      </w:r>
      <w:r>
        <w:rPr>
          <w:sz w:val="14"/>
        </w:rPr>
        <w:t>to</w:t>
      </w:r>
      <w:r>
        <w:rPr>
          <w:spacing w:val="-9"/>
          <w:sz w:val="14"/>
        </w:rPr>
        <w:t xml:space="preserve"> </w:t>
      </w:r>
      <w:r>
        <w:rPr>
          <w:sz w:val="14"/>
        </w:rPr>
        <w:t>2</w:t>
      </w:r>
      <w:r>
        <w:rPr>
          <w:spacing w:val="-10"/>
          <w:sz w:val="14"/>
        </w:rPr>
        <w:t xml:space="preserve"> </w:t>
      </w:r>
      <w:r>
        <w:rPr>
          <w:sz w:val="14"/>
        </w:rPr>
        <w:t>times</w:t>
      </w:r>
      <w:r>
        <w:rPr>
          <w:spacing w:val="-9"/>
          <w:sz w:val="14"/>
        </w:rPr>
        <w:t xml:space="preserve"> </w:t>
      </w:r>
      <w:r>
        <w:rPr>
          <w:sz w:val="14"/>
        </w:rPr>
        <w:t>GSP</w:t>
      </w:r>
      <w:r>
        <w:rPr>
          <w:spacing w:val="-10"/>
          <w:sz w:val="14"/>
        </w:rPr>
        <w:t xml:space="preserve"> </w:t>
      </w:r>
      <w:r>
        <w:rPr>
          <w:sz w:val="14"/>
        </w:rPr>
        <w:t>and</w:t>
      </w:r>
      <w:r>
        <w:rPr>
          <w:spacing w:val="-9"/>
          <w:sz w:val="14"/>
        </w:rPr>
        <w:t xml:space="preserve"> </w:t>
      </w:r>
      <w:r>
        <w:rPr>
          <w:sz w:val="14"/>
        </w:rPr>
        <w:t>an</w:t>
      </w:r>
      <w:r>
        <w:rPr>
          <w:spacing w:val="-10"/>
          <w:sz w:val="14"/>
        </w:rPr>
        <w:t xml:space="preserve"> </w:t>
      </w:r>
      <w:r>
        <w:rPr>
          <w:sz w:val="14"/>
        </w:rPr>
        <w:t>extra</w:t>
      </w:r>
      <w:r>
        <w:rPr>
          <w:spacing w:val="-9"/>
          <w:sz w:val="14"/>
        </w:rPr>
        <w:t xml:space="preserve"> </w:t>
      </w:r>
      <w:r>
        <w:rPr>
          <w:sz w:val="14"/>
        </w:rPr>
        <w:t>5</w:t>
      </w:r>
      <w:r>
        <w:rPr>
          <w:spacing w:val="-10"/>
          <w:sz w:val="14"/>
        </w:rPr>
        <w:t xml:space="preserve"> </w:t>
      </w:r>
      <w:r>
        <w:rPr>
          <w:sz w:val="14"/>
        </w:rPr>
        <w:t>million</w:t>
      </w:r>
      <w:r>
        <w:rPr>
          <w:spacing w:val="-9"/>
          <w:sz w:val="14"/>
        </w:rPr>
        <w:t xml:space="preserve"> </w:t>
      </w:r>
      <w:r>
        <w:rPr>
          <w:sz w:val="14"/>
        </w:rPr>
        <w:t>TEUs</w:t>
      </w:r>
      <w:r>
        <w:rPr>
          <w:spacing w:val="40"/>
          <w:sz w:val="14"/>
        </w:rPr>
        <w:t xml:space="preserve"> </w:t>
      </w:r>
      <w:r>
        <w:rPr>
          <w:sz w:val="14"/>
        </w:rPr>
        <w:t>are expected in 2031-32.</w:t>
      </w:r>
    </w:p>
    <w:p w:rsidR="002C1123" w:rsidRDefault="00F22F94">
      <w:pPr>
        <w:spacing w:before="4"/>
        <w:ind w:left="507" w:right="4380"/>
        <w:rPr>
          <w:sz w:val="14"/>
        </w:rPr>
      </w:pPr>
      <w:r>
        <w:br w:type="column"/>
      </w:r>
      <w:r>
        <w:rPr>
          <w:sz w:val="14"/>
        </w:rPr>
        <w:t>Export</w:t>
      </w:r>
      <w:r>
        <w:rPr>
          <w:spacing w:val="-4"/>
          <w:sz w:val="14"/>
        </w:rPr>
        <w:t xml:space="preserve"> </w:t>
      </w:r>
      <w:r>
        <w:rPr>
          <w:sz w:val="14"/>
        </w:rPr>
        <w:t>of</w:t>
      </w:r>
      <w:r>
        <w:rPr>
          <w:spacing w:val="-4"/>
          <w:sz w:val="14"/>
        </w:rPr>
        <w:t xml:space="preserve"> </w:t>
      </w:r>
      <w:r>
        <w:rPr>
          <w:sz w:val="14"/>
        </w:rPr>
        <w:t>coal</w:t>
      </w:r>
      <w:r>
        <w:rPr>
          <w:spacing w:val="-4"/>
          <w:sz w:val="14"/>
        </w:rPr>
        <w:t xml:space="preserve"> </w:t>
      </w:r>
      <w:r>
        <w:rPr>
          <w:sz w:val="14"/>
        </w:rPr>
        <w:t>is</w:t>
      </w:r>
      <w:r>
        <w:rPr>
          <w:spacing w:val="-4"/>
          <w:sz w:val="14"/>
        </w:rPr>
        <w:t xml:space="preserve"> </w:t>
      </w:r>
      <w:r>
        <w:rPr>
          <w:sz w:val="14"/>
        </w:rPr>
        <w:t>expected</w:t>
      </w:r>
      <w:r>
        <w:rPr>
          <w:spacing w:val="-4"/>
          <w:sz w:val="14"/>
        </w:rPr>
        <w:t xml:space="preserve"> </w:t>
      </w:r>
      <w:r>
        <w:rPr>
          <w:sz w:val="14"/>
        </w:rPr>
        <w:t>to</w:t>
      </w:r>
      <w:r>
        <w:rPr>
          <w:spacing w:val="-4"/>
          <w:sz w:val="14"/>
        </w:rPr>
        <w:t xml:space="preserve"> </w:t>
      </w:r>
      <w:r>
        <w:rPr>
          <w:sz w:val="14"/>
        </w:rPr>
        <w:t>more</w:t>
      </w:r>
      <w:r>
        <w:rPr>
          <w:spacing w:val="-4"/>
          <w:sz w:val="14"/>
        </w:rPr>
        <w:t xml:space="preserve"> </w:t>
      </w:r>
      <w:r>
        <w:rPr>
          <w:sz w:val="14"/>
        </w:rPr>
        <w:t>then</w:t>
      </w:r>
      <w:r>
        <w:rPr>
          <w:spacing w:val="40"/>
          <w:sz w:val="14"/>
        </w:rPr>
        <w:t xml:space="preserve"> </w:t>
      </w:r>
      <w:r>
        <w:rPr>
          <w:sz w:val="14"/>
        </w:rPr>
        <w:t>double in the next twenty years.</w:t>
      </w:r>
    </w:p>
    <w:p w:rsidR="002C1123" w:rsidRDefault="002C1123">
      <w:pPr>
        <w:rPr>
          <w:sz w:val="14"/>
        </w:rPr>
        <w:sectPr w:rsidR="002C1123">
          <w:type w:val="continuous"/>
          <w:pgSz w:w="16840" w:h="11910" w:orient="landscape"/>
          <w:pgMar w:top="560" w:right="280" w:bottom="280" w:left="500" w:header="0" w:footer="517" w:gutter="0"/>
          <w:cols w:num="3" w:space="720" w:equalWidth="0">
            <w:col w:w="3539" w:space="595"/>
            <w:col w:w="3428" w:space="810"/>
            <w:col w:w="7688"/>
          </w:cols>
        </w:sectPr>
      </w:pPr>
    </w:p>
    <w:p w:rsidR="002C1123" w:rsidRDefault="002C1123">
      <w:pPr>
        <w:pStyle w:val="BodyText"/>
        <w:spacing w:before="3"/>
        <w:rPr>
          <w:sz w:val="17"/>
        </w:rPr>
      </w:pPr>
    </w:p>
    <w:p w:rsidR="002C1123" w:rsidRDefault="002060EF">
      <w:pPr>
        <w:tabs>
          <w:tab w:val="left" w:pos="4656"/>
          <w:tab w:val="left" w:pos="8879"/>
        </w:tabs>
        <w:ind w:left="520"/>
        <w:rPr>
          <w:sz w:val="20"/>
        </w:rPr>
      </w:pPr>
      <w:r>
        <w:rPr>
          <w:position w:val="3"/>
          <w:sz w:val="20"/>
        </w:rPr>
      </w:r>
      <w:r>
        <w:rPr>
          <w:position w:val="3"/>
          <w:sz w:val="20"/>
        </w:rPr>
        <w:pict>
          <v:group id="docshapegroup523" o:spid="_x0000_s4783" style="width:97.35pt;height:58.3pt;mso-position-horizontal-relative:char;mso-position-vertical-relative:line" coordsize="1947,1166">
            <v:shape id="docshape524" o:spid="_x0000_s4785" style="position:absolute;width:1947;height:1166" coordsize="1947,1166" o:spt="100" adj="0,,0" path="m165,l,,,1166r165,l165,988r1781,l1946,746r-1781,l165,550r317,l440,485,375,422r-6,-4l165,418,165,xm1946,988r-151,l1795,1166r151,l1946,988xm482,550r-317,l175,577r14,28l206,632r20,27l249,685r25,24l300,729r27,17l487,746r24,-50l511,632,487,559r-5,-9xm1184,498r-108,4l974,513r-94,18l796,554r-72,28l664,615r-44,37l592,691r-10,43l582,738r,4l583,746r1203,l1787,742r,-4l1787,734r-10,-43l1749,652r-44,-37l1645,582r-72,-28l1489,531r-94,-18l1293,502r-109,-4xm1946,390r-89,l1834,395r-20,13l1800,428r-5,23l1795,746r151,l1946,390xm240,371r-53,20l177,398r-7,10l165,418r204,l305,383,240,371xe" fillcolor="#c9c8c9" stroked="f">
              <v:stroke joinstyle="round"/>
              <v:formulas/>
              <v:path arrowok="t" o:connecttype="segments"/>
            </v:shape>
            <v:shape id="docshape525" o:spid="_x0000_s4784" style="position:absolute;top:106;width:1770;height:1060" coordorigin=",106" coordsize="1770,1060" o:spt="100" adj="0,,0" path="m150,106l,106,,1166r150,l150,1004r1619,l1769,784r-1619,l150,606r288,l400,547,341,489r-5,-3l150,486r,-380xm1769,1004r-138,l1631,1166r138,l1769,1004xm438,606r-288,l159,631r13,25l187,681r18,24l227,729r22,22l273,769r24,15l443,784r22,-45l465,680,443,614r-5,-8xm1077,559r-99,4l886,573r-86,15l724,609r-66,26l604,665r-41,33l538,734r-9,39l529,780r1,4l1624,784r,-4l1624,777r,-4l1616,734r-26,-36l1550,665r-54,-30l1430,609r-77,-21l1268,573r-93,-10l1077,559xm1769,461r-81,l1667,465r-18,12l1636,495r-5,21l1631,784r138,l1769,461xm218,444r-48,17l161,468r-6,9l150,486r186,l278,454,218,444xe" fillcolor="#00aeef" stroked="f">
              <v:stroke joinstyle="round"/>
              <v:formulas/>
              <v:path arrowok="t" o:connecttype="segments"/>
            </v:shape>
            <w10:anchorlock/>
          </v:group>
        </w:pict>
      </w:r>
      <w:r w:rsidR="00F22F94">
        <w:rPr>
          <w:position w:val="3"/>
          <w:sz w:val="20"/>
        </w:rPr>
        <w:tab/>
      </w:r>
      <w:r>
        <w:rPr>
          <w:sz w:val="20"/>
        </w:rPr>
      </w:r>
      <w:r>
        <w:rPr>
          <w:sz w:val="20"/>
        </w:rPr>
        <w:pict>
          <v:group id="docshapegroup526" o:spid="_x0000_s4780" style="width:70.35pt;height:77.9pt;mso-position-horizontal-relative:char;mso-position-vertical-relative:line" coordsize="1407,1558">
            <v:shape id="docshape527" o:spid="_x0000_s4782" style="position:absolute;width:1407;height:1558" coordsize="1407,1558" o:spt="100" adj="0,,0" path="m1255,740r-4,-19l1240,704r-16,-10l1204,690r-999,l186,694r-16,10l159,721r-4,19l155,1506r4,20l170,1542r16,11l205,1557r348,l553,1164r304,l857,1557r347,l1224,1553r16,-11l1251,1526r4,-20l1255,740xm1407,607r-7,-9l1391,594,739,14,734,6,725,,707,r-7,4l695,9,9,605r,l4,609,,615r,20l10,645r1385,l1407,633r,-26xe" fillcolor="#c9c8c9" stroked="f">
              <v:stroke joinstyle="round"/>
              <v:formulas/>
              <v:path arrowok="t" o:connecttype="segments"/>
            </v:shape>
            <v:shape id="docshape528" o:spid="_x0000_s4781" style="position:absolute;left:-1;top:166;width:1256;height:1391" coordorigin=",167" coordsize="1256,1391" o:spt="100" adj="0,,0" path="m1120,828r-3,-18l1107,796r-14,-10l1075,783r-892,l166,786r-15,10l142,810r-4,18l138,1512r4,18l151,1544r15,10l183,1557r310,l493,1206r272,l765,1557r310,l1093,1554r14,-10l1117,1530r3,-18l1120,828xm1256,709r-6,-8l1242,697,660,179r-5,-7l648,167r-17,l625,170r-4,5l8,707r,l3,711,,716r,18l9,743r1236,l1256,732r,-23xe" fillcolor="#00aeef" stroked="f">
              <v:stroke joinstyle="round"/>
              <v:formulas/>
              <v:path arrowok="t" o:connecttype="segments"/>
            </v:shape>
            <w10:anchorlock/>
          </v:group>
        </w:pict>
      </w:r>
      <w:r w:rsidR="00F22F94">
        <w:rPr>
          <w:sz w:val="20"/>
        </w:rPr>
        <w:tab/>
      </w:r>
      <w:r>
        <w:rPr>
          <w:sz w:val="20"/>
        </w:rPr>
      </w:r>
      <w:r>
        <w:rPr>
          <w:sz w:val="20"/>
        </w:rPr>
        <w:pict>
          <v:group id="docshapegroup529" o:spid="_x0000_s4777" style="width:55.9pt;height:83.45pt;mso-position-horizontal-relative:char;mso-position-vertical-relative:line" coordsize="1118,1669">
            <v:shape id="docshape530" o:spid="_x0000_s4779" style="position:absolute;width:1118;height:1669" coordsize="1118,1669" path="m761,l740,4,722,16,710,33r-5,20l705,53r,343l412,396r,-340l408,35,397,17,380,4,358,,337,4,319,16,307,33r-5,20l302,53r,343l79,396r-31,5l23,417,6,440,,471r6,30l22,525r24,17l75,550r,l154,550r,389l163,983r25,36l224,1044r44,9l501,1052r12,37l522,1137r4,55l519,1251r-13,85l508,1412r16,67l556,1536r61,57l691,1630r82,21l854,1663r78,5l954,1664r19,-12l986,1634r6,-22l988,1589r-11,-20l959,1555r-23,-6l849,1542r-81,-13l700,1504r-49,-40l633,1430r-8,-43l625,1336r10,-59l644,1214r,-60l637,1099r-11,-47l849,1053r45,-9l930,1019r24,-36l963,939r,-389l1042,550r,l1072,542r24,-17l1112,501r5,-30l1111,440r-17,-23l1069,401r-31,-5l815,396r,-340l811,35,800,17,783,4,761,xe" fillcolor="#c9c8c9" stroked="f">
              <v:path arrowok="t"/>
            </v:shape>
            <v:shape id="docshape531" o:spid="_x0000_s4778" style="position:absolute;top:266;width:940;height:1402" coordorigin=",266" coordsize="940,1402" path="m640,266r-18,4l607,279r-10,15l592,311r,l592,599r-246,l346,314r-3,-19l333,280,319,270r-18,-4l283,270r-15,9l258,294r-4,17l254,599r-187,l41,603,20,616,5,636,,662r5,25l18,708r20,14l63,728r,1l130,729r,326l137,1093r21,30l188,1144r37,7l421,1150r10,32l439,1222r3,46l436,1317r-11,72l427,1453r40,104l518,1605r63,31l649,1654r69,9l783,1668r19,-3l817,1655r11,-15l833,1621r-3,-19l821,1585r-15,-12l786,1568r-73,-6l645,1551r-57,-21l547,1497r-15,-29l525,1432r,-43l533,1339r8,-53l541,1236r-6,-46l526,1150r188,1l751,1144r30,-21l802,1093r7,-38l809,729r67,l876,728r25,-6l921,708r13,-21l939,662r-5,-26l920,616,898,603r-26,-4l685,599r,-285l681,295r-9,-15l658,270r-18,-4xe" fillcolor="#00aeef" stroked="f">
              <v:path arrowok="t"/>
            </v:shape>
            <w10:anchorlock/>
          </v:group>
        </w:pict>
      </w:r>
    </w:p>
    <w:p w:rsidR="002C1123" w:rsidRDefault="002C1123">
      <w:pPr>
        <w:rPr>
          <w:sz w:val="20"/>
        </w:rPr>
        <w:sectPr w:rsidR="002C1123">
          <w:type w:val="continuous"/>
          <w:pgSz w:w="16840" w:h="11910" w:orient="landscape"/>
          <w:pgMar w:top="560" w:right="280" w:bottom="280" w:left="500" w:header="0" w:footer="517" w:gutter="0"/>
          <w:cols w:space="720"/>
        </w:sectPr>
      </w:pPr>
    </w:p>
    <w:p w:rsidR="002C1123" w:rsidRDefault="00F22F94">
      <w:pPr>
        <w:pStyle w:val="Heading6"/>
        <w:spacing w:before="212" w:line="224" w:lineRule="exact"/>
        <w:ind w:left="501"/>
      </w:pPr>
      <w:r>
        <w:rPr>
          <w:color w:val="EC008C"/>
          <w:spacing w:val="-2"/>
        </w:rPr>
        <w:t>Hospital</w:t>
      </w:r>
      <w:r>
        <w:rPr>
          <w:color w:val="EC008C"/>
          <w:spacing w:val="-1"/>
        </w:rPr>
        <w:t xml:space="preserve"> </w:t>
      </w:r>
      <w:r>
        <w:rPr>
          <w:color w:val="EC008C"/>
          <w:spacing w:val="-4"/>
        </w:rPr>
        <w:t>Beds</w:t>
      </w:r>
    </w:p>
    <w:p w:rsidR="002C1123" w:rsidRDefault="00F22F94">
      <w:pPr>
        <w:spacing w:line="201" w:lineRule="exact"/>
        <w:ind w:left="501"/>
        <w:rPr>
          <w:sz w:val="18"/>
        </w:rPr>
      </w:pPr>
      <w:r>
        <w:rPr>
          <w:spacing w:val="-2"/>
          <w:sz w:val="18"/>
        </w:rPr>
        <w:t>2011</w:t>
      </w:r>
      <w:r>
        <w:rPr>
          <w:spacing w:val="-10"/>
          <w:sz w:val="18"/>
        </w:rPr>
        <w:t xml:space="preserve"> </w:t>
      </w:r>
      <w:r>
        <w:rPr>
          <w:spacing w:val="-2"/>
          <w:sz w:val="18"/>
        </w:rPr>
        <w:t>–</w:t>
      </w:r>
      <w:r>
        <w:rPr>
          <w:spacing w:val="-10"/>
          <w:sz w:val="18"/>
        </w:rPr>
        <w:t xml:space="preserve"> </w:t>
      </w:r>
      <w:r>
        <w:rPr>
          <w:spacing w:val="-2"/>
          <w:sz w:val="18"/>
        </w:rPr>
        <w:t>20,000</w:t>
      </w:r>
    </w:p>
    <w:p w:rsidR="002C1123" w:rsidRDefault="00F22F94">
      <w:pPr>
        <w:spacing w:before="49"/>
        <w:ind w:left="501"/>
        <w:rPr>
          <w:sz w:val="18"/>
        </w:rPr>
      </w:pPr>
      <w:r>
        <w:rPr>
          <w:spacing w:val="-2"/>
          <w:sz w:val="18"/>
        </w:rPr>
        <w:t>2031</w:t>
      </w:r>
      <w:r>
        <w:rPr>
          <w:spacing w:val="-10"/>
          <w:sz w:val="18"/>
        </w:rPr>
        <w:t xml:space="preserve"> </w:t>
      </w:r>
      <w:r>
        <w:rPr>
          <w:spacing w:val="-2"/>
          <w:sz w:val="18"/>
        </w:rPr>
        <w:t>–</w:t>
      </w:r>
      <w:r>
        <w:rPr>
          <w:spacing w:val="-10"/>
          <w:sz w:val="18"/>
        </w:rPr>
        <w:t xml:space="preserve"> </w:t>
      </w:r>
      <w:r>
        <w:rPr>
          <w:spacing w:val="-2"/>
          <w:sz w:val="18"/>
        </w:rPr>
        <w:t>25,500</w:t>
      </w:r>
    </w:p>
    <w:p w:rsidR="002C1123" w:rsidRDefault="00F22F94">
      <w:pPr>
        <w:spacing w:before="44" w:line="953" w:lineRule="exact"/>
        <w:ind w:left="455"/>
        <w:rPr>
          <w:rFonts w:ascii="Trebuchet MS"/>
          <w:sz w:val="87"/>
        </w:rPr>
      </w:pPr>
      <w:r>
        <w:br w:type="column"/>
      </w:r>
      <w:r>
        <w:rPr>
          <w:rFonts w:ascii="Trebuchet MS"/>
          <w:color w:val="2E3092"/>
          <w:spacing w:val="-5"/>
          <w:w w:val="75"/>
          <w:sz w:val="87"/>
        </w:rPr>
        <w:t>28%</w:t>
      </w:r>
    </w:p>
    <w:p w:rsidR="002C1123" w:rsidRDefault="00F22F94">
      <w:pPr>
        <w:pStyle w:val="Heading6"/>
        <w:spacing w:before="214" w:line="224" w:lineRule="exact"/>
        <w:ind w:left="501"/>
      </w:pPr>
      <w:r>
        <w:rPr>
          <w:b w:val="0"/>
        </w:rPr>
        <w:br w:type="column"/>
      </w:r>
      <w:r>
        <w:rPr>
          <w:color w:val="EC008C"/>
          <w:w w:val="95"/>
        </w:rPr>
        <w:t>Housing</w:t>
      </w:r>
      <w:r>
        <w:rPr>
          <w:color w:val="EC008C"/>
          <w:spacing w:val="14"/>
        </w:rPr>
        <w:t xml:space="preserve"> </w:t>
      </w:r>
      <w:r>
        <w:rPr>
          <w:color w:val="EC008C"/>
          <w:spacing w:val="-2"/>
        </w:rPr>
        <w:t>Stock</w:t>
      </w:r>
    </w:p>
    <w:p w:rsidR="002C1123" w:rsidRDefault="00F22F94">
      <w:pPr>
        <w:spacing w:line="201" w:lineRule="exact"/>
        <w:ind w:left="501"/>
        <w:rPr>
          <w:sz w:val="18"/>
        </w:rPr>
      </w:pPr>
      <w:r>
        <w:rPr>
          <w:spacing w:val="-2"/>
          <w:sz w:val="18"/>
        </w:rPr>
        <w:t>2011</w:t>
      </w:r>
      <w:r>
        <w:rPr>
          <w:spacing w:val="-10"/>
          <w:sz w:val="18"/>
        </w:rPr>
        <w:t xml:space="preserve"> </w:t>
      </w:r>
      <w:r>
        <w:rPr>
          <w:spacing w:val="-2"/>
          <w:sz w:val="18"/>
        </w:rPr>
        <w:t>–</w:t>
      </w:r>
      <w:r>
        <w:rPr>
          <w:spacing w:val="-10"/>
          <w:sz w:val="18"/>
        </w:rPr>
        <w:t xml:space="preserve"> </w:t>
      </w:r>
      <w:r>
        <w:rPr>
          <w:spacing w:val="-4"/>
          <w:sz w:val="18"/>
        </w:rPr>
        <w:t>2.9m</w:t>
      </w:r>
    </w:p>
    <w:p w:rsidR="002C1123" w:rsidRDefault="00F22F94">
      <w:pPr>
        <w:spacing w:before="49"/>
        <w:ind w:left="501"/>
        <w:rPr>
          <w:sz w:val="18"/>
        </w:rPr>
      </w:pPr>
      <w:r>
        <w:rPr>
          <w:spacing w:val="-2"/>
          <w:sz w:val="18"/>
        </w:rPr>
        <w:t>2031</w:t>
      </w:r>
      <w:r>
        <w:rPr>
          <w:spacing w:val="-10"/>
          <w:sz w:val="18"/>
        </w:rPr>
        <w:t xml:space="preserve"> </w:t>
      </w:r>
      <w:r>
        <w:rPr>
          <w:spacing w:val="-2"/>
          <w:sz w:val="18"/>
        </w:rPr>
        <w:t>–</w:t>
      </w:r>
      <w:r>
        <w:rPr>
          <w:spacing w:val="-10"/>
          <w:sz w:val="18"/>
        </w:rPr>
        <w:t xml:space="preserve"> </w:t>
      </w:r>
      <w:r>
        <w:rPr>
          <w:spacing w:val="-4"/>
          <w:sz w:val="18"/>
        </w:rPr>
        <w:t>3.6m</w:t>
      </w:r>
    </w:p>
    <w:p w:rsidR="002C1123" w:rsidRDefault="00F22F94">
      <w:pPr>
        <w:spacing w:before="46" w:line="951" w:lineRule="exact"/>
        <w:ind w:left="356"/>
        <w:rPr>
          <w:rFonts w:ascii="Trebuchet MS"/>
          <w:sz w:val="87"/>
        </w:rPr>
      </w:pPr>
      <w:r>
        <w:br w:type="column"/>
      </w:r>
      <w:r>
        <w:rPr>
          <w:rFonts w:ascii="Trebuchet MS"/>
          <w:color w:val="2E3092"/>
          <w:spacing w:val="-6"/>
          <w:w w:val="75"/>
          <w:sz w:val="87"/>
        </w:rPr>
        <w:t>26%</w:t>
      </w:r>
    </w:p>
    <w:p w:rsidR="002C1123" w:rsidRDefault="00F22F94">
      <w:pPr>
        <w:pStyle w:val="Heading6"/>
        <w:spacing w:before="216" w:line="224" w:lineRule="exact"/>
        <w:ind w:left="501"/>
      </w:pPr>
      <w:r>
        <w:rPr>
          <w:b w:val="0"/>
        </w:rPr>
        <w:br w:type="column"/>
      </w:r>
      <w:r>
        <w:rPr>
          <w:color w:val="EC008C"/>
          <w:spacing w:val="-2"/>
        </w:rPr>
        <w:t>Electricity</w:t>
      </w:r>
    </w:p>
    <w:p w:rsidR="002C1123" w:rsidRDefault="00F22F94">
      <w:pPr>
        <w:spacing w:line="201" w:lineRule="exact"/>
        <w:ind w:left="501"/>
        <w:rPr>
          <w:sz w:val="18"/>
        </w:rPr>
      </w:pPr>
      <w:r>
        <w:rPr>
          <w:spacing w:val="-2"/>
          <w:sz w:val="18"/>
        </w:rPr>
        <w:t>2011</w:t>
      </w:r>
      <w:r>
        <w:rPr>
          <w:spacing w:val="-9"/>
          <w:sz w:val="18"/>
        </w:rPr>
        <w:t xml:space="preserve"> </w:t>
      </w:r>
      <w:r>
        <w:rPr>
          <w:spacing w:val="-2"/>
          <w:sz w:val="18"/>
        </w:rPr>
        <w:t>–</w:t>
      </w:r>
      <w:r>
        <w:rPr>
          <w:spacing w:val="-8"/>
          <w:sz w:val="18"/>
        </w:rPr>
        <w:t xml:space="preserve"> </w:t>
      </w:r>
      <w:r>
        <w:rPr>
          <w:spacing w:val="-2"/>
          <w:sz w:val="18"/>
        </w:rPr>
        <w:t>71.5</w:t>
      </w:r>
      <w:r>
        <w:rPr>
          <w:spacing w:val="-8"/>
          <w:sz w:val="18"/>
        </w:rPr>
        <w:t xml:space="preserve"> </w:t>
      </w:r>
      <w:r>
        <w:rPr>
          <w:spacing w:val="-6"/>
          <w:sz w:val="18"/>
        </w:rPr>
        <w:t>Twh</w:t>
      </w:r>
    </w:p>
    <w:p w:rsidR="002C1123" w:rsidRDefault="00F22F94">
      <w:pPr>
        <w:spacing w:before="49"/>
        <w:ind w:left="501"/>
        <w:rPr>
          <w:sz w:val="18"/>
        </w:rPr>
      </w:pPr>
      <w:r>
        <w:rPr>
          <w:spacing w:val="-2"/>
          <w:sz w:val="18"/>
        </w:rPr>
        <w:t>2031</w:t>
      </w:r>
      <w:r>
        <w:rPr>
          <w:spacing w:val="-9"/>
          <w:sz w:val="18"/>
        </w:rPr>
        <w:t xml:space="preserve"> </w:t>
      </w:r>
      <w:r>
        <w:rPr>
          <w:spacing w:val="-2"/>
          <w:sz w:val="18"/>
        </w:rPr>
        <w:t>–</w:t>
      </w:r>
      <w:r>
        <w:rPr>
          <w:spacing w:val="-8"/>
          <w:sz w:val="18"/>
        </w:rPr>
        <w:t xml:space="preserve"> </w:t>
      </w:r>
      <w:r>
        <w:rPr>
          <w:spacing w:val="-2"/>
          <w:sz w:val="18"/>
        </w:rPr>
        <w:t>81.1</w:t>
      </w:r>
      <w:r>
        <w:rPr>
          <w:spacing w:val="-8"/>
          <w:sz w:val="18"/>
        </w:rPr>
        <w:t xml:space="preserve"> </w:t>
      </w:r>
      <w:r>
        <w:rPr>
          <w:spacing w:val="-6"/>
          <w:sz w:val="18"/>
        </w:rPr>
        <w:t>Twh</w:t>
      </w:r>
    </w:p>
    <w:p w:rsidR="002C1123" w:rsidRDefault="00F22F94">
      <w:pPr>
        <w:spacing w:before="46" w:line="951" w:lineRule="exact"/>
        <w:ind w:left="453"/>
        <w:rPr>
          <w:rFonts w:ascii="Trebuchet MS"/>
          <w:sz w:val="87"/>
        </w:rPr>
      </w:pPr>
      <w:r>
        <w:br w:type="column"/>
      </w:r>
      <w:r>
        <w:rPr>
          <w:rFonts w:ascii="Trebuchet MS"/>
          <w:color w:val="2E3092"/>
          <w:spacing w:val="-5"/>
          <w:w w:val="80"/>
          <w:sz w:val="87"/>
        </w:rPr>
        <w:t>14%</w:t>
      </w:r>
    </w:p>
    <w:p w:rsidR="002C1123" w:rsidRDefault="002C1123">
      <w:pPr>
        <w:spacing w:line="951" w:lineRule="exact"/>
        <w:rPr>
          <w:rFonts w:ascii="Trebuchet MS"/>
          <w:sz w:val="87"/>
        </w:rPr>
        <w:sectPr w:rsidR="002C1123">
          <w:type w:val="continuous"/>
          <w:pgSz w:w="16840" w:h="11910" w:orient="landscape"/>
          <w:pgMar w:top="560" w:right="280" w:bottom="280" w:left="500" w:header="0" w:footer="517" w:gutter="0"/>
          <w:cols w:num="6" w:space="720" w:equalWidth="0">
            <w:col w:w="1818" w:space="40"/>
            <w:col w:w="1546" w:space="776"/>
            <w:col w:w="1886" w:space="40"/>
            <w:col w:w="1428" w:space="849"/>
            <w:col w:w="1796" w:space="39"/>
            <w:col w:w="5842"/>
          </w:cols>
        </w:sectPr>
      </w:pPr>
    </w:p>
    <w:p w:rsidR="002C1123" w:rsidRDefault="002060EF">
      <w:pPr>
        <w:spacing w:before="4"/>
        <w:ind w:left="501"/>
        <w:rPr>
          <w:sz w:val="14"/>
        </w:rPr>
      </w:pPr>
      <w:r>
        <w:pict>
          <v:shape id="docshape532" o:spid="_x0000_s4776" type="#_x0000_t202" style="position:absolute;left:0;text-align:left;margin-left:663.85pt;margin-top:484.4pt;width:130.4pt;height:52.95pt;z-index:251262976;mso-position-horizontal-relative:page;mso-position-vertical-relative:page" fillcolor="#e1e0e1" stroked="f">
            <v:textbox inset="0,0,0,0">
              <w:txbxContent>
                <w:p w:rsidR="00F22F94" w:rsidRDefault="00F22F94">
                  <w:pPr>
                    <w:pStyle w:val="BodyText"/>
                    <w:spacing w:before="4"/>
                    <w:rPr>
                      <w:rFonts w:ascii="Tahoma"/>
                      <w:color w:val="000000"/>
                      <w:sz w:val="18"/>
                    </w:rPr>
                  </w:pPr>
                </w:p>
                <w:p w:rsidR="00F22F94" w:rsidRDefault="00F22F94">
                  <w:pPr>
                    <w:ind w:left="171"/>
                    <w:rPr>
                      <w:color w:val="000000"/>
                      <w:sz w:val="16"/>
                    </w:rPr>
                  </w:pPr>
                  <w:r>
                    <w:rPr>
                      <w:b/>
                      <w:color w:val="000000"/>
                      <w:spacing w:val="-4"/>
                      <w:sz w:val="16"/>
                    </w:rPr>
                    <w:t>TEU</w:t>
                  </w:r>
                  <w:r>
                    <w:rPr>
                      <w:b/>
                      <w:color w:val="000000"/>
                      <w:spacing w:val="66"/>
                      <w:sz w:val="16"/>
                    </w:rPr>
                    <w:t xml:space="preserve"> </w:t>
                  </w:r>
                  <w:r>
                    <w:rPr>
                      <w:color w:val="000000"/>
                      <w:spacing w:val="-4"/>
                      <w:sz w:val="16"/>
                    </w:rPr>
                    <w:t>Twenty-foot</w:t>
                  </w:r>
                  <w:r>
                    <w:rPr>
                      <w:color w:val="000000"/>
                      <w:spacing w:val="-7"/>
                      <w:sz w:val="16"/>
                    </w:rPr>
                    <w:t xml:space="preserve"> </w:t>
                  </w:r>
                  <w:r>
                    <w:rPr>
                      <w:color w:val="000000"/>
                      <w:spacing w:val="-4"/>
                      <w:sz w:val="16"/>
                    </w:rPr>
                    <w:t>equivalent</w:t>
                  </w:r>
                  <w:r>
                    <w:rPr>
                      <w:color w:val="000000"/>
                      <w:spacing w:val="-7"/>
                      <w:sz w:val="16"/>
                    </w:rPr>
                    <w:t xml:space="preserve"> </w:t>
                  </w:r>
                  <w:r>
                    <w:rPr>
                      <w:color w:val="000000"/>
                      <w:spacing w:val="-4"/>
                      <w:sz w:val="16"/>
                    </w:rPr>
                    <w:t>unit</w:t>
                  </w:r>
                </w:p>
                <w:p w:rsidR="00F22F94" w:rsidRDefault="00F22F94">
                  <w:pPr>
                    <w:spacing w:before="44"/>
                    <w:ind w:left="171"/>
                    <w:rPr>
                      <w:color w:val="000000"/>
                      <w:sz w:val="16"/>
                    </w:rPr>
                  </w:pPr>
                  <w:r>
                    <w:rPr>
                      <w:b/>
                      <w:color w:val="000000"/>
                      <w:spacing w:val="-4"/>
                      <w:sz w:val="16"/>
                    </w:rPr>
                    <w:t>Twh</w:t>
                  </w:r>
                  <w:r>
                    <w:rPr>
                      <w:b/>
                      <w:color w:val="000000"/>
                      <w:spacing w:val="62"/>
                      <w:sz w:val="16"/>
                    </w:rPr>
                    <w:t xml:space="preserve"> </w:t>
                  </w:r>
                  <w:r>
                    <w:rPr>
                      <w:color w:val="000000"/>
                      <w:spacing w:val="-4"/>
                      <w:sz w:val="16"/>
                    </w:rPr>
                    <w:t>Terawatt</w:t>
                  </w:r>
                  <w:r>
                    <w:rPr>
                      <w:color w:val="000000"/>
                      <w:spacing w:val="-8"/>
                      <w:sz w:val="16"/>
                    </w:rPr>
                    <w:t xml:space="preserve"> </w:t>
                  </w:r>
                  <w:r>
                    <w:rPr>
                      <w:color w:val="000000"/>
                      <w:spacing w:val="-4"/>
                      <w:sz w:val="16"/>
                    </w:rPr>
                    <w:t>hour</w:t>
                  </w:r>
                </w:p>
                <w:p w:rsidR="00F22F94" w:rsidRDefault="00F22F94">
                  <w:pPr>
                    <w:tabs>
                      <w:tab w:val="left" w:pos="611"/>
                    </w:tabs>
                    <w:spacing w:before="45"/>
                    <w:ind w:left="171"/>
                    <w:rPr>
                      <w:color w:val="000000"/>
                      <w:sz w:val="16"/>
                    </w:rPr>
                  </w:pPr>
                  <w:r>
                    <w:rPr>
                      <w:b/>
                      <w:color w:val="000000"/>
                      <w:spacing w:val="-5"/>
                      <w:sz w:val="16"/>
                    </w:rPr>
                    <w:t>mt</w:t>
                  </w:r>
                  <w:r>
                    <w:rPr>
                      <w:b/>
                      <w:color w:val="000000"/>
                      <w:sz w:val="16"/>
                    </w:rPr>
                    <w:tab/>
                  </w:r>
                  <w:r>
                    <w:rPr>
                      <w:color w:val="000000"/>
                      <w:spacing w:val="-2"/>
                      <w:w w:val="95"/>
                      <w:sz w:val="16"/>
                    </w:rPr>
                    <w:t>Million</w:t>
                  </w:r>
                  <w:r>
                    <w:rPr>
                      <w:color w:val="000000"/>
                      <w:spacing w:val="-5"/>
                      <w:w w:val="95"/>
                      <w:sz w:val="16"/>
                    </w:rPr>
                    <w:t xml:space="preserve"> </w:t>
                  </w:r>
                  <w:r>
                    <w:rPr>
                      <w:color w:val="000000"/>
                      <w:spacing w:val="-2"/>
                      <w:sz w:val="16"/>
                    </w:rPr>
                    <w:t>Tonnes</w:t>
                  </w:r>
                </w:p>
              </w:txbxContent>
            </v:textbox>
            <w10:wrap anchorx="page" anchory="page"/>
          </v:shape>
        </w:pict>
      </w:r>
      <w:r w:rsidR="00F22F94">
        <w:rPr>
          <w:sz w:val="14"/>
        </w:rPr>
        <w:t>An</w:t>
      </w:r>
      <w:r w:rsidR="00F22F94">
        <w:rPr>
          <w:spacing w:val="-5"/>
          <w:sz w:val="14"/>
        </w:rPr>
        <w:t xml:space="preserve"> </w:t>
      </w:r>
      <w:r w:rsidR="00F22F94">
        <w:rPr>
          <w:sz w:val="14"/>
        </w:rPr>
        <w:t>extra</w:t>
      </w:r>
      <w:r w:rsidR="00F22F94">
        <w:rPr>
          <w:spacing w:val="-5"/>
          <w:sz w:val="14"/>
        </w:rPr>
        <w:t xml:space="preserve"> </w:t>
      </w:r>
      <w:r w:rsidR="00F22F94">
        <w:rPr>
          <w:sz w:val="14"/>
        </w:rPr>
        <w:t>5,500</w:t>
      </w:r>
      <w:r w:rsidR="00F22F94">
        <w:rPr>
          <w:spacing w:val="-5"/>
          <w:sz w:val="14"/>
        </w:rPr>
        <w:t xml:space="preserve"> </w:t>
      </w:r>
      <w:r w:rsidR="00F22F94">
        <w:rPr>
          <w:sz w:val="14"/>
        </w:rPr>
        <w:t>hospital</w:t>
      </w:r>
      <w:r w:rsidR="00F22F94">
        <w:rPr>
          <w:spacing w:val="-5"/>
          <w:sz w:val="14"/>
        </w:rPr>
        <w:t xml:space="preserve"> </w:t>
      </w:r>
      <w:r w:rsidR="00F22F94">
        <w:rPr>
          <w:sz w:val="14"/>
        </w:rPr>
        <w:t>beds</w:t>
      </w:r>
      <w:r w:rsidR="00F22F94">
        <w:rPr>
          <w:spacing w:val="-5"/>
          <w:sz w:val="14"/>
        </w:rPr>
        <w:t xml:space="preserve"> </w:t>
      </w:r>
      <w:r w:rsidR="00F22F94">
        <w:rPr>
          <w:sz w:val="14"/>
        </w:rPr>
        <w:t>may</w:t>
      </w:r>
      <w:r w:rsidR="00F22F94">
        <w:rPr>
          <w:spacing w:val="-5"/>
          <w:sz w:val="14"/>
        </w:rPr>
        <w:t xml:space="preserve"> </w:t>
      </w:r>
      <w:r w:rsidR="00F22F94">
        <w:rPr>
          <w:sz w:val="14"/>
        </w:rPr>
        <w:t>be</w:t>
      </w:r>
      <w:r w:rsidR="00F22F94">
        <w:rPr>
          <w:spacing w:val="-5"/>
          <w:sz w:val="14"/>
        </w:rPr>
        <w:t xml:space="preserve"> </w:t>
      </w:r>
      <w:r w:rsidR="00F22F94">
        <w:rPr>
          <w:sz w:val="14"/>
        </w:rPr>
        <w:t>needed</w:t>
      </w:r>
      <w:r w:rsidR="00F22F94">
        <w:rPr>
          <w:spacing w:val="40"/>
          <w:sz w:val="14"/>
        </w:rPr>
        <w:t xml:space="preserve"> </w:t>
      </w:r>
      <w:r w:rsidR="00F22F94">
        <w:rPr>
          <w:sz w:val="14"/>
        </w:rPr>
        <w:t>by</w:t>
      </w:r>
      <w:r w:rsidR="00F22F94">
        <w:rPr>
          <w:spacing w:val="-2"/>
          <w:sz w:val="14"/>
        </w:rPr>
        <w:t xml:space="preserve"> </w:t>
      </w:r>
      <w:r w:rsidR="00F22F94">
        <w:rPr>
          <w:sz w:val="14"/>
        </w:rPr>
        <w:t>2031-32.</w:t>
      </w:r>
    </w:p>
    <w:p w:rsidR="002C1123" w:rsidRDefault="00F22F94">
      <w:pPr>
        <w:spacing w:before="4"/>
        <w:ind w:left="501" w:right="14"/>
        <w:rPr>
          <w:sz w:val="14"/>
        </w:rPr>
      </w:pPr>
      <w:r>
        <w:br w:type="column"/>
      </w:r>
      <w:r>
        <w:rPr>
          <w:w w:val="95"/>
          <w:sz w:val="14"/>
        </w:rPr>
        <w:t>More then 700,000 additional houses will be needed</w:t>
      </w:r>
      <w:r>
        <w:rPr>
          <w:spacing w:val="40"/>
          <w:sz w:val="14"/>
        </w:rPr>
        <w:t xml:space="preserve"> </w:t>
      </w:r>
      <w:r>
        <w:rPr>
          <w:sz w:val="14"/>
        </w:rPr>
        <w:t>by 2031-32; this means around 35,000 each year.</w:t>
      </w:r>
    </w:p>
    <w:p w:rsidR="002C1123" w:rsidRDefault="00F22F94">
      <w:pPr>
        <w:spacing w:before="12" w:line="225" w:lineRule="auto"/>
        <w:ind w:left="501" w:right="4177"/>
        <w:rPr>
          <w:rFonts w:ascii="Tahoma"/>
          <w:sz w:val="14"/>
        </w:rPr>
      </w:pPr>
      <w:r>
        <w:br w:type="column"/>
      </w:r>
      <w:r>
        <w:rPr>
          <w:w w:val="95"/>
          <w:sz w:val="14"/>
        </w:rPr>
        <w:t>Electricity consumption has fallen since 2009 and</w:t>
      </w:r>
      <w:r>
        <w:rPr>
          <w:spacing w:val="40"/>
          <w:sz w:val="14"/>
        </w:rPr>
        <w:t xml:space="preserve"> </w:t>
      </w:r>
      <w:r>
        <w:rPr>
          <w:rFonts w:ascii="Tahoma"/>
          <w:sz w:val="14"/>
        </w:rPr>
        <w:t>is</w:t>
      </w:r>
      <w:r>
        <w:rPr>
          <w:rFonts w:ascii="Tahoma"/>
          <w:spacing w:val="-5"/>
          <w:sz w:val="14"/>
        </w:rPr>
        <w:t xml:space="preserve"> </w:t>
      </w:r>
      <w:r>
        <w:rPr>
          <w:rFonts w:ascii="Tahoma"/>
          <w:sz w:val="14"/>
        </w:rPr>
        <w:t>only</w:t>
      </w:r>
      <w:r>
        <w:rPr>
          <w:rFonts w:ascii="Tahoma"/>
          <w:spacing w:val="-5"/>
          <w:sz w:val="14"/>
        </w:rPr>
        <w:t xml:space="preserve"> </w:t>
      </w:r>
      <w:r>
        <w:rPr>
          <w:rFonts w:ascii="Tahoma"/>
          <w:sz w:val="14"/>
        </w:rPr>
        <w:t>expected</w:t>
      </w:r>
      <w:r>
        <w:rPr>
          <w:rFonts w:ascii="Tahoma"/>
          <w:spacing w:val="-5"/>
          <w:sz w:val="14"/>
        </w:rPr>
        <w:t xml:space="preserve"> </w:t>
      </w:r>
      <w:r>
        <w:rPr>
          <w:rFonts w:ascii="Tahoma"/>
          <w:sz w:val="14"/>
        </w:rPr>
        <w:t>to</w:t>
      </w:r>
      <w:r>
        <w:rPr>
          <w:rFonts w:ascii="Tahoma"/>
          <w:spacing w:val="-5"/>
          <w:sz w:val="14"/>
        </w:rPr>
        <w:t xml:space="preserve"> </w:t>
      </w:r>
      <w:r>
        <w:rPr>
          <w:rFonts w:ascii="Tahoma"/>
          <w:sz w:val="14"/>
        </w:rPr>
        <w:t>increase</w:t>
      </w:r>
      <w:r>
        <w:rPr>
          <w:rFonts w:ascii="Tahoma"/>
          <w:spacing w:val="-5"/>
          <w:sz w:val="14"/>
        </w:rPr>
        <w:t xml:space="preserve"> </w:t>
      </w:r>
      <w:r>
        <w:rPr>
          <w:rFonts w:ascii="Tahoma"/>
          <w:sz w:val="14"/>
        </w:rPr>
        <w:t>by</w:t>
      </w:r>
      <w:r>
        <w:rPr>
          <w:rFonts w:ascii="Tahoma"/>
          <w:spacing w:val="-5"/>
          <w:sz w:val="14"/>
        </w:rPr>
        <w:t xml:space="preserve"> </w:t>
      </w:r>
      <w:r>
        <w:rPr>
          <w:rFonts w:ascii="Tahoma"/>
          <w:sz w:val="14"/>
        </w:rPr>
        <w:t>14%</w:t>
      </w:r>
      <w:r>
        <w:rPr>
          <w:rFonts w:ascii="Tahoma"/>
          <w:spacing w:val="-5"/>
          <w:sz w:val="14"/>
        </w:rPr>
        <w:t xml:space="preserve"> </w:t>
      </w:r>
      <w:r>
        <w:rPr>
          <w:rFonts w:ascii="Tahoma"/>
          <w:sz w:val="14"/>
        </w:rPr>
        <w:t>in</w:t>
      </w:r>
      <w:r>
        <w:rPr>
          <w:rFonts w:ascii="Tahoma"/>
          <w:spacing w:val="-5"/>
          <w:sz w:val="14"/>
        </w:rPr>
        <w:t xml:space="preserve"> </w:t>
      </w:r>
      <w:r>
        <w:rPr>
          <w:rFonts w:ascii="Tahoma"/>
          <w:sz w:val="14"/>
        </w:rPr>
        <w:t>20</w:t>
      </w:r>
      <w:r>
        <w:rPr>
          <w:rFonts w:ascii="Tahoma"/>
          <w:spacing w:val="-5"/>
          <w:sz w:val="14"/>
        </w:rPr>
        <w:t xml:space="preserve"> </w:t>
      </w:r>
      <w:r>
        <w:rPr>
          <w:rFonts w:ascii="Tahoma"/>
          <w:sz w:val="14"/>
        </w:rPr>
        <w:t>years.</w:t>
      </w:r>
    </w:p>
    <w:p w:rsidR="002C1123" w:rsidRDefault="002C1123">
      <w:pPr>
        <w:spacing w:line="225" w:lineRule="auto"/>
        <w:rPr>
          <w:rFonts w:ascii="Tahoma"/>
          <w:sz w:val="14"/>
        </w:rPr>
        <w:sectPr w:rsidR="002C1123">
          <w:type w:val="continuous"/>
          <w:pgSz w:w="16840" w:h="11910" w:orient="landscape"/>
          <w:pgMar w:top="560" w:right="280" w:bottom="280" w:left="500" w:header="0" w:footer="517" w:gutter="0"/>
          <w:cols w:num="3" w:space="720" w:equalWidth="0">
            <w:col w:w="3324" w:space="856"/>
            <w:col w:w="3719" w:space="483"/>
            <w:col w:w="7678"/>
          </w:cols>
        </w:sectPr>
      </w:pPr>
    </w:p>
    <w:p w:rsidR="002C1123" w:rsidRDefault="002C1123">
      <w:pPr>
        <w:pStyle w:val="BodyText"/>
        <w:rPr>
          <w:rFonts w:ascii="Tahoma"/>
        </w:rPr>
      </w:pPr>
    </w:p>
    <w:p w:rsidR="002C1123" w:rsidRDefault="002C1123">
      <w:pPr>
        <w:pStyle w:val="BodyText"/>
        <w:rPr>
          <w:rFonts w:ascii="Tahoma"/>
        </w:rPr>
      </w:pPr>
    </w:p>
    <w:p w:rsidR="002C1123" w:rsidRDefault="002C1123">
      <w:pPr>
        <w:pStyle w:val="BodyText"/>
        <w:rPr>
          <w:rFonts w:ascii="Tahoma"/>
        </w:rPr>
      </w:pPr>
    </w:p>
    <w:p w:rsidR="002C1123" w:rsidRDefault="002C1123">
      <w:pPr>
        <w:pStyle w:val="BodyText"/>
        <w:rPr>
          <w:rFonts w:ascii="Tahoma"/>
        </w:rPr>
      </w:pPr>
    </w:p>
    <w:p w:rsidR="002C1123" w:rsidRDefault="002C1123">
      <w:pPr>
        <w:pStyle w:val="BodyText"/>
        <w:rPr>
          <w:rFonts w:ascii="Tahoma"/>
        </w:rPr>
      </w:pPr>
    </w:p>
    <w:p w:rsidR="002C1123" w:rsidRDefault="002C1123">
      <w:pPr>
        <w:pStyle w:val="BodyText"/>
        <w:rPr>
          <w:rFonts w:ascii="Tahoma"/>
        </w:rPr>
      </w:pPr>
    </w:p>
    <w:p w:rsidR="002C1123" w:rsidRDefault="002C1123">
      <w:pPr>
        <w:pStyle w:val="BodyText"/>
        <w:rPr>
          <w:rFonts w:ascii="Tahoma"/>
        </w:rPr>
      </w:pPr>
    </w:p>
    <w:p w:rsidR="002C1123" w:rsidRDefault="002C1123">
      <w:pPr>
        <w:pStyle w:val="BodyText"/>
        <w:rPr>
          <w:rFonts w:ascii="Tahoma"/>
          <w:sz w:val="21"/>
        </w:rPr>
      </w:pPr>
    </w:p>
    <w:p w:rsidR="002C1123" w:rsidRDefault="002060EF">
      <w:pPr>
        <w:ind w:left="492"/>
        <w:rPr>
          <w:b/>
          <w:sz w:val="18"/>
        </w:rPr>
      </w:pPr>
      <w:r>
        <w:pict>
          <v:shape id="docshape533" o:spid="_x0000_s4775" type="#_x0000_t202" style="position:absolute;left:0;text-align:left;margin-left:300.95pt;margin-top:2pt;width:239pt;height:59.95pt;z-index:251265024;mso-position-horizontal-relative:page" fillcolor="#e1e0e1" stroked="f">
            <v:textbox inset="0,0,0,0">
              <w:txbxContent>
                <w:p w:rsidR="00F22F94" w:rsidRDefault="00F22F94">
                  <w:pPr>
                    <w:spacing w:before="68"/>
                    <w:ind w:left="113"/>
                    <w:rPr>
                      <w:b/>
                      <w:color w:val="000000"/>
                      <w:sz w:val="20"/>
                    </w:rPr>
                  </w:pPr>
                  <w:r>
                    <w:rPr>
                      <w:b/>
                      <w:color w:val="EC008C"/>
                      <w:w w:val="95"/>
                      <w:sz w:val="20"/>
                    </w:rPr>
                    <w:t>What</w:t>
                  </w:r>
                  <w:r>
                    <w:rPr>
                      <w:b/>
                      <w:color w:val="EC008C"/>
                      <w:spacing w:val="3"/>
                      <w:sz w:val="20"/>
                    </w:rPr>
                    <w:t xml:space="preserve"> </w:t>
                  </w:r>
                  <w:r>
                    <w:rPr>
                      <w:b/>
                      <w:color w:val="EC008C"/>
                      <w:w w:val="95"/>
                      <w:sz w:val="20"/>
                    </w:rPr>
                    <w:t>is</w:t>
                  </w:r>
                  <w:r>
                    <w:rPr>
                      <w:b/>
                      <w:color w:val="EC008C"/>
                      <w:spacing w:val="3"/>
                      <w:sz w:val="20"/>
                    </w:rPr>
                    <w:t xml:space="preserve"> </w:t>
                  </w:r>
                  <w:r>
                    <w:rPr>
                      <w:b/>
                      <w:color w:val="EC008C"/>
                      <w:w w:val="95"/>
                      <w:sz w:val="20"/>
                    </w:rPr>
                    <w:t>important</w:t>
                  </w:r>
                  <w:r>
                    <w:rPr>
                      <w:b/>
                      <w:color w:val="EC008C"/>
                      <w:spacing w:val="4"/>
                      <w:sz w:val="20"/>
                    </w:rPr>
                    <w:t xml:space="preserve"> </w:t>
                  </w:r>
                  <w:r>
                    <w:rPr>
                      <w:b/>
                      <w:color w:val="EC008C"/>
                      <w:w w:val="95"/>
                      <w:sz w:val="20"/>
                    </w:rPr>
                    <w:t>to</w:t>
                  </w:r>
                  <w:r>
                    <w:rPr>
                      <w:b/>
                      <w:color w:val="EC008C"/>
                      <w:spacing w:val="3"/>
                      <w:sz w:val="20"/>
                    </w:rPr>
                    <w:t xml:space="preserve"> </w:t>
                  </w:r>
                  <w:r>
                    <w:rPr>
                      <w:b/>
                      <w:color w:val="EC008C"/>
                      <w:w w:val="95"/>
                      <w:sz w:val="20"/>
                    </w:rPr>
                    <w:t>note</w:t>
                  </w:r>
                  <w:r>
                    <w:rPr>
                      <w:b/>
                      <w:color w:val="EC008C"/>
                      <w:spacing w:val="3"/>
                      <w:sz w:val="20"/>
                    </w:rPr>
                    <w:t xml:space="preserve"> </w:t>
                  </w:r>
                  <w:r>
                    <w:rPr>
                      <w:b/>
                      <w:color w:val="EC008C"/>
                      <w:w w:val="95"/>
                      <w:sz w:val="20"/>
                    </w:rPr>
                    <w:t>is</w:t>
                  </w:r>
                  <w:r>
                    <w:rPr>
                      <w:b/>
                      <w:color w:val="EC008C"/>
                      <w:spacing w:val="4"/>
                      <w:sz w:val="20"/>
                    </w:rPr>
                    <w:t xml:space="preserve"> </w:t>
                  </w:r>
                  <w:r>
                    <w:rPr>
                      <w:b/>
                      <w:color w:val="EC008C"/>
                      <w:spacing w:val="-4"/>
                      <w:w w:val="95"/>
                      <w:sz w:val="20"/>
                    </w:rPr>
                    <w:t>that:</w:t>
                  </w:r>
                </w:p>
                <w:p w:rsidR="00F22F94" w:rsidRDefault="00F22F94">
                  <w:pPr>
                    <w:pStyle w:val="BodyText"/>
                    <w:numPr>
                      <w:ilvl w:val="0"/>
                      <w:numId w:val="142"/>
                    </w:numPr>
                    <w:tabs>
                      <w:tab w:val="left" w:pos="322"/>
                    </w:tabs>
                    <w:spacing w:before="39"/>
                    <w:rPr>
                      <w:rFonts w:ascii="Trebuchet MS" w:hAnsi="Trebuchet MS"/>
                      <w:color w:val="000000"/>
                    </w:rPr>
                  </w:pPr>
                  <w:r>
                    <w:rPr>
                      <w:rFonts w:ascii="Trebuchet MS" w:hAnsi="Trebuchet MS"/>
                      <w:color w:val="000000"/>
                      <w:w w:val="105"/>
                    </w:rPr>
                    <w:t>69%</w:t>
                  </w:r>
                  <w:r>
                    <w:rPr>
                      <w:rFonts w:ascii="Trebuchet MS" w:hAnsi="Trebuchet MS"/>
                      <w:color w:val="000000"/>
                      <w:spacing w:val="-5"/>
                      <w:w w:val="105"/>
                    </w:rPr>
                    <w:t xml:space="preserve"> </w:t>
                  </w:r>
                  <w:r>
                    <w:rPr>
                      <w:rFonts w:ascii="Trebuchet MS" w:hAnsi="Trebuchet MS"/>
                      <w:color w:val="000000"/>
                      <w:w w:val="105"/>
                    </w:rPr>
                    <w:t>of</w:t>
                  </w:r>
                  <w:r>
                    <w:rPr>
                      <w:rFonts w:ascii="Trebuchet MS" w:hAnsi="Trebuchet MS"/>
                      <w:color w:val="000000"/>
                      <w:spacing w:val="-5"/>
                      <w:w w:val="105"/>
                    </w:rPr>
                    <w:t xml:space="preserve"> </w:t>
                  </w:r>
                  <w:r>
                    <w:rPr>
                      <w:rFonts w:ascii="Trebuchet MS" w:hAnsi="Trebuchet MS"/>
                      <w:color w:val="000000"/>
                      <w:w w:val="105"/>
                    </w:rPr>
                    <w:t>trips</w:t>
                  </w:r>
                  <w:r>
                    <w:rPr>
                      <w:rFonts w:ascii="Trebuchet MS" w:hAnsi="Trebuchet MS"/>
                      <w:color w:val="000000"/>
                      <w:spacing w:val="-5"/>
                      <w:w w:val="105"/>
                    </w:rPr>
                    <w:t xml:space="preserve"> </w:t>
                  </w:r>
                  <w:r>
                    <w:rPr>
                      <w:rFonts w:ascii="Trebuchet MS" w:hAnsi="Trebuchet MS"/>
                      <w:color w:val="000000"/>
                      <w:w w:val="105"/>
                    </w:rPr>
                    <w:t>are</w:t>
                  </w:r>
                  <w:r>
                    <w:rPr>
                      <w:rFonts w:ascii="Trebuchet MS" w:hAnsi="Trebuchet MS"/>
                      <w:color w:val="000000"/>
                      <w:spacing w:val="-5"/>
                      <w:w w:val="105"/>
                    </w:rPr>
                    <w:t xml:space="preserve"> </w:t>
                  </w:r>
                  <w:r>
                    <w:rPr>
                      <w:rFonts w:ascii="Trebuchet MS" w:hAnsi="Trebuchet MS"/>
                      <w:color w:val="000000"/>
                      <w:w w:val="105"/>
                    </w:rPr>
                    <w:t>by</w:t>
                  </w:r>
                  <w:r>
                    <w:rPr>
                      <w:rFonts w:ascii="Trebuchet MS" w:hAnsi="Trebuchet MS"/>
                      <w:color w:val="000000"/>
                      <w:spacing w:val="-5"/>
                      <w:w w:val="105"/>
                    </w:rPr>
                    <w:t xml:space="preserve"> car</w:t>
                  </w:r>
                </w:p>
                <w:p w:rsidR="00F22F94" w:rsidRDefault="00F22F94">
                  <w:pPr>
                    <w:pStyle w:val="BodyText"/>
                    <w:numPr>
                      <w:ilvl w:val="0"/>
                      <w:numId w:val="142"/>
                    </w:numPr>
                    <w:tabs>
                      <w:tab w:val="left" w:pos="322"/>
                    </w:tabs>
                    <w:spacing w:before="7"/>
                    <w:rPr>
                      <w:rFonts w:ascii="Trebuchet MS" w:hAnsi="Trebuchet MS"/>
                      <w:color w:val="000000"/>
                    </w:rPr>
                  </w:pPr>
                  <w:r>
                    <w:rPr>
                      <w:rFonts w:ascii="Trebuchet MS" w:hAnsi="Trebuchet MS"/>
                      <w:color w:val="000000"/>
                      <w:w w:val="105"/>
                    </w:rPr>
                    <w:t>93%</w:t>
                  </w:r>
                  <w:r>
                    <w:rPr>
                      <w:rFonts w:ascii="Trebuchet MS" w:hAnsi="Trebuchet MS"/>
                      <w:color w:val="000000"/>
                      <w:spacing w:val="-6"/>
                      <w:w w:val="105"/>
                    </w:rPr>
                    <w:t xml:space="preserve"> </w:t>
                  </w:r>
                  <w:r>
                    <w:rPr>
                      <w:rFonts w:ascii="Trebuchet MS" w:hAnsi="Trebuchet MS"/>
                      <w:color w:val="000000"/>
                      <w:w w:val="105"/>
                    </w:rPr>
                    <w:t>of</w:t>
                  </w:r>
                  <w:r>
                    <w:rPr>
                      <w:rFonts w:ascii="Trebuchet MS" w:hAnsi="Trebuchet MS"/>
                      <w:color w:val="000000"/>
                      <w:spacing w:val="-6"/>
                      <w:w w:val="105"/>
                    </w:rPr>
                    <w:t xml:space="preserve"> </w:t>
                  </w:r>
                  <w:r>
                    <w:rPr>
                      <w:rFonts w:ascii="Trebuchet MS" w:hAnsi="Trebuchet MS"/>
                      <w:color w:val="000000"/>
                      <w:w w:val="105"/>
                    </w:rPr>
                    <w:t>travel</w:t>
                  </w:r>
                  <w:r>
                    <w:rPr>
                      <w:rFonts w:ascii="Trebuchet MS" w:hAnsi="Trebuchet MS"/>
                      <w:color w:val="000000"/>
                      <w:spacing w:val="-6"/>
                      <w:w w:val="105"/>
                    </w:rPr>
                    <w:t xml:space="preserve"> </w:t>
                  </w:r>
                  <w:r>
                    <w:rPr>
                      <w:rFonts w:ascii="Trebuchet MS" w:hAnsi="Trebuchet MS"/>
                      <w:color w:val="000000"/>
                      <w:w w:val="105"/>
                    </w:rPr>
                    <w:t>is</w:t>
                  </w:r>
                  <w:r>
                    <w:rPr>
                      <w:rFonts w:ascii="Trebuchet MS" w:hAnsi="Trebuchet MS"/>
                      <w:color w:val="000000"/>
                      <w:spacing w:val="-6"/>
                      <w:w w:val="105"/>
                    </w:rPr>
                    <w:t xml:space="preserve"> </w:t>
                  </w:r>
                  <w:r>
                    <w:rPr>
                      <w:rFonts w:ascii="Trebuchet MS" w:hAnsi="Trebuchet MS"/>
                      <w:color w:val="000000"/>
                      <w:w w:val="105"/>
                    </w:rPr>
                    <w:t>on</w:t>
                  </w:r>
                  <w:r>
                    <w:rPr>
                      <w:rFonts w:ascii="Trebuchet MS" w:hAnsi="Trebuchet MS"/>
                      <w:color w:val="000000"/>
                      <w:spacing w:val="-6"/>
                      <w:w w:val="105"/>
                    </w:rPr>
                    <w:t xml:space="preserve"> </w:t>
                  </w:r>
                  <w:r>
                    <w:rPr>
                      <w:rFonts w:ascii="Trebuchet MS" w:hAnsi="Trebuchet MS"/>
                      <w:color w:val="000000"/>
                      <w:spacing w:val="-2"/>
                      <w:w w:val="105"/>
                    </w:rPr>
                    <w:t>roads</w:t>
                  </w:r>
                </w:p>
                <w:p w:rsidR="00F22F94" w:rsidRDefault="00F22F94">
                  <w:pPr>
                    <w:pStyle w:val="BodyText"/>
                    <w:numPr>
                      <w:ilvl w:val="0"/>
                      <w:numId w:val="142"/>
                    </w:numPr>
                    <w:tabs>
                      <w:tab w:val="left" w:pos="322"/>
                    </w:tabs>
                    <w:spacing w:before="8"/>
                    <w:rPr>
                      <w:rFonts w:ascii="Trebuchet MS" w:hAnsi="Trebuchet MS"/>
                      <w:color w:val="000000"/>
                    </w:rPr>
                  </w:pPr>
                  <w:r>
                    <w:rPr>
                      <w:rFonts w:ascii="Trebuchet MS" w:hAnsi="Trebuchet MS"/>
                      <w:color w:val="000000"/>
                      <w:w w:val="105"/>
                    </w:rPr>
                    <w:t>only</w:t>
                  </w:r>
                  <w:r>
                    <w:rPr>
                      <w:rFonts w:ascii="Trebuchet MS" w:hAnsi="Trebuchet MS"/>
                      <w:color w:val="000000"/>
                      <w:spacing w:val="-12"/>
                      <w:w w:val="105"/>
                    </w:rPr>
                    <w:t xml:space="preserve"> </w:t>
                  </w:r>
                  <w:r>
                    <w:rPr>
                      <w:rFonts w:ascii="Trebuchet MS" w:hAnsi="Trebuchet MS"/>
                      <w:color w:val="000000"/>
                      <w:w w:val="105"/>
                    </w:rPr>
                    <w:t>48%</w:t>
                  </w:r>
                  <w:r>
                    <w:rPr>
                      <w:rFonts w:ascii="Trebuchet MS" w:hAnsi="Trebuchet MS"/>
                      <w:color w:val="000000"/>
                      <w:spacing w:val="-12"/>
                      <w:w w:val="105"/>
                    </w:rPr>
                    <w:t xml:space="preserve"> </w:t>
                  </w:r>
                  <w:r>
                    <w:rPr>
                      <w:rFonts w:ascii="Trebuchet MS" w:hAnsi="Trebuchet MS"/>
                      <w:color w:val="000000"/>
                      <w:w w:val="105"/>
                    </w:rPr>
                    <w:t>of</w:t>
                  </w:r>
                  <w:r>
                    <w:rPr>
                      <w:rFonts w:ascii="Trebuchet MS" w:hAnsi="Trebuchet MS"/>
                      <w:color w:val="000000"/>
                      <w:spacing w:val="-12"/>
                      <w:w w:val="105"/>
                    </w:rPr>
                    <w:t xml:space="preserve"> </w:t>
                  </w:r>
                  <w:r>
                    <w:rPr>
                      <w:rFonts w:ascii="Trebuchet MS" w:hAnsi="Trebuchet MS"/>
                      <w:color w:val="000000"/>
                      <w:w w:val="105"/>
                    </w:rPr>
                    <w:t>transport</w:t>
                  </w:r>
                  <w:r>
                    <w:rPr>
                      <w:rFonts w:ascii="Trebuchet MS" w:hAnsi="Trebuchet MS"/>
                      <w:color w:val="000000"/>
                      <w:spacing w:val="-12"/>
                      <w:w w:val="105"/>
                    </w:rPr>
                    <w:t xml:space="preserve"> </w:t>
                  </w:r>
                  <w:r>
                    <w:rPr>
                      <w:rFonts w:ascii="Trebuchet MS" w:hAnsi="Trebuchet MS"/>
                      <w:color w:val="000000"/>
                      <w:w w:val="105"/>
                    </w:rPr>
                    <w:t>budget</w:t>
                  </w:r>
                  <w:r>
                    <w:rPr>
                      <w:rFonts w:ascii="Trebuchet MS" w:hAnsi="Trebuchet MS"/>
                      <w:color w:val="000000"/>
                      <w:spacing w:val="-12"/>
                      <w:w w:val="105"/>
                    </w:rPr>
                    <w:t xml:space="preserve"> </w:t>
                  </w:r>
                  <w:r>
                    <w:rPr>
                      <w:rFonts w:ascii="Trebuchet MS" w:hAnsi="Trebuchet MS"/>
                      <w:color w:val="000000"/>
                      <w:w w:val="105"/>
                    </w:rPr>
                    <w:t>is</w:t>
                  </w:r>
                  <w:r>
                    <w:rPr>
                      <w:rFonts w:ascii="Trebuchet MS" w:hAnsi="Trebuchet MS"/>
                      <w:color w:val="000000"/>
                      <w:spacing w:val="-12"/>
                      <w:w w:val="105"/>
                    </w:rPr>
                    <w:t xml:space="preserve"> </w:t>
                  </w:r>
                  <w:r>
                    <w:rPr>
                      <w:rFonts w:ascii="Trebuchet MS" w:hAnsi="Trebuchet MS"/>
                      <w:color w:val="000000"/>
                      <w:w w:val="105"/>
                    </w:rPr>
                    <w:t>for</w:t>
                  </w:r>
                  <w:r>
                    <w:rPr>
                      <w:rFonts w:ascii="Trebuchet MS" w:hAnsi="Trebuchet MS"/>
                      <w:color w:val="000000"/>
                      <w:spacing w:val="-12"/>
                      <w:w w:val="105"/>
                    </w:rPr>
                    <w:t xml:space="preserve"> </w:t>
                  </w:r>
                  <w:r>
                    <w:rPr>
                      <w:rFonts w:ascii="Trebuchet MS" w:hAnsi="Trebuchet MS"/>
                      <w:color w:val="000000"/>
                      <w:spacing w:val="-2"/>
                      <w:w w:val="105"/>
                    </w:rPr>
                    <w:t>roads</w:t>
                  </w:r>
                </w:p>
              </w:txbxContent>
            </v:textbox>
            <w10:wrap anchorx="page"/>
          </v:shape>
        </w:pict>
      </w:r>
      <w:bookmarkStart w:id="78" w:name="_bookmark55"/>
      <w:bookmarkEnd w:id="78"/>
      <w:r w:rsidR="00F22F94">
        <w:rPr>
          <w:b/>
          <w:sz w:val="18"/>
        </w:rPr>
        <w:t>Figure</w:t>
      </w:r>
      <w:r w:rsidR="00F22F94">
        <w:rPr>
          <w:b/>
          <w:spacing w:val="-19"/>
          <w:sz w:val="18"/>
        </w:rPr>
        <w:t xml:space="preserve"> </w:t>
      </w:r>
      <w:r w:rsidR="00F22F94">
        <w:rPr>
          <w:b/>
          <w:sz w:val="18"/>
        </w:rPr>
        <w:t>2.5</w:t>
      </w:r>
      <w:r w:rsidR="00F22F94">
        <w:rPr>
          <w:b/>
          <w:spacing w:val="14"/>
          <w:sz w:val="18"/>
        </w:rPr>
        <w:t xml:space="preserve"> </w:t>
      </w:r>
      <w:r w:rsidR="00F22F94">
        <w:rPr>
          <w:b/>
          <w:sz w:val="18"/>
        </w:rPr>
        <w:t>Moving</w:t>
      </w:r>
      <w:r w:rsidR="00F22F94">
        <w:rPr>
          <w:b/>
          <w:spacing w:val="-19"/>
          <w:sz w:val="18"/>
        </w:rPr>
        <w:t xml:space="preserve"> </w:t>
      </w:r>
      <w:r w:rsidR="00F22F94">
        <w:rPr>
          <w:b/>
          <w:sz w:val="18"/>
        </w:rPr>
        <w:t>around</w:t>
      </w:r>
      <w:r w:rsidR="00F22F94">
        <w:rPr>
          <w:b/>
          <w:spacing w:val="-19"/>
          <w:sz w:val="18"/>
        </w:rPr>
        <w:t xml:space="preserve"> </w:t>
      </w:r>
      <w:r w:rsidR="00F22F94">
        <w:rPr>
          <w:b/>
          <w:spacing w:val="-2"/>
          <w:sz w:val="18"/>
        </w:rPr>
        <w:t>Sydney</w:t>
      </w:r>
    </w:p>
    <w:p w:rsidR="002C1123" w:rsidRDefault="002C1123">
      <w:pPr>
        <w:pStyle w:val="BodyText"/>
        <w:rPr>
          <w:b/>
          <w:sz w:val="21"/>
        </w:rPr>
      </w:pPr>
    </w:p>
    <w:p w:rsidR="002C1123" w:rsidRDefault="00F22F94">
      <w:pPr>
        <w:spacing w:before="1" w:line="249" w:lineRule="auto"/>
        <w:ind w:left="520" w:right="10835"/>
        <w:rPr>
          <w:sz w:val="18"/>
        </w:rPr>
      </w:pPr>
      <w:r>
        <w:rPr>
          <w:sz w:val="18"/>
        </w:rPr>
        <w:t>Each</w:t>
      </w:r>
      <w:r>
        <w:rPr>
          <w:spacing w:val="-4"/>
          <w:sz w:val="18"/>
        </w:rPr>
        <w:t xml:space="preserve"> </w:t>
      </w:r>
      <w:r>
        <w:rPr>
          <w:sz w:val="18"/>
        </w:rPr>
        <w:t>weekday</w:t>
      </w:r>
      <w:r>
        <w:rPr>
          <w:spacing w:val="-4"/>
          <w:sz w:val="18"/>
        </w:rPr>
        <w:t xml:space="preserve"> </w:t>
      </w:r>
      <w:r>
        <w:rPr>
          <w:sz w:val="18"/>
        </w:rPr>
        <w:t>there</w:t>
      </w:r>
      <w:r>
        <w:rPr>
          <w:spacing w:val="-4"/>
          <w:sz w:val="18"/>
        </w:rPr>
        <w:t xml:space="preserve"> </w:t>
      </w:r>
      <w:r>
        <w:rPr>
          <w:sz w:val="18"/>
        </w:rPr>
        <w:t>are</w:t>
      </w:r>
      <w:r>
        <w:rPr>
          <w:spacing w:val="-4"/>
          <w:sz w:val="18"/>
        </w:rPr>
        <w:t xml:space="preserve"> </w:t>
      </w:r>
      <w:r>
        <w:rPr>
          <w:sz w:val="18"/>
        </w:rPr>
        <w:t>over</w:t>
      </w:r>
      <w:r>
        <w:rPr>
          <w:spacing w:val="-4"/>
          <w:sz w:val="18"/>
        </w:rPr>
        <w:t xml:space="preserve"> </w:t>
      </w:r>
      <w:r>
        <w:rPr>
          <w:sz w:val="18"/>
        </w:rPr>
        <w:t>17</w:t>
      </w:r>
      <w:r>
        <w:rPr>
          <w:spacing w:val="-4"/>
          <w:sz w:val="18"/>
        </w:rPr>
        <w:t xml:space="preserve"> </w:t>
      </w:r>
      <w:r>
        <w:rPr>
          <w:sz w:val="18"/>
        </w:rPr>
        <w:t>million</w:t>
      </w:r>
      <w:r>
        <w:rPr>
          <w:spacing w:val="-4"/>
          <w:sz w:val="18"/>
        </w:rPr>
        <w:t xml:space="preserve"> </w:t>
      </w:r>
      <w:r>
        <w:rPr>
          <w:sz w:val="18"/>
        </w:rPr>
        <w:t>passenger</w:t>
      </w:r>
      <w:r>
        <w:rPr>
          <w:spacing w:val="-4"/>
          <w:sz w:val="18"/>
        </w:rPr>
        <w:t xml:space="preserve"> </w:t>
      </w:r>
      <w:r>
        <w:rPr>
          <w:sz w:val="18"/>
        </w:rPr>
        <w:t xml:space="preserve">journey </w:t>
      </w:r>
      <w:r>
        <w:rPr>
          <w:w w:val="95"/>
          <w:sz w:val="18"/>
        </w:rPr>
        <w:t xml:space="preserve">across Sydney. If walking and cycling are excluded, there are </w:t>
      </w:r>
      <w:r>
        <w:rPr>
          <w:sz w:val="18"/>
        </w:rPr>
        <w:t>nearly 14 million journeys.</w:t>
      </w: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sectPr w:rsidR="002C1123">
          <w:pgSz w:w="16840" w:h="11910" w:orient="landscape"/>
          <w:pgMar w:top="560" w:right="280" w:bottom="700" w:left="500" w:header="0" w:footer="517" w:gutter="0"/>
          <w:cols w:space="720"/>
        </w:sectPr>
      </w:pPr>
    </w:p>
    <w:p w:rsidR="002C1123" w:rsidRDefault="002C1123">
      <w:pPr>
        <w:pStyle w:val="BodyText"/>
        <w:spacing w:before="3"/>
        <w:rPr>
          <w:sz w:val="22"/>
        </w:rPr>
      </w:pPr>
    </w:p>
    <w:p w:rsidR="002C1123" w:rsidRDefault="00F22F94">
      <w:pPr>
        <w:ind w:left="520"/>
        <w:rPr>
          <w:sz w:val="16"/>
        </w:rPr>
      </w:pPr>
      <w:r>
        <w:rPr>
          <w:spacing w:val="-2"/>
          <w:w w:val="105"/>
          <w:sz w:val="16"/>
        </w:rPr>
        <w:t>Mode</w:t>
      </w:r>
      <w:r>
        <w:rPr>
          <w:w w:val="105"/>
          <w:sz w:val="16"/>
        </w:rPr>
        <w:t xml:space="preserve"> </w:t>
      </w:r>
      <w:r>
        <w:rPr>
          <w:spacing w:val="-2"/>
          <w:w w:val="105"/>
          <w:sz w:val="16"/>
        </w:rPr>
        <w:t>share</w:t>
      </w:r>
      <w:r>
        <w:rPr>
          <w:w w:val="105"/>
          <w:sz w:val="16"/>
        </w:rPr>
        <w:t xml:space="preserve"> </w:t>
      </w:r>
      <w:r>
        <w:rPr>
          <w:spacing w:val="-2"/>
          <w:w w:val="105"/>
          <w:sz w:val="16"/>
        </w:rPr>
        <w:t>(average</w:t>
      </w:r>
      <w:r>
        <w:rPr>
          <w:w w:val="105"/>
          <w:sz w:val="16"/>
        </w:rPr>
        <w:t xml:space="preserve"> </w:t>
      </w:r>
      <w:r>
        <w:rPr>
          <w:spacing w:val="-2"/>
          <w:w w:val="105"/>
          <w:sz w:val="16"/>
        </w:rPr>
        <w:t>weekday</w:t>
      </w:r>
      <w:r>
        <w:rPr>
          <w:w w:val="105"/>
          <w:sz w:val="16"/>
        </w:rPr>
        <w:t xml:space="preserve"> </w:t>
      </w:r>
      <w:r>
        <w:rPr>
          <w:spacing w:val="-2"/>
          <w:w w:val="105"/>
          <w:sz w:val="16"/>
        </w:rPr>
        <w:t>trips,</w:t>
      </w:r>
      <w:r>
        <w:rPr>
          <w:w w:val="105"/>
          <w:sz w:val="16"/>
        </w:rPr>
        <w:t xml:space="preserve"> </w:t>
      </w:r>
      <w:r>
        <w:rPr>
          <w:spacing w:val="-2"/>
          <w:w w:val="105"/>
          <w:sz w:val="16"/>
        </w:rPr>
        <w:t>2010)</w:t>
      </w:r>
    </w:p>
    <w:p w:rsidR="002C1123" w:rsidRDefault="002060EF">
      <w:pPr>
        <w:spacing w:before="100"/>
        <w:ind w:left="653"/>
        <w:rPr>
          <w:sz w:val="16"/>
        </w:rPr>
      </w:pPr>
      <w:r>
        <w:pict>
          <v:group id="docshapegroup534" o:spid="_x0000_s4761" style="position:absolute;left:0;text-align:left;margin-left:86.1pt;margin-top:8.5pt;width:167.85pt;height:151.6pt;z-index:-251516928;mso-position-horizontal-relative:page" coordorigin="1722,170" coordsize="3357,3032">
            <v:line id="_x0000_s4774" style="position:absolute" from="3455,1685" to="2450,262" strokecolor="#b2b1b3" strokeweight=".4pt"/>
            <v:line id="_x0000_s4773" style="position:absolute" from="3454,1683" to="1726,1463" strokecolor="#b2b1b3" strokeweight=".4pt"/>
            <v:line id="_x0000_s4772" style="position:absolute" from="3455,1685" to="1774,2141" strokecolor="#b2b1b3" strokeweight=".4pt"/>
            <v:line id="_x0000_s4771" style="position:absolute" from="5075,2327" to="3455,1685" strokecolor="#b2b1b3" strokeweight=".4pt"/>
            <v:shape id="docshape535" o:spid="_x0000_s4770" style="position:absolute;left:2083;top:183;width:2875;height:3005" coordorigin="2083,184" coordsize="2875,3005" path="m3456,184r,1502l2083,2297r34,72l2154,2438r39,66l2236,2567r45,61l2329,2686r50,55l2431,2793r55,49l2544,2889r59,43l2665,2972r63,36l2793,3042r68,30l2930,3099r71,23l3073,3142r74,17l3222,3172r77,9l3377,3187r79,2l3531,3187r74,-6l3678,3172r71,-12l3820,3144r70,-19l3957,3103r67,-26l4089,3049r63,-31l4214,2983r60,-37l4332,2907r55,-42l4441,2820r52,-47l4542,2723r47,-51l4634,2618r42,-56l4716,2504r37,-60l4787,2383r31,-63l4847,2255r25,-67l4894,2120r19,-69l4929,1980r13,-72l4951,1835r5,-74l4958,1686r-2,-75l4951,1537r-9,-73l4929,1392r-16,-70l4894,1252r-22,-68l4847,1118r-29,-65l4787,989r-34,-61l4716,868r-40,-58l4634,754r-45,-54l4542,649r-49,-50l4441,552r-54,-44l4332,465r-58,-39l4214,389r-62,-34l4089,323r-65,-28l3957,270r-67,-23l3820,228r-71,-15l3678,200r-73,-9l3531,186r-75,-2xe" fillcolor="#8781bd" stroked="f">
              <v:path arrowok="t"/>
            </v:shape>
            <v:shape id="docshape536" o:spid="_x0000_s4769" style="position:absolute;left:2083;top:183;width:2875;height:3005" coordorigin="2083,184" coordsize="2875,3005" path="m3456,1686r,-1502l3531,186r74,5l3678,200r71,13l3820,228r70,19l3957,270r67,25l4089,323r63,32l4214,389r60,37l4332,465r55,43l4441,552r52,47l4542,649r47,51l4634,754r42,56l4716,868r37,60l4787,989r31,64l4847,1118r25,66l4894,1252r19,70l4929,1392r13,72l4951,1537r5,74l4958,1686r-2,75l4951,1835r-9,73l4929,1980r-16,71l4894,2120r-22,68l4847,2255r-29,65l4787,2383r-34,61l4716,2504r-40,58l4634,2618r-45,54l4542,2723r-49,50l4441,2820r-54,45l4332,2907r-58,39l4214,2983r-62,35l4089,3049r-65,28l3957,3103r-67,22l3820,3144r-71,16l3678,3172r-73,9l3531,3187r-75,2l3377,3187r-78,-6l3222,3172r-75,-13l3073,3142r-72,-20l2930,3099r-69,-27l2793,3042r-65,-34l2665,2972r-62,-40l2544,2889r-58,-47l2431,2793r-52,-52l2329,2686r-48,-58l2236,2567r-43,-63l2154,2438r-37,-69l2083,2297,3456,1686xe" filled="f" strokecolor="white" strokeweight="1.35pt">
              <v:path arrowok="t"/>
            </v:shape>
            <v:shape id="docshape537" o:spid="_x0000_s4768" style="position:absolute;left:1958;top:1686;width:1497;height:612" coordorigin="1959,1686" coordsize="1497,612" path="m3456,1686l1959,1817r10,85l1982,1983r18,80l2023,2141r27,77l2083,2297,3456,1686xe" fillcolor="#2e3092" stroked="f">
              <v:path arrowok="t"/>
            </v:shape>
            <v:shape id="docshape538" o:spid="_x0000_s4767" style="position:absolute;left:1958;top:1686;width:1497;height:612" coordorigin="1959,1686" coordsize="1497,612" path="m3456,1686l2083,2297r-33,-79l2023,2141r-23,-78l1982,1983r-13,-81l1959,1817,3456,1686xe" filled="f" strokecolor="white" strokeweight="1.35pt">
              <v:path arrowok="t"/>
            </v:shape>
            <v:shape id="docshape539" o:spid="_x0000_s4766" style="position:absolute;left:1952;top:1172;width:1504;height:645" coordorigin="1953,1172" coordsize="1504,645" path="m2044,1172r-27,81l1994,1333r-17,78l1964,1490r-8,79l1953,1649r1,83l1959,1817,3456,1686,2044,1172xe" fillcolor="#2e3092" stroked="f">
              <v:path arrowok="t"/>
            </v:shape>
            <v:shape id="docshape540" o:spid="_x0000_s4765" style="position:absolute;left:1952;top:1172;width:1504;height:645" coordorigin="1953,1172" coordsize="1504,645" path="m3456,1686l1959,1817r-5,-85l1953,1649r3,-80l1964,1490r13,-79l1994,1333r23,-80l2044,1172r1412,514xe" filled="f" strokecolor="white" strokeweight="1.35pt">
              <v:path arrowok="t"/>
            </v:shape>
            <v:shape id="docshape541" o:spid="_x0000_s4764" style="position:absolute;left:2043;top:183;width:1412;height:1503" coordorigin="2044,184" coordsize="1412,1503" path="m3456,184r-80,2l3298,192r-78,10l3144,215r-75,18l2996,254r-72,24l2854,306r-69,32l2719,373r-65,38l2592,453r-60,44l2474,545r-56,50l2365,649r-50,56l2267,764r-45,62l2180,890r-39,67l2105,1027r-32,71l2044,1172r1412,514l3456,184xe" fillcolor="#2e3092" stroked="f">
              <v:path arrowok="t"/>
            </v:shape>
            <v:shape id="docshape542" o:spid="_x0000_s4763" style="position:absolute;left:2043;top:183;width:1412;height:1503" coordorigin="2044,184" coordsize="1412,1503" path="m3456,1686l2044,1172r29,-74l2105,1027r36,-70l2180,890r42,-64l2267,764r48,-59l2365,649r53,-54l2474,545r58,-48l2592,453r62,-42l2719,373r66,-35l2854,306r70,-28l2996,254r73,-21l3144,215r76,-13l3298,192r78,-6l3456,184r,1502xe" filled="f" strokecolor="white" strokeweight="1.35pt">
              <v:path arrowok="t"/>
            </v:shape>
            <v:shape id="docshape543" o:spid="_x0000_s4762" style="position:absolute;left:2604;top:834;width:1701;height:1701" coordorigin="2605,835" coordsize="1701,1701" path="m3455,835r-77,3l3302,849r-73,16l3158,888r-68,29l3026,951r-61,39l2907,1035r-53,49l2805,1137r-45,58l2721,1256r-35,65l2658,1389r-23,70l2618,1532r-10,76l2605,1685r3,78l2618,1838r17,73l2658,1982r28,68l2721,2114r39,62l2805,2233r49,54l2907,2336r58,44l3026,2420r64,34l3158,2482r71,23l3302,2522r76,10l3455,2536r77,-4l3608,2522r73,-17l3752,2482r68,-28l3884,2420r61,-40l4003,2336r53,-49l4105,2233r45,-57l4189,2114r35,-64l4252,1982r23,-71l4292,1838r10,-75l4305,1685r-3,-77l4292,1532r-17,-73l4252,1389r-28,-68l4189,1256r-39,-61l4105,1137r-49,-53l4003,1035r-58,-45l3884,951r-64,-34l3752,888r-71,-23l3608,849r-76,-11l3455,835xe" stroked="f">
              <v:path arrowok="t"/>
            </v:shape>
            <w10:wrap anchorx="page"/>
          </v:group>
        </w:pict>
      </w:r>
      <w:r w:rsidR="00F22F94">
        <w:rPr>
          <w:w w:val="85"/>
          <w:sz w:val="16"/>
        </w:rPr>
        <w:t>Bicycle</w:t>
      </w:r>
      <w:r w:rsidR="00F22F94">
        <w:rPr>
          <w:spacing w:val="3"/>
          <w:sz w:val="16"/>
        </w:rPr>
        <w:t xml:space="preserve"> </w:t>
      </w:r>
      <w:r w:rsidR="00F22F94">
        <w:rPr>
          <w:w w:val="85"/>
          <w:sz w:val="16"/>
        </w:rPr>
        <w:t>&amp;</w:t>
      </w:r>
      <w:r w:rsidR="00F22F94">
        <w:rPr>
          <w:spacing w:val="3"/>
          <w:sz w:val="16"/>
        </w:rPr>
        <w:t xml:space="preserve"> </w:t>
      </w:r>
      <w:r w:rsidR="00F22F94">
        <w:rPr>
          <w:w w:val="85"/>
          <w:sz w:val="16"/>
        </w:rPr>
        <w:t>walk</w:t>
      </w:r>
      <w:r w:rsidR="00F22F94">
        <w:rPr>
          <w:spacing w:val="3"/>
          <w:sz w:val="16"/>
        </w:rPr>
        <w:t xml:space="preserve"> </w:t>
      </w:r>
      <w:r w:rsidR="00F22F94">
        <w:rPr>
          <w:spacing w:val="-5"/>
          <w:w w:val="85"/>
          <w:sz w:val="16"/>
        </w:rPr>
        <w:t>19%</w:t>
      </w: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F22F94">
      <w:pPr>
        <w:spacing w:before="110" w:line="247" w:lineRule="auto"/>
        <w:ind w:left="536" w:right="2491" w:firstLine="80"/>
        <w:jc w:val="right"/>
        <w:rPr>
          <w:sz w:val="16"/>
        </w:rPr>
      </w:pPr>
      <w:r>
        <w:rPr>
          <w:w w:val="90"/>
          <w:sz w:val="16"/>
        </w:rPr>
        <w:t>Bus,</w:t>
      </w:r>
      <w:r>
        <w:rPr>
          <w:spacing w:val="-7"/>
          <w:w w:val="90"/>
          <w:sz w:val="16"/>
        </w:rPr>
        <w:t xml:space="preserve"> </w:t>
      </w:r>
      <w:r>
        <w:rPr>
          <w:w w:val="90"/>
          <w:sz w:val="16"/>
        </w:rPr>
        <w:t>taxi</w:t>
      </w:r>
      <w:r>
        <w:rPr>
          <w:sz w:val="16"/>
        </w:rPr>
        <w:t xml:space="preserve"> </w:t>
      </w:r>
      <w:r>
        <w:rPr>
          <w:w w:val="90"/>
          <w:sz w:val="16"/>
        </w:rPr>
        <w:t>&amp;</w:t>
      </w:r>
      <w:r>
        <w:rPr>
          <w:spacing w:val="-7"/>
          <w:w w:val="90"/>
          <w:sz w:val="16"/>
        </w:rPr>
        <w:t xml:space="preserve"> </w:t>
      </w:r>
      <w:r>
        <w:rPr>
          <w:w w:val="90"/>
          <w:sz w:val="16"/>
        </w:rPr>
        <w:t>ferry</w:t>
      </w:r>
      <w:r>
        <w:rPr>
          <w:spacing w:val="-6"/>
          <w:w w:val="90"/>
          <w:sz w:val="16"/>
        </w:rPr>
        <w:t xml:space="preserve"> </w:t>
      </w:r>
      <w:r>
        <w:rPr>
          <w:spacing w:val="-10"/>
          <w:w w:val="90"/>
          <w:sz w:val="16"/>
        </w:rPr>
        <w:t>7%</w:t>
      </w:r>
    </w:p>
    <w:p w:rsidR="002C1123" w:rsidRDefault="002C1123">
      <w:pPr>
        <w:pStyle w:val="BodyText"/>
        <w:rPr>
          <w:sz w:val="18"/>
        </w:rPr>
      </w:pPr>
    </w:p>
    <w:p w:rsidR="002C1123" w:rsidRDefault="002C1123">
      <w:pPr>
        <w:pStyle w:val="BodyText"/>
        <w:spacing w:before="4"/>
        <w:rPr>
          <w:sz w:val="18"/>
        </w:rPr>
      </w:pPr>
    </w:p>
    <w:p w:rsidR="002C1123" w:rsidRDefault="00F22F94">
      <w:pPr>
        <w:spacing w:before="1" w:line="247" w:lineRule="auto"/>
        <w:ind w:left="513" w:right="2530" w:firstLine="284"/>
        <w:jc w:val="right"/>
        <w:rPr>
          <w:sz w:val="16"/>
        </w:rPr>
      </w:pPr>
      <w:r>
        <w:rPr>
          <w:spacing w:val="-2"/>
          <w:w w:val="85"/>
          <w:sz w:val="16"/>
        </w:rPr>
        <w:t>Train,</w:t>
      </w:r>
      <w:r>
        <w:rPr>
          <w:spacing w:val="-2"/>
          <w:w w:val="95"/>
          <w:sz w:val="16"/>
        </w:rPr>
        <w:t xml:space="preserve"> </w:t>
      </w:r>
      <w:r>
        <w:rPr>
          <w:spacing w:val="-4"/>
          <w:w w:val="95"/>
          <w:sz w:val="16"/>
        </w:rPr>
        <w:t>light</w:t>
      </w:r>
      <w:r>
        <w:rPr>
          <w:spacing w:val="-5"/>
          <w:w w:val="95"/>
          <w:sz w:val="16"/>
        </w:rPr>
        <w:t xml:space="preserve"> </w:t>
      </w:r>
      <w:r>
        <w:rPr>
          <w:spacing w:val="-4"/>
          <w:w w:val="95"/>
          <w:sz w:val="16"/>
        </w:rPr>
        <w:t>rail</w:t>
      </w:r>
      <w:r>
        <w:rPr>
          <w:spacing w:val="-5"/>
          <w:w w:val="95"/>
          <w:sz w:val="16"/>
        </w:rPr>
        <w:t xml:space="preserve"> </w:t>
      </w:r>
      <w:r>
        <w:rPr>
          <w:spacing w:val="-4"/>
          <w:w w:val="95"/>
          <w:sz w:val="16"/>
        </w:rPr>
        <w:t>&amp;</w:t>
      </w:r>
      <w:r>
        <w:rPr>
          <w:spacing w:val="-2"/>
          <w:w w:val="95"/>
          <w:sz w:val="16"/>
        </w:rPr>
        <w:t xml:space="preserve"> </w:t>
      </w:r>
      <w:r>
        <w:rPr>
          <w:spacing w:val="-2"/>
          <w:sz w:val="16"/>
        </w:rPr>
        <w:t>monorail</w:t>
      </w:r>
    </w:p>
    <w:p w:rsidR="002C1123" w:rsidRDefault="00F22F94">
      <w:pPr>
        <w:spacing w:before="1"/>
        <w:ind w:right="2491"/>
        <w:jc w:val="right"/>
        <w:rPr>
          <w:sz w:val="16"/>
        </w:rPr>
      </w:pPr>
      <w:r>
        <w:rPr>
          <w:spacing w:val="-5"/>
          <w:w w:val="95"/>
          <w:sz w:val="16"/>
        </w:rPr>
        <w:t>5%</w:t>
      </w:r>
    </w:p>
    <w:p w:rsidR="002C1123" w:rsidRDefault="00F22F94">
      <w:pPr>
        <w:rPr>
          <w:sz w:val="18"/>
        </w:rPr>
      </w:pPr>
      <w:r>
        <w:br w:type="column"/>
      </w: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F22F94">
      <w:pPr>
        <w:spacing w:before="161"/>
        <w:ind w:left="513"/>
        <w:rPr>
          <w:sz w:val="16"/>
        </w:rPr>
      </w:pPr>
      <w:r>
        <w:rPr>
          <w:spacing w:val="-4"/>
          <w:w w:val="90"/>
          <w:sz w:val="16"/>
        </w:rPr>
        <w:t>Cars</w:t>
      </w:r>
    </w:p>
    <w:p w:rsidR="002C1123" w:rsidRDefault="00F22F94">
      <w:pPr>
        <w:spacing w:before="6"/>
        <w:ind w:left="513"/>
        <w:rPr>
          <w:sz w:val="16"/>
        </w:rPr>
      </w:pPr>
      <w:r>
        <w:rPr>
          <w:spacing w:val="-5"/>
          <w:w w:val="95"/>
          <w:sz w:val="16"/>
        </w:rPr>
        <w:t>69%</w:t>
      </w:r>
    </w:p>
    <w:p w:rsidR="002C1123" w:rsidRDefault="00F22F94">
      <w:pPr>
        <w:spacing w:before="3"/>
      </w:pPr>
      <w:r>
        <w:br w:type="column"/>
      </w:r>
    </w:p>
    <w:p w:rsidR="002C1123" w:rsidRDefault="00F22F94">
      <w:pPr>
        <w:ind w:left="513"/>
        <w:rPr>
          <w:sz w:val="16"/>
        </w:rPr>
      </w:pPr>
      <w:r>
        <w:rPr>
          <w:w w:val="105"/>
          <w:sz w:val="16"/>
        </w:rPr>
        <w:t>Road</w:t>
      </w:r>
      <w:r>
        <w:rPr>
          <w:spacing w:val="-9"/>
          <w:w w:val="105"/>
          <w:sz w:val="16"/>
        </w:rPr>
        <w:t xml:space="preserve"> </w:t>
      </w:r>
      <w:r>
        <w:rPr>
          <w:w w:val="105"/>
          <w:sz w:val="16"/>
        </w:rPr>
        <w:t>vs</w:t>
      </w:r>
      <w:r>
        <w:rPr>
          <w:spacing w:val="-9"/>
          <w:w w:val="105"/>
          <w:sz w:val="16"/>
        </w:rPr>
        <w:t xml:space="preserve"> </w:t>
      </w:r>
      <w:r>
        <w:rPr>
          <w:w w:val="105"/>
          <w:sz w:val="16"/>
        </w:rPr>
        <w:t>non-road</w:t>
      </w:r>
      <w:r>
        <w:rPr>
          <w:spacing w:val="-8"/>
          <w:w w:val="105"/>
          <w:sz w:val="16"/>
        </w:rPr>
        <w:t xml:space="preserve"> </w:t>
      </w:r>
      <w:r>
        <w:rPr>
          <w:w w:val="105"/>
          <w:sz w:val="16"/>
        </w:rPr>
        <w:t>travel</w:t>
      </w:r>
      <w:r>
        <w:rPr>
          <w:spacing w:val="-9"/>
          <w:w w:val="105"/>
          <w:sz w:val="16"/>
        </w:rPr>
        <w:t xml:space="preserve"> </w:t>
      </w:r>
      <w:r>
        <w:rPr>
          <w:w w:val="105"/>
          <w:sz w:val="16"/>
        </w:rPr>
        <w:t>(average</w:t>
      </w:r>
      <w:r>
        <w:rPr>
          <w:spacing w:val="-9"/>
          <w:w w:val="105"/>
          <w:sz w:val="16"/>
        </w:rPr>
        <w:t xml:space="preserve"> </w:t>
      </w:r>
      <w:r>
        <w:rPr>
          <w:w w:val="105"/>
          <w:sz w:val="16"/>
        </w:rPr>
        <w:t>weekday</w:t>
      </w:r>
      <w:r>
        <w:rPr>
          <w:spacing w:val="-8"/>
          <w:w w:val="105"/>
          <w:sz w:val="16"/>
        </w:rPr>
        <w:t xml:space="preserve"> </w:t>
      </w:r>
      <w:r>
        <w:rPr>
          <w:w w:val="105"/>
          <w:sz w:val="16"/>
        </w:rPr>
        <w:t>trips,</w:t>
      </w:r>
      <w:r>
        <w:rPr>
          <w:spacing w:val="-9"/>
          <w:w w:val="105"/>
          <w:sz w:val="16"/>
        </w:rPr>
        <w:t xml:space="preserve"> </w:t>
      </w:r>
      <w:r>
        <w:rPr>
          <w:spacing w:val="-5"/>
          <w:w w:val="105"/>
          <w:sz w:val="16"/>
        </w:rPr>
        <w:t>2010)</w:t>
      </w:r>
    </w:p>
    <w:p w:rsidR="002C1123" w:rsidRDefault="002C1123">
      <w:pPr>
        <w:pStyle w:val="BodyText"/>
        <w:rPr>
          <w:sz w:val="18"/>
        </w:rPr>
      </w:pPr>
    </w:p>
    <w:p w:rsidR="002C1123" w:rsidRDefault="002C1123">
      <w:pPr>
        <w:pStyle w:val="BodyText"/>
        <w:rPr>
          <w:sz w:val="18"/>
        </w:rPr>
      </w:pPr>
    </w:p>
    <w:p w:rsidR="002C1123" w:rsidRDefault="002C1123">
      <w:pPr>
        <w:pStyle w:val="BodyText"/>
        <w:spacing w:before="10"/>
        <w:rPr>
          <w:sz w:val="18"/>
        </w:rPr>
      </w:pPr>
    </w:p>
    <w:p w:rsidR="002C1123" w:rsidRDefault="002060EF">
      <w:pPr>
        <w:ind w:left="618"/>
        <w:rPr>
          <w:sz w:val="16"/>
        </w:rPr>
      </w:pPr>
      <w:r>
        <w:pict>
          <v:group id="docshapegroup544" o:spid="_x0000_s4754" style="position:absolute;left:0;text-align:left;margin-left:349.8pt;margin-top:-23.7pt;width:151.6pt;height:150.25pt;z-index:251264000;mso-position-horizontal-relative:page" coordorigin="6996,-474" coordsize="3032,3005">
            <v:line id="_x0000_s4760" style="position:absolute" from="8511,1028" to="7000,159" strokecolor="#b2b1b3" strokeweight=".4pt"/>
            <v:line id="_x0000_s4759" style="position:absolute" from="10024,1892" to="8511,1028" strokecolor="#b2b1b3" strokeweight=".4pt"/>
            <v:shape id="docshape545" o:spid="_x0000_s4758" style="position:absolute;left:7004;top:-474;width:3011;height:3005" coordorigin="7004,-474" coordsize="3011,3005" path="m8499,-474r-70,2l8359,-466r-69,8l8221,-446r-69,15l8084,-412r-67,21l7951,-366r-65,28l7822,-307r-63,35l7698,-235r-60,41l7580,-150r-57,47l7469,-53,7416,1,8512,1028,7069,610r-21,77l7032,764r-13,76l7010,916r-5,75l7004,1066r3,74l7013,1213r10,73l7036,1357r18,71l7075,1498r25,68l7128,1634r32,66l7196,1765r39,64l7278,1891r46,61l7374,2011r53,57l7484,2124r56,50l7598,2221r59,43l7718,2304r62,37l7844,2375r65,30l7975,2432r67,24l8109,2476r69,17l8246,2507r70,11l8385,2525r70,5l8525,2531r70,-3l8665,2523r69,-9l8803,2502r69,-15l8939,2469r67,-22l9073,2423r65,-28l9202,2363r62,-34l9326,2292r60,-41l9444,2207r56,-47l9555,2110r53,-54l9658,2000r46,-58l9748,1883r40,-61l9825,1760r33,-64l9888,1631r27,-66l9939,1499r21,-68l9977,1363r14,-69l10001,1225r8,-70l10013,1085r1,-70l10012,945r-6,-69l9998,806r-12,-69l9971,669r-19,-68l9931,534r-25,-66l9878,402r-31,-64l9813,276r-38,-62l9734,155,9690,96,9643,40r-50,-55l9540,-67r-56,-50l9426,-164r-59,-43l9306,-248r-63,-36l9180,-318r-65,-30l9049,-375r-67,-24l8915,-419r-69,-18l8777,-451r-69,-10l8638,-469r-69,-4l8499,-474xe" fillcolor="#8781bd" stroked="f">
              <v:path arrowok="t"/>
            </v:shape>
            <v:shape id="docshape546" o:spid="_x0000_s4757" style="position:absolute;left:7068;width:1443;height:1028" coordorigin="7069,1" coordsize="1443,1028" path="m7416,1r-53,59l7314,122r-46,63l7226,251r-39,68l7152,389r-31,71l7093,534r-24,76l8512,1028,7416,1xe" fillcolor="#2e3092" stroked="f">
              <v:path arrowok="t"/>
            </v:shape>
            <v:shape id="docshape547" o:spid="_x0000_s4756" style="position:absolute;left:7068;width:1443;height:1028" coordorigin="7069,1" coordsize="1443,1028" path="m8512,1028l7069,610r24,-76l7121,460r31,-71l7187,319r39,-68l7268,185r46,-63l7363,60,7416,1,8512,1028xe" filled="f" strokecolor="white" strokeweight="1.35pt">
              <v:path arrowok="t"/>
            </v:shape>
            <v:shape id="docshape548" o:spid="_x0000_s4755" style="position:absolute;left:7631;top:177;width:1701;height:1701" coordorigin="7631,178" coordsize="1701,1701" path="m8482,178r-78,3l8329,191r-73,17l8185,231r-68,28l8053,294r-62,39l7934,378r-54,49l7831,480r-44,57l7747,599r-34,64l7685,731r-23,71l7645,875r-10,76l7631,1028r4,77l7645,1181r17,73l7685,1325r28,67l7747,1457r40,61l7831,1576r49,53l7934,1678r57,45l8053,1762r64,34l8185,1825r71,23l8329,1865r75,10l8482,1878r77,-3l8635,1865r73,-17l8778,1825r68,-29l8911,1762r61,-39l9030,1678r53,-49l9132,1576r45,-58l9216,1457r34,-65l9279,1325r23,-71l9318,1181r11,-76l9332,1028r-3,-77l9318,875r-16,-73l9279,731r-29,-68l9216,599r-39,-62l9132,480r-49,-53l9030,378r-58,-45l8911,294r-65,-35l8778,231r-70,-23l8635,191r-76,-10l8482,178xe" stroked="f">
              <v:path arrowok="t"/>
            </v:shape>
            <w10:wrap anchorx="page"/>
          </v:group>
        </w:pict>
      </w:r>
      <w:r w:rsidR="00F22F94">
        <w:rPr>
          <w:w w:val="85"/>
          <w:sz w:val="16"/>
        </w:rPr>
        <w:t>Not</w:t>
      </w:r>
      <w:r w:rsidR="00F22F94">
        <w:rPr>
          <w:spacing w:val="-7"/>
          <w:sz w:val="16"/>
        </w:rPr>
        <w:t xml:space="preserve"> </w:t>
      </w:r>
      <w:r w:rsidR="00F22F94">
        <w:rPr>
          <w:w w:val="85"/>
          <w:sz w:val="16"/>
        </w:rPr>
        <w:t>road</w:t>
      </w:r>
      <w:r w:rsidR="00F22F94">
        <w:rPr>
          <w:spacing w:val="-7"/>
          <w:sz w:val="16"/>
        </w:rPr>
        <w:t xml:space="preserve"> </w:t>
      </w:r>
      <w:r w:rsidR="00F22F94">
        <w:rPr>
          <w:spacing w:val="-5"/>
          <w:w w:val="85"/>
          <w:sz w:val="16"/>
        </w:rPr>
        <w:t>7%</w:t>
      </w:r>
    </w:p>
    <w:p w:rsidR="002C1123" w:rsidRDefault="00F22F94">
      <w:pPr>
        <w:rPr>
          <w:sz w:val="18"/>
        </w:rPr>
      </w:pPr>
      <w:r>
        <w:br w:type="column"/>
      </w: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spacing w:before="1"/>
        <w:rPr>
          <w:sz w:val="16"/>
        </w:rPr>
      </w:pPr>
    </w:p>
    <w:p w:rsidR="002C1123" w:rsidRDefault="00F22F94">
      <w:pPr>
        <w:ind w:left="4"/>
        <w:rPr>
          <w:sz w:val="16"/>
        </w:rPr>
      </w:pPr>
      <w:r>
        <w:rPr>
          <w:w w:val="80"/>
          <w:sz w:val="16"/>
        </w:rPr>
        <w:t>Road</w:t>
      </w:r>
      <w:r>
        <w:rPr>
          <w:spacing w:val="-4"/>
          <w:sz w:val="16"/>
        </w:rPr>
        <w:t xml:space="preserve"> </w:t>
      </w:r>
      <w:r>
        <w:rPr>
          <w:spacing w:val="-10"/>
          <w:w w:val="90"/>
          <w:sz w:val="16"/>
        </w:rPr>
        <w:t>93%</w:t>
      </w:r>
    </w:p>
    <w:p w:rsidR="002C1123" w:rsidRDefault="00F22F94">
      <w:pPr>
        <w:spacing w:before="3"/>
      </w:pPr>
      <w:r>
        <w:br w:type="column"/>
      </w:r>
    </w:p>
    <w:p w:rsidR="002C1123" w:rsidRDefault="00F22F94">
      <w:pPr>
        <w:ind w:left="280"/>
        <w:rPr>
          <w:sz w:val="16"/>
        </w:rPr>
      </w:pPr>
      <w:r>
        <w:rPr>
          <w:w w:val="105"/>
          <w:sz w:val="16"/>
        </w:rPr>
        <w:t>Funding</w:t>
      </w:r>
      <w:r>
        <w:rPr>
          <w:spacing w:val="-12"/>
          <w:w w:val="105"/>
          <w:sz w:val="16"/>
        </w:rPr>
        <w:t xml:space="preserve"> </w:t>
      </w:r>
      <w:r>
        <w:rPr>
          <w:w w:val="105"/>
          <w:sz w:val="16"/>
        </w:rPr>
        <w:t>share</w:t>
      </w:r>
      <w:r>
        <w:rPr>
          <w:spacing w:val="-11"/>
          <w:w w:val="105"/>
          <w:sz w:val="16"/>
        </w:rPr>
        <w:t xml:space="preserve"> </w:t>
      </w:r>
      <w:r>
        <w:rPr>
          <w:w w:val="105"/>
          <w:sz w:val="16"/>
        </w:rPr>
        <w:t>to</w:t>
      </w:r>
      <w:r>
        <w:rPr>
          <w:spacing w:val="-12"/>
          <w:w w:val="105"/>
          <w:sz w:val="16"/>
        </w:rPr>
        <w:t xml:space="preserve"> </w:t>
      </w:r>
      <w:r>
        <w:rPr>
          <w:w w:val="105"/>
          <w:sz w:val="16"/>
        </w:rPr>
        <w:t>mode</w:t>
      </w:r>
      <w:r>
        <w:rPr>
          <w:spacing w:val="-11"/>
          <w:w w:val="105"/>
          <w:sz w:val="16"/>
        </w:rPr>
        <w:t xml:space="preserve"> </w:t>
      </w:r>
      <w:r>
        <w:rPr>
          <w:w w:val="105"/>
          <w:sz w:val="16"/>
        </w:rPr>
        <w:t>(2012-13,</w:t>
      </w:r>
      <w:r>
        <w:rPr>
          <w:spacing w:val="-11"/>
          <w:w w:val="105"/>
          <w:sz w:val="16"/>
        </w:rPr>
        <w:t xml:space="preserve"> </w:t>
      </w:r>
      <w:r>
        <w:rPr>
          <w:w w:val="105"/>
          <w:sz w:val="16"/>
        </w:rPr>
        <w:t>$</w:t>
      </w:r>
      <w:r>
        <w:rPr>
          <w:spacing w:val="-12"/>
          <w:w w:val="105"/>
          <w:sz w:val="16"/>
        </w:rPr>
        <w:t xml:space="preserve"> </w:t>
      </w:r>
      <w:r>
        <w:rPr>
          <w:spacing w:val="-2"/>
          <w:w w:val="105"/>
          <w:sz w:val="16"/>
        </w:rPr>
        <w:t>million)</w:t>
      </w: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060EF">
      <w:pPr>
        <w:spacing w:before="107"/>
        <w:ind w:left="711"/>
        <w:rPr>
          <w:sz w:val="16"/>
        </w:rPr>
      </w:pPr>
      <w:r>
        <w:pict>
          <v:group id="docshapegroup549" o:spid="_x0000_s4737" style="position:absolute;left:0;text-align:left;margin-left:572.9pt;margin-top:-23.1pt;width:195.35pt;height:154.8pt;z-index:-251515904;mso-position-horizontal-relative:page" coordorigin="11458,-462" coordsize="3907,3096">
            <v:line id="_x0000_s4753" style="position:absolute" from="13489,1051" to="12135,-47" strokecolor="#b2b1b3" strokeweight=".4pt"/>
            <v:line id="_x0000_s4752" style="position:absolute" from="13488,1051" to="11937,257" strokecolor="#b2b1b3" strokeweight=".4pt"/>
            <v:line id="_x0000_s4751" style="position:absolute" from="13489,1052" to="12634,2570" strokecolor="#b2b1b3" strokeweight=".4pt"/>
            <v:line id="_x0000_s4750" style="position:absolute" from="14649,-247" to="13489,1053" strokecolor="#b2b1b3" strokeweight=".4pt"/>
            <v:shape id="docshape550" o:spid="_x0000_s4749" style="position:absolute;left:12431;top:-449;width:2567;height:2413" coordorigin="12432,-449" coordsize="2567,2413" path="m13461,-449r-70,3l13322,-440r-70,10l13183,-418r-68,16l13047,-383r-67,23l12914,-335r-65,29l12785,-274r-63,35l12661,-200r-60,41l12543,-114r-57,49l12432,-14r1057,1068l14684,1963r46,-63l14773,1835r39,-66l14847,1701r31,-68l14906,1564r24,-70l14950,1423r17,-71l14980,1280r10,-72l14996,1136r3,-72l14998,991r-5,-71l14985,848r-12,-71l14957,706r-18,-70l14916,566r-26,-68l14861,430r-33,-66l14791,299r-40,-64l14708,173r-47,-61l14610,53r-54,-57l14502,-56r-56,-48l14389,-150r-60,-42l14268,-231r-62,-36l14142,-300r-65,-29l14012,-355r-67,-23l13877,-398r-68,-17l13740,-428r-69,-10l13601,-445r-70,-3l13461,-449xe" fillcolor="#8781bd" stroked="f">
              <v:path arrowok="t"/>
            </v:shape>
            <v:shape id="docshape551" o:spid="_x0000_s4748" style="position:absolute;left:12431;top:-449;width:2567;height:2413" coordorigin="12432,-449" coordsize="2567,2413" path="m13489,1054l12432,-14r54,-51l12543,-114r58,-45l12661,-200r61,-39l12785,-274r64,-32l12914,-335r66,-25l13047,-383r68,-19l13183,-418r69,-12l13322,-440r69,-6l13461,-449r70,1l13601,-445r70,7l13740,-428r69,13l13877,-398r68,20l14012,-355r65,26l14142,-300r64,33l14268,-231r61,39l14389,-150r57,46l14502,-56r54,52l14610,53r51,59l14708,173r43,62l14791,299r37,65l14861,430r29,68l14916,566r23,70l14957,706r16,71l14985,848r8,72l14998,991r1,73l14996,1136r-6,72l14980,1280r-13,72l14950,1423r-20,71l14906,1564r-28,69l14847,1701r-35,68l14773,1835r-43,65l14684,1963,13489,1054xe" filled="f" strokecolor="white" strokeweight="1.35pt">
              <v:path arrowok="t"/>
            </v:shape>
            <v:shape id="docshape552" o:spid="_x0000_s4747" style="position:absolute;left:11984;top:484;width:2700;height:2072" coordorigin="11985,484" coordsize="2700,2072" path="m12099,484r-28,74l12047,632r-20,75l12010,782r-12,75l11990,932r-5,75l11985,1082r2,74l11994,1231r11,73l12019,1377r17,72l12058,1520r24,70l12111,1658r31,68l12178,1791r38,65l12258,1918r46,61l12352,2037r52,57l12459,2148r59,52l12579,2249r61,44l12702,2333r64,37l12830,2404r66,30l12963,2461r67,24l13099,2505r69,16l13237,2535r70,10l13377,2552r70,3l13517,2556r70,-3l13656,2547r69,-10l13794,2525r68,-16l13930,2490r66,-22l14062,2443r64,-29l14190,2383r62,-35l14312,2311r59,-41l14428,2227r56,-47l14537,2130r51,-52l14638,2022r46,-59l13489,1054,12099,484xe" fillcolor="#2e3092" stroked="f">
              <v:path arrowok="t"/>
            </v:shape>
            <v:shape id="docshape553" o:spid="_x0000_s4746" style="position:absolute;left:11984;top:484;width:2700;height:2072" coordorigin="11985,484" coordsize="2700,2072" path="m13489,1054r1195,909l14638,2022r-50,56l14537,2130r-53,50l14428,2227r-57,43l14312,2311r-60,37l14190,2383r-64,31l14062,2443r-66,25l13930,2490r-68,19l13794,2525r-69,12l13656,2547r-69,6l13517,2556r-70,-1l13377,2552r-70,-7l13237,2535r-69,-14l13099,2505r-69,-20l12963,2461r-67,-27l12830,2404r-64,-34l12702,2333r-62,-40l12579,2249r-61,-49l12459,2148r-55,-54l12352,2037r-48,-58l12258,1918r-42,-62l12178,1791r-36,-65l12111,1658r-29,-68l12058,1520r-22,-71l12019,1377r-14,-73l11994,1231r-7,-75l11985,1082r,-75l11990,932r8,-75l12010,782r17,-75l12047,632r24,-74l12099,484r1390,570xe" filled="f" strokecolor="white" strokeweight="1.35pt">
              <v:path arrowok="t"/>
            </v:shape>
            <v:shape id="docshape554" o:spid="_x0000_s4745" style="position:absolute;left:12098;top:229;width:1391;height:825" coordorigin="12099,229" coordsize="1391,825" path="m12233,229r-39,63l12159,353r-31,63l12099,484r1390,570l12233,229xe" fillcolor="#2e3092" stroked="f">
              <v:path arrowok="t"/>
            </v:shape>
            <v:shape id="docshape555" o:spid="_x0000_s4744" style="position:absolute;left:12098;top:229;width:1391;height:825" coordorigin="12099,229" coordsize="1391,825" path="m13489,1054l12099,484r29,-68l12159,353r35,-61l12233,229r1256,825xe" filled="f" strokecolor="white" strokeweight="1.35pt">
              <v:path arrowok="t"/>
            </v:shape>
            <v:shape id="docshape556" o:spid="_x0000_s4743" style="position:absolute;left:12232;top:-14;width:1257;height:1068" coordorigin="12233,-14" coordsize="1257,1068" path="m12432,-14r-54,56l12326,103r-48,62l12233,229r1256,825l12432,-14xe" fillcolor="#2e3092" stroked="f">
              <v:path arrowok="t"/>
            </v:shape>
            <v:shape id="docshape557" o:spid="_x0000_s4742" style="position:absolute;left:12232;top:-14;width:1257;height:1068" coordorigin="12233,-14" coordsize="1257,1068" path="m13489,1054l12233,229r45,-64l12326,103r52,-61l12432,-14r1057,1068xe" filled="f" strokecolor="white" strokeweight="1.35pt">
              <v:path arrowok="t"/>
            </v:shape>
            <v:shape id="docshape558" o:spid="_x0000_s4741" style="position:absolute;left:12638;top:202;width:1701;height:1701" coordorigin="12638,202" coordsize="1701,1701" path="m13489,202r-78,4l13336,216r-74,17l13192,256r-68,28l13059,318r-61,40l12941,402r-54,49l12838,505r-44,57l12754,624r-34,64l12691,756r-22,71l12652,900r-10,75l12638,1053r4,77l12652,1206r17,73l12691,1349r29,68l12754,1482r40,61l12838,1601r49,53l12941,1703r57,45l13059,1787r65,34l13192,1850r70,23l13336,1889r75,11l13489,1903r77,-3l13641,1889r74,-16l13785,1850r68,-29l13918,1787r61,-39l14036,1703r54,-49l14139,1601r44,-58l14223,1482r34,-65l14286,1349r23,-70l14325,1206r10,-76l14339,1053r-4,-78l14325,900r-16,-73l14286,756r-29,-68l14223,624r-40,-62l14139,505r-49,-54l14036,402r-57,-44l13918,318r-65,-34l13785,256r-70,-23l13641,216r-75,-10l13489,202xe" stroked="f">
              <v:path arrowok="t"/>
            </v:shape>
            <v:shape id="docshape559" o:spid="_x0000_s4740" type="#_x0000_t202" style="position:absolute;left:14725;top:-400;width:639;height:187" filled="f" stroked="f">
              <v:textbox inset="0,0,0,0">
                <w:txbxContent>
                  <w:p w:rsidR="00F22F94" w:rsidRDefault="00F22F94">
                    <w:pPr>
                      <w:spacing w:before="2"/>
                      <w:rPr>
                        <w:sz w:val="16"/>
                      </w:rPr>
                    </w:pPr>
                    <w:r>
                      <w:rPr>
                        <w:w w:val="80"/>
                        <w:sz w:val="16"/>
                      </w:rPr>
                      <w:t>Road</w:t>
                    </w:r>
                    <w:r>
                      <w:rPr>
                        <w:spacing w:val="-4"/>
                        <w:sz w:val="16"/>
                      </w:rPr>
                      <w:t xml:space="preserve"> </w:t>
                    </w:r>
                    <w:r>
                      <w:rPr>
                        <w:spacing w:val="-5"/>
                        <w:w w:val="90"/>
                        <w:sz w:val="16"/>
                      </w:rPr>
                      <w:t>48%</w:t>
                    </w:r>
                  </w:p>
                </w:txbxContent>
              </v:textbox>
            </v:shape>
            <v:shape id="docshape560" o:spid="_x0000_s4739" type="#_x0000_t202" style="position:absolute;left:11457;top:-216;width:568;height:886" filled="f" stroked="f">
              <v:textbox inset="0,0,0,0">
                <w:txbxContent>
                  <w:p w:rsidR="00F22F94" w:rsidRDefault="00F22F94">
                    <w:pPr>
                      <w:spacing w:before="2"/>
                      <w:ind w:left="85"/>
                      <w:rPr>
                        <w:sz w:val="16"/>
                      </w:rPr>
                    </w:pPr>
                    <w:r>
                      <w:rPr>
                        <w:w w:val="80"/>
                        <w:sz w:val="16"/>
                      </w:rPr>
                      <w:t>Bus</w:t>
                    </w:r>
                    <w:r>
                      <w:rPr>
                        <w:spacing w:val="1"/>
                        <w:sz w:val="16"/>
                      </w:rPr>
                      <w:t xml:space="preserve"> </w:t>
                    </w:r>
                    <w:r>
                      <w:rPr>
                        <w:spacing w:val="-5"/>
                        <w:w w:val="90"/>
                        <w:sz w:val="16"/>
                      </w:rPr>
                      <w:t>3%</w:t>
                    </w:r>
                  </w:p>
                  <w:p w:rsidR="00F22F94" w:rsidRDefault="00F22F94">
                    <w:pPr>
                      <w:spacing w:before="132" w:line="247" w:lineRule="auto"/>
                      <w:ind w:right="183" w:firstLine="100"/>
                      <w:jc w:val="right"/>
                      <w:rPr>
                        <w:sz w:val="16"/>
                      </w:rPr>
                    </w:pPr>
                    <w:r>
                      <w:rPr>
                        <w:spacing w:val="-2"/>
                        <w:w w:val="85"/>
                        <w:sz w:val="16"/>
                      </w:rPr>
                      <w:t>erry,</w:t>
                    </w:r>
                    <w:r>
                      <w:rPr>
                        <w:sz w:val="16"/>
                      </w:rPr>
                      <w:t xml:space="preserve"> </w:t>
                    </w:r>
                    <w:r>
                      <w:rPr>
                        <w:spacing w:val="-2"/>
                        <w:w w:val="90"/>
                        <w:sz w:val="16"/>
                      </w:rPr>
                      <w:t>keting</w:t>
                    </w:r>
                    <w:r>
                      <w:rPr>
                        <w:spacing w:val="-2"/>
                        <w:w w:val="95"/>
                        <w:sz w:val="16"/>
                      </w:rPr>
                      <w:t xml:space="preserve"> </w:t>
                    </w:r>
                    <w:r>
                      <w:rPr>
                        <w:w w:val="95"/>
                        <w:sz w:val="16"/>
                      </w:rPr>
                      <w:t>r</w:t>
                    </w:r>
                    <w:r>
                      <w:rPr>
                        <w:spacing w:val="-8"/>
                        <w:w w:val="95"/>
                        <w:sz w:val="16"/>
                      </w:rPr>
                      <w:t xml:space="preserve"> </w:t>
                    </w:r>
                    <w:r>
                      <w:rPr>
                        <w:w w:val="95"/>
                        <w:sz w:val="16"/>
                      </w:rPr>
                      <w:t>3%</w:t>
                    </w:r>
                  </w:p>
                </w:txbxContent>
              </v:textbox>
            </v:shape>
            <v:shape id="docshape561" o:spid="_x0000_s4738" type="#_x0000_t202" style="position:absolute;left:11952;top:2446;width:559;height:187" filled="f" stroked="f">
              <v:textbox inset="0,0,0,0">
                <w:txbxContent>
                  <w:p w:rsidR="00F22F94" w:rsidRDefault="00F22F94">
                    <w:pPr>
                      <w:spacing w:before="2"/>
                      <w:rPr>
                        <w:sz w:val="16"/>
                      </w:rPr>
                    </w:pPr>
                    <w:r>
                      <w:rPr>
                        <w:w w:val="80"/>
                        <w:sz w:val="16"/>
                      </w:rPr>
                      <w:t>Rail</w:t>
                    </w:r>
                    <w:r>
                      <w:rPr>
                        <w:spacing w:val="1"/>
                        <w:sz w:val="16"/>
                      </w:rPr>
                      <w:t xml:space="preserve"> </w:t>
                    </w:r>
                    <w:r>
                      <w:rPr>
                        <w:spacing w:val="-5"/>
                        <w:w w:val="90"/>
                        <w:sz w:val="16"/>
                      </w:rPr>
                      <w:t>46%</w:t>
                    </w:r>
                  </w:p>
                </w:txbxContent>
              </v:textbox>
            </v:shape>
            <w10:wrap anchorx="page"/>
          </v:group>
        </w:pict>
      </w:r>
      <w:r w:rsidR="00F22F94">
        <w:rPr>
          <w:w w:val="75"/>
          <w:sz w:val="16"/>
        </w:rPr>
        <w:t>F</w:t>
      </w:r>
    </w:p>
    <w:p w:rsidR="002C1123" w:rsidRDefault="00F22F94">
      <w:pPr>
        <w:spacing w:before="6" w:line="247" w:lineRule="auto"/>
        <w:ind w:left="391" w:right="4991" w:firstLine="141"/>
        <w:rPr>
          <w:sz w:val="16"/>
        </w:rPr>
      </w:pPr>
      <w:r>
        <w:rPr>
          <w:spacing w:val="-4"/>
          <w:sz w:val="16"/>
        </w:rPr>
        <w:t>tic</w:t>
      </w:r>
      <w:r>
        <w:rPr>
          <w:spacing w:val="40"/>
          <w:sz w:val="16"/>
        </w:rPr>
        <w:t xml:space="preserve"> </w:t>
      </w:r>
      <w:r>
        <w:rPr>
          <w:spacing w:val="-4"/>
          <w:w w:val="90"/>
          <w:sz w:val="16"/>
        </w:rPr>
        <w:t>&amp;</w:t>
      </w:r>
      <w:r>
        <w:rPr>
          <w:spacing w:val="-8"/>
          <w:sz w:val="16"/>
        </w:rPr>
        <w:t xml:space="preserve"> </w:t>
      </w:r>
      <w:r>
        <w:rPr>
          <w:spacing w:val="-4"/>
          <w:w w:val="90"/>
          <w:sz w:val="16"/>
        </w:rPr>
        <w:t>othe</w:t>
      </w:r>
    </w:p>
    <w:p w:rsidR="002C1123" w:rsidRDefault="002C1123">
      <w:pPr>
        <w:spacing w:line="247" w:lineRule="auto"/>
        <w:rPr>
          <w:sz w:val="16"/>
        </w:rPr>
        <w:sectPr w:rsidR="002C1123">
          <w:type w:val="continuous"/>
          <w:pgSz w:w="16840" w:h="11910" w:orient="landscape"/>
          <w:pgMar w:top="560" w:right="280" w:bottom="280" w:left="500" w:header="0" w:footer="517" w:gutter="0"/>
          <w:cols w:num="5" w:space="720" w:equalWidth="0">
            <w:col w:w="3680" w:space="467"/>
            <w:col w:w="830" w:space="57"/>
            <w:col w:w="4537" w:space="39"/>
            <w:col w:w="623" w:space="40"/>
            <w:col w:w="5787"/>
          </w:cols>
        </w:sectPr>
      </w:pPr>
    </w:p>
    <w:p w:rsidR="002C1123" w:rsidRDefault="002C1123">
      <w:pPr>
        <w:pStyle w:val="BodyText"/>
      </w:pPr>
    </w:p>
    <w:p w:rsidR="002C1123" w:rsidRDefault="002C1123">
      <w:pPr>
        <w:pStyle w:val="BodyText"/>
        <w:spacing w:before="7"/>
        <w:rPr>
          <w:sz w:val="18"/>
        </w:rPr>
      </w:pPr>
    </w:p>
    <w:p w:rsidR="002C1123" w:rsidRDefault="00F22F94">
      <w:pPr>
        <w:tabs>
          <w:tab w:val="left" w:pos="5011"/>
          <w:tab w:val="left" w:pos="9982"/>
        </w:tabs>
        <w:spacing w:before="100"/>
        <w:ind w:right="9"/>
        <w:jc w:val="center"/>
        <w:rPr>
          <w:b/>
          <w:sz w:val="16"/>
        </w:rPr>
      </w:pPr>
      <w:r>
        <w:rPr>
          <w:b/>
          <w:w w:val="75"/>
          <w:sz w:val="16"/>
        </w:rPr>
        <w:t>TOTAL</w:t>
      </w:r>
      <w:r>
        <w:rPr>
          <w:b/>
          <w:spacing w:val="7"/>
          <w:sz w:val="16"/>
        </w:rPr>
        <w:t xml:space="preserve"> </w:t>
      </w:r>
      <w:r>
        <w:rPr>
          <w:b/>
          <w:w w:val="75"/>
          <w:sz w:val="16"/>
        </w:rPr>
        <w:t>TRIPS</w:t>
      </w:r>
      <w:r>
        <w:rPr>
          <w:b/>
          <w:spacing w:val="8"/>
          <w:sz w:val="16"/>
        </w:rPr>
        <w:t xml:space="preserve"> </w:t>
      </w:r>
      <w:r>
        <w:rPr>
          <w:b/>
          <w:w w:val="75"/>
          <w:sz w:val="16"/>
        </w:rPr>
        <w:t>17</w:t>
      </w:r>
      <w:r>
        <w:rPr>
          <w:b/>
          <w:spacing w:val="7"/>
          <w:sz w:val="16"/>
        </w:rPr>
        <w:t xml:space="preserve"> </w:t>
      </w:r>
      <w:r>
        <w:rPr>
          <w:b/>
          <w:spacing w:val="-2"/>
          <w:w w:val="75"/>
          <w:sz w:val="16"/>
        </w:rPr>
        <w:t>million</w:t>
      </w:r>
      <w:r>
        <w:rPr>
          <w:b/>
          <w:sz w:val="16"/>
        </w:rPr>
        <w:tab/>
      </w:r>
      <w:r>
        <w:rPr>
          <w:b/>
          <w:w w:val="75"/>
          <w:position w:val="3"/>
          <w:sz w:val="16"/>
        </w:rPr>
        <w:t>TOTAL</w:t>
      </w:r>
      <w:r>
        <w:rPr>
          <w:b/>
          <w:spacing w:val="7"/>
          <w:position w:val="3"/>
          <w:sz w:val="16"/>
        </w:rPr>
        <w:t xml:space="preserve"> </w:t>
      </w:r>
      <w:r>
        <w:rPr>
          <w:b/>
          <w:w w:val="75"/>
          <w:position w:val="3"/>
          <w:sz w:val="16"/>
        </w:rPr>
        <w:t>TRIPS</w:t>
      </w:r>
      <w:r>
        <w:rPr>
          <w:b/>
          <w:spacing w:val="8"/>
          <w:position w:val="3"/>
          <w:sz w:val="16"/>
        </w:rPr>
        <w:t xml:space="preserve"> </w:t>
      </w:r>
      <w:r>
        <w:rPr>
          <w:b/>
          <w:w w:val="75"/>
          <w:position w:val="3"/>
          <w:sz w:val="16"/>
        </w:rPr>
        <w:t>14</w:t>
      </w:r>
      <w:r>
        <w:rPr>
          <w:b/>
          <w:spacing w:val="7"/>
          <w:position w:val="3"/>
          <w:sz w:val="16"/>
        </w:rPr>
        <w:t xml:space="preserve"> </w:t>
      </w:r>
      <w:r>
        <w:rPr>
          <w:b/>
          <w:spacing w:val="-2"/>
          <w:w w:val="75"/>
          <w:position w:val="3"/>
          <w:sz w:val="16"/>
        </w:rPr>
        <w:t>million</w:t>
      </w:r>
      <w:r>
        <w:rPr>
          <w:b/>
          <w:position w:val="3"/>
          <w:sz w:val="16"/>
        </w:rPr>
        <w:tab/>
      </w:r>
      <w:r>
        <w:rPr>
          <w:b/>
          <w:w w:val="75"/>
          <w:position w:val="1"/>
          <w:sz w:val="16"/>
        </w:rPr>
        <w:t>TOTAL</w:t>
      </w:r>
      <w:r>
        <w:rPr>
          <w:b/>
          <w:spacing w:val="5"/>
          <w:position w:val="1"/>
          <w:sz w:val="16"/>
        </w:rPr>
        <w:t xml:space="preserve"> </w:t>
      </w:r>
      <w:r>
        <w:rPr>
          <w:b/>
          <w:w w:val="75"/>
          <w:position w:val="1"/>
          <w:sz w:val="16"/>
        </w:rPr>
        <w:t>CAPITAL</w:t>
      </w:r>
      <w:r>
        <w:rPr>
          <w:b/>
          <w:spacing w:val="6"/>
          <w:position w:val="1"/>
          <w:sz w:val="16"/>
        </w:rPr>
        <w:t xml:space="preserve"> </w:t>
      </w:r>
      <w:r>
        <w:rPr>
          <w:b/>
          <w:w w:val="75"/>
          <w:position w:val="1"/>
          <w:sz w:val="16"/>
        </w:rPr>
        <w:t>$6</w:t>
      </w:r>
      <w:r>
        <w:rPr>
          <w:b/>
          <w:spacing w:val="6"/>
          <w:position w:val="1"/>
          <w:sz w:val="16"/>
        </w:rPr>
        <w:t xml:space="preserve"> </w:t>
      </w:r>
      <w:r>
        <w:rPr>
          <w:b/>
          <w:spacing w:val="-2"/>
          <w:w w:val="75"/>
          <w:position w:val="1"/>
          <w:sz w:val="16"/>
        </w:rPr>
        <w:t>billion</w:t>
      </w:r>
    </w:p>
    <w:p w:rsidR="002C1123" w:rsidRDefault="002C1123">
      <w:pPr>
        <w:jc w:val="center"/>
        <w:rPr>
          <w:sz w:val="16"/>
        </w:rPr>
        <w:sectPr w:rsidR="002C1123">
          <w:type w:val="continuous"/>
          <w:pgSz w:w="16840" w:h="11910" w:orient="landscape"/>
          <w:pgMar w:top="560" w:right="280" w:bottom="280" w:left="500" w:header="0" w:footer="517" w:gutter="0"/>
          <w:cols w:space="720"/>
        </w:sectPr>
      </w:pPr>
    </w:p>
    <w:p w:rsidR="002C1123" w:rsidRDefault="002C1123">
      <w:pPr>
        <w:pStyle w:val="BodyText"/>
        <w:spacing w:before="3"/>
        <w:rPr>
          <w:b/>
          <w:sz w:val="13"/>
        </w:rPr>
      </w:pPr>
    </w:p>
    <w:p w:rsidR="002C1123" w:rsidRDefault="00F22F94">
      <w:pPr>
        <w:ind w:left="520"/>
        <w:rPr>
          <w:sz w:val="14"/>
        </w:rPr>
      </w:pPr>
      <w:r>
        <w:rPr>
          <w:w w:val="95"/>
          <w:sz w:val="14"/>
        </w:rPr>
        <w:t>Source:</w:t>
      </w:r>
      <w:r>
        <w:rPr>
          <w:spacing w:val="4"/>
          <w:sz w:val="14"/>
        </w:rPr>
        <w:t xml:space="preserve"> </w:t>
      </w:r>
      <w:r>
        <w:rPr>
          <w:w w:val="95"/>
          <w:sz w:val="14"/>
        </w:rPr>
        <w:t>NSW</w:t>
      </w:r>
      <w:r>
        <w:rPr>
          <w:spacing w:val="4"/>
          <w:sz w:val="14"/>
        </w:rPr>
        <w:t xml:space="preserve"> </w:t>
      </w:r>
      <w:r>
        <w:rPr>
          <w:w w:val="95"/>
          <w:sz w:val="14"/>
        </w:rPr>
        <w:t>Bureau</w:t>
      </w:r>
      <w:r>
        <w:rPr>
          <w:spacing w:val="4"/>
          <w:sz w:val="14"/>
        </w:rPr>
        <w:t xml:space="preserve"> </w:t>
      </w:r>
      <w:r>
        <w:rPr>
          <w:w w:val="95"/>
          <w:sz w:val="14"/>
        </w:rPr>
        <w:t>of</w:t>
      </w:r>
      <w:r>
        <w:rPr>
          <w:spacing w:val="5"/>
          <w:sz w:val="14"/>
        </w:rPr>
        <w:t xml:space="preserve"> </w:t>
      </w:r>
      <w:r>
        <w:rPr>
          <w:w w:val="95"/>
          <w:sz w:val="14"/>
        </w:rPr>
        <w:t>Transport</w:t>
      </w:r>
      <w:r>
        <w:rPr>
          <w:spacing w:val="4"/>
          <w:sz w:val="14"/>
        </w:rPr>
        <w:t xml:space="preserve"> </w:t>
      </w:r>
      <w:r>
        <w:rPr>
          <w:spacing w:val="-2"/>
          <w:w w:val="95"/>
          <w:sz w:val="14"/>
        </w:rPr>
        <w:t>Statistics.</w:t>
      </w:r>
    </w:p>
    <w:p w:rsidR="002C1123" w:rsidRDefault="00F22F94">
      <w:pPr>
        <w:spacing w:before="6"/>
        <w:rPr>
          <w:sz w:val="13"/>
        </w:rPr>
      </w:pPr>
      <w:r>
        <w:br w:type="column"/>
      </w:r>
    </w:p>
    <w:p w:rsidR="002C1123" w:rsidRDefault="00F22F94">
      <w:pPr>
        <w:ind w:left="520"/>
        <w:rPr>
          <w:sz w:val="14"/>
        </w:rPr>
      </w:pPr>
      <w:r>
        <w:rPr>
          <w:sz w:val="14"/>
        </w:rPr>
        <w:t>Note:</w:t>
      </w:r>
      <w:r>
        <w:rPr>
          <w:spacing w:val="-10"/>
          <w:sz w:val="14"/>
        </w:rPr>
        <w:t xml:space="preserve"> </w:t>
      </w:r>
      <w:r>
        <w:rPr>
          <w:sz w:val="14"/>
        </w:rPr>
        <w:t>Road</w:t>
      </w:r>
      <w:r>
        <w:rPr>
          <w:spacing w:val="-9"/>
          <w:sz w:val="14"/>
        </w:rPr>
        <w:t xml:space="preserve"> </w:t>
      </w:r>
      <w:r>
        <w:rPr>
          <w:sz w:val="14"/>
        </w:rPr>
        <w:t>does</w:t>
      </w:r>
      <w:r>
        <w:rPr>
          <w:spacing w:val="-10"/>
          <w:sz w:val="14"/>
        </w:rPr>
        <w:t xml:space="preserve"> </w:t>
      </w:r>
      <w:r>
        <w:rPr>
          <w:sz w:val="14"/>
        </w:rPr>
        <w:t>not</w:t>
      </w:r>
      <w:r>
        <w:rPr>
          <w:spacing w:val="-9"/>
          <w:sz w:val="14"/>
        </w:rPr>
        <w:t xml:space="preserve"> </w:t>
      </w:r>
      <w:r>
        <w:rPr>
          <w:sz w:val="14"/>
        </w:rPr>
        <w:t>include</w:t>
      </w:r>
      <w:r>
        <w:rPr>
          <w:spacing w:val="-9"/>
          <w:sz w:val="14"/>
        </w:rPr>
        <w:t xml:space="preserve"> </w:t>
      </w:r>
      <w:r>
        <w:rPr>
          <w:sz w:val="14"/>
        </w:rPr>
        <w:t>bicycle</w:t>
      </w:r>
      <w:r>
        <w:rPr>
          <w:spacing w:val="-10"/>
          <w:sz w:val="14"/>
        </w:rPr>
        <w:t xml:space="preserve"> </w:t>
      </w:r>
      <w:r>
        <w:rPr>
          <w:sz w:val="14"/>
        </w:rPr>
        <w:t>or</w:t>
      </w:r>
      <w:r>
        <w:rPr>
          <w:spacing w:val="-9"/>
          <w:sz w:val="14"/>
        </w:rPr>
        <w:t xml:space="preserve"> </w:t>
      </w:r>
      <w:r>
        <w:rPr>
          <w:sz w:val="14"/>
        </w:rPr>
        <w:t>walk</w:t>
      </w:r>
      <w:r>
        <w:rPr>
          <w:spacing w:val="-10"/>
          <w:sz w:val="14"/>
        </w:rPr>
        <w:t xml:space="preserve"> </w:t>
      </w:r>
      <w:r>
        <w:rPr>
          <w:spacing w:val="-2"/>
          <w:sz w:val="14"/>
        </w:rPr>
        <w:t>trips.</w:t>
      </w:r>
    </w:p>
    <w:p w:rsidR="002C1123" w:rsidRDefault="00F22F94">
      <w:pPr>
        <w:spacing w:before="9"/>
        <w:rPr>
          <w:sz w:val="14"/>
        </w:rPr>
      </w:pPr>
      <w:r>
        <w:br w:type="column"/>
      </w:r>
    </w:p>
    <w:p w:rsidR="002C1123" w:rsidRDefault="00F22F94">
      <w:pPr>
        <w:ind w:left="520"/>
        <w:rPr>
          <w:sz w:val="14"/>
        </w:rPr>
      </w:pPr>
      <w:r>
        <w:rPr>
          <w:w w:val="95"/>
          <w:sz w:val="14"/>
        </w:rPr>
        <w:t>Source:</w:t>
      </w:r>
      <w:r>
        <w:rPr>
          <w:spacing w:val="6"/>
          <w:sz w:val="14"/>
        </w:rPr>
        <w:t xml:space="preserve"> </w:t>
      </w:r>
      <w:r>
        <w:rPr>
          <w:w w:val="95"/>
          <w:sz w:val="14"/>
        </w:rPr>
        <w:t>NSW</w:t>
      </w:r>
      <w:r>
        <w:rPr>
          <w:spacing w:val="6"/>
          <w:sz w:val="14"/>
        </w:rPr>
        <w:t xml:space="preserve"> </w:t>
      </w:r>
      <w:r>
        <w:rPr>
          <w:spacing w:val="-2"/>
          <w:w w:val="95"/>
          <w:sz w:val="14"/>
        </w:rPr>
        <w:t>Government.</w:t>
      </w:r>
    </w:p>
    <w:p w:rsidR="002C1123" w:rsidRDefault="002C1123">
      <w:pPr>
        <w:rPr>
          <w:sz w:val="14"/>
        </w:rPr>
        <w:sectPr w:rsidR="002C1123">
          <w:type w:val="continuous"/>
          <w:pgSz w:w="16840" w:h="11910" w:orient="landscape"/>
          <w:pgMar w:top="560" w:right="280" w:bottom="280" w:left="500" w:header="0" w:footer="517" w:gutter="0"/>
          <w:cols w:num="3" w:space="720" w:equalWidth="0">
            <w:col w:w="3250" w:space="1777"/>
            <w:col w:w="3554" w:space="1453"/>
            <w:col w:w="6026"/>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9"/>
        <w:rPr>
          <w:sz w:val="19"/>
        </w:rPr>
      </w:pPr>
    </w:p>
    <w:p w:rsidR="002C1123" w:rsidRDefault="002C1123">
      <w:pPr>
        <w:rPr>
          <w:sz w:val="19"/>
        </w:rPr>
        <w:sectPr w:rsidR="002C1123">
          <w:headerReference w:type="default" r:id="rId75"/>
          <w:footerReference w:type="default" r:id="rId76"/>
          <w:pgSz w:w="16840" w:h="11910" w:orient="landscape"/>
          <w:pgMar w:top="560" w:right="280" w:bottom="280" w:left="500" w:header="0" w:footer="0" w:gutter="0"/>
          <w:cols w:space="720"/>
        </w:sectPr>
      </w:pPr>
    </w:p>
    <w:p w:rsidR="002C1123" w:rsidRDefault="00F22F94">
      <w:pPr>
        <w:pStyle w:val="Heading6"/>
        <w:numPr>
          <w:ilvl w:val="2"/>
          <w:numId w:val="147"/>
        </w:numPr>
        <w:tabs>
          <w:tab w:val="left" w:pos="980"/>
        </w:tabs>
        <w:ind w:left="979" w:hanging="487"/>
      </w:pPr>
      <w:bookmarkStart w:id="79" w:name="_bookmark56"/>
      <w:bookmarkEnd w:id="79"/>
      <w:r>
        <w:rPr>
          <w:color w:val="EC008C"/>
          <w:w w:val="95"/>
        </w:rPr>
        <w:t>Asset</w:t>
      </w:r>
      <w:r>
        <w:rPr>
          <w:color w:val="EC008C"/>
          <w:spacing w:val="4"/>
        </w:rPr>
        <w:t xml:space="preserve"> </w:t>
      </w:r>
      <w:r>
        <w:rPr>
          <w:color w:val="EC008C"/>
          <w:w w:val="95"/>
        </w:rPr>
        <w:t>Condition</w:t>
      </w:r>
      <w:r>
        <w:rPr>
          <w:color w:val="EC008C"/>
          <w:spacing w:val="5"/>
        </w:rPr>
        <w:t xml:space="preserve"> </w:t>
      </w:r>
      <w:r>
        <w:rPr>
          <w:color w:val="EC008C"/>
          <w:w w:val="95"/>
        </w:rPr>
        <w:t>and</w:t>
      </w:r>
      <w:r>
        <w:rPr>
          <w:color w:val="EC008C"/>
          <w:spacing w:val="5"/>
        </w:rPr>
        <w:t xml:space="preserve"> </w:t>
      </w:r>
      <w:r>
        <w:rPr>
          <w:color w:val="EC008C"/>
          <w:spacing w:val="-2"/>
          <w:w w:val="95"/>
        </w:rPr>
        <w:t>Capacity</w:t>
      </w:r>
    </w:p>
    <w:p w:rsidR="002C1123" w:rsidRDefault="00F22F94">
      <w:pPr>
        <w:pStyle w:val="BodyText"/>
        <w:spacing w:before="95" w:line="249" w:lineRule="auto"/>
        <w:ind w:left="493"/>
      </w:pPr>
      <w:r>
        <w:t>Infrastructure</w:t>
      </w:r>
      <w:r>
        <w:rPr>
          <w:spacing w:val="-11"/>
        </w:rPr>
        <w:t xml:space="preserve"> </w:t>
      </w:r>
      <w:r>
        <w:t>NSW</w:t>
      </w:r>
      <w:r>
        <w:rPr>
          <w:spacing w:val="-11"/>
        </w:rPr>
        <w:t xml:space="preserve"> </w:t>
      </w:r>
      <w:r>
        <w:t>has</w:t>
      </w:r>
      <w:r>
        <w:rPr>
          <w:spacing w:val="-11"/>
        </w:rPr>
        <w:t xml:space="preserve"> </w:t>
      </w:r>
      <w:r>
        <w:t>undertaken</w:t>
      </w:r>
      <w:r>
        <w:rPr>
          <w:spacing w:val="-11"/>
        </w:rPr>
        <w:t xml:space="preserve"> </w:t>
      </w:r>
      <w:r>
        <w:t>a</w:t>
      </w:r>
      <w:r>
        <w:rPr>
          <w:spacing w:val="-11"/>
        </w:rPr>
        <w:t xml:space="preserve"> </w:t>
      </w:r>
      <w:r>
        <w:t>capability assessment</w:t>
      </w:r>
      <w:r>
        <w:rPr>
          <w:spacing w:val="-9"/>
        </w:rPr>
        <w:t xml:space="preserve"> </w:t>
      </w:r>
      <w:r>
        <w:t>of</w:t>
      </w:r>
      <w:r>
        <w:rPr>
          <w:spacing w:val="-9"/>
        </w:rPr>
        <w:t xml:space="preserve"> </w:t>
      </w:r>
      <w:r>
        <w:t>the</w:t>
      </w:r>
      <w:r>
        <w:rPr>
          <w:spacing w:val="-9"/>
        </w:rPr>
        <w:t xml:space="preserve"> </w:t>
      </w:r>
      <w:r>
        <w:t>public</w:t>
      </w:r>
      <w:r>
        <w:rPr>
          <w:spacing w:val="-9"/>
        </w:rPr>
        <w:t xml:space="preserve"> </w:t>
      </w:r>
      <w:r>
        <w:t>infrastructure</w:t>
      </w:r>
      <w:r>
        <w:rPr>
          <w:spacing w:val="-9"/>
        </w:rPr>
        <w:t xml:space="preserve"> </w:t>
      </w:r>
      <w:r>
        <w:t>sectors</w:t>
      </w:r>
      <w:r>
        <w:rPr>
          <w:spacing w:val="-9"/>
        </w:rPr>
        <w:t xml:space="preserve"> </w:t>
      </w:r>
      <w:r>
        <w:t xml:space="preserve">in </w:t>
      </w:r>
      <w:r>
        <w:rPr>
          <w:w w:val="95"/>
        </w:rPr>
        <w:t>order</w:t>
      </w:r>
      <w:r>
        <w:rPr>
          <w:spacing w:val="-6"/>
          <w:w w:val="95"/>
        </w:rPr>
        <w:t xml:space="preserve"> </w:t>
      </w:r>
      <w:r>
        <w:rPr>
          <w:w w:val="95"/>
        </w:rPr>
        <w:t>to</w:t>
      </w:r>
      <w:r>
        <w:rPr>
          <w:spacing w:val="-6"/>
          <w:w w:val="95"/>
        </w:rPr>
        <w:t xml:space="preserve"> </w:t>
      </w:r>
      <w:r>
        <w:rPr>
          <w:w w:val="95"/>
        </w:rPr>
        <w:t>identify</w:t>
      </w:r>
      <w:r>
        <w:rPr>
          <w:spacing w:val="-6"/>
          <w:w w:val="95"/>
        </w:rPr>
        <w:t xml:space="preserve"> </w:t>
      </w:r>
      <w:r>
        <w:rPr>
          <w:w w:val="95"/>
        </w:rPr>
        <w:t>deficiencies</w:t>
      </w:r>
      <w:r>
        <w:rPr>
          <w:spacing w:val="-6"/>
          <w:w w:val="95"/>
        </w:rPr>
        <w:t xml:space="preserve"> </w:t>
      </w:r>
      <w:r>
        <w:rPr>
          <w:w w:val="95"/>
        </w:rPr>
        <w:t>that</w:t>
      </w:r>
      <w:r>
        <w:rPr>
          <w:spacing w:val="-6"/>
          <w:w w:val="95"/>
        </w:rPr>
        <w:t xml:space="preserve"> </w:t>
      </w:r>
      <w:r>
        <w:rPr>
          <w:w w:val="95"/>
        </w:rPr>
        <w:t>have</w:t>
      </w:r>
      <w:r>
        <w:rPr>
          <w:spacing w:val="-6"/>
          <w:w w:val="95"/>
        </w:rPr>
        <w:t xml:space="preserve"> </w:t>
      </w:r>
      <w:r>
        <w:rPr>
          <w:w w:val="95"/>
        </w:rPr>
        <w:t>the</w:t>
      </w:r>
      <w:r>
        <w:rPr>
          <w:spacing w:val="-6"/>
          <w:w w:val="95"/>
        </w:rPr>
        <w:t xml:space="preserve"> </w:t>
      </w:r>
      <w:r>
        <w:rPr>
          <w:w w:val="95"/>
        </w:rPr>
        <w:t>most</w:t>
      </w:r>
      <w:r>
        <w:rPr>
          <w:spacing w:val="-6"/>
          <w:w w:val="95"/>
        </w:rPr>
        <w:t xml:space="preserve"> </w:t>
      </w:r>
      <w:r>
        <w:rPr>
          <w:w w:val="95"/>
        </w:rPr>
        <w:t xml:space="preserve">serious </w:t>
      </w:r>
      <w:r>
        <w:t>impact</w:t>
      </w:r>
      <w:r>
        <w:rPr>
          <w:spacing w:val="-14"/>
        </w:rPr>
        <w:t xml:space="preserve"> </w:t>
      </w:r>
      <w:r>
        <w:t>on</w:t>
      </w:r>
      <w:r>
        <w:rPr>
          <w:spacing w:val="-14"/>
        </w:rPr>
        <w:t xml:space="preserve"> </w:t>
      </w:r>
      <w:r>
        <w:t>the</w:t>
      </w:r>
      <w:r>
        <w:rPr>
          <w:spacing w:val="-14"/>
        </w:rPr>
        <w:t xml:space="preserve"> </w:t>
      </w:r>
      <w:r>
        <w:t>NSW</w:t>
      </w:r>
      <w:r>
        <w:rPr>
          <w:spacing w:val="-14"/>
        </w:rPr>
        <w:t xml:space="preserve"> </w:t>
      </w:r>
      <w:r>
        <w:t>economy</w:t>
      </w:r>
      <w:r>
        <w:rPr>
          <w:spacing w:val="-14"/>
        </w:rPr>
        <w:t xml:space="preserve"> </w:t>
      </w:r>
      <w:r>
        <w:t>and</w:t>
      </w:r>
      <w:r>
        <w:rPr>
          <w:spacing w:val="-14"/>
        </w:rPr>
        <w:t xml:space="preserve"> </w:t>
      </w:r>
      <w:r>
        <w:t>achievement</w:t>
      </w:r>
      <w:r>
        <w:rPr>
          <w:spacing w:val="-14"/>
        </w:rPr>
        <w:t xml:space="preserve"> </w:t>
      </w:r>
      <w:r>
        <w:t>of</w:t>
      </w:r>
      <w:r>
        <w:rPr>
          <w:spacing w:val="-14"/>
        </w:rPr>
        <w:t xml:space="preserve"> </w:t>
      </w:r>
      <w:r>
        <w:t>the Government’s</w:t>
      </w:r>
      <w:r>
        <w:rPr>
          <w:spacing w:val="-11"/>
        </w:rPr>
        <w:t xml:space="preserve"> </w:t>
      </w:r>
      <w:r>
        <w:t>objectives.</w:t>
      </w:r>
    </w:p>
    <w:p w:rsidR="002C1123" w:rsidRDefault="00F22F94">
      <w:pPr>
        <w:rPr>
          <w:sz w:val="24"/>
        </w:rPr>
      </w:pPr>
      <w:r>
        <w:br w:type="column"/>
      </w:r>
    </w:p>
    <w:p w:rsidR="002C1123" w:rsidRDefault="00F22F94">
      <w:pPr>
        <w:pStyle w:val="BodyText"/>
        <w:spacing w:before="157" w:line="249" w:lineRule="auto"/>
        <w:ind w:left="351"/>
      </w:pPr>
      <w:r>
        <w:rPr>
          <w:w w:val="95"/>
        </w:rPr>
        <w:t>Section</w:t>
      </w:r>
      <w:r>
        <w:rPr>
          <w:spacing w:val="-2"/>
          <w:w w:val="95"/>
        </w:rPr>
        <w:t xml:space="preserve"> </w:t>
      </w:r>
      <w:r>
        <w:rPr>
          <w:w w:val="95"/>
        </w:rPr>
        <w:t>1</w:t>
      </w:r>
      <w:r>
        <w:rPr>
          <w:spacing w:val="-2"/>
          <w:w w:val="95"/>
        </w:rPr>
        <w:t xml:space="preserve"> </w:t>
      </w:r>
      <w:r>
        <w:rPr>
          <w:w w:val="95"/>
        </w:rPr>
        <w:t>described</w:t>
      </w:r>
      <w:r>
        <w:rPr>
          <w:spacing w:val="-2"/>
          <w:w w:val="95"/>
        </w:rPr>
        <w:t xml:space="preserve"> </w:t>
      </w:r>
      <w:r>
        <w:rPr>
          <w:w w:val="95"/>
        </w:rPr>
        <w:t>issues</w:t>
      </w:r>
      <w:r>
        <w:rPr>
          <w:spacing w:val="-2"/>
          <w:w w:val="95"/>
        </w:rPr>
        <w:t xml:space="preserve"> </w:t>
      </w:r>
      <w:r>
        <w:rPr>
          <w:w w:val="95"/>
        </w:rPr>
        <w:t>identified</w:t>
      </w:r>
      <w:r>
        <w:rPr>
          <w:spacing w:val="-2"/>
          <w:w w:val="95"/>
        </w:rPr>
        <w:t xml:space="preserve"> </w:t>
      </w:r>
      <w:r>
        <w:rPr>
          <w:w w:val="95"/>
        </w:rPr>
        <w:t>with</w:t>
      </w:r>
      <w:r>
        <w:rPr>
          <w:spacing w:val="-2"/>
          <w:w w:val="95"/>
        </w:rPr>
        <w:t xml:space="preserve"> </w:t>
      </w:r>
      <w:r>
        <w:rPr>
          <w:w w:val="95"/>
        </w:rPr>
        <w:t>the</w:t>
      </w:r>
      <w:r>
        <w:rPr>
          <w:spacing w:val="-2"/>
          <w:w w:val="95"/>
        </w:rPr>
        <w:t xml:space="preserve"> </w:t>
      </w:r>
      <w:r>
        <w:rPr>
          <w:w w:val="95"/>
        </w:rPr>
        <w:t xml:space="preserve">planning </w:t>
      </w:r>
      <w:r>
        <w:t>and</w:t>
      </w:r>
      <w:r>
        <w:rPr>
          <w:spacing w:val="-9"/>
        </w:rPr>
        <w:t xml:space="preserve"> </w:t>
      </w:r>
      <w:r>
        <w:t>procurement</w:t>
      </w:r>
      <w:r>
        <w:rPr>
          <w:spacing w:val="-9"/>
        </w:rPr>
        <w:t xml:space="preserve"> </w:t>
      </w:r>
      <w:r>
        <w:t>of</w:t>
      </w:r>
      <w:r>
        <w:rPr>
          <w:spacing w:val="-9"/>
        </w:rPr>
        <w:t xml:space="preserve"> </w:t>
      </w:r>
      <w:r>
        <w:t>infrastructure.</w:t>
      </w:r>
      <w:r>
        <w:rPr>
          <w:spacing w:val="-9"/>
        </w:rPr>
        <w:t xml:space="preserve"> </w:t>
      </w:r>
      <w:r>
        <w:t>This</w:t>
      </w:r>
      <w:r>
        <w:rPr>
          <w:spacing w:val="-9"/>
        </w:rPr>
        <w:t xml:space="preserve"> </w:t>
      </w:r>
      <w:r>
        <w:t>capability assessment</w:t>
      </w:r>
      <w:r>
        <w:rPr>
          <w:spacing w:val="-5"/>
        </w:rPr>
        <w:t xml:space="preserve"> </w:t>
      </w:r>
      <w:r>
        <w:t>covers</w:t>
      </w:r>
      <w:r>
        <w:rPr>
          <w:spacing w:val="-5"/>
        </w:rPr>
        <w:t xml:space="preserve"> </w:t>
      </w:r>
      <w:r>
        <w:t>asset</w:t>
      </w:r>
      <w:r>
        <w:rPr>
          <w:spacing w:val="-5"/>
        </w:rPr>
        <w:t xml:space="preserve"> </w:t>
      </w:r>
      <w:r>
        <w:t>condition</w:t>
      </w:r>
      <w:r>
        <w:rPr>
          <w:spacing w:val="-5"/>
        </w:rPr>
        <w:t xml:space="preserve"> </w:t>
      </w:r>
      <w:r>
        <w:t>and</w:t>
      </w:r>
      <w:r>
        <w:rPr>
          <w:spacing w:val="-5"/>
        </w:rPr>
        <w:t xml:space="preserve"> </w:t>
      </w:r>
      <w:r>
        <w:t>capacity</w:t>
      </w:r>
      <w:r>
        <w:rPr>
          <w:spacing w:val="-5"/>
        </w:rPr>
        <w:t xml:space="preserve"> </w:t>
      </w:r>
      <w:r>
        <w:t>to meet demand by sector.</w:t>
      </w:r>
    </w:p>
    <w:p w:rsidR="002C1123" w:rsidRDefault="00F22F94">
      <w:pPr>
        <w:rPr>
          <w:sz w:val="24"/>
        </w:rPr>
      </w:pPr>
      <w:r>
        <w:br w:type="column"/>
      </w:r>
    </w:p>
    <w:p w:rsidR="002C1123" w:rsidRDefault="00F22F94">
      <w:pPr>
        <w:pStyle w:val="BodyText"/>
        <w:spacing w:before="157" w:line="249" w:lineRule="auto"/>
        <w:ind w:left="406" w:right="718"/>
      </w:pPr>
      <w:r>
        <w:rPr>
          <w:w w:val="95"/>
        </w:rPr>
        <w:t>Independent</w:t>
      </w:r>
      <w:r>
        <w:rPr>
          <w:spacing w:val="-5"/>
          <w:w w:val="95"/>
        </w:rPr>
        <w:t xml:space="preserve"> </w:t>
      </w:r>
      <w:r>
        <w:rPr>
          <w:w w:val="95"/>
        </w:rPr>
        <w:t>reviews</w:t>
      </w:r>
      <w:r>
        <w:rPr>
          <w:spacing w:val="-5"/>
          <w:w w:val="95"/>
        </w:rPr>
        <w:t xml:space="preserve"> </w:t>
      </w:r>
      <w:r>
        <w:rPr>
          <w:w w:val="95"/>
        </w:rPr>
        <w:t>of</w:t>
      </w:r>
      <w:r>
        <w:rPr>
          <w:spacing w:val="-5"/>
          <w:w w:val="95"/>
        </w:rPr>
        <w:t xml:space="preserve"> </w:t>
      </w:r>
      <w:r>
        <w:rPr>
          <w:w w:val="95"/>
        </w:rPr>
        <w:t>each</w:t>
      </w:r>
      <w:r>
        <w:rPr>
          <w:spacing w:val="-5"/>
          <w:w w:val="95"/>
        </w:rPr>
        <w:t xml:space="preserve"> </w:t>
      </w:r>
      <w:r>
        <w:rPr>
          <w:w w:val="95"/>
        </w:rPr>
        <w:t>sector</w:t>
      </w:r>
      <w:r>
        <w:rPr>
          <w:spacing w:val="-5"/>
          <w:w w:val="95"/>
        </w:rPr>
        <w:t xml:space="preserve"> </w:t>
      </w:r>
      <w:r>
        <w:rPr>
          <w:w w:val="95"/>
        </w:rPr>
        <w:t>have</w:t>
      </w:r>
      <w:r>
        <w:rPr>
          <w:spacing w:val="-5"/>
          <w:w w:val="95"/>
        </w:rPr>
        <w:t xml:space="preserve"> </w:t>
      </w:r>
      <w:r>
        <w:rPr>
          <w:w w:val="95"/>
        </w:rPr>
        <w:t>been</w:t>
      </w:r>
      <w:r>
        <w:rPr>
          <w:spacing w:val="-5"/>
          <w:w w:val="95"/>
        </w:rPr>
        <w:t xml:space="preserve"> </w:t>
      </w:r>
      <w:r>
        <w:rPr>
          <w:w w:val="95"/>
        </w:rPr>
        <w:t xml:space="preserve">carried </w:t>
      </w:r>
      <w:r>
        <w:t>out</w:t>
      </w:r>
      <w:r>
        <w:rPr>
          <w:spacing w:val="-12"/>
        </w:rPr>
        <w:t xml:space="preserve"> </w:t>
      </w:r>
      <w:r>
        <w:t>by</w:t>
      </w:r>
      <w:r>
        <w:rPr>
          <w:spacing w:val="-12"/>
        </w:rPr>
        <w:t xml:space="preserve"> </w:t>
      </w:r>
      <w:r>
        <w:t>GHD</w:t>
      </w:r>
      <w:r>
        <w:rPr>
          <w:spacing w:val="-12"/>
        </w:rPr>
        <w:t xml:space="preserve"> </w:t>
      </w:r>
      <w:r>
        <w:t>(transport,</w:t>
      </w:r>
      <w:r>
        <w:rPr>
          <w:spacing w:val="-12"/>
        </w:rPr>
        <w:t xml:space="preserve"> </w:t>
      </w:r>
      <w:r>
        <w:t>energy</w:t>
      </w:r>
      <w:r>
        <w:rPr>
          <w:spacing w:val="-12"/>
        </w:rPr>
        <w:t xml:space="preserve"> </w:t>
      </w:r>
      <w:r>
        <w:t>and</w:t>
      </w:r>
      <w:r>
        <w:rPr>
          <w:spacing w:val="-12"/>
        </w:rPr>
        <w:t xml:space="preserve"> </w:t>
      </w:r>
      <w:r>
        <w:t>water)</w:t>
      </w:r>
      <w:r>
        <w:rPr>
          <w:spacing w:val="-12"/>
        </w:rPr>
        <w:t xml:space="preserve"> </w:t>
      </w:r>
      <w:r>
        <w:t>and</w:t>
      </w:r>
      <w:r>
        <w:rPr>
          <w:spacing w:val="-12"/>
        </w:rPr>
        <w:t xml:space="preserve"> </w:t>
      </w:r>
      <w:r>
        <w:t>PwC (health,</w:t>
      </w:r>
      <w:r>
        <w:rPr>
          <w:spacing w:val="-13"/>
        </w:rPr>
        <w:t xml:space="preserve"> </w:t>
      </w:r>
      <w:r>
        <w:t>education,</w:t>
      </w:r>
      <w:r>
        <w:rPr>
          <w:spacing w:val="-13"/>
        </w:rPr>
        <w:t xml:space="preserve"> </w:t>
      </w:r>
      <w:r>
        <w:t>culture</w:t>
      </w:r>
      <w:r>
        <w:rPr>
          <w:spacing w:val="-13"/>
        </w:rPr>
        <w:t xml:space="preserve"> </w:t>
      </w:r>
      <w:r>
        <w:t>and</w:t>
      </w:r>
      <w:r>
        <w:rPr>
          <w:spacing w:val="-13"/>
        </w:rPr>
        <w:t xml:space="preserve"> </w:t>
      </w:r>
      <w:r>
        <w:t>justice).</w:t>
      </w:r>
    </w:p>
    <w:p w:rsidR="002C1123" w:rsidRDefault="00F22F94">
      <w:pPr>
        <w:pStyle w:val="BodyText"/>
        <w:spacing w:before="141" w:line="249" w:lineRule="auto"/>
        <w:ind w:left="406" w:right="718"/>
      </w:pPr>
      <w:r>
        <w:rPr>
          <w:w w:val="95"/>
        </w:rPr>
        <w:t>Infrastructure</w:t>
      </w:r>
      <w:r>
        <w:rPr>
          <w:spacing w:val="-10"/>
          <w:w w:val="95"/>
        </w:rPr>
        <w:t xml:space="preserve"> </w:t>
      </w:r>
      <w:r>
        <w:rPr>
          <w:w w:val="95"/>
        </w:rPr>
        <w:t>NSW</w:t>
      </w:r>
      <w:r>
        <w:rPr>
          <w:spacing w:val="-10"/>
          <w:w w:val="95"/>
        </w:rPr>
        <w:t xml:space="preserve"> </w:t>
      </w:r>
      <w:r>
        <w:rPr>
          <w:w w:val="95"/>
        </w:rPr>
        <w:t>has</w:t>
      </w:r>
      <w:r>
        <w:rPr>
          <w:spacing w:val="-10"/>
          <w:w w:val="95"/>
        </w:rPr>
        <w:t xml:space="preserve"> </w:t>
      </w:r>
      <w:r>
        <w:rPr>
          <w:w w:val="95"/>
        </w:rPr>
        <w:t>adapted</w:t>
      </w:r>
      <w:r>
        <w:rPr>
          <w:spacing w:val="-10"/>
          <w:w w:val="95"/>
        </w:rPr>
        <w:t xml:space="preserve"> </w:t>
      </w:r>
      <w:r>
        <w:rPr>
          <w:w w:val="95"/>
        </w:rPr>
        <w:t>the</w:t>
      </w:r>
      <w:r>
        <w:rPr>
          <w:spacing w:val="-10"/>
          <w:w w:val="95"/>
        </w:rPr>
        <w:t xml:space="preserve"> </w:t>
      </w:r>
      <w:r>
        <w:rPr>
          <w:w w:val="95"/>
        </w:rPr>
        <w:t>Engineers</w:t>
      </w:r>
      <w:r>
        <w:rPr>
          <w:spacing w:val="-10"/>
          <w:w w:val="95"/>
        </w:rPr>
        <w:t xml:space="preserve"> </w:t>
      </w:r>
      <w:r>
        <w:rPr>
          <w:w w:val="95"/>
        </w:rPr>
        <w:t xml:space="preserve">Australia </w:t>
      </w:r>
      <w:r>
        <w:t>Rating</w:t>
      </w:r>
      <w:r>
        <w:rPr>
          <w:spacing w:val="-11"/>
        </w:rPr>
        <w:t xml:space="preserve"> </w:t>
      </w:r>
      <w:r>
        <w:t>Scale</w:t>
      </w:r>
      <w:r>
        <w:rPr>
          <w:spacing w:val="-11"/>
        </w:rPr>
        <w:t xml:space="preserve"> </w:t>
      </w:r>
      <w:r>
        <w:t>for</w:t>
      </w:r>
      <w:r>
        <w:rPr>
          <w:spacing w:val="-11"/>
        </w:rPr>
        <w:t xml:space="preserve"> </w:t>
      </w:r>
      <w:r>
        <w:t>this</w:t>
      </w:r>
      <w:r>
        <w:rPr>
          <w:spacing w:val="-11"/>
        </w:rPr>
        <w:t xml:space="preserve"> </w:t>
      </w:r>
      <w:r>
        <w:t>assessment,</w:t>
      </w:r>
      <w:r>
        <w:rPr>
          <w:spacing w:val="-11"/>
        </w:rPr>
        <w:t xml:space="preserve"> </w:t>
      </w:r>
      <w:r>
        <w:t>which</w:t>
      </w:r>
      <w:r>
        <w:rPr>
          <w:spacing w:val="-11"/>
        </w:rPr>
        <w:t xml:space="preserve"> </w:t>
      </w:r>
      <w:r>
        <w:t xml:space="preserve">considers </w:t>
      </w:r>
      <w:r>
        <w:rPr>
          <w:w w:val="95"/>
        </w:rPr>
        <w:t>present state condition and ability to meet demand.</w:t>
      </w:r>
      <w:r>
        <w:rPr>
          <w:spacing w:val="-22"/>
          <w:w w:val="95"/>
        </w:rPr>
        <w:t xml:space="preserve"> </w:t>
      </w:r>
      <w:r>
        <w:rPr>
          <w:w w:val="95"/>
        </w:rPr>
        <w:t>The</w:t>
      </w:r>
    </w:p>
    <w:p w:rsidR="002C1123" w:rsidRDefault="002C1123">
      <w:pPr>
        <w:spacing w:line="249" w:lineRule="auto"/>
        <w:sectPr w:rsidR="002C1123">
          <w:type w:val="continuous"/>
          <w:pgSz w:w="16840" w:h="11910" w:orient="landscape"/>
          <w:pgMar w:top="560" w:right="280" w:bottom="280" w:left="500" w:header="0" w:footer="0" w:gutter="0"/>
          <w:cols w:num="3" w:space="720" w:equalWidth="0">
            <w:col w:w="5129" w:space="40"/>
            <w:col w:w="4931" w:space="39"/>
            <w:col w:w="5921"/>
          </w:cols>
        </w:sectPr>
      </w:pPr>
    </w:p>
    <w:p w:rsidR="002C1123" w:rsidRDefault="00F22F94">
      <w:pPr>
        <w:spacing w:before="134"/>
        <w:ind w:left="512"/>
        <w:rPr>
          <w:sz w:val="16"/>
        </w:rPr>
      </w:pPr>
      <w:r>
        <w:rPr>
          <w:w w:val="95"/>
          <w:sz w:val="16"/>
        </w:rPr>
        <w:t>Rating</w:t>
      </w:r>
      <w:r>
        <w:rPr>
          <w:spacing w:val="-1"/>
          <w:sz w:val="16"/>
        </w:rPr>
        <w:t xml:space="preserve"> </w:t>
      </w:r>
      <w:r>
        <w:rPr>
          <w:w w:val="95"/>
          <w:sz w:val="16"/>
        </w:rPr>
        <w:t>Scale</w:t>
      </w:r>
      <w:r>
        <w:rPr>
          <w:spacing w:val="-1"/>
          <w:sz w:val="16"/>
        </w:rPr>
        <w:t xml:space="preserve"> </w:t>
      </w:r>
      <w:r>
        <w:rPr>
          <w:w w:val="95"/>
          <w:sz w:val="16"/>
        </w:rPr>
        <w:t>adapted</w:t>
      </w:r>
      <w:r>
        <w:rPr>
          <w:spacing w:val="-1"/>
          <w:sz w:val="16"/>
        </w:rPr>
        <w:t xml:space="preserve"> </w:t>
      </w:r>
      <w:r>
        <w:rPr>
          <w:w w:val="95"/>
          <w:sz w:val="16"/>
        </w:rPr>
        <w:t>from</w:t>
      </w:r>
      <w:r>
        <w:rPr>
          <w:spacing w:val="-1"/>
          <w:sz w:val="16"/>
        </w:rPr>
        <w:t xml:space="preserve"> </w:t>
      </w:r>
      <w:r>
        <w:rPr>
          <w:w w:val="95"/>
          <w:sz w:val="16"/>
        </w:rPr>
        <w:t>Engineers</w:t>
      </w:r>
      <w:r>
        <w:rPr>
          <w:spacing w:val="-1"/>
          <w:sz w:val="16"/>
        </w:rPr>
        <w:t xml:space="preserve"> </w:t>
      </w:r>
      <w:r>
        <w:rPr>
          <w:w w:val="95"/>
          <w:sz w:val="16"/>
        </w:rPr>
        <w:t>Australia</w:t>
      </w:r>
      <w:r>
        <w:rPr>
          <w:sz w:val="16"/>
        </w:rPr>
        <w:t xml:space="preserve"> </w:t>
      </w:r>
      <w:r>
        <w:rPr>
          <w:w w:val="95"/>
          <w:sz w:val="16"/>
        </w:rPr>
        <w:t>Rating</w:t>
      </w:r>
      <w:r>
        <w:rPr>
          <w:spacing w:val="-1"/>
          <w:sz w:val="16"/>
        </w:rPr>
        <w:t xml:space="preserve"> </w:t>
      </w:r>
      <w:r>
        <w:rPr>
          <w:w w:val="95"/>
          <w:sz w:val="16"/>
        </w:rPr>
        <w:t>Scale</w:t>
      </w:r>
      <w:r>
        <w:rPr>
          <w:spacing w:val="-1"/>
          <w:sz w:val="16"/>
        </w:rPr>
        <w:t xml:space="preserve"> </w:t>
      </w:r>
      <w:r>
        <w:rPr>
          <w:w w:val="95"/>
          <w:sz w:val="16"/>
        </w:rPr>
        <w:t>contained</w:t>
      </w:r>
      <w:r>
        <w:rPr>
          <w:sz w:val="16"/>
        </w:rPr>
        <w:t xml:space="preserve"> </w:t>
      </w:r>
      <w:r>
        <w:rPr>
          <w:w w:val="95"/>
          <w:sz w:val="16"/>
        </w:rPr>
        <w:t>in</w:t>
      </w:r>
      <w:r>
        <w:rPr>
          <w:spacing w:val="-1"/>
          <w:sz w:val="16"/>
        </w:rPr>
        <w:t xml:space="preserve"> </w:t>
      </w:r>
      <w:r>
        <w:rPr>
          <w:w w:val="95"/>
          <w:sz w:val="16"/>
        </w:rPr>
        <w:t>Infrastructure</w:t>
      </w:r>
      <w:r>
        <w:rPr>
          <w:spacing w:val="-1"/>
          <w:sz w:val="16"/>
        </w:rPr>
        <w:t xml:space="preserve"> </w:t>
      </w:r>
      <w:r>
        <w:rPr>
          <w:w w:val="95"/>
          <w:sz w:val="16"/>
        </w:rPr>
        <w:t>Report</w:t>
      </w:r>
      <w:r>
        <w:rPr>
          <w:spacing w:val="-1"/>
          <w:sz w:val="16"/>
        </w:rPr>
        <w:t xml:space="preserve"> </w:t>
      </w:r>
      <w:r>
        <w:rPr>
          <w:w w:val="95"/>
          <w:sz w:val="16"/>
        </w:rPr>
        <w:t>Card</w:t>
      </w:r>
      <w:r>
        <w:rPr>
          <w:sz w:val="16"/>
        </w:rPr>
        <w:t xml:space="preserve"> </w:t>
      </w:r>
      <w:r>
        <w:rPr>
          <w:w w:val="95"/>
          <w:sz w:val="16"/>
        </w:rPr>
        <w:t>NSW</w:t>
      </w:r>
      <w:r>
        <w:rPr>
          <w:spacing w:val="-1"/>
          <w:sz w:val="16"/>
        </w:rPr>
        <w:t xml:space="preserve"> </w:t>
      </w:r>
      <w:r>
        <w:rPr>
          <w:spacing w:val="-2"/>
          <w:w w:val="95"/>
          <w:sz w:val="16"/>
        </w:rPr>
        <w:t>2010.</w:t>
      </w:r>
    </w:p>
    <w:p w:rsidR="002C1123" w:rsidRDefault="00F22F94">
      <w:pPr>
        <w:tabs>
          <w:tab w:val="left" w:pos="1285"/>
          <w:tab w:val="left" w:pos="2457"/>
          <w:tab w:val="left" w:pos="8844"/>
        </w:tabs>
        <w:spacing w:before="72"/>
        <w:ind w:left="587"/>
        <w:rPr>
          <w:b/>
          <w:sz w:val="16"/>
        </w:rPr>
      </w:pPr>
      <w:r>
        <w:rPr>
          <w:b/>
          <w:color w:val="2E3092"/>
          <w:spacing w:val="-2"/>
          <w:sz w:val="16"/>
        </w:rPr>
        <w:t>Grade</w:t>
      </w:r>
      <w:r>
        <w:rPr>
          <w:b/>
          <w:color w:val="2E3092"/>
          <w:sz w:val="16"/>
        </w:rPr>
        <w:tab/>
      </w:r>
      <w:r>
        <w:rPr>
          <w:b/>
          <w:color w:val="2E3092"/>
          <w:spacing w:val="-2"/>
          <w:sz w:val="16"/>
        </w:rPr>
        <w:t>Designation</w:t>
      </w:r>
      <w:r>
        <w:rPr>
          <w:b/>
          <w:color w:val="2E3092"/>
          <w:sz w:val="16"/>
        </w:rPr>
        <w:tab/>
      </w:r>
      <w:r>
        <w:rPr>
          <w:b/>
          <w:color w:val="2E3092"/>
          <w:w w:val="95"/>
          <w:sz w:val="16"/>
        </w:rPr>
        <w:t>Definition</w:t>
      </w:r>
      <w:r>
        <w:rPr>
          <w:b/>
          <w:color w:val="2E3092"/>
          <w:spacing w:val="-1"/>
          <w:sz w:val="16"/>
        </w:rPr>
        <w:t xml:space="preserve"> </w:t>
      </w:r>
      <w:r>
        <w:rPr>
          <w:b/>
          <w:color w:val="2E3092"/>
          <w:w w:val="95"/>
          <w:sz w:val="16"/>
        </w:rPr>
        <w:t>–</w:t>
      </w:r>
      <w:r>
        <w:rPr>
          <w:b/>
          <w:color w:val="2E3092"/>
          <w:spacing w:val="-1"/>
          <w:sz w:val="16"/>
        </w:rPr>
        <w:t xml:space="preserve"> </w:t>
      </w:r>
      <w:r>
        <w:rPr>
          <w:b/>
          <w:color w:val="2E3092"/>
          <w:spacing w:val="-2"/>
          <w:w w:val="95"/>
          <w:sz w:val="16"/>
        </w:rPr>
        <w:t>condition</w:t>
      </w:r>
      <w:r>
        <w:rPr>
          <w:b/>
          <w:color w:val="2E3092"/>
          <w:sz w:val="16"/>
        </w:rPr>
        <w:tab/>
      </w:r>
      <w:r>
        <w:rPr>
          <w:b/>
          <w:color w:val="2E3092"/>
          <w:w w:val="95"/>
          <w:sz w:val="16"/>
        </w:rPr>
        <w:t>Definition</w:t>
      </w:r>
      <w:r>
        <w:rPr>
          <w:b/>
          <w:color w:val="2E3092"/>
          <w:spacing w:val="-1"/>
          <w:sz w:val="16"/>
        </w:rPr>
        <w:t xml:space="preserve"> </w:t>
      </w:r>
      <w:r>
        <w:rPr>
          <w:b/>
          <w:color w:val="2E3092"/>
          <w:w w:val="95"/>
          <w:sz w:val="16"/>
        </w:rPr>
        <w:t>–</w:t>
      </w:r>
      <w:r>
        <w:rPr>
          <w:b/>
          <w:color w:val="2E3092"/>
          <w:spacing w:val="-1"/>
          <w:sz w:val="16"/>
        </w:rPr>
        <w:t xml:space="preserve"> </w:t>
      </w:r>
      <w:r>
        <w:rPr>
          <w:b/>
          <w:color w:val="2E3092"/>
          <w:spacing w:val="-2"/>
          <w:w w:val="95"/>
          <w:sz w:val="16"/>
        </w:rPr>
        <w:t>capacity</w:t>
      </w:r>
    </w:p>
    <w:p w:rsidR="002C1123" w:rsidRDefault="00F22F94">
      <w:pPr>
        <w:pStyle w:val="BodyText"/>
        <w:spacing w:before="6"/>
        <w:ind w:left="143"/>
      </w:pPr>
      <w:r>
        <w:br w:type="column"/>
      </w:r>
      <w:r>
        <w:rPr>
          <w:w w:val="95"/>
        </w:rPr>
        <w:t>assessment</w:t>
      </w:r>
      <w:r>
        <w:rPr>
          <w:spacing w:val="-10"/>
          <w:w w:val="95"/>
        </w:rPr>
        <w:t xml:space="preserve"> </w:t>
      </w:r>
      <w:r>
        <w:rPr>
          <w:w w:val="95"/>
        </w:rPr>
        <w:t>is</w:t>
      </w:r>
      <w:r>
        <w:rPr>
          <w:spacing w:val="-10"/>
          <w:w w:val="95"/>
        </w:rPr>
        <w:t xml:space="preserve"> </w:t>
      </w:r>
      <w:r>
        <w:rPr>
          <w:w w:val="95"/>
        </w:rPr>
        <w:t>summarised</w:t>
      </w:r>
      <w:r>
        <w:rPr>
          <w:spacing w:val="-10"/>
          <w:w w:val="95"/>
        </w:rPr>
        <w:t xml:space="preserve"> </w:t>
      </w:r>
      <w:r>
        <w:rPr>
          <w:w w:val="95"/>
        </w:rPr>
        <w:t>in</w:t>
      </w:r>
      <w:r>
        <w:rPr>
          <w:spacing w:val="-10"/>
          <w:w w:val="95"/>
        </w:rPr>
        <w:t xml:space="preserve"> </w:t>
      </w:r>
      <w:r>
        <w:rPr>
          <w:w w:val="95"/>
        </w:rPr>
        <w:t>Table</w:t>
      </w:r>
      <w:r>
        <w:rPr>
          <w:spacing w:val="-10"/>
          <w:w w:val="95"/>
        </w:rPr>
        <w:t xml:space="preserve"> </w:t>
      </w:r>
      <w:r>
        <w:rPr>
          <w:spacing w:val="-4"/>
          <w:w w:val="95"/>
        </w:rPr>
        <w:t>2.3.</w:t>
      </w:r>
    </w:p>
    <w:p w:rsidR="002C1123" w:rsidRDefault="002C1123">
      <w:pPr>
        <w:sectPr w:rsidR="002C1123">
          <w:type w:val="continuous"/>
          <w:pgSz w:w="16840" w:h="11910" w:orient="landscape"/>
          <w:pgMar w:top="560" w:right="280" w:bottom="280" w:left="500" w:header="0" w:footer="0" w:gutter="0"/>
          <w:cols w:num="2" w:space="720" w:equalWidth="0">
            <w:col w:w="10363" w:space="40"/>
            <w:col w:w="5657"/>
          </w:cols>
        </w:sectPr>
      </w:pPr>
    </w:p>
    <w:tbl>
      <w:tblPr>
        <w:tblW w:w="0" w:type="auto"/>
        <w:tblInd w:w="49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727"/>
        <w:gridCol w:w="1172"/>
        <w:gridCol w:w="6387"/>
        <w:gridCol w:w="6548"/>
      </w:tblGrid>
      <w:tr w:rsidR="002C1123">
        <w:trPr>
          <w:trHeight w:val="320"/>
        </w:trPr>
        <w:tc>
          <w:tcPr>
            <w:tcW w:w="727" w:type="dxa"/>
            <w:tcBorders>
              <w:left w:val="nil"/>
            </w:tcBorders>
            <w:shd w:val="clear" w:color="auto" w:fill="00AB4E"/>
          </w:tcPr>
          <w:p w:rsidR="002C1123" w:rsidRDefault="00F22F94">
            <w:pPr>
              <w:pStyle w:val="TableParagraph"/>
              <w:spacing w:before="55"/>
              <w:ind w:left="85"/>
              <w:rPr>
                <w:b/>
                <w:sz w:val="18"/>
              </w:rPr>
            </w:pPr>
            <w:r>
              <w:rPr>
                <w:b/>
                <w:color w:val="FFFFFF"/>
                <w:w w:val="94"/>
                <w:sz w:val="18"/>
              </w:rPr>
              <w:t>A</w:t>
            </w:r>
          </w:p>
        </w:tc>
        <w:tc>
          <w:tcPr>
            <w:tcW w:w="1172" w:type="dxa"/>
            <w:shd w:val="clear" w:color="auto" w:fill="EBEBEB"/>
          </w:tcPr>
          <w:p w:rsidR="002C1123" w:rsidRDefault="00F22F94">
            <w:pPr>
              <w:pStyle w:val="TableParagraph"/>
              <w:spacing w:before="55"/>
              <w:ind w:left="85"/>
              <w:rPr>
                <w:sz w:val="18"/>
              </w:rPr>
            </w:pPr>
            <w:r>
              <w:rPr>
                <w:w w:val="95"/>
                <w:sz w:val="18"/>
              </w:rPr>
              <w:t>Very</w:t>
            </w:r>
            <w:r>
              <w:rPr>
                <w:spacing w:val="-5"/>
                <w:w w:val="95"/>
                <w:sz w:val="18"/>
              </w:rPr>
              <w:t xml:space="preserve"> </w:t>
            </w:r>
            <w:r>
              <w:rPr>
                <w:spacing w:val="-4"/>
                <w:w w:val="105"/>
                <w:sz w:val="18"/>
              </w:rPr>
              <w:t>good</w:t>
            </w:r>
          </w:p>
        </w:tc>
        <w:tc>
          <w:tcPr>
            <w:tcW w:w="6387" w:type="dxa"/>
            <w:shd w:val="clear" w:color="auto" w:fill="EBEBEB"/>
          </w:tcPr>
          <w:p w:rsidR="002C1123" w:rsidRDefault="00F22F94">
            <w:pPr>
              <w:pStyle w:val="TableParagraph"/>
              <w:spacing w:before="39"/>
              <w:ind w:left="84"/>
              <w:rPr>
                <w:sz w:val="16"/>
              </w:rPr>
            </w:pPr>
            <w:r>
              <w:rPr>
                <w:w w:val="95"/>
                <w:sz w:val="16"/>
              </w:rPr>
              <w:t>Infrastructure</w:t>
            </w:r>
            <w:r>
              <w:rPr>
                <w:spacing w:val="-2"/>
                <w:sz w:val="16"/>
              </w:rPr>
              <w:t xml:space="preserve"> </w:t>
            </w:r>
            <w:r>
              <w:rPr>
                <w:w w:val="95"/>
                <w:sz w:val="16"/>
              </w:rPr>
              <w:t>is</w:t>
            </w:r>
            <w:r>
              <w:rPr>
                <w:spacing w:val="-1"/>
                <w:sz w:val="16"/>
              </w:rPr>
              <w:t xml:space="preserve"> </w:t>
            </w:r>
            <w:r>
              <w:rPr>
                <w:w w:val="95"/>
                <w:sz w:val="16"/>
              </w:rPr>
              <w:t>fit</w:t>
            </w:r>
            <w:r>
              <w:rPr>
                <w:spacing w:val="-1"/>
                <w:sz w:val="16"/>
              </w:rPr>
              <w:t xml:space="preserve"> </w:t>
            </w:r>
            <w:r>
              <w:rPr>
                <w:w w:val="95"/>
                <w:sz w:val="16"/>
              </w:rPr>
              <w:t>for</w:t>
            </w:r>
            <w:r>
              <w:rPr>
                <w:spacing w:val="-1"/>
                <w:sz w:val="16"/>
              </w:rPr>
              <w:t xml:space="preserve"> </w:t>
            </w:r>
            <w:r>
              <w:rPr>
                <w:w w:val="95"/>
                <w:sz w:val="16"/>
              </w:rPr>
              <w:t>its</w:t>
            </w:r>
            <w:r>
              <w:rPr>
                <w:spacing w:val="-2"/>
                <w:sz w:val="16"/>
              </w:rPr>
              <w:t xml:space="preserve"> </w:t>
            </w:r>
            <w:r>
              <w:rPr>
                <w:w w:val="95"/>
                <w:sz w:val="16"/>
              </w:rPr>
              <w:t>current</w:t>
            </w:r>
            <w:r>
              <w:rPr>
                <w:spacing w:val="-1"/>
                <w:sz w:val="16"/>
              </w:rPr>
              <w:t xml:space="preserve"> </w:t>
            </w:r>
            <w:r>
              <w:rPr>
                <w:w w:val="95"/>
                <w:sz w:val="16"/>
              </w:rPr>
              <w:t>and</w:t>
            </w:r>
            <w:r>
              <w:rPr>
                <w:spacing w:val="-1"/>
                <w:sz w:val="16"/>
              </w:rPr>
              <w:t xml:space="preserve"> </w:t>
            </w:r>
            <w:r>
              <w:rPr>
                <w:w w:val="95"/>
                <w:sz w:val="16"/>
              </w:rPr>
              <w:t>future</w:t>
            </w:r>
            <w:r>
              <w:rPr>
                <w:spacing w:val="-1"/>
                <w:sz w:val="16"/>
              </w:rPr>
              <w:t xml:space="preserve"> </w:t>
            </w:r>
            <w:r>
              <w:rPr>
                <w:spacing w:val="-2"/>
                <w:w w:val="95"/>
                <w:sz w:val="16"/>
              </w:rPr>
              <w:t>purpose</w:t>
            </w:r>
          </w:p>
        </w:tc>
        <w:tc>
          <w:tcPr>
            <w:tcW w:w="6548" w:type="dxa"/>
            <w:shd w:val="clear" w:color="auto" w:fill="EBEBEB"/>
          </w:tcPr>
          <w:p w:rsidR="002C1123" w:rsidRDefault="00F22F94">
            <w:pPr>
              <w:pStyle w:val="TableParagraph"/>
              <w:spacing w:before="39"/>
              <w:ind w:left="84"/>
              <w:rPr>
                <w:sz w:val="16"/>
              </w:rPr>
            </w:pPr>
            <w:r>
              <w:rPr>
                <w:w w:val="95"/>
                <w:sz w:val="16"/>
              </w:rPr>
              <w:t>Infrastructure</w:t>
            </w:r>
            <w:r>
              <w:rPr>
                <w:sz w:val="16"/>
              </w:rPr>
              <w:t xml:space="preserve"> </w:t>
            </w:r>
            <w:r>
              <w:rPr>
                <w:w w:val="95"/>
                <w:sz w:val="16"/>
              </w:rPr>
              <w:t>is</w:t>
            </w:r>
            <w:r>
              <w:rPr>
                <w:spacing w:val="1"/>
                <w:sz w:val="16"/>
              </w:rPr>
              <w:t xml:space="preserve"> </w:t>
            </w:r>
            <w:r>
              <w:rPr>
                <w:w w:val="95"/>
                <w:sz w:val="16"/>
              </w:rPr>
              <w:t>capable</w:t>
            </w:r>
            <w:r>
              <w:rPr>
                <w:spacing w:val="1"/>
                <w:sz w:val="16"/>
              </w:rPr>
              <w:t xml:space="preserve"> </w:t>
            </w:r>
            <w:r>
              <w:rPr>
                <w:w w:val="95"/>
                <w:sz w:val="16"/>
              </w:rPr>
              <w:t>of</w:t>
            </w:r>
            <w:r>
              <w:rPr>
                <w:spacing w:val="1"/>
                <w:sz w:val="16"/>
              </w:rPr>
              <w:t xml:space="preserve"> </w:t>
            </w:r>
            <w:r>
              <w:rPr>
                <w:w w:val="95"/>
                <w:sz w:val="16"/>
              </w:rPr>
              <w:t>meeting</w:t>
            </w:r>
            <w:r>
              <w:rPr>
                <w:spacing w:val="1"/>
                <w:sz w:val="16"/>
              </w:rPr>
              <w:t xml:space="preserve"> </w:t>
            </w:r>
            <w:r>
              <w:rPr>
                <w:w w:val="95"/>
                <w:sz w:val="16"/>
              </w:rPr>
              <w:t>its</w:t>
            </w:r>
            <w:r>
              <w:rPr>
                <w:spacing w:val="1"/>
                <w:sz w:val="16"/>
              </w:rPr>
              <w:t xml:space="preserve"> </w:t>
            </w:r>
            <w:r>
              <w:rPr>
                <w:w w:val="95"/>
                <w:sz w:val="16"/>
              </w:rPr>
              <w:t>current</w:t>
            </w:r>
            <w:r>
              <w:rPr>
                <w:spacing w:val="1"/>
                <w:sz w:val="16"/>
              </w:rPr>
              <w:t xml:space="preserve"> </w:t>
            </w:r>
            <w:r>
              <w:rPr>
                <w:w w:val="95"/>
                <w:sz w:val="16"/>
              </w:rPr>
              <w:t>and</w:t>
            </w:r>
            <w:r>
              <w:rPr>
                <w:spacing w:val="1"/>
                <w:sz w:val="16"/>
              </w:rPr>
              <w:t xml:space="preserve"> </w:t>
            </w:r>
            <w:r>
              <w:rPr>
                <w:w w:val="95"/>
                <w:sz w:val="16"/>
              </w:rPr>
              <w:t>future</w:t>
            </w:r>
            <w:r>
              <w:rPr>
                <w:spacing w:val="1"/>
                <w:sz w:val="16"/>
              </w:rPr>
              <w:t xml:space="preserve"> </w:t>
            </w:r>
            <w:r>
              <w:rPr>
                <w:spacing w:val="-2"/>
                <w:w w:val="95"/>
                <w:sz w:val="16"/>
              </w:rPr>
              <w:t>demand</w:t>
            </w:r>
          </w:p>
        </w:tc>
      </w:tr>
      <w:tr w:rsidR="002C1123">
        <w:trPr>
          <w:trHeight w:val="320"/>
        </w:trPr>
        <w:tc>
          <w:tcPr>
            <w:tcW w:w="727" w:type="dxa"/>
            <w:tcBorders>
              <w:left w:val="nil"/>
            </w:tcBorders>
            <w:shd w:val="clear" w:color="auto" w:fill="FFC20E"/>
          </w:tcPr>
          <w:p w:rsidR="002C1123" w:rsidRDefault="00F22F94">
            <w:pPr>
              <w:pStyle w:val="TableParagraph"/>
              <w:spacing w:before="55"/>
              <w:ind w:left="85"/>
              <w:rPr>
                <w:b/>
                <w:sz w:val="18"/>
              </w:rPr>
            </w:pPr>
            <w:r>
              <w:rPr>
                <w:b/>
                <w:color w:val="FFFFFF"/>
                <w:w w:val="97"/>
                <w:sz w:val="18"/>
              </w:rPr>
              <w:t>B</w:t>
            </w:r>
          </w:p>
        </w:tc>
        <w:tc>
          <w:tcPr>
            <w:tcW w:w="1172" w:type="dxa"/>
            <w:shd w:val="clear" w:color="auto" w:fill="EBEBEB"/>
          </w:tcPr>
          <w:p w:rsidR="002C1123" w:rsidRDefault="00F22F94">
            <w:pPr>
              <w:pStyle w:val="TableParagraph"/>
              <w:spacing w:before="55"/>
              <w:ind w:left="85"/>
              <w:rPr>
                <w:sz w:val="18"/>
              </w:rPr>
            </w:pPr>
            <w:r>
              <w:rPr>
                <w:spacing w:val="-4"/>
                <w:w w:val="105"/>
                <w:sz w:val="18"/>
              </w:rPr>
              <w:t>Good</w:t>
            </w:r>
          </w:p>
        </w:tc>
        <w:tc>
          <w:tcPr>
            <w:tcW w:w="6387" w:type="dxa"/>
            <w:shd w:val="clear" w:color="auto" w:fill="EBEBEB"/>
          </w:tcPr>
          <w:p w:rsidR="002C1123" w:rsidRDefault="00F22F94">
            <w:pPr>
              <w:pStyle w:val="TableParagraph"/>
              <w:spacing w:before="39"/>
              <w:ind w:left="84"/>
              <w:rPr>
                <w:sz w:val="16"/>
              </w:rPr>
            </w:pPr>
            <w:r>
              <w:rPr>
                <w:w w:val="95"/>
                <w:sz w:val="16"/>
              </w:rPr>
              <w:t>Minor</w:t>
            </w:r>
            <w:r>
              <w:rPr>
                <w:sz w:val="16"/>
              </w:rPr>
              <w:t xml:space="preserve"> </w:t>
            </w:r>
            <w:r>
              <w:rPr>
                <w:w w:val="95"/>
                <w:sz w:val="16"/>
              </w:rPr>
              <w:t>changes</w:t>
            </w:r>
            <w:r>
              <w:rPr>
                <w:sz w:val="16"/>
              </w:rPr>
              <w:t xml:space="preserve"> </w:t>
            </w:r>
            <w:r>
              <w:rPr>
                <w:w w:val="95"/>
                <w:sz w:val="16"/>
              </w:rPr>
              <w:t>required</w:t>
            </w:r>
            <w:r>
              <w:rPr>
                <w:spacing w:val="1"/>
                <w:sz w:val="16"/>
              </w:rPr>
              <w:t xml:space="preserve"> </w:t>
            </w:r>
            <w:r>
              <w:rPr>
                <w:w w:val="95"/>
                <w:sz w:val="16"/>
              </w:rPr>
              <w:t>to</w:t>
            </w:r>
            <w:r>
              <w:rPr>
                <w:sz w:val="16"/>
              </w:rPr>
              <w:t xml:space="preserve"> </w:t>
            </w:r>
            <w:r>
              <w:rPr>
                <w:w w:val="95"/>
                <w:sz w:val="16"/>
              </w:rPr>
              <w:t>enable</w:t>
            </w:r>
            <w:r>
              <w:rPr>
                <w:spacing w:val="1"/>
                <w:sz w:val="16"/>
              </w:rPr>
              <w:t xml:space="preserve"> </w:t>
            </w:r>
            <w:r>
              <w:rPr>
                <w:w w:val="95"/>
                <w:sz w:val="16"/>
              </w:rPr>
              <w:t>infrastructure</w:t>
            </w:r>
            <w:r>
              <w:rPr>
                <w:sz w:val="16"/>
              </w:rPr>
              <w:t xml:space="preserve"> </w:t>
            </w:r>
            <w:r>
              <w:rPr>
                <w:w w:val="95"/>
                <w:sz w:val="16"/>
              </w:rPr>
              <w:t>to</w:t>
            </w:r>
            <w:r>
              <w:rPr>
                <w:spacing w:val="1"/>
                <w:sz w:val="16"/>
              </w:rPr>
              <w:t xml:space="preserve"> </w:t>
            </w:r>
            <w:r>
              <w:rPr>
                <w:w w:val="95"/>
                <w:sz w:val="16"/>
              </w:rPr>
              <w:t>be</w:t>
            </w:r>
            <w:r>
              <w:rPr>
                <w:sz w:val="16"/>
              </w:rPr>
              <w:t xml:space="preserve"> </w:t>
            </w:r>
            <w:r>
              <w:rPr>
                <w:w w:val="95"/>
                <w:sz w:val="16"/>
              </w:rPr>
              <w:t>fit</w:t>
            </w:r>
            <w:r>
              <w:rPr>
                <w:spacing w:val="1"/>
                <w:sz w:val="16"/>
              </w:rPr>
              <w:t xml:space="preserve"> </w:t>
            </w:r>
            <w:r>
              <w:rPr>
                <w:w w:val="95"/>
                <w:sz w:val="16"/>
              </w:rPr>
              <w:t>for</w:t>
            </w:r>
            <w:r>
              <w:rPr>
                <w:sz w:val="16"/>
              </w:rPr>
              <w:t xml:space="preserve"> </w:t>
            </w:r>
            <w:r>
              <w:rPr>
                <w:w w:val="95"/>
                <w:sz w:val="16"/>
              </w:rPr>
              <w:t>its</w:t>
            </w:r>
            <w:r>
              <w:rPr>
                <w:spacing w:val="1"/>
                <w:sz w:val="16"/>
              </w:rPr>
              <w:t xml:space="preserve"> </w:t>
            </w:r>
            <w:r>
              <w:rPr>
                <w:w w:val="95"/>
                <w:sz w:val="16"/>
              </w:rPr>
              <w:t>current</w:t>
            </w:r>
            <w:r>
              <w:rPr>
                <w:sz w:val="16"/>
              </w:rPr>
              <w:t xml:space="preserve"> </w:t>
            </w:r>
            <w:r>
              <w:rPr>
                <w:w w:val="95"/>
                <w:sz w:val="16"/>
              </w:rPr>
              <w:t>and</w:t>
            </w:r>
            <w:r>
              <w:rPr>
                <w:spacing w:val="1"/>
                <w:sz w:val="16"/>
              </w:rPr>
              <w:t xml:space="preserve"> </w:t>
            </w:r>
            <w:r>
              <w:rPr>
                <w:w w:val="95"/>
                <w:sz w:val="16"/>
              </w:rPr>
              <w:t>future</w:t>
            </w:r>
            <w:r>
              <w:rPr>
                <w:sz w:val="16"/>
              </w:rPr>
              <w:t xml:space="preserve"> </w:t>
            </w:r>
            <w:r>
              <w:rPr>
                <w:spacing w:val="-2"/>
                <w:w w:val="95"/>
                <w:sz w:val="16"/>
              </w:rPr>
              <w:t>purpose</w:t>
            </w:r>
          </w:p>
        </w:tc>
        <w:tc>
          <w:tcPr>
            <w:tcW w:w="6548" w:type="dxa"/>
            <w:shd w:val="clear" w:color="auto" w:fill="EBEBEB"/>
          </w:tcPr>
          <w:p w:rsidR="002C1123" w:rsidRDefault="00F22F94">
            <w:pPr>
              <w:pStyle w:val="TableParagraph"/>
              <w:spacing w:before="39"/>
              <w:ind w:left="84"/>
              <w:rPr>
                <w:sz w:val="16"/>
              </w:rPr>
            </w:pPr>
            <w:r>
              <w:rPr>
                <w:w w:val="95"/>
                <w:sz w:val="16"/>
              </w:rPr>
              <w:t>Minor</w:t>
            </w:r>
            <w:r>
              <w:rPr>
                <w:spacing w:val="1"/>
                <w:sz w:val="16"/>
              </w:rPr>
              <w:t xml:space="preserve"> </w:t>
            </w:r>
            <w:r>
              <w:rPr>
                <w:w w:val="95"/>
                <w:sz w:val="16"/>
              </w:rPr>
              <w:t>changes</w:t>
            </w:r>
            <w:r>
              <w:rPr>
                <w:spacing w:val="1"/>
                <w:sz w:val="16"/>
              </w:rPr>
              <w:t xml:space="preserve"> </w:t>
            </w:r>
            <w:r>
              <w:rPr>
                <w:w w:val="95"/>
                <w:sz w:val="16"/>
              </w:rPr>
              <w:t>required</w:t>
            </w:r>
            <w:r>
              <w:rPr>
                <w:spacing w:val="1"/>
                <w:sz w:val="16"/>
              </w:rPr>
              <w:t xml:space="preserve"> </w:t>
            </w:r>
            <w:r>
              <w:rPr>
                <w:w w:val="95"/>
                <w:sz w:val="16"/>
              </w:rPr>
              <w:t>to</w:t>
            </w:r>
            <w:r>
              <w:rPr>
                <w:spacing w:val="1"/>
                <w:sz w:val="16"/>
              </w:rPr>
              <w:t xml:space="preserve"> </w:t>
            </w:r>
            <w:r>
              <w:rPr>
                <w:w w:val="95"/>
                <w:sz w:val="16"/>
              </w:rPr>
              <w:t>enable</w:t>
            </w:r>
            <w:r>
              <w:rPr>
                <w:spacing w:val="2"/>
                <w:sz w:val="16"/>
              </w:rPr>
              <w:t xml:space="preserve"> </w:t>
            </w:r>
            <w:r>
              <w:rPr>
                <w:w w:val="95"/>
                <w:sz w:val="16"/>
              </w:rPr>
              <w:t>the</w:t>
            </w:r>
            <w:r>
              <w:rPr>
                <w:spacing w:val="1"/>
                <w:sz w:val="16"/>
              </w:rPr>
              <w:t xml:space="preserve"> </w:t>
            </w:r>
            <w:r>
              <w:rPr>
                <w:w w:val="95"/>
                <w:sz w:val="16"/>
              </w:rPr>
              <w:t>infrastructure</w:t>
            </w:r>
            <w:r>
              <w:rPr>
                <w:spacing w:val="1"/>
                <w:sz w:val="16"/>
              </w:rPr>
              <w:t xml:space="preserve"> </w:t>
            </w:r>
            <w:r>
              <w:rPr>
                <w:w w:val="95"/>
                <w:sz w:val="16"/>
              </w:rPr>
              <w:t>to</w:t>
            </w:r>
            <w:r>
              <w:rPr>
                <w:spacing w:val="1"/>
                <w:sz w:val="16"/>
              </w:rPr>
              <w:t xml:space="preserve"> </w:t>
            </w:r>
            <w:r>
              <w:rPr>
                <w:w w:val="95"/>
                <w:sz w:val="16"/>
              </w:rPr>
              <w:t>meet</w:t>
            </w:r>
            <w:r>
              <w:rPr>
                <w:spacing w:val="1"/>
                <w:sz w:val="16"/>
              </w:rPr>
              <w:t xml:space="preserve"> </w:t>
            </w:r>
            <w:r>
              <w:rPr>
                <w:w w:val="95"/>
                <w:sz w:val="16"/>
              </w:rPr>
              <w:t>its</w:t>
            </w:r>
            <w:r>
              <w:rPr>
                <w:spacing w:val="2"/>
                <w:sz w:val="16"/>
              </w:rPr>
              <w:t xml:space="preserve"> </w:t>
            </w:r>
            <w:r>
              <w:rPr>
                <w:w w:val="95"/>
                <w:sz w:val="16"/>
              </w:rPr>
              <w:t>current</w:t>
            </w:r>
            <w:r>
              <w:rPr>
                <w:spacing w:val="1"/>
                <w:sz w:val="16"/>
              </w:rPr>
              <w:t xml:space="preserve"> </w:t>
            </w:r>
            <w:r>
              <w:rPr>
                <w:w w:val="95"/>
                <w:sz w:val="16"/>
              </w:rPr>
              <w:t>and</w:t>
            </w:r>
            <w:r>
              <w:rPr>
                <w:spacing w:val="1"/>
                <w:sz w:val="16"/>
              </w:rPr>
              <w:t xml:space="preserve"> </w:t>
            </w:r>
            <w:r>
              <w:rPr>
                <w:w w:val="95"/>
                <w:sz w:val="16"/>
              </w:rPr>
              <w:t>future</w:t>
            </w:r>
            <w:r>
              <w:rPr>
                <w:spacing w:val="1"/>
                <w:sz w:val="16"/>
              </w:rPr>
              <w:t xml:space="preserve"> </w:t>
            </w:r>
            <w:r>
              <w:rPr>
                <w:spacing w:val="-2"/>
                <w:w w:val="95"/>
                <w:sz w:val="16"/>
              </w:rPr>
              <w:t>demand</w:t>
            </w:r>
          </w:p>
        </w:tc>
      </w:tr>
      <w:tr w:rsidR="002C1123">
        <w:trPr>
          <w:trHeight w:val="320"/>
        </w:trPr>
        <w:tc>
          <w:tcPr>
            <w:tcW w:w="727" w:type="dxa"/>
            <w:tcBorders>
              <w:left w:val="nil"/>
            </w:tcBorders>
            <w:shd w:val="clear" w:color="auto" w:fill="F47920"/>
          </w:tcPr>
          <w:p w:rsidR="002C1123" w:rsidRDefault="00F22F94">
            <w:pPr>
              <w:pStyle w:val="TableParagraph"/>
              <w:spacing w:before="55"/>
              <w:ind w:left="85"/>
              <w:rPr>
                <w:b/>
                <w:sz w:val="18"/>
              </w:rPr>
            </w:pPr>
            <w:r>
              <w:rPr>
                <w:b/>
                <w:color w:val="FFFFFF"/>
                <w:w w:val="102"/>
                <w:sz w:val="18"/>
              </w:rPr>
              <w:t>C</w:t>
            </w:r>
          </w:p>
        </w:tc>
        <w:tc>
          <w:tcPr>
            <w:tcW w:w="1172" w:type="dxa"/>
            <w:shd w:val="clear" w:color="auto" w:fill="EBEBEB"/>
          </w:tcPr>
          <w:p w:rsidR="002C1123" w:rsidRDefault="00F22F94">
            <w:pPr>
              <w:pStyle w:val="TableParagraph"/>
              <w:spacing w:before="55"/>
              <w:ind w:left="85"/>
              <w:rPr>
                <w:sz w:val="18"/>
              </w:rPr>
            </w:pPr>
            <w:r>
              <w:rPr>
                <w:spacing w:val="-2"/>
                <w:w w:val="105"/>
                <w:sz w:val="18"/>
              </w:rPr>
              <w:t>Adequate</w:t>
            </w:r>
          </w:p>
        </w:tc>
        <w:tc>
          <w:tcPr>
            <w:tcW w:w="6387" w:type="dxa"/>
            <w:shd w:val="clear" w:color="auto" w:fill="EBEBEB"/>
          </w:tcPr>
          <w:p w:rsidR="002C1123" w:rsidRDefault="00F22F94">
            <w:pPr>
              <w:pStyle w:val="TableParagraph"/>
              <w:spacing w:before="39"/>
              <w:ind w:left="84"/>
              <w:rPr>
                <w:sz w:val="16"/>
              </w:rPr>
            </w:pPr>
            <w:r>
              <w:rPr>
                <w:w w:val="95"/>
                <w:sz w:val="16"/>
              </w:rPr>
              <w:t>Major</w:t>
            </w:r>
            <w:r>
              <w:rPr>
                <w:sz w:val="16"/>
              </w:rPr>
              <w:t xml:space="preserve"> </w:t>
            </w:r>
            <w:r>
              <w:rPr>
                <w:w w:val="95"/>
                <w:sz w:val="16"/>
              </w:rPr>
              <w:t>changes</w:t>
            </w:r>
            <w:r>
              <w:rPr>
                <w:sz w:val="16"/>
              </w:rPr>
              <w:t xml:space="preserve"> </w:t>
            </w:r>
            <w:r>
              <w:rPr>
                <w:w w:val="95"/>
                <w:sz w:val="16"/>
              </w:rPr>
              <w:t>required</w:t>
            </w:r>
            <w:r>
              <w:rPr>
                <w:sz w:val="16"/>
              </w:rPr>
              <w:t xml:space="preserve"> </w:t>
            </w:r>
            <w:r>
              <w:rPr>
                <w:w w:val="95"/>
                <w:sz w:val="16"/>
              </w:rPr>
              <w:t>to</w:t>
            </w:r>
            <w:r>
              <w:rPr>
                <w:spacing w:val="1"/>
                <w:sz w:val="16"/>
              </w:rPr>
              <w:t xml:space="preserve"> </w:t>
            </w:r>
            <w:r>
              <w:rPr>
                <w:w w:val="95"/>
                <w:sz w:val="16"/>
              </w:rPr>
              <w:t>enable</w:t>
            </w:r>
            <w:r>
              <w:rPr>
                <w:sz w:val="16"/>
              </w:rPr>
              <w:t xml:space="preserve"> </w:t>
            </w:r>
            <w:r>
              <w:rPr>
                <w:w w:val="95"/>
                <w:sz w:val="16"/>
              </w:rPr>
              <w:t>infrastructure</w:t>
            </w:r>
            <w:r>
              <w:rPr>
                <w:sz w:val="16"/>
              </w:rPr>
              <w:t xml:space="preserve"> </w:t>
            </w:r>
            <w:r>
              <w:rPr>
                <w:w w:val="95"/>
                <w:sz w:val="16"/>
              </w:rPr>
              <w:t>to</w:t>
            </w:r>
            <w:r>
              <w:rPr>
                <w:spacing w:val="1"/>
                <w:sz w:val="16"/>
              </w:rPr>
              <w:t xml:space="preserve"> </w:t>
            </w:r>
            <w:r>
              <w:rPr>
                <w:w w:val="95"/>
                <w:sz w:val="16"/>
              </w:rPr>
              <w:t>be</w:t>
            </w:r>
            <w:r>
              <w:rPr>
                <w:sz w:val="16"/>
              </w:rPr>
              <w:t xml:space="preserve"> </w:t>
            </w:r>
            <w:r>
              <w:rPr>
                <w:w w:val="95"/>
                <w:sz w:val="16"/>
              </w:rPr>
              <w:t>fit</w:t>
            </w:r>
            <w:r>
              <w:rPr>
                <w:sz w:val="16"/>
              </w:rPr>
              <w:t xml:space="preserve"> </w:t>
            </w:r>
            <w:r>
              <w:rPr>
                <w:w w:val="95"/>
                <w:sz w:val="16"/>
              </w:rPr>
              <w:t>for</w:t>
            </w:r>
            <w:r>
              <w:rPr>
                <w:spacing w:val="1"/>
                <w:sz w:val="16"/>
              </w:rPr>
              <w:t xml:space="preserve"> </w:t>
            </w:r>
            <w:r>
              <w:rPr>
                <w:w w:val="95"/>
                <w:sz w:val="16"/>
              </w:rPr>
              <w:t>its</w:t>
            </w:r>
            <w:r>
              <w:rPr>
                <w:sz w:val="16"/>
              </w:rPr>
              <w:t xml:space="preserve"> </w:t>
            </w:r>
            <w:r>
              <w:rPr>
                <w:w w:val="95"/>
                <w:sz w:val="16"/>
              </w:rPr>
              <w:t>current</w:t>
            </w:r>
            <w:r>
              <w:rPr>
                <w:sz w:val="16"/>
              </w:rPr>
              <w:t xml:space="preserve"> </w:t>
            </w:r>
            <w:r>
              <w:rPr>
                <w:w w:val="95"/>
                <w:sz w:val="16"/>
              </w:rPr>
              <w:t>and</w:t>
            </w:r>
            <w:r>
              <w:rPr>
                <w:spacing w:val="1"/>
                <w:sz w:val="16"/>
              </w:rPr>
              <w:t xml:space="preserve"> </w:t>
            </w:r>
            <w:r>
              <w:rPr>
                <w:w w:val="95"/>
                <w:sz w:val="16"/>
              </w:rPr>
              <w:t>future</w:t>
            </w:r>
            <w:r>
              <w:rPr>
                <w:sz w:val="16"/>
              </w:rPr>
              <w:t xml:space="preserve"> </w:t>
            </w:r>
            <w:r>
              <w:rPr>
                <w:spacing w:val="-2"/>
                <w:w w:val="95"/>
                <w:sz w:val="16"/>
              </w:rPr>
              <w:t>purpose</w:t>
            </w:r>
          </w:p>
        </w:tc>
        <w:tc>
          <w:tcPr>
            <w:tcW w:w="6548" w:type="dxa"/>
            <w:shd w:val="clear" w:color="auto" w:fill="EBEBEB"/>
          </w:tcPr>
          <w:p w:rsidR="002C1123" w:rsidRDefault="00F22F94">
            <w:pPr>
              <w:pStyle w:val="TableParagraph"/>
              <w:spacing w:before="39"/>
              <w:ind w:left="84"/>
              <w:rPr>
                <w:sz w:val="16"/>
              </w:rPr>
            </w:pPr>
            <w:r>
              <w:rPr>
                <w:w w:val="95"/>
                <w:sz w:val="16"/>
              </w:rPr>
              <w:t>Major</w:t>
            </w:r>
            <w:r>
              <w:rPr>
                <w:spacing w:val="1"/>
                <w:sz w:val="16"/>
              </w:rPr>
              <w:t xml:space="preserve"> </w:t>
            </w:r>
            <w:r>
              <w:rPr>
                <w:w w:val="95"/>
                <w:sz w:val="16"/>
              </w:rPr>
              <w:t>changes</w:t>
            </w:r>
            <w:r>
              <w:rPr>
                <w:spacing w:val="1"/>
                <w:sz w:val="16"/>
              </w:rPr>
              <w:t xml:space="preserve"> </w:t>
            </w:r>
            <w:r>
              <w:rPr>
                <w:w w:val="95"/>
                <w:sz w:val="16"/>
              </w:rPr>
              <w:t>required</w:t>
            </w:r>
            <w:r>
              <w:rPr>
                <w:spacing w:val="1"/>
                <w:sz w:val="16"/>
              </w:rPr>
              <w:t xml:space="preserve"> </w:t>
            </w:r>
            <w:r>
              <w:rPr>
                <w:w w:val="95"/>
                <w:sz w:val="16"/>
              </w:rPr>
              <w:t>to</w:t>
            </w:r>
            <w:r>
              <w:rPr>
                <w:spacing w:val="1"/>
                <w:sz w:val="16"/>
              </w:rPr>
              <w:t xml:space="preserve"> </w:t>
            </w:r>
            <w:r>
              <w:rPr>
                <w:w w:val="95"/>
                <w:sz w:val="16"/>
              </w:rPr>
              <w:t>enable</w:t>
            </w:r>
            <w:r>
              <w:rPr>
                <w:spacing w:val="1"/>
                <w:sz w:val="16"/>
              </w:rPr>
              <w:t xml:space="preserve"> </w:t>
            </w:r>
            <w:r>
              <w:rPr>
                <w:w w:val="95"/>
                <w:sz w:val="16"/>
              </w:rPr>
              <w:t>the</w:t>
            </w:r>
            <w:r>
              <w:rPr>
                <w:spacing w:val="1"/>
                <w:sz w:val="16"/>
              </w:rPr>
              <w:t xml:space="preserve"> </w:t>
            </w:r>
            <w:r>
              <w:rPr>
                <w:w w:val="95"/>
                <w:sz w:val="16"/>
              </w:rPr>
              <w:t>infrastructure</w:t>
            </w:r>
            <w:r>
              <w:rPr>
                <w:spacing w:val="1"/>
                <w:sz w:val="16"/>
              </w:rPr>
              <w:t xml:space="preserve"> </w:t>
            </w:r>
            <w:r>
              <w:rPr>
                <w:w w:val="95"/>
                <w:sz w:val="16"/>
              </w:rPr>
              <w:t>to</w:t>
            </w:r>
            <w:r>
              <w:rPr>
                <w:spacing w:val="1"/>
                <w:sz w:val="16"/>
              </w:rPr>
              <w:t xml:space="preserve"> </w:t>
            </w:r>
            <w:r>
              <w:rPr>
                <w:w w:val="95"/>
                <w:sz w:val="16"/>
              </w:rPr>
              <w:t>meet</w:t>
            </w:r>
            <w:r>
              <w:rPr>
                <w:spacing w:val="1"/>
                <w:sz w:val="16"/>
              </w:rPr>
              <w:t xml:space="preserve"> </w:t>
            </w:r>
            <w:r>
              <w:rPr>
                <w:w w:val="95"/>
                <w:sz w:val="16"/>
              </w:rPr>
              <w:t>its</w:t>
            </w:r>
            <w:r>
              <w:rPr>
                <w:spacing w:val="1"/>
                <w:sz w:val="16"/>
              </w:rPr>
              <w:t xml:space="preserve"> </w:t>
            </w:r>
            <w:r>
              <w:rPr>
                <w:w w:val="95"/>
                <w:sz w:val="16"/>
              </w:rPr>
              <w:t>current</w:t>
            </w:r>
            <w:r>
              <w:rPr>
                <w:spacing w:val="1"/>
                <w:sz w:val="16"/>
              </w:rPr>
              <w:t xml:space="preserve"> </w:t>
            </w:r>
            <w:r>
              <w:rPr>
                <w:w w:val="95"/>
                <w:sz w:val="16"/>
              </w:rPr>
              <w:t>and</w:t>
            </w:r>
            <w:r>
              <w:rPr>
                <w:spacing w:val="1"/>
                <w:sz w:val="16"/>
              </w:rPr>
              <w:t xml:space="preserve"> </w:t>
            </w:r>
            <w:r>
              <w:rPr>
                <w:w w:val="95"/>
                <w:sz w:val="16"/>
              </w:rPr>
              <w:t>future</w:t>
            </w:r>
            <w:r>
              <w:rPr>
                <w:spacing w:val="1"/>
                <w:sz w:val="16"/>
              </w:rPr>
              <w:t xml:space="preserve"> </w:t>
            </w:r>
            <w:r>
              <w:rPr>
                <w:spacing w:val="-2"/>
                <w:w w:val="95"/>
                <w:sz w:val="16"/>
              </w:rPr>
              <w:t>demand</w:t>
            </w:r>
          </w:p>
        </w:tc>
      </w:tr>
      <w:tr w:rsidR="002C1123">
        <w:trPr>
          <w:trHeight w:val="320"/>
        </w:trPr>
        <w:tc>
          <w:tcPr>
            <w:tcW w:w="727" w:type="dxa"/>
            <w:tcBorders>
              <w:left w:val="nil"/>
            </w:tcBorders>
            <w:shd w:val="clear" w:color="auto" w:fill="E11B22"/>
          </w:tcPr>
          <w:p w:rsidR="002C1123" w:rsidRDefault="00F22F94">
            <w:pPr>
              <w:pStyle w:val="TableParagraph"/>
              <w:spacing w:before="55"/>
              <w:ind w:left="85"/>
              <w:rPr>
                <w:b/>
                <w:sz w:val="18"/>
              </w:rPr>
            </w:pPr>
            <w:r>
              <w:rPr>
                <w:b/>
                <w:color w:val="FFFFFF"/>
                <w:w w:val="102"/>
                <w:sz w:val="18"/>
              </w:rPr>
              <w:t>D</w:t>
            </w:r>
          </w:p>
        </w:tc>
        <w:tc>
          <w:tcPr>
            <w:tcW w:w="1172" w:type="dxa"/>
            <w:shd w:val="clear" w:color="auto" w:fill="EBEBEB"/>
          </w:tcPr>
          <w:p w:rsidR="002C1123" w:rsidRDefault="00F22F94">
            <w:pPr>
              <w:pStyle w:val="TableParagraph"/>
              <w:spacing w:before="55"/>
              <w:ind w:left="85"/>
              <w:rPr>
                <w:sz w:val="18"/>
              </w:rPr>
            </w:pPr>
            <w:r>
              <w:rPr>
                <w:spacing w:val="-4"/>
                <w:w w:val="105"/>
                <w:sz w:val="18"/>
              </w:rPr>
              <w:t>Poor</w:t>
            </w:r>
          </w:p>
        </w:tc>
        <w:tc>
          <w:tcPr>
            <w:tcW w:w="6387" w:type="dxa"/>
            <w:shd w:val="clear" w:color="auto" w:fill="EBEBEB"/>
          </w:tcPr>
          <w:p w:rsidR="002C1123" w:rsidRDefault="00F22F94">
            <w:pPr>
              <w:pStyle w:val="TableParagraph"/>
              <w:spacing w:before="39"/>
              <w:ind w:left="84"/>
              <w:rPr>
                <w:sz w:val="16"/>
              </w:rPr>
            </w:pPr>
            <w:r>
              <w:rPr>
                <w:w w:val="95"/>
                <w:sz w:val="16"/>
              </w:rPr>
              <w:t>Critical</w:t>
            </w:r>
            <w:r>
              <w:rPr>
                <w:sz w:val="16"/>
              </w:rPr>
              <w:t xml:space="preserve"> </w:t>
            </w:r>
            <w:r>
              <w:rPr>
                <w:w w:val="95"/>
                <w:sz w:val="16"/>
              </w:rPr>
              <w:t>changes</w:t>
            </w:r>
            <w:r>
              <w:rPr>
                <w:sz w:val="16"/>
              </w:rPr>
              <w:t xml:space="preserve"> </w:t>
            </w:r>
            <w:r>
              <w:rPr>
                <w:w w:val="95"/>
                <w:sz w:val="16"/>
              </w:rPr>
              <w:t>required</w:t>
            </w:r>
            <w:r>
              <w:rPr>
                <w:sz w:val="16"/>
              </w:rPr>
              <w:t xml:space="preserve"> </w:t>
            </w:r>
            <w:r>
              <w:rPr>
                <w:w w:val="95"/>
                <w:sz w:val="16"/>
              </w:rPr>
              <w:t>to</w:t>
            </w:r>
            <w:r>
              <w:rPr>
                <w:sz w:val="16"/>
              </w:rPr>
              <w:t xml:space="preserve"> </w:t>
            </w:r>
            <w:r>
              <w:rPr>
                <w:w w:val="95"/>
                <w:sz w:val="16"/>
              </w:rPr>
              <w:t>enable</w:t>
            </w:r>
            <w:r>
              <w:rPr>
                <w:sz w:val="16"/>
              </w:rPr>
              <w:t xml:space="preserve"> </w:t>
            </w:r>
            <w:r>
              <w:rPr>
                <w:w w:val="95"/>
                <w:sz w:val="16"/>
              </w:rPr>
              <w:t>infrastructure</w:t>
            </w:r>
            <w:r>
              <w:rPr>
                <w:sz w:val="16"/>
              </w:rPr>
              <w:t xml:space="preserve"> </w:t>
            </w:r>
            <w:r>
              <w:rPr>
                <w:w w:val="95"/>
                <w:sz w:val="16"/>
              </w:rPr>
              <w:t>to</w:t>
            </w:r>
            <w:r>
              <w:rPr>
                <w:spacing w:val="1"/>
                <w:sz w:val="16"/>
              </w:rPr>
              <w:t xml:space="preserve"> </w:t>
            </w:r>
            <w:r>
              <w:rPr>
                <w:w w:val="95"/>
                <w:sz w:val="16"/>
              </w:rPr>
              <w:t>be</w:t>
            </w:r>
            <w:r>
              <w:rPr>
                <w:sz w:val="16"/>
              </w:rPr>
              <w:t xml:space="preserve"> </w:t>
            </w:r>
            <w:r>
              <w:rPr>
                <w:w w:val="95"/>
                <w:sz w:val="16"/>
              </w:rPr>
              <w:t>fit</w:t>
            </w:r>
            <w:r>
              <w:rPr>
                <w:sz w:val="16"/>
              </w:rPr>
              <w:t xml:space="preserve"> </w:t>
            </w:r>
            <w:r>
              <w:rPr>
                <w:w w:val="95"/>
                <w:sz w:val="16"/>
              </w:rPr>
              <w:t>for</w:t>
            </w:r>
            <w:r>
              <w:rPr>
                <w:sz w:val="16"/>
              </w:rPr>
              <w:t xml:space="preserve"> </w:t>
            </w:r>
            <w:r>
              <w:rPr>
                <w:w w:val="95"/>
                <w:sz w:val="16"/>
              </w:rPr>
              <w:t>its</w:t>
            </w:r>
            <w:r>
              <w:rPr>
                <w:sz w:val="16"/>
              </w:rPr>
              <w:t xml:space="preserve"> </w:t>
            </w:r>
            <w:r>
              <w:rPr>
                <w:w w:val="95"/>
                <w:sz w:val="16"/>
              </w:rPr>
              <w:t>current</w:t>
            </w:r>
            <w:r>
              <w:rPr>
                <w:sz w:val="16"/>
              </w:rPr>
              <w:t xml:space="preserve"> </w:t>
            </w:r>
            <w:r>
              <w:rPr>
                <w:w w:val="95"/>
                <w:sz w:val="16"/>
              </w:rPr>
              <w:t>and</w:t>
            </w:r>
            <w:r>
              <w:rPr>
                <w:sz w:val="16"/>
              </w:rPr>
              <w:t xml:space="preserve"> </w:t>
            </w:r>
            <w:r>
              <w:rPr>
                <w:w w:val="95"/>
                <w:sz w:val="16"/>
              </w:rPr>
              <w:t>future</w:t>
            </w:r>
            <w:r>
              <w:rPr>
                <w:spacing w:val="1"/>
                <w:sz w:val="16"/>
              </w:rPr>
              <w:t xml:space="preserve"> </w:t>
            </w:r>
            <w:r>
              <w:rPr>
                <w:spacing w:val="-2"/>
                <w:w w:val="95"/>
                <w:sz w:val="16"/>
              </w:rPr>
              <w:t>purpose</w:t>
            </w:r>
          </w:p>
        </w:tc>
        <w:tc>
          <w:tcPr>
            <w:tcW w:w="6548" w:type="dxa"/>
            <w:shd w:val="clear" w:color="auto" w:fill="EBEBEB"/>
          </w:tcPr>
          <w:p w:rsidR="002C1123" w:rsidRDefault="00F22F94">
            <w:pPr>
              <w:pStyle w:val="TableParagraph"/>
              <w:spacing w:before="39"/>
              <w:ind w:left="84"/>
              <w:rPr>
                <w:sz w:val="16"/>
              </w:rPr>
            </w:pPr>
            <w:r>
              <w:rPr>
                <w:w w:val="95"/>
                <w:sz w:val="16"/>
              </w:rPr>
              <w:t>Critical</w:t>
            </w:r>
            <w:r>
              <w:rPr>
                <w:sz w:val="16"/>
              </w:rPr>
              <w:t xml:space="preserve"> </w:t>
            </w:r>
            <w:r>
              <w:rPr>
                <w:w w:val="95"/>
                <w:sz w:val="16"/>
              </w:rPr>
              <w:t>changes</w:t>
            </w:r>
            <w:r>
              <w:rPr>
                <w:spacing w:val="1"/>
                <w:sz w:val="16"/>
              </w:rPr>
              <w:t xml:space="preserve"> </w:t>
            </w:r>
            <w:r>
              <w:rPr>
                <w:w w:val="95"/>
                <w:sz w:val="16"/>
              </w:rPr>
              <w:t>required</w:t>
            </w:r>
            <w:r>
              <w:rPr>
                <w:spacing w:val="1"/>
                <w:sz w:val="16"/>
              </w:rPr>
              <w:t xml:space="preserve"> </w:t>
            </w:r>
            <w:r>
              <w:rPr>
                <w:w w:val="95"/>
                <w:sz w:val="16"/>
              </w:rPr>
              <w:t>to</w:t>
            </w:r>
            <w:r>
              <w:rPr>
                <w:spacing w:val="1"/>
                <w:sz w:val="16"/>
              </w:rPr>
              <w:t xml:space="preserve"> </w:t>
            </w:r>
            <w:r>
              <w:rPr>
                <w:w w:val="95"/>
                <w:sz w:val="16"/>
              </w:rPr>
              <w:t>enable</w:t>
            </w:r>
            <w:r>
              <w:rPr>
                <w:spacing w:val="1"/>
                <w:sz w:val="16"/>
              </w:rPr>
              <w:t xml:space="preserve"> </w:t>
            </w:r>
            <w:r>
              <w:rPr>
                <w:w w:val="95"/>
                <w:sz w:val="16"/>
              </w:rPr>
              <w:t>the</w:t>
            </w:r>
            <w:r>
              <w:rPr>
                <w:sz w:val="16"/>
              </w:rPr>
              <w:t xml:space="preserve"> </w:t>
            </w:r>
            <w:r>
              <w:rPr>
                <w:w w:val="95"/>
                <w:sz w:val="16"/>
              </w:rPr>
              <w:t>infrastructure</w:t>
            </w:r>
            <w:r>
              <w:rPr>
                <w:spacing w:val="1"/>
                <w:sz w:val="16"/>
              </w:rPr>
              <w:t xml:space="preserve"> </w:t>
            </w:r>
            <w:r>
              <w:rPr>
                <w:w w:val="95"/>
                <w:sz w:val="16"/>
              </w:rPr>
              <w:t>to</w:t>
            </w:r>
            <w:r>
              <w:rPr>
                <w:spacing w:val="1"/>
                <w:sz w:val="16"/>
              </w:rPr>
              <w:t xml:space="preserve"> </w:t>
            </w:r>
            <w:r>
              <w:rPr>
                <w:w w:val="95"/>
                <w:sz w:val="16"/>
              </w:rPr>
              <w:t>meet</w:t>
            </w:r>
            <w:r>
              <w:rPr>
                <w:spacing w:val="1"/>
                <w:sz w:val="16"/>
              </w:rPr>
              <w:t xml:space="preserve"> </w:t>
            </w:r>
            <w:r>
              <w:rPr>
                <w:w w:val="95"/>
                <w:sz w:val="16"/>
              </w:rPr>
              <w:t>its</w:t>
            </w:r>
            <w:r>
              <w:rPr>
                <w:spacing w:val="1"/>
                <w:sz w:val="16"/>
              </w:rPr>
              <w:t xml:space="preserve"> </w:t>
            </w:r>
            <w:r>
              <w:rPr>
                <w:w w:val="95"/>
                <w:sz w:val="16"/>
              </w:rPr>
              <w:t>current</w:t>
            </w:r>
            <w:r>
              <w:rPr>
                <w:sz w:val="16"/>
              </w:rPr>
              <w:t xml:space="preserve"> </w:t>
            </w:r>
            <w:r>
              <w:rPr>
                <w:w w:val="95"/>
                <w:sz w:val="16"/>
              </w:rPr>
              <w:t>and</w:t>
            </w:r>
            <w:r>
              <w:rPr>
                <w:spacing w:val="1"/>
                <w:sz w:val="16"/>
              </w:rPr>
              <w:t xml:space="preserve"> </w:t>
            </w:r>
            <w:r>
              <w:rPr>
                <w:w w:val="95"/>
                <w:sz w:val="16"/>
              </w:rPr>
              <w:t>future</w:t>
            </w:r>
            <w:r>
              <w:rPr>
                <w:spacing w:val="1"/>
                <w:sz w:val="16"/>
              </w:rPr>
              <w:t xml:space="preserve"> </w:t>
            </w:r>
            <w:r>
              <w:rPr>
                <w:spacing w:val="-2"/>
                <w:w w:val="95"/>
                <w:sz w:val="16"/>
              </w:rPr>
              <w:t>demand</w:t>
            </w:r>
          </w:p>
        </w:tc>
      </w:tr>
    </w:tbl>
    <w:p w:rsidR="002C1123" w:rsidRDefault="00F22F94">
      <w:pPr>
        <w:spacing w:before="148"/>
        <w:ind w:left="512"/>
        <w:rPr>
          <w:b/>
          <w:sz w:val="18"/>
        </w:rPr>
      </w:pPr>
      <w:r>
        <w:rPr>
          <w:b/>
          <w:sz w:val="18"/>
        </w:rPr>
        <w:t>Table</w:t>
      </w:r>
      <w:r>
        <w:rPr>
          <w:b/>
          <w:spacing w:val="-18"/>
          <w:sz w:val="18"/>
        </w:rPr>
        <w:t xml:space="preserve"> </w:t>
      </w:r>
      <w:r>
        <w:rPr>
          <w:b/>
          <w:sz w:val="18"/>
        </w:rPr>
        <w:t>2.3</w:t>
      </w:r>
      <w:r>
        <w:rPr>
          <w:b/>
          <w:spacing w:val="52"/>
          <w:sz w:val="18"/>
        </w:rPr>
        <w:t xml:space="preserve"> </w:t>
      </w:r>
      <w:r>
        <w:rPr>
          <w:b/>
          <w:sz w:val="18"/>
        </w:rPr>
        <w:t>Assessment</w:t>
      </w:r>
      <w:r>
        <w:rPr>
          <w:b/>
          <w:spacing w:val="-18"/>
          <w:sz w:val="18"/>
        </w:rPr>
        <w:t xml:space="preserve"> </w:t>
      </w:r>
      <w:r>
        <w:rPr>
          <w:b/>
          <w:sz w:val="18"/>
        </w:rPr>
        <w:t>of</w:t>
      </w:r>
      <w:r>
        <w:rPr>
          <w:b/>
          <w:spacing w:val="-18"/>
          <w:sz w:val="18"/>
        </w:rPr>
        <w:t xml:space="preserve"> </w:t>
      </w:r>
      <w:r>
        <w:rPr>
          <w:b/>
          <w:sz w:val="18"/>
        </w:rPr>
        <w:t>the</w:t>
      </w:r>
      <w:r>
        <w:rPr>
          <w:b/>
          <w:spacing w:val="-18"/>
          <w:sz w:val="18"/>
        </w:rPr>
        <w:t xml:space="preserve"> </w:t>
      </w:r>
      <w:r>
        <w:rPr>
          <w:b/>
          <w:sz w:val="18"/>
        </w:rPr>
        <w:t>Current</w:t>
      </w:r>
      <w:r>
        <w:rPr>
          <w:b/>
          <w:spacing w:val="-17"/>
          <w:sz w:val="18"/>
        </w:rPr>
        <w:t xml:space="preserve"> </w:t>
      </w:r>
      <w:r>
        <w:rPr>
          <w:b/>
          <w:sz w:val="18"/>
        </w:rPr>
        <w:t>State</w:t>
      </w:r>
      <w:r>
        <w:rPr>
          <w:b/>
          <w:spacing w:val="-18"/>
          <w:sz w:val="18"/>
        </w:rPr>
        <w:t xml:space="preserve"> </w:t>
      </w:r>
      <w:r>
        <w:rPr>
          <w:b/>
          <w:sz w:val="18"/>
        </w:rPr>
        <w:t>of</w:t>
      </w:r>
      <w:r>
        <w:rPr>
          <w:b/>
          <w:spacing w:val="-18"/>
          <w:sz w:val="18"/>
        </w:rPr>
        <w:t xml:space="preserve"> </w:t>
      </w:r>
      <w:r>
        <w:rPr>
          <w:b/>
          <w:spacing w:val="-2"/>
          <w:sz w:val="18"/>
        </w:rPr>
        <w:t>Infrastructure</w:t>
      </w:r>
    </w:p>
    <w:p w:rsidR="002C1123" w:rsidRDefault="00F22F94">
      <w:pPr>
        <w:tabs>
          <w:tab w:val="left" w:pos="2816"/>
          <w:tab w:val="left" w:pos="4091"/>
          <w:tab w:val="left" w:pos="5339"/>
          <w:tab w:val="left" w:pos="6473"/>
        </w:tabs>
        <w:spacing w:before="163" w:after="13"/>
        <w:ind w:left="615"/>
        <w:rPr>
          <w:b/>
          <w:sz w:val="16"/>
        </w:rPr>
      </w:pPr>
      <w:r>
        <w:rPr>
          <w:b/>
          <w:color w:val="2E3092"/>
          <w:spacing w:val="-2"/>
          <w:sz w:val="16"/>
        </w:rPr>
        <w:t>Sector</w:t>
      </w:r>
      <w:r>
        <w:rPr>
          <w:b/>
          <w:color w:val="2E3092"/>
          <w:sz w:val="16"/>
        </w:rPr>
        <w:tab/>
      </w:r>
      <w:r>
        <w:rPr>
          <w:b/>
          <w:color w:val="2E3092"/>
          <w:w w:val="95"/>
          <w:sz w:val="16"/>
        </w:rPr>
        <w:t>Asset</w:t>
      </w:r>
      <w:r>
        <w:rPr>
          <w:b/>
          <w:color w:val="2E3092"/>
          <w:spacing w:val="1"/>
          <w:sz w:val="16"/>
        </w:rPr>
        <w:t xml:space="preserve"> </w:t>
      </w:r>
      <w:r>
        <w:rPr>
          <w:b/>
          <w:color w:val="2E3092"/>
          <w:spacing w:val="-2"/>
          <w:sz w:val="16"/>
        </w:rPr>
        <w:t>Class</w:t>
      </w:r>
      <w:r>
        <w:rPr>
          <w:b/>
          <w:color w:val="2E3092"/>
          <w:sz w:val="16"/>
        </w:rPr>
        <w:tab/>
      </w:r>
      <w:r>
        <w:rPr>
          <w:b/>
          <w:color w:val="2E3092"/>
          <w:spacing w:val="-2"/>
          <w:sz w:val="16"/>
        </w:rPr>
        <w:t>Condition</w:t>
      </w:r>
      <w:r>
        <w:rPr>
          <w:b/>
          <w:color w:val="2E3092"/>
          <w:sz w:val="16"/>
        </w:rPr>
        <w:tab/>
      </w:r>
      <w:r>
        <w:rPr>
          <w:b/>
          <w:color w:val="2E3092"/>
          <w:spacing w:val="-2"/>
          <w:sz w:val="16"/>
        </w:rPr>
        <w:t>Capacity</w:t>
      </w:r>
      <w:r>
        <w:rPr>
          <w:b/>
          <w:color w:val="2E3092"/>
          <w:sz w:val="16"/>
        </w:rPr>
        <w:tab/>
      </w:r>
      <w:r>
        <w:rPr>
          <w:b/>
          <w:color w:val="2E3092"/>
          <w:spacing w:val="-2"/>
          <w:sz w:val="16"/>
        </w:rPr>
        <w:t>Issues</w:t>
      </w:r>
    </w:p>
    <w:tbl>
      <w:tblPr>
        <w:tblW w:w="0" w:type="auto"/>
        <w:tblInd w:w="49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201"/>
        <w:gridCol w:w="1276"/>
        <w:gridCol w:w="1248"/>
        <w:gridCol w:w="1135"/>
        <w:gridCol w:w="8959"/>
      </w:tblGrid>
      <w:tr w:rsidR="002C1123">
        <w:trPr>
          <w:trHeight w:val="1987"/>
        </w:trPr>
        <w:tc>
          <w:tcPr>
            <w:tcW w:w="2201" w:type="dxa"/>
            <w:vMerge w:val="restart"/>
            <w:tcBorders>
              <w:left w:val="nil"/>
            </w:tcBorders>
            <w:shd w:val="clear" w:color="auto" w:fill="E1E0E1"/>
          </w:tcPr>
          <w:p w:rsidR="002C1123" w:rsidRDefault="00F22F94">
            <w:pPr>
              <w:pStyle w:val="TableParagraph"/>
              <w:spacing w:before="63"/>
              <w:rPr>
                <w:sz w:val="18"/>
              </w:rPr>
            </w:pPr>
            <w:r>
              <w:rPr>
                <w:spacing w:val="-2"/>
                <w:w w:val="105"/>
                <w:sz w:val="18"/>
              </w:rPr>
              <w:t>Transport</w:t>
            </w:r>
          </w:p>
        </w:tc>
        <w:tc>
          <w:tcPr>
            <w:tcW w:w="1276" w:type="dxa"/>
            <w:shd w:val="clear" w:color="auto" w:fill="E1E0E1"/>
          </w:tcPr>
          <w:p w:rsidR="002C1123" w:rsidRDefault="00F22F94">
            <w:pPr>
              <w:pStyle w:val="TableParagraph"/>
              <w:spacing w:line="254" w:lineRule="auto"/>
              <w:ind w:right="186"/>
              <w:rPr>
                <w:sz w:val="16"/>
              </w:rPr>
            </w:pPr>
            <w:r>
              <w:rPr>
                <w:spacing w:val="-4"/>
                <w:sz w:val="16"/>
              </w:rPr>
              <w:t>Urban</w:t>
            </w:r>
            <w:r>
              <w:rPr>
                <w:spacing w:val="-8"/>
                <w:sz w:val="16"/>
              </w:rPr>
              <w:t xml:space="preserve"> </w:t>
            </w:r>
            <w:r>
              <w:rPr>
                <w:spacing w:val="-4"/>
                <w:sz w:val="16"/>
              </w:rPr>
              <w:t xml:space="preserve">Roads </w:t>
            </w:r>
            <w:r>
              <w:rPr>
                <w:sz w:val="16"/>
              </w:rPr>
              <w:t>(Section</w:t>
            </w:r>
            <w:r>
              <w:rPr>
                <w:spacing w:val="-4"/>
                <w:sz w:val="16"/>
              </w:rPr>
              <w:t xml:space="preserve"> </w:t>
            </w:r>
            <w:r>
              <w:rPr>
                <w:sz w:val="16"/>
              </w:rPr>
              <w:t>6)</w:t>
            </w:r>
          </w:p>
        </w:tc>
        <w:tc>
          <w:tcPr>
            <w:tcW w:w="1248" w:type="dxa"/>
            <w:shd w:val="clear" w:color="auto" w:fill="E1E0E1"/>
          </w:tcPr>
          <w:p w:rsidR="002C1123" w:rsidRDefault="002C1123">
            <w:pPr>
              <w:pStyle w:val="TableParagraph"/>
              <w:spacing w:before="0"/>
              <w:ind w:left="0"/>
              <w:rPr>
                <w:b/>
                <w:sz w:val="36"/>
              </w:rPr>
            </w:pPr>
          </w:p>
          <w:p w:rsidR="002C1123" w:rsidRDefault="002C1123">
            <w:pPr>
              <w:pStyle w:val="TableParagraph"/>
              <w:spacing w:before="11"/>
              <w:ind w:left="0"/>
              <w:rPr>
                <w:b/>
                <w:sz w:val="32"/>
              </w:rPr>
            </w:pPr>
          </w:p>
          <w:p w:rsidR="002C1123" w:rsidRDefault="00F22F94">
            <w:pPr>
              <w:pStyle w:val="TableParagraph"/>
              <w:spacing w:before="0"/>
              <w:ind w:left="29"/>
              <w:jc w:val="center"/>
              <w:rPr>
                <w:rFonts w:ascii="Trebuchet MS"/>
                <w:sz w:val="32"/>
              </w:rPr>
            </w:pPr>
            <w:r>
              <w:rPr>
                <w:rFonts w:ascii="Trebuchet MS"/>
                <w:color w:val="FFC20E"/>
                <w:w w:val="66"/>
                <w:sz w:val="32"/>
              </w:rPr>
              <w:t>B</w:t>
            </w:r>
          </w:p>
        </w:tc>
        <w:tc>
          <w:tcPr>
            <w:tcW w:w="1135" w:type="dxa"/>
            <w:shd w:val="clear" w:color="auto" w:fill="E1E0E1"/>
          </w:tcPr>
          <w:p w:rsidR="002C1123" w:rsidRDefault="002C1123">
            <w:pPr>
              <w:pStyle w:val="TableParagraph"/>
              <w:spacing w:before="0"/>
              <w:ind w:left="0"/>
              <w:rPr>
                <w:b/>
                <w:sz w:val="36"/>
              </w:rPr>
            </w:pPr>
          </w:p>
          <w:p w:rsidR="002C1123" w:rsidRDefault="002C1123">
            <w:pPr>
              <w:pStyle w:val="TableParagraph"/>
              <w:spacing w:before="11"/>
              <w:ind w:left="0"/>
              <w:rPr>
                <w:b/>
                <w:sz w:val="32"/>
              </w:rPr>
            </w:pPr>
          </w:p>
          <w:p w:rsidR="002C1123" w:rsidRDefault="00F22F94">
            <w:pPr>
              <w:pStyle w:val="TableParagraph"/>
              <w:spacing w:before="0"/>
              <w:ind w:left="511"/>
              <w:rPr>
                <w:rFonts w:ascii="Trebuchet MS"/>
                <w:sz w:val="32"/>
              </w:rPr>
            </w:pPr>
            <w:r>
              <w:rPr>
                <w:rFonts w:ascii="Trebuchet MS"/>
                <w:color w:val="E11B22"/>
                <w:w w:val="61"/>
                <w:sz w:val="32"/>
              </w:rPr>
              <w:t>D</w:t>
            </w:r>
          </w:p>
        </w:tc>
        <w:tc>
          <w:tcPr>
            <w:tcW w:w="8959" w:type="dxa"/>
            <w:shd w:val="clear" w:color="auto" w:fill="E1E0E1"/>
          </w:tcPr>
          <w:p w:rsidR="002C1123" w:rsidRDefault="00F22F94">
            <w:pPr>
              <w:pStyle w:val="TableParagraph"/>
              <w:numPr>
                <w:ilvl w:val="0"/>
                <w:numId w:val="141"/>
              </w:numPr>
              <w:tabs>
                <w:tab w:val="left" w:pos="253"/>
              </w:tabs>
              <w:spacing w:before="70" w:line="235" w:lineRule="auto"/>
              <w:ind w:right="642"/>
              <w:rPr>
                <w:sz w:val="16"/>
              </w:rPr>
            </w:pPr>
            <w:r>
              <w:rPr>
                <w:w w:val="95"/>
                <w:sz w:val="16"/>
              </w:rPr>
              <w:t xml:space="preserve">Overall physical condition of State roads in urban areas recently improved 92 percent of all state roads are performing </w:t>
            </w:r>
            <w:r>
              <w:rPr>
                <w:sz w:val="16"/>
              </w:rPr>
              <w:t>adequately</w:t>
            </w:r>
            <w:r>
              <w:rPr>
                <w:spacing w:val="-8"/>
                <w:sz w:val="16"/>
              </w:rPr>
              <w:t xml:space="preserve"> </w:t>
            </w:r>
            <w:r>
              <w:rPr>
                <w:sz w:val="16"/>
              </w:rPr>
              <w:t>in</w:t>
            </w:r>
            <w:r>
              <w:rPr>
                <w:spacing w:val="-8"/>
                <w:sz w:val="16"/>
              </w:rPr>
              <w:t xml:space="preserve"> </w:t>
            </w:r>
            <w:r>
              <w:rPr>
                <w:sz w:val="16"/>
              </w:rPr>
              <w:t>terms</w:t>
            </w:r>
            <w:r>
              <w:rPr>
                <w:spacing w:val="-8"/>
                <w:sz w:val="16"/>
              </w:rPr>
              <w:t xml:space="preserve"> </w:t>
            </w:r>
            <w:r>
              <w:rPr>
                <w:sz w:val="16"/>
              </w:rPr>
              <w:t>of</w:t>
            </w:r>
            <w:r>
              <w:rPr>
                <w:spacing w:val="-8"/>
                <w:sz w:val="16"/>
              </w:rPr>
              <w:t xml:space="preserve"> </w:t>
            </w:r>
            <w:r>
              <w:rPr>
                <w:sz w:val="16"/>
              </w:rPr>
              <w:t>ride</w:t>
            </w:r>
            <w:r>
              <w:rPr>
                <w:spacing w:val="-8"/>
                <w:sz w:val="16"/>
              </w:rPr>
              <w:t xml:space="preserve"> </w:t>
            </w:r>
            <w:r>
              <w:rPr>
                <w:sz w:val="16"/>
              </w:rPr>
              <w:t>quality</w:t>
            </w:r>
            <w:r>
              <w:rPr>
                <w:spacing w:val="-8"/>
                <w:sz w:val="16"/>
              </w:rPr>
              <w:t xml:space="preserve"> </w:t>
            </w:r>
            <w:r>
              <w:rPr>
                <w:sz w:val="16"/>
              </w:rPr>
              <w:t>and</w:t>
            </w:r>
            <w:r>
              <w:rPr>
                <w:spacing w:val="-8"/>
                <w:sz w:val="16"/>
              </w:rPr>
              <w:t xml:space="preserve"> </w:t>
            </w:r>
            <w:r>
              <w:rPr>
                <w:sz w:val="16"/>
              </w:rPr>
              <w:t>98</w:t>
            </w:r>
            <w:r>
              <w:rPr>
                <w:spacing w:val="-8"/>
                <w:sz w:val="16"/>
              </w:rPr>
              <w:t xml:space="preserve"> </w:t>
            </w:r>
            <w:r>
              <w:rPr>
                <w:sz w:val="16"/>
              </w:rPr>
              <w:t>percent</w:t>
            </w:r>
            <w:r>
              <w:rPr>
                <w:spacing w:val="-8"/>
                <w:sz w:val="16"/>
              </w:rPr>
              <w:t xml:space="preserve"> </w:t>
            </w:r>
            <w:r>
              <w:rPr>
                <w:sz w:val="16"/>
              </w:rPr>
              <w:t>performing</w:t>
            </w:r>
            <w:r>
              <w:rPr>
                <w:spacing w:val="-8"/>
                <w:sz w:val="16"/>
              </w:rPr>
              <w:t xml:space="preserve"> </w:t>
            </w:r>
            <w:r>
              <w:rPr>
                <w:sz w:val="16"/>
              </w:rPr>
              <w:t>in</w:t>
            </w:r>
            <w:r>
              <w:rPr>
                <w:spacing w:val="-8"/>
                <w:sz w:val="16"/>
              </w:rPr>
              <w:t xml:space="preserve"> </w:t>
            </w:r>
            <w:r>
              <w:rPr>
                <w:sz w:val="16"/>
              </w:rPr>
              <w:t>terms</w:t>
            </w:r>
            <w:r>
              <w:rPr>
                <w:spacing w:val="-8"/>
                <w:sz w:val="16"/>
              </w:rPr>
              <w:t xml:space="preserve"> </w:t>
            </w:r>
            <w:r>
              <w:rPr>
                <w:sz w:val="16"/>
              </w:rPr>
              <w:t>of</w:t>
            </w:r>
            <w:r>
              <w:rPr>
                <w:spacing w:val="-8"/>
                <w:sz w:val="16"/>
              </w:rPr>
              <w:t xml:space="preserve"> </w:t>
            </w:r>
            <w:r>
              <w:rPr>
                <w:sz w:val="16"/>
              </w:rPr>
              <w:t>pavement</w:t>
            </w:r>
            <w:r>
              <w:rPr>
                <w:spacing w:val="-8"/>
                <w:sz w:val="16"/>
              </w:rPr>
              <w:t xml:space="preserve"> </w:t>
            </w:r>
            <w:r>
              <w:rPr>
                <w:sz w:val="16"/>
              </w:rPr>
              <w:t>durability.</w:t>
            </w:r>
          </w:p>
          <w:p w:rsidR="002C1123" w:rsidRDefault="00F22F94">
            <w:pPr>
              <w:pStyle w:val="TableParagraph"/>
              <w:numPr>
                <w:ilvl w:val="0"/>
                <w:numId w:val="141"/>
              </w:numPr>
              <w:tabs>
                <w:tab w:val="left" w:pos="253"/>
              </w:tabs>
              <w:spacing w:before="56" w:line="235" w:lineRule="auto"/>
              <w:ind w:right="244"/>
              <w:rPr>
                <w:sz w:val="16"/>
              </w:rPr>
            </w:pPr>
            <w:r>
              <w:rPr>
                <w:w w:val="95"/>
                <w:sz w:val="16"/>
              </w:rPr>
              <w:t xml:space="preserve">Although the overall physical condition of roads is good, about 35 percent of road pavements are greater than 35 years old. </w:t>
            </w:r>
            <w:r>
              <w:rPr>
                <w:sz w:val="16"/>
              </w:rPr>
              <w:t>Ensuring</w:t>
            </w:r>
            <w:r>
              <w:rPr>
                <w:spacing w:val="-6"/>
                <w:sz w:val="16"/>
              </w:rPr>
              <w:t xml:space="preserve"> </w:t>
            </w:r>
            <w:r>
              <w:rPr>
                <w:sz w:val="16"/>
              </w:rPr>
              <w:t>effective</w:t>
            </w:r>
            <w:r>
              <w:rPr>
                <w:spacing w:val="-6"/>
                <w:sz w:val="16"/>
              </w:rPr>
              <w:t xml:space="preserve"> </w:t>
            </w:r>
            <w:r>
              <w:rPr>
                <w:sz w:val="16"/>
              </w:rPr>
              <w:t>ongoing</w:t>
            </w:r>
            <w:r>
              <w:rPr>
                <w:spacing w:val="-6"/>
                <w:sz w:val="16"/>
              </w:rPr>
              <w:t xml:space="preserve"> </w:t>
            </w:r>
            <w:r>
              <w:rPr>
                <w:sz w:val="16"/>
              </w:rPr>
              <w:t>maintenance</w:t>
            </w:r>
            <w:r>
              <w:rPr>
                <w:spacing w:val="-6"/>
                <w:sz w:val="16"/>
              </w:rPr>
              <w:t xml:space="preserve"> </w:t>
            </w:r>
            <w:r>
              <w:rPr>
                <w:sz w:val="16"/>
              </w:rPr>
              <w:t>will</w:t>
            </w:r>
            <w:r>
              <w:rPr>
                <w:spacing w:val="-6"/>
                <w:sz w:val="16"/>
              </w:rPr>
              <w:t xml:space="preserve"> </w:t>
            </w:r>
            <w:r>
              <w:rPr>
                <w:sz w:val="16"/>
              </w:rPr>
              <w:t>be</w:t>
            </w:r>
            <w:r>
              <w:rPr>
                <w:spacing w:val="-6"/>
                <w:sz w:val="16"/>
              </w:rPr>
              <w:t xml:space="preserve"> </w:t>
            </w:r>
            <w:r>
              <w:rPr>
                <w:sz w:val="16"/>
              </w:rPr>
              <w:t>an</w:t>
            </w:r>
            <w:r>
              <w:rPr>
                <w:spacing w:val="-6"/>
                <w:sz w:val="16"/>
              </w:rPr>
              <w:t xml:space="preserve"> </w:t>
            </w:r>
            <w:r>
              <w:rPr>
                <w:sz w:val="16"/>
              </w:rPr>
              <w:t>important</w:t>
            </w:r>
            <w:r>
              <w:rPr>
                <w:spacing w:val="-6"/>
                <w:sz w:val="16"/>
              </w:rPr>
              <w:t xml:space="preserve"> </w:t>
            </w:r>
            <w:r>
              <w:rPr>
                <w:sz w:val="16"/>
              </w:rPr>
              <w:t>issue.</w:t>
            </w:r>
          </w:p>
          <w:p w:rsidR="002C1123" w:rsidRDefault="00F22F94">
            <w:pPr>
              <w:pStyle w:val="TableParagraph"/>
              <w:numPr>
                <w:ilvl w:val="0"/>
                <w:numId w:val="141"/>
              </w:numPr>
              <w:tabs>
                <w:tab w:val="left" w:pos="253"/>
              </w:tabs>
              <w:spacing w:before="56" w:line="235" w:lineRule="auto"/>
              <w:ind w:right="337"/>
              <w:rPr>
                <w:sz w:val="16"/>
              </w:rPr>
            </w:pPr>
            <w:r>
              <w:rPr>
                <w:w w:val="95"/>
                <w:sz w:val="16"/>
              </w:rPr>
              <w:t xml:space="preserve">Capacity of urban roads is deteriorating with rising congestion where average speeds are approximately 30 kilometres per </w:t>
            </w:r>
            <w:r>
              <w:rPr>
                <w:sz w:val="16"/>
              </w:rPr>
              <w:t>hour</w:t>
            </w:r>
            <w:r>
              <w:rPr>
                <w:spacing w:val="-3"/>
                <w:sz w:val="16"/>
              </w:rPr>
              <w:t xml:space="preserve"> </w:t>
            </w:r>
            <w:r>
              <w:rPr>
                <w:sz w:val="16"/>
              </w:rPr>
              <w:t>(kph)</w:t>
            </w:r>
            <w:r>
              <w:rPr>
                <w:spacing w:val="-3"/>
                <w:sz w:val="16"/>
              </w:rPr>
              <w:t xml:space="preserve"> </w:t>
            </w:r>
            <w:r>
              <w:rPr>
                <w:sz w:val="16"/>
              </w:rPr>
              <w:t>in</w:t>
            </w:r>
            <w:r>
              <w:rPr>
                <w:spacing w:val="-3"/>
                <w:sz w:val="16"/>
              </w:rPr>
              <w:t xml:space="preserve"> </w:t>
            </w:r>
            <w:r>
              <w:rPr>
                <w:sz w:val="16"/>
              </w:rPr>
              <w:t>the</w:t>
            </w:r>
            <w:r>
              <w:rPr>
                <w:spacing w:val="-3"/>
                <w:sz w:val="16"/>
              </w:rPr>
              <w:t xml:space="preserve"> </w:t>
            </w:r>
            <w:r>
              <w:rPr>
                <w:sz w:val="16"/>
              </w:rPr>
              <w:t>morning</w:t>
            </w:r>
            <w:r>
              <w:rPr>
                <w:spacing w:val="-3"/>
                <w:sz w:val="16"/>
              </w:rPr>
              <w:t xml:space="preserve"> </w:t>
            </w:r>
            <w:r>
              <w:rPr>
                <w:sz w:val="16"/>
              </w:rPr>
              <w:t>peak</w:t>
            </w:r>
            <w:r>
              <w:rPr>
                <w:spacing w:val="-3"/>
                <w:sz w:val="16"/>
              </w:rPr>
              <w:t xml:space="preserve"> </w:t>
            </w:r>
            <w:r>
              <w:rPr>
                <w:sz w:val="16"/>
              </w:rPr>
              <w:t>and</w:t>
            </w:r>
            <w:r>
              <w:rPr>
                <w:spacing w:val="-3"/>
                <w:sz w:val="16"/>
              </w:rPr>
              <w:t xml:space="preserve"> </w:t>
            </w:r>
            <w:r>
              <w:rPr>
                <w:sz w:val="16"/>
              </w:rPr>
              <w:t>42</w:t>
            </w:r>
            <w:r>
              <w:rPr>
                <w:spacing w:val="-3"/>
                <w:sz w:val="16"/>
              </w:rPr>
              <w:t xml:space="preserve"> </w:t>
            </w:r>
            <w:r>
              <w:rPr>
                <w:sz w:val="16"/>
              </w:rPr>
              <w:t>kph</w:t>
            </w:r>
            <w:r>
              <w:rPr>
                <w:spacing w:val="-3"/>
                <w:sz w:val="16"/>
              </w:rPr>
              <w:t xml:space="preserve"> </w:t>
            </w:r>
            <w:r>
              <w:rPr>
                <w:sz w:val="16"/>
              </w:rPr>
              <w:t>in</w:t>
            </w:r>
            <w:r>
              <w:rPr>
                <w:spacing w:val="-3"/>
                <w:sz w:val="16"/>
              </w:rPr>
              <w:t xml:space="preserve"> </w:t>
            </w:r>
            <w:r>
              <w:rPr>
                <w:sz w:val="16"/>
              </w:rPr>
              <w:t>the</w:t>
            </w:r>
            <w:r>
              <w:rPr>
                <w:spacing w:val="-3"/>
                <w:sz w:val="16"/>
              </w:rPr>
              <w:t xml:space="preserve"> </w:t>
            </w:r>
            <w:r>
              <w:rPr>
                <w:sz w:val="16"/>
              </w:rPr>
              <w:t>afternoon</w:t>
            </w:r>
            <w:r>
              <w:rPr>
                <w:spacing w:val="-3"/>
                <w:sz w:val="16"/>
              </w:rPr>
              <w:t xml:space="preserve"> </w:t>
            </w:r>
            <w:r>
              <w:rPr>
                <w:sz w:val="16"/>
              </w:rPr>
              <w:t>peak.</w:t>
            </w:r>
          </w:p>
          <w:p w:rsidR="002C1123" w:rsidRDefault="00F22F94">
            <w:pPr>
              <w:pStyle w:val="TableParagraph"/>
              <w:numPr>
                <w:ilvl w:val="0"/>
                <w:numId w:val="141"/>
              </w:numPr>
              <w:tabs>
                <w:tab w:val="left" w:pos="253"/>
              </w:tabs>
              <w:spacing w:before="56" w:line="235" w:lineRule="auto"/>
              <w:ind w:right="169"/>
              <w:jc w:val="both"/>
              <w:rPr>
                <w:sz w:val="16"/>
              </w:rPr>
            </w:pPr>
            <w:r>
              <w:rPr>
                <w:w w:val="95"/>
                <w:sz w:val="16"/>
              </w:rPr>
              <w:t>Congestion along Sydney motorways varies from 2.9 hours on the F3 Motorway at the Wahroonga to Somersby Interchange</w:t>
            </w:r>
            <w:r>
              <w:rPr>
                <w:spacing w:val="40"/>
                <w:sz w:val="16"/>
              </w:rPr>
              <w:t xml:space="preserve"> </w:t>
            </w:r>
            <w:r>
              <w:rPr>
                <w:w w:val="95"/>
                <w:sz w:val="16"/>
              </w:rPr>
              <w:t xml:space="preserve">to up to 13 hours a day on the Eastern Distributor. Average AM peak travelling speeds for the M4 and the M5 range between </w:t>
            </w:r>
            <w:r>
              <w:rPr>
                <w:sz w:val="16"/>
              </w:rPr>
              <w:t>17 kph and 35 kph and 17 kph and 24 kph, respectively.</w:t>
            </w:r>
          </w:p>
        </w:tc>
      </w:tr>
      <w:tr w:rsidR="002C1123">
        <w:trPr>
          <w:trHeight w:val="571"/>
        </w:trPr>
        <w:tc>
          <w:tcPr>
            <w:tcW w:w="2201" w:type="dxa"/>
            <w:vMerge/>
            <w:tcBorders>
              <w:top w:val="nil"/>
              <w:left w:val="nil"/>
            </w:tcBorders>
            <w:shd w:val="clear" w:color="auto" w:fill="E1E0E1"/>
          </w:tcPr>
          <w:p w:rsidR="002C1123" w:rsidRDefault="002C1123">
            <w:pPr>
              <w:rPr>
                <w:sz w:val="2"/>
                <w:szCs w:val="2"/>
              </w:rPr>
            </w:pPr>
          </w:p>
        </w:tc>
        <w:tc>
          <w:tcPr>
            <w:tcW w:w="1276" w:type="dxa"/>
            <w:shd w:val="clear" w:color="auto" w:fill="E1E0E1"/>
          </w:tcPr>
          <w:p w:rsidR="002C1123" w:rsidRDefault="00F22F94">
            <w:pPr>
              <w:pStyle w:val="TableParagraph"/>
              <w:spacing w:line="254" w:lineRule="auto"/>
              <w:ind w:right="186"/>
              <w:rPr>
                <w:sz w:val="16"/>
              </w:rPr>
            </w:pPr>
            <w:r>
              <w:rPr>
                <w:spacing w:val="-2"/>
                <w:sz w:val="16"/>
              </w:rPr>
              <w:t xml:space="preserve">Buses </w:t>
            </w:r>
            <w:r>
              <w:rPr>
                <w:spacing w:val="-2"/>
                <w:w w:val="95"/>
                <w:sz w:val="16"/>
              </w:rPr>
              <w:t>(Section</w:t>
            </w:r>
            <w:r>
              <w:rPr>
                <w:spacing w:val="-7"/>
                <w:w w:val="95"/>
                <w:sz w:val="16"/>
              </w:rPr>
              <w:t xml:space="preserve"> </w:t>
            </w:r>
            <w:r>
              <w:rPr>
                <w:spacing w:val="-2"/>
                <w:w w:val="95"/>
                <w:sz w:val="16"/>
              </w:rPr>
              <w:t>7)</w:t>
            </w:r>
          </w:p>
        </w:tc>
        <w:tc>
          <w:tcPr>
            <w:tcW w:w="1248" w:type="dxa"/>
            <w:shd w:val="clear" w:color="auto" w:fill="E1E0E1"/>
          </w:tcPr>
          <w:p w:rsidR="002C1123" w:rsidRDefault="00F22F94">
            <w:pPr>
              <w:pStyle w:val="TableParagraph"/>
              <w:spacing w:before="85"/>
              <w:ind w:left="29"/>
              <w:jc w:val="center"/>
              <w:rPr>
                <w:rFonts w:ascii="Trebuchet MS"/>
                <w:sz w:val="32"/>
              </w:rPr>
            </w:pPr>
            <w:r>
              <w:rPr>
                <w:rFonts w:ascii="Trebuchet MS"/>
                <w:color w:val="FFC20E"/>
                <w:w w:val="66"/>
                <w:sz w:val="32"/>
              </w:rPr>
              <w:t>B</w:t>
            </w:r>
          </w:p>
        </w:tc>
        <w:tc>
          <w:tcPr>
            <w:tcW w:w="1135" w:type="dxa"/>
            <w:shd w:val="clear" w:color="auto" w:fill="E1E0E1"/>
          </w:tcPr>
          <w:p w:rsidR="002C1123" w:rsidRDefault="00F22F94">
            <w:pPr>
              <w:pStyle w:val="TableParagraph"/>
              <w:spacing w:before="85"/>
              <w:ind w:left="517"/>
              <w:rPr>
                <w:rFonts w:ascii="Trebuchet MS"/>
                <w:sz w:val="32"/>
              </w:rPr>
            </w:pPr>
            <w:r>
              <w:rPr>
                <w:rFonts w:ascii="Trebuchet MS"/>
                <w:color w:val="F47920"/>
                <w:w w:val="56"/>
                <w:sz w:val="32"/>
              </w:rPr>
              <w:t>C</w:t>
            </w:r>
          </w:p>
        </w:tc>
        <w:tc>
          <w:tcPr>
            <w:tcW w:w="8959" w:type="dxa"/>
            <w:shd w:val="clear" w:color="auto" w:fill="E1E0E1"/>
          </w:tcPr>
          <w:p w:rsidR="002C1123" w:rsidRDefault="00F22F94">
            <w:pPr>
              <w:pStyle w:val="TableParagraph"/>
              <w:ind w:left="111"/>
              <w:rPr>
                <w:sz w:val="16"/>
              </w:rPr>
            </w:pPr>
            <w:r>
              <w:rPr>
                <w:w w:val="95"/>
                <w:sz w:val="16"/>
              </w:rPr>
              <w:t>–</w:t>
            </w:r>
            <w:r>
              <w:rPr>
                <w:spacing w:val="19"/>
                <w:sz w:val="16"/>
              </w:rPr>
              <w:t xml:space="preserve"> </w:t>
            </w:r>
            <w:r>
              <w:rPr>
                <w:w w:val="95"/>
                <w:sz w:val="16"/>
              </w:rPr>
              <w:t>Bus</w:t>
            </w:r>
            <w:r>
              <w:rPr>
                <w:spacing w:val="-2"/>
                <w:sz w:val="16"/>
              </w:rPr>
              <w:t xml:space="preserve"> </w:t>
            </w:r>
            <w:r>
              <w:rPr>
                <w:w w:val="95"/>
                <w:sz w:val="16"/>
              </w:rPr>
              <w:t>services</w:t>
            </w:r>
            <w:r>
              <w:rPr>
                <w:spacing w:val="-2"/>
                <w:sz w:val="16"/>
              </w:rPr>
              <w:t xml:space="preserve"> </w:t>
            </w:r>
            <w:r>
              <w:rPr>
                <w:w w:val="95"/>
                <w:sz w:val="16"/>
              </w:rPr>
              <w:t>into</w:t>
            </w:r>
            <w:r>
              <w:rPr>
                <w:spacing w:val="-2"/>
                <w:sz w:val="16"/>
              </w:rPr>
              <w:t xml:space="preserve"> </w:t>
            </w:r>
            <w:r>
              <w:rPr>
                <w:w w:val="95"/>
                <w:sz w:val="16"/>
              </w:rPr>
              <w:t>the</w:t>
            </w:r>
            <w:r>
              <w:rPr>
                <w:spacing w:val="-2"/>
                <w:sz w:val="16"/>
              </w:rPr>
              <w:t xml:space="preserve"> </w:t>
            </w:r>
            <w:r>
              <w:rPr>
                <w:w w:val="95"/>
                <w:sz w:val="16"/>
              </w:rPr>
              <w:t>CBD</w:t>
            </w:r>
            <w:r>
              <w:rPr>
                <w:spacing w:val="-2"/>
                <w:sz w:val="16"/>
              </w:rPr>
              <w:t xml:space="preserve"> </w:t>
            </w:r>
            <w:r>
              <w:rPr>
                <w:w w:val="95"/>
                <w:sz w:val="16"/>
              </w:rPr>
              <w:t>are</w:t>
            </w:r>
            <w:r>
              <w:rPr>
                <w:spacing w:val="-2"/>
                <w:sz w:val="16"/>
              </w:rPr>
              <w:t xml:space="preserve"> </w:t>
            </w:r>
            <w:r>
              <w:rPr>
                <w:w w:val="95"/>
                <w:sz w:val="16"/>
              </w:rPr>
              <w:t>constrained</w:t>
            </w:r>
            <w:r>
              <w:rPr>
                <w:spacing w:val="-2"/>
                <w:sz w:val="16"/>
              </w:rPr>
              <w:t xml:space="preserve"> </w:t>
            </w:r>
            <w:r>
              <w:rPr>
                <w:w w:val="95"/>
                <w:sz w:val="16"/>
              </w:rPr>
              <w:t>by</w:t>
            </w:r>
            <w:r>
              <w:rPr>
                <w:spacing w:val="-2"/>
                <w:sz w:val="16"/>
              </w:rPr>
              <w:t xml:space="preserve"> </w:t>
            </w:r>
            <w:r>
              <w:rPr>
                <w:w w:val="95"/>
                <w:sz w:val="16"/>
              </w:rPr>
              <w:t>available</w:t>
            </w:r>
            <w:r>
              <w:rPr>
                <w:spacing w:val="-2"/>
                <w:sz w:val="16"/>
              </w:rPr>
              <w:t xml:space="preserve"> </w:t>
            </w:r>
            <w:r>
              <w:rPr>
                <w:w w:val="95"/>
                <w:sz w:val="16"/>
              </w:rPr>
              <w:t>road</w:t>
            </w:r>
            <w:r>
              <w:rPr>
                <w:spacing w:val="-2"/>
                <w:sz w:val="16"/>
              </w:rPr>
              <w:t xml:space="preserve"> </w:t>
            </w:r>
            <w:r>
              <w:rPr>
                <w:spacing w:val="-2"/>
                <w:w w:val="95"/>
                <w:sz w:val="16"/>
              </w:rPr>
              <w:t>space.</w:t>
            </w:r>
          </w:p>
        </w:tc>
      </w:tr>
      <w:tr w:rsidR="002C1123">
        <w:trPr>
          <w:trHeight w:val="851"/>
        </w:trPr>
        <w:tc>
          <w:tcPr>
            <w:tcW w:w="2201" w:type="dxa"/>
            <w:vMerge/>
            <w:tcBorders>
              <w:top w:val="nil"/>
              <w:left w:val="nil"/>
            </w:tcBorders>
            <w:shd w:val="clear" w:color="auto" w:fill="E1E0E1"/>
          </w:tcPr>
          <w:p w:rsidR="002C1123" w:rsidRDefault="002C1123">
            <w:pPr>
              <w:rPr>
                <w:sz w:val="2"/>
                <w:szCs w:val="2"/>
              </w:rPr>
            </w:pPr>
          </w:p>
        </w:tc>
        <w:tc>
          <w:tcPr>
            <w:tcW w:w="1276" w:type="dxa"/>
            <w:shd w:val="clear" w:color="auto" w:fill="E1E0E1"/>
          </w:tcPr>
          <w:p w:rsidR="002C1123" w:rsidRDefault="00F22F94">
            <w:pPr>
              <w:pStyle w:val="TableParagraph"/>
              <w:spacing w:line="254" w:lineRule="auto"/>
              <w:ind w:right="361"/>
              <w:rPr>
                <w:sz w:val="16"/>
              </w:rPr>
            </w:pPr>
            <w:r>
              <w:rPr>
                <w:spacing w:val="-4"/>
                <w:sz w:val="16"/>
              </w:rPr>
              <w:t xml:space="preserve">Rail </w:t>
            </w:r>
            <w:r>
              <w:rPr>
                <w:spacing w:val="-2"/>
                <w:w w:val="95"/>
                <w:sz w:val="16"/>
              </w:rPr>
              <w:t>(Section</w:t>
            </w:r>
            <w:r>
              <w:rPr>
                <w:spacing w:val="-7"/>
                <w:w w:val="95"/>
                <w:sz w:val="16"/>
              </w:rPr>
              <w:t xml:space="preserve"> </w:t>
            </w:r>
            <w:r>
              <w:rPr>
                <w:spacing w:val="-2"/>
                <w:w w:val="95"/>
                <w:sz w:val="16"/>
              </w:rPr>
              <w:t>8)</w:t>
            </w:r>
          </w:p>
        </w:tc>
        <w:tc>
          <w:tcPr>
            <w:tcW w:w="1248" w:type="dxa"/>
            <w:shd w:val="clear" w:color="auto" w:fill="E1E0E1"/>
          </w:tcPr>
          <w:p w:rsidR="002C1123" w:rsidRDefault="00F22F94">
            <w:pPr>
              <w:pStyle w:val="TableParagraph"/>
              <w:spacing w:before="224"/>
              <w:ind w:left="29"/>
              <w:jc w:val="center"/>
              <w:rPr>
                <w:rFonts w:ascii="Trebuchet MS"/>
                <w:sz w:val="32"/>
              </w:rPr>
            </w:pPr>
            <w:r>
              <w:rPr>
                <w:rFonts w:ascii="Trebuchet MS"/>
                <w:color w:val="00AB4E"/>
                <w:w w:val="56"/>
                <w:sz w:val="32"/>
              </w:rPr>
              <w:t>A</w:t>
            </w:r>
          </w:p>
        </w:tc>
        <w:tc>
          <w:tcPr>
            <w:tcW w:w="1135" w:type="dxa"/>
            <w:shd w:val="clear" w:color="auto" w:fill="E1E0E1"/>
          </w:tcPr>
          <w:p w:rsidR="002C1123" w:rsidRDefault="00F22F94">
            <w:pPr>
              <w:pStyle w:val="TableParagraph"/>
              <w:spacing w:before="224"/>
              <w:ind w:left="517"/>
              <w:rPr>
                <w:rFonts w:ascii="Trebuchet MS"/>
                <w:sz w:val="32"/>
              </w:rPr>
            </w:pPr>
            <w:r>
              <w:rPr>
                <w:rFonts w:ascii="Trebuchet MS"/>
                <w:color w:val="F47920"/>
                <w:w w:val="56"/>
                <w:sz w:val="32"/>
              </w:rPr>
              <w:t>C</w:t>
            </w:r>
          </w:p>
        </w:tc>
        <w:tc>
          <w:tcPr>
            <w:tcW w:w="8959" w:type="dxa"/>
            <w:shd w:val="clear" w:color="auto" w:fill="E1E0E1"/>
          </w:tcPr>
          <w:p w:rsidR="002C1123" w:rsidRDefault="00F22F94">
            <w:pPr>
              <w:pStyle w:val="TableParagraph"/>
              <w:numPr>
                <w:ilvl w:val="0"/>
                <w:numId w:val="140"/>
              </w:numPr>
              <w:tabs>
                <w:tab w:val="left" w:pos="253"/>
              </w:tabs>
              <w:rPr>
                <w:sz w:val="16"/>
              </w:rPr>
            </w:pPr>
            <w:r>
              <w:rPr>
                <w:w w:val="90"/>
                <w:sz w:val="16"/>
              </w:rPr>
              <w:t>The</w:t>
            </w:r>
            <w:r>
              <w:rPr>
                <w:spacing w:val="-1"/>
                <w:w w:val="90"/>
                <w:sz w:val="16"/>
              </w:rPr>
              <w:t xml:space="preserve"> </w:t>
            </w:r>
            <w:r>
              <w:rPr>
                <w:w w:val="90"/>
                <w:sz w:val="16"/>
              </w:rPr>
              <w:t>Track</w:t>
            </w:r>
            <w:r>
              <w:rPr>
                <w:spacing w:val="-4"/>
                <w:sz w:val="16"/>
              </w:rPr>
              <w:t xml:space="preserve"> </w:t>
            </w:r>
            <w:r>
              <w:rPr>
                <w:w w:val="90"/>
                <w:sz w:val="16"/>
              </w:rPr>
              <w:t>Condition</w:t>
            </w:r>
            <w:r>
              <w:rPr>
                <w:spacing w:val="-4"/>
                <w:sz w:val="16"/>
              </w:rPr>
              <w:t xml:space="preserve"> </w:t>
            </w:r>
            <w:r>
              <w:rPr>
                <w:w w:val="90"/>
                <w:sz w:val="16"/>
              </w:rPr>
              <w:t>Index</w:t>
            </w:r>
            <w:r>
              <w:rPr>
                <w:spacing w:val="-5"/>
                <w:sz w:val="16"/>
              </w:rPr>
              <w:t xml:space="preserve"> </w:t>
            </w:r>
            <w:r>
              <w:rPr>
                <w:w w:val="90"/>
                <w:sz w:val="16"/>
              </w:rPr>
              <w:t>(TCI)</w:t>
            </w:r>
            <w:r>
              <w:rPr>
                <w:spacing w:val="-4"/>
                <w:sz w:val="16"/>
              </w:rPr>
              <w:t xml:space="preserve"> </w:t>
            </w:r>
            <w:r>
              <w:rPr>
                <w:w w:val="90"/>
                <w:sz w:val="16"/>
              </w:rPr>
              <w:t>for</w:t>
            </w:r>
            <w:r>
              <w:rPr>
                <w:spacing w:val="-5"/>
                <w:sz w:val="16"/>
              </w:rPr>
              <w:t xml:space="preserve"> </w:t>
            </w:r>
            <w:r>
              <w:rPr>
                <w:w w:val="90"/>
                <w:sz w:val="16"/>
              </w:rPr>
              <w:t>RailCorp</w:t>
            </w:r>
            <w:r>
              <w:rPr>
                <w:spacing w:val="-4"/>
                <w:sz w:val="16"/>
              </w:rPr>
              <w:t xml:space="preserve"> </w:t>
            </w:r>
            <w:r>
              <w:rPr>
                <w:w w:val="90"/>
                <w:sz w:val="16"/>
              </w:rPr>
              <w:t>has</w:t>
            </w:r>
            <w:r>
              <w:rPr>
                <w:spacing w:val="-5"/>
                <w:sz w:val="16"/>
              </w:rPr>
              <w:t xml:space="preserve"> </w:t>
            </w:r>
            <w:r>
              <w:rPr>
                <w:w w:val="90"/>
                <w:sz w:val="16"/>
              </w:rPr>
              <w:t>improved</w:t>
            </w:r>
            <w:r>
              <w:rPr>
                <w:spacing w:val="-4"/>
                <w:sz w:val="16"/>
              </w:rPr>
              <w:t xml:space="preserve"> </w:t>
            </w:r>
            <w:r>
              <w:rPr>
                <w:w w:val="90"/>
                <w:sz w:val="16"/>
              </w:rPr>
              <w:t>over</w:t>
            </w:r>
            <w:r>
              <w:rPr>
                <w:spacing w:val="-5"/>
                <w:sz w:val="16"/>
              </w:rPr>
              <w:t xml:space="preserve"> </w:t>
            </w:r>
            <w:r>
              <w:rPr>
                <w:w w:val="90"/>
                <w:sz w:val="16"/>
              </w:rPr>
              <w:t>the</w:t>
            </w:r>
            <w:r>
              <w:rPr>
                <w:spacing w:val="-4"/>
                <w:sz w:val="16"/>
              </w:rPr>
              <w:t xml:space="preserve"> </w:t>
            </w:r>
            <w:r>
              <w:rPr>
                <w:w w:val="90"/>
                <w:sz w:val="16"/>
              </w:rPr>
              <w:t>years</w:t>
            </w:r>
            <w:r>
              <w:rPr>
                <w:spacing w:val="-5"/>
                <w:sz w:val="16"/>
              </w:rPr>
              <w:t xml:space="preserve"> </w:t>
            </w:r>
            <w:r>
              <w:rPr>
                <w:w w:val="90"/>
                <w:sz w:val="16"/>
              </w:rPr>
              <w:t>with</w:t>
            </w:r>
            <w:r>
              <w:rPr>
                <w:spacing w:val="-4"/>
                <w:sz w:val="16"/>
              </w:rPr>
              <w:t xml:space="preserve"> </w:t>
            </w:r>
            <w:r>
              <w:rPr>
                <w:w w:val="90"/>
                <w:sz w:val="16"/>
              </w:rPr>
              <w:t>a</w:t>
            </w:r>
            <w:r>
              <w:rPr>
                <w:spacing w:val="-5"/>
                <w:sz w:val="16"/>
              </w:rPr>
              <w:t xml:space="preserve"> </w:t>
            </w:r>
            <w:r>
              <w:rPr>
                <w:w w:val="90"/>
                <w:sz w:val="16"/>
              </w:rPr>
              <w:t>TCI</w:t>
            </w:r>
            <w:r>
              <w:rPr>
                <w:spacing w:val="-4"/>
                <w:sz w:val="16"/>
              </w:rPr>
              <w:t xml:space="preserve"> </w:t>
            </w:r>
            <w:r>
              <w:rPr>
                <w:w w:val="90"/>
                <w:sz w:val="16"/>
              </w:rPr>
              <w:t>of</w:t>
            </w:r>
            <w:r>
              <w:rPr>
                <w:spacing w:val="-5"/>
                <w:sz w:val="16"/>
              </w:rPr>
              <w:t xml:space="preserve"> </w:t>
            </w:r>
            <w:r>
              <w:rPr>
                <w:w w:val="90"/>
                <w:sz w:val="16"/>
              </w:rPr>
              <w:t>about</w:t>
            </w:r>
            <w:r>
              <w:rPr>
                <w:spacing w:val="-4"/>
                <w:sz w:val="16"/>
              </w:rPr>
              <w:t xml:space="preserve"> </w:t>
            </w:r>
            <w:r>
              <w:rPr>
                <w:w w:val="90"/>
                <w:sz w:val="16"/>
              </w:rPr>
              <w:t>40.30,</w:t>
            </w:r>
            <w:r>
              <w:rPr>
                <w:spacing w:val="-4"/>
                <w:sz w:val="16"/>
              </w:rPr>
              <w:t xml:space="preserve"> </w:t>
            </w:r>
            <w:r>
              <w:rPr>
                <w:w w:val="90"/>
                <w:sz w:val="16"/>
              </w:rPr>
              <w:t>which reflects</w:t>
            </w:r>
            <w:r>
              <w:rPr>
                <w:spacing w:val="-1"/>
                <w:w w:val="90"/>
                <w:sz w:val="16"/>
              </w:rPr>
              <w:t xml:space="preserve"> </w:t>
            </w:r>
            <w:r>
              <w:rPr>
                <w:w w:val="90"/>
                <w:sz w:val="16"/>
              </w:rPr>
              <w:t>good</w:t>
            </w:r>
            <w:r>
              <w:rPr>
                <w:spacing w:val="-4"/>
                <w:sz w:val="16"/>
              </w:rPr>
              <w:t xml:space="preserve"> </w:t>
            </w:r>
            <w:r>
              <w:rPr>
                <w:spacing w:val="-2"/>
                <w:w w:val="90"/>
                <w:sz w:val="16"/>
              </w:rPr>
              <w:t>condition</w:t>
            </w:r>
            <w:r>
              <w:rPr>
                <w:spacing w:val="-2"/>
                <w:w w:val="90"/>
                <w:position w:val="5"/>
                <w:sz w:val="9"/>
              </w:rPr>
              <w:t>20</w:t>
            </w:r>
            <w:r>
              <w:rPr>
                <w:spacing w:val="-2"/>
                <w:w w:val="90"/>
                <w:sz w:val="16"/>
              </w:rPr>
              <w:t>.</w:t>
            </w:r>
          </w:p>
          <w:p w:rsidR="002C1123" w:rsidRDefault="00F22F94">
            <w:pPr>
              <w:pStyle w:val="TableParagraph"/>
              <w:numPr>
                <w:ilvl w:val="0"/>
                <w:numId w:val="140"/>
              </w:numPr>
              <w:tabs>
                <w:tab w:val="left" w:pos="253"/>
              </w:tabs>
              <w:spacing w:before="53"/>
              <w:rPr>
                <w:sz w:val="16"/>
              </w:rPr>
            </w:pPr>
            <w:r>
              <w:rPr>
                <w:w w:val="90"/>
                <w:sz w:val="16"/>
              </w:rPr>
              <w:t>Peak</w:t>
            </w:r>
            <w:r>
              <w:rPr>
                <w:spacing w:val="-4"/>
                <w:sz w:val="16"/>
              </w:rPr>
              <w:t xml:space="preserve"> </w:t>
            </w:r>
            <w:r>
              <w:rPr>
                <w:w w:val="90"/>
                <w:sz w:val="16"/>
              </w:rPr>
              <w:t>services</w:t>
            </w:r>
            <w:r>
              <w:rPr>
                <w:spacing w:val="-1"/>
                <w:sz w:val="16"/>
              </w:rPr>
              <w:t xml:space="preserve"> </w:t>
            </w:r>
            <w:r>
              <w:rPr>
                <w:w w:val="90"/>
                <w:sz w:val="16"/>
              </w:rPr>
              <w:t>operate</w:t>
            </w:r>
            <w:r>
              <w:rPr>
                <w:spacing w:val="-1"/>
                <w:sz w:val="16"/>
              </w:rPr>
              <w:t xml:space="preserve"> </w:t>
            </w:r>
            <w:r>
              <w:rPr>
                <w:w w:val="90"/>
                <w:sz w:val="16"/>
              </w:rPr>
              <w:t>well</w:t>
            </w:r>
            <w:r>
              <w:rPr>
                <w:spacing w:val="-1"/>
                <w:sz w:val="16"/>
              </w:rPr>
              <w:t xml:space="preserve"> </w:t>
            </w:r>
            <w:r>
              <w:rPr>
                <w:w w:val="90"/>
                <w:sz w:val="16"/>
              </w:rPr>
              <w:t>above</w:t>
            </w:r>
            <w:r>
              <w:rPr>
                <w:spacing w:val="-1"/>
                <w:sz w:val="16"/>
              </w:rPr>
              <w:t xml:space="preserve"> </w:t>
            </w:r>
            <w:r>
              <w:rPr>
                <w:w w:val="90"/>
                <w:sz w:val="16"/>
              </w:rPr>
              <w:t>capacity</w:t>
            </w:r>
            <w:r>
              <w:rPr>
                <w:spacing w:val="-2"/>
                <w:sz w:val="16"/>
              </w:rPr>
              <w:t xml:space="preserve"> </w:t>
            </w:r>
            <w:r>
              <w:rPr>
                <w:w w:val="90"/>
                <w:sz w:val="16"/>
              </w:rPr>
              <w:t>in</w:t>
            </w:r>
            <w:r>
              <w:rPr>
                <w:spacing w:val="-1"/>
                <w:sz w:val="16"/>
              </w:rPr>
              <w:t xml:space="preserve"> </w:t>
            </w:r>
            <w:r>
              <w:rPr>
                <w:w w:val="90"/>
                <w:sz w:val="16"/>
              </w:rPr>
              <w:t>terms</w:t>
            </w:r>
            <w:r>
              <w:rPr>
                <w:spacing w:val="-1"/>
                <w:sz w:val="16"/>
              </w:rPr>
              <w:t xml:space="preserve"> </w:t>
            </w:r>
            <w:r>
              <w:rPr>
                <w:w w:val="90"/>
                <w:sz w:val="16"/>
              </w:rPr>
              <w:t>of</w:t>
            </w:r>
            <w:r>
              <w:rPr>
                <w:spacing w:val="-1"/>
                <w:sz w:val="16"/>
              </w:rPr>
              <w:t xml:space="preserve"> </w:t>
            </w:r>
            <w:r>
              <w:rPr>
                <w:w w:val="90"/>
                <w:sz w:val="16"/>
              </w:rPr>
              <w:t>passenger</w:t>
            </w:r>
            <w:r>
              <w:rPr>
                <w:spacing w:val="-1"/>
                <w:sz w:val="16"/>
              </w:rPr>
              <w:t xml:space="preserve"> </w:t>
            </w:r>
            <w:r>
              <w:rPr>
                <w:spacing w:val="-2"/>
                <w:w w:val="90"/>
                <w:sz w:val="16"/>
              </w:rPr>
              <w:t>loadings</w:t>
            </w:r>
            <w:r>
              <w:rPr>
                <w:spacing w:val="-2"/>
                <w:w w:val="90"/>
                <w:position w:val="5"/>
                <w:sz w:val="9"/>
              </w:rPr>
              <w:t>21</w:t>
            </w:r>
            <w:r>
              <w:rPr>
                <w:spacing w:val="-2"/>
                <w:w w:val="90"/>
                <w:sz w:val="16"/>
              </w:rPr>
              <w:t>.</w:t>
            </w:r>
          </w:p>
          <w:p w:rsidR="002C1123" w:rsidRDefault="00F22F94">
            <w:pPr>
              <w:pStyle w:val="TableParagraph"/>
              <w:numPr>
                <w:ilvl w:val="0"/>
                <w:numId w:val="140"/>
              </w:numPr>
              <w:tabs>
                <w:tab w:val="left" w:pos="253"/>
              </w:tabs>
              <w:spacing w:before="53"/>
              <w:rPr>
                <w:sz w:val="16"/>
              </w:rPr>
            </w:pPr>
            <w:r>
              <w:rPr>
                <w:w w:val="90"/>
                <w:sz w:val="16"/>
              </w:rPr>
              <w:t>Increasing</w:t>
            </w:r>
            <w:r>
              <w:rPr>
                <w:spacing w:val="-2"/>
                <w:sz w:val="16"/>
              </w:rPr>
              <w:t xml:space="preserve"> </w:t>
            </w:r>
            <w:r>
              <w:rPr>
                <w:w w:val="90"/>
                <w:sz w:val="16"/>
              </w:rPr>
              <w:t>rail</w:t>
            </w:r>
            <w:r>
              <w:rPr>
                <w:spacing w:val="-2"/>
                <w:sz w:val="16"/>
              </w:rPr>
              <w:t xml:space="preserve"> </w:t>
            </w:r>
            <w:r>
              <w:rPr>
                <w:w w:val="90"/>
                <w:sz w:val="16"/>
              </w:rPr>
              <w:t>passenger</w:t>
            </w:r>
            <w:r>
              <w:rPr>
                <w:spacing w:val="-2"/>
                <w:sz w:val="16"/>
              </w:rPr>
              <w:t xml:space="preserve"> </w:t>
            </w:r>
            <w:r>
              <w:rPr>
                <w:w w:val="90"/>
                <w:sz w:val="16"/>
              </w:rPr>
              <w:t>flows</w:t>
            </w:r>
            <w:r>
              <w:rPr>
                <w:spacing w:val="-1"/>
                <w:sz w:val="16"/>
              </w:rPr>
              <w:t xml:space="preserve"> </w:t>
            </w:r>
            <w:r>
              <w:rPr>
                <w:w w:val="90"/>
                <w:sz w:val="16"/>
              </w:rPr>
              <w:t>into</w:t>
            </w:r>
            <w:r>
              <w:rPr>
                <w:spacing w:val="-2"/>
                <w:sz w:val="16"/>
              </w:rPr>
              <w:t xml:space="preserve"> </w:t>
            </w:r>
            <w:r>
              <w:rPr>
                <w:w w:val="90"/>
                <w:sz w:val="16"/>
              </w:rPr>
              <w:t>and</w:t>
            </w:r>
            <w:r>
              <w:rPr>
                <w:spacing w:val="-2"/>
                <w:sz w:val="16"/>
              </w:rPr>
              <w:t xml:space="preserve"> </w:t>
            </w:r>
            <w:r>
              <w:rPr>
                <w:w w:val="90"/>
                <w:sz w:val="16"/>
              </w:rPr>
              <w:t>out</w:t>
            </w:r>
            <w:r>
              <w:rPr>
                <w:spacing w:val="-2"/>
                <w:sz w:val="16"/>
              </w:rPr>
              <w:t xml:space="preserve"> </w:t>
            </w:r>
            <w:r>
              <w:rPr>
                <w:w w:val="90"/>
                <w:sz w:val="16"/>
              </w:rPr>
              <w:t>of</w:t>
            </w:r>
            <w:r>
              <w:rPr>
                <w:spacing w:val="-1"/>
                <w:sz w:val="16"/>
              </w:rPr>
              <w:t xml:space="preserve"> </w:t>
            </w:r>
            <w:r>
              <w:rPr>
                <w:w w:val="90"/>
                <w:sz w:val="16"/>
              </w:rPr>
              <w:t>the</w:t>
            </w:r>
            <w:r>
              <w:rPr>
                <w:spacing w:val="-2"/>
                <w:sz w:val="16"/>
              </w:rPr>
              <w:t xml:space="preserve"> </w:t>
            </w:r>
            <w:r>
              <w:rPr>
                <w:w w:val="90"/>
                <w:sz w:val="16"/>
              </w:rPr>
              <w:t>Sydney</w:t>
            </w:r>
            <w:r>
              <w:rPr>
                <w:spacing w:val="-2"/>
                <w:sz w:val="16"/>
              </w:rPr>
              <w:t xml:space="preserve"> </w:t>
            </w:r>
            <w:r>
              <w:rPr>
                <w:w w:val="90"/>
                <w:sz w:val="16"/>
              </w:rPr>
              <w:t>CBD</w:t>
            </w:r>
            <w:r>
              <w:rPr>
                <w:spacing w:val="-1"/>
                <w:sz w:val="16"/>
              </w:rPr>
              <w:t xml:space="preserve"> </w:t>
            </w:r>
            <w:r>
              <w:rPr>
                <w:w w:val="90"/>
                <w:sz w:val="16"/>
              </w:rPr>
              <w:t>during</w:t>
            </w:r>
            <w:r>
              <w:rPr>
                <w:spacing w:val="-2"/>
                <w:sz w:val="16"/>
              </w:rPr>
              <w:t xml:space="preserve"> </w:t>
            </w:r>
            <w:r>
              <w:rPr>
                <w:w w:val="90"/>
                <w:sz w:val="16"/>
              </w:rPr>
              <w:t>the</w:t>
            </w:r>
            <w:r>
              <w:rPr>
                <w:spacing w:val="-2"/>
                <w:sz w:val="16"/>
              </w:rPr>
              <w:t xml:space="preserve"> </w:t>
            </w:r>
            <w:r>
              <w:rPr>
                <w:w w:val="90"/>
                <w:sz w:val="16"/>
              </w:rPr>
              <w:t>peaks</w:t>
            </w:r>
            <w:r>
              <w:rPr>
                <w:spacing w:val="-2"/>
                <w:sz w:val="16"/>
              </w:rPr>
              <w:t xml:space="preserve"> </w:t>
            </w:r>
            <w:r>
              <w:rPr>
                <w:w w:val="90"/>
                <w:sz w:val="16"/>
              </w:rPr>
              <w:t>appears</w:t>
            </w:r>
            <w:r>
              <w:rPr>
                <w:spacing w:val="-1"/>
                <w:sz w:val="16"/>
              </w:rPr>
              <w:t xml:space="preserve"> </w:t>
            </w:r>
            <w:r>
              <w:rPr>
                <w:w w:val="90"/>
                <w:sz w:val="16"/>
              </w:rPr>
              <w:t>to</w:t>
            </w:r>
            <w:r>
              <w:rPr>
                <w:spacing w:val="-2"/>
                <w:sz w:val="16"/>
              </w:rPr>
              <w:t xml:space="preserve"> </w:t>
            </w:r>
            <w:r>
              <w:rPr>
                <w:w w:val="90"/>
                <w:sz w:val="16"/>
              </w:rPr>
              <w:t>be</w:t>
            </w:r>
            <w:r>
              <w:rPr>
                <w:spacing w:val="-2"/>
                <w:sz w:val="16"/>
              </w:rPr>
              <w:t xml:space="preserve"> </w:t>
            </w:r>
            <w:r>
              <w:rPr>
                <w:w w:val="90"/>
                <w:sz w:val="16"/>
              </w:rPr>
              <w:t>capped</w:t>
            </w:r>
            <w:r>
              <w:rPr>
                <w:spacing w:val="-1"/>
                <w:sz w:val="16"/>
              </w:rPr>
              <w:t xml:space="preserve"> </w:t>
            </w:r>
            <w:r>
              <w:rPr>
                <w:w w:val="90"/>
                <w:sz w:val="16"/>
              </w:rPr>
              <w:t>by</w:t>
            </w:r>
            <w:r>
              <w:rPr>
                <w:spacing w:val="-2"/>
                <w:sz w:val="16"/>
              </w:rPr>
              <w:t xml:space="preserve"> </w:t>
            </w:r>
            <w:r>
              <w:rPr>
                <w:w w:val="90"/>
                <w:sz w:val="16"/>
              </w:rPr>
              <w:t>available</w:t>
            </w:r>
            <w:r>
              <w:rPr>
                <w:spacing w:val="-2"/>
                <w:sz w:val="16"/>
              </w:rPr>
              <w:t xml:space="preserve"> </w:t>
            </w:r>
            <w:r>
              <w:rPr>
                <w:w w:val="90"/>
                <w:sz w:val="16"/>
              </w:rPr>
              <w:t>train</w:t>
            </w:r>
            <w:r>
              <w:rPr>
                <w:spacing w:val="-2"/>
                <w:sz w:val="16"/>
              </w:rPr>
              <w:t xml:space="preserve"> </w:t>
            </w:r>
            <w:r>
              <w:rPr>
                <w:spacing w:val="-2"/>
                <w:w w:val="90"/>
                <w:sz w:val="16"/>
              </w:rPr>
              <w:t>paths.</w:t>
            </w:r>
          </w:p>
        </w:tc>
      </w:tr>
    </w:tbl>
    <w:p w:rsidR="002C1123" w:rsidRDefault="002C1123">
      <w:pPr>
        <w:pStyle w:val="BodyText"/>
        <w:spacing w:before="5"/>
        <w:rPr>
          <w:b/>
          <w:sz w:val="25"/>
        </w:rPr>
      </w:pPr>
    </w:p>
    <w:p w:rsidR="002C1123" w:rsidRDefault="002060EF">
      <w:pPr>
        <w:pStyle w:val="BodyText"/>
        <w:spacing w:line="20" w:lineRule="exact"/>
        <w:ind w:left="5519"/>
        <w:rPr>
          <w:sz w:val="2"/>
        </w:rPr>
      </w:pPr>
      <w:r>
        <w:rPr>
          <w:sz w:val="2"/>
        </w:rPr>
      </w:r>
      <w:r>
        <w:rPr>
          <w:sz w:val="2"/>
        </w:rPr>
        <w:pict>
          <v:group id="docshapegroup571" o:spid="_x0000_s4735" style="width:1in;height:.5pt;mso-position-horizontal-relative:char;mso-position-vertical-relative:line" coordsize="1440,10">
            <v:line id="_x0000_s4736" style="position:absolute" from="0,5" to="1440,5" strokecolor="#9c9c9d" strokeweight=".5pt"/>
            <w10:anchorlock/>
          </v:group>
        </w:pict>
      </w:r>
    </w:p>
    <w:p w:rsidR="002C1123" w:rsidRDefault="002C1123">
      <w:pPr>
        <w:spacing w:line="20" w:lineRule="exact"/>
        <w:rPr>
          <w:sz w:val="2"/>
        </w:rPr>
        <w:sectPr w:rsidR="002C1123">
          <w:type w:val="continuous"/>
          <w:pgSz w:w="16840" w:h="11910" w:orient="landscape"/>
          <w:pgMar w:top="560" w:right="280" w:bottom="280" w:left="500" w:header="0" w:footer="0" w:gutter="0"/>
          <w:cols w:space="720"/>
        </w:sectPr>
      </w:pPr>
    </w:p>
    <w:p w:rsidR="002C1123" w:rsidRDefault="002C1123">
      <w:pPr>
        <w:pStyle w:val="BodyText"/>
        <w:rPr>
          <w:b/>
          <w:sz w:val="16"/>
        </w:rPr>
      </w:pPr>
    </w:p>
    <w:p w:rsidR="002C1123" w:rsidRDefault="002C1123">
      <w:pPr>
        <w:pStyle w:val="BodyText"/>
        <w:spacing w:before="6"/>
        <w:rPr>
          <w:b/>
          <w:sz w:val="12"/>
        </w:rPr>
      </w:pPr>
    </w:p>
    <w:p w:rsidR="002C1123" w:rsidRDefault="00F22F94">
      <w:pPr>
        <w:ind w:left="492"/>
        <w:rPr>
          <w:sz w:val="14"/>
        </w:rPr>
      </w:pPr>
      <w:r>
        <w:rPr>
          <w:w w:val="95"/>
          <w:sz w:val="14"/>
        </w:rPr>
        <w:t>Infrastructure</w:t>
      </w:r>
      <w:r>
        <w:rPr>
          <w:spacing w:val="8"/>
          <w:sz w:val="14"/>
        </w:rPr>
        <w:t xml:space="preserve"> </w:t>
      </w:r>
      <w:r>
        <w:rPr>
          <w:w w:val="95"/>
          <w:sz w:val="14"/>
        </w:rPr>
        <w:t>NSW</w:t>
      </w:r>
      <w:r>
        <w:rPr>
          <w:spacing w:val="55"/>
          <w:sz w:val="14"/>
        </w:rPr>
        <w:t xml:space="preserve"> </w:t>
      </w:r>
      <w:r>
        <w:rPr>
          <w:w w:val="95"/>
          <w:sz w:val="14"/>
        </w:rPr>
        <w:t>|</w:t>
      </w:r>
      <w:r>
        <w:rPr>
          <w:spacing w:val="9"/>
          <w:sz w:val="14"/>
        </w:rPr>
        <w:t xml:space="preserve"> </w:t>
      </w:r>
      <w:r>
        <w:rPr>
          <w:w w:val="95"/>
          <w:sz w:val="14"/>
        </w:rPr>
        <w:t>State</w:t>
      </w:r>
      <w:r>
        <w:rPr>
          <w:spacing w:val="9"/>
          <w:sz w:val="14"/>
        </w:rPr>
        <w:t xml:space="preserve"> </w:t>
      </w:r>
      <w:r>
        <w:rPr>
          <w:w w:val="95"/>
          <w:sz w:val="14"/>
        </w:rPr>
        <w:t>Infrastructure</w:t>
      </w:r>
      <w:r>
        <w:rPr>
          <w:spacing w:val="9"/>
          <w:sz w:val="14"/>
        </w:rPr>
        <w:t xml:space="preserve"> </w:t>
      </w:r>
      <w:r>
        <w:rPr>
          <w:spacing w:val="-2"/>
          <w:w w:val="95"/>
          <w:sz w:val="14"/>
        </w:rPr>
        <w:t>Strategy</w:t>
      </w:r>
    </w:p>
    <w:p w:rsidR="002C1123" w:rsidRDefault="00F22F94">
      <w:pPr>
        <w:pStyle w:val="ListParagraph"/>
        <w:numPr>
          <w:ilvl w:val="0"/>
          <w:numId w:val="159"/>
        </w:numPr>
        <w:tabs>
          <w:tab w:val="left" w:pos="691"/>
        </w:tabs>
        <w:spacing w:before="8" w:line="161" w:lineRule="exact"/>
        <w:ind w:left="690" w:hanging="199"/>
        <w:jc w:val="left"/>
        <w:rPr>
          <w:sz w:val="14"/>
        </w:rPr>
      </w:pPr>
      <w:r>
        <w:br w:type="column"/>
      </w:r>
      <w:r>
        <w:rPr>
          <w:w w:val="95"/>
          <w:sz w:val="14"/>
        </w:rPr>
        <w:t>A</w:t>
      </w:r>
      <w:r>
        <w:rPr>
          <w:spacing w:val="4"/>
          <w:sz w:val="14"/>
        </w:rPr>
        <w:t xml:space="preserve"> </w:t>
      </w:r>
      <w:r>
        <w:rPr>
          <w:w w:val="95"/>
          <w:sz w:val="14"/>
        </w:rPr>
        <w:t>score</w:t>
      </w:r>
      <w:r>
        <w:rPr>
          <w:spacing w:val="5"/>
          <w:sz w:val="14"/>
        </w:rPr>
        <w:t xml:space="preserve"> </w:t>
      </w:r>
      <w:r>
        <w:rPr>
          <w:w w:val="95"/>
          <w:sz w:val="14"/>
        </w:rPr>
        <w:t>of</w:t>
      </w:r>
      <w:r>
        <w:rPr>
          <w:spacing w:val="5"/>
          <w:sz w:val="14"/>
        </w:rPr>
        <w:t xml:space="preserve"> </w:t>
      </w:r>
      <w:r>
        <w:rPr>
          <w:w w:val="95"/>
          <w:sz w:val="14"/>
        </w:rPr>
        <w:t>below</w:t>
      </w:r>
      <w:r>
        <w:rPr>
          <w:spacing w:val="5"/>
          <w:sz w:val="14"/>
        </w:rPr>
        <w:t xml:space="preserve"> </w:t>
      </w:r>
      <w:r>
        <w:rPr>
          <w:w w:val="95"/>
          <w:sz w:val="14"/>
        </w:rPr>
        <w:t>40.00</w:t>
      </w:r>
      <w:r>
        <w:rPr>
          <w:spacing w:val="5"/>
          <w:sz w:val="14"/>
        </w:rPr>
        <w:t xml:space="preserve"> </w:t>
      </w:r>
      <w:r>
        <w:rPr>
          <w:w w:val="95"/>
          <w:sz w:val="14"/>
        </w:rPr>
        <w:t>indicates</w:t>
      </w:r>
      <w:r>
        <w:rPr>
          <w:spacing w:val="5"/>
          <w:sz w:val="14"/>
        </w:rPr>
        <w:t xml:space="preserve"> </w:t>
      </w:r>
      <w:r>
        <w:rPr>
          <w:w w:val="95"/>
          <w:sz w:val="14"/>
        </w:rPr>
        <w:t>very</w:t>
      </w:r>
      <w:r>
        <w:rPr>
          <w:spacing w:val="5"/>
          <w:sz w:val="14"/>
        </w:rPr>
        <w:t xml:space="preserve"> </w:t>
      </w:r>
      <w:r>
        <w:rPr>
          <w:w w:val="95"/>
          <w:sz w:val="14"/>
        </w:rPr>
        <w:t>good</w:t>
      </w:r>
      <w:r>
        <w:rPr>
          <w:spacing w:val="5"/>
          <w:sz w:val="14"/>
        </w:rPr>
        <w:t xml:space="preserve"> </w:t>
      </w:r>
      <w:r>
        <w:rPr>
          <w:w w:val="95"/>
          <w:sz w:val="14"/>
        </w:rPr>
        <w:t>track</w:t>
      </w:r>
      <w:r>
        <w:rPr>
          <w:spacing w:val="5"/>
          <w:sz w:val="14"/>
        </w:rPr>
        <w:t xml:space="preserve"> </w:t>
      </w:r>
      <w:r>
        <w:rPr>
          <w:spacing w:val="-2"/>
          <w:w w:val="95"/>
          <w:sz w:val="14"/>
        </w:rPr>
        <w:t>condition.</w:t>
      </w:r>
    </w:p>
    <w:p w:rsidR="002C1123" w:rsidRDefault="00F22F94">
      <w:pPr>
        <w:pStyle w:val="ListParagraph"/>
        <w:numPr>
          <w:ilvl w:val="0"/>
          <w:numId w:val="159"/>
        </w:numPr>
        <w:tabs>
          <w:tab w:val="left" w:pos="691"/>
        </w:tabs>
        <w:ind w:left="690" w:right="38" w:hanging="199"/>
        <w:jc w:val="left"/>
        <w:rPr>
          <w:sz w:val="14"/>
        </w:rPr>
      </w:pPr>
      <w:r>
        <w:rPr>
          <w:w w:val="95"/>
          <w:sz w:val="14"/>
        </w:rPr>
        <w:t>The Loading factor is used as an indicator of the capacity of CityRail network</w:t>
      </w:r>
      <w:r>
        <w:rPr>
          <w:spacing w:val="40"/>
          <w:sz w:val="14"/>
        </w:rPr>
        <w:t xml:space="preserve"> </w:t>
      </w:r>
      <w:r>
        <w:rPr>
          <w:sz w:val="14"/>
        </w:rPr>
        <w:t>with respect to meeting demand.</w:t>
      </w:r>
    </w:p>
    <w:p w:rsidR="002C1123" w:rsidRDefault="00F22F94">
      <w:pPr>
        <w:spacing w:before="10"/>
        <w:rPr>
          <w:sz w:val="26"/>
        </w:rPr>
      </w:pPr>
      <w:r>
        <w:br w:type="column"/>
      </w:r>
    </w:p>
    <w:p w:rsidR="002C1123" w:rsidRDefault="00F22F94">
      <w:pPr>
        <w:spacing w:before="1"/>
        <w:ind w:left="492"/>
        <w:rPr>
          <w:b/>
          <w:sz w:val="16"/>
        </w:rPr>
      </w:pPr>
      <w:r>
        <w:rPr>
          <w:w w:val="95"/>
          <w:sz w:val="16"/>
        </w:rPr>
        <w:t>The</w:t>
      </w:r>
      <w:r>
        <w:rPr>
          <w:spacing w:val="6"/>
          <w:sz w:val="16"/>
        </w:rPr>
        <w:t xml:space="preserve"> </w:t>
      </w:r>
      <w:r>
        <w:rPr>
          <w:w w:val="95"/>
          <w:sz w:val="16"/>
        </w:rPr>
        <w:t>context</w:t>
      </w:r>
      <w:r>
        <w:rPr>
          <w:spacing w:val="7"/>
          <w:sz w:val="16"/>
        </w:rPr>
        <w:t xml:space="preserve"> </w:t>
      </w:r>
      <w:r>
        <w:rPr>
          <w:b/>
          <w:w w:val="95"/>
          <w:sz w:val="16"/>
        </w:rPr>
        <w:t>Section</w:t>
      </w:r>
      <w:r>
        <w:rPr>
          <w:b/>
          <w:spacing w:val="7"/>
          <w:sz w:val="16"/>
        </w:rPr>
        <w:t xml:space="preserve"> </w:t>
      </w:r>
      <w:r>
        <w:rPr>
          <w:b/>
          <w:w w:val="95"/>
          <w:sz w:val="16"/>
        </w:rPr>
        <w:t>2</w:t>
      </w:r>
      <w:r>
        <w:rPr>
          <w:b/>
          <w:spacing w:val="7"/>
          <w:sz w:val="16"/>
        </w:rPr>
        <w:t xml:space="preserve"> </w:t>
      </w:r>
      <w:r>
        <w:rPr>
          <w:w w:val="95"/>
          <w:sz w:val="16"/>
        </w:rPr>
        <w:t>Infrastructure</w:t>
      </w:r>
      <w:r>
        <w:rPr>
          <w:spacing w:val="7"/>
          <w:sz w:val="16"/>
        </w:rPr>
        <w:t xml:space="preserve"> </w:t>
      </w:r>
      <w:r>
        <w:rPr>
          <w:w w:val="95"/>
          <w:sz w:val="16"/>
        </w:rPr>
        <w:t>challenges</w:t>
      </w:r>
      <w:r>
        <w:rPr>
          <w:spacing w:val="7"/>
          <w:sz w:val="16"/>
        </w:rPr>
        <w:t xml:space="preserve"> </w:t>
      </w:r>
      <w:r>
        <w:rPr>
          <w:b/>
          <w:w w:val="95"/>
          <w:sz w:val="16"/>
        </w:rPr>
        <w:t>Page</w:t>
      </w:r>
      <w:r>
        <w:rPr>
          <w:b/>
          <w:spacing w:val="7"/>
          <w:sz w:val="16"/>
        </w:rPr>
        <w:t xml:space="preserve"> </w:t>
      </w:r>
      <w:r>
        <w:rPr>
          <w:b/>
          <w:spacing w:val="-5"/>
          <w:w w:val="95"/>
          <w:sz w:val="16"/>
        </w:rPr>
        <w:t>40</w:t>
      </w:r>
    </w:p>
    <w:p w:rsidR="002C1123" w:rsidRDefault="002C1123">
      <w:pPr>
        <w:rPr>
          <w:sz w:val="16"/>
        </w:rPr>
        <w:sectPr w:rsidR="002C1123">
          <w:type w:val="continuous"/>
          <w:pgSz w:w="16840" w:h="11910" w:orient="landscape"/>
          <w:pgMar w:top="560" w:right="280" w:bottom="280" w:left="500" w:header="0" w:footer="0" w:gutter="0"/>
          <w:cols w:num="3" w:space="720" w:equalWidth="0">
            <w:col w:w="3610" w:space="1417"/>
            <w:col w:w="5319" w:space="552"/>
            <w:col w:w="5162"/>
          </w:cols>
        </w:sect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spacing w:before="8"/>
        <w:rPr>
          <w:b/>
          <w:sz w:val="19"/>
        </w:rPr>
      </w:pPr>
    </w:p>
    <w:p w:rsidR="002C1123" w:rsidRDefault="00F22F94">
      <w:pPr>
        <w:tabs>
          <w:tab w:val="left" w:pos="6030"/>
        </w:tabs>
        <w:spacing w:before="107"/>
        <w:ind w:left="512"/>
        <w:rPr>
          <w:b/>
          <w:sz w:val="18"/>
        </w:rPr>
      </w:pPr>
      <w:bookmarkStart w:id="80" w:name="_bookmark57"/>
      <w:bookmarkEnd w:id="80"/>
      <w:r>
        <w:rPr>
          <w:b/>
          <w:sz w:val="18"/>
        </w:rPr>
        <w:t>Table</w:t>
      </w:r>
      <w:r>
        <w:rPr>
          <w:b/>
          <w:spacing w:val="-18"/>
          <w:sz w:val="18"/>
        </w:rPr>
        <w:t xml:space="preserve"> </w:t>
      </w:r>
      <w:r>
        <w:rPr>
          <w:b/>
          <w:sz w:val="18"/>
        </w:rPr>
        <w:t>2.3</w:t>
      </w:r>
      <w:r>
        <w:rPr>
          <w:b/>
          <w:spacing w:val="52"/>
          <w:sz w:val="18"/>
        </w:rPr>
        <w:t xml:space="preserve"> </w:t>
      </w:r>
      <w:r>
        <w:rPr>
          <w:b/>
          <w:sz w:val="18"/>
        </w:rPr>
        <w:t>Assessment</w:t>
      </w:r>
      <w:r>
        <w:rPr>
          <w:b/>
          <w:spacing w:val="-18"/>
          <w:sz w:val="18"/>
        </w:rPr>
        <w:t xml:space="preserve"> </w:t>
      </w:r>
      <w:r>
        <w:rPr>
          <w:b/>
          <w:sz w:val="18"/>
        </w:rPr>
        <w:t>of</w:t>
      </w:r>
      <w:r>
        <w:rPr>
          <w:b/>
          <w:spacing w:val="-18"/>
          <w:sz w:val="18"/>
        </w:rPr>
        <w:t xml:space="preserve"> </w:t>
      </w:r>
      <w:r>
        <w:rPr>
          <w:b/>
          <w:sz w:val="18"/>
        </w:rPr>
        <w:t>the</w:t>
      </w:r>
      <w:r>
        <w:rPr>
          <w:b/>
          <w:spacing w:val="-18"/>
          <w:sz w:val="18"/>
        </w:rPr>
        <w:t xml:space="preserve"> </w:t>
      </w:r>
      <w:r>
        <w:rPr>
          <w:b/>
          <w:sz w:val="18"/>
        </w:rPr>
        <w:t>Current</w:t>
      </w:r>
      <w:r>
        <w:rPr>
          <w:b/>
          <w:spacing w:val="-17"/>
          <w:sz w:val="18"/>
        </w:rPr>
        <w:t xml:space="preserve"> </w:t>
      </w:r>
      <w:r>
        <w:rPr>
          <w:b/>
          <w:sz w:val="18"/>
        </w:rPr>
        <w:t>State</w:t>
      </w:r>
      <w:r>
        <w:rPr>
          <w:b/>
          <w:spacing w:val="-18"/>
          <w:sz w:val="18"/>
        </w:rPr>
        <w:t xml:space="preserve"> </w:t>
      </w:r>
      <w:r>
        <w:rPr>
          <w:b/>
          <w:sz w:val="18"/>
        </w:rPr>
        <w:t>of</w:t>
      </w:r>
      <w:r>
        <w:rPr>
          <w:b/>
          <w:spacing w:val="-18"/>
          <w:sz w:val="18"/>
        </w:rPr>
        <w:t xml:space="preserve"> </w:t>
      </w:r>
      <w:r>
        <w:rPr>
          <w:b/>
          <w:spacing w:val="-2"/>
          <w:sz w:val="18"/>
        </w:rPr>
        <w:t>Infrastructure</w:t>
      </w:r>
      <w:r>
        <w:rPr>
          <w:b/>
          <w:sz w:val="18"/>
        </w:rPr>
        <w:tab/>
      </w:r>
      <w:r>
        <w:rPr>
          <w:b/>
          <w:spacing w:val="-2"/>
          <w:sz w:val="18"/>
        </w:rPr>
        <w:t>(continued)</w:t>
      </w:r>
    </w:p>
    <w:p w:rsidR="002C1123" w:rsidRDefault="002C1123">
      <w:pPr>
        <w:pStyle w:val="BodyText"/>
        <w:spacing w:before="2"/>
        <w:rPr>
          <w:b/>
          <w:sz w:val="14"/>
        </w:rPr>
      </w:pPr>
    </w:p>
    <w:p w:rsidR="002C1123" w:rsidRDefault="00F22F94">
      <w:pPr>
        <w:tabs>
          <w:tab w:val="left" w:pos="2816"/>
          <w:tab w:val="left" w:pos="4091"/>
          <w:tab w:val="left" w:pos="5339"/>
          <w:tab w:val="left" w:pos="6473"/>
        </w:tabs>
        <w:spacing w:after="13"/>
        <w:ind w:left="615"/>
        <w:rPr>
          <w:b/>
          <w:sz w:val="16"/>
        </w:rPr>
      </w:pPr>
      <w:r>
        <w:rPr>
          <w:b/>
          <w:color w:val="2E3092"/>
          <w:spacing w:val="-2"/>
          <w:sz w:val="16"/>
        </w:rPr>
        <w:t>Sector</w:t>
      </w:r>
      <w:r>
        <w:rPr>
          <w:b/>
          <w:color w:val="2E3092"/>
          <w:sz w:val="16"/>
        </w:rPr>
        <w:tab/>
      </w:r>
      <w:r>
        <w:rPr>
          <w:b/>
          <w:color w:val="2E3092"/>
          <w:w w:val="95"/>
          <w:sz w:val="16"/>
        </w:rPr>
        <w:t>Asset</w:t>
      </w:r>
      <w:r>
        <w:rPr>
          <w:b/>
          <w:color w:val="2E3092"/>
          <w:spacing w:val="1"/>
          <w:sz w:val="16"/>
        </w:rPr>
        <w:t xml:space="preserve"> </w:t>
      </w:r>
      <w:r>
        <w:rPr>
          <w:b/>
          <w:color w:val="2E3092"/>
          <w:spacing w:val="-2"/>
          <w:sz w:val="16"/>
        </w:rPr>
        <w:t>Class</w:t>
      </w:r>
      <w:r>
        <w:rPr>
          <w:b/>
          <w:color w:val="2E3092"/>
          <w:sz w:val="16"/>
        </w:rPr>
        <w:tab/>
      </w:r>
      <w:r>
        <w:rPr>
          <w:b/>
          <w:color w:val="2E3092"/>
          <w:spacing w:val="-2"/>
          <w:sz w:val="16"/>
        </w:rPr>
        <w:t>Condition</w:t>
      </w:r>
      <w:r>
        <w:rPr>
          <w:b/>
          <w:color w:val="2E3092"/>
          <w:sz w:val="16"/>
        </w:rPr>
        <w:tab/>
      </w:r>
      <w:r>
        <w:rPr>
          <w:b/>
          <w:color w:val="2E3092"/>
          <w:spacing w:val="-2"/>
          <w:sz w:val="16"/>
        </w:rPr>
        <w:t>Capacity</w:t>
      </w:r>
      <w:r>
        <w:rPr>
          <w:b/>
          <w:color w:val="2E3092"/>
          <w:sz w:val="16"/>
        </w:rPr>
        <w:tab/>
      </w:r>
      <w:r>
        <w:rPr>
          <w:b/>
          <w:color w:val="2E3092"/>
          <w:spacing w:val="-2"/>
          <w:sz w:val="16"/>
        </w:rPr>
        <w:t>Issues</w:t>
      </w:r>
    </w:p>
    <w:tbl>
      <w:tblPr>
        <w:tblW w:w="0" w:type="auto"/>
        <w:tblInd w:w="49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201"/>
        <w:gridCol w:w="1276"/>
        <w:gridCol w:w="1248"/>
        <w:gridCol w:w="1135"/>
        <w:gridCol w:w="8959"/>
      </w:tblGrid>
      <w:tr w:rsidR="002C1123">
        <w:trPr>
          <w:trHeight w:val="395"/>
        </w:trPr>
        <w:tc>
          <w:tcPr>
            <w:tcW w:w="2201" w:type="dxa"/>
            <w:vMerge w:val="restart"/>
            <w:tcBorders>
              <w:left w:val="nil"/>
            </w:tcBorders>
            <w:shd w:val="clear" w:color="auto" w:fill="E1E0E1"/>
          </w:tcPr>
          <w:p w:rsidR="002C1123" w:rsidRDefault="00F22F94">
            <w:pPr>
              <w:pStyle w:val="TableParagraph"/>
              <w:spacing w:before="63"/>
              <w:rPr>
                <w:sz w:val="18"/>
              </w:rPr>
            </w:pPr>
            <w:r>
              <w:rPr>
                <w:spacing w:val="-2"/>
                <w:w w:val="105"/>
                <w:sz w:val="18"/>
              </w:rPr>
              <w:t>Transport</w:t>
            </w:r>
          </w:p>
        </w:tc>
        <w:tc>
          <w:tcPr>
            <w:tcW w:w="1276" w:type="dxa"/>
            <w:vMerge w:val="restart"/>
            <w:shd w:val="clear" w:color="auto" w:fill="E1E0E1"/>
          </w:tcPr>
          <w:p w:rsidR="002C1123" w:rsidRDefault="00F22F94">
            <w:pPr>
              <w:pStyle w:val="TableParagraph"/>
              <w:spacing w:line="254" w:lineRule="auto"/>
              <w:ind w:right="361"/>
              <w:rPr>
                <w:sz w:val="16"/>
              </w:rPr>
            </w:pPr>
            <w:r>
              <w:rPr>
                <w:spacing w:val="-2"/>
                <w:sz w:val="16"/>
              </w:rPr>
              <w:t xml:space="preserve">Ports </w:t>
            </w:r>
            <w:r>
              <w:rPr>
                <w:spacing w:val="-2"/>
                <w:w w:val="95"/>
                <w:sz w:val="16"/>
              </w:rPr>
              <w:t>(Section</w:t>
            </w:r>
            <w:r>
              <w:rPr>
                <w:spacing w:val="-7"/>
                <w:w w:val="95"/>
                <w:sz w:val="16"/>
              </w:rPr>
              <w:t xml:space="preserve"> </w:t>
            </w:r>
            <w:r>
              <w:rPr>
                <w:spacing w:val="-2"/>
                <w:w w:val="95"/>
                <w:sz w:val="16"/>
              </w:rPr>
              <w:t>9)</w:t>
            </w:r>
          </w:p>
        </w:tc>
        <w:tc>
          <w:tcPr>
            <w:tcW w:w="1248" w:type="dxa"/>
            <w:shd w:val="clear" w:color="auto" w:fill="E1E0E1"/>
          </w:tcPr>
          <w:p w:rsidR="002C1123" w:rsidRDefault="00F22F94">
            <w:pPr>
              <w:pStyle w:val="TableParagraph"/>
              <w:spacing w:before="76"/>
              <w:ind w:left="112"/>
              <w:rPr>
                <w:b/>
                <w:sz w:val="16"/>
              </w:rPr>
            </w:pPr>
            <w:r>
              <w:rPr>
                <w:b/>
                <w:w w:val="95"/>
                <w:sz w:val="16"/>
              </w:rPr>
              <w:t>Botany</w:t>
            </w:r>
            <w:r>
              <w:rPr>
                <w:b/>
                <w:spacing w:val="21"/>
                <w:sz w:val="16"/>
              </w:rPr>
              <w:t xml:space="preserve"> </w:t>
            </w:r>
            <w:r>
              <w:rPr>
                <w:b/>
                <w:color w:val="00AB4E"/>
                <w:spacing w:val="-10"/>
                <w:sz w:val="16"/>
              </w:rPr>
              <w:t>A</w:t>
            </w:r>
          </w:p>
        </w:tc>
        <w:tc>
          <w:tcPr>
            <w:tcW w:w="1135" w:type="dxa"/>
            <w:vMerge w:val="restart"/>
            <w:shd w:val="clear" w:color="auto" w:fill="E1E0E1"/>
          </w:tcPr>
          <w:p w:rsidR="002C1123" w:rsidRDefault="002C1123">
            <w:pPr>
              <w:pStyle w:val="TableParagraph"/>
              <w:spacing w:before="9"/>
              <w:ind w:left="0"/>
              <w:rPr>
                <w:b/>
                <w:sz w:val="50"/>
              </w:rPr>
            </w:pPr>
          </w:p>
          <w:p w:rsidR="002C1123" w:rsidRDefault="00F22F94">
            <w:pPr>
              <w:pStyle w:val="TableParagraph"/>
              <w:spacing w:before="0"/>
              <w:ind w:left="27"/>
              <w:jc w:val="center"/>
              <w:rPr>
                <w:rFonts w:ascii="Trebuchet MS"/>
                <w:sz w:val="32"/>
              </w:rPr>
            </w:pPr>
            <w:r>
              <w:rPr>
                <w:rFonts w:ascii="Trebuchet MS"/>
                <w:color w:val="00AB4E"/>
                <w:w w:val="56"/>
                <w:sz w:val="32"/>
              </w:rPr>
              <w:t>A</w:t>
            </w:r>
          </w:p>
        </w:tc>
        <w:tc>
          <w:tcPr>
            <w:tcW w:w="8959" w:type="dxa"/>
            <w:vMerge w:val="restart"/>
            <w:shd w:val="clear" w:color="auto" w:fill="E1E0E1"/>
          </w:tcPr>
          <w:p w:rsidR="002C1123" w:rsidRDefault="00F22F94">
            <w:pPr>
              <w:pStyle w:val="TableParagraph"/>
              <w:numPr>
                <w:ilvl w:val="0"/>
                <w:numId w:val="139"/>
              </w:numPr>
              <w:tabs>
                <w:tab w:val="left" w:pos="253"/>
              </w:tabs>
              <w:spacing w:before="70" w:line="235" w:lineRule="auto"/>
              <w:ind w:right="178"/>
              <w:rPr>
                <w:sz w:val="16"/>
              </w:rPr>
            </w:pPr>
            <w:r>
              <w:rPr>
                <w:w w:val="95"/>
                <w:sz w:val="16"/>
              </w:rPr>
              <w:t xml:space="preserve">Capacity at NSW major ports ie Port Botany is adequate due to recent infrastructure upgrades and is planned to grow in line </w:t>
            </w:r>
            <w:r>
              <w:rPr>
                <w:sz w:val="16"/>
              </w:rPr>
              <w:t>with</w:t>
            </w:r>
            <w:r>
              <w:rPr>
                <w:spacing w:val="-7"/>
                <w:sz w:val="16"/>
              </w:rPr>
              <w:t xml:space="preserve"> </w:t>
            </w:r>
            <w:r>
              <w:rPr>
                <w:sz w:val="16"/>
              </w:rPr>
              <w:t>need.</w:t>
            </w:r>
            <w:r>
              <w:rPr>
                <w:spacing w:val="-7"/>
                <w:sz w:val="16"/>
              </w:rPr>
              <w:t xml:space="preserve"> </w:t>
            </w:r>
            <w:r>
              <w:rPr>
                <w:sz w:val="16"/>
              </w:rPr>
              <w:t>There</w:t>
            </w:r>
            <w:r>
              <w:rPr>
                <w:spacing w:val="-7"/>
                <w:sz w:val="16"/>
              </w:rPr>
              <w:t xml:space="preserve"> </w:t>
            </w:r>
            <w:r>
              <w:rPr>
                <w:sz w:val="16"/>
              </w:rPr>
              <w:t>is</w:t>
            </w:r>
            <w:r>
              <w:rPr>
                <w:spacing w:val="-7"/>
                <w:sz w:val="16"/>
              </w:rPr>
              <w:t xml:space="preserve"> </w:t>
            </w:r>
            <w:r>
              <w:rPr>
                <w:sz w:val="16"/>
              </w:rPr>
              <w:t>a</w:t>
            </w:r>
            <w:r>
              <w:rPr>
                <w:spacing w:val="-7"/>
                <w:sz w:val="16"/>
              </w:rPr>
              <w:t xml:space="preserve"> </w:t>
            </w:r>
            <w:r>
              <w:rPr>
                <w:sz w:val="16"/>
              </w:rPr>
              <w:t>lack</w:t>
            </w:r>
            <w:r>
              <w:rPr>
                <w:spacing w:val="-7"/>
                <w:sz w:val="16"/>
              </w:rPr>
              <w:t xml:space="preserve"> </w:t>
            </w:r>
            <w:r>
              <w:rPr>
                <w:sz w:val="16"/>
              </w:rPr>
              <w:t>of</w:t>
            </w:r>
            <w:r>
              <w:rPr>
                <w:spacing w:val="-7"/>
                <w:sz w:val="16"/>
              </w:rPr>
              <w:t xml:space="preserve"> </w:t>
            </w:r>
            <w:r>
              <w:rPr>
                <w:sz w:val="16"/>
              </w:rPr>
              <w:t>integration</w:t>
            </w:r>
            <w:r>
              <w:rPr>
                <w:spacing w:val="-7"/>
                <w:sz w:val="16"/>
              </w:rPr>
              <w:t xml:space="preserve"> </w:t>
            </w:r>
            <w:r>
              <w:rPr>
                <w:sz w:val="16"/>
              </w:rPr>
              <w:t>between</w:t>
            </w:r>
            <w:r>
              <w:rPr>
                <w:spacing w:val="-7"/>
                <w:sz w:val="16"/>
              </w:rPr>
              <w:t xml:space="preserve"> </w:t>
            </w:r>
            <w:r>
              <w:rPr>
                <w:sz w:val="16"/>
              </w:rPr>
              <w:t>ports,</w:t>
            </w:r>
            <w:r>
              <w:rPr>
                <w:spacing w:val="-7"/>
                <w:sz w:val="16"/>
              </w:rPr>
              <w:t xml:space="preserve"> </w:t>
            </w:r>
            <w:r>
              <w:rPr>
                <w:sz w:val="16"/>
              </w:rPr>
              <w:t>road</w:t>
            </w:r>
            <w:r>
              <w:rPr>
                <w:spacing w:val="-7"/>
                <w:sz w:val="16"/>
              </w:rPr>
              <w:t xml:space="preserve"> </w:t>
            </w:r>
            <w:r>
              <w:rPr>
                <w:sz w:val="16"/>
              </w:rPr>
              <w:t>and</w:t>
            </w:r>
            <w:r>
              <w:rPr>
                <w:spacing w:val="-7"/>
                <w:sz w:val="16"/>
              </w:rPr>
              <w:t xml:space="preserve"> </w:t>
            </w:r>
            <w:r>
              <w:rPr>
                <w:sz w:val="16"/>
              </w:rPr>
              <w:t>rail</w:t>
            </w:r>
            <w:r>
              <w:rPr>
                <w:spacing w:val="-7"/>
                <w:sz w:val="16"/>
              </w:rPr>
              <w:t xml:space="preserve"> </w:t>
            </w:r>
            <w:r>
              <w:rPr>
                <w:sz w:val="16"/>
              </w:rPr>
              <w:t>that</w:t>
            </w:r>
            <w:r>
              <w:rPr>
                <w:spacing w:val="-7"/>
                <w:sz w:val="16"/>
              </w:rPr>
              <w:t xml:space="preserve"> </w:t>
            </w:r>
            <w:r>
              <w:rPr>
                <w:sz w:val="16"/>
              </w:rPr>
              <w:t>has</w:t>
            </w:r>
            <w:r>
              <w:rPr>
                <w:spacing w:val="-7"/>
                <w:sz w:val="16"/>
              </w:rPr>
              <w:t xml:space="preserve"> </w:t>
            </w:r>
            <w:r>
              <w:rPr>
                <w:sz w:val="16"/>
              </w:rPr>
              <w:t>led</w:t>
            </w:r>
            <w:r>
              <w:rPr>
                <w:spacing w:val="-7"/>
                <w:sz w:val="16"/>
              </w:rPr>
              <w:t xml:space="preserve"> </w:t>
            </w:r>
            <w:r>
              <w:rPr>
                <w:sz w:val="16"/>
              </w:rPr>
              <w:t>to</w:t>
            </w:r>
            <w:r>
              <w:rPr>
                <w:spacing w:val="-7"/>
                <w:sz w:val="16"/>
              </w:rPr>
              <w:t xml:space="preserve"> </w:t>
            </w:r>
            <w:r>
              <w:rPr>
                <w:sz w:val="16"/>
              </w:rPr>
              <w:t>congestion</w:t>
            </w:r>
            <w:r>
              <w:rPr>
                <w:spacing w:val="-7"/>
                <w:sz w:val="16"/>
              </w:rPr>
              <w:t xml:space="preserve"> </w:t>
            </w:r>
            <w:r>
              <w:rPr>
                <w:sz w:val="16"/>
              </w:rPr>
              <w:t>problems</w:t>
            </w:r>
            <w:r>
              <w:rPr>
                <w:position w:val="5"/>
                <w:sz w:val="9"/>
              </w:rPr>
              <w:t>22</w:t>
            </w:r>
            <w:r>
              <w:rPr>
                <w:sz w:val="16"/>
              </w:rPr>
              <w:t>.</w:t>
            </w:r>
          </w:p>
          <w:p w:rsidR="002C1123" w:rsidRDefault="00F22F94">
            <w:pPr>
              <w:pStyle w:val="TableParagraph"/>
              <w:numPr>
                <w:ilvl w:val="0"/>
                <w:numId w:val="139"/>
              </w:numPr>
              <w:tabs>
                <w:tab w:val="left" w:pos="253"/>
              </w:tabs>
              <w:spacing w:before="56" w:line="235" w:lineRule="auto"/>
              <w:ind w:right="294"/>
              <w:rPr>
                <w:sz w:val="16"/>
              </w:rPr>
            </w:pPr>
            <w:r>
              <w:rPr>
                <w:sz w:val="16"/>
              </w:rPr>
              <w:t>While</w:t>
            </w:r>
            <w:r>
              <w:rPr>
                <w:spacing w:val="-12"/>
                <w:sz w:val="16"/>
              </w:rPr>
              <w:t xml:space="preserve"> </w:t>
            </w:r>
            <w:r>
              <w:rPr>
                <w:sz w:val="16"/>
              </w:rPr>
              <w:t>the</w:t>
            </w:r>
            <w:r>
              <w:rPr>
                <w:spacing w:val="-11"/>
                <w:sz w:val="16"/>
              </w:rPr>
              <w:t xml:space="preserve"> </w:t>
            </w:r>
            <w:r>
              <w:rPr>
                <w:sz w:val="16"/>
              </w:rPr>
              <w:t>current</w:t>
            </w:r>
            <w:r>
              <w:rPr>
                <w:spacing w:val="-11"/>
                <w:sz w:val="16"/>
              </w:rPr>
              <w:t xml:space="preserve"> </w:t>
            </w:r>
            <w:r>
              <w:rPr>
                <w:sz w:val="16"/>
              </w:rPr>
              <w:t>capacity</w:t>
            </w:r>
            <w:r>
              <w:rPr>
                <w:spacing w:val="-11"/>
                <w:sz w:val="16"/>
              </w:rPr>
              <w:t xml:space="preserve"> </w:t>
            </w:r>
            <w:r>
              <w:rPr>
                <w:sz w:val="16"/>
              </w:rPr>
              <w:t>is</w:t>
            </w:r>
            <w:r>
              <w:rPr>
                <w:spacing w:val="-11"/>
                <w:sz w:val="16"/>
              </w:rPr>
              <w:t xml:space="preserve"> </w:t>
            </w:r>
            <w:r>
              <w:rPr>
                <w:sz w:val="16"/>
              </w:rPr>
              <w:t>adequate,</w:t>
            </w:r>
            <w:r>
              <w:rPr>
                <w:spacing w:val="-11"/>
                <w:sz w:val="16"/>
              </w:rPr>
              <w:t xml:space="preserve"> </w:t>
            </w:r>
            <w:r>
              <w:rPr>
                <w:sz w:val="16"/>
              </w:rPr>
              <w:t>Port</w:t>
            </w:r>
            <w:r>
              <w:rPr>
                <w:spacing w:val="-11"/>
                <w:sz w:val="16"/>
              </w:rPr>
              <w:t xml:space="preserve"> </w:t>
            </w:r>
            <w:r>
              <w:rPr>
                <w:sz w:val="16"/>
              </w:rPr>
              <w:t>of</w:t>
            </w:r>
            <w:r>
              <w:rPr>
                <w:spacing w:val="-11"/>
                <w:sz w:val="16"/>
              </w:rPr>
              <w:t xml:space="preserve"> </w:t>
            </w:r>
            <w:r>
              <w:rPr>
                <w:sz w:val="16"/>
              </w:rPr>
              <w:t>Newcastle</w:t>
            </w:r>
            <w:r>
              <w:rPr>
                <w:spacing w:val="-12"/>
                <w:sz w:val="16"/>
              </w:rPr>
              <w:t xml:space="preserve"> </w:t>
            </w:r>
            <w:r>
              <w:rPr>
                <w:sz w:val="16"/>
              </w:rPr>
              <w:t>has</w:t>
            </w:r>
            <w:r>
              <w:rPr>
                <w:spacing w:val="-11"/>
                <w:sz w:val="16"/>
              </w:rPr>
              <w:t xml:space="preserve"> </w:t>
            </w:r>
            <w:r>
              <w:rPr>
                <w:sz w:val="16"/>
              </w:rPr>
              <w:t>development</w:t>
            </w:r>
            <w:r>
              <w:rPr>
                <w:spacing w:val="-11"/>
                <w:sz w:val="16"/>
              </w:rPr>
              <w:t xml:space="preserve"> </w:t>
            </w:r>
            <w:r>
              <w:rPr>
                <w:sz w:val="16"/>
              </w:rPr>
              <w:t>approval</w:t>
            </w:r>
            <w:r>
              <w:rPr>
                <w:spacing w:val="-11"/>
                <w:sz w:val="16"/>
              </w:rPr>
              <w:t xml:space="preserve"> </w:t>
            </w:r>
            <w:r>
              <w:rPr>
                <w:sz w:val="16"/>
              </w:rPr>
              <w:t>to</w:t>
            </w:r>
            <w:r>
              <w:rPr>
                <w:spacing w:val="-11"/>
                <w:sz w:val="16"/>
              </w:rPr>
              <w:t xml:space="preserve"> </w:t>
            </w:r>
            <w:r>
              <w:rPr>
                <w:sz w:val="16"/>
              </w:rPr>
              <w:t>double</w:t>
            </w:r>
            <w:r>
              <w:rPr>
                <w:spacing w:val="-11"/>
                <w:sz w:val="16"/>
              </w:rPr>
              <w:t xml:space="preserve"> </w:t>
            </w:r>
            <w:r>
              <w:rPr>
                <w:sz w:val="16"/>
              </w:rPr>
              <w:t>coal</w:t>
            </w:r>
            <w:r>
              <w:rPr>
                <w:spacing w:val="-11"/>
                <w:sz w:val="16"/>
              </w:rPr>
              <w:t xml:space="preserve"> </w:t>
            </w:r>
            <w:r>
              <w:rPr>
                <w:sz w:val="16"/>
              </w:rPr>
              <w:t>exports</w:t>
            </w:r>
            <w:r>
              <w:rPr>
                <w:spacing w:val="-11"/>
                <w:sz w:val="16"/>
              </w:rPr>
              <w:t xml:space="preserve"> </w:t>
            </w:r>
            <w:r>
              <w:rPr>
                <w:sz w:val="16"/>
              </w:rPr>
              <w:t>to</w:t>
            </w:r>
            <w:r>
              <w:rPr>
                <w:spacing w:val="-11"/>
                <w:sz w:val="16"/>
              </w:rPr>
              <w:t xml:space="preserve"> </w:t>
            </w:r>
            <w:r>
              <w:rPr>
                <w:sz w:val="16"/>
              </w:rPr>
              <w:t>211</w:t>
            </w:r>
            <w:r>
              <w:rPr>
                <w:spacing w:val="-12"/>
                <w:sz w:val="16"/>
              </w:rPr>
              <w:t xml:space="preserve"> </w:t>
            </w:r>
            <w:r>
              <w:rPr>
                <w:sz w:val="16"/>
              </w:rPr>
              <w:t xml:space="preserve">million </w:t>
            </w:r>
            <w:r>
              <w:rPr>
                <w:w w:val="95"/>
                <w:sz w:val="16"/>
              </w:rPr>
              <w:t xml:space="preserve">tons per annum with a potential for a further 90 mtpa for Terminal 4 at Port Waratah Coal Services but this is contingent on </w:t>
            </w:r>
            <w:r>
              <w:rPr>
                <w:sz w:val="16"/>
              </w:rPr>
              <w:t>take-or-pay contracts with coal producers.</w:t>
            </w:r>
          </w:p>
          <w:p w:rsidR="002C1123" w:rsidRDefault="00F22F94">
            <w:pPr>
              <w:pStyle w:val="TableParagraph"/>
              <w:numPr>
                <w:ilvl w:val="0"/>
                <w:numId w:val="139"/>
              </w:numPr>
              <w:tabs>
                <w:tab w:val="left" w:pos="253"/>
              </w:tabs>
              <w:spacing w:before="56" w:line="235" w:lineRule="auto"/>
              <w:ind w:right="255"/>
              <w:rPr>
                <w:sz w:val="16"/>
              </w:rPr>
            </w:pPr>
            <w:r>
              <w:rPr>
                <w:w w:val="95"/>
                <w:sz w:val="16"/>
              </w:rPr>
              <w:t>Likewise with Port Kembla, studies are progressing to expand its capacity to 25 mtpa in two phases with Phase 1 (by 2012)</w:t>
            </w:r>
            <w:r>
              <w:rPr>
                <w:spacing w:val="40"/>
                <w:sz w:val="16"/>
              </w:rPr>
              <w:t xml:space="preserve"> </w:t>
            </w:r>
            <w:r>
              <w:rPr>
                <w:sz w:val="16"/>
              </w:rPr>
              <w:t>to</w:t>
            </w:r>
            <w:r>
              <w:rPr>
                <w:spacing w:val="-11"/>
                <w:sz w:val="16"/>
              </w:rPr>
              <w:t xml:space="preserve"> </w:t>
            </w:r>
            <w:r>
              <w:rPr>
                <w:sz w:val="16"/>
              </w:rPr>
              <w:t>21</w:t>
            </w:r>
            <w:r>
              <w:rPr>
                <w:spacing w:val="-11"/>
                <w:sz w:val="16"/>
              </w:rPr>
              <w:t xml:space="preserve"> </w:t>
            </w:r>
            <w:r>
              <w:rPr>
                <w:sz w:val="16"/>
              </w:rPr>
              <w:t>mtpa</w:t>
            </w:r>
            <w:r>
              <w:rPr>
                <w:spacing w:val="-11"/>
                <w:sz w:val="16"/>
              </w:rPr>
              <w:t xml:space="preserve"> </w:t>
            </w:r>
            <w:r>
              <w:rPr>
                <w:sz w:val="16"/>
              </w:rPr>
              <w:t>via</w:t>
            </w:r>
            <w:r>
              <w:rPr>
                <w:spacing w:val="-11"/>
                <w:sz w:val="16"/>
              </w:rPr>
              <w:t xml:space="preserve"> </w:t>
            </w:r>
            <w:r>
              <w:rPr>
                <w:sz w:val="16"/>
              </w:rPr>
              <w:t>operational</w:t>
            </w:r>
            <w:r>
              <w:rPr>
                <w:spacing w:val="-11"/>
                <w:sz w:val="16"/>
              </w:rPr>
              <w:t xml:space="preserve"> </w:t>
            </w:r>
            <w:r>
              <w:rPr>
                <w:sz w:val="16"/>
              </w:rPr>
              <w:t>improvements</w:t>
            </w:r>
            <w:r>
              <w:rPr>
                <w:spacing w:val="-11"/>
                <w:sz w:val="16"/>
              </w:rPr>
              <w:t xml:space="preserve"> </w:t>
            </w:r>
            <w:r>
              <w:rPr>
                <w:sz w:val="16"/>
              </w:rPr>
              <w:t>and</w:t>
            </w:r>
            <w:r>
              <w:rPr>
                <w:spacing w:val="-11"/>
                <w:sz w:val="16"/>
              </w:rPr>
              <w:t xml:space="preserve"> </w:t>
            </w:r>
            <w:r>
              <w:rPr>
                <w:sz w:val="16"/>
              </w:rPr>
              <w:t>Phase</w:t>
            </w:r>
            <w:r>
              <w:rPr>
                <w:spacing w:val="-11"/>
                <w:sz w:val="16"/>
              </w:rPr>
              <w:t xml:space="preserve"> </w:t>
            </w:r>
            <w:r>
              <w:rPr>
                <w:sz w:val="16"/>
              </w:rPr>
              <w:t>2</w:t>
            </w:r>
            <w:r>
              <w:rPr>
                <w:spacing w:val="-11"/>
                <w:sz w:val="16"/>
              </w:rPr>
              <w:t xml:space="preserve"> </w:t>
            </w:r>
            <w:r>
              <w:rPr>
                <w:sz w:val="16"/>
              </w:rPr>
              <w:t>(by</w:t>
            </w:r>
            <w:r>
              <w:rPr>
                <w:spacing w:val="-11"/>
                <w:sz w:val="16"/>
              </w:rPr>
              <w:t xml:space="preserve"> </w:t>
            </w:r>
            <w:r>
              <w:rPr>
                <w:sz w:val="16"/>
              </w:rPr>
              <w:t>2015)</w:t>
            </w:r>
            <w:r>
              <w:rPr>
                <w:spacing w:val="-11"/>
                <w:sz w:val="16"/>
              </w:rPr>
              <w:t xml:space="preserve"> </w:t>
            </w:r>
            <w:r>
              <w:rPr>
                <w:sz w:val="16"/>
              </w:rPr>
              <w:t>to</w:t>
            </w:r>
            <w:r>
              <w:rPr>
                <w:spacing w:val="-11"/>
                <w:sz w:val="16"/>
              </w:rPr>
              <w:t xml:space="preserve"> </w:t>
            </w:r>
            <w:r>
              <w:rPr>
                <w:sz w:val="16"/>
              </w:rPr>
              <w:t>25</w:t>
            </w:r>
            <w:r>
              <w:rPr>
                <w:spacing w:val="-11"/>
                <w:sz w:val="16"/>
              </w:rPr>
              <w:t xml:space="preserve"> </w:t>
            </w:r>
            <w:r>
              <w:rPr>
                <w:sz w:val="16"/>
              </w:rPr>
              <w:t>mtpa</w:t>
            </w:r>
            <w:r>
              <w:rPr>
                <w:spacing w:val="-11"/>
                <w:sz w:val="16"/>
              </w:rPr>
              <w:t xml:space="preserve"> </w:t>
            </w:r>
            <w:r>
              <w:rPr>
                <w:sz w:val="16"/>
              </w:rPr>
              <w:t>via</w:t>
            </w:r>
            <w:r>
              <w:rPr>
                <w:spacing w:val="-11"/>
                <w:sz w:val="16"/>
              </w:rPr>
              <w:t xml:space="preserve"> </w:t>
            </w:r>
            <w:r>
              <w:rPr>
                <w:sz w:val="16"/>
              </w:rPr>
              <w:t>new</w:t>
            </w:r>
            <w:r>
              <w:rPr>
                <w:spacing w:val="-11"/>
                <w:sz w:val="16"/>
              </w:rPr>
              <w:t xml:space="preserve"> </w:t>
            </w:r>
            <w:r>
              <w:rPr>
                <w:sz w:val="16"/>
              </w:rPr>
              <w:t>infrastructure.</w:t>
            </w:r>
          </w:p>
        </w:tc>
      </w:tr>
      <w:tr w:rsidR="002C1123">
        <w:trPr>
          <w:trHeight w:val="395"/>
        </w:trPr>
        <w:tc>
          <w:tcPr>
            <w:tcW w:w="2201" w:type="dxa"/>
            <w:vMerge/>
            <w:tcBorders>
              <w:top w:val="nil"/>
              <w:left w:val="nil"/>
            </w:tcBorders>
            <w:shd w:val="clear" w:color="auto" w:fill="E1E0E1"/>
          </w:tcPr>
          <w:p w:rsidR="002C1123" w:rsidRDefault="002C1123">
            <w:pPr>
              <w:rPr>
                <w:sz w:val="2"/>
                <w:szCs w:val="2"/>
              </w:rPr>
            </w:pPr>
          </w:p>
        </w:tc>
        <w:tc>
          <w:tcPr>
            <w:tcW w:w="1276" w:type="dxa"/>
            <w:vMerge/>
            <w:tcBorders>
              <w:top w:val="nil"/>
            </w:tcBorders>
            <w:shd w:val="clear" w:color="auto" w:fill="E1E0E1"/>
          </w:tcPr>
          <w:p w:rsidR="002C1123" w:rsidRDefault="002C1123">
            <w:pPr>
              <w:rPr>
                <w:sz w:val="2"/>
                <w:szCs w:val="2"/>
              </w:rPr>
            </w:pPr>
          </w:p>
        </w:tc>
        <w:tc>
          <w:tcPr>
            <w:tcW w:w="1248" w:type="dxa"/>
            <w:shd w:val="clear" w:color="auto" w:fill="E1E0E1"/>
          </w:tcPr>
          <w:p w:rsidR="002C1123" w:rsidRDefault="00F22F94">
            <w:pPr>
              <w:pStyle w:val="TableParagraph"/>
              <w:spacing w:before="76"/>
              <w:rPr>
                <w:b/>
                <w:sz w:val="16"/>
              </w:rPr>
            </w:pPr>
            <w:r>
              <w:rPr>
                <w:b/>
                <w:sz w:val="16"/>
              </w:rPr>
              <w:t>Newcastle</w:t>
            </w:r>
            <w:r>
              <w:rPr>
                <w:b/>
                <w:spacing w:val="19"/>
                <w:sz w:val="16"/>
              </w:rPr>
              <w:t xml:space="preserve"> </w:t>
            </w:r>
            <w:r>
              <w:rPr>
                <w:b/>
                <w:color w:val="FFC20E"/>
                <w:spacing w:val="-10"/>
                <w:sz w:val="16"/>
              </w:rPr>
              <w:t>B</w:t>
            </w:r>
          </w:p>
        </w:tc>
        <w:tc>
          <w:tcPr>
            <w:tcW w:w="1135" w:type="dxa"/>
            <w:vMerge/>
            <w:tcBorders>
              <w:top w:val="nil"/>
            </w:tcBorders>
            <w:shd w:val="clear" w:color="auto" w:fill="E1E0E1"/>
          </w:tcPr>
          <w:p w:rsidR="002C1123" w:rsidRDefault="002C1123">
            <w:pPr>
              <w:rPr>
                <w:sz w:val="2"/>
                <w:szCs w:val="2"/>
              </w:rPr>
            </w:pPr>
          </w:p>
        </w:tc>
        <w:tc>
          <w:tcPr>
            <w:tcW w:w="8959" w:type="dxa"/>
            <w:vMerge/>
            <w:tcBorders>
              <w:top w:val="nil"/>
            </w:tcBorders>
            <w:shd w:val="clear" w:color="auto" w:fill="E1E0E1"/>
          </w:tcPr>
          <w:p w:rsidR="002C1123" w:rsidRDefault="002C1123">
            <w:pPr>
              <w:rPr>
                <w:sz w:val="2"/>
                <w:szCs w:val="2"/>
              </w:rPr>
            </w:pPr>
          </w:p>
        </w:tc>
      </w:tr>
      <w:tr w:rsidR="002C1123">
        <w:trPr>
          <w:trHeight w:val="739"/>
        </w:trPr>
        <w:tc>
          <w:tcPr>
            <w:tcW w:w="2201" w:type="dxa"/>
            <w:vMerge/>
            <w:tcBorders>
              <w:top w:val="nil"/>
              <w:left w:val="nil"/>
            </w:tcBorders>
            <w:shd w:val="clear" w:color="auto" w:fill="E1E0E1"/>
          </w:tcPr>
          <w:p w:rsidR="002C1123" w:rsidRDefault="002C1123">
            <w:pPr>
              <w:rPr>
                <w:sz w:val="2"/>
                <w:szCs w:val="2"/>
              </w:rPr>
            </w:pPr>
          </w:p>
        </w:tc>
        <w:tc>
          <w:tcPr>
            <w:tcW w:w="1276" w:type="dxa"/>
            <w:vMerge/>
            <w:tcBorders>
              <w:top w:val="nil"/>
            </w:tcBorders>
            <w:shd w:val="clear" w:color="auto" w:fill="E1E0E1"/>
          </w:tcPr>
          <w:p w:rsidR="002C1123" w:rsidRDefault="002C1123">
            <w:pPr>
              <w:rPr>
                <w:sz w:val="2"/>
                <w:szCs w:val="2"/>
              </w:rPr>
            </w:pPr>
          </w:p>
        </w:tc>
        <w:tc>
          <w:tcPr>
            <w:tcW w:w="1248" w:type="dxa"/>
            <w:shd w:val="clear" w:color="auto" w:fill="E1E0E1"/>
          </w:tcPr>
          <w:p w:rsidR="002C1123" w:rsidRDefault="002C1123">
            <w:pPr>
              <w:pStyle w:val="TableParagraph"/>
              <w:spacing w:before="6"/>
              <w:ind w:left="0"/>
              <w:rPr>
                <w:b/>
                <w:sz w:val="21"/>
              </w:rPr>
            </w:pPr>
          </w:p>
          <w:p w:rsidR="002C1123" w:rsidRDefault="00F22F94">
            <w:pPr>
              <w:pStyle w:val="TableParagraph"/>
              <w:spacing w:before="1"/>
              <w:rPr>
                <w:b/>
                <w:sz w:val="16"/>
              </w:rPr>
            </w:pPr>
            <w:r>
              <w:rPr>
                <w:b/>
                <w:sz w:val="16"/>
              </w:rPr>
              <w:t>Kembla</w:t>
            </w:r>
            <w:r>
              <w:rPr>
                <w:b/>
                <w:spacing w:val="1"/>
                <w:sz w:val="16"/>
              </w:rPr>
              <w:t xml:space="preserve"> </w:t>
            </w:r>
            <w:r>
              <w:rPr>
                <w:b/>
                <w:color w:val="FFC20E"/>
                <w:spacing w:val="-10"/>
                <w:sz w:val="16"/>
              </w:rPr>
              <w:t>B</w:t>
            </w:r>
          </w:p>
        </w:tc>
        <w:tc>
          <w:tcPr>
            <w:tcW w:w="1135" w:type="dxa"/>
            <w:vMerge/>
            <w:tcBorders>
              <w:top w:val="nil"/>
            </w:tcBorders>
            <w:shd w:val="clear" w:color="auto" w:fill="E1E0E1"/>
          </w:tcPr>
          <w:p w:rsidR="002C1123" w:rsidRDefault="002C1123">
            <w:pPr>
              <w:rPr>
                <w:sz w:val="2"/>
                <w:szCs w:val="2"/>
              </w:rPr>
            </w:pPr>
          </w:p>
        </w:tc>
        <w:tc>
          <w:tcPr>
            <w:tcW w:w="8959" w:type="dxa"/>
            <w:vMerge/>
            <w:tcBorders>
              <w:top w:val="nil"/>
            </w:tcBorders>
            <w:shd w:val="clear" w:color="auto" w:fill="E1E0E1"/>
          </w:tcPr>
          <w:p w:rsidR="002C1123" w:rsidRDefault="002C1123">
            <w:pPr>
              <w:rPr>
                <w:sz w:val="2"/>
                <w:szCs w:val="2"/>
              </w:rPr>
            </w:pPr>
          </w:p>
        </w:tc>
      </w:tr>
      <w:tr w:rsidR="002C1123">
        <w:trPr>
          <w:trHeight w:val="1267"/>
        </w:trPr>
        <w:tc>
          <w:tcPr>
            <w:tcW w:w="2201" w:type="dxa"/>
            <w:vMerge/>
            <w:tcBorders>
              <w:top w:val="nil"/>
              <w:left w:val="nil"/>
            </w:tcBorders>
            <w:shd w:val="clear" w:color="auto" w:fill="E1E0E1"/>
          </w:tcPr>
          <w:p w:rsidR="002C1123" w:rsidRDefault="002C1123">
            <w:pPr>
              <w:rPr>
                <w:sz w:val="2"/>
                <w:szCs w:val="2"/>
              </w:rPr>
            </w:pPr>
          </w:p>
        </w:tc>
        <w:tc>
          <w:tcPr>
            <w:tcW w:w="1276" w:type="dxa"/>
            <w:shd w:val="clear" w:color="auto" w:fill="E1E0E1"/>
          </w:tcPr>
          <w:p w:rsidR="002C1123" w:rsidRDefault="00F22F94">
            <w:pPr>
              <w:pStyle w:val="TableParagraph"/>
              <w:spacing w:line="244" w:lineRule="auto"/>
              <w:ind w:right="332"/>
              <w:rPr>
                <w:sz w:val="16"/>
              </w:rPr>
            </w:pPr>
            <w:r>
              <w:rPr>
                <w:spacing w:val="-2"/>
                <w:sz w:val="16"/>
              </w:rPr>
              <w:t xml:space="preserve">Regional Roads </w:t>
            </w:r>
            <w:r>
              <w:rPr>
                <w:spacing w:val="-2"/>
                <w:w w:val="95"/>
                <w:sz w:val="16"/>
              </w:rPr>
              <w:t>(Section</w:t>
            </w:r>
            <w:r>
              <w:rPr>
                <w:spacing w:val="-7"/>
                <w:w w:val="95"/>
                <w:sz w:val="16"/>
              </w:rPr>
              <w:t xml:space="preserve"> </w:t>
            </w:r>
            <w:r>
              <w:rPr>
                <w:spacing w:val="-2"/>
                <w:w w:val="95"/>
                <w:sz w:val="16"/>
              </w:rPr>
              <w:t>10)</w:t>
            </w:r>
          </w:p>
        </w:tc>
        <w:tc>
          <w:tcPr>
            <w:tcW w:w="1248" w:type="dxa"/>
            <w:shd w:val="clear" w:color="auto" w:fill="E1E0E1"/>
          </w:tcPr>
          <w:p w:rsidR="002C1123" w:rsidRDefault="002C1123">
            <w:pPr>
              <w:pStyle w:val="TableParagraph"/>
              <w:spacing w:before="7"/>
              <w:ind w:left="0"/>
              <w:rPr>
                <w:b/>
                <w:sz w:val="37"/>
              </w:rPr>
            </w:pPr>
          </w:p>
          <w:p w:rsidR="002C1123" w:rsidRDefault="00F22F94">
            <w:pPr>
              <w:pStyle w:val="TableParagraph"/>
              <w:spacing w:before="0"/>
              <w:ind w:left="29"/>
              <w:jc w:val="center"/>
              <w:rPr>
                <w:rFonts w:ascii="Trebuchet MS"/>
                <w:sz w:val="32"/>
              </w:rPr>
            </w:pPr>
            <w:r>
              <w:rPr>
                <w:rFonts w:ascii="Trebuchet MS"/>
                <w:color w:val="FFC20E"/>
                <w:w w:val="66"/>
                <w:sz w:val="32"/>
              </w:rPr>
              <w:t>B</w:t>
            </w:r>
          </w:p>
        </w:tc>
        <w:tc>
          <w:tcPr>
            <w:tcW w:w="1135" w:type="dxa"/>
            <w:shd w:val="clear" w:color="auto" w:fill="E1E0E1"/>
          </w:tcPr>
          <w:p w:rsidR="002C1123" w:rsidRDefault="002C1123">
            <w:pPr>
              <w:pStyle w:val="TableParagraph"/>
              <w:spacing w:before="7"/>
              <w:ind w:left="0"/>
              <w:rPr>
                <w:b/>
                <w:sz w:val="37"/>
              </w:rPr>
            </w:pPr>
          </w:p>
          <w:p w:rsidR="002C1123" w:rsidRDefault="00F22F94">
            <w:pPr>
              <w:pStyle w:val="TableParagraph"/>
              <w:spacing w:before="0"/>
              <w:ind w:left="511"/>
              <w:rPr>
                <w:rFonts w:ascii="Trebuchet MS"/>
                <w:sz w:val="32"/>
              </w:rPr>
            </w:pPr>
            <w:r>
              <w:rPr>
                <w:rFonts w:ascii="Trebuchet MS"/>
                <w:color w:val="FFC20E"/>
                <w:w w:val="66"/>
                <w:sz w:val="32"/>
              </w:rPr>
              <w:t>B</w:t>
            </w:r>
          </w:p>
        </w:tc>
        <w:tc>
          <w:tcPr>
            <w:tcW w:w="8959" w:type="dxa"/>
            <w:shd w:val="clear" w:color="auto" w:fill="E1E0E1"/>
          </w:tcPr>
          <w:p w:rsidR="002C1123" w:rsidRDefault="00F22F94">
            <w:pPr>
              <w:pStyle w:val="TableParagraph"/>
              <w:numPr>
                <w:ilvl w:val="0"/>
                <w:numId w:val="138"/>
              </w:numPr>
              <w:tabs>
                <w:tab w:val="left" w:pos="253"/>
              </w:tabs>
              <w:rPr>
                <w:sz w:val="16"/>
              </w:rPr>
            </w:pPr>
            <w:r>
              <w:rPr>
                <w:w w:val="95"/>
                <w:sz w:val="16"/>
              </w:rPr>
              <w:t>Majority</w:t>
            </w:r>
            <w:r>
              <w:rPr>
                <w:spacing w:val="-1"/>
                <w:sz w:val="16"/>
              </w:rPr>
              <w:t xml:space="preserve"> </w:t>
            </w:r>
            <w:r>
              <w:rPr>
                <w:w w:val="95"/>
                <w:sz w:val="16"/>
              </w:rPr>
              <w:t>of</w:t>
            </w:r>
            <w:r>
              <w:rPr>
                <w:spacing w:val="-1"/>
                <w:sz w:val="16"/>
              </w:rPr>
              <w:t xml:space="preserve"> </w:t>
            </w:r>
            <w:r>
              <w:rPr>
                <w:w w:val="95"/>
                <w:sz w:val="16"/>
              </w:rPr>
              <w:t>regional</w:t>
            </w:r>
            <w:r>
              <w:rPr>
                <w:spacing w:val="-1"/>
                <w:sz w:val="16"/>
              </w:rPr>
              <w:t xml:space="preserve"> </w:t>
            </w:r>
            <w:r>
              <w:rPr>
                <w:w w:val="95"/>
                <w:sz w:val="16"/>
              </w:rPr>
              <w:t>roads</w:t>
            </w:r>
            <w:r>
              <w:rPr>
                <w:spacing w:val="-1"/>
                <w:sz w:val="16"/>
              </w:rPr>
              <w:t xml:space="preserve"> </w:t>
            </w:r>
            <w:r>
              <w:rPr>
                <w:w w:val="95"/>
                <w:sz w:val="16"/>
              </w:rPr>
              <w:t>are</w:t>
            </w:r>
            <w:r>
              <w:rPr>
                <w:sz w:val="16"/>
              </w:rPr>
              <w:t xml:space="preserve"> </w:t>
            </w:r>
            <w:r>
              <w:rPr>
                <w:w w:val="95"/>
                <w:sz w:val="16"/>
              </w:rPr>
              <w:t>performing</w:t>
            </w:r>
            <w:r>
              <w:rPr>
                <w:spacing w:val="-1"/>
                <w:sz w:val="16"/>
              </w:rPr>
              <w:t xml:space="preserve"> </w:t>
            </w:r>
            <w:r>
              <w:rPr>
                <w:w w:val="95"/>
                <w:sz w:val="16"/>
              </w:rPr>
              <w:t>adequately</w:t>
            </w:r>
            <w:r>
              <w:rPr>
                <w:spacing w:val="-1"/>
                <w:sz w:val="16"/>
              </w:rPr>
              <w:t xml:space="preserve"> </w:t>
            </w:r>
            <w:r>
              <w:rPr>
                <w:w w:val="95"/>
                <w:sz w:val="16"/>
              </w:rPr>
              <w:t>in</w:t>
            </w:r>
            <w:r>
              <w:rPr>
                <w:spacing w:val="-1"/>
                <w:sz w:val="16"/>
              </w:rPr>
              <w:t xml:space="preserve"> </w:t>
            </w:r>
            <w:r>
              <w:rPr>
                <w:w w:val="95"/>
                <w:sz w:val="16"/>
              </w:rPr>
              <w:t>terms</w:t>
            </w:r>
            <w:r>
              <w:rPr>
                <w:spacing w:val="-1"/>
                <w:sz w:val="16"/>
              </w:rPr>
              <w:t xml:space="preserve"> </w:t>
            </w:r>
            <w:r>
              <w:rPr>
                <w:w w:val="95"/>
                <w:sz w:val="16"/>
              </w:rPr>
              <w:t>of</w:t>
            </w:r>
            <w:r>
              <w:rPr>
                <w:sz w:val="16"/>
              </w:rPr>
              <w:t xml:space="preserve"> </w:t>
            </w:r>
            <w:r>
              <w:rPr>
                <w:w w:val="95"/>
                <w:sz w:val="16"/>
              </w:rPr>
              <w:t>ride</w:t>
            </w:r>
            <w:r>
              <w:rPr>
                <w:spacing w:val="-1"/>
                <w:sz w:val="16"/>
              </w:rPr>
              <w:t xml:space="preserve"> </w:t>
            </w:r>
            <w:r>
              <w:rPr>
                <w:spacing w:val="-2"/>
                <w:w w:val="95"/>
                <w:sz w:val="16"/>
              </w:rPr>
              <w:t>quality.</w:t>
            </w:r>
          </w:p>
          <w:p w:rsidR="002C1123" w:rsidRDefault="00F22F94">
            <w:pPr>
              <w:pStyle w:val="TableParagraph"/>
              <w:numPr>
                <w:ilvl w:val="0"/>
                <w:numId w:val="138"/>
              </w:numPr>
              <w:tabs>
                <w:tab w:val="left" w:pos="253"/>
              </w:tabs>
              <w:spacing w:before="53"/>
              <w:rPr>
                <w:sz w:val="16"/>
              </w:rPr>
            </w:pPr>
            <w:r>
              <w:rPr>
                <w:w w:val="95"/>
                <w:sz w:val="16"/>
              </w:rPr>
              <w:t>Journey</w:t>
            </w:r>
            <w:r>
              <w:rPr>
                <w:spacing w:val="2"/>
                <w:sz w:val="16"/>
              </w:rPr>
              <w:t xml:space="preserve"> </w:t>
            </w:r>
            <w:r>
              <w:rPr>
                <w:w w:val="95"/>
                <w:sz w:val="16"/>
              </w:rPr>
              <w:t>speeds</w:t>
            </w:r>
            <w:r>
              <w:rPr>
                <w:spacing w:val="3"/>
                <w:sz w:val="16"/>
              </w:rPr>
              <w:t xml:space="preserve"> </w:t>
            </w:r>
            <w:r>
              <w:rPr>
                <w:w w:val="95"/>
                <w:sz w:val="16"/>
              </w:rPr>
              <w:t>remain</w:t>
            </w:r>
            <w:r>
              <w:rPr>
                <w:spacing w:val="2"/>
                <w:sz w:val="16"/>
              </w:rPr>
              <w:t xml:space="preserve"> </w:t>
            </w:r>
            <w:r>
              <w:rPr>
                <w:w w:val="95"/>
                <w:sz w:val="16"/>
              </w:rPr>
              <w:t>stable</w:t>
            </w:r>
            <w:r>
              <w:rPr>
                <w:spacing w:val="3"/>
                <w:sz w:val="16"/>
              </w:rPr>
              <w:t xml:space="preserve"> </w:t>
            </w:r>
            <w:r>
              <w:rPr>
                <w:w w:val="95"/>
                <w:sz w:val="16"/>
              </w:rPr>
              <w:t>which</w:t>
            </w:r>
            <w:r>
              <w:rPr>
                <w:spacing w:val="2"/>
                <w:sz w:val="16"/>
              </w:rPr>
              <w:t xml:space="preserve"> </w:t>
            </w:r>
            <w:r>
              <w:rPr>
                <w:w w:val="95"/>
                <w:sz w:val="16"/>
              </w:rPr>
              <w:t>indicates</w:t>
            </w:r>
            <w:r>
              <w:rPr>
                <w:spacing w:val="3"/>
                <w:sz w:val="16"/>
              </w:rPr>
              <w:t xml:space="preserve"> </w:t>
            </w:r>
            <w:r>
              <w:rPr>
                <w:w w:val="95"/>
                <w:sz w:val="16"/>
              </w:rPr>
              <w:t>that</w:t>
            </w:r>
            <w:r>
              <w:rPr>
                <w:spacing w:val="2"/>
                <w:sz w:val="16"/>
              </w:rPr>
              <w:t xml:space="preserve"> </w:t>
            </w:r>
            <w:r>
              <w:rPr>
                <w:w w:val="95"/>
                <w:sz w:val="16"/>
              </w:rPr>
              <w:t>capacity</w:t>
            </w:r>
            <w:r>
              <w:rPr>
                <w:spacing w:val="3"/>
                <w:sz w:val="16"/>
              </w:rPr>
              <w:t xml:space="preserve"> </w:t>
            </w:r>
            <w:r>
              <w:rPr>
                <w:w w:val="95"/>
                <w:sz w:val="16"/>
              </w:rPr>
              <w:t>is</w:t>
            </w:r>
            <w:r>
              <w:rPr>
                <w:spacing w:val="2"/>
                <w:sz w:val="16"/>
              </w:rPr>
              <w:t xml:space="preserve"> </w:t>
            </w:r>
            <w:r>
              <w:rPr>
                <w:w w:val="95"/>
                <w:sz w:val="16"/>
              </w:rPr>
              <w:t>adequate</w:t>
            </w:r>
            <w:r>
              <w:rPr>
                <w:spacing w:val="3"/>
                <w:sz w:val="16"/>
              </w:rPr>
              <w:t xml:space="preserve"> </w:t>
            </w:r>
            <w:r>
              <w:rPr>
                <w:w w:val="95"/>
                <w:sz w:val="16"/>
              </w:rPr>
              <w:t>to</w:t>
            </w:r>
            <w:r>
              <w:rPr>
                <w:spacing w:val="2"/>
                <w:sz w:val="16"/>
              </w:rPr>
              <w:t xml:space="preserve"> </w:t>
            </w:r>
            <w:r>
              <w:rPr>
                <w:w w:val="95"/>
                <w:sz w:val="16"/>
              </w:rPr>
              <w:t>meet</w:t>
            </w:r>
            <w:r>
              <w:rPr>
                <w:spacing w:val="3"/>
                <w:sz w:val="16"/>
              </w:rPr>
              <w:t xml:space="preserve"> </w:t>
            </w:r>
            <w:r>
              <w:rPr>
                <w:w w:val="95"/>
                <w:sz w:val="16"/>
              </w:rPr>
              <w:t>existing</w:t>
            </w:r>
            <w:r>
              <w:rPr>
                <w:spacing w:val="3"/>
                <w:sz w:val="16"/>
              </w:rPr>
              <w:t xml:space="preserve"> </w:t>
            </w:r>
            <w:r>
              <w:rPr>
                <w:spacing w:val="-2"/>
                <w:w w:val="95"/>
                <w:sz w:val="16"/>
              </w:rPr>
              <w:t>needs.</w:t>
            </w:r>
          </w:p>
          <w:p w:rsidR="002C1123" w:rsidRDefault="00F22F94">
            <w:pPr>
              <w:pStyle w:val="TableParagraph"/>
              <w:numPr>
                <w:ilvl w:val="0"/>
                <w:numId w:val="138"/>
              </w:numPr>
              <w:tabs>
                <w:tab w:val="left" w:pos="253"/>
              </w:tabs>
              <w:spacing w:before="56" w:line="235" w:lineRule="auto"/>
              <w:ind w:right="1272"/>
              <w:rPr>
                <w:sz w:val="16"/>
              </w:rPr>
            </w:pPr>
            <w:r>
              <w:rPr>
                <w:w w:val="95"/>
                <w:sz w:val="16"/>
              </w:rPr>
              <w:t xml:space="preserve">RMS has a continuous program of upgrading and modifying existing road assets to improve the connectivity </w:t>
            </w:r>
            <w:r>
              <w:rPr>
                <w:sz w:val="16"/>
              </w:rPr>
              <w:t>and safety of major routes.</w:t>
            </w:r>
          </w:p>
          <w:p w:rsidR="002C1123" w:rsidRDefault="00F22F94">
            <w:pPr>
              <w:pStyle w:val="TableParagraph"/>
              <w:numPr>
                <w:ilvl w:val="0"/>
                <w:numId w:val="138"/>
              </w:numPr>
              <w:tabs>
                <w:tab w:val="left" w:pos="253"/>
              </w:tabs>
              <w:spacing w:before="43"/>
              <w:rPr>
                <w:rFonts w:ascii="Tahoma" w:hAnsi="Tahoma"/>
                <w:sz w:val="16"/>
              </w:rPr>
            </w:pPr>
            <w:r>
              <w:rPr>
                <w:rFonts w:ascii="Tahoma" w:hAnsi="Tahoma"/>
                <w:w w:val="95"/>
                <w:sz w:val="16"/>
              </w:rPr>
              <w:t>10</w:t>
            </w:r>
            <w:r>
              <w:rPr>
                <w:rFonts w:ascii="Tahoma" w:hAnsi="Tahoma"/>
                <w:spacing w:val="-6"/>
                <w:w w:val="95"/>
                <w:sz w:val="16"/>
              </w:rPr>
              <w:t xml:space="preserve"> </w:t>
            </w:r>
            <w:r>
              <w:rPr>
                <w:rFonts w:ascii="Tahoma" w:hAnsi="Tahoma"/>
                <w:w w:val="95"/>
                <w:sz w:val="16"/>
              </w:rPr>
              <w:t>to</w:t>
            </w:r>
            <w:r>
              <w:rPr>
                <w:rFonts w:ascii="Tahoma" w:hAnsi="Tahoma"/>
                <w:spacing w:val="-4"/>
                <w:w w:val="95"/>
                <w:sz w:val="16"/>
              </w:rPr>
              <w:t xml:space="preserve"> </w:t>
            </w:r>
            <w:r>
              <w:rPr>
                <w:rFonts w:ascii="Tahoma" w:hAnsi="Tahoma"/>
                <w:w w:val="95"/>
                <w:sz w:val="16"/>
              </w:rPr>
              <w:t>20%</w:t>
            </w:r>
            <w:r>
              <w:rPr>
                <w:rFonts w:ascii="Tahoma" w:hAnsi="Tahoma"/>
                <w:spacing w:val="-3"/>
                <w:w w:val="95"/>
                <w:sz w:val="16"/>
              </w:rPr>
              <w:t xml:space="preserve"> </w:t>
            </w:r>
            <w:r>
              <w:rPr>
                <w:rFonts w:ascii="Tahoma" w:hAnsi="Tahoma"/>
                <w:w w:val="95"/>
                <w:sz w:val="16"/>
              </w:rPr>
              <w:t>road</w:t>
            </w:r>
            <w:r>
              <w:rPr>
                <w:rFonts w:ascii="Tahoma" w:hAnsi="Tahoma"/>
                <w:spacing w:val="-4"/>
                <w:w w:val="95"/>
                <w:sz w:val="16"/>
              </w:rPr>
              <w:t xml:space="preserve"> </w:t>
            </w:r>
            <w:r>
              <w:rPr>
                <w:rFonts w:ascii="Tahoma" w:hAnsi="Tahoma"/>
                <w:w w:val="95"/>
                <w:sz w:val="16"/>
              </w:rPr>
              <w:t>network</w:t>
            </w:r>
            <w:r>
              <w:rPr>
                <w:rFonts w:ascii="Tahoma" w:hAnsi="Tahoma"/>
                <w:spacing w:val="-4"/>
                <w:w w:val="95"/>
                <w:sz w:val="16"/>
              </w:rPr>
              <w:t xml:space="preserve"> </w:t>
            </w:r>
            <w:r>
              <w:rPr>
                <w:rFonts w:ascii="Tahoma" w:hAnsi="Tahoma"/>
                <w:w w:val="95"/>
                <w:sz w:val="16"/>
              </w:rPr>
              <w:t>not</w:t>
            </w:r>
            <w:r>
              <w:rPr>
                <w:rFonts w:ascii="Tahoma" w:hAnsi="Tahoma"/>
                <w:spacing w:val="-3"/>
                <w:w w:val="95"/>
                <w:sz w:val="16"/>
              </w:rPr>
              <w:t xml:space="preserve"> </w:t>
            </w:r>
            <w:r>
              <w:rPr>
                <w:rFonts w:ascii="Tahoma" w:hAnsi="Tahoma"/>
                <w:w w:val="95"/>
                <w:sz w:val="16"/>
              </w:rPr>
              <w:t>suitable</w:t>
            </w:r>
            <w:r>
              <w:rPr>
                <w:rFonts w:ascii="Tahoma" w:hAnsi="Tahoma"/>
                <w:spacing w:val="-4"/>
                <w:w w:val="95"/>
                <w:sz w:val="16"/>
              </w:rPr>
              <w:t xml:space="preserve"> </w:t>
            </w:r>
            <w:r>
              <w:rPr>
                <w:rFonts w:ascii="Tahoma" w:hAnsi="Tahoma"/>
                <w:w w:val="95"/>
                <w:sz w:val="16"/>
              </w:rPr>
              <w:t>for</w:t>
            </w:r>
            <w:r>
              <w:rPr>
                <w:rFonts w:ascii="Tahoma" w:hAnsi="Tahoma"/>
                <w:spacing w:val="-4"/>
                <w:w w:val="95"/>
                <w:sz w:val="16"/>
              </w:rPr>
              <w:t xml:space="preserve"> </w:t>
            </w:r>
            <w:r>
              <w:rPr>
                <w:rFonts w:ascii="Tahoma" w:hAnsi="Tahoma"/>
                <w:w w:val="95"/>
                <w:sz w:val="16"/>
              </w:rPr>
              <w:t>high</w:t>
            </w:r>
            <w:r>
              <w:rPr>
                <w:rFonts w:ascii="Tahoma" w:hAnsi="Tahoma"/>
                <w:spacing w:val="-3"/>
                <w:w w:val="95"/>
                <w:sz w:val="16"/>
              </w:rPr>
              <w:t xml:space="preserve"> </w:t>
            </w:r>
            <w:r>
              <w:rPr>
                <w:rFonts w:ascii="Tahoma" w:hAnsi="Tahoma"/>
                <w:w w:val="95"/>
                <w:sz w:val="16"/>
              </w:rPr>
              <w:t>productivity/high</w:t>
            </w:r>
            <w:r>
              <w:rPr>
                <w:rFonts w:ascii="Tahoma" w:hAnsi="Tahoma"/>
                <w:spacing w:val="-4"/>
                <w:w w:val="95"/>
                <w:sz w:val="16"/>
              </w:rPr>
              <w:t xml:space="preserve"> </w:t>
            </w:r>
            <w:r>
              <w:rPr>
                <w:rFonts w:ascii="Tahoma" w:hAnsi="Tahoma"/>
                <w:w w:val="95"/>
                <w:sz w:val="16"/>
              </w:rPr>
              <w:t>mass</w:t>
            </w:r>
            <w:r>
              <w:rPr>
                <w:rFonts w:ascii="Tahoma" w:hAnsi="Tahoma"/>
                <w:spacing w:val="-4"/>
                <w:w w:val="95"/>
                <w:sz w:val="16"/>
              </w:rPr>
              <w:t xml:space="preserve"> </w:t>
            </w:r>
            <w:r>
              <w:rPr>
                <w:rFonts w:ascii="Tahoma" w:hAnsi="Tahoma"/>
                <w:w w:val="95"/>
                <w:sz w:val="16"/>
              </w:rPr>
              <w:t>limit</w:t>
            </w:r>
            <w:r>
              <w:rPr>
                <w:rFonts w:ascii="Tahoma" w:hAnsi="Tahoma"/>
                <w:spacing w:val="-3"/>
                <w:w w:val="95"/>
                <w:sz w:val="16"/>
              </w:rPr>
              <w:t xml:space="preserve"> </w:t>
            </w:r>
            <w:r>
              <w:rPr>
                <w:rFonts w:ascii="Tahoma" w:hAnsi="Tahoma"/>
                <w:spacing w:val="-2"/>
                <w:w w:val="95"/>
                <w:sz w:val="16"/>
              </w:rPr>
              <w:t>vehicles.</w:t>
            </w:r>
          </w:p>
        </w:tc>
      </w:tr>
      <w:tr w:rsidR="002C1123">
        <w:trPr>
          <w:trHeight w:val="1931"/>
        </w:trPr>
        <w:tc>
          <w:tcPr>
            <w:tcW w:w="2201" w:type="dxa"/>
            <w:vMerge/>
            <w:tcBorders>
              <w:top w:val="nil"/>
              <w:left w:val="nil"/>
            </w:tcBorders>
            <w:shd w:val="clear" w:color="auto" w:fill="E1E0E1"/>
          </w:tcPr>
          <w:p w:rsidR="002C1123" w:rsidRDefault="002C1123">
            <w:pPr>
              <w:rPr>
                <w:sz w:val="2"/>
                <w:szCs w:val="2"/>
              </w:rPr>
            </w:pPr>
          </w:p>
        </w:tc>
        <w:tc>
          <w:tcPr>
            <w:tcW w:w="1276" w:type="dxa"/>
            <w:shd w:val="clear" w:color="auto" w:fill="E1E0E1"/>
          </w:tcPr>
          <w:p w:rsidR="002C1123" w:rsidRDefault="00F22F94">
            <w:pPr>
              <w:pStyle w:val="TableParagraph"/>
              <w:spacing w:line="254" w:lineRule="auto"/>
              <w:ind w:right="186"/>
              <w:rPr>
                <w:sz w:val="16"/>
              </w:rPr>
            </w:pPr>
            <w:r>
              <w:rPr>
                <w:spacing w:val="-2"/>
                <w:w w:val="95"/>
                <w:sz w:val="16"/>
              </w:rPr>
              <w:t>Regional</w:t>
            </w:r>
            <w:r>
              <w:rPr>
                <w:spacing w:val="-7"/>
                <w:w w:val="95"/>
                <w:sz w:val="16"/>
              </w:rPr>
              <w:t xml:space="preserve"> </w:t>
            </w:r>
            <w:r>
              <w:rPr>
                <w:spacing w:val="-2"/>
                <w:w w:val="95"/>
                <w:sz w:val="16"/>
              </w:rPr>
              <w:t xml:space="preserve">Rail </w:t>
            </w:r>
            <w:r>
              <w:rPr>
                <w:sz w:val="16"/>
              </w:rPr>
              <w:t>(Section</w:t>
            </w:r>
            <w:r>
              <w:rPr>
                <w:spacing w:val="-5"/>
                <w:sz w:val="16"/>
              </w:rPr>
              <w:t xml:space="preserve"> </w:t>
            </w:r>
            <w:r>
              <w:rPr>
                <w:sz w:val="16"/>
              </w:rPr>
              <w:t>10)</w:t>
            </w:r>
          </w:p>
        </w:tc>
        <w:tc>
          <w:tcPr>
            <w:tcW w:w="1248" w:type="dxa"/>
            <w:shd w:val="clear" w:color="auto" w:fill="E1E0E1"/>
          </w:tcPr>
          <w:p w:rsidR="002C1123" w:rsidRDefault="002C1123">
            <w:pPr>
              <w:pStyle w:val="TableParagraph"/>
              <w:spacing w:before="0"/>
              <w:ind w:left="0"/>
              <w:rPr>
                <w:b/>
                <w:sz w:val="36"/>
              </w:rPr>
            </w:pPr>
          </w:p>
          <w:p w:rsidR="002C1123" w:rsidRDefault="002C1123">
            <w:pPr>
              <w:pStyle w:val="TableParagraph"/>
              <w:spacing w:before="5"/>
              <w:ind w:left="0"/>
              <w:rPr>
                <w:b/>
                <w:sz w:val="30"/>
              </w:rPr>
            </w:pPr>
          </w:p>
          <w:p w:rsidR="002C1123" w:rsidRDefault="00F22F94">
            <w:pPr>
              <w:pStyle w:val="TableParagraph"/>
              <w:spacing w:before="0"/>
              <w:ind w:left="29"/>
              <w:jc w:val="center"/>
              <w:rPr>
                <w:rFonts w:ascii="Trebuchet MS"/>
                <w:sz w:val="32"/>
              </w:rPr>
            </w:pPr>
            <w:r>
              <w:rPr>
                <w:rFonts w:ascii="Trebuchet MS"/>
                <w:color w:val="F47920"/>
                <w:w w:val="56"/>
                <w:sz w:val="32"/>
              </w:rPr>
              <w:t>C</w:t>
            </w:r>
          </w:p>
        </w:tc>
        <w:tc>
          <w:tcPr>
            <w:tcW w:w="1135" w:type="dxa"/>
            <w:shd w:val="clear" w:color="auto" w:fill="E1E0E1"/>
          </w:tcPr>
          <w:p w:rsidR="002C1123" w:rsidRDefault="002C1123">
            <w:pPr>
              <w:pStyle w:val="TableParagraph"/>
              <w:spacing w:before="0"/>
              <w:ind w:left="0"/>
              <w:rPr>
                <w:b/>
                <w:sz w:val="36"/>
              </w:rPr>
            </w:pPr>
          </w:p>
          <w:p w:rsidR="002C1123" w:rsidRDefault="002C1123">
            <w:pPr>
              <w:pStyle w:val="TableParagraph"/>
              <w:spacing w:before="5"/>
              <w:ind w:left="0"/>
              <w:rPr>
                <w:b/>
                <w:sz w:val="30"/>
              </w:rPr>
            </w:pPr>
          </w:p>
          <w:p w:rsidR="002C1123" w:rsidRDefault="00F22F94">
            <w:pPr>
              <w:pStyle w:val="TableParagraph"/>
              <w:spacing w:before="0"/>
              <w:ind w:left="517"/>
              <w:rPr>
                <w:rFonts w:ascii="Trebuchet MS"/>
                <w:sz w:val="32"/>
              </w:rPr>
            </w:pPr>
            <w:r>
              <w:rPr>
                <w:rFonts w:ascii="Trebuchet MS"/>
                <w:color w:val="F47920"/>
                <w:w w:val="56"/>
                <w:sz w:val="32"/>
              </w:rPr>
              <w:t>C</w:t>
            </w:r>
          </w:p>
        </w:tc>
        <w:tc>
          <w:tcPr>
            <w:tcW w:w="8959" w:type="dxa"/>
            <w:shd w:val="clear" w:color="auto" w:fill="E1E0E1"/>
          </w:tcPr>
          <w:p w:rsidR="002C1123" w:rsidRDefault="00F22F94">
            <w:pPr>
              <w:pStyle w:val="TableParagraph"/>
              <w:numPr>
                <w:ilvl w:val="0"/>
                <w:numId w:val="137"/>
              </w:numPr>
              <w:tabs>
                <w:tab w:val="left" w:pos="253"/>
              </w:tabs>
              <w:spacing w:line="177" w:lineRule="exact"/>
              <w:rPr>
                <w:sz w:val="16"/>
              </w:rPr>
            </w:pPr>
            <w:r>
              <w:rPr>
                <w:w w:val="95"/>
                <w:sz w:val="16"/>
              </w:rPr>
              <w:t>The</w:t>
            </w:r>
            <w:r>
              <w:rPr>
                <w:spacing w:val="1"/>
                <w:sz w:val="16"/>
              </w:rPr>
              <w:t xml:space="preserve"> </w:t>
            </w:r>
            <w:r>
              <w:rPr>
                <w:w w:val="95"/>
                <w:sz w:val="16"/>
              </w:rPr>
              <w:t>condition</w:t>
            </w:r>
            <w:r>
              <w:rPr>
                <w:spacing w:val="1"/>
                <w:sz w:val="16"/>
              </w:rPr>
              <w:t xml:space="preserve"> </w:t>
            </w:r>
            <w:r>
              <w:rPr>
                <w:w w:val="95"/>
                <w:sz w:val="16"/>
              </w:rPr>
              <w:t>of</w:t>
            </w:r>
            <w:r>
              <w:rPr>
                <w:spacing w:val="1"/>
                <w:sz w:val="16"/>
              </w:rPr>
              <w:t xml:space="preserve"> </w:t>
            </w:r>
            <w:r>
              <w:rPr>
                <w:w w:val="95"/>
                <w:sz w:val="16"/>
              </w:rPr>
              <w:t>the</w:t>
            </w:r>
            <w:r>
              <w:rPr>
                <w:spacing w:val="1"/>
                <w:sz w:val="16"/>
              </w:rPr>
              <w:t xml:space="preserve"> </w:t>
            </w:r>
            <w:r>
              <w:rPr>
                <w:w w:val="95"/>
                <w:sz w:val="16"/>
              </w:rPr>
              <w:t>Country</w:t>
            </w:r>
            <w:r>
              <w:rPr>
                <w:spacing w:val="1"/>
                <w:sz w:val="16"/>
              </w:rPr>
              <w:t xml:space="preserve"> </w:t>
            </w:r>
            <w:r>
              <w:rPr>
                <w:w w:val="95"/>
                <w:sz w:val="16"/>
              </w:rPr>
              <w:t>Rail</w:t>
            </w:r>
            <w:r>
              <w:rPr>
                <w:spacing w:val="2"/>
                <w:sz w:val="16"/>
              </w:rPr>
              <w:t xml:space="preserve"> </w:t>
            </w:r>
            <w:r>
              <w:rPr>
                <w:w w:val="95"/>
                <w:sz w:val="16"/>
              </w:rPr>
              <w:t>network</w:t>
            </w:r>
            <w:r>
              <w:rPr>
                <w:spacing w:val="1"/>
                <w:sz w:val="16"/>
              </w:rPr>
              <w:t xml:space="preserve"> </w:t>
            </w:r>
            <w:r>
              <w:rPr>
                <w:w w:val="95"/>
                <w:sz w:val="16"/>
              </w:rPr>
              <w:t>is</w:t>
            </w:r>
            <w:r>
              <w:rPr>
                <w:spacing w:val="1"/>
                <w:sz w:val="16"/>
              </w:rPr>
              <w:t xml:space="preserve"> </w:t>
            </w:r>
            <w:r>
              <w:rPr>
                <w:w w:val="95"/>
                <w:sz w:val="16"/>
              </w:rPr>
              <w:t>significantly</w:t>
            </w:r>
            <w:r>
              <w:rPr>
                <w:spacing w:val="1"/>
                <w:sz w:val="16"/>
              </w:rPr>
              <w:t xml:space="preserve"> </w:t>
            </w:r>
            <w:r>
              <w:rPr>
                <w:w w:val="95"/>
                <w:sz w:val="16"/>
              </w:rPr>
              <w:t>worse</w:t>
            </w:r>
            <w:r>
              <w:rPr>
                <w:spacing w:val="1"/>
                <w:sz w:val="16"/>
              </w:rPr>
              <w:t xml:space="preserve"> </w:t>
            </w:r>
            <w:r>
              <w:rPr>
                <w:w w:val="95"/>
                <w:sz w:val="16"/>
              </w:rPr>
              <w:t>than</w:t>
            </w:r>
            <w:r>
              <w:rPr>
                <w:spacing w:val="2"/>
                <w:sz w:val="16"/>
              </w:rPr>
              <w:t xml:space="preserve"> </w:t>
            </w:r>
            <w:r>
              <w:rPr>
                <w:w w:val="95"/>
                <w:sz w:val="16"/>
              </w:rPr>
              <w:t>the</w:t>
            </w:r>
            <w:r>
              <w:rPr>
                <w:spacing w:val="1"/>
                <w:sz w:val="16"/>
              </w:rPr>
              <w:t xml:space="preserve"> </w:t>
            </w:r>
            <w:r>
              <w:rPr>
                <w:w w:val="95"/>
                <w:sz w:val="16"/>
              </w:rPr>
              <w:t>metropolitan</w:t>
            </w:r>
            <w:r>
              <w:rPr>
                <w:spacing w:val="1"/>
                <w:sz w:val="16"/>
              </w:rPr>
              <w:t xml:space="preserve"> </w:t>
            </w:r>
            <w:r>
              <w:rPr>
                <w:w w:val="95"/>
                <w:sz w:val="16"/>
              </w:rPr>
              <w:t>network</w:t>
            </w:r>
            <w:r>
              <w:rPr>
                <w:spacing w:val="1"/>
                <w:sz w:val="16"/>
              </w:rPr>
              <w:t xml:space="preserve"> </w:t>
            </w:r>
            <w:r>
              <w:rPr>
                <w:w w:val="95"/>
                <w:sz w:val="16"/>
              </w:rPr>
              <w:t>with</w:t>
            </w:r>
            <w:r>
              <w:rPr>
                <w:spacing w:val="1"/>
                <w:sz w:val="16"/>
              </w:rPr>
              <w:t xml:space="preserve"> </w:t>
            </w:r>
            <w:r>
              <w:rPr>
                <w:w w:val="95"/>
                <w:sz w:val="16"/>
              </w:rPr>
              <w:t>severe</w:t>
            </w:r>
            <w:r>
              <w:rPr>
                <w:spacing w:val="1"/>
                <w:sz w:val="16"/>
              </w:rPr>
              <w:t xml:space="preserve"> </w:t>
            </w:r>
            <w:r>
              <w:rPr>
                <w:spacing w:val="-2"/>
                <w:w w:val="95"/>
                <w:sz w:val="16"/>
              </w:rPr>
              <w:t>operating</w:t>
            </w:r>
          </w:p>
          <w:p w:rsidR="002C1123" w:rsidRDefault="00F22F94">
            <w:pPr>
              <w:pStyle w:val="TableParagraph"/>
              <w:spacing w:before="0" w:line="235" w:lineRule="auto"/>
              <w:ind w:left="252" w:right="224"/>
              <w:rPr>
                <w:sz w:val="16"/>
              </w:rPr>
            </w:pPr>
            <w:r>
              <w:rPr>
                <w:rFonts w:ascii="Tahoma"/>
                <w:w w:val="95"/>
                <w:sz w:val="16"/>
              </w:rPr>
              <w:t xml:space="preserve">speed limits and axle load limits. About 55% of the grain rail network is Class 5 track which is limited to 40 kph speeds and </w:t>
            </w:r>
            <w:r>
              <w:rPr>
                <w:sz w:val="16"/>
              </w:rPr>
              <w:t>operates</w:t>
            </w:r>
            <w:r>
              <w:rPr>
                <w:spacing w:val="-10"/>
                <w:sz w:val="16"/>
              </w:rPr>
              <w:t xml:space="preserve"> </w:t>
            </w:r>
            <w:r>
              <w:rPr>
                <w:sz w:val="16"/>
              </w:rPr>
              <w:t>to</w:t>
            </w:r>
            <w:r>
              <w:rPr>
                <w:spacing w:val="-10"/>
                <w:sz w:val="16"/>
              </w:rPr>
              <w:t xml:space="preserve"> </w:t>
            </w:r>
            <w:r>
              <w:rPr>
                <w:sz w:val="16"/>
              </w:rPr>
              <w:t>19</w:t>
            </w:r>
            <w:r>
              <w:rPr>
                <w:spacing w:val="-10"/>
                <w:sz w:val="16"/>
              </w:rPr>
              <w:t xml:space="preserve"> </w:t>
            </w:r>
            <w:r>
              <w:rPr>
                <w:sz w:val="16"/>
              </w:rPr>
              <w:t>tonne</w:t>
            </w:r>
            <w:r>
              <w:rPr>
                <w:spacing w:val="-10"/>
                <w:sz w:val="16"/>
              </w:rPr>
              <w:t xml:space="preserve"> </w:t>
            </w:r>
            <w:r>
              <w:rPr>
                <w:sz w:val="16"/>
              </w:rPr>
              <w:t>axle</w:t>
            </w:r>
            <w:r>
              <w:rPr>
                <w:spacing w:val="-10"/>
                <w:sz w:val="16"/>
              </w:rPr>
              <w:t xml:space="preserve"> </w:t>
            </w:r>
            <w:r>
              <w:rPr>
                <w:sz w:val="16"/>
              </w:rPr>
              <w:t>load</w:t>
            </w:r>
            <w:r>
              <w:rPr>
                <w:spacing w:val="-10"/>
                <w:sz w:val="16"/>
              </w:rPr>
              <w:t xml:space="preserve"> </w:t>
            </w:r>
            <w:r>
              <w:rPr>
                <w:sz w:val="16"/>
              </w:rPr>
              <w:t>limits.</w:t>
            </w:r>
            <w:r>
              <w:rPr>
                <w:spacing w:val="-10"/>
                <w:sz w:val="16"/>
              </w:rPr>
              <w:t xml:space="preserve"> </w:t>
            </w:r>
            <w:r>
              <w:rPr>
                <w:sz w:val="16"/>
              </w:rPr>
              <w:t>Many</w:t>
            </w:r>
            <w:r>
              <w:rPr>
                <w:spacing w:val="-10"/>
                <w:sz w:val="16"/>
              </w:rPr>
              <w:t xml:space="preserve"> </w:t>
            </w:r>
            <w:r>
              <w:rPr>
                <w:sz w:val="16"/>
              </w:rPr>
              <w:t>of</w:t>
            </w:r>
            <w:r>
              <w:rPr>
                <w:spacing w:val="-10"/>
                <w:sz w:val="16"/>
              </w:rPr>
              <w:t xml:space="preserve"> </w:t>
            </w:r>
            <w:r>
              <w:rPr>
                <w:sz w:val="16"/>
              </w:rPr>
              <w:t>these</w:t>
            </w:r>
            <w:r>
              <w:rPr>
                <w:spacing w:val="-10"/>
                <w:sz w:val="16"/>
              </w:rPr>
              <w:t xml:space="preserve"> </w:t>
            </w:r>
            <w:r>
              <w:rPr>
                <w:sz w:val="16"/>
              </w:rPr>
              <w:t>lines</w:t>
            </w:r>
            <w:r>
              <w:rPr>
                <w:spacing w:val="-10"/>
                <w:sz w:val="16"/>
              </w:rPr>
              <w:t xml:space="preserve"> </w:t>
            </w:r>
            <w:r>
              <w:rPr>
                <w:sz w:val="16"/>
              </w:rPr>
              <w:t>are</w:t>
            </w:r>
            <w:r>
              <w:rPr>
                <w:spacing w:val="-10"/>
                <w:sz w:val="16"/>
              </w:rPr>
              <w:t xml:space="preserve"> </w:t>
            </w:r>
            <w:r>
              <w:rPr>
                <w:sz w:val="16"/>
              </w:rPr>
              <w:t>further</w:t>
            </w:r>
            <w:r>
              <w:rPr>
                <w:spacing w:val="-10"/>
                <w:sz w:val="16"/>
              </w:rPr>
              <w:t xml:space="preserve"> </w:t>
            </w:r>
            <w:r>
              <w:rPr>
                <w:sz w:val="16"/>
              </w:rPr>
              <w:t>restricted</w:t>
            </w:r>
            <w:r>
              <w:rPr>
                <w:spacing w:val="-10"/>
                <w:sz w:val="16"/>
              </w:rPr>
              <w:t xml:space="preserve"> </w:t>
            </w:r>
            <w:r>
              <w:rPr>
                <w:sz w:val="16"/>
              </w:rPr>
              <w:t>to</w:t>
            </w:r>
            <w:r>
              <w:rPr>
                <w:spacing w:val="-10"/>
                <w:sz w:val="16"/>
              </w:rPr>
              <w:t xml:space="preserve"> </w:t>
            </w:r>
            <w:r>
              <w:rPr>
                <w:sz w:val="16"/>
              </w:rPr>
              <w:t>20</w:t>
            </w:r>
            <w:r>
              <w:rPr>
                <w:spacing w:val="-10"/>
                <w:sz w:val="16"/>
              </w:rPr>
              <w:t xml:space="preserve"> </w:t>
            </w:r>
            <w:r>
              <w:rPr>
                <w:sz w:val="16"/>
              </w:rPr>
              <w:t>kph</w:t>
            </w:r>
            <w:r>
              <w:rPr>
                <w:spacing w:val="-10"/>
                <w:sz w:val="16"/>
              </w:rPr>
              <w:t xml:space="preserve"> </w:t>
            </w:r>
            <w:r>
              <w:rPr>
                <w:sz w:val="16"/>
              </w:rPr>
              <w:t>operations</w:t>
            </w:r>
            <w:r>
              <w:rPr>
                <w:spacing w:val="-10"/>
                <w:sz w:val="16"/>
              </w:rPr>
              <w:t xml:space="preserve"> </w:t>
            </w:r>
            <w:r>
              <w:rPr>
                <w:sz w:val="16"/>
              </w:rPr>
              <w:t>because</w:t>
            </w:r>
            <w:r>
              <w:rPr>
                <w:spacing w:val="-10"/>
                <w:sz w:val="16"/>
              </w:rPr>
              <w:t xml:space="preserve"> </w:t>
            </w:r>
            <w:r>
              <w:rPr>
                <w:sz w:val="16"/>
              </w:rPr>
              <w:t>limitations with</w:t>
            </w:r>
            <w:r>
              <w:rPr>
                <w:spacing w:val="-7"/>
                <w:sz w:val="16"/>
              </w:rPr>
              <w:t xml:space="preserve"> </w:t>
            </w:r>
            <w:r>
              <w:rPr>
                <w:sz w:val="16"/>
              </w:rPr>
              <w:t>the</w:t>
            </w:r>
            <w:r>
              <w:rPr>
                <w:spacing w:val="-7"/>
                <w:sz w:val="16"/>
              </w:rPr>
              <w:t xml:space="preserve"> </w:t>
            </w:r>
            <w:r>
              <w:rPr>
                <w:sz w:val="16"/>
              </w:rPr>
              <w:t>track</w:t>
            </w:r>
            <w:r>
              <w:rPr>
                <w:spacing w:val="-7"/>
                <w:sz w:val="16"/>
              </w:rPr>
              <w:t xml:space="preserve"> </w:t>
            </w:r>
            <w:r>
              <w:rPr>
                <w:sz w:val="16"/>
              </w:rPr>
              <w:t>formation.</w:t>
            </w:r>
            <w:r>
              <w:rPr>
                <w:spacing w:val="-7"/>
                <w:sz w:val="16"/>
              </w:rPr>
              <w:t xml:space="preserve"> </w:t>
            </w:r>
            <w:r>
              <w:rPr>
                <w:sz w:val="16"/>
              </w:rPr>
              <w:t>Much</w:t>
            </w:r>
            <w:r>
              <w:rPr>
                <w:spacing w:val="-7"/>
                <w:sz w:val="16"/>
              </w:rPr>
              <w:t xml:space="preserve"> </w:t>
            </w:r>
            <w:r>
              <w:rPr>
                <w:sz w:val="16"/>
              </w:rPr>
              <w:t>of</w:t>
            </w:r>
            <w:r>
              <w:rPr>
                <w:spacing w:val="-7"/>
                <w:sz w:val="16"/>
              </w:rPr>
              <w:t xml:space="preserve"> </w:t>
            </w:r>
            <w:r>
              <w:rPr>
                <w:sz w:val="16"/>
              </w:rPr>
              <w:t>the</w:t>
            </w:r>
            <w:r>
              <w:rPr>
                <w:spacing w:val="-7"/>
                <w:sz w:val="16"/>
              </w:rPr>
              <w:t xml:space="preserve"> </w:t>
            </w:r>
            <w:r>
              <w:rPr>
                <w:sz w:val="16"/>
              </w:rPr>
              <w:t>network</w:t>
            </w:r>
            <w:r>
              <w:rPr>
                <w:spacing w:val="-7"/>
                <w:sz w:val="16"/>
              </w:rPr>
              <w:t xml:space="preserve"> </w:t>
            </w:r>
            <w:r>
              <w:rPr>
                <w:sz w:val="16"/>
              </w:rPr>
              <w:t>is</w:t>
            </w:r>
            <w:r>
              <w:rPr>
                <w:spacing w:val="-7"/>
                <w:sz w:val="16"/>
              </w:rPr>
              <w:t xml:space="preserve"> </w:t>
            </w:r>
            <w:r>
              <w:rPr>
                <w:sz w:val="16"/>
              </w:rPr>
              <w:t>characterised</w:t>
            </w:r>
            <w:r>
              <w:rPr>
                <w:spacing w:val="-7"/>
                <w:sz w:val="16"/>
              </w:rPr>
              <w:t xml:space="preserve"> </w:t>
            </w:r>
            <w:r>
              <w:rPr>
                <w:sz w:val="16"/>
              </w:rPr>
              <w:t>by</w:t>
            </w:r>
            <w:r>
              <w:rPr>
                <w:spacing w:val="-7"/>
                <w:sz w:val="16"/>
              </w:rPr>
              <w:t xml:space="preserve"> </w:t>
            </w:r>
            <w:r>
              <w:rPr>
                <w:sz w:val="16"/>
              </w:rPr>
              <w:t>timber</w:t>
            </w:r>
            <w:r>
              <w:rPr>
                <w:spacing w:val="-7"/>
                <w:sz w:val="16"/>
              </w:rPr>
              <w:t xml:space="preserve"> </w:t>
            </w:r>
            <w:r>
              <w:rPr>
                <w:sz w:val="16"/>
              </w:rPr>
              <w:t>sleepers</w:t>
            </w:r>
            <w:r>
              <w:rPr>
                <w:spacing w:val="-7"/>
                <w:sz w:val="16"/>
              </w:rPr>
              <w:t xml:space="preserve"> </w:t>
            </w:r>
            <w:r>
              <w:rPr>
                <w:sz w:val="16"/>
              </w:rPr>
              <w:t>on</w:t>
            </w:r>
            <w:r>
              <w:rPr>
                <w:spacing w:val="-7"/>
                <w:sz w:val="16"/>
              </w:rPr>
              <w:t xml:space="preserve"> </w:t>
            </w:r>
            <w:r>
              <w:rPr>
                <w:sz w:val="16"/>
              </w:rPr>
              <w:t>the</w:t>
            </w:r>
            <w:r>
              <w:rPr>
                <w:spacing w:val="-7"/>
                <w:sz w:val="16"/>
              </w:rPr>
              <w:t xml:space="preserve"> </w:t>
            </w:r>
            <w:r>
              <w:rPr>
                <w:sz w:val="16"/>
              </w:rPr>
              <w:t>branch</w:t>
            </w:r>
            <w:r>
              <w:rPr>
                <w:spacing w:val="-7"/>
                <w:sz w:val="16"/>
              </w:rPr>
              <w:t xml:space="preserve"> </w:t>
            </w:r>
            <w:r>
              <w:rPr>
                <w:sz w:val="16"/>
              </w:rPr>
              <w:t>lines</w:t>
            </w:r>
            <w:r>
              <w:rPr>
                <w:spacing w:val="-7"/>
                <w:sz w:val="16"/>
              </w:rPr>
              <w:t xml:space="preserve"> </w:t>
            </w:r>
            <w:r>
              <w:rPr>
                <w:sz w:val="16"/>
              </w:rPr>
              <w:t>and</w:t>
            </w:r>
            <w:r>
              <w:rPr>
                <w:spacing w:val="-7"/>
                <w:sz w:val="16"/>
              </w:rPr>
              <w:t xml:space="preserve"> </w:t>
            </w:r>
            <w:r>
              <w:rPr>
                <w:sz w:val="16"/>
              </w:rPr>
              <w:t>numerous timber</w:t>
            </w:r>
            <w:r>
              <w:rPr>
                <w:spacing w:val="-4"/>
                <w:sz w:val="16"/>
              </w:rPr>
              <w:t xml:space="preserve"> </w:t>
            </w:r>
            <w:r>
              <w:rPr>
                <w:sz w:val="16"/>
              </w:rPr>
              <w:t>bridges.</w:t>
            </w:r>
          </w:p>
          <w:p w:rsidR="002C1123" w:rsidRDefault="00F22F94">
            <w:pPr>
              <w:pStyle w:val="TableParagraph"/>
              <w:numPr>
                <w:ilvl w:val="0"/>
                <w:numId w:val="137"/>
              </w:numPr>
              <w:tabs>
                <w:tab w:val="left" w:pos="253"/>
              </w:tabs>
              <w:spacing w:before="53" w:line="235" w:lineRule="auto"/>
              <w:ind w:right="592"/>
              <w:rPr>
                <w:sz w:val="16"/>
              </w:rPr>
            </w:pPr>
            <w:r>
              <w:rPr>
                <w:w w:val="95"/>
                <w:sz w:val="16"/>
              </w:rPr>
              <w:t xml:space="preserve">Rail freight operations are constrained when the network is shared or interfaces with metropolitan passenger services. </w:t>
            </w:r>
            <w:r>
              <w:rPr>
                <w:sz w:val="16"/>
              </w:rPr>
              <w:t>This</w:t>
            </w:r>
            <w:r>
              <w:rPr>
                <w:spacing w:val="-8"/>
                <w:sz w:val="16"/>
              </w:rPr>
              <w:t xml:space="preserve"> </w:t>
            </w:r>
            <w:r>
              <w:rPr>
                <w:sz w:val="16"/>
              </w:rPr>
              <w:t>is</w:t>
            </w:r>
            <w:r>
              <w:rPr>
                <w:spacing w:val="-8"/>
                <w:sz w:val="16"/>
              </w:rPr>
              <w:t xml:space="preserve"> </w:t>
            </w:r>
            <w:r>
              <w:rPr>
                <w:sz w:val="16"/>
              </w:rPr>
              <w:t>particularly</w:t>
            </w:r>
            <w:r>
              <w:rPr>
                <w:spacing w:val="-8"/>
                <w:sz w:val="16"/>
              </w:rPr>
              <w:t xml:space="preserve"> </w:t>
            </w:r>
            <w:r>
              <w:rPr>
                <w:sz w:val="16"/>
              </w:rPr>
              <w:t>apparent</w:t>
            </w:r>
            <w:r>
              <w:rPr>
                <w:spacing w:val="-8"/>
                <w:sz w:val="16"/>
              </w:rPr>
              <w:t xml:space="preserve"> </w:t>
            </w:r>
            <w:r>
              <w:rPr>
                <w:sz w:val="16"/>
              </w:rPr>
              <w:t>during</w:t>
            </w:r>
            <w:r>
              <w:rPr>
                <w:spacing w:val="-8"/>
                <w:sz w:val="16"/>
              </w:rPr>
              <w:t xml:space="preserve"> </w:t>
            </w:r>
            <w:r>
              <w:rPr>
                <w:sz w:val="16"/>
              </w:rPr>
              <w:t>the</w:t>
            </w:r>
            <w:r>
              <w:rPr>
                <w:spacing w:val="-8"/>
                <w:sz w:val="16"/>
              </w:rPr>
              <w:t xml:space="preserve"> </w:t>
            </w:r>
            <w:r>
              <w:rPr>
                <w:sz w:val="16"/>
              </w:rPr>
              <w:t>peak</w:t>
            </w:r>
            <w:r>
              <w:rPr>
                <w:spacing w:val="-8"/>
                <w:sz w:val="16"/>
              </w:rPr>
              <w:t xml:space="preserve"> </w:t>
            </w:r>
            <w:r>
              <w:rPr>
                <w:sz w:val="16"/>
              </w:rPr>
              <w:t>commute</w:t>
            </w:r>
            <w:r>
              <w:rPr>
                <w:spacing w:val="-8"/>
                <w:sz w:val="16"/>
              </w:rPr>
              <w:t xml:space="preserve"> </w:t>
            </w:r>
            <w:r>
              <w:rPr>
                <w:sz w:val="16"/>
              </w:rPr>
              <w:t>hours</w:t>
            </w:r>
            <w:r>
              <w:rPr>
                <w:spacing w:val="-8"/>
                <w:sz w:val="16"/>
              </w:rPr>
              <w:t xml:space="preserve"> </w:t>
            </w:r>
            <w:r>
              <w:rPr>
                <w:sz w:val="16"/>
              </w:rPr>
              <w:t>where</w:t>
            </w:r>
            <w:r>
              <w:rPr>
                <w:spacing w:val="-8"/>
                <w:sz w:val="16"/>
              </w:rPr>
              <w:t xml:space="preserve"> </w:t>
            </w:r>
            <w:r>
              <w:rPr>
                <w:sz w:val="16"/>
              </w:rPr>
              <w:t>curfews</w:t>
            </w:r>
            <w:r>
              <w:rPr>
                <w:spacing w:val="-8"/>
                <w:sz w:val="16"/>
              </w:rPr>
              <w:t xml:space="preserve"> </w:t>
            </w:r>
            <w:r>
              <w:rPr>
                <w:sz w:val="16"/>
              </w:rPr>
              <w:t>prevent</w:t>
            </w:r>
            <w:r>
              <w:rPr>
                <w:spacing w:val="-8"/>
                <w:sz w:val="16"/>
              </w:rPr>
              <w:t xml:space="preserve"> </w:t>
            </w:r>
            <w:r>
              <w:rPr>
                <w:sz w:val="16"/>
              </w:rPr>
              <w:t>freight</w:t>
            </w:r>
            <w:r>
              <w:rPr>
                <w:spacing w:val="-8"/>
                <w:sz w:val="16"/>
              </w:rPr>
              <w:t xml:space="preserve"> </w:t>
            </w:r>
            <w:r>
              <w:rPr>
                <w:sz w:val="16"/>
              </w:rPr>
              <w:t>train</w:t>
            </w:r>
            <w:r>
              <w:rPr>
                <w:spacing w:val="-8"/>
                <w:sz w:val="16"/>
              </w:rPr>
              <w:t xml:space="preserve"> </w:t>
            </w:r>
            <w:r>
              <w:rPr>
                <w:sz w:val="16"/>
              </w:rPr>
              <w:t>access</w:t>
            </w:r>
            <w:r>
              <w:rPr>
                <w:spacing w:val="-8"/>
                <w:sz w:val="16"/>
              </w:rPr>
              <w:t xml:space="preserve"> </w:t>
            </w:r>
            <w:r>
              <w:rPr>
                <w:sz w:val="16"/>
              </w:rPr>
              <w:t>on</w:t>
            </w:r>
            <w:r>
              <w:rPr>
                <w:spacing w:val="-8"/>
                <w:sz w:val="16"/>
              </w:rPr>
              <w:t xml:space="preserve"> </w:t>
            </w:r>
            <w:r>
              <w:rPr>
                <w:sz w:val="16"/>
              </w:rPr>
              <w:t>the metropolitan</w:t>
            </w:r>
            <w:r>
              <w:rPr>
                <w:spacing w:val="-4"/>
                <w:sz w:val="16"/>
              </w:rPr>
              <w:t xml:space="preserve"> </w:t>
            </w:r>
            <w:r>
              <w:rPr>
                <w:sz w:val="16"/>
              </w:rPr>
              <w:t>network.</w:t>
            </w:r>
          </w:p>
        </w:tc>
      </w:tr>
      <w:tr w:rsidR="002C1123">
        <w:trPr>
          <w:trHeight w:val="794"/>
        </w:trPr>
        <w:tc>
          <w:tcPr>
            <w:tcW w:w="2201" w:type="dxa"/>
            <w:tcBorders>
              <w:left w:val="nil"/>
            </w:tcBorders>
            <w:shd w:val="clear" w:color="auto" w:fill="E1E0E1"/>
          </w:tcPr>
          <w:p w:rsidR="002C1123" w:rsidRDefault="00F22F94">
            <w:pPr>
              <w:pStyle w:val="TableParagraph"/>
              <w:spacing w:before="63" w:line="254" w:lineRule="auto"/>
              <w:ind w:right="1199"/>
              <w:rPr>
                <w:sz w:val="18"/>
              </w:rPr>
            </w:pPr>
            <w:r>
              <w:rPr>
                <w:spacing w:val="-2"/>
                <w:w w:val="105"/>
                <w:sz w:val="18"/>
              </w:rPr>
              <w:t xml:space="preserve">Electricity </w:t>
            </w:r>
            <w:r>
              <w:rPr>
                <w:sz w:val="18"/>
              </w:rPr>
              <w:t>Section</w:t>
            </w:r>
            <w:r>
              <w:rPr>
                <w:spacing w:val="5"/>
                <w:w w:val="105"/>
                <w:sz w:val="18"/>
              </w:rPr>
              <w:t xml:space="preserve"> </w:t>
            </w:r>
            <w:r>
              <w:rPr>
                <w:spacing w:val="-5"/>
                <w:w w:val="105"/>
                <w:sz w:val="18"/>
              </w:rPr>
              <w:t>11</w:t>
            </w:r>
          </w:p>
        </w:tc>
        <w:tc>
          <w:tcPr>
            <w:tcW w:w="1276" w:type="dxa"/>
            <w:shd w:val="clear" w:color="auto" w:fill="E1E0E1"/>
          </w:tcPr>
          <w:p w:rsidR="002C1123" w:rsidRDefault="00F22F94">
            <w:pPr>
              <w:pStyle w:val="TableParagraph"/>
              <w:spacing w:before="70" w:line="235" w:lineRule="auto"/>
              <w:ind w:right="186"/>
              <w:rPr>
                <w:sz w:val="16"/>
              </w:rPr>
            </w:pPr>
            <w:r>
              <w:rPr>
                <w:spacing w:val="-2"/>
                <w:w w:val="95"/>
                <w:sz w:val="16"/>
              </w:rPr>
              <w:t xml:space="preserve">Transmission </w:t>
            </w:r>
            <w:r>
              <w:rPr>
                <w:w w:val="95"/>
                <w:sz w:val="16"/>
              </w:rPr>
              <w:t>&amp;</w:t>
            </w:r>
            <w:r>
              <w:rPr>
                <w:spacing w:val="-7"/>
                <w:w w:val="95"/>
                <w:sz w:val="16"/>
              </w:rPr>
              <w:t xml:space="preserve"> </w:t>
            </w:r>
            <w:r>
              <w:rPr>
                <w:spacing w:val="-4"/>
                <w:sz w:val="16"/>
              </w:rPr>
              <w:t>Distribution</w:t>
            </w:r>
          </w:p>
        </w:tc>
        <w:tc>
          <w:tcPr>
            <w:tcW w:w="1248" w:type="dxa"/>
            <w:shd w:val="clear" w:color="auto" w:fill="E1E0E1"/>
          </w:tcPr>
          <w:p w:rsidR="002C1123" w:rsidRDefault="00F22F94">
            <w:pPr>
              <w:pStyle w:val="TableParagraph"/>
              <w:spacing w:before="196"/>
              <w:ind w:left="29"/>
              <w:jc w:val="center"/>
              <w:rPr>
                <w:rFonts w:ascii="Trebuchet MS"/>
                <w:sz w:val="32"/>
              </w:rPr>
            </w:pPr>
            <w:r>
              <w:rPr>
                <w:rFonts w:ascii="Trebuchet MS"/>
                <w:color w:val="00AB4E"/>
                <w:w w:val="56"/>
                <w:sz w:val="32"/>
              </w:rPr>
              <w:t>A</w:t>
            </w:r>
          </w:p>
        </w:tc>
        <w:tc>
          <w:tcPr>
            <w:tcW w:w="1135" w:type="dxa"/>
            <w:shd w:val="clear" w:color="auto" w:fill="E1E0E1"/>
          </w:tcPr>
          <w:p w:rsidR="002C1123" w:rsidRDefault="00F22F94">
            <w:pPr>
              <w:pStyle w:val="TableParagraph"/>
              <w:spacing w:before="196"/>
              <w:ind w:left="518"/>
              <w:rPr>
                <w:rFonts w:ascii="Trebuchet MS"/>
                <w:sz w:val="32"/>
              </w:rPr>
            </w:pPr>
            <w:r>
              <w:rPr>
                <w:rFonts w:ascii="Trebuchet MS"/>
                <w:color w:val="00AB4E"/>
                <w:w w:val="56"/>
                <w:sz w:val="32"/>
              </w:rPr>
              <w:t>A</w:t>
            </w:r>
          </w:p>
        </w:tc>
        <w:tc>
          <w:tcPr>
            <w:tcW w:w="8959" w:type="dxa"/>
            <w:shd w:val="clear" w:color="auto" w:fill="E1E0E1"/>
          </w:tcPr>
          <w:p w:rsidR="002C1123" w:rsidRDefault="00F22F94">
            <w:pPr>
              <w:pStyle w:val="TableParagraph"/>
              <w:numPr>
                <w:ilvl w:val="0"/>
                <w:numId w:val="136"/>
              </w:numPr>
              <w:tabs>
                <w:tab w:val="left" w:pos="253"/>
              </w:tabs>
              <w:rPr>
                <w:sz w:val="16"/>
              </w:rPr>
            </w:pPr>
            <w:r>
              <w:rPr>
                <w:w w:val="95"/>
                <w:sz w:val="16"/>
              </w:rPr>
              <w:t>TransGrid’s</w:t>
            </w:r>
            <w:r>
              <w:rPr>
                <w:spacing w:val="-1"/>
                <w:sz w:val="16"/>
              </w:rPr>
              <w:t xml:space="preserve"> </w:t>
            </w:r>
            <w:r>
              <w:rPr>
                <w:w w:val="95"/>
                <w:sz w:val="16"/>
              </w:rPr>
              <w:t>network</w:t>
            </w:r>
            <w:r>
              <w:rPr>
                <w:sz w:val="16"/>
              </w:rPr>
              <w:t xml:space="preserve"> </w:t>
            </w:r>
            <w:r>
              <w:rPr>
                <w:w w:val="95"/>
                <w:sz w:val="16"/>
              </w:rPr>
              <w:t>asset</w:t>
            </w:r>
            <w:r>
              <w:rPr>
                <w:sz w:val="16"/>
              </w:rPr>
              <w:t xml:space="preserve"> </w:t>
            </w:r>
            <w:r>
              <w:rPr>
                <w:w w:val="95"/>
                <w:sz w:val="16"/>
              </w:rPr>
              <w:t>design</w:t>
            </w:r>
            <w:r>
              <w:rPr>
                <w:sz w:val="16"/>
              </w:rPr>
              <w:t xml:space="preserve"> </w:t>
            </w:r>
            <w:r>
              <w:rPr>
                <w:w w:val="95"/>
                <w:sz w:val="16"/>
              </w:rPr>
              <w:t>lives</w:t>
            </w:r>
            <w:r>
              <w:rPr>
                <w:sz w:val="16"/>
              </w:rPr>
              <w:t xml:space="preserve"> </w:t>
            </w:r>
            <w:r>
              <w:rPr>
                <w:w w:val="95"/>
                <w:sz w:val="16"/>
              </w:rPr>
              <w:t>vary</w:t>
            </w:r>
            <w:r>
              <w:rPr>
                <w:sz w:val="16"/>
              </w:rPr>
              <w:t xml:space="preserve"> </w:t>
            </w:r>
            <w:r>
              <w:rPr>
                <w:w w:val="95"/>
                <w:sz w:val="16"/>
              </w:rPr>
              <w:t>between</w:t>
            </w:r>
            <w:r>
              <w:rPr>
                <w:sz w:val="16"/>
              </w:rPr>
              <w:t xml:space="preserve"> </w:t>
            </w:r>
            <w:r>
              <w:rPr>
                <w:w w:val="95"/>
                <w:sz w:val="16"/>
              </w:rPr>
              <w:t>20</w:t>
            </w:r>
            <w:r>
              <w:rPr>
                <w:sz w:val="16"/>
              </w:rPr>
              <w:t xml:space="preserve"> </w:t>
            </w:r>
            <w:r>
              <w:rPr>
                <w:w w:val="95"/>
                <w:sz w:val="16"/>
              </w:rPr>
              <w:t>and</w:t>
            </w:r>
            <w:r>
              <w:rPr>
                <w:sz w:val="16"/>
              </w:rPr>
              <w:t xml:space="preserve"> </w:t>
            </w:r>
            <w:r>
              <w:rPr>
                <w:w w:val="95"/>
                <w:sz w:val="16"/>
              </w:rPr>
              <w:t>50</w:t>
            </w:r>
            <w:r>
              <w:rPr>
                <w:sz w:val="16"/>
              </w:rPr>
              <w:t xml:space="preserve"> </w:t>
            </w:r>
            <w:r>
              <w:rPr>
                <w:spacing w:val="-2"/>
                <w:w w:val="95"/>
                <w:sz w:val="16"/>
              </w:rPr>
              <w:t>years.</w:t>
            </w:r>
          </w:p>
          <w:p w:rsidR="002C1123" w:rsidRDefault="00F22F94">
            <w:pPr>
              <w:pStyle w:val="TableParagraph"/>
              <w:numPr>
                <w:ilvl w:val="0"/>
                <w:numId w:val="136"/>
              </w:numPr>
              <w:tabs>
                <w:tab w:val="left" w:pos="253"/>
              </w:tabs>
              <w:spacing w:before="56" w:line="235" w:lineRule="auto"/>
              <w:ind w:right="1211"/>
              <w:rPr>
                <w:sz w:val="16"/>
              </w:rPr>
            </w:pPr>
            <w:r>
              <w:rPr>
                <w:w w:val="95"/>
                <w:sz w:val="16"/>
              </w:rPr>
              <w:t xml:space="preserve">Planned increase in interstate transmission capacity will allow wholesale trading across the national market to </w:t>
            </w:r>
            <w:r>
              <w:rPr>
                <w:sz w:val="16"/>
              </w:rPr>
              <w:t>share spare capacity.</w:t>
            </w:r>
          </w:p>
        </w:tc>
      </w:tr>
      <w:tr w:rsidR="002C1123">
        <w:trPr>
          <w:trHeight w:val="1154"/>
        </w:trPr>
        <w:tc>
          <w:tcPr>
            <w:tcW w:w="2201" w:type="dxa"/>
            <w:tcBorders>
              <w:left w:val="nil"/>
              <w:bottom w:val="nil"/>
            </w:tcBorders>
            <w:shd w:val="clear" w:color="auto" w:fill="E1E0E1"/>
          </w:tcPr>
          <w:p w:rsidR="002C1123" w:rsidRDefault="00F22F94">
            <w:pPr>
              <w:pStyle w:val="TableParagraph"/>
              <w:spacing w:before="63" w:line="254" w:lineRule="auto"/>
              <w:ind w:right="1199"/>
              <w:rPr>
                <w:sz w:val="18"/>
              </w:rPr>
            </w:pPr>
            <w:r>
              <w:rPr>
                <w:spacing w:val="-2"/>
                <w:sz w:val="18"/>
              </w:rPr>
              <w:t xml:space="preserve">Water </w:t>
            </w:r>
            <w:r>
              <w:rPr>
                <w:sz w:val="18"/>
              </w:rPr>
              <w:t>Section</w:t>
            </w:r>
            <w:r>
              <w:rPr>
                <w:spacing w:val="-13"/>
                <w:sz w:val="18"/>
              </w:rPr>
              <w:t xml:space="preserve"> </w:t>
            </w:r>
            <w:r>
              <w:rPr>
                <w:sz w:val="18"/>
              </w:rPr>
              <w:t>12</w:t>
            </w:r>
          </w:p>
        </w:tc>
        <w:tc>
          <w:tcPr>
            <w:tcW w:w="1276" w:type="dxa"/>
            <w:shd w:val="clear" w:color="auto" w:fill="E1E0E1"/>
          </w:tcPr>
          <w:p w:rsidR="002C1123" w:rsidRDefault="00F22F94">
            <w:pPr>
              <w:pStyle w:val="TableParagraph"/>
              <w:spacing w:before="70" w:line="235" w:lineRule="auto"/>
              <w:ind w:right="186"/>
              <w:rPr>
                <w:sz w:val="16"/>
              </w:rPr>
            </w:pPr>
            <w:r>
              <w:rPr>
                <w:spacing w:val="-2"/>
                <w:w w:val="95"/>
                <w:sz w:val="16"/>
              </w:rPr>
              <w:t xml:space="preserve">Metropolitan </w:t>
            </w:r>
            <w:r>
              <w:rPr>
                <w:spacing w:val="-2"/>
                <w:sz w:val="16"/>
              </w:rPr>
              <w:t>Water</w:t>
            </w:r>
          </w:p>
        </w:tc>
        <w:tc>
          <w:tcPr>
            <w:tcW w:w="1248" w:type="dxa"/>
            <w:shd w:val="clear" w:color="auto" w:fill="E1E0E1"/>
          </w:tcPr>
          <w:p w:rsidR="002C1123" w:rsidRDefault="002C1123">
            <w:pPr>
              <w:pStyle w:val="TableParagraph"/>
              <w:spacing w:before="8"/>
              <w:ind w:left="0"/>
              <w:rPr>
                <w:b/>
                <w:sz w:val="32"/>
              </w:rPr>
            </w:pPr>
          </w:p>
          <w:p w:rsidR="002C1123" w:rsidRDefault="00F22F94">
            <w:pPr>
              <w:pStyle w:val="TableParagraph"/>
              <w:spacing w:before="0"/>
              <w:ind w:left="29"/>
              <w:jc w:val="center"/>
              <w:rPr>
                <w:rFonts w:ascii="Trebuchet MS"/>
                <w:sz w:val="32"/>
              </w:rPr>
            </w:pPr>
            <w:r>
              <w:rPr>
                <w:rFonts w:ascii="Trebuchet MS"/>
                <w:color w:val="00AB4E"/>
                <w:w w:val="56"/>
                <w:sz w:val="32"/>
              </w:rPr>
              <w:t>A</w:t>
            </w:r>
          </w:p>
        </w:tc>
        <w:tc>
          <w:tcPr>
            <w:tcW w:w="1135" w:type="dxa"/>
            <w:shd w:val="clear" w:color="auto" w:fill="E1E0E1"/>
          </w:tcPr>
          <w:p w:rsidR="002C1123" w:rsidRDefault="002C1123">
            <w:pPr>
              <w:pStyle w:val="TableParagraph"/>
              <w:spacing w:before="8"/>
              <w:ind w:left="0"/>
              <w:rPr>
                <w:b/>
                <w:sz w:val="32"/>
              </w:rPr>
            </w:pPr>
          </w:p>
          <w:p w:rsidR="002C1123" w:rsidRDefault="00F22F94">
            <w:pPr>
              <w:pStyle w:val="TableParagraph"/>
              <w:spacing w:before="0"/>
              <w:ind w:left="518"/>
              <w:rPr>
                <w:rFonts w:ascii="Trebuchet MS"/>
                <w:sz w:val="32"/>
              </w:rPr>
            </w:pPr>
            <w:r>
              <w:rPr>
                <w:rFonts w:ascii="Trebuchet MS"/>
                <w:color w:val="00AB4E"/>
                <w:w w:val="56"/>
                <w:sz w:val="32"/>
              </w:rPr>
              <w:t>A</w:t>
            </w:r>
          </w:p>
        </w:tc>
        <w:tc>
          <w:tcPr>
            <w:tcW w:w="8959" w:type="dxa"/>
            <w:shd w:val="clear" w:color="auto" w:fill="E1E0E1"/>
          </w:tcPr>
          <w:p w:rsidR="002C1123" w:rsidRDefault="00F22F94">
            <w:pPr>
              <w:pStyle w:val="TableParagraph"/>
              <w:numPr>
                <w:ilvl w:val="0"/>
                <w:numId w:val="135"/>
              </w:numPr>
              <w:tabs>
                <w:tab w:val="left" w:pos="253"/>
              </w:tabs>
              <w:spacing w:before="70" w:line="235" w:lineRule="auto"/>
              <w:ind w:right="815"/>
              <w:jc w:val="both"/>
              <w:rPr>
                <w:sz w:val="16"/>
              </w:rPr>
            </w:pPr>
            <w:r>
              <w:rPr>
                <w:w w:val="95"/>
                <w:sz w:val="16"/>
              </w:rPr>
              <w:t xml:space="preserve">The condition of water supply infrastructure is good with water main breaks and the leakage index both exhibiting a </w:t>
            </w:r>
            <w:r>
              <w:rPr>
                <w:sz w:val="16"/>
              </w:rPr>
              <w:t>downward</w:t>
            </w:r>
            <w:r>
              <w:rPr>
                <w:spacing w:val="-7"/>
                <w:sz w:val="16"/>
              </w:rPr>
              <w:t xml:space="preserve"> </w:t>
            </w:r>
            <w:r>
              <w:rPr>
                <w:sz w:val="16"/>
              </w:rPr>
              <w:t>trend.</w:t>
            </w:r>
            <w:r>
              <w:rPr>
                <w:spacing w:val="-7"/>
                <w:sz w:val="16"/>
              </w:rPr>
              <w:t xml:space="preserve"> </w:t>
            </w:r>
            <w:r>
              <w:rPr>
                <w:sz w:val="16"/>
              </w:rPr>
              <w:t>At</w:t>
            </w:r>
            <w:r>
              <w:rPr>
                <w:spacing w:val="-7"/>
                <w:sz w:val="16"/>
              </w:rPr>
              <w:t xml:space="preserve"> </w:t>
            </w:r>
            <w:r>
              <w:rPr>
                <w:sz w:val="16"/>
              </w:rPr>
              <w:t>the</w:t>
            </w:r>
            <w:r>
              <w:rPr>
                <w:spacing w:val="-7"/>
                <w:sz w:val="16"/>
              </w:rPr>
              <w:t xml:space="preserve"> </w:t>
            </w:r>
            <w:r>
              <w:rPr>
                <w:sz w:val="16"/>
              </w:rPr>
              <w:t>same</w:t>
            </w:r>
            <w:r>
              <w:rPr>
                <w:spacing w:val="-7"/>
                <w:sz w:val="16"/>
              </w:rPr>
              <w:t xml:space="preserve"> </w:t>
            </w:r>
            <w:r>
              <w:rPr>
                <w:sz w:val="16"/>
              </w:rPr>
              <w:t>time</w:t>
            </w:r>
            <w:r>
              <w:rPr>
                <w:spacing w:val="-7"/>
                <w:sz w:val="16"/>
              </w:rPr>
              <w:t xml:space="preserve"> </w:t>
            </w:r>
            <w:r>
              <w:rPr>
                <w:sz w:val="16"/>
              </w:rPr>
              <w:t>unplanned</w:t>
            </w:r>
            <w:r>
              <w:rPr>
                <w:spacing w:val="-7"/>
                <w:sz w:val="16"/>
              </w:rPr>
              <w:t xml:space="preserve"> </w:t>
            </w:r>
            <w:r>
              <w:rPr>
                <w:sz w:val="16"/>
              </w:rPr>
              <w:t>disruption</w:t>
            </w:r>
            <w:r>
              <w:rPr>
                <w:spacing w:val="-7"/>
                <w:sz w:val="16"/>
              </w:rPr>
              <w:t xml:space="preserve"> </w:t>
            </w:r>
            <w:r>
              <w:rPr>
                <w:sz w:val="16"/>
              </w:rPr>
              <w:t>and</w:t>
            </w:r>
            <w:r>
              <w:rPr>
                <w:spacing w:val="-7"/>
                <w:sz w:val="16"/>
              </w:rPr>
              <w:t xml:space="preserve"> </w:t>
            </w:r>
            <w:r>
              <w:rPr>
                <w:sz w:val="16"/>
              </w:rPr>
              <w:t>water</w:t>
            </w:r>
            <w:r>
              <w:rPr>
                <w:spacing w:val="-7"/>
                <w:sz w:val="16"/>
              </w:rPr>
              <w:t xml:space="preserve"> </w:t>
            </w:r>
            <w:r>
              <w:rPr>
                <w:sz w:val="16"/>
              </w:rPr>
              <w:t>quality</w:t>
            </w:r>
            <w:r>
              <w:rPr>
                <w:spacing w:val="-7"/>
                <w:sz w:val="16"/>
              </w:rPr>
              <w:t xml:space="preserve"> </w:t>
            </w:r>
            <w:r>
              <w:rPr>
                <w:sz w:val="16"/>
              </w:rPr>
              <w:t>complaints</w:t>
            </w:r>
            <w:r>
              <w:rPr>
                <w:spacing w:val="-7"/>
                <w:sz w:val="16"/>
              </w:rPr>
              <w:t xml:space="preserve"> </w:t>
            </w:r>
            <w:r>
              <w:rPr>
                <w:sz w:val="16"/>
              </w:rPr>
              <w:t>remain</w:t>
            </w:r>
            <w:r>
              <w:rPr>
                <w:spacing w:val="-7"/>
                <w:sz w:val="16"/>
              </w:rPr>
              <w:t xml:space="preserve"> </w:t>
            </w:r>
            <w:r>
              <w:rPr>
                <w:sz w:val="16"/>
              </w:rPr>
              <w:t>stable.</w:t>
            </w:r>
          </w:p>
          <w:p w:rsidR="002C1123" w:rsidRDefault="00F22F94">
            <w:pPr>
              <w:pStyle w:val="TableParagraph"/>
              <w:numPr>
                <w:ilvl w:val="0"/>
                <w:numId w:val="135"/>
              </w:numPr>
              <w:tabs>
                <w:tab w:val="left" w:pos="253"/>
              </w:tabs>
              <w:spacing w:before="56" w:line="235" w:lineRule="auto"/>
              <w:ind w:right="168"/>
              <w:jc w:val="both"/>
              <w:rPr>
                <w:sz w:val="16"/>
              </w:rPr>
            </w:pPr>
            <w:r>
              <w:rPr>
                <w:w w:val="95"/>
                <w:sz w:val="16"/>
              </w:rPr>
              <w:t xml:space="preserve">The unprecedented increases in capital expenditure due to asset renewal for wastewater and augmentation of existing water supply to include desalination and recycled water over the past few years has introduced diversity into the supply sources to </w:t>
            </w:r>
            <w:r>
              <w:rPr>
                <w:sz w:val="16"/>
              </w:rPr>
              <w:t>deliver</w:t>
            </w:r>
            <w:r>
              <w:rPr>
                <w:spacing w:val="-2"/>
                <w:sz w:val="16"/>
              </w:rPr>
              <w:t xml:space="preserve"> </w:t>
            </w:r>
            <w:r>
              <w:rPr>
                <w:sz w:val="16"/>
              </w:rPr>
              <w:t>a</w:t>
            </w:r>
            <w:r>
              <w:rPr>
                <w:spacing w:val="-2"/>
                <w:sz w:val="16"/>
              </w:rPr>
              <w:t xml:space="preserve"> </w:t>
            </w:r>
            <w:r>
              <w:rPr>
                <w:sz w:val="16"/>
              </w:rPr>
              <w:t>more</w:t>
            </w:r>
            <w:r>
              <w:rPr>
                <w:spacing w:val="-2"/>
                <w:sz w:val="16"/>
              </w:rPr>
              <w:t xml:space="preserve"> </w:t>
            </w:r>
            <w:r>
              <w:rPr>
                <w:sz w:val="16"/>
              </w:rPr>
              <w:t>reliable</w:t>
            </w:r>
            <w:r>
              <w:rPr>
                <w:spacing w:val="-2"/>
                <w:sz w:val="16"/>
              </w:rPr>
              <w:t xml:space="preserve"> </w:t>
            </w:r>
            <w:r>
              <w:rPr>
                <w:sz w:val="16"/>
              </w:rPr>
              <w:t>water</w:t>
            </w:r>
            <w:r>
              <w:rPr>
                <w:spacing w:val="-2"/>
                <w:sz w:val="16"/>
              </w:rPr>
              <w:t xml:space="preserve"> </w:t>
            </w:r>
            <w:r>
              <w:rPr>
                <w:sz w:val="16"/>
              </w:rPr>
              <w:t>supply</w:t>
            </w:r>
            <w:r>
              <w:rPr>
                <w:spacing w:val="-2"/>
                <w:sz w:val="16"/>
              </w:rPr>
              <w:t xml:space="preserve"> </w:t>
            </w:r>
            <w:r>
              <w:rPr>
                <w:sz w:val="16"/>
              </w:rPr>
              <w:t>system.</w:t>
            </w:r>
          </w:p>
        </w:tc>
      </w:tr>
    </w:tbl>
    <w:p w:rsidR="002C1123" w:rsidRDefault="002C1123">
      <w:pPr>
        <w:pStyle w:val="BodyText"/>
        <w:rPr>
          <w:b/>
        </w:rPr>
      </w:pPr>
    </w:p>
    <w:p w:rsidR="002C1123" w:rsidRDefault="002060EF">
      <w:pPr>
        <w:pStyle w:val="BodyText"/>
        <w:spacing w:before="9"/>
        <w:rPr>
          <w:b/>
          <w:sz w:val="24"/>
        </w:rPr>
      </w:pPr>
      <w:r>
        <w:pict>
          <v:shape id="docshape583" o:spid="_x0000_s4734" style="position:absolute;margin-left:49.6pt;margin-top:15.45pt;width:1in;height:.1pt;z-index:-251410432;mso-wrap-distance-left:0;mso-wrap-distance-right:0;mso-position-horizontal-relative:page" coordorigin="992,309" coordsize="1440,0" path="m992,309r1440,e" filled="f" strokecolor="#9c9c9d" strokeweight=".5pt">
            <v:path arrowok="t"/>
            <w10:wrap type="topAndBottom" anchorx="page"/>
          </v:shape>
        </w:pict>
      </w:r>
    </w:p>
    <w:p w:rsidR="002C1123" w:rsidRDefault="00F22F94">
      <w:pPr>
        <w:pStyle w:val="ListParagraph"/>
        <w:numPr>
          <w:ilvl w:val="0"/>
          <w:numId w:val="159"/>
        </w:numPr>
        <w:tabs>
          <w:tab w:val="left" w:pos="691"/>
        </w:tabs>
        <w:spacing w:before="23"/>
        <w:ind w:left="690" w:right="11794" w:hanging="199"/>
        <w:jc w:val="left"/>
        <w:rPr>
          <w:sz w:val="14"/>
        </w:rPr>
      </w:pPr>
      <w:r>
        <w:rPr>
          <w:w w:val="95"/>
          <w:sz w:val="14"/>
        </w:rPr>
        <w:t>Engineers Australia 2010, Infrastructure Report Card 2010:</w:t>
      </w:r>
      <w:r>
        <w:rPr>
          <w:spacing w:val="40"/>
          <w:sz w:val="14"/>
        </w:rPr>
        <w:t xml:space="preserve"> </w:t>
      </w:r>
      <w:r>
        <w:rPr>
          <w:sz w:val="14"/>
        </w:rPr>
        <w:t>New South Wales.</w:t>
      </w:r>
    </w:p>
    <w:p w:rsidR="002C1123" w:rsidRDefault="002C1123">
      <w:pPr>
        <w:rPr>
          <w:sz w:val="14"/>
        </w:rPr>
        <w:sectPr w:rsidR="002C1123">
          <w:headerReference w:type="default" r:id="rId77"/>
          <w:footerReference w:type="default" r:id="rId78"/>
          <w:pgSz w:w="16840" w:h="11910" w:orient="landscape"/>
          <w:pgMar w:top="560" w:right="280" w:bottom="700" w:left="500" w:header="0" w:footer="517" w:gutter="0"/>
          <w:pgNumType w:start="41"/>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8"/>
        <w:rPr>
          <w:sz w:val="19"/>
        </w:rPr>
      </w:pPr>
    </w:p>
    <w:p w:rsidR="002C1123" w:rsidRDefault="00F22F94">
      <w:pPr>
        <w:tabs>
          <w:tab w:val="left" w:pos="6042"/>
        </w:tabs>
        <w:spacing w:before="107"/>
        <w:ind w:left="512"/>
        <w:rPr>
          <w:b/>
          <w:sz w:val="18"/>
        </w:rPr>
      </w:pPr>
      <w:bookmarkStart w:id="81" w:name="_bookmark58"/>
      <w:bookmarkEnd w:id="81"/>
      <w:r>
        <w:rPr>
          <w:b/>
          <w:sz w:val="18"/>
        </w:rPr>
        <w:t>Table</w:t>
      </w:r>
      <w:r>
        <w:rPr>
          <w:b/>
          <w:spacing w:val="-18"/>
          <w:sz w:val="18"/>
        </w:rPr>
        <w:t xml:space="preserve"> </w:t>
      </w:r>
      <w:r>
        <w:rPr>
          <w:b/>
          <w:sz w:val="18"/>
        </w:rPr>
        <w:t>2.3</w:t>
      </w:r>
      <w:r>
        <w:rPr>
          <w:b/>
          <w:spacing w:val="52"/>
          <w:sz w:val="18"/>
        </w:rPr>
        <w:t xml:space="preserve"> </w:t>
      </w:r>
      <w:r>
        <w:rPr>
          <w:b/>
          <w:sz w:val="18"/>
        </w:rPr>
        <w:t>Assessment</w:t>
      </w:r>
      <w:r>
        <w:rPr>
          <w:b/>
          <w:spacing w:val="-18"/>
          <w:sz w:val="18"/>
        </w:rPr>
        <w:t xml:space="preserve"> </w:t>
      </w:r>
      <w:r>
        <w:rPr>
          <w:b/>
          <w:sz w:val="18"/>
        </w:rPr>
        <w:t>of</w:t>
      </w:r>
      <w:r>
        <w:rPr>
          <w:b/>
          <w:spacing w:val="-18"/>
          <w:sz w:val="18"/>
        </w:rPr>
        <w:t xml:space="preserve"> </w:t>
      </w:r>
      <w:r>
        <w:rPr>
          <w:b/>
          <w:sz w:val="18"/>
        </w:rPr>
        <w:t>the</w:t>
      </w:r>
      <w:r>
        <w:rPr>
          <w:b/>
          <w:spacing w:val="-18"/>
          <w:sz w:val="18"/>
        </w:rPr>
        <w:t xml:space="preserve"> </w:t>
      </w:r>
      <w:r>
        <w:rPr>
          <w:b/>
          <w:sz w:val="18"/>
        </w:rPr>
        <w:t>Current</w:t>
      </w:r>
      <w:r>
        <w:rPr>
          <w:b/>
          <w:spacing w:val="-17"/>
          <w:sz w:val="18"/>
        </w:rPr>
        <w:t xml:space="preserve"> </w:t>
      </w:r>
      <w:r>
        <w:rPr>
          <w:b/>
          <w:sz w:val="18"/>
        </w:rPr>
        <w:t>State</w:t>
      </w:r>
      <w:r>
        <w:rPr>
          <w:b/>
          <w:spacing w:val="-18"/>
          <w:sz w:val="18"/>
        </w:rPr>
        <w:t xml:space="preserve"> </w:t>
      </w:r>
      <w:r>
        <w:rPr>
          <w:b/>
          <w:sz w:val="18"/>
        </w:rPr>
        <w:t>of</w:t>
      </w:r>
      <w:r>
        <w:rPr>
          <w:b/>
          <w:spacing w:val="-18"/>
          <w:sz w:val="18"/>
        </w:rPr>
        <w:t xml:space="preserve"> </w:t>
      </w:r>
      <w:r>
        <w:rPr>
          <w:b/>
          <w:spacing w:val="-2"/>
          <w:sz w:val="18"/>
        </w:rPr>
        <w:t>Infrastructure</w:t>
      </w:r>
      <w:r>
        <w:rPr>
          <w:b/>
          <w:sz w:val="18"/>
        </w:rPr>
        <w:tab/>
      </w:r>
      <w:r>
        <w:rPr>
          <w:b/>
          <w:spacing w:val="-2"/>
          <w:sz w:val="18"/>
        </w:rPr>
        <w:t>(continued)</w:t>
      </w:r>
    </w:p>
    <w:p w:rsidR="002C1123" w:rsidRDefault="002C1123">
      <w:pPr>
        <w:pStyle w:val="BodyText"/>
        <w:spacing w:before="2"/>
        <w:rPr>
          <w:b/>
          <w:sz w:val="14"/>
        </w:rPr>
      </w:pPr>
    </w:p>
    <w:p w:rsidR="002C1123" w:rsidRDefault="00F22F94">
      <w:pPr>
        <w:tabs>
          <w:tab w:val="left" w:pos="2816"/>
          <w:tab w:val="left" w:pos="4091"/>
          <w:tab w:val="left" w:pos="5339"/>
          <w:tab w:val="left" w:pos="6473"/>
        </w:tabs>
        <w:spacing w:after="13"/>
        <w:ind w:left="615"/>
        <w:rPr>
          <w:b/>
          <w:sz w:val="16"/>
        </w:rPr>
      </w:pPr>
      <w:r>
        <w:rPr>
          <w:b/>
          <w:color w:val="2E3092"/>
          <w:spacing w:val="-2"/>
          <w:sz w:val="16"/>
        </w:rPr>
        <w:t>Sector</w:t>
      </w:r>
      <w:r>
        <w:rPr>
          <w:b/>
          <w:color w:val="2E3092"/>
          <w:sz w:val="16"/>
        </w:rPr>
        <w:tab/>
      </w:r>
      <w:r>
        <w:rPr>
          <w:b/>
          <w:color w:val="2E3092"/>
          <w:w w:val="95"/>
          <w:sz w:val="16"/>
        </w:rPr>
        <w:t>Asset</w:t>
      </w:r>
      <w:r>
        <w:rPr>
          <w:b/>
          <w:color w:val="2E3092"/>
          <w:spacing w:val="1"/>
          <w:sz w:val="16"/>
        </w:rPr>
        <w:t xml:space="preserve"> </w:t>
      </w:r>
      <w:r>
        <w:rPr>
          <w:b/>
          <w:color w:val="2E3092"/>
          <w:spacing w:val="-2"/>
          <w:sz w:val="16"/>
        </w:rPr>
        <w:t>Class</w:t>
      </w:r>
      <w:r>
        <w:rPr>
          <w:b/>
          <w:color w:val="2E3092"/>
          <w:sz w:val="16"/>
        </w:rPr>
        <w:tab/>
      </w:r>
      <w:r>
        <w:rPr>
          <w:b/>
          <w:color w:val="2E3092"/>
          <w:spacing w:val="-2"/>
          <w:sz w:val="16"/>
        </w:rPr>
        <w:t>Condition</w:t>
      </w:r>
      <w:r>
        <w:rPr>
          <w:b/>
          <w:color w:val="2E3092"/>
          <w:sz w:val="16"/>
        </w:rPr>
        <w:tab/>
      </w:r>
      <w:r>
        <w:rPr>
          <w:b/>
          <w:color w:val="2E3092"/>
          <w:spacing w:val="-2"/>
          <w:sz w:val="16"/>
        </w:rPr>
        <w:t>Capacity</w:t>
      </w:r>
      <w:r>
        <w:rPr>
          <w:b/>
          <w:color w:val="2E3092"/>
          <w:sz w:val="16"/>
        </w:rPr>
        <w:tab/>
      </w:r>
      <w:r>
        <w:rPr>
          <w:b/>
          <w:color w:val="2E3092"/>
          <w:spacing w:val="-2"/>
          <w:sz w:val="16"/>
        </w:rPr>
        <w:t>Issues</w:t>
      </w:r>
    </w:p>
    <w:tbl>
      <w:tblPr>
        <w:tblW w:w="0" w:type="auto"/>
        <w:tblInd w:w="49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201"/>
        <w:gridCol w:w="1276"/>
        <w:gridCol w:w="1248"/>
        <w:gridCol w:w="1135"/>
        <w:gridCol w:w="8959"/>
      </w:tblGrid>
      <w:tr w:rsidR="002C1123">
        <w:trPr>
          <w:trHeight w:val="1154"/>
        </w:trPr>
        <w:tc>
          <w:tcPr>
            <w:tcW w:w="2201" w:type="dxa"/>
            <w:tcBorders>
              <w:left w:val="nil"/>
            </w:tcBorders>
            <w:shd w:val="clear" w:color="auto" w:fill="E1E0E1"/>
          </w:tcPr>
          <w:p w:rsidR="002C1123" w:rsidRDefault="00F22F94">
            <w:pPr>
              <w:pStyle w:val="TableParagraph"/>
              <w:spacing w:before="63" w:line="254" w:lineRule="auto"/>
              <w:ind w:right="1199"/>
              <w:rPr>
                <w:sz w:val="18"/>
              </w:rPr>
            </w:pPr>
            <w:r>
              <w:rPr>
                <w:spacing w:val="-2"/>
                <w:sz w:val="18"/>
              </w:rPr>
              <w:t xml:space="preserve">Water </w:t>
            </w:r>
            <w:r>
              <w:rPr>
                <w:sz w:val="18"/>
              </w:rPr>
              <w:t>Section</w:t>
            </w:r>
            <w:r>
              <w:rPr>
                <w:spacing w:val="-13"/>
                <w:sz w:val="18"/>
              </w:rPr>
              <w:t xml:space="preserve"> </w:t>
            </w:r>
            <w:r>
              <w:rPr>
                <w:sz w:val="18"/>
              </w:rPr>
              <w:t>12</w:t>
            </w:r>
          </w:p>
        </w:tc>
        <w:tc>
          <w:tcPr>
            <w:tcW w:w="1276" w:type="dxa"/>
            <w:shd w:val="clear" w:color="auto" w:fill="E1E0E1"/>
          </w:tcPr>
          <w:p w:rsidR="002C1123" w:rsidRDefault="00F22F94">
            <w:pPr>
              <w:pStyle w:val="TableParagraph"/>
              <w:spacing w:before="70" w:line="235" w:lineRule="auto"/>
              <w:ind w:right="186"/>
              <w:rPr>
                <w:sz w:val="16"/>
              </w:rPr>
            </w:pPr>
            <w:r>
              <w:rPr>
                <w:spacing w:val="-4"/>
                <w:sz w:val="16"/>
              </w:rPr>
              <w:t xml:space="preserve">Non- </w:t>
            </w:r>
            <w:r>
              <w:rPr>
                <w:spacing w:val="-2"/>
                <w:w w:val="95"/>
                <w:sz w:val="16"/>
              </w:rPr>
              <w:t xml:space="preserve">metropolitan </w:t>
            </w:r>
            <w:r>
              <w:rPr>
                <w:spacing w:val="-2"/>
                <w:sz w:val="16"/>
              </w:rPr>
              <w:t>Water</w:t>
            </w:r>
          </w:p>
        </w:tc>
        <w:tc>
          <w:tcPr>
            <w:tcW w:w="1248" w:type="dxa"/>
            <w:shd w:val="clear" w:color="auto" w:fill="E1E0E1"/>
          </w:tcPr>
          <w:p w:rsidR="002C1123" w:rsidRDefault="002C1123">
            <w:pPr>
              <w:pStyle w:val="TableParagraph"/>
              <w:spacing w:before="8"/>
              <w:ind w:left="0"/>
              <w:rPr>
                <w:b/>
                <w:sz w:val="32"/>
              </w:rPr>
            </w:pPr>
          </w:p>
          <w:p w:rsidR="002C1123" w:rsidRDefault="00F22F94">
            <w:pPr>
              <w:pStyle w:val="TableParagraph"/>
              <w:spacing w:before="0"/>
              <w:ind w:left="29"/>
              <w:jc w:val="center"/>
              <w:rPr>
                <w:rFonts w:ascii="Trebuchet MS"/>
                <w:sz w:val="32"/>
              </w:rPr>
            </w:pPr>
            <w:r>
              <w:rPr>
                <w:rFonts w:ascii="Trebuchet MS"/>
                <w:color w:val="F47920"/>
                <w:w w:val="56"/>
                <w:sz w:val="32"/>
              </w:rPr>
              <w:t>C</w:t>
            </w:r>
          </w:p>
        </w:tc>
        <w:tc>
          <w:tcPr>
            <w:tcW w:w="1135" w:type="dxa"/>
            <w:shd w:val="clear" w:color="auto" w:fill="E1E0E1"/>
          </w:tcPr>
          <w:p w:rsidR="002C1123" w:rsidRDefault="002C1123">
            <w:pPr>
              <w:pStyle w:val="TableParagraph"/>
              <w:spacing w:before="8"/>
              <w:ind w:left="0"/>
              <w:rPr>
                <w:b/>
                <w:sz w:val="32"/>
              </w:rPr>
            </w:pPr>
          </w:p>
          <w:p w:rsidR="002C1123" w:rsidRDefault="00F22F94">
            <w:pPr>
              <w:pStyle w:val="TableParagraph"/>
              <w:spacing w:before="0"/>
              <w:ind w:left="517"/>
              <w:rPr>
                <w:rFonts w:ascii="Trebuchet MS"/>
                <w:sz w:val="32"/>
              </w:rPr>
            </w:pPr>
            <w:r>
              <w:rPr>
                <w:rFonts w:ascii="Trebuchet MS"/>
                <w:color w:val="F47920"/>
                <w:w w:val="56"/>
                <w:sz w:val="32"/>
              </w:rPr>
              <w:t>C</w:t>
            </w:r>
          </w:p>
        </w:tc>
        <w:tc>
          <w:tcPr>
            <w:tcW w:w="8959" w:type="dxa"/>
            <w:shd w:val="clear" w:color="auto" w:fill="E1E0E1"/>
          </w:tcPr>
          <w:p w:rsidR="002C1123" w:rsidRDefault="00F22F94">
            <w:pPr>
              <w:pStyle w:val="TableParagraph"/>
              <w:numPr>
                <w:ilvl w:val="0"/>
                <w:numId w:val="134"/>
              </w:numPr>
              <w:tabs>
                <w:tab w:val="left" w:pos="253"/>
              </w:tabs>
              <w:spacing w:before="70" w:line="235" w:lineRule="auto"/>
              <w:ind w:right="223"/>
              <w:rPr>
                <w:sz w:val="16"/>
              </w:rPr>
            </w:pPr>
            <w:r>
              <w:rPr>
                <w:w w:val="95"/>
                <w:sz w:val="16"/>
              </w:rPr>
              <w:t xml:space="preserve">Regional water supply assets across the State are managed by local authorities. There is a high variability in the condition of </w:t>
            </w:r>
            <w:r>
              <w:rPr>
                <w:sz w:val="16"/>
              </w:rPr>
              <w:t>water supply assets in different regions.</w:t>
            </w:r>
          </w:p>
          <w:p w:rsidR="002C1123" w:rsidRDefault="00F22F94">
            <w:pPr>
              <w:pStyle w:val="TableParagraph"/>
              <w:numPr>
                <w:ilvl w:val="0"/>
                <w:numId w:val="134"/>
              </w:numPr>
              <w:tabs>
                <w:tab w:val="left" w:pos="253"/>
              </w:tabs>
              <w:spacing w:before="56" w:line="235" w:lineRule="auto"/>
              <w:ind w:right="157"/>
              <w:rPr>
                <w:sz w:val="16"/>
              </w:rPr>
            </w:pPr>
            <w:r>
              <w:rPr>
                <w:sz w:val="16"/>
              </w:rPr>
              <w:t>Combined</w:t>
            </w:r>
            <w:r>
              <w:rPr>
                <w:spacing w:val="-9"/>
                <w:sz w:val="16"/>
              </w:rPr>
              <w:t xml:space="preserve"> </w:t>
            </w:r>
            <w:r>
              <w:rPr>
                <w:sz w:val="16"/>
              </w:rPr>
              <w:t>with</w:t>
            </w:r>
            <w:r>
              <w:rPr>
                <w:spacing w:val="-9"/>
                <w:sz w:val="16"/>
              </w:rPr>
              <w:t xml:space="preserve"> </w:t>
            </w:r>
            <w:r>
              <w:rPr>
                <w:sz w:val="16"/>
              </w:rPr>
              <w:t>the</w:t>
            </w:r>
            <w:r>
              <w:rPr>
                <w:spacing w:val="-9"/>
                <w:sz w:val="16"/>
              </w:rPr>
              <w:t xml:space="preserve"> </w:t>
            </w:r>
            <w:r>
              <w:rPr>
                <w:sz w:val="16"/>
              </w:rPr>
              <w:t>impacts</w:t>
            </w:r>
            <w:r>
              <w:rPr>
                <w:spacing w:val="-9"/>
                <w:sz w:val="16"/>
              </w:rPr>
              <w:t xml:space="preserve"> </w:t>
            </w:r>
            <w:r>
              <w:rPr>
                <w:sz w:val="16"/>
              </w:rPr>
              <w:t>of</w:t>
            </w:r>
            <w:r>
              <w:rPr>
                <w:spacing w:val="-9"/>
                <w:sz w:val="16"/>
              </w:rPr>
              <w:t xml:space="preserve"> </w:t>
            </w:r>
            <w:r>
              <w:rPr>
                <w:sz w:val="16"/>
              </w:rPr>
              <w:t>a</w:t>
            </w:r>
            <w:r>
              <w:rPr>
                <w:spacing w:val="-9"/>
                <w:sz w:val="16"/>
              </w:rPr>
              <w:t xml:space="preserve"> </w:t>
            </w:r>
            <w:r>
              <w:rPr>
                <w:sz w:val="16"/>
              </w:rPr>
              <w:t>prolonged</w:t>
            </w:r>
            <w:r>
              <w:rPr>
                <w:spacing w:val="-9"/>
                <w:sz w:val="16"/>
              </w:rPr>
              <w:t xml:space="preserve"> </w:t>
            </w:r>
            <w:r>
              <w:rPr>
                <w:sz w:val="16"/>
              </w:rPr>
              <w:t>drought</w:t>
            </w:r>
            <w:r>
              <w:rPr>
                <w:spacing w:val="-9"/>
                <w:sz w:val="16"/>
              </w:rPr>
              <w:t xml:space="preserve"> </w:t>
            </w:r>
            <w:r>
              <w:rPr>
                <w:sz w:val="16"/>
              </w:rPr>
              <w:t>event</w:t>
            </w:r>
            <w:r>
              <w:rPr>
                <w:spacing w:val="-9"/>
                <w:sz w:val="16"/>
              </w:rPr>
              <w:t xml:space="preserve"> </w:t>
            </w:r>
            <w:r>
              <w:rPr>
                <w:sz w:val="16"/>
              </w:rPr>
              <w:t>in</w:t>
            </w:r>
            <w:r>
              <w:rPr>
                <w:spacing w:val="-9"/>
                <w:sz w:val="16"/>
              </w:rPr>
              <w:t xml:space="preserve"> </w:t>
            </w:r>
            <w:r>
              <w:rPr>
                <w:sz w:val="16"/>
              </w:rPr>
              <w:t>many</w:t>
            </w:r>
            <w:r>
              <w:rPr>
                <w:spacing w:val="-9"/>
                <w:sz w:val="16"/>
              </w:rPr>
              <w:t xml:space="preserve"> </w:t>
            </w:r>
            <w:r>
              <w:rPr>
                <w:sz w:val="16"/>
              </w:rPr>
              <w:t>areas</w:t>
            </w:r>
            <w:r>
              <w:rPr>
                <w:spacing w:val="-9"/>
                <w:sz w:val="16"/>
              </w:rPr>
              <w:t xml:space="preserve"> </w:t>
            </w:r>
            <w:r>
              <w:rPr>
                <w:sz w:val="16"/>
              </w:rPr>
              <w:t>of</w:t>
            </w:r>
            <w:r>
              <w:rPr>
                <w:spacing w:val="-9"/>
                <w:sz w:val="16"/>
              </w:rPr>
              <w:t xml:space="preserve"> </w:t>
            </w:r>
            <w:r>
              <w:rPr>
                <w:sz w:val="16"/>
              </w:rPr>
              <w:t>the</w:t>
            </w:r>
            <w:r>
              <w:rPr>
                <w:spacing w:val="-9"/>
                <w:sz w:val="16"/>
              </w:rPr>
              <w:t xml:space="preserve"> </w:t>
            </w:r>
            <w:r>
              <w:rPr>
                <w:sz w:val="16"/>
              </w:rPr>
              <w:t>State</w:t>
            </w:r>
            <w:r>
              <w:rPr>
                <w:spacing w:val="-9"/>
                <w:sz w:val="16"/>
              </w:rPr>
              <w:t xml:space="preserve"> </w:t>
            </w:r>
            <w:r>
              <w:rPr>
                <w:sz w:val="16"/>
              </w:rPr>
              <w:t>and</w:t>
            </w:r>
            <w:r>
              <w:rPr>
                <w:spacing w:val="-9"/>
                <w:sz w:val="16"/>
              </w:rPr>
              <w:t xml:space="preserve"> </w:t>
            </w:r>
            <w:r>
              <w:rPr>
                <w:sz w:val="16"/>
              </w:rPr>
              <w:t>a</w:t>
            </w:r>
            <w:r>
              <w:rPr>
                <w:spacing w:val="-9"/>
                <w:sz w:val="16"/>
              </w:rPr>
              <w:t xml:space="preserve"> </w:t>
            </w:r>
            <w:r>
              <w:rPr>
                <w:sz w:val="16"/>
              </w:rPr>
              <w:t>low</w:t>
            </w:r>
            <w:r>
              <w:rPr>
                <w:spacing w:val="-9"/>
                <w:sz w:val="16"/>
              </w:rPr>
              <w:t xml:space="preserve"> </w:t>
            </w:r>
            <w:r>
              <w:rPr>
                <w:sz w:val="16"/>
              </w:rPr>
              <w:t>rates</w:t>
            </w:r>
            <w:r>
              <w:rPr>
                <w:spacing w:val="-9"/>
                <w:sz w:val="16"/>
              </w:rPr>
              <w:t xml:space="preserve"> </w:t>
            </w:r>
            <w:r>
              <w:rPr>
                <w:sz w:val="16"/>
              </w:rPr>
              <w:t>base</w:t>
            </w:r>
            <w:r>
              <w:rPr>
                <w:spacing w:val="-9"/>
                <w:sz w:val="16"/>
              </w:rPr>
              <w:t xml:space="preserve"> </w:t>
            </w:r>
            <w:r>
              <w:rPr>
                <w:sz w:val="16"/>
              </w:rPr>
              <w:t>and</w:t>
            </w:r>
            <w:r>
              <w:rPr>
                <w:spacing w:val="-9"/>
                <w:sz w:val="16"/>
              </w:rPr>
              <w:t xml:space="preserve"> </w:t>
            </w:r>
            <w:r>
              <w:rPr>
                <w:sz w:val="16"/>
              </w:rPr>
              <w:t>small</w:t>
            </w:r>
            <w:r>
              <w:rPr>
                <w:spacing w:val="-9"/>
                <w:sz w:val="16"/>
              </w:rPr>
              <w:t xml:space="preserve"> </w:t>
            </w:r>
            <w:r>
              <w:rPr>
                <w:sz w:val="16"/>
              </w:rPr>
              <w:t xml:space="preserve">scale </w:t>
            </w:r>
            <w:r>
              <w:rPr>
                <w:w w:val="95"/>
                <w:sz w:val="16"/>
              </w:rPr>
              <w:t xml:space="preserve">operations, many local authority managed assets exhibit under investment leading to lower levels of service or environmental </w:t>
            </w:r>
            <w:r>
              <w:rPr>
                <w:sz w:val="16"/>
              </w:rPr>
              <w:t>performance when compared with metro regions.</w:t>
            </w:r>
          </w:p>
        </w:tc>
      </w:tr>
      <w:tr w:rsidR="002C1123">
        <w:trPr>
          <w:trHeight w:val="611"/>
        </w:trPr>
        <w:tc>
          <w:tcPr>
            <w:tcW w:w="2201" w:type="dxa"/>
            <w:vMerge w:val="restart"/>
            <w:tcBorders>
              <w:left w:val="nil"/>
            </w:tcBorders>
            <w:shd w:val="clear" w:color="auto" w:fill="E1E0E1"/>
          </w:tcPr>
          <w:p w:rsidR="002C1123" w:rsidRDefault="00F22F94">
            <w:pPr>
              <w:pStyle w:val="TableParagraph"/>
              <w:spacing w:before="63" w:line="254" w:lineRule="auto"/>
              <w:ind w:right="1199"/>
              <w:rPr>
                <w:sz w:val="18"/>
              </w:rPr>
            </w:pPr>
            <w:r>
              <w:rPr>
                <w:spacing w:val="-2"/>
                <w:sz w:val="18"/>
              </w:rPr>
              <w:t xml:space="preserve">Water </w:t>
            </w:r>
            <w:r>
              <w:rPr>
                <w:sz w:val="18"/>
              </w:rPr>
              <w:t>Section</w:t>
            </w:r>
            <w:r>
              <w:rPr>
                <w:spacing w:val="-13"/>
                <w:sz w:val="18"/>
              </w:rPr>
              <w:t xml:space="preserve"> </w:t>
            </w:r>
            <w:r>
              <w:rPr>
                <w:sz w:val="18"/>
              </w:rPr>
              <w:t>12</w:t>
            </w:r>
          </w:p>
        </w:tc>
        <w:tc>
          <w:tcPr>
            <w:tcW w:w="1276" w:type="dxa"/>
            <w:shd w:val="clear" w:color="auto" w:fill="E1E0E1"/>
          </w:tcPr>
          <w:p w:rsidR="002C1123" w:rsidRDefault="00F22F94">
            <w:pPr>
              <w:pStyle w:val="TableParagraph"/>
              <w:spacing w:before="70" w:line="235" w:lineRule="auto"/>
              <w:ind w:right="186"/>
              <w:rPr>
                <w:sz w:val="16"/>
              </w:rPr>
            </w:pPr>
            <w:r>
              <w:rPr>
                <w:spacing w:val="-2"/>
                <w:w w:val="95"/>
                <w:sz w:val="16"/>
              </w:rPr>
              <w:t xml:space="preserve">Metropolitan </w:t>
            </w:r>
            <w:r>
              <w:rPr>
                <w:spacing w:val="-2"/>
                <w:sz w:val="16"/>
              </w:rPr>
              <w:t>Wastewater</w:t>
            </w:r>
          </w:p>
        </w:tc>
        <w:tc>
          <w:tcPr>
            <w:tcW w:w="1248" w:type="dxa"/>
            <w:shd w:val="clear" w:color="auto" w:fill="E1E0E1"/>
          </w:tcPr>
          <w:p w:rsidR="002C1123" w:rsidRDefault="00F22F94">
            <w:pPr>
              <w:pStyle w:val="TableParagraph"/>
              <w:spacing w:before="105"/>
              <w:ind w:left="29"/>
              <w:jc w:val="center"/>
              <w:rPr>
                <w:rFonts w:ascii="Trebuchet MS"/>
                <w:sz w:val="32"/>
              </w:rPr>
            </w:pPr>
            <w:r>
              <w:rPr>
                <w:rFonts w:ascii="Trebuchet MS"/>
                <w:color w:val="00AB4E"/>
                <w:w w:val="56"/>
                <w:sz w:val="32"/>
              </w:rPr>
              <w:t>A</w:t>
            </w:r>
          </w:p>
        </w:tc>
        <w:tc>
          <w:tcPr>
            <w:tcW w:w="1135" w:type="dxa"/>
            <w:shd w:val="clear" w:color="auto" w:fill="E1E0E1"/>
          </w:tcPr>
          <w:p w:rsidR="002C1123" w:rsidRDefault="00F22F94">
            <w:pPr>
              <w:pStyle w:val="TableParagraph"/>
              <w:spacing w:before="105"/>
              <w:ind w:left="511"/>
              <w:rPr>
                <w:rFonts w:ascii="Trebuchet MS"/>
                <w:sz w:val="32"/>
              </w:rPr>
            </w:pPr>
            <w:r>
              <w:rPr>
                <w:rFonts w:ascii="Trebuchet MS"/>
                <w:color w:val="FFC20E"/>
                <w:w w:val="66"/>
                <w:sz w:val="32"/>
              </w:rPr>
              <w:t>B</w:t>
            </w:r>
          </w:p>
        </w:tc>
        <w:tc>
          <w:tcPr>
            <w:tcW w:w="8959" w:type="dxa"/>
            <w:shd w:val="clear" w:color="auto" w:fill="E1E0E1"/>
          </w:tcPr>
          <w:p w:rsidR="002C1123" w:rsidRDefault="00F22F94">
            <w:pPr>
              <w:pStyle w:val="TableParagraph"/>
              <w:ind w:left="111"/>
              <w:rPr>
                <w:sz w:val="16"/>
              </w:rPr>
            </w:pPr>
            <w:r>
              <w:rPr>
                <w:w w:val="95"/>
                <w:sz w:val="16"/>
              </w:rPr>
              <w:t>–</w:t>
            </w:r>
            <w:r>
              <w:rPr>
                <w:spacing w:val="20"/>
                <w:sz w:val="16"/>
              </w:rPr>
              <w:t xml:space="preserve"> </w:t>
            </w:r>
            <w:r>
              <w:rPr>
                <w:w w:val="95"/>
                <w:sz w:val="16"/>
              </w:rPr>
              <w:t>There</w:t>
            </w:r>
            <w:r>
              <w:rPr>
                <w:spacing w:val="-1"/>
                <w:sz w:val="16"/>
              </w:rPr>
              <w:t xml:space="preserve"> </w:t>
            </w:r>
            <w:r>
              <w:rPr>
                <w:w w:val="95"/>
                <w:sz w:val="16"/>
              </w:rPr>
              <w:t>has</w:t>
            </w:r>
            <w:r>
              <w:rPr>
                <w:spacing w:val="-1"/>
                <w:sz w:val="16"/>
              </w:rPr>
              <w:t xml:space="preserve"> </w:t>
            </w:r>
            <w:r>
              <w:rPr>
                <w:w w:val="95"/>
                <w:sz w:val="16"/>
              </w:rPr>
              <w:t>been</w:t>
            </w:r>
            <w:r>
              <w:rPr>
                <w:spacing w:val="-2"/>
                <w:sz w:val="16"/>
              </w:rPr>
              <w:t xml:space="preserve"> </w:t>
            </w:r>
            <w:r>
              <w:rPr>
                <w:w w:val="95"/>
                <w:sz w:val="16"/>
              </w:rPr>
              <w:t>improvement</w:t>
            </w:r>
            <w:r>
              <w:rPr>
                <w:spacing w:val="-1"/>
                <w:sz w:val="16"/>
              </w:rPr>
              <w:t xml:space="preserve"> </w:t>
            </w:r>
            <w:r>
              <w:rPr>
                <w:w w:val="95"/>
                <w:sz w:val="16"/>
              </w:rPr>
              <w:t>in</w:t>
            </w:r>
            <w:r>
              <w:rPr>
                <w:spacing w:val="-2"/>
                <w:sz w:val="16"/>
              </w:rPr>
              <w:t xml:space="preserve"> </w:t>
            </w:r>
            <w:r>
              <w:rPr>
                <w:w w:val="95"/>
                <w:sz w:val="16"/>
              </w:rPr>
              <w:t>the</w:t>
            </w:r>
            <w:r>
              <w:rPr>
                <w:spacing w:val="-1"/>
                <w:sz w:val="16"/>
              </w:rPr>
              <w:t xml:space="preserve"> </w:t>
            </w:r>
            <w:r>
              <w:rPr>
                <w:w w:val="95"/>
                <w:sz w:val="16"/>
              </w:rPr>
              <w:t>condition</w:t>
            </w:r>
            <w:r>
              <w:rPr>
                <w:spacing w:val="-2"/>
                <w:sz w:val="16"/>
              </w:rPr>
              <w:t xml:space="preserve"> </w:t>
            </w:r>
            <w:r>
              <w:rPr>
                <w:w w:val="95"/>
                <w:sz w:val="16"/>
              </w:rPr>
              <w:t>of</w:t>
            </w:r>
            <w:r>
              <w:rPr>
                <w:spacing w:val="-1"/>
                <w:sz w:val="16"/>
              </w:rPr>
              <w:t xml:space="preserve"> </w:t>
            </w:r>
            <w:r>
              <w:rPr>
                <w:w w:val="95"/>
                <w:sz w:val="16"/>
              </w:rPr>
              <w:t>wastewater</w:t>
            </w:r>
            <w:r>
              <w:rPr>
                <w:spacing w:val="-2"/>
                <w:sz w:val="16"/>
              </w:rPr>
              <w:t xml:space="preserve"> </w:t>
            </w:r>
            <w:r>
              <w:rPr>
                <w:w w:val="95"/>
                <w:sz w:val="16"/>
              </w:rPr>
              <w:t>system</w:t>
            </w:r>
            <w:r>
              <w:rPr>
                <w:spacing w:val="-2"/>
                <w:sz w:val="16"/>
              </w:rPr>
              <w:t xml:space="preserve"> </w:t>
            </w:r>
            <w:r>
              <w:rPr>
                <w:w w:val="95"/>
                <w:sz w:val="16"/>
              </w:rPr>
              <w:t>for</w:t>
            </w:r>
            <w:r>
              <w:rPr>
                <w:spacing w:val="-1"/>
                <w:sz w:val="16"/>
              </w:rPr>
              <w:t xml:space="preserve"> </w:t>
            </w:r>
            <w:r>
              <w:rPr>
                <w:w w:val="95"/>
                <w:sz w:val="16"/>
              </w:rPr>
              <w:t>Sydney</w:t>
            </w:r>
            <w:r>
              <w:rPr>
                <w:spacing w:val="-1"/>
                <w:sz w:val="16"/>
              </w:rPr>
              <w:t xml:space="preserve"> </w:t>
            </w:r>
            <w:r>
              <w:rPr>
                <w:w w:val="95"/>
                <w:sz w:val="16"/>
              </w:rPr>
              <w:t>Water</w:t>
            </w:r>
            <w:r>
              <w:rPr>
                <w:spacing w:val="-2"/>
                <w:sz w:val="16"/>
              </w:rPr>
              <w:t xml:space="preserve"> </w:t>
            </w:r>
            <w:r>
              <w:rPr>
                <w:w w:val="95"/>
                <w:sz w:val="16"/>
              </w:rPr>
              <w:t>and</w:t>
            </w:r>
            <w:r>
              <w:rPr>
                <w:spacing w:val="-1"/>
                <w:sz w:val="16"/>
              </w:rPr>
              <w:t xml:space="preserve"> </w:t>
            </w:r>
            <w:r>
              <w:rPr>
                <w:spacing w:val="-2"/>
                <w:w w:val="95"/>
                <w:sz w:val="16"/>
              </w:rPr>
              <w:t>Hunter.</w:t>
            </w:r>
          </w:p>
        </w:tc>
      </w:tr>
      <w:tr w:rsidR="002C1123">
        <w:trPr>
          <w:trHeight w:val="974"/>
        </w:trPr>
        <w:tc>
          <w:tcPr>
            <w:tcW w:w="2201" w:type="dxa"/>
            <w:vMerge/>
            <w:tcBorders>
              <w:top w:val="nil"/>
              <w:left w:val="nil"/>
            </w:tcBorders>
            <w:shd w:val="clear" w:color="auto" w:fill="E1E0E1"/>
          </w:tcPr>
          <w:p w:rsidR="002C1123" w:rsidRDefault="002C1123">
            <w:pPr>
              <w:rPr>
                <w:sz w:val="2"/>
                <w:szCs w:val="2"/>
              </w:rPr>
            </w:pPr>
          </w:p>
        </w:tc>
        <w:tc>
          <w:tcPr>
            <w:tcW w:w="1276" w:type="dxa"/>
            <w:shd w:val="clear" w:color="auto" w:fill="E1E0E1"/>
          </w:tcPr>
          <w:p w:rsidR="002C1123" w:rsidRDefault="00F22F94">
            <w:pPr>
              <w:pStyle w:val="TableParagraph"/>
              <w:spacing w:before="70" w:line="235" w:lineRule="auto"/>
              <w:ind w:right="186"/>
              <w:rPr>
                <w:sz w:val="16"/>
              </w:rPr>
            </w:pPr>
            <w:r>
              <w:rPr>
                <w:spacing w:val="-4"/>
                <w:sz w:val="16"/>
              </w:rPr>
              <w:t xml:space="preserve">Non- </w:t>
            </w:r>
            <w:r>
              <w:rPr>
                <w:spacing w:val="-2"/>
                <w:w w:val="95"/>
                <w:sz w:val="16"/>
              </w:rPr>
              <w:t xml:space="preserve">metropolitan </w:t>
            </w:r>
            <w:r>
              <w:rPr>
                <w:spacing w:val="-2"/>
                <w:sz w:val="16"/>
              </w:rPr>
              <w:t>Wastewater</w:t>
            </w:r>
          </w:p>
        </w:tc>
        <w:tc>
          <w:tcPr>
            <w:tcW w:w="1248" w:type="dxa"/>
            <w:shd w:val="clear" w:color="auto" w:fill="E1E0E1"/>
          </w:tcPr>
          <w:p w:rsidR="002C1123" w:rsidRDefault="00F22F94">
            <w:pPr>
              <w:pStyle w:val="TableParagraph"/>
              <w:spacing w:before="286"/>
              <w:ind w:left="29"/>
              <w:jc w:val="center"/>
              <w:rPr>
                <w:rFonts w:ascii="Trebuchet MS"/>
                <w:sz w:val="32"/>
              </w:rPr>
            </w:pPr>
            <w:r>
              <w:rPr>
                <w:rFonts w:ascii="Trebuchet MS"/>
                <w:color w:val="FFC20E"/>
                <w:w w:val="66"/>
                <w:sz w:val="32"/>
              </w:rPr>
              <w:t>B</w:t>
            </w:r>
          </w:p>
        </w:tc>
        <w:tc>
          <w:tcPr>
            <w:tcW w:w="1135" w:type="dxa"/>
            <w:shd w:val="clear" w:color="auto" w:fill="E1E0E1"/>
          </w:tcPr>
          <w:p w:rsidR="002C1123" w:rsidRDefault="00F22F94">
            <w:pPr>
              <w:pStyle w:val="TableParagraph"/>
              <w:spacing w:before="286"/>
              <w:ind w:left="517"/>
              <w:rPr>
                <w:rFonts w:ascii="Trebuchet MS"/>
                <w:sz w:val="32"/>
              </w:rPr>
            </w:pPr>
            <w:r>
              <w:rPr>
                <w:rFonts w:ascii="Trebuchet MS"/>
                <w:color w:val="F47920"/>
                <w:w w:val="56"/>
                <w:sz w:val="32"/>
              </w:rPr>
              <w:t>C</w:t>
            </w:r>
          </w:p>
        </w:tc>
        <w:tc>
          <w:tcPr>
            <w:tcW w:w="8959" w:type="dxa"/>
            <w:shd w:val="clear" w:color="auto" w:fill="E1E0E1"/>
          </w:tcPr>
          <w:p w:rsidR="002C1123" w:rsidRDefault="00F22F94">
            <w:pPr>
              <w:pStyle w:val="TableParagraph"/>
              <w:numPr>
                <w:ilvl w:val="0"/>
                <w:numId w:val="133"/>
              </w:numPr>
              <w:tabs>
                <w:tab w:val="left" w:pos="253"/>
              </w:tabs>
              <w:spacing w:before="70" w:line="235" w:lineRule="auto"/>
              <w:ind w:right="109"/>
              <w:rPr>
                <w:sz w:val="16"/>
              </w:rPr>
            </w:pPr>
            <w:r>
              <w:rPr>
                <w:w w:val="95"/>
                <w:sz w:val="16"/>
              </w:rPr>
              <w:t>The varying ability of local authorities to fund timely and adequate investment results in high variability in the condition of wastewater</w:t>
            </w:r>
            <w:r>
              <w:rPr>
                <w:spacing w:val="-5"/>
                <w:w w:val="95"/>
                <w:sz w:val="16"/>
              </w:rPr>
              <w:t xml:space="preserve"> </w:t>
            </w:r>
            <w:r>
              <w:rPr>
                <w:w w:val="95"/>
                <w:sz w:val="16"/>
              </w:rPr>
              <w:t>assets</w:t>
            </w:r>
            <w:r>
              <w:rPr>
                <w:spacing w:val="-5"/>
                <w:w w:val="95"/>
                <w:sz w:val="16"/>
              </w:rPr>
              <w:t xml:space="preserve"> </w:t>
            </w:r>
            <w:r>
              <w:rPr>
                <w:w w:val="95"/>
                <w:sz w:val="16"/>
              </w:rPr>
              <w:t>across</w:t>
            </w:r>
            <w:r>
              <w:rPr>
                <w:spacing w:val="-5"/>
                <w:w w:val="95"/>
                <w:sz w:val="16"/>
              </w:rPr>
              <w:t xml:space="preserve"> </w:t>
            </w:r>
            <w:r>
              <w:rPr>
                <w:w w:val="95"/>
                <w:sz w:val="16"/>
              </w:rPr>
              <w:t>the</w:t>
            </w:r>
            <w:r>
              <w:rPr>
                <w:spacing w:val="-5"/>
                <w:w w:val="95"/>
                <w:sz w:val="16"/>
              </w:rPr>
              <w:t xml:space="preserve"> </w:t>
            </w:r>
            <w:r>
              <w:rPr>
                <w:w w:val="95"/>
                <w:sz w:val="16"/>
              </w:rPr>
              <w:t>regions</w:t>
            </w:r>
            <w:r>
              <w:rPr>
                <w:spacing w:val="-5"/>
                <w:w w:val="95"/>
                <w:sz w:val="16"/>
              </w:rPr>
              <w:t xml:space="preserve"> </w:t>
            </w:r>
            <w:r>
              <w:rPr>
                <w:w w:val="95"/>
                <w:sz w:val="16"/>
              </w:rPr>
              <w:t>of</w:t>
            </w:r>
            <w:r>
              <w:rPr>
                <w:spacing w:val="-5"/>
                <w:w w:val="95"/>
                <w:sz w:val="16"/>
              </w:rPr>
              <w:t xml:space="preserve"> </w:t>
            </w:r>
            <w:r>
              <w:rPr>
                <w:w w:val="95"/>
                <w:sz w:val="16"/>
              </w:rPr>
              <w:t>NSW.</w:t>
            </w:r>
            <w:r>
              <w:rPr>
                <w:spacing w:val="-5"/>
                <w:w w:val="95"/>
                <w:sz w:val="16"/>
              </w:rPr>
              <w:t xml:space="preserve"> </w:t>
            </w:r>
            <w:r>
              <w:rPr>
                <w:w w:val="95"/>
                <w:sz w:val="16"/>
              </w:rPr>
              <w:t>Some</w:t>
            </w:r>
            <w:r>
              <w:rPr>
                <w:spacing w:val="-5"/>
                <w:w w:val="95"/>
                <w:sz w:val="16"/>
              </w:rPr>
              <w:t xml:space="preserve"> </w:t>
            </w:r>
            <w:r>
              <w:rPr>
                <w:w w:val="95"/>
                <w:sz w:val="16"/>
              </w:rPr>
              <w:t>regional</w:t>
            </w:r>
            <w:r>
              <w:rPr>
                <w:spacing w:val="-5"/>
                <w:w w:val="95"/>
                <w:sz w:val="16"/>
              </w:rPr>
              <w:t xml:space="preserve"> </w:t>
            </w:r>
            <w:r>
              <w:rPr>
                <w:w w:val="95"/>
                <w:sz w:val="16"/>
              </w:rPr>
              <w:t>areas</w:t>
            </w:r>
            <w:r>
              <w:rPr>
                <w:spacing w:val="-5"/>
                <w:w w:val="95"/>
                <w:sz w:val="16"/>
              </w:rPr>
              <w:t xml:space="preserve"> </w:t>
            </w:r>
            <w:r>
              <w:rPr>
                <w:w w:val="95"/>
                <w:sz w:val="16"/>
              </w:rPr>
              <w:t>require</w:t>
            </w:r>
            <w:r>
              <w:rPr>
                <w:spacing w:val="-5"/>
                <w:w w:val="95"/>
                <w:sz w:val="16"/>
              </w:rPr>
              <w:t xml:space="preserve"> </w:t>
            </w:r>
            <w:r>
              <w:rPr>
                <w:w w:val="95"/>
                <w:sz w:val="16"/>
              </w:rPr>
              <w:t>upgrades</w:t>
            </w:r>
            <w:r>
              <w:rPr>
                <w:spacing w:val="-5"/>
                <w:w w:val="95"/>
                <w:sz w:val="16"/>
              </w:rPr>
              <w:t xml:space="preserve"> </w:t>
            </w:r>
            <w:r>
              <w:rPr>
                <w:w w:val="95"/>
                <w:sz w:val="16"/>
              </w:rPr>
              <w:t>to</w:t>
            </w:r>
            <w:r>
              <w:rPr>
                <w:spacing w:val="-5"/>
                <w:w w:val="95"/>
                <w:sz w:val="16"/>
              </w:rPr>
              <w:t xml:space="preserve"> </w:t>
            </w:r>
            <w:r>
              <w:rPr>
                <w:w w:val="95"/>
                <w:sz w:val="16"/>
              </w:rPr>
              <w:t>meet</w:t>
            </w:r>
            <w:r>
              <w:rPr>
                <w:spacing w:val="-5"/>
                <w:w w:val="95"/>
                <w:sz w:val="16"/>
              </w:rPr>
              <w:t xml:space="preserve"> </w:t>
            </w:r>
            <w:r>
              <w:rPr>
                <w:w w:val="95"/>
                <w:sz w:val="16"/>
              </w:rPr>
              <w:t>environmental</w:t>
            </w:r>
            <w:r>
              <w:rPr>
                <w:spacing w:val="-5"/>
                <w:w w:val="95"/>
                <w:sz w:val="16"/>
              </w:rPr>
              <w:t xml:space="preserve"> </w:t>
            </w:r>
            <w:r>
              <w:rPr>
                <w:w w:val="95"/>
                <w:sz w:val="16"/>
              </w:rPr>
              <w:t>licence</w:t>
            </w:r>
            <w:r>
              <w:rPr>
                <w:spacing w:val="-5"/>
                <w:w w:val="95"/>
                <w:sz w:val="16"/>
              </w:rPr>
              <w:t xml:space="preserve"> </w:t>
            </w:r>
            <w:r>
              <w:rPr>
                <w:w w:val="95"/>
                <w:sz w:val="16"/>
              </w:rPr>
              <w:t>conditions.</w:t>
            </w:r>
          </w:p>
          <w:p w:rsidR="002C1123" w:rsidRDefault="00F22F94">
            <w:pPr>
              <w:pStyle w:val="TableParagraph"/>
              <w:numPr>
                <w:ilvl w:val="0"/>
                <w:numId w:val="133"/>
              </w:numPr>
              <w:tabs>
                <w:tab w:val="left" w:pos="253"/>
              </w:tabs>
              <w:spacing w:before="56" w:line="235" w:lineRule="auto"/>
              <w:ind w:right="196"/>
              <w:rPr>
                <w:sz w:val="16"/>
              </w:rPr>
            </w:pPr>
            <w:r>
              <w:rPr>
                <w:w w:val="95"/>
                <w:sz w:val="16"/>
              </w:rPr>
              <w:t xml:space="preserve">Similar to water supply, wastewater in regional areas suffer from lower levels of service or environmental performance due to </w:t>
            </w:r>
            <w:r>
              <w:rPr>
                <w:sz w:val="16"/>
              </w:rPr>
              <w:t>low rates base and small scale of operation.</w:t>
            </w:r>
          </w:p>
        </w:tc>
      </w:tr>
      <w:tr w:rsidR="002C1123">
        <w:trPr>
          <w:trHeight w:val="737"/>
        </w:trPr>
        <w:tc>
          <w:tcPr>
            <w:tcW w:w="2201" w:type="dxa"/>
            <w:vMerge/>
            <w:tcBorders>
              <w:top w:val="nil"/>
              <w:left w:val="nil"/>
            </w:tcBorders>
            <w:shd w:val="clear" w:color="auto" w:fill="E1E0E1"/>
          </w:tcPr>
          <w:p w:rsidR="002C1123" w:rsidRDefault="002C1123">
            <w:pPr>
              <w:rPr>
                <w:sz w:val="2"/>
                <w:szCs w:val="2"/>
              </w:rPr>
            </w:pPr>
          </w:p>
        </w:tc>
        <w:tc>
          <w:tcPr>
            <w:tcW w:w="1276" w:type="dxa"/>
            <w:shd w:val="clear" w:color="auto" w:fill="E1E0E1"/>
          </w:tcPr>
          <w:p w:rsidR="002C1123" w:rsidRDefault="00F22F94">
            <w:pPr>
              <w:pStyle w:val="TableParagraph"/>
              <w:spacing w:before="70" w:line="235" w:lineRule="auto"/>
              <w:ind w:right="122"/>
              <w:rPr>
                <w:sz w:val="16"/>
              </w:rPr>
            </w:pPr>
            <w:r>
              <w:rPr>
                <w:spacing w:val="-2"/>
                <w:sz w:val="16"/>
              </w:rPr>
              <w:t xml:space="preserve">Flood </w:t>
            </w:r>
            <w:r>
              <w:rPr>
                <w:w w:val="95"/>
                <w:sz w:val="16"/>
              </w:rPr>
              <w:t>Mitigation</w:t>
            </w:r>
            <w:r>
              <w:rPr>
                <w:spacing w:val="-9"/>
                <w:w w:val="95"/>
                <w:sz w:val="16"/>
              </w:rPr>
              <w:t xml:space="preserve"> </w:t>
            </w:r>
            <w:r>
              <w:rPr>
                <w:w w:val="95"/>
                <w:sz w:val="16"/>
              </w:rPr>
              <w:t xml:space="preserve">and </w:t>
            </w:r>
            <w:r>
              <w:rPr>
                <w:spacing w:val="-2"/>
                <w:sz w:val="16"/>
              </w:rPr>
              <w:t>Stormwater</w:t>
            </w:r>
          </w:p>
        </w:tc>
        <w:tc>
          <w:tcPr>
            <w:tcW w:w="1248" w:type="dxa"/>
            <w:shd w:val="clear" w:color="auto" w:fill="E1E0E1"/>
          </w:tcPr>
          <w:p w:rsidR="002C1123" w:rsidRDefault="00F22F94">
            <w:pPr>
              <w:pStyle w:val="TableParagraph"/>
              <w:spacing w:before="168"/>
              <w:ind w:left="29"/>
              <w:jc w:val="center"/>
              <w:rPr>
                <w:rFonts w:ascii="Trebuchet MS"/>
                <w:sz w:val="32"/>
              </w:rPr>
            </w:pPr>
            <w:r>
              <w:rPr>
                <w:rFonts w:ascii="Trebuchet MS"/>
                <w:color w:val="F47920"/>
                <w:w w:val="56"/>
                <w:sz w:val="32"/>
              </w:rPr>
              <w:t>C</w:t>
            </w:r>
          </w:p>
        </w:tc>
        <w:tc>
          <w:tcPr>
            <w:tcW w:w="1135" w:type="dxa"/>
            <w:shd w:val="clear" w:color="auto" w:fill="E1E0E1"/>
          </w:tcPr>
          <w:p w:rsidR="002C1123" w:rsidRDefault="00F22F94">
            <w:pPr>
              <w:pStyle w:val="TableParagraph"/>
              <w:spacing w:before="168"/>
              <w:ind w:left="517"/>
              <w:rPr>
                <w:rFonts w:ascii="Trebuchet MS"/>
                <w:sz w:val="32"/>
              </w:rPr>
            </w:pPr>
            <w:r>
              <w:rPr>
                <w:rFonts w:ascii="Trebuchet MS"/>
                <w:color w:val="F47920"/>
                <w:w w:val="56"/>
                <w:sz w:val="32"/>
              </w:rPr>
              <w:t>C</w:t>
            </w:r>
          </w:p>
        </w:tc>
        <w:tc>
          <w:tcPr>
            <w:tcW w:w="8959" w:type="dxa"/>
            <w:shd w:val="clear" w:color="auto" w:fill="E1E0E1"/>
          </w:tcPr>
          <w:p w:rsidR="002C1123" w:rsidRDefault="00F22F94">
            <w:pPr>
              <w:pStyle w:val="TableParagraph"/>
              <w:ind w:left="111"/>
              <w:rPr>
                <w:sz w:val="16"/>
              </w:rPr>
            </w:pPr>
            <w:r>
              <w:rPr>
                <w:w w:val="95"/>
                <w:sz w:val="16"/>
              </w:rPr>
              <w:t>–</w:t>
            </w:r>
            <w:r>
              <w:rPr>
                <w:spacing w:val="17"/>
                <w:sz w:val="16"/>
              </w:rPr>
              <w:t xml:space="preserve"> </w:t>
            </w:r>
            <w:r>
              <w:rPr>
                <w:w w:val="95"/>
                <w:sz w:val="16"/>
              </w:rPr>
              <w:t>Flood</w:t>
            </w:r>
            <w:r>
              <w:rPr>
                <w:spacing w:val="-1"/>
                <w:w w:val="95"/>
                <w:sz w:val="16"/>
              </w:rPr>
              <w:t xml:space="preserve"> </w:t>
            </w:r>
            <w:r>
              <w:rPr>
                <w:w w:val="95"/>
                <w:sz w:val="16"/>
              </w:rPr>
              <w:t>mitigation</w:t>
            </w:r>
            <w:r>
              <w:rPr>
                <w:spacing w:val="-1"/>
                <w:w w:val="95"/>
                <w:sz w:val="16"/>
              </w:rPr>
              <w:t xml:space="preserve"> </w:t>
            </w:r>
            <w:r>
              <w:rPr>
                <w:w w:val="95"/>
                <w:sz w:val="16"/>
              </w:rPr>
              <w:t>is</w:t>
            </w:r>
            <w:r>
              <w:rPr>
                <w:spacing w:val="-2"/>
                <w:w w:val="95"/>
                <w:sz w:val="16"/>
              </w:rPr>
              <w:t xml:space="preserve"> </w:t>
            </w:r>
            <w:r>
              <w:rPr>
                <w:w w:val="95"/>
                <w:sz w:val="16"/>
              </w:rPr>
              <w:t>inadequate</w:t>
            </w:r>
            <w:r>
              <w:rPr>
                <w:spacing w:val="-1"/>
                <w:w w:val="95"/>
                <w:sz w:val="16"/>
              </w:rPr>
              <w:t xml:space="preserve"> </w:t>
            </w:r>
            <w:r>
              <w:rPr>
                <w:w w:val="95"/>
                <w:sz w:val="16"/>
              </w:rPr>
              <w:t>in</w:t>
            </w:r>
            <w:r>
              <w:rPr>
                <w:spacing w:val="-1"/>
                <w:w w:val="95"/>
                <w:sz w:val="16"/>
              </w:rPr>
              <w:t xml:space="preserve"> </w:t>
            </w:r>
            <w:r>
              <w:rPr>
                <w:w w:val="95"/>
                <w:sz w:val="16"/>
              </w:rPr>
              <w:t>the</w:t>
            </w:r>
            <w:r>
              <w:rPr>
                <w:spacing w:val="-2"/>
                <w:w w:val="95"/>
                <w:sz w:val="16"/>
              </w:rPr>
              <w:t xml:space="preserve"> </w:t>
            </w:r>
            <w:r>
              <w:rPr>
                <w:w w:val="95"/>
                <w:sz w:val="16"/>
              </w:rPr>
              <w:t>Hawkesbury</w:t>
            </w:r>
            <w:r>
              <w:rPr>
                <w:spacing w:val="-1"/>
                <w:w w:val="95"/>
                <w:sz w:val="16"/>
              </w:rPr>
              <w:t xml:space="preserve"> </w:t>
            </w:r>
            <w:r>
              <w:rPr>
                <w:w w:val="95"/>
                <w:sz w:val="16"/>
              </w:rPr>
              <w:t>Nepean</w:t>
            </w:r>
            <w:r>
              <w:rPr>
                <w:spacing w:val="-1"/>
                <w:w w:val="95"/>
                <w:sz w:val="16"/>
              </w:rPr>
              <w:t xml:space="preserve"> </w:t>
            </w:r>
            <w:r>
              <w:rPr>
                <w:w w:val="95"/>
                <w:sz w:val="16"/>
              </w:rPr>
              <w:t>Valley</w:t>
            </w:r>
            <w:r>
              <w:rPr>
                <w:spacing w:val="-1"/>
                <w:w w:val="95"/>
                <w:sz w:val="16"/>
              </w:rPr>
              <w:t xml:space="preserve"> </w:t>
            </w:r>
            <w:r>
              <w:rPr>
                <w:spacing w:val="-2"/>
                <w:w w:val="95"/>
                <w:sz w:val="16"/>
              </w:rPr>
              <w:t>area.</w:t>
            </w:r>
          </w:p>
        </w:tc>
      </w:tr>
      <w:tr w:rsidR="002C1123">
        <w:trPr>
          <w:trHeight w:val="794"/>
        </w:trPr>
        <w:tc>
          <w:tcPr>
            <w:tcW w:w="2201" w:type="dxa"/>
            <w:tcBorders>
              <w:left w:val="nil"/>
            </w:tcBorders>
            <w:shd w:val="clear" w:color="auto" w:fill="E1E0E1"/>
          </w:tcPr>
          <w:p w:rsidR="002C1123" w:rsidRDefault="00F22F94">
            <w:pPr>
              <w:pStyle w:val="TableParagraph"/>
              <w:spacing w:before="63" w:line="254" w:lineRule="auto"/>
              <w:ind w:right="1199"/>
              <w:rPr>
                <w:sz w:val="18"/>
              </w:rPr>
            </w:pPr>
            <w:r>
              <w:rPr>
                <w:spacing w:val="-2"/>
                <w:sz w:val="18"/>
              </w:rPr>
              <w:t xml:space="preserve">Health </w:t>
            </w:r>
            <w:r>
              <w:rPr>
                <w:sz w:val="18"/>
              </w:rPr>
              <w:t>Section</w:t>
            </w:r>
            <w:r>
              <w:rPr>
                <w:spacing w:val="-13"/>
                <w:sz w:val="18"/>
              </w:rPr>
              <w:t xml:space="preserve"> </w:t>
            </w:r>
            <w:r>
              <w:rPr>
                <w:sz w:val="18"/>
              </w:rPr>
              <w:t>13</w:t>
            </w:r>
          </w:p>
        </w:tc>
        <w:tc>
          <w:tcPr>
            <w:tcW w:w="1276" w:type="dxa"/>
            <w:shd w:val="clear" w:color="auto" w:fill="E1E0E1"/>
          </w:tcPr>
          <w:p w:rsidR="002C1123" w:rsidRDefault="00F22F94">
            <w:pPr>
              <w:pStyle w:val="TableParagraph"/>
              <w:rPr>
                <w:sz w:val="16"/>
              </w:rPr>
            </w:pPr>
            <w:r>
              <w:rPr>
                <w:spacing w:val="-2"/>
                <w:sz w:val="16"/>
              </w:rPr>
              <w:t>Hospitals</w:t>
            </w:r>
          </w:p>
        </w:tc>
        <w:tc>
          <w:tcPr>
            <w:tcW w:w="1248" w:type="dxa"/>
            <w:shd w:val="clear" w:color="auto" w:fill="E1E0E1"/>
          </w:tcPr>
          <w:p w:rsidR="002C1123" w:rsidRDefault="00F22F94">
            <w:pPr>
              <w:pStyle w:val="TableParagraph"/>
              <w:spacing w:before="196"/>
              <w:ind w:left="29"/>
              <w:jc w:val="center"/>
              <w:rPr>
                <w:rFonts w:ascii="Trebuchet MS"/>
                <w:sz w:val="32"/>
              </w:rPr>
            </w:pPr>
            <w:r>
              <w:rPr>
                <w:rFonts w:ascii="Trebuchet MS"/>
                <w:color w:val="FFC20E"/>
                <w:w w:val="66"/>
                <w:sz w:val="32"/>
              </w:rPr>
              <w:t>B</w:t>
            </w:r>
          </w:p>
        </w:tc>
        <w:tc>
          <w:tcPr>
            <w:tcW w:w="1135" w:type="dxa"/>
            <w:shd w:val="clear" w:color="auto" w:fill="E1E0E1"/>
          </w:tcPr>
          <w:p w:rsidR="002C1123" w:rsidRDefault="00F22F94">
            <w:pPr>
              <w:pStyle w:val="TableParagraph"/>
              <w:spacing w:before="196"/>
              <w:ind w:left="517"/>
              <w:rPr>
                <w:rFonts w:ascii="Trebuchet MS"/>
                <w:sz w:val="32"/>
              </w:rPr>
            </w:pPr>
            <w:r>
              <w:rPr>
                <w:rFonts w:ascii="Trebuchet MS"/>
                <w:color w:val="F47920"/>
                <w:w w:val="56"/>
                <w:sz w:val="32"/>
              </w:rPr>
              <w:t>C</w:t>
            </w:r>
          </w:p>
        </w:tc>
        <w:tc>
          <w:tcPr>
            <w:tcW w:w="8959" w:type="dxa"/>
            <w:shd w:val="clear" w:color="auto" w:fill="E1E0E1"/>
          </w:tcPr>
          <w:p w:rsidR="002C1123" w:rsidRDefault="00F22F94">
            <w:pPr>
              <w:pStyle w:val="TableParagraph"/>
              <w:numPr>
                <w:ilvl w:val="0"/>
                <w:numId w:val="132"/>
              </w:numPr>
              <w:tabs>
                <w:tab w:val="left" w:pos="253"/>
              </w:tabs>
              <w:rPr>
                <w:sz w:val="16"/>
              </w:rPr>
            </w:pPr>
            <w:r>
              <w:rPr>
                <w:w w:val="95"/>
                <w:sz w:val="16"/>
              </w:rPr>
              <w:t>The</w:t>
            </w:r>
            <w:r>
              <w:rPr>
                <w:spacing w:val="-1"/>
                <w:sz w:val="16"/>
              </w:rPr>
              <w:t xml:space="preserve"> </w:t>
            </w:r>
            <w:r>
              <w:rPr>
                <w:w w:val="95"/>
                <w:sz w:val="16"/>
              </w:rPr>
              <w:t>infrastructure</w:t>
            </w:r>
            <w:r>
              <w:rPr>
                <w:sz w:val="16"/>
              </w:rPr>
              <w:t xml:space="preserve"> </w:t>
            </w:r>
            <w:r>
              <w:rPr>
                <w:w w:val="95"/>
                <w:sz w:val="16"/>
              </w:rPr>
              <w:t>is</w:t>
            </w:r>
            <w:r>
              <w:rPr>
                <w:spacing w:val="-1"/>
                <w:sz w:val="16"/>
              </w:rPr>
              <w:t xml:space="preserve"> </w:t>
            </w:r>
            <w:r>
              <w:rPr>
                <w:w w:val="95"/>
                <w:sz w:val="16"/>
              </w:rPr>
              <w:t>diverse</w:t>
            </w:r>
            <w:r>
              <w:rPr>
                <w:sz w:val="16"/>
              </w:rPr>
              <w:t xml:space="preserve"> </w:t>
            </w:r>
            <w:r>
              <w:rPr>
                <w:w w:val="95"/>
                <w:sz w:val="16"/>
              </w:rPr>
              <w:t>and</w:t>
            </w:r>
            <w:r>
              <w:rPr>
                <w:spacing w:val="-1"/>
                <w:sz w:val="16"/>
              </w:rPr>
              <w:t xml:space="preserve"> </w:t>
            </w:r>
            <w:r>
              <w:rPr>
                <w:w w:val="95"/>
                <w:sz w:val="16"/>
              </w:rPr>
              <w:t>much</w:t>
            </w:r>
            <w:r>
              <w:rPr>
                <w:sz w:val="16"/>
              </w:rPr>
              <w:t xml:space="preserve"> </w:t>
            </w:r>
            <w:r>
              <w:rPr>
                <w:w w:val="95"/>
                <w:sz w:val="16"/>
              </w:rPr>
              <w:t>of</w:t>
            </w:r>
            <w:r>
              <w:rPr>
                <w:spacing w:val="-1"/>
                <w:sz w:val="16"/>
              </w:rPr>
              <w:t xml:space="preserve"> </w:t>
            </w:r>
            <w:r>
              <w:rPr>
                <w:w w:val="95"/>
                <w:sz w:val="16"/>
              </w:rPr>
              <w:t>it</w:t>
            </w:r>
            <w:r>
              <w:rPr>
                <w:sz w:val="16"/>
              </w:rPr>
              <w:t xml:space="preserve"> </w:t>
            </w:r>
            <w:r>
              <w:rPr>
                <w:w w:val="95"/>
                <w:sz w:val="16"/>
              </w:rPr>
              <w:t>is</w:t>
            </w:r>
            <w:r>
              <w:rPr>
                <w:sz w:val="16"/>
              </w:rPr>
              <w:t xml:space="preserve"> </w:t>
            </w:r>
            <w:r>
              <w:rPr>
                <w:w w:val="95"/>
                <w:sz w:val="16"/>
              </w:rPr>
              <w:t>aging</w:t>
            </w:r>
            <w:r>
              <w:rPr>
                <w:spacing w:val="-1"/>
                <w:sz w:val="16"/>
              </w:rPr>
              <w:t xml:space="preserve"> </w:t>
            </w:r>
            <w:r>
              <w:rPr>
                <w:w w:val="95"/>
                <w:sz w:val="16"/>
              </w:rPr>
              <w:t>with</w:t>
            </w:r>
            <w:r>
              <w:rPr>
                <w:sz w:val="16"/>
              </w:rPr>
              <w:t xml:space="preserve"> </w:t>
            </w:r>
            <w:r>
              <w:rPr>
                <w:w w:val="95"/>
                <w:sz w:val="16"/>
              </w:rPr>
              <w:t>40</w:t>
            </w:r>
            <w:r>
              <w:rPr>
                <w:spacing w:val="-1"/>
                <w:sz w:val="16"/>
              </w:rPr>
              <w:t xml:space="preserve"> </w:t>
            </w:r>
            <w:r>
              <w:rPr>
                <w:w w:val="95"/>
                <w:sz w:val="16"/>
              </w:rPr>
              <w:t>percent</w:t>
            </w:r>
            <w:r>
              <w:rPr>
                <w:sz w:val="16"/>
              </w:rPr>
              <w:t xml:space="preserve"> </w:t>
            </w:r>
            <w:r>
              <w:rPr>
                <w:w w:val="95"/>
                <w:sz w:val="16"/>
              </w:rPr>
              <w:t>of</w:t>
            </w:r>
            <w:r>
              <w:rPr>
                <w:spacing w:val="-1"/>
                <w:sz w:val="16"/>
              </w:rPr>
              <w:t xml:space="preserve"> </w:t>
            </w:r>
            <w:r>
              <w:rPr>
                <w:w w:val="95"/>
                <w:sz w:val="16"/>
              </w:rPr>
              <w:t>assets</w:t>
            </w:r>
            <w:r>
              <w:rPr>
                <w:sz w:val="16"/>
              </w:rPr>
              <w:t xml:space="preserve"> </w:t>
            </w:r>
            <w:r>
              <w:rPr>
                <w:w w:val="95"/>
                <w:sz w:val="16"/>
              </w:rPr>
              <w:t>more</w:t>
            </w:r>
            <w:r>
              <w:rPr>
                <w:spacing w:val="-1"/>
                <w:sz w:val="16"/>
              </w:rPr>
              <w:t xml:space="preserve"> </w:t>
            </w:r>
            <w:r>
              <w:rPr>
                <w:w w:val="95"/>
                <w:sz w:val="16"/>
              </w:rPr>
              <w:t>than</w:t>
            </w:r>
            <w:r>
              <w:rPr>
                <w:sz w:val="16"/>
              </w:rPr>
              <w:t xml:space="preserve"> </w:t>
            </w:r>
            <w:r>
              <w:rPr>
                <w:w w:val="95"/>
                <w:sz w:val="16"/>
              </w:rPr>
              <w:t>50</w:t>
            </w:r>
            <w:r>
              <w:rPr>
                <w:sz w:val="16"/>
              </w:rPr>
              <w:t xml:space="preserve"> </w:t>
            </w:r>
            <w:r>
              <w:rPr>
                <w:w w:val="95"/>
                <w:sz w:val="16"/>
              </w:rPr>
              <w:t>years</w:t>
            </w:r>
            <w:r>
              <w:rPr>
                <w:spacing w:val="-1"/>
                <w:sz w:val="16"/>
              </w:rPr>
              <w:t xml:space="preserve"> </w:t>
            </w:r>
            <w:r>
              <w:rPr>
                <w:spacing w:val="-4"/>
                <w:w w:val="95"/>
                <w:sz w:val="16"/>
              </w:rPr>
              <w:t>old.</w:t>
            </w:r>
          </w:p>
          <w:p w:rsidR="002C1123" w:rsidRDefault="00F22F94">
            <w:pPr>
              <w:pStyle w:val="TableParagraph"/>
              <w:numPr>
                <w:ilvl w:val="0"/>
                <w:numId w:val="132"/>
              </w:numPr>
              <w:tabs>
                <w:tab w:val="left" w:pos="253"/>
              </w:tabs>
              <w:spacing w:before="56" w:line="235" w:lineRule="auto"/>
              <w:ind w:right="304"/>
              <w:rPr>
                <w:sz w:val="16"/>
              </w:rPr>
            </w:pPr>
            <w:r>
              <w:rPr>
                <w:w w:val="95"/>
                <w:sz w:val="16"/>
              </w:rPr>
              <w:t xml:space="preserve">Capacity: the configuration of health assets in NSW shows significant differences to other states including more public and </w:t>
            </w:r>
            <w:r>
              <w:rPr>
                <w:sz w:val="16"/>
              </w:rPr>
              <w:t>fewer</w:t>
            </w:r>
            <w:r>
              <w:rPr>
                <w:spacing w:val="-9"/>
                <w:sz w:val="16"/>
              </w:rPr>
              <w:t xml:space="preserve"> </w:t>
            </w:r>
            <w:r>
              <w:rPr>
                <w:sz w:val="16"/>
              </w:rPr>
              <w:t>private</w:t>
            </w:r>
            <w:r>
              <w:rPr>
                <w:spacing w:val="-9"/>
                <w:sz w:val="16"/>
              </w:rPr>
              <w:t xml:space="preserve"> </w:t>
            </w:r>
            <w:r>
              <w:rPr>
                <w:sz w:val="16"/>
              </w:rPr>
              <w:t>hospitals</w:t>
            </w:r>
            <w:r>
              <w:rPr>
                <w:spacing w:val="-9"/>
                <w:sz w:val="16"/>
              </w:rPr>
              <w:t xml:space="preserve"> </w:t>
            </w:r>
            <w:r>
              <w:rPr>
                <w:sz w:val="16"/>
              </w:rPr>
              <w:t>and</w:t>
            </w:r>
            <w:r>
              <w:rPr>
                <w:spacing w:val="-9"/>
                <w:sz w:val="16"/>
              </w:rPr>
              <w:t xml:space="preserve"> </w:t>
            </w:r>
            <w:r>
              <w:rPr>
                <w:sz w:val="16"/>
              </w:rPr>
              <w:t>more</w:t>
            </w:r>
            <w:r>
              <w:rPr>
                <w:spacing w:val="-9"/>
                <w:sz w:val="16"/>
              </w:rPr>
              <w:t xml:space="preserve"> </w:t>
            </w:r>
            <w:r>
              <w:rPr>
                <w:sz w:val="16"/>
              </w:rPr>
              <w:t>large,</w:t>
            </w:r>
            <w:r>
              <w:rPr>
                <w:spacing w:val="-9"/>
                <w:sz w:val="16"/>
              </w:rPr>
              <w:t xml:space="preserve"> </w:t>
            </w:r>
            <w:r>
              <w:rPr>
                <w:sz w:val="16"/>
              </w:rPr>
              <w:t>multi-purpose</w:t>
            </w:r>
            <w:r>
              <w:rPr>
                <w:spacing w:val="-9"/>
                <w:sz w:val="16"/>
              </w:rPr>
              <w:t xml:space="preserve"> </w:t>
            </w:r>
            <w:r>
              <w:rPr>
                <w:sz w:val="16"/>
              </w:rPr>
              <w:t>and</w:t>
            </w:r>
            <w:r>
              <w:rPr>
                <w:spacing w:val="-9"/>
                <w:sz w:val="16"/>
              </w:rPr>
              <w:t xml:space="preserve"> </w:t>
            </w:r>
            <w:r>
              <w:rPr>
                <w:sz w:val="16"/>
              </w:rPr>
              <w:t>fewer</w:t>
            </w:r>
            <w:r>
              <w:rPr>
                <w:spacing w:val="-9"/>
                <w:sz w:val="16"/>
              </w:rPr>
              <w:t xml:space="preserve"> </w:t>
            </w:r>
            <w:r>
              <w:rPr>
                <w:sz w:val="16"/>
              </w:rPr>
              <w:t>specialist</w:t>
            </w:r>
            <w:r>
              <w:rPr>
                <w:spacing w:val="-9"/>
                <w:sz w:val="16"/>
              </w:rPr>
              <w:t xml:space="preserve"> </w:t>
            </w:r>
            <w:r>
              <w:rPr>
                <w:sz w:val="16"/>
              </w:rPr>
              <w:t>hospitals.</w:t>
            </w:r>
          </w:p>
        </w:tc>
      </w:tr>
      <w:tr w:rsidR="002C1123">
        <w:trPr>
          <w:trHeight w:val="851"/>
        </w:trPr>
        <w:tc>
          <w:tcPr>
            <w:tcW w:w="2201" w:type="dxa"/>
            <w:vMerge w:val="restart"/>
            <w:tcBorders>
              <w:left w:val="nil"/>
            </w:tcBorders>
            <w:shd w:val="clear" w:color="auto" w:fill="E1E0E1"/>
          </w:tcPr>
          <w:p w:rsidR="002C1123" w:rsidRDefault="00F22F94">
            <w:pPr>
              <w:pStyle w:val="TableParagraph"/>
              <w:spacing w:before="63" w:line="254" w:lineRule="auto"/>
              <w:ind w:right="1199"/>
              <w:rPr>
                <w:sz w:val="18"/>
              </w:rPr>
            </w:pPr>
            <w:r>
              <w:rPr>
                <w:spacing w:val="-2"/>
                <w:sz w:val="18"/>
              </w:rPr>
              <w:t xml:space="preserve">Social </w:t>
            </w:r>
            <w:r>
              <w:rPr>
                <w:sz w:val="18"/>
              </w:rPr>
              <w:t>Section</w:t>
            </w:r>
            <w:r>
              <w:rPr>
                <w:spacing w:val="-13"/>
                <w:sz w:val="18"/>
              </w:rPr>
              <w:t xml:space="preserve"> </w:t>
            </w:r>
            <w:r>
              <w:rPr>
                <w:sz w:val="18"/>
              </w:rPr>
              <w:t>14</w:t>
            </w:r>
          </w:p>
        </w:tc>
        <w:tc>
          <w:tcPr>
            <w:tcW w:w="1276" w:type="dxa"/>
            <w:shd w:val="clear" w:color="auto" w:fill="E1E0E1"/>
          </w:tcPr>
          <w:p w:rsidR="002C1123" w:rsidRDefault="00F22F94">
            <w:pPr>
              <w:pStyle w:val="TableParagraph"/>
              <w:rPr>
                <w:sz w:val="16"/>
              </w:rPr>
            </w:pPr>
            <w:r>
              <w:rPr>
                <w:spacing w:val="-2"/>
                <w:sz w:val="16"/>
              </w:rPr>
              <w:t>Schools</w:t>
            </w:r>
          </w:p>
        </w:tc>
        <w:tc>
          <w:tcPr>
            <w:tcW w:w="1248" w:type="dxa"/>
            <w:shd w:val="clear" w:color="auto" w:fill="E1E0E1"/>
          </w:tcPr>
          <w:p w:rsidR="002C1123" w:rsidRDefault="00F22F94">
            <w:pPr>
              <w:pStyle w:val="TableParagraph"/>
              <w:spacing w:before="224"/>
              <w:ind w:left="29"/>
              <w:jc w:val="center"/>
              <w:rPr>
                <w:rFonts w:ascii="Trebuchet MS"/>
                <w:sz w:val="32"/>
              </w:rPr>
            </w:pPr>
            <w:r>
              <w:rPr>
                <w:rFonts w:ascii="Trebuchet MS"/>
                <w:color w:val="FFC20E"/>
                <w:w w:val="66"/>
                <w:sz w:val="32"/>
              </w:rPr>
              <w:t>B</w:t>
            </w:r>
          </w:p>
        </w:tc>
        <w:tc>
          <w:tcPr>
            <w:tcW w:w="1135" w:type="dxa"/>
            <w:shd w:val="clear" w:color="auto" w:fill="E1E0E1"/>
          </w:tcPr>
          <w:p w:rsidR="002C1123" w:rsidRDefault="00F22F94">
            <w:pPr>
              <w:pStyle w:val="TableParagraph"/>
              <w:spacing w:before="224"/>
              <w:ind w:left="517"/>
              <w:rPr>
                <w:rFonts w:ascii="Trebuchet MS"/>
                <w:sz w:val="32"/>
              </w:rPr>
            </w:pPr>
            <w:r>
              <w:rPr>
                <w:rFonts w:ascii="Trebuchet MS"/>
                <w:color w:val="F47920"/>
                <w:w w:val="56"/>
                <w:sz w:val="32"/>
              </w:rPr>
              <w:t>C</w:t>
            </w:r>
          </w:p>
        </w:tc>
        <w:tc>
          <w:tcPr>
            <w:tcW w:w="8959" w:type="dxa"/>
            <w:shd w:val="clear" w:color="auto" w:fill="E1E0E1"/>
          </w:tcPr>
          <w:p w:rsidR="002C1123" w:rsidRDefault="00F22F94">
            <w:pPr>
              <w:pStyle w:val="TableParagraph"/>
              <w:numPr>
                <w:ilvl w:val="0"/>
                <w:numId w:val="131"/>
              </w:numPr>
              <w:tabs>
                <w:tab w:val="left" w:pos="253"/>
              </w:tabs>
              <w:rPr>
                <w:sz w:val="16"/>
              </w:rPr>
            </w:pPr>
            <w:r>
              <w:rPr>
                <w:w w:val="95"/>
                <w:sz w:val="16"/>
              </w:rPr>
              <w:t>Maintenance</w:t>
            </w:r>
            <w:r>
              <w:rPr>
                <w:spacing w:val="1"/>
                <w:sz w:val="16"/>
              </w:rPr>
              <w:t xml:space="preserve"> </w:t>
            </w:r>
            <w:r>
              <w:rPr>
                <w:w w:val="95"/>
                <w:sz w:val="16"/>
              </w:rPr>
              <w:t>around</w:t>
            </w:r>
            <w:r>
              <w:rPr>
                <w:spacing w:val="2"/>
                <w:sz w:val="16"/>
              </w:rPr>
              <w:t xml:space="preserve"> </w:t>
            </w:r>
            <w:r>
              <w:rPr>
                <w:w w:val="95"/>
                <w:sz w:val="16"/>
              </w:rPr>
              <w:t>1.5</w:t>
            </w:r>
            <w:r>
              <w:rPr>
                <w:spacing w:val="2"/>
                <w:sz w:val="16"/>
              </w:rPr>
              <w:t xml:space="preserve"> </w:t>
            </w:r>
            <w:r>
              <w:rPr>
                <w:w w:val="95"/>
                <w:sz w:val="16"/>
              </w:rPr>
              <w:t>percent</w:t>
            </w:r>
            <w:r>
              <w:rPr>
                <w:spacing w:val="2"/>
                <w:sz w:val="16"/>
              </w:rPr>
              <w:t xml:space="preserve"> </w:t>
            </w:r>
            <w:r>
              <w:rPr>
                <w:w w:val="95"/>
                <w:sz w:val="16"/>
              </w:rPr>
              <w:t>of</w:t>
            </w:r>
            <w:r>
              <w:rPr>
                <w:spacing w:val="2"/>
                <w:sz w:val="16"/>
              </w:rPr>
              <w:t xml:space="preserve"> </w:t>
            </w:r>
            <w:r>
              <w:rPr>
                <w:w w:val="95"/>
                <w:sz w:val="16"/>
              </w:rPr>
              <w:t>asset</w:t>
            </w:r>
            <w:r>
              <w:rPr>
                <w:spacing w:val="2"/>
                <w:sz w:val="16"/>
              </w:rPr>
              <w:t xml:space="preserve"> </w:t>
            </w:r>
            <w:r>
              <w:rPr>
                <w:w w:val="95"/>
                <w:sz w:val="16"/>
              </w:rPr>
              <w:t>value</w:t>
            </w:r>
            <w:r>
              <w:rPr>
                <w:spacing w:val="2"/>
                <w:sz w:val="16"/>
              </w:rPr>
              <w:t xml:space="preserve"> </w:t>
            </w:r>
            <w:r>
              <w:rPr>
                <w:w w:val="95"/>
                <w:sz w:val="16"/>
              </w:rPr>
              <w:t>needs</w:t>
            </w:r>
            <w:r>
              <w:rPr>
                <w:spacing w:val="2"/>
                <w:sz w:val="16"/>
              </w:rPr>
              <w:t xml:space="preserve"> </w:t>
            </w:r>
            <w:r>
              <w:rPr>
                <w:w w:val="95"/>
                <w:sz w:val="16"/>
              </w:rPr>
              <w:t>to</w:t>
            </w:r>
            <w:r>
              <w:rPr>
                <w:spacing w:val="2"/>
                <w:sz w:val="16"/>
              </w:rPr>
              <w:t xml:space="preserve"> </w:t>
            </w:r>
            <w:r>
              <w:rPr>
                <w:w w:val="95"/>
                <w:sz w:val="16"/>
              </w:rPr>
              <w:t>be</w:t>
            </w:r>
            <w:r>
              <w:rPr>
                <w:spacing w:val="2"/>
                <w:sz w:val="16"/>
              </w:rPr>
              <w:t xml:space="preserve"> </w:t>
            </w:r>
            <w:r>
              <w:rPr>
                <w:w w:val="95"/>
                <w:sz w:val="16"/>
              </w:rPr>
              <w:t>supplemented</w:t>
            </w:r>
            <w:r>
              <w:rPr>
                <w:spacing w:val="2"/>
                <w:sz w:val="16"/>
              </w:rPr>
              <w:t xml:space="preserve"> </w:t>
            </w:r>
            <w:r>
              <w:rPr>
                <w:w w:val="95"/>
                <w:sz w:val="16"/>
              </w:rPr>
              <w:t>by</w:t>
            </w:r>
            <w:r>
              <w:rPr>
                <w:spacing w:val="2"/>
                <w:sz w:val="16"/>
              </w:rPr>
              <w:t xml:space="preserve"> </w:t>
            </w:r>
            <w:r>
              <w:rPr>
                <w:w w:val="95"/>
                <w:sz w:val="16"/>
              </w:rPr>
              <w:t>higher</w:t>
            </w:r>
            <w:r>
              <w:rPr>
                <w:spacing w:val="2"/>
                <w:sz w:val="16"/>
              </w:rPr>
              <w:t xml:space="preserve"> </w:t>
            </w:r>
            <w:r>
              <w:rPr>
                <w:w w:val="95"/>
                <w:sz w:val="16"/>
              </w:rPr>
              <w:t>minor</w:t>
            </w:r>
            <w:r>
              <w:rPr>
                <w:spacing w:val="2"/>
                <w:sz w:val="16"/>
              </w:rPr>
              <w:t xml:space="preserve"> </w:t>
            </w:r>
            <w:r>
              <w:rPr>
                <w:w w:val="95"/>
                <w:sz w:val="16"/>
              </w:rPr>
              <w:t>works</w:t>
            </w:r>
            <w:r>
              <w:rPr>
                <w:spacing w:val="2"/>
                <w:sz w:val="16"/>
              </w:rPr>
              <w:t xml:space="preserve"> </w:t>
            </w:r>
            <w:r>
              <w:rPr>
                <w:spacing w:val="-2"/>
                <w:w w:val="95"/>
                <w:sz w:val="16"/>
              </w:rPr>
              <w:t>capital.</w:t>
            </w:r>
          </w:p>
          <w:p w:rsidR="002C1123" w:rsidRDefault="00F22F94">
            <w:pPr>
              <w:pStyle w:val="TableParagraph"/>
              <w:numPr>
                <w:ilvl w:val="0"/>
                <w:numId w:val="131"/>
              </w:numPr>
              <w:tabs>
                <w:tab w:val="left" w:pos="253"/>
              </w:tabs>
              <w:spacing w:before="53"/>
              <w:rPr>
                <w:sz w:val="16"/>
              </w:rPr>
            </w:pPr>
            <w:r>
              <w:rPr>
                <w:w w:val="95"/>
                <w:sz w:val="16"/>
              </w:rPr>
              <w:t>Utilisation</w:t>
            </w:r>
            <w:r>
              <w:rPr>
                <w:spacing w:val="1"/>
                <w:sz w:val="16"/>
              </w:rPr>
              <w:t xml:space="preserve"> </w:t>
            </w:r>
            <w:r>
              <w:rPr>
                <w:w w:val="95"/>
                <w:sz w:val="16"/>
              </w:rPr>
              <w:t>of</w:t>
            </w:r>
            <w:r>
              <w:rPr>
                <w:spacing w:val="2"/>
                <w:sz w:val="16"/>
              </w:rPr>
              <w:t xml:space="preserve"> </w:t>
            </w:r>
            <w:r>
              <w:rPr>
                <w:w w:val="95"/>
                <w:sz w:val="16"/>
              </w:rPr>
              <w:t>primary</w:t>
            </w:r>
            <w:r>
              <w:rPr>
                <w:spacing w:val="2"/>
                <w:sz w:val="16"/>
              </w:rPr>
              <w:t xml:space="preserve"> </w:t>
            </w:r>
            <w:r>
              <w:rPr>
                <w:w w:val="95"/>
                <w:sz w:val="16"/>
              </w:rPr>
              <w:t>schools</w:t>
            </w:r>
            <w:r>
              <w:rPr>
                <w:spacing w:val="1"/>
                <w:sz w:val="16"/>
              </w:rPr>
              <w:t xml:space="preserve"> </w:t>
            </w:r>
            <w:r>
              <w:rPr>
                <w:w w:val="95"/>
                <w:sz w:val="16"/>
              </w:rPr>
              <w:t>above</w:t>
            </w:r>
            <w:r>
              <w:rPr>
                <w:spacing w:val="2"/>
                <w:sz w:val="16"/>
              </w:rPr>
              <w:t xml:space="preserve"> </w:t>
            </w:r>
            <w:r>
              <w:rPr>
                <w:w w:val="95"/>
                <w:sz w:val="16"/>
              </w:rPr>
              <w:t>100</w:t>
            </w:r>
            <w:r>
              <w:rPr>
                <w:spacing w:val="2"/>
                <w:sz w:val="16"/>
              </w:rPr>
              <w:t xml:space="preserve"> </w:t>
            </w:r>
            <w:r>
              <w:rPr>
                <w:w w:val="95"/>
                <w:sz w:val="16"/>
              </w:rPr>
              <w:t>percent</w:t>
            </w:r>
            <w:r>
              <w:rPr>
                <w:spacing w:val="1"/>
                <w:sz w:val="16"/>
              </w:rPr>
              <w:t xml:space="preserve"> </w:t>
            </w:r>
            <w:r>
              <w:rPr>
                <w:w w:val="95"/>
                <w:sz w:val="16"/>
              </w:rPr>
              <w:t>in</w:t>
            </w:r>
            <w:r>
              <w:rPr>
                <w:spacing w:val="2"/>
                <w:sz w:val="16"/>
              </w:rPr>
              <w:t xml:space="preserve"> </w:t>
            </w:r>
            <w:r>
              <w:rPr>
                <w:w w:val="95"/>
                <w:sz w:val="16"/>
              </w:rPr>
              <w:t>metropolitan</w:t>
            </w:r>
            <w:r>
              <w:rPr>
                <w:spacing w:val="2"/>
                <w:sz w:val="16"/>
              </w:rPr>
              <w:t xml:space="preserve"> </w:t>
            </w:r>
            <w:r>
              <w:rPr>
                <w:spacing w:val="-2"/>
                <w:w w:val="95"/>
                <w:sz w:val="16"/>
              </w:rPr>
              <w:t>areas.</w:t>
            </w:r>
          </w:p>
          <w:p w:rsidR="002C1123" w:rsidRDefault="00F22F94">
            <w:pPr>
              <w:pStyle w:val="TableParagraph"/>
              <w:numPr>
                <w:ilvl w:val="0"/>
                <w:numId w:val="131"/>
              </w:numPr>
              <w:tabs>
                <w:tab w:val="left" w:pos="253"/>
              </w:tabs>
              <w:spacing w:before="53"/>
              <w:rPr>
                <w:sz w:val="16"/>
              </w:rPr>
            </w:pPr>
            <w:r>
              <w:rPr>
                <w:w w:val="95"/>
                <w:sz w:val="16"/>
              </w:rPr>
              <w:t>Existing</w:t>
            </w:r>
            <w:r>
              <w:rPr>
                <w:spacing w:val="1"/>
                <w:sz w:val="16"/>
              </w:rPr>
              <w:t xml:space="preserve"> </w:t>
            </w:r>
            <w:r>
              <w:rPr>
                <w:w w:val="95"/>
                <w:sz w:val="16"/>
              </w:rPr>
              <w:t>facilities</w:t>
            </w:r>
            <w:r>
              <w:rPr>
                <w:spacing w:val="2"/>
                <w:sz w:val="16"/>
              </w:rPr>
              <w:t xml:space="preserve"> </w:t>
            </w:r>
            <w:r>
              <w:rPr>
                <w:w w:val="95"/>
                <w:sz w:val="16"/>
              </w:rPr>
              <w:t>designs</w:t>
            </w:r>
            <w:r>
              <w:rPr>
                <w:spacing w:val="2"/>
                <w:sz w:val="16"/>
              </w:rPr>
              <w:t xml:space="preserve"> </w:t>
            </w:r>
            <w:r>
              <w:rPr>
                <w:w w:val="95"/>
                <w:sz w:val="16"/>
              </w:rPr>
              <w:t>do</w:t>
            </w:r>
            <w:r>
              <w:rPr>
                <w:spacing w:val="1"/>
                <w:sz w:val="16"/>
              </w:rPr>
              <w:t xml:space="preserve"> </w:t>
            </w:r>
            <w:r>
              <w:rPr>
                <w:w w:val="95"/>
                <w:sz w:val="16"/>
              </w:rPr>
              <w:t>not</w:t>
            </w:r>
            <w:r>
              <w:rPr>
                <w:spacing w:val="2"/>
                <w:sz w:val="16"/>
              </w:rPr>
              <w:t xml:space="preserve"> </w:t>
            </w:r>
            <w:r>
              <w:rPr>
                <w:w w:val="95"/>
                <w:sz w:val="16"/>
              </w:rPr>
              <w:t>reflect</w:t>
            </w:r>
            <w:r>
              <w:rPr>
                <w:spacing w:val="2"/>
                <w:sz w:val="16"/>
              </w:rPr>
              <w:t xml:space="preserve"> </w:t>
            </w:r>
            <w:r>
              <w:rPr>
                <w:w w:val="95"/>
                <w:sz w:val="16"/>
              </w:rPr>
              <w:t>technology-driven</w:t>
            </w:r>
            <w:r>
              <w:rPr>
                <w:spacing w:val="2"/>
                <w:sz w:val="16"/>
              </w:rPr>
              <w:t xml:space="preserve"> </w:t>
            </w:r>
            <w:r>
              <w:rPr>
                <w:w w:val="95"/>
                <w:sz w:val="16"/>
              </w:rPr>
              <w:t>changes</w:t>
            </w:r>
            <w:r>
              <w:rPr>
                <w:spacing w:val="1"/>
                <w:sz w:val="16"/>
              </w:rPr>
              <w:t xml:space="preserve"> </w:t>
            </w:r>
            <w:r>
              <w:rPr>
                <w:w w:val="95"/>
                <w:sz w:val="16"/>
              </w:rPr>
              <w:t>to</w:t>
            </w:r>
            <w:r>
              <w:rPr>
                <w:spacing w:val="2"/>
                <w:sz w:val="16"/>
              </w:rPr>
              <w:t xml:space="preserve"> </w:t>
            </w:r>
            <w:r>
              <w:rPr>
                <w:w w:val="95"/>
                <w:sz w:val="16"/>
              </w:rPr>
              <w:t>how</w:t>
            </w:r>
            <w:r>
              <w:rPr>
                <w:spacing w:val="2"/>
                <w:sz w:val="16"/>
              </w:rPr>
              <w:t xml:space="preserve"> </w:t>
            </w:r>
            <w:r>
              <w:rPr>
                <w:w w:val="95"/>
                <w:sz w:val="16"/>
              </w:rPr>
              <w:t>teaching</w:t>
            </w:r>
            <w:r>
              <w:rPr>
                <w:spacing w:val="2"/>
                <w:sz w:val="16"/>
              </w:rPr>
              <w:t xml:space="preserve"> </w:t>
            </w:r>
            <w:r>
              <w:rPr>
                <w:w w:val="95"/>
                <w:sz w:val="16"/>
              </w:rPr>
              <w:t>and</w:t>
            </w:r>
            <w:r>
              <w:rPr>
                <w:spacing w:val="1"/>
                <w:sz w:val="16"/>
              </w:rPr>
              <w:t xml:space="preserve"> </w:t>
            </w:r>
            <w:r>
              <w:rPr>
                <w:w w:val="95"/>
                <w:sz w:val="16"/>
              </w:rPr>
              <w:t>learning</w:t>
            </w:r>
            <w:r>
              <w:rPr>
                <w:spacing w:val="2"/>
                <w:sz w:val="16"/>
              </w:rPr>
              <w:t xml:space="preserve"> </w:t>
            </w:r>
            <w:r>
              <w:rPr>
                <w:spacing w:val="-2"/>
                <w:w w:val="95"/>
                <w:sz w:val="16"/>
              </w:rPr>
              <w:t>occur.</w:t>
            </w:r>
          </w:p>
        </w:tc>
      </w:tr>
      <w:tr w:rsidR="002C1123">
        <w:trPr>
          <w:trHeight w:val="614"/>
        </w:trPr>
        <w:tc>
          <w:tcPr>
            <w:tcW w:w="2201" w:type="dxa"/>
            <w:vMerge/>
            <w:tcBorders>
              <w:top w:val="nil"/>
              <w:left w:val="nil"/>
            </w:tcBorders>
            <w:shd w:val="clear" w:color="auto" w:fill="E1E0E1"/>
          </w:tcPr>
          <w:p w:rsidR="002C1123" w:rsidRDefault="002C1123">
            <w:pPr>
              <w:rPr>
                <w:sz w:val="2"/>
                <w:szCs w:val="2"/>
              </w:rPr>
            </w:pPr>
          </w:p>
        </w:tc>
        <w:tc>
          <w:tcPr>
            <w:tcW w:w="1276" w:type="dxa"/>
            <w:shd w:val="clear" w:color="auto" w:fill="E1E0E1"/>
          </w:tcPr>
          <w:p w:rsidR="002C1123" w:rsidRDefault="00F22F94">
            <w:pPr>
              <w:pStyle w:val="TableParagraph"/>
              <w:rPr>
                <w:sz w:val="16"/>
              </w:rPr>
            </w:pPr>
            <w:r>
              <w:rPr>
                <w:w w:val="95"/>
                <w:sz w:val="16"/>
              </w:rPr>
              <w:t>Culture</w:t>
            </w:r>
            <w:r>
              <w:rPr>
                <w:spacing w:val="-2"/>
                <w:w w:val="95"/>
                <w:sz w:val="16"/>
              </w:rPr>
              <w:t xml:space="preserve"> </w:t>
            </w:r>
            <w:r>
              <w:rPr>
                <w:spacing w:val="-2"/>
                <w:sz w:val="16"/>
              </w:rPr>
              <w:t>venues</w:t>
            </w:r>
          </w:p>
        </w:tc>
        <w:tc>
          <w:tcPr>
            <w:tcW w:w="1248" w:type="dxa"/>
            <w:shd w:val="clear" w:color="auto" w:fill="E1E0E1"/>
          </w:tcPr>
          <w:p w:rsidR="002C1123" w:rsidRDefault="00F22F94">
            <w:pPr>
              <w:pStyle w:val="TableParagraph"/>
              <w:spacing w:before="106"/>
              <w:ind w:left="29"/>
              <w:jc w:val="center"/>
              <w:rPr>
                <w:rFonts w:ascii="Trebuchet MS"/>
                <w:sz w:val="32"/>
              </w:rPr>
            </w:pPr>
            <w:r>
              <w:rPr>
                <w:rFonts w:ascii="Trebuchet MS"/>
                <w:color w:val="FFC20E"/>
                <w:w w:val="66"/>
                <w:sz w:val="32"/>
              </w:rPr>
              <w:t>B</w:t>
            </w:r>
          </w:p>
        </w:tc>
        <w:tc>
          <w:tcPr>
            <w:tcW w:w="1135" w:type="dxa"/>
            <w:shd w:val="clear" w:color="auto" w:fill="E1E0E1"/>
          </w:tcPr>
          <w:p w:rsidR="002C1123" w:rsidRDefault="00F22F94">
            <w:pPr>
              <w:pStyle w:val="TableParagraph"/>
              <w:spacing w:before="106"/>
              <w:ind w:left="517"/>
              <w:rPr>
                <w:rFonts w:ascii="Trebuchet MS"/>
                <w:sz w:val="32"/>
              </w:rPr>
            </w:pPr>
            <w:r>
              <w:rPr>
                <w:rFonts w:ascii="Trebuchet MS"/>
                <w:color w:val="F47920"/>
                <w:w w:val="56"/>
                <w:sz w:val="32"/>
              </w:rPr>
              <w:t>C</w:t>
            </w:r>
          </w:p>
        </w:tc>
        <w:tc>
          <w:tcPr>
            <w:tcW w:w="8959" w:type="dxa"/>
            <w:shd w:val="clear" w:color="auto" w:fill="E1E0E1"/>
          </w:tcPr>
          <w:p w:rsidR="002C1123" w:rsidRDefault="00F22F94">
            <w:pPr>
              <w:pStyle w:val="TableParagraph"/>
              <w:numPr>
                <w:ilvl w:val="0"/>
                <w:numId w:val="130"/>
              </w:numPr>
              <w:tabs>
                <w:tab w:val="left" w:pos="253"/>
              </w:tabs>
              <w:rPr>
                <w:sz w:val="16"/>
              </w:rPr>
            </w:pPr>
            <w:r>
              <w:rPr>
                <w:w w:val="95"/>
                <w:sz w:val="16"/>
              </w:rPr>
              <w:t>Investment</w:t>
            </w:r>
            <w:r>
              <w:rPr>
                <w:sz w:val="16"/>
              </w:rPr>
              <w:t xml:space="preserve"> </w:t>
            </w:r>
            <w:r>
              <w:rPr>
                <w:w w:val="95"/>
                <w:sz w:val="16"/>
              </w:rPr>
              <w:t>not</w:t>
            </w:r>
            <w:r>
              <w:rPr>
                <w:sz w:val="16"/>
              </w:rPr>
              <w:t xml:space="preserve"> </w:t>
            </w:r>
            <w:r>
              <w:rPr>
                <w:w w:val="95"/>
                <w:sz w:val="16"/>
              </w:rPr>
              <w:t>informed</w:t>
            </w:r>
            <w:r>
              <w:rPr>
                <w:sz w:val="16"/>
              </w:rPr>
              <w:t xml:space="preserve"> </w:t>
            </w:r>
            <w:r>
              <w:rPr>
                <w:w w:val="95"/>
                <w:sz w:val="16"/>
              </w:rPr>
              <w:t>by</w:t>
            </w:r>
            <w:r>
              <w:rPr>
                <w:spacing w:val="1"/>
                <w:sz w:val="16"/>
              </w:rPr>
              <w:t xml:space="preserve"> </w:t>
            </w:r>
            <w:r>
              <w:rPr>
                <w:w w:val="95"/>
                <w:sz w:val="16"/>
              </w:rPr>
              <w:t>overarching</w:t>
            </w:r>
            <w:r>
              <w:rPr>
                <w:sz w:val="16"/>
              </w:rPr>
              <w:t xml:space="preserve"> </w:t>
            </w:r>
            <w:r>
              <w:rPr>
                <w:w w:val="95"/>
                <w:sz w:val="16"/>
              </w:rPr>
              <w:t>policy</w:t>
            </w:r>
            <w:r>
              <w:rPr>
                <w:sz w:val="16"/>
              </w:rPr>
              <w:t xml:space="preserve"> </w:t>
            </w:r>
            <w:r>
              <w:rPr>
                <w:w w:val="95"/>
                <w:sz w:val="16"/>
              </w:rPr>
              <w:t>or</w:t>
            </w:r>
            <w:r>
              <w:rPr>
                <w:sz w:val="16"/>
              </w:rPr>
              <w:t xml:space="preserve"> </w:t>
            </w:r>
            <w:r>
              <w:rPr>
                <w:spacing w:val="-2"/>
                <w:w w:val="95"/>
                <w:sz w:val="16"/>
              </w:rPr>
              <w:t>strategy.</w:t>
            </w:r>
          </w:p>
          <w:p w:rsidR="002C1123" w:rsidRDefault="00F22F94">
            <w:pPr>
              <w:pStyle w:val="TableParagraph"/>
              <w:numPr>
                <w:ilvl w:val="0"/>
                <w:numId w:val="130"/>
              </w:numPr>
              <w:tabs>
                <w:tab w:val="left" w:pos="253"/>
              </w:tabs>
              <w:spacing w:before="53"/>
              <w:rPr>
                <w:sz w:val="16"/>
              </w:rPr>
            </w:pPr>
            <w:r>
              <w:rPr>
                <w:w w:val="95"/>
                <w:sz w:val="16"/>
              </w:rPr>
              <w:t>Infrastructure</w:t>
            </w:r>
            <w:r>
              <w:rPr>
                <w:spacing w:val="2"/>
                <w:sz w:val="16"/>
              </w:rPr>
              <w:t xml:space="preserve"> </w:t>
            </w:r>
            <w:r>
              <w:rPr>
                <w:w w:val="95"/>
                <w:sz w:val="16"/>
              </w:rPr>
              <w:t>constraints</w:t>
            </w:r>
            <w:r>
              <w:rPr>
                <w:spacing w:val="2"/>
                <w:sz w:val="16"/>
              </w:rPr>
              <w:t xml:space="preserve"> </w:t>
            </w:r>
            <w:r>
              <w:rPr>
                <w:w w:val="95"/>
                <w:sz w:val="16"/>
              </w:rPr>
              <w:t>with</w:t>
            </w:r>
            <w:r>
              <w:rPr>
                <w:spacing w:val="2"/>
                <w:sz w:val="16"/>
              </w:rPr>
              <w:t xml:space="preserve"> </w:t>
            </w:r>
            <w:r>
              <w:rPr>
                <w:w w:val="95"/>
                <w:sz w:val="16"/>
              </w:rPr>
              <w:t>major</w:t>
            </w:r>
            <w:r>
              <w:rPr>
                <w:spacing w:val="2"/>
                <w:sz w:val="16"/>
              </w:rPr>
              <w:t xml:space="preserve"> </w:t>
            </w:r>
            <w:r>
              <w:rPr>
                <w:w w:val="95"/>
                <w:sz w:val="16"/>
              </w:rPr>
              <w:t>cultural</w:t>
            </w:r>
            <w:r>
              <w:rPr>
                <w:spacing w:val="2"/>
                <w:sz w:val="16"/>
              </w:rPr>
              <w:t xml:space="preserve"> </w:t>
            </w:r>
            <w:r>
              <w:rPr>
                <w:w w:val="95"/>
                <w:sz w:val="16"/>
              </w:rPr>
              <w:t>institutions</w:t>
            </w:r>
            <w:r>
              <w:rPr>
                <w:spacing w:val="2"/>
                <w:sz w:val="16"/>
              </w:rPr>
              <w:t xml:space="preserve"> </w:t>
            </w:r>
            <w:r>
              <w:rPr>
                <w:w w:val="95"/>
                <w:sz w:val="16"/>
              </w:rPr>
              <w:t>limit</w:t>
            </w:r>
            <w:r>
              <w:rPr>
                <w:spacing w:val="2"/>
                <w:sz w:val="16"/>
              </w:rPr>
              <w:t xml:space="preserve"> </w:t>
            </w:r>
            <w:r>
              <w:rPr>
                <w:w w:val="95"/>
                <w:sz w:val="16"/>
              </w:rPr>
              <w:t>ability</w:t>
            </w:r>
            <w:r>
              <w:rPr>
                <w:spacing w:val="2"/>
                <w:sz w:val="16"/>
              </w:rPr>
              <w:t xml:space="preserve"> </w:t>
            </w:r>
            <w:r>
              <w:rPr>
                <w:w w:val="95"/>
                <w:sz w:val="16"/>
              </w:rPr>
              <w:t>to</w:t>
            </w:r>
            <w:r>
              <w:rPr>
                <w:spacing w:val="2"/>
                <w:sz w:val="16"/>
              </w:rPr>
              <w:t xml:space="preserve"> </w:t>
            </w:r>
            <w:r>
              <w:rPr>
                <w:w w:val="95"/>
                <w:sz w:val="16"/>
              </w:rPr>
              <w:t>attract</w:t>
            </w:r>
            <w:r>
              <w:rPr>
                <w:spacing w:val="2"/>
                <w:sz w:val="16"/>
              </w:rPr>
              <w:t xml:space="preserve"> </w:t>
            </w:r>
            <w:r>
              <w:rPr>
                <w:w w:val="95"/>
                <w:sz w:val="16"/>
              </w:rPr>
              <w:t>major</w:t>
            </w:r>
            <w:r>
              <w:rPr>
                <w:spacing w:val="2"/>
                <w:sz w:val="16"/>
              </w:rPr>
              <w:t xml:space="preserve"> </w:t>
            </w:r>
            <w:r>
              <w:rPr>
                <w:spacing w:val="-2"/>
                <w:w w:val="95"/>
                <w:sz w:val="16"/>
              </w:rPr>
              <w:t>events.</w:t>
            </w:r>
          </w:p>
        </w:tc>
      </w:tr>
      <w:tr w:rsidR="002C1123">
        <w:trPr>
          <w:trHeight w:val="851"/>
        </w:trPr>
        <w:tc>
          <w:tcPr>
            <w:tcW w:w="2201" w:type="dxa"/>
            <w:vMerge/>
            <w:tcBorders>
              <w:top w:val="nil"/>
              <w:left w:val="nil"/>
            </w:tcBorders>
            <w:shd w:val="clear" w:color="auto" w:fill="E1E0E1"/>
          </w:tcPr>
          <w:p w:rsidR="002C1123" w:rsidRDefault="002C1123">
            <w:pPr>
              <w:rPr>
                <w:sz w:val="2"/>
                <w:szCs w:val="2"/>
              </w:rPr>
            </w:pPr>
          </w:p>
        </w:tc>
        <w:tc>
          <w:tcPr>
            <w:tcW w:w="1276" w:type="dxa"/>
            <w:shd w:val="clear" w:color="auto" w:fill="E1E0E1"/>
          </w:tcPr>
          <w:p w:rsidR="002C1123" w:rsidRDefault="00F22F94">
            <w:pPr>
              <w:pStyle w:val="TableParagraph"/>
              <w:rPr>
                <w:sz w:val="16"/>
              </w:rPr>
            </w:pPr>
            <w:r>
              <w:rPr>
                <w:spacing w:val="-2"/>
                <w:sz w:val="16"/>
              </w:rPr>
              <w:t>Justice</w:t>
            </w:r>
          </w:p>
        </w:tc>
        <w:tc>
          <w:tcPr>
            <w:tcW w:w="1248" w:type="dxa"/>
            <w:shd w:val="clear" w:color="auto" w:fill="E1E0E1"/>
          </w:tcPr>
          <w:p w:rsidR="002C1123" w:rsidRDefault="00F22F94">
            <w:pPr>
              <w:pStyle w:val="TableParagraph"/>
              <w:spacing w:before="224"/>
              <w:ind w:left="29"/>
              <w:jc w:val="center"/>
              <w:rPr>
                <w:rFonts w:ascii="Trebuchet MS"/>
                <w:sz w:val="32"/>
              </w:rPr>
            </w:pPr>
            <w:r>
              <w:rPr>
                <w:rFonts w:ascii="Trebuchet MS"/>
                <w:color w:val="FFC20E"/>
                <w:w w:val="66"/>
                <w:sz w:val="32"/>
              </w:rPr>
              <w:t>B</w:t>
            </w:r>
          </w:p>
        </w:tc>
        <w:tc>
          <w:tcPr>
            <w:tcW w:w="1135" w:type="dxa"/>
            <w:shd w:val="clear" w:color="auto" w:fill="E1E0E1"/>
          </w:tcPr>
          <w:p w:rsidR="002C1123" w:rsidRDefault="00F22F94">
            <w:pPr>
              <w:pStyle w:val="TableParagraph"/>
              <w:spacing w:before="224"/>
              <w:ind w:left="518"/>
              <w:rPr>
                <w:rFonts w:ascii="Trebuchet MS"/>
                <w:sz w:val="32"/>
              </w:rPr>
            </w:pPr>
            <w:r>
              <w:rPr>
                <w:rFonts w:ascii="Trebuchet MS"/>
                <w:color w:val="00AB4E"/>
                <w:w w:val="56"/>
                <w:sz w:val="32"/>
              </w:rPr>
              <w:t>A</w:t>
            </w:r>
          </w:p>
        </w:tc>
        <w:tc>
          <w:tcPr>
            <w:tcW w:w="8959" w:type="dxa"/>
            <w:shd w:val="clear" w:color="auto" w:fill="E1E0E1"/>
          </w:tcPr>
          <w:p w:rsidR="002C1123" w:rsidRDefault="00F22F94">
            <w:pPr>
              <w:pStyle w:val="TableParagraph"/>
              <w:numPr>
                <w:ilvl w:val="0"/>
                <w:numId w:val="129"/>
              </w:numPr>
              <w:tabs>
                <w:tab w:val="left" w:pos="253"/>
              </w:tabs>
              <w:rPr>
                <w:sz w:val="16"/>
              </w:rPr>
            </w:pPr>
            <w:r>
              <w:rPr>
                <w:w w:val="95"/>
                <w:sz w:val="16"/>
              </w:rPr>
              <w:t>Operational</w:t>
            </w:r>
            <w:r>
              <w:rPr>
                <w:spacing w:val="-1"/>
                <w:w w:val="95"/>
                <w:sz w:val="16"/>
              </w:rPr>
              <w:t xml:space="preserve"> </w:t>
            </w:r>
            <w:r>
              <w:rPr>
                <w:w w:val="95"/>
                <w:sz w:val="16"/>
              </w:rPr>
              <w:t>reforms</w:t>
            </w:r>
            <w:r>
              <w:rPr>
                <w:spacing w:val="-2"/>
                <w:sz w:val="16"/>
              </w:rPr>
              <w:t xml:space="preserve"> </w:t>
            </w:r>
            <w:r>
              <w:rPr>
                <w:w w:val="95"/>
                <w:sz w:val="16"/>
              </w:rPr>
              <w:t>have</w:t>
            </w:r>
            <w:r>
              <w:rPr>
                <w:spacing w:val="-2"/>
                <w:sz w:val="16"/>
              </w:rPr>
              <w:t xml:space="preserve"> </w:t>
            </w:r>
            <w:r>
              <w:rPr>
                <w:w w:val="95"/>
                <w:sz w:val="16"/>
              </w:rPr>
              <w:t>resulted</w:t>
            </w:r>
            <w:r>
              <w:rPr>
                <w:spacing w:val="-2"/>
                <w:sz w:val="16"/>
              </w:rPr>
              <w:t xml:space="preserve"> </w:t>
            </w:r>
            <w:r>
              <w:rPr>
                <w:w w:val="95"/>
                <w:sz w:val="16"/>
              </w:rPr>
              <w:t>in</w:t>
            </w:r>
            <w:r>
              <w:rPr>
                <w:spacing w:val="-3"/>
                <w:sz w:val="16"/>
              </w:rPr>
              <w:t xml:space="preserve"> </w:t>
            </w:r>
            <w:r>
              <w:rPr>
                <w:w w:val="95"/>
                <w:sz w:val="16"/>
              </w:rPr>
              <w:t>some</w:t>
            </w:r>
            <w:r>
              <w:rPr>
                <w:spacing w:val="-2"/>
                <w:sz w:val="16"/>
              </w:rPr>
              <w:t xml:space="preserve"> </w:t>
            </w:r>
            <w:r>
              <w:rPr>
                <w:w w:val="95"/>
                <w:sz w:val="16"/>
              </w:rPr>
              <w:t>asset</w:t>
            </w:r>
            <w:r>
              <w:rPr>
                <w:spacing w:val="-2"/>
                <w:sz w:val="16"/>
              </w:rPr>
              <w:t xml:space="preserve"> </w:t>
            </w:r>
            <w:r>
              <w:rPr>
                <w:w w:val="95"/>
                <w:sz w:val="16"/>
              </w:rPr>
              <w:t>classes,</w:t>
            </w:r>
            <w:r>
              <w:rPr>
                <w:spacing w:val="-3"/>
                <w:sz w:val="16"/>
              </w:rPr>
              <w:t xml:space="preserve"> </w:t>
            </w:r>
            <w:r>
              <w:rPr>
                <w:w w:val="95"/>
                <w:sz w:val="16"/>
              </w:rPr>
              <w:t>i.e.</w:t>
            </w:r>
            <w:r>
              <w:rPr>
                <w:spacing w:val="-2"/>
                <w:sz w:val="16"/>
              </w:rPr>
              <w:t xml:space="preserve"> </w:t>
            </w:r>
            <w:r>
              <w:rPr>
                <w:w w:val="95"/>
                <w:sz w:val="16"/>
              </w:rPr>
              <w:t>court</w:t>
            </w:r>
            <w:r>
              <w:rPr>
                <w:spacing w:val="-2"/>
                <w:sz w:val="16"/>
              </w:rPr>
              <w:t xml:space="preserve"> </w:t>
            </w:r>
            <w:r>
              <w:rPr>
                <w:w w:val="95"/>
                <w:sz w:val="16"/>
              </w:rPr>
              <w:t>houses</w:t>
            </w:r>
            <w:r>
              <w:rPr>
                <w:spacing w:val="-2"/>
                <w:sz w:val="16"/>
              </w:rPr>
              <w:t xml:space="preserve"> </w:t>
            </w:r>
            <w:r>
              <w:rPr>
                <w:w w:val="95"/>
                <w:sz w:val="16"/>
              </w:rPr>
              <w:t>having</w:t>
            </w:r>
            <w:r>
              <w:rPr>
                <w:spacing w:val="-3"/>
                <w:sz w:val="16"/>
              </w:rPr>
              <w:t xml:space="preserve"> </w:t>
            </w:r>
            <w:r>
              <w:rPr>
                <w:w w:val="95"/>
                <w:sz w:val="16"/>
              </w:rPr>
              <w:t>lower</w:t>
            </w:r>
            <w:r>
              <w:rPr>
                <w:spacing w:val="-2"/>
                <w:sz w:val="16"/>
              </w:rPr>
              <w:t xml:space="preserve"> </w:t>
            </w:r>
            <w:r>
              <w:rPr>
                <w:spacing w:val="-2"/>
                <w:w w:val="95"/>
                <w:sz w:val="16"/>
              </w:rPr>
              <w:t>utilisation.</w:t>
            </w:r>
          </w:p>
          <w:p w:rsidR="002C1123" w:rsidRDefault="00F22F94">
            <w:pPr>
              <w:pStyle w:val="TableParagraph"/>
              <w:numPr>
                <w:ilvl w:val="0"/>
                <w:numId w:val="129"/>
              </w:numPr>
              <w:tabs>
                <w:tab w:val="left" w:pos="253"/>
              </w:tabs>
              <w:spacing w:before="53"/>
              <w:rPr>
                <w:sz w:val="16"/>
              </w:rPr>
            </w:pPr>
            <w:r>
              <w:rPr>
                <w:w w:val="95"/>
                <w:sz w:val="16"/>
              </w:rPr>
              <w:t>Program</w:t>
            </w:r>
            <w:r>
              <w:rPr>
                <w:spacing w:val="-2"/>
                <w:w w:val="95"/>
                <w:sz w:val="16"/>
              </w:rPr>
              <w:t xml:space="preserve"> </w:t>
            </w:r>
            <w:r>
              <w:rPr>
                <w:w w:val="95"/>
                <w:sz w:val="16"/>
              </w:rPr>
              <w:t>of</w:t>
            </w:r>
            <w:r>
              <w:rPr>
                <w:spacing w:val="-1"/>
                <w:w w:val="95"/>
                <w:sz w:val="16"/>
              </w:rPr>
              <w:t xml:space="preserve"> </w:t>
            </w:r>
            <w:r>
              <w:rPr>
                <w:w w:val="95"/>
                <w:sz w:val="16"/>
              </w:rPr>
              <w:t>upgrades</w:t>
            </w:r>
            <w:r>
              <w:rPr>
                <w:spacing w:val="-3"/>
                <w:sz w:val="16"/>
              </w:rPr>
              <w:t xml:space="preserve"> </w:t>
            </w:r>
            <w:r>
              <w:rPr>
                <w:w w:val="95"/>
                <w:sz w:val="16"/>
              </w:rPr>
              <w:t>(courts)</w:t>
            </w:r>
            <w:r>
              <w:rPr>
                <w:spacing w:val="-3"/>
                <w:sz w:val="16"/>
              </w:rPr>
              <w:t xml:space="preserve"> </w:t>
            </w:r>
            <w:r>
              <w:rPr>
                <w:w w:val="95"/>
                <w:sz w:val="16"/>
              </w:rPr>
              <w:t>and</w:t>
            </w:r>
            <w:r>
              <w:rPr>
                <w:spacing w:val="-3"/>
                <w:sz w:val="16"/>
              </w:rPr>
              <w:t xml:space="preserve"> </w:t>
            </w:r>
            <w:r>
              <w:rPr>
                <w:w w:val="95"/>
                <w:sz w:val="16"/>
              </w:rPr>
              <w:t>new</w:t>
            </w:r>
            <w:r>
              <w:rPr>
                <w:spacing w:val="-3"/>
                <w:sz w:val="16"/>
              </w:rPr>
              <w:t xml:space="preserve"> </w:t>
            </w:r>
            <w:r>
              <w:rPr>
                <w:w w:val="95"/>
                <w:sz w:val="16"/>
              </w:rPr>
              <w:t>facilities (prisons)</w:t>
            </w:r>
            <w:r>
              <w:rPr>
                <w:spacing w:val="-1"/>
                <w:w w:val="95"/>
                <w:sz w:val="16"/>
              </w:rPr>
              <w:t xml:space="preserve"> </w:t>
            </w:r>
            <w:r>
              <w:rPr>
                <w:w w:val="95"/>
                <w:sz w:val="16"/>
              </w:rPr>
              <w:t>pave</w:t>
            </w:r>
            <w:r>
              <w:rPr>
                <w:spacing w:val="-1"/>
                <w:w w:val="95"/>
                <w:sz w:val="16"/>
              </w:rPr>
              <w:t xml:space="preserve"> </w:t>
            </w:r>
            <w:r>
              <w:rPr>
                <w:w w:val="95"/>
                <w:sz w:val="16"/>
              </w:rPr>
              <w:t>the</w:t>
            </w:r>
            <w:r>
              <w:rPr>
                <w:spacing w:val="-1"/>
                <w:w w:val="95"/>
                <w:sz w:val="16"/>
              </w:rPr>
              <w:t xml:space="preserve"> </w:t>
            </w:r>
            <w:r>
              <w:rPr>
                <w:w w:val="95"/>
                <w:sz w:val="16"/>
              </w:rPr>
              <w:t>way</w:t>
            </w:r>
            <w:r>
              <w:rPr>
                <w:spacing w:val="-1"/>
                <w:w w:val="95"/>
                <w:sz w:val="16"/>
              </w:rPr>
              <w:t xml:space="preserve"> </w:t>
            </w:r>
            <w:r>
              <w:rPr>
                <w:w w:val="95"/>
                <w:sz w:val="16"/>
              </w:rPr>
              <w:t>for</w:t>
            </w:r>
            <w:r>
              <w:rPr>
                <w:spacing w:val="-1"/>
                <w:w w:val="95"/>
                <w:sz w:val="16"/>
              </w:rPr>
              <w:t xml:space="preserve"> </w:t>
            </w:r>
            <w:r>
              <w:rPr>
                <w:w w:val="95"/>
                <w:sz w:val="16"/>
              </w:rPr>
              <w:t>reconfiguration</w:t>
            </w:r>
            <w:r>
              <w:rPr>
                <w:spacing w:val="-3"/>
                <w:sz w:val="16"/>
              </w:rPr>
              <w:t xml:space="preserve"> </w:t>
            </w:r>
            <w:r>
              <w:rPr>
                <w:w w:val="95"/>
                <w:sz w:val="16"/>
              </w:rPr>
              <w:t>rather</w:t>
            </w:r>
            <w:r>
              <w:rPr>
                <w:spacing w:val="-3"/>
                <w:sz w:val="16"/>
              </w:rPr>
              <w:t xml:space="preserve"> </w:t>
            </w:r>
            <w:r>
              <w:rPr>
                <w:w w:val="95"/>
                <w:sz w:val="16"/>
              </w:rPr>
              <w:t>than</w:t>
            </w:r>
            <w:r>
              <w:rPr>
                <w:spacing w:val="-3"/>
                <w:sz w:val="16"/>
              </w:rPr>
              <w:t xml:space="preserve"> </w:t>
            </w:r>
            <w:r>
              <w:rPr>
                <w:w w:val="95"/>
                <w:sz w:val="16"/>
              </w:rPr>
              <w:t>expansion</w:t>
            </w:r>
            <w:r>
              <w:rPr>
                <w:spacing w:val="-3"/>
                <w:sz w:val="16"/>
              </w:rPr>
              <w:t xml:space="preserve"> </w:t>
            </w:r>
            <w:r>
              <w:rPr>
                <w:w w:val="95"/>
                <w:sz w:val="16"/>
              </w:rPr>
              <w:t>of</w:t>
            </w:r>
            <w:r>
              <w:rPr>
                <w:spacing w:val="-3"/>
                <w:sz w:val="16"/>
              </w:rPr>
              <w:t xml:space="preserve"> </w:t>
            </w:r>
            <w:r>
              <w:rPr>
                <w:spacing w:val="-2"/>
                <w:w w:val="95"/>
                <w:sz w:val="16"/>
              </w:rPr>
              <w:t>facilities.</w:t>
            </w:r>
          </w:p>
        </w:tc>
      </w:tr>
    </w:tbl>
    <w:p w:rsidR="002C1123" w:rsidRDefault="002C1123">
      <w:pPr>
        <w:rPr>
          <w:sz w:val="16"/>
        </w:rPr>
        <w:sectPr w:rsidR="002C1123">
          <w:pgSz w:w="16840" w:h="11910" w:orient="landscape"/>
          <w:pgMar w:top="560" w:right="280" w:bottom="700" w:left="500" w:header="0" w:footer="517" w:gutter="0"/>
          <w:cols w:space="720"/>
        </w:sect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spacing w:before="5"/>
        <w:rPr>
          <w:b/>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BodyText"/>
        <w:spacing w:before="106" w:line="249" w:lineRule="auto"/>
        <w:ind w:left="492"/>
      </w:pPr>
      <w:bookmarkStart w:id="82" w:name="_bookmark59"/>
      <w:bookmarkEnd w:id="82"/>
      <w:r>
        <w:rPr>
          <w:w w:val="95"/>
        </w:rPr>
        <w:t>The</w:t>
      </w:r>
      <w:r>
        <w:rPr>
          <w:spacing w:val="-5"/>
          <w:w w:val="95"/>
        </w:rPr>
        <w:t xml:space="preserve"> </w:t>
      </w:r>
      <w:r>
        <w:rPr>
          <w:w w:val="95"/>
        </w:rPr>
        <w:t>asset</w:t>
      </w:r>
      <w:r>
        <w:rPr>
          <w:spacing w:val="-5"/>
          <w:w w:val="95"/>
        </w:rPr>
        <w:t xml:space="preserve"> </w:t>
      </w:r>
      <w:r>
        <w:rPr>
          <w:w w:val="95"/>
        </w:rPr>
        <w:t>capability</w:t>
      </w:r>
      <w:r>
        <w:rPr>
          <w:spacing w:val="-5"/>
          <w:w w:val="95"/>
        </w:rPr>
        <w:t xml:space="preserve"> </w:t>
      </w:r>
      <w:r>
        <w:rPr>
          <w:w w:val="95"/>
        </w:rPr>
        <w:t>assessment</w:t>
      </w:r>
      <w:r>
        <w:rPr>
          <w:spacing w:val="-5"/>
          <w:w w:val="95"/>
        </w:rPr>
        <w:t xml:space="preserve"> </w:t>
      </w:r>
      <w:r>
        <w:rPr>
          <w:w w:val="95"/>
        </w:rPr>
        <w:t>has</w:t>
      </w:r>
      <w:r>
        <w:rPr>
          <w:spacing w:val="-5"/>
          <w:w w:val="95"/>
        </w:rPr>
        <w:t xml:space="preserve"> </w:t>
      </w:r>
      <w:r>
        <w:rPr>
          <w:w w:val="95"/>
        </w:rPr>
        <w:t>highlighted</w:t>
      </w:r>
      <w:r>
        <w:rPr>
          <w:spacing w:val="-5"/>
          <w:w w:val="95"/>
        </w:rPr>
        <w:t xml:space="preserve"> </w:t>
      </w:r>
      <w:r>
        <w:rPr>
          <w:w w:val="95"/>
        </w:rPr>
        <w:t>critical (red) and major (orange) infrastructure deficiencies in:</w:t>
      </w:r>
    </w:p>
    <w:p w:rsidR="002C1123" w:rsidRDefault="00F22F94">
      <w:pPr>
        <w:pStyle w:val="ListParagraph"/>
        <w:numPr>
          <w:ilvl w:val="0"/>
          <w:numId w:val="128"/>
        </w:numPr>
        <w:tabs>
          <w:tab w:val="left" w:pos="776"/>
        </w:tabs>
        <w:spacing w:before="131"/>
        <w:rPr>
          <w:sz w:val="20"/>
        </w:rPr>
      </w:pPr>
      <w:r>
        <w:rPr>
          <w:w w:val="95"/>
          <w:sz w:val="20"/>
        </w:rPr>
        <w:t>metropolitan</w:t>
      </w:r>
      <w:r>
        <w:rPr>
          <w:sz w:val="20"/>
        </w:rPr>
        <w:t xml:space="preserve"> </w:t>
      </w:r>
      <w:r>
        <w:rPr>
          <w:w w:val="95"/>
          <w:sz w:val="20"/>
        </w:rPr>
        <w:t>road</w:t>
      </w:r>
      <w:r>
        <w:rPr>
          <w:sz w:val="20"/>
        </w:rPr>
        <w:t xml:space="preserve"> </w:t>
      </w:r>
      <w:r>
        <w:rPr>
          <w:spacing w:val="-2"/>
          <w:w w:val="95"/>
          <w:sz w:val="20"/>
        </w:rPr>
        <w:t>capacity</w:t>
      </w:r>
    </w:p>
    <w:p w:rsidR="002C1123" w:rsidRDefault="00F22F94">
      <w:pPr>
        <w:pStyle w:val="ListParagraph"/>
        <w:numPr>
          <w:ilvl w:val="0"/>
          <w:numId w:val="128"/>
        </w:numPr>
        <w:tabs>
          <w:tab w:val="left" w:pos="776"/>
        </w:tabs>
        <w:spacing w:before="139"/>
        <w:rPr>
          <w:sz w:val="20"/>
        </w:rPr>
      </w:pPr>
      <w:r>
        <w:rPr>
          <w:w w:val="95"/>
          <w:sz w:val="20"/>
        </w:rPr>
        <w:t>bus</w:t>
      </w:r>
      <w:r>
        <w:rPr>
          <w:spacing w:val="-7"/>
          <w:w w:val="95"/>
          <w:sz w:val="20"/>
        </w:rPr>
        <w:t xml:space="preserve"> </w:t>
      </w:r>
      <w:r>
        <w:rPr>
          <w:w w:val="95"/>
          <w:sz w:val="20"/>
        </w:rPr>
        <w:t>capacity,</w:t>
      </w:r>
      <w:r>
        <w:rPr>
          <w:spacing w:val="-6"/>
          <w:w w:val="95"/>
          <w:sz w:val="20"/>
        </w:rPr>
        <w:t xml:space="preserve"> </w:t>
      </w:r>
      <w:r>
        <w:rPr>
          <w:w w:val="95"/>
          <w:sz w:val="20"/>
        </w:rPr>
        <w:t>(due</w:t>
      </w:r>
      <w:r>
        <w:rPr>
          <w:spacing w:val="-6"/>
          <w:w w:val="95"/>
          <w:sz w:val="20"/>
        </w:rPr>
        <w:t xml:space="preserve"> </w:t>
      </w:r>
      <w:r>
        <w:rPr>
          <w:w w:val="95"/>
          <w:sz w:val="20"/>
        </w:rPr>
        <w:t>to</w:t>
      </w:r>
      <w:r>
        <w:rPr>
          <w:spacing w:val="-6"/>
          <w:w w:val="95"/>
          <w:sz w:val="20"/>
        </w:rPr>
        <w:t xml:space="preserve"> </w:t>
      </w:r>
      <w:r>
        <w:rPr>
          <w:w w:val="95"/>
          <w:sz w:val="20"/>
        </w:rPr>
        <w:t>road</w:t>
      </w:r>
      <w:r>
        <w:rPr>
          <w:spacing w:val="-6"/>
          <w:w w:val="95"/>
          <w:sz w:val="20"/>
        </w:rPr>
        <w:t xml:space="preserve"> </w:t>
      </w:r>
      <w:r>
        <w:rPr>
          <w:spacing w:val="-2"/>
          <w:w w:val="95"/>
          <w:sz w:val="20"/>
        </w:rPr>
        <w:t>congestion)</w:t>
      </w:r>
    </w:p>
    <w:p w:rsidR="002C1123" w:rsidRDefault="00F22F94">
      <w:pPr>
        <w:pStyle w:val="ListParagraph"/>
        <w:numPr>
          <w:ilvl w:val="0"/>
          <w:numId w:val="128"/>
        </w:numPr>
        <w:tabs>
          <w:tab w:val="left" w:pos="776"/>
        </w:tabs>
        <w:spacing w:before="139"/>
        <w:rPr>
          <w:sz w:val="20"/>
        </w:rPr>
      </w:pPr>
      <w:r>
        <w:rPr>
          <w:w w:val="95"/>
          <w:sz w:val="20"/>
        </w:rPr>
        <w:t>metropolitan</w:t>
      </w:r>
      <w:r>
        <w:rPr>
          <w:spacing w:val="-4"/>
          <w:w w:val="95"/>
          <w:sz w:val="20"/>
        </w:rPr>
        <w:t xml:space="preserve"> </w:t>
      </w:r>
      <w:r>
        <w:rPr>
          <w:w w:val="95"/>
          <w:sz w:val="20"/>
        </w:rPr>
        <w:t>rail</w:t>
      </w:r>
      <w:r>
        <w:rPr>
          <w:spacing w:val="-3"/>
          <w:w w:val="95"/>
          <w:sz w:val="20"/>
        </w:rPr>
        <w:t xml:space="preserve"> </w:t>
      </w:r>
      <w:r>
        <w:rPr>
          <w:w w:val="95"/>
          <w:sz w:val="20"/>
        </w:rPr>
        <w:t>capacity</w:t>
      </w:r>
      <w:r>
        <w:rPr>
          <w:spacing w:val="-3"/>
          <w:w w:val="95"/>
          <w:sz w:val="20"/>
        </w:rPr>
        <w:t xml:space="preserve"> </w:t>
      </w:r>
      <w:r>
        <w:rPr>
          <w:w w:val="95"/>
          <w:sz w:val="20"/>
        </w:rPr>
        <w:t>in</w:t>
      </w:r>
      <w:r>
        <w:rPr>
          <w:spacing w:val="-4"/>
          <w:w w:val="95"/>
          <w:sz w:val="20"/>
        </w:rPr>
        <w:t xml:space="preserve"> </w:t>
      </w:r>
      <w:r>
        <w:rPr>
          <w:w w:val="95"/>
          <w:sz w:val="20"/>
        </w:rPr>
        <w:t>peak</w:t>
      </w:r>
      <w:r>
        <w:rPr>
          <w:spacing w:val="-3"/>
          <w:w w:val="95"/>
          <w:sz w:val="20"/>
        </w:rPr>
        <w:t xml:space="preserve"> </w:t>
      </w:r>
      <w:r>
        <w:rPr>
          <w:spacing w:val="-2"/>
          <w:w w:val="95"/>
          <w:sz w:val="20"/>
        </w:rPr>
        <w:t>periods</w:t>
      </w:r>
    </w:p>
    <w:p w:rsidR="002C1123" w:rsidRDefault="00F22F94">
      <w:pPr>
        <w:pStyle w:val="ListParagraph"/>
        <w:numPr>
          <w:ilvl w:val="0"/>
          <w:numId w:val="128"/>
        </w:numPr>
        <w:tabs>
          <w:tab w:val="left" w:pos="776"/>
        </w:tabs>
        <w:spacing w:before="140"/>
        <w:rPr>
          <w:sz w:val="20"/>
        </w:rPr>
      </w:pPr>
      <w:r>
        <w:rPr>
          <w:w w:val="95"/>
          <w:sz w:val="20"/>
        </w:rPr>
        <w:t>regional</w:t>
      </w:r>
      <w:r>
        <w:rPr>
          <w:spacing w:val="-7"/>
          <w:w w:val="95"/>
          <w:sz w:val="20"/>
        </w:rPr>
        <w:t xml:space="preserve"> </w:t>
      </w:r>
      <w:r>
        <w:rPr>
          <w:w w:val="95"/>
          <w:sz w:val="20"/>
        </w:rPr>
        <w:t>rail</w:t>
      </w:r>
      <w:r>
        <w:rPr>
          <w:spacing w:val="-7"/>
          <w:w w:val="95"/>
          <w:sz w:val="20"/>
        </w:rPr>
        <w:t xml:space="preserve"> </w:t>
      </w:r>
      <w:r>
        <w:rPr>
          <w:w w:val="95"/>
          <w:sz w:val="20"/>
        </w:rPr>
        <w:t>condition</w:t>
      </w:r>
      <w:r>
        <w:rPr>
          <w:spacing w:val="-6"/>
          <w:w w:val="95"/>
          <w:sz w:val="20"/>
        </w:rPr>
        <w:t xml:space="preserve"> </w:t>
      </w:r>
      <w:r>
        <w:rPr>
          <w:w w:val="95"/>
          <w:sz w:val="20"/>
        </w:rPr>
        <w:t>and</w:t>
      </w:r>
      <w:r>
        <w:rPr>
          <w:spacing w:val="-7"/>
          <w:w w:val="95"/>
          <w:sz w:val="20"/>
        </w:rPr>
        <w:t xml:space="preserve"> </w:t>
      </w:r>
      <w:r>
        <w:rPr>
          <w:spacing w:val="-2"/>
          <w:w w:val="95"/>
          <w:sz w:val="20"/>
        </w:rPr>
        <w:t>capacity</w:t>
      </w:r>
    </w:p>
    <w:p w:rsidR="002C1123" w:rsidRDefault="00F22F94">
      <w:pPr>
        <w:pStyle w:val="ListParagraph"/>
        <w:numPr>
          <w:ilvl w:val="0"/>
          <w:numId w:val="128"/>
        </w:numPr>
        <w:tabs>
          <w:tab w:val="left" w:pos="776"/>
        </w:tabs>
        <w:spacing w:before="139"/>
        <w:rPr>
          <w:sz w:val="20"/>
        </w:rPr>
      </w:pPr>
      <w:r>
        <w:rPr>
          <w:w w:val="95"/>
          <w:sz w:val="20"/>
        </w:rPr>
        <w:t>non-metropolitan</w:t>
      </w:r>
      <w:r>
        <w:rPr>
          <w:sz w:val="20"/>
        </w:rPr>
        <w:t xml:space="preserve"> </w:t>
      </w:r>
      <w:r>
        <w:rPr>
          <w:w w:val="95"/>
          <w:sz w:val="20"/>
        </w:rPr>
        <w:t>water</w:t>
      </w:r>
      <w:r>
        <w:rPr>
          <w:sz w:val="20"/>
        </w:rPr>
        <w:t xml:space="preserve"> </w:t>
      </w:r>
      <w:r>
        <w:rPr>
          <w:w w:val="95"/>
          <w:sz w:val="20"/>
        </w:rPr>
        <w:t>and</w:t>
      </w:r>
      <w:r>
        <w:rPr>
          <w:sz w:val="20"/>
        </w:rPr>
        <w:t xml:space="preserve"> </w:t>
      </w:r>
      <w:r>
        <w:rPr>
          <w:w w:val="95"/>
          <w:sz w:val="20"/>
        </w:rPr>
        <w:t>wastewater</w:t>
      </w:r>
      <w:r>
        <w:rPr>
          <w:sz w:val="20"/>
        </w:rPr>
        <w:t xml:space="preserve"> </w:t>
      </w:r>
      <w:r>
        <w:rPr>
          <w:spacing w:val="-2"/>
          <w:w w:val="95"/>
          <w:sz w:val="20"/>
        </w:rPr>
        <w:t>capacity</w:t>
      </w:r>
    </w:p>
    <w:p w:rsidR="002C1123" w:rsidRDefault="00F22F94">
      <w:pPr>
        <w:pStyle w:val="ListParagraph"/>
        <w:numPr>
          <w:ilvl w:val="0"/>
          <w:numId w:val="128"/>
        </w:numPr>
        <w:tabs>
          <w:tab w:val="left" w:pos="776"/>
        </w:tabs>
        <w:spacing w:before="139"/>
        <w:rPr>
          <w:sz w:val="20"/>
        </w:rPr>
      </w:pPr>
      <w:r>
        <w:rPr>
          <w:w w:val="95"/>
          <w:sz w:val="20"/>
        </w:rPr>
        <w:t>flood</w:t>
      </w:r>
      <w:r>
        <w:rPr>
          <w:spacing w:val="-3"/>
          <w:sz w:val="20"/>
        </w:rPr>
        <w:t xml:space="preserve"> </w:t>
      </w:r>
      <w:r>
        <w:rPr>
          <w:w w:val="95"/>
          <w:sz w:val="20"/>
        </w:rPr>
        <w:t>mitigation</w:t>
      </w:r>
      <w:r>
        <w:rPr>
          <w:spacing w:val="-2"/>
          <w:sz w:val="20"/>
        </w:rPr>
        <w:t xml:space="preserve"> </w:t>
      </w:r>
      <w:r>
        <w:rPr>
          <w:w w:val="95"/>
          <w:sz w:val="20"/>
        </w:rPr>
        <w:t>asset</w:t>
      </w:r>
      <w:r>
        <w:rPr>
          <w:spacing w:val="-2"/>
          <w:sz w:val="20"/>
        </w:rPr>
        <w:t xml:space="preserve"> </w:t>
      </w:r>
      <w:r>
        <w:rPr>
          <w:w w:val="95"/>
          <w:sz w:val="20"/>
        </w:rPr>
        <w:t>condition</w:t>
      </w:r>
      <w:r>
        <w:rPr>
          <w:spacing w:val="-2"/>
          <w:sz w:val="20"/>
        </w:rPr>
        <w:t xml:space="preserve"> </w:t>
      </w:r>
      <w:r>
        <w:rPr>
          <w:w w:val="95"/>
          <w:sz w:val="20"/>
        </w:rPr>
        <w:t>and</w:t>
      </w:r>
      <w:r>
        <w:rPr>
          <w:spacing w:val="-3"/>
          <w:sz w:val="20"/>
        </w:rPr>
        <w:t xml:space="preserve"> </w:t>
      </w:r>
      <w:r>
        <w:rPr>
          <w:spacing w:val="-2"/>
          <w:w w:val="95"/>
          <w:sz w:val="20"/>
        </w:rPr>
        <w:t>capacity</w:t>
      </w:r>
    </w:p>
    <w:p w:rsidR="002C1123" w:rsidRDefault="00F22F94">
      <w:pPr>
        <w:pStyle w:val="ListParagraph"/>
        <w:numPr>
          <w:ilvl w:val="0"/>
          <w:numId w:val="128"/>
        </w:numPr>
        <w:tabs>
          <w:tab w:val="left" w:pos="776"/>
        </w:tabs>
        <w:spacing w:before="140"/>
        <w:rPr>
          <w:sz w:val="20"/>
        </w:rPr>
      </w:pPr>
      <w:r>
        <w:rPr>
          <w:w w:val="90"/>
          <w:sz w:val="20"/>
        </w:rPr>
        <w:t>health</w:t>
      </w:r>
      <w:r>
        <w:rPr>
          <w:spacing w:val="11"/>
          <w:sz w:val="20"/>
        </w:rPr>
        <w:t xml:space="preserve"> </w:t>
      </w:r>
      <w:r>
        <w:rPr>
          <w:spacing w:val="-2"/>
          <w:w w:val="95"/>
          <w:sz w:val="20"/>
        </w:rPr>
        <w:t>capacity</w:t>
      </w:r>
    </w:p>
    <w:p w:rsidR="002C1123" w:rsidRDefault="00F22F94">
      <w:pPr>
        <w:pStyle w:val="ListParagraph"/>
        <w:numPr>
          <w:ilvl w:val="0"/>
          <w:numId w:val="128"/>
        </w:numPr>
        <w:tabs>
          <w:tab w:val="left" w:pos="776"/>
        </w:tabs>
        <w:spacing w:before="139"/>
        <w:rPr>
          <w:sz w:val="20"/>
        </w:rPr>
      </w:pPr>
      <w:r>
        <w:rPr>
          <w:w w:val="95"/>
          <w:sz w:val="20"/>
        </w:rPr>
        <w:t>schools</w:t>
      </w:r>
      <w:r>
        <w:rPr>
          <w:spacing w:val="-6"/>
          <w:w w:val="95"/>
          <w:sz w:val="20"/>
        </w:rPr>
        <w:t xml:space="preserve"> </w:t>
      </w:r>
      <w:r>
        <w:rPr>
          <w:w w:val="95"/>
          <w:sz w:val="20"/>
        </w:rPr>
        <w:t>and</w:t>
      </w:r>
      <w:r>
        <w:rPr>
          <w:spacing w:val="-5"/>
          <w:w w:val="95"/>
          <w:sz w:val="20"/>
        </w:rPr>
        <w:t xml:space="preserve"> </w:t>
      </w:r>
      <w:r>
        <w:rPr>
          <w:w w:val="95"/>
          <w:sz w:val="20"/>
        </w:rPr>
        <w:t>cultural</w:t>
      </w:r>
      <w:r>
        <w:rPr>
          <w:spacing w:val="-5"/>
          <w:w w:val="95"/>
          <w:sz w:val="20"/>
        </w:rPr>
        <w:t xml:space="preserve"> </w:t>
      </w:r>
      <w:r>
        <w:rPr>
          <w:w w:val="95"/>
          <w:sz w:val="20"/>
        </w:rPr>
        <w:t>venues</w:t>
      </w:r>
      <w:r>
        <w:rPr>
          <w:spacing w:val="-6"/>
          <w:w w:val="95"/>
          <w:sz w:val="20"/>
        </w:rPr>
        <w:t xml:space="preserve"> </w:t>
      </w:r>
      <w:r>
        <w:rPr>
          <w:spacing w:val="-2"/>
          <w:w w:val="95"/>
          <w:sz w:val="20"/>
        </w:rPr>
        <w:t>capacity</w:t>
      </w:r>
    </w:p>
    <w:p w:rsidR="002C1123" w:rsidRDefault="002C1123">
      <w:pPr>
        <w:pStyle w:val="BodyText"/>
        <w:spacing w:before="1"/>
        <w:rPr>
          <w:sz w:val="23"/>
        </w:rPr>
      </w:pPr>
    </w:p>
    <w:p w:rsidR="002C1123" w:rsidRDefault="00F22F94">
      <w:pPr>
        <w:pStyle w:val="Heading6"/>
        <w:numPr>
          <w:ilvl w:val="2"/>
          <w:numId w:val="147"/>
        </w:numPr>
        <w:tabs>
          <w:tab w:val="left" w:pos="979"/>
        </w:tabs>
        <w:spacing w:before="0"/>
        <w:ind w:left="978" w:hanging="487"/>
      </w:pPr>
      <w:r>
        <w:rPr>
          <w:color w:val="EC008C"/>
          <w:w w:val="95"/>
        </w:rPr>
        <w:t>Priorities</w:t>
      </w:r>
      <w:r>
        <w:rPr>
          <w:color w:val="EC008C"/>
          <w:spacing w:val="-3"/>
          <w:w w:val="95"/>
        </w:rPr>
        <w:t xml:space="preserve"> </w:t>
      </w:r>
      <w:r>
        <w:rPr>
          <w:color w:val="EC008C"/>
          <w:w w:val="95"/>
        </w:rPr>
        <w:t>–</w:t>
      </w:r>
      <w:r>
        <w:rPr>
          <w:color w:val="EC008C"/>
          <w:spacing w:val="-2"/>
          <w:w w:val="95"/>
        </w:rPr>
        <w:t xml:space="preserve"> </w:t>
      </w:r>
      <w:r>
        <w:rPr>
          <w:color w:val="EC008C"/>
          <w:w w:val="95"/>
        </w:rPr>
        <w:t>First</w:t>
      </w:r>
      <w:r>
        <w:rPr>
          <w:color w:val="EC008C"/>
          <w:spacing w:val="-2"/>
          <w:w w:val="95"/>
        </w:rPr>
        <w:t xml:space="preserve"> </w:t>
      </w:r>
      <w:r>
        <w:rPr>
          <w:color w:val="EC008C"/>
          <w:w w:val="95"/>
        </w:rPr>
        <w:t>Things</w:t>
      </w:r>
      <w:r>
        <w:rPr>
          <w:color w:val="EC008C"/>
          <w:spacing w:val="-2"/>
          <w:w w:val="95"/>
        </w:rPr>
        <w:t xml:space="preserve"> First</w:t>
      </w:r>
    </w:p>
    <w:p w:rsidR="002C1123" w:rsidRDefault="00F22F94">
      <w:pPr>
        <w:pStyle w:val="BodyText"/>
        <w:spacing w:before="95" w:line="249" w:lineRule="auto"/>
        <w:ind w:left="492"/>
      </w:pPr>
      <w:r>
        <w:t>Based</w:t>
      </w:r>
      <w:r>
        <w:rPr>
          <w:spacing w:val="-14"/>
        </w:rPr>
        <w:t xml:space="preserve"> </w:t>
      </w:r>
      <w:r>
        <w:t>on</w:t>
      </w:r>
      <w:r>
        <w:rPr>
          <w:spacing w:val="-14"/>
        </w:rPr>
        <w:t xml:space="preserve"> </w:t>
      </w:r>
      <w:r>
        <w:t>the</w:t>
      </w:r>
      <w:r>
        <w:rPr>
          <w:spacing w:val="-14"/>
        </w:rPr>
        <w:t xml:space="preserve"> </w:t>
      </w:r>
      <w:r>
        <w:t>Capability</w:t>
      </w:r>
      <w:r>
        <w:rPr>
          <w:spacing w:val="-14"/>
        </w:rPr>
        <w:t xml:space="preserve"> </w:t>
      </w:r>
      <w:r>
        <w:t>Assessment</w:t>
      </w:r>
      <w:r>
        <w:rPr>
          <w:spacing w:val="-14"/>
        </w:rPr>
        <w:t xml:space="preserve"> </w:t>
      </w:r>
      <w:r>
        <w:t>and</w:t>
      </w:r>
      <w:r>
        <w:rPr>
          <w:spacing w:val="-14"/>
        </w:rPr>
        <w:t xml:space="preserve"> </w:t>
      </w:r>
      <w:r>
        <w:t>the</w:t>
      </w:r>
      <w:r>
        <w:rPr>
          <w:spacing w:val="-14"/>
        </w:rPr>
        <w:t xml:space="preserve"> </w:t>
      </w:r>
      <w:r>
        <w:t xml:space="preserve">analysis </w:t>
      </w:r>
      <w:r>
        <w:rPr>
          <w:w w:val="95"/>
        </w:rPr>
        <w:t>of</w:t>
      </w:r>
      <w:r>
        <w:rPr>
          <w:spacing w:val="-5"/>
          <w:w w:val="95"/>
        </w:rPr>
        <w:t xml:space="preserve"> </w:t>
      </w:r>
      <w:r>
        <w:rPr>
          <w:w w:val="95"/>
        </w:rPr>
        <w:t>demand</w:t>
      </w:r>
      <w:r>
        <w:rPr>
          <w:spacing w:val="-5"/>
          <w:w w:val="95"/>
        </w:rPr>
        <w:t xml:space="preserve"> </w:t>
      </w:r>
      <w:r>
        <w:rPr>
          <w:w w:val="95"/>
        </w:rPr>
        <w:t>trends,</w:t>
      </w:r>
      <w:r>
        <w:rPr>
          <w:spacing w:val="-5"/>
          <w:w w:val="95"/>
        </w:rPr>
        <w:t xml:space="preserve"> </w:t>
      </w:r>
      <w:r>
        <w:rPr>
          <w:w w:val="95"/>
        </w:rPr>
        <w:t>Infrastructure</w:t>
      </w:r>
      <w:r>
        <w:rPr>
          <w:spacing w:val="-5"/>
          <w:w w:val="95"/>
        </w:rPr>
        <w:t xml:space="preserve"> </w:t>
      </w:r>
      <w:r>
        <w:rPr>
          <w:w w:val="95"/>
        </w:rPr>
        <w:t>NSW</w:t>
      </w:r>
      <w:r>
        <w:rPr>
          <w:spacing w:val="-5"/>
          <w:w w:val="95"/>
        </w:rPr>
        <w:t xml:space="preserve"> </w:t>
      </w:r>
      <w:r>
        <w:rPr>
          <w:w w:val="95"/>
        </w:rPr>
        <w:t>has</w:t>
      </w:r>
      <w:r>
        <w:rPr>
          <w:spacing w:val="-5"/>
          <w:w w:val="95"/>
        </w:rPr>
        <w:t xml:space="preserve"> </w:t>
      </w:r>
      <w:r>
        <w:rPr>
          <w:w w:val="95"/>
        </w:rPr>
        <w:t>identified</w:t>
      </w:r>
      <w:r>
        <w:rPr>
          <w:spacing w:val="-5"/>
          <w:w w:val="95"/>
        </w:rPr>
        <w:t xml:space="preserve"> </w:t>
      </w:r>
      <w:r>
        <w:rPr>
          <w:w w:val="95"/>
        </w:rPr>
        <w:t xml:space="preserve">the </w:t>
      </w:r>
      <w:r>
        <w:t>highest</w:t>
      </w:r>
      <w:r>
        <w:rPr>
          <w:spacing w:val="-6"/>
        </w:rPr>
        <w:t xml:space="preserve"> </w:t>
      </w:r>
      <w:r>
        <w:t>priority</w:t>
      </w:r>
      <w:r>
        <w:rPr>
          <w:spacing w:val="-6"/>
        </w:rPr>
        <w:t xml:space="preserve"> </w:t>
      </w:r>
      <w:r>
        <w:t>infrastructure</w:t>
      </w:r>
      <w:r>
        <w:rPr>
          <w:spacing w:val="-6"/>
        </w:rPr>
        <w:t xml:space="preserve"> </w:t>
      </w:r>
      <w:r>
        <w:t>challenges:</w:t>
      </w:r>
    </w:p>
    <w:p w:rsidR="002C1123" w:rsidRDefault="00F22F94">
      <w:pPr>
        <w:pStyle w:val="ListParagraph"/>
        <w:numPr>
          <w:ilvl w:val="3"/>
          <w:numId w:val="147"/>
        </w:numPr>
        <w:tabs>
          <w:tab w:val="left" w:pos="776"/>
        </w:tabs>
        <w:spacing w:before="132" w:line="249" w:lineRule="auto"/>
        <w:ind w:left="775" w:right="89"/>
        <w:rPr>
          <w:sz w:val="20"/>
        </w:rPr>
      </w:pPr>
      <w:r>
        <w:rPr>
          <w:sz w:val="20"/>
        </w:rPr>
        <w:t>NSW’s</w:t>
      </w:r>
      <w:r>
        <w:rPr>
          <w:spacing w:val="-11"/>
          <w:sz w:val="20"/>
        </w:rPr>
        <w:t xml:space="preserve"> </w:t>
      </w:r>
      <w:r>
        <w:rPr>
          <w:sz w:val="20"/>
        </w:rPr>
        <w:t>trade</w:t>
      </w:r>
      <w:r>
        <w:rPr>
          <w:spacing w:val="-11"/>
          <w:sz w:val="20"/>
        </w:rPr>
        <w:t xml:space="preserve"> </w:t>
      </w:r>
      <w:r>
        <w:rPr>
          <w:sz w:val="20"/>
        </w:rPr>
        <w:t>patterns</w:t>
      </w:r>
      <w:r>
        <w:rPr>
          <w:spacing w:val="-11"/>
          <w:sz w:val="20"/>
        </w:rPr>
        <w:t xml:space="preserve"> </w:t>
      </w:r>
      <w:r>
        <w:rPr>
          <w:sz w:val="20"/>
        </w:rPr>
        <w:t>make</w:t>
      </w:r>
      <w:r>
        <w:rPr>
          <w:spacing w:val="-11"/>
          <w:sz w:val="20"/>
        </w:rPr>
        <w:t xml:space="preserve"> </w:t>
      </w:r>
      <w:r>
        <w:rPr>
          <w:sz w:val="20"/>
        </w:rPr>
        <w:t>its</w:t>
      </w:r>
      <w:r>
        <w:rPr>
          <w:spacing w:val="-11"/>
          <w:sz w:val="20"/>
        </w:rPr>
        <w:t xml:space="preserve"> </w:t>
      </w:r>
      <w:r>
        <w:rPr>
          <w:sz w:val="20"/>
        </w:rPr>
        <w:t xml:space="preserve">international </w:t>
      </w:r>
      <w:r>
        <w:rPr>
          <w:spacing w:val="-2"/>
          <w:sz w:val="20"/>
        </w:rPr>
        <w:t>gateways</w:t>
      </w:r>
      <w:r>
        <w:rPr>
          <w:spacing w:val="-11"/>
          <w:sz w:val="20"/>
        </w:rPr>
        <w:t xml:space="preserve"> </w:t>
      </w:r>
      <w:r>
        <w:rPr>
          <w:spacing w:val="-2"/>
          <w:sz w:val="20"/>
        </w:rPr>
        <w:t>critical</w:t>
      </w:r>
      <w:r>
        <w:rPr>
          <w:spacing w:val="-11"/>
          <w:sz w:val="20"/>
        </w:rPr>
        <w:t xml:space="preserve"> </w:t>
      </w:r>
      <w:r>
        <w:rPr>
          <w:spacing w:val="-2"/>
          <w:sz w:val="20"/>
        </w:rPr>
        <w:t>to</w:t>
      </w:r>
      <w:r>
        <w:rPr>
          <w:spacing w:val="-11"/>
          <w:sz w:val="20"/>
        </w:rPr>
        <w:t xml:space="preserve"> </w:t>
      </w:r>
      <w:r>
        <w:rPr>
          <w:spacing w:val="-2"/>
          <w:sz w:val="20"/>
        </w:rPr>
        <w:t>the</w:t>
      </w:r>
      <w:r>
        <w:rPr>
          <w:spacing w:val="-11"/>
          <w:sz w:val="20"/>
        </w:rPr>
        <w:t xml:space="preserve"> </w:t>
      </w:r>
      <w:r>
        <w:rPr>
          <w:spacing w:val="-2"/>
          <w:sz w:val="20"/>
        </w:rPr>
        <w:t>State’s</w:t>
      </w:r>
      <w:r>
        <w:rPr>
          <w:spacing w:val="-11"/>
          <w:sz w:val="20"/>
        </w:rPr>
        <w:t xml:space="preserve"> </w:t>
      </w:r>
      <w:r>
        <w:rPr>
          <w:spacing w:val="-2"/>
          <w:sz w:val="20"/>
        </w:rPr>
        <w:t>economy.</w:t>
      </w:r>
      <w:r>
        <w:rPr>
          <w:spacing w:val="-11"/>
          <w:sz w:val="20"/>
        </w:rPr>
        <w:t xml:space="preserve"> </w:t>
      </w:r>
      <w:r>
        <w:rPr>
          <w:spacing w:val="-2"/>
          <w:sz w:val="20"/>
        </w:rPr>
        <w:t>In</w:t>
      </w:r>
      <w:r>
        <w:rPr>
          <w:spacing w:val="-11"/>
          <w:sz w:val="20"/>
        </w:rPr>
        <w:t xml:space="preserve"> </w:t>
      </w:r>
      <w:r>
        <w:rPr>
          <w:spacing w:val="-2"/>
          <w:sz w:val="20"/>
        </w:rPr>
        <w:t xml:space="preserve">recent </w:t>
      </w:r>
      <w:r>
        <w:rPr>
          <w:sz w:val="20"/>
        </w:rPr>
        <w:t>years,</w:t>
      </w:r>
      <w:r>
        <w:rPr>
          <w:spacing w:val="-4"/>
          <w:sz w:val="20"/>
        </w:rPr>
        <w:t xml:space="preserve"> </w:t>
      </w:r>
      <w:r>
        <w:rPr>
          <w:sz w:val="20"/>
        </w:rPr>
        <w:t>rapid</w:t>
      </w:r>
      <w:r>
        <w:rPr>
          <w:spacing w:val="-4"/>
          <w:sz w:val="20"/>
        </w:rPr>
        <w:t xml:space="preserve"> </w:t>
      </w:r>
      <w:r>
        <w:rPr>
          <w:sz w:val="20"/>
        </w:rPr>
        <w:t>demand</w:t>
      </w:r>
      <w:r>
        <w:rPr>
          <w:spacing w:val="-4"/>
          <w:sz w:val="20"/>
        </w:rPr>
        <w:t xml:space="preserve"> </w:t>
      </w:r>
      <w:r>
        <w:rPr>
          <w:sz w:val="20"/>
        </w:rPr>
        <w:t>growth</w:t>
      </w:r>
      <w:r>
        <w:rPr>
          <w:spacing w:val="-4"/>
          <w:sz w:val="20"/>
        </w:rPr>
        <w:t xml:space="preserve"> </w:t>
      </w:r>
      <w:r>
        <w:rPr>
          <w:sz w:val="20"/>
        </w:rPr>
        <w:t>at</w:t>
      </w:r>
      <w:r>
        <w:rPr>
          <w:spacing w:val="-4"/>
          <w:sz w:val="20"/>
        </w:rPr>
        <w:t xml:space="preserve"> </w:t>
      </w:r>
      <w:r>
        <w:rPr>
          <w:sz w:val="20"/>
        </w:rPr>
        <w:t>Port</w:t>
      </w:r>
      <w:r>
        <w:rPr>
          <w:spacing w:val="-4"/>
          <w:sz w:val="20"/>
        </w:rPr>
        <w:t xml:space="preserve"> </w:t>
      </w:r>
      <w:r>
        <w:rPr>
          <w:sz w:val="20"/>
        </w:rPr>
        <w:t>Botany</w:t>
      </w:r>
      <w:r>
        <w:rPr>
          <w:spacing w:val="-4"/>
          <w:sz w:val="20"/>
        </w:rPr>
        <w:t xml:space="preserve"> </w:t>
      </w:r>
      <w:r>
        <w:rPr>
          <w:sz w:val="20"/>
        </w:rPr>
        <w:t>and Sydney</w:t>
      </w:r>
      <w:r>
        <w:rPr>
          <w:spacing w:val="-11"/>
          <w:sz w:val="20"/>
        </w:rPr>
        <w:t xml:space="preserve"> </w:t>
      </w:r>
      <w:r>
        <w:rPr>
          <w:sz w:val="20"/>
        </w:rPr>
        <w:t>Airport</w:t>
      </w:r>
      <w:r>
        <w:rPr>
          <w:spacing w:val="-11"/>
          <w:sz w:val="20"/>
        </w:rPr>
        <w:t xml:space="preserve"> </w:t>
      </w:r>
      <w:r>
        <w:rPr>
          <w:sz w:val="20"/>
        </w:rPr>
        <w:t>has</w:t>
      </w:r>
      <w:r>
        <w:rPr>
          <w:spacing w:val="-11"/>
          <w:sz w:val="20"/>
        </w:rPr>
        <w:t xml:space="preserve"> </w:t>
      </w:r>
      <w:r>
        <w:rPr>
          <w:sz w:val="20"/>
        </w:rPr>
        <w:t>impacted</w:t>
      </w:r>
      <w:r>
        <w:rPr>
          <w:spacing w:val="-11"/>
          <w:sz w:val="20"/>
        </w:rPr>
        <w:t xml:space="preserve"> </w:t>
      </w:r>
      <w:r>
        <w:rPr>
          <w:sz w:val="20"/>
        </w:rPr>
        <w:t>on</w:t>
      </w:r>
      <w:r>
        <w:rPr>
          <w:spacing w:val="-11"/>
          <w:sz w:val="20"/>
        </w:rPr>
        <w:t xml:space="preserve"> </w:t>
      </w:r>
      <w:r>
        <w:rPr>
          <w:sz w:val="20"/>
        </w:rPr>
        <w:t>NSW’s</w:t>
      </w:r>
      <w:r>
        <w:rPr>
          <w:spacing w:val="-11"/>
          <w:sz w:val="20"/>
        </w:rPr>
        <w:t xml:space="preserve"> </w:t>
      </w:r>
      <w:r>
        <w:rPr>
          <w:sz w:val="20"/>
        </w:rPr>
        <w:t>transport networks,</w:t>
      </w:r>
      <w:r>
        <w:rPr>
          <w:spacing w:val="-14"/>
          <w:sz w:val="20"/>
        </w:rPr>
        <w:t xml:space="preserve"> </w:t>
      </w:r>
      <w:r>
        <w:rPr>
          <w:sz w:val="20"/>
        </w:rPr>
        <w:t>particularly</w:t>
      </w:r>
      <w:r>
        <w:rPr>
          <w:spacing w:val="-14"/>
          <w:sz w:val="20"/>
        </w:rPr>
        <w:t xml:space="preserve"> </w:t>
      </w:r>
      <w:r>
        <w:rPr>
          <w:sz w:val="20"/>
        </w:rPr>
        <w:t>around</w:t>
      </w:r>
      <w:r>
        <w:rPr>
          <w:spacing w:val="-14"/>
          <w:sz w:val="20"/>
        </w:rPr>
        <w:t xml:space="preserve"> </w:t>
      </w:r>
      <w:r>
        <w:rPr>
          <w:sz w:val="20"/>
        </w:rPr>
        <w:t>these</w:t>
      </w:r>
      <w:r>
        <w:rPr>
          <w:spacing w:val="-14"/>
          <w:sz w:val="20"/>
        </w:rPr>
        <w:t xml:space="preserve"> </w:t>
      </w:r>
      <w:r>
        <w:rPr>
          <w:sz w:val="20"/>
        </w:rPr>
        <w:t>facilities.</w:t>
      </w:r>
      <w:r>
        <w:rPr>
          <w:spacing w:val="-14"/>
          <w:sz w:val="20"/>
        </w:rPr>
        <w:t xml:space="preserve"> </w:t>
      </w:r>
      <w:r>
        <w:rPr>
          <w:sz w:val="20"/>
        </w:rPr>
        <w:t xml:space="preserve">With </w:t>
      </w:r>
      <w:r>
        <w:rPr>
          <w:w w:val="95"/>
          <w:sz w:val="20"/>
        </w:rPr>
        <w:t>growth forecast to continue, investment is urgently needed</w:t>
      </w:r>
      <w:r>
        <w:rPr>
          <w:spacing w:val="-4"/>
          <w:w w:val="95"/>
          <w:sz w:val="20"/>
        </w:rPr>
        <w:t xml:space="preserve"> </w:t>
      </w:r>
      <w:r>
        <w:rPr>
          <w:w w:val="95"/>
          <w:sz w:val="20"/>
        </w:rPr>
        <w:t>in</w:t>
      </w:r>
      <w:r>
        <w:rPr>
          <w:spacing w:val="-4"/>
          <w:w w:val="95"/>
          <w:sz w:val="20"/>
        </w:rPr>
        <w:t xml:space="preserve"> </w:t>
      </w:r>
      <w:r>
        <w:rPr>
          <w:w w:val="95"/>
          <w:sz w:val="20"/>
        </w:rPr>
        <w:t>landside</w:t>
      </w:r>
      <w:r>
        <w:rPr>
          <w:spacing w:val="-4"/>
          <w:w w:val="95"/>
          <w:sz w:val="20"/>
        </w:rPr>
        <w:t xml:space="preserve"> </w:t>
      </w:r>
      <w:r>
        <w:rPr>
          <w:w w:val="95"/>
          <w:sz w:val="20"/>
        </w:rPr>
        <w:t>infrastructure</w:t>
      </w:r>
      <w:r>
        <w:rPr>
          <w:spacing w:val="-4"/>
          <w:w w:val="95"/>
          <w:sz w:val="20"/>
        </w:rPr>
        <w:t xml:space="preserve"> </w:t>
      </w:r>
      <w:r>
        <w:rPr>
          <w:w w:val="95"/>
          <w:sz w:val="20"/>
        </w:rPr>
        <w:t>to</w:t>
      </w:r>
      <w:r>
        <w:rPr>
          <w:spacing w:val="-4"/>
          <w:w w:val="95"/>
          <w:sz w:val="20"/>
        </w:rPr>
        <w:t xml:space="preserve"> </w:t>
      </w:r>
      <w:r>
        <w:rPr>
          <w:w w:val="95"/>
          <w:sz w:val="20"/>
        </w:rPr>
        <w:t>allow</w:t>
      </w:r>
      <w:r>
        <w:rPr>
          <w:spacing w:val="-4"/>
          <w:w w:val="95"/>
          <w:sz w:val="20"/>
        </w:rPr>
        <w:t xml:space="preserve"> </w:t>
      </w:r>
      <w:r>
        <w:rPr>
          <w:w w:val="95"/>
          <w:sz w:val="20"/>
        </w:rPr>
        <w:t>access</w:t>
      </w:r>
      <w:r>
        <w:rPr>
          <w:spacing w:val="-4"/>
          <w:w w:val="95"/>
          <w:sz w:val="20"/>
        </w:rPr>
        <w:t xml:space="preserve"> </w:t>
      </w:r>
      <w:r>
        <w:rPr>
          <w:w w:val="95"/>
          <w:sz w:val="20"/>
        </w:rPr>
        <w:t xml:space="preserve">to </w:t>
      </w:r>
      <w:r>
        <w:rPr>
          <w:sz w:val="20"/>
        </w:rPr>
        <w:t>these</w:t>
      </w:r>
      <w:r>
        <w:rPr>
          <w:spacing w:val="-11"/>
          <w:sz w:val="20"/>
        </w:rPr>
        <w:t xml:space="preserve"> </w:t>
      </w:r>
      <w:r>
        <w:rPr>
          <w:sz w:val="20"/>
        </w:rPr>
        <w:t>gateways.</w:t>
      </w:r>
    </w:p>
    <w:p w:rsidR="002C1123" w:rsidRDefault="00F22F94">
      <w:pPr>
        <w:pStyle w:val="ListParagraph"/>
        <w:numPr>
          <w:ilvl w:val="3"/>
          <w:numId w:val="147"/>
        </w:numPr>
        <w:tabs>
          <w:tab w:val="left" w:pos="776"/>
        </w:tabs>
        <w:spacing w:before="135" w:line="249" w:lineRule="auto"/>
        <w:ind w:left="775" w:right="4"/>
        <w:rPr>
          <w:sz w:val="20"/>
        </w:rPr>
      </w:pPr>
      <w:r>
        <w:rPr>
          <w:sz w:val="20"/>
        </w:rPr>
        <w:t>The</w:t>
      </w:r>
      <w:r>
        <w:rPr>
          <w:spacing w:val="-3"/>
          <w:sz w:val="20"/>
        </w:rPr>
        <w:t xml:space="preserve"> </w:t>
      </w:r>
      <w:r>
        <w:rPr>
          <w:sz w:val="20"/>
        </w:rPr>
        <w:t>congested</w:t>
      </w:r>
      <w:r>
        <w:rPr>
          <w:spacing w:val="-3"/>
          <w:sz w:val="20"/>
        </w:rPr>
        <w:t xml:space="preserve"> </w:t>
      </w:r>
      <w:r>
        <w:rPr>
          <w:sz w:val="20"/>
        </w:rPr>
        <w:t>metropolitan</w:t>
      </w:r>
      <w:r>
        <w:rPr>
          <w:spacing w:val="-3"/>
          <w:sz w:val="20"/>
        </w:rPr>
        <w:t xml:space="preserve"> </w:t>
      </w:r>
      <w:r>
        <w:rPr>
          <w:sz w:val="20"/>
        </w:rPr>
        <w:t>road</w:t>
      </w:r>
      <w:r>
        <w:rPr>
          <w:spacing w:val="-3"/>
          <w:sz w:val="20"/>
        </w:rPr>
        <w:t xml:space="preserve"> </w:t>
      </w:r>
      <w:r>
        <w:rPr>
          <w:sz w:val="20"/>
        </w:rPr>
        <w:t>network</w:t>
      </w:r>
      <w:r>
        <w:rPr>
          <w:spacing w:val="-3"/>
          <w:sz w:val="20"/>
        </w:rPr>
        <w:t xml:space="preserve"> </w:t>
      </w:r>
      <w:r>
        <w:rPr>
          <w:sz w:val="20"/>
        </w:rPr>
        <w:t>means loss</w:t>
      </w:r>
      <w:r>
        <w:rPr>
          <w:spacing w:val="-5"/>
          <w:sz w:val="20"/>
        </w:rPr>
        <w:t xml:space="preserve"> </w:t>
      </w:r>
      <w:r>
        <w:rPr>
          <w:sz w:val="20"/>
        </w:rPr>
        <w:t>of</w:t>
      </w:r>
      <w:r>
        <w:rPr>
          <w:spacing w:val="-5"/>
          <w:sz w:val="20"/>
        </w:rPr>
        <w:t xml:space="preserve"> </w:t>
      </w:r>
      <w:r>
        <w:rPr>
          <w:sz w:val="20"/>
        </w:rPr>
        <w:t>amenity</w:t>
      </w:r>
      <w:r>
        <w:rPr>
          <w:spacing w:val="-5"/>
          <w:sz w:val="20"/>
        </w:rPr>
        <w:t xml:space="preserve"> </w:t>
      </w:r>
      <w:r>
        <w:rPr>
          <w:sz w:val="20"/>
        </w:rPr>
        <w:t>and</w:t>
      </w:r>
      <w:r>
        <w:rPr>
          <w:spacing w:val="-5"/>
          <w:sz w:val="20"/>
        </w:rPr>
        <w:t xml:space="preserve"> </w:t>
      </w:r>
      <w:r>
        <w:rPr>
          <w:sz w:val="20"/>
        </w:rPr>
        <w:t>worsening</w:t>
      </w:r>
      <w:r>
        <w:rPr>
          <w:spacing w:val="-5"/>
          <w:sz w:val="20"/>
        </w:rPr>
        <w:t xml:space="preserve"> </w:t>
      </w:r>
      <w:r>
        <w:rPr>
          <w:sz w:val="20"/>
        </w:rPr>
        <w:t>access</w:t>
      </w:r>
      <w:r>
        <w:rPr>
          <w:spacing w:val="-5"/>
          <w:sz w:val="20"/>
        </w:rPr>
        <w:t xml:space="preserve"> </w:t>
      </w:r>
      <w:r>
        <w:rPr>
          <w:sz w:val="20"/>
        </w:rPr>
        <w:t>to</w:t>
      </w:r>
      <w:r>
        <w:rPr>
          <w:spacing w:val="-5"/>
          <w:sz w:val="20"/>
        </w:rPr>
        <w:t xml:space="preserve"> </w:t>
      </w:r>
      <w:r>
        <w:rPr>
          <w:sz w:val="20"/>
        </w:rPr>
        <w:t>jobs. Sydney’s</w:t>
      </w:r>
      <w:r>
        <w:rPr>
          <w:spacing w:val="-4"/>
          <w:sz w:val="20"/>
        </w:rPr>
        <w:t xml:space="preserve"> </w:t>
      </w:r>
      <w:r>
        <w:rPr>
          <w:sz w:val="20"/>
        </w:rPr>
        <w:t>road</w:t>
      </w:r>
      <w:r>
        <w:rPr>
          <w:spacing w:val="-4"/>
          <w:sz w:val="20"/>
        </w:rPr>
        <w:t xml:space="preserve"> </w:t>
      </w:r>
      <w:r>
        <w:rPr>
          <w:sz w:val="20"/>
        </w:rPr>
        <w:t>network</w:t>
      </w:r>
      <w:r>
        <w:rPr>
          <w:spacing w:val="-4"/>
          <w:sz w:val="20"/>
        </w:rPr>
        <w:t xml:space="preserve"> </w:t>
      </w:r>
      <w:r>
        <w:rPr>
          <w:sz w:val="20"/>
        </w:rPr>
        <w:t>carries</w:t>
      </w:r>
      <w:r>
        <w:rPr>
          <w:spacing w:val="-4"/>
          <w:sz w:val="20"/>
        </w:rPr>
        <w:t xml:space="preserve"> </w:t>
      </w:r>
      <w:r>
        <w:rPr>
          <w:sz w:val="20"/>
        </w:rPr>
        <w:t>93</w:t>
      </w:r>
      <w:r>
        <w:rPr>
          <w:spacing w:val="-4"/>
          <w:sz w:val="20"/>
        </w:rPr>
        <w:t xml:space="preserve"> </w:t>
      </w:r>
      <w:r>
        <w:rPr>
          <w:sz w:val="20"/>
        </w:rPr>
        <w:t>percent</w:t>
      </w:r>
      <w:r>
        <w:rPr>
          <w:spacing w:val="-4"/>
          <w:sz w:val="20"/>
        </w:rPr>
        <w:t xml:space="preserve"> </w:t>
      </w:r>
      <w:r>
        <w:rPr>
          <w:sz w:val="20"/>
        </w:rPr>
        <w:t xml:space="preserve">of </w:t>
      </w:r>
      <w:r>
        <w:rPr>
          <w:w w:val="95"/>
          <w:sz w:val="20"/>
        </w:rPr>
        <w:t>weekday journeys, that is nearly 13 million journeys a</w:t>
      </w:r>
      <w:r>
        <w:rPr>
          <w:spacing w:val="-7"/>
          <w:w w:val="95"/>
          <w:sz w:val="20"/>
        </w:rPr>
        <w:t xml:space="preserve"> </w:t>
      </w:r>
      <w:r>
        <w:rPr>
          <w:w w:val="95"/>
          <w:sz w:val="20"/>
        </w:rPr>
        <w:t>day</w:t>
      </w:r>
      <w:r>
        <w:rPr>
          <w:spacing w:val="-7"/>
          <w:w w:val="95"/>
          <w:sz w:val="20"/>
        </w:rPr>
        <w:t xml:space="preserve"> </w:t>
      </w:r>
      <w:r>
        <w:rPr>
          <w:w w:val="95"/>
          <w:sz w:val="20"/>
        </w:rPr>
        <w:t>and</w:t>
      </w:r>
      <w:r>
        <w:rPr>
          <w:spacing w:val="-7"/>
          <w:w w:val="95"/>
          <w:sz w:val="20"/>
        </w:rPr>
        <w:t xml:space="preserve"> </w:t>
      </w:r>
      <w:r>
        <w:rPr>
          <w:w w:val="95"/>
          <w:sz w:val="20"/>
        </w:rPr>
        <w:t>major</w:t>
      </w:r>
      <w:r>
        <w:rPr>
          <w:spacing w:val="-7"/>
          <w:w w:val="95"/>
          <w:sz w:val="20"/>
        </w:rPr>
        <w:t xml:space="preserve"> </w:t>
      </w:r>
      <w:r>
        <w:rPr>
          <w:w w:val="95"/>
          <w:sz w:val="20"/>
        </w:rPr>
        <w:t>arterials</w:t>
      </w:r>
      <w:r>
        <w:rPr>
          <w:spacing w:val="-7"/>
          <w:w w:val="95"/>
          <w:sz w:val="20"/>
        </w:rPr>
        <w:t xml:space="preserve"> </w:t>
      </w:r>
      <w:r>
        <w:rPr>
          <w:w w:val="95"/>
          <w:sz w:val="20"/>
        </w:rPr>
        <w:t>such</w:t>
      </w:r>
      <w:r>
        <w:rPr>
          <w:spacing w:val="-7"/>
          <w:w w:val="95"/>
          <w:sz w:val="20"/>
        </w:rPr>
        <w:t xml:space="preserve"> </w:t>
      </w:r>
      <w:r>
        <w:rPr>
          <w:w w:val="95"/>
          <w:sz w:val="20"/>
        </w:rPr>
        <w:t>as</w:t>
      </w:r>
      <w:r>
        <w:rPr>
          <w:spacing w:val="-7"/>
          <w:w w:val="95"/>
          <w:sz w:val="20"/>
        </w:rPr>
        <w:t xml:space="preserve"> </w:t>
      </w:r>
      <w:r>
        <w:rPr>
          <w:w w:val="95"/>
          <w:sz w:val="20"/>
        </w:rPr>
        <w:t>the</w:t>
      </w:r>
      <w:r>
        <w:rPr>
          <w:spacing w:val="-7"/>
          <w:w w:val="95"/>
          <w:sz w:val="20"/>
        </w:rPr>
        <w:t xml:space="preserve"> </w:t>
      </w:r>
      <w:r>
        <w:rPr>
          <w:w w:val="95"/>
          <w:sz w:val="20"/>
        </w:rPr>
        <w:t>M4</w:t>
      </w:r>
      <w:r>
        <w:rPr>
          <w:spacing w:val="-7"/>
          <w:w w:val="95"/>
          <w:sz w:val="20"/>
        </w:rPr>
        <w:t xml:space="preserve"> </w:t>
      </w:r>
      <w:r>
        <w:rPr>
          <w:w w:val="95"/>
          <w:sz w:val="20"/>
        </w:rPr>
        <w:t>and</w:t>
      </w:r>
      <w:r>
        <w:rPr>
          <w:spacing w:val="-7"/>
          <w:w w:val="95"/>
          <w:sz w:val="20"/>
        </w:rPr>
        <w:t xml:space="preserve"> </w:t>
      </w:r>
      <w:r>
        <w:rPr>
          <w:w w:val="95"/>
          <w:sz w:val="20"/>
        </w:rPr>
        <w:t>M5</w:t>
      </w:r>
      <w:r>
        <w:rPr>
          <w:spacing w:val="-7"/>
          <w:w w:val="95"/>
          <w:sz w:val="20"/>
        </w:rPr>
        <w:t xml:space="preserve"> </w:t>
      </w:r>
      <w:r>
        <w:rPr>
          <w:w w:val="95"/>
          <w:sz w:val="20"/>
        </w:rPr>
        <w:t>are</w:t>
      </w:r>
    </w:p>
    <w:p w:rsidR="002C1123" w:rsidRDefault="00F22F94">
      <w:pPr>
        <w:pStyle w:val="BodyText"/>
        <w:spacing w:before="107"/>
        <w:ind w:left="573"/>
      </w:pPr>
      <w:r>
        <w:br w:type="column"/>
      </w:r>
      <w:r>
        <w:rPr>
          <w:w w:val="95"/>
        </w:rPr>
        <w:t>now</w:t>
      </w:r>
      <w:r>
        <w:rPr>
          <w:spacing w:val="-2"/>
          <w:w w:val="95"/>
        </w:rPr>
        <w:t xml:space="preserve"> </w:t>
      </w:r>
      <w:r>
        <w:rPr>
          <w:w w:val="95"/>
        </w:rPr>
        <w:t>congested</w:t>
      </w:r>
      <w:r>
        <w:rPr>
          <w:spacing w:val="-1"/>
          <w:w w:val="95"/>
        </w:rPr>
        <w:t xml:space="preserve"> </w:t>
      </w:r>
      <w:r>
        <w:rPr>
          <w:w w:val="95"/>
        </w:rPr>
        <w:t>up</w:t>
      </w:r>
      <w:r>
        <w:rPr>
          <w:spacing w:val="-1"/>
          <w:w w:val="95"/>
        </w:rPr>
        <w:t xml:space="preserve"> </w:t>
      </w:r>
      <w:r>
        <w:rPr>
          <w:w w:val="95"/>
        </w:rPr>
        <w:t>to</w:t>
      </w:r>
      <w:r>
        <w:rPr>
          <w:spacing w:val="-1"/>
          <w:w w:val="95"/>
        </w:rPr>
        <w:t xml:space="preserve"> </w:t>
      </w:r>
      <w:r>
        <w:rPr>
          <w:w w:val="95"/>
        </w:rPr>
        <w:t>13</w:t>
      </w:r>
      <w:r>
        <w:rPr>
          <w:spacing w:val="-1"/>
          <w:w w:val="95"/>
        </w:rPr>
        <w:t xml:space="preserve"> </w:t>
      </w:r>
      <w:r>
        <w:rPr>
          <w:w w:val="95"/>
        </w:rPr>
        <w:t>hours</w:t>
      </w:r>
      <w:r>
        <w:rPr>
          <w:spacing w:val="-1"/>
          <w:w w:val="95"/>
        </w:rPr>
        <w:t xml:space="preserve"> </w:t>
      </w:r>
      <w:r>
        <w:rPr>
          <w:w w:val="95"/>
        </w:rPr>
        <w:t>per</w:t>
      </w:r>
      <w:r>
        <w:rPr>
          <w:spacing w:val="-1"/>
          <w:w w:val="95"/>
        </w:rPr>
        <w:t xml:space="preserve"> </w:t>
      </w:r>
      <w:r>
        <w:rPr>
          <w:spacing w:val="-2"/>
          <w:w w:val="95"/>
        </w:rPr>
        <w:t>day</w:t>
      </w:r>
      <w:r>
        <w:rPr>
          <w:spacing w:val="-2"/>
          <w:w w:val="95"/>
          <w:position w:val="7"/>
          <w:sz w:val="11"/>
        </w:rPr>
        <w:t>23</w:t>
      </w:r>
      <w:r>
        <w:rPr>
          <w:spacing w:val="-2"/>
          <w:w w:val="95"/>
        </w:rPr>
        <w:t>.</w:t>
      </w:r>
    </w:p>
    <w:p w:rsidR="002C1123" w:rsidRDefault="00F22F94">
      <w:pPr>
        <w:pStyle w:val="ListParagraph"/>
        <w:numPr>
          <w:ilvl w:val="0"/>
          <w:numId w:val="127"/>
        </w:numPr>
        <w:tabs>
          <w:tab w:val="left" w:pos="574"/>
        </w:tabs>
        <w:spacing w:before="138" w:line="249" w:lineRule="auto"/>
        <w:ind w:right="138"/>
        <w:rPr>
          <w:sz w:val="20"/>
        </w:rPr>
      </w:pPr>
      <w:r>
        <w:rPr>
          <w:sz w:val="20"/>
        </w:rPr>
        <w:t>Much</w:t>
      </w:r>
      <w:r>
        <w:rPr>
          <w:spacing w:val="-11"/>
          <w:sz w:val="20"/>
        </w:rPr>
        <w:t xml:space="preserve"> </w:t>
      </w:r>
      <w:r>
        <w:rPr>
          <w:sz w:val="20"/>
        </w:rPr>
        <w:t>of</w:t>
      </w:r>
      <w:r>
        <w:rPr>
          <w:spacing w:val="-11"/>
          <w:sz w:val="20"/>
        </w:rPr>
        <w:t xml:space="preserve"> </w:t>
      </w:r>
      <w:r>
        <w:rPr>
          <w:sz w:val="20"/>
        </w:rPr>
        <w:t>the</w:t>
      </w:r>
      <w:r>
        <w:rPr>
          <w:spacing w:val="-11"/>
          <w:sz w:val="20"/>
        </w:rPr>
        <w:t xml:space="preserve"> </w:t>
      </w:r>
      <w:r>
        <w:rPr>
          <w:sz w:val="20"/>
        </w:rPr>
        <w:t>growth</w:t>
      </w:r>
      <w:r>
        <w:rPr>
          <w:spacing w:val="-11"/>
          <w:sz w:val="20"/>
        </w:rPr>
        <w:t xml:space="preserve"> </w:t>
      </w:r>
      <w:r>
        <w:rPr>
          <w:sz w:val="20"/>
        </w:rPr>
        <w:t>in</w:t>
      </w:r>
      <w:r>
        <w:rPr>
          <w:spacing w:val="-11"/>
          <w:sz w:val="20"/>
        </w:rPr>
        <w:t xml:space="preserve"> </w:t>
      </w:r>
      <w:r>
        <w:rPr>
          <w:sz w:val="20"/>
        </w:rPr>
        <w:t>transport</w:t>
      </w:r>
      <w:r>
        <w:rPr>
          <w:spacing w:val="-11"/>
          <w:sz w:val="20"/>
        </w:rPr>
        <w:t xml:space="preserve"> </w:t>
      </w:r>
      <w:r>
        <w:rPr>
          <w:sz w:val="20"/>
        </w:rPr>
        <w:t>demand</w:t>
      </w:r>
      <w:r>
        <w:rPr>
          <w:spacing w:val="-11"/>
          <w:sz w:val="20"/>
        </w:rPr>
        <w:t xml:space="preserve"> </w:t>
      </w:r>
      <w:r>
        <w:rPr>
          <w:sz w:val="20"/>
        </w:rPr>
        <w:t>will</w:t>
      </w:r>
      <w:r>
        <w:rPr>
          <w:spacing w:val="-11"/>
          <w:sz w:val="20"/>
        </w:rPr>
        <w:t xml:space="preserve"> </w:t>
      </w:r>
      <w:r>
        <w:rPr>
          <w:sz w:val="20"/>
        </w:rPr>
        <w:t>be</w:t>
      </w:r>
      <w:r>
        <w:rPr>
          <w:spacing w:val="-11"/>
          <w:sz w:val="20"/>
        </w:rPr>
        <w:t xml:space="preserve"> </w:t>
      </w:r>
      <w:r>
        <w:rPr>
          <w:sz w:val="20"/>
        </w:rPr>
        <w:t xml:space="preserve">by </w:t>
      </w:r>
      <w:r>
        <w:rPr>
          <w:w w:val="95"/>
          <w:sz w:val="20"/>
        </w:rPr>
        <w:t>road</w:t>
      </w:r>
      <w:r>
        <w:rPr>
          <w:spacing w:val="-6"/>
          <w:w w:val="95"/>
          <w:sz w:val="20"/>
        </w:rPr>
        <w:t xml:space="preserve"> </w:t>
      </w:r>
      <w:r>
        <w:rPr>
          <w:w w:val="95"/>
          <w:sz w:val="20"/>
        </w:rPr>
        <w:t>over</w:t>
      </w:r>
      <w:r>
        <w:rPr>
          <w:spacing w:val="-6"/>
          <w:w w:val="95"/>
          <w:sz w:val="20"/>
        </w:rPr>
        <w:t xml:space="preserve"> </w:t>
      </w:r>
      <w:r>
        <w:rPr>
          <w:w w:val="95"/>
          <w:sz w:val="20"/>
        </w:rPr>
        <w:t>the</w:t>
      </w:r>
      <w:r>
        <w:rPr>
          <w:spacing w:val="-6"/>
          <w:w w:val="95"/>
          <w:sz w:val="20"/>
        </w:rPr>
        <w:t xml:space="preserve"> </w:t>
      </w:r>
      <w:r>
        <w:rPr>
          <w:w w:val="95"/>
          <w:sz w:val="20"/>
        </w:rPr>
        <w:t>next</w:t>
      </w:r>
      <w:r>
        <w:rPr>
          <w:spacing w:val="-6"/>
          <w:w w:val="95"/>
          <w:sz w:val="20"/>
        </w:rPr>
        <w:t xml:space="preserve"> </w:t>
      </w:r>
      <w:r>
        <w:rPr>
          <w:w w:val="95"/>
          <w:sz w:val="20"/>
        </w:rPr>
        <w:t>20</w:t>
      </w:r>
      <w:r>
        <w:rPr>
          <w:spacing w:val="-6"/>
          <w:w w:val="95"/>
          <w:sz w:val="20"/>
        </w:rPr>
        <w:t xml:space="preserve"> </w:t>
      </w:r>
      <w:r>
        <w:rPr>
          <w:w w:val="95"/>
          <w:sz w:val="20"/>
        </w:rPr>
        <w:t>years.</w:t>
      </w:r>
      <w:r>
        <w:rPr>
          <w:spacing w:val="-6"/>
          <w:w w:val="95"/>
          <w:sz w:val="20"/>
        </w:rPr>
        <w:t xml:space="preserve"> </w:t>
      </w:r>
      <w:r>
        <w:rPr>
          <w:w w:val="95"/>
          <w:sz w:val="20"/>
        </w:rPr>
        <w:t>Congestion</w:t>
      </w:r>
      <w:r>
        <w:rPr>
          <w:spacing w:val="-6"/>
          <w:w w:val="95"/>
          <w:sz w:val="20"/>
        </w:rPr>
        <w:t xml:space="preserve"> </w:t>
      </w:r>
      <w:r>
        <w:rPr>
          <w:w w:val="95"/>
          <w:sz w:val="20"/>
        </w:rPr>
        <w:t>will</w:t>
      </w:r>
      <w:r>
        <w:rPr>
          <w:spacing w:val="-6"/>
          <w:w w:val="95"/>
          <w:sz w:val="20"/>
        </w:rPr>
        <w:t xml:space="preserve"> </w:t>
      </w:r>
      <w:r>
        <w:rPr>
          <w:w w:val="95"/>
          <w:sz w:val="20"/>
        </w:rPr>
        <w:t xml:space="preserve">worsen </w:t>
      </w:r>
      <w:r>
        <w:rPr>
          <w:sz w:val="20"/>
        </w:rPr>
        <w:t>without</w:t>
      </w:r>
      <w:r>
        <w:rPr>
          <w:spacing w:val="-4"/>
          <w:sz w:val="20"/>
        </w:rPr>
        <w:t xml:space="preserve"> </w:t>
      </w:r>
      <w:r>
        <w:rPr>
          <w:sz w:val="20"/>
        </w:rPr>
        <w:t>investment</w:t>
      </w:r>
      <w:r>
        <w:rPr>
          <w:spacing w:val="-4"/>
          <w:sz w:val="20"/>
        </w:rPr>
        <w:t xml:space="preserve"> </w:t>
      </w:r>
      <w:r>
        <w:rPr>
          <w:sz w:val="20"/>
        </w:rPr>
        <w:t>in</w:t>
      </w:r>
      <w:r>
        <w:rPr>
          <w:spacing w:val="-4"/>
          <w:sz w:val="20"/>
        </w:rPr>
        <w:t xml:space="preserve"> </w:t>
      </w:r>
      <w:r>
        <w:rPr>
          <w:sz w:val="20"/>
        </w:rPr>
        <w:t>road</w:t>
      </w:r>
      <w:r>
        <w:rPr>
          <w:spacing w:val="-4"/>
          <w:sz w:val="20"/>
        </w:rPr>
        <w:t xml:space="preserve"> </w:t>
      </w:r>
      <w:r>
        <w:rPr>
          <w:sz w:val="20"/>
        </w:rPr>
        <w:t>infrastructure.</w:t>
      </w:r>
    </w:p>
    <w:p w:rsidR="002C1123" w:rsidRDefault="00F22F94">
      <w:pPr>
        <w:pStyle w:val="ListParagraph"/>
        <w:numPr>
          <w:ilvl w:val="0"/>
          <w:numId w:val="127"/>
        </w:numPr>
        <w:tabs>
          <w:tab w:val="left" w:pos="574"/>
        </w:tabs>
        <w:spacing w:before="131" w:line="249" w:lineRule="auto"/>
        <w:ind w:right="46"/>
        <w:rPr>
          <w:sz w:val="20"/>
        </w:rPr>
      </w:pPr>
      <w:r>
        <w:rPr>
          <w:sz w:val="20"/>
        </w:rPr>
        <w:t>Rail</w:t>
      </w:r>
      <w:r>
        <w:rPr>
          <w:spacing w:val="-9"/>
          <w:sz w:val="20"/>
        </w:rPr>
        <w:t xml:space="preserve"> </w:t>
      </w:r>
      <w:r>
        <w:rPr>
          <w:sz w:val="20"/>
        </w:rPr>
        <w:t>public</w:t>
      </w:r>
      <w:r>
        <w:rPr>
          <w:spacing w:val="-9"/>
          <w:sz w:val="20"/>
        </w:rPr>
        <w:t xml:space="preserve"> </w:t>
      </w:r>
      <w:r>
        <w:rPr>
          <w:sz w:val="20"/>
        </w:rPr>
        <w:t>transport</w:t>
      </w:r>
      <w:r>
        <w:rPr>
          <w:spacing w:val="-9"/>
          <w:sz w:val="20"/>
        </w:rPr>
        <w:t xml:space="preserve"> </w:t>
      </w:r>
      <w:r>
        <w:rPr>
          <w:sz w:val="20"/>
        </w:rPr>
        <w:t>provides</w:t>
      </w:r>
      <w:r>
        <w:rPr>
          <w:spacing w:val="-9"/>
          <w:sz w:val="20"/>
        </w:rPr>
        <w:t xml:space="preserve"> </w:t>
      </w:r>
      <w:r>
        <w:rPr>
          <w:sz w:val="20"/>
        </w:rPr>
        <w:t>critical</w:t>
      </w:r>
      <w:r>
        <w:rPr>
          <w:spacing w:val="-9"/>
          <w:sz w:val="20"/>
        </w:rPr>
        <w:t xml:space="preserve"> </w:t>
      </w:r>
      <w:r>
        <w:rPr>
          <w:sz w:val="20"/>
        </w:rPr>
        <w:t>access</w:t>
      </w:r>
      <w:r>
        <w:rPr>
          <w:spacing w:val="-9"/>
          <w:sz w:val="20"/>
        </w:rPr>
        <w:t xml:space="preserve"> </w:t>
      </w:r>
      <w:r>
        <w:rPr>
          <w:sz w:val="20"/>
        </w:rPr>
        <w:t>to</w:t>
      </w:r>
      <w:r>
        <w:rPr>
          <w:spacing w:val="-9"/>
          <w:sz w:val="20"/>
        </w:rPr>
        <w:t xml:space="preserve"> </w:t>
      </w:r>
      <w:r>
        <w:rPr>
          <w:sz w:val="20"/>
        </w:rPr>
        <w:t>key employment</w:t>
      </w:r>
      <w:r>
        <w:rPr>
          <w:spacing w:val="-14"/>
          <w:sz w:val="20"/>
        </w:rPr>
        <w:t xml:space="preserve"> </w:t>
      </w:r>
      <w:r>
        <w:rPr>
          <w:sz w:val="20"/>
        </w:rPr>
        <w:t>centres</w:t>
      </w:r>
      <w:r>
        <w:rPr>
          <w:spacing w:val="-14"/>
          <w:sz w:val="20"/>
        </w:rPr>
        <w:t xml:space="preserve"> </w:t>
      </w:r>
      <w:r>
        <w:rPr>
          <w:sz w:val="20"/>
        </w:rPr>
        <w:t>–</w:t>
      </w:r>
      <w:r>
        <w:rPr>
          <w:spacing w:val="-14"/>
          <w:sz w:val="20"/>
        </w:rPr>
        <w:t xml:space="preserve"> </w:t>
      </w:r>
      <w:r>
        <w:rPr>
          <w:sz w:val="20"/>
        </w:rPr>
        <w:t>especially</w:t>
      </w:r>
      <w:r>
        <w:rPr>
          <w:spacing w:val="-14"/>
          <w:sz w:val="20"/>
        </w:rPr>
        <w:t xml:space="preserve"> </w:t>
      </w:r>
      <w:r>
        <w:rPr>
          <w:sz w:val="20"/>
        </w:rPr>
        <w:t>Sydney’s</w:t>
      </w:r>
      <w:r>
        <w:rPr>
          <w:spacing w:val="-14"/>
          <w:sz w:val="20"/>
        </w:rPr>
        <w:t xml:space="preserve"> </w:t>
      </w:r>
      <w:r>
        <w:rPr>
          <w:sz w:val="20"/>
        </w:rPr>
        <w:t xml:space="preserve">CBD. </w:t>
      </w:r>
      <w:r>
        <w:rPr>
          <w:w w:val="95"/>
          <w:sz w:val="20"/>
        </w:rPr>
        <w:t>Rail</w:t>
      </w:r>
      <w:r>
        <w:rPr>
          <w:spacing w:val="-12"/>
          <w:w w:val="95"/>
          <w:sz w:val="20"/>
        </w:rPr>
        <w:t xml:space="preserve"> </w:t>
      </w:r>
      <w:r>
        <w:rPr>
          <w:w w:val="95"/>
          <w:sz w:val="20"/>
        </w:rPr>
        <w:t>carries</w:t>
      </w:r>
      <w:r>
        <w:rPr>
          <w:spacing w:val="-11"/>
          <w:w w:val="95"/>
          <w:sz w:val="20"/>
        </w:rPr>
        <w:t xml:space="preserve"> </w:t>
      </w:r>
      <w:r>
        <w:rPr>
          <w:w w:val="95"/>
          <w:sz w:val="20"/>
        </w:rPr>
        <w:t>a</w:t>
      </w:r>
      <w:r>
        <w:rPr>
          <w:spacing w:val="-11"/>
          <w:w w:val="95"/>
          <w:sz w:val="20"/>
        </w:rPr>
        <w:t xml:space="preserve"> </w:t>
      </w:r>
      <w:r>
        <w:rPr>
          <w:w w:val="95"/>
          <w:sz w:val="20"/>
        </w:rPr>
        <w:t>six</w:t>
      </w:r>
      <w:r>
        <w:rPr>
          <w:spacing w:val="-11"/>
          <w:w w:val="95"/>
          <w:sz w:val="20"/>
        </w:rPr>
        <w:t xml:space="preserve"> </w:t>
      </w:r>
      <w:r>
        <w:rPr>
          <w:w w:val="95"/>
          <w:sz w:val="20"/>
        </w:rPr>
        <w:t>percent</w:t>
      </w:r>
      <w:r>
        <w:rPr>
          <w:spacing w:val="-11"/>
          <w:w w:val="95"/>
          <w:sz w:val="20"/>
        </w:rPr>
        <w:t xml:space="preserve"> </w:t>
      </w:r>
      <w:r>
        <w:rPr>
          <w:w w:val="95"/>
          <w:sz w:val="20"/>
        </w:rPr>
        <w:t>share</w:t>
      </w:r>
      <w:r>
        <w:rPr>
          <w:spacing w:val="-11"/>
          <w:w w:val="95"/>
          <w:sz w:val="20"/>
        </w:rPr>
        <w:t xml:space="preserve"> </w:t>
      </w:r>
      <w:r>
        <w:rPr>
          <w:w w:val="95"/>
          <w:sz w:val="20"/>
        </w:rPr>
        <w:t>of</w:t>
      </w:r>
      <w:r>
        <w:rPr>
          <w:spacing w:val="-11"/>
          <w:w w:val="95"/>
          <w:sz w:val="20"/>
        </w:rPr>
        <w:t xml:space="preserve"> </w:t>
      </w:r>
      <w:r>
        <w:rPr>
          <w:w w:val="95"/>
          <w:sz w:val="20"/>
        </w:rPr>
        <w:t>journeys</w:t>
      </w:r>
      <w:r>
        <w:rPr>
          <w:spacing w:val="-11"/>
          <w:w w:val="95"/>
          <w:sz w:val="20"/>
        </w:rPr>
        <w:t xml:space="preserve"> </w:t>
      </w:r>
      <w:r>
        <w:rPr>
          <w:w w:val="95"/>
          <w:sz w:val="20"/>
        </w:rPr>
        <w:t>in</w:t>
      </w:r>
      <w:r>
        <w:rPr>
          <w:spacing w:val="-12"/>
          <w:w w:val="95"/>
          <w:sz w:val="20"/>
        </w:rPr>
        <w:t xml:space="preserve"> </w:t>
      </w:r>
      <w:r>
        <w:rPr>
          <w:w w:val="95"/>
          <w:sz w:val="20"/>
        </w:rPr>
        <w:t xml:space="preserve">Sydney, </w:t>
      </w:r>
      <w:r>
        <w:rPr>
          <w:sz w:val="20"/>
        </w:rPr>
        <w:t>around</w:t>
      </w:r>
      <w:r>
        <w:rPr>
          <w:spacing w:val="-12"/>
          <w:sz w:val="20"/>
        </w:rPr>
        <w:t xml:space="preserve"> </w:t>
      </w:r>
      <w:r>
        <w:rPr>
          <w:sz w:val="20"/>
        </w:rPr>
        <w:t>one</w:t>
      </w:r>
      <w:r>
        <w:rPr>
          <w:spacing w:val="-12"/>
          <w:sz w:val="20"/>
        </w:rPr>
        <w:t xml:space="preserve"> </w:t>
      </w:r>
      <w:r>
        <w:rPr>
          <w:sz w:val="20"/>
        </w:rPr>
        <w:t>million</w:t>
      </w:r>
      <w:r>
        <w:rPr>
          <w:spacing w:val="-12"/>
          <w:sz w:val="20"/>
        </w:rPr>
        <w:t xml:space="preserve"> </w:t>
      </w:r>
      <w:r>
        <w:rPr>
          <w:sz w:val="20"/>
        </w:rPr>
        <w:t>on</w:t>
      </w:r>
      <w:r>
        <w:rPr>
          <w:spacing w:val="-12"/>
          <w:sz w:val="20"/>
        </w:rPr>
        <w:t xml:space="preserve"> </w:t>
      </w:r>
      <w:r>
        <w:rPr>
          <w:sz w:val="20"/>
        </w:rPr>
        <w:t>week</w:t>
      </w:r>
      <w:r>
        <w:rPr>
          <w:spacing w:val="-12"/>
          <w:sz w:val="20"/>
        </w:rPr>
        <w:t xml:space="preserve"> </w:t>
      </w:r>
      <w:r>
        <w:rPr>
          <w:sz w:val="20"/>
        </w:rPr>
        <w:t>days.</w:t>
      </w:r>
      <w:r>
        <w:rPr>
          <w:spacing w:val="-12"/>
          <w:sz w:val="20"/>
        </w:rPr>
        <w:t xml:space="preserve"> </w:t>
      </w:r>
      <w:r>
        <w:rPr>
          <w:sz w:val="20"/>
        </w:rPr>
        <w:t>Service</w:t>
      </w:r>
      <w:r>
        <w:rPr>
          <w:spacing w:val="-12"/>
          <w:sz w:val="20"/>
        </w:rPr>
        <w:t xml:space="preserve"> </w:t>
      </w:r>
      <w:r>
        <w:rPr>
          <w:sz w:val="20"/>
        </w:rPr>
        <w:t>quality</w:t>
      </w:r>
    </w:p>
    <w:p w:rsidR="002C1123" w:rsidRDefault="00F22F94">
      <w:pPr>
        <w:pStyle w:val="BodyText"/>
        <w:spacing w:before="3" w:line="249" w:lineRule="auto"/>
        <w:ind w:left="573"/>
      </w:pPr>
      <w:r>
        <w:t>is</w:t>
      </w:r>
      <w:r>
        <w:rPr>
          <w:spacing w:val="-9"/>
        </w:rPr>
        <w:t xml:space="preserve"> </w:t>
      </w:r>
      <w:r>
        <w:t>perceived</w:t>
      </w:r>
      <w:r>
        <w:rPr>
          <w:spacing w:val="-9"/>
        </w:rPr>
        <w:t xml:space="preserve"> </w:t>
      </w:r>
      <w:r>
        <w:t>as</w:t>
      </w:r>
      <w:r>
        <w:rPr>
          <w:spacing w:val="-9"/>
        </w:rPr>
        <w:t xml:space="preserve"> </w:t>
      </w:r>
      <w:r>
        <w:t>poor,</w:t>
      </w:r>
      <w:r>
        <w:rPr>
          <w:spacing w:val="-9"/>
        </w:rPr>
        <w:t xml:space="preserve"> </w:t>
      </w:r>
      <w:r>
        <w:t>with</w:t>
      </w:r>
      <w:r>
        <w:rPr>
          <w:spacing w:val="-9"/>
        </w:rPr>
        <w:t xml:space="preserve"> </w:t>
      </w:r>
      <w:r>
        <w:t>overcrowding,</w:t>
      </w:r>
      <w:r>
        <w:rPr>
          <w:spacing w:val="-9"/>
        </w:rPr>
        <w:t xml:space="preserve"> </w:t>
      </w:r>
      <w:r>
        <w:t xml:space="preserve">speed, </w:t>
      </w:r>
      <w:r>
        <w:rPr>
          <w:w w:val="95"/>
        </w:rPr>
        <w:t>reliability and customer service identified as issues. Improved</w:t>
      </w:r>
      <w:r>
        <w:rPr>
          <w:spacing w:val="-2"/>
          <w:w w:val="95"/>
        </w:rPr>
        <w:t xml:space="preserve"> </w:t>
      </w:r>
      <w:r>
        <w:rPr>
          <w:w w:val="95"/>
        </w:rPr>
        <w:t>service</w:t>
      </w:r>
      <w:r>
        <w:rPr>
          <w:spacing w:val="-2"/>
          <w:w w:val="95"/>
        </w:rPr>
        <w:t xml:space="preserve"> </w:t>
      </w:r>
      <w:r>
        <w:rPr>
          <w:w w:val="95"/>
        </w:rPr>
        <w:t>quality</w:t>
      </w:r>
      <w:r>
        <w:rPr>
          <w:spacing w:val="-2"/>
          <w:w w:val="95"/>
        </w:rPr>
        <w:t xml:space="preserve"> </w:t>
      </w:r>
      <w:r>
        <w:rPr>
          <w:w w:val="95"/>
        </w:rPr>
        <w:t>and</w:t>
      </w:r>
      <w:r>
        <w:rPr>
          <w:spacing w:val="-2"/>
          <w:w w:val="95"/>
        </w:rPr>
        <w:t xml:space="preserve"> </w:t>
      </w:r>
      <w:r>
        <w:rPr>
          <w:w w:val="95"/>
        </w:rPr>
        <w:t>capacity</w:t>
      </w:r>
      <w:r>
        <w:rPr>
          <w:spacing w:val="-2"/>
          <w:w w:val="95"/>
        </w:rPr>
        <w:t xml:space="preserve"> </w:t>
      </w:r>
      <w:r>
        <w:rPr>
          <w:w w:val="95"/>
        </w:rPr>
        <w:t>are</w:t>
      </w:r>
      <w:r>
        <w:rPr>
          <w:spacing w:val="-2"/>
          <w:w w:val="95"/>
        </w:rPr>
        <w:t xml:space="preserve"> </w:t>
      </w:r>
      <w:r>
        <w:rPr>
          <w:w w:val="95"/>
        </w:rPr>
        <w:t>needed</w:t>
      </w:r>
      <w:r>
        <w:rPr>
          <w:spacing w:val="-2"/>
          <w:w w:val="95"/>
        </w:rPr>
        <w:t xml:space="preserve"> </w:t>
      </w:r>
      <w:r>
        <w:rPr>
          <w:w w:val="95"/>
        </w:rPr>
        <w:t xml:space="preserve">to </w:t>
      </w:r>
      <w:r>
        <w:t>support NSW economic growth.</w:t>
      </w:r>
    </w:p>
    <w:p w:rsidR="002C1123" w:rsidRDefault="00F22F94">
      <w:pPr>
        <w:pStyle w:val="ListParagraph"/>
        <w:numPr>
          <w:ilvl w:val="0"/>
          <w:numId w:val="127"/>
        </w:numPr>
        <w:tabs>
          <w:tab w:val="left" w:pos="574"/>
        </w:tabs>
        <w:spacing w:before="133" w:line="249" w:lineRule="auto"/>
        <w:ind w:right="514"/>
        <w:rPr>
          <w:sz w:val="20"/>
        </w:rPr>
      </w:pPr>
      <w:r>
        <w:rPr>
          <w:w w:val="95"/>
          <w:sz w:val="20"/>
        </w:rPr>
        <w:t xml:space="preserve">The regional road network cannot support high </w:t>
      </w:r>
      <w:r>
        <w:rPr>
          <w:sz w:val="20"/>
        </w:rPr>
        <w:t>capacity,</w:t>
      </w:r>
      <w:r>
        <w:rPr>
          <w:spacing w:val="-7"/>
          <w:sz w:val="20"/>
        </w:rPr>
        <w:t xml:space="preserve"> </w:t>
      </w:r>
      <w:r>
        <w:rPr>
          <w:sz w:val="20"/>
        </w:rPr>
        <w:t>high</w:t>
      </w:r>
      <w:r>
        <w:rPr>
          <w:spacing w:val="-7"/>
          <w:sz w:val="20"/>
        </w:rPr>
        <w:t xml:space="preserve"> </w:t>
      </w:r>
      <w:r>
        <w:rPr>
          <w:sz w:val="20"/>
        </w:rPr>
        <w:t>productivity</w:t>
      </w:r>
      <w:r>
        <w:rPr>
          <w:spacing w:val="-7"/>
          <w:sz w:val="20"/>
        </w:rPr>
        <w:t xml:space="preserve"> </w:t>
      </w:r>
      <w:r>
        <w:rPr>
          <w:sz w:val="20"/>
        </w:rPr>
        <w:t>vehicles</w:t>
      </w:r>
      <w:r>
        <w:rPr>
          <w:spacing w:val="-7"/>
          <w:sz w:val="20"/>
        </w:rPr>
        <w:t xml:space="preserve"> </w:t>
      </w:r>
      <w:r>
        <w:rPr>
          <w:sz w:val="20"/>
        </w:rPr>
        <w:t>and</w:t>
      </w:r>
      <w:r>
        <w:rPr>
          <w:spacing w:val="-7"/>
          <w:sz w:val="20"/>
        </w:rPr>
        <w:t xml:space="preserve"> </w:t>
      </w:r>
      <w:r>
        <w:rPr>
          <w:sz w:val="20"/>
        </w:rPr>
        <w:t>10</w:t>
      </w:r>
      <w:r>
        <w:rPr>
          <w:spacing w:val="-7"/>
          <w:sz w:val="20"/>
        </w:rPr>
        <w:t xml:space="preserve"> </w:t>
      </w:r>
      <w:r>
        <w:rPr>
          <w:sz w:val="20"/>
        </w:rPr>
        <w:t>to 20</w:t>
      </w:r>
      <w:r>
        <w:rPr>
          <w:spacing w:val="-9"/>
          <w:sz w:val="20"/>
        </w:rPr>
        <w:t xml:space="preserve"> </w:t>
      </w:r>
      <w:r>
        <w:rPr>
          <w:sz w:val="20"/>
        </w:rPr>
        <w:t>percent</w:t>
      </w:r>
      <w:r>
        <w:rPr>
          <w:spacing w:val="-9"/>
          <w:sz w:val="20"/>
        </w:rPr>
        <w:t xml:space="preserve"> </w:t>
      </w:r>
      <w:r>
        <w:rPr>
          <w:sz w:val="20"/>
        </w:rPr>
        <w:t>of</w:t>
      </w:r>
      <w:r>
        <w:rPr>
          <w:spacing w:val="-9"/>
          <w:sz w:val="20"/>
        </w:rPr>
        <w:t xml:space="preserve"> </w:t>
      </w:r>
      <w:r>
        <w:rPr>
          <w:sz w:val="20"/>
        </w:rPr>
        <w:t>the</w:t>
      </w:r>
      <w:r>
        <w:rPr>
          <w:spacing w:val="-9"/>
          <w:sz w:val="20"/>
        </w:rPr>
        <w:t xml:space="preserve"> </w:t>
      </w:r>
      <w:r>
        <w:rPr>
          <w:sz w:val="20"/>
        </w:rPr>
        <w:t>regional</w:t>
      </w:r>
      <w:r>
        <w:rPr>
          <w:spacing w:val="-9"/>
          <w:sz w:val="20"/>
        </w:rPr>
        <w:t xml:space="preserve"> </w:t>
      </w:r>
      <w:r>
        <w:rPr>
          <w:sz w:val="20"/>
        </w:rPr>
        <w:t>road</w:t>
      </w:r>
      <w:r>
        <w:rPr>
          <w:spacing w:val="-9"/>
          <w:sz w:val="20"/>
        </w:rPr>
        <w:t xml:space="preserve"> </w:t>
      </w:r>
      <w:r>
        <w:rPr>
          <w:sz w:val="20"/>
        </w:rPr>
        <w:t>freight</w:t>
      </w:r>
      <w:r>
        <w:rPr>
          <w:spacing w:val="-9"/>
          <w:sz w:val="20"/>
        </w:rPr>
        <w:t xml:space="preserve"> </w:t>
      </w:r>
      <w:r>
        <w:rPr>
          <w:sz w:val="20"/>
        </w:rPr>
        <w:t>task</w:t>
      </w:r>
      <w:r>
        <w:rPr>
          <w:spacing w:val="-9"/>
          <w:sz w:val="20"/>
        </w:rPr>
        <w:t xml:space="preserve"> </w:t>
      </w:r>
      <w:r>
        <w:rPr>
          <w:sz w:val="20"/>
        </w:rPr>
        <w:t xml:space="preserve">is </w:t>
      </w:r>
      <w:r>
        <w:rPr>
          <w:spacing w:val="-2"/>
          <w:sz w:val="20"/>
        </w:rPr>
        <w:t>constrained.</w:t>
      </w:r>
    </w:p>
    <w:p w:rsidR="002C1123" w:rsidRDefault="00F22F94">
      <w:pPr>
        <w:pStyle w:val="ListParagraph"/>
        <w:numPr>
          <w:ilvl w:val="0"/>
          <w:numId w:val="127"/>
        </w:numPr>
        <w:tabs>
          <w:tab w:val="left" w:pos="574"/>
        </w:tabs>
        <w:spacing w:before="132" w:line="249" w:lineRule="auto"/>
        <w:ind w:right="269"/>
        <w:rPr>
          <w:sz w:val="20"/>
        </w:rPr>
      </w:pPr>
      <w:r>
        <w:rPr>
          <w:sz w:val="20"/>
        </w:rPr>
        <w:t>The</w:t>
      </w:r>
      <w:r>
        <w:rPr>
          <w:spacing w:val="-12"/>
          <w:sz w:val="20"/>
        </w:rPr>
        <w:t xml:space="preserve"> </w:t>
      </w:r>
      <w:r>
        <w:rPr>
          <w:sz w:val="20"/>
        </w:rPr>
        <w:t>regional</w:t>
      </w:r>
      <w:r>
        <w:rPr>
          <w:spacing w:val="-12"/>
          <w:sz w:val="20"/>
        </w:rPr>
        <w:t xml:space="preserve"> </w:t>
      </w:r>
      <w:r>
        <w:rPr>
          <w:sz w:val="20"/>
        </w:rPr>
        <w:t>rail</w:t>
      </w:r>
      <w:r>
        <w:rPr>
          <w:spacing w:val="-12"/>
          <w:sz w:val="20"/>
        </w:rPr>
        <w:t xml:space="preserve"> </w:t>
      </w:r>
      <w:r>
        <w:rPr>
          <w:sz w:val="20"/>
        </w:rPr>
        <w:t>network</w:t>
      </w:r>
      <w:r>
        <w:rPr>
          <w:spacing w:val="-12"/>
          <w:sz w:val="20"/>
        </w:rPr>
        <w:t xml:space="preserve"> </w:t>
      </w:r>
      <w:r>
        <w:rPr>
          <w:sz w:val="20"/>
        </w:rPr>
        <w:t>is</w:t>
      </w:r>
      <w:r>
        <w:rPr>
          <w:spacing w:val="-12"/>
          <w:sz w:val="20"/>
        </w:rPr>
        <w:t xml:space="preserve"> </w:t>
      </w:r>
      <w:r>
        <w:rPr>
          <w:sz w:val="20"/>
        </w:rPr>
        <w:t>constrained</w:t>
      </w:r>
      <w:r>
        <w:rPr>
          <w:spacing w:val="-12"/>
          <w:sz w:val="20"/>
        </w:rPr>
        <w:t xml:space="preserve"> </w:t>
      </w:r>
      <w:r>
        <w:rPr>
          <w:sz w:val="20"/>
        </w:rPr>
        <w:t>by</w:t>
      </w:r>
      <w:r>
        <w:rPr>
          <w:spacing w:val="-12"/>
          <w:sz w:val="20"/>
        </w:rPr>
        <w:t xml:space="preserve"> </w:t>
      </w:r>
      <w:r>
        <w:rPr>
          <w:sz w:val="20"/>
        </w:rPr>
        <w:t xml:space="preserve">the </w:t>
      </w:r>
      <w:r>
        <w:rPr>
          <w:w w:val="95"/>
          <w:sz w:val="20"/>
        </w:rPr>
        <w:t>condition of the network and the impact of shared use</w:t>
      </w:r>
      <w:r>
        <w:rPr>
          <w:spacing w:val="-3"/>
          <w:w w:val="95"/>
          <w:sz w:val="20"/>
        </w:rPr>
        <w:t xml:space="preserve"> </w:t>
      </w:r>
      <w:r>
        <w:rPr>
          <w:w w:val="95"/>
          <w:sz w:val="20"/>
        </w:rPr>
        <w:t>on</w:t>
      </w:r>
      <w:r>
        <w:rPr>
          <w:spacing w:val="-3"/>
          <w:w w:val="95"/>
          <w:sz w:val="20"/>
        </w:rPr>
        <w:t xml:space="preserve"> </w:t>
      </w:r>
      <w:r>
        <w:rPr>
          <w:w w:val="95"/>
          <w:sz w:val="20"/>
        </w:rPr>
        <w:t>operations.</w:t>
      </w:r>
      <w:r>
        <w:rPr>
          <w:spacing w:val="-3"/>
          <w:w w:val="95"/>
          <w:sz w:val="20"/>
        </w:rPr>
        <w:t xml:space="preserve"> </w:t>
      </w:r>
      <w:r>
        <w:rPr>
          <w:w w:val="95"/>
          <w:sz w:val="20"/>
        </w:rPr>
        <w:t>Growth</w:t>
      </w:r>
      <w:r>
        <w:rPr>
          <w:spacing w:val="-3"/>
          <w:w w:val="95"/>
          <w:sz w:val="20"/>
        </w:rPr>
        <w:t xml:space="preserve"> </w:t>
      </w:r>
      <w:r>
        <w:rPr>
          <w:w w:val="95"/>
          <w:sz w:val="20"/>
        </w:rPr>
        <w:t>in</w:t>
      </w:r>
      <w:r>
        <w:rPr>
          <w:spacing w:val="-3"/>
          <w:w w:val="95"/>
          <w:sz w:val="20"/>
        </w:rPr>
        <w:t xml:space="preserve"> </w:t>
      </w:r>
      <w:r>
        <w:rPr>
          <w:w w:val="95"/>
          <w:sz w:val="20"/>
        </w:rPr>
        <w:t>freight</w:t>
      </w:r>
      <w:r>
        <w:rPr>
          <w:spacing w:val="-3"/>
          <w:w w:val="95"/>
          <w:sz w:val="20"/>
        </w:rPr>
        <w:t xml:space="preserve"> </w:t>
      </w:r>
      <w:r>
        <w:rPr>
          <w:w w:val="95"/>
          <w:sz w:val="20"/>
        </w:rPr>
        <w:t>and</w:t>
      </w:r>
      <w:r>
        <w:rPr>
          <w:spacing w:val="-3"/>
          <w:w w:val="95"/>
          <w:sz w:val="20"/>
        </w:rPr>
        <w:t xml:space="preserve"> </w:t>
      </w:r>
      <w:r>
        <w:rPr>
          <w:w w:val="95"/>
          <w:sz w:val="20"/>
        </w:rPr>
        <w:t>growth</w:t>
      </w:r>
      <w:r>
        <w:rPr>
          <w:spacing w:val="-3"/>
          <w:w w:val="95"/>
          <w:sz w:val="20"/>
        </w:rPr>
        <w:t xml:space="preserve"> </w:t>
      </w:r>
      <w:r>
        <w:rPr>
          <w:w w:val="95"/>
          <w:sz w:val="20"/>
        </w:rPr>
        <w:t xml:space="preserve">in </w:t>
      </w:r>
      <w:r>
        <w:rPr>
          <w:sz w:val="20"/>
        </w:rPr>
        <w:t>mining</w:t>
      </w:r>
      <w:r>
        <w:rPr>
          <w:spacing w:val="-11"/>
          <w:sz w:val="20"/>
        </w:rPr>
        <w:t xml:space="preserve"> </w:t>
      </w:r>
      <w:r>
        <w:rPr>
          <w:sz w:val="20"/>
        </w:rPr>
        <w:t>and</w:t>
      </w:r>
      <w:r>
        <w:rPr>
          <w:spacing w:val="-11"/>
          <w:sz w:val="20"/>
        </w:rPr>
        <w:t xml:space="preserve"> </w:t>
      </w:r>
      <w:r>
        <w:rPr>
          <w:sz w:val="20"/>
        </w:rPr>
        <w:t>agriculture</w:t>
      </w:r>
      <w:r>
        <w:rPr>
          <w:spacing w:val="-11"/>
          <w:sz w:val="20"/>
        </w:rPr>
        <w:t xml:space="preserve"> </w:t>
      </w:r>
      <w:r>
        <w:rPr>
          <w:sz w:val="20"/>
        </w:rPr>
        <w:t>will</w:t>
      </w:r>
      <w:r>
        <w:rPr>
          <w:spacing w:val="-11"/>
          <w:sz w:val="20"/>
        </w:rPr>
        <w:t xml:space="preserve"> </w:t>
      </w:r>
      <w:r>
        <w:rPr>
          <w:sz w:val="20"/>
        </w:rPr>
        <w:t>put</w:t>
      </w:r>
      <w:r>
        <w:rPr>
          <w:spacing w:val="-11"/>
          <w:sz w:val="20"/>
        </w:rPr>
        <w:t xml:space="preserve"> </w:t>
      </w:r>
      <w:r>
        <w:rPr>
          <w:sz w:val="20"/>
        </w:rPr>
        <w:t>more</w:t>
      </w:r>
      <w:r>
        <w:rPr>
          <w:spacing w:val="-11"/>
          <w:sz w:val="20"/>
        </w:rPr>
        <w:t xml:space="preserve"> </w:t>
      </w:r>
      <w:r>
        <w:rPr>
          <w:sz w:val="20"/>
        </w:rPr>
        <w:t>pressure</w:t>
      </w:r>
      <w:r>
        <w:rPr>
          <w:spacing w:val="-11"/>
          <w:sz w:val="20"/>
        </w:rPr>
        <w:t xml:space="preserve"> </w:t>
      </w:r>
      <w:r>
        <w:rPr>
          <w:sz w:val="20"/>
        </w:rPr>
        <w:t>on localised parts of the network.</w:t>
      </w:r>
    </w:p>
    <w:p w:rsidR="002C1123" w:rsidRDefault="00F22F94">
      <w:pPr>
        <w:pStyle w:val="ListParagraph"/>
        <w:numPr>
          <w:ilvl w:val="0"/>
          <w:numId w:val="127"/>
        </w:numPr>
        <w:tabs>
          <w:tab w:val="left" w:pos="574"/>
        </w:tabs>
        <w:spacing w:before="133" w:line="249" w:lineRule="auto"/>
        <w:ind w:right="34"/>
        <w:rPr>
          <w:sz w:val="20"/>
        </w:rPr>
      </w:pPr>
      <w:r>
        <w:rPr>
          <w:sz w:val="20"/>
        </w:rPr>
        <w:t>Infrastructure</w:t>
      </w:r>
      <w:r>
        <w:rPr>
          <w:spacing w:val="-14"/>
          <w:sz w:val="20"/>
        </w:rPr>
        <w:t xml:space="preserve"> </w:t>
      </w:r>
      <w:r>
        <w:rPr>
          <w:sz w:val="20"/>
        </w:rPr>
        <w:t>for</w:t>
      </w:r>
      <w:r>
        <w:rPr>
          <w:spacing w:val="-14"/>
          <w:sz w:val="20"/>
        </w:rPr>
        <w:t xml:space="preserve"> </w:t>
      </w:r>
      <w:r>
        <w:rPr>
          <w:sz w:val="20"/>
        </w:rPr>
        <w:t>housing</w:t>
      </w:r>
      <w:r>
        <w:rPr>
          <w:spacing w:val="-14"/>
          <w:sz w:val="20"/>
        </w:rPr>
        <w:t xml:space="preserve"> </w:t>
      </w:r>
      <w:r>
        <w:rPr>
          <w:sz w:val="20"/>
        </w:rPr>
        <w:t>is</w:t>
      </w:r>
      <w:r>
        <w:rPr>
          <w:spacing w:val="-14"/>
          <w:sz w:val="20"/>
        </w:rPr>
        <w:t xml:space="preserve"> </w:t>
      </w:r>
      <w:r>
        <w:rPr>
          <w:sz w:val="20"/>
        </w:rPr>
        <w:t>needed</w:t>
      </w:r>
      <w:r>
        <w:rPr>
          <w:spacing w:val="-14"/>
          <w:sz w:val="20"/>
        </w:rPr>
        <w:t xml:space="preserve"> </w:t>
      </w:r>
      <w:r>
        <w:rPr>
          <w:sz w:val="20"/>
        </w:rPr>
        <w:t>for</w:t>
      </w:r>
      <w:r>
        <w:rPr>
          <w:spacing w:val="-14"/>
          <w:sz w:val="20"/>
        </w:rPr>
        <w:t xml:space="preserve"> </w:t>
      </w:r>
      <w:r>
        <w:rPr>
          <w:sz w:val="20"/>
        </w:rPr>
        <w:t>the</w:t>
      </w:r>
      <w:r>
        <w:rPr>
          <w:spacing w:val="-14"/>
          <w:sz w:val="20"/>
        </w:rPr>
        <w:t xml:space="preserve"> </w:t>
      </w:r>
      <w:r>
        <w:rPr>
          <w:sz w:val="20"/>
        </w:rPr>
        <w:t>forecast growth</w:t>
      </w:r>
      <w:r>
        <w:rPr>
          <w:spacing w:val="-7"/>
          <w:sz w:val="20"/>
        </w:rPr>
        <w:t xml:space="preserve"> </w:t>
      </w:r>
      <w:r>
        <w:rPr>
          <w:sz w:val="20"/>
        </w:rPr>
        <w:t>of</w:t>
      </w:r>
      <w:r>
        <w:rPr>
          <w:spacing w:val="-7"/>
          <w:sz w:val="20"/>
        </w:rPr>
        <w:t xml:space="preserve"> </w:t>
      </w:r>
      <w:r>
        <w:rPr>
          <w:sz w:val="20"/>
        </w:rPr>
        <w:t>around</w:t>
      </w:r>
      <w:r>
        <w:rPr>
          <w:spacing w:val="-7"/>
          <w:sz w:val="20"/>
        </w:rPr>
        <w:t xml:space="preserve"> </w:t>
      </w:r>
      <w:r>
        <w:rPr>
          <w:sz w:val="20"/>
        </w:rPr>
        <w:t>35,000</w:t>
      </w:r>
      <w:r>
        <w:rPr>
          <w:spacing w:val="-7"/>
          <w:sz w:val="20"/>
        </w:rPr>
        <w:t xml:space="preserve"> </w:t>
      </w:r>
      <w:r>
        <w:rPr>
          <w:sz w:val="20"/>
        </w:rPr>
        <w:t>homes</w:t>
      </w:r>
      <w:r>
        <w:rPr>
          <w:spacing w:val="-7"/>
          <w:sz w:val="20"/>
        </w:rPr>
        <w:t xml:space="preserve"> </w:t>
      </w:r>
      <w:r>
        <w:rPr>
          <w:sz w:val="20"/>
        </w:rPr>
        <w:t>a</w:t>
      </w:r>
      <w:r>
        <w:rPr>
          <w:spacing w:val="-7"/>
          <w:sz w:val="20"/>
        </w:rPr>
        <w:t xml:space="preserve"> </w:t>
      </w:r>
      <w:r>
        <w:rPr>
          <w:sz w:val="20"/>
        </w:rPr>
        <w:t>year.</w:t>
      </w:r>
      <w:r>
        <w:rPr>
          <w:spacing w:val="-7"/>
          <w:sz w:val="20"/>
        </w:rPr>
        <w:t xml:space="preserve"> </w:t>
      </w:r>
      <w:r>
        <w:rPr>
          <w:sz w:val="20"/>
        </w:rPr>
        <w:t>A</w:t>
      </w:r>
      <w:r>
        <w:rPr>
          <w:spacing w:val="-7"/>
          <w:sz w:val="20"/>
        </w:rPr>
        <w:t xml:space="preserve"> </w:t>
      </w:r>
      <w:r>
        <w:rPr>
          <w:sz w:val="20"/>
        </w:rPr>
        <w:t xml:space="preserve">step </w:t>
      </w:r>
      <w:r>
        <w:rPr>
          <w:w w:val="95"/>
          <w:sz w:val="20"/>
        </w:rPr>
        <w:t>change</w:t>
      </w:r>
      <w:r>
        <w:rPr>
          <w:spacing w:val="-5"/>
          <w:w w:val="95"/>
          <w:sz w:val="20"/>
        </w:rPr>
        <w:t xml:space="preserve"> </w:t>
      </w:r>
      <w:r>
        <w:rPr>
          <w:w w:val="95"/>
          <w:sz w:val="20"/>
        </w:rPr>
        <w:t>is</w:t>
      </w:r>
      <w:r>
        <w:rPr>
          <w:spacing w:val="-5"/>
          <w:w w:val="95"/>
          <w:sz w:val="20"/>
        </w:rPr>
        <w:t xml:space="preserve"> </w:t>
      </w:r>
      <w:r>
        <w:rPr>
          <w:w w:val="95"/>
          <w:sz w:val="20"/>
        </w:rPr>
        <w:t>needed</w:t>
      </w:r>
      <w:r>
        <w:rPr>
          <w:spacing w:val="-5"/>
          <w:w w:val="95"/>
          <w:sz w:val="20"/>
        </w:rPr>
        <w:t xml:space="preserve"> </w:t>
      </w:r>
      <w:r>
        <w:rPr>
          <w:w w:val="95"/>
          <w:sz w:val="20"/>
        </w:rPr>
        <w:t>in</w:t>
      </w:r>
      <w:r>
        <w:rPr>
          <w:spacing w:val="-5"/>
          <w:w w:val="95"/>
          <w:sz w:val="20"/>
        </w:rPr>
        <w:t xml:space="preserve"> </w:t>
      </w:r>
      <w:r>
        <w:rPr>
          <w:w w:val="95"/>
          <w:sz w:val="20"/>
        </w:rPr>
        <w:t>the</w:t>
      </w:r>
      <w:r>
        <w:rPr>
          <w:spacing w:val="-5"/>
          <w:w w:val="95"/>
          <w:sz w:val="20"/>
        </w:rPr>
        <w:t xml:space="preserve"> </w:t>
      </w:r>
      <w:r>
        <w:rPr>
          <w:w w:val="95"/>
          <w:sz w:val="20"/>
        </w:rPr>
        <w:t>number</w:t>
      </w:r>
      <w:r>
        <w:rPr>
          <w:spacing w:val="-5"/>
          <w:w w:val="95"/>
          <w:sz w:val="20"/>
        </w:rPr>
        <w:t xml:space="preserve"> </w:t>
      </w:r>
      <w:r>
        <w:rPr>
          <w:w w:val="95"/>
          <w:sz w:val="20"/>
        </w:rPr>
        <w:t>of</w:t>
      </w:r>
      <w:r>
        <w:rPr>
          <w:spacing w:val="-5"/>
          <w:w w:val="95"/>
          <w:sz w:val="20"/>
        </w:rPr>
        <w:t xml:space="preserve"> </w:t>
      </w:r>
      <w:r>
        <w:rPr>
          <w:w w:val="95"/>
          <w:sz w:val="20"/>
        </w:rPr>
        <w:t>houses</w:t>
      </w:r>
      <w:r>
        <w:rPr>
          <w:spacing w:val="-5"/>
          <w:w w:val="95"/>
          <w:sz w:val="20"/>
        </w:rPr>
        <w:t xml:space="preserve"> </w:t>
      </w:r>
      <w:r>
        <w:rPr>
          <w:w w:val="95"/>
          <w:sz w:val="20"/>
        </w:rPr>
        <w:t>built</w:t>
      </w:r>
      <w:r>
        <w:rPr>
          <w:spacing w:val="-5"/>
          <w:w w:val="95"/>
          <w:sz w:val="20"/>
        </w:rPr>
        <w:t xml:space="preserve"> </w:t>
      </w:r>
      <w:r>
        <w:rPr>
          <w:w w:val="95"/>
          <w:sz w:val="20"/>
        </w:rPr>
        <w:t xml:space="preserve">each </w:t>
      </w:r>
      <w:r>
        <w:rPr>
          <w:spacing w:val="-2"/>
          <w:sz w:val="20"/>
        </w:rPr>
        <w:t>year</w:t>
      </w:r>
      <w:r>
        <w:rPr>
          <w:spacing w:val="-7"/>
          <w:sz w:val="20"/>
        </w:rPr>
        <w:t xml:space="preserve"> </w:t>
      </w:r>
      <w:r>
        <w:rPr>
          <w:spacing w:val="-2"/>
          <w:sz w:val="20"/>
        </w:rPr>
        <w:t>to</w:t>
      </w:r>
      <w:r>
        <w:rPr>
          <w:spacing w:val="-7"/>
          <w:sz w:val="20"/>
        </w:rPr>
        <w:t xml:space="preserve"> </w:t>
      </w:r>
      <w:r>
        <w:rPr>
          <w:spacing w:val="-2"/>
          <w:sz w:val="20"/>
        </w:rPr>
        <w:t>meet</w:t>
      </w:r>
      <w:r>
        <w:rPr>
          <w:spacing w:val="-7"/>
          <w:sz w:val="20"/>
        </w:rPr>
        <w:t xml:space="preserve"> </w:t>
      </w:r>
      <w:r>
        <w:rPr>
          <w:spacing w:val="-2"/>
          <w:sz w:val="20"/>
        </w:rPr>
        <w:t>demand,</w:t>
      </w:r>
      <w:r>
        <w:rPr>
          <w:spacing w:val="-7"/>
          <w:sz w:val="20"/>
        </w:rPr>
        <w:t xml:space="preserve"> </w:t>
      </w:r>
      <w:r>
        <w:rPr>
          <w:spacing w:val="-2"/>
          <w:sz w:val="20"/>
        </w:rPr>
        <w:t>and</w:t>
      </w:r>
      <w:r>
        <w:rPr>
          <w:spacing w:val="-7"/>
          <w:sz w:val="20"/>
        </w:rPr>
        <w:t xml:space="preserve"> </w:t>
      </w:r>
      <w:r>
        <w:rPr>
          <w:spacing w:val="-2"/>
          <w:sz w:val="20"/>
        </w:rPr>
        <w:t>supporting</w:t>
      </w:r>
      <w:r>
        <w:rPr>
          <w:spacing w:val="-7"/>
          <w:sz w:val="20"/>
        </w:rPr>
        <w:t xml:space="preserve"> </w:t>
      </w:r>
      <w:r>
        <w:rPr>
          <w:spacing w:val="-2"/>
          <w:sz w:val="20"/>
        </w:rPr>
        <w:t>infrastructure investment</w:t>
      </w:r>
      <w:r>
        <w:rPr>
          <w:spacing w:val="-10"/>
          <w:sz w:val="20"/>
        </w:rPr>
        <w:t xml:space="preserve"> </w:t>
      </w:r>
      <w:r>
        <w:rPr>
          <w:spacing w:val="-2"/>
          <w:sz w:val="20"/>
        </w:rPr>
        <w:t>(i.e.</w:t>
      </w:r>
      <w:r>
        <w:rPr>
          <w:spacing w:val="-10"/>
          <w:sz w:val="20"/>
        </w:rPr>
        <w:t xml:space="preserve"> </w:t>
      </w:r>
      <w:r>
        <w:rPr>
          <w:spacing w:val="-2"/>
          <w:sz w:val="20"/>
        </w:rPr>
        <w:t>utilities</w:t>
      </w:r>
      <w:r>
        <w:rPr>
          <w:spacing w:val="-10"/>
          <w:sz w:val="20"/>
        </w:rPr>
        <w:t xml:space="preserve"> </w:t>
      </w:r>
      <w:r>
        <w:rPr>
          <w:spacing w:val="-2"/>
          <w:sz w:val="20"/>
        </w:rPr>
        <w:t>and</w:t>
      </w:r>
      <w:r>
        <w:rPr>
          <w:spacing w:val="-10"/>
          <w:sz w:val="20"/>
        </w:rPr>
        <w:t xml:space="preserve"> </w:t>
      </w:r>
      <w:r>
        <w:rPr>
          <w:spacing w:val="-2"/>
          <w:sz w:val="20"/>
        </w:rPr>
        <w:t>roads)</w:t>
      </w:r>
      <w:r>
        <w:rPr>
          <w:spacing w:val="-10"/>
          <w:sz w:val="20"/>
        </w:rPr>
        <w:t xml:space="preserve"> </w:t>
      </w:r>
      <w:r>
        <w:rPr>
          <w:spacing w:val="-2"/>
          <w:sz w:val="20"/>
        </w:rPr>
        <w:t>is</w:t>
      </w:r>
      <w:r>
        <w:rPr>
          <w:spacing w:val="-10"/>
          <w:sz w:val="20"/>
        </w:rPr>
        <w:t xml:space="preserve"> </w:t>
      </w:r>
      <w:r>
        <w:rPr>
          <w:spacing w:val="-2"/>
          <w:sz w:val="20"/>
        </w:rPr>
        <w:t>essential</w:t>
      </w:r>
      <w:r>
        <w:rPr>
          <w:spacing w:val="-10"/>
          <w:sz w:val="20"/>
        </w:rPr>
        <w:t xml:space="preserve"> </w:t>
      </w:r>
      <w:r>
        <w:rPr>
          <w:spacing w:val="-2"/>
          <w:sz w:val="20"/>
        </w:rPr>
        <w:t xml:space="preserve">to </w:t>
      </w:r>
      <w:r>
        <w:rPr>
          <w:sz w:val="20"/>
        </w:rPr>
        <w:t>enable</w:t>
      </w:r>
      <w:r>
        <w:rPr>
          <w:spacing w:val="-9"/>
          <w:sz w:val="20"/>
        </w:rPr>
        <w:t xml:space="preserve"> </w:t>
      </w:r>
      <w:r>
        <w:rPr>
          <w:sz w:val="20"/>
        </w:rPr>
        <w:t>this.</w:t>
      </w:r>
      <w:r>
        <w:rPr>
          <w:spacing w:val="-9"/>
          <w:sz w:val="20"/>
        </w:rPr>
        <w:t xml:space="preserve"> </w:t>
      </w:r>
      <w:r>
        <w:rPr>
          <w:sz w:val="20"/>
        </w:rPr>
        <w:t>The</w:t>
      </w:r>
      <w:r>
        <w:rPr>
          <w:spacing w:val="-9"/>
          <w:sz w:val="20"/>
        </w:rPr>
        <w:t xml:space="preserve"> </w:t>
      </w:r>
      <w:r>
        <w:rPr>
          <w:sz w:val="20"/>
        </w:rPr>
        <w:t>policies</w:t>
      </w:r>
      <w:r>
        <w:rPr>
          <w:spacing w:val="-9"/>
          <w:sz w:val="20"/>
        </w:rPr>
        <w:t xml:space="preserve"> </w:t>
      </w:r>
      <w:r>
        <w:rPr>
          <w:sz w:val="20"/>
        </w:rPr>
        <w:t>and</w:t>
      </w:r>
      <w:r>
        <w:rPr>
          <w:spacing w:val="-9"/>
          <w:sz w:val="20"/>
        </w:rPr>
        <w:t xml:space="preserve"> </w:t>
      </w:r>
      <w:r>
        <w:rPr>
          <w:sz w:val="20"/>
        </w:rPr>
        <w:t>actions</w:t>
      </w:r>
      <w:r>
        <w:rPr>
          <w:spacing w:val="-9"/>
          <w:sz w:val="20"/>
        </w:rPr>
        <w:t xml:space="preserve"> </w:t>
      </w:r>
      <w:r>
        <w:rPr>
          <w:sz w:val="20"/>
        </w:rPr>
        <w:t>proposed</w:t>
      </w:r>
      <w:r>
        <w:rPr>
          <w:spacing w:val="-9"/>
          <w:sz w:val="20"/>
        </w:rPr>
        <w:t xml:space="preserve"> </w:t>
      </w:r>
      <w:r>
        <w:rPr>
          <w:sz w:val="20"/>
        </w:rPr>
        <w:t>by the</w:t>
      </w:r>
      <w:r>
        <w:rPr>
          <w:spacing w:val="-14"/>
          <w:sz w:val="20"/>
        </w:rPr>
        <w:t xml:space="preserve"> </w:t>
      </w:r>
      <w:r>
        <w:rPr>
          <w:sz w:val="20"/>
        </w:rPr>
        <w:t>Department</w:t>
      </w:r>
      <w:r>
        <w:rPr>
          <w:spacing w:val="-14"/>
          <w:sz w:val="20"/>
        </w:rPr>
        <w:t xml:space="preserve"> </w:t>
      </w:r>
      <w:r>
        <w:rPr>
          <w:sz w:val="20"/>
        </w:rPr>
        <w:t>of</w:t>
      </w:r>
      <w:r>
        <w:rPr>
          <w:spacing w:val="-14"/>
          <w:sz w:val="20"/>
        </w:rPr>
        <w:t xml:space="preserve"> </w:t>
      </w:r>
      <w:r>
        <w:rPr>
          <w:sz w:val="20"/>
        </w:rPr>
        <w:t>Planning</w:t>
      </w:r>
      <w:r>
        <w:rPr>
          <w:spacing w:val="-14"/>
          <w:sz w:val="20"/>
        </w:rPr>
        <w:t xml:space="preserve"> </w:t>
      </w:r>
      <w:r>
        <w:rPr>
          <w:sz w:val="20"/>
        </w:rPr>
        <w:t>and</w:t>
      </w:r>
      <w:r>
        <w:rPr>
          <w:spacing w:val="-14"/>
          <w:sz w:val="20"/>
        </w:rPr>
        <w:t xml:space="preserve"> </w:t>
      </w:r>
      <w:r>
        <w:rPr>
          <w:sz w:val="20"/>
        </w:rPr>
        <w:t>Infrastructure</w:t>
      </w:r>
      <w:r>
        <w:rPr>
          <w:position w:val="7"/>
          <w:sz w:val="11"/>
        </w:rPr>
        <w:t>24</w:t>
      </w:r>
      <w:r>
        <w:rPr>
          <w:spacing w:val="-3"/>
          <w:position w:val="7"/>
          <w:sz w:val="11"/>
        </w:rPr>
        <w:t xml:space="preserve"> </w:t>
      </w:r>
      <w:r>
        <w:rPr>
          <w:sz w:val="20"/>
        </w:rPr>
        <w:t>are</w:t>
      </w:r>
    </w:p>
    <w:p w:rsidR="002C1123" w:rsidRDefault="002060EF">
      <w:pPr>
        <w:pStyle w:val="BodyText"/>
        <w:spacing w:before="5"/>
        <w:rPr>
          <w:sz w:val="15"/>
        </w:rPr>
      </w:pPr>
      <w:r>
        <w:pict>
          <v:shape id="docshape584" o:spid="_x0000_s4733" style="position:absolute;margin-left:300.95pt;margin-top:10.1pt;width:1in;height:.1pt;z-index:-251409408;mso-wrap-distance-left:0;mso-wrap-distance-right:0;mso-position-horizontal-relative:page" coordorigin="6019,202" coordsize="1440,0" path="m6019,202r1440,e" filled="f" strokecolor="#9c9c9d" strokeweight=".5pt">
            <v:path arrowok="t"/>
            <w10:wrap type="topAndBottom" anchorx="page"/>
          </v:shape>
        </w:pict>
      </w:r>
    </w:p>
    <w:p w:rsidR="002C1123" w:rsidRDefault="00F22F94">
      <w:pPr>
        <w:pStyle w:val="ListParagraph"/>
        <w:numPr>
          <w:ilvl w:val="0"/>
          <w:numId w:val="159"/>
        </w:numPr>
        <w:tabs>
          <w:tab w:val="left" w:pos="489"/>
        </w:tabs>
        <w:spacing w:before="23"/>
        <w:ind w:left="488" w:right="88" w:hanging="199"/>
        <w:jc w:val="left"/>
        <w:rPr>
          <w:sz w:val="14"/>
        </w:rPr>
      </w:pPr>
      <w:r>
        <w:rPr>
          <w:w w:val="95"/>
          <w:sz w:val="14"/>
        </w:rPr>
        <w:t>Ernst &amp; Young 2011, Port Botany – Sydney Airport Precinct Scoping Study,</w:t>
      </w:r>
      <w:r>
        <w:rPr>
          <w:spacing w:val="40"/>
          <w:sz w:val="14"/>
        </w:rPr>
        <w:t xml:space="preserve"> </w:t>
      </w:r>
      <w:r>
        <w:rPr>
          <w:sz w:val="14"/>
        </w:rPr>
        <w:t>report to Infrastructure NSW.</w:t>
      </w:r>
    </w:p>
    <w:p w:rsidR="002C1123" w:rsidRDefault="00F22F94">
      <w:pPr>
        <w:pStyle w:val="ListParagraph"/>
        <w:numPr>
          <w:ilvl w:val="0"/>
          <w:numId w:val="159"/>
        </w:numPr>
        <w:tabs>
          <w:tab w:val="left" w:pos="489"/>
        </w:tabs>
        <w:ind w:left="488" w:hanging="199"/>
        <w:jc w:val="left"/>
        <w:rPr>
          <w:sz w:val="14"/>
        </w:rPr>
      </w:pPr>
      <w:r>
        <w:rPr>
          <w:w w:val="95"/>
          <w:sz w:val="14"/>
        </w:rPr>
        <w:t>Department of Planning and Infrastructure 2012, A New Planning System for</w:t>
      </w:r>
      <w:r>
        <w:rPr>
          <w:spacing w:val="40"/>
          <w:sz w:val="14"/>
        </w:rPr>
        <w:t xml:space="preserve"> </w:t>
      </w:r>
      <w:r>
        <w:rPr>
          <w:sz w:val="14"/>
        </w:rPr>
        <w:t>NSW – Green Paper.</w:t>
      </w:r>
    </w:p>
    <w:p w:rsidR="002C1123" w:rsidRDefault="00F22F94">
      <w:pPr>
        <w:pStyle w:val="BodyText"/>
        <w:spacing w:before="106" w:line="249" w:lineRule="auto"/>
        <w:ind w:left="493" w:right="671"/>
      </w:pPr>
      <w:r>
        <w:br w:type="column"/>
      </w:r>
      <w:r>
        <w:t>important</w:t>
      </w:r>
      <w:r>
        <w:rPr>
          <w:spacing w:val="-10"/>
        </w:rPr>
        <w:t xml:space="preserve"> </w:t>
      </w:r>
      <w:r>
        <w:t>to</w:t>
      </w:r>
      <w:r>
        <w:rPr>
          <w:spacing w:val="-10"/>
        </w:rPr>
        <w:t xml:space="preserve"> </w:t>
      </w:r>
      <w:r>
        <w:t>support</w:t>
      </w:r>
      <w:r>
        <w:rPr>
          <w:spacing w:val="-10"/>
        </w:rPr>
        <w:t xml:space="preserve"> </w:t>
      </w:r>
      <w:r>
        <w:t>this</w:t>
      </w:r>
      <w:r>
        <w:rPr>
          <w:spacing w:val="-10"/>
        </w:rPr>
        <w:t xml:space="preserve"> </w:t>
      </w:r>
      <w:r>
        <w:t>step</w:t>
      </w:r>
      <w:r>
        <w:rPr>
          <w:spacing w:val="-10"/>
        </w:rPr>
        <w:t xml:space="preserve"> </w:t>
      </w:r>
      <w:r>
        <w:t>change</w:t>
      </w:r>
      <w:r>
        <w:rPr>
          <w:spacing w:val="-10"/>
        </w:rPr>
        <w:t xml:space="preserve"> </w:t>
      </w:r>
      <w:r>
        <w:t>and</w:t>
      </w:r>
      <w:r>
        <w:rPr>
          <w:spacing w:val="-10"/>
        </w:rPr>
        <w:t xml:space="preserve"> </w:t>
      </w:r>
      <w:r>
        <w:t>expected to</w:t>
      </w:r>
      <w:r>
        <w:rPr>
          <w:spacing w:val="-13"/>
        </w:rPr>
        <w:t xml:space="preserve"> </w:t>
      </w:r>
      <w:r>
        <w:t>successfully</w:t>
      </w:r>
      <w:r>
        <w:rPr>
          <w:spacing w:val="-13"/>
        </w:rPr>
        <w:t xml:space="preserve"> </w:t>
      </w:r>
      <w:r>
        <w:t>re-shape</w:t>
      </w:r>
      <w:r>
        <w:rPr>
          <w:spacing w:val="-13"/>
        </w:rPr>
        <w:t xml:space="preserve"> </w:t>
      </w:r>
      <w:r>
        <w:t>Sydney</w:t>
      </w:r>
      <w:r>
        <w:rPr>
          <w:spacing w:val="-13"/>
        </w:rPr>
        <w:t xml:space="preserve"> </w:t>
      </w:r>
      <w:r>
        <w:t>with</w:t>
      </w:r>
      <w:r>
        <w:rPr>
          <w:spacing w:val="-13"/>
        </w:rPr>
        <w:t xml:space="preserve"> </w:t>
      </w:r>
      <w:r>
        <w:t>more</w:t>
      </w:r>
      <w:r>
        <w:rPr>
          <w:spacing w:val="-13"/>
        </w:rPr>
        <w:t xml:space="preserve"> </w:t>
      </w:r>
      <w:r>
        <w:t xml:space="preserve">intense </w:t>
      </w:r>
      <w:r>
        <w:rPr>
          <w:w w:val="95"/>
        </w:rPr>
        <w:t>residential</w:t>
      </w:r>
      <w:r>
        <w:rPr>
          <w:spacing w:val="-4"/>
          <w:w w:val="95"/>
        </w:rPr>
        <w:t xml:space="preserve"> </w:t>
      </w:r>
      <w:r>
        <w:rPr>
          <w:w w:val="95"/>
        </w:rPr>
        <w:t>areas</w:t>
      </w:r>
      <w:r>
        <w:rPr>
          <w:spacing w:val="-4"/>
          <w:w w:val="95"/>
        </w:rPr>
        <w:t xml:space="preserve"> </w:t>
      </w:r>
      <w:r>
        <w:rPr>
          <w:w w:val="95"/>
        </w:rPr>
        <w:t>closer</w:t>
      </w:r>
      <w:r>
        <w:rPr>
          <w:spacing w:val="-4"/>
          <w:w w:val="95"/>
        </w:rPr>
        <w:t xml:space="preserve"> </w:t>
      </w:r>
      <w:r>
        <w:rPr>
          <w:w w:val="95"/>
        </w:rPr>
        <w:t>to</w:t>
      </w:r>
      <w:r>
        <w:rPr>
          <w:spacing w:val="-4"/>
          <w:w w:val="95"/>
        </w:rPr>
        <w:t xml:space="preserve"> </w:t>
      </w:r>
      <w:r>
        <w:rPr>
          <w:w w:val="95"/>
        </w:rPr>
        <w:t>jobs</w:t>
      </w:r>
      <w:r>
        <w:rPr>
          <w:spacing w:val="-4"/>
          <w:w w:val="95"/>
        </w:rPr>
        <w:t xml:space="preserve"> </w:t>
      </w:r>
      <w:r>
        <w:rPr>
          <w:w w:val="95"/>
        </w:rPr>
        <w:t>and</w:t>
      </w:r>
      <w:r>
        <w:rPr>
          <w:spacing w:val="-4"/>
          <w:w w:val="95"/>
        </w:rPr>
        <w:t xml:space="preserve"> </w:t>
      </w:r>
      <w:r>
        <w:rPr>
          <w:w w:val="95"/>
        </w:rPr>
        <w:t>more</w:t>
      </w:r>
      <w:r>
        <w:rPr>
          <w:spacing w:val="-4"/>
          <w:w w:val="95"/>
        </w:rPr>
        <w:t xml:space="preserve"> </w:t>
      </w:r>
      <w:r>
        <w:rPr>
          <w:w w:val="95"/>
        </w:rPr>
        <w:t xml:space="preserve">employment </w:t>
      </w:r>
      <w:r>
        <w:t>land</w:t>
      </w:r>
      <w:r>
        <w:rPr>
          <w:spacing w:val="-13"/>
        </w:rPr>
        <w:t xml:space="preserve"> </w:t>
      </w:r>
      <w:r>
        <w:t>release</w:t>
      </w:r>
      <w:r>
        <w:rPr>
          <w:spacing w:val="-13"/>
        </w:rPr>
        <w:t xml:space="preserve"> </w:t>
      </w:r>
      <w:r>
        <w:t>in</w:t>
      </w:r>
      <w:r>
        <w:rPr>
          <w:spacing w:val="-13"/>
        </w:rPr>
        <w:t xml:space="preserve"> </w:t>
      </w:r>
      <w:r>
        <w:t>Greater</w:t>
      </w:r>
      <w:r>
        <w:rPr>
          <w:spacing w:val="-13"/>
        </w:rPr>
        <w:t xml:space="preserve"> </w:t>
      </w:r>
      <w:r>
        <w:t>Sydney.</w:t>
      </w:r>
    </w:p>
    <w:p w:rsidR="002C1123" w:rsidRDefault="00F22F94">
      <w:pPr>
        <w:pStyle w:val="ListParagraph"/>
        <w:numPr>
          <w:ilvl w:val="0"/>
          <w:numId w:val="126"/>
        </w:numPr>
        <w:tabs>
          <w:tab w:val="left" w:pos="494"/>
        </w:tabs>
        <w:spacing w:before="132" w:line="249" w:lineRule="auto"/>
        <w:ind w:right="726"/>
        <w:rPr>
          <w:sz w:val="20"/>
        </w:rPr>
      </w:pPr>
      <w:r>
        <w:rPr>
          <w:w w:val="95"/>
          <w:sz w:val="20"/>
        </w:rPr>
        <w:t>High electricity network investment has increased costs</w:t>
      </w:r>
      <w:r>
        <w:rPr>
          <w:spacing w:val="-10"/>
          <w:w w:val="95"/>
          <w:sz w:val="20"/>
        </w:rPr>
        <w:t xml:space="preserve"> </w:t>
      </w:r>
      <w:r>
        <w:rPr>
          <w:w w:val="95"/>
          <w:sz w:val="20"/>
        </w:rPr>
        <w:t>to</w:t>
      </w:r>
      <w:r>
        <w:rPr>
          <w:spacing w:val="-10"/>
          <w:w w:val="95"/>
          <w:sz w:val="20"/>
        </w:rPr>
        <w:t xml:space="preserve"> </w:t>
      </w:r>
      <w:r>
        <w:rPr>
          <w:w w:val="95"/>
          <w:sz w:val="20"/>
        </w:rPr>
        <w:t>households</w:t>
      </w:r>
      <w:r>
        <w:rPr>
          <w:spacing w:val="-10"/>
          <w:w w:val="95"/>
          <w:sz w:val="20"/>
        </w:rPr>
        <w:t xml:space="preserve"> </w:t>
      </w:r>
      <w:r>
        <w:rPr>
          <w:w w:val="95"/>
          <w:sz w:val="20"/>
        </w:rPr>
        <w:t>and</w:t>
      </w:r>
      <w:r>
        <w:rPr>
          <w:spacing w:val="-10"/>
          <w:w w:val="95"/>
          <w:sz w:val="20"/>
        </w:rPr>
        <w:t xml:space="preserve"> </w:t>
      </w:r>
      <w:r>
        <w:rPr>
          <w:w w:val="95"/>
          <w:sz w:val="20"/>
        </w:rPr>
        <w:t>reduced</w:t>
      </w:r>
      <w:r>
        <w:rPr>
          <w:spacing w:val="-10"/>
          <w:w w:val="95"/>
          <w:sz w:val="20"/>
        </w:rPr>
        <w:t xml:space="preserve"> </w:t>
      </w:r>
      <w:r>
        <w:rPr>
          <w:w w:val="95"/>
          <w:sz w:val="20"/>
        </w:rPr>
        <w:t>the</w:t>
      </w:r>
      <w:r>
        <w:rPr>
          <w:spacing w:val="-10"/>
          <w:w w:val="95"/>
          <w:sz w:val="20"/>
        </w:rPr>
        <w:t xml:space="preserve"> </w:t>
      </w:r>
      <w:r>
        <w:rPr>
          <w:w w:val="95"/>
          <w:sz w:val="20"/>
        </w:rPr>
        <w:t>competitiveness of NSW businesses. With subdued demand forecast over</w:t>
      </w:r>
      <w:r>
        <w:rPr>
          <w:spacing w:val="-10"/>
          <w:w w:val="95"/>
          <w:sz w:val="20"/>
        </w:rPr>
        <w:t xml:space="preserve"> </w:t>
      </w:r>
      <w:r>
        <w:rPr>
          <w:w w:val="95"/>
          <w:sz w:val="20"/>
        </w:rPr>
        <w:t>the</w:t>
      </w:r>
      <w:r>
        <w:rPr>
          <w:spacing w:val="-10"/>
          <w:w w:val="95"/>
          <w:sz w:val="20"/>
        </w:rPr>
        <w:t xml:space="preserve"> </w:t>
      </w:r>
      <w:r>
        <w:rPr>
          <w:w w:val="95"/>
          <w:sz w:val="20"/>
        </w:rPr>
        <w:t>next</w:t>
      </w:r>
      <w:r>
        <w:rPr>
          <w:spacing w:val="-10"/>
          <w:w w:val="95"/>
          <w:sz w:val="20"/>
        </w:rPr>
        <w:t xml:space="preserve"> </w:t>
      </w:r>
      <w:r>
        <w:rPr>
          <w:w w:val="95"/>
          <w:sz w:val="20"/>
        </w:rPr>
        <w:t>two</w:t>
      </w:r>
      <w:r>
        <w:rPr>
          <w:spacing w:val="-10"/>
          <w:w w:val="95"/>
          <w:sz w:val="20"/>
        </w:rPr>
        <w:t xml:space="preserve"> </w:t>
      </w:r>
      <w:r>
        <w:rPr>
          <w:w w:val="95"/>
          <w:sz w:val="20"/>
        </w:rPr>
        <w:t>decades,</w:t>
      </w:r>
      <w:r>
        <w:rPr>
          <w:spacing w:val="-10"/>
          <w:w w:val="95"/>
          <w:sz w:val="20"/>
        </w:rPr>
        <w:t xml:space="preserve"> </w:t>
      </w:r>
      <w:r>
        <w:rPr>
          <w:w w:val="95"/>
          <w:sz w:val="20"/>
        </w:rPr>
        <w:t>capital</w:t>
      </w:r>
      <w:r>
        <w:rPr>
          <w:spacing w:val="-10"/>
          <w:w w:val="95"/>
          <w:sz w:val="20"/>
        </w:rPr>
        <w:t xml:space="preserve"> </w:t>
      </w:r>
      <w:r>
        <w:rPr>
          <w:w w:val="95"/>
          <w:sz w:val="20"/>
        </w:rPr>
        <w:t>expenditure</w:t>
      </w:r>
      <w:r>
        <w:rPr>
          <w:spacing w:val="-10"/>
          <w:w w:val="95"/>
          <w:sz w:val="20"/>
        </w:rPr>
        <w:t xml:space="preserve"> </w:t>
      </w:r>
      <w:r>
        <w:rPr>
          <w:w w:val="95"/>
          <w:sz w:val="20"/>
        </w:rPr>
        <w:t>should reduce from historically very high levels.</w:t>
      </w:r>
    </w:p>
    <w:p w:rsidR="002C1123" w:rsidRDefault="00F22F94">
      <w:pPr>
        <w:pStyle w:val="ListParagraph"/>
        <w:numPr>
          <w:ilvl w:val="0"/>
          <w:numId w:val="126"/>
        </w:numPr>
        <w:tabs>
          <w:tab w:val="left" w:pos="494"/>
        </w:tabs>
        <w:spacing w:before="133"/>
        <w:ind w:hanging="285"/>
        <w:rPr>
          <w:sz w:val="20"/>
        </w:rPr>
      </w:pPr>
      <w:r>
        <w:rPr>
          <w:w w:val="95"/>
          <w:sz w:val="20"/>
        </w:rPr>
        <w:t>While</w:t>
      </w:r>
      <w:r>
        <w:rPr>
          <w:spacing w:val="-9"/>
          <w:w w:val="95"/>
          <w:sz w:val="20"/>
        </w:rPr>
        <w:t xml:space="preserve"> </w:t>
      </w:r>
      <w:r>
        <w:rPr>
          <w:w w:val="95"/>
          <w:sz w:val="20"/>
        </w:rPr>
        <w:t>investment</w:t>
      </w:r>
      <w:r>
        <w:rPr>
          <w:spacing w:val="-8"/>
          <w:w w:val="95"/>
          <w:sz w:val="20"/>
        </w:rPr>
        <w:t xml:space="preserve"> </w:t>
      </w:r>
      <w:r>
        <w:rPr>
          <w:w w:val="95"/>
          <w:sz w:val="20"/>
        </w:rPr>
        <w:t>in</w:t>
      </w:r>
      <w:r>
        <w:rPr>
          <w:spacing w:val="-8"/>
          <w:w w:val="95"/>
          <w:sz w:val="20"/>
        </w:rPr>
        <w:t xml:space="preserve"> </w:t>
      </w:r>
      <w:r>
        <w:rPr>
          <w:w w:val="95"/>
          <w:sz w:val="20"/>
        </w:rPr>
        <w:t>metropolitan</w:t>
      </w:r>
      <w:r>
        <w:rPr>
          <w:spacing w:val="-8"/>
          <w:w w:val="95"/>
          <w:sz w:val="20"/>
        </w:rPr>
        <w:t xml:space="preserve"> </w:t>
      </w:r>
      <w:r>
        <w:rPr>
          <w:w w:val="95"/>
          <w:sz w:val="20"/>
        </w:rPr>
        <w:t>water</w:t>
      </w:r>
      <w:r>
        <w:rPr>
          <w:spacing w:val="-9"/>
          <w:w w:val="95"/>
          <w:sz w:val="20"/>
        </w:rPr>
        <w:t xml:space="preserve"> </w:t>
      </w:r>
      <w:r>
        <w:rPr>
          <w:spacing w:val="-5"/>
          <w:w w:val="95"/>
          <w:sz w:val="20"/>
        </w:rPr>
        <w:t>has</w:t>
      </w:r>
    </w:p>
    <w:p w:rsidR="002C1123" w:rsidRDefault="00F22F94">
      <w:pPr>
        <w:pStyle w:val="BodyText"/>
        <w:spacing w:before="10" w:line="249" w:lineRule="auto"/>
        <w:ind w:left="493" w:right="671"/>
      </w:pPr>
      <w:r>
        <w:rPr>
          <w:w w:val="95"/>
        </w:rPr>
        <w:t>been</w:t>
      </w:r>
      <w:r>
        <w:rPr>
          <w:spacing w:val="-7"/>
          <w:w w:val="95"/>
        </w:rPr>
        <w:t xml:space="preserve"> </w:t>
      </w:r>
      <w:r>
        <w:rPr>
          <w:w w:val="95"/>
        </w:rPr>
        <w:t>high,</w:t>
      </w:r>
      <w:r>
        <w:rPr>
          <w:spacing w:val="-7"/>
          <w:w w:val="95"/>
        </w:rPr>
        <w:t xml:space="preserve"> </w:t>
      </w:r>
      <w:r>
        <w:rPr>
          <w:w w:val="95"/>
        </w:rPr>
        <w:t>investment</w:t>
      </w:r>
      <w:r>
        <w:rPr>
          <w:spacing w:val="-7"/>
          <w:w w:val="95"/>
        </w:rPr>
        <w:t xml:space="preserve"> </w:t>
      </w:r>
      <w:r>
        <w:rPr>
          <w:w w:val="95"/>
        </w:rPr>
        <w:t>is</w:t>
      </w:r>
      <w:r>
        <w:rPr>
          <w:spacing w:val="-7"/>
          <w:w w:val="95"/>
        </w:rPr>
        <w:t xml:space="preserve"> </w:t>
      </w:r>
      <w:r>
        <w:rPr>
          <w:w w:val="95"/>
        </w:rPr>
        <w:t>needed</w:t>
      </w:r>
      <w:r>
        <w:rPr>
          <w:spacing w:val="-7"/>
          <w:w w:val="95"/>
        </w:rPr>
        <w:t xml:space="preserve"> </w:t>
      </w:r>
      <w:r>
        <w:rPr>
          <w:w w:val="95"/>
        </w:rPr>
        <w:t>in</w:t>
      </w:r>
      <w:r>
        <w:rPr>
          <w:spacing w:val="-7"/>
          <w:w w:val="95"/>
        </w:rPr>
        <w:t xml:space="preserve"> </w:t>
      </w:r>
      <w:r>
        <w:rPr>
          <w:w w:val="95"/>
        </w:rPr>
        <w:t>some</w:t>
      </w:r>
      <w:r>
        <w:rPr>
          <w:spacing w:val="-7"/>
          <w:w w:val="95"/>
        </w:rPr>
        <w:t xml:space="preserve"> </w:t>
      </w:r>
      <w:r>
        <w:rPr>
          <w:w w:val="95"/>
        </w:rPr>
        <w:t xml:space="preserve">regional </w:t>
      </w:r>
      <w:r>
        <w:t>water</w:t>
      </w:r>
      <w:r>
        <w:rPr>
          <w:spacing w:val="-11"/>
        </w:rPr>
        <w:t xml:space="preserve"> </w:t>
      </w:r>
      <w:r>
        <w:t>systems.</w:t>
      </w:r>
    </w:p>
    <w:p w:rsidR="002C1123" w:rsidRDefault="00F22F94">
      <w:pPr>
        <w:pStyle w:val="ListParagraph"/>
        <w:numPr>
          <w:ilvl w:val="0"/>
          <w:numId w:val="126"/>
        </w:numPr>
        <w:tabs>
          <w:tab w:val="left" w:pos="494"/>
        </w:tabs>
        <w:spacing w:before="131" w:line="249" w:lineRule="auto"/>
        <w:ind w:right="1225"/>
        <w:rPr>
          <w:sz w:val="20"/>
        </w:rPr>
      </w:pPr>
      <w:r>
        <w:rPr>
          <w:w w:val="95"/>
          <w:sz w:val="20"/>
        </w:rPr>
        <w:t>Under-investment</w:t>
      </w:r>
      <w:r>
        <w:rPr>
          <w:spacing w:val="-3"/>
          <w:w w:val="95"/>
          <w:sz w:val="20"/>
        </w:rPr>
        <w:t xml:space="preserve"> </w:t>
      </w:r>
      <w:r>
        <w:rPr>
          <w:w w:val="95"/>
          <w:sz w:val="20"/>
        </w:rPr>
        <w:t>in</w:t>
      </w:r>
      <w:r>
        <w:rPr>
          <w:spacing w:val="-3"/>
          <w:w w:val="95"/>
          <w:sz w:val="20"/>
        </w:rPr>
        <w:t xml:space="preserve"> </w:t>
      </w:r>
      <w:r>
        <w:rPr>
          <w:w w:val="95"/>
          <w:sz w:val="20"/>
        </w:rPr>
        <w:t>healthcare</w:t>
      </w:r>
      <w:r>
        <w:rPr>
          <w:spacing w:val="-3"/>
          <w:w w:val="95"/>
          <w:sz w:val="20"/>
        </w:rPr>
        <w:t xml:space="preserve"> </w:t>
      </w:r>
      <w:r>
        <w:rPr>
          <w:w w:val="95"/>
          <w:sz w:val="20"/>
        </w:rPr>
        <w:t>capital</w:t>
      </w:r>
      <w:r>
        <w:rPr>
          <w:spacing w:val="-3"/>
          <w:w w:val="95"/>
          <w:sz w:val="20"/>
        </w:rPr>
        <w:t xml:space="preserve"> </w:t>
      </w:r>
      <w:r>
        <w:rPr>
          <w:w w:val="95"/>
          <w:sz w:val="20"/>
        </w:rPr>
        <w:t>over</w:t>
      </w:r>
      <w:r>
        <w:rPr>
          <w:spacing w:val="-3"/>
          <w:w w:val="95"/>
          <w:sz w:val="20"/>
        </w:rPr>
        <w:t xml:space="preserve"> </w:t>
      </w:r>
      <w:r>
        <w:rPr>
          <w:w w:val="95"/>
          <w:sz w:val="20"/>
        </w:rPr>
        <w:t xml:space="preserve">the </w:t>
      </w:r>
      <w:r>
        <w:rPr>
          <w:sz w:val="20"/>
        </w:rPr>
        <w:t>past</w:t>
      </w:r>
      <w:r>
        <w:rPr>
          <w:spacing w:val="-5"/>
          <w:sz w:val="20"/>
        </w:rPr>
        <w:t xml:space="preserve"> </w:t>
      </w:r>
      <w:r>
        <w:rPr>
          <w:sz w:val="20"/>
        </w:rPr>
        <w:t>decade</w:t>
      </w:r>
      <w:r>
        <w:rPr>
          <w:spacing w:val="-5"/>
          <w:sz w:val="20"/>
        </w:rPr>
        <w:t xml:space="preserve"> </w:t>
      </w:r>
      <w:r>
        <w:rPr>
          <w:sz w:val="20"/>
        </w:rPr>
        <w:t>has</w:t>
      </w:r>
      <w:r>
        <w:rPr>
          <w:spacing w:val="-5"/>
          <w:sz w:val="20"/>
        </w:rPr>
        <w:t xml:space="preserve"> </w:t>
      </w:r>
      <w:r>
        <w:rPr>
          <w:sz w:val="20"/>
        </w:rPr>
        <w:t>increased</w:t>
      </w:r>
      <w:r>
        <w:rPr>
          <w:spacing w:val="-5"/>
          <w:sz w:val="20"/>
        </w:rPr>
        <w:t xml:space="preserve"> </w:t>
      </w:r>
      <w:r>
        <w:rPr>
          <w:sz w:val="20"/>
        </w:rPr>
        <w:t>waiting</w:t>
      </w:r>
      <w:r>
        <w:rPr>
          <w:spacing w:val="-5"/>
          <w:sz w:val="20"/>
        </w:rPr>
        <w:t xml:space="preserve"> </w:t>
      </w:r>
      <w:r>
        <w:rPr>
          <w:sz w:val="20"/>
        </w:rPr>
        <w:t>times</w:t>
      </w:r>
      <w:r>
        <w:rPr>
          <w:spacing w:val="-5"/>
          <w:sz w:val="20"/>
        </w:rPr>
        <w:t xml:space="preserve"> </w:t>
      </w:r>
      <w:r>
        <w:rPr>
          <w:sz w:val="20"/>
        </w:rPr>
        <w:t xml:space="preserve">and </w:t>
      </w:r>
      <w:r>
        <w:rPr>
          <w:w w:val="95"/>
          <w:sz w:val="20"/>
        </w:rPr>
        <w:t>the recurrent cost burden on the health budget.</w:t>
      </w:r>
    </w:p>
    <w:p w:rsidR="002C1123" w:rsidRDefault="00F22F94">
      <w:pPr>
        <w:pStyle w:val="BodyText"/>
        <w:spacing w:before="2" w:line="249" w:lineRule="auto"/>
        <w:ind w:left="493" w:right="671"/>
      </w:pPr>
      <w:r>
        <w:rPr>
          <w:w w:val="95"/>
        </w:rPr>
        <w:t>Investment</w:t>
      </w:r>
      <w:r>
        <w:rPr>
          <w:spacing w:val="-11"/>
          <w:w w:val="95"/>
        </w:rPr>
        <w:t xml:space="preserve"> </w:t>
      </w:r>
      <w:r>
        <w:rPr>
          <w:w w:val="95"/>
        </w:rPr>
        <w:t>in</w:t>
      </w:r>
      <w:r>
        <w:rPr>
          <w:spacing w:val="-11"/>
          <w:w w:val="95"/>
        </w:rPr>
        <w:t xml:space="preserve"> </w:t>
      </w:r>
      <w:r>
        <w:rPr>
          <w:w w:val="95"/>
        </w:rPr>
        <w:t>new</w:t>
      </w:r>
      <w:r>
        <w:rPr>
          <w:spacing w:val="-11"/>
          <w:w w:val="95"/>
        </w:rPr>
        <w:t xml:space="preserve"> </w:t>
      </w:r>
      <w:r>
        <w:rPr>
          <w:w w:val="95"/>
        </w:rPr>
        <w:t>facilities</w:t>
      </w:r>
      <w:r>
        <w:rPr>
          <w:spacing w:val="-11"/>
          <w:w w:val="95"/>
        </w:rPr>
        <w:t xml:space="preserve"> </w:t>
      </w:r>
      <w:r>
        <w:rPr>
          <w:w w:val="95"/>
        </w:rPr>
        <w:t>in</w:t>
      </w:r>
      <w:r>
        <w:rPr>
          <w:spacing w:val="-11"/>
          <w:w w:val="95"/>
        </w:rPr>
        <w:t xml:space="preserve"> </w:t>
      </w:r>
      <w:r>
        <w:rPr>
          <w:w w:val="95"/>
        </w:rPr>
        <w:t>growing</w:t>
      </w:r>
      <w:r>
        <w:rPr>
          <w:spacing w:val="-11"/>
          <w:w w:val="95"/>
        </w:rPr>
        <w:t xml:space="preserve"> </w:t>
      </w:r>
      <w:r>
        <w:rPr>
          <w:w w:val="95"/>
        </w:rPr>
        <w:t>areas</w:t>
      </w:r>
      <w:r>
        <w:rPr>
          <w:spacing w:val="-11"/>
          <w:w w:val="95"/>
        </w:rPr>
        <w:t xml:space="preserve"> </w:t>
      </w:r>
      <w:r>
        <w:rPr>
          <w:w w:val="95"/>
        </w:rPr>
        <w:t>of</w:t>
      </w:r>
      <w:r>
        <w:rPr>
          <w:spacing w:val="-11"/>
          <w:w w:val="95"/>
        </w:rPr>
        <w:t xml:space="preserve"> </w:t>
      </w:r>
      <w:r>
        <w:rPr>
          <w:w w:val="95"/>
        </w:rPr>
        <w:t xml:space="preserve">the </w:t>
      </w:r>
      <w:r>
        <w:t>state is needed.</w:t>
      </w:r>
    </w:p>
    <w:p w:rsidR="002C1123" w:rsidRDefault="00F22F94">
      <w:pPr>
        <w:pStyle w:val="ListParagraph"/>
        <w:numPr>
          <w:ilvl w:val="0"/>
          <w:numId w:val="126"/>
        </w:numPr>
        <w:tabs>
          <w:tab w:val="left" w:pos="494"/>
        </w:tabs>
        <w:spacing w:before="131" w:line="249" w:lineRule="auto"/>
        <w:ind w:right="835"/>
        <w:rPr>
          <w:sz w:val="20"/>
        </w:rPr>
      </w:pPr>
      <w:r>
        <w:rPr>
          <w:sz w:val="20"/>
        </w:rPr>
        <w:t>The</w:t>
      </w:r>
      <w:r>
        <w:rPr>
          <w:spacing w:val="-9"/>
          <w:sz w:val="20"/>
        </w:rPr>
        <w:t xml:space="preserve"> </w:t>
      </w:r>
      <w:r>
        <w:rPr>
          <w:sz w:val="20"/>
        </w:rPr>
        <w:t>quality</w:t>
      </w:r>
      <w:r>
        <w:rPr>
          <w:spacing w:val="-9"/>
          <w:sz w:val="20"/>
        </w:rPr>
        <w:t xml:space="preserve"> </w:t>
      </w:r>
      <w:r>
        <w:rPr>
          <w:sz w:val="20"/>
        </w:rPr>
        <w:t>of</w:t>
      </w:r>
      <w:r>
        <w:rPr>
          <w:spacing w:val="-9"/>
          <w:sz w:val="20"/>
        </w:rPr>
        <w:t xml:space="preserve"> </w:t>
      </w:r>
      <w:r>
        <w:rPr>
          <w:sz w:val="20"/>
        </w:rPr>
        <w:t>education,</w:t>
      </w:r>
      <w:r>
        <w:rPr>
          <w:spacing w:val="-9"/>
          <w:sz w:val="20"/>
        </w:rPr>
        <w:t xml:space="preserve"> </w:t>
      </w:r>
      <w:r>
        <w:rPr>
          <w:sz w:val="20"/>
        </w:rPr>
        <w:t>cultural</w:t>
      </w:r>
      <w:r>
        <w:rPr>
          <w:spacing w:val="-9"/>
          <w:sz w:val="20"/>
        </w:rPr>
        <w:t xml:space="preserve"> </w:t>
      </w:r>
      <w:r>
        <w:rPr>
          <w:sz w:val="20"/>
        </w:rPr>
        <w:t>and</w:t>
      </w:r>
      <w:r>
        <w:rPr>
          <w:spacing w:val="-9"/>
          <w:sz w:val="20"/>
        </w:rPr>
        <w:t xml:space="preserve"> </w:t>
      </w:r>
      <w:r>
        <w:rPr>
          <w:sz w:val="20"/>
        </w:rPr>
        <w:t>justice infrastructure</w:t>
      </w:r>
      <w:r>
        <w:rPr>
          <w:spacing w:val="-14"/>
          <w:sz w:val="20"/>
        </w:rPr>
        <w:t xml:space="preserve"> </w:t>
      </w:r>
      <w:r>
        <w:rPr>
          <w:sz w:val="20"/>
        </w:rPr>
        <w:t>affects</w:t>
      </w:r>
      <w:r>
        <w:rPr>
          <w:spacing w:val="-14"/>
          <w:sz w:val="20"/>
        </w:rPr>
        <w:t xml:space="preserve"> </w:t>
      </w:r>
      <w:r>
        <w:rPr>
          <w:sz w:val="20"/>
        </w:rPr>
        <w:t>quality</w:t>
      </w:r>
      <w:r>
        <w:rPr>
          <w:spacing w:val="-14"/>
          <w:sz w:val="20"/>
        </w:rPr>
        <w:t xml:space="preserve"> </w:t>
      </w:r>
      <w:r>
        <w:rPr>
          <w:sz w:val="20"/>
        </w:rPr>
        <w:t>of</w:t>
      </w:r>
      <w:r>
        <w:rPr>
          <w:spacing w:val="-14"/>
          <w:sz w:val="20"/>
        </w:rPr>
        <w:t xml:space="preserve"> </w:t>
      </w:r>
      <w:r>
        <w:rPr>
          <w:sz w:val="20"/>
        </w:rPr>
        <w:t>life,</w:t>
      </w:r>
      <w:r>
        <w:rPr>
          <w:spacing w:val="-14"/>
          <w:sz w:val="20"/>
        </w:rPr>
        <w:t xml:space="preserve"> </w:t>
      </w:r>
      <w:r>
        <w:rPr>
          <w:sz w:val="20"/>
        </w:rPr>
        <w:t>creativity, innovation</w:t>
      </w:r>
      <w:r>
        <w:rPr>
          <w:spacing w:val="-14"/>
          <w:sz w:val="20"/>
        </w:rPr>
        <w:t xml:space="preserve"> </w:t>
      </w:r>
      <w:r>
        <w:rPr>
          <w:sz w:val="20"/>
        </w:rPr>
        <w:t>and</w:t>
      </w:r>
      <w:r>
        <w:rPr>
          <w:spacing w:val="-14"/>
          <w:sz w:val="20"/>
        </w:rPr>
        <w:t xml:space="preserve"> </w:t>
      </w:r>
      <w:r>
        <w:rPr>
          <w:sz w:val="20"/>
        </w:rPr>
        <w:t>the</w:t>
      </w:r>
      <w:r>
        <w:rPr>
          <w:spacing w:val="-14"/>
          <w:sz w:val="20"/>
        </w:rPr>
        <w:t xml:space="preserve"> </w:t>
      </w:r>
      <w:r>
        <w:rPr>
          <w:sz w:val="20"/>
        </w:rPr>
        <w:t>competitiveness</w:t>
      </w:r>
      <w:r>
        <w:rPr>
          <w:spacing w:val="-14"/>
          <w:sz w:val="20"/>
        </w:rPr>
        <w:t xml:space="preserve"> </w:t>
      </w:r>
      <w:r>
        <w:rPr>
          <w:sz w:val="20"/>
        </w:rPr>
        <w:t>of</w:t>
      </w:r>
      <w:r>
        <w:rPr>
          <w:spacing w:val="-14"/>
          <w:sz w:val="20"/>
        </w:rPr>
        <w:t xml:space="preserve"> </w:t>
      </w:r>
      <w:r>
        <w:rPr>
          <w:sz w:val="20"/>
        </w:rPr>
        <w:t>NSW.</w:t>
      </w:r>
      <w:r>
        <w:rPr>
          <w:spacing w:val="-14"/>
          <w:sz w:val="20"/>
        </w:rPr>
        <w:t xml:space="preserve"> </w:t>
      </w:r>
      <w:r>
        <w:rPr>
          <w:sz w:val="20"/>
        </w:rPr>
        <w:t xml:space="preserve">The </w:t>
      </w:r>
      <w:r>
        <w:rPr>
          <w:w w:val="95"/>
          <w:sz w:val="20"/>
        </w:rPr>
        <w:t xml:space="preserve">pattern of demand is changing across these sectors and more targeted investment and more flexibility is </w:t>
      </w:r>
      <w:r>
        <w:rPr>
          <w:spacing w:val="-2"/>
          <w:sz w:val="20"/>
        </w:rPr>
        <w:t>needed.</w:t>
      </w:r>
    </w:p>
    <w:p w:rsidR="002C1123" w:rsidRDefault="00F22F94">
      <w:pPr>
        <w:pStyle w:val="BodyText"/>
        <w:spacing w:before="146" w:line="249" w:lineRule="auto"/>
        <w:ind w:left="209" w:right="611"/>
      </w:pPr>
      <w:r>
        <w:rPr>
          <w:w w:val="95"/>
        </w:rPr>
        <w:t>The</w:t>
      </w:r>
      <w:r>
        <w:rPr>
          <w:spacing w:val="-6"/>
          <w:w w:val="95"/>
        </w:rPr>
        <w:t xml:space="preserve"> </w:t>
      </w:r>
      <w:r>
        <w:rPr>
          <w:w w:val="95"/>
        </w:rPr>
        <w:t>infrastructure</w:t>
      </w:r>
      <w:r>
        <w:rPr>
          <w:spacing w:val="-6"/>
          <w:w w:val="95"/>
        </w:rPr>
        <w:t xml:space="preserve"> </w:t>
      </w:r>
      <w:r>
        <w:rPr>
          <w:w w:val="95"/>
        </w:rPr>
        <w:t>imperatives</w:t>
      </w:r>
      <w:r>
        <w:rPr>
          <w:spacing w:val="-6"/>
          <w:w w:val="95"/>
        </w:rPr>
        <w:t xml:space="preserve"> </w:t>
      </w:r>
      <w:r>
        <w:rPr>
          <w:w w:val="95"/>
        </w:rPr>
        <w:t>from</w:t>
      </w:r>
      <w:r>
        <w:rPr>
          <w:spacing w:val="-7"/>
          <w:w w:val="95"/>
        </w:rPr>
        <w:t xml:space="preserve"> </w:t>
      </w:r>
      <w:r>
        <w:rPr>
          <w:w w:val="95"/>
        </w:rPr>
        <w:t>a</w:t>
      </w:r>
      <w:r>
        <w:rPr>
          <w:spacing w:val="-6"/>
          <w:w w:val="95"/>
        </w:rPr>
        <w:t xml:space="preserve"> </w:t>
      </w:r>
      <w:r>
        <w:rPr>
          <w:w w:val="95"/>
        </w:rPr>
        <w:t>spatial</w:t>
      </w:r>
      <w:r>
        <w:rPr>
          <w:spacing w:val="-6"/>
          <w:w w:val="95"/>
        </w:rPr>
        <w:t xml:space="preserve"> </w:t>
      </w:r>
      <w:r>
        <w:rPr>
          <w:w w:val="95"/>
        </w:rPr>
        <w:t xml:space="preserve">perspective are discussed in more detail in Sections 3, 4 and 5. The </w:t>
      </w:r>
      <w:r>
        <w:t>sectoral</w:t>
      </w:r>
      <w:r>
        <w:rPr>
          <w:spacing w:val="-9"/>
        </w:rPr>
        <w:t xml:space="preserve"> </w:t>
      </w:r>
      <w:r>
        <w:t>options</w:t>
      </w:r>
      <w:r>
        <w:rPr>
          <w:spacing w:val="-9"/>
        </w:rPr>
        <w:t xml:space="preserve"> </w:t>
      </w:r>
      <w:r>
        <w:t>are</w:t>
      </w:r>
      <w:r>
        <w:rPr>
          <w:spacing w:val="-9"/>
        </w:rPr>
        <w:t xml:space="preserve"> </w:t>
      </w:r>
      <w:r>
        <w:t>assessed</w:t>
      </w:r>
      <w:r>
        <w:rPr>
          <w:spacing w:val="-9"/>
        </w:rPr>
        <w:t xml:space="preserve"> </w:t>
      </w:r>
      <w:r>
        <w:t>and</w:t>
      </w:r>
      <w:r>
        <w:rPr>
          <w:spacing w:val="-9"/>
        </w:rPr>
        <w:t xml:space="preserve"> </w:t>
      </w:r>
      <w:r>
        <w:t>recommendations are in Sections 6 – 14.</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189" w:space="40"/>
            <w:col w:w="5067" w:space="39"/>
            <w:col w:w="5725"/>
          </w:cols>
        </w:sectPr>
      </w:pPr>
    </w:p>
    <w:p w:rsidR="002C1123" w:rsidRDefault="002C1123">
      <w:pPr>
        <w:pStyle w:val="BodyText"/>
      </w:pPr>
    </w:p>
    <w:p w:rsidR="002C1123" w:rsidRDefault="002C1123">
      <w:pPr>
        <w:sectPr w:rsidR="002C1123">
          <w:headerReference w:type="default" r:id="rId79"/>
          <w:footerReference w:type="default" r:id="rId80"/>
          <w:pgSz w:w="16840" w:h="11910" w:orient="landscape"/>
          <w:pgMar w:top="560" w:right="280" w:bottom="700" w:left="500" w:header="0" w:footer="517" w:gutter="0"/>
          <w:cols w:space="720"/>
        </w:sectPr>
      </w:pPr>
    </w:p>
    <w:p w:rsidR="002C1123" w:rsidRDefault="002060EF">
      <w:pPr>
        <w:pStyle w:val="Heading1"/>
        <w:numPr>
          <w:ilvl w:val="1"/>
          <w:numId w:val="125"/>
        </w:numPr>
        <w:tabs>
          <w:tab w:val="left" w:pos="1646"/>
        </w:tabs>
      </w:pPr>
      <w:r>
        <w:pict>
          <v:rect id="docshape596" o:spid="_x0000_s4732" style="position:absolute;left:0;text-align:left;margin-left:38.25pt;margin-top:80.8pt;width:502.7pt;height:422.35pt;z-index:-251514880;mso-position-horizontal-relative:page" fillcolor="#e1e0e1" stroked="f">
            <w10:wrap anchorx="page"/>
          </v:rect>
        </w:pict>
      </w:r>
      <w:bookmarkStart w:id="83" w:name="3.0_Global_Sydney_"/>
      <w:bookmarkStart w:id="84" w:name="Key_points_"/>
      <w:bookmarkStart w:id="85" w:name="3.1_Introduction_"/>
      <w:bookmarkStart w:id="86" w:name="_bookmark61"/>
      <w:bookmarkStart w:id="87" w:name="_bookmark60"/>
      <w:bookmarkEnd w:id="83"/>
      <w:bookmarkEnd w:id="84"/>
      <w:bookmarkEnd w:id="85"/>
      <w:bookmarkEnd w:id="86"/>
      <w:bookmarkEnd w:id="87"/>
      <w:r w:rsidR="00F22F94">
        <w:rPr>
          <w:color w:val="EC008C"/>
          <w:w w:val="50"/>
        </w:rPr>
        <w:t>Global</w:t>
      </w:r>
      <w:r w:rsidR="00F22F94">
        <w:rPr>
          <w:color w:val="EC008C"/>
          <w:spacing w:val="-60"/>
        </w:rPr>
        <w:t xml:space="preserve"> </w:t>
      </w:r>
      <w:r w:rsidR="00F22F94">
        <w:rPr>
          <w:color w:val="EC008C"/>
          <w:spacing w:val="-9"/>
          <w:w w:val="60"/>
        </w:rPr>
        <w:t>Sydney</w:t>
      </w:r>
    </w:p>
    <w:p w:rsidR="002C1123" w:rsidRDefault="00F22F94">
      <w:pPr>
        <w:pStyle w:val="Heading5"/>
        <w:spacing w:before="210"/>
        <w:ind w:left="492" w:firstLine="0"/>
      </w:pPr>
      <w:r>
        <w:rPr>
          <w:color w:val="EC008C"/>
          <w:w w:val="95"/>
        </w:rPr>
        <w:t>Key</w:t>
      </w:r>
      <w:r>
        <w:rPr>
          <w:color w:val="EC008C"/>
          <w:spacing w:val="-4"/>
        </w:rPr>
        <w:t xml:space="preserve"> </w:t>
      </w:r>
      <w:r>
        <w:rPr>
          <w:color w:val="EC008C"/>
          <w:spacing w:val="-2"/>
        </w:rPr>
        <w:t>points</w:t>
      </w:r>
    </w:p>
    <w:p w:rsidR="002C1123" w:rsidRDefault="00F22F94">
      <w:pPr>
        <w:rPr>
          <w:b/>
          <w:sz w:val="32"/>
        </w:rPr>
      </w:pPr>
      <w:r>
        <w:br w:type="column"/>
      </w:r>
    </w:p>
    <w:p w:rsidR="002C1123" w:rsidRDefault="002C1123">
      <w:pPr>
        <w:pStyle w:val="BodyText"/>
        <w:rPr>
          <w:b/>
          <w:sz w:val="32"/>
        </w:rPr>
      </w:pPr>
    </w:p>
    <w:p w:rsidR="002C1123" w:rsidRDefault="002C1123">
      <w:pPr>
        <w:pStyle w:val="BodyText"/>
        <w:rPr>
          <w:b/>
          <w:sz w:val="32"/>
        </w:rPr>
      </w:pPr>
    </w:p>
    <w:p w:rsidR="002C1123" w:rsidRDefault="002C1123">
      <w:pPr>
        <w:pStyle w:val="BodyText"/>
        <w:rPr>
          <w:b/>
          <w:sz w:val="32"/>
        </w:rPr>
      </w:pPr>
    </w:p>
    <w:p w:rsidR="002C1123" w:rsidRDefault="002C1123">
      <w:pPr>
        <w:pStyle w:val="BodyText"/>
        <w:spacing w:before="9"/>
        <w:rPr>
          <w:b/>
          <w:sz w:val="26"/>
        </w:rPr>
      </w:pPr>
    </w:p>
    <w:p w:rsidR="002C1123" w:rsidRDefault="00F22F94">
      <w:pPr>
        <w:pStyle w:val="Heading5"/>
        <w:numPr>
          <w:ilvl w:val="4"/>
          <w:numId w:val="172"/>
        </w:numPr>
        <w:tabs>
          <w:tab w:val="left" w:pos="942"/>
        </w:tabs>
        <w:spacing w:before="1"/>
        <w:jc w:val="left"/>
      </w:pPr>
      <w:r>
        <w:rPr>
          <w:color w:val="EC008C"/>
          <w:spacing w:val="-2"/>
        </w:rPr>
        <w:t>Introduction</w:t>
      </w:r>
    </w:p>
    <w:p w:rsidR="002C1123" w:rsidRDefault="002C1123">
      <w:pPr>
        <w:sectPr w:rsidR="002C1123">
          <w:type w:val="continuous"/>
          <w:pgSz w:w="16840" w:h="11910" w:orient="landscape"/>
          <w:pgMar w:top="560" w:right="280" w:bottom="280" w:left="500" w:header="0" w:footer="517" w:gutter="0"/>
          <w:cols w:num="2" w:space="720" w:equalWidth="0">
            <w:col w:w="5596" w:space="4457"/>
            <w:col w:w="6007"/>
          </w:cols>
        </w:sectPr>
      </w:pPr>
    </w:p>
    <w:p w:rsidR="002C1123" w:rsidRDefault="00F22F94">
      <w:pPr>
        <w:pStyle w:val="BodyText"/>
        <w:spacing w:before="134" w:line="249" w:lineRule="auto"/>
        <w:ind w:left="492"/>
      </w:pPr>
      <w:r>
        <w:rPr>
          <w:w w:val="95"/>
        </w:rPr>
        <w:t xml:space="preserve">Sydney is one of the select cities that directly influence </w:t>
      </w:r>
      <w:r>
        <w:t>global</w:t>
      </w:r>
      <w:r>
        <w:rPr>
          <w:spacing w:val="-11"/>
        </w:rPr>
        <w:t xml:space="preserve"> </w:t>
      </w:r>
      <w:r>
        <w:t>business</w:t>
      </w:r>
      <w:r>
        <w:rPr>
          <w:spacing w:val="-11"/>
        </w:rPr>
        <w:t xml:space="preserve"> </w:t>
      </w:r>
      <w:r>
        <w:t>and</w:t>
      </w:r>
      <w:r>
        <w:rPr>
          <w:spacing w:val="-11"/>
        </w:rPr>
        <w:t xml:space="preserve"> </w:t>
      </w:r>
      <w:r>
        <w:t>culture</w:t>
      </w:r>
      <w:r>
        <w:rPr>
          <w:spacing w:val="-11"/>
        </w:rPr>
        <w:t xml:space="preserve"> </w:t>
      </w:r>
      <w:r>
        <w:t>and</w:t>
      </w:r>
      <w:r>
        <w:rPr>
          <w:spacing w:val="-11"/>
        </w:rPr>
        <w:t xml:space="preserve"> </w:t>
      </w:r>
      <w:r>
        <w:t>is</w:t>
      </w:r>
      <w:r>
        <w:rPr>
          <w:spacing w:val="-11"/>
        </w:rPr>
        <w:t xml:space="preserve"> </w:t>
      </w:r>
      <w:r>
        <w:t>in</w:t>
      </w:r>
      <w:r>
        <w:rPr>
          <w:spacing w:val="-11"/>
        </w:rPr>
        <w:t xml:space="preserve"> </w:t>
      </w:r>
      <w:r>
        <w:t>turn</w:t>
      </w:r>
      <w:r>
        <w:rPr>
          <w:spacing w:val="-11"/>
        </w:rPr>
        <w:t xml:space="preserve"> </w:t>
      </w:r>
      <w:r>
        <w:t>directly influenced</w:t>
      </w:r>
      <w:r>
        <w:rPr>
          <w:spacing w:val="-9"/>
        </w:rPr>
        <w:t xml:space="preserve"> </w:t>
      </w:r>
      <w:r>
        <w:t>by</w:t>
      </w:r>
      <w:r>
        <w:rPr>
          <w:spacing w:val="-9"/>
        </w:rPr>
        <w:t xml:space="preserve"> </w:t>
      </w:r>
      <w:r>
        <w:t>global</w:t>
      </w:r>
      <w:r>
        <w:rPr>
          <w:spacing w:val="-9"/>
        </w:rPr>
        <w:t xml:space="preserve"> </w:t>
      </w:r>
      <w:r>
        <w:t>trends.</w:t>
      </w:r>
      <w:r>
        <w:rPr>
          <w:spacing w:val="-9"/>
        </w:rPr>
        <w:t xml:space="preserve"> </w:t>
      </w:r>
      <w:r>
        <w:t>This</w:t>
      </w:r>
      <w:r>
        <w:rPr>
          <w:spacing w:val="-9"/>
        </w:rPr>
        <w:t xml:space="preserve"> </w:t>
      </w:r>
      <w:r>
        <w:t>‘global</w:t>
      </w:r>
      <w:r>
        <w:rPr>
          <w:spacing w:val="-9"/>
        </w:rPr>
        <w:t xml:space="preserve"> </w:t>
      </w:r>
      <w:r>
        <w:t>city’</w:t>
      </w:r>
      <w:r>
        <w:rPr>
          <w:spacing w:val="-9"/>
        </w:rPr>
        <w:t xml:space="preserve"> </w:t>
      </w:r>
      <w:r>
        <w:t>status brings</w:t>
      </w:r>
      <w:r>
        <w:rPr>
          <w:spacing w:val="-5"/>
        </w:rPr>
        <w:t xml:space="preserve"> </w:t>
      </w:r>
      <w:r>
        <w:t>both</w:t>
      </w:r>
      <w:r>
        <w:rPr>
          <w:spacing w:val="-5"/>
        </w:rPr>
        <w:t xml:space="preserve"> </w:t>
      </w:r>
      <w:r>
        <w:t>opportunities</w:t>
      </w:r>
      <w:r>
        <w:rPr>
          <w:spacing w:val="-5"/>
        </w:rPr>
        <w:t xml:space="preserve"> </w:t>
      </w:r>
      <w:r>
        <w:t>and</w:t>
      </w:r>
      <w:r>
        <w:rPr>
          <w:spacing w:val="-5"/>
        </w:rPr>
        <w:t xml:space="preserve"> </w:t>
      </w:r>
      <w:r>
        <w:t>threats</w:t>
      </w:r>
      <w:r>
        <w:rPr>
          <w:spacing w:val="-5"/>
        </w:rPr>
        <w:t xml:space="preserve"> </w:t>
      </w:r>
      <w:r>
        <w:t>that</w:t>
      </w:r>
      <w:r>
        <w:rPr>
          <w:spacing w:val="-5"/>
        </w:rPr>
        <w:t xml:space="preserve"> </w:t>
      </w:r>
      <w:r>
        <w:t>have implications</w:t>
      </w:r>
      <w:r>
        <w:rPr>
          <w:spacing w:val="-10"/>
        </w:rPr>
        <w:t xml:space="preserve"> </w:t>
      </w:r>
      <w:r>
        <w:t>for</w:t>
      </w:r>
      <w:r>
        <w:rPr>
          <w:spacing w:val="-10"/>
        </w:rPr>
        <w:t xml:space="preserve"> </w:t>
      </w:r>
      <w:r>
        <w:t>the</w:t>
      </w:r>
      <w:r>
        <w:rPr>
          <w:spacing w:val="-10"/>
        </w:rPr>
        <w:t xml:space="preserve"> </w:t>
      </w:r>
      <w:r>
        <w:t>whole</w:t>
      </w:r>
      <w:r>
        <w:rPr>
          <w:spacing w:val="-10"/>
        </w:rPr>
        <w:t xml:space="preserve"> </w:t>
      </w:r>
      <w:r>
        <w:t>State,</w:t>
      </w:r>
      <w:r>
        <w:rPr>
          <w:spacing w:val="-10"/>
        </w:rPr>
        <w:t xml:space="preserve"> </w:t>
      </w:r>
      <w:r>
        <w:t>because</w:t>
      </w:r>
      <w:r>
        <w:rPr>
          <w:spacing w:val="-10"/>
        </w:rPr>
        <w:t xml:space="preserve"> </w:t>
      </w:r>
      <w:r>
        <w:t xml:space="preserve">history </w:t>
      </w:r>
      <w:r>
        <w:rPr>
          <w:w w:val="95"/>
        </w:rPr>
        <w:t>suggests that when Sydney succeeds, NSW succeeds.</w:t>
      </w:r>
    </w:p>
    <w:p w:rsidR="002C1123" w:rsidRDefault="00F22F94">
      <w:pPr>
        <w:pStyle w:val="BodyText"/>
        <w:spacing w:before="147" w:line="249" w:lineRule="auto"/>
        <w:ind w:left="492"/>
      </w:pPr>
      <w:r>
        <w:rPr>
          <w:w w:val="95"/>
        </w:rPr>
        <w:t xml:space="preserve">Global Sydney’s economy is clustered in a corridor that </w:t>
      </w:r>
      <w:r>
        <w:t>extends</w:t>
      </w:r>
      <w:r>
        <w:rPr>
          <w:spacing w:val="-7"/>
        </w:rPr>
        <w:t xml:space="preserve"> </w:t>
      </w:r>
      <w:r>
        <w:t>from</w:t>
      </w:r>
      <w:r>
        <w:rPr>
          <w:spacing w:val="-8"/>
        </w:rPr>
        <w:t xml:space="preserve"> </w:t>
      </w:r>
      <w:r>
        <w:t>the</w:t>
      </w:r>
      <w:r>
        <w:rPr>
          <w:spacing w:val="-7"/>
        </w:rPr>
        <w:t xml:space="preserve"> </w:t>
      </w:r>
      <w:r>
        <w:t>CBD</w:t>
      </w:r>
      <w:r>
        <w:rPr>
          <w:spacing w:val="-7"/>
        </w:rPr>
        <w:t xml:space="preserve"> </w:t>
      </w:r>
      <w:r>
        <w:t>north</w:t>
      </w:r>
      <w:r>
        <w:rPr>
          <w:spacing w:val="-7"/>
        </w:rPr>
        <w:t xml:space="preserve"> </w:t>
      </w:r>
      <w:r>
        <w:t>to</w:t>
      </w:r>
      <w:r>
        <w:rPr>
          <w:spacing w:val="-7"/>
        </w:rPr>
        <w:t xml:space="preserve"> </w:t>
      </w:r>
      <w:r>
        <w:t>Macquarie</w:t>
      </w:r>
      <w:r>
        <w:rPr>
          <w:spacing w:val="-7"/>
        </w:rPr>
        <w:t xml:space="preserve"> </w:t>
      </w:r>
      <w:r>
        <w:t>Park</w:t>
      </w:r>
      <w:r>
        <w:rPr>
          <w:spacing w:val="-7"/>
        </w:rPr>
        <w:t xml:space="preserve"> </w:t>
      </w:r>
      <w:r>
        <w:t xml:space="preserve">and </w:t>
      </w:r>
      <w:r>
        <w:rPr>
          <w:w w:val="95"/>
        </w:rPr>
        <w:t>south</w:t>
      </w:r>
      <w:r>
        <w:rPr>
          <w:spacing w:val="-8"/>
          <w:w w:val="95"/>
        </w:rPr>
        <w:t xml:space="preserve"> </w:t>
      </w:r>
      <w:r>
        <w:rPr>
          <w:w w:val="95"/>
        </w:rPr>
        <w:t>to</w:t>
      </w:r>
      <w:r>
        <w:rPr>
          <w:spacing w:val="-8"/>
          <w:w w:val="95"/>
        </w:rPr>
        <w:t xml:space="preserve"> </w:t>
      </w:r>
      <w:r>
        <w:rPr>
          <w:w w:val="95"/>
        </w:rPr>
        <w:t>Sydney</w:t>
      </w:r>
      <w:r>
        <w:rPr>
          <w:spacing w:val="-8"/>
          <w:w w:val="95"/>
        </w:rPr>
        <w:t xml:space="preserve"> </w:t>
      </w:r>
      <w:r>
        <w:rPr>
          <w:w w:val="95"/>
        </w:rPr>
        <w:t>Airport.</w:t>
      </w:r>
      <w:r>
        <w:rPr>
          <w:spacing w:val="-8"/>
          <w:w w:val="95"/>
        </w:rPr>
        <w:t xml:space="preserve"> </w:t>
      </w:r>
      <w:r>
        <w:rPr>
          <w:w w:val="95"/>
        </w:rPr>
        <w:t>This</w:t>
      </w:r>
      <w:r>
        <w:rPr>
          <w:spacing w:val="-8"/>
          <w:w w:val="95"/>
        </w:rPr>
        <w:t xml:space="preserve"> </w:t>
      </w:r>
      <w:r>
        <w:rPr>
          <w:w w:val="95"/>
        </w:rPr>
        <w:t>area</w:t>
      </w:r>
      <w:r>
        <w:rPr>
          <w:spacing w:val="-8"/>
          <w:w w:val="95"/>
        </w:rPr>
        <w:t xml:space="preserve"> </w:t>
      </w:r>
      <w:r>
        <w:rPr>
          <w:w w:val="95"/>
        </w:rPr>
        <w:t>is</w:t>
      </w:r>
      <w:r>
        <w:rPr>
          <w:spacing w:val="-8"/>
          <w:w w:val="95"/>
        </w:rPr>
        <w:t xml:space="preserve"> </w:t>
      </w:r>
      <w:r>
        <w:rPr>
          <w:w w:val="95"/>
        </w:rPr>
        <w:t>home</w:t>
      </w:r>
      <w:r>
        <w:rPr>
          <w:spacing w:val="-8"/>
          <w:w w:val="95"/>
        </w:rPr>
        <w:t xml:space="preserve"> </w:t>
      </w:r>
      <w:r>
        <w:rPr>
          <w:w w:val="95"/>
        </w:rPr>
        <w:t>to</w:t>
      </w:r>
      <w:r>
        <w:rPr>
          <w:spacing w:val="-8"/>
          <w:w w:val="95"/>
        </w:rPr>
        <w:t xml:space="preserve"> </w:t>
      </w:r>
      <w:r>
        <w:rPr>
          <w:w w:val="95"/>
        </w:rPr>
        <w:t>many</w:t>
      </w:r>
      <w:r>
        <w:rPr>
          <w:spacing w:val="-8"/>
          <w:w w:val="95"/>
        </w:rPr>
        <w:t xml:space="preserve"> </w:t>
      </w:r>
      <w:r>
        <w:rPr>
          <w:w w:val="95"/>
        </w:rPr>
        <w:t xml:space="preserve">high </w:t>
      </w:r>
      <w:r>
        <w:t>value</w:t>
      </w:r>
      <w:r>
        <w:rPr>
          <w:spacing w:val="-14"/>
        </w:rPr>
        <w:t xml:space="preserve"> </w:t>
      </w:r>
      <w:r>
        <w:t>service</w:t>
      </w:r>
      <w:r>
        <w:rPr>
          <w:spacing w:val="-14"/>
        </w:rPr>
        <w:t xml:space="preserve"> </w:t>
      </w:r>
      <w:r>
        <w:t>industries</w:t>
      </w:r>
      <w:r>
        <w:rPr>
          <w:spacing w:val="-14"/>
        </w:rPr>
        <w:t xml:space="preserve"> </w:t>
      </w:r>
      <w:r>
        <w:t>such</w:t>
      </w:r>
      <w:r>
        <w:rPr>
          <w:spacing w:val="-14"/>
        </w:rPr>
        <w:t xml:space="preserve"> </w:t>
      </w:r>
      <w:r>
        <w:t>as</w:t>
      </w:r>
      <w:r>
        <w:rPr>
          <w:spacing w:val="-14"/>
        </w:rPr>
        <w:t xml:space="preserve"> </w:t>
      </w:r>
      <w:r>
        <w:t>finance,</w:t>
      </w:r>
      <w:r>
        <w:rPr>
          <w:spacing w:val="-14"/>
        </w:rPr>
        <w:t xml:space="preserve"> </w:t>
      </w:r>
      <w:r>
        <w:t xml:space="preserve">insurance, </w:t>
      </w:r>
      <w:r>
        <w:rPr>
          <w:w w:val="95"/>
        </w:rPr>
        <w:t xml:space="preserve">technology, health, education and tourism. It generates </w:t>
      </w:r>
      <w:r>
        <w:t>over</w:t>
      </w:r>
      <w:r>
        <w:rPr>
          <w:spacing w:val="-7"/>
        </w:rPr>
        <w:t xml:space="preserve"> </w:t>
      </w:r>
      <w:r>
        <w:t>41</w:t>
      </w:r>
      <w:r>
        <w:rPr>
          <w:spacing w:val="-7"/>
        </w:rPr>
        <w:t xml:space="preserve"> </w:t>
      </w:r>
      <w:r>
        <w:t>percent</w:t>
      </w:r>
      <w:r>
        <w:rPr>
          <w:spacing w:val="-7"/>
        </w:rPr>
        <w:t xml:space="preserve"> </w:t>
      </w:r>
      <w:r>
        <w:t>of</w:t>
      </w:r>
      <w:r>
        <w:rPr>
          <w:spacing w:val="-7"/>
        </w:rPr>
        <w:t xml:space="preserve"> </w:t>
      </w:r>
      <w:r>
        <w:t>NSW’s</w:t>
      </w:r>
      <w:r>
        <w:rPr>
          <w:spacing w:val="-7"/>
        </w:rPr>
        <w:t xml:space="preserve"> </w:t>
      </w:r>
      <w:r>
        <w:t>total</w:t>
      </w:r>
      <w:r>
        <w:rPr>
          <w:spacing w:val="-7"/>
        </w:rPr>
        <w:t xml:space="preserve"> </w:t>
      </w:r>
      <w:r>
        <w:t>economic</w:t>
      </w:r>
      <w:r>
        <w:rPr>
          <w:spacing w:val="-7"/>
        </w:rPr>
        <w:t xml:space="preserve"> </w:t>
      </w:r>
      <w:r>
        <w:t>output.</w:t>
      </w:r>
    </w:p>
    <w:p w:rsidR="002C1123" w:rsidRDefault="00F22F94">
      <w:pPr>
        <w:pStyle w:val="BodyText"/>
        <w:spacing w:before="147" w:line="249" w:lineRule="auto"/>
        <w:ind w:left="492" w:right="178"/>
      </w:pPr>
      <w:r>
        <w:t>Global</w:t>
      </w:r>
      <w:r>
        <w:rPr>
          <w:spacing w:val="-8"/>
        </w:rPr>
        <w:t xml:space="preserve"> </w:t>
      </w:r>
      <w:r>
        <w:t>Sydney’s</w:t>
      </w:r>
      <w:r>
        <w:rPr>
          <w:spacing w:val="-8"/>
        </w:rPr>
        <w:t xml:space="preserve"> </w:t>
      </w:r>
      <w:r>
        <w:t>businesses</w:t>
      </w:r>
      <w:r>
        <w:rPr>
          <w:spacing w:val="-8"/>
        </w:rPr>
        <w:t xml:space="preserve"> </w:t>
      </w:r>
      <w:r>
        <w:t>reach</w:t>
      </w:r>
      <w:r>
        <w:rPr>
          <w:spacing w:val="-8"/>
        </w:rPr>
        <w:t xml:space="preserve"> </w:t>
      </w:r>
      <w:r>
        <w:t>outwards</w:t>
      </w:r>
      <w:r>
        <w:rPr>
          <w:spacing w:val="-8"/>
        </w:rPr>
        <w:t xml:space="preserve"> </w:t>
      </w:r>
      <w:r>
        <w:t xml:space="preserve">to </w:t>
      </w:r>
      <w:r>
        <w:rPr>
          <w:w w:val="95"/>
        </w:rPr>
        <w:t>interstate</w:t>
      </w:r>
      <w:r>
        <w:rPr>
          <w:spacing w:val="-8"/>
          <w:w w:val="95"/>
        </w:rPr>
        <w:t xml:space="preserve"> </w:t>
      </w:r>
      <w:r>
        <w:rPr>
          <w:w w:val="95"/>
        </w:rPr>
        <w:t>and</w:t>
      </w:r>
      <w:r>
        <w:rPr>
          <w:spacing w:val="-8"/>
          <w:w w:val="95"/>
        </w:rPr>
        <w:t xml:space="preserve"> </w:t>
      </w:r>
      <w:r>
        <w:rPr>
          <w:w w:val="95"/>
        </w:rPr>
        <w:t>overseas</w:t>
      </w:r>
      <w:r>
        <w:rPr>
          <w:spacing w:val="-8"/>
          <w:w w:val="95"/>
        </w:rPr>
        <w:t xml:space="preserve"> </w:t>
      </w:r>
      <w:r>
        <w:rPr>
          <w:w w:val="95"/>
        </w:rPr>
        <w:t>markets,</w:t>
      </w:r>
      <w:r>
        <w:rPr>
          <w:spacing w:val="-8"/>
          <w:w w:val="95"/>
        </w:rPr>
        <w:t xml:space="preserve"> </w:t>
      </w:r>
      <w:r>
        <w:rPr>
          <w:w w:val="95"/>
        </w:rPr>
        <w:t>and</w:t>
      </w:r>
      <w:r>
        <w:rPr>
          <w:spacing w:val="-8"/>
          <w:w w:val="95"/>
        </w:rPr>
        <w:t xml:space="preserve"> </w:t>
      </w:r>
      <w:r>
        <w:rPr>
          <w:w w:val="95"/>
        </w:rPr>
        <w:t>this</w:t>
      </w:r>
      <w:r>
        <w:rPr>
          <w:spacing w:val="-8"/>
          <w:w w:val="95"/>
        </w:rPr>
        <w:t xml:space="preserve"> </w:t>
      </w:r>
      <w:r>
        <w:rPr>
          <w:w w:val="95"/>
        </w:rPr>
        <w:t>has</w:t>
      </w:r>
      <w:r>
        <w:rPr>
          <w:spacing w:val="-8"/>
          <w:w w:val="95"/>
        </w:rPr>
        <w:t xml:space="preserve"> </w:t>
      </w:r>
      <w:r>
        <w:rPr>
          <w:w w:val="95"/>
        </w:rPr>
        <w:t xml:space="preserve">allowed </w:t>
      </w:r>
      <w:r>
        <w:t>Sydney</w:t>
      </w:r>
      <w:r>
        <w:rPr>
          <w:spacing w:val="-5"/>
        </w:rPr>
        <w:t xml:space="preserve"> </w:t>
      </w:r>
      <w:r>
        <w:t>to</w:t>
      </w:r>
      <w:r>
        <w:rPr>
          <w:spacing w:val="-5"/>
        </w:rPr>
        <w:t xml:space="preserve"> </w:t>
      </w:r>
      <w:r>
        <w:t>‘punch</w:t>
      </w:r>
      <w:r>
        <w:rPr>
          <w:spacing w:val="-5"/>
        </w:rPr>
        <w:t xml:space="preserve"> </w:t>
      </w:r>
      <w:r>
        <w:t>above</w:t>
      </w:r>
      <w:r>
        <w:rPr>
          <w:spacing w:val="-5"/>
        </w:rPr>
        <w:t xml:space="preserve"> </w:t>
      </w:r>
      <w:r>
        <w:t>its</w:t>
      </w:r>
      <w:r>
        <w:rPr>
          <w:spacing w:val="-5"/>
        </w:rPr>
        <w:t xml:space="preserve"> </w:t>
      </w:r>
      <w:r>
        <w:t>weight’</w:t>
      </w:r>
      <w:r>
        <w:rPr>
          <w:spacing w:val="-5"/>
        </w:rPr>
        <w:t xml:space="preserve"> </w:t>
      </w:r>
      <w:r>
        <w:t>on</w:t>
      </w:r>
      <w:r>
        <w:rPr>
          <w:spacing w:val="-5"/>
        </w:rPr>
        <w:t xml:space="preserve"> </w:t>
      </w:r>
      <w:r>
        <w:t>the</w:t>
      </w:r>
      <w:r>
        <w:rPr>
          <w:spacing w:val="-5"/>
        </w:rPr>
        <w:t xml:space="preserve"> </w:t>
      </w:r>
      <w:r>
        <w:t xml:space="preserve">world </w:t>
      </w:r>
      <w:r>
        <w:rPr>
          <w:spacing w:val="-2"/>
        </w:rPr>
        <w:t>stage</w:t>
      </w:r>
      <w:r>
        <w:rPr>
          <w:spacing w:val="-9"/>
        </w:rPr>
        <w:t xml:space="preserve"> </w:t>
      </w:r>
      <w:r>
        <w:rPr>
          <w:spacing w:val="-2"/>
        </w:rPr>
        <w:t>for</w:t>
      </w:r>
      <w:r>
        <w:rPr>
          <w:spacing w:val="-9"/>
        </w:rPr>
        <w:t xml:space="preserve"> </w:t>
      </w:r>
      <w:r>
        <w:rPr>
          <w:spacing w:val="-2"/>
        </w:rPr>
        <w:t>many</w:t>
      </w:r>
      <w:r>
        <w:rPr>
          <w:spacing w:val="-9"/>
        </w:rPr>
        <w:t xml:space="preserve"> </w:t>
      </w:r>
      <w:r>
        <w:rPr>
          <w:spacing w:val="-2"/>
        </w:rPr>
        <w:t>years.</w:t>
      </w:r>
      <w:r>
        <w:rPr>
          <w:spacing w:val="-9"/>
        </w:rPr>
        <w:t xml:space="preserve"> </w:t>
      </w:r>
      <w:r>
        <w:rPr>
          <w:spacing w:val="-2"/>
        </w:rPr>
        <w:t>But</w:t>
      </w:r>
      <w:r>
        <w:rPr>
          <w:spacing w:val="-9"/>
        </w:rPr>
        <w:t xml:space="preserve"> </w:t>
      </w:r>
      <w:r>
        <w:rPr>
          <w:spacing w:val="-2"/>
        </w:rPr>
        <w:t>Sydney’s</w:t>
      </w:r>
      <w:r>
        <w:rPr>
          <w:spacing w:val="-9"/>
        </w:rPr>
        <w:t xml:space="preserve"> </w:t>
      </w:r>
      <w:r>
        <w:rPr>
          <w:spacing w:val="-2"/>
        </w:rPr>
        <w:t>future</w:t>
      </w:r>
      <w:r>
        <w:rPr>
          <w:spacing w:val="-9"/>
        </w:rPr>
        <w:t xml:space="preserve"> </w:t>
      </w:r>
      <w:r>
        <w:rPr>
          <w:spacing w:val="-2"/>
        </w:rPr>
        <w:t xml:space="preserve">economic </w:t>
      </w:r>
      <w:r>
        <w:t>success</w:t>
      </w:r>
      <w:r>
        <w:rPr>
          <w:spacing w:val="-12"/>
        </w:rPr>
        <w:t xml:space="preserve"> </w:t>
      </w:r>
      <w:r>
        <w:t>is</w:t>
      </w:r>
      <w:r>
        <w:rPr>
          <w:spacing w:val="-12"/>
        </w:rPr>
        <w:t xml:space="preserve"> </w:t>
      </w:r>
      <w:r>
        <w:t>not</w:t>
      </w:r>
      <w:r>
        <w:rPr>
          <w:spacing w:val="-12"/>
        </w:rPr>
        <w:t xml:space="preserve"> </w:t>
      </w:r>
      <w:r>
        <w:t>assured.</w:t>
      </w:r>
      <w:r>
        <w:rPr>
          <w:spacing w:val="-12"/>
        </w:rPr>
        <w:t xml:space="preserve"> </w:t>
      </w:r>
      <w:r>
        <w:t>Service</w:t>
      </w:r>
      <w:r>
        <w:rPr>
          <w:spacing w:val="-12"/>
        </w:rPr>
        <w:t xml:space="preserve"> </w:t>
      </w:r>
      <w:r>
        <w:t>industries</w:t>
      </w:r>
      <w:r>
        <w:rPr>
          <w:spacing w:val="-12"/>
        </w:rPr>
        <w:t xml:space="preserve"> </w:t>
      </w:r>
      <w:r>
        <w:t>rely</w:t>
      </w:r>
      <w:r>
        <w:rPr>
          <w:spacing w:val="-12"/>
        </w:rPr>
        <w:t xml:space="preserve"> </w:t>
      </w:r>
      <w:r>
        <w:t>on access</w:t>
      </w:r>
      <w:r>
        <w:rPr>
          <w:spacing w:val="-14"/>
        </w:rPr>
        <w:t xml:space="preserve"> </w:t>
      </w:r>
      <w:r>
        <w:t>to</w:t>
      </w:r>
      <w:r>
        <w:rPr>
          <w:spacing w:val="-14"/>
        </w:rPr>
        <w:t xml:space="preserve"> </w:t>
      </w:r>
      <w:r>
        <w:t>a</w:t>
      </w:r>
      <w:r>
        <w:rPr>
          <w:spacing w:val="-14"/>
        </w:rPr>
        <w:t xml:space="preserve"> </w:t>
      </w:r>
      <w:r>
        <w:t>talented</w:t>
      </w:r>
      <w:r>
        <w:rPr>
          <w:spacing w:val="-14"/>
        </w:rPr>
        <w:t xml:space="preserve"> </w:t>
      </w:r>
      <w:r>
        <w:t>and</w:t>
      </w:r>
      <w:r>
        <w:rPr>
          <w:spacing w:val="-14"/>
        </w:rPr>
        <w:t xml:space="preserve"> </w:t>
      </w:r>
      <w:r>
        <w:t>creative</w:t>
      </w:r>
      <w:r>
        <w:rPr>
          <w:spacing w:val="-14"/>
        </w:rPr>
        <w:t xml:space="preserve"> </w:t>
      </w:r>
      <w:r>
        <w:t>workforce.</w:t>
      </w:r>
      <w:r>
        <w:rPr>
          <w:spacing w:val="-14"/>
        </w:rPr>
        <w:t xml:space="preserve"> </w:t>
      </w:r>
      <w:r>
        <w:t>If</w:t>
      </w:r>
      <w:r>
        <w:rPr>
          <w:spacing w:val="-14"/>
        </w:rPr>
        <w:t xml:space="preserve"> </w:t>
      </w:r>
      <w:r>
        <w:t xml:space="preserve">these </w:t>
      </w:r>
      <w:r>
        <w:rPr>
          <w:w w:val="95"/>
        </w:rPr>
        <w:t xml:space="preserve">people choose to live in other cities, business activity </w:t>
      </w:r>
      <w:r>
        <w:t>will follow them.</w:t>
      </w:r>
    </w:p>
    <w:p w:rsidR="002C1123" w:rsidRDefault="00F22F94">
      <w:pPr>
        <w:pStyle w:val="BodyText"/>
        <w:spacing w:before="135" w:line="249" w:lineRule="auto"/>
        <w:ind w:left="202"/>
      </w:pPr>
      <w:r>
        <w:br w:type="column"/>
      </w:r>
      <w:r>
        <w:t>Over</w:t>
      </w:r>
      <w:r>
        <w:rPr>
          <w:spacing w:val="-14"/>
        </w:rPr>
        <w:t xml:space="preserve"> </w:t>
      </w:r>
      <w:r>
        <w:t>the</w:t>
      </w:r>
      <w:r>
        <w:rPr>
          <w:spacing w:val="-14"/>
        </w:rPr>
        <w:t xml:space="preserve"> </w:t>
      </w:r>
      <w:r>
        <w:t>last</w:t>
      </w:r>
      <w:r>
        <w:rPr>
          <w:spacing w:val="-14"/>
        </w:rPr>
        <w:t xml:space="preserve"> </w:t>
      </w:r>
      <w:r>
        <w:t>decade,</w:t>
      </w:r>
      <w:r>
        <w:rPr>
          <w:spacing w:val="-14"/>
        </w:rPr>
        <w:t xml:space="preserve"> </w:t>
      </w:r>
      <w:r>
        <w:t>other</w:t>
      </w:r>
      <w:r>
        <w:rPr>
          <w:spacing w:val="-14"/>
        </w:rPr>
        <w:t xml:space="preserve"> </w:t>
      </w:r>
      <w:r>
        <w:t>cities,</w:t>
      </w:r>
      <w:r>
        <w:rPr>
          <w:spacing w:val="-14"/>
        </w:rPr>
        <w:t xml:space="preserve"> </w:t>
      </w:r>
      <w:r>
        <w:t>both</w:t>
      </w:r>
      <w:r>
        <w:rPr>
          <w:spacing w:val="-14"/>
        </w:rPr>
        <w:t xml:space="preserve"> </w:t>
      </w:r>
      <w:r>
        <w:t>in</w:t>
      </w:r>
      <w:r>
        <w:rPr>
          <w:spacing w:val="-14"/>
        </w:rPr>
        <w:t xml:space="preserve"> </w:t>
      </w:r>
      <w:r>
        <w:t xml:space="preserve">Australia </w:t>
      </w:r>
      <w:r>
        <w:rPr>
          <w:w w:val="95"/>
        </w:rPr>
        <w:t>and</w:t>
      </w:r>
      <w:r>
        <w:rPr>
          <w:spacing w:val="-12"/>
          <w:w w:val="95"/>
        </w:rPr>
        <w:t xml:space="preserve"> </w:t>
      </w:r>
      <w:r>
        <w:rPr>
          <w:w w:val="95"/>
        </w:rPr>
        <w:t>internationally,</w:t>
      </w:r>
      <w:r>
        <w:rPr>
          <w:spacing w:val="-11"/>
          <w:w w:val="95"/>
        </w:rPr>
        <w:t xml:space="preserve"> </w:t>
      </w:r>
      <w:r>
        <w:rPr>
          <w:w w:val="95"/>
        </w:rPr>
        <w:t>have</w:t>
      </w:r>
      <w:r>
        <w:rPr>
          <w:spacing w:val="-11"/>
          <w:w w:val="95"/>
        </w:rPr>
        <w:t xml:space="preserve"> </w:t>
      </w:r>
      <w:r>
        <w:rPr>
          <w:w w:val="95"/>
        </w:rPr>
        <w:t>made</w:t>
      </w:r>
      <w:r>
        <w:rPr>
          <w:spacing w:val="-11"/>
          <w:w w:val="95"/>
        </w:rPr>
        <w:t xml:space="preserve"> </w:t>
      </w:r>
      <w:r>
        <w:rPr>
          <w:w w:val="95"/>
        </w:rPr>
        <w:t>great</w:t>
      </w:r>
      <w:r>
        <w:rPr>
          <w:spacing w:val="-11"/>
          <w:w w:val="95"/>
        </w:rPr>
        <w:t xml:space="preserve"> </w:t>
      </w:r>
      <w:r>
        <w:rPr>
          <w:w w:val="95"/>
        </w:rPr>
        <w:t>advances</w:t>
      </w:r>
      <w:r>
        <w:rPr>
          <w:spacing w:val="-11"/>
          <w:w w:val="95"/>
        </w:rPr>
        <w:t xml:space="preserve"> </w:t>
      </w:r>
      <w:r>
        <w:rPr>
          <w:w w:val="95"/>
        </w:rPr>
        <w:t>in</w:t>
      </w:r>
      <w:r>
        <w:rPr>
          <w:spacing w:val="-11"/>
          <w:w w:val="95"/>
        </w:rPr>
        <w:t xml:space="preserve"> </w:t>
      </w:r>
      <w:r>
        <w:rPr>
          <w:w w:val="95"/>
        </w:rPr>
        <w:t xml:space="preserve">their liveability and attractiveness for business. Meanwhile </w:t>
      </w:r>
      <w:r>
        <w:t>Sydney</w:t>
      </w:r>
      <w:r>
        <w:rPr>
          <w:spacing w:val="-9"/>
        </w:rPr>
        <w:t xml:space="preserve"> </w:t>
      </w:r>
      <w:r>
        <w:t>has</w:t>
      </w:r>
      <w:r>
        <w:rPr>
          <w:spacing w:val="-9"/>
        </w:rPr>
        <w:t xml:space="preserve"> </w:t>
      </w:r>
      <w:r>
        <w:t>‘rested</w:t>
      </w:r>
      <w:r>
        <w:rPr>
          <w:spacing w:val="-9"/>
        </w:rPr>
        <w:t xml:space="preserve"> </w:t>
      </w:r>
      <w:r>
        <w:t>on</w:t>
      </w:r>
      <w:r>
        <w:rPr>
          <w:spacing w:val="-9"/>
        </w:rPr>
        <w:t xml:space="preserve"> </w:t>
      </w:r>
      <w:r>
        <w:t>its</w:t>
      </w:r>
      <w:r>
        <w:rPr>
          <w:spacing w:val="-9"/>
        </w:rPr>
        <w:t xml:space="preserve"> </w:t>
      </w:r>
      <w:r>
        <w:t>laurels’.</w:t>
      </w:r>
    </w:p>
    <w:p w:rsidR="002C1123" w:rsidRDefault="00F22F94">
      <w:pPr>
        <w:pStyle w:val="BodyText"/>
        <w:spacing w:before="145" w:line="249" w:lineRule="auto"/>
        <w:ind w:left="202"/>
      </w:pPr>
      <w:r>
        <w:t>Global</w:t>
      </w:r>
      <w:r>
        <w:rPr>
          <w:spacing w:val="-12"/>
        </w:rPr>
        <w:t xml:space="preserve"> </w:t>
      </w:r>
      <w:r>
        <w:t>Sydney</w:t>
      </w:r>
      <w:r>
        <w:rPr>
          <w:spacing w:val="-12"/>
        </w:rPr>
        <w:t xml:space="preserve"> </w:t>
      </w:r>
      <w:r>
        <w:t>now</w:t>
      </w:r>
      <w:r>
        <w:rPr>
          <w:spacing w:val="-12"/>
        </w:rPr>
        <w:t xml:space="preserve"> </w:t>
      </w:r>
      <w:r>
        <w:t>needs</w:t>
      </w:r>
      <w:r>
        <w:rPr>
          <w:spacing w:val="-12"/>
        </w:rPr>
        <w:t xml:space="preserve"> </w:t>
      </w:r>
      <w:r>
        <w:t>to</w:t>
      </w:r>
      <w:r>
        <w:rPr>
          <w:spacing w:val="-12"/>
        </w:rPr>
        <w:t xml:space="preserve"> </w:t>
      </w:r>
      <w:r>
        <w:t>take</w:t>
      </w:r>
      <w:r>
        <w:rPr>
          <w:spacing w:val="-12"/>
        </w:rPr>
        <w:t xml:space="preserve"> </w:t>
      </w:r>
      <w:r>
        <w:t>positive</w:t>
      </w:r>
      <w:r>
        <w:rPr>
          <w:spacing w:val="-12"/>
        </w:rPr>
        <w:t xml:space="preserve"> </w:t>
      </w:r>
      <w:r>
        <w:t>steps</w:t>
      </w:r>
      <w:r>
        <w:rPr>
          <w:spacing w:val="-12"/>
        </w:rPr>
        <w:t xml:space="preserve"> </w:t>
      </w:r>
      <w:r>
        <w:t xml:space="preserve">to </w:t>
      </w:r>
      <w:r>
        <w:rPr>
          <w:w w:val="95"/>
        </w:rPr>
        <w:t>renew</w:t>
      </w:r>
      <w:r>
        <w:rPr>
          <w:spacing w:val="-6"/>
          <w:w w:val="95"/>
        </w:rPr>
        <w:t xml:space="preserve"> </w:t>
      </w:r>
      <w:r>
        <w:rPr>
          <w:w w:val="95"/>
        </w:rPr>
        <w:t>its</w:t>
      </w:r>
      <w:r>
        <w:rPr>
          <w:spacing w:val="-6"/>
          <w:w w:val="95"/>
        </w:rPr>
        <w:t xml:space="preserve"> </w:t>
      </w:r>
      <w:r>
        <w:rPr>
          <w:w w:val="95"/>
        </w:rPr>
        <w:t>claim</w:t>
      </w:r>
      <w:r>
        <w:rPr>
          <w:spacing w:val="-6"/>
          <w:w w:val="95"/>
        </w:rPr>
        <w:t xml:space="preserve"> </w:t>
      </w:r>
      <w:r>
        <w:rPr>
          <w:w w:val="95"/>
        </w:rPr>
        <w:t>as</w:t>
      </w:r>
      <w:r>
        <w:rPr>
          <w:spacing w:val="-6"/>
          <w:w w:val="95"/>
        </w:rPr>
        <w:t xml:space="preserve"> </w:t>
      </w:r>
      <w:r>
        <w:rPr>
          <w:w w:val="95"/>
        </w:rPr>
        <w:t>location</w:t>
      </w:r>
      <w:r>
        <w:rPr>
          <w:spacing w:val="-6"/>
          <w:w w:val="95"/>
        </w:rPr>
        <w:t xml:space="preserve"> </w:t>
      </w:r>
      <w:r>
        <w:rPr>
          <w:w w:val="95"/>
        </w:rPr>
        <w:t>of</w:t>
      </w:r>
      <w:r>
        <w:rPr>
          <w:spacing w:val="-6"/>
          <w:w w:val="95"/>
        </w:rPr>
        <w:t xml:space="preserve"> </w:t>
      </w:r>
      <w:r>
        <w:rPr>
          <w:w w:val="95"/>
        </w:rPr>
        <w:t>choice</w:t>
      </w:r>
      <w:r>
        <w:rPr>
          <w:spacing w:val="-6"/>
          <w:w w:val="95"/>
        </w:rPr>
        <w:t xml:space="preserve"> </w:t>
      </w:r>
      <w:r>
        <w:rPr>
          <w:w w:val="95"/>
        </w:rPr>
        <w:t>for</w:t>
      </w:r>
      <w:r>
        <w:rPr>
          <w:spacing w:val="-6"/>
          <w:w w:val="95"/>
        </w:rPr>
        <w:t xml:space="preserve"> </w:t>
      </w:r>
      <w:r>
        <w:rPr>
          <w:w w:val="95"/>
        </w:rPr>
        <w:t>the</w:t>
      </w:r>
      <w:r>
        <w:rPr>
          <w:spacing w:val="-6"/>
          <w:w w:val="95"/>
        </w:rPr>
        <w:t xml:space="preserve"> </w:t>
      </w:r>
      <w:r>
        <w:rPr>
          <w:w w:val="95"/>
        </w:rPr>
        <w:t xml:space="preserve">business </w:t>
      </w:r>
      <w:r>
        <w:t>owners</w:t>
      </w:r>
      <w:r>
        <w:rPr>
          <w:spacing w:val="-1"/>
        </w:rPr>
        <w:t xml:space="preserve"> </w:t>
      </w:r>
      <w:r>
        <w:t>and</w:t>
      </w:r>
      <w:r>
        <w:rPr>
          <w:spacing w:val="-1"/>
        </w:rPr>
        <w:t xml:space="preserve"> </w:t>
      </w:r>
      <w:r>
        <w:t>knowledge</w:t>
      </w:r>
      <w:r>
        <w:rPr>
          <w:spacing w:val="-1"/>
        </w:rPr>
        <w:t xml:space="preserve"> </w:t>
      </w:r>
      <w:r>
        <w:t>workers</w:t>
      </w:r>
      <w:r>
        <w:rPr>
          <w:spacing w:val="-1"/>
        </w:rPr>
        <w:t xml:space="preserve"> </w:t>
      </w:r>
      <w:r>
        <w:t>who</w:t>
      </w:r>
      <w:r>
        <w:rPr>
          <w:spacing w:val="-1"/>
        </w:rPr>
        <w:t xml:space="preserve"> </w:t>
      </w:r>
      <w:r>
        <w:t>can</w:t>
      </w:r>
      <w:r>
        <w:rPr>
          <w:spacing w:val="-1"/>
        </w:rPr>
        <w:t xml:space="preserve"> </w:t>
      </w:r>
      <w:r>
        <w:t>drive economic</w:t>
      </w:r>
      <w:r>
        <w:rPr>
          <w:spacing w:val="-7"/>
        </w:rPr>
        <w:t xml:space="preserve"> </w:t>
      </w:r>
      <w:r>
        <w:t>growth.</w:t>
      </w:r>
      <w:r>
        <w:rPr>
          <w:spacing w:val="-7"/>
        </w:rPr>
        <w:t xml:space="preserve"> </w:t>
      </w:r>
      <w:r>
        <w:t>While</w:t>
      </w:r>
      <w:r>
        <w:rPr>
          <w:spacing w:val="-7"/>
        </w:rPr>
        <w:t xml:space="preserve"> </w:t>
      </w:r>
      <w:r>
        <w:t>natural</w:t>
      </w:r>
      <w:r>
        <w:rPr>
          <w:spacing w:val="-7"/>
        </w:rPr>
        <w:t xml:space="preserve"> </w:t>
      </w:r>
      <w:r>
        <w:t>advantages</w:t>
      </w:r>
      <w:r>
        <w:rPr>
          <w:spacing w:val="-7"/>
        </w:rPr>
        <w:t xml:space="preserve"> </w:t>
      </w:r>
      <w:r>
        <w:t xml:space="preserve">of </w:t>
      </w:r>
      <w:r>
        <w:rPr>
          <w:w w:val="95"/>
        </w:rPr>
        <w:t xml:space="preserve">lifestyle and climate will remain important attractors, </w:t>
      </w:r>
      <w:r>
        <w:t>infrastructure</w:t>
      </w:r>
      <w:r>
        <w:rPr>
          <w:spacing w:val="-12"/>
        </w:rPr>
        <w:t xml:space="preserve"> </w:t>
      </w:r>
      <w:r>
        <w:t>has</w:t>
      </w:r>
      <w:r>
        <w:rPr>
          <w:spacing w:val="-12"/>
        </w:rPr>
        <w:t xml:space="preserve"> </w:t>
      </w:r>
      <w:r>
        <w:t>a</w:t>
      </w:r>
      <w:r>
        <w:rPr>
          <w:spacing w:val="-12"/>
        </w:rPr>
        <w:t xml:space="preserve"> </w:t>
      </w:r>
      <w:r>
        <w:t>critical</w:t>
      </w:r>
      <w:r>
        <w:rPr>
          <w:spacing w:val="-12"/>
        </w:rPr>
        <w:t xml:space="preserve"> </w:t>
      </w:r>
      <w:r>
        <w:t>role</w:t>
      </w:r>
      <w:r>
        <w:rPr>
          <w:spacing w:val="-12"/>
        </w:rPr>
        <w:t xml:space="preserve"> </w:t>
      </w:r>
      <w:r>
        <w:t>to</w:t>
      </w:r>
      <w:r>
        <w:rPr>
          <w:spacing w:val="-12"/>
        </w:rPr>
        <w:t xml:space="preserve"> </w:t>
      </w:r>
      <w:r>
        <w:t>play.</w:t>
      </w:r>
    </w:p>
    <w:p w:rsidR="002C1123" w:rsidRDefault="00F22F94">
      <w:pPr>
        <w:pStyle w:val="BodyText"/>
        <w:spacing w:before="146" w:line="249" w:lineRule="auto"/>
        <w:ind w:left="202"/>
      </w:pPr>
      <w:r>
        <w:rPr>
          <w:w w:val="95"/>
        </w:rPr>
        <w:t>Infrastructure</w:t>
      </w:r>
      <w:r>
        <w:rPr>
          <w:spacing w:val="-9"/>
          <w:w w:val="95"/>
        </w:rPr>
        <w:t xml:space="preserve"> </w:t>
      </w:r>
      <w:r>
        <w:rPr>
          <w:w w:val="95"/>
        </w:rPr>
        <w:t>NSW</w:t>
      </w:r>
      <w:r>
        <w:rPr>
          <w:spacing w:val="-9"/>
          <w:w w:val="95"/>
        </w:rPr>
        <w:t xml:space="preserve"> </w:t>
      </w:r>
      <w:r>
        <w:rPr>
          <w:w w:val="95"/>
        </w:rPr>
        <w:t>has</w:t>
      </w:r>
      <w:r>
        <w:rPr>
          <w:spacing w:val="-9"/>
          <w:w w:val="95"/>
        </w:rPr>
        <w:t xml:space="preserve"> </w:t>
      </w:r>
      <w:r>
        <w:rPr>
          <w:w w:val="95"/>
        </w:rPr>
        <w:t>identified</w:t>
      </w:r>
      <w:r>
        <w:rPr>
          <w:spacing w:val="-9"/>
          <w:w w:val="95"/>
        </w:rPr>
        <w:t xml:space="preserve"> </w:t>
      </w:r>
      <w:r>
        <w:rPr>
          <w:w w:val="95"/>
        </w:rPr>
        <w:t>three</w:t>
      </w:r>
      <w:r>
        <w:rPr>
          <w:spacing w:val="-9"/>
          <w:w w:val="95"/>
        </w:rPr>
        <w:t xml:space="preserve"> </w:t>
      </w:r>
      <w:r>
        <w:rPr>
          <w:w w:val="95"/>
        </w:rPr>
        <w:t xml:space="preserve">infrastructure </w:t>
      </w:r>
      <w:r>
        <w:t>priorities</w:t>
      </w:r>
      <w:r>
        <w:rPr>
          <w:spacing w:val="-10"/>
        </w:rPr>
        <w:t xml:space="preserve"> </w:t>
      </w:r>
      <w:r>
        <w:t>that</w:t>
      </w:r>
      <w:r>
        <w:rPr>
          <w:spacing w:val="-10"/>
        </w:rPr>
        <w:t xml:space="preserve"> </w:t>
      </w:r>
      <w:r>
        <w:t>can</w:t>
      </w:r>
      <w:r>
        <w:rPr>
          <w:spacing w:val="-10"/>
        </w:rPr>
        <w:t xml:space="preserve"> </w:t>
      </w:r>
      <w:r>
        <w:t>make</w:t>
      </w:r>
      <w:r>
        <w:rPr>
          <w:spacing w:val="-10"/>
        </w:rPr>
        <w:t xml:space="preserve"> </w:t>
      </w:r>
      <w:r>
        <w:t>Sydney</w:t>
      </w:r>
      <w:r>
        <w:rPr>
          <w:spacing w:val="-10"/>
        </w:rPr>
        <w:t xml:space="preserve"> </w:t>
      </w:r>
      <w:r>
        <w:t>number</w:t>
      </w:r>
      <w:r>
        <w:rPr>
          <w:spacing w:val="-10"/>
        </w:rPr>
        <w:t xml:space="preserve"> </w:t>
      </w:r>
      <w:r>
        <w:t>one</w:t>
      </w:r>
      <w:r>
        <w:rPr>
          <w:spacing w:val="-10"/>
        </w:rPr>
        <w:t xml:space="preserve"> </w:t>
      </w:r>
      <w:r>
        <w:t>for global</w:t>
      </w:r>
      <w:r>
        <w:rPr>
          <w:spacing w:val="-11"/>
        </w:rPr>
        <w:t xml:space="preserve"> </w:t>
      </w:r>
      <w:r>
        <w:t>business:</w:t>
      </w:r>
    </w:p>
    <w:p w:rsidR="002C1123" w:rsidRDefault="00F22F94">
      <w:pPr>
        <w:pStyle w:val="ListParagraph"/>
        <w:numPr>
          <w:ilvl w:val="0"/>
          <w:numId w:val="126"/>
        </w:numPr>
        <w:tabs>
          <w:tab w:val="left" w:pos="487"/>
        </w:tabs>
        <w:spacing w:before="132" w:line="249" w:lineRule="auto"/>
        <w:ind w:left="486" w:right="513"/>
        <w:rPr>
          <w:sz w:val="20"/>
        </w:rPr>
      </w:pPr>
      <w:r>
        <w:rPr>
          <w:sz w:val="20"/>
        </w:rPr>
        <w:t>improving</w:t>
      </w:r>
      <w:r>
        <w:rPr>
          <w:spacing w:val="-12"/>
          <w:sz w:val="20"/>
        </w:rPr>
        <w:t xml:space="preserve"> </w:t>
      </w:r>
      <w:r>
        <w:rPr>
          <w:sz w:val="20"/>
        </w:rPr>
        <w:t>connectivity</w:t>
      </w:r>
      <w:r>
        <w:rPr>
          <w:spacing w:val="-12"/>
          <w:sz w:val="20"/>
        </w:rPr>
        <w:t xml:space="preserve"> </w:t>
      </w:r>
      <w:r>
        <w:rPr>
          <w:sz w:val="20"/>
        </w:rPr>
        <w:t>through</w:t>
      </w:r>
      <w:r>
        <w:rPr>
          <w:spacing w:val="-12"/>
          <w:sz w:val="20"/>
        </w:rPr>
        <w:t xml:space="preserve"> </w:t>
      </w:r>
      <w:r>
        <w:rPr>
          <w:sz w:val="20"/>
        </w:rPr>
        <w:t>better</w:t>
      </w:r>
      <w:r>
        <w:rPr>
          <w:spacing w:val="-12"/>
          <w:sz w:val="20"/>
        </w:rPr>
        <w:t xml:space="preserve"> </w:t>
      </w:r>
      <w:r>
        <w:rPr>
          <w:sz w:val="20"/>
        </w:rPr>
        <w:t xml:space="preserve">public </w:t>
      </w:r>
      <w:r>
        <w:rPr>
          <w:w w:val="95"/>
          <w:sz w:val="20"/>
        </w:rPr>
        <w:t>transport</w:t>
      </w:r>
      <w:r>
        <w:rPr>
          <w:spacing w:val="-1"/>
          <w:w w:val="95"/>
          <w:sz w:val="20"/>
        </w:rPr>
        <w:t xml:space="preserve"> </w:t>
      </w:r>
      <w:r>
        <w:rPr>
          <w:w w:val="95"/>
          <w:sz w:val="20"/>
        </w:rPr>
        <w:t>and</w:t>
      </w:r>
      <w:r>
        <w:rPr>
          <w:spacing w:val="-1"/>
          <w:w w:val="95"/>
          <w:sz w:val="20"/>
        </w:rPr>
        <w:t xml:space="preserve"> </w:t>
      </w:r>
      <w:r>
        <w:rPr>
          <w:w w:val="95"/>
          <w:sz w:val="20"/>
        </w:rPr>
        <w:t>more</w:t>
      </w:r>
      <w:r>
        <w:rPr>
          <w:spacing w:val="-1"/>
          <w:w w:val="95"/>
          <w:sz w:val="20"/>
        </w:rPr>
        <w:t xml:space="preserve"> </w:t>
      </w:r>
      <w:r>
        <w:rPr>
          <w:w w:val="95"/>
          <w:sz w:val="20"/>
        </w:rPr>
        <w:t>housing</w:t>
      </w:r>
      <w:r>
        <w:rPr>
          <w:spacing w:val="-1"/>
          <w:w w:val="95"/>
          <w:sz w:val="20"/>
        </w:rPr>
        <w:t xml:space="preserve"> </w:t>
      </w:r>
      <w:r>
        <w:rPr>
          <w:w w:val="95"/>
          <w:sz w:val="20"/>
        </w:rPr>
        <w:t>close</w:t>
      </w:r>
      <w:r>
        <w:rPr>
          <w:spacing w:val="-1"/>
          <w:w w:val="95"/>
          <w:sz w:val="20"/>
        </w:rPr>
        <w:t xml:space="preserve"> </w:t>
      </w:r>
      <w:r>
        <w:rPr>
          <w:w w:val="95"/>
          <w:sz w:val="20"/>
        </w:rPr>
        <w:t>to</w:t>
      </w:r>
      <w:r>
        <w:rPr>
          <w:spacing w:val="-1"/>
          <w:w w:val="95"/>
          <w:sz w:val="20"/>
        </w:rPr>
        <w:t xml:space="preserve"> </w:t>
      </w:r>
      <w:r>
        <w:rPr>
          <w:w w:val="95"/>
          <w:sz w:val="20"/>
        </w:rPr>
        <w:t>the</w:t>
      </w:r>
      <w:r>
        <w:rPr>
          <w:spacing w:val="-1"/>
          <w:w w:val="95"/>
          <w:sz w:val="20"/>
        </w:rPr>
        <w:t xml:space="preserve"> </w:t>
      </w:r>
      <w:r>
        <w:rPr>
          <w:w w:val="95"/>
          <w:sz w:val="20"/>
        </w:rPr>
        <w:t>CBD</w:t>
      </w:r>
    </w:p>
    <w:p w:rsidR="002C1123" w:rsidRDefault="00F22F94">
      <w:pPr>
        <w:pStyle w:val="ListParagraph"/>
        <w:numPr>
          <w:ilvl w:val="0"/>
          <w:numId w:val="126"/>
        </w:numPr>
        <w:tabs>
          <w:tab w:val="left" w:pos="487"/>
        </w:tabs>
        <w:spacing w:before="131" w:line="249" w:lineRule="auto"/>
        <w:ind w:left="486" w:right="293"/>
        <w:rPr>
          <w:sz w:val="20"/>
        </w:rPr>
      </w:pPr>
      <w:r>
        <w:rPr>
          <w:sz w:val="20"/>
        </w:rPr>
        <w:t>creating</w:t>
      </w:r>
      <w:r>
        <w:rPr>
          <w:spacing w:val="-9"/>
          <w:sz w:val="20"/>
        </w:rPr>
        <w:t xml:space="preserve"> </w:t>
      </w:r>
      <w:r>
        <w:rPr>
          <w:sz w:val="20"/>
        </w:rPr>
        <w:t>an</w:t>
      </w:r>
      <w:r>
        <w:rPr>
          <w:spacing w:val="-9"/>
          <w:sz w:val="20"/>
        </w:rPr>
        <w:t xml:space="preserve"> </w:t>
      </w:r>
      <w:r>
        <w:rPr>
          <w:sz w:val="20"/>
        </w:rPr>
        <w:t>attractive</w:t>
      </w:r>
      <w:r>
        <w:rPr>
          <w:spacing w:val="-9"/>
          <w:sz w:val="20"/>
        </w:rPr>
        <w:t xml:space="preserve"> </w:t>
      </w:r>
      <w:r>
        <w:rPr>
          <w:sz w:val="20"/>
        </w:rPr>
        <w:t>urban</w:t>
      </w:r>
      <w:r>
        <w:rPr>
          <w:spacing w:val="-9"/>
          <w:sz w:val="20"/>
        </w:rPr>
        <w:t xml:space="preserve"> </w:t>
      </w:r>
      <w:r>
        <w:rPr>
          <w:sz w:val="20"/>
        </w:rPr>
        <w:t>environment</w:t>
      </w:r>
      <w:r>
        <w:rPr>
          <w:spacing w:val="-9"/>
          <w:sz w:val="20"/>
        </w:rPr>
        <w:t xml:space="preserve"> </w:t>
      </w:r>
      <w:r>
        <w:rPr>
          <w:sz w:val="20"/>
        </w:rPr>
        <w:t xml:space="preserve">that </w:t>
      </w:r>
      <w:r>
        <w:rPr>
          <w:w w:val="95"/>
          <w:sz w:val="20"/>
        </w:rPr>
        <w:t xml:space="preserve">supports knowledge-based businesses and the </w:t>
      </w:r>
      <w:r>
        <w:rPr>
          <w:sz w:val="20"/>
        </w:rPr>
        <w:t>visitor</w:t>
      </w:r>
      <w:r>
        <w:rPr>
          <w:spacing w:val="-11"/>
          <w:sz w:val="20"/>
        </w:rPr>
        <w:t xml:space="preserve"> </w:t>
      </w:r>
      <w:r>
        <w:rPr>
          <w:sz w:val="20"/>
        </w:rPr>
        <w:t>economy</w:t>
      </w:r>
    </w:p>
    <w:p w:rsidR="002C1123" w:rsidRDefault="00F22F94">
      <w:pPr>
        <w:pStyle w:val="ListParagraph"/>
        <w:numPr>
          <w:ilvl w:val="0"/>
          <w:numId w:val="126"/>
        </w:numPr>
        <w:tabs>
          <w:tab w:val="left" w:pos="487"/>
        </w:tabs>
        <w:spacing w:before="131" w:line="249" w:lineRule="auto"/>
        <w:ind w:left="486"/>
        <w:rPr>
          <w:sz w:val="20"/>
        </w:rPr>
      </w:pPr>
      <w:r>
        <w:rPr>
          <w:w w:val="95"/>
          <w:sz w:val="20"/>
        </w:rPr>
        <w:t>providing</w:t>
      </w:r>
      <w:r>
        <w:rPr>
          <w:spacing w:val="-5"/>
          <w:w w:val="95"/>
          <w:sz w:val="20"/>
        </w:rPr>
        <w:t xml:space="preserve"> </w:t>
      </w:r>
      <w:r>
        <w:rPr>
          <w:w w:val="95"/>
          <w:sz w:val="20"/>
        </w:rPr>
        <w:t>efficient</w:t>
      </w:r>
      <w:r>
        <w:rPr>
          <w:spacing w:val="-5"/>
          <w:w w:val="95"/>
          <w:sz w:val="20"/>
        </w:rPr>
        <w:t xml:space="preserve"> </w:t>
      </w:r>
      <w:r>
        <w:rPr>
          <w:w w:val="95"/>
          <w:sz w:val="20"/>
        </w:rPr>
        <w:t>transport</w:t>
      </w:r>
      <w:r>
        <w:rPr>
          <w:spacing w:val="-5"/>
          <w:w w:val="95"/>
          <w:sz w:val="20"/>
        </w:rPr>
        <w:t xml:space="preserve"> </w:t>
      </w:r>
      <w:r>
        <w:rPr>
          <w:w w:val="95"/>
          <w:sz w:val="20"/>
        </w:rPr>
        <w:t>links</w:t>
      </w:r>
      <w:r>
        <w:rPr>
          <w:spacing w:val="-5"/>
          <w:w w:val="95"/>
          <w:sz w:val="20"/>
        </w:rPr>
        <w:t xml:space="preserve"> </w:t>
      </w:r>
      <w:r>
        <w:rPr>
          <w:w w:val="95"/>
          <w:sz w:val="20"/>
        </w:rPr>
        <w:t>to</w:t>
      </w:r>
      <w:r>
        <w:rPr>
          <w:spacing w:val="-5"/>
          <w:w w:val="95"/>
          <w:sz w:val="20"/>
        </w:rPr>
        <w:t xml:space="preserve"> </w:t>
      </w:r>
      <w:r>
        <w:rPr>
          <w:w w:val="95"/>
          <w:sz w:val="20"/>
        </w:rPr>
        <w:t>our</w:t>
      </w:r>
      <w:r>
        <w:rPr>
          <w:spacing w:val="-5"/>
          <w:w w:val="95"/>
          <w:sz w:val="20"/>
        </w:rPr>
        <w:t xml:space="preserve"> </w:t>
      </w:r>
      <w:r>
        <w:rPr>
          <w:w w:val="95"/>
          <w:sz w:val="20"/>
        </w:rPr>
        <w:t xml:space="preserve">international </w:t>
      </w:r>
      <w:r>
        <w:rPr>
          <w:sz w:val="20"/>
        </w:rPr>
        <w:t>gateways</w:t>
      </w:r>
      <w:r>
        <w:rPr>
          <w:spacing w:val="-10"/>
          <w:sz w:val="20"/>
        </w:rPr>
        <w:t xml:space="preserve"> </w:t>
      </w:r>
      <w:r>
        <w:rPr>
          <w:sz w:val="20"/>
        </w:rPr>
        <w:t>–</w:t>
      </w:r>
      <w:r>
        <w:rPr>
          <w:spacing w:val="-10"/>
          <w:sz w:val="20"/>
        </w:rPr>
        <w:t xml:space="preserve"> </w:t>
      </w:r>
      <w:r>
        <w:rPr>
          <w:sz w:val="20"/>
        </w:rPr>
        <w:t>Sydney</w:t>
      </w:r>
      <w:r>
        <w:rPr>
          <w:spacing w:val="-10"/>
          <w:sz w:val="20"/>
        </w:rPr>
        <w:t xml:space="preserve"> </w:t>
      </w:r>
      <w:r>
        <w:rPr>
          <w:sz w:val="20"/>
        </w:rPr>
        <w:t>Airport</w:t>
      </w:r>
      <w:r>
        <w:rPr>
          <w:spacing w:val="-10"/>
          <w:sz w:val="20"/>
        </w:rPr>
        <w:t xml:space="preserve"> </w:t>
      </w:r>
      <w:r>
        <w:rPr>
          <w:sz w:val="20"/>
        </w:rPr>
        <w:t>and</w:t>
      </w:r>
      <w:r>
        <w:rPr>
          <w:spacing w:val="-10"/>
          <w:sz w:val="20"/>
        </w:rPr>
        <w:t xml:space="preserve"> </w:t>
      </w:r>
      <w:r>
        <w:rPr>
          <w:sz w:val="20"/>
        </w:rPr>
        <w:t>Port</w:t>
      </w:r>
      <w:r>
        <w:rPr>
          <w:spacing w:val="-10"/>
          <w:sz w:val="20"/>
        </w:rPr>
        <w:t xml:space="preserve"> </w:t>
      </w:r>
      <w:r>
        <w:rPr>
          <w:sz w:val="20"/>
        </w:rPr>
        <w:t>Botany.</w:t>
      </w:r>
    </w:p>
    <w:p w:rsidR="002C1123" w:rsidRDefault="00F22F94">
      <w:pPr>
        <w:pStyle w:val="BodyText"/>
        <w:spacing w:before="134" w:line="249" w:lineRule="auto"/>
        <w:ind w:left="436" w:right="769"/>
      </w:pPr>
      <w:r>
        <w:br w:type="column"/>
      </w:r>
      <w:r>
        <w:t>This</w:t>
      </w:r>
      <w:r>
        <w:rPr>
          <w:spacing w:val="-13"/>
        </w:rPr>
        <w:t xml:space="preserve"> </w:t>
      </w:r>
      <w:r>
        <w:t>section</w:t>
      </w:r>
      <w:r>
        <w:rPr>
          <w:spacing w:val="-13"/>
        </w:rPr>
        <w:t xml:space="preserve"> </w:t>
      </w:r>
      <w:r>
        <w:t>is</w:t>
      </w:r>
      <w:r>
        <w:rPr>
          <w:spacing w:val="-13"/>
        </w:rPr>
        <w:t xml:space="preserve"> </w:t>
      </w:r>
      <w:r>
        <w:t>the</w:t>
      </w:r>
      <w:r>
        <w:rPr>
          <w:spacing w:val="-13"/>
        </w:rPr>
        <w:t xml:space="preserve"> </w:t>
      </w:r>
      <w:r>
        <w:t>first</w:t>
      </w:r>
      <w:r>
        <w:rPr>
          <w:spacing w:val="-13"/>
        </w:rPr>
        <w:t xml:space="preserve"> </w:t>
      </w:r>
      <w:r>
        <w:t>of</w:t>
      </w:r>
      <w:r>
        <w:rPr>
          <w:spacing w:val="-13"/>
        </w:rPr>
        <w:t xml:space="preserve"> </w:t>
      </w:r>
      <w:r>
        <w:t>two</w:t>
      </w:r>
      <w:r>
        <w:rPr>
          <w:spacing w:val="-13"/>
        </w:rPr>
        <w:t xml:space="preserve"> </w:t>
      </w:r>
      <w:r>
        <w:t>relating</w:t>
      </w:r>
      <w:r>
        <w:rPr>
          <w:spacing w:val="-13"/>
        </w:rPr>
        <w:t xml:space="preserve"> </w:t>
      </w:r>
      <w:r>
        <w:t>to</w:t>
      </w:r>
      <w:r>
        <w:rPr>
          <w:spacing w:val="-13"/>
        </w:rPr>
        <w:t xml:space="preserve"> </w:t>
      </w:r>
      <w:r>
        <w:t>Sydney</w:t>
      </w:r>
      <w:r>
        <w:rPr>
          <w:spacing w:val="-13"/>
        </w:rPr>
        <w:t xml:space="preserve"> </w:t>
      </w:r>
      <w:r>
        <w:t>that considers</w:t>
      </w:r>
      <w:r>
        <w:rPr>
          <w:spacing w:val="-13"/>
        </w:rPr>
        <w:t xml:space="preserve"> </w:t>
      </w:r>
      <w:r>
        <w:t>the</w:t>
      </w:r>
      <w:r>
        <w:rPr>
          <w:spacing w:val="-13"/>
        </w:rPr>
        <w:t xml:space="preserve"> </w:t>
      </w:r>
      <w:r>
        <w:t>city’s</w:t>
      </w:r>
      <w:r>
        <w:rPr>
          <w:spacing w:val="-13"/>
        </w:rPr>
        <w:t xml:space="preserve"> </w:t>
      </w:r>
      <w:r>
        <w:t>infrastructure</w:t>
      </w:r>
      <w:r>
        <w:rPr>
          <w:spacing w:val="-13"/>
        </w:rPr>
        <w:t xml:space="preserve"> </w:t>
      </w:r>
      <w:r>
        <w:t>needs</w:t>
      </w:r>
      <w:r>
        <w:rPr>
          <w:spacing w:val="-13"/>
        </w:rPr>
        <w:t xml:space="preserve"> </w:t>
      </w:r>
      <w:r>
        <w:t>in</w:t>
      </w:r>
      <w:r>
        <w:rPr>
          <w:spacing w:val="-13"/>
        </w:rPr>
        <w:t xml:space="preserve"> </w:t>
      </w:r>
      <w:r>
        <w:t>a</w:t>
      </w:r>
      <w:r>
        <w:rPr>
          <w:spacing w:val="-13"/>
        </w:rPr>
        <w:t xml:space="preserve"> </w:t>
      </w:r>
      <w:r>
        <w:t>spatial context.</w:t>
      </w:r>
      <w:r>
        <w:rPr>
          <w:spacing w:val="-12"/>
        </w:rPr>
        <w:t xml:space="preserve"> </w:t>
      </w:r>
      <w:r>
        <w:t>This</w:t>
      </w:r>
      <w:r>
        <w:rPr>
          <w:spacing w:val="-12"/>
        </w:rPr>
        <w:t xml:space="preserve"> </w:t>
      </w:r>
      <w:r>
        <w:t>section</w:t>
      </w:r>
      <w:r>
        <w:rPr>
          <w:spacing w:val="-12"/>
        </w:rPr>
        <w:t xml:space="preserve"> </w:t>
      </w:r>
      <w:r>
        <w:t>deals</w:t>
      </w:r>
      <w:r>
        <w:rPr>
          <w:spacing w:val="-12"/>
        </w:rPr>
        <w:t xml:space="preserve"> </w:t>
      </w:r>
      <w:r>
        <w:t>with</w:t>
      </w:r>
      <w:r>
        <w:rPr>
          <w:spacing w:val="-12"/>
        </w:rPr>
        <w:t xml:space="preserve"> </w:t>
      </w:r>
      <w:r>
        <w:t>the</w:t>
      </w:r>
      <w:r>
        <w:rPr>
          <w:spacing w:val="-12"/>
        </w:rPr>
        <w:t xml:space="preserve"> </w:t>
      </w:r>
      <w:r>
        <w:t>areas</w:t>
      </w:r>
      <w:r>
        <w:rPr>
          <w:spacing w:val="-12"/>
        </w:rPr>
        <w:t xml:space="preserve"> </w:t>
      </w:r>
      <w:r>
        <w:t>of</w:t>
      </w:r>
      <w:r>
        <w:rPr>
          <w:spacing w:val="-12"/>
        </w:rPr>
        <w:t xml:space="preserve"> </w:t>
      </w:r>
      <w:r>
        <w:t>central Sydney</w:t>
      </w:r>
      <w:r>
        <w:rPr>
          <w:spacing w:val="-14"/>
        </w:rPr>
        <w:t xml:space="preserve"> </w:t>
      </w:r>
      <w:r>
        <w:t>that</w:t>
      </w:r>
      <w:r>
        <w:rPr>
          <w:spacing w:val="-14"/>
        </w:rPr>
        <w:t xml:space="preserve"> </w:t>
      </w:r>
      <w:r>
        <w:t>drive</w:t>
      </w:r>
      <w:r>
        <w:rPr>
          <w:spacing w:val="-14"/>
        </w:rPr>
        <w:t xml:space="preserve"> </w:t>
      </w:r>
      <w:r>
        <w:t>the</w:t>
      </w:r>
      <w:r>
        <w:rPr>
          <w:spacing w:val="-14"/>
        </w:rPr>
        <w:t xml:space="preserve"> </w:t>
      </w:r>
      <w:r>
        <w:t>city’s</w:t>
      </w:r>
      <w:r>
        <w:rPr>
          <w:spacing w:val="-13"/>
        </w:rPr>
        <w:t xml:space="preserve"> </w:t>
      </w:r>
      <w:r>
        <w:t>global</w:t>
      </w:r>
      <w:r>
        <w:rPr>
          <w:spacing w:val="-14"/>
        </w:rPr>
        <w:t xml:space="preserve"> </w:t>
      </w:r>
      <w:r>
        <w:t>economy.</w:t>
      </w:r>
      <w:r>
        <w:rPr>
          <w:spacing w:val="-14"/>
        </w:rPr>
        <w:t xml:space="preserve"> </w:t>
      </w:r>
      <w:r>
        <w:t>The</w:t>
      </w:r>
      <w:r>
        <w:rPr>
          <w:spacing w:val="-14"/>
        </w:rPr>
        <w:t xml:space="preserve"> </w:t>
      </w:r>
      <w:r>
        <w:t xml:space="preserve">next </w:t>
      </w:r>
      <w:r>
        <w:rPr>
          <w:w w:val="95"/>
        </w:rPr>
        <w:t>section</w:t>
      </w:r>
      <w:r>
        <w:rPr>
          <w:spacing w:val="-8"/>
          <w:w w:val="95"/>
        </w:rPr>
        <w:t xml:space="preserve"> </w:t>
      </w:r>
      <w:r>
        <w:rPr>
          <w:w w:val="95"/>
        </w:rPr>
        <w:t>deals</w:t>
      </w:r>
      <w:r>
        <w:rPr>
          <w:spacing w:val="-8"/>
          <w:w w:val="95"/>
        </w:rPr>
        <w:t xml:space="preserve"> </w:t>
      </w:r>
      <w:r>
        <w:rPr>
          <w:w w:val="95"/>
        </w:rPr>
        <w:t>with</w:t>
      </w:r>
      <w:r>
        <w:rPr>
          <w:spacing w:val="-8"/>
          <w:w w:val="95"/>
        </w:rPr>
        <w:t xml:space="preserve"> </w:t>
      </w:r>
      <w:r>
        <w:rPr>
          <w:w w:val="95"/>
        </w:rPr>
        <w:t>Greater</w:t>
      </w:r>
      <w:r>
        <w:rPr>
          <w:spacing w:val="-8"/>
          <w:w w:val="95"/>
        </w:rPr>
        <w:t xml:space="preserve"> </w:t>
      </w:r>
      <w:r>
        <w:rPr>
          <w:w w:val="95"/>
        </w:rPr>
        <w:t>Sydney,</w:t>
      </w:r>
      <w:r>
        <w:rPr>
          <w:spacing w:val="-8"/>
          <w:w w:val="95"/>
        </w:rPr>
        <w:t xml:space="preserve"> </w:t>
      </w:r>
      <w:r>
        <w:rPr>
          <w:w w:val="95"/>
        </w:rPr>
        <w:t>where</w:t>
      </w:r>
      <w:r>
        <w:rPr>
          <w:spacing w:val="-8"/>
          <w:w w:val="95"/>
        </w:rPr>
        <w:t xml:space="preserve"> </w:t>
      </w:r>
      <w:r>
        <w:rPr>
          <w:w w:val="95"/>
        </w:rPr>
        <w:t>the</w:t>
      </w:r>
      <w:r>
        <w:rPr>
          <w:spacing w:val="-8"/>
          <w:w w:val="95"/>
        </w:rPr>
        <w:t xml:space="preserve"> </w:t>
      </w:r>
      <w:r>
        <w:rPr>
          <w:w w:val="95"/>
        </w:rPr>
        <w:t>majority</w:t>
      </w:r>
      <w:r>
        <w:rPr>
          <w:spacing w:val="-8"/>
          <w:w w:val="95"/>
        </w:rPr>
        <w:t xml:space="preserve"> </w:t>
      </w:r>
      <w:r>
        <w:rPr>
          <w:w w:val="95"/>
        </w:rPr>
        <w:t xml:space="preserve">of </w:t>
      </w:r>
      <w:r>
        <w:t>NSW residents live and work.</w:t>
      </w:r>
    </w:p>
    <w:p w:rsidR="002C1123" w:rsidRDefault="00F22F94">
      <w:pPr>
        <w:pStyle w:val="BodyText"/>
        <w:spacing w:before="147" w:line="249" w:lineRule="auto"/>
        <w:ind w:left="436" w:right="769"/>
      </w:pPr>
      <w:r>
        <w:rPr>
          <w:w w:val="95"/>
        </w:rPr>
        <w:t>Global</w:t>
      </w:r>
      <w:r>
        <w:rPr>
          <w:spacing w:val="-1"/>
          <w:w w:val="95"/>
        </w:rPr>
        <w:t xml:space="preserve"> </w:t>
      </w:r>
      <w:r>
        <w:rPr>
          <w:w w:val="95"/>
        </w:rPr>
        <w:t>Sydney</w:t>
      </w:r>
      <w:r>
        <w:rPr>
          <w:spacing w:val="-1"/>
          <w:w w:val="95"/>
        </w:rPr>
        <w:t xml:space="preserve"> </w:t>
      </w:r>
      <w:r>
        <w:rPr>
          <w:w w:val="95"/>
        </w:rPr>
        <w:t>comprises</w:t>
      </w:r>
      <w:r>
        <w:rPr>
          <w:spacing w:val="-1"/>
          <w:w w:val="95"/>
        </w:rPr>
        <w:t xml:space="preserve"> </w:t>
      </w:r>
      <w:r>
        <w:rPr>
          <w:w w:val="95"/>
        </w:rPr>
        <w:t>the</w:t>
      </w:r>
      <w:r>
        <w:rPr>
          <w:spacing w:val="-1"/>
          <w:w w:val="95"/>
        </w:rPr>
        <w:t xml:space="preserve"> </w:t>
      </w:r>
      <w:r>
        <w:rPr>
          <w:w w:val="95"/>
        </w:rPr>
        <w:t>inner</w:t>
      </w:r>
      <w:r>
        <w:rPr>
          <w:spacing w:val="-1"/>
          <w:w w:val="95"/>
        </w:rPr>
        <w:t xml:space="preserve"> </w:t>
      </w:r>
      <w:r>
        <w:rPr>
          <w:w w:val="95"/>
        </w:rPr>
        <w:t>urban</w:t>
      </w:r>
      <w:r>
        <w:rPr>
          <w:spacing w:val="-1"/>
          <w:w w:val="95"/>
        </w:rPr>
        <w:t xml:space="preserve"> </w:t>
      </w:r>
      <w:r>
        <w:rPr>
          <w:w w:val="95"/>
        </w:rPr>
        <w:t xml:space="preserve">communities </w:t>
      </w:r>
      <w:r>
        <w:t>of</w:t>
      </w:r>
      <w:r>
        <w:rPr>
          <w:spacing w:val="-14"/>
        </w:rPr>
        <w:t xml:space="preserve"> </w:t>
      </w:r>
      <w:r>
        <w:t>the</w:t>
      </w:r>
      <w:r>
        <w:rPr>
          <w:spacing w:val="-14"/>
        </w:rPr>
        <w:t xml:space="preserve"> </w:t>
      </w:r>
      <w:r>
        <w:t>City</w:t>
      </w:r>
      <w:r>
        <w:rPr>
          <w:spacing w:val="-14"/>
        </w:rPr>
        <w:t xml:space="preserve"> </w:t>
      </w:r>
      <w:r>
        <w:t>of</w:t>
      </w:r>
      <w:r>
        <w:rPr>
          <w:spacing w:val="-14"/>
        </w:rPr>
        <w:t xml:space="preserve"> </w:t>
      </w:r>
      <w:r>
        <w:t>Sydney,</w:t>
      </w:r>
      <w:r>
        <w:rPr>
          <w:spacing w:val="-14"/>
        </w:rPr>
        <w:t xml:space="preserve"> </w:t>
      </w:r>
      <w:r>
        <w:t>the</w:t>
      </w:r>
      <w:r>
        <w:rPr>
          <w:spacing w:val="-14"/>
        </w:rPr>
        <w:t xml:space="preserve"> </w:t>
      </w:r>
      <w:r>
        <w:t>Eastern</w:t>
      </w:r>
      <w:r>
        <w:rPr>
          <w:spacing w:val="-14"/>
        </w:rPr>
        <w:t xml:space="preserve"> </w:t>
      </w:r>
      <w:r>
        <w:t>Suburbs,</w:t>
      </w:r>
      <w:r>
        <w:rPr>
          <w:spacing w:val="-14"/>
        </w:rPr>
        <w:t xml:space="preserve"> </w:t>
      </w:r>
      <w:r>
        <w:t>the</w:t>
      </w:r>
      <w:r>
        <w:rPr>
          <w:spacing w:val="-14"/>
        </w:rPr>
        <w:t xml:space="preserve"> </w:t>
      </w:r>
      <w:r>
        <w:t>Inner West</w:t>
      </w:r>
      <w:r>
        <w:rPr>
          <w:spacing w:val="-11"/>
        </w:rPr>
        <w:t xml:space="preserve"> </w:t>
      </w:r>
      <w:r>
        <w:t>and</w:t>
      </w:r>
      <w:r>
        <w:rPr>
          <w:spacing w:val="-11"/>
        </w:rPr>
        <w:t xml:space="preserve"> </w:t>
      </w:r>
      <w:r>
        <w:t>the</w:t>
      </w:r>
      <w:r>
        <w:rPr>
          <w:spacing w:val="-11"/>
        </w:rPr>
        <w:t xml:space="preserve"> </w:t>
      </w:r>
      <w:r>
        <w:t>Lower</w:t>
      </w:r>
      <w:r>
        <w:rPr>
          <w:spacing w:val="-11"/>
        </w:rPr>
        <w:t xml:space="preserve"> </w:t>
      </w:r>
      <w:r>
        <w:t>North</w:t>
      </w:r>
      <w:r>
        <w:rPr>
          <w:spacing w:val="-11"/>
        </w:rPr>
        <w:t xml:space="preserve"> </w:t>
      </w:r>
      <w:r>
        <w:t>Shore.</w:t>
      </w:r>
      <w:r>
        <w:rPr>
          <w:spacing w:val="-11"/>
        </w:rPr>
        <w:t xml:space="preserve"> </w:t>
      </w:r>
      <w:r>
        <w:t>Global</w:t>
      </w:r>
      <w:r>
        <w:rPr>
          <w:spacing w:val="-11"/>
        </w:rPr>
        <w:t xml:space="preserve"> </w:t>
      </w:r>
      <w:r>
        <w:t>Sydney contains</w:t>
      </w:r>
      <w:r>
        <w:rPr>
          <w:spacing w:val="-13"/>
        </w:rPr>
        <w:t xml:space="preserve"> </w:t>
      </w:r>
      <w:r>
        <w:t>Australia’s</w:t>
      </w:r>
      <w:r>
        <w:rPr>
          <w:spacing w:val="-13"/>
        </w:rPr>
        <w:t xml:space="preserve"> </w:t>
      </w:r>
      <w:r>
        <w:t>most</w:t>
      </w:r>
      <w:r>
        <w:rPr>
          <w:spacing w:val="-13"/>
        </w:rPr>
        <w:t xml:space="preserve"> </w:t>
      </w:r>
      <w:r>
        <w:t>valuable</w:t>
      </w:r>
      <w:r>
        <w:rPr>
          <w:spacing w:val="-13"/>
        </w:rPr>
        <w:t xml:space="preserve"> </w:t>
      </w:r>
      <w:r>
        <w:t>and</w:t>
      </w:r>
      <w:r>
        <w:rPr>
          <w:spacing w:val="-13"/>
        </w:rPr>
        <w:t xml:space="preserve"> </w:t>
      </w:r>
      <w:r>
        <w:t xml:space="preserve">concentrated </w:t>
      </w:r>
      <w:r>
        <w:rPr>
          <w:w w:val="95"/>
        </w:rPr>
        <w:t xml:space="preserve">economic and cultural corridor, along with some of the </w:t>
      </w:r>
      <w:r>
        <w:t>country’s</w:t>
      </w:r>
      <w:r>
        <w:rPr>
          <w:spacing w:val="-4"/>
        </w:rPr>
        <w:t xml:space="preserve"> </w:t>
      </w:r>
      <w:r>
        <w:t>highest</w:t>
      </w:r>
      <w:r>
        <w:rPr>
          <w:spacing w:val="-4"/>
        </w:rPr>
        <w:t xml:space="preserve"> </w:t>
      </w:r>
      <w:r>
        <w:t>density</w:t>
      </w:r>
      <w:r>
        <w:rPr>
          <w:spacing w:val="-4"/>
        </w:rPr>
        <w:t xml:space="preserve"> </w:t>
      </w:r>
      <w:r>
        <w:t>residential</w:t>
      </w:r>
      <w:r>
        <w:rPr>
          <w:spacing w:val="-4"/>
        </w:rPr>
        <w:t xml:space="preserve"> </w:t>
      </w:r>
      <w:r>
        <w:t>suburbs.</w:t>
      </w:r>
    </w:p>
    <w:p w:rsidR="002C1123" w:rsidRDefault="00F22F94">
      <w:pPr>
        <w:pStyle w:val="BodyText"/>
        <w:spacing w:before="147" w:line="249" w:lineRule="auto"/>
        <w:ind w:left="436" w:right="769"/>
      </w:pPr>
      <w:r>
        <w:rPr>
          <w:w w:val="95"/>
        </w:rPr>
        <w:t>The</w:t>
      </w:r>
      <w:r>
        <w:rPr>
          <w:spacing w:val="-3"/>
          <w:w w:val="95"/>
        </w:rPr>
        <w:t xml:space="preserve"> </w:t>
      </w:r>
      <w:r>
        <w:rPr>
          <w:w w:val="95"/>
        </w:rPr>
        <w:t>local</w:t>
      </w:r>
      <w:r>
        <w:rPr>
          <w:spacing w:val="-3"/>
          <w:w w:val="95"/>
        </w:rPr>
        <w:t xml:space="preserve"> </w:t>
      </w:r>
      <w:r>
        <w:rPr>
          <w:w w:val="95"/>
        </w:rPr>
        <w:t>Government</w:t>
      </w:r>
      <w:r>
        <w:rPr>
          <w:spacing w:val="-3"/>
          <w:w w:val="95"/>
        </w:rPr>
        <w:t xml:space="preserve"> </w:t>
      </w:r>
      <w:r>
        <w:rPr>
          <w:w w:val="95"/>
        </w:rPr>
        <w:t>areas</w:t>
      </w:r>
      <w:r>
        <w:rPr>
          <w:spacing w:val="-3"/>
          <w:w w:val="95"/>
        </w:rPr>
        <w:t xml:space="preserve"> </w:t>
      </w:r>
      <w:r>
        <w:rPr>
          <w:w w:val="95"/>
        </w:rPr>
        <w:t>(LGAs)</w:t>
      </w:r>
      <w:r>
        <w:rPr>
          <w:spacing w:val="-3"/>
          <w:w w:val="95"/>
        </w:rPr>
        <w:t xml:space="preserve"> </w:t>
      </w:r>
      <w:r>
        <w:rPr>
          <w:w w:val="95"/>
        </w:rPr>
        <w:t>that</w:t>
      </w:r>
      <w:r>
        <w:rPr>
          <w:spacing w:val="-3"/>
          <w:w w:val="95"/>
        </w:rPr>
        <w:t xml:space="preserve"> </w:t>
      </w:r>
      <w:r>
        <w:rPr>
          <w:w w:val="95"/>
        </w:rPr>
        <w:t>make</w:t>
      </w:r>
      <w:r>
        <w:rPr>
          <w:spacing w:val="-3"/>
          <w:w w:val="95"/>
        </w:rPr>
        <w:t xml:space="preserve"> </w:t>
      </w:r>
      <w:r>
        <w:rPr>
          <w:w w:val="95"/>
        </w:rPr>
        <w:t>up</w:t>
      </w:r>
      <w:r>
        <w:rPr>
          <w:spacing w:val="-3"/>
          <w:w w:val="95"/>
        </w:rPr>
        <w:t xml:space="preserve"> </w:t>
      </w:r>
      <w:r>
        <w:rPr>
          <w:w w:val="95"/>
        </w:rPr>
        <w:t xml:space="preserve">the </w:t>
      </w:r>
      <w:r>
        <w:rPr>
          <w:spacing w:val="-2"/>
        </w:rPr>
        <w:t>Global</w:t>
      </w:r>
      <w:r>
        <w:rPr>
          <w:spacing w:val="-13"/>
        </w:rPr>
        <w:t xml:space="preserve"> </w:t>
      </w:r>
      <w:r>
        <w:rPr>
          <w:spacing w:val="-2"/>
        </w:rPr>
        <w:t>Sydney</w:t>
      </w:r>
      <w:r>
        <w:rPr>
          <w:spacing w:val="-13"/>
        </w:rPr>
        <w:t xml:space="preserve"> </w:t>
      </w:r>
      <w:r>
        <w:rPr>
          <w:spacing w:val="-2"/>
        </w:rPr>
        <w:t>area</w:t>
      </w:r>
      <w:r>
        <w:rPr>
          <w:spacing w:val="-13"/>
        </w:rPr>
        <w:t xml:space="preserve"> </w:t>
      </w:r>
      <w:r>
        <w:rPr>
          <w:spacing w:val="-2"/>
        </w:rPr>
        <w:t>(shown</w:t>
      </w:r>
      <w:r>
        <w:rPr>
          <w:spacing w:val="-13"/>
        </w:rPr>
        <w:t xml:space="preserve"> </w:t>
      </w:r>
      <w:r>
        <w:rPr>
          <w:spacing w:val="-2"/>
        </w:rPr>
        <w:t>in</w:t>
      </w:r>
      <w:r>
        <w:rPr>
          <w:spacing w:val="-13"/>
        </w:rPr>
        <w:t xml:space="preserve"> </w:t>
      </w:r>
      <w:r>
        <w:rPr>
          <w:spacing w:val="-2"/>
        </w:rPr>
        <w:t>figure</w:t>
      </w:r>
      <w:r>
        <w:rPr>
          <w:spacing w:val="-13"/>
        </w:rPr>
        <w:t xml:space="preserve"> </w:t>
      </w:r>
      <w:r>
        <w:rPr>
          <w:spacing w:val="-2"/>
        </w:rPr>
        <w:t>3.1)</w:t>
      </w:r>
      <w:r>
        <w:rPr>
          <w:spacing w:val="-13"/>
        </w:rPr>
        <w:t xml:space="preserve"> </w:t>
      </w:r>
      <w:r>
        <w:rPr>
          <w:spacing w:val="-2"/>
        </w:rPr>
        <w:t>are:</w:t>
      </w:r>
      <w:r>
        <w:rPr>
          <w:spacing w:val="-13"/>
        </w:rPr>
        <w:t xml:space="preserve"> </w:t>
      </w:r>
      <w:r>
        <w:rPr>
          <w:spacing w:val="-2"/>
        </w:rPr>
        <w:t>City</w:t>
      </w:r>
      <w:r>
        <w:rPr>
          <w:spacing w:val="-13"/>
        </w:rPr>
        <w:t xml:space="preserve"> </w:t>
      </w:r>
      <w:r>
        <w:rPr>
          <w:spacing w:val="-2"/>
        </w:rPr>
        <w:t xml:space="preserve">of </w:t>
      </w:r>
      <w:r>
        <w:rPr>
          <w:w w:val="95"/>
        </w:rPr>
        <w:t>Sydney, Waverley, Willoughby, Woollahra, Ashfield, Burwood,</w:t>
      </w:r>
      <w:r>
        <w:rPr>
          <w:spacing w:val="-8"/>
          <w:w w:val="95"/>
        </w:rPr>
        <w:t xml:space="preserve"> </w:t>
      </w:r>
      <w:r>
        <w:rPr>
          <w:w w:val="95"/>
        </w:rPr>
        <w:t>Canada</w:t>
      </w:r>
      <w:r>
        <w:rPr>
          <w:spacing w:val="-8"/>
          <w:w w:val="95"/>
        </w:rPr>
        <w:t xml:space="preserve"> </w:t>
      </w:r>
      <w:r>
        <w:rPr>
          <w:w w:val="95"/>
        </w:rPr>
        <w:t>Bay,</w:t>
      </w:r>
      <w:r>
        <w:rPr>
          <w:spacing w:val="-8"/>
          <w:w w:val="95"/>
        </w:rPr>
        <w:t xml:space="preserve"> </w:t>
      </w:r>
      <w:r>
        <w:rPr>
          <w:w w:val="95"/>
        </w:rPr>
        <w:t>Ryde,</w:t>
      </w:r>
      <w:r>
        <w:rPr>
          <w:spacing w:val="-8"/>
          <w:w w:val="95"/>
        </w:rPr>
        <w:t xml:space="preserve"> </w:t>
      </w:r>
      <w:r>
        <w:rPr>
          <w:w w:val="95"/>
        </w:rPr>
        <w:t>Strathfield,</w:t>
      </w:r>
      <w:r>
        <w:rPr>
          <w:spacing w:val="-8"/>
          <w:w w:val="95"/>
        </w:rPr>
        <w:t xml:space="preserve"> </w:t>
      </w:r>
      <w:r>
        <w:rPr>
          <w:w w:val="95"/>
        </w:rPr>
        <w:t>Hunters</w:t>
      </w:r>
      <w:r>
        <w:rPr>
          <w:spacing w:val="-8"/>
          <w:w w:val="95"/>
        </w:rPr>
        <w:t xml:space="preserve"> </w:t>
      </w:r>
      <w:r>
        <w:rPr>
          <w:w w:val="95"/>
        </w:rPr>
        <w:t xml:space="preserve">Hill, Lane Cove, Leichhardt, Manly, Marrickville, Mosman, </w:t>
      </w:r>
      <w:r>
        <w:t>North Sydney and Randwick.</w:t>
      </w:r>
    </w:p>
    <w:p w:rsidR="002C1123" w:rsidRDefault="00F22F94">
      <w:pPr>
        <w:pStyle w:val="BodyText"/>
        <w:spacing w:before="146" w:line="249" w:lineRule="auto"/>
        <w:ind w:left="436" w:right="305"/>
      </w:pPr>
      <w:r>
        <w:rPr>
          <w:w w:val="95"/>
        </w:rPr>
        <w:t xml:space="preserve">The economic and demographic projections for Global </w:t>
      </w:r>
      <w:r>
        <w:t>Sydney</w:t>
      </w:r>
      <w:r>
        <w:rPr>
          <w:spacing w:val="-11"/>
        </w:rPr>
        <w:t xml:space="preserve"> </w:t>
      </w:r>
      <w:r>
        <w:t>show</w:t>
      </w:r>
      <w:r>
        <w:rPr>
          <w:position w:val="7"/>
          <w:sz w:val="11"/>
        </w:rPr>
        <w:t>1</w:t>
      </w:r>
      <w:r>
        <w:t>:</w:t>
      </w:r>
    </w:p>
    <w:p w:rsidR="002C1123" w:rsidRDefault="00F22F94">
      <w:pPr>
        <w:pStyle w:val="ListParagraph"/>
        <w:numPr>
          <w:ilvl w:val="0"/>
          <w:numId w:val="124"/>
        </w:numPr>
        <w:tabs>
          <w:tab w:val="left" w:pos="721"/>
        </w:tabs>
        <w:spacing w:before="103"/>
        <w:rPr>
          <w:sz w:val="20"/>
        </w:rPr>
      </w:pPr>
      <w:r>
        <w:rPr>
          <w:w w:val="95"/>
          <w:sz w:val="20"/>
        </w:rPr>
        <w:t>The</w:t>
      </w:r>
      <w:r>
        <w:rPr>
          <w:spacing w:val="-2"/>
          <w:w w:val="95"/>
          <w:sz w:val="20"/>
        </w:rPr>
        <w:t xml:space="preserve"> </w:t>
      </w:r>
      <w:r>
        <w:rPr>
          <w:w w:val="95"/>
          <w:sz w:val="20"/>
        </w:rPr>
        <w:t>population</w:t>
      </w:r>
      <w:r>
        <w:rPr>
          <w:spacing w:val="-2"/>
          <w:w w:val="95"/>
          <w:sz w:val="20"/>
        </w:rPr>
        <w:t xml:space="preserve"> </w:t>
      </w:r>
      <w:r>
        <w:rPr>
          <w:w w:val="95"/>
          <w:sz w:val="20"/>
        </w:rPr>
        <w:t>is</w:t>
      </w:r>
      <w:r>
        <w:rPr>
          <w:spacing w:val="-2"/>
          <w:w w:val="95"/>
          <w:sz w:val="20"/>
        </w:rPr>
        <w:t xml:space="preserve"> </w:t>
      </w:r>
      <w:r>
        <w:rPr>
          <w:w w:val="95"/>
          <w:sz w:val="20"/>
        </w:rPr>
        <w:t>expected</w:t>
      </w:r>
      <w:r>
        <w:rPr>
          <w:spacing w:val="-2"/>
          <w:w w:val="95"/>
          <w:sz w:val="20"/>
        </w:rPr>
        <w:t xml:space="preserve"> </w:t>
      </w:r>
      <w:r>
        <w:rPr>
          <w:w w:val="95"/>
          <w:sz w:val="20"/>
        </w:rPr>
        <w:t>to</w:t>
      </w:r>
      <w:r>
        <w:rPr>
          <w:spacing w:val="-2"/>
          <w:w w:val="95"/>
          <w:sz w:val="20"/>
        </w:rPr>
        <w:t xml:space="preserve"> </w:t>
      </w:r>
      <w:r>
        <w:rPr>
          <w:w w:val="95"/>
          <w:sz w:val="20"/>
        </w:rPr>
        <w:t>grow</w:t>
      </w:r>
      <w:r>
        <w:rPr>
          <w:spacing w:val="-2"/>
          <w:w w:val="95"/>
          <w:sz w:val="20"/>
        </w:rPr>
        <w:t xml:space="preserve"> around</w:t>
      </w:r>
    </w:p>
    <w:p w:rsidR="002C1123" w:rsidRDefault="00F22F94">
      <w:pPr>
        <w:pStyle w:val="BodyText"/>
        <w:spacing w:before="10" w:line="249" w:lineRule="auto"/>
        <w:ind w:left="720" w:right="1183"/>
      </w:pPr>
      <w:r>
        <w:rPr>
          <w:w w:val="95"/>
        </w:rPr>
        <w:t>1.3</w:t>
      </w:r>
      <w:r>
        <w:rPr>
          <w:spacing w:val="-1"/>
          <w:w w:val="95"/>
        </w:rPr>
        <w:t xml:space="preserve"> </w:t>
      </w:r>
      <w:r>
        <w:rPr>
          <w:w w:val="95"/>
        </w:rPr>
        <w:t>per</w:t>
      </w:r>
      <w:r>
        <w:rPr>
          <w:spacing w:val="-1"/>
          <w:w w:val="95"/>
        </w:rPr>
        <w:t xml:space="preserve"> </w:t>
      </w:r>
      <w:r>
        <w:rPr>
          <w:w w:val="95"/>
        </w:rPr>
        <w:t>cent</w:t>
      </w:r>
      <w:r>
        <w:rPr>
          <w:spacing w:val="-1"/>
          <w:w w:val="95"/>
        </w:rPr>
        <w:t xml:space="preserve"> </w:t>
      </w:r>
      <w:r>
        <w:rPr>
          <w:w w:val="95"/>
        </w:rPr>
        <w:t>per</w:t>
      </w:r>
      <w:r>
        <w:rPr>
          <w:spacing w:val="-1"/>
          <w:w w:val="95"/>
        </w:rPr>
        <w:t xml:space="preserve"> </w:t>
      </w:r>
      <w:r>
        <w:rPr>
          <w:w w:val="95"/>
        </w:rPr>
        <w:t>annum,</w:t>
      </w:r>
      <w:r>
        <w:rPr>
          <w:spacing w:val="-1"/>
          <w:w w:val="95"/>
        </w:rPr>
        <w:t xml:space="preserve"> </w:t>
      </w:r>
      <w:r>
        <w:rPr>
          <w:w w:val="95"/>
        </w:rPr>
        <w:t>or</w:t>
      </w:r>
      <w:r>
        <w:rPr>
          <w:spacing w:val="-1"/>
          <w:w w:val="95"/>
        </w:rPr>
        <w:t xml:space="preserve"> </w:t>
      </w:r>
      <w:r>
        <w:rPr>
          <w:w w:val="95"/>
        </w:rPr>
        <w:t>by</w:t>
      </w:r>
      <w:r>
        <w:rPr>
          <w:spacing w:val="-1"/>
          <w:w w:val="95"/>
        </w:rPr>
        <w:t xml:space="preserve"> </w:t>
      </w:r>
      <w:r>
        <w:rPr>
          <w:w w:val="95"/>
        </w:rPr>
        <w:t>400,000</w:t>
      </w:r>
      <w:r>
        <w:rPr>
          <w:spacing w:val="-1"/>
          <w:w w:val="95"/>
        </w:rPr>
        <w:t xml:space="preserve"> </w:t>
      </w:r>
      <w:r>
        <w:rPr>
          <w:w w:val="95"/>
        </w:rPr>
        <w:t xml:space="preserve">people, </w:t>
      </w:r>
      <w:r>
        <w:t>to</w:t>
      </w:r>
      <w:r>
        <w:rPr>
          <w:spacing w:val="-3"/>
        </w:rPr>
        <w:t xml:space="preserve"> </w:t>
      </w:r>
      <w:r>
        <w:t>more</w:t>
      </w:r>
      <w:r>
        <w:rPr>
          <w:spacing w:val="-3"/>
        </w:rPr>
        <w:t xml:space="preserve"> </w:t>
      </w:r>
      <w:r>
        <w:t>than</w:t>
      </w:r>
      <w:r>
        <w:rPr>
          <w:spacing w:val="-3"/>
        </w:rPr>
        <w:t xml:space="preserve"> </w:t>
      </w:r>
      <w:r>
        <w:t>1.7</w:t>
      </w:r>
      <w:r>
        <w:rPr>
          <w:spacing w:val="-3"/>
        </w:rPr>
        <w:t xml:space="preserve"> </w:t>
      </w:r>
      <w:r>
        <w:t>million</w:t>
      </w:r>
      <w:r>
        <w:rPr>
          <w:spacing w:val="-3"/>
        </w:rPr>
        <w:t xml:space="preserve"> </w:t>
      </w:r>
      <w:r>
        <w:t>people.</w:t>
      </w:r>
    </w:p>
    <w:p w:rsidR="002C1123" w:rsidRDefault="00F22F94">
      <w:pPr>
        <w:pStyle w:val="ListParagraph"/>
        <w:numPr>
          <w:ilvl w:val="0"/>
          <w:numId w:val="124"/>
        </w:numPr>
        <w:tabs>
          <w:tab w:val="left" w:pos="721"/>
        </w:tabs>
        <w:spacing w:before="102" w:line="249" w:lineRule="auto"/>
        <w:ind w:right="958"/>
        <w:rPr>
          <w:sz w:val="20"/>
        </w:rPr>
      </w:pPr>
      <w:r>
        <w:rPr>
          <w:w w:val="95"/>
          <w:sz w:val="20"/>
        </w:rPr>
        <w:t>GSP</w:t>
      </w:r>
      <w:r>
        <w:rPr>
          <w:spacing w:val="-4"/>
          <w:w w:val="95"/>
          <w:sz w:val="20"/>
        </w:rPr>
        <w:t xml:space="preserve"> </w:t>
      </w:r>
      <w:r>
        <w:rPr>
          <w:w w:val="95"/>
          <w:sz w:val="20"/>
        </w:rPr>
        <w:t>is</w:t>
      </w:r>
      <w:r>
        <w:rPr>
          <w:spacing w:val="-4"/>
          <w:w w:val="95"/>
          <w:sz w:val="20"/>
        </w:rPr>
        <w:t xml:space="preserve"> </w:t>
      </w:r>
      <w:r>
        <w:rPr>
          <w:w w:val="95"/>
          <w:sz w:val="20"/>
        </w:rPr>
        <w:t>forecast</w:t>
      </w:r>
      <w:r>
        <w:rPr>
          <w:spacing w:val="-4"/>
          <w:w w:val="95"/>
          <w:sz w:val="20"/>
        </w:rPr>
        <w:t xml:space="preserve"> </w:t>
      </w:r>
      <w:r>
        <w:rPr>
          <w:w w:val="95"/>
          <w:sz w:val="20"/>
        </w:rPr>
        <w:t>to</w:t>
      </w:r>
      <w:r>
        <w:rPr>
          <w:spacing w:val="-4"/>
          <w:w w:val="95"/>
          <w:sz w:val="20"/>
        </w:rPr>
        <w:t xml:space="preserve"> </w:t>
      </w:r>
      <w:r>
        <w:rPr>
          <w:w w:val="95"/>
          <w:sz w:val="20"/>
        </w:rPr>
        <w:t>grow</w:t>
      </w:r>
      <w:r>
        <w:rPr>
          <w:spacing w:val="-4"/>
          <w:w w:val="95"/>
          <w:sz w:val="20"/>
        </w:rPr>
        <w:t xml:space="preserve"> </w:t>
      </w:r>
      <w:r>
        <w:rPr>
          <w:w w:val="95"/>
          <w:sz w:val="20"/>
        </w:rPr>
        <w:t>by</w:t>
      </w:r>
      <w:r>
        <w:rPr>
          <w:spacing w:val="-4"/>
          <w:w w:val="95"/>
          <w:sz w:val="20"/>
        </w:rPr>
        <w:t xml:space="preserve"> </w:t>
      </w:r>
      <w:r>
        <w:rPr>
          <w:w w:val="95"/>
          <w:sz w:val="20"/>
        </w:rPr>
        <w:t>2.8</w:t>
      </w:r>
      <w:r>
        <w:rPr>
          <w:spacing w:val="-4"/>
          <w:w w:val="95"/>
          <w:sz w:val="20"/>
        </w:rPr>
        <w:t xml:space="preserve"> </w:t>
      </w:r>
      <w:r>
        <w:rPr>
          <w:w w:val="95"/>
          <w:sz w:val="20"/>
        </w:rPr>
        <w:t>percent</w:t>
      </w:r>
      <w:r>
        <w:rPr>
          <w:spacing w:val="-4"/>
          <w:w w:val="95"/>
          <w:sz w:val="20"/>
        </w:rPr>
        <w:t xml:space="preserve"> </w:t>
      </w:r>
      <w:r>
        <w:rPr>
          <w:w w:val="95"/>
          <w:sz w:val="20"/>
        </w:rPr>
        <w:t>per</w:t>
      </w:r>
      <w:r>
        <w:rPr>
          <w:spacing w:val="-4"/>
          <w:w w:val="95"/>
          <w:sz w:val="20"/>
        </w:rPr>
        <w:t xml:space="preserve"> </w:t>
      </w:r>
      <w:r>
        <w:rPr>
          <w:w w:val="95"/>
          <w:sz w:val="20"/>
        </w:rPr>
        <w:t xml:space="preserve">annum. </w:t>
      </w:r>
      <w:r>
        <w:rPr>
          <w:sz w:val="20"/>
        </w:rPr>
        <w:t>Global</w:t>
      </w:r>
      <w:r>
        <w:rPr>
          <w:spacing w:val="-14"/>
          <w:sz w:val="20"/>
        </w:rPr>
        <w:t xml:space="preserve"> </w:t>
      </w:r>
      <w:r>
        <w:rPr>
          <w:sz w:val="20"/>
        </w:rPr>
        <w:t>Sydney’s</w:t>
      </w:r>
      <w:r>
        <w:rPr>
          <w:spacing w:val="-14"/>
          <w:sz w:val="20"/>
        </w:rPr>
        <w:t xml:space="preserve"> </w:t>
      </w:r>
      <w:r>
        <w:rPr>
          <w:sz w:val="20"/>
        </w:rPr>
        <w:t>share</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State’s</w:t>
      </w:r>
      <w:r>
        <w:rPr>
          <w:spacing w:val="-14"/>
          <w:sz w:val="20"/>
        </w:rPr>
        <w:t xml:space="preserve"> </w:t>
      </w:r>
      <w:r>
        <w:rPr>
          <w:sz w:val="20"/>
        </w:rPr>
        <w:t>economy</w:t>
      </w:r>
      <w:r>
        <w:rPr>
          <w:spacing w:val="-14"/>
          <w:sz w:val="20"/>
        </w:rPr>
        <w:t xml:space="preserve"> </w:t>
      </w:r>
      <w:r>
        <w:rPr>
          <w:sz w:val="20"/>
        </w:rPr>
        <w:t>in 2031 will be largely unchanged.</w:t>
      </w:r>
    </w:p>
    <w:p w:rsidR="002C1123" w:rsidRDefault="00F22F94">
      <w:pPr>
        <w:pStyle w:val="ListParagraph"/>
        <w:numPr>
          <w:ilvl w:val="0"/>
          <w:numId w:val="124"/>
        </w:numPr>
        <w:tabs>
          <w:tab w:val="left" w:pos="721"/>
        </w:tabs>
        <w:spacing w:before="103" w:line="249" w:lineRule="auto"/>
        <w:ind w:right="1003"/>
        <w:rPr>
          <w:sz w:val="20"/>
        </w:rPr>
      </w:pPr>
      <w:r>
        <w:rPr>
          <w:w w:val="95"/>
          <w:sz w:val="20"/>
        </w:rPr>
        <w:t>The</w:t>
      </w:r>
      <w:r>
        <w:rPr>
          <w:spacing w:val="-8"/>
          <w:w w:val="95"/>
          <w:sz w:val="20"/>
        </w:rPr>
        <w:t xml:space="preserve"> </w:t>
      </w:r>
      <w:r>
        <w:rPr>
          <w:w w:val="95"/>
          <w:sz w:val="20"/>
        </w:rPr>
        <w:t>number</w:t>
      </w:r>
      <w:r>
        <w:rPr>
          <w:spacing w:val="-8"/>
          <w:w w:val="95"/>
          <w:sz w:val="20"/>
        </w:rPr>
        <w:t xml:space="preserve"> </w:t>
      </w:r>
      <w:r>
        <w:rPr>
          <w:w w:val="95"/>
          <w:sz w:val="20"/>
        </w:rPr>
        <w:t>of</w:t>
      </w:r>
      <w:r>
        <w:rPr>
          <w:spacing w:val="-8"/>
          <w:w w:val="95"/>
          <w:sz w:val="20"/>
        </w:rPr>
        <w:t xml:space="preserve"> </w:t>
      </w:r>
      <w:r>
        <w:rPr>
          <w:w w:val="95"/>
          <w:sz w:val="20"/>
        </w:rPr>
        <w:t>jobs</w:t>
      </w:r>
      <w:r>
        <w:rPr>
          <w:spacing w:val="-8"/>
          <w:w w:val="95"/>
          <w:sz w:val="20"/>
        </w:rPr>
        <w:t xml:space="preserve"> </w:t>
      </w:r>
      <w:r>
        <w:rPr>
          <w:w w:val="95"/>
          <w:sz w:val="20"/>
        </w:rPr>
        <w:t>in</w:t>
      </w:r>
      <w:r>
        <w:rPr>
          <w:spacing w:val="-8"/>
          <w:w w:val="95"/>
          <w:sz w:val="20"/>
        </w:rPr>
        <w:t xml:space="preserve"> </w:t>
      </w:r>
      <w:r>
        <w:rPr>
          <w:w w:val="95"/>
          <w:sz w:val="20"/>
        </w:rPr>
        <w:t>Global</w:t>
      </w:r>
      <w:r>
        <w:rPr>
          <w:spacing w:val="-8"/>
          <w:w w:val="95"/>
          <w:sz w:val="20"/>
        </w:rPr>
        <w:t xml:space="preserve"> </w:t>
      </w:r>
      <w:r>
        <w:rPr>
          <w:w w:val="95"/>
          <w:sz w:val="20"/>
        </w:rPr>
        <w:t>Sydney</w:t>
      </w:r>
      <w:r>
        <w:rPr>
          <w:spacing w:val="-8"/>
          <w:w w:val="95"/>
          <w:sz w:val="20"/>
        </w:rPr>
        <w:t xml:space="preserve"> </w:t>
      </w:r>
      <w:r>
        <w:rPr>
          <w:w w:val="95"/>
          <w:sz w:val="20"/>
        </w:rPr>
        <w:t>is</w:t>
      </w:r>
      <w:r>
        <w:rPr>
          <w:spacing w:val="-8"/>
          <w:w w:val="95"/>
          <w:sz w:val="20"/>
        </w:rPr>
        <w:t xml:space="preserve"> </w:t>
      </w:r>
      <w:r>
        <w:rPr>
          <w:w w:val="95"/>
          <w:sz w:val="20"/>
        </w:rPr>
        <w:t>forecast</w:t>
      </w:r>
      <w:r>
        <w:rPr>
          <w:spacing w:val="-8"/>
          <w:w w:val="95"/>
          <w:sz w:val="20"/>
        </w:rPr>
        <w:t xml:space="preserve"> </w:t>
      </w:r>
      <w:r>
        <w:rPr>
          <w:w w:val="95"/>
          <w:sz w:val="20"/>
        </w:rPr>
        <w:t xml:space="preserve">to </w:t>
      </w:r>
      <w:r>
        <w:rPr>
          <w:sz w:val="20"/>
        </w:rPr>
        <w:t>grow</w:t>
      </w:r>
      <w:r>
        <w:rPr>
          <w:spacing w:val="-9"/>
          <w:sz w:val="20"/>
        </w:rPr>
        <w:t xml:space="preserve"> </w:t>
      </w:r>
      <w:r>
        <w:rPr>
          <w:sz w:val="20"/>
        </w:rPr>
        <w:t>by</w:t>
      </w:r>
      <w:r>
        <w:rPr>
          <w:spacing w:val="-9"/>
          <w:sz w:val="20"/>
        </w:rPr>
        <w:t xml:space="preserve"> </w:t>
      </w:r>
      <w:r>
        <w:rPr>
          <w:sz w:val="20"/>
        </w:rPr>
        <w:t>around</w:t>
      </w:r>
      <w:r>
        <w:rPr>
          <w:spacing w:val="-9"/>
          <w:sz w:val="20"/>
        </w:rPr>
        <w:t xml:space="preserve"> </w:t>
      </w:r>
      <w:r>
        <w:rPr>
          <w:sz w:val="20"/>
        </w:rPr>
        <w:t>200,000</w:t>
      </w:r>
      <w:r>
        <w:rPr>
          <w:spacing w:val="-9"/>
          <w:sz w:val="20"/>
        </w:rPr>
        <w:t xml:space="preserve"> </w:t>
      </w:r>
      <w:r>
        <w:rPr>
          <w:sz w:val="20"/>
        </w:rPr>
        <w:t>to</w:t>
      </w:r>
      <w:r>
        <w:rPr>
          <w:spacing w:val="-9"/>
          <w:sz w:val="20"/>
        </w:rPr>
        <w:t xml:space="preserve"> </w:t>
      </w:r>
      <w:r>
        <w:rPr>
          <w:sz w:val="20"/>
        </w:rPr>
        <w:t>1.2</w:t>
      </w:r>
      <w:r>
        <w:rPr>
          <w:spacing w:val="-9"/>
          <w:sz w:val="20"/>
        </w:rPr>
        <w:t xml:space="preserve"> </w:t>
      </w:r>
      <w:r>
        <w:rPr>
          <w:sz w:val="20"/>
        </w:rPr>
        <w:t>million</w:t>
      </w:r>
      <w:r>
        <w:rPr>
          <w:spacing w:val="-9"/>
          <w:sz w:val="20"/>
        </w:rPr>
        <w:t xml:space="preserve"> </w:t>
      </w:r>
      <w:r>
        <w:rPr>
          <w:sz w:val="20"/>
        </w:rPr>
        <w:t>in</w:t>
      </w:r>
      <w:r>
        <w:rPr>
          <w:spacing w:val="-9"/>
          <w:sz w:val="20"/>
        </w:rPr>
        <w:t xml:space="preserve"> </w:t>
      </w:r>
      <w:r>
        <w:rPr>
          <w:sz w:val="20"/>
        </w:rPr>
        <w:t>2031.</w:t>
      </w:r>
    </w:p>
    <w:p w:rsidR="002C1123" w:rsidRDefault="002C1123">
      <w:pPr>
        <w:spacing w:line="249" w:lineRule="auto"/>
        <w:rPr>
          <w:sz w:val="20"/>
        </w:rPr>
        <w:sectPr w:rsidR="002C1123">
          <w:type w:val="continuous"/>
          <w:pgSz w:w="16840" w:h="11910" w:orient="landscape"/>
          <w:pgMar w:top="560" w:right="280" w:bottom="280" w:left="500" w:header="0" w:footer="517" w:gutter="0"/>
          <w:cols w:num="3" w:space="720" w:equalWidth="0">
            <w:col w:w="5192" w:space="40"/>
            <w:col w:w="4838" w:space="39"/>
            <w:col w:w="5951"/>
          </w:cols>
        </w:sectPr>
      </w:pPr>
    </w:p>
    <w:p w:rsidR="002C1123" w:rsidRDefault="002C1123">
      <w:pPr>
        <w:pStyle w:val="BodyText"/>
        <w:spacing w:before="10"/>
        <w:rPr>
          <w:sz w:val="15"/>
        </w:rPr>
      </w:pPr>
    </w:p>
    <w:p w:rsidR="002C1123" w:rsidRDefault="002060EF">
      <w:pPr>
        <w:pStyle w:val="BodyText"/>
        <w:spacing w:line="20" w:lineRule="exact"/>
        <w:ind w:left="10545"/>
        <w:rPr>
          <w:sz w:val="2"/>
        </w:rPr>
      </w:pPr>
      <w:r>
        <w:rPr>
          <w:sz w:val="2"/>
        </w:rPr>
      </w:r>
      <w:r>
        <w:rPr>
          <w:sz w:val="2"/>
        </w:rPr>
        <w:pict>
          <v:group id="docshapegroup597" o:spid="_x0000_s4730" style="width:1in;height:.5pt;mso-position-horizontal-relative:char;mso-position-vertical-relative:line" coordsize="1440,10">
            <v:line id="_x0000_s4731" style="position:absolute" from="0,5" to="1440,5" strokecolor="#9c9c9d" strokeweight=".5pt"/>
            <w10:anchorlock/>
          </v:group>
        </w:pict>
      </w:r>
    </w:p>
    <w:p w:rsidR="002C1123" w:rsidRDefault="00F22F94">
      <w:pPr>
        <w:pStyle w:val="ListParagraph"/>
        <w:numPr>
          <w:ilvl w:val="1"/>
          <w:numId w:val="124"/>
        </w:numPr>
        <w:tabs>
          <w:tab w:val="left" w:pos="10745"/>
        </w:tabs>
        <w:spacing w:before="8"/>
        <w:ind w:hanging="200"/>
        <w:jc w:val="left"/>
        <w:rPr>
          <w:sz w:val="14"/>
        </w:rPr>
      </w:pPr>
      <w:r>
        <w:rPr>
          <w:w w:val="95"/>
          <w:sz w:val="14"/>
        </w:rPr>
        <w:t>Deloitte</w:t>
      </w:r>
      <w:r>
        <w:rPr>
          <w:spacing w:val="2"/>
          <w:sz w:val="14"/>
        </w:rPr>
        <w:t xml:space="preserve"> </w:t>
      </w:r>
      <w:r>
        <w:rPr>
          <w:w w:val="95"/>
          <w:sz w:val="14"/>
        </w:rPr>
        <w:t>Access</w:t>
      </w:r>
      <w:r>
        <w:rPr>
          <w:spacing w:val="2"/>
          <w:sz w:val="14"/>
        </w:rPr>
        <w:t xml:space="preserve"> </w:t>
      </w:r>
      <w:r>
        <w:rPr>
          <w:w w:val="95"/>
          <w:sz w:val="14"/>
        </w:rPr>
        <w:t>Economics</w:t>
      </w:r>
      <w:r>
        <w:rPr>
          <w:spacing w:val="3"/>
          <w:sz w:val="14"/>
        </w:rPr>
        <w:t xml:space="preserve"> </w:t>
      </w:r>
      <w:r>
        <w:rPr>
          <w:w w:val="95"/>
          <w:sz w:val="14"/>
        </w:rPr>
        <w:t>2012,</w:t>
      </w:r>
      <w:r>
        <w:rPr>
          <w:spacing w:val="2"/>
          <w:sz w:val="14"/>
        </w:rPr>
        <w:t xml:space="preserve"> </w:t>
      </w:r>
      <w:r>
        <w:rPr>
          <w:w w:val="95"/>
          <w:sz w:val="14"/>
        </w:rPr>
        <w:t>Infrastructure</w:t>
      </w:r>
      <w:r>
        <w:rPr>
          <w:spacing w:val="2"/>
          <w:sz w:val="14"/>
        </w:rPr>
        <w:t xml:space="preserve"> </w:t>
      </w:r>
      <w:r>
        <w:rPr>
          <w:w w:val="95"/>
          <w:sz w:val="14"/>
        </w:rPr>
        <w:t>and</w:t>
      </w:r>
      <w:r>
        <w:rPr>
          <w:spacing w:val="3"/>
          <w:sz w:val="14"/>
        </w:rPr>
        <w:t xml:space="preserve"> </w:t>
      </w:r>
      <w:r>
        <w:rPr>
          <w:w w:val="95"/>
          <w:sz w:val="14"/>
        </w:rPr>
        <w:t>the</w:t>
      </w:r>
      <w:r>
        <w:rPr>
          <w:spacing w:val="2"/>
          <w:sz w:val="14"/>
        </w:rPr>
        <w:t xml:space="preserve"> </w:t>
      </w:r>
      <w:r>
        <w:rPr>
          <w:w w:val="95"/>
          <w:sz w:val="14"/>
        </w:rPr>
        <w:t>NSW</w:t>
      </w:r>
      <w:r>
        <w:rPr>
          <w:spacing w:val="2"/>
          <w:sz w:val="14"/>
        </w:rPr>
        <w:t xml:space="preserve"> </w:t>
      </w:r>
      <w:r>
        <w:rPr>
          <w:spacing w:val="-2"/>
          <w:w w:val="95"/>
          <w:sz w:val="14"/>
        </w:rPr>
        <w:t>Economy.</w:t>
      </w:r>
    </w:p>
    <w:p w:rsidR="002C1123" w:rsidRDefault="002C1123">
      <w:pPr>
        <w:rPr>
          <w:sz w:val="14"/>
        </w:rPr>
        <w:sectPr w:rsidR="002C1123">
          <w:type w:val="continuous"/>
          <w:pgSz w:w="16840" w:h="11910" w:orient="landscape"/>
          <w:pgMar w:top="560" w:right="280" w:bottom="280" w:left="500" w:header="0" w:footer="517"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7"/>
        </w:rPr>
      </w:pPr>
    </w:p>
    <w:p w:rsidR="002C1123" w:rsidRDefault="002C1123">
      <w:pPr>
        <w:rPr>
          <w:sz w:val="17"/>
        </w:rPr>
        <w:sectPr w:rsidR="002C1123">
          <w:pgSz w:w="16840" w:h="11910" w:orient="landscape"/>
          <w:pgMar w:top="560" w:right="280" w:bottom="700" w:left="500" w:header="0" w:footer="517" w:gutter="0"/>
          <w:cols w:space="720"/>
        </w:sectPr>
      </w:pPr>
    </w:p>
    <w:p w:rsidR="002C1123" w:rsidRDefault="002060EF">
      <w:pPr>
        <w:pStyle w:val="Heading5"/>
        <w:numPr>
          <w:ilvl w:val="4"/>
          <w:numId w:val="172"/>
        </w:numPr>
        <w:tabs>
          <w:tab w:val="left" w:pos="5969"/>
        </w:tabs>
        <w:ind w:left="5968" w:hanging="451"/>
        <w:jc w:val="left"/>
      </w:pPr>
      <w:r>
        <w:pict>
          <v:group id="docshapegroup598" o:spid="_x0000_s4689" style="position:absolute;left:0;text-align:left;margin-left:49.6pt;margin-top:8.7pt;width:240pt;height:411.05pt;z-index:251266048;mso-position-horizontal-relative:page" coordorigin="992,174" coordsize="4800,8221">
            <v:rect id="docshape599" o:spid="_x0000_s4729" style="position:absolute;left:992;top:173;width:4800;height:8221" fillcolor="#e1e0e1" stroked="f"/>
            <v:shape id="docshape600" o:spid="_x0000_s4728" type="#_x0000_t75" style="position:absolute;left:1312;top:5317;width:220;height:220">
              <v:imagedata r:id="rId81" o:title=""/>
            </v:shape>
            <v:shape id="docshape601" o:spid="_x0000_s4727" type="#_x0000_t75" style="position:absolute;left:1312;top:5597;width:220;height:220">
              <v:imagedata r:id="rId81" o:title=""/>
            </v:shape>
            <v:shape id="docshape602" o:spid="_x0000_s4726" type="#_x0000_t75" style="position:absolute;left:1312;top:5877;width:220;height:220">
              <v:imagedata r:id="rId82" o:title=""/>
            </v:shape>
            <v:shape id="docshape603" o:spid="_x0000_s4725" type="#_x0000_t75" style="position:absolute;left:1312;top:6157;width:220;height:220">
              <v:imagedata r:id="rId81" o:title=""/>
            </v:shape>
            <v:shape id="docshape604" o:spid="_x0000_s4724" type="#_x0000_t75" style="position:absolute;left:1312;top:6437;width:220;height:220">
              <v:imagedata r:id="rId81" o:title=""/>
            </v:shape>
            <v:shape id="docshape605" o:spid="_x0000_s4723" type="#_x0000_t75" style="position:absolute;left:1312;top:6717;width:220;height:220">
              <v:imagedata r:id="rId82" o:title=""/>
            </v:shape>
            <v:shape id="docshape606" o:spid="_x0000_s4722" type="#_x0000_t75" style="position:absolute;left:1312;top:6997;width:220;height:220">
              <v:imagedata r:id="rId83" o:title=""/>
            </v:shape>
            <v:shape id="docshape607" o:spid="_x0000_s4721" type="#_x0000_t75" style="position:absolute;left:1312;top:7277;width:220;height:220">
              <v:imagedata r:id="rId83" o:title=""/>
            </v:shape>
            <v:shape id="docshape608" o:spid="_x0000_s4720" type="#_x0000_t75" style="position:absolute;left:1312;top:7557;width:220;height:220">
              <v:imagedata r:id="rId82" o:title=""/>
            </v:shape>
            <v:shape id="docshape609" o:spid="_x0000_s4719" type="#_x0000_t75" style="position:absolute;left:2730;top:5317;width:220;height:220">
              <v:imagedata r:id="rId81" o:title=""/>
            </v:shape>
            <v:shape id="docshape610" o:spid="_x0000_s4718" type="#_x0000_t75" style="position:absolute;left:2730;top:5597;width:220;height:220">
              <v:imagedata r:id="rId81" o:title=""/>
            </v:shape>
            <v:shape id="docshape611" o:spid="_x0000_s4717" type="#_x0000_t75" style="position:absolute;left:2730;top:5877;width:220;height:220">
              <v:imagedata r:id="rId82" o:title=""/>
            </v:shape>
            <v:shape id="docshape612" o:spid="_x0000_s4716" type="#_x0000_t75" style="position:absolute;left:2730;top:6157;width:220;height:220">
              <v:imagedata r:id="rId84" o:title=""/>
            </v:shape>
            <v:shape id="docshape613" o:spid="_x0000_s4715" type="#_x0000_t75" style="position:absolute;left:2730;top:6437;width:220;height:220">
              <v:imagedata r:id="rId84" o:title=""/>
            </v:shape>
            <v:shape id="docshape614" o:spid="_x0000_s4714" type="#_x0000_t75" style="position:absolute;left:2730;top:6717;width:220;height:220">
              <v:imagedata r:id="rId85" o:title=""/>
            </v:shape>
            <v:shape id="docshape615" o:spid="_x0000_s4713" type="#_x0000_t75" style="position:absolute;left:2730;top:6997;width:220;height:220">
              <v:imagedata r:id="rId86" o:title=""/>
            </v:shape>
            <v:shape id="docshape616" o:spid="_x0000_s4712" type="#_x0000_t75" style="position:absolute;left:2730;top:7277;width:220;height:220">
              <v:imagedata r:id="rId86" o:title=""/>
            </v:shape>
            <v:shape id="docshape617" o:spid="_x0000_s4711" type="#_x0000_t75" style="position:absolute;left:2730;top:7557;width:220;height:220">
              <v:imagedata r:id="rId87" o:title=""/>
            </v:shape>
            <v:shape id="docshape618" o:spid="_x0000_s4710" type="#_x0000_t75" style="position:absolute;left:1155;top:781;width:4593;height:4400">
              <v:imagedata r:id="rId88" o:title=""/>
            </v:shape>
            <v:shape id="docshape619" o:spid="_x0000_s4709" type="#_x0000_t202" style="position:absolute;left:1119;top:245;width:4517;height:215" filled="f" stroked="f">
              <v:textbox inset="0,0,0,0">
                <w:txbxContent>
                  <w:p w:rsidR="00F22F94" w:rsidRDefault="00F22F94">
                    <w:pPr>
                      <w:spacing w:before="6"/>
                      <w:rPr>
                        <w:b/>
                        <w:sz w:val="18"/>
                      </w:rPr>
                    </w:pPr>
                    <w:r>
                      <w:rPr>
                        <w:b/>
                        <w:sz w:val="18"/>
                      </w:rPr>
                      <w:t>Figure</w:t>
                    </w:r>
                    <w:r>
                      <w:rPr>
                        <w:b/>
                        <w:spacing w:val="-9"/>
                        <w:sz w:val="18"/>
                      </w:rPr>
                      <w:t xml:space="preserve"> </w:t>
                    </w:r>
                    <w:r>
                      <w:rPr>
                        <w:b/>
                        <w:sz w:val="18"/>
                      </w:rPr>
                      <w:t>3.1</w:t>
                    </w:r>
                    <w:r>
                      <w:rPr>
                        <w:b/>
                        <w:spacing w:val="34"/>
                        <w:sz w:val="18"/>
                      </w:rPr>
                      <w:t xml:space="preserve"> </w:t>
                    </w:r>
                    <w:r>
                      <w:rPr>
                        <w:b/>
                        <w:sz w:val="18"/>
                      </w:rPr>
                      <w:t>Global</w:t>
                    </w:r>
                    <w:r>
                      <w:rPr>
                        <w:b/>
                        <w:spacing w:val="-8"/>
                        <w:sz w:val="18"/>
                      </w:rPr>
                      <w:t xml:space="preserve"> </w:t>
                    </w:r>
                    <w:r>
                      <w:rPr>
                        <w:b/>
                        <w:sz w:val="18"/>
                      </w:rPr>
                      <w:t>Sydney</w:t>
                    </w:r>
                    <w:r>
                      <w:rPr>
                        <w:b/>
                        <w:spacing w:val="-8"/>
                        <w:sz w:val="18"/>
                      </w:rPr>
                      <w:t xml:space="preserve"> </w:t>
                    </w:r>
                    <w:r>
                      <w:rPr>
                        <w:b/>
                        <w:sz w:val="18"/>
                      </w:rPr>
                      <w:t>by</w:t>
                    </w:r>
                    <w:r>
                      <w:rPr>
                        <w:b/>
                        <w:spacing w:val="-9"/>
                        <w:sz w:val="18"/>
                      </w:rPr>
                      <w:t xml:space="preserve"> </w:t>
                    </w:r>
                    <w:r>
                      <w:rPr>
                        <w:b/>
                        <w:sz w:val="18"/>
                      </w:rPr>
                      <w:t>Local</w:t>
                    </w:r>
                    <w:r>
                      <w:rPr>
                        <w:b/>
                        <w:spacing w:val="-8"/>
                        <w:sz w:val="18"/>
                      </w:rPr>
                      <w:t xml:space="preserve"> </w:t>
                    </w:r>
                    <w:r>
                      <w:rPr>
                        <w:b/>
                        <w:sz w:val="18"/>
                      </w:rPr>
                      <w:t>Government</w:t>
                    </w:r>
                    <w:r>
                      <w:rPr>
                        <w:b/>
                        <w:spacing w:val="-8"/>
                        <w:sz w:val="18"/>
                      </w:rPr>
                      <w:t xml:space="preserve"> </w:t>
                    </w:r>
                    <w:r>
                      <w:rPr>
                        <w:b/>
                        <w:spacing w:val="-4"/>
                        <w:sz w:val="18"/>
                      </w:rPr>
                      <w:t>Area</w:t>
                    </w:r>
                  </w:p>
                </w:txbxContent>
              </v:textbox>
            </v:shape>
            <v:shape id="docshape620" o:spid="_x0000_s4708" type="#_x0000_t202" style="position:absolute;left:5235;top:1280;width:94;height:158" filled="f" stroked="f">
              <v:textbox inset="0,0,0,0">
                <w:txbxContent>
                  <w:p w:rsidR="00F22F94" w:rsidRDefault="00F22F94">
                    <w:pPr>
                      <w:spacing w:before="6"/>
                      <w:rPr>
                        <w:b/>
                        <w:sz w:val="13"/>
                      </w:rPr>
                    </w:pPr>
                    <w:r>
                      <w:rPr>
                        <w:b/>
                        <w:w w:val="101"/>
                        <w:sz w:val="13"/>
                      </w:rPr>
                      <w:t>8</w:t>
                    </w:r>
                  </w:p>
                </w:txbxContent>
              </v:textbox>
            </v:shape>
            <v:shape id="docshape621" o:spid="_x0000_s4707" type="#_x0000_t202" style="position:absolute;left:2026;top:1407;width:157;height:158" filled="f" stroked="f">
              <v:textbox inset="0,0,0,0">
                <w:txbxContent>
                  <w:p w:rsidR="00F22F94" w:rsidRDefault="00F22F94">
                    <w:pPr>
                      <w:spacing w:before="6"/>
                      <w:rPr>
                        <w:b/>
                        <w:sz w:val="13"/>
                      </w:rPr>
                    </w:pPr>
                    <w:r>
                      <w:rPr>
                        <w:b/>
                        <w:spacing w:val="-5"/>
                        <w:sz w:val="13"/>
                      </w:rPr>
                      <w:t>13</w:t>
                    </w:r>
                  </w:p>
                </w:txbxContent>
              </v:textbox>
            </v:shape>
            <v:shape id="docshape622" o:spid="_x0000_s4706" type="#_x0000_t202" style="position:absolute;left:3662;top:1407;width:151;height:158" filled="f" stroked="f">
              <v:textbox inset="0,0,0,0">
                <w:txbxContent>
                  <w:p w:rsidR="00F22F94" w:rsidRDefault="00F22F94">
                    <w:pPr>
                      <w:spacing w:before="6"/>
                      <w:rPr>
                        <w:b/>
                        <w:sz w:val="13"/>
                      </w:rPr>
                    </w:pPr>
                    <w:r>
                      <w:rPr>
                        <w:b/>
                        <w:spacing w:val="-5"/>
                        <w:sz w:val="13"/>
                      </w:rPr>
                      <w:t>17</w:t>
                    </w:r>
                  </w:p>
                </w:txbxContent>
              </v:textbox>
            </v:shape>
            <v:shape id="docshape623" o:spid="_x0000_s4705" type="#_x0000_t202" style="position:absolute;left:3076;top:1751;width:94;height:158" filled="f" stroked="f">
              <v:textbox inset="0,0,0,0">
                <w:txbxContent>
                  <w:p w:rsidR="00F22F94" w:rsidRDefault="00F22F94">
                    <w:pPr>
                      <w:spacing w:before="6"/>
                      <w:rPr>
                        <w:b/>
                        <w:sz w:val="13"/>
                      </w:rPr>
                    </w:pPr>
                    <w:r>
                      <w:rPr>
                        <w:b/>
                        <w:w w:val="101"/>
                        <w:sz w:val="13"/>
                      </w:rPr>
                      <w:t>6</w:t>
                    </w:r>
                  </w:p>
                </w:txbxContent>
              </v:textbox>
            </v:shape>
            <v:shape id="docshape624" o:spid="_x0000_s4704" type="#_x0000_t202" style="position:absolute;left:2637;top:2007;width:94;height:158" filled="f" stroked="f">
              <v:textbox inset="0,0,0,0">
                <w:txbxContent>
                  <w:p w:rsidR="00F22F94" w:rsidRDefault="00F22F94">
                    <w:pPr>
                      <w:spacing w:before="6"/>
                      <w:rPr>
                        <w:b/>
                        <w:sz w:val="13"/>
                      </w:rPr>
                    </w:pPr>
                    <w:r>
                      <w:rPr>
                        <w:b/>
                        <w:w w:val="101"/>
                        <w:sz w:val="13"/>
                      </w:rPr>
                      <w:t>5</w:t>
                    </w:r>
                  </w:p>
                </w:txbxContent>
              </v:textbox>
            </v:shape>
            <v:shape id="docshape625" o:spid="_x0000_s4703" type="#_x0000_t202" style="position:absolute;left:3920;top:1961;width:151;height:158" filled="f" stroked="f">
              <v:textbox inset="0,0,0,0">
                <w:txbxContent>
                  <w:p w:rsidR="00F22F94" w:rsidRDefault="00F22F94">
                    <w:pPr>
                      <w:spacing w:before="6"/>
                      <w:rPr>
                        <w:b/>
                        <w:sz w:val="13"/>
                      </w:rPr>
                    </w:pPr>
                    <w:r>
                      <w:rPr>
                        <w:b/>
                        <w:spacing w:val="-5"/>
                        <w:sz w:val="13"/>
                      </w:rPr>
                      <w:t>11</w:t>
                    </w:r>
                  </w:p>
                </w:txbxContent>
              </v:textbox>
            </v:shape>
            <v:shape id="docshape626" o:spid="_x0000_s4702" type="#_x0000_t202" style="position:absolute;left:4538;top:1923;width:162;height:158" filled="f" stroked="f">
              <v:textbox inset="0,0,0,0">
                <w:txbxContent>
                  <w:p w:rsidR="00F22F94" w:rsidRDefault="00F22F94">
                    <w:pPr>
                      <w:spacing w:before="6"/>
                      <w:rPr>
                        <w:b/>
                        <w:sz w:val="13"/>
                      </w:rPr>
                    </w:pPr>
                    <w:r>
                      <w:rPr>
                        <w:b/>
                        <w:spacing w:val="-5"/>
                        <w:sz w:val="13"/>
                      </w:rPr>
                      <w:t>10</w:t>
                    </w:r>
                  </w:p>
                </w:txbxContent>
              </v:textbox>
            </v:shape>
            <v:shape id="docshape627" o:spid="_x0000_s4701" type="#_x0000_t202" style="position:absolute;left:1994;top:2396;width:94;height:158" filled="f" stroked="f">
              <v:textbox inset="0,0,0,0">
                <w:txbxContent>
                  <w:p w:rsidR="00F22F94" w:rsidRDefault="00F22F94">
                    <w:pPr>
                      <w:spacing w:before="6"/>
                      <w:rPr>
                        <w:b/>
                        <w:sz w:val="13"/>
                      </w:rPr>
                    </w:pPr>
                    <w:r>
                      <w:rPr>
                        <w:b/>
                        <w:w w:val="101"/>
                        <w:sz w:val="13"/>
                      </w:rPr>
                      <w:t>4</w:t>
                    </w:r>
                  </w:p>
                </w:txbxContent>
              </v:textbox>
            </v:shape>
            <v:shape id="docshape628" o:spid="_x0000_s4700" type="#_x0000_t202" style="position:absolute;left:1452;top:2852;width:159;height:158" filled="f" stroked="f">
              <v:textbox inset="0,0,0,0">
                <w:txbxContent>
                  <w:p w:rsidR="00F22F94" w:rsidRDefault="00F22F94">
                    <w:pPr>
                      <w:spacing w:before="6"/>
                      <w:rPr>
                        <w:b/>
                        <w:sz w:val="13"/>
                      </w:rPr>
                    </w:pPr>
                    <w:r>
                      <w:rPr>
                        <w:b/>
                        <w:spacing w:val="-5"/>
                        <w:sz w:val="13"/>
                      </w:rPr>
                      <w:t>14</w:t>
                    </w:r>
                  </w:p>
                </w:txbxContent>
              </v:textbox>
            </v:shape>
            <v:shape id="docshape629" o:spid="_x0000_s4699" type="#_x0000_t202" style="position:absolute;left:3076;top:2747;width:94;height:158" filled="f" stroked="f">
              <v:textbox inset="0,0,0,0">
                <w:txbxContent>
                  <w:p w:rsidR="00F22F94" w:rsidRDefault="00F22F94">
                    <w:pPr>
                      <w:spacing w:before="6"/>
                      <w:rPr>
                        <w:b/>
                        <w:sz w:val="13"/>
                      </w:rPr>
                    </w:pPr>
                    <w:r>
                      <w:rPr>
                        <w:b/>
                        <w:w w:val="101"/>
                        <w:sz w:val="13"/>
                      </w:rPr>
                      <w:t>7</w:t>
                    </w:r>
                  </w:p>
                </w:txbxContent>
              </v:textbox>
            </v:shape>
            <v:shape id="docshape630" o:spid="_x0000_s4698" type="#_x0000_t202" style="position:absolute;left:4636;top:2767;width:162;height:158" filled="f" stroked="f">
              <v:textbox inset="0,0,0,0">
                <w:txbxContent>
                  <w:p w:rsidR="00F22F94" w:rsidRDefault="00F22F94">
                    <w:pPr>
                      <w:spacing w:before="6"/>
                      <w:rPr>
                        <w:b/>
                        <w:sz w:val="13"/>
                      </w:rPr>
                    </w:pPr>
                    <w:r>
                      <w:rPr>
                        <w:b/>
                        <w:spacing w:val="-5"/>
                        <w:sz w:val="13"/>
                      </w:rPr>
                      <w:t>18</w:t>
                    </w:r>
                  </w:p>
                </w:txbxContent>
              </v:textbox>
            </v:shape>
            <v:shape id="docshape631" o:spid="_x0000_s4697" type="#_x0000_t202" style="position:absolute;left:1994;top:2913;width:94;height:158" filled="f" stroked="f">
              <v:textbox inset="0,0,0,0">
                <w:txbxContent>
                  <w:p w:rsidR="00F22F94" w:rsidRDefault="00F22F94">
                    <w:pPr>
                      <w:spacing w:before="6"/>
                      <w:rPr>
                        <w:b/>
                        <w:sz w:val="13"/>
                      </w:rPr>
                    </w:pPr>
                    <w:r>
                      <w:rPr>
                        <w:b/>
                        <w:w w:val="101"/>
                        <w:sz w:val="13"/>
                      </w:rPr>
                      <w:t>3</w:t>
                    </w:r>
                  </w:p>
                </w:txbxContent>
              </v:textbox>
            </v:shape>
            <v:shape id="docshape632" o:spid="_x0000_s4696" type="#_x0000_t202" style="position:absolute;left:2524;top:2998;width:94;height:158" filled="f" stroked="f">
              <v:textbox inset="0,0,0,0">
                <w:txbxContent>
                  <w:p w:rsidR="00F22F94" w:rsidRDefault="00F22F94">
                    <w:pPr>
                      <w:spacing w:before="6"/>
                      <w:rPr>
                        <w:b/>
                        <w:sz w:val="13"/>
                      </w:rPr>
                    </w:pPr>
                    <w:r>
                      <w:rPr>
                        <w:b/>
                        <w:w w:val="101"/>
                        <w:sz w:val="13"/>
                      </w:rPr>
                      <w:t>1</w:t>
                    </w:r>
                  </w:p>
                </w:txbxContent>
              </v:textbox>
            </v:shape>
            <v:shape id="docshape633" o:spid="_x0000_s4695" type="#_x0000_t202" style="position:absolute;left:3746;top:3073;width:154;height:158" filled="f" stroked="f">
              <v:textbox inset="0,0,0,0">
                <w:txbxContent>
                  <w:p w:rsidR="00F22F94" w:rsidRDefault="00F22F94">
                    <w:pPr>
                      <w:spacing w:before="6"/>
                      <w:rPr>
                        <w:b/>
                        <w:sz w:val="13"/>
                      </w:rPr>
                    </w:pPr>
                    <w:r>
                      <w:rPr>
                        <w:b/>
                        <w:spacing w:val="-5"/>
                        <w:sz w:val="13"/>
                      </w:rPr>
                      <w:t>15</w:t>
                    </w:r>
                  </w:p>
                </w:txbxContent>
              </v:textbox>
            </v:shape>
            <v:shape id="docshape634" o:spid="_x0000_s4694" type="#_x0000_t202" style="position:absolute;left:4961;top:3192;width:157;height:158" filled="f" stroked="f">
              <v:textbox inset="0,0,0,0">
                <w:txbxContent>
                  <w:p w:rsidR="00F22F94" w:rsidRDefault="00F22F94">
                    <w:pPr>
                      <w:spacing w:before="6"/>
                      <w:rPr>
                        <w:b/>
                        <w:sz w:val="13"/>
                      </w:rPr>
                    </w:pPr>
                    <w:r>
                      <w:rPr>
                        <w:b/>
                        <w:spacing w:val="-5"/>
                        <w:sz w:val="13"/>
                      </w:rPr>
                      <w:t>16</w:t>
                    </w:r>
                  </w:p>
                </w:txbxContent>
              </v:textbox>
            </v:shape>
            <v:shape id="docshape635" o:spid="_x0000_s4693" type="#_x0000_t202" style="position:absolute;left:3020;top:3395;width:94;height:158" filled="f" stroked="f">
              <v:textbox inset="0,0,0,0">
                <w:txbxContent>
                  <w:p w:rsidR="00F22F94" w:rsidRDefault="00F22F94">
                    <w:pPr>
                      <w:spacing w:before="6"/>
                      <w:rPr>
                        <w:b/>
                        <w:sz w:val="13"/>
                      </w:rPr>
                    </w:pPr>
                    <w:r>
                      <w:rPr>
                        <w:b/>
                        <w:w w:val="101"/>
                        <w:sz w:val="13"/>
                      </w:rPr>
                      <w:t>9</w:t>
                    </w:r>
                  </w:p>
                </w:txbxContent>
              </v:textbox>
            </v:shape>
            <v:shape id="docshape636" o:spid="_x0000_s4692" type="#_x0000_t202" style="position:absolute;left:4547;top:3789;width:162;height:158" filled="f" stroked="f">
              <v:textbox inset="0,0,0,0">
                <w:txbxContent>
                  <w:p w:rsidR="00F22F94" w:rsidRDefault="00F22F94">
                    <w:pPr>
                      <w:spacing w:before="6"/>
                      <w:rPr>
                        <w:b/>
                        <w:sz w:val="13"/>
                      </w:rPr>
                    </w:pPr>
                    <w:r>
                      <w:rPr>
                        <w:b/>
                        <w:spacing w:val="-5"/>
                        <w:sz w:val="13"/>
                      </w:rPr>
                      <w:t>12</w:t>
                    </w:r>
                  </w:p>
                </w:txbxContent>
              </v:textbox>
            </v:shape>
            <v:shape id="docshape637" o:spid="_x0000_s4691" type="#_x0000_t202" style="position:absolute;left:3776;top:4073;width:94;height:158" filled="f" stroked="f">
              <v:textbox inset="0,0,0,0">
                <w:txbxContent>
                  <w:p w:rsidR="00F22F94" w:rsidRDefault="00F22F94">
                    <w:pPr>
                      <w:spacing w:before="6"/>
                      <w:rPr>
                        <w:b/>
                        <w:sz w:val="13"/>
                      </w:rPr>
                    </w:pPr>
                    <w:r>
                      <w:rPr>
                        <w:b/>
                        <w:w w:val="101"/>
                        <w:sz w:val="13"/>
                      </w:rPr>
                      <w:t>2</w:t>
                    </w:r>
                  </w:p>
                </w:txbxContent>
              </v:textbox>
            </v:shape>
            <v:shape id="docshape638" o:spid="_x0000_s4690" type="#_x0000_t202" style="position:absolute;left:1119;top:4991;width:3131;height:3306" filled="f" stroked="f">
              <v:textbox inset="0,0,0,0">
                <w:txbxContent>
                  <w:p w:rsidR="00F22F94" w:rsidRDefault="00F22F94">
                    <w:pPr>
                      <w:spacing w:before="2"/>
                      <w:ind w:left="201"/>
                      <w:rPr>
                        <w:sz w:val="20"/>
                      </w:rPr>
                    </w:pPr>
                    <w:r>
                      <w:rPr>
                        <w:w w:val="80"/>
                        <w:sz w:val="20"/>
                      </w:rPr>
                      <w:t>Global</w:t>
                    </w:r>
                    <w:r>
                      <w:rPr>
                        <w:spacing w:val="16"/>
                        <w:sz w:val="20"/>
                      </w:rPr>
                      <w:t xml:space="preserve"> </w:t>
                    </w:r>
                    <w:r>
                      <w:rPr>
                        <w:w w:val="80"/>
                        <w:sz w:val="20"/>
                      </w:rPr>
                      <w:t>Sydney</w:t>
                    </w:r>
                    <w:r>
                      <w:rPr>
                        <w:spacing w:val="17"/>
                        <w:sz w:val="20"/>
                      </w:rPr>
                      <w:t xml:space="preserve"> </w:t>
                    </w:r>
                    <w:r>
                      <w:rPr>
                        <w:w w:val="80"/>
                        <w:sz w:val="20"/>
                      </w:rPr>
                      <w:t>Local</w:t>
                    </w:r>
                    <w:r>
                      <w:rPr>
                        <w:spacing w:val="17"/>
                        <w:sz w:val="20"/>
                      </w:rPr>
                      <w:t xml:space="preserve"> </w:t>
                    </w:r>
                    <w:r>
                      <w:rPr>
                        <w:w w:val="80"/>
                        <w:sz w:val="20"/>
                      </w:rPr>
                      <w:t>Government</w:t>
                    </w:r>
                    <w:r>
                      <w:rPr>
                        <w:spacing w:val="6"/>
                        <w:sz w:val="20"/>
                      </w:rPr>
                      <w:t xml:space="preserve"> </w:t>
                    </w:r>
                    <w:r>
                      <w:rPr>
                        <w:spacing w:val="-4"/>
                        <w:w w:val="80"/>
                        <w:sz w:val="20"/>
                      </w:rPr>
                      <w:t>Area</w:t>
                    </w:r>
                  </w:p>
                  <w:p w:rsidR="00F22F94" w:rsidRDefault="00F22F94">
                    <w:pPr>
                      <w:numPr>
                        <w:ilvl w:val="0"/>
                        <w:numId w:val="123"/>
                      </w:numPr>
                      <w:tabs>
                        <w:tab w:val="left" w:pos="482"/>
                        <w:tab w:val="left" w:pos="1647"/>
                      </w:tabs>
                      <w:spacing w:before="108"/>
                      <w:ind w:hanging="215"/>
                      <w:rPr>
                        <w:sz w:val="16"/>
                      </w:rPr>
                    </w:pPr>
                    <w:r>
                      <w:rPr>
                        <w:spacing w:val="-2"/>
                        <w:w w:val="95"/>
                        <w:sz w:val="16"/>
                      </w:rPr>
                      <w:t>Ashfeld</w:t>
                    </w:r>
                    <w:r>
                      <w:rPr>
                        <w:sz w:val="16"/>
                      </w:rPr>
                      <w:tab/>
                    </w:r>
                    <w:r>
                      <w:rPr>
                        <w:b/>
                        <w:w w:val="95"/>
                        <w:position w:val="1"/>
                        <w:sz w:val="13"/>
                      </w:rPr>
                      <w:t>10</w:t>
                    </w:r>
                    <w:r>
                      <w:rPr>
                        <w:b/>
                        <w:spacing w:val="75"/>
                        <w:position w:val="1"/>
                        <w:sz w:val="13"/>
                      </w:rPr>
                      <w:t xml:space="preserve"> </w:t>
                    </w:r>
                    <w:r>
                      <w:rPr>
                        <w:spacing w:val="-2"/>
                        <w:w w:val="95"/>
                        <w:sz w:val="16"/>
                      </w:rPr>
                      <w:t>Mosman</w:t>
                    </w:r>
                  </w:p>
                  <w:p w:rsidR="00F22F94" w:rsidRDefault="00F22F94">
                    <w:pPr>
                      <w:numPr>
                        <w:ilvl w:val="0"/>
                        <w:numId w:val="123"/>
                      </w:numPr>
                      <w:tabs>
                        <w:tab w:val="left" w:pos="482"/>
                        <w:tab w:val="left" w:pos="1650"/>
                      </w:tabs>
                      <w:spacing w:before="96"/>
                      <w:ind w:hanging="215"/>
                      <w:rPr>
                        <w:sz w:val="16"/>
                      </w:rPr>
                    </w:pPr>
                    <w:r>
                      <w:rPr>
                        <w:w w:val="75"/>
                        <w:sz w:val="16"/>
                      </w:rPr>
                      <w:t>Botany</w:t>
                    </w:r>
                    <w:r>
                      <w:rPr>
                        <w:spacing w:val="2"/>
                        <w:sz w:val="16"/>
                      </w:rPr>
                      <w:t xml:space="preserve"> </w:t>
                    </w:r>
                    <w:r>
                      <w:rPr>
                        <w:spacing w:val="-5"/>
                        <w:w w:val="90"/>
                        <w:sz w:val="16"/>
                      </w:rPr>
                      <w:t>Bay</w:t>
                    </w:r>
                    <w:r>
                      <w:rPr>
                        <w:sz w:val="16"/>
                      </w:rPr>
                      <w:tab/>
                    </w:r>
                    <w:r>
                      <w:rPr>
                        <w:b/>
                        <w:spacing w:val="-2"/>
                        <w:w w:val="90"/>
                        <w:position w:val="1"/>
                        <w:sz w:val="13"/>
                      </w:rPr>
                      <w:t>11</w:t>
                    </w:r>
                    <w:r>
                      <w:rPr>
                        <w:b/>
                        <w:spacing w:val="48"/>
                        <w:position w:val="1"/>
                        <w:sz w:val="13"/>
                      </w:rPr>
                      <w:t xml:space="preserve"> </w:t>
                    </w:r>
                    <w:r>
                      <w:rPr>
                        <w:spacing w:val="-2"/>
                        <w:w w:val="90"/>
                        <w:sz w:val="16"/>
                      </w:rPr>
                      <w:t>North</w:t>
                    </w:r>
                    <w:r>
                      <w:rPr>
                        <w:spacing w:val="-5"/>
                        <w:w w:val="90"/>
                        <w:sz w:val="16"/>
                      </w:rPr>
                      <w:t xml:space="preserve"> </w:t>
                    </w:r>
                    <w:r>
                      <w:rPr>
                        <w:spacing w:val="-2"/>
                        <w:w w:val="90"/>
                        <w:sz w:val="16"/>
                      </w:rPr>
                      <w:t>Sydney</w:t>
                    </w:r>
                  </w:p>
                  <w:p w:rsidR="00F22F94" w:rsidRDefault="00F22F94">
                    <w:pPr>
                      <w:numPr>
                        <w:ilvl w:val="0"/>
                        <w:numId w:val="123"/>
                      </w:numPr>
                      <w:tabs>
                        <w:tab w:val="left" w:pos="482"/>
                        <w:tab w:val="left" w:pos="1650"/>
                      </w:tabs>
                      <w:spacing w:before="96"/>
                      <w:ind w:hanging="215"/>
                      <w:rPr>
                        <w:sz w:val="16"/>
                      </w:rPr>
                    </w:pPr>
                    <w:r>
                      <w:rPr>
                        <w:spacing w:val="-2"/>
                        <w:w w:val="95"/>
                        <w:sz w:val="16"/>
                      </w:rPr>
                      <w:t>Burwood</w:t>
                    </w:r>
                    <w:r>
                      <w:rPr>
                        <w:sz w:val="16"/>
                      </w:rPr>
                      <w:tab/>
                    </w:r>
                    <w:r>
                      <w:rPr>
                        <w:b/>
                        <w:w w:val="95"/>
                        <w:position w:val="1"/>
                        <w:sz w:val="13"/>
                      </w:rPr>
                      <w:t>12</w:t>
                    </w:r>
                    <w:r>
                      <w:rPr>
                        <w:b/>
                        <w:spacing w:val="71"/>
                        <w:position w:val="1"/>
                        <w:sz w:val="13"/>
                      </w:rPr>
                      <w:t xml:space="preserve"> </w:t>
                    </w:r>
                    <w:r>
                      <w:rPr>
                        <w:spacing w:val="-2"/>
                        <w:w w:val="95"/>
                        <w:sz w:val="16"/>
                      </w:rPr>
                      <w:t>Randwick</w:t>
                    </w:r>
                  </w:p>
                  <w:p w:rsidR="00F22F94" w:rsidRDefault="00F22F94">
                    <w:pPr>
                      <w:numPr>
                        <w:ilvl w:val="0"/>
                        <w:numId w:val="123"/>
                      </w:numPr>
                      <w:tabs>
                        <w:tab w:val="left" w:pos="482"/>
                        <w:tab w:val="left" w:pos="1650"/>
                      </w:tabs>
                      <w:spacing w:before="96"/>
                      <w:ind w:hanging="215"/>
                      <w:rPr>
                        <w:sz w:val="16"/>
                      </w:rPr>
                    </w:pPr>
                    <w:r>
                      <w:rPr>
                        <w:w w:val="75"/>
                        <w:sz w:val="16"/>
                      </w:rPr>
                      <w:t>Canada</w:t>
                    </w:r>
                    <w:r>
                      <w:rPr>
                        <w:spacing w:val="-2"/>
                        <w:sz w:val="16"/>
                      </w:rPr>
                      <w:t xml:space="preserve"> </w:t>
                    </w:r>
                    <w:r>
                      <w:rPr>
                        <w:spacing w:val="-5"/>
                        <w:w w:val="85"/>
                        <w:sz w:val="16"/>
                      </w:rPr>
                      <w:t>Bay</w:t>
                    </w:r>
                    <w:r>
                      <w:rPr>
                        <w:sz w:val="16"/>
                      </w:rPr>
                      <w:tab/>
                    </w:r>
                    <w:r>
                      <w:rPr>
                        <w:b/>
                        <w:w w:val="90"/>
                        <w:position w:val="1"/>
                        <w:sz w:val="13"/>
                      </w:rPr>
                      <w:t>13</w:t>
                    </w:r>
                    <w:r>
                      <w:rPr>
                        <w:b/>
                        <w:spacing w:val="79"/>
                        <w:position w:val="1"/>
                        <w:sz w:val="13"/>
                      </w:rPr>
                      <w:t xml:space="preserve"> </w:t>
                    </w:r>
                    <w:r>
                      <w:rPr>
                        <w:spacing w:val="-4"/>
                        <w:w w:val="85"/>
                        <w:sz w:val="16"/>
                      </w:rPr>
                      <w:t>Ryde</w:t>
                    </w:r>
                  </w:p>
                  <w:p w:rsidR="00F22F94" w:rsidRDefault="00F22F94">
                    <w:pPr>
                      <w:numPr>
                        <w:ilvl w:val="0"/>
                        <w:numId w:val="123"/>
                      </w:numPr>
                      <w:tabs>
                        <w:tab w:val="left" w:pos="482"/>
                        <w:tab w:val="left" w:pos="1650"/>
                      </w:tabs>
                      <w:spacing w:before="96"/>
                      <w:ind w:hanging="215"/>
                      <w:rPr>
                        <w:sz w:val="16"/>
                      </w:rPr>
                    </w:pPr>
                    <w:r>
                      <w:rPr>
                        <w:w w:val="80"/>
                        <w:sz w:val="16"/>
                      </w:rPr>
                      <w:t>Hunter’s</w:t>
                    </w:r>
                    <w:r>
                      <w:rPr>
                        <w:spacing w:val="-5"/>
                        <w:w w:val="95"/>
                        <w:sz w:val="16"/>
                      </w:rPr>
                      <w:t xml:space="preserve"> </w:t>
                    </w:r>
                    <w:r>
                      <w:rPr>
                        <w:spacing w:val="-4"/>
                        <w:w w:val="95"/>
                        <w:sz w:val="16"/>
                      </w:rPr>
                      <w:t>Hill</w:t>
                    </w:r>
                    <w:r>
                      <w:rPr>
                        <w:sz w:val="16"/>
                      </w:rPr>
                      <w:tab/>
                    </w:r>
                    <w:r>
                      <w:rPr>
                        <w:b/>
                        <w:w w:val="95"/>
                        <w:position w:val="1"/>
                        <w:sz w:val="13"/>
                      </w:rPr>
                      <w:t>14</w:t>
                    </w:r>
                    <w:r>
                      <w:rPr>
                        <w:b/>
                        <w:spacing w:val="71"/>
                        <w:position w:val="1"/>
                        <w:sz w:val="13"/>
                      </w:rPr>
                      <w:t xml:space="preserve"> </w:t>
                    </w:r>
                    <w:r>
                      <w:rPr>
                        <w:spacing w:val="-2"/>
                        <w:w w:val="95"/>
                        <w:sz w:val="16"/>
                      </w:rPr>
                      <w:t>Strathfeld</w:t>
                    </w:r>
                  </w:p>
                  <w:p w:rsidR="00F22F94" w:rsidRDefault="00F22F94">
                    <w:pPr>
                      <w:numPr>
                        <w:ilvl w:val="0"/>
                        <w:numId w:val="123"/>
                      </w:numPr>
                      <w:tabs>
                        <w:tab w:val="left" w:pos="482"/>
                        <w:tab w:val="left" w:pos="1650"/>
                      </w:tabs>
                      <w:spacing w:before="96"/>
                      <w:ind w:hanging="215"/>
                      <w:rPr>
                        <w:sz w:val="16"/>
                      </w:rPr>
                    </w:pPr>
                    <w:r>
                      <w:rPr>
                        <w:w w:val="75"/>
                        <w:sz w:val="16"/>
                      </w:rPr>
                      <w:t>Lane</w:t>
                    </w:r>
                    <w:r>
                      <w:rPr>
                        <w:sz w:val="16"/>
                      </w:rPr>
                      <w:t xml:space="preserve"> </w:t>
                    </w:r>
                    <w:r>
                      <w:rPr>
                        <w:spacing w:val="-4"/>
                        <w:w w:val="85"/>
                        <w:sz w:val="16"/>
                      </w:rPr>
                      <w:t>Cove</w:t>
                    </w:r>
                    <w:r>
                      <w:rPr>
                        <w:sz w:val="16"/>
                      </w:rPr>
                      <w:tab/>
                    </w:r>
                    <w:r>
                      <w:rPr>
                        <w:b/>
                        <w:w w:val="90"/>
                        <w:position w:val="1"/>
                        <w:sz w:val="13"/>
                      </w:rPr>
                      <w:t>15</w:t>
                    </w:r>
                    <w:r>
                      <w:rPr>
                        <w:b/>
                        <w:spacing w:val="79"/>
                        <w:position w:val="1"/>
                        <w:sz w:val="13"/>
                      </w:rPr>
                      <w:t xml:space="preserve"> </w:t>
                    </w:r>
                    <w:r>
                      <w:rPr>
                        <w:spacing w:val="-2"/>
                        <w:w w:val="85"/>
                        <w:sz w:val="16"/>
                      </w:rPr>
                      <w:t>Sydney</w:t>
                    </w:r>
                  </w:p>
                  <w:p w:rsidR="00F22F94" w:rsidRDefault="00F22F94">
                    <w:pPr>
                      <w:numPr>
                        <w:ilvl w:val="0"/>
                        <w:numId w:val="123"/>
                      </w:numPr>
                      <w:tabs>
                        <w:tab w:val="left" w:pos="482"/>
                        <w:tab w:val="left" w:pos="1650"/>
                      </w:tabs>
                      <w:spacing w:before="96"/>
                      <w:ind w:hanging="215"/>
                      <w:rPr>
                        <w:sz w:val="16"/>
                      </w:rPr>
                    </w:pPr>
                    <w:r>
                      <w:rPr>
                        <w:spacing w:val="-2"/>
                        <w:w w:val="95"/>
                        <w:sz w:val="16"/>
                      </w:rPr>
                      <w:t>Leichhardt</w:t>
                    </w:r>
                    <w:r>
                      <w:rPr>
                        <w:sz w:val="16"/>
                      </w:rPr>
                      <w:tab/>
                    </w:r>
                    <w:r>
                      <w:rPr>
                        <w:b/>
                        <w:w w:val="95"/>
                        <w:position w:val="1"/>
                        <w:sz w:val="13"/>
                      </w:rPr>
                      <w:t>16</w:t>
                    </w:r>
                    <w:r>
                      <w:rPr>
                        <w:b/>
                        <w:spacing w:val="71"/>
                        <w:position w:val="1"/>
                        <w:sz w:val="13"/>
                      </w:rPr>
                      <w:t xml:space="preserve"> </w:t>
                    </w:r>
                    <w:r>
                      <w:rPr>
                        <w:spacing w:val="-2"/>
                        <w:w w:val="95"/>
                        <w:sz w:val="16"/>
                      </w:rPr>
                      <w:t>Waverley</w:t>
                    </w:r>
                  </w:p>
                  <w:p w:rsidR="00F22F94" w:rsidRDefault="00F22F94">
                    <w:pPr>
                      <w:numPr>
                        <w:ilvl w:val="0"/>
                        <w:numId w:val="123"/>
                      </w:numPr>
                      <w:tabs>
                        <w:tab w:val="left" w:pos="482"/>
                        <w:tab w:val="left" w:pos="1650"/>
                      </w:tabs>
                      <w:spacing w:before="96"/>
                      <w:ind w:hanging="215"/>
                      <w:rPr>
                        <w:sz w:val="16"/>
                      </w:rPr>
                    </w:pPr>
                    <w:r>
                      <w:rPr>
                        <w:spacing w:val="-2"/>
                        <w:w w:val="95"/>
                        <w:sz w:val="16"/>
                      </w:rPr>
                      <w:t>Manly</w:t>
                    </w:r>
                    <w:r>
                      <w:rPr>
                        <w:sz w:val="16"/>
                      </w:rPr>
                      <w:tab/>
                    </w:r>
                    <w:r>
                      <w:rPr>
                        <w:b/>
                        <w:w w:val="95"/>
                        <w:position w:val="1"/>
                        <w:sz w:val="13"/>
                      </w:rPr>
                      <w:t>17</w:t>
                    </w:r>
                    <w:r>
                      <w:rPr>
                        <w:b/>
                        <w:spacing w:val="71"/>
                        <w:position w:val="1"/>
                        <w:sz w:val="13"/>
                      </w:rPr>
                      <w:t xml:space="preserve"> </w:t>
                    </w:r>
                    <w:r>
                      <w:rPr>
                        <w:spacing w:val="-2"/>
                        <w:w w:val="95"/>
                        <w:sz w:val="16"/>
                      </w:rPr>
                      <w:t>Willoughby</w:t>
                    </w:r>
                  </w:p>
                  <w:p w:rsidR="00F22F94" w:rsidRDefault="00F22F94">
                    <w:pPr>
                      <w:numPr>
                        <w:ilvl w:val="0"/>
                        <w:numId w:val="123"/>
                      </w:numPr>
                      <w:tabs>
                        <w:tab w:val="left" w:pos="482"/>
                        <w:tab w:val="left" w:pos="1650"/>
                      </w:tabs>
                      <w:spacing w:before="96"/>
                      <w:ind w:hanging="215"/>
                      <w:rPr>
                        <w:sz w:val="16"/>
                      </w:rPr>
                    </w:pPr>
                    <w:r>
                      <w:rPr>
                        <w:spacing w:val="-2"/>
                        <w:w w:val="95"/>
                        <w:sz w:val="16"/>
                      </w:rPr>
                      <w:t>Marrickville</w:t>
                    </w:r>
                    <w:r>
                      <w:rPr>
                        <w:sz w:val="16"/>
                      </w:rPr>
                      <w:tab/>
                    </w:r>
                    <w:r>
                      <w:rPr>
                        <w:b/>
                        <w:w w:val="95"/>
                        <w:position w:val="1"/>
                        <w:sz w:val="13"/>
                      </w:rPr>
                      <w:t>18</w:t>
                    </w:r>
                    <w:r>
                      <w:rPr>
                        <w:b/>
                        <w:spacing w:val="71"/>
                        <w:position w:val="1"/>
                        <w:sz w:val="13"/>
                      </w:rPr>
                      <w:t xml:space="preserve"> </w:t>
                    </w:r>
                    <w:r>
                      <w:rPr>
                        <w:spacing w:val="-2"/>
                        <w:w w:val="95"/>
                        <w:sz w:val="16"/>
                      </w:rPr>
                      <w:t>Woollahra</w:t>
                    </w:r>
                  </w:p>
                  <w:p w:rsidR="00F22F94" w:rsidRDefault="00F22F94">
                    <w:pPr>
                      <w:rPr>
                        <w:sz w:val="18"/>
                      </w:rPr>
                    </w:pPr>
                  </w:p>
                  <w:p w:rsidR="00F22F94" w:rsidRDefault="00F22F94">
                    <w:pPr>
                      <w:spacing w:before="1"/>
                      <w:rPr>
                        <w:sz w:val="15"/>
                      </w:rPr>
                    </w:pPr>
                  </w:p>
                  <w:p w:rsidR="00F22F94" w:rsidRDefault="00F22F94">
                    <w:pPr>
                      <w:rPr>
                        <w:sz w:val="14"/>
                      </w:rPr>
                    </w:pPr>
                    <w:r>
                      <w:rPr>
                        <w:w w:val="95"/>
                        <w:sz w:val="14"/>
                      </w:rPr>
                      <w:t>Source:</w:t>
                    </w:r>
                    <w:r>
                      <w:rPr>
                        <w:spacing w:val="5"/>
                        <w:sz w:val="14"/>
                      </w:rPr>
                      <w:t xml:space="preserve"> </w:t>
                    </w:r>
                    <w:r>
                      <w:rPr>
                        <w:w w:val="95"/>
                        <w:sz w:val="14"/>
                      </w:rPr>
                      <w:t>Department</w:t>
                    </w:r>
                    <w:r>
                      <w:rPr>
                        <w:spacing w:val="5"/>
                        <w:sz w:val="14"/>
                      </w:rPr>
                      <w:t xml:space="preserve"> </w:t>
                    </w:r>
                    <w:r>
                      <w:rPr>
                        <w:w w:val="95"/>
                        <w:sz w:val="14"/>
                      </w:rPr>
                      <w:t>of</w:t>
                    </w:r>
                    <w:r>
                      <w:rPr>
                        <w:spacing w:val="5"/>
                        <w:sz w:val="14"/>
                      </w:rPr>
                      <w:t xml:space="preserve"> </w:t>
                    </w:r>
                    <w:r>
                      <w:rPr>
                        <w:w w:val="95"/>
                        <w:sz w:val="14"/>
                      </w:rPr>
                      <w:t>Planning</w:t>
                    </w:r>
                    <w:r>
                      <w:rPr>
                        <w:spacing w:val="5"/>
                        <w:sz w:val="14"/>
                      </w:rPr>
                      <w:t xml:space="preserve"> </w:t>
                    </w:r>
                    <w:r>
                      <w:rPr>
                        <w:w w:val="95"/>
                        <w:sz w:val="14"/>
                      </w:rPr>
                      <w:t>and</w:t>
                    </w:r>
                    <w:r>
                      <w:rPr>
                        <w:spacing w:val="5"/>
                        <w:sz w:val="14"/>
                      </w:rPr>
                      <w:t xml:space="preserve"> </w:t>
                    </w:r>
                    <w:r>
                      <w:rPr>
                        <w:spacing w:val="-2"/>
                        <w:w w:val="95"/>
                        <w:sz w:val="14"/>
                      </w:rPr>
                      <w:t>Infrastructure.</w:t>
                    </w:r>
                  </w:p>
                </w:txbxContent>
              </v:textbox>
            </v:shape>
            <w10:wrap anchorx="page"/>
          </v:group>
        </w:pict>
      </w:r>
      <w:bookmarkStart w:id="88" w:name="3.2_Global_Sydney_today"/>
      <w:bookmarkStart w:id="89" w:name="_bookmark63"/>
      <w:bookmarkStart w:id="90" w:name="_bookmark62"/>
      <w:bookmarkEnd w:id="88"/>
      <w:bookmarkEnd w:id="89"/>
      <w:bookmarkEnd w:id="90"/>
      <w:r w:rsidR="00F22F94">
        <w:rPr>
          <w:color w:val="EC008C"/>
          <w:w w:val="95"/>
        </w:rPr>
        <w:t>Global</w:t>
      </w:r>
      <w:r w:rsidR="00F22F94">
        <w:rPr>
          <w:color w:val="EC008C"/>
          <w:spacing w:val="-8"/>
          <w:w w:val="95"/>
        </w:rPr>
        <w:t xml:space="preserve"> </w:t>
      </w:r>
      <w:r w:rsidR="00F22F94">
        <w:rPr>
          <w:color w:val="EC008C"/>
          <w:w w:val="95"/>
        </w:rPr>
        <w:t>Sydney</w:t>
      </w:r>
      <w:r w:rsidR="00F22F94">
        <w:rPr>
          <w:color w:val="EC008C"/>
          <w:spacing w:val="-7"/>
          <w:w w:val="95"/>
        </w:rPr>
        <w:t xml:space="preserve"> </w:t>
      </w:r>
      <w:r w:rsidR="00F22F94">
        <w:rPr>
          <w:color w:val="EC008C"/>
          <w:spacing w:val="-4"/>
          <w:w w:val="95"/>
        </w:rPr>
        <w:t>today</w:t>
      </w:r>
    </w:p>
    <w:p w:rsidR="002C1123" w:rsidRDefault="00F22F94">
      <w:pPr>
        <w:pStyle w:val="Heading6"/>
        <w:numPr>
          <w:ilvl w:val="5"/>
          <w:numId w:val="172"/>
        </w:numPr>
        <w:tabs>
          <w:tab w:val="left" w:pos="6059"/>
        </w:tabs>
        <w:spacing w:before="135"/>
        <w:ind w:hanging="541"/>
      </w:pPr>
      <w:r>
        <w:rPr>
          <w:color w:val="EC008C"/>
          <w:w w:val="95"/>
        </w:rPr>
        <w:t>Australia’s</w:t>
      </w:r>
      <w:r>
        <w:rPr>
          <w:color w:val="EC008C"/>
          <w:spacing w:val="-9"/>
          <w:w w:val="95"/>
        </w:rPr>
        <w:t xml:space="preserve"> </w:t>
      </w:r>
      <w:r>
        <w:rPr>
          <w:color w:val="EC008C"/>
          <w:w w:val="95"/>
        </w:rPr>
        <w:t>Global</w:t>
      </w:r>
      <w:r>
        <w:rPr>
          <w:color w:val="EC008C"/>
          <w:spacing w:val="-9"/>
          <w:w w:val="95"/>
        </w:rPr>
        <w:t xml:space="preserve"> </w:t>
      </w:r>
      <w:r>
        <w:rPr>
          <w:color w:val="EC008C"/>
          <w:spacing w:val="-4"/>
          <w:w w:val="95"/>
        </w:rPr>
        <w:t>City</w:t>
      </w:r>
    </w:p>
    <w:p w:rsidR="002C1123" w:rsidRDefault="00F22F94">
      <w:pPr>
        <w:pStyle w:val="BodyText"/>
        <w:spacing w:before="95" w:line="249" w:lineRule="auto"/>
        <w:ind w:left="5518"/>
      </w:pPr>
      <w:r>
        <w:rPr>
          <w:w w:val="95"/>
        </w:rPr>
        <w:t>Sydney</w:t>
      </w:r>
      <w:r>
        <w:rPr>
          <w:spacing w:val="-10"/>
          <w:w w:val="95"/>
        </w:rPr>
        <w:t xml:space="preserve"> </w:t>
      </w:r>
      <w:r>
        <w:rPr>
          <w:w w:val="95"/>
        </w:rPr>
        <w:t>is</w:t>
      </w:r>
      <w:r>
        <w:rPr>
          <w:spacing w:val="-10"/>
          <w:w w:val="95"/>
        </w:rPr>
        <w:t xml:space="preserve"> </w:t>
      </w:r>
      <w:r>
        <w:rPr>
          <w:w w:val="95"/>
        </w:rPr>
        <w:t>frequently</w:t>
      </w:r>
      <w:r>
        <w:rPr>
          <w:spacing w:val="-10"/>
          <w:w w:val="95"/>
        </w:rPr>
        <w:t xml:space="preserve"> </w:t>
      </w:r>
      <w:r>
        <w:rPr>
          <w:w w:val="95"/>
        </w:rPr>
        <w:t>described</w:t>
      </w:r>
      <w:r>
        <w:rPr>
          <w:spacing w:val="-10"/>
          <w:w w:val="95"/>
        </w:rPr>
        <w:t xml:space="preserve"> </w:t>
      </w:r>
      <w:r>
        <w:rPr>
          <w:w w:val="95"/>
        </w:rPr>
        <w:t>as</w:t>
      </w:r>
      <w:r>
        <w:rPr>
          <w:spacing w:val="-10"/>
          <w:w w:val="95"/>
        </w:rPr>
        <w:t xml:space="preserve"> </w:t>
      </w:r>
      <w:r>
        <w:rPr>
          <w:w w:val="95"/>
        </w:rPr>
        <w:t>‘Australia’s</w:t>
      </w:r>
      <w:r>
        <w:rPr>
          <w:spacing w:val="-10"/>
          <w:w w:val="95"/>
        </w:rPr>
        <w:t xml:space="preserve"> </w:t>
      </w:r>
      <w:r>
        <w:rPr>
          <w:w w:val="95"/>
        </w:rPr>
        <w:t>global</w:t>
      </w:r>
      <w:r>
        <w:rPr>
          <w:spacing w:val="-10"/>
          <w:w w:val="95"/>
        </w:rPr>
        <w:t xml:space="preserve"> </w:t>
      </w:r>
      <w:r>
        <w:rPr>
          <w:w w:val="95"/>
        </w:rPr>
        <w:t xml:space="preserve">city’. </w:t>
      </w:r>
      <w:r>
        <w:t>Despite</w:t>
      </w:r>
      <w:r>
        <w:rPr>
          <w:spacing w:val="-11"/>
        </w:rPr>
        <w:t xml:space="preserve"> </w:t>
      </w:r>
      <w:r>
        <w:t>a</w:t>
      </w:r>
      <w:r>
        <w:rPr>
          <w:spacing w:val="-11"/>
        </w:rPr>
        <w:t xml:space="preserve"> </w:t>
      </w:r>
      <w:r>
        <w:t>location</w:t>
      </w:r>
      <w:r>
        <w:rPr>
          <w:spacing w:val="-11"/>
        </w:rPr>
        <w:t xml:space="preserve"> </w:t>
      </w:r>
      <w:r>
        <w:t>distant</w:t>
      </w:r>
      <w:r>
        <w:rPr>
          <w:spacing w:val="-11"/>
        </w:rPr>
        <w:t xml:space="preserve"> </w:t>
      </w:r>
      <w:r>
        <w:t>from</w:t>
      </w:r>
      <w:r>
        <w:rPr>
          <w:spacing w:val="-11"/>
        </w:rPr>
        <w:t xml:space="preserve"> </w:t>
      </w:r>
      <w:r>
        <w:t>the</w:t>
      </w:r>
      <w:r>
        <w:rPr>
          <w:spacing w:val="-11"/>
        </w:rPr>
        <w:t xml:space="preserve"> </w:t>
      </w:r>
      <w:r>
        <w:t>world’s</w:t>
      </w:r>
      <w:r>
        <w:rPr>
          <w:spacing w:val="-11"/>
        </w:rPr>
        <w:t xml:space="preserve"> </w:t>
      </w:r>
      <w:r>
        <w:t>major</w:t>
      </w:r>
      <w:r>
        <w:rPr>
          <w:spacing w:val="-11"/>
        </w:rPr>
        <w:t xml:space="preserve"> </w:t>
      </w:r>
      <w:r>
        <w:t>trade flows</w:t>
      </w:r>
      <w:r>
        <w:rPr>
          <w:spacing w:val="-14"/>
        </w:rPr>
        <w:t xml:space="preserve"> </w:t>
      </w:r>
      <w:r>
        <w:t>and</w:t>
      </w:r>
      <w:r>
        <w:rPr>
          <w:spacing w:val="-14"/>
        </w:rPr>
        <w:t xml:space="preserve"> </w:t>
      </w:r>
      <w:r>
        <w:t>population</w:t>
      </w:r>
      <w:r>
        <w:rPr>
          <w:spacing w:val="-14"/>
        </w:rPr>
        <w:t xml:space="preserve"> </w:t>
      </w:r>
      <w:r>
        <w:t>centres,</w:t>
      </w:r>
      <w:r>
        <w:rPr>
          <w:spacing w:val="-14"/>
        </w:rPr>
        <w:t xml:space="preserve"> </w:t>
      </w:r>
      <w:r>
        <w:t>Sydney’s</w:t>
      </w:r>
      <w:r>
        <w:rPr>
          <w:spacing w:val="-14"/>
        </w:rPr>
        <w:t xml:space="preserve"> </w:t>
      </w:r>
      <w:r>
        <w:t>economy</w:t>
      </w:r>
      <w:r>
        <w:rPr>
          <w:spacing w:val="-14"/>
        </w:rPr>
        <w:t xml:space="preserve"> </w:t>
      </w:r>
      <w:r>
        <w:t>is</w:t>
      </w:r>
      <w:r>
        <w:rPr>
          <w:spacing w:val="-14"/>
        </w:rPr>
        <w:t xml:space="preserve"> </w:t>
      </w:r>
      <w:r>
        <w:t>the 16th</w:t>
      </w:r>
      <w:r>
        <w:rPr>
          <w:spacing w:val="-11"/>
        </w:rPr>
        <w:t xml:space="preserve"> </w:t>
      </w:r>
      <w:r>
        <w:t>largest</w:t>
      </w:r>
      <w:r>
        <w:rPr>
          <w:spacing w:val="-11"/>
        </w:rPr>
        <w:t xml:space="preserve"> </w:t>
      </w:r>
      <w:r>
        <w:t>city</w:t>
      </w:r>
      <w:r>
        <w:rPr>
          <w:spacing w:val="-11"/>
        </w:rPr>
        <w:t xml:space="preserve"> </w:t>
      </w:r>
      <w:r>
        <w:t>economy</w:t>
      </w:r>
      <w:r>
        <w:rPr>
          <w:spacing w:val="-11"/>
        </w:rPr>
        <w:t xml:space="preserve"> </w:t>
      </w:r>
      <w:r>
        <w:t>in</w:t>
      </w:r>
      <w:r>
        <w:rPr>
          <w:spacing w:val="-11"/>
        </w:rPr>
        <w:t xml:space="preserve"> </w:t>
      </w:r>
      <w:r>
        <w:t>the</w:t>
      </w:r>
      <w:r>
        <w:rPr>
          <w:spacing w:val="-11"/>
        </w:rPr>
        <w:t xml:space="preserve"> </w:t>
      </w:r>
      <w:r>
        <w:t>world,</w:t>
      </w:r>
      <w:r>
        <w:rPr>
          <w:spacing w:val="-11"/>
        </w:rPr>
        <w:t xml:space="preserve"> </w:t>
      </w:r>
      <w:r>
        <w:t>ahead</w:t>
      </w:r>
      <w:r>
        <w:rPr>
          <w:spacing w:val="-11"/>
        </w:rPr>
        <w:t xml:space="preserve"> </w:t>
      </w:r>
      <w:r>
        <w:t>of</w:t>
      </w:r>
      <w:r>
        <w:rPr>
          <w:spacing w:val="-11"/>
        </w:rPr>
        <w:t xml:space="preserve"> </w:t>
      </w:r>
      <w:r>
        <w:t>major cities</w:t>
      </w:r>
      <w:r>
        <w:rPr>
          <w:spacing w:val="-11"/>
        </w:rPr>
        <w:t xml:space="preserve"> </w:t>
      </w:r>
      <w:r>
        <w:t>such</w:t>
      </w:r>
      <w:r>
        <w:rPr>
          <w:spacing w:val="-11"/>
        </w:rPr>
        <w:t xml:space="preserve"> </w:t>
      </w:r>
      <w:r>
        <w:t>as</w:t>
      </w:r>
      <w:r>
        <w:rPr>
          <w:spacing w:val="-11"/>
        </w:rPr>
        <w:t xml:space="preserve"> </w:t>
      </w:r>
      <w:r>
        <w:t>Singapore,</w:t>
      </w:r>
      <w:r>
        <w:rPr>
          <w:spacing w:val="-11"/>
        </w:rPr>
        <w:t xml:space="preserve"> </w:t>
      </w:r>
      <w:r>
        <w:t>Shanghai</w:t>
      </w:r>
      <w:r>
        <w:rPr>
          <w:spacing w:val="-11"/>
        </w:rPr>
        <w:t xml:space="preserve"> </w:t>
      </w:r>
      <w:r>
        <w:t>and</w:t>
      </w:r>
      <w:r>
        <w:rPr>
          <w:spacing w:val="-11"/>
        </w:rPr>
        <w:t xml:space="preserve"> </w:t>
      </w:r>
      <w:r>
        <w:t>Hong</w:t>
      </w:r>
      <w:r>
        <w:rPr>
          <w:spacing w:val="-11"/>
        </w:rPr>
        <w:t xml:space="preserve"> </w:t>
      </w:r>
      <w:r>
        <w:t>Kong</w:t>
      </w:r>
      <w:r>
        <w:rPr>
          <w:position w:val="7"/>
          <w:sz w:val="11"/>
        </w:rPr>
        <w:t>2</w:t>
      </w:r>
      <w:r>
        <w:t>.</w:t>
      </w:r>
    </w:p>
    <w:p w:rsidR="002C1123" w:rsidRDefault="00F22F94">
      <w:pPr>
        <w:pStyle w:val="BodyText"/>
        <w:spacing w:before="146" w:line="249" w:lineRule="auto"/>
        <w:ind w:left="5518"/>
      </w:pPr>
      <w:r>
        <w:t>‘Global</w:t>
      </w:r>
      <w:r>
        <w:rPr>
          <w:spacing w:val="-9"/>
        </w:rPr>
        <w:t xml:space="preserve"> </w:t>
      </w:r>
      <w:r>
        <w:t>city’</w:t>
      </w:r>
      <w:r>
        <w:rPr>
          <w:spacing w:val="-9"/>
        </w:rPr>
        <w:t xml:space="preserve"> </w:t>
      </w:r>
      <w:r>
        <w:t>status</w:t>
      </w:r>
      <w:r>
        <w:rPr>
          <w:spacing w:val="-9"/>
        </w:rPr>
        <w:t xml:space="preserve"> </w:t>
      </w:r>
      <w:r>
        <w:t>refers</w:t>
      </w:r>
      <w:r>
        <w:rPr>
          <w:spacing w:val="-9"/>
        </w:rPr>
        <w:t xml:space="preserve"> </w:t>
      </w:r>
      <w:r>
        <w:t>to</w:t>
      </w:r>
      <w:r>
        <w:rPr>
          <w:spacing w:val="-9"/>
        </w:rPr>
        <w:t xml:space="preserve"> </w:t>
      </w:r>
      <w:r>
        <w:t>a</w:t>
      </w:r>
      <w:r>
        <w:rPr>
          <w:spacing w:val="-9"/>
        </w:rPr>
        <w:t xml:space="preserve"> </w:t>
      </w:r>
      <w:r>
        <w:t>matrix</w:t>
      </w:r>
      <w:r>
        <w:rPr>
          <w:spacing w:val="-9"/>
        </w:rPr>
        <w:t xml:space="preserve"> </w:t>
      </w:r>
      <w:r>
        <w:t>of</w:t>
      </w:r>
      <w:r>
        <w:rPr>
          <w:spacing w:val="-9"/>
        </w:rPr>
        <w:t xml:space="preserve"> </w:t>
      </w:r>
      <w:r>
        <w:t>economic</w:t>
      </w:r>
      <w:r>
        <w:rPr>
          <w:spacing w:val="-9"/>
        </w:rPr>
        <w:t xml:space="preserve"> </w:t>
      </w:r>
      <w:r>
        <w:t xml:space="preserve">and </w:t>
      </w:r>
      <w:r>
        <w:rPr>
          <w:w w:val="95"/>
        </w:rPr>
        <w:t>cultural</w:t>
      </w:r>
      <w:r>
        <w:rPr>
          <w:spacing w:val="-5"/>
          <w:w w:val="95"/>
        </w:rPr>
        <w:t xml:space="preserve"> </w:t>
      </w:r>
      <w:r>
        <w:rPr>
          <w:w w:val="95"/>
        </w:rPr>
        <w:t>influences,</w:t>
      </w:r>
      <w:r>
        <w:rPr>
          <w:spacing w:val="-5"/>
          <w:w w:val="95"/>
        </w:rPr>
        <w:t xml:space="preserve"> </w:t>
      </w:r>
      <w:r>
        <w:rPr>
          <w:w w:val="95"/>
        </w:rPr>
        <w:t>engagement</w:t>
      </w:r>
      <w:r>
        <w:rPr>
          <w:spacing w:val="-5"/>
          <w:w w:val="95"/>
        </w:rPr>
        <w:t xml:space="preserve"> </w:t>
      </w:r>
      <w:r>
        <w:rPr>
          <w:w w:val="95"/>
        </w:rPr>
        <w:t>with</w:t>
      </w:r>
      <w:r>
        <w:rPr>
          <w:spacing w:val="-5"/>
          <w:w w:val="95"/>
        </w:rPr>
        <w:t xml:space="preserve"> </w:t>
      </w:r>
      <w:r>
        <w:rPr>
          <w:w w:val="95"/>
        </w:rPr>
        <w:t>international</w:t>
      </w:r>
      <w:r>
        <w:rPr>
          <w:spacing w:val="-5"/>
          <w:w w:val="95"/>
        </w:rPr>
        <w:t xml:space="preserve"> </w:t>
      </w:r>
      <w:r>
        <w:rPr>
          <w:w w:val="95"/>
        </w:rPr>
        <w:t xml:space="preserve">trade </w:t>
      </w:r>
      <w:r>
        <w:t>and</w:t>
      </w:r>
      <w:r>
        <w:rPr>
          <w:spacing w:val="-11"/>
        </w:rPr>
        <w:t xml:space="preserve"> </w:t>
      </w:r>
      <w:r>
        <w:t>finance,</w:t>
      </w:r>
      <w:r>
        <w:rPr>
          <w:spacing w:val="-11"/>
        </w:rPr>
        <w:t xml:space="preserve"> </w:t>
      </w:r>
      <w:r>
        <w:t>and</w:t>
      </w:r>
      <w:r>
        <w:rPr>
          <w:spacing w:val="-11"/>
        </w:rPr>
        <w:t xml:space="preserve"> </w:t>
      </w:r>
      <w:r>
        <w:t>attractiveness</w:t>
      </w:r>
      <w:r>
        <w:rPr>
          <w:spacing w:val="-11"/>
        </w:rPr>
        <w:t xml:space="preserve"> </w:t>
      </w:r>
      <w:r>
        <w:t>to</w:t>
      </w:r>
      <w:r>
        <w:rPr>
          <w:spacing w:val="-11"/>
        </w:rPr>
        <w:t xml:space="preserve"> </w:t>
      </w:r>
      <w:r>
        <w:t>globally-mobile workers and visitors.</w:t>
      </w:r>
    </w:p>
    <w:p w:rsidR="002C1123" w:rsidRDefault="00F22F94">
      <w:pPr>
        <w:pStyle w:val="BodyText"/>
        <w:spacing w:before="145" w:line="249" w:lineRule="auto"/>
        <w:ind w:left="5518" w:right="66"/>
      </w:pPr>
      <w:r>
        <w:rPr>
          <w:w w:val="95"/>
        </w:rPr>
        <w:t xml:space="preserve">Global Sydney contains a density of economic activity </w:t>
      </w:r>
      <w:r>
        <w:t>more</w:t>
      </w:r>
      <w:r>
        <w:rPr>
          <w:spacing w:val="-8"/>
        </w:rPr>
        <w:t xml:space="preserve"> </w:t>
      </w:r>
      <w:r>
        <w:t>concentrated</w:t>
      </w:r>
      <w:r>
        <w:rPr>
          <w:spacing w:val="-8"/>
        </w:rPr>
        <w:t xml:space="preserve"> </w:t>
      </w:r>
      <w:r>
        <w:t>than</w:t>
      </w:r>
      <w:r>
        <w:rPr>
          <w:spacing w:val="-8"/>
        </w:rPr>
        <w:t xml:space="preserve"> </w:t>
      </w:r>
      <w:r>
        <w:t>the</w:t>
      </w:r>
      <w:r>
        <w:rPr>
          <w:spacing w:val="-8"/>
        </w:rPr>
        <w:t xml:space="preserve"> </w:t>
      </w:r>
      <w:r>
        <w:t>wider</w:t>
      </w:r>
      <w:r>
        <w:rPr>
          <w:spacing w:val="-8"/>
        </w:rPr>
        <w:t xml:space="preserve"> </w:t>
      </w:r>
      <w:r>
        <w:t>metropolitan</w:t>
      </w:r>
      <w:r>
        <w:rPr>
          <w:spacing w:val="-8"/>
        </w:rPr>
        <w:t xml:space="preserve"> </w:t>
      </w:r>
      <w:r>
        <w:t>area as</w:t>
      </w:r>
      <w:r>
        <w:rPr>
          <w:spacing w:val="-14"/>
        </w:rPr>
        <w:t xml:space="preserve"> </w:t>
      </w:r>
      <w:r>
        <w:t>a</w:t>
      </w:r>
      <w:r>
        <w:rPr>
          <w:spacing w:val="-14"/>
        </w:rPr>
        <w:t xml:space="preserve"> </w:t>
      </w:r>
      <w:r>
        <w:t>whole</w:t>
      </w:r>
      <w:r>
        <w:rPr>
          <w:spacing w:val="-14"/>
        </w:rPr>
        <w:t xml:space="preserve"> </w:t>
      </w:r>
      <w:r>
        <w:t>and</w:t>
      </w:r>
      <w:r>
        <w:rPr>
          <w:spacing w:val="-14"/>
        </w:rPr>
        <w:t xml:space="preserve"> </w:t>
      </w:r>
      <w:r>
        <w:t>other</w:t>
      </w:r>
      <w:r>
        <w:rPr>
          <w:spacing w:val="-14"/>
        </w:rPr>
        <w:t xml:space="preserve"> </w:t>
      </w:r>
      <w:r>
        <w:t>Australian</w:t>
      </w:r>
      <w:r>
        <w:rPr>
          <w:spacing w:val="-14"/>
        </w:rPr>
        <w:t xml:space="preserve"> </w:t>
      </w:r>
      <w:r>
        <w:t>cities.</w:t>
      </w:r>
      <w:r>
        <w:rPr>
          <w:spacing w:val="-14"/>
        </w:rPr>
        <w:t xml:space="preserve"> </w:t>
      </w:r>
      <w:r>
        <w:t>Global</w:t>
      </w:r>
      <w:r>
        <w:rPr>
          <w:spacing w:val="-14"/>
        </w:rPr>
        <w:t xml:space="preserve"> </w:t>
      </w:r>
      <w:r>
        <w:t xml:space="preserve">Sydney </w:t>
      </w:r>
      <w:r>
        <w:rPr>
          <w:w w:val="95"/>
        </w:rPr>
        <w:t>generates</w:t>
      </w:r>
      <w:r>
        <w:rPr>
          <w:spacing w:val="-6"/>
          <w:w w:val="95"/>
        </w:rPr>
        <w:t xml:space="preserve"> </w:t>
      </w:r>
      <w:r>
        <w:rPr>
          <w:w w:val="95"/>
        </w:rPr>
        <w:t>41</w:t>
      </w:r>
      <w:r>
        <w:rPr>
          <w:spacing w:val="-6"/>
          <w:w w:val="95"/>
        </w:rPr>
        <w:t xml:space="preserve"> </w:t>
      </w:r>
      <w:r>
        <w:rPr>
          <w:w w:val="95"/>
        </w:rPr>
        <w:t>percent</w:t>
      </w:r>
      <w:r>
        <w:rPr>
          <w:spacing w:val="-6"/>
          <w:w w:val="95"/>
        </w:rPr>
        <w:t xml:space="preserve"> </w:t>
      </w:r>
      <w:r>
        <w:rPr>
          <w:w w:val="95"/>
        </w:rPr>
        <w:t>of</w:t>
      </w:r>
      <w:r>
        <w:rPr>
          <w:spacing w:val="-6"/>
          <w:w w:val="95"/>
        </w:rPr>
        <w:t xml:space="preserve"> </w:t>
      </w:r>
      <w:r>
        <w:rPr>
          <w:w w:val="95"/>
        </w:rPr>
        <w:t>NSW</w:t>
      </w:r>
      <w:r>
        <w:rPr>
          <w:spacing w:val="-6"/>
          <w:w w:val="95"/>
        </w:rPr>
        <w:t xml:space="preserve"> </w:t>
      </w:r>
      <w:r>
        <w:rPr>
          <w:w w:val="95"/>
        </w:rPr>
        <w:t>GSP</w:t>
      </w:r>
      <w:r>
        <w:rPr>
          <w:w w:val="95"/>
          <w:position w:val="7"/>
          <w:sz w:val="11"/>
        </w:rPr>
        <w:t>3</w:t>
      </w:r>
      <w:r>
        <w:rPr>
          <w:w w:val="95"/>
        </w:rPr>
        <w:t>,</w:t>
      </w:r>
      <w:r>
        <w:rPr>
          <w:spacing w:val="-6"/>
          <w:w w:val="95"/>
        </w:rPr>
        <w:t xml:space="preserve"> </w:t>
      </w:r>
      <w:r>
        <w:rPr>
          <w:w w:val="95"/>
        </w:rPr>
        <w:t>is</w:t>
      </w:r>
      <w:r>
        <w:rPr>
          <w:spacing w:val="-6"/>
          <w:w w:val="95"/>
        </w:rPr>
        <w:t xml:space="preserve"> </w:t>
      </w:r>
      <w:r>
        <w:rPr>
          <w:w w:val="95"/>
        </w:rPr>
        <w:t>home</w:t>
      </w:r>
      <w:r>
        <w:rPr>
          <w:spacing w:val="-6"/>
          <w:w w:val="95"/>
        </w:rPr>
        <w:t xml:space="preserve"> </w:t>
      </w:r>
      <w:r>
        <w:rPr>
          <w:w w:val="95"/>
        </w:rPr>
        <w:t>to</w:t>
      </w:r>
      <w:r>
        <w:rPr>
          <w:spacing w:val="-6"/>
          <w:w w:val="95"/>
        </w:rPr>
        <w:t xml:space="preserve"> </w:t>
      </w:r>
      <w:r>
        <w:rPr>
          <w:w w:val="95"/>
        </w:rPr>
        <w:t>most</w:t>
      </w:r>
      <w:r>
        <w:rPr>
          <w:spacing w:val="-6"/>
          <w:w w:val="95"/>
        </w:rPr>
        <w:t xml:space="preserve"> </w:t>
      </w:r>
      <w:r>
        <w:rPr>
          <w:w w:val="95"/>
        </w:rPr>
        <w:t>of Sydney’s</w:t>
      </w:r>
      <w:r>
        <w:rPr>
          <w:spacing w:val="-2"/>
          <w:w w:val="95"/>
        </w:rPr>
        <w:t xml:space="preserve"> </w:t>
      </w:r>
      <w:r>
        <w:rPr>
          <w:w w:val="95"/>
        </w:rPr>
        <w:t>museums,</w:t>
      </w:r>
      <w:r>
        <w:rPr>
          <w:spacing w:val="-2"/>
          <w:w w:val="95"/>
        </w:rPr>
        <w:t xml:space="preserve"> </w:t>
      </w:r>
      <w:r>
        <w:rPr>
          <w:w w:val="95"/>
        </w:rPr>
        <w:t>universities</w:t>
      </w:r>
      <w:r>
        <w:rPr>
          <w:spacing w:val="-2"/>
          <w:w w:val="95"/>
        </w:rPr>
        <w:t xml:space="preserve"> </w:t>
      </w:r>
      <w:r>
        <w:rPr>
          <w:w w:val="95"/>
        </w:rPr>
        <w:t>and</w:t>
      </w:r>
      <w:r>
        <w:rPr>
          <w:spacing w:val="-2"/>
          <w:w w:val="95"/>
        </w:rPr>
        <w:t xml:space="preserve"> </w:t>
      </w:r>
      <w:r>
        <w:rPr>
          <w:w w:val="95"/>
        </w:rPr>
        <w:t>tourist</w:t>
      </w:r>
      <w:r>
        <w:rPr>
          <w:spacing w:val="-2"/>
          <w:w w:val="95"/>
        </w:rPr>
        <w:t xml:space="preserve"> </w:t>
      </w:r>
      <w:r>
        <w:rPr>
          <w:w w:val="95"/>
        </w:rPr>
        <w:t xml:space="preserve">attractions, </w:t>
      </w:r>
      <w:r>
        <w:t>and</w:t>
      </w:r>
      <w:r>
        <w:rPr>
          <w:spacing w:val="-5"/>
        </w:rPr>
        <w:t xml:space="preserve"> </w:t>
      </w:r>
      <w:r>
        <w:t>is</w:t>
      </w:r>
      <w:r>
        <w:rPr>
          <w:spacing w:val="-5"/>
        </w:rPr>
        <w:t xml:space="preserve"> </w:t>
      </w:r>
      <w:r>
        <w:t>the</w:t>
      </w:r>
      <w:r>
        <w:rPr>
          <w:spacing w:val="-5"/>
        </w:rPr>
        <w:t xml:space="preserve"> </w:t>
      </w:r>
      <w:r>
        <w:t>State’s</w:t>
      </w:r>
      <w:r>
        <w:rPr>
          <w:spacing w:val="-5"/>
        </w:rPr>
        <w:t xml:space="preserve"> </w:t>
      </w:r>
      <w:r>
        <w:t>front</w:t>
      </w:r>
      <w:r>
        <w:rPr>
          <w:spacing w:val="-5"/>
        </w:rPr>
        <w:t xml:space="preserve"> </w:t>
      </w:r>
      <w:r>
        <w:t>door</w:t>
      </w:r>
      <w:r>
        <w:rPr>
          <w:spacing w:val="-5"/>
        </w:rPr>
        <w:t xml:space="preserve"> </w:t>
      </w:r>
      <w:r>
        <w:t>to</w:t>
      </w:r>
      <w:r>
        <w:rPr>
          <w:spacing w:val="-5"/>
        </w:rPr>
        <w:t xml:space="preserve"> </w:t>
      </w:r>
      <w:r>
        <w:t>the</w:t>
      </w:r>
      <w:r>
        <w:rPr>
          <w:spacing w:val="-5"/>
        </w:rPr>
        <w:t xml:space="preserve"> </w:t>
      </w:r>
      <w:r>
        <w:t>world.</w:t>
      </w:r>
    </w:p>
    <w:p w:rsidR="002C1123" w:rsidRDefault="00F22F94">
      <w:pPr>
        <w:pStyle w:val="BodyText"/>
        <w:spacing w:before="146" w:line="249" w:lineRule="auto"/>
        <w:ind w:left="5518"/>
      </w:pPr>
      <w:r>
        <w:rPr>
          <w:w w:val="95"/>
        </w:rPr>
        <w:t>Sydney</w:t>
      </w:r>
      <w:r>
        <w:rPr>
          <w:spacing w:val="-4"/>
          <w:w w:val="95"/>
        </w:rPr>
        <w:t xml:space="preserve"> </w:t>
      </w:r>
      <w:r>
        <w:rPr>
          <w:w w:val="95"/>
        </w:rPr>
        <w:t>is</w:t>
      </w:r>
      <w:r>
        <w:rPr>
          <w:spacing w:val="-4"/>
          <w:w w:val="95"/>
        </w:rPr>
        <w:t xml:space="preserve"> </w:t>
      </w:r>
      <w:r>
        <w:rPr>
          <w:w w:val="95"/>
        </w:rPr>
        <w:t>fortunate</w:t>
      </w:r>
      <w:r>
        <w:rPr>
          <w:spacing w:val="-4"/>
          <w:w w:val="95"/>
        </w:rPr>
        <w:t xml:space="preserve"> </w:t>
      </w:r>
      <w:r>
        <w:rPr>
          <w:w w:val="95"/>
        </w:rPr>
        <w:t>to</w:t>
      </w:r>
      <w:r>
        <w:rPr>
          <w:spacing w:val="-4"/>
          <w:w w:val="95"/>
        </w:rPr>
        <w:t xml:space="preserve"> </w:t>
      </w:r>
      <w:r>
        <w:rPr>
          <w:w w:val="95"/>
        </w:rPr>
        <w:t>possess</w:t>
      </w:r>
      <w:r>
        <w:rPr>
          <w:spacing w:val="-4"/>
          <w:w w:val="95"/>
        </w:rPr>
        <w:t xml:space="preserve"> </w:t>
      </w:r>
      <w:r>
        <w:rPr>
          <w:w w:val="95"/>
        </w:rPr>
        <w:t>one</w:t>
      </w:r>
      <w:r>
        <w:rPr>
          <w:spacing w:val="-4"/>
          <w:w w:val="95"/>
        </w:rPr>
        <w:t xml:space="preserve"> </w:t>
      </w:r>
      <w:r>
        <w:rPr>
          <w:w w:val="95"/>
        </w:rPr>
        <w:t>of</w:t>
      </w:r>
      <w:r>
        <w:rPr>
          <w:spacing w:val="-4"/>
          <w:w w:val="95"/>
        </w:rPr>
        <w:t xml:space="preserve"> </w:t>
      </w:r>
      <w:r>
        <w:rPr>
          <w:w w:val="95"/>
        </w:rPr>
        <w:t>the</w:t>
      </w:r>
      <w:r>
        <w:rPr>
          <w:spacing w:val="-4"/>
          <w:w w:val="95"/>
        </w:rPr>
        <w:t xml:space="preserve"> </w:t>
      </w:r>
      <w:r>
        <w:rPr>
          <w:w w:val="95"/>
        </w:rPr>
        <w:t>world’s</w:t>
      </w:r>
      <w:r>
        <w:rPr>
          <w:spacing w:val="-4"/>
          <w:w w:val="95"/>
        </w:rPr>
        <w:t xml:space="preserve"> </w:t>
      </w:r>
      <w:r>
        <w:rPr>
          <w:w w:val="95"/>
        </w:rPr>
        <w:t>most valuable</w:t>
      </w:r>
      <w:r>
        <w:rPr>
          <w:spacing w:val="-11"/>
          <w:w w:val="95"/>
        </w:rPr>
        <w:t xml:space="preserve"> </w:t>
      </w:r>
      <w:r>
        <w:rPr>
          <w:w w:val="95"/>
        </w:rPr>
        <w:t>‘city</w:t>
      </w:r>
      <w:r>
        <w:rPr>
          <w:spacing w:val="-11"/>
          <w:w w:val="95"/>
        </w:rPr>
        <w:t xml:space="preserve"> </w:t>
      </w:r>
      <w:r>
        <w:rPr>
          <w:w w:val="95"/>
        </w:rPr>
        <w:t>brands’.</w:t>
      </w:r>
      <w:r>
        <w:rPr>
          <w:spacing w:val="-11"/>
          <w:w w:val="95"/>
        </w:rPr>
        <w:t xml:space="preserve"> </w:t>
      </w:r>
      <w:r>
        <w:rPr>
          <w:w w:val="95"/>
        </w:rPr>
        <w:t>The</w:t>
      </w:r>
      <w:r>
        <w:rPr>
          <w:spacing w:val="-11"/>
          <w:w w:val="95"/>
        </w:rPr>
        <w:t xml:space="preserve"> </w:t>
      </w:r>
      <w:r>
        <w:rPr>
          <w:w w:val="95"/>
        </w:rPr>
        <w:t>natural</w:t>
      </w:r>
      <w:r>
        <w:rPr>
          <w:spacing w:val="-11"/>
          <w:w w:val="95"/>
        </w:rPr>
        <w:t xml:space="preserve"> </w:t>
      </w:r>
      <w:r>
        <w:rPr>
          <w:w w:val="95"/>
        </w:rPr>
        <w:t>beauty</w:t>
      </w:r>
      <w:r>
        <w:rPr>
          <w:spacing w:val="-11"/>
          <w:w w:val="95"/>
        </w:rPr>
        <w:t xml:space="preserve"> </w:t>
      </w:r>
      <w:r>
        <w:rPr>
          <w:w w:val="95"/>
        </w:rPr>
        <w:t>of</w:t>
      </w:r>
      <w:r>
        <w:rPr>
          <w:spacing w:val="-11"/>
          <w:w w:val="95"/>
        </w:rPr>
        <w:t xml:space="preserve"> </w:t>
      </w:r>
      <w:r>
        <w:rPr>
          <w:w w:val="95"/>
        </w:rPr>
        <w:t>the</w:t>
      </w:r>
      <w:r>
        <w:rPr>
          <w:spacing w:val="-11"/>
          <w:w w:val="95"/>
        </w:rPr>
        <w:t xml:space="preserve"> </w:t>
      </w:r>
      <w:r>
        <w:rPr>
          <w:w w:val="95"/>
        </w:rPr>
        <w:t xml:space="preserve">harbour, </w:t>
      </w:r>
      <w:r>
        <w:rPr>
          <w:w w:val="90"/>
        </w:rPr>
        <w:t xml:space="preserve">the Opera House, the Sydney Harbour Bridge, the beaches </w:t>
      </w:r>
      <w:r>
        <w:rPr>
          <w:w w:val="95"/>
        </w:rPr>
        <w:t>and</w:t>
      </w:r>
      <w:r>
        <w:rPr>
          <w:spacing w:val="-8"/>
          <w:w w:val="95"/>
        </w:rPr>
        <w:t xml:space="preserve"> </w:t>
      </w:r>
      <w:r>
        <w:rPr>
          <w:w w:val="95"/>
        </w:rPr>
        <w:t>the</w:t>
      </w:r>
      <w:r>
        <w:rPr>
          <w:spacing w:val="-8"/>
          <w:w w:val="95"/>
        </w:rPr>
        <w:t xml:space="preserve"> </w:t>
      </w:r>
      <w:r>
        <w:rPr>
          <w:w w:val="95"/>
        </w:rPr>
        <w:t>climate</w:t>
      </w:r>
      <w:r>
        <w:rPr>
          <w:spacing w:val="-8"/>
          <w:w w:val="95"/>
        </w:rPr>
        <w:t xml:space="preserve"> </w:t>
      </w:r>
      <w:r>
        <w:rPr>
          <w:w w:val="95"/>
        </w:rPr>
        <w:t>have</w:t>
      </w:r>
      <w:r>
        <w:rPr>
          <w:spacing w:val="-8"/>
          <w:w w:val="95"/>
        </w:rPr>
        <w:t xml:space="preserve"> </w:t>
      </w:r>
      <w:r>
        <w:rPr>
          <w:w w:val="95"/>
        </w:rPr>
        <w:t>all</w:t>
      </w:r>
      <w:r>
        <w:rPr>
          <w:spacing w:val="-8"/>
          <w:w w:val="95"/>
        </w:rPr>
        <w:t xml:space="preserve"> </w:t>
      </w:r>
      <w:r>
        <w:rPr>
          <w:w w:val="95"/>
        </w:rPr>
        <w:t>combined</w:t>
      </w:r>
      <w:r>
        <w:rPr>
          <w:spacing w:val="-8"/>
          <w:w w:val="95"/>
        </w:rPr>
        <w:t xml:space="preserve"> </w:t>
      </w:r>
      <w:r>
        <w:rPr>
          <w:w w:val="95"/>
        </w:rPr>
        <w:t>to</w:t>
      </w:r>
      <w:r>
        <w:rPr>
          <w:spacing w:val="-8"/>
          <w:w w:val="95"/>
        </w:rPr>
        <w:t xml:space="preserve"> </w:t>
      </w:r>
      <w:r>
        <w:rPr>
          <w:w w:val="95"/>
        </w:rPr>
        <w:t>create</w:t>
      </w:r>
      <w:r>
        <w:rPr>
          <w:spacing w:val="-8"/>
          <w:w w:val="95"/>
        </w:rPr>
        <w:t xml:space="preserve"> </w:t>
      </w:r>
      <w:r>
        <w:rPr>
          <w:w w:val="95"/>
        </w:rPr>
        <w:t>a</w:t>
      </w:r>
      <w:r>
        <w:rPr>
          <w:spacing w:val="-8"/>
          <w:w w:val="95"/>
        </w:rPr>
        <w:t xml:space="preserve"> </w:t>
      </w:r>
      <w:r>
        <w:rPr>
          <w:w w:val="95"/>
        </w:rPr>
        <w:t>unique proposition that is recognised and admired worldwide.</w:t>
      </w:r>
    </w:p>
    <w:p w:rsidR="002C1123" w:rsidRDefault="00F22F94">
      <w:pPr>
        <w:pStyle w:val="BodyText"/>
        <w:spacing w:before="146" w:line="249" w:lineRule="auto"/>
        <w:ind w:left="5518"/>
      </w:pPr>
      <w:r>
        <w:t>Sydney’s</w:t>
      </w:r>
      <w:r>
        <w:rPr>
          <w:spacing w:val="-9"/>
        </w:rPr>
        <w:t xml:space="preserve"> </w:t>
      </w:r>
      <w:r>
        <w:t>city</w:t>
      </w:r>
      <w:r>
        <w:rPr>
          <w:spacing w:val="-9"/>
        </w:rPr>
        <w:t xml:space="preserve"> </w:t>
      </w:r>
      <w:r>
        <w:t>brand</w:t>
      </w:r>
      <w:r>
        <w:rPr>
          <w:spacing w:val="-9"/>
        </w:rPr>
        <w:t xml:space="preserve"> </w:t>
      </w:r>
      <w:r>
        <w:t>has</w:t>
      </w:r>
      <w:r>
        <w:rPr>
          <w:spacing w:val="-9"/>
        </w:rPr>
        <w:t xml:space="preserve"> </w:t>
      </w:r>
      <w:r>
        <w:t>made</w:t>
      </w:r>
      <w:r>
        <w:rPr>
          <w:spacing w:val="-9"/>
        </w:rPr>
        <w:t xml:space="preserve"> </w:t>
      </w:r>
      <w:r>
        <w:t>a</w:t>
      </w:r>
      <w:r>
        <w:rPr>
          <w:spacing w:val="-9"/>
        </w:rPr>
        <w:t xml:space="preserve"> </w:t>
      </w:r>
      <w:r>
        <w:t>major</w:t>
      </w:r>
      <w:r>
        <w:rPr>
          <w:spacing w:val="-9"/>
        </w:rPr>
        <w:t xml:space="preserve"> </w:t>
      </w:r>
      <w:r>
        <w:t>contribution</w:t>
      </w:r>
      <w:r>
        <w:rPr>
          <w:spacing w:val="-9"/>
        </w:rPr>
        <w:t xml:space="preserve"> </w:t>
      </w:r>
      <w:r>
        <w:t xml:space="preserve">to </w:t>
      </w:r>
      <w:r>
        <w:rPr>
          <w:w w:val="95"/>
        </w:rPr>
        <w:t>economic growth. Success has been based on applying skilled</w:t>
      </w:r>
      <w:r>
        <w:rPr>
          <w:spacing w:val="-5"/>
          <w:w w:val="95"/>
        </w:rPr>
        <w:t xml:space="preserve"> </w:t>
      </w:r>
      <w:r>
        <w:rPr>
          <w:w w:val="95"/>
        </w:rPr>
        <w:t>human</w:t>
      </w:r>
      <w:r>
        <w:rPr>
          <w:spacing w:val="-5"/>
          <w:w w:val="95"/>
        </w:rPr>
        <w:t xml:space="preserve"> </w:t>
      </w:r>
      <w:r>
        <w:rPr>
          <w:w w:val="95"/>
        </w:rPr>
        <w:t>capital</w:t>
      </w:r>
      <w:r>
        <w:rPr>
          <w:spacing w:val="-5"/>
          <w:w w:val="95"/>
        </w:rPr>
        <w:t xml:space="preserve"> </w:t>
      </w:r>
      <w:r>
        <w:rPr>
          <w:w w:val="95"/>
        </w:rPr>
        <w:t>to</w:t>
      </w:r>
      <w:r>
        <w:rPr>
          <w:spacing w:val="-5"/>
          <w:w w:val="95"/>
        </w:rPr>
        <w:t xml:space="preserve"> </w:t>
      </w:r>
      <w:r>
        <w:rPr>
          <w:w w:val="95"/>
        </w:rPr>
        <w:t>a</w:t>
      </w:r>
      <w:r>
        <w:rPr>
          <w:spacing w:val="-5"/>
          <w:w w:val="95"/>
        </w:rPr>
        <w:t xml:space="preserve"> </w:t>
      </w:r>
      <w:r>
        <w:rPr>
          <w:w w:val="95"/>
        </w:rPr>
        <w:t>range</w:t>
      </w:r>
      <w:r>
        <w:rPr>
          <w:spacing w:val="-5"/>
          <w:w w:val="95"/>
        </w:rPr>
        <w:t xml:space="preserve"> </w:t>
      </w:r>
      <w:r>
        <w:rPr>
          <w:w w:val="95"/>
        </w:rPr>
        <w:t>of</w:t>
      </w:r>
      <w:r>
        <w:rPr>
          <w:spacing w:val="-5"/>
          <w:w w:val="95"/>
        </w:rPr>
        <w:t xml:space="preserve"> </w:t>
      </w:r>
      <w:r>
        <w:rPr>
          <w:w w:val="95"/>
        </w:rPr>
        <w:t>service</w:t>
      </w:r>
      <w:r>
        <w:rPr>
          <w:spacing w:val="-5"/>
          <w:w w:val="95"/>
        </w:rPr>
        <w:t xml:space="preserve"> </w:t>
      </w:r>
      <w:r>
        <w:rPr>
          <w:w w:val="95"/>
        </w:rPr>
        <w:t>industries</w:t>
      </w:r>
      <w:r>
        <w:rPr>
          <w:spacing w:val="-5"/>
          <w:w w:val="95"/>
        </w:rPr>
        <w:t xml:space="preserve"> </w:t>
      </w:r>
      <w:r>
        <w:rPr>
          <w:w w:val="95"/>
        </w:rPr>
        <w:t xml:space="preserve">that </w:t>
      </w:r>
      <w:r>
        <w:t>collectively</w:t>
      </w:r>
      <w:r>
        <w:rPr>
          <w:spacing w:val="-11"/>
        </w:rPr>
        <w:t xml:space="preserve"> </w:t>
      </w:r>
      <w:r>
        <w:t>make</w:t>
      </w:r>
      <w:r>
        <w:rPr>
          <w:spacing w:val="-11"/>
        </w:rPr>
        <w:t xml:space="preserve"> </w:t>
      </w:r>
      <w:r>
        <w:t>up</w:t>
      </w:r>
      <w:r>
        <w:rPr>
          <w:spacing w:val="-11"/>
        </w:rPr>
        <w:t xml:space="preserve"> </w:t>
      </w:r>
      <w:r>
        <w:t>the</w:t>
      </w:r>
      <w:r>
        <w:rPr>
          <w:spacing w:val="-11"/>
        </w:rPr>
        <w:t xml:space="preserve"> </w:t>
      </w:r>
      <w:r>
        <w:t>‘knowledge</w:t>
      </w:r>
      <w:r>
        <w:rPr>
          <w:spacing w:val="-11"/>
        </w:rPr>
        <w:t xml:space="preserve"> </w:t>
      </w:r>
      <w:r>
        <w:t>economy’.</w:t>
      </w:r>
      <w:r>
        <w:rPr>
          <w:spacing w:val="-11"/>
        </w:rPr>
        <w:t xml:space="preserve"> </w:t>
      </w:r>
      <w:r>
        <w:t>Half</w:t>
      </w:r>
      <w:r>
        <w:rPr>
          <w:spacing w:val="-11"/>
        </w:rPr>
        <w:t xml:space="preserve"> </w:t>
      </w:r>
      <w:r>
        <w:t>of Australia’s</w:t>
      </w:r>
      <w:r>
        <w:rPr>
          <w:spacing w:val="-14"/>
        </w:rPr>
        <w:t xml:space="preserve"> </w:t>
      </w:r>
      <w:r>
        <w:t>globally</w:t>
      </w:r>
      <w:r>
        <w:rPr>
          <w:spacing w:val="-14"/>
        </w:rPr>
        <w:t xml:space="preserve"> </w:t>
      </w:r>
      <w:r>
        <w:t>competitive</w:t>
      </w:r>
      <w:r>
        <w:rPr>
          <w:spacing w:val="-14"/>
        </w:rPr>
        <w:t xml:space="preserve"> </w:t>
      </w:r>
      <w:r>
        <w:t>service</w:t>
      </w:r>
      <w:r>
        <w:rPr>
          <w:spacing w:val="-14"/>
        </w:rPr>
        <w:t xml:space="preserve"> </w:t>
      </w:r>
      <w:r>
        <w:t>sector</w:t>
      </w:r>
      <w:r>
        <w:rPr>
          <w:spacing w:val="-14"/>
        </w:rPr>
        <w:t xml:space="preserve"> </w:t>
      </w:r>
      <w:r>
        <w:t>jobs</w:t>
      </w:r>
      <w:r>
        <w:rPr>
          <w:spacing w:val="-14"/>
        </w:rPr>
        <w:t xml:space="preserve"> </w:t>
      </w:r>
      <w:r>
        <w:t>are based</w:t>
      </w:r>
      <w:r>
        <w:rPr>
          <w:spacing w:val="-14"/>
        </w:rPr>
        <w:t xml:space="preserve"> </w:t>
      </w:r>
      <w:r>
        <w:t>in</w:t>
      </w:r>
      <w:r>
        <w:rPr>
          <w:spacing w:val="-14"/>
        </w:rPr>
        <w:t xml:space="preserve"> </w:t>
      </w:r>
      <w:r>
        <w:t>Sydney,</w:t>
      </w:r>
      <w:r>
        <w:rPr>
          <w:spacing w:val="-14"/>
        </w:rPr>
        <w:t xml:space="preserve"> </w:t>
      </w:r>
      <w:r>
        <w:t>primarily</w:t>
      </w:r>
      <w:r>
        <w:rPr>
          <w:spacing w:val="-14"/>
        </w:rPr>
        <w:t xml:space="preserve"> </w:t>
      </w:r>
      <w:r>
        <w:t>within</w:t>
      </w:r>
      <w:r>
        <w:rPr>
          <w:spacing w:val="-14"/>
        </w:rPr>
        <w:t xml:space="preserve"> </w:t>
      </w:r>
      <w:r>
        <w:t>Global</w:t>
      </w:r>
      <w:r>
        <w:rPr>
          <w:spacing w:val="-14"/>
        </w:rPr>
        <w:t xml:space="preserve"> </w:t>
      </w:r>
      <w:r>
        <w:t>Sydney</w:t>
      </w:r>
      <w:r>
        <w:rPr>
          <w:position w:val="7"/>
          <w:sz w:val="11"/>
        </w:rPr>
        <w:t>4</w:t>
      </w:r>
      <w:r>
        <w:t>.</w:t>
      </w:r>
    </w:p>
    <w:p w:rsidR="002C1123" w:rsidRDefault="00F22F94">
      <w:pPr>
        <w:pStyle w:val="BodyText"/>
        <w:spacing w:before="129" w:line="249" w:lineRule="auto"/>
        <w:ind w:left="186" w:right="796"/>
      </w:pPr>
      <w:r>
        <w:br w:type="column"/>
      </w:r>
      <w:r>
        <w:t>Sydney</w:t>
      </w:r>
      <w:r>
        <w:rPr>
          <w:spacing w:val="-13"/>
        </w:rPr>
        <w:t xml:space="preserve"> </w:t>
      </w:r>
      <w:r>
        <w:t>has</w:t>
      </w:r>
      <w:r>
        <w:rPr>
          <w:spacing w:val="-13"/>
        </w:rPr>
        <w:t xml:space="preserve"> </w:t>
      </w:r>
      <w:r>
        <w:t>been</w:t>
      </w:r>
      <w:r>
        <w:rPr>
          <w:spacing w:val="-13"/>
        </w:rPr>
        <w:t xml:space="preserve"> </w:t>
      </w:r>
      <w:r>
        <w:t>extremely</w:t>
      </w:r>
      <w:r>
        <w:rPr>
          <w:spacing w:val="-13"/>
        </w:rPr>
        <w:t xml:space="preserve"> </w:t>
      </w:r>
      <w:r>
        <w:t>successful</w:t>
      </w:r>
      <w:r>
        <w:rPr>
          <w:spacing w:val="-13"/>
        </w:rPr>
        <w:t xml:space="preserve"> </w:t>
      </w:r>
      <w:r>
        <w:t>in</w:t>
      </w:r>
      <w:r>
        <w:rPr>
          <w:spacing w:val="-13"/>
        </w:rPr>
        <w:t xml:space="preserve"> </w:t>
      </w:r>
      <w:r>
        <w:t>attracting talented</w:t>
      </w:r>
      <w:r>
        <w:rPr>
          <w:spacing w:val="-14"/>
        </w:rPr>
        <w:t xml:space="preserve"> </w:t>
      </w:r>
      <w:r>
        <w:t>workers</w:t>
      </w:r>
      <w:r>
        <w:rPr>
          <w:spacing w:val="-14"/>
        </w:rPr>
        <w:t xml:space="preserve"> </w:t>
      </w:r>
      <w:r>
        <w:t>from</w:t>
      </w:r>
      <w:r>
        <w:rPr>
          <w:spacing w:val="-14"/>
        </w:rPr>
        <w:t xml:space="preserve"> </w:t>
      </w:r>
      <w:r>
        <w:t>across</w:t>
      </w:r>
      <w:r>
        <w:rPr>
          <w:spacing w:val="-14"/>
        </w:rPr>
        <w:t xml:space="preserve"> </w:t>
      </w:r>
      <w:r>
        <w:t>the</w:t>
      </w:r>
      <w:r>
        <w:rPr>
          <w:spacing w:val="-14"/>
        </w:rPr>
        <w:t xml:space="preserve"> </w:t>
      </w:r>
      <w:r>
        <w:t>globe</w:t>
      </w:r>
      <w:r>
        <w:rPr>
          <w:spacing w:val="-14"/>
        </w:rPr>
        <w:t xml:space="preserve"> </w:t>
      </w:r>
      <w:r>
        <w:t>and</w:t>
      </w:r>
      <w:r>
        <w:rPr>
          <w:spacing w:val="-14"/>
        </w:rPr>
        <w:t xml:space="preserve"> </w:t>
      </w:r>
      <w:r>
        <w:t>as</w:t>
      </w:r>
      <w:r>
        <w:rPr>
          <w:spacing w:val="-14"/>
        </w:rPr>
        <w:t xml:space="preserve"> </w:t>
      </w:r>
      <w:r>
        <w:t>a</w:t>
      </w:r>
      <w:r>
        <w:rPr>
          <w:spacing w:val="-14"/>
        </w:rPr>
        <w:t xml:space="preserve"> </w:t>
      </w:r>
      <w:r>
        <w:t>result is</w:t>
      </w:r>
      <w:r>
        <w:rPr>
          <w:spacing w:val="-14"/>
        </w:rPr>
        <w:t xml:space="preserve"> </w:t>
      </w:r>
      <w:r>
        <w:t>a</w:t>
      </w:r>
      <w:r>
        <w:rPr>
          <w:spacing w:val="-14"/>
        </w:rPr>
        <w:t xml:space="preserve"> </w:t>
      </w:r>
      <w:r>
        <w:t>diverse,</w:t>
      </w:r>
      <w:r>
        <w:rPr>
          <w:spacing w:val="-14"/>
        </w:rPr>
        <w:t xml:space="preserve"> </w:t>
      </w:r>
      <w:r>
        <w:t>multicultural</w:t>
      </w:r>
      <w:r>
        <w:rPr>
          <w:spacing w:val="-14"/>
        </w:rPr>
        <w:t xml:space="preserve"> </w:t>
      </w:r>
      <w:r>
        <w:t>city.</w:t>
      </w:r>
      <w:r>
        <w:rPr>
          <w:spacing w:val="-14"/>
        </w:rPr>
        <w:t xml:space="preserve"> </w:t>
      </w:r>
      <w:r>
        <w:t>Almost</w:t>
      </w:r>
      <w:r>
        <w:rPr>
          <w:spacing w:val="-14"/>
        </w:rPr>
        <w:t xml:space="preserve"> </w:t>
      </w:r>
      <w:r>
        <w:t>40</w:t>
      </w:r>
      <w:r>
        <w:rPr>
          <w:spacing w:val="-14"/>
        </w:rPr>
        <w:t xml:space="preserve"> </w:t>
      </w:r>
      <w:r>
        <w:t>percent</w:t>
      </w:r>
      <w:r>
        <w:rPr>
          <w:spacing w:val="-14"/>
        </w:rPr>
        <w:t xml:space="preserve"> </w:t>
      </w:r>
      <w:r>
        <w:t>of</w:t>
      </w:r>
      <w:r>
        <w:rPr>
          <w:spacing w:val="-14"/>
        </w:rPr>
        <w:t xml:space="preserve"> </w:t>
      </w:r>
      <w:r>
        <w:t>the employees</w:t>
      </w:r>
      <w:r>
        <w:rPr>
          <w:spacing w:val="-14"/>
        </w:rPr>
        <w:t xml:space="preserve"> </w:t>
      </w:r>
      <w:r>
        <w:t>in</w:t>
      </w:r>
      <w:r>
        <w:rPr>
          <w:spacing w:val="-14"/>
        </w:rPr>
        <w:t xml:space="preserve"> </w:t>
      </w:r>
      <w:r>
        <w:t>the</w:t>
      </w:r>
      <w:r>
        <w:rPr>
          <w:spacing w:val="-14"/>
        </w:rPr>
        <w:t xml:space="preserve"> </w:t>
      </w:r>
      <w:r>
        <w:t>City</w:t>
      </w:r>
      <w:r>
        <w:rPr>
          <w:spacing w:val="-14"/>
        </w:rPr>
        <w:t xml:space="preserve"> </w:t>
      </w:r>
      <w:r>
        <w:t>of</w:t>
      </w:r>
      <w:r>
        <w:rPr>
          <w:spacing w:val="-14"/>
        </w:rPr>
        <w:t xml:space="preserve"> </w:t>
      </w:r>
      <w:r>
        <w:t>Sydney</w:t>
      </w:r>
      <w:r>
        <w:rPr>
          <w:position w:val="7"/>
          <w:sz w:val="11"/>
        </w:rPr>
        <w:t>5</w:t>
      </w:r>
      <w:r>
        <w:rPr>
          <w:spacing w:val="-1"/>
          <w:position w:val="7"/>
          <w:sz w:val="11"/>
        </w:rPr>
        <w:t xml:space="preserve"> </w:t>
      </w:r>
      <w:r>
        <w:t>were</w:t>
      </w:r>
      <w:r>
        <w:rPr>
          <w:spacing w:val="-13"/>
        </w:rPr>
        <w:t xml:space="preserve"> </w:t>
      </w:r>
      <w:r>
        <w:t>born</w:t>
      </w:r>
      <w:r>
        <w:rPr>
          <w:spacing w:val="-14"/>
        </w:rPr>
        <w:t xml:space="preserve"> </w:t>
      </w:r>
      <w:r>
        <w:t xml:space="preserve">overseas, </w:t>
      </w:r>
      <w:r>
        <w:rPr>
          <w:w w:val="95"/>
        </w:rPr>
        <w:t>compared with 30 percent across Australia as a whole</w:t>
      </w:r>
      <w:r>
        <w:rPr>
          <w:w w:val="95"/>
          <w:position w:val="7"/>
          <w:sz w:val="11"/>
        </w:rPr>
        <w:t>6</w:t>
      </w:r>
      <w:r>
        <w:rPr>
          <w:w w:val="95"/>
        </w:rPr>
        <w:t>.</w:t>
      </w:r>
    </w:p>
    <w:p w:rsidR="002C1123" w:rsidRDefault="00F22F94">
      <w:pPr>
        <w:pStyle w:val="BodyText"/>
        <w:spacing w:before="146" w:line="249" w:lineRule="auto"/>
        <w:ind w:left="186" w:right="739"/>
      </w:pPr>
      <w:r>
        <w:rPr>
          <w:spacing w:val="-2"/>
        </w:rPr>
        <w:t>While</w:t>
      </w:r>
      <w:r>
        <w:rPr>
          <w:spacing w:val="-9"/>
        </w:rPr>
        <w:t xml:space="preserve"> </w:t>
      </w:r>
      <w:r>
        <w:rPr>
          <w:spacing w:val="-2"/>
        </w:rPr>
        <w:t>this</w:t>
      </w:r>
      <w:r>
        <w:rPr>
          <w:spacing w:val="-9"/>
        </w:rPr>
        <w:t xml:space="preserve"> </w:t>
      </w:r>
      <w:r>
        <w:rPr>
          <w:spacing w:val="-2"/>
        </w:rPr>
        <w:t>is</w:t>
      </w:r>
      <w:r>
        <w:rPr>
          <w:spacing w:val="-9"/>
        </w:rPr>
        <w:t xml:space="preserve"> </w:t>
      </w:r>
      <w:r>
        <w:rPr>
          <w:spacing w:val="-2"/>
        </w:rPr>
        <w:t>the</w:t>
      </w:r>
      <w:r>
        <w:rPr>
          <w:spacing w:val="-9"/>
        </w:rPr>
        <w:t xml:space="preserve"> </w:t>
      </w:r>
      <w:r>
        <w:rPr>
          <w:spacing w:val="-2"/>
        </w:rPr>
        <w:t>sort</w:t>
      </w:r>
      <w:r>
        <w:rPr>
          <w:spacing w:val="-9"/>
        </w:rPr>
        <w:t xml:space="preserve"> </w:t>
      </w:r>
      <w:r>
        <w:rPr>
          <w:spacing w:val="-2"/>
        </w:rPr>
        <w:t>of</w:t>
      </w:r>
      <w:r>
        <w:rPr>
          <w:spacing w:val="-9"/>
        </w:rPr>
        <w:t xml:space="preserve"> </w:t>
      </w:r>
      <w:r>
        <w:rPr>
          <w:spacing w:val="-2"/>
        </w:rPr>
        <w:t>statistic</w:t>
      </w:r>
      <w:r>
        <w:rPr>
          <w:spacing w:val="-9"/>
        </w:rPr>
        <w:t xml:space="preserve"> </w:t>
      </w:r>
      <w:r>
        <w:rPr>
          <w:spacing w:val="-2"/>
        </w:rPr>
        <w:t>that</w:t>
      </w:r>
      <w:r>
        <w:rPr>
          <w:spacing w:val="-9"/>
        </w:rPr>
        <w:t xml:space="preserve"> </w:t>
      </w:r>
      <w:r>
        <w:rPr>
          <w:spacing w:val="-2"/>
        </w:rPr>
        <w:t>propels</w:t>
      </w:r>
      <w:r>
        <w:rPr>
          <w:spacing w:val="-9"/>
        </w:rPr>
        <w:t xml:space="preserve"> </w:t>
      </w:r>
      <w:r>
        <w:rPr>
          <w:spacing w:val="-2"/>
        </w:rPr>
        <w:t>Sydney</w:t>
      </w:r>
      <w:r>
        <w:rPr>
          <w:spacing w:val="-9"/>
        </w:rPr>
        <w:t xml:space="preserve"> </w:t>
      </w:r>
      <w:r>
        <w:rPr>
          <w:spacing w:val="-2"/>
        </w:rPr>
        <w:t xml:space="preserve">up </w:t>
      </w:r>
      <w:r>
        <w:rPr>
          <w:w w:val="95"/>
        </w:rPr>
        <w:t>the</w:t>
      </w:r>
      <w:r>
        <w:rPr>
          <w:spacing w:val="-3"/>
          <w:w w:val="95"/>
        </w:rPr>
        <w:t xml:space="preserve"> </w:t>
      </w:r>
      <w:r>
        <w:rPr>
          <w:w w:val="95"/>
        </w:rPr>
        <w:t>league</w:t>
      </w:r>
      <w:r>
        <w:rPr>
          <w:spacing w:val="-3"/>
          <w:w w:val="95"/>
        </w:rPr>
        <w:t xml:space="preserve"> </w:t>
      </w:r>
      <w:r>
        <w:rPr>
          <w:w w:val="95"/>
        </w:rPr>
        <w:t>charts</w:t>
      </w:r>
      <w:r>
        <w:rPr>
          <w:spacing w:val="-3"/>
          <w:w w:val="95"/>
        </w:rPr>
        <w:t xml:space="preserve"> </w:t>
      </w:r>
      <w:r>
        <w:rPr>
          <w:w w:val="95"/>
        </w:rPr>
        <w:t>of</w:t>
      </w:r>
      <w:r>
        <w:rPr>
          <w:spacing w:val="-3"/>
          <w:w w:val="95"/>
        </w:rPr>
        <w:t xml:space="preserve"> </w:t>
      </w:r>
      <w:r>
        <w:rPr>
          <w:w w:val="95"/>
        </w:rPr>
        <w:t>global</w:t>
      </w:r>
      <w:r>
        <w:rPr>
          <w:spacing w:val="-3"/>
          <w:w w:val="95"/>
        </w:rPr>
        <w:t xml:space="preserve"> </w:t>
      </w:r>
      <w:r>
        <w:rPr>
          <w:w w:val="95"/>
        </w:rPr>
        <w:t>cities,</w:t>
      </w:r>
      <w:r>
        <w:rPr>
          <w:spacing w:val="-3"/>
          <w:w w:val="95"/>
        </w:rPr>
        <w:t xml:space="preserve"> </w:t>
      </w:r>
      <w:r>
        <w:rPr>
          <w:w w:val="95"/>
        </w:rPr>
        <w:t>it</w:t>
      </w:r>
      <w:r>
        <w:rPr>
          <w:spacing w:val="-3"/>
          <w:w w:val="95"/>
        </w:rPr>
        <w:t xml:space="preserve"> </w:t>
      </w:r>
      <w:r>
        <w:rPr>
          <w:w w:val="95"/>
        </w:rPr>
        <w:t>also</w:t>
      </w:r>
      <w:r>
        <w:rPr>
          <w:spacing w:val="-3"/>
          <w:w w:val="95"/>
        </w:rPr>
        <w:t xml:space="preserve"> </w:t>
      </w:r>
      <w:r>
        <w:rPr>
          <w:w w:val="95"/>
        </w:rPr>
        <w:t>highlights</w:t>
      </w:r>
      <w:r>
        <w:rPr>
          <w:spacing w:val="-3"/>
          <w:w w:val="95"/>
        </w:rPr>
        <w:t xml:space="preserve"> </w:t>
      </w:r>
      <w:r>
        <w:rPr>
          <w:w w:val="95"/>
        </w:rPr>
        <w:t>a</w:t>
      </w:r>
      <w:r>
        <w:rPr>
          <w:spacing w:val="-3"/>
          <w:w w:val="95"/>
        </w:rPr>
        <w:t xml:space="preserve"> </w:t>
      </w:r>
      <w:r>
        <w:rPr>
          <w:w w:val="95"/>
        </w:rPr>
        <w:t xml:space="preserve">key </w:t>
      </w:r>
      <w:r>
        <w:t>risk</w:t>
      </w:r>
      <w:r>
        <w:rPr>
          <w:spacing w:val="-12"/>
        </w:rPr>
        <w:t xml:space="preserve"> </w:t>
      </w:r>
      <w:r>
        <w:t>–</w:t>
      </w:r>
      <w:r>
        <w:rPr>
          <w:spacing w:val="-12"/>
        </w:rPr>
        <w:t xml:space="preserve"> </w:t>
      </w:r>
      <w:r>
        <w:t>when</w:t>
      </w:r>
      <w:r>
        <w:rPr>
          <w:spacing w:val="-12"/>
        </w:rPr>
        <w:t xml:space="preserve"> </w:t>
      </w:r>
      <w:r>
        <w:t>location</w:t>
      </w:r>
      <w:r>
        <w:rPr>
          <w:spacing w:val="-12"/>
        </w:rPr>
        <w:t xml:space="preserve"> </w:t>
      </w:r>
      <w:r>
        <w:t>is</w:t>
      </w:r>
      <w:r>
        <w:rPr>
          <w:spacing w:val="-12"/>
        </w:rPr>
        <w:t xml:space="preserve"> </w:t>
      </w:r>
      <w:r>
        <w:t>a</w:t>
      </w:r>
      <w:r>
        <w:rPr>
          <w:spacing w:val="-12"/>
        </w:rPr>
        <w:t xml:space="preserve"> </w:t>
      </w:r>
      <w:r>
        <w:t>matter</w:t>
      </w:r>
      <w:r>
        <w:rPr>
          <w:spacing w:val="-12"/>
        </w:rPr>
        <w:t xml:space="preserve"> </w:t>
      </w:r>
      <w:r>
        <w:t>of</w:t>
      </w:r>
      <w:r>
        <w:rPr>
          <w:spacing w:val="-12"/>
        </w:rPr>
        <w:t xml:space="preserve"> </w:t>
      </w:r>
      <w:r>
        <w:t>choice</w:t>
      </w:r>
      <w:r>
        <w:rPr>
          <w:spacing w:val="-12"/>
        </w:rPr>
        <w:t xml:space="preserve"> </w:t>
      </w:r>
      <w:r>
        <w:t>rather</w:t>
      </w:r>
      <w:r>
        <w:rPr>
          <w:spacing w:val="-12"/>
        </w:rPr>
        <w:t xml:space="preserve"> </w:t>
      </w:r>
      <w:r>
        <w:t xml:space="preserve">than </w:t>
      </w:r>
      <w:r>
        <w:rPr>
          <w:w w:val="95"/>
        </w:rPr>
        <w:t>birth,</w:t>
      </w:r>
      <w:r>
        <w:rPr>
          <w:spacing w:val="-3"/>
          <w:w w:val="95"/>
        </w:rPr>
        <w:t xml:space="preserve"> </w:t>
      </w:r>
      <w:r>
        <w:rPr>
          <w:w w:val="95"/>
        </w:rPr>
        <w:t>the</w:t>
      </w:r>
      <w:r>
        <w:rPr>
          <w:spacing w:val="-3"/>
          <w:w w:val="95"/>
        </w:rPr>
        <w:t xml:space="preserve"> </w:t>
      </w:r>
      <w:r>
        <w:rPr>
          <w:w w:val="95"/>
        </w:rPr>
        <w:t>host</w:t>
      </w:r>
      <w:r>
        <w:rPr>
          <w:spacing w:val="-3"/>
          <w:w w:val="95"/>
        </w:rPr>
        <w:t xml:space="preserve"> </w:t>
      </w:r>
      <w:r>
        <w:rPr>
          <w:w w:val="95"/>
        </w:rPr>
        <w:t>city</w:t>
      </w:r>
      <w:r>
        <w:rPr>
          <w:spacing w:val="-3"/>
          <w:w w:val="95"/>
        </w:rPr>
        <w:t xml:space="preserve"> </w:t>
      </w:r>
      <w:r>
        <w:rPr>
          <w:w w:val="95"/>
        </w:rPr>
        <w:t>must</w:t>
      </w:r>
      <w:r>
        <w:rPr>
          <w:spacing w:val="-3"/>
          <w:w w:val="95"/>
        </w:rPr>
        <w:t xml:space="preserve"> </w:t>
      </w:r>
      <w:r>
        <w:rPr>
          <w:w w:val="95"/>
        </w:rPr>
        <w:t>maintain</w:t>
      </w:r>
      <w:r>
        <w:rPr>
          <w:spacing w:val="-3"/>
          <w:w w:val="95"/>
        </w:rPr>
        <w:t xml:space="preserve"> </w:t>
      </w:r>
      <w:r>
        <w:rPr>
          <w:w w:val="95"/>
        </w:rPr>
        <w:t>its</w:t>
      </w:r>
      <w:r>
        <w:rPr>
          <w:spacing w:val="-3"/>
          <w:w w:val="95"/>
        </w:rPr>
        <w:t xml:space="preserve"> </w:t>
      </w:r>
      <w:r>
        <w:rPr>
          <w:w w:val="95"/>
        </w:rPr>
        <w:t>competitiveness</w:t>
      </w:r>
      <w:r>
        <w:rPr>
          <w:spacing w:val="-3"/>
          <w:w w:val="95"/>
        </w:rPr>
        <w:t xml:space="preserve"> </w:t>
      </w:r>
      <w:r>
        <w:rPr>
          <w:w w:val="95"/>
        </w:rPr>
        <w:t>if</w:t>
      </w:r>
      <w:r>
        <w:rPr>
          <w:spacing w:val="-3"/>
          <w:w w:val="95"/>
        </w:rPr>
        <w:t xml:space="preserve"> </w:t>
      </w:r>
      <w:r>
        <w:rPr>
          <w:w w:val="95"/>
        </w:rPr>
        <w:t xml:space="preserve">it </w:t>
      </w:r>
      <w:r>
        <w:t>is to retain its dynamism.</w:t>
      </w:r>
    </w:p>
    <w:p w:rsidR="002C1123" w:rsidRDefault="002C1123">
      <w:pPr>
        <w:spacing w:line="249" w:lineRule="auto"/>
        <w:sectPr w:rsidR="002C1123">
          <w:type w:val="continuous"/>
          <w:pgSz w:w="16840" w:h="11910" w:orient="landscape"/>
          <w:pgMar w:top="560" w:right="280" w:bottom="280" w:left="500" w:header="0" w:footer="517" w:gutter="0"/>
          <w:cols w:num="2" w:space="720" w:equalWidth="0">
            <w:col w:w="10319" w:space="40"/>
            <w:col w:w="5701"/>
          </w:cols>
        </w:sectPr>
      </w:pPr>
    </w:p>
    <w:p w:rsidR="002C1123" w:rsidRDefault="002C1123">
      <w:pPr>
        <w:pStyle w:val="BodyText"/>
        <w:spacing w:before="1"/>
        <w:rPr>
          <w:sz w:val="19"/>
        </w:rPr>
      </w:pPr>
    </w:p>
    <w:p w:rsidR="002C1123" w:rsidRDefault="002060EF">
      <w:pPr>
        <w:pStyle w:val="BodyText"/>
        <w:spacing w:line="20" w:lineRule="exact"/>
        <w:ind w:left="5518"/>
        <w:rPr>
          <w:sz w:val="2"/>
        </w:rPr>
      </w:pPr>
      <w:r>
        <w:rPr>
          <w:sz w:val="2"/>
        </w:rPr>
      </w:r>
      <w:r>
        <w:rPr>
          <w:sz w:val="2"/>
        </w:rPr>
        <w:pict>
          <v:group id="docshapegroup639" o:spid="_x0000_s4687" style="width:1in;height:.5pt;mso-position-horizontal-relative:char;mso-position-vertical-relative:line" coordsize="1440,10">
            <v:line id="_x0000_s4688" style="position:absolute" from="0,5" to="1440,5" strokecolor="#9c9c9d" strokeweight=".5pt"/>
            <w10:anchorlock/>
          </v:group>
        </w:pict>
      </w:r>
    </w:p>
    <w:p w:rsidR="002C1123" w:rsidRDefault="00F22F94">
      <w:pPr>
        <w:pStyle w:val="ListParagraph"/>
        <w:numPr>
          <w:ilvl w:val="1"/>
          <w:numId w:val="124"/>
        </w:numPr>
        <w:tabs>
          <w:tab w:val="left" w:pos="5718"/>
          <w:tab w:val="left" w:pos="10545"/>
          <w:tab w:val="left" w:pos="11985"/>
        </w:tabs>
        <w:spacing w:before="8" w:line="156" w:lineRule="exact"/>
        <w:ind w:left="5717" w:hanging="200"/>
        <w:jc w:val="left"/>
        <w:rPr>
          <w:sz w:val="14"/>
        </w:rPr>
      </w:pPr>
      <w:r>
        <w:rPr>
          <w:w w:val="95"/>
          <w:sz w:val="14"/>
        </w:rPr>
        <w:t>McKinsey</w:t>
      </w:r>
      <w:r>
        <w:rPr>
          <w:spacing w:val="4"/>
          <w:sz w:val="14"/>
        </w:rPr>
        <w:t xml:space="preserve"> </w:t>
      </w:r>
      <w:r>
        <w:rPr>
          <w:w w:val="95"/>
          <w:sz w:val="14"/>
        </w:rPr>
        <w:t>Global</w:t>
      </w:r>
      <w:r>
        <w:rPr>
          <w:spacing w:val="4"/>
          <w:sz w:val="14"/>
        </w:rPr>
        <w:t xml:space="preserve"> </w:t>
      </w:r>
      <w:r>
        <w:rPr>
          <w:w w:val="95"/>
          <w:sz w:val="14"/>
        </w:rPr>
        <w:t>Institute</w:t>
      </w:r>
      <w:r>
        <w:rPr>
          <w:spacing w:val="4"/>
          <w:sz w:val="14"/>
        </w:rPr>
        <w:t xml:space="preserve"> </w:t>
      </w:r>
      <w:r>
        <w:rPr>
          <w:w w:val="95"/>
          <w:sz w:val="14"/>
        </w:rPr>
        <w:t>2010,</w:t>
      </w:r>
      <w:r>
        <w:rPr>
          <w:spacing w:val="4"/>
          <w:sz w:val="14"/>
        </w:rPr>
        <w:t xml:space="preserve"> </w:t>
      </w:r>
      <w:r>
        <w:rPr>
          <w:w w:val="95"/>
          <w:sz w:val="14"/>
        </w:rPr>
        <w:t>Cityscope</w:t>
      </w:r>
      <w:r>
        <w:rPr>
          <w:spacing w:val="5"/>
          <w:sz w:val="14"/>
        </w:rPr>
        <w:t xml:space="preserve"> </w:t>
      </w:r>
      <w:r>
        <w:rPr>
          <w:spacing w:val="-2"/>
          <w:w w:val="95"/>
          <w:sz w:val="14"/>
        </w:rPr>
        <w:t>Database.</w:t>
      </w:r>
      <w:r>
        <w:rPr>
          <w:sz w:val="14"/>
        </w:rPr>
        <w:tab/>
      </w:r>
      <w:r>
        <w:rPr>
          <w:sz w:val="14"/>
          <w:u w:val="single" w:color="9C9C9D"/>
        </w:rPr>
        <w:tab/>
      </w:r>
    </w:p>
    <w:p w:rsidR="002C1123" w:rsidRDefault="002C1123">
      <w:pPr>
        <w:spacing w:line="156" w:lineRule="exact"/>
        <w:rPr>
          <w:sz w:val="14"/>
        </w:rPr>
        <w:sectPr w:rsidR="002C1123">
          <w:type w:val="continuous"/>
          <w:pgSz w:w="16840" w:h="11910" w:orient="landscape"/>
          <w:pgMar w:top="560" w:right="280" w:bottom="280" w:left="500" w:header="0" w:footer="517" w:gutter="0"/>
          <w:cols w:space="720"/>
        </w:sectPr>
      </w:pPr>
    </w:p>
    <w:p w:rsidR="002C1123" w:rsidRDefault="00F22F94">
      <w:pPr>
        <w:pStyle w:val="ListParagraph"/>
        <w:numPr>
          <w:ilvl w:val="1"/>
          <w:numId w:val="124"/>
        </w:numPr>
        <w:tabs>
          <w:tab w:val="left" w:pos="5718"/>
        </w:tabs>
        <w:spacing w:before="4" w:line="161" w:lineRule="exact"/>
        <w:ind w:left="5717" w:hanging="200"/>
        <w:jc w:val="left"/>
        <w:rPr>
          <w:sz w:val="14"/>
        </w:rPr>
      </w:pPr>
      <w:r>
        <w:rPr>
          <w:w w:val="95"/>
          <w:sz w:val="14"/>
        </w:rPr>
        <w:t>Deloitte</w:t>
      </w:r>
      <w:r>
        <w:rPr>
          <w:spacing w:val="2"/>
          <w:sz w:val="14"/>
        </w:rPr>
        <w:t xml:space="preserve"> </w:t>
      </w:r>
      <w:r>
        <w:rPr>
          <w:w w:val="95"/>
          <w:sz w:val="14"/>
        </w:rPr>
        <w:t>Access</w:t>
      </w:r>
      <w:r>
        <w:rPr>
          <w:spacing w:val="2"/>
          <w:sz w:val="14"/>
        </w:rPr>
        <w:t xml:space="preserve"> </w:t>
      </w:r>
      <w:r>
        <w:rPr>
          <w:w w:val="95"/>
          <w:sz w:val="14"/>
        </w:rPr>
        <w:t>Economics</w:t>
      </w:r>
      <w:r>
        <w:rPr>
          <w:spacing w:val="3"/>
          <w:sz w:val="14"/>
        </w:rPr>
        <w:t xml:space="preserve"> </w:t>
      </w:r>
      <w:r>
        <w:rPr>
          <w:w w:val="95"/>
          <w:sz w:val="14"/>
        </w:rPr>
        <w:t>2012,</w:t>
      </w:r>
      <w:r>
        <w:rPr>
          <w:spacing w:val="2"/>
          <w:sz w:val="14"/>
        </w:rPr>
        <w:t xml:space="preserve"> </w:t>
      </w:r>
      <w:r>
        <w:rPr>
          <w:w w:val="95"/>
          <w:sz w:val="14"/>
        </w:rPr>
        <w:t>Infrastructure</w:t>
      </w:r>
      <w:r>
        <w:rPr>
          <w:spacing w:val="2"/>
          <w:sz w:val="14"/>
        </w:rPr>
        <w:t xml:space="preserve"> </w:t>
      </w:r>
      <w:r>
        <w:rPr>
          <w:w w:val="95"/>
          <w:sz w:val="14"/>
        </w:rPr>
        <w:t>and</w:t>
      </w:r>
      <w:r>
        <w:rPr>
          <w:spacing w:val="3"/>
          <w:sz w:val="14"/>
        </w:rPr>
        <w:t xml:space="preserve"> </w:t>
      </w:r>
      <w:r>
        <w:rPr>
          <w:w w:val="95"/>
          <w:sz w:val="14"/>
        </w:rPr>
        <w:t>the</w:t>
      </w:r>
      <w:r>
        <w:rPr>
          <w:spacing w:val="2"/>
          <w:sz w:val="14"/>
        </w:rPr>
        <w:t xml:space="preserve"> </w:t>
      </w:r>
      <w:r>
        <w:rPr>
          <w:w w:val="95"/>
          <w:sz w:val="14"/>
        </w:rPr>
        <w:t>NSW</w:t>
      </w:r>
      <w:r>
        <w:rPr>
          <w:spacing w:val="2"/>
          <w:sz w:val="14"/>
        </w:rPr>
        <w:t xml:space="preserve"> </w:t>
      </w:r>
      <w:r>
        <w:rPr>
          <w:spacing w:val="-2"/>
          <w:w w:val="95"/>
          <w:sz w:val="14"/>
        </w:rPr>
        <w:t>Economy.</w:t>
      </w:r>
    </w:p>
    <w:p w:rsidR="002C1123" w:rsidRDefault="00F22F94">
      <w:pPr>
        <w:pStyle w:val="ListParagraph"/>
        <w:numPr>
          <w:ilvl w:val="1"/>
          <w:numId w:val="124"/>
        </w:numPr>
        <w:tabs>
          <w:tab w:val="left" w:pos="5718"/>
        </w:tabs>
        <w:spacing w:line="161" w:lineRule="exact"/>
        <w:ind w:left="5717" w:hanging="200"/>
        <w:jc w:val="left"/>
        <w:rPr>
          <w:sz w:val="14"/>
        </w:rPr>
      </w:pPr>
      <w:r>
        <w:rPr>
          <w:w w:val="95"/>
          <w:sz w:val="14"/>
        </w:rPr>
        <w:t>SGS</w:t>
      </w:r>
      <w:r>
        <w:rPr>
          <w:spacing w:val="-3"/>
          <w:w w:val="95"/>
          <w:sz w:val="14"/>
        </w:rPr>
        <w:t xml:space="preserve"> </w:t>
      </w:r>
      <w:r>
        <w:rPr>
          <w:w w:val="95"/>
          <w:sz w:val="14"/>
        </w:rPr>
        <w:t>Economic</w:t>
      </w:r>
      <w:r>
        <w:rPr>
          <w:spacing w:val="-3"/>
          <w:w w:val="95"/>
          <w:sz w:val="14"/>
        </w:rPr>
        <w:t xml:space="preserve"> </w:t>
      </w:r>
      <w:r>
        <w:rPr>
          <w:w w:val="95"/>
          <w:sz w:val="14"/>
        </w:rPr>
        <w:t>&amp;</w:t>
      </w:r>
      <w:r>
        <w:rPr>
          <w:spacing w:val="-2"/>
          <w:w w:val="95"/>
          <w:sz w:val="14"/>
        </w:rPr>
        <w:t xml:space="preserve"> </w:t>
      </w:r>
      <w:r>
        <w:rPr>
          <w:w w:val="95"/>
          <w:sz w:val="14"/>
        </w:rPr>
        <w:t>Planning</w:t>
      </w:r>
      <w:r>
        <w:rPr>
          <w:spacing w:val="-3"/>
          <w:w w:val="95"/>
          <w:sz w:val="14"/>
        </w:rPr>
        <w:t xml:space="preserve"> </w:t>
      </w:r>
      <w:r>
        <w:rPr>
          <w:w w:val="95"/>
          <w:sz w:val="14"/>
        </w:rPr>
        <w:t>2012,</w:t>
      </w:r>
      <w:r>
        <w:rPr>
          <w:spacing w:val="-3"/>
          <w:w w:val="95"/>
          <w:sz w:val="14"/>
        </w:rPr>
        <w:t xml:space="preserve"> </w:t>
      </w:r>
      <w:r>
        <w:rPr>
          <w:w w:val="95"/>
          <w:sz w:val="14"/>
        </w:rPr>
        <w:t>Mine</w:t>
      </w:r>
      <w:r>
        <w:rPr>
          <w:spacing w:val="-2"/>
          <w:w w:val="95"/>
          <w:sz w:val="14"/>
        </w:rPr>
        <w:t xml:space="preserve"> </w:t>
      </w:r>
      <w:r>
        <w:rPr>
          <w:w w:val="95"/>
          <w:sz w:val="14"/>
        </w:rPr>
        <w:t>or</w:t>
      </w:r>
      <w:r>
        <w:rPr>
          <w:spacing w:val="-3"/>
          <w:w w:val="95"/>
          <w:sz w:val="14"/>
        </w:rPr>
        <w:t xml:space="preserve"> </w:t>
      </w:r>
      <w:r>
        <w:rPr>
          <w:spacing w:val="-2"/>
          <w:w w:val="95"/>
          <w:sz w:val="14"/>
        </w:rPr>
        <w:t>Mind.</w:t>
      </w:r>
    </w:p>
    <w:p w:rsidR="002C1123" w:rsidRDefault="00F22F94">
      <w:pPr>
        <w:pStyle w:val="ListParagraph"/>
        <w:numPr>
          <w:ilvl w:val="1"/>
          <w:numId w:val="124"/>
        </w:numPr>
        <w:tabs>
          <w:tab w:val="left" w:pos="641"/>
        </w:tabs>
        <w:spacing w:before="4" w:line="161" w:lineRule="exact"/>
        <w:ind w:left="640" w:hanging="200"/>
        <w:jc w:val="left"/>
        <w:rPr>
          <w:sz w:val="14"/>
        </w:rPr>
      </w:pPr>
      <w:r>
        <w:br w:type="column"/>
      </w:r>
      <w:r>
        <w:rPr>
          <w:w w:val="95"/>
          <w:sz w:val="14"/>
        </w:rPr>
        <w:t>City</w:t>
      </w:r>
      <w:r>
        <w:rPr>
          <w:spacing w:val="-6"/>
          <w:w w:val="95"/>
          <w:sz w:val="14"/>
        </w:rPr>
        <w:t xml:space="preserve"> </w:t>
      </w:r>
      <w:r>
        <w:rPr>
          <w:w w:val="95"/>
          <w:sz w:val="14"/>
        </w:rPr>
        <w:t>of</w:t>
      </w:r>
      <w:r>
        <w:rPr>
          <w:spacing w:val="-5"/>
          <w:w w:val="95"/>
          <w:sz w:val="14"/>
        </w:rPr>
        <w:t xml:space="preserve"> </w:t>
      </w:r>
      <w:r>
        <w:rPr>
          <w:w w:val="95"/>
          <w:sz w:val="14"/>
        </w:rPr>
        <w:t>Sydney</w:t>
      </w:r>
      <w:r>
        <w:rPr>
          <w:spacing w:val="-6"/>
          <w:w w:val="95"/>
          <w:sz w:val="14"/>
        </w:rPr>
        <w:t xml:space="preserve"> </w:t>
      </w:r>
      <w:r>
        <w:rPr>
          <w:w w:val="95"/>
          <w:sz w:val="14"/>
        </w:rPr>
        <w:t>2011,</w:t>
      </w:r>
      <w:r>
        <w:rPr>
          <w:spacing w:val="-5"/>
          <w:w w:val="95"/>
          <w:sz w:val="14"/>
        </w:rPr>
        <w:t xml:space="preserve"> </w:t>
      </w:r>
      <w:r>
        <w:rPr>
          <w:w w:val="95"/>
          <w:sz w:val="14"/>
        </w:rPr>
        <w:t>Sydney</w:t>
      </w:r>
      <w:r>
        <w:rPr>
          <w:spacing w:val="-6"/>
          <w:w w:val="95"/>
          <w:sz w:val="14"/>
        </w:rPr>
        <w:t xml:space="preserve"> </w:t>
      </w:r>
      <w:r>
        <w:rPr>
          <w:w w:val="95"/>
          <w:sz w:val="14"/>
        </w:rPr>
        <w:t>at</w:t>
      </w:r>
      <w:r>
        <w:rPr>
          <w:spacing w:val="-5"/>
          <w:w w:val="95"/>
          <w:sz w:val="14"/>
        </w:rPr>
        <w:t xml:space="preserve"> </w:t>
      </w:r>
      <w:r>
        <w:rPr>
          <w:w w:val="95"/>
          <w:sz w:val="14"/>
        </w:rPr>
        <w:t>a</w:t>
      </w:r>
      <w:r>
        <w:rPr>
          <w:spacing w:val="-6"/>
          <w:w w:val="95"/>
          <w:sz w:val="14"/>
        </w:rPr>
        <w:t xml:space="preserve"> </w:t>
      </w:r>
      <w:r>
        <w:rPr>
          <w:spacing w:val="-2"/>
          <w:w w:val="95"/>
          <w:sz w:val="14"/>
        </w:rPr>
        <w:t>Glance.</w:t>
      </w:r>
    </w:p>
    <w:p w:rsidR="002C1123" w:rsidRDefault="00F22F94">
      <w:pPr>
        <w:pStyle w:val="ListParagraph"/>
        <w:numPr>
          <w:ilvl w:val="1"/>
          <w:numId w:val="124"/>
        </w:numPr>
        <w:tabs>
          <w:tab w:val="left" w:pos="641"/>
        </w:tabs>
        <w:spacing w:line="161" w:lineRule="exact"/>
        <w:ind w:left="640" w:hanging="200"/>
        <w:jc w:val="left"/>
        <w:rPr>
          <w:sz w:val="14"/>
        </w:rPr>
      </w:pPr>
      <w:r>
        <w:rPr>
          <w:w w:val="95"/>
          <w:sz w:val="14"/>
        </w:rPr>
        <w:t>Australian</w:t>
      </w:r>
      <w:r>
        <w:rPr>
          <w:spacing w:val="-1"/>
          <w:w w:val="95"/>
          <w:sz w:val="14"/>
        </w:rPr>
        <w:t xml:space="preserve"> </w:t>
      </w:r>
      <w:r>
        <w:rPr>
          <w:w w:val="95"/>
          <w:sz w:val="14"/>
        </w:rPr>
        <w:t>Bureau</w:t>
      </w:r>
      <w:r>
        <w:rPr>
          <w:spacing w:val="-1"/>
          <w:w w:val="95"/>
          <w:sz w:val="14"/>
        </w:rPr>
        <w:t xml:space="preserve"> </w:t>
      </w:r>
      <w:r>
        <w:rPr>
          <w:w w:val="95"/>
          <w:sz w:val="14"/>
        </w:rPr>
        <w:t>of</w:t>
      </w:r>
      <w:r>
        <w:rPr>
          <w:spacing w:val="-1"/>
          <w:w w:val="95"/>
          <w:sz w:val="14"/>
        </w:rPr>
        <w:t xml:space="preserve"> </w:t>
      </w:r>
      <w:r>
        <w:rPr>
          <w:w w:val="95"/>
          <w:sz w:val="14"/>
        </w:rPr>
        <w:t>Statistics,</w:t>
      </w:r>
      <w:r>
        <w:rPr>
          <w:spacing w:val="-1"/>
          <w:w w:val="95"/>
          <w:sz w:val="14"/>
        </w:rPr>
        <w:t xml:space="preserve"> </w:t>
      </w:r>
      <w:r>
        <w:rPr>
          <w:w w:val="95"/>
          <w:sz w:val="14"/>
        </w:rPr>
        <w:t>2011</w:t>
      </w:r>
      <w:r>
        <w:rPr>
          <w:spacing w:val="-1"/>
          <w:w w:val="95"/>
          <w:sz w:val="14"/>
        </w:rPr>
        <w:t xml:space="preserve"> </w:t>
      </w:r>
      <w:r>
        <w:rPr>
          <w:spacing w:val="-2"/>
          <w:w w:val="95"/>
          <w:sz w:val="14"/>
        </w:rPr>
        <w:t>Census.</w:t>
      </w:r>
    </w:p>
    <w:p w:rsidR="002C1123" w:rsidRDefault="002C1123">
      <w:pPr>
        <w:spacing w:line="161" w:lineRule="exact"/>
        <w:rPr>
          <w:sz w:val="14"/>
        </w:rPr>
        <w:sectPr w:rsidR="002C1123">
          <w:type w:val="continuous"/>
          <w:pgSz w:w="16840" w:h="11910" w:orient="landscape"/>
          <w:pgMar w:top="560" w:right="280" w:bottom="280" w:left="500" w:header="0" w:footer="517" w:gutter="0"/>
          <w:cols w:num="2" w:space="720" w:equalWidth="0">
            <w:col w:w="10064" w:space="40"/>
            <w:col w:w="5956"/>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3"/>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Heading5"/>
        <w:spacing w:before="260"/>
        <w:ind w:left="662" w:firstLine="0"/>
      </w:pPr>
      <w:bookmarkStart w:id="91" w:name="_bookmark64"/>
      <w:bookmarkEnd w:id="91"/>
      <w:r>
        <w:rPr>
          <w:color w:val="EC008C"/>
          <w:spacing w:val="-4"/>
        </w:rPr>
        <w:t>What</w:t>
      </w:r>
      <w:r>
        <w:rPr>
          <w:color w:val="EC008C"/>
          <w:spacing w:val="-14"/>
        </w:rPr>
        <w:t xml:space="preserve"> </w:t>
      </w:r>
      <w:r>
        <w:rPr>
          <w:color w:val="EC008C"/>
          <w:spacing w:val="-4"/>
        </w:rPr>
        <w:t>is</w:t>
      </w:r>
      <w:r>
        <w:rPr>
          <w:color w:val="EC008C"/>
          <w:spacing w:val="-13"/>
        </w:rPr>
        <w:t xml:space="preserve"> </w:t>
      </w:r>
      <w:r>
        <w:rPr>
          <w:color w:val="EC008C"/>
          <w:spacing w:val="-4"/>
        </w:rPr>
        <w:t>a</w:t>
      </w:r>
      <w:r>
        <w:rPr>
          <w:color w:val="EC008C"/>
          <w:spacing w:val="-14"/>
        </w:rPr>
        <w:t xml:space="preserve"> </w:t>
      </w:r>
      <w:r>
        <w:rPr>
          <w:color w:val="EC008C"/>
          <w:spacing w:val="-4"/>
        </w:rPr>
        <w:t>Global</w:t>
      </w:r>
      <w:r>
        <w:rPr>
          <w:color w:val="EC008C"/>
          <w:spacing w:val="-13"/>
        </w:rPr>
        <w:t xml:space="preserve"> </w:t>
      </w:r>
      <w:r>
        <w:rPr>
          <w:color w:val="EC008C"/>
          <w:spacing w:val="-4"/>
        </w:rPr>
        <w:t>City?</w:t>
      </w:r>
    </w:p>
    <w:p w:rsidR="002C1123" w:rsidRDefault="00F22F94">
      <w:pPr>
        <w:pStyle w:val="BodyText"/>
        <w:spacing w:before="135" w:line="249" w:lineRule="auto"/>
        <w:ind w:left="662"/>
      </w:pPr>
      <w:r>
        <w:rPr>
          <w:w w:val="95"/>
        </w:rPr>
        <w:t xml:space="preserve">The ‘global city’ concept refers to those metropolises </w:t>
      </w:r>
      <w:r>
        <w:t>that</w:t>
      </w:r>
      <w:r>
        <w:rPr>
          <w:spacing w:val="-8"/>
        </w:rPr>
        <w:t xml:space="preserve"> </w:t>
      </w:r>
      <w:r>
        <w:t>have</w:t>
      </w:r>
      <w:r>
        <w:rPr>
          <w:spacing w:val="-8"/>
        </w:rPr>
        <w:t xml:space="preserve"> </w:t>
      </w:r>
      <w:r>
        <w:t>the</w:t>
      </w:r>
      <w:r>
        <w:rPr>
          <w:spacing w:val="-8"/>
        </w:rPr>
        <w:t xml:space="preserve"> </w:t>
      </w:r>
      <w:r>
        <w:t>greatest</w:t>
      </w:r>
      <w:r>
        <w:rPr>
          <w:spacing w:val="-8"/>
        </w:rPr>
        <w:t xml:space="preserve"> </w:t>
      </w:r>
      <w:r>
        <w:t>social</w:t>
      </w:r>
      <w:r>
        <w:rPr>
          <w:spacing w:val="-8"/>
        </w:rPr>
        <w:t xml:space="preserve"> </w:t>
      </w:r>
      <w:r>
        <w:t>and</w:t>
      </w:r>
      <w:r>
        <w:rPr>
          <w:spacing w:val="-8"/>
        </w:rPr>
        <w:t xml:space="preserve"> </w:t>
      </w:r>
      <w:r>
        <w:t>economic</w:t>
      </w:r>
      <w:r>
        <w:rPr>
          <w:spacing w:val="-8"/>
        </w:rPr>
        <w:t xml:space="preserve"> </w:t>
      </w:r>
      <w:r>
        <w:t xml:space="preserve">impact </w:t>
      </w:r>
      <w:r>
        <w:rPr>
          <w:spacing w:val="-2"/>
        </w:rPr>
        <w:t>on</w:t>
      </w:r>
      <w:r>
        <w:rPr>
          <w:spacing w:val="-8"/>
        </w:rPr>
        <w:t xml:space="preserve"> </w:t>
      </w:r>
      <w:r>
        <w:rPr>
          <w:spacing w:val="-2"/>
        </w:rPr>
        <w:t>the</w:t>
      </w:r>
      <w:r>
        <w:rPr>
          <w:spacing w:val="-8"/>
        </w:rPr>
        <w:t xml:space="preserve"> </w:t>
      </w:r>
      <w:r>
        <w:rPr>
          <w:spacing w:val="-2"/>
        </w:rPr>
        <w:t>world.</w:t>
      </w:r>
      <w:r>
        <w:rPr>
          <w:spacing w:val="-8"/>
        </w:rPr>
        <w:t xml:space="preserve"> </w:t>
      </w:r>
      <w:r>
        <w:rPr>
          <w:spacing w:val="-2"/>
        </w:rPr>
        <w:t>These</w:t>
      </w:r>
      <w:r>
        <w:rPr>
          <w:spacing w:val="-8"/>
        </w:rPr>
        <w:t xml:space="preserve"> </w:t>
      </w:r>
      <w:r>
        <w:rPr>
          <w:spacing w:val="-2"/>
        </w:rPr>
        <w:t>cities</w:t>
      </w:r>
      <w:r>
        <w:rPr>
          <w:spacing w:val="-8"/>
        </w:rPr>
        <w:t xml:space="preserve"> </w:t>
      </w:r>
      <w:r>
        <w:rPr>
          <w:spacing w:val="-2"/>
        </w:rPr>
        <w:t>are</w:t>
      </w:r>
      <w:r>
        <w:rPr>
          <w:spacing w:val="-8"/>
        </w:rPr>
        <w:t xml:space="preserve"> </w:t>
      </w:r>
      <w:r>
        <w:rPr>
          <w:spacing w:val="-2"/>
        </w:rPr>
        <w:t>characterised</w:t>
      </w:r>
      <w:r>
        <w:rPr>
          <w:spacing w:val="-8"/>
        </w:rPr>
        <w:t xml:space="preserve"> </w:t>
      </w:r>
      <w:r>
        <w:rPr>
          <w:spacing w:val="-2"/>
        </w:rPr>
        <w:t>by</w:t>
      </w:r>
      <w:r>
        <w:rPr>
          <w:spacing w:val="-8"/>
        </w:rPr>
        <w:t xml:space="preserve"> </w:t>
      </w:r>
      <w:r>
        <w:rPr>
          <w:spacing w:val="-2"/>
        </w:rPr>
        <w:t xml:space="preserve">their </w:t>
      </w:r>
      <w:r>
        <w:t>political</w:t>
      </w:r>
      <w:r>
        <w:rPr>
          <w:spacing w:val="-13"/>
        </w:rPr>
        <w:t xml:space="preserve"> </w:t>
      </w:r>
      <w:r>
        <w:t>and</w:t>
      </w:r>
      <w:r>
        <w:rPr>
          <w:spacing w:val="-13"/>
        </w:rPr>
        <w:t xml:space="preserve"> </w:t>
      </w:r>
      <w:r>
        <w:t>cultural</w:t>
      </w:r>
      <w:r>
        <w:rPr>
          <w:spacing w:val="-13"/>
        </w:rPr>
        <w:t xml:space="preserve"> </w:t>
      </w:r>
      <w:r>
        <w:t>influence,</w:t>
      </w:r>
      <w:r>
        <w:rPr>
          <w:spacing w:val="-13"/>
        </w:rPr>
        <w:t xml:space="preserve"> </w:t>
      </w:r>
      <w:r>
        <w:t>role</w:t>
      </w:r>
      <w:r>
        <w:rPr>
          <w:spacing w:val="-13"/>
        </w:rPr>
        <w:t xml:space="preserve"> </w:t>
      </w:r>
      <w:r>
        <w:t>in</w:t>
      </w:r>
      <w:r>
        <w:rPr>
          <w:spacing w:val="-13"/>
        </w:rPr>
        <w:t xml:space="preserve"> </w:t>
      </w:r>
      <w:r>
        <w:t>world</w:t>
      </w:r>
      <w:r>
        <w:rPr>
          <w:spacing w:val="-13"/>
        </w:rPr>
        <w:t xml:space="preserve"> </w:t>
      </w:r>
      <w:r>
        <w:t>trade</w:t>
      </w:r>
    </w:p>
    <w:p w:rsidR="002C1123" w:rsidRDefault="00F22F94">
      <w:pPr>
        <w:pStyle w:val="BodyText"/>
        <w:spacing w:before="3" w:line="249" w:lineRule="auto"/>
        <w:ind w:left="662"/>
      </w:pPr>
      <w:r>
        <w:rPr>
          <w:w w:val="95"/>
        </w:rPr>
        <w:t>and</w:t>
      </w:r>
      <w:r>
        <w:rPr>
          <w:spacing w:val="-7"/>
          <w:w w:val="95"/>
        </w:rPr>
        <w:t xml:space="preserve"> </w:t>
      </w:r>
      <w:r>
        <w:rPr>
          <w:w w:val="95"/>
        </w:rPr>
        <w:t>global</w:t>
      </w:r>
      <w:r>
        <w:rPr>
          <w:spacing w:val="-7"/>
          <w:w w:val="95"/>
        </w:rPr>
        <w:t xml:space="preserve"> </w:t>
      </w:r>
      <w:r>
        <w:rPr>
          <w:w w:val="95"/>
        </w:rPr>
        <w:t>financial</w:t>
      </w:r>
      <w:r>
        <w:rPr>
          <w:spacing w:val="-7"/>
          <w:w w:val="95"/>
        </w:rPr>
        <w:t xml:space="preserve"> </w:t>
      </w:r>
      <w:r>
        <w:rPr>
          <w:w w:val="95"/>
        </w:rPr>
        <w:t>flows,</w:t>
      </w:r>
      <w:r>
        <w:rPr>
          <w:spacing w:val="-7"/>
          <w:w w:val="95"/>
        </w:rPr>
        <w:t xml:space="preserve"> </w:t>
      </w:r>
      <w:r>
        <w:rPr>
          <w:w w:val="95"/>
        </w:rPr>
        <w:t>and</w:t>
      </w:r>
      <w:r>
        <w:rPr>
          <w:spacing w:val="-7"/>
          <w:w w:val="95"/>
        </w:rPr>
        <w:t xml:space="preserve"> </w:t>
      </w:r>
      <w:r>
        <w:rPr>
          <w:w w:val="95"/>
        </w:rPr>
        <w:t>their</w:t>
      </w:r>
      <w:r>
        <w:rPr>
          <w:spacing w:val="-7"/>
          <w:w w:val="95"/>
        </w:rPr>
        <w:t xml:space="preserve"> </w:t>
      </w:r>
      <w:r>
        <w:rPr>
          <w:w w:val="95"/>
        </w:rPr>
        <w:t>attractiveness</w:t>
      </w:r>
      <w:r>
        <w:rPr>
          <w:spacing w:val="-7"/>
          <w:w w:val="95"/>
        </w:rPr>
        <w:t xml:space="preserve"> </w:t>
      </w:r>
      <w:r>
        <w:rPr>
          <w:w w:val="95"/>
        </w:rPr>
        <w:t xml:space="preserve">to </w:t>
      </w:r>
      <w:r>
        <w:t>tourists</w:t>
      </w:r>
      <w:r>
        <w:rPr>
          <w:spacing w:val="-4"/>
        </w:rPr>
        <w:t xml:space="preserve"> </w:t>
      </w:r>
      <w:r>
        <w:t>and</w:t>
      </w:r>
      <w:r>
        <w:rPr>
          <w:spacing w:val="-4"/>
        </w:rPr>
        <w:t xml:space="preserve"> </w:t>
      </w:r>
      <w:r>
        <w:t>globally</w:t>
      </w:r>
      <w:r>
        <w:rPr>
          <w:spacing w:val="-4"/>
        </w:rPr>
        <w:t xml:space="preserve"> </w:t>
      </w:r>
      <w:r>
        <w:t>mobile</w:t>
      </w:r>
      <w:r>
        <w:rPr>
          <w:spacing w:val="-4"/>
        </w:rPr>
        <w:t xml:space="preserve"> </w:t>
      </w:r>
      <w:r>
        <w:t>employees.</w:t>
      </w:r>
    </w:p>
    <w:p w:rsidR="002C1123" w:rsidRDefault="00F22F94">
      <w:pPr>
        <w:pStyle w:val="BodyText"/>
        <w:spacing w:before="143" w:line="249" w:lineRule="auto"/>
        <w:ind w:left="662"/>
      </w:pPr>
      <w:r>
        <w:t>Global</w:t>
      </w:r>
      <w:r>
        <w:rPr>
          <w:spacing w:val="-14"/>
        </w:rPr>
        <w:t xml:space="preserve"> </w:t>
      </w:r>
      <w:r>
        <w:t>cities</w:t>
      </w:r>
      <w:r>
        <w:rPr>
          <w:spacing w:val="-14"/>
        </w:rPr>
        <w:t xml:space="preserve"> </w:t>
      </w:r>
      <w:r>
        <w:t>are</w:t>
      </w:r>
      <w:r>
        <w:rPr>
          <w:spacing w:val="-14"/>
        </w:rPr>
        <w:t xml:space="preserve"> </w:t>
      </w:r>
      <w:r>
        <w:t>highly</w:t>
      </w:r>
      <w:r>
        <w:rPr>
          <w:spacing w:val="-14"/>
        </w:rPr>
        <w:t xml:space="preserve"> </w:t>
      </w:r>
      <w:r>
        <w:t>connected</w:t>
      </w:r>
      <w:r>
        <w:rPr>
          <w:spacing w:val="-14"/>
        </w:rPr>
        <w:t xml:space="preserve"> </w:t>
      </w:r>
      <w:r>
        <w:t>to</w:t>
      </w:r>
      <w:r>
        <w:rPr>
          <w:spacing w:val="-14"/>
        </w:rPr>
        <w:t xml:space="preserve"> </w:t>
      </w:r>
      <w:r>
        <w:t>the</w:t>
      </w:r>
      <w:r>
        <w:rPr>
          <w:spacing w:val="-14"/>
        </w:rPr>
        <w:t xml:space="preserve"> </w:t>
      </w:r>
      <w:r>
        <w:t>rest</w:t>
      </w:r>
      <w:r>
        <w:rPr>
          <w:spacing w:val="-14"/>
        </w:rPr>
        <w:t xml:space="preserve"> </w:t>
      </w:r>
      <w:r>
        <w:t>of</w:t>
      </w:r>
      <w:r>
        <w:rPr>
          <w:spacing w:val="-14"/>
        </w:rPr>
        <w:t xml:space="preserve"> </w:t>
      </w:r>
      <w:r>
        <w:t>the world</w:t>
      </w:r>
      <w:r>
        <w:rPr>
          <w:spacing w:val="-13"/>
        </w:rPr>
        <w:t xml:space="preserve"> </w:t>
      </w:r>
      <w:r>
        <w:t>and</w:t>
      </w:r>
      <w:r>
        <w:rPr>
          <w:spacing w:val="-13"/>
        </w:rPr>
        <w:t xml:space="preserve"> </w:t>
      </w:r>
      <w:r>
        <w:t>are</w:t>
      </w:r>
      <w:r>
        <w:rPr>
          <w:spacing w:val="-13"/>
        </w:rPr>
        <w:t xml:space="preserve"> </w:t>
      </w:r>
      <w:r>
        <w:t>attractive</w:t>
      </w:r>
      <w:r>
        <w:rPr>
          <w:spacing w:val="-13"/>
        </w:rPr>
        <w:t xml:space="preserve"> </w:t>
      </w:r>
      <w:r>
        <w:t>to</w:t>
      </w:r>
      <w:r>
        <w:rPr>
          <w:spacing w:val="-13"/>
        </w:rPr>
        <w:t xml:space="preserve"> </w:t>
      </w:r>
      <w:r>
        <w:t>people</w:t>
      </w:r>
      <w:r>
        <w:rPr>
          <w:spacing w:val="-13"/>
        </w:rPr>
        <w:t xml:space="preserve"> </w:t>
      </w:r>
      <w:r>
        <w:t>in</w:t>
      </w:r>
      <w:r>
        <w:rPr>
          <w:spacing w:val="-13"/>
        </w:rPr>
        <w:t xml:space="preserve"> </w:t>
      </w:r>
      <w:r>
        <w:t>the</w:t>
      </w:r>
      <w:r>
        <w:rPr>
          <w:spacing w:val="-13"/>
        </w:rPr>
        <w:t xml:space="preserve"> </w:t>
      </w:r>
      <w:r>
        <w:t>high</w:t>
      </w:r>
      <w:r>
        <w:rPr>
          <w:spacing w:val="-13"/>
        </w:rPr>
        <w:t xml:space="preserve"> </w:t>
      </w:r>
      <w:r>
        <w:t xml:space="preserve">value </w:t>
      </w:r>
      <w:r>
        <w:rPr>
          <w:w w:val="95"/>
        </w:rPr>
        <w:t>and strongly influential knowledge-based industries.</w:t>
      </w:r>
    </w:p>
    <w:p w:rsidR="002C1123" w:rsidRDefault="00F22F94">
      <w:pPr>
        <w:pStyle w:val="BodyText"/>
        <w:spacing w:before="3" w:line="249" w:lineRule="auto"/>
        <w:ind w:left="662" w:right="206"/>
      </w:pPr>
      <w:r>
        <w:t>Global</w:t>
      </w:r>
      <w:r>
        <w:rPr>
          <w:spacing w:val="-13"/>
        </w:rPr>
        <w:t xml:space="preserve"> </w:t>
      </w:r>
      <w:r>
        <w:t>cities</w:t>
      </w:r>
      <w:r>
        <w:rPr>
          <w:spacing w:val="-13"/>
        </w:rPr>
        <w:t xml:space="preserve"> </w:t>
      </w:r>
      <w:r>
        <w:t>typically</w:t>
      </w:r>
      <w:r>
        <w:rPr>
          <w:spacing w:val="-13"/>
        </w:rPr>
        <w:t xml:space="preserve"> </w:t>
      </w:r>
      <w:r>
        <w:t>have</w:t>
      </w:r>
      <w:r>
        <w:rPr>
          <w:spacing w:val="-13"/>
        </w:rPr>
        <w:t xml:space="preserve"> </w:t>
      </w:r>
      <w:r>
        <w:t>a</w:t>
      </w:r>
      <w:r>
        <w:rPr>
          <w:spacing w:val="-13"/>
        </w:rPr>
        <w:t xml:space="preserve"> </w:t>
      </w:r>
      <w:r>
        <w:t>strong</w:t>
      </w:r>
      <w:r>
        <w:rPr>
          <w:spacing w:val="-13"/>
        </w:rPr>
        <w:t xml:space="preserve"> </w:t>
      </w:r>
      <w:r>
        <w:t>presence</w:t>
      </w:r>
      <w:r>
        <w:rPr>
          <w:spacing w:val="-13"/>
        </w:rPr>
        <w:t xml:space="preserve"> </w:t>
      </w:r>
      <w:r>
        <w:t xml:space="preserve">in </w:t>
      </w:r>
      <w:r>
        <w:rPr>
          <w:w w:val="95"/>
        </w:rPr>
        <w:t>the</w:t>
      </w:r>
      <w:r>
        <w:rPr>
          <w:spacing w:val="-3"/>
          <w:w w:val="95"/>
        </w:rPr>
        <w:t xml:space="preserve"> </w:t>
      </w:r>
      <w:r>
        <w:rPr>
          <w:w w:val="95"/>
        </w:rPr>
        <w:t>research</w:t>
      </w:r>
      <w:r>
        <w:rPr>
          <w:spacing w:val="-3"/>
          <w:w w:val="95"/>
        </w:rPr>
        <w:t xml:space="preserve"> </w:t>
      </w:r>
      <w:r>
        <w:rPr>
          <w:w w:val="95"/>
        </w:rPr>
        <w:t>and</w:t>
      </w:r>
      <w:r>
        <w:rPr>
          <w:spacing w:val="-3"/>
          <w:w w:val="95"/>
        </w:rPr>
        <w:t xml:space="preserve"> </w:t>
      </w:r>
      <w:r>
        <w:rPr>
          <w:w w:val="95"/>
        </w:rPr>
        <w:t>development</w:t>
      </w:r>
      <w:r>
        <w:rPr>
          <w:spacing w:val="-3"/>
          <w:w w:val="95"/>
        </w:rPr>
        <w:t xml:space="preserve"> </w:t>
      </w:r>
      <w:r>
        <w:rPr>
          <w:w w:val="95"/>
        </w:rPr>
        <w:t>space</w:t>
      </w:r>
      <w:r>
        <w:rPr>
          <w:spacing w:val="-3"/>
          <w:w w:val="95"/>
        </w:rPr>
        <w:t xml:space="preserve"> </w:t>
      </w:r>
      <w:r>
        <w:rPr>
          <w:w w:val="95"/>
        </w:rPr>
        <w:t>and</w:t>
      </w:r>
      <w:r>
        <w:rPr>
          <w:spacing w:val="-3"/>
          <w:w w:val="95"/>
        </w:rPr>
        <w:t xml:space="preserve"> </w:t>
      </w:r>
      <w:r>
        <w:rPr>
          <w:w w:val="95"/>
        </w:rPr>
        <w:t>place</w:t>
      </w:r>
      <w:r>
        <w:rPr>
          <w:spacing w:val="-3"/>
          <w:w w:val="95"/>
        </w:rPr>
        <w:t xml:space="preserve"> </w:t>
      </w:r>
      <w:r>
        <w:rPr>
          <w:w w:val="95"/>
        </w:rPr>
        <w:t>a</w:t>
      </w:r>
    </w:p>
    <w:p w:rsidR="002C1123" w:rsidRDefault="00F22F94">
      <w:pPr>
        <w:pStyle w:val="BodyText"/>
        <w:spacing w:before="2"/>
        <w:ind w:left="662"/>
      </w:pPr>
      <w:r>
        <w:rPr>
          <w:w w:val="95"/>
        </w:rPr>
        <w:t>premium</w:t>
      </w:r>
      <w:r>
        <w:rPr>
          <w:spacing w:val="-11"/>
          <w:w w:val="95"/>
        </w:rPr>
        <w:t xml:space="preserve"> </w:t>
      </w:r>
      <w:r>
        <w:rPr>
          <w:w w:val="95"/>
        </w:rPr>
        <w:t>on</w:t>
      </w:r>
      <w:r>
        <w:rPr>
          <w:spacing w:val="-10"/>
          <w:w w:val="95"/>
        </w:rPr>
        <w:t xml:space="preserve"> </w:t>
      </w:r>
      <w:r>
        <w:rPr>
          <w:w w:val="95"/>
        </w:rPr>
        <w:t>liveability,</w:t>
      </w:r>
      <w:r>
        <w:rPr>
          <w:spacing w:val="-9"/>
          <w:w w:val="95"/>
        </w:rPr>
        <w:t xml:space="preserve"> </w:t>
      </w:r>
      <w:r>
        <w:rPr>
          <w:w w:val="95"/>
        </w:rPr>
        <w:t>environment</w:t>
      </w:r>
      <w:r>
        <w:rPr>
          <w:spacing w:val="-10"/>
          <w:w w:val="95"/>
        </w:rPr>
        <w:t xml:space="preserve"> </w:t>
      </w:r>
      <w:r>
        <w:rPr>
          <w:w w:val="95"/>
        </w:rPr>
        <w:t>and</w:t>
      </w:r>
      <w:r>
        <w:rPr>
          <w:spacing w:val="-10"/>
          <w:w w:val="95"/>
        </w:rPr>
        <w:t xml:space="preserve"> </w:t>
      </w:r>
      <w:r>
        <w:rPr>
          <w:spacing w:val="-2"/>
          <w:w w:val="95"/>
        </w:rPr>
        <w:t>accessibility.</w:t>
      </w:r>
    </w:p>
    <w:p w:rsidR="002C1123" w:rsidRDefault="00F22F94">
      <w:pPr>
        <w:pStyle w:val="BodyText"/>
        <w:spacing w:before="151" w:line="249" w:lineRule="auto"/>
        <w:ind w:left="662" w:right="206"/>
      </w:pPr>
      <w:r>
        <w:rPr>
          <w:w w:val="90"/>
        </w:rPr>
        <w:t>Global</w:t>
      </w:r>
      <w:r>
        <w:rPr>
          <w:spacing w:val="-5"/>
          <w:w w:val="90"/>
        </w:rPr>
        <w:t xml:space="preserve"> </w:t>
      </w:r>
      <w:r>
        <w:rPr>
          <w:w w:val="90"/>
        </w:rPr>
        <w:t>cities</w:t>
      </w:r>
      <w:r>
        <w:rPr>
          <w:spacing w:val="-5"/>
          <w:w w:val="90"/>
        </w:rPr>
        <w:t xml:space="preserve"> </w:t>
      </w:r>
      <w:r>
        <w:rPr>
          <w:w w:val="90"/>
        </w:rPr>
        <w:t>develop</w:t>
      </w:r>
      <w:r>
        <w:rPr>
          <w:spacing w:val="-5"/>
          <w:w w:val="90"/>
        </w:rPr>
        <w:t xml:space="preserve"> </w:t>
      </w:r>
      <w:r>
        <w:rPr>
          <w:w w:val="90"/>
        </w:rPr>
        <w:t>where</w:t>
      </w:r>
      <w:r>
        <w:rPr>
          <w:spacing w:val="-5"/>
          <w:w w:val="90"/>
        </w:rPr>
        <w:t xml:space="preserve"> </w:t>
      </w:r>
      <w:r>
        <w:rPr>
          <w:w w:val="90"/>
        </w:rPr>
        <w:t>a</w:t>
      </w:r>
      <w:r>
        <w:rPr>
          <w:spacing w:val="-5"/>
          <w:w w:val="90"/>
        </w:rPr>
        <w:t xml:space="preserve"> </w:t>
      </w:r>
      <w:r>
        <w:rPr>
          <w:w w:val="90"/>
        </w:rPr>
        <w:t>combination</w:t>
      </w:r>
      <w:r>
        <w:rPr>
          <w:spacing w:val="-5"/>
          <w:w w:val="90"/>
        </w:rPr>
        <w:t xml:space="preserve"> </w:t>
      </w:r>
      <w:r>
        <w:rPr>
          <w:w w:val="90"/>
        </w:rPr>
        <w:t>of</w:t>
      </w:r>
      <w:r>
        <w:rPr>
          <w:spacing w:val="-5"/>
          <w:w w:val="90"/>
        </w:rPr>
        <w:t xml:space="preserve"> </w:t>
      </w:r>
      <w:r>
        <w:rPr>
          <w:w w:val="90"/>
        </w:rPr>
        <w:t xml:space="preserve">these </w:t>
      </w:r>
      <w:r>
        <w:rPr>
          <w:spacing w:val="-2"/>
          <w:w w:val="95"/>
        </w:rPr>
        <w:t>factors</w:t>
      </w:r>
      <w:r>
        <w:rPr>
          <w:spacing w:val="-15"/>
          <w:w w:val="95"/>
        </w:rPr>
        <w:t xml:space="preserve"> </w:t>
      </w:r>
      <w:r>
        <w:rPr>
          <w:spacing w:val="-2"/>
          <w:w w:val="95"/>
        </w:rPr>
        <w:t>work</w:t>
      </w:r>
      <w:r>
        <w:rPr>
          <w:spacing w:val="-14"/>
          <w:w w:val="95"/>
        </w:rPr>
        <w:t xml:space="preserve"> </w:t>
      </w:r>
      <w:r>
        <w:rPr>
          <w:spacing w:val="-2"/>
          <w:w w:val="95"/>
        </w:rPr>
        <w:t>together</w:t>
      </w:r>
      <w:r>
        <w:rPr>
          <w:spacing w:val="-14"/>
          <w:w w:val="95"/>
        </w:rPr>
        <w:t xml:space="preserve"> </w:t>
      </w:r>
      <w:r>
        <w:rPr>
          <w:spacing w:val="-2"/>
          <w:w w:val="95"/>
        </w:rPr>
        <w:t>in</w:t>
      </w:r>
      <w:r>
        <w:rPr>
          <w:spacing w:val="-14"/>
          <w:w w:val="95"/>
        </w:rPr>
        <w:t xml:space="preserve"> </w:t>
      </w:r>
      <w:r>
        <w:rPr>
          <w:spacing w:val="-2"/>
          <w:w w:val="95"/>
        </w:rPr>
        <w:t>unison</w:t>
      </w:r>
      <w:r>
        <w:rPr>
          <w:spacing w:val="-15"/>
          <w:w w:val="95"/>
        </w:rPr>
        <w:t xml:space="preserve"> </w:t>
      </w:r>
      <w:r>
        <w:rPr>
          <w:spacing w:val="-2"/>
          <w:w w:val="95"/>
        </w:rPr>
        <w:t>to</w:t>
      </w:r>
      <w:r>
        <w:rPr>
          <w:spacing w:val="-14"/>
          <w:w w:val="95"/>
        </w:rPr>
        <w:t xml:space="preserve"> </w:t>
      </w:r>
      <w:r>
        <w:rPr>
          <w:spacing w:val="-2"/>
          <w:w w:val="95"/>
        </w:rPr>
        <w:t>make</w:t>
      </w:r>
      <w:r>
        <w:rPr>
          <w:spacing w:val="-14"/>
          <w:w w:val="95"/>
        </w:rPr>
        <w:t xml:space="preserve"> </w:t>
      </w:r>
      <w:r>
        <w:rPr>
          <w:spacing w:val="-2"/>
          <w:w w:val="95"/>
        </w:rPr>
        <w:t>a</w:t>
      </w:r>
      <w:r>
        <w:rPr>
          <w:spacing w:val="-14"/>
          <w:w w:val="95"/>
        </w:rPr>
        <w:t xml:space="preserve"> </w:t>
      </w:r>
      <w:r>
        <w:rPr>
          <w:spacing w:val="-2"/>
          <w:w w:val="95"/>
        </w:rPr>
        <w:t xml:space="preserve">uniquely </w:t>
      </w:r>
      <w:r>
        <w:t>attractive</w:t>
      </w:r>
      <w:r>
        <w:rPr>
          <w:spacing w:val="-17"/>
        </w:rPr>
        <w:t xml:space="preserve"> </w:t>
      </w:r>
      <w:r>
        <w:t>mix.</w:t>
      </w:r>
    </w:p>
    <w:p w:rsidR="002C1123" w:rsidRDefault="00F22F94">
      <w:pPr>
        <w:pStyle w:val="BodyText"/>
        <w:spacing w:before="144" w:line="249" w:lineRule="auto"/>
        <w:ind w:left="662"/>
      </w:pPr>
      <w:r>
        <w:t>Sydney</w:t>
      </w:r>
      <w:r>
        <w:rPr>
          <w:spacing w:val="-14"/>
        </w:rPr>
        <w:t xml:space="preserve"> </w:t>
      </w:r>
      <w:r>
        <w:t>generally</w:t>
      </w:r>
      <w:r>
        <w:rPr>
          <w:spacing w:val="-14"/>
        </w:rPr>
        <w:t xml:space="preserve"> </w:t>
      </w:r>
      <w:r>
        <w:t>scores</w:t>
      </w:r>
      <w:r>
        <w:rPr>
          <w:spacing w:val="-14"/>
        </w:rPr>
        <w:t xml:space="preserve"> </w:t>
      </w:r>
      <w:r>
        <w:t>highly</w:t>
      </w:r>
      <w:r>
        <w:rPr>
          <w:spacing w:val="-14"/>
        </w:rPr>
        <w:t xml:space="preserve"> </w:t>
      </w:r>
      <w:r>
        <w:t>in</w:t>
      </w:r>
      <w:r>
        <w:rPr>
          <w:spacing w:val="-14"/>
        </w:rPr>
        <w:t xml:space="preserve"> </w:t>
      </w:r>
      <w:r>
        <w:t>many</w:t>
      </w:r>
      <w:r>
        <w:rPr>
          <w:spacing w:val="-14"/>
        </w:rPr>
        <w:t xml:space="preserve"> </w:t>
      </w:r>
      <w:r>
        <w:t>rankings</w:t>
      </w:r>
      <w:r>
        <w:rPr>
          <w:spacing w:val="-14"/>
        </w:rPr>
        <w:t xml:space="preserve"> </w:t>
      </w:r>
      <w:r>
        <w:t xml:space="preserve">of </w:t>
      </w:r>
      <w:r>
        <w:rPr>
          <w:w w:val="95"/>
        </w:rPr>
        <w:t>global</w:t>
      </w:r>
      <w:r>
        <w:rPr>
          <w:spacing w:val="-9"/>
          <w:w w:val="95"/>
        </w:rPr>
        <w:t xml:space="preserve"> </w:t>
      </w:r>
      <w:r>
        <w:rPr>
          <w:w w:val="95"/>
        </w:rPr>
        <w:t>cities.</w:t>
      </w:r>
      <w:r>
        <w:rPr>
          <w:spacing w:val="-9"/>
          <w:w w:val="95"/>
        </w:rPr>
        <w:t xml:space="preserve"> </w:t>
      </w:r>
      <w:r>
        <w:rPr>
          <w:w w:val="95"/>
        </w:rPr>
        <w:t>For</w:t>
      </w:r>
      <w:r>
        <w:rPr>
          <w:spacing w:val="-9"/>
          <w:w w:val="95"/>
        </w:rPr>
        <w:t xml:space="preserve"> </w:t>
      </w:r>
      <w:r>
        <w:rPr>
          <w:w w:val="95"/>
        </w:rPr>
        <w:t>example,</w:t>
      </w:r>
      <w:r>
        <w:rPr>
          <w:spacing w:val="-9"/>
          <w:w w:val="95"/>
        </w:rPr>
        <w:t xml:space="preserve"> </w:t>
      </w:r>
      <w:r>
        <w:rPr>
          <w:w w:val="95"/>
        </w:rPr>
        <w:t>the</w:t>
      </w:r>
      <w:r>
        <w:rPr>
          <w:spacing w:val="-9"/>
          <w:w w:val="95"/>
        </w:rPr>
        <w:t xml:space="preserve"> </w:t>
      </w:r>
      <w:r>
        <w:rPr>
          <w:w w:val="95"/>
        </w:rPr>
        <w:t>Globalisation</w:t>
      </w:r>
      <w:r>
        <w:rPr>
          <w:spacing w:val="-9"/>
          <w:w w:val="95"/>
        </w:rPr>
        <w:t xml:space="preserve"> </w:t>
      </w:r>
      <w:r>
        <w:rPr>
          <w:w w:val="95"/>
        </w:rPr>
        <w:t>and</w:t>
      </w:r>
      <w:r>
        <w:rPr>
          <w:spacing w:val="-9"/>
          <w:w w:val="95"/>
        </w:rPr>
        <w:t xml:space="preserve"> </w:t>
      </w:r>
      <w:r>
        <w:rPr>
          <w:w w:val="95"/>
        </w:rPr>
        <w:t xml:space="preserve">World </w:t>
      </w:r>
      <w:r>
        <w:t>Cities</w:t>
      </w:r>
      <w:r>
        <w:rPr>
          <w:spacing w:val="-8"/>
        </w:rPr>
        <w:t xml:space="preserve"> </w:t>
      </w:r>
      <w:r>
        <w:t>Research</w:t>
      </w:r>
      <w:r>
        <w:rPr>
          <w:spacing w:val="-8"/>
        </w:rPr>
        <w:t xml:space="preserve"> </w:t>
      </w:r>
      <w:r>
        <w:t>Network</w:t>
      </w:r>
      <w:r>
        <w:rPr>
          <w:position w:val="7"/>
          <w:sz w:val="11"/>
        </w:rPr>
        <w:t>7</w:t>
      </w:r>
      <w:r>
        <w:t>,</w:t>
      </w:r>
      <w:r>
        <w:rPr>
          <w:spacing w:val="-8"/>
        </w:rPr>
        <w:t xml:space="preserve"> </w:t>
      </w:r>
      <w:r>
        <w:t>which</w:t>
      </w:r>
      <w:r>
        <w:rPr>
          <w:spacing w:val="-8"/>
        </w:rPr>
        <w:t xml:space="preserve"> </w:t>
      </w:r>
      <w:r>
        <w:t>looked</w:t>
      </w:r>
      <w:r>
        <w:rPr>
          <w:spacing w:val="-8"/>
        </w:rPr>
        <w:t xml:space="preserve"> </w:t>
      </w:r>
      <w:r>
        <w:t>at</w:t>
      </w:r>
      <w:r>
        <w:rPr>
          <w:spacing w:val="-8"/>
        </w:rPr>
        <w:t xml:space="preserve"> </w:t>
      </w:r>
      <w:r>
        <w:t>the</w:t>
      </w:r>
    </w:p>
    <w:p w:rsidR="002C1123" w:rsidRDefault="00F22F94">
      <w:pPr>
        <w:rPr>
          <w:sz w:val="24"/>
        </w:rPr>
      </w:pPr>
      <w:r>
        <w:br w:type="column"/>
      </w:r>
    </w:p>
    <w:p w:rsidR="002C1123" w:rsidRDefault="002C1123">
      <w:pPr>
        <w:pStyle w:val="BodyText"/>
        <w:rPr>
          <w:sz w:val="24"/>
        </w:rPr>
      </w:pPr>
    </w:p>
    <w:p w:rsidR="002C1123" w:rsidRDefault="00F22F94">
      <w:pPr>
        <w:pStyle w:val="BodyText"/>
        <w:spacing w:before="165" w:line="249" w:lineRule="auto"/>
        <w:ind w:left="244" w:right="127"/>
      </w:pPr>
      <w:r>
        <w:rPr>
          <w:w w:val="95"/>
        </w:rPr>
        <w:t xml:space="preserve">connectivity of cities and their role in the ‘knowledge- </w:t>
      </w:r>
      <w:r>
        <w:t>economy’,</w:t>
      </w:r>
      <w:r>
        <w:rPr>
          <w:spacing w:val="-14"/>
        </w:rPr>
        <w:t xml:space="preserve"> </w:t>
      </w:r>
      <w:r>
        <w:t>has</w:t>
      </w:r>
      <w:r>
        <w:rPr>
          <w:spacing w:val="-14"/>
        </w:rPr>
        <w:t xml:space="preserve"> </w:t>
      </w:r>
      <w:r>
        <w:t>classified</w:t>
      </w:r>
      <w:r>
        <w:rPr>
          <w:spacing w:val="-14"/>
        </w:rPr>
        <w:t xml:space="preserve"> </w:t>
      </w:r>
      <w:r>
        <w:t>Sydney</w:t>
      </w:r>
      <w:r>
        <w:rPr>
          <w:spacing w:val="-14"/>
        </w:rPr>
        <w:t xml:space="preserve"> </w:t>
      </w:r>
      <w:r>
        <w:t>as</w:t>
      </w:r>
      <w:r>
        <w:rPr>
          <w:spacing w:val="-14"/>
        </w:rPr>
        <w:t xml:space="preserve"> </w:t>
      </w:r>
      <w:r>
        <w:t>an</w:t>
      </w:r>
      <w:r>
        <w:rPr>
          <w:spacing w:val="-14"/>
        </w:rPr>
        <w:t xml:space="preserve"> </w:t>
      </w:r>
      <w:r>
        <w:t>Alpha</w:t>
      </w:r>
      <w:r>
        <w:rPr>
          <w:spacing w:val="-14"/>
        </w:rPr>
        <w:t xml:space="preserve"> </w:t>
      </w:r>
      <w:r>
        <w:t>+</w:t>
      </w:r>
      <w:r>
        <w:rPr>
          <w:spacing w:val="-14"/>
        </w:rPr>
        <w:t xml:space="preserve"> </w:t>
      </w:r>
      <w:r>
        <w:t xml:space="preserve">city, </w:t>
      </w:r>
      <w:r>
        <w:rPr>
          <w:w w:val="95"/>
        </w:rPr>
        <w:t>ranking</w:t>
      </w:r>
      <w:r>
        <w:rPr>
          <w:spacing w:val="-5"/>
          <w:w w:val="95"/>
        </w:rPr>
        <w:t xml:space="preserve"> </w:t>
      </w:r>
      <w:r>
        <w:rPr>
          <w:w w:val="95"/>
        </w:rPr>
        <w:t>it</w:t>
      </w:r>
      <w:r>
        <w:rPr>
          <w:spacing w:val="-5"/>
          <w:w w:val="95"/>
        </w:rPr>
        <w:t xml:space="preserve"> </w:t>
      </w:r>
      <w:r>
        <w:rPr>
          <w:w w:val="95"/>
        </w:rPr>
        <w:t>in</w:t>
      </w:r>
      <w:r>
        <w:rPr>
          <w:spacing w:val="-5"/>
          <w:w w:val="95"/>
        </w:rPr>
        <w:t xml:space="preserve"> </w:t>
      </w:r>
      <w:r>
        <w:rPr>
          <w:w w:val="95"/>
        </w:rPr>
        <w:t>the</w:t>
      </w:r>
      <w:r>
        <w:rPr>
          <w:spacing w:val="-5"/>
          <w:w w:val="95"/>
        </w:rPr>
        <w:t xml:space="preserve"> </w:t>
      </w:r>
      <w:r>
        <w:rPr>
          <w:w w:val="95"/>
        </w:rPr>
        <w:t>top</w:t>
      </w:r>
      <w:r>
        <w:rPr>
          <w:spacing w:val="-5"/>
          <w:w w:val="95"/>
        </w:rPr>
        <w:t xml:space="preserve"> </w:t>
      </w:r>
      <w:r>
        <w:rPr>
          <w:w w:val="95"/>
        </w:rPr>
        <w:t>ten</w:t>
      </w:r>
      <w:r>
        <w:rPr>
          <w:spacing w:val="-5"/>
          <w:w w:val="95"/>
        </w:rPr>
        <w:t xml:space="preserve"> </w:t>
      </w:r>
      <w:r>
        <w:rPr>
          <w:w w:val="95"/>
        </w:rPr>
        <w:t>of</w:t>
      </w:r>
      <w:r>
        <w:rPr>
          <w:spacing w:val="-5"/>
          <w:w w:val="95"/>
        </w:rPr>
        <w:t xml:space="preserve"> </w:t>
      </w:r>
      <w:r>
        <w:rPr>
          <w:w w:val="95"/>
        </w:rPr>
        <w:t>global</w:t>
      </w:r>
      <w:r>
        <w:rPr>
          <w:spacing w:val="-5"/>
          <w:w w:val="95"/>
        </w:rPr>
        <w:t xml:space="preserve"> </w:t>
      </w:r>
      <w:r>
        <w:rPr>
          <w:w w:val="95"/>
        </w:rPr>
        <w:t>cities,</w:t>
      </w:r>
      <w:r>
        <w:rPr>
          <w:spacing w:val="-5"/>
          <w:w w:val="95"/>
        </w:rPr>
        <w:t xml:space="preserve"> </w:t>
      </w:r>
      <w:r>
        <w:rPr>
          <w:w w:val="95"/>
        </w:rPr>
        <w:t>comparable</w:t>
      </w:r>
      <w:r>
        <w:rPr>
          <w:spacing w:val="-5"/>
          <w:w w:val="95"/>
        </w:rPr>
        <w:t xml:space="preserve"> </w:t>
      </w:r>
      <w:r>
        <w:rPr>
          <w:w w:val="95"/>
        </w:rPr>
        <w:t xml:space="preserve">to </w:t>
      </w:r>
      <w:r>
        <w:t>Paris,</w:t>
      </w:r>
      <w:r>
        <w:rPr>
          <w:spacing w:val="-9"/>
        </w:rPr>
        <w:t xml:space="preserve"> </w:t>
      </w:r>
      <w:r>
        <w:t>Tokyo,</w:t>
      </w:r>
      <w:r>
        <w:rPr>
          <w:spacing w:val="-9"/>
        </w:rPr>
        <w:t xml:space="preserve"> </w:t>
      </w:r>
      <w:r>
        <w:t>Singapore</w:t>
      </w:r>
      <w:r>
        <w:rPr>
          <w:spacing w:val="-9"/>
        </w:rPr>
        <w:t xml:space="preserve"> </w:t>
      </w:r>
      <w:r>
        <w:t>and</w:t>
      </w:r>
      <w:r>
        <w:rPr>
          <w:spacing w:val="-9"/>
        </w:rPr>
        <w:t xml:space="preserve"> </w:t>
      </w:r>
      <w:r>
        <w:t>Hong</w:t>
      </w:r>
      <w:r>
        <w:rPr>
          <w:spacing w:val="-9"/>
        </w:rPr>
        <w:t xml:space="preserve"> </w:t>
      </w:r>
      <w:r>
        <w:t>Kong.</w:t>
      </w:r>
    </w:p>
    <w:p w:rsidR="002C1123" w:rsidRDefault="00F22F94">
      <w:pPr>
        <w:pStyle w:val="BodyText"/>
        <w:spacing w:before="145" w:line="249" w:lineRule="auto"/>
        <w:ind w:left="244" w:right="127"/>
      </w:pPr>
      <w:r>
        <w:t>In</w:t>
      </w:r>
      <w:r>
        <w:rPr>
          <w:spacing w:val="-7"/>
        </w:rPr>
        <w:t xml:space="preserve"> </w:t>
      </w:r>
      <w:r>
        <w:t>both</w:t>
      </w:r>
      <w:r>
        <w:rPr>
          <w:spacing w:val="-7"/>
        </w:rPr>
        <w:t xml:space="preserve"> </w:t>
      </w:r>
      <w:r>
        <w:t>2007</w:t>
      </w:r>
      <w:r>
        <w:rPr>
          <w:spacing w:val="-7"/>
        </w:rPr>
        <w:t xml:space="preserve"> </w:t>
      </w:r>
      <w:r>
        <w:t>and</w:t>
      </w:r>
      <w:r>
        <w:rPr>
          <w:spacing w:val="-7"/>
        </w:rPr>
        <w:t xml:space="preserve"> </w:t>
      </w:r>
      <w:r>
        <w:t>2008</w:t>
      </w:r>
      <w:r>
        <w:rPr>
          <w:spacing w:val="-7"/>
        </w:rPr>
        <w:t xml:space="preserve"> </w:t>
      </w:r>
      <w:r>
        <w:t>Sydney</w:t>
      </w:r>
      <w:r>
        <w:rPr>
          <w:spacing w:val="-7"/>
        </w:rPr>
        <w:t xml:space="preserve"> </w:t>
      </w:r>
      <w:r>
        <w:t>was</w:t>
      </w:r>
      <w:r>
        <w:rPr>
          <w:spacing w:val="-7"/>
        </w:rPr>
        <w:t xml:space="preserve"> </w:t>
      </w:r>
      <w:r>
        <w:t>rated</w:t>
      </w:r>
      <w:r>
        <w:rPr>
          <w:spacing w:val="-7"/>
        </w:rPr>
        <w:t xml:space="preserve"> </w:t>
      </w:r>
      <w:r>
        <w:t>the</w:t>
      </w:r>
      <w:r>
        <w:rPr>
          <w:spacing w:val="-7"/>
        </w:rPr>
        <w:t xml:space="preserve"> </w:t>
      </w:r>
      <w:r>
        <w:t xml:space="preserve">top </w:t>
      </w:r>
      <w:r>
        <w:rPr>
          <w:w w:val="95"/>
        </w:rPr>
        <w:t>city</w:t>
      </w:r>
      <w:r>
        <w:rPr>
          <w:spacing w:val="-3"/>
          <w:w w:val="95"/>
        </w:rPr>
        <w:t xml:space="preserve"> </w:t>
      </w:r>
      <w:r>
        <w:rPr>
          <w:w w:val="95"/>
        </w:rPr>
        <w:t>brand</w:t>
      </w:r>
      <w:r>
        <w:rPr>
          <w:spacing w:val="-3"/>
          <w:w w:val="95"/>
        </w:rPr>
        <w:t xml:space="preserve"> </w:t>
      </w:r>
      <w:r>
        <w:rPr>
          <w:w w:val="95"/>
        </w:rPr>
        <w:t>in</w:t>
      </w:r>
      <w:r>
        <w:rPr>
          <w:spacing w:val="-3"/>
          <w:w w:val="95"/>
        </w:rPr>
        <w:t xml:space="preserve"> </w:t>
      </w:r>
      <w:r>
        <w:rPr>
          <w:w w:val="95"/>
        </w:rPr>
        <w:t>the</w:t>
      </w:r>
      <w:r>
        <w:rPr>
          <w:spacing w:val="-3"/>
          <w:w w:val="95"/>
        </w:rPr>
        <w:t xml:space="preserve"> </w:t>
      </w:r>
      <w:r>
        <w:rPr>
          <w:w w:val="95"/>
        </w:rPr>
        <w:t>world</w:t>
      </w:r>
      <w:r>
        <w:rPr>
          <w:spacing w:val="-3"/>
          <w:w w:val="95"/>
        </w:rPr>
        <w:t xml:space="preserve"> </w:t>
      </w:r>
      <w:r>
        <w:rPr>
          <w:w w:val="95"/>
        </w:rPr>
        <w:t>by</w:t>
      </w:r>
      <w:r>
        <w:rPr>
          <w:spacing w:val="-3"/>
          <w:w w:val="95"/>
        </w:rPr>
        <w:t xml:space="preserve"> </w:t>
      </w:r>
      <w:r>
        <w:rPr>
          <w:w w:val="95"/>
        </w:rPr>
        <w:t>the</w:t>
      </w:r>
      <w:r>
        <w:rPr>
          <w:spacing w:val="-3"/>
          <w:w w:val="95"/>
        </w:rPr>
        <w:t xml:space="preserve"> </w:t>
      </w:r>
      <w:r>
        <w:rPr>
          <w:w w:val="95"/>
        </w:rPr>
        <w:t>Anholt-GfK</w:t>
      </w:r>
      <w:r>
        <w:rPr>
          <w:spacing w:val="-3"/>
          <w:w w:val="95"/>
        </w:rPr>
        <w:t xml:space="preserve"> </w:t>
      </w:r>
      <w:r>
        <w:rPr>
          <w:w w:val="95"/>
        </w:rPr>
        <w:t>Roper</w:t>
      </w:r>
      <w:r>
        <w:rPr>
          <w:spacing w:val="-3"/>
          <w:w w:val="95"/>
        </w:rPr>
        <w:t xml:space="preserve"> </w:t>
      </w:r>
      <w:r>
        <w:rPr>
          <w:w w:val="95"/>
        </w:rPr>
        <w:t xml:space="preserve">City </w:t>
      </w:r>
      <w:r>
        <w:t>Brand</w:t>
      </w:r>
      <w:r>
        <w:rPr>
          <w:spacing w:val="-12"/>
        </w:rPr>
        <w:t xml:space="preserve"> </w:t>
      </w:r>
      <w:r>
        <w:t>Index</w:t>
      </w:r>
      <w:r>
        <w:rPr>
          <w:position w:val="7"/>
          <w:sz w:val="11"/>
        </w:rPr>
        <w:t>8</w:t>
      </w:r>
      <w:r>
        <w:t>,</w:t>
      </w:r>
      <w:r>
        <w:rPr>
          <w:spacing w:val="-12"/>
        </w:rPr>
        <w:t xml:space="preserve"> </w:t>
      </w:r>
      <w:r>
        <w:t>ahead</w:t>
      </w:r>
      <w:r>
        <w:rPr>
          <w:spacing w:val="-12"/>
        </w:rPr>
        <w:t xml:space="preserve"> </w:t>
      </w:r>
      <w:r>
        <w:t>of</w:t>
      </w:r>
      <w:r>
        <w:rPr>
          <w:spacing w:val="-12"/>
        </w:rPr>
        <w:t xml:space="preserve"> </w:t>
      </w:r>
      <w:r>
        <w:t>Paris,</w:t>
      </w:r>
      <w:r>
        <w:rPr>
          <w:spacing w:val="-12"/>
        </w:rPr>
        <w:t xml:space="preserve"> </w:t>
      </w:r>
      <w:r>
        <w:t>London,</w:t>
      </w:r>
      <w:r>
        <w:rPr>
          <w:spacing w:val="-12"/>
        </w:rPr>
        <w:t xml:space="preserve"> </w:t>
      </w:r>
      <w:r>
        <w:t>New</w:t>
      </w:r>
      <w:r>
        <w:rPr>
          <w:spacing w:val="-12"/>
        </w:rPr>
        <w:t xml:space="preserve"> </w:t>
      </w:r>
      <w:r>
        <w:t xml:space="preserve">York, </w:t>
      </w:r>
      <w:r>
        <w:rPr>
          <w:spacing w:val="-2"/>
        </w:rPr>
        <w:t>Rome</w:t>
      </w:r>
      <w:r>
        <w:rPr>
          <w:spacing w:val="-9"/>
        </w:rPr>
        <w:t xml:space="preserve"> </w:t>
      </w:r>
      <w:r>
        <w:rPr>
          <w:spacing w:val="-2"/>
        </w:rPr>
        <w:t>and</w:t>
      </w:r>
      <w:r>
        <w:rPr>
          <w:spacing w:val="-9"/>
        </w:rPr>
        <w:t xml:space="preserve"> </w:t>
      </w:r>
      <w:r>
        <w:rPr>
          <w:spacing w:val="-2"/>
        </w:rPr>
        <w:t>Barcelona.</w:t>
      </w:r>
      <w:r>
        <w:rPr>
          <w:spacing w:val="-9"/>
        </w:rPr>
        <w:t xml:space="preserve"> </w:t>
      </w:r>
      <w:r>
        <w:rPr>
          <w:spacing w:val="-2"/>
        </w:rPr>
        <w:t>It</w:t>
      </w:r>
      <w:r>
        <w:rPr>
          <w:spacing w:val="-9"/>
        </w:rPr>
        <w:t xml:space="preserve"> </w:t>
      </w:r>
      <w:r>
        <w:rPr>
          <w:spacing w:val="-2"/>
        </w:rPr>
        <w:t>has</w:t>
      </w:r>
      <w:r>
        <w:rPr>
          <w:spacing w:val="-9"/>
        </w:rPr>
        <w:t xml:space="preserve"> </w:t>
      </w:r>
      <w:r>
        <w:rPr>
          <w:spacing w:val="-2"/>
        </w:rPr>
        <w:t>subsequently</w:t>
      </w:r>
      <w:r>
        <w:rPr>
          <w:spacing w:val="-9"/>
        </w:rPr>
        <w:t xml:space="preserve"> </w:t>
      </w:r>
      <w:r>
        <w:rPr>
          <w:spacing w:val="-2"/>
        </w:rPr>
        <w:t>fallen</w:t>
      </w:r>
      <w:r>
        <w:rPr>
          <w:spacing w:val="-9"/>
        </w:rPr>
        <w:t xml:space="preserve"> </w:t>
      </w:r>
      <w:r>
        <w:rPr>
          <w:spacing w:val="-2"/>
        </w:rPr>
        <w:t xml:space="preserve">to </w:t>
      </w:r>
      <w:r>
        <w:rPr>
          <w:w w:val="95"/>
        </w:rPr>
        <w:t xml:space="preserve">third place, and liveability surveys now consistently </w:t>
      </w:r>
      <w:r>
        <w:t>place</w:t>
      </w:r>
      <w:r>
        <w:rPr>
          <w:spacing w:val="-3"/>
        </w:rPr>
        <w:t xml:space="preserve"> </w:t>
      </w:r>
      <w:r>
        <w:t>Melbourne</w:t>
      </w:r>
      <w:r>
        <w:rPr>
          <w:spacing w:val="-3"/>
        </w:rPr>
        <w:t xml:space="preserve"> </w:t>
      </w:r>
      <w:r>
        <w:t>ahead</w:t>
      </w:r>
      <w:r>
        <w:rPr>
          <w:spacing w:val="-3"/>
        </w:rPr>
        <w:t xml:space="preserve"> </w:t>
      </w:r>
      <w:r>
        <w:t>of</w:t>
      </w:r>
      <w:r>
        <w:rPr>
          <w:spacing w:val="-3"/>
        </w:rPr>
        <w:t xml:space="preserve"> </w:t>
      </w:r>
      <w:r>
        <w:t>Sydney.</w:t>
      </w:r>
    </w:p>
    <w:p w:rsidR="002C1123" w:rsidRDefault="00F22F94">
      <w:pPr>
        <w:pStyle w:val="BodyText"/>
        <w:spacing w:before="147" w:line="249" w:lineRule="auto"/>
        <w:ind w:left="244"/>
      </w:pPr>
      <w:r>
        <w:rPr>
          <w:w w:val="95"/>
        </w:rPr>
        <w:t>Of</w:t>
      </w:r>
      <w:r>
        <w:rPr>
          <w:spacing w:val="-1"/>
          <w:w w:val="95"/>
        </w:rPr>
        <w:t xml:space="preserve"> </w:t>
      </w:r>
      <w:r>
        <w:rPr>
          <w:w w:val="95"/>
        </w:rPr>
        <w:t>greater</w:t>
      </w:r>
      <w:r>
        <w:rPr>
          <w:spacing w:val="-1"/>
          <w:w w:val="95"/>
        </w:rPr>
        <w:t xml:space="preserve"> </w:t>
      </w:r>
      <w:r>
        <w:rPr>
          <w:w w:val="95"/>
        </w:rPr>
        <w:t>concern</w:t>
      </w:r>
      <w:r>
        <w:rPr>
          <w:spacing w:val="-1"/>
          <w:w w:val="95"/>
        </w:rPr>
        <w:t xml:space="preserve"> </w:t>
      </w:r>
      <w:r>
        <w:rPr>
          <w:w w:val="95"/>
        </w:rPr>
        <w:t>is</w:t>
      </w:r>
      <w:r>
        <w:rPr>
          <w:spacing w:val="-1"/>
          <w:w w:val="95"/>
        </w:rPr>
        <w:t xml:space="preserve"> </w:t>
      </w:r>
      <w:r>
        <w:rPr>
          <w:w w:val="95"/>
        </w:rPr>
        <w:t>Sydney’s</w:t>
      </w:r>
      <w:r>
        <w:rPr>
          <w:spacing w:val="-1"/>
          <w:w w:val="95"/>
        </w:rPr>
        <w:t xml:space="preserve"> </w:t>
      </w:r>
      <w:r>
        <w:rPr>
          <w:w w:val="95"/>
        </w:rPr>
        <w:t>poor</w:t>
      </w:r>
      <w:r>
        <w:rPr>
          <w:spacing w:val="-1"/>
          <w:w w:val="95"/>
        </w:rPr>
        <w:t xml:space="preserve"> </w:t>
      </w:r>
      <w:r>
        <w:rPr>
          <w:w w:val="95"/>
        </w:rPr>
        <w:t>recent</w:t>
      </w:r>
      <w:r>
        <w:rPr>
          <w:spacing w:val="-1"/>
          <w:w w:val="95"/>
        </w:rPr>
        <w:t xml:space="preserve"> </w:t>
      </w:r>
      <w:r>
        <w:rPr>
          <w:w w:val="95"/>
        </w:rPr>
        <w:t xml:space="preserve">economic </w:t>
      </w:r>
      <w:r>
        <w:rPr>
          <w:spacing w:val="-2"/>
        </w:rPr>
        <w:t>performance.</w:t>
      </w:r>
      <w:r>
        <w:rPr>
          <w:spacing w:val="-7"/>
        </w:rPr>
        <w:t xml:space="preserve"> </w:t>
      </w:r>
      <w:r>
        <w:rPr>
          <w:spacing w:val="-2"/>
        </w:rPr>
        <w:t>Over</w:t>
      </w:r>
      <w:r>
        <w:rPr>
          <w:spacing w:val="-7"/>
        </w:rPr>
        <w:t xml:space="preserve"> </w:t>
      </w:r>
      <w:r>
        <w:rPr>
          <w:spacing w:val="-2"/>
        </w:rPr>
        <w:t>the</w:t>
      </w:r>
      <w:r>
        <w:rPr>
          <w:spacing w:val="-7"/>
        </w:rPr>
        <w:t xml:space="preserve"> </w:t>
      </w:r>
      <w:r>
        <w:rPr>
          <w:spacing w:val="-2"/>
        </w:rPr>
        <w:t>last</w:t>
      </w:r>
      <w:r>
        <w:rPr>
          <w:spacing w:val="-7"/>
        </w:rPr>
        <w:t xml:space="preserve"> </w:t>
      </w:r>
      <w:r>
        <w:rPr>
          <w:spacing w:val="-2"/>
        </w:rPr>
        <w:t>decade</w:t>
      </w:r>
      <w:r>
        <w:rPr>
          <w:spacing w:val="-7"/>
        </w:rPr>
        <w:t xml:space="preserve"> </w:t>
      </w:r>
      <w:r>
        <w:rPr>
          <w:spacing w:val="-2"/>
        </w:rPr>
        <w:t>Sydney’s</w:t>
      </w:r>
      <w:r>
        <w:rPr>
          <w:spacing w:val="-7"/>
        </w:rPr>
        <w:t xml:space="preserve"> </w:t>
      </w:r>
      <w:r>
        <w:rPr>
          <w:spacing w:val="-2"/>
        </w:rPr>
        <w:t xml:space="preserve">growth </w:t>
      </w:r>
      <w:r>
        <w:t>underperformed</w:t>
      </w:r>
      <w:r>
        <w:rPr>
          <w:spacing w:val="-12"/>
        </w:rPr>
        <w:t xml:space="preserve"> </w:t>
      </w:r>
      <w:r>
        <w:t>relative</w:t>
      </w:r>
      <w:r>
        <w:rPr>
          <w:spacing w:val="-12"/>
        </w:rPr>
        <w:t xml:space="preserve"> </w:t>
      </w:r>
      <w:r>
        <w:t>to</w:t>
      </w:r>
      <w:r>
        <w:rPr>
          <w:spacing w:val="-12"/>
        </w:rPr>
        <w:t xml:space="preserve"> </w:t>
      </w:r>
      <w:r>
        <w:t>the</w:t>
      </w:r>
      <w:r>
        <w:rPr>
          <w:spacing w:val="-12"/>
        </w:rPr>
        <w:t xml:space="preserve"> </w:t>
      </w:r>
      <w:r>
        <w:t>rest</w:t>
      </w:r>
      <w:r>
        <w:rPr>
          <w:spacing w:val="-12"/>
        </w:rPr>
        <w:t xml:space="preserve"> </w:t>
      </w:r>
      <w:r>
        <w:t>of</w:t>
      </w:r>
      <w:r>
        <w:rPr>
          <w:spacing w:val="-12"/>
        </w:rPr>
        <w:t xml:space="preserve"> </w:t>
      </w:r>
      <w:r>
        <w:t>Australia</w:t>
      </w:r>
      <w:r>
        <w:rPr>
          <w:position w:val="7"/>
          <w:sz w:val="11"/>
        </w:rPr>
        <w:t>9</w:t>
      </w:r>
      <w:r>
        <w:t>.</w:t>
      </w:r>
    </w:p>
    <w:p w:rsidR="002C1123" w:rsidRDefault="00F22F94">
      <w:pPr>
        <w:pStyle w:val="BodyText"/>
        <w:spacing w:before="2" w:line="249" w:lineRule="auto"/>
        <w:ind w:left="244"/>
      </w:pPr>
      <w:r>
        <w:rPr>
          <w:w w:val="95"/>
        </w:rPr>
        <w:t>This</w:t>
      </w:r>
      <w:r>
        <w:rPr>
          <w:spacing w:val="-9"/>
          <w:w w:val="95"/>
        </w:rPr>
        <w:t xml:space="preserve"> </w:t>
      </w:r>
      <w:r>
        <w:rPr>
          <w:w w:val="95"/>
        </w:rPr>
        <w:t>finding</w:t>
      </w:r>
      <w:r>
        <w:rPr>
          <w:spacing w:val="-9"/>
          <w:w w:val="95"/>
        </w:rPr>
        <w:t xml:space="preserve"> </w:t>
      </w:r>
      <w:r>
        <w:rPr>
          <w:w w:val="95"/>
        </w:rPr>
        <w:t>is</w:t>
      </w:r>
      <w:r>
        <w:rPr>
          <w:spacing w:val="-9"/>
          <w:w w:val="95"/>
        </w:rPr>
        <w:t xml:space="preserve"> </w:t>
      </w:r>
      <w:r>
        <w:rPr>
          <w:w w:val="95"/>
        </w:rPr>
        <w:t>supported</w:t>
      </w:r>
      <w:r>
        <w:rPr>
          <w:spacing w:val="-9"/>
          <w:w w:val="95"/>
        </w:rPr>
        <w:t xml:space="preserve"> </w:t>
      </w:r>
      <w:r>
        <w:rPr>
          <w:w w:val="95"/>
        </w:rPr>
        <w:t>by</w:t>
      </w:r>
      <w:r>
        <w:rPr>
          <w:spacing w:val="-9"/>
          <w:w w:val="95"/>
        </w:rPr>
        <w:t xml:space="preserve"> </w:t>
      </w:r>
      <w:r>
        <w:rPr>
          <w:w w:val="95"/>
        </w:rPr>
        <w:t>a</w:t>
      </w:r>
      <w:r>
        <w:rPr>
          <w:spacing w:val="-9"/>
          <w:w w:val="95"/>
        </w:rPr>
        <w:t xml:space="preserve"> </w:t>
      </w:r>
      <w:r>
        <w:rPr>
          <w:w w:val="95"/>
        </w:rPr>
        <w:t>recent</w:t>
      </w:r>
      <w:r>
        <w:rPr>
          <w:spacing w:val="-9"/>
          <w:w w:val="95"/>
        </w:rPr>
        <w:t xml:space="preserve"> </w:t>
      </w:r>
      <w:r>
        <w:rPr>
          <w:w w:val="95"/>
        </w:rPr>
        <w:t>literature</w:t>
      </w:r>
      <w:r>
        <w:rPr>
          <w:spacing w:val="-9"/>
          <w:w w:val="95"/>
        </w:rPr>
        <w:t xml:space="preserve"> </w:t>
      </w:r>
      <w:r>
        <w:rPr>
          <w:w w:val="95"/>
        </w:rPr>
        <w:t>review</w:t>
      </w:r>
      <w:r>
        <w:rPr>
          <w:spacing w:val="-9"/>
          <w:w w:val="95"/>
        </w:rPr>
        <w:t xml:space="preserve"> </w:t>
      </w:r>
      <w:r>
        <w:rPr>
          <w:w w:val="95"/>
        </w:rPr>
        <w:t xml:space="preserve">of global city surveys conducted by the Sydney Business </w:t>
      </w:r>
      <w:r>
        <w:t>Chamber</w:t>
      </w:r>
      <w:r>
        <w:rPr>
          <w:spacing w:val="-6"/>
        </w:rPr>
        <w:t xml:space="preserve"> </w:t>
      </w:r>
      <w:r>
        <w:t>which</w:t>
      </w:r>
      <w:r>
        <w:rPr>
          <w:spacing w:val="-6"/>
        </w:rPr>
        <w:t xml:space="preserve"> </w:t>
      </w:r>
      <w:r>
        <w:t>noted</w:t>
      </w:r>
      <w:r>
        <w:rPr>
          <w:spacing w:val="-6"/>
        </w:rPr>
        <w:t xml:space="preserve"> </w:t>
      </w:r>
      <w:r>
        <w:t>that</w:t>
      </w:r>
      <w:r>
        <w:rPr>
          <w:spacing w:val="-6"/>
        </w:rPr>
        <w:t xml:space="preserve"> </w:t>
      </w:r>
      <w:r>
        <w:t>Sydney</w:t>
      </w:r>
      <w:r>
        <w:rPr>
          <w:spacing w:val="-6"/>
        </w:rPr>
        <w:t xml:space="preserve"> </w:t>
      </w:r>
      <w:r>
        <w:t>scored</w:t>
      </w:r>
      <w:r>
        <w:rPr>
          <w:spacing w:val="-6"/>
        </w:rPr>
        <w:t xml:space="preserve"> </w:t>
      </w:r>
      <w:r>
        <w:t>badly</w:t>
      </w:r>
      <w:r>
        <w:rPr>
          <w:spacing w:val="-6"/>
        </w:rPr>
        <w:t xml:space="preserve"> </w:t>
      </w:r>
      <w:r>
        <w:t>on the</w:t>
      </w:r>
      <w:r>
        <w:rPr>
          <w:spacing w:val="-13"/>
        </w:rPr>
        <w:t xml:space="preserve"> </w:t>
      </w:r>
      <w:r>
        <w:t>quality</w:t>
      </w:r>
      <w:r>
        <w:rPr>
          <w:spacing w:val="-13"/>
        </w:rPr>
        <w:t xml:space="preserve"> </w:t>
      </w:r>
      <w:r>
        <w:t>of</w:t>
      </w:r>
      <w:r>
        <w:rPr>
          <w:spacing w:val="-13"/>
        </w:rPr>
        <w:t xml:space="preserve"> </w:t>
      </w:r>
      <w:r>
        <w:t>its</w:t>
      </w:r>
      <w:r>
        <w:rPr>
          <w:spacing w:val="-13"/>
        </w:rPr>
        <w:t xml:space="preserve"> </w:t>
      </w:r>
      <w:r>
        <w:t>public</w:t>
      </w:r>
      <w:r>
        <w:rPr>
          <w:spacing w:val="-13"/>
        </w:rPr>
        <w:t xml:space="preserve"> </w:t>
      </w:r>
      <w:r>
        <w:t>infrastructure,</w:t>
      </w:r>
      <w:r>
        <w:rPr>
          <w:spacing w:val="-13"/>
        </w:rPr>
        <w:t xml:space="preserve"> </w:t>
      </w:r>
      <w:r>
        <w:t>particularly</w:t>
      </w:r>
      <w:r>
        <w:rPr>
          <w:spacing w:val="-13"/>
        </w:rPr>
        <w:t xml:space="preserve"> </w:t>
      </w:r>
      <w:r>
        <w:t>its transport</w:t>
      </w:r>
      <w:r>
        <w:rPr>
          <w:spacing w:val="-11"/>
        </w:rPr>
        <w:t xml:space="preserve"> </w:t>
      </w:r>
      <w:r>
        <w:t>networks.</w:t>
      </w:r>
    </w:p>
    <w:p w:rsidR="002C1123" w:rsidRDefault="00F22F94">
      <w:pPr>
        <w:pStyle w:val="Heading6"/>
        <w:numPr>
          <w:ilvl w:val="2"/>
          <w:numId w:val="122"/>
        </w:numPr>
        <w:tabs>
          <w:tab w:val="left" w:pos="853"/>
        </w:tabs>
        <w:ind w:hanging="487"/>
        <w:jc w:val="left"/>
      </w:pPr>
      <w:r>
        <w:rPr>
          <w:b w:val="0"/>
        </w:rPr>
        <w:br w:type="column"/>
      </w:r>
      <w:r>
        <w:rPr>
          <w:color w:val="EC008C"/>
          <w:spacing w:val="-2"/>
        </w:rPr>
        <w:t>The</w:t>
      </w:r>
      <w:r>
        <w:rPr>
          <w:color w:val="EC008C"/>
          <w:spacing w:val="-12"/>
        </w:rPr>
        <w:t xml:space="preserve"> </w:t>
      </w:r>
      <w:r>
        <w:rPr>
          <w:color w:val="EC008C"/>
          <w:spacing w:val="-2"/>
        </w:rPr>
        <w:t>Economy</w:t>
      </w:r>
      <w:r>
        <w:rPr>
          <w:color w:val="EC008C"/>
          <w:spacing w:val="-12"/>
        </w:rPr>
        <w:t xml:space="preserve"> </w:t>
      </w:r>
      <w:r>
        <w:rPr>
          <w:color w:val="EC008C"/>
          <w:spacing w:val="-2"/>
        </w:rPr>
        <w:t>of</w:t>
      </w:r>
      <w:r>
        <w:rPr>
          <w:color w:val="EC008C"/>
          <w:spacing w:val="-12"/>
        </w:rPr>
        <w:t xml:space="preserve"> </w:t>
      </w:r>
      <w:r>
        <w:rPr>
          <w:color w:val="EC008C"/>
          <w:spacing w:val="-2"/>
        </w:rPr>
        <w:t>Global</w:t>
      </w:r>
      <w:r>
        <w:rPr>
          <w:color w:val="EC008C"/>
          <w:spacing w:val="-12"/>
        </w:rPr>
        <w:t xml:space="preserve"> </w:t>
      </w:r>
      <w:r>
        <w:rPr>
          <w:color w:val="EC008C"/>
          <w:spacing w:val="-2"/>
        </w:rPr>
        <w:t>Sydney</w:t>
      </w:r>
    </w:p>
    <w:p w:rsidR="002C1123" w:rsidRDefault="002060EF">
      <w:pPr>
        <w:pStyle w:val="BodyText"/>
        <w:spacing w:before="95" w:line="249" w:lineRule="auto"/>
        <w:ind w:left="366" w:right="959"/>
      </w:pPr>
      <w:r>
        <w:pict>
          <v:rect id="docshape640" o:spid="_x0000_s4686" style="position:absolute;left:0;text-align:left;margin-left:49.6pt;margin-top:-9.25pt;width:491.35pt;height:281.5pt;z-index:-251513856;mso-position-horizontal-relative:page" fillcolor="#e1e0e1" stroked="f">
            <w10:wrap anchorx="page"/>
          </v:rect>
        </w:pict>
      </w:r>
      <w:r w:rsidR="00F22F94">
        <w:t>Global</w:t>
      </w:r>
      <w:r w:rsidR="00F22F94">
        <w:rPr>
          <w:spacing w:val="-10"/>
        </w:rPr>
        <w:t xml:space="preserve"> </w:t>
      </w:r>
      <w:r w:rsidR="00F22F94">
        <w:t>Sydney’s</w:t>
      </w:r>
      <w:r w:rsidR="00F22F94">
        <w:rPr>
          <w:spacing w:val="-10"/>
        </w:rPr>
        <w:t xml:space="preserve"> </w:t>
      </w:r>
      <w:r w:rsidR="00F22F94">
        <w:t>economy</w:t>
      </w:r>
      <w:r w:rsidR="00F22F94">
        <w:rPr>
          <w:spacing w:val="-10"/>
        </w:rPr>
        <w:t xml:space="preserve"> </w:t>
      </w:r>
      <w:r w:rsidR="00F22F94">
        <w:t>is</w:t>
      </w:r>
      <w:r w:rsidR="00F22F94">
        <w:rPr>
          <w:spacing w:val="-10"/>
        </w:rPr>
        <w:t xml:space="preserve"> </w:t>
      </w:r>
      <w:r w:rsidR="00F22F94">
        <w:t>disproportionate</w:t>
      </w:r>
      <w:r w:rsidR="00F22F94">
        <w:rPr>
          <w:spacing w:val="-10"/>
        </w:rPr>
        <w:t xml:space="preserve"> </w:t>
      </w:r>
      <w:r w:rsidR="00F22F94">
        <w:t>to</w:t>
      </w:r>
      <w:r w:rsidR="00F22F94">
        <w:rPr>
          <w:spacing w:val="-10"/>
        </w:rPr>
        <w:t xml:space="preserve"> </w:t>
      </w:r>
      <w:r w:rsidR="00F22F94">
        <w:t xml:space="preserve">its </w:t>
      </w:r>
      <w:r w:rsidR="00F22F94">
        <w:rPr>
          <w:spacing w:val="-2"/>
        </w:rPr>
        <w:t>relatively</w:t>
      </w:r>
      <w:r w:rsidR="00F22F94">
        <w:rPr>
          <w:spacing w:val="-6"/>
        </w:rPr>
        <w:t xml:space="preserve"> </w:t>
      </w:r>
      <w:r w:rsidR="00F22F94">
        <w:rPr>
          <w:spacing w:val="-2"/>
        </w:rPr>
        <w:t>small</w:t>
      </w:r>
      <w:r w:rsidR="00F22F94">
        <w:rPr>
          <w:spacing w:val="-6"/>
        </w:rPr>
        <w:t xml:space="preserve"> </w:t>
      </w:r>
      <w:r w:rsidR="00F22F94">
        <w:rPr>
          <w:spacing w:val="-2"/>
        </w:rPr>
        <w:t>geographic</w:t>
      </w:r>
      <w:r w:rsidR="00F22F94">
        <w:rPr>
          <w:spacing w:val="-6"/>
        </w:rPr>
        <w:t xml:space="preserve"> </w:t>
      </w:r>
      <w:r w:rsidR="00F22F94">
        <w:rPr>
          <w:spacing w:val="-2"/>
        </w:rPr>
        <w:t>size.</w:t>
      </w:r>
      <w:r w:rsidR="00F22F94">
        <w:rPr>
          <w:spacing w:val="-6"/>
        </w:rPr>
        <w:t xml:space="preserve"> </w:t>
      </w:r>
      <w:r w:rsidR="00F22F94">
        <w:rPr>
          <w:spacing w:val="-2"/>
        </w:rPr>
        <w:t>This</w:t>
      </w:r>
      <w:r w:rsidR="00F22F94">
        <w:rPr>
          <w:spacing w:val="-6"/>
        </w:rPr>
        <w:t xml:space="preserve"> </w:t>
      </w:r>
      <w:r w:rsidR="00F22F94">
        <w:rPr>
          <w:spacing w:val="-2"/>
        </w:rPr>
        <w:t>high</w:t>
      </w:r>
      <w:r w:rsidR="00F22F94">
        <w:rPr>
          <w:spacing w:val="-6"/>
        </w:rPr>
        <w:t xml:space="preserve"> </w:t>
      </w:r>
      <w:r w:rsidR="00F22F94">
        <w:rPr>
          <w:spacing w:val="-2"/>
        </w:rPr>
        <w:t xml:space="preserve">density </w:t>
      </w:r>
      <w:r w:rsidR="00F22F94">
        <w:rPr>
          <w:w w:val="95"/>
        </w:rPr>
        <w:t>economic</w:t>
      </w:r>
      <w:r w:rsidR="00F22F94">
        <w:rPr>
          <w:spacing w:val="-9"/>
          <w:w w:val="95"/>
        </w:rPr>
        <w:t xml:space="preserve"> </w:t>
      </w:r>
      <w:r w:rsidR="00F22F94">
        <w:rPr>
          <w:w w:val="95"/>
        </w:rPr>
        <w:t>cluster,</w:t>
      </w:r>
      <w:r w:rsidR="00F22F94">
        <w:rPr>
          <w:spacing w:val="-9"/>
          <w:w w:val="95"/>
        </w:rPr>
        <w:t xml:space="preserve"> </w:t>
      </w:r>
      <w:r w:rsidR="00F22F94">
        <w:rPr>
          <w:w w:val="95"/>
        </w:rPr>
        <w:t>unique</w:t>
      </w:r>
      <w:r w:rsidR="00F22F94">
        <w:rPr>
          <w:spacing w:val="-9"/>
          <w:w w:val="95"/>
        </w:rPr>
        <w:t xml:space="preserve"> </w:t>
      </w:r>
      <w:r w:rsidR="00F22F94">
        <w:rPr>
          <w:w w:val="95"/>
        </w:rPr>
        <w:t>in</w:t>
      </w:r>
      <w:r w:rsidR="00F22F94">
        <w:rPr>
          <w:spacing w:val="-9"/>
          <w:w w:val="95"/>
        </w:rPr>
        <w:t xml:space="preserve"> </w:t>
      </w:r>
      <w:r w:rsidR="00F22F94">
        <w:rPr>
          <w:w w:val="95"/>
        </w:rPr>
        <w:t>Australia,</w:t>
      </w:r>
      <w:r w:rsidR="00F22F94">
        <w:rPr>
          <w:spacing w:val="-9"/>
          <w:w w:val="95"/>
        </w:rPr>
        <w:t xml:space="preserve"> </w:t>
      </w:r>
      <w:r w:rsidR="00F22F94">
        <w:rPr>
          <w:w w:val="95"/>
        </w:rPr>
        <w:t>is</w:t>
      </w:r>
      <w:r w:rsidR="00F22F94">
        <w:rPr>
          <w:spacing w:val="-9"/>
          <w:w w:val="95"/>
        </w:rPr>
        <w:t xml:space="preserve"> </w:t>
      </w:r>
      <w:r w:rsidR="00F22F94">
        <w:rPr>
          <w:w w:val="95"/>
        </w:rPr>
        <w:t>central</w:t>
      </w:r>
      <w:r w:rsidR="00F22F94">
        <w:rPr>
          <w:spacing w:val="-9"/>
          <w:w w:val="95"/>
        </w:rPr>
        <w:t xml:space="preserve"> </w:t>
      </w:r>
      <w:r w:rsidR="00F22F94">
        <w:rPr>
          <w:w w:val="95"/>
        </w:rPr>
        <w:t>to</w:t>
      </w:r>
      <w:r w:rsidR="00F22F94">
        <w:rPr>
          <w:spacing w:val="-9"/>
          <w:w w:val="95"/>
        </w:rPr>
        <w:t xml:space="preserve"> </w:t>
      </w:r>
      <w:r w:rsidR="00F22F94">
        <w:rPr>
          <w:w w:val="95"/>
        </w:rPr>
        <w:t xml:space="preserve">the </w:t>
      </w:r>
      <w:r w:rsidR="00F22F94">
        <w:t>success</w:t>
      </w:r>
      <w:r w:rsidR="00F22F94">
        <w:rPr>
          <w:spacing w:val="-1"/>
        </w:rPr>
        <w:t xml:space="preserve"> </w:t>
      </w:r>
      <w:r w:rsidR="00F22F94">
        <w:t>of</w:t>
      </w:r>
      <w:r w:rsidR="00F22F94">
        <w:rPr>
          <w:spacing w:val="-1"/>
        </w:rPr>
        <w:t xml:space="preserve"> </w:t>
      </w:r>
      <w:r w:rsidR="00F22F94">
        <w:t>both</w:t>
      </w:r>
      <w:r w:rsidR="00F22F94">
        <w:rPr>
          <w:spacing w:val="-1"/>
        </w:rPr>
        <w:t xml:space="preserve"> </w:t>
      </w:r>
      <w:r w:rsidR="00F22F94">
        <w:t>the</w:t>
      </w:r>
      <w:r w:rsidR="00F22F94">
        <w:rPr>
          <w:spacing w:val="-1"/>
        </w:rPr>
        <w:t xml:space="preserve"> </w:t>
      </w:r>
      <w:r w:rsidR="00F22F94">
        <w:t>State</w:t>
      </w:r>
      <w:r w:rsidR="00F22F94">
        <w:rPr>
          <w:spacing w:val="-1"/>
        </w:rPr>
        <w:t xml:space="preserve"> </w:t>
      </w:r>
      <w:r w:rsidR="00F22F94">
        <w:t>and</w:t>
      </w:r>
      <w:r w:rsidR="00F22F94">
        <w:rPr>
          <w:spacing w:val="-1"/>
        </w:rPr>
        <w:t xml:space="preserve"> </w:t>
      </w:r>
      <w:r w:rsidR="00F22F94">
        <w:t>nation.</w:t>
      </w:r>
    </w:p>
    <w:p w:rsidR="002C1123" w:rsidRDefault="00F22F94">
      <w:pPr>
        <w:pStyle w:val="BodyText"/>
        <w:spacing w:before="145" w:line="249" w:lineRule="auto"/>
        <w:ind w:left="366" w:right="815" w:hanging="1"/>
      </w:pPr>
      <w:r>
        <w:t>Global</w:t>
      </w:r>
      <w:r>
        <w:rPr>
          <w:spacing w:val="-14"/>
        </w:rPr>
        <w:t xml:space="preserve"> </w:t>
      </w:r>
      <w:r>
        <w:t>Sydney</w:t>
      </w:r>
      <w:r>
        <w:rPr>
          <w:spacing w:val="-14"/>
        </w:rPr>
        <w:t xml:space="preserve"> </w:t>
      </w:r>
      <w:r>
        <w:t>employs</w:t>
      </w:r>
      <w:r>
        <w:rPr>
          <w:spacing w:val="-14"/>
        </w:rPr>
        <w:t xml:space="preserve"> </w:t>
      </w:r>
      <w:r>
        <w:t>over</w:t>
      </w:r>
      <w:r>
        <w:rPr>
          <w:spacing w:val="-14"/>
        </w:rPr>
        <w:t xml:space="preserve"> </w:t>
      </w:r>
      <w:r>
        <w:t>1</w:t>
      </w:r>
      <w:r>
        <w:rPr>
          <w:spacing w:val="-14"/>
        </w:rPr>
        <w:t xml:space="preserve"> </w:t>
      </w:r>
      <w:r>
        <w:t>million</w:t>
      </w:r>
      <w:r>
        <w:rPr>
          <w:spacing w:val="-14"/>
        </w:rPr>
        <w:t xml:space="preserve"> </w:t>
      </w:r>
      <w:r>
        <w:t>people</w:t>
      </w:r>
      <w:r>
        <w:rPr>
          <w:position w:val="7"/>
          <w:sz w:val="11"/>
        </w:rPr>
        <w:t>10</w:t>
      </w:r>
      <w:r>
        <w:t xml:space="preserve">. </w:t>
      </w:r>
      <w:r>
        <w:rPr>
          <w:w w:val="95"/>
        </w:rPr>
        <w:t>Geographically,</w:t>
      </w:r>
      <w:r>
        <w:rPr>
          <w:spacing w:val="-3"/>
          <w:w w:val="95"/>
        </w:rPr>
        <w:t xml:space="preserve"> </w:t>
      </w:r>
      <w:r>
        <w:rPr>
          <w:w w:val="95"/>
        </w:rPr>
        <w:t>Global</w:t>
      </w:r>
      <w:r>
        <w:rPr>
          <w:spacing w:val="-3"/>
          <w:w w:val="95"/>
        </w:rPr>
        <w:t xml:space="preserve"> </w:t>
      </w:r>
      <w:r>
        <w:rPr>
          <w:w w:val="95"/>
        </w:rPr>
        <w:t>Sydney</w:t>
      </w:r>
      <w:r>
        <w:rPr>
          <w:spacing w:val="-3"/>
          <w:w w:val="95"/>
        </w:rPr>
        <w:t xml:space="preserve"> </w:t>
      </w:r>
      <w:r>
        <w:rPr>
          <w:w w:val="95"/>
        </w:rPr>
        <w:t>contains</w:t>
      </w:r>
      <w:r>
        <w:rPr>
          <w:spacing w:val="-3"/>
          <w:w w:val="95"/>
        </w:rPr>
        <w:t xml:space="preserve"> </w:t>
      </w:r>
      <w:r>
        <w:rPr>
          <w:w w:val="95"/>
        </w:rPr>
        <w:t>the</w:t>
      </w:r>
      <w:r>
        <w:rPr>
          <w:spacing w:val="-3"/>
          <w:w w:val="95"/>
        </w:rPr>
        <w:t xml:space="preserve"> </w:t>
      </w:r>
      <w:r>
        <w:rPr>
          <w:w w:val="95"/>
        </w:rPr>
        <w:t xml:space="preserve">economic </w:t>
      </w:r>
      <w:r>
        <w:t>and</w:t>
      </w:r>
      <w:r>
        <w:rPr>
          <w:spacing w:val="-8"/>
        </w:rPr>
        <w:t xml:space="preserve"> </w:t>
      </w:r>
      <w:r>
        <w:t>cultural</w:t>
      </w:r>
      <w:r>
        <w:rPr>
          <w:spacing w:val="-8"/>
        </w:rPr>
        <w:t xml:space="preserve"> </w:t>
      </w:r>
      <w:r>
        <w:t>corridor</w:t>
      </w:r>
      <w:r>
        <w:rPr>
          <w:spacing w:val="-8"/>
        </w:rPr>
        <w:t xml:space="preserve"> </w:t>
      </w:r>
      <w:r>
        <w:t>that</w:t>
      </w:r>
      <w:r>
        <w:rPr>
          <w:spacing w:val="-8"/>
        </w:rPr>
        <w:t xml:space="preserve"> </w:t>
      </w:r>
      <w:r>
        <w:t>runs</w:t>
      </w:r>
      <w:r>
        <w:rPr>
          <w:spacing w:val="-8"/>
        </w:rPr>
        <w:t xml:space="preserve"> </w:t>
      </w:r>
      <w:r>
        <w:t>from</w:t>
      </w:r>
      <w:r>
        <w:rPr>
          <w:spacing w:val="-9"/>
        </w:rPr>
        <w:t xml:space="preserve"> </w:t>
      </w:r>
      <w:r>
        <w:t>Macquarie</w:t>
      </w:r>
      <w:r>
        <w:rPr>
          <w:spacing w:val="-8"/>
        </w:rPr>
        <w:t xml:space="preserve"> </w:t>
      </w:r>
      <w:r>
        <w:t>Park through</w:t>
      </w:r>
      <w:r>
        <w:rPr>
          <w:spacing w:val="-9"/>
        </w:rPr>
        <w:t xml:space="preserve"> </w:t>
      </w:r>
      <w:r>
        <w:t>North</w:t>
      </w:r>
      <w:r>
        <w:rPr>
          <w:spacing w:val="-9"/>
        </w:rPr>
        <w:t xml:space="preserve"> </w:t>
      </w:r>
      <w:r>
        <w:t>Sydney</w:t>
      </w:r>
      <w:r>
        <w:rPr>
          <w:spacing w:val="-9"/>
        </w:rPr>
        <w:t xml:space="preserve"> </w:t>
      </w:r>
      <w:r>
        <w:t>and</w:t>
      </w:r>
      <w:r>
        <w:rPr>
          <w:spacing w:val="-9"/>
        </w:rPr>
        <w:t xml:space="preserve"> </w:t>
      </w:r>
      <w:r>
        <w:t>the</w:t>
      </w:r>
      <w:r>
        <w:rPr>
          <w:spacing w:val="-9"/>
        </w:rPr>
        <w:t xml:space="preserve"> </w:t>
      </w:r>
      <w:r>
        <w:t>Sydney</w:t>
      </w:r>
      <w:r>
        <w:rPr>
          <w:spacing w:val="-9"/>
        </w:rPr>
        <w:t xml:space="preserve"> </w:t>
      </w:r>
      <w:r>
        <w:t>CBD</w:t>
      </w:r>
      <w:r>
        <w:rPr>
          <w:spacing w:val="-9"/>
        </w:rPr>
        <w:t xml:space="preserve"> </w:t>
      </w:r>
      <w:r>
        <w:t>to</w:t>
      </w:r>
      <w:r>
        <w:rPr>
          <w:spacing w:val="-9"/>
        </w:rPr>
        <w:t xml:space="preserve"> </w:t>
      </w:r>
      <w:r>
        <w:t>the Port</w:t>
      </w:r>
      <w:r>
        <w:rPr>
          <w:spacing w:val="-9"/>
        </w:rPr>
        <w:t xml:space="preserve"> </w:t>
      </w:r>
      <w:r>
        <w:t>and</w:t>
      </w:r>
      <w:r>
        <w:rPr>
          <w:spacing w:val="-9"/>
        </w:rPr>
        <w:t xml:space="preserve"> </w:t>
      </w:r>
      <w:r>
        <w:t>Airport</w:t>
      </w:r>
      <w:r>
        <w:rPr>
          <w:spacing w:val="-9"/>
        </w:rPr>
        <w:t xml:space="preserve"> </w:t>
      </w:r>
      <w:r>
        <w:t>Precinct</w:t>
      </w:r>
      <w:r>
        <w:rPr>
          <w:spacing w:val="-9"/>
        </w:rPr>
        <w:t xml:space="preserve"> </w:t>
      </w:r>
      <w:r>
        <w:t>as</w:t>
      </w:r>
      <w:r>
        <w:rPr>
          <w:spacing w:val="-9"/>
        </w:rPr>
        <w:t xml:space="preserve"> </w:t>
      </w:r>
      <w:r>
        <w:t>shown</w:t>
      </w:r>
      <w:r>
        <w:rPr>
          <w:spacing w:val="-9"/>
        </w:rPr>
        <w:t xml:space="preserve"> </w:t>
      </w:r>
      <w:r>
        <w:t>in</w:t>
      </w:r>
      <w:r>
        <w:rPr>
          <w:spacing w:val="-9"/>
        </w:rPr>
        <w:t xml:space="preserve"> </w:t>
      </w:r>
      <w:r>
        <w:t>Figure</w:t>
      </w:r>
      <w:r>
        <w:rPr>
          <w:spacing w:val="-9"/>
        </w:rPr>
        <w:t xml:space="preserve"> </w:t>
      </w:r>
      <w:r>
        <w:t>3.2.</w:t>
      </w:r>
    </w:p>
    <w:p w:rsidR="002C1123" w:rsidRDefault="00F22F94">
      <w:pPr>
        <w:pStyle w:val="BodyText"/>
        <w:spacing w:before="146" w:line="249" w:lineRule="auto"/>
        <w:ind w:left="366" w:right="959"/>
      </w:pPr>
      <w:r>
        <w:t>This</w:t>
      </w:r>
      <w:r>
        <w:rPr>
          <w:spacing w:val="-12"/>
        </w:rPr>
        <w:t xml:space="preserve"> </w:t>
      </w:r>
      <w:r>
        <w:t>is</w:t>
      </w:r>
      <w:r>
        <w:rPr>
          <w:spacing w:val="-12"/>
        </w:rPr>
        <w:t xml:space="preserve"> </w:t>
      </w:r>
      <w:r>
        <w:t>where</w:t>
      </w:r>
      <w:r>
        <w:rPr>
          <w:spacing w:val="-12"/>
        </w:rPr>
        <w:t xml:space="preserve"> </w:t>
      </w:r>
      <w:r>
        <w:t>many</w:t>
      </w:r>
      <w:r>
        <w:rPr>
          <w:spacing w:val="-12"/>
        </w:rPr>
        <w:t xml:space="preserve"> </w:t>
      </w:r>
      <w:r>
        <w:t>of</w:t>
      </w:r>
      <w:r>
        <w:rPr>
          <w:spacing w:val="-12"/>
        </w:rPr>
        <w:t xml:space="preserve"> </w:t>
      </w:r>
      <w:r>
        <w:t>the</w:t>
      </w:r>
      <w:r>
        <w:rPr>
          <w:spacing w:val="-12"/>
        </w:rPr>
        <w:t xml:space="preserve"> </w:t>
      </w:r>
      <w:r>
        <w:t>industries</w:t>
      </w:r>
      <w:r>
        <w:rPr>
          <w:spacing w:val="-12"/>
        </w:rPr>
        <w:t xml:space="preserve"> </w:t>
      </w:r>
      <w:r>
        <w:t>that</w:t>
      </w:r>
      <w:r>
        <w:rPr>
          <w:spacing w:val="-12"/>
        </w:rPr>
        <w:t xml:space="preserve"> </w:t>
      </w:r>
      <w:r>
        <w:t xml:space="preserve">contribute </w:t>
      </w:r>
      <w:r>
        <w:rPr>
          <w:w w:val="95"/>
        </w:rPr>
        <w:t>to</w:t>
      </w:r>
      <w:r>
        <w:rPr>
          <w:spacing w:val="-8"/>
          <w:w w:val="95"/>
        </w:rPr>
        <w:t xml:space="preserve"> </w:t>
      </w:r>
      <w:r>
        <w:rPr>
          <w:w w:val="95"/>
        </w:rPr>
        <w:t>Sydney’s</w:t>
      </w:r>
      <w:r>
        <w:rPr>
          <w:spacing w:val="-8"/>
          <w:w w:val="95"/>
        </w:rPr>
        <w:t xml:space="preserve"> </w:t>
      </w:r>
      <w:r>
        <w:rPr>
          <w:w w:val="95"/>
        </w:rPr>
        <w:t>global</w:t>
      </w:r>
      <w:r>
        <w:rPr>
          <w:spacing w:val="-8"/>
          <w:w w:val="95"/>
        </w:rPr>
        <w:t xml:space="preserve"> </w:t>
      </w:r>
      <w:r>
        <w:rPr>
          <w:w w:val="95"/>
        </w:rPr>
        <w:t>significance</w:t>
      </w:r>
      <w:r>
        <w:rPr>
          <w:spacing w:val="-8"/>
          <w:w w:val="95"/>
        </w:rPr>
        <w:t xml:space="preserve"> </w:t>
      </w:r>
      <w:r>
        <w:rPr>
          <w:w w:val="95"/>
        </w:rPr>
        <w:t>–</w:t>
      </w:r>
      <w:r>
        <w:rPr>
          <w:spacing w:val="-8"/>
          <w:w w:val="95"/>
        </w:rPr>
        <w:t xml:space="preserve"> </w:t>
      </w:r>
      <w:r>
        <w:rPr>
          <w:w w:val="95"/>
        </w:rPr>
        <w:t>finance,</w:t>
      </w:r>
      <w:r>
        <w:rPr>
          <w:spacing w:val="-8"/>
          <w:w w:val="95"/>
        </w:rPr>
        <w:t xml:space="preserve"> </w:t>
      </w:r>
      <w:r>
        <w:rPr>
          <w:w w:val="95"/>
        </w:rPr>
        <w:t>technology,</w:t>
      </w:r>
    </w:p>
    <w:p w:rsidR="002C1123" w:rsidRDefault="00F22F94">
      <w:pPr>
        <w:pStyle w:val="BodyText"/>
        <w:spacing w:before="1" w:line="249" w:lineRule="auto"/>
        <w:ind w:left="366" w:right="561"/>
      </w:pPr>
      <w:r>
        <w:rPr>
          <w:w w:val="95"/>
        </w:rPr>
        <w:t>higher</w:t>
      </w:r>
      <w:r>
        <w:rPr>
          <w:spacing w:val="-5"/>
          <w:w w:val="95"/>
        </w:rPr>
        <w:t xml:space="preserve"> </w:t>
      </w:r>
      <w:r>
        <w:rPr>
          <w:w w:val="95"/>
        </w:rPr>
        <w:t>education,</w:t>
      </w:r>
      <w:r>
        <w:rPr>
          <w:spacing w:val="-5"/>
          <w:w w:val="95"/>
        </w:rPr>
        <w:t xml:space="preserve"> </w:t>
      </w:r>
      <w:r>
        <w:rPr>
          <w:w w:val="95"/>
        </w:rPr>
        <w:t>health</w:t>
      </w:r>
      <w:r>
        <w:rPr>
          <w:spacing w:val="-5"/>
          <w:w w:val="95"/>
        </w:rPr>
        <w:t xml:space="preserve"> </w:t>
      </w:r>
      <w:r>
        <w:rPr>
          <w:w w:val="95"/>
        </w:rPr>
        <w:t>and</w:t>
      </w:r>
      <w:r>
        <w:rPr>
          <w:spacing w:val="-5"/>
          <w:w w:val="95"/>
        </w:rPr>
        <w:t xml:space="preserve"> </w:t>
      </w:r>
      <w:r>
        <w:rPr>
          <w:w w:val="95"/>
        </w:rPr>
        <w:t>other</w:t>
      </w:r>
      <w:r>
        <w:rPr>
          <w:spacing w:val="-5"/>
          <w:w w:val="95"/>
        </w:rPr>
        <w:t xml:space="preserve"> </w:t>
      </w:r>
      <w:r>
        <w:rPr>
          <w:w w:val="95"/>
        </w:rPr>
        <w:t>service</w:t>
      </w:r>
      <w:r>
        <w:rPr>
          <w:spacing w:val="-5"/>
          <w:w w:val="95"/>
        </w:rPr>
        <w:t xml:space="preserve"> </w:t>
      </w:r>
      <w:r>
        <w:rPr>
          <w:w w:val="95"/>
        </w:rPr>
        <w:t>areas</w:t>
      </w:r>
      <w:r>
        <w:rPr>
          <w:spacing w:val="-5"/>
          <w:w w:val="95"/>
        </w:rPr>
        <w:t xml:space="preserve"> </w:t>
      </w:r>
      <w:r>
        <w:rPr>
          <w:w w:val="95"/>
        </w:rPr>
        <w:t xml:space="preserve">where </w:t>
      </w:r>
      <w:r>
        <w:t>knowledge</w:t>
      </w:r>
      <w:r>
        <w:rPr>
          <w:spacing w:val="-14"/>
        </w:rPr>
        <w:t xml:space="preserve"> </w:t>
      </w:r>
      <w:r>
        <w:t>and</w:t>
      </w:r>
      <w:r>
        <w:rPr>
          <w:spacing w:val="-14"/>
        </w:rPr>
        <w:t xml:space="preserve"> </w:t>
      </w:r>
      <w:r>
        <w:t>expertise</w:t>
      </w:r>
      <w:r>
        <w:rPr>
          <w:spacing w:val="-14"/>
        </w:rPr>
        <w:t xml:space="preserve"> </w:t>
      </w:r>
      <w:r>
        <w:t>create</w:t>
      </w:r>
      <w:r>
        <w:rPr>
          <w:spacing w:val="-14"/>
        </w:rPr>
        <w:t xml:space="preserve"> </w:t>
      </w:r>
      <w:r>
        <w:t>value</w:t>
      </w:r>
      <w:r>
        <w:rPr>
          <w:spacing w:val="-14"/>
        </w:rPr>
        <w:t xml:space="preserve"> </w:t>
      </w:r>
      <w:r>
        <w:t>–</w:t>
      </w:r>
      <w:r>
        <w:rPr>
          <w:spacing w:val="-14"/>
        </w:rPr>
        <w:t xml:space="preserve"> </w:t>
      </w:r>
      <w:r>
        <w:t>are</w:t>
      </w:r>
      <w:r>
        <w:rPr>
          <w:spacing w:val="-14"/>
        </w:rPr>
        <w:t xml:space="preserve"> </w:t>
      </w:r>
      <w:r>
        <w:t>located.</w:t>
      </w:r>
    </w:p>
    <w:p w:rsidR="002C1123" w:rsidRDefault="00F22F94">
      <w:pPr>
        <w:pStyle w:val="BodyText"/>
        <w:spacing w:before="144" w:line="249" w:lineRule="auto"/>
        <w:ind w:left="366" w:right="561"/>
      </w:pPr>
      <w:r>
        <w:rPr>
          <w:w w:val="95"/>
        </w:rPr>
        <w:t>At</w:t>
      </w:r>
      <w:r>
        <w:rPr>
          <w:spacing w:val="-7"/>
          <w:w w:val="95"/>
        </w:rPr>
        <w:t xml:space="preserve"> </w:t>
      </w:r>
      <w:r>
        <w:rPr>
          <w:w w:val="95"/>
        </w:rPr>
        <w:t>Macquarie</w:t>
      </w:r>
      <w:r>
        <w:rPr>
          <w:spacing w:val="-7"/>
          <w:w w:val="95"/>
        </w:rPr>
        <w:t xml:space="preserve"> </w:t>
      </w:r>
      <w:r>
        <w:rPr>
          <w:w w:val="95"/>
        </w:rPr>
        <w:t>Park</w:t>
      </w:r>
      <w:r>
        <w:rPr>
          <w:spacing w:val="-7"/>
          <w:w w:val="95"/>
        </w:rPr>
        <w:t xml:space="preserve"> </w:t>
      </w:r>
      <w:r>
        <w:rPr>
          <w:w w:val="95"/>
        </w:rPr>
        <w:t>there</w:t>
      </w:r>
      <w:r>
        <w:rPr>
          <w:spacing w:val="-7"/>
          <w:w w:val="95"/>
        </w:rPr>
        <w:t xml:space="preserve"> </w:t>
      </w:r>
      <w:r>
        <w:rPr>
          <w:w w:val="95"/>
        </w:rPr>
        <w:t>is</w:t>
      </w:r>
      <w:r>
        <w:rPr>
          <w:spacing w:val="-7"/>
          <w:w w:val="95"/>
        </w:rPr>
        <w:t xml:space="preserve"> </w:t>
      </w:r>
      <w:r>
        <w:rPr>
          <w:w w:val="95"/>
        </w:rPr>
        <w:t>a</w:t>
      </w:r>
      <w:r>
        <w:rPr>
          <w:spacing w:val="-7"/>
          <w:w w:val="95"/>
        </w:rPr>
        <w:t xml:space="preserve"> </w:t>
      </w:r>
      <w:r>
        <w:rPr>
          <w:w w:val="95"/>
        </w:rPr>
        <w:t>high</w:t>
      </w:r>
      <w:r>
        <w:rPr>
          <w:spacing w:val="-7"/>
          <w:w w:val="95"/>
        </w:rPr>
        <w:t xml:space="preserve"> </w:t>
      </w:r>
      <w:r>
        <w:rPr>
          <w:w w:val="95"/>
        </w:rPr>
        <w:t>concentration</w:t>
      </w:r>
      <w:r>
        <w:rPr>
          <w:spacing w:val="-7"/>
          <w:w w:val="95"/>
        </w:rPr>
        <w:t xml:space="preserve"> </w:t>
      </w:r>
      <w:r>
        <w:rPr>
          <w:w w:val="95"/>
        </w:rPr>
        <w:t>of</w:t>
      </w:r>
      <w:r>
        <w:rPr>
          <w:spacing w:val="-7"/>
          <w:w w:val="95"/>
        </w:rPr>
        <w:t xml:space="preserve"> </w:t>
      </w:r>
      <w:r>
        <w:rPr>
          <w:w w:val="95"/>
        </w:rPr>
        <w:t>IT</w:t>
      </w:r>
      <w:r>
        <w:rPr>
          <w:spacing w:val="-7"/>
          <w:w w:val="95"/>
        </w:rPr>
        <w:t xml:space="preserve"> </w:t>
      </w:r>
      <w:r>
        <w:rPr>
          <w:w w:val="95"/>
        </w:rPr>
        <w:t xml:space="preserve">and </w:t>
      </w:r>
      <w:r>
        <w:t>pharmaceutical</w:t>
      </w:r>
      <w:r>
        <w:rPr>
          <w:spacing w:val="-12"/>
        </w:rPr>
        <w:t xml:space="preserve"> </w:t>
      </w:r>
      <w:r>
        <w:t>sector</w:t>
      </w:r>
      <w:r>
        <w:rPr>
          <w:spacing w:val="-12"/>
        </w:rPr>
        <w:t xml:space="preserve"> </w:t>
      </w:r>
      <w:r>
        <w:t>leaders,</w:t>
      </w:r>
      <w:r>
        <w:rPr>
          <w:spacing w:val="-12"/>
        </w:rPr>
        <w:t xml:space="preserve"> </w:t>
      </w:r>
      <w:r>
        <w:t>as</w:t>
      </w:r>
      <w:r>
        <w:rPr>
          <w:spacing w:val="-12"/>
        </w:rPr>
        <w:t xml:space="preserve"> </w:t>
      </w:r>
      <w:r>
        <w:t>well</w:t>
      </w:r>
      <w:r>
        <w:rPr>
          <w:spacing w:val="-12"/>
        </w:rPr>
        <w:t xml:space="preserve"> </w:t>
      </w:r>
      <w:r>
        <w:t>as</w:t>
      </w:r>
      <w:r>
        <w:rPr>
          <w:spacing w:val="-12"/>
        </w:rPr>
        <w:t xml:space="preserve"> </w:t>
      </w:r>
      <w:r>
        <w:t xml:space="preserve">Macquarie </w:t>
      </w:r>
      <w:r>
        <w:rPr>
          <w:spacing w:val="-2"/>
        </w:rPr>
        <w:t>University.</w:t>
      </w:r>
    </w:p>
    <w:p w:rsidR="002C1123" w:rsidRDefault="00F22F94">
      <w:pPr>
        <w:pStyle w:val="BodyText"/>
        <w:spacing w:before="144" w:line="249" w:lineRule="auto"/>
        <w:ind w:left="366" w:right="1193"/>
        <w:jc w:val="both"/>
      </w:pPr>
      <w:r>
        <w:rPr>
          <w:w w:val="95"/>
        </w:rPr>
        <w:t>The</w:t>
      </w:r>
      <w:r>
        <w:rPr>
          <w:spacing w:val="-8"/>
          <w:w w:val="95"/>
        </w:rPr>
        <w:t xml:space="preserve"> </w:t>
      </w:r>
      <w:r>
        <w:rPr>
          <w:w w:val="95"/>
        </w:rPr>
        <w:t>Sydney</w:t>
      </w:r>
      <w:r>
        <w:rPr>
          <w:spacing w:val="-8"/>
          <w:w w:val="95"/>
        </w:rPr>
        <w:t xml:space="preserve"> </w:t>
      </w:r>
      <w:r>
        <w:rPr>
          <w:w w:val="95"/>
        </w:rPr>
        <w:t>CBD</w:t>
      </w:r>
      <w:r>
        <w:rPr>
          <w:spacing w:val="-8"/>
          <w:w w:val="95"/>
        </w:rPr>
        <w:t xml:space="preserve"> </w:t>
      </w:r>
      <w:r>
        <w:rPr>
          <w:w w:val="95"/>
        </w:rPr>
        <w:t>and</w:t>
      </w:r>
      <w:r>
        <w:rPr>
          <w:spacing w:val="-8"/>
          <w:w w:val="95"/>
        </w:rPr>
        <w:t xml:space="preserve"> </w:t>
      </w:r>
      <w:r>
        <w:rPr>
          <w:w w:val="95"/>
        </w:rPr>
        <w:t>North</w:t>
      </w:r>
      <w:r>
        <w:rPr>
          <w:spacing w:val="-8"/>
          <w:w w:val="95"/>
        </w:rPr>
        <w:t xml:space="preserve"> </w:t>
      </w:r>
      <w:r>
        <w:rPr>
          <w:w w:val="95"/>
        </w:rPr>
        <w:t>Sydney</w:t>
      </w:r>
      <w:r>
        <w:rPr>
          <w:spacing w:val="-8"/>
          <w:w w:val="95"/>
        </w:rPr>
        <w:t xml:space="preserve"> </w:t>
      </w:r>
      <w:r>
        <w:rPr>
          <w:w w:val="95"/>
        </w:rPr>
        <w:t>area</w:t>
      </w:r>
      <w:r>
        <w:rPr>
          <w:spacing w:val="-8"/>
          <w:w w:val="95"/>
        </w:rPr>
        <w:t xml:space="preserve"> </w:t>
      </w:r>
      <w:r>
        <w:rPr>
          <w:w w:val="95"/>
        </w:rPr>
        <w:t>is</w:t>
      </w:r>
      <w:r>
        <w:rPr>
          <w:spacing w:val="-8"/>
          <w:w w:val="95"/>
        </w:rPr>
        <w:t xml:space="preserve"> </w:t>
      </w:r>
      <w:r>
        <w:rPr>
          <w:w w:val="95"/>
        </w:rPr>
        <w:t>the</w:t>
      </w:r>
      <w:r>
        <w:rPr>
          <w:spacing w:val="-8"/>
          <w:w w:val="95"/>
        </w:rPr>
        <w:t xml:space="preserve"> </w:t>
      </w:r>
      <w:r>
        <w:rPr>
          <w:w w:val="95"/>
        </w:rPr>
        <w:t>hub of the banking, financial services, insurance, funds</w:t>
      </w:r>
    </w:p>
    <w:p w:rsidR="002C1123" w:rsidRDefault="00F22F94">
      <w:pPr>
        <w:pStyle w:val="BodyText"/>
        <w:spacing w:before="2" w:line="249" w:lineRule="auto"/>
        <w:ind w:left="366" w:right="739"/>
        <w:jc w:val="both"/>
      </w:pPr>
      <w:r>
        <w:rPr>
          <w:w w:val="95"/>
        </w:rPr>
        <w:t>management</w:t>
      </w:r>
      <w:r>
        <w:rPr>
          <w:spacing w:val="-4"/>
          <w:w w:val="95"/>
        </w:rPr>
        <w:t xml:space="preserve"> </w:t>
      </w:r>
      <w:r>
        <w:rPr>
          <w:w w:val="95"/>
        </w:rPr>
        <w:t>and</w:t>
      </w:r>
      <w:r>
        <w:rPr>
          <w:spacing w:val="-4"/>
          <w:w w:val="95"/>
        </w:rPr>
        <w:t xml:space="preserve"> </w:t>
      </w:r>
      <w:r>
        <w:rPr>
          <w:w w:val="95"/>
        </w:rPr>
        <w:t>superannuation</w:t>
      </w:r>
      <w:r>
        <w:rPr>
          <w:spacing w:val="-4"/>
          <w:w w:val="95"/>
        </w:rPr>
        <w:t xml:space="preserve"> </w:t>
      </w:r>
      <w:r>
        <w:rPr>
          <w:w w:val="95"/>
        </w:rPr>
        <w:t>industries</w:t>
      </w:r>
      <w:r>
        <w:rPr>
          <w:spacing w:val="-4"/>
          <w:w w:val="95"/>
        </w:rPr>
        <w:t xml:space="preserve"> </w:t>
      </w:r>
      <w:r>
        <w:rPr>
          <w:w w:val="95"/>
        </w:rPr>
        <w:t>in</w:t>
      </w:r>
      <w:r>
        <w:rPr>
          <w:spacing w:val="-4"/>
          <w:w w:val="95"/>
        </w:rPr>
        <w:t xml:space="preserve"> </w:t>
      </w:r>
      <w:r>
        <w:rPr>
          <w:w w:val="95"/>
        </w:rPr>
        <w:t>Australia. The</w:t>
      </w:r>
      <w:r>
        <w:rPr>
          <w:spacing w:val="-5"/>
          <w:w w:val="95"/>
        </w:rPr>
        <w:t xml:space="preserve"> </w:t>
      </w:r>
      <w:r>
        <w:rPr>
          <w:w w:val="95"/>
        </w:rPr>
        <w:t>industries</w:t>
      </w:r>
      <w:r>
        <w:rPr>
          <w:spacing w:val="-5"/>
          <w:w w:val="95"/>
        </w:rPr>
        <w:t xml:space="preserve"> </w:t>
      </w:r>
      <w:r>
        <w:rPr>
          <w:w w:val="95"/>
        </w:rPr>
        <w:t>concentrated</w:t>
      </w:r>
      <w:r>
        <w:rPr>
          <w:spacing w:val="-5"/>
          <w:w w:val="95"/>
        </w:rPr>
        <w:t xml:space="preserve"> </w:t>
      </w:r>
      <w:r>
        <w:rPr>
          <w:w w:val="95"/>
        </w:rPr>
        <w:t>here</w:t>
      </w:r>
      <w:r>
        <w:rPr>
          <w:spacing w:val="-5"/>
          <w:w w:val="95"/>
        </w:rPr>
        <w:t xml:space="preserve"> </w:t>
      </w:r>
      <w:r>
        <w:rPr>
          <w:w w:val="95"/>
        </w:rPr>
        <w:t>have</w:t>
      </w:r>
      <w:r>
        <w:rPr>
          <w:spacing w:val="-5"/>
          <w:w w:val="95"/>
        </w:rPr>
        <w:t xml:space="preserve"> </w:t>
      </w:r>
      <w:r>
        <w:rPr>
          <w:w w:val="95"/>
        </w:rPr>
        <w:t>propelled</w:t>
      </w:r>
      <w:r>
        <w:rPr>
          <w:spacing w:val="-5"/>
          <w:w w:val="95"/>
        </w:rPr>
        <w:t xml:space="preserve"> </w:t>
      </w:r>
      <w:r>
        <w:rPr>
          <w:w w:val="95"/>
        </w:rPr>
        <w:t xml:space="preserve">Sydney </w:t>
      </w:r>
      <w:r>
        <w:t>into</w:t>
      </w:r>
      <w:r>
        <w:rPr>
          <w:spacing w:val="-11"/>
        </w:rPr>
        <w:t xml:space="preserve"> </w:t>
      </w:r>
      <w:r>
        <w:t>the</w:t>
      </w:r>
      <w:r>
        <w:rPr>
          <w:spacing w:val="-11"/>
        </w:rPr>
        <w:t xml:space="preserve"> </w:t>
      </w:r>
      <w:r>
        <w:t>top</w:t>
      </w:r>
      <w:r>
        <w:rPr>
          <w:spacing w:val="-11"/>
        </w:rPr>
        <w:t xml:space="preserve"> </w:t>
      </w:r>
      <w:r>
        <w:t>ranks</w:t>
      </w:r>
      <w:r>
        <w:rPr>
          <w:spacing w:val="-11"/>
        </w:rPr>
        <w:t xml:space="preserve"> </w:t>
      </w:r>
      <w:r>
        <w:t>of</w:t>
      </w:r>
      <w:r>
        <w:rPr>
          <w:spacing w:val="-11"/>
        </w:rPr>
        <w:t xml:space="preserve"> </w:t>
      </w:r>
      <w:r>
        <w:t>cities</w:t>
      </w:r>
      <w:r>
        <w:rPr>
          <w:spacing w:val="-11"/>
        </w:rPr>
        <w:t xml:space="preserve"> </w:t>
      </w:r>
      <w:r>
        <w:t>with</w:t>
      </w:r>
      <w:r>
        <w:rPr>
          <w:spacing w:val="-11"/>
        </w:rPr>
        <w:t xml:space="preserve"> </w:t>
      </w:r>
      <w:r>
        <w:t>global</w:t>
      </w:r>
      <w:r>
        <w:rPr>
          <w:spacing w:val="-11"/>
        </w:rPr>
        <w:t xml:space="preserve"> </w:t>
      </w:r>
      <w:r>
        <w:t>influence.</w:t>
      </w:r>
    </w:p>
    <w:p w:rsidR="002C1123" w:rsidRDefault="00F22F94">
      <w:pPr>
        <w:pStyle w:val="BodyText"/>
        <w:spacing w:before="144" w:line="249" w:lineRule="auto"/>
        <w:ind w:left="366" w:right="561"/>
      </w:pPr>
      <w:r>
        <w:rPr>
          <w:w w:val="95"/>
        </w:rPr>
        <w:t>Meanwhile the Airport and Port precinct represents the gateway</w:t>
      </w:r>
      <w:r>
        <w:rPr>
          <w:spacing w:val="-3"/>
          <w:w w:val="95"/>
        </w:rPr>
        <w:t xml:space="preserve"> </w:t>
      </w:r>
      <w:r>
        <w:rPr>
          <w:w w:val="95"/>
        </w:rPr>
        <w:t>for</w:t>
      </w:r>
      <w:r>
        <w:rPr>
          <w:spacing w:val="-3"/>
          <w:w w:val="95"/>
        </w:rPr>
        <w:t xml:space="preserve"> </w:t>
      </w:r>
      <w:r>
        <w:rPr>
          <w:w w:val="95"/>
        </w:rPr>
        <w:t>both</w:t>
      </w:r>
      <w:r>
        <w:rPr>
          <w:spacing w:val="-3"/>
          <w:w w:val="95"/>
        </w:rPr>
        <w:t xml:space="preserve"> </w:t>
      </w:r>
      <w:r>
        <w:rPr>
          <w:w w:val="95"/>
        </w:rPr>
        <w:t>international</w:t>
      </w:r>
      <w:r>
        <w:rPr>
          <w:spacing w:val="-3"/>
          <w:w w:val="95"/>
        </w:rPr>
        <w:t xml:space="preserve"> </w:t>
      </w:r>
      <w:r>
        <w:rPr>
          <w:w w:val="95"/>
        </w:rPr>
        <w:t>passengers</w:t>
      </w:r>
      <w:r>
        <w:rPr>
          <w:spacing w:val="-3"/>
          <w:w w:val="95"/>
        </w:rPr>
        <w:t xml:space="preserve"> </w:t>
      </w:r>
      <w:r>
        <w:rPr>
          <w:w w:val="95"/>
        </w:rPr>
        <w:t>in</w:t>
      </w:r>
      <w:r>
        <w:rPr>
          <w:spacing w:val="-3"/>
          <w:w w:val="95"/>
        </w:rPr>
        <w:t xml:space="preserve"> </w:t>
      </w:r>
      <w:r>
        <w:rPr>
          <w:w w:val="95"/>
        </w:rPr>
        <w:t>and</w:t>
      </w:r>
      <w:r>
        <w:rPr>
          <w:spacing w:val="-3"/>
          <w:w w:val="95"/>
        </w:rPr>
        <w:t xml:space="preserve"> </w:t>
      </w:r>
      <w:r>
        <w:rPr>
          <w:w w:val="95"/>
        </w:rPr>
        <w:t>out</w:t>
      </w:r>
      <w:r>
        <w:rPr>
          <w:spacing w:val="-3"/>
          <w:w w:val="95"/>
        </w:rPr>
        <w:t xml:space="preserve"> </w:t>
      </w:r>
      <w:r>
        <w:rPr>
          <w:w w:val="95"/>
        </w:rPr>
        <w:t xml:space="preserve">of </w:t>
      </w:r>
      <w:r>
        <w:t>Australia</w:t>
      </w:r>
      <w:r>
        <w:rPr>
          <w:spacing w:val="-12"/>
        </w:rPr>
        <w:t xml:space="preserve"> </w:t>
      </w:r>
      <w:r>
        <w:t>and</w:t>
      </w:r>
      <w:r>
        <w:rPr>
          <w:spacing w:val="-12"/>
        </w:rPr>
        <w:t xml:space="preserve"> </w:t>
      </w:r>
      <w:r>
        <w:t>a</w:t>
      </w:r>
      <w:r>
        <w:rPr>
          <w:spacing w:val="-12"/>
        </w:rPr>
        <w:t xml:space="preserve"> </w:t>
      </w:r>
      <w:r>
        <w:t>key</w:t>
      </w:r>
      <w:r>
        <w:rPr>
          <w:spacing w:val="-12"/>
        </w:rPr>
        <w:t xml:space="preserve"> </w:t>
      </w:r>
      <w:r>
        <w:t>import</w:t>
      </w:r>
      <w:r>
        <w:rPr>
          <w:spacing w:val="-12"/>
        </w:rPr>
        <w:t xml:space="preserve"> </w:t>
      </w:r>
      <w:r>
        <w:t>and</w:t>
      </w:r>
      <w:r>
        <w:rPr>
          <w:spacing w:val="-12"/>
        </w:rPr>
        <w:t xml:space="preserve"> </w:t>
      </w:r>
      <w:r>
        <w:t>export</w:t>
      </w:r>
      <w:r>
        <w:rPr>
          <w:spacing w:val="-12"/>
        </w:rPr>
        <w:t xml:space="preserve"> </w:t>
      </w:r>
      <w:r>
        <w:t>hub,</w:t>
      </w:r>
      <w:r>
        <w:rPr>
          <w:spacing w:val="-12"/>
        </w:rPr>
        <w:t xml:space="preserve"> </w:t>
      </w:r>
      <w:r>
        <w:t>(including from</w:t>
      </w:r>
      <w:r>
        <w:rPr>
          <w:spacing w:val="-13"/>
        </w:rPr>
        <w:t xml:space="preserve"> </w:t>
      </w:r>
      <w:r>
        <w:t>Regional</w:t>
      </w:r>
      <w:r>
        <w:rPr>
          <w:spacing w:val="-13"/>
        </w:rPr>
        <w:t xml:space="preserve"> </w:t>
      </w:r>
      <w:r>
        <w:t>NSW),</w:t>
      </w:r>
      <w:r>
        <w:rPr>
          <w:spacing w:val="-13"/>
        </w:rPr>
        <w:t xml:space="preserve"> </w:t>
      </w:r>
      <w:r>
        <w:t>that</w:t>
      </w:r>
      <w:r>
        <w:rPr>
          <w:spacing w:val="-13"/>
        </w:rPr>
        <w:t xml:space="preserve"> </w:t>
      </w:r>
      <w:r>
        <w:t>powers</w:t>
      </w:r>
      <w:r>
        <w:rPr>
          <w:spacing w:val="-13"/>
        </w:rPr>
        <w:t xml:space="preserve"> </w:t>
      </w:r>
      <w:r>
        <w:t>the</w:t>
      </w:r>
      <w:r>
        <w:rPr>
          <w:spacing w:val="-13"/>
        </w:rPr>
        <w:t xml:space="preserve"> </w:t>
      </w:r>
      <w:r>
        <w:t>economy.</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235" w:space="40"/>
            <w:col w:w="4865" w:space="39"/>
            <w:col w:w="5881"/>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6"/>
        <w:rPr>
          <w:sz w:val="19"/>
        </w:rPr>
      </w:pPr>
    </w:p>
    <w:p w:rsidR="002C1123" w:rsidRDefault="002060EF">
      <w:pPr>
        <w:tabs>
          <w:tab w:val="left" w:pos="5518"/>
        </w:tabs>
        <w:spacing w:line="20" w:lineRule="exact"/>
        <w:ind w:left="662"/>
        <w:rPr>
          <w:sz w:val="2"/>
        </w:rPr>
      </w:pPr>
      <w:r>
        <w:rPr>
          <w:sz w:val="2"/>
        </w:rPr>
      </w:r>
      <w:r>
        <w:rPr>
          <w:sz w:val="2"/>
        </w:rPr>
        <w:pict>
          <v:group id="docshapegroup641" o:spid="_x0000_s4684" style="width:1in;height:.5pt;mso-position-horizontal-relative:char;mso-position-vertical-relative:line" coordsize="1440,10">
            <v:line id="_x0000_s4685" style="position:absolute" from="0,5" to="1440,5" strokecolor="#9c9c9d" strokeweight=".5pt"/>
            <w10:anchorlock/>
          </v:group>
        </w:pict>
      </w:r>
      <w:r w:rsidR="00F22F94">
        <w:rPr>
          <w:sz w:val="2"/>
        </w:rPr>
        <w:tab/>
      </w:r>
      <w:r>
        <w:rPr>
          <w:sz w:val="2"/>
        </w:rPr>
      </w:r>
      <w:r>
        <w:rPr>
          <w:sz w:val="2"/>
        </w:rPr>
        <w:pict>
          <v:group id="docshapegroup642" o:spid="_x0000_s4682" style="width:1in;height:.5pt;mso-position-horizontal-relative:char;mso-position-vertical-relative:line" coordsize="1440,10">
            <v:line id="_x0000_s4683" style="position:absolute" from="0,5" to="1440,5" strokecolor="#9c9c9d" strokeweight=".5pt"/>
            <w10:anchorlock/>
          </v:group>
        </w:pict>
      </w:r>
    </w:p>
    <w:p w:rsidR="002C1123" w:rsidRDefault="00F22F94">
      <w:pPr>
        <w:pStyle w:val="ListParagraph"/>
        <w:numPr>
          <w:ilvl w:val="1"/>
          <w:numId w:val="124"/>
        </w:numPr>
        <w:tabs>
          <w:tab w:val="left" w:pos="861"/>
          <w:tab w:val="left" w:pos="5518"/>
          <w:tab w:val="left" w:pos="10545"/>
          <w:tab w:val="left" w:pos="11985"/>
        </w:tabs>
        <w:spacing w:before="8" w:line="156" w:lineRule="exact"/>
        <w:ind w:left="860"/>
        <w:jc w:val="left"/>
        <w:rPr>
          <w:sz w:val="14"/>
        </w:rPr>
      </w:pPr>
      <w:r>
        <w:rPr>
          <w:w w:val="95"/>
          <w:sz w:val="14"/>
        </w:rPr>
        <w:t>Globalisation</w:t>
      </w:r>
      <w:r>
        <w:rPr>
          <w:sz w:val="14"/>
        </w:rPr>
        <w:t xml:space="preserve"> </w:t>
      </w:r>
      <w:r>
        <w:rPr>
          <w:w w:val="95"/>
          <w:sz w:val="14"/>
        </w:rPr>
        <w:t>and</w:t>
      </w:r>
      <w:r>
        <w:rPr>
          <w:spacing w:val="1"/>
          <w:sz w:val="14"/>
        </w:rPr>
        <w:t xml:space="preserve"> </w:t>
      </w:r>
      <w:r>
        <w:rPr>
          <w:w w:val="95"/>
          <w:sz w:val="14"/>
        </w:rPr>
        <w:t>World</w:t>
      </w:r>
      <w:r>
        <w:rPr>
          <w:spacing w:val="1"/>
          <w:sz w:val="14"/>
        </w:rPr>
        <w:t xml:space="preserve"> </w:t>
      </w:r>
      <w:r>
        <w:rPr>
          <w:w w:val="95"/>
          <w:sz w:val="14"/>
        </w:rPr>
        <w:t>Cities</w:t>
      </w:r>
      <w:r>
        <w:rPr>
          <w:spacing w:val="1"/>
          <w:sz w:val="14"/>
        </w:rPr>
        <w:t xml:space="preserve"> </w:t>
      </w:r>
      <w:r>
        <w:rPr>
          <w:w w:val="95"/>
          <w:sz w:val="14"/>
        </w:rPr>
        <w:t>Research</w:t>
      </w:r>
      <w:r>
        <w:rPr>
          <w:sz w:val="14"/>
        </w:rPr>
        <w:t xml:space="preserve"> </w:t>
      </w:r>
      <w:r>
        <w:rPr>
          <w:w w:val="95"/>
          <w:sz w:val="14"/>
        </w:rPr>
        <w:t>Network</w:t>
      </w:r>
      <w:r>
        <w:rPr>
          <w:spacing w:val="1"/>
          <w:sz w:val="14"/>
        </w:rPr>
        <w:t xml:space="preserve"> </w:t>
      </w:r>
      <w:r>
        <w:rPr>
          <w:w w:val="95"/>
          <w:sz w:val="14"/>
        </w:rPr>
        <w:t>2010,</w:t>
      </w:r>
      <w:r>
        <w:rPr>
          <w:spacing w:val="1"/>
          <w:sz w:val="14"/>
        </w:rPr>
        <w:t xml:space="preserve"> </w:t>
      </w:r>
      <w:r>
        <w:rPr>
          <w:w w:val="95"/>
          <w:sz w:val="14"/>
        </w:rPr>
        <w:t>The</w:t>
      </w:r>
      <w:r>
        <w:rPr>
          <w:spacing w:val="1"/>
          <w:sz w:val="14"/>
        </w:rPr>
        <w:t xml:space="preserve"> </w:t>
      </w:r>
      <w:r>
        <w:rPr>
          <w:spacing w:val="-4"/>
          <w:w w:val="95"/>
          <w:sz w:val="14"/>
        </w:rPr>
        <w:t>World</w:t>
      </w:r>
      <w:r>
        <w:rPr>
          <w:sz w:val="14"/>
        </w:rPr>
        <w:tab/>
      </w:r>
      <w:r>
        <w:rPr>
          <w:w w:val="95"/>
          <w:sz w:val="14"/>
        </w:rPr>
        <w:t>8</w:t>
      </w:r>
      <w:r>
        <w:rPr>
          <w:spacing w:val="34"/>
          <w:sz w:val="14"/>
        </w:rPr>
        <w:t xml:space="preserve">  </w:t>
      </w:r>
      <w:r>
        <w:rPr>
          <w:w w:val="95"/>
          <w:sz w:val="14"/>
        </w:rPr>
        <w:t>Anholt-GfK</w:t>
      </w:r>
      <w:r>
        <w:rPr>
          <w:spacing w:val="-2"/>
          <w:sz w:val="14"/>
        </w:rPr>
        <w:t xml:space="preserve"> </w:t>
      </w:r>
      <w:r>
        <w:rPr>
          <w:w w:val="95"/>
          <w:sz w:val="14"/>
        </w:rPr>
        <w:t>Roper,</w:t>
      </w:r>
      <w:r>
        <w:rPr>
          <w:spacing w:val="-2"/>
          <w:sz w:val="14"/>
        </w:rPr>
        <w:t xml:space="preserve"> </w:t>
      </w:r>
      <w:r>
        <w:rPr>
          <w:w w:val="95"/>
          <w:sz w:val="14"/>
        </w:rPr>
        <w:t>City</w:t>
      </w:r>
      <w:r>
        <w:rPr>
          <w:spacing w:val="-2"/>
          <w:sz w:val="14"/>
        </w:rPr>
        <w:t xml:space="preserve"> </w:t>
      </w:r>
      <w:r>
        <w:rPr>
          <w:w w:val="95"/>
          <w:sz w:val="14"/>
        </w:rPr>
        <w:t>Brand</w:t>
      </w:r>
      <w:r>
        <w:rPr>
          <w:spacing w:val="-2"/>
          <w:sz w:val="14"/>
        </w:rPr>
        <w:t xml:space="preserve"> </w:t>
      </w:r>
      <w:r>
        <w:rPr>
          <w:w w:val="95"/>
          <w:sz w:val="14"/>
        </w:rPr>
        <w:t>Index;</w:t>
      </w:r>
      <w:r>
        <w:rPr>
          <w:spacing w:val="-2"/>
          <w:sz w:val="14"/>
        </w:rPr>
        <w:t xml:space="preserve"> </w:t>
      </w:r>
      <w:r>
        <w:rPr>
          <w:w w:val="95"/>
          <w:sz w:val="14"/>
        </w:rPr>
        <w:t>2007,</w:t>
      </w:r>
      <w:r>
        <w:rPr>
          <w:spacing w:val="-2"/>
          <w:sz w:val="14"/>
        </w:rPr>
        <w:t xml:space="preserve"> </w:t>
      </w:r>
      <w:r>
        <w:rPr>
          <w:w w:val="95"/>
          <w:sz w:val="14"/>
        </w:rPr>
        <w:t>2008</w:t>
      </w:r>
      <w:r>
        <w:rPr>
          <w:spacing w:val="-2"/>
          <w:sz w:val="14"/>
        </w:rPr>
        <w:t xml:space="preserve"> </w:t>
      </w:r>
      <w:r>
        <w:rPr>
          <w:w w:val="95"/>
          <w:sz w:val="14"/>
        </w:rPr>
        <w:t>and</w:t>
      </w:r>
      <w:r>
        <w:rPr>
          <w:spacing w:val="-2"/>
          <w:sz w:val="14"/>
        </w:rPr>
        <w:t xml:space="preserve"> </w:t>
      </w:r>
      <w:r>
        <w:rPr>
          <w:spacing w:val="-4"/>
          <w:w w:val="95"/>
          <w:sz w:val="14"/>
        </w:rPr>
        <w:t>2011.</w:t>
      </w:r>
      <w:r>
        <w:rPr>
          <w:sz w:val="14"/>
        </w:rPr>
        <w:tab/>
      </w:r>
      <w:r>
        <w:rPr>
          <w:sz w:val="14"/>
          <w:u w:val="single" w:color="9C9C9D"/>
        </w:rPr>
        <w:tab/>
      </w:r>
    </w:p>
    <w:p w:rsidR="002C1123" w:rsidRDefault="002C1123">
      <w:pPr>
        <w:spacing w:line="156" w:lineRule="exact"/>
        <w:rPr>
          <w:sz w:val="14"/>
        </w:rPr>
        <w:sectPr w:rsidR="002C1123">
          <w:type w:val="continuous"/>
          <w:pgSz w:w="16840" w:h="11910" w:orient="landscape"/>
          <w:pgMar w:top="560" w:right="280" w:bottom="280" w:left="500" w:header="0" w:footer="517" w:gutter="0"/>
          <w:cols w:space="720"/>
        </w:sectPr>
      </w:pPr>
    </w:p>
    <w:p w:rsidR="002C1123" w:rsidRDefault="00F22F94">
      <w:pPr>
        <w:spacing w:before="4"/>
        <w:ind w:left="860"/>
        <w:rPr>
          <w:sz w:val="14"/>
        </w:rPr>
      </w:pPr>
      <w:r>
        <w:rPr>
          <w:w w:val="95"/>
          <w:sz w:val="14"/>
        </w:rPr>
        <w:t>According</w:t>
      </w:r>
      <w:r>
        <w:rPr>
          <w:spacing w:val="7"/>
          <w:sz w:val="14"/>
        </w:rPr>
        <w:t xml:space="preserve"> </w:t>
      </w:r>
      <w:r>
        <w:rPr>
          <w:w w:val="95"/>
          <w:sz w:val="14"/>
        </w:rPr>
        <w:t>to</w:t>
      </w:r>
      <w:r>
        <w:rPr>
          <w:spacing w:val="8"/>
          <w:sz w:val="14"/>
        </w:rPr>
        <w:t xml:space="preserve"> </w:t>
      </w:r>
      <w:r>
        <w:rPr>
          <w:spacing w:val="-2"/>
          <w:w w:val="95"/>
          <w:sz w:val="14"/>
        </w:rPr>
        <w:t>GawC.</w:t>
      </w:r>
    </w:p>
    <w:p w:rsidR="002C1123" w:rsidRDefault="00F22F94">
      <w:pPr>
        <w:pStyle w:val="ListParagraph"/>
        <w:numPr>
          <w:ilvl w:val="0"/>
          <w:numId w:val="121"/>
        </w:numPr>
        <w:tabs>
          <w:tab w:val="left" w:pos="1059"/>
        </w:tabs>
        <w:spacing w:before="4"/>
        <w:jc w:val="left"/>
        <w:rPr>
          <w:sz w:val="14"/>
        </w:rPr>
      </w:pPr>
      <w:r>
        <w:br w:type="column"/>
      </w:r>
      <w:r>
        <w:rPr>
          <w:w w:val="95"/>
          <w:sz w:val="14"/>
        </w:rPr>
        <w:t>SGS</w:t>
      </w:r>
      <w:r>
        <w:rPr>
          <w:spacing w:val="-5"/>
          <w:w w:val="95"/>
          <w:sz w:val="14"/>
        </w:rPr>
        <w:t xml:space="preserve"> </w:t>
      </w:r>
      <w:r>
        <w:rPr>
          <w:w w:val="95"/>
          <w:sz w:val="14"/>
        </w:rPr>
        <w:t>Economic</w:t>
      </w:r>
      <w:r>
        <w:rPr>
          <w:spacing w:val="-4"/>
          <w:w w:val="95"/>
          <w:sz w:val="14"/>
        </w:rPr>
        <w:t xml:space="preserve"> </w:t>
      </w:r>
      <w:r>
        <w:rPr>
          <w:w w:val="95"/>
          <w:sz w:val="14"/>
        </w:rPr>
        <w:t>&amp;</w:t>
      </w:r>
      <w:r>
        <w:rPr>
          <w:spacing w:val="-5"/>
          <w:w w:val="95"/>
          <w:sz w:val="14"/>
        </w:rPr>
        <w:t xml:space="preserve"> </w:t>
      </w:r>
      <w:r>
        <w:rPr>
          <w:w w:val="95"/>
          <w:sz w:val="14"/>
        </w:rPr>
        <w:t>Planning</w:t>
      </w:r>
      <w:r>
        <w:rPr>
          <w:spacing w:val="-4"/>
          <w:w w:val="95"/>
          <w:sz w:val="14"/>
        </w:rPr>
        <w:t xml:space="preserve"> </w:t>
      </w:r>
      <w:r>
        <w:rPr>
          <w:w w:val="95"/>
          <w:sz w:val="14"/>
        </w:rPr>
        <w:t>2011,</w:t>
      </w:r>
      <w:r>
        <w:rPr>
          <w:spacing w:val="-4"/>
          <w:w w:val="95"/>
          <w:sz w:val="14"/>
        </w:rPr>
        <w:t xml:space="preserve"> </w:t>
      </w:r>
      <w:r>
        <w:rPr>
          <w:w w:val="95"/>
          <w:sz w:val="14"/>
        </w:rPr>
        <w:t>Australia</w:t>
      </w:r>
      <w:r>
        <w:rPr>
          <w:spacing w:val="-5"/>
          <w:w w:val="95"/>
          <w:sz w:val="14"/>
        </w:rPr>
        <w:t xml:space="preserve"> </w:t>
      </w:r>
      <w:r>
        <w:rPr>
          <w:w w:val="95"/>
          <w:sz w:val="14"/>
        </w:rPr>
        <w:t>Cities</w:t>
      </w:r>
      <w:r>
        <w:rPr>
          <w:spacing w:val="-4"/>
          <w:w w:val="95"/>
          <w:sz w:val="14"/>
        </w:rPr>
        <w:t xml:space="preserve"> </w:t>
      </w:r>
      <w:r>
        <w:rPr>
          <w:spacing w:val="-2"/>
          <w:w w:val="95"/>
          <w:sz w:val="14"/>
        </w:rPr>
        <w:t>Accounts.</w:t>
      </w:r>
    </w:p>
    <w:p w:rsidR="002C1123" w:rsidRDefault="00F22F94">
      <w:pPr>
        <w:pStyle w:val="ListParagraph"/>
        <w:numPr>
          <w:ilvl w:val="0"/>
          <w:numId w:val="121"/>
        </w:numPr>
        <w:tabs>
          <w:tab w:val="left" w:pos="199"/>
        </w:tabs>
        <w:spacing w:before="4"/>
        <w:ind w:left="198" w:right="104"/>
        <w:jc w:val="center"/>
        <w:rPr>
          <w:sz w:val="14"/>
        </w:rPr>
      </w:pPr>
      <w:r>
        <w:br w:type="column"/>
      </w:r>
      <w:r>
        <w:rPr>
          <w:w w:val="95"/>
          <w:sz w:val="14"/>
        </w:rPr>
        <w:t>Deloitte</w:t>
      </w:r>
      <w:r>
        <w:rPr>
          <w:spacing w:val="2"/>
          <w:sz w:val="14"/>
        </w:rPr>
        <w:t xml:space="preserve"> </w:t>
      </w:r>
      <w:r>
        <w:rPr>
          <w:w w:val="95"/>
          <w:sz w:val="14"/>
        </w:rPr>
        <w:t>Access</w:t>
      </w:r>
      <w:r>
        <w:rPr>
          <w:spacing w:val="2"/>
          <w:sz w:val="14"/>
        </w:rPr>
        <w:t xml:space="preserve"> </w:t>
      </w:r>
      <w:r>
        <w:rPr>
          <w:w w:val="95"/>
          <w:sz w:val="14"/>
        </w:rPr>
        <w:t>Economics</w:t>
      </w:r>
      <w:r>
        <w:rPr>
          <w:spacing w:val="3"/>
          <w:sz w:val="14"/>
        </w:rPr>
        <w:t xml:space="preserve"> </w:t>
      </w:r>
      <w:r>
        <w:rPr>
          <w:w w:val="95"/>
          <w:sz w:val="14"/>
        </w:rPr>
        <w:t>2012,</w:t>
      </w:r>
      <w:r>
        <w:rPr>
          <w:spacing w:val="2"/>
          <w:sz w:val="14"/>
        </w:rPr>
        <w:t xml:space="preserve"> </w:t>
      </w:r>
      <w:r>
        <w:rPr>
          <w:w w:val="95"/>
          <w:sz w:val="14"/>
        </w:rPr>
        <w:t>Infrastructure</w:t>
      </w:r>
      <w:r>
        <w:rPr>
          <w:spacing w:val="2"/>
          <w:sz w:val="14"/>
        </w:rPr>
        <w:t xml:space="preserve"> </w:t>
      </w:r>
      <w:r>
        <w:rPr>
          <w:w w:val="95"/>
          <w:sz w:val="14"/>
        </w:rPr>
        <w:t>and</w:t>
      </w:r>
      <w:r>
        <w:rPr>
          <w:spacing w:val="3"/>
          <w:sz w:val="14"/>
        </w:rPr>
        <w:t xml:space="preserve"> </w:t>
      </w:r>
      <w:r>
        <w:rPr>
          <w:w w:val="95"/>
          <w:sz w:val="14"/>
        </w:rPr>
        <w:t>the</w:t>
      </w:r>
      <w:r>
        <w:rPr>
          <w:spacing w:val="2"/>
          <w:sz w:val="14"/>
        </w:rPr>
        <w:t xml:space="preserve"> </w:t>
      </w:r>
      <w:r>
        <w:rPr>
          <w:w w:val="95"/>
          <w:sz w:val="14"/>
        </w:rPr>
        <w:t>NSW</w:t>
      </w:r>
      <w:r>
        <w:rPr>
          <w:spacing w:val="2"/>
          <w:sz w:val="14"/>
        </w:rPr>
        <w:t xml:space="preserve"> </w:t>
      </w:r>
      <w:r>
        <w:rPr>
          <w:spacing w:val="-2"/>
          <w:w w:val="95"/>
          <w:sz w:val="14"/>
        </w:rPr>
        <w:t>Economy.</w:t>
      </w:r>
    </w:p>
    <w:p w:rsidR="002C1123" w:rsidRDefault="002C1123">
      <w:pPr>
        <w:jc w:val="center"/>
        <w:rPr>
          <w:sz w:val="14"/>
        </w:rPr>
        <w:sectPr w:rsidR="002C1123">
          <w:type w:val="continuous"/>
          <w:pgSz w:w="16840" w:h="11910" w:orient="landscape"/>
          <w:pgMar w:top="560" w:right="280" w:bottom="280" w:left="500" w:header="0" w:footer="517" w:gutter="0"/>
          <w:cols w:num="3" w:space="720" w:equalWidth="0">
            <w:col w:w="2129" w:space="2529"/>
            <w:col w:w="4637" w:space="390"/>
            <w:col w:w="6375"/>
          </w:cols>
        </w:sectPr>
      </w:pPr>
    </w:p>
    <w:p w:rsidR="002C1123" w:rsidRDefault="002C1123">
      <w:pPr>
        <w:pStyle w:val="BodyText"/>
      </w:pPr>
    </w:p>
    <w:p w:rsidR="002C1123" w:rsidRDefault="002C1123">
      <w:pPr>
        <w:pStyle w:val="BodyText"/>
        <w:spacing w:before="5"/>
        <w:rPr>
          <w:sz w:val="16"/>
        </w:rPr>
      </w:pPr>
    </w:p>
    <w:p w:rsidR="002C1123" w:rsidRDefault="00F22F94">
      <w:pPr>
        <w:spacing w:before="107"/>
        <w:ind w:left="749"/>
        <w:rPr>
          <w:b/>
          <w:sz w:val="18"/>
        </w:rPr>
      </w:pPr>
      <w:bookmarkStart w:id="92" w:name="_bookmark65"/>
      <w:bookmarkEnd w:id="92"/>
      <w:r>
        <w:rPr>
          <w:b/>
          <w:sz w:val="18"/>
        </w:rPr>
        <w:t>Figure</w:t>
      </w:r>
      <w:r>
        <w:rPr>
          <w:b/>
          <w:spacing w:val="-9"/>
          <w:sz w:val="18"/>
        </w:rPr>
        <w:t xml:space="preserve"> </w:t>
      </w:r>
      <w:r>
        <w:rPr>
          <w:b/>
          <w:sz w:val="18"/>
        </w:rPr>
        <w:t>3.2</w:t>
      </w:r>
      <w:r>
        <w:rPr>
          <w:b/>
          <w:spacing w:val="34"/>
          <w:sz w:val="18"/>
        </w:rPr>
        <w:t xml:space="preserve"> </w:t>
      </w:r>
      <w:r>
        <w:rPr>
          <w:b/>
          <w:sz w:val="18"/>
        </w:rPr>
        <w:t>Employment</w:t>
      </w:r>
      <w:r>
        <w:rPr>
          <w:b/>
          <w:spacing w:val="-9"/>
          <w:sz w:val="18"/>
        </w:rPr>
        <w:t xml:space="preserve"> </w:t>
      </w:r>
      <w:r>
        <w:rPr>
          <w:b/>
          <w:sz w:val="18"/>
        </w:rPr>
        <w:t>in</w:t>
      </w:r>
      <w:r>
        <w:rPr>
          <w:b/>
          <w:spacing w:val="-8"/>
          <w:sz w:val="18"/>
        </w:rPr>
        <w:t xml:space="preserve"> </w:t>
      </w:r>
      <w:r>
        <w:rPr>
          <w:b/>
          <w:sz w:val="18"/>
        </w:rPr>
        <w:t>key</w:t>
      </w:r>
      <w:r>
        <w:rPr>
          <w:b/>
          <w:spacing w:val="-9"/>
          <w:sz w:val="18"/>
        </w:rPr>
        <w:t xml:space="preserve"> </w:t>
      </w:r>
      <w:r>
        <w:rPr>
          <w:b/>
          <w:sz w:val="18"/>
        </w:rPr>
        <w:t>Global</w:t>
      </w:r>
      <w:r>
        <w:rPr>
          <w:b/>
          <w:spacing w:val="-8"/>
          <w:sz w:val="18"/>
        </w:rPr>
        <w:t xml:space="preserve"> </w:t>
      </w:r>
      <w:r>
        <w:rPr>
          <w:b/>
          <w:sz w:val="18"/>
        </w:rPr>
        <w:t>Sydney</w:t>
      </w:r>
      <w:r>
        <w:rPr>
          <w:b/>
          <w:spacing w:val="-8"/>
          <w:sz w:val="18"/>
        </w:rPr>
        <w:t xml:space="preserve"> </w:t>
      </w:r>
      <w:r>
        <w:rPr>
          <w:b/>
          <w:spacing w:val="-2"/>
          <w:sz w:val="18"/>
        </w:rPr>
        <w:t>centres</w:t>
      </w:r>
    </w:p>
    <w:p w:rsidR="002C1123" w:rsidRDefault="002C1123">
      <w:pPr>
        <w:pStyle w:val="BodyText"/>
        <w:rPr>
          <w:b/>
        </w:rPr>
      </w:pPr>
    </w:p>
    <w:p w:rsidR="002C1123" w:rsidRDefault="002C1123">
      <w:pPr>
        <w:pStyle w:val="BodyText"/>
        <w:spacing w:before="7"/>
        <w:rPr>
          <w:b/>
          <w:sz w:val="23"/>
        </w:rPr>
      </w:pPr>
    </w:p>
    <w:p w:rsidR="002C1123" w:rsidRDefault="00F22F94">
      <w:pPr>
        <w:spacing w:before="102"/>
        <w:ind w:left="11041" w:right="476"/>
        <w:jc w:val="center"/>
        <w:rPr>
          <w:sz w:val="18"/>
        </w:rPr>
      </w:pPr>
      <w:r>
        <w:rPr>
          <w:noProof/>
        </w:rPr>
        <w:drawing>
          <wp:anchor distT="0" distB="0" distL="0" distR="0" simplePos="0" relativeHeight="251210752" behindDoc="1" locked="0" layoutInCell="1" allowOverlap="1">
            <wp:simplePos x="0" y="0"/>
            <wp:positionH relativeFrom="page">
              <wp:posOffset>765441</wp:posOffset>
            </wp:positionH>
            <wp:positionV relativeFrom="paragraph">
              <wp:posOffset>86635</wp:posOffset>
            </wp:positionV>
            <wp:extent cx="6782272" cy="6134100"/>
            <wp:effectExtent l="0" t="0" r="0" b="0"/>
            <wp:wrapNone/>
            <wp:docPr id="47"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82.png"/>
                    <pic:cNvPicPr/>
                  </pic:nvPicPr>
                  <pic:blipFill>
                    <a:blip r:embed="rId89" cstate="print"/>
                    <a:stretch>
                      <a:fillRect/>
                    </a:stretch>
                  </pic:blipFill>
                  <pic:spPr>
                    <a:xfrm>
                      <a:off x="0" y="0"/>
                      <a:ext cx="6782272" cy="6134100"/>
                    </a:xfrm>
                    <a:prstGeom prst="rect">
                      <a:avLst/>
                    </a:prstGeom>
                  </pic:spPr>
                </pic:pic>
              </a:graphicData>
            </a:graphic>
          </wp:anchor>
        </w:drawing>
      </w:r>
      <w:r>
        <w:rPr>
          <w:spacing w:val="-2"/>
          <w:w w:val="95"/>
          <w:sz w:val="18"/>
        </w:rPr>
        <w:t>Population</w:t>
      </w:r>
    </w:p>
    <w:p w:rsidR="002C1123" w:rsidRDefault="002060EF">
      <w:pPr>
        <w:spacing w:before="89"/>
        <w:ind w:left="11028" w:right="476"/>
        <w:jc w:val="center"/>
        <w:rPr>
          <w:sz w:val="16"/>
        </w:rPr>
      </w:pPr>
      <w:r>
        <w:pict>
          <v:line id="_x0000_s4681" style="position:absolute;left:0;text-align:left;z-index:251268096;mso-position-horizontal-relative:page" from="699.6pt,8.75pt" to="771.25pt,8.75pt" strokecolor="#b2b1b3" strokeweight=".4pt">
            <w10:wrap anchorx="page"/>
          </v:line>
        </w:pict>
      </w:r>
      <w:r w:rsidR="00F22F94">
        <w:rPr>
          <w:spacing w:val="-5"/>
          <w:w w:val="95"/>
          <w:sz w:val="16"/>
        </w:rPr>
        <w:t>2.0</w:t>
      </w:r>
    </w:p>
    <w:p w:rsidR="002C1123" w:rsidRDefault="002C1123">
      <w:pPr>
        <w:pStyle w:val="BodyText"/>
        <w:spacing w:before="10"/>
      </w:pPr>
    </w:p>
    <w:p w:rsidR="002C1123" w:rsidRDefault="002060EF">
      <w:pPr>
        <w:spacing w:before="99"/>
        <w:ind w:right="2654"/>
        <w:jc w:val="right"/>
        <w:rPr>
          <w:sz w:val="16"/>
        </w:rPr>
      </w:pPr>
      <w:r>
        <w:pict>
          <v:group id="docshapegroup643" o:spid="_x0000_s4675" style="position:absolute;left:0;text-align:left;margin-left:699.6pt;margin-top:-1.2pt;width:71.65pt;height:89.35pt;z-index:251267072;mso-position-horizontal-relative:page" coordorigin="13992,-24" coordsize="1433,1787">
            <v:shape id="docshape644" o:spid="_x0000_s4680" style="position:absolute;left:13991;top:184;width:1433;height:1047" coordorigin="13992,185" coordsize="1433,1047" o:spt="100" adj="0,,0" path="m13992,1231r168,m14612,1231r193,m15256,1231r169,m14612,708r193,m15256,708r169,m13992,185r813,m15256,185r169,e" filled="f" strokecolor="#b2b1b3" strokeweight=".4pt">
              <v:stroke joinstyle="round"/>
              <v:formulas/>
              <v:path arrowok="t" o:connecttype="segments"/>
            </v:shape>
            <v:rect id="docshape645" o:spid="_x0000_s4679" style="position:absolute;left:14804;top:-25;width:452;height:1779" fillcolor="#2e3092" stroked="f"/>
            <v:line id="_x0000_s4678" style="position:absolute" from="13992,708" to="14160,708" strokecolor="#b2b1b3" strokeweight=".4pt"/>
            <v:rect id="docshape646" o:spid="_x0000_s4677" style="position:absolute;left:14160;top:394;width:452;height:1360" fillcolor="#00aeef" stroked="f"/>
            <v:line id="_x0000_s4676" style="position:absolute" from="13992,1754" to="15425,1754" strokecolor="#b2b1b3" strokeweight=".8pt"/>
            <w10:wrap anchorx="page"/>
          </v:group>
        </w:pict>
      </w:r>
      <w:r w:rsidR="00F22F94">
        <w:rPr>
          <w:spacing w:val="-5"/>
          <w:w w:val="95"/>
          <w:sz w:val="16"/>
        </w:rPr>
        <w:t>1.5</w:t>
      </w:r>
    </w:p>
    <w:p w:rsidR="002C1123" w:rsidRDefault="002C1123">
      <w:pPr>
        <w:pStyle w:val="BodyText"/>
        <w:rPr>
          <w:sz w:val="14"/>
        </w:rPr>
      </w:pPr>
    </w:p>
    <w:p w:rsidR="002C1123" w:rsidRDefault="002C1123">
      <w:pPr>
        <w:rPr>
          <w:sz w:val="14"/>
        </w:rPr>
        <w:sectPr w:rsidR="002C1123">
          <w:headerReference w:type="default" r:id="rId90"/>
          <w:footerReference w:type="default" r:id="rId91"/>
          <w:pgSz w:w="16840" w:h="11910" w:orient="landscape"/>
          <w:pgMar w:top="0" w:right="280" w:bottom="280" w:left="500" w:header="0" w:footer="0" w:gutter="0"/>
          <w:cols w:space="720"/>
        </w:sectPr>
      </w:pPr>
    </w:p>
    <w:p w:rsidR="002C1123" w:rsidRDefault="00F22F94">
      <w:pPr>
        <w:tabs>
          <w:tab w:val="left" w:pos="833"/>
        </w:tabs>
        <w:spacing w:before="100"/>
        <w:jc w:val="right"/>
        <w:rPr>
          <w:sz w:val="16"/>
        </w:rPr>
      </w:pPr>
      <w:r>
        <w:rPr>
          <w:spacing w:val="-5"/>
          <w:w w:val="95"/>
          <w:sz w:val="16"/>
        </w:rPr>
        <w:t>45</w:t>
      </w:r>
      <w:r>
        <w:rPr>
          <w:sz w:val="16"/>
        </w:rPr>
        <w:tab/>
      </w:r>
      <w:r>
        <w:rPr>
          <w:spacing w:val="-5"/>
          <w:w w:val="95"/>
          <w:sz w:val="16"/>
        </w:rPr>
        <w:t>61</w:t>
      </w:r>
    </w:p>
    <w:p w:rsidR="002C1123" w:rsidRDefault="002C1123">
      <w:pPr>
        <w:pStyle w:val="BodyText"/>
        <w:rPr>
          <w:sz w:val="18"/>
        </w:rPr>
      </w:pPr>
    </w:p>
    <w:p w:rsidR="002C1123" w:rsidRDefault="002C1123">
      <w:pPr>
        <w:pStyle w:val="BodyText"/>
        <w:spacing w:before="5"/>
        <w:rPr>
          <w:sz w:val="15"/>
        </w:rPr>
      </w:pPr>
    </w:p>
    <w:p w:rsidR="002C1123" w:rsidRDefault="00F22F94">
      <w:pPr>
        <w:ind w:right="19"/>
        <w:jc w:val="right"/>
        <w:rPr>
          <w:sz w:val="16"/>
        </w:rPr>
      </w:pPr>
      <w:r>
        <w:rPr>
          <w:w w:val="75"/>
          <w:sz w:val="16"/>
        </w:rPr>
        <w:t>Macquarie</w:t>
      </w:r>
      <w:r>
        <w:rPr>
          <w:spacing w:val="22"/>
          <w:sz w:val="16"/>
        </w:rPr>
        <w:t xml:space="preserve"> </w:t>
      </w:r>
      <w:r>
        <w:rPr>
          <w:spacing w:val="-4"/>
          <w:w w:val="90"/>
          <w:sz w:val="16"/>
        </w:rPr>
        <w:t>Park</w:t>
      </w:r>
    </w:p>
    <w:p w:rsidR="002C1123" w:rsidRDefault="00F22F94">
      <w:pPr>
        <w:rPr>
          <w:sz w:val="18"/>
        </w:rPr>
      </w:pPr>
      <w:r>
        <w:br w:type="column"/>
      </w:r>
    </w:p>
    <w:p w:rsidR="002C1123" w:rsidRDefault="002C1123">
      <w:pPr>
        <w:pStyle w:val="BodyText"/>
        <w:rPr>
          <w:sz w:val="18"/>
        </w:rPr>
      </w:pPr>
    </w:p>
    <w:p w:rsidR="002C1123" w:rsidRDefault="00F22F94">
      <w:pPr>
        <w:tabs>
          <w:tab w:val="left" w:pos="1871"/>
        </w:tabs>
        <w:spacing w:before="128"/>
        <w:ind w:left="885"/>
        <w:rPr>
          <w:sz w:val="16"/>
        </w:rPr>
      </w:pPr>
      <w:r>
        <w:rPr>
          <w:spacing w:val="-5"/>
          <w:w w:val="95"/>
          <w:sz w:val="16"/>
        </w:rPr>
        <w:t>68</w:t>
      </w:r>
      <w:r>
        <w:rPr>
          <w:sz w:val="16"/>
        </w:rPr>
        <w:tab/>
      </w:r>
      <w:r>
        <w:rPr>
          <w:spacing w:val="-7"/>
          <w:w w:val="95"/>
          <w:sz w:val="16"/>
        </w:rPr>
        <w:t>84</w:t>
      </w:r>
    </w:p>
    <w:p w:rsidR="002C1123" w:rsidRDefault="00F22F94">
      <w:pPr>
        <w:spacing w:before="5"/>
        <w:rPr>
          <w:sz w:val="15"/>
        </w:rPr>
      </w:pPr>
      <w:r>
        <w:br w:type="column"/>
      </w:r>
    </w:p>
    <w:p w:rsidR="002C1123" w:rsidRDefault="00F22F94">
      <w:pPr>
        <w:spacing w:before="1"/>
        <w:ind w:left="3912" w:right="2635"/>
        <w:jc w:val="center"/>
        <w:rPr>
          <w:sz w:val="16"/>
        </w:rPr>
      </w:pPr>
      <w:r>
        <w:rPr>
          <w:spacing w:val="-5"/>
          <w:w w:val="95"/>
          <w:sz w:val="16"/>
        </w:rPr>
        <w:t>1.0</w:t>
      </w:r>
    </w:p>
    <w:p w:rsidR="002C1123" w:rsidRDefault="002C1123">
      <w:pPr>
        <w:pStyle w:val="BodyText"/>
        <w:rPr>
          <w:sz w:val="18"/>
        </w:rPr>
      </w:pPr>
    </w:p>
    <w:p w:rsidR="002C1123" w:rsidRDefault="002060EF">
      <w:pPr>
        <w:spacing w:before="132"/>
        <w:ind w:left="3912" w:right="2635"/>
        <w:jc w:val="center"/>
        <w:rPr>
          <w:sz w:val="16"/>
        </w:rPr>
      </w:pPr>
      <w:r>
        <w:pict>
          <v:shape id="docshape647" o:spid="_x0000_s4674" type="#_x0000_t202" style="position:absolute;left:0;text-align:left;margin-left:670.55pt;margin-top:-27pt;width:11.05pt;height:23.45pt;z-index:251274240;mso-position-horizontal-relative:page" filled="f" stroked="f">
            <v:textbox style="layout-flow:vertical;mso-layout-flow-alt:bottom-to-top" inset="0,0,0,0">
              <w:txbxContent>
                <w:p w:rsidR="00F22F94" w:rsidRDefault="00F22F94">
                  <w:pPr>
                    <w:spacing w:before="18"/>
                    <w:ind w:left="20"/>
                    <w:rPr>
                      <w:sz w:val="16"/>
                    </w:rPr>
                  </w:pPr>
                  <w:r>
                    <w:rPr>
                      <w:spacing w:val="-2"/>
                      <w:w w:val="80"/>
                      <w:sz w:val="16"/>
                    </w:rPr>
                    <w:t>Millions</w:t>
                  </w:r>
                </w:p>
              </w:txbxContent>
            </v:textbox>
            <w10:wrap anchorx="page"/>
          </v:shape>
        </w:pict>
      </w:r>
      <w:r w:rsidR="00F22F94">
        <w:rPr>
          <w:spacing w:val="-5"/>
          <w:w w:val="95"/>
          <w:sz w:val="16"/>
        </w:rPr>
        <w:t>0.5</w:t>
      </w:r>
    </w:p>
    <w:p w:rsidR="002C1123" w:rsidRDefault="002C1123">
      <w:pPr>
        <w:jc w:val="center"/>
        <w:rPr>
          <w:sz w:val="16"/>
        </w:rPr>
        <w:sectPr w:rsidR="002C1123">
          <w:type w:val="continuous"/>
          <w:pgSz w:w="16840" w:h="11910" w:orient="landscape"/>
          <w:pgMar w:top="560" w:right="280" w:bottom="280" w:left="500" w:header="0" w:footer="0" w:gutter="0"/>
          <w:cols w:num="3" w:space="720" w:equalWidth="0">
            <w:col w:w="4922" w:space="40"/>
            <w:col w:w="2065" w:space="2248"/>
            <w:col w:w="6785"/>
          </w:cols>
        </w:sectPr>
      </w:pPr>
    </w:p>
    <w:p w:rsidR="002C1123" w:rsidRDefault="002C1123">
      <w:pPr>
        <w:pStyle w:val="BodyText"/>
        <w:spacing w:before="2"/>
        <w:rPr>
          <w:sz w:val="14"/>
        </w:rPr>
      </w:pPr>
    </w:p>
    <w:p w:rsidR="002C1123" w:rsidRDefault="002C1123">
      <w:pPr>
        <w:rPr>
          <w:sz w:val="14"/>
        </w:rPr>
        <w:sectPr w:rsidR="002C1123">
          <w:type w:val="continuous"/>
          <w:pgSz w:w="16840" w:h="11910" w:orient="landscape"/>
          <w:pgMar w:top="560" w:right="280" w:bottom="280" w:left="500" w:header="0" w:footer="0" w:gutter="0"/>
          <w:cols w:space="720"/>
        </w:sectPr>
      </w:pPr>
    </w:p>
    <w:p w:rsidR="002C1123" w:rsidRDefault="00F22F94">
      <w:pPr>
        <w:spacing w:before="99"/>
        <w:ind w:right="263"/>
        <w:jc w:val="right"/>
        <w:rPr>
          <w:sz w:val="16"/>
        </w:rPr>
      </w:pPr>
      <w:r>
        <w:rPr>
          <w:w w:val="75"/>
          <w:sz w:val="16"/>
        </w:rPr>
        <w:t>Chatswood</w:t>
      </w:r>
      <w:r>
        <w:rPr>
          <w:spacing w:val="3"/>
          <w:sz w:val="16"/>
        </w:rPr>
        <w:t xml:space="preserve"> </w:t>
      </w:r>
      <w:r>
        <w:rPr>
          <w:w w:val="75"/>
          <w:sz w:val="16"/>
        </w:rPr>
        <w:t>&amp;</w:t>
      </w:r>
      <w:r>
        <w:rPr>
          <w:spacing w:val="3"/>
          <w:sz w:val="16"/>
        </w:rPr>
        <w:t xml:space="preserve"> </w:t>
      </w:r>
      <w:r>
        <w:rPr>
          <w:w w:val="75"/>
          <w:sz w:val="16"/>
        </w:rPr>
        <w:t>St</w:t>
      </w:r>
      <w:r>
        <w:rPr>
          <w:spacing w:val="3"/>
          <w:sz w:val="16"/>
        </w:rPr>
        <w:t xml:space="preserve"> </w:t>
      </w:r>
      <w:r>
        <w:rPr>
          <w:spacing w:val="-2"/>
          <w:w w:val="75"/>
          <w:sz w:val="16"/>
        </w:rPr>
        <w:t>Leonards</w:t>
      </w:r>
    </w:p>
    <w:p w:rsidR="002C1123" w:rsidRDefault="002C1123">
      <w:pPr>
        <w:pStyle w:val="BodyText"/>
        <w:rPr>
          <w:sz w:val="18"/>
        </w:rPr>
      </w:pPr>
    </w:p>
    <w:p w:rsidR="002C1123" w:rsidRDefault="002C1123">
      <w:pPr>
        <w:pStyle w:val="BodyText"/>
        <w:rPr>
          <w:sz w:val="15"/>
        </w:rPr>
      </w:pPr>
    </w:p>
    <w:p w:rsidR="002C1123" w:rsidRDefault="00F22F94">
      <w:pPr>
        <w:tabs>
          <w:tab w:val="left" w:pos="816"/>
        </w:tabs>
        <w:jc w:val="right"/>
        <w:rPr>
          <w:sz w:val="16"/>
        </w:rPr>
      </w:pPr>
      <w:r>
        <w:rPr>
          <w:spacing w:val="-5"/>
          <w:w w:val="95"/>
          <w:sz w:val="16"/>
        </w:rPr>
        <w:t>44</w:t>
      </w:r>
      <w:r>
        <w:rPr>
          <w:sz w:val="16"/>
        </w:rPr>
        <w:tab/>
      </w:r>
      <w:r>
        <w:rPr>
          <w:spacing w:val="-7"/>
          <w:w w:val="95"/>
          <w:sz w:val="16"/>
        </w:rPr>
        <w:t>56</w:t>
      </w:r>
    </w:p>
    <w:p w:rsidR="002C1123" w:rsidRDefault="00F22F94">
      <w:pPr>
        <w:spacing w:before="3"/>
        <w:rPr>
          <w:sz w:val="15"/>
        </w:rPr>
      </w:pPr>
      <w:r>
        <w:br w:type="column"/>
      </w:r>
    </w:p>
    <w:p w:rsidR="002C1123" w:rsidRDefault="00F22F94">
      <w:pPr>
        <w:jc w:val="right"/>
        <w:rPr>
          <w:sz w:val="16"/>
        </w:rPr>
      </w:pPr>
      <w:r>
        <w:rPr>
          <w:w w:val="86"/>
          <w:sz w:val="16"/>
        </w:rPr>
        <w:t>0</w:t>
      </w:r>
    </w:p>
    <w:p w:rsidR="002C1123" w:rsidRDefault="002C1123">
      <w:pPr>
        <w:pStyle w:val="BodyText"/>
        <w:rPr>
          <w:sz w:val="18"/>
        </w:rPr>
      </w:pPr>
    </w:p>
    <w:p w:rsidR="002C1123" w:rsidRDefault="002C1123">
      <w:pPr>
        <w:pStyle w:val="BodyText"/>
        <w:rPr>
          <w:sz w:val="18"/>
        </w:rPr>
      </w:pPr>
    </w:p>
    <w:p w:rsidR="002C1123" w:rsidRDefault="002C1123">
      <w:pPr>
        <w:pStyle w:val="BodyText"/>
        <w:spacing w:before="9"/>
        <w:rPr>
          <w:sz w:val="14"/>
        </w:rPr>
      </w:pPr>
    </w:p>
    <w:p w:rsidR="002C1123" w:rsidRDefault="002060EF">
      <w:pPr>
        <w:spacing w:before="1"/>
        <w:ind w:right="125"/>
        <w:jc w:val="right"/>
        <w:rPr>
          <w:sz w:val="18"/>
        </w:rPr>
      </w:pPr>
      <w:r>
        <w:pict>
          <v:line id="_x0000_s4673" style="position:absolute;left:0;text-align:left;z-index:251269120;mso-position-horizontal-relative:page" from="699.6pt,19.1pt" to="771.25pt,19.1pt" strokecolor="#b2b1b3" strokeweight=".4pt">
            <w10:wrap anchorx="page"/>
          </v:line>
        </w:pict>
      </w:r>
      <w:r w:rsidR="00F22F94">
        <w:rPr>
          <w:spacing w:val="-4"/>
          <w:w w:val="95"/>
          <w:sz w:val="18"/>
        </w:rPr>
        <w:t>Jobs</w:t>
      </w:r>
    </w:p>
    <w:p w:rsidR="002C1123" w:rsidRDefault="00F22F94">
      <w:pPr>
        <w:rPr>
          <w:sz w:val="18"/>
        </w:rPr>
      </w:pPr>
      <w:r>
        <w:br w:type="column"/>
      </w:r>
    </w:p>
    <w:p w:rsidR="002C1123" w:rsidRDefault="00F22F94">
      <w:pPr>
        <w:spacing w:before="110"/>
        <w:ind w:left="290"/>
        <w:rPr>
          <w:sz w:val="16"/>
        </w:rPr>
      </w:pPr>
      <w:r>
        <w:rPr>
          <w:spacing w:val="-4"/>
          <w:w w:val="85"/>
          <w:sz w:val="16"/>
        </w:rPr>
        <w:t>2011</w:t>
      </w:r>
    </w:p>
    <w:p w:rsidR="002C1123" w:rsidRDefault="00F22F94">
      <w:pPr>
        <w:rPr>
          <w:sz w:val="18"/>
        </w:rPr>
      </w:pPr>
      <w:r>
        <w:br w:type="column"/>
      </w:r>
    </w:p>
    <w:p w:rsidR="002C1123" w:rsidRDefault="00F22F94">
      <w:pPr>
        <w:spacing w:before="110"/>
        <w:ind w:left="297"/>
        <w:rPr>
          <w:sz w:val="16"/>
        </w:rPr>
      </w:pPr>
      <w:r>
        <w:rPr>
          <w:spacing w:val="-4"/>
          <w:w w:val="95"/>
          <w:sz w:val="16"/>
        </w:rPr>
        <w:t>2032</w:t>
      </w:r>
    </w:p>
    <w:p w:rsidR="002C1123" w:rsidRDefault="002C1123">
      <w:pPr>
        <w:rPr>
          <w:sz w:val="16"/>
        </w:rPr>
        <w:sectPr w:rsidR="002C1123">
          <w:type w:val="continuous"/>
          <w:pgSz w:w="16840" w:h="11910" w:orient="landscape"/>
          <w:pgMar w:top="560" w:right="280" w:bottom="280" w:left="500" w:header="0" w:footer="0" w:gutter="0"/>
          <w:cols w:num="4" w:space="720" w:equalWidth="0">
            <w:col w:w="7427" w:space="40"/>
            <w:col w:w="5935" w:space="39"/>
            <w:col w:w="599" w:space="40"/>
            <w:col w:w="1980"/>
          </w:cols>
        </w:sectPr>
      </w:pPr>
    </w:p>
    <w:p w:rsidR="002C1123" w:rsidRDefault="00F22F94">
      <w:pPr>
        <w:spacing w:before="13"/>
        <w:jc w:val="right"/>
        <w:rPr>
          <w:sz w:val="16"/>
        </w:rPr>
      </w:pPr>
      <w:r>
        <w:rPr>
          <w:w w:val="75"/>
          <w:sz w:val="16"/>
        </w:rPr>
        <w:t>North</w:t>
      </w:r>
      <w:r>
        <w:rPr>
          <w:spacing w:val="4"/>
          <w:sz w:val="16"/>
        </w:rPr>
        <w:t xml:space="preserve"> </w:t>
      </w:r>
      <w:r>
        <w:rPr>
          <w:spacing w:val="-2"/>
          <w:w w:val="85"/>
          <w:sz w:val="16"/>
        </w:rPr>
        <w:t>Sydney</w:t>
      </w:r>
    </w:p>
    <w:p w:rsidR="002C1123" w:rsidRDefault="00F22F94">
      <w:pPr>
        <w:spacing w:before="83"/>
        <w:ind w:right="2643"/>
        <w:jc w:val="right"/>
        <w:rPr>
          <w:sz w:val="16"/>
        </w:rPr>
      </w:pPr>
      <w:r>
        <w:br w:type="column"/>
      </w:r>
      <w:r>
        <w:rPr>
          <w:spacing w:val="-5"/>
          <w:w w:val="95"/>
          <w:sz w:val="16"/>
        </w:rPr>
        <w:t>1.5</w:t>
      </w:r>
    </w:p>
    <w:p w:rsidR="002C1123" w:rsidRDefault="002C1123">
      <w:pPr>
        <w:jc w:val="right"/>
        <w:rPr>
          <w:sz w:val="16"/>
        </w:rPr>
        <w:sectPr w:rsidR="002C1123">
          <w:type w:val="continuous"/>
          <w:pgSz w:w="16840" w:h="11910" w:orient="landscape"/>
          <w:pgMar w:top="560" w:right="280" w:bottom="280" w:left="500" w:header="0" w:footer="0" w:gutter="0"/>
          <w:cols w:num="2" w:space="720" w:equalWidth="0">
            <w:col w:w="7357" w:space="40"/>
            <w:col w:w="8663"/>
          </w:cols>
        </w:sectPr>
      </w:pPr>
    </w:p>
    <w:p w:rsidR="002C1123" w:rsidRDefault="002C1123">
      <w:pPr>
        <w:pStyle w:val="BodyText"/>
      </w:pPr>
    </w:p>
    <w:p w:rsidR="002C1123" w:rsidRDefault="002C1123">
      <w:pPr>
        <w:sectPr w:rsidR="002C1123">
          <w:type w:val="continuous"/>
          <w:pgSz w:w="16840" w:h="11910" w:orient="landscape"/>
          <w:pgMar w:top="560" w:right="280" w:bottom="280" w:left="500" w:header="0" w:footer="0" w:gutter="0"/>
          <w:cols w:space="720"/>
        </w:sectPr>
      </w:pPr>
    </w:p>
    <w:p w:rsidR="002C1123" w:rsidRDefault="002C1123">
      <w:pPr>
        <w:pStyle w:val="BodyText"/>
        <w:rPr>
          <w:sz w:val="18"/>
        </w:rPr>
      </w:pPr>
    </w:p>
    <w:p w:rsidR="002C1123" w:rsidRDefault="00F22F94">
      <w:pPr>
        <w:spacing w:before="143" w:line="162" w:lineRule="exact"/>
        <w:ind w:right="699"/>
        <w:jc w:val="right"/>
        <w:rPr>
          <w:sz w:val="16"/>
        </w:rPr>
      </w:pPr>
      <w:r>
        <w:rPr>
          <w:w w:val="75"/>
          <w:sz w:val="16"/>
        </w:rPr>
        <w:t>Ultimo</w:t>
      </w:r>
      <w:r>
        <w:rPr>
          <w:spacing w:val="2"/>
          <w:sz w:val="16"/>
        </w:rPr>
        <w:t xml:space="preserve"> </w:t>
      </w:r>
      <w:r>
        <w:rPr>
          <w:w w:val="75"/>
          <w:sz w:val="16"/>
        </w:rPr>
        <w:t>&amp;</w:t>
      </w:r>
      <w:r>
        <w:rPr>
          <w:spacing w:val="2"/>
          <w:sz w:val="16"/>
        </w:rPr>
        <w:t xml:space="preserve"> </w:t>
      </w:r>
      <w:r>
        <w:rPr>
          <w:spacing w:val="-2"/>
          <w:w w:val="75"/>
          <w:sz w:val="16"/>
        </w:rPr>
        <w:t>Pyrmont</w:t>
      </w:r>
    </w:p>
    <w:p w:rsidR="002C1123" w:rsidRDefault="00F22F94">
      <w:pPr>
        <w:spacing w:line="162" w:lineRule="exact"/>
        <w:jc w:val="right"/>
        <w:rPr>
          <w:sz w:val="16"/>
        </w:rPr>
      </w:pPr>
      <w:r>
        <w:rPr>
          <w:w w:val="75"/>
          <w:sz w:val="16"/>
        </w:rPr>
        <w:t>Sydney</w:t>
      </w:r>
      <w:r>
        <w:rPr>
          <w:spacing w:val="-1"/>
          <w:w w:val="85"/>
          <w:sz w:val="16"/>
        </w:rPr>
        <w:t xml:space="preserve"> </w:t>
      </w:r>
      <w:r>
        <w:rPr>
          <w:spacing w:val="-5"/>
          <w:w w:val="85"/>
          <w:sz w:val="16"/>
        </w:rPr>
        <w:t>CBD</w:t>
      </w:r>
    </w:p>
    <w:p w:rsidR="002C1123" w:rsidRDefault="00F22F94">
      <w:pPr>
        <w:tabs>
          <w:tab w:val="left" w:pos="532"/>
        </w:tabs>
        <w:spacing w:before="46"/>
        <w:ind w:right="865"/>
        <w:jc w:val="right"/>
        <w:rPr>
          <w:sz w:val="16"/>
        </w:rPr>
      </w:pPr>
      <w:r>
        <w:rPr>
          <w:spacing w:val="-5"/>
          <w:w w:val="95"/>
          <w:sz w:val="16"/>
        </w:rPr>
        <w:t>18</w:t>
      </w:r>
      <w:r>
        <w:rPr>
          <w:sz w:val="16"/>
        </w:rPr>
        <w:tab/>
      </w:r>
      <w:r>
        <w:rPr>
          <w:spacing w:val="-5"/>
          <w:w w:val="95"/>
          <w:sz w:val="16"/>
        </w:rPr>
        <w:t>22</w:t>
      </w: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spacing w:before="6"/>
        <w:rPr>
          <w:sz w:val="24"/>
        </w:rPr>
      </w:pPr>
    </w:p>
    <w:p w:rsidR="002C1123" w:rsidRDefault="00F22F94">
      <w:pPr>
        <w:tabs>
          <w:tab w:val="left" w:pos="770"/>
        </w:tabs>
        <w:ind w:right="525"/>
        <w:jc w:val="right"/>
        <w:rPr>
          <w:sz w:val="16"/>
        </w:rPr>
      </w:pPr>
      <w:r>
        <w:rPr>
          <w:spacing w:val="-5"/>
          <w:w w:val="95"/>
          <w:sz w:val="16"/>
        </w:rPr>
        <w:t>34</w:t>
      </w:r>
      <w:r>
        <w:rPr>
          <w:sz w:val="16"/>
        </w:rPr>
        <w:tab/>
      </w:r>
      <w:r>
        <w:rPr>
          <w:spacing w:val="-7"/>
          <w:w w:val="95"/>
          <w:sz w:val="16"/>
        </w:rPr>
        <w:t>56</w:t>
      </w:r>
    </w:p>
    <w:p w:rsidR="002C1123" w:rsidRDefault="00F22F94">
      <w:pPr>
        <w:spacing w:before="9"/>
        <w:rPr>
          <w:sz w:val="21"/>
        </w:rPr>
      </w:pPr>
      <w:r>
        <w:br w:type="column"/>
      </w:r>
    </w:p>
    <w:p w:rsidR="002C1123" w:rsidRDefault="00F22F94">
      <w:pPr>
        <w:tabs>
          <w:tab w:val="left" w:pos="2872"/>
        </w:tabs>
        <w:ind w:left="943"/>
        <w:rPr>
          <w:sz w:val="16"/>
        </w:rPr>
      </w:pPr>
      <w:r>
        <w:rPr>
          <w:spacing w:val="-5"/>
          <w:w w:val="95"/>
          <w:sz w:val="16"/>
        </w:rPr>
        <w:t>288</w:t>
      </w:r>
      <w:r>
        <w:rPr>
          <w:sz w:val="16"/>
        </w:rPr>
        <w:tab/>
      </w:r>
      <w:r>
        <w:rPr>
          <w:spacing w:val="-8"/>
          <w:w w:val="90"/>
          <w:sz w:val="16"/>
        </w:rPr>
        <w:t>363</w:t>
      </w:r>
    </w:p>
    <w:p w:rsidR="002C1123" w:rsidRDefault="00F22F94">
      <w:pPr>
        <w:spacing w:before="7"/>
        <w:rPr>
          <w:sz w:val="24"/>
        </w:rPr>
      </w:pPr>
      <w:r>
        <w:br w:type="column"/>
      </w:r>
    </w:p>
    <w:p w:rsidR="002C1123" w:rsidRDefault="002060EF">
      <w:pPr>
        <w:jc w:val="right"/>
        <w:rPr>
          <w:sz w:val="16"/>
        </w:rPr>
      </w:pPr>
      <w:r>
        <w:pict>
          <v:shape id="docshape648" o:spid="_x0000_s4672" type="#_x0000_t202" style="position:absolute;left:0;text-align:left;margin-left:670.55pt;margin-top:10.2pt;width:11.05pt;height:23.45pt;z-index:251273216;mso-position-horizontal-relative:page" filled="f" stroked="f">
            <v:textbox style="layout-flow:vertical;mso-layout-flow-alt:bottom-to-top" inset="0,0,0,0">
              <w:txbxContent>
                <w:p w:rsidR="00F22F94" w:rsidRDefault="00F22F94">
                  <w:pPr>
                    <w:spacing w:before="18"/>
                    <w:ind w:left="20"/>
                    <w:rPr>
                      <w:sz w:val="16"/>
                    </w:rPr>
                  </w:pPr>
                  <w:r>
                    <w:rPr>
                      <w:spacing w:val="-2"/>
                      <w:w w:val="80"/>
                      <w:sz w:val="16"/>
                    </w:rPr>
                    <w:t>Millions</w:t>
                  </w:r>
                </w:p>
              </w:txbxContent>
            </v:textbox>
            <w10:wrap anchorx="page"/>
          </v:shape>
        </w:pict>
      </w:r>
      <w:r w:rsidR="00F22F94">
        <w:rPr>
          <w:spacing w:val="-5"/>
          <w:w w:val="95"/>
          <w:sz w:val="16"/>
        </w:rPr>
        <w:t>1.0</w:t>
      </w:r>
    </w:p>
    <w:p w:rsidR="002C1123" w:rsidRDefault="002C1123">
      <w:pPr>
        <w:pStyle w:val="BodyText"/>
        <w:rPr>
          <w:sz w:val="18"/>
        </w:rPr>
      </w:pPr>
    </w:p>
    <w:p w:rsidR="002C1123" w:rsidRDefault="002C1123">
      <w:pPr>
        <w:pStyle w:val="BodyText"/>
        <w:spacing w:before="7"/>
        <w:rPr>
          <w:sz w:val="26"/>
        </w:rPr>
      </w:pPr>
    </w:p>
    <w:p w:rsidR="002C1123" w:rsidRDefault="00F22F94">
      <w:pPr>
        <w:jc w:val="right"/>
        <w:rPr>
          <w:sz w:val="16"/>
        </w:rPr>
      </w:pPr>
      <w:r>
        <w:rPr>
          <w:spacing w:val="-5"/>
          <w:w w:val="95"/>
          <w:sz w:val="16"/>
        </w:rPr>
        <w:t>0.5</w:t>
      </w:r>
    </w:p>
    <w:p w:rsidR="002C1123" w:rsidRDefault="002C1123">
      <w:pPr>
        <w:pStyle w:val="BodyText"/>
        <w:rPr>
          <w:sz w:val="18"/>
        </w:rPr>
      </w:pPr>
    </w:p>
    <w:p w:rsidR="002C1123" w:rsidRDefault="002C1123">
      <w:pPr>
        <w:pStyle w:val="BodyText"/>
        <w:spacing w:before="7"/>
        <w:rPr>
          <w:sz w:val="26"/>
        </w:rPr>
      </w:pPr>
    </w:p>
    <w:p w:rsidR="002C1123" w:rsidRDefault="00F22F94">
      <w:pPr>
        <w:spacing w:before="1"/>
        <w:jc w:val="right"/>
        <w:rPr>
          <w:sz w:val="16"/>
        </w:rPr>
      </w:pPr>
      <w:r>
        <w:rPr>
          <w:w w:val="86"/>
          <w:sz w:val="16"/>
        </w:rPr>
        <w:t>0</w:t>
      </w:r>
    </w:p>
    <w:p w:rsidR="002C1123" w:rsidRDefault="00F22F94">
      <w:pPr>
        <w:spacing w:before="7"/>
        <w:rPr>
          <w:sz w:val="7"/>
        </w:rPr>
      </w:pPr>
      <w:r>
        <w:br w:type="column"/>
      </w:r>
    </w:p>
    <w:tbl>
      <w:tblPr>
        <w:tblW w:w="0" w:type="auto"/>
        <w:tblInd w:w="46" w:type="dxa"/>
        <w:tblLayout w:type="fixed"/>
        <w:tblCellMar>
          <w:left w:w="0" w:type="dxa"/>
          <w:right w:w="0" w:type="dxa"/>
        </w:tblCellMar>
        <w:tblLook w:val="01E0" w:firstRow="1" w:lastRow="1" w:firstColumn="1" w:lastColumn="1" w:noHBand="0" w:noVBand="0"/>
      </w:tblPr>
      <w:tblGrid>
        <w:gridCol w:w="168"/>
        <w:gridCol w:w="451"/>
        <w:gridCol w:w="193"/>
        <w:gridCol w:w="451"/>
        <w:gridCol w:w="168"/>
      </w:tblGrid>
      <w:tr w:rsidR="002C1123">
        <w:trPr>
          <w:trHeight w:val="269"/>
        </w:trPr>
        <w:tc>
          <w:tcPr>
            <w:tcW w:w="812" w:type="dxa"/>
            <w:gridSpan w:val="3"/>
            <w:tcBorders>
              <w:bottom w:val="single" w:sz="4" w:space="0" w:color="B2B1B3"/>
            </w:tcBorders>
            <w:shd w:val="clear" w:color="auto" w:fill="E1E0E1"/>
          </w:tcPr>
          <w:p w:rsidR="002C1123" w:rsidRDefault="002C1123">
            <w:pPr>
              <w:pStyle w:val="TableParagraph"/>
              <w:spacing w:before="0"/>
              <w:ind w:left="0"/>
              <w:rPr>
                <w:rFonts w:ascii="Times New Roman"/>
                <w:sz w:val="14"/>
              </w:rPr>
            </w:pPr>
          </w:p>
        </w:tc>
        <w:tc>
          <w:tcPr>
            <w:tcW w:w="451" w:type="dxa"/>
            <w:vMerge w:val="restart"/>
            <w:tcBorders>
              <w:bottom w:val="single" w:sz="8" w:space="0" w:color="B2B1B3"/>
            </w:tcBorders>
            <w:shd w:val="clear" w:color="auto" w:fill="2E3092"/>
          </w:tcPr>
          <w:p w:rsidR="002C1123" w:rsidRDefault="002C1123">
            <w:pPr>
              <w:pStyle w:val="TableParagraph"/>
              <w:spacing w:before="0"/>
              <w:ind w:left="0"/>
              <w:rPr>
                <w:rFonts w:ascii="Times New Roman"/>
                <w:sz w:val="14"/>
              </w:rPr>
            </w:pPr>
          </w:p>
        </w:tc>
        <w:tc>
          <w:tcPr>
            <w:tcW w:w="168" w:type="dxa"/>
            <w:tcBorders>
              <w:bottom w:val="single" w:sz="4" w:space="0" w:color="B2B1B3"/>
            </w:tcBorders>
            <w:shd w:val="clear" w:color="auto" w:fill="E1E0E1"/>
          </w:tcPr>
          <w:p w:rsidR="002C1123" w:rsidRDefault="002C1123">
            <w:pPr>
              <w:pStyle w:val="TableParagraph"/>
              <w:spacing w:before="0"/>
              <w:ind w:left="0"/>
              <w:rPr>
                <w:rFonts w:ascii="Times New Roman"/>
                <w:sz w:val="14"/>
              </w:rPr>
            </w:pPr>
          </w:p>
        </w:tc>
      </w:tr>
      <w:tr w:rsidR="002C1123">
        <w:trPr>
          <w:trHeight w:val="677"/>
        </w:trPr>
        <w:tc>
          <w:tcPr>
            <w:tcW w:w="168" w:type="dxa"/>
            <w:tcBorders>
              <w:top w:val="single" w:sz="4" w:space="0" w:color="B2B1B3"/>
              <w:bottom w:val="single" w:sz="4" w:space="0" w:color="B2B1B3"/>
            </w:tcBorders>
            <w:shd w:val="clear" w:color="auto" w:fill="E1E0E1"/>
          </w:tcPr>
          <w:p w:rsidR="002C1123" w:rsidRDefault="002C1123">
            <w:pPr>
              <w:pStyle w:val="TableParagraph"/>
              <w:spacing w:before="0"/>
              <w:ind w:left="0"/>
              <w:rPr>
                <w:rFonts w:ascii="Times New Roman"/>
                <w:sz w:val="14"/>
              </w:rPr>
            </w:pPr>
          </w:p>
        </w:tc>
        <w:tc>
          <w:tcPr>
            <w:tcW w:w="451" w:type="dxa"/>
            <w:vMerge w:val="restart"/>
            <w:tcBorders>
              <w:top w:val="single" w:sz="4" w:space="0" w:color="B2B1B3"/>
              <w:bottom w:val="single" w:sz="8" w:space="0" w:color="B2B1B3"/>
            </w:tcBorders>
            <w:shd w:val="clear" w:color="auto" w:fill="00AEEF"/>
          </w:tcPr>
          <w:p w:rsidR="002C1123" w:rsidRDefault="002C1123">
            <w:pPr>
              <w:pStyle w:val="TableParagraph"/>
              <w:spacing w:before="0"/>
              <w:ind w:left="0"/>
              <w:rPr>
                <w:rFonts w:ascii="Times New Roman"/>
                <w:sz w:val="14"/>
              </w:rPr>
            </w:pPr>
          </w:p>
        </w:tc>
        <w:tc>
          <w:tcPr>
            <w:tcW w:w="193" w:type="dxa"/>
            <w:tcBorders>
              <w:top w:val="single" w:sz="4" w:space="0" w:color="B2B1B3"/>
              <w:bottom w:val="single" w:sz="4" w:space="0" w:color="B2B1B3"/>
            </w:tcBorders>
            <w:shd w:val="clear" w:color="auto" w:fill="E1E0E1"/>
          </w:tcPr>
          <w:p w:rsidR="002C1123" w:rsidRDefault="002C1123">
            <w:pPr>
              <w:pStyle w:val="TableParagraph"/>
              <w:spacing w:before="0"/>
              <w:ind w:left="0"/>
              <w:rPr>
                <w:rFonts w:ascii="Times New Roman"/>
                <w:sz w:val="14"/>
              </w:rPr>
            </w:pPr>
          </w:p>
        </w:tc>
        <w:tc>
          <w:tcPr>
            <w:tcW w:w="451" w:type="dxa"/>
            <w:vMerge/>
            <w:tcBorders>
              <w:top w:val="nil"/>
              <w:bottom w:val="single" w:sz="8" w:space="0" w:color="B2B1B3"/>
            </w:tcBorders>
            <w:shd w:val="clear" w:color="auto" w:fill="2E3092"/>
          </w:tcPr>
          <w:p w:rsidR="002C1123" w:rsidRDefault="002C1123">
            <w:pPr>
              <w:rPr>
                <w:sz w:val="2"/>
                <w:szCs w:val="2"/>
              </w:rPr>
            </w:pPr>
          </w:p>
        </w:tc>
        <w:tc>
          <w:tcPr>
            <w:tcW w:w="168" w:type="dxa"/>
            <w:tcBorders>
              <w:top w:val="single" w:sz="4" w:space="0" w:color="B2B1B3"/>
              <w:bottom w:val="single" w:sz="4" w:space="0" w:color="B2B1B3"/>
            </w:tcBorders>
            <w:shd w:val="clear" w:color="auto" w:fill="E1E0E1"/>
          </w:tcPr>
          <w:p w:rsidR="002C1123" w:rsidRDefault="002C1123">
            <w:pPr>
              <w:pStyle w:val="TableParagraph"/>
              <w:spacing w:before="0"/>
              <w:ind w:left="0"/>
              <w:rPr>
                <w:rFonts w:ascii="Times New Roman"/>
                <w:sz w:val="14"/>
              </w:rPr>
            </w:pPr>
          </w:p>
        </w:tc>
      </w:tr>
      <w:tr w:rsidR="002C1123">
        <w:trPr>
          <w:trHeight w:val="677"/>
        </w:trPr>
        <w:tc>
          <w:tcPr>
            <w:tcW w:w="168" w:type="dxa"/>
            <w:tcBorders>
              <w:top w:val="single" w:sz="4" w:space="0" w:color="B2B1B3"/>
              <w:bottom w:val="single" w:sz="8" w:space="0" w:color="B2B1B3"/>
            </w:tcBorders>
            <w:shd w:val="clear" w:color="auto" w:fill="E1E0E1"/>
          </w:tcPr>
          <w:p w:rsidR="002C1123" w:rsidRDefault="002C1123">
            <w:pPr>
              <w:pStyle w:val="TableParagraph"/>
              <w:spacing w:before="0"/>
              <w:ind w:left="0"/>
              <w:rPr>
                <w:rFonts w:ascii="Times New Roman"/>
                <w:sz w:val="14"/>
              </w:rPr>
            </w:pPr>
          </w:p>
        </w:tc>
        <w:tc>
          <w:tcPr>
            <w:tcW w:w="451" w:type="dxa"/>
            <w:vMerge/>
            <w:tcBorders>
              <w:top w:val="nil"/>
              <w:bottom w:val="single" w:sz="8" w:space="0" w:color="B2B1B3"/>
            </w:tcBorders>
            <w:shd w:val="clear" w:color="auto" w:fill="00AEEF"/>
          </w:tcPr>
          <w:p w:rsidR="002C1123" w:rsidRDefault="002C1123">
            <w:pPr>
              <w:rPr>
                <w:sz w:val="2"/>
                <w:szCs w:val="2"/>
              </w:rPr>
            </w:pPr>
          </w:p>
        </w:tc>
        <w:tc>
          <w:tcPr>
            <w:tcW w:w="193" w:type="dxa"/>
            <w:tcBorders>
              <w:top w:val="single" w:sz="4" w:space="0" w:color="B2B1B3"/>
              <w:bottom w:val="single" w:sz="8" w:space="0" w:color="B2B1B3"/>
            </w:tcBorders>
            <w:shd w:val="clear" w:color="auto" w:fill="E1E0E1"/>
          </w:tcPr>
          <w:p w:rsidR="002C1123" w:rsidRDefault="002C1123">
            <w:pPr>
              <w:pStyle w:val="TableParagraph"/>
              <w:spacing w:before="0"/>
              <w:ind w:left="0"/>
              <w:rPr>
                <w:rFonts w:ascii="Times New Roman"/>
                <w:sz w:val="14"/>
              </w:rPr>
            </w:pPr>
          </w:p>
        </w:tc>
        <w:tc>
          <w:tcPr>
            <w:tcW w:w="451" w:type="dxa"/>
            <w:vMerge/>
            <w:tcBorders>
              <w:top w:val="nil"/>
              <w:bottom w:val="single" w:sz="8" w:space="0" w:color="B2B1B3"/>
            </w:tcBorders>
            <w:shd w:val="clear" w:color="auto" w:fill="2E3092"/>
          </w:tcPr>
          <w:p w:rsidR="002C1123" w:rsidRDefault="002C1123">
            <w:pPr>
              <w:rPr>
                <w:sz w:val="2"/>
                <w:szCs w:val="2"/>
              </w:rPr>
            </w:pPr>
          </w:p>
        </w:tc>
        <w:tc>
          <w:tcPr>
            <w:tcW w:w="168" w:type="dxa"/>
            <w:tcBorders>
              <w:top w:val="single" w:sz="4" w:space="0" w:color="B2B1B3"/>
              <w:bottom w:val="single" w:sz="8" w:space="0" w:color="B2B1B3"/>
            </w:tcBorders>
            <w:shd w:val="clear" w:color="auto" w:fill="E1E0E1"/>
          </w:tcPr>
          <w:p w:rsidR="002C1123" w:rsidRDefault="002C1123">
            <w:pPr>
              <w:pStyle w:val="TableParagraph"/>
              <w:spacing w:before="0"/>
              <w:ind w:left="0"/>
              <w:rPr>
                <w:rFonts w:ascii="Times New Roman"/>
                <w:sz w:val="14"/>
              </w:rPr>
            </w:pPr>
          </w:p>
        </w:tc>
      </w:tr>
    </w:tbl>
    <w:p w:rsidR="002C1123" w:rsidRDefault="00F22F94">
      <w:pPr>
        <w:tabs>
          <w:tab w:val="left" w:pos="924"/>
        </w:tabs>
        <w:spacing w:before="52"/>
        <w:ind w:left="279"/>
        <w:rPr>
          <w:sz w:val="16"/>
        </w:rPr>
      </w:pPr>
      <w:r>
        <w:rPr>
          <w:spacing w:val="-4"/>
          <w:w w:val="95"/>
          <w:sz w:val="16"/>
        </w:rPr>
        <w:t>2011</w:t>
      </w:r>
      <w:r>
        <w:rPr>
          <w:sz w:val="16"/>
        </w:rPr>
        <w:tab/>
      </w:r>
      <w:r>
        <w:rPr>
          <w:spacing w:val="-4"/>
          <w:w w:val="95"/>
          <w:sz w:val="16"/>
        </w:rPr>
        <w:t>2032</w:t>
      </w:r>
    </w:p>
    <w:p w:rsidR="002C1123" w:rsidRDefault="002C1123">
      <w:pPr>
        <w:rPr>
          <w:sz w:val="16"/>
        </w:rPr>
        <w:sectPr w:rsidR="002C1123">
          <w:type w:val="continuous"/>
          <w:pgSz w:w="16840" w:h="11910" w:orient="landscape"/>
          <w:pgMar w:top="560" w:right="280" w:bottom="280" w:left="500" w:header="0" w:footer="0" w:gutter="0"/>
          <w:cols w:num="4" w:space="720" w:equalWidth="0">
            <w:col w:w="7281" w:space="40"/>
            <w:col w:w="3104" w:space="39"/>
            <w:col w:w="2949" w:space="39"/>
            <w:col w:w="2608"/>
          </w:cols>
        </w:sectPr>
      </w:pPr>
    </w:p>
    <w:p w:rsidR="002C1123" w:rsidRDefault="002C1123">
      <w:pPr>
        <w:pStyle w:val="BodyText"/>
        <w:spacing w:before="7"/>
        <w:rPr>
          <w:sz w:val="21"/>
        </w:rPr>
      </w:pPr>
    </w:p>
    <w:p w:rsidR="002C1123" w:rsidRDefault="002C1123">
      <w:pPr>
        <w:rPr>
          <w:sz w:val="21"/>
        </w:rPr>
        <w:sectPr w:rsidR="002C1123">
          <w:type w:val="continuous"/>
          <w:pgSz w:w="16840" w:h="11910" w:orient="landscape"/>
          <w:pgMar w:top="560" w:right="280" w:bottom="280" w:left="500" w:header="0" w:footer="0"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F22F94">
      <w:pPr>
        <w:spacing w:before="159"/>
        <w:ind w:left="758"/>
        <w:rPr>
          <w:b/>
          <w:sz w:val="18"/>
        </w:rPr>
      </w:pPr>
      <w:r>
        <w:rPr>
          <w:b/>
          <w:spacing w:val="-2"/>
          <w:w w:val="85"/>
          <w:sz w:val="18"/>
        </w:rPr>
        <w:t>Employment</w:t>
      </w:r>
    </w:p>
    <w:p w:rsidR="002C1123" w:rsidRDefault="00F22F94">
      <w:pPr>
        <w:spacing w:before="128"/>
        <w:ind w:left="1100"/>
        <w:rPr>
          <w:sz w:val="16"/>
        </w:rPr>
      </w:pPr>
      <w:r>
        <w:rPr>
          <w:spacing w:val="-4"/>
          <w:w w:val="95"/>
          <w:sz w:val="16"/>
        </w:rPr>
        <w:t>2011</w:t>
      </w:r>
    </w:p>
    <w:p w:rsidR="002C1123" w:rsidRDefault="002C1123">
      <w:pPr>
        <w:pStyle w:val="BodyText"/>
        <w:spacing w:before="6"/>
        <w:rPr>
          <w:sz w:val="16"/>
        </w:rPr>
      </w:pPr>
    </w:p>
    <w:p w:rsidR="002C1123" w:rsidRDefault="00F22F94">
      <w:pPr>
        <w:ind w:left="1100"/>
        <w:rPr>
          <w:sz w:val="16"/>
        </w:rPr>
      </w:pPr>
      <w:r>
        <w:rPr>
          <w:spacing w:val="-4"/>
          <w:w w:val="95"/>
          <w:sz w:val="16"/>
        </w:rPr>
        <w:t>2031</w:t>
      </w:r>
    </w:p>
    <w:p w:rsidR="002C1123" w:rsidRDefault="00F22F94">
      <w:pPr>
        <w:spacing w:before="109"/>
        <w:ind w:right="38"/>
        <w:jc w:val="right"/>
        <w:rPr>
          <w:sz w:val="16"/>
        </w:rPr>
      </w:pPr>
      <w:r>
        <w:br w:type="column"/>
      </w:r>
      <w:r>
        <w:rPr>
          <w:w w:val="75"/>
          <w:sz w:val="16"/>
        </w:rPr>
        <w:t>Sydney</w:t>
      </w:r>
      <w:r>
        <w:rPr>
          <w:spacing w:val="-7"/>
          <w:sz w:val="16"/>
        </w:rPr>
        <w:t xml:space="preserve"> </w:t>
      </w:r>
      <w:r>
        <w:rPr>
          <w:spacing w:val="-2"/>
          <w:w w:val="80"/>
          <w:sz w:val="16"/>
        </w:rPr>
        <w:t>South</w:t>
      </w: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spacing w:before="1"/>
        <w:rPr>
          <w:sz w:val="22"/>
        </w:rPr>
      </w:pPr>
    </w:p>
    <w:p w:rsidR="002C1123" w:rsidRDefault="00F22F94">
      <w:pPr>
        <w:tabs>
          <w:tab w:val="left" w:pos="1900"/>
        </w:tabs>
        <w:ind w:left="787"/>
        <w:rPr>
          <w:sz w:val="16"/>
        </w:rPr>
      </w:pPr>
      <w:r>
        <w:rPr>
          <w:spacing w:val="-5"/>
          <w:w w:val="95"/>
          <w:sz w:val="16"/>
        </w:rPr>
        <w:t>98</w:t>
      </w:r>
      <w:r>
        <w:rPr>
          <w:sz w:val="16"/>
        </w:rPr>
        <w:tab/>
      </w:r>
      <w:r>
        <w:rPr>
          <w:spacing w:val="-5"/>
          <w:w w:val="95"/>
          <w:sz w:val="16"/>
        </w:rPr>
        <w:t>114</w:t>
      </w:r>
    </w:p>
    <w:p w:rsidR="002C1123" w:rsidRDefault="002C1123">
      <w:pPr>
        <w:pStyle w:val="BodyText"/>
        <w:rPr>
          <w:sz w:val="18"/>
        </w:rPr>
      </w:pPr>
    </w:p>
    <w:p w:rsidR="002C1123" w:rsidRDefault="002C1123">
      <w:pPr>
        <w:pStyle w:val="BodyText"/>
        <w:rPr>
          <w:sz w:val="18"/>
        </w:rPr>
      </w:pPr>
    </w:p>
    <w:p w:rsidR="002C1123" w:rsidRDefault="00F22F94">
      <w:pPr>
        <w:spacing w:before="112"/>
        <w:ind w:left="758"/>
        <w:rPr>
          <w:sz w:val="16"/>
        </w:rPr>
      </w:pPr>
      <w:r>
        <w:rPr>
          <w:w w:val="75"/>
          <w:sz w:val="16"/>
        </w:rPr>
        <w:t>International</w:t>
      </w:r>
      <w:r>
        <w:rPr>
          <w:spacing w:val="19"/>
          <w:sz w:val="16"/>
        </w:rPr>
        <w:t xml:space="preserve"> </w:t>
      </w:r>
      <w:r>
        <w:rPr>
          <w:spacing w:val="-2"/>
          <w:w w:val="85"/>
          <w:sz w:val="16"/>
        </w:rPr>
        <w:t>Gateways</w:t>
      </w:r>
    </w:p>
    <w:p w:rsidR="002C1123" w:rsidRDefault="00F22F94">
      <w:pPr>
        <w:tabs>
          <w:tab w:val="left" w:pos="1336"/>
        </w:tabs>
        <w:spacing w:before="99"/>
        <w:ind w:left="758"/>
        <w:rPr>
          <w:sz w:val="16"/>
        </w:rPr>
      </w:pPr>
      <w:r>
        <w:br w:type="column"/>
      </w:r>
      <w:r>
        <w:rPr>
          <w:spacing w:val="-5"/>
          <w:w w:val="95"/>
          <w:sz w:val="16"/>
        </w:rPr>
        <w:t>19</w:t>
      </w:r>
      <w:r>
        <w:rPr>
          <w:sz w:val="16"/>
        </w:rPr>
        <w:tab/>
      </w:r>
      <w:r>
        <w:rPr>
          <w:spacing w:val="-5"/>
          <w:w w:val="95"/>
          <w:sz w:val="16"/>
        </w:rPr>
        <w:t>29</w:t>
      </w:r>
    </w:p>
    <w:p w:rsidR="002C1123" w:rsidRDefault="002C1123">
      <w:pPr>
        <w:pStyle w:val="BodyText"/>
        <w:spacing w:before="7"/>
        <w:rPr>
          <w:sz w:val="22"/>
        </w:rPr>
      </w:pPr>
    </w:p>
    <w:p w:rsidR="002C1123" w:rsidRDefault="00F22F94">
      <w:pPr>
        <w:ind w:left="796"/>
        <w:rPr>
          <w:sz w:val="16"/>
        </w:rPr>
      </w:pPr>
      <w:r>
        <w:rPr>
          <w:spacing w:val="-2"/>
          <w:w w:val="90"/>
          <w:sz w:val="16"/>
        </w:rPr>
        <w:t>Randwick</w:t>
      </w:r>
    </w:p>
    <w:p w:rsidR="002C1123" w:rsidRDefault="00F22F94">
      <w:pPr>
        <w:spacing w:before="1"/>
        <w:rPr>
          <w:sz w:val="17"/>
        </w:rPr>
      </w:pPr>
      <w:r>
        <w:br w:type="column"/>
      </w:r>
    </w:p>
    <w:p w:rsidR="002C1123" w:rsidRDefault="00F22F94">
      <w:pPr>
        <w:ind w:left="758"/>
        <w:rPr>
          <w:sz w:val="18"/>
        </w:rPr>
      </w:pPr>
      <w:r>
        <w:rPr>
          <w:spacing w:val="-2"/>
          <w:w w:val="75"/>
          <w:sz w:val="18"/>
        </w:rPr>
        <w:t>GRP/GSP</w:t>
      </w:r>
    </w:p>
    <w:p w:rsidR="002C1123" w:rsidRDefault="002060EF">
      <w:pPr>
        <w:spacing w:before="83"/>
        <w:ind w:right="148"/>
        <w:jc w:val="right"/>
        <w:rPr>
          <w:sz w:val="16"/>
        </w:rPr>
      </w:pPr>
      <w:r>
        <w:pict>
          <v:line id="_x0000_s4671" style="position:absolute;left:0;text-align:left;z-index:251271168;mso-position-horizontal-relative:page" from="699.6pt,8.75pt" to="771.25pt,8.75pt" strokecolor="#b2b1b3" strokeweight=".4pt">
            <w10:wrap anchorx="page"/>
          </v:line>
        </w:pict>
      </w:r>
      <w:r w:rsidR="00F22F94">
        <w:rPr>
          <w:spacing w:val="-5"/>
          <w:w w:val="95"/>
          <w:sz w:val="16"/>
        </w:rPr>
        <w:t>350</w:t>
      </w:r>
    </w:p>
    <w:p w:rsidR="002C1123" w:rsidRDefault="002060EF">
      <w:pPr>
        <w:spacing w:before="115"/>
        <w:ind w:right="148"/>
        <w:jc w:val="right"/>
        <w:rPr>
          <w:sz w:val="16"/>
        </w:rPr>
      </w:pPr>
      <w:r>
        <w:pict>
          <v:group id="docshapegroup649" o:spid="_x0000_s4663" style="position:absolute;left:0;text-align:left;margin-left:699.6pt;margin-top:6.6pt;width:71.65pt;height:93.8pt;z-index:251270144;mso-position-horizontal-relative:page" coordorigin="13992,132" coordsize="1433,1876">
            <v:shape id="docshape650" o:spid="_x0000_s4670" style="position:absolute;left:13991;top:1402;width:1433;height:299" coordorigin="13992,1402" coordsize="1433,299" o:spt="100" adj="0,,0" path="m13992,1701r168,m14612,1701r193,m15256,1701r169,m14612,1402r193,m15256,1402r169,e" filled="f" strokecolor="#b2b1b3" strokeweight=".4pt">
              <v:stroke joinstyle="round"/>
              <v:formulas/>
              <v:path arrowok="t" o:connecttype="segments"/>
            </v:shape>
            <v:shape id="docshape651" o:spid="_x0000_s4669" style="position:absolute;left:13991;top:206;width:1433;height:897" coordorigin="13992,207" coordsize="1433,897" o:spt="100" adj="0,,0" path="m14612,1103r193,m15256,1103r169,m13992,804r813,m15256,804r169,m13992,506r813,m15256,506r169,m13992,207r813,m15256,207r169,e" filled="f" strokecolor="#b2b1b3" strokeweight=".4pt">
              <v:stroke joinstyle="round"/>
              <v:formulas/>
              <v:path arrowok="t" o:connecttype="segments"/>
            </v:shape>
            <v:rect id="docshape652" o:spid="_x0000_s4668" style="position:absolute;left:14804;top:132;width:452;height:1868" fillcolor="#2e3092" stroked="f"/>
            <v:line id="_x0000_s4667" style="position:absolute" from="13992,1402" to="14160,1402" strokecolor="#b2b1b3" strokeweight=".4pt"/>
            <v:line id="_x0000_s4666" style="position:absolute" from="13992,1103" to="14160,1103" strokecolor="#b2b1b3" strokeweight=".4pt"/>
            <v:rect id="docshape653" o:spid="_x0000_s4665" style="position:absolute;left:14160;top:929;width:452;height:1070" fillcolor="#00aeef" stroked="f"/>
            <v:line id="_x0000_s4664" style="position:absolute" from="13992,2000" to="15425,2000" strokecolor="#b2b1b3" strokeweight=".8pt"/>
            <w10:wrap anchorx="page"/>
          </v:group>
        </w:pict>
      </w:r>
      <w:r w:rsidR="00F22F94">
        <w:rPr>
          <w:spacing w:val="-5"/>
          <w:w w:val="95"/>
          <w:sz w:val="16"/>
        </w:rPr>
        <w:t>300</w:t>
      </w:r>
    </w:p>
    <w:p w:rsidR="002C1123" w:rsidRDefault="00F22F94">
      <w:pPr>
        <w:spacing w:before="115"/>
        <w:ind w:right="148"/>
        <w:jc w:val="right"/>
        <w:rPr>
          <w:sz w:val="16"/>
        </w:rPr>
      </w:pPr>
      <w:r>
        <w:rPr>
          <w:spacing w:val="-5"/>
          <w:w w:val="95"/>
          <w:sz w:val="16"/>
        </w:rPr>
        <w:t>250</w:t>
      </w:r>
    </w:p>
    <w:p w:rsidR="002C1123" w:rsidRDefault="002060EF">
      <w:pPr>
        <w:spacing w:before="115"/>
        <w:ind w:right="148"/>
        <w:jc w:val="right"/>
        <w:rPr>
          <w:sz w:val="16"/>
        </w:rPr>
      </w:pPr>
      <w:r>
        <w:pict>
          <v:shape id="docshape654" o:spid="_x0000_s4662" type="#_x0000_t202" style="position:absolute;left:0;text-align:left;margin-left:670.55pt;margin-top:5.7pt;width:11.05pt;height:27.75pt;z-index:251272192;mso-position-horizontal-relative:page" filled="f" stroked="f">
            <v:textbox style="layout-flow:vertical;mso-layout-flow-alt:bottom-to-top" inset="0,0,0,0">
              <w:txbxContent>
                <w:p w:rsidR="00F22F94" w:rsidRDefault="00F22F94">
                  <w:pPr>
                    <w:spacing w:before="18"/>
                    <w:ind w:left="20"/>
                    <w:rPr>
                      <w:sz w:val="16"/>
                    </w:rPr>
                  </w:pPr>
                  <w:r>
                    <w:rPr>
                      <w:w w:val="90"/>
                      <w:sz w:val="16"/>
                    </w:rPr>
                    <w:t>$</w:t>
                  </w:r>
                  <w:r>
                    <w:rPr>
                      <w:spacing w:val="-7"/>
                      <w:w w:val="90"/>
                      <w:sz w:val="16"/>
                    </w:rPr>
                    <w:t xml:space="preserve"> </w:t>
                  </w:r>
                  <w:r>
                    <w:rPr>
                      <w:spacing w:val="-2"/>
                      <w:w w:val="80"/>
                      <w:sz w:val="16"/>
                    </w:rPr>
                    <w:t>Billions</w:t>
                  </w:r>
                </w:p>
              </w:txbxContent>
            </v:textbox>
            <w10:wrap anchorx="page"/>
          </v:shape>
        </w:pict>
      </w:r>
      <w:r w:rsidR="00F22F94">
        <w:rPr>
          <w:spacing w:val="-5"/>
          <w:w w:val="95"/>
          <w:sz w:val="16"/>
        </w:rPr>
        <w:t>200</w:t>
      </w:r>
    </w:p>
    <w:p w:rsidR="002C1123" w:rsidRDefault="00F22F94">
      <w:pPr>
        <w:spacing w:before="115"/>
        <w:ind w:right="148"/>
        <w:jc w:val="right"/>
        <w:rPr>
          <w:sz w:val="16"/>
        </w:rPr>
      </w:pPr>
      <w:r>
        <w:rPr>
          <w:spacing w:val="-5"/>
          <w:w w:val="95"/>
          <w:sz w:val="16"/>
        </w:rPr>
        <w:t>150</w:t>
      </w:r>
    </w:p>
    <w:p w:rsidR="002C1123" w:rsidRDefault="00F22F94">
      <w:pPr>
        <w:spacing w:before="114"/>
        <w:ind w:right="148"/>
        <w:jc w:val="right"/>
        <w:rPr>
          <w:sz w:val="16"/>
        </w:rPr>
      </w:pPr>
      <w:r>
        <w:rPr>
          <w:spacing w:val="-5"/>
          <w:w w:val="95"/>
          <w:sz w:val="16"/>
        </w:rPr>
        <w:t>100</w:t>
      </w:r>
    </w:p>
    <w:p w:rsidR="002C1123" w:rsidRDefault="00F22F94">
      <w:pPr>
        <w:spacing w:before="115"/>
        <w:ind w:right="148"/>
        <w:jc w:val="right"/>
        <w:rPr>
          <w:sz w:val="16"/>
        </w:rPr>
      </w:pPr>
      <w:r>
        <w:rPr>
          <w:spacing w:val="-5"/>
          <w:w w:val="95"/>
          <w:sz w:val="16"/>
        </w:rPr>
        <w:t>50</w:t>
      </w:r>
    </w:p>
    <w:p w:rsidR="002C1123" w:rsidRDefault="00F22F94">
      <w:pPr>
        <w:spacing w:before="115"/>
        <w:ind w:right="148"/>
        <w:jc w:val="right"/>
        <w:rPr>
          <w:sz w:val="16"/>
        </w:rPr>
      </w:pPr>
      <w:r>
        <w:rPr>
          <w:w w:val="86"/>
          <w:sz w:val="16"/>
        </w:rPr>
        <w:t>0</w:t>
      </w:r>
    </w:p>
    <w:p w:rsidR="002C1123" w:rsidRDefault="00F22F94">
      <w:pPr>
        <w:rPr>
          <w:sz w:val="18"/>
        </w:rPr>
      </w:pPr>
      <w:r>
        <w:br w:type="column"/>
      </w: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spacing w:before="1"/>
        <w:rPr>
          <w:sz w:val="22"/>
        </w:rPr>
      </w:pPr>
    </w:p>
    <w:p w:rsidR="002C1123" w:rsidRDefault="00F22F94">
      <w:pPr>
        <w:tabs>
          <w:tab w:val="left" w:pos="773"/>
        </w:tabs>
        <w:ind w:left="128"/>
        <w:rPr>
          <w:sz w:val="16"/>
        </w:rPr>
      </w:pPr>
      <w:r>
        <w:rPr>
          <w:spacing w:val="-4"/>
          <w:w w:val="95"/>
          <w:sz w:val="16"/>
        </w:rPr>
        <w:t>2011</w:t>
      </w:r>
      <w:r>
        <w:rPr>
          <w:sz w:val="16"/>
        </w:rPr>
        <w:tab/>
      </w:r>
      <w:r>
        <w:rPr>
          <w:spacing w:val="-4"/>
          <w:w w:val="95"/>
          <w:sz w:val="16"/>
        </w:rPr>
        <w:t>2032</w:t>
      </w:r>
    </w:p>
    <w:p w:rsidR="002C1123" w:rsidRDefault="002C1123">
      <w:pPr>
        <w:rPr>
          <w:sz w:val="16"/>
        </w:rPr>
        <w:sectPr w:rsidR="002C1123">
          <w:type w:val="continuous"/>
          <w:pgSz w:w="16840" w:h="11910" w:orient="landscape"/>
          <w:pgMar w:top="560" w:right="280" w:bottom="280" w:left="500" w:header="0" w:footer="0" w:gutter="0"/>
          <w:cols w:num="5" w:space="720" w:equalWidth="0">
            <w:col w:w="1685" w:space="2496"/>
            <w:col w:w="2462" w:space="307"/>
            <w:col w:w="1531" w:space="3707"/>
            <w:col w:w="1376" w:space="40"/>
            <w:col w:w="2456"/>
          </w:cols>
        </w:sectPr>
      </w:pPr>
    </w:p>
    <w:p w:rsidR="002C1123" w:rsidRDefault="002060EF">
      <w:pPr>
        <w:spacing w:before="76"/>
        <w:ind w:left="749" w:right="9312"/>
        <w:rPr>
          <w:sz w:val="14"/>
        </w:rPr>
      </w:pPr>
      <w:r>
        <w:pict>
          <v:rect id="docshape655" o:spid="_x0000_s4661" style="position:absolute;left:0;text-align:left;margin-left:0;margin-top:28.35pt;width:841.9pt;height:566.95pt;z-index:-251512832;mso-position-horizontal-relative:page;mso-position-vertical-relative:page" fillcolor="#e1e0e1" stroked="f">
            <w10:wrap anchorx="page" anchory="page"/>
          </v:rect>
        </w:pict>
      </w:r>
      <w:r>
        <w:pict>
          <v:group id="docshapegroup656" o:spid="_x0000_s4652" style="position:absolute;left:0;text-align:left;margin-left:0;margin-top:0;width:841.9pt;height:28.35pt;z-index:-251511808;mso-position-horizontal-relative:page;mso-position-vertical-relative:page" coordsize="16838,567">
            <v:rect id="docshape657" o:spid="_x0000_s4660" style="position:absolute;width:16838;height:567" fillcolor="#ec008c" stroked="f"/>
            <v:shape id="docshape658" o:spid="_x0000_s4659" type="#_x0000_t75" style="position:absolute;left:972;top:148;width:399;height:312">
              <v:imagedata r:id="rId59" o:title=""/>
            </v:shape>
            <v:shape id="docshape659" o:spid="_x0000_s4658" style="position:absolute;left:2815;top:150;width:307;height:307" coordorigin="2815,151" coordsize="307,307" o:spt="100" adj="0,,0" path="m3055,284r-173,l2882,324r173,l3055,284xm3121,304r-12,-60l3095,223r,81l3085,353r-27,40l3017,421r-49,9l2919,421r-40,-28l2852,353r-10,-49l2852,255r27,-40l2919,187r49,-9l3017,187r41,28l3085,255r10,49l3095,223r-19,-27l3049,178r-21,-15l2968,151r-59,12l2860,196r-33,48l2815,304r12,60l2860,412r49,33l2968,457r60,-12l3049,430r27,-18l3109,364r12,-60xe" stroked="f">
              <v:stroke joinstyle="round"/>
              <v:formulas/>
              <v:path arrowok="t" o:connecttype="segments"/>
            </v:shape>
            <v:shape id="docshape660" o:spid="_x0000_s4657" type="#_x0000_t75" style="position:absolute;left:3250;top:150;width:307;height:307">
              <v:imagedata r:id="rId60" o:title=""/>
            </v:shape>
            <v:shape id="docshape661" o:spid="_x0000_s4656" type="#_x0000_t75" style="position:absolute;left:14523;top:147;width:330;height:313">
              <v:imagedata r:id="rId61" o:title=""/>
            </v:shape>
            <v:shape id="docshape662" o:spid="_x0000_s4655" type="#_x0000_t75" style="position:absolute;left:15144;top:150;width:307;height:307">
              <v:imagedata r:id="rId62" o:title=""/>
            </v:shape>
            <v:shape id="docshape663" o:spid="_x0000_s4654" type="#_x0000_t75" style="position:absolute;left:15557;top:150;width:307;height:307">
              <v:imagedata r:id="rId63" o:title=""/>
            </v:shape>
            <v:shape id="docshape664" o:spid="_x0000_s4653" type="#_x0000_t75" style="position:absolute;left:1687;top:147;width:314;height:313">
              <v:imagedata r:id="rId64" o:title=""/>
            </v:shape>
            <w10:wrap anchorx="page" anchory="page"/>
          </v:group>
        </w:pict>
      </w:r>
      <w:r w:rsidR="00F22F94">
        <w:rPr>
          <w:w w:val="95"/>
          <w:sz w:val="14"/>
        </w:rPr>
        <w:t>Source: Bureau of Transport Statistics; Deloitte Access Economics; Infrastructure NSW analysis.</w:t>
      </w:r>
      <w:r w:rsidR="00F22F94">
        <w:rPr>
          <w:spacing w:val="40"/>
          <w:sz w:val="14"/>
        </w:rPr>
        <w:t xml:space="preserve"> </w:t>
      </w:r>
      <w:r w:rsidR="00F22F94">
        <w:rPr>
          <w:sz w:val="14"/>
        </w:rPr>
        <w:t>Note: All values are in (’000).</w:t>
      </w:r>
    </w:p>
    <w:p w:rsidR="002C1123" w:rsidRDefault="002C1123">
      <w:pPr>
        <w:rPr>
          <w:sz w:val="14"/>
        </w:rPr>
        <w:sectPr w:rsidR="002C1123">
          <w:type w:val="continuous"/>
          <w:pgSz w:w="16840" w:h="11910" w:orient="landscape"/>
          <w:pgMar w:top="560" w:right="280" w:bottom="280" w:left="500" w:header="0" w:footer="0"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3"/>
        <w:rPr>
          <w:sz w:val="19"/>
        </w:rPr>
      </w:pPr>
    </w:p>
    <w:p w:rsidR="002C1123" w:rsidRDefault="002C1123">
      <w:pPr>
        <w:rPr>
          <w:sz w:val="19"/>
        </w:rPr>
        <w:sectPr w:rsidR="002C1123">
          <w:headerReference w:type="default" r:id="rId92"/>
          <w:footerReference w:type="default" r:id="rId93"/>
          <w:pgSz w:w="16840" w:h="11910" w:orient="landscape"/>
          <w:pgMar w:top="560" w:right="280" w:bottom="700" w:left="500" w:header="0" w:footer="517" w:gutter="0"/>
          <w:pgNumType w:start="48"/>
          <w:cols w:space="720"/>
        </w:sectPr>
      </w:pPr>
    </w:p>
    <w:p w:rsidR="002C1123" w:rsidRDefault="00F22F94">
      <w:pPr>
        <w:pStyle w:val="Heading6"/>
        <w:numPr>
          <w:ilvl w:val="2"/>
          <w:numId w:val="122"/>
        </w:numPr>
        <w:tabs>
          <w:tab w:val="left" w:pos="979"/>
        </w:tabs>
        <w:ind w:left="978" w:hanging="487"/>
        <w:jc w:val="left"/>
      </w:pPr>
      <w:bookmarkStart w:id="93" w:name="3.3_Global_Sydney:_the_next_20_years"/>
      <w:bookmarkStart w:id="94" w:name="_bookmark67"/>
      <w:bookmarkStart w:id="95" w:name="_bookmark66"/>
      <w:bookmarkEnd w:id="93"/>
      <w:bookmarkEnd w:id="94"/>
      <w:bookmarkEnd w:id="95"/>
      <w:r>
        <w:rPr>
          <w:color w:val="EC008C"/>
          <w:spacing w:val="-4"/>
        </w:rPr>
        <w:t>Education, Healthcare,</w:t>
      </w:r>
      <w:r>
        <w:rPr>
          <w:color w:val="EC008C"/>
          <w:spacing w:val="-3"/>
        </w:rPr>
        <w:t xml:space="preserve"> </w:t>
      </w:r>
      <w:r>
        <w:rPr>
          <w:color w:val="EC008C"/>
          <w:spacing w:val="-4"/>
        </w:rPr>
        <w:t>Tourism</w:t>
      </w:r>
      <w:r>
        <w:rPr>
          <w:color w:val="EC008C"/>
          <w:spacing w:val="-3"/>
        </w:rPr>
        <w:t xml:space="preserve"> </w:t>
      </w:r>
      <w:r>
        <w:rPr>
          <w:color w:val="EC008C"/>
          <w:spacing w:val="-4"/>
        </w:rPr>
        <w:t>and Culture</w:t>
      </w:r>
    </w:p>
    <w:p w:rsidR="002C1123" w:rsidRDefault="00F22F94">
      <w:pPr>
        <w:pStyle w:val="BodyText"/>
        <w:spacing w:before="95" w:line="249" w:lineRule="auto"/>
        <w:ind w:left="492" w:right="460"/>
      </w:pPr>
      <w:r>
        <w:rPr>
          <w:w w:val="95"/>
        </w:rPr>
        <w:t>Sydney’s</w:t>
      </w:r>
      <w:r>
        <w:rPr>
          <w:spacing w:val="-10"/>
          <w:w w:val="95"/>
        </w:rPr>
        <w:t xml:space="preserve"> </w:t>
      </w:r>
      <w:r>
        <w:rPr>
          <w:w w:val="95"/>
        </w:rPr>
        <w:t>social</w:t>
      </w:r>
      <w:r>
        <w:rPr>
          <w:spacing w:val="-10"/>
          <w:w w:val="95"/>
        </w:rPr>
        <w:t xml:space="preserve"> </w:t>
      </w:r>
      <w:r>
        <w:rPr>
          <w:w w:val="95"/>
        </w:rPr>
        <w:t>infrastructure</w:t>
      </w:r>
      <w:r>
        <w:rPr>
          <w:spacing w:val="-10"/>
          <w:w w:val="95"/>
        </w:rPr>
        <w:t xml:space="preserve"> </w:t>
      </w:r>
      <w:r>
        <w:rPr>
          <w:w w:val="95"/>
        </w:rPr>
        <w:t>has</w:t>
      </w:r>
      <w:r>
        <w:rPr>
          <w:spacing w:val="-10"/>
          <w:w w:val="95"/>
        </w:rPr>
        <w:t xml:space="preserve"> </w:t>
      </w:r>
      <w:r>
        <w:rPr>
          <w:w w:val="95"/>
        </w:rPr>
        <w:t>historically</w:t>
      </w:r>
      <w:r>
        <w:rPr>
          <w:spacing w:val="-10"/>
          <w:w w:val="95"/>
        </w:rPr>
        <w:t xml:space="preserve"> </w:t>
      </w:r>
      <w:r>
        <w:rPr>
          <w:w w:val="95"/>
        </w:rPr>
        <w:t xml:space="preserve">been </w:t>
      </w:r>
      <w:r>
        <w:rPr>
          <w:spacing w:val="-2"/>
        </w:rPr>
        <w:t>a</w:t>
      </w:r>
      <w:r>
        <w:rPr>
          <w:spacing w:val="-9"/>
        </w:rPr>
        <w:t xml:space="preserve"> </w:t>
      </w:r>
      <w:r>
        <w:rPr>
          <w:spacing w:val="-2"/>
        </w:rPr>
        <w:t>strong</w:t>
      </w:r>
      <w:r>
        <w:rPr>
          <w:spacing w:val="-9"/>
        </w:rPr>
        <w:t xml:space="preserve"> </w:t>
      </w:r>
      <w:r>
        <w:rPr>
          <w:spacing w:val="-2"/>
        </w:rPr>
        <w:t>feature</w:t>
      </w:r>
      <w:r>
        <w:rPr>
          <w:spacing w:val="-9"/>
        </w:rPr>
        <w:t xml:space="preserve"> </w:t>
      </w:r>
      <w:r>
        <w:rPr>
          <w:spacing w:val="-2"/>
        </w:rPr>
        <w:t>in</w:t>
      </w:r>
      <w:r>
        <w:rPr>
          <w:spacing w:val="-9"/>
        </w:rPr>
        <w:t xml:space="preserve"> </w:t>
      </w:r>
      <w:r>
        <w:rPr>
          <w:spacing w:val="-2"/>
        </w:rPr>
        <w:t>the</w:t>
      </w:r>
      <w:r>
        <w:rPr>
          <w:spacing w:val="-9"/>
        </w:rPr>
        <w:t xml:space="preserve"> </w:t>
      </w:r>
      <w:r>
        <w:rPr>
          <w:spacing w:val="-2"/>
        </w:rPr>
        <w:t>city’s</w:t>
      </w:r>
      <w:r>
        <w:rPr>
          <w:spacing w:val="-9"/>
        </w:rPr>
        <w:t xml:space="preserve"> </w:t>
      </w:r>
      <w:r>
        <w:rPr>
          <w:spacing w:val="-2"/>
        </w:rPr>
        <w:t>favour,</w:t>
      </w:r>
      <w:r>
        <w:rPr>
          <w:spacing w:val="-10"/>
        </w:rPr>
        <w:t xml:space="preserve"> </w:t>
      </w:r>
      <w:r>
        <w:rPr>
          <w:spacing w:val="-2"/>
        </w:rPr>
        <w:t>supporting</w:t>
      </w:r>
      <w:r>
        <w:rPr>
          <w:spacing w:val="-9"/>
        </w:rPr>
        <w:t xml:space="preserve"> </w:t>
      </w:r>
      <w:r>
        <w:rPr>
          <w:spacing w:val="-2"/>
        </w:rPr>
        <w:t>its</w:t>
      </w:r>
    </w:p>
    <w:p w:rsidR="002C1123" w:rsidRDefault="00F22F94">
      <w:pPr>
        <w:pStyle w:val="BodyText"/>
        <w:spacing w:before="1" w:line="249" w:lineRule="auto"/>
        <w:ind w:left="492"/>
      </w:pPr>
      <w:r>
        <w:rPr>
          <w:w w:val="95"/>
        </w:rPr>
        <w:t>economic growth. Global Sydney is the centre of higher education,</w:t>
      </w:r>
      <w:r>
        <w:rPr>
          <w:spacing w:val="-3"/>
          <w:w w:val="95"/>
        </w:rPr>
        <w:t xml:space="preserve"> </w:t>
      </w:r>
      <w:r>
        <w:rPr>
          <w:w w:val="95"/>
        </w:rPr>
        <w:t>healthcare,</w:t>
      </w:r>
      <w:r>
        <w:rPr>
          <w:spacing w:val="-3"/>
          <w:w w:val="95"/>
        </w:rPr>
        <w:t xml:space="preserve"> </w:t>
      </w:r>
      <w:r>
        <w:rPr>
          <w:w w:val="95"/>
        </w:rPr>
        <w:t>the</w:t>
      </w:r>
      <w:r>
        <w:rPr>
          <w:spacing w:val="-3"/>
          <w:w w:val="95"/>
        </w:rPr>
        <w:t xml:space="preserve"> </w:t>
      </w:r>
      <w:r>
        <w:rPr>
          <w:w w:val="95"/>
        </w:rPr>
        <w:t>visitor</w:t>
      </w:r>
      <w:r>
        <w:rPr>
          <w:spacing w:val="-3"/>
          <w:w w:val="95"/>
        </w:rPr>
        <w:t xml:space="preserve"> </w:t>
      </w:r>
      <w:r>
        <w:rPr>
          <w:w w:val="95"/>
        </w:rPr>
        <w:t>economy</w:t>
      </w:r>
      <w:r>
        <w:rPr>
          <w:spacing w:val="-3"/>
          <w:w w:val="95"/>
        </w:rPr>
        <w:t xml:space="preserve"> </w:t>
      </w:r>
      <w:r>
        <w:rPr>
          <w:w w:val="95"/>
        </w:rPr>
        <w:t>and</w:t>
      </w:r>
      <w:r>
        <w:rPr>
          <w:spacing w:val="-3"/>
          <w:w w:val="95"/>
        </w:rPr>
        <w:t xml:space="preserve"> </w:t>
      </w:r>
      <w:r>
        <w:rPr>
          <w:w w:val="95"/>
        </w:rPr>
        <w:t>the</w:t>
      </w:r>
      <w:r>
        <w:rPr>
          <w:spacing w:val="-3"/>
          <w:w w:val="95"/>
        </w:rPr>
        <w:t xml:space="preserve"> </w:t>
      </w:r>
      <w:r>
        <w:rPr>
          <w:w w:val="95"/>
        </w:rPr>
        <w:t xml:space="preserve">city’s </w:t>
      </w:r>
      <w:r>
        <w:t>cultural</w:t>
      </w:r>
      <w:r>
        <w:rPr>
          <w:spacing w:val="-11"/>
        </w:rPr>
        <w:t xml:space="preserve"> </w:t>
      </w:r>
      <w:r>
        <w:t>life.</w:t>
      </w:r>
    </w:p>
    <w:p w:rsidR="002C1123" w:rsidRDefault="00F22F94">
      <w:pPr>
        <w:pStyle w:val="BodyText"/>
        <w:spacing w:before="145" w:line="249" w:lineRule="auto"/>
        <w:ind w:left="492" w:right="30"/>
      </w:pPr>
      <w:r>
        <w:rPr>
          <w:w w:val="95"/>
        </w:rPr>
        <w:t>Four</w:t>
      </w:r>
      <w:r>
        <w:rPr>
          <w:spacing w:val="-12"/>
          <w:w w:val="95"/>
        </w:rPr>
        <w:t xml:space="preserve"> </w:t>
      </w:r>
      <w:r>
        <w:rPr>
          <w:w w:val="95"/>
        </w:rPr>
        <w:t>of</w:t>
      </w:r>
      <w:r>
        <w:rPr>
          <w:spacing w:val="-11"/>
          <w:w w:val="95"/>
        </w:rPr>
        <w:t xml:space="preserve"> </w:t>
      </w:r>
      <w:r>
        <w:rPr>
          <w:w w:val="95"/>
        </w:rPr>
        <w:t>NSW’s</w:t>
      </w:r>
      <w:r>
        <w:rPr>
          <w:spacing w:val="-11"/>
          <w:w w:val="95"/>
        </w:rPr>
        <w:t xml:space="preserve"> </w:t>
      </w:r>
      <w:r>
        <w:rPr>
          <w:w w:val="95"/>
        </w:rPr>
        <w:t>universities</w:t>
      </w:r>
      <w:r>
        <w:rPr>
          <w:spacing w:val="-11"/>
          <w:w w:val="95"/>
        </w:rPr>
        <w:t xml:space="preserve"> </w:t>
      </w:r>
      <w:r>
        <w:rPr>
          <w:w w:val="95"/>
        </w:rPr>
        <w:t>are</w:t>
      </w:r>
      <w:r>
        <w:rPr>
          <w:spacing w:val="-11"/>
          <w:w w:val="95"/>
        </w:rPr>
        <w:t xml:space="preserve"> </w:t>
      </w:r>
      <w:r>
        <w:rPr>
          <w:w w:val="95"/>
        </w:rPr>
        <w:t>located</w:t>
      </w:r>
      <w:r>
        <w:rPr>
          <w:spacing w:val="-11"/>
          <w:w w:val="95"/>
        </w:rPr>
        <w:t xml:space="preserve"> </w:t>
      </w:r>
      <w:r>
        <w:rPr>
          <w:w w:val="95"/>
        </w:rPr>
        <w:t>in</w:t>
      </w:r>
      <w:r>
        <w:rPr>
          <w:spacing w:val="-11"/>
          <w:w w:val="95"/>
        </w:rPr>
        <w:t xml:space="preserve"> </w:t>
      </w:r>
      <w:r>
        <w:rPr>
          <w:w w:val="95"/>
        </w:rPr>
        <w:t>Global</w:t>
      </w:r>
      <w:r>
        <w:rPr>
          <w:spacing w:val="-11"/>
          <w:w w:val="95"/>
        </w:rPr>
        <w:t xml:space="preserve"> </w:t>
      </w:r>
      <w:r>
        <w:rPr>
          <w:w w:val="95"/>
        </w:rPr>
        <w:t xml:space="preserve">Sydney: </w:t>
      </w:r>
      <w:r>
        <w:rPr>
          <w:spacing w:val="-2"/>
        </w:rPr>
        <w:t>University</w:t>
      </w:r>
      <w:r>
        <w:rPr>
          <w:spacing w:val="-8"/>
        </w:rPr>
        <w:t xml:space="preserve"> </w:t>
      </w:r>
      <w:r>
        <w:rPr>
          <w:spacing w:val="-2"/>
        </w:rPr>
        <w:t>of</w:t>
      </w:r>
      <w:r>
        <w:rPr>
          <w:spacing w:val="-8"/>
        </w:rPr>
        <w:t xml:space="preserve"> </w:t>
      </w:r>
      <w:r>
        <w:rPr>
          <w:spacing w:val="-2"/>
        </w:rPr>
        <w:t>Sydney,</w:t>
      </w:r>
      <w:r>
        <w:rPr>
          <w:spacing w:val="-8"/>
        </w:rPr>
        <w:t xml:space="preserve"> </w:t>
      </w:r>
      <w:r>
        <w:rPr>
          <w:spacing w:val="-2"/>
        </w:rPr>
        <w:t>UNSW,</w:t>
      </w:r>
      <w:r>
        <w:rPr>
          <w:spacing w:val="-8"/>
        </w:rPr>
        <w:t xml:space="preserve"> </w:t>
      </w:r>
      <w:r>
        <w:rPr>
          <w:spacing w:val="-2"/>
        </w:rPr>
        <w:t>UTS</w:t>
      </w:r>
      <w:r>
        <w:rPr>
          <w:spacing w:val="-8"/>
        </w:rPr>
        <w:t xml:space="preserve"> </w:t>
      </w:r>
      <w:r>
        <w:rPr>
          <w:spacing w:val="-2"/>
        </w:rPr>
        <w:t>and</w:t>
      </w:r>
      <w:r>
        <w:rPr>
          <w:spacing w:val="-8"/>
        </w:rPr>
        <w:t xml:space="preserve"> </w:t>
      </w:r>
      <w:r>
        <w:rPr>
          <w:spacing w:val="-2"/>
        </w:rPr>
        <w:t>Macquarie University.</w:t>
      </w:r>
      <w:r>
        <w:rPr>
          <w:spacing w:val="-8"/>
        </w:rPr>
        <w:t xml:space="preserve"> </w:t>
      </w:r>
      <w:r>
        <w:rPr>
          <w:spacing w:val="-2"/>
        </w:rPr>
        <w:t>Universities</w:t>
      </w:r>
      <w:r>
        <w:rPr>
          <w:spacing w:val="-8"/>
        </w:rPr>
        <w:t xml:space="preserve"> </w:t>
      </w:r>
      <w:r>
        <w:rPr>
          <w:spacing w:val="-2"/>
        </w:rPr>
        <w:t>stimulate</w:t>
      </w:r>
      <w:r>
        <w:rPr>
          <w:spacing w:val="-8"/>
        </w:rPr>
        <w:t xml:space="preserve"> </w:t>
      </w:r>
      <w:r>
        <w:rPr>
          <w:spacing w:val="-2"/>
        </w:rPr>
        <w:t>a</w:t>
      </w:r>
      <w:r>
        <w:rPr>
          <w:spacing w:val="-8"/>
        </w:rPr>
        <w:t xml:space="preserve"> </w:t>
      </w:r>
      <w:r>
        <w:rPr>
          <w:spacing w:val="-2"/>
        </w:rPr>
        <w:t>large</w:t>
      </w:r>
      <w:r>
        <w:rPr>
          <w:spacing w:val="-8"/>
        </w:rPr>
        <w:t xml:space="preserve"> </w:t>
      </w:r>
      <w:r>
        <w:rPr>
          <w:spacing w:val="-2"/>
        </w:rPr>
        <w:t>amount</w:t>
      </w:r>
      <w:r>
        <w:rPr>
          <w:spacing w:val="-8"/>
        </w:rPr>
        <w:t xml:space="preserve"> </w:t>
      </w:r>
      <w:r>
        <w:rPr>
          <w:spacing w:val="-2"/>
        </w:rPr>
        <w:t>of knowledge-based</w:t>
      </w:r>
      <w:r>
        <w:rPr>
          <w:spacing w:val="-3"/>
        </w:rPr>
        <w:t xml:space="preserve"> </w:t>
      </w:r>
      <w:r>
        <w:rPr>
          <w:spacing w:val="-2"/>
        </w:rPr>
        <w:t>activity.</w:t>
      </w:r>
      <w:r>
        <w:rPr>
          <w:spacing w:val="-3"/>
        </w:rPr>
        <w:t xml:space="preserve"> </w:t>
      </w:r>
      <w:r>
        <w:rPr>
          <w:spacing w:val="-2"/>
        </w:rPr>
        <w:t>Travel</w:t>
      </w:r>
      <w:r>
        <w:rPr>
          <w:spacing w:val="-3"/>
        </w:rPr>
        <w:t xml:space="preserve"> </w:t>
      </w:r>
      <w:r>
        <w:rPr>
          <w:spacing w:val="-2"/>
        </w:rPr>
        <w:t>services</w:t>
      </w:r>
      <w:r>
        <w:rPr>
          <w:spacing w:val="-3"/>
        </w:rPr>
        <w:t xml:space="preserve"> </w:t>
      </w:r>
      <w:r>
        <w:rPr>
          <w:spacing w:val="-2"/>
        </w:rPr>
        <w:t>–</w:t>
      </w:r>
      <w:r>
        <w:rPr>
          <w:spacing w:val="-3"/>
        </w:rPr>
        <w:t xml:space="preserve"> </w:t>
      </w:r>
      <w:r>
        <w:rPr>
          <w:spacing w:val="-2"/>
        </w:rPr>
        <w:t xml:space="preserve">mainly </w:t>
      </w:r>
      <w:r>
        <w:t>overseas</w:t>
      </w:r>
      <w:r>
        <w:rPr>
          <w:spacing w:val="-14"/>
        </w:rPr>
        <w:t xml:space="preserve"> </w:t>
      </w:r>
      <w:r>
        <w:t>education</w:t>
      </w:r>
      <w:r>
        <w:rPr>
          <w:spacing w:val="-14"/>
        </w:rPr>
        <w:t xml:space="preserve"> </w:t>
      </w:r>
      <w:r>
        <w:t>–</w:t>
      </w:r>
      <w:r>
        <w:rPr>
          <w:spacing w:val="-14"/>
        </w:rPr>
        <w:t xml:space="preserve"> </w:t>
      </w:r>
      <w:r>
        <w:t>is</w:t>
      </w:r>
      <w:r>
        <w:rPr>
          <w:spacing w:val="-13"/>
        </w:rPr>
        <w:t xml:space="preserve"> </w:t>
      </w:r>
      <w:r>
        <w:t>one</w:t>
      </w:r>
      <w:r>
        <w:rPr>
          <w:spacing w:val="-14"/>
        </w:rPr>
        <w:t xml:space="preserve"> </w:t>
      </w:r>
      <w:r>
        <w:t>of</w:t>
      </w:r>
      <w:r>
        <w:rPr>
          <w:spacing w:val="-14"/>
        </w:rPr>
        <w:t xml:space="preserve"> </w:t>
      </w:r>
      <w:r>
        <w:t>NSW’s</w:t>
      </w:r>
      <w:r>
        <w:rPr>
          <w:spacing w:val="-14"/>
        </w:rPr>
        <w:t xml:space="preserve"> </w:t>
      </w:r>
      <w:r>
        <w:t>largest</w:t>
      </w:r>
      <w:r>
        <w:rPr>
          <w:spacing w:val="-13"/>
        </w:rPr>
        <w:t xml:space="preserve"> </w:t>
      </w:r>
      <w:r>
        <w:t xml:space="preserve">export </w:t>
      </w:r>
      <w:r>
        <w:rPr>
          <w:w w:val="95"/>
        </w:rPr>
        <w:t>industries,</w:t>
      </w:r>
      <w:r>
        <w:rPr>
          <w:spacing w:val="-10"/>
          <w:w w:val="95"/>
        </w:rPr>
        <w:t xml:space="preserve"> </w:t>
      </w:r>
      <w:r>
        <w:rPr>
          <w:w w:val="95"/>
        </w:rPr>
        <w:t>generating</w:t>
      </w:r>
      <w:r>
        <w:rPr>
          <w:spacing w:val="-10"/>
          <w:w w:val="95"/>
        </w:rPr>
        <w:t xml:space="preserve"> </w:t>
      </w:r>
      <w:r>
        <w:rPr>
          <w:w w:val="95"/>
        </w:rPr>
        <w:t>overseas</w:t>
      </w:r>
      <w:r>
        <w:rPr>
          <w:spacing w:val="-10"/>
          <w:w w:val="95"/>
        </w:rPr>
        <w:t xml:space="preserve"> </w:t>
      </w:r>
      <w:r>
        <w:rPr>
          <w:w w:val="95"/>
        </w:rPr>
        <w:t>earnings</w:t>
      </w:r>
      <w:r>
        <w:rPr>
          <w:spacing w:val="-10"/>
          <w:w w:val="95"/>
        </w:rPr>
        <w:t xml:space="preserve"> </w:t>
      </w:r>
      <w:r>
        <w:rPr>
          <w:w w:val="95"/>
        </w:rPr>
        <w:t>of</w:t>
      </w:r>
      <w:r>
        <w:rPr>
          <w:spacing w:val="-10"/>
          <w:w w:val="95"/>
        </w:rPr>
        <w:t xml:space="preserve"> </w:t>
      </w:r>
      <w:r>
        <w:rPr>
          <w:w w:val="95"/>
        </w:rPr>
        <w:t>$12</w:t>
      </w:r>
      <w:r>
        <w:rPr>
          <w:spacing w:val="-10"/>
          <w:w w:val="95"/>
        </w:rPr>
        <w:t xml:space="preserve"> </w:t>
      </w:r>
      <w:r>
        <w:rPr>
          <w:w w:val="95"/>
        </w:rPr>
        <w:t>billion</w:t>
      </w:r>
      <w:r>
        <w:rPr>
          <w:spacing w:val="-10"/>
          <w:w w:val="95"/>
        </w:rPr>
        <w:t xml:space="preserve"> </w:t>
      </w:r>
      <w:r>
        <w:rPr>
          <w:w w:val="95"/>
        </w:rPr>
        <w:t xml:space="preserve">in </w:t>
      </w:r>
      <w:r>
        <w:t>2009,</w:t>
      </w:r>
      <w:r>
        <w:rPr>
          <w:spacing w:val="-9"/>
        </w:rPr>
        <w:t xml:space="preserve"> </w:t>
      </w:r>
      <w:r>
        <w:t>a</w:t>
      </w:r>
      <w:r>
        <w:rPr>
          <w:spacing w:val="-9"/>
        </w:rPr>
        <w:t xml:space="preserve"> </w:t>
      </w:r>
      <w:r>
        <w:t>quarter</w:t>
      </w:r>
      <w:r>
        <w:rPr>
          <w:spacing w:val="-9"/>
        </w:rPr>
        <w:t xml:space="preserve"> </w:t>
      </w:r>
      <w:r>
        <w:t>of</w:t>
      </w:r>
      <w:r>
        <w:rPr>
          <w:spacing w:val="-9"/>
        </w:rPr>
        <w:t xml:space="preserve"> </w:t>
      </w:r>
      <w:r>
        <w:t>all</w:t>
      </w:r>
      <w:r>
        <w:rPr>
          <w:spacing w:val="-9"/>
        </w:rPr>
        <w:t xml:space="preserve"> </w:t>
      </w:r>
      <w:r>
        <w:t>NSW’s</w:t>
      </w:r>
      <w:r>
        <w:rPr>
          <w:spacing w:val="-9"/>
        </w:rPr>
        <w:t xml:space="preserve"> </w:t>
      </w:r>
      <w:r>
        <w:t>exports</w:t>
      </w:r>
      <w:r>
        <w:rPr>
          <w:position w:val="7"/>
          <w:sz w:val="11"/>
        </w:rPr>
        <w:t>11</w:t>
      </w:r>
      <w:r>
        <w:t>.</w:t>
      </w:r>
    </w:p>
    <w:p w:rsidR="002C1123" w:rsidRDefault="00F22F94">
      <w:pPr>
        <w:pStyle w:val="BodyText"/>
        <w:spacing w:before="147" w:line="249" w:lineRule="auto"/>
        <w:ind w:left="492" w:right="173"/>
      </w:pPr>
      <w:r>
        <w:rPr>
          <w:w w:val="95"/>
        </w:rPr>
        <w:t>Three</w:t>
      </w:r>
      <w:r>
        <w:rPr>
          <w:spacing w:val="-10"/>
          <w:w w:val="95"/>
        </w:rPr>
        <w:t xml:space="preserve"> </w:t>
      </w:r>
      <w:r>
        <w:rPr>
          <w:w w:val="95"/>
        </w:rPr>
        <w:t>of</w:t>
      </w:r>
      <w:r>
        <w:rPr>
          <w:spacing w:val="-10"/>
          <w:w w:val="95"/>
        </w:rPr>
        <w:t xml:space="preserve"> </w:t>
      </w:r>
      <w:r>
        <w:rPr>
          <w:w w:val="95"/>
        </w:rPr>
        <w:t>NSW’s</w:t>
      </w:r>
      <w:r>
        <w:rPr>
          <w:spacing w:val="-10"/>
          <w:w w:val="95"/>
        </w:rPr>
        <w:t xml:space="preserve"> </w:t>
      </w:r>
      <w:r>
        <w:rPr>
          <w:w w:val="95"/>
        </w:rPr>
        <w:t>leading</w:t>
      </w:r>
      <w:r>
        <w:rPr>
          <w:spacing w:val="-10"/>
          <w:w w:val="95"/>
        </w:rPr>
        <w:t xml:space="preserve"> </w:t>
      </w:r>
      <w:r>
        <w:rPr>
          <w:w w:val="95"/>
        </w:rPr>
        <w:t>hospitals</w:t>
      </w:r>
      <w:r>
        <w:rPr>
          <w:spacing w:val="-10"/>
          <w:w w:val="95"/>
        </w:rPr>
        <w:t xml:space="preserve"> </w:t>
      </w:r>
      <w:r>
        <w:rPr>
          <w:w w:val="95"/>
        </w:rPr>
        <w:t>are</w:t>
      </w:r>
      <w:r>
        <w:rPr>
          <w:spacing w:val="-10"/>
          <w:w w:val="95"/>
        </w:rPr>
        <w:t xml:space="preserve"> </w:t>
      </w:r>
      <w:r>
        <w:rPr>
          <w:w w:val="95"/>
        </w:rPr>
        <w:t>located</w:t>
      </w:r>
      <w:r>
        <w:rPr>
          <w:spacing w:val="-10"/>
          <w:w w:val="95"/>
        </w:rPr>
        <w:t xml:space="preserve"> </w:t>
      </w:r>
      <w:r>
        <w:rPr>
          <w:w w:val="95"/>
        </w:rPr>
        <w:t>in</w:t>
      </w:r>
      <w:r>
        <w:rPr>
          <w:spacing w:val="-10"/>
          <w:w w:val="95"/>
        </w:rPr>
        <w:t xml:space="preserve"> </w:t>
      </w:r>
      <w:r>
        <w:rPr>
          <w:w w:val="95"/>
        </w:rPr>
        <w:t xml:space="preserve">Global </w:t>
      </w:r>
      <w:r>
        <w:t>Sydney:</w:t>
      </w:r>
      <w:r>
        <w:rPr>
          <w:spacing w:val="-14"/>
        </w:rPr>
        <w:t xml:space="preserve"> </w:t>
      </w:r>
      <w:r>
        <w:t>Royal</w:t>
      </w:r>
      <w:r>
        <w:rPr>
          <w:spacing w:val="-14"/>
        </w:rPr>
        <w:t xml:space="preserve"> </w:t>
      </w:r>
      <w:r>
        <w:t>North</w:t>
      </w:r>
      <w:r>
        <w:rPr>
          <w:spacing w:val="-14"/>
        </w:rPr>
        <w:t xml:space="preserve"> </w:t>
      </w:r>
      <w:r>
        <w:t>Shore,</w:t>
      </w:r>
      <w:r>
        <w:rPr>
          <w:spacing w:val="-14"/>
        </w:rPr>
        <w:t xml:space="preserve"> </w:t>
      </w:r>
      <w:r>
        <w:t>Prince</w:t>
      </w:r>
      <w:r>
        <w:rPr>
          <w:spacing w:val="-14"/>
        </w:rPr>
        <w:t xml:space="preserve"> </w:t>
      </w:r>
      <w:r>
        <w:t>of</w:t>
      </w:r>
      <w:r>
        <w:rPr>
          <w:spacing w:val="-14"/>
        </w:rPr>
        <w:t xml:space="preserve"> </w:t>
      </w:r>
      <w:r>
        <w:t>Wales</w:t>
      </w:r>
      <w:r>
        <w:rPr>
          <w:spacing w:val="-14"/>
        </w:rPr>
        <w:t xml:space="preserve"> </w:t>
      </w:r>
      <w:r>
        <w:t xml:space="preserve">and </w:t>
      </w:r>
      <w:r>
        <w:rPr>
          <w:w w:val="95"/>
        </w:rPr>
        <w:t>Royal</w:t>
      </w:r>
      <w:r>
        <w:rPr>
          <w:spacing w:val="-12"/>
          <w:w w:val="95"/>
        </w:rPr>
        <w:t xml:space="preserve"> </w:t>
      </w:r>
      <w:r>
        <w:rPr>
          <w:w w:val="95"/>
        </w:rPr>
        <w:t>Prince</w:t>
      </w:r>
      <w:r>
        <w:rPr>
          <w:spacing w:val="-11"/>
          <w:w w:val="95"/>
        </w:rPr>
        <w:t xml:space="preserve"> </w:t>
      </w:r>
      <w:r>
        <w:rPr>
          <w:w w:val="95"/>
        </w:rPr>
        <w:t>Alfred.</w:t>
      </w:r>
      <w:r>
        <w:rPr>
          <w:spacing w:val="-11"/>
          <w:w w:val="95"/>
        </w:rPr>
        <w:t xml:space="preserve"> </w:t>
      </w:r>
      <w:r>
        <w:rPr>
          <w:w w:val="95"/>
        </w:rPr>
        <w:t>Each</w:t>
      </w:r>
      <w:r>
        <w:rPr>
          <w:spacing w:val="-11"/>
          <w:w w:val="95"/>
        </w:rPr>
        <w:t xml:space="preserve"> </w:t>
      </w:r>
      <w:r>
        <w:rPr>
          <w:w w:val="95"/>
        </w:rPr>
        <w:t>generates</w:t>
      </w:r>
      <w:r>
        <w:rPr>
          <w:spacing w:val="-11"/>
          <w:w w:val="95"/>
        </w:rPr>
        <w:t xml:space="preserve"> </w:t>
      </w:r>
      <w:r>
        <w:rPr>
          <w:w w:val="95"/>
        </w:rPr>
        <w:t>a</w:t>
      </w:r>
      <w:r>
        <w:rPr>
          <w:spacing w:val="-11"/>
          <w:w w:val="95"/>
        </w:rPr>
        <w:t xml:space="preserve"> </w:t>
      </w:r>
      <w:r>
        <w:rPr>
          <w:w w:val="95"/>
        </w:rPr>
        <w:t>diverse</w:t>
      </w:r>
      <w:r>
        <w:rPr>
          <w:spacing w:val="-11"/>
          <w:w w:val="95"/>
        </w:rPr>
        <w:t xml:space="preserve"> </w:t>
      </w:r>
      <w:r>
        <w:rPr>
          <w:w w:val="95"/>
        </w:rPr>
        <w:t>range</w:t>
      </w:r>
      <w:r>
        <w:rPr>
          <w:spacing w:val="-11"/>
          <w:w w:val="95"/>
        </w:rPr>
        <w:t xml:space="preserve"> </w:t>
      </w:r>
      <w:r>
        <w:rPr>
          <w:w w:val="95"/>
        </w:rPr>
        <w:t xml:space="preserve">of </w:t>
      </w:r>
      <w:r>
        <w:t>healthcare-related</w:t>
      </w:r>
      <w:r>
        <w:rPr>
          <w:spacing w:val="-11"/>
        </w:rPr>
        <w:t xml:space="preserve"> </w:t>
      </w:r>
      <w:r>
        <w:t>activities.</w:t>
      </w:r>
    </w:p>
    <w:p w:rsidR="002C1123" w:rsidRDefault="00F22F94">
      <w:pPr>
        <w:pStyle w:val="BodyText"/>
        <w:spacing w:before="145" w:line="249" w:lineRule="auto"/>
        <w:ind w:left="492"/>
      </w:pPr>
      <w:r>
        <w:rPr>
          <w:w w:val="95"/>
        </w:rPr>
        <w:t>Many of the world-class cultural and tourism</w:t>
      </w:r>
      <w:r>
        <w:rPr>
          <w:spacing w:val="-1"/>
          <w:w w:val="95"/>
        </w:rPr>
        <w:t xml:space="preserve"> </w:t>
      </w:r>
      <w:r>
        <w:rPr>
          <w:w w:val="95"/>
        </w:rPr>
        <w:t>attractions that</w:t>
      </w:r>
      <w:r>
        <w:rPr>
          <w:spacing w:val="-4"/>
          <w:w w:val="95"/>
        </w:rPr>
        <w:t xml:space="preserve"> </w:t>
      </w:r>
      <w:r>
        <w:rPr>
          <w:w w:val="95"/>
        </w:rPr>
        <w:t>drive</w:t>
      </w:r>
      <w:r>
        <w:rPr>
          <w:spacing w:val="-4"/>
          <w:w w:val="95"/>
        </w:rPr>
        <w:t xml:space="preserve"> </w:t>
      </w:r>
      <w:r>
        <w:rPr>
          <w:w w:val="95"/>
        </w:rPr>
        <w:t>the</w:t>
      </w:r>
      <w:r>
        <w:rPr>
          <w:spacing w:val="-4"/>
          <w:w w:val="95"/>
        </w:rPr>
        <w:t xml:space="preserve"> </w:t>
      </w:r>
      <w:r>
        <w:rPr>
          <w:w w:val="95"/>
        </w:rPr>
        <w:t>$20</w:t>
      </w:r>
      <w:r>
        <w:rPr>
          <w:spacing w:val="-4"/>
          <w:w w:val="95"/>
        </w:rPr>
        <w:t xml:space="preserve"> </w:t>
      </w:r>
      <w:r>
        <w:rPr>
          <w:w w:val="95"/>
        </w:rPr>
        <w:t>billion</w:t>
      </w:r>
      <w:r>
        <w:rPr>
          <w:spacing w:val="-4"/>
          <w:w w:val="95"/>
        </w:rPr>
        <w:t xml:space="preserve"> </w:t>
      </w:r>
      <w:r>
        <w:rPr>
          <w:w w:val="95"/>
        </w:rPr>
        <w:t>visitor</w:t>
      </w:r>
      <w:r>
        <w:rPr>
          <w:spacing w:val="-4"/>
          <w:w w:val="95"/>
        </w:rPr>
        <w:t xml:space="preserve"> </w:t>
      </w:r>
      <w:r>
        <w:rPr>
          <w:w w:val="95"/>
        </w:rPr>
        <w:t>economy</w:t>
      </w:r>
      <w:r>
        <w:rPr>
          <w:w w:val="95"/>
          <w:position w:val="7"/>
          <w:sz w:val="11"/>
        </w:rPr>
        <w:t>12</w:t>
      </w:r>
      <w:r>
        <w:rPr>
          <w:w w:val="95"/>
        </w:rPr>
        <w:t>,</w:t>
      </w:r>
      <w:r>
        <w:rPr>
          <w:spacing w:val="-4"/>
          <w:w w:val="95"/>
        </w:rPr>
        <w:t xml:space="preserve"> </w:t>
      </w:r>
      <w:r>
        <w:rPr>
          <w:w w:val="95"/>
        </w:rPr>
        <w:t>including</w:t>
      </w:r>
      <w:r>
        <w:rPr>
          <w:spacing w:val="-4"/>
          <w:w w:val="95"/>
        </w:rPr>
        <w:t xml:space="preserve"> </w:t>
      </w:r>
      <w:r>
        <w:rPr>
          <w:w w:val="95"/>
        </w:rPr>
        <w:t>the Opera House, Sydney Harbour and the city’s galleries, theatres</w:t>
      </w:r>
      <w:r>
        <w:rPr>
          <w:spacing w:val="-4"/>
          <w:w w:val="95"/>
        </w:rPr>
        <w:t xml:space="preserve"> </w:t>
      </w:r>
      <w:r>
        <w:rPr>
          <w:w w:val="95"/>
        </w:rPr>
        <w:t>and</w:t>
      </w:r>
      <w:r>
        <w:rPr>
          <w:spacing w:val="-4"/>
          <w:w w:val="95"/>
        </w:rPr>
        <w:t xml:space="preserve"> </w:t>
      </w:r>
      <w:r>
        <w:rPr>
          <w:w w:val="95"/>
        </w:rPr>
        <w:t>museums,</w:t>
      </w:r>
      <w:r>
        <w:rPr>
          <w:spacing w:val="-4"/>
          <w:w w:val="95"/>
        </w:rPr>
        <w:t xml:space="preserve"> </w:t>
      </w:r>
      <w:r>
        <w:rPr>
          <w:w w:val="95"/>
        </w:rPr>
        <w:t>are</w:t>
      </w:r>
      <w:r>
        <w:rPr>
          <w:spacing w:val="-4"/>
          <w:w w:val="95"/>
        </w:rPr>
        <w:t xml:space="preserve"> </w:t>
      </w:r>
      <w:r>
        <w:rPr>
          <w:w w:val="95"/>
        </w:rPr>
        <w:t>also</w:t>
      </w:r>
      <w:r>
        <w:rPr>
          <w:spacing w:val="-4"/>
          <w:w w:val="95"/>
        </w:rPr>
        <w:t xml:space="preserve"> </w:t>
      </w:r>
      <w:r>
        <w:rPr>
          <w:w w:val="95"/>
        </w:rPr>
        <w:t>in</w:t>
      </w:r>
      <w:r>
        <w:rPr>
          <w:spacing w:val="-4"/>
          <w:w w:val="95"/>
        </w:rPr>
        <w:t xml:space="preserve"> </w:t>
      </w:r>
      <w:r>
        <w:rPr>
          <w:w w:val="95"/>
        </w:rPr>
        <w:t>Global</w:t>
      </w:r>
      <w:r>
        <w:rPr>
          <w:spacing w:val="-4"/>
          <w:w w:val="95"/>
        </w:rPr>
        <w:t xml:space="preserve"> </w:t>
      </w:r>
      <w:r>
        <w:rPr>
          <w:w w:val="95"/>
        </w:rPr>
        <w:t>Sydney.</w:t>
      </w:r>
      <w:r>
        <w:rPr>
          <w:spacing w:val="-4"/>
          <w:w w:val="95"/>
        </w:rPr>
        <w:t xml:space="preserve"> </w:t>
      </w:r>
      <w:r>
        <w:rPr>
          <w:w w:val="95"/>
        </w:rPr>
        <w:t xml:space="preserve">This represents one third of Australia’s international tourism </w:t>
      </w:r>
      <w:r>
        <w:rPr>
          <w:spacing w:val="-2"/>
        </w:rPr>
        <w:t>earnings.</w:t>
      </w:r>
    </w:p>
    <w:p w:rsidR="002C1123" w:rsidRDefault="00F22F94">
      <w:pPr>
        <w:pStyle w:val="Heading6"/>
        <w:numPr>
          <w:ilvl w:val="2"/>
          <w:numId w:val="122"/>
        </w:numPr>
        <w:tabs>
          <w:tab w:val="left" w:pos="979"/>
        </w:tabs>
        <w:spacing w:before="147"/>
        <w:ind w:left="978" w:hanging="487"/>
        <w:jc w:val="left"/>
      </w:pPr>
      <w:r>
        <w:rPr>
          <w:color w:val="EC008C"/>
          <w:w w:val="95"/>
        </w:rPr>
        <w:t>Living</w:t>
      </w:r>
      <w:r>
        <w:rPr>
          <w:color w:val="EC008C"/>
          <w:spacing w:val="-6"/>
          <w:w w:val="95"/>
        </w:rPr>
        <w:t xml:space="preserve"> </w:t>
      </w:r>
      <w:r>
        <w:rPr>
          <w:color w:val="EC008C"/>
          <w:w w:val="95"/>
        </w:rPr>
        <w:t>in</w:t>
      </w:r>
      <w:r>
        <w:rPr>
          <w:color w:val="EC008C"/>
          <w:spacing w:val="-5"/>
          <w:w w:val="95"/>
        </w:rPr>
        <w:t xml:space="preserve"> </w:t>
      </w:r>
      <w:r>
        <w:rPr>
          <w:color w:val="EC008C"/>
          <w:w w:val="95"/>
        </w:rPr>
        <w:t>Global</w:t>
      </w:r>
      <w:r>
        <w:rPr>
          <w:color w:val="EC008C"/>
          <w:spacing w:val="-5"/>
          <w:w w:val="95"/>
        </w:rPr>
        <w:t xml:space="preserve"> </w:t>
      </w:r>
      <w:r>
        <w:rPr>
          <w:color w:val="EC008C"/>
          <w:spacing w:val="-2"/>
          <w:w w:val="95"/>
        </w:rPr>
        <w:t>Sydney</w:t>
      </w:r>
    </w:p>
    <w:p w:rsidR="002C1123" w:rsidRDefault="00F22F94">
      <w:pPr>
        <w:pStyle w:val="BodyText"/>
        <w:spacing w:before="95" w:line="249" w:lineRule="auto"/>
        <w:ind w:left="492" w:right="71"/>
      </w:pPr>
      <w:r>
        <w:rPr>
          <w:w w:val="95"/>
        </w:rPr>
        <w:t>1.3</w:t>
      </w:r>
      <w:r>
        <w:rPr>
          <w:spacing w:val="-6"/>
          <w:w w:val="95"/>
        </w:rPr>
        <w:t xml:space="preserve"> </w:t>
      </w:r>
      <w:r>
        <w:rPr>
          <w:w w:val="95"/>
        </w:rPr>
        <w:t>million</w:t>
      </w:r>
      <w:r>
        <w:rPr>
          <w:spacing w:val="-6"/>
          <w:w w:val="95"/>
        </w:rPr>
        <w:t xml:space="preserve"> </w:t>
      </w:r>
      <w:r>
        <w:rPr>
          <w:w w:val="95"/>
        </w:rPr>
        <w:t>people</w:t>
      </w:r>
      <w:r>
        <w:rPr>
          <w:w w:val="95"/>
          <w:position w:val="7"/>
          <w:sz w:val="11"/>
        </w:rPr>
        <w:t>13</w:t>
      </w:r>
      <w:r>
        <w:rPr>
          <w:spacing w:val="16"/>
          <w:position w:val="7"/>
          <w:sz w:val="11"/>
        </w:rPr>
        <w:t xml:space="preserve"> </w:t>
      </w:r>
      <w:r>
        <w:rPr>
          <w:w w:val="95"/>
        </w:rPr>
        <w:t>(17</w:t>
      </w:r>
      <w:r>
        <w:rPr>
          <w:spacing w:val="-6"/>
          <w:w w:val="95"/>
        </w:rPr>
        <w:t xml:space="preserve"> </w:t>
      </w:r>
      <w:r>
        <w:rPr>
          <w:w w:val="95"/>
        </w:rPr>
        <w:t>percent</w:t>
      </w:r>
      <w:r>
        <w:rPr>
          <w:spacing w:val="-6"/>
          <w:w w:val="95"/>
        </w:rPr>
        <w:t xml:space="preserve"> </w:t>
      </w:r>
      <w:r>
        <w:rPr>
          <w:w w:val="95"/>
        </w:rPr>
        <w:t>of</w:t>
      </w:r>
      <w:r>
        <w:rPr>
          <w:spacing w:val="-6"/>
          <w:w w:val="95"/>
        </w:rPr>
        <w:t xml:space="preserve"> </w:t>
      </w:r>
      <w:r>
        <w:rPr>
          <w:w w:val="95"/>
        </w:rPr>
        <w:t>NSW</w:t>
      </w:r>
      <w:r>
        <w:rPr>
          <w:spacing w:val="-6"/>
          <w:w w:val="95"/>
        </w:rPr>
        <w:t xml:space="preserve"> </w:t>
      </w:r>
      <w:r>
        <w:rPr>
          <w:w w:val="95"/>
        </w:rPr>
        <w:t>residents),</w:t>
      </w:r>
      <w:r>
        <w:rPr>
          <w:spacing w:val="-6"/>
          <w:w w:val="95"/>
        </w:rPr>
        <w:t xml:space="preserve"> </w:t>
      </w:r>
      <w:r>
        <w:rPr>
          <w:w w:val="95"/>
        </w:rPr>
        <w:t>live in</w:t>
      </w:r>
      <w:r>
        <w:rPr>
          <w:spacing w:val="-8"/>
          <w:w w:val="95"/>
        </w:rPr>
        <w:t xml:space="preserve"> </w:t>
      </w:r>
      <w:r>
        <w:rPr>
          <w:w w:val="95"/>
        </w:rPr>
        <w:t>Global</w:t>
      </w:r>
      <w:r>
        <w:rPr>
          <w:spacing w:val="-8"/>
          <w:w w:val="95"/>
        </w:rPr>
        <w:t xml:space="preserve"> </w:t>
      </w:r>
      <w:r>
        <w:rPr>
          <w:w w:val="95"/>
        </w:rPr>
        <w:t>Sydney</w:t>
      </w:r>
      <w:r>
        <w:rPr>
          <w:spacing w:val="-8"/>
          <w:w w:val="95"/>
        </w:rPr>
        <w:t xml:space="preserve"> </w:t>
      </w:r>
      <w:r>
        <w:rPr>
          <w:w w:val="95"/>
        </w:rPr>
        <w:t>in</w:t>
      </w:r>
      <w:r>
        <w:rPr>
          <w:spacing w:val="-8"/>
          <w:w w:val="95"/>
        </w:rPr>
        <w:t xml:space="preserve"> </w:t>
      </w:r>
      <w:r>
        <w:rPr>
          <w:w w:val="95"/>
        </w:rPr>
        <w:t>some</w:t>
      </w:r>
      <w:r>
        <w:rPr>
          <w:spacing w:val="-8"/>
          <w:w w:val="95"/>
        </w:rPr>
        <w:t xml:space="preserve"> </w:t>
      </w:r>
      <w:r>
        <w:rPr>
          <w:w w:val="95"/>
        </w:rPr>
        <w:t>of</w:t>
      </w:r>
      <w:r>
        <w:rPr>
          <w:spacing w:val="-8"/>
          <w:w w:val="95"/>
        </w:rPr>
        <w:t xml:space="preserve"> </w:t>
      </w:r>
      <w:r>
        <w:rPr>
          <w:w w:val="95"/>
        </w:rPr>
        <w:t>the</w:t>
      </w:r>
      <w:r>
        <w:rPr>
          <w:spacing w:val="-8"/>
          <w:w w:val="95"/>
        </w:rPr>
        <w:t xml:space="preserve"> </w:t>
      </w:r>
      <w:r>
        <w:rPr>
          <w:w w:val="95"/>
        </w:rPr>
        <w:t>highest</w:t>
      </w:r>
      <w:r>
        <w:rPr>
          <w:spacing w:val="-8"/>
          <w:w w:val="95"/>
        </w:rPr>
        <w:t xml:space="preserve"> </w:t>
      </w:r>
      <w:r>
        <w:rPr>
          <w:w w:val="95"/>
        </w:rPr>
        <w:t>density,</w:t>
      </w:r>
      <w:r>
        <w:rPr>
          <w:spacing w:val="-8"/>
          <w:w w:val="95"/>
        </w:rPr>
        <w:t xml:space="preserve"> </w:t>
      </w:r>
      <w:r>
        <w:rPr>
          <w:w w:val="95"/>
        </w:rPr>
        <w:t xml:space="preserve">oldest </w:t>
      </w:r>
      <w:r>
        <w:t>suburbs of Australia.</w:t>
      </w:r>
    </w:p>
    <w:p w:rsidR="002C1123" w:rsidRDefault="002C1123">
      <w:pPr>
        <w:pStyle w:val="BodyText"/>
      </w:pPr>
    </w:p>
    <w:p w:rsidR="002C1123" w:rsidRDefault="002060EF">
      <w:pPr>
        <w:pStyle w:val="BodyText"/>
        <w:spacing w:before="6"/>
        <w:rPr>
          <w:sz w:val="27"/>
        </w:rPr>
      </w:pPr>
      <w:r>
        <w:pict>
          <v:shape id="docshape676" o:spid="_x0000_s4651" style="position:absolute;margin-left:49.6pt;margin-top:17.05pt;width:1in;height:.1pt;z-index:-251408384;mso-wrap-distance-left:0;mso-wrap-distance-right:0;mso-position-horizontal-relative:page" coordorigin="992,341" coordsize="1440,0" path="m992,341r1440,e" filled="f" strokecolor="#9c9c9d" strokeweight=".5pt">
            <v:path arrowok="t"/>
            <w10:wrap type="topAndBottom" anchorx="page"/>
          </v:shape>
        </w:pict>
      </w:r>
    </w:p>
    <w:p w:rsidR="002C1123" w:rsidRDefault="00F22F94">
      <w:pPr>
        <w:pStyle w:val="ListParagraph"/>
        <w:numPr>
          <w:ilvl w:val="0"/>
          <w:numId w:val="121"/>
        </w:numPr>
        <w:tabs>
          <w:tab w:val="left" w:pos="691"/>
        </w:tabs>
        <w:spacing w:before="23" w:line="156" w:lineRule="exact"/>
        <w:ind w:left="690"/>
        <w:jc w:val="left"/>
        <w:rPr>
          <w:sz w:val="14"/>
        </w:rPr>
      </w:pPr>
      <w:r>
        <w:rPr>
          <w:w w:val="95"/>
          <w:sz w:val="14"/>
        </w:rPr>
        <w:t>NSW</w:t>
      </w:r>
      <w:r>
        <w:rPr>
          <w:spacing w:val="-3"/>
          <w:w w:val="95"/>
          <w:sz w:val="14"/>
        </w:rPr>
        <w:t xml:space="preserve"> </w:t>
      </w:r>
      <w:r>
        <w:rPr>
          <w:w w:val="95"/>
          <w:sz w:val="14"/>
        </w:rPr>
        <w:t>Trade</w:t>
      </w:r>
      <w:r>
        <w:rPr>
          <w:spacing w:val="-3"/>
          <w:w w:val="95"/>
          <w:sz w:val="14"/>
        </w:rPr>
        <w:t xml:space="preserve"> </w:t>
      </w:r>
      <w:r>
        <w:rPr>
          <w:w w:val="95"/>
          <w:sz w:val="14"/>
        </w:rPr>
        <w:t>and</w:t>
      </w:r>
      <w:r>
        <w:rPr>
          <w:spacing w:val="-3"/>
          <w:w w:val="95"/>
          <w:sz w:val="14"/>
        </w:rPr>
        <w:t xml:space="preserve"> </w:t>
      </w:r>
      <w:r>
        <w:rPr>
          <w:w w:val="95"/>
          <w:sz w:val="14"/>
        </w:rPr>
        <w:t>Investment</w:t>
      </w:r>
      <w:r>
        <w:rPr>
          <w:spacing w:val="-3"/>
          <w:w w:val="95"/>
          <w:sz w:val="14"/>
        </w:rPr>
        <w:t xml:space="preserve"> </w:t>
      </w:r>
      <w:r>
        <w:rPr>
          <w:spacing w:val="-2"/>
          <w:w w:val="95"/>
          <w:sz w:val="14"/>
        </w:rPr>
        <w:t>2011.</w:t>
      </w:r>
    </w:p>
    <w:p w:rsidR="002C1123" w:rsidRDefault="00F22F94">
      <w:pPr>
        <w:pStyle w:val="BodyText"/>
        <w:spacing w:before="108" w:line="249" w:lineRule="auto"/>
        <w:ind w:left="242"/>
      </w:pPr>
      <w:r>
        <w:br w:type="column"/>
      </w:r>
      <w:r>
        <w:rPr>
          <w:w w:val="95"/>
        </w:rPr>
        <w:t>The natural and man-made attractions of Global Sydney help the city to score highly in international quality of life surveys.</w:t>
      </w:r>
      <w:r>
        <w:rPr>
          <w:spacing w:val="-12"/>
          <w:w w:val="95"/>
        </w:rPr>
        <w:t xml:space="preserve"> </w:t>
      </w:r>
      <w:r>
        <w:rPr>
          <w:w w:val="95"/>
        </w:rPr>
        <w:t>The</w:t>
      </w:r>
      <w:r>
        <w:rPr>
          <w:spacing w:val="-11"/>
          <w:w w:val="95"/>
        </w:rPr>
        <w:t xml:space="preserve"> </w:t>
      </w:r>
      <w:r>
        <w:rPr>
          <w:w w:val="95"/>
        </w:rPr>
        <w:t>Economist</w:t>
      </w:r>
      <w:r>
        <w:rPr>
          <w:spacing w:val="-11"/>
          <w:w w:val="95"/>
        </w:rPr>
        <w:t xml:space="preserve"> </w:t>
      </w:r>
      <w:r>
        <w:rPr>
          <w:w w:val="95"/>
        </w:rPr>
        <w:t>Intelligence</w:t>
      </w:r>
      <w:r>
        <w:rPr>
          <w:spacing w:val="-11"/>
          <w:w w:val="95"/>
        </w:rPr>
        <w:t xml:space="preserve"> </w:t>
      </w:r>
      <w:r>
        <w:rPr>
          <w:w w:val="95"/>
        </w:rPr>
        <w:t>Unit,</w:t>
      </w:r>
      <w:r>
        <w:rPr>
          <w:spacing w:val="-11"/>
          <w:w w:val="95"/>
        </w:rPr>
        <w:t xml:space="preserve"> </w:t>
      </w:r>
      <w:r>
        <w:rPr>
          <w:w w:val="95"/>
        </w:rPr>
        <w:t>ranked</w:t>
      </w:r>
      <w:r>
        <w:rPr>
          <w:spacing w:val="-11"/>
          <w:w w:val="95"/>
        </w:rPr>
        <w:t xml:space="preserve"> </w:t>
      </w:r>
      <w:r>
        <w:rPr>
          <w:w w:val="95"/>
        </w:rPr>
        <w:t xml:space="preserve">Sydney </w:t>
      </w:r>
      <w:r>
        <w:t>as</w:t>
      </w:r>
      <w:r>
        <w:rPr>
          <w:spacing w:val="-14"/>
        </w:rPr>
        <w:t xml:space="preserve"> </w:t>
      </w:r>
      <w:r>
        <w:t>the</w:t>
      </w:r>
      <w:r>
        <w:rPr>
          <w:spacing w:val="-14"/>
        </w:rPr>
        <w:t xml:space="preserve"> </w:t>
      </w:r>
      <w:r>
        <w:t>seventh</w:t>
      </w:r>
      <w:r>
        <w:rPr>
          <w:spacing w:val="-14"/>
        </w:rPr>
        <w:t xml:space="preserve"> </w:t>
      </w:r>
      <w:r>
        <w:t>most</w:t>
      </w:r>
      <w:r>
        <w:rPr>
          <w:spacing w:val="-14"/>
        </w:rPr>
        <w:t xml:space="preserve"> </w:t>
      </w:r>
      <w:r>
        <w:t>liveable</w:t>
      </w:r>
      <w:r>
        <w:rPr>
          <w:spacing w:val="-14"/>
        </w:rPr>
        <w:t xml:space="preserve"> </w:t>
      </w:r>
      <w:r>
        <w:t>city</w:t>
      </w:r>
      <w:r>
        <w:rPr>
          <w:spacing w:val="-14"/>
        </w:rPr>
        <w:t xml:space="preserve"> </w:t>
      </w:r>
      <w:r>
        <w:t>on</w:t>
      </w:r>
      <w:r>
        <w:rPr>
          <w:spacing w:val="-14"/>
        </w:rPr>
        <w:t xml:space="preserve"> </w:t>
      </w:r>
      <w:r>
        <w:t>the</w:t>
      </w:r>
      <w:r>
        <w:rPr>
          <w:spacing w:val="-14"/>
        </w:rPr>
        <w:t xml:space="preserve"> </w:t>
      </w:r>
      <w:r>
        <w:t>planet.</w:t>
      </w:r>
      <w:r>
        <w:rPr>
          <w:spacing w:val="-14"/>
        </w:rPr>
        <w:t xml:space="preserve"> </w:t>
      </w:r>
      <w:r>
        <w:t xml:space="preserve">Sydney </w:t>
      </w:r>
      <w:r>
        <w:rPr>
          <w:w w:val="95"/>
        </w:rPr>
        <w:t xml:space="preserve">should not rest on its laurels however as Melbourne was </w:t>
      </w:r>
      <w:r>
        <w:t>ranked</w:t>
      </w:r>
      <w:r>
        <w:rPr>
          <w:spacing w:val="-9"/>
        </w:rPr>
        <w:t xml:space="preserve"> </w:t>
      </w:r>
      <w:r>
        <w:t>first</w:t>
      </w:r>
      <w:r>
        <w:rPr>
          <w:spacing w:val="-9"/>
        </w:rPr>
        <w:t xml:space="preserve"> </w:t>
      </w:r>
      <w:r>
        <w:t>in</w:t>
      </w:r>
      <w:r>
        <w:rPr>
          <w:spacing w:val="-9"/>
        </w:rPr>
        <w:t xml:space="preserve"> </w:t>
      </w:r>
      <w:r>
        <w:t>the</w:t>
      </w:r>
      <w:r>
        <w:rPr>
          <w:spacing w:val="-9"/>
        </w:rPr>
        <w:t xml:space="preserve"> </w:t>
      </w:r>
      <w:r>
        <w:t>same</w:t>
      </w:r>
      <w:r>
        <w:rPr>
          <w:spacing w:val="-9"/>
        </w:rPr>
        <w:t xml:space="preserve"> </w:t>
      </w:r>
      <w:r>
        <w:t>survey</w:t>
      </w:r>
      <w:r>
        <w:rPr>
          <w:position w:val="7"/>
          <w:sz w:val="11"/>
        </w:rPr>
        <w:t>14</w:t>
      </w:r>
      <w:r>
        <w:t>.</w:t>
      </w:r>
    </w:p>
    <w:p w:rsidR="002C1123" w:rsidRDefault="00F22F94">
      <w:pPr>
        <w:pStyle w:val="BodyText"/>
        <w:spacing w:before="147" w:line="249" w:lineRule="auto"/>
        <w:ind w:left="242" w:right="77"/>
      </w:pPr>
      <w:r>
        <w:rPr>
          <w:w w:val="95"/>
        </w:rPr>
        <w:t xml:space="preserve">Where and how people live and work in Global Sydney </w:t>
      </w:r>
      <w:r>
        <w:t>has</w:t>
      </w:r>
      <w:r>
        <w:rPr>
          <w:spacing w:val="-14"/>
        </w:rPr>
        <w:t xml:space="preserve"> </w:t>
      </w:r>
      <w:r>
        <w:t>implications</w:t>
      </w:r>
      <w:r>
        <w:rPr>
          <w:spacing w:val="-14"/>
        </w:rPr>
        <w:t xml:space="preserve"> </w:t>
      </w:r>
      <w:r>
        <w:t>for</w:t>
      </w:r>
      <w:r>
        <w:rPr>
          <w:spacing w:val="-14"/>
        </w:rPr>
        <w:t xml:space="preserve"> </w:t>
      </w:r>
      <w:r>
        <w:t>the</w:t>
      </w:r>
      <w:r>
        <w:rPr>
          <w:spacing w:val="-14"/>
        </w:rPr>
        <w:t xml:space="preserve"> </w:t>
      </w:r>
      <w:r>
        <w:t>city’s</w:t>
      </w:r>
      <w:r>
        <w:rPr>
          <w:spacing w:val="-14"/>
        </w:rPr>
        <w:t xml:space="preserve"> </w:t>
      </w:r>
      <w:r>
        <w:t>infrastructure</w:t>
      </w:r>
      <w:r>
        <w:rPr>
          <w:spacing w:val="-14"/>
        </w:rPr>
        <w:t xml:space="preserve"> </w:t>
      </w:r>
      <w:r>
        <w:t>needs.</w:t>
      </w:r>
      <w:r>
        <w:rPr>
          <w:spacing w:val="-14"/>
        </w:rPr>
        <w:t xml:space="preserve"> </w:t>
      </w:r>
      <w:r>
        <w:t>For example,</w:t>
      </w:r>
      <w:r>
        <w:rPr>
          <w:spacing w:val="-14"/>
        </w:rPr>
        <w:t xml:space="preserve"> </w:t>
      </w:r>
      <w:r>
        <w:t>a</w:t>
      </w:r>
      <w:r>
        <w:rPr>
          <w:spacing w:val="-14"/>
        </w:rPr>
        <w:t xml:space="preserve"> </w:t>
      </w:r>
      <w:r>
        <w:t>much</w:t>
      </w:r>
      <w:r>
        <w:rPr>
          <w:spacing w:val="-14"/>
        </w:rPr>
        <w:t xml:space="preserve"> </w:t>
      </w:r>
      <w:r>
        <w:t>higher</w:t>
      </w:r>
      <w:r>
        <w:rPr>
          <w:spacing w:val="-14"/>
        </w:rPr>
        <w:t xml:space="preserve"> </w:t>
      </w:r>
      <w:r>
        <w:t>percentage</w:t>
      </w:r>
      <w:r>
        <w:rPr>
          <w:spacing w:val="-14"/>
        </w:rPr>
        <w:t xml:space="preserve"> </w:t>
      </w:r>
      <w:r>
        <w:t>of</w:t>
      </w:r>
      <w:r>
        <w:rPr>
          <w:spacing w:val="-14"/>
        </w:rPr>
        <w:t xml:space="preserve"> </w:t>
      </w:r>
      <w:r>
        <w:t>Global</w:t>
      </w:r>
      <w:r>
        <w:rPr>
          <w:spacing w:val="-14"/>
        </w:rPr>
        <w:t xml:space="preserve"> </w:t>
      </w:r>
      <w:r>
        <w:t xml:space="preserve">Sydney </w:t>
      </w:r>
      <w:r>
        <w:rPr>
          <w:w w:val="95"/>
        </w:rPr>
        <w:t>residents</w:t>
      </w:r>
      <w:r>
        <w:rPr>
          <w:spacing w:val="-3"/>
          <w:w w:val="95"/>
        </w:rPr>
        <w:t xml:space="preserve"> </w:t>
      </w:r>
      <w:r>
        <w:rPr>
          <w:w w:val="95"/>
        </w:rPr>
        <w:t>travel</w:t>
      </w:r>
      <w:r>
        <w:rPr>
          <w:spacing w:val="-3"/>
          <w:w w:val="95"/>
        </w:rPr>
        <w:t xml:space="preserve"> </w:t>
      </w:r>
      <w:r>
        <w:rPr>
          <w:w w:val="95"/>
        </w:rPr>
        <w:t>to</w:t>
      </w:r>
      <w:r>
        <w:rPr>
          <w:spacing w:val="-3"/>
          <w:w w:val="95"/>
        </w:rPr>
        <w:t xml:space="preserve"> </w:t>
      </w:r>
      <w:r>
        <w:rPr>
          <w:w w:val="95"/>
        </w:rPr>
        <w:t>work</w:t>
      </w:r>
      <w:r>
        <w:rPr>
          <w:spacing w:val="-3"/>
          <w:w w:val="95"/>
        </w:rPr>
        <w:t xml:space="preserve"> </w:t>
      </w:r>
      <w:r>
        <w:rPr>
          <w:w w:val="95"/>
        </w:rPr>
        <w:t>by</w:t>
      </w:r>
      <w:r>
        <w:rPr>
          <w:spacing w:val="-3"/>
          <w:w w:val="95"/>
        </w:rPr>
        <w:t xml:space="preserve"> </w:t>
      </w:r>
      <w:r>
        <w:rPr>
          <w:w w:val="95"/>
        </w:rPr>
        <w:t>public</w:t>
      </w:r>
      <w:r>
        <w:rPr>
          <w:spacing w:val="-3"/>
          <w:w w:val="95"/>
        </w:rPr>
        <w:t xml:space="preserve"> </w:t>
      </w:r>
      <w:r>
        <w:rPr>
          <w:w w:val="95"/>
        </w:rPr>
        <w:t>transport</w:t>
      </w:r>
      <w:r>
        <w:rPr>
          <w:spacing w:val="-3"/>
          <w:w w:val="95"/>
        </w:rPr>
        <w:t xml:space="preserve"> </w:t>
      </w:r>
      <w:r>
        <w:rPr>
          <w:w w:val="95"/>
        </w:rPr>
        <w:t>than</w:t>
      </w:r>
      <w:r>
        <w:rPr>
          <w:spacing w:val="-3"/>
          <w:w w:val="95"/>
        </w:rPr>
        <w:t xml:space="preserve"> </w:t>
      </w:r>
      <w:r>
        <w:rPr>
          <w:w w:val="95"/>
        </w:rPr>
        <w:t xml:space="preserve">Greater </w:t>
      </w:r>
      <w:r>
        <w:t>Sydney’s</w:t>
      </w:r>
      <w:r>
        <w:rPr>
          <w:spacing w:val="-11"/>
        </w:rPr>
        <w:t xml:space="preserve"> </w:t>
      </w:r>
      <w:r>
        <w:t>residents.</w:t>
      </w:r>
    </w:p>
    <w:p w:rsidR="002C1123" w:rsidRDefault="00F22F94">
      <w:pPr>
        <w:pStyle w:val="Heading6"/>
        <w:numPr>
          <w:ilvl w:val="2"/>
          <w:numId w:val="122"/>
        </w:numPr>
        <w:tabs>
          <w:tab w:val="left" w:pos="729"/>
        </w:tabs>
        <w:spacing w:before="145"/>
        <w:ind w:left="728" w:hanging="487"/>
        <w:jc w:val="left"/>
      </w:pPr>
      <w:r>
        <w:rPr>
          <w:color w:val="EC008C"/>
          <w:w w:val="95"/>
        </w:rPr>
        <w:t>Sydney’s</w:t>
      </w:r>
      <w:r>
        <w:rPr>
          <w:color w:val="EC008C"/>
          <w:spacing w:val="-3"/>
        </w:rPr>
        <w:t xml:space="preserve"> </w:t>
      </w:r>
      <w:r>
        <w:rPr>
          <w:color w:val="EC008C"/>
          <w:w w:val="95"/>
        </w:rPr>
        <w:t>International</w:t>
      </w:r>
      <w:r>
        <w:rPr>
          <w:color w:val="EC008C"/>
          <w:spacing w:val="-2"/>
        </w:rPr>
        <w:t xml:space="preserve"> </w:t>
      </w:r>
      <w:r>
        <w:rPr>
          <w:color w:val="EC008C"/>
          <w:spacing w:val="-2"/>
          <w:w w:val="95"/>
        </w:rPr>
        <w:t>Gateways</w:t>
      </w:r>
    </w:p>
    <w:p w:rsidR="002C1123" w:rsidRDefault="00F22F94">
      <w:pPr>
        <w:pStyle w:val="BodyText"/>
        <w:spacing w:before="95" w:line="249" w:lineRule="auto"/>
        <w:ind w:left="242"/>
      </w:pPr>
      <w:r>
        <w:t>Global</w:t>
      </w:r>
      <w:r>
        <w:rPr>
          <w:spacing w:val="-12"/>
        </w:rPr>
        <w:t xml:space="preserve"> </w:t>
      </w:r>
      <w:r>
        <w:t>Sydney</w:t>
      </w:r>
      <w:r>
        <w:rPr>
          <w:spacing w:val="-12"/>
        </w:rPr>
        <w:t xml:space="preserve"> </w:t>
      </w:r>
      <w:r>
        <w:t>is</w:t>
      </w:r>
      <w:r>
        <w:rPr>
          <w:spacing w:val="-12"/>
        </w:rPr>
        <w:t xml:space="preserve"> </w:t>
      </w:r>
      <w:r>
        <w:t>home</w:t>
      </w:r>
      <w:r>
        <w:rPr>
          <w:spacing w:val="-12"/>
        </w:rPr>
        <w:t xml:space="preserve"> </w:t>
      </w:r>
      <w:r>
        <w:t>to</w:t>
      </w:r>
      <w:r>
        <w:rPr>
          <w:spacing w:val="-12"/>
        </w:rPr>
        <w:t xml:space="preserve"> </w:t>
      </w:r>
      <w:r>
        <w:t>two</w:t>
      </w:r>
      <w:r>
        <w:rPr>
          <w:spacing w:val="-12"/>
        </w:rPr>
        <w:t xml:space="preserve"> </w:t>
      </w:r>
      <w:r>
        <w:t>of</w:t>
      </w:r>
      <w:r>
        <w:rPr>
          <w:spacing w:val="-12"/>
        </w:rPr>
        <w:t xml:space="preserve"> </w:t>
      </w:r>
      <w:r>
        <w:t>Australia’s</w:t>
      </w:r>
      <w:r>
        <w:rPr>
          <w:spacing w:val="-12"/>
        </w:rPr>
        <w:t xml:space="preserve"> </w:t>
      </w:r>
      <w:r>
        <w:t xml:space="preserve">most </w:t>
      </w:r>
      <w:r>
        <w:rPr>
          <w:w w:val="95"/>
        </w:rPr>
        <w:t>economically</w:t>
      </w:r>
      <w:r>
        <w:rPr>
          <w:spacing w:val="-4"/>
          <w:w w:val="95"/>
        </w:rPr>
        <w:t xml:space="preserve"> </w:t>
      </w:r>
      <w:r>
        <w:rPr>
          <w:w w:val="95"/>
        </w:rPr>
        <w:t>important</w:t>
      </w:r>
      <w:r>
        <w:rPr>
          <w:spacing w:val="-4"/>
          <w:w w:val="95"/>
        </w:rPr>
        <w:t xml:space="preserve"> </w:t>
      </w:r>
      <w:r>
        <w:rPr>
          <w:w w:val="95"/>
        </w:rPr>
        <w:t>air</w:t>
      </w:r>
      <w:r>
        <w:rPr>
          <w:spacing w:val="-4"/>
          <w:w w:val="95"/>
        </w:rPr>
        <w:t xml:space="preserve"> </w:t>
      </w:r>
      <w:r>
        <w:rPr>
          <w:w w:val="95"/>
        </w:rPr>
        <w:t>and</w:t>
      </w:r>
      <w:r>
        <w:rPr>
          <w:spacing w:val="-4"/>
          <w:w w:val="95"/>
        </w:rPr>
        <w:t xml:space="preserve"> </w:t>
      </w:r>
      <w:r>
        <w:rPr>
          <w:w w:val="95"/>
        </w:rPr>
        <w:t>sea</w:t>
      </w:r>
      <w:r>
        <w:rPr>
          <w:spacing w:val="-4"/>
          <w:w w:val="95"/>
        </w:rPr>
        <w:t xml:space="preserve"> </w:t>
      </w:r>
      <w:r>
        <w:rPr>
          <w:w w:val="95"/>
        </w:rPr>
        <w:t>gateways.</w:t>
      </w:r>
      <w:r>
        <w:rPr>
          <w:spacing w:val="-4"/>
          <w:w w:val="95"/>
        </w:rPr>
        <w:t xml:space="preserve"> </w:t>
      </w:r>
      <w:r>
        <w:rPr>
          <w:w w:val="95"/>
        </w:rPr>
        <w:t xml:space="preserve">Sydney </w:t>
      </w:r>
      <w:r>
        <w:t>Airport</w:t>
      </w:r>
      <w:r>
        <w:rPr>
          <w:spacing w:val="-11"/>
        </w:rPr>
        <w:t xml:space="preserve"> </w:t>
      </w:r>
      <w:r>
        <w:t>is</w:t>
      </w:r>
      <w:r>
        <w:rPr>
          <w:spacing w:val="-11"/>
        </w:rPr>
        <w:t xml:space="preserve"> </w:t>
      </w:r>
      <w:r>
        <w:t>Australia’s</w:t>
      </w:r>
      <w:r>
        <w:rPr>
          <w:spacing w:val="-11"/>
        </w:rPr>
        <w:t xml:space="preserve"> </w:t>
      </w:r>
      <w:r>
        <w:t>largest</w:t>
      </w:r>
      <w:r>
        <w:rPr>
          <w:spacing w:val="-11"/>
        </w:rPr>
        <w:t xml:space="preserve"> </w:t>
      </w:r>
      <w:r>
        <w:t>airport</w:t>
      </w:r>
      <w:r>
        <w:rPr>
          <w:spacing w:val="-11"/>
        </w:rPr>
        <w:t xml:space="preserve"> </w:t>
      </w:r>
      <w:r>
        <w:t>with</w:t>
      </w:r>
      <w:r>
        <w:rPr>
          <w:spacing w:val="-11"/>
        </w:rPr>
        <w:t xml:space="preserve"> </w:t>
      </w:r>
      <w:r>
        <w:t>more</w:t>
      </w:r>
      <w:r>
        <w:rPr>
          <w:spacing w:val="-11"/>
        </w:rPr>
        <w:t xml:space="preserve"> </w:t>
      </w:r>
      <w:r>
        <w:t>than</w:t>
      </w:r>
    </w:p>
    <w:p w:rsidR="002C1123" w:rsidRDefault="00F22F94">
      <w:pPr>
        <w:pStyle w:val="BodyText"/>
        <w:spacing w:before="3" w:line="249" w:lineRule="auto"/>
        <w:ind w:left="242"/>
      </w:pPr>
      <w:r>
        <w:t>45</w:t>
      </w:r>
      <w:r>
        <w:rPr>
          <w:spacing w:val="-11"/>
        </w:rPr>
        <w:t xml:space="preserve"> </w:t>
      </w:r>
      <w:r>
        <w:t>percent</w:t>
      </w:r>
      <w:r>
        <w:rPr>
          <w:spacing w:val="-11"/>
        </w:rPr>
        <w:t xml:space="preserve"> </w:t>
      </w:r>
      <w:r>
        <w:t>of</w:t>
      </w:r>
      <w:r>
        <w:rPr>
          <w:spacing w:val="-11"/>
        </w:rPr>
        <w:t xml:space="preserve"> </w:t>
      </w:r>
      <w:r>
        <w:t>international</w:t>
      </w:r>
      <w:r>
        <w:rPr>
          <w:spacing w:val="-11"/>
        </w:rPr>
        <w:t xml:space="preserve"> </w:t>
      </w:r>
      <w:r>
        <w:t>passenger</w:t>
      </w:r>
      <w:r>
        <w:rPr>
          <w:spacing w:val="-11"/>
        </w:rPr>
        <w:t xml:space="preserve"> </w:t>
      </w:r>
      <w:r>
        <w:t>traffic</w:t>
      </w:r>
      <w:r>
        <w:rPr>
          <w:position w:val="7"/>
          <w:sz w:val="11"/>
        </w:rPr>
        <w:t>15</w:t>
      </w:r>
      <w:r>
        <w:t>.</w:t>
      </w:r>
      <w:r>
        <w:rPr>
          <w:spacing w:val="-11"/>
        </w:rPr>
        <w:t xml:space="preserve"> </w:t>
      </w:r>
      <w:r>
        <w:t xml:space="preserve">Port </w:t>
      </w:r>
      <w:r>
        <w:rPr>
          <w:w w:val="95"/>
        </w:rPr>
        <w:t>Botany</w:t>
      </w:r>
      <w:r>
        <w:rPr>
          <w:spacing w:val="-2"/>
          <w:w w:val="95"/>
        </w:rPr>
        <w:t xml:space="preserve"> </w:t>
      </w:r>
      <w:r>
        <w:rPr>
          <w:w w:val="95"/>
        </w:rPr>
        <w:t>is</w:t>
      </w:r>
      <w:r>
        <w:rPr>
          <w:spacing w:val="-2"/>
          <w:w w:val="95"/>
        </w:rPr>
        <w:t xml:space="preserve"> </w:t>
      </w:r>
      <w:r>
        <w:rPr>
          <w:w w:val="95"/>
        </w:rPr>
        <w:t>Australia’s</w:t>
      </w:r>
      <w:r>
        <w:rPr>
          <w:spacing w:val="-2"/>
          <w:w w:val="95"/>
        </w:rPr>
        <w:t xml:space="preserve"> </w:t>
      </w:r>
      <w:r>
        <w:rPr>
          <w:w w:val="95"/>
        </w:rPr>
        <w:t>second</w:t>
      </w:r>
      <w:r>
        <w:rPr>
          <w:spacing w:val="-2"/>
          <w:w w:val="95"/>
        </w:rPr>
        <w:t xml:space="preserve"> </w:t>
      </w:r>
      <w:r>
        <w:rPr>
          <w:w w:val="95"/>
        </w:rPr>
        <w:t>busiest</w:t>
      </w:r>
      <w:r>
        <w:rPr>
          <w:spacing w:val="-2"/>
          <w:w w:val="95"/>
        </w:rPr>
        <w:t xml:space="preserve"> </w:t>
      </w:r>
      <w:r>
        <w:rPr>
          <w:w w:val="95"/>
        </w:rPr>
        <w:t>container</w:t>
      </w:r>
      <w:r>
        <w:rPr>
          <w:spacing w:val="-2"/>
          <w:w w:val="95"/>
        </w:rPr>
        <w:t xml:space="preserve"> </w:t>
      </w:r>
      <w:r>
        <w:rPr>
          <w:w w:val="95"/>
        </w:rPr>
        <w:t>port</w:t>
      </w:r>
      <w:r>
        <w:rPr>
          <w:spacing w:val="-2"/>
          <w:w w:val="95"/>
        </w:rPr>
        <w:t xml:space="preserve"> </w:t>
      </w:r>
      <w:r>
        <w:rPr>
          <w:w w:val="95"/>
        </w:rPr>
        <w:t xml:space="preserve">and </w:t>
      </w:r>
      <w:r>
        <w:t>handles</w:t>
      </w:r>
      <w:r>
        <w:rPr>
          <w:spacing w:val="-11"/>
        </w:rPr>
        <w:t xml:space="preserve"> </w:t>
      </w:r>
      <w:r>
        <w:t>more</w:t>
      </w:r>
      <w:r>
        <w:rPr>
          <w:spacing w:val="-11"/>
        </w:rPr>
        <w:t xml:space="preserve"> </w:t>
      </w:r>
      <w:r>
        <w:t>than</w:t>
      </w:r>
      <w:r>
        <w:rPr>
          <w:spacing w:val="-11"/>
        </w:rPr>
        <w:t xml:space="preserve"> </w:t>
      </w:r>
      <w:r>
        <w:t>$60</w:t>
      </w:r>
      <w:r>
        <w:rPr>
          <w:spacing w:val="-11"/>
        </w:rPr>
        <w:t xml:space="preserve"> </w:t>
      </w:r>
      <w:r>
        <w:t>billion</w:t>
      </w:r>
      <w:r>
        <w:rPr>
          <w:spacing w:val="-11"/>
        </w:rPr>
        <w:t xml:space="preserve"> </w:t>
      </w:r>
      <w:r>
        <w:t>of</w:t>
      </w:r>
      <w:r>
        <w:rPr>
          <w:spacing w:val="-11"/>
        </w:rPr>
        <w:t xml:space="preserve"> </w:t>
      </w:r>
      <w:r>
        <w:t>trade</w:t>
      </w:r>
      <w:r>
        <w:rPr>
          <w:position w:val="7"/>
          <w:sz w:val="11"/>
        </w:rPr>
        <w:t>16</w:t>
      </w:r>
      <w:r>
        <w:t>.</w:t>
      </w:r>
    </w:p>
    <w:p w:rsidR="002C1123" w:rsidRDefault="00F22F94">
      <w:pPr>
        <w:pStyle w:val="BodyText"/>
        <w:spacing w:before="144" w:line="249" w:lineRule="auto"/>
        <w:ind w:left="242"/>
      </w:pPr>
      <w:r>
        <w:t>This</w:t>
      </w:r>
      <w:r>
        <w:rPr>
          <w:spacing w:val="-14"/>
        </w:rPr>
        <w:t xml:space="preserve"> </w:t>
      </w:r>
      <w:r>
        <w:t>focus</w:t>
      </w:r>
      <w:r>
        <w:rPr>
          <w:spacing w:val="-13"/>
        </w:rPr>
        <w:t xml:space="preserve"> </w:t>
      </w:r>
      <w:r>
        <w:t>of</w:t>
      </w:r>
      <w:r>
        <w:rPr>
          <w:spacing w:val="-14"/>
        </w:rPr>
        <w:t xml:space="preserve"> </w:t>
      </w:r>
      <w:r>
        <w:t>activity</w:t>
      </w:r>
      <w:r>
        <w:rPr>
          <w:spacing w:val="-13"/>
        </w:rPr>
        <w:t xml:space="preserve"> </w:t>
      </w:r>
      <w:r>
        <w:t>is</w:t>
      </w:r>
      <w:r>
        <w:rPr>
          <w:spacing w:val="-14"/>
        </w:rPr>
        <w:t xml:space="preserve"> </w:t>
      </w:r>
      <w:r>
        <w:t>unusual</w:t>
      </w:r>
      <w:r>
        <w:rPr>
          <w:spacing w:val="-13"/>
        </w:rPr>
        <w:t xml:space="preserve"> </w:t>
      </w:r>
      <w:r>
        <w:t>for</w:t>
      </w:r>
      <w:r>
        <w:rPr>
          <w:spacing w:val="-14"/>
        </w:rPr>
        <w:t xml:space="preserve"> </w:t>
      </w:r>
      <w:r>
        <w:t>a</w:t>
      </w:r>
      <w:r>
        <w:rPr>
          <w:spacing w:val="-13"/>
        </w:rPr>
        <w:t xml:space="preserve"> </w:t>
      </w:r>
      <w:r>
        <w:t>major</w:t>
      </w:r>
      <w:r>
        <w:rPr>
          <w:spacing w:val="-14"/>
        </w:rPr>
        <w:t xml:space="preserve"> </w:t>
      </w:r>
      <w:r>
        <w:t>city. Infrastructure</w:t>
      </w:r>
      <w:r>
        <w:rPr>
          <w:spacing w:val="-13"/>
        </w:rPr>
        <w:t xml:space="preserve"> </w:t>
      </w:r>
      <w:r>
        <w:t>NSW</w:t>
      </w:r>
      <w:r>
        <w:rPr>
          <w:spacing w:val="-13"/>
        </w:rPr>
        <w:t xml:space="preserve"> </w:t>
      </w:r>
      <w:r>
        <w:t>has</w:t>
      </w:r>
      <w:r>
        <w:rPr>
          <w:spacing w:val="-13"/>
        </w:rPr>
        <w:t xml:space="preserve"> </w:t>
      </w:r>
      <w:r>
        <w:t>been</w:t>
      </w:r>
      <w:r>
        <w:rPr>
          <w:spacing w:val="-13"/>
        </w:rPr>
        <w:t xml:space="preserve"> </w:t>
      </w:r>
      <w:r>
        <w:t>unable</w:t>
      </w:r>
      <w:r>
        <w:rPr>
          <w:spacing w:val="-13"/>
        </w:rPr>
        <w:t xml:space="preserve"> </w:t>
      </w:r>
      <w:r>
        <w:t>to</w:t>
      </w:r>
      <w:r>
        <w:rPr>
          <w:spacing w:val="-13"/>
        </w:rPr>
        <w:t xml:space="preserve"> </w:t>
      </w:r>
      <w:r>
        <w:t>identify comparable</w:t>
      </w:r>
      <w:r>
        <w:rPr>
          <w:spacing w:val="-9"/>
        </w:rPr>
        <w:t xml:space="preserve"> </w:t>
      </w:r>
      <w:r>
        <w:t>cities</w:t>
      </w:r>
      <w:r>
        <w:rPr>
          <w:spacing w:val="-9"/>
        </w:rPr>
        <w:t xml:space="preserve"> </w:t>
      </w:r>
      <w:r>
        <w:t>that</w:t>
      </w:r>
      <w:r>
        <w:rPr>
          <w:spacing w:val="-9"/>
        </w:rPr>
        <w:t xml:space="preserve"> </w:t>
      </w:r>
      <w:r>
        <w:t>co-locate</w:t>
      </w:r>
      <w:r>
        <w:rPr>
          <w:spacing w:val="-9"/>
        </w:rPr>
        <w:t xml:space="preserve"> </w:t>
      </w:r>
      <w:r>
        <w:t>their</w:t>
      </w:r>
      <w:r>
        <w:rPr>
          <w:spacing w:val="-9"/>
        </w:rPr>
        <w:t xml:space="preserve"> </w:t>
      </w:r>
      <w:r>
        <w:t xml:space="preserve">international </w:t>
      </w:r>
      <w:r>
        <w:rPr>
          <w:w w:val="95"/>
        </w:rPr>
        <w:t>gateways</w:t>
      </w:r>
      <w:r>
        <w:rPr>
          <w:spacing w:val="-7"/>
          <w:w w:val="95"/>
        </w:rPr>
        <w:t xml:space="preserve"> </w:t>
      </w:r>
      <w:r>
        <w:rPr>
          <w:w w:val="95"/>
        </w:rPr>
        <w:t>in</w:t>
      </w:r>
      <w:r>
        <w:rPr>
          <w:spacing w:val="-7"/>
          <w:w w:val="95"/>
        </w:rPr>
        <w:t xml:space="preserve"> </w:t>
      </w:r>
      <w:r>
        <w:rPr>
          <w:w w:val="95"/>
        </w:rPr>
        <w:t>such</w:t>
      </w:r>
      <w:r>
        <w:rPr>
          <w:spacing w:val="-7"/>
          <w:w w:val="95"/>
        </w:rPr>
        <w:t xml:space="preserve"> </w:t>
      </w:r>
      <w:r>
        <w:rPr>
          <w:w w:val="95"/>
        </w:rPr>
        <w:t>close</w:t>
      </w:r>
      <w:r>
        <w:rPr>
          <w:spacing w:val="-7"/>
          <w:w w:val="95"/>
        </w:rPr>
        <w:t xml:space="preserve"> </w:t>
      </w:r>
      <w:r>
        <w:rPr>
          <w:w w:val="95"/>
        </w:rPr>
        <w:t>proximity</w:t>
      </w:r>
      <w:r>
        <w:rPr>
          <w:spacing w:val="-7"/>
          <w:w w:val="95"/>
        </w:rPr>
        <w:t xml:space="preserve"> </w:t>
      </w:r>
      <w:r>
        <w:rPr>
          <w:w w:val="95"/>
        </w:rPr>
        <w:t>and</w:t>
      </w:r>
      <w:r>
        <w:rPr>
          <w:spacing w:val="-7"/>
          <w:w w:val="95"/>
        </w:rPr>
        <w:t xml:space="preserve"> </w:t>
      </w:r>
      <w:r>
        <w:rPr>
          <w:w w:val="95"/>
        </w:rPr>
        <w:t>so</w:t>
      </w:r>
      <w:r>
        <w:rPr>
          <w:spacing w:val="-7"/>
          <w:w w:val="95"/>
        </w:rPr>
        <w:t xml:space="preserve"> </w:t>
      </w:r>
      <w:r>
        <w:rPr>
          <w:w w:val="95"/>
        </w:rPr>
        <w:t>near</w:t>
      </w:r>
      <w:r>
        <w:rPr>
          <w:spacing w:val="-7"/>
          <w:w w:val="95"/>
        </w:rPr>
        <w:t xml:space="preserve"> </w:t>
      </w:r>
      <w:r>
        <w:rPr>
          <w:w w:val="95"/>
        </w:rPr>
        <w:t>to</w:t>
      </w:r>
      <w:r>
        <w:rPr>
          <w:spacing w:val="-7"/>
          <w:w w:val="95"/>
        </w:rPr>
        <w:t xml:space="preserve"> </w:t>
      </w:r>
      <w:r>
        <w:rPr>
          <w:w w:val="95"/>
        </w:rPr>
        <w:t xml:space="preserve">their </w:t>
      </w:r>
      <w:r>
        <w:t>primary commercial area.</w:t>
      </w:r>
    </w:p>
    <w:p w:rsidR="002C1123" w:rsidRDefault="00F22F94">
      <w:pPr>
        <w:pStyle w:val="BodyText"/>
        <w:spacing w:before="146"/>
        <w:ind w:left="242"/>
      </w:pPr>
      <w:r>
        <w:rPr>
          <w:w w:val="90"/>
        </w:rPr>
        <w:t>Some</w:t>
      </w:r>
      <w:r>
        <w:rPr>
          <w:spacing w:val="8"/>
        </w:rPr>
        <w:t xml:space="preserve"> </w:t>
      </w:r>
      <w:r>
        <w:rPr>
          <w:w w:val="90"/>
        </w:rPr>
        <w:t>vital</w:t>
      </w:r>
      <w:r>
        <w:rPr>
          <w:spacing w:val="8"/>
        </w:rPr>
        <w:t xml:space="preserve"> </w:t>
      </w:r>
      <w:r>
        <w:rPr>
          <w:spacing w:val="-2"/>
          <w:w w:val="90"/>
        </w:rPr>
        <w:t>statistics:</w:t>
      </w:r>
    </w:p>
    <w:p w:rsidR="002C1123" w:rsidRDefault="00F22F94">
      <w:pPr>
        <w:pStyle w:val="ListParagraph"/>
        <w:numPr>
          <w:ilvl w:val="3"/>
          <w:numId w:val="122"/>
        </w:numPr>
        <w:tabs>
          <w:tab w:val="left" w:pos="527"/>
        </w:tabs>
        <w:spacing w:before="139" w:line="249" w:lineRule="auto"/>
        <w:ind w:right="44"/>
        <w:rPr>
          <w:sz w:val="20"/>
        </w:rPr>
      </w:pPr>
      <w:r>
        <w:rPr>
          <w:sz w:val="20"/>
        </w:rPr>
        <w:t>Sydney</w:t>
      </w:r>
      <w:r>
        <w:rPr>
          <w:spacing w:val="-12"/>
          <w:sz w:val="20"/>
        </w:rPr>
        <w:t xml:space="preserve"> </w:t>
      </w:r>
      <w:r>
        <w:rPr>
          <w:sz w:val="20"/>
        </w:rPr>
        <w:t>Airport</w:t>
      </w:r>
      <w:r>
        <w:rPr>
          <w:spacing w:val="-12"/>
          <w:sz w:val="20"/>
        </w:rPr>
        <w:t xml:space="preserve"> </w:t>
      </w:r>
      <w:r>
        <w:rPr>
          <w:sz w:val="20"/>
        </w:rPr>
        <w:t>handles</w:t>
      </w:r>
      <w:r>
        <w:rPr>
          <w:spacing w:val="-12"/>
          <w:sz w:val="20"/>
        </w:rPr>
        <w:t xml:space="preserve"> </w:t>
      </w:r>
      <w:r>
        <w:rPr>
          <w:sz w:val="20"/>
        </w:rPr>
        <w:t>more</w:t>
      </w:r>
      <w:r>
        <w:rPr>
          <w:spacing w:val="-12"/>
          <w:sz w:val="20"/>
        </w:rPr>
        <w:t xml:space="preserve"> </w:t>
      </w:r>
      <w:r>
        <w:rPr>
          <w:sz w:val="20"/>
        </w:rPr>
        <w:t>than</w:t>
      </w:r>
      <w:r>
        <w:rPr>
          <w:spacing w:val="-12"/>
          <w:sz w:val="20"/>
        </w:rPr>
        <w:t xml:space="preserve"> </w:t>
      </w:r>
      <w:r>
        <w:rPr>
          <w:sz w:val="20"/>
        </w:rPr>
        <w:t>100,000</w:t>
      </w:r>
      <w:r>
        <w:rPr>
          <w:spacing w:val="-12"/>
          <w:sz w:val="20"/>
        </w:rPr>
        <w:t xml:space="preserve"> </w:t>
      </w:r>
      <w:r>
        <w:rPr>
          <w:sz w:val="20"/>
        </w:rPr>
        <w:t>airline passengers</w:t>
      </w:r>
      <w:r>
        <w:rPr>
          <w:spacing w:val="-13"/>
          <w:sz w:val="20"/>
        </w:rPr>
        <w:t xml:space="preserve"> </w:t>
      </w:r>
      <w:r>
        <w:rPr>
          <w:sz w:val="20"/>
        </w:rPr>
        <w:t>each</w:t>
      </w:r>
      <w:r>
        <w:rPr>
          <w:spacing w:val="-13"/>
          <w:sz w:val="20"/>
        </w:rPr>
        <w:t xml:space="preserve"> </w:t>
      </w:r>
      <w:r>
        <w:rPr>
          <w:sz w:val="20"/>
        </w:rPr>
        <w:t>day,</w:t>
      </w:r>
      <w:r>
        <w:rPr>
          <w:spacing w:val="-13"/>
          <w:sz w:val="20"/>
        </w:rPr>
        <w:t xml:space="preserve"> </w:t>
      </w:r>
      <w:r>
        <w:rPr>
          <w:sz w:val="20"/>
        </w:rPr>
        <w:t>or</w:t>
      </w:r>
      <w:r>
        <w:rPr>
          <w:spacing w:val="-13"/>
          <w:sz w:val="20"/>
        </w:rPr>
        <w:t xml:space="preserve"> </w:t>
      </w:r>
      <w:r>
        <w:rPr>
          <w:sz w:val="20"/>
        </w:rPr>
        <w:t>40</w:t>
      </w:r>
      <w:r>
        <w:rPr>
          <w:spacing w:val="-13"/>
          <w:sz w:val="20"/>
        </w:rPr>
        <w:t xml:space="preserve"> </w:t>
      </w:r>
      <w:r>
        <w:rPr>
          <w:sz w:val="20"/>
        </w:rPr>
        <w:t>million</w:t>
      </w:r>
      <w:r>
        <w:rPr>
          <w:spacing w:val="-13"/>
          <w:sz w:val="20"/>
        </w:rPr>
        <w:t xml:space="preserve"> </w:t>
      </w:r>
      <w:r>
        <w:rPr>
          <w:sz w:val="20"/>
        </w:rPr>
        <w:t>passengers</w:t>
      </w:r>
      <w:r>
        <w:rPr>
          <w:spacing w:val="-13"/>
          <w:sz w:val="20"/>
        </w:rPr>
        <w:t xml:space="preserve"> </w:t>
      </w:r>
      <w:r>
        <w:rPr>
          <w:sz w:val="20"/>
        </w:rPr>
        <w:t xml:space="preserve">a </w:t>
      </w:r>
      <w:r>
        <w:rPr>
          <w:w w:val="95"/>
          <w:sz w:val="20"/>
        </w:rPr>
        <w:t xml:space="preserve">year, supported by some 16,000 airport workers and </w:t>
      </w:r>
      <w:r>
        <w:rPr>
          <w:sz w:val="20"/>
        </w:rPr>
        <w:t>tens</w:t>
      </w:r>
      <w:r>
        <w:rPr>
          <w:spacing w:val="-9"/>
          <w:sz w:val="20"/>
        </w:rPr>
        <w:t xml:space="preserve"> </w:t>
      </w:r>
      <w:r>
        <w:rPr>
          <w:sz w:val="20"/>
        </w:rPr>
        <w:t>of</w:t>
      </w:r>
      <w:r>
        <w:rPr>
          <w:spacing w:val="-9"/>
          <w:sz w:val="20"/>
        </w:rPr>
        <w:t xml:space="preserve"> </w:t>
      </w:r>
      <w:r>
        <w:rPr>
          <w:sz w:val="20"/>
        </w:rPr>
        <w:t>thousands</w:t>
      </w:r>
      <w:r>
        <w:rPr>
          <w:spacing w:val="-9"/>
          <w:sz w:val="20"/>
        </w:rPr>
        <w:t xml:space="preserve"> </w:t>
      </w:r>
      <w:r>
        <w:rPr>
          <w:sz w:val="20"/>
        </w:rPr>
        <w:t>of</w:t>
      </w:r>
      <w:r>
        <w:rPr>
          <w:spacing w:val="-9"/>
          <w:sz w:val="20"/>
        </w:rPr>
        <w:t xml:space="preserve"> </w:t>
      </w:r>
      <w:r>
        <w:rPr>
          <w:sz w:val="20"/>
        </w:rPr>
        <w:t>‘meeters</w:t>
      </w:r>
      <w:r>
        <w:rPr>
          <w:spacing w:val="-9"/>
          <w:sz w:val="20"/>
        </w:rPr>
        <w:t xml:space="preserve"> </w:t>
      </w:r>
      <w:r>
        <w:rPr>
          <w:sz w:val="20"/>
        </w:rPr>
        <w:t>and</w:t>
      </w:r>
      <w:r>
        <w:rPr>
          <w:spacing w:val="-9"/>
          <w:sz w:val="20"/>
        </w:rPr>
        <w:t xml:space="preserve"> </w:t>
      </w:r>
      <w:r>
        <w:rPr>
          <w:sz w:val="20"/>
        </w:rPr>
        <w:t>greeters’.</w:t>
      </w:r>
    </w:p>
    <w:p w:rsidR="002C1123" w:rsidRDefault="002060EF">
      <w:pPr>
        <w:pStyle w:val="BodyText"/>
        <w:spacing w:before="9"/>
        <w:rPr>
          <w:sz w:val="21"/>
        </w:rPr>
      </w:pPr>
      <w:r>
        <w:pict>
          <v:shape id="docshape677" o:spid="_x0000_s4650" style="position:absolute;margin-left:300.95pt;margin-top:13.75pt;width:1in;height:.1pt;z-index:-251407360;mso-wrap-distance-left:0;mso-wrap-distance-right:0;mso-position-horizontal-relative:page" coordorigin="6019,275" coordsize="1440,0" path="m6019,275r1440,e" filled="f" strokecolor="#9c9c9d" strokeweight=".5pt">
            <v:path arrowok="t"/>
            <w10:wrap type="topAndBottom" anchorx="page"/>
          </v:shape>
        </w:pict>
      </w:r>
    </w:p>
    <w:p w:rsidR="002C1123" w:rsidRDefault="00F22F94">
      <w:pPr>
        <w:spacing w:before="23" w:line="156" w:lineRule="exact"/>
        <w:ind w:left="242"/>
        <w:rPr>
          <w:sz w:val="14"/>
        </w:rPr>
      </w:pPr>
      <w:r>
        <w:rPr>
          <w:w w:val="95"/>
          <w:sz w:val="14"/>
        </w:rPr>
        <w:t>14</w:t>
      </w:r>
      <w:r>
        <w:rPr>
          <w:spacing w:val="21"/>
          <w:sz w:val="14"/>
        </w:rPr>
        <w:t xml:space="preserve"> </w:t>
      </w:r>
      <w:r>
        <w:rPr>
          <w:w w:val="95"/>
          <w:sz w:val="14"/>
        </w:rPr>
        <w:t>Economist</w:t>
      </w:r>
      <w:r>
        <w:rPr>
          <w:spacing w:val="-1"/>
          <w:w w:val="95"/>
          <w:sz w:val="14"/>
        </w:rPr>
        <w:t xml:space="preserve"> </w:t>
      </w:r>
      <w:r>
        <w:rPr>
          <w:w w:val="95"/>
          <w:sz w:val="14"/>
        </w:rPr>
        <w:t>Intelligence</w:t>
      </w:r>
      <w:r>
        <w:rPr>
          <w:spacing w:val="-1"/>
          <w:w w:val="95"/>
          <w:sz w:val="14"/>
        </w:rPr>
        <w:t xml:space="preserve"> </w:t>
      </w:r>
      <w:r>
        <w:rPr>
          <w:w w:val="95"/>
          <w:sz w:val="14"/>
        </w:rPr>
        <w:t>Unit</w:t>
      </w:r>
      <w:r>
        <w:rPr>
          <w:spacing w:val="-1"/>
          <w:w w:val="95"/>
          <w:sz w:val="14"/>
        </w:rPr>
        <w:t xml:space="preserve"> </w:t>
      </w:r>
      <w:r>
        <w:rPr>
          <w:w w:val="95"/>
          <w:sz w:val="14"/>
        </w:rPr>
        <w:t>2012,</w:t>
      </w:r>
      <w:r>
        <w:rPr>
          <w:spacing w:val="-1"/>
          <w:w w:val="95"/>
          <w:sz w:val="14"/>
        </w:rPr>
        <w:t xml:space="preserve"> </w:t>
      </w:r>
      <w:r>
        <w:rPr>
          <w:w w:val="95"/>
          <w:sz w:val="14"/>
        </w:rPr>
        <w:t>Global</w:t>
      </w:r>
      <w:r>
        <w:rPr>
          <w:spacing w:val="-2"/>
          <w:w w:val="95"/>
          <w:sz w:val="14"/>
        </w:rPr>
        <w:t xml:space="preserve"> </w:t>
      </w:r>
      <w:r>
        <w:rPr>
          <w:w w:val="95"/>
          <w:sz w:val="14"/>
        </w:rPr>
        <w:t>Liveability</w:t>
      </w:r>
      <w:r>
        <w:rPr>
          <w:spacing w:val="-1"/>
          <w:w w:val="95"/>
          <w:sz w:val="14"/>
        </w:rPr>
        <w:t xml:space="preserve"> </w:t>
      </w:r>
      <w:r>
        <w:rPr>
          <w:spacing w:val="-2"/>
          <w:w w:val="95"/>
          <w:sz w:val="14"/>
        </w:rPr>
        <w:t>Report.</w:t>
      </w:r>
    </w:p>
    <w:p w:rsidR="002C1123" w:rsidRDefault="00F22F94">
      <w:pPr>
        <w:pStyle w:val="ListParagraph"/>
        <w:numPr>
          <w:ilvl w:val="3"/>
          <w:numId w:val="122"/>
        </w:numPr>
        <w:tabs>
          <w:tab w:val="left" w:pos="493"/>
        </w:tabs>
        <w:spacing w:before="95" w:line="249" w:lineRule="auto"/>
        <w:ind w:left="492" w:right="826"/>
        <w:rPr>
          <w:sz w:val="20"/>
        </w:rPr>
      </w:pPr>
      <w:r>
        <w:br w:type="column"/>
      </w:r>
      <w:r>
        <w:rPr>
          <w:sz w:val="20"/>
        </w:rPr>
        <w:t>Port</w:t>
      </w:r>
      <w:r>
        <w:rPr>
          <w:spacing w:val="-4"/>
          <w:sz w:val="20"/>
        </w:rPr>
        <w:t xml:space="preserve"> </w:t>
      </w:r>
      <w:r>
        <w:rPr>
          <w:sz w:val="20"/>
        </w:rPr>
        <w:t>Botany</w:t>
      </w:r>
      <w:r>
        <w:rPr>
          <w:spacing w:val="-4"/>
          <w:sz w:val="20"/>
        </w:rPr>
        <w:t xml:space="preserve"> </w:t>
      </w:r>
      <w:r>
        <w:rPr>
          <w:sz w:val="20"/>
        </w:rPr>
        <w:t>moves</w:t>
      </w:r>
      <w:r>
        <w:rPr>
          <w:spacing w:val="-4"/>
          <w:sz w:val="20"/>
        </w:rPr>
        <w:t xml:space="preserve"> </w:t>
      </w:r>
      <w:r>
        <w:rPr>
          <w:sz w:val="20"/>
        </w:rPr>
        <w:t>around</w:t>
      </w:r>
      <w:r>
        <w:rPr>
          <w:spacing w:val="-4"/>
          <w:sz w:val="20"/>
        </w:rPr>
        <w:t xml:space="preserve"> </w:t>
      </w:r>
      <w:r>
        <w:rPr>
          <w:sz w:val="20"/>
        </w:rPr>
        <w:t>5,000</w:t>
      </w:r>
      <w:r>
        <w:rPr>
          <w:spacing w:val="-4"/>
          <w:sz w:val="20"/>
        </w:rPr>
        <w:t xml:space="preserve"> </w:t>
      </w:r>
      <w:r>
        <w:rPr>
          <w:sz w:val="20"/>
        </w:rPr>
        <w:t>containers</w:t>
      </w:r>
      <w:r>
        <w:rPr>
          <w:spacing w:val="-4"/>
          <w:sz w:val="20"/>
        </w:rPr>
        <w:t xml:space="preserve"> </w:t>
      </w:r>
      <w:r>
        <w:rPr>
          <w:sz w:val="20"/>
        </w:rPr>
        <w:t xml:space="preserve">on </w:t>
      </w:r>
      <w:r>
        <w:rPr>
          <w:w w:val="95"/>
          <w:sz w:val="20"/>
        </w:rPr>
        <w:t>average</w:t>
      </w:r>
      <w:r>
        <w:rPr>
          <w:spacing w:val="-9"/>
          <w:w w:val="95"/>
          <w:sz w:val="20"/>
        </w:rPr>
        <w:t xml:space="preserve"> </w:t>
      </w:r>
      <w:r>
        <w:rPr>
          <w:w w:val="95"/>
          <w:sz w:val="20"/>
        </w:rPr>
        <w:t>every</w:t>
      </w:r>
      <w:r>
        <w:rPr>
          <w:spacing w:val="-9"/>
          <w:w w:val="95"/>
          <w:sz w:val="20"/>
        </w:rPr>
        <w:t xml:space="preserve"> </w:t>
      </w:r>
      <w:r>
        <w:rPr>
          <w:w w:val="95"/>
          <w:sz w:val="20"/>
        </w:rPr>
        <w:t>day,</w:t>
      </w:r>
      <w:r>
        <w:rPr>
          <w:spacing w:val="-9"/>
          <w:w w:val="95"/>
          <w:sz w:val="20"/>
        </w:rPr>
        <w:t xml:space="preserve"> </w:t>
      </w:r>
      <w:r>
        <w:rPr>
          <w:w w:val="95"/>
          <w:sz w:val="20"/>
        </w:rPr>
        <w:t>or</w:t>
      </w:r>
      <w:r>
        <w:rPr>
          <w:spacing w:val="-9"/>
          <w:w w:val="95"/>
          <w:sz w:val="20"/>
        </w:rPr>
        <w:t xml:space="preserve"> </w:t>
      </w:r>
      <w:r>
        <w:rPr>
          <w:w w:val="95"/>
          <w:sz w:val="20"/>
        </w:rPr>
        <w:t>around</w:t>
      </w:r>
      <w:r>
        <w:rPr>
          <w:spacing w:val="-9"/>
          <w:w w:val="95"/>
          <w:sz w:val="20"/>
        </w:rPr>
        <w:t xml:space="preserve"> </w:t>
      </w:r>
      <w:r>
        <w:rPr>
          <w:w w:val="95"/>
          <w:sz w:val="20"/>
        </w:rPr>
        <w:t>two</w:t>
      </w:r>
      <w:r>
        <w:rPr>
          <w:spacing w:val="-9"/>
          <w:w w:val="95"/>
          <w:sz w:val="20"/>
        </w:rPr>
        <w:t xml:space="preserve"> </w:t>
      </w:r>
      <w:r>
        <w:rPr>
          <w:w w:val="95"/>
          <w:sz w:val="20"/>
        </w:rPr>
        <w:t>million</w:t>
      </w:r>
      <w:r>
        <w:rPr>
          <w:spacing w:val="-9"/>
          <w:w w:val="95"/>
          <w:sz w:val="20"/>
        </w:rPr>
        <w:t xml:space="preserve"> </w:t>
      </w:r>
      <w:r>
        <w:rPr>
          <w:w w:val="95"/>
          <w:sz w:val="20"/>
        </w:rPr>
        <w:t>per</w:t>
      </w:r>
      <w:r>
        <w:rPr>
          <w:spacing w:val="-9"/>
          <w:w w:val="95"/>
          <w:sz w:val="20"/>
        </w:rPr>
        <w:t xml:space="preserve"> </w:t>
      </w:r>
      <w:r>
        <w:rPr>
          <w:w w:val="95"/>
          <w:sz w:val="20"/>
        </w:rPr>
        <w:t xml:space="preserve">annum. </w:t>
      </w:r>
      <w:r>
        <w:rPr>
          <w:sz w:val="20"/>
        </w:rPr>
        <w:t>The</w:t>
      </w:r>
      <w:r>
        <w:rPr>
          <w:spacing w:val="-11"/>
          <w:sz w:val="20"/>
        </w:rPr>
        <w:t xml:space="preserve"> </w:t>
      </w:r>
      <w:r>
        <w:rPr>
          <w:sz w:val="20"/>
        </w:rPr>
        <w:t>vast</w:t>
      </w:r>
      <w:r>
        <w:rPr>
          <w:spacing w:val="-11"/>
          <w:sz w:val="20"/>
        </w:rPr>
        <w:t xml:space="preserve"> </w:t>
      </w:r>
      <w:r>
        <w:rPr>
          <w:sz w:val="20"/>
        </w:rPr>
        <w:t>majority</w:t>
      </w:r>
      <w:r>
        <w:rPr>
          <w:spacing w:val="-11"/>
          <w:sz w:val="20"/>
        </w:rPr>
        <w:t xml:space="preserve"> </w:t>
      </w:r>
      <w:r>
        <w:rPr>
          <w:sz w:val="20"/>
        </w:rPr>
        <w:t>arrive</w:t>
      </w:r>
      <w:r>
        <w:rPr>
          <w:spacing w:val="-11"/>
          <w:sz w:val="20"/>
        </w:rPr>
        <w:t xml:space="preserve"> </w:t>
      </w:r>
      <w:r>
        <w:rPr>
          <w:sz w:val="20"/>
        </w:rPr>
        <w:t>and</w:t>
      </w:r>
      <w:r>
        <w:rPr>
          <w:spacing w:val="-11"/>
          <w:sz w:val="20"/>
        </w:rPr>
        <w:t xml:space="preserve"> </w:t>
      </w:r>
      <w:r>
        <w:rPr>
          <w:sz w:val="20"/>
        </w:rPr>
        <w:t>depart</w:t>
      </w:r>
      <w:r>
        <w:rPr>
          <w:spacing w:val="-11"/>
          <w:sz w:val="20"/>
        </w:rPr>
        <w:t xml:space="preserve"> </w:t>
      </w:r>
      <w:r>
        <w:rPr>
          <w:sz w:val="20"/>
        </w:rPr>
        <w:t>by</w:t>
      </w:r>
      <w:r>
        <w:rPr>
          <w:spacing w:val="-11"/>
          <w:sz w:val="20"/>
        </w:rPr>
        <w:t xml:space="preserve"> </w:t>
      </w:r>
      <w:r>
        <w:rPr>
          <w:sz w:val="20"/>
        </w:rPr>
        <w:t>road</w:t>
      </w:r>
      <w:r>
        <w:rPr>
          <w:position w:val="7"/>
          <w:sz w:val="11"/>
        </w:rPr>
        <w:t>17</w:t>
      </w:r>
      <w:r>
        <w:rPr>
          <w:sz w:val="20"/>
        </w:rPr>
        <w:t>.</w:t>
      </w:r>
    </w:p>
    <w:p w:rsidR="002C1123" w:rsidRDefault="00F22F94">
      <w:pPr>
        <w:pStyle w:val="BodyText"/>
        <w:spacing w:before="144" w:line="249" w:lineRule="auto"/>
        <w:ind w:left="209" w:right="679"/>
      </w:pPr>
      <w:r>
        <w:rPr>
          <w:w w:val="95"/>
        </w:rPr>
        <w:t>These</w:t>
      </w:r>
      <w:r>
        <w:rPr>
          <w:spacing w:val="-7"/>
          <w:w w:val="95"/>
        </w:rPr>
        <w:t xml:space="preserve"> </w:t>
      </w:r>
      <w:r>
        <w:rPr>
          <w:w w:val="95"/>
        </w:rPr>
        <w:t>infrastructure</w:t>
      </w:r>
      <w:r>
        <w:rPr>
          <w:spacing w:val="-7"/>
          <w:w w:val="95"/>
        </w:rPr>
        <w:t xml:space="preserve"> </w:t>
      </w:r>
      <w:r>
        <w:rPr>
          <w:w w:val="95"/>
        </w:rPr>
        <w:t>facilities</w:t>
      </w:r>
      <w:r>
        <w:rPr>
          <w:spacing w:val="-7"/>
          <w:w w:val="95"/>
        </w:rPr>
        <w:t xml:space="preserve"> </w:t>
      </w:r>
      <w:r>
        <w:rPr>
          <w:w w:val="95"/>
        </w:rPr>
        <w:t>are</w:t>
      </w:r>
      <w:r>
        <w:rPr>
          <w:spacing w:val="-7"/>
          <w:w w:val="95"/>
        </w:rPr>
        <w:t xml:space="preserve"> </w:t>
      </w:r>
      <w:r>
        <w:rPr>
          <w:w w:val="95"/>
        </w:rPr>
        <w:t>extremely</w:t>
      </w:r>
      <w:r>
        <w:rPr>
          <w:spacing w:val="-7"/>
          <w:w w:val="95"/>
        </w:rPr>
        <w:t xml:space="preserve"> </w:t>
      </w:r>
      <w:r>
        <w:rPr>
          <w:w w:val="95"/>
        </w:rPr>
        <w:t>important</w:t>
      </w:r>
      <w:r>
        <w:rPr>
          <w:spacing w:val="-7"/>
          <w:w w:val="95"/>
        </w:rPr>
        <w:t xml:space="preserve"> </w:t>
      </w:r>
      <w:r>
        <w:rPr>
          <w:w w:val="95"/>
        </w:rPr>
        <w:t xml:space="preserve">to </w:t>
      </w:r>
      <w:r>
        <w:t>NSW,</w:t>
      </w:r>
      <w:r>
        <w:rPr>
          <w:spacing w:val="-6"/>
        </w:rPr>
        <w:t xml:space="preserve"> </w:t>
      </w:r>
      <w:r>
        <w:t>connecting</w:t>
      </w:r>
      <w:r>
        <w:rPr>
          <w:spacing w:val="-6"/>
        </w:rPr>
        <w:t xml:space="preserve"> </w:t>
      </w:r>
      <w:r>
        <w:t>primary</w:t>
      </w:r>
      <w:r>
        <w:rPr>
          <w:spacing w:val="-6"/>
        </w:rPr>
        <w:t xml:space="preserve"> </w:t>
      </w:r>
      <w:r>
        <w:t>producers</w:t>
      </w:r>
      <w:r>
        <w:rPr>
          <w:spacing w:val="-6"/>
        </w:rPr>
        <w:t xml:space="preserve"> </w:t>
      </w:r>
      <w:r>
        <w:t>and</w:t>
      </w:r>
      <w:r>
        <w:rPr>
          <w:spacing w:val="-6"/>
        </w:rPr>
        <w:t xml:space="preserve"> </w:t>
      </w:r>
      <w:r>
        <w:t xml:space="preserve">businesses </w:t>
      </w:r>
      <w:r>
        <w:rPr>
          <w:spacing w:val="-2"/>
        </w:rPr>
        <w:t>(both</w:t>
      </w:r>
      <w:r>
        <w:rPr>
          <w:spacing w:val="-7"/>
        </w:rPr>
        <w:t xml:space="preserve"> </w:t>
      </w:r>
      <w:r>
        <w:rPr>
          <w:spacing w:val="-2"/>
        </w:rPr>
        <w:t>small</w:t>
      </w:r>
      <w:r>
        <w:rPr>
          <w:spacing w:val="-7"/>
        </w:rPr>
        <w:t xml:space="preserve"> </w:t>
      </w:r>
      <w:r>
        <w:rPr>
          <w:spacing w:val="-2"/>
        </w:rPr>
        <w:t>and</w:t>
      </w:r>
      <w:r>
        <w:rPr>
          <w:spacing w:val="-7"/>
        </w:rPr>
        <w:t xml:space="preserve"> </w:t>
      </w:r>
      <w:r>
        <w:rPr>
          <w:spacing w:val="-2"/>
        </w:rPr>
        <w:t>large)</w:t>
      </w:r>
      <w:r>
        <w:rPr>
          <w:spacing w:val="-7"/>
        </w:rPr>
        <w:t xml:space="preserve"> </w:t>
      </w:r>
      <w:r>
        <w:rPr>
          <w:spacing w:val="-2"/>
        </w:rPr>
        <w:t>across</w:t>
      </w:r>
      <w:r>
        <w:rPr>
          <w:spacing w:val="-7"/>
        </w:rPr>
        <w:t xml:space="preserve"> </w:t>
      </w:r>
      <w:r>
        <w:rPr>
          <w:spacing w:val="-2"/>
        </w:rPr>
        <w:t>the</w:t>
      </w:r>
      <w:r>
        <w:rPr>
          <w:spacing w:val="-7"/>
        </w:rPr>
        <w:t xml:space="preserve"> </w:t>
      </w:r>
      <w:r>
        <w:rPr>
          <w:spacing w:val="-2"/>
        </w:rPr>
        <w:t>State’s</w:t>
      </w:r>
      <w:r>
        <w:rPr>
          <w:spacing w:val="-7"/>
        </w:rPr>
        <w:t xml:space="preserve"> </w:t>
      </w:r>
      <w:r>
        <w:rPr>
          <w:spacing w:val="-2"/>
        </w:rPr>
        <w:t>regions</w:t>
      </w:r>
      <w:r>
        <w:rPr>
          <w:spacing w:val="-7"/>
        </w:rPr>
        <w:t xml:space="preserve"> </w:t>
      </w:r>
      <w:r>
        <w:rPr>
          <w:spacing w:val="-2"/>
        </w:rPr>
        <w:t xml:space="preserve">with </w:t>
      </w:r>
      <w:r>
        <w:t>global</w:t>
      </w:r>
      <w:r>
        <w:rPr>
          <w:spacing w:val="-11"/>
        </w:rPr>
        <w:t xml:space="preserve"> </w:t>
      </w:r>
      <w:r>
        <w:t>markets.</w:t>
      </w:r>
    </w:p>
    <w:p w:rsidR="002C1123" w:rsidRDefault="00F22F94">
      <w:pPr>
        <w:pStyle w:val="BodyText"/>
        <w:spacing w:before="145" w:line="249" w:lineRule="auto"/>
        <w:ind w:left="209" w:right="747"/>
      </w:pPr>
      <w:r>
        <w:rPr>
          <w:w w:val="95"/>
        </w:rPr>
        <w:t>Australia is a long way from its global trading partners. Efficient</w:t>
      </w:r>
      <w:r>
        <w:rPr>
          <w:spacing w:val="-9"/>
          <w:w w:val="95"/>
        </w:rPr>
        <w:t xml:space="preserve"> </w:t>
      </w:r>
      <w:r>
        <w:rPr>
          <w:w w:val="95"/>
        </w:rPr>
        <w:t>international</w:t>
      </w:r>
      <w:r>
        <w:rPr>
          <w:spacing w:val="-9"/>
          <w:w w:val="95"/>
        </w:rPr>
        <w:t xml:space="preserve"> </w:t>
      </w:r>
      <w:r>
        <w:rPr>
          <w:w w:val="95"/>
        </w:rPr>
        <w:t>gateways</w:t>
      </w:r>
      <w:r>
        <w:rPr>
          <w:spacing w:val="-9"/>
          <w:w w:val="95"/>
        </w:rPr>
        <w:t xml:space="preserve"> </w:t>
      </w:r>
      <w:r>
        <w:rPr>
          <w:w w:val="95"/>
        </w:rPr>
        <w:t>are</w:t>
      </w:r>
      <w:r>
        <w:rPr>
          <w:spacing w:val="-9"/>
          <w:w w:val="95"/>
        </w:rPr>
        <w:t xml:space="preserve"> </w:t>
      </w:r>
      <w:r>
        <w:rPr>
          <w:w w:val="95"/>
        </w:rPr>
        <w:t>essential</w:t>
      </w:r>
      <w:r>
        <w:rPr>
          <w:spacing w:val="-9"/>
          <w:w w:val="95"/>
        </w:rPr>
        <w:t xml:space="preserve"> </w:t>
      </w:r>
      <w:r>
        <w:rPr>
          <w:w w:val="95"/>
        </w:rPr>
        <w:t>to</w:t>
      </w:r>
      <w:r>
        <w:rPr>
          <w:spacing w:val="-9"/>
          <w:w w:val="95"/>
        </w:rPr>
        <w:t xml:space="preserve"> </w:t>
      </w:r>
      <w:r>
        <w:rPr>
          <w:w w:val="95"/>
        </w:rPr>
        <w:t xml:space="preserve">support </w:t>
      </w:r>
      <w:r>
        <w:t>the</w:t>
      </w:r>
      <w:r>
        <w:rPr>
          <w:spacing w:val="-7"/>
        </w:rPr>
        <w:t xml:space="preserve"> </w:t>
      </w:r>
      <w:r>
        <w:t>competitiveness</w:t>
      </w:r>
      <w:r>
        <w:rPr>
          <w:spacing w:val="-7"/>
        </w:rPr>
        <w:t xml:space="preserve"> </w:t>
      </w:r>
      <w:r>
        <w:t>of</w:t>
      </w:r>
      <w:r>
        <w:rPr>
          <w:spacing w:val="-7"/>
        </w:rPr>
        <w:t xml:space="preserve"> </w:t>
      </w:r>
      <w:r>
        <w:t>NSW’s</w:t>
      </w:r>
      <w:r>
        <w:rPr>
          <w:spacing w:val="-7"/>
        </w:rPr>
        <w:t xml:space="preserve"> </w:t>
      </w:r>
      <w:r>
        <w:t>goods</w:t>
      </w:r>
      <w:r>
        <w:rPr>
          <w:spacing w:val="-7"/>
        </w:rPr>
        <w:t xml:space="preserve"> </w:t>
      </w:r>
      <w:r>
        <w:t>and</w:t>
      </w:r>
      <w:r>
        <w:rPr>
          <w:spacing w:val="-7"/>
        </w:rPr>
        <w:t xml:space="preserve"> </w:t>
      </w:r>
      <w:r>
        <w:t>services exports,</w:t>
      </w:r>
      <w:r>
        <w:rPr>
          <w:spacing w:val="-14"/>
        </w:rPr>
        <w:t xml:space="preserve"> </w:t>
      </w:r>
      <w:r>
        <w:t>to</w:t>
      </w:r>
      <w:r>
        <w:rPr>
          <w:spacing w:val="-14"/>
        </w:rPr>
        <w:t xml:space="preserve"> </w:t>
      </w:r>
      <w:r>
        <w:t>attract</w:t>
      </w:r>
      <w:r>
        <w:rPr>
          <w:spacing w:val="-14"/>
        </w:rPr>
        <w:t xml:space="preserve"> </w:t>
      </w:r>
      <w:r>
        <w:t>international</w:t>
      </w:r>
      <w:r>
        <w:rPr>
          <w:spacing w:val="-14"/>
        </w:rPr>
        <w:t xml:space="preserve"> </w:t>
      </w:r>
      <w:r>
        <w:t>investment</w:t>
      </w:r>
      <w:r>
        <w:rPr>
          <w:spacing w:val="-14"/>
        </w:rPr>
        <w:t xml:space="preserve"> </w:t>
      </w:r>
      <w:r>
        <w:t>and</w:t>
      </w:r>
      <w:r>
        <w:rPr>
          <w:spacing w:val="-14"/>
        </w:rPr>
        <w:t xml:space="preserve"> </w:t>
      </w:r>
      <w:r>
        <w:t>highly skilled</w:t>
      </w:r>
      <w:r>
        <w:rPr>
          <w:spacing w:val="-2"/>
        </w:rPr>
        <w:t xml:space="preserve"> </w:t>
      </w:r>
      <w:r>
        <w:t>knowledge</w:t>
      </w:r>
      <w:r>
        <w:rPr>
          <w:spacing w:val="-2"/>
        </w:rPr>
        <w:t xml:space="preserve"> </w:t>
      </w:r>
      <w:r>
        <w:t>workers</w:t>
      </w:r>
      <w:r>
        <w:rPr>
          <w:spacing w:val="-2"/>
        </w:rPr>
        <w:t xml:space="preserve"> </w:t>
      </w:r>
      <w:r>
        <w:t>and</w:t>
      </w:r>
      <w:r>
        <w:rPr>
          <w:spacing w:val="-2"/>
        </w:rPr>
        <w:t xml:space="preserve"> </w:t>
      </w:r>
      <w:r>
        <w:t>to</w:t>
      </w:r>
      <w:r>
        <w:rPr>
          <w:spacing w:val="-2"/>
        </w:rPr>
        <w:t xml:space="preserve"> </w:t>
      </w:r>
      <w:r>
        <w:t>get</w:t>
      </w:r>
      <w:r>
        <w:rPr>
          <w:spacing w:val="-2"/>
        </w:rPr>
        <w:t xml:space="preserve"> </w:t>
      </w:r>
      <w:r>
        <w:t>imports</w:t>
      </w:r>
      <w:r>
        <w:rPr>
          <w:spacing w:val="-2"/>
        </w:rPr>
        <w:t xml:space="preserve"> </w:t>
      </w:r>
      <w:r>
        <w:t>to consumers cost effectively.</w:t>
      </w:r>
    </w:p>
    <w:p w:rsidR="002C1123" w:rsidRDefault="002C1123">
      <w:pPr>
        <w:pStyle w:val="BodyText"/>
        <w:spacing w:before="9"/>
        <w:rPr>
          <w:sz w:val="23"/>
        </w:rPr>
      </w:pPr>
    </w:p>
    <w:p w:rsidR="002C1123" w:rsidRDefault="00F22F94">
      <w:pPr>
        <w:pStyle w:val="Heading5"/>
        <w:numPr>
          <w:ilvl w:val="4"/>
          <w:numId w:val="172"/>
        </w:numPr>
        <w:tabs>
          <w:tab w:val="left" w:pos="654"/>
        </w:tabs>
        <w:spacing w:before="0"/>
        <w:ind w:left="654" w:hanging="445"/>
        <w:jc w:val="left"/>
      </w:pPr>
      <w:r>
        <w:rPr>
          <w:color w:val="EC008C"/>
          <w:w w:val="95"/>
        </w:rPr>
        <w:t>Global</w:t>
      </w:r>
      <w:r>
        <w:rPr>
          <w:color w:val="EC008C"/>
          <w:spacing w:val="-11"/>
          <w:w w:val="95"/>
        </w:rPr>
        <w:t xml:space="preserve"> </w:t>
      </w:r>
      <w:r>
        <w:rPr>
          <w:color w:val="EC008C"/>
          <w:w w:val="95"/>
        </w:rPr>
        <w:t>Sydney:</w:t>
      </w:r>
      <w:r>
        <w:rPr>
          <w:color w:val="EC008C"/>
          <w:spacing w:val="-10"/>
          <w:w w:val="95"/>
        </w:rPr>
        <w:t xml:space="preserve"> </w:t>
      </w:r>
      <w:r>
        <w:rPr>
          <w:color w:val="EC008C"/>
          <w:w w:val="95"/>
        </w:rPr>
        <w:t>the</w:t>
      </w:r>
      <w:r>
        <w:rPr>
          <w:color w:val="EC008C"/>
          <w:spacing w:val="-10"/>
          <w:w w:val="95"/>
        </w:rPr>
        <w:t xml:space="preserve"> </w:t>
      </w:r>
      <w:r>
        <w:rPr>
          <w:color w:val="EC008C"/>
          <w:w w:val="95"/>
        </w:rPr>
        <w:t>next</w:t>
      </w:r>
      <w:r>
        <w:rPr>
          <w:color w:val="EC008C"/>
          <w:spacing w:val="-10"/>
          <w:w w:val="95"/>
        </w:rPr>
        <w:t xml:space="preserve"> </w:t>
      </w:r>
      <w:r>
        <w:rPr>
          <w:color w:val="EC008C"/>
          <w:w w:val="95"/>
        </w:rPr>
        <w:t>20</w:t>
      </w:r>
      <w:r>
        <w:rPr>
          <w:color w:val="EC008C"/>
          <w:spacing w:val="-10"/>
          <w:w w:val="95"/>
        </w:rPr>
        <w:t xml:space="preserve"> </w:t>
      </w:r>
      <w:r>
        <w:rPr>
          <w:color w:val="EC008C"/>
          <w:spacing w:val="-2"/>
          <w:w w:val="95"/>
        </w:rPr>
        <w:t>years</w:t>
      </w:r>
    </w:p>
    <w:p w:rsidR="002C1123" w:rsidRDefault="00F22F94">
      <w:pPr>
        <w:pStyle w:val="Heading6"/>
        <w:numPr>
          <w:ilvl w:val="2"/>
          <w:numId w:val="120"/>
        </w:numPr>
        <w:tabs>
          <w:tab w:val="left" w:pos="696"/>
        </w:tabs>
        <w:spacing w:before="135"/>
        <w:ind w:hanging="487"/>
        <w:jc w:val="left"/>
      </w:pPr>
      <w:r>
        <w:rPr>
          <w:color w:val="EC008C"/>
          <w:w w:val="95"/>
        </w:rPr>
        <w:t>Global</w:t>
      </w:r>
      <w:r>
        <w:rPr>
          <w:color w:val="EC008C"/>
          <w:spacing w:val="-1"/>
          <w:w w:val="95"/>
        </w:rPr>
        <w:t xml:space="preserve"> </w:t>
      </w:r>
      <w:r>
        <w:rPr>
          <w:color w:val="EC008C"/>
          <w:w w:val="95"/>
        </w:rPr>
        <w:t>Sydney’s</w:t>
      </w:r>
      <w:r>
        <w:rPr>
          <w:color w:val="EC008C"/>
          <w:spacing w:val="-2"/>
        </w:rPr>
        <w:t xml:space="preserve"> </w:t>
      </w:r>
      <w:r>
        <w:rPr>
          <w:color w:val="EC008C"/>
          <w:w w:val="95"/>
        </w:rPr>
        <w:t>role</w:t>
      </w:r>
      <w:r>
        <w:rPr>
          <w:color w:val="EC008C"/>
          <w:spacing w:val="-3"/>
        </w:rPr>
        <w:t xml:space="preserve"> </w:t>
      </w:r>
      <w:r>
        <w:rPr>
          <w:color w:val="EC008C"/>
          <w:w w:val="95"/>
        </w:rPr>
        <w:t>in</w:t>
      </w:r>
      <w:r>
        <w:rPr>
          <w:color w:val="EC008C"/>
          <w:spacing w:val="-3"/>
        </w:rPr>
        <w:t xml:space="preserve"> </w:t>
      </w:r>
      <w:r>
        <w:rPr>
          <w:color w:val="EC008C"/>
          <w:w w:val="95"/>
        </w:rPr>
        <w:t>the</w:t>
      </w:r>
      <w:r>
        <w:rPr>
          <w:color w:val="EC008C"/>
          <w:spacing w:val="-3"/>
        </w:rPr>
        <w:t xml:space="preserve"> </w:t>
      </w:r>
      <w:r>
        <w:rPr>
          <w:color w:val="EC008C"/>
          <w:w w:val="95"/>
        </w:rPr>
        <w:t>NSW</w:t>
      </w:r>
      <w:r>
        <w:rPr>
          <w:color w:val="EC008C"/>
          <w:spacing w:val="-3"/>
        </w:rPr>
        <w:t xml:space="preserve"> </w:t>
      </w:r>
      <w:r>
        <w:rPr>
          <w:color w:val="EC008C"/>
          <w:spacing w:val="-2"/>
          <w:w w:val="95"/>
        </w:rPr>
        <w:t>economy</w:t>
      </w:r>
    </w:p>
    <w:p w:rsidR="002C1123" w:rsidRDefault="00F22F94">
      <w:pPr>
        <w:pStyle w:val="BodyText"/>
        <w:spacing w:before="95" w:line="249" w:lineRule="auto"/>
        <w:ind w:left="209" w:right="679"/>
      </w:pPr>
      <w:r>
        <w:rPr>
          <w:w w:val="95"/>
        </w:rPr>
        <w:t>As</w:t>
      </w:r>
      <w:r>
        <w:rPr>
          <w:spacing w:val="-10"/>
          <w:w w:val="95"/>
        </w:rPr>
        <w:t xml:space="preserve"> </w:t>
      </w:r>
      <w:r>
        <w:rPr>
          <w:w w:val="95"/>
        </w:rPr>
        <w:t>this</w:t>
      </w:r>
      <w:r>
        <w:rPr>
          <w:spacing w:val="-10"/>
          <w:w w:val="95"/>
        </w:rPr>
        <w:t xml:space="preserve"> </w:t>
      </w:r>
      <w:r>
        <w:rPr>
          <w:w w:val="95"/>
        </w:rPr>
        <w:t>section</w:t>
      </w:r>
      <w:r>
        <w:rPr>
          <w:spacing w:val="-10"/>
          <w:w w:val="95"/>
        </w:rPr>
        <w:t xml:space="preserve"> </w:t>
      </w:r>
      <w:r>
        <w:rPr>
          <w:w w:val="95"/>
        </w:rPr>
        <w:t>has</w:t>
      </w:r>
      <w:r>
        <w:rPr>
          <w:spacing w:val="-10"/>
          <w:w w:val="95"/>
        </w:rPr>
        <w:t xml:space="preserve"> </w:t>
      </w:r>
      <w:r>
        <w:rPr>
          <w:w w:val="95"/>
        </w:rPr>
        <w:t>shown,</w:t>
      </w:r>
      <w:r>
        <w:rPr>
          <w:spacing w:val="-10"/>
          <w:w w:val="95"/>
        </w:rPr>
        <w:t xml:space="preserve"> </w:t>
      </w:r>
      <w:r>
        <w:rPr>
          <w:w w:val="95"/>
        </w:rPr>
        <w:t>Sydney</w:t>
      </w:r>
      <w:r>
        <w:rPr>
          <w:spacing w:val="-10"/>
          <w:w w:val="95"/>
        </w:rPr>
        <w:t xml:space="preserve"> </w:t>
      </w:r>
      <w:r>
        <w:rPr>
          <w:w w:val="95"/>
        </w:rPr>
        <w:t>plays</w:t>
      </w:r>
      <w:r>
        <w:rPr>
          <w:spacing w:val="-10"/>
          <w:w w:val="95"/>
        </w:rPr>
        <w:t xml:space="preserve"> </w:t>
      </w:r>
      <w:r>
        <w:rPr>
          <w:w w:val="95"/>
        </w:rPr>
        <w:t>a</w:t>
      </w:r>
      <w:r>
        <w:rPr>
          <w:spacing w:val="-10"/>
          <w:w w:val="95"/>
        </w:rPr>
        <w:t xml:space="preserve"> </w:t>
      </w:r>
      <w:r>
        <w:rPr>
          <w:w w:val="95"/>
        </w:rPr>
        <w:t>key</w:t>
      </w:r>
      <w:r>
        <w:rPr>
          <w:spacing w:val="-10"/>
          <w:w w:val="95"/>
        </w:rPr>
        <w:t xml:space="preserve"> </w:t>
      </w:r>
      <w:r>
        <w:rPr>
          <w:w w:val="95"/>
        </w:rPr>
        <w:t>role</w:t>
      </w:r>
      <w:r>
        <w:rPr>
          <w:spacing w:val="-10"/>
          <w:w w:val="95"/>
        </w:rPr>
        <w:t xml:space="preserve"> </w:t>
      </w:r>
      <w:r>
        <w:rPr>
          <w:w w:val="95"/>
        </w:rPr>
        <w:t>in</w:t>
      </w:r>
      <w:r>
        <w:rPr>
          <w:spacing w:val="-10"/>
          <w:w w:val="95"/>
        </w:rPr>
        <w:t xml:space="preserve"> </w:t>
      </w:r>
      <w:r>
        <w:rPr>
          <w:w w:val="95"/>
        </w:rPr>
        <w:t xml:space="preserve">the </w:t>
      </w:r>
      <w:r>
        <w:t>success</w:t>
      </w:r>
      <w:r>
        <w:rPr>
          <w:spacing w:val="-14"/>
        </w:rPr>
        <w:t xml:space="preserve"> </w:t>
      </w:r>
      <w:r>
        <w:t>of</w:t>
      </w:r>
      <w:r>
        <w:rPr>
          <w:spacing w:val="-13"/>
        </w:rPr>
        <w:t xml:space="preserve"> </w:t>
      </w:r>
      <w:r>
        <w:t>both</w:t>
      </w:r>
      <w:r>
        <w:rPr>
          <w:spacing w:val="-14"/>
        </w:rPr>
        <w:t xml:space="preserve"> </w:t>
      </w:r>
      <w:r>
        <w:t>NSW,</w:t>
      </w:r>
      <w:r>
        <w:rPr>
          <w:spacing w:val="-13"/>
        </w:rPr>
        <w:t xml:space="preserve"> </w:t>
      </w:r>
      <w:r>
        <w:t>and</w:t>
      </w:r>
      <w:r>
        <w:rPr>
          <w:spacing w:val="-14"/>
        </w:rPr>
        <w:t xml:space="preserve"> </w:t>
      </w:r>
      <w:r>
        <w:t>more</w:t>
      </w:r>
      <w:r>
        <w:rPr>
          <w:spacing w:val="-13"/>
        </w:rPr>
        <w:t xml:space="preserve"> </w:t>
      </w:r>
      <w:r>
        <w:t>broadly,</w:t>
      </w:r>
      <w:r>
        <w:rPr>
          <w:spacing w:val="-14"/>
        </w:rPr>
        <w:t xml:space="preserve"> </w:t>
      </w:r>
      <w:r>
        <w:t>Australia.</w:t>
      </w:r>
    </w:p>
    <w:p w:rsidR="002C1123" w:rsidRDefault="00F22F94">
      <w:pPr>
        <w:pStyle w:val="BodyText"/>
        <w:spacing w:before="143" w:line="249" w:lineRule="auto"/>
        <w:ind w:left="209" w:right="679"/>
      </w:pPr>
      <w:r>
        <w:rPr>
          <w:w w:val="95"/>
        </w:rPr>
        <w:t>The</w:t>
      </w:r>
      <w:r>
        <w:rPr>
          <w:spacing w:val="-2"/>
          <w:w w:val="95"/>
        </w:rPr>
        <w:t xml:space="preserve"> </w:t>
      </w:r>
      <w:r>
        <w:rPr>
          <w:w w:val="95"/>
        </w:rPr>
        <w:t>conclusion</w:t>
      </w:r>
      <w:r>
        <w:rPr>
          <w:spacing w:val="-2"/>
          <w:w w:val="95"/>
        </w:rPr>
        <w:t xml:space="preserve"> </w:t>
      </w:r>
      <w:r>
        <w:rPr>
          <w:w w:val="95"/>
        </w:rPr>
        <w:t>that</w:t>
      </w:r>
      <w:r>
        <w:rPr>
          <w:spacing w:val="-2"/>
          <w:w w:val="95"/>
        </w:rPr>
        <w:t xml:space="preserve"> </w:t>
      </w:r>
      <w:r>
        <w:rPr>
          <w:w w:val="95"/>
        </w:rPr>
        <w:t>must</w:t>
      </w:r>
      <w:r>
        <w:rPr>
          <w:spacing w:val="-2"/>
          <w:w w:val="95"/>
        </w:rPr>
        <w:t xml:space="preserve"> </w:t>
      </w:r>
      <w:r>
        <w:rPr>
          <w:w w:val="95"/>
        </w:rPr>
        <w:t>be</w:t>
      </w:r>
      <w:r>
        <w:rPr>
          <w:spacing w:val="-2"/>
          <w:w w:val="95"/>
        </w:rPr>
        <w:t xml:space="preserve"> </w:t>
      </w:r>
      <w:r>
        <w:rPr>
          <w:w w:val="95"/>
        </w:rPr>
        <w:t>drawn</w:t>
      </w:r>
      <w:r>
        <w:rPr>
          <w:spacing w:val="-2"/>
          <w:w w:val="95"/>
        </w:rPr>
        <w:t xml:space="preserve"> </w:t>
      </w:r>
      <w:r>
        <w:rPr>
          <w:w w:val="95"/>
        </w:rPr>
        <w:t>is</w:t>
      </w:r>
      <w:r>
        <w:rPr>
          <w:spacing w:val="-2"/>
          <w:w w:val="95"/>
        </w:rPr>
        <w:t xml:space="preserve"> </w:t>
      </w:r>
      <w:r>
        <w:rPr>
          <w:w w:val="95"/>
        </w:rPr>
        <w:t>that</w:t>
      </w:r>
      <w:r>
        <w:rPr>
          <w:spacing w:val="-2"/>
          <w:w w:val="95"/>
        </w:rPr>
        <w:t xml:space="preserve"> </w:t>
      </w:r>
      <w:r>
        <w:rPr>
          <w:w w:val="95"/>
        </w:rPr>
        <w:t>the</w:t>
      </w:r>
      <w:r>
        <w:rPr>
          <w:spacing w:val="-2"/>
          <w:w w:val="95"/>
        </w:rPr>
        <w:t xml:space="preserve"> </w:t>
      </w:r>
      <w:r>
        <w:rPr>
          <w:w w:val="95"/>
        </w:rPr>
        <w:t>success</w:t>
      </w:r>
      <w:r>
        <w:rPr>
          <w:spacing w:val="-2"/>
          <w:w w:val="95"/>
        </w:rPr>
        <w:t xml:space="preserve"> </w:t>
      </w:r>
      <w:r>
        <w:rPr>
          <w:w w:val="95"/>
        </w:rPr>
        <w:t>of Global</w:t>
      </w:r>
      <w:r>
        <w:rPr>
          <w:spacing w:val="-2"/>
          <w:w w:val="95"/>
        </w:rPr>
        <w:t xml:space="preserve"> </w:t>
      </w:r>
      <w:r>
        <w:rPr>
          <w:w w:val="95"/>
        </w:rPr>
        <w:t>Sydney,</w:t>
      </w:r>
      <w:r>
        <w:rPr>
          <w:spacing w:val="-2"/>
          <w:w w:val="95"/>
        </w:rPr>
        <w:t xml:space="preserve"> </w:t>
      </w:r>
      <w:r>
        <w:rPr>
          <w:w w:val="95"/>
        </w:rPr>
        <w:t>as</w:t>
      </w:r>
      <w:r>
        <w:rPr>
          <w:spacing w:val="-2"/>
          <w:w w:val="95"/>
        </w:rPr>
        <w:t xml:space="preserve"> </w:t>
      </w:r>
      <w:r>
        <w:rPr>
          <w:w w:val="95"/>
        </w:rPr>
        <w:t>the</w:t>
      </w:r>
      <w:r>
        <w:rPr>
          <w:spacing w:val="-2"/>
          <w:w w:val="95"/>
        </w:rPr>
        <w:t xml:space="preserve"> </w:t>
      </w:r>
      <w:r>
        <w:rPr>
          <w:w w:val="95"/>
        </w:rPr>
        <w:t>flag</w:t>
      </w:r>
      <w:r>
        <w:rPr>
          <w:spacing w:val="-2"/>
          <w:w w:val="95"/>
        </w:rPr>
        <w:t xml:space="preserve"> </w:t>
      </w:r>
      <w:r>
        <w:rPr>
          <w:w w:val="95"/>
        </w:rPr>
        <w:t>carrier</w:t>
      </w:r>
      <w:r>
        <w:rPr>
          <w:spacing w:val="-2"/>
          <w:w w:val="95"/>
        </w:rPr>
        <w:t xml:space="preserve"> </w:t>
      </w:r>
      <w:r>
        <w:rPr>
          <w:w w:val="95"/>
        </w:rPr>
        <w:t>for</w:t>
      </w:r>
      <w:r>
        <w:rPr>
          <w:spacing w:val="-2"/>
          <w:w w:val="95"/>
        </w:rPr>
        <w:t xml:space="preserve"> </w:t>
      </w:r>
      <w:r>
        <w:rPr>
          <w:w w:val="95"/>
        </w:rPr>
        <w:t>the</w:t>
      </w:r>
      <w:r>
        <w:rPr>
          <w:spacing w:val="-2"/>
          <w:w w:val="95"/>
        </w:rPr>
        <w:t xml:space="preserve"> </w:t>
      </w:r>
      <w:r>
        <w:rPr>
          <w:w w:val="95"/>
        </w:rPr>
        <w:t>State</w:t>
      </w:r>
      <w:r>
        <w:rPr>
          <w:spacing w:val="-2"/>
          <w:w w:val="95"/>
        </w:rPr>
        <w:t xml:space="preserve"> </w:t>
      </w:r>
      <w:r>
        <w:rPr>
          <w:w w:val="95"/>
        </w:rPr>
        <w:t xml:space="preserve">economy, </w:t>
      </w:r>
      <w:r>
        <w:t>needs</w:t>
      </w:r>
      <w:r>
        <w:rPr>
          <w:spacing w:val="-13"/>
        </w:rPr>
        <w:t xml:space="preserve"> </w:t>
      </w:r>
      <w:r>
        <w:t>to</w:t>
      </w:r>
      <w:r>
        <w:rPr>
          <w:spacing w:val="-13"/>
        </w:rPr>
        <w:t xml:space="preserve"> </w:t>
      </w:r>
      <w:r>
        <w:t>be</w:t>
      </w:r>
      <w:r>
        <w:rPr>
          <w:spacing w:val="-13"/>
        </w:rPr>
        <w:t xml:space="preserve"> </w:t>
      </w:r>
      <w:r>
        <w:t>supported</w:t>
      </w:r>
      <w:r>
        <w:rPr>
          <w:spacing w:val="-13"/>
        </w:rPr>
        <w:t xml:space="preserve"> </w:t>
      </w:r>
      <w:r>
        <w:t>and</w:t>
      </w:r>
      <w:r>
        <w:rPr>
          <w:spacing w:val="-13"/>
        </w:rPr>
        <w:t xml:space="preserve"> </w:t>
      </w:r>
      <w:r>
        <w:t>sustained</w:t>
      </w:r>
      <w:r>
        <w:rPr>
          <w:spacing w:val="-13"/>
        </w:rPr>
        <w:t xml:space="preserve"> </w:t>
      </w:r>
      <w:r>
        <w:t>in</w:t>
      </w:r>
      <w:r>
        <w:rPr>
          <w:spacing w:val="-13"/>
        </w:rPr>
        <w:t xml:space="preserve"> </w:t>
      </w:r>
      <w:r>
        <w:t>the</w:t>
      </w:r>
      <w:r>
        <w:rPr>
          <w:spacing w:val="-13"/>
        </w:rPr>
        <w:t xml:space="preserve"> </w:t>
      </w:r>
      <w:r>
        <w:t>interests</w:t>
      </w:r>
      <w:r>
        <w:rPr>
          <w:spacing w:val="-13"/>
        </w:rPr>
        <w:t xml:space="preserve"> </w:t>
      </w:r>
      <w:r>
        <w:t xml:space="preserve">of </w:t>
      </w:r>
      <w:r>
        <w:rPr>
          <w:w w:val="95"/>
        </w:rPr>
        <w:t xml:space="preserve">all. Investing in Global Sydney’s economic infrastructure </w:t>
      </w:r>
      <w:r>
        <w:t>is</w:t>
      </w:r>
      <w:r>
        <w:rPr>
          <w:spacing w:val="-12"/>
        </w:rPr>
        <w:t xml:space="preserve"> </w:t>
      </w:r>
      <w:r>
        <w:t>therefore</w:t>
      </w:r>
      <w:r>
        <w:rPr>
          <w:spacing w:val="-12"/>
        </w:rPr>
        <w:t xml:space="preserve"> </w:t>
      </w:r>
      <w:r>
        <w:t>a</w:t>
      </w:r>
      <w:r>
        <w:rPr>
          <w:spacing w:val="-12"/>
        </w:rPr>
        <w:t xml:space="preserve"> </w:t>
      </w:r>
      <w:r>
        <w:t>priority</w:t>
      </w:r>
      <w:r>
        <w:rPr>
          <w:spacing w:val="-12"/>
        </w:rPr>
        <w:t xml:space="preserve"> </w:t>
      </w:r>
      <w:r>
        <w:t>for</w:t>
      </w:r>
      <w:r>
        <w:rPr>
          <w:spacing w:val="-12"/>
        </w:rPr>
        <w:t xml:space="preserve"> </w:t>
      </w:r>
      <w:r>
        <w:t>the</w:t>
      </w:r>
      <w:r>
        <w:rPr>
          <w:spacing w:val="-12"/>
        </w:rPr>
        <w:t xml:space="preserve"> </w:t>
      </w:r>
      <w:r>
        <w:t>whole</w:t>
      </w:r>
      <w:r>
        <w:rPr>
          <w:spacing w:val="-12"/>
        </w:rPr>
        <w:t xml:space="preserve"> </w:t>
      </w:r>
      <w:r>
        <w:t>of</w:t>
      </w:r>
      <w:r>
        <w:rPr>
          <w:spacing w:val="-12"/>
        </w:rPr>
        <w:t xml:space="preserve"> </w:t>
      </w:r>
      <w:r>
        <w:t>NSW.</w:t>
      </w:r>
    </w:p>
    <w:p w:rsidR="002C1123" w:rsidRDefault="00F22F94">
      <w:pPr>
        <w:pStyle w:val="BodyText"/>
        <w:spacing w:before="146" w:line="249" w:lineRule="auto"/>
        <w:ind w:left="209" w:right="747"/>
      </w:pPr>
      <w:r>
        <w:t>This</w:t>
      </w:r>
      <w:r>
        <w:rPr>
          <w:spacing w:val="-14"/>
        </w:rPr>
        <w:t xml:space="preserve"> </w:t>
      </w:r>
      <w:r>
        <w:t>does</w:t>
      </w:r>
      <w:r>
        <w:rPr>
          <w:spacing w:val="-14"/>
        </w:rPr>
        <w:t xml:space="preserve"> </w:t>
      </w:r>
      <w:r>
        <w:t>not</w:t>
      </w:r>
      <w:r>
        <w:rPr>
          <w:spacing w:val="-14"/>
        </w:rPr>
        <w:t xml:space="preserve"> </w:t>
      </w:r>
      <w:r>
        <w:t>mean</w:t>
      </w:r>
      <w:r>
        <w:rPr>
          <w:spacing w:val="-14"/>
        </w:rPr>
        <w:t xml:space="preserve"> </w:t>
      </w:r>
      <w:r>
        <w:t>that</w:t>
      </w:r>
      <w:r>
        <w:rPr>
          <w:spacing w:val="-14"/>
        </w:rPr>
        <w:t xml:space="preserve"> </w:t>
      </w:r>
      <w:r>
        <w:t>the</w:t>
      </w:r>
      <w:r>
        <w:rPr>
          <w:spacing w:val="-14"/>
        </w:rPr>
        <w:t xml:space="preserve"> </w:t>
      </w:r>
      <w:r>
        <w:t>infrastructure</w:t>
      </w:r>
      <w:r>
        <w:rPr>
          <w:spacing w:val="-14"/>
        </w:rPr>
        <w:t xml:space="preserve"> </w:t>
      </w:r>
      <w:r>
        <w:t>needs</w:t>
      </w:r>
      <w:r>
        <w:rPr>
          <w:spacing w:val="-14"/>
        </w:rPr>
        <w:t xml:space="preserve"> </w:t>
      </w:r>
      <w:r>
        <w:t>of</w:t>
      </w:r>
      <w:r>
        <w:rPr>
          <w:spacing w:val="-14"/>
        </w:rPr>
        <w:t xml:space="preserve"> </w:t>
      </w:r>
      <w:r>
        <w:t>the rest</w:t>
      </w:r>
      <w:r>
        <w:rPr>
          <w:spacing w:val="-14"/>
        </w:rPr>
        <w:t xml:space="preserve"> </w:t>
      </w:r>
      <w:r>
        <w:t>of</w:t>
      </w:r>
      <w:r>
        <w:rPr>
          <w:spacing w:val="-14"/>
        </w:rPr>
        <w:t xml:space="preserve"> </w:t>
      </w:r>
      <w:r>
        <w:t>the</w:t>
      </w:r>
      <w:r>
        <w:rPr>
          <w:spacing w:val="-14"/>
        </w:rPr>
        <w:t xml:space="preserve"> </w:t>
      </w:r>
      <w:r>
        <w:t>State</w:t>
      </w:r>
      <w:r>
        <w:rPr>
          <w:spacing w:val="-14"/>
        </w:rPr>
        <w:t xml:space="preserve"> </w:t>
      </w:r>
      <w:r>
        <w:t>should</w:t>
      </w:r>
      <w:r>
        <w:rPr>
          <w:spacing w:val="-14"/>
        </w:rPr>
        <w:t xml:space="preserve"> </w:t>
      </w:r>
      <w:r>
        <w:t>be</w:t>
      </w:r>
      <w:r>
        <w:rPr>
          <w:spacing w:val="-14"/>
        </w:rPr>
        <w:t xml:space="preserve"> </w:t>
      </w:r>
      <w:r>
        <w:t>ignored.</w:t>
      </w:r>
      <w:r>
        <w:rPr>
          <w:spacing w:val="-14"/>
        </w:rPr>
        <w:t xml:space="preserve"> </w:t>
      </w:r>
      <w:r>
        <w:t>It</w:t>
      </w:r>
      <w:r>
        <w:rPr>
          <w:spacing w:val="-13"/>
        </w:rPr>
        <w:t xml:space="preserve"> </w:t>
      </w:r>
      <w:r>
        <w:t>does,</w:t>
      </w:r>
      <w:r>
        <w:rPr>
          <w:spacing w:val="-14"/>
        </w:rPr>
        <w:t xml:space="preserve"> </w:t>
      </w:r>
      <w:r>
        <w:t>however, mean</w:t>
      </w:r>
      <w:r>
        <w:rPr>
          <w:spacing w:val="-14"/>
        </w:rPr>
        <w:t xml:space="preserve"> </w:t>
      </w:r>
      <w:r>
        <w:t>that</w:t>
      </w:r>
      <w:r>
        <w:rPr>
          <w:spacing w:val="-14"/>
        </w:rPr>
        <w:t xml:space="preserve"> </w:t>
      </w:r>
      <w:r>
        <w:t>some</w:t>
      </w:r>
      <w:r>
        <w:rPr>
          <w:spacing w:val="-14"/>
        </w:rPr>
        <w:t xml:space="preserve"> </w:t>
      </w:r>
      <w:r>
        <w:t>hard</w:t>
      </w:r>
      <w:r>
        <w:rPr>
          <w:spacing w:val="-14"/>
        </w:rPr>
        <w:t xml:space="preserve"> </w:t>
      </w:r>
      <w:r>
        <w:t>choices</w:t>
      </w:r>
      <w:r>
        <w:rPr>
          <w:spacing w:val="-14"/>
        </w:rPr>
        <w:t xml:space="preserve"> </w:t>
      </w:r>
      <w:r>
        <w:t>must</w:t>
      </w:r>
      <w:r>
        <w:rPr>
          <w:spacing w:val="-14"/>
        </w:rPr>
        <w:t xml:space="preserve"> </w:t>
      </w:r>
      <w:r>
        <w:t>be</w:t>
      </w:r>
      <w:r>
        <w:rPr>
          <w:spacing w:val="-14"/>
        </w:rPr>
        <w:t xml:space="preserve"> </w:t>
      </w:r>
      <w:r>
        <w:t>made.</w:t>
      </w:r>
      <w:r>
        <w:rPr>
          <w:spacing w:val="-14"/>
        </w:rPr>
        <w:t xml:space="preserve"> </w:t>
      </w:r>
      <w:r>
        <w:t xml:space="preserve">Investing </w:t>
      </w:r>
      <w:r>
        <w:rPr>
          <w:w w:val="95"/>
        </w:rPr>
        <w:t xml:space="preserve">in Global Sydney will result in benefits across NSW. For </w:t>
      </w:r>
      <w:r>
        <w:rPr>
          <w:spacing w:val="-2"/>
        </w:rPr>
        <w:t>example,</w:t>
      </w:r>
      <w:r>
        <w:rPr>
          <w:spacing w:val="-5"/>
        </w:rPr>
        <w:t xml:space="preserve"> </w:t>
      </w:r>
      <w:r>
        <w:rPr>
          <w:spacing w:val="-2"/>
        </w:rPr>
        <w:t>while</w:t>
      </w:r>
      <w:r>
        <w:rPr>
          <w:spacing w:val="-5"/>
        </w:rPr>
        <w:t xml:space="preserve"> </w:t>
      </w:r>
      <w:r>
        <w:rPr>
          <w:spacing w:val="-2"/>
        </w:rPr>
        <w:t>investing</w:t>
      </w:r>
      <w:r>
        <w:rPr>
          <w:spacing w:val="-5"/>
        </w:rPr>
        <w:t xml:space="preserve"> </w:t>
      </w:r>
      <w:r>
        <w:rPr>
          <w:spacing w:val="-2"/>
        </w:rPr>
        <w:t>in</w:t>
      </w:r>
      <w:r>
        <w:rPr>
          <w:spacing w:val="-5"/>
        </w:rPr>
        <w:t xml:space="preserve"> </w:t>
      </w:r>
      <w:r>
        <w:rPr>
          <w:spacing w:val="-2"/>
        </w:rPr>
        <w:t>connecting</w:t>
      </w:r>
      <w:r>
        <w:rPr>
          <w:spacing w:val="-5"/>
        </w:rPr>
        <w:t xml:space="preserve"> </w:t>
      </w:r>
      <w:r>
        <w:rPr>
          <w:spacing w:val="-2"/>
        </w:rPr>
        <w:t>infrastructure</w:t>
      </w:r>
      <w:r>
        <w:rPr>
          <w:spacing w:val="-5"/>
        </w:rPr>
        <w:t xml:space="preserve"> </w:t>
      </w:r>
      <w:r>
        <w:rPr>
          <w:spacing w:val="-2"/>
        </w:rPr>
        <w:t xml:space="preserve">to </w:t>
      </w:r>
      <w:r>
        <w:rPr>
          <w:w w:val="95"/>
        </w:rPr>
        <w:t>Sydney’s</w:t>
      </w:r>
      <w:r>
        <w:rPr>
          <w:spacing w:val="-8"/>
          <w:w w:val="95"/>
        </w:rPr>
        <w:t xml:space="preserve"> </w:t>
      </w:r>
      <w:r>
        <w:rPr>
          <w:w w:val="95"/>
        </w:rPr>
        <w:t>International</w:t>
      </w:r>
      <w:r>
        <w:rPr>
          <w:spacing w:val="-9"/>
          <w:w w:val="95"/>
        </w:rPr>
        <w:t xml:space="preserve"> </w:t>
      </w:r>
      <w:r>
        <w:rPr>
          <w:w w:val="95"/>
        </w:rPr>
        <w:t>Gateways</w:t>
      </w:r>
      <w:r>
        <w:rPr>
          <w:spacing w:val="-8"/>
          <w:w w:val="95"/>
        </w:rPr>
        <w:t xml:space="preserve"> </w:t>
      </w:r>
      <w:r>
        <w:rPr>
          <w:w w:val="95"/>
        </w:rPr>
        <w:t>could</w:t>
      </w:r>
      <w:r>
        <w:rPr>
          <w:spacing w:val="-9"/>
          <w:w w:val="95"/>
        </w:rPr>
        <w:t xml:space="preserve"> </w:t>
      </w:r>
      <w:r>
        <w:rPr>
          <w:w w:val="95"/>
        </w:rPr>
        <w:t>be</w:t>
      </w:r>
      <w:r>
        <w:rPr>
          <w:spacing w:val="-8"/>
          <w:w w:val="95"/>
        </w:rPr>
        <w:t xml:space="preserve"> </w:t>
      </w:r>
      <w:r>
        <w:rPr>
          <w:w w:val="95"/>
        </w:rPr>
        <w:t>seen</w:t>
      </w:r>
      <w:r>
        <w:rPr>
          <w:spacing w:val="-9"/>
          <w:w w:val="95"/>
        </w:rPr>
        <w:t xml:space="preserve"> </w:t>
      </w:r>
      <w:r>
        <w:rPr>
          <w:w w:val="95"/>
        </w:rPr>
        <w:t>by</w:t>
      </w:r>
      <w:r>
        <w:rPr>
          <w:spacing w:val="-8"/>
          <w:w w:val="95"/>
        </w:rPr>
        <w:t xml:space="preserve"> </w:t>
      </w:r>
      <w:r>
        <w:rPr>
          <w:w w:val="95"/>
        </w:rPr>
        <w:t>some</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237" w:space="40"/>
            <w:col w:w="5021" w:space="39"/>
            <w:col w:w="5723"/>
          </w:cols>
        </w:sectPr>
      </w:pPr>
    </w:p>
    <w:p w:rsidR="002C1123" w:rsidRDefault="00F22F94">
      <w:pPr>
        <w:pStyle w:val="ListParagraph"/>
        <w:numPr>
          <w:ilvl w:val="0"/>
          <w:numId w:val="121"/>
        </w:numPr>
        <w:tabs>
          <w:tab w:val="left" w:pos="691"/>
          <w:tab w:val="left" w:pos="5518"/>
          <w:tab w:val="left" w:pos="10545"/>
          <w:tab w:val="left" w:pos="11985"/>
        </w:tabs>
        <w:spacing w:before="4" w:line="156" w:lineRule="exact"/>
        <w:ind w:left="690"/>
        <w:jc w:val="left"/>
        <w:rPr>
          <w:sz w:val="14"/>
        </w:rPr>
      </w:pPr>
      <w:r>
        <w:rPr>
          <w:w w:val="95"/>
          <w:sz w:val="14"/>
        </w:rPr>
        <w:t>NSW</w:t>
      </w:r>
      <w:r>
        <w:rPr>
          <w:spacing w:val="-5"/>
          <w:w w:val="95"/>
          <w:sz w:val="14"/>
        </w:rPr>
        <w:t xml:space="preserve"> </w:t>
      </w:r>
      <w:r>
        <w:rPr>
          <w:w w:val="95"/>
          <w:sz w:val="14"/>
        </w:rPr>
        <w:t>Visitor</w:t>
      </w:r>
      <w:r>
        <w:rPr>
          <w:spacing w:val="-4"/>
          <w:w w:val="95"/>
          <w:sz w:val="14"/>
        </w:rPr>
        <w:t xml:space="preserve"> </w:t>
      </w:r>
      <w:r>
        <w:rPr>
          <w:w w:val="95"/>
          <w:sz w:val="14"/>
        </w:rPr>
        <w:t>Economy</w:t>
      </w:r>
      <w:r>
        <w:rPr>
          <w:spacing w:val="-5"/>
          <w:w w:val="95"/>
          <w:sz w:val="14"/>
        </w:rPr>
        <w:t xml:space="preserve"> </w:t>
      </w:r>
      <w:r>
        <w:rPr>
          <w:w w:val="95"/>
          <w:sz w:val="14"/>
        </w:rPr>
        <w:t>Taskforce</w:t>
      </w:r>
      <w:r>
        <w:rPr>
          <w:spacing w:val="-4"/>
          <w:w w:val="95"/>
          <w:sz w:val="14"/>
        </w:rPr>
        <w:t xml:space="preserve"> </w:t>
      </w:r>
      <w:r>
        <w:rPr>
          <w:w w:val="95"/>
          <w:sz w:val="14"/>
        </w:rPr>
        <w:t>2012,</w:t>
      </w:r>
      <w:r>
        <w:rPr>
          <w:spacing w:val="-4"/>
          <w:w w:val="95"/>
          <w:sz w:val="14"/>
        </w:rPr>
        <w:t xml:space="preserve"> </w:t>
      </w:r>
      <w:r>
        <w:rPr>
          <w:w w:val="95"/>
          <w:sz w:val="14"/>
        </w:rPr>
        <w:t>Final</w:t>
      </w:r>
      <w:r>
        <w:rPr>
          <w:spacing w:val="-5"/>
          <w:w w:val="95"/>
          <w:sz w:val="14"/>
        </w:rPr>
        <w:t xml:space="preserve"> </w:t>
      </w:r>
      <w:r>
        <w:rPr>
          <w:spacing w:val="-2"/>
          <w:w w:val="95"/>
          <w:sz w:val="14"/>
        </w:rPr>
        <w:t>Report.</w:t>
      </w:r>
      <w:r>
        <w:rPr>
          <w:sz w:val="14"/>
        </w:rPr>
        <w:tab/>
      </w:r>
      <w:r>
        <w:rPr>
          <w:w w:val="95"/>
          <w:sz w:val="14"/>
        </w:rPr>
        <w:t>15</w:t>
      </w:r>
      <w:r>
        <w:rPr>
          <w:spacing w:val="33"/>
          <w:sz w:val="14"/>
        </w:rPr>
        <w:t xml:space="preserve"> </w:t>
      </w:r>
      <w:r>
        <w:rPr>
          <w:w w:val="95"/>
          <w:sz w:val="14"/>
        </w:rPr>
        <w:t>Sydney</w:t>
      </w:r>
      <w:r>
        <w:rPr>
          <w:spacing w:val="4"/>
          <w:sz w:val="14"/>
        </w:rPr>
        <w:t xml:space="preserve"> </w:t>
      </w:r>
      <w:r>
        <w:rPr>
          <w:w w:val="95"/>
          <w:sz w:val="14"/>
        </w:rPr>
        <w:t>Airport</w:t>
      </w:r>
      <w:r>
        <w:rPr>
          <w:spacing w:val="5"/>
          <w:sz w:val="14"/>
        </w:rPr>
        <w:t xml:space="preserve"> </w:t>
      </w:r>
      <w:r>
        <w:rPr>
          <w:w w:val="95"/>
          <w:sz w:val="14"/>
        </w:rPr>
        <w:t>Corporation</w:t>
      </w:r>
      <w:r>
        <w:rPr>
          <w:spacing w:val="4"/>
          <w:sz w:val="14"/>
        </w:rPr>
        <w:t xml:space="preserve"> </w:t>
      </w:r>
      <w:r>
        <w:rPr>
          <w:w w:val="95"/>
          <w:sz w:val="14"/>
        </w:rPr>
        <w:t>2009,</w:t>
      </w:r>
      <w:r>
        <w:rPr>
          <w:spacing w:val="5"/>
          <w:sz w:val="14"/>
        </w:rPr>
        <w:t xml:space="preserve"> </w:t>
      </w:r>
      <w:r>
        <w:rPr>
          <w:w w:val="95"/>
          <w:sz w:val="14"/>
        </w:rPr>
        <w:t>Sydney</w:t>
      </w:r>
      <w:r>
        <w:rPr>
          <w:spacing w:val="4"/>
          <w:sz w:val="14"/>
        </w:rPr>
        <w:t xml:space="preserve"> </w:t>
      </w:r>
      <w:r>
        <w:rPr>
          <w:w w:val="95"/>
          <w:sz w:val="14"/>
        </w:rPr>
        <w:t>Airport</w:t>
      </w:r>
      <w:r>
        <w:rPr>
          <w:spacing w:val="5"/>
          <w:sz w:val="14"/>
        </w:rPr>
        <w:t xml:space="preserve"> </w:t>
      </w:r>
      <w:r>
        <w:rPr>
          <w:w w:val="95"/>
          <w:sz w:val="14"/>
        </w:rPr>
        <w:t>Master</w:t>
      </w:r>
      <w:r>
        <w:rPr>
          <w:spacing w:val="4"/>
          <w:sz w:val="14"/>
        </w:rPr>
        <w:t xml:space="preserve"> </w:t>
      </w:r>
      <w:r>
        <w:rPr>
          <w:spacing w:val="-4"/>
          <w:w w:val="95"/>
          <w:sz w:val="14"/>
        </w:rPr>
        <w:t>Plan.</w:t>
      </w:r>
      <w:r>
        <w:rPr>
          <w:sz w:val="14"/>
        </w:rPr>
        <w:tab/>
      </w:r>
      <w:r>
        <w:rPr>
          <w:sz w:val="14"/>
          <w:u w:val="single" w:color="9C9C9D"/>
        </w:rPr>
        <w:tab/>
      </w:r>
    </w:p>
    <w:p w:rsidR="002C1123" w:rsidRDefault="002C1123">
      <w:pPr>
        <w:spacing w:line="156" w:lineRule="exact"/>
        <w:rPr>
          <w:sz w:val="14"/>
        </w:rPr>
        <w:sectPr w:rsidR="002C1123">
          <w:type w:val="continuous"/>
          <w:pgSz w:w="16840" w:h="11910" w:orient="landscape"/>
          <w:pgMar w:top="560" w:right="280" w:bottom="280" w:left="500" w:header="0" w:footer="517" w:gutter="0"/>
          <w:cols w:space="720"/>
        </w:sectPr>
      </w:pPr>
    </w:p>
    <w:p w:rsidR="002C1123" w:rsidRDefault="00F22F94">
      <w:pPr>
        <w:pStyle w:val="ListParagraph"/>
        <w:numPr>
          <w:ilvl w:val="0"/>
          <w:numId w:val="121"/>
        </w:numPr>
        <w:tabs>
          <w:tab w:val="left" w:pos="691"/>
        </w:tabs>
        <w:spacing w:before="5"/>
        <w:ind w:left="690"/>
        <w:jc w:val="left"/>
        <w:rPr>
          <w:sz w:val="14"/>
        </w:rPr>
      </w:pPr>
      <w:r>
        <w:rPr>
          <w:w w:val="95"/>
          <w:sz w:val="14"/>
        </w:rPr>
        <w:t>Deloitte</w:t>
      </w:r>
      <w:r>
        <w:rPr>
          <w:spacing w:val="1"/>
          <w:sz w:val="14"/>
        </w:rPr>
        <w:t xml:space="preserve"> </w:t>
      </w:r>
      <w:r>
        <w:rPr>
          <w:w w:val="95"/>
          <w:sz w:val="14"/>
        </w:rPr>
        <w:t>Access</w:t>
      </w:r>
      <w:r>
        <w:rPr>
          <w:spacing w:val="1"/>
          <w:sz w:val="14"/>
        </w:rPr>
        <w:t xml:space="preserve"> </w:t>
      </w:r>
      <w:r>
        <w:rPr>
          <w:w w:val="95"/>
          <w:sz w:val="14"/>
        </w:rPr>
        <w:t>Economics</w:t>
      </w:r>
      <w:r>
        <w:rPr>
          <w:spacing w:val="1"/>
          <w:sz w:val="14"/>
        </w:rPr>
        <w:t xml:space="preserve"> </w:t>
      </w:r>
      <w:r>
        <w:rPr>
          <w:w w:val="95"/>
          <w:sz w:val="14"/>
        </w:rPr>
        <w:t>2011,</w:t>
      </w:r>
      <w:r>
        <w:rPr>
          <w:spacing w:val="1"/>
          <w:sz w:val="14"/>
        </w:rPr>
        <w:t xml:space="preserve"> </w:t>
      </w:r>
      <w:r>
        <w:rPr>
          <w:w w:val="95"/>
          <w:sz w:val="14"/>
        </w:rPr>
        <w:t>Infrastructure</w:t>
      </w:r>
      <w:r>
        <w:rPr>
          <w:spacing w:val="1"/>
          <w:sz w:val="14"/>
        </w:rPr>
        <w:t xml:space="preserve"> </w:t>
      </w:r>
      <w:r>
        <w:rPr>
          <w:w w:val="95"/>
          <w:sz w:val="14"/>
        </w:rPr>
        <w:t>and</w:t>
      </w:r>
      <w:r>
        <w:rPr>
          <w:spacing w:val="1"/>
          <w:sz w:val="14"/>
        </w:rPr>
        <w:t xml:space="preserve"> </w:t>
      </w:r>
      <w:r>
        <w:rPr>
          <w:w w:val="95"/>
          <w:sz w:val="14"/>
        </w:rPr>
        <w:t>the</w:t>
      </w:r>
      <w:r>
        <w:rPr>
          <w:spacing w:val="1"/>
          <w:sz w:val="14"/>
        </w:rPr>
        <w:t xml:space="preserve"> </w:t>
      </w:r>
      <w:r>
        <w:rPr>
          <w:w w:val="95"/>
          <w:sz w:val="14"/>
        </w:rPr>
        <w:t>NSW</w:t>
      </w:r>
      <w:r>
        <w:rPr>
          <w:spacing w:val="1"/>
          <w:sz w:val="14"/>
        </w:rPr>
        <w:t xml:space="preserve"> </w:t>
      </w:r>
      <w:r>
        <w:rPr>
          <w:spacing w:val="-2"/>
          <w:w w:val="95"/>
          <w:sz w:val="14"/>
        </w:rPr>
        <w:t>Economy.</w:t>
      </w:r>
    </w:p>
    <w:p w:rsidR="002C1123" w:rsidRDefault="00F22F94">
      <w:pPr>
        <w:pStyle w:val="ListParagraph"/>
        <w:numPr>
          <w:ilvl w:val="0"/>
          <w:numId w:val="119"/>
        </w:numPr>
        <w:tabs>
          <w:tab w:val="left" w:pos="651"/>
        </w:tabs>
        <w:spacing w:before="5"/>
        <w:jc w:val="left"/>
        <w:rPr>
          <w:sz w:val="14"/>
        </w:rPr>
      </w:pPr>
      <w:r>
        <w:br w:type="column"/>
      </w:r>
      <w:r>
        <w:rPr>
          <w:w w:val="95"/>
          <w:sz w:val="14"/>
        </w:rPr>
        <w:t>NSW</w:t>
      </w:r>
      <w:r>
        <w:rPr>
          <w:spacing w:val="-4"/>
          <w:w w:val="95"/>
          <w:sz w:val="14"/>
        </w:rPr>
        <w:t xml:space="preserve"> </w:t>
      </w:r>
      <w:r>
        <w:rPr>
          <w:w w:val="95"/>
          <w:sz w:val="14"/>
        </w:rPr>
        <w:t>Treasury,</w:t>
      </w:r>
      <w:r>
        <w:rPr>
          <w:spacing w:val="-4"/>
          <w:w w:val="95"/>
          <w:sz w:val="14"/>
        </w:rPr>
        <w:t xml:space="preserve"> </w:t>
      </w:r>
      <w:r>
        <w:rPr>
          <w:w w:val="95"/>
          <w:sz w:val="14"/>
        </w:rPr>
        <w:t>2012-13</w:t>
      </w:r>
      <w:r>
        <w:rPr>
          <w:spacing w:val="-4"/>
          <w:w w:val="95"/>
          <w:sz w:val="14"/>
        </w:rPr>
        <w:t xml:space="preserve"> </w:t>
      </w:r>
      <w:r>
        <w:rPr>
          <w:w w:val="95"/>
          <w:sz w:val="14"/>
        </w:rPr>
        <w:t>Budget</w:t>
      </w:r>
      <w:r>
        <w:rPr>
          <w:spacing w:val="-4"/>
          <w:w w:val="95"/>
          <w:sz w:val="14"/>
        </w:rPr>
        <w:t xml:space="preserve"> </w:t>
      </w:r>
      <w:r>
        <w:rPr>
          <w:w w:val="95"/>
          <w:sz w:val="14"/>
        </w:rPr>
        <w:t>Paper</w:t>
      </w:r>
      <w:r>
        <w:rPr>
          <w:spacing w:val="-4"/>
          <w:w w:val="95"/>
          <w:sz w:val="14"/>
        </w:rPr>
        <w:t xml:space="preserve"> </w:t>
      </w:r>
      <w:r>
        <w:rPr>
          <w:spacing w:val="-5"/>
          <w:w w:val="95"/>
          <w:sz w:val="14"/>
        </w:rPr>
        <w:t>4.</w:t>
      </w:r>
    </w:p>
    <w:p w:rsidR="002C1123" w:rsidRDefault="00F22F94">
      <w:pPr>
        <w:pStyle w:val="ListParagraph"/>
        <w:numPr>
          <w:ilvl w:val="0"/>
          <w:numId w:val="119"/>
        </w:numPr>
        <w:tabs>
          <w:tab w:val="left" w:pos="691"/>
        </w:tabs>
        <w:spacing w:before="5"/>
        <w:ind w:left="690"/>
        <w:jc w:val="left"/>
        <w:rPr>
          <w:sz w:val="14"/>
        </w:rPr>
      </w:pPr>
      <w:r>
        <w:br w:type="column"/>
      </w:r>
      <w:r>
        <w:rPr>
          <w:w w:val="95"/>
          <w:sz w:val="14"/>
        </w:rPr>
        <w:t>Sydney</w:t>
      </w:r>
      <w:r>
        <w:rPr>
          <w:spacing w:val="7"/>
          <w:sz w:val="14"/>
        </w:rPr>
        <w:t xml:space="preserve"> </w:t>
      </w:r>
      <w:r>
        <w:rPr>
          <w:w w:val="95"/>
          <w:sz w:val="14"/>
        </w:rPr>
        <w:t>Ports</w:t>
      </w:r>
      <w:r>
        <w:rPr>
          <w:spacing w:val="7"/>
          <w:sz w:val="14"/>
        </w:rPr>
        <w:t xml:space="preserve"> </w:t>
      </w:r>
      <w:r>
        <w:rPr>
          <w:w w:val="95"/>
          <w:sz w:val="14"/>
        </w:rPr>
        <w:t>Corporation</w:t>
      </w:r>
      <w:r>
        <w:rPr>
          <w:spacing w:val="8"/>
          <w:sz w:val="14"/>
        </w:rPr>
        <w:t xml:space="preserve"> </w:t>
      </w:r>
      <w:r>
        <w:rPr>
          <w:spacing w:val="-2"/>
          <w:w w:val="95"/>
          <w:sz w:val="14"/>
        </w:rPr>
        <w:t>2011.</w:t>
      </w:r>
    </w:p>
    <w:p w:rsidR="002C1123" w:rsidRDefault="002C1123">
      <w:pPr>
        <w:rPr>
          <w:sz w:val="14"/>
        </w:rPr>
        <w:sectPr w:rsidR="002C1123">
          <w:type w:val="continuous"/>
          <w:pgSz w:w="16840" w:h="11910" w:orient="landscape"/>
          <w:pgMar w:top="560" w:right="280" w:bottom="280" w:left="500" w:header="0" w:footer="517" w:gutter="0"/>
          <w:cols w:num="3" w:space="720" w:equalWidth="0">
            <w:col w:w="5027" w:space="40"/>
            <w:col w:w="3131" w:space="1855"/>
            <w:col w:w="6007"/>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BodyText"/>
        <w:spacing w:before="106" w:line="249" w:lineRule="auto"/>
        <w:ind w:left="492"/>
      </w:pPr>
      <w:bookmarkStart w:id="96" w:name="_bookmark68"/>
      <w:bookmarkEnd w:id="96"/>
      <w:r>
        <w:rPr>
          <w:w w:val="95"/>
        </w:rPr>
        <w:t>as</w:t>
      </w:r>
      <w:r>
        <w:rPr>
          <w:spacing w:val="-6"/>
          <w:w w:val="95"/>
        </w:rPr>
        <w:t xml:space="preserve"> </w:t>
      </w:r>
      <w:r>
        <w:rPr>
          <w:w w:val="95"/>
        </w:rPr>
        <w:t>a</w:t>
      </w:r>
      <w:r>
        <w:rPr>
          <w:spacing w:val="-6"/>
          <w:w w:val="95"/>
        </w:rPr>
        <w:t xml:space="preserve"> </w:t>
      </w:r>
      <w:r>
        <w:rPr>
          <w:w w:val="95"/>
        </w:rPr>
        <w:t>Sydney-centric</w:t>
      </w:r>
      <w:r>
        <w:rPr>
          <w:spacing w:val="-6"/>
          <w:w w:val="95"/>
        </w:rPr>
        <w:t xml:space="preserve"> </w:t>
      </w:r>
      <w:r>
        <w:rPr>
          <w:w w:val="95"/>
        </w:rPr>
        <w:t>proposition,</w:t>
      </w:r>
      <w:r>
        <w:rPr>
          <w:spacing w:val="-6"/>
          <w:w w:val="95"/>
        </w:rPr>
        <w:t xml:space="preserve"> </w:t>
      </w:r>
      <w:r>
        <w:rPr>
          <w:w w:val="95"/>
        </w:rPr>
        <w:t>it</w:t>
      </w:r>
      <w:r>
        <w:rPr>
          <w:spacing w:val="-6"/>
          <w:w w:val="95"/>
        </w:rPr>
        <w:t xml:space="preserve"> </w:t>
      </w:r>
      <w:r>
        <w:rPr>
          <w:w w:val="95"/>
        </w:rPr>
        <w:t>will</w:t>
      </w:r>
      <w:r>
        <w:rPr>
          <w:spacing w:val="-6"/>
          <w:w w:val="95"/>
        </w:rPr>
        <w:t xml:space="preserve"> </w:t>
      </w:r>
      <w:r>
        <w:rPr>
          <w:w w:val="95"/>
        </w:rPr>
        <w:t>benefit</w:t>
      </w:r>
      <w:r>
        <w:rPr>
          <w:spacing w:val="-6"/>
          <w:w w:val="95"/>
        </w:rPr>
        <w:t xml:space="preserve"> </w:t>
      </w:r>
      <w:r>
        <w:rPr>
          <w:w w:val="95"/>
        </w:rPr>
        <w:t xml:space="preserve">regional </w:t>
      </w:r>
      <w:r>
        <w:t>businesses and exporters and importers.</w:t>
      </w:r>
    </w:p>
    <w:p w:rsidR="002C1123" w:rsidRDefault="00F22F94">
      <w:pPr>
        <w:pStyle w:val="BodyText"/>
        <w:spacing w:before="143" w:line="249" w:lineRule="auto"/>
        <w:ind w:left="492" w:right="106"/>
      </w:pPr>
      <w:r>
        <w:t>This</w:t>
      </w:r>
      <w:r>
        <w:rPr>
          <w:spacing w:val="-14"/>
        </w:rPr>
        <w:t xml:space="preserve"> </w:t>
      </w:r>
      <w:r>
        <w:t>leads</w:t>
      </w:r>
      <w:r>
        <w:rPr>
          <w:spacing w:val="-14"/>
        </w:rPr>
        <w:t xml:space="preserve"> </w:t>
      </w:r>
      <w:r>
        <w:t>to</w:t>
      </w:r>
      <w:r>
        <w:rPr>
          <w:spacing w:val="-14"/>
        </w:rPr>
        <w:t xml:space="preserve"> </w:t>
      </w:r>
      <w:r>
        <w:t>the</w:t>
      </w:r>
      <w:r>
        <w:rPr>
          <w:spacing w:val="-14"/>
        </w:rPr>
        <w:t xml:space="preserve"> </w:t>
      </w:r>
      <w:r>
        <w:t>question</w:t>
      </w:r>
      <w:r>
        <w:rPr>
          <w:spacing w:val="-14"/>
        </w:rPr>
        <w:t xml:space="preserve"> </w:t>
      </w:r>
      <w:r>
        <w:t>of</w:t>
      </w:r>
      <w:r>
        <w:rPr>
          <w:spacing w:val="-14"/>
        </w:rPr>
        <w:t xml:space="preserve"> </w:t>
      </w:r>
      <w:r>
        <w:t>whether</w:t>
      </w:r>
      <w:r>
        <w:rPr>
          <w:spacing w:val="-14"/>
        </w:rPr>
        <w:t xml:space="preserve"> </w:t>
      </w:r>
      <w:r>
        <w:t>infrastructure investment</w:t>
      </w:r>
      <w:r>
        <w:rPr>
          <w:spacing w:val="-14"/>
        </w:rPr>
        <w:t xml:space="preserve"> </w:t>
      </w:r>
      <w:r>
        <w:t>can</w:t>
      </w:r>
      <w:r>
        <w:rPr>
          <w:spacing w:val="-13"/>
        </w:rPr>
        <w:t xml:space="preserve"> </w:t>
      </w:r>
      <w:r>
        <w:t>create</w:t>
      </w:r>
      <w:r>
        <w:rPr>
          <w:spacing w:val="-14"/>
        </w:rPr>
        <w:t xml:space="preserve"> </w:t>
      </w:r>
      <w:r>
        <w:t>the</w:t>
      </w:r>
      <w:r>
        <w:rPr>
          <w:spacing w:val="-13"/>
        </w:rPr>
        <w:t xml:space="preserve"> </w:t>
      </w:r>
      <w:r>
        <w:t>high</w:t>
      </w:r>
      <w:r>
        <w:rPr>
          <w:spacing w:val="-14"/>
        </w:rPr>
        <w:t xml:space="preserve"> </w:t>
      </w:r>
      <w:r>
        <w:t>levels</w:t>
      </w:r>
      <w:r>
        <w:rPr>
          <w:spacing w:val="-13"/>
        </w:rPr>
        <w:t xml:space="preserve"> </w:t>
      </w:r>
      <w:r>
        <w:t>of</w:t>
      </w:r>
      <w:r>
        <w:rPr>
          <w:spacing w:val="-14"/>
        </w:rPr>
        <w:t xml:space="preserve"> </w:t>
      </w:r>
      <w:r>
        <w:t>economic activity</w:t>
      </w:r>
      <w:r>
        <w:rPr>
          <w:spacing w:val="-14"/>
        </w:rPr>
        <w:t xml:space="preserve"> </w:t>
      </w:r>
      <w:r>
        <w:t>seen</w:t>
      </w:r>
      <w:r>
        <w:rPr>
          <w:spacing w:val="-13"/>
        </w:rPr>
        <w:t xml:space="preserve"> </w:t>
      </w:r>
      <w:r>
        <w:t>in</w:t>
      </w:r>
      <w:r>
        <w:rPr>
          <w:spacing w:val="-14"/>
        </w:rPr>
        <w:t xml:space="preserve"> </w:t>
      </w:r>
      <w:r>
        <w:t>Global</w:t>
      </w:r>
      <w:r>
        <w:rPr>
          <w:spacing w:val="-13"/>
        </w:rPr>
        <w:t xml:space="preserve"> </w:t>
      </w:r>
      <w:r>
        <w:t>Sydney</w:t>
      </w:r>
      <w:r>
        <w:rPr>
          <w:spacing w:val="-14"/>
        </w:rPr>
        <w:t xml:space="preserve"> </w:t>
      </w:r>
      <w:r>
        <w:t>in</w:t>
      </w:r>
      <w:r>
        <w:rPr>
          <w:spacing w:val="-13"/>
        </w:rPr>
        <w:t xml:space="preserve"> </w:t>
      </w:r>
      <w:r>
        <w:t>other</w:t>
      </w:r>
      <w:r>
        <w:rPr>
          <w:spacing w:val="-14"/>
        </w:rPr>
        <w:t xml:space="preserve"> </w:t>
      </w:r>
      <w:r>
        <w:t>parts</w:t>
      </w:r>
      <w:r>
        <w:rPr>
          <w:spacing w:val="-13"/>
        </w:rPr>
        <w:t xml:space="preserve"> </w:t>
      </w:r>
      <w:r>
        <w:t>of</w:t>
      </w:r>
      <w:r>
        <w:rPr>
          <w:spacing w:val="-14"/>
        </w:rPr>
        <w:t xml:space="preserve"> </w:t>
      </w:r>
      <w:r>
        <w:t xml:space="preserve">the </w:t>
      </w:r>
      <w:r>
        <w:rPr>
          <w:w w:val="95"/>
        </w:rPr>
        <w:t>State.</w:t>
      </w:r>
      <w:r>
        <w:rPr>
          <w:spacing w:val="-11"/>
          <w:w w:val="95"/>
        </w:rPr>
        <w:t xml:space="preserve"> </w:t>
      </w:r>
      <w:r>
        <w:rPr>
          <w:w w:val="95"/>
        </w:rPr>
        <w:t>The</w:t>
      </w:r>
      <w:r>
        <w:rPr>
          <w:spacing w:val="-11"/>
          <w:w w:val="95"/>
        </w:rPr>
        <w:t xml:space="preserve"> </w:t>
      </w:r>
      <w:r>
        <w:rPr>
          <w:w w:val="95"/>
        </w:rPr>
        <w:t>qualities</w:t>
      </w:r>
      <w:r>
        <w:rPr>
          <w:spacing w:val="-11"/>
          <w:w w:val="95"/>
        </w:rPr>
        <w:t xml:space="preserve"> </w:t>
      </w:r>
      <w:r>
        <w:rPr>
          <w:w w:val="95"/>
        </w:rPr>
        <w:t>that</w:t>
      </w:r>
      <w:r>
        <w:rPr>
          <w:spacing w:val="-11"/>
          <w:w w:val="95"/>
        </w:rPr>
        <w:t xml:space="preserve"> </w:t>
      </w:r>
      <w:r>
        <w:rPr>
          <w:w w:val="95"/>
        </w:rPr>
        <w:t>created</w:t>
      </w:r>
      <w:r>
        <w:rPr>
          <w:spacing w:val="-11"/>
          <w:w w:val="95"/>
        </w:rPr>
        <w:t xml:space="preserve"> </w:t>
      </w:r>
      <w:r>
        <w:rPr>
          <w:w w:val="95"/>
        </w:rPr>
        <w:t>Global</w:t>
      </w:r>
      <w:r>
        <w:rPr>
          <w:spacing w:val="-11"/>
          <w:w w:val="95"/>
        </w:rPr>
        <w:t xml:space="preserve"> </w:t>
      </w:r>
      <w:r>
        <w:rPr>
          <w:w w:val="95"/>
        </w:rPr>
        <w:t>Sydney</w:t>
      </w:r>
      <w:r>
        <w:rPr>
          <w:spacing w:val="-11"/>
          <w:w w:val="95"/>
        </w:rPr>
        <w:t xml:space="preserve"> </w:t>
      </w:r>
      <w:r>
        <w:rPr>
          <w:w w:val="95"/>
        </w:rPr>
        <w:t>are</w:t>
      </w:r>
      <w:r>
        <w:rPr>
          <w:spacing w:val="-11"/>
          <w:w w:val="95"/>
        </w:rPr>
        <w:t xml:space="preserve"> </w:t>
      </w:r>
      <w:r>
        <w:rPr>
          <w:w w:val="95"/>
        </w:rPr>
        <w:t>a</w:t>
      </w:r>
    </w:p>
    <w:p w:rsidR="002C1123" w:rsidRDefault="00F22F94">
      <w:pPr>
        <w:pStyle w:val="BodyText"/>
        <w:spacing w:before="106" w:line="249" w:lineRule="auto"/>
        <w:ind w:left="466"/>
      </w:pPr>
      <w:r>
        <w:br w:type="column"/>
      </w:r>
      <w:r>
        <w:rPr>
          <w:w w:val="95"/>
        </w:rPr>
        <w:t>reflection</w:t>
      </w:r>
      <w:r>
        <w:rPr>
          <w:spacing w:val="-7"/>
          <w:w w:val="95"/>
        </w:rPr>
        <w:t xml:space="preserve"> </w:t>
      </w:r>
      <w:r>
        <w:rPr>
          <w:w w:val="95"/>
        </w:rPr>
        <w:t>of</w:t>
      </w:r>
      <w:r>
        <w:rPr>
          <w:spacing w:val="-7"/>
          <w:w w:val="95"/>
        </w:rPr>
        <w:t xml:space="preserve"> </w:t>
      </w:r>
      <w:r>
        <w:rPr>
          <w:w w:val="95"/>
        </w:rPr>
        <w:t>a</w:t>
      </w:r>
      <w:r>
        <w:rPr>
          <w:spacing w:val="-7"/>
          <w:w w:val="95"/>
        </w:rPr>
        <w:t xml:space="preserve"> </w:t>
      </w:r>
      <w:r>
        <w:rPr>
          <w:w w:val="95"/>
        </w:rPr>
        <w:t>mixture</w:t>
      </w:r>
      <w:r>
        <w:rPr>
          <w:spacing w:val="-7"/>
          <w:w w:val="95"/>
        </w:rPr>
        <w:t xml:space="preserve"> </w:t>
      </w:r>
      <w:r>
        <w:rPr>
          <w:w w:val="95"/>
        </w:rPr>
        <w:t>of</w:t>
      </w:r>
      <w:r>
        <w:rPr>
          <w:spacing w:val="-7"/>
          <w:w w:val="95"/>
        </w:rPr>
        <w:t xml:space="preserve"> </w:t>
      </w:r>
      <w:r>
        <w:rPr>
          <w:w w:val="95"/>
        </w:rPr>
        <w:t>geographic,</w:t>
      </w:r>
      <w:r>
        <w:rPr>
          <w:spacing w:val="-7"/>
          <w:w w:val="95"/>
        </w:rPr>
        <w:t xml:space="preserve"> </w:t>
      </w:r>
      <w:r>
        <w:rPr>
          <w:w w:val="95"/>
        </w:rPr>
        <w:t>historical,</w:t>
      </w:r>
      <w:r>
        <w:rPr>
          <w:spacing w:val="-7"/>
          <w:w w:val="95"/>
        </w:rPr>
        <w:t xml:space="preserve"> </w:t>
      </w:r>
      <w:r>
        <w:rPr>
          <w:w w:val="95"/>
        </w:rPr>
        <w:t>social and</w:t>
      </w:r>
      <w:r>
        <w:rPr>
          <w:spacing w:val="-1"/>
          <w:w w:val="95"/>
        </w:rPr>
        <w:t xml:space="preserve"> </w:t>
      </w:r>
      <w:r>
        <w:rPr>
          <w:w w:val="95"/>
        </w:rPr>
        <w:t>economic</w:t>
      </w:r>
      <w:r>
        <w:rPr>
          <w:spacing w:val="-1"/>
          <w:w w:val="95"/>
        </w:rPr>
        <w:t xml:space="preserve"> </w:t>
      </w:r>
      <w:r>
        <w:rPr>
          <w:w w:val="95"/>
        </w:rPr>
        <w:t>factors</w:t>
      </w:r>
      <w:r>
        <w:rPr>
          <w:spacing w:val="-1"/>
          <w:w w:val="95"/>
        </w:rPr>
        <w:t xml:space="preserve"> </w:t>
      </w:r>
      <w:r>
        <w:rPr>
          <w:w w:val="95"/>
        </w:rPr>
        <w:t>that</w:t>
      </w:r>
      <w:r>
        <w:rPr>
          <w:spacing w:val="-1"/>
          <w:w w:val="95"/>
        </w:rPr>
        <w:t xml:space="preserve"> </w:t>
      </w:r>
      <w:r>
        <w:rPr>
          <w:w w:val="95"/>
        </w:rPr>
        <w:t>are</w:t>
      </w:r>
      <w:r>
        <w:rPr>
          <w:spacing w:val="-1"/>
          <w:w w:val="95"/>
        </w:rPr>
        <w:t xml:space="preserve"> </w:t>
      </w:r>
      <w:r>
        <w:rPr>
          <w:w w:val="95"/>
        </w:rPr>
        <w:t>very</w:t>
      </w:r>
      <w:r>
        <w:rPr>
          <w:spacing w:val="-1"/>
          <w:w w:val="95"/>
        </w:rPr>
        <w:t xml:space="preserve"> </w:t>
      </w:r>
      <w:r>
        <w:rPr>
          <w:w w:val="95"/>
        </w:rPr>
        <w:t>hard</w:t>
      </w:r>
      <w:r>
        <w:rPr>
          <w:spacing w:val="-1"/>
          <w:w w:val="95"/>
        </w:rPr>
        <w:t xml:space="preserve"> </w:t>
      </w:r>
      <w:r>
        <w:rPr>
          <w:w w:val="95"/>
        </w:rPr>
        <w:t>to</w:t>
      </w:r>
      <w:r>
        <w:rPr>
          <w:spacing w:val="-1"/>
          <w:w w:val="95"/>
        </w:rPr>
        <w:t xml:space="preserve"> </w:t>
      </w:r>
      <w:r>
        <w:rPr>
          <w:w w:val="95"/>
        </w:rPr>
        <w:t xml:space="preserve">duplicate. </w:t>
      </w:r>
      <w:r>
        <w:t>Global</w:t>
      </w:r>
      <w:r>
        <w:rPr>
          <w:spacing w:val="-11"/>
        </w:rPr>
        <w:t xml:space="preserve"> </w:t>
      </w:r>
      <w:r>
        <w:t>Sydney</w:t>
      </w:r>
      <w:r>
        <w:rPr>
          <w:spacing w:val="-11"/>
        </w:rPr>
        <w:t xml:space="preserve"> </w:t>
      </w:r>
      <w:r>
        <w:t>is</w:t>
      </w:r>
      <w:r>
        <w:rPr>
          <w:spacing w:val="-11"/>
        </w:rPr>
        <w:t xml:space="preserve"> </w:t>
      </w:r>
      <w:r>
        <w:t>the</w:t>
      </w:r>
      <w:r>
        <w:rPr>
          <w:spacing w:val="-11"/>
        </w:rPr>
        <w:t xml:space="preserve"> </w:t>
      </w:r>
      <w:r>
        <w:t>result</w:t>
      </w:r>
      <w:r>
        <w:rPr>
          <w:spacing w:val="-11"/>
        </w:rPr>
        <w:t xml:space="preserve"> </w:t>
      </w:r>
      <w:r>
        <w:t>of</w:t>
      </w:r>
      <w:r>
        <w:rPr>
          <w:spacing w:val="-11"/>
        </w:rPr>
        <w:t xml:space="preserve"> </w:t>
      </w:r>
      <w:r>
        <w:t>what</w:t>
      </w:r>
      <w:r>
        <w:rPr>
          <w:spacing w:val="-11"/>
        </w:rPr>
        <w:t xml:space="preserve"> </w:t>
      </w:r>
      <w:r>
        <w:t>is</w:t>
      </w:r>
      <w:r>
        <w:rPr>
          <w:spacing w:val="-11"/>
        </w:rPr>
        <w:t xml:space="preserve"> </w:t>
      </w:r>
      <w:r>
        <w:t>known</w:t>
      </w:r>
      <w:r>
        <w:rPr>
          <w:spacing w:val="-11"/>
        </w:rPr>
        <w:t xml:space="preserve"> </w:t>
      </w:r>
      <w:r>
        <w:t>as ‘agglomeration</w:t>
      </w:r>
      <w:r>
        <w:rPr>
          <w:spacing w:val="-14"/>
        </w:rPr>
        <w:t xml:space="preserve"> </w:t>
      </w:r>
      <w:r>
        <w:t>benefits’,</w:t>
      </w:r>
      <w:r>
        <w:rPr>
          <w:spacing w:val="-14"/>
        </w:rPr>
        <w:t xml:space="preserve"> </w:t>
      </w:r>
      <w:r>
        <w:t>where</w:t>
      </w:r>
      <w:r>
        <w:rPr>
          <w:spacing w:val="-14"/>
        </w:rPr>
        <w:t xml:space="preserve"> </w:t>
      </w:r>
      <w:r>
        <w:t>clusters</w:t>
      </w:r>
      <w:r>
        <w:rPr>
          <w:spacing w:val="-14"/>
        </w:rPr>
        <w:t xml:space="preserve"> </w:t>
      </w:r>
      <w:r>
        <w:t>of</w:t>
      </w:r>
      <w:r>
        <w:rPr>
          <w:spacing w:val="-14"/>
        </w:rPr>
        <w:t xml:space="preserve"> </w:t>
      </w:r>
      <w:r>
        <w:t>industry build</w:t>
      </w:r>
      <w:r>
        <w:rPr>
          <w:spacing w:val="-5"/>
        </w:rPr>
        <w:t xml:space="preserve"> </w:t>
      </w:r>
      <w:r>
        <w:t>up</w:t>
      </w:r>
      <w:r>
        <w:rPr>
          <w:spacing w:val="-5"/>
        </w:rPr>
        <w:t xml:space="preserve"> </w:t>
      </w:r>
      <w:r>
        <w:t>because</w:t>
      </w:r>
      <w:r>
        <w:rPr>
          <w:spacing w:val="-5"/>
        </w:rPr>
        <w:t xml:space="preserve"> </w:t>
      </w:r>
      <w:r>
        <w:t>of</w:t>
      </w:r>
      <w:r>
        <w:rPr>
          <w:spacing w:val="-5"/>
        </w:rPr>
        <w:t xml:space="preserve"> </w:t>
      </w:r>
      <w:r>
        <w:t>proximity</w:t>
      </w:r>
      <w:r>
        <w:rPr>
          <w:spacing w:val="-5"/>
        </w:rPr>
        <w:t xml:space="preserve"> </w:t>
      </w:r>
      <w:r>
        <w:t>and</w:t>
      </w:r>
      <w:r>
        <w:rPr>
          <w:spacing w:val="-5"/>
        </w:rPr>
        <w:t xml:space="preserve"> </w:t>
      </w:r>
      <w:r>
        <w:t>connections</w:t>
      </w:r>
      <w:r>
        <w:rPr>
          <w:spacing w:val="-5"/>
        </w:rPr>
        <w:t xml:space="preserve"> </w:t>
      </w:r>
      <w:r>
        <w:t>as discussed</w:t>
      </w:r>
      <w:r>
        <w:rPr>
          <w:spacing w:val="-11"/>
        </w:rPr>
        <w:t xml:space="preserve"> </w:t>
      </w:r>
      <w:r>
        <w:t>below.</w:t>
      </w:r>
    </w:p>
    <w:p w:rsidR="002C1123" w:rsidRDefault="00F22F94">
      <w:pPr>
        <w:pStyle w:val="BodyText"/>
        <w:spacing w:before="106" w:line="249" w:lineRule="auto"/>
        <w:ind w:left="492" w:right="718"/>
      </w:pPr>
      <w:r>
        <w:br w:type="column"/>
      </w:r>
      <w:r>
        <w:rPr>
          <w:w w:val="95"/>
        </w:rPr>
        <w:t>Infrastructure</w:t>
      </w:r>
      <w:r>
        <w:rPr>
          <w:spacing w:val="-1"/>
          <w:w w:val="95"/>
        </w:rPr>
        <w:t xml:space="preserve"> </w:t>
      </w:r>
      <w:r>
        <w:rPr>
          <w:w w:val="95"/>
        </w:rPr>
        <w:t>NSW’s</w:t>
      </w:r>
      <w:r>
        <w:rPr>
          <w:spacing w:val="-1"/>
          <w:w w:val="95"/>
        </w:rPr>
        <w:t xml:space="preserve"> </w:t>
      </w:r>
      <w:r>
        <w:rPr>
          <w:w w:val="95"/>
        </w:rPr>
        <w:t>expectation</w:t>
      </w:r>
      <w:r>
        <w:rPr>
          <w:spacing w:val="-1"/>
          <w:w w:val="95"/>
        </w:rPr>
        <w:t xml:space="preserve"> </w:t>
      </w:r>
      <w:r>
        <w:rPr>
          <w:w w:val="95"/>
        </w:rPr>
        <w:t>is</w:t>
      </w:r>
      <w:r>
        <w:rPr>
          <w:spacing w:val="-1"/>
          <w:w w:val="95"/>
        </w:rPr>
        <w:t xml:space="preserve"> </w:t>
      </w:r>
      <w:r>
        <w:rPr>
          <w:w w:val="95"/>
        </w:rPr>
        <w:t>that</w:t>
      </w:r>
      <w:r>
        <w:rPr>
          <w:spacing w:val="-1"/>
          <w:w w:val="95"/>
        </w:rPr>
        <w:t xml:space="preserve"> </w:t>
      </w:r>
      <w:r>
        <w:rPr>
          <w:w w:val="95"/>
        </w:rPr>
        <w:t>the</w:t>
      </w:r>
      <w:r>
        <w:rPr>
          <w:spacing w:val="-1"/>
          <w:w w:val="95"/>
        </w:rPr>
        <w:t xml:space="preserve"> </w:t>
      </w:r>
      <w:r>
        <w:rPr>
          <w:w w:val="95"/>
        </w:rPr>
        <w:t>employment centres</w:t>
      </w:r>
      <w:r>
        <w:rPr>
          <w:spacing w:val="-7"/>
          <w:w w:val="95"/>
        </w:rPr>
        <w:t xml:space="preserve"> </w:t>
      </w:r>
      <w:r>
        <w:rPr>
          <w:w w:val="95"/>
        </w:rPr>
        <w:t>of</w:t>
      </w:r>
      <w:r>
        <w:rPr>
          <w:spacing w:val="-7"/>
          <w:w w:val="95"/>
        </w:rPr>
        <w:t xml:space="preserve"> </w:t>
      </w:r>
      <w:r>
        <w:rPr>
          <w:w w:val="95"/>
        </w:rPr>
        <w:t>Global</w:t>
      </w:r>
      <w:r>
        <w:rPr>
          <w:spacing w:val="-7"/>
          <w:w w:val="95"/>
        </w:rPr>
        <w:t xml:space="preserve"> </w:t>
      </w:r>
      <w:r>
        <w:rPr>
          <w:w w:val="95"/>
        </w:rPr>
        <w:t>Sydney</w:t>
      </w:r>
      <w:r>
        <w:rPr>
          <w:spacing w:val="-7"/>
          <w:w w:val="95"/>
        </w:rPr>
        <w:t xml:space="preserve"> </w:t>
      </w:r>
      <w:r>
        <w:rPr>
          <w:w w:val="95"/>
        </w:rPr>
        <w:t>will</w:t>
      </w:r>
      <w:r>
        <w:rPr>
          <w:spacing w:val="-7"/>
          <w:w w:val="95"/>
        </w:rPr>
        <w:t xml:space="preserve"> </w:t>
      </w:r>
      <w:r>
        <w:rPr>
          <w:w w:val="95"/>
        </w:rPr>
        <w:t>remain</w:t>
      </w:r>
      <w:r>
        <w:rPr>
          <w:spacing w:val="-7"/>
          <w:w w:val="95"/>
        </w:rPr>
        <w:t xml:space="preserve"> </w:t>
      </w:r>
      <w:r>
        <w:rPr>
          <w:w w:val="95"/>
        </w:rPr>
        <w:t>the</w:t>
      </w:r>
      <w:r>
        <w:rPr>
          <w:spacing w:val="-7"/>
          <w:w w:val="95"/>
        </w:rPr>
        <w:t xml:space="preserve"> </w:t>
      </w:r>
      <w:r>
        <w:rPr>
          <w:w w:val="95"/>
        </w:rPr>
        <w:t>State’s</w:t>
      </w:r>
      <w:r>
        <w:rPr>
          <w:spacing w:val="-7"/>
          <w:w w:val="95"/>
        </w:rPr>
        <w:t xml:space="preserve"> </w:t>
      </w:r>
      <w:r>
        <w:rPr>
          <w:w w:val="95"/>
        </w:rPr>
        <w:t xml:space="preserve">principal </w:t>
      </w:r>
      <w:r>
        <w:t>centre</w:t>
      </w:r>
      <w:r>
        <w:rPr>
          <w:spacing w:val="-9"/>
        </w:rPr>
        <w:t xml:space="preserve"> </w:t>
      </w:r>
      <w:r>
        <w:t>of</w:t>
      </w:r>
      <w:r>
        <w:rPr>
          <w:spacing w:val="-9"/>
        </w:rPr>
        <w:t xml:space="preserve"> </w:t>
      </w:r>
      <w:r>
        <w:t>economic</w:t>
      </w:r>
      <w:r>
        <w:rPr>
          <w:spacing w:val="-9"/>
        </w:rPr>
        <w:t xml:space="preserve"> </w:t>
      </w:r>
      <w:r>
        <w:t>agglomeration</w:t>
      </w:r>
      <w:r>
        <w:rPr>
          <w:spacing w:val="-9"/>
        </w:rPr>
        <w:t xml:space="preserve"> </w:t>
      </w:r>
      <w:r>
        <w:t>over</w:t>
      </w:r>
      <w:r>
        <w:rPr>
          <w:spacing w:val="-9"/>
        </w:rPr>
        <w:t xml:space="preserve"> </w:t>
      </w:r>
      <w:r>
        <w:t>the</w:t>
      </w:r>
      <w:r>
        <w:rPr>
          <w:spacing w:val="-9"/>
        </w:rPr>
        <w:t xml:space="preserve"> </w:t>
      </w:r>
      <w:r>
        <w:t>next</w:t>
      </w:r>
      <w:r>
        <w:rPr>
          <w:spacing w:val="-9"/>
        </w:rPr>
        <w:t xml:space="preserve"> </w:t>
      </w:r>
      <w:r>
        <w:t xml:space="preserve">20 </w:t>
      </w:r>
      <w:r>
        <w:rPr>
          <w:spacing w:val="-2"/>
        </w:rPr>
        <w:t>years.</w:t>
      </w:r>
      <w:r>
        <w:rPr>
          <w:spacing w:val="-6"/>
        </w:rPr>
        <w:t xml:space="preserve"> </w:t>
      </w:r>
      <w:r>
        <w:rPr>
          <w:spacing w:val="-2"/>
        </w:rPr>
        <w:t>The</w:t>
      </w:r>
      <w:r>
        <w:rPr>
          <w:spacing w:val="-6"/>
        </w:rPr>
        <w:t xml:space="preserve"> </w:t>
      </w:r>
      <w:r>
        <w:rPr>
          <w:spacing w:val="-2"/>
        </w:rPr>
        <w:t>analysis</w:t>
      </w:r>
      <w:r>
        <w:rPr>
          <w:spacing w:val="-6"/>
        </w:rPr>
        <w:t xml:space="preserve"> </w:t>
      </w:r>
      <w:r>
        <w:rPr>
          <w:spacing w:val="-2"/>
        </w:rPr>
        <w:t>prepared</w:t>
      </w:r>
      <w:r>
        <w:rPr>
          <w:spacing w:val="-6"/>
        </w:rPr>
        <w:t xml:space="preserve"> </w:t>
      </w:r>
      <w:r>
        <w:rPr>
          <w:spacing w:val="-2"/>
        </w:rPr>
        <w:t>for</w:t>
      </w:r>
      <w:r>
        <w:rPr>
          <w:spacing w:val="-6"/>
        </w:rPr>
        <w:t xml:space="preserve"> </w:t>
      </w:r>
      <w:r>
        <w:rPr>
          <w:spacing w:val="-2"/>
        </w:rPr>
        <w:t>Infrastructure</w:t>
      </w:r>
      <w:r>
        <w:rPr>
          <w:spacing w:val="-6"/>
        </w:rPr>
        <w:t xml:space="preserve"> </w:t>
      </w:r>
      <w:r>
        <w:rPr>
          <w:spacing w:val="-2"/>
        </w:rPr>
        <w:t>NSW</w:t>
      </w:r>
    </w:p>
    <w:p w:rsidR="002C1123" w:rsidRDefault="002060EF">
      <w:pPr>
        <w:pStyle w:val="BodyText"/>
        <w:spacing w:before="3" w:line="249" w:lineRule="auto"/>
        <w:ind w:left="492" w:right="718"/>
      </w:pPr>
      <w:r>
        <w:pict>
          <v:shape id="docshape678" o:spid="_x0000_s4649" type="#_x0000_t202" style="position:absolute;left:0;text-align:left;margin-left:49.6pt;margin-top:42.25pt;width:491.35pt;height:267.45pt;z-index:251275264;mso-position-horizontal-relative:page" fillcolor="#e1e0e1" stroked="f">
            <v:textbox inset="0,0,0,0">
              <w:txbxContent>
                <w:p w:rsidR="00F22F94" w:rsidRDefault="00F22F94">
                  <w:pPr>
                    <w:spacing w:before="107"/>
                    <w:ind w:left="170"/>
                    <w:rPr>
                      <w:b/>
                      <w:color w:val="000000"/>
                      <w:sz w:val="28"/>
                    </w:rPr>
                  </w:pPr>
                  <w:r>
                    <w:rPr>
                      <w:b/>
                      <w:color w:val="EC008C"/>
                      <w:w w:val="95"/>
                      <w:sz w:val="28"/>
                    </w:rPr>
                    <w:t>Economies</w:t>
                  </w:r>
                  <w:r>
                    <w:rPr>
                      <w:b/>
                      <w:color w:val="EC008C"/>
                      <w:spacing w:val="-9"/>
                      <w:w w:val="95"/>
                      <w:sz w:val="28"/>
                    </w:rPr>
                    <w:t xml:space="preserve"> </w:t>
                  </w:r>
                  <w:r>
                    <w:rPr>
                      <w:b/>
                      <w:color w:val="EC008C"/>
                      <w:w w:val="95"/>
                      <w:sz w:val="28"/>
                    </w:rPr>
                    <w:t>of</w:t>
                  </w:r>
                  <w:r>
                    <w:rPr>
                      <w:b/>
                      <w:color w:val="EC008C"/>
                      <w:spacing w:val="-9"/>
                      <w:w w:val="95"/>
                      <w:sz w:val="28"/>
                    </w:rPr>
                    <w:t xml:space="preserve"> </w:t>
                  </w:r>
                  <w:r>
                    <w:rPr>
                      <w:b/>
                      <w:color w:val="EC008C"/>
                      <w:w w:val="95"/>
                      <w:sz w:val="28"/>
                    </w:rPr>
                    <w:t>agglomeration:</w:t>
                  </w:r>
                  <w:r>
                    <w:rPr>
                      <w:b/>
                      <w:color w:val="EC008C"/>
                      <w:spacing w:val="-10"/>
                      <w:w w:val="95"/>
                      <w:sz w:val="28"/>
                    </w:rPr>
                    <w:t xml:space="preserve"> </w:t>
                  </w:r>
                  <w:r>
                    <w:rPr>
                      <w:b/>
                      <w:color w:val="EC008C"/>
                      <w:w w:val="95"/>
                      <w:sz w:val="28"/>
                    </w:rPr>
                    <w:t>why</w:t>
                  </w:r>
                  <w:r>
                    <w:rPr>
                      <w:b/>
                      <w:color w:val="EC008C"/>
                      <w:spacing w:val="-9"/>
                      <w:w w:val="95"/>
                      <w:sz w:val="28"/>
                    </w:rPr>
                    <w:t xml:space="preserve"> </w:t>
                  </w:r>
                  <w:r>
                    <w:rPr>
                      <w:b/>
                      <w:color w:val="EC008C"/>
                      <w:w w:val="95"/>
                      <w:sz w:val="28"/>
                    </w:rPr>
                    <w:t>do</w:t>
                  </w:r>
                  <w:r>
                    <w:rPr>
                      <w:b/>
                      <w:color w:val="EC008C"/>
                      <w:spacing w:val="-9"/>
                      <w:w w:val="95"/>
                      <w:sz w:val="28"/>
                    </w:rPr>
                    <w:t xml:space="preserve"> </w:t>
                  </w:r>
                  <w:r>
                    <w:rPr>
                      <w:b/>
                      <w:color w:val="EC008C"/>
                      <w:w w:val="95"/>
                      <w:sz w:val="28"/>
                    </w:rPr>
                    <w:t>some</w:t>
                  </w:r>
                  <w:r>
                    <w:rPr>
                      <w:b/>
                      <w:color w:val="EC008C"/>
                      <w:spacing w:val="-9"/>
                      <w:w w:val="95"/>
                      <w:sz w:val="28"/>
                    </w:rPr>
                    <w:t xml:space="preserve"> </w:t>
                  </w:r>
                  <w:r>
                    <w:rPr>
                      <w:b/>
                      <w:color w:val="EC008C"/>
                      <w:w w:val="95"/>
                      <w:sz w:val="28"/>
                    </w:rPr>
                    <w:t>places</w:t>
                  </w:r>
                  <w:r>
                    <w:rPr>
                      <w:b/>
                      <w:color w:val="EC008C"/>
                      <w:spacing w:val="-9"/>
                      <w:w w:val="95"/>
                      <w:sz w:val="28"/>
                    </w:rPr>
                    <w:t xml:space="preserve"> </w:t>
                  </w:r>
                  <w:r>
                    <w:rPr>
                      <w:b/>
                      <w:color w:val="EC008C"/>
                      <w:w w:val="95"/>
                      <w:sz w:val="28"/>
                    </w:rPr>
                    <w:t>succeed</w:t>
                  </w:r>
                  <w:r>
                    <w:rPr>
                      <w:b/>
                      <w:color w:val="EC008C"/>
                      <w:spacing w:val="-9"/>
                      <w:w w:val="95"/>
                      <w:sz w:val="28"/>
                    </w:rPr>
                    <w:t xml:space="preserve"> </w:t>
                  </w:r>
                  <w:r>
                    <w:rPr>
                      <w:b/>
                      <w:color w:val="EC008C"/>
                      <w:w w:val="95"/>
                      <w:sz w:val="28"/>
                    </w:rPr>
                    <w:t>over</w:t>
                  </w:r>
                  <w:r>
                    <w:rPr>
                      <w:b/>
                      <w:color w:val="EC008C"/>
                      <w:spacing w:val="-9"/>
                      <w:w w:val="95"/>
                      <w:sz w:val="28"/>
                    </w:rPr>
                    <w:t xml:space="preserve"> </w:t>
                  </w:r>
                  <w:r>
                    <w:rPr>
                      <w:b/>
                      <w:color w:val="EC008C"/>
                      <w:spacing w:val="-2"/>
                      <w:w w:val="95"/>
                      <w:sz w:val="28"/>
                    </w:rPr>
                    <w:t>others?</w:t>
                  </w:r>
                </w:p>
                <w:p w:rsidR="00F22F94" w:rsidRDefault="00F22F94">
                  <w:pPr>
                    <w:pStyle w:val="BodyText"/>
                    <w:tabs>
                      <w:tab w:val="left" w:pos="5033"/>
                    </w:tabs>
                    <w:spacing w:before="135" w:line="249" w:lineRule="auto"/>
                    <w:ind w:left="170" w:right="357"/>
                    <w:rPr>
                      <w:color w:val="000000"/>
                    </w:rPr>
                  </w:pPr>
                  <w:r>
                    <w:rPr>
                      <w:color w:val="000000"/>
                    </w:rPr>
                    <w:t>Why do people and jobs cluster in particular areas</w:t>
                  </w:r>
                  <w:r>
                    <w:rPr>
                      <w:color w:val="000000"/>
                    </w:rPr>
                    <w:tab/>
                  </w:r>
                  <w:r>
                    <w:rPr>
                      <w:color w:val="000000"/>
                      <w:w w:val="95"/>
                    </w:rPr>
                    <w:t>Agglomeration</w:t>
                  </w:r>
                  <w:r>
                    <w:rPr>
                      <w:color w:val="000000"/>
                      <w:spacing w:val="-1"/>
                      <w:w w:val="95"/>
                    </w:rPr>
                    <w:t xml:space="preserve"> </w:t>
                  </w:r>
                  <w:r>
                    <w:rPr>
                      <w:color w:val="000000"/>
                      <w:w w:val="95"/>
                    </w:rPr>
                    <w:t>effects</w:t>
                  </w:r>
                  <w:r>
                    <w:rPr>
                      <w:color w:val="000000"/>
                      <w:spacing w:val="-1"/>
                      <w:w w:val="95"/>
                    </w:rPr>
                    <w:t xml:space="preserve"> </w:t>
                  </w:r>
                  <w:r>
                    <w:rPr>
                      <w:color w:val="000000"/>
                      <w:w w:val="95"/>
                    </w:rPr>
                    <w:t>are</w:t>
                  </w:r>
                  <w:r>
                    <w:rPr>
                      <w:color w:val="000000"/>
                      <w:spacing w:val="-1"/>
                      <w:w w:val="95"/>
                    </w:rPr>
                    <w:t xml:space="preserve"> </w:t>
                  </w:r>
                  <w:r>
                    <w:rPr>
                      <w:color w:val="000000"/>
                      <w:w w:val="95"/>
                    </w:rPr>
                    <w:t>true</w:t>
                  </w:r>
                  <w:r>
                    <w:rPr>
                      <w:color w:val="000000"/>
                      <w:spacing w:val="-1"/>
                      <w:w w:val="95"/>
                    </w:rPr>
                    <w:t xml:space="preserve"> </w:t>
                  </w:r>
                  <w:r>
                    <w:rPr>
                      <w:color w:val="000000"/>
                      <w:w w:val="95"/>
                    </w:rPr>
                    <w:t>at</w:t>
                  </w:r>
                  <w:r>
                    <w:rPr>
                      <w:color w:val="000000"/>
                      <w:spacing w:val="-1"/>
                      <w:w w:val="95"/>
                    </w:rPr>
                    <w:t xml:space="preserve"> </w:t>
                  </w:r>
                  <w:r>
                    <w:rPr>
                      <w:color w:val="000000"/>
                      <w:w w:val="95"/>
                    </w:rPr>
                    <w:t>the</w:t>
                  </w:r>
                  <w:r>
                    <w:rPr>
                      <w:color w:val="000000"/>
                      <w:spacing w:val="-1"/>
                      <w:w w:val="95"/>
                    </w:rPr>
                    <w:t xml:space="preserve"> </w:t>
                  </w:r>
                  <w:r>
                    <w:rPr>
                      <w:color w:val="000000"/>
                      <w:w w:val="95"/>
                    </w:rPr>
                    <w:t>local</w:t>
                  </w:r>
                  <w:r>
                    <w:rPr>
                      <w:color w:val="000000"/>
                      <w:spacing w:val="-1"/>
                      <w:w w:val="95"/>
                    </w:rPr>
                    <w:t xml:space="preserve"> </w:t>
                  </w:r>
                  <w:r>
                    <w:rPr>
                      <w:color w:val="000000"/>
                      <w:w w:val="95"/>
                    </w:rPr>
                    <w:t>as</w:t>
                  </w:r>
                  <w:r>
                    <w:rPr>
                      <w:color w:val="000000"/>
                      <w:spacing w:val="-1"/>
                      <w:w w:val="95"/>
                    </w:rPr>
                    <w:t xml:space="preserve"> </w:t>
                  </w:r>
                  <w:r>
                    <w:rPr>
                      <w:color w:val="000000"/>
                      <w:w w:val="95"/>
                    </w:rPr>
                    <w:t>well</w:t>
                  </w:r>
                  <w:r>
                    <w:rPr>
                      <w:color w:val="000000"/>
                      <w:spacing w:val="-1"/>
                      <w:w w:val="95"/>
                    </w:rPr>
                    <w:t xml:space="preserve"> </w:t>
                  </w:r>
                  <w:r>
                    <w:rPr>
                      <w:color w:val="000000"/>
                      <w:w w:val="95"/>
                    </w:rPr>
                    <w:t>as within</w:t>
                  </w:r>
                  <w:r>
                    <w:rPr>
                      <w:color w:val="000000"/>
                      <w:spacing w:val="-9"/>
                      <w:w w:val="95"/>
                    </w:rPr>
                    <w:t xml:space="preserve"> </w:t>
                  </w:r>
                  <w:r>
                    <w:rPr>
                      <w:color w:val="000000"/>
                      <w:w w:val="95"/>
                    </w:rPr>
                    <w:t>a</w:t>
                  </w:r>
                  <w:r>
                    <w:rPr>
                      <w:color w:val="000000"/>
                      <w:spacing w:val="-8"/>
                      <w:w w:val="95"/>
                    </w:rPr>
                    <w:t xml:space="preserve"> </w:t>
                  </w:r>
                  <w:r>
                    <w:rPr>
                      <w:color w:val="000000"/>
                      <w:w w:val="95"/>
                    </w:rPr>
                    <w:t>city</w:t>
                  </w:r>
                  <w:r>
                    <w:rPr>
                      <w:color w:val="000000"/>
                      <w:spacing w:val="-9"/>
                      <w:w w:val="95"/>
                    </w:rPr>
                    <w:t xml:space="preserve"> </w:t>
                  </w:r>
                  <w:r>
                    <w:rPr>
                      <w:color w:val="000000"/>
                      <w:w w:val="95"/>
                    </w:rPr>
                    <w:t>rather</w:t>
                  </w:r>
                  <w:r>
                    <w:rPr>
                      <w:color w:val="000000"/>
                      <w:spacing w:val="-8"/>
                      <w:w w:val="95"/>
                    </w:rPr>
                    <w:t xml:space="preserve"> </w:t>
                  </w:r>
                  <w:r>
                    <w:rPr>
                      <w:color w:val="000000"/>
                      <w:w w:val="95"/>
                    </w:rPr>
                    <w:t>than</w:t>
                  </w:r>
                  <w:r>
                    <w:rPr>
                      <w:color w:val="000000"/>
                      <w:spacing w:val="-9"/>
                      <w:w w:val="95"/>
                    </w:rPr>
                    <w:t xml:space="preserve"> </w:t>
                  </w:r>
                  <w:r>
                    <w:rPr>
                      <w:color w:val="000000"/>
                      <w:w w:val="95"/>
                    </w:rPr>
                    <w:t>being</w:t>
                  </w:r>
                  <w:r>
                    <w:rPr>
                      <w:color w:val="000000"/>
                      <w:spacing w:val="-8"/>
                      <w:w w:val="95"/>
                    </w:rPr>
                    <w:t xml:space="preserve"> </w:t>
                  </w:r>
                  <w:r>
                    <w:rPr>
                      <w:color w:val="000000"/>
                      <w:w w:val="95"/>
                    </w:rPr>
                    <w:t>more</w:t>
                  </w:r>
                  <w:r>
                    <w:rPr>
                      <w:color w:val="000000"/>
                      <w:spacing w:val="-9"/>
                      <w:w w:val="95"/>
                    </w:rPr>
                    <w:t xml:space="preserve"> </w:t>
                  </w:r>
                  <w:r>
                    <w:rPr>
                      <w:color w:val="000000"/>
                      <w:w w:val="95"/>
                    </w:rPr>
                    <w:t>evenly</w:t>
                  </w:r>
                  <w:r>
                    <w:rPr>
                      <w:color w:val="000000"/>
                      <w:spacing w:val="-8"/>
                      <w:w w:val="95"/>
                    </w:rPr>
                    <w:t xml:space="preserve"> </w:t>
                  </w:r>
                  <w:r>
                    <w:rPr>
                      <w:color w:val="000000"/>
                      <w:spacing w:val="-2"/>
                      <w:w w:val="95"/>
                    </w:rPr>
                    <w:t>dispersed?</w:t>
                  </w:r>
                  <w:r>
                    <w:rPr>
                      <w:color w:val="000000"/>
                    </w:rPr>
                    <w:tab/>
                  </w:r>
                  <w:r>
                    <w:rPr>
                      <w:color w:val="000000"/>
                      <w:w w:val="95"/>
                    </w:rPr>
                    <w:t>the</w:t>
                  </w:r>
                  <w:r>
                    <w:rPr>
                      <w:color w:val="000000"/>
                      <w:spacing w:val="-8"/>
                      <w:w w:val="95"/>
                    </w:rPr>
                    <w:t xml:space="preserve"> </w:t>
                  </w:r>
                  <w:r>
                    <w:rPr>
                      <w:color w:val="000000"/>
                      <w:w w:val="95"/>
                    </w:rPr>
                    <w:t>metropolitan</w:t>
                  </w:r>
                  <w:r>
                    <w:rPr>
                      <w:color w:val="000000"/>
                      <w:spacing w:val="-8"/>
                      <w:w w:val="95"/>
                    </w:rPr>
                    <w:t xml:space="preserve"> </w:t>
                  </w:r>
                  <w:r>
                    <w:rPr>
                      <w:color w:val="000000"/>
                      <w:w w:val="95"/>
                    </w:rPr>
                    <w:t>level.</w:t>
                  </w:r>
                  <w:r>
                    <w:rPr>
                      <w:color w:val="000000"/>
                      <w:spacing w:val="-7"/>
                      <w:w w:val="95"/>
                    </w:rPr>
                    <w:t xml:space="preserve"> </w:t>
                  </w:r>
                  <w:r>
                    <w:rPr>
                      <w:color w:val="000000"/>
                      <w:w w:val="95"/>
                    </w:rPr>
                    <w:t>This</w:t>
                  </w:r>
                  <w:r>
                    <w:rPr>
                      <w:color w:val="000000"/>
                      <w:spacing w:val="-8"/>
                      <w:w w:val="95"/>
                    </w:rPr>
                    <w:t xml:space="preserve"> </w:t>
                  </w:r>
                  <w:r>
                    <w:rPr>
                      <w:color w:val="000000"/>
                      <w:w w:val="95"/>
                    </w:rPr>
                    <w:t>is</w:t>
                  </w:r>
                  <w:r>
                    <w:rPr>
                      <w:color w:val="000000"/>
                      <w:spacing w:val="-7"/>
                      <w:w w:val="95"/>
                    </w:rPr>
                    <w:t xml:space="preserve"> </w:t>
                  </w:r>
                  <w:r>
                    <w:rPr>
                      <w:color w:val="000000"/>
                      <w:w w:val="95"/>
                    </w:rPr>
                    <w:t>why</w:t>
                  </w:r>
                  <w:r>
                    <w:rPr>
                      <w:color w:val="000000"/>
                      <w:spacing w:val="-8"/>
                      <w:w w:val="95"/>
                    </w:rPr>
                    <w:t xml:space="preserve"> </w:t>
                  </w:r>
                  <w:r>
                    <w:rPr>
                      <w:color w:val="000000"/>
                      <w:w w:val="95"/>
                    </w:rPr>
                    <w:t>certain</w:t>
                  </w:r>
                  <w:r>
                    <w:rPr>
                      <w:color w:val="000000"/>
                      <w:spacing w:val="-7"/>
                      <w:w w:val="95"/>
                    </w:rPr>
                    <w:t xml:space="preserve"> </w:t>
                  </w:r>
                  <w:r>
                    <w:rPr>
                      <w:color w:val="000000"/>
                      <w:w w:val="95"/>
                    </w:rPr>
                    <w:t>sectors</w:t>
                  </w:r>
                  <w:r>
                    <w:rPr>
                      <w:color w:val="000000"/>
                      <w:spacing w:val="-8"/>
                      <w:w w:val="95"/>
                    </w:rPr>
                    <w:t xml:space="preserve"> </w:t>
                  </w:r>
                  <w:r>
                    <w:rPr>
                      <w:color w:val="000000"/>
                      <w:spacing w:val="-4"/>
                      <w:w w:val="95"/>
                    </w:rPr>
                    <w:t>(for</w:t>
                  </w:r>
                </w:p>
                <w:p w:rsidR="00F22F94" w:rsidRDefault="00F22F94">
                  <w:pPr>
                    <w:pStyle w:val="BodyText"/>
                    <w:tabs>
                      <w:tab w:val="left" w:pos="5033"/>
                    </w:tabs>
                    <w:spacing w:before="15" w:line="170" w:lineRule="auto"/>
                    <w:ind w:left="170" w:right="228"/>
                    <w:rPr>
                      <w:color w:val="000000"/>
                    </w:rPr>
                  </w:pPr>
                  <w:r>
                    <w:rPr>
                      <w:color w:val="000000"/>
                      <w:position w:val="-13"/>
                    </w:rPr>
                    <w:t>Cities form because they enable collaboration. Close</w:t>
                  </w:r>
                  <w:r>
                    <w:rPr>
                      <w:color w:val="000000"/>
                      <w:position w:val="-13"/>
                    </w:rPr>
                    <w:tab/>
                  </w:r>
                  <w:r>
                    <w:rPr>
                      <w:color w:val="000000"/>
                      <w:w w:val="95"/>
                    </w:rPr>
                    <w:t xml:space="preserve">example financial services in the CBD) cluster closely </w:t>
                  </w:r>
                  <w:r>
                    <w:rPr>
                      <w:color w:val="000000"/>
                      <w:position w:val="-13"/>
                    </w:rPr>
                    <w:t>proximity lowers the cost of exchanging goods and</w:t>
                  </w:r>
                  <w:r>
                    <w:rPr>
                      <w:color w:val="000000"/>
                      <w:position w:val="-13"/>
                    </w:rPr>
                    <w:tab/>
                  </w:r>
                  <w:r>
                    <w:rPr>
                      <w:color w:val="000000"/>
                      <w:w w:val="95"/>
                    </w:rPr>
                    <w:t>together,</w:t>
                  </w:r>
                  <w:r>
                    <w:rPr>
                      <w:color w:val="000000"/>
                      <w:spacing w:val="-8"/>
                      <w:w w:val="95"/>
                    </w:rPr>
                    <w:t xml:space="preserve"> </w:t>
                  </w:r>
                  <w:r>
                    <w:rPr>
                      <w:color w:val="000000"/>
                      <w:w w:val="95"/>
                    </w:rPr>
                    <w:t>even</w:t>
                  </w:r>
                  <w:r>
                    <w:rPr>
                      <w:color w:val="000000"/>
                      <w:spacing w:val="-8"/>
                      <w:w w:val="95"/>
                    </w:rPr>
                    <w:t xml:space="preserve"> </w:t>
                  </w:r>
                  <w:r>
                    <w:rPr>
                      <w:color w:val="000000"/>
                      <w:w w:val="95"/>
                    </w:rPr>
                    <w:t>though</w:t>
                  </w:r>
                  <w:r>
                    <w:rPr>
                      <w:color w:val="000000"/>
                      <w:spacing w:val="-8"/>
                      <w:w w:val="95"/>
                    </w:rPr>
                    <w:t xml:space="preserve"> </w:t>
                  </w:r>
                  <w:r>
                    <w:rPr>
                      <w:color w:val="000000"/>
                      <w:w w:val="95"/>
                    </w:rPr>
                    <w:t>this</w:t>
                  </w:r>
                  <w:r>
                    <w:rPr>
                      <w:color w:val="000000"/>
                      <w:spacing w:val="-8"/>
                      <w:w w:val="95"/>
                    </w:rPr>
                    <w:t xml:space="preserve"> </w:t>
                  </w:r>
                  <w:r>
                    <w:rPr>
                      <w:color w:val="000000"/>
                      <w:w w:val="95"/>
                    </w:rPr>
                    <w:t>leads</w:t>
                  </w:r>
                  <w:r>
                    <w:rPr>
                      <w:color w:val="000000"/>
                      <w:spacing w:val="-8"/>
                      <w:w w:val="95"/>
                    </w:rPr>
                    <w:t xml:space="preserve"> </w:t>
                  </w:r>
                  <w:r>
                    <w:rPr>
                      <w:color w:val="000000"/>
                      <w:w w:val="95"/>
                    </w:rPr>
                    <w:t>to</w:t>
                  </w:r>
                  <w:r>
                    <w:rPr>
                      <w:color w:val="000000"/>
                      <w:spacing w:val="-8"/>
                      <w:w w:val="95"/>
                    </w:rPr>
                    <w:t xml:space="preserve"> </w:t>
                  </w:r>
                  <w:r>
                    <w:rPr>
                      <w:color w:val="000000"/>
                      <w:w w:val="95"/>
                    </w:rPr>
                    <w:t>them</w:t>
                  </w:r>
                  <w:r>
                    <w:rPr>
                      <w:color w:val="000000"/>
                      <w:spacing w:val="-8"/>
                      <w:w w:val="95"/>
                    </w:rPr>
                    <w:t xml:space="preserve"> </w:t>
                  </w:r>
                  <w:r>
                    <w:rPr>
                      <w:color w:val="000000"/>
                      <w:w w:val="95"/>
                    </w:rPr>
                    <w:t>paying</w:t>
                  </w:r>
                  <w:r>
                    <w:rPr>
                      <w:color w:val="000000"/>
                      <w:spacing w:val="-8"/>
                      <w:w w:val="95"/>
                    </w:rPr>
                    <w:t xml:space="preserve"> </w:t>
                  </w:r>
                  <w:r>
                    <w:rPr>
                      <w:color w:val="000000"/>
                      <w:w w:val="95"/>
                    </w:rPr>
                    <w:t xml:space="preserve">higher </w:t>
                  </w:r>
                  <w:r>
                    <w:rPr>
                      <w:color w:val="000000"/>
                    </w:rPr>
                    <w:t>ideas. As Edward Glaeser puts it, cities “enable us to</w:t>
                  </w:r>
                  <w:r>
                    <w:rPr>
                      <w:color w:val="000000"/>
                    </w:rPr>
                    <w:tab/>
                  </w:r>
                  <w:r>
                    <w:rPr>
                      <w:color w:val="000000"/>
                      <w:position w:val="14"/>
                    </w:rPr>
                    <w:t>land, labour and transport costs.</w:t>
                  </w:r>
                </w:p>
                <w:p w:rsidR="00F22F94" w:rsidRDefault="00F22F94">
                  <w:pPr>
                    <w:pStyle w:val="BodyText"/>
                    <w:tabs>
                      <w:tab w:val="left" w:pos="5033"/>
                    </w:tabs>
                    <w:spacing w:line="168" w:lineRule="exact"/>
                    <w:ind w:left="170"/>
                    <w:rPr>
                      <w:color w:val="000000"/>
                    </w:rPr>
                  </w:pPr>
                  <w:r>
                    <w:rPr>
                      <w:color w:val="000000"/>
                      <w:w w:val="95"/>
                    </w:rPr>
                    <w:t>work</w:t>
                  </w:r>
                  <w:r>
                    <w:rPr>
                      <w:color w:val="000000"/>
                      <w:spacing w:val="-2"/>
                      <w:w w:val="95"/>
                    </w:rPr>
                    <w:t xml:space="preserve"> </w:t>
                  </w:r>
                  <w:r>
                    <w:rPr>
                      <w:color w:val="000000"/>
                      <w:w w:val="95"/>
                    </w:rPr>
                    <w:t>and</w:t>
                  </w:r>
                  <w:r>
                    <w:rPr>
                      <w:color w:val="000000"/>
                      <w:spacing w:val="-1"/>
                      <w:w w:val="95"/>
                    </w:rPr>
                    <w:t xml:space="preserve"> </w:t>
                  </w:r>
                  <w:r>
                    <w:rPr>
                      <w:color w:val="000000"/>
                      <w:w w:val="95"/>
                    </w:rPr>
                    <w:t>play</w:t>
                  </w:r>
                  <w:r>
                    <w:rPr>
                      <w:color w:val="000000"/>
                      <w:spacing w:val="-2"/>
                      <w:w w:val="95"/>
                    </w:rPr>
                    <w:t xml:space="preserve"> </w:t>
                  </w:r>
                  <w:r>
                    <w:rPr>
                      <w:color w:val="000000"/>
                      <w:w w:val="95"/>
                    </w:rPr>
                    <w:t>together,</w:t>
                  </w:r>
                  <w:r>
                    <w:rPr>
                      <w:color w:val="000000"/>
                      <w:spacing w:val="-1"/>
                      <w:w w:val="95"/>
                    </w:rPr>
                    <w:t xml:space="preserve"> </w:t>
                  </w:r>
                  <w:r>
                    <w:rPr>
                      <w:color w:val="000000"/>
                      <w:w w:val="95"/>
                    </w:rPr>
                    <w:t>and</w:t>
                  </w:r>
                  <w:r>
                    <w:rPr>
                      <w:color w:val="000000"/>
                      <w:spacing w:val="-1"/>
                      <w:w w:val="95"/>
                    </w:rPr>
                    <w:t xml:space="preserve"> </w:t>
                  </w:r>
                  <w:r>
                    <w:rPr>
                      <w:color w:val="000000"/>
                      <w:w w:val="95"/>
                    </w:rPr>
                    <w:t>their</w:t>
                  </w:r>
                  <w:r>
                    <w:rPr>
                      <w:color w:val="000000"/>
                      <w:spacing w:val="-2"/>
                      <w:w w:val="95"/>
                    </w:rPr>
                    <w:t xml:space="preserve"> </w:t>
                  </w:r>
                  <w:r>
                    <w:rPr>
                      <w:color w:val="000000"/>
                      <w:w w:val="95"/>
                    </w:rPr>
                    <w:t>success</w:t>
                  </w:r>
                  <w:r>
                    <w:rPr>
                      <w:color w:val="000000"/>
                      <w:spacing w:val="-1"/>
                      <w:w w:val="95"/>
                    </w:rPr>
                    <w:t xml:space="preserve"> </w:t>
                  </w:r>
                  <w:r>
                    <w:rPr>
                      <w:color w:val="000000"/>
                      <w:w w:val="95"/>
                    </w:rPr>
                    <w:t>depends</w:t>
                  </w:r>
                  <w:r>
                    <w:rPr>
                      <w:color w:val="000000"/>
                      <w:spacing w:val="-1"/>
                      <w:w w:val="95"/>
                    </w:rPr>
                    <w:t xml:space="preserve"> </w:t>
                  </w:r>
                  <w:r>
                    <w:rPr>
                      <w:color w:val="000000"/>
                      <w:spacing w:val="-5"/>
                      <w:w w:val="95"/>
                    </w:rPr>
                    <w:t>on</w:t>
                  </w:r>
                  <w:r>
                    <w:rPr>
                      <w:color w:val="000000"/>
                    </w:rPr>
                    <w:tab/>
                  </w:r>
                  <w:r>
                    <w:rPr>
                      <w:color w:val="000000"/>
                      <w:w w:val="95"/>
                    </w:rPr>
                    <w:t>The</w:t>
                  </w:r>
                  <w:r>
                    <w:rPr>
                      <w:color w:val="000000"/>
                      <w:spacing w:val="-8"/>
                      <w:w w:val="95"/>
                    </w:rPr>
                    <w:t xml:space="preserve"> </w:t>
                  </w:r>
                  <w:r>
                    <w:rPr>
                      <w:color w:val="000000"/>
                      <w:w w:val="95"/>
                    </w:rPr>
                    <w:t>benefits</w:t>
                  </w:r>
                  <w:r>
                    <w:rPr>
                      <w:color w:val="000000"/>
                      <w:spacing w:val="-7"/>
                      <w:w w:val="95"/>
                    </w:rPr>
                    <w:t xml:space="preserve"> </w:t>
                  </w:r>
                  <w:r>
                    <w:rPr>
                      <w:color w:val="000000"/>
                      <w:w w:val="95"/>
                    </w:rPr>
                    <w:t>of</w:t>
                  </w:r>
                  <w:r>
                    <w:rPr>
                      <w:color w:val="000000"/>
                      <w:spacing w:val="-7"/>
                      <w:w w:val="95"/>
                    </w:rPr>
                    <w:t xml:space="preserve"> </w:t>
                  </w:r>
                  <w:r>
                    <w:rPr>
                      <w:color w:val="000000"/>
                      <w:w w:val="95"/>
                    </w:rPr>
                    <w:t>physical</w:t>
                  </w:r>
                  <w:r>
                    <w:rPr>
                      <w:color w:val="000000"/>
                      <w:spacing w:val="-7"/>
                      <w:w w:val="95"/>
                    </w:rPr>
                    <w:t xml:space="preserve"> </w:t>
                  </w:r>
                  <w:r>
                    <w:rPr>
                      <w:color w:val="000000"/>
                      <w:w w:val="95"/>
                    </w:rPr>
                    <w:t>connection</w:t>
                  </w:r>
                  <w:r>
                    <w:rPr>
                      <w:color w:val="000000"/>
                      <w:spacing w:val="-8"/>
                      <w:w w:val="95"/>
                    </w:rPr>
                    <w:t xml:space="preserve"> </w:t>
                  </w:r>
                  <w:r>
                    <w:rPr>
                      <w:color w:val="000000"/>
                      <w:w w:val="95"/>
                    </w:rPr>
                    <w:t>–</w:t>
                  </w:r>
                  <w:r>
                    <w:rPr>
                      <w:color w:val="000000"/>
                      <w:spacing w:val="-7"/>
                      <w:w w:val="95"/>
                    </w:rPr>
                    <w:t xml:space="preserve"> </w:t>
                  </w:r>
                  <w:r>
                    <w:rPr>
                      <w:color w:val="000000"/>
                      <w:w w:val="95"/>
                    </w:rPr>
                    <w:t>the</w:t>
                  </w:r>
                  <w:r>
                    <w:rPr>
                      <w:color w:val="000000"/>
                      <w:spacing w:val="-7"/>
                      <w:w w:val="95"/>
                    </w:rPr>
                    <w:t xml:space="preserve"> </w:t>
                  </w:r>
                  <w:r>
                    <w:rPr>
                      <w:color w:val="000000"/>
                      <w:spacing w:val="-2"/>
                      <w:w w:val="95"/>
                    </w:rPr>
                    <w:t>invaluable</w:t>
                  </w:r>
                </w:p>
                <w:p w:rsidR="00F22F94" w:rsidRDefault="00F22F94">
                  <w:pPr>
                    <w:pStyle w:val="BodyText"/>
                    <w:tabs>
                      <w:tab w:val="left" w:pos="5033"/>
                    </w:tabs>
                    <w:spacing w:before="10"/>
                    <w:ind w:left="170"/>
                    <w:rPr>
                      <w:color w:val="000000"/>
                    </w:rPr>
                  </w:pPr>
                  <w:r>
                    <w:rPr>
                      <w:color w:val="000000"/>
                      <w:w w:val="95"/>
                    </w:rPr>
                    <w:t>the</w:t>
                  </w:r>
                  <w:r>
                    <w:rPr>
                      <w:color w:val="000000"/>
                      <w:spacing w:val="-4"/>
                      <w:w w:val="95"/>
                    </w:rPr>
                    <w:t xml:space="preserve"> </w:t>
                  </w:r>
                  <w:r>
                    <w:rPr>
                      <w:color w:val="000000"/>
                      <w:w w:val="95"/>
                    </w:rPr>
                    <w:t>demand</w:t>
                  </w:r>
                  <w:r>
                    <w:rPr>
                      <w:color w:val="000000"/>
                      <w:spacing w:val="-3"/>
                      <w:w w:val="95"/>
                    </w:rPr>
                    <w:t xml:space="preserve"> </w:t>
                  </w:r>
                  <w:r>
                    <w:rPr>
                      <w:color w:val="000000"/>
                      <w:w w:val="95"/>
                    </w:rPr>
                    <w:t>for</w:t>
                  </w:r>
                  <w:r>
                    <w:rPr>
                      <w:color w:val="000000"/>
                      <w:spacing w:val="-3"/>
                      <w:w w:val="95"/>
                    </w:rPr>
                    <w:t xml:space="preserve"> </w:t>
                  </w:r>
                  <w:r>
                    <w:rPr>
                      <w:color w:val="000000"/>
                      <w:w w:val="95"/>
                    </w:rPr>
                    <w:t>physical</w:t>
                  </w:r>
                  <w:r>
                    <w:rPr>
                      <w:color w:val="000000"/>
                      <w:spacing w:val="-3"/>
                      <w:w w:val="95"/>
                    </w:rPr>
                    <w:t xml:space="preserve"> </w:t>
                  </w:r>
                  <w:r>
                    <w:rPr>
                      <w:color w:val="000000"/>
                      <w:spacing w:val="-2"/>
                      <w:w w:val="95"/>
                    </w:rPr>
                    <w:t>connection”</w:t>
                  </w:r>
                  <w:r>
                    <w:rPr>
                      <w:color w:val="000000"/>
                      <w:spacing w:val="-2"/>
                      <w:w w:val="95"/>
                      <w:position w:val="7"/>
                      <w:sz w:val="11"/>
                    </w:rPr>
                    <w:t>18</w:t>
                  </w:r>
                  <w:r>
                    <w:rPr>
                      <w:color w:val="000000"/>
                      <w:spacing w:val="-2"/>
                      <w:w w:val="95"/>
                    </w:rPr>
                    <w:t>.</w:t>
                  </w:r>
                  <w:r>
                    <w:rPr>
                      <w:color w:val="000000"/>
                    </w:rPr>
                    <w:tab/>
                  </w:r>
                  <w:r>
                    <w:rPr>
                      <w:color w:val="000000"/>
                      <w:w w:val="95"/>
                    </w:rPr>
                    <w:t>face-to-face</w:t>
                  </w:r>
                  <w:r>
                    <w:rPr>
                      <w:color w:val="000000"/>
                      <w:spacing w:val="1"/>
                    </w:rPr>
                    <w:t xml:space="preserve"> </w:t>
                  </w:r>
                  <w:r>
                    <w:rPr>
                      <w:color w:val="000000"/>
                      <w:w w:val="95"/>
                    </w:rPr>
                    <w:t>meetings</w:t>
                  </w:r>
                  <w:r>
                    <w:rPr>
                      <w:color w:val="000000"/>
                      <w:spacing w:val="1"/>
                    </w:rPr>
                    <w:t xml:space="preserve"> </w:t>
                  </w:r>
                  <w:r>
                    <w:rPr>
                      <w:color w:val="000000"/>
                      <w:w w:val="95"/>
                    </w:rPr>
                    <w:t>and</w:t>
                  </w:r>
                  <w:r>
                    <w:rPr>
                      <w:color w:val="000000"/>
                      <w:spacing w:val="1"/>
                    </w:rPr>
                    <w:t xml:space="preserve"> </w:t>
                  </w:r>
                  <w:r>
                    <w:rPr>
                      <w:color w:val="000000"/>
                      <w:w w:val="95"/>
                    </w:rPr>
                    <w:t>chance</w:t>
                  </w:r>
                  <w:r>
                    <w:rPr>
                      <w:color w:val="000000"/>
                      <w:spacing w:val="1"/>
                    </w:rPr>
                    <w:t xml:space="preserve"> </w:t>
                  </w:r>
                  <w:r>
                    <w:rPr>
                      <w:color w:val="000000"/>
                      <w:w w:val="95"/>
                    </w:rPr>
                    <w:t>encounters</w:t>
                  </w:r>
                  <w:r>
                    <w:rPr>
                      <w:color w:val="000000"/>
                      <w:spacing w:val="1"/>
                    </w:rPr>
                    <w:t xml:space="preserve"> </w:t>
                  </w:r>
                  <w:r>
                    <w:rPr>
                      <w:color w:val="000000"/>
                      <w:spacing w:val="-2"/>
                      <w:w w:val="95"/>
                    </w:rPr>
                    <w:t>close</w:t>
                  </w:r>
                </w:p>
                <w:p w:rsidR="00F22F94" w:rsidRDefault="00F22F94">
                  <w:pPr>
                    <w:pStyle w:val="BodyText"/>
                    <w:tabs>
                      <w:tab w:val="left" w:pos="5033"/>
                    </w:tabs>
                    <w:spacing w:before="22" w:line="180" w:lineRule="auto"/>
                    <w:ind w:left="170" w:right="356"/>
                    <w:rPr>
                      <w:color w:val="000000"/>
                    </w:rPr>
                  </w:pPr>
                  <w:r>
                    <w:rPr>
                      <w:color w:val="000000"/>
                      <w:position w:val="-13"/>
                    </w:rPr>
                    <w:t>Urban scale also spreads fixed costs and so enables</w:t>
                  </w:r>
                  <w:r>
                    <w:rPr>
                      <w:color w:val="000000"/>
                      <w:position w:val="-13"/>
                    </w:rPr>
                    <w:tab/>
                  </w:r>
                  <w:r>
                    <w:rPr>
                      <w:color w:val="000000"/>
                      <w:w w:val="95"/>
                    </w:rPr>
                    <w:t>proximity</w:t>
                  </w:r>
                  <w:r>
                    <w:rPr>
                      <w:color w:val="000000"/>
                      <w:spacing w:val="-9"/>
                      <w:w w:val="95"/>
                    </w:rPr>
                    <w:t xml:space="preserve"> </w:t>
                  </w:r>
                  <w:r>
                    <w:rPr>
                      <w:color w:val="000000"/>
                      <w:w w:val="95"/>
                    </w:rPr>
                    <w:t>enables</w:t>
                  </w:r>
                  <w:r>
                    <w:rPr>
                      <w:color w:val="000000"/>
                      <w:spacing w:val="-9"/>
                      <w:w w:val="95"/>
                    </w:rPr>
                    <w:t xml:space="preserve"> </w:t>
                  </w:r>
                  <w:r>
                    <w:rPr>
                      <w:color w:val="000000"/>
                      <w:w w:val="95"/>
                    </w:rPr>
                    <w:t>–</w:t>
                  </w:r>
                  <w:r>
                    <w:rPr>
                      <w:color w:val="000000"/>
                      <w:spacing w:val="-9"/>
                      <w:w w:val="95"/>
                    </w:rPr>
                    <w:t xml:space="preserve"> </w:t>
                  </w:r>
                  <w:r>
                    <w:rPr>
                      <w:color w:val="000000"/>
                      <w:w w:val="95"/>
                    </w:rPr>
                    <w:t>are</w:t>
                  </w:r>
                  <w:r>
                    <w:rPr>
                      <w:color w:val="000000"/>
                      <w:spacing w:val="-9"/>
                      <w:w w:val="95"/>
                    </w:rPr>
                    <w:t xml:space="preserve"> </w:t>
                  </w:r>
                  <w:r>
                    <w:rPr>
                      <w:color w:val="000000"/>
                      <w:w w:val="95"/>
                    </w:rPr>
                    <w:t>diminished</w:t>
                  </w:r>
                  <w:r>
                    <w:rPr>
                      <w:color w:val="000000"/>
                      <w:spacing w:val="-9"/>
                      <w:w w:val="95"/>
                    </w:rPr>
                    <w:t xml:space="preserve"> </w:t>
                  </w:r>
                  <w:r>
                    <w:rPr>
                      <w:color w:val="000000"/>
                      <w:w w:val="95"/>
                    </w:rPr>
                    <w:t>by</w:t>
                  </w:r>
                  <w:r>
                    <w:rPr>
                      <w:color w:val="000000"/>
                      <w:spacing w:val="-9"/>
                      <w:w w:val="95"/>
                    </w:rPr>
                    <w:t xml:space="preserve"> </w:t>
                  </w:r>
                  <w:r>
                    <w:rPr>
                      <w:color w:val="000000"/>
                      <w:w w:val="95"/>
                    </w:rPr>
                    <w:t>distance,</w:t>
                  </w:r>
                  <w:r>
                    <w:rPr>
                      <w:color w:val="000000"/>
                      <w:spacing w:val="-9"/>
                      <w:w w:val="95"/>
                    </w:rPr>
                    <w:t xml:space="preserve"> </w:t>
                  </w:r>
                  <w:r>
                    <w:rPr>
                      <w:color w:val="000000"/>
                      <w:w w:val="95"/>
                    </w:rPr>
                    <w:t xml:space="preserve">even </w:t>
                  </w:r>
                  <w:r>
                    <w:rPr>
                      <w:color w:val="000000"/>
                    </w:rPr>
                    <w:t>activities that are unviable at lower densities. Cities</w:t>
                  </w:r>
                  <w:r>
                    <w:rPr>
                      <w:color w:val="000000"/>
                    </w:rPr>
                    <w:tab/>
                  </w:r>
                  <w:r>
                    <w:rPr>
                      <w:color w:val="000000"/>
                      <w:position w:val="14"/>
                    </w:rPr>
                    <w:t>within a metropolitan area.</w:t>
                  </w:r>
                </w:p>
                <w:p w:rsidR="00F22F94" w:rsidRDefault="00F22F94">
                  <w:pPr>
                    <w:pStyle w:val="BodyText"/>
                    <w:tabs>
                      <w:tab w:val="left" w:pos="5033"/>
                    </w:tabs>
                    <w:spacing w:line="215" w:lineRule="exact"/>
                    <w:ind w:left="170"/>
                    <w:rPr>
                      <w:color w:val="000000"/>
                    </w:rPr>
                  </w:pPr>
                  <w:r>
                    <w:rPr>
                      <w:color w:val="000000"/>
                      <w:w w:val="95"/>
                    </w:rPr>
                    <w:t>support</w:t>
                  </w:r>
                  <w:r>
                    <w:rPr>
                      <w:color w:val="000000"/>
                      <w:spacing w:val="-3"/>
                      <w:w w:val="95"/>
                    </w:rPr>
                    <w:t xml:space="preserve"> </w:t>
                  </w:r>
                  <w:r>
                    <w:rPr>
                      <w:color w:val="000000"/>
                      <w:w w:val="95"/>
                    </w:rPr>
                    <w:t>greater</w:t>
                  </w:r>
                  <w:r>
                    <w:rPr>
                      <w:color w:val="000000"/>
                      <w:spacing w:val="-3"/>
                      <w:w w:val="95"/>
                    </w:rPr>
                    <w:t xml:space="preserve"> </w:t>
                  </w:r>
                  <w:r>
                    <w:rPr>
                      <w:color w:val="000000"/>
                      <w:w w:val="95"/>
                    </w:rPr>
                    <w:t>labour</w:t>
                  </w:r>
                  <w:r>
                    <w:rPr>
                      <w:color w:val="000000"/>
                      <w:spacing w:val="-3"/>
                      <w:w w:val="95"/>
                    </w:rPr>
                    <w:t xml:space="preserve"> </w:t>
                  </w:r>
                  <w:r>
                    <w:rPr>
                      <w:color w:val="000000"/>
                      <w:w w:val="95"/>
                    </w:rPr>
                    <w:t>specialisation</w:t>
                  </w:r>
                  <w:r>
                    <w:rPr>
                      <w:color w:val="000000"/>
                      <w:spacing w:val="-3"/>
                      <w:w w:val="95"/>
                    </w:rPr>
                    <w:t xml:space="preserve"> </w:t>
                  </w:r>
                  <w:r>
                    <w:rPr>
                      <w:color w:val="000000"/>
                      <w:w w:val="95"/>
                    </w:rPr>
                    <w:t>as</w:t>
                  </w:r>
                  <w:r>
                    <w:rPr>
                      <w:color w:val="000000"/>
                      <w:spacing w:val="-3"/>
                      <w:w w:val="95"/>
                    </w:rPr>
                    <w:t xml:space="preserve"> </w:t>
                  </w:r>
                  <w:r>
                    <w:rPr>
                      <w:color w:val="000000"/>
                      <w:spacing w:val="-2"/>
                      <w:w w:val="95"/>
                    </w:rPr>
                    <w:t>individuals</w:t>
                  </w:r>
                  <w:r>
                    <w:rPr>
                      <w:color w:val="000000"/>
                    </w:rPr>
                    <w:tab/>
                  </w:r>
                  <w:r>
                    <w:rPr>
                      <w:color w:val="000000"/>
                      <w:w w:val="95"/>
                    </w:rPr>
                    <w:t>The</w:t>
                  </w:r>
                  <w:r>
                    <w:rPr>
                      <w:color w:val="000000"/>
                      <w:spacing w:val="-5"/>
                      <w:w w:val="95"/>
                    </w:rPr>
                    <w:t xml:space="preserve"> </w:t>
                  </w:r>
                  <w:r>
                    <w:rPr>
                      <w:color w:val="000000"/>
                      <w:w w:val="95"/>
                    </w:rPr>
                    <w:t>productivity</w:t>
                  </w:r>
                  <w:r>
                    <w:rPr>
                      <w:color w:val="000000"/>
                      <w:spacing w:val="-5"/>
                      <w:w w:val="95"/>
                    </w:rPr>
                    <w:t xml:space="preserve"> </w:t>
                  </w:r>
                  <w:r>
                    <w:rPr>
                      <w:color w:val="000000"/>
                      <w:w w:val="95"/>
                    </w:rPr>
                    <w:t>benefits</w:t>
                  </w:r>
                  <w:r>
                    <w:rPr>
                      <w:color w:val="000000"/>
                      <w:spacing w:val="-5"/>
                      <w:w w:val="95"/>
                    </w:rPr>
                    <w:t xml:space="preserve"> </w:t>
                  </w:r>
                  <w:r>
                    <w:rPr>
                      <w:color w:val="000000"/>
                      <w:w w:val="95"/>
                    </w:rPr>
                    <w:t>of</w:t>
                  </w:r>
                  <w:r>
                    <w:rPr>
                      <w:color w:val="000000"/>
                      <w:spacing w:val="-5"/>
                      <w:w w:val="95"/>
                    </w:rPr>
                    <w:t xml:space="preserve"> </w:t>
                  </w:r>
                  <w:r>
                    <w:rPr>
                      <w:color w:val="000000"/>
                      <w:w w:val="95"/>
                    </w:rPr>
                    <w:t>agglomeration</w:t>
                  </w:r>
                  <w:r>
                    <w:rPr>
                      <w:color w:val="000000"/>
                      <w:spacing w:val="-5"/>
                      <w:w w:val="95"/>
                    </w:rPr>
                    <w:t xml:space="preserve"> </w:t>
                  </w:r>
                  <w:r>
                    <w:rPr>
                      <w:color w:val="000000"/>
                      <w:w w:val="95"/>
                    </w:rPr>
                    <w:t>vary</w:t>
                  </w:r>
                  <w:r>
                    <w:rPr>
                      <w:color w:val="000000"/>
                      <w:spacing w:val="-5"/>
                      <w:w w:val="95"/>
                    </w:rPr>
                    <w:t xml:space="preserve"> by</w:t>
                  </w:r>
                </w:p>
                <w:p w:rsidR="00F22F94" w:rsidRDefault="00F22F94">
                  <w:pPr>
                    <w:pStyle w:val="BodyText"/>
                    <w:tabs>
                      <w:tab w:val="left" w:pos="5033"/>
                    </w:tabs>
                    <w:spacing w:before="10" w:line="249" w:lineRule="auto"/>
                    <w:ind w:left="170" w:right="356"/>
                    <w:rPr>
                      <w:color w:val="000000"/>
                    </w:rPr>
                  </w:pPr>
                  <w:r>
                    <w:rPr>
                      <w:color w:val="000000"/>
                    </w:rPr>
                    <w:t>can move more easily between jobs. The reason why</w:t>
                  </w:r>
                  <w:r>
                    <w:rPr>
                      <w:color w:val="000000"/>
                    </w:rPr>
                    <w:tab/>
                  </w:r>
                  <w:r>
                    <w:rPr>
                      <w:color w:val="000000"/>
                      <w:spacing w:val="-2"/>
                    </w:rPr>
                    <w:t>industry.</w:t>
                  </w:r>
                  <w:r>
                    <w:rPr>
                      <w:color w:val="000000"/>
                      <w:spacing w:val="-6"/>
                    </w:rPr>
                    <w:t xml:space="preserve"> </w:t>
                  </w:r>
                  <w:r>
                    <w:rPr>
                      <w:color w:val="000000"/>
                      <w:spacing w:val="-2"/>
                    </w:rPr>
                    <w:t>They</w:t>
                  </w:r>
                  <w:r>
                    <w:rPr>
                      <w:color w:val="000000"/>
                      <w:spacing w:val="-6"/>
                    </w:rPr>
                    <w:t xml:space="preserve"> </w:t>
                  </w:r>
                  <w:r>
                    <w:rPr>
                      <w:color w:val="000000"/>
                      <w:spacing w:val="-2"/>
                    </w:rPr>
                    <w:t>are</w:t>
                  </w:r>
                  <w:r>
                    <w:rPr>
                      <w:color w:val="000000"/>
                      <w:spacing w:val="-6"/>
                    </w:rPr>
                    <w:t xml:space="preserve"> </w:t>
                  </w:r>
                  <w:r>
                    <w:rPr>
                      <w:color w:val="000000"/>
                      <w:spacing w:val="-2"/>
                    </w:rPr>
                    <w:t>highest</w:t>
                  </w:r>
                  <w:r>
                    <w:rPr>
                      <w:color w:val="000000"/>
                      <w:spacing w:val="-6"/>
                    </w:rPr>
                    <w:t xml:space="preserve"> </w:t>
                  </w:r>
                  <w:r>
                    <w:rPr>
                      <w:color w:val="000000"/>
                      <w:spacing w:val="-2"/>
                    </w:rPr>
                    <w:t>in</w:t>
                  </w:r>
                  <w:r>
                    <w:rPr>
                      <w:color w:val="000000"/>
                      <w:spacing w:val="-6"/>
                    </w:rPr>
                    <w:t xml:space="preserve"> </w:t>
                  </w:r>
                  <w:r>
                    <w:rPr>
                      <w:color w:val="000000"/>
                      <w:spacing w:val="-2"/>
                    </w:rPr>
                    <w:t>the</w:t>
                  </w:r>
                  <w:r>
                    <w:rPr>
                      <w:color w:val="000000"/>
                      <w:spacing w:val="-6"/>
                    </w:rPr>
                    <w:t xml:space="preserve"> </w:t>
                  </w:r>
                  <w:r>
                    <w:rPr>
                      <w:color w:val="000000"/>
                      <w:spacing w:val="-2"/>
                    </w:rPr>
                    <w:t>financial</w:t>
                  </w:r>
                  <w:r>
                    <w:rPr>
                      <w:color w:val="000000"/>
                      <w:spacing w:val="-6"/>
                    </w:rPr>
                    <w:t xml:space="preserve"> </w:t>
                  </w:r>
                  <w:r>
                    <w:rPr>
                      <w:color w:val="000000"/>
                      <w:spacing w:val="-2"/>
                    </w:rPr>
                    <w:t xml:space="preserve">services, </w:t>
                  </w:r>
                  <w:r>
                    <w:rPr>
                      <w:color w:val="000000"/>
                    </w:rPr>
                    <w:t>people and firms accept the higher costs of being in a</w:t>
                  </w:r>
                  <w:r>
                    <w:rPr>
                      <w:color w:val="000000"/>
                    </w:rPr>
                    <w:tab/>
                  </w:r>
                  <w:r>
                    <w:rPr>
                      <w:color w:val="000000"/>
                      <w:w w:val="95"/>
                    </w:rPr>
                    <w:t>professional</w:t>
                  </w:r>
                  <w:r>
                    <w:rPr>
                      <w:color w:val="000000"/>
                      <w:spacing w:val="-6"/>
                      <w:w w:val="95"/>
                    </w:rPr>
                    <w:t xml:space="preserve"> </w:t>
                  </w:r>
                  <w:r>
                    <w:rPr>
                      <w:color w:val="000000"/>
                      <w:w w:val="95"/>
                    </w:rPr>
                    <w:t>services,</w:t>
                  </w:r>
                  <w:r>
                    <w:rPr>
                      <w:color w:val="000000"/>
                      <w:spacing w:val="-6"/>
                      <w:w w:val="95"/>
                    </w:rPr>
                    <w:t xml:space="preserve"> </w:t>
                  </w:r>
                  <w:r>
                    <w:rPr>
                      <w:color w:val="000000"/>
                      <w:w w:val="95"/>
                    </w:rPr>
                    <w:t>cultural</w:t>
                  </w:r>
                  <w:r>
                    <w:rPr>
                      <w:color w:val="000000"/>
                      <w:spacing w:val="-6"/>
                      <w:w w:val="95"/>
                    </w:rPr>
                    <w:t xml:space="preserve"> </w:t>
                  </w:r>
                  <w:r>
                    <w:rPr>
                      <w:color w:val="000000"/>
                      <w:w w:val="95"/>
                    </w:rPr>
                    <w:t>and</w:t>
                  </w:r>
                  <w:r>
                    <w:rPr>
                      <w:color w:val="000000"/>
                      <w:spacing w:val="-6"/>
                      <w:w w:val="95"/>
                    </w:rPr>
                    <w:t xml:space="preserve"> </w:t>
                  </w:r>
                  <w:r>
                    <w:rPr>
                      <w:color w:val="000000"/>
                      <w:w w:val="95"/>
                    </w:rPr>
                    <w:t>scientific</w:t>
                  </w:r>
                  <w:r>
                    <w:rPr>
                      <w:color w:val="000000"/>
                      <w:spacing w:val="-6"/>
                      <w:w w:val="95"/>
                    </w:rPr>
                    <w:t xml:space="preserve"> </w:t>
                  </w:r>
                  <w:r>
                    <w:rPr>
                      <w:color w:val="000000"/>
                      <w:w w:val="95"/>
                    </w:rPr>
                    <w:t>sectors</w:t>
                  </w:r>
                  <w:r>
                    <w:rPr>
                      <w:color w:val="000000"/>
                      <w:w w:val="95"/>
                      <w:position w:val="7"/>
                      <w:sz w:val="11"/>
                    </w:rPr>
                    <w:t>19</w:t>
                  </w:r>
                  <w:r>
                    <w:rPr>
                      <w:color w:val="000000"/>
                      <w:spacing w:val="40"/>
                      <w:position w:val="7"/>
                      <w:sz w:val="11"/>
                    </w:rPr>
                    <w:t xml:space="preserve"> </w:t>
                  </w:r>
                  <w:r>
                    <w:rPr>
                      <w:color w:val="000000"/>
                    </w:rPr>
                    <w:t>city</w:t>
                  </w:r>
                  <w:r>
                    <w:rPr>
                      <w:color w:val="000000"/>
                      <w:spacing w:val="-5"/>
                    </w:rPr>
                    <w:t xml:space="preserve"> </w:t>
                  </w:r>
                  <w:r>
                    <w:rPr>
                      <w:color w:val="000000"/>
                    </w:rPr>
                    <w:t>is</w:t>
                  </w:r>
                  <w:r>
                    <w:rPr>
                      <w:color w:val="000000"/>
                      <w:spacing w:val="-5"/>
                    </w:rPr>
                    <w:t xml:space="preserve"> </w:t>
                  </w:r>
                  <w:r>
                    <w:rPr>
                      <w:color w:val="000000"/>
                    </w:rPr>
                    <w:t>that</w:t>
                  </w:r>
                  <w:r>
                    <w:rPr>
                      <w:color w:val="000000"/>
                      <w:spacing w:val="-5"/>
                    </w:rPr>
                    <w:t xml:space="preserve"> </w:t>
                  </w:r>
                  <w:r>
                    <w:rPr>
                      <w:color w:val="000000"/>
                    </w:rPr>
                    <w:t>there</w:t>
                  </w:r>
                  <w:r>
                    <w:rPr>
                      <w:color w:val="000000"/>
                      <w:spacing w:val="-5"/>
                    </w:rPr>
                    <w:t xml:space="preserve"> </w:t>
                  </w:r>
                  <w:r>
                    <w:rPr>
                      <w:color w:val="000000"/>
                    </w:rPr>
                    <w:t>are</w:t>
                  </w:r>
                  <w:r>
                    <w:rPr>
                      <w:color w:val="000000"/>
                      <w:spacing w:val="-5"/>
                    </w:rPr>
                    <w:t xml:space="preserve"> </w:t>
                  </w:r>
                  <w:r>
                    <w:rPr>
                      <w:color w:val="000000"/>
                    </w:rPr>
                    <w:t>productivity</w:t>
                  </w:r>
                  <w:r>
                    <w:rPr>
                      <w:color w:val="000000"/>
                      <w:spacing w:val="-5"/>
                    </w:rPr>
                    <w:t xml:space="preserve"> </w:t>
                  </w:r>
                  <w:r>
                    <w:rPr>
                      <w:color w:val="000000"/>
                    </w:rPr>
                    <w:t>and</w:t>
                  </w:r>
                  <w:r>
                    <w:rPr>
                      <w:color w:val="000000"/>
                      <w:spacing w:val="-5"/>
                    </w:rPr>
                    <w:t xml:space="preserve"> </w:t>
                  </w:r>
                  <w:r>
                    <w:rPr>
                      <w:color w:val="000000"/>
                    </w:rPr>
                    <w:t>social</w:t>
                  </w:r>
                  <w:r>
                    <w:rPr>
                      <w:color w:val="000000"/>
                      <w:spacing w:val="-5"/>
                    </w:rPr>
                    <w:t xml:space="preserve"> </w:t>
                  </w:r>
                  <w:r>
                    <w:rPr>
                      <w:color w:val="000000"/>
                    </w:rPr>
                    <w:t>advantages</w:t>
                  </w:r>
                  <w:r>
                    <w:rPr>
                      <w:color w:val="000000"/>
                    </w:rPr>
                    <w:tab/>
                    <w:t>–</w:t>
                  </w:r>
                  <w:r>
                    <w:rPr>
                      <w:color w:val="000000"/>
                      <w:spacing w:val="-14"/>
                    </w:rPr>
                    <w:t xml:space="preserve"> </w:t>
                  </w:r>
                  <w:r>
                    <w:rPr>
                      <w:color w:val="000000"/>
                    </w:rPr>
                    <w:t>industries</w:t>
                  </w:r>
                  <w:r>
                    <w:rPr>
                      <w:color w:val="000000"/>
                      <w:spacing w:val="-14"/>
                    </w:rPr>
                    <w:t xml:space="preserve"> </w:t>
                  </w:r>
                  <w:r>
                    <w:rPr>
                      <w:color w:val="000000"/>
                    </w:rPr>
                    <w:t>in</w:t>
                  </w:r>
                  <w:r>
                    <w:rPr>
                      <w:color w:val="000000"/>
                      <w:spacing w:val="-14"/>
                    </w:rPr>
                    <w:t xml:space="preserve"> </w:t>
                  </w:r>
                  <w:r>
                    <w:rPr>
                      <w:color w:val="000000"/>
                    </w:rPr>
                    <w:t>which</w:t>
                  </w:r>
                  <w:r>
                    <w:rPr>
                      <w:color w:val="000000"/>
                      <w:spacing w:val="-14"/>
                    </w:rPr>
                    <w:t xml:space="preserve"> </w:t>
                  </w:r>
                  <w:r>
                    <w:rPr>
                      <w:color w:val="000000"/>
                    </w:rPr>
                    <w:t>Global</w:t>
                  </w:r>
                  <w:r>
                    <w:rPr>
                      <w:color w:val="000000"/>
                      <w:spacing w:val="-14"/>
                    </w:rPr>
                    <w:t xml:space="preserve"> </w:t>
                  </w:r>
                  <w:r>
                    <w:rPr>
                      <w:color w:val="000000"/>
                    </w:rPr>
                    <w:t>Sydney</w:t>
                  </w:r>
                  <w:r>
                    <w:rPr>
                      <w:color w:val="000000"/>
                      <w:spacing w:val="-14"/>
                    </w:rPr>
                    <w:t xml:space="preserve"> </w:t>
                  </w:r>
                  <w:r>
                    <w:rPr>
                      <w:color w:val="000000"/>
                    </w:rPr>
                    <w:t>specialises.</w:t>
                  </w:r>
                </w:p>
                <w:p w:rsidR="00F22F94" w:rsidRDefault="00F22F94">
                  <w:pPr>
                    <w:pStyle w:val="BodyText"/>
                    <w:spacing w:before="3"/>
                    <w:ind w:left="170"/>
                    <w:rPr>
                      <w:color w:val="000000"/>
                    </w:rPr>
                  </w:pPr>
                  <w:r>
                    <w:rPr>
                      <w:color w:val="000000"/>
                      <w:w w:val="95"/>
                    </w:rPr>
                    <w:t>that</w:t>
                  </w:r>
                  <w:r>
                    <w:rPr>
                      <w:color w:val="000000"/>
                      <w:spacing w:val="-1"/>
                      <w:w w:val="95"/>
                    </w:rPr>
                    <w:t xml:space="preserve"> </w:t>
                  </w:r>
                  <w:r>
                    <w:rPr>
                      <w:color w:val="000000"/>
                      <w:w w:val="95"/>
                    </w:rPr>
                    <w:t>outweigh</w:t>
                  </w:r>
                  <w:r>
                    <w:rPr>
                      <w:color w:val="000000"/>
                      <w:spacing w:val="-2"/>
                    </w:rPr>
                    <w:t xml:space="preserve"> </w:t>
                  </w:r>
                  <w:r>
                    <w:rPr>
                      <w:color w:val="000000"/>
                      <w:w w:val="95"/>
                    </w:rPr>
                    <w:t>these</w:t>
                  </w:r>
                  <w:r>
                    <w:rPr>
                      <w:color w:val="000000"/>
                      <w:spacing w:val="-3"/>
                    </w:rPr>
                    <w:t xml:space="preserve"> </w:t>
                  </w:r>
                  <w:r>
                    <w:rPr>
                      <w:color w:val="000000"/>
                      <w:spacing w:val="-2"/>
                      <w:w w:val="95"/>
                    </w:rPr>
                    <w:t>costs.</w:t>
                  </w:r>
                </w:p>
                <w:p w:rsidR="00F22F94" w:rsidRDefault="00F22F94">
                  <w:pPr>
                    <w:pStyle w:val="BodyText"/>
                    <w:spacing w:before="152" w:line="249" w:lineRule="auto"/>
                    <w:ind w:left="170" w:right="5019"/>
                    <w:rPr>
                      <w:color w:val="000000"/>
                    </w:rPr>
                  </w:pPr>
                  <w:r>
                    <w:rPr>
                      <w:color w:val="000000"/>
                      <w:w w:val="95"/>
                    </w:rPr>
                    <w:t>These benefits (the economies of scale and the network</w:t>
                  </w:r>
                  <w:r>
                    <w:rPr>
                      <w:color w:val="000000"/>
                      <w:spacing w:val="-5"/>
                      <w:w w:val="95"/>
                    </w:rPr>
                    <w:t xml:space="preserve"> </w:t>
                  </w:r>
                  <w:r>
                    <w:rPr>
                      <w:color w:val="000000"/>
                      <w:w w:val="95"/>
                    </w:rPr>
                    <w:t>effects)</w:t>
                  </w:r>
                  <w:r>
                    <w:rPr>
                      <w:color w:val="000000"/>
                      <w:spacing w:val="-5"/>
                      <w:w w:val="95"/>
                    </w:rPr>
                    <w:t xml:space="preserve"> </w:t>
                  </w:r>
                  <w:r>
                    <w:rPr>
                      <w:color w:val="000000"/>
                      <w:w w:val="95"/>
                    </w:rPr>
                    <w:t>that</w:t>
                  </w:r>
                  <w:r>
                    <w:rPr>
                      <w:color w:val="000000"/>
                      <w:spacing w:val="-5"/>
                      <w:w w:val="95"/>
                    </w:rPr>
                    <w:t xml:space="preserve"> </w:t>
                  </w:r>
                  <w:r>
                    <w:rPr>
                      <w:color w:val="000000"/>
                      <w:w w:val="95"/>
                    </w:rPr>
                    <w:t>cities</w:t>
                  </w:r>
                  <w:r>
                    <w:rPr>
                      <w:color w:val="000000"/>
                      <w:spacing w:val="-5"/>
                      <w:w w:val="95"/>
                    </w:rPr>
                    <w:t xml:space="preserve"> </w:t>
                  </w:r>
                  <w:r>
                    <w:rPr>
                      <w:color w:val="000000"/>
                      <w:w w:val="95"/>
                    </w:rPr>
                    <w:t>provide</w:t>
                  </w:r>
                  <w:r>
                    <w:rPr>
                      <w:color w:val="000000"/>
                      <w:spacing w:val="-5"/>
                      <w:w w:val="95"/>
                    </w:rPr>
                    <w:t xml:space="preserve"> </w:t>
                  </w:r>
                  <w:r>
                    <w:rPr>
                      <w:color w:val="000000"/>
                      <w:w w:val="95"/>
                    </w:rPr>
                    <w:t>are</w:t>
                  </w:r>
                  <w:r>
                    <w:rPr>
                      <w:color w:val="000000"/>
                      <w:spacing w:val="-5"/>
                      <w:w w:val="95"/>
                    </w:rPr>
                    <w:t xml:space="preserve"> </w:t>
                  </w:r>
                  <w:r>
                    <w:rPr>
                      <w:color w:val="000000"/>
                      <w:w w:val="95"/>
                    </w:rPr>
                    <w:t>known</w:t>
                  </w:r>
                  <w:r>
                    <w:rPr>
                      <w:color w:val="000000"/>
                      <w:spacing w:val="-5"/>
                      <w:w w:val="95"/>
                    </w:rPr>
                    <w:t xml:space="preserve"> </w:t>
                  </w:r>
                  <w:r>
                    <w:rPr>
                      <w:color w:val="000000"/>
                      <w:w w:val="95"/>
                    </w:rPr>
                    <w:t xml:space="preserve">as </w:t>
                  </w:r>
                  <w:r>
                    <w:rPr>
                      <w:color w:val="000000"/>
                    </w:rPr>
                    <w:t>‘economies of agglomeration’.</w:t>
                  </w:r>
                </w:p>
              </w:txbxContent>
            </v:textbox>
            <w10:wrap anchorx="page"/>
          </v:shape>
        </w:pict>
      </w:r>
      <w:r w:rsidR="00F22F94">
        <w:t>by</w:t>
      </w:r>
      <w:r w:rsidR="00F22F94">
        <w:rPr>
          <w:spacing w:val="-8"/>
        </w:rPr>
        <w:t xml:space="preserve"> </w:t>
      </w:r>
      <w:r w:rsidR="00F22F94">
        <w:t>Deloitte</w:t>
      </w:r>
      <w:r w:rsidR="00F22F94">
        <w:rPr>
          <w:spacing w:val="-8"/>
        </w:rPr>
        <w:t xml:space="preserve"> </w:t>
      </w:r>
      <w:r w:rsidR="00F22F94">
        <w:t>Access</w:t>
      </w:r>
      <w:r w:rsidR="00F22F94">
        <w:rPr>
          <w:spacing w:val="-8"/>
        </w:rPr>
        <w:t xml:space="preserve"> </w:t>
      </w:r>
      <w:r w:rsidR="00F22F94">
        <w:t>Economics</w:t>
      </w:r>
      <w:r w:rsidR="00F22F94">
        <w:rPr>
          <w:spacing w:val="-8"/>
        </w:rPr>
        <w:t xml:space="preserve"> </w:t>
      </w:r>
      <w:r w:rsidR="00F22F94">
        <w:t>forecasts</w:t>
      </w:r>
      <w:r w:rsidR="00F22F94">
        <w:rPr>
          <w:spacing w:val="-8"/>
        </w:rPr>
        <w:t xml:space="preserve"> </w:t>
      </w:r>
      <w:r w:rsidR="00F22F94">
        <w:t>that</w:t>
      </w:r>
      <w:r w:rsidR="00F22F94">
        <w:rPr>
          <w:spacing w:val="-8"/>
        </w:rPr>
        <w:t xml:space="preserve"> </w:t>
      </w:r>
      <w:r w:rsidR="00F22F94">
        <w:t xml:space="preserve">around </w:t>
      </w:r>
      <w:r w:rsidR="00F22F94">
        <w:rPr>
          <w:w w:val="95"/>
        </w:rPr>
        <w:t>200,000</w:t>
      </w:r>
      <w:r w:rsidR="00F22F94">
        <w:rPr>
          <w:spacing w:val="-3"/>
          <w:w w:val="95"/>
        </w:rPr>
        <w:t xml:space="preserve"> </w:t>
      </w:r>
      <w:r w:rsidR="00F22F94">
        <w:rPr>
          <w:w w:val="95"/>
        </w:rPr>
        <w:t>additional</w:t>
      </w:r>
      <w:r w:rsidR="00F22F94">
        <w:rPr>
          <w:spacing w:val="-3"/>
          <w:w w:val="95"/>
        </w:rPr>
        <w:t xml:space="preserve"> </w:t>
      </w:r>
      <w:r w:rsidR="00F22F94">
        <w:rPr>
          <w:w w:val="95"/>
        </w:rPr>
        <w:t>jobs</w:t>
      </w:r>
      <w:r w:rsidR="00F22F94">
        <w:rPr>
          <w:spacing w:val="-3"/>
          <w:w w:val="95"/>
        </w:rPr>
        <w:t xml:space="preserve"> </w:t>
      </w:r>
      <w:r w:rsidR="00F22F94">
        <w:rPr>
          <w:w w:val="95"/>
        </w:rPr>
        <w:t>will</w:t>
      </w:r>
      <w:r w:rsidR="00F22F94">
        <w:rPr>
          <w:spacing w:val="-3"/>
          <w:w w:val="95"/>
        </w:rPr>
        <w:t xml:space="preserve"> </w:t>
      </w:r>
      <w:r w:rsidR="00F22F94">
        <w:rPr>
          <w:w w:val="95"/>
        </w:rPr>
        <w:t>be</w:t>
      </w:r>
      <w:r w:rsidR="00F22F94">
        <w:rPr>
          <w:spacing w:val="-3"/>
          <w:w w:val="95"/>
        </w:rPr>
        <w:t xml:space="preserve"> </w:t>
      </w:r>
      <w:r w:rsidR="00F22F94">
        <w:rPr>
          <w:w w:val="95"/>
        </w:rPr>
        <w:t>created</w:t>
      </w:r>
      <w:r w:rsidR="00F22F94">
        <w:rPr>
          <w:spacing w:val="-3"/>
          <w:w w:val="95"/>
        </w:rPr>
        <w:t xml:space="preserve"> </w:t>
      </w:r>
      <w:r w:rsidR="00F22F94">
        <w:rPr>
          <w:w w:val="95"/>
        </w:rPr>
        <w:t>in</w:t>
      </w:r>
      <w:r w:rsidR="00F22F94">
        <w:rPr>
          <w:spacing w:val="-3"/>
          <w:w w:val="95"/>
        </w:rPr>
        <w:t xml:space="preserve"> </w:t>
      </w:r>
      <w:r w:rsidR="00F22F94">
        <w:rPr>
          <w:w w:val="95"/>
        </w:rPr>
        <w:t>Global</w:t>
      </w:r>
      <w:r w:rsidR="00F22F94">
        <w:rPr>
          <w:spacing w:val="-3"/>
          <w:w w:val="95"/>
        </w:rPr>
        <w:t xml:space="preserve"> </w:t>
      </w:r>
      <w:r w:rsidR="00F22F94">
        <w:rPr>
          <w:w w:val="95"/>
        </w:rPr>
        <w:t>Sydney by</w:t>
      </w:r>
      <w:r w:rsidR="00F22F94">
        <w:rPr>
          <w:spacing w:val="-12"/>
          <w:w w:val="95"/>
        </w:rPr>
        <w:t xml:space="preserve"> </w:t>
      </w:r>
      <w:r w:rsidR="00F22F94">
        <w:rPr>
          <w:w w:val="95"/>
        </w:rPr>
        <w:t>2031,</w:t>
      </w:r>
      <w:r w:rsidR="00F22F94">
        <w:rPr>
          <w:spacing w:val="-11"/>
          <w:w w:val="95"/>
        </w:rPr>
        <w:t xml:space="preserve"> </w:t>
      </w:r>
      <w:r w:rsidR="00F22F94">
        <w:rPr>
          <w:w w:val="95"/>
        </w:rPr>
        <w:t>leaving</w:t>
      </w:r>
      <w:r w:rsidR="00F22F94">
        <w:rPr>
          <w:spacing w:val="-11"/>
          <w:w w:val="95"/>
        </w:rPr>
        <w:t xml:space="preserve"> </w:t>
      </w:r>
      <w:r w:rsidR="00F22F94">
        <w:rPr>
          <w:w w:val="95"/>
        </w:rPr>
        <w:t>the</w:t>
      </w:r>
      <w:r w:rsidR="00F22F94">
        <w:rPr>
          <w:spacing w:val="-11"/>
          <w:w w:val="95"/>
        </w:rPr>
        <w:t xml:space="preserve"> </w:t>
      </w:r>
      <w:r w:rsidR="00F22F94">
        <w:rPr>
          <w:w w:val="95"/>
        </w:rPr>
        <w:t>region’s</w:t>
      </w:r>
      <w:r w:rsidR="00F22F94">
        <w:rPr>
          <w:spacing w:val="-11"/>
          <w:w w:val="95"/>
        </w:rPr>
        <w:t xml:space="preserve"> </w:t>
      </w:r>
      <w:r w:rsidR="00F22F94">
        <w:rPr>
          <w:w w:val="95"/>
        </w:rPr>
        <w:t>share</w:t>
      </w:r>
      <w:r w:rsidR="00F22F94">
        <w:rPr>
          <w:spacing w:val="-11"/>
          <w:w w:val="95"/>
        </w:rPr>
        <w:t xml:space="preserve"> </w:t>
      </w:r>
      <w:r w:rsidR="00F22F94">
        <w:rPr>
          <w:w w:val="95"/>
        </w:rPr>
        <w:t>of</w:t>
      </w:r>
      <w:r w:rsidR="00F22F94">
        <w:rPr>
          <w:spacing w:val="-11"/>
          <w:w w:val="95"/>
        </w:rPr>
        <w:t xml:space="preserve"> </w:t>
      </w:r>
      <w:r w:rsidR="00F22F94">
        <w:rPr>
          <w:w w:val="95"/>
        </w:rPr>
        <w:t>Sydney’s</w:t>
      </w:r>
      <w:r w:rsidR="00F22F94">
        <w:rPr>
          <w:spacing w:val="-11"/>
          <w:w w:val="95"/>
        </w:rPr>
        <w:t xml:space="preserve"> </w:t>
      </w:r>
      <w:r w:rsidR="00F22F94">
        <w:rPr>
          <w:w w:val="95"/>
        </w:rPr>
        <w:t>total</w:t>
      </w:r>
      <w:r w:rsidR="00F22F94">
        <w:rPr>
          <w:spacing w:val="-12"/>
          <w:w w:val="95"/>
        </w:rPr>
        <w:t xml:space="preserve"> </w:t>
      </w:r>
      <w:r w:rsidR="00F22F94">
        <w:rPr>
          <w:w w:val="95"/>
        </w:rPr>
        <w:t xml:space="preserve">jobs </w:t>
      </w:r>
      <w:r w:rsidR="00F22F94">
        <w:t>market unchanged from today</w:t>
      </w:r>
      <w:r w:rsidR="00F22F94">
        <w:rPr>
          <w:position w:val="7"/>
          <w:sz w:val="11"/>
        </w:rPr>
        <w:t>20</w:t>
      </w:r>
      <w:r w:rsidR="00F22F94">
        <w:t>.</w:t>
      </w:r>
    </w:p>
    <w:p w:rsidR="002C1123" w:rsidRDefault="00F22F94">
      <w:pPr>
        <w:pStyle w:val="BodyText"/>
        <w:spacing w:before="145" w:line="249" w:lineRule="auto"/>
        <w:ind w:left="492" w:right="718"/>
      </w:pPr>
      <w:r>
        <w:t>As</w:t>
      </w:r>
      <w:r>
        <w:rPr>
          <w:spacing w:val="-14"/>
        </w:rPr>
        <w:t xml:space="preserve"> </w:t>
      </w:r>
      <w:r>
        <w:t>a</w:t>
      </w:r>
      <w:r>
        <w:rPr>
          <w:spacing w:val="-14"/>
        </w:rPr>
        <w:t xml:space="preserve"> </w:t>
      </w:r>
      <w:r>
        <w:t>further</w:t>
      </w:r>
      <w:r>
        <w:rPr>
          <w:spacing w:val="-14"/>
        </w:rPr>
        <w:t xml:space="preserve"> </w:t>
      </w:r>
      <w:r>
        <w:t>indicator,</w:t>
      </w:r>
      <w:r>
        <w:rPr>
          <w:spacing w:val="-14"/>
        </w:rPr>
        <w:t xml:space="preserve"> </w:t>
      </w:r>
      <w:r>
        <w:t>BIS</w:t>
      </w:r>
      <w:r>
        <w:rPr>
          <w:spacing w:val="-14"/>
        </w:rPr>
        <w:t xml:space="preserve"> </w:t>
      </w:r>
      <w:r>
        <w:t>Shrapnel</w:t>
      </w:r>
      <w:r>
        <w:rPr>
          <w:spacing w:val="-14"/>
        </w:rPr>
        <w:t xml:space="preserve"> </w:t>
      </w:r>
      <w:r>
        <w:t>has</w:t>
      </w:r>
      <w:r>
        <w:rPr>
          <w:spacing w:val="-14"/>
        </w:rPr>
        <w:t xml:space="preserve"> </w:t>
      </w:r>
      <w:r>
        <w:t>forecast</w:t>
      </w:r>
      <w:r>
        <w:rPr>
          <w:spacing w:val="-14"/>
        </w:rPr>
        <w:t xml:space="preserve"> </w:t>
      </w:r>
      <w:r>
        <w:t>that over</w:t>
      </w:r>
      <w:r>
        <w:rPr>
          <w:spacing w:val="-6"/>
        </w:rPr>
        <w:t xml:space="preserve"> </w:t>
      </w:r>
      <w:r>
        <w:t>90</w:t>
      </w:r>
      <w:r>
        <w:rPr>
          <w:spacing w:val="-6"/>
        </w:rPr>
        <w:t xml:space="preserve"> </w:t>
      </w:r>
      <w:r>
        <w:t>percent</w:t>
      </w:r>
      <w:r>
        <w:rPr>
          <w:spacing w:val="-6"/>
        </w:rPr>
        <w:t xml:space="preserve"> </w:t>
      </w:r>
      <w:r>
        <w:t>of</w:t>
      </w:r>
      <w:r>
        <w:rPr>
          <w:spacing w:val="-6"/>
        </w:rPr>
        <w:t xml:space="preserve"> </w:t>
      </w:r>
      <w:r>
        <w:t>new</w:t>
      </w:r>
      <w:r>
        <w:rPr>
          <w:spacing w:val="-6"/>
        </w:rPr>
        <w:t xml:space="preserve"> </w:t>
      </w:r>
      <w:r>
        <w:t>office-based</w:t>
      </w:r>
      <w:r>
        <w:rPr>
          <w:spacing w:val="-6"/>
        </w:rPr>
        <w:t xml:space="preserve"> </w:t>
      </w:r>
      <w:r>
        <w:t>employment</w:t>
      </w:r>
      <w:r>
        <w:rPr>
          <w:spacing w:val="-6"/>
        </w:rPr>
        <w:t xml:space="preserve"> </w:t>
      </w:r>
      <w:r>
        <w:t>in Sydney</w:t>
      </w:r>
      <w:r>
        <w:rPr>
          <w:spacing w:val="-14"/>
        </w:rPr>
        <w:t xml:space="preserve"> </w:t>
      </w:r>
      <w:r>
        <w:t>over</w:t>
      </w:r>
      <w:r>
        <w:rPr>
          <w:spacing w:val="-14"/>
        </w:rPr>
        <w:t xml:space="preserve"> </w:t>
      </w:r>
      <w:r>
        <w:t>the</w:t>
      </w:r>
      <w:r>
        <w:rPr>
          <w:spacing w:val="-14"/>
        </w:rPr>
        <w:t xml:space="preserve"> </w:t>
      </w:r>
      <w:r>
        <w:t>next</w:t>
      </w:r>
      <w:r>
        <w:rPr>
          <w:spacing w:val="-14"/>
        </w:rPr>
        <w:t xml:space="preserve"> </w:t>
      </w:r>
      <w:r>
        <w:t>decade</w:t>
      </w:r>
      <w:r>
        <w:rPr>
          <w:spacing w:val="-13"/>
        </w:rPr>
        <w:t xml:space="preserve"> </w:t>
      </w:r>
      <w:r>
        <w:t>will</w:t>
      </w:r>
      <w:r>
        <w:rPr>
          <w:spacing w:val="-14"/>
        </w:rPr>
        <w:t xml:space="preserve"> </w:t>
      </w:r>
      <w:r>
        <w:t>be</w:t>
      </w:r>
      <w:r>
        <w:rPr>
          <w:spacing w:val="-14"/>
        </w:rPr>
        <w:t xml:space="preserve"> </w:t>
      </w:r>
      <w:r>
        <w:t>located</w:t>
      </w:r>
      <w:r>
        <w:rPr>
          <w:spacing w:val="-14"/>
        </w:rPr>
        <w:t xml:space="preserve"> </w:t>
      </w:r>
      <w:r>
        <w:t>in</w:t>
      </w:r>
      <w:r>
        <w:rPr>
          <w:spacing w:val="-14"/>
        </w:rPr>
        <w:t xml:space="preserve"> </w:t>
      </w:r>
      <w:r>
        <w:t xml:space="preserve">Global </w:t>
      </w:r>
      <w:r>
        <w:rPr>
          <w:w w:val="95"/>
        </w:rPr>
        <w:t>Sydney</w:t>
      </w:r>
      <w:r>
        <w:rPr>
          <w:w w:val="95"/>
          <w:position w:val="7"/>
          <w:sz w:val="11"/>
        </w:rPr>
        <w:t>21</w:t>
      </w:r>
      <w:r>
        <w:rPr>
          <w:w w:val="95"/>
        </w:rPr>
        <w:t xml:space="preserve">. Barangaroo alone is forecast to accommodate </w:t>
      </w:r>
      <w:r>
        <w:t>23,000</w:t>
      </w:r>
      <w:r>
        <w:rPr>
          <w:spacing w:val="-14"/>
        </w:rPr>
        <w:t xml:space="preserve"> </w:t>
      </w:r>
      <w:r>
        <w:t>jobs.</w:t>
      </w:r>
      <w:r>
        <w:rPr>
          <w:spacing w:val="-14"/>
        </w:rPr>
        <w:t xml:space="preserve"> </w:t>
      </w:r>
      <w:r>
        <w:t>This</w:t>
      </w:r>
      <w:r>
        <w:rPr>
          <w:spacing w:val="-14"/>
        </w:rPr>
        <w:t xml:space="preserve"> </w:t>
      </w:r>
      <w:r>
        <w:t>is</w:t>
      </w:r>
      <w:r>
        <w:rPr>
          <w:spacing w:val="-14"/>
        </w:rPr>
        <w:t xml:space="preserve"> </w:t>
      </w:r>
      <w:r>
        <w:t>bigger</w:t>
      </w:r>
      <w:r>
        <w:rPr>
          <w:spacing w:val="-14"/>
        </w:rPr>
        <w:t xml:space="preserve"> </w:t>
      </w:r>
      <w:r>
        <w:t>than</w:t>
      </w:r>
      <w:r>
        <w:rPr>
          <w:spacing w:val="-14"/>
        </w:rPr>
        <w:t xml:space="preserve"> </w:t>
      </w:r>
      <w:r>
        <w:t>any</w:t>
      </w:r>
      <w:r>
        <w:rPr>
          <w:spacing w:val="-14"/>
        </w:rPr>
        <w:t xml:space="preserve"> </w:t>
      </w:r>
      <w:r>
        <w:t>centre</w:t>
      </w:r>
      <w:r>
        <w:rPr>
          <w:spacing w:val="-14"/>
        </w:rPr>
        <w:t xml:space="preserve"> </w:t>
      </w:r>
      <w:r>
        <w:t>in</w:t>
      </w:r>
      <w:r>
        <w:rPr>
          <w:spacing w:val="-14"/>
        </w:rPr>
        <w:t xml:space="preserve"> </w:t>
      </w:r>
      <w:r>
        <w:t>Greater Sydney,</w:t>
      </w:r>
      <w:r>
        <w:rPr>
          <w:spacing w:val="-9"/>
        </w:rPr>
        <w:t xml:space="preserve"> </w:t>
      </w:r>
      <w:r>
        <w:t>with</w:t>
      </w:r>
      <w:r>
        <w:rPr>
          <w:spacing w:val="-9"/>
        </w:rPr>
        <w:t xml:space="preserve"> </w:t>
      </w:r>
      <w:r>
        <w:t>the</w:t>
      </w:r>
      <w:r>
        <w:rPr>
          <w:spacing w:val="-9"/>
        </w:rPr>
        <w:t xml:space="preserve"> </w:t>
      </w:r>
      <w:r>
        <w:t>exception</w:t>
      </w:r>
      <w:r>
        <w:rPr>
          <w:spacing w:val="-9"/>
        </w:rPr>
        <w:t xml:space="preserve"> </w:t>
      </w:r>
      <w:r>
        <w:t>of</w:t>
      </w:r>
      <w:r>
        <w:rPr>
          <w:spacing w:val="-9"/>
        </w:rPr>
        <w:t xml:space="preserve"> </w:t>
      </w:r>
      <w:r>
        <w:t>Parramatta.</w:t>
      </w:r>
    </w:p>
    <w:p w:rsidR="002C1123" w:rsidRDefault="00F22F94">
      <w:pPr>
        <w:pStyle w:val="BodyText"/>
        <w:spacing w:before="147" w:line="249" w:lineRule="auto"/>
        <w:ind w:left="492" w:right="718"/>
      </w:pPr>
      <w:r>
        <w:rPr>
          <w:spacing w:val="-2"/>
        </w:rPr>
        <w:t>Global</w:t>
      </w:r>
      <w:r>
        <w:rPr>
          <w:spacing w:val="-6"/>
        </w:rPr>
        <w:t xml:space="preserve"> </w:t>
      </w:r>
      <w:r>
        <w:rPr>
          <w:spacing w:val="-2"/>
        </w:rPr>
        <w:t>Sydney’s</w:t>
      </w:r>
      <w:r>
        <w:rPr>
          <w:spacing w:val="-6"/>
        </w:rPr>
        <w:t xml:space="preserve"> </w:t>
      </w:r>
      <w:r>
        <w:rPr>
          <w:spacing w:val="-2"/>
        </w:rPr>
        <w:t>population</w:t>
      </w:r>
      <w:r>
        <w:rPr>
          <w:spacing w:val="-6"/>
        </w:rPr>
        <w:t xml:space="preserve"> </w:t>
      </w:r>
      <w:r>
        <w:rPr>
          <w:spacing w:val="-2"/>
        </w:rPr>
        <w:t>is</w:t>
      </w:r>
      <w:r>
        <w:rPr>
          <w:spacing w:val="-6"/>
        </w:rPr>
        <w:t xml:space="preserve"> </w:t>
      </w:r>
      <w:r>
        <w:rPr>
          <w:spacing w:val="-2"/>
        </w:rPr>
        <w:t>forecast</w:t>
      </w:r>
      <w:r>
        <w:rPr>
          <w:spacing w:val="-6"/>
        </w:rPr>
        <w:t xml:space="preserve"> </w:t>
      </w:r>
      <w:r>
        <w:rPr>
          <w:spacing w:val="-2"/>
        </w:rPr>
        <w:t>to</w:t>
      </w:r>
      <w:r>
        <w:rPr>
          <w:spacing w:val="-6"/>
        </w:rPr>
        <w:t xml:space="preserve"> </w:t>
      </w:r>
      <w:r>
        <w:rPr>
          <w:spacing w:val="-2"/>
        </w:rPr>
        <w:t>grow</w:t>
      </w:r>
      <w:r>
        <w:rPr>
          <w:spacing w:val="-6"/>
        </w:rPr>
        <w:t xml:space="preserve"> </w:t>
      </w:r>
      <w:r>
        <w:rPr>
          <w:spacing w:val="-2"/>
        </w:rPr>
        <w:t>rapidly also.</w:t>
      </w:r>
      <w:r>
        <w:rPr>
          <w:spacing w:val="-12"/>
        </w:rPr>
        <w:t xml:space="preserve"> </w:t>
      </w:r>
      <w:r>
        <w:rPr>
          <w:spacing w:val="-2"/>
        </w:rPr>
        <w:t>By</w:t>
      </w:r>
      <w:r>
        <w:rPr>
          <w:spacing w:val="-12"/>
        </w:rPr>
        <w:t xml:space="preserve"> </w:t>
      </w:r>
      <w:r>
        <w:rPr>
          <w:spacing w:val="-2"/>
        </w:rPr>
        <w:t>2031,</w:t>
      </w:r>
      <w:r>
        <w:rPr>
          <w:spacing w:val="-12"/>
        </w:rPr>
        <w:t xml:space="preserve"> </w:t>
      </w:r>
      <w:r>
        <w:rPr>
          <w:spacing w:val="-2"/>
        </w:rPr>
        <w:t>the</w:t>
      </w:r>
      <w:r>
        <w:rPr>
          <w:spacing w:val="-12"/>
        </w:rPr>
        <w:t xml:space="preserve"> </w:t>
      </w:r>
      <w:r>
        <w:rPr>
          <w:spacing w:val="-2"/>
        </w:rPr>
        <w:t>population</w:t>
      </w:r>
      <w:r>
        <w:rPr>
          <w:spacing w:val="-12"/>
        </w:rPr>
        <w:t xml:space="preserve"> </w:t>
      </w:r>
      <w:r>
        <w:rPr>
          <w:spacing w:val="-2"/>
        </w:rPr>
        <w:t>of</w:t>
      </w:r>
      <w:r>
        <w:rPr>
          <w:spacing w:val="-12"/>
        </w:rPr>
        <w:t xml:space="preserve"> </w:t>
      </w:r>
      <w:r>
        <w:rPr>
          <w:spacing w:val="-2"/>
        </w:rPr>
        <w:t>the</w:t>
      </w:r>
      <w:r>
        <w:rPr>
          <w:spacing w:val="-12"/>
        </w:rPr>
        <w:t xml:space="preserve"> </w:t>
      </w:r>
      <w:r>
        <w:rPr>
          <w:spacing w:val="-2"/>
        </w:rPr>
        <w:t>region</w:t>
      </w:r>
      <w:r>
        <w:rPr>
          <w:spacing w:val="-12"/>
        </w:rPr>
        <w:t xml:space="preserve"> </w:t>
      </w:r>
      <w:r>
        <w:rPr>
          <w:spacing w:val="-2"/>
        </w:rPr>
        <w:t>will</w:t>
      </w:r>
      <w:r>
        <w:rPr>
          <w:spacing w:val="-12"/>
        </w:rPr>
        <w:t xml:space="preserve"> </w:t>
      </w:r>
      <w:r>
        <w:rPr>
          <w:spacing w:val="-2"/>
        </w:rPr>
        <w:t xml:space="preserve">have </w:t>
      </w:r>
      <w:r>
        <w:rPr>
          <w:w w:val="95"/>
        </w:rPr>
        <w:t>grown</w:t>
      </w:r>
      <w:r>
        <w:rPr>
          <w:spacing w:val="-5"/>
          <w:w w:val="95"/>
        </w:rPr>
        <w:t xml:space="preserve"> </w:t>
      </w:r>
      <w:r>
        <w:rPr>
          <w:w w:val="95"/>
        </w:rPr>
        <w:t>by</w:t>
      </w:r>
      <w:r>
        <w:rPr>
          <w:spacing w:val="-5"/>
          <w:w w:val="95"/>
        </w:rPr>
        <w:t xml:space="preserve"> </w:t>
      </w:r>
      <w:r>
        <w:rPr>
          <w:w w:val="95"/>
        </w:rPr>
        <w:t>400,000</w:t>
      </w:r>
      <w:r>
        <w:rPr>
          <w:spacing w:val="-5"/>
          <w:w w:val="95"/>
        </w:rPr>
        <w:t xml:space="preserve"> </w:t>
      </w:r>
      <w:r>
        <w:rPr>
          <w:w w:val="95"/>
        </w:rPr>
        <w:t>to</w:t>
      </w:r>
      <w:r>
        <w:rPr>
          <w:spacing w:val="-5"/>
          <w:w w:val="95"/>
        </w:rPr>
        <w:t xml:space="preserve"> </w:t>
      </w:r>
      <w:r>
        <w:rPr>
          <w:w w:val="95"/>
        </w:rPr>
        <w:t>1.7</w:t>
      </w:r>
      <w:r>
        <w:rPr>
          <w:spacing w:val="-5"/>
          <w:w w:val="95"/>
        </w:rPr>
        <w:t xml:space="preserve"> </w:t>
      </w:r>
      <w:r>
        <w:rPr>
          <w:w w:val="95"/>
        </w:rPr>
        <w:t>million</w:t>
      </w:r>
      <w:r>
        <w:rPr>
          <w:spacing w:val="-5"/>
          <w:w w:val="95"/>
        </w:rPr>
        <w:t xml:space="preserve"> </w:t>
      </w:r>
      <w:r>
        <w:rPr>
          <w:w w:val="95"/>
        </w:rPr>
        <w:t>people</w:t>
      </w:r>
      <w:r>
        <w:rPr>
          <w:w w:val="95"/>
          <w:position w:val="7"/>
          <w:sz w:val="11"/>
        </w:rPr>
        <w:t>22</w:t>
      </w:r>
      <w:r>
        <w:rPr>
          <w:w w:val="95"/>
        </w:rPr>
        <w:t>.</w:t>
      </w:r>
      <w:r>
        <w:rPr>
          <w:spacing w:val="-5"/>
          <w:w w:val="95"/>
        </w:rPr>
        <w:t xml:space="preserve"> </w:t>
      </w:r>
      <w:r>
        <w:rPr>
          <w:w w:val="95"/>
        </w:rPr>
        <w:t>By</w:t>
      </w:r>
      <w:r>
        <w:rPr>
          <w:spacing w:val="-5"/>
          <w:w w:val="95"/>
        </w:rPr>
        <w:t xml:space="preserve"> </w:t>
      </w:r>
      <w:r>
        <w:rPr>
          <w:w w:val="95"/>
        </w:rPr>
        <w:t>comparison, between</w:t>
      </w:r>
      <w:r>
        <w:rPr>
          <w:spacing w:val="-12"/>
          <w:w w:val="95"/>
        </w:rPr>
        <w:t xml:space="preserve"> </w:t>
      </w:r>
      <w:r>
        <w:rPr>
          <w:w w:val="95"/>
        </w:rPr>
        <w:t>1991</w:t>
      </w:r>
      <w:r>
        <w:rPr>
          <w:spacing w:val="-11"/>
          <w:w w:val="95"/>
        </w:rPr>
        <w:t xml:space="preserve"> </w:t>
      </w:r>
      <w:r>
        <w:rPr>
          <w:w w:val="95"/>
        </w:rPr>
        <w:t>and</w:t>
      </w:r>
      <w:r>
        <w:rPr>
          <w:spacing w:val="-11"/>
          <w:w w:val="95"/>
        </w:rPr>
        <w:t xml:space="preserve"> </w:t>
      </w:r>
      <w:r>
        <w:rPr>
          <w:w w:val="95"/>
        </w:rPr>
        <w:t>2011,</w:t>
      </w:r>
      <w:r>
        <w:rPr>
          <w:spacing w:val="-11"/>
          <w:w w:val="95"/>
        </w:rPr>
        <w:t xml:space="preserve"> </w:t>
      </w:r>
      <w:r>
        <w:rPr>
          <w:w w:val="95"/>
        </w:rPr>
        <w:t>the</w:t>
      </w:r>
      <w:r>
        <w:rPr>
          <w:spacing w:val="-12"/>
          <w:w w:val="95"/>
        </w:rPr>
        <w:t xml:space="preserve"> </w:t>
      </w:r>
      <w:r>
        <w:rPr>
          <w:w w:val="95"/>
        </w:rPr>
        <w:t>population</w:t>
      </w:r>
      <w:r>
        <w:rPr>
          <w:spacing w:val="-11"/>
          <w:w w:val="95"/>
        </w:rPr>
        <w:t xml:space="preserve"> </w:t>
      </w:r>
      <w:r>
        <w:rPr>
          <w:w w:val="95"/>
        </w:rPr>
        <w:t>of</w:t>
      </w:r>
      <w:r>
        <w:rPr>
          <w:spacing w:val="-11"/>
          <w:w w:val="95"/>
        </w:rPr>
        <w:t xml:space="preserve"> </w:t>
      </w:r>
      <w:r>
        <w:rPr>
          <w:w w:val="95"/>
        </w:rPr>
        <w:t>Global</w:t>
      </w:r>
      <w:r>
        <w:rPr>
          <w:spacing w:val="-11"/>
          <w:w w:val="95"/>
        </w:rPr>
        <w:t xml:space="preserve"> </w:t>
      </w:r>
      <w:r>
        <w:rPr>
          <w:w w:val="95"/>
        </w:rPr>
        <w:t xml:space="preserve">Sydney </w:t>
      </w:r>
      <w:r>
        <w:t>grew by 250,000.</w:t>
      </w:r>
    </w:p>
    <w:p w:rsidR="002C1123" w:rsidRDefault="00F22F94">
      <w:pPr>
        <w:pStyle w:val="BodyText"/>
        <w:spacing w:before="146" w:line="249" w:lineRule="auto"/>
        <w:ind w:left="492" w:right="1220"/>
        <w:jc w:val="both"/>
      </w:pPr>
      <w:r>
        <w:rPr>
          <w:w w:val="95"/>
        </w:rPr>
        <w:t>The</w:t>
      </w:r>
      <w:r>
        <w:rPr>
          <w:spacing w:val="-1"/>
          <w:w w:val="95"/>
        </w:rPr>
        <w:t xml:space="preserve"> </w:t>
      </w:r>
      <w:r>
        <w:rPr>
          <w:w w:val="95"/>
        </w:rPr>
        <w:t>infrastructure</w:t>
      </w:r>
      <w:r>
        <w:rPr>
          <w:spacing w:val="-1"/>
          <w:w w:val="95"/>
        </w:rPr>
        <w:t xml:space="preserve"> </w:t>
      </w:r>
      <w:r>
        <w:rPr>
          <w:w w:val="95"/>
        </w:rPr>
        <w:t>investment</w:t>
      </w:r>
      <w:r>
        <w:rPr>
          <w:spacing w:val="-1"/>
          <w:w w:val="95"/>
        </w:rPr>
        <w:t xml:space="preserve"> </w:t>
      </w:r>
      <w:r>
        <w:rPr>
          <w:w w:val="95"/>
        </w:rPr>
        <w:t>challenges</w:t>
      </w:r>
      <w:r>
        <w:rPr>
          <w:spacing w:val="-1"/>
          <w:w w:val="95"/>
        </w:rPr>
        <w:t xml:space="preserve"> </w:t>
      </w:r>
      <w:r>
        <w:rPr>
          <w:w w:val="95"/>
        </w:rPr>
        <w:t>that</w:t>
      </w:r>
      <w:r>
        <w:rPr>
          <w:spacing w:val="-1"/>
          <w:w w:val="95"/>
        </w:rPr>
        <w:t xml:space="preserve"> </w:t>
      </w:r>
      <w:r>
        <w:rPr>
          <w:w w:val="95"/>
        </w:rPr>
        <w:t>arise from</w:t>
      </w:r>
      <w:r>
        <w:rPr>
          <w:spacing w:val="-2"/>
          <w:w w:val="95"/>
        </w:rPr>
        <w:t xml:space="preserve"> </w:t>
      </w:r>
      <w:r>
        <w:rPr>
          <w:w w:val="95"/>
        </w:rPr>
        <w:t>these</w:t>
      </w:r>
      <w:r>
        <w:rPr>
          <w:spacing w:val="-2"/>
          <w:w w:val="95"/>
        </w:rPr>
        <w:t xml:space="preserve"> </w:t>
      </w:r>
      <w:r>
        <w:rPr>
          <w:w w:val="95"/>
        </w:rPr>
        <w:t>findings</w:t>
      </w:r>
      <w:r>
        <w:rPr>
          <w:spacing w:val="-2"/>
          <w:w w:val="95"/>
        </w:rPr>
        <w:t xml:space="preserve"> </w:t>
      </w:r>
      <w:r>
        <w:rPr>
          <w:w w:val="95"/>
        </w:rPr>
        <w:t>is</w:t>
      </w:r>
      <w:r>
        <w:rPr>
          <w:spacing w:val="-2"/>
          <w:w w:val="95"/>
        </w:rPr>
        <w:t xml:space="preserve"> </w:t>
      </w:r>
      <w:r>
        <w:rPr>
          <w:w w:val="95"/>
        </w:rPr>
        <w:t>that</w:t>
      </w:r>
      <w:r>
        <w:rPr>
          <w:spacing w:val="-2"/>
          <w:w w:val="95"/>
        </w:rPr>
        <w:t xml:space="preserve"> </w:t>
      </w:r>
      <w:r>
        <w:rPr>
          <w:w w:val="95"/>
        </w:rPr>
        <w:t>significant</w:t>
      </w:r>
      <w:r>
        <w:rPr>
          <w:spacing w:val="-2"/>
          <w:w w:val="95"/>
        </w:rPr>
        <w:t xml:space="preserve"> </w:t>
      </w:r>
      <w:r>
        <w:rPr>
          <w:w w:val="95"/>
        </w:rPr>
        <w:t>energy</w:t>
      </w:r>
      <w:r>
        <w:rPr>
          <w:spacing w:val="-2"/>
          <w:w w:val="95"/>
        </w:rPr>
        <w:t xml:space="preserve"> </w:t>
      </w:r>
      <w:r>
        <w:rPr>
          <w:w w:val="95"/>
        </w:rPr>
        <w:t>needs to</w:t>
      </w:r>
      <w:r>
        <w:rPr>
          <w:spacing w:val="-8"/>
          <w:w w:val="95"/>
        </w:rPr>
        <w:t xml:space="preserve"> </w:t>
      </w:r>
      <w:r>
        <w:rPr>
          <w:w w:val="95"/>
        </w:rPr>
        <w:t>be</w:t>
      </w:r>
      <w:r>
        <w:rPr>
          <w:spacing w:val="-7"/>
          <w:w w:val="95"/>
        </w:rPr>
        <w:t xml:space="preserve"> </w:t>
      </w:r>
      <w:r>
        <w:rPr>
          <w:w w:val="95"/>
        </w:rPr>
        <w:t>directed</w:t>
      </w:r>
      <w:r>
        <w:rPr>
          <w:spacing w:val="-7"/>
          <w:w w:val="95"/>
        </w:rPr>
        <w:t xml:space="preserve"> </w:t>
      </w:r>
      <w:r>
        <w:rPr>
          <w:w w:val="95"/>
        </w:rPr>
        <w:t>into</w:t>
      </w:r>
      <w:r>
        <w:rPr>
          <w:spacing w:val="-7"/>
          <w:w w:val="95"/>
        </w:rPr>
        <w:t xml:space="preserve"> </w:t>
      </w:r>
      <w:r>
        <w:rPr>
          <w:w w:val="95"/>
        </w:rPr>
        <w:t>ensuring</w:t>
      </w:r>
      <w:r>
        <w:rPr>
          <w:spacing w:val="-7"/>
          <w:w w:val="95"/>
        </w:rPr>
        <w:t xml:space="preserve"> </w:t>
      </w:r>
      <w:r>
        <w:rPr>
          <w:w w:val="95"/>
        </w:rPr>
        <w:t>Global</w:t>
      </w:r>
      <w:r>
        <w:rPr>
          <w:spacing w:val="-8"/>
          <w:w w:val="95"/>
        </w:rPr>
        <w:t xml:space="preserve"> </w:t>
      </w:r>
      <w:r>
        <w:rPr>
          <w:w w:val="95"/>
        </w:rPr>
        <w:t>Sydney</w:t>
      </w:r>
      <w:r>
        <w:rPr>
          <w:spacing w:val="-7"/>
          <w:w w:val="95"/>
        </w:rPr>
        <w:t xml:space="preserve"> </w:t>
      </w:r>
      <w:r>
        <w:rPr>
          <w:w w:val="95"/>
        </w:rPr>
        <w:t>is</w:t>
      </w:r>
      <w:r>
        <w:rPr>
          <w:spacing w:val="-7"/>
          <w:w w:val="95"/>
        </w:rPr>
        <w:t xml:space="preserve"> </w:t>
      </w:r>
      <w:r>
        <w:rPr>
          <w:spacing w:val="-2"/>
          <w:w w:val="95"/>
        </w:rPr>
        <w:t>highly</w:t>
      </w:r>
    </w:p>
    <w:p w:rsidR="002C1123" w:rsidRDefault="00F22F94">
      <w:pPr>
        <w:pStyle w:val="BodyText"/>
        <w:spacing w:before="2" w:line="249" w:lineRule="auto"/>
        <w:ind w:left="492" w:right="870"/>
        <w:jc w:val="both"/>
      </w:pPr>
      <w:r>
        <w:rPr>
          <w:w w:val="95"/>
        </w:rPr>
        <w:t>accessible,</w:t>
      </w:r>
      <w:r>
        <w:rPr>
          <w:spacing w:val="-9"/>
          <w:w w:val="95"/>
        </w:rPr>
        <w:t xml:space="preserve"> </w:t>
      </w:r>
      <w:r>
        <w:rPr>
          <w:w w:val="95"/>
        </w:rPr>
        <w:t>maintains</w:t>
      </w:r>
      <w:r>
        <w:rPr>
          <w:spacing w:val="-9"/>
          <w:w w:val="95"/>
        </w:rPr>
        <w:t xml:space="preserve"> </w:t>
      </w:r>
      <w:r>
        <w:rPr>
          <w:w w:val="95"/>
        </w:rPr>
        <w:t>its</w:t>
      </w:r>
      <w:r>
        <w:rPr>
          <w:spacing w:val="-9"/>
          <w:w w:val="95"/>
        </w:rPr>
        <w:t xml:space="preserve"> </w:t>
      </w:r>
      <w:r>
        <w:rPr>
          <w:w w:val="95"/>
        </w:rPr>
        <w:t>attractive</w:t>
      </w:r>
      <w:r>
        <w:rPr>
          <w:spacing w:val="-9"/>
          <w:w w:val="95"/>
        </w:rPr>
        <w:t xml:space="preserve"> </w:t>
      </w:r>
      <w:r>
        <w:rPr>
          <w:w w:val="95"/>
        </w:rPr>
        <w:t>lifestyle</w:t>
      </w:r>
      <w:r>
        <w:rPr>
          <w:spacing w:val="-9"/>
          <w:w w:val="95"/>
        </w:rPr>
        <w:t xml:space="preserve"> </w:t>
      </w:r>
      <w:r>
        <w:rPr>
          <w:w w:val="95"/>
        </w:rPr>
        <w:t>and</w:t>
      </w:r>
      <w:r>
        <w:rPr>
          <w:spacing w:val="-9"/>
          <w:w w:val="95"/>
        </w:rPr>
        <w:t xml:space="preserve"> </w:t>
      </w:r>
      <w:r>
        <w:rPr>
          <w:w w:val="95"/>
        </w:rPr>
        <w:t xml:space="preserve">remains </w:t>
      </w:r>
      <w:r>
        <w:t>open to the world.</w:t>
      </w:r>
    </w:p>
    <w:p w:rsidR="002C1123" w:rsidRDefault="00F22F94">
      <w:pPr>
        <w:pStyle w:val="BodyText"/>
        <w:spacing w:before="143" w:line="249" w:lineRule="auto"/>
        <w:ind w:left="492" w:right="1249"/>
      </w:pPr>
      <w:r>
        <w:rPr>
          <w:w w:val="95"/>
        </w:rPr>
        <w:t>The</w:t>
      </w:r>
      <w:r>
        <w:rPr>
          <w:spacing w:val="-2"/>
          <w:w w:val="95"/>
        </w:rPr>
        <w:t xml:space="preserve"> </w:t>
      </w:r>
      <w:r>
        <w:rPr>
          <w:w w:val="95"/>
        </w:rPr>
        <w:t>continuing</w:t>
      </w:r>
      <w:r>
        <w:rPr>
          <w:spacing w:val="-2"/>
          <w:w w:val="95"/>
        </w:rPr>
        <w:t xml:space="preserve"> </w:t>
      </w:r>
      <w:r>
        <w:rPr>
          <w:w w:val="95"/>
        </w:rPr>
        <w:t>importance</w:t>
      </w:r>
      <w:r>
        <w:rPr>
          <w:spacing w:val="-2"/>
          <w:w w:val="95"/>
        </w:rPr>
        <w:t xml:space="preserve"> </w:t>
      </w:r>
      <w:r>
        <w:rPr>
          <w:w w:val="95"/>
        </w:rPr>
        <w:t>of</w:t>
      </w:r>
      <w:r>
        <w:rPr>
          <w:spacing w:val="-2"/>
          <w:w w:val="95"/>
        </w:rPr>
        <w:t xml:space="preserve"> </w:t>
      </w:r>
      <w:r>
        <w:rPr>
          <w:w w:val="95"/>
        </w:rPr>
        <w:t>Global</w:t>
      </w:r>
      <w:r>
        <w:rPr>
          <w:spacing w:val="-2"/>
          <w:w w:val="95"/>
        </w:rPr>
        <w:t xml:space="preserve"> </w:t>
      </w:r>
      <w:r>
        <w:rPr>
          <w:w w:val="95"/>
        </w:rPr>
        <w:t>Sydney</w:t>
      </w:r>
      <w:r>
        <w:rPr>
          <w:spacing w:val="-2"/>
          <w:w w:val="95"/>
        </w:rPr>
        <w:t xml:space="preserve"> </w:t>
      </w:r>
      <w:r>
        <w:rPr>
          <w:w w:val="95"/>
        </w:rPr>
        <w:t xml:space="preserve">does </w:t>
      </w:r>
      <w:r>
        <w:t>not</w:t>
      </w:r>
      <w:r>
        <w:rPr>
          <w:spacing w:val="-5"/>
        </w:rPr>
        <w:t xml:space="preserve"> </w:t>
      </w:r>
      <w:r>
        <w:t>preclude</w:t>
      </w:r>
      <w:r>
        <w:rPr>
          <w:spacing w:val="-5"/>
        </w:rPr>
        <w:t xml:space="preserve"> </w:t>
      </w:r>
      <w:r>
        <w:t>the</w:t>
      </w:r>
      <w:r>
        <w:rPr>
          <w:spacing w:val="-5"/>
        </w:rPr>
        <w:t xml:space="preserve"> </w:t>
      </w:r>
      <w:r>
        <w:t>development</w:t>
      </w:r>
      <w:r>
        <w:rPr>
          <w:spacing w:val="-5"/>
        </w:rPr>
        <w:t xml:space="preserve"> </w:t>
      </w:r>
      <w:r>
        <w:t>of</w:t>
      </w:r>
      <w:r>
        <w:rPr>
          <w:spacing w:val="-5"/>
        </w:rPr>
        <w:t xml:space="preserve"> </w:t>
      </w:r>
      <w:r>
        <w:t>secondary</w:t>
      </w:r>
      <w:r>
        <w:rPr>
          <w:spacing w:val="-5"/>
        </w:rPr>
        <w:t xml:space="preserve"> </w:t>
      </w:r>
      <w:r>
        <w:t>and</w:t>
      </w:r>
    </w:p>
    <w:p w:rsidR="002C1123" w:rsidRDefault="00F22F94">
      <w:pPr>
        <w:pStyle w:val="BodyText"/>
        <w:spacing w:before="2" w:line="249" w:lineRule="auto"/>
        <w:ind w:left="492" w:right="718"/>
      </w:pPr>
      <w:r>
        <w:rPr>
          <w:w w:val="95"/>
        </w:rPr>
        <w:t>supplementary</w:t>
      </w:r>
      <w:r>
        <w:rPr>
          <w:spacing w:val="-4"/>
          <w:w w:val="95"/>
        </w:rPr>
        <w:t xml:space="preserve"> </w:t>
      </w:r>
      <w:r>
        <w:rPr>
          <w:w w:val="95"/>
        </w:rPr>
        <w:t>business</w:t>
      </w:r>
      <w:r>
        <w:rPr>
          <w:spacing w:val="-4"/>
          <w:w w:val="95"/>
        </w:rPr>
        <w:t xml:space="preserve"> </w:t>
      </w:r>
      <w:r>
        <w:rPr>
          <w:w w:val="95"/>
        </w:rPr>
        <w:t>centres</w:t>
      </w:r>
      <w:r>
        <w:rPr>
          <w:spacing w:val="-4"/>
          <w:w w:val="95"/>
        </w:rPr>
        <w:t xml:space="preserve"> </w:t>
      </w:r>
      <w:r>
        <w:rPr>
          <w:w w:val="95"/>
        </w:rPr>
        <w:t>within</w:t>
      </w:r>
      <w:r>
        <w:rPr>
          <w:spacing w:val="-4"/>
          <w:w w:val="95"/>
        </w:rPr>
        <w:t xml:space="preserve"> </w:t>
      </w:r>
      <w:r>
        <w:rPr>
          <w:w w:val="95"/>
        </w:rPr>
        <w:t>Greater</w:t>
      </w:r>
      <w:r>
        <w:rPr>
          <w:spacing w:val="-4"/>
          <w:w w:val="95"/>
        </w:rPr>
        <w:t xml:space="preserve"> </w:t>
      </w:r>
      <w:r>
        <w:rPr>
          <w:w w:val="95"/>
        </w:rPr>
        <w:t xml:space="preserve">Sydney. </w:t>
      </w:r>
      <w:r>
        <w:t>The</w:t>
      </w:r>
      <w:r>
        <w:rPr>
          <w:spacing w:val="-14"/>
        </w:rPr>
        <w:t xml:space="preserve"> </w:t>
      </w:r>
      <w:r>
        <w:t>evidence</w:t>
      </w:r>
      <w:r>
        <w:rPr>
          <w:spacing w:val="-14"/>
        </w:rPr>
        <w:t xml:space="preserve"> </w:t>
      </w:r>
      <w:r>
        <w:t>from</w:t>
      </w:r>
      <w:r>
        <w:rPr>
          <w:spacing w:val="-14"/>
        </w:rPr>
        <w:t xml:space="preserve"> </w:t>
      </w:r>
      <w:r>
        <w:t>other</w:t>
      </w:r>
      <w:r>
        <w:rPr>
          <w:spacing w:val="-14"/>
        </w:rPr>
        <w:t xml:space="preserve"> </w:t>
      </w:r>
      <w:r>
        <w:t>global</w:t>
      </w:r>
      <w:r>
        <w:rPr>
          <w:spacing w:val="-14"/>
        </w:rPr>
        <w:t xml:space="preserve"> </w:t>
      </w:r>
      <w:r>
        <w:t>cities,</w:t>
      </w:r>
      <w:r>
        <w:rPr>
          <w:spacing w:val="-14"/>
        </w:rPr>
        <w:t xml:space="preserve"> </w:t>
      </w:r>
      <w:r>
        <w:t>like</w:t>
      </w:r>
      <w:r>
        <w:rPr>
          <w:spacing w:val="-14"/>
        </w:rPr>
        <w:t xml:space="preserve"> </w:t>
      </w:r>
      <w:r>
        <w:t>London</w:t>
      </w:r>
      <w:r>
        <w:rPr>
          <w:spacing w:val="-13"/>
        </w:rPr>
        <w:t xml:space="preserve"> </w:t>
      </w:r>
      <w:r>
        <w:t>and</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012" w:space="40"/>
            <w:col w:w="4930" w:space="71"/>
            <w:col w:w="6007"/>
          </w:cols>
        </w:sectPr>
      </w:pPr>
    </w:p>
    <w:p w:rsidR="002C1123" w:rsidRDefault="002C1123">
      <w:pPr>
        <w:pStyle w:val="BodyText"/>
        <w:spacing w:before="6" w:after="1"/>
        <w:rPr>
          <w:sz w:val="29"/>
        </w:rPr>
      </w:pPr>
    </w:p>
    <w:p w:rsidR="002C1123" w:rsidRDefault="002060EF">
      <w:pPr>
        <w:pStyle w:val="BodyText"/>
        <w:spacing w:line="20" w:lineRule="exact"/>
        <w:ind w:left="10545"/>
        <w:rPr>
          <w:sz w:val="2"/>
        </w:rPr>
      </w:pPr>
      <w:r>
        <w:rPr>
          <w:sz w:val="2"/>
        </w:rPr>
      </w:r>
      <w:r>
        <w:rPr>
          <w:sz w:val="2"/>
        </w:rPr>
        <w:pict>
          <v:group id="docshapegroup679" o:spid="_x0000_s4647" style="width:1in;height:.5pt;mso-position-horizontal-relative:char;mso-position-vertical-relative:line" coordsize="1440,10">
            <v:line id="_x0000_s4648" style="position:absolute" from="0,5" to="1440,5" strokecolor="#9c9c9d" strokeweight=".5pt"/>
            <w10:anchorlock/>
          </v:group>
        </w:pict>
      </w:r>
    </w:p>
    <w:p w:rsidR="002C1123" w:rsidRDefault="002C1123">
      <w:pPr>
        <w:spacing w:line="20" w:lineRule="exact"/>
        <w:rPr>
          <w:sz w:val="2"/>
        </w:rPr>
        <w:sectPr w:rsidR="002C1123">
          <w:type w:val="continuous"/>
          <w:pgSz w:w="16840" w:h="11910" w:orient="landscape"/>
          <w:pgMar w:top="560" w:right="280" w:bottom="280" w:left="500" w:header="0" w:footer="517" w:gutter="0"/>
          <w:cols w:space="720"/>
        </w:sectPr>
      </w:pPr>
    </w:p>
    <w:p w:rsidR="002C1123" w:rsidRDefault="002C1123">
      <w:pPr>
        <w:pStyle w:val="BodyText"/>
      </w:pPr>
    </w:p>
    <w:p w:rsidR="002C1123" w:rsidRDefault="002C1123">
      <w:pPr>
        <w:pStyle w:val="BodyText"/>
      </w:pPr>
    </w:p>
    <w:p w:rsidR="002C1123" w:rsidRDefault="002060EF">
      <w:pPr>
        <w:pStyle w:val="BodyText"/>
        <w:spacing w:line="20" w:lineRule="exact"/>
        <w:ind w:left="662"/>
        <w:rPr>
          <w:sz w:val="2"/>
        </w:rPr>
      </w:pPr>
      <w:r>
        <w:rPr>
          <w:sz w:val="2"/>
        </w:rPr>
      </w:r>
      <w:r>
        <w:rPr>
          <w:sz w:val="2"/>
        </w:rPr>
        <w:pict>
          <v:group id="docshapegroup680" o:spid="_x0000_s4645" style="width:1in;height:.5pt;mso-position-horizontal-relative:char;mso-position-vertical-relative:line" coordsize="1440,10">
            <v:line id="_x0000_s4646" style="position:absolute" from="0,5" to="1440,5" strokecolor="#9c9c9d" strokeweight=".5pt"/>
            <w10:anchorlock/>
          </v:group>
        </w:pict>
      </w:r>
    </w:p>
    <w:p w:rsidR="002C1123" w:rsidRDefault="00F22F94">
      <w:pPr>
        <w:pStyle w:val="ListParagraph"/>
        <w:numPr>
          <w:ilvl w:val="0"/>
          <w:numId w:val="119"/>
        </w:numPr>
        <w:tabs>
          <w:tab w:val="left" w:pos="861"/>
        </w:tabs>
        <w:spacing w:before="8"/>
        <w:ind w:left="860"/>
        <w:jc w:val="left"/>
        <w:rPr>
          <w:sz w:val="14"/>
        </w:rPr>
      </w:pPr>
      <w:r>
        <w:rPr>
          <w:spacing w:val="-2"/>
          <w:w w:val="95"/>
          <w:sz w:val="14"/>
        </w:rPr>
        <w:t>Glaeser,</w:t>
      </w:r>
      <w:r>
        <w:rPr>
          <w:spacing w:val="-3"/>
          <w:sz w:val="14"/>
        </w:rPr>
        <w:t xml:space="preserve"> </w:t>
      </w:r>
      <w:r>
        <w:rPr>
          <w:spacing w:val="-2"/>
          <w:w w:val="95"/>
          <w:sz w:val="14"/>
        </w:rPr>
        <w:t>E</w:t>
      </w:r>
      <w:r>
        <w:rPr>
          <w:spacing w:val="-3"/>
          <w:sz w:val="14"/>
        </w:rPr>
        <w:t xml:space="preserve"> </w:t>
      </w:r>
      <w:r>
        <w:rPr>
          <w:spacing w:val="-2"/>
          <w:w w:val="95"/>
          <w:sz w:val="14"/>
        </w:rPr>
        <w:t>2011,</w:t>
      </w:r>
      <w:r>
        <w:rPr>
          <w:spacing w:val="-2"/>
          <w:sz w:val="14"/>
        </w:rPr>
        <w:t xml:space="preserve"> </w:t>
      </w:r>
      <w:r>
        <w:rPr>
          <w:spacing w:val="-2"/>
          <w:w w:val="95"/>
          <w:sz w:val="14"/>
        </w:rPr>
        <w:t>The</w:t>
      </w:r>
      <w:r>
        <w:rPr>
          <w:spacing w:val="-3"/>
          <w:sz w:val="14"/>
        </w:rPr>
        <w:t xml:space="preserve"> </w:t>
      </w:r>
      <w:r>
        <w:rPr>
          <w:spacing w:val="-2"/>
          <w:w w:val="95"/>
          <w:sz w:val="14"/>
        </w:rPr>
        <w:t>Triumph</w:t>
      </w:r>
      <w:r>
        <w:rPr>
          <w:spacing w:val="-2"/>
          <w:sz w:val="14"/>
        </w:rPr>
        <w:t xml:space="preserve"> </w:t>
      </w:r>
      <w:r>
        <w:rPr>
          <w:spacing w:val="-2"/>
          <w:w w:val="95"/>
          <w:sz w:val="14"/>
        </w:rPr>
        <w:t>of</w:t>
      </w:r>
      <w:r>
        <w:rPr>
          <w:spacing w:val="-3"/>
          <w:sz w:val="14"/>
        </w:rPr>
        <w:t xml:space="preserve"> </w:t>
      </w:r>
      <w:r>
        <w:rPr>
          <w:spacing w:val="-2"/>
          <w:w w:val="95"/>
          <w:sz w:val="14"/>
        </w:rPr>
        <w:t>the</w:t>
      </w:r>
      <w:r>
        <w:rPr>
          <w:spacing w:val="-2"/>
          <w:sz w:val="14"/>
        </w:rPr>
        <w:t xml:space="preserve"> </w:t>
      </w:r>
      <w:r>
        <w:rPr>
          <w:spacing w:val="-2"/>
          <w:w w:val="95"/>
          <w:sz w:val="14"/>
        </w:rPr>
        <w:t>City.</w:t>
      </w:r>
    </w:p>
    <w:p w:rsidR="002C1123" w:rsidRDefault="00F22F94">
      <w:pPr>
        <w:spacing w:after="24"/>
        <w:rPr>
          <w:sz w:val="24"/>
        </w:rPr>
      </w:pPr>
      <w:r>
        <w:br w:type="column"/>
      </w:r>
    </w:p>
    <w:p w:rsidR="002C1123" w:rsidRDefault="002060EF">
      <w:pPr>
        <w:pStyle w:val="BodyText"/>
        <w:spacing w:line="20" w:lineRule="exact"/>
        <w:ind w:left="662"/>
        <w:rPr>
          <w:sz w:val="2"/>
        </w:rPr>
      </w:pPr>
      <w:r>
        <w:rPr>
          <w:sz w:val="2"/>
        </w:rPr>
      </w:r>
      <w:r>
        <w:rPr>
          <w:sz w:val="2"/>
        </w:rPr>
        <w:pict>
          <v:group id="docshapegroup681" o:spid="_x0000_s4643" style="width:1in;height:.5pt;mso-position-horizontal-relative:char;mso-position-vertical-relative:line" coordsize="1440,10">
            <v:line id="_x0000_s4644" style="position:absolute" from="0,5" to="1440,5" strokecolor="#9c9c9d" strokeweight=".5pt"/>
            <w10:anchorlock/>
          </v:group>
        </w:pict>
      </w:r>
    </w:p>
    <w:p w:rsidR="002C1123" w:rsidRDefault="00F22F94">
      <w:pPr>
        <w:pStyle w:val="ListParagraph"/>
        <w:numPr>
          <w:ilvl w:val="0"/>
          <w:numId w:val="119"/>
        </w:numPr>
        <w:tabs>
          <w:tab w:val="left" w:pos="861"/>
        </w:tabs>
        <w:spacing w:before="8"/>
        <w:ind w:left="860" w:right="38"/>
        <w:jc w:val="left"/>
        <w:rPr>
          <w:sz w:val="14"/>
        </w:rPr>
      </w:pPr>
      <w:r>
        <w:rPr>
          <w:w w:val="95"/>
          <w:sz w:val="14"/>
        </w:rPr>
        <w:t>SGS Economics &amp; Planning 2011, Agglomeration and Labour</w:t>
      </w:r>
      <w:r>
        <w:rPr>
          <w:spacing w:val="40"/>
          <w:sz w:val="14"/>
        </w:rPr>
        <w:t xml:space="preserve"> </w:t>
      </w:r>
      <w:r>
        <w:rPr>
          <w:sz w:val="14"/>
        </w:rPr>
        <w:t>Productivity in Australian Cities.</w:t>
      </w:r>
    </w:p>
    <w:p w:rsidR="002C1123" w:rsidRDefault="00F22F94">
      <w:pPr>
        <w:pStyle w:val="ListParagraph"/>
        <w:numPr>
          <w:ilvl w:val="0"/>
          <w:numId w:val="119"/>
        </w:numPr>
        <w:tabs>
          <w:tab w:val="left" w:pos="861"/>
        </w:tabs>
        <w:spacing w:before="8" w:line="161" w:lineRule="exact"/>
        <w:ind w:left="860"/>
        <w:jc w:val="left"/>
        <w:rPr>
          <w:sz w:val="14"/>
        </w:rPr>
      </w:pPr>
      <w:r>
        <w:br w:type="column"/>
      </w:r>
      <w:r>
        <w:rPr>
          <w:w w:val="95"/>
          <w:sz w:val="14"/>
        </w:rPr>
        <w:t>Deloitte</w:t>
      </w:r>
      <w:r>
        <w:rPr>
          <w:spacing w:val="2"/>
          <w:sz w:val="14"/>
        </w:rPr>
        <w:t xml:space="preserve"> </w:t>
      </w:r>
      <w:r>
        <w:rPr>
          <w:w w:val="95"/>
          <w:sz w:val="14"/>
        </w:rPr>
        <w:t>Access</w:t>
      </w:r>
      <w:r>
        <w:rPr>
          <w:spacing w:val="2"/>
          <w:sz w:val="14"/>
        </w:rPr>
        <w:t xml:space="preserve"> </w:t>
      </w:r>
      <w:r>
        <w:rPr>
          <w:w w:val="95"/>
          <w:sz w:val="14"/>
        </w:rPr>
        <w:t>Economics</w:t>
      </w:r>
      <w:r>
        <w:rPr>
          <w:spacing w:val="3"/>
          <w:sz w:val="14"/>
        </w:rPr>
        <w:t xml:space="preserve"> </w:t>
      </w:r>
      <w:r>
        <w:rPr>
          <w:w w:val="95"/>
          <w:sz w:val="14"/>
        </w:rPr>
        <w:t>2012,</w:t>
      </w:r>
      <w:r>
        <w:rPr>
          <w:spacing w:val="2"/>
          <w:sz w:val="14"/>
        </w:rPr>
        <w:t xml:space="preserve"> </w:t>
      </w:r>
      <w:r>
        <w:rPr>
          <w:w w:val="95"/>
          <w:sz w:val="14"/>
        </w:rPr>
        <w:t>Infrastructure</w:t>
      </w:r>
      <w:r>
        <w:rPr>
          <w:spacing w:val="2"/>
          <w:sz w:val="14"/>
        </w:rPr>
        <w:t xml:space="preserve"> </w:t>
      </w:r>
      <w:r>
        <w:rPr>
          <w:w w:val="95"/>
          <w:sz w:val="14"/>
        </w:rPr>
        <w:t>and</w:t>
      </w:r>
      <w:r>
        <w:rPr>
          <w:spacing w:val="3"/>
          <w:sz w:val="14"/>
        </w:rPr>
        <w:t xml:space="preserve"> </w:t>
      </w:r>
      <w:r>
        <w:rPr>
          <w:w w:val="95"/>
          <w:sz w:val="14"/>
        </w:rPr>
        <w:t>the</w:t>
      </w:r>
      <w:r>
        <w:rPr>
          <w:spacing w:val="2"/>
          <w:sz w:val="14"/>
        </w:rPr>
        <w:t xml:space="preserve"> </w:t>
      </w:r>
      <w:r>
        <w:rPr>
          <w:w w:val="95"/>
          <w:sz w:val="14"/>
        </w:rPr>
        <w:t>NSW</w:t>
      </w:r>
      <w:r>
        <w:rPr>
          <w:spacing w:val="2"/>
          <w:sz w:val="14"/>
        </w:rPr>
        <w:t xml:space="preserve"> </w:t>
      </w:r>
      <w:r>
        <w:rPr>
          <w:spacing w:val="-2"/>
          <w:w w:val="95"/>
          <w:sz w:val="14"/>
        </w:rPr>
        <w:t>Economy.</w:t>
      </w:r>
    </w:p>
    <w:p w:rsidR="002C1123" w:rsidRDefault="00F22F94">
      <w:pPr>
        <w:pStyle w:val="ListParagraph"/>
        <w:numPr>
          <w:ilvl w:val="0"/>
          <w:numId w:val="119"/>
        </w:numPr>
        <w:tabs>
          <w:tab w:val="left" w:pos="861"/>
        </w:tabs>
        <w:ind w:left="860" w:right="1266"/>
        <w:jc w:val="left"/>
        <w:rPr>
          <w:sz w:val="14"/>
        </w:rPr>
      </w:pPr>
      <w:r>
        <w:rPr>
          <w:w w:val="95"/>
          <w:sz w:val="14"/>
        </w:rPr>
        <w:t>BIS Shrapnel 2011, Forecasting the Distribution of Dedicated Office</w:t>
      </w:r>
      <w:r>
        <w:rPr>
          <w:spacing w:val="40"/>
          <w:sz w:val="14"/>
        </w:rPr>
        <w:t xml:space="preserve"> </w:t>
      </w:r>
      <w:r>
        <w:rPr>
          <w:sz w:val="14"/>
        </w:rPr>
        <w:t>Employment</w:t>
      </w:r>
      <w:r>
        <w:rPr>
          <w:spacing w:val="-9"/>
          <w:sz w:val="14"/>
        </w:rPr>
        <w:t xml:space="preserve"> </w:t>
      </w:r>
      <w:r>
        <w:rPr>
          <w:sz w:val="14"/>
        </w:rPr>
        <w:t>in</w:t>
      </w:r>
      <w:r>
        <w:rPr>
          <w:spacing w:val="-9"/>
          <w:sz w:val="14"/>
        </w:rPr>
        <w:t xml:space="preserve"> </w:t>
      </w:r>
      <w:r>
        <w:rPr>
          <w:sz w:val="14"/>
        </w:rPr>
        <w:t>Sydney,</w:t>
      </w:r>
      <w:r>
        <w:rPr>
          <w:spacing w:val="-9"/>
          <w:sz w:val="14"/>
        </w:rPr>
        <w:t xml:space="preserve"> </w:t>
      </w:r>
      <w:r>
        <w:rPr>
          <w:sz w:val="14"/>
        </w:rPr>
        <w:t>Final</w:t>
      </w:r>
      <w:r>
        <w:rPr>
          <w:spacing w:val="-9"/>
          <w:sz w:val="14"/>
        </w:rPr>
        <w:t xml:space="preserve"> </w:t>
      </w:r>
      <w:r>
        <w:rPr>
          <w:sz w:val="14"/>
        </w:rPr>
        <w:t>Report</w:t>
      </w:r>
      <w:r>
        <w:rPr>
          <w:spacing w:val="-9"/>
          <w:sz w:val="14"/>
        </w:rPr>
        <w:t xml:space="preserve"> </w:t>
      </w:r>
      <w:r>
        <w:rPr>
          <w:sz w:val="14"/>
        </w:rPr>
        <w:t>for</w:t>
      </w:r>
      <w:r>
        <w:rPr>
          <w:spacing w:val="-9"/>
          <w:sz w:val="14"/>
        </w:rPr>
        <w:t xml:space="preserve"> </w:t>
      </w:r>
      <w:r>
        <w:rPr>
          <w:sz w:val="14"/>
        </w:rPr>
        <w:t>NSW</w:t>
      </w:r>
      <w:r>
        <w:rPr>
          <w:spacing w:val="-9"/>
          <w:sz w:val="14"/>
        </w:rPr>
        <w:t xml:space="preserve"> </w:t>
      </w:r>
      <w:r>
        <w:rPr>
          <w:sz w:val="14"/>
        </w:rPr>
        <w:t>Treasury.</w:t>
      </w:r>
    </w:p>
    <w:p w:rsidR="002C1123" w:rsidRDefault="00F22F94">
      <w:pPr>
        <w:pStyle w:val="ListParagraph"/>
        <w:numPr>
          <w:ilvl w:val="0"/>
          <w:numId w:val="119"/>
        </w:numPr>
        <w:tabs>
          <w:tab w:val="left" w:pos="861"/>
        </w:tabs>
        <w:spacing w:line="159" w:lineRule="exact"/>
        <w:ind w:left="860"/>
        <w:jc w:val="left"/>
        <w:rPr>
          <w:sz w:val="14"/>
        </w:rPr>
      </w:pPr>
      <w:r>
        <w:rPr>
          <w:w w:val="95"/>
          <w:sz w:val="14"/>
        </w:rPr>
        <w:t>Deloitte</w:t>
      </w:r>
      <w:r>
        <w:rPr>
          <w:spacing w:val="2"/>
          <w:sz w:val="14"/>
        </w:rPr>
        <w:t xml:space="preserve"> </w:t>
      </w:r>
      <w:r>
        <w:rPr>
          <w:w w:val="95"/>
          <w:sz w:val="14"/>
        </w:rPr>
        <w:t>Access</w:t>
      </w:r>
      <w:r>
        <w:rPr>
          <w:spacing w:val="2"/>
          <w:sz w:val="14"/>
        </w:rPr>
        <w:t xml:space="preserve"> </w:t>
      </w:r>
      <w:r>
        <w:rPr>
          <w:w w:val="95"/>
          <w:sz w:val="14"/>
        </w:rPr>
        <w:t>Economics</w:t>
      </w:r>
      <w:r>
        <w:rPr>
          <w:spacing w:val="3"/>
          <w:sz w:val="14"/>
        </w:rPr>
        <w:t xml:space="preserve"> </w:t>
      </w:r>
      <w:r>
        <w:rPr>
          <w:w w:val="95"/>
          <w:sz w:val="14"/>
        </w:rPr>
        <w:t>2012,</w:t>
      </w:r>
      <w:r>
        <w:rPr>
          <w:spacing w:val="2"/>
          <w:sz w:val="14"/>
        </w:rPr>
        <w:t xml:space="preserve"> </w:t>
      </w:r>
      <w:r>
        <w:rPr>
          <w:w w:val="95"/>
          <w:sz w:val="14"/>
        </w:rPr>
        <w:t>Infrastructure</w:t>
      </w:r>
      <w:r>
        <w:rPr>
          <w:spacing w:val="2"/>
          <w:sz w:val="14"/>
        </w:rPr>
        <w:t xml:space="preserve"> </w:t>
      </w:r>
      <w:r>
        <w:rPr>
          <w:w w:val="95"/>
          <w:sz w:val="14"/>
        </w:rPr>
        <w:t>and</w:t>
      </w:r>
      <w:r>
        <w:rPr>
          <w:spacing w:val="3"/>
          <w:sz w:val="14"/>
        </w:rPr>
        <w:t xml:space="preserve"> </w:t>
      </w:r>
      <w:r>
        <w:rPr>
          <w:w w:val="95"/>
          <w:sz w:val="14"/>
        </w:rPr>
        <w:t>the</w:t>
      </w:r>
      <w:r>
        <w:rPr>
          <w:spacing w:val="2"/>
          <w:sz w:val="14"/>
        </w:rPr>
        <w:t xml:space="preserve"> </w:t>
      </w:r>
      <w:r>
        <w:rPr>
          <w:w w:val="95"/>
          <w:sz w:val="14"/>
        </w:rPr>
        <w:t>NSW</w:t>
      </w:r>
      <w:r>
        <w:rPr>
          <w:spacing w:val="2"/>
          <w:sz w:val="14"/>
        </w:rPr>
        <w:t xml:space="preserve"> </w:t>
      </w:r>
      <w:r>
        <w:rPr>
          <w:spacing w:val="-2"/>
          <w:w w:val="95"/>
          <w:sz w:val="14"/>
        </w:rPr>
        <w:t>Economy.</w:t>
      </w:r>
    </w:p>
    <w:p w:rsidR="002C1123" w:rsidRDefault="002C1123">
      <w:pPr>
        <w:spacing w:line="159" w:lineRule="exact"/>
        <w:rPr>
          <w:sz w:val="14"/>
        </w:rPr>
        <w:sectPr w:rsidR="002C1123">
          <w:type w:val="continuous"/>
          <w:pgSz w:w="16840" w:h="11910" w:orient="landscape"/>
          <w:pgMar w:top="560" w:right="280" w:bottom="280" w:left="500" w:header="0" w:footer="517" w:gutter="0"/>
          <w:cols w:num="3" w:space="720" w:equalWidth="0">
            <w:col w:w="3327" w:space="1536"/>
            <w:col w:w="4585" w:space="436"/>
            <w:col w:w="6176"/>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7"/>
        </w:rPr>
      </w:pPr>
    </w:p>
    <w:p w:rsidR="002C1123" w:rsidRDefault="002C1123">
      <w:pPr>
        <w:rPr>
          <w:sz w:val="17"/>
        </w:rPr>
        <w:sectPr w:rsidR="002C1123">
          <w:pgSz w:w="16840" w:h="11910" w:orient="landscape"/>
          <w:pgMar w:top="560" w:right="280" w:bottom="700" w:left="500" w:header="0" w:footer="517" w:gutter="0"/>
          <w:cols w:space="720"/>
        </w:sectPr>
      </w:pPr>
    </w:p>
    <w:p w:rsidR="002C1123" w:rsidRDefault="00F22F94">
      <w:pPr>
        <w:pStyle w:val="BodyText"/>
        <w:spacing w:before="129" w:line="249" w:lineRule="auto"/>
        <w:ind w:left="492" w:right="52"/>
        <w:jc w:val="both"/>
      </w:pPr>
      <w:bookmarkStart w:id="97" w:name="3.4__Infrastructure_priorities__for_Glob"/>
      <w:bookmarkStart w:id="98" w:name="_bookmark70"/>
      <w:bookmarkStart w:id="99" w:name="_bookmark69"/>
      <w:bookmarkEnd w:id="97"/>
      <w:bookmarkEnd w:id="98"/>
      <w:bookmarkEnd w:id="99"/>
      <w:r>
        <w:rPr>
          <w:w w:val="95"/>
        </w:rPr>
        <w:t>Paris</w:t>
      </w:r>
      <w:r>
        <w:rPr>
          <w:spacing w:val="-4"/>
          <w:w w:val="95"/>
        </w:rPr>
        <w:t xml:space="preserve"> </w:t>
      </w:r>
      <w:r>
        <w:rPr>
          <w:w w:val="95"/>
        </w:rPr>
        <w:t>shows</w:t>
      </w:r>
      <w:r>
        <w:rPr>
          <w:spacing w:val="-4"/>
          <w:w w:val="95"/>
        </w:rPr>
        <w:t xml:space="preserve"> </w:t>
      </w:r>
      <w:r>
        <w:rPr>
          <w:w w:val="95"/>
        </w:rPr>
        <w:t>that</w:t>
      </w:r>
      <w:r>
        <w:rPr>
          <w:spacing w:val="-4"/>
          <w:w w:val="95"/>
        </w:rPr>
        <w:t xml:space="preserve"> </w:t>
      </w:r>
      <w:r>
        <w:rPr>
          <w:w w:val="95"/>
        </w:rPr>
        <w:t>supplementary</w:t>
      </w:r>
      <w:r>
        <w:rPr>
          <w:spacing w:val="-4"/>
          <w:w w:val="95"/>
        </w:rPr>
        <w:t xml:space="preserve"> </w:t>
      </w:r>
      <w:r>
        <w:rPr>
          <w:w w:val="95"/>
        </w:rPr>
        <w:t>business</w:t>
      </w:r>
      <w:r>
        <w:rPr>
          <w:spacing w:val="-4"/>
          <w:w w:val="95"/>
        </w:rPr>
        <w:t xml:space="preserve"> </w:t>
      </w:r>
      <w:r>
        <w:rPr>
          <w:w w:val="95"/>
        </w:rPr>
        <w:t>centres</w:t>
      </w:r>
      <w:r>
        <w:rPr>
          <w:spacing w:val="-4"/>
          <w:w w:val="95"/>
        </w:rPr>
        <w:t xml:space="preserve"> </w:t>
      </w:r>
      <w:r>
        <w:rPr>
          <w:w w:val="95"/>
        </w:rPr>
        <w:t>play</w:t>
      </w:r>
      <w:r>
        <w:rPr>
          <w:spacing w:val="-4"/>
          <w:w w:val="95"/>
        </w:rPr>
        <w:t xml:space="preserve"> </w:t>
      </w:r>
      <w:r>
        <w:rPr>
          <w:w w:val="95"/>
        </w:rPr>
        <w:t>a crucial</w:t>
      </w:r>
      <w:r>
        <w:rPr>
          <w:spacing w:val="-9"/>
          <w:w w:val="95"/>
        </w:rPr>
        <w:t xml:space="preserve"> </w:t>
      </w:r>
      <w:r>
        <w:rPr>
          <w:w w:val="95"/>
        </w:rPr>
        <w:t>role</w:t>
      </w:r>
      <w:r>
        <w:rPr>
          <w:spacing w:val="-9"/>
          <w:w w:val="95"/>
        </w:rPr>
        <w:t xml:space="preserve"> </w:t>
      </w:r>
      <w:r>
        <w:rPr>
          <w:w w:val="95"/>
        </w:rPr>
        <w:t>as</w:t>
      </w:r>
      <w:r>
        <w:rPr>
          <w:spacing w:val="-9"/>
          <w:w w:val="95"/>
        </w:rPr>
        <w:t xml:space="preserve"> </w:t>
      </w:r>
      <w:r>
        <w:rPr>
          <w:w w:val="95"/>
        </w:rPr>
        <w:t>well.</w:t>
      </w:r>
      <w:r>
        <w:rPr>
          <w:spacing w:val="-9"/>
          <w:w w:val="95"/>
        </w:rPr>
        <w:t xml:space="preserve"> </w:t>
      </w:r>
      <w:r>
        <w:rPr>
          <w:w w:val="95"/>
        </w:rPr>
        <w:t>This</w:t>
      </w:r>
      <w:r>
        <w:rPr>
          <w:spacing w:val="-9"/>
          <w:w w:val="95"/>
        </w:rPr>
        <w:t xml:space="preserve"> </w:t>
      </w:r>
      <w:r>
        <w:rPr>
          <w:w w:val="95"/>
        </w:rPr>
        <w:t>issue</w:t>
      </w:r>
      <w:r>
        <w:rPr>
          <w:spacing w:val="-9"/>
          <w:w w:val="95"/>
        </w:rPr>
        <w:t xml:space="preserve"> </w:t>
      </w:r>
      <w:r>
        <w:rPr>
          <w:w w:val="95"/>
        </w:rPr>
        <w:t>is</w:t>
      </w:r>
      <w:r>
        <w:rPr>
          <w:spacing w:val="-9"/>
          <w:w w:val="95"/>
        </w:rPr>
        <w:t xml:space="preserve"> </w:t>
      </w:r>
      <w:r>
        <w:rPr>
          <w:w w:val="95"/>
        </w:rPr>
        <w:t>discussed</w:t>
      </w:r>
      <w:r>
        <w:rPr>
          <w:spacing w:val="-9"/>
          <w:w w:val="95"/>
        </w:rPr>
        <w:t xml:space="preserve"> </w:t>
      </w:r>
      <w:r>
        <w:rPr>
          <w:w w:val="95"/>
        </w:rPr>
        <w:t>in</w:t>
      </w:r>
      <w:r>
        <w:rPr>
          <w:spacing w:val="-9"/>
          <w:w w:val="95"/>
        </w:rPr>
        <w:t xml:space="preserve"> </w:t>
      </w:r>
      <w:r>
        <w:rPr>
          <w:w w:val="95"/>
        </w:rPr>
        <w:t>more</w:t>
      </w:r>
      <w:r>
        <w:rPr>
          <w:spacing w:val="-9"/>
          <w:w w:val="95"/>
        </w:rPr>
        <w:t xml:space="preserve"> </w:t>
      </w:r>
      <w:r>
        <w:rPr>
          <w:w w:val="95"/>
        </w:rPr>
        <w:t xml:space="preserve">detail </w:t>
      </w:r>
      <w:r>
        <w:t>in</w:t>
      </w:r>
      <w:r>
        <w:rPr>
          <w:spacing w:val="-12"/>
        </w:rPr>
        <w:t xml:space="preserve"> </w:t>
      </w:r>
      <w:r>
        <w:t>Section</w:t>
      </w:r>
      <w:r>
        <w:rPr>
          <w:spacing w:val="-12"/>
        </w:rPr>
        <w:t xml:space="preserve"> </w:t>
      </w:r>
      <w:r>
        <w:t>4</w:t>
      </w:r>
      <w:r>
        <w:rPr>
          <w:spacing w:val="-12"/>
        </w:rPr>
        <w:t xml:space="preserve"> </w:t>
      </w:r>
      <w:r>
        <w:t>dealing</w:t>
      </w:r>
      <w:r>
        <w:rPr>
          <w:spacing w:val="-12"/>
        </w:rPr>
        <w:t xml:space="preserve"> </w:t>
      </w:r>
      <w:r>
        <w:t>with</w:t>
      </w:r>
      <w:r>
        <w:rPr>
          <w:spacing w:val="-12"/>
        </w:rPr>
        <w:t xml:space="preserve"> </w:t>
      </w:r>
      <w:r>
        <w:t>Greater</w:t>
      </w:r>
      <w:r>
        <w:rPr>
          <w:spacing w:val="-12"/>
        </w:rPr>
        <w:t xml:space="preserve"> </w:t>
      </w:r>
      <w:r>
        <w:t>Sydney.</w:t>
      </w:r>
    </w:p>
    <w:p w:rsidR="002C1123" w:rsidRDefault="00F22F94">
      <w:pPr>
        <w:pStyle w:val="Heading6"/>
        <w:numPr>
          <w:ilvl w:val="2"/>
          <w:numId w:val="120"/>
        </w:numPr>
        <w:tabs>
          <w:tab w:val="left" w:pos="979"/>
        </w:tabs>
        <w:spacing w:before="144"/>
        <w:ind w:left="978" w:hanging="487"/>
        <w:jc w:val="left"/>
      </w:pPr>
      <w:r>
        <w:rPr>
          <w:color w:val="EC008C"/>
          <w:spacing w:val="-4"/>
        </w:rPr>
        <w:t>The</w:t>
      </w:r>
      <w:r>
        <w:rPr>
          <w:color w:val="EC008C"/>
          <w:spacing w:val="-6"/>
        </w:rPr>
        <w:t xml:space="preserve"> </w:t>
      </w:r>
      <w:r>
        <w:rPr>
          <w:color w:val="EC008C"/>
          <w:spacing w:val="-4"/>
        </w:rPr>
        <w:t>Growth</w:t>
      </w:r>
      <w:r>
        <w:rPr>
          <w:color w:val="EC008C"/>
          <w:spacing w:val="-6"/>
        </w:rPr>
        <w:t xml:space="preserve"> </w:t>
      </w:r>
      <w:r>
        <w:rPr>
          <w:color w:val="EC008C"/>
          <w:spacing w:val="-4"/>
        </w:rPr>
        <w:t>Challenge</w:t>
      </w:r>
      <w:r>
        <w:rPr>
          <w:color w:val="EC008C"/>
          <w:spacing w:val="-6"/>
        </w:rPr>
        <w:t xml:space="preserve"> </w:t>
      </w:r>
      <w:r>
        <w:rPr>
          <w:color w:val="EC008C"/>
          <w:spacing w:val="-4"/>
        </w:rPr>
        <w:t>at</w:t>
      </w:r>
      <w:r>
        <w:rPr>
          <w:color w:val="EC008C"/>
          <w:spacing w:val="-6"/>
        </w:rPr>
        <w:t xml:space="preserve"> </w:t>
      </w:r>
      <w:r>
        <w:rPr>
          <w:color w:val="EC008C"/>
          <w:spacing w:val="-4"/>
        </w:rPr>
        <w:t>Sydney’s</w:t>
      </w:r>
      <w:r>
        <w:rPr>
          <w:color w:val="EC008C"/>
          <w:spacing w:val="-6"/>
        </w:rPr>
        <w:t xml:space="preserve"> </w:t>
      </w:r>
      <w:r>
        <w:rPr>
          <w:color w:val="EC008C"/>
          <w:spacing w:val="-4"/>
        </w:rPr>
        <w:t>Gateways</w:t>
      </w:r>
    </w:p>
    <w:p w:rsidR="002C1123" w:rsidRDefault="00F22F94">
      <w:pPr>
        <w:pStyle w:val="BodyText"/>
        <w:spacing w:before="95" w:line="249" w:lineRule="auto"/>
        <w:ind w:left="492"/>
      </w:pPr>
      <w:r>
        <w:rPr>
          <w:w w:val="95"/>
        </w:rPr>
        <w:t xml:space="preserve">A special challenge within Global Sydney relates to </w:t>
      </w:r>
      <w:r>
        <w:rPr>
          <w:spacing w:val="-2"/>
          <w:w w:val="95"/>
        </w:rPr>
        <w:t>Sydney’s</w:t>
      </w:r>
      <w:r>
        <w:rPr>
          <w:spacing w:val="-3"/>
          <w:w w:val="95"/>
        </w:rPr>
        <w:t xml:space="preserve"> </w:t>
      </w:r>
      <w:r>
        <w:rPr>
          <w:spacing w:val="-2"/>
          <w:w w:val="95"/>
        </w:rPr>
        <w:t>gateways.</w:t>
      </w:r>
      <w:r>
        <w:rPr>
          <w:spacing w:val="-3"/>
          <w:w w:val="95"/>
        </w:rPr>
        <w:t xml:space="preserve"> </w:t>
      </w:r>
      <w:r>
        <w:rPr>
          <w:spacing w:val="-2"/>
          <w:w w:val="95"/>
        </w:rPr>
        <w:t>Both</w:t>
      </w:r>
      <w:r>
        <w:rPr>
          <w:spacing w:val="-3"/>
          <w:w w:val="95"/>
        </w:rPr>
        <w:t xml:space="preserve"> </w:t>
      </w:r>
      <w:r>
        <w:rPr>
          <w:spacing w:val="-2"/>
          <w:w w:val="95"/>
        </w:rPr>
        <w:t>Sydney</w:t>
      </w:r>
      <w:r>
        <w:rPr>
          <w:spacing w:val="-3"/>
          <w:w w:val="95"/>
        </w:rPr>
        <w:t xml:space="preserve"> </w:t>
      </w:r>
      <w:r>
        <w:rPr>
          <w:spacing w:val="-2"/>
          <w:w w:val="95"/>
        </w:rPr>
        <w:t>Airport</w:t>
      </w:r>
      <w:r>
        <w:rPr>
          <w:spacing w:val="-3"/>
          <w:w w:val="95"/>
        </w:rPr>
        <w:t xml:space="preserve"> </w:t>
      </w:r>
      <w:r>
        <w:rPr>
          <w:spacing w:val="-2"/>
          <w:w w:val="95"/>
        </w:rPr>
        <w:t>and</w:t>
      </w:r>
      <w:r>
        <w:rPr>
          <w:spacing w:val="-3"/>
          <w:w w:val="95"/>
        </w:rPr>
        <w:t xml:space="preserve"> </w:t>
      </w:r>
      <w:r>
        <w:rPr>
          <w:spacing w:val="-2"/>
          <w:w w:val="95"/>
        </w:rPr>
        <w:t>Port</w:t>
      </w:r>
      <w:r>
        <w:rPr>
          <w:spacing w:val="-3"/>
          <w:w w:val="95"/>
        </w:rPr>
        <w:t xml:space="preserve"> </w:t>
      </w:r>
      <w:r>
        <w:rPr>
          <w:spacing w:val="-2"/>
          <w:w w:val="95"/>
        </w:rPr>
        <w:t xml:space="preserve">Botany </w:t>
      </w:r>
      <w:r>
        <w:rPr>
          <w:w w:val="95"/>
        </w:rPr>
        <w:t>expect rapid growth in demand faster than the economy as</w:t>
      </w:r>
      <w:r>
        <w:rPr>
          <w:spacing w:val="-8"/>
          <w:w w:val="95"/>
        </w:rPr>
        <w:t xml:space="preserve"> </w:t>
      </w:r>
      <w:r>
        <w:rPr>
          <w:w w:val="95"/>
        </w:rPr>
        <w:t>a</w:t>
      </w:r>
      <w:r>
        <w:rPr>
          <w:spacing w:val="-8"/>
          <w:w w:val="95"/>
        </w:rPr>
        <w:t xml:space="preserve"> </w:t>
      </w:r>
      <w:r>
        <w:rPr>
          <w:w w:val="95"/>
        </w:rPr>
        <w:t>whole</w:t>
      </w:r>
      <w:r>
        <w:rPr>
          <w:spacing w:val="-8"/>
          <w:w w:val="95"/>
        </w:rPr>
        <w:t xml:space="preserve"> </w:t>
      </w:r>
      <w:r>
        <w:rPr>
          <w:w w:val="95"/>
        </w:rPr>
        <w:t>and</w:t>
      </w:r>
      <w:r>
        <w:rPr>
          <w:spacing w:val="-8"/>
          <w:w w:val="95"/>
        </w:rPr>
        <w:t xml:space="preserve"> </w:t>
      </w:r>
      <w:r>
        <w:rPr>
          <w:w w:val="95"/>
        </w:rPr>
        <w:t>faster</w:t>
      </w:r>
      <w:r>
        <w:rPr>
          <w:spacing w:val="-8"/>
          <w:w w:val="95"/>
        </w:rPr>
        <w:t xml:space="preserve"> </w:t>
      </w:r>
      <w:r>
        <w:rPr>
          <w:w w:val="95"/>
        </w:rPr>
        <w:t>than</w:t>
      </w:r>
      <w:r>
        <w:rPr>
          <w:spacing w:val="-8"/>
          <w:w w:val="95"/>
        </w:rPr>
        <w:t xml:space="preserve"> </w:t>
      </w:r>
      <w:r>
        <w:rPr>
          <w:w w:val="95"/>
        </w:rPr>
        <w:t>other</w:t>
      </w:r>
      <w:r>
        <w:rPr>
          <w:spacing w:val="-8"/>
          <w:w w:val="95"/>
        </w:rPr>
        <w:t xml:space="preserve"> </w:t>
      </w:r>
      <w:r>
        <w:rPr>
          <w:w w:val="95"/>
        </w:rPr>
        <w:t>areas</w:t>
      </w:r>
      <w:r>
        <w:rPr>
          <w:spacing w:val="-8"/>
          <w:w w:val="95"/>
        </w:rPr>
        <w:t xml:space="preserve"> </w:t>
      </w:r>
      <w:r>
        <w:rPr>
          <w:w w:val="95"/>
        </w:rPr>
        <w:t>of</w:t>
      </w:r>
      <w:r>
        <w:rPr>
          <w:spacing w:val="-8"/>
          <w:w w:val="95"/>
        </w:rPr>
        <w:t xml:space="preserve"> </w:t>
      </w:r>
      <w:r>
        <w:rPr>
          <w:w w:val="95"/>
        </w:rPr>
        <w:t>Global</w:t>
      </w:r>
      <w:r>
        <w:rPr>
          <w:spacing w:val="-8"/>
          <w:w w:val="95"/>
        </w:rPr>
        <w:t xml:space="preserve"> </w:t>
      </w:r>
      <w:r>
        <w:rPr>
          <w:w w:val="95"/>
        </w:rPr>
        <w:t>Sydney.</w:t>
      </w:r>
    </w:p>
    <w:p w:rsidR="002C1123" w:rsidRDefault="00F22F94">
      <w:pPr>
        <w:pStyle w:val="BodyText"/>
        <w:spacing w:before="145" w:line="249" w:lineRule="auto"/>
        <w:ind w:left="492" w:right="205"/>
      </w:pPr>
      <w:r>
        <w:rPr>
          <w:w w:val="95"/>
        </w:rPr>
        <w:t>Passenger volumes at Sydney Airport are set to more than</w:t>
      </w:r>
      <w:r>
        <w:rPr>
          <w:spacing w:val="-8"/>
          <w:w w:val="95"/>
        </w:rPr>
        <w:t xml:space="preserve"> </w:t>
      </w:r>
      <w:r>
        <w:rPr>
          <w:w w:val="95"/>
        </w:rPr>
        <w:t>double</w:t>
      </w:r>
      <w:r>
        <w:rPr>
          <w:spacing w:val="-8"/>
          <w:w w:val="95"/>
        </w:rPr>
        <w:t xml:space="preserve"> </w:t>
      </w:r>
      <w:r>
        <w:rPr>
          <w:w w:val="95"/>
        </w:rPr>
        <w:t>from</w:t>
      </w:r>
      <w:r>
        <w:rPr>
          <w:spacing w:val="-9"/>
          <w:w w:val="95"/>
        </w:rPr>
        <w:t xml:space="preserve"> </w:t>
      </w:r>
      <w:r>
        <w:rPr>
          <w:w w:val="95"/>
        </w:rPr>
        <w:t>present</w:t>
      </w:r>
      <w:r>
        <w:rPr>
          <w:spacing w:val="-8"/>
          <w:w w:val="95"/>
        </w:rPr>
        <w:t xml:space="preserve"> </w:t>
      </w:r>
      <w:r>
        <w:rPr>
          <w:w w:val="95"/>
        </w:rPr>
        <w:t>levels</w:t>
      </w:r>
      <w:r>
        <w:rPr>
          <w:spacing w:val="-8"/>
          <w:w w:val="95"/>
        </w:rPr>
        <w:t xml:space="preserve"> </w:t>
      </w:r>
      <w:r>
        <w:rPr>
          <w:w w:val="95"/>
        </w:rPr>
        <w:t>over</w:t>
      </w:r>
      <w:r>
        <w:rPr>
          <w:spacing w:val="-8"/>
          <w:w w:val="95"/>
        </w:rPr>
        <w:t xml:space="preserve"> </w:t>
      </w:r>
      <w:r>
        <w:rPr>
          <w:w w:val="95"/>
        </w:rPr>
        <w:t>the</w:t>
      </w:r>
      <w:r>
        <w:rPr>
          <w:spacing w:val="-8"/>
          <w:w w:val="95"/>
        </w:rPr>
        <w:t xml:space="preserve"> </w:t>
      </w:r>
      <w:r>
        <w:rPr>
          <w:w w:val="95"/>
        </w:rPr>
        <w:t>next</w:t>
      </w:r>
      <w:r>
        <w:rPr>
          <w:spacing w:val="-8"/>
          <w:w w:val="95"/>
        </w:rPr>
        <w:t xml:space="preserve"> </w:t>
      </w:r>
      <w:r>
        <w:rPr>
          <w:w w:val="95"/>
        </w:rPr>
        <w:t>20</w:t>
      </w:r>
      <w:r>
        <w:rPr>
          <w:spacing w:val="-8"/>
          <w:w w:val="95"/>
        </w:rPr>
        <w:t xml:space="preserve"> </w:t>
      </w:r>
      <w:r>
        <w:rPr>
          <w:w w:val="95"/>
        </w:rPr>
        <w:t>years to</w:t>
      </w:r>
      <w:r>
        <w:rPr>
          <w:spacing w:val="-5"/>
          <w:w w:val="95"/>
        </w:rPr>
        <w:t xml:space="preserve"> </w:t>
      </w:r>
      <w:r>
        <w:rPr>
          <w:w w:val="95"/>
        </w:rPr>
        <w:t>over</w:t>
      </w:r>
      <w:r>
        <w:rPr>
          <w:spacing w:val="-5"/>
          <w:w w:val="95"/>
        </w:rPr>
        <w:t xml:space="preserve"> </w:t>
      </w:r>
      <w:r>
        <w:rPr>
          <w:w w:val="95"/>
        </w:rPr>
        <w:t>80</w:t>
      </w:r>
      <w:r>
        <w:rPr>
          <w:spacing w:val="-5"/>
          <w:w w:val="95"/>
        </w:rPr>
        <w:t xml:space="preserve"> </w:t>
      </w:r>
      <w:r>
        <w:rPr>
          <w:w w:val="95"/>
        </w:rPr>
        <w:t>million</w:t>
      </w:r>
      <w:r>
        <w:rPr>
          <w:spacing w:val="-5"/>
          <w:w w:val="95"/>
        </w:rPr>
        <w:t xml:space="preserve"> </w:t>
      </w:r>
      <w:r>
        <w:rPr>
          <w:w w:val="95"/>
        </w:rPr>
        <w:t>passengers</w:t>
      </w:r>
      <w:r>
        <w:rPr>
          <w:spacing w:val="-5"/>
          <w:w w:val="95"/>
        </w:rPr>
        <w:t xml:space="preserve"> </w:t>
      </w:r>
      <w:r>
        <w:rPr>
          <w:w w:val="95"/>
        </w:rPr>
        <w:t>in</w:t>
      </w:r>
      <w:r>
        <w:rPr>
          <w:spacing w:val="-5"/>
          <w:w w:val="95"/>
        </w:rPr>
        <w:t xml:space="preserve"> </w:t>
      </w:r>
      <w:r>
        <w:rPr>
          <w:w w:val="95"/>
        </w:rPr>
        <w:t>2031,</w:t>
      </w:r>
      <w:r>
        <w:rPr>
          <w:spacing w:val="-5"/>
          <w:w w:val="95"/>
        </w:rPr>
        <w:t xml:space="preserve"> </w:t>
      </w:r>
      <w:r>
        <w:rPr>
          <w:w w:val="95"/>
        </w:rPr>
        <w:t>increasing</w:t>
      </w:r>
      <w:r>
        <w:rPr>
          <w:spacing w:val="-5"/>
          <w:w w:val="95"/>
        </w:rPr>
        <w:t xml:space="preserve"> </w:t>
      </w:r>
      <w:r>
        <w:rPr>
          <w:w w:val="95"/>
        </w:rPr>
        <w:t xml:space="preserve">from </w:t>
      </w:r>
      <w:r>
        <w:t>around 40 million in 2010</w:t>
      </w:r>
      <w:r>
        <w:rPr>
          <w:position w:val="7"/>
          <w:sz w:val="11"/>
        </w:rPr>
        <w:t>23</w:t>
      </w:r>
      <w:r>
        <w:t>.</w:t>
      </w:r>
    </w:p>
    <w:p w:rsidR="002C1123" w:rsidRDefault="00F22F94">
      <w:pPr>
        <w:pStyle w:val="BodyText"/>
        <w:spacing w:before="145"/>
        <w:ind w:left="492"/>
        <w:jc w:val="both"/>
      </w:pPr>
      <w:r>
        <w:rPr>
          <w:w w:val="95"/>
        </w:rPr>
        <w:t>Sydney</w:t>
      </w:r>
      <w:r>
        <w:rPr>
          <w:spacing w:val="-5"/>
          <w:w w:val="95"/>
        </w:rPr>
        <w:t xml:space="preserve"> </w:t>
      </w:r>
      <w:r>
        <w:rPr>
          <w:w w:val="95"/>
        </w:rPr>
        <w:t>Ports</w:t>
      </w:r>
      <w:r>
        <w:rPr>
          <w:spacing w:val="-5"/>
          <w:w w:val="95"/>
        </w:rPr>
        <w:t xml:space="preserve"> </w:t>
      </w:r>
      <w:r>
        <w:rPr>
          <w:w w:val="95"/>
        </w:rPr>
        <w:t>forecasts</w:t>
      </w:r>
      <w:r>
        <w:rPr>
          <w:spacing w:val="-4"/>
          <w:w w:val="95"/>
        </w:rPr>
        <w:t xml:space="preserve"> </w:t>
      </w:r>
      <w:r>
        <w:rPr>
          <w:w w:val="95"/>
        </w:rPr>
        <w:t>container</w:t>
      </w:r>
      <w:r>
        <w:rPr>
          <w:spacing w:val="-5"/>
          <w:w w:val="95"/>
        </w:rPr>
        <w:t xml:space="preserve"> </w:t>
      </w:r>
      <w:r>
        <w:rPr>
          <w:w w:val="95"/>
        </w:rPr>
        <w:t>trade</w:t>
      </w:r>
      <w:r>
        <w:rPr>
          <w:spacing w:val="-4"/>
          <w:w w:val="95"/>
        </w:rPr>
        <w:t xml:space="preserve"> </w:t>
      </w:r>
      <w:r>
        <w:rPr>
          <w:spacing w:val="-2"/>
          <w:w w:val="95"/>
        </w:rPr>
        <w:t>through</w:t>
      </w:r>
    </w:p>
    <w:p w:rsidR="002C1123" w:rsidRDefault="00F22F94">
      <w:pPr>
        <w:pStyle w:val="BodyText"/>
        <w:spacing w:before="10" w:line="249" w:lineRule="auto"/>
        <w:ind w:left="492" w:right="19"/>
        <w:jc w:val="both"/>
      </w:pPr>
      <w:r>
        <w:rPr>
          <w:w w:val="95"/>
        </w:rPr>
        <w:t>Port</w:t>
      </w:r>
      <w:r>
        <w:rPr>
          <w:spacing w:val="-7"/>
          <w:w w:val="95"/>
        </w:rPr>
        <w:t xml:space="preserve"> </w:t>
      </w:r>
      <w:r>
        <w:rPr>
          <w:w w:val="95"/>
        </w:rPr>
        <w:t>Botany</w:t>
      </w:r>
      <w:r>
        <w:rPr>
          <w:spacing w:val="-7"/>
          <w:w w:val="95"/>
        </w:rPr>
        <w:t xml:space="preserve"> </w:t>
      </w:r>
      <w:r>
        <w:rPr>
          <w:w w:val="95"/>
        </w:rPr>
        <w:t>to</w:t>
      </w:r>
      <w:r>
        <w:rPr>
          <w:spacing w:val="-7"/>
          <w:w w:val="95"/>
        </w:rPr>
        <w:t xml:space="preserve"> </w:t>
      </w:r>
      <w:r>
        <w:rPr>
          <w:w w:val="95"/>
        </w:rPr>
        <w:t>nearly</w:t>
      </w:r>
      <w:r>
        <w:rPr>
          <w:spacing w:val="-7"/>
          <w:w w:val="95"/>
        </w:rPr>
        <w:t xml:space="preserve"> </w:t>
      </w:r>
      <w:r>
        <w:rPr>
          <w:w w:val="95"/>
        </w:rPr>
        <w:t>quadruple</w:t>
      </w:r>
      <w:r>
        <w:rPr>
          <w:spacing w:val="-7"/>
          <w:w w:val="95"/>
        </w:rPr>
        <w:t xml:space="preserve"> </w:t>
      </w:r>
      <w:r>
        <w:rPr>
          <w:w w:val="95"/>
        </w:rPr>
        <w:t>by</w:t>
      </w:r>
      <w:r>
        <w:rPr>
          <w:spacing w:val="-7"/>
          <w:w w:val="95"/>
        </w:rPr>
        <w:t xml:space="preserve"> </w:t>
      </w:r>
      <w:r>
        <w:rPr>
          <w:w w:val="95"/>
        </w:rPr>
        <w:t>2031,</w:t>
      </w:r>
      <w:r>
        <w:rPr>
          <w:spacing w:val="-7"/>
          <w:w w:val="95"/>
        </w:rPr>
        <w:t xml:space="preserve"> </w:t>
      </w:r>
      <w:r>
        <w:rPr>
          <w:w w:val="95"/>
        </w:rPr>
        <w:t>reaching</w:t>
      </w:r>
      <w:r>
        <w:rPr>
          <w:spacing w:val="-7"/>
          <w:w w:val="95"/>
        </w:rPr>
        <w:t xml:space="preserve"> </w:t>
      </w:r>
      <w:r>
        <w:rPr>
          <w:w w:val="95"/>
        </w:rPr>
        <w:t>seven million containers, increasing from</w:t>
      </w:r>
      <w:r>
        <w:rPr>
          <w:spacing w:val="-1"/>
          <w:w w:val="95"/>
        </w:rPr>
        <w:t xml:space="preserve"> </w:t>
      </w:r>
      <w:r>
        <w:rPr>
          <w:w w:val="95"/>
        </w:rPr>
        <w:t xml:space="preserve">two million containers </w:t>
      </w:r>
      <w:r>
        <w:t>in</w:t>
      </w:r>
      <w:r>
        <w:rPr>
          <w:spacing w:val="-11"/>
        </w:rPr>
        <w:t xml:space="preserve"> </w:t>
      </w:r>
      <w:r>
        <w:t>2011</w:t>
      </w:r>
      <w:r>
        <w:rPr>
          <w:position w:val="7"/>
          <w:sz w:val="11"/>
        </w:rPr>
        <w:t>24</w:t>
      </w:r>
      <w:r>
        <w:t>.</w:t>
      </w:r>
    </w:p>
    <w:p w:rsidR="002C1123" w:rsidRDefault="00F22F94">
      <w:pPr>
        <w:pStyle w:val="BodyText"/>
        <w:spacing w:before="144" w:line="249" w:lineRule="auto"/>
        <w:ind w:left="492"/>
      </w:pPr>
      <w:r>
        <w:rPr>
          <w:w w:val="95"/>
        </w:rPr>
        <w:t>This</w:t>
      </w:r>
      <w:r>
        <w:rPr>
          <w:spacing w:val="-5"/>
          <w:w w:val="95"/>
        </w:rPr>
        <w:t xml:space="preserve"> </w:t>
      </w:r>
      <w:r>
        <w:rPr>
          <w:w w:val="95"/>
        </w:rPr>
        <w:t>growth</w:t>
      </w:r>
      <w:r>
        <w:rPr>
          <w:spacing w:val="-5"/>
          <w:w w:val="95"/>
        </w:rPr>
        <w:t xml:space="preserve"> </w:t>
      </w:r>
      <w:r>
        <w:rPr>
          <w:w w:val="95"/>
        </w:rPr>
        <w:t>will</w:t>
      </w:r>
      <w:r>
        <w:rPr>
          <w:spacing w:val="-5"/>
          <w:w w:val="95"/>
        </w:rPr>
        <w:t xml:space="preserve"> </w:t>
      </w:r>
      <w:r>
        <w:rPr>
          <w:w w:val="95"/>
        </w:rPr>
        <w:t>place</w:t>
      </w:r>
      <w:r>
        <w:rPr>
          <w:spacing w:val="-5"/>
          <w:w w:val="95"/>
        </w:rPr>
        <w:t xml:space="preserve"> </w:t>
      </w:r>
      <w:r>
        <w:rPr>
          <w:w w:val="95"/>
        </w:rPr>
        <w:t>significant</w:t>
      </w:r>
      <w:r>
        <w:rPr>
          <w:spacing w:val="-5"/>
          <w:w w:val="95"/>
        </w:rPr>
        <w:t xml:space="preserve"> </w:t>
      </w:r>
      <w:r>
        <w:rPr>
          <w:w w:val="95"/>
        </w:rPr>
        <w:t>demands</w:t>
      </w:r>
      <w:r>
        <w:rPr>
          <w:spacing w:val="-5"/>
          <w:w w:val="95"/>
        </w:rPr>
        <w:t xml:space="preserve"> </w:t>
      </w:r>
      <w:r>
        <w:rPr>
          <w:w w:val="95"/>
        </w:rPr>
        <w:t>on</w:t>
      </w:r>
      <w:r>
        <w:rPr>
          <w:spacing w:val="-5"/>
          <w:w w:val="95"/>
        </w:rPr>
        <w:t xml:space="preserve"> </w:t>
      </w:r>
      <w:r>
        <w:rPr>
          <w:w w:val="95"/>
        </w:rPr>
        <w:t>the</w:t>
      </w:r>
      <w:r>
        <w:rPr>
          <w:spacing w:val="-5"/>
          <w:w w:val="95"/>
        </w:rPr>
        <w:t xml:space="preserve"> </w:t>
      </w:r>
      <w:r>
        <w:rPr>
          <w:w w:val="95"/>
        </w:rPr>
        <w:t xml:space="preserve">already </w:t>
      </w:r>
      <w:r>
        <w:rPr>
          <w:spacing w:val="-2"/>
        </w:rPr>
        <w:t>heavily</w:t>
      </w:r>
      <w:r>
        <w:rPr>
          <w:spacing w:val="-6"/>
        </w:rPr>
        <w:t xml:space="preserve"> </w:t>
      </w:r>
      <w:r>
        <w:rPr>
          <w:spacing w:val="-2"/>
        </w:rPr>
        <w:t>utilised</w:t>
      </w:r>
      <w:r>
        <w:rPr>
          <w:spacing w:val="-6"/>
        </w:rPr>
        <w:t xml:space="preserve"> </w:t>
      </w:r>
      <w:r>
        <w:rPr>
          <w:spacing w:val="-2"/>
        </w:rPr>
        <w:t>land</w:t>
      </w:r>
      <w:r>
        <w:rPr>
          <w:spacing w:val="-6"/>
        </w:rPr>
        <w:t xml:space="preserve"> </w:t>
      </w:r>
      <w:r>
        <w:rPr>
          <w:spacing w:val="-2"/>
        </w:rPr>
        <w:t>and</w:t>
      </w:r>
      <w:r>
        <w:rPr>
          <w:spacing w:val="-6"/>
        </w:rPr>
        <w:t xml:space="preserve"> </w:t>
      </w:r>
      <w:r>
        <w:rPr>
          <w:spacing w:val="-2"/>
        </w:rPr>
        <w:t>infrastructure</w:t>
      </w:r>
      <w:r>
        <w:rPr>
          <w:spacing w:val="-6"/>
        </w:rPr>
        <w:t xml:space="preserve"> </w:t>
      </w:r>
      <w:r>
        <w:rPr>
          <w:spacing w:val="-2"/>
        </w:rPr>
        <w:t>around</w:t>
      </w:r>
      <w:r>
        <w:rPr>
          <w:spacing w:val="-6"/>
        </w:rPr>
        <w:t xml:space="preserve"> </w:t>
      </w:r>
      <w:r>
        <w:rPr>
          <w:spacing w:val="-2"/>
        </w:rPr>
        <w:t xml:space="preserve">Sydney’s </w:t>
      </w:r>
      <w:r>
        <w:rPr>
          <w:w w:val="95"/>
        </w:rPr>
        <w:t xml:space="preserve">Gateways. This means that addressing these significant </w:t>
      </w:r>
      <w:r>
        <w:t>demands</w:t>
      </w:r>
      <w:r>
        <w:rPr>
          <w:spacing w:val="-11"/>
        </w:rPr>
        <w:t xml:space="preserve"> </w:t>
      </w:r>
      <w:r>
        <w:t>must</w:t>
      </w:r>
      <w:r>
        <w:rPr>
          <w:spacing w:val="-11"/>
        </w:rPr>
        <w:t xml:space="preserve"> </w:t>
      </w:r>
      <w:r>
        <w:t>be</w:t>
      </w:r>
      <w:r>
        <w:rPr>
          <w:spacing w:val="-11"/>
        </w:rPr>
        <w:t xml:space="preserve"> </w:t>
      </w:r>
      <w:r>
        <w:t>a</w:t>
      </w:r>
      <w:r>
        <w:rPr>
          <w:spacing w:val="-11"/>
        </w:rPr>
        <w:t xml:space="preserve"> </w:t>
      </w:r>
      <w:r>
        <w:t>priority</w:t>
      </w:r>
      <w:r>
        <w:rPr>
          <w:spacing w:val="-11"/>
        </w:rPr>
        <w:t xml:space="preserve"> </w:t>
      </w:r>
      <w:r>
        <w:t>in</w:t>
      </w:r>
      <w:r>
        <w:rPr>
          <w:spacing w:val="-11"/>
        </w:rPr>
        <w:t xml:space="preserve"> </w:t>
      </w:r>
      <w:r>
        <w:t>the</w:t>
      </w:r>
      <w:r>
        <w:rPr>
          <w:spacing w:val="-11"/>
        </w:rPr>
        <w:t xml:space="preserve"> </w:t>
      </w:r>
      <w:r>
        <w:t>State</w:t>
      </w:r>
      <w:r>
        <w:rPr>
          <w:spacing w:val="-11"/>
        </w:rPr>
        <w:t xml:space="preserve"> </w:t>
      </w:r>
      <w:r>
        <w:t xml:space="preserve">Infrastructure </w:t>
      </w:r>
      <w:r>
        <w:rPr>
          <w:spacing w:val="-2"/>
        </w:rPr>
        <w:t>Strategy.</w:t>
      </w:r>
      <w:r>
        <w:rPr>
          <w:spacing w:val="-6"/>
        </w:rPr>
        <w:t xml:space="preserve"> </w:t>
      </w:r>
      <w:r>
        <w:rPr>
          <w:spacing w:val="-2"/>
        </w:rPr>
        <w:t>Staying</w:t>
      </w:r>
      <w:r>
        <w:rPr>
          <w:spacing w:val="-6"/>
        </w:rPr>
        <w:t xml:space="preserve"> </w:t>
      </w:r>
      <w:r>
        <w:rPr>
          <w:spacing w:val="-2"/>
        </w:rPr>
        <w:t>open</w:t>
      </w:r>
      <w:r>
        <w:rPr>
          <w:spacing w:val="-6"/>
        </w:rPr>
        <w:t xml:space="preserve"> </w:t>
      </w:r>
      <w:r>
        <w:rPr>
          <w:spacing w:val="-2"/>
        </w:rPr>
        <w:t>for</w:t>
      </w:r>
      <w:r>
        <w:rPr>
          <w:spacing w:val="-6"/>
        </w:rPr>
        <w:t xml:space="preserve"> </w:t>
      </w:r>
      <w:r>
        <w:rPr>
          <w:spacing w:val="-2"/>
        </w:rPr>
        <w:t>international</w:t>
      </w:r>
      <w:r>
        <w:rPr>
          <w:spacing w:val="-6"/>
        </w:rPr>
        <w:t xml:space="preserve"> </w:t>
      </w:r>
      <w:r>
        <w:rPr>
          <w:spacing w:val="-2"/>
        </w:rPr>
        <w:t>business</w:t>
      </w:r>
      <w:r>
        <w:rPr>
          <w:spacing w:val="-6"/>
        </w:rPr>
        <w:t xml:space="preserve"> </w:t>
      </w:r>
      <w:r>
        <w:rPr>
          <w:spacing w:val="-2"/>
        </w:rPr>
        <w:t>is</w:t>
      </w:r>
      <w:r>
        <w:rPr>
          <w:spacing w:val="-6"/>
        </w:rPr>
        <w:t xml:space="preserve"> </w:t>
      </w:r>
      <w:r>
        <w:rPr>
          <w:spacing w:val="-2"/>
        </w:rPr>
        <w:t xml:space="preserve">an </w:t>
      </w:r>
      <w:r>
        <w:t>intrinsic</w:t>
      </w:r>
      <w:r>
        <w:rPr>
          <w:spacing w:val="-14"/>
        </w:rPr>
        <w:t xml:space="preserve"> </w:t>
      </w:r>
      <w:r>
        <w:t>objective</w:t>
      </w:r>
      <w:r>
        <w:rPr>
          <w:spacing w:val="-14"/>
        </w:rPr>
        <w:t xml:space="preserve"> </w:t>
      </w:r>
      <w:r>
        <w:t>if</w:t>
      </w:r>
      <w:r>
        <w:rPr>
          <w:spacing w:val="-14"/>
        </w:rPr>
        <w:t xml:space="preserve"> </w:t>
      </w:r>
      <w:r>
        <w:t>NSW</w:t>
      </w:r>
      <w:r>
        <w:rPr>
          <w:spacing w:val="-14"/>
        </w:rPr>
        <w:t xml:space="preserve"> </w:t>
      </w:r>
      <w:r>
        <w:t>is</w:t>
      </w:r>
      <w:r>
        <w:rPr>
          <w:spacing w:val="-14"/>
        </w:rPr>
        <w:t xml:space="preserve"> </w:t>
      </w:r>
      <w:r>
        <w:t>to</w:t>
      </w:r>
      <w:r>
        <w:rPr>
          <w:spacing w:val="-14"/>
        </w:rPr>
        <w:t xml:space="preserve"> </w:t>
      </w:r>
      <w:r>
        <w:t>be</w:t>
      </w:r>
      <w:r>
        <w:rPr>
          <w:spacing w:val="-14"/>
        </w:rPr>
        <w:t xml:space="preserve"> </w:t>
      </w:r>
      <w:r>
        <w:t>number</w:t>
      </w:r>
      <w:r>
        <w:rPr>
          <w:spacing w:val="-14"/>
        </w:rPr>
        <w:t xml:space="preserve"> </w:t>
      </w:r>
      <w:r>
        <w:t>one</w:t>
      </w:r>
      <w:r>
        <w:rPr>
          <w:spacing w:val="-14"/>
        </w:rPr>
        <w:t xml:space="preserve"> </w:t>
      </w:r>
      <w:r>
        <w:t>again.</w:t>
      </w:r>
    </w:p>
    <w:p w:rsidR="002C1123" w:rsidRDefault="00F22F94">
      <w:pPr>
        <w:pStyle w:val="Heading5"/>
        <w:numPr>
          <w:ilvl w:val="4"/>
          <w:numId w:val="172"/>
        </w:numPr>
        <w:tabs>
          <w:tab w:val="left" w:pos="636"/>
        </w:tabs>
        <w:spacing w:before="129" w:line="223" w:lineRule="auto"/>
        <w:ind w:left="635" w:right="1371"/>
        <w:jc w:val="left"/>
      </w:pPr>
      <w:r>
        <w:rPr>
          <w:b w:val="0"/>
        </w:rPr>
        <w:br w:type="column"/>
      </w:r>
      <w:r>
        <w:rPr>
          <w:color w:val="EC008C"/>
          <w:spacing w:val="-6"/>
        </w:rPr>
        <w:t>Infrastructure</w:t>
      </w:r>
      <w:r>
        <w:rPr>
          <w:color w:val="EC008C"/>
          <w:spacing w:val="-12"/>
        </w:rPr>
        <w:t xml:space="preserve"> </w:t>
      </w:r>
      <w:r>
        <w:rPr>
          <w:color w:val="EC008C"/>
          <w:spacing w:val="-6"/>
        </w:rPr>
        <w:t xml:space="preserve">priorities </w:t>
      </w:r>
      <w:r>
        <w:rPr>
          <w:color w:val="EC008C"/>
        </w:rPr>
        <w:t>for Global Sydney</w:t>
      </w:r>
    </w:p>
    <w:p w:rsidR="002C1123" w:rsidRDefault="00F22F94">
      <w:pPr>
        <w:pStyle w:val="Heading6"/>
        <w:numPr>
          <w:ilvl w:val="2"/>
          <w:numId w:val="118"/>
        </w:numPr>
        <w:tabs>
          <w:tab w:val="left" w:pos="673"/>
        </w:tabs>
        <w:spacing w:before="140"/>
        <w:ind w:hanging="487"/>
      </w:pPr>
      <w:r>
        <w:rPr>
          <w:color w:val="EC008C"/>
          <w:spacing w:val="-4"/>
        </w:rPr>
        <w:t>Growing</w:t>
      </w:r>
      <w:r>
        <w:rPr>
          <w:color w:val="EC008C"/>
          <w:spacing w:val="-3"/>
        </w:rPr>
        <w:t xml:space="preserve"> </w:t>
      </w:r>
      <w:r>
        <w:rPr>
          <w:color w:val="EC008C"/>
          <w:spacing w:val="-4"/>
        </w:rPr>
        <w:t>the</w:t>
      </w:r>
      <w:r>
        <w:rPr>
          <w:color w:val="EC008C"/>
          <w:spacing w:val="-2"/>
        </w:rPr>
        <w:t xml:space="preserve"> </w:t>
      </w:r>
      <w:r>
        <w:rPr>
          <w:color w:val="EC008C"/>
          <w:spacing w:val="-4"/>
        </w:rPr>
        <w:t>economy</w:t>
      </w:r>
    </w:p>
    <w:p w:rsidR="002C1123" w:rsidRDefault="00F22F94">
      <w:pPr>
        <w:pStyle w:val="BodyText"/>
        <w:spacing w:before="95" w:line="249" w:lineRule="auto"/>
        <w:ind w:left="186"/>
      </w:pPr>
      <w:r>
        <w:t>Infrastructure</w:t>
      </w:r>
      <w:r>
        <w:rPr>
          <w:spacing w:val="-14"/>
        </w:rPr>
        <w:t xml:space="preserve"> </w:t>
      </w:r>
      <w:r>
        <w:t>NSW</w:t>
      </w:r>
      <w:r>
        <w:rPr>
          <w:spacing w:val="-14"/>
        </w:rPr>
        <w:t xml:space="preserve"> </w:t>
      </w:r>
      <w:r>
        <w:t>has</w:t>
      </w:r>
      <w:r>
        <w:rPr>
          <w:spacing w:val="-14"/>
        </w:rPr>
        <w:t xml:space="preserve"> </w:t>
      </w:r>
      <w:r>
        <w:t>determined</w:t>
      </w:r>
      <w:r>
        <w:rPr>
          <w:spacing w:val="-14"/>
        </w:rPr>
        <w:t xml:space="preserve"> </w:t>
      </w:r>
      <w:r>
        <w:t>that</w:t>
      </w:r>
      <w:r>
        <w:rPr>
          <w:spacing w:val="-14"/>
        </w:rPr>
        <w:t xml:space="preserve"> </w:t>
      </w:r>
      <w:r>
        <w:t>infrastructure that</w:t>
      </w:r>
      <w:r>
        <w:rPr>
          <w:spacing w:val="-11"/>
        </w:rPr>
        <w:t xml:space="preserve"> </w:t>
      </w:r>
      <w:r>
        <w:t>supports</w:t>
      </w:r>
      <w:r>
        <w:rPr>
          <w:spacing w:val="-11"/>
        </w:rPr>
        <w:t xml:space="preserve"> </w:t>
      </w:r>
      <w:r>
        <w:t>and</w:t>
      </w:r>
      <w:r>
        <w:rPr>
          <w:spacing w:val="-11"/>
        </w:rPr>
        <w:t xml:space="preserve"> </w:t>
      </w:r>
      <w:r>
        <w:t>sustains</w:t>
      </w:r>
      <w:r>
        <w:rPr>
          <w:spacing w:val="-11"/>
        </w:rPr>
        <w:t xml:space="preserve"> </w:t>
      </w:r>
      <w:r>
        <w:t>the</w:t>
      </w:r>
      <w:r>
        <w:rPr>
          <w:spacing w:val="-11"/>
        </w:rPr>
        <w:t xml:space="preserve"> </w:t>
      </w:r>
      <w:r>
        <w:t>continued</w:t>
      </w:r>
      <w:r>
        <w:rPr>
          <w:spacing w:val="-11"/>
        </w:rPr>
        <w:t xml:space="preserve"> </w:t>
      </w:r>
      <w:r>
        <w:t>growth</w:t>
      </w:r>
      <w:r>
        <w:rPr>
          <w:spacing w:val="-11"/>
        </w:rPr>
        <w:t xml:space="preserve"> </w:t>
      </w:r>
      <w:r>
        <w:t>of</w:t>
      </w:r>
      <w:r>
        <w:rPr>
          <w:spacing w:val="-11"/>
        </w:rPr>
        <w:t xml:space="preserve"> </w:t>
      </w:r>
      <w:r>
        <w:t xml:space="preserve">the </w:t>
      </w:r>
      <w:r>
        <w:rPr>
          <w:w w:val="95"/>
        </w:rPr>
        <w:t>economy</w:t>
      </w:r>
      <w:r>
        <w:rPr>
          <w:spacing w:val="-5"/>
          <w:w w:val="95"/>
        </w:rPr>
        <w:t xml:space="preserve"> </w:t>
      </w:r>
      <w:r>
        <w:rPr>
          <w:w w:val="95"/>
        </w:rPr>
        <w:t>of</w:t>
      </w:r>
      <w:r>
        <w:rPr>
          <w:spacing w:val="-5"/>
          <w:w w:val="95"/>
        </w:rPr>
        <w:t xml:space="preserve"> </w:t>
      </w:r>
      <w:r>
        <w:rPr>
          <w:w w:val="95"/>
        </w:rPr>
        <w:t>the</w:t>
      </w:r>
      <w:r>
        <w:rPr>
          <w:spacing w:val="-5"/>
          <w:w w:val="95"/>
        </w:rPr>
        <w:t xml:space="preserve"> </w:t>
      </w:r>
      <w:r>
        <w:rPr>
          <w:w w:val="95"/>
        </w:rPr>
        <w:t>CBD</w:t>
      </w:r>
      <w:r>
        <w:rPr>
          <w:spacing w:val="-5"/>
          <w:w w:val="95"/>
        </w:rPr>
        <w:t xml:space="preserve"> </w:t>
      </w:r>
      <w:r>
        <w:rPr>
          <w:w w:val="95"/>
        </w:rPr>
        <w:t>and</w:t>
      </w:r>
      <w:r>
        <w:rPr>
          <w:spacing w:val="-5"/>
          <w:w w:val="95"/>
        </w:rPr>
        <w:t xml:space="preserve"> </w:t>
      </w:r>
      <w:r>
        <w:rPr>
          <w:w w:val="95"/>
        </w:rPr>
        <w:t>other</w:t>
      </w:r>
      <w:r>
        <w:rPr>
          <w:spacing w:val="-5"/>
          <w:w w:val="95"/>
        </w:rPr>
        <w:t xml:space="preserve"> </w:t>
      </w:r>
      <w:r>
        <w:rPr>
          <w:w w:val="95"/>
        </w:rPr>
        <w:t>Global</w:t>
      </w:r>
      <w:r>
        <w:rPr>
          <w:spacing w:val="-5"/>
          <w:w w:val="95"/>
        </w:rPr>
        <w:t xml:space="preserve"> </w:t>
      </w:r>
      <w:r>
        <w:rPr>
          <w:w w:val="95"/>
        </w:rPr>
        <w:t>Sydney</w:t>
      </w:r>
      <w:r>
        <w:rPr>
          <w:spacing w:val="-5"/>
          <w:w w:val="95"/>
        </w:rPr>
        <w:t xml:space="preserve"> </w:t>
      </w:r>
      <w:r>
        <w:rPr>
          <w:w w:val="95"/>
        </w:rPr>
        <w:t>centres</w:t>
      </w:r>
      <w:r>
        <w:rPr>
          <w:spacing w:val="-5"/>
          <w:w w:val="95"/>
        </w:rPr>
        <w:t xml:space="preserve"> </w:t>
      </w:r>
      <w:r>
        <w:rPr>
          <w:w w:val="95"/>
        </w:rPr>
        <w:t xml:space="preserve">is </w:t>
      </w:r>
      <w:r>
        <w:t>one</w:t>
      </w:r>
      <w:r>
        <w:rPr>
          <w:spacing w:val="-6"/>
        </w:rPr>
        <w:t xml:space="preserve"> </w:t>
      </w:r>
      <w:r>
        <w:t>of</w:t>
      </w:r>
      <w:r>
        <w:rPr>
          <w:spacing w:val="-6"/>
        </w:rPr>
        <w:t xml:space="preserve"> </w:t>
      </w:r>
      <w:r>
        <w:t>the</w:t>
      </w:r>
      <w:r>
        <w:rPr>
          <w:spacing w:val="-6"/>
        </w:rPr>
        <w:t xml:space="preserve"> </w:t>
      </w:r>
      <w:r>
        <w:t>State’s</w:t>
      </w:r>
      <w:r>
        <w:rPr>
          <w:spacing w:val="-6"/>
        </w:rPr>
        <w:t xml:space="preserve"> </w:t>
      </w:r>
      <w:r>
        <w:t>highest</w:t>
      </w:r>
      <w:r>
        <w:rPr>
          <w:spacing w:val="-6"/>
        </w:rPr>
        <w:t xml:space="preserve"> </w:t>
      </w:r>
      <w:r>
        <w:t>priorities.</w:t>
      </w:r>
    </w:p>
    <w:p w:rsidR="002C1123" w:rsidRDefault="00F22F94">
      <w:pPr>
        <w:pStyle w:val="BodyText"/>
        <w:spacing w:before="145" w:line="249" w:lineRule="auto"/>
        <w:ind w:left="186"/>
      </w:pPr>
      <w:r>
        <w:rPr>
          <w:w w:val="95"/>
        </w:rPr>
        <w:t>As</w:t>
      </w:r>
      <w:r>
        <w:rPr>
          <w:spacing w:val="-8"/>
          <w:w w:val="95"/>
        </w:rPr>
        <w:t xml:space="preserve"> </w:t>
      </w:r>
      <w:r>
        <w:rPr>
          <w:w w:val="95"/>
        </w:rPr>
        <w:t>a</w:t>
      </w:r>
      <w:r>
        <w:rPr>
          <w:spacing w:val="-8"/>
          <w:w w:val="95"/>
        </w:rPr>
        <w:t xml:space="preserve"> </w:t>
      </w:r>
      <w:r>
        <w:rPr>
          <w:w w:val="95"/>
        </w:rPr>
        <w:t>result</w:t>
      </w:r>
      <w:r>
        <w:rPr>
          <w:spacing w:val="-8"/>
          <w:w w:val="95"/>
        </w:rPr>
        <w:t xml:space="preserve"> </w:t>
      </w:r>
      <w:r>
        <w:rPr>
          <w:w w:val="95"/>
        </w:rPr>
        <w:t>the</w:t>
      </w:r>
      <w:r>
        <w:rPr>
          <w:spacing w:val="-8"/>
          <w:w w:val="95"/>
        </w:rPr>
        <w:t xml:space="preserve"> </w:t>
      </w:r>
      <w:r>
        <w:rPr>
          <w:w w:val="95"/>
        </w:rPr>
        <w:t>following</w:t>
      </w:r>
      <w:r>
        <w:rPr>
          <w:spacing w:val="-8"/>
          <w:w w:val="95"/>
        </w:rPr>
        <w:t xml:space="preserve"> </w:t>
      </w:r>
      <w:r>
        <w:rPr>
          <w:w w:val="95"/>
        </w:rPr>
        <w:t>critical</w:t>
      </w:r>
      <w:r>
        <w:rPr>
          <w:spacing w:val="-8"/>
          <w:w w:val="95"/>
        </w:rPr>
        <w:t xml:space="preserve"> </w:t>
      </w:r>
      <w:r>
        <w:rPr>
          <w:w w:val="95"/>
        </w:rPr>
        <w:t>infrastructure</w:t>
      </w:r>
      <w:r>
        <w:rPr>
          <w:spacing w:val="-8"/>
          <w:w w:val="95"/>
        </w:rPr>
        <w:t xml:space="preserve"> </w:t>
      </w:r>
      <w:r>
        <w:rPr>
          <w:w w:val="95"/>
        </w:rPr>
        <w:t>needs</w:t>
      </w:r>
      <w:r>
        <w:rPr>
          <w:spacing w:val="-8"/>
          <w:w w:val="95"/>
        </w:rPr>
        <w:t xml:space="preserve"> </w:t>
      </w:r>
      <w:r>
        <w:rPr>
          <w:w w:val="95"/>
        </w:rPr>
        <w:t xml:space="preserve">in </w:t>
      </w:r>
      <w:r>
        <w:t>support of this strategic goal are:</w:t>
      </w:r>
    </w:p>
    <w:p w:rsidR="002C1123" w:rsidRDefault="00F22F94">
      <w:pPr>
        <w:pStyle w:val="ListParagraph"/>
        <w:numPr>
          <w:ilvl w:val="3"/>
          <w:numId w:val="118"/>
        </w:numPr>
        <w:tabs>
          <w:tab w:val="left" w:pos="471"/>
        </w:tabs>
        <w:spacing w:before="131" w:line="249" w:lineRule="auto"/>
        <w:ind w:right="346"/>
        <w:rPr>
          <w:sz w:val="20"/>
        </w:rPr>
      </w:pPr>
      <w:r>
        <w:rPr>
          <w:w w:val="95"/>
          <w:sz w:val="20"/>
        </w:rPr>
        <w:t xml:space="preserve">improving public transport access to and through </w:t>
      </w:r>
      <w:r>
        <w:rPr>
          <w:sz w:val="20"/>
        </w:rPr>
        <w:t>the CBD and adjoining centres</w:t>
      </w:r>
    </w:p>
    <w:p w:rsidR="002C1123" w:rsidRDefault="00F22F94">
      <w:pPr>
        <w:pStyle w:val="ListParagraph"/>
        <w:numPr>
          <w:ilvl w:val="3"/>
          <w:numId w:val="118"/>
        </w:numPr>
        <w:tabs>
          <w:tab w:val="left" w:pos="471"/>
        </w:tabs>
        <w:spacing w:before="130" w:line="249" w:lineRule="auto"/>
        <w:ind w:right="766"/>
        <w:rPr>
          <w:sz w:val="20"/>
        </w:rPr>
      </w:pPr>
      <w:r>
        <w:rPr>
          <w:w w:val="95"/>
          <w:sz w:val="20"/>
        </w:rPr>
        <w:t>increase</w:t>
      </w:r>
      <w:r>
        <w:rPr>
          <w:spacing w:val="-11"/>
          <w:w w:val="95"/>
          <w:sz w:val="20"/>
        </w:rPr>
        <w:t xml:space="preserve"> </w:t>
      </w:r>
      <w:r>
        <w:rPr>
          <w:w w:val="95"/>
          <w:sz w:val="20"/>
        </w:rPr>
        <w:t>the</w:t>
      </w:r>
      <w:r>
        <w:rPr>
          <w:spacing w:val="-11"/>
          <w:w w:val="95"/>
          <w:sz w:val="20"/>
        </w:rPr>
        <w:t xml:space="preserve"> </w:t>
      </w:r>
      <w:r>
        <w:rPr>
          <w:w w:val="95"/>
          <w:sz w:val="20"/>
        </w:rPr>
        <w:t>number</w:t>
      </w:r>
      <w:r>
        <w:rPr>
          <w:spacing w:val="-11"/>
          <w:w w:val="95"/>
          <w:sz w:val="20"/>
        </w:rPr>
        <w:t xml:space="preserve"> </w:t>
      </w:r>
      <w:r>
        <w:rPr>
          <w:w w:val="95"/>
          <w:sz w:val="20"/>
        </w:rPr>
        <w:t>of</w:t>
      </w:r>
      <w:r>
        <w:rPr>
          <w:spacing w:val="-11"/>
          <w:w w:val="95"/>
          <w:sz w:val="20"/>
        </w:rPr>
        <w:t xml:space="preserve"> </w:t>
      </w:r>
      <w:r>
        <w:rPr>
          <w:w w:val="95"/>
          <w:sz w:val="20"/>
        </w:rPr>
        <w:t>people</w:t>
      </w:r>
      <w:r>
        <w:rPr>
          <w:spacing w:val="-11"/>
          <w:w w:val="95"/>
          <w:sz w:val="20"/>
        </w:rPr>
        <w:t xml:space="preserve"> </w:t>
      </w:r>
      <w:r>
        <w:rPr>
          <w:w w:val="95"/>
          <w:sz w:val="20"/>
        </w:rPr>
        <w:t>living</w:t>
      </w:r>
      <w:r>
        <w:rPr>
          <w:spacing w:val="-11"/>
          <w:w w:val="95"/>
          <w:sz w:val="20"/>
        </w:rPr>
        <w:t xml:space="preserve"> </w:t>
      </w:r>
      <w:r>
        <w:rPr>
          <w:w w:val="95"/>
          <w:sz w:val="20"/>
        </w:rPr>
        <w:t>in</w:t>
      </w:r>
      <w:r>
        <w:rPr>
          <w:spacing w:val="-11"/>
          <w:w w:val="95"/>
          <w:sz w:val="20"/>
        </w:rPr>
        <w:t xml:space="preserve"> </w:t>
      </w:r>
      <w:r>
        <w:rPr>
          <w:w w:val="95"/>
          <w:sz w:val="20"/>
        </w:rPr>
        <w:t xml:space="preserve">areas </w:t>
      </w:r>
      <w:r>
        <w:rPr>
          <w:sz w:val="20"/>
        </w:rPr>
        <w:t>accessible to Global Sydney</w:t>
      </w:r>
    </w:p>
    <w:p w:rsidR="002C1123" w:rsidRDefault="00F22F94">
      <w:pPr>
        <w:pStyle w:val="ListParagraph"/>
        <w:numPr>
          <w:ilvl w:val="3"/>
          <w:numId w:val="118"/>
        </w:numPr>
        <w:tabs>
          <w:tab w:val="left" w:pos="471"/>
        </w:tabs>
        <w:spacing w:before="131" w:line="249" w:lineRule="auto"/>
        <w:ind w:right="320"/>
        <w:rPr>
          <w:sz w:val="20"/>
        </w:rPr>
      </w:pPr>
      <w:r>
        <w:rPr>
          <w:sz w:val="20"/>
        </w:rPr>
        <w:t>providing</w:t>
      </w:r>
      <w:r>
        <w:rPr>
          <w:spacing w:val="-14"/>
          <w:sz w:val="20"/>
        </w:rPr>
        <w:t xml:space="preserve"> </w:t>
      </w:r>
      <w:r>
        <w:rPr>
          <w:sz w:val="20"/>
        </w:rPr>
        <w:t>an</w:t>
      </w:r>
      <w:r>
        <w:rPr>
          <w:spacing w:val="-14"/>
          <w:sz w:val="20"/>
        </w:rPr>
        <w:t xml:space="preserve"> </w:t>
      </w:r>
      <w:r>
        <w:rPr>
          <w:sz w:val="20"/>
        </w:rPr>
        <w:t>attractive</w:t>
      </w:r>
      <w:r>
        <w:rPr>
          <w:spacing w:val="-14"/>
          <w:sz w:val="20"/>
        </w:rPr>
        <w:t xml:space="preserve"> </w:t>
      </w:r>
      <w:r>
        <w:rPr>
          <w:sz w:val="20"/>
        </w:rPr>
        <w:t>urban</w:t>
      </w:r>
      <w:r>
        <w:rPr>
          <w:spacing w:val="-14"/>
          <w:sz w:val="20"/>
        </w:rPr>
        <w:t xml:space="preserve"> </w:t>
      </w:r>
      <w:r>
        <w:rPr>
          <w:sz w:val="20"/>
        </w:rPr>
        <w:t xml:space="preserve">environment </w:t>
      </w:r>
      <w:r>
        <w:rPr>
          <w:w w:val="95"/>
          <w:sz w:val="20"/>
        </w:rPr>
        <w:t>conducive</w:t>
      </w:r>
      <w:r>
        <w:rPr>
          <w:spacing w:val="-1"/>
          <w:w w:val="95"/>
          <w:sz w:val="20"/>
        </w:rPr>
        <w:t xml:space="preserve"> </w:t>
      </w:r>
      <w:r>
        <w:rPr>
          <w:w w:val="95"/>
          <w:sz w:val="20"/>
        </w:rPr>
        <w:t>for</w:t>
      </w:r>
      <w:r>
        <w:rPr>
          <w:spacing w:val="-1"/>
          <w:w w:val="95"/>
          <w:sz w:val="20"/>
        </w:rPr>
        <w:t xml:space="preserve"> </w:t>
      </w:r>
      <w:r>
        <w:rPr>
          <w:w w:val="95"/>
          <w:sz w:val="20"/>
        </w:rPr>
        <w:t>knowledge-based</w:t>
      </w:r>
      <w:r>
        <w:rPr>
          <w:spacing w:val="-1"/>
          <w:w w:val="95"/>
          <w:sz w:val="20"/>
        </w:rPr>
        <w:t xml:space="preserve"> </w:t>
      </w:r>
      <w:r>
        <w:rPr>
          <w:w w:val="95"/>
          <w:sz w:val="20"/>
        </w:rPr>
        <w:t>business</w:t>
      </w:r>
      <w:r>
        <w:rPr>
          <w:spacing w:val="-1"/>
          <w:w w:val="95"/>
          <w:sz w:val="20"/>
        </w:rPr>
        <w:t xml:space="preserve"> </w:t>
      </w:r>
      <w:r>
        <w:rPr>
          <w:w w:val="95"/>
          <w:sz w:val="20"/>
        </w:rPr>
        <w:t>and</w:t>
      </w:r>
      <w:r>
        <w:rPr>
          <w:spacing w:val="-1"/>
          <w:w w:val="95"/>
          <w:sz w:val="20"/>
        </w:rPr>
        <w:t xml:space="preserve"> </w:t>
      </w:r>
      <w:r>
        <w:rPr>
          <w:w w:val="95"/>
          <w:sz w:val="20"/>
        </w:rPr>
        <w:t xml:space="preserve">the </w:t>
      </w:r>
      <w:r>
        <w:rPr>
          <w:sz w:val="20"/>
        </w:rPr>
        <w:t>visitor</w:t>
      </w:r>
      <w:r>
        <w:rPr>
          <w:spacing w:val="-13"/>
          <w:sz w:val="20"/>
        </w:rPr>
        <w:t xml:space="preserve"> </w:t>
      </w:r>
      <w:r>
        <w:rPr>
          <w:sz w:val="20"/>
        </w:rPr>
        <w:t>economy.</w:t>
      </w:r>
    </w:p>
    <w:p w:rsidR="002C1123" w:rsidRDefault="00F22F94">
      <w:pPr>
        <w:pStyle w:val="BodyText"/>
        <w:spacing w:before="143"/>
        <w:ind w:left="186"/>
      </w:pPr>
      <w:r>
        <w:rPr>
          <w:w w:val="95"/>
        </w:rPr>
        <w:t>These</w:t>
      </w:r>
      <w:r>
        <w:rPr>
          <w:spacing w:val="-8"/>
          <w:w w:val="95"/>
        </w:rPr>
        <w:t xml:space="preserve"> </w:t>
      </w:r>
      <w:r>
        <w:rPr>
          <w:w w:val="95"/>
        </w:rPr>
        <w:t>are</w:t>
      </w:r>
      <w:r>
        <w:rPr>
          <w:spacing w:val="-8"/>
          <w:w w:val="95"/>
        </w:rPr>
        <w:t xml:space="preserve"> </w:t>
      </w:r>
      <w:r>
        <w:rPr>
          <w:w w:val="95"/>
        </w:rPr>
        <w:t>considered</w:t>
      </w:r>
      <w:r>
        <w:rPr>
          <w:spacing w:val="-8"/>
          <w:w w:val="95"/>
        </w:rPr>
        <w:t xml:space="preserve"> </w:t>
      </w:r>
      <w:r>
        <w:rPr>
          <w:w w:val="95"/>
        </w:rPr>
        <w:t>in</w:t>
      </w:r>
      <w:r>
        <w:rPr>
          <w:spacing w:val="-7"/>
          <w:w w:val="95"/>
        </w:rPr>
        <w:t xml:space="preserve"> </w:t>
      </w:r>
      <w:r>
        <w:rPr>
          <w:w w:val="95"/>
        </w:rPr>
        <w:t>further</w:t>
      </w:r>
      <w:r>
        <w:rPr>
          <w:spacing w:val="-8"/>
          <w:w w:val="95"/>
        </w:rPr>
        <w:t xml:space="preserve"> </w:t>
      </w:r>
      <w:r>
        <w:rPr>
          <w:w w:val="95"/>
        </w:rPr>
        <w:t>detail</w:t>
      </w:r>
      <w:r>
        <w:rPr>
          <w:spacing w:val="-8"/>
          <w:w w:val="95"/>
        </w:rPr>
        <w:t xml:space="preserve"> </w:t>
      </w:r>
      <w:r>
        <w:rPr>
          <w:spacing w:val="-2"/>
          <w:w w:val="95"/>
        </w:rPr>
        <w:t>below.</w:t>
      </w:r>
    </w:p>
    <w:p w:rsidR="002C1123" w:rsidRDefault="00F22F94">
      <w:pPr>
        <w:spacing w:before="152" w:line="249" w:lineRule="auto"/>
        <w:ind w:left="186"/>
        <w:rPr>
          <w:sz w:val="20"/>
        </w:rPr>
      </w:pPr>
      <w:r>
        <w:rPr>
          <w:b/>
          <w:spacing w:val="-2"/>
          <w:sz w:val="20"/>
        </w:rPr>
        <w:t>Public</w:t>
      </w:r>
      <w:r>
        <w:rPr>
          <w:b/>
          <w:spacing w:val="-8"/>
          <w:sz w:val="20"/>
        </w:rPr>
        <w:t xml:space="preserve"> </w:t>
      </w:r>
      <w:r>
        <w:rPr>
          <w:b/>
          <w:spacing w:val="-2"/>
          <w:sz w:val="20"/>
        </w:rPr>
        <w:t>transport</w:t>
      </w:r>
      <w:r>
        <w:rPr>
          <w:b/>
          <w:spacing w:val="-8"/>
          <w:sz w:val="20"/>
        </w:rPr>
        <w:t xml:space="preserve"> </w:t>
      </w:r>
      <w:r>
        <w:rPr>
          <w:b/>
          <w:spacing w:val="-2"/>
          <w:sz w:val="20"/>
        </w:rPr>
        <w:t>and</w:t>
      </w:r>
      <w:r>
        <w:rPr>
          <w:b/>
          <w:spacing w:val="-8"/>
          <w:sz w:val="20"/>
        </w:rPr>
        <w:t xml:space="preserve"> </w:t>
      </w:r>
      <w:r>
        <w:rPr>
          <w:b/>
          <w:spacing w:val="-2"/>
          <w:sz w:val="20"/>
        </w:rPr>
        <w:t>congestion</w:t>
      </w:r>
      <w:r>
        <w:rPr>
          <w:b/>
          <w:spacing w:val="-8"/>
          <w:sz w:val="20"/>
        </w:rPr>
        <w:t xml:space="preserve"> </w:t>
      </w:r>
      <w:r>
        <w:rPr>
          <w:b/>
          <w:spacing w:val="-2"/>
          <w:sz w:val="20"/>
        </w:rPr>
        <w:t>in</w:t>
      </w:r>
      <w:r>
        <w:rPr>
          <w:b/>
          <w:spacing w:val="-8"/>
          <w:sz w:val="20"/>
        </w:rPr>
        <w:t xml:space="preserve"> </w:t>
      </w:r>
      <w:r>
        <w:rPr>
          <w:b/>
          <w:spacing w:val="-2"/>
          <w:sz w:val="20"/>
        </w:rPr>
        <w:t>Global</w:t>
      </w:r>
      <w:r>
        <w:rPr>
          <w:b/>
          <w:spacing w:val="-8"/>
          <w:sz w:val="20"/>
        </w:rPr>
        <w:t xml:space="preserve"> </w:t>
      </w:r>
      <w:r>
        <w:rPr>
          <w:b/>
          <w:spacing w:val="-2"/>
          <w:sz w:val="20"/>
        </w:rPr>
        <w:t xml:space="preserve">Sydney </w:t>
      </w:r>
      <w:r>
        <w:rPr>
          <w:w w:val="95"/>
          <w:sz w:val="20"/>
        </w:rPr>
        <w:t>Every</w:t>
      </w:r>
      <w:r>
        <w:rPr>
          <w:spacing w:val="-3"/>
          <w:w w:val="95"/>
          <w:sz w:val="20"/>
        </w:rPr>
        <w:t xml:space="preserve"> </w:t>
      </w:r>
      <w:r>
        <w:rPr>
          <w:w w:val="95"/>
          <w:sz w:val="20"/>
        </w:rPr>
        <w:t>weekday,</w:t>
      </w:r>
      <w:r>
        <w:rPr>
          <w:spacing w:val="-3"/>
          <w:w w:val="95"/>
          <w:sz w:val="20"/>
        </w:rPr>
        <w:t xml:space="preserve"> </w:t>
      </w:r>
      <w:r>
        <w:rPr>
          <w:w w:val="95"/>
          <w:sz w:val="20"/>
        </w:rPr>
        <w:t>the</w:t>
      </w:r>
      <w:r>
        <w:rPr>
          <w:spacing w:val="-3"/>
          <w:w w:val="95"/>
          <w:sz w:val="20"/>
        </w:rPr>
        <w:t xml:space="preserve"> </w:t>
      </w:r>
      <w:r>
        <w:rPr>
          <w:w w:val="95"/>
          <w:sz w:val="20"/>
        </w:rPr>
        <w:t>population</w:t>
      </w:r>
      <w:r>
        <w:rPr>
          <w:spacing w:val="-3"/>
          <w:w w:val="95"/>
          <w:sz w:val="20"/>
        </w:rPr>
        <w:t xml:space="preserve"> </w:t>
      </w:r>
      <w:r>
        <w:rPr>
          <w:w w:val="95"/>
          <w:sz w:val="20"/>
        </w:rPr>
        <w:t>of</w:t>
      </w:r>
      <w:r>
        <w:rPr>
          <w:spacing w:val="-3"/>
          <w:w w:val="95"/>
          <w:sz w:val="20"/>
        </w:rPr>
        <w:t xml:space="preserve"> </w:t>
      </w:r>
      <w:r>
        <w:rPr>
          <w:w w:val="95"/>
          <w:sz w:val="20"/>
        </w:rPr>
        <w:t>Sydney’s</w:t>
      </w:r>
      <w:r>
        <w:rPr>
          <w:spacing w:val="-3"/>
          <w:w w:val="95"/>
          <w:sz w:val="20"/>
        </w:rPr>
        <w:t xml:space="preserve"> </w:t>
      </w:r>
      <w:r>
        <w:rPr>
          <w:w w:val="95"/>
          <w:sz w:val="20"/>
        </w:rPr>
        <w:t>CBD</w:t>
      </w:r>
      <w:r>
        <w:rPr>
          <w:spacing w:val="-3"/>
          <w:w w:val="95"/>
          <w:sz w:val="20"/>
        </w:rPr>
        <w:t xml:space="preserve"> </w:t>
      </w:r>
      <w:r>
        <w:rPr>
          <w:w w:val="95"/>
          <w:sz w:val="20"/>
        </w:rPr>
        <w:t xml:space="preserve">grows </w:t>
      </w:r>
      <w:r>
        <w:rPr>
          <w:sz w:val="20"/>
        </w:rPr>
        <w:t>from</w:t>
      </w:r>
      <w:r>
        <w:rPr>
          <w:spacing w:val="-10"/>
          <w:sz w:val="20"/>
        </w:rPr>
        <w:t xml:space="preserve"> </w:t>
      </w:r>
      <w:r>
        <w:rPr>
          <w:sz w:val="20"/>
        </w:rPr>
        <w:t>its</w:t>
      </w:r>
      <w:r>
        <w:rPr>
          <w:spacing w:val="-9"/>
          <w:sz w:val="20"/>
        </w:rPr>
        <w:t xml:space="preserve"> </w:t>
      </w:r>
      <w:r>
        <w:rPr>
          <w:sz w:val="20"/>
        </w:rPr>
        <w:t>50,000</w:t>
      </w:r>
      <w:r>
        <w:rPr>
          <w:spacing w:val="-9"/>
          <w:sz w:val="20"/>
        </w:rPr>
        <w:t xml:space="preserve"> </w:t>
      </w:r>
      <w:r>
        <w:rPr>
          <w:sz w:val="20"/>
        </w:rPr>
        <w:t>permanent</w:t>
      </w:r>
      <w:r>
        <w:rPr>
          <w:spacing w:val="-9"/>
          <w:sz w:val="20"/>
        </w:rPr>
        <w:t xml:space="preserve"> </w:t>
      </w:r>
      <w:r>
        <w:rPr>
          <w:sz w:val="20"/>
        </w:rPr>
        <w:t>residents</w:t>
      </w:r>
      <w:r>
        <w:rPr>
          <w:spacing w:val="-9"/>
          <w:sz w:val="20"/>
        </w:rPr>
        <w:t xml:space="preserve"> </w:t>
      </w:r>
      <w:r>
        <w:rPr>
          <w:sz w:val="20"/>
        </w:rPr>
        <w:t>to</w:t>
      </w:r>
      <w:r>
        <w:rPr>
          <w:spacing w:val="-9"/>
          <w:sz w:val="20"/>
        </w:rPr>
        <w:t xml:space="preserve"> </w:t>
      </w:r>
      <w:r>
        <w:rPr>
          <w:sz w:val="20"/>
        </w:rPr>
        <w:t>around</w:t>
      </w:r>
      <w:r>
        <w:rPr>
          <w:spacing w:val="-9"/>
          <w:sz w:val="20"/>
        </w:rPr>
        <w:t xml:space="preserve"> </w:t>
      </w:r>
      <w:r>
        <w:rPr>
          <w:sz w:val="20"/>
        </w:rPr>
        <w:t>half</w:t>
      </w:r>
      <w:r>
        <w:rPr>
          <w:spacing w:val="-9"/>
          <w:sz w:val="20"/>
        </w:rPr>
        <w:t xml:space="preserve"> </w:t>
      </w:r>
      <w:r>
        <w:rPr>
          <w:sz w:val="20"/>
        </w:rPr>
        <w:t>a million</w:t>
      </w:r>
      <w:r>
        <w:rPr>
          <w:spacing w:val="-11"/>
          <w:sz w:val="20"/>
        </w:rPr>
        <w:t xml:space="preserve"> </w:t>
      </w:r>
      <w:r>
        <w:rPr>
          <w:sz w:val="20"/>
        </w:rPr>
        <w:t>people.</w:t>
      </w:r>
    </w:p>
    <w:p w:rsidR="002C1123" w:rsidRDefault="00F22F94">
      <w:pPr>
        <w:pStyle w:val="BodyText"/>
        <w:spacing w:before="145" w:line="249" w:lineRule="auto"/>
        <w:ind w:left="186" w:right="-8"/>
      </w:pPr>
      <w:r>
        <w:rPr>
          <w:w w:val="95"/>
        </w:rPr>
        <w:t xml:space="preserve">Almost 75 percent of commuter journeys to the CBD are </w:t>
      </w:r>
      <w:r>
        <w:rPr>
          <w:spacing w:val="-2"/>
        </w:rPr>
        <w:t>by</w:t>
      </w:r>
      <w:r>
        <w:rPr>
          <w:spacing w:val="-9"/>
        </w:rPr>
        <w:t xml:space="preserve"> </w:t>
      </w:r>
      <w:r>
        <w:rPr>
          <w:spacing w:val="-2"/>
        </w:rPr>
        <w:t>public</w:t>
      </w:r>
      <w:r>
        <w:rPr>
          <w:spacing w:val="-9"/>
        </w:rPr>
        <w:t xml:space="preserve"> </w:t>
      </w:r>
      <w:r>
        <w:rPr>
          <w:spacing w:val="-2"/>
        </w:rPr>
        <w:t>transport</w:t>
      </w:r>
      <w:r>
        <w:rPr>
          <w:spacing w:val="-9"/>
        </w:rPr>
        <w:t xml:space="preserve"> </w:t>
      </w:r>
      <w:r>
        <w:rPr>
          <w:spacing w:val="-2"/>
        </w:rPr>
        <w:t>–</w:t>
      </w:r>
      <w:r>
        <w:rPr>
          <w:spacing w:val="-9"/>
        </w:rPr>
        <w:t xml:space="preserve"> </w:t>
      </w:r>
      <w:r>
        <w:rPr>
          <w:spacing w:val="-2"/>
        </w:rPr>
        <w:t>compared</w:t>
      </w:r>
      <w:r>
        <w:rPr>
          <w:spacing w:val="-9"/>
        </w:rPr>
        <w:t xml:space="preserve"> </w:t>
      </w:r>
      <w:r>
        <w:rPr>
          <w:spacing w:val="-2"/>
        </w:rPr>
        <w:t>to</w:t>
      </w:r>
      <w:r>
        <w:rPr>
          <w:spacing w:val="-9"/>
        </w:rPr>
        <w:t xml:space="preserve"> </w:t>
      </w:r>
      <w:r>
        <w:rPr>
          <w:spacing w:val="-2"/>
        </w:rPr>
        <w:t>only</w:t>
      </w:r>
      <w:r>
        <w:rPr>
          <w:spacing w:val="-9"/>
        </w:rPr>
        <w:t xml:space="preserve"> </w:t>
      </w:r>
      <w:r>
        <w:rPr>
          <w:spacing w:val="-2"/>
        </w:rPr>
        <w:t>24</w:t>
      </w:r>
      <w:r>
        <w:rPr>
          <w:spacing w:val="-9"/>
        </w:rPr>
        <w:t xml:space="preserve"> </w:t>
      </w:r>
      <w:r>
        <w:rPr>
          <w:spacing w:val="-2"/>
        </w:rPr>
        <w:t>percent</w:t>
      </w:r>
      <w:r>
        <w:rPr>
          <w:spacing w:val="-9"/>
        </w:rPr>
        <w:t xml:space="preserve"> </w:t>
      </w:r>
      <w:r>
        <w:rPr>
          <w:spacing w:val="-2"/>
        </w:rPr>
        <w:t>of</w:t>
      </w:r>
      <w:r>
        <w:rPr>
          <w:spacing w:val="-9"/>
        </w:rPr>
        <w:t xml:space="preserve"> </w:t>
      </w:r>
      <w:r>
        <w:rPr>
          <w:spacing w:val="-2"/>
        </w:rPr>
        <w:t xml:space="preserve">all </w:t>
      </w:r>
      <w:r>
        <w:rPr>
          <w:w w:val="95"/>
        </w:rPr>
        <w:t>work journeys in Sydney. Limitations on parking in the CBD means that public transport needs will increase as employment</w:t>
      </w:r>
      <w:r>
        <w:rPr>
          <w:spacing w:val="-12"/>
          <w:w w:val="95"/>
        </w:rPr>
        <w:t xml:space="preserve"> </w:t>
      </w:r>
      <w:r>
        <w:rPr>
          <w:w w:val="95"/>
        </w:rPr>
        <w:t>in</w:t>
      </w:r>
      <w:r>
        <w:rPr>
          <w:spacing w:val="-11"/>
          <w:w w:val="95"/>
        </w:rPr>
        <w:t xml:space="preserve"> </w:t>
      </w:r>
      <w:r>
        <w:rPr>
          <w:w w:val="95"/>
        </w:rPr>
        <w:t>the</w:t>
      </w:r>
      <w:r>
        <w:rPr>
          <w:spacing w:val="-11"/>
          <w:w w:val="95"/>
        </w:rPr>
        <w:t xml:space="preserve"> </w:t>
      </w:r>
      <w:r>
        <w:rPr>
          <w:w w:val="95"/>
        </w:rPr>
        <w:t>CBD</w:t>
      </w:r>
      <w:r>
        <w:rPr>
          <w:spacing w:val="-11"/>
          <w:w w:val="95"/>
        </w:rPr>
        <w:t xml:space="preserve"> </w:t>
      </w:r>
      <w:r>
        <w:rPr>
          <w:w w:val="95"/>
        </w:rPr>
        <w:t>grows</w:t>
      </w:r>
      <w:r>
        <w:rPr>
          <w:spacing w:val="-12"/>
          <w:w w:val="95"/>
        </w:rPr>
        <w:t xml:space="preserve"> </w:t>
      </w:r>
      <w:r>
        <w:rPr>
          <w:w w:val="95"/>
        </w:rPr>
        <w:t>over</w:t>
      </w:r>
      <w:r>
        <w:rPr>
          <w:spacing w:val="-11"/>
          <w:w w:val="95"/>
        </w:rPr>
        <w:t xml:space="preserve"> </w:t>
      </w:r>
      <w:r>
        <w:rPr>
          <w:w w:val="95"/>
        </w:rPr>
        <w:t>the</w:t>
      </w:r>
      <w:r>
        <w:rPr>
          <w:spacing w:val="-11"/>
          <w:w w:val="95"/>
        </w:rPr>
        <w:t xml:space="preserve"> </w:t>
      </w:r>
      <w:r>
        <w:rPr>
          <w:w w:val="95"/>
        </w:rPr>
        <w:t>next</w:t>
      </w:r>
      <w:r>
        <w:rPr>
          <w:spacing w:val="-11"/>
          <w:w w:val="95"/>
        </w:rPr>
        <w:t xml:space="preserve"> </w:t>
      </w:r>
      <w:r>
        <w:rPr>
          <w:w w:val="95"/>
        </w:rPr>
        <w:t>twenty</w:t>
      </w:r>
      <w:r>
        <w:rPr>
          <w:spacing w:val="-11"/>
          <w:w w:val="95"/>
        </w:rPr>
        <w:t xml:space="preserve"> </w:t>
      </w:r>
      <w:r>
        <w:rPr>
          <w:w w:val="95"/>
        </w:rPr>
        <w:t>years.</w:t>
      </w:r>
    </w:p>
    <w:p w:rsidR="002C1123" w:rsidRDefault="00F22F94">
      <w:pPr>
        <w:pStyle w:val="BodyText"/>
        <w:spacing w:before="129" w:line="249" w:lineRule="auto"/>
        <w:ind w:left="187" w:right="825"/>
      </w:pPr>
      <w:r>
        <w:br w:type="column"/>
      </w:r>
      <w:r>
        <w:t>The</w:t>
      </w:r>
      <w:r>
        <w:rPr>
          <w:spacing w:val="-12"/>
        </w:rPr>
        <w:t xml:space="preserve"> </w:t>
      </w:r>
      <w:r>
        <w:t>commuter</w:t>
      </w:r>
      <w:r>
        <w:rPr>
          <w:spacing w:val="-12"/>
        </w:rPr>
        <w:t xml:space="preserve"> </w:t>
      </w:r>
      <w:r>
        <w:t>task</w:t>
      </w:r>
      <w:r>
        <w:rPr>
          <w:spacing w:val="-12"/>
        </w:rPr>
        <w:t xml:space="preserve"> </w:t>
      </w:r>
      <w:r>
        <w:t>is</w:t>
      </w:r>
      <w:r>
        <w:rPr>
          <w:spacing w:val="-12"/>
        </w:rPr>
        <w:t xml:space="preserve"> </w:t>
      </w:r>
      <w:r>
        <w:t>primarily</w:t>
      </w:r>
      <w:r>
        <w:rPr>
          <w:spacing w:val="-12"/>
        </w:rPr>
        <w:t xml:space="preserve"> </w:t>
      </w:r>
      <w:r>
        <w:t>handled</w:t>
      </w:r>
      <w:r>
        <w:rPr>
          <w:spacing w:val="-12"/>
        </w:rPr>
        <w:t xml:space="preserve"> </w:t>
      </w:r>
      <w:r>
        <w:t>by</w:t>
      </w:r>
      <w:r>
        <w:rPr>
          <w:spacing w:val="-12"/>
        </w:rPr>
        <w:t xml:space="preserve"> </w:t>
      </w:r>
      <w:r>
        <w:t>trains</w:t>
      </w:r>
      <w:r>
        <w:rPr>
          <w:spacing w:val="-12"/>
        </w:rPr>
        <w:t xml:space="preserve"> </w:t>
      </w:r>
      <w:r>
        <w:t xml:space="preserve">and </w:t>
      </w:r>
      <w:r>
        <w:rPr>
          <w:w w:val="95"/>
        </w:rPr>
        <w:t>buses</w:t>
      </w:r>
      <w:r>
        <w:rPr>
          <w:spacing w:val="-6"/>
          <w:w w:val="95"/>
        </w:rPr>
        <w:t xml:space="preserve"> </w:t>
      </w:r>
      <w:r>
        <w:rPr>
          <w:w w:val="95"/>
        </w:rPr>
        <w:t>–</w:t>
      </w:r>
      <w:r>
        <w:rPr>
          <w:spacing w:val="-6"/>
          <w:w w:val="95"/>
        </w:rPr>
        <w:t xml:space="preserve"> </w:t>
      </w:r>
      <w:r>
        <w:rPr>
          <w:w w:val="95"/>
        </w:rPr>
        <w:t>44</w:t>
      </w:r>
      <w:r>
        <w:rPr>
          <w:spacing w:val="-6"/>
          <w:w w:val="95"/>
        </w:rPr>
        <w:t xml:space="preserve"> </w:t>
      </w:r>
      <w:r>
        <w:rPr>
          <w:w w:val="95"/>
        </w:rPr>
        <w:t>percent</w:t>
      </w:r>
      <w:r>
        <w:rPr>
          <w:spacing w:val="-6"/>
          <w:w w:val="95"/>
        </w:rPr>
        <w:t xml:space="preserve"> </w:t>
      </w:r>
      <w:r>
        <w:rPr>
          <w:w w:val="95"/>
        </w:rPr>
        <w:t>and</w:t>
      </w:r>
      <w:r>
        <w:rPr>
          <w:spacing w:val="-6"/>
          <w:w w:val="95"/>
        </w:rPr>
        <w:t xml:space="preserve"> </w:t>
      </w:r>
      <w:r>
        <w:rPr>
          <w:w w:val="95"/>
        </w:rPr>
        <w:t>28</w:t>
      </w:r>
      <w:r>
        <w:rPr>
          <w:spacing w:val="-6"/>
          <w:w w:val="95"/>
        </w:rPr>
        <w:t xml:space="preserve"> </w:t>
      </w:r>
      <w:r>
        <w:rPr>
          <w:w w:val="95"/>
        </w:rPr>
        <w:t>percent</w:t>
      </w:r>
      <w:r>
        <w:rPr>
          <w:spacing w:val="-6"/>
          <w:w w:val="95"/>
        </w:rPr>
        <w:t xml:space="preserve"> </w:t>
      </w:r>
      <w:r>
        <w:rPr>
          <w:w w:val="95"/>
        </w:rPr>
        <w:t>respectively.</w:t>
      </w:r>
      <w:r>
        <w:rPr>
          <w:spacing w:val="-6"/>
          <w:w w:val="95"/>
        </w:rPr>
        <w:t xml:space="preserve"> </w:t>
      </w:r>
      <w:r>
        <w:rPr>
          <w:w w:val="95"/>
        </w:rPr>
        <w:t xml:space="preserve">Ferries </w:t>
      </w:r>
      <w:r>
        <w:t>transport</w:t>
      </w:r>
      <w:r>
        <w:rPr>
          <w:spacing w:val="-14"/>
        </w:rPr>
        <w:t xml:space="preserve"> </w:t>
      </w:r>
      <w:r>
        <w:t>around</w:t>
      </w:r>
      <w:r>
        <w:rPr>
          <w:spacing w:val="-14"/>
        </w:rPr>
        <w:t xml:space="preserve"> </w:t>
      </w:r>
      <w:r>
        <w:t>four</w:t>
      </w:r>
      <w:r>
        <w:rPr>
          <w:spacing w:val="-14"/>
        </w:rPr>
        <w:t xml:space="preserve"> </w:t>
      </w:r>
      <w:r>
        <w:t>percent</w:t>
      </w:r>
      <w:r>
        <w:rPr>
          <w:spacing w:val="-14"/>
        </w:rPr>
        <w:t xml:space="preserve"> </w:t>
      </w:r>
      <w:r>
        <w:t>of</w:t>
      </w:r>
      <w:r>
        <w:rPr>
          <w:spacing w:val="-14"/>
        </w:rPr>
        <w:t xml:space="preserve"> </w:t>
      </w:r>
      <w:r>
        <w:t>workers</w:t>
      </w:r>
      <w:r>
        <w:rPr>
          <w:spacing w:val="-14"/>
        </w:rPr>
        <w:t xml:space="preserve"> </w:t>
      </w:r>
      <w:r>
        <w:t>to</w:t>
      </w:r>
      <w:r>
        <w:rPr>
          <w:spacing w:val="-14"/>
        </w:rPr>
        <w:t xml:space="preserve"> </w:t>
      </w:r>
      <w:r>
        <w:t>the</w:t>
      </w:r>
      <w:r>
        <w:rPr>
          <w:spacing w:val="-14"/>
        </w:rPr>
        <w:t xml:space="preserve"> </w:t>
      </w:r>
      <w:r>
        <w:t>CBD</w:t>
      </w:r>
      <w:r>
        <w:rPr>
          <w:position w:val="7"/>
          <w:sz w:val="11"/>
        </w:rPr>
        <w:t>25</w:t>
      </w:r>
      <w:r>
        <w:t>.</w:t>
      </w:r>
    </w:p>
    <w:p w:rsidR="002C1123" w:rsidRDefault="00F22F94">
      <w:pPr>
        <w:pStyle w:val="BodyText"/>
        <w:spacing w:before="144" w:line="249" w:lineRule="auto"/>
        <w:ind w:left="187" w:right="796"/>
      </w:pPr>
      <w:r>
        <w:rPr>
          <w:w w:val="95"/>
        </w:rPr>
        <w:t>The rail system is often congested and services can be slow</w:t>
      </w:r>
      <w:r>
        <w:rPr>
          <w:spacing w:val="-1"/>
          <w:w w:val="95"/>
        </w:rPr>
        <w:t xml:space="preserve"> </w:t>
      </w:r>
      <w:r>
        <w:rPr>
          <w:w w:val="95"/>
        </w:rPr>
        <w:t>and</w:t>
      </w:r>
      <w:r>
        <w:rPr>
          <w:spacing w:val="-1"/>
          <w:w w:val="95"/>
        </w:rPr>
        <w:t xml:space="preserve"> </w:t>
      </w:r>
      <w:r>
        <w:rPr>
          <w:w w:val="95"/>
        </w:rPr>
        <w:t>unreliable.</w:t>
      </w:r>
      <w:r>
        <w:rPr>
          <w:spacing w:val="-1"/>
          <w:w w:val="95"/>
        </w:rPr>
        <w:t xml:space="preserve"> </w:t>
      </w:r>
      <w:r>
        <w:rPr>
          <w:w w:val="95"/>
        </w:rPr>
        <w:t>High</w:t>
      </w:r>
      <w:r>
        <w:rPr>
          <w:spacing w:val="-1"/>
          <w:w w:val="95"/>
        </w:rPr>
        <w:t xml:space="preserve"> </w:t>
      </w:r>
      <w:r>
        <w:rPr>
          <w:w w:val="95"/>
        </w:rPr>
        <w:t>demands</w:t>
      </w:r>
      <w:r>
        <w:rPr>
          <w:spacing w:val="-1"/>
          <w:w w:val="95"/>
        </w:rPr>
        <w:t xml:space="preserve"> </w:t>
      </w:r>
      <w:r>
        <w:rPr>
          <w:w w:val="95"/>
        </w:rPr>
        <w:t>placed</w:t>
      </w:r>
      <w:r>
        <w:rPr>
          <w:spacing w:val="-1"/>
          <w:w w:val="95"/>
        </w:rPr>
        <w:t xml:space="preserve"> </w:t>
      </w:r>
      <w:r>
        <w:rPr>
          <w:w w:val="95"/>
        </w:rPr>
        <w:t>on</w:t>
      </w:r>
      <w:r>
        <w:rPr>
          <w:spacing w:val="-1"/>
          <w:w w:val="95"/>
        </w:rPr>
        <w:t xml:space="preserve"> </w:t>
      </w:r>
      <w:r>
        <w:rPr>
          <w:w w:val="95"/>
        </w:rPr>
        <w:t xml:space="preserve">particular </w:t>
      </w:r>
      <w:r>
        <w:rPr>
          <w:spacing w:val="-2"/>
        </w:rPr>
        <w:t>stations</w:t>
      </w:r>
      <w:r>
        <w:rPr>
          <w:spacing w:val="-6"/>
        </w:rPr>
        <w:t xml:space="preserve"> </w:t>
      </w:r>
      <w:r>
        <w:rPr>
          <w:spacing w:val="-2"/>
        </w:rPr>
        <w:t>magnify</w:t>
      </w:r>
      <w:r>
        <w:rPr>
          <w:spacing w:val="-6"/>
        </w:rPr>
        <w:t xml:space="preserve"> </w:t>
      </w:r>
      <w:r>
        <w:rPr>
          <w:spacing w:val="-2"/>
        </w:rPr>
        <w:t>the</w:t>
      </w:r>
      <w:r>
        <w:rPr>
          <w:spacing w:val="-6"/>
        </w:rPr>
        <w:t xml:space="preserve"> </w:t>
      </w:r>
      <w:r>
        <w:rPr>
          <w:spacing w:val="-2"/>
        </w:rPr>
        <w:t>challenges,</w:t>
      </w:r>
      <w:r>
        <w:rPr>
          <w:spacing w:val="-6"/>
        </w:rPr>
        <w:t xml:space="preserve"> </w:t>
      </w:r>
      <w:r>
        <w:rPr>
          <w:spacing w:val="-2"/>
        </w:rPr>
        <w:t>for</w:t>
      </w:r>
      <w:r>
        <w:rPr>
          <w:spacing w:val="-6"/>
        </w:rPr>
        <w:t xml:space="preserve"> </w:t>
      </w:r>
      <w:r>
        <w:rPr>
          <w:spacing w:val="-2"/>
        </w:rPr>
        <w:t>example</w:t>
      </w:r>
      <w:r>
        <w:rPr>
          <w:spacing w:val="-6"/>
        </w:rPr>
        <w:t xml:space="preserve"> </w:t>
      </w:r>
      <w:r>
        <w:rPr>
          <w:spacing w:val="-2"/>
        </w:rPr>
        <w:t xml:space="preserve">Wynyard </w:t>
      </w:r>
      <w:r>
        <w:t>alone</w:t>
      </w:r>
      <w:r>
        <w:rPr>
          <w:spacing w:val="-14"/>
        </w:rPr>
        <w:t xml:space="preserve"> </w:t>
      </w:r>
      <w:r>
        <w:t>carries</w:t>
      </w:r>
      <w:r>
        <w:rPr>
          <w:spacing w:val="-14"/>
        </w:rPr>
        <w:t xml:space="preserve"> </w:t>
      </w:r>
      <w:r>
        <w:t>110,000</w:t>
      </w:r>
      <w:r>
        <w:rPr>
          <w:spacing w:val="-14"/>
        </w:rPr>
        <w:t xml:space="preserve"> </w:t>
      </w:r>
      <w:r>
        <w:t>passengers</w:t>
      </w:r>
      <w:r>
        <w:rPr>
          <w:spacing w:val="-14"/>
        </w:rPr>
        <w:t xml:space="preserve"> </w:t>
      </w:r>
      <w:r>
        <w:t>each</w:t>
      </w:r>
      <w:r>
        <w:rPr>
          <w:spacing w:val="-14"/>
        </w:rPr>
        <w:t xml:space="preserve"> </w:t>
      </w:r>
      <w:r>
        <w:t>weekday.</w:t>
      </w:r>
    </w:p>
    <w:p w:rsidR="002C1123" w:rsidRDefault="00F22F94">
      <w:pPr>
        <w:pStyle w:val="BodyText"/>
        <w:spacing w:before="145" w:line="249" w:lineRule="auto"/>
        <w:ind w:left="187" w:right="1022"/>
      </w:pPr>
      <w:r>
        <w:t>There</w:t>
      </w:r>
      <w:r>
        <w:rPr>
          <w:spacing w:val="-11"/>
        </w:rPr>
        <w:t xml:space="preserve"> </w:t>
      </w:r>
      <w:r>
        <w:t>is</w:t>
      </w:r>
      <w:r>
        <w:rPr>
          <w:spacing w:val="-11"/>
        </w:rPr>
        <w:t xml:space="preserve"> </w:t>
      </w:r>
      <w:r>
        <w:t>no</w:t>
      </w:r>
      <w:r>
        <w:rPr>
          <w:spacing w:val="-11"/>
        </w:rPr>
        <w:t xml:space="preserve"> </w:t>
      </w:r>
      <w:r>
        <w:t>debate</w:t>
      </w:r>
      <w:r>
        <w:rPr>
          <w:spacing w:val="-11"/>
        </w:rPr>
        <w:t xml:space="preserve"> </w:t>
      </w:r>
      <w:r>
        <w:t>about</w:t>
      </w:r>
      <w:r>
        <w:rPr>
          <w:spacing w:val="-11"/>
        </w:rPr>
        <w:t xml:space="preserve"> </w:t>
      </w:r>
      <w:r>
        <w:t>the</w:t>
      </w:r>
      <w:r>
        <w:rPr>
          <w:spacing w:val="-11"/>
        </w:rPr>
        <w:t xml:space="preserve"> </w:t>
      </w:r>
      <w:r>
        <w:t>need</w:t>
      </w:r>
      <w:r>
        <w:rPr>
          <w:spacing w:val="-11"/>
        </w:rPr>
        <w:t xml:space="preserve"> </w:t>
      </w:r>
      <w:r>
        <w:t>to</w:t>
      </w:r>
      <w:r>
        <w:rPr>
          <w:spacing w:val="-11"/>
        </w:rPr>
        <w:t xml:space="preserve"> </w:t>
      </w:r>
      <w:r>
        <w:t>solve</w:t>
      </w:r>
      <w:r>
        <w:rPr>
          <w:spacing w:val="-11"/>
        </w:rPr>
        <w:t xml:space="preserve"> </w:t>
      </w:r>
      <w:r>
        <w:t>these problems.</w:t>
      </w:r>
      <w:r>
        <w:rPr>
          <w:spacing w:val="-14"/>
        </w:rPr>
        <w:t xml:space="preserve"> </w:t>
      </w:r>
      <w:r>
        <w:t>The</w:t>
      </w:r>
      <w:r>
        <w:rPr>
          <w:spacing w:val="-14"/>
        </w:rPr>
        <w:t xml:space="preserve"> </w:t>
      </w:r>
      <w:r>
        <w:t>question</w:t>
      </w:r>
      <w:r>
        <w:rPr>
          <w:spacing w:val="-14"/>
        </w:rPr>
        <w:t xml:space="preserve"> </w:t>
      </w:r>
      <w:r>
        <w:t>is</w:t>
      </w:r>
      <w:r>
        <w:rPr>
          <w:spacing w:val="-14"/>
        </w:rPr>
        <w:t xml:space="preserve"> </w:t>
      </w:r>
      <w:r>
        <w:t>how</w:t>
      </w:r>
      <w:r>
        <w:rPr>
          <w:spacing w:val="-13"/>
        </w:rPr>
        <w:t xml:space="preserve"> </w:t>
      </w:r>
      <w:r>
        <w:t>far</w:t>
      </w:r>
      <w:r>
        <w:rPr>
          <w:spacing w:val="-14"/>
        </w:rPr>
        <w:t xml:space="preserve"> </w:t>
      </w:r>
      <w:r>
        <w:t>the</w:t>
      </w:r>
      <w:r>
        <w:rPr>
          <w:spacing w:val="-14"/>
        </w:rPr>
        <w:t xml:space="preserve"> </w:t>
      </w:r>
      <w:r>
        <w:t>solution</w:t>
      </w:r>
      <w:r>
        <w:rPr>
          <w:spacing w:val="-14"/>
        </w:rPr>
        <w:t xml:space="preserve"> </w:t>
      </w:r>
      <w:r>
        <w:t>is</w:t>
      </w:r>
      <w:r>
        <w:rPr>
          <w:spacing w:val="-14"/>
        </w:rPr>
        <w:t xml:space="preserve"> </w:t>
      </w:r>
      <w:r>
        <w:t xml:space="preserve">to </w:t>
      </w:r>
      <w:r>
        <w:rPr>
          <w:w w:val="95"/>
        </w:rPr>
        <w:t>be</w:t>
      </w:r>
      <w:r>
        <w:rPr>
          <w:spacing w:val="-1"/>
          <w:w w:val="95"/>
        </w:rPr>
        <w:t xml:space="preserve"> </w:t>
      </w:r>
      <w:r>
        <w:rPr>
          <w:w w:val="95"/>
        </w:rPr>
        <w:t>found</w:t>
      </w:r>
      <w:r>
        <w:rPr>
          <w:spacing w:val="-1"/>
          <w:w w:val="95"/>
        </w:rPr>
        <w:t xml:space="preserve"> </w:t>
      </w:r>
      <w:r>
        <w:rPr>
          <w:w w:val="95"/>
        </w:rPr>
        <w:t>through</w:t>
      </w:r>
      <w:r>
        <w:rPr>
          <w:spacing w:val="-1"/>
          <w:w w:val="95"/>
        </w:rPr>
        <w:t xml:space="preserve"> </w:t>
      </w:r>
      <w:r>
        <w:rPr>
          <w:w w:val="95"/>
        </w:rPr>
        <w:t>a</w:t>
      </w:r>
      <w:r>
        <w:rPr>
          <w:spacing w:val="-1"/>
          <w:w w:val="95"/>
        </w:rPr>
        <w:t xml:space="preserve"> </w:t>
      </w:r>
      <w:r>
        <w:rPr>
          <w:w w:val="95"/>
        </w:rPr>
        <w:t>process</w:t>
      </w:r>
      <w:r>
        <w:rPr>
          <w:spacing w:val="-1"/>
          <w:w w:val="95"/>
        </w:rPr>
        <w:t xml:space="preserve"> </w:t>
      </w:r>
      <w:r>
        <w:rPr>
          <w:w w:val="95"/>
        </w:rPr>
        <w:t>of</w:t>
      </w:r>
      <w:r>
        <w:rPr>
          <w:spacing w:val="-1"/>
          <w:w w:val="95"/>
        </w:rPr>
        <w:t xml:space="preserve"> </w:t>
      </w:r>
      <w:r>
        <w:rPr>
          <w:w w:val="95"/>
        </w:rPr>
        <w:t>incremental</w:t>
      </w:r>
      <w:r>
        <w:rPr>
          <w:spacing w:val="-1"/>
          <w:w w:val="95"/>
        </w:rPr>
        <w:t xml:space="preserve"> </w:t>
      </w:r>
      <w:r>
        <w:rPr>
          <w:w w:val="95"/>
        </w:rPr>
        <w:t>reform</w:t>
      </w:r>
      <w:r>
        <w:rPr>
          <w:spacing w:val="-1"/>
          <w:w w:val="95"/>
        </w:rPr>
        <w:t xml:space="preserve"> </w:t>
      </w:r>
      <w:r>
        <w:rPr>
          <w:w w:val="95"/>
        </w:rPr>
        <w:t>or through</w:t>
      </w:r>
      <w:r>
        <w:rPr>
          <w:spacing w:val="-7"/>
          <w:w w:val="95"/>
        </w:rPr>
        <w:t xml:space="preserve"> </w:t>
      </w:r>
      <w:r>
        <w:rPr>
          <w:w w:val="95"/>
        </w:rPr>
        <w:t>major</w:t>
      </w:r>
      <w:r>
        <w:rPr>
          <w:spacing w:val="-7"/>
          <w:w w:val="95"/>
        </w:rPr>
        <w:t xml:space="preserve"> </w:t>
      </w:r>
      <w:r>
        <w:rPr>
          <w:w w:val="95"/>
        </w:rPr>
        <w:t>investment</w:t>
      </w:r>
      <w:r>
        <w:rPr>
          <w:spacing w:val="-7"/>
          <w:w w:val="95"/>
        </w:rPr>
        <w:t xml:space="preserve"> </w:t>
      </w:r>
      <w:r>
        <w:rPr>
          <w:w w:val="95"/>
        </w:rPr>
        <w:t>in</w:t>
      </w:r>
      <w:r>
        <w:rPr>
          <w:spacing w:val="-7"/>
          <w:w w:val="95"/>
        </w:rPr>
        <w:t xml:space="preserve"> </w:t>
      </w:r>
      <w:r>
        <w:rPr>
          <w:w w:val="95"/>
        </w:rPr>
        <w:t>new</w:t>
      </w:r>
      <w:r>
        <w:rPr>
          <w:spacing w:val="-7"/>
          <w:w w:val="95"/>
        </w:rPr>
        <w:t xml:space="preserve"> </w:t>
      </w:r>
      <w:r>
        <w:rPr>
          <w:w w:val="95"/>
        </w:rPr>
        <w:t>fixed</w:t>
      </w:r>
      <w:r>
        <w:rPr>
          <w:spacing w:val="-7"/>
          <w:w w:val="95"/>
        </w:rPr>
        <w:t xml:space="preserve"> </w:t>
      </w:r>
      <w:r>
        <w:rPr>
          <w:spacing w:val="-2"/>
          <w:w w:val="95"/>
        </w:rPr>
        <w:t>infrastructure.</w:t>
      </w:r>
    </w:p>
    <w:p w:rsidR="002C1123" w:rsidRDefault="00F22F94">
      <w:pPr>
        <w:pStyle w:val="BodyText"/>
        <w:spacing w:before="3"/>
        <w:ind w:left="187"/>
      </w:pPr>
      <w:r>
        <w:rPr>
          <w:w w:val="95"/>
        </w:rPr>
        <w:t>These</w:t>
      </w:r>
      <w:r>
        <w:rPr>
          <w:spacing w:val="-8"/>
          <w:w w:val="95"/>
        </w:rPr>
        <w:t xml:space="preserve"> </w:t>
      </w:r>
      <w:r>
        <w:rPr>
          <w:w w:val="95"/>
        </w:rPr>
        <w:t>issues</w:t>
      </w:r>
      <w:r>
        <w:rPr>
          <w:spacing w:val="-8"/>
          <w:w w:val="95"/>
        </w:rPr>
        <w:t xml:space="preserve"> </w:t>
      </w:r>
      <w:r>
        <w:rPr>
          <w:w w:val="95"/>
        </w:rPr>
        <w:t>are</w:t>
      </w:r>
      <w:r>
        <w:rPr>
          <w:spacing w:val="-8"/>
          <w:w w:val="95"/>
        </w:rPr>
        <w:t xml:space="preserve"> </w:t>
      </w:r>
      <w:r>
        <w:rPr>
          <w:w w:val="95"/>
        </w:rPr>
        <w:t>discussed</w:t>
      </w:r>
      <w:r>
        <w:rPr>
          <w:spacing w:val="-8"/>
          <w:w w:val="95"/>
        </w:rPr>
        <w:t xml:space="preserve"> </w:t>
      </w:r>
      <w:r>
        <w:rPr>
          <w:w w:val="95"/>
        </w:rPr>
        <w:t>in</w:t>
      </w:r>
      <w:r>
        <w:rPr>
          <w:spacing w:val="-8"/>
          <w:w w:val="95"/>
        </w:rPr>
        <w:t xml:space="preserve"> </w:t>
      </w:r>
      <w:r>
        <w:rPr>
          <w:w w:val="95"/>
        </w:rPr>
        <w:t>more</w:t>
      </w:r>
      <w:r>
        <w:rPr>
          <w:spacing w:val="-8"/>
          <w:w w:val="95"/>
        </w:rPr>
        <w:t xml:space="preserve"> </w:t>
      </w:r>
      <w:r>
        <w:rPr>
          <w:w w:val="95"/>
        </w:rPr>
        <w:t>detail</w:t>
      </w:r>
      <w:r>
        <w:rPr>
          <w:spacing w:val="-8"/>
          <w:w w:val="95"/>
        </w:rPr>
        <w:t xml:space="preserve"> </w:t>
      </w:r>
      <w:r>
        <w:rPr>
          <w:w w:val="95"/>
        </w:rPr>
        <w:t>in</w:t>
      </w:r>
      <w:r>
        <w:rPr>
          <w:spacing w:val="-8"/>
          <w:w w:val="95"/>
        </w:rPr>
        <w:t xml:space="preserve"> </w:t>
      </w:r>
      <w:r>
        <w:rPr>
          <w:w w:val="95"/>
        </w:rPr>
        <w:t>Section</w:t>
      </w:r>
      <w:r>
        <w:rPr>
          <w:spacing w:val="-8"/>
          <w:w w:val="95"/>
        </w:rPr>
        <w:t xml:space="preserve"> </w:t>
      </w:r>
      <w:r>
        <w:rPr>
          <w:spacing w:val="-5"/>
          <w:w w:val="95"/>
        </w:rPr>
        <w:t>8.</w:t>
      </w:r>
    </w:p>
    <w:p w:rsidR="002C1123" w:rsidRDefault="00F22F94">
      <w:pPr>
        <w:pStyle w:val="BodyText"/>
        <w:spacing w:before="152" w:line="249" w:lineRule="auto"/>
        <w:ind w:left="187" w:right="796"/>
      </w:pPr>
      <w:r>
        <w:rPr>
          <w:w w:val="95"/>
        </w:rPr>
        <w:t>Buses</w:t>
      </w:r>
      <w:r>
        <w:rPr>
          <w:spacing w:val="-2"/>
          <w:w w:val="95"/>
        </w:rPr>
        <w:t xml:space="preserve"> </w:t>
      </w:r>
      <w:r>
        <w:rPr>
          <w:w w:val="95"/>
        </w:rPr>
        <w:t>primarily</w:t>
      </w:r>
      <w:r>
        <w:rPr>
          <w:spacing w:val="-2"/>
          <w:w w:val="95"/>
        </w:rPr>
        <w:t xml:space="preserve"> </w:t>
      </w:r>
      <w:r>
        <w:rPr>
          <w:w w:val="95"/>
        </w:rPr>
        <w:t>provide</w:t>
      </w:r>
      <w:r>
        <w:rPr>
          <w:spacing w:val="-2"/>
          <w:w w:val="95"/>
        </w:rPr>
        <w:t xml:space="preserve"> </w:t>
      </w:r>
      <w:r>
        <w:rPr>
          <w:w w:val="95"/>
        </w:rPr>
        <w:t>access</w:t>
      </w:r>
      <w:r>
        <w:rPr>
          <w:spacing w:val="-2"/>
          <w:w w:val="95"/>
        </w:rPr>
        <w:t xml:space="preserve"> </w:t>
      </w:r>
      <w:r>
        <w:rPr>
          <w:w w:val="95"/>
        </w:rPr>
        <w:t>from</w:t>
      </w:r>
      <w:r>
        <w:rPr>
          <w:spacing w:val="-3"/>
          <w:w w:val="95"/>
        </w:rPr>
        <w:t xml:space="preserve"> </w:t>
      </w:r>
      <w:r>
        <w:rPr>
          <w:w w:val="95"/>
        </w:rPr>
        <w:t>the</w:t>
      </w:r>
      <w:r>
        <w:rPr>
          <w:spacing w:val="-2"/>
          <w:w w:val="95"/>
        </w:rPr>
        <w:t xml:space="preserve"> </w:t>
      </w:r>
      <w:r>
        <w:rPr>
          <w:w w:val="95"/>
        </w:rPr>
        <w:t>inner</w:t>
      </w:r>
      <w:r>
        <w:rPr>
          <w:spacing w:val="-2"/>
          <w:w w:val="95"/>
        </w:rPr>
        <w:t xml:space="preserve"> </w:t>
      </w:r>
      <w:r>
        <w:rPr>
          <w:w w:val="95"/>
        </w:rPr>
        <w:t xml:space="preserve">suburbs, </w:t>
      </w:r>
      <w:r>
        <w:t>with</w:t>
      </w:r>
      <w:r>
        <w:rPr>
          <w:spacing w:val="-5"/>
        </w:rPr>
        <w:t xml:space="preserve"> </w:t>
      </w:r>
      <w:r>
        <w:t>passenger</w:t>
      </w:r>
      <w:r>
        <w:rPr>
          <w:spacing w:val="-5"/>
        </w:rPr>
        <w:t xml:space="preserve"> </w:t>
      </w:r>
      <w:r>
        <w:t>flows</w:t>
      </w:r>
      <w:r>
        <w:rPr>
          <w:spacing w:val="-5"/>
        </w:rPr>
        <w:t xml:space="preserve"> </w:t>
      </w:r>
      <w:r>
        <w:t>into</w:t>
      </w:r>
      <w:r>
        <w:rPr>
          <w:spacing w:val="-5"/>
        </w:rPr>
        <w:t xml:space="preserve"> </w:t>
      </w:r>
      <w:r>
        <w:t>the</w:t>
      </w:r>
      <w:r>
        <w:rPr>
          <w:spacing w:val="-5"/>
        </w:rPr>
        <w:t xml:space="preserve"> </w:t>
      </w:r>
      <w:r>
        <w:t>CBD</w:t>
      </w:r>
      <w:r>
        <w:rPr>
          <w:spacing w:val="-5"/>
        </w:rPr>
        <w:t xml:space="preserve"> </w:t>
      </w:r>
      <w:r>
        <w:t>concentrated</w:t>
      </w:r>
    </w:p>
    <w:p w:rsidR="002C1123" w:rsidRDefault="00F22F94">
      <w:pPr>
        <w:pStyle w:val="BodyText"/>
        <w:spacing w:before="2" w:line="249" w:lineRule="auto"/>
        <w:ind w:left="187" w:right="891"/>
      </w:pPr>
      <w:r>
        <w:t>on</w:t>
      </w:r>
      <w:r>
        <w:rPr>
          <w:spacing w:val="-9"/>
        </w:rPr>
        <w:t xml:space="preserve"> </w:t>
      </w:r>
      <w:r>
        <w:t>a</w:t>
      </w:r>
      <w:r>
        <w:rPr>
          <w:spacing w:val="-9"/>
        </w:rPr>
        <w:t xml:space="preserve"> </w:t>
      </w:r>
      <w:r>
        <w:t>small</w:t>
      </w:r>
      <w:r>
        <w:rPr>
          <w:spacing w:val="-9"/>
        </w:rPr>
        <w:t xml:space="preserve"> </w:t>
      </w:r>
      <w:r>
        <w:t>number</w:t>
      </w:r>
      <w:r>
        <w:rPr>
          <w:spacing w:val="-9"/>
        </w:rPr>
        <w:t xml:space="preserve"> </w:t>
      </w:r>
      <w:r>
        <w:t>of</w:t>
      </w:r>
      <w:r>
        <w:rPr>
          <w:spacing w:val="-9"/>
        </w:rPr>
        <w:t xml:space="preserve"> </w:t>
      </w:r>
      <w:r>
        <w:t>major</w:t>
      </w:r>
      <w:r>
        <w:rPr>
          <w:spacing w:val="-9"/>
        </w:rPr>
        <w:t xml:space="preserve"> </w:t>
      </w:r>
      <w:r>
        <w:t>corridors.</w:t>
      </w:r>
      <w:r>
        <w:rPr>
          <w:spacing w:val="-9"/>
        </w:rPr>
        <w:t xml:space="preserve"> </w:t>
      </w:r>
      <w:r>
        <w:t>The</w:t>
      </w:r>
      <w:r>
        <w:rPr>
          <w:spacing w:val="-9"/>
        </w:rPr>
        <w:t xml:space="preserve"> </w:t>
      </w:r>
      <w:r>
        <w:t>primary issue</w:t>
      </w:r>
      <w:r>
        <w:rPr>
          <w:spacing w:val="-10"/>
        </w:rPr>
        <w:t xml:space="preserve"> </w:t>
      </w:r>
      <w:r>
        <w:t>with</w:t>
      </w:r>
      <w:r>
        <w:rPr>
          <w:spacing w:val="-10"/>
        </w:rPr>
        <w:t xml:space="preserve"> </w:t>
      </w:r>
      <w:r>
        <w:t>buses</w:t>
      </w:r>
      <w:r>
        <w:rPr>
          <w:spacing w:val="-10"/>
        </w:rPr>
        <w:t xml:space="preserve"> </w:t>
      </w:r>
      <w:r>
        <w:t>is</w:t>
      </w:r>
      <w:r>
        <w:rPr>
          <w:spacing w:val="-10"/>
        </w:rPr>
        <w:t xml:space="preserve"> </w:t>
      </w:r>
      <w:r>
        <w:t>congestion</w:t>
      </w:r>
      <w:r>
        <w:rPr>
          <w:spacing w:val="-10"/>
        </w:rPr>
        <w:t xml:space="preserve"> </w:t>
      </w:r>
      <w:r>
        <w:t>in</w:t>
      </w:r>
      <w:r>
        <w:rPr>
          <w:spacing w:val="-10"/>
        </w:rPr>
        <w:t xml:space="preserve"> </w:t>
      </w:r>
      <w:r>
        <w:t>the</w:t>
      </w:r>
      <w:r>
        <w:rPr>
          <w:spacing w:val="-10"/>
        </w:rPr>
        <w:t xml:space="preserve"> </w:t>
      </w:r>
      <w:r>
        <w:t>CBD.</w:t>
      </w:r>
      <w:r>
        <w:rPr>
          <w:spacing w:val="-10"/>
        </w:rPr>
        <w:t xml:space="preserve"> </w:t>
      </w:r>
      <w:r>
        <w:t>Buses cannot</w:t>
      </w:r>
      <w:r>
        <w:rPr>
          <w:spacing w:val="-14"/>
        </w:rPr>
        <w:t xml:space="preserve"> </w:t>
      </w:r>
      <w:r>
        <w:t>get</w:t>
      </w:r>
      <w:r>
        <w:rPr>
          <w:spacing w:val="-14"/>
        </w:rPr>
        <w:t xml:space="preserve"> </w:t>
      </w:r>
      <w:r>
        <w:t>through</w:t>
      </w:r>
      <w:r>
        <w:rPr>
          <w:spacing w:val="-14"/>
        </w:rPr>
        <w:t xml:space="preserve"> </w:t>
      </w:r>
      <w:r>
        <w:t>crowded</w:t>
      </w:r>
      <w:r>
        <w:rPr>
          <w:spacing w:val="-14"/>
        </w:rPr>
        <w:t xml:space="preserve"> </w:t>
      </w:r>
      <w:r>
        <w:t>CBD</w:t>
      </w:r>
      <w:r>
        <w:rPr>
          <w:spacing w:val="-14"/>
        </w:rPr>
        <w:t xml:space="preserve"> </w:t>
      </w:r>
      <w:r>
        <w:t>road</w:t>
      </w:r>
      <w:r>
        <w:rPr>
          <w:spacing w:val="-14"/>
        </w:rPr>
        <w:t xml:space="preserve"> </w:t>
      </w:r>
      <w:r>
        <w:t>space</w:t>
      </w:r>
      <w:r>
        <w:rPr>
          <w:spacing w:val="-14"/>
        </w:rPr>
        <w:t xml:space="preserve"> </w:t>
      </w:r>
      <w:r>
        <w:t>at</w:t>
      </w:r>
      <w:r>
        <w:rPr>
          <w:spacing w:val="-14"/>
        </w:rPr>
        <w:t xml:space="preserve"> </w:t>
      </w:r>
      <w:r>
        <w:t xml:space="preserve">peak </w:t>
      </w:r>
      <w:r>
        <w:rPr>
          <w:w w:val="95"/>
        </w:rPr>
        <w:t>hours.</w:t>
      </w:r>
      <w:r>
        <w:rPr>
          <w:spacing w:val="-7"/>
          <w:w w:val="95"/>
        </w:rPr>
        <w:t xml:space="preserve"> </w:t>
      </w:r>
      <w:r>
        <w:rPr>
          <w:w w:val="95"/>
        </w:rPr>
        <w:t>An</w:t>
      </w:r>
      <w:r>
        <w:rPr>
          <w:spacing w:val="-8"/>
          <w:w w:val="95"/>
        </w:rPr>
        <w:t xml:space="preserve"> </w:t>
      </w:r>
      <w:r>
        <w:rPr>
          <w:w w:val="95"/>
        </w:rPr>
        <w:t>infrastructure</w:t>
      </w:r>
      <w:r>
        <w:rPr>
          <w:spacing w:val="-7"/>
          <w:w w:val="95"/>
        </w:rPr>
        <w:t xml:space="preserve"> </w:t>
      </w:r>
      <w:r>
        <w:rPr>
          <w:w w:val="95"/>
        </w:rPr>
        <w:t>strategy</w:t>
      </w:r>
      <w:r>
        <w:rPr>
          <w:spacing w:val="-8"/>
          <w:w w:val="95"/>
        </w:rPr>
        <w:t xml:space="preserve"> </w:t>
      </w:r>
      <w:r>
        <w:rPr>
          <w:w w:val="95"/>
        </w:rPr>
        <w:t>for</w:t>
      </w:r>
      <w:r>
        <w:rPr>
          <w:spacing w:val="-7"/>
          <w:w w:val="95"/>
        </w:rPr>
        <w:t xml:space="preserve"> </w:t>
      </w:r>
      <w:r>
        <w:rPr>
          <w:w w:val="95"/>
        </w:rPr>
        <w:t>this</w:t>
      </w:r>
      <w:r>
        <w:rPr>
          <w:spacing w:val="-8"/>
          <w:w w:val="95"/>
        </w:rPr>
        <w:t xml:space="preserve"> </w:t>
      </w:r>
      <w:r>
        <w:rPr>
          <w:w w:val="95"/>
        </w:rPr>
        <w:t>issue</w:t>
      </w:r>
      <w:r>
        <w:rPr>
          <w:spacing w:val="-7"/>
          <w:w w:val="95"/>
        </w:rPr>
        <w:t xml:space="preserve"> </w:t>
      </w:r>
      <w:r>
        <w:rPr>
          <w:w w:val="95"/>
        </w:rPr>
        <w:t>is</w:t>
      </w:r>
      <w:r>
        <w:rPr>
          <w:spacing w:val="-8"/>
          <w:w w:val="95"/>
        </w:rPr>
        <w:t xml:space="preserve"> </w:t>
      </w:r>
      <w:r>
        <w:rPr>
          <w:w w:val="95"/>
        </w:rPr>
        <w:t>set</w:t>
      </w:r>
      <w:r>
        <w:rPr>
          <w:spacing w:val="-7"/>
          <w:w w:val="95"/>
        </w:rPr>
        <w:t xml:space="preserve"> </w:t>
      </w:r>
      <w:r>
        <w:rPr>
          <w:w w:val="95"/>
        </w:rPr>
        <w:t xml:space="preserve">out </w:t>
      </w:r>
      <w:r>
        <w:t>is Section 7.</w:t>
      </w:r>
    </w:p>
    <w:p w:rsidR="002C1123" w:rsidRDefault="00F22F94">
      <w:pPr>
        <w:pStyle w:val="BodyText"/>
        <w:spacing w:before="146" w:line="249" w:lineRule="auto"/>
        <w:ind w:left="187" w:right="1022"/>
      </w:pPr>
      <w:r>
        <w:rPr>
          <w:spacing w:val="-2"/>
        </w:rPr>
        <w:t>On</w:t>
      </w:r>
      <w:r>
        <w:rPr>
          <w:spacing w:val="-8"/>
        </w:rPr>
        <w:t xml:space="preserve"> </w:t>
      </w:r>
      <w:r>
        <w:rPr>
          <w:spacing w:val="-2"/>
        </w:rPr>
        <w:t>some</w:t>
      </w:r>
      <w:r>
        <w:rPr>
          <w:spacing w:val="-8"/>
        </w:rPr>
        <w:t xml:space="preserve"> </w:t>
      </w:r>
      <w:r>
        <w:rPr>
          <w:spacing w:val="-2"/>
        </w:rPr>
        <w:t>bus</w:t>
      </w:r>
      <w:r>
        <w:rPr>
          <w:spacing w:val="-8"/>
        </w:rPr>
        <w:t xml:space="preserve"> </w:t>
      </w:r>
      <w:r>
        <w:rPr>
          <w:spacing w:val="-2"/>
        </w:rPr>
        <w:t>corridors,</w:t>
      </w:r>
      <w:r>
        <w:rPr>
          <w:spacing w:val="-8"/>
        </w:rPr>
        <w:t xml:space="preserve"> </w:t>
      </w:r>
      <w:r>
        <w:rPr>
          <w:spacing w:val="-2"/>
        </w:rPr>
        <w:t>forecast</w:t>
      </w:r>
      <w:r>
        <w:rPr>
          <w:spacing w:val="-8"/>
        </w:rPr>
        <w:t xml:space="preserve"> </w:t>
      </w:r>
      <w:r>
        <w:rPr>
          <w:spacing w:val="-2"/>
        </w:rPr>
        <w:t>growth</w:t>
      </w:r>
      <w:r>
        <w:rPr>
          <w:spacing w:val="-8"/>
        </w:rPr>
        <w:t xml:space="preserve"> </w:t>
      </w:r>
      <w:r>
        <w:rPr>
          <w:spacing w:val="-2"/>
        </w:rPr>
        <w:t>in</w:t>
      </w:r>
      <w:r>
        <w:rPr>
          <w:spacing w:val="-8"/>
        </w:rPr>
        <w:t xml:space="preserve"> </w:t>
      </w:r>
      <w:r>
        <w:rPr>
          <w:spacing w:val="-2"/>
        </w:rPr>
        <w:t xml:space="preserve">demand </w:t>
      </w:r>
      <w:r>
        <w:t>indicates</w:t>
      </w:r>
      <w:r>
        <w:rPr>
          <w:spacing w:val="-12"/>
        </w:rPr>
        <w:t xml:space="preserve"> </w:t>
      </w:r>
      <w:r>
        <w:t>infrastructure</w:t>
      </w:r>
      <w:r>
        <w:rPr>
          <w:spacing w:val="-12"/>
        </w:rPr>
        <w:t xml:space="preserve"> </w:t>
      </w:r>
      <w:r>
        <w:t>investment</w:t>
      </w:r>
      <w:r>
        <w:rPr>
          <w:spacing w:val="-12"/>
        </w:rPr>
        <w:t xml:space="preserve"> </w:t>
      </w:r>
      <w:r>
        <w:t>is</w:t>
      </w:r>
      <w:r>
        <w:rPr>
          <w:spacing w:val="-12"/>
        </w:rPr>
        <w:t xml:space="preserve"> </w:t>
      </w:r>
      <w:r>
        <w:t>needed</w:t>
      </w:r>
      <w:r>
        <w:rPr>
          <w:spacing w:val="-12"/>
        </w:rPr>
        <w:t xml:space="preserve"> </w:t>
      </w:r>
      <w:r>
        <w:t xml:space="preserve">to </w:t>
      </w:r>
      <w:r>
        <w:rPr>
          <w:w w:val="95"/>
        </w:rPr>
        <w:t>ensure</w:t>
      </w:r>
      <w:r>
        <w:rPr>
          <w:spacing w:val="-6"/>
          <w:w w:val="95"/>
        </w:rPr>
        <w:t xml:space="preserve"> </w:t>
      </w:r>
      <w:r>
        <w:rPr>
          <w:w w:val="95"/>
        </w:rPr>
        <w:t>reliable</w:t>
      </w:r>
      <w:r>
        <w:rPr>
          <w:spacing w:val="-6"/>
          <w:w w:val="95"/>
        </w:rPr>
        <w:t xml:space="preserve"> </w:t>
      </w:r>
      <w:r>
        <w:rPr>
          <w:w w:val="95"/>
        </w:rPr>
        <w:t>access</w:t>
      </w:r>
      <w:r>
        <w:rPr>
          <w:spacing w:val="-6"/>
          <w:w w:val="95"/>
        </w:rPr>
        <w:t xml:space="preserve"> </w:t>
      </w:r>
      <w:r>
        <w:rPr>
          <w:w w:val="95"/>
        </w:rPr>
        <w:t>to</w:t>
      </w:r>
      <w:r>
        <w:rPr>
          <w:spacing w:val="-6"/>
          <w:w w:val="95"/>
        </w:rPr>
        <w:t xml:space="preserve"> </w:t>
      </w:r>
      <w:r>
        <w:rPr>
          <w:w w:val="95"/>
        </w:rPr>
        <w:t>the</w:t>
      </w:r>
      <w:r>
        <w:rPr>
          <w:spacing w:val="-6"/>
          <w:w w:val="95"/>
        </w:rPr>
        <w:t xml:space="preserve"> </w:t>
      </w:r>
      <w:r>
        <w:rPr>
          <w:w w:val="95"/>
        </w:rPr>
        <w:t>CBD</w:t>
      </w:r>
      <w:r>
        <w:rPr>
          <w:spacing w:val="-6"/>
          <w:w w:val="95"/>
        </w:rPr>
        <w:t xml:space="preserve"> </w:t>
      </w:r>
      <w:r>
        <w:rPr>
          <w:w w:val="95"/>
        </w:rPr>
        <w:t>and</w:t>
      </w:r>
      <w:r>
        <w:rPr>
          <w:spacing w:val="-6"/>
          <w:w w:val="95"/>
        </w:rPr>
        <w:t xml:space="preserve"> </w:t>
      </w:r>
      <w:r>
        <w:rPr>
          <w:w w:val="95"/>
        </w:rPr>
        <w:t>other</w:t>
      </w:r>
      <w:r>
        <w:rPr>
          <w:spacing w:val="-6"/>
          <w:w w:val="95"/>
        </w:rPr>
        <w:t xml:space="preserve"> </w:t>
      </w:r>
      <w:r>
        <w:rPr>
          <w:w w:val="95"/>
        </w:rPr>
        <w:t xml:space="preserve">centres </w:t>
      </w:r>
      <w:r>
        <w:t>in</w:t>
      </w:r>
      <w:r>
        <w:rPr>
          <w:spacing w:val="-14"/>
        </w:rPr>
        <w:t xml:space="preserve"> </w:t>
      </w:r>
      <w:r>
        <w:t>Global</w:t>
      </w:r>
      <w:r>
        <w:rPr>
          <w:spacing w:val="-14"/>
        </w:rPr>
        <w:t xml:space="preserve"> </w:t>
      </w:r>
      <w:r>
        <w:t>Sydney.</w:t>
      </w:r>
      <w:r>
        <w:rPr>
          <w:spacing w:val="-14"/>
        </w:rPr>
        <w:t xml:space="preserve"> </w:t>
      </w:r>
      <w:r>
        <w:t>Potential</w:t>
      </w:r>
      <w:r>
        <w:rPr>
          <w:spacing w:val="-14"/>
        </w:rPr>
        <w:t xml:space="preserve"> </w:t>
      </w:r>
      <w:r>
        <w:t>options</w:t>
      </w:r>
      <w:r>
        <w:rPr>
          <w:spacing w:val="-14"/>
        </w:rPr>
        <w:t xml:space="preserve"> </w:t>
      </w:r>
      <w:r>
        <w:t>for</w:t>
      </w:r>
      <w:r>
        <w:rPr>
          <w:spacing w:val="-14"/>
        </w:rPr>
        <w:t xml:space="preserve"> </w:t>
      </w:r>
      <w:r>
        <w:t>improving</w:t>
      </w:r>
    </w:p>
    <w:p w:rsidR="002C1123" w:rsidRDefault="00F22F94">
      <w:pPr>
        <w:pStyle w:val="BodyText"/>
        <w:spacing w:before="3" w:line="249" w:lineRule="auto"/>
        <w:ind w:left="187" w:right="796"/>
      </w:pPr>
      <w:r>
        <w:rPr>
          <w:w w:val="95"/>
        </w:rPr>
        <w:t xml:space="preserve">passenger flows on key public transport corridors such </w:t>
      </w:r>
      <w:r>
        <w:t>as</w:t>
      </w:r>
      <w:r>
        <w:rPr>
          <w:spacing w:val="-14"/>
        </w:rPr>
        <w:t xml:space="preserve"> </w:t>
      </w:r>
      <w:r>
        <w:t>Anzac</w:t>
      </w:r>
      <w:r>
        <w:rPr>
          <w:spacing w:val="-13"/>
        </w:rPr>
        <w:t xml:space="preserve"> </w:t>
      </w:r>
      <w:r>
        <w:t>Parade</w:t>
      </w:r>
      <w:r>
        <w:rPr>
          <w:spacing w:val="-14"/>
        </w:rPr>
        <w:t xml:space="preserve"> </w:t>
      </w:r>
      <w:r>
        <w:t>and</w:t>
      </w:r>
      <w:r>
        <w:rPr>
          <w:spacing w:val="-13"/>
        </w:rPr>
        <w:t xml:space="preserve"> </w:t>
      </w:r>
      <w:r>
        <w:t>from</w:t>
      </w:r>
      <w:r>
        <w:rPr>
          <w:spacing w:val="-14"/>
        </w:rPr>
        <w:t xml:space="preserve"> </w:t>
      </w:r>
      <w:r>
        <w:t>the</w:t>
      </w:r>
      <w:r>
        <w:rPr>
          <w:spacing w:val="-13"/>
        </w:rPr>
        <w:t xml:space="preserve"> </w:t>
      </w:r>
      <w:r>
        <w:t>Northern</w:t>
      </w:r>
      <w:r>
        <w:rPr>
          <w:spacing w:val="-14"/>
        </w:rPr>
        <w:t xml:space="preserve"> </w:t>
      </w:r>
      <w:r>
        <w:t>Beaches</w:t>
      </w:r>
      <w:r>
        <w:rPr>
          <w:spacing w:val="-13"/>
        </w:rPr>
        <w:t xml:space="preserve"> </w:t>
      </w:r>
      <w:r>
        <w:t>are also discussed in Section 7.</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293" w:space="40"/>
            <w:col w:w="4987" w:space="39"/>
            <w:col w:w="5701"/>
          </w:cols>
        </w:sectPr>
      </w:pPr>
    </w:p>
    <w:p w:rsidR="002C1123" w:rsidRDefault="002C1123">
      <w:pPr>
        <w:pStyle w:val="BodyText"/>
        <w:spacing w:before="6"/>
        <w:rPr>
          <w:sz w:val="18"/>
        </w:rPr>
      </w:pPr>
    </w:p>
    <w:p w:rsidR="002C1123" w:rsidRDefault="002060EF">
      <w:pPr>
        <w:pStyle w:val="BodyText"/>
        <w:spacing w:line="20" w:lineRule="exact"/>
        <w:ind w:left="492"/>
        <w:rPr>
          <w:sz w:val="2"/>
        </w:rPr>
      </w:pPr>
      <w:r>
        <w:rPr>
          <w:sz w:val="2"/>
        </w:rPr>
      </w:r>
      <w:r>
        <w:rPr>
          <w:sz w:val="2"/>
        </w:rPr>
        <w:pict>
          <v:group id="docshapegroup682" o:spid="_x0000_s4641" style="width:1in;height:.5pt;mso-position-horizontal-relative:char;mso-position-vertical-relative:line" coordsize="1440,10">
            <v:line id="_x0000_s4642" style="position:absolute" from="0,5" to="1440,5" strokecolor="#9c9c9d" strokeweight=".5pt"/>
            <w10:anchorlock/>
          </v:group>
        </w:pict>
      </w:r>
    </w:p>
    <w:p w:rsidR="002C1123" w:rsidRDefault="002C1123">
      <w:pPr>
        <w:spacing w:line="20" w:lineRule="exact"/>
        <w:rPr>
          <w:sz w:val="2"/>
        </w:rPr>
        <w:sectPr w:rsidR="002C1123">
          <w:type w:val="continuous"/>
          <w:pgSz w:w="16840" w:h="11910" w:orient="landscape"/>
          <w:pgMar w:top="560" w:right="280" w:bottom="280" w:left="500" w:header="0" w:footer="517" w:gutter="0"/>
          <w:cols w:space="720"/>
        </w:sectPr>
      </w:pPr>
    </w:p>
    <w:p w:rsidR="002C1123" w:rsidRDefault="00F22F94">
      <w:pPr>
        <w:pStyle w:val="ListParagraph"/>
        <w:numPr>
          <w:ilvl w:val="0"/>
          <w:numId w:val="119"/>
        </w:numPr>
        <w:tabs>
          <w:tab w:val="left" w:pos="691"/>
        </w:tabs>
        <w:spacing w:before="8"/>
        <w:ind w:left="690" w:right="38"/>
        <w:jc w:val="left"/>
        <w:rPr>
          <w:sz w:val="14"/>
        </w:rPr>
      </w:pPr>
      <w:r>
        <w:rPr>
          <w:w w:val="95"/>
          <w:sz w:val="14"/>
        </w:rPr>
        <w:t>Steering Committee 2012, Joint Study on Aviation Capacity for the Sydney</w:t>
      </w:r>
      <w:r>
        <w:rPr>
          <w:spacing w:val="40"/>
          <w:sz w:val="14"/>
        </w:rPr>
        <w:t xml:space="preserve"> </w:t>
      </w:r>
      <w:r>
        <w:rPr>
          <w:sz w:val="14"/>
        </w:rPr>
        <w:t>Region, Department of Infrastructure and Transport.</w:t>
      </w:r>
    </w:p>
    <w:p w:rsidR="002C1123" w:rsidRDefault="00F22F94">
      <w:pPr>
        <w:pStyle w:val="ListParagraph"/>
        <w:numPr>
          <w:ilvl w:val="0"/>
          <w:numId w:val="119"/>
        </w:numPr>
        <w:tabs>
          <w:tab w:val="left" w:pos="691"/>
        </w:tabs>
        <w:spacing w:line="159" w:lineRule="exact"/>
        <w:ind w:left="690"/>
        <w:jc w:val="left"/>
        <w:rPr>
          <w:sz w:val="14"/>
        </w:rPr>
      </w:pPr>
      <w:r>
        <w:rPr>
          <w:w w:val="95"/>
          <w:sz w:val="14"/>
        </w:rPr>
        <w:t>Sydney</w:t>
      </w:r>
      <w:r>
        <w:rPr>
          <w:spacing w:val="7"/>
          <w:sz w:val="14"/>
        </w:rPr>
        <w:t xml:space="preserve"> </w:t>
      </w:r>
      <w:r>
        <w:rPr>
          <w:w w:val="95"/>
          <w:sz w:val="14"/>
        </w:rPr>
        <w:t>Ports</w:t>
      </w:r>
      <w:r>
        <w:rPr>
          <w:spacing w:val="7"/>
          <w:sz w:val="14"/>
        </w:rPr>
        <w:t xml:space="preserve"> </w:t>
      </w:r>
      <w:r>
        <w:rPr>
          <w:w w:val="95"/>
          <w:sz w:val="14"/>
        </w:rPr>
        <w:t>Corporation</w:t>
      </w:r>
      <w:r>
        <w:rPr>
          <w:spacing w:val="8"/>
          <w:sz w:val="14"/>
        </w:rPr>
        <w:t xml:space="preserve"> </w:t>
      </w:r>
      <w:r>
        <w:rPr>
          <w:spacing w:val="-2"/>
          <w:w w:val="95"/>
          <w:sz w:val="14"/>
        </w:rPr>
        <w:t>2011.</w:t>
      </w:r>
    </w:p>
    <w:p w:rsidR="002C1123" w:rsidRDefault="00F22F94">
      <w:pPr>
        <w:spacing w:after="24"/>
        <w:rPr>
          <w:sz w:val="24"/>
        </w:rPr>
      </w:pPr>
      <w:r>
        <w:br w:type="column"/>
      </w:r>
    </w:p>
    <w:p w:rsidR="002C1123" w:rsidRDefault="002060EF">
      <w:pPr>
        <w:pStyle w:val="BodyText"/>
        <w:spacing w:line="20" w:lineRule="exact"/>
        <w:ind w:left="492"/>
        <w:rPr>
          <w:sz w:val="2"/>
        </w:rPr>
      </w:pPr>
      <w:r>
        <w:rPr>
          <w:sz w:val="2"/>
        </w:rPr>
      </w:r>
      <w:r>
        <w:rPr>
          <w:sz w:val="2"/>
        </w:rPr>
        <w:pict>
          <v:group id="docshapegroup683" o:spid="_x0000_s4639" style="width:1in;height:.5pt;mso-position-horizontal-relative:char;mso-position-vertical-relative:line" coordsize="1440,10">
            <v:line id="_x0000_s4640" style="position:absolute" from="0,5" to="1440,5" strokecolor="#9c9c9d" strokeweight=".5pt"/>
            <w10:anchorlock/>
          </v:group>
        </w:pict>
      </w:r>
    </w:p>
    <w:p w:rsidR="002C1123" w:rsidRDefault="00F22F94">
      <w:pPr>
        <w:pStyle w:val="ListParagraph"/>
        <w:numPr>
          <w:ilvl w:val="0"/>
          <w:numId w:val="119"/>
        </w:numPr>
        <w:tabs>
          <w:tab w:val="left" w:pos="691"/>
        </w:tabs>
        <w:spacing w:before="8"/>
        <w:ind w:left="690"/>
        <w:jc w:val="left"/>
        <w:rPr>
          <w:sz w:val="14"/>
        </w:rPr>
      </w:pPr>
      <w:r>
        <w:rPr>
          <w:w w:val="95"/>
          <w:sz w:val="14"/>
        </w:rPr>
        <w:t>All</w:t>
      </w:r>
      <w:r>
        <w:rPr>
          <w:sz w:val="14"/>
        </w:rPr>
        <w:t xml:space="preserve"> </w:t>
      </w:r>
      <w:r>
        <w:rPr>
          <w:w w:val="95"/>
          <w:sz w:val="14"/>
        </w:rPr>
        <w:t>transport</w:t>
      </w:r>
      <w:r>
        <w:rPr>
          <w:sz w:val="14"/>
        </w:rPr>
        <w:t xml:space="preserve"> </w:t>
      </w:r>
      <w:r>
        <w:rPr>
          <w:w w:val="95"/>
          <w:sz w:val="14"/>
        </w:rPr>
        <w:t>data</w:t>
      </w:r>
      <w:r>
        <w:rPr>
          <w:spacing w:val="1"/>
          <w:sz w:val="14"/>
        </w:rPr>
        <w:t xml:space="preserve"> </w:t>
      </w:r>
      <w:r>
        <w:rPr>
          <w:w w:val="95"/>
          <w:sz w:val="14"/>
        </w:rPr>
        <w:t>from</w:t>
      </w:r>
      <w:r>
        <w:rPr>
          <w:sz w:val="14"/>
        </w:rPr>
        <w:t xml:space="preserve"> </w:t>
      </w:r>
      <w:r>
        <w:rPr>
          <w:w w:val="95"/>
          <w:sz w:val="14"/>
        </w:rPr>
        <w:t>the</w:t>
      </w:r>
      <w:r>
        <w:rPr>
          <w:sz w:val="14"/>
        </w:rPr>
        <w:t xml:space="preserve"> </w:t>
      </w:r>
      <w:r>
        <w:rPr>
          <w:w w:val="95"/>
          <w:sz w:val="14"/>
        </w:rPr>
        <w:t>NSW</w:t>
      </w:r>
      <w:r>
        <w:rPr>
          <w:sz w:val="14"/>
        </w:rPr>
        <w:t xml:space="preserve"> </w:t>
      </w:r>
      <w:r>
        <w:rPr>
          <w:w w:val="95"/>
          <w:sz w:val="14"/>
        </w:rPr>
        <w:t>Bureau</w:t>
      </w:r>
      <w:r>
        <w:rPr>
          <w:spacing w:val="1"/>
          <w:sz w:val="14"/>
        </w:rPr>
        <w:t xml:space="preserve"> </w:t>
      </w:r>
      <w:r>
        <w:rPr>
          <w:w w:val="95"/>
          <w:sz w:val="14"/>
        </w:rPr>
        <w:t>of</w:t>
      </w:r>
      <w:r>
        <w:rPr>
          <w:sz w:val="14"/>
        </w:rPr>
        <w:t xml:space="preserve"> </w:t>
      </w:r>
      <w:r>
        <w:rPr>
          <w:w w:val="95"/>
          <w:sz w:val="14"/>
        </w:rPr>
        <w:t>Transport</w:t>
      </w:r>
      <w:r>
        <w:rPr>
          <w:spacing w:val="1"/>
          <w:sz w:val="14"/>
        </w:rPr>
        <w:t xml:space="preserve"> </w:t>
      </w:r>
      <w:r>
        <w:rPr>
          <w:spacing w:val="-2"/>
          <w:w w:val="95"/>
          <w:sz w:val="14"/>
        </w:rPr>
        <w:t>Statistics.</w:t>
      </w:r>
    </w:p>
    <w:p w:rsidR="002C1123" w:rsidRDefault="002C1123">
      <w:pPr>
        <w:rPr>
          <w:sz w:val="14"/>
        </w:rPr>
        <w:sectPr w:rsidR="002C1123">
          <w:type w:val="continuous"/>
          <w:pgSz w:w="16840" w:h="11910" w:orient="landscape"/>
          <w:pgMar w:top="560" w:right="280" w:bottom="280" w:left="500" w:header="0" w:footer="517" w:gutter="0"/>
          <w:cols w:num="2" w:space="720" w:equalWidth="0">
            <w:col w:w="5201" w:space="4852"/>
            <w:col w:w="6007"/>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3"/>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Heading6"/>
        <w:ind w:left="492"/>
      </w:pPr>
      <w:bookmarkStart w:id="100" w:name="_bookmark71"/>
      <w:bookmarkEnd w:id="100"/>
      <w:r>
        <w:rPr>
          <w:spacing w:val="-2"/>
        </w:rPr>
        <w:t>Housing</w:t>
      </w:r>
      <w:r>
        <w:rPr>
          <w:spacing w:val="-4"/>
        </w:rPr>
        <w:t xml:space="preserve"> </w:t>
      </w:r>
      <w:r>
        <w:rPr>
          <w:spacing w:val="-2"/>
        </w:rPr>
        <w:t>and</w:t>
      </w:r>
      <w:r>
        <w:rPr>
          <w:spacing w:val="-4"/>
        </w:rPr>
        <w:t xml:space="preserve"> </w:t>
      </w:r>
      <w:r>
        <w:rPr>
          <w:spacing w:val="-2"/>
        </w:rPr>
        <w:t>Infrastructure</w:t>
      </w:r>
    </w:p>
    <w:p w:rsidR="002C1123" w:rsidRDefault="00F22F94">
      <w:pPr>
        <w:pStyle w:val="BodyText"/>
        <w:spacing w:before="10" w:line="249" w:lineRule="auto"/>
        <w:ind w:left="492"/>
      </w:pPr>
      <w:r>
        <w:rPr>
          <w:w w:val="95"/>
        </w:rPr>
        <w:t>Land</w:t>
      </w:r>
      <w:r>
        <w:rPr>
          <w:spacing w:val="-7"/>
          <w:w w:val="95"/>
        </w:rPr>
        <w:t xml:space="preserve"> </w:t>
      </w:r>
      <w:r>
        <w:rPr>
          <w:w w:val="95"/>
        </w:rPr>
        <w:t>use</w:t>
      </w:r>
      <w:r>
        <w:rPr>
          <w:spacing w:val="-7"/>
          <w:w w:val="95"/>
        </w:rPr>
        <w:t xml:space="preserve"> </w:t>
      </w:r>
      <w:r>
        <w:rPr>
          <w:w w:val="95"/>
        </w:rPr>
        <w:t>is</w:t>
      </w:r>
      <w:r>
        <w:rPr>
          <w:spacing w:val="-7"/>
          <w:w w:val="95"/>
        </w:rPr>
        <w:t xml:space="preserve"> </w:t>
      </w:r>
      <w:r>
        <w:rPr>
          <w:w w:val="95"/>
        </w:rPr>
        <w:t>inextricably</w:t>
      </w:r>
      <w:r>
        <w:rPr>
          <w:spacing w:val="-7"/>
          <w:w w:val="95"/>
        </w:rPr>
        <w:t xml:space="preserve"> </w:t>
      </w:r>
      <w:r>
        <w:rPr>
          <w:w w:val="95"/>
        </w:rPr>
        <w:t>linked</w:t>
      </w:r>
      <w:r>
        <w:rPr>
          <w:spacing w:val="-7"/>
          <w:w w:val="95"/>
        </w:rPr>
        <w:t xml:space="preserve"> </w:t>
      </w:r>
      <w:r>
        <w:rPr>
          <w:w w:val="95"/>
        </w:rPr>
        <w:t>to</w:t>
      </w:r>
      <w:r>
        <w:rPr>
          <w:spacing w:val="-7"/>
          <w:w w:val="95"/>
        </w:rPr>
        <w:t xml:space="preserve"> </w:t>
      </w:r>
      <w:r>
        <w:rPr>
          <w:w w:val="95"/>
        </w:rPr>
        <w:t>infrastructure</w:t>
      </w:r>
      <w:r>
        <w:rPr>
          <w:spacing w:val="-7"/>
          <w:w w:val="95"/>
        </w:rPr>
        <w:t xml:space="preserve"> </w:t>
      </w:r>
      <w:r>
        <w:rPr>
          <w:w w:val="95"/>
        </w:rPr>
        <w:t xml:space="preserve">provision. Planning strategies for new development directly impact </w:t>
      </w:r>
      <w:r>
        <w:t>the</w:t>
      </w:r>
      <w:r>
        <w:rPr>
          <w:spacing w:val="-12"/>
        </w:rPr>
        <w:t xml:space="preserve"> </w:t>
      </w:r>
      <w:r>
        <w:t>efficiency</w:t>
      </w:r>
      <w:r>
        <w:rPr>
          <w:spacing w:val="-12"/>
        </w:rPr>
        <w:t xml:space="preserve"> </w:t>
      </w:r>
      <w:r>
        <w:t>with</w:t>
      </w:r>
      <w:r>
        <w:rPr>
          <w:spacing w:val="-12"/>
        </w:rPr>
        <w:t xml:space="preserve"> </w:t>
      </w:r>
      <w:r>
        <w:t>which</w:t>
      </w:r>
      <w:r>
        <w:rPr>
          <w:spacing w:val="-12"/>
        </w:rPr>
        <w:t xml:space="preserve"> </w:t>
      </w:r>
      <w:r>
        <w:t>the</w:t>
      </w:r>
      <w:r>
        <w:rPr>
          <w:spacing w:val="-12"/>
        </w:rPr>
        <w:t xml:space="preserve"> </w:t>
      </w:r>
      <w:r>
        <w:t>State’s</w:t>
      </w:r>
      <w:r>
        <w:rPr>
          <w:spacing w:val="-12"/>
        </w:rPr>
        <w:t xml:space="preserve"> </w:t>
      </w:r>
      <w:r>
        <w:t>existing</w:t>
      </w:r>
      <w:r>
        <w:rPr>
          <w:spacing w:val="-12"/>
        </w:rPr>
        <w:t xml:space="preserve"> </w:t>
      </w:r>
      <w:r>
        <w:t>stock</w:t>
      </w:r>
      <w:r>
        <w:rPr>
          <w:spacing w:val="-12"/>
        </w:rPr>
        <w:t xml:space="preserve"> </w:t>
      </w:r>
      <w:r>
        <w:t xml:space="preserve">of </w:t>
      </w:r>
      <w:r>
        <w:rPr>
          <w:w w:val="95"/>
        </w:rPr>
        <w:t xml:space="preserve">infrastructure is used and create the need for new utility </w:t>
      </w:r>
      <w:r>
        <w:t>and transport infrastructure.</w:t>
      </w:r>
    </w:p>
    <w:p w:rsidR="002C1123" w:rsidRDefault="00F22F94">
      <w:pPr>
        <w:pStyle w:val="BodyText"/>
        <w:spacing w:before="146" w:line="249" w:lineRule="auto"/>
        <w:ind w:left="492"/>
      </w:pPr>
      <w:r>
        <w:rPr>
          <w:w w:val="95"/>
        </w:rPr>
        <w:t>Land</w:t>
      </w:r>
      <w:r>
        <w:rPr>
          <w:spacing w:val="-7"/>
          <w:w w:val="95"/>
        </w:rPr>
        <w:t xml:space="preserve"> </w:t>
      </w:r>
      <w:r>
        <w:rPr>
          <w:w w:val="95"/>
        </w:rPr>
        <w:t>use</w:t>
      </w:r>
      <w:r>
        <w:rPr>
          <w:spacing w:val="-7"/>
          <w:w w:val="95"/>
        </w:rPr>
        <w:t xml:space="preserve"> </w:t>
      </w:r>
      <w:r>
        <w:rPr>
          <w:w w:val="95"/>
        </w:rPr>
        <w:t>strategies</w:t>
      </w:r>
      <w:r>
        <w:rPr>
          <w:spacing w:val="-7"/>
          <w:w w:val="95"/>
        </w:rPr>
        <w:t xml:space="preserve"> </w:t>
      </w:r>
      <w:r>
        <w:rPr>
          <w:w w:val="95"/>
        </w:rPr>
        <w:t>for</w:t>
      </w:r>
      <w:r>
        <w:rPr>
          <w:spacing w:val="-7"/>
          <w:w w:val="95"/>
        </w:rPr>
        <w:t xml:space="preserve"> </w:t>
      </w:r>
      <w:r>
        <w:rPr>
          <w:w w:val="95"/>
        </w:rPr>
        <w:t>housing</w:t>
      </w:r>
      <w:r>
        <w:rPr>
          <w:spacing w:val="-7"/>
          <w:w w:val="95"/>
        </w:rPr>
        <w:t xml:space="preserve"> </w:t>
      </w:r>
      <w:r>
        <w:rPr>
          <w:w w:val="95"/>
        </w:rPr>
        <w:t>are</w:t>
      </w:r>
      <w:r>
        <w:rPr>
          <w:spacing w:val="-7"/>
          <w:w w:val="95"/>
        </w:rPr>
        <w:t xml:space="preserve"> </w:t>
      </w:r>
      <w:r>
        <w:rPr>
          <w:w w:val="95"/>
        </w:rPr>
        <w:t>particularly</w:t>
      </w:r>
      <w:r>
        <w:rPr>
          <w:spacing w:val="-7"/>
          <w:w w:val="95"/>
        </w:rPr>
        <w:t xml:space="preserve"> </w:t>
      </w:r>
      <w:r>
        <w:rPr>
          <w:w w:val="95"/>
        </w:rPr>
        <w:t xml:space="preserve">critical </w:t>
      </w:r>
      <w:r>
        <w:t>given</w:t>
      </w:r>
      <w:r>
        <w:rPr>
          <w:spacing w:val="-10"/>
        </w:rPr>
        <w:t xml:space="preserve"> </w:t>
      </w:r>
      <w:r>
        <w:t>population</w:t>
      </w:r>
      <w:r>
        <w:rPr>
          <w:spacing w:val="-10"/>
        </w:rPr>
        <w:t xml:space="preserve"> </w:t>
      </w:r>
      <w:r>
        <w:t>growth</w:t>
      </w:r>
      <w:r>
        <w:rPr>
          <w:spacing w:val="-10"/>
        </w:rPr>
        <w:t xml:space="preserve"> </w:t>
      </w:r>
      <w:r>
        <w:t>and</w:t>
      </w:r>
      <w:r>
        <w:rPr>
          <w:spacing w:val="-10"/>
        </w:rPr>
        <w:t xml:space="preserve"> </w:t>
      </w:r>
      <w:r>
        <w:t>Global</w:t>
      </w:r>
      <w:r>
        <w:rPr>
          <w:spacing w:val="-10"/>
        </w:rPr>
        <w:t xml:space="preserve"> </w:t>
      </w:r>
      <w:r>
        <w:t>Sydney’s</w:t>
      </w:r>
      <w:r>
        <w:rPr>
          <w:spacing w:val="-10"/>
        </w:rPr>
        <w:t xml:space="preserve"> </w:t>
      </w:r>
      <w:r>
        <w:t>high housing</w:t>
      </w:r>
      <w:r>
        <w:rPr>
          <w:spacing w:val="-8"/>
        </w:rPr>
        <w:t xml:space="preserve"> </w:t>
      </w:r>
      <w:r>
        <w:t>prices</w:t>
      </w:r>
      <w:r>
        <w:rPr>
          <w:spacing w:val="-8"/>
        </w:rPr>
        <w:t xml:space="preserve"> </w:t>
      </w:r>
      <w:r>
        <w:t>–</w:t>
      </w:r>
      <w:r>
        <w:rPr>
          <w:spacing w:val="-8"/>
        </w:rPr>
        <w:t xml:space="preserve"> </w:t>
      </w:r>
      <w:r>
        <w:t>both</w:t>
      </w:r>
      <w:r>
        <w:rPr>
          <w:spacing w:val="-8"/>
        </w:rPr>
        <w:t xml:space="preserve"> </w:t>
      </w:r>
      <w:r>
        <w:t>factors</w:t>
      </w:r>
      <w:r>
        <w:rPr>
          <w:spacing w:val="-8"/>
        </w:rPr>
        <w:t xml:space="preserve"> </w:t>
      </w:r>
      <w:r>
        <w:t>which</w:t>
      </w:r>
      <w:r>
        <w:rPr>
          <w:spacing w:val="-8"/>
        </w:rPr>
        <w:t xml:space="preserve"> </w:t>
      </w:r>
      <w:r>
        <w:t>challenge</w:t>
      </w:r>
      <w:r>
        <w:rPr>
          <w:spacing w:val="-8"/>
        </w:rPr>
        <w:t xml:space="preserve"> </w:t>
      </w:r>
      <w:r>
        <w:t>the quality of life.</w:t>
      </w:r>
    </w:p>
    <w:p w:rsidR="002C1123" w:rsidRDefault="00F22F94">
      <w:pPr>
        <w:pStyle w:val="BodyText"/>
        <w:spacing w:before="145" w:line="249" w:lineRule="auto"/>
        <w:ind w:left="492"/>
      </w:pPr>
      <w:r>
        <w:rPr>
          <w:w w:val="95"/>
        </w:rPr>
        <w:t>The</w:t>
      </w:r>
      <w:r>
        <w:rPr>
          <w:spacing w:val="-6"/>
          <w:w w:val="95"/>
        </w:rPr>
        <w:t xml:space="preserve"> </w:t>
      </w:r>
      <w:r>
        <w:rPr>
          <w:w w:val="95"/>
        </w:rPr>
        <w:t>market</w:t>
      </w:r>
      <w:r>
        <w:rPr>
          <w:spacing w:val="-6"/>
          <w:w w:val="95"/>
        </w:rPr>
        <w:t xml:space="preserve"> </w:t>
      </w:r>
      <w:r>
        <w:rPr>
          <w:w w:val="95"/>
        </w:rPr>
        <w:t>evidence</w:t>
      </w:r>
      <w:r>
        <w:rPr>
          <w:spacing w:val="-6"/>
          <w:w w:val="95"/>
        </w:rPr>
        <w:t xml:space="preserve"> </w:t>
      </w:r>
      <w:r>
        <w:rPr>
          <w:w w:val="95"/>
        </w:rPr>
        <w:t>suggests</w:t>
      </w:r>
      <w:r>
        <w:rPr>
          <w:spacing w:val="-6"/>
          <w:w w:val="95"/>
        </w:rPr>
        <w:t xml:space="preserve"> </w:t>
      </w:r>
      <w:r>
        <w:rPr>
          <w:w w:val="95"/>
        </w:rPr>
        <w:t>that</w:t>
      </w:r>
      <w:r>
        <w:rPr>
          <w:spacing w:val="-6"/>
          <w:w w:val="95"/>
        </w:rPr>
        <w:t xml:space="preserve"> </w:t>
      </w:r>
      <w:r>
        <w:rPr>
          <w:w w:val="95"/>
        </w:rPr>
        <w:t>people</w:t>
      </w:r>
      <w:r>
        <w:rPr>
          <w:spacing w:val="-6"/>
          <w:w w:val="95"/>
        </w:rPr>
        <w:t xml:space="preserve"> </w:t>
      </w:r>
      <w:r>
        <w:rPr>
          <w:w w:val="95"/>
        </w:rPr>
        <w:t>are</w:t>
      </w:r>
      <w:r>
        <w:rPr>
          <w:spacing w:val="-6"/>
          <w:w w:val="95"/>
        </w:rPr>
        <w:t xml:space="preserve"> </w:t>
      </w:r>
      <w:r>
        <w:rPr>
          <w:w w:val="95"/>
        </w:rPr>
        <w:t>willing</w:t>
      </w:r>
      <w:r>
        <w:rPr>
          <w:spacing w:val="-6"/>
          <w:w w:val="95"/>
        </w:rPr>
        <w:t xml:space="preserve"> </w:t>
      </w:r>
      <w:r>
        <w:rPr>
          <w:w w:val="95"/>
        </w:rPr>
        <w:t>to live in more dense suburbs closer to the CBD</w:t>
      </w:r>
      <w:r>
        <w:rPr>
          <w:w w:val="95"/>
          <w:position w:val="7"/>
          <w:sz w:val="11"/>
        </w:rPr>
        <w:t>26</w:t>
      </w:r>
      <w:r>
        <w:rPr>
          <w:w w:val="95"/>
        </w:rPr>
        <w:t xml:space="preserve">, trading </w:t>
      </w:r>
      <w:r>
        <w:rPr>
          <w:spacing w:val="-2"/>
        </w:rPr>
        <w:t>off</w:t>
      </w:r>
      <w:r>
        <w:rPr>
          <w:spacing w:val="-7"/>
        </w:rPr>
        <w:t xml:space="preserve"> </w:t>
      </w:r>
      <w:r>
        <w:rPr>
          <w:spacing w:val="-2"/>
        </w:rPr>
        <w:t>space</w:t>
      </w:r>
      <w:r>
        <w:rPr>
          <w:spacing w:val="-7"/>
        </w:rPr>
        <w:t xml:space="preserve"> </w:t>
      </w:r>
      <w:r>
        <w:rPr>
          <w:spacing w:val="-2"/>
        </w:rPr>
        <w:t>for</w:t>
      </w:r>
      <w:r>
        <w:rPr>
          <w:spacing w:val="-7"/>
        </w:rPr>
        <w:t xml:space="preserve"> </w:t>
      </w:r>
      <w:r>
        <w:rPr>
          <w:spacing w:val="-2"/>
        </w:rPr>
        <w:t>lifestyle</w:t>
      </w:r>
      <w:r>
        <w:rPr>
          <w:spacing w:val="-7"/>
        </w:rPr>
        <w:t xml:space="preserve"> </w:t>
      </w:r>
      <w:r>
        <w:rPr>
          <w:spacing w:val="-2"/>
        </w:rPr>
        <w:t>and</w:t>
      </w:r>
      <w:r>
        <w:rPr>
          <w:spacing w:val="-7"/>
        </w:rPr>
        <w:t xml:space="preserve"> </w:t>
      </w:r>
      <w:r>
        <w:rPr>
          <w:spacing w:val="-2"/>
        </w:rPr>
        <w:t>access</w:t>
      </w:r>
      <w:r>
        <w:rPr>
          <w:spacing w:val="-7"/>
        </w:rPr>
        <w:t xml:space="preserve"> </w:t>
      </w:r>
      <w:r>
        <w:rPr>
          <w:spacing w:val="-2"/>
        </w:rPr>
        <w:t>to</w:t>
      </w:r>
      <w:r>
        <w:rPr>
          <w:spacing w:val="-7"/>
        </w:rPr>
        <w:t xml:space="preserve"> </w:t>
      </w:r>
      <w:r>
        <w:rPr>
          <w:spacing w:val="-2"/>
        </w:rPr>
        <w:t>jobs.</w:t>
      </w:r>
      <w:r>
        <w:rPr>
          <w:spacing w:val="-7"/>
        </w:rPr>
        <w:t xml:space="preserve"> </w:t>
      </w:r>
      <w:r>
        <w:rPr>
          <w:spacing w:val="-2"/>
        </w:rPr>
        <w:t>Two-thirds</w:t>
      </w:r>
      <w:r>
        <w:rPr>
          <w:spacing w:val="-7"/>
        </w:rPr>
        <w:t xml:space="preserve"> </w:t>
      </w:r>
      <w:r>
        <w:rPr>
          <w:spacing w:val="-2"/>
        </w:rPr>
        <w:t xml:space="preserve">of </w:t>
      </w:r>
      <w:r>
        <w:t>existing</w:t>
      </w:r>
      <w:r>
        <w:rPr>
          <w:spacing w:val="-14"/>
        </w:rPr>
        <w:t xml:space="preserve"> </w:t>
      </w:r>
      <w:r>
        <w:t>CBD</w:t>
      </w:r>
      <w:r>
        <w:rPr>
          <w:spacing w:val="-14"/>
        </w:rPr>
        <w:t xml:space="preserve"> </w:t>
      </w:r>
      <w:r>
        <w:t>workers</w:t>
      </w:r>
      <w:r>
        <w:rPr>
          <w:spacing w:val="-14"/>
        </w:rPr>
        <w:t xml:space="preserve"> </w:t>
      </w:r>
      <w:r>
        <w:t>live</w:t>
      </w:r>
      <w:r>
        <w:rPr>
          <w:spacing w:val="-14"/>
        </w:rPr>
        <w:t xml:space="preserve"> </w:t>
      </w:r>
      <w:r>
        <w:t>in</w:t>
      </w:r>
      <w:r>
        <w:rPr>
          <w:spacing w:val="-14"/>
        </w:rPr>
        <w:t xml:space="preserve"> </w:t>
      </w:r>
      <w:r>
        <w:t>the</w:t>
      </w:r>
      <w:r>
        <w:rPr>
          <w:spacing w:val="-14"/>
        </w:rPr>
        <w:t xml:space="preserve"> </w:t>
      </w:r>
      <w:r>
        <w:t>inner</w:t>
      </w:r>
      <w:r>
        <w:rPr>
          <w:spacing w:val="-14"/>
        </w:rPr>
        <w:t xml:space="preserve"> </w:t>
      </w:r>
      <w:r>
        <w:t>suburbs</w:t>
      </w:r>
      <w:r>
        <w:rPr>
          <w:spacing w:val="-14"/>
        </w:rPr>
        <w:t xml:space="preserve"> </w:t>
      </w:r>
      <w:r>
        <w:t>around Global</w:t>
      </w:r>
      <w:r>
        <w:rPr>
          <w:spacing w:val="-14"/>
        </w:rPr>
        <w:t xml:space="preserve"> </w:t>
      </w:r>
      <w:r>
        <w:t>Sydney,</w:t>
      </w:r>
      <w:r>
        <w:rPr>
          <w:spacing w:val="-14"/>
        </w:rPr>
        <w:t xml:space="preserve"> </w:t>
      </w:r>
      <w:r>
        <w:t>which</w:t>
      </w:r>
      <w:r>
        <w:rPr>
          <w:spacing w:val="-14"/>
        </w:rPr>
        <w:t xml:space="preserve"> </w:t>
      </w:r>
      <w:r>
        <w:t>is</w:t>
      </w:r>
      <w:r>
        <w:rPr>
          <w:spacing w:val="-14"/>
        </w:rPr>
        <w:t xml:space="preserve"> </w:t>
      </w:r>
      <w:r>
        <w:t>reflected</w:t>
      </w:r>
      <w:r>
        <w:rPr>
          <w:spacing w:val="-14"/>
        </w:rPr>
        <w:t xml:space="preserve"> </w:t>
      </w:r>
      <w:r>
        <w:t>in</w:t>
      </w:r>
      <w:r>
        <w:rPr>
          <w:spacing w:val="-14"/>
        </w:rPr>
        <w:t xml:space="preserve"> </w:t>
      </w:r>
      <w:r>
        <w:t>housing</w:t>
      </w:r>
      <w:r>
        <w:rPr>
          <w:spacing w:val="-14"/>
        </w:rPr>
        <w:t xml:space="preserve"> </w:t>
      </w:r>
      <w:r>
        <w:t>prices.</w:t>
      </w:r>
    </w:p>
    <w:p w:rsidR="002C1123" w:rsidRDefault="00F22F94">
      <w:pPr>
        <w:pStyle w:val="BodyText"/>
        <w:spacing w:before="146" w:line="249" w:lineRule="auto"/>
        <w:ind w:left="492" w:right="549"/>
        <w:jc w:val="both"/>
      </w:pPr>
      <w:r>
        <w:rPr>
          <w:w w:val="95"/>
        </w:rPr>
        <w:t>Infrastructure</w:t>
      </w:r>
      <w:r>
        <w:rPr>
          <w:spacing w:val="-9"/>
          <w:w w:val="95"/>
        </w:rPr>
        <w:t xml:space="preserve"> </w:t>
      </w:r>
      <w:r>
        <w:rPr>
          <w:w w:val="95"/>
        </w:rPr>
        <w:t>NSW</w:t>
      </w:r>
      <w:r>
        <w:rPr>
          <w:spacing w:val="-9"/>
          <w:w w:val="95"/>
        </w:rPr>
        <w:t xml:space="preserve"> </w:t>
      </w:r>
      <w:r>
        <w:rPr>
          <w:w w:val="95"/>
        </w:rPr>
        <w:t>is</w:t>
      </w:r>
      <w:r>
        <w:rPr>
          <w:spacing w:val="-9"/>
          <w:w w:val="95"/>
        </w:rPr>
        <w:t xml:space="preserve"> </w:t>
      </w:r>
      <w:r>
        <w:rPr>
          <w:w w:val="95"/>
        </w:rPr>
        <w:t>supportive</w:t>
      </w:r>
      <w:r>
        <w:rPr>
          <w:spacing w:val="-9"/>
          <w:w w:val="95"/>
        </w:rPr>
        <w:t xml:space="preserve"> </w:t>
      </w:r>
      <w:r>
        <w:rPr>
          <w:w w:val="95"/>
        </w:rPr>
        <w:t>of</w:t>
      </w:r>
      <w:r>
        <w:rPr>
          <w:spacing w:val="-9"/>
          <w:w w:val="95"/>
        </w:rPr>
        <w:t xml:space="preserve"> </w:t>
      </w:r>
      <w:r>
        <w:rPr>
          <w:w w:val="95"/>
        </w:rPr>
        <w:t>more</w:t>
      </w:r>
      <w:r>
        <w:rPr>
          <w:spacing w:val="-9"/>
          <w:w w:val="95"/>
        </w:rPr>
        <w:t xml:space="preserve"> </w:t>
      </w:r>
      <w:r>
        <w:rPr>
          <w:w w:val="95"/>
        </w:rPr>
        <w:t>intensive residential</w:t>
      </w:r>
      <w:r>
        <w:rPr>
          <w:spacing w:val="-5"/>
          <w:w w:val="95"/>
        </w:rPr>
        <w:t xml:space="preserve"> </w:t>
      </w:r>
      <w:r>
        <w:rPr>
          <w:w w:val="95"/>
        </w:rPr>
        <w:t>land</w:t>
      </w:r>
      <w:r>
        <w:rPr>
          <w:spacing w:val="-5"/>
          <w:w w:val="95"/>
        </w:rPr>
        <w:t xml:space="preserve"> </w:t>
      </w:r>
      <w:r>
        <w:rPr>
          <w:w w:val="95"/>
        </w:rPr>
        <w:t>use</w:t>
      </w:r>
      <w:r>
        <w:rPr>
          <w:spacing w:val="-5"/>
          <w:w w:val="95"/>
        </w:rPr>
        <w:t xml:space="preserve"> </w:t>
      </w:r>
      <w:r>
        <w:rPr>
          <w:w w:val="95"/>
        </w:rPr>
        <w:t>within</w:t>
      </w:r>
      <w:r>
        <w:rPr>
          <w:spacing w:val="-5"/>
          <w:w w:val="95"/>
        </w:rPr>
        <w:t xml:space="preserve"> </w:t>
      </w:r>
      <w:r>
        <w:rPr>
          <w:w w:val="95"/>
        </w:rPr>
        <w:t>Sydney</w:t>
      </w:r>
      <w:r>
        <w:rPr>
          <w:spacing w:val="-5"/>
          <w:w w:val="95"/>
        </w:rPr>
        <w:t xml:space="preserve"> </w:t>
      </w:r>
      <w:r>
        <w:rPr>
          <w:w w:val="95"/>
        </w:rPr>
        <w:t>based</w:t>
      </w:r>
      <w:r>
        <w:rPr>
          <w:spacing w:val="-5"/>
          <w:w w:val="95"/>
        </w:rPr>
        <w:t xml:space="preserve"> </w:t>
      </w:r>
      <w:r>
        <w:rPr>
          <w:w w:val="95"/>
        </w:rPr>
        <w:t>on</w:t>
      </w:r>
      <w:r>
        <w:rPr>
          <w:spacing w:val="-5"/>
          <w:w w:val="95"/>
        </w:rPr>
        <w:t xml:space="preserve"> </w:t>
      </w:r>
      <w:r>
        <w:rPr>
          <w:w w:val="95"/>
        </w:rPr>
        <w:t xml:space="preserve">these </w:t>
      </w:r>
      <w:r>
        <w:t>market and community preferences.</w:t>
      </w:r>
    </w:p>
    <w:p w:rsidR="002C1123" w:rsidRDefault="00F22F94">
      <w:pPr>
        <w:pStyle w:val="BodyText"/>
        <w:spacing w:before="144" w:line="249" w:lineRule="auto"/>
        <w:ind w:left="492"/>
      </w:pPr>
      <w:r>
        <w:t>Urban</w:t>
      </w:r>
      <w:r>
        <w:rPr>
          <w:spacing w:val="-14"/>
        </w:rPr>
        <w:t xml:space="preserve"> </w:t>
      </w:r>
      <w:r>
        <w:t>densification</w:t>
      </w:r>
      <w:r>
        <w:rPr>
          <w:spacing w:val="-14"/>
        </w:rPr>
        <w:t xml:space="preserve"> </w:t>
      </w:r>
      <w:r>
        <w:t>requires</w:t>
      </w:r>
      <w:r>
        <w:rPr>
          <w:spacing w:val="-14"/>
        </w:rPr>
        <w:t xml:space="preserve"> </w:t>
      </w:r>
      <w:r>
        <w:t>investment</w:t>
      </w:r>
      <w:r>
        <w:rPr>
          <w:spacing w:val="-14"/>
        </w:rPr>
        <w:t xml:space="preserve"> </w:t>
      </w:r>
      <w:r>
        <w:t>to</w:t>
      </w:r>
      <w:r>
        <w:rPr>
          <w:spacing w:val="-14"/>
        </w:rPr>
        <w:t xml:space="preserve"> </w:t>
      </w:r>
      <w:r>
        <w:t xml:space="preserve">ensure </w:t>
      </w:r>
      <w:r>
        <w:rPr>
          <w:w w:val="95"/>
        </w:rPr>
        <w:t>infrastructure systems can cope with growth in demand.</w:t>
      </w:r>
    </w:p>
    <w:p w:rsidR="002C1123" w:rsidRDefault="00F22F94">
      <w:pPr>
        <w:pStyle w:val="BodyText"/>
        <w:spacing w:before="143" w:line="249" w:lineRule="auto"/>
        <w:ind w:left="492"/>
      </w:pPr>
      <w:r>
        <w:t>Infrastructure</w:t>
      </w:r>
      <w:r>
        <w:rPr>
          <w:spacing w:val="-11"/>
        </w:rPr>
        <w:t xml:space="preserve"> </w:t>
      </w:r>
      <w:r>
        <w:t>NSW</w:t>
      </w:r>
      <w:r>
        <w:rPr>
          <w:spacing w:val="-11"/>
        </w:rPr>
        <w:t xml:space="preserve"> </w:t>
      </w:r>
      <w:r>
        <w:t>has</w:t>
      </w:r>
      <w:r>
        <w:rPr>
          <w:spacing w:val="-11"/>
        </w:rPr>
        <w:t xml:space="preserve"> </w:t>
      </w:r>
      <w:r>
        <w:t>considered</w:t>
      </w:r>
      <w:r>
        <w:rPr>
          <w:spacing w:val="-11"/>
        </w:rPr>
        <w:t xml:space="preserve"> </w:t>
      </w:r>
      <w:r>
        <w:t>options</w:t>
      </w:r>
      <w:r>
        <w:rPr>
          <w:spacing w:val="-11"/>
        </w:rPr>
        <w:t xml:space="preserve"> </w:t>
      </w:r>
      <w:r>
        <w:t>where investment</w:t>
      </w:r>
      <w:r>
        <w:rPr>
          <w:spacing w:val="-11"/>
        </w:rPr>
        <w:t xml:space="preserve"> </w:t>
      </w:r>
      <w:r>
        <w:t>in</w:t>
      </w:r>
      <w:r>
        <w:rPr>
          <w:spacing w:val="-11"/>
        </w:rPr>
        <w:t xml:space="preserve"> </w:t>
      </w:r>
      <w:r>
        <w:t>enabling</w:t>
      </w:r>
      <w:r>
        <w:rPr>
          <w:spacing w:val="-11"/>
        </w:rPr>
        <w:t xml:space="preserve"> </w:t>
      </w:r>
      <w:r>
        <w:t>transport</w:t>
      </w:r>
      <w:r>
        <w:rPr>
          <w:spacing w:val="-11"/>
        </w:rPr>
        <w:t xml:space="preserve"> </w:t>
      </w:r>
      <w:r>
        <w:t>infrastructure</w:t>
      </w:r>
      <w:r>
        <w:rPr>
          <w:spacing w:val="-11"/>
        </w:rPr>
        <w:t xml:space="preserve"> </w:t>
      </w:r>
      <w:r>
        <w:t>can support</w:t>
      </w:r>
      <w:r>
        <w:rPr>
          <w:spacing w:val="-7"/>
        </w:rPr>
        <w:t xml:space="preserve"> </w:t>
      </w:r>
      <w:r>
        <w:t>urban</w:t>
      </w:r>
      <w:r>
        <w:rPr>
          <w:spacing w:val="-7"/>
        </w:rPr>
        <w:t xml:space="preserve"> </w:t>
      </w:r>
      <w:r>
        <w:t>renewal</w:t>
      </w:r>
      <w:r>
        <w:rPr>
          <w:spacing w:val="-7"/>
        </w:rPr>
        <w:t xml:space="preserve"> </w:t>
      </w:r>
      <w:r>
        <w:t>and</w:t>
      </w:r>
      <w:r>
        <w:rPr>
          <w:spacing w:val="-7"/>
        </w:rPr>
        <w:t xml:space="preserve"> </w:t>
      </w:r>
      <w:r>
        <w:t>housing</w:t>
      </w:r>
      <w:r>
        <w:rPr>
          <w:spacing w:val="-7"/>
        </w:rPr>
        <w:t xml:space="preserve"> </w:t>
      </w:r>
      <w:r>
        <w:t>growth</w:t>
      </w:r>
      <w:r>
        <w:rPr>
          <w:spacing w:val="-7"/>
        </w:rPr>
        <w:t xml:space="preserve"> </w:t>
      </w:r>
      <w:r>
        <w:t>in</w:t>
      </w:r>
      <w:r>
        <w:rPr>
          <w:spacing w:val="-7"/>
        </w:rPr>
        <w:t xml:space="preserve"> </w:t>
      </w:r>
      <w:r>
        <w:t xml:space="preserve">areas </w:t>
      </w:r>
      <w:r>
        <w:rPr>
          <w:w w:val="95"/>
        </w:rPr>
        <w:t>readily</w:t>
      </w:r>
      <w:r>
        <w:rPr>
          <w:spacing w:val="-11"/>
          <w:w w:val="95"/>
        </w:rPr>
        <w:t xml:space="preserve"> </w:t>
      </w:r>
      <w:r>
        <w:rPr>
          <w:w w:val="95"/>
        </w:rPr>
        <w:t>accessible</w:t>
      </w:r>
      <w:r>
        <w:rPr>
          <w:spacing w:val="-11"/>
          <w:w w:val="95"/>
        </w:rPr>
        <w:t xml:space="preserve"> </w:t>
      </w:r>
      <w:r>
        <w:rPr>
          <w:w w:val="95"/>
        </w:rPr>
        <w:t>to</w:t>
      </w:r>
      <w:r>
        <w:rPr>
          <w:spacing w:val="-11"/>
          <w:w w:val="95"/>
        </w:rPr>
        <w:t xml:space="preserve"> </w:t>
      </w:r>
      <w:r>
        <w:rPr>
          <w:w w:val="95"/>
        </w:rPr>
        <w:t>Global</w:t>
      </w:r>
      <w:r>
        <w:rPr>
          <w:spacing w:val="-11"/>
          <w:w w:val="95"/>
        </w:rPr>
        <w:t xml:space="preserve"> </w:t>
      </w:r>
      <w:r>
        <w:rPr>
          <w:w w:val="95"/>
        </w:rPr>
        <w:t>Sydney.</w:t>
      </w:r>
      <w:r>
        <w:rPr>
          <w:spacing w:val="-11"/>
          <w:w w:val="95"/>
        </w:rPr>
        <w:t xml:space="preserve"> </w:t>
      </w:r>
      <w:r>
        <w:rPr>
          <w:w w:val="95"/>
        </w:rPr>
        <w:t>These</w:t>
      </w:r>
      <w:r>
        <w:rPr>
          <w:spacing w:val="-11"/>
          <w:w w:val="95"/>
        </w:rPr>
        <w:t xml:space="preserve"> </w:t>
      </w:r>
      <w:r>
        <w:rPr>
          <w:w w:val="95"/>
        </w:rPr>
        <w:t>include</w:t>
      </w:r>
      <w:r>
        <w:rPr>
          <w:spacing w:val="-11"/>
          <w:w w:val="95"/>
        </w:rPr>
        <w:t xml:space="preserve"> </w:t>
      </w:r>
      <w:r>
        <w:rPr>
          <w:w w:val="95"/>
        </w:rPr>
        <w:t xml:space="preserve">along </w:t>
      </w:r>
      <w:r>
        <w:t>the</w:t>
      </w:r>
      <w:r>
        <w:rPr>
          <w:spacing w:val="-11"/>
        </w:rPr>
        <w:t xml:space="preserve"> </w:t>
      </w:r>
      <w:r>
        <w:t>Parramatta</w:t>
      </w:r>
      <w:r>
        <w:rPr>
          <w:spacing w:val="-11"/>
        </w:rPr>
        <w:t xml:space="preserve"> </w:t>
      </w:r>
      <w:r>
        <w:t>Road</w:t>
      </w:r>
      <w:r>
        <w:rPr>
          <w:spacing w:val="-11"/>
        </w:rPr>
        <w:t xml:space="preserve"> </w:t>
      </w:r>
      <w:r>
        <w:t>corridor</w:t>
      </w:r>
      <w:r>
        <w:rPr>
          <w:spacing w:val="-11"/>
        </w:rPr>
        <w:t xml:space="preserve"> </w:t>
      </w:r>
      <w:r>
        <w:t>and</w:t>
      </w:r>
      <w:r>
        <w:rPr>
          <w:spacing w:val="-11"/>
        </w:rPr>
        <w:t xml:space="preserve"> </w:t>
      </w:r>
      <w:r>
        <w:t>in</w:t>
      </w:r>
      <w:r>
        <w:rPr>
          <w:spacing w:val="-11"/>
        </w:rPr>
        <w:t xml:space="preserve"> </w:t>
      </w:r>
      <w:r>
        <w:t>South</w:t>
      </w:r>
      <w:r>
        <w:rPr>
          <w:spacing w:val="-11"/>
        </w:rPr>
        <w:t xml:space="preserve"> </w:t>
      </w:r>
      <w:r>
        <w:t xml:space="preserve">Eastern </w:t>
      </w:r>
      <w:r>
        <w:rPr>
          <w:w w:val="95"/>
        </w:rPr>
        <w:t>Suburbs.</w:t>
      </w:r>
      <w:r>
        <w:rPr>
          <w:spacing w:val="-2"/>
          <w:w w:val="95"/>
        </w:rPr>
        <w:t xml:space="preserve"> </w:t>
      </w:r>
      <w:r>
        <w:rPr>
          <w:w w:val="95"/>
        </w:rPr>
        <w:t>These</w:t>
      </w:r>
      <w:r>
        <w:rPr>
          <w:spacing w:val="-2"/>
          <w:w w:val="95"/>
        </w:rPr>
        <w:t xml:space="preserve"> </w:t>
      </w:r>
      <w:r>
        <w:rPr>
          <w:w w:val="95"/>
        </w:rPr>
        <w:t>issues</w:t>
      </w:r>
      <w:r>
        <w:rPr>
          <w:spacing w:val="-2"/>
          <w:w w:val="95"/>
        </w:rPr>
        <w:t xml:space="preserve"> </w:t>
      </w:r>
      <w:r>
        <w:rPr>
          <w:w w:val="95"/>
        </w:rPr>
        <w:t>are</w:t>
      </w:r>
      <w:r>
        <w:rPr>
          <w:spacing w:val="-2"/>
          <w:w w:val="95"/>
        </w:rPr>
        <w:t xml:space="preserve"> </w:t>
      </w:r>
      <w:r>
        <w:rPr>
          <w:w w:val="95"/>
        </w:rPr>
        <w:t>discussed</w:t>
      </w:r>
      <w:r>
        <w:rPr>
          <w:spacing w:val="-2"/>
          <w:w w:val="95"/>
        </w:rPr>
        <w:t xml:space="preserve"> </w:t>
      </w:r>
      <w:r>
        <w:rPr>
          <w:w w:val="95"/>
        </w:rPr>
        <w:t>further</w:t>
      </w:r>
      <w:r>
        <w:rPr>
          <w:spacing w:val="-2"/>
          <w:w w:val="95"/>
        </w:rPr>
        <w:t xml:space="preserve"> </w:t>
      </w:r>
      <w:r>
        <w:rPr>
          <w:w w:val="95"/>
        </w:rPr>
        <w:t>in</w:t>
      </w:r>
      <w:r>
        <w:rPr>
          <w:spacing w:val="-2"/>
          <w:w w:val="95"/>
        </w:rPr>
        <w:t xml:space="preserve"> </w:t>
      </w:r>
      <w:r>
        <w:rPr>
          <w:w w:val="95"/>
        </w:rPr>
        <w:t xml:space="preserve">Sections </w:t>
      </w:r>
      <w:r>
        <w:t>6 and 8 respectively.</w:t>
      </w:r>
    </w:p>
    <w:p w:rsidR="002C1123" w:rsidRDefault="00F22F94">
      <w:pPr>
        <w:pStyle w:val="BodyText"/>
        <w:spacing w:before="108" w:line="249" w:lineRule="auto"/>
        <w:ind w:left="217"/>
      </w:pPr>
      <w:r>
        <w:br w:type="column"/>
      </w:r>
      <w:r>
        <w:t>The</w:t>
      </w:r>
      <w:r>
        <w:rPr>
          <w:spacing w:val="-14"/>
        </w:rPr>
        <w:t xml:space="preserve"> </w:t>
      </w:r>
      <w:r>
        <w:t>implications</w:t>
      </w:r>
      <w:r>
        <w:rPr>
          <w:spacing w:val="-14"/>
        </w:rPr>
        <w:t xml:space="preserve"> </w:t>
      </w:r>
      <w:r>
        <w:t>for</w:t>
      </w:r>
      <w:r>
        <w:rPr>
          <w:spacing w:val="-14"/>
        </w:rPr>
        <w:t xml:space="preserve"> </w:t>
      </w:r>
      <w:r>
        <w:t>social</w:t>
      </w:r>
      <w:r>
        <w:rPr>
          <w:spacing w:val="-14"/>
        </w:rPr>
        <w:t xml:space="preserve"> </w:t>
      </w:r>
      <w:r>
        <w:t>infrastructure</w:t>
      </w:r>
      <w:r>
        <w:rPr>
          <w:spacing w:val="-14"/>
        </w:rPr>
        <w:t xml:space="preserve"> </w:t>
      </w:r>
      <w:r>
        <w:t>from</w:t>
      </w:r>
      <w:r>
        <w:rPr>
          <w:spacing w:val="-14"/>
        </w:rPr>
        <w:t xml:space="preserve"> </w:t>
      </w:r>
      <w:r>
        <w:t xml:space="preserve">in-fill </w:t>
      </w:r>
      <w:r>
        <w:rPr>
          <w:w w:val="95"/>
        </w:rPr>
        <w:t>development are important also. School populations in Global</w:t>
      </w:r>
      <w:r>
        <w:rPr>
          <w:spacing w:val="-4"/>
          <w:w w:val="95"/>
        </w:rPr>
        <w:t xml:space="preserve"> </w:t>
      </w:r>
      <w:r>
        <w:rPr>
          <w:w w:val="95"/>
        </w:rPr>
        <w:t>Sydney</w:t>
      </w:r>
      <w:r>
        <w:rPr>
          <w:spacing w:val="-4"/>
          <w:w w:val="95"/>
        </w:rPr>
        <w:t xml:space="preserve"> </w:t>
      </w:r>
      <w:r>
        <w:rPr>
          <w:w w:val="95"/>
        </w:rPr>
        <w:t>are</w:t>
      </w:r>
      <w:r>
        <w:rPr>
          <w:spacing w:val="-4"/>
          <w:w w:val="95"/>
        </w:rPr>
        <w:t xml:space="preserve"> </w:t>
      </w:r>
      <w:r>
        <w:rPr>
          <w:w w:val="95"/>
        </w:rPr>
        <w:t>expected</w:t>
      </w:r>
      <w:r>
        <w:rPr>
          <w:spacing w:val="-4"/>
          <w:w w:val="95"/>
        </w:rPr>
        <w:t xml:space="preserve"> </w:t>
      </w:r>
      <w:r>
        <w:rPr>
          <w:w w:val="95"/>
        </w:rPr>
        <w:t>to</w:t>
      </w:r>
      <w:r>
        <w:rPr>
          <w:spacing w:val="-4"/>
          <w:w w:val="95"/>
        </w:rPr>
        <w:t xml:space="preserve"> </w:t>
      </w:r>
      <w:r>
        <w:rPr>
          <w:w w:val="95"/>
        </w:rPr>
        <w:t>grow</w:t>
      </w:r>
      <w:r>
        <w:rPr>
          <w:spacing w:val="-4"/>
          <w:w w:val="95"/>
        </w:rPr>
        <w:t xml:space="preserve"> </w:t>
      </w:r>
      <w:r>
        <w:rPr>
          <w:w w:val="95"/>
        </w:rPr>
        <w:t>by</w:t>
      </w:r>
      <w:r>
        <w:rPr>
          <w:spacing w:val="-4"/>
          <w:w w:val="95"/>
        </w:rPr>
        <w:t xml:space="preserve"> </w:t>
      </w:r>
      <w:r>
        <w:rPr>
          <w:w w:val="95"/>
        </w:rPr>
        <w:t>15</w:t>
      </w:r>
      <w:r>
        <w:rPr>
          <w:spacing w:val="-4"/>
          <w:w w:val="95"/>
        </w:rPr>
        <w:t xml:space="preserve"> </w:t>
      </w:r>
      <w:r>
        <w:rPr>
          <w:w w:val="95"/>
        </w:rPr>
        <w:t>percent</w:t>
      </w:r>
      <w:r>
        <w:rPr>
          <w:spacing w:val="-4"/>
          <w:w w:val="95"/>
        </w:rPr>
        <w:t xml:space="preserve"> </w:t>
      </w:r>
      <w:r>
        <w:rPr>
          <w:w w:val="95"/>
        </w:rPr>
        <w:t xml:space="preserve">and </w:t>
      </w:r>
      <w:r>
        <w:t>demand</w:t>
      </w:r>
      <w:r>
        <w:rPr>
          <w:spacing w:val="-14"/>
        </w:rPr>
        <w:t xml:space="preserve"> </w:t>
      </w:r>
      <w:r>
        <w:t>is</w:t>
      </w:r>
      <w:r>
        <w:rPr>
          <w:spacing w:val="-14"/>
        </w:rPr>
        <w:t xml:space="preserve"> </w:t>
      </w:r>
      <w:r>
        <w:t>expected</w:t>
      </w:r>
      <w:r>
        <w:rPr>
          <w:spacing w:val="-14"/>
        </w:rPr>
        <w:t xml:space="preserve"> </w:t>
      </w:r>
      <w:r>
        <w:t>to</w:t>
      </w:r>
      <w:r>
        <w:rPr>
          <w:spacing w:val="-14"/>
        </w:rPr>
        <w:t xml:space="preserve"> </w:t>
      </w:r>
      <w:r>
        <w:t>grow</w:t>
      </w:r>
      <w:r>
        <w:rPr>
          <w:spacing w:val="-14"/>
        </w:rPr>
        <w:t xml:space="preserve"> </w:t>
      </w:r>
      <w:r>
        <w:t>by</w:t>
      </w:r>
      <w:r>
        <w:rPr>
          <w:spacing w:val="-14"/>
        </w:rPr>
        <w:t xml:space="preserve"> </w:t>
      </w:r>
      <w:r>
        <w:t>17</w:t>
      </w:r>
      <w:r>
        <w:rPr>
          <w:spacing w:val="-14"/>
        </w:rPr>
        <w:t xml:space="preserve"> </w:t>
      </w:r>
      <w:r>
        <w:t>percent</w:t>
      </w:r>
      <w:r>
        <w:rPr>
          <w:spacing w:val="-14"/>
        </w:rPr>
        <w:t xml:space="preserve"> </w:t>
      </w:r>
      <w:r>
        <w:t>in</w:t>
      </w:r>
      <w:r>
        <w:rPr>
          <w:spacing w:val="-14"/>
        </w:rPr>
        <w:t xml:space="preserve"> </w:t>
      </w:r>
      <w:r>
        <w:t>the</w:t>
      </w:r>
      <w:r>
        <w:rPr>
          <w:spacing w:val="-13"/>
        </w:rPr>
        <w:t xml:space="preserve"> </w:t>
      </w:r>
      <w:r>
        <w:t>next ten</w:t>
      </w:r>
      <w:r>
        <w:rPr>
          <w:spacing w:val="-10"/>
        </w:rPr>
        <w:t xml:space="preserve"> </w:t>
      </w:r>
      <w:r>
        <w:t>years.</w:t>
      </w:r>
      <w:r>
        <w:rPr>
          <w:spacing w:val="-10"/>
        </w:rPr>
        <w:t xml:space="preserve"> </w:t>
      </w:r>
      <w:r>
        <w:t>This</w:t>
      </w:r>
      <w:r>
        <w:rPr>
          <w:spacing w:val="-10"/>
        </w:rPr>
        <w:t xml:space="preserve"> </w:t>
      </w:r>
      <w:r>
        <w:t>is</w:t>
      </w:r>
      <w:r>
        <w:rPr>
          <w:spacing w:val="-10"/>
        </w:rPr>
        <w:t xml:space="preserve"> </w:t>
      </w:r>
      <w:r>
        <w:t>discussed</w:t>
      </w:r>
      <w:r>
        <w:rPr>
          <w:spacing w:val="-10"/>
        </w:rPr>
        <w:t xml:space="preserve"> </w:t>
      </w:r>
      <w:r>
        <w:t>Section</w:t>
      </w:r>
      <w:r>
        <w:rPr>
          <w:spacing w:val="-10"/>
        </w:rPr>
        <w:t xml:space="preserve"> </w:t>
      </w:r>
      <w:r>
        <w:t>14.</w:t>
      </w:r>
    </w:p>
    <w:p w:rsidR="002C1123" w:rsidRDefault="00F22F94">
      <w:pPr>
        <w:pStyle w:val="Heading6"/>
        <w:spacing w:before="146"/>
        <w:ind w:left="217"/>
      </w:pPr>
      <w:r>
        <w:t>Urban</w:t>
      </w:r>
      <w:r>
        <w:rPr>
          <w:spacing w:val="-6"/>
        </w:rPr>
        <w:t xml:space="preserve"> </w:t>
      </w:r>
      <w:r>
        <w:rPr>
          <w:spacing w:val="-2"/>
        </w:rPr>
        <w:t>Environment</w:t>
      </w:r>
    </w:p>
    <w:p w:rsidR="002C1123" w:rsidRDefault="00F22F94">
      <w:pPr>
        <w:pStyle w:val="BodyText"/>
        <w:spacing w:before="10" w:line="249" w:lineRule="auto"/>
        <w:ind w:left="217" w:right="61"/>
      </w:pPr>
      <w:r>
        <w:rPr>
          <w:w w:val="95"/>
        </w:rPr>
        <w:t>The</w:t>
      </w:r>
      <w:r>
        <w:rPr>
          <w:spacing w:val="-8"/>
          <w:w w:val="95"/>
        </w:rPr>
        <w:t xml:space="preserve"> </w:t>
      </w:r>
      <w:r>
        <w:rPr>
          <w:w w:val="95"/>
        </w:rPr>
        <w:t>competitiveness</w:t>
      </w:r>
      <w:r>
        <w:rPr>
          <w:spacing w:val="-8"/>
          <w:w w:val="95"/>
        </w:rPr>
        <w:t xml:space="preserve"> </w:t>
      </w:r>
      <w:r>
        <w:rPr>
          <w:w w:val="95"/>
        </w:rPr>
        <w:t>of</w:t>
      </w:r>
      <w:r>
        <w:rPr>
          <w:spacing w:val="-8"/>
          <w:w w:val="95"/>
        </w:rPr>
        <w:t xml:space="preserve"> </w:t>
      </w:r>
      <w:r>
        <w:rPr>
          <w:w w:val="95"/>
        </w:rPr>
        <w:t>Global</w:t>
      </w:r>
      <w:r>
        <w:rPr>
          <w:spacing w:val="-8"/>
          <w:w w:val="95"/>
        </w:rPr>
        <w:t xml:space="preserve"> </w:t>
      </w:r>
      <w:r>
        <w:rPr>
          <w:w w:val="95"/>
        </w:rPr>
        <w:t>Sydney</w:t>
      </w:r>
      <w:r>
        <w:rPr>
          <w:spacing w:val="-8"/>
          <w:w w:val="95"/>
        </w:rPr>
        <w:t xml:space="preserve"> </w:t>
      </w:r>
      <w:r>
        <w:rPr>
          <w:w w:val="95"/>
        </w:rPr>
        <w:t>as</w:t>
      </w:r>
      <w:r>
        <w:rPr>
          <w:spacing w:val="-8"/>
          <w:w w:val="95"/>
        </w:rPr>
        <w:t xml:space="preserve"> </w:t>
      </w:r>
      <w:r>
        <w:rPr>
          <w:w w:val="95"/>
        </w:rPr>
        <w:t>an</w:t>
      </w:r>
      <w:r>
        <w:rPr>
          <w:spacing w:val="-8"/>
          <w:w w:val="95"/>
        </w:rPr>
        <w:t xml:space="preserve"> </w:t>
      </w:r>
      <w:r>
        <w:rPr>
          <w:w w:val="95"/>
        </w:rPr>
        <w:t>attractive place</w:t>
      </w:r>
      <w:r>
        <w:rPr>
          <w:spacing w:val="-1"/>
          <w:w w:val="95"/>
        </w:rPr>
        <w:t xml:space="preserve"> </w:t>
      </w:r>
      <w:r>
        <w:rPr>
          <w:w w:val="95"/>
        </w:rPr>
        <w:t>to</w:t>
      </w:r>
      <w:r>
        <w:rPr>
          <w:spacing w:val="-1"/>
          <w:w w:val="95"/>
        </w:rPr>
        <w:t xml:space="preserve"> </w:t>
      </w:r>
      <w:r>
        <w:rPr>
          <w:w w:val="95"/>
        </w:rPr>
        <w:t>work,</w:t>
      </w:r>
      <w:r>
        <w:rPr>
          <w:spacing w:val="-1"/>
          <w:w w:val="95"/>
        </w:rPr>
        <w:t xml:space="preserve"> </w:t>
      </w:r>
      <w:r>
        <w:rPr>
          <w:w w:val="95"/>
        </w:rPr>
        <w:t>live,</w:t>
      </w:r>
      <w:r>
        <w:rPr>
          <w:spacing w:val="-1"/>
          <w:w w:val="95"/>
        </w:rPr>
        <w:t xml:space="preserve"> </w:t>
      </w:r>
      <w:r>
        <w:rPr>
          <w:w w:val="95"/>
        </w:rPr>
        <w:t>do</w:t>
      </w:r>
      <w:r>
        <w:rPr>
          <w:spacing w:val="-1"/>
          <w:w w:val="95"/>
        </w:rPr>
        <w:t xml:space="preserve"> </w:t>
      </w:r>
      <w:r>
        <w:rPr>
          <w:w w:val="95"/>
        </w:rPr>
        <w:t>business</w:t>
      </w:r>
      <w:r>
        <w:rPr>
          <w:spacing w:val="-1"/>
          <w:w w:val="95"/>
        </w:rPr>
        <w:t xml:space="preserve"> </w:t>
      </w:r>
      <w:r>
        <w:rPr>
          <w:w w:val="95"/>
        </w:rPr>
        <w:t>and</w:t>
      </w:r>
      <w:r>
        <w:rPr>
          <w:spacing w:val="-1"/>
          <w:w w:val="95"/>
        </w:rPr>
        <w:t xml:space="preserve"> </w:t>
      </w:r>
      <w:r>
        <w:rPr>
          <w:w w:val="95"/>
        </w:rPr>
        <w:t>entertain</w:t>
      </w:r>
      <w:r>
        <w:rPr>
          <w:spacing w:val="-1"/>
          <w:w w:val="95"/>
        </w:rPr>
        <w:t xml:space="preserve"> </w:t>
      </w:r>
      <w:r>
        <w:rPr>
          <w:w w:val="95"/>
        </w:rPr>
        <w:t xml:space="preserve">requires </w:t>
      </w:r>
      <w:r>
        <w:t>world</w:t>
      </w:r>
      <w:r>
        <w:rPr>
          <w:spacing w:val="-4"/>
        </w:rPr>
        <w:t xml:space="preserve"> </w:t>
      </w:r>
      <w:r>
        <w:t>class</w:t>
      </w:r>
      <w:r>
        <w:rPr>
          <w:spacing w:val="-4"/>
        </w:rPr>
        <w:t xml:space="preserve"> </w:t>
      </w:r>
      <w:r>
        <w:t>transport</w:t>
      </w:r>
      <w:r>
        <w:rPr>
          <w:spacing w:val="-4"/>
        </w:rPr>
        <w:t xml:space="preserve"> </w:t>
      </w:r>
      <w:r>
        <w:t>networks,</w:t>
      </w:r>
      <w:r>
        <w:rPr>
          <w:spacing w:val="-4"/>
        </w:rPr>
        <w:t xml:space="preserve"> </w:t>
      </w:r>
      <w:r>
        <w:t>and</w:t>
      </w:r>
      <w:r>
        <w:rPr>
          <w:spacing w:val="-4"/>
        </w:rPr>
        <w:t xml:space="preserve"> </w:t>
      </w:r>
      <w:r>
        <w:t>a</w:t>
      </w:r>
      <w:r>
        <w:rPr>
          <w:spacing w:val="-4"/>
        </w:rPr>
        <w:t xml:space="preserve"> </w:t>
      </w:r>
      <w:r>
        <w:t>vibrant</w:t>
      </w:r>
      <w:r>
        <w:rPr>
          <w:spacing w:val="-4"/>
        </w:rPr>
        <w:t xml:space="preserve"> </w:t>
      </w:r>
      <w:r>
        <w:t>open city</w:t>
      </w:r>
      <w:r>
        <w:rPr>
          <w:spacing w:val="-5"/>
        </w:rPr>
        <w:t xml:space="preserve"> </w:t>
      </w:r>
      <w:r>
        <w:t>environment,</w:t>
      </w:r>
      <w:r>
        <w:rPr>
          <w:spacing w:val="-5"/>
        </w:rPr>
        <w:t xml:space="preserve"> </w:t>
      </w:r>
      <w:r>
        <w:t>conducive</w:t>
      </w:r>
      <w:r>
        <w:rPr>
          <w:spacing w:val="-5"/>
        </w:rPr>
        <w:t xml:space="preserve"> </w:t>
      </w:r>
      <w:r>
        <w:t>to</w:t>
      </w:r>
      <w:r>
        <w:rPr>
          <w:spacing w:val="-5"/>
        </w:rPr>
        <w:t xml:space="preserve"> </w:t>
      </w:r>
      <w:r>
        <w:t>working,</w:t>
      </w:r>
      <w:r>
        <w:rPr>
          <w:spacing w:val="-5"/>
        </w:rPr>
        <w:t xml:space="preserve"> </w:t>
      </w:r>
      <w:r>
        <w:t>meeting, entertaining,</w:t>
      </w:r>
      <w:r>
        <w:rPr>
          <w:spacing w:val="-12"/>
        </w:rPr>
        <w:t xml:space="preserve"> </w:t>
      </w:r>
      <w:r>
        <w:t>and</w:t>
      </w:r>
      <w:r>
        <w:rPr>
          <w:spacing w:val="-12"/>
        </w:rPr>
        <w:t xml:space="preserve"> </w:t>
      </w:r>
      <w:r>
        <w:t>for</w:t>
      </w:r>
      <w:r>
        <w:rPr>
          <w:spacing w:val="-12"/>
        </w:rPr>
        <w:t xml:space="preserve"> </w:t>
      </w:r>
      <w:r>
        <w:t>retail</w:t>
      </w:r>
      <w:r>
        <w:rPr>
          <w:spacing w:val="-12"/>
        </w:rPr>
        <w:t xml:space="preserve"> </w:t>
      </w:r>
      <w:r>
        <w:t>and</w:t>
      </w:r>
      <w:r>
        <w:rPr>
          <w:spacing w:val="-12"/>
        </w:rPr>
        <w:t xml:space="preserve"> </w:t>
      </w:r>
      <w:r>
        <w:t>cultural</w:t>
      </w:r>
      <w:r>
        <w:rPr>
          <w:spacing w:val="-12"/>
        </w:rPr>
        <w:t xml:space="preserve"> </w:t>
      </w:r>
      <w:r>
        <w:t>pursuits.</w:t>
      </w:r>
    </w:p>
    <w:p w:rsidR="002C1123" w:rsidRDefault="00F22F94">
      <w:pPr>
        <w:pStyle w:val="BodyText"/>
        <w:spacing w:before="146" w:line="249" w:lineRule="auto"/>
        <w:ind w:left="217" w:right="76"/>
      </w:pPr>
      <w:r>
        <w:rPr>
          <w:w w:val="95"/>
        </w:rPr>
        <w:t>Addressing</w:t>
      </w:r>
      <w:r>
        <w:rPr>
          <w:spacing w:val="-10"/>
          <w:w w:val="95"/>
        </w:rPr>
        <w:t xml:space="preserve"> </w:t>
      </w:r>
      <w:r>
        <w:rPr>
          <w:w w:val="95"/>
        </w:rPr>
        <w:t>the</w:t>
      </w:r>
      <w:r>
        <w:rPr>
          <w:spacing w:val="-10"/>
          <w:w w:val="95"/>
        </w:rPr>
        <w:t xml:space="preserve"> </w:t>
      </w:r>
      <w:r>
        <w:rPr>
          <w:w w:val="95"/>
        </w:rPr>
        <w:t>issue</w:t>
      </w:r>
      <w:r>
        <w:rPr>
          <w:spacing w:val="-10"/>
          <w:w w:val="95"/>
        </w:rPr>
        <w:t xml:space="preserve"> </w:t>
      </w:r>
      <w:r>
        <w:rPr>
          <w:w w:val="95"/>
        </w:rPr>
        <w:t>is</w:t>
      </w:r>
      <w:r>
        <w:rPr>
          <w:spacing w:val="-10"/>
          <w:w w:val="95"/>
        </w:rPr>
        <w:t xml:space="preserve"> </w:t>
      </w:r>
      <w:r>
        <w:rPr>
          <w:w w:val="95"/>
        </w:rPr>
        <w:t>challenging.</w:t>
      </w:r>
      <w:r>
        <w:rPr>
          <w:spacing w:val="-10"/>
          <w:w w:val="95"/>
        </w:rPr>
        <w:t xml:space="preserve"> </w:t>
      </w:r>
      <w:r>
        <w:rPr>
          <w:w w:val="95"/>
        </w:rPr>
        <w:t>The</w:t>
      </w:r>
      <w:r>
        <w:rPr>
          <w:spacing w:val="-10"/>
          <w:w w:val="95"/>
        </w:rPr>
        <w:t xml:space="preserve"> </w:t>
      </w:r>
      <w:r>
        <w:rPr>
          <w:w w:val="95"/>
        </w:rPr>
        <w:t>Sydney</w:t>
      </w:r>
      <w:r>
        <w:rPr>
          <w:spacing w:val="-10"/>
          <w:w w:val="95"/>
        </w:rPr>
        <w:t xml:space="preserve"> </w:t>
      </w:r>
      <w:r>
        <w:rPr>
          <w:w w:val="95"/>
        </w:rPr>
        <w:t>CBD</w:t>
      </w:r>
      <w:r>
        <w:rPr>
          <w:spacing w:val="-10"/>
          <w:w w:val="95"/>
        </w:rPr>
        <w:t xml:space="preserve"> </w:t>
      </w:r>
      <w:r>
        <w:rPr>
          <w:w w:val="95"/>
        </w:rPr>
        <w:t xml:space="preserve">is </w:t>
      </w:r>
      <w:r>
        <w:t>an</w:t>
      </w:r>
      <w:r>
        <w:rPr>
          <w:spacing w:val="-14"/>
        </w:rPr>
        <w:t xml:space="preserve"> </w:t>
      </w:r>
      <w:r>
        <w:t>undulating,</w:t>
      </w:r>
      <w:r>
        <w:rPr>
          <w:spacing w:val="-14"/>
        </w:rPr>
        <w:t xml:space="preserve"> </w:t>
      </w:r>
      <w:r>
        <w:t>high-density</w:t>
      </w:r>
      <w:r>
        <w:rPr>
          <w:spacing w:val="-14"/>
        </w:rPr>
        <w:t xml:space="preserve"> </w:t>
      </w:r>
      <w:r>
        <w:t>peninsula</w:t>
      </w:r>
      <w:r>
        <w:rPr>
          <w:spacing w:val="-14"/>
        </w:rPr>
        <w:t xml:space="preserve"> </w:t>
      </w:r>
      <w:r>
        <w:t>with</w:t>
      </w:r>
      <w:r>
        <w:rPr>
          <w:spacing w:val="-14"/>
        </w:rPr>
        <w:t xml:space="preserve"> </w:t>
      </w:r>
      <w:r>
        <w:t>road</w:t>
      </w:r>
      <w:r>
        <w:rPr>
          <w:spacing w:val="-14"/>
        </w:rPr>
        <w:t xml:space="preserve"> </w:t>
      </w:r>
      <w:r>
        <w:t>space that</w:t>
      </w:r>
      <w:r>
        <w:rPr>
          <w:spacing w:val="-14"/>
        </w:rPr>
        <w:t xml:space="preserve"> </w:t>
      </w:r>
      <w:r>
        <w:t>is</w:t>
      </w:r>
      <w:r>
        <w:rPr>
          <w:spacing w:val="-14"/>
        </w:rPr>
        <w:t xml:space="preserve"> </w:t>
      </w:r>
      <w:r>
        <w:t>narrow</w:t>
      </w:r>
      <w:r>
        <w:rPr>
          <w:spacing w:val="-13"/>
        </w:rPr>
        <w:t xml:space="preserve"> </w:t>
      </w:r>
      <w:r>
        <w:t>relative</w:t>
      </w:r>
      <w:r>
        <w:rPr>
          <w:spacing w:val="-14"/>
        </w:rPr>
        <w:t xml:space="preserve"> </w:t>
      </w:r>
      <w:r>
        <w:t>to</w:t>
      </w:r>
      <w:r>
        <w:rPr>
          <w:spacing w:val="-14"/>
        </w:rPr>
        <w:t xml:space="preserve"> </w:t>
      </w:r>
      <w:r>
        <w:t>the</w:t>
      </w:r>
      <w:r>
        <w:rPr>
          <w:spacing w:val="-13"/>
        </w:rPr>
        <w:t xml:space="preserve"> </w:t>
      </w:r>
      <w:r>
        <w:t>traffic</w:t>
      </w:r>
      <w:r>
        <w:rPr>
          <w:spacing w:val="-14"/>
        </w:rPr>
        <w:t xml:space="preserve"> </w:t>
      </w:r>
      <w:r>
        <w:t>it</w:t>
      </w:r>
      <w:r>
        <w:rPr>
          <w:spacing w:val="-14"/>
        </w:rPr>
        <w:t xml:space="preserve"> </w:t>
      </w:r>
      <w:r>
        <w:t>carries</w:t>
      </w:r>
      <w:r>
        <w:rPr>
          <w:spacing w:val="-13"/>
        </w:rPr>
        <w:t xml:space="preserve"> </w:t>
      </w:r>
      <w:r>
        <w:t>and</w:t>
      </w:r>
      <w:r>
        <w:rPr>
          <w:spacing w:val="-14"/>
        </w:rPr>
        <w:t xml:space="preserve"> </w:t>
      </w:r>
      <w:r>
        <w:t>the people movements it supports.</w:t>
      </w:r>
    </w:p>
    <w:p w:rsidR="002C1123" w:rsidRDefault="00F22F94">
      <w:pPr>
        <w:pStyle w:val="BodyText"/>
        <w:spacing w:before="145" w:line="249" w:lineRule="auto"/>
        <w:ind w:left="217"/>
      </w:pPr>
      <w:r>
        <w:t>Section</w:t>
      </w:r>
      <w:r>
        <w:rPr>
          <w:spacing w:val="-9"/>
        </w:rPr>
        <w:t xml:space="preserve"> </w:t>
      </w:r>
      <w:r>
        <w:t>7</w:t>
      </w:r>
      <w:r>
        <w:rPr>
          <w:spacing w:val="-9"/>
        </w:rPr>
        <w:t xml:space="preserve"> </w:t>
      </w:r>
      <w:r>
        <w:t>outlines</w:t>
      </w:r>
      <w:r>
        <w:rPr>
          <w:spacing w:val="-9"/>
        </w:rPr>
        <w:t xml:space="preserve"> </w:t>
      </w:r>
      <w:r>
        <w:t>infrastructure</w:t>
      </w:r>
      <w:r>
        <w:rPr>
          <w:spacing w:val="-9"/>
        </w:rPr>
        <w:t xml:space="preserve"> </w:t>
      </w:r>
      <w:r>
        <w:t>options</w:t>
      </w:r>
      <w:r>
        <w:rPr>
          <w:spacing w:val="-9"/>
        </w:rPr>
        <w:t xml:space="preserve"> </w:t>
      </w:r>
      <w:r>
        <w:t>aimed</w:t>
      </w:r>
      <w:r>
        <w:rPr>
          <w:spacing w:val="-9"/>
        </w:rPr>
        <w:t xml:space="preserve"> </w:t>
      </w:r>
      <w:r>
        <w:t>at addressing</w:t>
      </w:r>
      <w:r>
        <w:rPr>
          <w:spacing w:val="-10"/>
        </w:rPr>
        <w:t xml:space="preserve"> </w:t>
      </w:r>
      <w:r>
        <w:t>the</w:t>
      </w:r>
      <w:r>
        <w:rPr>
          <w:spacing w:val="-10"/>
        </w:rPr>
        <w:t xml:space="preserve"> </w:t>
      </w:r>
      <w:r>
        <w:t>road</w:t>
      </w:r>
      <w:r>
        <w:rPr>
          <w:spacing w:val="-10"/>
        </w:rPr>
        <w:t xml:space="preserve"> </w:t>
      </w:r>
      <w:r>
        <w:t>space</w:t>
      </w:r>
      <w:r>
        <w:rPr>
          <w:spacing w:val="-10"/>
        </w:rPr>
        <w:t xml:space="preserve"> </w:t>
      </w:r>
      <w:r>
        <w:t>capacity</w:t>
      </w:r>
      <w:r>
        <w:rPr>
          <w:spacing w:val="-10"/>
        </w:rPr>
        <w:t xml:space="preserve"> </w:t>
      </w:r>
      <w:r>
        <w:t>issue</w:t>
      </w:r>
      <w:r>
        <w:rPr>
          <w:spacing w:val="-10"/>
        </w:rPr>
        <w:t xml:space="preserve"> </w:t>
      </w:r>
      <w:r>
        <w:t>in</w:t>
      </w:r>
      <w:r>
        <w:rPr>
          <w:spacing w:val="-10"/>
        </w:rPr>
        <w:t xml:space="preserve"> </w:t>
      </w:r>
      <w:r>
        <w:t>the</w:t>
      </w:r>
      <w:r>
        <w:rPr>
          <w:spacing w:val="-10"/>
        </w:rPr>
        <w:t xml:space="preserve"> </w:t>
      </w:r>
      <w:r>
        <w:t xml:space="preserve">CBD </w:t>
      </w:r>
      <w:r>
        <w:rPr>
          <w:w w:val="95"/>
        </w:rPr>
        <w:t>and</w:t>
      </w:r>
      <w:r>
        <w:rPr>
          <w:spacing w:val="-5"/>
          <w:w w:val="95"/>
        </w:rPr>
        <w:t xml:space="preserve"> </w:t>
      </w:r>
      <w:r>
        <w:rPr>
          <w:w w:val="95"/>
        </w:rPr>
        <w:t>enabling</w:t>
      </w:r>
      <w:r>
        <w:rPr>
          <w:spacing w:val="-5"/>
          <w:w w:val="95"/>
        </w:rPr>
        <w:t xml:space="preserve"> </w:t>
      </w:r>
      <w:r>
        <w:rPr>
          <w:w w:val="95"/>
        </w:rPr>
        <w:t>the</w:t>
      </w:r>
      <w:r>
        <w:rPr>
          <w:spacing w:val="-5"/>
          <w:w w:val="95"/>
        </w:rPr>
        <w:t xml:space="preserve"> </w:t>
      </w:r>
      <w:r>
        <w:rPr>
          <w:w w:val="95"/>
        </w:rPr>
        <w:t>improvement</w:t>
      </w:r>
      <w:r>
        <w:rPr>
          <w:spacing w:val="-5"/>
          <w:w w:val="95"/>
        </w:rPr>
        <w:t xml:space="preserve"> </w:t>
      </w:r>
      <w:r>
        <w:rPr>
          <w:w w:val="95"/>
        </w:rPr>
        <w:t>in</w:t>
      </w:r>
      <w:r>
        <w:rPr>
          <w:spacing w:val="-5"/>
          <w:w w:val="95"/>
        </w:rPr>
        <w:t xml:space="preserve"> </w:t>
      </w:r>
      <w:r>
        <w:rPr>
          <w:w w:val="95"/>
        </w:rPr>
        <w:t>the</w:t>
      </w:r>
      <w:r>
        <w:rPr>
          <w:spacing w:val="-5"/>
          <w:w w:val="95"/>
        </w:rPr>
        <w:t xml:space="preserve"> </w:t>
      </w:r>
      <w:r>
        <w:rPr>
          <w:w w:val="95"/>
        </w:rPr>
        <w:t>urban</w:t>
      </w:r>
      <w:r>
        <w:rPr>
          <w:spacing w:val="-5"/>
          <w:w w:val="95"/>
        </w:rPr>
        <w:t xml:space="preserve"> </w:t>
      </w:r>
      <w:r>
        <w:rPr>
          <w:w w:val="95"/>
        </w:rPr>
        <w:t>environment.</w:t>
      </w:r>
    </w:p>
    <w:p w:rsidR="002C1123" w:rsidRDefault="00F22F94">
      <w:pPr>
        <w:pStyle w:val="BodyText"/>
        <w:spacing w:before="144" w:line="249" w:lineRule="auto"/>
        <w:ind w:left="217"/>
      </w:pPr>
      <w:r>
        <w:rPr>
          <w:w w:val="95"/>
        </w:rPr>
        <w:t xml:space="preserve">Infrastructure NSW also recognises the importance of a </w:t>
      </w:r>
      <w:r>
        <w:t>cultural</w:t>
      </w:r>
      <w:r>
        <w:rPr>
          <w:spacing w:val="-12"/>
        </w:rPr>
        <w:t xml:space="preserve"> </w:t>
      </w:r>
      <w:r>
        <w:t>precinct</w:t>
      </w:r>
      <w:r>
        <w:rPr>
          <w:spacing w:val="-12"/>
        </w:rPr>
        <w:t xml:space="preserve"> </w:t>
      </w:r>
      <w:r>
        <w:t>to</w:t>
      </w:r>
      <w:r>
        <w:rPr>
          <w:spacing w:val="-12"/>
        </w:rPr>
        <w:t xml:space="preserve"> </w:t>
      </w:r>
      <w:r>
        <w:t>both</w:t>
      </w:r>
      <w:r>
        <w:rPr>
          <w:spacing w:val="-12"/>
        </w:rPr>
        <w:t xml:space="preserve"> </w:t>
      </w:r>
      <w:r>
        <w:t>the</w:t>
      </w:r>
      <w:r>
        <w:rPr>
          <w:spacing w:val="-12"/>
        </w:rPr>
        <w:t xml:space="preserve"> </w:t>
      </w:r>
      <w:r>
        <w:t>general</w:t>
      </w:r>
      <w:r>
        <w:rPr>
          <w:spacing w:val="-12"/>
        </w:rPr>
        <w:t xml:space="preserve"> </w:t>
      </w:r>
      <w:r>
        <w:t>amenity</w:t>
      </w:r>
      <w:r>
        <w:rPr>
          <w:spacing w:val="-12"/>
        </w:rPr>
        <w:t xml:space="preserve"> </w:t>
      </w:r>
      <w:r>
        <w:t>of</w:t>
      </w:r>
      <w:r>
        <w:rPr>
          <w:spacing w:val="-12"/>
        </w:rPr>
        <w:t xml:space="preserve"> </w:t>
      </w:r>
      <w:r>
        <w:t>the</w:t>
      </w:r>
      <w:r>
        <w:rPr>
          <w:spacing w:val="-12"/>
        </w:rPr>
        <w:t xml:space="preserve"> </w:t>
      </w:r>
      <w:r>
        <w:t>city and</w:t>
      </w:r>
      <w:r>
        <w:rPr>
          <w:spacing w:val="-14"/>
        </w:rPr>
        <w:t xml:space="preserve"> </w:t>
      </w:r>
      <w:r>
        <w:t>the</w:t>
      </w:r>
      <w:r>
        <w:rPr>
          <w:spacing w:val="-14"/>
        </w:rPr>
        <w:t xml:space="preserve"> </w:t>
      </w:r>
      <w:r>
        <w:t>visitor</w:t>
      </w:r>
      <w:r>
        <w:rPr>
          <w:spacing w:val="-13"/>
        </w:rPr>
        <w:t xml:space="preserve"> </w:t>
      </w:r>
      <w:r>
        <w:t>economy.</w:t>
      </w:r>
      <w:r>
        <w:rPr>
          <w:spacing w:val="-14"/>
        </w:rPr>
        <w:t xml:space="preserve"> </w:t>
      </w:r>
      <w:r>
        <w:t>It</w:t>
      </w:r>
      <w:r>
        <w:rPr>
          <w:spacing w:val="-14"/>
        </w:rPr>
        <w:t xml:space="preserve"> </w:t>
      </w:r>
      <w:r>
        <w:t>supports</w:t>
      </w:r>
      <w:r>
        <w:rPr>
          <w:spacing w:val="-13"/>
        </w:rPr>
        <w:t xml:space="preserve"> </w:t>
      </w:r>
      <w:r>
        <w:t>the</w:t>
      </w:r>
      <w:r>
        <w:rPr>
          <w:spacing w:val="-14"/>
        </w:rPr>
        <w:t xml:space="preserve"> </w:t>
      </w:r>
      <w:r>
        <w:t>establishment and</w:t>
      </w:r>
      <w:r>
        <w:rPr>
          <w:spacing w:val="-8"/>
        </w:rPr>
        <w:t xml:space="preserve"> </w:t>
      </w:r>
      <w:r>
        <w:t>development</w:t>
      </w:r>
      <w:r>
        <w:rPr>
          <w:spacing w:val="-8"/>
        </w:rPr>
        <w:t xml:space="preserve"> </w:t>
      </w:r>
      <w:r>
        <w:t>of</w:t>
      </w:r>
      <w:r>
        <w:rPr>
          <w:spacing w:val="-8"/>
        </w:rPr>
        <w:t xml:space="preserve"> </w:t>
      </w:r>
      <w:r>
        <w:t>the</w:t>
      </w:r>
      <w:r>
        <w:rPr>
          <w:spacing w:val="-8"/>
        </w:rPr>
        <w:t xml:space="preserve"> </w:t>
      </w:r>
      <w:r>
        <w:t>Art’s</w:t>
      </w:r>
      <w:r>
        <w:rPr>
          <w:spacing w:val="-8"/>
        </w:rPr>
        <w:t xml:space="preserve"> </w:t>
      </w:r>
      <w:r>
        <w:t>Ribbon</w:t>
      </w:r>
      <w:r>
        <w:rPr>
          <w:spacing w:val="-8"/>
        </w:rPr>
        <w:t xml:space="preserve"> </w:t>
      </w:r>
      <w:r>
        <w:t>from</w:t>
      </w:r>
      <w:r>
        <w:rPr>
          <w:spacing w:val="-8"/>
        </w:rPr>
        <w:t xml:space="preserve"> </w:t>
      </w:r>
      <w:r>
        <w:t xml:space="preserve">Darling </w:t>
      </w:r>
      <w:r>
        <w:rPr>
          <w:w w:val="95"/>
        </w:rPr>
        <w:t>Harbour</w:t>
      </w:r>
      <w:r>
        <w:rPr>
          <w:spacing w:val="-1"/>
          <w:w w:val="95"/>
        </w:rPr>
        <w:t xml:space="preserve"> </w:t>
      </w:r>
      <w:r>
        <w:rPr>
          <w:w w:val="95"/>
        </w:rPr>
        <w:t>through</w:t>
      </w:r>
      <w:r>
        <w:rPr>
          <w:spacing w:val="-1"/>
          <w:w w:val="95"/>
        </w:rPr>
        <w:t xml:space="preserve"> </w:t>
      </w:r>
      <w:r>
        <w:rPr>
          <w:w w:val="95"/>
        </w:rPr>
        <w:t>Barangaroo</w:t>
      </w:r>
      <w:r>
        <w:rPr>
          <w:spacing w:val="-1"/>
          <w:w w:val="95"/>
        </w:rPr>
        <w:t xml:space="preserve"> </w:t>
      </w:r>
      <w:r>
        <w:rPr>
          <w:w w:val="95"/>
        </w:rPr>
        <w:t>to</w:t>
      </w:r>
      <w:r>
        <w:rPr>
          <w:spacing w:val="-1"/>
          <w:w w:val="95"/>
        </w:rPr>
        <w:t xml:space="preserve"> </w:t>
      </w:r>
      <w:r>
        <w:rPr>
          <w:w w:val="95"/>
        </w:rPr>
        <w:t>the</w:t>
      </w:r>
      <w:r>
        <w:rPr>
          <w:spacing w:val="-1"/>
          <w:w w:val="95"/>
        </w:rPr>
        <w:t xml:space="preserve"> </w:t>
      </w:r>
      <w:r>
        <w:rPr>
          <w:w w:val="95"/>
        </w:rPr>
        <w:t>Australian</w:t>
      </w:r>
      <w:r>
        <w:rPr>
          <w:spacing w:val="-1"/>
          <w:w w:val="95"/>
        </w:rPr>
        <w:t xml:space="preserve"> </w:t>
      </w:r>
      <w:r>
        <w:rPr>
          <w:w w:val="95"/>
        </w:rPr>
        <w:t xml:space="preserve">Museum. </w:t>
      </w:r>
      <w:r>
        <w:t>This</w:t>
      </w:r>
      <w:r>
        <w:rPr>
          <w:spacing w:val="-7"/>
        </w:rPr>
        <w:t xml:space="preserve"> </w:t>
      </w:r>
      <w:r>
        <w:t>is</w:t>
      </w:r>
      <w:r>
        <w:rPr>
          <w:spacing w:val="-7"/>
        </w:rPr>
        <w:t xml:space="preserve"> </w:t>
      </w:r>
      <w:r>
        <w:t>discussed</w:t>
      </w:r>
      <w:r>
        <w:rPr>
          <w:spacing w:val="-7"/>
        </w:rPr>
        <w:t xml:space="preserve"> </w:t>
      </w:r>
      <w:r>
        <w:t>further</w:t>
      </w:r>
      <w:r>
        <w:rPr>
          <w:spacing w:val="-7"/>
        </w:rPr>
        <w:t xml:space="preserve"> </w:t>
      </w:r>
      <w:r>
        <w:t>in</w:t>
      </w:r>
      <w:r>
        <w:rPr>
          <w:spacing w:val="-7"/>
        </w:rPr>
        <w:t xml:space="preserve"> </w:t>
      </w:r>
      <w:r>
        <w:t>Section</w:t>
      </w:r>
      <w:r>
        <w:rPr>
          <w:spacing w:val="-7"/>
        </w:rPr>
        <w:t xml:space="preserve"> </w:t>
      </w:r>
      <w:r>
        <w:t>14.</w:t>
      </w:r>
    </w:p>
    <w:p w:rsidR="002C1123" w:rsidRDefault="00F22F94">
      <w:pPr>
        <w:pStyle w:val="Heading6"/>
        <w:numPr>
          <w:ilvl w:val="2"/>
          <w:numId w:val="118"/>
        </w:numPr>
        <w:tabs>
          <w:tab w:val="left" w:pos="703"/>
        </w:tabs>
        <w:spacing w:line="249" w:lineRule="auto"/>
        <w:ind w:left="702" w:right="1281"/>
      </w:pPr>
      <w:r>
        <w:rPr>
          <w:b w:val="0"/>
        </w:rPr>
        <w:br w:type="column"/>
      </w:r>
      <w:r>
        <w:rPr>
          <w:color w:val="EC008C"/>
          <w:spacing w:val="-4"/>
        </w:rPr>
        <w:t>Supporting</w:t>
      </w:r>
      <w:r>
        <w:rPr>
          <w:color w:val="EC008C"/>
          <w:spacing w:val="-6"/>
        </w:rPr>
        <w:t xml:space="preserve"> </w:t>
      </w:r>
      <w:r>
        <w:rPr>
          <w:color w:val="EC008C"/>
          <w:spacing w:val="-4"/>
        </w:rPr>
        <w:t>the</w:t>
      </w:r>
      <w:r>
        <w:rPr>
          <w:color w:val="EC008C"/>
          <w:spacing w:val="-6"/>
        </w:rPr>
        <w:t xml:space="preserve"> </w:t>
      </w:r>
      <w:r>
        <w:rPr>
          <w:color w:val="EC008C"/>
          <w:spacing w:val="-4"/>
        </w:rPr>
        <w:t>Growth</w:t>
      </w:r>
      <w:r>
        <w:rPr>
          <w:color w:val="EC008C"/>
          <w:spacing w:val="-6"/>
        </w:rPr>
        <w:t xml:space="preserve"> </w:t>
      </w:r>
      <w:r>
        <w:rPr>
          <w:color w:val="EC008C"/>
          <w:spacing w:val="-4"/>
        </w:rPr>
        <w:t>of</w:t>
      </w:r>
      <w:r>
        <w:rPr>
          <w:color w:val="EC008C"/>
          <w:spacing w:val="-6"/>
        </w:rPr>
        <w:t xml:space="preserve"> </w:t>
      </w:r>
      <w:r>
        <w:rPr>
          <w:color w:val="EC008C"/>
          <w:spacing w:val="-4"/>
        </w:rPr>
        <w:t>Global</w:t>
      </w:r>
      <w:r>
        <w:rPr>
          <w:color w:val="EC008C"/>
          <w:spacing w:val="-6"/>
        </w:rPr>
        <w:t xml:space="preserve"> </w:t>
      </w:r>
      <w:r>
        <w:rPr>
          <w:color w:val="EC008C"/>
          <w:spacing w:val="-4"/>
        </w:rPr>
        <w:t xml:space="preserve">Sydney </w:t>
      </w:r>
      <w:r>
        <w:rPr>
          <w:color w:val="EC008C"/>
        </w:rPr>
        <w:t>and its International Gateways</w:t>
      </w:r>
    </w:p>
    <w:p w:rsidR="002C1123" w:rsidRDefault="00F22F94">
      <w:pPr>
        <w:pStyle w:val="BodyText"/>
        <w:spacing w:before="87" w:line="249" w:lineRule="auto"/>
        <w:ind w:left="216" w:right="795"/>
      </w:pPr>
      <w:r>
        <w:t>The</w:t>
      </w:r>
      <w:r>
        <w:rPr>
          <w:spacing w:val="-14"/>
        </w:rPr>
        <w:t xml:space="preserve"> </w:t>
      </w:r>
      <w:r>
        <w:t>other</w:t>
      </w:r>
      <w:r>
        <w:rPr>
          <w:spacing w:val="-13"/>
        </w:rPr>
        <w:t xml:space="preserve"> </w:t>
      </w:r>
      <w:r>
        <w:t>strategic</w:t>
      </w:r>
      <w:r>
        <w:rPr>
          <w:spacing w:val="-14"/>
        </w:rPr>
        <w:t xml:space="preserve"> </w:t>
      </w:r>
      <w:r>
        <w:t>priority</w:t>
      </w:r>
      <w:r>
        <w:rPr>
          <w:spacing w:val="-13"/>
        </w:rPr>
        <w:t xml:space="preserve"> </w:t>
      </w:r>
      <w:r>
        <w:t>for</w:t>
      </w:r>
      <w:r>
        <w:rPr>
          <w:spacing w:val="-14"/>
        </w:rPr>
        <w:t xml:space="preserve"> </w:t>
      </w:r>
      <w:r>
        <w:t>Global</w:t>
      </w:r>
      <w:r>
        <w:rPr>
          <w:spacing w:val="-13"/>
        </w:rPr>
        <w:t xml:space="preserve"> </w:t>
      </w:r>
      <w:r>
        <w:t>Sydney</w:t>
      </w:r>
      <w:r>
        <w:rPr>
          <w:spacing w:val="-14"/>
        </w:rPr>
        <w:t xml:space="preserve"> </w:t>
      </w:r>
      <w:r>
        <w:t xml:space="preserve">is </w:t>
      </w:r>
      <w:r>
        <w:rPr>
          <w:w w:val="95"/>
        </w:rPr>
        <w:t>supporting</w:t>
      </w:r>
      <w:r>
        <w:rPr>
          <w:spacing w:val="-2"/>
          <w:w w:val="95"/>
        </w:rPr>
        <w:t xml:space="preserve"> </w:t>
      </w:r>
      <w:r>
        <w:rPr>
          <w:w w:val="95"/>
        </w:rPr>
        <w:t>the</w:t>
      </w:r>
      <w:r>
        <w:rPr>
          <w:spacing w:val="-2"/>
          <w:w w:val="95"/>
        </w:rPr>
        <w:t xml:space="preserve"> </w:t>
      </w:r>
      <w:r>
        <w:rPr>
          <w:w w:val="95"/>
        </w:rPr>
        <w:t>growth</w:t>
      </w:r>
      <w:r>
        <w:rPr>
          <w:spacing w:val="-2"/>
          <w:w w:val="95"/>
        </w:rPr>
        <w:t xml:space="preserve"> </w:t>
      </w:r>
      <w:r>
        <w:rPr>
          <w:w w:val="95"/>
        </w:rPr>
        <w:t>of</w:t>
      </w:r>
      <w:r>
        <w:rPr>
          <w:spacing w:val="-2"/>
          <w:w w:val="95"/>
        </w:rPr>
        <w:t xml:space="preserve"> </w:t>
      </w:r>
      <w:r>
        <w:rPr>
          <w:w w:val="95"/>
        </w:rPr>
        <w:t>its</w:t>
      </w:r>
      <w:r>
        <w:rPr>
          <w:spacing w:val="-2"/>
          <w:w w:val="95"/>
        </w:rPr>
        <w:t xml:space="preserve"> </w:t>
      </w:r>
      <w:r>
        <w:rPr>
          <w:w w:val="95"/>
        </w:rPr>
        <w:t>international</w:t>
      </w:r>
      <w:r>
        <w:rPr>
          <w:spacing w:val="-2"/>
          <w:w w:val="95"/>
        </w:rPr>
        <w:t xml:space="preserve"> </w:t>
      </w:r>
      <w:r>
        <w:rPr>
          <w:w w:val="95"/>
        </w:rPr>
        <w:t xml:space="preserve">gateways. </w:t>
      </w:r>
      <w:r>
        <w:t>Infrastructure</w:t>
      </w:r>
      <w:r>
        <w:rPr>
          <w:spacing w:val="-7"/>
        </w:rPr>
        <w:t xml:space="preserve"> </w:t>
      </w:r>
      <w:r>
        <w:t>projects</w:t>
      </w:r>
      <w:r>
        <w:rPr>
          <w:spacing w:val="-7"/>
        </w:rPr>
        <w:t xml:space="preserve"> </w:t>
      </w:r>
      <w:r>
        <w:t>around</w:t>
      </w:r>
      <w:r>
        <w:rPr>
          <w:spacing w:val="-7"/>
        </w:rPr>
        <w:t xml:space="preserve"> </w:t>
      </w:r>
      <w:r>
        <w:t>this</w:t>
      </w:r>
      <w:r>
        <w:rPr>
          <w:spacing w:val="-7"/>
        </w:rPr>
        <w:t xml:space="preserve"> </w:t>
      </w:r>
      <w:r>
        <w:t>precinct</w:t>
      </w:r>
      <w:r>
        <w:rPr>
          <w:spacing w:val="-7"/>
        </w:rPr>
        <w:t xml:space="preserve"> </w:t>
      </w:r>
      <w:r>
        <w:t>are discussed in Sections 6 and 9.</w:t>
      </w:r>
    </w:p>
    <w:p w:rsidR="002C1123" w:rsidRDefault="00F22F94">
      <w:pPr>
        <w:pStyle w:val="BodyText"/>
        <w:spacing w:before="145" w:line="249" w:lineRule="auto"/>
        <w:ind w:left="216" w:right="795"/>
      </w:pPr>
      <w:r>
        <w:t>Sydney</w:t>
      </w:r>
      <w:r>
        <w:rPr>
          <w:spacing w:val="-12"/>
        </w:rPr>
        <w:t xml:space="preserve"> </w:t>
      </w:r>
      <w:r>
        <w:t>benefits</w:t>
      </w:r>
      <w:r>
        <w:rPr>
          <w:spacing w:val="-12"/>
        </w:rPr>
        <w:t xml:space="preserve"> </w:t>
      </w:r>
      <w:r>
        <w:t>from</w:t>
      </w:r>
      <w:r>
        <w:rPr>
          <w:spacing w:val="-12"/>
        </w:rPr>
        <w:t xml:space="preserve"> </w:t>
      </w:r>
      <w:r>
        <w:t>their</w:t>
      </w:r>
      <w:r>
        <w:rPr>
          <w:spacing w:val="-12"/>
        </w:rPr>
        <w:t xml:space="preserve"> </w:t>
      </w:r>
      <w:r>
        <w:t>location.</w:t>
      </w:r>
      <w:r>
        <w:rPr>
          <w:spacing w:val="-12"/>
        </w:rPr>
        <w:t xml:space="preserve"> </w:t>
      </w:r>
      <w:r>
        <w:t>As</w:t>
      </w:r>
      <w:r>
        <w:rPr>
          <w:spacing w:val="-12"/>
        </w:rPr>
        <w:t xml:space="preserve"> </w:t>
      </w:r>
      <w:r>
        <w:t>98</w:t>
      </w:r>
      <w:r>
        <w:rPr>
          <w:spacing w:val="-12"/>
        </w:rPr>
        <w:t xml:space="preserve"> </w:t>
      </w:r>
      <w:r>
        <w:t>percent</w:t>
      </w:r>
      <w:r>
        <w:rPr>
          <w:spacing w:val="-12"/>
        </w:rPr>
        <w:t xml:space="preserve"> </w:t>
      </w:r>
      <w:r>
        <w:t xml:space="preserve">of </w:t>
      </w:r>
      <w:r>
        <w:rPr>
          <w:w w:val="95"/>
        </w:rPr>
        <w:t>containers never leave the metropolitan area</w:t>
      </w:r>
      <w:r>
        <w:rPr>
          <w:w w:val="95"/>
          <w:position w:val="7"/>
          <w:sz w:val="11"/>
        </w:rPr>
        <w:t>27</w:t>
      </w:r>
      <w:r>
        <w:rPr>
          <w:w w:val="95"/>
        </w:rPr>
        <w:t>, exports will</w:t>
      </w:r>
      <w:r>
        <w:rPr>
          <w:spacing w:val="-1"/>
          <w:w w:val="95"/>
        </w:rPr>
        <w:t xml:space="preserve"> </w:t>
      </w:r>
      <w:r>
        <w:rPr>
          <w:w w:val="95"/>
        </w:rPr>
        <w:t>generally</w:t>
      </w:r>
      <w:r>
        <w:rPr>
          <w:spacing w:val="-1"/>
          <w:w w:val="95"/>
        </w:rPr>
        <w:t xml:space="preserve"> </w:t>
      </w:r>
      <w:r>
        <w:rPr>
          <w:w w:val="95"/>
        </w:rPr>
        <w:t>be</w:t>
      </w:r>
      <w:r>
        <w:rPr>
          <w:spacing w:val="-1"/>
          <w:w w:val="95"/>
        </w:rPr>
        <w:t xml:space="preserve"> </w:t>
      </w:r>
      <w:r>
        <w:rPr>
          <w:w w:val="95"/>
        </w:rPr>
        <w:t>more</w:t>
      </w:r>
      <w:r>
        <w:rPr>
          <w:spacing w:val="-1"/>
          <w:w w:val="95"/>
        </w:rPr>
        <w:t xml:space="preserve"> </w:t>
      </w:r>
      <w:r>
        <w:rPr>
          <w:w w:val="95"/>
        </w:rPr>
        <w:t>competitive</w:t>
      </w:r>
      <w:r>
        <w:rPr>
          <w:spacing w:val="-1"/>
          <w:w w:val="95"/>
        </w:rPr>
        <w:t xml:space="preserve"> </w:t>
      </w:r>
      <w:r>
        <w:rPr>
          <w:w w:val="95"/>
        </w:rPr>
        <w:t>and</w:t>
      </w:r>
      <w:r>
        <w:rPr>
          <w:spacing w:val="-1"/>
          <w:w w:val="95"/>
        </w:rPr>
        <w:t xml:space="preserve"> </w:t>
      </w:r>
      <w:r>
        <w:rPr>
          <w:w w:val="95"/>
        </w:rPr>
        <w:t>imports</w:t>
      </w:r>
      <w:r>
        <w:rPr>
          <w:spacing w:val="-1"/>
          <w:w w:val="95"/>
        </w:rPr>
        <w:t xml:space="preserve"> </w:t>
      </w:r>
      <w:r>
        <w:rPr>
          <w:w w:val="95"/>
        </w:rPr>
        <w:t xml:space="preserve">cheaper through Port Botany than alternative locations. Equally, </w:t>
      </w:r>
      <w:r>
        <w:t>the</w:t>
      </w:r>
      <w:r>
        <w:rPr>
          <w:spacing w:val="-12"/>
        </w:rPr>
        <w:t xml:space="preserve"> </w:t>
      </w:r>
      <w:r>
        <w:t>airport</w:t>
      </w:r>
      <w:r>
        <w:rPr>
          <w:spacing w:val="-12"/>
        </w:rPr>
        <w:t xml:space="preserve"> </w:t>
      </w:r>
      <w:r>
        <w:t>is</w:t>
      </w:r>
      <w:r>
        <w:rPr>
          <w:spacing w:val="-12"/>
        </w:rPr>
        <w:t xml:space="preserve"> </w:t>
      </w:r>
      <w:r>
        <w:t>well</w:t>
      </w:r>
      <w:r>
        <w:rPr>
          <w:spacing w:val="-12"/>
        </w:rPr>
        <w:t xml:space="preserve"> </w:t>
      </w:r>
      <w:r>
        <w:t>located</w:t>
      </w:r>
      <w:r>
        <w:rPr>
          <w:spacing w:val="-12"/>
        </w:rPr>
        <w:t xml:space="preserve"> </w:t>
      </w:r>
      <w:r>
        <w:t>as</w:t>
      </w:r>
      <w:r>
        <w:rPr>
          <w:spacing w:val="-12"/>
        </w:rPr>
        <w:t xml:space="preserve"> </w:t>
      </w:r>
      <w:r>
        <w:t>a</w:t>
      </w:r>
      <w:r>
        <w:rPr>
          <w:spacing w:val="-12"/>
        </w:rPr>
        <w:t xml:space="preserve"> </w:t>
      </w:r>
      <w:r>
        <w:t>large</w:t>
      </w:r>
      <w:r>
        <w:rPr>
          <w:spacing w:val="-12"/>
        </w:rPr>
        <w:t xml:space="preserve"> </w:t>
      </w:r>
      <w:r>
        <w:t>proportion</w:t>
      </w:r>
      <w:r>
        <w:rPr>
          <w:spacing w:val="-12"/>
        </w:rPr>
        <w:t xml:space="preserve"> </w:t>
      </w:r>
      <w:r>
        <w:t>of</w:t>
      </w:r>
      <w:r>
        <w:rPr>
          <w:spacing w:val="-12"/>
        </w:rPr>
        <w:t xml:space="preserve"> </w:t>
      </w:r>
      <w:r>
        <w:t xml:space="preserve">air </w:t>
      </w:r>
      <w:r>
        <w:rPr>
          <w:spacing w:val="-2"/>
        </w:rPr>
        <w:t>travellers</w:t>
      </w:r>
      <w:r>
        <w:rPr>
          <w:spacing w:val="-7"/>
        </w:rPr>
        <w:t xml:space="preserve"> </w:t>
      </w:r>
      <w:r>
        <w:rPr>
          <w:spacing w:val="-2"/>
        </w:rPr>
        <w:t>come</w:t>
      </w:r>
      <w:r>
        <w:rPr>
          <w:spacing w:val="-7"/>
        </w:rPr>
        <w:t xml:space="preserve"> </w:t>
      </w:r>
      <w:r>
        <w:rPr>
          <w:spacing w:val="-2"/>
        </w:rPr>
        <w:t>from</w:t>
      </w:r>
      <w:r>
        <w:rPr>
          <w:spacing w:val="-8"/>
        </w:rPr>
        <w:t xml:space="preserve"> </w:t>
      </w:r>
      <w:r>
        <w:rPr>
          <w:spacing w:val="-2"/>
        </w:rPr>
        <w:t>or</w:t>
      </w:r>
      <w:r>
        <w:rPr>
          <w:spacing w:val="-7"/>
        </w:rPr>
        <w:t xml:space="preserve"> </w:t>
      </w:r>
      <w:r>
        <w:rPr>
          <w:spacing w:val="-2"/>
        </w:rPr>
        <w:t>are</w:t>
      </w:r>
      <w:r>
        <w:rPr>
          <w:spacing w:val="-7"/>
        </w:rPr>
        <w:t xml:space="preserve"> </w:t>
      </w:r>
      <w:r>
        <w:rPr>
          <w:spacing w:val="-2"/>
        </w:rPr>
        <w:t>travelling</w:t>
      </w:r>
      <w:r>
        <w:rPr>
          <w:spacing w:val="-7"/>
        </w:rPr>
        <w:t xml:space="preserve"> </w:t>
      </w:r>
      <w:r>
        <w:rPr>
          <w:spacing w:val="-2"/>
        </w:rPr>
        <w:t>to</w:t>
      </w:r>
      <w:r>
        <w:rPr>
          <w:spacing w:val="-7"/>
        </w:rPr>
        <w:t xml:space="preserve"> </w:t>
      </w:r>
      <w:r>
        <w:rPr>
          <w:spacing w:val="-2"/>
        </w:rPr>
        <w:t>central</w:t>
      </w:r>
      <w:r>
        <w:rPr>
          <w:spacing w:val="-7"/>
        </w:rPr>
        <w:t xml:space="preserve"> </w:t>
      </w:r>
      <w:r>
        <w:rPr>
          <w:spacing w:val="-2"/>
        </w:rPr>
        <w:t>areas.</w:t>
      </w:r>
    </w:p>
    <w:p w:rsidR="002C1123" w:rsidRDefault="00F22F94">
      <w:pPr>
        <w:pStyle w:val="BodyText"/>
        <w:spacing w:before="146" w:line="249" w:lineRule="auto"/>
        <w:ind w:left="216" w:right="795"/>
      </w:pPr>
      <w:r>
        <w:rPr>
          <w:w w:val="95"/>
        </w:rPr>
        <w:t>Both</w:t>
      </w:r>
      <w:r>
        <w:rPr>
          <w:spacing w:val="-1"/>
          <w:w w:val="95"/>
        </w:rPr>
        <w:t xml:space="preserve"> </w:t>
      </w:r>
      <w:r>
        <w:rPr>
          <w:w w:val="95"/>
        </w:rPr>
        <w:t>Sydney</w:t>
      </w:r>
      <w:r>
        <w:rPr>
          <w:spacing w:val="-1"/>
          <w:w w:val="95"/>
        </w:rPr>
        <w:t xml:space="preserve"> </w:t>
      </w:r>
      <w:r>
        <w:rPr>
          <w:w w:val="95"/>
        </w:rPr>
        <w:t>Airport</w:t>
      </w:r>
      <w:r>
        <w:rPr>
          <w:spacing w:val="-1"/>
          <w:w w:val="95"/>
        </w:rPr>
        <w:t xml:space="preserve"> </w:t>
      </w:r>
      <w:r>
        <w:rPr>
          <w:w w:val="95"/>
        </w:rPr>
        <w:t>and</w:t>
      </w:r>
      <w:r>
        <w:rPr>
          <w:spacing w:val="-1"/>
          <w:w w:val="95"/>
        </w:rPr>
        <w:t xml:space="preserve"> </w:t>
      </w:r>
      <w:r>
        <w:rPr>
          <w:w w:val="95"/>
        </w:rPr>
        <w:t>Port</w:t>
      </w:r>
      <w:r>
        <w:rPr>
          <w:spacing w:val="-1"/>
          <w:w w:val="95"/>
        </w:rPr>
        <w:t xml:space="preserve"> </w:t>
      </w:r>
      <w:r>
        <w:rPr>
          <w:w w:val="95"/>
        </w:rPr>
        <w:t>Botany</w:t>
      </w:r>
      <w:r>
        <w:rPr>
          <w:spacing w:val="-1"/>
          <w:w w:val="95"/>
        </w:rPr>
        <w:t xml:space="preserve"> </w:t>
      </w:r>
      <w:r>
        <w:rPr>
          <w:w w:val="95"/>
        </w:rPr>
        <w:t>have</w:t>
      </w:r>
      <w:r>
        <w:rPr>
          <w:spacing w:val="-1"/>
          <w:w w:val="95"/>
        </w:rPr>
        <w:t xml:space="preserve"> </w:t>
      </w:r>
      <w:r>
        <w:rPr>
          <w:w w:val="95"/>
        </w:rPr>
        <w:t>the</w:t>
      </w:r>
      <w:r>
        <w:rPr>
          <w:spacing w:val="-1"/>
          <w:w w:val="95"/>
        </w:rPr>
        <w:t xml:space="preserve"> </w:t>
      </w:r>
      <w:r>
        <w:rPr>
          <w:w w:val="95"/>
        </w:rPr>
        <w:t xml:space="preserve">capacity </w:t>
      </w:r>
      <w:r>
        <w:t>to</w:t>
      </w:r>
      <w:r>
        <w:rPr>
          <w:spacing w:val="-5"/>
        </w:rPr>
        <w:t xml:space="preserve"> </w:t>
      </w:r>
      <w:r>
        <w:t>accommodate</w:t>
      </w:r>
      <w:r>
        <w:rPr>
          <w:spacing w:val="-5"/>
        </w:rPr>
        <w:t xml:space="preserve"> </w:t>
      </w:r>
      <w:r>
        <w:t>most</w:t>
      </w:r>
      <w:r>
        <w:rPr>
          <w:spacing w:val="-5"/>
        </w:rPr>
        <w:t xml:space="preserve"> </w:t>
      </w:r>
      <w:r>
        <w:t>of</w:t>
      </w:r>
      <w:r>
        <w:rPr>
          <w:spacing w:val="-5"/>
        </w:rPr>
        <w:t xml:space="preserve"> </w:t>
      </w:r>
      <w:r>
        <w:t>the</w:t>
      </w:r>
      <w:r>
        <w:rPr>
          <w:spacing w:val="-5"/>
        </w:rPr>
        <w:t xml:space="preserve"> </w:t>
      </w:r>
      <w:r>
        <w:t>rapid</w:t>
      </w:r>
      <w:r>
        <w:rPr>
          <w:spacing w:val="-5"/>
        </w:rPr>
        <w:t xml:space="preserve"> </w:t>
      </w:r>
      <w:r>
        <w:t>growth</w:t>
      </w:r>
      <w:r>
        <w:rPr>
          <w:spacing w:val="-5"/>
        </w:rPr>
        <w:t xml:space="preserve"> </w:t>
      </w:r>
      <w:r>
        <w:t>in</w:t>
      </w:r>
      <w:r>
        <w:rPr>
          <w:spacing w:val="-5"/>
        </w:rPr>
        <w:t xml:space="preserve"> </w:t>
      </w:r>
      <w:r>
        <w:t>demand they</w:t>
      </w:r>
      <w:r>
        <w:rPr>
          <w:spacing w:val="-6"/>
        </w:rPr>
        <w:t xml:space="preserve"> </w:t>
      </w:r>
      <w:r>
        <w:t>face</w:t>
      </w:r>
      <w:r>
        <w:rPr>
          <w:spacing w:val="-6"/>
        </w:rPr>
        <w:t xml:space="preserve"> </w:t>
      </w:r>
      <w:r>
        <w:t>over</w:t>
      </w:r>
      <w:r>
        <w:rPr>
          <w:spacing w:val="-6"/>
        </w:rPr>
        <w:t xml:space="preserve"> </w:t>
      </w:r>
      <w:r>
        <w:t>the</w:t>
      </w:r>
      <w:r>
        <w:rPr>
          <w:spacing w:val="-6"/>
        </w:rPr>
        <w:t xml:space="preserve"> </w:t>
      </w:r>
      <w:r>
        <w:t>next</w:t>
      </w:r>
      <w:r>
        <w:rPr>
          <w:spacing w:val="-6"/>
        </w:rPr>
        <w:t xml:space="preserve"> </w:t>
      </w:r>
      <w:r>
        <w:t>20</w:t>
      </w:r>
      <w:r>
        <w:rPr>
          <w:spacing w:val="-6"/>
        </w:rPr>
        <w:t xml:space="preserve"> </w:t>
      </w:r>
      <w:r>
        <w:t>years.</w:t>
      </w:r>
    </w:p>
    <w:p w:rsidR="002C1123" w:rsidRDefault="00F22F94">
      <w:pPr>
        <w:pStyle w:val="BodyText"/>
        <w:spacing w:before="144" w:line="249" w:lineRule="auto"/>
        <w:ind w:left="216" w:right="795"/>
      </w:pPr>
      <w:r>
        <w:rPr>
          <w:w w:val="95"/>
        </w:rPr>
        <w:t xml:space="preserve">Sydney Airport conveyed 40 percent more passengers </w:t>
      </w:r>
      <w:r>
        <w:t>in</w:t>
      </w:r>
      <w:r>
        <w:rPr>
          <w:spacing w:val="-12"/>
        </w:rPr>
        <w:t xml:space="preserve"> </w:t>
      </w:r>
      <w:r>
        <w:t>2012</w:t>
      </w:r>
      <w:r>
        <w:rPr>
          <w:spacing w:val="-12"/>
        </w:rPr>
        <w:t xml:space="preserve"> </w:t>
      </w:r>
      <w:r>
        <w:t>than</w:t>
      </w:r>
      <w:r>
        <w:rPr>
          <w:spacing w:val="-12"/>
        </w:rPr>
        <w:t xml:space="preserve"> </w:t>
      </w:r>
      <w:r>
        <w:t>in</w:t>
      </w:r>
      <w:r>
        <w:rPr>
          <w:spacing w:val="-12"/>
        </w:rPr>
        <w:t xml:space="preserve"> </w:t>
      </w:r>
      <w:r>
        <w:t>2000</w:t>
      </w:r>
      <w:r>
        <w:rPr>
          <w:spacing w:val="-12"/>
        </w:rPr>
        <w:t xml:space="preserve"> </w:t>
      </w:r>
      <w:r>
        <w:t>with</w:t>
      </w:r>
      <w:r>
        <w:rPr>
          <w:spacing w:val="-12"/>
        </w:rPr>
        <w:t xml:space="preserve"> </w:t>
      </w:r>
      <w:r>
        <w:t>no</w:t>
      </w:r>
      <w:r>
        <w:rPr>
          <w:spacing w:val="-12"/>
        </w:rPr>
        <w:t xml:space="preserve"> </w:t>
      </w:r>
      <w:r>
        <w:t>net</w:t>
      </w:r>
      <w:r>
        <w:rPr>
          <w:spacing w:val="-12"/>
        </w:rPr>
        <w:t xml:space="preserve"> </w:t>
      </w:r>
      <w:r>
        <w:t>increase</w:t>
      </w:r>
      <w:r>
        <w:rPr>
          <w:spacing w:val="-12"/>
        </w:rPr>
        <w:t xml:space="preserve"> </w:t>
      </w:r>
      <w:r>
        <w:t>in</w:t>
      </w:r>
      <w:r>
        <w:rPr>
          <w:spacing w:val="-12"/>
        </w:rPr>
        <w:t xml:space="preserve"> </w:t>
      </w:r>
      <w:r>
        <w:t>flight movements</w:t>
      </w:r>
      <w:r>
        <w:rPr>
          <w:spacing w:val="-13"/>
        </w:rPr>
        <w:t xml:space="preserve"> </w:t>
      </w:r>
      <w:r>
        <w:t>as</w:t>
      </w:r>
      <w:r>
        <w:rPr>
          <w:spacing w:val="-13"/>
        </w:rPr>
        <w:t xml:space="preserve"> </w:t>
      </w:r>
      <w:r>
        <w:t>plane</w:t>
      </w:r>
      <w:r>
        <w:rPr>
          <w:spacing w:val="-13"/>
        </w:rPr>
        <w:t xml:space="preserve"> </w:t>
      </w:r>
      <w:r>
        <w:t>sizes</w:t>
      </w:r>
      <w:r>
        <w:rPr>
          <w:spacing w:val="-13"/>
        </w:rPr>
        <w:t xml:space="preserve"> </w:t>
      </w:r>
      <w:r>
        <w:t>have</w:t>
      </w:r>
      <w:r>
        <w:rPr>
          <w:spacing w:val="-13"/>
        </w:rPr>
        <w:t xml:space="preserve"> </w:t>
      </w:r>
      <w:r>
        <w:t>increased</w:t>
      </w:r>
      <w:r>
        <w:rPr>
          <w:position w:val="7"/>
          <w:sz w:val="11"/>
        </w:rPr>
        <w:t>28</w:t>
      </w:r>
      <w:r>
        <w:t>.</w:t>
      </w:r>
    </w:p>
    <w:p w:rsidR="002C1123" w:rsidRDefault="00F22F94">
      <w:pPr>
        <w:pStyle w:val="BodyText"/>
        <w:spacing w:before="145" w:line="249" w:lineRule="auto"/>
        <w:ind w:left="216" w:right="719"/>
        <w:jc w:val="both"/>
      </w:pPr>
      <w:r>
        <w:rPr>
          <w:w w:val="90"/>
        </w:rPr>
        <w:t>Following completion of the Third Terminal in 2013, Sydney Ports estimates that Port Botany can handle a quadrupling of</w:t>
      </w:r>
      <w:r>
        <w:rPr>
          <w:spacing w:val="-8"/>
          <w:w w:val="90"/>
        </w:rPr>
        <w:t xml:space="preserve"> </w:t>
      </w:r>
      <w:r>
        <w:rPr>
          <w:w w:val="90"/>
        </w:rPr>
        <w:t>throughput</w:t>
      </w:r>
      <w:r>
        <w:rPr>
          <w:spacing w:val="-8"/>
          <w:w w:val="90"/>
        </w:rPr>
        <w:t xml:space="preserve"> </w:t>
      </w:r>
      <w:r>
        <w:rPr>
          <w:w w:val="90"/>
        </w:rPr>
        <w:t>to</w:t>
      </w:r>
      <w:r>
        <w:rPr>
          <w:spacing w:val="-8"/>
          <w:w w:val="90"/>
        </w:rPr>
        <w:t xml:space="preserve"> </w:t>
      </w:r>
      <w:r>
        <w:rPr>
          <w:w w:val="90"/>
        </w:rPr>
        <w:t>at</w:t>
      </w:r>
      <w:r>
        <w:rPr>
          <w:spacing w:val="-8"/>
          <w:w w:val="90"/>
        </w:rPr>
        <w:t xml:space="preserve"> </w:t>
      </w:r>
      <w:r>
        <w:rPr>
          <w:w w:val="90"/>
        </w:rPr>
        <w:t>least</w:t>
      </w:r>
      <w:r>
        <w:rPr>
          <w:spacing w:val="-8"/>
          <w:w w:val="90"/>
        </w:rPr>
        <w:t xml:space="preserve"> </w:t>
      </w:r>
      <w:r>
        <w:rPr>
          <w:w w:val="90"/>
        </w:rPr>
        <w:t>seven</w:t>
      </w:r>
      <w:r>
        <w:rPr>
          <w:spacing w:val="-8"/>
          <w:w w:val="90"/>
        </w:rPr>
        <w:t xml:space="preserve"> </w:t>
      </w:r>
      <w:r>
        <w:rPr>
          <w:w w:val="90"/>
        </w:rPr>
        <w:t>million</w:t>
      </w:r>
      <w:r>
        <w:rPr>
          <w:spacing w:val="-8"/>
          <w:w w:val="90"/>
        </w:rPr>
        <w:t xml:space="preserve"> </w:t>
      </w:r>
      <w:r>
        <w:rPr>
          <w:w w:val="90"/>
        </w:rPr>
        <w:t>containers</w:t>
      </w:r>
      <w:r>
        <w:rPr>
          <w:spacing w:val="-8"/>
          <w:w w:val="90"/>
        </w:rPr>
        <w:t xml:space="preserve"> </w:t>
      </w:r>
      <w:r>
        <w:rPr>
          <w:w w:val="90"/>
        </w:rPr>
        <w:t>per</w:t>
      </w:r>
      <w:r>
        <w:rPr>
          <w:spacing w:val="-8"/>
          <w:w w:val="90"/>
        </w:rPr>
        <w:t xml:space="preserve"> </w:t>
      </w:r>
      <w:r>
        <w:rPr>
          <w:w w:val="90"/>
        </w:rPr>
        <w:t>annum.</w:t>
      </w:r>
    </w:p>
    <w:p w:rsidR="002C1123" w:rsidRDefault="00F22F94">
      <w:pPr>
        <w:pStyle w:val="BodyText"/>
        <w:spacing w:before="144" w:line="249" w:lineRule="auto"/>
        <w:ind w:left="216" w:right="795"/>
      </w:pPr>
      <w:r>
        <w:rPr>
          <w:w w:val="95"/>
        </w:rPr>
        <w:t>The</w:t>
      </w:r>
      <w:r>
        <w:rPr>
          <w:spacing w:val="-6"/>
          <w:w w:val="95"/>
        </w:rPr>
        <w:t xml:space="preserve"> </w:t>
      </w:r>
      <w:r>
        <w:rPr>
          <w:w w:val="95"/>
        </w:rPr>
        <w:t>most</w:t>
      </w:r>
      <w:r>
        <w:rPr>
          <w:spacing w:val="-6"/>
          <w:w w:val="95"/>
        </w:rPr>
        <w:t xml:space="preserve"> </w:t>
      </w:r>
      <w:r>
        <w:rPr>
          <w:w w:val="95"/>
        </w:rPr>
        <w:t>pressing</w:t>
      </w:r>
      <w:r>
        <w:rPr>
          <w:spacing w:val="-6"/>
          <w:w w:val="95"/>
        </w:rPr>
        <w:t xml:space="preserve"> </w:t>
      </w:r>
      <w:r>
        <w:rPr>
          <w:w w:val="95"/>
        </w:rPr>
        <w:t>infrastructure</w:t>
      </w:r>
      <w:r>
        <w:rPr>
          <w:spacing w:val="-6"/>
          <w:w w:val="95"/>
        </w:rPr>
        <w:t xml:space="preserve"> </w:t>
      </w:r>
      <w:r>
        <w:rPr>
          <w:w w:val="95"/>
        </w:rPr>
        <w:t>challenge</w:t>
      </w:r>
      <w:r>
        <w:rPr>
          <w:spacing w:val="-6"/>
          <w:w w:val="95"/>
        </w:rPr>
        <w:t xml:space="preserve"> </w:t>
      </w:r>
      <w:r>
        <w:rPr>
          <w:w w:val="95"/>
        </w:rPr>
        <w:t>for</w:t>
      </w:r>
      <w:r>
        <w:rPr>
          <w:spacing w:val="-6"/>
          <w:w w:val="95"/>
        </w:rPr>
        <w:t xml:space="preserve"> </w:t>
      </w:r>
      <w:r>
        <w:rPr>
          <w:w w:val="95"/>
        </w:rPr>
        <w:t xml:space="preserve">Sydney’s gateways is to ensure efficient landside transportation, </w:t>
      </w:r>
      <w:r>
        <w:t>rather</w:t>
      </w:r>
      <w:r>
        <w:rPr>
          <w:spacing w:val="-1"/>
        </w:rPr>
        <w:t xml:space="preserve"> </w:t>
      </w:r>
      <w:r>
        <w:t>than</w:t>
      </w:r>
      <w:r>
        <w:rPr>
          <w:spacing w:val="-1"/>
        </w:rPr>
        <w:t xml:space="preserve"> </w:t>
      </w:r>
      <w:r>
        <w:t>developing</w:t>
      </w:r>
      <w:r>
        <w:rPr>
          <w:spacing w:val="-1"/>
        </w:rPr>
        <w:t xml:space="preserve"> </w:t>
      </w:r>
      <w:r>
        <w:t>new</w:t>
      </w:r>
      <w:r>
        <w:rPr>
          <w:spacing w:val="-1"/>
        </w:rPr>
        <w:t xml:space="preserve"> </w:t>
      </w:r>
      <w:r>
        <w:t>capacity.</w:t>
      </w:r>
    </w:p>
    <w:p w:rsidR="002C1123" w:rsidRDefault="00F22F94">
      <w:pPr>
        <w:pStyle w:val="BodyText"/>
        <w:spacing w:before="144" w:line="249" w:lineRule="auto"/>
        <w:ind w:left="216" w:right="646"/>
      </w:pPr>
      <w:r>
        <w:rPr>
          <w:w w:val="95"/>
        </w:rPr>
        <w:t xml:space="preserve">Over the longer-term, supplementary airport and </w:t>
      </w:r>
      <w:r>
        <w:t>container</w:t>
      </w:r>
      <w:r>
        <w:rPr>
          <w:spacing w:val="-1"/>
        </w:rPr>
        <w:t xml:space="preserve"> </w:t>
      </w:r>
      <w:r>
        <w:t>port</w:t>
      </w:r>
      <w:r>
        <w:rPr>
          <w:spacing w:val="-1"/>
        </w:rPr>
        <w:t xml:space="preserve"> </w:t>
      </w:r>
      <w:r>
        <w:t>capacity</w:t>
      </w:r>
      <w:r>
        <w:rPr>
          <w:spacing w:val="-1"/>
        </w:rPr>
        <w:t xml:space="preserve"> </w:t>
      </w:r>
      <w:r>
        <w:t>will</w:t>
      </w:r>
      <w:r>
        <w:rPr>
          <w:spacing w:val="-1"/>
        </w:rPr>
        <w:t xml:space="preserve"> </w:t>
      </w:r>
      <w:r>
        <w:t>also</w:t>
      </w:r>
      <w:r>
        <w:rPr>
          <w:spacing w:val="-1"/>
        </w:rPr>
        <w:t xml:space="preserve"> </w:t>
      </w:r>
      <w:r>
        <w:t>be</w:t>
      </w:r>
      <w:r>
        <w:rPr>
          <w:spacing w:val="-1"/>
        </w:rPr>
        <w:t xml:space="preserve"> </w:t>
      </w:r>
      <w:r>
        <w:t>needed.</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262" w:space="40"/>
            <w:col w:w="4988" w:space="39"/>
            <w:col w:w="5731"/>
          </w:cols>
        </w:sectPr>
      </w:pPr>
    </w:p>
    <w:p w:rsidR="002C1123" w:rsidRDefault="002C1123">
      <w:pPr>
        <w:pStyle w:val="BodyText"/>
      </w:pPr>
    </w:p>
    <w:p w:rsidR="002C1123" w:rsidRDefault="002C1123">
      <w:pPr>
        <w:pStyle w:val="BodyText"/>
      </w:pPr>
    </w:p>
    <w:p w:rsidR="002C1123" w:rsidRDefault="002C1123">
      <w:pPr>
        <w:pStyle w:val="BodyText"/>
        <w:spacing w:before="3"/>
        <w:rPr>
          <w:sz w:val="26"/>
        </w:rPr>
      </w:pPr>
    </w:p>
    <w:p w:rsidR="002C1123" w:rsidRDefault="002060EF">
      <w:pPr>
        <w:pStyle w:val="BodyText"/>
        <w:spacing w:line="20" w:lineRule="exact"/>
        <w:ind w:left="10545"/>
        <w:rPr>
          <w:sz w:val="2"/>
        </w:rPr>
      </w:pPr>
      <w:r>
        <w:rPr>
          <w:sz w:val="2"/>
        </w:rPr>
      </w:r>
      <w:r>
        <w:rPr>
          <w:sz w:val="2"/>
        </w:rPr>
        <w:pict>
          <v:group id="docshapegroup684" o:spid="_x0000_s4637" style="width:1in;height:.5pt;mso-position-horizontal-relative:char;mso-position-vertical-relative:line" coordsize="1440,10">
            <v:line id="_x0000_s4638" style="position:absolute" from="0,5" to="1440,5" strokecolor="#9c9c9d" strokeweight=".5pt"/>
            <w10:anchorlock/>
          </v:group>
        </w:pict>
      </w:r>
    </w:p>
    <w:p w:rsidR="002C1123" w:rsidRDefault="002C1123">
      <w:pPr>
        <w:spacing w:line="20" w:lineRule="exact"/>
        <w:rPr>
          <w:sz w:val="2"/>
        </w:rPr>
        <w:sectPr w:rsidR="002C1123">
          <w:type w:val="continuous"/>
          <w:pgSz w:w="16840" w:h="11910" w:orient="landscape"/>
          <w:pgMar w:top="560" w:right="280" w:bottom="280" w:left="500" w:header="0" w:footer="517" w:gutter="0"/>
          <w:cols w:space="720"/>
        </w:sectPr>
      </w:pPr>
    </w:p>
    <w:p w:rsidR="002C1123" w:rsidRDefault="002C1123">
      <w:pPr>
        <w:pStyle w:val="BodyText"/>
        <w:spacing w:before="2"/>
        <w:rPr>
          <w:sz w:val="12"/>
        </w:rPr>
      </w:pPr>
    </w:p>
    <w:p w:rsidR="002C1123" w:rsidRDefault="002060EF">
      <w:pPr>
        <w:pStyle w:val="BodyText"/>
        <w:spacing w:line="20" w:lineRule="exact"/>
        <w:ind w:left="492"/>
        <w:rPr>
          <w:sz w:val="2"/>
        </w:rPr>
      </w:pPr>
      <w:r>
        <w:rPr>
          <w:sz w:val="2"/>
        </w:rPr>
      </w:r>
      <w:r>
        <w:rPr>
          <w:sz w:val="2"/>
        </w:rPr>
        <w:pict>
          <v:group id="docshapegroup685" o:spid="_x0000_s4635" style="width:1in;height:.5pt;mso-position-horizontal-relative:char;mso-position-vertical-relative:line" coordsize="1440,10">
            <v:line id="_x0000_s4636" style="position:absolute" from="0,5" to="1440,5" strokecolor="#9c9c9d" strokeweight=".5pt"/>
            <w10:anchorlock/>
          </v:group>
        </w:pict>
      </w:r>
    </w:p>
    <w:p w:rsidR="002C1123" w:rsidRDefault="00F22F94">
      <w:pPr>
        <w:pStyle w:val="ListParagraph"/>
        <w:numPr>
          <w:ilvl w:val="0"/>
          <w:numId w:val="119"/>
        </w:numPr>
        <w:tabs>
          <w:tab w:val="left" w:pos="691"/>
        </w:tabs>
        <w:spacing w:before="8"/>
        <w:ind w:left="690"/>
        <w:jc w:val="left"/>
        <w:rPr>
          <w:sz w:val="14"/>
        </w:rPr>
      </w:pPr>
      <w:r>
        <w:rPr>
          <w:w w:val="95"/>
          <w:sz w:val="14"/>
        </w:rPr>
        <w:t>NSW</w:t>
      </w:r>
      <w:r>
        <w:rPr>
          <w:spacing w:val="-2"/>
          <w:w w:val="95"/>
          <w:sz w:val="14"/>
        </w:rPr>
        <w:t xml:space="preserve"> </w:t>
      </w:r>
      <w:r>
        <w:rPr>
          <w:w w:val="95"/>
          <w:sz w:val="14"/>
        </w:rPr>
        <w:t>Treasury</w:t>
      </w:r>
      <w:r>
        <w:rPr>
          <w:spacing w:val="-2"/>
          <w:w w:val="95"/>
          <w:sz w:val="14"/>
        </w:rPr>
        <w:t xml:space="preserve"> </w:t>
      </w:r>
      <w:r>
        <w:rPr>
          <w:w w:val="95"/>
          <w:sz w:val="14"/>
        </w:rPr>
        <w:t>2012,</w:t>
      </w:r>
      <w:r>
        <w:rPr>
          <w:spacing w:val="-2"/>
          <w:w w:val="95"/>
          <w:sz w:val="14"/>
        </w:rPr>
        <w:t xml:space="preserve"> </w:t>
      </w:r>
      <w:r>
        <w:rPr>
          <w:w w:val="95"/>
          <w:sz w:val="14"/>
        </w:rPr>
        <w:t>Submission</w:t>
      </w:r>
      <w:r>
        <w:rPr>
          <w:spacing w:val="-2"/>
          <w:w w:val="95"/>
          <w:sz w:val="14"/>
        </w:rPr>
        <w:t xml:space="preserve"> </w:t>
      </w:r>
      <w:r>
        <w:rPr>
          <w:w w:val="95"/>
          <w:sz w:val="14"/>
        </w:rPr>
        <w:t>to</w:t>
      </w:r>
      <w:r>
        <w:rPr>
          <w:spacing w:val="-2"/>
          <w:w w:val="95"/>
          <w:sz w:val="14"/>
        </w:rPr>
        <w:t xml:space="preserve"> </w:t>
      </w:r>
      <w:r>
        <w:rPr>
          <w:w w:val="95"/>
          <w:sz w:val="14"/>
        </w:rPr>
        <w:t>the</w:t>
      </w:r>
      <w:r>
        <w:rPr>
          <w:spacing w:val="-2"/>
          <w:w w:val="95"/>
          <w:sz w:val="14"/>
        </w:rPr>
        <w:t xml:space="preserve"> </w:t>
      </w:r>
      <w:r>
        <w:rPr>
          <w:w w:val="95"/>
          <w:sz w:val="14"/>
        </w:rPr>
        <w:t>NSW</w:t>
      </w:r>
      <w:r>
        <w:rPr>
          <w:spacing w:val="-2"/>
          <w:w w:val="95"/>
          <w:sz w:val="14"/>
        </w:rPr>
        <w:t xml:space="preserve"> </w:t>
      </w:r>
      <w:r>
        <w:rPr>
          <w:w w:val="95"/>
          <w:sz w:val="14"/>
        </w:rPr>
        <w:t>Planning</w:t>
      </w:r>
      <w:r>
        <w:rPr>
          <w:spacing w:val="-2"/>
          <w:w w:val="95"/>
          <w:sz w:val="14"/>
        </w:rPr>
        <w:t xml:space="preserve"> </w:t>
      </w:r>
      <w:r>
        <w:rPr>
          <w:w w:val="95"/>
          <w:sz w:val="14"/>
        </w:rPr>
        <w:t>System</w:t>
      </w:r>
      <w:r>
        <w:rPr>
          <w:spacing w:val="-2"/>
          <w:w w:val="95"/>
          <w:sz w:val="14"/>
        </w:rPr>
        <w:t xml:space="preserve"> Review.</w:t>
      </w:r>
    </w:p>
    <w:p w:rsidR="002C1123" w:rsidRDefault="00F22F94">
      <w:pPr>
        <w:pStyle w:val="ListParagraph"/>
        <w:numPr>
          <w:ilvl w:val="0"/>
          <w:numId w:val="119"/>
        </w:numPr>
        <w:tabs>
          <w:tab w:val="left" w:pos="691"/>
        </w:tabs>
        <w:spacing w:before="8" w:line="161" w:lineRule="exact"/>
        <w:ind w:left="690"/>
        <w:jc w:val="left"/>
        <w:rPr>
          <w:sz w:val="14"/>
        </w:rPr>
      </w:pPr>
      <w:r>
        <w:br w:type="column"/>
      </w:r>
      <w:r>
        <w:rPr>
          <w:w w:val="95"/>
          <w:sz w:val="14"/>
        </w:rPr>
        <w:t>Sydney</w:t>
      </w:r>
      <w:r>
        <w:rPr>
          <w:sz w:val="14"/>
        </w:rPr>
        <w:t xml:space="preserve"> </w:t>
      </w:r>
      <w:r>
        <w:rPr>
          <w:w w:val="95"/>
          <w:sz w:val="14"/>
        </w:rPr>
        <w:t>Ports</w:t>
      </w:r>
      <w:r>
        <w:rPr>
          <w:sz w:val="14"/>
        </w:rPr>
        <w:t xml:space="preserve"> </w:t>
      </w:r>
      <w:r>
        <w:rPr>
          <w:w w:val="95"/>
          <w:sz w:val="14"/>
        </w:rPr>
        <w:t>Corporation</w:t>
      </w:r>
      <w:r>
        <w:rPr>
          <w:spacing w:val="1"/>
          <w:sz w:val="14"/>
        </w:rPr>
        <w:t xml:space="preserve"> </w:t>
      </w:r>
      <w:r>
        <w:rPr>
          <w:w w:val="95"/>
          <w:sz w:val="14"/>
        </w:rPr>
        <w:t>2011,</w:t>
      </w:r>
      <w:r>
        <w:rPr>
          <w:sz w:val="14"/>
        </w:rPr>
        <w:t xml:space="preserve"> </w:t>
      </w:r>
      <w:r>
        <w:rPr>
          <w:w w:val="95"/>
          <w:sz w:val="14"/>
        </w:rPr>
        <w:t>Logistics</w:t>
      </w:r>
      <w:r>
        <w:rPr>
          <w:spacing w:val="1"/>
          <w:sz w:val="14"/>
        </w:rPr>
        <w:t xml:space="preserve"> </w:t>
      </w:r>
      <w:r>
        <w:rPr>
          <w:w w:val="95"/>
          <w:sz w:val="14"/>
        </w:rPr>
        <w:t>Review</w:t>
      </w:r>
      <w:r>
        <w:rPr>
          <w:sz w:val="14"/>
        </w:rPr>
        <w:t xml:space="preserve"> </w:t>
      </w:r>
      <w:r>
        <w:rPr>
          <w:spacing w:val="-2"/>
          <w:w w:val="95"/>
          <w:sz w:val="14"/>
        </w:rPr>
        <w:t>2010/11.</w:t>
      </w:r>
    </w:p>
    <w:p w:rsidR="002C1123" w:rsidRDefault="00F22F94">
      <w:pPr>
        <w:pStyle w:val="ListParagraph"/>
        <w:numPr>
          <w:ilvl w:val="0"/>
          <w:numId w:val="119"/>
        </w:numPr>
        <w:tabs>
          <w:tab w:val="left" w:pos="691"/>
        </w:tabs>
        <w:spacing w:line="161" w:lineRule="exact"/>
        <w:ind w:left="690"/>
        <w:jc w:val="left"/>
        <w:rPr>
          <w:sz w:val="14"/>
        </w:rPr>
      </w:pPr>
      <w:r>
        <w:rPr>
          <w:w w:val="95"/>
          <w:sz w:val="14"/>
        </w:rPr>
        <w:t>Sydney</w:t>
      </w:r>
      <w:r>
        <w:rPr>
          <w:spacing w:val="2"/>
          <w:sz w:val="14"/>
        </w:rPr>
        <w:t xml:space="preserve"> </w:t>
      </w:r>
      <w:r>
        <w:rPr>
          <w:w w:val="95"/>
          <w:sz w:val="14"/>
        </w:rPr>
        <w:t>Airport</w:t>
      </w:r>
      <w:r>
        <w:rPr>
          <w:spacing w:val="3"/>
          <w:sz w:val="14"/>
        </w:rPr>
        <w:t xml:space="preserve"> </w:t>
      </w:r>
      <w:r>
        <w:rPr>
          <w:w w:val="95"/>
          <w:sz w:val="14"/>
        </w:rPr>
        <w:t>Corporation</w:t>
      </w:r>
      <w:r>
        <w:rPr>
          <w:spacing w:val="3"/>
          <w:sz w:val="14"/>
        </w:rPr>
        <w:t xml:space="preserve"> </w:t>
      </w:r>
      <w:r>
        <w:rPr>
          <w:w w:val="95"/>
          <w:sz w:val="14"/>
        </w:rPr>
        <w:t>2012,</w:t>
      </w:r>
      <w:r>
        <w:rPr>
          <w:spacing w:val="3"/>
          <w:sz w:val="14"/>
        </w:rPr>
        <w:t xml:space="preserve"> </w:t>
      </w:r>
      <w:r>
        <w:rPr>
          <w:w w:val="95"/>
          <w:sz w:val="14"/>
        </w:rPr>
        <w:t>Investor</w:t>
      </w:r>
      <w:r>
        <w:rPr>
          <w:spacing w:val="2"/>
          <w:sz w:val="14"/>
        </w:rPr>
        <w:t xml:space="preserve"> </w:t>
      </w:r>
      <w:r>
        <w:rPr>
          <w:spacing w:val="-2"/>
          <w:w w:val="95"/>
          <w:sz w:val="14"/>
        </w:rPr>
        <w:t>Update.</w:t>
      </w:r>
    </w:p>
    <w:p w:rsidR="002C1123" w:rsidRDefault="002C1123">
      <w:pPr>
        <w:spacing w:line="161" w:lineRule="exact"/>
        <w:rPr>
          <w:sz w:val="14"/>
        </w:rPr>
        <w:sectPr w:rsidR="002C1123">
          <w:type w:val="continuous"/>
          <w:pgSz w:w="16840" w:h="11910" w:orient="landscape"/>
          <w:pgMar w:top="560" w:right="280" w:bottom="280" w:left="500" w:header="0" w:footer="517" w:gutter="0"/>
          <w:cols w:num="2" w:space="720" w:equalWidth="0">
            <w:col w:w="4985" w:space="5069"/>
            <w:col w:w="6006"/>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3"/>
        <w:rPr>
          <w:sz w:val="19"/>
        </w:rPr>
      </w:pPr>
    </w:p>
    <w:p w:rsidR="002C1123" w:rsidRDefault="00F22F94">
      <w:pPr>
        <w:pStyle w:val="Heading6"/>
        <w:ind w:left="492"/>
      </w:pPr>
      <w:bookmarkStart w:id="101" w:name="_bookmark72"/>
      <w:bookmarkEnd w:id="101"/>
      <w:r>
        <w:t>Roads</w:t>
      </w:r>
      <w:r>
        <w:rPr>
          <w:spacing w:val="-12"/>
        </w:rPr>
        <w:t xml:space="preserve"> </w:t>
      </w:r>
      <w:r>
        <w:t>and</w:t>
      </w:r>
      <w:r>
        <w:rPr>
          <w:spacing w:val="-12"/>
        </w:rPr>
        <w:t xml:space="preserve"> </w:t>
      </w:r>
      <w:r>
        <w:t>public</w:t>
      </w:r>
      <w:r>
        <w:rPr>
          <w:spacing w:val="-11"/>
        </w:rPr>
        <w:t xml:space="preserve"> </w:t>
      </w:r>
      <w:r>
        <w:rPr>
          <w:spacing w:val="-2"/>
        </w:rPr>
        <w:t>transport</w:t>
      </w:r>
    </w:p>
    <w:p w:rsidR="002C1123" w:rsidRDefault="00F22F94">
      <w:pPr>
        <w:pStyle w:val="BodyText"/>
        <w:spacing w:before="10" w:line="249" w:lineRule="auto"/>
        <w:ind w:left="492" w:right="10891"/>
      </w:pPr>
      <w:r>
        <w:t>The</w:t>
      </w:r>
      <w:r>
        <w:rPr>
          <w:spacing w:val="-14"/>
        </w:rPr>
        <w:t xml:space="preserve"> </w:t>
      </w:r>
      <w:r>
        <w:t>roads</w:t>
      </w:r>
      <w:r>
        <w:rPr>
          <w:spacing w:val="-14"/>
        </w:rPr>
        <w:t xml:space="preserve"> </w:t>
      </w:r>
      <w:r>
        <w:t>serving</w:t>
      </w:r>
      <w:r>
        <w:rPr>
          <w:spacing w:val="-14"/>
        </w:rPr>
        <w:t xml:space="preserve"> </w:t>
      </w:r>
      <w:r>
        <w:t>Global</w:t>
      </w:r>
      <w:r>
        <w:rPr>
          <w:spacing w:val="-14"/>
        </w:rPr>
        <w:t xml:space="preserve"> </w:t>
      </w:r>
      <w:r>
        <w:t>Sydney</w:t>
      </w:r>
      <w:r>
        <w:rPr>
          <w:spacing w:val="-14"/>
        </w:rPr>
        <w:t xml:space="preserve"> </w:t>
      </w:r>
      <w:r>
        <w:t>and</w:t>
      </w:r>
      <w:r>
        <w:rPr>
          <w:spacing w:val="-14"/>
        </w:rPr>
        <w:t xml:space="preserve"> </w:t>
      </w:r>
      <w:r>
        <w:t xml:space="preserve">Sydney’s </w:t>
      </w:r>
      <w:r>
        <w:rPr>
          <w:w w:val="95"/>
        </w:rPr>
        <w:t>international</w:t>
      </w:r>
      <w:r>
        <w:rPr>
          <w:spacing w:val="-4"/>
          <w:w w:val="95"/>
        </w:rPr>
        <w:t xml:space="preserve"> </w:t>
      </w:r>
      <w:r>
        <w:rPr>
          <w:w w:val="95"/>
        </w:rPr>
        <w:t>gateways</w:t>
      </w:r>
      <w:r>
        <w:rPr>
          <w:spacing w:val="-4"/>
          <w:w w:val="95"/>
        </w:rPr>
        <w:t xml:space="preserve"> </w:t>
      </w:r>
      <w:r>
        <w:rPr>
          <w:w w:val="95"/>
        </w:rPr>
        <w:t>are</w:t>
      </w:r>
      <w:r>
        <w:rPr>
          <w:spacing w:val="-4"/>
          <w:w w:val="95"/>
        </w:rPr>
        <w:t xml:space="preserve"> </w:t>
      </w:r>
      <w:r>
        <w:rPr>
          <w:w w:val="95"/>
        </w:rPr>
        <w:t>some</w:t>
      </w:r>
      <w:r>
        <w:rPr>
          <w:spacing w:val="-4"/>
          <w:w w:val="95"/>
        </w:rPr>
        <w:t xml:space="preserve"> </w:t>
      </w:r>
      <w:r>
        <w:rPr>
          <w:w w:val="95"/>
        </w:rPr>
        <w:t>of</w:t>
      </w:r>
      <w:r>
        <w:rPr>
          <w:spacing w:val="-4"/>
          <w:w w:val="95"/>
        </w:rPr>
        <w:t xml:space="preserve"> </w:t>
      </w:r>
      <w:r>
        <w:rPr>
          <w:w w:val="95"/>
        </w:rPr>
        <w:t>the</w:t>
      </w:r>
      <w:r>
        <w:rPr>
          <w:spacing w:val="-4"/>
          <w:w w:val="95"/>
        </w:rPr>
        <w:t xml:space="preserve"> </w:t>
      </w:r>
      <w:r>
        <w:rPr>
          <w:w w:val="95"/>
        </w:rPr>
        <w:t>most</w:t>
      </w:r>
      <w:r>
        <w:rPr>
          <w:spacing w:val="-4"/>
          <w:w w:val="95"/>
        </w:rPr>
        <w:t xml:space="preserve"> </w:t>
      </w:r>
      <w:r>
        <w:rPr>
          <w:w w:val="95"/>
        </w:rPr>
        <w:t xml:space="preserve">congested in Australia. The M5 East and General Holmes Drive </w:t>
      </w:r>
      <w:r>
        <w:t>are</w:t>
      </w:r>
      <w:r>
        <w:rPr>
          <w:spacing w:val="-8"/>
        </w:rPr>
        <w:t xml:space="preserve"> </w:t>
      </w:r>
      <w:r>
        <w:t>congested</w:t>
      </w:r>
      <w:r>
        <w:rPr>
          <w:spacing w:val="-8"/>
        </w:rPr>
        <w:t xml:space="preserve"> </w:t>
      </w:r>
      <w:r>
        <w:t>for</w:t>
      </w:r>
      <w:r>
        <w:rPr>
          <w:spacing w:val="-8"/>
        </w:rPr>
        <w:t xml:space="preserve"> </w:t>
      </w:r>
      <w:r>
        <w:t>more</w:t>
      </w:r>
      <w:r>
        <w:rPr>
          <w:spacing w:val="-8"/>
        </w:rPr>
        <w:t xml:space="preserve"> </w:t>
      </w:r>
      <w:r>
        <w:t>than</w:t>
      </w:r>
      <w:r>
        <w:rPr>
          <w:spacing w:val="-8"/>
        </w:rPr>
        <w:t xml:space="preserve"> </w:t>
      </w:r>
      <w:r>
        <w:t>13</w:t>
      </w:r>
      <w:r>
        <w:rPr>
          <w:spacing w:val="-8"/>
        </w:rPr>
        <w:t xml:space="preserve"> </w:t>
      </w:r>
      <w:r>
        <w:t>hours</w:t>
      </w:r>
      <w:r>
        <w:rPr>
          <w:spacing w:val="-8"/>
        </w:rPr>
        <w:t xml:space="preserve"> </w:t>
      </w:r>
      <w:r>
        <w:t>each</w:t>
      </w:r>
      <w:r>
        <w:rPr>
          <w:spacing w:val="-8"/>
        </w:rPr>
        <w:t xml:space="preserve"> </w:t>
      </w:r>
      <w:r>
        <w:t>day</w:t>
      </w:r>
      <w:r>
        <w:rPr>
          <w:position w:val="7"/>
          <w:sz w:val="11"/>
        </w:rPr>
        <w:t>29</w:t>
      </w:r>
      <w:r>
        <w:t>.</w:t>
      </w:r>
    </w:p>
    <w:p w:rsidR="002C1123" w:rsidRDefault="00F22F94">
      <w:pPr>
        <w:pStyle w:val="BodyText"/>
        <w:spacing w:before="3" w:line="249" w:lineRule="auto"/>
        <w:ind w:left="492" w:right="10835"/>
      </w:pPr>
      <w:r>
        <w:rPr>
          <w:w w:val="95"/>
        </w:rPr>
        <w:t>The</w:t>
      </w:r>
      <w:r>
        <w:rPr>
          <w:spacing w:val="-3"/>
          <w:w w:val="95"/>
        </w:rPr>
        <w:t xml:space="preserve"> </w:t>
      </w:r>
      <w:r>
        <w:rPr>
          <w:w w:val="95"/>
        </w:rPr>
        <w:t>roads</w:t>
      </w:r>
      <w:r>
        <w:rPr>
          <w:spacing w:val="-3"/>
          <w:w w:val="95"/>
        </w:rPr>
        <w:t xml:space="preserve"> </w:t>
      </w:r>
      <w:r>
        <w:rPr>
          <w:w w:val="95"/>
        </w:rPr>
        <w:t>around</w:t>
      </w:r>
      <w:r>
        <w:rPr>
          <w:spacing w:val="-3"/>
          <w:w w:val="95"/>
        </w:rPr>
        <w:t xml:space="preserve"> </w:t>
      </w:r>
      <w:r>
        <w:rPr>
          <w:w w:val="95"/>
        </w:rPr>
        <w:t>Sydney</w:t>
      </w:r>
      <w:r>
        <w:rPr>
          <w:spacing w:val="-3"/>
          <w:w w:val="95"/>
        </w:rPr>
        <w:t xml:space="preserve"> </w:t>
      </w:r>
      <w:r>
        <w:rPr>
          <w:w w:val="95"/>
        </w:rPr>
        <w:t>Airport</w:t>
      </w:r>
      <w:r>
        <w:rPr>
          <w:spacing w:val="-3"/>
          <w:w w:val="95"/>
        </w:rPr>
        <w:t xml:space="preserve"> </w:t>
      </w:r>
      <w:r>
        <w:rPr>
          <w:w w:val="95"/>
        </w:rPr>
        <w:t>are</w:t>
      </w:r>
      <w:r>
        <w:rPr>
          <w:spacing w:val="-3"/>
          <w:w w:val="95"/>
        </w:rPr>
        <w:t xml:space="preserve"> </w:t>
      </w:r>
      <w:r>
        <w:rPr>
          <w:w w:val="95"/>
        </w:rPr>
        <w:t>also</w:t>
      </w:r>
      <w:r>
        <w:rPr>
          <w:spacing w:val="-3"/>
          <w:w w:val="95"/>
        </w:rPr>
        <w:t xml:space="preserve"> </w:t>
      </w:r>
      <w:r>
        <w:rPr>
          <w:w w:val="95"/>
        </w:rPr>
        <w:t>congested. Only 15 per cent of travel to and from</w:t>
      </w:r>
      <w:r>
        <w:rPr>
          <w:spacing w:val="-1"/>
          <w:w w:val="95"/>
        </w:rPr>
        <w:t xml:space="preserve"> </w:t>
      </w:r>
      <w:r>
        <w:rPr>
          <w:w w:val="95"/>
        </w:rPr>
        <w:t xml:space="preserve">the airport is by </w:t>
      </w:r>
      <w:r>
        <w:t>public</w:t>
      </w:r>
      <w:r>
        <w:rPr>
          <w:spacing w:val="-11"/>
        </w:rPr>
        <w:t xml:space="preserve"> </w:t>
      </w:r>
      <w:r>
        <w:t>transport</w:t>
      </w:r>
      <w:r>
        <w:rPr>
          <w:position w:val="7"/>
          <w:sz w:val="11"/>
        </w:rPr>
        <w:t>30</w:t>
      </w:r>
      <w:r>
        <w:t>.</w:t>
      </w:r>
    </w:p>
    <w:p w:rsidR="002C1123" w:rsidRDefault="00F22F94">
      <w:pPr>
        <w:pStyle w:val="BodyText"/>
        <w:spacing w:before="144" w:line="249" w:lineRule="auto"/>
        <w:ind w:left="492" w:right="10835"/>
      </w:pPr>
      <w:r>
        <w:t>In</w:t>
      </w:r>
      <w:r>
        <w:rPr>
          <w:spacing w:val="-9"/>
        </w:rPr>
        <w:t xml:space="preserve"> </w:t>
      </w:r>
      <w:r>
        <w:t>the</w:t>
      </w:r>
      <w:r>
        <w:rPr>
          <w:spacing w:val="-9"/>
        </w:rPr>
        <w:t xml:space="preserve"> </w:t>
      </w:r>
      <w:r>
        <w:t>short</w:t>
      </w:r>
      <w:r>
        <w:rPr>
          <w:spacing w:val="-9"/>
        </w:rPr>
        <w:t xml:space="preserve"> </w:t>
      </w:r>
      <w:r>
        <w:t>term,</w:t>
      </w:r>
      <w:r>
        <w:rPr>
          <w:spacing w:val="-9"/>
        </w:rPr>
        <w:t xml:space="preserve"> </w:t>
      </w:r>
      <w:r>
        <w:t>much</w:t>
      </w:r>
      <w:r>
        <w:rPr>
          <w:spacing w:val="-9"/>
        </w:rPr>
        <w:t xml:space="preserve"> </w:t>
      </w:r>
      <w:r>
        <w:t>can</w:t>
      </w:r>
      <w:r>
        <w:rPr>
          <w:spacing w:val="-9"/>
        </w:rPr>
        <w:t xml:space="preserve"> </w:t>
      </w:r>
      <w:r>
        <w:t>be</w:t>
      </w:r>
      <w:r>
        <w:rPr>
          <w:spacing w:val="-9"/>
        </w:rPr>
        <w:t xml:space="preserve"> </w:t>
      </w:r>
      <w:r>
        <w:t>done</w:t>
      </w:r>
      <w:r>
        <w:rPr>
          <w:spacing w:val="-9"/>
        </w:rPr>
        <w:t xml:space="preserve"> </w:t>
      </w:r>
      <w:r>
        <w:t>to</w:t>
      </w:r>
      <w:r>
        <w:rPr>
          <w:spacing w:val="-9"/>
        </w:rPr>
        <w:t xml:space="preserve"> </w:t>
      </w:r>
      <w:r>
        <w:t xml:space="preserve">relieve </w:t>
      </w:r>
      <w:r>
        <w:rPr>
          <w:w w:val="95"/>
        </w:rPr>
        <w:t>congestion through targeted pinch point investment. Greater</w:t>
      </w:r>
      <w:r>
        <w:rPr>
          <w:spacing w:val="-3"/>
          <w:w w:val="95"/>
        </w:rPr>
        <w:t xml:space="preserve"> </w:t>
      </w:r>
      <w:r>
        <w:rPr>
          <w:w w:val="95"/>
        </w:rPr>
        <w:t>use</w:t>
      </w:r>
      <w:r>
        <w:rPr>
          <w:spacing w:val="-3"/>
          <w:w w:val="95"/>
        </w:rPr>
        <w:t xml:space="preserve"> </w:t>
      </w:r>
      <w:r>
        <w:rPr>
          <w:w w:val="95"/>
        </w:rPr>
        <w:t>of</w:t>
      </w:r>
      <w:r>
        <w:rPr>
          <w:spacing w:val="-3"/>
          <w:w w:val="95"/>
        </w:rPr>
        <w:t xml:space="preserve"> </w:t>
      </w:r>
      <w:r>
        <w:rPr>
          <w:w w:val="95"/>
        </w:rPr>
        <w:t>public</w:t>
      </w:r>
      <w:r>
        <w:rPr>
          <w:spacing w:val="-3"/>
          <w:w w:val="95"/>
        </w:rPr>
        <w:t xml:space="preserve"> </w:t>
      </w:r>
      <w:r>
        <w:rPr>
          <w:w w:val="95"/>
        </w:rPr>
        <w:t>transport</w:t>
      </w:r>
      <w:r>
        <w:rPr>
          <w:spacing w:val="-3"/>
          <w:w w:val="95"/>
        </w:rPr>
        <w:t xml:space="preserve"> </w:t>
      </w:r>
      <w:r>
        <w:rPr>
          <w:w w:val="95"/>
        </w:rPr>
        <w:t>to</w:t>
      </w:r>
      <w:r>
        <w:rPr>
          <w:spacing w:val="-3"/>
          <w:w w:val="95"/>
        </w:rPr>
        <w:t xml:space="preserve"> </w:t>
      </w:r>
      <w:r>
        <w:rPr>
          <w:w w:val="95"/>
        </w:rPr>
        <w:t>Sydney</w:t>
      </w:r>
      <w:r>
        <w:rPr>
          <w:spacing w:val="-3"/>
          <w:w w:val="95"/>
        </w:rPr>
        <w:t xml:space="preserve"> </w:t>
      </w:r>
      <w:r>
        <w:rPr>
          <w:w w:val="95"/>
        </w:rPr>
        <w:t>Airport</w:t>
      </w:r>
      <w:r>
        <w:rPr>
          <w:spacing w:val="-3"/>
          <w:w w:val="95"/>
        </w:rPr>
        <w:t xml:space="preserve"> </w:t>
      </w:r>
      <w:r>
        <w:rPr>
          <w:w w:val="95"/>
        </w:rPr>
        <w:t xml:space="preserve">also </w:t>
      </w:r>
      <w:r>
        <w:t>needs</w:t>
      </w:r>
      <w:r>
        <w:rPr>
          <w:spacing w:val="-10"/>
        </w:rPr>
        <w:t xml:space="preserve"> </w:t>
      </w:r>
      <w:r>
        <w:t>to</w:t>
      </w:r>
      <w:r>
        <w:rPr>
          <w:spacing w:val="-10"/>
        </w:rPr>
        <w:t xml:space="preserve"> </w:t>
      </w:r>
      <w:r>
        <w:t>be</w:t>
      </w:r>
      <w:r>
        <w:rPr>
          <w:spacing w:val="-10"/>
        </w:rPr>
        <w:t xml:space="preserve"> </w:t>
      </w:r>
      <w:r>
        <w:t>targeted.</w:t>
      </w:r>
      <w:r>
        <w:rPr>
          <w:spacing w:val="-10"/>
        </w:rPr>
        <w:t xml:space="preserve"> </w:t>
      </w:r>
      <w:r>
        <w:t>Over</w:t>
      </w:r>
      <w:r>
        <w:rPr>
          <w:spacing w:val="-10"/>
        </w:rPr>
        <w:t xml:space="preserve"> </w:t>
      </w:r>
      <w:r>
        <w:t>the</w:t>
      </w:r>
      <w:r>
        <w:rPr>
          <w:spacing w:val="-10"/>
        </w:rPr>
        <w:t xml:space="preserve"> </w:t>
      </w:r>
      <w:r>
        <w:t>medium</w:t>
      </w:r>
      <w:r>
        <w:rPr>
          <w:spacing w:val="-10"/>
        </w:rPr>
        <w:t xml:space="preserve"> </w:t>
      </w:r>
      <w:r>
        <w:t>term</w:t>
      </w:r>
      <w:r>
        <w:rPr>
          <w:spacing w:val="-10"/>
        </w:rPr>
        <w:t xml:space="preserve"> </w:t>
      </w:r>
      <w:r>
        <w:t>there</w:t>
      </w:r>
    </w:p>
    <w:p w:rsidR="002C1123" w:rsidRDefault="00F22F94">
      <w:pPr>
        <w:pStyle w:val="BodyText"/>
        <w:spacing w:before="4" w:line="249" w:lineRule="auto"/>
        <w:ind w:left="492" w:right="10835"/>
      </w:pPr>
      <w:r>
        <w:t>is</w:t>
      </w:r>
      <w:r>
        <w:rPr>
          <w:spacing w:val="-14"/>
        </w:rPr>
        <w:t xml:space="preserve"> </w:t>
      </w:r>
      <w:r>
        <w:t>no</w:t>
      </w:r>
      <w:r>
        <w:rPr>
          <w:spacing w:val="-14"/>
        </w:rPr>
        <w:t xml:space="preserve"> </w:t>
      </w:r>
      <w:r>
        <w:t>alternative</w:t>
      </w:r>
      <w:r>
        <w:rPr>
          <w:spacing w:val="-14"/>
        </w:rPr>
        <w:t xml:space="preserve"> </w:t>
      </w:r>
      <w:r>
        <w:t>to</w:t>
      </w:r>
      <w:r>
        <w:rPr>
          <w:spacing w:val="-14"/>
        </w:rPr>
        <w:t xml:space="preserve"> </w:t>
      </w:r>
      <w:r>
        <w:t>major</w:t>
      </w:r>
      <w:r>
        <w:rPr>
          <w:spacing w:val="-14"/>
        </w:rPr>
        <w:t xml:space="preserve"> </w:t>
      </w:r>
      <w:r>
        <w:t>investment</w:t>
      </w:r>
      <w:r>
        <w:rPr>
          <w:spacing w:val="-14"/>
        </w:rPr>
        <w:t xml:space="preserve"> </w:t>
      </w:r>
      <w:r>
        <w:t>to</w:t>
      </w:r>
      <w:r>
        <w:rPr>
          <w:spacing w:val="-14"/>
        </w:rPr>
        <w:t xml:space="preserve"> </w:t>
      </w:r>
      <w:r>
        <w:t>upgrade</w:t>
      </w:r>
      <w:r>
        <w:rPr>
          <w:spacing w:val="-13"/>
        </w:rPr>
        <w:t xml:space="preserve"> </w:t>
      </w:r>
      <w:r>
        <w:t xml:space="preserve">the </w:t>
      </w:r>
      <w:r>
        <w:rPr>
          <w:w w:val="95"/>
        </w:rPr>
        <w:t xml:space="preserve">capacity and connectivity of the motorways that support </w:t>
      </w:r>
      <w:r>
        <w:t>these</w:t>
      </w:r>
      <w:r>
        <w:rPr>
          <w:spacing w:val="-11"/>
        </w:rPr>
        <w:t xml:space="preserve"> </w:t>
      </w:r>
      <w:r>
        <w:t>gateways.</w:t>
      </w:r>
    </w:p>
    <w:p w:rsidR="002C1123" w:rsidRDefault="00F22F94">
      <w:pPr>
        <w:pStyle w:val="Heading6"/>
        <w:spacing w:before="144"/>
        <w:ind w:left="492"/>
      </w:pPr>
      <w:r>
        <w:rPr>
          <w:spacing w:val="-2"/>
        </w:rPr>
        <w:t>Freight</w:t>
      </w:r>
    </w:p>
    <w:p w:rsidR="002C1123" w:rsidRDefault="00F22F94">
      <w:pPr>
        <w:pStyle w:val="BodyText"/>
        <w:spacing w:before="10" w:line="249" w:lineRule="auto"/>
        <w:ind w:left="492" w:right="11295"/>
      </w:pPr>
      <w:r>
        <w:rPr>
          <w:w w:val="95"/>
        </w:rPr>
        <w:t>The</w:t>
      </w:r>
      <w:r>
        <w:rPr>
          <w:spacing w:val="-8"/>
          <w:w w:val="95"/>
        </w:rPr>
        <w:t xml:space="preserve"> </w:t>
      </w:r>
      <w:r>
        <w:rPr>
          <w:w w:val="95"/>
        </w:rPr>
        <w:t>vast</w:t>
      </w:r>
      <w:r>
        <w:rPr>
          <w:spacing w:val="-8"/>
          <w:w w:val="95"/>
        </w:rPr>
        <w:t xml:space="preserve"> </w:t>
      </w:r>
      <w:r>
        <w:rPr>
          <w:w w:val="95"/>
        </w:rPr>
        <w:t>majority</w:t>
      </w:r>
      <w:r>
        <w:rPr>
          <w:spacing w:val="-8"/>
          <w:w w:val="95"/>
        </w:rPr>
        <w:t xml:space="preserve"> </w:t>
      </w:r>
      <w:r>
        <w:rPr>
          <w:w w:val="95"/>
        </w:rPr>
        <w:t>of</w:t>
      </w:r>
      <w:r>
        <w:rPr>
          <w:spacing w:val="-8"/>
          <w:w w:val="95"/>
        </w:rPr>
        <w:t xml:space="preserve"> </w:t>
      </w:r>
      <w:r>
        <w:rPr>
          <w:w w:val="95"/>
        </w:rPr>
        <w:t>the</w:t>
      </w:r>
      <w:r>
        <w:rPr>
          <w:spacing w:val="-8"/>
          <w:w w:val="95"/>
        </w:rPr>
        <w:t xml:space="preserve"> </w:t>
      </w:r>
      <w:r>
        <w:rPr>
          <w:w w:val="95"/>
        </w:rPr>
        <w:t>freight</w:t>
      </w:r>
      <w:r>
        <w:rPr>
          <w:spacing w:val="-8"/>
          <w:w w:val="95"/>
        </w:rPr>
        <w:t xml:space="preserve"> </w:t>
      </w:r>
      <w:r>
        <w:rPr>
          <w:w w:val="95"/>
        </w:rPr>
        <w:t>task</w:t>
      </w:r>
      <w:r>
        <w:rPr>
          <w:spacing w:val="-8"/>
          <w:w w:val="95"/>
        </w:rPr>
        <w:t xml:space="preserve"> </w:t>
      </w:r>
      <w:r>
        <w:rPr>
          <w:w w:val="95"/>
        </w:rPr>
        <w:t>in</w:t>
      </w:r>
      <w:r>
        <w:rPr>
          <w:spacing w:val="-8"/>
          <w:w w:val="95"/>
        </w:rPr>
        <w:t xml:space="preserve"> </w:t>
      </w:r>
      <w:r>
        <w:rPr>
          <w:w w:val="95"/>
        </w:rPr>
        <w:t>and</w:t>
      </w:r>
      <w:r>
        <w:rPr>
          <w:spacing w:val="-8"/>
          <w:w w:val="95"/>
        </w:rPr>
        <w:t xml:space="preserve"> </w:t>
      </w:r>
      <w:r>
        <w:rPr>
          <w:w w:val="95"/>
        </w:rPr>
        <w:t>out</w:t>
      </w:r>
      <w:r>
        <w:rPr>
          <w:spacing w:val="-8"/>
          <w:w w:val="95"/>
        </w:rPr>
        <w:t xml:space="preserve"> </w:t>
      </w:r>
      <w:r>
        <w:rPr>
          <w:w w:val="95"/>
        </w:rPr>
        <w:t xml:space="preserve">of </w:t>
      </w:r>
      <w:r>
        <w:t>Port</w:t>
      </w:r>
      <w:r>
        <w:rPr>
          <w:spacing w:val="-13"/>
        </w:rPr>
        <w:t xml:space="preserve"> </w:t>
      </w:r>
      <w:r>
        <w:t>Botany</w:t>
      </w:r>
      <w:r>
        <w:rPr>
          <w:spacing w:val="-13"/>
        </w:rPr>
        <w:t xml:space="preserve"> </w:t>
      </w:r>
      <w:r>
        <w:t>is</w:t>
      </w:r>
      <w:r>
        <w:rPr>
          <w:spacing w:val="-13"/>
        </w:rPr>
        <w:t xml:space="preserve"> </w:t>
      </w:r>
      <w:r>
        <w:t>handled</w:t>
      </w:r>
      <w:r>
        <w:rPr>
          <w:spacing w:val="-13"/>
        </w:rPr>
        <w:t xml:space="preserve"> </w:t>
      </w:r>
      <w:r>
        <w:t>by</w:t>
      </w:r>
      <w:r>
        <w:rPr>
          <w:spacing w:val="-13"/>
        </w:rPr>
        <w:t xml:space="preserve"> </w:t>
      </w:r>
      <w:r>
        <w:t>road</w:t>
      </w:r>
      <w:r>
        <w:rPr>
          <w:spacing w:val="-13"/>
        </w:rPr>
        <w:t xml:space="preserve"> </w:t>
      </w:r>
      <w:r>
        <w:t>transport.</w:t>
      </w:r>
      <w:r>
        <w:rPr>
          <w:spacing w:val="-13"/>
        </w:rPr>
        <w:t xml:space="preserve"> </w:t>
      </w:r>
      <w:r>
        <w:t xml:space="preserve">This </w:t>
      </w:r>
      <w:r>
        <w:rPr>
          <w:w w:val="95"/>
        </w:rPr>
        <w:t>reflects</w:t>
      </w:r>
      <w:r>
        <w:rPr>
          <w:spacing w:val="-3"/>
          <w:w w:val="95"/>
        </w:rPr>
        <w:t xml:space="preserve"> </w:t>
      </w:r>
      <w:r>
        <w:rPr>
          <w:w w:val="95"/>
        </w:rPr>
        <w:t>the</w:t>
      </w:r>
      <w:r>
        <w:rPr>
          <w:spacing w:val="-3"/>
          <w:w w:val="95"/>
        </w:rPr>
        <w:t xml:space="preserve"> </w:t>
      </w:r>
      <w:r>
        <w:rPr>
          <w:w w:val="95"/>
        </w:rPr>
        <w:t>benefits</w:t>
      </w:r>
      <w:r>
        <w:rPr>
          <w:spacing w:val="-3"/>
          <w:w w:val="95"/>
        </w:rPr>
        <w:t xml:space="preserve"> </w:t>
      </w:r>
      <w:r>
        <w:rPr>
          <w:w w:val="95"/>
        </w:rPr>
        <w:t>road</w:t>
      </w:r>
      <w:r>
        <w:rPr>
          <w:spacing w:val="-3"/>
          <w:w w:val="95"/>
        </w:rPr>
        <w:t xml:space="preserve"> </w:t>
      </w:r>
      <w:r>
        <w:rPr>
          <w:w w:val="95"/>
        </w:rPr>
        <w:t>offers</w:t>
      </w:r>
      <w:r>
        <w:rPr>
          <w:spacing w:val="-3"/>
          <w:w w:val="95"/>
        </w:rPr>
        <w:t xml:space="preserve"> </w:t>
      </w:r>
      <w:r>
        <w:rPr>
          <w:w w:val="95"/>
        </w:rPr>
        <w:t>in</w:t>
      </w:r>
      <w:r>
        <w:rPr>
          <w:spacing w:val="-3"/>
          <w:w w:val="95"/>
        </w:rPr>
        <w:t xml:space="preserve"> </w:t>
      </w:r>
      <w:r>
        <w:rPr>
          <w:w w:val="95"/>
        </w:rPr>
        <w:t>terms</w:t>
      </w:r>
      <w:r>
        <w:rPr>
          <w:spacing w:val="-3"/>
          <w:w w:val="95"/>
        </w:rPr>
        <w:t xml:space="preserve"> </w:t>
      </w:r>
      <w:r>
        <w:rPr>
          <w:w w:val="95"/>
        </w:rPr>
        <w:t>of</w:t>
      </w:r>
      <w:r>
        <w:rPr>
          <w:spacing w:val="-3"/>
          <w:w w:val="95"/>
        </w:rPr>
        <w:t xml:space="preserve"> </w:t>
      </w:r>
      <w:r>
        <w:rPr>
          <w:w w:val="95"/>
        </w:rPr>
        <w:t xml:space="preserve">cost, </w:t>
      </w:r>
      <w:r>
        <w:t>reliability and flexibility.</w:t>
      </w:r>
    </w:p>
    <w:p w:rsidR="002C1123" w:rsidRDefault="00F22F94">
      <w:pPr>
        <w:pStyle w:val="BodyText"/>
        <w:spacing w:before="145" w:line="249" w:lineRule="auto"/>
        <w:ind w:left="492" w:right="10835"/>
      </w:pPr>
      <w:r>
        <w:rPr>
          <w:w w:val="95"/>
        </w:rPr>
        <w:t>The</w:t>
      </w:r>
      <w:r>
        <w:rPr>
          <w:spacing w:val="-4"/>
          <w:w w:val="95"/>
        </w:rPr>
        <w:t xml:space="preserve"> </w:t>
      </w:r>
      <w:r>
        <w:rPr>
          <w:w w:val="95"/>
        </w:rPr>
        <w:t>Government</w:t>
      </w:r>
      <w:r>
        <w:rPr>
          <w:spacing w:val="-4"/>
          <w:w w:val="95"/>
        </w:rPr>
        <w:t xml:space="preserve"> </w:t>
      </w:r>
      <w:r>
        <w:rPr>
          <w:w w:val="95"/>
        </w:rPr>
        <w:t>is</w:t>
      </w:r>
      <w:r>
        <w:rPr>
          <w:spacing w:val="-4"/>
          <w:w w:val="95"/>
        </w:rPr>
        <w:t xml:space="preserve"> </w:t>
      </w:r>
      <w:r>
        <w:rPr>
          <w:w w:val="95"/>
        </w:rPr>
        <w:t>targeting</w:t>
      </w:r>
      <w:r>
        <w:rPr>
          <w:spacing w:val="-4"/>
          <w:w w:val="95"/>
        </w:rPr>
        <w:t xml:space="preserve"> </w:t>
      </w:r>
      <w:r>
        <w:rPr>
          <w:w w:val="95"/>
        </w:rPr>
        <w:t>to</w:t>
      </w:r>
      <w:r>
        <w:rPr>
          <w:spacing w:val="-4"/>
          <w:w w:val="95"/>
        </w:rPr>
        <w:t xml:space="preserve"> </w:t>
      </w:r>
      <w:r>
        <w:rPr>
          <w:w w:val="95"/>
        </w:rPr>
        <w:t>increase</w:t>
      </w:r>
      <w:r>
        <w:rPr>
          <w:spacing w:val="-4"/>
          <w:w w:val="95"/>
        </w:rPr>
        <w:t xml:space="preserve"> </w:t>
      </w:r>
      <w:r>
        <w:rPr>
          <w:w w:val="95"/>
        </w:rPr>
        <w:t>the</w:t>
      </w:r>
      <w:r>
        <w:rPr>
          <w:spacing w:val="-4"/>
          <w:w w:val="95"/>
        </w:rPr>
        <w:t xml:space="preserve"> </w:t>
      </w:r>
      <w:r>
        <w:rPr>
          <w:w w:val="95"/>
        </w:rPr>
        <w:t xml:space="preserve">proportion </w:t>
      </w:r>
      <w:r>
        <w:t>of</w:t>
      </w:r>
      <w:r>
        <w:rPr>
          <w:spacing w:val="-6"/>
        </w:rPr>
        <w:t xml:space="preserve"> </w:t>
      </w:r>
      <w:r>
        <w:t>freight</w:t>
      </w:r>
      <w:r>
        <w:rPr>
          <w:spacing w:val="-6"/>
        </w:rPr>
        <w:t xml:space="preserve"> </w:t>
      </w:r>
      <w:r>
        <w:t>moved</w:t>
      </w:r>
      <w:r>
        <w:rPr>
          <w:spacing w:val="-6"/>
        </w:rPr>
        <w:t xml:space="preserve"> </w:t>
      </w:r>
      <w:r>
        <w:t>by</w:t>
      </w:r>
      <w:r>
        <w:rPr>
          <w:spacing w:val="-6"/>
        </w:rPr>
        <w:t xml:space="preserve"> </w:t>
      </w:r>
      <w:r>
        <w:t>rail</w:t>
      </w:r>
      <w:r>
        <w:rPr>
          <w:spacing w:val="-6"/>
        </w:rPr>
        <w:t xml:space="preserve"> </w:t>
      </w:r>
      <w:r>
        <w:t>from</w:t>
      </w:r>
      <w:r>
        <w:rPr>
          <w:spacing w:val="-7"/>
        </w:rPr>
        <w:t xml:space="preserve"> </w:t>
      </w:r>
      <w:r>
        <w:t>the</w:t>
      </w:r>
      <w:r>
        <w:rPr>
          <w:spacing w:val="-6"/>
        </w:rPr>
        <w:t xml:space="preserve"> </w:t>
      </w:r>
      <w:r>
        <w:t>Port.</w:t>
      </w:r>
    </w:p>
    <w:p w:rsidR="002C1123" w:rsidRDefault="00F22F94">
      <w:pPr>
        <w:pStyle w:val="BodyText"/>
        <w:spacing w:before="143" w:line="249" w:lineRule="auto"/>
        <w:ind w:left="492" w:right="10835"/>
      </w:pPr>
      <w:r>
        <w:t>Shifting</w:t>
      </w:r>
      <w:r>
        <w:rPr>
          <w:spacing w:val="-14"/>
        </w:rPr>
        <w:t xml:space="preserve"> </w:t>
      </w:r>
      <w:r>
        <w:t>freight</w:t>
      </w:r>
      <w:r>
        <w:rPr>
          <w:spacing w:val="-14"/>
        </w:rPr>
        <w:t xml:space="preserve"> </w:t>
      </w:r>
      <w:r>
        <w:t>onto</w:t>
      </w:r>
      <w:r>
        <w:rPr>
          <w:spacing w:val="-14"/>
        </w:rPr>
        <w:t xml:space="preserve"> </w:t>
      </w:r>
      <w:r>
        <w:t>rail</w:t>
      </w:r>
      <w:r>
        <w:rPr>
          <w:spacing w:val="-13"/>
        </w:rPr>
        <w:t xml:space="preserve"> </w:t>
      </w:r>
      <w:r>
        <w:t>has</w:t>
      </w:r>
      <w:r>
        <w:rPr>
          <w:spacing w:val="-14"/>
        </w:rPr>
        <w:t xml:space="preserve"> </w:t>
      </w:r>
      <w:r>
        <w:t>proven</w:t>
      </w:r>
      <w:r>
        <w:rPr>
          <w:spacing w:val="-14"/>
        </w:rPr>
        <w:t xml:space="preserve"> </w:t>
      </w:r>
      <w:r>
        <w:t>difficult.</w:t>
      </w:r>
      <w:r>
        <w:rPr>
          <w:spacing w:val="-14"/>
        </w:rPr>
        <w:t xml:space="preserve"> </w:t>
      </w:r>
      <w:r>
        <w:t>Major investment</w:t>
      </w:r>
      <w:r>
        <w:rPr>
          <w:spacing w:val="-14"/>
        </w:rPr>
        <w:t xml:space="preserve"> </w:t>
      </w:r>
      <w:r>
        <w:t>is</w:t>
      </w:r>
      <w:r>
        <w:rPr>
          <w:spacing w:val="-14"/>
        </w:rPr>
        <w:t xml:space="preserve"> </w:t>
      </w:r>
      <w:r>
        <w:t>underway</w:t>
      </w:r>
      <w:r>
        <w:rPr>
          <w:spacing w:val="-14"/>
        </w:rPr>
        <w:t xml:space="preserve"> </w:t>
      </w:r>
      <w:r>
        <w:t>by</w:t>
      </w:r>
      <w:r>
        <w:rPr>
          <w:spacing w:val="-14"/>
        </w:rPr>
        <w:t xml:space="preserve"> </w:t>
      </w:r>
      <w:r>
        <w:t>the</w:t>
      </w:r>
      <w:r>
        <w:rPr>
          <w:spacing w:val="-14"/>
        </w:rPr>
        <w:t xml:space="preserve"> </w:t>
      </w:r>
      <w:r>
        <w:t>Federal</w:t>
      </w:r>
      <w:r>
        <w:rPr>
          <w:spacing w:val="-14"/>
        </w:rPr>
        <w:t xml:space="preserve"> </w:t>
      </w:r>
      <w:r>
        <w:t xml:space="preserve">Government </w:t>
      </w:r>
      <w:r>
        <w:rPr>
          <w:w w:val="95"/>
        </w:rPr>
        <w:t>and</w:t>
      </w:r>
      <w:r>
        <w:rPr>
          <w:spacing w:val="-4"/>
          <w:w w:val="95"/>
        </w:rPr>
        <w:t xml:space="preserve"> </w:t>
      </w:r>
      <w:r>
        <w:rPr>
          <w:w w:val="95"/>
        </w:rPr>
        <w:t>private</w:t>
      </w:r>
      <w:r>
        <w:rPr>
          <w:spacing w:val="-4"/>
          <w:w w:val="95"/>
        </w:rPr>
        <w:t xml:space="preserve"> </w:t>
      </w:r>
      <w:r>
        <w:rPr>
          <w:w w:val="95"/>
        </w:rPr>
        <w:t>sector</w:t>
      </w:r>
      <w:r>
        <w:rPr>
          <w:spacing w:val="-4"/>
          <w:w w:val="95"/>
        </w:rPr>
        <w:t xml:space="preserve"> </w:t>
      </w:r>
      <w:r>
        <w:rPr>
          <w:w w:val="95"/>
        </w:rPr>
        <w:t>to</w:t>
      </w:r>
      <w:r>
        <w:rPr>
          <w:spacing w:val="-4"/>
          <w:w w:val="95"/>
        </w:rPr>
        <w:t xml:space="preserve"> </w:t>
      </w:r>
      <w:r>
        <w:rPr>
          <w:w w:val="95"/>
        </w:rPr>
        <w:t>expand</w:t>
      </w:r>
      <w:r>
        <w:rPr>
          <w:spacing w:val="-4"/>
          <w:w w:val="95"/>
        </w:rPr>
        <w:t xml:space="preserve"> </w:t>
      </w:r>
      <w:r>
        <w:rPr>
          <w:w w:val="95"/>
        </w:rPr>
        <w:t>the</w:t>
      </w:r>
      <w:r>
        <w:rPr>
          <w:spacing w:val="-4"/>
          <w:w w:val="95"/>
        </w:rPr>
        <w:t xml:space="preserve"> </w:t>
      </w:r>
      <w:r>
        <w:rPr>
          <w:w w:val="95"/>
        </w:rPr>
        <w:t>capacity</w:t>
      </w:r>
      <w:r>
        <w:rPr>
          <w:spacing w:val="-4"/>
          <w:w w:val="95"/>
        </w:rPr>
        <w:t xml:space="preserve"> </w:t>
      </w:r>
      <w:r>
        <w:rPr>
          <w:w w:val="95"/>
        </w:rPr>
        <w:t>of</w:t>
      </w:r>
      <w:r>
        <w:rPr>
          <w:spacing w:val="-4"/>
          <w:w w:val="95"/>
        </w:rPr>
        <w:t xml:space="preserve"> </w:t>
      </w:r>
      <w:r>
        <w:rPr>
          <w:w w:val="95"/>
        </w:rPr>
        <w:t>the</w:t>
      </w:r>
      <w:r>
        <w:rPr>
          <w:spacing w:val="-4"/>
          <w:w w:val="95"/>
        </w:rPr>
        <w:t xml:space="preserve"> </w:t>
      </w:r>
      <w:r>
        <w:rPr>
          <w:w w:val="95"/>
        </w:rPr>
        <w:t xml:space="preserve">State’s </w:t>
      </w:r>
      <w:r>
        <w:t>rail</w:t>
      </w:r>
      <w:r>
        <w:rPr>
          <w:spacing w:val="-14"/>
        </w:rPr>
        <w:t xml:space="preserve"> </w:t>
      </w:r>
      <w:r>
        <w:t>and</w:t>
      </w:r>
      <w:r>
        <w:rPr>
          <w:spacing w:val="-14"/>
        </w:rPr>
        <w:t xml:space="preserve"> </w:t>
      </w:r>
      <w:r>
        <w:t>intermodal</w:t>
      </w:r>
      <w:r>
        <w:rPr>
          <w:spacing w:val="-14"/>
        </w:rPr>
        <w:t xml:space="preserve"> </w:t>
      </w:r>
      <w:r>
        <w:t>infrastructure</w:t>
      </w:r>
      <w:r>
        <w:rPr>
          <w:spacing w:val="-14"/>
        </w:rPr>
        <w:t xml:space="preserve"> </w:t>
      </w:r>
      <w:r>
        <w:t>on</w:t>
      </w:r>
      <w:r>
        <w:rPr>
          <w:spacing w:val="-14"/>
        </w:rPr>
        <w:t xml:space="preserve"> </w:t>
      </w:r>
      <w:r>
        <w:t>the</w:t>
      </w:r>
      <w:r>
        <w:rPr>
          <w:spacing w:val="-14"/>
        </w:rPr>
        <w:t xml:space="preserve"> </w:t>
      </w:r>
      <w:r>
        <w:t>basis</w:t>
      </w:r>
      <w:r>
        <w:rPr>
          <w:spacing w:val="-14"/>
        </w:rPr>
        <w:t xml:space="preserve"> </w:t>
      </w:r>
      <w:r>
        <w:t>that</w:t>
      </w:r>
      <w:r>
        <w:rPr>
          <w:spacing w:val="-14"/>
        </w:rPr>
        <w:t xml:space="preserve"> </w:t>
      </w:r>
      <w:r>
        <w:t>the increased</w:t>
      </w:r>
      <w:r>
        <w:rPr>
          <w:spacing w:val="-13"/>
        </w:rPr>
        <w:t xml:space="preserve"> </w:t>
      </w:r>
      <w:r>
        <w:t>volumes</w:t>
      </w:r>
      <w:r>
        <w:rPr>
          <w:spacing w:val="-13"/>
        </w:rPr>
        <w:t xml:space="preserve"> </w:t>
      </w:r>
      <w:r>
        <w:t>this</w:t>
      </w:r>
      <w:r>
        <w:rPr>
          <w:spacing w:val="-13"/>
        </w:rPr>
        <w:t xml:space="preserve"> </w:t>
      </w:r>
      <w:r>
        <w:t>infrastructure</w:t>
      </w:r>
      <w:r>
        <w:rPr>
          <w:spacing w:val="-13"/>
        </w:rPr>
        <w:t xml:space="preserve"> </w:t>
      </w:r>
      <w:r>
        <w:t>will</w:t>
      </w:r>
      <w:r>
        <w:rPr>
          <w:spacing w:val="-13"/>
        </w:rPr>
        <w:t xml:space="preserve"> </w:t>
      </w:r>
      <w:r>
        <w:t>support</w:t>
      </w:r>
      <w:r>
        <w:rPr>
          <w:spacing w:val="-13"/>
        </w:rPr>
        <w:t xml:space="preserve"> </w:t>
      </w:r>
      <w:r>
        <w:t>will make</w:t>
      </w:r>
      <w:r>
        <w:rPr>
          <w:spacing w:val="-14"/>
        </w:rPr>
        <w:t xml:space="preserve"> </w:t>
      </w:r>
      <w:r>
        <w:t>rail</w:t>
      </w:r>
      <w:r>
        <w:rPr>
          <w:spacing w:val="-14"/>
        </w:rPr>
        <w:t xml:space="preserve"> </w:t>
      </w:r>
      <w:r>
        <w:t>freight</w:t>
      </w:r>
      <w:r>
        <w:rPr>
          <w:spacing w:val="-14"/>
        </w:rPr>
        <w:t xml:space="preserve"> </w:t>
      </w:r>
      <w:r>
        <w:t>a</w:t>
      </w:r>
      <w:r>
        <w:rPr>
          <w:spacing w:val="-14"/>
        </w:rPr>
        <w:t xml:space="preserve"> </w:t>
      </w:r>
      <w:r>
        <w:t>more</w:t>
      </w:r>
      <w:r>
        <w:rPr>
          <w:spacing w:val="-14"/>
        </w:rPr>
        <w:t xml:space="preserve"> </w:t>
      </w:r>
      <w:r>
        <w:t>viable</w:t>
      </w:r>
      <w:r>
        <w:rPr>
          <w:spacing w:val="-14"/>
        </w:rPr>
        <w:t xml:space="preserve"> </w:t>
      </w:r>
      <w:r>
        <w:t>alternative.</w:t>
      </w:r>
    </w:p>
    <w:p w:rsidR="002C1123" w:rsidRDefault="002C1123">
      <w:pPr>
        <w:pStyle w:val="BodyText"/>
      </w:pPr>
    </w:p>
    <w:p w:rsidR="002C1123" w:rsidRDefault="002C1123">
      <w:pPr>
        <w:pStyle w:val="BodyText"/>
      </w:pPr>
    </w:p>
    <w:p w:rsidR="002C1123" w:rsidRDefault="002060EF">
      <w:pPr>
        <w:pStyle w:val="BodyText"/>
        <w:spacing w:before="7"/>
        <w:rPr>
          <w:sz w:val="15"/>
        </w:rPr>
      </w:pPr>
      <w:r>
        <w:pict>
          <v:shape id="docshape686" o:spid="_x0000_s4634" style="position:absolute;margin-left:49.6pt;margin-top:10.2pt;width:1in;height:.1pt;z-index:-251406336;mso-wrap-distance-left:0;mso-wrap-distance-right:0;mso-position-horizontal-relative:page" coordorigin="992,204" coordsize="1440,0" path="m992,204r1440,e" filled="f" strokecolor="#9c9c9d" strokeweight=".5pt">
            <v:path arrowok="t"/>
            <w10:wrap type="topAndBottom" anchorx="page"/>
          </v:shape>
        </w:pict>
      </w:r>
    </w:p>
    <w:p w:rsidR="002C1123" w:rsidRDefault="00F22F94">
      <w:pPr>
        <w:pStyle w:val="ListParagraph"/>
        <w:numPr>
          <w:ilvl w:val="0"/>
          <w:numId w:val="119"/>
        </w:numPr>
        <w:tabs>
          <w:tab w:val="left" w:pos="691"/>
        </w:tabs>
        <w:spacing w:before="23" w:line="161" w:lineRule="exact"/>
        <w:ind w:left="690"/>
        <w:jc w:val="left"/>
        <w:rPr>
          <w:sz w:val="14"/>
        </w:rPr>
      </w:pPr>
      <w:r>
        <w:rPr>
          <w:w w:val="95"/>
          <w:sz w:val="14"/>
        </w:rPr>
        <w:t>Infrastructure</w:t>
      </w:r>
      <w:r>
        <w:rPr>
          <w:spacing w:val="12"/>
          <w:sz w:val="14"/>
        </w:rPr>
        <w:t xml:space="preserve"> </w:t>
      </w:r>
      <w:r>
        <w:rPr>
          <w:spacing w:val="-2"/>
          <w:w w:val="95"/>
          <w:sz w:val="14"/>
        </w:rPr>
        <w:t>Australia.</w:t>
      </w:r>
    </w:p>
    <w:p w:rsidR="002C1123" w:rsidRDefault="00F22F94">
      <w:pPr>
        <w:pStyle w:val="ListParagraph"/>
        <w:numPr>
          <w:ilvl w:val="0"/>
          <w:numId w:val="119"/>
        </w:numPr>
        <w:tabs>
          <w:tab w:val="left" w:pos="691"/>
        </w:tabs>
        <w:spacing w:line="161" w:lineRule="exact"/>
        <w:ind w:left="690"/>
        <w:jc w:val="left"/>
        <w:rPr>
          <w:sz w:val="14"/>
        </w:rPr>
      </w:pPr>
      <w:r>
        <w:rPr>
          <w:w w:val="95"/>
          <w:sz w:val="14"/>
        </w:rPr>
        <w:t>Sydney</w:t>
      </w:r>
      <w:r>
        <w:rPr>
          <w:spacing w:val="7"/>
          <w:sz w:val="14"/>
        </w:rPr>
        <w:t xml:space="preserve"> </w:t>
      </w:r>
      <w:r>
        <w:rPr>
          <w:w w:val="95"/>
          <w:sz w:val="14"/>
        </w:rPr>
        <w:t>Airport</w:t>
      </w:r>
      <w:r>
        <w:rPr>
          <w:spacing w:val="8"/>
          <w:sz w:val="14"/>
        </w:rPr>
        <w:t xml:space="preserve"> </w:t>
      </w:r>
      <w:r>
        <w:rPr>
          <w:w w:val="95"/>
          <w:sz w:val="14"/>
        </w:rPr>
        <w:t>Corporation</w:t>
      </w:r>
      <w:r>
        <w:rPr>
          <w:spacing w:val="8"/>
          <w:sz w:val="14"/>
        </w:rPr>
        <w:t xml:space="preserve"> </w:t>
      </w:r>
      <w:r>
        <w:rPr>
          <w:w w:val="95"/>
          <w:sz w:val="14"/>
        </w:rPr>
        <w:t>2009,</w:t>
      </w:r>
      <w:r>
        <w:rPr>
          <w:spacing w:val="8"/>
          <w:sz w:val="14"/>
        </w:rPr>
        <w:t xml:space="preserve"> </w:t>
      </w:r>
      <w:r>
        <w:rPr>
          <w:w w:val="95"/>
          <w:sz w:val="14"/>
        </w:rPr>
        <w:t>Sydney</w:t>
      </w:r>
      <w:r>
        <w:rPr>
          <w:spacing w:val="8"/>
          <w:sz w:val="14"/>
        </w:rPr>
        <w:t xml:space="preserve"> </w:t>
      </w:r>
      <w:r>
        <w:rPr>
          <w:w w:val="95"/>
          <w:sz w:val="14"/>
        </w:rPr>
        <w:t>Airport</w:t>
      </w:r>
      <w:r>
        <w:rPr>
          <w:spacing w:val="8"/>
          <w:sz w:val="14"/>
        </w:rPr>
        <w:t xml:space="preserve"> </w:t>
      </w:r>
      <w:r>
        <w:rPr>
          <w:w w:val="95"/>
          <w:sz w:val="14"/>
        </w:rPr>
        <w:t>Master</w:t>
      </w:r>
      <w:r>
        <w:rPr>
          <w:spacing w:val="8"/>
          <w:sz w:val="14"/>
        </w:rPr>
        <w:t xml:space="preserve"> </w:t>
      </w:r>
      <w:r>
        <w:rPr>
          <w:spacing w:val="-2"/>
          <w:w w:val="95"/>
          <w:sz w:val="14"/>
        </w:rPr>
        <w:t>Plan.</w:t>
      </w:r>
    </w:p>
    <w:p w:rsidR="002C1123" w:rsidRDefault="002C1123">
      <w:pPr>
        <w:spacing w:line="161" w:lineRule="exact"/>
        <w:rPr>
          <w:sz w:val="14"/>
        </w:rPr>
        <w:sectPr w:rsidR="002C1123">
          <w:pgSz w:w="16840" w:h="11910" w:orient="landscape"/>
          <w:pgMar w:top="560" w:right="280" w:bottom="700" w:left="500" w:header="0" w:footer="517" w:gutter="0"/>
          <w:cols w:space="720"/>
        </w:sectPr>
      </w:pPr>
    </w:p>
    <w:p w:rsidR="002C1123" w:rsidRDefault="002C1123">
      <w:pPr>
        <w:pStyle w:val="BodyText"/>
      </w:pPr>
    </w:p>
    <w:p w:rsidR="002C1123" w:rsidRDefault="002C1123">
      <w:pPr>
        <w:sectPr w:rsidR="002C1123">
          <w:headerReference w:type="default" r:id="rId94"/>
          <w:footerReference w:type="default" r:id="rId95"/>
          <w:pgSz w:w="16840" w:h="11910" w:orient="landscape"/>
          <w:pgMar w:top="560" w:right="280" w:bottom="660" w:left="500" w:header="0" w:footer="470" w:gutter="0"/>
          <w:cols w:space="720"/>
        </w:sectPr>
      </w:pPr>
    </w:p>
    <w:p w:rsidR="002C1123" w:rsidRDefault="002060EF">
      <w:pPr>
        <w:pStyle w:val="Heading1"/>
        <w:numPr>
          <w:ilvl w:val="1"/>
          <w:numId w:val="117"/>
        </w:numPr>
        <w:tabs>
          <w:tab w:val="left" w:pos="1670"/>
        </w:tabs>
        <w:jc w:val="left"/>
        <w:rPr>
          <w:color w:val="2E3092"/>
        </w:rPr>
      </w:pPr>
      <w:r>
        <w:pict>
          <v:rect id="docshape698" o:spid="_x0000_s4633" style="position:absolute;left:0;text-align:left;margin-left:38.25pt;margin-top:80.8pt;width:502.7pt;height:395.15pt;z-index:-251510784;mso-position-horizontal-relative:page" fillcolor="#e1e0e1" stroked="f">
            <w10:wrap anchorx="page"/>
          </v:rect>
        </w:pict>
      </w:r>
      <w:bookmarkStart w:id="102" w:name="4.0_Greater_Sydney"/>
      <w:bookmarkStart w:id="103" w:name="4.1_Introduction"/>
      <w:bookmarkStart w:id="104" w:name="_bookmark74"/>
      <w:bookmarkStart w:id="105" w:name="_bookmark73"/>
      <w:bookmarkEnd w:id="102"/>
      <w:bookmarkEnd w:id="103"/>
      <w:bookmarkEnd w:id="104"/>
      <w:bookmarkEnd w:id="105"/>
      <w:r w:rsidR="00F22F94">
        <w:rPr>
          <w:color w:val="EC008C"/>
          <w:spacing w:val="-2"/>
          <w:w w:val="55"/>
        </w:rPr>
        <w:t>Greater</w:t>
      </w:r>
      <w:r w:rsidR="00F22F94">
        <w:rPr>
          <w:color w:val="EC008C"/>
          <w:spacing w:val="-117"/>
        </w:rPr>
        <w:t xml:space="preserve"> </w:t>
      </w:r>
      <w:r w:rsidR="00F22F94">
        <w:rPr>
          <w:color w:val="EC008C"/>
          <w:spacing w:val="-9"/>
          <w:w w:val="60"/>
        </w:rPr>
        <w:t>Sydney</w:t>
      </w:r>
    </w:p>
    <w:p w:rsidR="002C1123" w:rsidRDefault="00F22F94">
      <w:pPr>
        <w:pStyle w:val="Heading5"/>
        <w:spacing w:before="210"/>
        <w:ind w:left="492" w:firstLine="0"/>
      </w:pPr>
      <w:r>
        <w:rPr>
          <w:color w:val="EC008C"/>
          <w:w w:val="95"/>
        </w:rPr>
        <w:t>Key</w:t>
      </w:r>
      <w:r>
        <w:rPr>
          <w:color w:val="EC008C"/>
          <w:spacing w:val="-4"/>
        </w:rPr>
        <w:t xml:space="preserve"> </w:t>
      </w:r>
      <w:r>
        <w:rPr>
          <w:color w:val="EC008C"/>
          <w:spacing w:val="-2"/>
        </w:rPr>
        <w:t>points</w:t>
      </w:r>
    </w:p>
    <w:p w:rsidR="002C1123" w:rsidRDefault="00F22F94">
      <w:pPr>
        <w:rPr>
          <w:b/>
          <w:sz w:val="32"/>
        </w:rPr>
      </w:pPr>
      <w:r>
        <w:br w:type="column"/>
      </w:r>
    </w:p>
    <w:p w:rsidR="002C1123" w:rsidRDefault="002C1123">
      <w:pPr>
        <w:pStyle w:val="BodyText"/>
        <w:rPr>
          <w:b/>
          <w:sz w:val="32"/>
        </w:rPr>
      </w:pPr>
    </w:p>
    <w:p w:rsidR="002C1123" w:rsidRDefault="002C1123">
      <w:pPr>
        <w:pStyle w:val="BodyText"/>
        <w:rPr>
          <w:b/>
          <w:sz w:val="32"/>
        </w:rPr>
      </w:pPr>
    </w:p>
    <w:p w:rsidR="002C1123" w:rsidRDefault="002C1123">
      <w:pPr>
        <w:pStyle w:val="BodyText"/>
        <w:rPr>
          <w:b/>
          <w:sz w:val="32"/>
        </w:rPr>
      </w:pPr>
    </w:p>
    <w:p w:rsidR="002C1123" w:rsidRDefault="002C1123">
      <w:pPr>
        <w:pStyle w:val="BodyText"/>
        <w:spacing w:before="9"/>
        <w:rPr>
          <w:b/>
          <w:sz w:val="26"/>
        </w:rPr>
      </w:pPr>
    </w:p>
    <w:p w:rsidR="002C1123" w:rsidRDefault="00F22F94">
      <w:pPr>
        <w:pStyle w:val="Heading5"/>
        <w:numPr>
          <w:ilvl w:val="1"/>
          <w:numId w:val="117"/>
        </w:numPr>
        <w:tabs>
          <w:tab w:val="left" w:pos="942"/>
        </w:tabs>
        <w:spacing w:before="1"/>
        <w:ind w:left="941" w:hanging="450"/>
        <w:jc w:val="left"/>
        <w:rPr>
          <w:color w:val="EC008C"/>
        </w:rPr>
      </w:pPr>
      <w:r>
        <w:rPr>
          <w:color w:val="EC008C"/>
          <w:spacing w:val="-2"/>
        </w:rPr>
        <w:t>Introduction</w:t>
      </w:r>
    </w:p>
    <w:p w:rsidR="002C1123" w:rsidRDefault="002C1123">
      <w:pPr>
        <w:sectPr w:rsidR="002C1123">
          <w:type w:val="continuous"/>
          <w:pgSz w:w="16840" w:h="11910" w:orient="landscape"/>
          <w:pgMar w:top="560" w:right="280" w:bottom="280" w:left="500" w:header="0" w:footer="470" w:gutter="0"/>
          <w:cols w:num="2" w:space="720" w:equalWidth="0">
            <w:col w:w="6069" w:space="3985"/>
            <w:col w:w="6006"/>
          </w:cols>
        </w:sectPr>
      </w:pPr>
    </w:p>
    <w:p w:rsidR="002C1123" w:rsidRDefault="00F22F94">
      <w:pPr>
        <w:pStyle w:val="BodyText"/>
        <w:spacing w:before="134" w:line="249" w:lineRule="auto"/>
        <w:ind w:left="492"/>
      </w:pPr>
      <w:r>
        <w:rPr>
          <w:w w:val="95"/>
        </w:rPr>
        <w:t>Greater</w:t>
      </w:r>
      <w:r>
        <w:rPr>
          <w:spacing w:val="-12"/>
          <w:w w:val="95"/>
        </w:rPr>
        <w:t xml:space="preserve"> </w:t>
      </w:r>
      <w:r>
        <w:rPr>
          <w:w w:val="95"/>
        </w:rPr>
        <w:t>Sydney</w:t>
      </w:r>
      <w:r>
        <w:rPr>
          <w:spacing w:val="-11"/>
          <w:w w:val="95"/>
        </w:rPr>
        <w:t xml:space="preserve"> </w:t>
      </w:r>
      <w:r>
        <w:rPr>
          <w:w w:val="95"/>
        </w:rPr>
        <w:t>is</w:t>
      </w:r>
      <w:r>
        <w:rPr>
          <w:spacing w:val="-11"/>
          <w:w w:val="95"/>
        </w:rPr>
        <w:t xml:space="preserve"> </w:t>
      </w:r>
      <w:r>
        <w:rPr>
          <w:w w:val="95"/>
        </w:rPr>
        <w:t>where</w:t>
      </w:r>
      <w:r>
        <w:rPr>
          <w:spacing w:val="-11"/>
          <w:w w:val="95"/>
        </w:rPr>
        <w:t xml:space="preserve"> </w:t>
      </w:r>
      <w:r>
        <w:rPr>
          <w:w w:val="95"/>
        </w:rPr>
        <w:t>most</w:t>
      </w:r>
      <w:r>
        <w:rPr>
          <w:spacing w:val="-11"/>
          <w:w w:val="95"/>
        </w:rPr>
        <w:t xml:space="preserve"> </w:t>
      </w:r>
      <w:r>
        <w:rPr>
          <w:w w:val="95"/>
        </w:rPr>
        <w:t>Sydneysiders</w:t>
      </w:r>
      <w:r>
        <w:rPr>
          <w:spacing w:val="-11"/>
          <w:w w:val="95"/>
        </w:rPr>
        <w:t xml:space="preserve"> </w:t>
      </w:r>
      <w:r>
        <w:rPr>
          <w:w w:val="95"/>
        </w:rPr>
        <w:t>(over</w:t>
      </w:r>
      <w:r>
        <w:rPr>
          <w:spacing w:val="-11"/>
          <w:w w:val="95"/>
        </w:rPr>
        <w:t xml:space="preserve"> </w:t>
      </w:r>
      <w:r>
        <w:rPr>
          <w:w w:val="95"/>
        </w:rPr>
        <w:t xml:space="preserve">three </w:t>
      </w:r>
      <w:r>
        <w:rPr>
          <w:spacing w:val="-2"/>
        </w:rPr>
        <w:t>million</w:t>
      </w:r>
      <w:r>
        <w:rPr>
          <w:spacing w:val="-5"/>
        </w:rPr>
        <w:t xml:space="preserve"> </w:t>
      </w:r>
      <w:r>
        <w:rPr>
          <w:spacing w:val="-2"/>
        </w:rPr>
        <w:t>people)</w:t>
      </w:r>
      <w:r>
        <w:rPr>
          <w:spacing w:val="-5"/>
        </w:rPr>
        <w:t xml:space="preserve"> </w:t>
      </w:r>
      <w:r>
        <w:rPr>
          <w:spacing w:val="-2"/>
        </w:rPr>
        <w:t>live.</w:t>
      </w:r>
      <w:r>
        <w:rPr>
          <w:spacing w:val="-5"/>
        </w:rPr>
        <w:t xml:space="preserve"> </w:t>
      </w:r>
      <w:r>
        <w:rPr>
          <w:spacing w:val="-2"/>
        </w:rPr>
        <w:t>This</w:t>
      </w:r>
      <w:r>
        <w:rPr>
          <w:spacing w:val="-5"/>
        </w:rPr>
        <w:t xml:space="preserve"> </w:t>
      </w:r>
      <w:r>
        <w:rPr>
          <w:spacing w:val="-2"/>
        </w:rPr>
        <w:t>suburban</w:t>
      </w:r>
      <w:r>
        <w:rPr>
          <w:spacing w:val="-5"/>
        </w:rPr>
        <w:t xml:space="preserve"> </w:t>
      </w:r>
      <w:r>
        <w:rPr>
          <w:spacing w:val="-2"/>
        </w:rPr>
        <w:t>region</w:t>
      </w:r>
      <w:r>
        <w:rPr>
          <w:spacing w:val="-5"/>
        </w:rPr>
        <w:t xml:space="preserve"> </w:t>
      </w:r>
      <w:r>
        <w:rPr>
          <w:spacing w:val="-2"/>
        </w:rPr>
        <w:t xml:space="preserve">stretches </w:t>
      </w:r>
      <w:r>
        <w:t>across</w:t>
      </w:r>
      <w:r>
        <w:rPr>
          <w:spacing w:val="-14"/>
        </w:rPr>
        <w:t xml:space="preserve"> </w:t>
      </w:r>
      <w:r>
        <w:t>Western</w:t>
      </w:r>
      <w:r>
        <w:rPr>
          <w:spacing w:val="-14"/>
        </w:rPr>
        <w:t xml:space="preserve"> </w:t>
      </w:r>
      <w:r>
        <w:t>and</w:t>
      </w:r>
      <w:r>
        <w:rPr>
          <w:spacing w:val="-13"/>
        </w:rPr>
        <w:t xml:space="preserve"> </w:t>
      </w:r>
      <w:r>
        <w:t>Southern</w:t>
      </w:r>
      <w:r>
        <w:rPr>
          <w:spacing w:val="-14"/>
        </w:rPr>
        <w:t xml:space="preserve"> </w:t>
      </w:r>
      <w:r>
        <w:t>Sydney</w:t>
      </w:r>
      <w:r>
        <w:rPr>
          <w:spacing w:val="-14"/>
        </w:rPr>
        <w:t xml:space="preserve"> </w:t>
      </w:r>
      <w:r>
        <w:t>in</w:t>
      </w:r>
      <w:r>
        <w:rPr>
          <w:spacing w:val="-13"/>
        </w:rPr>
        <w:t xml:space="preserve"> </w:t>
      </w:r>
      <w:r>
        <w:t>an</w:t>
      </w:r>
      <w:r>
        <w:rPr>
          <w:spacing w:val="-14"/>
        </w:rPr>
        <w:t xml:space="preserve"> </w:t>
      </w:r>
      <w:r>
        <w:t>arc</w:t>
      </w:r>
      <w:r>
        <w:rPr>
          <w:spacing w:val="-14"/>
        </w:rPr>
        <w:t xml:space="preserve"> </w:t>
      </w:r>
      <w:r>
        <w:t>to</w:t>
      </w:r>
      <w:r>
        <w:rPr>
          <w:spacing w:val="-13"/>
        </w:rPr>
        <w:t xml:space="preserve"> </w:t>
      </w:r>
      <w:r>
        <w:t>the Northern</w:t>
      </w:r>
      <w:r>
        <w:rPr>
          <w:spacing w:val="-7"/>
        </w:rPr>
        <w:t xml:space="preserve"> </w:t>
      </w:r>
      <w:r>
        <w:t>beaches</w:t>
      </w:r>
      <w:r>
        <w:rPr>
          <w:spacing w:val="-7"/>
        </w:rPr>
        <w:t xml:space="preserve"> </w:t>
      </w:r>
      <w:r>
        <w:t>and</w:t>
      </w:r>
      <w:r>
        <w:rPr>
          <w:spacing w:val="-7"/>
        </w:rPr>
        <w:t xml:space="preserve"> </w:t>
      </w:r>
      <w:r>
        <w:t>Central</w:t>
      </w:r>
      <w:r>
        <w:rPr>
          <w:spacing w:val="-7"/>
        </w:rPr>
        <w:t xml:space="preserve"> </w:t>
      </w:r>
      <w:r>
        <w:t>Coast.</w:t>
      </w:r>
      <w:r>
        <w:rPr>
          <w:spacing w:val="-7"/>
        </w:rPr>
        <w:t xml:space="preserve"> </w:t>
      </w:r>
      <w:r>
        <w:t>It</w:t>
      </w:r>
      <w:r>
        <w:rPr>
          <w:spacing w:val="-7"/>
        </w:rPr>
        <w:t xml:space="preserve"> </w:t>
      </w:r>
      <w:r>
        <w:t>is</w:t>
      </w:r>
      <w:r>
        <w:rPr>
          <w:spacing w:val="-7"/>
        </w:rPr>
        <w:t xml:space="preserve"> </w:t>
      </w:r>
      <w:r>
        <w:t>bounded</w:t>
      </w:r>
    </w:p>
    <w:p w:rsidR="002C1123" w:rsidRDefault="00F22F94">
      <w:pPr>
        <w:pStyle w:val="BodyText"/>
        <w:spacing w:before="4" w:line="249" w:lineRule="auto"/>
        <w:ind w:left="492" w:right="262"/>
        <w:jc w:val="both"/>
      </w:pPr>
      <w:r>
        <w:rPr>
          <w:w w:val="95"/>
        </w:rPr>
        <w:t>in</w:t>
      </w:r>
      <w:r>
        <w:rPr>
          <w:spacing w:val="-5"/>
          <w:w w:val="95"/>
        </w:rPr>
        <w:t xml:space="preserve"> </w:t>
      </w:r>
      <w:r>
        <w:rPr>
          <w:w w:val="95"/>
        </w:rPr>
        <w:t>the</w:t>
      </w:r>
      <w:r>
        <w:rPr>
          <w:spacing w:val="-5"/>
          <w:w w:val="95"/>
        </w:rPr>
        <w:t xml:space="preserve"> </w:t>
      </w:r>
      <w:r>
        <w:rPr>
          <w:w w:val="95"/>
        </w:rPr>
        <w:t>West</w:t>
      </w:r>
      <w:r>
        <w:rPr>
          <w:spacing w:val="-5"/>
          <w:w w:val="95"/>
        </w:rPr>
        <w:t xml:space="preserve"> </w:t>
      </w:r>
      <w:r>
        <w:rPr>
          <w:w w:val="95"/>
        </w:rPr>
        <w:t>and</w:t>
      </w:r>
      <w:r>
        <w:rPr>
          <w:spacing w:val="-5"/>
          <w:w w:val="95"/>
        </w:rPr>
        <w:t xml:space="preserve"> </w:t>
      </w:r>
      <w:r>
        <w:rPr>
          <w:w w:val="95"/>
        </w:rPr>
        <w:t>split</w:t>
      </w:r>
      <w:r>
        <w:rPr>
          <w:spacing w:val="-5"/>
          <w:w w:val="95"/>
        </w:rPr>
        <w:t xml:space="preserve"> </w:t>
      </w:r>
      <w:r>
        <w:rPr>
          <w:w w:val="95"/>
        </w:rPr>
        <w:t>in</w:t>
      </w:r>
      <w:r>
        <w:rPr>
          <w:spacing w:val="-5"/>
          <w:w w:val="95"/>
        </w:rPr>
        <w:t xml:space="preserve"> </w:t>
      </w:r>
      <w:r>
        <w:rPr>
          <w:w w:val="95"/>
        </w:rPr>
        <w:t>the</w:t>
      </w:r>
      <w:r>
        <w:rPr>
          <w:spacing w:val="-5"/>
          <w:w w:val="95"/>
        </w:rPr>
        <w:t xml:space="preserve"> </w:t>
      </w:r>
      <w:r>
        <w:rPr>
          <w:w w:val="95"/>
        </w:rPr>
        <w:t>North</w:t>
      </w:r>
      <w:r>
        <w:rPr>
          <w:spacing w:val="-5"/>
          <w:w w:val="95"/>
        </w:rPr>
        <w:t xml:space="preserve"> </w:t>
      </w:r>
      <w:r>
        <w:rPr>
          <w:w w:val="95"/>
        </w:rPr>
        <w:t>by</w:t>
      </w:r>
      <w:r>
        <w:rPr>
          <w:spacing w:val="-5"/>
          <w:w w:val="95"/>
        </w:rPr>
        <w:t xml:space="preserve"> </w:t>
      </w:r>
      <w:r>
        <w:rPr>
          <w:w w:val="95"/>
        </w:rPr>
        <w:t>the</w:t>
      </w:r>
      <w:r>
        <w:rPr>
          <w:spacing w:val="-5"/>
          <w:w w:val="95"/>
        </w:rPr>
        <w:t xml:space="preserve"> </w:t>
      </w:r>
      <w:r>
        <w:rPr>
          <w:w w:val="95"/>
        </w:rPr>
        <w:t>Hawkesbury Nepean</w:t>
      </w:r>
      <w:r>
        <w:rPr>
          <w:spacing w:val="-8"/>
          <w:w w:val="95"/>
        </w:rPr>
        <w:t xml:space="preserve"> </w:t>
      </w:r>
      <w:r>
        <w:rPr>
          <w:w w:val="95"/>
        </w:rPr>
        <w:t>Valley</w:t>
      </w:r>
      <w:r>
        <w:rPr>
          <w:spacing w:val="-8"/>
          <w:w w:val="95"/>
        </w:rPr>
        <w:t xml:space="preserve"> </w:t>
      </w:r>
      <w:r>
        <w:rPr>
          <w:w w:val="95"/>
        </w:rPr>
        <w:t>which</w:t>
      </w:r>
      <w:r>
        <w:rPr>
          <w:spacing w:val="-8"/>
          <w:w w:val="95"/>
        </w:rPr>
        <w:t xml:space="preserve"> </w:t>
      </w:r>
      <w:r>
        <w:rPr>
          <w:w w:val="95"/>
        </w:rPr>
        <w:t>represents</w:t>
      </w:r>
      <w:r>
        <w:rPr>
          <w:spacing w:val="-8"/>
          <w:w w:val="95"/>
        </w:rPr>
        <w:t xml:space="preserve"> </w:t>
      </w:r>
      <w:r>
        <w:rPr>
          <w:w w:val="95"/>
        </w:rPr>
        <w:t>a</w:t>
      </w:r>
      <w:r>
        <w:rPr>
          <w:spacing w:val="-8"/>
          <w:w w:val="95"/>
        </w:rPr>
        <w:t xml:space="preserve"> </w:t>
      </w:r>
      <w:r>
        <w:rPr>
          <w:w w:val="95"/>
        </w:rPr>
        <w:t>significant</w:t>
      </w:r>
      <w:r>
        <w:rPr>
          <w:spacing w:val="-8"/>
          <w:w w:val="95"/>
        </w:rPr>
        <w:t xml:space="preserve"> </w:t>
      </w:r>
      <w:r>
        <w:rPr>
          <w:w w:val="95"/>
        </w:rPr>
        <w:t xml:space="preserve">natural </w:t>
      </w:r>
      <w:r>
        <w:t>flooding</w:t>
      </w:r>
      <w:r>
        <w:rPr>
          <w:spacing w:val="-11"/>
        </w:rPr>
        <w:t xml:space="preserve"> </w:t>
      </w:r>
      <w:r>
        <w:t>risk.</w:t>
      </w:r>
    </w:p>
    <w:p w:rsidR="002C1123" w:rsidRDefault="00F22F94">
      <w:pPr>
        <w:pStyle w:val="BodyText"/>
        <w:spacing w:before="144" w:line="249" w:lineRule="auto"/>
        <w:ind w:left="492" w:right="127"/>
      </w:pPr>
      <w:r>
        <w:rPr>
          <w:w w:val="95"/>
        </w:rPr>
        <w:t xml:space="preserve">Greater Sydney is home to a diversity of industries that are essential to NSW’s success. It is the NSW manufacturing heartland which, despite pressures, </w:t>
      </w:r>
      <w:r>
        <w:t>remains</w:t>
      </w:r>
      <w:r>
        <w:rPr>
          <w:spacing w:val="-10"/>
        </w:rPr>
        <w:t xml:space="preserve"> </w:t>
      </w:r>
      <w:r>
        <w:t>one</w:t>
      </w:r>
      <w:r>
        <w:rPr>
          <w:spacing w:val="-10"/>
        </w:rPr>
        <w:t xml:space="preserve"> </w:t>
      </w:r>
      <w:r>
        <w:t>of</w:t>
      </w:r>
      <w:r>
        <w:rPr>
          <w:spacing w:val="-10"/>
        </w:rPr>
        <w:t xml:space="preserve"> </w:t>
      </w:r>
      <w:r>
        <w:t>the</w:t>
      </w:r>
      <w:r>
        <w:rPr>
          <w:spacing w:val="-10"/>
        </w:rPr>
        <w:t xml:space="preserve"> </w:t>
      </w:r>
      <w:r>
        <w:t>most</w:t>
      </w:r>
      <w:r>
        <w:rPr>
          <w:spacing w:val="-10"/>
        </w:rPr>
        <w:t xml:space="preserve"> </w:t>
      </w:r>
      <w:r>
        <w:t>significant</w:t>
      </w:r>
      <w:r>
        <w:rPr>
          <w:spacing w:val="-10"/>
        </w:rPr>
        <w:t xml:space="preserve"> </w:t>
      </w:r>
      <w:r>
        <w:t>sectors</w:t>
      </w:r>
      <w:r>
        <w:rPr>
          <w:spacing w:val="-10"/>
        </w:rPr>
        <w:t xml:space="preserve"> </w:t>
      </w:r>
      <w:r>
        <w:t>in</w:t>
      </w:r>
      <w:r>
        <w:rPr>
          <w:spacing w:val="-10"/>
        </w:rPr>
        <w:t xml:space="preserve"> </w:t>
      </w:r>
      <w:r>
        <w:t>the NSW</w:t>
      </w:r>
      <w:r>
        <w:rPr>
          <w:spacing w:val="-11"/>
        </w:rPr>
        <w:t xml:space="preserve"> </w:t>
      </w:r>
      <w:r>
        <w:t>economy.</w:t>
      </w:r>
    </w:p>
    <w:p w:rsidR="002C1123" w:rsidRDefault="00F22F94">
      <w:pPr>
        <w:pStyle w:val="BodyText"/>
        <w:spacing w:before="146" w:line="249" w:lineRule="auto"/>
        <w:ind w:left="492"/>
      </w:pPr>
      <w:r>
        <w:t>The</w:t>
      </w:r>
      <w:r>
        <w:rPr>
          <w:spacing w:val="-11"/>
        </w:rPr>
        <w:t xml:space="preserve"> </w:t>
      </w:r>
      <w:r>
        <w:t>logistics</w:t>
      </w:r>
      <w:r>
        <w:rPr>
          <w:spacing w:val="-11"/>
        </w:rPr>
        <w:t xml:space="preserve"> </w:t>
      </w:r>
      <w:r>
        <w:t>sector</w:t>
      </w:r>
      <w:r>
        <w:rPr>
          <w:spacing w:val="-11"/>
        </w:rPr>
        <w:t xml:space="preserve"> </w:t>
      </w:r>
      <w:r>
        <w:t>is</w:t>
      </w:r>
      <w:r>
        <w:rPr>
          <w:spacing w:val="-11"/>
        </w:rPr>
        <w:t xml:space="preserve"> </w:t>
      </w:r>
      <w:r>
        <w:t>increasingly</w:t>
      </w:r>
      <w:r>
        <w:rPr>
          <w:spacing w:val="-11"/>
        </w:rPr>
        <w:t xml:space="preserve"> </w:t>
      </w:r>
      <w:r>
        <w:t>important</w:t>
      </w:r>
      <w:r>
        <w:rPr>
          <w:spacing w:val="-11"/>
        </w:rPr>
        <w:t xml:space="preserve"> </w:t>
      </w:r>
      <w:r>
        <w:t>to</w:t>
      </w:r>
      <w:r>
        <w:rPr>
          <w:spacing w:val="-11"/>
        </w:rPr>
        <w:t xml:space="preserve"> </w:t>
      </w:r>
      <w:r>
        <w:t xml:space="preserve">the </w:t>
      </w:r>
      <w:r>
        <w:rPr>
          <w:w w:val="95"/>
        </w:rPr>
        <w:t>West</w:t>
      </w:r>
      <w:r>
        <w:rPr>
          <w:spacing w:val="-2"/>
          <w:w w:val="95"/>
        </w:rPr>
        <w:t xml:space="preserve"> </w:t>
      </w:r>
      <w:r>
        <w:rPr>
          <w:w w:val="95"/>
        </w:rPr>
        <w:t>and</w:t>
      </w:r>
      <w:r>
        <w:rPr>
          <w:spacing w:val="-2"/>
          <w:w w:val="95"/>
        </w:rPr>
        <w:t xml:space="preserve"> </w:t>
      </w:r>
      <w:r>
        <w:rPr>
          <w:w w:val="95"/>
        </w:rPr>
        <w:t>South-West,</w:t>
      </w:r>
      <w:r>
        <w:rPr>
          <w:spacing w:val="-2"/>
          <w:w w:val="95"/>
        </w:rPr>
        <w:t xml:space="preserve"> </w:t>
      </w:r>
      <w:r>
        <w:rPr>
          <w:w w:val="95"/>
        </w:rPr>
        <w:t>supported</w:t>
      </w:r>
      <w:r>
        <w:rPr>
          <w:spacing w:val="-2"/>
          <w:w w:val="95"/>
        </w:rPr>
        <w:t xml:space="preserve"> </w:t>
      </w:r>
      <w:r>
        <w:rPr>
          <w:w w:val="95"/>
        </w:rPr>
        <w:t>by</w:t>
      </w:r>
      <w:r>
        <w:rPr>
          <w:spacing w:val="-2"/>
          <w:w w:val="95"/>
        </w:rPr>
        <w:t xml:space="preserve"> </w:t>
      </w:r>
      <w:r>
        <w:rPr>
          <w:w w:val="95"/>
        </w:rPr>
        <w:t>Greater</w:t>
      </w:r>
      <w:r>
        <w:rPr>
          <w:spacing w:val="-2"/>
          <w:w w:val="95"/>
        </w:rPr>
        <w:t xml:space="preserve"> </w:t>
      </w:r>
      <w:r>
        <w:rPr>
          <w:w w:val="95"/>
        </w:rPr>
        <w:t xml:space="preserve">Sydney’s </w:t>
      </w:r>
      <w:r>
        <w:t>freight transport networks.</w:t>
      </w:r>
    </w:p>
    <w:p w:rsidR="002C1123" w:rsidRDefault="00F22F94">
      <w:pPr>
        <w:pStyle w:val="BodyText"/>
        <w:spacing w:before="144" w:line="249" w:lineRule="auto"/>
        <w:ind w:left="492"/>
      </w:pPr>
      <w:r>
        <w:rPr>
          <w:w w:val="95"/>
        </w:rPr>
        <w:t>The</w:t>
      </w:r>
      <w:r>
        <w:rPr>
          <w:spacing w:val="-10"/>
          <w:w w:val="95"/>
        </w:rPr>
        <w:t xml:space="preserve"> </w:t>
      </w:r>
      <w:r>
        <w:rPr>
          <w:w w:val="95"/>
        </w:rPr>
        <w:t>success</w:t>
      </w:r>
      <w:r>
        <w:rPr>
          <w:spacing w:val="-10"/>
          <w:w w:val="95"/>
        </w:rPr>
        <w:t xml:space="preserve"> </w:t>
      </w:r>
      <w:r>
        <w:rPr>
          <w:w w:val="95"/>
        </w:rPr>
        <w:t>of</w:t>
      </w:r>
      <w:r>
        <w:rPr>
          <w:spacing w:val="-10"/>
          <w:w w:val="95"/>
        </w:rPr>
        <w:t xml:space="preserve"> </w:t>
      </w:r>
      <w:r>
        <w:rPr>
          <w:w w:val="95"/>
        </w:rPr>
        <w:t>Greater</w:t>
      </w:r>
      <w:r>
        <w:rPr>
          <w:spacing w:val="-10"/>
          <w:w w:val="95"/>
        </w:rPr>
        <w:t xml:space="preserve"> </w:t>
      </w:r>
      <w:r>
        <w:rPr>
          <w:w w:val="95"/>
        </w:rPr>
        <w:t>Sydney</w:t>
      </w:r>
      <w:r>
        <w:rPr>
          <w:spacing w:val="-10"/>
          <w:w w:val="95"/>
        </w:rPr>
        <w:t xml:space="preserve"> </w:t>
      </w:r>
      <w:r>
        <w:rPr>
          <w:w w:val="95"/>
        </w:rPr>
        <w:t>and</w:t>
      </w:r>
      <w:r>
        <w:rPr>
          <w:spacing w:val="-10"/>
          <w:w w:val="95"/>
        </w:rPr>
        <w:t xml:space="preserve"> </w:t>
      </w:r>
      <w:r>
        <w:rPr>
          <w:w w:val="95"/>
        </w:rPr>
        <w:t>Global</w:t>
      </w:r>
      <w:r>
        <w:rPr>
          <w:spacing w:val="-10"/>
          <w:w w:val="95"/>
        </w:rPr>
        <w:t xml:space="preserve"> </w:t>
      </w:r>
      <w:r>
        <w:rPr>
          <w:w w:val="95"/>
        </w:rPr>
        <w:t>Sydney</w:t>
      </w:r>
      <w:r>
        <w:rPr>
          <w:spacing w:val="-10"/>
          <w:w w:val="95"/>
        </w:rPr>
        <w:t xml:space="preserve"> </w:t>
      </w:r>
      <w:r>
        <w:rPr>
          <w:w w:val="95"/>
        </w:rPr>
        <w:t xml:space="preserve">are intertwined, with many of Global Sydney’s employees </w:t>
      </w:r>
      <w:r>
        <w:t>commuting</w:t>
      </w:r>
      <w:r>
        <w:rPr>
          <w:spacing w:val="-11"/>
        </w:rPr>
        <w:t xml:space="preserve"> </w:t>
      </w:r>
      <w:r>
        <w:t>in</w:t>
      </w:r>
      <w:r>
        <w:rPr>
          <w:spacing w:val="-11"/>
        </w:rPr>
        <w:t xml:space="preserve"> </w:t>
      </w:r>
      <w:r>
        <w:t>each</w:t>
      </w:r>
      <w:r>
        <w:rPr>
          <w:spacing w:val="-11"/>
        </w:rPr>
        <w:t xml:space="preserve"> </w:t>
      </w:r>
      <w:r>
        <w:t>day</w:t>
      </w:r>
      <w:r>
        <w:rPr>
          <w:spacing w:val="-11"/>
        </w:rPr>
        <w:t xml:space="preserve"> </w:t>
      </w:r>
      <w:r>
        <w:t>from</w:t>
      </w:r>
      <w:r>
        <w:rPr>
          <w:spacing w:val="-11"/>
        </w:rPr>
        <w:t xml:space="preserve"> </w:t>
      </w:r>
      <w:r>
        <w:t>Greater</w:t>
      </w:r>
      <w:r>
        <w:rPr>
          <w:spacing w:val="-11"/>
        </w:rPr>
        <w:t xml:space="preserve"> </w:t>
      </w:r>
      <w:r>
        <w:t>Sydney.</w:t>
      </w:r>
    </w:p>
    <w:p w:rsidR="002C1123" w:rsidRDefault="00F22F94">
      <w:pPr>
        <w:pStyle w:val="BodyText"/>
        <w:spacing w:before="144" w:line="249" w:lineRule="auto"/>
        <w:ind w:left="492" w:right="427"/>
      </w:pPr>
      <w:r>
        <w:rPr>
          <w:spacing w:val="-2"/>
        </w:rPr>
        <w:t>The</w:t>
      </w:r>
      <w:r>
        <w:rPr>
          <w:spacing w:val="-9"/>
        </w:rPr>
        <w:t xml:space="preserve"> </w:t>
      </w:r>
      <w:r>
        <w:rPr>
          <w:spacing w:val="-2"/>
        </w:rPr>
        <w:t>service</w:t>
      </w:r>
      <w:r>
        <w:rPr>
          <w:spacing w:val="-9"/>
        </w:rPr>
        <w:t xml:space="preserve"> </w:t>
      </w:r>
      <w:r>
        <w:rPr>
          <w:spacing w:val="-2"/>
        </w:rPr>
        <w:t>sector</w:t>
      </w:r>
      <w:r>
        <w:rPr>
          <w:spacing w:val="-9"/>
        </w:rPr>
        <w:t xml:space="preserve"> </w:t>
      </w:r>
      <w:r>
        <w:rPr>
          <w:spacing w:val="-2"/>
        </w:rPr>
        <w:t>in</w:t>
      </w:r>
      <w:r>
        <w:rPr>
          <w:spacing w:val="-9"/>
        </w:rPr>
        <w:t xml:space="preserve"> </w:t>
      </w:r>
      <w:r>
        <w:rPr>
          <w:spacing w:val="-2"/>
        </w:rPr>
        <w:t>Greater</w:t>
      </w:r>
      <w:r>
        <w:rPr>
          <w:spacing w:val="-9"/>
        </w:rPr>
        <w:t xml:space="preserve"> </w:t>
      </w:r>
      <w:r>
        <w:rPr>
          <w:spacing w:val="-2"/>
        </w:rPr>
        <w:t>Sydney</w:t>
      </w:r>
      <w:r>
        <w:rPr>
          <w:spacing w:val="-9"/>
        </w:rPr>
        <w:t xml:space="preserve"> </w:t>
      </w:r>
      <w:r>
        <w:rPr>
          <w:spacing w:val="-2"/>
        </w:rPr>
        <w:t>is</w:t>
      </w:r>
      <w:r>
        <w:rPr>
          <w:spacing w:val="-9"/>
        </w:rPr>
        <w:t xml:space="preserve"> </w:t>
      </w:r>
      <w:r>
        <w:rPr>
          <w:spacing w:val="-2"/>
        </w:rPr>
        <w:t xml:space="preserve">growing </w:t>
      </w:r>
      <w:r>
        <w:rPr>
          <w:w w:val="95"/>
        </w:rPr>
        <w:t>in</w:t>
      </w:r>
      <w:r>
        <w:rPr>
          <w:spacing w:val="-3"/>
          <w:w w:val="95"/>
        </w:rPr>
        <w:t xml:space="preserve"> </w:t>
      </w:r>
      <w:r>
        <w:rPr>
          <w:w w:val="95"/>
        </w:rPr>
        <w:t>importance.</w:t>
      </w:r>
      <w:r>
        <w:rPr>
          <w:spacing w:val="-3"/>
          <w:w w:val="95"/>
        </w:rPr>
        <w:t xml:space="preserve"> </w:t>
      </w:r>
      <w:r>
        <w:rPr>
          <w:w w:val="95"/>
        </w:rPr>
        <w:t>Parramatta</w:t>
      </w:r>
      <w:r>
        <w:rPr>
          <w:spacing w:val="-3"/>
          <w:w w:val="95"/>
        </w:rPr>
        <w:t xml:space="preserve"> </w:t>
      </w:r>
      <w:r>
        <w:rPr>
          <w:w w:val="95"/>
        </w:rPr>
        <w:t>has</w:t>
      </w:r>
      <w:r>
        <w:rPr>
          <w:spacing w:val="-3"/>
          <w:w w:val="95"/>
        </w:rPr>
        <w:t xml:space="preserve"> </w:t>
      </w:r>
      <w:r>
        <w:rPr>
          <w:w w:val="95"/>
        </w:rPr>
        <w:t>been</w:t>
      </w:r>
      <w:r>
        <w:rPr>
          <w:spacing w:val="-3"/>
          <w:w w:val="95"/>
        </w:rPr>
        <w:t xml:space="preserve"> </w:t>
      </w:r>
      <w:r>
        <w:rPr>
          <w:w w:val="95"/>
        </w:rPr>
        <w:t>significant</w:t>
      </w:r>
      <w:r>
        <w:rPr>
          <w:spacing w:val="-3"/>
          <w:w w:val="95"/>
        </w:rPr>
        <w:t xml:space="preserve"> </w:t>
      </w:r>
      <w:r>
        <w:rPr>
          <w:w w:val="95"/>
        </w:rPr>
        <w:t>to</w:t>
      </w:r>
    </w:p>
    <w:p w:rsidR="002C1123" w:rsidRDefault="00F22F94">
      <w:pPr>
        <w:pStyle w:val="BodyText"/>
        <w:spacing w:before="2" w:line="249" w:lineRule="auto"/>
        <w:ind w:left="492"/>
      </w:pPr>
      <w:r>
        <w:t>NSW’s</w:t>
      </w:r>
      <w:r>
        <w:rPr>
          <w:spacing w:val="-14"/>
        </w:rPr>
        <w:t xml:space="preserve"> </w:t>
      </w:r>
      <w:r>
        <w:t>fortunes</w:t>
      </w:r>
      <w:r>
        <w:rPr>
          <w:spacing w:val="-14"/>
        </w:rPr>
        <w:t xml:space="preserve"> </w:t>
      </w:r>
      <w:r>
        <w:t>since</w:t>
      </w:r>
      <w:r>
        <w:rPr>
          <w:spacing w:val="-14"/>
        </w:rPr>
        <w:t xml:space="preserve"> </w:t>
      </w:r>
      <w:r>
        <w:t>the</w:t>
      </w:r>
      <w:r>
        <w:rPr>
          <w:spacing w:val="-14"/>
        </w:rPr>
        <w:t xml:space="preserve"> </w:t>
      </w:r>
      <w:r>
        <w:t>earliest</w:t>
      </w:r>
      <w:r>
        <w:rPr>
          <w:spacing w:val="-14"/>
        </w:rPr>
        <w:t xml:space="preserve"> </w:t>
      </w:r>
      <w:r>
        <w:t>days</w:t>
      </w:r>
      <w:r>
        <w:rPr>
          <w:spacing w:val="-14"/>
        </w:rPr>
        <w:t xml:space="preserve"> </w:t>
      </w:r>
      <w:r>
        <w:t>of</w:t>
      </w:r>
      <w:r>
        <w:rPr>
          <w:spacing w:val="-14"/>
        </w:rPr>
        <w:t xml:space="preserve"> </w:t>
      </w:r>
      <w:r>
        <w:t>European settlement.</w:t>
      </w:r>
      <w:r>
        <w:rPr>
          <w:spacing w:val="-12"/>
        </w:rPr>
        <w:t xml:space="preserve"> </w:t>
      </w:r>
      <w:r>
        <w:t>Today</w:t>
      </w:r>
      <w:r>
        <w:rPr>
          <w:spacing w:val="-12"/>
        </w:rPr>
        <w:t xml:space="preserve"> </w:t>
      </w:r>
      <w:r>
        <w:t>it</w:t>
      </w:r>
      <w:r>
        <w:rPr>
          <w:spacing w:val="-12"/>
        </w:rPr>
        <w:t xml:space="preserve"> </w:t>
      </w:r>
      <w:r>
        <w:t>continues</w:t>
      </w:r>
      <w:r>
        <w:rPr>
          <w:spacing w:val="-12"/>
        </w:rPr>
        <w:t xml:space="preserve"> </w:t>
      </w:r>
      <w:r>
        <w:t>to</w:t>
      </w:r>
      <w:r>
        <w:rPr>
          <w:spacing w:val="-12"/>
        </w:rPr>
        <w:t xml:space="preserve"> </w:t>
      </w:r>
      <w:r>
        <w:t>grow</w:t>
      </w:r>
      <w:r>
        <w:rPr>
          <w:spacing w:val="-12"/>
        </w:rPr>
        <w:t xml:space="preserve"> </w:t>
      </w:r>
      <w:r>
        <w:t>as</w:t>
      </w:r>
      <w:r>
        <w:rPr>
          <w:spacing w:val="-12"/>
        </w:rPr>
        <w:t xml:space="preserve"> </w:t>
      </w:r>
      <w:r>
        <w:t>a</w:t>
      </w:r>
      <w:r>
        <w:rPr>
          <w:spacing w:val="-12"/>
        </w:rPr>
        <w:t xml:space="preserve"> </w:t>
      </w:r>
      <w:r>
        <w:t xml:space="preserve">key </w:t>
      </w:r>
      <w:r>
        <w:rPr>
          <w:w w:val="95"/>
        </w:rPr>
        <w:t>administrative</w:t>
      </w:r>
      <w:r>
        <w:rPr>
          <w:spacing w:val="-2"/>
          <w:w w:val="95"/>
        </w:rPr>
        <w:t xml:space="preserve"> </w:t>
      </w:r>
      <w:r>
        <w:rPr>
          <w:w w:val="95"/>
        </w:rPr>
        <w:t>and</w:t>
      </w:r>
      <w:r>
        <w:rPr>
          <w:spacing w:val="-2"/>
          <w:w w:val="95"/>
        </w:rPr>
        <w:t xml:space="preserve"> </w:t>
      </w:r>
      <w:r>
        <w:rPr>
          <w:w w:val="95"/>
        </w:rPr>
        <w:t>commercial</w:t>
      </w:r>
      <w:r>
        <w:rPr>
          <w:spacing w:val="-2"/>
          <w:w w:val="95"/>
        </w:rPr>
        <w:t xml:space="preserve"> </w:t>
      </w:r>
      <w:r>
        <w:rPr>
          <w:w w:val="95"/>
        </w:rPr>
        <w:t>centre,</w:t>
      </w:r>
      <w:r>
        <w:rPr>
          <w:spacing w:val="-2"/>
          <w:w w:val="95"/>
        </w:rPr>
        <w:t xml:space="preserve"> </w:t>
      </w:r>
      <w:r>
        <w:rPr>
          <w:w w:val="95"/>
        </w:rPr>
        <w:t>with</w:t>
      </w:r>
      <w:r>
        <w:rPr>
          <w:spacing w:val="-2"/>
          <w:w w:val="95"/>
        </w:rPr>
        <w:t xml:space="preserve"> </w:t>
      </w:r>
      <w:r>
        <w:rPr>
          <w:w w:val="95"/>
        </w:rPr>
        <w:t>more</w:t>
      </w:r>
      <w:r>
        <w:rPr>
          <w:spacing w:val="-2"/>
          <w:w w:val="95"/>
        </w:rPr>
        <w:t xml:space="preserve"> </w:t>
      </w:r>
      <w:r>
        <w:rPr>
          <w:w w:val="95"/>
        </w:rPr>
        <w:t xml:space="preserve">than </w:t>
      </w:r>
      <w:r>
        <w:t>20</w:t>
      </w:r>
      <w:r>
        <w:rPr>
          <w:spacing w:val="-9"/>
        </w:rPr>
        <w:t xml:space="preserve"> </w:t>
      </w:r>
      <w:r>
        <w:t>percent</w:t>
      </w:r>
      <w:r>
        <w:rPr>
          <w:spacing w:val="-9"/>
        </w:rPr>
        <w:t xml:space="preserve"> </w:t>
      </w:r>
      <w:r>
        <w:t>of</w:t>
      </w:r>
      <w:r>
        <w:rPr>
          <w:spacing w:val="-9"/>
        </w:rPr>
        <w:t xml:space="preserve"> </w:t>
      </w:r>
      <w:r>
        <w:t>Australia’s</w:t>
      </w:r>
      <w:r>
        <w:rPr>
          <w:spacing w:val="-9"/>
        </w:rPr>
        <w:t xml:space="preserve"> </w:t>
      </w:r>
      <w:r>
        <w:t>Top</w:t>
      </w:r>
      <w:r>
        <w:rPr>
          <w:spacing w:val="-9"/>
        </w:rPr>
        <w:t xml:space="preserve"> </w:t>
      </w:r>
      <w:r>
        <w:t>500</w:t>
      </w:r>
      <w:r>
        <w:rPr>
          <w:spacing w:val="-9"/>
        </w:rPr>
        <w:t xml:space="preserve"> </w:t>
      </w:r>
      <w:r>
        <w:t>companies</w:t>
      </w:r>
      <w:r>
        <w:rPr>
          <w:spacing w:val="-9"/>
        </w:rPr>
        <w:t xml:space="preserve"> </w:t>
      </w:r>
      <w:r>
        <w:t>now present in the Parramatta CBD</w:t>
      </w:r>
      <w:r>
        <w:rPr>
          <w:position w:val="7"/>
          <w:sz w:val="11"/>
        </w:rPr>
        <w:t>1</w:t>
      </w:r>
      <w:r>
        <w:t>.</w:t>
      </w:r>
    </w:p>
    <w:p w:rsidR="002C1123" w:rsidRDefault="00F22F94">
      <w:pPr>
        <w:pStyle w:val="BodyText"/>
        <w:spacing w:before="134" w:line="249" w:lineRule="auto"/>
        <w:ind w:left="232"/>
      </w:pPr>
      <w:r>
        <w:br w:type="column"/>
      </w:r>
      <w:r>
        <w:rPr>
          <w:w w:val="95"/>
        </w:rPr>
        <w:t xml:space="preserve">Greater Sydney’s Business Parks such as Norwest, </w:t>
      </w:r>
      <w:r>
        <w:t>provide</w:t>
      </w:r>
      <w:r>
        <w:rPr>
          <w:spacing w:val="-12"/>
        </w:rPr>
        <w:t xml:space="preserve"> </w:t>
      </w:r>
      <w:r>
        <w:t>highly</w:t>
      </w:r>
      <w:r>
        <w:rPr>
          <w:spacing w:val="-12"/>
        </w:rPr>
        <w:t xml:space="preserve"> </w:t>
      </w:r>
      <w:r>
        <w:t>skilled</w:t>
      </w:r>
      <w:r>
        <w:rPr>
          <w:spacing w:val="-12"/>
        </w:rPr>
        <w:t xml:space="preserve"> </w:t>
      </w:r>
      <w:r>
        <w:t>job</w:t>
      </w:r>
      <w:r>
        <w:rPr>
          <w:spacing w:val="-12"/>
        </w:rPr>
        <w:t xml:space="preserve"> </w:t>
      </w:r>
      <w:r>
        <w:t>opportunities</w:t>
      </w:r>
      <w:r>
        <w:rPr>
          <w:spacing w:val="-12"/>
        </w:rPr>
        <w:t xml:space="preserve"> </w:t>
      </w:r>
      <w:r>
        <w:t>in</w:t>
      </w:r>
      <w:r>
        <w:rPr>
          <w:spacing w:val="-12"/>
        </w:rPr>
        <w:t xml:space="preserve"> </w:t>
      </w:r>
      <w:r>
        <w:t xml:space="preserve">Greater </w:t>
      </w:r>
      <w:r>
        <w:rPr>
          <w:w w:val="95"/>
        </w:rPr>
        <w:t>Sydney.</w:t>
      </w:r>
      <w:r>
        <w:rPr>
          <w:spacing w:val="-7"/>
          <w:w w:val="95"/>
        </w:rPr>
        <w:t xml:space="preserve"> </w:t>
      </w:r>
      <w:r>
        <w:rPr>
          <w:w w:val="95"/>
        </w:rPr>
        <w:t>Health,</w:t>
      </w:r>
      <w:r>
        <w:rPr>
          <w:spacing w:val="-7"/>
          <w:w w:val="95"/>
        </w:rPr>
        <w:t xml:space="preserve"> </w:t>
      </w:r>
      <w:r>
        <w:rPr>
          <w:w w:val="95"/>
        </w:rPr>
        <w:t>education</w:t>
      </w:r>
      <w:r>
        <w:rPr>
          <w:spacing w:val="-7"/>
          <w:w w:val="95"/>
        </w:rPr>
        <w:t xml:space="preserve"> </w:t>
      </w:r>
      <w:r>
        <w:rPr>
          <w:w w:val="95"/>
        </w:rPr>
        <w:t>and</w:t>
      </w:r>
      <w:r>
        <w:rPr>
          <w:spacing w:val="-7"/>
          <w:w w:val="95"/>
        </w:rPr>
        <w:t xml:space="preserve"> </w:t>
      </w:r>
      <w:r>
        <w:rPr>
          <w:w w:val="95"/>
        </w:rPr>
        <w:t>other</w:t>
      </w:r>
      <w:r>
        <w:rPr>
          <w:spacing w:val="-7"/>
          <w:w w:val="95"/>
        </w:rPr>
        <w:t xml:space="preserve"> </w:t>
      </w:r>
      <w:r>
        <w:rPr>
          <w:w w:val="95"/>
        </w:rPr>
        <w:t>essential</w:t>
      </w:r>
      <w:r>
        <w:rPr>
          <w:spacing w:val="-7"/>
          <w:w w:val="95"/>
        </w:rPr>
        <w:t xml:space="preserve"> </w:t>
      </w:r>
      <w:r>
        <w:rPr>
          <w:w w:val="95"/>
        </w:rPr>
        <w:t xml:space="preserve">public </w:t>
      </w:r>
      <w:r>
        <w:t>services</w:t>
      </w:r>
      <w:r>
        <w:rPr>
          <w:spacing w:val="-4"/>
        </w:rPr>
        <w:t xml:space="preserve"> </w:t>
      </w:r>
      <w:r>
        <w:t>are</w:t>
      </w:r>
      <w:r>
        <w:rPr>
          <w:spacing w:val="-4"/>
        </w:rPr>
        <w:t xml:space="preserve"> </w:t>
      </w:r>
      <w:r>
        <w:t>also</w:t>
      </w:r>
      <w:r>
        <w:rPr>
          <w:spacing w:val="-4"/>
        </w:rPr>
        <w:t xml:space="preserve"> </w:t>
      </w:r>
      <w:r>
        <w:t>major</w:t>
      </w:r>
      <w:r>
        <w:rPr>
          <w:spacing w:val="-4"/>
        </w:rPr>
        <w:t xml:space="preserve"> </w:t>
      </w:r>
      <w:r>
        <w:t>employers.</w:t>
      </w:r>
    </w:p>
    <w:p w:rsidR="002C1123" w:rsidRDefault="00F22F94">
      <w:pPr>
        <w:pStyle w:val="BodyText"/>
        <w:spacing w:before="145"/>
        <w:ind w:left="232"/>
      </w:pPr>
      <w:r>
        <w:rPr>
          <w:w w:val="95"/>
        </w:rPr>
        <w:t>The</w:t>
      </w:r>
      <w:r>
        <w:rPr>
          <w:spacing w:val="-9"/>
          <w:w w:val="95"/>
        </w:rPr>
        <w:t xml:space="preserve"> </w:t>
      </w:r>
      <w:r>
        <w:rPr>
          <w:w w:val="95"/>
        </w:rPr>
        <w:t>attractiveness</w:t>
      </w:r>
      <w:r>
        <w:rPr>
          <w:spacing w:val="-9"/>
          <w:w w:val="95"/>
        </w:rPr>
        <w:t xml:space="preserve"> </w:t>
      </w:r>
      <w:r>
        <w:rPr>
          <w:w w:val="95"/>
        </w:rPr>
        <w:t>of</w:t>
      </w:r>
      <w:r>
        <w:rPr>
          <w:spacing w:val="-9"/>
          <w:w w:val="95"/>
        </w:rPr>
        <w:t xml:space="preserve"> </w:t>
      </w:r>
      <w:r>
        <w:rPr>
          <w:w w:val="95"/>
        </w:rPr>
        <w:t>the</w:t>
      </w:r>
      <w:r>
        <w:rPr>
          <w:spacing w:val="-9"/>
          <w:w w:val="95"/>
        </w:rPr>
        <w:t xml:space="preserve"> </w:t>
      </w:r>
      <w:r>
        <w:rPr>
          <w:w w:val="95"/>
        </w:rPr>
        <w:t>region</w:t>
      </w:r>
      <w:r>
        <w:rPr>
          <w:spacing w:val="-9"/>
          <w:w w:val="95"/>
        </w:rPr>
        <w:t xml:space="preserve"> </w:t>
      </w:r>
      <w:r>
        <w:rPr>
          <w:w w:val="95"/>
        </w:rPr>
        <w:t>means</w:t>
      </w:r>
      <w:r>
        <w:rPr>
          <w:spacing w:val="-9"/>
          <w:w w:val="95"/>
        </w:rPr>
        <w:t xml:space="preserve"> </w:t>
      </w:r>
      <w:r>
        <w:rPr>
          <w:w w:val="95"/>
        </w:rPr>
        <w:t>a</w:t>
      </w:r>
      <w:r>
        <w:rPr>
          <w:spacing w:val="-8"/>
          <w:w w:val="95"/>
        </w:rPr>
        <w:t xml:space="preserve"> </w:t>
      </w:r>
      <w:r>
        <w:rPr>
          <w:spacing w:val="-2"/>
          <w:w w:val="95"/>
        </w:rPr>
        <w:t>further</w:t>
      </w:r>
    </w:p>
    <w:p w:rsidR="002C1123" w:rsidRDefault="00F22F94">
      <w:pPr>
        <w:pStyle w:val="ListParagraph"/>
        <w:numPr>
          <w:ilvl w:val="1"/>
          <w:numId w:val="116"/>
        </w:numPr>
        <w:tabs>
          <w:tab w:val="left" w:pos="515"/>
        </w:tabs>
        <w:spacing w:before="10" w:line="249" w:lineRule="auto"/>
        <w:ind w:right="142" w:firstLine="0"/>
        <w:rPr>
          <w:sz w:val="20"/>
        </w:rPr>
      </w:pPr>
      <w:r>
        <w:rPr>
          <w:w w:val="95"/>
          <w:sz w:val="20"/>
        </w:rPr>
        <w:t>million</w:t>
      </w:r>
      <w:r>
        <w:rPr>
          <w:spacing w:val="-8"/>
          <w:w w:val="95"/>
          <w:sz w:val="20"/>
        </w:rPr>
        <w:t xml:space="preserve"> </w:t>
      </w:r>
      <w:r>
        <w:rPr>
          <w:w w:val="95"/>
          <w:sz w:val="20"/>
        </w:rPr>
        <w:t>people</w:t>
      </w:r>
      <w:r>
        <w:rPr>
          <w:spacing w:val="-8"/>
          <w:w w:val="95"/>
          <w:sz w:val="20"/>
        </w:rPr>
        <w:t xml:space="preserve"> </w:t>
      </w:r>
      <w:r>
        <w:rPr>
          <w:w w:val="95"/>
          <w:sz w:val="20"/>
        </w:rPr>
        <w:t>expect</w:t>
      </w:r>
      <w:r>
        <w:rPr>
          <w:spacing w:val="-8"/>
          <w:w w:val="95"/>
          <w:sz w:val="20"/>
        </w:rPr>
        <w:t xml:space="preserve"> </w:t>
      </w:r>
      <w:r>
        <w:rPr>
          <w:w w:val="95"/>
          <w:sz w:val="20"/>
        </w:rPr>
        <w:t>to</w:t>
      </w:r>
      <w:r>
        <w:rPr>
          <w:spacing w:val="-8"/>
          <w:w w:val="95"/>
          <w:sz w:val="20"/>
        </w:rPr>
        <w:t xml:space="preserve"> </w:t>
      </w:r>
      <w:r>
        <w:rPr>
          <w:w w:val="95"/>
          <w:sz w:val="20"/>
        </w:rPr>
        <w:t>call</w:t>
      </w:r>
      <w:r>
        <w:rPr>
          <w:spacing w:val="-8"/>
          <w:w w:val="95"/>
          <w:sz w:val="20"/>
        </w:rPr>
        <w:t xml:space="preserve"> </w:t>
      </w:r>
      <w:r>
        <w:rPr>
          <w:w w:val="95"/>
          <w:sz w:val="20"/>
        </w:rPr>
        <w:t>Greater</w:t>
      </w:r>
      <w:r>
        <w:rPr>
          <w:spacing w:val="-8"/>
          <w:w w:val="95"/>
          <w:sz w:val="20"/>
        </w:rPr>
        <w:t xml:space="preserve"> </w:t>
      </w:r>
      <w:r>
        <w:rPr>
          <w:w w:val="95"/>
          <w:sz w:val="20"/>
        </w:rPr>
        <w:t>Sydney</w:t>
      </w:r>
      <w:r>
        <w:rPr>
          <w:spacing w:val="-8"/>
          <w:w w:val="95"/>
          <w:sz w:val="20"/>
        </w:rPr>
        <w:t xml:space="preserve"> </w:t>
      </w:r>
      <w:r>
        <w:rPr>
          <w:w w:val="95"/>
          <w:sz w:val="20"/>
        </w:rPr>
        <w:t xml:space="preserve">home </w:t>
      </w:r>
      <w:r>
        <w:rPr>
          <w:sz w:val="20"/>
        </w:rPr>
        <w:t>over the next 20 years.</w:t>
      </w:r>
    </w:p>
    <w:p w:rsidR="002C1123" w:rsidRDefault="00F22F94">
      <w:pPr>
        <w:pStyle w:val="BodyText"/>
        <w:spacing w:before="144" w:line="249" w:lineRule="auto"/>
        <w:ind w:left="232"/>
      </w:pPr>
      <w:r>
        <w:rPr>
          <w:w w:val="95"/>
        </w:rPr>
        <w:t>Most of these new residents will be housed in existing urban</w:t>
      </w:r>
      <w:r>
        <w:rPr>
          <w:spacing w:val="-11"/>
          <w:w w:val="95"/>
        </w:rPr>
        <w:t xml:space="preserve"> </w:t>
      </w:r>
      <w:r>
        <w:rPr>
          <w:w w:val="95"/>
        </w:rPr>
        <w:t>areas.</w:t>
      </w:r>
      <w:r>
        <w:rPr>
          <w:spacing w:val="-11"/>
          <w:w w:val="95"/>
        </w:rPr>
        <w:t xml:space="preserve"> </w:t>
      </w:r>
      <w:r>
        <w:rPr>
          <w:w w:val="95"/>
        </w:rPr>
        <w:t>These</w:t>
      </w:r>
      <w:r>
        <w:rPr>
          <w:spacing w:val="-11"/>
          <w:w w:val="95"/>
        </w:rPr>
        <w:t xml:space="preserve"> </w:t>
      </w:r>
      <w:r>
        <w:rPr>
          <w:w w:val="95"/>
        </w:rPr>
        <w:t>new</w:t>
      </w:r>
      <w:r>
        <w:rPr>
          <w:spacing w:val="-11"/>
          <w:w w:val="95"/>
        </w:rPr>
        <w:t xml:space="preserve"> </w:t>
      </w:r>
      <w:r>
        <w:rPr>
          <w:w w:val="95"/>
        </w:rPr>
        <w:t>Sydneysiders,</w:t>
      </w:r>
      <w:r>
        <w:rPr>
          <w:spacing w:val="-11"/>
          <w:w w:val="95"/>
        </w:rPr>
        <w:t xml:space="preserve"> </w:t>
      </w:r>
      <w:r>
        <w:rPr>
          <w:w w:val="95"/>
        </w:rPr>
        <w:t>just</w:t>
      </w:r>
      <w:r>
        <w:rPr>
          <w:spacing w:val="-11"/>
          <w:w w:val="95"/>
        </w:rPr>
        <w:t xml:space="preserve"> </w:t>
      </w:r>
      <w:r>
        <w:rPr>
          <w:w w:val="95"/>
        </w:rPr>
        <w:t>like</w:t>
      </w:r>
      <w:r>
        <w:rPr>
          <w:spacing w:val="-11"/>
          <w:w w:val="95"/>
        </w:rPr>
        <w:t xml:space="preserve"> </w:t>
      </w:r>
      <w:r>
        <w:rPr>
          <w:w w:val="95"/>
        </w:rPr>
        <w:t xml:space="preserve">today’s </w:t>
      </w:r>
      <w:r>
        <w:t>residents,</w:t>
      </w:r>
      <w:r>
        <w:rPr>
          <w:spacing w:val="-9"/>
        </w:rPr>
        <w:t xml:space="preserve"> </w:t>
      </w:r>
      <w:r>
        <w:t>will</w:t>
      </w:r>
      <w:r>
        <w:rPr>
          <w:spacing w:val="-9"/>
        </w:rPr>
        <w:t xml:space="preserve"> </w:t>
      </w:r>
      <w:r>
        <w:t>work</w:t>
      </w:r>
      <w:r>
        <w:rPr>
          <w:spacing w:val="-9"/>
        </w:rPr>
        <w:t xml:space="preserve"> </w:t>
      </w:r>
      <w:r>
        <w:t>at</w:t>
      </w:r>
      <w:r>
        <w:rPr>
          <w:spacing w:val="-9"/>
        </w:rPr>
        <w:t xml:space="preserve"> </w:t>
      </w:r>
      <w:r>
        <w:t>jobs</w:t>
      </w:r>
      <w:r>
        <w:rPr>
          <w:spacing w:val="-9"/>
        </w:rPr>
        <w:t xml:space="preserve"> </w:t>
      </w:r>
      <w:r>
        <w:t>across</w:t>
      </w:r>
      <w:r>
        <w:rPr>
          <w:spacing w:val="-9"/>
        </w:rPr>
        <w:t xml:space="preserve"> </w:t>
      </w:r>
      <w:r>
        <w:t>the</w:t>
      </w:r>
      <w:r>
        <w:rPr>
          <w:spacing w:val="-9"/>
        </w:rPr>
        <w:t xml:space="preserve"> </w:t>
      </w:r>
      <w:r>
        <w:t>metropolitan region.</w:t>
      </w:r>
      <w:r>
        <w:rPr>
          <w:spacing w:val="-7"/>
        </w:rPr>
        <w:t xml:space="preserve"> </w:t>
      </w:r>
      <w:r>
        <w:t>While</w:t>
      </w:r>
      <w:r>
        <w:rPr>
          <w:spacing w:val="-7"/>
        </w:rPr>
        <w:t xml:space="preserve"> </w:t>
      </w:r>
      <w:r>
        <w:t>public</w:t>
      </w:r>
      <w:r>
        <w:rPr>
          <w:spacing w:val="-7"/>
        </w:rPr>
        <w:t xml:space="preserve"> </w:t>
      </w:r>
      <w:r>
        <w:t>transport</w:t>
      </w:r>
      <w:r>
        <w:rPr>
          <w:spacing w:val="-7"/>
        </w:rPr>
        <w:t xml:space="preserve"> </w:t>
      </w:r>
      <w:r>
        <w:t>will</w:t>
      </w:r>
      <w:r>
        <w:rPr>
          <w:spacing w:val="-7"/>
        </w:rPr>
        <w:t xml:space="preserve"> </w:t>
      </w:r>
      <w:r>
        <w:t>be</w:t>
      </w:r>
      <w:r>
        <w:rPr>
          <w:spacing w:val="-7"/>
        </w:rPr>
        <w:t xml:space="preserve"> </w:t>
      </w:r>
      <w:r>
        <w:t>important</w:t>
      </w:r>
      <w:r>
        <w:rPr>
          <w:spacing w:val="-7"/>
        </w:rPr>
        <w:t xml:space="preserve"> </w:t>
      </w:r>
      <w:r>
        <w:t>for some,</w:t>
      </w:r>
      <w:r>
        <w:rPr>
          <w:spacing w:val="-10"/>
        </w:rPr>
        <w:t xml:space="preserve"> </w:t>
      </w:r>
      <w:r>
        <w:t>cars</w:t>
      </w:r>
      <w:r>
        <w:rPr>
          <w:spacing w:val="-10"/>
        </w:rPr>
        <w:t xml:space="preserve"> </w:t>
      </w:r>
      <w:r>
        <w:t>will</w:t>
      </w:r>
      <w:r>
        <w:rPr>
          <w:spacing w:val="-10"/>
        </w:rPr>
        <w:t xml:space="preserve"> </w:t>
      </w:r>
      <w:r>
        <w:t>remain,</w:t>
      </w:r>
      <w:r>
        <w:rPr>
          <w:spacing w:val="-10"/>
        </w:rPr>
        <w:t xml:space="preserve"> </w:t>
      </w:r>
      <w:r>
        <w:t>for</w:t>
      </w:r>
      <w:r>
        <w:rPr>
          <w:spacing w:val="-10"/>
        </w:rPr>
        <w:t xml:space="preserve"> </w:t>
      </w:r>
      <w:r>
        <w:t>most</w:t>
      </w:r>
      <w:r>
        <w:rPr>
          <w:spacing w:val="-10"/>
        </w:rPr>
        <w:t xml:space="preserve"> </w:t>
      </w:r>
      <w:r>
        <w:t>people,</w:t>
      </w:r>
      <w:r>
        <w:rPr>
          <w:spacing w:val="-10"/>
        </w:rPr>
        <w:t xml:space="preserve"> </w:t>
      </w:r>
      <w:r>
        <w:t>the</w:t>
      </w:r>
      <w:r>
        <w:rPr>
          <w:spacing w:val="-10"/>
        </w:rPr>
        <w:t xml:space="preserve"> </w:t>
      </w:r>
      <w:r>
        <w:t>only practical</w:t>
      </w:r>
      <w:r>
        <w:rPr>
          <w:spacing w:val="-10"/>
        </w:rPr>
        <w:t xml:space="preserve"> </w:t>
      </w:r>
      <w:r>
        <w:t>option</w:t>
      </w:r>
      <w:r>
        <w:rPr>
          <w:spacing w:val="-10"/>
        </w:rPr>
        <w:t xml:space="preserve"> </w:t>
      </w:r>
      <w:r>
        <w:t>for</w:t>
      </w:r>
      <w:r>
        <w:rPr>
          <w:spacing w:val="-10"/>
        </w:rPr>
        <w:t xml:space="preserve"> </w:t>
      </w:r>
      <w:r>
        <w:t>their</w:t>
      </w:r>
      <w:r>
        <w:rPr>
          <w:spacing w:val="-10"/>
        </w:rPr>
        <w:t xml:space="preserve"> </w:t>
      </w:r>
      <w:r>
        <w:t>daily</w:t>
      </w:r>
      <w:r>
        <w:rPr>
          <w:spacing w:val="-10"/>
        </w:rPr>
        <w:t xml:space="preserve"> </w:t>
      </w:r>
      <w:r>
        <w:t>travel</w:t>
      </w:r>
      <w:r>
        <w:rPr>
          <w:spacing w:val="-10"/>
        </w:rPr>
        <w:t xml:space="preserve"> </w:t>
      </w:r>
      <w:r>
        <w:t>needs.</w:t>
      </w:r>
    </w:p>
    <w:p w:rsidR="002C1123" w:rsidRDefault="00F22F94">
      <w:pPr>
        <w:pStyle w:val="BodyText"/>
        <w:spacing w:before="147" w:line="249" w:lineRule="auto"/>
        <w:ind w:left="232"/>
      </w:pPr>
      <w:r>
        <w:rPr>
          <w:w w:val="95"/>
        </w:rPr>
        <w:t>Infrastructure</w:t>
      </w:r>
      <w:r>
        <w:rPr>
          <w:spacing w:val="-12"/>
          <w:w w:val="95"/>
        </w:rPr>
        <w:t xml:space="preserve"> </w:t>
      </w:r>
      <w:r>
        <w:rPr>
          <w:w w:val="95"/>
        </w:rPr>
        <w:t>NSW</w:t>
      </w:r>
      <w:r>
        <w:rPr>
          <w:spacing w:val="-11"/>
          <w:w w:val="95"/>
        </w:rPr>
        <w:t xml:space="preserve"> </w:t>
      </w:r>
      <w:r>
        <w:rPr>
          <w:w w:val="95"/>
        </w:rPr>
        <w:t>has</w:t>
      </w:r>
      <w:r>
        <w:rPr>
          <w:spacing w:val="-11"/>
          <w:w w:val="95"/>
        </w:rPr>
        <w:t xml:space="preserve"> </w:t>
      </w:r>
      <w:r>
        <w:rPr>
          <w:w w:val="95"/>
        </w:rPr>
        <w:t>identified</w:t>
      </w:r>
      <w:r>
        <w:rPr>
          <w:spacing w:val="-11"/>
          <w:w w:val="95"/>
        </w:rPr>
        <w:t xml:space="preserve"> </w:t>
      </w:r>
      <w:r>
        <w:rPr>
          <w:w w:val="95"/>
        </w:rPr>
        <w:t>five</w:t>
      </w:r>
      <w:r>
        <w:rPr>
          <w:spacing w:val="-11"/>
          <w:w w:val="95"/>
        </w:rPr>
        <w:t xml:space="preserve"> </w:t>
      </w:r>
      <w:r>
        <w:rPr>
          <w:w w:val="95"/>
        </w:rPr>
        <w:t xml:space="preserve">infrastructure </w:t>
      </w:r>
      <w:r>
        <w:t>priorities</w:t>
      </w:r>
      <w:r>
        <w:rPr>
          <w:spacing w:val="-6"/>
        </w:rPr>
        <w:t xml:space="preserve"> </w:t>
      </w:r>
      <w:r>
        <w:t>to</w:t>
      </w:r>
      <w:r>
        <w:rPr>
          <w:spacing w:val="-6"/>
        </w:rPr>
        <w:t xml:space="preserve"> </w:t>
      </w:r>
      <w:r>
        <w:t>support</w:t>
      </w:r>
      <w:r>
        <w:rPr>
          <w:spacing w:val="-6"/>
        </w:rPr>
        <w:t xml:space="preserve"> </w:t>
      </w:r>
      <w:r>
        <w:t>this</w:t>
      </w:r>
      <w:r>
        <w:rPr>
          <w:spacing w:val="-6"/>
        </w:rPr>
        <w:t xml:space="preserve"> </w:t>
      </w:r>
      <w:r>
        <w:t>rapidly</w:t>
      </w:r>
      <w:r>
        <w:rPr>
          <w:spacing w:val="-6"/>
        </w:rPr>
        <w:t xml:space="preserve"> </w:t>
      </w:r>
      <w:r>
        <w:t>growing</w:t>
      </w:r>
      <w:r>
        <w:rPr>
          <w:spacing w:val="-6"/>
        </w:rPr>
        <w:t xml:space="preserve"> </w:t>
      </w:r>
      <w:r>
        <w:t>region:</w:t>
      </w:r>
    </w:p>
    <w:p w:rsidR="002C1123" w:rsidRDefault="00F22F94">
      <w:pPr>
        <w:pStyle w:val="ListParagraph"/>
        <w:numPr>
          <w:ilvl w:val="2"/>
          <w:numId w:val="116"/>
        </w:numPr>
        <w:tabs>
          <w:tab w:val="left" w:pos="516"/>
        </w:tabs>
        <w:spacing w:before="131"/>
        <w:rPr>
          <w:sz w:val="20"/>
        </w:rPr>
      </w:pPr>
      <w:r>
        <w:rPr>
          <w:w w:val="95"/>
          <w:sz w:val="20"/>
        </w:rPr>
        <w:t>local</w:t>
      </w:r>
      <w:r>
        <w:rPr>
          <w:spacing w:val="-8"/>
          <w:w w:val="95"/>
          <w:sz w:val="20"/>
        </w:rPr>
        <w:t xml:space="preserve"> </w:t>
      </w:r>
      <w:r>
        <w:rPr>
          <w:w w:val="95"/>
          <w:sz w:val="20"/>
        </w:rPr>
        <w:t>infrastructure</w:t>
      </w:r>
      <w:r>
        <w:rPr>
          <w:spacing w:val="-8"/>
          <w:w w:val="95"/>
          <w:sz w:val="20"/>
        </w:rPr>
        <w:t xml:space="preserve"> </w:t>
      </w:r>
      <w:r>
        <w:rPr>
          <w:w w:val="95"/>
          <w:sz w:val="20"/>
        </w:rPr>
        <w:t>for</w:t>
      </w:r>
      <w:r>
        <w:rPr>
          <w:spacing w:val="-7"/>
          <w:w w:val="95"/>
          <w:sz w:val="20"/>
        </w:rPr>
        <w:t xml:space="preserve"> </w:t>
      </w:r>
      <w:r>
        <w:rPr>
          <w:w w:val="95"/>
          <w:sz w:val="20"/>
        </w:rPr>
        <w:t>new</w:t>
      </w:r>
      <w:r>
        <w:rPr>
          <w:spacing w:val="-8"/>
          <w:w w:val="95"/>
          <w:sz w:val="20"/>
        </w:rPr>
        <w:t xml:space="preserve"> </w:t>
      </w:r>
      <w:r>
        <w:rPr>
          <w:spacing w:val="-2"/>
          <w:w w:val="95"/>
          <w:sz w:val="20"/>
        </w:rPr>
        <w:t>houses</w:t>
      </w:r>
    </w:p>
    <w:p w:rsidR="002C1123" w:rsidRDefault="00F22F94">
      <w:pPr>
        <w:pStyle w:val="ListParagraph"/>
        <w:numPr>
          <w:ilvl w:val="2"/>
          <w:numId w:val="116"/>
        </w:numPr>
        <w:tabs>
          <w:tab w:val="left" w:pos="516"/>
        </w:tabs>
        <w:spacing w:before="139" w:line="249" w:lineRule="auto"/>
        <w:ind w:right="780"/>
        <w:rPr>
          <w:sz w:val="20"/>
        </w:rPr>
      </w:pPr>
      <w:r>
        <w:rPr>
          <w:w w:val="95"/>
          <w:sz w:val="20"/>
        </w:rPr>
        <w:t xml:space="preserve">good roads for commuter, community and </w:t>
      </w:r>
      <w:r>
        <w:rPr>
          <w:sz w:val="20"/>
        </w:rPr>
        <w:t>freight</w:t>
      </w:r>
      <w:r>
        <w:rPr>
          <w:spacing w:val="-11"/>
          <w:sz w:val="20"/>
        </w:rPr>
        <w:t xml:space="preserve"> </w:t>
      </w:r>
      <w:r>
        <w:rPr>
          <w:sz w:val="20"/>
        </w:rPr>
        <w:t>traffic</w:t>
      </w:r>
    </w:p>
    <w:p w:rsidR="002C1123" w:rsidRDefault="00F22F94">
      <w:pPr>
        <w:pStyle w:val="ListParagraph"/>
        <w:numPr>
          <w:ilvl w:val="2"/>
          <w:numId w:val="116"/>
        </w:numPr>
        <w:tabs>
          <w:tab w:val="left" w:pos="516"/>
        </w:tabs>
        <w:spacing w:before="130"/>
        <w:rPr>
          <w:sz w:val="20"/>
        </w:rPr>
      </w:pPr>
      <w:r>
        <w:rPr>
          <w:w w:val="95"/>
          <w:sz w:val="20"/>
        </w:rPr>
        <w:t>better</w:t>
      </w:r>
      <w:r>
        <w:rPr>
          <w:spacing w:val="-2"/>
          <w:sz w:val="20"/>
        </w:rPr>
        <w:t xml:space="preserve"> </w:t>
      </w:r>
      <w:r>
        <w:rPr>
          <w:w w:val="95"/>
          <w:sz w:val="20"/>
        </w:rPr>
        <w:t>public</w:t>
      </w:r>
      <w:r>
        <w:rPr>
          <w:spacing w:val="-1"/>
          <w:sz w:val="20"/>
        </w:rPr>
        <w:t xml:space="preserve"> </w:t>
      </w:r>
      <w:r>
        <w:rPr>
          <w:w w:val="95"/>
          <w:sz w:val="20"/>
        </w:rPr>
        <w:t>transport</w:t>
      </w:r>
      <w:r>
        <w:rPr>
          <w:spacing w:val="-1"/>
          <w:sz w:val="20"/>
        </w:rPr>
        <w:t xml:space="preserve"> </w:t>
      </w:r>
      <w:r>
        <w:rPr>
          <w:w w:val="95"/>
          <w:sz w:val="20"/>
        </w:rPr>
        <w:t>into</w:t>
      </w:r>
      <w:r>
        <w:rPr>
          <w:spacing w:val="-1"/>
          <w:sz w:val="20"/>
        </w:rPr>
        <w:t xml:space="preserve"> </w:t>
      </w:r>
      <w:r>
        <w:rPr>
          <w:w w:val="95"/>
          <w:sz w:val="20"/>
        </w:rPr>
        <w:t>key</w:t>
      </w:r>
      <w:r>
        <w:rPr>
          <w:spacing w:val="-1"/>
          <w:sz w:val="20"/>
        </w:rPr>
        <w:t xml:space="preserve"> </w:t>
      </w:r>
      <w:r>
        <w:rPr>
          <w:w w:val="95"/>
          <w:sz w:val="20"/>
        </w:rPr>
        <w:t>employment</w:t>
      </w:r>
      <w:r>
        <w:rPr>
          <w:spacing w:val="-1"/>
          <w:sz w:val="20"/>
        </w:rPr>
        <w:t xml:space="preserve"> </w:t>
      </w:r>
      <w:r>
        <w:rPr>
          <w:spacing w:val="-2"/>
          <w:w w:val="95"/>
          <w:sz w:val="20"/>
        </w:rPr>
        <w:t>centres</w:t>
      </w:r>
    </w:p>
    <w:p w:rsidR="002C1123" w:rsidRDefault="00F22F94">
      <w:pPr>
        <w:pStyle w:val="ListParagraph"/>
        <w:numPr>
          <w:ilvl w:val="2"/>
          <w:numId w:val="116"/>
        </w:numPr>
        <w:tabs>
          <w:tab w:val="left" w:pos="516"/>
        </w:tabs>
        <w:spacing w:before="140"/>
        <w:rPr>
          <w:sz w:val="20"/>
        </w:rPr>
      </w:pPr>
      <w:r>
        <w:rPr>
          <w:w w:val="95"/>
          <w:sz w:val="20"/>
        </w:rPr>
        <w:t>new</w:t>
      </w:r>
      <w:r>
        <w:rPr>
          <w:spacing w:val="-2"/>
          <w:w w:val="95"/>
          <w:sz w:val="20"/>
        </w:rPr>
        <w:t xml:space="preserve"> </w:t>
      </w:r>
      <w:r>
        <w:rPr>
          <w:w w:val="95"/>
          <w:sz w:val="20"/>
        </w:rPr>
        <w:t>schools</w:t>
      </w:r>
      <w:r>
        <w:rPr>
          <w:spacing w:val="-2"/>
          <w:w w:val="95"/>
          <w:sz w:val="20"/>
        </w:rPr>
        <w:t xml:space="preserve"> </w:t>
      </w:r>
      <w:r>
        <w:rPr>
          <w:w w:val="95"/>
          <w:sz w:val="20"/>
        </w:rPr>
        <w:t>and</w:t>
      </w:r>
      <w:r>
        <w:rPr>
          <w:spacing w:val="-1"/>
          <w:w w:val="95"/>
          <w:sz w:val="20"/>
        </w:rPr>
        <w:t xml:space="preserve"> </w:t>
      </w:r>
      <w:r>
        <w:rPr>
          <w:w w:val="95"/>
          <w:sz w:val="20"/>
        </w:rPr>
        <w:t>hospitals</w:t>
      </w:r>
      <w:r>
        <w:rPr>
          <w:spacing w:val="-2"/>
          <w:w w:val="95"/>
          <w:sz w:val="20"/>
        </w:rPr>
        <w:t xml:space="preserve"> </w:t>
      </w:r>
      <w:r>
        <w:rPr>
          <w:w w:val="95"/>
          <w:sz w:val="20"/>
        </w:rPr>
        <w:t>in</w:t>
      </w:r>
      <w:r>
        <w:rPr>
          <w:spacing w:val="-2"/>
          <w:w w:val="95"/>
          <w:sz w:val="20"/>
        </w:rPr>
        <w:t xml:space="preserve"> </w:t>
      </w:r>
      <w:r>
        <w:rPr>
          <w:w w:val="95"/>
          <w:sz w:val="20"/>
        </w:rPr>
        <w:t>growing</w:t>
      </w:r>
      <w:r>
        <w:rPr>
          <w:spacing w:val="-1"/>
          <w:w w:val="95"/>
          <w:sz w:val="20"/>
        </w:rPr>
        <w:t xml:space="preserve"> </w:t>
      </w:r>
      <w:r>
        <w:rPr>
          <w:spacing w:val="-2"/>
          <w:w w:val="95"/>
          <w:sz w:val="20"/>
        </w:rPr>
        <w:t>suburbs</w:t>
      </w:r>
    </w:p>
    <w:p w:rsidR="002C1123" w:rsidRDefault="00F22F94">
      <w:pPr>
        <w:pStyle w:val="ListParagraph"/>
        <w:numPr>
          <w:ilvl w:val="2"/>
          <w:numId w:val="116"/>
        </w:numPr>
        <w:tabs>
          <w:tab w:val="left" w:pos="516"/>
        </w:tabs>
        <w:spacing w:before="139"/>
        <w:rPr>
          <w:sz w:val="20"/>
        </w:rPr>
      </w:pPr>
      <w:r>
        <w:rPr>
          <w:w w:val="95"/>
          <w:sz w:val="20"/>
        </w:rPr>
        <w:t>flood</w:t>
      </w:r>
      <w:r>
        <w:rPr>
          <w:spacing w:val="-2"/>
          <w:sz w:val="20"/>
        </w:rPr>
        <w:t xml:space="preserve"> </w:t>
      </w:r>
      <w:r>
        <w:rPr>
          <w:w w:val="95"/>
          <w:sz w:val="20"/>
        </w:rPr>
        <w:t>protection</w:t>
      </w:r>
      <w:r>
        <w:rPr>
          <w:spacing w:val="-2"/>
          <w:sz w:val="20"/>
        </w:rPr>
        <w:t xml:space="preserve"> </w:t>
      </w:r>
      <w:r>
        <w:rPr>
          <w:w w:val="95"/>
          <w:sz w:val="20"/>
        </w:rPr>
        <w:t>for</w:t>
      </w:r>
      <w:r>
        <w:rPr>
          <w:spacing w:val="-2"/>
          <w:sz w:val="20"/>
        </w:rPr>
        <w:t xml:space="preserve"> </w:t>
      </w:r>
      <w:r>
        <w:rPr>
          <w:w w:val="95"/>
          <w:sz w:val="20"/>
        </w:rPr>
        <w:t>the</w:t>
      </w:r>
      <w:r>
        <w:rPr>
          <w:spacing w:val="-2"/>
          <w:sz w:val="20"/>
        </w:rPr>
        <w:t xml:space="preserve"> </w:t>
      </w:r>
      <w:r>
        <w:rPr>
          <w:w w:val="95"/>
          <w:sz w:val="20"/>
        </w:rPr>
        <w:t>Hawkesbury</w:t>
      </w:r>
      <w:r>
        <w:rPr>
          <w:spacing w:val="-2"/>
          <w:sz w:val="20"/>
        </w:rPr>
        <w:t xml:space="preserve"> </w:t>
      </w:r>
      <w:r>
        <w:rPr>
          <w:w w:val="95"/>
          <w:sz w:val="20"/>
        </w:rPr>
        <w:t>Nepean</w:t>
      </w:r>
      <w:r>
        <w:rPr>
          <w:spacing w:val="-2"/>
          <w:sz w:val="20"/>
        </w:rPr>
        <w:t xml:space="preserve"> </w:t>
      </w:r>
      <w:r>
        <w:rPr>
          <w:spacing w:val="-2"/>
          <w:w w:val="95"/>
          <w:sz w:val="20"/>
        </w:rPr>
        <w:t>Valley.</w:t>
      </w:r>
    </w:p>
    <w:p w:rsidR="002C1123" w:rsidRDefault="00F22F94">
      <w:pPr>
        <w:pStyle w:val="BodyText"/>
        <w:spacing w:before="134" w:line="249" w:lineRule="auto"/>
        <w:ind w:left="422" w:right="638"/>
      </w:pPr>
      <w:r>
        <w:br w:type="column"/>
      </w:r>
      <w:r>
        <w:rPr>
          <w:w w:val="95"/>
        </w:rPr>
        <w:t>Greater</w:t>
      </w:r>
      <w:r>
        <w:rPr>
          <w:spacing w:val="-12"/>
          <w:w w:val="95"/>
        </w:rPr>
        <w:t xml:space="preserve"> </w:t>
      </w:r>
      <w:r>
        <w:rPr>
          <w:w w:val="95"/>
        </w:rPr>
        <w:t>Sydney</w:t>
      </w:r>
      <w:r>
        <w:rPr>
          <w:spacing w:val="-11"/>
          <w:w w:val="95"/>
        </w:rPr>
        <w:t xml:space="preserve"> </w:t>
      </w:r>
      <w:r>
        <w:rPr>
          <w:w w:val="95"/>
        </w:rPr>
        <w:t>(as</w:t>
      </w:r>
      <w:r>
        <w:rPr>
          <w:spacing w:val="-11"/>
          <w:w w:val="95"/>
        </w:rPr>
        <w:t xml:space="preserve"> </w:t>
      </w:r>
      <w:r>
        <w:rPr>
          <w:w w:val="95"/>
        </w:rPr>
        <w:t>described</w:t>
      </w:r>
      <w:r>
        <w:rPr>
          <w:spacing w:val="-11"/>
          <w:w w:val="95"/>
        </w:rPr>
        <w:t xml:space="preserve"> </w:t>
      </w:r>
      <w:r>
        <w:rPr>
          <w:w w:val="95"/>
        </w:rPr>
        <w:t>in</w:t>
      </w:r>
      <w:r>
        <w:rPr>
          <w:spacing w:val="-11"/>
          <w:w w:val="95"/>
        </w:rPr>
        <w:t xml:space="preserve"> </w:t>
      </w:r>
      <w:r>
        <w:rPr>
          <w:w w:val="95"/>
        </w:rPr>
        <w:t>this</w:t>
      </w:r>
      <w:r>
        <w:rPr>
          <w:spacing w:val="-11"/>
          <w:w w:val="95"/>
        </w:rPr>
        <w:t xml:space="preserve"> </w:t>
      </w:r>
      <w:r>
        <w:rPr>
          <w:w w:val="95"/>
        </w:rPr>
        <w:t>section)</w:t>
      </w:r>
      <w:r>
        <w:rPr>
          <w:spacing w:val="-11"/>
          <w:w w:val="95"/>
        </w:rPr>
        <w:t xml:space="preserve"> </w:t>
      </w:r>
      <w:r>
        <w:rPr>
          <w:w w:val="95"/>
        </w:rPr>
        <w:t>is</w:t>
      </w:r>
      <w:r>
        <w:rPr>
          <w:spacing w:val="-11"/>
          <w:w w:val="95"/>
        </w:rPr>
        <w:t xml:space="preserve"> </w:t>
      </w:r>
      <w:r>
        <w:rPr>
          <w:w w:val="95"/>
        </w:rPr>
        <w:t>all</w:t>
      </w:r>
      <w:r>
        <w:rPr>
          <w:spacing w:val="-12"/>
          <w:w w:val="95"/>
        </w:rPr>
        <w:t xml:space="preserve"> </w:t>
      </w:r>
      <w:r>
        <w:rPr>
          <w:w w:val="95"/>
        </w:rPr>
        <w:t>of</w:t>
      </w:r>
      <w:r>
        <w:rPr>
          <w:spacing w:val="-11"/>
          <w:w w:val="95"/>
        </w:rPr>
        <w:t xml:space="preserve"> </w:t>
      </w:r>
      <w:r>
        <w:rPr>
          <w:w w:val="95"/>
        </w:rPr>
        <w:t xml:space="preserve">the </w:t>
      </w:r>
      <w:r>
        <w:t>Sydney</w:t>
      </w:r>
      <w:r>
        <w:rPr>
          <w:spacing w:val="-14"/>
        </w:rPr>
        <w:t xml:space="preserve"> </w:t>
      </w:r>
      <w:r>
        <w:t>Metropolitan</w:t>
      </w:r>
      <w:r>
        <w:rPr>
          <w:spacing w:val="-14"/>
        </w:rPr>
        <w:t xml:space="preserve"> </w:t>
      </w:r>
      <w:r>
        <w:t>Area</w:t>
      </w:r>
      <w:r>
        <w:rPr>
          <w:spacing w:val="-14"/>
        </w:rPr>
        <w:t xml:space="preserve"> </w:t>
      </w:r>
      <w:r>
        <w:t>other</w:t>
      </w:r>
      <w:r>
        <w:rPr>
          <w:spacing w:val="-14"/>
        </w:rPr>
        <w:t xml:space="preserve"> </w:t>
      </w:r>
      <w:r>
        <w:t>than</w:t>
      </w:r>
      <w:r>
        <w:rPr>
          <w:spacing w:val="-14"/>
        </w:rPr>
        <w:t xml:space="preserve"> </w:t>
      </w:r>
      <w:r>
        <w:t>the</w:t>
      </w:r>
      <w:r>
        <w:rPr>
          <w:spacing w:val="-14"/>
        </w:rPr>
        <w:t xml:space="preserve"> </w:t>
      </w:r>
      <w:r>
        <w:t>inner</w:t>
      </w:r>
      <w:r>
        <w:rPr>
          <w:spacing w:val="-14"/>
        </w:rPr>
        <w:t xml:space="preserve"> </w:t>
      </w:r>
      <w:r>
        <w:t>urban areas of Global Sydney.</w:t>
      </w:r>
    </w:p>
    <w:p w:rsidR="002C1123" w:rsidRDefault="00F22F94">
      <w:pPr>
        <w:pStyle w:val="BodyText"/>
        <w:spacing w:before="145" w:line="249" w:lineRule="auto"/>
        <w:ind w:left="422" w:right="638"/>
      </w:pPr>
      <w:r>
        <w:rPr>
          <w:w w:val="95"/>
        </w:rPr>
        <w:t xml:space="preserve">It comprises the diverse suburban communities that ring </w:t>
      </w:r>
      <w:r>
        <w:t>Global</w:t>
      </w:r>
      <w:r>
        <w:rPr>
          <w:spacing w:val="-11"/>
        </w:rPr>
        <w:t xml:space="preserve"> </w:t>
      </w:r>
      <w:r>
        <w:t>Sydney</w:t>
      </w:r>
      <w:r>
        <w:rPr>
          <w:spacing w:val="-11"/>
        </w:rPr>
        <w:t xml:space="preserve"> </w:t>
      </w:r>
      <w:r>
        <w:t>from</w:t>
      </w:r>
      <w:r>
        <w:rPr>
          <w:spacing w:val="-12"/>
        </w:rPr>
        <w:t xml:space="preserve"> </w:t>
      </w:r>
      <w:r>
        <w:t>Campbelltown</w:t>
      </w:r>
      <w:r>
        <w:rPr>
          <w:spacing w:val="-11"/>
        </w:rPr>
        <w:t xml:space="preserve"> </w:t>
      </w:r>
      <w:r>
        <w:t>in</w:t>
      </w:r>
      <w:r>
        <w:rPr>
          <w:spacing w:val="-11"/>
        </w:rPr>
        <w:t xml:space="preserve"> </w:t>
      </w:r>
      <w:r>
        <w:t>the</w:t>
      </w:r>
      <w:r>
        <w:rPr>
          <w:spacing w:val="-11"/>
        </w:rPr>
        <w:t xml:space="preserve"> </w:t>
      </w:r>
      <w:r>
        <w:t>South</w:t>
      </w:r>
      <w:r>
        <w:rPr>
          <w:spacing w:val="-11"/>
        </w:rPr>
        <w:t xml:space="preserve"> </w:t>
      </w:r>
      <w:r>
        <w:t>to</w:t>
      </w:r>
      <w:r>
        <w:rPr>
          <w:spacing w:val="-11"/>
        </w:rPr>
        <w:t xml:space="preserve"> </w:t>
      </w:r>
      <w:r>
        <w:t xml:space="preserve">the </w:t>
      </w:r>
      <w:r>
        <w:rPr>
          <w:w w:val="95"/>
        </w:rPr>
        <w:t xml:space="preserve">Northern suburbs, Gosford and the Central Coast in the </w:t>
      </w:r>
      <w:r>
        <w:t>North and Penrith in the West.</w:t>
      </w:r>
    </w:p>
    <w:p w:rsidR="002C1123" w:rsidRDefault="00F22F94">
      <w:pPr>
        <w:pStyle w:val="BodyText"/>
        <w:spacing w:before="145" w:line="249" w:lineRule="auto"/>
        <w:ind w:left="422" w:right="638"/>
      </w:pPr>
      <w:r>
        <w:rPr>
          <w:w w:val="95"/>
        </w:rPr>
        <w:t>It</w:t>
      </w:r>
      <w:r>
        <w:rPr>
          <w:spacing w:val="-1"/>
          <w:w w:val="95"/>
        </w:rPr>
        <w:t xml:space="preserve"> </w:t>
      </w:r>
      <w:r>
        <w:rPr>
          <w:w w:val="95"/>
        </w:rPr>
        <w:t>also</w:t>
      </w:r>
      <w:r>
        <w:rPr>
          <w:spacing w:val="-1"/>
          <w:w w:val="95"/>
        </w:rPr>
        <w:t xml:space="preserve"> </w:t>
      </w:r>
      <w:r>
        <w:rPr>
          <w:w w:val="95"/>
        </w:rPr>
        <w:t>encompasses</w:t>
      </w:r>
      <w:r>
        <w:rPr>
          <w:spacing w:val="-1"/>
          <w:w w:val="95"/>
        </w:rPr>
        <w:t xml:space="preserve"> </w:t>
      </w:r>
      <w:r>
        <w:rPr>
          <w:w w:val="95"/>
        </w:rPr>
        <w:t>the</w:t>
      </w:r>
      <w:r>
        <w:rPr>
          <w:spacing w:val="-1"/>
          <w:w w:val="95"/>
        </w:rPr>
        <w:t xml:space="preserve"> </w:t>
      </w:r>
      <w:r>
        <w:rPr>
          <w:w w:val="95"/>
        </w:rPr>
        <w:t>economic,</w:t>
      </w:r>
      <w:r>
        <w:rPr>
          <w:spacing w:val="-1"/>
          <w:w w:val="95"/>
        </w:rPr>
        <w:t xml:space="preserve"> </w:t>
      </w:r>
      <w:r>
        <w:rPr>
          <w:w w:val="95"/>
        </w:rPr>
        <w:t>administrative</w:t>
      </w:r>
      <w:r>
        <w:rPr>
          <w:spacing w:val="-1"/>
          <w:w w:val="95"/>
        </w:rPr>
        <w:t xml:space="preserve"> </w:t>
      </w:r>
      <w:r>
        <w:rPr>
          <w:w w:val="95"/>
        </w:rPr>
        <w:t xml:space="preserve">and </w:t>
      </w:r>
      <w:r>
        <w:t>social</w:t>
      </w:r>
      <w:r>
        <w:rPr>
          <w:spacing w:val="-14"/>
        </w:rPr>
        <w:t xml:space="preserve"> </w:t>
      </w:r>
      <w:r>
        <w:t>hubs</w:t>
      </w:r>
      <w:r>
        <w:rPr>
          <w:spacing w:val="-14"/>
        </w:rPr>
        <w:t xml:space="preserve"> </w:t>
      </w:r>
      <w:r>
        <w:t>of</w:t>
      </w:r>
      <w:r>
        <w:rPr>
          <w:spacing w:val="-13"/>
        </w:rPr>
        <w:t xml:space="preserve"> </w:t>
      </w:r>
      <w:r>
        <w:t>Parramatta,</w:t>
      </w:r>
      <w:r>
        <w:rPr>
          <w:spacing w:val="-14"/>
        </w:rPr>
        <w:t xml:space="preserve"> </w:t>
      </w:r>
      <w:r>
        <w:t>Liverpool,</w:t>
      </w:r>
      <w:r>
        <w:rPr>
          <w:spacing w:val="-14"/>
        </w:rPr>
        <w:t xml:space="preserve"> </w:t>
      </w:r>
      <w:r>
        <w:t>Campbelltown, Penrith,</w:t>
      </w:r>
      <w:r>
        <w:rPr>
          <w:spacing w:val="-5"/>
        </w:rPr>
        <w:t xml:space="preserve"> </w:t>
      </w:r>
      <w:r>
        <w:t>Blacktown,</w:t>
      </w:r>
      <w:r>
        <w:rPr>
          <w:spacing w:val="-5"/>
        </w:rPr>
        <w:t xml:space="preserve"> </w:t>
      </w:r>
      <w:r>
        <w:t>Sutherland</w:t>
      </w:r>
      <w:r>
        <w:rPr>
          <w:spacing w:val="-5"/>
        </w:rPr>
        <w:t xml:space="preserve"> </w:t>
      </w:r>
      <w:r>
        <w:t>and</w:t>
      </w:r>
      <w:r>
        <w:rPr>
          <w:spacing w:val="-5"/>
        </w:rPr>
        <w:t xml:space="preserve"> </w:t>
      </w:r>
      <w:r>
        <w:t>Hornsby.</w:t>
      </w:r>
    </w:p>
    <w:p w:rsidR="002C1123" w:rsidRDefault="00F22F94">
      <w:pPr>
        <w:pStyle w:val="BodyText"/>
        <w:spacing w:before="144" w:line="249" w:lineRule="auto"/>
        <w:ind w:left="422" w:right="638"/>
      </w:pPr>
      <w:r>
        <w:rPr>
          <w:spacing w:val="-2"/>
          <w:w w:val="95"/>
        </w:rPr>
        <w:t>The</w:t>
      </w:r>
      <w:r>
        <w:rPr>
          <w:spacing w:val="-6"/>
          <w:w w:val="95"/>
        </w:rPr>
        <w:t xml:space="preserve"> </w:t>
      </w:r>
      <w:r>
        <w:rPr>
          <w:spacing w:val="-2"/>
          <w:w w:val="95"/>
        </w:rPr>
        <w:t>Greater</w:t>
      </w:r>
      <w:r>
        <w:rPr>
          <w:spacing w:val="-6"/>
          <w:w w:val="95"/>
        </w:rPr>
        <w:t xml:space="preserve"> </w:t>
      </w:r>
      <w:r>
        <w:rPr>
          <w:spacing w:val="-2"/>
          <w:w w:val="95"/>
        </w:rPr>
        <w:t>Sydney</w:t>
      </w:r>
      <w:r>
        <w:rPr>
          <w:spacing w:val="-6"/>
          <w:w w:val="95"/>
        </w:rPr>
        <w:t xml:space="preserve"> </w:t>
      </w:r>
      <w:r>
        <w:rPr>
          <w:spacing w:val="-2"/>
          <w:w w:val="95"/>
        </w:rPr>
        <w:t>sub-regions</w:t>
      </w:r>
      <w:r>
        <w:rPr>
          <w:spacing w:val="-6"/>
          <w:w w:val="95"/>
        </w:rPr>
        <w:t xml:space="preserve"> </w:t>
      </w:r>
      <w:r>
        <w:rPr>
          <w:spacing w:val="-2"/>
          <w:w w:val="95"/>
        </w:rPr>
        <w:t>(see</w:t>
      </w:r>
      <w:r>
        <w:rPr>
          <w:spacing w:val="-6"/>
          <w:w w:val="95"/>
        </w:rPr>
        <w:t xml:space="preserve"> </w:t>
      </w:r>
      <w:r>
        <w:rPr>
          <w:spacing w:val="-2"/>
          <w:w w:val="95"/>
        </w:rPr>
        <w:t>Figure</w:t>
      </w:r>
      <w:r>
        <w:rPr>
          <w:spacing w:val="-6"/>
          <w:w w:val="95"/>
        </w:rPr>
        <w:t xml:space="preserve"> </w:t>
      </w:r>
      <w:r>
        <w:rPr>
          <w:spacing w:val="-2"/>
          <w:w w:val="95"/>
        </w:rPr>
        <w:t>4.1)</w:t>
      </w:r>
      <w:r>
        <w:rPr>
          <w:spacing w:val="-6"/>
          <w:w w:val="95"/>
        </w:rPr>
        <w:t xml:space="preserve"> </w:t>
      </w:r>
      <w:r>
        <w:rPr>
          <w:spacing w:val="-2"/>
          <w:w w:val="95"/>
        </w:rPr>
        <w:t xml:space="preserve">covered </w:t>
      </w:r>
      <w:r>
        <w:t>in this section are:</w:t>
      </w:r>
    </w:p>
    <w:p w:rsidR="002C1123" w:rsidRDefault="00F22F94">
      <w:pPr>
        <w:pStyle w:val="ListParagraph"/>
        <w:numPr>
          <w:ilvl w:val="0"/>
          <w:numId w:val="115"/>
        </w:numPr>
        <w:tabs>
          <w:tab w:val="left" w:pos="706"/>
        </w:tabs>
        <w:spacing w:before="131" w:line="249" w:lineRule="auto"/>
        <w:ind w:right="1921"/>
        <w:rPr>
          <w:sz w:val="20"/>
        </w:rPr>
      </w:pPr>
      <w:r>
        <w:rPr>
          <w:w w:val="95"/>
          <w:sz w:val="20"/>
        </w:rPr>
        <w:t>South</w:t>
      </w:r>
      <w:r>
        <w:rPr>
          <w:spacing w:val="-12"/>
          <w:w w:val="95"/>
          <w:sz w:val="20"/>
        </w:rPr>
        <w:t xml:space="preserve"> </w:t>
      </w:r>
      <w:r>
        <w:rPr>
          <w:w w:val="95"/>
          <w:sz w:val="20"/>
        </w:rPr>
        <w:t>(Kogarah,</w:t>
      </w:r>
      <w:r>
        <w:rPr>
          <w:spacing w:val="-11"/>
          <w:w w:val="95"/>
          <w:sz w:val="20"/>
        </w:rPr>
        <w:t xml:space="preserve"> </w:t>
      </w:r>
      <w:r>
        <w:rPr>
          <w:w w:val="95"/>
          <w:sz w:val="20"/>
        </w:rPr>
        <w:t>Hurstville,</w:t>
      </w:r>
      <w:r>
        <w:rPr>
          <w:spacing w:val="-11"/>
          <w:w w:val="95"/>
          <w:sz w:val="20"/>
        </w:rPr>
        <w:t xml:space="preserve"> </w:t>
      </w:r>
      <w:r>
        <w:rPr>
          <w:w w:val="95"/>
          <w:sz w:val="20"/>
        </w:rPr>
        <w:t xml:space="preserve">Canterbury, </w:t>
      </w:r>
      <w:r>
        <w:rPr>
          <w:sz w:val="20"/>
        </w:rPr>
        <w:t>Rockdale,</w:t>
      </w:r>
      <w:r>
        <w:rPr>
          <w:spacing w:val="-11"/>
          <w:sz w:val="20"/>
        </w:rPr>
        <w:t xml:space="preserve"> </w:t>
      </w:r>
      <w:r>
        <w:rPr>
          <w:sz w:val="20"/>
        </w:rPr>
        <w:t>Sutherland)</w:t>
      </w:r>
    </w:p>
    <w:p w:rsidR="002C1123" w:rsidRDefault="00F22F94">
      <w:pPr>
        <w:pStyle w:val="ListParagraph"/>
        <w:numPr>
          <w:ilvl w:val="0"/>
          <w:numId w:val="115"/>
        </w:numPr>
        <w:tabs>
          <w:tab w:val="left" w:pos="706"/>
        </w:tabs>
        <w:spacing w:before="130"/>
        <w:rPr>
          <w:sz w:val="20"/>
        </w:rPr>
      </w:pPr>
      <w:r>
        <w:rPr>
          <w:w w:val="95"/>
          <w:sz w:val="20"/>
        </w:rPr>
        <w:t>North</w:t>
      </w:r>
      <w:r>
        <w:rPr>
          <w:spacing w:val="-6"/>
          <w:w w:val="95"/>
          <w:sz w:val="20"/>
        </w:rPr>
        <w:t xml:space="preserve"> </w:t>
      </w:r>
      <w:r>
        <w:rPr>
          <w:w w:val="95"/>
          <w:sz w:val="20"/>
        </w:rPr>
        <w:t>(Hornsby,</w:t>
      </w:r>
      <w:r>
        <w:rPr>
          <w:spacing w:val="-6"/>
          <w:w w:val="95"/>
          <w:sz w:val="20"/>
        </w:rPr>
        <w:t xml:space="preserve"> </w:t>
      </w:r>
      <w:r>
        <w:rPr>
          <w:w w:val="95"/>
          <w:sz w:val="20"/>
        </w:rPr>
        <w:t>Ku-ring-gai,</w:t>
      </w:r>
      <w:r>
        <w:rPr>
          <w:spacing w:val="-6"/>
          <w:w w:val="95"/>
          <w:sz w:val="20"/>
        </w:rPr>
        <w:t xml:space="preserve"> </w:t>
      </w:r>
      <w:r>
        <w:rPr>
          <w:w w:val="95"/>
          <w:sz w:val="20"/>
        </w:rPr>
        <w:t>Pittwater,</w:t>
      </w:r>
      <w:r>
        <w:rPr>
          <w:spacing w:val="-6"/>
          <w:w w:val="95"/>
          <w:sz w:val="20"/>
        </w:rPr>
        <w:t xml:space="preserve"> </w:t>
      </w:r>
      <w:r>
        <w:rPr>
          <w:spacing w:val="-2"/>
          <w:w w:val="95"/>
          <w:sz w:val="20"/>
        </w:rPr>
        <w:t>Warringah)</w:t>
      </w:r>
    </w:p>
    <w:p w:rsidR="002C1123" w:rsidRDefault="00F22F94">
      <w:pPr>
        <w:pStyle w:val="ListParagraph"/>
        <w:numPr>
          <w:ilvl w:val="0"/>
          <w:numId w:val="115"/>
        </w:numPr>
        <w:tabs>
          <w:tab w:val="left" w:pos="706"/>
        </w:tabs>
        <w:spacing w:before="140" w:line="249" w:lineRule="auto"/>
        <w:ind w:right="1436"/>
        <w:rPr>
          <w:sz w:val="20"/>
        </w:rPr>
      </w:pPr>
      <w:r>
        <w:rPr>
          <w:w w:val="95"/>
          <w:sz w:val="20"/>
        </w:rPr>
        <w:t>West</w:t>
      </w:r>
      <w:r>
        <w:rPr>
          <w:spacing w:val="-12"/>
          <w:w w:val="95"/>
          <w:sz w:val="20"/>
        </w:rPr>
        <w:t xml:space="preserve"> </w:t>
      </w:r>
      <w:r>
        <w:rPr>
          <w:w w:val="95"/>
          <w:sz w:val="20"/>
        </w:rPr>
        <w:t>Central</w:t>
      </w:r>
      <w:r>
        <w:rPr>
          <w:spacing w:val="-11"/>
          <w:w w:val="95"/>
          <w:sz w:val="20"/>
        </w:rPr>
        <w:t xml:space="preserve"> </w:t>
      </w:r>
      <w:r>
        <w:rPr>
          <w:w w:val="95"/>
          <w:sz w:val="20"/>
        </w:rPr>
        <w:t>(Auburn,</w:t>
      </w:r>
      <w:r>
        <w:rPr>
          <w:spacing w:val="-11"/>
          <w:w w:val="95"/>
          <w:sz w:val="20"/>
        </w:rPr>
        <w:t xml:space="preserve"> </w:t>
      </w:r>
      <w:r>
        <w:rPr>
          <w:w w:val="95"/>
          <w:sz w:val="20"/>
        </w:rPr>
        <w:t>Blacktown,</w:t>
      </w:r>
      <w:r>
        <w:rPr>
          <w:spacing w:val="-11"/>
          <w:w w:val="95"/>
          <w:sz w:val="20"/>
        </w:rPr>
        <w:t xml:space="preserve"> </w:t>
      </w:r>
      <w:r>
        <w:rPr>
          <w:w w:val="95"/>
          <w:sz w:val="20"/>
        </w:rPr>
        <w:t>Hills</w:t>
      </w:r>
      <w:r>
        <w:rPr>
          <w:spacing w:val="-11"/>
          <w:w w:val="95"/>
          <w:sz w:val="20"/>
        </w:rPr>
        <w:t xml:space="preserve"> </w:t>
      </w:r>
      <w:r>
        <w:rPr>
          <w:w w:val="95"/>
          <w:sz w:val="20"/>
        </w:rPr>
        <w:t xml:space="preserve">Shire, </w:t>
      </w:r>
      <w:r>
        <w:rPr>
          <w:sz w:val="20"/>
        </w:rPr>
        <w:t>Holroyd,</w:t>
      </w:r>
      <w:r>
        <w:rPr>
          <w:spacing w:val="-11"/>
          <w:sz w:val="20"/>
        </w:rPr>
        <w:t xml:space="preserve"> </w:t>
      </w:r>
      <w:r>
        <w:rPr>
          <w:sz w:val="20"/>
        </w:rPr>
        <w:t>Parramatta)</w:t>
      </w:r>
    </w:p>
    <w:p w:rsidR="002C1123" w:rsidRDefault="00F22F94">
      <w:pPr>
        <w:pStyle w:val="ListParagraph"/>
        <w:numPr>
          <w:ilvl w:val="0"/>
          <w:numId w:val="115"/>
        </w:numPr>
        <w:tabs>
          <w:tab w:val="left" w:pos="706"/>
        </w:tabs>
        <w:spacing w:before="130" w:line="249" w:lineRule="auto"/>
        <w:ind w:right="1859"/>
        <w:rPr>
          <w:sz w:val="20"/>
        </w:rPr>
      </w:pPr>
      <w:r>
        <w:rPr>
          <w:w w:val="95"/>
          <w:sz w:val="20"/>
        </w:rPr>
        <w:t>North</w:t>
      </w:r>
      <w:r>
        <w:rPr>
          <w:spacing w:val="-4"/>
          <w:w w:val="95"/>
          <w:sz w:val="20"/>
        </w:rPr>
        <w:t xml:space="preserve"> </w:t>
      </w:r>
      <w:r>
        <w:rPr>
          <w:w w:val="95"/>
          <w:sz w:val="20"/>
        </w:rPr>
        <w:t>West</w:t>
      </w:r>
      <w:r>
        <w:rPr>
          <w:spacing w:val="-4"/>
          <w:w w:val="95"/>
          <w:sz w:val="20"/>
        </w:rPr>
        <w:t xml:space="preserve"> </w:t>
      </w:r>
      <w:r>
        <w:rPr>
          <w:w w:val="95"/>
          <w:sz w:val="20"/>
        </w:rPr>
        <w:t>(Baulkham</w:t>
      </w:r>
      <w:r>
        <w:rPr>
          <w:spacing w:val="-5"/>
          <w:w w:val="95"/>
          <w:sz w:val="20"/>
        </w:rPr>
        <w:t xml:space="preserve"> </w:t>
      </w:r>
      <w:r>
        <w:rPr>
          <w:w w:val="95"/>
          <w:sz w:val="20"/>
        </w:rPr>
        <w:t>Hills,</w:t>
      </w:r>
      <w:r>
        <w:rPr>
          <w:spacing w:val="-4"/>
          <w:w w:val="95"/>
          <w:sz w:val="20"/>
        </w:rPr>
        <w:t xml:space="preserve"> </w:t>
      </w:r>
      <w:r>
        <w:rPr>
          <w:w w:val="95"/>
          <w:sz w:val="20"/>
        </w:rPr>
        <w:t xml:space="preserve">Blacktown, </w:t>
      </w:r>
      <w:r>
        <w:rPr>
          <w:sz w:val="20"/>
        </w:rPr>
        <w:t>Blue</w:t>
      </w:r>
      <w:r>
        <w:rPr>
          <w:spacing w:val="-14"/>
          <w:sz w:val="20"/>
        </w:rPr>
        <w:t xml:space="preserve"> </w:t>
      </w:r>
      <w:r>
        <w:rPr>
          <w:sz w:val="20"/>
        </w:rPr>
        <w:t>Mountains,</w:t>
      </w:r>
      <w:r>
        <w:rPr>
          <w:spacing w:val="-14"/>
          <w:sz w:val="20"/>
        </w:rPr>
        <w:t xml:space="preserve"> </w:t>
      </w:r>
      <w:r>
        <w:rPr>
          <w:sz w:val="20"/>
        </w:rPr>
        <w:t>Hawkesbury,</w:t>
      </w:r>
      <w:r>
        <w:rPr>
          <w:spacing w:val="-14"/>
          <w:sz w:val="20"/>
        </w:rPr>
        <w:t xml:space="preserve"> </w:t>
      </w:r>
      <w:r>
        <w:rPr>
          <w:sz w:val="20"/>
        </w:rPr>
        <w:t>Penrith)</w:t>
      </w:r>
    </w:p>
    <w:p w:rsidR="002C1123" w:rsidRDefault="00F22F94">
      <w:pPr>
        <w:pStyle w:val="ListParagraph"/>
        <w:numPr>
          <w:ilvl w:val="0"/>
          <w:numId w:val="115"/>
        </w:numPr>
        <w:tabs>
          <w:tab w:val="left" w:pos="706"/>
        </w:tabs>
        <w:spacing w:before="131" w:line="249" w:lineRule="auto"/>
        <w:ind w:right="1388"/>
        <w:rPr>
          <w:sz w:val="20"/>
        </w:rPr>
      </w:pPr>
      <w:r>
        <w:rPr>
          <w:w w:val="95"/>
          <w:sz w:val="20"/>
        </w:rPr>
        <w:t>South</w:t>
      </w:r>
      <w:r>
        <w:rPr>
          <w:spacing w:val="-12"/>
          <w:w w:val="95"/>
          <w:sz w:val="20"/>
        </w:rPr>
        <w:t xml:space="preserve"> </w:t>
      </w:r>
      <w:r>
        <w:rPr>
          <w:w w:val="95"/>
          <w:sz w:val="20"/>
        </w:rPr>
        <w:t>West</w:t>
      </w:r>
      <w:r>
        <w:rPr>
          <w:spacing w:val="-11"/>
          <w:w w:val="95"/>
          <w:sz w:val="20"/>
        </w:rPr>
        <w:t xml:space="preserve"> </w:t>
      </w:r>
      <w:r>
        <w:rPr>
          <w:w w:val="95"/>
          <w:sz w:val="20"/>
        </w:rPr>
        <w:t>(Bankstown,</w:t>
      </w:r>
      <w:r>
        <w:rPr>
          <w:spacing w:val="-11"/>
          <w:w w:val="95"/>
          <w:sz w:val="20"/>
        </w:rPr>
        <w:t xml:space="preserve"> </w:t>
      </w:r>
      <w:r>
        <w:rPr>
          <w:w w:val="95"/>
          <w:sz w:val="20"/>
        </w:rPr>
        <w:t>Fairfield,</w:t>
      </w:r>
      <w:r>
        <w:rPr>
          <w:spacing w:val="-11"/>
          <w:w w:val="95"/>
          <w:sz w:val="20"/>
        </w:rPr>
        <w:t xml:space="preserve"> </w:t>
      </w:r>
      <w:r>
        <w:rPr>
          <w:w w:val="95"/>
          <w:sz w:val="20"/>
        </w:rPr>
        <w:t xml:space="preserve">Wollondilly, </w:t>
      </w:r>
      <w:r>
        <w:rPr>
          <w:sz w:val="20"/>
        </w:rPr>
        <w:t>Camden, Campbelltown, Liverpool)</w:t>
      </w:r>
    </w:p>
    <w:p w:rsidR="002C1123" w:rsidRDefault="00F22F94">
      <w:pPr>
        <w:pStyle w:val="ListParagraph"/>
        <w:numPr>
          <w:ilvl w:val="0"/>
          <w:numId w:val="115"/>
        </w:numPr>
        <w:tabs>
          <w:tab w:val="left" w:pos="706"/>
        </w:tabs>
        <w:spacing w:before="130"/>
        <w:rPr>
          <w:sz w:val="20"/>
        </w:rPr>
      </w:pPr>
      <w:r>
        <w:rPr>
          <w:w w:val="95"/>
          <w:sz w:val="20"/>
        </w:rPr>
        <w:t>Central</w:t>
      </w:r>
      <w:r>
        <w:rPr>
          <w:spacing w:val="-7"/>
          <w:w w:val="95"/>
          <w:sz w:val="20"/>
        </w:rPr>
        <w:t xml:space="preserve"> </w:t>
      </w:r>
      <w:r>
        <w:rPr>
          <w:w w:val="95"/>
          <w:sz w:val="20"/>
        </w:rPr>
        <w:t>Coast</w:t>
      </w:r>
      <w:r>
        <w:rPr>
          <w:spacing w:val="-7"/>
          <w:w w:val="95"/>
          <w:sz w:val="20"/>
        </w:rPr>
        <w:t xml:space="preserve"> </w:t>
      </w:r>
      <w:r>
        <w:rPr>
          <w:w w:val="95"/>
          <w:sz w:val="20"/>
        </w:rPr>
        <w:t>(Gosford</w:t>
      </w:r>
      <w:r>
        <w:rPr>
          <w:spacing w:val="-6"/>
          <w:w w:val="95"/>
          <w:sz w:val="20"/>
        </w:rPr>
        <w:t xml:space="preserve"> </w:t>
      </w:r>
      <w:r>
        <w:rPr>
          <w:w w:val="95"/>
          <w:sz w:val="20"/>
        </w:rPr>
        <w:t>and</w:t>
      </w:r>
      <w:r>
        <w:rPr>
          <w:spacing w:val="-7"/>
          <w:w w:val="95"/>
          <w:sz w:val="20"/>
        </w:rPr>
        <w:t xml:space="preserve"> </w:t>
      </w:r>
      <w:r>
        <w:rPr>
          <w:spacing w:val="-2"/>
          <w:w w:val="95"/>
          <w:sz w:val="20"/>
        </w:rPr>
        <w:t>Wyong).</w:t>
      </w:r>
    </w:p>
    <w:p w:rsidR="002C1123" w:rsidRDefault="00F22F94">
      <w:pPr>
        <w:pStyle w:val="BodyText"/>
        <w:spacing w:before="152" w:line="249" w:lineRule="auto"/>
        <w:ind w:left="422" w:right="638"/>
      </w:pPr>
      <w:r>
        <w:rPr>
          <w:w w:val="95"/>
        </w:rPr>
        <w:t>Greater</w:t>
      </w:r>
      <w:r>
        <w:rPr>
          <w:spacing w:val="-3"/>
          <w:w w:val="95"/>
        </w:rPr>
        <w:t xml:space="preserve"> </w:t>
      </w:r>
      <w:r>
        <w:rPr>
          <w:w w:val="95"/>
        </w:rPr>
        <w:t>Sydney</w:t>
      </w:r>
      <w:r>
        <w:rPr>
          <w:spacing w:val="-3"/>
          <w:w w:val="95"/>
        </w:rPr>
        <w:t xml:space="preserve"> </w:t>
      </w:r>
      <w:r>
        <w:rPr>
          <w:w w:val="95"/>
        </w:rPr>
        <w:t>accounts</w:t>
      </w:r>
      <w:r>
        <w:rPr>
          <w:spacing w:val="-3"/>
          <w:w w:val="95"/>
        </w:rPr>
        <w:t xml:space="preserve"> </w:t>
      </w:r>
      <w:r>
        <w:rPr>
          <w:w w:val="95"/>
        </w:rPr>
        <w:t>for</w:t>
      </w:r>
      <w:r>
        <w:rPr>
          <w:spacing w:val="-3"/>
          <w:w w:val="95"/>
        </w:rPr>
        <w:t xml:space="preserve"> </w:t>
      </w:r>
      <w:r>
        <w:rPr>
          <w:w w:val="95"/>
        </w:rPr>
        <w:t>some</w:t>
      </w:r>
      <w:r>
        <w:rPr>
          <w:spacing w:val="-3"/>
          <w:w w:val="95"/>
        </w:rPr>
        <w:t xml:space="preserve"> </w:t>
      </w:r>
      <w:r>
        <w:rPr>
          <w:w w:val="95"/>
        </w:rPr>
        <w:t>46</w:t>
      </w:r>
      <w:r>
        <w:rPr>
          <w:spacing w:val="-3"/>
          <w:w w:val="95"/>
        </w:rPr>
        <w:t xml:space="preserve"> </w:t>
      </w:r>
      <w:r>
        <w:rPr>
          <w:w w:val="95"/>
        </w:rPr>
        <w:t>percent</w:t>
      </w:r>
      <w:r>
        <w:rPr>
          <w:spacing w:val="-3"/>
          <w:w w:val="95"/>
        </w:rPr>
        <w:t xml:space="preserve"> </w:t>
      </w:r>
      <w:r>
        <w:rPr>
          <w:w w:val="95"/>
        </w:rPr>
        <w:t>of</w:t>
      </w:r>
      <w:r>
        <w:rPr>
          <w:spacing w:val="-3"/>
          <w:w w:val="95"/>
        </w:rPr>
        <w:t xml:space="preserve"> </w:t>
      </w:r>
      <w:r>
        <w:rPr>
          <w:w w:val="95"/>
        </w:rPr>
        <w:t xml:space="preserve">NSW’s </w:t>
      </w:r>
      <w:r>
        <w:t>population</w:t>
      </w:r>
      <w:r>
        <w:rPr>
          <w:spacing w:val="-11"/>
        </w:rPr>
        <w:t xml:space="preserve"> </w:t>
      </w:r>
      <w:r>
        <w:t>and</w:t>
      </w:r>
      <w:r>
        <w:rPr>
          <w:spacing w:val="-11"/>
        </w:rPr>
        <w:t xml:space="preserve"> </w:t>
      </w:r>
      <w:r>
        <w:t>is</w:t>
      </w:r>
      <w:r>
        <w:rPr>
          <w:spacing w:val="-11"/>
        </w:rPr>
        <w:t xml:space="preserve"> </w:t>
      </w:r>
      <w:r>
        <w:t>home</w:t>
      </w:r>
      <w:r>
        <w:rPr>
          <w:spacing w:val="-11"/>
        </w:rPr>
        <w:t xml:space="preserve"> </w:t>
      </w:r>
      <w:r>
        <w:t>to</w:t>
      </w:r>
      <w:r>
        <w:rPr>
          <w:spacing w:val="-11"/>
        </w:rPr>
        <w:t xml:space="preserve"> </w:t>
      </w:r>
      <w:r>
        <w:t>nearly</w:t>
      </w:r>
      <w:r>
        <w:rPr>
          <w:spacing w:val="-11"/>
        </w:rPr>
        <w:t xml:space="preserve"> </w:t>
      </w:r>
      <w:r>
        <w:t>3.3</w:t>
      </w:r>
      <w:r>
        <w:rPr>
          <w:spacing w:val="-11"/>
        </w:rPr>
        <w:t xml:space="preserve"> </w:t>
      </w:r>
      <w:r>
        <w:t>million</w:t>
      </w:r>
      <w:r>
        <w:rPr>
          <w:spacing w:val="-11"/>
        </w:rPr>
        <w:t xml:space="preserve"> </w:t>
      </w:r>
      <w:r>
        <w:t>people.</w:t>
      </w:r>
    </w:p>
    <w:p w:rsidR="002C1123" w:rsidRDefault="002C1123">
      <w:pPr>
        <w:spacing w:line="249" w:lineRule="auto"/>
        <w:sectPr w:rsidR="002C1123">
          <w:type w:val="continuous"/>
          <w:pgSz w:w="16840" w:h="11910" w:orient="landscape"/>
          <w:pgMar w:top="560" w:right="280" w:bottom="280" w:left="500" w:header="0" w:footer="470" w:gutter="0"/>
          <w:cols w:num="3" w:space="720" w:equalWidth="0">
            <w:col w:w="5162" w:space="40"/>
            <w:col w:w="4882" w:space="39"/>
            <w:col w:w="5937"/>
          </w:cols>
        </w:sectPr>
      </w:pPr>
    </w:p>
    <w:p w:rsidR="002C1123" w:rsidRDefault="002C1123">
      <w:pPr>
        <w:pStyle w:val="BodyText"/>
      </w:pPr>
    </w:p>
    <w:p w:rsidR="002C1123" w:rsidRDefault="002C1123">
      <w:pPr>
        <w:pStyle w:val="BodyText"/>
        <w:spacing w:before="7"/>
        <w:rPr>
          <w:sz w:val="22"/>
        </w:rPr>
      </w:pPr>
    </w:p>
    <w:p w:rsidR="002C1123" w:rsidRDefault="002060EF">
      <w:pPr>
        <w:pStyle w:val="BodyText"/>
        <w:spacing w:line="20" w:lineRule="exact"/>
        <w:ind w:left="492"/>
        <w:rPr>
          <w:sz w:val="2"/>
        </w:rPr>
      </w:pPr>
      <w:r>
        <w:rPr>
          <w:sz w:val="2"/>
        </w:rPr>
      </w:r>
      <w:r>
        <w:rPr>
          <w:sz w:val="2"/>
        </w:rPr>
        <w:pict>
          <v:group id="docshapegroup699" o:spid="_x0000_s4631" style="width:1in;height:.5pt;mso-position-horizontal-relative:char;mso-position-vertical-relative:line" coordsize="1440,10">
            <v:line id="_x0000_s4632" style="position:absolute" from="0,5" to="1440,5" strokecolor="#9c9c9d" strokeweight=".5pt"/>
            <w10:anchorlock/>
          </v:group>
        </w:pict>
      </w:r>
    </w:p>
    <w:p w:rsidR="002C1123" w:rsidRDefault="00F22F94">
      <w:pPr>
        <w:pStyle w:val="ListParagraph"/>
        <w:numPr>
          <w:ilvl w:val="0"/>
          <w:numId w:val="114"/>
        </w:numPr>
        <w:tabs>
          <w:tab w:val="left" w:pos="722"/>
        </w:tabs>
        <w:spacing w:before="8"/>
        <w:ind w:hanging="230"/>
        <w:jc w:val="left"/>
        <w:rPr>
          <w:sz w:val="14"/>
        </w:rPr>
      </w:pPr>
      <w:r>
        <w:rPr>
          <w:w w:val="95"/>
          <w:sz w:val="14"/>
        </w:rPr>
        <w:t>Parramatta</w:t>
      </w:r>
      <w:r>
        <w:rPr>
          <w:spacing w:val="15"/>
          <w:sz w:val="14"/>
        </w:rPr>
        <w:t xml:space="preserve"> </w:t>
      </w:r>
      <w:r>
        <w:rPr>
          <w:w w:val="95"/>
          <w:sz w:val="14"/>
        </w:rPr>
        <w:t>City</w:t>
      </w:r>
      <w:r>
        <w:rPr>
          <w:spacing w:val="16"/>
          <w:sz w:val="14"/>
        </w:rPr>
        <w:t xml:space="preserve"> </w:t>
      </w:r>
      <w:r>
        <w:rPr>
          <w:w w:val="95"/>
          <w:sz w:val="14"/>
        </w:rPr>
        <w:t>Council,</w:t>
      </w:r>
      <w:r>
        <w:rPr>
          <w:spacing w:val="15"/>
          <w:sz w:val="14"/>
        </w:rPr>
        <w:t xml:space="preserve"> </w:t>
      </w:r>
      <w:hyperlink r:id="rId96">
        <w:r>
          <w:rPr>
            <w:spacing w:val="-2"/>
            <w:w w:val="95"/>
            <w:sz w:val="14"/>
          </w:rPr>
          <w:t>http://www.mynewworkcity.com.au</w:t>
        </w:r>
      </w:hyperlink>
    </w:p>
    <w:p w:rsidR="002C1123" w:rsidRDefault="002C1123">
      <w:pPr>
        <w:rPr>
          <w:sz w:val="14"/>
        </w:rPr>
        <w:sectPr w:rsidR="002C1123">
          <w:type w:val="continuous"/>
          <w:pgSz w:w="16840" w:h="11910" w:orient="landscape"/>
          <w:pgMar w:top="560" w:right="280" w:bottom="280" w:left="500" w:header="0" w:footer="470"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7"/>
        </w:rPr>
      </w:pPr>
    </w:p>
    <w:p w:rsidR="002C1123" w:rsidRDefault="002C1123">
      <w:pPr>
        <w:rPr>
          <w:sz w:val="17"/>
        </w:rPr>
        <w:sectPr w:rsidR="002C1123">
          <w:pgSz w:w="16840" w:h="11910" w:orient="landscape"/>
          <w:pgMar w:top="560" w:right="280" w:bottom="700" w:left="500" w:header="0" w:footer="470" w:gutter="0"/>
          <w:cols w:space="720"/>
        </w:sect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spacing w:before="1"/>
        <w:rPr>
          <w:sz w:val="19"/>
        </w:rPr>
      </w:pPr>
    </w:p>
    <w:p w:rsidR="002C1123" w:rsidRDefault="00F22F94">
      <w:pPr>
        <w:pStyle w:val="BodyText"/>
        <w:spacing w:line="249" w:lineRule="auto"/>
        <w:ind w:left="492" w:right="251"/>
      </w:pPr>
      <w:bookmarkStart w:id="106" w:name="4.2_Greater_Sydney_today"/>
      <w:bookmarkStart w:id="107" w:name="_bookmark76"/>
      <w:bookmarkStart w:id="108" w:name="_bookmark75"/>
      <w:bookmarkEnd w:id="106"/>
      <w:bookmarkEnd w:id="107"/>
      <w:bookmarkEnd w:id="108"/>
      <w:r>
        <w:t>It</w:t>
      </w:r>
      <w:r>
        <w:rPr>
          <w:spacing w:val="-14"/>
        </w:rPr>
        <w:t xml:space="preserve"> </w:t>
      </w:r>
      <w:r>
        <w:t>includes</w:t>
      </w:r>
      <w:r>
        <w:rPr>
          <w:spacing w:val="-14"/>
        </w:rPr>
        <w:t xml:space="preserve"> </w:t>
      </w:r>
      <w:r>
        <w:t>some</w:t>
      </w:r>
      <w:r>
        <w:rPr>
          <w:spacing w:val="-14"/>
        </w:rPr>
        <w:t xml:space="preserve"> </w:t>
      </w:r>
      <w:r>
        <w:t>of</w:t>
      </w:r>
      <w:r>
        <w:rPr>
          <w:spacing w:val="-14"/>
        </w:rPr>
        <w:t xml:space="preserve"> </w:t>
      </w:r>
      <w:r>
        <w:t>the</w:t>
      </w:r>
      <w:r>
        <w:rPr>
          <w:spacing w:val="-14"/>
        </w:rPr>
        <w:t xml:space="preserve"> </w:t>
      </w:r>
      <w:r>
        <w:t>fastest</w:t>
      </w:r>
      <w:r>
        <w:rPr>
          <w:spacing w:val="-14"/>
        </w:rPr>
        <w:t xml:space="preserve"> </w:t>
      </w:r>
      <w:r>
        <w:t>growing</w:t>
      </w:r>
      <w:r>
        <w:rPr>
          <w:spacing w:val="-13"/>
        </w:rPr>
        <w:t xml:space="preserve"> </w:t>
      </w:r>
      <w:r>
        <w:t>urban</w:t>
      </w:r>
      <w:r>
        <w:rPr>
          <w:spacing w:val="-14"/>
        </w:rPr>
        <w:t xml:space="preserve"> </w:t>
      </w:r>
      <w:r>
        <w:t xml:space="preserve">areas </w:t>
      </w:r>
      <w:r>
        <w:rPr>
          <w:w w:val="95"/>
        </w:rPr>
        <w:t>in</w:t>
      </w:r>
      <w:r>
        <w:rPr>
          <w:spacing w:val="-8"/>
          <w:w w:val="95"/>
        </w:rPr>
        <w:t xml:space="preserve"> </w:t>
      </w:r>
      <w:r>
        <w:rPr>
          <w:w w:val="95"/>
        </w:rPr>
        <w:t>Australia</w:t>
      </w:r>
      <w:r>
        <w:rPr>
          <w:spacing w:val="-8"/>
          <w:w w:val="95"/>
        </w:rPr>
        <w:t xml:space="preserve"> </w:t>
      </w:r>
      <w:r>
        <w:rPr>
          <w:w w:val="95"/>
        </w:rPr>
        <w:t>as</w:t>
      </w:r>
      <w:r>
        <w:rPr>
          <w:spacing w:val="-8"/>
          <w:w w:val="95"/>
        </w:rPr>
        <w:t xml:space="preserve"> </w:t>
      </w:r>
      <w:r>
        <w:rPr>
          <w:w w:val="95"/>
        </w:rPr>
        <w:t>well</w:t>
      </w:r>
      <w:r>
        <w:rPr>
          <w:spacing w:val="-8"/>
          <w:w w:val="95"/>
        </w:rPr>
        <w:t xml:space="preserve"> </w:t>
      </w:r>
      <w:r>
        <w:rPr>
          <w:w w:val="95"/>
        </w:rPr>
        <w:t>as</w:t>
      </w:r>
      <w:r>
        <w:rPr>
          <w:spacing w:val="-8"/>
          <w:w w:val="95"/>
        </w:rPr>
        <w:t xml:space="preserve"> </w:t>
      </w:r>
      <w:r>
        <w:rPr>
          <w:w w:val="95"/>
        </w:rPr>
        <w:t>and</w:t>
      </w:r>
      <w:r>
        <w:rPr>
          <w:spacing w:val="-8"/>
          <w:w w:val="95"/>
        </w:rPr>
        <w:t xml:space="preserve"> </w:t>
      </w:r>
      <w:r>
        <w:rPr>
          <w:w w:val="95"/>
        </w:rPr>
        <w:t>more</w:t>
      </w:r>
      <w:r>
        <w:rPr>
          <w:spacing w:val="-8"/>
          <w:w w:val="95"/>
        </w:rPr>
        <w:t xml:space="preserve"> </w:t>
      </w:r>
      <w:r>
        <w:rPr>
          <w:w w:val="95"/>
        </w:rPr>
        <w:t>established</w:t>
      </w:r>
      <w:r>
        <w:rPr>
          <w:spacing w:val="-8"/>
          <w:w w:val="95"/>
        </w:rPr>
        <w:t xml:space="preserve"> </w:t>
      </w:r>
      <w:r>
        <w:rPr>
          <w:w w:val="95"/>
        </w:rPr>
        <w:t xml:space="preserve">suburbs. </w:t>
      </w:r>
      <w:r>
        <w:t>Greater</w:t>
      </w:r>
      <w:r>
        <w:rPr>
          <w:spacing w:val="-9"/>
        </w:rPr>
        <w:t xml:space="preserve"> </w:t>
      </w:r>
      <w:r>
        <w:t>Sydney</w:t>
      </w:r>
      <w:r>
        <w:rPr>
          <w:spacing w:val="-9"/>
        </w:rPr>
        <w:t xml:space="preserve"> </w:t>
      </w:r>
      <w:r>
        <w:t>accounts</w:t>
      </w:r>
      <w:r>
        <w:rPr>
          <w:spacing w:val="-9"/>
        </w:rPr>
        <w:t xml:space="preserve"> </w:t>
      </w:r>
      <w:r>
        <w:t>for</w:t>
      </w:r>
      <w:r>
        <w:rPr>
          <w:spacing w:val="-9"/>
        </w:rPr>
        <w:t xml:space="preserve"> </w:t>
      </w:r>
      <w:r>
        <w:t>around</w:t>
      </w:r>
      <w:r>
        <w:rPr>
          <w:spacing w:val="-9"/>
        </w:rPr>
        <w:t xml:space="preserve"> </w:t>
      </w:r>
      <w:r>
        <w:t>36</w:t>
      </w:r>
      <w:r>
        <w:rPr>
          <w:spacing w:val="-9"/>
        </w:rPr>
        <w:t xml:space="preserve"> </w:t>
      </w:r>
      <w:r>
        <w:t>percent</w:t>
      </w:r>
      <w:r>
        <w:rPr>
          <w:spacing w:val="-9"/>
        </w:rPr>
        <w:t xml:space="preserve"> </w:t>
      </w:r>
      <w:r>
        <w:t>of</w:t>
      </w:r>
    </w:p>
    <w:p w:rsidR="002C1123" w:rsidRDefault="00F22F94">
      <w:pPr>
        <w:pStyle w:val="BodyText"/>
        <w:spacing w:before="3" w:line="249" w:lineRule="auto"/>
        <w:ind w:left="492"/>
      </w:pPr>
      <w:r>
        <w:rPr>
          <w:w w:val="95"/>
        </w:rPr>
        <w:t xml:space="preserve">NSW employment (56 percent of Sydney employment), </w:t>
      </w:r>
      <w:r>
        <w:t>or</w:t>
      </w:r>
      <w:r>
        <w:rPr>
          <w:spacing w:val="-14"/>
        </w:rPr>
        <w:t xml:space="preserve"> </w:t>
      </w:r>
      <w:r>
        <w:t>1.3</w:t>
      </w:r>
      <w:r>
        <w:rPr>
          <w:spacing w:val="-14"/>
        </w:rPr>
        <w:t xml:space="preserve"> </w:t>
      </w:r>
      <w:r>
        <w:t>million</w:t>
      </w:r>
      <w:r>
        <w:rPr>
          <w:spacing w:val="-14"/>
        </w:rPr>
        <w:t xml:space="preserve"> </w:t>
      </w:r>
      <w:r>
        <w:t>jobs</w:t>
      </w:r>
      <w:r>
        <w:rPr>
          <w:spacing w:val="-14"/>
        </w:rPr>
        <w:t xml:space="preserve"> </w:t>
      </w:r>
      <w:r>
        <w:t>in</w:t>
      </w:r>
      <w:r>
        <w:rPr>
          <w:spacing w:val="-14"/>
        </w:rPr>
        <w:t xml:space="preserve"> </w:t>
      </w:r>
      <w:r>
        <w:t>2011,</w:t>
      </w:r>
      <w:r>
        <w:rPr>
          <w:spacing w:val="-14"/>
        </w:rPr>
        <w:t xml:space="preserve"> </w:t>
      </w:r>
      <w:r>
        <w:t>and</w:t>
      </w:r>
      <w:r>
        <w:rPr>
          <w:spacing w:val="-14"/>
        </w:rPr>
        <w:t xml:space="preserve"> </w:t>
      </w:r>
      <w:r>
        <w:t>34</w:t>
      </w:r>
      <w:r>
        <w:rPr>
          <w:spacing w:val="-14"/>
        </w:rPr>
        <w:t xml:space="preserve"> </w:t>
      </w:r>
      <w:r>
        <w:t>percent</w:t>
      </w:r>
      <w:r>
        <w:rPr>
          <w:spacing w:val="-14"/>
        </w:rPr>
        <w:t xml:space="preserve"> </w:t>
      </w:r>
      <w:r>
        <w:t>of</w:t>
      </w:r>
      <w:r>
        <w:rPr>
          <w:spacing w:val="-13"/>
        </w:rPr>
        <w:t xml:space="preserve"> </w:t>
      </w:r>
      <w:r>
        <w:t xml:space="preserve">NSW’s </w:t>
      </w:r>
      <w:r>
        <w:rPr>
          <w:w w:val="95"/>
        </w:rPr>
        <w:t xml:space="preserve">economic output (45 percent of Sydney’s output), worth </w:t>
      </w:r>
      <w:r>
        <w:t>about</w:t>
      </w:r>
      <w:r>
        <w:rPr>
          <w:spacing w:val="-3"/>
        </w:rPr>
        <w:t xml:space="preserve"> </w:t>
      </w:r>
      <w:r>
        <w:t>$140</w:t>
      </w:r>
      <w:r>
        <w:rPr>
          <w:spacing w:val="-3"/>
        </w:rPr>
        <w:t xml:space="preserve"> </w:t>
      </w:r>
      <w:r>
        <w:t>billion</w:t>
      </w:r>
      <w:r>
        <w:rPr>
          <w:spacing w:val="-3"/>
        </w:rPr>
        <w:t xml:space="preserve"> </w:t>
      </w:r>
      <w:r>
        <w:t>in</w:t>
      </w:r>
      <w:r>
        <w:rPr>
          <w:spacing w:val="-3"/>
        </w:rPr>
        <w:t xml:space="preserve"> </w:t>
      </w:r>
      <w:r>
        <w:t>2011.</w:t>
      </w:r>
    </w:p>
    <w:p w:rsidR="002C1123" w:rsidRDefault="00F22F94">
      <w:pPr>
        <w:pStyle w:val="BodyText"/>
        <w:spacing w:before="145" w:line="249" w:lineRule="auto"/>
        <w:ind w:left="492" w:right="251"/>
      </w:pPr>
      <w:r>
        <w:t>To</w:t>
      </w:r>
      <w:r>
        <w:rPr>
          <w:spacing w:val="-14"/>
        </w:rPr>
        <w:t xml:space="preserve"> </w:t>
      </w:r>
      <w:r>
        <w:t>illustrate</w:t>
      </w:r>
      <w:r>
        <w:rPr>
          <w:spacing w:val="-14"/>
        </w:rPr>
        <w:t xml:space="preserve"> </w:t>
      </w:r>
      <w:r>
        <w:t>the</w:t>
      </w:r>
      <w:r>
        <w:rPr>
          <w:spacing w:val="-14"/>
        </w:rPr>
        <w:t xml:space="preserve"> </w:t>
      </w:r>
      <w:r>
        <w:t>significance</w:t>
      </w:r>
      <w:r>
        <w:rPr>
          <w:spacing w:val="-14"/>
        </w:rPr>
        <w:t xml:space="preserve"> </w:t>
      </w:r>
      <w:r>
        <w:t>of</w:t>
      </w:r>
      <w:r>
        <w:rPr>
          <w:spacing w:val="-14"/>
        </w:rPr>
        <w:t xml:space="preserve"> </w:t>
      </w:r>
      <w:r>
        <w:t>this</w:t>
      </w:r>
      <w:r>
        <w:rPr>
          <w:spacing w:val="-14"/>
        </w:rPr>
        <w:t xml:space="preserve"> </w:t>
      </w:r>
      <w:r>
        <w:t>growth,</w:t>
      </w:r>
      <w:r>
        <w:rPr>
          <w:spacing w:val="-14"/>
        </w:rPr>
        <w:t xml:space="preserve"> </w:t>
      </w:r>
      <w:r>
        <w:t>it</w:t>
      </w:r>
      <w:r>
        <w:rPr>
          <w:spacing w:val="-14"/>
        </w:rPr>
        <w:t xml:space="preserve"> </w:t>
      </w:r>
      <w:r>
        <w:t xml:space="preserve">is </w:t>
      </w:r>
      <w:r>
        <w:rPr>
          <w:w w:val="95"/>
        </w:rPr>
        <w:t>worth</w:t>
      </w:r>
      <w:r>
        <w:rPr>
          <w:spacing w:val="-4"/>
          <w:w w:val="95"/>
        </w:rPr>
        <w:t xml:space="preserve"> </w:t>
      </w:r>
      <w:r>
        <w:rPr>
          <w:w w:val="95"/>
        </w:rPr>
        <w:t>considering</w:t>
      </w:r>
      <w:r>
        <w:rPr>
          <w:spacing w:val="-4"/>
          <w:w w:val="95"/>
        </w:rPr>
        <w:t xml:space="preserve"> </w:t>
      </w:r>
      <w:r>
        <w:rPr>
          <w:w w:val="95"/>
        </w:rPr>
        <w:t>that</w:t>
      </w:r>
      <w:r>
        <w:rPr>
          <w:spacing w:val="-4"/>
          <w:w w:val="95"/>
        </w:rPr>
        <w:t xml:space="preserve"> </w:t>
      </w:r>
      <w:r>
        <w:rPr>
          <w:w w:val="95"/>
        </w:rPr>
        <w:t>within</w:t>
      </w:r>
      <w:r>
        <w:rPr>
          <w:spacing w:val="-4"/>
          <w:w w:val="95"/>
        </w:rPr>
        <w:t xml:space="preserve"> </w:t>
      </w:r>
      <w:r>
        <w:rPr>
          <w:w w:val="95"/>
        </w:rPr>
        <w:t>the</w:t>
      </w:r>
      <w:r>
        <w:rPr>
          <w:spacing w:val="-4"/>
          <w:w w:val="95"/>
        </w:rPr>
        <w:t xml:space="preserve"> </w:t>
      </w:r>
      <w:r>
        <w:rPr>
          <w:w w:val="95"/>
        </w:rPr>
        <w:t>lifetimes</w:t>
      </w:r>
      <w:r>
        <w:rPr>
          <w:spacing w:val="-4"/>
          <w:w w:val="95"/>
        </w:rPr>
        <w:t xml:space="preserve"> </w:t>
      </w:r>
      <w:r>
        <w:rPr>
          <w:w w:val="95"/>
        </w:rPr>
        <w:t>of</w:t>
      </w:r>
      <w:r>
        <w:rPr>
          <w:spacing w:val="-4"/>
          <w:w w:val="95"/>
        </w:rPr>
        <w:t xml:space="preserve"> </w:t>
      </w:r>
      <w:r>
        <w:rPr>
          <w:w w:val="95"/>
        </w:rPr>
        <w:t>many Sydneysiders,</w:t>
      </w:r>
      <w:r>
        <w:rPr>
          <w:spacing w:val="-1"/>
          <w:w w:val="95"/>
        </w:rPr>
        <w:t xml:space="preserve"> </w:t>
      </w:r>
      <w:r>
        <w:rPr>
          <w:w w:val="95"/>
        </w:rPr>
        <w:t>much</w:t>
      </w:r>
      <w:r>
        <w:rPr>
          <w:spacing w:val="-1"/>
          <w:w w:val="95"/>
        </w:rPr>
        <w:t xml:space="preserve"> </w:t>
      </w:r>
      <w:r>
        <w:rPr>
          <w:w w:val="95"/>
        </w:rPr>
        <w:t>of</w:t>
      </w:r>
      <w:r>
        <w:rPr>
          <w:spacing w:val="-1"/>
          <w:w w:val="95"/>
        </w:rPr>
        <w:t xml:space="preserve"> </w:t>
      </w:r>
      <w:r>
        <w:rPr>
          <w:w w:val="95"/>
        </w:rPr>
        <w:t>Greater</w:t>
      </w:r>
      <w:r>
        <w:rPr>
          <w:spacing w:val="-1"/>
          <w:w w:val="95"/>
        </w:rPr>
        <w:t xml:space="preserve"> </w:t>
      </w:r>
      <w:r>
        <w:rPr>
          <w:w w:val="95"/>
        </w:rPr>
        <w:t>Sydney’s</w:t>
      </w:r>
      <w:r>
        <w:rPr>
          <w:spacing w:val="-1"/>
          <w:w w:val="95"/>
        </w:rPr>
        <w:t xml:space="preserve"> </w:t>
      </w:r>
      <w:r>
        <w:rPr>
          <w:w w:val="95"/>
        </w:rPr>
        <w:t>regional</w:t>
      </w:r>
    </w:p>
    <w:p w:rsidR="002C1123" w:rsidRDefault="00F22F94">
      <w:pPr>
        <w:pStyle w:val="BodyText"/>
        <w:spacing w:before="129" w:line="249" w:lineRule="auto"/>
        <w:ind w:left="279" w:right="737"/>
      </w:pPr>
      <w:r>
        <w:br w:type="column"/>
      </w:r>
      <w:r>
        <w:t>employment</w:t>
      </w:r>
      <w:r>
        <w:rPr>
          <w:spacing w:val="-14"/>
        </w:rPr>
        <w:t xml:space="preserve"> </w:t>
      </w:r>
      <w:r>
        <w:t>centres</w:t>
      </w:r>
      <w:r>
        <w:rPr>
          <w:spacing w:val="-14"/>
        </w:rPr>
        <w:t xml:space="preserve"> </w:t>
      </w:r>
      <w:r>
        <w:t>and</w:t>
      </w:r>
      <w:r>
        <w:rPr>
          <w:spacing w:val="-14"/>
        </w:rPr>
        <w:t xml:space="preserve"> </w:t>
      </w:r>
      <w:r>
        <w:t>business</w:t>
      </w:r>
      <w:r>
        <w:rPr>
          <w:spacing w:val="-14"/>
        </w:rPr>
        <w:t xml:space="preserve"> </w:t>
      </w:r>
      <w:r>
        <w:t>parks</w:t>
      </w:r>
      <w:r>
        <w:rPr>
          <w:spacing w:val="-14"/>
        </w:rPr>
        <w:t xml:space="preserve"> </w:t>
      </w:r>
      <w:r>
        <w:t xml:space="preserve">were </w:t>
      </w:r>
      <w:r>
        <w:rPr>
          <w:w w:val="95"/>
        </w:rPr>
        <w:t>semi-rural.</w:t>
      </w:r>
      <w:r>
        <w:rPr>
          <w:spacing w:val="-12"/>
          <w:w w:val="95"/>
        </w:rPr>
        <w:t xml:space="preserve"> </w:t>
      </w:r>
      <w:r>
        <w:rPr>
          <w:w w:val="95"/>
        </w:rPr>
        <w:t>In</w:t>
      </w:r>
      <w:r>
        <w:rPr>
          <w:spacing w:val="-11"/>
          <w:w w:val="95"/>
        </w:rPr>
        <w:t xml:space="preserve"> </w:t>
      </w:r>
      <w:r>
        <w:rPr>
          <w:w w:val="95"/>
        </w:rPr>
        <w:t>the</w:t>
      </w:r>
      <w:r>
        <w:rPr>
          <w:spacing w:val="-11"/>
          <w:w w:val="95"/>
        </w:rPr>
        <w:t xml:space="preserve"> </w:t>
      </w:r>
      <w:r>
        <w:rPr>
          <w:w w:val="95"/>
        </w:rPr>
        <w:t>past</w:t>
      </w:r>
      <w:r>
        <w:rPr>
          <w:spacing w:val="-11"/>
          <w:w w:val="95"/>
        </w:rPr>
        <w:t xml:space="preserve"> </w:t>
      </w:r>
      <w:r>
        <w:rPr>
          <w:w w:val="95"/>
        </w:rPr>
        <w:t>20</w:t>
      </w:r>
      <w:r>
        <w:rPr>
          <w:spacing w:val="-11"/>
          <w:w w:val="95"/>
        </w:rPr>
        <w:t xml:space="preserve"> </w:t>
      </w:r>
      <w:r>
        <w:rPr>
          <w:w w:val="95"/>
        </w:rPr>
        <w:t>years</w:t>
      </w:r>
      <w:r>
        <w:rPr>
          <w:spacing w:val="-11"/>
          <w:w w:val="95"/>
        </w:rPr>
        <w:t xml:space="preserve"> </w:t>
      </w:r>
      <w:r>
        <w:rPr>
          <w:w w:val="95"/>
        </w:rPr>
        <w:t>since</w:t>
      </w:r>
      <w:r>
        <w:rPr>
          <w:spacing w:val="-11"/>
          <w:w w:val="95"/>
        </w:rPr>
        <w:t xml:space="preserve"> </w:t>
      </w:r>
      <w:r>
        <w:rPr>
          <w:w w:val="95"/>
        </w:rPr>
        <w:t>1991,</w:t>
      </w:r>
      <w:r>
        <w:rPr>
          <w:spacing w:val="-11"/>
          <w:w w:val="95"/>
        </w:rPr>
        <w:t xml:space="preserve"> </w:t>
      </w:r>
      <w:r>
        <w:rPr>
          <w:w w:val="95"/>
        </w:rPr>
        <w:t>over</w:t>
      </w:r>
    </w:p>
    <w:p w:rsidR="002C1123" w:rsidRDefault="002060EF">
      <w:pPr>
        <w:pStyle w:val="BodyText"/>
        <w:spacing w:before="1" w:line="249" w:lineRule="auto"/>
        <w:ind w:left="279"/>
      </w:pPr>
      <w:r>
        <w:pict>
          <v:group id="docshapegroup700" o:spid="_x0000_s4610" style="position:absolute;left:0;text-align:left;margin-left:51pt;margin-top:-20.9pt;width:238.6pt;height:267.2pt;z-index:251276288;mso-position-horizontal-relative:page" coordorigin="1020,-418" coordsize="4772,5344">
            <v:rect id="docshape701" o:spid="_x0000_s4630" style="position:absolute;left:1020;top:-418;width:4772;height:5344" fillcolor="#e1e0e1" stroked="f"/>
            <v:shape id="docshape702" o:spid="_x0000_s4629" type="#_x0000_t75" style="position:absolute;left:1119;top:160;width:4436;height:2949">
              <v:imagedata r:id="rId97" o:title=""/>
            </v:shape>
            <v:shape id="docshape703" o:spid="_x0000_s4628" type="#_x0000_t75" style="position:absolute;left:1341;top:3692;width:220;height:220">
              <v:imagedata r:id="rId81" o:title=""/>
            </v:shape>
            <v:shape id="docshape704" o:spid="_x0000_s4627" type="#_x0000_t75" style="position:absolute;left:1341;top:3972;width:220;height:220">
              <v:imagedata r:id="rId82" o:title=""/>
            </v:shape>
            <v:shape id="docshape705" o:spid="_x0000_s4626" type="#_x0000_t75" style="position:absolute;left:2758;top:3692;width:220;height:220">
              <v:imagedata r:id="rId81" o:title=""/>
            </v:shape>
            <v:shape id="docshape706" o:spid="_x0000_s4625" type="#_x0000_t75" style="position:absolute;left:2758;top:3972;width:220;height:220">
              <v:imagedata r:id="rId82" o:title=""/>
            </v:shape>
            <v:shape id="docshape707" o:spid="_x0000_s4624" type="#_x0000_t75" style="position:absolute;left:4175;top:3692;width:220;height:220">
              <v:imagedata r:id="rId81" o:title=""/>
            </v:shape>
            <v:shape id="docshape708" o:spid="_x0000_s4623" type="#_x0000_t75" style="position:absolute;left:4175;top:3972;width:220;height:220">
              <v:imagedata r:id="rId98" o:title=""/>
            </v:shape>
            <v:shape id="docshape709" o:spid="_x0000_s4622" type="#_x0000_t202" style="position:absolute;left:1133;top:-346;width:3254;height:215" filled="f" stroked="f">
              <v:textbox inset="0,0,0,0">
                <w:txbxContent>
                  <w:p w:rsidR="00F22F94" w:rsidRDefault="00F22F94">
                    <w:pPr>
                      <w:spacing w:before="6"/>
                      <w:rPr>
                        <w:b/>
                        <w:sz w:val="18"/>
                      </w:rPr>
                    </w:pPr>
                    <w:r>
                      <w:rPr>
                        <w:b/>
                        <w:sz w:val="18"/>
                      </w:rPr>
                      <w:t>Figure</w:t>
                    </w:r>
                    <w:r>
                      <w:rPr>
                        <w:b/>
                        <w:spacing w:val="-3"/>
                        <w:sz w:val="18"/>
                      </w:rPr>
                      <w:t xml:space="preserve"> </w:t>
                    </w:r>
                    <w:r>
                      <w:rPr>
                        <w:b/>
                        <w:sz w:val="18"/>
                      </w:rPr>
                      <w:t>4.1</w:t>
                    </w:r>
                    <w:r>
                      <w:rPr>
                        <w:b/>
                        <w:spacing w:val="44"/>
                        <w:sz w:val="18"/>
                      </w:rPr>
                      <w:t xml:space="preserve"> </w:t>
                    </w:r>
                    <w:r>
                      <w:rPr>
                        <w:b/>
                        <w:sz w:val="18"/>
                      </w:rPr>
                      <w:t>Regions</w:t>
                    </w:r>
                    <w:r>
                      <w:rPr>
                        <w:b/>
                        <w:spacing w:val="-3"/>
                        <w:sz w:val="18"/>
                      </w:rPr>
                      <w:t xml:space="preserve"> </w:t>
                    </w:r>
                    <w:r>
                      <w:rPr>
                        <w:b/>
                        <w:sz w:val="18"/>
                      </w:rPr>
                      <w:t>of</w:t>
                    </w:r>
                    <w:r>
                      <w:rPr>
                        <w:b/>
                        <w:spacing w:val="-3"/>
                        <w:sz w:val="18"/>
                      </w:rPr>
                      <w:t xml:space="preserve"> </w:t>
                    </w:r>
                    <w:r>
                      <w:rPr>
                        <w:b/>
                        <w:sz w:val="18"/>
                      </w:rPr>
                      <w:t>Greater</w:t>
                    </w:r>
                    <w:r>
                      <w:rPr>
                        <w:b/>
                        <w:spacing w:val="-2"/>
                        <w:sz w:val="18"/>
                      </w:rPr>
                      <w:t xml:space="preserve"> Sydney</w:t>
                    </w:r>
                  </w:p>
                </w:txbxContent>
              </v:textbox>
            </v:shape>
            <v:shape id="docshape710" o:spid="_x0000_s4621" type="#_x0000_t202" style="position:absolute;left:4625;top:783;width:93;height:156" filled="f" stroked="f">
              <v:textbox inset="0,0,0,0">
                <w:txbxContent>
                  <w:p w:rsidR="00F22F94" w:rsidRDefault="00F22F94">
                    <w:pPr>
                      <w:spacing w:before="5"/>
                      <w:rPr>
                        <w:b/>
                        <w:sz w:val="13"/>
                      </w:rPr>
                    </w:pPr>
                    <w:r>
                      <w:rPr>
                        <w:b/>
                        <w:w w:val="99"/>
                        <w:sz w:val="13"/>
                      </w:rPr>
                      <w:t>1</w:t>
                    </w:r>
                  </w:p>
                </w:txbxContent>
              </v:textbox>
            </v:shape>
            <v:shape id="docshape711" o:spid="_x0000_s4620" type="#_x0000_t202" style="position:absolute;left:2932;top:1147;width:93;height:156" filled="f" stroked="f">
              <v:textbox inset="0,0,0,0">
                <w:txbxContent>
                  <w:p w:rsidR="00F22F94" w:rsidRDefault="00F22F94">
                    <w:pPr>
                      <w:spacing w:before="5"/>
                      <w:rPr>
                        <w:b/>
                        <w:sz w:val="13"/>
                      </w:rPr>
                    </w:pPr>
                    <w:r>
                      <w:rPr>
                        <w:b/>
                        <w:w w:val="99"/>
                        <w:sz w:val="13"/>
                      </w:rPr>
                      <w:t>3</w:t>
                    </w:r>
                  </w:p>
                </w:txbxContent>
              </v:textbox>
            </v:shape>
            <v:shape id="docshape712" o:spid="_x0000_s4619" type="#_x0000_t202" style="position:absolute;left:4185;top:1475;width:93;height:156" filled="f" stroked="f">
              <v:textbox inset="0,0,0,0">
                <w:txbxContent>
                  <w:p w:rsidR="00F22F94" w:rsidRDefault="00F22F94">
                    <w:pPr>
                      <w:spacing w:before="5"/>
                      <w:rPr>
                        <w:b/>
                        <w:sz w:val="13"/>
                      </w:rPr>
                    </w:pPr>
                    <w:r>
                      <w:rPr>
                        <w:b/>
                        <w:w w:val="99"/>
                        <w:sz w:val="13"/>
                      </w:rPr>
                      <w:t>2</w:t>
                    </w:r>
                  </w:p>
                </w:txbxContent>
              </v:textbox>
            </v:shape>
            <v:shape id="docshape713" o:spid="_x0000_s4618" type="#_x0000_t202" style="position:absolute;left:3558;top:1684;width:93;height:156" filled="f" stroked="f">
              <v:textbox inset="0,0,0,0">
                <w:txbxContent>
                  <w:p w:rsidR="00F22F94" w:rsidRDefault="00F22F94">
                    <w:pPr>
                      <w:spacing w:before="5"/>
                      <w:rPr>
                        <w:b/>
                        <w:sz w:val="13"/>
                      </w:rPr>
                    </w:pPr>
                    <w:r>
                      <w:rPr>
                        <w:b/>
                        <w:w w:val="99"/>
                        <w:sz w:val="13"/>
                      </w:rPr>
                      <w:t>6</w:t>
                    </w:r>
                  </w:p>
                </w:txbxContent>
              </v:textbox>
            </v:shape>
            <v:shape id="docshape714" o:spid="_x0000_s4617" type="#_x0000_t202" style="position:absolute;left:2726;top:2411;width:93;height:156" filled="f" stroked="f">
              <v:textbox inset="0,0,0,0">
                <w:txbxContent>
                  <w:p w:rsidR="00F22F94" w:rsidRDefault="00F22F94">
                    <w:pPr>
                      <w:spacing w:before="5"/>
                      <w:rPr>
                        <w:b/>
                        <w:sz w:val="13"/>
                      </w:rPr>
                    </w:pPr>
                    <w:r>
                      <w:rPr>
                        <w:b/>
                        <w:w w:val="99"/>
                        <w:sz w:val="13"/>
                      </w:rPr>
                      <w:t>5</w:t>
                    </w:r>
                  </w:p>
                </w:txbxContent>
              </v:textbox>
            </v:shape>
            <v:shape id="docshape715" o:spid="_x0000_s4616" type="#_x0000_t202" style="position:absolute;left:3985;top:2363;width:93;height:156" filled="f" stroked="f">
              <v:textbox inset="0,0,0,0">
                <w:txbxContent>
                  <w:p w:rsidR="00F22F94" w:rsidRDefault="00F22F94">
                    <w:pPr>
                      <w:spacing w:before="5"/>
                      <w:rPr>
                        <w:b/>
                        <w:sz w:val="13"/>
                      </w:rPr>
                    </w:pPr>
                    <w:r>
                      <w:rPr>
                        <w:b/>
                        <w:w w:val="99"/>
                        <w:sz w:val="13"/>
                      </w:rPr>
                      <w:t>4</w:t>
                    </w:r>
                  </w:p>
                </w:txbxContent>
              </v:textbox>
            </v:shape>
            <v:shape id="docshape716" o:spid="_x0000_s4615" type="#_x0000_t202" style="position:absolute;left:1348;top:3365;width:1193;height:803" filled="f" stroked="f">
              <v:textbox inset="0,0,0,0">
                <w:txbxContent>
                  <w:p w:rsidR="00F22F94" w:rsidRDefault="00F22F94">
                    <w:pPr>
                      <w:spacing w:before="2"/>
                      <w:rPr>
                        <w:sz w:val="20"/>
                      </w:rPr>
                    </w:pPr>
                    <w:r>
                      <w:rPr>
                        <w:w w:val="80"/>
                        <w:sz w:val="20"/>
                      </w:rPr>
                      <w:t>Greater</w:t>
                    </w:r>
                    <w:r>
                      <w:rPr>
                        <w:spacing w:val="8"/>
                        <w:sz w:val="20"/>
                      </w:rPr>
                      <w:t xml:space="preserve"> </w:t>
                    </w:r>
                    <w:r>
                      <w:rPr>
                        <w:spacing w:val="-2"/>
                        <w:w w:val="85"/>
                        <w:sz w:val="20"/>
                      </w:rPr>
                      <w:t>Sydney</w:t>
                    </w:r>
                  </w:p>
                  <w:p w:rsidR="00F22F94" w:rsidRDefault="00F22F94">
                    <w:pPr>
                      <w:numPr>
                        <w:ilvl w:val="0"/>
                        <w:numId w:val="113"/>
                      </w:numPr>
                      <w:tabs>
                        <w:tab w:val="left" w:pos="280"/>
                      </w:tabs>
                      <w:spacing w:before="108"/>
                      <w:rPr>
                        <w:sz w:val="16"/>
                      </w:rPr>
                    </w:pPr>
                    <w:r>
                      <w:rPr>
                        <w:w w:val="75"/>
                        <w:sz w:val="16"/>
                      </w:rPr>
                      <w:t>Central</w:t>
                    </w:r>
                    <w:r>
                      <w:rPr>
                        <w:spacing w:val="8"/>
                        <w:sz w:val="16"/>
                      </w:rPr>
                      <w:t xml:space="preserve"> </w:t>
                    </w:r>
                    <w:r>
                      <w:rPr>
                        <w:spacing w:val="-2"/>
                        <w:w w:val="85"/>
                        <w:sz w:val="16"/>
                      </w:rPr>
                      <w:t>Coast</w:t>
                    </w:r>
                  </w:p>
                  <w:p w:rsidR="00F22F94" w:rsidRDefault="00F22F94">
                    <w:pPr>
                      <w:numPr>
                        <w:ilvl w:val="0"/>
                        <w:numId w:val="113"/>
                      </w:numPr>
                      <w:tabs>
                        <w:tab w:val="left" w:pos="280"/>
                      </w:tabs>
                      <w:spacing w:before="96" w:line="183" w:lineRule="exact"/>
                      <w:rPr>
                        <w:sz w:val="16"/>
                      </w:rPr>
                    </w:pPr>
                    <w:r>
                      <w:rPr>
                        <w:spacing w:val="-2"/>
                        <w:w w:val="90"/>
                        <w:sz w:val="16"/>
                      </w:rPr>
                      <w:t>North</w:t>
                    </w:r>
                  </w:p>
                </w:txbxContent>
              </v:textbox>
            </v:shape>
            <v:shape id="docshape717" o:spid="_x0000_s4614" type="#_x0000_t202" style="position:absolute;left:2826;top:3707;width:871;height:181" filled="f" stroked="f">
              <v:textbox inset="0,0,0,0">
                <w:txbxContent>
                  <w:p w:rsidR="00F22F94" w:rsidRDefault="00F22F94">
                    <w:pPr>
                      <w:spacing w:line="181" w:lineRule="exact"/>
                      <w:rPr>
                        <w:sz w:val="16"/>
                      </w:rPr>
                    </w:pPr>
                    <w:r>
                      <w:rPr>
                        <w:b/>
                        <w:w w:val="90"/>
                        <w:position w:val="1"/>
                        <w:sz w:val="13"/>
                      </w:rPr>
                      <w:t>3</w:t>
                    </w:r>
                    <w:r>
                      <w:rPr>
                        <w:b/>
                        <w:spacing w:val="73"/>
                        <w:position w:val="1"/>
                        <w:sz w:val="13"/>
                      </w:rPr>
                      <w:t xml:space="preserve"> </w:t>
                    </w:r>
                    <w:r>
                      <w:rPr>
                        <w:w w:val="90"/>
                        <w:sz w:val="16"/>
                      </w:rPr>
                      <w:t>North</w:t>
                    </w:r>
                    <w:r>
                      <w:rPr>
                        <w:spacing w:val="-6"/>
                        <w:w w:val="90"/>
                        <w:sz w:val="16"/>
                      </w:rPr>
                      <w:t xml:space="preserve"> </w:t>
                    </w:r>
                    <w:r>
                      <w:rPr>
                        <w:spacing w:val="-4"/>
                        <w:w w:val="85"/>
                        <w:sz w:val="16"/>
                      </w:rPr>
                      <w:t>West</w:t>
                    </w:r>
                  </w:p>
                </w:txbxContent>
              </v:textbox>
            </v:shape>
            <v:shape id="docshape718" o:spid="_x0000_s4613" type="#_x0000_t202" style="position:absolute;left:2826;top:3987;width:565;height:181" filled="f" stroked="f">
              <v:textbox inset="0,0,0,0">
                <w:txbxContent>
                  <w:p w:rsidR="00F22F94" w:rsidRDefault="00F22F94">
                    <w:pPr>
                      <w:spacing w:line="181" w:lineRule="exact"/>
                      <w:rPr>
                        <w:sz w:val="16"/>
                      </w:rPr>
                    </w:pPr>
                    <w:r>
                      <w:rPr>
                        <w:b/>
                        <w:w w:val="95"/>
                        <w:position w:val="1"/>
                        <w:sz w:val="13"/>
                      </w:rPr>
                      <w:t>4</w:t>
                    </w:r>
                    <w:r>
                      <w:rPr>
                        <w:b/>
                        <w:spacing w:val="38"/>
                        <w:position w:val="1"/>
                        <w:sz w:val="13"/>
                      </w:rPr>
                      <w:t xml:space="preserve">  </w:t>
                    </w:r>
                    <w:r>
                      <w:rPr>
                        <w:spacing w:val="-2"/>
                        <w:w w:val="80"/>
                        <w:sz w:val="16"/>
                      </w:rPr>
                      <w:t>South</w:t>
                    </w:r>
                  </w:p>
                </w:txbxContent>
              </v:textbox>
            </v:shape>
            <v:shape id="docshape719" o:spid="_x0000_s4612" type="#_x0000_t202" style="position:absolute;left:4244;top:3707;width:965;height:461" filled="f" stroked="f">
              <v:textbox inset="0,0,0,0">
                <w:txbxContent>
                  <w:p w:rsidR="00F22F94" w:rsidRDefault="00F22F94">
                    <w:pPr>
                      <w:numPr>
                        <w:ilvl w:val="0"/>
                        <w:numId w:val="112"/>
                      </w:numPr>
                      <w:tabs>
                        <w:tab w:val="left" w:pos="219"/>
                      </w:tabs>
                      <w:spacing w:line="182" w:lineRule="exact"/>
                      <w:rPr>
                        <w:sz w:val="16"/>
                      </w:rPr>
                    </w:pPr>
                    <w:r>
                      <w:rPr>
                        <w:w w:val="75"/>
                        <w:sz w:val="16"/>
                      </w:rPr>
                      <w:t>South</w:t>
                    </w:r>
                    <w:r>
                      <w:rPr>
                        <w:spacing w:val="1"/>
                        <w:sz w:val="16"/>
                      </w:rPr>
                      <w:t xml:space="preserve"> </w:t>
                    </w:r>
                    <w:r>
                      <w:rPr>
                        <w:spacing w:val="-4"/>
                        <w:w w:val="90"/>
                        <w:sz w:val="16"/>
                      </w:rPr>
                      <w:t>West</w:t>
                    </w:r>
                  </w:p>
                  <w:p w:rsidR="00F22F94" w:rsidRDefault="00F22F94">
                    <w:pPr>
                      <w:numPr>
                        <w:ilvl w:val="0"/>
                        <w:numId w:val="112"/>
                      </w:numPr>
                      <w:tabs>
                        <w:tab w:val="left" w:pos="219"/>
                      </w:tabs>
                      <w:spacing w:before="96" w:line="183" w:lineRule="exact"/>
                      <w:rPr>
                        <w:sz w:val="16"/>
                      </w:rPr>
                    </w:pPr>
                    <w:r>
                      <w:rPr>
                        <w:w w:val="75"/>
                        <w:sz w:val="16"/>
                      </w:rPr>
                      <w:t>West</w:t>
                    </w:r>
                    <w:r>
                      <w:rPr>
                        <w:spacing w:val="3"/>
                        <w:sz w:val="16"/>
                      </w:rPr>
                      <w:t xml:space="preserve"> </w:t>
                    </w:r>
                    <w:r>
                      <w:rPr>
                        <w:spacing w:val="-2"/>
                        <w:w w:val="80"/>
                        <w:sz w:val="16"/>
                      </w:rPr>
                      <w:t>Central</w:t>
                    </w:r>
                  </w:p>
                </w:txbxContent>
              </v:textbox>
            </v:shape>
            <v:shape id="docshape720" o:spid="_x0000_s4611" type="#_x0000_t202" style="position:absolute;left:1133;top:4685;width:3088;height:166" filled="f" stroked="f">
              <v:textbox inset="0,0,0,0">
                <w:txbxContent>
                  <w:p w:rsidR="00F22F94" w:rsidRDefault="00F22F94">
                    <w:pPr>
                      <w:spacing w:before="4"/>
                      <w:rPr>
                        <w:sz w:val="14"/>
                      </w:rPr>
                    </w:pPr>
                    <w:r>
                      <w:rPr>
                        <w:w w:val="95"/>
                        <w:sz w:val="14"/>
                      </w:rPr>
                      <w:t>Source:</w:t>
                    </w:r>
                    <w:r>
                      <w:rPr>
                        <w:spacing w:val="5"/>
                        <w:sz w:val="14"/>
                      </w:rPr>
                      <w:t xml:space="preserve"> </w:t>
                    </w:r>
                    <w:r>
                      <w:rPr>
                        <w:w w:val="95"/>
                        <w:sz w:val="14"/>
                      </w:rPr>
                      <w:t>Department</w:t>
                    </w:r>
                    <w:r>
                      <w:rPr>
                        <w:spacing w:val="5"/>
                        <w:sz w:val="14"/>
                      </w:rPr>
                      <w:t xml:space="preserve"> </w:t>
                    </w:r>
                    <w:r>
                      <w:rPr>
                        <w:w w:val="95"/>
                        <w:sz w:val="14"/>
                      </w:rPr>
                      <w:t>of</w:t>
                    </w:r>
                    <w:r>
                      <w:rPr>
                        <w:spacing w:val="5"/>
                        <w:sz w:val="14"/>
                      </w:rPr>
                      <w:t xml:space="preserve"> </w:t>
                    </w:r>
                    <w:r>
                      <w:rPr>
                        <w:w w:val="95"/>
                        <w:sz w:val="14"/>
                      </w:rPr>
                      <w:t>Planning</w:t>
                    </w:r>
                    <w:r>
                      <w:rPr>
                        <w:spacing w:val="5"/>
                        <w:sz w:val="14"/>
                      </w:rPr>
                      <w:t xml:space="preserve"> </w:t>
                    </w:r>
                    <w:r>
                      <w:rPr>
                        <w:w w:val="95"/>
                        <w:sz w:val="14"/>
                      </w:rPr>
                      <w:t>and</w:t>
                    </w:r>
                    <w:r>
                      <w:rPr>
                        <w:spacing w:val="5"/>
                        <w:sz w:val="14"/>
                      </w:rPr>
                      <w:t xml:space="preserve"> </w:t>
                    </w:r>
                    <w:r>
                      <w:rPr>
                        <w:spacing w:val="-2"/>
                        <w:w w:val="95"/>
                        <w:sz w:val="14"/>
                      </w:rPr>
                      <w:t>Infrastructure.</w:t>
                    </w:r>
                  </w:p>
                </w:txbxContent>
              </v:textbox>
            </v:shape>
            <w10:wrap anchorx="page"/>
          </v:group>
        </w:pict>
      </w:r>
      <w:r w:rsidR="00F22F94">
        <w:rPr>
          <w:w w:val="95"/>
        </w:rPr>
        <w:t>70</w:t>
      </w:r>
      <w:r w:rsidR="00F22F94">
        <w:rPr>
          <w:spacing w:val="-1"/>
          <w:w w:val="95"/>
        </w:rPr>
        <w:t xml:space="preserve"> </w:t>
      </w:r>
      <w:r w:rsidR="00F22F94">
        <w:rPr>
          <w:w w:val="95"/>
        </w:rPr>
        <w:t>percent</w:t>
      </w:r>
      <w:r w:rsidR="00F22F94">
        <w:rPr>
          <w:spacing w:val="-1"/>
          <w:w w:val="95"/>
        </w:rPr>
        <w:t xml:space="preserve"> </w:t>
      </w:r>
      <w:r w:rsidR="00F22F94">
        <w:rPr>
          <w:w w:val="95"/>
        </w:rPr>
        <w:t>of</w:t>
      </w:r>
      <w:r w:rsidR="00F22F94">
        <w:rPr>
          <w:spacing w:val="-1"/>
          <w:w w:val="95"/>
        </w:rPr>
        <w:t xml:space="preserve"> </w:t>
      </w:r>
      <w:r w:rsidR="00F22F94">
        <w:rPr>
          <w:w w:val="95"/>
        </w:rPr>
        <w:t>Sydney’s</w:t>
      </w:r>
      <w:r w:rsidR="00F22F94">
        <w:rPr>
          <w:spacing w:val="-1"/>
          <w:w w:val="95"/>
        </w:rPr>
        <w:t xml:space="preserve"> </w:t>
      </w:r>
      <w:r w:rsidR="00F22F94">
        <w:rPr>
          <w:w w:val="95"/>
        </w:rPr>
        <w:t>population</w:t>
      </w:r>
      <w:r w:rsidR="00F22F94">
        <w:rPr>
          <w:spacing w:val="-1"/>
          <w:w w:val="95"/>
        </w:rPr>
        <w:t xml:space="preserve"> </w:t>
      </w:r>
      <w:r w:rsidR="00F22F94">
        <w:rPr>
          <w:w w:val="95"/>
        </w:rPr>
        <w:t>growth</w:t>
      </w:r>
      <w:r w:rsidR="00F22F94">
        <w:rPr>
          <w:spacing w:val="-1"/>
          <w:w w:val="95"/>
        </w:rPr>
        <w:t xml:space="preserve"> </w:t>
      </w:r>
      <w:r w:rsidR="00F22F94">
        <w:rPr>
          <w:w w:val="95"/>
        </w:rPr>
        <w:t>(over</w:t>
      </w:r>
      <w:r w:rsidR="00F22F94">
        <w:rPr>
          <w:spacing w:val="-1"/>
          <w:w w:val="95"/>
        </w:rPr>
        <w:t xml:space="preserve"> </w:t>
      </w:r>
      <w:r w:rsidR="00F22F94">
        <w:rPr>
          <w:w w:val="95"/>
        </w:rPr>
        <w:t xml:space="preserve">600,000 </w:t>
      </w:r>
      <w:r w:rsidR="00F22F94">
        <w:t>people)</w:t>
      </w:r>
      <w:r w:rsidR="00F22F94">
        <w:rPr>
          <w:spacing w:val="-14"/>
        </w:rPr>
        <w:t xml:space="preserve"> </w:t>
      </w:r>
      <w:r w:rsidR="00F22F94">
        <w:t>has</w:t>
      </w:r>
      <w:r w:rsidR="00F22F94">
        <w:rPr>
          <w:spacing w:val="-14"/>
        </w:rPr>
        <w:t xml:space="preserve"> </w:t>
      </w:r>
      <w:r w:rsidR="00F22F94">
        <w:t>been</w:t>
      </w:r>
      <w:r w:rsidR="00F22F94">
        <w:rPr>
          <w:spacing w:val="-14"/>
        </w:rPr>
        <w:t xml:space="preserve"> </w:t>
      </w:r>
      <w:r w:rsidR="00F22F94">
        <w:t>accommodated</w:t>
      </w:r>
      <w:r w:rsidR="00F22F94">
        <w:rPr>
          <w:spacing w:val="-14"/>
        </w:rPr>
        <w:t xml:space="preserve"> </w:t>
      </w:r>
      <w:r w:rsidR="00F22F94">
        <w:t>in</w:t>
      </w:r>
      <w:r w:rsidR="00F22F94">
        <w:rPr>
          <w:spacing w:val="-14"/>
        </w:rPr>
        <w:t xml:space="preserve"> </w:t>
      </w:r>
      <w:r w:rsidR="00F22F94">
        <w:t>Greater</w:t>
      </w:r>
      <w:r w:rsidR="00F22F94">
        <w:rPr>
          <w:spacing w:val="-14"/>
        </w:rPr>
        <w:t xml:space="preserve"> </w:t>
      </w:r>
      <w:r w:rsidR="00F22F94">
        <w:t>Sydney.</w:t>
      </w:r>
    </w:p>
    <w:p w:rsidR="002C1123" w:rsidRDefault="00F22F94">
      <w:pPr>
        <w:pStyle w:val="BodyText"/>
        <w:spacing w:before="144" w:line="249" w:lineRule="auto"/>
        <w:ind w:left="279"/>
      </w:pPr>
      <w:r>
        <w:rPr>
          <w:w w:val="95"/>
        </w:rPr>
        <w:t xml:space="preserve">The economic and demographic projections for Greater </w:t>
      </w:r>
      <w:r>
        <w:t>Sydney</w:t>
      </w:r>
      <w:r>
        <w:rPr>
          <w:spacing w:val="-14"/>
        </w:rPr>
        <w:t xml:space="preserve"> </w:t>
      </w:r>
      <w:r>
        <w:t>for</w:t>
      </w:r>
      <w:r>
        <w:rPr>
          <w:spacing w:val="-14"/>
        </w:rPr>
        <w:t xml:space="preserve"> </w:t>
      </w:r>
      <w:r>
        <w:t>the</w:t>
      </w:r>
      <w:r>
        <w:rPr>
          <w:spacing w:val="-14"/>
        </w:rPr>
        <w:t xml:space="preserve"> </w:t>
      </w:r>
      <w:r>
        <w:t>next</w:t>
      </w:r>
      <w:r>
        <w:rPr>
          <w:spacing w:val="-14"/>
        </w:rPr>
        <w:t xml:space="preserve"> </w:t>
      </w:r>
      <w:r>
        <w:t>20</w:t>
      </w:r>
      <w:r>
        <w:rPr>
          <w:spacing w:val="-14"/>
        </w:rPr>
        <w:t xml:space="preserve"> </w:t>
      </w:r>
      <w:r>
        <w:t>years</w:t>
      </w:r>
      <w:r>
        <w:rPr>
          <w:spacing w:val="-14"/>
        </w:rPr>
        <w:t xml:space="preserve"> </w:t>
      </w:r>
      <w:r>
        <w:t>have</w:t>
      </w:r>
      <w:r>
        <w:rPr>
          <w:spacing w:val="-14"/>
        </w:rPr>
        <w:t xml:space="preserve"> </w:t>
      </w:r>
      <w:r>
        <w:t>forecast</w:t>
      </w:r>
      <w:r>
        <w:rPr>
          <w:spacing w:val="-13"/>
        </w:rPr>
        <w:t xml:space="preserve"> </w:t>
      </w:r>
      <w:r>
        <w:t>that</w:t>
      </w:r>
      <w:r>
        <w:rPr>
          <w:spacing w:val="-14"/>
        </w:rPr>
        <w:t xml:space="preserve"> </w:t>
      </w:r>
      <w:r>
        <w:t>the growth</w:t>
      </w:r>
      <w:r>
        <w:rPr>
          <w:spacing w:val="-11"/>
        </w:rPr>
        <w:t xml:space="preserve"> </w:t>
      </w:r>
      <w:r>
        <w:t>story</w:t>
      </w:r>
      <w:r>
        <w:rPr>
          <w:spacing w:val="-11"/>
        </w:rPr>
        <w:t xml:space="preserve"> </w:t>
      </w:r>
      <w:r>
        <w:t>of</w:t>
      </w:r>
      <w:r>
        <w:rPr>
          <w:spacing w:val="-11"/>
        </w:rPr>
        <w:t xml:space="preserve"> </w:t>
      </w:r>
      <w:r>
        <w:t>Greater</w:t>
      </w:r>
      <w:r>
        <w:rPr>
          <w:spacing w:val="-11"/>
        </w:rPr>
        <w:t xml:space="preserve"> </w:t>
      </w:r>
      <w:r>
        <w:t>Sydney</w:t>
      </w:r>
      <w:r>
        <w:rPr>
          <w:spacing w:val="-11"/>
        </w:rPr>
        <w:t xml:space="preserve"> </w:t>
      </w:r>
      <w:r>
        <w:t>is</w:t>
      </w:r>
      <w:r>
        <w:rPr>
          <w:spacing w:val="-11"/>
        </w:rPr>
        <w:t xml:space="preserve"> </w:t>
      </w:r>
      <w:r>
        <w:t>set</w:t>
      </w:r>
      <w:r>
        <w:rPr>
          <w:spacing w:val="-11"/>
        </w:rPr>
        <w:t xml:space="preserve"> </w:t>
      </w:r>
      <w:r>
        <w:t>to</w:t>
      </w:r>
      <w:r>
        <w:rPr>
          <w:spacing w:val="-11"/>
        </w:rPr>
        <w:t xml:space="preserve"> </w:t>
      </w:r>
      <w:r>
        <w:t>continue:</w:t>
      </w:r>
    </w:p>
    <w:p w:rsidR="002C1123" w:rsidRDefault="00F22F94">
      <w:pPr>
        <w:pStyle w:val="ListParagraph"/>
        <w:numPr>
          <w:ilvl w:val="2"/>
          <w:numId w:val="116"/>
        </w:numPr>
        <w:tabs>
          <w:tab w:val="left" w:pos="564"/>
        </w:tabs>
        <w:spacing w:before="132" w:line="249" w:lineRule="auto"/>
        <w:ind w:left="563" w:right="141"/>
        <w:rPr>
          <w:sz w:val="20"/>
        </w:rPr>
      </w:pPr>
      <w:r>
        <w:rPr>
          <w:spacing w:val="-2"/>
          <w:sz w:val="20"/>
        </w:rPr>
        <w:t>The</w:t>
      </w:r>
      <w:r>
        <w:rPr>
          <w:spacing w:val="-8"/>
          <w:sz w:val="20"/>
        </w:rPr>
        <w:t xml:space="preserve"> </w:t>
      </w:r>
      <w:r>
        <w:rPr>
          <w:spacing w:val="-2"/>
          <w:sz w:val="20"/>
        </w:rPr>
        <w:t>population</w:t>
      </w:r>
      <w:r>
        <w:rPr>
          <w:spacing w:val="-8"/>
          <w:sz w:val="20"/>
        </w:rPr>
        <w:t xml:space="preserve"> </w:t>
      </w:r>
      <w:r>
        <w:rPr>
          <w:spacing w:val="-2"/>
          <w:sz w:val="20"/>
        </w:rPr>
        <w:t>is</w:t>
      </w:r>
      <w:r>
        <w:rPr>
          <w:spacing w:val="-8"/>
          <w:sz w:val="20"/>
        </w:rPr>
        <w:t xml:space="preserve"> </w:t>
      </w:r>
      <w:r>
        <w:rPr>
          <w:spacing w:val="-2"/>
          <w:sz w:val="20"/>
        </w:rPr>
        <w:t>expected</w:t>
      </w:r>
      <w:r>
        <w:rPr>
          <w:spacing w:val="-8"/>
          <w:sz w:val="20"/>
        </w:rPr>
        <w:t xml:space="preserve"> </w:t>
      </w:r>
      <w:r>
        <w:rPr>
          <w:spacing w:val="-2"/>
          <w:sz w:val="20"/>
        </w:rPr>
        <w:t>to</w:t>
      </w:r>
      <w:r>
        <w:rPr>
          <w:spacing w:val="-8"/>
          <w:sz w:val="20"/>
        </w:rPr>
        <w:t xml:space="preserve"> </w:t>
      </w:r>
      <w:r>
        <w:rPr>
          <w:spacing w:val="-2"/>
          <w:sz w:val="20"/>
        </w:rPr>
        <w:t>grow</w:t>
      </w:r>
      <w:r>
        <w:rPr>
          <w:spacing w:val="-8"/>
          <w:sz w:val="20"/>
        </w:rPr>
        <w:t xml:space="preserve"> </w:t>
      </w:r>
      <w:r>
        <w:rPr>
          <w:spacing w:val="-2"/>
          <w:sz w:val="20"/>
        </w:rPr>
        <w:t>by</w:t>
      </w:r>
      <w:r>
        <w:rPr>
          <w:spacing w:val="-8"/>
          <w:sz w:val="20"/>
        </w:rPr>
        <w:t xml:space="preserve"> </w:t>
      </w:r>
      <w:r>
        <w:rPr>
          <w:spacing w:val="-2"/>
          <w:sz w:val="20"/>
        </w:rPr>
        <w:t>1.3</w:t>
      </w:r>
      <w:r>
        <w:rPr>
          <w:spacing w:val="-8"/>
          <w:sz w:val="20"/>
        </w:rPr>
        <w:t xml:space="preserve"> </w:t>
      </w:r>
      <w:r>
        <w:rPr>
          <w:spacing w:val="-2"/>
          <w:sz w:val="20"/>
        </w:rPr>
        <w:t xml:space="preserve">percent </w:t>
      </w:r>
      <w:r>
        <w:rPr>
          <w:w w:val="95"/>
          <w:sz w:val="20"/>
        </w:rPr>
        <w:t>per</w:t>
      </w:r>
      <w:r>
        <w:rPr>
          <w:spacing w:val="-12"/>
          <w:w w:val="95"/>
          <w:sz w:val="20"/>
        </w:rPr>
        <w:t xml:space="preserve"> </w:t>
      </w:r>
      <w:r>
        <w:rPr>
          <w:w w:val="95"/>
          <w:sz w:val="20"/>
        </w:rPr>
        <w:t>annum</w:t>
      </w:r>
      <w:r>
        <w:rPr>
          <w:spacing w:val="-11"/>
          <w:w w:val="95"/>
          <w:sz w:val="20"/>
        </w:rPr>
        <w:t xml:space="preserve"> </w:t>
      </w:r>
      <w:r>
        <w:rPr>
          <w:w w:val="95"/>
          <w:sz w:val="20"/>
        </w:rPr>
        <w:t>(an</w:t>
      </w:r>
      <w:r>
        <w:rPr>
          <w:spacing w:val="-11"/>
          <w:w w:val="95"/>
          <w:sz w:val="20"/>
        </w:rPr>
        <w:t xml:space="preserve"> </w:t>
      </w:r>
      <w:r>
        <w:rPr>
          <w:w w:val="95"/>
          <w:sz w:val="20"/>
        </w:rPr>
        <w:t>additional</w:t>
      </w:r>
      <w:r>
        <w:rPr>
          <w:spacing w:val="-11"/>
          <w:w w:val="95"/>
          <w:sz w:val="20"/>
        </w:rPr>
        <w:t xml:space="preserve"> </w:t>
      </w:r>
      <w:r>
        <w:rPr>
          <w:w w:val="95"/>
          <w:sz w:val="20"/>
        </w:rPr>
        <w:t>1.1</w:t>
      </w:r>
      <w:r>
        <w:rPr>
          <w:spacing w:val="-11"/>
          <w:w w:val="95"/>
          <w:sz w:val="20"/>
        </w:rPr>
        <w:t xml:space="preserve"> </w:t>
      </w:r>
      <w:r>
        <w:rPr>
          <w:w w:val="95"/>
          <w:sz w:val="20"/>
        </w:rPr>
        <w:t>million</w:t>
      </w:r>
      <w:r>
        <w:rPr>
          <w:spacing w:val="-11"/>
          <w:w w:val="95"/>
          <w:sz w:val="20"/>
        </w:rPr>
        <w:t xml:space="preserve"> </w:t>
      </w:r>
      <w:r>
        <w:rPr>
          <w:w w:val="95"/>
          <w:sz w:val="20"/>
        </w:rPr>
        <w:t>people)</w:t>
      </w:r>
      <w:r>
        <w:rPr>
          <w:spacing w:val="-11"/>
          <w:w w:val="95"/>
          <w:sz w:val="20"/>
        </w:rPr>
        <w:t xml:space="preserve"> </w:t>
      </w:r>
      <w:r>
        <w:rPr>
          <w:w w:val="95"/>
          <w:sz w:val="20"/>
        </w:rPr>
        <w:t>to</w:t>
      </w:r>
      <w:r>
        <w:rPr>
          <w:spacing w:val="-11"/>
          <w:w w:val="95"/>
          <w:sz w:val="20"/>
        </w:rPr>
        <w:t xml:space="preserve"> </w:t>
      </w:r>
      <w:r>
        <w:rPr>
          <w:w w:val="95"/>
          <w:sz w:val="20"/>
        </w:rPr>
        <w:t xml:space="preserve">more </w:t>
      </w:r>
      <w:r>
        <w:rPr>
          <w:sz w:val="20"/>
        </w:rPr>
        <w:t>than</w:t>
      </w:r>
      <w:r>
        <w:rPr>
          <w:spacing w:val="-14"/>
          <w:sz w:val="20"/>
        </w:rPr>
        <w:t xml:space="preserve"> </w:t>
      </w:r>
      <w:r>
        <w:rPr>
          <w:sz w:val="20"/>
        </w:rPr>
        <w:t>4.4</w:t>
      </w:r>
      <w:r>
        <w:rPr>
          <w:spacing w:val="-14"/>
          <w:sz w:val="20"/>
        </w:rPr>
        <w:t xml:space="preserve"> </w:t>
      </w:r>
      <w:r>
        <w:rPr>
          <w:sz w:val="20"/>
        </w:rPr>
        <w:t>million</w:t>
      </w:r>
      <w:r>
        <w:rPr>
          <w:spacing w:val="-14"/>
          <w:sz w:val="20"/>
        </w:rPr>
        <w:t xml:space="preserve"> </w:t>
      </w:r>
      <w:r>
        <w:rPr>
          <w:sz w:val="20"/>
        </w:rPr>
        <w:t>people.</w:t>
      </w:r>
      <w:r>
        <w:rPr>
          <w:spacing w:val="-14"/>
          <w:sz w:val="20"/>
        </w:rPr>
        <w:t xml:space="preserve"> </w:t>
      </w:r>
      <w:r>
        <w:rPr>
          <w:sz w:val="20"/>
        </w:rPr>
        <w:t>This</w:t>
      </w:r>
      <w:r>
        <w:rPr>
          <w:spacing w:val="-14"/>
          <w:sz w:val="20"/>
        </w:rPr>
        <w:t xml:space="preserve"> </w:t>
      </w:r>
      <w:r>
        <w:rPr>
          <w:sz w:val="20"/>
        </w:rPr>
        <w:t>is</w:t>
      </w:r>
      <w:r>
        <w:rPr>
          <w:spacing w:val="-14"/>
          <w:sz w:val="20"/>
        </w:rPr>
        <w:t xml:space="preserve"> </w:t>
      </w:r>
      <w:r>
        <w:rPr>
          <w:sz w:val="20"/>
        </w:rPr>
        <w:t>the</w:t>
      </w:r>
      <w:r>
        <w:rPr>
          <w:spacing w:val="-14"/>
          <w:sz w:val="20"/>
        </w:rPr>
        <w:t xml:space="preserve"> </w:t>
      </w:r>
      <w:r>
        <w:rPr>
          <w:sz w:val="20"/>
        </w:rPr>
        <w:t>fastest</w:t>
      </w:r>
      <w:r>
        <w:rPr>
          <w:spacing w:val="-14"/>
          <w:sz w:val="20"/>
        </w:rPr>
        <w:t xml:space="preserve"> </w:t>
      </w:r>
      <w:r>
        <w:rPr>
          <w:sz w:val="20"/>
        </w:rPr>
        <w:t>rate</w:t>
      </w:r>
      <w:r>
        <w:rPr>
          <w:spacing w:val="-14"/>
          <w:sz w:val="20"/>
        </w:rPr>
        <w:t xml:space="preserve"> </w:t>
      </w:r>
      <w:r>
        <w:rPr>
          <w:sz w:val="20"/>
        </w:rPr>
        <w:t>of growth</w:t>
      </w:r>
      <w:r>
        <w:rPr>
          <w:spacing w:val="-13"/>
          <w:sz w:val="20"/>
        </w:rPr>
        <w:t xml:space="preserve"> </w:t>
      </w:r>
      <w:r>
        <w:rPr>
          <w:sz w:val="20"/>
        </w:rPr>
        <w:t>of</w:t>
      </w:r>
      <w:r>
        <w:rPr>
          <w:spacing w:val="-13"/>
          <w:sz w:val="20"/>
        </w:rPr>
        <w:t xml:space="preserve"> </w:t>
      </w:r>
      <w:r>
        <w:rPr>
          <w:sz w:val="20"/>
        </w:rPr>
        <w:t>any</w:t>
      </w:r>
      <w:r>
        <w:rPr>
          <w:spacing w:val="-13"/>
          <w:sz w:val="20"/>
        </w:rPr>
        <w:t xml:space="preserve"> </w:t>
      </w:r>
      <w:r>
        <w:rPr>
          <w:sz w:val="20"/>
        </w:rPr>
        <w:t>region</w:t>
      </w:r>
      <w:r>
        <w:rPr>
          <w:spacing w:val="-13"/>
          <w:sz w:val="20"/>
        </w:rPr>
        <w:t xml:space="preserve"> </w:t>
      </w:r>
      <w:r>
        <w:rPr>
          <w:sz w:val="20"/>
        </w:rPr>
        <w:t>of</w:t>
      </w:r>
      <w:r>
        <w:rPr>
          <w:spacing w:val="-13"/>
          <w:sz w:val="20"/>
        </w:rPr>
        <w:t xml:space="preserve"> </w:t>
      </w:r>
      <w:r>
        <w:rPr>
          <w:sz w:val="20"/>
        </w:rPr>
        <w:t>NSW.</w:t>
      </w:r>
      <w:r>
        <w:rPr>
          <w:spacing w:val="-13"/>
          <w:sz w:val="20"/>
        </w:rPr>
        <w:t xml:space="preserve"> </w:t>
      </w:r>
      <w:r>
        <w:rPr>
          <w:sz w:val="20"/>
        </w:rPr>
        <w:t>This</w:t>
      </w:r>
      <w:r>
        <w:rPr>
          <w:spacing w:val="-13"/>
          <w:sz w:val="20"/>
        </w:rPr>
        <w:t xml:space="preserve"> </w:t>
      </w:r>
      <w:r>
        <w:rPr>
          <w:sz w:val="20"/>
        </w:rPr>
        <w:t>means</w:t>
      </w:r>
      <w:r>
        <w:rPr>
          <w:spacing w:val="-13"/>
          <w:sz w:val="20"/>
        </w:rPr>
        <w:t xml:space="preserve"> </w:t>
      </w:r>
      <w:r>
        <w:rPr>
          <w:sz w:val="20"/>
        </w:rPr>
        <w:t>that</w:t>
      </w:r>
      <w:r>
        <w:rPr>
          <w:spacing w:val="-13"/>
          <w:sz w:val="20"/>
        </w:rPr>
        <w:t xml:space="preserve"> </w:t>
      </w:r>
      <w:r>
        <w:rPr>
          <w:sz w:val="20"/>
        </w:rPr>
        <w:t>by 2031</w:t>
      </w:r>
      <w:r>
        <w:rPr>
          <w:spacing w:val="-14"/>
          <w:sz w:val="20"/>
        </w:rPr>
        <w:t xml:space="preserve"> </w:t>
      </w:r>
      <w:r>
        <w:rPr>
          <w:sz w:val="20"/>
        </w:rPr>
        <w:t>Greater</w:t>
      </w:r>
      <w:r>
        <w:rPr>
          <w:spacing w:val="-14"/>
          <w:sz w:val="20"/>
        </w:rPr>
        <w:t xml:space="preserve"> </w:t>
      </w:r>
      <w:r>
        <w:rPr>
          <w:sz w:val="20"/>
        </w:rPr>
        <w:t>Sydney</w:t>
      </w:r>
      <w:r>
        <w:rPr>
          <w:spacing w:val="-14"/>
          <w:sz w:val="20"/>
        </w:rPr>
        <w:t xml:space="preserve"> </w:t>
      </w:r>
      <w:r>
        <w:rPr>
          <w:sz w:val="20"/>
        </w:rPr>
        <w:t>will</w:t>
      </w:r>
      <w:r>
        <w:rPr>
          <w:spacing w:val="-14"/>
          <w:sz w:val="20"/>
        </w:rPr>
        <w:t xml:space="preserve"> </w:t>
      </w:r>
      <w:r>
        <w:rPr>
          <w:sz w:val="20"/>
        </w:rPr>
        <w:t>account</w:t>
      </w:r>
      <w:r>
        <w:rPr>
          <w:spacing w:val="-14"/>
          <w:sz w:val="20"/>
        </w:rPr>
        <w:t xml:space="preserve"> </w:t>
      </w:r>
      <w:r>
        <w:rPr>
          <w:sz w:val="20"/>
        </w:rPr>
        <w:t>for</w:t>
      </w:r>
      <w:r>
        <w:rPr>
          <w:spacing w:val="-14"/>
          <w:sz w:val="20"/>
        </w:rPr>
        <w:t xml:space="preserve"> </w:t>
      </w:r>
      <w:r>
        <w:rPr>
          <w:sz w:val="20"/>
        </w:rPr>
        <w:t>nearly</w:t>
      </w:r>
      <w:r>
        <w:rPr>
          <w:spacing w:val="-14"/>
          <w:sz w:val="20"/>
        </w:rPr>
        <w:t xml:space="preserve"> </w:t>
      </w:r>
      <w:r>
        <w:rPr>
          <w:sz w:val="20"/>
        </w:rPr>
        <w:t>half NSW’s</w:t>
      </w:r>
      <w:r>
        <w:rPr>
          <w:spacing w:val="-11"/>
          <w:sz w:val="20"/>
        </w:rPr>
        <w:t xml:space="preserve"> </w:t>
      </w:r>
      <w:r>
        <w:rPr>
          <w:sz w:val="20"/>
        </w:rPr>
        <w:t>population</w:t>
      </w:r>
    </w:p>
    <w:p w:rsidR="002C1123" w:rsidRDefault="00F22F94">
      <w:pPr>
        <w:pStyle w:val="ListParagraph"/>
        <w:numPr>
          <w:ilvl w:val="2"/>
          <w:numId w:val="116"/>
        </w:numPr>
        <w:tabs>
          <w:tab w:val="left" w:pos="564"/>
        </w:tabs>
        <w:spacing w:before="133" w:line="249" w:lineRule="auto"/>
        <w:ind w:left="563" w:right="109"/>
        <w:rPr>
          <w:sz w:val="11"/>
        </w:rPr>
      </w:pPr>
      <w:r>
        <w:rPr>
          <w:w w:val="95"/>
          <w:sz w:val="20"/>
        </w:rPr>
        <w:t>GSP</w:t>
      </w:r>
      <w:r>
        <w:rPr>
          <w:spacing w:val="-1"/>
          <w:w w:val="95"/>
          <w:sz w:val="20"/>
        </w:rPr>
        <w:t xml:space="preserve"> </w:t>
      </w:r>
      <w:r>
        <w:rPr>
          <w:w w:val="95"/>
          <w:sz w:val="20"/>
        </w:rPr>
        <w:t>is</w:t>
      </w:r>
      <w:r>
        <w:rPr>
          <w:spacing w:val="-1"/>
          <w:w w:val="95"/>
          <w:sz w:val="20"/>
        </w:rPr>
        <w:t xml:space="preserve"> </w:t>
      </w:r>
      <w:r>
        <w:rPr>
          <w:w w:val="95"/>
          <w:sz w:val="20"/>
        </w:rPr>
        <w:t>expected</w:t>
      </w:r>
      <w:r>
        <w:rPr>
          <w:spacing w:val="-1"/>
          <w:w w:val="95"/>
          <w:sz w:val="20"/>
        </w:rPr>
        <w:t xml:space="preserve"> </w:t>
      </w:r>
      <w:r>
        <w:rPr>
          <w:w w:val="95"/>
          <w:sz w:val="20"/>
        </w:rPr>
        <w:t>to</w:t>
      </w:r>
      <w:r>
        <w:rPr>
          <w:spacing w:val="-1"/>
          <w:w w:val="95"/>
          <w:sz w:val="20"/>
        </w:rPr>
        <w:t xml:space="preserve"> </w:t>
      </w:r>
      <w:r>
        <w:rPr>
          <w:w w:val="95"/>
          <w:sz w:val="20"/>
        </w:rPr>
        <w:t>grow</w:t>
      </w:r>
      <w:r>
        <w:rPr>
          <w:spacing w:val="-1"/>
          <w:w w:val="95"/>
          <w:sz w:val="20"/>
        </w:rPr>
        <w:t xml:space="preserve"> </w:t>
      </w:r>
      <w:r>
        <w:rPr>
          <w:w w:val="95"/>
          <w:sz w:val="20"/>
        </w:rPr>
        <w:t>at</w:t>
      </w:r>
      <w:r>
        <w:rPr>
          <w:spacing w:val="-1"/>
          <w:w w:val="95"/>
          <w:sz w:val="20"/>
        </w:rPr>
        <w:t xml:space="preserve"> </w:t>
      </w:r>
      <w:r>
        <w:rPr>
          <w:w w:val="95"/>
          <w:sz w:val="20"/>
        </w:rPr>
        <w:t>3.0</w:t>
      </w:r>
      <w:r>
        <w:rPr>
          <w:spacing w:val="-1"/>
          <w:w w:val="95"/>
          <w:sz w:val="20"/>
        </w:rPr>
        <w:t xml:space="preserve"> </w:t>
      </w:r>
      <w:r>
        <w:rPr>
          <w:w w:val="95"/>
          <w:sz w:val="20"/>
        </w:rPr>
        <w:t>percent</w:t>
      </w:r>
      <w:r>
        <w:rPr>
          <w:spacing w:val="-1"/>
          <w:w w:val="95"/>
          <w:sz w:val="20"/>
        </w:rPr>
        <w:t xml:space="preserve"> </w:t>
      </w:r>
      <w:r>
        <w:rPr>
          <w:w w:val="95"/>
          <w:sz w:val="20"/>
        </w:rPr>
        <w:t>per</w:t>
      </w:r>
      <w:r>
        <w:rPr>
          <w:spacing w:val="-1"/>
          <w:w w:val="95"/>
          <w:sz w:val="20"/>
        </w:rPr>
        <w:t xml:space="preserve"> </w:t>
      </w:r>
      <w:r>
        <w:rPr>
          <w:w w:val="95"/>
          <w:sz w:val="20"/>
        </w:rPr>
        <w:t>annum, the</w:t>
      </w:r>
      <w:r>
        <w:rPr>
          <w:spacing w:val="-12"/>
          <w:w w:val="95"/>
          <w:sz w:val="20"/>
        </w:rPr>
        <w:t xml:space="preserve"> </w:t>
      </w:r>
      <w:r>
        <w:rPr>
          <w:w w:val="95"/>
          <w:sz w:val="20"/>
        </w:rPr>
        <w:t>same</w:t>
      </w:r>
      <w:r>
        <w:rPr>
          <w:spacing w:val="-11"/>
          <w:w w:val="95"/>
          <w:sz w:val="20"/>
        </w:rPr>
        <w:t xml:space="preserve"> </w:t>
      </w:r>
      <w:r>
        <w:rPr>
          <w:w w:val="95"/>
          <w:sz w:val="20"/>
        </w:rPr>
        <w:t>rate</w:t>
      </w:r>
      <w:r>
        <w:rPr>
          <w:spacing w:val="-11"/>
          <w:w w:val="95"/>
          <w:sz w:val="20"/>
        </w:rPr>
        <w:t xml:space="preserve"> </w:t>
      </w:r>
      <w:r>
        <w:rPr>
          <w:w w:val="95"/>
          <w:sz w:val="20"/>
        </w:rPr>
        <w:t>as</w:t>
      </w:r>
      <w:r>
        <w:rPr>
          <w:spacing w:val="-11"/>
          <w:w w:val="95"/>
          <w:sz w:val="20"/>
        </w:rPr>
        <w:t xml:space="preserve"> </w:t>
      </w:r>
      <w:r>
        <w:rPr>
          <w:w w:val="95"/>
          <w:sz w:val="20"/>
        </w:rPr>
        <w:t>Global</w:t>
      </w:r>
      <w:r>
        <w:rPr>
          <w:spacing w:val="-11"/>
          <w:w w:val="95"/>
          <w:sz w:val="20"/>
        </w:rPr>
        <w:t xml:space="preserve"> </w:t>
      </w:r>
      <w:r>
        <w:rPr>
          <w:w w:val="95"/>
          <w:sz w:val="20"/>
        </w:rPr>
        <w:t>Sydney.</w:t>
      </w:r>
      <w:r>
        <w:rPr>
          <w:spacing w:val="-11"/>
          <w:w w:val="95"/>
          <w:sz w:val="20"/>
        </w:rPr>
        <w:t xml:space="preserve"> </w:t>
      </w:r>
      <w:r>
        <w:rPr>
          <w:w w:val="95"/>
          <w:sz w:val="20"/>
        </w:rPr>
        <w:t>This</w:t>
      </w:r>
      <w:r>
        <w:rPr>
          <w:spacing w:val="-11"/>
          <w:w w:val="95"/>
          <w:sz w:val="20"/>
        </w:rPr>
        <w:t xml:space="preserve"> </w:t>
      </w:r>
      <w:r>
        <w:rPr>
          <w:w w:val="95"/>
          <w:sz w:val="20"/>
        </w:rPr>
        <w:t>means</w:t>
      </w:r>
      <w:r>
        <w:rPr>
          <w:spacing w:val="-11"/>
          <w:w w:val="95"/>
          <w:sz w:val="20"/>
        </w:rPr>
        <w:t xml:space="preserve"> </w:t>
      </w:r>
      <w:r>
        <w:rPr>
          <w:w w:val="95"/>
          <w:sz w:val="20"/>
        </w:rPr>
        <w:t>that</w:t>
      </w:r>
      <w:r>
        <w:rPr>
          <w:spacing w:val="-11"/>
          <w:w w:val="95"/>
          <w:sz w:val="20"/>
        </w:rPr>
        <w:t xml:space="preserve"> </w:t>
      </w:r>
      <w:r>
        <w:rPr>
          <w:w w:val="95"/>
          <w:sz w:val="20"/>
        </w:rPr>
        <w:t xml:space="preserve">by </w:t>
      </w:r>
      <w:r>
        <w:rPr>
          <w:sz w:val="20"/>
        </w:rPr>
        <w:t>2031</w:t>
      </w:r>
      <w:r>
        <w:rPr>
          <w:spacing w:val="-11"/>
          <w:sz w:val="20"/>
        </w:rPr>
        <w:t xml:space="preserve"> </w:t>
      </w:r>
      <w:r>
        <w:rPr>
          <w:sz w:val="20"/>
        </w:rPr>
        <w:t>Greater</w:t>
      </w:r>
      <w:r>
        <w:rPr>
          <w:spacing w:val="-11"/>
          <w:sz w:val="20"/>
        </w:rPr>
        <w:t xml:space="preserve"> </w:t>
      </w:r>
      <w:r>
        <w:rPr>
          <w:sz w:val="20"/>
        </w:rPr>
        <w:t>Sydney</w:t>
      </w:r>
      <w:r>
        <w:rPr>
          <w:spacing w:val="-11"/>
          <w:sz w:val="20"/>
        </w:rPr>
        <w:t xml:space="preserve"> </w:t>
      </w:r>
      <w:r>
        <w:rPr>
          <w:sz w:val="20"/>
        </w:rPr>
        <w:t>will</w:t>
      </w:r>
      <w:r>
        <w:rPr>
          <w:spacing w:val="-11"/>
          <w:sz w:val="20"/>
        </w:rPr>
        <w:t xml:space="preserve"> </w:t>
      </w:r>
      <w:r>
        <w:rPr>
          <w:sz w:val="20"/>
        </w:rPr>
        <w:t>contribute</w:t>
      </w:r>
      <w:r>
        <w:rPr>
          <w:spacing w:val="-11"/>
          <w:sz w:val="20"/>
        </w:rPr>
        <w:t xml:space="preserve"> </w:t>
      </w:r>
      <w:r>
        <w:rPr>
          <w:sz w:val="20"/>
        </w:rPr>
        <w:t>35</w:t>
      </w:r>
      <w:r>
        <w:rPr>
          <w:spacing w:val="-11"/>
          <w:sz w:val="20"/>
        </w:rPr>
        <w:t xml:space="preserve"> </w:t>
      </w:r>
      <w:r>
        <w:rPr>
          <w:sz w:val="20"/>
        </w:rPr>
        <w:t>percent</w:t>
      </w:r>
      <w:r>
        <w:rPr>
          <w:spacing w:val="-11"/>
          <w:sz w:val="20"/>
        </w:rPr>
        <w:t xml:space="preserve"> </w:t>
      </w:r>
      <w:r>
        <w:rPr>
          <w:sz w:val="20"/>
        </w:rPr>
        <w:t>of NSW’s economic output, about $250 billion</w:t>
      </w:r>
      <w:r>
        <w:rPr>
          <w:position w:val="7"/>
          <w:sz w:val="11"/>
        </w:rPr>
        <w:t>2</w:t>
      </w:r>
    </w:p>
    <w:p w:rsidR="002C1123" w:rsidRDefault="00F22F94">
      <w:pPr>
        <w:pStyle w:val="ListParagraph"/>
        <w:numPr>
          <w:ilvl w:val="2"/>
          <w:numId w:val="116"/>
        </w:numPr>
        <w:tabs>
          <w:tab w:val="left" w:pos="564"/>
        </w:tabs>
        <w:spacing w:before="132" w:line="249" w:lineRule="auto"/>
        <w:ind w:left="563" w:right="148"/>
        <w:rPr>
          <w:sz w:val="20"/>
        </w:rPr>
      </w:pPr>
      <w:r>
        <w:rPr>
          <w:spacing w:val="-2"/>
          <w:sz w:val="20"/>
        </w:rPr>
        <w:t>Employment</w:t>
      </w:r>
      <w:r>
        <w:rPr>
          <w:spacing w:val="-13"/>
          <w:sz w:val="20"/>
        </w:rPr>
        <w:t xml:space="preserve"> </w:t>
      </w:r>
      <w:r>
        <w:rPr>
          <w:spacing w:val="-2"/>
          <w:sz w:val="20"/>
        </w:rPr>
        <w:t>is</w:t>
      </w:r>
      <w:r>
        <w:rPr>
          <w:spacing w:val="-13"/>
          <w:sz w:val="20"/>
        </w:rPr>
        <w:t xml:space="preserve"> </w:t>
      </w:r>
      <w:r>
        <w:rPr>
          <w:spacing w:val="-2"/>
          <w:sz w:val="20"/>
        </w:rPr>
        <w:t>forecast</w:t>
      </w:r>
      <w:r>
        <w:rPr>
          <w:spacing w:val="-13"/>
          <w:sz w:val="20"/>
        </w:rPr>
        <w:t xml:space="preserve"> </w:t>
      </w:r>
      <w:r>
        <w:rPr>
          <w:spacing w:val="-2"/>
          <w:sz w:val="20"/>
        </w:rPr>
        <w:t>to</w:t>
      </w:r>
      <w:r>
        <w:rPr>
          <w:spacing w:val="-13"/>
          <w:sz w:val="20"/>
        </w:rPr>
        <w:t xml:space="preserve"> </w:t>
      </w:r>
      <w:r>
        <w:rPr>
          <w:spacing w:val="-2"/>
          <w:sz w:val="20"/>
        </w:rPr>
        <w:t>grow</w:t>
      </w:r>
      <w:r>
        <w:rPr>
          <w:spacing w:val="-13"/>
          <w:sz w:val="20"/>
        </w:rPr>
        <w:t xml:space="preserve"> </w:t>
      </w:r>
      <w:r>
        <w:rPr>
          <w:spacing w:val="-2"/>
          <w:sz w:val="20"/>
        </w:rPr>
        <w:t>by</w:t>
      </w:r>
      <w:r>
        <w:rPr>
          <w:spacing w:val="-13"/>
          <w:sz w:val="20"/>
        </w:rPr>
        <w:t xml:space="preserve"> </w:t>
      </w:r>
      <w:r>
        <w:rPr>
          <w:spacing w:val="-2"/>
          <w:sz w:val="20"/>
        </w:rPr>
        <w:t>1.0</w:t>
      </w:r>
      <w:r>
        <w:rPr>
          <w:spacing w:val="-13"/>
          <w:sz w:val="20"/>
        </w:rPr>
        <w:t xml:space="preserve"> </w:t>
      </w:r>
      <w:r>
        <w:rPr>
          <w:spacing w:val="-2"/>
          <w:sz w:val="20"/>
        </w:rPr>
        <w:t>percent</w:t>
      </w:r>
      <w:r>
        <w:rPr>
          <w:spacing w:val="-13"/>
          <w:sz w:val="20"/>
        </w:rPr>
        <w:t xml:space="preserve"> </w:t>
      </w:r>
      <w:r>
        <w:rPr>
          <w:spacing w:val="-2"/>
          <w:sz w:val="20"/>
        </w:rPr>
        <w:t xml:space="preserve">per </w:t>
      </w:r>
      <w:r>
        <w:rPr>
          <w:w w:val="95"/>
          <w:sz w:val="20"/>
        </w:rPr>
        <w:t>annum,</w:t>
      </w:r>
      <w:r>
        <w:rPr>
          <w:spacing w:val="-9"/>
          <w:w w:val="95"/>
          <w:sz w:val="20"/>
        </w:rPr>
        <w:t xml:space="preserve"> </w:t>
      </w:r>
      <w:r>
        <w:rPr>
          <w:w w:val="95"/>
          <w:sz w:val="20"/>
        </w:rPr>
        <w:t>(or</w:t>
      </w:r>
      <w:r>
        <w:rPr>
          <w:spacing w:val="-9"/>
          <w:w w:val="95"/>
          <w:sz w:val="20"/>
        </w:rPr>
        <w:t xml:space="preserve"> </w:t>
      </w:r>
      <w:r>
        <w:rPr>
          <w:w w:val="95"/>
          <w:sz w:val="20"/>
        </w:rPr>
        <w:t>around</w:t>
      </w:r>
      <w:r>
        <w:rPr>
          <w:spacing w:val="-9"/>
          <w:w w:val="95"/>
          <w:sz w:val="20"/>
        </w:rPr>
        <w:t xml:space="preserve"> </w:t>
      </w:r>
      <w:r>
        <w:rPr>
          <w:w w:val="95"/>
          <w:sz w:val="20"/>
        </w:rPr>
        <w:t>300,000</w:t>
      </w:r>
      <w:r>
        <w:rPr>
          <w:spacing w:val="-9"/>
          <w:w w:val="95"/>
          <w:sz w:val="20"/>
        </w:rPr>
        <w:t xml:space="preserve"> </w:t>
      </w:r>
      <w:r>
        <w:rPr>
          <w:w w:val="95"/>
          <w:sz w:val="20"/>
        </w:rPr>
        <w:t>jobs)</w:t>
      </w:r>
      <w:r>
        <w:rPr>
          <w:spacing w:val="-9"/>
          <w:w w:val="95"/>
          <w:sz w:val="20"/>
        </w:rPr>
        <w:t xml:space="preserve"> </w:t>
      </w:r>
      <w:r>
        <w:rPr>
          <w:w w:val="95"/>
          <w:sz w:val="20"/>
        </w:rPr>
        <w:t>to</w:t>
      </w:r>
      <w:r>
        <w:rPr>
          <w:spacing w:val="-9"/>
          <w:w w:val="95"/>
          <w:sz w:val="20"/>
        </w:rPr>
        <w:t xml:space="preserve"> </w:t>
      </w:r>
      <w:r>
        <w:rPr>
          <w:w w:val="95"/>
          <w:sz w:val="20"/>
        </w:rPr>
        <w:t>1.6</w:t>
      </w:r>
      <w:r>
        <w:rPr>
          <w:spacing w:val="-9"/>
          <w:w w:val="95"/>
          <w:sz w:val="20"/>
        </w:rPr>
        <w:t xml:space="preserve"> </w:t>
      </w:r>
      <w:r>
        <w:rPr>
          <w:w w:val="95"/>
          <w:sz w:val="20"/>
        </w:rPr>
        <w:t>million</w:t>
      </w:r>
      <w:r>
        <w:rPr>
          <w:spacing w:val="-9"/>
          <w:w w:val="95"/>
          <w:sz w:val="20"/>
        </w:rPr>
        <w:t xml:space="preserve"> </w:t>
      </w:r>
      <w:r>
        <w:rPr>
          <w:w w:val="95"/>
          <w:sz w:val="20"/>
        </w:rPr>
        <w:t>jobs.</w:t>
      </w:r>
    </w:p>
    <w:p w:rsidR="002C1123" w:rsidRDefault="00F22F94">
      <w:pPr>
        <w:pStyle w:val="BodyText"/>
        <w:spacing w:before="143" w:line="249" w:lineRule="auto"/>
        <w:ind w:left="279" w:right="31"/>
      </w:pPr>
      <w:r>
        <w:rPr>
          <w:w w:val="95"/>
        </w:rPr>
        <w:t>What</w:t>
      </w:r>
      <w:r>
        <w:rPr>
          <w:spacing w:val="-2"/>
          <w:w w:val="95"/>
        </w:rPr>
        <w:t xml:space="preserve"> </w:t>
      </w:r>
      <w:r>
        <w:rPr>
          <w:w w:val="95"/>
        </w:rPr>
        <w:t>these</w:t>
      </w:r>
      <w:r>
        <w:rPr>
          <w:spacing w:val="-2"/>
          <w:w w:val="95"/>
        </w:rPr>
        <w:t xml:space="preserve"> </w:t>
      </w:r>
      <w:r>
        <w:rPr>
          <w:w w:val="95"/>
        </w:rPr>
        <w:t>figures</w:t>
      </w:r>
      <w:r>
        <w:rPr>
          <w:spacing w:val="-2"/>
          <w:w w:val="95"/>
        </w:rPr>
        <w:t xml:space="preserve"> </w:t>
      </w:r>
      <w:r>
        <w:rPr>
          <w:w w:val="95"/>
        </w:rPr>
        <w:t>show</w:t>
      </w:r>
      <w:r>
        <w:rPr>
          <w:spacing w:val="-2"/>
          <w:w w:val="95"/>
        </w:rPr>
        <w:t xml:space="preserve"> </w:t>
      </w:r>
      <w:r>
        <w:rPr>
          <w:w w:val="95"/>
        </w:rPr>
        <w:t>is</w:t>
      </w:r>
      <w:r>
        <w:rPr>
          <w:spacing w:val="-2"/>
          <w:w w:val="95"/>
        </w:rPr>
        <w:t xml:space="preserve"> </w:t>
      </w:r>
      <w:r>
        <w:rPr>
          <w:w w:val="95"/>
        </w:rPr>
        <w:t>that</w:t>
      </w:r>
      <w:r>
        <w:rPr>
          <w:spacing w:val="-2"/>
          <w:w w:val="95"/>
        </w:rPr>
        <w:t xml:space="preserve"> </w:t>
      </w:r>
      <w:r>
        <w:rPr>
          <w:w w:val="95"/>
        </w:rPr>
        <w:t>while</w:t>
      </w:r>
      <w:r>
        <w:rPr>
          <w:spacing w:val="-2"/>
          <w:w w:val="95"/>
        </w:rPr>
        <w:t xml:space="preserve"> </w:t>
      </w:r>
      <w:r>
        <w:rPr>
          <w:w w:val="95"/>
        </w:rPr>
        <w:t>Global</w:t>
      </w:r>
      <w:r>
        <w:rPr>
          <w:spacing w:val="-2"/>
          <w:w w:val="95"/>
        </w:rPr>
        <w:t xml:space="preserve"> </w:t>
      </w:r>
      <w:r>
        <w:rPr>
          <w:w w:val="95"/>
        </w:rPr>
        <w:t>Sydney</w:t>
      </w:r>
      <w:r>
        <w:rPr>
          <w:spacing w:val="-2"/>
          <w:w w:val="95"/>
        </w:rPr>
        <w:t xml:space="preserve"> </w:t>
      </w:r>
      <w:r>
        <w:rPr>
          <w:w w:val="95"/>
        </w:rPr>
        <w:t>is the</w:t>
      </w:r>
      <w:r>
        <w:rPr>
          <w:spacing w:val="-8"/>
          <w:w w:val="95"/>
        </w:rPr>
        <w:t xml:space="preserve"> </w:t>
      </w:r>
      <w:r>
        <w:rPr>
          <w:w w:val="95"/>
        </w:rPr>
        <w:t>engine</w:t>
      </w:r>
      <w:r>
        <w:rPr>
          <w:spacing w:val="-8"/>
          <w:w w:val="95"/>
        </w:rPr>
        <w:t xml:space="preserve"> </w:t>
      </w:r>
      <w:r>
        <w:rPr>
          <w:w w:val="95"/>
        </w:rPr>
        <w:t>room</w:t>
      </w:r>
      <w:r>
        <w:rPr>
          <w:spacing w:val="-9"/>
          <w:w w:val="95"/>
        </w:rPr>
        <w:t xml:space="preserve"> </w:t>
      </w:r>
      <w:r>
        <w:rPr>
          <w:w w:val="95"/>
        </w:rPr>
        <w:t>of</w:t>
      </w:r>
      <w:r>
        <w:rPr>
          <w:spacing w:val="-8"/>
          <w:w w:val="95"/>
        </w:rPr>
        <w:t xml:space="preserve"> </w:t>
      </w:r>
      <w:r>
        <w:rPr>
          <w:w w:val="95"/>
        </w:rPr>
        <w:t>the</w:t>
      </w:r>
      <w:r>
        <w:rPr>
          <w:spacing w:val="-8"/>
          <w:w w:val="95"/>
        </w:rPr>
        <w:t xml:space="preserve"> </w:t>
      </w:r>
      <w:r>
        <w:rPr>
          <w:w w:val="95"/>
        </w:rPr>
        <w:t>NSW</w:t>
      </w:r>
      <w:r>
        <w:rPr>
          <w:spacing w:val="-8"/>
          <w:w w:val="95"/>
        </w:rPr>
        <w:t xml:space="preserve"> </w:t>
      </w:r>
      <w:r>
        <w:rPr>
          <w:w w:val="95"/>
        </w:rPr>
        <w:t>economy,</w:t>
      </w:r>
      <w:r>
        <w:rPr>
          <w:spacing w:val="-8"/>
          <w:w w:val="95"/>
        </w:rPr>
        <w:t xml:space="preserve"> </w:t>
      </w:r>
      <w:r>
        <w:rPr>
          <w:w w:val="95"/>
        </w:rPr>
        <w:t>Greater</w:t>
      </w:r>
      <w:r>
        <w:rPr>
          <w:spacing w:val="-8"/>
          <w:w w:val="95"/>
        </w:rPr>
        <w:t xml:space="preserve"> </w:t>
      </w:r>
      <w:r>
        <w:rPr>
          <w:w w:val="95"/>
        </w:rPr>
        <w:t xml:space="preserve">Sydney </w:t>
      </w:r>
      <w:r>
        <w:t>is</w:t>
      </w:r>
      <w:r>
        <w:rPr>
          <w:spacing w:val="-8"/>
        </w:rPr>
        <w:t xml:space="preserve"> </w:t>
      </w:r>
      <w:r>
        <w:t>where</w:t>
      </w:r>
      <w:r>
        <w:rPr>
          <w:spacing w:val="-8"/>
        </w:rPr>
        <w:t xml:space="preserve"> </w:t>
      </w:r>
      <w:r>
        <w:t>most</w:t>
      </w:r>
      <w:r>
        <w:rPr>
          <w:spacing w:val="-8"/>
        </w:rPr>
        <w:t xml:space="preserve"> </w:t>
      </w:r>
      <w:r>
        <w:t>Sydneysiders</w:t>
      </w:r>
      <w:r>
        <w:rPr>
          <w:spacing w:val="-8"/>
        </w:rPr>
        <w:t xml:space="preserve"> </w:t>
      </w:r>
      <w:r>
        <w:t>live</w:t>
      </w:r>
      <w:r>
        <w:rPr>
          <w:spacing w:val="-8"/>
        </w:rPr>
        <w:t xml:space="preserve"> </w:t>
      </w:r>
      <w:r>
        <w:t>and</w:t>
      </w:r>
      <w:r>
        <w:rPr>
          <w:spacing w:val="-8"/>
        </w:rPr>
        <w:t xml:space="preserve"> </w:t>
      </w:r>
      <w:r>
        <w:t>work.</w:t>
      </w: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spacing w:before="6"/>
        <w:rPr>
          <w:sz w:val="23"/>
        </w:rPr>
      </w:pPr>
    </w:p>
    <w:p w:rsidR="002C1123" w:rsidRDefault="00F22F94">
      <w:pPr>
        <w:tabs>
          <w:tab w:val="left" w:pos="1719"/>
        </w:tabs>
        <w:spacing w:line="226" w:lineRule="exact"/>
        <w:ind w:left="279"/>
        <w:rPr>
          <w:sz w:val="20"/>
        </w:rPr>
      </w:pPr>
      <w:r>
        <w:rPr>
          <w:sz w:val="20"/>
          <w:u w:val="single" w:color="9C9C9D"/>
        </w:rPr>
        <w:t xml:space="preserve"> </w:t>
      </w:r>
      <w:r>
        <w:rPr>
          <w:sz w:val="20"/>
          <w:u w:val="single" w:color="9C9C9D"/>
        </w:rPr>
        <w:tab/>
      </w:r>
    </w:p>
    <w:p w:rsidR="002C1123" w:rsidRDefault="00F22F94">
      <w:pPr>
        <w:pStyle w:val="ListParagraph"/>
        <w:numPr>
          <w:ilvl w:val="0"/>
          <w:numId w:val="114"/>
        </w:numPr>
        <w:tabs>
          <w:tab w:val="left" w:pos="479"/>
        </w:tabs>
        <w:spacing w:line="157" w:lineRule="exact"/>
        <w:ind w:left="478" w:hanging="200"/>
        <w:jc w:val="left"/>
        <w:rPr>
          <w:sz w:val="14"/>
        </w:rPr>
      </w:pPr>
      <w:r>
        <w:rPr>
          <w:w w:val="95"/>
          <w:sz w:val="14"/>
        </w:rPr>
        <w:t>Deloitte</w:t>
      </w:r>
      <w:r>
        <w:rPr>
          <w:spacing w:val="2"/>
          <w:sz w:val="14"/>
        </w:rPr>
        <w:t xml:space="preserve"> </w:t>
      </w:r>
      <w:r>
        <w:rPr>
          <w:w w:val="95"/>
          <w:sz w:val="14"/>
        </w:rPr>
        <w:t>Access</w:t>
      </w:r>
      <w:r>
        <w:rPr>
          <w:spacing w:val="2"/>
          <w:sz w:val="14"/>
        </w:rPr>
        <w:t xml:space="preserve"> </w:t>
      </w:r>
      <w:r>
        <w:rPr>
          <w:w w:val="95"/>
          <w:sz w:val="14"/>
        </w:rPr>
        <w:t>Economics</w:t>
      </w:r>
      <w:r>
        <w:rPr>
          <w:spacing w:val="3"/>
          <w:sz w:val="14"/>
        </w:rPr>
        <w:t xml:space="preserve"> </w:t>
      </w:r>
      <w:r>
        <w:rPr>
          <w:w w:val="95"/>
          <w:sz w:val="14"/>
        </w:rPr>
        <w:t>2012,</w:t>
      </w:r>
      <w:r>
        <w:rPr>
          <w:spacing w:val="2"/>
          <w:sz w:val="14"/>
        </w:rPr>
        <w:t xml:space="preserve"> </w:t>
      </w:r>
      <w:r>
        <w:rPr>
          <w:w w:val="95"/>
          <w:sz w:val="14"/>
        </w:rPr>
        <w:t>Infrastructure</w:t>
      </w:r>
      <w:r>
        <w:rPr>
          <w:spacing w:val="2"/>
          <w:sz w:val="14"/>
        </w:rPr>
        <w:t xml:space="preserve"> </w:t>
      </w:r>
      <w:r>
        <w:rPr>
          <w:w w:val="95"/>
          <w:sz w:val="14"/>
        </w:rPr>
        <w:t>and</w:t>
      </w:r>
      <w:r>
        <w:rPr>
          <w:spacing w:val="3"/>
          <w:sz w:val="14"/>
        </w:rPr>
        <w:t xml:space="preserve"> </w:t>
      </w:r>
      <w:r>
        <w:rPr>
          <w:w w:val="95"/>
          <w:sz w:val="14"/>
        </w:rPr>
        <w:t>the</w:t>
      </w:r>
      <w:r>
        <w:rPr>
          <w:spacing w:val="2"/>
          <w:sz w:val="14"/>
        </w:rPr>
        <w:t xml:space="preserve"> </w:t>
      </w:r>
      <w:r>
        <w:rPr>
          <w:w w:val="95"/>
          <w:sz w:val="14"/>
        </w:rPr>
        <w:t>NSW</w:t>
      </w:r>
      <w:r>
        <w:rPr>
          <w:spacing w:val="2"/>
          <w:sz w:val="14"/>
        </w:rPr>
        <w:t xml:space="preserve"> </w:t>
      </w:r>
      <w:r>
        <w:rPr>
          <w:spacing w:val="-2"/>
          <w:w w:val="95"/>
          <w:sz w:val="14"/>
        </w:rPr>
        <w:t>Economy.</w:t>
      </w:r>
    </w:p>
    <w:p w:rsidR="002C1123" w:rsidRDefault="00F22F94">
      <w:pPr>
        <w:pStyle w:val="Heading5"/>
        <w:numPr>
          <w:ilvl w:val="1"/>
          <w:numId w:val="117"/>
        </w:numPr>
        <w:tabs>
          <w:tab w:val="left" w:pos="690"/>
        </w:tabs>
        <w:ind w:left="689" w:hanging="451"/>
        <w:jc w:val="left"/>
        <w:rPr>
          <w:color w:val="EC008C"/>
        </w:rPr>
      </w:pPr>
      <w:r>
        <w:rPr>
          <w:b w:val="0"/>
        </w:rPr>
        <w:br w:type="column"/>
      </w:r>
      <w:r>
        <w:rPr>
          <w:color w:val="EC008C"/>
          <w:w w:val="95"/>
        </w:rPr>
        <w:t>Greater</w:t>
      </w:r>
      <w:r>
        <w:rPr>
          <w:color w:val="EC008C"/>
          <w:spacing w:val="2"/>
        </w:rPr>
        <w:t xml:space="preserve"> </w:t>
      </w:r>
      <w:r>
        <w:rPr>
          <w:color w:val="EC008C"/>
          <w:w w:val="95"/>
        </w:rPr>
        <w:t>Sydney</w:t>
      </w:r>
      <w:r>
        <w:rPr>
          <w:color w:val="EC008C"/>
          <w:spacing w:val="3"/>
        </w:rPr>
        <w:t xml:space="preserve"> </w:t>
      </w:r>
      <w:r>
        <w:rPr>
          <w:color w:val="EC008C"/>
          <w:spacing w:val="-4"/>
          <w:w w:val="95"/>
        </w:rPr>
        <w:t>today</w:t>
      </w:r>
    </w:p>
    <w:p w:rsidR="002C1123" w:rsidRDefault="00F22F94">
      <w:pPr>
        <w:pStyle w:val="BodyText"/>
        <w:spacing w:before="135" w:line="249" w:lineRule="auto"/>
        <w:ind w:left="239" w:right="726"/>
      </w:pPr>
      <w:r>
        <w:rPr>
          <w:w w:val="95"/>
        </w:rPr>
        <w:t>Greater</w:t>
      </w:r>
      <w:r>
        <w:rPr>
          <w:spacing w:val="-12"/>
          <w:w w:val="95"/>
        </w:rPr>
        <w:t xml:space="preserve"> </w:t>
      </w:r>
      <w:r>
        <w:rPr>
          <w:w w:val="95"/>
        </w:rPr>
        <w:t>Sydney</w:t>
      </w:r>
      <w:r>
        <w:rPr>
          <w:spacing w:val="-11"/>
          <w:w w:val="95"/>
        </w:rPr>
        <w:t xml:space="preserve"> </w:t>
      </w:r>
      <w:r>
        <w:rPr>
          <w:w w:val="95"/>
        </w:rPr>
        <w:t>is</w:t>
      </w:r>
      <w:r>
        <w:rPr>
          <w:spacing w:val="-11"/>
          <w:w w:val="95"/>
        </w:rPr>
        <w:t xml:space="preserve"> </w:t>
      </w:r>
      <w:r>
        <w:rPr>
          <w:w w:val="95"/>
        </w:rPr>
        <w:t>a</w:t>
      </w:r>
      <w:r>
        <w:rPr>
          <w:spacing w:val="-11"/>
          <w:w w:val="95"/>
        </w:rPr>
        <w:t xml:space="preserve"> </w:t>
      </w:r>
      <w:r>
        <w:rPr>
          <w:w w:val="95"/>
        </w:rPr>
        <w:t>complex</w:t>
      </w:r>
      <w:r>
        <w:rPr>
          <w:spacing w:val="-12"/>
          <w:w w:val="95"/>
        </w:rPr>
        <w:t xml:space="preserve"> </w:t>
      </w:r>
      <w:r>
        <w:rPr>
          <w:w w:val="95"/>
        </w:rPr>
        <w:t>and</w:t>
      </w:r>
      <w:r>
        <w:rPr>
          <w:spacing w:val="-11"/>
          <w:w w:val="95"/>
        </w:rPr>
        <w:t xml:space="preserve"> </w:t>
      </w:r>
      <w:r>
        <w:rPr>
          <w:w w:val="95"/>
        </w:rPr>
        <w:t>diverse</w:t>
      </w:r>
      <w:r>
        <w:rPr>
          <w:spacing w:val="-11"/>
          <w:w w:val="95"/>
        </w:rPr>
        <w:t xml:space="preserve"> </w:t>
      </w:r>
      <w:r>
        <w:rPr>
          <w:w w:val="95"/>
        </w:rPr>
        <w:t xml:space="preserve">amalgamation </w:t>
      </w:r>
      <w:r>
        <w:t>of</w:t>
      </w:r>
      <w:r>
        <w:rPr>
          <w:spacing w:val="-14"/>
        </w:rPr>
        <w:t xml:space="preserve"> </w:t>
      </w:r>
      <w:r>
        <w:t>communities</w:t>
      </w:r>
      <w:r>
        <w:rPr>
          <w:spacing w:val="-14"/>
        </w:rPr>
        <w:t xml:space="preserve"> </w:t>
      </w:r>
      <w:r>
        <w:t>spread</w:t>
      </w:r>
      <w:r>
        <w:rPr>
          <w:spacing w:val="-14"/>
        </w:rPr>
        <w:t xml:space="preserve"> </w:t>
      </w:r>
      <w:r>
        <w:t>over</w:t>
      </w:r>
      <w:r>
        <w:rPr>
          <w:spacing w:val="-14"/>
        </w:rPr>
        <w:t xml:space="preserve"> </w:t>
      </w:r>
      <w:r>
        <w:t>a</w:t>
      </w:r>
      <w:r>
        <w:rPr>
          <w:spacing w:val="-14"/>
        </w:rPr>
        <w:t xml:space="preserve"> </w:t>
      </w:r>
      <w:r>
        <w:t>vast</w:t>
      </w:r>
      <w:r>
        <w:rPr>
          <w:spacing w:val="-14"/>
        </w:rPr>
        <w:t xml:space="preserve"> </w:t>
      </w:r>
      <w:r>
        <w:t>urban</w:t>
      </w:r>
      <w:r>
        <w:rPr>
          <w:spacing w:val="-14"/>
        </w:rPr>
        <w:t xml:space="preserve"> </w:t>
      </w:r>
      <w:r>
        <w:t>footprint.</w:t>
      </w:r>
    </w:p>
    <w:p w:rsidR="002C1123" w:rsidRDefault="00F22F94">
      <w:pPr>
        <w:pStyle w:val="BodyText"/>
        <w:spacing w:before="1" w:line="249" w:lineRule="auto"/>
        <w:ind w:left="239" w:right="645"/>
      </w:pPr>
      <w:r>
        <w:rPr>
          <w:w w:val="95"/>
        </w:rPr>
        <w:t>The Sydney metropolitan area is one of the largest cities in</w:t>
      </w:r>
      <w:r>
        <w:rPr>
          <w:spacing w:val="-8"/>
          <w:w w:val="95"/>
        </w:rPr>
        <w:t xml:space="preserve"> </w:t>
      </w:r>
      <w:r>
        <w:rPr>
          <w:w w:val="95"/>
        </w:rPr>
        <w:t>the</w:t>
      </w:r>
      <w:r>
        <w:rPr>
          <w:spacing w:val="-8"/>
          <w:w w:val="95"/>
        </w:rPr>
        <w:t xml:space="preserve"> </w:t>
      </w:r>
      <w:r>
        <w:rPr>
          <w:w w:val="95"/>
        </w:rPr>
        <w:t>world</w:t>
      </w:r>
      <w:r>
        <w:rPr>
          <w:spacing w:val="-8"/>
          <w:w w:val="95"/>
        </w:rPr>
        <w:t xml:space="preserve"> </w:t>
      </w:r>
      <w:r>
        <w:rPr>
          <w:w w:val="95"/>
        </w:rPr>
        <w:t>in</w:t>
      </w:r>
      <w:r>
        <w:rPr>
          <w:spacing w:val="-8"/>
          <w:w w:val="95"/>
        </w:rPr>
        <w:t xml:space="preserve"> </w:t>
      </w:r>
      <w:r>
        <w:rPr>
          <w:w w:val="95"/>
        </w:rPr>
        <w:t>terms</w:t>
      </w:r>
      <w:r>
        <w:rPr>
          <w:spacing w:val="-8"/>
          <w:w w:val="95"/>
        </w:rPr>
        <w:t xml:space="preserve"> </w:t>
      </w:r>
      <w:r>
        <w:rPr>
          <w:w w:val="95"/>
        </w:rPr>
        <w:t>of</w:t>
      </w:r>
      <w:r>
        <w:rPr>
          <w:spacing w:val="-8"/>
          <w:w w:val="95"/>
        </w:rPr>
        <w:t xml:space="preserve"> </w:t>
      </w:r>
      <w:r>
        <w:rPr>
          <w:w w:val="95"/>
        </w:rPr>
        <w:t>area.</w:t>
      </w:r>
      <w:r>
        <w:rPr>
          <w:spacing w:val="-8"/>
          <w:w w:val="95"/>
        </w:rPr>
        <w:t xml:space="preserve"> </w:t>
      </w:r>
      <w:r>
        <w:rPr>
          <w:w w:val="95"/>
        </w:rPr>
        <w:t>Spread</w:t>
      </w:r>
      <w:r>
        <w:rPr>
          <w:spacing w:val="-8"/>
          <w:w w:val="95"/>
        </w:rPr>
        <w:t xml:space="preserve"> </w:t>
      </w:r>
      <w:r>
        <w:rPr>
          <w:w w:val="95"/>
        </w:rPr>
        <w:t>across</w:t>
      </w:r>
      <w:r>
        <w:rPr>
          <w:spacing w:val="-8"/>
          <w:w w:val="95"/>
        </w:rPr>
        <w:t xml:space="preserve"> </w:t>
      </w:r>
      <w:r>
        <w:rPr>
          <w:w w:val="95"/>
        </w:rPr>
        <w:t>4,000</w:t>
      </w:r>
      <w:r>
        <w:rPr>
          <w:spacing w:val="-8"/>
          <w:w w:val="95"/>
        </w:rPr>
        <w:t xml:space="preserve"> </w:t>
      </w:r>
      <w:r>
        <w:rPr>
          <w:w w:val="95"/>
        </w:rPr>
        <w:t>square kilometres,</w:t>
      </w:r>
      <w:r>
        <w:rPr>
          <w:spacing w:val="-11"/>
          <w:w w:val="95"/>
        </w:rPr>
        <w:t xml:space="preserve"> </w:t>
      </w:r>
      <w:r>
        <w:rPr>
          <w:w w:val="95"/>
        </w:rPr>
        <w:t>it</w:t>
      </w:r>
      <w:r>
        <w:rPr>
          <w:spacing w:val="-11"/>
          <w:w w:val="95"/>
        </w:rPr>
        <w:t xml:space="preserve"> </w:t>
      </w:r>
      <w:r>
        <w:rPr>
          <w:w w:val="95"/>
        </w:rPr>
        <w:t>is</w:t>
      </w:r>
      <w:r>
        <w:rPr>
          <w:spacing w:val="-11"/>
          <w:w w:val="95"/>
        </w:rPr>
        <w:t xml:space="preserve"> </w:t>
      </w:r>
      <w:r>
        <w:rPr>
          <w:w w:val="95"/>
        </w:rPr>
        <w:t>equal</w:t>
      </w:r>
      <w:r>
        <w:rPr>
          <w:spacing w:val="-11"/>
          <w:w w:val="95"/>
        </w:rPr>
        <w:t xml:space="preserve"> </w:t>
      </w:r>
      <w:r>
        <w:rPr>
          <w:w w:val="95"/>
        </w:rPr>
        <w:t>in</w:t>
      </w:r>
      <w:r>
        <w:rPr>
          <w:spacing w:val="-11"/>
          <w:w w:val="95"/>
        </w:rPr>
        <w:t xml:space="preserve"> </w:t>
      </w:r>
      <w:r>
        <w:rPr>
          <w:w w:val="95"/>
        </w:rPr>
        <w:t>size</w:t>
      </w:r>
      <w:r>
        <w:rPr>
          <w:spacing w:val="-11"/>
          <w:w w:val="95"/>
        </w:rPr>
        <w:t xml:space="preserve"> </w:t>
      </w:r>
      <w:r>
        <w:rPr>
          <w:w w:val="95"/>
        </w:rPr>
        <w:t>to</w:t>
      </w:r>
      <w:r>
        <w:rPr>
          <w:spacing w:val="-11"/>
          <w:w w:val="95"/>
        </w:rPr>
        <w:t xml:space="preserve"> </w:t>
      </w:r>
      <w:r>
        <w:rPr>
          <w:w w:val="95"/>
        </w:rPr>
        <w:t>London</w:t>
      </w:r>
      <w:r>
        <w:rPr>
          <w:spacing w:val="-11"/>
          <w:w w:val="95"/>
        </w:rPr>
        <w:t xml:space="preserve"> </w:t>
      </w:r>
      <w:r>
        <w:rPr>
          <w:w w:val="95"/>
        </w:rPr>
        <w:t>and</w:t>
      </w:r>
      <w:r>
        <w:rPr>
          <w:spacing w:val="-11"/>
          <w:w w:val="95"/>
        </w:rPr>
        <w:t xml:space="preserve"> </w:t>
      </w:r>
      <w:r>
        <w:rPr>
          <w:w w:val="95"/>
        </w:rPr>
        <w:t>almost</w:t>
      </w:r>
      <w:r>
        <w:rPr>
          <w:spacing w:val="-11"/>
          <w:w w:val="95"/>
        </w:rPr>
        <w:t xml:space="preserve"> </w:t>
      </w:r>
      <w:r>
        <w:rPr>
          <w:w w:val="95"/>
        </w:rPr>
        <w:t xml:space="preserve">double </w:t>
      </w:r>
      <w:r>
        <w:t>that of New York City</w:t>
      </w:r>
      <w:r>
        <w:rPr>
          <w:position w:val="7"/>
          <w:sz w:val="11"/>
        </w:rPr>
        <w:t>3</w:t>
      </w:r>
      <w:r>
        <w:t>.</w:t>
      </w:r>
    </w:p>
    <w:p w:rsidR="002C1123" w:rsidRDefault="00F22F94">
      <w:pPr>
        <w:pStyle w:val="BodyText"/>
        <w:spacing w:before="145" w:line="249" w:lineRule="auto"/>
        <w:ind w:left="239" w:right="716"/>
      </w:pPr>
      <w:r>
        <w:rPr>
          <w:w w:val="95"/>
        </w:rPr>
        <w:t>The</w:t>
      </w:r>
      <w:r>
        <w:rPr>
          <w:spacing w:val="-12"/>
          <w:w w:val="95"/>
        </w:rPr>
        <w:t xml:space="preserve"> </w:t>
      </w:r>
      <w:r>
        <w:rPr>
          <w:w w:val="95"/>
        </w:rPr>
        <w:t>metropolitan</w:t>
      </w:r>
      <w:r>
        <w:rPr>
          <w:spacing w:val="-11"/>
          <w:w w:val="95"/>
        </w:rPr>
        <w:t xml:space="preserve"> </w:t>
      </w:r>
      <w:r>
        <w:rPr>
          <w:w w:val="95"/>
        </w:rPr>
        <w:t>area</w:t>
      </w:r>
      <w:r>
        <w:rPr>
          <w:spacing w:val="-11"/>
          <w:w w:val="95"/>
        </w:rPr>
        <w:t xml:space="preserve"> </w:t>
      </w:r>
      <w:r>
        <w:rPr>
          <w:w w:val="95"/>
        </w:rPr>
        <w:t>mixes</w:t>
      </w:r>
      <w:r>
        <w:rPr>
          <w:spacing w:val="-11"/>
          <w:w w:val="95"/>
        </w:rPr>
        <w:t xml:space="preserve"> </w:t>
      </w:r>
      <w:r>
        <w:rPr>
          <w:w w:val="95"/>
        </w:rPr>
        <w:t>suburbs</w:t>
      </w:r>
      <w:r>
        <w:rPr>
          <w:spacing w:val="-12"/>
          <w:w w:val="95"/>
        </w:rPr>
        <w:t xml:space="preserve"> </w:t>
      </w:r>
      <w:r>
        <w:rPr>
          <w:w w:val="95"/>
        </w:rPr>
        <w:t>that</w:t>
      </w:r>
      <w:r>
        <w:rPr>
          <w:spacing w:val="-11"/>
          <w:w w:val="95"/>
        </w:rPr>
        <w:t xml:space="preserve"> </w:t>
      </w:r>
      <w:r>
        <w:rPr>
          <w:w w:val="95"/>
        </w:rPr>
        <w:t>date</w:t>
      </w:r>
      <w:r>
        <w:rPr>
          <w:spacing w:val="-11"/>
          <w:w w:val="95"/>
        </w:rPr>
        <w:t xml:space="preserve"> </w:t>
      </w:r>
      <w:r>
        <w:rPr>
          <w:w w:val="95"/>
        </w:rPr>
        <w:t>back</w:t>
      </w:r>
      <w:r>
        <w:rPr>
          <w:spacing w:val="-11"/>
          <w:w w:val="95"/>
        </w:rPr>
        <w:t xml:space="preserve"> </w:t>
      </w:r>
      <w:r>
        <w:rPr>
          <w:w w:val="95"/>
        </w:rPr>
        <w:t>more than 200 years, such as Parramatta and the Macquarie Towns, with other areas like the North West where the population has grown rapidly within the past 20 years.</w:t>
      </w:r>
    </w:p>
    <w:p w:rsidR="002C1123" w:rsidRDefault="00F22F94">
      <w:pPr>
        <w:pStyle w:val="BodyText"/>
        <w:spacing w:before="145" w:line="249" w:lineRule="auto"/>
        <w:ind w:left="239" w:right="919"/>
      </w:pPr>
      <w:r>
        <w:rPr>
          <w:w w:val="95"/>
        </w:rPr>
        <w:t xml:space="preserve">The population density of Greater Sydney’s suburbs varies but is generally lower in density than in Global </w:t>
      </w:r>
      <w:r>
        <w:t>Sydney</w:t>
      </w:r>
      <w:r>
        <w:rPr>
          <w:spacing w:val="-14"/>
        </w:rPr>
        <w:t xml:space="preserve"> </w:t>
      </w:r>
      <w:r>
        <w:t>as</w:t>
      </w:r>
      <w:r>
        <w:rPr>
          <w:spacing w:val="-14"/>
        </w:rPr>
        <w:t xml:space="preserve"> </w:t>
      </w:r>
      <w:r>
        <w:t>Figure</w:t>
      </w:r>
      <w:r>
        <w:rPr>
          <w:spacing w:val="-14"/>
        </w:rPr>
        <w:t xml:space="preserve"> </w:t>
      </w:r>
      <w:r>
        <w:t>4.2</w:t>
      </w:r>
      <w:r>
        <w:rPr>
          <w:spacing w:val="-14"/>
        </w:rPr>
        <w:t xml:space="preserve"> </w:t>
      </w:r>
      <w:r>
        <w:t>shows.</w:t>
      </w:r>
      <w:r>
        <w:rPr>
          <w:spacing w:val="-14"/>
        </w:rPr>
        <w:t xml:space="preserve"> </w:t>
      </w:r>
      <w:r>
        <w:t>These</w:t>
      </w:r>
      <w:r>
        <w:rPr>
          <w:spacing w:val="-14"/>
        </w:rPr>
        <w:t xml:space="preserve"> </w:t>
      </w:r>
      <w:r>
        <w:t>suburbs</w:t>
      </w:r>
      <w:r>
        <w:rPr>
          <w:spacing w:val="-14"/>
        </w:rPr>
        <w:t xml:space="preserve"> </w:t>
      </w:r>
      <w:r>
        <w:t>have the</w:t>
      </w:r>
      <w:r>
        <w:rPr>
          <w:spacing w:val="-7"/>
        </w:rPr>
        <w:t xml:space="preserve"> </w:t>
      </w:r>
      <w:r>
        <w:t>attraction</w:t>
      </w:r>
      <w:r>
        <w:rPr>
          <w:spacing w:val="-7"/>
        </w:rPr>
        <w:t xml:space="preserve"> </w:t>
      </w:r>
      <w:r>
        <w:t>of</w:t>
      </w:r>
      <w:r>
        <w:rPr>
          <w:spacing w:val="-7"/>
        </w:rPr>
        <w:t xml:space="preserve"> </w:t>
      </w:r>
      <w:r>
        <w:t>land</w:t>
      </w:r>
      <w:r>
        <w:rPr>
          <w:spacing w:val="-7"/>
        </w:rPr>
        <w:t xml:space="preserve"> </w:t>
      </w:r>
      <w:r>
        <w:t>prices</w:t>
      </w:r>
      <w:r>
        <w:rPr>
          <w:spacing w:val="-7"/>
        </w:rPr>
        <w:t xml:space="preserve"> </w:t>
      </w:r>
      <w:r>
        <w:t>much</w:t>
      </w:r>
      <w:r>
        <w:rPr>
          <w:spacing w:val="-7"/>
        </w:rPr>
        <w:t xml:space="preserve"> </w:t>
      </w:r>
      <w:r>
        <w:t>lower</w:t>
      </w:r>
      <w:r>
        <w:rPr>
          <w:spacing w:val="-7"/>
        </w:rPr>
        <w:t xml:space="preserve"> </w:t>
      </w:r>
      <w:r>
        <w:t>than</w:t>
      </w:r>
      <w:r>
        <w:rPr>
          <w:spacing w:val="-7"/>
        </w:rPr>
        <w:t xml:space="preserve"> </w:t>
      </w:r>
      <w:r>
        <w:t xml:space="preserve">in </w:t>
      </w:r>
      <w:r>
        <w:rPr>
          <w:w w:val="95"/>
        </w:rPr>
        <w:t>Global</w:t>
      </w:r>
      <w:r>
        <w:rPr>
          <w:spacing w:val="-7"/>
          <w:w w:val="95"/>
        </w:rPr>
        <w:t xml:space="preserve"> </w:t>
      </w:r>
      <w:r>
        <w:rPr>
          <w:w w:val="95"/>
        </w:rPr>
        <w:t>Sydney,</w:t>
      </w:r>
      <w:r>
        <w:rPr>
          <w:spacing w:val="-7"/>
          <w:w w:val="95"/>
        </w:rPr>
        <w:t xml:space="preserve"> </w:t>
      </w:r>
      <w:r>
        <w:rPr>
          <w:w w:val="95"/>
        </w:rPr>
        <w:t>making</w:t>
      </w:r>
      <w:r>
        <w:rPr>
          <w:spacing w:val="-7"/>
          <w:w w:val="95"/>
        </w:rPr>
        <w:t xml:space="preserve"> </w:t>
      </w:r>
      <w:r>
        <w:rPr>
          <w:w w:val="95"/>
        </w:rPr>
        <w:t>it</w:t>
      </w:r>
      <w:r>
        <w:rPr>
          <w:spacing w:val="-7"/>
          <w:w w:val="95"/>
        </w:rPr>
        <w:t xml:space="preserve"> </w:t>
      </w:r>
      <w:r>
        <w:rPr>
          <w:w w:val="95"/>
        </w:rPr>
        <w:t>a</w:t>
      </w:r>
      <w:r>
        <w:rPr>
          <w:spacing w:val="-7"/>
          <w:w w:val="95"/>
        </w:rPr>
        <w:t xml:space="preserve"> </w:t>
      </w:r>
      <w:r>
        <w:rPr>
          <w:w w:val="95"/>
        </w:rPr>
        <w:t>more</w:t>
      </w:r>
      <w:r>
        <w:rPr>
          <w:spacing w:val="-7"/>
          <w:w w:val="95"/>
        </w:rPr>
        <w:t xml:space="preserve"> </w:t>
      </w:r>
      <w:r>
        <w:rPr>
          <w:w w:val="95"/>
        </w:rPr>
        <w:t>affordable</w:t>
      </w:r>
      <w:r>
        <w:rPr>
          <w:spacing w:val="-7"/>
          <w:w w:val="95"/>
        </w:rPr>
        <w:t xml:space="preserve"> </w:t>
      </w:r>
      <w:r>
        <w:rPr>
          <w:w w:val="95"/>
        </w:rPr>
        <w:t>option</w:t>
      </w:r>
      <w:r>
        <w:rPr>
          <w:spacing w:val="-7"/>
          <w:w w:val="95"/>
        </w:rPr>
        <w:t xml:space="preserve"> </w:t>
      </w:r>
      <w:r>
        <w:rPr>
          <w:w w:val="95"/>
        </w:rPr>
        <w:t xml:space="preserve">for </w:t>
      </w:r>
      <w:r>
        <w:t>many</w:t>
      </w:r>
      <w:r>
        <w:rPr>
          <w:spacing w:val="-11"/>
        </w:rPr>
        <w:t xml:space="preserve"> </w:t>
      </w:r>
      <w:r>
        <w:t>families.</w:t>
      </w:r>
    </w:p>
    <w:p w:rsidR="002C1123" w:rsidRDefault="00F22F94">
      <w:pPr>
        <w:pStyle w:val="BodyText"/>
        <w:spacing w:before="147" w:line="249" w:lineRule="auto"/>
        <w:ind w:left="239" w:right="1123"/>
      </w:pPr>
      <w:r>
        <w:rPr>
          <w:w w:val="95"/>
        </w:rPr>
        <w:t>The</w:t>
      </w:r>
      <w:r>
        <w:rPr>
          <w:spacing w:val="-6"/>
          <w:w w:val="95"/>
        </w:rPr>
        <w:t xml:space="preserve"> </w:t>
      </w:r>
      <w:r>
        <w:rPr>
          <w:w w:val="95"/>
        </w:rPr>
        <w:t>economy</w:t>
      </w:r>
      <w:r>
        <w:rPr>
          <w:spacing w:val="-6"/>
          <w:w w:val="95"/>
        </w:rPr>
        <w:t xml:space="preserve"> </w:t>
      </w:r>
      <w:r>
        <w:rPr>
          <w:w w:val="95"/>
        </w:rPr>
        <w:t>of</w:t>
      </w:r>
      <w:r>
        <w:rPr>
          <w:spacing w:val="-6"/>
          <w:w w:val="95"/>
        </w:rPr>
        <w:t xml:space="preserve"> </w:t>
      </w:r>
      <w:r>
        <w:rPr>
          <w:w w:val="95"/>
        </w:rPr>
        <w:t>Greater</w:t>
      </w:r>
      <w:r>
        <w:rPr>
          <w:spacing w:val="-6"/>
          <w:w w:val="95"/>
        </w:rPr>
        <w:t xml:space="preserve"> </w:t>
      </w:r>
      <w:r>
        <w:rPr>
          <w:w w:val="95"/>
        </w:rPr>
        <w:t>Sydney</w:t>
      </w:r>
      <w:r>
        <w:rPr>
          <w:spacing w:val="-6"/>
          <w:w w:val="95"/>
        </w:rPr>
        <w:t xml:space="preserve"> </w:t>
      </w:r>
      <w:r>
        <w:rPr>
          <w:w w:val="95"/>
        </w:rPr>
        <w:t>is</w:t>
      </w:r>
      <w:r>
        <w:rPr>
          <w:spacing w:val="-6"/>
          <w:w w:val="95"/>
        </w:rPr>
        <w:t xml:space="preserve"> </w:t>
      </w:r>
      <w:r>
        <w:rPr>
          <w:w w:val="95"/>
        </w:rPr>
        <w:t>similarly</w:t>
      </w:r>
      <w:r>
        <w:rPr>
          <w:spacing w:val="-6"/>
          <w:w w:val="95"/>
        </w:rPr>
        <w:t xml:space="preserve"> </w:t>
      </w:r>
      <w:r>
        <w:rPr>
          <w:w w:val="95"/>
        </w:rPr>
        <w:t xml:space="preserve">diverse. </w:t>
      </w:r>
      <w:r>
        <w:t>While</w:t>
      </w:r>
      <w:r>
        <w:rPr>
          <w:spacing w:val="-14"/>
        </w:rPr>
        <w:t xml:space="preserve"> </w:t>
      </w:r>
      <w:r>
        <w:t>the</w:t>
      </w:r>
      <w:r>
        <w:rPr>
          <w:spacing w:val="-14"/>
        </w:rPr>
        <w:t xml:space="preserve"> </w:t>
      </w:r>
      <w:r>
        <w:t>economy</w:t>
      </w:r>
      <w:r>
        <w:rPr>
          <w:spacing w:val="-14"/>
        </w:rPr>
        <w:t xml:space="preserve"> </w:t>
      </w:r>
      <w:r>
        <w:t>of</w:t>
      </w:r>
      <w:r>
        <w:rPr>
          <w:spacing w:val="-14"/>
        </w:rPr>
        <w:t xml:space="preserve"> </w:t>
      </w:r>
      <w:r>
        <w:t>Global</w:t>
      </w:r>
      <w:r>
        <w:rPr>
          <w:spacing w:val="-14"/>
        </w:rPr>
        <w:t xml:space="preserve"> </w:t>
      </w:r>
      <w:r>
        <w:t>Sydney</w:t>
      </w:r>
      <w:r>
        <w:rPr>
          <w:spacing w:val="-14"/>
        </w:rPr>
        <w:t xml:space="preserve"> </w:t>
      </w:r>
      <w:r>
        <w:t>is</w:t>
      </w:r>
      <w:r>
        <w:rPr>
          <w:spacing w:val="-14"/>
        </w:rPr>
        <w:t xml:space="preserve"> </w:t>
      </w:r>
      <w:r>
        <w:t xml:space="preserve">dominated </w:t>
      </w:r>
      <w:r>
        <w:rPr>
          <w:w w:val="95"/>
        </w:rPr>
        <w:t>by financial services and knowledge-based sectors, Greater</w:t>
      </w:r>
      <w:r>
        <w:rPr>
          <w:spacing w:val="-14"/>
          <w:w w:val="95"/>
        </w:rPr>
        <w:t xml:space="preserve"> </w:t>
      </w:r>
      <w:r>
        <w:rPr>
          <w:w w:val="95"/>
        </w:rPr>
        <w:t>Sydney</w:t>
      </w:r>
      <w:r>
        <w:rPr>
          <w:spacing w:val="-14"/>
          <w:w w:val="95"/>
        </w:rPr>
        <w:t xml:space="preserve"> </w:t>
      </w:r>
      <w:r>
        <w:rPr>
          <w:w w:val="95"/>
        </w:rPr>
        <w:t>has</w:t>
      </w:r>
      <w:r>
        <w:rPr>
          <w:spacing w:val="-14"/>
          <w:w w:val="95"/>
        </w:rPr>
        <w:t xml:space="preserve"> </w:t>
      </w:r>
      <w:r>
        <w:rPr>
          <w:w w:val="95"/>
        </w:rPr>
        <w:t>a</w:t>
      </w:r>
      <w:r>
        <w:rPr>
          <w:spacing w:val="-14"/>
          <w:w w:val="95"/>
        </w:rPr>
        <w:t xml:space="preserve"> </w:t>
      </w:r>
      <w:r>
        <w:rPr>
          <w:w w:val="95"/>
        </w:rPr>
        <w:t>broader</w:t>
      </w:r>
      <w:r>
        <w:rPr>
          <w:spacing w:val="-14"/>
          <w:w w:val="95"/>
        </w:rPr>
        <w:t xml:space="preserve"> </w:t>
      </w:r>
      <w:r>
        <w:rPr>
          <w:w w:val="95"/>
        </w:rPr>
        <w:t>industrial</w:t>
      </w:r>
      <w:r>
        <w:rPr>
          <w:spacing w:val="-14"/>
          <w:w w:val="95"/>
        </w:rPr>
        <w:t xml:space="preserve"> </w:t>
      </w:r>
      <w:r>
        <w:rPr>
          <w:w w:val="95"/>
        </w:rPr>
        <w:t>base</w:t>
      </w:r>
      <w:r>
        <w:rPr>
          <w:w w:val="95"/>
          <w:position w:val="7"/>
          <w:sz w:val="11"/>
        </w:rPr>
        <w:t>4</w:t>
      </w:r>
      <w:r>
        <w:rPr>
          <w:w w:val="95"/>
        </w:rPr>
        <w:t>.</w:t>
      </w:r>
    </w:p>
    <w:p w:rsidR="002C1123" w:rsidRDefault="00F22F94">
      <w:pPr>
        <w:pStyle w:val="ListParagraph"/>
        <w:numPr>
          <w:ilvl w:val="2"/>
          <w:numId w:val="117"/>
        </w:numPr>
        <w:tabs>
          <w:tab w:val="left" w:pos="524"/>
        </w:tabs>
        <w:spacing w:before="133" w:line="249" w:lineRule="auto"/>
        <w:ind w:right="839"/>
        <w:rPr>
          <w:sz w:val="20"/>
        </w:rPr>
      </w:pPr>
      <w:r>
        <w:rPr>
          <w:w w:val="95"/>
          <w:sz w:val="20"/>
        </w:rPr>
        <w:t xml:space="preserve">Most of Sydney’s manufacturing output is produced </w:t>
      </w:r>
      <w:r>
        <w:rPr>
          <w:spacing w:val="-2"/>
          <w:sz w:val="20"/>
        </w:rPr>
        <w:t>in</w:t>
      </w:r>
      <w:r>
        <w:rPr>
          <w:spacing w:val="-9"/>
          <w:sz w:val="20"/>
        </w:rPr>
        <w:t xml:space="preserve"> </w:t>
      </w:r>
      <w:r>
        <w:rPr>
          <w:spacing w:val="-2"/>
          <w:sz w:val="20"/>
        </w:rPr>
        <w:t>Greater</w:t>
      </w:r>
      <w:r>
        <w:rPr>
          <w:spacing w:val="-9"/>
          <w:sz w:val="20"/>
        </w:rPr>
        <w:t xml:space="preserve"> </w:t>
      </w:r>
      <w:r>
        <w:rPr>
          <w:spacing w:val="-2"/>
          <w:sz w:val="20"/>
        </w:rPr>
        <w:t>Sydney,</w:t>
      </w:r>
      <w:r>
        <w:rPr>
          <w:spacing w:val="-9"/>
          <w:sz w:val="20"/>
        </w:rPr>
        <w:t xml:space="preserve"> </w:t>
      </w:r>
      <w:r>
        <w:rPr>
          <w:spacing w:val="-2"/>
          <w:sz w:val="20"/>
        </w:rPr>
        <w:t>particularly</w:t>
      </w:r>
      <w:r>
        <w:rPr>
          <w:spacing w:val="-9"/>
          <w:sz w:val="20"/>
        </w:rPr>
        <w:t xml:space="preserve"> </w:t>
      </w:r>
      <w:r>
        <w:rPr>
          <w:spacing w:val="-2"/>
          <w:sz w:val="20"/>
        </w:rPr>
        <w:t>in</w:t>
      </w:r>
      <w:r>
        <w:rPr>
          <w:spacing w:val="-9"/>
          <w:sz w:val="20"/>
        </w:rPr>
        <w:t xml:space="preserve"> </w:t>
      </w:r>
      <w:r>
        <w:rPr>
          <w:spacing w:val="-2"/>
          <w:sz w:val="20"/>
        </w:rPr>
        <w:t>West</w:t>
      </w:r>
      <w:r>
        <w:rPr>
          <w:spacing w:val="-9"/>
          <w:sz w:val="20"/>
        </w:rPr>
        <w:t xml:space="preserve"> </w:t>
      </w:r>
      <w:r>
        <w:rPr>
          <w:spacing w:val="-2"/>
          <w:sz w:val="20"/>
        </w:rPr>
        <w:t>Central</w:t>
      </w:r>
      <w:r>
        <w:rPr>
          <w:spacing w:val="-9"/>
          <w:sz w:val="20"/>
        </w:rPr>
        <w:t xml:space="preserve"> </w:t>
      </w:r>
      <w:r>
        <w:rPr>
          <w:spacing w:val="-2"/>
          <w:sz w:val="20"/>
        </w:rPr>
        <w:t xml:space="preserve">and </w:t>
      </w:r>
      <w:r>
        <w:rPr>
          <w:sz w:val="20"/>
        </w:rPr>
        <w:t>South Western Sydney.</w:t>
      </w:r>
    </w:p>
    <w:p w:rsidR="002C1123" w:rsidRDefault="00F22F94">
      <w:pPr>
        <w:pStyle w:val="ListParagraph"/>
        <w:numPr>
          <w:ilvl w:val="2"/>
          <w:numId w:val="117"/>
        </w:numPr>
        <w:tabs>
          <w:tab w:val="left" w:pos="524"/>
        </w:tabs>
        <w:spacing w:before="131" w:line="249" w:lineRule="auto"/>
        <w:ind w:right="806"/>
        <w:rPr>
          <w:sz w:val="20"/>
        </w:rPr>
      </w:pPr>
      <w:r>
        <w:rPr>
          <w:w w:val="95"/>
          <w:sz w:val="20"/>
        </w:rPr>
        <w:t>Sydney’s logistics industry has increasingly located away</w:t>
      </w:r>
      <w:r>
        <w:rPr>
          <w:spacing w:val="-11"/>
          <w:w w:val="95"/>
          <w:sz w:val="20"/>
        </w:rPr>
        <w:t xml:space="preserve"> </w:t>
      </w:r>
      <w:r>
        <w:rPr>
          <w:w w:val="95"/>
          <w:sz w:val="20"/>
        </w:rPr>
        <w:t>from</w:t>
      </w:r>
      <w:r>
        <w:rPr>
          <w:spacing w:val="-11"/>
          <w:w w:val="95"/>
          <w:sz w:val="20"/>
        </w:rPr>
        <w:t xml:space="preserve"> </w:t>
      </w:r>
      <w:r>
        <w:rPr>
          <w:w w:val="95"/>
          <w:sz w:val="20"/>
        </w:rPr>
        <w:t>the</w:t>
      </w:r>
      <w:r>
        <w:rPr>
          <w:spacing w:val="-11"/>
          <w:w w:val="95"/>
          <w:sz w:val="20"/>
        </w:rPr>
        <w:t xml:space="preserve"> </w:t>
      </w:r>
      <w:r>
        <w:rPr>
          <w:w w:val="95"/>
          <w:sz w:val="20"/>
        </w:rPr>
        <w:t>relatively</w:t>
      </w:r>
      <w:r>
        <w:rPr>
          <w:spacing w:val="-11"/>
          <w:w w:val="95"/>
          <w:sz w:val="20"/>
        </w:rPr>
        <w:t xml:space="preserve"> </w:t>
      </w:r>
      <w:r>
        <w:rPr>
          <w:w w:val="95"/>
          <w:sz w:val="20"/>
        </w:rPr>
        <w:t>expensive</w:t>
      </w:r>
      <w:r>
        <w:rPr>
          <w:spacing w:val="-11"/>
          <w:w w:val="95"/>
          <w:sz w:val="20"/>
        </w:rPr>
        <w:t xml:space="preserve"> </w:t>
      </w:r>
      <w:r>
        <w:rPr>
          <w:w w:val="95"/>
          <w:sz w:val="20"/>
        </w:rPr>
        <w:t>lands</w:t>
      </w:r>
      <w:r>
        <w:rPr>
          <w:spacing w:val="-11"/>
          <w:w w:val="95"/>
          <w:sz w:val="20"/>
        </w:rPr>
        <w:t xml:space="preserve"> </w:t>
      </w:r>
      <w:r>
        <w:rPr>
          <w:w w:val="95"/>
          <w:sz w:val="20"/>
        </w:rPr>
        <w:t>around</w:t>
      </w:r>
      <w:r>
        <w:rPr>
          <w:spacing w:val="-11"/>
          <w:w w:val="95"/>
          <w:sz w:val="20"/>
        </w:rPr>
        <w:t xml:space="preserve"> </w:t>
      </w:r>
      <w:r>
        <w:rPr>
          <w:w w:val="95"/>
          <w:sz w:val="20"/>
        </w:rPr>
        <w:t xml:space="preserve">Port </w:t>
      </w:r>
      <w:r>
        <w:rPr>
          <w:sz w:val="20"/>
        </w:rPr>
        <w:t>Botany</w:t>
      </w:r>
      <w:r>
        <w:rPr>
          <w:spacing w:val="-11"/>
          <w:sz w:val="20"/>
        </w:rPr>
        <w:t xml:space="preserve"> </w:t>
      </w:r>
      <w:r>
        <w:rPr>
          <w:sz w:val="20"/>
        </w:rPr>
        <w:t>and</w:t>
      </w:r>
      <w:r>
        <w:rPr>
          <w:spacing w:val="-11"/>
          <w:sz w:val="20"/>
        </w:rPr>
        <w:t xml:space="preserve"> </w:t>
      </w:r>
      <w:r>
        <w:rPr>
          <w:sz w:val="20"/>
        </w:rPr>
        <w:t>towards</w:t>
      </w:r>
      <w:r>
        <w:rPr>
          <w:spacing w:val="-11"/>
          <w:sz w:val="20"/>
        </w:rPr>
        <w:t xml:space="preserve"> </w:t>
      </w:r>
      <w:r>
        <w:rPr>
          <w:sz w:val="20"/>
        </w:rPr>
        <w:t>major</w:t>
      </w:r>
      <w:r>
        <w:rPr>
          <w:spacing w:val="-11"/>
          <w:sz w:val="20"/>
        </w:rPr>
        <w:t xml:space="preserve"> </w:t>
      </w:r>
      <w:r>
        <w:rPr>
          <w:sz w:val="20"/>
        </w:rPr>
        <w:t>transportation</w:t>
      </w:r>
      <w:r>
        <w:rPr>
          <w:spacing w:val="-11"/>
          <w:sz w:val="20"/>
        </w:rPr>
        <w:t xml:space="preserve"> </w:t>
      </w:r>
      <w:r>
        <w:rPr>
          <w:sz w:val="20"/>
        </w:rPr>
        <w:t>corridors such</w:t>
      </w:r>
      <w:r>
        <w:rPr>
          <w:spacing w:val="-12"/>
          <w:sz w:val="20"/>
        </w:rPr>
        <w:t xml:space="preserve"> </w:t>
      </w:r>
      <w:r>
        <w:rPr>
          <w:sz w:val="20"/>
        </w:rPr>
        <w:t>as</w:t>
      </w:r>
      <w:r>
        <w:rPr>
          <w:spacing w:val="-12"/>
          <w:sz w:val="20"/>
        </w:rPr>
        <w:t xml:space="preserve"> </w:t>
      </w:r>
      <w:r>
        <w:rPr>
          <w:sz w:val="20"/>
        </w:rPr>
        <w:t>the</w:t>
      </w:r>
      <w:r>
        <w:rPr>
          <w:spacing w:val="-12"/>
          <w:sz w:val="20"/>
        </w:rPr>
        <w:t xml:space="preserve"> </w:t>
      </w:r>
      <w:r>
        <w:rPr>
          <w:sz w:val="20"/>
        </w:rPr>
        <w:t>M7</w:t>
      </w:r>
      <w:r>
        <w:rPr>
          <w:spacing w:val="-12"/>
          <w:sz w:val="20"/>
        </w:rPr>
        <w:t xml:space="preserve"> </w:t>
      </w:r>
      <w:r>
        <w:rPr>
          <w:sz w:val="20"/>
        </w:rPr>
        <w:t>motorway</w:t>
      </w:r>
      <w:r>
        <w:rPr>
          <w:spacing w:val="-12"/>
          <w:sz w:val="20"/>
        </w:rPr>
        <w:t xml:space="preserve"> </w:t>
      </w:r>
      <w:r>
        <w:rPr>
          <w:sz w:val="20"/>
        </w:rPr>
        <w:t>in</w:t>
      </w:r>
      <w:r>
        <w:rPr>
          <w:spacing w:val="-12"/>
          <w:sz w:val="20"/>
        </w:rPr>
        <w:t xml:space="preserve"> </w:t>
      </w:r>
      <w:r>
        <w:rPr>
          <w:sz w:val="20"/>
        </w:rPr>
        <w:t>Greater</w:t>
      </w:r>
      <w:r>
        <w:rPr>
          <w:spacing w:val="-12"/>
          <w:sz w:val="20"/>
        </w:rPr>
        <w:t xml:space="preserve"> </w:t>
      </w:r>
      <w:r>
        <w:rPr>
          <w:sz w:val="20"/>
        </w:rPr>
        <w:t>Sydney.</w:t>
      </w:r>
    </w:p>
    <w:p w:rsidR="002C1123" w:rsidRDefault="002060EF">
      <w:pPr>
        <w:pStyle w:val="BodyText"/>
        <w:spacing w:before="10"/>
        <w:rPr>
          <w:sz w:val="11"/>
        </w:rPr>
      </w:pPr>
      <w:r>
        <w:pict>
          <v:shape id="docshape721" o:spid="_x0000_s4609" style="position:absolute;margin-left:552.3pt;margin-top:8.05pt;width:1in;height:.1pt;z-index:-251405312;mso-wrap-distance-left:0;mso-wrap-distance-right:0;mso-position-horizontal-relative:page" coordorigin="11046,161" coordsize="1440,0" path="m11046,161r1440,e" filled="f" strokecolor="#9c9c9d" strokeweight=".5pt">
            <v:path arrowok="t"/>
            <w10:wrap type="topAndBottom" anchorx="page"/>
          </v:shape>
        </w:pict>
      </w:r>
    </w:p>
    <w:p w:rsidR="002C1123" w:rsidRDefault="00F22F94">
      <w:pPr>
        <w:pStyle w:val="ListParagraph"/>
        <w:numPr>
          <w:ilvl w:val="0"/>
          <w:numId w:val="114"/>
        </w:numPr>
        <w:tabs>
          <w:tab w:val="left" w:pos="439"/>
        </w:tabs>
        <w:spacing w:before="23" w:line="161" w:lineRule="exact"/>
        <w:ind w:left="438" w:hanging="200"/>
        <w:jc w:val="left"/>
        <w:rPr>
          <w:sz w:val="14"/>
        </w:rPr>
      </w:pPr>
      <w:r>
        <w:rPr>
          <w:w w:val="95"/>
          <w:sz w:val="14"/>
        </w:rPr>
        <w:t>City</w:t>
      </w:r>
      <w:r>
        <w:rPr>
          <w:spacing w:val="-5"/>
          <w:w w:val="95"/>
          <w:sz w:val="14"/>
        </w:rPr>
        <w:t xml:space="preserve"> </w:t>
      </w:r>
      <w:r>
        <w:rPr>
          <w:w w:val="95"/>
          <w:sz w:val="14"/>
        </w:rPr>
        <w:t>of</w:t>
      </w:r>
      <w:r>
        <w:rPr>
          <w:spacing w:val="-4"/>
          <w:w w:val="95"/>
          <w:sz w:val="14"/>
        </w:rPr>
        <w:t xml:space="preserve"> </w:t>
      </w:r>
      <w:r>
        <w:rPr>
          <w:w w:val="95"/>
          <w:sz w:val="14"/>
        </w:rPr>
        <w:t>Sydney,</w:t>
      </w:r>
      <w:r>
        <w:rPr>
          <w:spacing w:val="-5"/>
          <w:w w:val="95"/>
          <w:sz w:val="14"/>
        </w:rPr>
        <w:t xml:space="preserve"> </w:t>
      </w:r>
      <w:r>
        <w:rPr>
          <w:w w:val="95"/>
          <w:sz w:val="14"/>
        </w:rPr>
        <w:t>City</w:t>
      </w:r>
      <w:r>
        <w:rPr>
          <w:spacing w:val="-4"/>
          <w:w w:val="95"/>
          <w:sz w:val="14"/>
        </w:rPr>
        <w:t xml:space="preserve"> </w:t>
      </w:r>
      <w:r>
        <w:rPr>
          <w:w w:val="95"/>
          <w:sz w:val="14"/>
        </w:rPr>
        <w:t>of</w:t>
      </w:r>
      <w:r>
        <w:rPr>
          <w:spacing w:val="-5"/>
          <w:w w:val="95"/>
          <w:sz w:val="14"/>
        </w:rPr>
        <w:t xml:space="preserve"> </w:t>
      </w:r>
      <w:r>
        <w:rPr>
          <w:w w:val="95"/>
          <w:sz w:val="14"/>
        </w:rPr>
        <w:t>Sydney</w:t>
      </w:r>
      <w:r>
        <w:rPr>
          <w:spacing w:val="-4"/>
          <w:w w:val="95"/>
          <w:sz w:val="14"/>
        </w:rPr>
        <w:t xml:space="preserve"> </w:t>
      </w:r>
      <w:r>
        <w:rPr>
          <w:w w:val="95"/>
          <w:sz w:val="14"/>
        </w:rPr>
        <w:t>–</w:t>
      </w:r>
      <w:r>
        <w:rPr>
          <w:spacing w:val="-5"/>
          <w:w w:val="95"/>
          <w:sz w:val="14"/>
        </w:rPr>
        <w:t xml:space="preserve"> </w:t>
      </w:r>
      <w:r>
        <w:rPr>
          <w:w w:val="95"/>
          <w:sz w:val="14"/>
        </w:rPr>
        <w:t>A</w:t>
      </w:r>
      <w:r>
        <w:rPr>
          <w:spacing w:val="-4"/>
          <w:w w:val="95"/>
          <w:sz w:val="14"/>
        </w:rPr>
        <w:t xml:space="preserve"> </w:t>
      </w:r>
      <w:r>
        <w:rPr>
          <w:spacing w:val="-2"/>
          <w:w w:val="95"/>
          <w:sz w:val="14"/>
        </w:rPr>
        <w:t>Snapshot.</w:t>
      </w:r>
    </w:p>
    <w:p w:rsidR="002C1123" w:rsidRDefault="00F22F94">
      <w:pPr>
        <w:pStyle w:val="ListParagraph"/>
        <w:numPr>
          <w:ilvl w:val="0"/>
          <w:numId w:val="114"/>
        </w:numPr>
        <w:tabs>
          <w:tab w:val="left" w:pos="439"/>
        </w:tabs>
        <w:ind w:left="438" w:right="733" w:hanging="199"/>
        <w:jc w:val="left"/>
        <w:rPr>
          <w:sz w:val="14"/>
        </w:rPr>
      </w:pPr>
      <w:r>
        <w:rPr>
          <w:w w:val="95"/>
          <w:sz w:val="14"/>
        </w:rPr>
        <w:t>Department Planning and Infrastructure 2012, Sydney Over the Next Twenty</w:t>
      </w:r>
      <w:r>
        <w:rPr>
          <w:spacing w:val="40"/>
          <w:sz w:val="14"/>
        </w:rPr>
        <w:t xml:space="preserve"> </w:t>
      </w:r>
      <w:r>
        <w:rPr>
          <w:sz w:val="14"/>
        </w:rPr>
        <w:t>Years: A Discussion Paper.</w:t>
      </w:r>
    </w:p>
    <w:p w:rsidR="002C1123" w:rsidRDefault="002C1123">
      <w:pPr>
        <w:rPr>
          <w:sz w:val="14"/>
        </w:rPr>
        <w:sectPr w:rsidR="002C1123">
          <w:type w:val="continuous"/>
          <w:pgSz w:w="16840" w:h="11910" w:orient="landscape"/>
          <w:pgMar w:top="560" w:right="280" w:bottom="280" w:left="500" w:header="0" w:footer="470" w:gutter="0"/>
          <w:cols w:num="3" w:space="720" w:equalWidth="0">
            <w:col w:w="5200" w:space="40"/>
            <w:col w:w="5027" w:space="39"/>
            <w:col w:w="5754"/>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C1123">
      <w:pPr>
        <w:rPr>
          <w:sz w:val="19"/>
        </w:rPr>
        <w:sectPr w:rsidR="002C1123">
          <w:pgSz w:w="16840" w:h="11910" w:orient="landscape"/>
          <w:pgMar w:top="560" w:right="280" w:bottom="700" w:left="500" w:header="0" w:footer="470" w:gutter="0"/>
          <w:cols w:space="720"/>
        </w:sectPr>
      </w:pPr>
    </w:p>
    <w:p w:rsidR="002C1123" w:rsidRDefault="00F22F94">
      <w:pPr>
        <w:pStyle w:val="ListParagraph"/>
        <w:numPr>
          <w:ilvl w:val="1"/>
          <w:numId w:val="114"/>
        </w:numPr>
        <w:tabs>
          <w:tab w:val="left" w:pos="776"/>
        </w:tabs>
        <w:spacing w:before="93" w:line="249" w:lineRule="auto"/>
        <w:ind w:right="51"/>
        <w:rPr>
          <w:sz w:val="20"/>
        </w:rPr>
      </w:pPr>
      <w:bookmarkStart w:id="109" w:name="_bookmark77"/>
      <w:bookmarkEnd w:id="109"/>
      <w:r>
        <w:rPr>
          <w:w w:val="95"/>
          <w:sz w:val="20"/>
        </w:rPr>
        <w:t>The</w:t>
      </w:r>
      <w:r>
        <w:rPr>
          <w:spacing w:val="-3"/>
          <w:w w:val="95"/>
          <w:sz w:val="20"/>
        </w:rPr>
        <w:t xml:space="preserve"> </w:t>
      </w:r>
      <w:r>
        <w:rPr>
          <w:w w:val="95"/>
          <w:sz w:val="20"/>
        </w:rPr>
        <w:t>construction</w:t>
      </w:r>
      <w:r>
        <w:rPr>
          <w:spacing w:val="-3"/>
          <w:w w:val="95"/>
          <w:sz w:val="20"/>
        </w:rPr>
        <w:t xml:space="preserve"> </w:t>
      </w:r>
      <w:r>
        <w:rPr>
          <w:w w:val="95"/>
          <w:sz w:val="20"/>
        </w:rPr>
        <w:t>industry</w:t>
      </w:r>
      <w:r>
        <w:rPr>
          <w:spacing w:val="-3"/>
          <w:w w:val="95"/>
          <w:sz w:val="20"/>
        </w:rPr>
        <w:t xml:space="preserve"> </w:t>
      </w:r>
      <w:r>
        <w:rPr>
          <w:w w:val="95"/>
          <w:sz w:val="20"/>
        </w:rPr>
        <w:t>is</w:t>
      </w:r>
      <w:r>
        <w:rPr>
          <w:spacing w:val="-3"/>
          <w:w w:val="95"/>
          <w:sz w:val="20"/>
        </w:rPr>
        <w:t xml:space="preserve"> </w:t>
      </w:r>
      <w:r>
        <w:rPr>
          <w:w w:val="95"/>
          <w:sz w:val="20"/>
        </w:rPr>
        <w:t>a</w:t>
      </w:r>
      <w:r>
        <w:rPr>
          <w:spacing w:val="-3"/>
          <w:w w:val="95"/>
          <w:sz w:val="20"/>
        </w:rPr>
        <w:t xml:space="preserve"> </w:t>
      </w:r>
      <w:r>
        <w:rPr>
          <w:w w:val="95"/>
          <w:sz w:val="20"/>
        </w:rPr>
        <w:t>major</w:t>
      </w:r>
      <w:r>
        <w:rPr>
          <w:spacing w:val="-3"/>
          <w:w w:val="95"/>
          <w:sz w:val="20"/>
        </w:rPr>
        <w:t xml:space="preserve"> </w:t>
      </w:r>
      <w:r>
        <w:rPr>
          <w:w w:val="95"/>
          <w:sz w:val="20"/>
        </w:rPr>
        <w:t>employer</w:t>
      </w:r>
      <w:r>
        <w:rPr>
          <w:spacing w:val="-3"/>
          <w:w w:val="95"/>
          <w:sz w:val="20"/>
        </w:rPr>
        <w:t xml:space="preserve"> </w:t>
      </w:r>
      <w:r>
        <w:rPr>
          <w:w w:val="95"/>
          <w:sz w:val="20"/>
        </w:rPr>
        <w:t xml:space="preserve">across </w:t>
      </w:r>
      <w:r>
        <w:rPr>
          <w:sz w:val="20"/>
        </w:rPr>
        <w:t>Greater</w:t>
      </w:r>
      <w:r>
        <w:rPr>
          <w:spacing w:val="-11"/>
          <w:sz w:val="20"/>
        </w:rPr>
        <w:t xml:space="preserve"> </w:t>
      </w:r>
      <w:r>
        <w:rPr>
          <w:sz w:val="20"/>
        </w:rPr>
        <w:t>Sydney.</w:t>
      </w:r>
    </w:p>
    <w:p w:rsidR="002C1123" w:rsidRDefault="00F22F94">
      <w:pPr>
        <w:pStyle w:val="ListParagraph"/>
        <w:numPr>
          <w:ilvl w:val="1"/>
          <w:numId w:val="114"/>
        </w:numPr>
        <w:tabs>
          <w:tab w:val="left" w:pos="776"/>
        </w:tabs>
        <w:spacing w:before="131" w:line="249" w:lineRule="auto"/>
        <w:ind w:right="46"/>
        <w:rPr>
          <w:sz w:val="20"/>
        </w:rPr>
      </w:pPr>
      <w:r>
        <w:rPr>
          <w:w w:val="95"/>
          <w:sz w:val="20"/>
        </w:rPr>
        <w:t>As</w:t>
      </w:r>
      <w:r>
        <w:rPr>
          <w:spacing w:val="-12"/>
          <w:w w:val="95"/>
          <w:sz w:val="20"/>
        </w:rPr>
        <w:t xml:space="preserve"> </w:t>
      </w:r>
      <w:r>
        <w:rPr>
          <w:w w:val="95"/>
          <w:sz w:val="20"/>
        </w:rPr>
        <w:t>most</w:t>
      </w:r>
      <w:r>
        <w:rPr>
          <w:spacing w:val="-11"/>
          <w:w w:val="95"/>
          <w:sz w:val="20"/>
        </w:rPr>
        <w:t xml:space="preserve"> </w:t>
      </w:r>
      <w:r>
        <w:rPr>
          <w:w w:val="95"/>
          <w:sz w:val="20"/>
        </w:rPr>
        <w:t>Sydneysiders</w:t>
      </w:r>
      <w:r>
        <w:rPr>
          <w:spacing w:val="-11"/>
          <w:w w:val="95"/>
          <w:sz w:val="20"/>
        </w:rPr>
        <w:t xml:space="preserve"> </w:t>
      </w:r>
      <w:r>
        <w:rPr>
          <w:w w:val="95"/>
          <w:sz w:val="20"/>
        </w:rPr>
        <w:t>live</w:t>
      </w:r>
      <w:r>
        <w:rPr>
          <w:spacing w:val="-11"/>
          <w:w w:val="95"/>
          <w:sz w:val="20"/>
        </w:rPr>
        <w:t xml:space="preserve"> </w:t>
      </w:r>
      <w:r>
        <w:rPr>
          <w:w w:val="95"/>
          <w:sz w:val="20"/>
        </w:rPr>
        <w:t>in</w:t>
      </w:r>
      <w:r>
        <w:rPr>
          <w:spacing w:val="-11"/>
          <w:w w:val="95"/>
          <w:sz w:val="20"/>
        </w:rPr>
        <w:t xml:space="preserve"> </w:t>
      </w:r>
      <w:r>
        <w:rPr>
          <w:w w:val="95"/>
          <w:sz w:val="20"/>
        </w:rPr>
        <w:t>Greater</w:t>
      </w:r>
      <w:r>
        <w:rPr>
          <w:spacing w:val="-11"/>
          <w:w w:val="95"/>
          <w:sz w:val="20"/>
        </w:rPr>
        <w:t xml:space="preserve"> </w:t>
      </w:r>
      <w:r>
        <w:rPr>
          <w:w w:val="95"/>
          <w:sz w:val="20"/>
        </w:rPr>
        <w:t>Sydney,</w:t>
      </w:r>
      <w:r>
        <w:rPr>
          <w:spacing w:val="-11"/>
          <w:w w:val="95"/>
          <w:sz w:val="20"/>
        </w:rPr>
        <w:t xml:space="preserve"> </w:t>
      </w:r>
      <w:r>
        <w:rPr>
          <w:w w:val="95"/>
          <w:sz w:val="20"/>
        </w:rPr>
        <w:t>a</w:t>
      </w:r>
      <w:r>
        <w:rPr>
          <w:spacing w:val="-11"/>
          <w:w w:val="95"/>
          <w:sz w:val="20"/>
        </w:rPr>
        <w:t xml:space="preserve"> </w:t>
      </w:r>
      <w:r>
        <w:rPr>
          <w:w w:val="95"/>
          <w:sz w:val="20"/>
        </w:rPr>
        <w:t xml:space="preserve">major </w:t>
      </w:r>
      <w:r>
        <w:rPr>
          <w:sz w:val="20"/>
        </w:rPr>
        <w:t>focus</w:t>
      </w:r>
      <w:r>
        <w:rPr>
          <w:spacing w:val="-9"/>
          <w:sz w:val="20"/>
        </w:rPr>
        <w:t xml:space="preserve"> </w:t>
      </w:r>
      <w:r>
        <w:rPr>
          <w:sz w:val="20"/>
        </w:rPr>
        <w:t>is</w:t>
      </w:r>
      <w:r>
        <w:rPr>
          <w:spacing w:val="-9"/>
          <w:sz w:val="20"/>
        </w:rPr>
        <w:t xml:space="preserve"> </w:t>
      </w:r>
      <w:r>
        <w:rPr>
          <w:sz w:val="20"/>
        </w:rPr>
        <w:t>in</w:t>
      </w:r>
      <w:r>
        <w:rPr>
          <w:spacing w:val="-9"/>
          <w:sz w:val="20"/>
        </w:rPr>
        <w:t xml:space="preserve"> </w:t>
      </w:r>
      <w:r>
        <w:rPr>
          <w:sz w:val="20"/>
        </w:rPr>
        <w:t>sectors</w:t>
      </w:r>
      <w:r>
        <w:rPr>
          <w:spacing w:val="-9"/>
          <w:sz w:val="20"/>
        </w:rPr>
        <w:t xml:space="preserve"> </w:t>
      </w:r>
      <w:r>
        <w:rPr>
          <w:sz w:val="20"/>
        </w:rPr>
        <w:t>serving</w:t>
      </w:r>
      <w:r>
        <w:rPr>
          <w:spacing w:val="-9"/>
          <w:sz w:val="20"/>
        </w:rPr>
        <w:t xml:space="preserve"> </w:t>
      </w:r>
      <w:r>
        <w:rPr>
          <w:sz w:val="20"/>
        </w:rPr>
        <w:t>local</w:t>
      </w:r>
      <w:r>
        <w:rPr>
          <w:spacing w:val="-9"/>
          <w:sz w:val="20"/>
        </w:rPr>
        <w:t xml:space="preserve"> </w:t>
      </w:r>
      <w:r>
        <w:rPr>
          <w:sz w:val="20"/>
        </w:rPr>
        <w:t>population</w:t>
      </w:r>
      <w:r>
        <w:rPr>
          <w:spacing w:val="-9"/>
          <w:sz w:val="20"/>
        </w:rPr>
        <w:t xml:space="preserve"> </w:t>
      </w:r>
      <w:r>
        <w:rPr>
          <w:sz w:val="20"/>
        </w:rPr>
        <w:t>needs such</w:t>
      </w:r>
      <w:r>
        <w:rPr>
          <w:spacing w:val="-10"/>
          <w:sz w:val="20"/>
        </w:rPr>
        <w:t xml:space="preserve"> </w:t>
      </w:r>
      <w:r>
        <w:rPr>
          <w:sz w:val="20"/>
        </w:rPr>
        <w:t>as</w:t>
      </w:r>
      <w:r>
        <w:rPr>
          <w:spacing w:val="-10"/>
          <w:sz w:val="20"/>
        </w:rPr>
        <w:t xml:space="preserve"> </w:t>
      </w:r>
      <w:r>
        <w:rPr>
          <w:sz w:val="20"/>
        </w:rPr>
        <w:t>in</w:t>
      </w:r>
      <w:r>
        <w:rPr>
          <w:spacing w:val="-10"/>
          <w:sz w:val="20"/>
        </w:rPr>
        <w:t xml:space="preserve"> </w:t>
      </w:r>
      <w:r>
        <w:rPr>
          <w:sz w:val="20"/>
        </w:rPr>
        <w:t>healthcare,</w:t>
      </w:r>
      <w:r>
        <w:rPr>
          <w:spacing w:val="-10"/>
          <w:sz w:val="20"/>
        </w:rPr>
        <w:t xml:space="preserve"> </w:t>
      </w:r>
      <w:r>
        <w:rPr>
          <w:sz w:val="20"/>
        </w:rPr>
        <w:t>education</w:t>
      </w:r>
      <w:r>
        <w:rPr>
          <w:spacing w:val="-10"/>
          <w:sz w:val="20"/>
        </w:rPr>
        <w:t xml:space="preserve"> </w:t>
      </w:r>
      <w:r>
        <w:rPr>
          <w:sz w:val="20"/>
        </w:rPr>
        <w:t>and</w:t>
      </w:r>
      <w:r>
        <w:rPr>
          <w:spacing w:val="-10"/>
          <w:sz w:val="20"/>
        </w:rPr>
        <w:t xml:space="preserve"> </w:t>
      </w:r>
      <w:r>
        <w:rPr>
          <w:sz w:val="20"/>
        </w:rPr>
        <w:t>retail.</w:t>
      </w:r>
    </w:p>
    <w:p w:rsidR="002C1123" w:rsidRDefault="00F22F94">
      <w:pPr>
        <w:pStyle w:val="BodyText"/>
        <w:spacing w:before="144" w:line="249" w:lineRule="auto"/>
        <w:ind w:left="492"/>
      </w:pPr>
      <w:r>
        <w:rPr>
          <w:w w:val="95"/>
        </w:rPr>
        <w:t xml:space="preserve">This industrial mix means Greater Sydney’s employment </w:t>
      </w:r>
      <w:r>
        <w:t>patterns</w:t>
      </w:r>
      <w:r>
        <w:rPr>
          <w:spacing w:val="-8"/>
        </w:rPr>
        <w:t xml:space="preserve"> </w:t>
      </w:r>
      <w:r>
        <w:t>are</w:t>
      </w:r>
      <w:r>
        <w:rPr>
          <w:spacing w:val="-8"/>
        </w:rPr>
        <w:t xml:space="preserve"> </w:t>
      </w:r>
      <w:r>
        <w:t>much</w:t>
      </w:r>
      <w:r>
        <w:rPr>
          <w:spacing w:val="-8"/>
        </w:rPr>
        <w:t xml:space="preserve"> </w:t>
      </w:r>
      <w:r>
        <w:t>more</w:t>
      </w:r>
      <w:r>
        <w:rPr>
          <w:spacing w:val="-8"/>
        </w:rPr>
        <w:t xml:space="preserve"> </w:t>
      </w:r>
      <w:r>
        <w:t>dispersed</w:t>
      </w:r>
      <w:r>
        <w:rPr>
          <w:spacing w:val="-8"/>
        </w:rPr>
        <w:t xml:space="preserve"> </w:t>
      </w:r>
      <w:r>
        <w:t>than</w:t>
      </w:r>
      <w:r>
        <w:rPr>
          <w:spacing w:val="-8"/>
        </w:rPr>
        <w:t xml:space="preserve"> </w:t>
      </w:r>
      <w:r>
        <w:t>in</w:t>
      </w:r>
      <w:r>
        <w:rPr>
          <w:spacing w:val="-8"/>
        </w:rPr>
        <w:t xml:space="preserve"> </w:t>
      </w:r>
      <w:r>
        <w:t>Global Sydney,</w:t>
      </w:r>
      <w:r>
        <w:rPr>
          <w:spacing w:val="-13"/>
        </w:rPr>
        <w:t xml:space="preserve"> </w:t>
      </w:r>
      <w:r>
        <w:t>where</w:t>
      </w:r>
      <w:r>
        <w:rPr>
          <w:spacing w:val="-13"/>
        </w:rPr>
        <w:t xml:space="preserve"> </w:t>
      </w:r>
      <w:r>
        <w:t>most</w:t>
      </w:r>
      <w:r>
        <w:rPr>
          <w:spacing w:val="-13"/>
        </w:rPr>
        <w:t xml:space="preserve"> </w:t>
      </w:r>
      <w:r>
        <w:t>activity</w:t>
      </w:r>
      <w:r>
        <w:rPr>
          <w:spacing w:val="-13"/>
        </w:rPr>
        <w:t xml:space="preserve"> </w:t>
      </w:r>
      <w:r>
        <w:t>is</w:t>
      </w:r>
      <w:r>
        <w:rPr>
          <w:spacing w:val="-13"/>
        </w:rPr>
        <w:t xml:space="preserve"> </w:t>
      </w:r>
      <w:r>
        <w:t>focused</w:t>
      </w:r>
      <w:r>
        <w:rPr>
          <w:spacing w:val="-13"/>
        </w:rPr>
        <w:t xml:space="preserve"> </w:t>
      </w:r>
      <w:r>
        <w:t>on</w:t>
      </w:r>
      <w:r>
        <w:rPr>
          <w:spacing w:val="-13"/>
        </w:rPr>
        <w:t xml:space="preserve"> </w:t>
      </w:r>
      <w:r>
        <w:t>a</w:t>
      </w:r>
      <w:r>
        <w:rPr>
          <w:spacing w:val="-13"/>
        </w:rPr>
        <w:t xml:space="preserve"> </w:t>
      </w:r>
      <w:r>
        <w:t xml:space="preserve">small </w:t>
      </w:r>
      <w:r>
        <w:rPr>
          <w:w w:val="95"/>
        </w:rPr>
        <w:t>number</w:t>
      </w:r>
      <w:r>
        <w:rPr>
          <w:spacing w:val="-2"/>
          <w:w w:val="95"/>
        </w:rPr>
        <w:t xml:space="preserve"> </w:t>
      </w:r>
      <w:r>
        <w:rPr>
          <w:w w:val="95"/>
        </w:rPr>
        <w:t>of</w:t>
      </w:r>
      <w:r>
        <w:rPr>
          <w:spacing w:val="-2"/>
          <w:w w:val="95"/>
        </w:rPr>
        <w:t xml:space="preserve"> </w:t>
      </w:r>
      <w:r>
        <w:rPr>
          <w:w w:val="95"/>
        </w:rPr>
        <w:t>high-density</w:t>
      </w:r>
      <w:r>
        <w:rPr>
          <w:spacing w:val="-2"/>
          <w:w w:val="95"/>
        </w:rPr>
        <w:t xml:space="preserve"> </w:t>
      </w:r>
      <w:r>
        <w:rPr>
          <w:w w:val="95"/>
        </w:rPr>
        <w:t>centres</w:t>
      </w:r>
      <w:r>
        <w:rPr>
          <w:spacing w:val="-2"/>
          <w:w w:val="95"/>
        </w:rPr>
        <w:t xml:space="preserve"> </w:t>
      </w:r>
      <w:r>
        <w:rPr>
          <w:w w:val="95"/>
        </w:rPr>
        <w:t>that</w:t>
      </w:r>
      <w:r>
        <w:rPr>
          <w:spacing w:val="-2"/>
          <w:w w:val="95"/>
        </w:rPr>
        <w:t xml:space="preserve"> </w:t>
      </w:r>
      <w:r>
        <w:rPr>
          <w:w w:val="95"/>
        </w:rPr>
        <w:t>are</w:t>
      </w:r>
      <w:r>
        <w:rPr>
          <w:spacing w:val="-2"/>
          <w:w w:val="95"/>
        </w:rPr>
        <w:t xml:space="preserve"> </w:t>
      </w:r>
      <w:r>
        <w:rPr>
          <w:w w:val="95"/>
        </w:rPr>
        <w:t>clustered</w:t>
      </w:r>
      <w:r>
        <w:rPr>
          <w:spacing w:val="-2"/>
          <w:w w:val="95"/>
        </w:rPr>
        <w:t xml:space="preserve"> </w:t>
      </w:r>
      <w:r>
        <w:rPr>
          <w:w w:val="95"/>
        </w:rPr>
        <w:t xml:space="preserve">closely </w:t>
      </w:r>
      <w:r>
        <w:t>together, with the CBD paramount.</w:t>
      </w:r>
    </w:p>
    <w:p w:rsidR="002C1123" w:rsidRDefault="00F22F94">
      <w:pPr>
        <w:pStyle w:val="BodyText"/>
        <w:spacing w:before="145" w:line="249" w:lineRule="auto"/>
        <w:ind w:left="492" w:right="205"/>
      </w:pPr>
      <w:r>
        <w:t>Sectors</w:t>
      </w:r>
      <w:r>
        <w:rPr>
          <w:spacing w:val="-4"/>
        </w:rPr>
        <w:t xml:space="preserve"> </w:t>
      </w:r>
      <w:r>
        <w:t>such</w:t>
      </w:r>
      <w:r>
        <w:rPr>
          <w:spacing w:val="-4"/>
        </w:rPr>
        <w:t xml:space="preserve"> </w:t>
      </w:r>
      <w:r>
        <w:t>as</w:t>
      </w:r>
      <w:r>
        <w:rPr>
          <w:spacing w:val="-4"/>
        </w:rPr>
        <w:t xml:space="preserve"> </w:t>
      </w:r>
      <w:r>
        <w:t>manufacturing,</w:t>
      </w:r>
      <w:r>
        <w:rPr>
          <w:spacing w:val="-4"/>
        </w:rPr>
        <w:t xml:space="preserve"> </w:t>
      </w:r>
      <w:r>
        <w:t>logistics</w:t>
      </w:r>
      <w:r>
        <w:rPr>
          <w:spacing w:val="-4"/>
        </w:rPr>
        <w:t xml:space="preserve"> </w:t>
      </w:r>
      <w:r>
        <w:t xml:space="preserve">and </w:t>
      </w:r>
      <w:r>
        <w:rPr>
          <w:w w:val="95"/>
        </w:rPr>
        <w:t>construction do not benefit from</w:t>
      </w:r>
      <w:r>
        <w:rPr>
          <w:spacing w:val="-1"/>
          <w:w w:val="95"/>
        </w:rPr>
        <w:t xml:space="preserve"> </w:t>
      </w:r>
      <w:r>
        <w:rPr>
          <w:w w:val="95"/>
        </w:rPr>
        <w:t xml:space="preserve">close proximity (the </w:t>
      </w:r>
      <w:r>
        <w:rPr>
          <w:spacing w:val="-2"/>
        </w:rPr>
        <w:t>‘economies</w:t>
      </w:r>
      <w:r>
        <w:rPr>
          <w:spacing w:val="-9"/>
        </w:rPr>
        <w:t xml:space="preserve"> </w:t>
      </w:r>
      <w:r>
        <w:rPr>
          <w:spacing w:val="-2"/>
        </w:rPr>
        <w:t>of</w:t>
      </w:r>
      <w:r>
        <w:rPr>
          <w:spacing w:val="-9"/>
        </w:rPr>
        <w:t xml:space="preserve"> </w:t>
      </w:r>
      <w:r>
        <w:rPr>
          <w:spacing w:val="-2"/>
        </w:rPr>
        <w:t>agglomeration’</w:t>
      </w:r>
      <w:r>
        <w:rPr>
          <w:spacing w:val="-9"/>
        </w:rPr>
        <w:t xml:space="preserve"> </w:t>
      </w:r>
      <w:r>
        <w:rPr>
          <w:spacing w:val="-2"/>
        </w:rPr>
        <w:t>noted</w:t>
      </w:r>
      <w:r>
        <w:rPr>
          <w:spacing w:val="-9"/>
        </w:rPr>
        <w:t xml:space="preserve"> </w:t>
      </w:r>
      <w:r>
        <w:rPr>
          <w:spacing w:val="-2"/>
        </w:rPr>
        <w:t>in</w:t>
      </w:r>
      <w:r>
        <w:rPr>
          <w:spacing w:val="-9"/>
        </w:rPr>
        <w:t xml:space="preserve"> </w:t>
      </w:r>
      <w:r>
        <w:rPr>
          <w:spacing w:val="-2"/>
        </w:rPr>
        <w:t>section</w:t>
      </w:r>
      <w:r>
        <w:rPr>
          <w:spacing w:val="-9"/>
        </w:rPr>
        <w:t xml:space="preserve"> </w:t>
      </w:r>
      <w:r>
        <w:rPr>
          <w:spacing w:val="-2"/>
        </w:rPr>
        <w:t>3)</w:t>
      </w:r>
      <w:r>
        <w:rPr>
          <w:spacing w:val="-9"/>
        </w:rPr>
        <w:t xml:space="preserve"> </w:t>
      </w:r>
      <w:r>
        <w:rPr>
          <w:spacing w:val="-2"/>
        </w:rPr>
        <w:t xml:space="preserve">in </w:t>
      </w:r>
      <w:r>
        <w:rPr>
          <w:w w:val="95"/>
        </w:rPr>
        <w:t>the way that many service sectors do. Preference is</w:t>
      </w:r>
    </w:p>
    <w:p w:rsidR="002C1123" w:rsidRDefault="00F22F94">
      <w:pPr>
        <w:pStyle w:val="BodyText"/>
        <w:spacing w:before="4" w:line="249" w:lineRule="auto"/>
        <w:ind w:left="492"/>
      </w:pPr>
      <w:r>
        <w:rPr>
          <w:w w:val="95"/>
        </w:rPr>
        <w:t>given</w:t>
      </w:r>
      <w:r>
        <w:rPr>
          <w:spacing w:val="-9"/>
          <w:w w:val="95"/>
        </w:rPr>
        <w:t xml:space="preserve"> </w:t>
      </w:r>
      <w:r>
        <w:rPr>
          <w:w w:val="95"/>
        </w:rPr>
        <w:t>instead</w:t>
      </w:r>
      <w:r>
        <w:rPr>
          <w:spacing w:val="-9"/>
          <w:w w:val="95"/>
        </w:rPr>
        <w:t xml:space="preserve"> </w:t>
      </w:r>
      <w:r>
        <w:rPr>
          <w:w w:val="95"/>
        </w:rPr>
        <w:t>to</w:t>
      </w:r>
      <w:r>
        <w:rPr>
          <w:spacing w:val="-9"/>
          <w:w w:val="95"/>
        </w:rPr>
        <w:t xml:space="preserve"> </w:t>
      </w:r>
      <w:r>
        <w:rPr>
          <w:w w:val="95"/>
        </w:rPr>
        <w:t>less</w:t>
      </w:r>
      <w:r>
        <w:rPr>
          <w:spacing w:val="-9"/>
          <w:w w:val="95"/>
        </w:rPr>
        <w:t xml:space="preserve"> </w:t>
      </w:r>
      <w:r>
        <w:rPr>
          <w:w w:val="95"/>
        </w:rPr>
        <w:t>dense</w:t>
      </w:r>
      <w:r>
        <w:rPr>
          <w:spacing w:val="-9"/>
          <w:w w:val="95"/>
        </w:rPr>
        <w:t xml:space="preserve"> </w:t>
      </w:r>
      <w:r>
        <w:rPr>
          <w:w w:val="95"/>
        </w:rPr>
        <w:t>areas</w:t>
      </w:r>
      <w:r>
        <w:rPr>
          <w:spacing w:val="-9"/>
          <w:w w:val="95"/>
        </w:rPr>
        <w:t xml:space="preserve"> </w:t>
      </w:r>
      <w:r>
        <w:rPr>
          <w:w w:val="95"/>
        </w:rPr>
        <w:t>which</w:t>
      </w:r>
      <w:r>
        <w:rPr>
          <w:spacing w:val="-9"/>
          <w:w w:val="95"/>
        </w:rPr>
        <w:t xml:space="preserve"> </w:t>
      </w:r>
      <w:r>
        <w:rPr>
          <w:w w:val="95"/>
        </w:rPr>
        <w:t>generally</w:t>
      </w:r>
      <w:r>
        <w:rPr>
          <w:spacing w:val="-9"/>
          <w:w w:val="95"/>
        </w:rPr>
        <w:t xml:space="preserve"> </w:t>
      </w:r>
      <w:r>
        <w:rPr>
          <w:w w:val="95"/>
        </w:rPr>
        <w:t xml:space="preserve">bring </w:t>
      </w:r>
      <w:r>
        <w:t>lower</w:t>
      </w:r>
      <w:r>
        <w:rPr>
          <w:spacing w:val="-1"/>
        </w:rPr>
        <w:t xml:space="preserve"> </w:t>
      </w:r>
      <w:r>
        <w:t>land,</w:t>
      </w:r>
      <w:r>
        <w:rPr>
          <w:spacing w:val="-1"/>
        </w:rPr>
        <w:t xml:space="preserve"> </w:t>
      </w:r>
      <w:r>
        <w:t>labour</w:t>
      </w:r>
      <w:r>
        <w:rPr>
          <w:spacing w:val="-1"/>
        </w:rPr>
        <w:t xml:space="preserve"> </w:t>
      </w:r>
      <w:r>
        <w:t>and</w:t>
      </w:r>
      <w:r>
        <w:rPr>
          <w:spacing w:val="-1"/>
        </w:rPr>
        <w:t xml:space="preserve"> </w:t>
      </w:r>
      <w:r>
        <w:t>transportation</w:t>
      </w:r>
      <w:r>
        <w:rPr>
          <w:spacing w:val="-1"/>
        </w:rPr>
        <w:t xml:space="preserve"> </w:t>
      </w:r>
      <w:r>
        <w:t>costs.</w:t>
      </w:r>
    </w:p>
    <w:p w:rsidR="002C1123" w:rsidRDefault="00F22F94">
      <w:pPr>
        <w:pStyle w:val="BodyText"/>
        <w:spacing w:before="143" w:line="249" w:lineRule="auto"/>
        <w:ind w:left="492"/>
      </w:pPr>
      <w:r>
        <w:t>While</w:t>
      </w:r>
      <w:r>
        <w:rPr>
          <w:spacing w:val="-14"/>
        </w:rPr>
        <w:t xml:space="preserve"> </w:t>
      </w:r>
      <w:r>
        <w:t>Greater</w:t>
      </w:r>
      <w:r>
        <w:rPr>
          <w:spacing w:val="-14"/>
        </w:rPr>
        <w:t xml:space="preserve"> </w:t>
      </w:r>
      <w:r>
        <w:t>Sydney</w:t>
      </w:r>
      <w:r>
        <w:rPr>
          <w:spacing w:val="-14"/>
        </w:rPr>
        <w:t xml:space="preserve"> </w:t>
      </w:r>
      <w:r>
        <w:t>contains</w:t>
      </w:r>
      <w:r>
        <w:rPr>
          <w:spacing w:val="-14"/>
        </w:rPr>
        <w:t xml:space="preserve"> </w:t>
      </w:r>
      <w:r>
        <w:t>important</w:t>
      </w:r>
      <w:r>
        <w:rPr>
          <w:spacing w:val="-14"/>
        </w:rPr>
        <w:t xml:space="preserve"> </w:t>
      </w:r>
      <w:r>
        <w:t xml:space="preserve">regional </w:t>
      </w:r>
      <w:r>
        <w:rPr>
          <w:w w:val="95"/>
        </w:rPr>
        <w:t>centres</w:t>
      </w:r>
      <w:r>
        <w:rPr>
          <w:spacing w:val="-5"/>
          <w:w w:val="95"/>
        </w:rPr>
        <w:t xml:space="preserve"> </w:t>
      </w:r>
      <w:r>
        <w:rPr>
          <w:w w:val="95"/>
        </w:rPr>
        <w:t>such</w:t>
      </w:r>
      <w:r>
        <w:rPr>
          <w:spacing w:val="-5"/>
          <w:w w:val="95"/>
        </w:rPr>
        <w:t xml:space="preserve"> </w:t>
      </w:r>
      <w:r>
        <w:rPr>
          <w:w w:val="95"/>
        </w:rPr>
        <w:t>as</w:t>
      </w:r>
      <w:r>
        <w:rPr>
          <w:spacing w:val="-5"/>
          <w:w w:val="95"/>
        </w:rPr>
        <w:t xml:space="preserve"> </w:t>
      </w:r>
      <w:r>
        <w:rPr>
          <w:w w:val="95"/>
        </w:rPr>
        <w:t>Parramatta,</w:t>
      </w:r>
      <w:r>
        <w:rPr>
          <w:spacing w:val="-5"/>
          <w:w w:val="95"/>
        </w:rPr>
        <w:t xml:space="preserve"> </w:t>
      </w:r>
      <w:r>
        <w:rPr>
          <w:w w:val="95"/>
        </w:rPr>
        <w:t>Liverpool</w:t>
      </w:r>
      <w:r>
        <w:rPr>
          <w:spacing w:val="-5"/>
          <w:w w:val="95"/>
        </w:rPr>
        <w:t xml:space="preserve"> </w:t>
      </w:r>
      <w:r>
        <w:rPr>
          <w:w w:val="95"/>
        </w:rPr>
        <w:t>and</w:t>
      </w:r>
      <w:r>
        <w:rPr>
          <w:spacing w:val="-5"/>
          <w:w w:val="95"/>
        </w:rPr>
        <w:t xml:space="preserve"> </w:t>
      </w:r>
      <w:r>
        <w:rPr>
          <w:w w:val="95"/>
        </w:rPr>
        <w:t>Penrith,</w:t>
      </w:r>
      <w:r>
        <w:rPr>
          <w:spacing w:val="-5"/>
          <w:w w:val="95"/>
        </w:rPr>
        <w:t xml:space="preserve"> </w:t>
      </w:r>
      <w:r>
        <w:rPr>
          <w:w w:val="95"/>
        </w:rPr>
        <w:t xml:space="preserve">these account for a much smaller proportion of employment in </w:t>
      </w:r>
      <w:r>
        <w:rPr>
          <w:spacing w:val="-2"/>
        </w:rPr>
        <w:t>the</w:t>
      </w:r>
      <w:r>
        <w:rPr>
          <w:spacing w:val="-6"/>
        </w:rPr>
        <w:t xml:space="preserve"> </w:t>
      </w:r>
      <w:r>
        <w:rPr>
          <w:spacing w:val="-2"/>
        </w:rPr>
        <w:t>region,</w:t>
      </w:r>
      <w:r>
        <w:rPr>
          <w:spacing w:val="-6"/>
        </w:rPr>
        <w:t xml:space="preserve"> </w:t>
      </w:r>
      <w:r>
        <w:rPr>
          <w:spacing w:val="-2"/>
        </w:rPr>
        <w:t>and</w:t>
      </w:r>
      <w:r>
        <w:rPr>
          <w:spacing w:val="-6"/>
        </w:rPr>
        <w:t xml:space="preserve"> </w:t>
      </w:r>
      <w:r>
        <w:rPr>
          <w:spacing w:val="-2"/>
        </w:rPr>
        <w:t>these</w:t>
      </w:r>
      <w:r>
        <w:rPr>
          <w:spacing w:val="-6"/>
        </w:rPr>
        <w:t xml:space="preserve"> </w:t>
      </w:r>
      <w:r>
        <w:rPr>
          <w:spacing w:val="-2"/>
        </w:rPr>
        <w:t>centres</w:t>
      </w:r>
      <w:r>
        <w:rPr>
          <w:spacing w:val="-6"/>
        </w:rPr>
        <w:t xml:space="preserve"> </w:t>
      </w:r>
      <w:r>
        <w:rPr>
          <w:spacing w:val="-2"/>
        </w:rPr>
        <w:t>are</w:t>
      </w:r>
      <w:r>
        <w:rPr>
          <w:spacing w:val="-6"/>
        </w:rPr>
        <w:t xml:space="preserve"> </w:t>
      </w:r>
      <w:r>
        <w:rPr>
          <w:spacing w:val="-2"/>
        </w:rPr>
        <w:t>also</w:t>
      </w:r>
      <w:r>
        <w:rPr>
          <w:spacing w:val="-6"/>
        </w:rPr>
        <w:t xml:space="preserve"> </w:t>
      </w:r>
      <w:r>
        <w:rPr>
          <w:spacing w:val="-2"/>
        </w:rPr>
        <w:t>relatively</w:t>
      </w:r>
      <w:r>
        <w:rPr>
          <w:spacing w:val="-6"/>
        </w:rPr>
        <w:t xml:space="preserve"> </w:t>
      </w:r>
      <w:r>
        <w:rPr>
          <w:spacing w:val="-2"/>
        </w:rPr>
        <w:t>distant from</w:t>
      </w:r>
      <w:r>
        <w:rPr>
          <w:spacing w:val="-12"/>
        </w:rPr>
        <w:t xml:space="preserve"> </w:t>
      </w:r>
      <w:r>
        <w:rPr>
          <w:spacing w:val="-2"/>
        </w:rPr>
        <w:t>each</w:t>
      </w:r>
      <w:r>
        <w:rPr>
          <w:spacing w:val="-11"/>
        </w:rPr>
        <w:t xml:space="preserve"> </w:t>
      </w:r>
      <w:r>
        <w:rPr>
          <w:spacing w:val="-2"/>
        </w:rPr>
        <w:t>other.</w:t>
      </w:r>
      <w:r>
        <w:rPr>
          <w:spacing w:val="-11"/>
        </w:rPr>
        <w:t xml:space="preserve"> </w:t>
      </w:r>
      <w:r>
        <w:rPr>
          <w:spacing w:val="-2"/>
        </w:rPr>
        <w:t>Most</w:t>
      </w:r>
      <w:r>
        <w:rPr>
          <w:spacing w:val="-11"/>
        </w:rPr>
        <w:t xml:space="preserve"> </w:t>
      </w:r>
      <w:r>
        <w:rPr>
          <w:spacing w:val="-2"/>
        </w:rPr>
        <w:t>employment</w:t>
      </w:r>
      <w:r>
        <w:rPr>
          <w:spacing w:val="-11"/>
        </w:rPr>
        <w:t xml:space="preserve"> </w:t>
      </w:r>
      <w:r>
        <w:rPr>
          <w:spacing w:val="-2"/>
        </w:rPr>
        <w:t>is</w:t>
      </w:r>
      <w:r>
        <w:rPr>
          <w:spacing w:val="-11"/>
        </w:rPr>
        <w:t xml:space="preserve"> </w:t>
      </w:r>
      <w:r>
        <w:rPr>
          <w:spacing w:val="-2"/>
        </w:rPr>
        <w:t>spread</w:t>
      </w:r>
      <w:r>
        <w:rPr>
          <w:spacing w:val="-11"/>
        </w:rPr>
        <w:t xml:space="preserve"> </w:t>
      </w:r>
      <w:r>
        <w:rPr>
          <w:spacing w:val="-2"/>
        </w:rPr>
        <w:t>across</w:t>
      </w:r>
      <w:r>
        <w:rPr>
          <w:spacing w:val="-11"/>
        </w:rPr>
        <w:t xml:space="preserve"> </w:t>
      </w:r>
      <w:r>
        <w:rPr>
          <w:spacing w:val="-2"/>
        </w:rPr>
        <w:t xml:space="preserve">the </w:t>
      </w:r>
      <w:r>
        <w:t>region.</w:t>
      </w:r>
      <w:r>
        <w:rPr>
          <w:spacing w:val="-9"/>
        </w:rPr>
        <w:t xml:space="preserve"> </w:t>
      </w:r>
      <w:r>
        <w:t>This</w:t>
      </w:r>
      <w:r>
        <w:rPr>
          <w:spacing w:val="-9"/>
        </w:rPr>
        <w:t xml:space="preserve"> </w:t>
      </w:r>
      <w:r>
        <w:t>is</w:t>
      </w:r>
      <w:r>
        <w:rPr>
          <w:spacing w:val="-9"/>
        </w:rPr>
        <w:t xml:space="preserve"> </w:t>
      </w:r>
      <w:r>
        <w:t>shown</w:t>
      </w:r>
      <w:r>
        <w:rPr>
          <w:spacing w:val="-9"/>
        </w:rPr>
        <w:t xml:space="preserve"> </w:t>
      </w:r>
      <w:r>
        <w:t>in</w:t>
      </w:r>
      <w:r>
        <w:rPr>
          <w:spacing w:val="-9"/>
        </w:rPr>
        <w:t xml:space="preserve"> </w:t>
      </w:r>
      <w:r>
        <w:t>Figure</w:t>
      </w:r>
      <w:r>
        <w:rPr>
          <w:spacing w:val="-9"/>
        </w:rPr>
        <w:t xml:space="preserve"> </w:t>
      </w:r>
      <w:r>
        <w:t>4.3.</w:t>
      </w:r>
    </w:p>
    <w:p w:rsidR="002C1123" w:rsidRDefault="00F22F94">
      <w:pPr>
        <w:pStyle w:val="BodyText"/>
        <w:spacing w:before="106" w:line="249" w:lineRule="auto"/>
        <w:ind w:left="186" w:right="5840"/>
      </w:pPr>
      <w:r>
        <w:br w:type="column"/>
      </w:r>
      <w:r>
        <w:t>The</w:t>
      </w:r>
      <w:r>
        <w:rPr>
          <w:spacing w:val="-10"/>
        </w:rPr>
        <w:t xml:space="preserve"> </w:t>
      </w:r>
      <w:r>
        <w:t>residential</w:t>
      </w:r>
      <w:r>
        <w:rPr>
          <w:spacing w:val="-10"/>
        </w:rPr>
        <w:t xml:space="preserve"> </w:t>
      </w:r>
      <w:r>
        <w:t>and</w:t>
      </w:r>
      <w:r>
        <w:rPr>
          <w:spacing w:val="-10"/>
        </w:rPr>
        <w:t xml:space="preserve"> </w:t>
      </w:r>
      <w:r>
        <w:t>employment</w:t>
      </w:r>
      <w:r>
        <w:rPr>
          <w:spacing w:val="-10"/>
        </w:rPr>
        <w:t xml:space="preserve"> </w:t>
      </w:r>
      <w:r>
        <w:t>patterns</w:t>
      </w:r>
      <w:r>
        <w:rPr>
          <w:spacing w:val="-10"/>
        </w:rPr>
        <w:t xml:space="preserve"> </w:t>
      </w:r>
      <w:r>
        <w:t>of</w:t>
      </w:r>
      <w:r>
        <w:rPr>
          <w:spacing w:val="-10"/>
        </w:rPr>
        <w:t xml:space="preserve"> </w:t>
      </w:r>
      <w:r>
        <w:t xml:space="preserve">the </w:t>
      </w:r>
      <w:r>
        <w:rPr>
          <w:w w:val="95"/>
        </w:rPr>
        <w:t>metropolitan</w:t>
      </w:r>
      <w:r>
        <w:rPr>
          <w:spacing w:val="-7"/>
          <w:w w:val="95"/>
        </w:rPr>
        <w:t xml:space="preserve"> </w:t>
      </w:r>
      <w:r>
        <w:rPr>
          <w:w w:val="95"/>
        </w:rPr>
        <w:t>area</w:t>
      </w:r>
      <w:r>
        <w:rPr>
          <w:spacing w:val="-7"/>
          <w:w w:val="95"/>
        </w:rPr>
        <w:t xml:space="preserve"> </w:t>
      </w:r>
      <w:r>
        <w:rPr>
          <w:w w:val="95"/>
        </w:rPr>
        <w:t>have</w:t>
      </w:r>
      <w:r>
        <w:rPr>
          <w:spacing w:val="-7"/>
          <w:w w:val="95"/>
        </w:rPr>
        <w:t xml:space="preserve"> </w:t>
      </w:r>
      <w:r>
        <w:rPr>
          <w:w w:val="95"/>
        </w:rPr>
        <w:t>implications</w:t>
      </w:r>
      <w:r>
        <w:rPr>
          <w:spacing w:val="-7"/>
          <w:w w:val="95"/>
        </w:rPr>
        <w:t xml:space="preserve"> </w:t>
      </w:r>
      <w:r>
        <w:rPr>
          <w:w w:val="95"/>
        </w:rPr>
        <w:t>for</w:t>
      </w:r>
      <w:r>
        <w:rPr>
          <w:spacing w:val="-7"/>
          <w:w w:val="95"/>
        </w:rPr>
        <w:t xml:space="preserve"> </w:t>
      </w:r>
      <w:r>
        <w:rPr>
          <w:w w:val="95"/>
        </w:rPr>
        <w:t xml:space="preserve">infrastructure </w:t>
      </w:r>
      <w:r>
        <w:t>investment</w:t>
      </w:r>
      <w:r>
        <w:rPr>
          <w:spacing w:val="-14"/>
        </w:rPr>
        <w:t xml:space="preserve"> </w:t>
      </w:r>
      <w:r>
        <w:t>in</w:t>
      </w:r>
      <w:r>
        <w:rPr>
          <w:spacing w:val="-14"/>
        </w:rPr>
        <w:t xml:space="preserve"> </w:t>
      </w:r>
      <w:r>
        <w:t>Greater</w:t>
      </w:r>
      <w:r>
        <w:rPr>
          <w:spacing w:val="-14"/>
        </w:rPr>
        <w:t xml:space="preserve"> </w:t>
      </w:r>
      <w:r>
        <w:t>Sydney,</w:t>
      </w:r>
      <w:r>
        <w:rPr>
          <w:spacing w:val="-14"/>
        </w:rPr>
        <w:t xml:space="preserve"> </w:t>
      </w:r>
      <w:r>
        <w:t>particularly</w:t>
      </w:r>
      <w:r>
        <w:rPr>
          <w:spacing w:val="-14"/>
        </w:rPr>
        <w:t xml:space="preserve"> </w:t>
      </w:r>
      <w:r>
        <w:t>for transport</w:t>
      </w:r>
      <w:r>
        <w:rPr>
          <w:spacing w:val="-6"/>
        </w:rPr>
        <w:t xml:space="preserve"> </w:t>
      </w:r>
      <w:r>
        <w:t>infrastructure.</w:t>
      </w:r>
      <w:r>
        <w:rPr>
          <w:spacing w:val="-6"/>
        </w:rPr>
        <w:t xml:space="preserve"> </w:t>
      </w:r>
      <w:r>
        <w:t>The</w:t>
      </w:r>
      <w:r>
        <w:rPr>
          <w:spacing w:val="-6"/>
        </w:rPr>
        <w:t xml:space="preserve"> </w:t>
      </w:r>
      <w:r>
        <w:t>concentration</w:t>
      </w:r>
      <w:r>
        <w:rPr>
          <w:spacing w:val="-6"/>
        </w:rPr>
        <w:t xml:space="preserve"> </w:t>
      </w:r>
      <w:r>
        <w:t>of</w:t>
      </w:r>
      <w:r>
        <w:rPr>
          <w:spacing w:val="-6"/>
        </w:rPr>
        <w:t xml:space="preserve"> </w:t>
      </w:r>
      <w:r>
        <w:t>jobs</w:t>
      </w:r>
    </w:p>
    <w:p w:rsidR="002C1123" w:rsidRDefault="00F22F94">
      <w:pPr>
        <w:pStyle w:val="BodyText"/>
        <w:spacing w:before="3" w:line="249" w:lineRule="auto"/>
        <w:ind w:left="186" w:right="5761"/>
      </w:pPr>
      <w:r>
        <w:t>in</w:t>
      </w:r>
      <w:r>
        <w:rPr>
          <w:spacing w:val="-14"/>
        </w:rPr>
        <w:t xml:space="preserve"> </w:t>
      </w:r>
      <w:r>
        <w:t>Global</w:t>
      </w:r>
      <w:r>
        <w:rPr>
          <w:spacing w:val="-14"/>
        </w:rPr>
        <w:t xml:space="preserve"> </w:t>
      </w:r>
      <w:r>
        <w:t>Sydney</w:t>
      </w:r>
      <w:r>
        <w:rPr>
          <w:spacing w:val="-14"/>
        </w:rPr>
        <w:t xml:space="preserve"> </w:t>
      </w:r>
      <w:r>
        <w:t>means</w:t>
      </w:r>
      <w:r>
        <w:rPr>
          <w:spacing w:val="-14"/>
        </w:rPr>
        <w:t xml:space="preserve"> </w:t>
      </w:r>
      <w:r>
        <w:t>many</w:t>
      </w:r>
      <w:r>
        <w:rPr>
          <w:spacing w:val="-14"/>
        </w:rPr>
        <w:t xml:space="preserve"> </w:t>
      </w:r>
      <w:r>
        <w:t>Greater</w:t>
      </w:r>
      <w:r>
        <w:rPr>
          <w:spacing w:val="-14"/>
        </w:rPr>
        <w:t xml:space="preserve"> </w:t>
      </w:r>
      <w:r>
        <w:t xml:space="preserve">Sydney </w:t>
      </w:r>
      <w:r>
        <w:rPr>
          <w:w w:val="95"/>
        </w:rPr>
        <w:t>residents</w:t>
      </w:r>
      <w:r>
        <w:rPr>
          <w:spacing w:val="-5"/>
          <w:w w:val="95"/>
        </w:rPr>
        <w:t xml:space="preserve"> </w:t>
      </w:r>
      <w:r>
        <w:rPr>
          <w:w w:val="95"/>
        </w:rPr>
        <w:t>commute</w:t>
      </w:r>
      <w:r>
        <w:rPr>
          <w:spacing w:val="-5"/>
          <w:w w:val="95"/>
        </w:rPr>
        <w:t xml:space="preserve"> </w:t>
      </w:r>
      <w:r>
        <w:rPr>
          <w:w w:val="95"/>
        </w:rPr>
        <w:t>into</w:t>
      </w:r>
      <w:r>
        <w:rPr>
          <w:spacing w:val="-5"/>
          <w:w w:val="95"/>
        </w:rPr>
        <w:t xml:space="preserve"> </w:t>
      </w:r>
      <w:r>
        <w:rPr>
          <w:w w:val="95"/>
        </w:rPr>
        <w:t>the</w:t>
      </w:r>
      <w:r>
        <w:rPr>
          <w:spacing w:val="-5"/>
          <w:w w:val="95"/>
        </w:rPr>
        <w:t xml:space="preserve"> </w:t>
      </w:r>
      <w:r>
        <w:rPr>
          <w:w w:val="95"/>
        </w:rPr>
        <w:t>region</w:t>
      </w:r>
      <w:r>
        <w:rPr>
          <w:spacing w:val="-5"/>
          <w:w w:val="95"/>
        </w:rPr>
        <w:t xml:space="preserve"> </w:t>
      </w:r>
      <w:r>
        <w:rPr>
          <w:w w:val="95"/>
        </w:rPr>
        <w:t>each</w:t>
      </w:r>
      <w:r>
        <w:rPr>
          <w:spacing w:val="-5"/>
          <w:w w:val="95"/>
        </w:rPr>
        <w:t xml:space="preserve"> </w:t>
      </w:r>
      <w:r>
        <w:rPr>
          <w:w w:val="95"/>
        </w:rPr>
        <w:t>day,</w:t>
      </w:r>
      <w:r>
        <w:rPr>
          <w:spacing w:val="-5"/>
          <w:w w:val="95"/>
        </w:rPr>
        <w:t xml:space="preserve"> </w:t>
      </w:r>
      <w:r>
        <w:rPr>
          <w:w w:val="95"/>
        </w:rPr>
        <w:t>often</w:t>
      </w:r>
      <w:r>
        <w:rPr>
          <w:spacing w:val="-5"/>
          <w:w w:val="95"/>
        </w:rPr>
        <w:t xml:space="preserve"> </w:t>
      </w:r>
      <w:r>
        <w:rPr>
          <w:w w:val="95"/>
        </w:rPr>
        <w:t xml:space="preserve">by </w:t>
      </w:r>
      <w:r>
        <w:t>public</w:t>
      </w:r>
      <w:r>
        <w:rPr>
          <w:spacing w:val="-11"/>
        </w:rPr>
        <w:t xml:space="preserve"> </w:t>
      </w:r>
      <w:r>
        <w:t>transport.</w:t>
      </w:r>
    </w:p>
    <w:p w:rsidR="002C1123" w:rsidRDefault="00F22F94">
      <w:pPr>
        <w:pStyle w:val="BodyText"/>
        <w:spacing w:before="145" w:line="249" w:lineRule="auto"/>
        <w:ind w:left="186" w:right="5761"/>
      </w:pPr>
      <w:r>
        <w:t>The</w:t>
      </w:r>
      <w:r>
        <w:rPr>
          <w:spacing w:val="-14"/>
        </w:rPr>
        <w:t xml:space="preserve"> </w:t>
      </w:r>
      <w:r>
        <w:t>majority</w:t>
      </w:r>
      <w:r>
        <w:rPr>
          <w:spacing w:val="-14"/>
        </w:rPr>
        <w:t xml:space="preserve"> </w:t>
      </w:r>
      <w:r>
        <w:t>of</w:t>
      </w:r>
      <w:r>
        <w:rPr>
          <w:spacing w:val="-14"/>
        </w:rPr>
        <w:t xml:space="preserve"> </w:t>
      </w:r>
      <w:r>
        <w:t>Greater</w:t>
      </w:r>
      <w:r>
        <w:rPr>
          <w:spacing w:val="-14"/>
        </w:rPr>
        <w:t xml:space="preserve"> </w:t>
      </w:r>
      <w:r>
        <w:t>Sydney</w:t>
      </w:r>
      <w:r>
        <w:rPr>
          <w:spacing w:val="-14"/>
        </w:rPr>
        <w:t xml:space="preserve"> </w:t>
      </w:r>
      <w:r>
        <w:t>residents</w:t>
      </w:r>
      <w:r>
        <w:rPr>
          <w:spacing w:val="-14"/>
        </w:rPr>
        <w:t xml:space="preserve"> </w:t>
      </w:r>
      <w:r>
        <w:t>work</w:t>
      </w:r>
      <w:r>
        <w:rPr>
          <w:spacing w:val="-14"/>
        </w:rPr>
        <w:t xml:space="preserve"> </w:t>
      </w:r>
      <w:r>
        <w:t xml:space="preserve">within </w:t>
      </w:r>
      <w:r>
        <w:rPr>
          <w:w w:val="95"/>
        </w:rPr>
        <w:t>the</w:t>
      </w:r>
      <w:r>
        <w:rPr>
          <w:spacing w:val="-6"/>
          <w:w w:val="95"/>
        </w:rPr>
        <w:t xml:space="preserve"> </w:t>
      </w:r>
      <w:r>
        <w:rPr>
          <w:w w:val="95"/>
        </w:rPr>
        <w:t>region</w:t>
      </w:r>
      <w:r>
        <w:rPr>
          <w:spacing w:val="-6"/>
          <w:w w:val="95"/>
        </w:rPr>
        <w:t xml:space="preserve"> </w:t>
      </w:r>
      <w:r>
        <w:rPr>
          <w:w w:val="95"/>
        </w:rPr>
        <w:t>however</w:t>
      </w:r>
      <w:r>
        <w:rPr>
          <w:spacing w:val="-6"/>
          <w:w w:val="95"/>
        </w:rPr>
        <w:t xml:space="preserve"> </w:t>
      </w:r>
      <w:r>
        <w:rPr>
          <w:w w:val="95"/>
        </w:rPr>
        <w:t>and</w:t>
      </w:r>
      <w:r>
        <w:rPr>
          <w:spacing w:val="-6"/>
          <w:w w:val="95"/>
        </w:rPr>
        <w:t xml:space="preserve"> </w:t>
      </w:r>
      <w:r>
        <w:rPr>
          <w:w w:val="95"/>
        </w:rPr>
        <w:t>rely</w:t>
      </w:r>
      <w:r>
        <w:rPr>
          <w:spacing w:val="-6"/>
          <w:w w:val="95"/>
        </w:rPr>
        <w:t xml:space="preserve"> </w:t>
      </w:r>
      <w:r>
        <w:rPr>
          <w:w w:val="95"/>
        </w:rPr>
        <w:t>on</w:t>
      </w:r>
      <w:r>
        <w:rPr>
          <w:spacing w:val="-6"/>
          <w:w w:val="95"/>
        </w:rPr>
        <w:t xml:space="preserve"> </w:t>
      </w:r>
      <w:r>
        <w:rPr>
          <w:w w:val="95"/>
        </w:rPr>
        <w:t>their</w:t>
      </w:r>
      <w:r>
        <w:rPr>
          <w:spacing w:val="-6"/>
          <w:w w:val="95"/>
        </w:rPr>
        <w:t xml:space="preserve"> </w:t>
      </w:r>
      <w:r>
        <w:rPr>
          <w:w w:val="95"/>
        </w:rPr>
        <w:t>cars</w:t>
      </w:r>
      <w:r>
        <w:rPr>
          <w:spacing w:val="-6"/>
          <w:w w:val="95"/>
        </w:rPr>
        <w:t xml:space="preserve"> </w:t>
      </w:r>
      <w:r>
        <w:rPr>
          <w:w w:val="95"/>
        </w:rPr>
        <w:t>to</w:t>
      </w:r>
      <w:r>
        <w:rPr>
          <w:spacing w:val="-6"/>
          <w:w w:val="95"/>
        </w:rPr>
        <w:t xml:space="preserve"> </w:t>
      </w:r>
      <w:r>
        <w:rPr>
          <w:w w:val="95"/>
        </w:rPr>
        <w:t>get</w:t>
      </w:r>
      <w:r>
        <w:rPr>
          <w:spacing w:val="-6"/>
          <w:w w:val="95"/>
        </w:rPr>
        <w:t xml:space="preserve"> </w:t>
      </w:r>
      <w:r>
        <w:rPr>
          <w:w w:val="95"/>
        </w:rPr>
        <w:t>to</w:t>
      </w:r>
      <w:r>
        <w:rPr>
          <w:spacing w:val="-6"/>
          <w:w w:val="95"/>
        </w:rPr>
        <w:t xml:space="preserve"> </w:t>
      </w:r>
      <w:r>
        <w:rPr>
          <w:w w:val="95"/>
        </w:rPr>
        <w:t xml:space="preserve">work. </w:t>
      </w:r>
      <w:r>
        <w:rPr>
          <w:spacing w:val="-2"/>
        </w:rPr>
        <w:t>Congestion</w:t>
      </w:r>
      <w:r>
        <w:rPr>
          <w:spacing w:val="-8"/>
        </w:rPr>
        <w:t xml:space="preserve"> </w:t>
      </w:r>
      <w:r>
        <w:rPr>
          <w:spacing w:val="-2"/>
        </w:rPr>
        <w:t>is</w:t>
      </w:r>
      <w:r>
        <w:rPr>
          <w:spacing w:val="-8"/>
        </w:rPr>
        <w:t xml:space="preserve"> </w:t>
      </w:r>
      <w:r>
        <w:rPr>
          <w:spacing w:val="-2"/>
        </w:rPr>
        <w:t>a</w:t>
      </w:r>
      <w:r>
        <w:rPr>
          <w:spacing w:val="-8"/>
        </w:rPr>
        <w:t xml:space="preserve"> </w:t>
      </w:r>
      <w:r>
        <w:rPr>
          <w:spacing w:val="-2"/>
        </w:rPr>
        <w:t>daily</w:t>
      </w:r>
      <w:r>
        <w:rPr>
          <w:spacing w:val="-8"/>
        </w:rPr>
        <w:t xml:space="preserve"> </w:t>
      </w:r>
      <w:r>
        <w:rPr>
          <w:spacing w:val="-2"/>
        </w:rPr>
        <w:t>issue</w:t>
      </w:r>
      <w:r>
        <w:rPr>
          <w:spacing w:val="-8"/>
        </w:rPr>
        <w:t xml:space="preserve"> </w:t>
      </w:r>
      <w:r>
        <w:rPr>
          <w:spacing w:val="-2"/>
        </w:rPr>
        <w:t>therefore</w:t>
      </w:r>
      <w:r>
        <w:rPr>
          <w:spacing w:val="-8"/>
        </w:rPr>
        <w:t xml:space="preserve"> </w:t>
      </w:r>
      <w:r>
        <w:rPr>
          <w:spacing w:val="-2"/>
        </w:rPr>
        <w:t>for</w:t>
      </w:r>
      <w:r>
        <w:rPr>
          <w:spacing w:val="-8"/>
        </w:rPr>
        <w:t xml:space="preserve"> </w:t>
      </w:r>
      <w:r>
        <w:rPr>
          <w:spacing w:val="-2"/>
        </w:rPr>
        <w:t>many</w:t>
      </w:r>
      <w:r>
        <w:rPr>
          <w:spacing w:val="-8"/>
        </w:rPr>
        <w:t xml:space="preserve"> </w:t>
      </w:r>
      <w:r>
        <w:rPr>
          <w:spacing w:val="-2"/>
        </w:rPr>
        <w:t xml:space="preserve">lives </w:t>
      </w:r>
      <w:r>
        <w:rPr>
          <w:w w:val="95"/>
        </w:rPr>
        <w:t xml:space="preserve">across Greater Sydney. These issues are discussed in </w:t>
      </w:r>
      <w:r>
        <w:t>section</w:t>
      </w:r>
      <w:r>
        <w:rPr>
          <w:spacing w:val="-11"/>
        </w:rPr>
        <w:t xml:space="preserve"> </w:t>
      </w:r>
      <w:r>
        <w:t>4.4.3.</w:t>
      </w:r>
    </w:p>
    <w:p w:rsidR="002C1123" w:rsidRDefault="00F22F94">
      <w:pPr>
        <w:pStyle w:val="BodyText"/>
        <w:spacing w:before="145" w:line="249" w:lineRule="auto"/>
        <w:ind w:left="186" w:right="5761"/>
      </w:pPr>
      <w:r>
        <w:rPr>
          <w:w w:val="95"/>
        </w:rPr>
        <w:t>The infrastructure issues facing Greater Sydney are not uniform,</w:t>
      </w:r>
      <w:r>
        <w:rPr>
          <w:spacing w:val="-4"/>
          <w:w w:val="95"/>
        </w:rPr>
        <w:t xml:space="preserve"> </w:t>
      </w:r>
      <w:r>
        <w:rPr>
          <w:w w:val="95"/>
        </w:rPr>
        <w:t>there</w:t>
      </w:r>
      <w:r>
        <w:rPr>
          <w:spacing w:val="-4"/>
          <w:w w:val="95"/>
        </w:rPr>
        <w:t xml:space="preserve"> </w:t>
      </w:r>
      <w:r>
        <w:rPr>
          <w:w w:val="95"/>
        </w:rPr>
        <w:t>are</w:t>
      </w:r>
      <w:r>
        <w:rPr>
          <w:spacing w:val="-4"/>
          <w:w w:val="95"/>
        </w:rPr>
        <w:t xml:space="preserve"> </w:t>
      </w:r>
      <w:r>
        <w:rPr>
          <w:w w:val="95"/>
        </w:rPr>
        <w:t>major</w:t>
      </w:r>
      <w:r>
        <w:rPr>
          <w:spacing w:val="-4"/>
          <w:w w:val="95"/>
        </w:rPr>
        <w:t xml:space="preserve"> </w:t>
      </w:r>
      <w:r>
        <w:rPr>
          <w:w w:val="95"/>
        </w:rPr>
        <w:t>differences</w:t>
      </w:r>
      <w:r>
        <w:rPr>
          <w:spacing w:val="-4"/>
          <w:w w:val="95"/>
        </w:rPr>
        <w:t xml:space="preserve"> </w:t>
      </w:r>
      <w:r>
        <w:rPr>
          <w:w w:val="95"/>
        </w:rPr>
        <w:t>between</w:t>
      </w:r>
      <w:r>
        <w:rPr>
          <w:spacing w:val="-4"/>
          <w:w w:val="95"/>
        </w:rPr>
        <w:t xml:space="preserve"> </w:t>
      </w:r>
      <w:r>
        <w:rPr>
          <w:w w:val="95"/>
        </w:rPr>
        <w:t>its</w:t>
      </w:r>
      <w:r>
        <w:rPr>
          <w:spacing w:val="-4"/>
          <w:w w:val="95"/>
        </w:rPr>
        <w:t xml:space="preserve"> </w:t>
      </w:r>
      <w:r>
        <w:rPr>
          <w:w w:val="95"/>
        </w:rPr>
        <w:t>different sub-regions.</w:t>
      </w:r>
      <w:r>
        <w:rPr>
          <w:spacing w:val="-3"/>
          <w:w w:val="95"/>
        </w:rPr>
        <w:t xml:space="preserve"> </w:t>
      </w:r>
      <w:r>
        <w:rPr>
          <w:w w:val="95"/>
        </w:rPr>
        <w:t>Through</w:t>
      </w:r>
      <w:r>
        <w:rPr>
          <w:spacing w:val="-3"/>
          <w:w w:val="95"/>
        </w:rPr>
        <w:t xml:space="preserve"> </w:t>
      </w:r>
      <w:r>
        <w:rPr>
          <w:w w:val="95"/>
        </w:rPr>
        <w:t>the</w:t>
      </w:r>
      <w:r>
        <w:rPr>
          <w:spacing w:val="-3"/>
          <w:w w:val="95"/>
        </w:rPr>
        <w:t xml:space="preserve"> </w:t>
      </w:r>
      <w:r>
        <w:rPr>
          <w:w w:val="95"/>
        </w:rPr>
        <w:t>capability</w:t>
      </w:r>
      <w:r>
        <w:rPr>
          <w:spacing w:val="-3"/>
          <w:w w:val="95"/>
        </w:rPr>
        <w:t xml:space="preserve"> </w:t>
      </w:r>
      <w:r>
        <w:rPr>
          <w:w w:val="95"/>
        </w:rPr>
        <w:t>assessment</w:t>
      </w:r>
      <w:r>
        <w:rPr>
          <w:spacing w:val="-3"/>
          <w:w w:val="95"/>
        </w:rPr>
        <w:t xml:space="preserve"> </w:t>
      </w:r>
      <w:r>
        <w:rPr>
          <w:w w:val="95"/>
        </w:rPr>
        <w:t xml:space="preserve">process </w:t>
      </w:r>
      <w:r>
        <w:rPr>
          <w:spacing w:val="-2"/>
        </w:rPr>
        <w:t>described</w:t>
      </w:r>
      <w:r>
        <w:rPr>
          <w:spacing w:val="-6"/>
        </w:rPr>
        <w:t xml:space="preserve"> </w:t>
      </w:r>
      <w:r>
        <w:rPr>
          <w:spacing w:val="-2"/>
        </w:rPr>
        <w:t>in</w:t>
      </w:r>
      <w:r>
        <w:rPr>
          <w:spacing w:val="-6"/>
        </w:rPr>
        <w:t xml:space="preserve"> </w:t>
      </w:r>
      <w:r>
        <w:rPr>
          <w:spacing w:val="-2"/>
        </w:rPr>
        <w:t>section</w:t>
      </w:r>
      <w:r>
        <w:rPr>
          <w:spacing w:val="-6"/>
        </w:rPr>
        <w:t xml:space="preserve"> </w:t>
      </w:r>
      <w:r>
        <w:rPr>
          <w:spacing w:val="-2"/>
        </w:rPr>
        <w:t>2,</w:t>
      </w:r>
      <w:r>
        <w:rPr>
          <w:spacing w:val="-6"/>
        </w:rPr>
        <w:t xml:space="preserve"> </w:t>
      </w:r>
      <w:r>
        <w:rPr>
          <w:spacing w:val="-2"/>
        </w:rPr>
        <w:t>Infrastructure</w:t>
      </w:r>
      <w:r>
        <w:rPr>
          <w:spacing w:val="-6"/>
        </w:rPr>
        <w:t xml:space="preserve"> </w:t>
      </w:r>
      <w:r>
        <w:rPr>
          <w:spacing w:val="-2"/>
        </w:rPr>
        <w:t>NSW</w:t>
      </w:r>
      <w:r>
        <w:rPr>
          <w:spacing w:val="-6"/>
        </w:rPr>
        <w:t xml:space="preserve"> </w:t>
      </w:r>
      <w:r>
        <w:rPr>
          <w:spacing w:val="-2"/>
        </w:rPr>
        <w:t>has</w:t>
      </w:r>
      <w:r>
        <w:rPr>
          <w:spacing w:val="-6"/>
        </w:rPr>
        <w:t xml:space="preserve"> </w:t>
      </w:r>
      <w:r>
        <w:rPr>
          <w:spacing w:val="-2"/>
        </w:rPr>
        <w:t>looked</w:t>
      </w:r>
    </w:p>
    <w:p w:rsidR="002C1123" w:rsidRDefault="00F22F94">
      <w:pPr>
        <w:pStyle w:val="BodyText"/>
        <w:spacing w:before="3" w:line="249" w:lineRule="auto"/>
        <w:ind w:left="186" w:right="5893"/>
      </w:pPr>
      <w:r>
        <w:rPr>
          <w:w w:val="95"/>
        </w:rPr>
        <w:t xml:space="preserve">at the economic and demographic composition of each </w:t>
      </w:r>
      <w:r>
        <w:rPr>
          <w:spacing w:val="-2"/>
        </w:rPr>
        <w:t xml:space="preserve">sub-region and its current infrastructure deficiencies, </w:t>
      </w:r>
      <w:r>
        <w:t>shown</w:t>
      </w:r>
      <w:r>
        <w:rPr>
          <w:spacing w:val="-4"/>
        </w:rPr>
        <w:t xml:space="preserve"> </w:t>
      </w:r>
      <w:r>
        <w:t>in</w:t>
      </w:r>
      <w:r>
        <w:rPr>
          <w:spacing w:val="-4"/>
        </w:rPr>
        <w:t xml:space="preserve"> </w:t>
      </w:r>
      <w:r>
        <w:t>Table</w:t>
      </w:r>
      <w:r>
        <w:rPr>
          <w:spacing w:val="-4"/>
        </w:rPr>
        <w:t xml:space="preserve"> </w:t>
      </w:r>
      <w:r>
        <w:t>4.1.</w:t>
      </w:r>
    </w:p>
    <w:p w:rsidR="002C1123" w:rsidRDefault="002C1123">
      <w:pPr>
        <w:spacing w:line="249" w:lineRule="auto"/>
        <w:sectPr w:rsidR="002C1123">
          <w:type w:val="continuous"/>
          <w:pgSz w:w="16840" w:h="11910" w:orient="landscape"/>
          <w:pgMar w:top="560" w:right="280" w:bottom="280" w:left="500" w:header="0" w:footer="470" w:gutter="0"/>
          <w:cols w:num="2" w:space="720" w:equalWidth="0">
            <w:col w:w="5293" w:space="40"/>
            <w:col w:w="10727"/>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7"/>
        <w:rPr>
          <w:sz w:val="29"/>
        </w:rPr>
      </w:pPr>
    </w:p>
    <w:p w:rsidR="002C1123" w:rsidRDefault="00F22F94">
      <w:pPr>
        <w:spacing w:before="107"/>
        <w:ind w:left="492"/>
        <w:rPr>
          <w:b/>
          <w:sz w:val="18"/>
        </w:rPr>
      </w:pPr>
      <w:bookmarkStart w:id="110" w:name="_bookmark78"/>
      <w:bookmarkEnd w:id="110"/>
      <w:r>
        <w:rPr>
          <w:b/>
          <w:sz w:val="18"/>
        </w:rPr>
        <w:t>Table</w:t>
      </w:r>
      <w:r>
        <w:rPr>
          <w:b/>
          <w:spacing w:val="-18"/>
          <w:sz w:val="18"/>
        </w:rPr>
        <w:t xml:space="preserve"> </w:t>
      </w:r>
      <w:r>
        <w:rPr>
          <w:b/>
          <w:sz w:val="18"/>
        </w:rPr>
        <w:t>4.1</w:t>
      </w:r>
      <w:r>
        <w:rPr>
          <w:b/>
          <w:spacing w:val="17"/>
          <w:sz w:val="18"/>
        </w:rPr>
        <w:t xml:space="preserve"> </w:t>
      </w:r>
      <w:r>
        <w:rPr>
          <w:b/>
          <w:sz w:val="18"/>
        </w:rPr>
        <w:t>Infrastructure</w:t>
      </w:r>
      <w:r>
        <w:rPr>
          <w:b/>
          <w:spacing w:val="-17"/>
          <w:sz w:val="18"/>
        </w:rPr>
        <w:t xml:space="preserve"> </w:t>
      </w:r>
      <w:r>
        <w:rPr>
          <w:b/>
          <w:sz w:val="18"/>
        </w:rPr>
        <w:t>Deficiencies</w:t>
      </w:r>
      <w:r>
        <w:rPr>
          <w:b/>
          <w:spacing w:val="-17"/>
          <w:sz w:val="18"/>
        </w:rPr>
        <w:t xml:space="preserve"> </w:t>
      </w:r>
      <w:r>
        <w:rPr>
          <w:b/>
          <w:sz w:val="18"/>
        </w:rPr>
        <w:t>by</w:t>
      </w:r>
      <w:r>
        <w:rPr>
          <w:b/>
          <w:spacing w:val="-18"/>
          <w:sz w:val="18"/>
        </w:rPr>
        <w:t xml:space="preserve"> </w:t>
      </w:r>
      <w:r>
        <w:rPr>
          <w:b/>
          <w:sz w:val="18"/>
        </w:rPr>
        <w:t>Sub-Region</w:t>
      </w:r>
      <w:r>
        <w:rPr>
          <w:b/>
          <w:spacing w:val="-17"/>
          <w:sz w:val="18"/>
        </w:rPr>
        <w:t xml:space="preserve"> </w:t>
      </w:r>
      <w:r>
        <w:rPr>
          <w:b/>
          <w:sz w:val="18"/>
        </w:rPr>
        <w:t>in</w:t>
      </w:r>
      <w:r>
        <w:rPr>
          <w:b/>
          <w:spacing w:val="-18"/>
          <w:sz w:val="18"/>
        </w:rPr>
        <w:t xml:space="preserve"> </w:t>
      </w:r>
      <w:r>
        <w:rPr>
          <w:b/>
          <w:sz w:val="18"/>
        </w:rPr>
        <w:t>Greater</w:t>
      </w:r>
      <w:r>
        <w:rPr>
          <w:b/>
          <w:spacing w:val="-17"/>
          <w:sz w:val="18"/>
        </w:rPr>
        <w:t xml:space="preserve"> </w:t>
      </w:r>
      <w:r>
        <w:rPr>
          <w:b/>
          <w:spacing w:val="-2"/>
          <w:sz w:val="18"/>
        </w:rPr>
        <w:t>Sydney</w:t>
      </w:r>
    </w:p>
    <w:p w:rsidR="002C1123" w:rsidRDefault="00F22F94">
      <w:pPr>
        <w:spacing w:before="152" w:line="182" w:lineRule="exact"/>
        <w:ind w:left="605"/>
        <w:rPr>
          <w:b/>
          <w:sz w:val="16"/>
        </w:rPr>
      </w:pPr>
      <w:r>
        <w:rPr>
          <w:b/>
          <w:color w:val="2E3092"/>
          <w:spacing w:val="-2"/>
          <w:sz w:val="16"/>
        </w:rPr>
        <w:t>Greater</w:t>
      </w:r>
      <w:r>
        <w:rPr>
          <w:b/>
          <w:color w:val="2E3092"/>
          <w:spacing w:val="2"/>
          <w:sz w:val="16"/>
        </w:rPr>
        <w:t xml:space="preserve"> </w:t>
      </w:r>
      <w:r>
        <w:rPr>
          <w:b/>
          <w:color w:val="2E3092"/>
          <w:spacing w:val="-2"/>
          <w:sz w:val="16"/>
        </w:rPr>
        <w:t>Sydney</w:t>
      </w:r>
    </w:p>
    <w:p w:rsidR="002C1123" w:rsidRDefault="00F22F94">
      <w:pPr>
        <w:tabs>
          <w:tab w:val="left" w:pos="2589"/>
          <w:tab w:val="left" w:pos="4007"/>
          <w:tab w:val="left" w:pos="7214"/>
        </w:tabs>
        <w:spacing w:after="14" w:line="182" w:lineRule="exact"/>
        <w:ind w:left="605"/>
        <w:rPr>
          <w:b/>
          <w:sz w:val="16"/>
        </w:rPr>
      </w:pPr>
      <w:r>
        <w:rPr>
          <w:b/>
          <w:color w:val="2E3092"/>
          <w:spacing w:val="-2"/>
          <w:sz w:val="16"/>
        </w:rPr>
        <w:t>Sub-Region</w:t>
      </w:r>
      <w:r>
        <w:rPr>
          <w:b/>
          <w:color w:val="2E3092"/>
          <w:sz w:val="16"/>
        </w:rPr>
        <w:tab/>
      </w:r>
      <w:r>
        <w:rPr>
          <w:b/>
          <w:color w:val="2E3092"/>
          <w:w w:val="95"/>
          <w:sz w:val="16"/>
        </w:rPr>
        <w:t>Population</w:t>
      </w:r>
      <w:r>
        <w:rPr>
          <w:b/>
          <w:color w:val="2E3092"/>
          <w:spacing w:val="11"/>
          <w:sz w:val="16"/>
        </w:rPr>
        <w:t xml:space="preserve"> </w:t>
      </w:r>
      <w:r>
        <w:rPr>
          <w:b/>
          <w:color w:val="2E3092"/>
          <w:spacing w:val="-4"/>
          <w:sz w:val="16"/>
        </w:rPr>
        <w:t>2011</w:t>
      </w:r>
      <w:r>
        <w:rPr>
          <w:b/>
          <w:color w:val="2E3092"/>
          <w:sz w:val="16"/>
        </w:rPr>
        <w:tab/>
        <w:t xml:space="preserve">Major </w:t>
      </w:r>
      <w:r>
        <w:rPr>
          <w:b/>
          <w:color w:val="2E3092"/>
          <w:spacing w:val="-2"/>
          <w:sz w:val="16"/>
        </w:rPr>
        <w:t>Industries</w:t>
      </w:r>
      <w:r>
        <w:rPr>
          <w:b/>
          <w:color w:val="2E3092"/>
          <w:sz w:val="16"/>
        </w:rPr>
        <w:tab/>
      </w:r>
      <w:r>
        <w:rPr>
          <w:b/>
          <w:color w:val="2E3092"/>
          <w:spacing w:val="-2"/>
          <w:sz w:val="16"/>
        </w:rPr>
        <w:t>Infrastructure</w:t>
      </w:r>
      <w:r>
        <w:rPr>
          <w:b/>
          <w:color w:val="2E3092"/>
          <w:spacing w:val="-3"/>
          <w:sz w:val="16"/>
        </w:rPr>
        <w:t xml:space="preserve"> </w:t>
      </w:r>
      <w:r>
        <w:rPr>
          <w:b/>
          <w:color w:val="2E3092"/>
          <w:spacing w:val="-2"/>
          <w:sz w:val="16"/>
        </w:rPr>
        <w:t>Deficiencies</w:t>
      </w:r>
    </w:p>
    <w:tbl>
      <w:tblPr>
        <w:tblW w:w="0" w:type="auto"/>
        <w:tblInd w:w="48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84"/>
        <w:gridCol w:w="1417"/>
        <w:gridCol w:w="3207"/>
        <w:gridCol w:w="3207"/>
      </w:tblGrid>
      <w:tr w:rsidR="002C1123">
        <w:trPr>
          <w:trHeight w:val="1142"/>
        </w:trPr>
        <w:tc>
          <w:tcPr>
            <w:tcW w:w="1984" w:type="dxa"/>
            <w:tcBorders>
              <w:left w:val="nil"/>
            </w:tcBorders>
            <w:shd w:val="clear" w:color="auto" w:fill="C9C8C9"/>
          </w:tcPr>
          <w:p w:rsidR="002C1123" w:rsidRDefault="00F22F94">
            <w:pPr>
              <w:pStyle w:val="TableParagraph"/>
              <w:spacing w:before="63"/>
              <w:rPr>
                <w:b/>
                <w:sz w:val="18"/>
              </w:rPr>
            </w:pPr>
            <w:r>
              <w:rPr>
                <w:b/>
                <w:spacing w:val="-2"/>
                <w:sz w:val="18"/>
              </w:rPr>
              <w:t>South</w:t>
            </w:r>
          </w:p>
        </w:tc>
        <w:tc>
          <w:tcPr>
            <w:tcW w:w="1417" w:type="dxa"/>
            <w:shd w:val="clear" w:color="auto" w:fill="E1E0E1"/>
          </w:tcPr>
          <w:p w:rsidR="002C1123" w:rsidRDefault="00F22F94">
            <w:pPr>
              <w:pStyle w:val="TableParagraph"/>
              <w:rPr>
                <w:sz w:val="16"/>
              </w:rPr>
            </w:pPr>
            <w:r>
              <w:rPr>
                <w:spacing w:val="-2"/>
                <w:sz w:val="16"/>
              </w:rPr>
              <w:t>650,000</w:t>
            </w:r>
          </w:p>
        </w:tc>
        <w:tc>
          <w:tcPr>
            <w:tcW w:w="3207" w:type="dxa"/>
            <w:shd w:val="clear" w:color="auto" w:fill="E1E0E1"/>
          </w:tcPr>
          <w:p w:rsidR="002C1123" w:rsidRDefault="00F22F94">
            <w:pPr>
              <w:pStyle w:val="TableParagraph"/>
              <w:rPr>
                <w:sz w:val="16"/>
              </w:rPr>
            </w:pPr>
            <w:r>
              <w:rPr>
                <w:w w:val="95"/>
                <w:sz w:val="16"/>
              </w:rPr>
              <w:t>Finance</w:t>
            </w:r>
            <w:r>
              <w:rPr>
                <w:spacing w:val="-1"/>
                <w:w w:val="95"/>
                <w:sz w:val="16"/>
              </w:rPr>
              <w:t xml:space="preserve"> </w:t>
            </w:r>
            <w:r>
              <w:rPr>
                <w:w w:val="95"/>
                <w:sz w:val="16"/>
              </w:rPr>
              <w:t>and</w:t>
            </w:r>
            <w:r>
              <w:rPr>
                <w:spacing w:val="-2"/>
                <w:sz w:val="16"/>
              </w:rPr>
              <w:t xml:space="preserve"> </w:t>
            </w:r>
            <w:r>
              <w:rPr>
                <w:w w:val="95"/>
                <w:sz w:val="16"/>
              </w:rPr>
              <w:t>Services,</w:t>
            </w:r>
            <w:r>
              <w:rPr>
                <w:spacing w:val="-2"/>
                <w:sz w:val="16"/>
              </w:rPr>
              <w:t xml:space="preserve"> </w:t>
            </w:r>
            <w:r>
              <w:rPr>
                <w:spacing w:val="-2"/>
                <w:w w:val="95"/>
                <w:sz w:val="16"/>
              </w:rPr>
              <w:t>Logistics</w:t>
            </w:r>
          </w:p>
        </w:tc>
        <w:tc>
          <w:tcPr>
            <w:tcW w:w="3207" w:type="dxa"/>
            <w:shd w:val="clear" w:color="auto" w:fill="E1E0E1"/>
          </w:tcPr>
          <w:p w:rsidR="002C1123" w:rsidRDefault="00F22F94">
            <w:pPr>
              <w:pStyle w:val="TableParagraph"/>
              <w:spacing w:before="70" w:line="235" w:lineRule="auto"/>
              <w:ind w:left="114" w:right="558"/>
              <w:rPr>
                <w:sz w:val="16"/>
              </w:rPr>
            </w:pPr>
            <w:r>
              <w:rPr>
                <w:sz w:val="16"/>
              </w:rPr>
              <w:t xml:space="preserve">Road congestion, i.e. Princes </w:t>
            </w:r>
            <w:r>
              <w:rPr>
                <w:w w:val="95"/>
                <w:sz w:val="16"/>
              </w:rPr>
              <w:t xml:space="preserve">Highway, adding to freight costs and </w:t>
            </w:r>
            <w:r>
              <w:rPr>
                <w:sz w:val="16"/>
              </w:rPr>
              <w:t>commute</w:t>
            </w:r>
            <w:r>
              <w:rPr>
                <w:spacing w:val="-4"/>
                <w:sz w:val="16"/>
              </w:rPr>
              <w:t xml:space="preserve"> </w:t>
            </w:r>
            <w:r>
              <w:rPr>
                <w:sz w:val="16"/>
              </w:rPr>
              <w:t>times</w:t>
            </w:r>
          </w:p>
        </w:tc>
      </w:tr>
      <w:tr w:rsidR="002C1123">
        <w:trPr>
          <w:trHeight w:val="1142"/>
        </w:trPr>
        <w:tc>
          <w:tcPr>
            <w:tcW w:w="1984" w:type="dxa"/>
            <w:tcBorders>
              <w:left w:val="nil"/>
            </w:tcBorders>
            <w:shd w:val="clear" w:color="auto" w:fill="C9C8C9"/>
          </w:tcPr>
          <w:p w:rsidR="002C1123" w:rsidRDefault="00F22F94">
            <w:pPr>
              <w:pStyle w:val="TableParagraph"/>
              <w:spacing w:before="63"/>
              <w:rPr>
                <w:b/>
                <w:sz w:val="18"/>
              </w:rPr>
            </w:pPr>
            <w:r>
              <w:rPr>
                <w:b/>
                <w:spacing w:val="-2"/>
                <w:sz w:val="18"/>
              </w:rPr>
              <w:t>North</w:t>
            </w:r>
          </w:p>
        </w:tc>
        <w:tc>
          <w:tcPr>
            <w:tcW w:w="1417" w:type="dxa"/>
            <w:shd w:val="clear" w:color="auto" w:fill="E1E0E1"/>
          </w:tcPr>
          <w:p w:rsidR="002C1123" w:rsidRDefault="00F22F94">
            <w:pPr>
              <w:pStyle w:val="TableParagraph"/>
              <w:rPr>
                <w:sz w:val="16"/>
              </w:rPr>
            </w:pPr>
            <w:r>
              <w:rPr>
                <w:spacing w:val="-2"/>
                <w:sz w:val="16"/>
              </w:rPr>
              <w:t>500,000</w:t>
            </w:r>
          </w:p>
        </w:tc>
        <w:tc>
          <w:tcPr>
            <w:tcW w:w="3207" w:type="dxa"/>
            <w:shd w:val="clear" w:color="auto" w:fill="E1E0E1"/>
          </w:tcPr>
          <w:p w:rsidR="002C1123" w:rsidRDefault="00F22F94">
            <w:pPr>
              <w:pStyle w:val="TableParagraph"/>
              <w:spacing w:before="70" w:line="235" w:lineRule="auto"/>
              <w:ind w:right="558"/>
              <w:rPr>
                <w:sz w:val="16"/>
              </w:rPr>
            </w:pPr>
            <w:r>
              <w:rPr>
                <w:w w:val="95"/>
                <w:sz w:val="16"/>
              </w:rPr>
              <w:t>Business</w:t>
            </w:r>
            <w:r>
              <w:rPr>
                <w:spacing w:val="-9"/>
                <w:w w:val="95"/>
                <w:sz w:val="16"/>
              </w:rPr>
              <w:t xml:space="preserve"> </w:t>
            </w:r>
            <w:r>
              <w:rPr>
                <w:w w:val="95"/>
                <w:sz w:val="16"/>
              </w:rPr>
              <w:t>Services,</w:t>
            </w:r>
            <w:r>
              <w:rPr>
                <w:spacing w:val="-9"/>
                <w:w w:val="95"/>
                <w:sz w:val="16"/>
              </w:rPr>
              <w:t xml:space="preserve"> </w:t>
            </w:r>
            <w:r>
              <w:rPr>
                <w:w w:val="95"/>
                <w:sz w:val="16"/>
              </w:rPr>
              <w:t xml:space="preserve">Technology, </w:t>
            </w:r>
            <w:r>
              <w:rPr>
                <w:spacing w:val="-2"/>
                <w:sz w:val="16"/>
              </w:rPr>
              <w:t>Education</w:t>
            </w:r>
          </w:p>
        </w:tc>
        <w:tc>
          <w:tcPr>
            <w:tcW w:w="3207" w:type="dxa"/>
            <w:shd w:val="clear" w:color="auto" w:fill="E1E0E1"/>
          </w:tcPr>
          <w:p w:rsidR="002C1123" w:rsidRDefault="00F22F94">
            <w:pPr>
              <w:pStyle w:val="TableParagraph"/>
              <w:spacing w:before="70" w:line="235" w:lineRule="auto"/>
              <w:ind w:left="114" w:right="558"/>
              <w:rPr>
                <w:sz w:val="16"/>
              </w:rPr>
            </w:pPr>
            <w:r>
              <w:rPr>
                <w:sz w:val="16"/>
              </w:rPr>
              <w:t>Inadequate connectivity to F3 Freeway</w:t>
            </w:r>
            <w:r>
              <w:rPr>
                <w:spacing w:val="-9"/>
                <w:sz w:val="16"/>
              </w:rPr>
              <w:t xml:space="preserve"> </w:t>
            </w:r>
            <w:r>
              <w:rPr>
                <w:sz w:val="16"/>
              </w:rPr>
              <w:t>access</w:t>
            </w:r>
            <w:r>
              <w:rPr>
                <w:spacing w:val="-9"/>
                <w:sz w:val="16"/>
              </w:rPr>
              <w:t xml:space="preserve"> </w:t>
            </w:r>
            <w:r>
              <w:rPr>
                <w:sz w:val="16"/>
              </w:rPr>
              <w:t>to</w:t>
            </w:r>
            <w:r>
              <w:rPr>
                <w:spacing w:val="-9"/>
                <w:sz w:val="16"/>
              </w:rPr>
              <w:t xml:space="preserve"> </w:t>
            </w:r>
            <w:r>
              <w:rPr>
                <w:sz w:val="16"/>
              </w:rPr>
              <w:t>Global</w:t>
            </w:r>
            <w:r>
              <w:rPr>
                <w:spacing w:val="-9"/>
                <w:sz w:val="16"/>
              </w:rPr>
              <w:t xml:space="preserve"> </w:t>
            </w:r>
            <w:r>
              <w:rPr>
                <w:sz w:val="16"/>
              </w:rPr>
              <w:t xml:space="preserve">Sydney </w:t>
            </w:r>
            <w:r>
              <w:rPr>
                <w:w w:val="95"/>
                <w:sz w:val="16"/>
              </w:rPr>
              <w:t xml:space="preserve">from Northern Beaches and school </w:t>
            </w:r>
            <w:r>
              <w:rPr>
                <w:spacing w:val="-2"/>
                <w:sz w:val="16"/>
              </w:rPr>
              <w:t>capacity</w:t>
            </w:r>
          </w:p>
        </w:tc>
      </w:tr>
      <w:tr w:rsidR="002C1123">
        <w:trPr>
          <w:trHeight w:val="1142"/>
        </w:trPr>
        <w:tc>
          <w:tcPr>
            <w:tcW w:w="1984" w:type="dxa"/>
            <w:tcBorders>
              <w:left w:val="nil"/>
            </w:tcBorders>
            <w:shd w:val="clear" w:color="auto" w:fill="C9C8C9"/>
          </w:tcPr>
          <w:p w:rsidR="002C1123" w:rsidRDefault="00F22F94">
            <w:pPr>
              <w:pStyle w:val="TableParagraph"/>
              <w:spacing w:before="63"/>
              <w:rPr>
                <w:b/>
                <w:sz w:val="18"/>
              </w:rPr>
            </w:pPr>
            <w:r>
              <w:rPr>
                <w:b/>
                <w:spacing w:val="-2"/>
                <w:sz w:val="18"/>
              </w:rPr>
              <w:t>West</w:t>
            </w:r>
            <w:r>
              <w:rPr>
                <w:b/>
                <w:spacing w:val="-14"/>
                <w:sz w:val="18"/>
              </w:rPr>
              <w:t xml:space="preserve"> </w:t>
            </w:r>
            <w:r>
              <w:rPr>
                <w:b/>
                <w:spacing w:val="-2"/>
                <w:sz w:val="18"/>
              </w:rPr>
              <w:t>Central</w:t>
            </w:r>
          </w:p>
        </w:tc>
        <w:tc>
          <w:tcPr>
            <w:tcW w:w="1417" w:type="dxa"/>
            <w:shd w:val="clear" w:color="auto" w:fill="E1E0E1"/>
          </w:tcPr>
          <w:p w:rsidR="002C1123" w:rsidRDefault="00F22F94">
            <w:pPr>
              <w:pStyle w:val="TableParagraph"/>
              <w:rPr>
                <w:sz w:val="16"/>
              </w:rPr>
            </w:pPr>
            <w:r>
              <w:rPr>
                <w:spacing w:val="-2"/>
                <w:sz w:val="16"/>
              </w:rPr>
              <w:t>680,000</w:t>
            </w:r>
          </w:p>
        </w:tc>
        <w:tc>
          <w:tcPr>
            <w:tcW w:w="3207" w:type="dxa"/>
            <w:shd w:val="clear" w:color="auto" w:fill="E1E0E1"/>
          </w:tcPr>
          <w:p w:rsidR="002C1123" w:rsidRDefault="00F22F94">
            <w:pPr>
              <w:pStyle w:val="TableParagraph"/>
              <w:spacing w:before="70" w:line="235" w:lineRule="auto"/>
              <w:ind w:right="558"/>
              <w:rPr>
                <w:sz w:val="16"/>
              </w:rPr>
            </w:pPr>
            <w:r>
              <w:rPr>
                <w:sz w:val="16"/>
              </w:rPr>
              <w:t>Secondary</w:t>
            </w:r>
            <w:r>
              <w:rPr>
                <w:spacing w:val="-2"/>
                <w:sz w:val="16"/>
              </w:rPr>
              <w:t xml:space="preserve"> </w:t>
            </w:r>
            <w:r>
              <w:rPr>
                <w:sz w:val="16"/>
              </w:rPr>
              <w:t>CBD</w:t>
            </w:r>
            <w:r>
              <w:rPr>
                <w:spacing w:val="-2"/>
                <w:sz w:val="16"/>
              </w:rPr>
              <w:t xml:space="preserve"> </w:t>
            </w:r>
            <w:r>
              <w:rPr>
                <w:sz w:val="16"/>
              </w:rPr>
              <w:t>–</w:t>
            </w:r>
            <w:r>
              <w:rPr>
                <w:spacing w:val="-2"/>
                <w:sz w:val="16"/>
              </w:rPr>
              <w:t xml:space="preserve"> </w:t>
            </w:r>
            <w:r>
              <w:rPr>
                <w:sz w:val="16"/>
              </w:rPr>
              <w:t>Finance</w:t>
            </w:r>
            <w:r>
              <w:rPr>
                <w:spacing w:val="-2"/>
                <w:sz w:val="16"/>
              </w:rPr>
              <w:t xml:space="preserve"> </w:t>
            </w:r>
            <w:r>
              <w:rPr>
                <w:sz w:val="16"/>
              </w:rPr>
              <w:t xml:space="preserve">and Insurance Services, Health, </w:t>
            </w:r>
            <w:r>
              <w:rPr>
                <w:w w:val="95"/>
                <w:sz w:val="16"/>
              </w:rPr>
              <w:t>Education</w:t>
            </w:r>
            <w:r>
              <w:rPr>
                <w:spacing w:val="-9"/>
                <w:w w:val="95"/>
                <w:sz w:val="16"/>
              </w:rPr>
              <w:t xml:space="preserve"> </w:t>
            </w:r>
            <w:r>
              <w:rPr>
                <w:w w:val="95"/>
                <w:sz w:val="16"/>
              </w:rPr>
              <w:t>(UWS),</w:t>
            </w:r>
            <w:r>
              <w:rPr>
                <w:spacing w:val="-9"/>
                <w:w w:val="95"/>
                <w:sz w:val="16"/>
              </w:rPr>
              <w:t xml:space="preserve"> </w:t>
            </w:r>
            <w:r>
              <w:rPr>
                <w:w w:val="95"/>
                <w:sz w:val="16"/>
              </w:rPr>
              <w:t>Manufacturing</w:t>
            </w:r>
          </w:p>
        </w:tc>
        <w:tc>
          <w:tcPr>
            <w:tcW w:w="3207" w:type="dxa"/>
            <w:shd w:val="clear" w:color="auto" w:fill="E1E0E1"/>
          </w:tcPr>
          <w:p w:rsidR="002C1123" w:rsidRDefault="00F22F94">
            <w:pPr>
              <w:pStyle w:val="TableParagraph"/>
              <w:spacing w:before="70" w:line="235" w:lineRule="auto"/>
              <w:ind w:left="114" w:right="558"/>
              <w:rPr>
                <w:sz w:val="16"/>
              </w:rPr>
            </w:pPr>
            <w:r>
              <w:rPr>
                <w:w w:val="95"/>
                <w:sz w:val="16"/>
              </w:rPr>
              <w:t xml:space="preserve">Access to Parramatta and Global </w:t>
            </w:r>
            <w:r>
              <w:rPr>
                <w:sz w:val="16"/>
              </w:rPr>
              <w:t>Sydney, inadequate road links, school</w:t>
            </w:r>
            <w:r>
              <w:rPr>
                <w:spacing w:val="-4"/>
                <w:sz w:val="16"/>
              </w:rPr>
              <w:t xml:space="preserve"> </w:t>
            </w:r>
            <w:r>
              <w:rPr>
                <w:sz w:val="16"/>
              </w:rPr>
              <w:t>capacity</w:t>
            </w:r>
          </w:p>
        </w:tc>
      </w:tr>
      <w:tr w:rsidR="002C1123">
        <w:trPr>
          <w:trHeight w:val="1142"/>
        </w:trPr>
        <w:tc>
          <w:tcPr>
            <w:tcW w:w="1984" w:type="dxa"/>
            <w:tcBorders>
              <w:left w:val="nil"/>
            </w:tcBorders>
            <w:shd w:val="clear" w:color="auto" w:fill="C9C8C9"/>
          </w:tcPr>
          <w:p w:rsidR="002C1123" w:rsidRDefault="00F22F94">
            <w:pPr>
              <w:pStyle w:val="TableParagraph"/>
              <w:spacing w:before="63"/>
              <w:rPr>
                <w:b/>
                <w:sz w:val="18"/>
              </w:rPr>
            </w:pPr>
            <w:r>
              <w:rPr>
                <w:b/>
                <w:sz w:val="18"/>
              </w:rPr>
              <w:t>North</w:t>
            </w:r>
            <w:r>
              <w:rPr>
                <w:b/>
                <w:spacing w:val="-8"/>
                <w:sz w:val="18"/>
              </w:rPr>
              <w:t xml:space="preserve"> </w:t>
            </w:r>
            <w:r>
              <w:rPr>
                <w:b/>
                <w:spacing w:val="-4"/>
                <w:sz w:val="18"/>
              </w:rPr>
              <w:t>West</w:t>
            </w:r>
          </w:p>
        </w:tc>
        <w:tc>
          <w:tcPr>
            <w:tcW w:w="1417" w:type="dxa"/>
            <w:shd w:val="clear" w:color="auto" w:fill="E1E0E1"/>
          </w:tcPr>
          <w:p w:rsidR="002C1123" w:rsidRDefault="00F22F94">
            <w:pPr>
              <w:pStyle w:val="TableParagraph"/>
              <w:rPr>
                <w:sz w:val="16"/>
              </w:rPr>
            </w:pPr>
            <w:r>
              <w:rPr>
                <w:spacing w:val="-2"/>
                <w:sz w:val="16"/>
              </w:rPr>
              <w:t>760,000</w:t>
            </w:r>
          </w:p>
        </w:tc>
        <w:tc>
          <w:tcPr>
            <w:tcW w:w="3207" w:type="dxa"/>
            <w:shd w:val="clear" w:color="auto" w:fill="E1E0E1"/>
          </w:tcPr>
          <w:p w:rsidR="002C1123" w:rsidRDefault="00F22F94">
            <w:pPr>
              <w:pStyle w:val="TableParagraph"/>
              <w:spacing w:before="70" w:line="235" w:lineRule="auto"/>
              <w:ind w:right="1331"/>
              <w:rPr>
                <w:sz w:val="16"/>
              </w:rPr>
            </w:pPr>
            <w:r>
              <w:rPr>
                <w:w w:val="95"/>
                <w:sz w:val="16"/>
              </w:rPr>
              <w:t>Health,</w:t>
            </w:r>
            <w:r>
              <w:rPr>
                <w:spacing w:val="-9"/>
                <w:w w:val="95"/>
                <w:sz w:val="16"/>
              </w:rPr>
              <w:t xml:space="preserve"> </w:t>
            </w:r>
            <w:r>
              <w:rPr>
                <w:w w:val="95"/>
                <w:sz w:val="16"/>
              </w:rPr>
              <w:t>Education</w:t>
            </w:r>
            <w:r>
              <w:rPr>
                <w:spacing w:val="-9"/>
                <w:w w:val="95"/>
                <w:sz w:val="16"/>
              </w:rPr>
              <w:t xml:space="preserve"> </w:t>
            </w:r>
            <w:r>
              <w:rPr>
                <w:w w:val="95"/>
                <w:sz w:val="16"/>
              </w:rPr>
              <w:t xml:space="preserve">(UWS), </w:t>
            </w:r>
            <w:r>
              <w:rPr>
                <w:spacing w:val="-2"/>
                <w:sz w:val="16"/>
              </w:rPr>
              <w:t>Construction</w:t>
            </w:r>
          </w:p>
        </w:tc>
        <w:tc>
          <w:tcPr>
            <w:tcW w:w="3207" w:type="dxa"/>
            <w:shd w:val="clear" w:color="auto" w:fill="E1E0E1"/>
          </w:tcPr>
          <w:p w:rsidR="002C1123" w:rsidRDefault="00F22F94">
            <w:pPr>
              <w:pStyle w:val="TableParagraph"/>
              <w:spacing w:before="70" w:line="235" w:lineRule="auto"/>
              <w:ind w:left="114" w:right="608"/>
              <w:jc w:val="both"/>
              <w:rPr>
                <w:sz w:val="16"/>
              </w:rPr>
            </w:pPr>
            <w:r>
              <w:rPr>
                <w:spacing w:val="-2"/>
                <w:sz w:val="16"/>
              </w:rPr>
              <w:t>Flooding</w:t>
            </w:r>
            <w:r>
              <w:rPr>
                <w:spacing w:val="-7"/>
                <w:sz w:val="16"/>
              </w:rPr>
              <w:t xml:space="preserve"> </w:t>
            </w:r>
            <w:r>
              <w:rPr>
                <w:spacing w:val="-2"/>
                <w:sz w:val="16"/>
              </w:rPr>
              <w:t>risks,</w:t>
            </w:r>
            <w:r>
              <w:rPr>
                <w:spacing w:val="-7"/>
                <w:sz w:val="16"/>
              </w:rPr>
              <w:t xml:space="preserve"> </w:t>
            </w:r>
            <w:r>
              <w:rPr>
                <w:spacing w:val="-2"/>
                <w:sz w:val="16"/>
              </w:rPr>
              <w:t>road</w:t>
            </w:r>
            <w:r>
              <w:rPr>
                <w:spacing w:val="-7"/>
                <w:sz w:val="16"/>
              </w:rPr>
              <w:t xml:space="preserve"> </w:t>
            </w:r>
            <w:r>
              <w:rPr>
                <w:spacing w:val="-2"/>
                <w:sz w:val="16"/>
              </w:rPr>
              <w:t>congestion,</w:t>
            </w:r>
            <w:r>
              <w:rPr>
                <w:spacing w:val="-7"/>
                <w:sz w:val="16"/>
              </w:rPr>
              <w:t xml:space="preserve"> </w:t>
            </w:r>
            <w:r>
              <w:rPr>
                <w:spacing w:val="-2"/>
                <w:sz w:val="16"/>
              </w:rPr>
              <w:t xml:space="preserve">i.e. </w:t>
            </w:r>
            <w:r>
              <w:rPr>
                <w:w w:val="95"/>
                <w:sz w:val="16"/>
              </w:rPr>
              <w:t xml:space="preserve">M4 Motorway access to Parramatta </w:t>
            </w:r>
            <w:r>
              <w:rPr>
                <w:sz w:val="16"/>
              </w:rPr>
              <w:t>and Global Sydney</w:t>
            </w:r>
          </w:p>
        </w:tc>
      </w:tr>
      <w:tr w:rsidR="002C1123">
        <w:trPr>
          <w:trHeight w:val="1142"/>
        </w:trPr>
        <w:tc>
          <w:tcPr>
            <w:tcW w:w="1984" w:type="dxa"/>
            <w:tcBorders>
              <w:left w:val="nil"/>
            </w:tcBorders>
            <w:shd w:val="clear" w:color="auto" w:fill="C9C8C9"/>
          </w:tcPr>
          <w:p w:rsidR="002C1123" w:rsidRDefault="00F22F94">
            <w:pPr>
              <w:pStyle w:val="TableParagraph"/>
              <w:spacing w:before="63"/>
              <w:rPr>
                <w:b/>
                <w:sz w:val="18"/>
              </w:rPr>
            </w:pPr>
            <w:r>
              <w:rPr>
                <w:b/>
                <w:w w:val="95"/>
                <w:sz w:val="18"/>
              </w:rPr>
              <w:t>South</w:t>
            </w:r>
            <w:r>
              <w:rPr>
                <w:b/>
                <w:spacing w:val="4"/>
                <w:sz w:val="18"/>
              </w:rPr>
              <w:t xml:space="preserve"> </w:t>
            </w:r>
            <w:r>
              <w:rPr>
                <w:b/>
                <w:spacing w:val="-4"/>
                <w:sz w:val="18"/>
              </w:rPr>
              <w:t>West</w:t>
            </w:r>
          </w:p>
        </w:tc>
        <w:tc>
          <w:tcPr>
            <w:tcW w:w="1417" w:type="dxa"/>
            <w:shd w:val="clear" w:color="auto" w:fill="E1E0E1"/>
          </w:tcPr>
          <w:p w:rsidR="002C1123" w:rsidRDefault="00F22F94">
            <w:pPr>
              <w:pStyle w:val="TableParagraph"/>
              <w:rPr>
                <w:sz w:val="16"/>
              </w:rPr>
            </w:pPr>
            <w:r>
              <w:rPr>
                <w:spacing w:val="-2"/>
                <w:sz w:val="16"/>
              </w:rPr>
              <w:t>410,000</w:t>
            </w:r>
          </w:p>
        </w:tc>
        <w:tc>
          <w:tcPr>
            <w:tcW w:w="3207" w:type="dxa"/>
            <w:shd w:val="clear" w:color="auto" w:fill="E1E0E1"/>
          </w:tcPr>
          <w:p w:rsidR="002C1123" w:rsidRDefault="00F22F94">
            <w:pPr>
              <w:pStyle w:val="TableParagraph"/>
              <w:spacing w:before="70" w:line="235" w:lineRule="auto"/>
              <w:ind w:right="558"/>
              <w:rPr>
                <w:sz w:val="16"/>
              </w:rPr>
            </w:pPr>
            <w:r>
              <w:rPr>
                <w:w w:val="95"/>
                <w:sz w:val="16"/>
              </w:rPr>
              <w:t>Logistics,</w:t>
            </w:r>
            <w:r>
              <w:rPr>
                <w:spacing w:val="-2"/>
                <w:w w:val="95"/>
                <w:sz w:val="16"/>
              </w:rPr>
              <w:t xml:space="preserve"> </w:t>
            </w:r>
            <w:r>
              <w:rPr>
                <w:w w:val="95"/>
                <w:sz w:val="16"/>
              </w:rPr>
              <w:t xml:space="preserve">Manufacturing, </w:t>
            </w:r>
            <w:r>
              <w:rPr>
                <w:spacing w:val="-2"/>
                <w:sz w:val="16"/>
              </w:rPr>
              <w:t>Construction</w:t>
            </w:r>
          </w:p>
        </w:tc>
        <w:tc>
          <w:tcPr>
            <w:tcW w:w="3207" w:type="dxa"/>
            <w:shd w:val="clear" w:color="auto" w:fill="E1E0E1"/>
          </w:tcPr>
          <w:p w:rsidR="002C1123" w:rsidRDefault="00F22F94">
            <w:pPr>
              <w:pStyle w:val="TableParagraph"/>
              <w:spacing w:before="70" w:line="235" w:lineRule="auto"/>
              <w:ind w:left="114" w:right="558"/>
              <w:rPr>
                <w:sz w:val="16"/>
              </w:rPr>
            </w:pPr>
            <w:r>
              <w:rPr>
                <w:w w:val="95"/>
                <w:sz w:val="16"/>
              </w:rPr>
              <w:t xml:space="preserve">Road congestion, i.e. M5 Motorway, </w:t>
            </w:r>
            <w:r>
              <w:rPr>
                <w:sz w:val="16"/>
              </w:rPr>
              <w:t>adding to freight costs and commute times, school capacity</w:t>
            </w:r>
          </w:p>
        </w:tc>
      </w:tr>
      <w:tr w:rsidR="002C1123">
        <w:trPr>
          <w:trHeight w:val="1142"/>
        </w:trPr>
        <w:tc>
          <w:tcPr>
            <w:tcW w:w="1984" w:type="dxa"/>
            <w:tcBorders>
              <w:left w:val="nil"/>
            </w:tcBorders>
            <w:shd w:val="clear" w:color="auto" w:fill="C9C8C9"/>
          </w:tcPr>
          <w:p w:rsidR="002C1123" w:rsidRDefault="00F22F94">
            <w:pPr>
              <w:pStyle w:val="TableParagraph"/>
              <w:spacing w:before="63"/>
              <w:rPr>
                <w:b/>
                <w:sz w:val="18"/>
              </w:rPr>
            </w:pPr>
            <w:r>
              <w:rPr>
                <w:b/>
                <w:sz w:val="18"/>
              </w:rPr>
              <w:t>Central</w:t>
            </w:r>
            <w:r>
              <w:rPr>
                <w:b/>
                <w:spacing w:val="-8"/>
                <w:sz w:val="18"/>
              </w:rPr>
              <w:t xml:space="preserve"> </w:t>
            </w:r>
            <w:r>
              <w:rPr>
                <w:b/>
                <w:spacing w:val="-2"/>
                <w:sz w:val="18"/>
              </w:rPr>
              <w:t>Coast</w:t>
            </w:r>
          </w:p>
        </w:tc>
        <w:tc>
          <w:tcPr>
            <w:tcW w:w="1417" w:type="dxa"/>
            <w:shd w:val="clear" w:color="auto" w:fill="E1E0E1"/>
          </w:tcPr>
          <w:p w:rsidR="002C1123" w:rsidRDefault="00F22F94">
            <w:pPr>
              <w:pStyle w:val="TableParagraph"/>
              <w:rPr>
                <w:sz w:val="16"/>
              </w:rPr>
            </w:pPr>
            <w:r>
              <w:rPr>
                <w:spacing w:val="-2"/>
                <w:sz w:val="16"/>
              </w:rPr>
              <w:t>300,000</w:t>
            </w:r>
          </w:p>
        </w:tc>
        <w:tc>
          <w:tcPr>
            <w:tcW w:w="3207" w:type="dxa"/>
            <w:shd w:val="clear" w:color="auto" w:fill="E1E0E1"/>
          </w:tcPr>
          <w:p w:rsidR="002C1123" w:rsidRDefault="00F22F94">
            <w:pPr>
              <w:pStyle w:val="TableParagraph"/>
              <w:rPr>
                <w:sz w:val="16"/>
              </w:rPr>
            </w:pPr>
            <w:r>
              <w:rPr>
                <w:w w:val="95"/>
                <w:sz w:val="16"/>
              </w:rPr>
              <w:t>Technology,</w:t>
            </w:r>
            <w:r>
              <w:rPr>
                <w:spacing w:val="-8"/>
                <w:w w:val="95"/>
                <w:sz w:val="16"/>
              </w:rPr>
              <w:t xml:space="preserve"> </w:t>
            </w:r>
            <w:r>
              <w:rPr>
                <w:w w:val="95"/>
                <w:sz w:val="16"/>
              </w:rPr>
              <w:t>Health,</w:t>
            </w:r>
            <w:r>
              <w:rPr>
                <w:spacing w:val="-8"/>
                <w:w w:val="95"/>
                <w:sz w:val="16"/>
              </w:rPr>
              <w:t xml:space="preserve"> </w:t>
            </w:r>
            <w:r>
              <w:rPr>
                <w:spacing w:val="-2"/>
                <w:w w:val="95"/>
                <w:sz w:val="16"/>
              </w:rPr>
              <w:t>Manufacturing</w:t>
            </w:r>
          </w:p>
        </w:tc>
        <w:tc>
          <w:tcPr>
            <w:tcW w:w="3207" w:type="dxa"/>
            <w:shd w:val="clear" w:color="auto" w:fill="E1E0E1"/>
          </w:tcPr>
          <w:p w:rsidR="002C1123" w:rsidRDefault="00F22F94">
            <w:pPr>
              <w:pStyle w:val="TableParagraph"/>
              <w:spacing w:before="70" w:line="235" w:lineRule="auto"/>
              <w:ind w:left="114" w:right="558"/>
              <w:rPr>
                <w:sz w:val="16"/>
              </w:rPr>
            </w:pPr>
            <w:r>
              <w:rPr>
                <w:sz w:val="16"/>
              </w:rPr>
              <w:t xml:space="preserve">Access to Global Sydney, </w:t>
            </w:r>
            <w:r>
              <w:rPr>
                <w:w w:val="95"/>
                <w:sz w:val="16"/>
              </w:rPr>
              <w:t>inadequate road connectivity</w:t>
            </w:r>
          </w:p>
        </w:tc>
      </w:tr>
    </w:tbl>
    <w:p w:rsidR="002C1123" w:rsidRDefault="002C1123">
      <w:pPr>
        <w:spacing w:line="235" w:lineRule="auto"/>
        <w:rPr>
          <w:sz w:val="16"/>
        </w:rPr>
        <w:sectPr w:rsidR="002C1123">
          <w:pgSz w:w="16840" w:h="11910" w:orient="landscape"/>
          <w:pgMar w:top="560" w:right="280" w:bottom="700" w:left="500" w:header="0" w:footer="470" w:gutter="0"/>
          <w:cols w:space="720"/>
        </w:sect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spacing w:before="5"/>
        <w:rPr>
          <w:b/>
          <w:sz w:val="19"/>
        </w:rPr>
      </w:pPr>
    </w:p>
    <w:p w:rsidR="002C1123" w:rsidRDefault="002060EF">
      <w:pPr>
        <w:pStyle w:val="BodyText"/>
        <w:spacing w:before="106" w:line="249" w:lineRule="auto"/>
        <w:ind w:left="10545" w:right="709"/>
      </w:pPr>
      <w:r>
        <w:pict>
          <v:shape id="docshape722" o:spid="_x0000_s4608" type="#_x0000_t202" style="position:absolute;left:0;text-align:left;margin-left:300.95pt;margin-top:3.9pt;width:171.1pt;height:16.75pt;z-index:-251509760;mso-position-horizontal-relative:page" filled="f" stroked="f">
            <v:textbox inset="0,0,0,0">
              <w:txbxContent>
                <w:p w:rsidR="00F22F94" w:rsidRDefault="00F22F94">
                  <w:pPr>
                    <w:spacing w:before="10"/>
                    <w:rPr>
                      <w:b/>
                      <w:sz w:val="28"/>
                    </w:rPr>
                  </w:pPr>
                  <w:r>
                    <w:rPr>
                      <w:b/>
                      <w:color w:val="EC008C"/>
                      <w:w w:val="95"/>
                      <w:sz w:val="28"/>
                    </w:rPr>
                    <w:t>4.3</w:t>
                  </w:r>
                  <w:r>
                    <w:rPr>
                      <w:b/>
                      <w:color w:val="EC008C"/>
                      <w:spacing w:val="-3"/>
                      <w:sz w:val="28"/>
                    </w:rPr>
                    <w:t xml:space="preserve"> </w:t>
                  </w:r>
                  <w:r>
                    <w:rPr>
                      <w:b/>
                      <w:color w:val="EC008C"/>
                      <w:w w:val="95"/>
                      <w:sz w:val="28"/>
                    </w:rPr>
                    <w:t>Greater</w:t>
                  </w:r>
                  <w:r>
                    <w:rPr>
                      <w:b/>
                      <w:color w:val="EC008C"/>
                      <w:spacing w:val="-2"/>
                      <w:sz w:val="28"/>
                    </w:rPr>
                    <w:t xml:space="preserve"> </w:t>
                  </w:r>
                  <w:r>
                    <w:rPr>
                      <w:b/>
                      <w:color w:val="EC008C"/>
                      <w:w w:val="95"/>
                      <w:sz w:val="28"/>
                    </w:rPr>
                    <w:t>Sydney</w:t>
                  </w:r>
                  <w:r>
                    <w:rPr>
                      <w:b/>
                      <w:color w:val="EC008C"/>
                      <w:spacing w:val="-3"/>
                      <w:sz w:val="28"/>
                    </w:rPr>
                    <w:t xml:space="preserve"> </w:t>
                  </w:r>
                  <w:r>
                    <w:rPr>
                      <w:b/>
                      <w:color w:val="EC008C"/>
                      <w:w w:val="95"/>
                      <w:sz w:val="28"/>
                    </w:rPr>
                    <w:t>in</w:t>
                  </w:r>
                  <w:r>
                    <w:rPr>
                      <w:b/>
                      <w:color w:val="EC008C"/>
                      <w:spacing w:val="-2"/>
                      <w:sz w:val="28"/>
                    </w:rPr>
                    <w:t xml:space="preserve"> </w:t>
                  </w:r>
                  <w:r>
                    <w:rPr>
                      <w:b/>
                      <w:color w:val="EC008C"/>
                      <w:spacing w:val="-4"/>
                      <w:w w:val="95"/>
                      <w:sz w:val="28"/>
                    </w:rPr>
                    <w:t>2031</w:t>
                  </w:r>
                </w:p>
              </w:txbxContent>
            </v:textbox>
            <w10:wrap anchorx="page"/>
          </v:shape>
        </w:pict>
      </w:r>
      <w:r>
        <w:pict>
          <v:group id="docshapegroup723" o:spid="_x0000_s4571" style="position:absolute;left:0;text-align:left;margin-left:49.6pt;margin-top:7.55pt;width:491.35pt;height:411.05pt;z-index:251277312;mso-position-horizontal-relative:page" coordorigin="992,151" coordsize="9827,8221">
            <v:rect id="docshape724" o:spid="_x0000_s4607" style="position:absolute;left:992;top:151;width:9827;height:5906" fillcolor="#e1f4fd" stroked="f"/>
            <v:rect id="docshape725" o:spid="_x0000_s4606" style="position:absolute;left:992;top:6057;width:9827;height:2315" fillcolor="#e1e0e1" stroked="f"/>
            <v:shape id="docshape726" o:spid="_x0000_s4605" type="#_x0000_t75" style="position:absolute;left:992;top:150;width:9500;height:5910">
              <v:imagedata r:id="rId99" o:title=""/>
            </v:shape>
            <v:shape id="docshape727" o:spid="_x0000_s4604" type="#_x0000_t75" style="position:absolute;left:1096;top:6149;width:2785;height:1868">
              <v:imagedata r:id="rId100" o:title=""/>
            </v:shape>
            <v:shape id="docshape728" o:spid="_x0000_s4603" type="#_x0000_t75" style="position:absolute;left:4811;top:6427;width:220;height:220">
              <v:imagedata r:id="rId101" o:title=""/>
            </v:shape>
            <v:shape id="docshape729" o:spid="_x0000_s4602" type="#_x0000_t75" style="position:absolute;left:4811;top:6707;width:220;height:220">
              <v:imagedata r:id="rId101" o:title=""/>
            </v:shape>
            <v:shape id="docshape730" o:spid="_x0000_s4601" type="#_x0000_t75" style="position:absolute;left:4811;top:6987;width:220;height:220">
              <v:imagedata r:id="rId102" o:title=""/>
            </v:shape>
            <v:shape id="docshape731" o:spid="_x0000_s4600" type="#_x0000_t75" style="position:absolute;left:4811;top:7267;width:220;height:220">
              <v:imagedata r:id="rId101" o:title=""/>
            </v:shape>
            <v:shape id="docshape732" o:spid="_x0000_s4599" type="#_x0000_t75" style="position:absolute;left:4811;top:7547;width:220;height:220">
              <v:imagedata r:id="rId101" o:title=""/>
            </v:shape>
            <v:shape id="docshape733" o:spid="_x0000_s4598" type="#_x0000_t75" style="position:absolute;left:4811;top:7827;width:220;height:220">
              <v:imagedata r:id="rId102" o:title=""/>
            </v:shape>
            <v:shape id="docshape734" o:spid="_x0000_s4597" type="#_x0000_t75" style="position:absolute;left:7008;top:6427;width:220;height:220">
              <v:imagedata r:id="rId103" o:title=""/>
            </v:shape>
            <v:shape id="docshape735" o:spid="_x0000_s4596" type="#_x0000_t75" style="position:absolute;left:7008;top:6707;width:220;height:220">
              <v:imagedata r:id="rId103" o:title=""/>
            </v:shape>
            <v:shape id="docshape736" o:spid="_x0000_s4595" type="#_x0000_t75" style="position:absolute;left:7008;top:6987;width:220;height:220">
              <v:imagedata r:id="rId104" o:title=""/>
            </v:shape>
            <v:shape id="docshape737" o:spid="_x0000_s4594" type="#_x0000_t75" style="position:absolute;left:7008;top:7267;width:220;height:220">
              <v:imagedata r:id="rId103" o:title=""/>
            </v:shape>
            <v:shape id="docshape738" o:spid="_x0000_s4593" type="#_x0000_t75" style="position:absolute;left:7008;top:7547;width:220;height:220">
              <v:imagedata r:id="rId103" o:title=""/>
            </v:shape>
            <v:rect id="docshape739" o:spid="_x0000_s4592" style="position:absolute;left:9301;top:7045;width:171;height:171" fillcolor="#b2b1b3" stroked="f"/>
            <v:rect id="docshape740" o:spid="_x0000_s4591" style="position:absolute;left:9301;top:7300;width:171;height:171" fillcolor="#8781bd" stroked="f"/>
            <v:rect id="docshape741" o:spid="_x0000_s4590" style="position:absolute;left:9301;top:7555;width:171;height:171" fillcolor="#00aeef" stroked="f"/>
            <v:rect id="docshape742" o:spid="_x0000_s4589" style="position:absolute;left:9301;top:7810;width:171;height:171" fillcolor="#8dc63f" stroked="f"/>
            <v:rect id="docshape743" o:spid="_x0000_s4588" style="position:absolute;left:9301;top:8061;width:171;height:171" fillcolor="#f47920" stroked="f"/>
            <v:shape id="docshape744" o:spid="_x0000_s4587" type="#_x0000_t202" style="position:absolute;left:9301;top:6399;width:1131;height:1836" filled="f" stroked="f">
              <v:textbox inset="0,0,0,0">
                <w:txbxContent>
                  <w:p w:rsidR="00F22F94" w:rsidRDefault="00F22F94">
                    <w:pPr>
                      <w:spacing w:line="229" w:lineRule="exact"/>
                      <w:rPr>
                        <w:sz w:val="20"/>
                      </w:rPr>
                    </w:pPr>
                    <w:r>
                      <w:rPr>
                        <w:color w:val="2E3092"/>
                        <w:spacing w:val="-5"/>
                        <w:w w:val="90"/>
                        <w:sz w:val="20"/>
                      </w:rPr>
                      <w:t>Key</w:t>
                    </w:r>
                  </w:p>
                  <w:p w:rsidR="00F22F94" w:rsidRDefault="00F22F94">
                    <w:pPr>
                      <w:spacing w:before="27" w:line="208" w:lineRule="auto"/>
                      <w:ind w:right="15"/>
                      <w:rPr>
                        <w:sz w:val="16"/>
                      </w:rPr>
                    </w:pPr>
                    <w:r>
                      <w:rPr>
                        <w:w w:val="85"/>
                        <w:sz w:val="16"/>
                      </w:rPr>
                      <w:t>Existing</w:t>
                    </w:r>
                    <w:r>
                      <w:rPr>
                        <w:spacing w:val="-4"/>
                        <w:w w:val="85"/>
                        <w:sz w:val="16"/>
                      </w:rPr>
                      <w:t xml:space="preserve"> </w:t>
                    </w:r>
                    <w:r>
                      <w:rPr>
                        <w:w w:val="85"/>
                        <w:sz w:val="16"/>
                      </w:rPr>
                      <w:t>Housing</w:t>
                    </w:r>
                    <w:r>
                      <w:rPr>
                        <w:sz w:val="16"/>
                      </w:rPr>
                      <w:t xml:space="preserve"> </w:t>
                    </w:r>
                    <w:r>
                      <w:rPr>
                        <w:spacing w:val="-2"/>
                        <w:w w:val="80"/>
                        <w:sz w:val="16"/>
                      </w:rPr>
                      <w:t>Density</w:t>
                    </w:r>
                    <w:r>
                      <w:rPr>
                        <w:spacing w:val="-10"/>
                        <w:sz w:val="16"/>
                      </w:rPr>
                      <w:t xml:space="preserve"> </w:t>
                    </w:r>
                    <w:r>
                      <w:rPr>
                        <w:spacing w:val="-2"/>
                        <w:w w:val="80"/>
                        <w:sz w:val="16"/>
                      </w:rPr>
                      <w:t>per</w:t>
                    </w:r>
                    <w:r>
                      <w:rPr>
                        <w:spacing w:val="-9"/>
                        <w:sz w:val="16"/>
                      </w:rPr>
                      <w:t xml:space="preserve"> </w:t>
                    </w:r>
                    <w:r>
                      <w:rPr>
                        <w:spacing w:val="-2"/>
                        <w:w w:val="80"/>
                        <w:sz w:val="16"/>
                      </w:rPr>
                      <w:t>Hectare</w:t>
                    </w:r>
                  </w:p>
                  <w:p w:rsidR="00F22F94" w:rsidRDefault="00F22F94">
                    <w:pPr>
                      <w:spacing w:before="61"/>
                      <w:ind w:left="255"/>
                      <w:rPr>
                        <w:sz w:val="16"/>
                      </w:rPr>
                    </w:pPr>
                    <w:r>
                      <w:rPr>
                        <w:w w:val="85"/>
                        <w:sz w:val="16"/>
                      </w:rPr>
                      <w:t>0-</w:t>
                    </w:r>
                    <w:r>
                      <w:rPr>
                        <w:spacing w:val="-10"/>
                        <w:sz w:val="16"/>
                      </w:rPr>
                      <w:t>6</w:t>
                    </w:r>
                  </w:p>
                  <w:p w:rsidR="00F22F94" w:rsidRDefault="00F22F94">
                    <w:pPr>
                      <w:spacing w:before="71"/>
                      <w:ind w:left="255"/>
                      <w:rPr>
                        <w:sz w:val="16"/>
                      </w:rPr>
                    </w:pPr>
                    <w:r>
                      <w:rPr>
                        <w:w w:val="85"/>
                        <w:sz w:val="16"/>
                      </w:rPr>
                      <w:t>6-</w:t>
                    </w:r>
                    <w:r>
                      <w:rPr>
                        <w:spacing w:val="-10"/>
                        <w:sz w:val="16"/>
                      </w:rPr>
                      <w:t>9</w:t>
                    </w:r>
                  </w:p>
                  <w:p w:rsidR="00F22F94" w:rsidRDefault="00F22F94">
                    <w:pPr>
                      <w:spacing w:before="71"/>
                      <w:ind w:left="255"/>
                      <w:rPr>
                        <w:sz w:val="16"/>
                      </w:rPr>
                    </w:pPr>
                    <w:r>
                      <w:rPr>
                        <w:w w:val="85"/>
                        <w:sz w:val="16"/>
                      </w:rPr>
                      <w:t>9-</w:t>
                    </w:r>
                    <w:r>
                      <w:rPr>
                        <w:spacing w:val="-5"/>
                        <w:sz w:val="16"/>
                      </w:rPr>
                      <w:t>12</w:t>
                    </w:r>
                  </w:p>
                  <w:p w:rsidR="00F22F94" w:rsidRDefault="00F22F94">
                    <w:pPr>
                      <w:spacing w:before="71"/>
                      <w:ind w:left="255"/>
                      <w:rPr>
                        <w:sz w:val="16"/>
                      </w:rPr>
                    </w:pPr>
                    <w:r>
                      <w:rPr>
                        <w:w w:val="85"/>
                        <w:sz w:val="16"/>
                      </w:rPr>
                      <w:t>12-</w:t>
                    </w:r>
                    <w:r>
                      <w:rPr>
                        <w:spacing w:val="-5"/>
                        <w:sz w:val="16"/>
                      </w:rPr>
                      <w:t>25</w:t>
                    </w:r>
                  </w:p>
                  <w:p w:rsidR="00F22F94" w:rsidRDefault="00F22F94">
                    <w:pPr>
                      <w:spacing w:before="67" w:line="183" w:lineRule="exact"/>
                      <w:ind w:left="255"/>
                      <w:rPr>
                        <w:sz w:val="16"/>
                      </w:rPr>
                    </w:pPr>
                    <w:r>
                      <w:rPr>
                        <w:spacing w:val="-5"/>
                        <w:sz w:val="16"/>
                      </w:rPr>
                      <w:t>25+</w:t>
                    </w:r>
                  </w:p>
                </w:txbxContent>
              </v:textbox>
            </v:shape>
            <v:shape id="docshape745" o:spid="_x0000_s4586" type="#_x0000_t202" style="position:absolute;left:1105;top:8105;width:3088;height:166" filled="f" stroked="f">
              <v:textbox inset="0,0,0,0">
                <w:txbxContent>
                  <w:p w:rsidR="00F22F94" w:rsidRDefault="00F22F94">
                    <w:pPr>
                      <w:spacing w:before="4"/>
                      <w:rPr>
                        <w:sz w:val="14"/>
                      </w:rPr>
                    </w:pPr>
                    <w:r>
                      <w:rPr>
                        <w:w w:val="95"/>
                        <w:sz w:val="14"/>
                      </w:rPr>
                      <w:t>Source:</w:t>
                    </w:r>
                    <w:r>
                      <w:rPr>
                        <w:spacing w:val="5"/>
                        <w:sz w:val="14"/>
                      </w:rPr>
                      <w:t xml:space="preserve"> </w:t>
                    </w:r>
                    <w:r>
                      <w:rPr>
                        <w:w w:val="95"/>
                        <w:sz w:val="14"/>
                      </w:rPr>
                      <w:t>Department</w:t>
                    </w:r>
                    <w:r>
                      <w:rPr>
                        <w:spacing w:val="5"/>
                        <w:sz w:val="14"/>
                      </w:rPr>
                      <w:t xml:space="preserve"> </w:t>
                    </w:r>
                    <w:r>
                      <w:rPr>
                        <w:w w:val="95"/>
                        <w:sz w:val="14"/>
                      </w:rPr>
                      <w:t>of</w:t>
                    </w:r>
                    <w:r>
                      <w:rPr>
                        <w:spacing w:val="5"/>
                        <w:sz w:val="14"/>
                      </w:rPr>
                      <w:t xml:space="preserve"> </w:t>
                    </w:r>
                    <w:r>
                      <w:rPr>
                        <w:w w:val="95"/>
                        <w:sz w:val="14"/>
                      </w:rPr>
                      <w:t>Planning</w:t>
                    </w:r>
                    <w:r>
                      <w:rPr>
                        <w:spacing w:val="5"/>
                        <w:sz w:val="14"/>
                      </w:rPr>
                      <w:t xml:space="preserve"> </w:t>
                    </w:r>
                    <w:r>
                      <w:rPr>
                        <w:w w:val="95"/>
                        <w:sz w:val="14"/>
                      </w:rPr>
                      <w:t>and</w:t>
                    </w:r>
                    <w:r>
                      <w:rPr>
                        <w:spacing w:val="5"/>
                        <w:sz w:val="14"/>
                      </w:rPr>
                      <w:t xml:space="preserve"> </w:t>
                    </w:r>
                    <w:r>
                      <w:rPr>
                        <w:spacing w:val="-2"/>
                        <w:w w:val="95"/>
                        <w:sz w:val="14"/>
                      </w:rPr>
                      <w:t>Infrastructure.</w:t>
                    </w:r>
                  </w:p>
                </w:txbxContent>
              </v:textbox>
            </v:shape>
            <v:shape id="docshape746" o:spid="_x0000_s4585" type="#_x0000_t202" style="position:absolute;left:7044;top:6437;width:1067;height:1301" filled="f" stroked="f">
              <v:textbox inset="0,0,0,0">
                <w:txbxContent>
                  <w:p w:rsidR="00F22F94" w:rsidRDefault="00F22F94">
                    <w:pPr>
                      <w:numPr>
                        <w:ilvl w:val="0"/>
                        <w:numId w:val="110"/>
                      </w:numPr>
                      <w:tabs>
                        <w:tab w:val="left" w:pos="244"/>
                      </w:tabs>
                      <w:spacing w:line="182" w:lineRule="exact"/>
                      <w:ind w:hanging="210"/>
                      <w:rPr>
                        <w:sz w:val="16"/>
                      </w:rPr>
                    </w:pPr>
                    <w:r>
                      <w:rPr>
                        <w:spacing w:val="-2"/>
                        <w:w w:val="90"/>
                        <w:sz w:val="16"/>
                      </w:rPr>
                      <w:t>Blacktown</w:t>
                    </w:r>
                  </w:p>
                  <w:p w:rsidR="00F22F94" w:rsidRDefault="00F22F94">
                    <w:pPr>
                      <w:numPr>
                        <w:ilvl w:val="0"/>
                        <w:numId w:val="110"/>
                      </w:numPr>
                      <w:tabs>
                        <w:tab w:val="left" w:pos="244"/>
                      </w:tabs>
                      <w:spacing w:before="96"/>
                      <w:ind w:hanging="210"/>
                      <w:rPr>
                        <w:sz w:val="16"/>
                      </w:rPr>
                    </w:pPr>
                    <w:r>
                      <w:rPr>
                        <w:spacing w:val="-2"/>
                        <w:w w:val="85"/>
                        <w:sz w:val="16"/>
                      </w:rPr>
                      <w:t>Liverpool</w:t>
                    </w:r>
                  </w:p>
                  <w:p w:rsidR="00F22F94" w:rsidRDefault="00F22F94">
                    <w:pPr>
                      <w:numPr>
                        <w:ilvl w:val="0"/>
                        <w:numId w:val="110"/>
                      </w:numPr>
                      <w:tabs>
                        <w:tab w:val="left" w:pos="244"/>
                      </w:tabs>
                      <w:spacing w:before="96"/>
                      <w:ind w:hanging="210"/>
                      <w:rPr>
                        <w:sz w:val="16"/>
                      </w:rPr>
                    </w:pPr>
                    <w:r>
                      <w:rPr>
                        <w:w w:val="75"/>
                        <w:sz w:val="16"/>
                      </w:rPr>
                      <w:t>Rouse</w:t>
                    </w:r>
                    <w:r>
                      <w:rPr>
                        <w:spacing w:val="-1"/>
                        <w:w w:val="85"/>
                        <w:sz w:val="16"/>
                      </w:rPr>
                      <w:t xml:space="preserve"> </w:t>
                    </w:r>
                    <w:r>
                      <w:rPr>
                        <w:spacing w:val="-4"/>
                        <w:w w:val="85"/>
                        <w:sz w:val="16"/>
                      </w:rPr>
                      <w:t>Hill</w:t>
                    </w:r>
                  </w:p>
                  <w:p w:rsidR="00F22F94" w:rsidRDefault="00F22F94">
                    <w:pPr>
                      <w:numPr>
                        <w:ilvl w:val="0"/>
                        <w:numId w:val="110"/>
                      </w:numPr>
                      <w:tabs>
                        <w:tab w:val="left" w:pos="244"/>
                      </w:tabs>
                      <w:spacing w:before="96"/>
                      <w:ind w:hanging="244"/>
                      <w:rPr>
                        <w:sz w:val="16"/>
                      </w:rPr>
                    </w:pPr>
                    <w:r>
                      <w:rPr>
                        <w:spacing w:val="-2"/>
                        <w:w w:val="80"/>
                        <w:sz w:val="16"/>
                      </w:rPr>
                      <w:t>Campbelltown</w:t>
                    </w:r>
                  </w:p>
                  <w:p w:rsidR="00F22F94" w:rsidRDefault="00F22F94">
                    <w:pPr>
                      <w:numPr>
                        <w:ilvl w:val="0"/>
                        <w:numId w:val="110"/>
                      </w:numPr>
                      <w:tabs>
                        <w:tab w:val="left" w:pos="244"/>
                      </w:tabs>
                      <w:spacing w:before="96" w:line="183" w:lineRule="exact"/>
                      <w:ind w:hanging="239"/>
                      <w:rPr>
                        <w:sz w:val="16"/>
                      </w:rPr>
                    </w:pPr>
                    <w:r>
                      <w:rPr>
                        <w:spacing w:val="-2"/>
                        <w:w w:val="90"/>
                        <w:sz w:val="16"/>
                      </w:rPr>
                      <w:t>Penrith</w:t>
                    </w:r>
                  </w:p>
                </w:txbxContent>
              </v:textbox>
            </v:shape>
            <v:shape id="docshape747" o:spid="_x0000_s4584" type="#_x0000_t202" style="position:absolute;left:4883;top:6437;width:1745;height:1581" filled="f" stroked="f">
              <v:textbox inset="0,0,0,0">
                <w:txbxContent>
                  <w:p w:rsidR="00F22F94" w:rsidRDefault="00F22F94">
                    <w:pPr>
                      <w:numPr>
                        <w:ilvl w:val="0"/>
                        <w:numId w:val="109"/>
                      </w:numPr>
                      <w:tabs>
                        <w:tab w:val="left" w:pos="209"/>
                      </w:tabs>
                      <w:spacing w:line="182" w:lineRule="exact"/>
                      <w:rPr>
                        <w:sz w:val="16"/>
                      </w:rPr>
                    </w:pPr>
                    <w:r>
                      <w:rPr>
                        <w:spacing w:val="-2"/>
                        <w:w w:val="85"/>
                        <w:sz w:val="16"/>
                      </w:rPr>
                      <w:t>Sydney</w:t>
                    </w:r>
                  </w:p>
                  <w:p w:rsidR="00F22F94" w:rsidRDefault="00F22F94">
                    <w:pPr>
                      <w:numPr>
                        <w:ilvl w:val="0"/>
                        <w:numId w:val="109"/>
                      </w:numPr>
                      <w:tabs>
                        <w:tab w:val="left" w:pos="209"/>
                      </w:tabs>
                      <w:spacing w:before="96"/>
                      <w:rPr>
                        <w:sz w:val="16"/>
                      </w:rPr>
                    </w:pPr>
                    <w:r>
                      <w:rPr>
                        <w:w w:val="75"/>
                        <w:sz w:val="16"/>
                      </w:rPr>
                      <w:t>North</w:t>
                    </w:r>
                    <w:r>
                      <w:rPr>
                        <w:spacing w:val="4"/>
                        <w:sz w:val="16"/>
                      </w:rPr>
                      <w:t xml:space="preserve"> </w:t>
                    </w:r>
                    <w:r>
                      <w:rPr>
                        <w:spacing w:val="-2"/>
                        <w:w w:val="85"/>
                        <w:sz w:val="16"/>
                      </w:rPr>
                      <w:t>Sydney</w:t>
                    </w:r>
                  </w:p>
                  <w:p w:rsidR="00F22F94" w:rsidRDefault="00F22F94">
                    <w:pPr>
                      <w:numPr>
                        <w:ilvl w:val="0"/>
                        <w:numId w:val="109"/>
                      </w:numPr>
                      <w:tabs>
                        <w:tab w:val="left" w:pos="209"/>
                      </w:tabs>
                      <w:spacing w:before="96"/>
                      <w:rPr>
                        <w:sz w:val="16"/>
                      </w:rPr>
                    </w:pPr>
                    <w:r>
                      <w:rPr>
                        <w:w w:val="75"/>
                        <w:sz w:val="16"/>
                      </w:rPr>
                      <w:t>Chatswood/St</w:t>
                    </w:r>
                    <w:r>
                      <w:rPr>
                        <w:spacing w:val="22"/>
                        <w:sz w:val="16"/>
                      </w:rPr>
                      <w:t xml:space="preserve"> </w:t>
                    </w:r>
                    <w:r>
                      <w:rPr>
                        <w:spacing w:val="-2"/>
                        <w:w w:val="90"/>
                        <w:sz w:val="16"/>
                      </w:rPr>
                      <w:t>Leonards</w:t>
                    </w:r>
                  </w:p>
                  <w:p w:rsidR="00F22F94" w:rsidRDefault="00F22F94">
                    <w:pPr>
                      <w:numPr>
                        <w:ilvl w:val="0"/>
                        <w:numId w:val="109"/>
                      </w:numPr>
                      <w:tabs>
                        <w:tab w:val="left" w:pos="209"/>
                      </w:tabs>
                      <w:spacing w:before="96"/>
                      <w:rPr>
                        <w:sz w:val="16"/>
                      </w:rPr>
                    </w:pPr>
                    <w:r>
                      <w:rPr>
                        <w:w w:val="75"/>
                        <w:sz w:val="16"/>
                      </w:rPr>
                      <w:t>Sydney</w:t>
                    </w:r>
                    <w:r>
                      <w:rPr>
                        <w:spacing w:val="13"/>
                        <w:sz w:val="16"/>
                      </w:rPr>
                      <w:t xml:space="preserve"> </w:t>
                    </w:r>
                    <w:r>
                      <w:rPr>
                        <w:w w:val="75"/>
                        <w:sz w:val="16"/>
                      </w:rPr>
                      <w:t>Airport/Port</w:t>
                    </w:r>
                    <w:r>
                      <w:rPr>
                        <w:spacing w:val="13"/>
                        <w:sz w:val="16"/>
                      </w:rPr>
                      <w:t xml:space="preserve"> </w:t>
                    </w:r>
                    <w:r>
                      <w:rPr>
                        <w:spacing w:val="-2"/>
                        <w:w w:val="75"/>
                        <w:sz w:val="16"/>
                      </w:rPr>
                      <w:t>Botany</w:t>
                    </w:r>
                  </w:p>
                  <w:p w:rsidR="00F22F94" w:rsidRDefault="00F22F94">
                    <w:pPr>
                      <w:numPr>
                        <w:ilvl w:val="0"/>
                        <w:numId w:val="109"/>
                      </w:numPr>
                      <w:tabs>
                        <w:tab w:val="left" w:pos="209"/>
                      </w:tabs>
                      <w:spacing w:before="96"/>
                      <w:rPr>
                        <w:sz w:val="16"/>
                      </w:rPr>
                    </w:pPr>
                    <w:r>
                      <w:rPr>
                        <w:w w:val="75"/>
                        <w:sz w:val="16"/>
                      </w:rPr>
                      <w:t>Macquarie</w:t>
                    </w:r>
                    <w:r>
                      <w:rPr>
                        <w:spacing w:val="22"/>
                        <w:sz w:val="16"/>
                      </w:rPr>
                      <w:t xml:space="preserve"> </w:t>
                    </w:r>
                    <w:r>
                      <w:rPr>
                        <w:spacing w:val="-4"/>
                        <w:w w:val="90"/>
                        <w:sz w:val="16"/>
                      </w:rPr>
                      <w:t>Park</w:t>
                    </w:r>
                  </w:p>
                  <w:p w:rsidR="00F22F94" w:rsidRDefault="00F22F94">
                    <w:pPr>
                      <w:numPr>
                        <w:ilvl w:val="0"/>
                        <w:numId w:val="109"/>
                      </w:numPr>
                      <w:tabs>
                        <w:tab w:val="left" w:pos="209"/>
                      </w:tabs>
                      <w:spacing w:before="96" w:line="183" w:lineRule="exact"/>
                      <w:rPr>
                        <w:sz w:val="16"/>
                      </w:rPr>
                    </w:pPr>
                    <w:r>
                      <w:rPr>
                        <w:spacing w:val="-2"/>
                        <w:w w:val="90"/>
                        <w:sz w:val="16"/>
                      </w:rPr>
                      <w:t>Parramatta</w:t>
                    </w:r>
                  </w:p>
                </w:txbxContent>
              </v:textbox>
            </v:shape>
            <v:shape id="docshape748" o:spid="_x0000_s4583" type="#_x0000_t202" style="position:absolute;left:4377;top:5205;width:157;height:168" filled="f" stroked="f">
              <v:textbox inset="0,0,0,0">
                <w:txbxContent>
                  <w:p w:rsidR="00F22F94" w:rsidRDefault="00F22F94">
                    <w:pPr>
                      <w:spacing w:before="5"/>
                      <w:rPr>
                        <w:b/>
                        <w:sz w:val="14"/>
                      </w:rPr>
                    </w:pPr>
                    <w:r>
                      <w:rPr>
                        <w:b/>
                        <w:spacing w:val="-5"/>
                        <w:sz w:val="14"/>
                      </w:rPr>
                      <w:t>10</w:t>
                    </w:r>
                  </w:p>
                </w:txbxContent>
              </v:textbox>
            </v:shape>
            <v:shape id="docshape749" o:spid="_x0000_s4582" type="#_x0000_t202" style="position:absolute;left:8807;top:3972;width:98;height:168" filled="f" stroked="f">
              <v:textbox inset="0,0,0,0">
                <w:txbxContent>
                  <w:p w:rsidR="00F22F94" w:rsidRDefault="00F22F94">
                    <w:pPr>
                      <w:spacing w:before="5"/>
                      <w:rPr>
                        <w:b/>
                        <w:sz w:val="14"/>
                      </w:rPr>
                    </w:pPr>
                    <w:r>
                      <w:rPr>
                        <w:b/>
                        <w:w w:val="99"/>
                        <w:sz w:val="14"/>
                      </w:rPr>
                      <w:t>4</w:t>
                    </w:r>
                  </w:p>
                </w:txbxContent>
              </v:textbox>
            </v:shape>
            <v:shape id="docshape750" o:spid="_x0000_s4581" type="#_x0000_t202" style="position:absolute;left:5463;top:3345;width:98;height:168" filled="f" stroked="f">
              <v:textbox inset="0,0,0,0">
                <w:txbxContent>
                  <w:p w:rsidR="00F22F94" w:rsidRDefault="00F22F94">
                    <w:pPr>
                      <w:spacing w:before="5"/>
                      <w:rPr>
                        <w:b/>
                        <w:sz w:val="14"/>
                      </w:rPr>
                    </w:pPr>
                    <w:r>
                      <w:rPr>
                        <w:b/>
                        <w:w w:val="99"/>
                        <w:sz w:val="14"/>
                      </w:rPr>
                      <w:t>8</w:t>
                    </w:r>
                  </w:p>
                </w:txbxContent>
              </v:textbox>
            </v:shape>
            <v:shape id="docshape751" o:spid="_x0000_s4580" type="#_x0000_t202" style="position:absolute;left:8907;top:2976;width:98;height:168" filled="f" stroked="f">
              <v:textbox inset="0,0,0,0">
                <w:txbxContent>
                  <w:p w:rsidR="00F22F94" w:rsidRDefault="00F22F94">
                    <w:pPr>
                      <w:spacing w:before="5"/>
                      <w:rPr>
                        <w:b/>
                        <w:sz w:val="14"/>
                      </w:rPr>
                    </w:pPr>
                    <w:r>
                      <w:rPr>
                        <w:b/>
                        <w:w w:val="99"/>
                        <w:sz w:val="14"/>
                      </w:rPr>
                      <w:t>1</w:t>
                    </w:r>
                  </w:p>
                </w:txbxContent>
              </v:textbox>
            </v:shape>
            <v:shape id="docshape752" o:spid="_x0000_s4579" type="#_x0000_t202" style="position:absolute;left:8807;top:2568;width:98;height:168" filled="f" stroked="f">
              <v:textbox inset="0,0,0,0">
                <w:txbxContent>
                  <w:p w:rsidR="00F22F94" w:rsidRDefault="00F22F94">
                    <w:pPr>
                      <w:spacing w:before="5"/>
                      <w:rPr>
                        <w:b/>
                        <w:sz w:val="14"/>
                      </w:rPr>
                    </w:pPr>
                    <w:r>
                      <w:rPr>
                        <w:b/>
                        <w:w w:val="99"/>
                        <w:sz w:val="14"/>
                      </w:rPr>
                      <w:t>2</w:t>
                    </w:r>
                  </w:p>
                </w:txbxContent>
              </v:textbox>
            </v:shape>
            <v:shape id="docshape753" o:spid="_x0000_s4578" type="#_x0000_t202" style="position:absolute;left:6672;top:2236;width:98;height:168" filled="f" stroked="f">
              <v:textbox inset="0,0,0,0">
                <w:txbxContent>
                  <w:p w:rsidR="00F22F94" w:rsidRDefault="00F22F94">
                    <w:pPr>
                      <w:spacing w:before="5"/>
                      <w:rPr>
                        <w:b/>
                        <w:sz w:val="14"/>
                      </w:rPr>
                    </w:pPr>
                    <w:r>
                      <w:rPr>
                        <w:b/>
                        <w:w w:val="99"/>
                        <w:sz w:val="14"/>
                      </w:rPr>
                      <w:t>6</w:t>
                    </w:r>
                  </w:p>
                </w:txbxContent>
              </v:textbox>
            </v:shape>
            <v:shape id="docshape754" o:spid="_x0000_s4577" type="#_x0000_t202" style="position:absolute;left:8554;top:2036;width:98;height:168" filled="f" stroked="f">
              <v:textbox inset="0,0,0,0">
                <w:txbxContent>
                  <w:p w:rsidR="00F22F94" w:rsidRDefault="00F22F94">
                    <w:pPr>
                      <w:spacing w:before="5"/>
                      <w:rPr>
                        <w:b/>
                        <w:sz w:val="14"/>
                      </w:rPr>
                    </w:pPr>
                    <w:r>
                      <w:rPr>
                        <w:b/>
                        <w:w w:val="99"/>
                        <w:sz w:val="14"/>
                      </w:rPr>
                      <w:t>3</w:t>
                    </w:r>
                  </w:p>
                </w:txbxContent>
              </v:textbox>
            </v:shape>
            <v:shape id="docshape755" o:spid="_x0000_s4576" type="#_x0000_t202" style="position:absolute;left:7694;top:1761;width:98;height:168" filled="f" stroked="f">
              <v:textbox inset="0,0,0,0">
                <w:txbxContent>
                  <w:p w:rsidR="00F22F94" w:rsidRDefault="00F22F94">
                    <w:pPr>
                      <w:spacing w:before="5"/>
                      <w:rPr>
                        <w:b/>
                        <w:sz w:val="14"/>
                      </w:rPr>
                    </w:pPr>
                    <w:r>
                      <w:rPr>
                        <w:b/>
                        <w:w w:val="99"/>
                        <w:sz w:val="14"/>
                      </w:rPr>
                      <w:t>5</w:t>
                    </w:r>
                  </w:p>
                </w:txbxContent>
              </v:textbox>
            </v:shape>
            <v:shape id="docshape756" o:spid="_x0000_s4575" type="#_x0000_t202" style="position:absolute;left:6179;top:1861;width:98;height:168" filled="f" stroked="f">
              <v:textbox inset="0,0,0,0">
                <w:txbxContent>
                  <w:p w:rsidR="00F22F94" w:rsidRDefault="00F22F94">
                    <w:pPr>
                      <w:spacing w:before="5"/>
                      <w:rPr>
                        <w:b/>
                        <w:sz w:val="14"/>
                      </w:rPr>
                    </w:pPr>
                    <w:r>
                      <w:rPr>
                        <w:b/>
                        <w:w w:val="99"/>
                        <w:sz w:val="14"/>
                      </w:rPr>
                      <w:t>7</w:t>
                    </w:r>
                  </w:p>
                </w:txbxContent>
              </v:textbox>
            </v:shape>
            <v:shape id="docshape757" o:spid="_x0000_s4574" type="#_x0000_t202" style="position:absolute;left:2969;top:1713;width:154;height:168" filled="f" stroked="f">
              <v:textbox inset="0,0,0,0">
                <w:txbxContent>
                  <w:p w:rsidR="00F22F94" w:rsidRDefault="00F22F94">
                    <w:pPr>
                      <w:spacing w:before="5"/>
                      <w:rPr>
                        <w:b/>
                        <w:sz w:val="14"/>
                      </w:rPr>
                    </w:pPr>
                    <w:r>
                      <w:rPr>
                        <w:b/>
                        <w:spacing w:val="-7"/>
                        <w:sz w:val="14"/>
                      </w:rPr>
                      <w:t>11</w:t>
                    </w:r>
                  </w:p>
                </w:txbxContent>
              </v:textbox>
            </v:shape>
            <v:shape id="docshape758" o:spid="_x0000_s4573" type="#_x0000_t202" style="position:absolute;left:5363;top:695;width:98;height:168" filled="f" stroked="f">
              <v:textbox inset="0,0,0,0">
                <w:txbxContent>
                  <w:p w:rsidR="00F22F94" w:rsidRDefault="00F22F94">
                    <w:pPr>
                      <w:spacing w:before="5"/>
                      <w:rPr>
                        <w:b/>
                        <w:sz w:val="14"/>
                      </w:rPr>
                    </w:pPr>
                    <w:r>
                      <w:rPr>
                        <w:b/>
                        <w:w w:val="99"/>
                        <w:sz w:val="14"/>
                      </w:rPr>
                      <w:t>9</w:t>
                    </w:r>
                  </w:p>
                </w:txbxContent>
              </v:textbox>
            </v:shape>
            <v:shape id="docshape759" o:spid="_x0000_s4572" type="#_x0000_t202" style="position:absolute;left:992;top:151;width:3912;height:304" fillcolor="#b2b1b3" stroked="f">
              <v:textbox inset="0,0,0,0">
                <w:txbxContent>
                  <w:p w:rsidR="00F22F94" w:rsidRDefault="00F22F94">
                    <w:pPr>
                      <w:spacing w:before="94"/>
                      <w:ind w:left="113"/>
                      <w:rPr>
                        <w:b/>
                        <w:color w:val="000000"/>
                        <w:sz w:val="18"/>
                      </w:rPr>
                    </w:pPr>
                    <w:r>
                      <w:rPr>
                        <w:b/>
                        <w:color w:val="000000"/>
                        <w:sz w:val="18"/>
                      </w:rPr>
                      <w:t>Figure</w:t>
                    </w:r>
                    <w:r>
                      <w:rPr>
                        <w:b/>
                        <w:color w:val="000000"/>
                        <w:spacing w:val="-10"/>
                        <w:sz w:val="18"/>
                      </w:rPr>
                      <w:t xml:space="preserve"> </w:t>
                    </w:r>
                    <w:r>
                      <w:rPr>
                        <w:b/>
                        <w:color w:val="000000"/>
                        <w:sz w:val="18"/>
                      </w:rPr>
                      <w:t>4.2</w:t>
                    </w:r>
                    <w:r>
                      <w:rPr>
                        <w:b/>
                        <w:color w:val="000000"/>
                        <w:spacing w:val="31"/>
                        <w:sz w:val="18"/>
                      </w:rPr>
                      <w:t xml:space="preserve"> </w:t>
                    </w:r>
                    <w:r>
                      <w:rPr>
                        <w:b/>
                        <w:color w:val="000000"/>
                        <w:sz w:val="18"/>
                      </w:rPr>
                      <w:t>Residential</w:t>
                    </w:r>
                    <w:r>
                      <w:rPr>
                        <w:b/>
                        <w:color w:val="000000"/>
                        <w:spacing w:val="-9"/>
                        <w:sz w:val="18"/>
                      </w:rPr>
                      <w:t xml:space="preserve"> </w:t>
                    </w:r>
                    <w:r>
                      <w:rPr>
                        <w:b/>
                        <w:color w:val="000000"/>
                        <w:sz w:val="18"/>
                      </w:rPr>
                      <w:t>Density</w:t>
                    </w:r>
                    <w:r>
                      <w:rPr>
                        <w:b/>
                        <w:color w:val="000000"/>
                        <w:spacing w:val="-9"/>
                        <w:sz w:val="18"/>
                      </w:rPr>
                      <w:t xml:space="preserve"> </w:t>
                    </w:r>
                    <w:r>
                      <w:rPr>
                        <w:b/>
                        <w:color w:val="000000"/>
                        <w:sz w:val="18"/>
                      </w:rPr>
                      <w:t>Sydney</w:t>
                    </w:r>
                    <w:r>
                      <w:rPr>
                        <w:b/>
                        <w:color w:val="000000"/>
                        <w:spacing w:val="-10"/>
                        <w:sz w:val="18"/>
                      </w:rPr>
                      <w:t xml:space="preserve"> </w:t>
                    </w:r>
                    <w:r>
                      <w:rPr>
                        <w:b/>
                        <w:color w:val="000000"/>
                        <w:spacing w:val="-4"/>
                        <w:sz w:val="18"/>
                      </w:rPr>
                      <w:t>2011</w:t>
                    </w:r>
                  </w:p>
                </w:txbxContent>
              </v:textbox>
            </v:shape>
            <w10:wrap anchorx="page"/>
          </v:group>
        </w:pict>
      </w:r>
      <w:bookmarkStart w:id="111" w:name="4.3_Greater_Sydney_in_2031"/>
      <w:bookmarkStart w:id="112" w:name="_bookmark80"/>
      <w:bookmarkStart w:id="113" w:name="_bookmark79"/>
      <w:bookmarkEnd w:id="111"/>
      <w:bookmarkEnd w:id="112"/>
      <w:bookmarkEnd w:id="113"/>
      <w:r w:rsidR="00F22F94">
        <w:rPr>
          <w:w w:val="95"/>
        </w:rPr>
        <w:t>Where</w:t>
      </w:r>
      <w:r w:rsidR="00F22F94">
        <w:rPr>
          <w:spacing w:val="-9"/>
          <w:w w:val="95"/>
        </w:rPr>
        <w:t xml:space="preserve"> </w:t>
      </w:r>
      <w:r w:rsidR="00F22F94">
        <w:rPr>
          <w:w w:val="95"/>
        </w:rPr>
        <w:t>and</w:t>
      </w:r>
      <w:r w:rsidR="00F22F94">
        <w:rPr>
          <w:spacing w:val="-9"/>
          <w:w w:val="95"/>
        </w:rPr>
        <w:t xml:space="preserve"> </w:t>
      </w:r>
      <w:r w:rsidR="00F22F94">
        <w:rPr>
          <w:w w:val="95"/>
        </w:rPr>
        <w:t>how</w:t>
      </w:r>
      <w:r w:rsidR="00F22F94">
        <w:rPr>
          <w:spacing w:val="-9"/>
          <w:w w:val="95"/>
        </w:rPr>
        <w:t xml:space="preserve"> </w:t>
      </w:r>
      <w:r w:rsidR="00F22F94">
        <w:rPr>
          <w:w w:val="95"/>
        </w:rPr>
        <w:t>people</w:t>
      </w:r>
      <w:r w:rsidR="00F22F94">
        <w:rPr>
          <w:spacing w:val="-9"/>
          <w:w w:val="95"/>
        </w:rPr>
        <w:t xml:space="preserve"> </w:t>
      </w:r>
      <w:r w:rsidR="00F22F94">
        <w:rPr>
          <w:w w:val="95"/>
        </w:rPr>
        <w:t>will</w:t>
      </w:r>
      <w:r w:rsidR="00F22F94">
        <w:rPr>
          <w:spacing w:val="-9"/>
          <w:w w:val="95"/>
        </w:rPr>
        <w:t xml:space="preserve"> </w:t>
      </w:r>
      <w:r w:rsidR="00F22F94">
        <w:rPr>
          <w:w w:val="95"/>
        </w:rPr>
        <w:t>live</w:t>
      </w:r>
      <w:r w:rsidR="00F22F94">
        <w:rPr>
          <w:spacing w:val="-9"/>
          <w:w w:val="95"/>
        </w:rPr>
        <w:t xml:space="preserve"> </w:t>
      </w:r>
      <w:r w:rsidR="00F22F94">
        <w:rPr>
          <w:w w:val="95"/>
        </w:rPr>
        <w:t>and</w:t>
      </w:r>
      <w:r w:rsidR="00F22F94">
        <w:rPr>
          <w:spacing w:val="-9"/>
          <w:w w:val="95"/>
        </w:rPr>
        <w:t xml:space="preserve"> </w:t>
      </w:r>
      <w:r w:rsidR="00F22F94">
        <w:rPr>
          <w:w w:val="95"/>
        </w:rPr>
        <w:t>work</w:t>
      </w:r>
      <w:r w:rsidR="00F22F94">
        <w:rPr>
          <w:spacing w:val="-9"/>
          <w:w w:val="95"/>
        </w:rPr>
        <w:t xml:space="preserve"> </w:t>
      </w:r>
      <w:r w:rsidR="00F22F94">
        <w:rPr>
          <w:w w:val="95"/>
        </w:rPr>
        <w:t>are</w:t>
      </w:r>
      <w:r w:rsidR="00F22F94">
        <w:rPr>
          <w:spacing w:val="-9"/>
          <w:w w:val="95"/>
        </w:rPr>
        <w:t xml:space="preserve"> </w:t>
      </w:r>
      <w:r w:rsidR="00F22F94">
        <w:rPr>
          <w:w w:val="95"/>
        </w:rPr>
        <w:t>the</w:t>
      </w:r>
      <w:r w:rsidR="00F22F94">
        <w:rPr>
          <w:spacing w:val="-9"/>
          <w:w w:val="95"/>
        </w:rPr>
        <w:t xml:space="preserve"> </w:t>
      </w:r>
      <w:r w:rsidR="00F22F94">
        <w:rPr>
          <w:w w:val="95"/>
        </w:rPr>
        <w:t>greatest drivers</w:t>
      </w:r>
      <w:r w:rsidR="00F22F94">
        <w:rPr>
          <w:spacing w:val="-2"/>
          <w:w w:val="95"/>
        </w:rPr>
        <w:t xml:space="preserve"> </w:t>
      </w:r>
      <w:r w:rsidR="00F22F94">
        <w:rPr>
          <w:w w:val="95"/>
        </w:rPr>
        <w:t>of</w:t>
      </w:r>
      <w:r w:rsidR="00F22F94">
        <w:rPr>
          <w:spacing w:val="-2"/>
          <w:w w:val="95"/>
        </w:rPr>
        <w:t xml:space="preserve"> </w:t>
      </w:r>
      <w:r w:rsidR="00F22F94">
        <w:rPr>
          <w:w w:val="95"/>
        </w:rPr>
        <w:t>infrastructure</w:t>
      </w:r>
      <w:r w:rsidR="00F22F94">
        <w:rPr>
          <w:spacing w:val="-2"/>
          <w:w w:val="95"/>
        </w:rPr>
        <w:t xml:space="preserve"> </w:t>
      </w:r>
      <w:r w:rsidR="00F22F94">
        <w:rPr>
          <w:w w:val="95"/>
        </w:rPr>
        <w:t>demand.</w:t>
      </w:r>
      <w:r w:rsidR="00F22F94">
        <w:rPr>
          <w:spacing w:val="-2"/>
          <w:w w:val="95"/>
        </w:rPr>
        <w:t xml:space="preserve"> </w:t>
      </w:r>
      <w:r w:rsidR="00F22F94">
        <w:rPr>
          <w:w w:val="95"/>
        </w:rPr>
        <w:t>As</w:t>
      </w:r>
      <w:r w:rsidR="00F22F94">
        <w:rPr>
          <w:spacing w:val="-2"/>
          <w:w w:val="95"/>
        </w:rPr>
        <w:t xml:space="preserve"> </w:t>
      </w:r>
      <w:r w:rsidR="00F22F94">
        <w:rPr>
          <w:w w:val="95"/>
        </w:rPr>
        <w:t>noted,</w:t>
      </w:r>
      <w:r w:rsidR="00F22F94">
        <w:rPr>
          <w:spacing w:val="-2"/>
          <w:w w:val="95"/>
        </w:rPr>
        <w:t xml:space="preserve"> </w:t>
      </w:r>
      <w:r w:rsidR="00F22F94">
        <w:rPr>
          <w:w w:val="95"/>
        </w:rPr>
        <w:t>over</w:t>
      </w:r>
      <w:r w:rsidR="00F22F94">
        <w:rPr>
          <w:spacing w:val="-2"/>
          <w:w w:val="95"/>
        </w:rPr>
        <w:t xml:space="preserve"> </w:t>
      </w:r>
      <w:r w:rsidR="00F22F94">
        <w:rPr>
          <w:w w:val="95"/>
        </w:rPr>
        <w:t>the</w:t>
      </w:r>
      <w:r w:rsidR="00F22F94">
        <w:rPr>
          <w:spacing w:val="-2"/>
          <w:w w:val="95"/>
        </w:rPr>
        <w:t xml:space="preserve"> </w:t>
      </w:r>
      <w:r w:rsidR="00F22F94">
        <w:rPr>
          <w:w w:val="95"/>
        </w:rPr>
        <w:t xml:space="preserve">next </w:t>
      </w:r>
      <w:r w:rsidR="00F22F94">
        <w:rPr>
          <w:w w:val="90"/>
        </w:rPr>
        <w:t xml:space="preserve">20 years an additional 1.1 million people will call the region </w:t>
      </w:r>
      <w:r w:rsidR="00F22F94">
        <w:t>home,</w:t>
      </w:r>
      <w:r w:rsidR="00F22F94">
        <w:rPr>
          <w:spacing w:val="-14"/>
        </w:rPr>
        <w:t xml:space="preserve"> </w:t>
      </w:r>
      <w:r w:rsidR="00F22F94">
        <w:t>and</w:t>
      </w:r>
      <w:r w:rsidR="00F22F94">
        <w:rPr>
          <w:spacing w:val="-14"/>
        </w:rPr>
        <w:t xml:space="preserve"> </w:t>
      </w:r>
      <w:r w:rsidR="00F22F94">
        <w:t>around</w:t>
      </w:r>
      <w:r w:rsidR="00F22F94">
        <w:rPr>
          <w:spacing w:val="-14"/>
        </w:rPr>
        <w:t xml:space="preserve"> </w:t>
      </w:r>
      <w:r w:rsidR="00F22F94">
        <w:t>300,000</w:t>
      </w:r>
      <w:r w:rsidR="00F22F94">
        <w:rPr>
          <w:spacing w:val="-14"/>
        </w:rPr>
        <w:t xml:space="preserve"> </w:t>
      </w:r>
      <w:r w:rsidR="00F22F94">
        <w:t>new</w:t>
      </w:r>
      <w:r w:rsidR="00F22F94">
        <w:rPr>
          <w:spacing w:val="-14"/>
        </w:rPr>
        <w:t xml:space="preserve"> </w:t>
      </w:r>
      <w:r w:rsidR="00F22F94">
        <w:t>jobs</w:t>
      </w:r>
      <w:r w:rsidR="00F22F94">
        <w:rPr>
          <w:spacing w:val="-14"/>
        </w:rPr>
        <w:t xml:space="preserve"> </w:t>
      </w:r>
      <w:r w:rsidR="00F22F94">
        <w:t>will</w:t>
      </w:r>
      <w:r w:rsidR="00F22F94">
        <w:rPr>
          <w:spacing w:val="-14"/>
        </w:rPr>
        <w:t xml:space="preserve"> </w:t>
      </w:r>
      <w:r w:rsidR="00F22F94">
        <w:t>be</w:t>
      </w:r>
      <w:r w:rsidR="00F22F94">
        <w:rPr>
          <w:spacing w:val="-14"/>
        </w:rPr>
        <w:t xml:space="preserve"> </w:t>
      </w:r>
      <w:r w:rsidR="00F22F94">
        <w:t>created.</w:t>
      </w:r>
    </w:p>
    <w:p w:rsidR="002C1123" w:rsidRDefault="00F22F94">
      <w:pPr>
        <w:pStyle w:val="BodyText"/>
        <w:spacing w:before="3" w:line="249" w:lineRule="auto"/>
        <w:ind w:left="10545" w:right="709"/>
      </w:pPr>
      <w:r>
        <w:rPr>
          <w:w w:val="95"/>
        </w:rPr>
        <w:t>To</w:t>
      </w:r>
      <w:r>
        <w:rPr>
          <w:spacing w:val="-12"/>
          <w:w w:val="95"/>
        </w:rPr>
        <w:t xml:space="preserve"> </w:t>
      </w:r>
      <w:r>
        <w:rPr>
          <w:w w:val="95"/>
        </w:rPr>
        <w:t>put</w:t>
      </w:r>
      <w:r>
        <w:rPr>
          <w:spacing w:val="-11"/>
          <w:w w:val="95"/>
        </w:rPr>
        <w:t xml:space="preserve"> </w:t>
      </w:r>
      <w:r>
        <w:rPr>
          <w:w w:val="95"/>
        </w:rPr>
        <w:t>this</w:t>
      </w:r>
      <w:r>
        <w:rPr>
          <w:spacing w:val="-11"/>
          <w:w w:val="95"/>
        </w:rPr>
        <w:t xml:space="preserve"> </w:t>
      </w:r>
      <w:r>
        <w:rPr>
          <w:w w:val="95"/>
        </w:rPr>
        <w:t>in</w:t>
      </w:r>
      <w:r>
        <w:rPr>
          <w:spacing w:val="-11"/>
          <w:w w:val="95"/>
        </w:rPr>
        <w:t xml:space="preserve"> </w:t>
      </w:r>
      <w:r>
        <w:rPr>
          <w:w w:val="95"/>
        </w:rPr>
        <w:t>context,</w:t>
      </w:r>
      <w:r>
        <w:rPr>
          <w:spacing w:val="-12"/>
          <w:w w:val="95"/>
        </w:rPr>
        <w:t xml:space="preserve"> </w:t>
      </w:r>
      <w:r>
        <w:rPr>
          <w:w w:val="95"/>
        </w:rPr>
        <w:t>this</w:t>
      </w:r>
      <w:r>
        <w:rPr>
          <w:spacing w:val="-11"/>
          <w:w w:val="95"/>
        </w:rPr>
        <w:t xml:space="preserve"> </w:t>
      </w:r>
      <w:r>
        <w:rPr>
          <w:w w:val="95"/>
        </w:rPr>
        <w:t>is</w:t>
      </w:r>
      <w:r>
        <w:rPr>
          <w:spacing w:val="-11"/>
          <w:w w:val="95"/>
        </w:rPr>
        <w:t xml:space="preserve"> </w:t>
      </w:r>
      <w:r>
        <w:rPr>
          <w:w w:val="95"/>
        </w:rPr>
        <w:t>double</w:t>
      </w:r>
      <w:r>
        <w:rPr>
          <w:spacing w:val="-11"/>
          <w:w w:val="95"/>
        </w:rPr>
        <w:t xml:space="preserve"> </w:t>
      </w:r>
      <w:r>
        <w:rPr>
          <w:w w:val="95"/>
        </w:rPr>
        <w:t>the</w:t>
      </w:r>
      <w:r>
        <w:rPr>
          <w:spacing w:val="-11"/>
          <w:w w:val="95"/>
        </w:rPr>
        <w:t xml:space="preserve"> </w:t>
      </w:r>
      <w:r>
        <w:rPr>
          <w:w w:val="95"/>
        </w:rPr>
        <w:t>population</w:t>
      </w:r>
      <w:r>
        <w:rPr>
          <w:spacing w:val="-12"/>
          <w:w w:val="95"/>
        </w:rPr>
        <w:t xml:space="preserve"> </w:t>
      </w:r>
      <w:r>
        <w:rPr>
          <w:w w:val="95"/>
        </w:rPr>
        <w:t>growth of</w:t>
      </w:r>
      <w:r>
        <w:rPr>
          <w:spacing w:val="-4"/>
          <w:w w:val="95"/>
        </w:rPr>
        <w:t xml:space="preserve"> </w:t>
      </w:r>
      <w:r>
        <w:rPr>
          <w:w w:val="95"/>
        </w:rPr>
        <w:t>Greater</w:t>
      </w:r>
      <w:r>
        <w:rPr>
          <w:spacing w:val="-4"/>
          <w:w w:val="95"/>
        </w:rPr>
        <w:t xml:space="preserve"> </w:t>
      </w:r>
      <w:r>
        <w:rPr>
          <w:w w:val="95"/>
        </w:rPr>
        <w:t>Sydney</w:t>
      </w:r>
      <w:r>
        <w:rPr>
          <w:spacing w:val="-4"/>
          <w:w w:val="95"/>
        </w:rPr>
        <w:t xml:space="preserve"> </w:t>
      </w:r>
      <w:r>
        <w:rPr>
          <w:w w:val="95"/>
        </w:rPr>
        <w:t>in</w:t>
      </w:r>
      <w:r>
        <w:rPr>
          <w:spacing w:val="-4"/>
          <w:w w:val="95"/>
        </w:rPr>
        <w:t xml:space="preserve"> </w:t>
      </w:r>
      <w:r>
        <w:rPr>
          <w:w w:val="95"/>
        </w:rPr>
        <w:t>the</w:t>
      </w:r>
      <w:r>
        <w:rPr>
          <w:spacing w:val="-4"/>
          <w:w w:val="95"/>
        </w:rPr>
        <w:t xml:space="preserve"> </w:t>
      </w:r>
      <w:r>
        <w:rPr>
          <w:w w:val="95"/>
        </w:rPr>
        <w:t>20</w:t>
      </w:r>
      <w:r>
        <w:rPr>
          <w:spacing w:val="-4"/>
          <w:w w:val="95"/>
        </w:rPr>
        <w:t xml:space="preserve"> </w:t>
      </w:r>
      <w:r>
        <w:rPr>
          <w:w w:val="95"/>
        </w:rPr>
        <w:t>years</w:t>
      </w:r>
      <w:r>
        <w:rPr>
          <w:spacing w:val="-4"/>
          <w:w w:val="95"/>
        </w:rPr>
        <w:t xml:space="preserve"> </w:t>
      </w:r>
      <w:r>
        <w:rPr>
          <w:w w:val="95"/>
        </w:rPr>
        <w:t>from</w:t>
      </w:r>
      <w:r>
        <w:rPr>
          <w:spacing w:val="-4"/>
          <w:w w:val="95"/>
        </w:rPr>
        <w:t xml:space="preserve"> </w:t>
      </w:r>
      <w:r>
        <w:rPr>
          <w:w w:val="95"/>
        </w:rPr>
        <w:t>1991</w:t>
      </w:r>
      <w:r>
        <w:rPr>
          <w:spacing w:val="-4"/>
          <w:w w:val="95"/>
        </w:rPr>
        <w:t xml:space="preserve"> </w:t>
      </w:r>
      <w:r>
        <w:rPr>
          <w:w w:val="95"/>
        </w:rPr>
        <w:t>to</w:t>
      </w:r>
      <w:r>
        <w:rPr>
          <w:spacing w:val="-4"/>
          <w:w w:val="95"/>
        </w:rPr>
        <w:t xml:space="preserve"> </w:t>
      </w:r>
      <w:r>
        <w:rPr>
          <w:w w:val="95"/>
        </w:rPr>
        <w:t>2011.</w:t>
      </w:r>
    </w:p>
    <w:p w:rsidR="002C1123" w:rsidRDefault="00F22F94">
      <w:pPr>
        <w:pStyle w:val="BodyText"/>
        <w:spacing w:before="115" w:line="249" w:lineRule="auto"/>
        <w:ind w:left="10545" w:right="709"/>
      </w:pPr>
      <w:r>
        <w:rPr>
          <w:w w:val="95"/>
        </w:rPr>
        <w:t>It is not possible to have any certainty as to how Sydney will</w:t>
      </w:r>
      <w:r>
        <w:rPr>
          <w:spacing w:val="-7"/>
          <w:w w:val="95"/>
        </w:rPr>
        <w:t xml:space="preserve"> </w:t>
      </w:r>
      <w:r>
        <w:rPr>
          <w:w w:val="95"/>
        </w:rPr>
        <w:t>develop</w:t>
      </w:r>
      <w:r>
        <w:rPr>
          <w:spacing w:val="-7"/>
          <w:w w:val="95"/>
        </w:rPr>
        <w:t xml:space="preserve"> </w:t>
      </w:r>
      <w:r>
        <w:rPr>
          <w:w w:val="95"/>
        </w:rPr>
        <w:t>at</w:t>
      </w:r>
      <w:r>
        <w:rPr>
          <w:spacing w:val="-7"/>
          <w:w w:val="95"/>
        </w:rPr>
        <w:t xml:space="preserve"> </w:t>
      </w:r>
      <w:r>
        <w:rPr>
          <w:w w:val="95"/>
        </w:rPr>
        <w:t>the</w:t>
      </w:r>
      <w:r>
        <w:rPr>
          <w:spacing w:val="-7"/>
          <w:w w:val="95"/>
        </w:rPr>
        <w:t xml:space="preserve"> </w:t>
      </w:r>
      <w:r>
        <w:rPr>
          <w:w w:val="95"/>
        </w:rPr>
        <w:t>micro</w:t>
      </w:r>
      <w:r>
        <w:rPr>
          <w:spacing w:val="-7"/>
          <w:w w:val="95"/>
        </w:rPr>
        <w:t xml:space="preserve"> </w:t>
      </w:r>
      <w:r>
        <w:rPr>
          <w:w w:val="95"/>
        </w:rPr>
        <w:t>level,</w:t>
      </w:r>
      <w:r>
        <w:rPr>
          <w:spacing w:val="-7"/>
          <w:w w:val="95"/>
        </w:rPr>
        <w:t xml:space="preserve"> </w:t>
      </w:r>
      <w:r>
        <w:rPr>
          <w:w w:val="95"/>
        </w:rPr>
        <w:t>given</w:t>
      </w:r>
      <w:r>
        <w:rPr>
          <w:spacing w:val="-7"/>
          <w:w w:val="95"/>
        </w:rPr>
        <w:t xml:space="preserve"> </w:t>
      </w:r>
      <w:r>
        <w:rPr>
          <w:w w:val="95"/>
        </w:rPr>
        <w:t>the</w:t>
      </w:r>
      <w:r>
        <w:rPr>
          <w:spacing w:val="-7"/>
          <w:w w:val="95"/>
        </w:rPr>
        <w:t xml:space="preserve"> </w:t>
      </w:r>
      <w:r>
        <w:rPr>
          <w:w w:val="95"/>
        </w:rPr>
        <w:t>complexity</w:t>
      </w:r>
      <w:r>
        <w:rPr>
          <w:spacing w:val="-7"/>
          <w:w w:val="95"/>
        </w:rPr>
        <w:t xml:space="preserve"> </w:t>
      </w:r>
      <w:r>
        <w:rPr>
          <w:w w:val="95"/>
        </w:rPr>
        <w:t>of</w:t>
      </w:r>
      <w:r>
        <w:rPr>
          <w:spacing w:val="-7"/>
          <w:w w:val="95"/>
        </w:rPr>
        <w:t xml:space="preserve"> </w:t>
      </w:r>
      <w:r>
        <w:rPr>
          <w:w w:val="95"/>
        </w:rPr>
        <w:t>the many</w:t>
      </w:r>
      <w:r>
        <w:rPr>
          <w:spacing w:val="-9"/>
          <w:w w:val="95"/>
        </w:rPr>
        <w:t xml:space="preserve"> </w:t>
      </w:r>
      <w:r>
        <w:rPr>
          <w:w w:val="95"/>
        </w:rPr>
        <w:t>private</w:t>
      </w:r>
      <w:r>
        <w:rPr>
          <w:spacing w:val="-9"/>
          <w:w w:val="95"/>
        </w:rPr>
        <w:t xml:space="preserve"> </w:t>
      </w:r>
      <w:r>
        <w:rPr>
          <w:w w:val="95"/>
        </w:rPr>
        <w:t>decisions</w:t>
      </w:r>
      <w:r>
        <w:rPr>
          <w:spacing w:val="-9"/>
          <w:w w:val="95"/>
        </w:rPr>
        <w:t xml:space="preserve"> </w:t>
      </w:r>
      <w:r>
        <w:rPr>
          <w:w w:val="95"/>
        </w:rPr>
        <w:t>that</w:t>
      </w:r>
      <w:r>
        <w:rPr>
          <w:spacing w:val="-9"/>
          <w:w w:val="95"/>
        </w:rPr>
        <w:t xml:space="preserve"> </w:t>
      </w:r>
      <w:r>
        <w:rPr>
          <w:w w:val="95"/>
        </w:rPr>
        <w:t>will</w:t>
      </w:r>
      <w:r>
        <w:rPr>
          <w:spacing w:val="-9"/>
          <w:w w:val="95"/>
        </w:rPr>
        <w:t xml:space="preserve"> </w:t>
      </w:r>
      <w:r>
        <w:rPr>
          <w:w w:val="95"/>
        </w:rPr>
        <w:t>influence</w:t>
      </w:r>
      <w:r>
        <w:rPr>
          <w:spacing w:val="-9"/>
          <w:w w:val="95"/>
        </w:rPr>
        <w:t xml:space="preserve"> </w:t>
      </w:r>
      <w:r>
        <w:rPr>
          <w:w w:val="95"/>
        </w:rPr>
        <w:t>where</w:t>
      </w:r>
      <w:r>
        <w:rPr>
          <w:spacing w:val="-9"/>
          <w:w w:val="95"/>
        </w:rPr>
        <w:t xml:space="preserve"> </w:t>
      </w:r>
      <w:r>
        <w:rPr>
          <w:w w:val="95"/>
        </w:rPr>
        <w:t xml:space="preserve">Sydney’s </w:t>
      </w:r>
      <w:r>
        <w:t>growth will occur.</w:t>
      </w:r>
    </w:p>
    <w:p w:rsidR="002C1123" w:rsidRDefault="00F22F94">
      <w:pPr>
        <w:pStyle w:val="BodyText"/>
        <w:spacing w:before="117" w:line="249" w:lineRule="auto"/>
        <w:ind w:left="10545" w:right="803"/>
      </w:pPr>
      <w:r>
        <w:rPr>
          <w:w w:val="95"/>
        </w:rPr>
        <w:t xml:space="preserve">Analysis developed by Deloitte Access Economics for </w:t>
      </w:r>
      <w:r>
        <w:rPr>
          <w:spacing w:val="-2"/>
          <w:w w:val="95"/>
        </w:rPr>
        <w:t>this</w:t>
      </w:r>
      <w:r>
        <w:rPr>
          <w:spacing w:val="-3"/>
        </w:rPr>
        <w:t xml:space="preserve"> </w:t>
      </w:r>
      <w:r>
        <w:rPr>
          <w:spacing w:val="-2"/>
          <w:w w:val="95"/>
        </w:rPr>
        <w:t>Strategy</w:t>
      </w:r>
      <w:r>
        <w:rPr>
          <w:spacing w:val="-2"/>
        </w:rPr>
        <w:t xml:space="preserve"> </w:t>
      </w:r>
      <w:r>
        <w:rPr>
          <w:spacing w:val="-2"/>
          <w:w w:val="95"/>
        </w:rPr>
        <w:t>indicates</w:t>
      </w:r>
      <w:r>
        <w:rPr>
          <w:spacing w:val="-2"/>
        </w:rPr>
        <w:t xml:space="preserve"> </w:t>
      </w:r>
      <w:r>
        <w:rPr>
          <w:spacing w:val="-2"/>
          <w:w w:val="95"/>
        </w:rPr>
        <w:t>the</w:t>
      </w:r>
      <w:r>
        <w:rPr>
          <w:spacing w:val="-3"/>
        </w:rPr>
        <w:t xml:space="preserve"> </w:t>
      </w:r>
      <w:r>
        <w:rPr>
          <w:spacing w:val="-2"/>
          <w:w w:val="95"/>
        </w:rPr>
        <w:t>following</w:t>
      </w:r>
      <w:r>
        <w:rPr>
          <w:spacing w:val="-2"/>
        </w:rPr>
        <w:t xml:space="preserve"> </w:t>
      </w:r>
      <w:r>
        <w:rPr>
          <w:spacing w:val="-2"/>
          <w:w w:val="95"/>
        </w:rPr>
        <w:t>high</w:t>
      </w:r>
      <w:r>
        <w:rPr>
          <w:spacing w:val="-2"/>
        </w:rPr>
        <w:t xml:space="preserve"> </w:t>
      </w:r>
      <w:r>
        <w:rPr>
          <w:spacing w:val="-2"/>
          <w:w w:val="95"/>
        </w:rPr>
        <w:t>level</w:t>
      </w:r>
      <w:r>
        <w:rPr>
          <w:spacing w:val="-2"/>
        </w:rPr>
        <w:t xml:space="preserve"> </w:t>
      </w:r>
      <w:r>
        <w:rPr>
          <w:spacing w:val="-2"/>
          <w:w w:val="95"/>
        </w:rPr>
        <w:t>findings:</w:t>
      </w:r>
    </w:p>
    <w:p w:rsidR="002C1123" w:rsidRDefault="00F22F94">
      <w:pPr>
        <w:pStyle w:val="ListParagraph"/>
        <w:numPr>
          <w:ilvl w:val="0"/>
          <w:numId w:val="111"/>
        </w:numPr>
        <w:tabs>
          <w:tab w:val="left" w:pos="10830"/>
        </w:tabs>
        <w:spacing w:before="102" w:line="249" w:lineRule="auto"/>
        <w:ind w:right="718"/>
        <w:rPr>
          <w:sz w:val="20"/>
        </w:rPr>
      </w:pPr>
      <w:r>
        <w:rPr>
          <w:sz w:val="20"/>
        </w:rPr>
        <w:t>As</w:t>
      </w:r>
      <w:r>
        <w:rPr>
          <w:spacing w:val="-9"/>
          <w:sz w:val="20"/>
        </w:rPr>
        <w:t xml:space="preserve"> </w:t>
      </w:r>
      <w:r>
        <w:rPr>
          <w:sz w:val="20"/>
        </w:rPr>
        <w:t>in</w:t>
      </w:r>
      <w:r>
        <w:rPr>
          <w:spacing w:val="-9"/>
          <w:sz w:val="20"/>
        </w:rPr>
        <w:t xml:space="preserve"> </w:t>
      </w:r>
      <w:r>
        <w:rPr>
          <w:sz w:val="20"/>
        </w:rPr>
        <w:t>recent</w:t>
      </w:r>
      <w:r>
        <w:rPr>
          <w:spacing w:val="-9"/>
          <w:sz w:val="20"/>
        </w:rPr>
        <w:t xml:space="preserve"> </w:t>
      </w:r>
      <w:r>
        <w:rPr>
          <w:sz w:val="20"/>
        </w:rPr>
        <w:t>years,</w:t>
      </w:r>
      <w:r>
        <w:rPr>
          <w:spacing w:val="-9"/>
          <w:sz w:val="20"/>
        </w:rPr>
        <w:t xml:space="preserve"> </w:t>
      </w:r>
      <w:r>
        <w:rPr>
          <w:sz w:val="20"/>
        </w:rPr>
        <w:t>housing</w:t>
      </w:r>
      <w:r>
        <w:rPr>
          <w:spacing w:val="-9"/>
          <w:sz w:val="20"/>
        </w:rPr>
        <w:t xml:space="preserve"> </w:t>
      </w:r>
      <w:r>
        <w:rPr>
          <w:sz w:val="20"/>
        </w:rPr>
        <w:t>growth</w:t>
      </w:r>
      <w:r>
        <w:rPr>
          <w:spacing w:val="-9"/>
          <w:sz w:val="20"/>
        </w:rPr>
        <w:t xml:space="preserve"> </w:t>
      </w:r>
      <w:r>
        <w:rPr>
          <w:sz w:val="20"/>
        </w:rPr>
        <w:t>is</w:t>
      </w:r>
      <w:r>
        <w:rPr>
          <w:spacing w:val="-9"/>
          <w:sz w:val="20"/>
        </w:rPr>
        <w:t xml:space="preserve"> </w:t>
      </w:r>
      <w:r>
        <w:rPr>
          <w:sz w:val="20"/>
        </w:rPr>
        <w:t>expected</w:t>
      </w:r>
      <w:r>
        <w:rPr>
          <w:spacing w:val="-9"/>
          <w:sz w:val="20"/>
        </w:rPr>
        <w:t xml:space="preserve"> </w:t>
      </w:r>
      <w:r>
        <w:rPr>
          <w:sz w:val="20"/>
        </w:rPr>
        <w:t xml:space="preserve">to </w:t>
      </w:r>
      <w:r>
        <w:rPr>
          <w:w w:val="95"/>
          <w:sz w:val="20"/>
        </w:rPr>
        <w:t>come</w:t>
      </w:r>
      <w:r>
        <w:rPr>
          <w:spacing w:val="-3"/>
          <w:w w:val="95"/>
          <w:sz w:val="20"/>
        </w:rPr>
        <w:t xml:space="preserve"> </w:t>
      </w:r>
      <w:r>
        <w:rPr>
          <w:w w:val="95"/>
          <w:sz w:val="20"/>
        </w:rPr>
        <w:t>primarily</w:t>
      </w:r>
      <w:r>
        <w:rPr>
          <w:spacing w:val="-3"/>
          <w:w w:val="95"/>
          <w:sz w:val="20"/>
        </w:rPr>
        <w:t xml:space="preserve"> </w:t>
      </w:r>
      <w:r>
        <w:rPr>
          <w:w w:val="95"/>
          <w:sz w:val="20"/>
        </w:rPr>
        <w:t>through</w:t>
      </w:r>
      <w:r>
        <w:rPr>
          <w:spacing w:val="-3"/>
          <w:w w:val="95"/>
          <w:sz w:val="20"/>
        </w:rPr>
        <w:t xml:space="preserve"> </w:t>
      </w:r>
      <w:r>
        <w:rPr>
          <w:w w:val="95"/>
          <w:sz w:val="20"/>
        </w:rPr>
        <w:t>densification</w:t>
      </w:r>
      <w:r>
        <w:rPr>
          <w:spacing w:val="-3"/>
          <w:w w:val="95"/>
          <w:sz w:val="20"/>
        </w:rPr>
        <w:t xml:space="preserve"> </w:t>
      </w:r>
      <w:r>
        <w:rPr>
          <w:w w:val="95"/>
          <w:sz w:val="20"/>
        </w:rPr>
        <w:t>of</w:t>
      </w:r>
      <w:r>
        <w:rPr>
          <w:spacing w:val="-3"/>
          <w:w w:val="95"/>
          <w:sz w:val="20"/>
        </w:rPr>
        <w:t xml:space="preserve"> </w:t>
      </w:r>
      <w:r>
        <w:rPr>
          <w:w w:val="95"/>
          <w:sz w:val="20"/>
        </w:rPr>
        <w:t>existing</w:t>
      </w:r>
      <w:r>
        <w:rPr>
          <w:spacing w:val="-3"/>
          <w:w w:val="95"/>
          <w:sz w:val="20"/>
        </w:rPr>
        <w:t xml:space="preserve"> </w:t>
      </w:r>
      <w:r>
        <w:rPr>
          <w:w w:val="95"/>
          <w:sz w:val="20"/>
        </w:rPr>
        <w:t xml:space="preserve">urban </w:t>
      </w:r>
      <w:r>
        <w:rPr>
          <w:sz w:val="20"/>
        </w:rPr>
        <w:t>areas.</w:t>
      </w:r>
      <w:r>
        <w:rPr>
          <w:spacing w:val="-14"/>
          <w:sz w:val="20"/>
        </w:rPr>
        <w:t xml:space="preserve"> </w:t>
      </w:r>
      <w:r>
        <w:rPr>
          <w:sz w:val="20"/>
        </w:rPr>
        <w:t>Over</w:t>
      </w:r>
      <w:r>
        <w:rPr>
          <w:spacing w:val="-14"/>
          <w:sz w:val="20"/>
        </w:rPr>
        <w:t xml:space="preserve"> </w:t>
      </w:r>
      <w:r>
        <w:rPr>
          <w:sz w:val="20"/>
        </w:rPr>
        <w:t>the</w:t>
      </w:r>
      <w:r>
        <w:rPr>
          <w:spacing w:val="-14"/>
          <w:sz w:val="20"/>
        </w:rPr>
        <w:t xml:space="preserve"> </w:t>
      </w:r>
      <w:r>
        <w:rPr>
          <w:sz w:val="20"/>
        </w:rPr>
        <w:t>past</w:t>
      </w:r>
      <w:r>
        <w:rPr>
          <w:spacing w:val="-14"/>
          <w:sz w:val="20"/>
        </w:rPr>
        <w:t xml:space="preserve"> </w:t>
      </w:r>
      <w:r>
        <w:rPr>
          <w:sz w:val="20"/>
        </w:rPr>
        <w:t>five</w:t>
      </w:r>
      <w:r>
        <w:rPr>
          <w:spacing w:val="-14"/>
          <w:sz w:val="20"/>
        </w:rPr>
        <w:t xml:space="preserve"> </w:t>
      </w:r>
      <w:r>
        <w:rPr>
          <w:sz w:val="20"/>
        </w:rPr>
        <w:t>years,</w:t>
      </w:r>
      <w:r>
        <w:rPr>
          <w:spacing w:val="-14"/>
          <w:sz w:val="20"/>
        </w:rPr>
        <w:t xml:space="preserve"> </w:t>
      </w:r>
      <w:r>
        <w:rPr>
          <w:sz w:val="20"/>
        </w:rPr>
        <w:t>only</w:t>
      </w:r>
      <w:r>
        <w:rPr>
          <w:spacing w:val="-14"/>
          <w:sz w:val="20"/>
        </w:rPr>
        <w:t xml:space="preserve"> </w:t>
      </w:r>
      <w:r>
        <w:rPr>
          <w:sz w:val="20"/>
        </w:rPr>
        <w:t>15</w:t>
      </w:r>
      <w:r>
        <w:rPr>
          <w:spacing w:val="-14"/>
          <w:sz w:val="20"/>
        </w:rPr>
        <w:t xml:space="preserve"> </w:t>
      </w:r>
      <w:r>
        <w:rPr>
          <w:sz w:val="20"/>
        </w:rPr>
        <w:t>percent</w:t>
      </w:r>
      <w:r>
        <w:rPr>
          <w:spacing w:val="-14"/>
          <w:sz w:val="20"/>
        </w:rPr>
        <w:t xml:space="preserve"> </w:t>
      </w:r>
      <w:r>
        <w:rPr>
          <w:sz w:val="20"/>
        </w:rPr>
        <w:t>of development</w:t>
      </w:r>
      <w:r>
        <w:rPr>
          <w:spacing w:val="-14"/>
          <w:sz w:val="20"/>
        </w:rPr>
        <w:t xml:space="preserve"> </w:t>
      </w:r>
      <w:r>
        <w:rPr>
          <w:sz w:val="20"/>
        </w:rPr>
        <w:t>has</w:t>
      </w:r>
      <w:r>
        <w:rPr>
          <w:spacing w:val="-14"/>
          <w:sz w:val="20"/>
        </w:rPr>
        <w:t xml:space="preserve"> </w:t>
      </w:r>
      <w:r>
        <w:rPr>
          <w:sz w:val="20"/>
        </w:rPr>
        <w:t>been</w:t>
      </w:r>
      <w:r>
        <w:rPr>
          <w:spacing w:val="-14"/>
          <w:sz w:val="20"/>
        </w:rPr>
        <w:t xml:space="preserve"> </w:t>
      </w:r>
      <w:r>
        <w:rPr>
          <w:sz w:val="20"/>
        </w:rPr>
        <w:t>in</w:t>
      </w:r>
      <w:r>
        <w:rPr>
          <w:spacing w:val="-14"/>
          <w:sz w:val="20"/>
        </w:rPr>
        <w:t xml:space="preserve"> </w:t>
      </w:r>
      <w:r>
        <w:rPr>
          <w:sz w:val="20"/>
        </w:rPr>
        <w:t>greenfield</w:t>
      </w:r>
      <w:r>
        <w:rPr>
          <w:spacing w:val="-14"/>
          <w:sz w:val="20"/>
        </w:rPr>
        <w:t xml:space="preserve"> </w:t>
      </w:r>
      <w:r>
        <w:rPr>
          <w:sz w:val="20"/>
        </w:rPr>
        <w:t>areas</w:t>
      </w:r>
      <w:r>
        <w:rPr>
          <w:spacing w:val="-14"/>
          <w:sz w:val="20"/>
        </w:rPr>
        <w:t xml:space="preserve"> </w:t>
      </w:r>
      <w:r>
        <w:rPr>
          <w:sz w:val="20"/>
        </w:rPr>
        <w:t>and</w:t>
      </w:r>
      <w:r>
        <w:rPr>
          <w:spacing w:val="-14"/>
          <w:sz w:val="20"/>
        </w:rPr>
        <w:t xml:space="preserve"> </w:t>
      </w:r>
      <w:r>
        <w:rPr>
          <w:sz w:val="20"/>
        </w:rPr>
        <w:t xml:space="preserve">over </w:t>
      </w:r>
      <w:r>
        <w:rPr>
          <w:w w:val="95"/>
          <w:sz w:val="20"/>
        </w:rPr>
        <w:t>80</w:t>
      </w:r>
      <w:r>
        <w:rPr>
          <w:spacing w:val="-3"/>
          <w:w w:val="95"/>
          <w:sz w:val="20"/>
        </w:rPr>
        <w:t xml:space="preserve"> </w:t>
      </w:r>
      <w:r>
        <w:rPr>
          <w:w w:val="95"/>
          <w:sz w:val="20"/>
        </w:rPr>
        <w:t>percent</w:t>
      </w:r>
      <w:r>
        <w:rPr>
          <w:spacing w:val="-3"/>
          <w:w w:val="95"/>
          <w:sz w:val="20"/>
        </w:rPr>
        <w:t xml:space="preserve"> </w:t>
      </w:r>
      <w:r>
        <w:rPr>
          <w:w w:val="95"/>
          <w:sz w:val="20"/>
        </w:rPr>
        <w:t>of</w:t>
      </w:r>
      <w:r>
        <w:rPr>
          <w:spacing w:val="-3"/>
          <w:w w:val="95"/>
          <w:sz w:val="20"/>
        </w:rPr>
        <w:t xml:space="preserve"> </w:t>
      </w:r>
      <w:r>
        <w:rPr>
          <w:w w:val="95"/>
          <w:sz w:val="20"/>
        </w:rPr>
        <w:t>new</w:t>
      </w:r>
      <w:r>
        <w:rPr>
          <w:spacing w:val="-3"/>
          <w:w w:val="95"/>
          <w:sz w:val="20"/>
        </w:rPr>
        <w:t xml:space="preserve"> </w:t>
      </w:r>
      <w:r>
        <w:rPr>
          <w:w w:val="95"/>
          <w:sz w:val="20"/>
        </w:rPr>
        <w:t>homes</w:t>
      </w:r>
      <w:r>
        <w:rPr>
          <w:spacing w:val="-3"/>
          <w:w w:val="95"/>
          <w:sz w:val="20"/>
        </w:rPr>
        <w:t xml:space="preserve"> </w:t>
      </w:r>
      <w:r>
        <w:rPr>
          <w:w w:val="95"/>
          <w:sz w:val="20"/>
        </w:rPr>
        <w:t>have</w:t>
      </w:r>
      <w:r>
        <w:rPr>
          <w:spacing w:val="-3"/>
          <w:w w:val="95"/>
          <w:sz w:val="20"/>
        </w:rPr>
        <w:t xml:space="preserve"> </w:t>
      </w:r>
      <w:r>
        <w:rPr>
          <w:w w:val="95"/>
          <w:sz w:val="20"/>
        </w:rPr>
        <w:t>been</w:t>
      </w:r>
      <w:r>
        <w:rPr>
          <w:spacing w:val="-3"/>
          <w:w w:val="95"/>
          <w:sz w:val="20"/>
        </w:rPr>
        <w:t xml:space="preserve"> </w:t>
      </w:r>
      <w:r>
        <w:rPr>
          <w:w w:val="95"/>
          <w:sz w:val="20"/>
        </w:rPr>
        <w:t>built</w:t>
      </w:r>
      <w:r>
        <w:rPr>
          <w:spacing w:val="-3"/>
          <w:w w:val="95"/>
          <w:sz w:val="20"/>
        </w:rPr>
        <w:t xml:space="preserve"> </w:t>
      </w:r>
      <w:r>
        <w:rPr>
          <w:w w:val="95"/>
          <w:sz w:val="20"/>
        </w:rPr>
        <w:t>in</w:t>
      </w:r>
      <w:r>
        <w:rPr>
          <w:spacing w:val="-3"/>
          <w:w w:val="95"/>
          <w:sz w:val="20"/>
        </w:rPr>
        <w:t xml:space="preserve"> </w:t>
      </w:r>
      <w:r>
        <w:rPr>
          <w:w w:val="95"/>
          <w:sz w:val="20"/>
        </w:rPr>
        <w:t xml:space="preserve">multi-unit </w:t>
      </w:r>
      <w:r>
        <w:rPr>
          <w:sz w:val="20"/>
        </w:rPr>
        <w:t>dwellings</w:t>
      </w:r>
      <w:r>
        <w:rPr>
          <w:position w:val="7"/>
          <w:sz w:val="11"/>
        </w:rPr>
        <w:t>5</w:t>
      </w:r>
      <w:r>
        <w:rPr>
          <w:sz w:val="20"/>
        </w:rPr>
        <w:t>.</w:t>
      </w:r>
      <w:r>
        <w:rPr>
          <w:spacing w:val="-10"/>
          <w:sz w:val="20"/>
        </w:rPr>
        <w:t xml:space="preserve"> </w:t>
      </w:r>
      <w:r>
        <w:rPr>
          <w:sz w:val="20"/>
        </w:rPr>
        <w:t>Most</w:t>
      </w:r>
      <w:r>
        <w:rPr>
          <w:spacing w:val="-10"/>
          <w:sz w:val="20"/>
        </w:rPr>
        <w:t xml:space="preserve"> </w:t>
      </w:r>
      <w:r>
        <w:rPr>
          <w:sz w:val="20"/>
        </w:rPr>
        <w:t>greenfield</w:t>
      </w:r>
      <w:r>
        <w:rPr>
          <w:spacing w:val="-10"/>
          <w:sz w:val="20"/>
        </w:rPr>
        <w:t xml:space="preserve"> </w:t>
      </w:r>
      <w:r>
        <w:rPr>
          <w:sz w:val="20"/>
        </w:rPr>
        <w:t>housing</w:t>
      </w:r>
      <w:r>
        <w:rPr>
          <w:spacing w:val="-10"/>
          <w:sz w:val="20"/>
        </w:rPr>
        <w:t xml:space="preserve"> </w:t>
      </w:r>
      <w:r>
        <w:rPr>
          <w:sz w:val="20"/>
        </w:rPr>
        <w:t>development</w:t>
      </w:r>
      <w:r>
        <w:rPr>
          <w:spacing w:val="-10"/>
          <w:sz w:val="20"/>
        </w:rPr>
        <w:t xml:space="preserve"> </w:t>
      </w:r>
      <w:r>
        <w:rPr>
          <w:sz w:val="20"/>
        </w:rPr>
        <w:t>is expected</w:t>
      </w:r>
      <w:r>
        <w:rPr>
          <w:spacing w:val="-12"/>
          <w:sz w:val="20"/>
        </w:rPr>
        <w:t xml:space="preserve"> </w:t>
      </w:r>
      <w:r>
        <w:rPr>
          <w:sz w:val="20"/>
        </w:rPr>
        <w:t>to</w:t>
      </w:r>
      <w:r>
        <w:rPr>
          <w:spacing w:val="-12"/>
          <w:sz w:val="20"/>
        </w:rPr>
        <w:t xml:space="preserve"> </w:t>
      </w:r>
      <w:r>
        <w:rPr>
          <w:sz w:val="20"/>
        </w:rPr>
        <w:t>be</w:t>
      </w:r>
      <w:r>
        <w:rPr>
          <w:spacing w:val="-12"/>
          <w:sz w:val="20"/>
        </w:rPr>
        <w:t xml:space="preserve"> </w:t>
      </w:r>
      <w:r>
        <w:rPr>
          <w:sz w:val="20"/>
        </w:rPr>
        <w:t>located</w:t>
      </w:r>
      <w:r>
        <w:rPr>
          <w:spacing w:val="-12"/>
          <w:sz w:val="20"/>
        </w:rPr>
        <w:t xml:space="preserve"> </w:t>
      </w:r>
      <w:r>
        <w:rPr>
          <w:sz w:val="20"/>
        </w:rPr>
        <w:t>in</w:t>
      </w:r>
      <w:r>
        <w:rPr>
          <w:spacing w:val="-12"/>
          <w:sz w:val="20"/>
        </w:rPr>
        <w:t xml:space="preserve"> </w:t>
      </w:r>
      <w:r>
        <w:rPr>
          <w:sz w:val="20"/>
        </w:rPr>
        <w:t>the</w:t>
      </w:r>
      <w:r>
        <w:rPr>
          <w:spacing w:val="-12"/>
          <w:sz w:val="20"/>
        </w:rPr>
        <w:t xml:space="preserve"> </w:t>
      </w:r>
      <w:r>
        <w:rPr>
          <w:sz w:val="20"/>
        </w:rPr>
        <w:t>North</w:t>
      </w:r>
      <w:r>
        <w:rPr>
          <w:spacing w:val="-12"/>
          <w:sz w:val="20"/>
        </w:rPr>
        <w:t xml:space="preserve"> </w:t>
      </w:r>
      <w:r>
        <w:rPr>
          <w:sz w:val="20"/>
        </w:rPr>
        <w:t>West</w:t>
      </w:r>
      <w:r>
        <w:rPr>
          <w:spacing w:val="-12"/>
          <w:sz w:val="20"/>
        </w:rPr>
        <w:t xml:space="preserve"> </w:t>
      </w:r>
      <w:r>
        <w:rPr>
          <w:sz w:val="20"/>
        </w:rPr>
        <w:t>and</w:t>
      </w:r>
      <w:r>
        <w:rPr>
          <w:spacing w:val="-12"/>
          <w:sz w:val="20"/>
        </w:rPr>
        <w:t xml:space="preserve"> </w:t>
      </w:r>
      <w:r>
        <w:rPr>
          <w:sz w:val="20"/>
        </w:rPr>
        <w:t>South West Growth Centres.</w:t>
      </w:r>
    </w:p>
    <w:p w:rsidR="002C1123" w:rsidRDefault="00F22F94">
      <w:pPr>
        <w:pStyle w:val="ListParagraph"/>
        <w:numPr>
          <w:ilvl w:val="0"/>
          <w:numId w:val="111"/>
        </w:numPr>
        <w:tabs>
          <w:tab w:val="left" w:pos="10830"/>
        </w:tabs>
        <w:spacing w:before="107" w:line="249" w:lineRule="auto"/>
        <w:ind w:right="940"/>
        <w:rPr>
          <w:sz w:val="20"/>
        </w:rPr>
      </w:pPr>
      <w:r>
        <w:rPr>
          <w:w w:val="95"/>
          <w:sz w:val="20"/>
        </w:rPr>
        <w:t>Large numbers of people will continue to commute into</w:t>
      </w:r>
      <w:r>
        <w:rPr>
          <w:spacing w:val="-6"/>
          <w:w w:val="95"/>
          <w:sz w:val="20"/>
        </w:rPr>
        <w:t xml:space="preserve"> </w:t>
      </w:r>
      <w:r>
        <w:rPr>
          <w:w w:val="95"/>
          <w:sz w:val="20"/>
        </w:rPr>
        <w:t>Global</w:t>
      </w:r>
      <w:r>
        <w:rPr>
          <w:spacing w:val="-6"/>
          <w:w w:val="95"/>
          <w:sz w:val="20"/>
        </w:rPr>
        <w:t xml:space="preserve"> </w:t>
      </w:r>
      <w:r>
        <w:rPr>
          <w:w w:val="95"/>
          <w:sz w:val="20"/>
        </w:rPr>
        <w:t>Sydney</w:t>
      </w:r>
      <w:r>
        <w:rPr>
          <w:spacing w:val="-6"/>
          <w:w w:val="95"/>
          <w:sz w:val="20"/>
        </w:rPr>
        <w:t xml:space="preserve"> </w:t>
      </w:r>
      <w:r>
        <w:rPr>
          <w:w w:val="95"/>
          <w:sz w:val="20"/>
        </w:rPr>
        <w:t>from</w:t>
      </w:r>
      <w:r>
        <w:rPr>
          <w:spacing w:val="-6"/>
          <w:w w:val="95"/>
          <w:sz w:val="20"/>
        </w:rPr>
        <w:t xml:space="preserve"> </w:t>
      </w:r>
      <w:r>
        <w:rPr>
          <w:w w:val="95"/>
          <w:sz w:val="20"/>
        </w:rPr>
        <w:t>Greater</w:t>
      </w:r>
      <w:r>
        <w:rPr>
          <w:spacing w:val="-6"/>
          <w:w w:val="95"/>
          <w:sz w:val="20"/>
        </w:rPr>
        <w:t xml:space="preserve"> </w:t>
      </w:r>
      <w:r>
        <w:rPr>
          <w:w w:val="95"/>
          <w:sz w:val="20"/>
        </w:rPr>
        <w:t>Sydney</w:t>
      </w:r>
      <w:r>
        <w:rPr>
          <w:spacing w:val="-6"/>
          <w:w w:val="95"/>
          <w:sz w:val="20"/>
        </w:rPr>
        <w:t xml:space="preserve"> </w:t>
      </w:r>
      <w:r>
        <w:rPr>
          <w:w w:val="95"/>
          <w:sz w:val="20"/>
        </w:rPr>
        <w:t>each</w:t>
      </w:r>
      <w:r>
        <w:rPr>
          <w:spacing w:val="-6"/>
          <w:w w:val="95"/>
          <w:sz w:val="20"/>
        </w:rPr>
        <w:t xml:space="preserve"> </w:t>
      </w:r>
      <w:r>
        <w:rPr>
          <w:w w:val="95"/>
          <w:sz w:val="20"/>
        </w:rPr>
        <w:t>day.</w:t>
      </w:r>
    </w:p>
    <w:p w:rsidR="002C1123" w:rsidRDefault="00F22F94">
      <w:pPr>
        <w:pStyle w:val="ListParagraph"/>
        <w:numPr>
          <w:ilvl w:val="0"/>
          <w:numId w:val="111"/>
        </w:numPr>
        <w:tabs>
          <w:tab w:val="left" w:pos="10830"/>
        </w:tabs>
        <w:spacing w:before="102" w:line="249" w:lineRule="auto"/>
        <w:ind w:right="744"/>
        <w:rPr>
          <w:sz w:val="20"/>
        </w:rPr>
      </w:pPr>
      <w:r>
        <w:rPr>
          <w:sz w:val="20"/>
        </w:rPr>
        <w:t>Over</w:t>
      </w:r>
      <w:r>
        <w:rPr>
          <w:spacing w:val="-13"/>
          <w:sz w:val="20"/>
        </w:rPr>
        <w:t xml:space="preserve"> </w:t>
      </w:r>
      <w:r>
        <w:rPr>
          <w:sz w:val="20"/>
        </w:rPr>
        <w:t>the</w:t>
      </w:r>
      <w:r>
        <w:rPr>
          <w:spacing w:val="-13"/>
          <w:sz w:val="20"/>
        </w:rPr>
        <w:t xml:space="preserve"> </w:t>
      </w:r>
      <w:r>
        <w:rPr>
          <w:sz w:val="20"/>
        </w:rPr>
        <w:t>next</w:t>
      </w:r>
      <w:r>
        <w:rPr>
          <w:spacing w:val="-13"/>
          <w:sz w:val="20"/>
        </w:rPr>
        <w:t xml:space="preserve"> </w:t>
      </w:r>
      <w:r>
        <w:rPr>
          <w:sz w:val="20"/>
        </w:rPr>
        <w:t>20</w:t>
      </w:r>
      <w:r>
        <w:rPr>
          <w:spacing w:val="-13"/>
          <w:sz w:val="20"/>
        </w:rPr>
        <w:t xml:space="preserve"> </w:t>
      </w:r>
      <w:r>
        <w:rPr>
          <w:sz w:val="20"/>
        </w:rPr>
        <w:t>years,</w:t>
      </w:r>
      <w:r>
        <w:rPr>
          <w:spacing w:val="-13"/>
          <w:sz w:val="20"/>
        </w:rPr>
        <w:t xml:space="preserve"> </w:t>
      </w:r>
      <w:r>
        <w:rPr>
          <w:sz w:val="20"/>
        </w:rPr>
        <w:t>the</w:t>
      </w:r>
      <w:r>
        <w:rPr>
          <w:spacing w:val="-13"/>
          <w:sz w:val="20"/>
        </w:rPr>
        <w:t xml:space="preserve"> </w:t>
      </w:r>
      <w:r>
        <w:rPr>
          <w:sz w:val="20"/>
        </w:rPr>
        <w:t>economy</w:t>
      </w:r>
      <w:r>
        <w:rPr>
          <w:spacing w:val="-13"/>
          <w:sz w:val="20"/>
        </w:rPr>
        <w:t xml:space="preserve"> </w:t>
      </w:r>
      <w:r>
        <w:rPr>
          <w:sz w:val="20"/>
        </w:rPr>
        <w:t>of</w:t>
      </w:r>
      <w:r>
        <w:rPr>
          <w:spacing w:val="-13"/>
          <w:sz w:val="20"/>
        </w:rPr>
        <w:t xml:space="preserve"> </w:t>
      </w:r>
      <w:r>
        <w:rPr>
          <w:sz w:val="20"/>
        </w:rPr>
        <w:t xml:space="preserve">Greater </w:t>
      </w:r>
      <w:r>
        <w:rPr>
          <w:w w:val="95"/>
          <w:sz w:val="20"/>
        </w:rPr>
        <w:t xml:space="preserve">Sydney is expected to become more services based, </w:t>
      </w:r>
      <w:r>
        <w:rPr>
          <w:sz w:val="20"/>
        </w:rPr>
        <w:t>with</w:t>
      </w:r>
      <w:r>
        <w:rPr>
          <w:spacing w:val="-12"/>
          <w:sz w:val="20"/>
        </w:rPr>
        <w:t xml:space="preserve"> </w:t>
      </w:r>
      <w:r>
        <w:rPr>
          <w:sz w:val="20"/>
        </w:rPr>
        <w:t>a</w:t>
      </w:r>
      <w:r>
        <w:rPr>
          <w:spacing w:val="-12"/>
          <w:sz w:val="20"/>
        </w:rPr>
        <w:t xml:space="preserve"> </w:t>
      </w:r>
      <w:r>
        <w:rPr>
          <w:sz w:val="20"/>
        </w:rPr>
        <w:t>reduction</w:t>
      </w:r>
      <w:r>
        <w:rPr>
          <w:spacing w:val="-12"/>
          <w:sz w:val="20"/>
        </w:rPr>
        <w:t xml:space="preserve"> </w:t>
      </w:r>
      <w:r>
        <w:rPr>
          <w:sz w:val="20"/>
        </w:rPr>
        <w:t>in</w:t>
      </w:r>
      <w:r>
        <w:rPr>
          <w:spacing w:val="-12"/>
          <w:sz w:val="20"/>
        </w:rPr>
        <w:t xml:space="preserve"> </w:t>
      </w:r>
      <w:r>
        <w:rPr>
          <w:sz w:val="20"/>
        </w:rPr>
        <w:t>manufacturing.</w:t>
      </w:r>
      <w:r>
        <w:rPr>
          <w:spacing w:val="-12"/>
          <w:sz w:val="20"/>
        </w:rPr>
        <w:t xml:space="preserve"> </w:t>
      </w:r>
      <w:r>
        <w:rPr>
          <w:sz w:val="20"/>
        </w:rPr>
        <w:t>This</w:t>
      </w:r>
      <w:r>
        <w:rPr>
          <w:spacing w:val="-12"/>
          <w:sz w:val="20"/>
        </w:rPr>
        <w:t xml:space="preserve"> </w:t>
      </w:r>
      <w:r>
        <w:rPr>
          <w:sz w:val="20"/>
        </w:rPr>
        <w:t>will</w:t>
      </w:r>
      <w:r>
        <w:rPr>
          <w:spacing w:val="-12"/>
          <w:sz w:val="20"/>
        </w:rPr>
        <w:t xml:space="preserve"> </w:t>
      </w:r>
      <w:r>
        <w:rPr>
          <w:sz w:val="20"/>
        </w:rPr>
        <w:t>present challenges</w:t>
      </w:r>
      <w:r>
        <w:rPr>
          <w:spacing w:val="-13"/>
          <w:sz w:val="20"/>
        </w:rPr>
        <w:t xml:space="preserve"> </w:t>
      </w:r>
      <w:r>
        <w:rPr>
          <w:sz w:val="20"/>
        </w:rPr>
        <w:t>in</w:t>
      </w:r>
      <w:r>
        <w:rPr>
          <w:spacing w:val="-13"/>
          <w:sz w:val="20"/>
        </w:rPr>
        <w:t xml:space="preserve"> </w:t>
      </w:r>
      <w:r>
        <w:rPr>
          <w:sz w:val="20"/>
        </w:rPr>
        <w:t>particular</w:t>
      </w:r>
      <w:r>
        <w:rPr>
          <w:spacing w:val="-13"/>
          <w:sz w:val="20"/>
        </w:rPr>
        <w:t xml:space="preserve"> </w:t>
      </w:r>
      <w:r>
        <w:rPr>
          <w:sz w:val="20"/>
        </w:rPr>
        <w:t>for</w:t>
      </w:r>
      <w:r>
        <w:rPr>
          <w:spacing w:val="-13"/>
          <w:sz w:val="20"/>
        </w:rPr>
        <w:t xml:space="preserve"> </w:t>
      </w:r>
      <w:r>
        <w:rPr>
          <w:sz w:val="20"/>
        </w:rPr>
        <w:t>the</w:t>
      </w:r>
      <w:r>
        <w:rPr>
          <w:spacing w:val="-13"/>
          <w:sz w:val="20"/>
        </w:rPr>
        <w:t xml:space="preserve"> </w:t>
      </w:r>
      <w:r>
        <w:rPr>
          <w:sz w:val="20"/>
        </w:rPr>
        <w:t>West</w:t>
      </w:r>
      <w:r>
        <w:rPr>
          <w:spacing w:val="-13"/>
          <w:sz w:val="20"/>
        </w:rPr>
        <w:t xml:space="preserve"> </w:t>
      </w:r>
      <w:r>
        <w:rPr>
          <w:sz w:val="20"/>
        </w:rPr>
        <w:t>Central</w:t>
      </w:r>
      <w:r>
        <w:rPr>
          <w:spacing w:val="-13"/>
          <w:sz w:val="20"/>
        </w:rPr>
        <w:t xml:space="preserve"> </w:t>
      </w:r>
      <w:r>
        <w:rPr>
          <w:sz w:val="20"/>
        </w:rPr>
        <w:t>and South</w:t>
      </w:r>
      <w:r>
        <w:rPr>
          <w:spacing w:val="-9"/>
          <w:sz w:val="20"/>
        </w:rPr>
        <w:t xml:space="preserve"> </w:t>
      </w:r>
      <w:r>
        <w:rPr>
          <w:sz w:val="20"/>
        </w:rPr>
        <w:t>West</w:t>
      </w:r>
      <w:r>
        <w:rPr>
          <w:spacing w:val="-9"/>
          <w:sz w:val="20"/>
        </w:rPr>
        <w:t xml:space="preserve"> </w:t>
      </w:r>
      <w:r>
        <w:rPr>
          <w:sz w:val="20"/>
        </w:rPr>
        <w:t>sub-regions,</w:t>
      </w:r>
      <w:r>
        <w:rPr>
          <w:spacing w:val="-9"/>
          <w:sz w:val="20"/>
        </w:rPr>
        <w:t xml:space="preserve"> </w:t>
      </w:r>
      <w:r>
        <w:rPr>
          <w:sz w:val="20"/>
        </w:rPr>
        <w:t>which</w:t>
      </w:r>
      <w:r>
        <w:rPr>
          <w:spacing w:val="-9"/>
          <w:sz w:val="20"/>
        </w:rPr>
        <w:t xml:space="preserve"> </w:t>
      </w:r>
      <w:r>
        <w:rPr>
          <w:sz w:val="20"/>
        </w:rPr>
        <w:t>have</w:t>
      </w:r>
      <w:r>
        <w:rPr>
          <w:spacing w:val="-9"/>
          <w:sz w:val="20"/>
        </w:rPr>
        <w:t xml:space="preserve"> </w:t>
      </w:r>
      <w:r>
        <w:rPr>
          <w:sz w:val="20"/>
        </w:rPr>
        <w:t>a</w:t>
      </w:r>
      <w:r>
        <w:rPr>
          <w:spacing w:val="-9"/>
          <w:sz w:val="20"/>
        </w:rPr>
        <w:t xml:space="preserve"> </w:t>
      </w:r>
      <w:r>
        <w:rPr>
          <w:sz w:val="20"/>
        </w:rPr>
        <w:t>particular focus</w:t>
      </w:r>
      <w:r>
        <w:rPr>
          <w:spacing w:val="-2"/>
          <w:sz w:val="20"/>
        </w:rPr>
        <w:t xml:space="preserve"> </w:t>
      </w:r>
      <w:r>
        <w:rPr>
          <w:sz w:val="20"/>
        </w:rPr>
        <w:t>in</w:t>
      </w:r>
      <w:r>
        <w:rPr>
          <w:spacing w:val="-2"/>
          <w:sz w:val="20"/>
        </w:rPr>
        <w:t xml:space="preserve"> </w:t>
      </w:r>
      <w:r>
        <w:rPr>
          <w:sz w:val="20"/>
        </w:rPr>
        <w:t>this</w:t>
      </w:r>
      <w:r>
        <w:rPr>
          <w:spacing w:val="-2"/>
          <w:sz w:val="20"/>
        </w:rPr>
        <w:t xml:space="preserve"> </w:t>
      </w:r>
      <w:r>
        <w:rPr>
          <w:sz w:val="20"/>
        </w:rPr>
        <w:t>sector</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economy.</w:t>
      </w:r>
    </w:p>
    <w:p w:rsidR="002C1123" w:rsidRDefault="00F22F94">
      <w:pPr>
        <w:pStyle w:val="ListParagraph"/>
        <w:numPr>
          <w:ilvl w:val="0"/>
          <w:numId w:val="111"/>
        </w:numPr>
        <w:tabs>
          <w:tab w:val="left" w:pos="10830"/>
        </w:tabs>
        <w:spacing w:before="106" w:line="249" w:lineRule="auto"/>
        <w:ind w:right="1223"/>
        <w:rPr>
          <w:sz w:val="20"/>
        </w:rPr>
      </w:pPr>
      <w:r>
        <w:rPr>
          <w:w w:val="95"/>
          <w:sz w:val="20"/>
        </w:rPr>
        <w:t xml:space="preserve">Service-based employment will grow in centres </w:t>
      </w:r>
      <w:r>
        <w:rPr>
          <w:sz w:val="20"/>
        </w:rPr>
        <w:t>across</w:t>
      </w:r>
      <w:r>
        <w:rPr>
          <w:spacing w:val="-10"/>
          <w:sz w:val="20"/>
        </w:rPr>
        <w:t xml:space="preserve"> </w:t>
      </w:r>
      <w:r>
        <w:rPr>
          <w:sz w:val="20"/>
        </w:rPr>
        <w:t>the</w:t>
      </w:r>
      <w:r>
        <w:rPr>
          <w:spacing w:val="-10"/>
          <w:sz w:val="20"/>
        </w:rPr>
        <w:t xml:space="preserve"> </w:t>
      </w:r>
      <w:r>
        <w:rPr>
          <w:sz w:val="20"/>
        </w:rPr>
        <w:t>metropolitan</w:t>
      </w:r>
      <w:r>
        <w:rPr>
          <w:spacing w:val="-10"/>
          <w:sz w:val="20"/>
        </w:rPr>
        <w:t xml:space="preserve"> </w:t>
      </w:r>
      <w:r>
        <w:rPr>
          <w:sz w:val="20"/>
        </w:rPr>
        <w:t>area.</w:t>
      </w:r>
      <w:r>
        <w:rPr>
          <w:spacing w:val="-10"/>
          <w:sz w:val="20"/>
        </w:rPr>
        <w:t xml:space="preserve"> </w:t>
      </w:r>
      <w:r>
        <w:rPr>
          <w:sz w:val="20"/>
        </w:rPr>
        <w:t>Parramatta</w:t>
      </w:r>
      <w:r>
        <w:rPr>
          <w:spacing w:val="-10"/>
          <w:sz w:val="20"/>
        </w:rPr>
        <w:t xml:space="preserve"> </w:t>
      </w:r>
      <w:r>
        <w:rPr>
          <w:sz w:val="20"/>
        </w:rPr>
        <w:t>will</w:t>
      </w:r>
    </w:p>
    <w:p w:rsidR="002C1123" w:rsidRDefault="002060EF">
      <w:pPr>
        <w:pStyle w:val="BodyText"/>
        <w:spacing w:before="6"/>
        <w:rPr>
          <w:sz w:val="17"/>
        </w:rPr>
      </w:pPr>
      <w:r>
        <w:pict>
          <v:shape id="docshape760" o:spid="_x0000_s4570" style="position:absolute;margin-left:552.3pt;margin-top:11.3pt;width:1in;height:.1pt;z-index:-251404288;mso-wrap-distance-left:0;mso-wrap-distance-right:0;mso-position-horizontal-relative:page" coordorigin="11046,226" coordsize="1440,0" path="m11046,226r1440,e" filled="f" strokecolor="#9c9c9d" strokeweight=".5pt">
            <v:path arrowok="t"/>
            <w10:wrap type="topAndBottom" anchorx="page"/>
          </v:shape>
        </w:pict>
      </w:r>
    </w:p>
    <w:p w:rsidR="002C1123" w:rsidRDefault="00F22F94">
      <w:pPr>
        <w:pStyle w:val="ListParagraph"/>
        <w:numPr>
          <w:ilvl w:val="0"/>
          <w:numId w:val="114"/>
        </w:numPr>
        <w:tabs>
          <w:tab w:val="left" w:pos="10745"/>
        </w:tabs>
        <w:spacing w:before="23"/>
        <w:ind w:left="10744" w:hanging="200"/>
        <w:jc w:val="left"/>
        <w:rPr>
          <w:sz w:val="14"/>
        </w:rPr>
      </w:pPr>
      <w:r>
        <w:rPr>
          <w:w w:val="95"/>
          <w:sz w:val="14"/>
        </w:rPr>
        <w:t>Department</w:t>
      </w:r>
      <w:r>
        <w:rPr>
          <w:spacing w:val="4"/>
          <w:sz w:val="14"/>
        </w:rPr>
        <w:t xml:space="preserve"> </w:t>
      </w:r>
      <w:r>
        <w:rPr>
          <w:w w:val="95"/>
          <w:sz w:val="14"/>
        </w:rPr>
        <w:t>of</w:t>
      </w:r>
      <w:r>
        <w:rPr>
          <w:spacing w:val="5"/>
          <w:sz w:val="14"/>
        </w:rPr>
        <w:t xml:space="preserve"> </w:t>
      </w:r>
      <w:r>
        <w:rPr>
          <w:w w:val="95"/>
          <w:sz w:val="14"/>
        </w:rPr>
        <w:t>Planning</w:t>
      </w:r>
      <w:r>
        <w:rPr>
          <w:spacing w:val="5"/>
          <w:sz w:val="14"/>
        </w:rPr>
        <w:t xml:space="preserve"> </w:t>
      </w:r>
      <w:r>
        <w:rPr>
          <w:w w:val="95"/>
          <w:sz w:val="14"/>
        </w:rPr>
        <w:t>and</w:t>
      </w:r>
      <w:r>
        <w:rPr>
          <w:spacing w:val="4"/>
          <w:sz w:val="14"/>
        </w:rPr>
        <w:t xml:space="preserve"> </w:t>
      </w:r>
      <w:r>
        <w:rPr>
          <w:w w:val="95"/>
          <w:sz w:val="14"/>
        </w:rPr>
        <w:t>Infrastructure</w:t>
      </w:r>
      <w:r>
        <w:rPr>
          <w:spacing w:val="5"/>
          <w:sz w:val="14"/>
        </w:rPr>
        <w:t xml:space="preserve"> </w:t>
      </w:r>
      <w:r>
        <w:rPr>
          <w:w w:val="95"/>
          <w:sz w:val="14"/>
        </w:rPr>
        <w:t>2012,</w:t>
      </w:r>
      <w:r>
        <w:rPr>
          <w:spacing w:val="5"/>
          <w:sz w:val="14"/>
        </w:rPr>
        <w:t xml:space="preserve"> </w:t>
      </w:r>
      <w:r>
        <w:rPr>
          <w:w w:val="95"/>
          <w:sz w:val="14"/>
        </w:rPr>
        <w:t>Growth</w:t>
      </w:r>
      <w:r>
        <w:rPr>
          <w:spacing w:val="5"/>
          <w:sz w:val="14"/>
        </w:rPr>
        <w:t xml:space="preserve"> </w:t>
      </w:r>
      <w:r>
        <w:rPr>
          <w:w w:val="95"/>
          <w:sz w:val="14"/>
        </w:rPr>
        <w:t>Infrastructure</w:t>
      </w:r>
      <w:r>
        <w:rPr>
          <w:spacing w:val="4"/>
          <w:sz w:val="14"/>
        </w:rPr>
        <w:t xml:space="preserve"> </w:t>
      </w:r>
      <w:r>
        <w:rPr>
          <w:spacing w:val="-2"/>
          <w:w w:val="95"/>
          <w:sz w:val="14"/>
        </w:rPr>
        <w:t>Plan.</w:t>
      </w:r>
    </w:p>
    <w:p w:rsidR="002C1123" w:rsidRDefault="002C1123">
      <w:pPr>
        <w:rPr>
          <w:sz w:val="14"/>
        </w:rPr>
        <w:sectPr w:rsidR="002C1123">
          <w:pgSz w:w="16840" w:h="11910" w:orient="landscape"/>
          <w:pgMar w:top="560" w:right="280" w:bottom="700" w:left="500" w:header="0" w:footer="470"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060EF">
      <w:pPr>
        <w:pStyle w:val="BodyText"/>
        <w:spacing w:before="106" w:line="249" w:lineRule="auto"/>
        <w:ind w:left="775" w:right="10730"/>
      </w:pPr>
      <w:r>
        <w:pict>
          <v:group id="docshapegroup761" o:spid="_x0000_s4532" style="position:absolute;left:0;text-align:left;margin-left:300.95pt;margin-top:7.55pt;width:491.35pt;height:411.25pt;z-index:251278336;mso-position-horizontal-relative:page" coordorigin="6019,151" coordsize="9827,8225">
            <v:rect id="docshape762" o:spid="_x0000_s4569" style="position:absolute;left:6018;top:154;width:9827;height:5906" fillcolor="#e1f4fd" stroked="f"/>
            <v:rect id="docshape763" o:spid="_x0000_s4568" style="position:absolute;left:6018;top:154;width:4800;height:5906" fillcolor="#b2b1b3" stroked="f"/>
            <v:rect id="docshape764" o:spid="_x0000_s4567" style="position:absolute;left:6018;top:6060;width:9827;height:2315" fillcolor="#e1e0e1" stroked="f"/>
            <v:shape id="docshape765" o:spid="_x0000_s4566" type="#_x0000_t75" style="position:absolute;left:8097;top:150;width:7056;height:5910">
              <v:imagedata r:id="rId105" o:title=""/>
            </v:shape>
            <v:shape id="docshape766" o:spid="_x0000_s4565" type="#_x0000_t75" style="position:absolute;left:6123;top:6152;width:2785;height:1868">
              <v:imagedata r:id="rId106" o:title=""/>
            </v:shape>
            <v:rect id="docshape767" o:spid="_x0000_s4564" style="position:absolute;left:6018;top:154;width:3912;height:304" fillcolor="#b2b1b3" stroked="f"/>
            <v:shape id="docshape768" o:spid="_x0000_s4563" type="#_x0000_t75" style="position:absolute;left:9838;top:6431;width:220;height:220">
              <v:imagedata r:id="rId107" o:title=""/>
            </v:shape>
            <v:shape id="docshape769" o:spid="_x0000_s4562" type="#_x0000_t75" style="position:absolute;left:9838;top:6711;width:220;height:220">
              <v:imagedata r:id="rId108" o:title=""/>
            </v:shape>
            <v:shape id="docshape770" o:spid="_x0000_s4561" type="#_x0000_t75" style="position:absolute;left:9838;top:6991;width:220;height:220">
              <v:imagedata r:id="rId107" o:title=""/>
            </v:shape>
            <v:shape id="docshape771" o:spid="_x0000_s4560" type="#_x0000_t75" style="position:absolute;left:9838;top:7271;width:220;height:220">
              <v:imagedata r:id="rId107" o:title=""/>
            </v:shape>
            <v:shape id="docshape772" o:spid="_x0000_s4559" type="#_x0000_t75" style="position:absolute;left:9838;top:7551;width:220;height:220">
              <v:imagedata r:id="rId108" o:title=""/>
            </v:shape>
            <v:shape id="docshape773" o:spid="_x0000_s4558" type="#_x0000_t75" style="position:absolute;left:9838;top:7831;width:220;height:220">
              <v:imagedata r:id="rId107" o:title=""/>
            </v:shape>
            <v:shape id="docshape774" o:spid="_x0000_s4557" type="#_x0000_t75" style="position:absolute;left:12035;top:6431;width:220;height:220">
              <v:imagedata r:id="rId101" o:title=""/>
            </v:shape>
            <v:shape id="docshape775" o:spid="_x0000_s4556" type="#_x0000_t75" style="position:absolute;left:12035;top:6711;width:220;height:220">
              <v:imagedata r:id="rId102" o:title=""/>
            </v:shape>
            <v:shape id="docshape776" o:spid="_x0000_s4555" type="#_x0000_t75" style="position:absolute;left:12035;top:6991;width:220;height:220">
              <v:imagedata r:id="rId101" o:title=""/>
            </v:shape>
            <v:shape id="docshape777" o:spid="_x0000_s4554" type="#_x0000_t75" style="position:absolute;left:12035;top:7271;width:220;height:220">
              <v:imagedata r:id="rId101" o:title=""/>
            </v:shape>
            <v:shape id="docshape778" o:spid="_x0000_s4553" type="#_x0000_t75" style="position:absolute;left:12035;top:7551;width:220;height:220">
              <v:imagedata r:id="rId102" o:title=""/>
            </v:shape>
            <v:rect id="docshape779" o:spid="_x0000_s4552" style="position:absolute;left:13656;top:6886;width:171;height:171" fillcolor="#b2b1b3" stroked="f"/>
            <v:rect id="docshape780" o:spid="_x0000_s4551" style="position:absolute;left:13656;top:7141;width:171;height:171" fillcolor="#00aeef" stroked="f"/>
            <v:rect id="docshape781" o:spid="_x0000_s4550" style="position:absolute;left:13656;top:7396;width:171;height:171" fillcolor="#8dc63f" stroked="f"/>
            <v:rect id="docshape782" o:spid="_x0000_s4549" style="position:absolute;left:13656;top:7651;width:171;height:171" fillcolor="#f47920" stroked="f"/>
            <v:shape id="docshape783" o:spid="_x0000_s4548" type="#_x0000_t202" style="position:absolute;left:9909;top:6441;width:1745;height:1581" filled="f" stroked="f">
              <v:textbox inset="0,0,0,0">
                <w:txbxContent>
                  <w:p w:rsidR="00F22F94" w:rsidRDefault="00F22F94">
                    <w:pPr>
                      <w:numPr>
                        <w:ilvl w:val="0"/>
                        <w:numId w:val="108"/>
                      </w:numPr>
                      <w:tabs>
                        <w:tab w:val="left" w:pos="209"/>
                      </w:tabs>
                      <w:spacing w:line="182" w:lineRule="exact"/>
                      <w:rPr>
                        <w:sz w:val="16"/>
                      </w:rPr>
                    </w:pPr>
                    <w:r>
                      <w:rPr>
                        <w:spacing w:val="-2"/>
                        <w:w w:val="85"/>
                        <w:sz w:val="16"/>
                      </w:rPr>
                      <w:t>Sydney</w:t>
                    </w:r>
                  </w:p>
                  <w:p w:rsidR="00F22F94" w:rsidRDefault="00F22F94">
                    <w:pPr>
                      <w:numPr>
                        <w:ilvl w:val="0"/>
                        <w:numId w:val="108"/>
                      </w:numPr>
                      <w:tabs>
                        <w:tab w:val="left" w:pos="209"/>
                      </w:tabs>
                      <w:spacing w:before="96"/>
                      <w:rPr>
                        <w:sz w:val="16"/>
                      </w:rPr>
                    </w:pPr>
                    <w:r>
                      <w:rPr>
                        <w:w w:val="75"/>
                        <w:sz w:val="16"/>
                      </w:rPr>
                      <w:t>North</w:t>
                    </w:r>
                    <w:r>
                      <w:rPr>
                        <w:spacing w:val="4"/>
                        <w:sz w:val="16"/>
                      </w:rPr>
                      <w:t xml:space="preserve"> </w:t>
                    </w:r>
                    <w:r>
                      <w:rPr>
                        <w:spacing w:val="-2"/>
                        <w:w w:val="85"/>
                        <w:sz w:val="16"/>
                      </w:rPr>
                      <w:t>Sydney</w:t>
                    </w:r>
                  </w:p>
                  <w:p w:rsidR="00F22F94" w:rsidRDefault="00F22F94">
                    <w:pPr>
                      <w:numPr>
                        <w:ilvl w:val="0"/>
                        <w:numId w:val="108"/>
                      </w:numPr>
                      <w:tabs>
                        <w:tab w:val="left" w:pos="209"/>
                      </w:tabs>
                      <w:spacing w:before="96"/>
                      <w:rPr>
                        <w:sz w:val="16"/>
                      </w:rPr>
                    </w:pPr>
                    <w:r>
                      <w:rPr>
                        <w:w w:val="75"/>
                        <w:sz w:val="16"/>
                      </w:rPr>
                      <w:t>Chatswood/St</w:t>
                    </w:r>
                    <w:r>
                      <w:rPr>
                        <w:spacing w:val="22"/>
                        <w:sz w:val="16"/>
                      </w:rPr>
                      <w:t xml:space="preserve"> </w:t>
                    </w:r>
                    <w:r>
                      <w:rPr>
                        <w:spacing w:val="-2"/>
                        <w:w w:val="90"/>
                        <w:sz w:val="16"/>
                      </w:rPr>
                      <w:t>Leonards</w:t>
                    </w:r>
                  </w:p>
                  <w:p w:rsidR="00F22F94" w:rsidRDefault="00F22F94">
                    <w:pPr>
                      <w:numPr>
                        <w:ilvl w:val="0"/>
                        <w:numId w:val="108"/>
                      </w:numPr>
                      <w:tabs>
                        <w:tab w:val="left" w:pos="209"/>
                      </w:tabs>
                      <w:spacing w:before="96"/>
                      <w:rPr>
                        <w:sz w:val="16"/>
                      </w:rPr>
                    </w:pPr>
                    <w:r>
                      <w:rPr>
                        <w:w w:val="75"/>
                        <w:sz w:val="16"/>
                      </w:rPr>
                      <w:t>Sydney</w:t>
                    </w:r>
                    <w:r>
                      <w:rPr>
                        <w:spacing w:val="13"/>
                        <w:sz w:val="16"/>
                      </w:rPr>
                      <w:t xml:space="preserve"> </w:t>
                    </w:r>
                    <w:r>
                      <w:rPr>
                        <w:w w:val="75"/>
                        <w:sz w:val="16"/>
                      </w:rPr>
                      <w:t>Airport/Port</w:t>
                    </w:r>
                    <w:r>
                      <w:rPr>
                        <w:spacing w:val="13"/>
                        <w:sz w:val="16"/>
                      </w:rPr>
                      <w:t xml:space="preserve"> </w:t>
                    </w:r>
                    <w:r>
                      <w:rPr>
                        <w:spacing w:val="-2"/>
                        <w:w w:val="75"/>
                        <w:sz w:val="16"/>
                      </w:rPr>
                      <w:t>Botany</w:t>
                    </w:r>
                  </w:p>
                  <w:p w:rsidR="00F22F94" w:rsidRDefault="00F22F94">
                    <w:pPr>
                      <w:numPr>
                        <w:ilvl w:val="0"/>
                        <w:numId w:val="108"/>
                      </w:numPr>
                      <w:tabs>
                        <w:tab w:val="left" w:pos="209"/>
                      </w:tabs>
                      <w:spacing w:before="96"/>
                      <w:rPr>
                        <w:sz w:val="16"/>
                      </w:rPr>
                    </w:pPr>
                    <w:r>
                      <w:rPr>
                        <w:w w:val="75"/>
                        <w:sz w:val="16"/>
                      </w:rPr>
                      <w:t>Macquarie</w:t>
                    </w:r>
                    <w:r>
                      <w:rPr>
                        <w:spacing w:val="22"/>
                        <w:sz w:val="16"/>
                      </w:rPr>
                      <w:t xml:space="preserve"> </w:t>
                    </w:r>
                    <w:r>
                      <w:rPr>
                        <w:spacing w:val="-4"/>
                        <w:w w:val="90"/>
                        <w:sz w:val="16"/>
                      </w:rPr>
                      <w:t>Park</w:t>
                    </w:r>
                  </w:p>
                  <w:p w:rsidR="00F22F94" w:rsidRDefault="00F22F94">
                    <w:pPr>
                      <w:numPr>
                        <w:ilvl w:val="0"/>
                        <w:numId w:val="108"/>
                      </w:numPr>
                      <w:tabs>
                        <w:tab w:val="left" w:pos="209"/>
                      </w:tabs>
                      <w:spacing w:before="96" w:line="183" w:lineRule="exact"/>
                      <w:rPr>
                        <w:sz w:val="16"/>
                      </w:rPr>
                    </w:pPr>
                    <w:r>
                      <w:rPr>
                        <w:spacing w:val="-2"/>
                        <w:w w:val="90"/>
                        <w:sz w:val="16"/>
                      </w:rPr>
                      <w:t>Parramatta</w:t>
                    </w:r>
                  </w:p>
                </w:txbxContent>
              </v:textbox>
            </v:shape>
            <v:shape id="docshape784" o:spid="_x0000_s4547" type="#_x0000_t202" style="position:absolute;left:12071;top:6441;width:1067;height:1301" filled="f" stroked="f">
              <v:textbox inset="0,0,0,0">
                <w:txbxContent>
                  <w:p w:rsidR="00F22F94" w:rsidRDefault="00F22F94">
                    <w:pPr>
                      <w:numPr>
                        <w:ilvl w:val="0"/>
                        <w:numId w:val="107"/>
                      </w:numPr>
                      <w:tabs>
                        <w:tab w:val="left" w:pos="244"/>
                      </w:tabs>
                      <w:spacing w:line="182" w:lineRule="exact"/>
                      <w:ind w:hanging="210"/>
                      <w:rPr>
                        <w:sz w:val="16"/>
                      </w:rPr>
                    </w:pPr>
                    <w:r>
                      <w:rPr>
                        <w:spacing w:val="-2"/>
                        <w:w w:val="90"/>
                        <w:sz w:val="16"/>
                      </w:rPr>
                      <w:t>Blacktown</w:t>
                    </w:r>
                  </w:p>
                  <w:p w:rsidR="00F22F94" w:rsidRDefault="00F22F94">
                    <w:pPr>
                      <w:numPr>
                        <w:ilvl w:val="0"/>
                        <w:numId w:val="107"/>
                      </w:numPr>
                      <w:tabs>
                        <w:tab w:val="left" w:pos="244"/>
                      </w:tabs>
                      <w:spacing w:before="96"/>
                      <w:ind w:hanging="210"/>
                      <w:rPr>
                        <w:sz w:val="16"/>
                      </w:rPr>
                    </w:pPr>
                    <w:r>
                      <w:rPr>
                        <w:spacing w:val="-2"/>
                        <w:w w:val="85"/>
                        <w:sz w:val="16"/>
                      </w:rPr>
                      <w:t>Liverpool</w:t>
                    </w:r>
                  </w:p>
                  <w:p w:rsidR="00F22F94" w:rsidRDefault="00F22F94">
                    <w:pPr>
                      <w:numPr>
                        <w:ilvl w:val="0"/>
                        <w:numId w:val="107"/>
                      </w:numPr>
                      <w:tabs>
                        <w:tab w:val="left" w:pos="244"/>
                      </w:tabs>
                      <w:spacing w:before="96"/>
                      <w:ind w:hanging="210"/>
                      <w:rPr>
                        <w:sz w:val="16"/>
                      </w:rPr>
                    </w:pPr>
                    <w:r>
                      <w:rPr>
                        <w:w w:val="75"/>
                        <w:sz w:val="16"/>
                      </w:rPr>
                      <w:t>Rouse</w:t>
                    </w:r>
                    <w:r>
                      <w:rPr>
                        <w:spacing w:val="-1"/>
                        <w:w w:val="85"/>
                        <w:sz w:val="16"/>
                      </w:rPr>
                      <w:t xml:space="preserve"> </w:t>
                    </w:r>
                    <w:r>
                      <w:rPr>
                        <w:spacing w:val="-4"/>
                        <w:w w:val="85"/>
                        <w:sz w:val="16"/>
                      </w:rPr>
                      <w:t>Hill</w:t>
                    </w:r>
                  </w:p>
                  <w:p w:rsidR="00F22F94" w:rsidRDefault="00F22F94">
                    <w:pPr>
                      <w:numPr>
                        <w:ilvl w:val="0"/>
                        <w:numId w:val="107"/>
                      </w:numPr>
                      <w:tabs>
                        <w:tab w:val="left" w:pos="244"/>
                      </w:tabs>
                      <w:spacing w:before="96"/>
                      <w:ind w:hanging="244"/>
                      <w:rPr>
                        <w:sz w:val="16"/>
                      </w:rPr>
                    </w:pPr>
                    <w:r>
                      <w:rPr>
                        <w:spacing w:val="-2"/>
                        <w:w w:val="80"/>
                        <w:sz w:val="16"/>
                      </w:rPr>
                      <w:t>Campbelltown</w:t>
                    </w:r>
                  </w:p>
                  <w:p w:rsidR="00F22F94" w:rsidRDefault="00F22F94">
                    <w:pPr>
                      <w:numPr>
                        <w:ilvl w:val="0"/>
                        <w:numId w:val="107"/>
                      </w:numPr>
                      <w:tabs>
                        <w:tab w:val="left" w:pos="244"/>
                      </w:tabs>
                      <w:spacing w:before="96" w:line="183" w:lineRule="exact"/>
                      <w:ind w:hanging="239"/>
                      <w:rPr>
                        <w:sz w:val="16"/>
                      </w:rPr>
                    </w:pPr>
                    <w:r>
                      <w:rPr>
                        <w:spacing w:val="-2"/>
                        <w:w w:val="90"/>
                        <w:sz w:val="16"/>
                      </w:rPr>
                      <w:t>Penrith</w:t>
                    </w:r>
                  </w:p>
                </w:txbxContent>
              </v:textbox>
            </v:shape>
            <v:shape id="docshape785" o:spid="_x0000_s4546" type="#_x0000_t202" style="position:absolute;left:13656;top:6403;width:1045;height:1423" filled="f" stroked="f">
              <v:textbox inset="0,0,0,0">
                <w:txbxContent>
                  <w:p w:rsidR="00F22F94" w:rsidRDefault="00F22F94">
                    <w:pPr>
                      <w:spacing w:line="213" w:lineRule="exact"/>
                      <w:rPr>
                        <w:sz w:val="20"/>
                      </w:rPr>
                    </w:pPr>
                    <w:r>
                      <w:rPr>
                        <w:color w:val="2E3092"/>
                        <w:spacing w:val="-5"/>
                        <w:w w:val="90"/>
                        <w:sz w:val="20"/>
                      </w:rPr>
                      <w:t>Key</w:t>
                    </w:r>
                  </w:p>
                  <w:p w:rsidR="00F22F94" w:rsidRDefault="00F22F94">
                    <w:pPr>
                      <w:spacing w:line="168" w:lineRule="exact"/>
                      <w:rPr>
                        <w:sz w:val="16"/>
                      </w:rPr>
                    </w:pPr>
                    <w:r>
                      <w:rPr>
                        <w:w w:val="75"/>
                        <w:sz w:val="16"/>
                      </w:rPr>
                      <w:t>Jobs</w:t>
                    </w:r>
                    <w:r>
                      <w:rPr>
                        <w:spacing w:val="2"/>
                        <w:sz w:val="16"/>
                      </w:rPr>
                      <w:t xml:space="preserve"> </w:t>
                    </w:r>
                    <w:r>
                      <w:rPr>
                        <w:w w:val="75"/>
                        <w:sz w:val="16"/>
                      </w:rPr>
                      <w:t>per</w:t>
                    </w:r>
                    <w:r>
                      <w:rPr>
                        <w:spacing w:val="3"/>
                        <w:sz w:val="16"/>
                      </w:rPr>
                      <w:t xml:space="preserve"> </w:t>
                    </w:r>
                    <w:r>
                      <w:rPr>
                        <w:spacing w:val="-2"/>
                        <w:w w:val="75"/>
                        <w:sz w:val="16"/>
                      </w:rPr>
                      <w:t>hectare</w:t>
                    </w:r>
                  </w:p>
                  <w:p w:rsidR="00F22F94" w:rsidRDefault="00F22F94">
                    <w:pPr>
                      <w:spacing w:before="94"/>
                      <w:ind w:left="255"/>
                      <w:rPr>
                        <w:sz w:val="16"/>
                      </w:rPr>
                    </w:pPr>
                    <w:r>
                      <w:rPr>
                        <w:w w:val="85"/>
                        <w:sz w:val="16"/>
                      </w:rPr>
                      <w:t>1</w:t>
                    </w:r>
                    <w:r>
                      <w:rPr>
                        <w:spacing w:val="-5"/>
                        <w:w w:val="85"/>
                        <w:sz w:val="16"/>
                      </w:rPr>
                      <w:t xml:space="preserve"> </w:t>
                    </w:r>
                    <w:r>
                      <w:rPr>
                        <w:w w:val="85"/>
                        <w:sz w:val="16"/>
                      </w:rPr>
                      <w:t>or</w:t>
                    </w:r>
                    <w:r>
                      <w:rPr>
                        <w:spacing w:val="-4"/>
                        <w:w w:val="85"/>
                        <w:sz w:val="16"/>
                      </w:rPr>
                      <w:t xml:space="preserve"> </w:t>
                    </w:r>
                    <w:r>
                      <w:rPr>
                        <w:spacing w:val="-2"/>
                        <w:w w:val="85"/>
                        <w:sz w:val="16"/>
                      </w:rPr>
                      <w:t>fewer</w:t>
                    </w:r>
                  </w:p>
                  <w:p w:rsidR="00F22F94" w:rsidRDefault="00F22F94">
                    <w:pPr>
                      <w:spacing w:before="72"/>
                      <w:ind w:left="255"/>
                      <w:rPr>
                        <w:sz w:val="16"/>
                      </w:rPr>
                    </w:pPr>
                    <w:r>
                      <w:rPr>
                        <w:w w:val="85"/>
                        <w:sz w:val="16"/>
                      </w:rPr>
                      <w:t>1</w:t>
                    </w:r>
                    <w:r>
                      <w:rPr>
                        <w:spacing w:val="-4"/>
                        <w:w w:val="85"/>
                        <w:sz w:val="16"/>
                      </w:rPr>
                      <w:t xml:space="preserve"> </w:t>
                    </w:r>
                    <w:r>
                      <w:rPr>
                        <w:w w:val="85"/>
                        <w:sz w:val="16"/>
                      </w:rPr>
                      <w:t>to</w:t>
                    </w:r>
                    <w:r>
                      <w:rPr>
                        <w:spacing w:val="-4"/>
                        <w:w w:val="85"/>
                        <w:sz w:val="16"/>
                      </w:rPr>
                      <w:t xml:space="preserve"> </w:t>
                    </w:r>
                    <w:r>
                      <w:rPr>
                        <w:spacing w:val="-5"/>
                        <w:w w:val="85"/>
                        <w:sz w:val="16"/>
                      </w:rPr>
                      <w:t>25</w:t>
                    </w:r>
                  </w:p>
                  <w:p w:rsidR="00F22F94" w:rsidRDefault="00F22F94">
                    <w:pPr>
                      <w:spacing w:before="71"/>
                      <w:ind w:left="255"/>
                      <w:rPr>
                        <w:sz w:val="16"/>
                      </w:rPr>
                    </w:pPr>
                    <w:r>
                      <w:rPr>
                        <w:w w:val="85"/>
                        <w:sz w:val="16"/>
                      </w:rPr>
                      <w:t>25</w:t>
                    </w:r>
                    <w:r>
                      <w:rPr>
                        <w:spacing w:val="-4"/>
                        <w:w w:val="85"/>
                        <w:sz w:val="16"/>
                      </w:rPr>
                      <w:t xml:space="preserve"> </w:t>
                    </w:r>
                    <w:r>
                      <w:rPr>
                        <w:w w:val="85"/>
                        <w:sz w:val="16"/>
                      </w:rPr>
                      <w:t>to</w:t>
                    </w:r>
                    <w:r>
                      <w:rPr>
                        <w:spacing w:val="-3"/>
                        <w:w w:val="85"/>
                        <w:sz w:val="16"/>
                      </w:rPr>
                      <w:t xml:space="preserve"> </w:t>
                    </w:r>
                    <w:r>
                      <w:rPr>
                        <w:spacing w:val="-5"/>
                        <w:w w:val="85"/>
                        <w:sz w:val="16"/>
                      </w:rPr>
                      <w:t>75</w:t>
                    </w:r>
                  </w:p>
                  <w:p w:rsidR="00F22F94" w:rsidRDefault="00F22F94">
                    <w:pPr>
                      <w:spacing w:before="71" w:line="183" w:lineRule="exact"/>
                      <w:ind w:left="255"/>
                      <w:rPr>
                        <w:sz w:val="16"/>
                      </w:rPr>
                    </w:pPr>
                    <w:r>
                      <w:rPr>
                        <w:w w:val="80"/>
                        <w:sz w:val="16"/>
                      </w:rPr>
                      <w:t>More</w:t>
                    </w:r>
                    <w:r>
                      <w:rPr>
                        <w:spacing w:val="-2"/>
                        <w:w w:val="80"/>
                        <w:sz w:val="16"/>
                      </w:rPr>
                      <w:t xml:space="preserve"> </w:t>
                    </w:r>
                    <w:r>
                      <w:rPr>
                        <w:w w:val="80"/>
                        <w:sz w:val="16"/>
                      </w:rPr>
                      <w:t>than</w:t>
                    </w:r>
                    <w:r>
                      <w:rPr>
                        <w:spacing w:val="-1"/>
                        <w:w w:val="80"/>
                        <w:sz w:val="16"/>
                      </w:rPr>
                      <w:t xml:space="preserve"> </w:t>
                    </w:r>
                    <w:r>
                      <w:rPr>
                        <w:spacing w:val="-5"/>
                        <w:w w:val="80"/>
                        <w:sz w:val="16"/>
                      </w:rPr>
                      <w:t>75</w:t>
                    </w:r>
                  </w:p>
                </w:txbxContent>
              </v:textbox>
            </v:shape>
            <v:shape id="docshape786" o:spid="_x0000_s4545" type="#_x0000_t202" style="position:absolute;left:6132;top:8109;width:1698;height:166" filled="f" stroked="f">
              <v:textbox inset="0,0,0,0">
                <w:txbxContent>
                  <w:p w:rsidR="00F22F94" w:rsidRDefault="00F22F94">
                    <w:pPr>
                      <w:spacing w:before="4"/>
                      <w:rPr>
                        <w:sz w:val="14"/>
                      </w:rPr>
                    </w:pPr>
                    <w:r>
                      <w:rPr>
                        <w:w w:val="95"/>
                        <w:sz w:val="14"/>
                      </w:rPr>
                      <w:t>Source:</w:t>
                    </w:r>
                    <w:r>
                      <w:rPr>
                        <w:spacing w:val="5"/>
                        <w:sz w:val="14"/>
                      </w:rPr>
                      <w:t xml:space="preserve"> </w:t>
                    </w:r>
                    <w:r>
                      <w:rPr>
                        <w:w w:val="95"/>
                        <w:sz w:val="14"/>
                      </w:rPr>
                      <w:t>Transport</w:t>
                    </w:r>
                    <w:r>
                      <w:rPr>
                        <w:spacing w:val="6"/>
                        <w:sz w:val="14"/>
                      </w:rPr>
                      <w:t xml:space="preserve"> </w:t>
                    </w:r>
                    <w:r>
                      <w:rPr>
                        <w:w w:val="95"/>
                        <w:sz w:val="14"/>
                      </w:rPr>
                      <w:t>for</w:t>
                    </w:r>
                    <w:r>
                      <w:rPr>
                        <w:spacing w:val="6"/>
                        <w:sz w:val="14"/>
                      </w:rPr>
                      <w:t xml:space="preserve"> </w:t>
                    </w:r>
                    <w:r>
                      <w:rPr>
                        <w:spacing w:val="-4"/>
                        <w:w w:val="95"/>
                        <w:sz w:val="14"/>
                      </w:rPr>
                      <w:t>NSW.</w:t>
                    </w:r>
                  </w:p>
                </w:txbxContent>
              </v:textbox>
            </v:shape>
            <v:shape id="docshape787" o:spid="_x0000_s4544" type="#_x0000_t202" style="position:absolute;left:9862;top:5409;width:157;height:168" filled="f" stroked="f">
              <v:textbox inset="0,0,0,0">
                <w:txbxContent>
                  <w:p w:rsidR="00F22F94" w:rsidRDefault="00F22F94">
                    <w:pPr>
                      <w:spacing w:before="5"/>
                      <w:rPr>
                        <w:b/>
                        <w:sz w:val="14"/>
                      </w:rPr>
                    </w:pPr>
                    <w:r>
                      <w:rPr>
                        <w:b/>
                        <w:spacing w:val="-5"/>
                        <w:sz w:val="14"/>
                      </w:rPr>
                      <w:t>10</w:t>
                    </w:r>
                  </w:p>
                </w:txbxContent>
              </v:textbox>
            </v:shape>
            <v:shape id="docshape788" o:spid="_x0000_s4543" type="#_x0000_t202" style="position:absolute;left:13834;top:3976;width:98;height:168" filled="f" stroked="f">
              <v:textbox inset="0,0,0,0">
                <w:txbxContent>
                  <w:p w:rsidR="00F22F94" w:rsidRDefault="00F22F94">
                    <w:pPr>
                      <w:spacing w:before="5"/>
                      <w:rPr>
                        <w:b/>
                        <w:sz w:val="14"/>
                      </w:rPr>
                    </w:pPr>
                    <w:r>
                      <w:rPr>
                        <w:b/>
                        <w:w w:val="99"/>
                        <w:sz w:val="14"/>
                      </w:rPr>
                      <w:t>4</w:t>
                    </w:r>
                  </w:p>
                </w:txbxContent>
              </v:textbox>
            </v:shape>
            <v:shape id="docshape789" o:spid="_x0000_s4542" type="#_x0000_t202" style="position:absolute;left:11106;top:3549;width:98;height:168" filled="f" stroked="f">
              <v:textbox inset="0,0,0,0">
                <w:txbxContent>
                  <w:p w:rsidR="00F22F94" w:rsidRDefault="00F22F94">
                    <w:pPr>
                      <w:spacing w:before="5"/>
                      <w:rPr>
                        <w:b/>
                        <w:sz w:val="14"/>
                      </w:rPr>
                    </w:pPr>
                    <w:r>
                      <w:rPr>
                        <w:b/>
                        <w:w w:val="99"/>
                        <w:sz w:val="14"/>
                      </w:rPr>
                      <w:t>8</w:t>
                    </w:r>
                  </w:p>
                </w:txbxContent>
              </v:textbox>
            </v:shape>
            <v:shape id="docshape790" o:spid="_x0000_s4541" type="#_x0000_t202" style="position:absolute;left:13934;top:2980;width:98;height:168" filled="f" stroked="f">
              <v:textbox inset="0,0,0,0">
                <w:txbxContent>
                  <w:p w:rsidR="00F22F94" w:rsidRDefault="00F22F94">
                    <w:pPr>
                      <w:spacing w:before="5"/>
                      <w:rPr>
                        <w:b/>
                        <w:sz w:val="14"/>
                      </w:rPr>
                    </w:pPr>
                    <w:r>
                      <w:rPr>
                        <w:b/>
                        <w:w w:val="99"/>
                        <w:sz w:val="14"/>
                      </w:rPr>
                      <w:t>1</w:t>
                    </w:r>
                  </w:p>
                </w:txbxContent>
              </v:textbox>
            </v:shape>
            <v:shape id="docshape791" o:spid="_x0000_s4540" type="#_x0000_t202" style="position:absolute;left:13834;top:2572;width:98;height:168" filled="f" stroked="f">
              <v:textbox inset="0,0,0,0">
                <w:txbxContent>
                  <w:p w:rsidR="00F22F94" w:rsidRDefault="00F22F94">
                    <w:pPr>
                      <w:spacing w:before="5"/>
                      <w:rPr>
                        <w:b/>
                        <w:sz w:val="14"/>
                      </w:rPr>
                    </w:pPr>
                    <w:r>
                      <w:rPr>
                        <w:b/>
                        <w:w w:val="99"/>
                        <w:sz w:val="14"/>
                      </w:rPr>
                      <w:t>2</w:t>
                    </w:r>
                  </w:p>
                </w:txbxContent>
              </v:textbox>
            </v:shape>
            <v:shape id="docshape792" o:spid="_x0000_s4539" type="#_x0000_t202" style="position:absolute;left:13734;top:2288;width:98;height:168" filled="f" stroked="f">
              <v:textbox inset="0,0,0,0">
                <w:txbxContent>
                  <w:p w:rsidR="00F22F94" w:rsidRDefault="00F22F94">
                    <w:pPr>
                      <w:spacing w:before="5"/>
                      <w:rPr>
                        <w:b/>
                        <w:sz w:val="14"/>
                      </w:rPr>
                    </w:pPr>
                    <w:r>
                      <w:rPr>
                        <w:b/>
                        <w:w w:val="99"/>
                        <w:sz w:val="14"/>
                      </w:rPr>
                      <w:t>3</w:t>
                    </w:r>
                  </w:p>
                </w:txbxContent>
              </v:textbox>
            </v:shape>
            <v:shape id="docshape793" o:spid="_x0000_s4538" type="#_x0000_t202" style="position:absolute;left:11699;top:2239;width:98;height:168" filled="f" stroked="f">
              <v:textbox inset="0,0,0,0">
                <w:txbxContent>
                  <w:p w:rsidR="00F22F94" w:rsidRDefault="00F22F94">
                    <w:pPr>
                      <w:spacing w:before="5"/>
                      <w:rPr>
                        <w:b/>
                        <w:sz w:val="14"/>
                      </w:rPr>
                    </w:pPr>
                    <w:r>
                      <w:rPr>
                        <w:b/>
                        <w:w w:val="99"/>
                        <w:sz w:val="14"/>
                      </w:rPr>
                      <w:t>6</w:t>
                    </w:r>
                  </w:p>
                </w:txbxContent>
              </v:textbox>
            </v:shape>
            <v:shape id="docshape794" o:spid="_x0000_s4537" type="#_x0000_t202" style="position:absolute;left:12981;top:1817;width:98;height:168" filled="f" stroked="f">
              <v:textbox inset="0,0,0,0">
                <w:txbxContent>
                  <w:p w:rsidR="00F22F94" w:rsidRDefault="00F22F94">
                    <w:pPr>
                      <w:spacing w:before="5"/>
                      <w:rPr>
                        <w:b/>
                        <w:sz w:val="14"/>
                      </w:rPr>
                    </w:pPr>
                    <w:r>
                      <w:rPr>
                        <w:b/>
                        <w:w w:val="99"/>
                        <w:sz w:val="14"/>
                      </w:rPr>
                      <w:t>5</w:t>
                    </w:r>
                  </w:p>
                </w:txbxContent>
              </v:textbox>
            </v:shape>
            <v:shape id="docshape795" o:spid="_x0000_s4536" type="#_x0000_t202" style="position:absolute;left:10893;top:1665;width:98;height:168" filled="f" stroked="f">
              <v:textbox inset="0,0,0,0">
                <w:txbxContent>
                  <w:p w:rsidR="00F22F94" w:rsidRDefault="00F22F94">
                    <w:pPr>
                      <w:spacing w:before="5"/>
                      <w:rPr>
                        <w:b/>
                        <w:sz w:val="14"/>
                      </w:rPr>
                    </w:pPr>
                    <w:r>
                      <w:rPr>
                        <w:b/>
                        <w:w w:val="99"/>
                        <w:sz w:val="14"/>
                      </w:rPr>
                      <w:t>7</w:t>
                    </w:r>
                  </w:p>
                </w:txbxContent>
              </v:textbox>
            </v:shape>
            <v:shape id="docshape796" o:spid="_x0000_s4535" type="#_x0000_t202" style="position:absolute;left:8583;top:1617;width:154;height:168" filled="f" stroked="f">
              <v:textbox inset="0,0,0,0">
                <w:txbxContent>
                  <w:p w:rsidR="00F22F94" w:rsidRDefault="00F22F94">
                    <w:pPr>
                      <w:spacing w:before="5"/>
                      <w:rPr>
                        <w:b/>
                        <w:sz w:val="14"/>
                      </w:rPr>
                    </w:pPr>
                    <w:r>
                      <w:rPr>
                        <w:b/>
                        <w:spacing w:val="-7"/>
                        <w:sz w:val="14"/>
                      </w:rPr>
                      <w:t>11</w:t>
                    </w:r>
                  </w:p>
                </w:txbxContent>
              </v:textbox>
            </v:shape>
            <v:shape id="docshape797" o:spid="_x0000_s4534" type="#_x0000_t202" style="position:absolute;left:10893;top:747;width:98;height:168" filled="f" stroked="f">
              <v:textbox inset="0,0,0,0">
                <w:txbxContent>
                  <w:p w:rsidR="00F22F94" w:rsidRDefault="00F22F94">
                    <w:pPr>
                      <w:spacing w:before="5"/>
                      <w:rPr>
                        <w:b/>
                        <w:sz w:val="14"/>
                      </w:rPr>
                    </w:pPr>
                    <w:r>
                      <w:rPr>
                        <w:b/>
                        <w:w w:val="99"/>
                        <w:sz w:val="14"/>
                      </w:rPr>
                      <w:t>9</w:t>
                    </w:r>
                  </w:p>
                </w:txbxContent>
              </v:textbox>
            </v:shape>
            <v:shape id="docshape798" o:spid="_x0000_s4533" type="#_x0000_t202" style="position:absolute;left:6132;top:242;width:3854;height:215" filled="f" stroked="f">
              <v:textbox inset="0,0,0,0">
                <w:txbxContent>
                  <w:p w:rsidR="00F22F94" w:rsidRDefault="00F22F94">
                    <w:pPr>
                      <w:spacing w:before="6"/>
                      <w:rPr>
                        <w:b/>
                        <w:sz w:val="18"/>
                      </w:rPr>
                    </w:pPr>
                    <w:r>
                      <w:rPr>
                        <w:b/>
                        <w:sz w:val="18"/>
                      </w:rPr>
                      <w:t>Figure</w:t>
                    </w:r>
                    <w:r>
                      <w:rPr>
                        <w:b/>
                        <w:spacing w:val="-10"/>
                        <w:sz w:val="18"/>
                      </w:rPr>
                      <w:t xml:space="preserve"> </w:t>
                    </w:r>
                    <w:r>
                      <w:rPr>
                        <w:b/>
                        <w:sz w:val="18"/>
                      </w:rPr>
                      <w:t>4.3</w:t>
                    </w:r>
                    <w:r>
                      <w:rPr>
                        <w:b/>
                        <w:spacing w:val="31"/>
                        <w:sz w:val="18"/>
                      </w:rPr>
                      <w:t xml:space="preserve"> </w:t>
                    </w:r>
                    <w:r>
                      <w:rPr>
                        <w:b/>
                        <w:sz w:val="18"/>
                      </w:rPr>
                      <w:t>Employment</w:t>
                    </w:r>
                    <w:r>
                      <w:rPr>
                        <w:b/>
                        <w:spacing w:val="-10"/>
                        <w:sz w:val="18"/>
                      </w:rPr>
                      <w:t xml:space="preserve"> </w:t>
                    </w:r>
                    <w:r>
                      <w:rPr>
                        <w:b/>
                        <w:sz w:val="18"/>
                      </w:rPr>
                      <w:t>Density</w:t>
                    </w:r>
                    <w:r>
                      <w:rPr>
                        <w:b/>
                        <w:spacing w:val="-9"/>
                        <w:sz w:val="18"/>
                      </w:rPr>
                      <w:t xml:space="preserve"> </w:t>
                    </w:r>
                    <w:r>
                      <w:rPr>
                        <w:b/>
                        <w:sz w:val="18"/>
                      </w:rPr>
                      <w:t>Sydney</w:t>
                    </w:r>
                    <w:r>
                      <w:rPr>
                        <w:b/>
                        <w:spacing w:val="-10"/>
                        <w:sz w:val="18"/>
                      </w:rPr>
                      <w:t xml:space="preserve"> </w:t>
                    </w:r>
                    <w:r>
                      <w:rPr>
                        <w:b/>
                        <w:spacing w:val="-4"/>
                        <w:sz w:val="18"/>
                      </w:rPr>
                      <w:t>2006</w:t>
                    </w:r>
                  </w:p>
                </w:txbxContent>
              </v:textbox>
            </v:shape>
            <w10:wrap anchorx="page"/>
          </v:group>
        </w:pict>
      </w:r>
      <w:bookmarkStart w:id="114" w:name="_bookmark81"/>
      <w:bookmarkEnd w:id="114"/>
      <w:r w:rsidR="00F22F94">
        <w:t>continue</w:t>
      </w:r>
      <w:r w:rsidR="00F22F94">
        <w:rPr>
          <w:spacing w:val="-13"/>
        </w:rPr>
        <w:t xml:space="preserve"> </w:t>
      </w:r>
      <w:r w:rsidR="00F22F94">
        <w:t>its</w:t>
      </w:r>
      <w:r w:rsidR="00F22F94">
        <w:rPr>
          <w:spacing w:val="-13"/>
        </w:rPr>
        <w:t xml:space="preserve"> </w:t>
      </w:r>
      <w:r w:rsidR="00F22F94">
        <w:t>strengths</w:t>
      </w:r>
      <w:r w:rsidR="00F22F94">
        <w:rPr>
          <w:spacing w:val="-13"/>
        </w:rPr>
        <w:t xml:space="preserve"> </w:t>
      </w:r>
      <w:r w:rsidR="00F22F94">
        <w:t>in</w:t>
      </w:r>
      <w:r w:rsidR="00F22F94">
        <w:rPr>
          <w:spacing w:val="-13"/>
        </w:rPr>
        <w:t xml:space="preserve"> </w:t>
      </w:r>
      <w:r w:rsidR="00F22F94">
        <w:t>financial</w:t>
      </w:r>
      <w:r w:rsidR="00F22F94">
        <w:rPr>
          <w:spacing w:val="-13"/>
        </w:rPr>
        <w:t xml:space="preserve"> </w:t>
      </w:r>
      <w:r w:rsidR="00F22F94">
        <w:t>and</w:t>
      </w:r>
      <w:r w:rsidR="00F22F94">
        <w:rPr>
          <w:spacing w:val="-13"/>
        </w:rPr>
        <w:t xml:space="preserve"> </w:t>
      </w:r>
      <w:r w:rsidR="00F22F94">
        <w:t>insurance services.</w:t>
      </w:r>
      <w:r w:rsidR="00F22F94">
        <w:rPr>
          <w:spacing w:val="-14"/>
        </w:rPr>
        <w:t xml:space="preserve"> </w:t>
      </w:r>
      <w:r w:rsidR="00F22F94">
        <w:t>The</w:t>
      </w:r>
      <w:r w:rsidR="00F22F94">
        <w:rPr>
          <w:spacing w:val="-14"/>
        </w:rPr>
        <w:t xml:space="preserve"> </w:t>
      </w:r>
      <w:r w:rsidR="00F22F94">
        <w:t>healthcare</w:t>
      </w:r>
      <w:r w:rsidR="00F22F94">
        <w:rPr>
          <w:spacing w:val="-14"/>
        </w:rPr>
        <w:t xml:space="preserve"> </w:t>
      </w:r>
      <w:r w:rsidR="00F22F94">
        <w:t>clusters</w:t>
      </w:r>
      <w:r w:rsidR="00F22F94">
        <w:rPr>
          <w:spacing w:val="-14"/>
        </w:rPr>
        <w:t xml:space="preserve"> </w:t>
      </w:r>
      <w:r w:rsidR="00F22F94">
        <w:t>at</w:t>
      </w:r>
      <w:r w:rsidR="00F22F94">
        <w:rPr>
          <w:spacing w:val="-14"/>
        </w:rPr>
        <w:t xml:space="preserve"> </w:t>
      </w:r>
      <w:r w:rsidR="00F22F94">
        <w:t>Westmead</w:t>
      </w:r>
      <w:r w:rsidR="00F22F94">
        <w:rPr>
          <w:spacing w:val="-14"/>
        </w:rPr>
        <w:t xml:space="preserve"> </w:t>
      </w:r>
      <w:r w:rsidR="00F22F94">
        <w:t>and Liverpool</w:t>
      </w:r>
      <w:r w:rsidR="00F22F94">
        <w:rPr>
          <w:spacing w:val="-14"/>
        </w:rPr>
        <w:t xml:space="preserve"> </w:t>
      </w:r>
      <w:r w:rsidR="00F22F94">
        <w:t>will</w:t>
      </w:r>
      <w:r w:rsidR="00F22F94">
        <w:rPr>
          <w:spacing w:val="-14"/>
        </w:rPr>
        <w:t xml:space="preserve"> </w:t>
      </w:r>
      <w:r w:rsidR="00F22F94">
        <w:t>grow</w:t>
      </w:r>
      <w:r w:rsidR="00F22F94">
        <w:rPr>
          <w:spacing w:val="-14"/>
        </w:rPr>
        <w:t xml:space="preserve"> </w:t>
      </w:r>
      <w:r w:rsidR="00F22F94">
        <w:t>substantially.</w:t>
      </w:r>
      <w:r w:rsidR="00F22F94">
        <w:rPr>
          <w:spacing w:val="-14"/>
        </w:rPr>
        <w:t xml:space="preserve"> </w:t>
      </w:r>
      <w:r w:rsidR="00F22F94">
        <w:t>The</w:t>
      </w:r>
      <w:r w:rsidR="00F22F94">
        <w:rPr>
          <w:spacing w:val="-14"/>
        </w:rPr>
        <w:t xml:space="preserve"> </w:t>
      </w:r>
      <w:r w:rsidR="00F22F94">
        <w:t>education precinct</w:t>
      </w:r>
      <w:r w:rsidR="00F22F94">
        <w:rPr>
          <w:spacing w:val="-10"/>
        </w:rPr>
        <w:t xml:space="preserve"> </w:t>
      </w:r>
      <w:r w:rsidR="00F22F94">
        <w:t>centred</w:t>
      </w:r>
      <w:r w:rsidR="00F22F94">
        <w:rPr>
          <w:spacing w:val="-10"/>
        </w:rPr>
        <w:t xml:space="preserve"> </w:t>
      </w:r>
      <w:r w:rsidR="00F22F94">
        <w:t>around</w:t>
      </w:r>
      <w:r w:rsidR="00F22F94">
        <w:rPr>
          <w:spacing w:val="-10"/>
        </w:rPr>
        <w:t xml:space="preserve"> </w:t>
      </w:r>
      <w:r w:rsidR="00F22F94">
        <w:t>the</w:t>
      </w:r>
      <w:r w:rsidR="00F22F94">
        <w:rPr>
          <w:spacing w:val="-10"/>
        </w:rPr>
        <w:t xml:space="preserve"> </w:t>
      </w:r>
      <w:r w:rsidR="00F22F94">
        <w:t>University</w:t>
      </w:r>
      <w:r w:rsidR="00F22F94">
        <w:rPr>
          <w:spacing w:val="-10"/>
        </w:rPr>
        <w:t xml:space="preserve"> </w:t>
      </w:r>
      <w:r w:rsidR="00F22F94">
        <w:t>of</w:t>
      </w:r>
      <w:r w:rsidR="00F22F94">
        <w:rPr>
          <w:spacing w:val="-10"/>
        </w:rPr>
        <w:t xml:space="preserve"> </w:t>
      </w:r>
      <w:r w:rsidR="00F22F94">
        <w:t>Western Sydney</w:t>
      </w:r>
      <w:r w:rsidR="00F22F94">
        <w:rPr>
          <w:spacing w:val="-14"/>
        </w:rPr>
        <w:t xml:space="preserve"> </w:t>
      </w:r>
      <w:r w:rsidR="00F22F94">
        <w:t>at</w:t>
      </w:r>
      <w:r w:rsidR="00F22F94">
        <w:rPr>
          <w:spacing w:val="-14"/>
        </w:rPr>
        <w:t xml:space="preserve"> </w:t>
      </w:r>
      <w:r w:rsidR="00F22F94">
        <w:t>Rydalmere</w:t>
      </w:r>
      <w:r w:rsidR="00F22F94">
        <w:rPr>
          <w:spacing w:val="-14"/>
        </w:rPr>
        <w:t xml:space="preserve"> </w:t>
      </w:r>
      <w:r w:rsidR="00F22F94">
        <w:t>and</w:t>
      </w:r>
      <w:r w:rsidR="00F22F94">
        <w:rPr>
          <w:spacing w:val="-14"/>
        </w:rPr>
        <w:t xml:space="preserve"> </w:t>
      </w:r>
      <w:r w:rsidR="00F22F94">
        <w:t>Greater</w:t>
      </w:r>
      <w:r w:rsidR="00F22F94">
        <w:rPr>
          <w:spacing w:val="-14"/>
        </w:rPr>
        <w:t xml:space="preserve"> </w:t>
      </w:r>
      <w:r w:rsidR="00F22F94">
        <w:t xml:space="preserve">Sydney’s </w:t>
      </w:r>
      <w:r w:rsidR="00F22F94">
        <w:rPr>
          <w:w w:val="95"/>
        </w:rPr>
        <w:t>business</w:t>
      </w:r>
      <w:r w:rsidR="00F22F94">
        <w:rPr>
          <w:spacing w:val="-3"/>
          <w:w w:val="95"/>
        </w:rPr>
        <w:t xml:space="preserve"> </w:t>
      </w:r>
      <w:r w:rsidR="00F22F94">
        <w:rPr>
          <w:w w:val="95"/>
        </w:rPr>
        <w:t>parks,</w:t>
      </w:r>
      <w:r w:rsidR="00F22F94">
        <w:rPr>
          <w:spacing w:val="-3"/>
          <w:w w:val="95"/>
        </w:rPr>
        <w:t xml:space="preserve"> </w:t>
      </w:r>
      <w:r w:rsidR="00F22F94">
        <w:rPr>
          <w:w w:val="95"/>
        </w:rPr>
        <w:t>such</w:t>
      </w:r>
      <w:r w:rsidR="00F22F94">
        <w:rPr>
          <w:spacing w:val="-3"/>
          <w:w w:val="95"/>
        </w:rPr>
        <w:t xml:space="preserve"> </w:t>
      </w:r>
      <w:r w:rsidR="00F22F94">
        <w:rPr>
          <w:w w:val="95"/>
        </w:rPr>
        <w:t>as</w:t>
      </w:r>
      <w:r w:rsidR="00F22F94">
        <w:rPr>
          <w:spacing w:val="-3"/>
          <w:w w:val="95"/>
        </w:rPr>
        <w:t xml:space="preserve"> </w:t>
      </w:r>
      <w:r w:rsidR="00F22F94">
        <w:rPr>
          <w:w w:val="95"/>
        </w:rPr>
        <w:t>Norwest</w:t>
      </w:r>
      <w:r w:rsidR="00F22F94">
        <w:rPr>
          <w:spacing w:val="-3"/>
          <w:w w:val="95"/>
        </w:rPr>
        <w:t xml:space="preserve"> </w:t>
      </w:r>
      <w:r w:rsidR="00F22F94">
        <w:rPr>
          <w:w w:val="95"/>
        </w:rPr>
        <w:t>and</w:t>
      </w:r>
      <w:r w:rsidR="00F22F94">
        <w:rPr>
          <w:spacing w:val="-3"/>
          <w:w w:val="95"/>
        </w:rPr>
        <w:t xml:space="preserve"> </w:t>
      </w:r>
      <w:r w:rsidR="00F22F94">
        <w:rPr>
          <w:w w:val="95"/>
        </w:rPr>
        <w:t>Frenchs</w:t>
      </w:r>
      <w:r w:rsidR="00F22F94">
        <w:rPr>
          <w:spacing w:val="-3"/>
          <w:w w:val="95"/>
        </w:rPr>
        <w:t xml:space="preserve"> </w:t>
      </w:r>
      <w:r w:rsidR="00F22F94">
        <w:rPr>
          <w:w w:val="95"/>
        </w:rPr>
        <w:t xml:space="preserve">Forest </w:t>
      </w:r>
      <w:r w:rsidR="00F22F94">
        <w:t>will also grow.</w:t>
      </w:r>
    </w:p>
    <w:p w:rsidR="002C1123" w:rsidRDefault="00F22F94">
      <w:pPr>
        <w:pStyle w:val="BodyText"/>
        <w:spacing w:before="147" w:line="249" w:lineRule="auto"/>
        <w:ind w:left="492" w:right="10730"/>
      </w:pPr>
      <w:r>
        <w:rPr>
          <w:spacing w:val="-2"/>
        </w:rPr>
        <w:t>These</w:t>
      </w:r>
      <w:r>
        <w:rPr>
          <w:spacing w:val="-8"/>
        </w:rPr>
        <w:t xml:space="preserve"> </w:t>
      </w:r>
      <w:r>
        <w:rPr>
          <w:spacing w:val="-2"/>
        </w:rPr>
        <w:t>findings</w:t>
      </w:r>
      <w:r>
        <w:rPr>
          <w:spacing w:val="-8"/>
        </w:rPr>
        <w:t xml:space="preserve"> </w:t>
      </w:r>
      <w:r>
        <w:rPr>
          <w:spacing w:val="-2"/>
        </w:rPr>
        <w:t>imply</w:t>
      </w:r>
      <w:r>
        <w:rPr>
          <w:spacing w:val="-8"/>
        </w:rPr>
        <w:t xml:space="preserve"> </w:t>
      </w:r>
      <w:r>
        <w:rPr>
          <w:spacing w:val="-2"/>
        </w:rPr>
        <w:t>Greater</w:t>
      </w:r>
      <w:r>
        <w:rPr>
          <w:spacing w:val="-8"/>
        </w:rPr>
        <w:t xml:space="preserve"> </w:t>
      </w:r>
      <w:r>
        <w:rPr>
          <w:spacing w:val="-2"/>
        </w:rPr>
        <w:t>Sydney</w:t>
      </w:r>
      <w:r>
        <w:rPr>
          <w:spacing w:val="-8"/>
        </w:rPr>
        <w:t xml:space="preserve"> </w:t>
      </w:r>
      <w:r>
        <w:rPr>
          <w:spacing w:val="-2"/>
        </w:rPr>
        <w:t>in</w:t>
      </w:r>
      <w:r>
        <w:rPr>
          <w:spacing w:val="-8"/>
        </w:rPr>
        <w:t xml:space="preserve"> </w:t>
      </w:r>
      <w:r>
        <w:rPr>
          <w:spacing w:val="-2"/>
        </w:rPr>
        <w:t>2031</w:t>
      </w:r>
      <w:r>
        <w:rPr>
          <w:spacing w:val="-8"/>
        </w:rPr>
        <w:t xml:space="preserve"> </w:t>
      </w:r>
      <w:r>
        <w:rPr>
          <w:spacing w:val="-2"/>
        </w:rPr>
        <w:t>will</w:t>
      </w:r>
      <w:r>
        <w:rPr>
          <w:spacing w:val="-8"/>
        </w:rPr>
        <w:t xml:space="preserve"> </w:t>
      </w:r>
      <w:r>
        <w:rPr>
          <w:spacing w:val="-2"/>
        </w:rPr>
        <w:t>be</w:t>
      </w:r>
      <w:r>
        <w:rPr>
          <w:spacing w:val="-8"/>
        </w:rPr>
        <w:t xml:space="preserve"> </w:t>
      </w:r>
      <w:r>
        <w:rPr>
          <w:spacing w:val="-2"/>
        </w:rPr>
        <w:t xml:space="preserve">a </w:t>
      </w:r>
      <w:r>
        <w:rPr>
          <w:w w:val="95"/>
        </w:rPr>
        <w:t>higher</w:t>
      </w:r>
      <w:r>
        <w:rPr>
          <w:spacing w:val="-3"/>
          <w:w w:val="95"/>
        </w:rPr>
        <w:t xml:space="preserve"> </w:t>
      </w:r>
      <w:r>
        <w:rPr>
          <w:w w:val="95"/>
        </w:rPr>
        <w:t>density</w:t>
      </w:r>
      <w:r>
        <w:rPr>
          <w:spacing w:val="-3"/>
          <w:w w:val="95"/>
        </w:rPr>
        <w:t xml:space="preserve"> </w:t>
      </w:r>
      <w:r>
        <w:rPr>
          <w:w w:val="95"/>
        </w:rPr>
        <w:t>region,</w:t>
      </w:r>
      <w:r>
        <w:rPr>
          <w:spacing w:val="-3"/>
          <w:w w:val="95"/>
        </w:rPr>
        <w:t xml:space="preserve"> </w:t>
      </w:r>
      <w:r>
        <w:rPr>
          <w:w w:val="95"/>
        </w:rPr>
        <w:t>with</w:t>
      </w:r>
      <w:r>
        <w:rPr>
          <w:spacing w:val="-3"/>
          <w:w w:val="95"/>
        </w:rPr>
        <w:t xml:space="preserve"> </w:t>
      </w:r>
      <w:r>
        <w:rPr>
          <w:w w:val="95"/>
        </w:rPr>
        <w:t>a</w:t>
      </w:r>
      <w:r>
        <w:rPr>
          <w:spacing w:val="-3"/>
          <w:w w:val="95"/>
        </w:rPr>
        <w:t xml:space="preserve"> </w:t>
      </w:r>
      <w:r>
        <w:rPr>
          <w:w w:val="95"/>
        </w:rPr>
        <w:t>greater</w:t>
      </w:r>
      <w:r>
        <w:rPr>
          <w:spacing w:val="-3"/>
          <w:w w:val="95"/>
        </w:rPr>
        <w:t xml:space="preserve"> </w:t>
      </w:r>
      <w:r>
        <w:rPr>
          <w:w w:val="95"/>
        </w:rPr>
        <w:t>proportion</w:t>
      </w:r>
      <w:r>
        <w:rPr>
          <w:spacing w:val="-3"/>
          <w:w w:val="95"/>
        </w:rPr>
        <w:t xml:space="preserve"> </w:t>
      </w:r>
      <w:r>
        <w:rPr>
          <w:w w:val="95"/>
        </w:rPr>
        <w:t>of</w:t>
      </w:r>
      <w:r>
        <w:rPr>
          <w:spacing w:val="-3"/>
          <w:w w:val="95"/>
        </w:rPr>
        <w:t xml:space="preserve"> </w:t>
      </w:r>
      <w:r>
        <w:rPr>
          <w:w w:val="95"/>
        </w:rPr>
        <w:t>its</w:t>
      </w:r>
      <w:r>
        <w:rPr>
          <w:spacing w:val="-3"/>
          <w:w w:val="95"/>
        </w:rPr>
        <w:t xml:space="preserve"> </w:t>
      </w:r>
      <w:r>
        <w:rPr>
          <w:w w:val="95"/>
        </w:rPr>
        <w:t xml:space="preserve">jobs </w:t>
      </w:r>
      <w:r>
        <w:t>located</w:t>
      </w:r>
      <w:r>
        <w:rPr>
          <w:spacing w:val="-5"/>
        </w:rPr>
        <w:t xml:space="preserve"> </w:t>
      </w:r>
      <w:r>
        <w:t>in</w:t>
      </w:r>
      <w:r>
        <w:rPr>
          <w:spacing w:val="-5"/>
        </w:rPr>
        <w:t xml:space="preserve"> </w:t>
      </w:r>
      <w:r>
        <w:t>its</w:t>
      </w:r>
      <w:r>
        <w:rPr>
          <w:spacing w:val="-5"/>
        </w:rPr>
        <w:t xml:space="preserve"> </w:t>
      </w:r>
      <w:r>
        <w:t>burgeoning</w:t>
      </w:r>
      <w:r>
        <w:rPr>
          <w:spacing w:val="-5"/>
        </w:rPr>
        <w:t xml:space="preserve"> </w:t>
      </w:r>
      <w:r>
        <w:t>employment</w:t>
      </w:r>
      <w:r>
        <w:rPr>
          <w:spacing w:val="-5"/>
        </w:rPr>
        <w:t xml:space="preserve"> </w:t>
      </w:r>
      <w:r>
        <w:t>centres.</w:t>
      </w:r>
    </w:p>
    <w:p w:rsidR="002C1123" w:rsidRDefault="00F22F94">
      <w:pPr>
        <w:pStyle w:val="BodyText"/>
        <w:spacing w:before="145" w:line="249" w:lineRule="auto"/>
        <w:ind w:left="492" w:right="10835"/>
      </w:pPr>
      <w:r>
        <w:rPr>
          <w:w w:val="95"/>
        </w:rPr>
        <w:t>Targets</w:t>
      </w:r>
      <w:r>
        <w:rPr>
          <w:spacing w:val="-5"/>
          <w:w w:val="95"/>
        </w:rPr>
        <w:t xml:space="preserve"> </w:t>
      </w:r>
      <w:r>
        <w:rPr>
          <w:w w:val="95"/>
        </w:rPr>
        <w:t>for</w:t>
      </w:r>
      <w:r>
        <w:rPr>
          <w:spacing w:val="-5"/>
          <w:w w:val="95"/>
        </w:rPr>
        <w:t xml:space="preserve"> </w:t>
      </w:r>
      <w:r>
        <w:rPr>
          <w:w w:val="95"/>
        </w:rPr>
        <w:t>the</w:t>
      </w:r>
      <w:r>
        <w:rPr>
          <w:spacing w:val="-5"/>
          <w:w w:val="95"/>
        </w:rPr>
        <w:t xml:space="preserve"> </w:t>
      </w:r>
      <w:r>
        <w:rPr>
          <w:w w:val="95"/>
        </w:rPr>
        <w:t>distribution</w:t>
      </w:r>
      <w:r>
        <w:rPr>
          <w:spacing w:val="-5"/>
          <w:w w:val="95"/>
        </w:rPr>
        <w:t xml:space="preserve"> </w:t>
      </w:r>
      <w:r>
        <w:rPr>
          <w:w w:val="95"/>
        </w:rPr>
        <w:t>of</w:t>
      </w:r>
      <w:r>
        <w:rPr>
          <w:spacing w:val="-5"/>
          <w:w w:val="95"/>
        </w:rPr>
        <w:t xml:space="preserve"> </w:t>
      </w:r>
      <w:r>
        <w:rPr>
          <w:w w:val="95"/>
        </w:rPr>
        <w:t>housing</w:t>
      </w:r>
      <w:r>
        <w:rPr>
          <w:spacing w:val="-5"/>
          <w:w w:val="95"/>
        </w:rPr>
        <w:t xml:space="preserve"> </w:t>
      </w:r>
      <w:r>
        <w:rPr>
          <w:w w:val="95"/>
        </w:rPr>
        <w:t>and</w:t>
      </w:r>
      <w:r>
        <w:rPr>
          <w:spacing w:val="-5"/>
          <w:w w:val="95"/>
        </w:rPr>
        <w:t xml:space="preserve"> </w:t>
      </w:r>
      <w:r>
        <w:rPr>
          <w:w w:val="95"/>
        </w:rPr>
        <w:t xml:space="preserve">employment </w:t>
      </w:r>
      <w:r>
        <w:rPr>
          <w:spacing w:val="-2"/>
        </w:rPr>
        <w:t>are</w:t>
      </w:r>
      <w:r>
        <w:rPr>
          <w:spacing w:val="-8"/>
        </w:rPr>
        <w:t xml:space="preserve"> </w:t>
      </w:r>
      <w:r>
        <w:rPr>
          <w:spacing w:val="-2"/>
        </w:rPr>
        <w:t>to</w:t>
      </w:r>
      <w:r>
        <w:rPr>
          <w:spacing w:val="-8"/>
        </w:rPr>
        <w:t xml:space="preserve"> </w:t>
      </w:r>
      <w:r>
        <w:rPr>
          <w:spacing w:val="-2"/>
        </w:rPr>
        <w:t>be</w:t>
      </w:r>
      <w:r>
        <w:rPr>
          <w:spacing w:val="-8"/>
        </w:rPr>
        <w:t xml:space="preserve"> </w:t>
      </w:r>
      <w:r>
        <w:rPr>
          <w:spacing w:val="-2"/>
        </w:rPr>
        <w:t>finalised</w:t>
      </w:r>
      <w:r>
        <w:rPr>
          <w:spacing w:val="-8"/>
        </w:rPr>
        <w:t xml:space="preserve"> </w:t>
      </w:r>
      <w:r>
        <w:rPr>
          <w:spacing w:val="-2"/>
        </w:rPr>
        <w:t>by</w:t>
      </w:r>
      <w:r>
        <w:rPr>
          <w:spacing w:val="-8"/>
        </w:rPr>
        <w:t xml:space="preserve"> </w:t>
      </w:r>
      <w:r>
        <w:rPr>
          <w:spacing w:val="-2"/>
        </w:rPr>
        <w:t>the</w:t>
      </w:r>
      <w:r>
        <w:rPr>
          <w:spacing w:val="-8"/>
        </w:rPr>
        <w:t xml:space="preserve"> </w:t>
      </w:r>
      <w:r>
        <w:rPr>
          <w:spacing w:val="-2"/>
        </w:rPr>
        <w:t>Department</w:t>
      </w:r>
      <w:r>
        <w:rPr>
          <w:spacing w:val="-8"/>
        </w:rPr>
        <w:t xml:space="preserve"> </w:t>
      </w:r>
      <w:r>
        <w:rPr>
          <w:spacing w:val="-2"/>
        </w:rPr>
        <w:t>of</w:t>
      </w:r>
      <w:r>
        <w:rPr>
          <w:spacing w:val="-8"/>
        </w:rPr>
        <w:t xml:space="preserve"> </w:t>
      </w:r>
      <w:r>
        <w:rPr>
          <w:spacing w:val="-2"/>
        </w:rPr>
        <w:t>Planning</w:t>
      </w:r>
      <w:r>
        <w:rPr>
          <w:spacing w:val="-8"/>
        </w:rPr>
        <w:t xml:space="preserve"> </w:t>
      </w:r>
      <w:r>
        <w:rPr>
          <w:spacing w:val="-2"/>
        </w:rPr>
        <w:t xml:space="preserve">and </w:t>
      </w:r>
      <w:r>
        <w:rPr>
          <w:w w:val="95"/>
        </w:rPr>
        <w:t>Infrastructure in the Metropolitan Strategy for Sydney.</w:t>
      </w:r>
    </w:p>
    <w:p w:rsidR="002C1123" w:rsidRDefault="00F22F94">
      <w:pPr>
        <w:pStyle w:val="BodyText"/>
        <w:spacing w:before="144" w:line="249" w:lineRule="auto"/>
        <w:ind w:left="492" w:right="10835"/>
      </w:pPr>
      <w:r>
        <w:rPr>
          <w:w w:val="95"/>
        </w:rPr>
        <w:t>The level of change should not be overstated however. The</w:t>
      </w:r>
      <w:r>
        <w:rPr>
          <w:spacing w:val="-1"/>
          <w:w w:val="95"/>
        </w:rPr>
        <w:t xml:space="preserve"> </w:t>
      </w:r>
      <w:r>
        <w:rPr>
          <w:w w:val="95"/>
        </w:rPr>
        <w:t>stock</w:t>
      </w:r>
      <w:r>
        <w:rPr>
          <w:spacing w:val="-1"/>
          <w:w w:val="95"/>
        </w:rPr>
        <w:t xml:space="preserve"> </w:t>
      </w:r>
      <w:r>
        <w:rPr>
          <w:w w:val="95"/>
        </w:rPr>
        <w:t>of</w:t>
      </w:r>
      <w:r>
        <w:rPr>
          <w:spacing w:val="-1"/>
          <w:w w:val="95"/>
        </w:rPr>
        <w:t xml:space="preserve"> </w:t>
      </w:r>
      <w:r>
        <w:rPr>
          <w:w w:val="95"/>
        </w:rPr>
        <w:t>existing</w:t>
      </w:r>
      <w:r>
        <w:rPr>
          <w:spacing w:val="-1"/>
          <w:w w:val="95"/>
        </w:rPr>
        <w:t xml:space="preserve"> </w:t>
      </w:r>
      <w:r>
        <w:rPr>
          <w:w w:val="95"/>
        </w:rPr>
        <w:t>houses</w:t>
      </w:r>
      <w:r>
        <w:rPr>
          <w:spacing w:val="-1"/>
          <w:w w:val="95"/>
        </w:rPr>
        <w:t xml:space="preserve"> </w:t>
      </w:r>
      <w:r>
        <w:rPr>
          <w:w w:val="95"/>
        </w:rPr>
        <w:t>is</w:t>
      </w:r>
      <w:r>
        <w:rPr>
          <w:spacing w:val="-1"/>
          <w:w w:val="95"/>
        </w:rPr>
        <w:t xml:space="preserve"> </w:t>
      </w:r>
      <w:r>
        <w:rPr>
          <w:w w:val="95"/>
        </w:rPr>
        <w:t>three</w:t>
      </w:r>
      <w:r>
        <w:rPr>
          <w:spacing w:val="-1"/>
          <w:w w:val="95"/>
        </w:rPr>
        <w:t xml:space="preserve"> </w:t>
      </w:r>
      <w:r>
        <w:rPr>
          <w:w w:val="95"/>
        </w:rPr>
        <w:t>times</w:t>
      </w:r>
      <w:r>
        <w:rPr>
          <w:spacing w:val="-1"/>
          <w:w w:val="95"/>
        </w:rPr>
        <w:t xml:space="preserve"> </w:t>
      </w:r>
      <w:r>
        <w:rPr>
          <w:w w:val="95"/>
        </w:rPr>
        <w:t>greater</w:t>
      </w:r>
      <w:r>
        <w:rPr>
          <w:spacing w:val="-1"/>
          <w:w w:val="95"/>
        </w:rPr>
        <w:t xml:space="preserve"> </w:t>
      </w:r>
      <w:r>
        <w:rPr>
          <w:w w:val="95"/>
        </w:rPr>
        <w:t xml:space="preserve">than </w:t>
      </w:r>
      <w:r>
        <w:t>those</w:t>
      </w:r>
      <w:r>
        <w:rPr>
          <w:spacing w:val="-8"/>
        </w:rPr>
        <w:t xml:space="preserve"> </w:t>
      </w:r>
      <w:r>
        <w:t>expected</w:t>
      </w:r>
      <w:r>
        <w:rPr>
          <w:spacing w:val="-8"/>
        </w:rPr>
        <w:t xml:space="preserve"> </w:t>
      </w:r>
      <w:r>
        <w:t>to</w:t>
      </w:r>
      <w:r>
        <w:rPr>
          <w:spacing w:val="-8"/>
        </w:rPr>
        <w:t xml:space="preserve"> </w:t>
      </w:r>
      <w:r>
        <w:t>be</w:t>
      </w:r>
      <w:r>
        <w:rPr>
          <w:spacing w:val="-8"/>
        </w:rPr>
        <w:t xml:space="preserve"> </w:t>
      </w:r>
      <w:r>
        <w:t>built</w:t>
      </w:r>
      <w:r>
        <w:rPr>
          <w:spacing w:val="-8"/>
        </w:rPr>
        <w:t xml:space="preserve"> </w:t>
      </w:r>
      <w:r>
        <w:t>over</w:t>
      </w:r>
      <w:r>
        <w:rPr>
          <w:spacing w:val="-8"/>
        </w:rPr>
        <w:t xml:space="preserve"> </w:t>
      </w:r>
      <w:r>
        <w:t>this</w:t>
      </w:r>
      <w:r>
        <w:rPr>
          <w:spacing w:val="-8"/>
        </w:rPr>
        <w:t xml:space="preserve"> </w:t>
      </w:r>
      <w:r>
        <w:t>period.</w:t>
      </w:r>
      <w:r>
        <w:rPr>
          <w:spacing w:val="-8"/>
        </w:rPr>
        <w:t xml:space="preserve"> </w:t>
      </w:r>
      <w:r>
        <w:t xml:space="preserve">The </w:t>
      </w:r>
      <w:r>
        <w:rPr>
          <w:w w:val="95"/>
        </w:rPr>
        <w:t>economies</w:t>
      </w:r>
      <w:r>
        <w:rPr>
          <w:spacing w:val="-3"/>
          <w:w w:val="95"/>
        </w:rPr>
        <w:t xml:space="preserve"> </w:t>
      </w:r>
      <w:r>
        <w:rPr>
          <w:w w:val="95"/>
        </w:rPr>
        <w:t>of</w:t>
      </w:r>
      <w:r>
        <w:rPr>
          <w:spacing w:val="-3"/>
          <w:w w:val="95"/>
        </w:rPr>
        <w:t xml:space="preserve"> </w:t>
      </w:r>
      <w:r>
        <w:rPr>
          <w:w w:val="95"/>
        </w:rPr>
        <w:t>agglomeration</w:t>
      </w:r>
      <w:r>
        <w:rPr>
          <w:spacing w:val="-3"/>
          <w:w w:val="95"/>
        </w:rPr>
        <w:t xml:space="preserve"> </w:t>
      </w:r>
      <w:r>
        <w:rPr>
          <w:w w:val="95"/>
        </w:rPr>
        <w:t>that</w:t>
      </w:r>
      <w:r>
        <w:rPr>
          <w:spacing w:val="-3"/>
          <w:w w:val="95"/>
        </w:rPr>
        <w:t xml:space="preserve"> </w:t>
      </w:r>
      <w:r>
        <w:rPr>
          <w:w w:val="95"/>
        </w:rPr>
        <w:t>benefit</w:t>
      </w:r>
      <w:r>
        <w:rPr>
          <w:spacing w:val="-3"/>
          <w:w w:val="95"/>
        </w:rPr>
        <w:t xml:space="preserve"> </w:t>
      </w:r>
      <w:r>
        <w:rPr>
          <w:w w:val="95"/>
        </w:rPr>
        <w:t>Global</w:t>
      </w:r>
      <w:r>
        <w:rPr>
          <w:spacing w:val="-3"/>
          <w:w w:val="95"/>
        </w:rPr>
        <w:t xml:space="preserve"> </w:t>
      </w:r>
      <w:r>
        <w:rPr>
          <w:w w:val="95"/>
        </w:rPr>
        <w:t xml:space="preserve">Sydney </w:t>
      </w:r>
      <w:r>
        <w:t>(and</w:t>
      </w:r>
      <w:r>
        <w:rPr>
          <w:spacing w:val="-14"/>
        </w:rPr>
        <w:t xml:space="preserve"> </w:t>
      </w:r>
      <w:r>
        <w:t>attract</w:t>
      </w:r>
      <w:r>
        <w:rPr>
          <w:spacing w:val="-14"/>
        </w:rPr>
        <w:t xml:space="preserve"> </w:t>
      </w:r>
      <w:r>
        <w:t>commuters</w:t>
      </w:r>
      <w:r>
        <w:rPr>
          <w:spacing w:val="-14"/>
        </w:rPr>
        <w:t xml:space="preserve"> </w:t>
      </w:r>
      <w:r>
        <w:t>from</w:t>
      </w:r>
      <w:r>
        <w:rPr>
          <w:spacing w:val="-14"/>
        </w:rPr>
        <w:t xml:space="preserve"> </w:t>
      </w:r>
      <w:r>
        <w:t>Greater</w:t>
      </w:r>
      <w:r>
        <w:rPr>
          <w:spacing w:val="-14"/>
        </w:rPr>
        <w:t xml:space="preserve"> </w:t>
      </w:r>
      <w:r>
        <w:t>Sydney)</w:t>
      </w:r>
      <w:r>
        <w:rPr>
          <w:spacing w:val="-14"/>
        </w:rPr>
        <w:t xml:space="preserve"> </w:t>
      </w:r>
      <w:r>
        <w:t>are expected</w:t>
      </w:r>
      <w:r>
        <w:rPr>
          <w:spacing w:val="-7"/>
        </w:rPr>
        <w:t xml:space="preserve"> </w:t>
      </w:r>
      <w:r>
        <w:t>to</w:t>
      </w:r>
      <w:r>
        <w:rPr>
          <w:spacing w:val="-7"/>
        </w:rPr>
        <w:t xml:space="preserve"> </w:t>
      </w:r>
      <w:r>
        <w:t>remain</w:t>
      </w:r>
      <w:r>
        <w:rPr>
          <w:spacing w:val="-7"/>
        </w:rPr>
        <w:t xml:space="preserve"> </w:t>
      </w:r>
      <w:r>
        <w:t>as</w:t>
      </w:r>
      <w:r>
        <w:rPr>
          <w:spacing w:val="-7"/>
        </w:rPr>
        <w:t xml:space="preserve"> </w:t>
      </w:r>
      <w:r>
        <w:t>strong</w:t>
      </w:r>
      <w:r>
        <w:rPr>
          <w:spacing w:val="-7"/>
        </w:rPr>
        <w:t xml:space="preserve"> </w:t>
      </w:r>
      <w:r>
        <w:t>as</w:t>
      </w:r>
      <w:r>
        <w:rPr>
          <w:spacing w:val="-7"/>
        </w:rPr>
        <w:t xml:space="preserve"> </w:t>
      </w:r>
      <w:r>
        <w:t>today.</w:t>
      </w:r>
      <w:r>
        <w:rPr>
          <w:spacing w:val="-7"/>
        </w:rPr>
        <w:t xml:space="preserve"> </w:t>
      </w:r>
      <w:r>
        <w:t xml:space="preserve">Much </w:t>
      </w:r>
      <w:r>
        <w:rPr>
          <w:spacing w:val="-2"/>
        </w:rPr>
        <w:t>employment</w:t>
      </w:r>
      <w:r>
        <w:rPr>
          <w:spacing w:val="-6"/>
        </w:rPr>
        <w:t xml:space="preserve"> </w:t>
      </w:r>
      <w:r>
        <w:rPr>
          <w:spacing w:val="-2"/>
        </w:rPr>
        <w:t>in</w:t>
      </w:r>
      <w:r>
        <w:rPr>
          <w:spacing w:val="-6"/>
        </w:rPr>
        <w:t xml:space="preserve"> </w:t>
      </w:r>
      <w:r>
        <w:rPr>
          <w:spacing w:val="-2"/>
        </w:rPr>
        <w:t>Greater</w:t>
      </w:r>
      <w:r>
        <w:rPr>
          <w:spacing w:val="-6"/>
        </w:rPr>
        <w:t xml:space="preserve"> </w:t>
      </w:r>
      <w:r>
        <w:rPr>
          <w:spacing w:val="-2"/>
        </w:rPr>
        <w:t>Sydney,</w:t>
      </w:r>
      <w:r>
        <w:rPr>
          <w:spacing w:val="-6"/>
        </w:rPr>
        <w:t xml:space="preserve"> </w:t>
      </w:r>
      <w:r>
        <w:rPr>
          <w:spacing w:val="-2"/>
        </w:rPr>
        <w:t>particularly</w:t>
      </w:r>
      <w:r>
        <w:rPr>
          <w:spacing w:val="-6"/>
        </w:rPr>
        <w:t xml:space="preserve"> </w:t>
      </w:r>
      <w:r>
        <w:rPr>
          <w:spacing w:val="-2"/>
        </w:rPr>
        <w:t>in</w:t>
      </w:r>
      <w:r>
        <w:rPr>
          <w:spacing w:val="-6"/>
        </w:rPr>
        <w:t xml:space="preserve"> </w:t>
      </w:r>
      <w:r>
        <w:rPr>
          <w:spacing w:val="-2"/>
        </w:rPr>
        <w:t xml:space="preserve">locally </w:t>
      </w:r>
      <w:r>
        <w:t>facing</w:t>
      </w:r>
      <w:r>
        <w:rPr>
          <w:spacing w:val="-9"/>
        </w:rPr>
        <w:t xml:space="preserve"> </w:t>
      </w:r>
      <w:r>
        <w:t>roles,</w:t>
      </w:r>
      <w:r>
        <w:rPr>
          <w:spacing w:val="-9"/>
        </w:rPr>
        <w:t xml:space="preserve"> </w:t>
      </w:r>
      <w:r>
        <w:t>is</w:t>
      </w:r>
      <w:r>
        <w:rPr>
          <w:spacing w:val="-9"/>
        </w:rPr>
        <w:t xml:space="preserve"> </w:t>
      </w:r>
      <w:r>
        <w:t>expected</w:t>
      </w:r>
      <w:r>
        <w:rPr>
          <w:spacing w:val="-9"/>
        </w:rPr>
        <w:t xml:space="preserve"> </w:t>
      </w:r>
      <w:r>
        <w:t>to</w:t>
      </w:r>
      <w:r>
        <w:rPr>
          <w:spacing w:val="-9"/>
        </w:rPr>
        <w:t xml:space="preserve"> </w:t>
      </w:r>
      <w:r>
        <w:t>continue</w:t>
      </w:r>
      <w:r>
        <w:rPr>
          <w:spacing w:val="-9"/>
        </w:rPr>
        <w:t xml:space="preserve"> </w:t>
      </w:r>
      <w:r>
        <w:t>to</w:t>
      </w:r>
      <w:r>
        <w:rPr>
          <w:spacing w:val="-9"/>
        </w:rPr>
        <w:t xml:space="preserve"> </w:t>
      </w:r>
      <w:r>
        <w:t>be</w:t>
      </w:r>
      <w:r>
        <w:rPr>
          <w:spacing w:val="-9"/>
        </w:rPr>
        <w:t xml:space="preserve"> </w:t>
      </w:r>
      <w:r>
        <w:t>dispersed across the metropolitan area.</w:t>
      </w:r>
    </w:p>
    <w:p w:rsidR="002C1123" w:rsidRDefault="002C1123">
      <w:pPr>
        <w:spacing w:line="249" w:lineRule="auto"/>
        <w:sectPr w:rsidR="002C1123">
          <w:pgSz w:w="16840" w:h="11910" w:orient="landscape"/>
          <w:pgMar w:top="560" w:right="280" w:bottom="700" w:left="500" w:header="0" w:footer="470"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7"/>
        </w:rPr>
      </w:pPr>
    </w:p>
    <w:p w:rsidR="002C1123" w:rsidRDefault="002C1123">
      <w:pPr>
        <w:rPr>
          <w:sz w:val="17"/>
        </w:rPr>
        <w:sectPr w:rsidR="002C1123">
          <w:pgSz w:w="16840" w:h="11910" w:orient="landscape"/>
          <w:pgMar w:top="560" w:right="280" w:bottom="700" w:left="500" w:header="0" w:footer="470" w:gutter="0"/>
          <w:cols w:space="720"/>
        </w:sectPr>
      </w:pPr>
    </w:p>
    <w:p w:rsidR="002C1123" w:rsidRDefault="00F22F94">
      <w:pPr>
        <w:pStyle w:val="Heading5"/>
        <w:numPr>
          <w:ilvl w:val="1"/>
          <w:numId w:val="106"/>
        </w:numPr>
        <w:tabs>
          <w:tab w:val="left" w:pos="942"/>
        </w:tabs>
        <w:spacing w:before="129" w:line="223" w:lineRule="auto"/>
        <w:ind w:right="1356"/>
      </w:pPr>
      <w:bookmarkStart w:id="115" w:name="4.4__Greater_Sydney_Infrastructure_prior"/>
      <w:bookmarkStart w:id="116" w:name="_bookmark83"/>
      <w:bookmarkStart w:id="117" w:name="_bookmark82"/>
      <w:bookmarkEnd w:id="115"/>
      <w:bookmarkEnd w:id="116"/>
      <w:bookmarkEnd w:id="117"/>
      <w:r>
        <w:rPr>
          <w:color w:val="EC008C"/>
        </w:rPr>
        <w:t xml:space="preserve">Greater Sydney </w:t>
      </w:r>
      <w:r>
        <w:rPr>
          <w:color w:val="EC008C"/>
          <w:spacing w:val="-5"/>
        </w:rPr>
        <w:t xml:space="preserve">Infrastructure </w:t>
      </w:r>
      <w:r>
        <w:rPr>
          <w:color w:val="EC008C"/>
          <w:spacing w:val="-7"/>
        </w:rPr>
        <w:t>priorities</w:t>
      </w:r>
    </w:p>
    <w:p w:rsidR="002C1123" w:rsidRDefault="00F22F94">
      <w:pPr>
        <w:pStyle w:val="Heading6"/>
        <w:numPr>
          <w:ilvl w:val="2"/>
          <w:numId w:val="106"/>
        </w:numPr>
        <w:tabs>
          <w:tab w:val="left" w:pos="979"/>
        </w:tabs>
        <w:spacing w:before="140"/>
        <w:ind w:hanging="487"/>
        <w:jc w:val="left"/>
      </w:pPr>
      <w:r>
        <w:rPr>
          <w:color w:val="EC008C"/>
          <w:spacing w:val="-2"/>
        </w:rPr>
        <w:t>Overview</w:t>
      </w:r>
    </w:p>
    <w:p w:rsidR="002C1123" w:rsidRDefault="00F22F94">
      <w:pPr>
        <w:pStyle w:val="BodyText"/>
        <w:spacing w:before="95" w:line="249" w:lineRule="auto"/>
        <w:ind w:left="492"/>
      </w:pPr>
      <w:r>
        <w:t>The</w:t>
      </w:r>
      <w:r>
        <w:rPr>
          <w:spacing w:val="-14"/>
        </w:rPr>
        <w:t xml:space="preserve"> </w:t>
      </w:r>
      <w:r>
        <w:t>key</w:t>
      </w:r>
      <w:r>
        <w:rPr>
          <w:spacing w:val="-14"/>
        </w:rPr>
        <w:t xml:space="preserve"> </w:t>
      </w:r>
      <w:r>
        <w:t>infrastructure</w:t>
      </w:r>
      <w:r>
        <w:rPr>
          <w:spacing w:val="-14"/>
        </w:rPr>
        <w:t xml:space="preserve"> </w:t>
      </w:r>
      <w:r>
        <w:t>priorities</w:t>
      </w:r>
      <w:r>
        <w:rPr>
          <w:spacing w:val="-14"/>
        </w:rPr>
        <w:t xml:space="preserve"> </w:t>
      </w:r>
      <w:r>
        <w:t>that</w:t>
      </w:r>
      <w:r>
        <w:rPr>
          <w:spacing w:val="-14"/>
        </w:rPr>
        <w:t xml:space="preserve"> </w:t>
      </w:r>
      <w:r>
        <w:t>emerge</w:t>
      </w:r>
      <w:r>
        <w:rPr>
          <w:spacing w:val="-14"/>
        </w:rPr>
        <w:t xml:space="preserve"> </w:t>
      </w:r>
      <w:r>
        <w:t>from Infrastructure</w:t>
      </w:r>
      <w:r>
        <w:rPr>
          <w:spacing w:val="-14"/>
        </w:rPr>
        <w:t xml:space="preserve"> </w:t>
      </w:r>
      <w:r>
        <w:t>NSW’s</w:t>
      </w:r>
      <w:r>
        <w:rPr>
          <w:spacing w:val="-14"/>
        </w:rPr>
        <w:t xml:space="preserve"> </w:t>
      </w:r>
      <w:r>
        <w:t>capability</w:t>
      </w:r>
      <w:r>
        <w:rPr>
          <w:spacing w:val="-14"/>
        </w:rPr>
        <w:t xml:space="preserve"> </w:t>
      </w:r>
      <w:r>
        <w:t>assessment</w:t>
      </w:r>
      <w:r>
        <w:rPr>
          <w:spacing w:val="-14"/>
        </w:rPr>
        <w:t xml:space="preserve"> </w:t>
      </w:r>
      <w:r>
        <w:t>of</w:t>
      </w:r>
      <w:r>
        <w:rPr>
          <w:spacing w:val="-14"/>
        </w:rPr>
        <w:t xml:space="preserve"> </w:t>
      </w:r>
      <w:r>
        <w:t xml:space="preserve">today’s </w:t>
      </w:r>
      <w:r>
        <w:rPr>
          <w:w w:val="95"/>
        </w:rPr>
        <w:t>infrastructure</w:t>
      </w:r>
      <w:r>
        <w:rPr>
          <w:spacing w:val="-6"/>
          <w:w w:val="95"/>
        </w:rPr>
        <w:t xml:space="preserve"> </w:t>
      </w:r>
      <w:r>
        <w:rPr>
          <w:w w:val="95"/>
        </w:rPr>
        <w:t>deficiencies</w:t>
      </w:r>
      <w:r>
        <w:rPr>
          <w:spacing w:val="-6"/>
          <w:w w:val="95"/>
        </w:rPr>
        <w:t xml:space="preserve"> </w:t>
      </w:r>
      <w:r>
        <w:rPr>
          <w:w w:val="95"/>
        </w:rPr>
        <w:t>and</w:t>
      </w:r>
      <w:r>
        <w:rPr>
          <w:spacing w:val="-6"/>
          <w:w w:val="95"/>
        </w:rPr>
        <w:t xml:space="preserve"> </w:t>
      </w:r>
      <w:r>
        <w:rPr>
          <w:w w:val="95"/>
        </w:rPr>
        <w:t>Greater</w:t>
      </w:r>
      <w:r>
        <w:rPr>
          <w:spacing w:val="-6"/>
          <w:w w:val="95"/>
        </w:rPr>
        <w:t xml:space="preserve"> </w:t>
      </w:r>
      <w:r>
        <w:rPr>
          <w:w w:val="95"/>
        </w:rPr>
        <w:t>Sydney’s</w:t>
      </w:r>
      <w:r>
        <w:rPr>
          <w:spacing w:val="-6"/>
          <w:w w:val="95"/>
        </w:rPr>
        <w:t xml:space="preserve"> </w:t>
      </w:r>
      <w:r>
        <w:rPr>
          <w:w w:val="95"/>
        </w:rPr>
        <w:t xml:space="preserve">forecast </w:t>
      </w:r>
      <w:r>
        <w:t>population and employment growth are:</w:t>
      </w:r>
    </w:p>
    <w:p w:rsidR="002C1123" w:rsidRDefault="00F22F94">
      <w:pPr>
        <w:pStyle w:val="ListParagraph"/>
        <w:numPr>
          <w:ilvl w:val="3"/>
          <w:numId w:val="106"/>
        </w:numPr>
        <w:tabs>
          <w:tab w:val="left" w:pos="776"/>
        </w:tabs>
        <w:spacing w:before="132" w:line="249" w:lineRule="auto"/>
        <w:ind w:right="335"/>
        <w:rPr>
          <w:sz w:val="20"/>
        </w:rPr>
      </w:pPr>
      <w:r>
        <w:rPr>
          <w:sz w:val="20"/>
        </w:rPr>
        <w:t xml:space="preserve">Housing. Houses need to be built at a much </w:t>
      </w:r>
      <w:r>
        <w:rPr>
          <w:w w:val="95"/>
          <w:sz w:val="20"/>
        </w:rPr>
        <w:t>faster</w:t>
      </w:r>
      <w:r>
        <w:rPr>
          <w:spacing w:val="-2"/>
          <w:w w:val="95"/>
          <w:sz w:val="20"/>
        </w:rPr>
        <w:t xml:space="preserve"> </w:t>
      </w:r>
      <w:r>
        <w:rPr>
          <w:w w:val="95"/>
          <w:sz w:val="20"/>
        </w:rPr>
        <w:t>rate</w:t>
      </w:r>
      <w:r>
        <w:rPr>
          <w:spacing w:val="-2"/>
          <w:w w:val="95"/>
          <w:sz w:val="20"/>
        </w:rPr>
        <w:t xml:space="preserve"> </w:t>
      </w:r>
      <w:r>
        <w:rPr>
          <w:w w:val="95"/>
          <w:sz w:val="20"/>
        </w:rPr>
        <w:t>than</w:t>
      </w:r>
      <w:r>
        <w:rPr>
          <w:spacing w:val="-2"/>
          <w:w w:val="95"/>
          <w:sz w:val="20"/>
        </w:rPr>
        <w:t xml:space="preserve"> </w:t>
      </w:r>
      <w:r>
        <w:rPr>
          <w:w w:val="95"/>
          <w:sz w:val="20"/>
        </w:rPr>
        <w:t>during</w:t>
      </w:r>
      <w:r>
        <w:rPr>
          <w:spacing w:val="-2"/>
          <w:w w:val="95"/>
          <w:sz w:val="20"/>
        </w:rPr>
        <w:t xml:space="preserve"> </w:t>
      </w:r>
      <w:r>
        <w:rPr>
          <w:w w:val="95"/>
          <w:sz w:val="20"/>
        </w:rPr>
        <w:t>the</w:t>
      </w:r>
      <w:r>
        <w:rPr>
          <w:spacing w:val="-2"/>
          <w:w w:val="95"/>
          <w:sz w:val="20"/>
        </w:rPr>
        <w:t xml:space="preserve"> </w:t>
      </w:r>
      <w:r>
        <w:rPr>
          <w:w w:val="95"/>
          <w:sz w:val="20"/>
        </w:rPr>
        <w:t>last</w:t>
      </w:r>
      <w:r>
        <w:rPr>
          <w:spacing w:val="-2"/>
          <w:w w:val="95"/>
          <w:sz w:val="20"/>
        </w:rPr>
        <w:t xml:space="preserve"> </w:t>
      </w:r>
      <w:r>
        <w:rPr>
          <w:w w:val="95"/>
          <w:sz w:val="20"/>
        </w:rPr>
        <w:t>decade.</w:t>
      </w:r>
      <w:r>
        <w:rPr>
          <w:spacing w:val="-2"/>
          <w:w w:val="95"/>
          <w:sz w:val="20"/>
        </w:rPr>
        <w:t xml:space="preserve"> </w:t>
      </w:r>
      <w:r>
        <w:rPr>
          <w:w w:val="95"/>
          <w:sz w:val="20"/>
        </w:rPr>
        <w:t xml:space="preserve">Improving </w:t>
      </w:r>
      <w:r>
        <w:rPr>
          <w:spacing w:val="-2"/>
          <w:sz w:val="20"/>
        </w:rPr>
        <w:t>the</w:t>
      </w:r>
      <w:r>
        <w:rPr>
          <w:spacing w:val="-6"/>
          <w:sz w:val="20"/>
        </w:rPr>
        <w:t xml:space="preserve"> </w:t>
      </w:r>
      <w:r>
        <w:rPr>
          <w:spacing w:val="-2"/>
          <w:sz w:val="20"/>
        </w:rPr>
        <w:t>co-ordination</w:t>
      </w:r>
      <w:r>
        <w:rPr>
          <w:spacing w:val="-6"/>
          <w:sz w:val="20"/>
        </w:rPr>
        <w:t xml:space="preserve"> </w:t>
      </w:r>
      <w:r>
        <w:rPr>
          <w:spacing w:val="-2"/>
          <w:sz w:val="20"/>
        </w:rPr>
        <w:t>of</w:t>
      </w:r>
      <w:r>
        <w:rPr>
          <w:spacing w:val="-6"/>
          <w:sz w:val="20"/>
        </w:rPr>
        <w:t xml:space="preserve"> </w:t>
      </w:r>
      <w:r>
        <w:rPr>
          <w:spacing w:val="-2"/>
          <w:sz w:val="20"/>
        </w:rPr>
        <w:t>the</w:t>
      </w:r>
      <w:r>
        <w:rPr>
          <w:spacing w:val="-6"/>
          <w:sz w:val="20"/>
        </w:rPr>
        <w:t xml:space="preserve"> </w:t>
      </w:r>
      <w:r>
        <w:rPr>
          <w:spacing w:val="-2"/>
          <w:sz w:val="20"/>
        </w:rPr>
        <w:t>utility</w:t>
      </w:r>
      <w:r>
        <w:rPr>
          <w:spacing w:val="-6"/>
          <w:sz w:val="20"/>
        </w:rPr>
        <w:t xml:space="preserve"> </w:t>
      </w:r>
      <w:r>
        <w:rPr>
          <w:spacing w:val="-2"/>
          <w:sz w:val="20"/>
        </w:rPr>
        <w:t>and</w:t>
      </w:r>
      <w:r>
        <w:rPr>
          <w:spacing w:val="-6"/>
          <w:sz w:val="20"/>
        </w:rPr>
        <w:t xml:space="preserve"> </w:t>
      </w:r>
      <w:r>
        <w:rPr>
          <w:spacing w:val="-2"/>
          <w:sz w:val="20"/>
        </w:rPr>
        <w:t>local</w:t>
      </w:r>
      <w:r>
        <w:rPr>
          <w:spacing w:val="-6"/>
          <w:sz w:val="20"/>
        </w:rPr>
        <w:t xml:space="preserve"> </w:t>
      </w:r>
      <w:r>
        <w:rPr>
          <w:spacing w:val="-2"/>
          <w:sz w:val="20"/>
        </w:rPr>
        <w:t xml:space="preserve">transport </w:t>
      </w:r>
      <w:r>
        <w:rPr>
          <w:w w:val="95"/>
          <w:sz w:val="20"/>
        </w:rPr>
        <w:t>infrastructure</w:t>
      </w:r>
      <w:r>
        <w:rPr>
          <w:spacing w:val="-3"/>
          <w:w w:val="95"/>
          <w:sz w:val="20"/>
        </w:rPr>
        <w:t xml:space="preserve"> </w:t>
      </w:r>
      <w:r>
        <w:rPr>
          <w:w w:val="95"/>
          <w:sz w:val="20"/>
        </w:rPr>
        <w:t>networks</w:t>
      </w:r>
      <w:r>
        <w:rPr>
          <w:spacing w:val="-3"/>
          <w:w w:val="95"/>
          <w:sz w:val="20"/>
        </w:rPr>
        <w:t xml:space="preserve"> </w:t>
      </w:r>
      <w:r>
        <w:rPr>
          <w:w w:val="95"/>
          <w:sz w:val="20"/>
        </w:rPr>
        <w:t>that</w:t>
      </w:r>
      <w:r>
        <w:rPr>
          <w:spacing w:val="-3"/>
          <w:w w:val="95"/>
          <w:sz w:val="20"/>
        </w:rPr>
        <w:t xml:space="preserve"> </w:t>
      </w:r>
      <w:r>
        <w:rPr>
          <w:w w:val="95"/>
          <w:sz w:val="20"/>
        </w:rPr>
        <w:t>are</w:t>
      </w:r>
      <w:r>
        <w:rPr>
          <w:spacing w:val="-3"/>
          <w:w w:val="95"/>
          <w:sz w:val="20"/>
        </w:rPr>
        <w:t xml:space="preserve"> </w:t>
      </w:r>
      <w:r>
        <w:rPr>
          <w:w w:val="95"/>
          <w:sz w:val="20"/>
        </w:rPr>
        <w:t>needed</w:t>
      </w:r>
      <w:r>
        <w:rPr>
          <w:spacing w:val="-3"/>
          <w:w w:val="95"/>
          <w:sz w:val="20"/>
        </w:rPr>
        <w:t xml:space="preserve"> </w:t>
      </w:r>
      <w:r>
        <w:rPr>
          <w:w w:val="95"/>
          <w:sz w:val="20"/>
        </w:rPr>
        <w:t>to</w:t>
      </w:r>
      <w:r>
        <w:rPr>
          <w:spacing w:val="-3"/>
          <w:w w:val="95"/>
          <w:sz w:val="20"/>
        </w:rPr>
        <w:t xml:space="preserve"> </w:t>
      </w:r>
      <w:r>
        <w:rPr>
          <w:w w:val="95"/>
          <w:sz w:val="20"/>
        </w:rPr>
        <w:t>enable</w:t>
      </w:r>
    </w:p>
    <w:p w:rsidR="002C1123" w:rsidRDefault="00F22F94">
      <w:pPr>
        <w:pStyle w:val="BodyText"/>
        <w:spacing w:before="3" w:line="249" w:lineRule="auto"/>
        <w:ind w:left="775"/>
      </w:pPr>
      <w:r>
        <w:rPr>
          <w:w w:val="95"/>
        </w:rPr>
        <w:t>this</w:t>
      </w:r>
      <w:r>
        <w:rPr>
          <w:spacing w:val="-11"/>
          <w:w w:val="95"/>
        </w:rPr>
        <w:t xml:space="preserve"> </w:t>
      </w:r>
      <w:r>
        <w:rPr>
          <w:w w:val="95"/>
        </w:rPr>
        <w:t>will</w:t>
      </w:r>
      <w:r>
        <w:rPr>
          <w:spacing w:val="-11"/>
          <w:w w:val="95"/>
        </w:rPr>
        <w:t xml:space="preserve"> </w:t>
      </w:r>
      <w:r>
        <w:rPr>
          <w:w w:val="95"/>
        </w:rPr>
        <w:t>be</w:t>
      </w:r>
      <w:r>
        <w:rPr>
          <w:spacing w:val="-11"/>
          <w:w w:val="95"/>
        </w:rPr>
        <w:t xml:space="preserve"> </w:t>
      </w:r>
      <w:r>
        <w:rPr>
          <w:w w:val="95"/>
        </w:rPr>
        <w:t>a</w:t>
      </w:r>
      <w:r>
        <w:rPr>
          <w:spacing w:val="-11"/>
          <w:w w:val="95"/>
        </w:rPr>
        <w:t xml:space="preserve"> </w:t>
      </w:r>
      <w:r>
        <w:rPr>
          <w:w w:val="95"/>
        </w:rPr>
        <w:t>major</w:t>
      </w:r>
      <w:r>
        <w:rPr>
          <w:spacing w:val="-11"/>
          <w:w w:val="95"/>
        </w:rPr>
        <w:t xml:space="preserve"> </w:t>
      </w:r>
      <w:r>
        <w:rPr>
          <w:w w:val="95"/>
        </w:rPr>
        <w:t>infrastructure</w:t>
      </w:r>
      <w:r>
        <w:rPr>
          <w:spacing w:val="-11"/>
          <w:w w:val="95"/>
        </w:rPr>
        <w:t xml:space="preserve"> </w:t>
      </w:r>
      <w:r>
        <w:rPr>
          <w:w w:val="95"/>
        </w:rPr>
        <w:t>challenge.</w:t>
      </w:r>
      <w:r>
        <w:rPr>
          <w:spacing w:val="-11"/>
          <w:w w:val="95"/>
        </w:rPr>
        <w:t xml:space="preserve"> </w:t>
      </w:r>
      <w:r>
        <w:rPr>
          <w:w w:val="95"/>
        </w:rPr>
        <w:t xml:space="preserve">Enabling </w:t>
      </w:r>
      <w:r>
        <w:t>residential</w:t>
      </w:r>
      <w:r>
        <w:rPr>
          <w:spacing w:val="-10"/>
        </w:rPr>
        <w:t xml:space="preserve"> </w:t>
      </w:r>
      <w:r>
        <w:t>development</w:t>
      </w:r>
      <w:r>
        <w:rPr>
          <w:spacing w:val="-10"/>
        </w:rPr>
        <w:t xml:space="preserve"> </w:t>
      </w:r>
      <w:r>
        <w:t>in</w:t>
      </w:r>
      <w:r>
        <w:rPr>
          <w:spacing w:val="-10"/>
        </w:rPr>
        <w:t xml:space="preserve"> </w:t>
      </w:r>
      <w:r>
        <w:t>those</w:t>
      </w:r>
      <w:r>
        <w:rPr>
          <w:spacing w:val="-10"/>
        </w:rPr>
        <w:t xml:space="preserve"> </w:t>
      </w:r>
      <w:r>
        <w:t>areas</w:t>
      </w:r>
      <w:r>
        <w:rPr>
          <w:spacing w:val="-10"/>
        </w:rPr>
        <w:t xml:space="preserve"> </w:t>
      </w:r>
      <w:r>
        <w:t>most accessible to employment is critical.</w:t>
      </w:r>
    </w:p>
    <w:p w:rsidR="002C1123" w:rsidRDefault="00F22F94">
      <w:pPr>
        <w:pStyle w:val="ListParagraph"/>
        <w:numPr>
          <w:ilvl w:val="3"/>
          <w:numId w:val="106"/>
        </w:numPr>
        <w:tabs>
          <w:tab w:val="left" w:pos="776"/>
        </w:tabs>
        <w:spacing w:before="132" w:line="249" w:lineRule="auto"/>
        <w:ind w:right="44"/>
        <w:rPr>
          <w:sz w:val="20"/>
        </w:rPr>
      </w:pPr>
      <w:r>
        <w:rPr>
          <w:w w:val="95"/>
          <w:sz w:val="20"/>
        </w:rPr>
        <w:t xml:space="preserve">Transport. Greater Sydney’s new residents will work </w:t>
      </w:r>
      <w:r>
        <w:rPr>
          <w:sz w:val="20"/>
        </w:rPr>
        <w:t>across</w:t>
      </w:r>
      <w:r>
        <w:rPr>
          <w:spacing w:val="-13"/>
          <w:sz w:val="20"/>
        </w:rPr>
        <w:t xml:space="preserve"> </w:t>
      </w:r>
      <w:r>
        <w:rPr>
          <w:sz w:val="20"/>
        </w:rPr>
        <w:t>the</w:t>
      </w:r>
      <w:r>
        <w:rPr>
          <w:spacing w:val="-13"/>
          <w:sz w:val="20"/>
        </w:rPr>
        <w:t xml:space="preserve"> </w:t>
      </w:r>
      <w:r>
        <w:rPr>
          <w:sz w:val="20"/>
        </w:rPr>
        <w:t>metropolitan</w:t>
      </w:r>
      <w:r>
        <w:rPr>
          <w:spacing w:val="-13"/>
          <w:sz w:val="20"/>
        </w:rPr>
        <w:t xml:space="preserve"> </w:t>
      </w:r>
      <w:r>
        <w:rPr>
          <w:sz w:val="20"/>
        </w:rPr>
        <w:t>area.</w:t>
      </w:r>
      <w:r>
        <w:rPr>
          <w:spacing w:val="-13"/>
          <w:sz w:val="20"/>
        </w:rPr>
        <w:t xml:space="preserve"> </w:t>
      </w:r>
      <w:r>
        <w:rPr>
          <w:sz w:val="20"/>
        </w:rPr>
        <w:t>As</w:t>
      </w:r>
      <w:r>
        <w:rPr>
          <w:spacing w:val="-13"/>
          <w:sz w:val="20"/>
        </w:rPr>
        <w:t xml:space="preserve"> </w:t>
      </w:r>
      <w:r>
        <w:rPr>
          <w:sz w:val="20"/>
        </w:rPr>
        <w:t>today,</w:t>
      </w:r>
      <w:r>
        <w:rPr>
          <w:spacing w:val="-13"/>
          <w:sz w:val="20"/>
        </w:rPr>
        <w:t xml:space="preserve"> </w:t>
      </w:r>
      <w:r>
        <w:rPr>
          <w:sz w:val="20"/>
        </w:rPr>
        <w:t>some</w:t>
      </w:r>
      <w:r>
        <w:rPr>
          <w:spacing w:val="-13"/>
          <w:sz w:val="20"/>
        </w:rPr>
        <w:t xml:space="preserve"> </w:t>
      </w:r>
      <w:r>
        <w:rPr>
          <w:sz w:val="20"/>
        </w:rPr>
        <w:t>will work</w:t>
      </w:r>
      <w:r>
        <w:rPr>
          <w:spacing w:val="-14"/>
          <w:sz w:val="20"/>
        </w:rPr>
        <w:t xml:space="preserve"> </w:t>
      </w:r>
      <w:r>
        <w:rPr>
          <w:sz w:val="20"/>
        </w:rPr>
        <w:t>locally,</w:t>
      </w:r>
      <w:r>
        <w:rPr>
          <w:spacing w:val="-14"/>
          <w:sz w:val="20"/>
        </w:rPr>
        <w:t xml:space="preserve"> </w:t>
      </w:r>
      <w:r>
        <w:rPr>
          <w:sz w:val="20"/>
        </w:rPr>
        <w:t>some</w:t>
      </w:r>
      <w:r>
        <w:rPr>
          <w:spacing w:val="-14"/>
          <w:sz w:val="20"/>
        </w:rPr>
        <w:t xml:space="preserve"> </w:t>
      </w:r>
      <w:r>
        <w:rPr>
          <w:sz w:val="20"/>
        </w:rPr>
        <w:t>will</w:t>
      </w:r>
      <w:r>
        <w:rPr>
          <w:spacing w:val="-14"/>
          <w:sz w:val="20"/>
        </w:rPr>
        <w:t xml:space="preserve"> </w:t>
      </w:r>
      <w:r>
        <w:rPr>
          <w:sz w:val="20"/>
        </w:rPr>
        <w:t>work</w:t>
      </w:r>
      <w:r>
        <w:rPr>
          <w:spacing w:val="-14"/>
          <w:sz w:val="20"/>
        </w:rPr>
        <w:t xml:space="preserve"> </w:t>
      </w:r>
      <w:r>
        <w:rPr>
          <w:sz w:val="20"/>
        </w:rPr>
        <w:t>elsewhere</w:t>
      </w:r>
      <w:r>
        <w:rPr>
          <w:spacing w:val="-14"/>
          <w:sz w:val="20"/>
        </w:rPr>
        <w:t xml:space="preserve"> </w:t>
      </w:r>
      <w:r>
        <w:rPr>
          <w:sz w:val="20"/>
        </w:rPr>
        <w:t>in</w:t>
      </w:r>
      <w:r>
        <w:rPr>
          <w:spacing w:val="-14"/>
          <w:sz w:val="20"/>
        </w:rPr>
        <w:t xml:space="preserve"> </w:t>
      </w:r>
      <w:r>
        <w:rPr>
          <w:sz w:val="20"/>
        </w:rPr>
        <w:t xml:space="preserve">Greater </w:t>
      </w:r>
      <w:r>
        <w:rPr>
          <w:spacing w:val="-2"/>
          <w:sz w:val="20"/>
        </w:rPr>
        <w:t>Sydney,</w:t>
      </w:r>
      <w:r>
        <w:rPr>
          <w:spacing w:val="-9"/>
          <w:sz w:val="20"/>
        </w:rPr>
        <w:t xml:space="preserve"> </w:t>
      </w:r>
      <w:r>
        <w:rPr>
          <w:spacing w:val="-2"/>
          <w:sz w:val="20"/>
        </w:rPr>
        <w:t>and</w:t>
      </w:r>
      <w:r>
        <w:rPr>
          <w:spacing w:val="-9"/>
          <w:sz w:val="20"/>
        </w:rPr>
        <w:t xml:space="preserve"> </w:t>
      </w:r>
      <w:r>
        <w:rPr>
          <w:spacing w:val="-2"/>
          <w:sz w:val="20"/>
        </w:rPr>
        <w:t>some</w:t>
      </w:r>
      <w:r>
        <w:rPr>
          <w:spacing w:val="-9"/>
          <w:sz w:val="20"/>
        </w:rPr>
        <w:t xml:space="preserve"> </w:t>
      </w:r>
      <w:r>
        <w:rPr>
          <w:spacing w:val="-2"/>
          <w:sz w:val="20"/>
        </w:rPr>
        <w:t>will</w:t>
      </w:r>
      <w:r>
        <w:rPr>
          <w:spacing w:val="-9"/>
          <w:sz w:val="20"/>
        </w:rPr>
        <w:t xml:space="preserve"> </w:t>
      </w:r>
      <w:r>
        <w:rPr>
          <w:spacing w:val="-2"/>
          <w:sz w:val="20"/>
        </w:rPr>
        <w:t>travel</w:t>
      </w:r>
      <w:r>
        <w:rPr>
          <w:spacing w:val="-9"/>
          <w:sz w:val="20"/>
        </w:rPr>
        <w:t xml:space="preserve"> </w:t>
      </w:r>
      <w:r>
        <w:rPr>
          <w:spacing w:val="-2"/>
          <w:sz w:val="20"/>
        </w:rPr>
        <w:t>into</w:t>
      </w:r>
      <w:r>
        <w:rPr>
          <w:spacing w:val="-9"/>
          <w:sz w:val="20"/>
        </w:rPr>
        <w:t xml:space="preserve"> </w:t>
      </w:r>
      <w:r>
        <w:rPr>
          <w:spacing w:val="-2"/>
          <w:sz w:val="20"/>
        </w:rPr>
        <w:t>Global</w:t>
      </w:r>
      <w:r>
        <w:rPr>
          <w:spacing w:val="-9"/>
          <w:sz w:val="20"/>
        </w:rPr>
        <w:t xml:space="preserve"> </w:t>
      </w:r>
      <w:r>
        <w:rPr>
          <w:spacing w:val="-2"/>
          <w:sz w:val="20"/>
        </w:rPr>
        <w:t xml:space="preserve">Sydney. </w:t>
      </w:r>
      <w:r>
        <w:rPr>
          <w:sz w:val="20"/>
        </w:rPr>
        <w:t>Sydney</w:t>
      </w:r>
      <w:r>
        <w:rPr>
          <w:spacing w:val="-8"/>
          <w:sz w:val="20"/>
        </w:rPr>
        <w:t xml:space="preserve"> </w:t>
      </w:r>
      <w:r>
        <w:rPr>
          <w:sz w:val="20"/>
        </w:rPr>
        <w:t>needs</w:t>
      </w:r>
      <w:r>
        <w:rPr>
          <w:spacing w:val="-8"/>
          <w:sz w:val="20"/>
        </w:rPr>
        <w:t xml:space="preserve"> </w:t>
      </w:r>
      <w:r>
        <w:rPr>
          <w:sz w:val="20"/>
        </w:rPr>
        <w:t>flexible</w:t>
      </w:r>
      <w:r>
        <w:rPr>
          <w:spacing w:val="-8"/>
          <w:sz w:val="20"/>
        </w:rPr>
        <w:t xml:space="preserve"> </w:t>
      </w:r>
      <w:r>
        <w:rPr>
          <w:sz w:val="20"/>
        </w:rPr>
        <w:t>transport</w:t>
      </w:r>
      <w:r>
        <w:rPr>
          <w:spacing w:val="-8"/>
          <w:sz w:val="20"/>
        </w:rPr>
        <w:t xml:space="preserve"> </w:t>
      </w:r>
      <w:r>
        <w:rPr>
          <w:sz w:val="20"/>
        </w:rPr>
        <w:t>networks</w:t>
      </w:r>
      <w:r>
        <w:rPr>
          <w:spacing w:val="-8"/>
          <w:sz w:val="20"/>
        </w:rPr>
        <w:t xml:space="preserve"> </w:t>
      </w:r>
      <w:r>
        <w:rPr>
          <w:sz w:val="20"/>
        </w:rPr>
        <w:t>that</w:t>
      </w:r>
      <w:r>
        <w:rPr>
          <w:spacing w:val="-8"/>
          <w:sz w:val="20"/>
        </w:rPr>
        <w:t xml:space="preserve"> </w:t>
      </w:r>
      <w:r>
        <w:rPr>
          <w:sz w:val="20"/>
        </w:rPr>
        <w:t xml:space="preserve">can </w:t>
      </w:r>
      <w:r>
        <w:rPr>
          <w:w w:val="95"/>
          <w:sz w:val="20"/>
        </w:rPr>
        <w:t xml:space="preserve">support this complexity of journey patterns. Ensuring </w:t>
      </w:r>
      <w:r>
        <w:rPr>
          <w:sz w:val="20"/>
        </w:rPr>
        <w:t>efficient</w:t>
      </w:r>
      <w:r>
        <w:rPr>
          <w:spacing w:val="-6"/>
          <w:sz w:val="20"/>
        </w:rPr>
        <w:t xml:space="preserve"> </w:t>
      </w:r>
      <w:r>
        <w:rPr>
          <w:sz w:val="20"/>
        </w:rPr>
        <w:t>freight</w:t>
      </w:r>
      <w:r>
        <w:rPr>
          <w:spacing w:val="-6"/>
          <w:sz w:val="20"/>
        </w:rPr>
        <w:t xml:space="preserve"> </w:t>
      </w:r>
      <w:r>
        <w:rPr>
          <w:sz w:val="20"/>
        </w:rPr>
        <w:t>movements</w:t>
      </w:r>
      <w:r>
        <w:rPr>
          <w:spacing w:val="-6"/>
          <w:sz w:val="20"/>
        </w:rPr>
        <w:t xml:space="preserve"> </w:t>
      </w:r>
      <w:r>
        <w:rPr>
          <w:sz w:val="20"/>
        </w:rPr>
        <w:t>within</w:t>
      </w:r>
      <w:r>
        <w:rPr>
          <w:spacing w:val="-6"/>
          <w:sz w:val="20"/>
        </w:rPr>
        <w:t xml:space="preserve"> </w:t>
      </w:r>
      <w:r>
        <w:rPr>
          <w:sz w:val="20"/>
        </w:rPr>
        <w:t>and</w:t>
      </w:r>
      <w:r>
        <w:rPr>
          <w:spacing w:val="-6"/>
          <w:sz w:val="20"/>
        </w:rPr>
        <w:t xml:space="preserve"> </w:t>
      </w:r>
      <w:r>
        <w:rPr>
          <w:sz w:val="20"/>
        </w:rPr>
        <w:t>through Greater</w:t>
      </w:r>
      <w:r>
        <w:rPr>
          <w:spacing w:val="-14"/>
          <w:sz w:val="20"/>
        </w:rPr>
        <w:t xml:space="preserve"> </w:t>
      </w:r>
      <w:r>
        <w:rPr>
          <w:sz w:val="20"/>
        </w:rPr>
        <w:t>Sydney</w:t>
      </w:r>
      <w:r>
        <w:rPr>
          <w:spacing w:val="-14"/>
          <w:sz w:val="20"/>
        </w:rPr>
        <w:t xml:space="preserve"> </w:t>
      </w:r>
      <w:r>
        <w:rPr>
          <w:sz w:val="20"/>
        </w:rPr>
        <w:t>is</w:t>
      </w:r>
      <w:r>
        <w:rPr>
          <w:spacing w:val="-14"/>
          <w:sz w:val="20"/>
        </w:rPr>
        <w:t xml:space="preserve"> </w:t>
      </w:r>
      <w:r>
        <w:rPr>
          <w:sz w:val="20"/>
        </w:rPr>
        <w:t>also</w:t>
      </w:r>
      <w:r>
        <w:rPr>
          <w:spacing w:val="-14"/>
          <w:sz w:val="20"/>
        </w:rPr>
        <w:t xml:space="preserve"> </w:t>
      </w:r>
      <w:r>
        <w:rPr>
          <w:sz w:val="20"/>
        </w:rPr>
        <w:t>essential</w:t>
      </w:r>
      <w:r>
        <w:rPr>
          <w:spacing w:val="-14"/>
          <w:sz w:val="20"/>
        </w:rPr>
        <w:t xml:space="preserve"> </w:t>
      </w:r>
      <w:r>
        <w:rPr>
          <w:sz w:val="20"/>
        </w:rPr>
        <w:t>to</w:t>
      </w:r>
      <w:r>
        <w:rPr>
          <w:spacing w:val="-14"/>
          <w:sz w:val="20"/>
        </w:rPr>
        <w:t xml:space="preserve"> </w:t>
      </w:r>
      <w:r>
        <w:rPr>
          <w:sz w:val="20"/>
        </w:rPr>
        <w:t>the</w:t>
      </w:r>
      <w:r>
        <w:rPr>
          <w:spacing w:val="-14"/>
          <w:sz w:val="20"/>
        </w:rPr>
        <w:t xml:space="preserve"> </w:t>
      </w:r>
      <w:r>
        <w:rPr>
          <w:sz w:val="20"/>
        </w:rPr>
        <w:t>economy.</w:t>
      </w:r>
    </w:p>
    <w:p w:rsidR="002C1123" w:rsidRDefault="00F22F94">
      <w:pPr>
        <w:pStyle w:val="ListParagraph"/>
        <w:numPr>
          <w:ilvl w:val="3"/>
          <w:numId w:val="106"/>
        </w:numPr>
        <w:tabs>
          <w:tab w:val="left" w:pos="776"/>
        </w:tabs>
        <w:spacing w:before="135" w:line="249" w:lineRule="auto"/>
        <w:rPr>
          <w:sz w:val="20"/>
        </w:rPr>
      </w:pPr>
      <w:r>
        <w:rPr>
          <w:sz w:val="20"/>
        </w:rPr>
        <w:t>Social</w:t>
      </w:r>
      <w:r>
        <w:rPr>
          <w:spacing w:val="-4"/>
          <w:sz w:val="20"/>
        </w:rPr>
        <w:t xml:space="preserve"> </w:t>
      </w:r>
      <w:r>
        <w:rPr>
          <w:sz w:val="20"/>
        </w:rPr>
        <w:t>Infrastructure.</w:t>
      </w:r>
      <w:r>
        <w:rPr>
          <w:spacing w:val="-3"/>
          <w:sz w:val="20"/>
        </w:rPr>
        <w:t xml:space="preserve"> </w:t>
      </w:r>
      <w:r>
        <w:rPr>
          <w:sz w:val="20"/>
        </w:rPr>
        <w:t>Investment</w:t>
      </w:r>
      <w:r>
        <w:rPr>
          <w:spacing w:val="-4"/>
          <w:sz w:val="20"/>
        </w:rPr>
        <w:t xml:space="preserve"> </w:t>
      </w:r>
      <w:r>
        <w:rPr>
          <w:sz w:val="20"/>
        </w:rPr>
        <w:t>in</w:t>
      </w:r>
      <w:r>
        <w:rPr>
          <w:spacing w:val="-4"/>
          <w:sz w:val="20"/>
        </w:rPr>
        <w:t xml:space="preserve"> </w:t>
      </w:r>
      <w:r>
        <w:rPr>
          <w:sz w:val="20"/>
        </w:rPr>
        <w:t>schools</w:t>
      </w:r>
      <w:r>
        <w:rPr>
          <w:spacing w:val="-4"/>
          <w:sz w:val="20"/>
        </w:rPr>
        <w:t xml:space="preserve"> </w:t>
      </w:r>
      <w:r>
        <w:rPr>
          <w:sz w:val="20"/>
        </w:rPr>
        <w:t xml:space="preserve">and </w:t>
      </w:r>
      <w:r>
        <w:rPr>
          <w:w w:val="95"/>
          <w:sz w:val="20"/>
        </w:rPr>
        <w:t>healthcare</w:t>
      </w:r>
      <w:r>
        <w:rPr>
          <w:spacing w:val="-5"/>
          <w:w w:val="95"/>
          <w:sz w:val="20"/>
        </w:rPr>
        <w:t xml:space="preserve"> </w:t>
      </w:r>
      <w:r>
        <w:rPr>
          <w:w w:val="95"/>
          <w:sz w:val="20"/>
        </w:rPr>
        <w:t>facilities</w:t>
      </w:r>
      <w:r>
        <w:rPr>
          <w:spacing w:val="-5"/>
          <w:w w:val="95"/>
          <w:sz w:val="20"/>
        </w:rPr>
        <w:t xml:space="preserve"> </w:t>
      </w:r>
      <w:r>
        <w:rPr>
          <w:w w:val="95"/>
          <w:sz w:val="20"/>
        </w:rPr>
        <w:t>will</w:t>
      </w:r>
      <w:r>
        <w:rPr>
          <w:spacing w:val="-5"/>
          <w:w w:val="95"/>
          <w:sz w:val="20"/>
        </w:rPr>
        <w:t xml:space="preserve"> </w:t>
      </w:r>
      <w:r>
        <w:rPr>
          <w:w w:val="95"/>
          <w:sz w:val="20"/>
        </w:rPr>
        <w:t>be</w:t>
      </w:r>
      <w:r>
        <w:rPr>
          <w:spacing w:val="-5"/>
          <w:w w:val="95"/>
          <w:sz w:val="20"/>
        </w:rPr>
        <w:t xml:space="preserve"> </w:t>
      </w:r>
      <w:r>
        <w:rPr>
          <w:w w:val="95"/>
          <w:sz w:val="20"/>
        </w:rPr>
        <w:t>required</w:t>
      </w:r>
      <w:r>
        <w:rPr>
          <w:spacing w:val="-5"/>
          <w:w w:val="95"/>
          <w:sz w:val="20"/>
        </w:rPr>
        <w:t xml:space="preserve"> </w:t>
      </w:r>
      <w:r>
        <w:rPr>
          <w:w w:val="95"/>
          <w:sz w:val="20"/>
        </w:rPr>
        <w:t>in</w:t>
      </w:r>
      <w:r>
        <w:rPr>
          <w:spacing w:val="-5"/>
          <w:w w:val="95"/>
          <w:sz w:val="20"/>
        </w:rPr>
        <w:t xml:space="preserve"> </w:t>
      </w:r>
      <w:r>
        <w:rPr>
          <w:w w:val="95"/>
          <w:sz w:val="20"/>
        </w:rPr>
        <w:t>the</w:t>
      </w:r>
      <w:r>
        <w:rPr>
          <w:spacing w:val="-5"/>
          <w:w w:val="95"/>
          <w:sz w:val="20"/>
        </w:rPr>
        <w:t xml:space="preserve"> </w:t>
      </w:r>
      <w:r>
        <w:rPr>
          <w:w w:val="95"/>
          <w:sz w:val="20"/>
        </w:rPr>
        <w:t xml:space="preserve">fastest </w:t>
      </w:r>
      <w:r>
        <w:rPr>
          <w:w w:val="90"/>
          <w:sz w:val="20"/>
        </w:rPr>
        <w:t xml:space="preserve">growing areas. In the health sector, new models of care </w:t>
      </w:r>
      <w:r>
        <w:rPr>
          <w:w w:val="95"/>
          <w:sz w:val="20"/>
        </w:rPr>
        <w:t>are</w:t>
      </w:r>
      <w:r>
        <w:rPr>
          <w:spacing w:val="-3"/>
          <w:w w:val="95"/>
          <w:sz w:val="20"/>
        </w:rPr>
        <w:t xml:space="preserve"> </w:t>
      </w:r>
      <w:r>
        <w:rPr>
          <w:w w:val="95"/>
          <w:sz w:val="20"/>
        </w:rPr>
        <w:t>needed</w:t>
      </w:r>
      <w:r>
        <w:rPr>
          <w:spacing w:val="-3"/>
          <w:w w:val="95"/>
          <w:sz w:val="20"/>
        </w:rPr>
        <w:t xml:space="preserve"> </w:t>
      </w:r>
      <w:r>
        <w:rPr>
          <w:w w:val="95"/>
          <w:sz w:val="20"/>
        </w:rPr>
        <w:t>to</w:t>
      </w:r>
      <w:r>
        <w:rPr>
          <w:spacing w:val="-3"/>
          <w:w w:val="95"/>
          <w:sz w:val="20"/>
        </w:rPr>
        <w:t xml:space="preserve"> </w:t>
      </w:r>
      <w:r>
        <w:rPr>
          <w:w w:val="95"/>
          <w:sz w:val="20"/>
        </w:rPr>
        <w:t>ensure</w:t>
      </w:r>
      <w:r>
        <w:rPr>
          <w:spacing w:val="-3"/>
          <w:w w:val="95"/>
          <w:sz w:val="20"/>
        </w:rPr>
        <w:t xml:space="preserve"> </w:t>
      </w:r>
      <w:r>
        <w:rPr>
          <w:w w:val="95"/>
          <w:sz w:val="20"/>
        </w:rPr>
        <w:t>affordability</w:t>
      </w:r>
      <w:r>
        <w:rPr>
          <w:spacing w:val="-3"/>
          <w:w w:val="95"/>
          <w:sz w:val="20"/>
        </w:rPr>
        <w:t xml:space="preserve"> </w:t>
      </w:r>
      <w:r>
        <w:rPr>
          <w:w w:val="95"/>
          <w:sz w:val="20"/>
        </w:rPr>
        <w:t>as</w:t>
      </w:r>
      <w:r>
        <w:rPr>
          <w:spacing w:val="-3"/>
          <w:w w:val="95"/>
          <w:sz w:val="20"/>
        </w:rPr>
        <w:t xml:space="preserve"> </w:t>
      </w:r>
      <w:r>
        <w:rPr>
          <w:w w:val="95"/>
          <w:sz w:val="20"/>
        </w:rPr>
        <w:t>Sydney</w:t>
      </w:r>
      <w:r>
        <w:rPr>
          <w:spacing w:val="-3"/>
          <w:w w:val="95"/>
          <w:sz w:val="20"/>
        </w:rPr>
        <w:t xml:space="preserve"> </w:t>
      </w:r>
      <w:r>
        <w:rPr>
          <w:w w:val="95"/>
          <w:sz w:val="20"/>
        </w:rPr>
        <w:t>ages.</w:t>
      </w:r>
    </w:p>
    <w:p w:rsidR="002C1123" w:rsidRDefault="00F22F94">
      <w:pPr>
        <w:pStyle w:val="BodyText"/>
        <w:spacing w:before="145" w:line="249" w:lineRule="auto"/>
        <w:ind w:left="492"/>
      </w:pPr>
      <w:r>
        <w:t>Parts</w:t>
      </w:r>
      <w:r>
        <w:rPr>
          <w:spacing w:val="-14"/>
        </w:rPr>
        <w:t xml:space="preserve"> </w:t>
      </w:r>
      <w:r>
        <w:t>of</w:t>
      </w:r>
      <w:r>
        <w:rPr>
          <w:spacing w:val="-14"/>
        </w:rPr>
        <w:t xml:space="preserve"> </w:t>
      </w:r>
      <w:r>
        <w:t>Greater</w:t>
      </w:r>
      <w:r>
        <w:rPr>
          <w:spacing w:val="-14"/>
        </w:rPr>
        <w:t xml:space="preserve"> </w:t>
      </w:r>
      <w:r>
        <w:t>Sydney</w:t>
      </w:r>
      <w:r>
        <w:rPr>
          <w:spacing w:val="-14"/>
        </w:rPr>
        <w:t xml:space="preserve"> </w:t>
      </w:r>
      <w:r>
        <w:t>also</w:t>
      </w:r>
      <w:r>
        <w:rPr>
          <w:spacing w:val="-14"/>
        </w:rPr>
        <w:t xml:space="preserve"> </w:t>
      </w:r>
      <w:r>
        <w:t>lie</w:t>
      </w:r>
      <w:r>
        <w:rPr>
          <w:spacing w:val="-14"/>
        </w:rPr>
        <w:t xml:space="preserve"> </w:t>
      </w:r>
      <w:r>
        <w:t>in</w:t>
      </w:r>
      <w:r>
        <w:rPr>
          <w:spacing w:val="-14"/>
        </w:rPr>
        <w:t xml:space="preserve"> </w:t>
      </w:r>
      <w:r>
        <w:t>the</w:t>
      </w:r>
      <w:r>
        <w:rPr>
          <w:spacing w:val="-14"/>
        </w:rPr>
        <w:t xml:space="preserve"> </w:t>
      </w:r>
      <w:r>
        <w:t xml:space="preserve">Hawkesbury </w:t>
      </w:r>
      <w:r>
        <w:rPr>
          <w:w w:val="95"/>
        </w:rPr>
        <w:t>Nepean</w:t>
      </w:r>
      <w:r>
        <w:rPr>
          <w:spacing w:val="-8"/>
          <w:w w:val="95"/>
        </w:rPr>
        <w:t xml:space="preserve"> </w:t>
      </w:r>
      <w:r>
        <w:rPr>
          <w:w w:val="95"/>
        </w:rPr>
        <w:t>Valley</w:t>
      </w:r>
      <w:r>
        <w:rPr>
          <w:spacing w:val="-8"/>
          <w:w w:val="95"/>
        </w:rPr>
        <w:t xml:space="preserve"> </w:t>
      </w:r>
      <w:r>
        <w:rPr>
          <w:w w:val="95"/>
        </w:rPr>
        <w:t>and</w:t>
      </w:r>
      <w:r>
        <w:rPr>
          <w:spacing w:val="-8"/>
          <w:w w:val="95"/>
        </w:rPr>
        <w:t xml:space="preserve"> </w:t>
      </w:r>
      <w:r>
        <w:rPr>
          <w:w w:val="95"/>
        </w:rPr>
        <w:t>are</w:t>
      </w:r>
      <w:r>
        <w:rPr>
          <w:spacing w:val="-8"/>
          <w:w w:val="95"/>
        </w:rPr>
        <w:t xml:space="preserve"> </w:t>
      </w:r>
      <w:r>
        <w:rPr>
          <w:w w:val="95"/>
        </w:rPr>
        <w:t>exposed</w:t>
      </w:r>
      <w:r>
        <w:rPr>
          <w:spacing w:val="-8"/>
          <w:w w:val="95"/>
        </w:rPr>
        <w:t xml:space="preserve"> </w:t>
      </w:r>
      <w:r>
        <w:rPr>
          <w:w w:val="95"/>
        </w:rPr>
        <w:t>to</w:t>
      </w:r>
      <w:r>
        <w:rPr>
          <w:spacing w:val="-8"/>
          <w:w w:val="95"/>
        </w:rPr>
        <w:t xml:space="preserve"> </w:t>
      </w:r>
      <w:r>
        <w:rPr>
          <w:w w:val="95"/>
        </w:rPr>
        <w:t>flood</w:t>
      </w:r>
      <w:r>
        <w:rPr>
          <w:spacing w:val="-8"/>
          <w:w w:val="95"/>
        </w:rPr>
        <w:t xml:space="preserve"> </w:t>
      </w:r>
      <w:r>
        <w:rPr>
          <w:w w:val="95"/>
        </w:rPr>
        <w:t>risk.</w:t>
      </w:r>
      <w:r>
        <w:rPr>
          <w:spacing w:val="-8"/>
          <w:w w:val="95"/>
        </w:rPr>
        <w:t xml:space="preserve"> </w:t>
      </w:r>
      <w:r>
        <w:rPr>
          <w:w w:val="95"/>
        </w:rPr>
        <w:t xml:space="preserve">Protecting </w:t>
      </w:r>
      <w:r>
        <w:t>people</w:t>
      </w:r>
      <w:r>
        <w:rPr>
          <w:spacing w:val="-10"/>
        </w:rPr>
        <w:t xml:space="preserve"> </w:t>
      </w:r>
      <w:r>
        <w:t>and</w:t>
      </w:r>
      <w:r>
        <w:rPr>
          <w:spacing w:val="-10"/>
        </w:rPr>
        <w:t xml:space="preserve"> </w:t>
      </w:r>
      <w:r>
        <w:t>the</w:t>
      </w:r>
      <w:r>
        <w:rPr>
          <w:spacing w:val="-10"/>
        </w:rPr>
        <w:t xml:space="preserve"> </w:t>
      </w:r>
      <w:r>
        <w:t>economy</w:t>
      </w:r>
      <w:r>
        <w:rPr>
          <w:spacing w:val="-10"/>
        </w:rPr>
        <w:t xml:space="preserve"> </w:t>
      </w:r>
      <w:r>
        <w:t>in</w:t>
      </w:r>
      <w:r>
        <w:rPr>
          <w:spacing w:val="-10"/>
        </w:rPr>
        <w:t xml:space="preserve"> </w:t>
      </w:r>
      <w:r>
        <w:t>this</w:t>
      </w:r>
      <w:r>
        <w:rPr>
          <w:spacing w:val="-10"/>
        </w:rPr>
        <w:t xml:space="preserve"> </w:t>
      </w:r>
      <w:r>
        <w:t>region</w:t>
      </w:r>
      <w:r>
        <w:rPr>
          <w:spacing w:val="-10"/>
        </w:rPr>
        <w:t xml:space="preserve"> </w:t>
      </w:r>
      <w:r>
        <w:t>is</w:t>
      </w:r>
      <w:r>
        <w:rPr>
          <w:spacing w:val="-10"/>
        </w:rPr>
        <w:t xml:space="preserve"> </w:t>
      </w:r>
      <w:r>
        <w:t>vital.</w:t>
      </w:r>
    </w:p>
    <w:p w:rsidR="002C1123" w:rsidRDefault="00F22F94">
      <w:pPr>
        <w:pStyle w:val="Heading6"/>
        <w:numPr>
          <w:ilvl w:val="2"/>
          <w:numId w:val="106"/>
        </w:numPr>
        <w:tabs>
          <w:tab w:val="left" w:pos="677"/>
        </w:tabs>
        <w:spacing w:before="129"/>
        <w:ind w:left="676" w:hanging="476"/>
        <w:jc w:val="left"/>
      </w:pPr>
      <w:r>
        <w:rPr>
          <w:b w:val="0"/>
        </w:rPr>
        <w:br w:type="column"/>
      </w:r>
      <w:r>
        <w:rPr>
          <w:color w:val="EC008C"/>
          <w:spacing w:val="-4"/>
        </w:rPr>
        <w:t>Infrastructure</w:t>
      </w:r>
      <w:r>
        <w:rPr>
          <w:color w:val="EC008C"/>
          <w:spacing w:val="-5"/>
        </w:rPr>
        <w:t xml:space="preserve"> </w:t>
      </w:r>
      <w:r>
        <w:rPr>
          <w:color w:val="EC008C"/>
          <w:spacing w:val="-4"/>
        </w:rPr>
        <w:t>for Housing</w:t>
      </w:r>
    </w:p>
    <w:p w:rsidR="002C1123" w:rsidRDefault="00F22F94">
      <w:pPr>
        <w:pStyle w:val="BodyText"/>
        <w:spacing w:before="152" w:line="249" w:lineRule="auto"/>
        <w:ind w:left="201" w:right="19"/>
      </w:pPr>
      <w:r>
        <w:t>Sydney’s</w:t>
      </w:r>
      <w:r>
        <w:rPr>
          <w:spacing w:val="-11"/>
        </w:rPr>
        <w:t xml:space="preserve"> </w:t>
      </w:r>
      <w:r>
        <w:t>lack</w:t>
      </w:r>
      <w:r>
        <w:rPr>
          <w:spacing w:val="-11"/>
        </w:rPr>
        <w:t xml:space="preserve"> </w:t>
      </w:r>
      <w:r>
        <w:t>of</w:t>
      </w:r>
      <w:r>
        <w:rPr>
          <w:spacing w:val="-11"/>
        </w:rPr>
        <w:t xml:space="preserve"> </w:t>
      </w:r>
      <w:r>
        <w:t>housing</w:t>
      </w:r>
      <w:r>
        <w:rPr>
          <w:spacing w:val="-11"/>
        </w:rPr>
        <w:t xml:space="preserve"> </w:t>
      </w:r>
      <w:r>
        <w:t>supply</w:t>
      </w:r>
      <w:r>
        <w:rPr>
          <w:spacing w:val="-11"/>
        </w:rPr>
        <w:t xml:space="preserve"> </w:t>
      </w:r>
      <w:r>
        <w:t>is</w:t>
      </w:r>
      <w:r>
        <w:rPr>
          <w:spacing w:val="-11"/>
        </w:rPr>
        <w:t xml:space="preserve"> </w:t>
      </w:r>
      <w:r>
        <w:t>one</w:t>
      </w:r>
      <w:r>
        <w:rPr>
          <w:spacing w:val="-11"/>
        </w:rPr>
        <w:t xml:space="preserve"> </w:t>
      </w:r>
      <w:r>
        <w:t>of</w:t>
      </w:r>
      <w:r>
        <w:rPr>
          <w:spacing w:val="-11"/>
        </w:rPr>
        <w:t xml:space="preserve"> </w:t>
      </w:r>
      <w:r>
        <w:t>the</w:t>
      </w:r>
      <w:r>
        <w:rPr>
          <w:spacing w:val="-11"/>
        </w:rPr>
        <w:t xml:space="preserve"> </w:t>
      </w:r>
      <w:r>
        <w:t xml:space="preserve">most </w:t>
      </w:r>
      <w:r>
        <w:rPr>
          <w:w w:val="95"/>
        </w:rPr>
        <w:t>significant economic issues facing NSW and drives the ongoing</w:t>
      </w:r>
      <w:r>
        <w:rPr>
          <w:spacing w:val="-4"/>
          <w:w w:val="95"/>
        </w:rPr>
        <w:t xml:space="preserve"> </w:t>
      </w:r>
      <w:r>
        <w:rPr>
          <w:w w:val="95"/>
        </w:rPr>
        <w:t>problem</w:t>
      </w:r>
      <w:r>
        <w:rPr>
          <w:spacing w:val="-5"/>
          <w:w w:val="95"/>
        </w:rPr>
        <w:t xml:space="preserve"> </w:t>
      </w:r>
      <w:r>
        <w:rPr>
          <w:w w:val="95"/>
        </w:rPr>
        <w:t>of</w:t>
      </w:r>
      <w:r>
        <w:rPr>
          <w:spacing w:val="-4"/>
          <w:w w:val="95"/>
        </w:rPr>
        <w:t xml:space="preserve"> </w:t>
      </w:r>
      <w:r>
        <w:rPr>
          <w:w w:val="95"/>
        </w:rPr>
        <w:t>housing</w:t>
      </w:r>
      <w:r>
        <w:rPr>
          <w:spacing w:val="-4"/>
          <w:w w:val="95"/>
        </w:rPr>
        <w:t xml:space="preserve"> </w:t>
      </w:r>
      <w:r>
        <w:rPr>
          <w:w w:val="95"/>
        </w:rPr>
        <w:t>affordability.</w:t>
      </w:r>
      <w:r>
        <w:rPr>
          <w:spacing w:val="-4"/>
          <w:w w:val="95"/>
        </w:rPr>
        <w:t xml:space="preserve"> </w:t>
      </w:r>
      <w:r>
        <w:rPr>
          <w:w w:val="95"/>
        </w:rPr>
        <w:t>It</w:t>
      </w:r>
      <w:r>
        <w:rPr>
          <w:spacing w:val="-4"/>
          <w:w w:val="95"/>
        </w:rPr>
        <w:t xml:space="preserve"> </w:t>
      </w:r>
      <w:r>
        <w:rPr>
          <w:w w:val="95"/>
        </w:rPr>
        <w:t>is</w:t>
      </w:r>
      <w:r>
        <w:rPr>
          <w:spacing w:val="-4"/>
          <w:w w:val="95"/>
        </w:rPr>
        <w:t xml:space="preserve"> </w:t>
      </w:r>
      <w:r>
        <w:rPr>
          <w:w w:val="95"/>
        </w:rPr>
        <w:t xml:space="preserve">estimated </w:t>
      </w:r>
      <w:r>
        <w:t>that</w:t>
      </w:r>
      <w:r>
        <w:rPr>
          <w:spacing w:val="-7"/>
        </w:rPr>
        <w:t xml:space="preserve"> </w:t>
      </w:r>
      <w:r>
        <w:t>the</w:t>
      </w:r>
      <w:r>
        <w:rPr>
          <w:spacing w:val="-7"/>
        </w:rPr>
        <w:t xml:space="preserve"> </w:t>
      </w:r>
      <w:r>
        <w:t>construction</w:t>
      </w:r>
      <w:r>
        <w:rPr>
          <w:spacing w:val="-7"/>
        </w:rPr>
        <w:t xml:space="preserve"> </w:t>
      </w:r>
      <w:r>
        <w:t>of</w:t>
      </w:r>
      <w:r>
        <w:rPr>
          <w:spacing w:val="-7"/>
        </w:rPr>
        <w:t xml:space="preserve"> </w:t>
      </w:r>
      <w:r>
        <w:t>an</w:t>
      </w:r>
      <w:r>
        <w:rPr>
          <w:spacing w:val="-7"/>
        </w:rPr>
        <w:t xml:space="preserve"> </w:t>
      </w:r>
      <w:r>
        <w:t>additional</w:t>
      </w:r>
      <w:r>
        <w:rPr>
          <w:spacing w:val="-7"/>
        </w:rPr>
        <w:t xml:space="preserve"> </w:t>
      </w:r>
      <w:r>
        <w:t>8,000</w:t>
      </w:r>
      <w:r>
        <w:rPr>
          <w:spacing w:val="-7"/>
        </w:rPr>
        <w:t xml:space="preserve"> </w:t>
      </w:r>
      <w:r>
        <w:t>dwellings per</w:t>
      </w:r>
      <w:r>
        <w:rPr>
          <w:spacing w:val="-13"/>
        </w:rPr>
        <w:t xml:space="preserve"> </w:t>
      </w:r>
      <w:r>
        <w:t>annum</w:t>
      </w:r>
      <w:r>
        <w:rPr>
          <w:spacing w:val="-13"/>
        </w:rPr>
        <w:t xml:space="preserve"> </w:t>
      </w:r>
      <w:r>
        <w:t>in</w:t>
      </w:r>
      <w:r>
        <w:rPr>
          <w:spacing w:val="-13"/>
        </w:rPr>
        <w:t xml:space="preserve"> </w:t>
      </w:r>
      <w:r>
        <w:t>New</w:t>
      </w:r>
      <w:r>
        <w:rPr>
          <w:spacing w:val="-13"/>
        </w:rPr>
        <w:t xml:space="preserve"> </w:t>
      </w:r>
      <w:r>
        <w:t>South</w:t>
      </w:r>
      <w:r>
        <w:rPr>
          <w:spacing w:val="-13"/>
        </w:rPr>
        <w:t xml:space="preserve"> </w:t>
      </w:r>
      <w:r>
        <w:t>Wales</w:t>
      </w:r>
      <w:r>
        <w:rPr>
          <w:spacing w:val="-13"/>
        </w:rPr>
        <w:t xml:space="preserve"> </w:t>
      </w:r>
      <w:r>
        <w:t>over</w:t>
      </w:r>
      <w:r>
        <w:rPr>
          <w:spacing w:val="-13"/>
        </w:rPr>
        <w:t xml:space="preserve"> </w:t>
      </w:r>
      <w:r>
        <w:t>the</w:t>
      </w:r>
      <w:r>
        <w:rPr>
          <w:spacing w:val="-13"/>
        </w:rPr>
        <w:t xml:space="preserve"> </w:t>
      </w:r>
      <w:r>
        <w:t>last</w:t>
      </w:r>
      <w:r>
        <w:rPr>
          <w:spacing w:val="-13"/>
        </w:rPr>
        <w:t xml:space="preserve"> </w:t>
      </w:r>
      <w:r>
        <w:t xml:space="preserve">decade </w:t>
      </w:r>
      <w:r>
        <w:rPr>
          <w:w w:val="95"/>
        </w:rPr>
        <w:t xml:space="preserve">would have directly increased GSP by 0.5-0.6 percent, </w:t>
      </w:r>
      <w:r>
        <w:t>or $2 billion per annum</w:t>
      </w:r>
      <w:r>
        <w:rPr>
          <w:position w:val="7"/>
          <w:sz w:val="11"/>
        </w:rPr>
        <w:t>6</w:t>
      </w:r>
      <w:r>
        <w:t>.</w:t>
      </w:r>
    </w:p>
    <w:p w:rsidR="002C1123" w:rsidRDefault="00F22F94">
      <w:pPr>
        <w:pStyle w:val="BodyText"/>
        <w:spacing w:before="147" w:line="249" w:lineRule="auto"/>
        <w:ind w:left="201" w:right="284"/>
      </w:pPr>
      <w:r>
        <w:t>Undersupply</w:t>
      </w:r>
      <w:r>
        <w:rPr>
          <w:spacing w:val="-14"/>
        </w:rPr>
        <w:t xml:space="preserve"> </w:t>
      </w:r>
      <w:r>
        <w:t>of</w:t>
      </w:r>
      <w:r>
        <w:rPr>
          <w:spacing w:val="-14"/>
        </w:rPr>
        <w:t xml:space="preserve"> </w:t>
      </w:r>
      <w:r>
        <w:t>housing</w:t>
      </w:r>
      <w:r>
        <w:rPr>
          <w:spacing w:val="-14"/>
        </w:rPr>
        <w:t xml:space="preserve"> </w:t>
      </w:r>
      <w:r>
        <w:t>in</w:t>
      </w:r>
      <w:r>
        <w:rPr>
          <w:spacing w:val="-14"/>
        </w:rPr>
        <w:t xml:space="preserve"> </w:t>
      </w:r>
      <w:r>
        <w:t>Greater</w:t>
      </w:r>
      <w:r>
        <w:rPr>
          <w:spacing w:val="-14"/>
        </w:rPr>
        <w:t xml:space="preserve"> </w:t>
      </w:r>
      <w:r>
        <w:t>Sydney</w:t>
      </w:r>
      <w:r>
        <w:rPr>
          <w:spacing w:val="-14"/>
        </w:rPr>
        <w:t xml:space="preserve"> </w:t>
      </w:r>
      <w:r>
        <w:t>in</w:t>
      </w:r>
      <w:r>
        <w:rPr>
          <w:spacing w:val="-14"/>
        </w:rPr>
        <w:t xml:space="preserve"> </w:t>
      </w:r>
      <w:r>
        <w:t>the past</w:t>
      </w:r>
      <w:r>
        <w:rPr>
          <w:spacing w:val="-13"/>
        </w:rPr>
        <w:t xml:space="preserve"> </w:t>
      </w:r>
      <w:r>
        <w:t>decade</w:t>
      </w:r>
      <w:r>
        <w:rPr>
          <w:spacing w:val="-13"/>
        </w:rPr>
        <w:t xml:space="preserve"> </w:t>
      </w:r>
      <w:r>
        <w:t>is</w:t>
      </w:r>
      <w:r>
        <w:rPr>
          <w:spacing w:val="-13"/>
        </w:rPr>
        <w:t xml:space="preserve"> </w:t>
      </w:r>
      <w:r>
        <w:t>reportedly</w:t>
      </w:r>
      <w:r>
        <w:rPr>
          <w:spacing w:val="-13"/>
        </w:rPr>
        <w:t xml:space="preserve"> </w:t>
      </w:r>
      <w:r>
        <w:t>due</w:t>
      </w:r>
      <w:r>
        <w:rPr>
          <w:spacing w:val="-13"/>
        </w:rPr>
        <w:t xml:space="preserve"> </w:t>
      </w:r>
      <w:r>
        <w:t>to</w:t>
      </w:r>
      <w:r>
        <w:rPr>
          <w:spacing w:val="-13"/>
        </w:rPr>
        <w:t xml:space="preserve"> </w:t>
      </w:r>
      <w:r>
        <w:t>lack</w:t>
      </w:r>
      <w:r>
        <w:rPr>
          <w:spacing w:val="-13"/>
        </w:rPr>
        <w:t xml:space="preserve"> </w:t>
      </w:r>
      <w:r>
        <w:t>of</w:t>
      </w:r>
      <w:r>
        <w:rPr>
          <w:spacing w:val="-13"/>
        </w:rPr>
        <w:t xml:space="preserve"> </w:t>
      </w:r>
      <w:r>
        <w:t>land</w:t>
      </w:r>
      <w:r>
        <w:rPr>
          <w:spacing w:val="-13"/>
        </w:rPr>
        <w:t xml:space="preserve"> </w:t>
      </w:r>
      <w:r>
        <w:t>supply in</w:t>
      </w:r>
      <w:r>
        <w:rPr>
          <w:spacing w:val="-14"/>
        </w:rPr>
        <w:t xml:space="preserve"> </w:t>
      </w:r>
      <w:r>
        <w:t>greenfield</w:t>
      </w:r>
      <w:r>
        <w:rPr>
          <w:spacing w:val="-14"/>
        </w:rPr>
        <w:t xml:space="preserve"> </w:t>
      </w:r>
      <w:r>
        <w:t>areas</w:t>
      </w:r>
      <w:r>
        <w:rPr>
          <w:spacing w:val="-14"/>
        </w:rPr>
        <w:t xml:space="preserve"> </w:t>
      </w:r>
      <w:r>
        <w:t>arising</w:t>
      </w:r>
      <w:r>
        <w:rPr>
          <w:spacing w:val="-14"/>
        </w:rPr>
        <w:t xml:space="preserve"> </w:t>
      </w:r>
      <w:r>
        <w:t>from</w:t>
      </w:r>
      <w:r>
        <w:rPr>
          <w:spacing w:val="-14"/>
        </w:rPr>
        <w:t xml:space="preserve"> </w:t>
      </w:r>
      <w:r>
        <w:t>the</w:t>
      </w:r>
      <w:r>
        <w:rPr>
          <w:spacing w:val="-14"/>
        </w:rPr>
        <w:t xml:space="preserve"> </w:t>
      </w:r>
      <w:r>
        <w:t>‘Sydney</w:t>
      </w:r>
      <w:r>
        <w:rPr>
          <w:spacing w:val="-14"/>
        </w:rPr>
        <w:t xml:space="preserve"> </w:t>
      </w:r>
      <w:r>
        <w:t>is</w:t>
      </w:r>
      <w:r>
        <w:rPr>
          <w:spacing w:val="-14"/>
        </w:rPr>
        <w:t xml:space="preserve"> </w:t>
      </w:r>
      <w:r>
        <w:t xml:space="preserve">full’ </w:t>
      </w:r>
      <w:r>
        <w:rPr>
          <w:w w:val="95"/>
        </w:rPr>
        <w:t>approach, high cost of land, planning complexity and higher</w:t>
      </w:r>
      <w:r>
        <w:rPr>
          <w:spacing w:val="-3"/>
          <w:w w:val="95"/>
        </w:rPr>
        <w:t xml:space="preserve"> </w:t>
      </w:r>
      <w:r>
        <w:rPr>
          <w:w w:val="95"/>
        </w:rPr>
        <w:t>construction</w:t>
      </w:r>
      <w:r>
        <w:rPr>
          <w:spacing w:val="-3"/>
          <w:w w:val="95"/>
        </w:rPr>
        <w:t xml:space="preserve"> </w:t>
      </w:r>
      <w:r>
        <w:rPr>
          <w:w w:val="95"/>
        </w:rPr>
        <w:t>costs;</w:t>
      </w:r>
      <w:r>
        <w:rPr>
          <w:spacing w:val="-3"/>
          <w:w w:val="95"/>
        </w:rPr>
        <w:t xml:space="preserve"> </w:t>
      </w:r>
      <w:r>
        <w:rPr>
          <w:w w:val="95"/>
        </w:rPr>
        <w:t>the</w:t>
      </w:r>
      <w:r>
        <w:rPr>
          <w:spacing w:val="-3"/>
          <w:w w:val="95"/>
        </w:rPr>
        <w:t xml:space="preserve"> </w:t>
      </w:r>
      <w:r>
        <w:rPr>
          <w:w w:val="95"/>
        </w:rPr>
        <w:t>lack</w:t>
      </w:r>
      <w:r>
        <w:rPr>
          <w:spacing w:val="-3"/>
          <w:w w:val="95"/>
        </w:rPr>
        <w:t xml:space="preserve"> </w:t>
      </w:r>
      <w:r>
        <w:rPr>
          <w:w w:val="95"/>
        </w:rPr>
        <w:t>of</w:t>
      </w:r>
      <w:r>
        <w:rPr>
          <w:spacing w:val="-3"/>
          <w:w w:val="95"/>
        </w:rPr>
        <w:t xml:space="preserve"> </w:t>
      </w:r>
      <w:r>
        <w:rPr>
          <w:w w:val="95"/>
        </w:rPr>
        <w:t>on</w:t>
      </w:r>
      <w:r>
        <w:rPr>
          <w:spacing w:val="-3"/>
          <w:w w:val="95"/>
        </w:rPr>
        <w:t xml:space="preserve"> </w:t>
      </w:r>
      <w:r>
        <w:rPr>
          <w:w w:val="95"/>
        </w:rPr>
        <w:t>time</w:t>
      </w:r>
      <w:r>
        <w:rPr>
          <w:spacing w:val="-3"/>
          <w:w w:val="95"/>
        </w:rPr>
        <w:t xml:space="preserve"> </w:t>
      </w:r>
      <w:r>
        <w:rPr>
          <w:w w:val="95"/>
        </w:rPr>
        <w:t xml:space="preserve">delivery </w:t>
      </w:r>
      <w:r>
        <w:t>of</w:t>
      </w:r>
      <w:r>
        <w:rPr>
          <w:spacing w:val="-13"/>
        </w:rPr>
        <w:t xml:space="preserve"> </w:t>
      </w:r>
      <w:r>
        <w:t>lead-in</w:t>
      </w:r>
      <w:r>
        <w:rPr>
          <w:spacing w:val="-13"/>
        </w:rPr>
        <w:t xml:space="preserve"> </w:t>
      </w:r>
      <w:r>
        <w:t>infrastructure;</w:t>
      </w:r>
      <w:r>
        <w:rPr>
          <w:spacing w:val="-13"/>
        </w:rPr>
        <w:t xml:space="preserve"> </w:t>
      </w:r>
      <w:r>
        <w:t>and</w:t>
      </w:r>
      <w:r>
        <w:rPr>
          <w:spacing w:val="-13"/>
        </w:rPr>
        <w:t xml:space="preserve"> </w:t>
      </w:r>
      <w:r>
        <w:t>localised</w:t>
      </w:r>
      <w:r>
        <w:rPr>
          <w:spacing w:val="-13"/>
        </w:rPr>
        <w:t xml:space="preserve"> </w:t>
      </w:r>
      <w:r>
        <w:t>opposition</w:t>
      </w:r>
      <w:r>
        <w:rPr>
          <w:spacing w:val="-13"/>
        </w:rPr>
        <w:t xml:space="preserve"> </w:t>
      </w:r>
      <w:r>
        <w:t>to in-fill</w:t>
      </w:r>
      <w:r>
        <w:rPr>
          <w:spacing w:val="-11"/>
        </w:rPr>
        <w:t xml:space="preserve"> </w:t>
      </w:r>
      <w:r>
        <w:t>development</w:t>
      </w:r>
      <w:r>
        <w:rPr>
          <w:position w:val="7"/>
          <w:sz w:val="11"/>
        </w:rPr>
        <w:t>7</w:t>
      </w:r>
      <w:r>
        <w:t>.</w:t>
      </w:r>
    </w:p>
    <w:p w:rsidR="002C1123" w:rsidRDefault="00F22F94">
      <w:pPr>
        <w:pStyle w:val="BodyText"/>
        <w:spacing w:before="148" w:line="249" w:lineRule="auto"/>
        <w:ind w:left="201" w:right="218"/>
      </w:pPr>
      <w:r>
        <w:rPr>
          <w:w w:val="95"/>
        </w:rPr>
        <w:t>Like</w:t>
      </w:r>
      <w:r>
        <w:rPr>
          <w:spacing w:val="-7"/>
          <w:w w:val="95"/>
        </w:rPr>
        <w:t xml:space="preserve"> </w:t>
      </w:r>
      <w:r>
        <w:rPr>
          <w:w w:val="95"/>
        </w:rPr>
        <w:t>any</w:t>
      </w:r>
      <w:r>
        <w:rPr>
          <w:spacing w:val="-7"/>
          <w:w w:val="95"/>
        </w:rPr>
        <w:t xml:space="preserve"> </w:t>
      </w:r>
      <w:r>
        <w:rPr>
          <w:w w:val="95"/>
        </w:rPr>
        <w:t>market,</w:t>
      </w:r>
      <w:r>
        <w:rPr>
          <w:spacing w:val="-7"/>
          <w:w w:val="95"/>
        </w:rPr>
        <w:t xml:space="preserve"> </w:t>
      </w:r>
      <w:r>
        <w:rPr>
          <w:w w:val="95"/>
        </w:rPr>
        <w:t>house</w:t>
      </w:r>
      <w:r>
        <w:rPr>
          <w:spacing w:val="-7"/>
          <w:w w:val="95"/>
        </w:rPr>
        <w:t xml:space="preserve"> </w:t>
      </w:r>
      <w:r>
        <w:rPr>
          <w:w w:val="95"/>
        </w:rPr>
        <w:t>prices</w:t>
      </w:r>
      <w:r>
        <w:rPr>
          <w:spacing w:val="-7"/>
          <w:w w:val="95"/>
        </w:rPr>
        <w:t xml:space="preserve"> </w:t>
      </w:r>
      <w:r>
        <w:rPr>
          <w:w w:val="95"/>
        </w:rPr>
        <w:t>are</w:t>
      </w:r>
      <w:r>
        <w:rPr>
          <w:spacing w:val="-7"/>
          <w:w w:val="95"/>
        </w:rPr>
        <w:t xml:space="preserve"> </w:t>
      </w:r>
      <w:r>
        <w:rPr>
          <w:w w:val="95"/>
        </w:rPr>
        <w:t>subject</w:t>
      </w:r>
      <w:r>
        <w:rPr>
          <w:spacing w:val="-7"/>
          <w:w w:val="95"/>
        </w:rPr>
        <w:t xml:space="preserve"> </w:t>
      </w:r>
      <w:r>
        <w:rPr>
          <w:w w:val="95"/>
        </w:rPr>
        <w:t>to</w:t>
      </w:r>
      <w:r>
        <w:rPr>
          <w:spacing w:val="-7"/>
          <w:w w:val="95"/>
        </w:rPr>
        <w:t xml:space="preserve"> </w:t>
      </w:r>
      <w:r>
        <w:rPr>
          <w:w w:val="95"/>
        </w:rPr>
        <w:t>the</w:t>
      </w:r>
      <w:r>
        <w:rPr>
          <w:spacing w:val="-7"/>
          <w:w w:val="95"/>
        </w:rPr>
        <w:t xml:space="preserve"> </w:t>
      </w:r>
      <w:r>
        <w:rPr>
          <w:w w:val="95"/>
        </w:rPr>
        <w:t>laws of</w:t>
      </w:r>
      <w:r>
        <w:rPr>
          <w:spacing w:val="-5"/>
          <w:w w:val="95"/>
        </w:rPr>
        <w:t xml:space="preserve"> </w:t>
      </w:r>
      <w:r>
        <w:rPr>
          <w:w w:val="95"/>
        </w:rPr>
        <w:t>supply</w:t>
      </w:r>
      <w:r>
        <w:rPr>
          <w:spacing w:val="-4"/>
          <w:w w:val="95"/>
        </w:rPr>
        <w:t xml:space="preserve"> </w:t>
      </w:r>
      <w:r>
        <w:rPr>
          <w:w w:val="95"/>
        </w:rPr>
        <w:t>and</w:t>
      </w:r>
      <w:r>
        <w:rPr>
          <w:spacing w:val="-5"/>
          <w:w w:val="95"/>
        </w:rPr>
        <w:t xml:space="preserve"> </w:t>
      </w:r>
      <w:r>
        <w:rPr>
          <w:w w:val="95"/>
        </w:rPr>
        <w:t>demand.</w:t>
      </w:r>
      <w:r>
        <w:rPr>
          <w:spacing w:val="-4"/>
          <w:w w:val="95"/>
        </w:rPr>
        <w:t xml:space="preserve"> </w:t>
      </w:r>
      <w:r>
        <w:rPr>
          <w:w w:val="95"/>
        </w:rPr>
        <w:t>In</w:t>
      </w:r>
      <w:r>
        <w:rPr>
          <w:spacing w:val="-5"/>
          <w:w w:val="95"/>
        </w:rPr>
        <w:t xml:space="preserve"> </w:t>
      </w:r>
      <w:r>
        <w:rPr>
          <w:w w:val="95"/>
        </w:rPr>
        <w:t>Greater</w:t>
      </w:r>
      <w:r>
        <w:rPr>
          <w:spacing w:val="-4"/>
          <w:w w:val="95"/>
        </w:rPr>
        <w:t xml:space="preserve"> </w:t>
      </w:r>
      <w:r>
        <w:rPr>
          <w:w w:val="95"/>
        </w:rPr>
        <w:t>Sydney</w:t>
      </w:r>
      <w:r>
        <w:rPr>
          <w:spacing w:val="-4"/>
          <w:w w:val="95"/>
        </w:rPr>
        <w:t xml:space="preserve"> </w:t>
      </w:r>
      <w:r>
        <w:rPr>
          <w:w w:val="95"/>
        </w:rPr>
        <w:t>demand</w:t>
      </w:r>
      <w:r>
        <w:rPr>
          <w:spacing w:val="-5"/>
          <w:w w:val="95"/>
        </w:rPr>
        <w:t xml:space="preserve"> is</w:t>
      </w:r>
    </w:p>
    <w:p w:rsidR="002C1123" w:rsidRDefault="00F22F94">
      <w:pPr>
        <w:pStyle w:val="BodyText"/>
        <w:spacing w:before="1"/>
        <w:ind w:left="201"/>
      </w:pPr>
      <w:r>
        <w:rPr>
          <w:w w:val="90"/>
        </w:rPr>
        <w:t>growing,</w:t>
      </w:r>
      <w:r>
        <w:rPr>
          <w:spacing w:val="8"/>
        </w:rPr>
        <w:t xml:space="preserve"> </w:t>
      </w:r>
      <w:r>
        <w:rPr>
          <w:w w:val="90"/>
        </w:rPr>
        <w:t>supply</w:t>
      </w:r>
      <w:r>
        <w:rPr>
          <w:spacing w:val="9"/>
        </w:rPr>
        <w:t xml:space="preserve"> </w:t>
      </w:r>
      <w:r>
        <w:rPr>
          <w:w w:val="90"/>
        </w:rPr>
        <w:t>is</w:t>
      </w:r>
      <w:r>
        <w:rPr>
          <w:spacing w:val="9"/>
        </w:rPr>
        <w:t xml:space="preserve"> </w:t>
      </w:r>
      <w:r>
        <w:rPr>
          <w:w w:val="90"/>
        </w:rPr>
        <w:t>constrained</w:t>
      </w:r>
      <w:r>
        <w:rPr>
          <w:spacing w:val="9"/>
        </w:rPr>
        <w:t xml:space="preserve"> </w:t>
      </w:r>
      <w:r>
        <w:rPr>
          <w:w w:val="90"/>
        </w:rPr>
        <w:t>and</w:t>
      </w:r>
      <w:r>
        <w:rPr>
          <w:spacing w:val="9"/>
        </w:rPr>
        <w:t xml:space="preserve"> </w:t>
      </w:r>
      <w:r>
        <w:rPr>
          <w:w w:val="90"/>
        </w:rPr>
        <w:t>hence</w:t>
      </w:r>
      <w:r>
        <w:rPr>
          <w:spacing w:val="9"/>
        </w:rPr>
        <w:t xml:space="preserve"> </w:t>
      </w:r>
      <w:r>
        <w:rPr>
          <w:w w:val="90"/>
        </w:rPr>
        <w:t>prices</w:t>
      </w:r>
      <w:r>
        <w:rPr>
          <w:spacing w:val="9"/>
        </w:rPr>
        <w:t xml:space="preserve"> </w:t>
      </w:r>
      <w:r>
        <w:rPr>
          <w:w w:val="90"/>
        </w:rPr>
        <w:t>are</w:t>
      </w:r>
      <w:r>
        <w:rPr>
          <w:spacing w:val="9"/>
        </w:rPr>
        <w:t xml:space="preserve"> </w:t>
      </w:r>
      <w:r>
        <w:rPr>
          <w:spacing w:val="-4"/>
          <w:w w:val="90"/>
        </w:rPr>
        <w:t>high.</w:t>
      </w:r>
    </w:p>
    <w:p w:rsidR="002C1123" w:rsidRDefault="00F22F94">
      <w:pPr>
        <w:pStyle w:val="BodyText"/>
        <w:spacing w:before="152"/>
        <w:ind w:left="201"/>
      </w:pPr>
      <w:r>
        <w:rPr>
          <w:w w:val="90"/>
        </w:rPr>
        <w:t>There</w:t>
      </w:r>
      <w:r>
        <w:rPr>
          <w:spacing w:val="-5"/>
          <w:w w:val="90"/>
        </w:rPr>
        <w:t xml:space="preserve"> </w:t>
      </w:r>
      <w:r>
        <w:rPr>
          <w:w w:val="90"/>
        </w:rPr>
        <w:t>is</w:t>
      </w:r>
      <w:r>
        <w:rPr>
          <w:spacing w:val="-5"/>
          <w:w w:val="90"/>
        </w:rPr>
        <w:t xml:space="preserve"> </w:t>
      </w:r>
      <w:r>
        <w:rPr>
          <w:w w:val="90"/>
        </w:rPr>
        <w:t>a</w:t>
      </w:r>
      <w:r>
        <w:rPr>
          <w:spacing w:val="-4"/>
          <w:w w:val="90"/>
        </w:rPr>
        <w:t xml:space="preserve"> </w:t>
      </w:r>
      <w:r>
        <w:rPr>
          <w:w w:val="90"/>
        </w:rPr>
        <w:t>reported</w:t>
      </w:r>
      <w:r>
        <w:rPr>
          <w:spacing w:val="-5"/>
          <w:w w:val="90"/>
        </w:rPr>
        <w:t xml:space="preserve"> </w:t>
      </w:r>
      <w:r>
        <w:rPr>
          <w:w w:val="90"/>
        </w:rPr>
        <w:t>housing</w:t>
      </w:r>
      <w:r>
        <w:rPr>
          <w:spacing w:val="-5"/>
          <w:w w:val="90"/>
        </w:rPr>
        <w:t xml:space="preserve"> </w:t>
      </w:r>
      <w:r>
        <w:rPr>
          <w:w w:val="90"/>
        </w:rPr>
        <w:t>supply</w:t>
      </w:r>
      <w:r>
        <w:rPr>
          <w:spacing w:val="-5"/>
          <w:w w:val="90"/>
        </w:rPr>
        <w:t xml:space="preserve"> </w:t>
      </w:r>
      <w:r>
        <w:rPr>
          <w:w w:val="90"/>
        </w:rPr>
        <w:t>shortage</w:t>
      </w:r>
      <w:r>
        <w:rPr>
          <w:spacing w:val="-4"/>
          <w:w w:val="90"/>
        </w:rPr>
        <w:t xml:space="preserve"> </w:t>
      </w:r>
      <w:r>
        <w:rPr>
          <w:spacing w:val="-5"/>
          <w:w w:val="90"/>
        </w:rPr>
        <w:t>in</w:t>
      </w:r>
    </w:p>
    <w:p w:rsidR="002C1123" w:rsidRDefault="00F22F94">
      <w:pPr>
        <w:pStyle w:val="BodyText"/>
        <w:spacing w:before="10" w:line="249" w:lineRule="auto"/>
        <w:ind w:left="201"/>
      </w:pPr>
      <w:r>
        <w:rPr>
          <w:w w:val="95"/>
        </w:rPr>
        <w:t>Greater</w:t>
      </w:r>
      <w:r>
        <w:rPr>
          <w:spacing w:val="-11"/>
          <w:w w:val="95"/>
        </w:rPr>
        <w:t xml:space="preserve"> </w:t>
      </w:r>
      <w:r>
        <w:rPr>
          <w:w w:val="95"/>
        </w:rPr>
        <w:t>Sydney</w:t>
      </w:r>
      <w:r>
        <w:rPr>
          <w:spacing w:val="-11"/>
          <w:w w:val="95"/>
        </w:rPr>
        <w:t xml:space="preserve"> </w:t>
      </w:r>
      <w:r>
        <w:rPr>
          <w:w w:val="95"/>
        </w:rPr>
        <w:t>of</w:t>
      </w:r>
      <w:r>
        <w:rPr>
          <w:spacing w:val="-11"/>
          <w:w w:val="95"/>
        </w:rPr>
        <w:t xml:space="preserve"> </w:t>
      </w:r>
      <w:r>
        <w:rPr>
          <w:w w:val="95"/>
        </w:rPr>
        <w:t>around</w:t>
      </w:r>
      <w:r>
        <w:rPr>
          <w:spacing w:val="-11"/>
          <w:w w:val="95"/>
        </w:rPr>
        <w:t xml:space="preserve"> </w:t>
      </w:r>
      <w:r>
        <w:rPr>
          <w:w w:val="95"/>
        </w:rPr>
        <w:t>100,000</w:t>
      </w:r>
      <w:r>
        <w:rPr>
          <w:spacing w:val="-11"/>
          <w:w w:val="95"/>
        </w:rPr>
        <w:t xml:space="preserve"> </w:t>
      </w:r>
      <w:r>
        <w:rPr>
          <w:w w:val="95"/>
        </w:rPr>
        <w:t>homes</w:t>
      </w:r>
      <w:r>
        <w:rPr>
          <w:w w:val="95"/>
          <w:position w:val="7"/>
          <w:sz w:val="11"/>
        </w:rPr>
        <w:t>8</w:t>
      </w:r>
      <w:r>
        <w:rPr>
          <w:w w:val="95"/>
        </w:rPr>
        <w:t>.</w:t>
      </w:r>
      <w:r>
        <w:rPr>
          <w:spacing w:val="-11"/>
          <w:w w:val="95"/>
        </w:rPr>
        <w:t xml:space="preserve"> </w:t>
      </w:r>
      <w:r>
        <w:rPr>
          <w:w w:val="95"/>
        </w:rPr>
        <w:t xml:space="preserve">Addressing </w:t>
      </w:r>
      <w:r>
        <w:rPr>
          <w:w w:val="90"/>
        </w:rPr>
        <w:t xml:space="preserve">this and accommodating population growth means around </w:t>
      </w:r>
      <w:r>
        <w:rPr>
          <w:w w:val="95"/>
        </w:rPr>
        <w:t>600,000</w:t>
      </w:r>
      <w:r>
        <w:rPr>
          <w:spacing w:val="-9"/>
          <w:w w:val="95"/>
        </w:rPr>
        <w:t xml:space="preserve"> </w:t>
      </w:r>
      <w:r>
        <w:rPr>
          <w:w w:val="95"/>
        </w:rPr>
        <w:t>additional</w:t>
      </w:r>
      <w:r>
        <w:rPr>
          <w:spacing w:val="-9"/>
          <w:w w:val="95"/>
        </w:rPr>
        <w:t xml:space="preserve"> </w:t>
      </w:r>
      <w:r>
        <w:rPr>
          <w:w w:val="95"/>
        </w:rPr>
        <w:t>homes</w:t>
      </w:r>
      <w:r>
        <w:rPr>
          <w:spacing w:val="-9"/>
          <w:w w:val="95"/>
        </w:rPr>
        <w:t xml:space="preserve"> </w:t>
      </w:r>
      <w:r>
        <w:rPr>
          <w:w w:val="95"/>
        </w:rPr>
        <w:t>need</w:t>
      </w:r>
      <w:r>
        <w:rPr>
          <w:spacing w:val="-9"/>
          <w:w w:val="95"/>
        </w:rPr>
        <w:t xml:space="preserve"> </w:t>
      </w:r>
      <w:r>
        <w:rPr>
          <w:w w:val="95"/>
        </w:rPr>
        <w:t>to</w:t>
      </w:r>
      <w:r>
        <w:rPr>
          <w:spacing w:val="-9"/>
          <w:w w:val="95"/>
        </w:rPr>
        <w:t xml:space="preserve"> </w:t>
      </w:r>
      <w:r>
        <w:rPr>
          <w:w w:val="95"/>
        </w:rPr>
        <w:t>be</w:t>
      </w:r>
      <w:r>
        <w:rPr>
          <w:spacing w:val="-9"/>
          <w:w w:val="95"/>
        </w:rPr>
        <w:t xml:space="preserve"> </w:t>
      </w:r>
      <w:r>
        <w:rPr>
          <w:w w:val="95"/>
        </w:rPr>
        <w:t>built</w:t>
      </w:r>
      <w:r>
        <w:rPr>
          <w:spacing w:val="-9"/>
          <w:w w:val="95"/>
        </w:rPr>
        <w:t xml:space="preserve"> </w:t>
      </w:r>
      <w:r>
        <w:rPr>
          <w:w w:val="95"/>
        </w:rPr>
        <w:t>over</w:t>
      </w:r>
      <w:r>
        <w:rPr>
          <w:spacing w:val="-9"/>
          <w:w w:val="95"/>
        </w:rPr>
        <w:t xml:space="preserve"> </w:t>
      </w:r>
      <w:r>
        <w:rPr>
          <w:w w:val="95"/>
        </w:rPr>
        <w:t>the</w:t>
      </w:r>
      <w:r>
        <w:rPr>
          <w:spacing w:val="-9"/>
          <w:w w:val="95"/>
        </w:rPr>
        <w:t xml:space="preserve"> </w:t>
      </w:r>
      <w:r>
        <w:rPr>
          <w:w w:val="95"/>
        </w:rPr>
        <w:t xml:space="preserve">next </w:t>
      </w:r>
      <w:r>
        <w:t>20</w:t>
      </w:r>
      <w:r>
        <w:rPr>
          <w:spacing w:val="-17"/>
        </w:rPr>
        <w:t xml:space="preserve"> </w:t>
      </w:r>
      <w:r>
        <w:t>years.</w:t>
      </w:r>
    </w:p>
    <w:p w:rsidR="002C1123" w:rsidRDefault="00F22F94">
      <w:pPr>
        <w:pStyle w:val="BodyText"/>
        <w:spacing w:before="145" w:line="249" w:lineRule="auto"/>
        <w:ind w:left="201" w:right="19"/>
      </w:pPr>
      <w:r>
        <w:t>Co-ordination</w:t>
      </w:r>
      <w:r>
        <w:rPr>
          <w:spacing w:val="-9"/>
        </w:rPr>
        <w:t xml:space="preserve"> </w:t>
      </w:r>
      <w:r>
        <w:t>of</w:t>
      </w:r>
      <w:r>
        <w:rPr>
          <w:spacing w:val="-9"/>
        </w:rPr>
        <w:t xml:space="preserve"> </w:t>
      </w:r>
      <w:r>
        <w:t>utility</w:t>
      </w:r>
      <w:r>
        <w:rPr>
          <w:spacing w:val="-9"/>
        </w:rPr>
        <w:t xml:space="preserve"> </w:t>
      </w:r>
      <w:r>
        <w:t>and</w:t>
      </w:r>
      <w:r>
        <w:rPr>
          <w:spacing w:val="-9"/>
        </w:rPr>
        <w:t xml:space="preserve"> </w:t>
      </w:r>
      <w:r>
        <w:t>transport</w:t>
      </w:r>
      <w:r>
        <w:rPr>
          <w:spacing w:val="-9"/>
        </w:rPr>
        <w:t xml:space="preserve"> </w:t>
      </w:r>
      <w:r>
        <w:t>infrastructure</w:t>
      </w:r>
      <w:r>
        <w:rPr>
          <w:spacing w:val="-9"/>
        </w:rPr>
        <w:t xml:space="preserve"> </w:t>
      </w:r>
      <w:r>
        <w:t xml:space="preserve">is </w:t>
      </w:r>
      <w:r>
        <w:rPr>
          <w:w w:val="95"/>
        </w:rPr>
        <w:t>essential</w:t>
      </w:r>
      <w:r>
        <w:rPr>
          <w:spacing w:val="-1"/>
          <w:w w:val="95"/>
        </w:rPr>
        <w:t xml:space="preserve"> </w:t>
      </w:r>
      <w:r>
        <w:rPr>
          <w:w w:val="95"/>
        </w:rPr>
        <w:t>to</w:t>
      </w:r>
      <w:r>
        <w:rPr>
          <w:spacing w:val="-1"/>
          <w:w w:val="95"/>
        </w:rPr>
        <w:t xml:space="preserve"> </w:t>
      </w:r>
      <w:r>
        <w:rPr>
          <w:w w:val="95"/>
        </w:rPr>
        <w:t>unlocking</w:t>
      </w:r>
      <w:r>
        <w:rPr>
          <w:spacing w:val="-1"/>
          <w:w w:val="95"/>
        </w:rPr>
        <w:t xml:space="preserve"> </w:t>
      </w:r>
      <w:r>
        <w:rPr>
          <w:w w:val="95"/>
        </w:rPr>
        <w:t>housing</w:t>
      </w:r>
      <w:r>
        <w:rPr>
          <w:spacing w:val="-1"/>
          <w:w w:val="95"/>
        </w:rPr>
        <w:t xml:space="preserve"> </w:t>
      </w:r>
      <w:r>
        <w:rPr>
          <w:w w:val="95"/>
        </w:rPr>
        <w:t>development,</w:t>
      </w:r>
      <w:r>
        <w:rPr>
          <w:spacing w:val="-1"/>
          <w:w w:val="95"/>
        </w:rPr>
        <w:t xml:space="preserve"> </w:t>
      </w:r>
      <w:r>
        <w:rPr>
          <w:w w:val="95"/>
        </w:rPr>
        <w:t xml:space="preserve">particularly </w:t>
      </w:r>
      <w:r>
        <w:t>in</w:t>
      </w:r>
      <w:r>
        <w:rPr>
          <w:spacing w:val="-14"/>
        </w:rPr>
        <w:t xml:space="preserve"> </w:t>
      </w:r>
      <w:r>
        <w:t>greenfield</w:t>
      </w:r>
      <w:r>
        <w:rPr>
          <w:spacing w:val="-14"/>
        </w:rPr>
        <w:t xml:space="preserve"> </w:t>
      </w:r>
      <w:r>
        <w:t>areas.</w:t>
      </w:r>
      <w:r>
        <w:rPr>
          <w:spacing w:val="-14"/>
        </w:rPr>
        <w:t xml:space="preserve"> </w:t>
      </w:r>
      <w:r>
        <w:t>The</w:t>
      </w:r>
      <w:r>
        <w:rPr>
          <w:spacing w:val="-14"/>
        </w:rPr>
        <w:t xml:space="preserve"> </w:t>
      </w:r>
      <w:r>
        <w:t>Government</w:t>
      </w:r>
      <w:r>
        <w:rPr>
          <w:spacing w:val="-14"/>
        </w:rPr>
        <w:t xml:space="preserve"> </w:t>
      </w:r>
      <w:r>
        <w:t>is</w:t>
      </w:r>
      <w:r>
        <w:rPr>
          <w:spacing w:val="-14"/>
        </w:rPr>
        <w:t xml:space="preserve"> </w:t>
      </w:r>
      <w:r>
        <w:t>introducing</w:t>
      </w:r>
      <w:r>
        <w:rPr>
          <w:spacing w:val="-14"/>
        </w:rPr>
        <w:t xml:space="preserve"> </w:t>
      </w:r>
      <w:r>
        <w:t>a series</w:t>
      </w:r>
      <w:r>
        <w:rPr>
          <w:spacing w:val="-12"/>
        </w:rPr>
        <w:t xml:space="preserve"> </w:t>
      </w:r>
      <w:r>
        <w:t>of</w:t>
      </w:r>
      <w:r>
        <w:rPr>
          <w:spacing w:val="-12"/>
        </w:rPr>
        <w:t xml:space="preserve"> </w:t>
      </w:r>
      <w:r>
        <w:t>reforms</w:t>
      </w:r>
      <w:r>
        <w:rPr>
          <w:spacing w:val="-12"/>
        </w:rPr>
        <w:t xml:space="preserve"> </w:t>
      </w:r>
      <w:r>
        <w:t>to</w:t>
      </w:r>
      <w:r>
        <w:rPr>
          <w:spacing w:val="-12"/>
        </w:rPr>
        <w:t xml:space="preserve"> </w:t>
      </w:r>
      <w:r>
        <w:t>improve</w:t>
      </w:r>
      <w:r>
        <w:rPr>
          <w:spacing w:val="-12"/>
        </w:rPr>
        <w:t xml:space="preserve"> </w:t>
      </w:r>
      <w:r>
        <w:t>the</w:t>
      </w:r>
      <w:r>
        <w:rPr>
          <w:spacing w:val="-12"/>
        </w:rPr>
        <w:t xml:space="preserve"> </w:t>
      </w:r>
      <w:r>
        <w:t>co-ordination</w:t>
      </w:r>
      <w:r>
        <w:rPr>
          <w:spacing w:val="-12"/>
        </w:rPr>
        <w:t xml:space="preserve"> </w:t>
      </w:r>
      <w:r>
        <w:t>of</w:t>
      </w:r>
      <w:r>
        <w:rPr>
          <w:spacing w:val="-12"/>
        </w:rPr>
        <w:t xml:space="preserve"> </w:t>
      </w:r>
      <w:r>
        <w:t>local infrastructure,</w:t>
      </w:r>
      <w:r>
        <w:rPr>
          <w:spacing w:val="-11"/>
        </w:rPr>
        <w:t xml:space="preserve"> </w:t>
      </w:r>
      <w:r>
        <w:t>including:</w:t>
      </w:r>
    </w:p>
    <w:p w:rsidR="002C1123" w:rsidRDefault="00F22F94">
      <w:pPr>
        <w:pStyle w:val="ListParagraph"/>
        <w:numPr>
          <w:ilvl w:val="0"/>
          <w:numId w:val="105"/>
        </w:numPr>
        <w:tabs>
          <w:tab w:val="left" w:pos="511"/>
        </w:tabs>
        <w:spacing w:before="116" w:line="249" w:lineRule="auto"/>
        <w:ind w:right="854"/>
        <w:rPr>
          <w:sz w:val="20"/>
        </w:rPr>
      </w:pPr>
      <w:r>
        <w:br w:type="column"/>
      </w:r>
      <w:r>
        <w:rPr>
          <w:w w:val="95"/>
          <w:sz w:val="20"/>
        </w:rPr>
        <w:t>increasing</w:t>
      </w:r>
      <w:r>
        <w:rPr>
          <w:spacing w:val="-9"/>
          <w:w w:val="95"/>
          <w:sz w:val="20"/>
        </w:rPr>
        <w:t xml:space="preserve"> </w:t>
      </w:r>
      <w:r>
        <w:rPr>
          <w:w w:val="95"/>
          <w:sz w:val="20"/>
        </w:rPr>
        <w:t>the</w:t>
      </w:r>
      <w:r>
        <w:rPr>
          <w:spacing w:val="-9"/>
          <w:w w:val="95"/>
          <w:sz w:val="20"/>
        </w:rPr>
        <w:t xml:space="preserve"> </w:t>
      </w:r>
      <w:r>
        <w:rPr>
          <w:w w:val="95"/>
          <w:sz w:val="20"/>
        </w:rPr>
        <w:t>release</w:t>
      </w:r>
      <w:r>
        <w:rPr>
          <w:spacing w:val="-9"/>
          <w:w w:val="95"/>
          <w:sz w:val="20"/>
        </w:rPr>
        <w:t xml:space="preserve"> </w:t>
      </w:r>
      <w:r>
        <w:rPr>
          <w:w w:val="95"/>
          <w:sz w:val="20"/>
        </w:rPr>
        <w:t>of</w:t>
      </w:r>
      <w:r>
        <w:rPr>
          <w:spacing w:val="-9"/>
          <w:w w:val="95"/>
          <w:sz w:val="20"/>
        </w:rPr>
        <w:t xml:space="preserve"> </w:t>
      </w:r>
      <w:r>
        <w:rPr>
          <w:w w:val="95"/>
          <w:sz w:val="20"/>
        </w:rPr>
        <w:t>land</w:t>
      </w:r>
      <w:r>
        <w:rPr>
          <w:spacing w:val="-9"/>
          <w:w w:val="95"/>
          <w:sz w:val="20"/>
        </w:rPr>
        <w:t xml:space="preserve"> </w:t>
      </w:r>
      <w:r>
        <w:rPr>
          <w:w w:val="95"/>
          <w:sz w:val="20"/>
        </w:rPr>
        <w:t>in</w:t>
      </w:r>
      <w:r>
        <w:rPr>
          <w:spacing w:val="-9"/>
          <w:w w:val="95"/>
          <w:sz w:val="20"/>
        </w:rPr>
        <w:t xml:space="preserve"> </w:t>
      </w:r>
      <w:r>
        <w:rPr>
          <w:w w:val="95"/>
          <w:sz w:val="20"/>
        </w:rPr>
        <w:t>growth</w:t>
      </w:r>
      <w:r>
        <w:rPr>
          <w:spacing w:val="-9"/>
          <w:w w:val="95"/>
          <w:sz w:val="20"/>
        </w:rPr>
        <w:t xml:space="preserve"> </w:t>
      </w:r>
      <w:r>
        <w:rPr>
          <w:w w:val="95"/>
          <w:sz w:val="20"/>
        </w:rPr>
        <w:t>areas</w:t>
      </w:r>
      <w:r>
        <w:rPr>
          <w:spacing w:val="-9"/>
          <w:w w:val="95"/>
          <w:sz w:val="20"/>
        </w:rPr>
        <w:t xml:space="preserve"> </w:t>
      </w:r>
      <w:r>
        <w:rPr>
          <w:w w:val="95"/>
          <w:sz w:val="20"/>
        </w:rPr>
        <w:t xml:space="preserve">zoned </w:t>
      </w:r>
      <w:r>
        <w:rPr>
          <w:sz w:val="20"/>
        </w:rPr>
        <w:t>for residential development</w:t>
      </w:r>
    </w:p>
    <w:p w:rsidR="002C1123" w:rsidRDefault="00F22F94">
      <w:pPr>
        <w:pStyle w:val="ListParagraph"/>
        <w:numPr>
          <w:ilvl w:val="0"/>
          <w:numId w:val="105"/>
        </w:numPr>
        <w:tabs>
          <w:tab w:val="left" w:pos="511"/>
        </w:tabs>
        <w:spacing w:before="102" w:line="249" w:lineRule="auto"/>
        <w:ind w:right="964"/>
        <w:rPr>
          <w:sz w:val="20"/>
        </w:rPr>
      </w:pPr>
      <w:r>
        <w:rPr>
          <w:w w:val="95"/>
          <w:sz w:val="20"/>
        </w:rPr>
        <w:t>introducing</w:t>
      </w:r>
      <w:r>
        <w:rPr>
          <w:spacing w:val="-4"/>
          <w:w w:val="95"/>
          <w:sz w:val="20"/>
        </w:rPr>
        <w:t xml:space="preserve"> </w:t>
      </w:r>
      <w:r>
        <w:rPr>
          <w:w w:val="95"/>
          <w:sz w:val="20"/>
        </w:rPr>
        <w:t>new</w:t>
      </w:r>
      <w:r>
        <w:rPr>
          <w:spacing w:val="-4"/>
          <w:w w:val="95"/>
          <w:sz w:val="20"/>
        </w:rPr>
        <w:t xml:space="preserve"> </w:t>
      </w:r>
      <w:r>
        <w:rPr>
          <w:w w:val="95"/>
          <w:sz w:val="20"/>
        </w:rPr>
        <w:t>Growth</w:t>
      </w:r>
      <w:r>
        <w:rPr>
          <w:spacing w:val="-4"/>
          <w:w w:val="95"/>
          <w:sz w:val="20"/>
        </w:rPr>
        <w:t xml:space="preserve"> </w:t>
      </w:r>
      <w:r>
        <w:rPr>
          <w:w w:val="95"/>
          <w:sz w:val="20"/>
        </w:rPr>
        <w:t>Infrastructure</w:t>
      </w:r>
      <w:r>
        <w:rPr>
          <w:spacing w:val="-4"/>
          <w:w w:val="95"/>
          <w:sz w:val="20"/>
        </w:rPr>
        <w:t xml:space="preserve"> </w:t>
      </w:r>
      <w:r>
        <w:rPr>
          <w:w w:val="95"/>
          <w:sz w:val="20"/>
        </w:rPr>
        <w:t>Plans</w:t>
      </w:r>
      <w:r>
        <w:rPr>
          <w:spacing w:val="-4"/>
          <w:w w:val="95"/>
          <w:sz w:val="20"/>
        </w:rPr>
        <w:t xml:space="preserve"> </w:t>
      </w:r>
      <w:r>
        <w:rPr>
          <w:w w:val="95"/>
          <w:sz w:val="20"/>
        </w:rPr>
        <w:t>to</w:t>
      </w:r>
      <w:r>
        <w:rPr>
          <w:spacing w:val="-4"/>
          <w:w w:val="95"/>
          <w:sz w:val="20"/>
        </w:rPr>
        <w:t xml:space="preserve"> </w:t>
      </w:r>
      <w:r>
        <w:rPr>
          <w:w w:val="95"/>
          <w:sz w:val="20"/>
        </w:rPr>
        <w:t xml:space="preserve">link </w:t>
      </w:r>
      <w:r>
        <w:rPr>
          <w:sz w:val="20"/>
        </w:rPr>
        <w:t>spatial</w:t>
      </w:r>
      <w:r>
        <w:rPr>
          <w:spacing w:val="-11"/>
          <w:sz w:val="20"/>
        </w:rPr>
        <w:t xml:space="preserve"> </w:t>
      </w:r>
      <w:r>
        <w:rPr>
          <w:sz w:val="20"/>
        </w:rPr>
        <w:t>planning</w:t>
      </w:r>
      <w:r>
        <w:rPr>
          <w:spacing w:val="-11"/>
          <w:sz w:val="20"/>
        </w:rPr>
        <w:t xml:space="preserve"> </w:t>
      </w:r>
      <w:r>
        <w:rPr>
          <w:sz w:val="20"/>
        </w:rPr>
        <w:t>with</w:t>
      </w:r>
      <w:r>
        <w:rPr>
          <w:spacing w:val="-11"/>
          <w:sz w:val="20"/>
        </w:rPr>
        <w:t xml:space="preserve"> </w:t>
      </w:r>
      <w:r>
        <w:rPr>
          <w:sz w:val="20"/>
        </w:rPr>
        <w:t>infrastructure</w:t>
      </w:r>
      <w:r>
        <w:rPr>
          <w:spacing w:val="-11"/>
          <w:sz w:val="20"/>
        </w:rPr>
        <w:t xml:space="preserve"> </w:t>
      </w:r>
      <w:r>
        <w:rPr>
          <w:sz w:val="20"/>
        </w:rPr>
        <w:t>planning</w:t>
      </w:r>
      <w:r>
        <w:rPr>
          <w:spacing w:val="-11"/>
          <w:sz w:val="20"/>
        </w:rPr>
        <w:t xml:space="preserve"> </w:t>
      </w:r>
      <w:r>
        <w:rPr>
          <w:sz w:val="20"/>
        </w:rPr>
        <w:t>and provision in high growth areas</w:t>
      </w:r>
    </w:p>
    <w:p w:rsidR="002C1123" w:rsidRDefault="00F22F94">
      <w:pPr>
        <w:pStyle w:val="ListParagraph"/>
        <w:numPr>
          <w:ilvl w:val="0"/>
          <w:numId w:val="105"/>
        </w:numPr>
        <w:tabs>
          <w:tab w:val="left" w:pos="511"/>
        </w:tabs>
        <w:spacing w:before="103" w:line="249" w:lineRule="auto"/>
        <w:ind w:right="1337"/>
        <w:rPr>
          <w:sz w:val="20"/>
        </w:rPr>
      </w:pPr>
      <w:r>
        <w:rPr>
          <w:w w:val="95"/>
          <w:sz w:val="20"/>
        </w:rPr>
        <w:t>mandating</w:t>
      </w:r>
      <w:r>
        <w:rPr>
          <w:spacing w:val="-1"/>
          <w:w w:val="95"/>
          <w:sz w:val="20"/>
        </w:rPr>
        <w:t xml:space="preserve"> </w:t>
      </w:r>
      <w:r>
        <w:rPr>
          <w:w w:val="95"/>
          <w:sz w:val="20"/>
        </w:rPr>
        <w:t>a</w:t>
      </w:r>
      <w:r>
        <w:rPr>
          <w:spacing w:val="-1"/>
          <w:w w:val="95"/>
          <w:sz w:val="20"/>
        </w:rPr>
        <w:t xml:space="preserve"> </w:t>
      </w:r>
      <w:r>
        <w:rPr>
          <w:w w:val="95"/>
          <w:sz w:val="20"/>
        </w:rPr>
        <w:t>contestable</w:t>
      </w:r>
      <w:r>
        <w:rPr>
          <w:spacing w:val="-1"/>
          <w:w w:val="95"/>
          <w:sz w:val="20"/>
        </w:rPr>
        <w:t xml:space="preserve"> </w:t>
      </w:r>
      <w:r>
        <w:rPr>
          <w:w w:val="95"/>
          <w:sz w:val="20"/>
        </w:rPr>
        <w:t>lead-in</w:t>
      </w:r>
      <w:r>
        <w:rPr>
          <w:spacing w:val="-1"/>
          <w:w w:val="95"/>
          <w:sz w:val="20"/>
        </w:rPr>
        <w:t xml:space="preserve"> </w:t>
      </w:r>
      <w:r>
        <w:rPr>
          <w:w w:val="95"/>
          <w:sz w:val="20"/>
        </w:rPr>
        <w:t xml:space="preserve">infrastructure </w:t>
      </w:r>
      <w:r>
        <w:rPr>
          <w:sz w:val="20"/>
        </w:rPr>
        <w:t>(water and roads) market</w:t>
      </w:r>
    </w:p>
    <w:p w:rsidR="002C1123" w:rsidRDefault="00F22F94">
      <w:pPr>
        <w:pStyle w:val="ListParagraph"/>
        <w:numPr>
          <w:ilvl w:val="0"/>
          <w:numId w:val="105"/>
        </w:numPr>
        <w:tabs>
          <w:tab w:val="left" w:pos="511"/>
        </w:tabs>
        <w:spacing w:before="102" w:line="249" w:lineRule="auto"/>
        <w:ind w:right="838"/>
        <w:rPr>
          <w:sz w:val="20"/>
        </w:rPr>
      </w:pPr>
      <w:r>
        <w:rPr>
          <w:sz w:val="20"/>
        </w:rPr>
        <w:t>creating</w:t>
      </w:r>
      <w:r>
        <w:rPr>
          <w:spacing w:val="-12"/>
          <w:sz w:val="20"/>
        </w:rPr>
        <w:t xml:space="preserve"> </w:t>
      </w:r>
      <w:r>
        <w:rPr>
          <w:sz w:val="20"/>
        </w:rPr>
        <w:t>the</w:t>
      </w:r>
      <w:r>
        <w:rPr>
          <w:spacing w:val="-12"/>
          <w:sz w:val="20"/>
        </w:rPr>
        <w:t xml:space="preserve"> </w:t>
      </w:r>
      <w:r>
        <w:rPr>
          <w:sz w:val="20"/>
        </w:rPr>
        <w:t>Housing</w:t>
      </w:r>
      <w:r>
        <w:rPr>
          <w:spacing w:val="-12"/>
          <w:sz w:val="20"/>
        </w:rPr>
        <w:t xml:space="preserve"> </w:t>
      </w:r>
      <w:r>
        <w:rPr>
          <w:sz w:val="20"/>
        </w:rPr>
        <w:t>Acceleration</w:t>
      </w:r>
      <w:r>
        <w:rPr>
          <w:spacing w:val="-12"/>
          <w:sz w:val="20"/>
        </w:rPr>
        <w:t xml:space="preserve"> </w:t>
      </w:r>
      <w:r>
        <w:rPr>
          <w:sz w:val="20"/>
        </w:rPr>
        <w:t>Fund</w:t>
      </w:r>
      <w:r>
        <w:rPr>
          <w:spacing w:val="-12"/>
          <w:sz w:val="20"/>
        </w:rPr>
        <w:t xml:space="preserve"> </w:t>
      </w:r>
      <w:r>
        <w:rPr>
          <w:sz w:val="20"/>
        </w:rPr>
        <w:t>to</w:t>
      </w:r>
      <w:r>
        <w:rPr>
          <w:spacing w:val="-12"/>
          <w:sz w:val="20"/>
        </w:rPr>
        <w:t xml:space="preserve"> </w:t>
      </w:r>
      <w:r>
        <w:rPr>
          <w:sz w:val="20"/>
        </w:rPr>
        <w:t xml:space="preserve">directly </w:t>
      </w:r>
      <w:r>
        <w:rPr>
          <w:w w:val="95"/>
          <w:sz w:val="20"/>
        </w:rPr>
        <w:t>fund</w:t>
      </w:r>
      <w:r>
        <w:rPr>
          <w:spacing w:val="-5"/>
          <w:w w:val="95"/>
          <w:sz w:val="20"/>
        </w:rPr>
        <w:t xml:space="preserve"> </w:t>
      </w:r>
      <w:r>
        <w:rPr>
          <w:w w:val="95"/>
          <w:sz w:val="20"/>
        </w:rPr>
        <w:t>critical</w:t>
      </w:r>
      <w:r>
        <w:rPr>
          <w:spacing w:val="-5"/>
          <w:w w:val="95"/>
          <w:sz w:val="20"/>
        </w:rPr>
        <w:t xml:space="preserve"> </w:t>
      </w:r>
      <w:r>
        <w:rPr>
          <w:w w:val="95"/>
          <w:sz w:val="20"/>
        </w:rPr>
        <w:t>local</w:t>
      </w:r>
      <w:r>
        <w:rPr>
          <w:spacing w:val="-5"/>
          <w:w w:val="95"/>
          <w:sz w:val="20"/>
        </w:rPr>
        <w:t xml:space="preserve"> </w:t>
      </w:r>
      <w:r>
        <w:rPr>
          <w:w w:val="95"/>
          <w:sz w:val="20"/>
        </w:rPr>
        <w:t>infrastructure</w:t>
      </w:r>
      <w:r>
        <w:rPr>
          <w:spacing w:val="-5"/>
          <w:w w:val="95"/>
          <w:sz w:val="20"/>
        </w:rPr>
        <w:t xml:space="preserve"> </w:t>
      </w:r>
      <w:r>
        <w:rPr>
          <w:w w:val="95"/>
          <w:sz w:val="20"/>
        </w:rPr>
        <w:t>in</w:t>
      </w:r>
      <w:r>
        <w:rPr>
          <w:spacing w:val="-5"/>
          <w:w w:val="95"/>
          <w:sz w:val="20"/>
        </w:rPr>
        <w:t xml:space="preserve"> </w:t>
      </w:r>
      <w:r>
        <w:rPr>
          <w:w w:val="95"/>
          <w:sz w:val="20"/>
        </w:rPr>
        <w:t>high</w:t>
      </w:r>
      <w:r>
        <w:rPr>
          <w:spacing w:val="-5"/>
          <w:w w:val="95"/>
          <w:sz w:val="20"/>
        </w:rPr>
        <w:t xml:space="preserve"> </w:t>
      </w:r>
      <w:r>
        <w:rPr>
          <w:w w:val="95"/>
          <w:sz w:val="20"/>
        </w:rPr>
        <w:t>growth</w:t>
      </w:r>
      <w:r>
        <w:rPr>
          <w:spacing w:val="-5"/>
          <w:w w:val="95"/>
          <w:sz w:val="20"/>
        </w:rPr>
        <w:t xml:space="preserve"> </w:t>
      </w:r>
      <w:r>
        <w:rPr>
          <w:w w:val="95"/>
          <w:sz w:val="20"/>
        </w:rPr>
        <w:t>areas.</w:t>
      </w:r>
    </w:p>
    <w:p w:rsidR="002C1123" w:rsidRDefault="00F22F94">
      <w:pPr>
        <w:pStyle w:val="BodyText"/>
        <w:spacing w:before="115"/>
        <w:ind w:left="226" w:right="688"/>
      </w:pPr>
      <w:r>
        <w:rPr>
          <w:w w:val="95"/>
        </w:rPr>
        <w:t>Infrastructure NSW supports these measures. Barriers still exist to greenfield development, however. Sydney’s vast</w:t>
      </w:r>
      <w:r>
        <w:rPr>
          <w:spacing w:val="-7"/>
          <w:w w:val="95"/>
        </w:rPr>
        <w:t xml:space="preserve"> </w:t>
      </w:r>
      <w:r>
        <w:rPr>
          <w:w w:val="95"/>
        </w:rPr>
        <w:t>size</w:t>
      </w:r>
      <w:r>
        <w:rPr>
          <w:spacing w:val="-7"/>
          <w:w w:val="95"/>
        </w:rPr>
        <w:t xml:space="preserve"> </w:t>
      </w:r>
      <w:r>
        <w:rPr>
          <w:w w:val="95"/>
        </w:rPr>
        <w:t>means</w:t>
      </w:r>
      <w:r>
        <w:rPr>
          <w:spacing w:val="-7"/>
          <w:w w:val="95"/>
        </w:rPr>
        <w:t xml:space="preserve"> </w:t>
      </w:r>
      <w:r>
        <w:rPr>
          <w:w w:val="95"/>
        </w:rPr>
        <w:t>that</w:t>
      </w:r>
      <w:r>
        <w:rPr>
          <w:spacing w:val="-7"/>
          <w:w w:val="95"/>
        </w:rPr>
        <w:t xml:space="preserve"> </w:t>
      </w:r>
      <w:r>
        <w:rPr>
          <w:w w:val="95"/>
        </w:rPr>
        <w:t>many</w:t>
      </w:r>
      <w:r>
        <w:rPr>
          <w:spacing w:val="-7"/>
          <w:w w:val="95"/>
        </w:rPr>
        <w:t xml:space="preserve"> </w:t>
      </w:r>
      <w:r>
        <w:rPr>
          <w:w w:val="95"/>
        </w:rPr>
        <w:t>greenfield</w:t>
      </w:r>
      <w:r>
        <w:rPr>
          <w:spacing w:val="-7"/>
          <w:w w:val="95"/>
        </w:rPr>
        <w:t xml:space="preserve"> </w:t>
      </w:r>
      <w:r>
        <w:rPr>
          <w:w w:val="95"/>
        </w:rPr>
        <w:t>developments</w:t>
      </w:r>
      <w:r>
        <w:rPr>
          <w:spacing w:val="-7"/>
          <w:w w:val="95"/>
        </w:rPr>
        <w:t xml:space="preserve"> </w:t>
      </w:r>
      <w:r>
        <w:rPr>
          <w:w w:val="95"/>
        </w:rPr>
        <w:t xml:space="preserve">can </w:t>
      </w:r>
      <w:r>
        <w:t>be</w:t>
      </w:r>
      <w:r>
        <w:rPr>
          <w:spacing w:val="-7"/>
        </w:rPr>
        <w:t xml:space="preserve"> </w:t>
      </w:r>
      <w:r>
        <w:t>a</w:t>
      </w:r>
      <w:r>
        <w:rPr>
          <w:spacing w:val="-7"/>
        </w:rPr>
        <w:t xml:space="preserve"> </w:t>
      </w:r>
      <w:r>
        <w:t>long</w:t>
      </w:r>
      <w:r>
        <w:rPr>
          <w:spacing w:val="-7"/>
        </w:rPr>
        <w:t xml:space="preserve"> </w:t>
      </w:r>
      <w:r>
        <w:t>way</w:t>
      </w:r>
      <w:r>
        <w:rPr>
          <w:spacing w:val="-7"/>
        </w:rPr>
        <w:t xml:space="preserve"> </w:t>
      </w:r>
      <w:r>
        <w:t>from</w:t>
      </w:r>
      <w:r>
        <w:rPr>
          <w:spacing w:val="-8"/>
        </w:rPr>
        <w:t xml:space="preserve"> </w:t>
      </w:r>
      <w:r>
        <w:t>major</w:t>
      </w:r>
      <w:r>
        <w:rPr>
          <w:spacing w:val="-7"/>
        </w:rPr>
        <w:t xml:space="preserve"> </w:t>
      </w:r>
      <w:r>
        <w:t>employment</w:t>
      </w:r>
      <w:r>
        <w:rPr>
          <w:spacing w:val="-7"/>
        </w:rPr>
        <w:t xml:space="preserve"> </w:t>
      </w:r>
      <w:r>
        <w:t>centres.</w:t>
      </w:r>
    </w:p>
    <w:p w:rsidR="002C1123" w:rsidRDefault="00F22F94">
      <w:pPr>
        <w:pStyle w:val="BodyText"/>
        <w:spacing w:before="113"/>
        <w:ind w:left="226" w:right="718"/>
      </w:pPr>
      <w:r>
        <w:rPr>
          <w:w w:val="95"/>
        </w:rPr>
        <w:t>The</w:t>
      </w:r>
      <w:r>
        <w:rPr>
          <w:spacing w:val="-9"/>
          <w:w w:val="95"/>
        </w:rPr>
        <w:t xml:space="preserve"> </w:t>
      </w:r>
      <w:r>
        <w:rPr>
          <w:w w:val="95"/>
        </w:rPr>
        <w:t>North</w:t>
      </w:r>
      <w:r>
        <w:rPr>
          <w:spacing w:val="-9"/>
          <w:w w:val="95"/>
        </w:rPr>
        <w:t xml:space="preserve"> </w:t>
      </w:r>
      <w:r>
        <w:rPr>
          <w:w w:val="95"/>
        </w:rPr>
        <w:t>West</w:t>
      </w:r>
      <w:r>
        <w:rPr>
          <w:spacing w:val="-9"/>
          <w:w w:val="95"/>
        </w:rPr>
        <w:t xml:space="preserve"> </w:t>
      </w:r>
      <w:r>
        <w:rPr>
          <w:w w:val="95"/>
        </w:rPr>
        <w:t>and</w:t>
      </w:r>
      <w:r>
        <w:rPr>
          <w:spacing w:val="-9"/>
          <w:w w:val="95"/>
        </w:rPr>
        <w:t xml:space="preserve"> </w:t>
      </w:r>
      <w:r>
        <w:rPr>
          <w:w w:val="95"/>
        </w:rPr>
        <w:t>South</w:t>
      </w:r>
      <w:r>
        <w:rPr>
          <w:spacing w:val="-9"/>
          <w:w w:val="95"/>
        </w:rPr>
        <w:t xml:space="preserve"> </w:t>
      </w:r>
      <w:r>
        <w:rPr>
          <w:w w:val="95"/>
        </w:rPr>
        <w:t>West</w:t>
      </w:r>
      <w:r>
        <w:rPr>
          <w:spacing w:val="-9"/>
          <w:w w:val="95"/>
        </w:rPr>
        <w:t xml:space="preserve"> </w:t>
      </w:r>
      <w:r>
        <w:rPr>
          <w:w w:val="95"/>
        </w:rPr>
        <w:t>Rail</w:t>
      </w:r>
      <w:r>
        <w:rPr>
          <w:spacing w:val="-9"/>
          <w:w w:val="95"/>
        </w:rPr>
        <w:t xml:space="preserve"> </w:t>
      </w:r>
      <w:r>
        <w:rPr>
          <w:w w:val="95"/>
        </w:rPr>
        <w:t>Links</w:t>
      </w:r>
      <w:r>
        <w:rPr>
          <w:spacing w:val="-9"/>
          <w:w w:val="95"/>
        </w:rPr>
        <w:t xml:space="preserve"> </w:t>
      </w:r>
      <w:r>
        <w:rPr>
          <w:w w:val="95"/>
        </w:rPr>
        <w:t>will</w:t>
      </w:r>
      <w:r>
        <w:rPr>
          <w:spacing w:val="-9"/>
          <w:w w:val="95"/>
        </w:rPr>
        <w:t xml:space="preserve"> </w:t>
      </w:r>
      <w:r>
        <w:rPr>
          <w:w w:val="95"/>
        </w:rPr>
        <w:t xml:space="preserve">help connect Sydney’s two growth centres to employment </w:t>
      </w:r>
      <w:r>
        <w:rPr>
          <w:w w:val="90"/>
        </w:rPr>
        <w:t xml:space="preserve">opportunities, particularly in Global Sydney. There will also </w:t>
      </w:r>
      <w:r>
        <w:rPr>
          <w:spacing w:val="-2"/>
          <w:w w:val="95"/>
        </w:rPr>
        <w:t>be</w:t>
      </w:r>
      <w:r>
        <w:rPr>
          <w:spacing w:val="-8"/>
          <w:w w:val="95"/>
        </w:rPr>
        <w:t xml:space="preserve"> </w:t>
      </w:r>
      <w:r>
        <w:rPr>
          <w:spacing w:val="-2"/>
          <w:w w:val="95"/>
        </w:rPr>
        <w:t>a</w:t>
      </w:r>
      <w:r>
        <w:rPr>
          <w:spacing w:val="-8"/>
          <w:w w:val="95"/>
        </w:rPr>
        <w:t xml:space="preserve"> </w:t>
      </w:r>
      <w:r>
        <w:rPr>
          <w:spacing w:val="-2"/>
          <w:w w:val="95"/>
        </w:rPr>
        <w:t>need</w:t>
      </w:r>
      <w:r>
        <w:rPr>
          <w:spacing w:val="-8"/>
          <w:w w:val="95"/>
        </w:rPr>
        <w:t xml:space="preserve"> </w:t>
      </w:r>
      <w:r>
        <w:rPr>
          <w:spacing w:val="-2"/>
          <w:w w:val="95"/>
        </w:rPr>
        <w:t>for</w:t>
      </w:r>
      <w:r>
        <w:rPr>
          <w:spacing w:val="-8"/>
          <w:w w:val="95"/>
        </w:rPr>
        <w:t xml:space="preserve"> </w:t>
      </w:r>
      <w:r>
        <w:rPr>
          <w:spacing w:val="-2"/>
          <w:w w:val="95"/>
        </w:rPr>
        <w:t>road</w:t>
      </w:r>
      <w:r>
        <w:rPr>
          <w:spacing w:val="-8"/>
          <w:w w:val="95"/>
        </w:rPr>
        <w:t xml:space="preserve"> </w:t>
      </w:r>
      <w:r>
        <w:rPr>
          <w:spacing w:val="-2"/>
          <w:w w:val="95"/>
        </w:rPr>
        <w:t>investment</w:t>
      </w:r>
      <w:r>
        <w:rPr>
          <w:spacing w:val="-8"/>
          <w:w w:val="95"/>
        </w:rPr>
        <w:t xml:space="preserve"> </w:t>
      </w:r>
      <w:r>
        <w:rPr>
          <w:spacing w:val="-2"/>
          <w:w w:val="95"/>
        </w:rPr>
        <w:t>to</w:t>
      </w:r>
      <w:r>
        <w:rPr>
          <w:spacing w:val="-8"/>
          <w:w w:val="95"/>
        </w:rPr>
        <w:t xml:space="preserve"> </w:t>
      </w:r>
      <w:r>
        <w:rPr>
          <w:spacing w:val="-2"/>
          <w:w w:val="95"/>
        </w:rPr>
        <w:t>improve</w:t>
      </w:r>
      <w:r>
        <w:rPr>
          <w:spacing w:val="-8"/>
          <w:w w:val="95"/>
        </w:rPr>
        <w:t xml:space="preserve"> </w:t>
      </w:r>
      <w:r>
        <w:rPr>
          <w:spacing w:val="-2"/>
          <w:w w:val="95"/>
        </w:rPr>
        <w:t>the</w:t>
      </w:r>
      <w:r>
        <w:rPr>
          <w:spacing w:val="-8"/>
          <w:w w:val="95"/>
        </w:rPr>
        <w:t xml:space="preserve"> </w:t>
      </w:r>
      <w:r>
        <w:rPr>
          <w:spacing w:val="-2"/>
          <w:w w:val="95"/>
        </w:rPr>
        <w:t xml:space="preserve">connectivity </w:t>
      </w:r>
      <w:r>
        <w:rPr>
          <w:w w:val="95"/>
        </w:rPr>
        <w:t>of</w:t>
      </w:r>
      <w:r>
        <w:rPr>
          <w:spacing w:val="-4"/>
          <w:w w:val="95"/>
        </w:rPr>
        <w:t xml:space="preserve"> </w:t>
      </w:r>
      <w:r>
        <w:rPr>
          <w:w w:val="95"/>
        </w:rPr>
        <w:t>these</w:t>
      </w:r>
      <w:r>
        <w:rPr>
          <w:spacing w:val="-4"/>
          <w:w w:val="95"/>
        </w:rPr>
        <w:t xml:space="preserve"> </w:t>
      </w:r>
      <w:r>
        <w:rPr>
          <w:w w:val="95"/>
        </w:rPr>
        <w:t>growth</w:t>
      </w:r>
      <w:r>
        <w:rPr>
          <w:spacing w:val="-4"/>
          <w:w w:val="95"/>
        </w:rPr>
        <w:t xml:space="preserve"> </w:t>
      </w:r>
      <w:r>
        <w:rPr>
          <w:w w:val="95"/>
        </w:rPr>
        <w:t>centres</w:t>
      </w:r>
      <w:r>
        <w:rPr>
          <w:spacing w:val="-4"/>
          <w:w w:val="95"/>
        </w:rPr>
        <w:t xml:space="preserve"> </w:t>
      </w:r>
      <w:r>
        <w:rPr>
          <w:w w:val="95"/>
        </w:rPr>
        <w:t>to</w:t>
      </w:r>
      <w:r>
        <w:rPr>
          <w:spacing w:val="-4"/>
          <w:w w:val="95"/>
        </w:rPr>
        <w:t xml:space="preserve"> </w:t>
      </w:r>
      <w:r>
        <w:rPr>
          <w:w w:val="95"/>
        </w:rPr>
        <w:t>the</w:t>
      </w:r>
      <w:r>
        <w:rPr>
          <w:spacing w:val="-4"/>
          <w:w w:val="95"/>
        </w:rPr>
        <w:t xml:space="preserve"> </w:t>
      </w:r>
      <w:r>
        <w:rPr>
          <w:w w:val="95"/>
        </w:rPr>
        <w:t>existing</w:t>
      </w:r>
      <w:r>
        <w:rPr>
          <w:spacing w:val="-4"/>
          <w:w w:val="95"/>
        </w:rPr>
        <w:t xml:space="preserve"> </w:t>
      </w:r>
      <w:r>
        <w:rPr>
          <w:w w:val="95"/>
        </w:rPr>
        <w:t>urban</w:t>
      </w:r>
      <w:r>
        <w:rPr>
          <w:spacing w:val="-4"/>
          <w:w w:val="95"/>
        </w:rPr>
        <w:t xml:space="preserve"> </w:t>
      </w:r>
      <w:r>
        <w:rPr>
          <w:w w:val="95"/>
        </w:rPr>
        <w:t>area.</w:t>
      </w:r>
    </w:p>
    <w:p w:rsidR="002C1123" w:rsidRDefault="00F22F94">
      <w:pPr>
        <w:pStyle w:val="BodyText"/>
        <w:spacing w:before="114"/>
        <w:ind w:left="226" w:right="718"/>
      </w:pPr>
      <w:r>
        <w:rPr>
          <w:w w:val="95"/>
        </w:rPr>
        <w:t>The</w:t>
      </w:r>
      <w:r>
        <w:rPr>
          <w:spacing w:val="-6"/>
          <w:w w:val="95"/>
        </w:rPr>
        <w:t xml:space="preserve"> </w:t>
      </w:r>
      <w:r>
        <w:rPr>
          <w:w w:val="95"/>
        </w:rPr>
        <w:t>majority</w:t>
      </w:r>
      <w:r>
        <w:rPr>
          <w:spacing w:val="-6"/>
          <w:w w:val="95"/>
        </w:rPr>
        <w:t xml:space="preserve"> </w:t>
      </w:r>
      <w:r>
        <w:rPr>
          <w:w w:val="95"/>
        </w:rPr>
        <w:t>of</w:t>
      </w:r>
      <w:r>
        <w:rPr>
          <w:spacing w:val="-6"/>
          <w:w w:val="95"/>
        </w:rPr>
        <w:t xml:space="preserve"> </w:t>
      </w:r>
      <w:r>
        <w:rPr>
          <w:w w:val="95"/>
        </w:rPr>
        <w:t>housing</w:t>
      </w:r>
      <w:r>
        <w:rPr>
          <w:spacing w:val="-6"/>
          <w:w w:val="95"/>
        </w:rPr>
        <w:t xml:space="preserve"> </w:t>
      </w:r>
      <w:r>
        <w:rPr>
          <w:w w:val="95"/>
        </w:rPr>
        <w:t>growth</w:t>
      </w:r>
      <w:r>
        <w:rPr>
          <w:spacing w:val="-6"/>
          <w:w w:val="95"/>
        </w:rPr>
        <w:t xml:space="preserve"> </w:t>
      </w:r>
      <w:r>
        <w:rPr>
          <w:w w:val="95"/>
        </w:rPr>
        <w:t>is</w:t>
      </w:r>
      <w:r>
        <w:rPr>
          <w:spacing w:val="-6"/>
          <w:w w:val="95"/>
        </w:rPr>
        <w:t xml:space="preserve"> </w:t>
      </w:r>
      <w:r>
        <w:rPr>
          <w:w w:val="95"/>
        </w:rPr>
        <w:t>taking</w:t>
      </w:r>
      <w:r>
        <w:rPr>
          <w:spacing w:val="-6"/>
          <w:w w:val="95"/>
        </w:rPr>
        <w:t xml:space="preserve"> </w:t>
      </w:r>
      <w:r>
        <w:rPr>
          <w:w w:val="95"/>
        </w:rPr>
        <w:t>place</w:t>
      </w:r>
      <w:r>
        <w:rPr>
          <w:spacing w:val="-6"/>
          <w:w w:val="95"/>
        </w:rPr>
        <w:t xml:space="preserve"> </w:t>
      </w:r>
      <w:r>
        <w:rPr>
          <w:w w:val="95"/>
        </w:rPr>
        <w:t>in</w:t>
      </w:r>
      <w:r>
        <w:rPr>
          <w:spacing w:val="-6"/>
          <w:w w:val="95"/>
        </w:rPr>
        <w:t xml:space="preserve"> </w:t>
      </w:r>
      <w:r>
        <w:rPr>
          <w:w w:val="95"/>
        </w:rPr>
        <w:t xml:space="preserve">existing residential areas. In-fill development leverages existing </w:t>
      </w:r>
      <w:r>
        <w:t>transport,</w:t>
      </w:r>
      <w:r>
        <w:rPr>
          <w:spacing w:val="-13"/>
        </w:rPr>
        <w:t xml:space="preserve"> </w:t>
      </w:r>
      <w:r>
        <w:t>utility</w:t>
      </w:r>
      <w:r>
        <w:rPr>
          <w:spacing w:val="-13"/>
        </w:rPr>
        <w:t xml:space="preserve"> </w:t>
      </w:r>
      <w:r>
        <w:t>and</w:t>
      </w:r>
      <w:r>
        <w:rPr>
          <w:spacing w:val="-13"/>
        </w:rPr>
        <w:t xml:space="preserve"> </w:t>
      </w:r>
      <w:r>
        <w:t>social</w:t>
      </w:r>
      <w:r>
        <w:rPr>
          <w:spacing w:val="-13"/>
        </w:rPr>
        <w:t xml:space="preserve"> </w:t>
      </w:r>
      <w:r>
        <w:t>infrastructure</w:t>
      </w:r>
      <w:r>
        <w:rPr>
          <w:spacing w:val="-13"/>
        </w:rPr>
        <w:t xml:space="preserve"> </w:t>
      </w:r>
      <w:r>
        <w:t>systems</w:t>
      </w:r>
      <w:r>
        <w:rPr>
          <w:spacing w:val="-13"/>
        </w:rPr>
        <w:t xml:space="preserve"> </w:t>
      </w:r>
      <w:r>
        <w:t>at</w:t>
      </w:r>
      <w:r>
        <w:rPr>
          <w:spacing w:val="-13"/>
        </w:rPr>
        <w:t xml:space="preserve"> </w:t>
      </w:r>
      <w:r>
        <w:t>a lower</w:t>
      </w:r>
      <w:r>
        <w:rPr>
          <w:spacing w:val="-14"/>
        </w:rPr>
        <w:t xml:space="preserve"> </w:t>
      </w:r>
      <w:r>
        <w:t>cost,</w:t>
      </w:r>
      <w:r>
        <w:rPr>
          <w:spacing w:val="-14"/>
        </w:rPr>
        <w:t xml:space="preserve"> </w:t>
      </w:r>
      <w:r>
        <w:t>helping</w:t>
      </w:r>
      <w:r>
        <w:rPr>
          <w:spacing w:val="-14"/>
        </w:rPr>
        <w:t xml:space="preserve"> </w:t>
      </w:r>
      <w:r>
        <w:t>to</w:t>
      </w:r>
      <w:r>
        <w:rPr>
          <w:spacing w:val="-14"/>
        </w:rPr>
        <w:t xml:space="preserve"> </w:t>
      </w:r>
      <w:r>
        <w:t>increase</w:t>
      </w:r>
      <w:r>
        <w:rPr>
          <w:spacing w:val="-14"/>
        </w:rPr>
        <w:t xml:space="preserve"> </w:t>
      </w:r>
      <w:r>
        <w:t>housing</w:t>
      </w:r>
      <w:r>
        <w:rPr>
          <w:spacing w:val="-14"/>
        </w:rPr>
        <w:t xml:space="preserve"> </w:t>
      </w:r>
      <w:r>
        <w:t>affordability.</w:t>
      </w:r>
    </w:p>
    <w:p w:rsidR="002C1123" w:rsidRDefault="00F22F94">
      <w:pPr>
        <w:pStyle w:val="BodyText"/>
        <w:spacing w:before="113"/>
        <w:ind w:left="226" w:right="718"/>
      </w:pPr>
      <w:r>
        <w:rPr>
          <w:spacing w:val="-2"/>
        </w:rPr>
        <w:t>The</w:t>
      </w:r>
      <w:r>
        <w:rPr>
          <w:spacing w:val="-7"/>
        </w:rPr>
        <w:t xml:space="preserve"> </w:t>
      </w:r>
      <w:r>
        <w:rPr>
          <w:spacing w:val="-2"/>
        </w:rPr>
        <w:t>location</w:t>
      </w:r>
      <w:r>
        <w:rPr>
          <w:spacing w:val="-7"/>
        </w:rPr>
        <w:t xml:space="preserve"> </w:t>
      </w:r>
      <w:r>
        <w:rPr>
          <w:spacing w:val="-2"/>
        </w:rPr>
        <w:t>of</w:t>
      </w:r>
      <w:r>
        <w:rPr>
          <w:spacing w:val="-7"/>
        </w:rPr>
        <w:t xml:space="preserve"> </w:t>
      </w:r>
      <w:r>
        <w:rPr>
          <w:spacing w:val="-2"/>
        </w:rPr>
        <w:t>in-fill</w:t>
      </w:r>
      <w:r>
        <w:rPr>
          <w:spacing w:val="-7"/>
        </w:rPr>
        <w:t xml:space="preserve"> </w:t>
      </w:r>
      <w:r>
        <w:rPr>
          <w:spacing w:val="-2"/>
        </w:rPr>
        <w:t>development</w:t>
      </w:r>
      <w:r>
        <w:rPr>
          <w:spacing w:val="-7"/>
        </w:rPr>
        <w:t xml:space="preserve"> </w:t>
      </w:r>
      <w:r>
        <w:rPr>
          <w:spacing w:val="-2"/>
        </w:rPr>
        <w:t>is</w:t>
      </w:r>
      <w:r>
        <w:rPr>
          <w:spacing w:val="-7"/>
        </w:rPr>
        <w:t xml:space="preserve"> </w:t>
      </w:r>
      <w:r>
        <w:rPr>
          <w:spacing w:val="-2"/>
        </w:rPr>
        <w:t>important.</w:t>
      </w:r>
      <w:r>
        <w:rPr>
          <w:spacing w:val="-7"/>
        </w:rPr>
        <w:t xml:space="preserve"> </w:t>
      </w:r>
      <w:r>
        <w:rPr>
          <w:spacing w:val="-2"/>
        </w:rPr>
        <w:t xml:space="preserve">The </w:t>
      </w:r>
      <w:r>
        <w:rPr>
          <w:w w:val="95"/>
        </w:rPr>
        <w:t>Department</w:t>
      </w:r>
      <w:r>
        <w:rPr>
          <w:spacing w:val="-12"/>
          <w:w w:val="95"/>
        </w:rPr>
        <w:t xml:space="preserve"> </w:t>
      </w:r>
      <w:r>
        <w:rPr>
          <w:w w:val="95"/>
        </w:rPr>
        <w:t>of</w:t>
      </w:r>
      <w:r>
        <w:rPr>
          <w:spacing w:val="-11"/>
          <w:w w:val="95"/>
        </w:rPr>
        <w:t xml:space="preserve"> </w:t>
      </w:r>
      <w:r>
        <w:rPr>
          <w:w w:val="95"/>
        </w:rPr>
        <w:t>Planning</w:t>
      </w:r>
      <w:r>
        <w:rPr>
          <w:spacing w:val="-11"/>
          <w:w w:val="95"/>
        </w:rPr>
        <w:t xml:space="preserve"> </w:t>
      </w:r>
      <w:r>
        <w:rPr>
          <w:w w:val="95"/>
        </w:rPr>
        <w:t>and</w:t>
      </w:r>
      <w:r>
        <w:rPr>
          <w:spacing w:val="-11"/>
          <w:w w:val="95"/>
        </w:rPr>
        <w:t xml:space="preserve"> </w:t>
      </w:r>
      <w:r>
        <w:rPr>
          <w:w w:val="95"/>
        </w:rPr>
        <w:t>Infrastructure</w:t>
      </w:r>
      <w:r>
        <w:rPr>
          <w:spacing w:val="-12"/>
          <w:w w:val="95"/>
        </w:rPr>
        <w:t xml:space="preserve"> </w:t>
      </w:r>
      <w:r>
        <w:rPr>
          <w:w w:val="95"/>
        </w:rPr>
        <w:t>has</w:t>
      </w:r>
      <w:r>
        <w:rPr>
          <w:spacing w:val="-11"/>
          <w:w w:val="95"/>
        </w:rPr>
        <w:t xml:space="preserve"> </w:t>
      </w:r>
      <w:r>
        <w:rPr>
          <w:w w:val="95"/>
        </w:rPr>
        <w:t>examined the relative costs of different in-fill scenarios. Of the</w:t>
      </w:r>
    </w:p>
    <w:p w:rsidR="002C1123" w:rsidRDefault="00F22F94">
      <w:pPr>
        <w:pStyle w:val="BodyText"/>
        <w:ind w:left="226" w:right="718"/>
      </w:pPr>
      <w:r>
        <w:t>cost</w:t>
      </w:r>
      <w:r>
        <w:rPr>
          <w:spacing w:val="-12"/>
        </w:rPr>
        <w:t xml:space="preserve"> </w:t>
      </w:r>
      <w:r>
        <w:t>drivers,</w:t>
      </w:r>
      <w:r>
        <w:rPr>
          <w:spacing w:val="-12"/>
        </w:rPr>
        <w:t xml:space="preserve"> </w:t>
      </w:r>
      <w:r>
        <w:t>transport</w:t>
      </w:r>
      <w:r>
        <w:rPr>
          <w:spacing w:val="-12"/>
        </w:rPr>
        <w:t xml:space="preserve"> </w:t>
      </w:r>
      <w:r>
        <w:t>congestion,</w:t>
      </w:r>
      <w:r>
        <w:rPr>
          <w:spacing w:val="-12"/>
        </w:rPr>
        <w:t xml:space="preserve"> </w:t>
      </w:r>
      <w:r>
        <w:t>crowding</w:t>
      </w:r>
      <w:r>
        <w:rPr>
          <w:spacing w:val="-12"/>
        </w:rPr>
        <w:t xml:space="preserve"> </w:t>
      </w:r>
      <w:r>
        <w:t>and</w:t>
      </w:r>
      <w:r>
        <w:rPr>
          <w:spacing w:val="-12"/>
        </w:rPr>
        <w:t xml:space="preserve"> </w:t>
      </w:r>
      <w:r>
        <w:t>social impacts</w:t>
      </w:r>
      <w:r>
        <w:rPr>
          <w:spacing w:val="-7"/>
        </w:rPr>
        <w:t xml:space="preserve"> </w:t>
      </w:r>
      <w:r>
        <w:t>from</w:t>
      </w:r>
      <w:r>
        <w:rPr>
          <w:spacing w:val="-7"/>
        </w:rPr>
        <w:t xml:space="preserve"> </w:t>
      </w:r>
      <w:r>
        <w:t>transport</w:t>
      </w:r>
      <w:r>
        <w:rPr>
          <w:spacing w:val="-7"/>
        </w:rPr>
        <w:t xml:space="preserve"> </w:t>
      </w:r>
      <w:r>
        <w:t>are</w:t>
      </w:r>
      <w:r>
        <w:rPr>
          <w:spacing w:val="-7"/>
        </w:rPr>
        <w:t xml:space="preserve"> </w:t>
      </w:r>
      <w:r>
        <w:t>most</w:t>
      </w:r>
      <w:r>
        <w:rPr>
          <w:spacing w:val="-7"/>
        </w:rPr>
        <w:t xml:space="preserve"> </w:t>
      </w:r>
      <w:r>
        <w:t>important</w:t>
      </w:r>
      <w:r>
        <w:rPr>
          <w:spacing w:val="-7"/>
        </w:rPr>
        <w:t xml:space="preserve"> </w:t>
      </w:r>
      <w:r>
        <w:t>and</w:t>
      </w:r>
      <w:r>
        <w:rPr>
          <w:spacing w:val="-7"/>
        </w:rPr>
        <w:t xml:space="preserve"> </w:t>
      </w:r>
      <w:r>
        <w:t xml:space="preserve">a </w:t>
      </w:r>
      <w:r>
        <w:rPr>
          <w:w w:val="95"/>
        </w:rPr>
        <w:t>balanced</w:t>
      </w:r>
      <w:r>
        <w:rPr>
          <w:spacing w:val="-5"/>
          <w:w w:val="95"/>
        </w:rPr>
        <w:t xml:space="preserve"> </w:t>
      </w:r>
      <w:r>
        <w:rPr>
          <w:w w:val="95"/>
        </w:rPr>
        <w:t>approach,</w:t>
      </w:r>
      <w:r>
        <w:rPr>
          <w:spacing w:val="-5"/>
          <w:w w:val="95"/>
        </w:rPr>
        <w:t xml:space="preserve"> </w:t>
      </w:r>
      <w:r>
        <w:rPr>
          <w:w w:val="95"/>
        </w:rPr>
        <w:t>where</w:t>
      </w:r>
      <w:r>
        <w:rPr>
          <w:spacing w:val="-5"/>
          <w:w w:val="95"/>
        </w:rPr>
        <w:t xml:space="preserve"> </w:t>
      </w:r>
      <w:r>
        <w:rPr>
          <w:w w:val="95"/>
        </w:rPr>
        <w:t>residential</w:t>
      </w:r>
      <w:r>
        <w:rPr>
          <w:spacing w:val="-5"/>
          <w:w w:val="95"/>
        </w:rPr>
        <w:t xml:space="preserve"> </w:t>
      </w:r>
      <w:r>
        <w:rPr>
          <w:w w:val="95"/>
        </w:rPr>
        <w:t>growth</w:t>
      </w:r>
      <w:r>
        <w:rPr>
          <w:spacing w:val="-5"/>
          <w:w w:val="95"/>
        </w:rPr>
        <w:t xml:space="preserve"> </w:t>
      </w:r>
      <w:r>
        <w:rPr>
          <w:w w:val="95"/>
        </w:rPr>
        <w:t>is</w:t>
      </w:r>
      <w:r>
        <w:rPr>
          <w:spacing w:val="-5"/>
          <w:w w:val="95"/>
        </w:rPr>
        <w:t xml:space="preserve"> </w:t>
      </w:r>
      <w:r>
        <w:rPr>
          <w:w w:val="95"/>
        </w:rPr>
        <w:t xml:space="preserve">focussed </w:t>
      </w:r>
      <w:r>
        <w:t>on</w:t>
      </w:r>
      <w:r>
        <w:rPr>
          <w:spacing w:val="-14"/>
        </w:rPr>
        <w:t xml:space="preserve"> </w:t>
      </w:r>
      <w:r>
        <w:t>local</w:t>
      </w:r>
      <w:r>
        <w:rPr>
          <w:spacing w:val="-14"/>
        </w:rPr>
        <w:t xml:space="preserve"> </w:t>
      </w:r>
      <w:r>
        <w:t>and</w:t>
      </w:r>
      <w:r>
        <w:rPr>
          <w:spacing w:val="-14"/>
        </w:rPr>
        <w:t xml:space="preserve"> </w:t>
      </w:r>
      <w:r>
        <w:t>strategic</w:t>
      </w:r>
      <w:r>
        <w:rPr>
          <w:spacing w:val="-14"/>
        </w:rPr>
        <w:t xml:space="preserve"> </w:t>
      </w:r>
      <w:r>
        <w:t>centres,</w:t>
      </w:r>
      <w:r>
        <w:rPr>
          <w:spacing w:val="-14"/>
        </w:rPr>
        <w:t xml:space="preserve"> </w:t>
      </w:r>
      <w:r>
        <w:t>achieved</w:t>
      </w:r>
      <w:r>
        <w:rPr>
          <w:spacing w:val="-14"/>
        </w:rPr>
        <w:t xml:space="preserve"> </w:t>
      </w:r>
      <w:r>
        <w:t>lowest</w:t>
      </w:r>
      <w:r>
        <w:rPr>
          <w:spacing w:val="-14"/>
        </w:rPr>
        <w:t xml:space="preserve"> </w:t>
      </w:r>
      <w:r>
        <w:t>costs</w:t>
      </w:r>
      <w:r>
        <w:rPr>
          <w:position w:val="7"/>
          <w:sz w:val="11"/>
        </w:rPr>
        <w:t>9</w:t>
      </w:r>
      <w:r>
        <w:t>.</w:t>
      </w:r>
    </w:p>
    <w:p w:rsidR="002C1123" w:rsidRDefault="00F22F94">
      <w:pPr>
        <w:pStyle w:val="BodyText"/>
        <w:spacing w:before="10"/>
        <w:ind w:left="226"/>
      </w:pPr>
      <w:r>
        <w:rPr>
          <w:w w:val="95"/>
        </w:rPr>
        <w:t>Infrastructure</w:t>
      </w:r>
      <w:r>
        <w:rPr>
          <w:spacing w:val="-10"/>
          <w:w w:val="95"/>
        </w:rPr>
        <w:t xml:space="preserve"> </w:t>
      </w:r>
      <w:r>
        <w:rPr>
          <w:w w:val="95"/>
        </w:rPr>
        <w:t>NSW</w:t>
      </w:r>
      <w:r>
        <w:rPr>
          <w:spacing w:val="-9"/>
          <w:w w:val="95"/>
        </w:rPr>
        <w:t xml:space="preserve"> </w:t>
      </w:r>
      <w:r>
        <w:rPr>
          <w:w w:val="95"/>
        </w:rPr>
        <w:t>supports</w:t>
      </w:r>
      <w:r>
        <w:rPr>
          <w:spacing w:val="-10"/>
          <w:w w:val="95"/>
        </w:rPr>
        <w:t xml:space="preserve"> </w:t>
      </w:r>
      <w:r>
        <w:rPr>
          <w:w w:val="95"/>
        </w:rPr>
        <w:t>this</w:t>
      </w:r>
      <w:r>
        <w:rPr>
          <w:spacing w:val="-9"/>
          <w:w w:val="95"/>
        </w:rPr>
        <w:t xml:space="preserve"> </w:t>
      </w:r>
      <w:r>
        <w:rPr>
          <w:spacing w:val="-2"/>
          <w:w w:val="95"/>
        </w:rPr>
        <w:t>approach.</w:t>
      </w:r>
    </w:p>
    <w:p w:rsidR="002C1123" w:rsidRDefault="002C1123">
      <w:pPr>
        <w:sectPr w:rsidR="002C1123">
          <w:type w:val="continuous"/>
          <w:pgSz w:w="16840" w:h="11910" w:orient="landscape"/>
          <w:pgMar w:top="560" w:right="280" w:bottom="280" w:left="500" w:header="0" w:footer="470" w:gutter="0"/>
          <w:cols w:num="3" w:space="720" w:equalWidth="0">
            <w:col w:w="5278" w:space="40"/>
            <w:col w:w="4962" w:space="39"/>
            <w:col w:w="5741"/>
          </w:cols>
        </w:sectPr>
      </w:pPr>
    </w:p>
    <w:p w:rsidR="002C1123" w:rsidRDefault="002C1123">
      <w:pPr>
        <w:pStyle w:val="BodyText"/>
        <w:spacing w:before="1"/>
        <w:rPr>
          <w:sz w:val="5"/>
        </w:rPr>
      </w:pPr>
    </w:p>
    <w:p w:rsidR="002C1123" w:rsidRDefault="002060EF">
      <w:pPr>
        <w:pStyle w:val="BodyText"/>
        <w:spacing w:line="20" w:lineRule="exact"/>
        <w:ind w:left="5518"/>
        <w:rPr>
          <w:sz w:val="2"/>
        </w:rPr>
      </w:pPr>
      <w:r>
        <w:rPr>
          <w:sz w:val="2"/>
        </w:rPr>
      </w:r>
      <w:r>
        <w:rPr>
          <w:sz w:val="2"/>
        </w:rPr>
        <w:pict>
          <v:group id="docshapegroup799" o:spid="_x0000_s4530" style="width:1in;height:.5pt;mso-position-horizontal-relative:char;mso-position-vertical-relative:line" coordsize="1440,10">
            <v:line id="_x0000_s4531" style="position:absolute" from="0,5" to="1440,5" strokecolor="#9c9c9d" strokeweight=".5pt"/>
            <w10:anchorlock/>
          </v:group>
        </w:pict>
      </w:r>
    </w:p>
    <w:p w:rsidR="002C1123" w:rsidRDefault="00F22F94">
      <w:pPr>
        <w:pStyle w:val="ListParagraph"/>
        <w:numPr>
          <w:ilvl w:val="0"/>
          <w:numId w:val="114"/>
        </w:numPr>
        <w:tabs>
          <w:tab w:val="left" w:pos="5718"/>
          <w:tab w:val="left" w:pos="10545"/>
          <w:tab w:val="left" w:pos="11985"/>
        </w:tabs>
        <w:spacing w:before="9" w:line="156" w:lineRule="exact"/>
        <w:ind w:left="5717" w:hanging="200"/>
        <w:jc w:val="left"/>
        <w:rPr>
          <w:sz w:val="14"/>
        </w:rPr>
      </w:pPr>
      <w:r>
        <w:rPr>
          <w:w w:val="95"/>
          <w:sz w:val="14"/>
        </w:rPr>
        <w:t>BIS</w:t>
      </w:r>
      <w:r>
        <w:rPr>
          <w:spacing w:val="-2"/>
          <w:sz w:val="14"/>
        </w:rPr>
        <w:t xml:space="preserve"> </w:t>
      </w:r>
      <w:r>
        <w:rPr>
          <w:w w:val="95"/>
          <w:sz w:val="14"/>
        </w:rPr>
        <w:t>Shrapnel</w:t>
      </w:r>
      <w:r>
        <w:rPr>
          <w:spacing w:val="-2"/>
          <w:sz w:val="14"/>
        </w:rPr>
        <w:t xml:space="preserve"> </w:t>
      </w:r>
      <w:r>
        <w:rPr>
          <w:w w:val="95"/>
          <w:sz w:val="14"/>
        </w:rPr>
        <w:t>and</w:t>
      </w:r>
      <w:r>
        <w:rPr>
          <w:spacing w:val="-2"/>
          <w:sz w:val="14"/>
        </w:rPr>
        <w:t xml:space="preserve"> </w:t>
      </w:r>
      <w:r>
        <w:rPr>
          <w:w w:val="95"/>
          <w:sz w:val="14"/>
        </w:rPr>
        <w:t>Urban</w:t>
      </w:r>
      <w:r>
        <w:rPr>
          <w:spacing w:val="-1"/>
          <w:sz w:val="14"/>
        </w:rPr>
        <w:t xml:space="preserve"> </w:t>
      </w:r>
      <w:r>
        <w:rPr>
          <w:w w:val="95"/>
          <w:sz w:val="14"/>
        </w:rPr>
        <w:t>Taskforce</w:t>
      </w:r>
      <w:r>
        <w:rPr>
          <w:spacing w:val="-2"/>
          <w:sz w:val="14"/>
        </w:rPr>
        <w:t xml:space="preserve"> </w:t>
      </w:r>
      <w:r>
        <w:rPr>
          <w:w w:val="95"/>
          <w:sz w:val="14"/>
        </w:rPr>
        <w:t>2010,</w:t>
      </w:r>
      <w:r>
        <w:rPr>
          <w:spacing w:val="-2"/>
          <w:sz w:val="14"/>
        </w:rPr>
        <w:t xml:space="preserve"> </w:t>
      </w:r>
      <w:r>
        <w:rPr>
          <w:w w:val="95"/>
          <w:sz w:val="14"/>
        </w:rPr>
        <w:t>Going</w:t>
      </w:r>
      <w:r>
        <w:rPr>
          <w:spacing w:val="-1"/>
          <w:sz w:val="14"/>
        </w:rPr>
        <w:t xml:space="preserve"> </w:t>
      </w:r>
      <w:r>
        <w:rPr>
          <w:spacing w:val="-2"/>
          <w:w w:val="95"/>
          <w:sz w:val="14"/>
        </w:rPr>
        <w:t>Nowhere.</w:t>
      </w:r>
      <w:r>
        <w:rPr>
          <w:sz w:val="14"/>
        </w:rPr>
        <w:tab/>
      </w:r>
      <w:r>
        <w:rPr>
          <w:sz w:val="14"/>
          <w:u w:val="single" w:color="9C9C9D"/>
        </w:rPr>
        <w:tab/>
      </w:r>
    </w:p>
    <w:p w:rsidR="002C1123" w:rsidRDefault="002C1123">
      <w:pPr>
        <w:spacing w:line="156" w:lineRule="exact"/>
        <w:rPr>
          <w:sz w:val="14"/>
        </w:rPr>
        <w:sectPr w:rsidR="002C1123">
          <w:type w:val="continuous"/>
          <w:pgSz w:w="16840" w:h="11910" w:orient="landscape"/>
          <w:pgMar w:top="560" w:right="280" w:bottom="280" w:left="500" w:header="0" w:footer="470" w:gutter="0"/>
          <w:cols w:space="720"/>
        </w:sectPr>
      </w:pPr>
    </w:p>
    <w:p w:rsidR="002C1123" w:rsidRDefault="00F22F94">
      <w:pPr>
        <w:pStyle w:val="ListParagraph"/>
        <w:numPr>
          <w:ilvl w:val="0"/>
          <w:numId w:val="114"/>
        </w:numPr>
        <w:tabs>
          <w:tab w:val="left" w:pos="5718"/>
        </w:tabs>
        <w:spacing w:before="4" w:line="161" w:lineRule="exact"/>
        <w:ind w:left="5717" w:hanging="200"/>
        <w:jc w:val="left"/>
        <w:rPr>
          <w:sz w:val="14"/>
        </w:rPr>
      </w:pPr>
      <w:r>
        <w:rPr>
          <w:w w:val="95"/>
          <w:sz w:val="14"/>
        </w:rPr>
        <w:t>Department</w:t>
      </w:r>
      <w:r>
        <w:rPr>
          <w:spacing w:val="4"/>
          <w:sz w:val="14"/>
        </w:rPr>
        <w:t xml:space="preserve"> </w:t>
      </w:r>
      <w:r>
        <w:rPr>
          <w:w w:val="95"/>
          <w:sz w:val="14"/>
        </w:rPr>
        <w:t>of</w:t>
      </w:r>
      <w:r>
        <w:rPr>
          <w:spacing w:val="5"/>
          <w:sz w:val="14"/>
        </w:rPr>
        <w:t xml:space="preserve"> </w:t>
      </w:r>
      <w:r>
        <w:rPr>
          <w:w w:val="95"/>
          <w:sz w:val="14"/>
        </w:rPr>
        <w:t>Planning</w:t>
      </w:r>
      <w:r>
        <w:rPr>
          <w:spacing w:val="5"/>
          <w:sz w:val="14"/>
        </w:rPr>
        <w:t xml:space="preserve"> </w:t>
      </w:r>
      <w:r>
        <w:rPr>
          <w:w w:val="95"/>
          <w:sz w:val="14"/>
        </w:rPr>
        <w:t>and</w:t>
      </w:r>
      <w:r>
        <w:rPr>
          <w:spacing w:val="4"/>
          <w:sz w:val="14"/>
        </w:rPr>
        <w:t xml:space="preserve"> </w:t>
      </w:r>
      <w:r>
        <w:rPr>
          <w:w w:val="95"/>
          <w:sz w:val="14"/>
        </w:rPr>
        <w:t>Infrastructure</w:t>
      </w:r>
      <w:r>
        <w:rPr>
          <w:spacing w:val="5"/>
          <w:sz w:val="14"/>
        </w:rPr>
        <w:t xml:space="preserve"> </w:t>
      </w:r>
      <w:r>
        <w:rPr>
          <w:w w:val="95"/>
          <w:sz w:val="14"/>
        </w:rPr>
        <w:t>2012,</w:t>
      </w:r>
      <w:r>
        <w:rPr>
          <w:spacing w:val="5"/>
          <w:sz w:val="14"/>
        </w:rPr>
        <w:t xml:space="preserve"> </w:t>
      </w:r>
      <w:r>
        <w:rPr>
          <w:w w:val="95"/>
          <w:sz w:val="14"/>
        </w:rPr>
        <w:t>Growth</w:t>
      </w:r>
      <w:r>
        <w:rPr>
          <w:spacing w:val="5"/>
          <w:sz w:val="14"/>
        </w:rPr>
        <w:t xml:space="preserve"> </w:t>
      </w:r>
      <w:r>
        <w:rPr>
          <w:w w:val="95"/>
          <w:sz w:val="14"/>
        </w:rPr>
        <w:t>Infrastructure</w:t>
      </w:r>
      <w:r>
        <w:rPr>
          <w:spacing w:val="4"/>
          <w:sz w:val="14"/>
        </w:rPr>
        <w:t xml:space="preserve"> </w:t>
      </w:r>
      <w:r>
        <w:rPr>
          <w:spacing w:val="-2"/>
          <w:w w:val="95"/>
          <w:sz w:val="14"/>
        </w:rPr>
        <w:t>Plan.</w:t>
      </w:r>
    </w:p>
    <w:p w:rsidR="002C1123" w:rsidRDefault="00F22F94">
      <w:pPr>
        <w:pStyle w:val="ListParagraph"/>
        <w:numPr>
          <w:ilvl w:val="0"/>
          <w:numId w:val="114"/>
        </w:numPr>
        <w:tabs>
          <w:tab w:val="left" w:pos="5718"/>
        </w:tabs>
        <w:spacing w:line="161" w:lineRule="exact"/>
        <w:ind w:left="5717" w:hanging="200"/>
        <w:jc w:val="left"/>
        <w:rPr>
          <w:sz w:val="14"/>
        </w:rPr>
      </w:pPr>
      <w:r>
        <w:rPr>
          <w:w w:val="90"/>
          <w:sz w:val="14"/>
        </w:rPr>
        <w:t>BIS</w:t>
      </w:r>
      <w:r>
        <w:rPr>
          <w:spacing w:val="3"/>
          <w:sz w:val="14"/>
        </w:rPr>
        <w:t xml:space="preserve"> </w:t>
      </w:r>
      <w:r>
        <w:rPr>
          <w:spacing w:val="-2"/>
          <w:sz w:val="14"/>
        </w:rPr>
        <w:t>Shrapnel.</w:t>
      </w:r>
    </w:p>
    <w:p w:rsidR="002C1123" w:rsidRDefault="00F22F94">
      <w:pPr>
        <w:pStyle w:val="ListParagraph"/>
        <w:numPr>
          <w:ilvl w:val="0"/>
          <w:numId w:val="114"/>
        </w:numPr>
        <w:tabs>
          <w:tab w:val="left" w:pos="406"/>
        </w:tabs>
        <w:spacing w:before="4"/>
        <w:ind w:left="405" w:right="882" w:hanging="199"/>
        <w:jc w:val="left"/>
        <w:rPr>
          <w:sz w:val="14"/>
        </w:rPr>
      </w:pPr>
      <w:r>
        <w:br w:type="column"/>
      </w:r>
      <w:r>
        <w:rPr>
          <w:w w:val="95"/>
          <w:sz w:val="14"/>
        </w:rPr>
        <w:t>Centre for International Economics 2012, Costs and benefits of alternative</w:t>
      </w:r>
      <w:r>
        <w:rPr>
          <w:spacing w:val="40"/>
          <w:sz w:val="14"/>
        </w:rPr>
        <w:t xml:space="preserve"> </w:t>
      </w:r>
      <w:r>
        <w:rPr>
          <w:sz w:val="14"/>
        </w:rPr>
        <w:t>strategies for Sydney’s growth, Draft report.</w:t>
      </w:r>
    </w:p>
    <w:p w:rsidR="002C1123" w:rsidRDefault="002C1123">
      <w:pPr>
        <w:rPr>
          <w:sz w:val="14"/>
        </w:rPr>
        <w:sectPr w:rsidR="002C1123">
          <w:type w:val="continuous"/>
          <w:pgSz w:w="16840" w:h="11910" w:orient="landscape"/>
          <w:pgMar w:top="560" w:right="280" w:bottom="280" w:left="500" w:header="0" w:footer="470" w:gutter="0"/>
          <w:cols w:num="2" w:space="720" w:equalWidth="0">
            <w:col w:w="10299" w:space="40"/>
            <w:col w:w="5721"/>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3"/>
        <w:rPr>
          <w:sz w:val="19"/>
        </w:rPr>
      </w:pPr>
    </w:p>
    <w:p w:rsidR="002C1123" w:rsidRDefault="002C1123">
      <w:pPr>
        <w:rPr>
          <w:sz w:val="19"/>
        </w:rPr>
        <w:sectPr w:rsidR="002C1123">
          <w:pgSz w:w="16840" w:h="11910" w:orient="landscape"/>
          <w:pgMar w:top="560" w:right="280" w:bottom="700" w:left="500" w:header="0" w:footer="470" w:gutter="0"/>
          <w:cols w:space="720"/>
        </w:sectPr>
      </w:pPr>
    </w:p>
    <w:p w:rsidR="002C1123" w:rsidRDefault="002C1123">
      <w:pPr>
        <w:pStyle w:val="BodyText"/>
        <w:rPr>
          <w:sz w:val="27"/>
        </w:rPr>
      </w:pPr>
    </w:p>
    <w:p w:rsidR="002C1123" w:rsidRDefault="00F22F94">
      <w:pPr>
        <w:ind w:left="605"/>
        <w:rPr>
          <w:b/>
          <w:sz w:val="18"/>
        </w:rPr>
      </w:pPr>
      <w:bookmarkStart w:id="118" w:name="_bookmark84"/>
      <w:bookmarkEnd w:id="118"/>
      <w:r>
        <w:rPr>
          <w:b/>
          <w:sz w:val="18"/>
        </w:rPr>
        <w:t>Figure</w:t>
      </w:r>
      <w:r>
        <w:rPr>
          <w:b/>
          <w:spacing w:val="-4"/>
          <w:sz w:val="18"/>
        </w:rPr>
        <w:t xml:space="preserve"> </w:t>
      </w:r>
      <w:r>
        <w:rPr>
          <w:b/>
          <w:sz w:val="18"/>
        </w:rPr>
        <w:t>4.4</w:t>
      </w:r>
      <w:r>
        <w:rPr>
          <w:b/>
          <w:spacing w:val="43"/>
          <w:sz w:val="18"/>
        </w:rPr>
        <w:t xml:space="preserve"> </w:t>
      </w:r>
      <w:r>
        <w:rPr>
          <w:b/>
          <w:sz w:val="18"/>
        </w:rPr>
        <w:t>Journeys</w:t>
      </w:r>
      <w:r>
        <w:rPr>
          <w:b/>
          <w:spacing w:val="-3"/>
          <w:sz w:val="18"/>
        </w:rPr>
        <w:t xml:space="preserve"> </w:t>
      </w:r>
      <w:r>
        <w:rPr>
          <w:b/>
          <w:sz w:val="18"/>
        </w:rPr>
        <w:t>to</w:t>
      </w:r>
      <w:r>
        <w:rPr>
          <w:b/>
          <w:spacing w:val="-3"/>
          <w:sz w:val="18"/>
        </w:rPr>
        <w:t xml:space="preserve"> </w:t>
      </w:r>
      <w:r>
        <w:rPr>
          <w:b/>
          <w:sz w:val="18"/>
        </w:rPr>
        <w:t>Work</w:t>
      </w:r>
      <w:r>
        <w:rPr>
          <w:b/>
          <w:spacing w:val="-4"/>
          <w:sz w:val="18"/>
        </w:rPr>
        <w:t xml:space="preserve"> </w:t>
      </w:r>
      <w:r>
        <w:rPr>
          <w:b/>
          <w:sz w:val="18"/>
        </w:rPr>
        <w:t>by</w:t>
      </w:r>
      <w:r>
        <w:rPr>
          <w:b/>
          <w:spacing w:val="-3"/>
          <w:sz w:val="18"/>
        </w:rPr>
        <w:t xml:space="preserve"> </w:t>
      </w:r>
      <w:r>
        <w:rPr>
          <w:b/>
          <w:sz w:val="18"/>
        </w:rPr>
        <w:t>Car</w:t>
      </w:r>
      <w:r>
        <w:rPr>
          <w:b/>
          <w:spacing w:val="-3"/>
          <w:sz w:val="18"/>
        </w:rPr>
        <w:t xml:space="preserve"> </w:t>
      </w:r>
      <w:r>
        <w:rPr>
          <w:b/>
          <w:sz w:val="18"/>
        </w:rPr>
        <w:t>–</w:t>
      </w:r>
      <w:r>
        <w:rPr>
          <w:b/>
          <w:spacing w:val="-4"/>
          <w:sz w:val="18"/>
        </w:rPr>
        <w:t xml:space="preserve"> </w:t>
      </w:r>
      <w:r>
        <w:rPr>
          <w:b/>
          <w:sz w:val="18"/>
        </w:rPr>
        <w:t>percentage</w:t>
      </w:r>
      <w:r>
        <w:rPr>
          <w:b/>
          <w:spacing w:val="-3"/>
          <w:sz w:val="18"/>
        </w:rPr>
        <w:t xml:space="preserve"> </w:t>
      </w:r>
      <w:r>
        <w:rPr>
          <w:b/>
          <w:sz w:val="18"/>
        </w:rPr>
        <w:t>of</w:t>
      </w:r>
      <w:r>
        <w:rPr>
          <w:b/>
          <w:spacing w:val="-3"/>
          <w:sz w:val="18"/>
        </w:rPr>
        <w:t xml:space="preserve"> </w:t>
      </w:r>
      <w:r>
        <w:rPr>
          <w:b/>
          <w:sz w:val="18"/>
        </w:rPr>
        <w:t>all</w:t>
      </w:r>
      <w:r>
        <w:rPr>
          <w:b/>
          <w:spacing w:val="-4"/>
          <w:sz w:val="18"/>
        </w:rPr>
        <w:t xml:space="preserve"> </w:t>
      </w:r>
      <w:r>
        <w:rPr>
          <w:b/>
          <w:spacing w:val="-2"/>
          <w:sz w:val="18"/>
        </w:rPr>
        <w:t>people</w:t>
      </w: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spacing w:before="9"/>
        <w:rPr>
          <w:b/>
          <w:sz w:val="26"/>
        </w:rPr>
      </w:pPr>
    </w:p>
    <w:p w:rsidR="002C1123" w:rsidRDefault="00F22F94">
      <w:pPr>
        <w:spacing w:line="161" w:lineRule="exact"/>
        <w:ind w:left="605"/>
        <w:rPr>
          <w:sz w:val="14"/>
        </w:rPr>
      </w:pPr>
      <w:r>
        <w:rPr>
          <w:w w:val="95"/>
          <w:sz w:val="14"/>
        </w:rPr>
        <w:t>Source:</w:t>
      </w:r>
      <w:r>
        <w:rPr>
          <w:spacing w:val="6"/>
          <w:sz w:val="14"/>
        </w:rPr>
        <w:t xml:space="preserve"> </w:t>
      </w:r>
      <w:r>
        <w:rPr>
          <w:w w:val="95"/>
          <w:sz w:val="14"/>
        </w:rPr>
        <w:t>PSMA</w:t>
      </w:r>
      <w:r>
        <w:rPr>
          <w:spacing w:val="7"/>
          <w:sz w:val="14"/>
        </w:rPr>
        <w:t xml:space="preserve"> </w:t>
      </w:r>
      <w:r>
        <w:rPr>
          <w:spacing w:val="-2"/>
          <w:w w:val="95"/>
          <w:sz w:val="14"/>
        </w:rPr>
        <w:t>Australia.</w:t>
      </w:r>
    </w:p>
    <w:p w:rsidR="002C1123" w:rsidRDefault="00F22F94">
      <w:pPr>
        <w:spacing w:line="161" w:lineRule="exact"/>
        <w:ind w:left="605"/>
        <w:rPr>
          <w:sz w:val="14"/>
        </w:rPr>
      </w:pPr>
      <w:r>
        <w:rPr>
          <w:w w:val="95"/>
          <w:sz w:val="14"/>
        </w:rPr>
        <w:t>Note:</w:t>
      </w:r>
      <w:r>
        <w:rPr>
          <w:spacing w:val="5"/>
          <w:sz w:val="14"/>
        </w:rPr>
        <w:t xml:space="preserve"> </w:t>
      </w:r>
      <w:r>
        <w:rPr>
          <w:w w:val="95"/>
          <w:sz w:val="14"/>
        </w:rPr>
        <w:t>Sub-regional</w:t>
      </w:r>
      <w:r>
        <w:rPr>
          <w:spacing w:val="6"/>
          <w:sz w:val="14"/>
        </w:rPr>
        <w:t xml:space="preserve"> </w:t>
      </w:r>
      <w:r>
        <w:rPr>
          <w:w w:val="95"/>
          <w:sz w:val="14"/>
        </w:rPr>
        <w:t>boundaries</w:t>
      </w:r>
      <w:r>
        <w:rPr>
          <w:spacing w:val="6"/>
          <w:sz w:val="14"/>
        </w:rPr>
        <w:t xml:space="preserve"> </w:t>
      </w:r>
      <w:r>
        <w:rPr>
          <w:w w:val="95"/>
          <w:sz w:val="14"/>
        </w:rPr>
        <w:t>differ</w:t>
      </w:r>
      <w:r>
        <w:rPr>
          <w:spacing w:val="6"/>
          <w:sz w:val="14"/>
        </w:rPr>
        <w:t xml:space="preserve"> </w:t>
      </w:r>
      <w:r>
        <w:rPr>
          <w:w w:val="95"/>
          <w:sz w:val="14"/>
        </w:rPr>
        <w:t>from</w:t>
      </w:r>
      <w:r>
        <w:rPr>
          <w:spacing w:val="6"/>
          <w:sz w:val="14"/>
        </w:rPr>
        <w:t xml:space="preserve"> </w:t>
      </w:r>
      <w:r>
        <w:rPr>
          <w:w w:val="95"/>
          <w:sz w:val="14"/>
        </w:rPr>
        <w:t>Infrastructure</w:t>
      </w:r>
      <w:r>
        <w:rPr>
          <w:spacing w:val="6"/>
          <w:sz w:val="14"/>
        </w:rPr>
        <w:t xml:space="preserve"> </w:t>
      </w:r>
      <w:r>
        <w:rPr>
          <w:w w:val="95"/>
          <w:sz w:val="14"/>
        </w:rPr>
        <w:t>NSW</w:t>
      </w:r>
      <w:r>
        <w:rPr>
          <w:spacing w:val="6"/>
          <w:sz w:val="14"/>
        </w:rPr>
        <w:t xml:space="preserve"> </w:t>
      </w:r>
      <w:r>
        <w:rPr>
          <w:spacing w:val="-2"/>
          <w:w w:val="95"/>
          <w:sz w:val="14"/>
        </w:rPr>
        <w:t>boundaries.</w:t>
      </w:r>
    </w:p>
    <w:p w:rsidR="002C1123" w:rsidRDefault="00F22F94">
      <w:r>
        <w:br w:type="column"/>
      </w:r>
    </w:p>
    <w:p w:rsidR="002C1123" w:rsidRDefault="002C1123">
      <w:pPr>
        <w:pStyle w:val="BodyText"/>
        <w:rPr>
          <w:sz w:val="22"/>
        </w:rPr>
      </w:pPr>
    </w:p>
    <w:p w:rsidR="002C1123" w:rsidRDefault="002C1123">
      <w:pPr>
        <w:pStyle w:val="BodyText"/>
        <w:rPr>
          <w:sz w:val="22"/>
        </w:rPr>
      </w:pPr>
    </w:p>
    <w:p w:rsidR="002C1123" w:rsidRDefault="002C1123">
      <w:pPr>
        <w:pStyle w:val="BodyText"/>
        <w:rPr>
          <w:sz w:val="22"/>
        </w:rPr>
      </w:pPr>
    </w:p>
    <w:p w:rsidR="002C1123" w:rsidRDefault="002C1123">
      <w:pPr>
        <w:pStyle w:val="BodyText"/>
        <w:rPr>
          <w:sz w:val="22"/>
        </w:rPr>
      </w:pPr>
    </w:p>
    <w:p w:rsidR="002C1123" w:rsidRDefault="002C1123">
      <w:pPr>
        <w:pStyle w:val="BodyText"/>
        <w:rPr>
          <w:sz w:val="22"/>
        </w:rPr>
      </w:pPr>
    </w:p>
    <w:p w:rsidR="002C1123" w:rsidRDefault="002C1123">
      <w:pPr>
        <w:pStyle w:val="BodyText"/>
        <w:rPr>
          <w:sz w:val="22"/>
        </w:rPr>
      </w:pPr>
    </w:p>
    <w:p w:rsidR="002C1123" w:rsidRDefault="002C1123">
      <w:pPr>
        <w:pStyle w:val="BodyText"/>
        <w:rPr>
          <w:sz w:val="22"/>
        </w:rPr>
      </w:pPr>
    </w:p>
    <w:p w:rsidR="002C1123" w:rsidRDefault="002C1123">
      <w:pPr>
        <w:pStyle w:val="BodyText"/>
        <w:rPr>
          <w:sz w:val="22"/>
        </w:rPr>
      </w:pPr>
    </w:p>
    <w:p w:rsidR="002C1123" w:rsidRDefault="002C1123">
      <w:pPr>
        <w:pStyle w:val="BodyText"/>
        <w:rPr>
          <w:sz w:val="22"/>
        </w:rPr>
      </w:pPr>
    </w:p>
    <w:p w:rsidR="002C1123" w:rsidRDefault="002C1123">
      <w:pPr>
        <w:pStyle w:val="BodyText"/>
        <w:rPr>
          <w:sz w:val="22"/>
        </w:rPr>
      </w:pPr>
    </w:p>
    <w:p w:rsidR="002C1123" w:rsidRDefault="002C1123">
      <w:pPr>
        <w:pStyle w:val="BodyText"/>
        <w:rPr>
          <w:sz w:val="22"/>
        </w:rPr>
      </w:pPr>
    </w:p>
    <w:p w:rsidR="002C1123" w:rsidRDefault="002C1123">
      <w:pPr>
        <w:pStyle w:val="BodyText"/>
        <w:rPr>
          <w:sz w:val="22"/>
        </w:rPr>
      </w:pPr>
    </w:p>
    <w:p w:rsidR="002C1123" w:rsidRDefault="002C1123">
      <w:pPr>
        <w:pStyle w:val="BodyText"/>
        <w:rPr>
          <w:sz w:val="22"/>
        </w:rPr>
      </w:pPr>
    </w:p>
    <w:p w:rsidR="002C1123" w:rsidRDefault="002C1123">
      <w:pPr>
        <w:pStyle w:val="BodyText"/>
        <w:rPr>
          <w:sz w:val="22"/>
        </w:rPr>
      </w:pPr>
    </w:p>
    <w:p w:rsidR="002C1123" w:rsidRDefault="002C1123">
      <w:pPr>
        <w:pStyle w:val="BodyText"/>
        <w:rPr>
          <w:sz w:val="22"/>
        </w:rPr>
      </w:pPr>
    </w:p>
    <w:p w:rsidR="002C1123" w:rsidRDefault="002C1123">
      <w:pPr>
        <w:pStyle w:val="BodyText"/>
        <w:rPr>
          <w:sz w:val="22"/>
        </w:rPr>
      </w:pPr>
    </w:p>
    <w:p w:rsidR="002C1123" w:rsidRDefault="002C1123">
      <w:pPr>
        <w:pStyle w:val="BodyText"/>
        <w:rPr>
          <w:sz w:val="22"/>
        </w:rPr>
      </w:pPr>
    </w:p>
    <w:p w:rsidR="002C1123" w:rsidRDefault="002C1123">
      <w:pPr>
        <w:pStyle w:val="BodyText"/>
        <w:rPr>
          <w:sz w:val="22"/>
        </w:rPr>
      </w:pPr>
    </w:p>
    <w:p w:rsidR="002C1123" w:rsidRDefault="002C1123">
      <w:pPr>
        <w:pStyle w:val="BodyText"/>
        <w:rPr>
          <w:sz w:val="22"/>
        </w:rPr>
      </w:pPr>
    </w:p>
    <w:p w:rsidR="002C1123" w:rsidRDefault="002C1123">
      <w:pPr>
        <w:pStyle w:val="BodyText"/>
        <w:rPr>
          <w:sz w:val="22"/>
        </w:rPr>
      </w:pPr>
    </w:p>
    <w:p w:rsidR="002C1123" w:rsidRDefault="002C1123">
      <w:pPr>
        <w:pStyle w:val="BodyText"/>
        <w:rPr>
          <w:sz w:val="22"/>
        </w:rPr>
      </w:pPr>
    </w:p>
    <w:p w:rsidR="002C1123" w:rsidRDefault="002C1123">
      <w:pPr>
        <w:pStyle w:val="BodyText"/>
        <w:rPr>
          <w:sz w:val="22"/>
        </w:rPr>
      </w:pPr>
    </w:p>
    <w:p w:rsidR="002C1123" w:rsidRDefault="002C1123">
      <w:pPr>
        <w:pStyle w:val="BodyText"/>
        <w:rPr>
          <w:sz w:val="22"/>
        </w:rPr>
      </w:pPr>
    </w:p>
    <w:p w:rsidR="002C1123" w:rsidRDefault="002C1123">
      <w:pPr>
        <w:pStyle w:val="BodyText"/>
        <w:rPr>
          <w:sz w:val="22"/>
        </w:rPr>
      </w:pPr>
    </w:p>
    <w:p w:rsidR="002C1123" w:rsidRDefault="002C1123">
      <w:pPr>
        <w:pStyle w:val="BodyText"/>
        <w:spacing w:before="9"/>
        <w:rPr>
          <w:sz w:val="31"/>
        </w:rPr>
      </w:pPr>
    </w:p>
    <w:p w:rsidR="002C1123" w:rsidRDefault="00F22F94">
      <w:pPr>
        <w:pStyle w:val="BodyText"/>
        <w:spacing w:line="215" w:lineRule="exact"/>
        <w:ind w:left="605"/>
      </w:pPr>
      <w:r>
        <w:rPr>
          <w:color w:val="2E3092"/>
          <w:w w:val="80"/>
        </w:rPr>
        <w:t>Percentage</w:t>
      </w:r>
      <w:r>
        <w:rPr>
          <w:color w:val="2E3092"/>
          <w:spacing w:val="4"/>
        </w:rPr>
        <w:t xml:space="preserve"> </w:t>
      </w:r>
      <w:r>
        <w:rPr>
          <w:color w:val="2E3092"/>
          <w:spacing w:val="-2"/>
          <w:w w:val="95"/>
        </w:rPr>
        <w:t>journey</w:t>
      </w:r>
    </w:p>
    <w:p w:rsidR="002C1123" w:rsidRDefault="00F22F94">
      <w:pPr>
        <w:pStyle w:val="BodyText"/>
        <w:spacing w:line="215" w:lineRule="exact"/>
        <w:ind w:left="605"/>
      </w:pPr>
      <w:r>
        <w:rPr>
          <w:color w:val="2E3092"/>
          <w:w w:val="85"/>
        </w:rPr>
        <w:t>to</w:t>
      </w:r>
      <w:r>
        <w:rPr>
          <w:color w:val="2E3092"/>
          <w:spacing w:val="-3"/>
          <w:w w:val="85"/>
        </w:rPr>
        <w:t xml:space="preserve"> </w:t>
      </w:r>
      <w:r>
        <w:rPr>
          <w:color w:val="2E3092"/>
          <w:w w:val="85"/>
        </w:rPr>
        <w:t>work</w:t>
      </w:r>
      <w:r>
        <w:rPr>
          <w:color w:val="2E3092"/>
          <w:spacing w:val="-2"/>
          <w:w w:val="85"/>
        </w:rPr>
        <w:t xml:space="preserve"> </w:t>
      </w:r>
      <w:r>
        <w:rPr>
          <w:color w:val="2E3092"/>
          <w:w w:val="85"/>
        </w:rPr>
        <w:t>by</w:t>
      </w:r>
      <w:r>
        <w:rPr>
          <w:color w:val="2E3092"/>
          <w:spacing w:val="-2"/>
          <w:w w:val="85"/>
        </w:rPr>
        <w:t xml:space="preserve"> </w:t>
      </w:r>
      <w:r>
        <w:rPr>
          <w:color w:val="2E3092"/>
          <w:w w:val="85"/>
        </w:rPr>
        <w:t>car</w:t>
      </w:r>
      <w:r>
        <w:rPr>
          <w:color w:val="2E3092"/>
          <w:spacing w:val="-2"/>
          <w:w w:val="85"/>
        </w:rPr>
        <w:t xml:space="preserve"> (percent)</w:t>
      </w:r>
    </w:p>
    <w:p w:rsidR="002C1123" w:rsidRDefault="00F22F94">
      <w:pPr>
        <w:spacing w:before="60"/>
        <w:ind w:left="1143" w:right="818"/>
        <w:jc w:val="center"/>
        <w:rPr>
          <w:sz w:val="16"/>
        </w:rPr>
      </w:pPr>
      <w:r>
        <w:rPr>
          <w:w w:val="85"/>
          <w:sz w:val="16"/>
        </w:rPr>
        <w:t>16-</w:t>
      </w:r>
      <w:r>
        <w:rPr>
          <w:spacing w:val="-5"/>
          <w:sz w:val="16"/>
        </w:rPr>
        <w:t>32</w:t>
      </w:r>
    </w:p>
    <w:p w:rsidR="002C1123" w:rsidRDefault="00F22F94">
      <w:pPr>
        <w:spacing w:before="36"/>
        <w:ind w:left="1147" w:right="818"/>
        <w:jc w:val="center"/>
        <w:rPr>
          <w:sz w:val="16"/>
        </w:rPr>
      </w:pPr>
      <w:r>
        <w:rPr>
          <w:w w:val="85"/>
          <w:sz w:val="16"/>
        </w:rPr>
        <w:t>32-</w:t>
      </w:r>
      <w:r>
        <w:rPr>
          <w:spacing w:val="-5"/>
          <w:sz w:val="16"/>
        </w:rPr>
        <w:t>57</w:t>
      </w:r>
    </w:p>
    <w:p w:rsidR="002C1123" w:rsidRDefault="00F22F94">
      <w:pPr>
        <w:spacing w:before="36"/>
        <w:ind w:left="1143" w:right="818"/>
        <w:jc w:val="center"/>
        <w:rPr>
          <w:sz w:val="16"/>
        </w:rPr>
      </w:pPr>
      <w:r>
        <w:rPr>
          <w:w w:val="85"/>
          <w:sz w:val="16"/>
        </w:rPr>
        <w:t>57-</w:t>
      </w:r>
      <w:r>
        <w:rPr>
          <w:spacing w:val="-5"/>
          <w:sz w:val="16"/>
        </w:rPr>
        <w:t>66</w:t>
      </w:r>
    </w:p>
    <w:p w:rsidR="002C1123" w:rsidRDefault="00F22F94">
      <w:pPr>
        <w:spacing w:before="36"/>
        <w:ind w:left="1144" w:right="818"/>
        <w:jc w:val="center"/>
        <w:rPr>
          <w:sz w:val="16"/>
        </w:rPr>
      </w:pPr>
      <w:r>
        <w:rPr>
          <w:w w:val="85"/>
          <w:sz w:val="16"/>
        </w:rPr>
        <w:t>66-</w:t>
      </w:r>
      <w:r>
        <w:rPr>
          <w:spacing w:val="-5"/>
          <w:w w:val="95"/>
          <w:sz w:val="16"/>
        </w:rPr>
        <w:t>76</w:t>
      </w:r>
    </w:p>
    <w:p w:rsidR="002C1123" w:rsidRDefault="00F22F94">
      <w:pPr>
        <w:spacing w:before="36"/>
        <w:ind w:left="1148" w:right="813"/>
        <w:jc w:val="center"/>
        <w:rPr>
          <w:sz w:val="16"/>
        </w:rPr>
      </w:pPr>
      <w:r>
        <w:rPr>
          <w:w w:val="85"/>
          <w:sz w:val="16"/>
        </w:rPr>
        <w:t>76-</w:t>
      </w:r>
      <w:r>
        <w:rPr>
          <w:spacing w:val="-5"/>
          <w:sz w:val="16"/>
        </w:rPr>
        <w:t>84</w:t>
      </w:r>
    </w:p>
    <w:p w:rsidR="002C1123" w:rsidRDefault="00F22F94">
      <w:pPr>
        <w:pStyle w:val="Heading6"/>
        <w:numPr>
          <w:ilvl w:val="2"/>
          <w:numId w:val="106"/>
        </w:numPr>
        <w:tabs>
          <w:tab w:val="left" w:pos="932"/>
        </w:tabs>
        <w:ind w:left="931" w:hanging="487"/>
        <w:jc w:val="left"/>
      </w:pPr>
      <w:r>
        <w:rPr>
          <w:b w:val="0"/>
        </w:rPr>
        <w:br w:type="column"/>
      </w:r>
      <w:r>
        <w:rPr>
          <w:color w:val="EC008C"/>
          <w:w w:val="95"/>
        </w:rPr>
        <w:t>Transport</w:t>
      </w:r>
      <w:r>
        <w:rPr>
          <w:color w:val="EC008C"/>
          <w:spacing w:val="-7"/>
          <w:w w:val="95"/>
        </w:rPr>
        <w:t xml:space="preserve"> </w:t>
      </w:r>
      <w:r>
        <w:rPr>
          <w:color w:val="EC008C"/>
          <w:spacing w:val="-2"/>
        </w:rPr>
        <w:t>Infrastructure</w:t>
      </w:r>
    </w:p>
    <w:p w:rsidR="002C1123" w:rsidRDefault="002060EF">
      <w:pPr>
        <w:pStyle w:val="BodyText"/>
        <w:spacing w:before="95" w:line="249" w:lineRule="auto"/>
        <w:ind w:left="445" w:right="738"/>
      </w:pPr>
      <w:r>
        <w:pict>
          <v:group id="docshapegroup800" o:spid="_x0000_s4522" style="position:absolute;left:0;text-align:left;margin-left:49.6pt;margin-top:-9.25pt;width:491.35pt;height:411.05pt;z-index:-251508736;mso-position-horizontal-relative:page" coordorigin="992,-185" coordsize="9827,8221">
            <v:rect id="docshape801" o:spid="_x0000_s4529" style="position:absolute;left:992;top:-186;width:9827;height:8221" fillcolor="#e1e0e1" stroked="f"/>
            <v:shape id="docshape802" o:spid="_x0000_s4528" type="#_x0000_t75" style="position:absolute;left:1095;top:826;width:8756;height:5875">
              <v:imagedata r:id="rId109" o:title=""/>
            </v:shape>
            <v:rect id="docshape803" o:spid="_x0000_s4527" style="position:absolute;left:8789;top:7066;width:429;height:175" fillcolor="#9c9c9d" stroked="f"/>
            <v:rect id="docshape804" o:spid="_x0000_s4526" style="position:absolute;left:8789;top:7285;width:429;height:175" fillcolor="#8781bd" stroked="f"/>
            <v:rect id="docshape805" o:spid="_x0000_s4525" style="position:absolute;left:8789;top:7505;width:429;height:175" fillcolor="#5b57a6" stroked="f"/>
            <v:rect id="docshape806" o:spid="_x0000_s4524" style="position:absolute;left:8789;top:7725;width:429;height:175" fillcolor="#2e3092" stroked="f"/>
            <v:rect id="docshape807" o:spid="_x0000_s4523" style="position:absolute;left:8789;top:6846;width:429;height:175" fillcolor="#b2b1b3" stroked="f"/>
            <w10:wrap anchorx="page"/>
          </v:group>
        </w:pict>
      </w:r>
      <w:r w:rsidR="00F22F94">
        <w:rPr>
          <w:w w:val="95"/>
        </w:rPr>
        <w:t>Infrastructure</w:t>
      </w:r>
      <w:r w:rsidR="00F22F94">
        <w:rPr>
          <w:spacing w:val="-4"/>
          <w:w w:val="95"/>
        </w:rPr>
        <w:t xml:space="preserve"> </w:t>
      </w:r>
      <w:r w:rsidR="00F22F94">
        <w:rPr>
          <w:w w:val="95"/>
        </w:rPr>
        <w:t>NSW</w:t>
      </w:r>
      <w:r w:rsidR="00F22F94">
        <w:rPr>
          <w:spacing w:val="-4"/>
          <w:w w:val="95"/>
        </w:rPr>
        <w:t xml:space="preserve"> </w:t>
      </w:r>
      <w:r w:rsidR="00F22F94">
        <w:rPr>
          <w:w w:val="95"/>
        </w:rPr>
        <w:t>has</w:t>
      </w:r>
      <w:r w:rsidR="00F22F94">
        <w:rPr>
          <w:spacing w:val="-4"/>
          <w:w w:val="95"/>
        </w:rPr>
        <w:t xml:space="preserve"> </w:t>
      </w:r>
      <w:r w:rsidR="00F22F94">
        <w:rPr>
          <w:w w:val="95"/>
        </w:rPr>
        <w:t>taken</w:t>
      </w:r>
      <w:r w:rsidR="00F22F94">
        <w:rPr>
          <w:spacing w:val="-4"/>
          <w:w w:val="95"/>
        </w:rPr>
        <w:t xml:space="preserve"> </w:t>
      </w:r>
      <w:r w:rsidR="00F22F94">
        <w:rPr>
          <w:w w:val="95"/>
        </w:rPr>
        <w:t>a</w:t>
      </w:r>
      <w:r w:rsidR="00F22F94">
        <w:rPr>
          <w:spacing w:val="-4"/>
          <w:w w:val="95"/>
        </w:rPr>
        <w:t xml:space="preserve"> </w:t>
      </w:r>
      <w:r w:rsidR="00F22F94">
        <w:rPr>
          <w:w w:val="95"/>
        </w:rPr>
        <w:t>mode</w:t>
      </w:r>
      <w:r w:rsidR="00F22F94">
        <w:rPr>
          <w:spacing w:val="-4"/>
          <w:w w:val="95"/>
        </w:rPr>
        <w:t xml:space="preserve"> </w:t>
      </w:r>
      <w:r w:rsidR="00F22F94">
        <w:rPr>
          <w:w w:val="95"/>
        </w:rPr>
        <w:t>neutral</w:t>
      </w:r>
      <w:r w:rsidR="00F22F94">
        <w:rPr>
          <w:spacing w:val="-4"/>
          <w:w w:val="95"/>
        </w:rPr>
        <w:t xml:space="preserve"> </w:t>
      </w:r>
      <w:r w:rsidR="00F22F94">
        <w:rPr>
          <w:w w:val="95"/>
        </w:rPr>
        <w:t xml:space="preserve">approach </w:t>
      </w:r>
      <w:r w:rsidR="00F22F94">
        <w:t>to</w:t>
      </w:r>
      <w:r w:rsidR="00F22F94">
        <w:rPr>
          <w:spacing w:val="-14"/>
        </w:rPr>
        <w:t xml:space="preserve"> </w:t>
      </w:r>
      <w:r w:rsidR="00F22F94">
        <w:t>its</w:t>
      </w:r>
      <w:r w:rsidR="00F22F94">
        <w:rPr>
          <w:spacing w:val="-14"/>
        </w:rPr>
        <w:t xml:space="preserve"> </w:t>
      </w:r>
      <w:r w:rsidR="00F22F94">
        <w:t>assessment</w:t>
      </w:r>
      <w:r w:rsidR="00F22F94">
        <w:rPr>
          <w:spacing w:val="-14"/>
        </w:rPr>
        <w:t xml:space="preserve"> </w:t>
      </w:r>
      <w:r w:rsidR="00F22F94">
        <w:t>of</w:t>
      </w:r>
      <w:r w:rsidR="00F22F94">
        <w:rPr>
          <w:spacing w:val="-14"/>
        </w:rPr>
        <w:t xml:space="preserve"> </w:t>
      </w:r>
      <w:r w:rsidR="00F22F94">
        <w:t>transport</w:t>
      </w:r>
      <w:r w:rsidR="00F22F94">
        <w:rPr>
          <w:spacing w:val="-14"/>
        </w:rPr>
        <w:t xml:space="preserve"> </w:t>
      </w:r>
      <w:r w:rsidR="00F22F94">
        <w:t>infrastructure</w:t>
      </w:r>
      <w:r w:rsidR="00F22F94">
        <w:rPr>
          <w:spacing w:val="-14"/>
        </w:rPr>
        <w:t xml:space="preserve"> </w:t>
      </w:r>
      <w:r w:rsidR="00F22F94">
        <w:t>options</w:t>
      </w:r>
      <w:r w:rsidR="00F22F94">
        <w:rPr>
          <w:spacing w:val="-14"/>
        </w:rPr>
        <w:t xml:space="preserve"> </w:t>
      </w:r>
      <w:r w:rsidR="00F22F94">
        <w:t>in this</w:t>
      </w:r>
      <w:r w:rsidR="00F22F94">
        <w:rPr>
          <w:spacing w:val="-13"/>
        </w:rPr>
        <w:t xml:space="preserve"> </w:t>
      </w:r>
      <w:r w:rsidR="00F22F94">
        <w:t>strategy.</w:t>
      </w:r>
      <w:r w:rsidR="00F22F94">
        <w:rPr>
          <w:spacing w:val="-13"/>
        </w:rPr>
        <w:t xml:space="preserve"> </w:t>
      </w:r>
      <w:r w:rsidR="00F22F94">
        <w:t>This</w:t>
      </w:r>
      <w:r w:rsidR="00F22F94">
        <w:rPr>
          <w:spacing w:val="-13"/>
        </w:rPr>
        <w:t xml:space="preserve"> </w:t>
      </w:r>
      <w:r w:rsidR="00F22F94">
        <w:t>approach</w:t>
      </w:r>
      <w:r w:rsidR="00F22F94">
        <w:rPr>
          <w:spacing w:val="-13"/>
        </w:rPr>
        <w:t xml:space="preserve"> </w:t>
      </w:r>
      <w:r w:rsidR="00F22F94">
        <w:t>recognises</w:t>
      </w:r>
      <w:r w:rsidR="00F22F94">
        <w:rPr>
          <w:spacing w:val="-13"/>
        </w:rPr>
        <w:t xml:space="preserve"> </w:t>
      </w:r>
      <w:r w:rsidR="00F22F94">
        <w:t>that</w:t>
      </w:r>
      <w:r w:rsidR="00F22F94">
        <w:rPr>
          <w:spacing w:val="-13"/>
        </w:rPr>
        <w:t xml:space="preserve"> </w:t>
      </w:r>
      <w:r w:rsidR="00F22F94">
        <w:t>road</w:t>
      </w:r>
      <w:r w:rsidR="00F22F94">
        <w:rPr>
          <w:spacing w:val="-13"/>
        </w:rPr>
        <w:t xml:space="preserve"> </w:t>
      </w:r>
      <w:r w:rsidR="00F22F94">
        <w:t xml:space="preserve">and </w:t>
      </w:r>
      <w:r w:rsidR="00F22F94">
        <w:rPr>
          <w:w w:val="95"/>
        </w:rPr>
        <w:t xml:space="preserve">rail networks are mostly complementary to each other, </w:t>
      </w:r>
      <w:r w:rsidR="00F22F94">
        <w:t>rather than in competition.</w:t>
      </w:r>
    </w:p>
    <w:p w:rsidR="002C1123" w:rsidRDefault="00F22F94">
      <w:pPr>
        <w:pStyle w:val="BodyText"/>
        <w:spacing w:before="146" w:line="249" w:lineRule="auto"/>
        <w:ind w:left="445" w:right="738"/>
      </w:pPr>
      <w:r>
        <w:t>The</w:t>
      </w:r>
      <w:r>
        <w:rPr>
          <w:spacing w:val="-12"/>
        </w:rPr>
        <w:t xml:space="preserve"> </w:t>
      </w:r>
      <w:r>
        <w:t>travel</w:t>
      </w:r>
      <w:r>
        <w:rPr>
          <w:spacing w:val="-12"/>
        </w:rPr>
        <w:t xml:space="preserve"> </w:t>
      </w:r>
      <w:r>
        <w:t>flows</w:t>
      </w:r>
      <w:r>
        <w:rPr>
          <w:spacing w:val="-12"/>
        </w:rPr>
        <w:t xml:space="preserve"> </w:t>
      </w:r>
      <w:r>
        <w:t>and</w:t>
      </w:r>
      <w:r>
        <w:rPr>
          <w:spacing w:val="-12"/>
        </w:rPr>
        <w:t xml:space="preserve"> </w:t>
      </w:r>
      <w:r>
        <w:t>transport</w:t>
      </w:r>
      <w:r>
        <w:rPr>
          <w:spacing w:val="-12"/>
        </w:rPr>
        <w:t xml:space="preserve"> </w:t>
      </w:r>
      <w:r>
        <w:t>infrastructure</w:t>
      </w:r>
      <w:r>
        <w:rPr>
          <w:spacing w:val="-12"/>
        </w:rPr>
        <w:t xml:space="preserve"> </w:t>
      </w:r>
      <w:r>
        <w:t>demands created</w:t>
      </w:r>
      <w:r>
        <w:rPr>
          <w:spacing w:val="-6"/>
        </w:rPr>
        <w:t xml:space="preserve"> </w:t>
      </w:r>
      <w:r>
        <w:t>by</w:t>
      </w:r>
      <w:r>
        <w:rPr>
          <w:spacing w:val="-6"/>
        </w:rPr>
        <w:t xml:space="preserve"> </w:t>
      </w:r>
      <w:r>
        <w:t>the</w:t>
      </w:r>
      <w:r>
        <w:rPr>
          <w:spacing w:val="-6"/>
        </w:rPr>
        <w:t xml:space="preserve"> </w:t>
      </w:r>
      <w:r>
        <w:t>dispersed</w:t>
      </w:r>
      <w:r>
        <w:rPr>
          <w:spacing w:val="-6"/>
        </w:rPr>
        <w:t xml:space="preserve"> </w:t>
      </w:r>
      <w:r>
        <w:t>housing</w:t>
      </w:r>
      <w:r>
        <w:rPr>
          <w:spacing w:val="-6"/>
        </w:rPr>
        <w:t xml:space="preserve"> </w:t>
      </w:r>
      <w:r>
        <w:t>and</w:t>
      </w:r>
      <w:r>
        <w:rPr>
          <w:spacing w:val="-6"/>
        </w:rPr>
        <w:t xml:space="preserve"> </w:t>
      </w:r>
      <w:r>
        <w:t>employment patterns</w:t>
      </w:r>
      <w:r>
        <w:rPr>
          <w:spacing w:val="-13"/>
        </w:rPr>
        <w:t xml:space="preserve"> </w:t>
      </w:r>
      <w:r>
        <w:t>of</w:t>
      </w:r>
      <w:r>
        <w:rPr>
          <w:spacing w:val="-13"/>
        </w:rPr>
        <w:t xml:space="preserve"> </w:t>
      </w:r>
      <w:r>
        <w:t>Greater</w:t>
      </w:r>
      <w:r>
        <w:rPr>
          <w:spacing w:val="-13"/>
        </w:rPr>
        <w:t xml:space="preserve"> </w:t>
      </w:r>
      <w:r>
        <w:t>Sydney</w:t>
      </w:r>
      <w:r>
        <w:rPr>
          <w:spacing w:val="-13"/>
        </w:rPr>
        <w:t xml:space="preserve"> </w:t>
      </w:r>
      <w:r>
        <w:t>are</w:t>
      </w:r>
      <w:r>
        <w:rPr>
          <w:spacing w:val="-13"/>
        </w:rPr>
        <w:t xml:space="preserve"> </w:t>
      </w:r>
      <w:r>
        <w:t>complex.</w:t>
      </w:r>
      <w:r>
        <w:rPr>
          <w:spacing w:val="-13"/>
        </w:rPr>
        <w:t xml:space="preserve"> </w:t>
      </w:r>
      <w:r>
        <w:t xml:space="preserve">Historic </w:t>
      </w:r>
      <w:r>
        <w:rPr>
          <w:w w:val="95"/>
        </w:rPr>
        <w:t xml:space="preserve">assumptions about Sydneysiders commuting to a single </w:t>
      </w:r>
      <w:r>
        <w:t>central</w:t>
      </w:r>
      <w:r>
        <w:rPr>
          <w:spacing w:val="-10"/>
        </w:rPr>
        <w:t xml:space="preserve"> </w:t>
      </w:r>
      <w:r>
        <w:t>business</w:t>
      </w:r>
      <w:r>
        <w:rPr>
          <w:spacing w:val="-10"/>
        </w:rPr>
        <w:t xml:space="preserve"> </w:t>
      </w:r>
      <w:r>
        <w:t>district</w:t>
      </w:r>
      <w:r>
        <w:rPr>
          <w:spacing w:val="-10"/>
        </w:rPr>
        <w:t xml:space="preserve"> </w:t>
      </w:r>
      <w:r>
        <w:t>by</w:t>
      </w:r>
      <w:r>
        <w:rPr>
          <w:spacing w:val="-10"/>
        </w:rPr>
        <w:t xml:space="preserve"> </w:t>
      </w:r>
      <w:r>
        <w:t>mass</w:t>
      </w:r>
      <w:r>
        <w:rPr>
          <w:spacing w:val="-10"/>
        </w:rPr>
        <w:t xml:space="preserve"> </w:t>
      </w:r>
      <w:r>
        <w:t>transit</w:t>
      </w:r>
      <w:r>
        <w:rPr>
          <w:spacing w:val="-10"/>
        </w:rPr>
        <w:t xml:space="preserve"> </w:t>
      </w:r>
      <w:r>
        <w:t>do</w:t>
      </w:r>
      <w:r>
        <w:rPr>
          <w:spacing w:val="-10"/>
        </w:rPr>
        <w:t xml:space="preserve"> </w:t>
      </w:r>
      <w:r>
        <w:t>not</w:t>
      </w:r>
      <w:r>
        <w:rPr>
          <w:spacing w:val="-10"/>
        </w:rPr>
        <w:t xml:space="preserve"> </w:t>
      </w:r>
      <w:r>
        <w:t>reflect the</w:t>
      </w:r>
      <w:r>
        <w:rPr>
          <w:spacing w:val="-14"/>
        </w:rPr>
        <w:t xml:space="preserve"> </w:t>
      </w:r>
      <w:r>
        <w:t>current</w:t>
      </w:r>
      <w:r>
        <w:rPr>
          <w:spacing w:val="-14"/>
        </w:rPr>
        <w:t xml:space="preserve"> </w:t>
      </w:r>
      <w:r>
        <w:t>position.</w:t>
      </w:r>
      <w:r>
        <w:rPr>
          <w:spacing w:val="-14"/>
        </w:rPr>
        <w:t xml:space="preserve"> </w:t>
      </w:r>
      <w:r>
        <w:t>While</w:t>
      </w:r>
      <w:r>
        <w:rPr>
          <w:spacing w:val="-14"/>
        </w:rPr>
        <w:t xml:space="preserve"> </w:t>
      </w:r>
      <w:r>
        <w:t>the</w:t>
      </w:r>
      <w:r>
        <w:rPr>
          <w:spacing w:val="-14"/>
        </w:rPr>
        <w:t xml:space="preserve"> </w:t>
      </w:r>
      <w:r>
        <w:t>travel</w:t>
      </w:r>
      <w:r>
        <w:rPr>
          <w:spacing w:val="-14"/>
        </w:rPr>
        <w:t xml:space="preserve"> </w:t>
      </w:r>
      <w:r>
        <w:t>flows</w:t>
      </w:r>
      <w:r>
        <w:rPr>
          <w:spacing w:val="-14"/>
        </w:rPr>
        <w:t xml:space="preserve"> </w:t>
      </w:r>
      <w:r>
        <w:t>into</w:t>
      </w:r>
      <w:r>
        <w:rPr>
          <w:spacing w:val="-14"/>
        </w:rPr>
        <w:t xml:space="preserve"> </w:t>
      </w:r>
      <w:r>
        <w:t>Global Sydney</w:t>
      </w:r>
      <w:r>
        <w:rPr>
          <w:spacing w:val="-14"/>
        </w:rPr>
        <w:t xml:space="preserve"> </w:t>
      </w:r>
      <w:r>
        <w:t>from</w:t>
      </w:r>
      <w:r>
        <w:rPr>
          <w:spacing w:val="-14"/>
        </w:rPr>
        <w:t xml:space="preserve"> </w:t>
      </w:r>
      <w:r>
        <w:t>across</w:t>
      </w:r>
      <w:r>
        <w:rPr>
          <w:spacing w:val="-14"/>
        </w:rPr>
        <w:t xml:space="preserve"> </w:t>
      </w:r>
      <w:r>
        <w:t>Greater</w:t>
      </w:r>
      <w:r>
        <w:rPr>
          <w:spacing w:val="-14"/>
        </w:rPr>
        <w:t xml:space="preserve"> </w:t>
      </w:r>
      <w:r>
        <w:t>Sydney</w:t>
      </w:r>
      <w:r>
        <w:rPr>
          <w:spacing w:val="-14"/>
        </w:rPr>
        <w:t xml:space="preserve"> </w:t>
      </w:r>
      <w:r>
        <w:t>are</w:t>
      </w:r>
      <w:r>
        <w:rPr>
          <w:spacing w:val="-14"/>
        </w:rPr>
        <w:t xml:space="preserve"> </w:t>
      </w:r>
      <w:r>
        <w:t>significant,</w:t>
      </w:r>
    </w:p>
    <w:p w:rsidR="002C1123" w:rsidRDefault="00F22F94">
      <w:pPr>
        <w:pStyle w:val="BodyText"/>
        <w:spacing w:before="5" w:line="249" w:lineRule="auto"/>
        <w:ind w:left="445" w:right="829"/>
      </w:pPr>
      <w:r>
        <w:rPr>
          <w:w w:val="95"/>
        </w:rPr>
        <w:t xml:space="preserve">intra-suburban and cross-suburban commuting flows </w:t>
      </w:r>
      <w:r>
        <w:t>are even greater.</w:t>
      </w:r>
    </w:p>
    <w:p w:rsidR="002C1123" w:rsidRDefault="00F22F94">
      <w:pPr>
        <w:pStyle w:val="BodyText"/>
        <w:spacing w:before="144" w:line="249" w:lineRule="auto"/>
        <w:ind w:left="445" w:right="829"/>
      </w:pPr>
      <w:r>
        <w:rPr>
          <w:spacing w:val="-2"/>
        </w:rPr>
        <w:t>Private</w:t>
      </w:r>
      <w:r>
        <w:rPr>
          <w:spacing w:val="-8"/>
        </w:rPr>
        <w:t xml:space="preserve"> </w:t>
      </w:r>
      <w:r>
        <w:rPr>
          <w:spacing w:val="-2"/>
        </w:rPr>
        <w:t>vehicles</w:t>
      </w:r>
      <w:r>
        <w:rPr>
          <w:spacing w:val="-8"/>
        </w:rPr>
        <w:t xml:space="preserve"> </w:t>
      </w:r>
      <w:r>
        <w:rPr>
          <w:spacing w:val="-2"/>
        </w:rPr>
        <w:t>are</w:t>
      </w:r>
      <w:r>
        <w:rPr>
          <w:spacing w:val="-8"/>
        </w:rPr>
        <w:t xml:space="preserve"> </w:t>
      </w:r>
      <w:r>
        <w:rPr>
          <w:spacing w:val="-2"/>
        </w:rPr>
        <w:t>better</w:t>
      </w:r>
      <w:r>
        <w:rPr>
          <w:spacing w:val="-8"/>
        </w:rPr>
        <w:t xml:space="preserve"> </w:t>
      </w:r>
      <w:r>
        <w:rPr>
          <w:spacing w:val="-2"/>
        </w:rPr>
        <w:t>suited</w:t>
      </w:r>
      <w:r>
        <w:rPr>
          <w:spacing w:val="-8"/>
        </w:rPr>
        <w:t xml:space="preserve"> </w:t>
      </w:r>
      <w:r>
        <w:rPr>
          <w:spacing w:val="-2"/>
        </w:rPr>
        <w:t>to</w:t>
      </w:r>
      <w:r>
        <w:rPr>
          <w:spacing w:val="-8"/>
        </w:rPr>
        <w:t xml:space="preserve"> </w:t>
      </w:r>
      <w:r>
        <w:rPr>
          <w:spacing w:val="-2"/>
        </w:rPr>
        <w:t>this</w:t>
      </w:r>
      <w:r>
        <w:rPr>
          <w:spacing w:val="-8"/>
        </w:rPr>
        <w:t xml:space="preserve"> </w:t>
      </w:r>
      <w:r>
        <w:rPr>
          <w:spacing w:val="-2"/>
        </w:rPr>
        <w:t>diffuse</w:t>
      </w:r>
      <w:r>
        <w:rPr>
          <w:spacing w:val="-8"/>
        </w:rPr>
        <w:t xml:space="preserve"> </w:t>
      </w:r>
      <w:r>
        <w:rPr>
          <w:spacing w:val="-2"/>
        </w:rPr>
        <w:t xml:space="preserve">orbital </w:t>
      </w:r>
      <w:r>
        <w:t>travel</w:t>
      </w:r>
      <w:r>
        <w:rPr>
          <w:spacing w:val="-13"/>
        </w:rPr>
        <w:t xml:space="preserve"> </w:t>
      </w:r>
      <w:r>
        <w:t>than</w:t>
      </w:r>
      <w:r>
        <w:rPr>
          <w:spacing w:val="-13"/>
        </w:rPr>
        <w:t xml:space="preserve"> </w:t>
      </w:r>
      <w:r>
        <w:t>public</w:t>
      </w:r>
      <w:r>
        <w:rPr>
          <w:spacing w:val="-13"/>
        </w:rPr>
        <w:t xml:space="preserve"> </w:t>
      </w:r>
      <w:r>
        <w:t>transport,</w:t>
      </w:r>
      <w:r>
        <w:rPr>
          <w:spacing w:val="-13"/>
        </w:rPr>
        <w:t xml:space="preserve"> </w:t>
      </w:r>
      <w:r>
        <w:t>which</w:t>
      </w:r>
      <w:r>
        <w:rPr>
          <w:spacing w:val="-13"/>
        </w:rPr>
        <w:t xml:space="preserve"> </w:t>
      </w:r>
      <w:r>
        <w:t>needs</w:t>
      </w:r>
      <w:r>
        <w:rPr>
          <w:spacing w:val="-13"/>
        </w:rPr>
        <w:t xml:space="preserve"> </w:t>
      </w:r>
      <w:r>
        <w:t xml:space="preserve">relatively </w:t>
      </w:r>
      <w:r>
        <w:rPr>
          <w:w w:val="95"/>
        </w:rPr>
        <w:t>high demand along a given corridor to be viable. Over 80</w:t>
      </w:r>
      <w:r>
        <w:rPr>
          <w:spacing w:val="-4"/>
          <w:w w:val="95"/>
        </w:rPr>
        <w:t xml:space="preserve"> </w:t>
      </w:r>
      <w:r>
        <w:rPr>
          <w:w w:val="95"/>
        </w:rPr>
        <w:t>per</w:t>
      </w:r>
      <w:r>
        <w:rPr>
          <w:spacing w:val="-4"/>
          <w:w w:val="95"/>
        </w:rPr>
        <w:t xml:space="preserve"> </w:t>
      </w:r>
      <w:r>
        <w:rPr>
          <w:w w:val="95"/>
        </w:rPr>
        <w:t>cent</w:t>
      </w:r>
      <w:r>
        <w:rPr>
          <w:spacing w:val="-4"/>
          <w:w w:val="95"/>
        </w:rPr>
        <w:t xml:space="preserve"> </w:t>
      </w:r>
      <w:r>
        <w:rPr>
          <w:w w:val="95"/>
        </w:rPr>
        <w:t>of</w:t>
      </w:r>
      <w:r>
        <w:rPr>
          <w:spacing w:val="-4"/>
          <w:w w:val="95"/>
        </w:rPr>
        <w:t xml:space="preserve"> </w:t>
      </w:r>
      <w:r>
        <w:rPr>
          <w:w w:val="95"/>
        </w:rPr>
        <w:t>non</w:t>
      </w:r>
      <w:r>
        <w:rPr>
          <w:spacing w:val="-4"/>
          <w:w w:val="95"/>
        </w:rPr>
        <w:t xml:space="preserve"> </w:t>
      </w:r>
      <w:r>
        <w:rPr>
          <w:w w:val="95"/>
        </w:rPr>
        <w:t>walking</w:t>
      </w:r>
      <w:r>
        <w:rPr>
          <w:spacing w:val="-4"/>
          <w:w w:val="95"/>
        </w:rPr>
        <w:t xml:space="preserve"> </w:t>
      </w:r>
      <w:r>
        <w:rPr>
          <w:w w:val="95"/>
        </w:rPr>
        <w:t>journeys</w:t>
      </w:r>
      <w:r>
        <w:rPr>
          <w:spacing w:val="-4"/>
          <w:w w:val="95"/>
        </w:rPr>
        <w:t xml:space="preserve"> </w:t>
      </w:r>
      <w:r>
        <w:rPr>
          <w:w w:val="95"/>
        </w:rPr>
        <w:t>in</w:t>
      </w:r>
      <w:r>
        <w:rPr>
          <w:spacing w:val="-4"/>
          <w:w w:val="95"/>
        </w:rPr>
        <w:t xml:space="preserve"> </w:t>
      </w:r>
      <w:r>
        <w:rPr>
          <w:w w:val="95"/>
        </w:rPr>
        <w:t>the</w:t>
      </w:r>
      <w:r>
        <w:rPr>
          <w:spacing w:val="-4"/>
          <w:w w:val="95"/>
        </w:rPr>
        <w:t xml:space="preserve"> </w:t>
      </w:r>
      <w:r>
        <w:rPr>
          <w:w w:val="95"/>
        </w:rPr>
        <w:t xml:space="preserve">metropolitan </w:t>
      </w:r>
      <w:r>
        <w:t>area</w:t>
      </w:r>
      <w:r>
        <w:rPr>
          <w:spacing w:val="-14"/>
        </w:rPr>
        <w:t xml:space="preserve"> </w:t>
      </w:r>
      <w:r>
        <w:t>on</w:t>
      </w:r>
      <w:r>
        <w:rPr>
          <w:spacing w:val="-14"/>
        </w:rPr>
        <w:t xml:space="preserve"> </w:t>
      </w:r>
      <w:r>
        <w:t>weekdays</w:t>
      </w:r>
      <w:r>
        <w:rPr>
          <w:spacing w:val="-14"/>
        </w:rPr>
        <w:t xml:space="preserve"> </w:t>
      </w:r>
      <w:r>
        <w:t>are</w:t>
      </w:r>
      <w:r>
        <w:rPr>
          <w:spacing w:val="-14"/>
        </w:rPr>
        <w:t xml:space="preserve"> </w:t>
      </w:r>
      <w:r>
        <w:t>by</w:t>
      </w:r>
      <w:r>
        <w:rPr>
          <w:spacing w:val="-14"/>
        </w:rPr>
        <w:t xml:space="preserve"> </w:t>
      </w:r>
      <w:r>
        <w:t>car</w:t>
      </w:r>
      <w:r>
        <w:rPr>
          <w:position w:val="7"/>
          <w:sz w:val="11"/>
        </w:rPr>
        <w:t>10</w:t>
      </w:r>
      <w:r>
        <w:t>.</w:t>
      </w:r>
      <w:r>
        <w:rPr>
          <w:spacing w:val="-14"/>
        </w:rPr>
        <w:t xml:space="preserve"> </w:t>
      </w:r>
      <w:r>
        <w:t>More</w:t>
      </w:r>
      <w:r>
        <w:rPr>
          <w:spacing w:val="-14"/>
        </w:rPr>
        <w:t xml:space="preserve"> </w:t>
      </w:r>
      <w:r>
        <w:t>than</w:t>
      </w:r>
      <w:r>
        <w:rPr>
          <w:spacing w:val="-14"/>
        </w:rPr>
        <w:t xml:space="preserve"> </w:t>
      </w:r>
      <w:r>
        <w:t>70</w:t>
      </w:r>
      <w:r>
        <w:rPr>
          <w:spacing w:val="-14"/>
        </w:rPr>
        <w:t xml:space="preserve"> </w:t>
      </w:r>
      <w:r>
        <w:t>percent of</w:t>
      </w:r>
      <w:r>
        <w:rPr>
          <w:spacing w:val="-13"/>
        </w:rPr>
        <w:t xml:space="preserve"> </w:t>
      </w:r>
      <w:r>
        <w:t>Greater</w:t>
      </w:r>
      <w:r>
        <w:rPr>
          <w:spacing w:val="-13"/>
        </w:rPr>
        <w:t xml:space="preserve"> </w:t>
      </w:r>
      <w:r>
        <w:t>Sydney</w:t>
      </w:r>
      <w:r>
        <w:rPr>
          <w:spacing w:val="-13"/>
        </w:rPr>
        <w:t xml:space="preserve"> </w:t>
      </w:r>
      <w:r>
        <w:t>residents</w:t>
      </w:r>
      <w:r>
        <w:rPr>
          <w:spacing w:val="-13"/>
        </w:rPr>
        <w:t xml:space="preserve"> </w:t>
      </w:r>
      <w:r>
        <w:t>choose</w:t>
      </w:r>
      <w:r>
        <w:rPr>
          <w:spacing w:val="-13"/>
        </w:rPr>
        <w:t xml:space="preserve"> </w:t>
      </w:r>
      <w:r>
        <w:t>to</w:t>
      </w:r>
      <w:r>
        <w:rPr>
          <w:spacing w:val="-13"/>
        </w:rPr>
        <w:t xml:space="preserve"> </w:t>
      </w:r>
      <w:r>
        <w:t>drive</w:t>
      </w:r>
      <w:r>
        <w:rPr>
          <w:spacing w:val="-13"/>
        </w:rPr>
        <w:t xml:space="preserve"> </w:t>
      </w:r>
      <w:r>
        <w:t>to</w:t>
      </w:r>
      <w:r>
        <w:rPr>
          <w:spacing w:val="-13"/>
        </w:rPr>
        <w:t xml:space="preserve"> </w:t>
      </w:r>
      <w:r>
        <w:t xml:space="preserve">work </w:t>
      </w:r>
      <w:r>
        <w:rPr>
          <w:w w:val="95"/>
        </w:rPr>
        <w:t xml:space="preserve">each day (compared with around 20 percent by public </w:t>
      </w:r>
      <w:r>
        <w:t>transport),</w:t>
      </w:r>
      <w:r>
        <w:rPr>
          <w:spacing w:val="-11"/>
        </w:rPr>
        <w:t xml:space="preserve"> </w:t>
      </w:r>
      <w:r>
        <w:t>as</w:t>
      </w:r>
      <w:r>
        <w:rPr>
          <w:spacing w:val="-12"/>
        </w:rPr>
        <w:t xml:space="preserve"> </w:t>
      </w:r>
      <w:r>
        <w:t>shown</w:t>
      </w:r>
      <w:r>
        <w:rPr>
          <w:spacing w:val="-11"/>
        </w:rPr>
        <w:t xml:space="preserve"> </w:t>
      </w:r>
      <w:r>
        <w:t>in</w:t>
      </w:r>
      <w:r>
        <w:rPr>
          <w:spacing w:val="-12"/>
        </w:rPr>
        <w:t xml:space="preserve"> </w:t>
      </w:r>
      <w:r>
        <w:t>Figure</w:t>
      </w:r>
      <w:r>
        <w:rPr>
          <w:spacing w:val="-11"/>
        </w:rPr>
        <w:t xml:space="preserve"> </w:t>
      </w:r>
      <w:r>
        <w:t>4.4</w:t>
      </w:r>
      <w:r>
        <w:rPr>
          <w:position w:val="7"/>
          <w:sz w:val="11"/>
        </w:rPr>
        <w:t>11</w:t>
      </w:r>
      <w:r>
        <w:t>.</w:t>
      </w:r>
    </w:p>
    <w:p w:rsidR="002C1123" w:rsidRDefault="00F22F94">
      <w:pPr>
        <w:pStyle w:val="BodyText"/>
        <w:spacing w:before="148"/>
        <w:ind w:left="445"/>
      </w:pPr>
      <w:r>
        <w:rPr>
          <w:w w:val="95"/>
        </w:rPr>
        <w:t>These</w:t>
      </w:r>
      <w:r>
        <w:rPr>
          <w:spacing w:val="-8"/>
          <w:w w:val="95"/>
        </w:rPr>
        <w:t xml:space="preserve"> </w:t>
      </w:r>
      <w:r>
        <w:rPr>
          <w:w w:val="95"/>
        </w:rPr>
        <w:t>journey</w:t>
      </w:r>
      <w:r>
        <w:rPr>
          <w:spacing w:val="-8"/>
          <w:w w:val="95"/>
        </w:rPr>
        <w:t xml:space="preserve"> </w:t>
      </w:r>
      <w:r>
        <w:rPr>
          <w:w w:val="95"/>
        </w:rPr>
        <w:t>patterns</w:t>
      </w:r>
      <w:r>
        <w:rPr>
          <w:spacing w:val="-8"/>
          <w:w w:val="95"/>
        </w:rPr>
        <w:t xml:space="preserve"> </w:t>
      </w:r>
      <w:r>
        <w:rPr>
          <w:w w:val="95"/>
        </w:rPr>
        <w:t>are</w:t>
      </w:r>
      <w:r>
        <w:rPr>
          <w:spacing w:val="-8"/>
          <w:w w:val="95"/>
        </w:rPr>
        <w:t xml:space="preserve"> </w:t>
      </w:r>
      <w:r>
        <w:rPr>
          <w:w w:val="95"/>
        </w:rPr>
        <w:t>not</w:t>
      </w:r>
      <w:r>
        <w:rPr>
          <w:spacing w:val="-7"/>
          <w:w w:val="95"/>
        </w:rPr>
        <w:t xml:space="preserve"> </w:t>
      </w:r>
      <w:r>
        <w:rPr>
          <w:w w:val="95"/>
        </w:rPr>
        <w:t>unique</w:t>
      </w:r>
      <w:r>
        <w:rPr>
          <w:spacing w:val="-8"/>
          <w:w w:val="95"/>
        </w:rPr>
        <w:t xml:space="preserve"> </w:t>
      </w:r>
      <w:r>
        <w:rPr>
          <w:w w:val="95"/>
        </w:rPr>
        <w:t>to</w:t>
      </w:r>
      <w:r>
        <w:rPr>
          <w:spacing w:val="-8"/>
          <w:w w:val="95"/>
        </w:rPr>
        <w:t xml:space="preserve"> </w:t>
      </w:r>
      <w:r>
        <w:rPr>
          <w:spacing w:val="-2"/>
          <w:w w:val="95"/>
        </w:rPr>
        <w:t>Sydney.</w:t>
      </w:r>
    </w:p>
    <w:p w:rsidR="002C1123" w:rsidRDefault="00F22F94">
      <w:pPr>
        <w:pStyle w:val="BodyText"/>
        <w:spacing w:before="10" w:line="249" w:lineRule="auto"/>
        <w:ind w:left="445" w:right="718"/>
      </w:pPr>
      <w:r>
        <w:rPr>
          <w:w w:val="95"/>
        </w:rPr>
        <w:t>In</w:t>
      </w:r>
      <w:r>
        <w:rPr>
          <w:spacing w:val="-10"/>
          <w:w w:val="95"/>
        </w:rPr>
        <w:t xml:space="preserve"> </w:t>
      </w:r>
      <w:r>
        <w:rPr>
          <w:w w:val="95"/>
        </w:rPr>
        <w:t>Vancouver</w:t>
      </w:r>
      <w:r>
        <w:rPr>
          <w:spacing w:val="-10"/>
          <w:w w:val="95"/>
        </w:rPr>
        <w:t xml:space="preserve"> </w:t>
      </w:r>
      <w:r>
        <w:rPr>
          <w:w w:val="95"/>
        </w:rPr>
        <w:t>for</w:t>
      </w:r>
      <w:r>
        <w:rPr>
          <w:spacing w:val="-10"/>
          <w:w w:val="95"/>
        </w:rPr>
        <w:t xml:space="preserve"> </w:t>
      </w:r>
      <w:r>
        <w:rPr>
          <w:w w:val="95"/>
        </w:rPr>
        <w:t>example,</w:t>
      </w:r>
      <w:r>
        <w:rPr>
          <w:spacing w:val="-10"/>
          <w:w w:val="95"/>
        </w:rPr>
        <w:t xml:space="preserve"> </w:t>
      </w:r>
      <w:r>
        <w:rPr>
          <w:w w:val="95"/>
        </w:rPr>
        <w:t>despite</w:t>
      </w:r>
      <w:r>
        <w:rPr>
          <w:spacing w:val="-10"/>
          <w:w w:val="95"/>
        </w:rPr>
        <w:t xml:space="preserve"> </w:t>
      </w:r>
      <w:r>
        <w:rPr>
          <w:w w:val="95"/>
        </w:rPr>
        <w:t>an</w:t>
      </w:r>
      <w:r>
        <w:rPr>
          <w:spacing w:val="-10"/>
          <w:w w:val="95"/>
        </w:rPr>
        <w:t xml:space="preserve"> </w:t>
      </w:r>
      <w:r>
        <w:rPr>
          <w:w w:val="95"/>
        </w:rPr>
        <w:t>average</w:t>
      </w:r>
      <w:r>
        <w:rPr>
          <w:spacing w:val="-10"/>
          <w:w w:val="95"/>
        </w:rPr>
        <w:t xml:space="preserve"> </w:t>
      </w:r>
      <w:r>
        <w:rPr>
          <w:w w:val="95"/>
        </w:rPr>
        <w:t xml:space="preserve">population </w:t>
      </w:r>
      <w:r>
        <w:t>density</w:t>
      </w:r>
      <w:r>
        <w:rPr>
          <w:spacing w:val="-13"/>
        </w:rPr>
        <w:t xml:space="preserve"> </w:t>
      </w:r>
      <w:r>
        <w:t>more</w:t>
      </w:r>
      <w:r>
        <w:rPr>
          <w:spacing w:val="-13"/>
        </w:rPr>
        <w:t xml:space="preserve"> </w:t>
      </w:r>
      <w:r>
        <w:t>than</w:t>
      </w:r>
      <w:r>
        <w:rPr>
          <w:spacing w:val="-13"/>
        </w:rPr>
        <w:t xml:space="preserve"> </w:t>
      </w:r>
      <w:r>
        <w:t>two</w:t>
      </w:r>
      <w:r>
        <w:rPr>
          <w:spacing w:val="-13"/>
        </w:rPr>
        <w:t xml:space="preserve"> </w:t>
      </w:r>
      <w:r>
        <w:t>and</w:t>
      </w:r>
      <w:r>
        <w:rPr>
          <w:spacing w:val="-13"/>
        </w:rPr>
        <w:t xml:space="preserve"> </w:t>
      </w:r>
      <w:r>
        <w:t>a</w:t>
      </w:r>
      <w:r>
        <w:rPr>
          <w:spacing w:val="-13"/>
        </w:rPr>
        <w:t xml:space="preserve"> </w:t>
      </w:r>
      <w:r>
        <w:t>half</w:t>
      </w:r>
      <w:r>
        <w:rPr>
          <w:spacing w:val="-13"/>
        </w:rPr>
        <w:t xml:space="preserve"> </w:t>
      </w:r>
      <w:r>
        <w:t>times</w:t>
      </w:r>
      <w:r>
        <w:rPr>
          <w:spacing w:val="-13"/>
        </w:rPr>
        <w:t xml:space="preserve"> </w:t>
      </w:r>
      <w:r>
        <w:t>that</w:t>
      </w:r>
      <w:r>
        <w:rPr>
          <w:spacing w:val="-13"/>
        </w:rPr>
        <w:t xml:space="preserve"> </w:t>
      </w:r>
      <w:r>
        <w:t>of</w:t>
      </w:r>
      <w:r>
        <w:rPr>
          <w:spacing w:val="-13"/>
        </w:rPr>
        <w:t xml:space="preserve"> </w:t>
      </w:r>
      <w:r>
        <w:t>Sydney, 67</w:t>
      </w:r>
      <w:r>
        <w:rPr>
          <w:spacing w:val="-14"/>
        </w:rPr>
        <w:t xml:space="preserve"> </w:t>
      </w:r>
      <w:r>
        <w:t>percent</w:t>
      </w:r>
      <w:r>
        <w:rPr>
          <w:spacing w:val="-14"/>
        </w:rPr>
        <w:t xml:space="preserve"> </w:t>
      </w:r>
      <w:r>
        <w:t>of</w:t>
      </w:r>
      <w:r>
        <w:rPr>
          <w:spacing w:val="-14"/>
        </w:rPr>
        <w:t xml:space="preserve"> </w:t>
      </w:r>
      <w:r>
        <w:t>journeys</w:t>
      </w:r>
      <w:r>
        <w:rPr>
          <w:spacing w:val="-14"/>
        </w:rPr>
        <w:t xml:space="preserve"> </w:t>
      </w:r>
      <w:r>
        <w:t>to</w:t>
      </w:r>
      <w:r>
        <w:rPr>
          <w:spacing w:val="-14"/>
        </w:rPr>
        <w:t xml:space="preserve"> </w:t>
      </w:r>
      <w:r>
        <w:t>work</w:t>
      </w:r>
      <w:r>
        <w:rPr>
          <w:spacing w:val="-14"/>
        </w:rPr>
        <w:t xml:space="preserve"> </w:t>
      </w:r>
      <w:r>
        <w:t>are</w:t>
      </w:r>
      <w:r>
        <w:rPr>
          <w:spacing w:val="-14"/>
        </w:rPr>
        <w:t xml:space="preserve"> </w:t>
      </w:r>
      <w:r>
        <w:t>by</w:t>
      </w:r>
      <w:r>
        <w:rPr>
          <w:spacing w:val="-14"/>
        </w:rPr>
        <w:t xml:space="preserve"> </w:t>
      </w:r>
      <w:r>
        <w:t>private</w:t>
      </w:r>
      <w:r>
        <w:rPr>
          <w:spacing w:val="-14"/>
        </w:rPr>
        <w:t xml:space="preserve"> </w:t>
      </w:r>
      <w:r>
        <w:t>vehicles</w:t>
      </w:r>
      <w:r>
        <w:rPr>
          <w:position w:val="7"/>
          <w:sz w:val="11"/>
        </w:rPr>
        <w:t>12</w:t>
      </w:r>
      <w:r>
        <w:t>.</w:t>
      </w:r>
    </w:p>
    <w:p w:rsidR="002C1123" w:rsidRDefault="002C1123">
      <w:pPr>
        <w:pStyle w:val="BodyText"/>
      </w:pPr>
    </w:p>
    <w:p w:rsidR="002C1123" w:rsidRDefault="002C1123">
      <w:pPr>
        <w:pStyle w:val="BodyText"/>
      </w:pPr>
    </w:p>
    <w:p w:rsidR="002C1123" w:rsidRDefault="002060EF">
      <w:pPr>
        <w:pStyle w:val="BodyText"/>
        <w:spacing w:before="3"/>
        <w:rPr>
          <w:sz w:val="27"/>
        </w:rPr>
      </w:pPr>
      <w:r>
        <w:pict>
          <v:shape id="docshape808" o:spid="_x0000_s4521" style="position:absolute;margin-left:552.3pt;margin-top:16.9pt;width:1in;height:.1pt;z-index:-251403264;mso-wrap-distance-left:0;mso-wrap-distance-right:0;mso-position-horizontal-relative:page" coordorigin="11046,338" coordsize="1440,0" path="m11046,338r1440,e" filled="f" strokecolor="#9c9c9d" strokeweight=".5pt">
            <v:path arrowok="t"/>
            <w10:wrap type="topAndBottom" anchorx="page"/>
          </v:shape>
        </w:pict>
      </w:r>
    </w:p>
    <w:p w:rsidR="002C1123" w:rsidRDefault="00F22F94">
      <w:pPr>
        <w:pStyle w:val="ListParagraph"/>
        <w:numPr>
          <w:ilvl w:val="0"/>
          <w:numId w:val="114"/>
        </w:numPr>
        <w:tabs>
          <w:tab w:val="left" w:pos="645"/>
        </w:tabs>
        <w:spacing w:before="23" w:line="161" w:lineRule="exact"/>
        <w:ind w:left="644" w:hanging="200"/>
        <w:jc w:val="left"/>
        <w:rPr>
          <w:sz w:val="14"/>
        </w:rPr>
      </w:pPr>
      <w:r>
        <w:rPr>
          <w:w w:val="95"/>
          <w:sz w:val="14"/>
        </w:rPr>
        <w:t>NSW</w:t>
      </w:r>
      <w:r>
        <w:rPr>
          <w:spacing w:val="-3"/>
          <w:w w:val="95"/>
          <w:sz w:val="14"/>
        </w:rPr>
        <w:t xml:space="preserve"> </w:t>
      </w:r>
      <w:r>
        <w:rPr>
          <w:w w:val="95"/>
          <w:sz w:val="14"/>
        </w:rPr>
        <w:t>Bureau</w:t>
      </w:r>
      <w:r>
        <w:rPr>
          <w:spacing w:val="-2"/>
          <w:w w:val="95"/>
          <w:sz w:val="14"/>
        </w:rPr>
        <w:t xml:space="preserve"> </w:t>
      </w:r>
      <w:r>
        <w:rPr>
          <w:w w:val="95"/>
          <w:sz w:val="14"/>
        </w:rPr>
        <w:t>of</w:t>
      </w:r>
      <w:r>
        <w:rPr>
          <w:spacing w:val="-2"/>
          <w:w w:val="95"/>
          <w:sz w:val="14"/>
        </w:rPr>
        <w:t xml:space="preserve"> </w:t>
      </w:r>
      <w:r>
        <w:rPr>
          <w:w w:val="95"/>
          <w:sz w:val="14"/>
        </w:rPr>
        <w:t>Transport</w:t>
      </w:r>
      <w:r>
        <w:rPr>
          <w:spacing w:val="-2"/>
          <w:w w:val="95"/>
          <w:sz w:val="14"/>
        </w:rPr>
        <w:t xml:space="preserve"> </w:t>
      </w:r>
      <w:r>
        <w:rPr>
          <w:w w:val="95"/>
          <w:sz w:val="14"/>
        </w:rPr>
        <w:t>Statistics</w:t>
      </w:r>
      <w:r>
        <w:rPr>
          <w:spacing w:val="-3"/>
          <w:w w:val="95"/>
          <w:sz w:val="14"/>
        </w:rPr>
        <w:t xml:space="preserve"> </w:t>
      </w:r>
      <w:r>
        <w:rPr>
          <w:w w:val="95"/>
          <w:sz w:val="14"/>
        </w:rPr>
        <w:t>2011,</w:t>
      </w:r>
      <w:r>
        <w:rPr>
          <w:spacing w:val="-2"/>
          <w:w w:val="95"/>
          <w:sz w:val="14"/>
        </w:rPr>
        <w:t xml:space="preserve"> </w:t>
      </w:r>
      <w:r>
        <w:rPr>
          <w:w w:val="95"/>
          <w:sz w:val="14"/>
        </w:rPr>
        <w:t>Household</w:t>
      </w:r>
      <w:r>
        <w:rPr>
          <w:spacing w:val="-2"/>
          <w:w w:val="95"/>
          <w:sz w:val="14"/>
        </w:rPr>
        <w:t xml:space="preserve"> </w:t>
      </w:r>
      <w:r>
        <w:rPr>
          <w:w w:val="95"/>
          <w:sz w:val="14"/>
        </w:rPr>
        <w:t>Travel</w:t>
      </w:r>
      <w:r>
        <w:rPr>
          <w:spacing w:val="-2"/>
          <w:w w:val="95"/>
          <w:sz w:val="14"/>
        </w:rPr>
        <w:t xml:space="preserve"> Survey.</w:t>
      </w:r>
    </w:p>
    <w:p w:rsidR="002C1123" w:rsidRDefault="00F22F94">
      <w:pPr>
        <w:pStyle w:val="ListParagraph"/>
        <w:numPr>
          <w:ilvl w:val="0"/>
          <w:numId w:val="114"/>
        </w:numPr>
        <w:tabs>
          <w:tab w:val="left" w:pos="645"/>
        </w:tabs>
        <w:spacing w:line="160" w:lineRule="exact"/>
        <w:ind w:left="644" w:hanging="200"/>
        <w:jc w:val="left"/>
        <w:rPr>
          <w:sz w:val="14"/>
        </w:rPr>
      </w:pPr>
      <w:r>
        <w:rPr>
          <w:w w:val="95"/>
          <w:sz w:val="14"/>
        </w:rPr>
        <w:t>Australian</w:t>
      </w:r>
      <w:r>
        <w:rPr>
          <w:spacing w:val="1"/>
          <w:sz w:val="14"/>
        </w:rPr>
        <w:t xml:space="preserve"> </w:t>
      </w:r>
      <w:r>
        <w:rPr>
          <w:w w:val="95"/>
          <w:sz w:val="14"/>
        </w:rPr>
        <w:t>Bureau</w:t>
      </w:r>
      <w:r>
        <w:rPr>
          <w:spacing w:val="2"/>
          <w:sz w:val="14"/>
        </w:rPr>
        <w:t xml:space="preserve"> </w:t>
      </w:r>
      <w:r>
        <w:rPr>
          <w:w w:val="95"/>
          <w:sz w:val="14"/>
        </w:rPr>
        <w:t>of</w:t>
      </w:r>
      <w:r>
        <w:rPr>
          <w:spacing w:val="2"/>
          <w:sz w:val="14"/>
        </w:rPr>
        <w:t xml:space="preserve"> </w:t>
      </w:r>
      <w:r>
        <w:rPr>
          <w:w w:val="95"/>
          <w:sz w:val="14"/>
        </w:rPr>
        <w:t>Statistics,</w:t>
      </w:r>
      <w:r>
        <w:rPr>
          <w:spacing w:val="2"/>
          <w:sz w:val="14"/>
        </w:rPr>
        <w:t xml:space="preserve"> </w:t>
      </w:r>
      <w:r>
        <w:rPr>
          <w:w w:val="95"/>
          <w:sz w:val="14"/>
        </w:rPr>
        <w:t>2006</w:t>
      </w:r>
      <w:r>
        <w:rPr>
          <w:spacing w:val="2"/>
          <w:sz w:val="14"/>
        </w:rPr>
        <w:t xml:space="preserve"> </w:t>
      </w:r>
      <w:r>
        <w:rPr>
          <w:spacing w:val="-2"/>
          <w:w w:val="95"/>
          <w:sz w:val="14"/>
        </w:rPr>
        <w:t>Census.</w:t>
      </w:r>
    </w:p>
    <w:p w:rsidR="002C1123" w:rsidRDefault="00F22F94">
      <w:pPr>
        <w:pStyle w:val="ListParagraph"/>
        <w:numPr>
          <w:ilvl w:val="0"/>
          <w:numId w:val="114"/>
        </w:numPr>
        <w:tabs>
          <w:tab w:val="left" w:pos="645"/>
        </w:tabs>
        <w:spacing w:line="161" w:lineRule="exact"/>
        <w:ind w:left="644" w:hanging="200"/>
        <w:jc w:val="left"/>
        <w:rPr>
          <w:sz w:val="14"/>
        </w:rPr>
      </w:pPr>
      <w:r>
        <w:rPr>
          <w:w w:val="95"/>
          <w:sz w:val="14"/>
        </w:rPr>
        <w:t>Statistics</w:t>
      </w:r>
      <w:r>
        <w:rPr>
          <w:spacing w:val="8"/>
          <w:sz w:val="14"/>
        </w:rPr>
        <w:t xml:space="preserve"> </w:t>
      </w:r>
      <w:r>
        <w:rPr>
          <w:w w:val="95"/>
          <w:sz w:val="14"/>
        </w:rPr>
        <w:t>Canada,</w:t>
      </w:r>
      <w:r>
        <w:rPr>
          <w:spacing w:val="8"/>
          <w:sz w:val="14"/>
        </w:rPr>
        <w:t xml:space="preserve"> </w:t>
      </w:r>
      <w:r>
        <w:rPr>
          <w:w w:val="95"/>
          <w:sz w:val="14"/>
        </w:rPr>
        <w:t>2006</w:t>
      </w:r>
      <w:r>
        <w:rPr>
          <w:spacing w:val="8"/>
          <w:sz w:val="14"/>
        </w:rPr>
        <w:t xml:space="preserve"> </w:t>
      </w:r>
      <w:r>
        <w:rPr>
          <w:spacing w:val="-2"/>
          <w:w w:val="95"/>
          <w:sz w:val="14"/>
        </w:rPr>
        <w:t>Census.</w:t>
      </w:r>
    </w:p>
    <w:p w:rsidR="002C1123" w:rsidRDefault="002C1123">
      <w:pPr>
        <w:spacing w:line="161" w:lineRule="exact"/>
        <w:rPr>
          <w:sz w:val="14"/>
        </w:rPr>
        <w:sectPr w:rsidR="002C1123">
          <w:type w:val="continuous"/>
          <w:pgSz w:w="16840" w:h="11910" w:orient="landscape"/>
          <w:pgMar w:top="560" w:right="280" w:bottom="280" w:left="500" w:header="0" w:footer="470" w:gutter="0"/>
          <w:cols w:num="3" w:space="720" w:equalWidth="0">
            <w:col w:w="5970" w:space="1715"/>
            <w:col w:w="2376" w:space="39"/>
            <w:col w:w="5960"/>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C1123">
      <w:pPr>
        <w:rPr>
          <w:sz w:val="19"/>
        </w:rPr>
        <w:sectPr w:rsidR="002C1123">
          <w:pgSz w:w="16840" w:h="11910" w:orient="landscape"/>
          <w:pgMar w:top="560" w:right="280" w:bottom="700" w:left="500" w:header="0" w:footer="470" w:gutter="0"/>
          <w:cols w:space="720"/>
        </w:sectPr>
      </w:pPr>
    </w:p>
    <w:p w:rsidR="002C1123" w:rsidRDefault="00F22F94">
      <w:pPr>
        <w:pStyle w:val="BodyText"/>
        <w:spacing w:before="106" w:line="249" w:lineRule="auto"/>
        <w:ind w:left="492" w:right="59"/>
      </w:pPr>
      <w:bookmarkStart w:id="119" w:name="_bookmark85"/>
      <w:bookmarkEnd w:id="119"/>
      <w:r>
        <w:t>What</w:t>
      </w:r>
      <w:r>
        <w:rPr>
          <w:spacing w:val="-14"/>
        </w:rPr>
        <w:t xml:space="preserve"> </w:t>
      </w:r>
      <w:r>
        <w:t>this</w:t>
      </w:r>
      <w:r>
        <w:rPr>
          <w:spacing w:val="-14"/>
        </w:rPr>
        <w:t xml:space="preserve"> </w:t>
      </w:r>
      <w:r>
        <w:t>tells</w:t>
      </w:r>
      <w:r>
        <w:rPr>
          <w:spacing w:val="-14"/>
        </w:rPr>
        <w:t xml:space="preserve"> </w:t>
      </w:r>
      <w:r>
        <w:t>us</w:t>
      </w:r>
      <w:r>
        <w:rPr>
          <w:spacing w:val="-14"/>
        </w:rPr>
        <w:t xml:space="preserve"> </w:t>
      </w:r>
      <w:r>
        <w:t>is</w:t>
      </w:r>
      <w:r>
        <w:rPr>
          <w:spacing w:val="-14"/>
        </w:rPr>
        <w:t xml:space="preserve"> </w:t>
      </w:r>
      <w:r>
        <w:t>that</w:t>
      </w:r>
      <w:r>
        <w:rPr>
          <w:spacing w:val="-14"/>
        </w:rPr>
        <w:t xml:space="preserve"> </w:t>
      </w:r>
      <w:r>
        <w:t>in</w:t>
      </w:r>
      <w:r>
        <w:rPr>
          <w:spacing w:val="-14"/>
        </w:rPr>
        <w:t xml:space="preserve"> </w:t>
      </w:r>
      <w:r>
        <w:t>complex</w:t>
      </w:r>
      <w:r>
        <w:rPr>
          <w:spacing w:val="-14"/>
        </w:rPr>
        <w:t xml:space="preserve"> </w:t>
      </w:r>
      <w:r>
        <w:t>metropolitan</w:t>
      </w:r>
      <w:r>
        <w:rPr>
          <w:spacing w:val="-14"/>
        </w:rPr>
        <w:t xml:space="preserve"> </w:t>
      </w:r>
      <w:r>
        <w:t>areas with</w:t>
      </w:r>
      <w:r>
        <w:rPr>
          <w:spacing w:val="-14"/>
        </w:rPr>
        <w:t xml:space="preserve"> </w:t>
      </w:r>
      <w:r>
        <w:t>a</w:t>
      </w:r>
      <w:r>
        <w:rPr>
          <w:spacing w:val="-14"/>
        </w:rPr>
        <w:t xml:space="preserve"> </w:t>
      </w:r>
      <w:r>
        <w:t>multiplicity</w:t>
      </w:r>
      <w:r>
        <w:rPr>
          <w:spacing w:val="-14"/>
        </w:rPr>
        <w:t xml:space="preserve"> </w:t>
      </w:r>
      <w:r>
        <w:t>of</w:t>
      </w:r>
      <w:r>
        <w:rPr>
          <w:spacing w:val="-14"/>
        </w:rPr>
        <w:t xml:space="preserve"> </w:t>
      </w:r>
      <w:r>
        <w:t>journey</w:t>
      </w:r>
      <w:r>
        <w:rPr>
          <w:spacing w:val="-14"/>
        </w:rPr>
        <w:t xml:space="preserve"> </w:t>
      </w:r>
      <w:r>
        <w:t>origins</w:t>
      </w:r>
      <w:r>
        <w:rPr>
          <w:spacing w:val="-13"/>
        </w:rPr>
        <w:t xml:space="preserve"> </w:t>
      </w:r>
      <w:r>
        <w:t>and</w:t>
      </w:r>
      <w:r>
        <w:rPr>
          <w:spacing w:val="-14"/>
        </w:rPr>
        <w:t xml:space="preserve"> </w:t>
      </w:r>
      <w:r>
        <w:t>destinations, there</w:t>
      </w:r>
      <w:r>
        <w:rPr>
          <w:spacing w:val="-14"/>
        </w:rPr>
        <w:t xml:space="preserve"> </w:t>
      </w:r>
      <w:r>
        <w:t>is</w:t>
      </w:r>
      <w:r>
        <w:rPr>
          <w:spacing w:val="-14"/>
        </w:rPr>
        <w:t xml:space="preserve"> </w:t>
      </w:r>
      <w:r>
        <w:t>often</w:t>
      </w:r>
      <w:r>
        <w:rPr>
          <w:spacing w:val="-14"/>
        </w:rPr>
        <w:t xml:space="preserve"> </w:t>
      </w:r>
      <w:r>
        <w:t>no</w:t>
      </w:r>
      <w:r>
        <w:rPr>
          <w:spacing w:val="-14"/>
        </w:rPr>
        <w:t xml:space="preserve"> </w:t>
      </w:r>
      <w:r>
        <w:t>realistic</w:t>
      </w:r>
      <w:r>
        <w:rPr>
          <w:spacing w:val="-14"/>
        </w:rPr>
        <w:t xml:space="preserve"> </w:t>
      </w:r>
      <w:r>
        <w:t>alternative</w:t>
      </w:r>
      <w:r>
        <w:rPr>
          <w:spacing w:val="-14"/>
        </w:rPr>
        <w:t xml:space="preserve"> </w:t>
      </w:r>
      <w:r>
        <w:t>to</w:t>
      </w:r>
      <w:r>
        <w:rPr>
          <w:spacing w:val="-14"/>
        </w:rPr>
        <w:t xml:space="preserve"> </w:t>
      </w:r>
      <w:r>
        <w:t>the</w:t>
      </w:r>
      <w:r>
        <w:rPr>
          <w:spacing w:val="-14"/>
        </w:rPr>
        <w:t xml:space="preserve"> </w:t>
      </w:r>
      <w:r>
        <w:t>car</w:t>
      </w:r>
      <w:r>
        <w:rPr>
          <w:spacing w:val="-14"/>
        </w:rPr>
        <w:t xml:space="preserve"> </w:t>
      </w:r>
      <w:r>
        <w:t>for</w:t>
      </w:r>
      <w:r>
        <w:rPr>
          <w:spacing w:val="-13"/>
        </w:rPr>
        <w:t xml:space="preserve"> </w:t>
      </w:r>
      <w:r>
        <w:t>many journeys.</w:t>
      </w:r>
      <w:r>
        <w:rPr>
          <w:spacing w:val="-12"/>
        </w:rPr>
        <w:t xml:space="preserve"> </w:t>
      </w:r>
      <w:r>
        <w:t>The</w:t>
      </w:r>
      <w:r>
        <w:rPr>
          <w:spacing w:val="-12"/>
        </w:rPr>
        <w:t xml:space="preserve"> </w:t>
      </w:r>
      <w:r>
        <w:t>evidence</w:t>
      </w:r>
      <w:r>
        <w:rPr>
          <w:spacing w:val="-12"/>
        </w:rPr>
        <w:t xml:space="preserve"> </w:t>
      </w:r>
      <w:r>
        <w:t>suggests</w:t>
      </w:r>
      <w:r>
        <w:rPr>
          <w:spacing w:val="-12"/>
        </w:rPr>
        <w:t xml:space="preserve"> </w:t>
      </w:r>
      <w:r>
        <w:t>that</w:t>
      </w:r>
      <w:r>
        <w:rPr>
          <w:spacing w:val="-12"/>
        </w:rPr>
        <w:t xml:space="preserve"> </w:t>
      </w:r>
      <w:r>
        <w:t>the</w:t>
      </w:r>
      <w:r>
        <w:rPr>
          <w:spacing w:val="-12"/>
        </w:rPr>
        <w:t xml:space="preserve"> </w:t>
      </w:r>
      <w:r>
        <w:t xml:space="preserve">expected </w:t>
      </w:r>
      <w:r>
        <w:rPr>
          <w:w w:val="95"/>
        </w:rPr>
        <w:t>densification</w:t>
      </w:r>
      <w:r>
        <w:rPr>
          <w:spacing w:val="-6"/>
          <w:w w:val="95"/>
        </w:rPr>
        <w:t xml:space="preserve"> </w:t>
      </w:r>
      <w:r>
        <w:rPr>
          <w:w w:val="95"/>
        </w:rPr>
        <w:t>of</w:t>
      </w:r>
      <w:r>
        <w:rPr>
          <w:spacing w:val="-6"/>
          <w:w w:val="95"/>
        </w:rPr>
        <w:t xml:space="preserve"> </w:t>
      </w:r>
      <w:r>
        <w:rPr>
          <w:w w:val="95"/>
        </w:rPr>
        <w:t>Greater</w:t>
      </w:r>
      <w:r>
        <w:rPr>
          <w:spacing w:val="-6"/>
          <w:w w:val="95"/>
        </w:rPr>
        <w:t xml:space="preserve"> </w:t>
      </w:r>
      <w:r>
        <w:rPr>
          <w:w w:val="95"/>
        </w:rPr>
        <w:t>Sydney</w:t>
      </w:r>
      <w:r>
        <w:rPr>
          <w:spacing w:val="-6"/>
          <w:w w:val="95"/>
        </w:rPr>
        <w:t xml:space="preserve"> </w:t>
      </w:r>
      <w:r>
        <w:rPr>
          <w:w w:val="95"/>
        </w:rPr>
        <w:t>discussed</w:t>
      </w:r>
      <w:r>
        <w:rPr>
          <w:spacing w:val="-6"/>
          <w:w w:val="95"/>
        </w:rPr>
        <w:t xml:space="preserve"> </w:t>
      </w:r>
      <w:r>
        <w:rPr>
          <w:w w:val="95"/>
        </w:rPr>
        <w:t>in</w:t>
      </w:r>
      <w:r>
        <w:rPr>
          <w:spacing w:val="-6"/>
          <w:w w:val="95"/>
        </w:rPr>
        <w:t xml:space="preserve"> </w:t>
      </w:r>
      <w:r>
        <w:rPr>
          <w:w w:val="95"/>
        </w:rPr>
        <w:t>this</w:t>
      </w:r>
      <w:r>
        <w:rPr>
          <w:spacing w:val="-6"/>
          <w:w w:val="95"/>
        </w:rPr>
        <w:t xml:space="preserve"> </w:t>
      </w:r>
      <w:r>
        <w:rPr>
          <w:w w:val="95"/>
        </w:rPr>
        <w:t xml:space="preserve">section </w:t>
      </w:r>
      <w:r>
        <w:rPr>
          <w:spacing w:val="-2"/>
        </w:rPr>
        <w:t>is</w:t>
      </w:r>
      <w:r>
        <w:rPr>
          <w:spacing w:val="-4"/>
        </w:rPr>
        <w:t xml:space="preserve"> </w:t>
      </w:r>
      <w:r>
        <w:rPr>
          <w:spacing w:val="-2"/>
        </w:rPr>
        <w:t>unlikely</w:t>
      </w:r>
      <w:r>
        <w:rPr>
          <w:spacing w:val="-4"/>
        </w:rPr>
        <w:t xml:space="preserve"> </w:t>
      </w:r>
      <w:r>
        <w:rPr>
          <w:spacing w:val="-2"/>
        </w:rPr>
        <w:t>to</w:t>
      </w:r>
      <w:r>
        <w:rPr>
          <w:spacing w:val="-4"/>
        </w:rPr>
        <w:t xml:space="preserve"> </w:t>
      </w:r>
      <w:r>
        <w:rPr>
          <w:spacing w:val="-2"/>
        </w:rPr>
        <w:t>change</w:t>
      </w:r>
      <w:r>
        <w:rPr>
          <w:spacing w:val="-4"/>
        </w:rPr>
        <w:t xml:space="preserve"> </w:t>
      </w:r>
      <w:r>
        <w:rPr>
          <w:spacing w:val="-2"/>
        </w:rPr>
        <w:t>journey</w:t>
      </w:r>
      <w:r>
        <w:rPr>
          <w:spacing w:val="-4"/>
        </w:rPr>
        <w:t xml:space="preserve"> </w:t>
      </w:r>
      <w:r>
        <w:rPr>
          <w:spacing w:val="-2"/>
        </w:rPr>
        <w:t>patterns</w:t>
      </w:r>
      <w:r>
        <w:rPr>
          <w:spacing w:val="-4"/>
        </w:rPr>
        <w:t xml:space="preserve"> </w:t>
      </w:r>
      <w:r>
        <w:rPr>
          <w:spacing w:val="-2"/>
        </w:rPr>
        <w:t>significantly.</w:t>
      </w:r>
    </w:p>
    <w:p w:rsidR="002C1123" w:rsidRDefault="00F22F94">
      <w:pPr>
        <w:pStyle w:val="BodyText"/>
        <w:spacing w:before="147" w:line="249" w:lineRule="auto"/>
        <w:ind w:left="492" w:right="59"/>
      </w:pPr>
      <w:r>
        <w:rPr>
          <w:spacing w:val="-2"/>
        </w:rPr>
        <w:t>Conversely,</w:t>
      </w:r>
      <w:r>
        <w:rPr>
          <w:spacing w:val="-8"/>
        </w:rPr>
        <w:t xml:space="preserve"> </w:t>
      </w:r>
      <w:r>
        <w:rPr>
          <w:spacing w:val="-2"/>
        </w:rPr>
        <w:t>radial</w:t>
      </w:r>
      <w:r>
        <w:rPr>
          <w:spacing w:val="-8"/>
        </w:rPr>
        <w:t xml:space="preserve"> </w:t>
      </w:r>
      <w:r>
        <w:rPr>
          <w:spacing w:val="-2"/>
        </w:rPr>
        <w:t>journeys</w:t>
      </w:r>
      <w:r>
        <w:rPr>
          <w:spacing w:val="-8"/>
        </w:rPr>
        <w:t xml:space="preserve"> </w:t>
      </w:r>
      <w:r>
        <w:rPr>
          <w:spacing w:val="-2"/>
        </w:rPr>
        <w:t>into</w:t>
      </w:r>
      <w:r>
        <w:rPr>
          <w:spacing w:val="-8"/>
        </w:rPr>
        <w:t xml:space="preserve"> </w:t>
      </w:r>
      <w:r>
        <w:rPr>
          <w:spacing w:val="-2"/>
        </w:rPr>
        <w:t>Global</w:t>
      </w:r>
      <w:r>
        <w:rPr>
          <w:spacing w:val="-8"/>
        </w:rPr>
        <w:t xml:space="preserve"> </w:t>
      </w:r>
      <w:r>
        <w:rPr>
          <w:spacing w:val="-2"/>
        </w:rPr>
        <w:t>Sydney</w:t>
      </w:r>
      <w:r>
        <w:rPr>
          <w:spacing w:val="-8"/>
        </w:rPr>
        <w:t xml:space="preserve"> </w:t>
      </w:r>
      <w:r>
        <w:rPr>
          <w:spacing w:val="-2"/>
        </w:rPr>
        <w:t xml:space="preserve">or </w:t>
      </w:r>
      <w:r>
        <w:rPr>
          <w:w w:val="95"/>
        </w:rPr>
        <w:t>Greater</w:t>
      </w:r>
      <w:r>
        <w:rPr>
          <w:spacing w:val="-8"/>
          <w:w w:val="95"/>
        </w:rPr>
        <w:t xml:space="preserve"> </w:t>
      </w:r>
      <w:r>
        <w:rPr>
          <w:w w:val="95"/>
        </w:rPr>
        <w:t>Sydney’s</w:t>
      </w:r>
      <w:r>
        <w:rPr>
          <w:spacing w:val="-8"/>
          <w:w w:val="95"/>
        </w:rPr>
        <w:t xml:space="preserve"> </w:t>
      </w:r>
      <w:r>
        <w:rPr>
          <w:w w:val="95"/>
        </w:rPr>
        <w:t>major</w:t>
      </w:r>
      <w:r>
        <w:rPr>
          <w:spacing w:val="-8"/>
          <w:w w:val="95"/>
        </w:rPr>
        <w:t xml:space="preserve"> </w:t>
      </w:r>
      <w:r>
        <w:rPr>
          <w:w w:val="95"/>
        </w:rPr>
        <w:t>employment</w:t>
      </w:r>
      <w:r>
        <w:rPr>
          <w:spacing w:val="-8"/>
          <w:w w:val="95"/>
        </w:rPr>
        <w:t xml:space="preserve"> </w:t>
      </w:r>
      <w:r>
        <w:rPr>
          <w:w w:val="95"/>
        </w:rPr>
        <w:t>centres</w:t>
      </w:r>
      <w:r>
        <w:rPr>
          <w:spacing w:val="-8"/>
          <w:w w:val="95"/>
        </w:rPr>
        <w:t xml:space="preserve"> </w:t>
      </w:r>
      <w:r>
        <w:rPr>
          <w:w w:val="95"/>
        </w:rPr>
        <w:t>(such</w:t>
      </w:r>
      <w:r>
        <w:rPr>
          <w:spacing w:val="-8"/>
          <w:w w:val="95"/>
        </w:rPr>
        <w:t xml:space="preserve"> </w:t>
      </w:r>
      <w:r>
        <w:rPr>
          <w:w w:val="95"/>
        </w:rPr>
        <w:t xml:space="preserve">as </w:t>
      </w:r>
      <w:r>
        <w:t>Parramatta)</w:t>
      </w:r>
      <w:r>
        <w:rPr>
          <w:spacing w:val="-14"/>
        </w:rPr>
        <w:t xml:space="preserve"> </w:t>
      </w:r>
      <w:r>
        <w:t>are</w:t>
      </w:r>
      <w:r>
        <w:rPr>
          <w:spacing w:val="-14"/>
        </w:rPr>
        <w:t xml:space="preserve"> </w:t>
      </w:r>
      <w:r>
        <w:t>clearly</w:t>
      </w:r>
      <w:r>
        <w:rPr>
          <w:spacing w:val="-14"/>
        </w:rPr>
        <w:t xml:space="preserve"> </w:t>
      </w:r>
      <w:r>
        <w:t>best</w:t>
      </w:r>
      <w:r>
        <w:rPr>
          <w:spacing w:val="-14"/>
        </w:rPr>
        <w:t xml:space="preserve"> </w:t>
      </w:r>
      <w:r>
        <w:t>served</w:t>
      </w:r>
      <w:r>
        <w:rPr>
          <w:spacing w:val="-14"/>
        </w:rPr>
        <w:t xml:space="preserve"> </w:t>
      </w:r>
      <w:r>
        <w:t>by</w:t>
      </w:r>
      <w:r>
        <w:rPr>
          <w:spacing w:val="-14"/>
        </w:rPr>
        <w:t xml:space="preserve"> </w:t>
      </w:r>
      <w:r>
        <w:t>mass</w:t>
      </w:r>
      <w:r>
        <w:rPr>
          <w:spacing w:val="-14"/>
        </w:rPr>
        <w:t xml:space="preserve"> </w:t>
      </w:r>
      <w:r>
        <w:t>transit, which</w:t>
      </w:r>
      <w:r>
        <w:rPr>
          <w:spacing w:val="-7"/>
        </w:rPr>
        <w:t xml:space="preserve"> </w:t>
      </w:r>
      <w:r>
        <w:t>can</w:t>
      </w:r>
      <w:r>
        <w:rPr>
          <w:spacing w:val="-7"/>
        </w:rPr>
        <w:t xml:space="preserve"> </w:t>
      </w:r>
      <w:r>
        <w:t>transport</w:t>
      </w:r>
      <w:r>
        <w:rPr>
          <w:spacing w:val="-7"/>
        </w:rPr>
        <w:t xml:space="preserve"> </w:t>
      </w:r>
      <w:r>
        <w:t>higher</w:t>
      </w:r>
      <w:r>
        <w:rPr>
          <w:spacing w:val="-7"/>
        </w:rPr>
        <w:t xml:space="preserve"> </w:t>
      </w:r>
      <w:r>
        <w:t>numbers</w:t>
      </w:r>
      <w:r>
        <w:rPr>
          <w:spacing w:val="-7"/>
        </w:rPr>
        <w:t xml:space="preserve"> </w:t>
      </w:r>
      <w:r>
        <w:t>along</w:t>
      </w:r>
      <w:r>
        <w:rPr>
          <w:spacing w:val="-7"/>
        </w:rPr>
        <w:t xml:space="preserve"> </w:t>
      </w:r>
      <w:r>
        <w:t>a</w:t>
      </w:r>
      <w:r>
        <w:rPr>
          <w:spacing w:val="-7"/>
        </w:rPr>
        <w:t xml:space="preserve"> </w:t>
      </w:r>
      <w:r>
        <w:t>given transport</w:t>
      </w:r>
      <w:r>
        <w:rPr>
          <w:spacing w:val="-9"/>
        </w:rPr>
        <w:t xml:space="preserve"> </w:t>
      </w:r>
      <w:r>
        <w:t>corridor</w:t>
      </w:r>
      <w:r>
        <w:rPr>
          <w:spacing w:val="-9"/>
        </w:rPr>
        <w:t xml:space="preserve"> </w:t>
      </w:r>
      <w:r>
        <w:t>more</w:t>
      </w:r>
      <w:r>
        <w:rPr>
          <w:spacing w:val="-9"/>
        </w:rPr>
        <w:t xml:space="preserve"> </w:t>
      </w:r>
      <w:r>
        <w:t>reliably</w:t>
      </w:r>
      <w:r>
        <w:rPr>
          <w:spacing w:val="-9"/>
        </w:rPr>
        <w:t xml:space="preserve"> </w:t>
      </w:r>
      <w:r>
        <w:t>than</w:t>
      </w:r>
      <w:r>
        <w:rPr>
          <w:spacing w:val="-9"/>
        </w:rPr>
        <w:t xml:space="preserve"> </w:t>
      </w:r>
      <w:r>
        <w:t>car</w:t>
      </w:r>
      <w:r>
        <w:rPr>
          <w:spacing w:val="-9"/>
        </w:rPr>
        <w:t xml:space="preserve"> </w:t>
      </w:r>
      <w:r>
        <w:t>travel.</w:t>
      </w:r>
    </w:p>
    <w:p w:rsidR="002C1123" w:rsidRDefault="00F22F94">
      <w:pPr>
        <w:pStyle w:val="BodyText"/>
        <w:spacing w:before="145" w:line="249" w:lineRule="auto"/>
        <w:ind w:left="492" w:right="59" w:hanging="1"/>
      </w:pPr>
      <w:r>
        <w:rPr>
          <w:w w:val="95"/>
        </w:rPr>
        <w:t>Over</w:t>
      </w:r>
      <w:r>
        <w:rPr>
          <w:spacing w:val="-14"/>
          <w:w w:val="95"/>
        </w:rPr>
        <w:t xml:space="preserve"> </w:t>
      </w:r>
      <w:r>
        <w:rPr>
          <w:w w:val="95"/>
        </w:rPr>
        <w:t>the</w:t>
      </w:r>
      <w:r>
        <w:rPr>
          <w:spacing w:val="-14"/>
          <w:w w:val="95"/>
        </w:rPr>
        <w:t xml:space="preserve"> </w:t>
      </w:r>
      <w:r>
        <w:rPr>
          <w:w w:val="95"/>
        </w:rPr>
        <w:t>next</w:t>
      </w:r>
      <w:r>
        <w:rPr>
          <w:spacing w:val="-14"/>
          <w:w w:val="95"/>
        </w:rPr>
        <w:t xml:space="preserve"> </w:t>
      </w:r>
      <w:r>
        <w:rPr>
          <w:w w:val="95"/>
        </w:rPr>
        <w:t>20</w:t>
      </w:r>
      <w:r>
        <w:rPr>
          <w:spacing w:val="-14"/>
          <w:w w:val="95"/>
        </w:rPr>
        <w:t xml:space="preserve"> </w:t>
      </w:r>
      <w:r>
        <w:rPr>
          <w:w w:val="95"/>
        </w:rPr>
        <w:t>years,</w:t>
      </w:r>
      <w:r>
        <w:rPr>
          <w:spacing w:val="-14"/>
          <w:w w:val="95"/>
        </w:rPr>
        <w:t xml:space="preserve"> </w:t>
      </w:r>
      <w:r>
        <w:rPr>
          <w:w w:val="95"/>
        </w:rPr>
        <w:t>Infrastructure</w:t>
      </w:r>
      <w:r>
        <w:rPr>
          <w:spacing w:val="-10"/>
          <w:w w:val="95"/>
        </w:rPr>
        <w:t xml:space="preserve"> </w:t>
      </w:r>
      <w:r>
        <w:rPr>
          <w:w w:val="95"/>
        </w:rPr>
        <w:t>NSW</w:t>
      </w:r>
      <w:r>
        <w:rPr>
          <w:spacing w:val="-14"/>
          <w:w w:val="95"/>
        </w:rPr>
        <w:t xml:space="preserve"> </w:t>
      </w:r>
      <w:r>
        <w:rPr>
          <w:w w:val="95"/>
        </w:rPr>
        <w:t>expects</w:t>
      </w:r>
      <w:r>
        <w:rPr>
          <w:spacing w:val="-14"/>
          <w:w w:val="95"/>
        </w:rPr>
        <w:t xml:space="preserve"> </w:t>
      </w:r>
      <w:r>
        <w:rPr>
          <w:w w:val="95"/>
        </w:rPr>
        <w:t xml:space="preserve">the </w:t>
      </w:r>
      <w:r>
        <w:rPr>
          <w:w w:val="90"/>
        </w:rPr>
        <w:t xml:space="preserve">car will remain the dominant mode of transport in Greater </w:t>
      </w:r>
      <w:r>
        <w:rPr>
          <w:w w:val="95"/>
        </w:rPr>
        <w:t>Sydney.</w:t>
      </w:r>
      <w:r>
        <w:rPr>
          <w:spacing w:val="-15"/>
          <w:w w:val="95"/>
        </w:rPr>
        <w:t xml:space="preserve"> </w:t>
      </w:r>
      <w:r>
        <w:rPr>
          <w:w w:val="95"/>
        </w:rPr>
        <w:t>Investment</w:t>
      </w:r>
      <w:r>
        <w:rPr>
          <w:spacing w:val="-14"/>
          <w:w w:val="95"/>
        </w:rPr>
        <w:t xml:space="preserve"> </w:t>
      </w:r>
      <w:r>
        <w:rPr>
          <w:w w:val="95"/>
        </w:rPr>
        <w:t>is</w:t>
      </w:r>
      <w:r>
        <w:rPr>
          <w:spacing w:val="-14"/>
          <w:w w:val="95"/>
        </w:rPr>
        <w:t xml:space="preserve"> </w:t>
      </w:r>
      <w:r>
        <w:rPr>
          <w:w w:val="95"/>
        </w:rPr>
        <w:t>needed</w:t>
      </w:r>
      <w:r>
        <w:rPr>
          <w:spacing w:val="-14"/>
          <w:w w:val="95"/>
        </w:rPr>
        <w:t xml:space="preserve"> </w:t>
      </w:r>
      <w:r>
        <w:rPr>
          <w:w w:val="95"/>
        </w:rPr>
        <w:t>to</w:t>
      </w:r>
      <w:r>
        <w:rPr>
          <w:spacing w:val="-15"/>
          <w:w w:val="95"/>
        </w:rPr>
        <w:t xml:space="preserve"> </w:t>
      </w:r>
      <w:r>
        <w:rPr>
          <w:w w:val="95"/>
        </w:rPr>
        <w:t>ensure</w:t>
      </w:r>
      <w:r>
        <w:rPr>
          <w:spacing w:val="-14"/>
          <w:w w:val="95"/>
        </w:rPr>
        <w:t xml:space="preserve"> </w:t>
      </w:r>
      <w:r>
        <w:rPr>
          <w:w w:val="95"/>
        </w:rPr>
        <w:t>sufficient</w:t>
      </w:r>
      <w:r>
        <w:rPr>
          <w:spacing w:val="-14"/>
          <w:w w:val="95"/>
        </w:rPr>
        <w:t xml:space="preserve"> </w:t>
      </w:r>
      <w:r>
        <w:rPr>
          <w:w w:val="95"/>
        </w:rPr>
        <w:t xml:space="preserve">road </w:t>
      </w:r>
      <w:r>
        <w:rPr>
          <w:w w:val="90"/>
        </w:rPr>
        <w:t>capacity is available and is utilised effectively, particularly along</w:t>
      </w:r>
      <w:r>
        <w:rPr>
          <w:spacing w:val="-2"/>
          <w:w w:val="90"/>
        </w:rPr>
        <w:t xml:space="preserve"> </w:t>
      </w:r>
      <w:r>
        <w:rPr>
          <w:w w:val="90"/>
        </w:rPr>
        <w:t>the</w:t>
      </w:r>
      <w:r>
        <w:rPr>
          <w:spacing w:val="-2"/>
          <w:w w:val="90"/>
        </w:rPr>
        <w:t xml:space="preserve"> </w:t>
      </w:r>
      <w:r>
        <w:rPr>
          <w:w w:val="90"/>
        </w:rPr>
        <w:t>motorway</w:t>
      </w:r>
      <w:r>
        <w:rPr>
          <w:spacing w:val="-2"/>
          <w:w w:val="90"/>
        </w:rPr>
        <w:t xml:space="preserve"> </w:t>
      </w:r>
      <w:r>
        <w:rPr>
          <w:w w:val="90"/>
        </w:rPr>
        <w:t>network.</w:t>
      </w:r>
      <w:r>
        <w:rPr>
          <w:spacing w:val="-2"/>
          <w:w w:val="90"/>
        </w:rPr>
        <w:t xml:space="preserve"> </w:t>
      </w:r>
      <w:r>
        <w:rPr>
          <w:w w:val="90"/>
        </w:rPr>
        <w:t>These</w:t>
      </w:r>
      <w:r>
        <w:rPr>
          <w:spacing w:val="-2"/>
          <w:w w:val="90"/>
        </w:rPr>
        <w:t xml:space="preserve"> </w:t>
      </w:r>
      <w:r>
        <w:rPr>
          <w:w w:val="90"/>
        </w:rPr>
        <w:t>issues</w:t>
      </w:r>
      <w:r>
        <w:rPr>
          <w:spacing w:val="-2"/>
          <w:w w:val="90"/>
        </w:rPr>
        <w:t xml:space="preserve"> </w:t>
      </w:r>
      <w:r>
        <w:rPr>
          <w:w w:val="90"/>
        </w:rPr>
        <w:t>are</w:t>
      </w:r>
      <w:r>
        <w:rPr>
          <w:spacing w:val="-2"/>
          <w:w w:val="90"/>
        </w:rPr>
        <w:t xml:space="preserve"> </w:t>
      </w:r>
      <w:r>
        <w:rPr>
          <w:w w:val="90"/>
        </w:rPr>
        <w:t xml:space="preserve">discussed </w:t>
      </w:r>
      <w:r>
        <w:t>further</w:t>
      </w:r>
      <w:r>
        <w:rPr>
          <w:spacing w:val="-6"/>
        </w:rPr>
        <w:t xml:space="preserve"> </w:t>
      </w:r>
      <w:r>
        <w:t>in</w:t>
      </w:r>
      <w:r>
        <w:rPr>
          <w:spacing w:val="-6"/>
        </w:rPr>
        <w:t xml:space="preserve"> </w:t>
      </w:r>
      <w:r>
        <w:t>Section</w:t>
      </w:r>
      <w:r>
        <w:rPr>
          <w:spacing w:val="-6"/>
        </w:rPr>
        <w:t xml:space="preserve"> </w:t>
      </w:r>
      <w:r>
        <w:t>6.</w:t>
      </w:r>
    </w:p>
    <w:p w:rsidR="002C1123" w:rsidRDefault="00F22F94">
      <w:pPr>
        <w:pStyle w:val="BodyText"/>
        <w:spacing w:before="147" w:line="249" w:lineRule="auto"/>
        <w:ind w:left="492" w:right="59"/>
      </w:pPr>
      <w:r>
        <w:t>For</w:t>
      </w:r>
      <w:r>
        <w:rPr>
          <w:spacing w:val="-11"/>
        </w:rPr>
        <w:t xml:space="preserve"> </w:t>
      </w:r>
      <w:r>
        <w:t>major</w:t>
      </w:r>
      <w:r>
        <w:rPr>
          <w:spacing w:val="-11"/>
        </w:rPr>
        <w:t xml:space="preserve"> </w:t>
      </w:r>
      <w:r>
        <w:t>employment</w:t>
      </w:r>
      <w:r>
        <w:rPr>
          <w:spacing w:val="-11"/>
        </w:rPr>
        <w:t xml:space="preserve"> </w:t>
      </w:r>
      <w:r>
        <w:t>centres,</w:t>
      </w:r>
      <w:r>
        <w:rPr>
          <w:spacing w:val="-11"/>
        </w:rPr>
        <w:t xml:space="preserve"> </w:t>
      </w:r>
      <w:r>
        <w:t>action</w:t>
      </w:r>
      <w:r>
        <w:rPr>
          <w:spacing w:val="-11"/>
        </w:rPr>
        <w:t xml:space="preserve"> </w:t>
      </w:r>
      <w:r>
        <w:t>will</w:t>
      </w:r>
      <w:r>
        <w:rPr>
          <w:spacing w:val="-11"/>
        </w:rPr>
        <w:t xml:space="preserve"> </w:t>
      </w:r>
      <w:r>
        <w:t>be</w:t>
      </w:r>
      <w:r>
        <w:rPr>
          <w:spacing w:val="-11"/>
        </w:rPr>
        <w:t xml:space="preserve"> </w:t>
      </w:r>
      <w:r>
        <w:t xml:space="preserve">needed </w:t>
      </w:r>
      <w:r>
        <w:rPr>
          <w:w w:val="95"/>
        </w:rPr>
        <w:t>to</w:t>
      </w:r>
      <w:r>
        <w:rPr>
          <w:spacing w:val="-5"/>
          <w:w w:val="95"/>
        </w:rPr>
        <w:t xml:space="preserve"> </w:t>
      </w:r>
      <w:r>
        <w:rPr>
          <w:w w:val="95"/>
        </w:rPr>
        <w:t>enable</w:t>
      </w:r>
      <w:r>
        <w:rPr>
          <w:spacing w:val="-5"/>
          <w:w w:val="95"/>
        </w:rPr>
        <w:t xml:space="preserve"> </w:t>
      </w:r>
      <w:r>
        <w:rPr>
          <w:w w:val="95"/>
        </w:rPr>
        <w:t>a</w:t>
      </w:r>
      <w:r>
        <w:rPr>
          <w:spacing w:val="-5"/>
          <w:w w:val="95"/>
        </w:rPr>
        <w:t xml:space="preserve"> </w:t>
      </w:r>
      <w:r>
        <w:rPr>
          <w:w w:val="95"/>
        </w:rPr>
        <w:t>higher</w:t>
      </w:r>
      <w:r>
        <w:rPr>
          <w:spacing w:val="-4"/>
          <w:w w:val="95"/>
        </w:rPr>
        <w:t xml:space="preserve"> </w:t>
      </w:r>
      <w:r>
        <w:rPr>
          <w:w w:val="95"/>
        </w:rPr>
        <w:t>proportion</w:t>
      </w:r>
      <w:r>
        <w:rPr>
          <w:spacing w:val="-5"/>
          <w:w w:val="95"/>
        </w:rPr>
        <w:t xml:space="preserve"> </w:t>
      </w:r>
      <w:r>
        <w:rPr>
          <w:w w:val="95"/>
        </w:rPr>
        <w:t>of</w:t>
      </w:r>
      <w:r>
        <w:rPr>
          <w:spacing w:val="-5"/>
          <w:w w:val="95"/>
        </w:rPr>
        <w:t xml:space="preserve"> </w:t>
      </w:r>
      <w:r>
        <w:rPr>
          <w:w w:val="95"/>
        </w:rPr>
        <w:t>journeys</w:t>
      </w:r>
      <w:r>
        <w:rPr>
          <w:spacing w:val="-4"/>
          <w:w w:val="95"/>
        </w:rPr>
        <w:t xml:space="preserve"> </w:t>
      </w:r>
      <w:r>
        <w:rPr>
          <w:w w:val="95"/>
        </w:rPr>
        <w:t>to</w:t>
      </w:r>
      <w:r>
        <w:rPr>
          <w:spacing w:val="-5"/>
          <w:w w:val="95"/>
        </w:rPr>
        <w:t xml:space="preserve"> </w:t>
      </w:r>
      <w:r>
        <w:rPr>
          <w:w w:val="95"/>
        </w:rPr>
        <w:t>be</w:t>
      </w:r>
      <w:r>
        <w:rPr>
          <w:spacing w:val="-5"/>
          <w:w w:val="95"/>
        </w:rPr>
        <w:t xml:space="preserve"> </w:t>
      </w:r>
      <w:r>
        <w:rPr>
          <w:w w:val="95"/>
        </w:rPr>
        <w:t>made</w:t>
      </w:r>
      <w:r>
        <w:rPr>
          <w:spacing w:val="-4"/>
          <w:w w:val="95"/>
        </w:rPr>
        <w:t xml:space="preserve"> </w:t>
      </w:r>
      <w:r>
        <w:rPr>
          <w:spacing w:val="-5"/>
          <w:w w:val="95"/>
        </w:rPr>
        <w:t>by</w:t>
      </w:r>
    </w:p>
    <w:p w:rsidR="002C1123" w:rsidRDefault="00F22F94">
      <w:pPr>
        <w:pStyle w:val="BodyText"/>
        <w:spacing w:before="2" w:line="249" w:lineRule="auto"/>
        <w:ind w:left="492" w:right="59"/>
      </w:pPr>
      <w:r>
        <w:rPr>
          <w:w w:val="95"/>
        </w:rPr>
        <w:t xml:space="preserve">public transport as these centres grow. Public transport </w:t>
      </w:r>
      <w:r>
        <w:t>in</w:t>
      </w:r>
      <w:r>
        <w:rPr>
          <w:spacing w:val="-8"/>
        </w:rPr>
        <w:t xml:space="preserve"> </w:t>
      </w:r>
      <w:r>
        <w:t>Sydney</w:t>
      </w:r>
      <w:r>
        <w:rPr>
          <w:spacing w:val="-8"/>
        </w:rPr>
        <w:t xml:space="preserve"> </w:t>
      </w:r>
      <w:r>
        <w:t>is</w:t>
      </w:r>
      <w:r>
        <w:rPr>
          <w:spacing w:val="-8"/>
        </w:rPr>
        <w:t xml:space="preserve"> </w:t>
      </w:r>
      <w:r>
        <w:t>discussed</w:t>
      </w:r>
      <w:r>
        <w:rPr>
          <w:spacing w:val="-8"/>
        </w:rPr>
        <w:t xml:space="preserve"> </w:t>
      </w:r>
      <w:r>
        <w:t>in</w:t>
      </w:r>
      <w:r>
        <w:rPr>
          <w:spacing w:val="-8"/>
        </w:rPr>
        <w:t xml:space="preserve"> </w:t>
      </w:r>
      <w:r>
        <w:t>Sections</w:t>
      </w:r>
      <w:r>
        <w:rPr>
          <w:spacing w:val="-8"/>
        </w:rPr>
        <w:t xml:space="preserve"> </w:t>
      </w:r>
      <w:r>
        <w:t>7</w:t>
      </w:r>
      <w:r>
        <w:rPr>
          <w:spacing w:val="-8"/>
        </w:rPr>
        <w:t xml:space="preserve"> </w:t>
      </w:r>
      <w:r>
        <w:t>and</w:t>
      </w:r>
      <w:r>
        <w:rPr>
          <w:spacing w:val="-8"/>
        </w:rPr>
        <w:t xml:space="preserve"> </w:t>
      </w:r>
      <w:r>
        <w:t>8.</w:t>
      </w:r>
    </w:p>
    <w:p w:rsidR="002C1123" w:rsidRDefault="00F22F94">
      <w:pPr>
        <w:pStyle w:val="BodyText"/>
        <w:spacing w:before="143" w:line="249" w:lineRule="auto"/>
        <w:ind w:left="492"/>
      </w:pPr>
      <w:r>
        <w:rPr>
          <w:spacing w:val="-2"/>
          <w:w w:val="95"/>
        </w:rPr>
        <w:t>Plans</w:t>
      </w:r>
      <w:r>
        <w:rPr>
          <w:spacing w:val="-6"/>
          <w:w w:val="95"/>
        </w:rPr>
        <w:t xml:space="preserve"> </w:t>
      </w:r>
      <w:r>
        <w:rPr>
          <w:spacing w:val="-2"/>
          <w:w w:val="95"/>
        </w:rPr>
        <w:t>will</w:t>
      </w:r>
      <w:r>
        <w:rPr>
          <w:spacing w:val="-6"/>
          <w:w w:val="95"/>
        </w:rPr>
        <w:t xml:space="preserve"> </w:t>
      </w:r>
      <w:r>
        <w:rPr>
          <w:spacing w:val="-2"/>
          <w:w w:val="95"/>
        </w:rPr>
        <w:t>need</w:t>
      </w:r>
      <w:r>
        <w:rPr>
          <w:spacing w:val="-6"/>
          <w:w w:val="95"/>
        </w:rPr>
        <w:t xml:space="preserve"> </w:t>
      </w:r>
      <w:r>
        <w:rPr>
          <w:spacing w:val="-2"/>
          <w:w w:val="95"/>
        </w:rPr>
        <w:t>to</w:t>
      </w:r>
      <w:r>
        <w:rPr>
          <w:spacing w:val="-6"/>
          <w:w w:val="95"/>
        </w:rPr>
        <w:t xml:space="preserve"> </w:t>
      </w:r>
      <w:r>
        <w:rPr>
          <w:spacing w:val="-2"/>
          <w:w w:val="95"/>
        </w:rPr>
        <w:t>account</w:t>
      </w:r>
      <w:r>
        <w:rPr>
          <w:spacing w:val="-6"/>
          <w:w w:val="95"/>
        </w:rPr>
        <w:t xml:space="preserve"> </w:t>
      </w:r>
      <w:r>
        <w:rPr>
          <w:spacing w:val="-2"/>
          <w:w w:val="95"/>
        </w:rPr>
        <w:t>for</w:t>
      </w:r>
      <w:r>
        <w:rPr>
          <w:spacing w:val="-6"/>
          <w:w w:val="95"/>
        </w:rPr>
        <w:t xml:space="preserve"> </w:t>
      </w:r>
      <w:r>
        <w:rPr>
          <w:spacing w:val="-2"/>
          <w:w w:val="95"/>
        </w:rPr>
        <w:t>freight</w:t>
      </w:r>
      <w:r>
        <w:rPr>
          <w:spacing w:val="-6"/>
          <w:w w:val="95"/>
        </w:rPr>
        <w:t xml:space="preserve"> </w:t>
      </w:r>
      <w:r>
        <w:rPr>
          <w:spacing w:val="-2"/>
          <w:w w:val="95"/>
        </w:rPr>
        <w:t>journeys</w:t>
      </w:r>
      <w:r>
        <w:rPr>
          <w:spacing w:val="-6"/>
          <w:w w:val="95"/>
        </w:rPr>
        <w:t xml:space="preserve"> </w:t>
      </w:r>
      <w:r>
        <w:rPr>
          <w:spacing w:val="-2"/>
          <w:w w:val="95"/>
        </w:rPr>
        <w:t>to,</w:t>
      </w:r>
      <w:r>
        <w:rPr>
          <w:spacing w:val="-6"/>
          <w:w w:val="95"/>
        </w:rPr>
        <w:t xml:space="preserve"> </w:t>
      </w:r>
      <w:r>
        <w:rPr>
          <w:spacing w:val="-2"/>
          <w:w w:val="95"/>
        </w:rPr>
        <w:t>from</w:t>
      </w:r>
      <w:r>
        <w:rPr>
          <w:spacing w:val="-6"/>
          <w:w w:val="95"/>
        </w:rPr>
        <w:t xml:space="preserve"> </w:t>
      </w:r>
      <w:r>
        <w:rPr>
          <w:spacing w:val="-2"/>
          <w:w w:val="95"/>
        </w:rPr>
        <w:t xml:space="preserve">and </w:t>
      </w:r>
      <w:r>
        <w:rPr>
          <w:w w:val="95"/>
        </w:rPr>
        <w:t xml:space="preserve">within Greater Sydney as well. Most freight journeys are </w:t>
      </w:r>
      <w:r>
        <w:t>expected</w:t>
      </w:r>
      <w:r>
        <w:rPr>
          <w:spacing w:val="-7"/>
        </w:rPr>
        <w:t xml:space="preserve"> </w:t>
      </w:r>
      <w:r>
        <w:t>to</w:t>
      </w:r>
      <w:r>
        <w:rPr>
          <w:spacing w:val="-7"/>
        </w:rPr>
        <w:t xml:space="preserve"> </w:t>
      </w:r>
      <w:r>
        <w:t>continue</w:t>
      </w:r>
      <w:r>
        <w:rPr>
          <w:spacing w:val="-7"/>
        </w:rPr>
        <w:t xml:space="preserve"> </w:t>
      </w:r>
      <w:r>
        <w:t>to</w:t>
      </w:r>
      <w:r>
        <w:rPr>
          <w:spacing w:val="-7"/>
        </w:rPr>
        <w:t xml:space="preserve"> </w:t>
      </w:r>
      <w:r>
        <w:t>be</w:t>
      </w:r>
      <w:r>
        <w:rPr>
          <w:spacing w:val="-7"/>
        </w:rPr>
        <w:t xml:space="preserve"> </w:t>
      </w:r>
      <w:r>
        <w:t>undertaken</w:t>
      </w:r>
      <w:r>
        <w:rPr>
          <w:spacing w:val="-7"/>
        </w:rPr>
        <w:t xml:space="preserve"> </w:t>
      </w:r>
      <w:r>
        <w:t>by</w:t>
      </w:r>
      <w:r>
        <w:rPr>
          <w:spacing w:val="-7"/>
        </w:rPr>
        <w:t xml:space="preserve"> </w:t>
      </w:r>
      <w:r>
        <w:t>road,</w:t>
      </w:r>
      <w:r>
        <w:rPr>
          <w:spacing w:val="-7"/>
        </w:rPr>
        <w:t xml:space="preserve"> </w:t>
      </w:r>
      <w:r>
        <w:t>due</w:t>
      </w:r>
      <w:r>
        <w:rPr>
          <w:spacing w:val="-7"/>
        </w:rPr>
        <w:t xml:space="preserve"> </w:t>
      </w:r>
      <w:r>
        <w:t xml:space="preserve">to </w:t>
      </w:r>
      <w:r>
        <w:rPr>
          <w:spacing w:val="-2"/>
        </w:rPr>
        <w:t>the</w:t>
      </w:r>
      <w:r>
        <w:rPr>
          <w:spacing w:val="-6"/>
        </w:rPr>
        <w:t xml:space="preserve"> </w:t>
      </w:r>
      <w:r>
        <w:rPr>
          <w:spacing w:val="-2"/>
        </w:rPr>
        <w:t>cost,</w:t>
      </w:r>
      <w:r>
        <w:rPr>
          <w:spacing w:val="-6"/>
        </w:rPr>
        <w:t xml:space="preserve"> </w:t>
      </w:r>
      <w:r>
        <w:rPr>
          <w:spacing w:val="-2"/>
        </w:rPr>
        <w:t>flexibility</w:t>
      </w:r>
      <w:r>
        <w:rPr>
          <w:spacing w:val="-6"/>
        </w:rPr>
        <w:t xml:space="preserve"> </w:t>
      </w:r>
      <w:r>
        <w:rPr>
          <w:spacing w:val="-2"/>
        </w:rPr>
        <w:t>and</w:t>
      </w:r>
      <w:r>
        <w:rPr>
          <w:spacing w:val="-6"/>
        </w:rPr>
        <w:t xml:space="preserve"> </w:t>
      </w:r>
      <w:r>
        <w:rPr>
          <w:spacing w:val="-2"/>
        </w:rPr>
        <w:t>reliability</w:t>
      </w:r>
      <w:r>
        <w:rPr>
          <w:spacing w:val="-6"/>
        </w:rPr>
        <w:t xml:space="preserve"> </w:t>
      </w:r>
      <w:r>
        <w:rPr>
          <w:spacing w:val="-2"/>
        </w:rPr>
        <w:t>of</w:t>
      </w:r>
      <w:r>
        <w:rPr>
          <w:spacing w:val="-6"/>
        </w:rPr>
        <w:t xml:space="preserve"> </w:t>
      </w:r>
      <w:r>
        <w:rPr>
          <w:spacing w:val="-2"/>
        </w:rPr>
        <w:t>road</w:t>
      </w:r>
      <w:r>
        <w:rPr>
          <w:spacing w:val="-6"/>
        </w:rPr>
        <w:t xml:space="preserve"> </w:t>
      </w:r>
      <w:r>
        <w:rPr>
          <w:spacing w:val="-2"/>
        </w:rPr>
        <w:t>freight.</w:t>
      </w:r>
      <w:r>
        <w:rPr>
          <w:spacing w:val="-6"/>
        </w:rPr>
        <w:t xml:space="preserve"> </w:t>
      </w:r>
      <w:r>
        <w:rPr>
          <w:spacing w:val="-2"/>
        </w:rPr>
        <w:t xml:space="preserve">Freight </w:t>
      </w:r>
      <w:r>
        <w:t>issues</w:t>
      </w:r>
      <w:r>
        <w:rPr>
          <w:spacing w:val="-12"/>
        </w:rPr>
        <w:t xml:space="preserve"> </w:t>
      </w:r>
      <w:r>
        <w:t>in</w:t>
      </w:r>
      <w:r>
        <w:rPr>
          <w:spacing w:val="-12"/>
        </w:rPr>
        <w:t xml:space="preserve"> </w:t>
      </w:r>
      <w:r>
        <w:t>Sydney</w:t>
      </w:r>
      <w:r>
        <w:rPr>
          <w:spacing w:val="-12"/>
        </w:rPr>
        <w:t xml:space="preserve"> </w:t>
      </w:r>
      <w:r>
        <w:t>are</w:t>
      </w:r>
      <w:r>
        <w:rPr>
          <w:spacing w:val="-12"/>
        </w:rPr>
        <w:t xml:space="preserve"> </w:t>
      </w:r>
      <w:r>
        <w:t>discussed</w:t>
      </w:r>
      <w:r>
        <w:rPr>
          <w:spacing w:val="-12"/>
        </w:rPr>
        <w:t xml:space="preserve"> </w:t>
      </w:r>
      <w:r>
        <w:t>in</w:t>
      </w:r>
      <w:r>
        <w:rPr>
          <w:spacing w:val="-12"/>
        </w:rPr>
        <w:t xml:space="preserve"> </w:t>
      </w:r>
      <w:r>
        <w:t>Section</w:t>
      </w:r>
      <w:r>
        <w:rPr>
          <w:spacing w:val="-12"/>
        </w:rPr>
        <w:t xml:space="preserve"> </w:t>
      </w:r>
      <w:r>
        <w:t>9.</w:t>
      </w:r>
    </w:p>
    <w:p w:rsidR="002C1123" w:rsidRDefault="00F22F94">
      <w:pPr>
        <w:pStyle w:val="BodyText"/>
        <w:spacing w:before="106" w:line="249" w:lineRule="auto"/>
        <w:ind w:left="492" w:right="835"/>
      </w:pPr>
      <w:r>
        <w:br w:type="column"/>
      </w:r>
      <w:r>
        <w:rPr>
          <w:w w:val="95"/>
        </w:rPr>
        <w:t>Sensible</w:t>
      </w:r>
      <w:r>
        <w:rPr>
          <w:spacing w:val="-9"/>
          <w:w w:val="95"/>
        </w:rPr>
        <w:t xml:space="preserve"> </w:t>
      </w:r>
      <w:r>
        <w:rPr>
          <w:w w:val="95"/>
        </w:rPr>
        <w:t>planning</w:t>
      </w:r>
      <w:r>
        <w:rPr>
          <w:spacing w:val="-9"/>
          <w:w w:val="95"/>
        </w:rPr>
        <w:t xml:space="preserve"> </w:t>
      </w:r>
      <w:r>
        <w:rPr>
          <w:w w:val="95"/>
        </w:rPr>
        <w:t>also</w:t>
      </w:r>
      <w:r>
        <w:rPr>
          <w:spacing w:val="-9"/>
          <w:w w:val="95"/>
        </w:rPr>
        <w:t xml:space="preserve"> </w:t>
      </w:r>
      <w:r>
        <w:rPr>
          <w:w w:val="95"/>
        </w:rPr>
        <w:t>requires</w:t>
      </w:r>
      <w:r>
        <w:rPr>
          <w:spacing w:val="-9"/>
          <w:w w:val="95"/>
        </w:rPr>
        <w:t xml:space="preserve"> </w:t>
      </w:r>
      <w:r>
        <w:rPr>
          <w:w w:val="95"/>
        </w:rPr>
        <w:t>the</w:t>
      </w:r>
      <w:r>
        <w:rPr>
          <w:spacing w:val="-9"/>
          <w:w w:val="95"/>
        </w:rPr>
        <w:t xml:space="preserve"> </w:t>
      </w:r>
      <w:r>
        <w:rPr>
          <w:w w:val="95"/>
        </w:rPr>
        <w:t>identification</w:t>
      </w:r>
      <w:r>
        <w:rPr>
          <w:spacing w:val="-9"/>
          <w:w w:val="95"/>
        </w:rPr>
        <w:t xml:space="preserve"> </w:t>
      </w:r>
      <w:r>
        <w:rPr>
          <w:w w:val="95"/>
        </w:rPr>
        <w:t xml:space="preserve">and </w:t>
      </w:r>
      <w:r>
        <w:rPr>
          <w:spacing w:val="-2"/>
        </w:rPr>
        <w:t>preservation</w:t>
      </w:r>
      <w:r>
        <w:rPr>
          <w:spacing w:val="-7"/>
        </w:rPr>
        <w:t xml:space="preserve"> </w:t>
      </w:r>
      <w:r>
        <w:rPr>
          <w:spacing w:val="-2"/>
        </w:rPr>
        <w:t>of</w:t>
      </w:r>
      <w:r>
        <w:rPr>
          <w:spacing w:val="-7"/>
        </w:rPr>
        <w:t xml:space="preserve"> </w:t>
      </w:r>
      <w:r>
        <w:rPr>
          <w:spacing w:val="-2"/>
        </w:rPr>
        <w:t>potential</w:t>
      </w:r>
      <w:r>
        <w:rPr>
          <w:spacing w:val="-7"/>
        </w:rPr>
        <w:t xml:space="preserve"> </w:t>
      </w:r>
      <w:r>
        <w:rPr>
          <w:spacing w:val="-2"/>
        </w:rPr>
        <w:t>road</w:t>
      </w:r>
      <w:r>
        <w:rPr>
          <w:spacing w:val="-7"/>
        </w:rPr>
        <w:t xml:space="preserve"> </w:t>
      </w:r>
      <w:r>
        <w:rPr>
          <w:spacing w:val="-2"/>
        </w:rPr>
        <w:t>and</w:t>
      </w:r>
      <w:r>
        <w:rPr>
          <w:spacing w:val="-7"/>
        </w:rPr>
        <w:t xml:space="preserve"> </w:t>
      </w:r>
      <w:r>
        <w:rPr>
          <w:spacing w:val="-2"/>
        </w:rPr>
        <w:t>rail</w:t>
      </w:r>
      <w:r>
        <w:rPr>
          <w:spacing w:val="-7"/>
        </w:rPr>
        <w:t xml:space="preserve"> </w:t>
      </w:r>
      <w:r>
        <w:rPr>
          <w:spacing w:val="-2"/>
        </w:rPr>
        <w:t>corridors</w:t>
      </w:r>
      <w:r>
        <w:rPr>
          <w:spacing w:val="-7"/>
        </w:rPr>
        <w:t xml:space="preserve"> </w:t>
      </w:r>
      <w:r>
        <w:rPr>
          <w:spacing w:val="-2"/>
        </w:rPr>
        <w:t xml:space="preserve">and </w:t>
      </w:r>
      <w:r>
        <w:rPr>
          <w:w w:val="95"/>
        </w:rPr>
        <w:t>sites</w:t>
      </w:r>
      <w:r>
        <w:rPr>
          <w:spacing w:val="-7"/>
          <w:w w:val="95"/>
        </w:rPr>
        <w:t xml:space="preserve"> </w:t>
      </w:r>
      <w:r>
        <w:rPr>
          <w:w w:val="95"/>
        </w:rPr>
        <w:t>for</w:t>
      </w:r>
      <w:r>
        <w:rPr>
          <w:spacing w:val="-8"/>
          <w:w w:val="95"/>
        </w:rPr>
        <w:t xml:space="preserve"> </w:t>
      </w:r>
      <w:r>
        <w:rPr>
          <w:w w:val="95"/>
        </w:rPr>
        <w:t>major</w:t>
      </w:r>
      <w:r>
        <w:rPr>
          <w:spacing w:val="-7"/>
          <w:w w:val="95"/>
        </w:rPr>
        <w:t xml:space="preserve"> </w:t>
      </w:r>
      <w:r>
        <w:rPr>
          <w:w w:val="95"/>
        </w:rPr>
        <w:t>infrastructure</w:t>
      </w:r>
      <w:r>
        <w:rPr>
          <w:spacing w:val="-8"/>
          <w:w w:val="95"/>
        </w:rPr>
        <w:t xml:space="preserve"> </w:t>
      </w:r>
      <w:r>
        <w:rPr>
          <w:w w:val="95"/>
        </w:rPr>
        <w:t>facilities</w:t>
      </w:r>
      <w:r>
        <w:rPr>
          <w:spacing w:val="-7"/>
          <w:w w:val="95"/>
        </w:rPr>
        <w:t xml:space="preserve"> </w:t>
      </w:r>
      <w:r>
        <w:rPr>
          <w:w w:val="95"/>
        </w:rPr>
        <w:t>(such</w:t>
      </w:r>
      <w:r>
        <w:rPr>
          <w:spacing w:val="-8"/>
          <w:w w:val="95"/>
        </w:rPr>
        <w:t xml:space="preserve"> </w:t>
      </w:r>
      <w:r>
        <w:rPr>
          <w:w w:val="95"/>
        </w:rPr>
        <w:t>as</w:t>
      </w:r>
      <w:r>
        <w:rPr>
          <w:spacing w:val="-7"/>
          <w:w w:val="95"/>
        </w:rPr>
        <w:t xml:space="preserve"> </w:t>
      </w:r>
      <w:r>
        <w:rPr>
          <w:w w:val="95"/>
        </w:rPr>
        <w:t xml:space="preserve">freight </w:t>
      </w:r>
      <w:r>
        <w:rPr>
          <w:spacing w:val="-2"/>
        </w:rPr>
        <w:t>intermodal</w:t>
      </w:r>
      <w:r>
        <w:rPr>
          <w:spacing w:val="-8"/>
        </w:rPr>
        <w:t xml:space="preserve"> </w:t>
      </w:r>
      <w:r>
        <w:rPr>
          <w:spacing w:val="-2"/>
        </w:rPr>
        <w:t>terminals)</w:t>
      </w:r>
      <w:r>
        <w:rPr>
          <w:spacing w:val="-8"/>
        </w:rPr>
        <w:t xml:space="preserve"> </w:t>
      </w:r>
      <w:r>
        <w:rPr>
          <w:spacing w:val="-2"/>
        </w:rPr>
        <w:t>within</w:t>
      </w:r>
      <w:r>
        <w:rPr>
          <w:spacing w:val="-8"/>
        </w:rPr>
        <w:t xml:space="preserve"> </w:t>
      </w:r>
      <w:r>
        <w:rPr>
          <w:spacing w:val="-2"/>
        </w:rPr>
        <w:t>Greater</w:t>
      </w:r>
      <w:r>
        <w:rPr>
          <w:spacing w:val="-8"/>
        </w:rPr>
        <w:t xml:space="preserve"> </w:t>
      </w:r>
      <w:r>
        <w:rPr>
          <w:spacing w:val="-2"/>
        </w:rPr>
        <w:t>Sydney.</w:t>
      </w:r>
      <w:r>
        <w:rPr>
          <w:spacing w:val="-8"/>
        </w:rPr>
        <w:t xml:space="preserve"> </w:t>
      </w:r>
      <w:r>
        <w:rPr>
          <w:spacing w:val="-2"/>
        </w:rPr>
        <w:t xml:space="preserve">The </w:t>
      </w:r>
      <w:r>
        <w:t>value</w:t>
      </w:r>
      <w:r>
        <w:rPr>
          <w:spacing w:val="-14"/>
        </w:rPr>
        <w:t xml:space="preserve"> </w:t>
      </w:r>
      <w:r>
        <w:t>of</w:t>
      </w:r>
      <w:r>
        <w:rPr>
          <w:spacing w:val="-14"/>
        </w:rPr>
        <w:t xml:space="preserve"> </w:t>
      </w:r>
      <w:r>
        <w:t>corridor</w:t>
      </w:r>
      <w:r>
        <w:rPr>
          <w:spacing w:val="-14"/>
        </w:rPr>
        <w:t xml:space="preserve"> </w:t>
      </w:r>
      <w:r>
        <w:t>preservation</w:t>
      </w:r>
      <w:r>
        <w:rPr>
          <w:spacing w:val="-14"/>
        </w:rPr>
        <w:t xml:space="preserve"> </w:t>
      </w:r>
      <w:r>
        <w:t>can</w:t>
      </w:r>
      <w:r>
        <w:rPr>
          <w:spacing w:val="-14"/>
        </w:rPr>
        <w:t xml:space="preserve"> </w:t>
      </w:r>
      <w:r>
        <w:t>be</w:t>
      </w:r>
      <w:r>
        <w:rPr>
          <w:spacing w:val="-14"/>
        </w:rPr>
        <w:t xml:space="preserve"> </w:t>
      </w:r>
      <w:r>
        <w:t>seen</w:t>
      </w:r>
      <w:r>
        <w:rPr>
          <w:spacing w:val="-14"/>
        </w:rPr>
        <w:t xml:space="preserve"> </w:t>
      </w:r>
      <w:r>
        <w:t>in</w:t>
      </w:r>
      <w:r>
        <w:rPr>
          <w:spacing w:val="-14"/>
        </w:rPr>
        <w:t xml:space="preserve"> </w:t>
      </w:r>
      <w:r>
        <w:t>roads such</w:t>
      </w:r>
      <w:r>
        <w:rPr>
          <w:spacing w:val="-7"/>
        </w:rPr>
        <w:t xml:space="preserve"> </w:t>
      </w:r>
      <w:r>
        <w:t>as</w:t>
      </w:r>
      <w:r>
        <w:rPr>
          <w:spacing w:val="-7"/>
        </w:rPr>
        <w:t xml:space="preserve"> </w:t>
      </w:r>
      <w:r>
        <w:t>the</w:t>
      </w:r>
      <w:r>
        <w:rPr>
          <w:spacing w:val="-7"/>
        </w:rPr>
        <w:t xml:space="preserve"> </w:t>
      </w:r>
      <w:r>
        <w:t>M7</w:t>
      </w:r>
      <w:r>
        <w:rPr>
          <w:spacing w:val="-7"/>
        </w:rPr>
        <w:t xml:space="preserve"> </w:t>
      </w:r>
      <w:r>
        <w:t>Motorway,</w:t>
      </w:r>
      <w:r>
        <w:rPr>
          <w:spacing w:val="-7"/>
        </w:rPr>
        <w:t xml:space="preserve"> </w:t>
      </w:r>
      <w:r>
        <w:t>which</w:t>
      </w:r>
      <w:r>
        <w:rPr>
          <w:spacing w:val="-7"/>
        </w:rPr>
        <w:t xml:space="preserve"> </w:t>
      </w:r>
      <w:r>
        <w:t>was</w:t>
      </w:r>
      <w:r>
        <w:rPr>
          <w:spacing w:val="-7"/>
        </w:rPr>
        <w:t xml:space="preserve"> </w:t>
      </w:r>
      <w:r>
        <w:t>able</w:t>
      </w:r>
      <w:r>
        <w:rPr>
          <w:spacing w:val="-7"/>
        </w:rPr>
        <w:t xml:space="preserve"> </w:t>
      </w:r>
      <w:r>
        <w:t>to</w:t>
      </w:r>
      <w:r>
        <w:rPr>
          <w:spacing w:val="-7"/>
        </w:rPr>
        <w:t xml:space="preserve"> </w:t>
      </w:r>
      <w:r>
        <w:t>be</w:t>
      </w:r>
    </w:p>
    <w:p w:rsidR="002C1123" w:rsidRDefault="002060EF">
      <w:pPr>
        <w:pStyle w:val="BodyText"/>
        <w:spacing w:before="5" w:line="249" w:lineRule="auto"/>
        <w:ind w:left="492" w:right="646"/>
      </w:pPr>
      <w:r>
        <w:pict>
          <v:shape id="docshape809" o:spid="_x0000_s4520" type="#_x0000_t202" style="position:absolute;left:0;text-align:left;margin-left:300.95pt;margin-top:-69.5pt;width:240pt;height:411.05pt;z-index:251279360;mso-position-horizontal-relative:page" fillcolor="#e1e0e1" stroked="f">
            <v:textbox inset="0,0,0,0">
              <w:txbxContent>
                <w:p w:rsidR="00F22F94" w:rsidRDefault="00F22F94">
                  <w:pPr>
                    <w:spacing w:before="135" w:line="311" w:lineRule="exact"/>
                    <w:ind w:left="226"/>
                    <w:rPr>
                      <w:b/>
                      <w:color w:val="000000"/>
                      <w:sz w:val="28"/>
                    </w:rPr>
                  </w:pPr>
                  <w:r>
                    <w:rPr>
                      <w:b/>
                      <w:color w:val="EC008C"/>
                      <w:spacing w:val="-2"/>
                      <w:sz w:val="28"/>
                    </w:rPr>
                    <w:t>Parramatta</w:t>
                  </w:r>
                </w:p>
                <w:p w:rsidR="00F22F94" w:rsidRDefault="00F22F94">
                  <w:pPr>
                    <w:spacing w:line="311" w:lineRule="exact"/>
                    <w:ind w:left="226"/>
                    <w:rPr>
                      <w:b/>
                      <w:color w:val="000000"/>
                      <w:sz w:val="28"/>
                    </w:rPr>
                  </w:pPr>
                  <w:r>
                    <w:rPr>
                      <w:b/>
                      <w:color w:val="000000"/>
                      <w:spacing w:val="-2"/>
                      <w:sz w:val="28"/>
                    </w:rPr>
                    <w:t>The</w:t>
                  </w:r>
                  <w:r>
                    <w:rPr>
                      <w:b/>
                      <w:color w:val="000000"/>
                      <w:spacing w:val="-12"/>
                      <w:sz w:val="28"/>
                    </w:rPr>
                    <w:t xml:space="preserve"> </w:t>
                  </w:r>
                  <w:r>
                    <w:rPr>
                      <w:b/>
                      <w:color w:val="000000"/>
                      <w:spacing w:val="-2"/>
                      <w:sz w:val="28"/>
                    </w:rPr>
                    <w:t>Heart</w:t>
                  </w:r>
                  <w:r>
                    <w:rPr>
                      <w:b/>
                      <w:color w:val="000000"/>
                      <w:spacing w:val="-11"/>
                      <w:sz w:val="28"/>
                    </w:rPr>
                    <w:t xml:space="preserve"> </w:t>
                  </w:r>
                  <w:r>
                    <w:rPr>
                      <w:b/>
                      <w:color w:val="000000"/>
                      <w:spacing w:val="-2"/>
                      <w:sz w:val="28"/>
                    </w:rPr>
                    <w:t>of</w:t>
                  </w:r>
                  <w:r>
                    <w:rPr>
                      <w:b/>
                      <w:color w:val="000000"/>
                      <w:spacing w:val="-11"/>
                      <w:sz w:val="28"/>
                    </w:rPr>
                    <w:t xml:space="preserve"> </w:t>
                  </w:r>
                  <w:r>
                    <w:rPr>
                      <w:b/>
                      <w:color w:val="000000"/>
                      <w:spacing w:val="-2"/>
                      <w:sz w:val="28"/>
                    </w:rPr>
                    <w:t>Greater</w:t>
                  </w:r>
                  <w:r>
                    <w:rPr>
                      <w:b/>
                      <w:color w:val="000000"/>
                      <w:spacing w:val="-11"/>
                      <w:sz w:val="28"/>
                    </w:rPr>
                    <w:t xml:space="preserve"> </w:t>
                  </w:r>
                  <w:r>
                    <w:rPr>
                      <w:b/>
                      <w:color w:val="000000"/>
                      <w:spacing w:val="-2"/>
                      <w:sz w:val="28"/>
                    </w:rPr>
                    <w:t>Sydney</w:t>
                  </w:r>
                </w:p>
                <w:p w:rsidR="00F22F94" w:rsidRDefault="00F22F94">
                  <w:pPr>
                    <w:spacing w:before="134" w:line="254" w:lineRule="auto"/>
                    <w:ind w:left="226" w:right="122"/>
                    <w:rPr>
                      <w:color w:val="000000"/>
                      <w:sz w:val="18"/>
                    </w:rPr>
                  </w:pPr>
                  <w:r>
                    <w:rPr>
                      <w:color w:val="000000"/>
                      <w:sz w:val="18"/>
                    </w:rPr>
                    <w:t>Within</w:t>
                  </w:r>
                  <w:r>
                    <w:rPr>
                      <w:color w:val="000000"/>
                      <w:spacing w:val="-7"/>
                      <w:sz w:val="18"/>
                    </w:rPr>
                    <w:t xml:space="preserve"> </w:t>
                  </w:r>
                  <w:r>
                    <w:rPr>
                      <w:color w:val="000000"/>
                      <w:sz w:val="18"/>
                    </w:rPr>
                    <w:t>Greater</w:t>
                  </w:r>
                  <w:r>
                    <w:rPr>
                      <w:color w:val="000000"/>
                      <w:spacing w:val="-7"/>
                      <w:sz w:val="18"/>
                    </w:rPr>
                    <w:t xml:space="preserve"> </w:t>
                  </w:r>
                  <w:r>
                    <w:rPr>
                      <w:color w:val="000000"/>
                      <w:sz w:val="18"/>
                    </w:rPr>
                    <w:t>Sydney,</w:t>
                  </w:r>
                  <w:r>
                    <w:rPr>
                      <w:color w:val="000000"/>
                      <w:spacing w:val="-7"/>
                      <w:sz w:val="18"/>
                    </w:rPr>
                    <w:t xml:space="preserve"> </w:t>
                  </w:r>
                  <w:r>
                    <w:rPr>
                      <w:color w:val="000000"/>
                      <w:sz w:val="18"/>
                    </w:rPr>
                    <w:t>the</w:t>
                  </w:r>
                  <w:r>
                    <w:rPr>
                      <w:color w:val="000000"/>
                      <w:spacing w:val="-7"/>
                      <w:sz w:val="18"/>
                    </w:rPr>
                    <w:t xml:space="preserve"> </w:t>
                  </w:r>
                  <w:r>
                    <w:rPr>
                      <w:color w:val="000000"/>
                      <w:sz w:val="18"/>
                    </w:rPr>
                    <w:t>largest</w:t>
                  </w:r>
                  <w:r>
                    <w:rPr>
                      <w:color w:val="000000"/>
                      <w:spacing w:val="-7"/>
                      <w:sz w:val="18"/>
                    </w:rPr>
                    <w:t xml:space="preserve"> </w:t>
                  </w:r>
                  <w:r>
                    <w:rPr>
                      <w:color w:val="000000"/>
                      <w:sz w:val="18"/>
                    </w:rPr>
                    <w:t>economic</w:t>
                  </w:r>
                  <w:r>
                    <w:rPr>
                      <w:color w:val="000000"/>
                      <w:spacing w:val="-7"/>
                      <w:sz w:val="18"/>
                    </w:rPr>
                    <w:t xml:space="preserve"> </w:t>
                  </w:r>
                  <w:r>
                    <w:rPr>
                      <w:color w:val="000000"/>
                      <w:sz w:val="18"/>
                    </w:rPr>
                    <w:t xml:space="preserve">and </w:t>
                  </w:r>
                  <w:r>
                    <w:rPr>
                      <w:color w:val="000000"/>
                      <w:w w:val="95"/>
                      <w:sz w:val="18"/>
                    </w:rPr>
                    <w:t xml:space="preserve">employment cluster occurs around Parramatta, NSW’s second oldest settlement and the sixth largest business </w:t>
                  </w:r>
                  <w:r>
                    <w:rPr>
                      <w:color w:val="000000"/>
                      <w:sz w:val="18"/>
                    </w:rPr>
                    <w:t>district in Australia.</w:t>
                  </w:r>
                </w:p>
                <w:p w:rsidR="00F22F94" w:rsidRDefault="00F22F94">
                  <w:pPr>
                    <w:spacing w:before="144" w:line="254" w:lineRule="auto"/>
                    <w:ind w:left="226" w:right="245"/>
                    <w:rPr>
                      <w:color w:val="000000"/>
                      <w:sz w:val="18"/>
                    </w:rPr>
                  </w:pPr>
                  <w:r>
                    <w:rPr>
                      <w:color w:val="000000"/>
                      <w:sz w:val="18"/>
                    </w:rPr>
                    <w:t>Almost</w:t>
                  </w:r>
                  <w:r>
                    <w:rPr>
                      <w:color w:val="000000"/>
                      <w:spacing w:val="-4"/>
                      <w:sz w:val="18"/>
                    </w:rPr>
                    <w:t xml:space="preserve"> </w:t>
                  </w:r>
                  <w:r>
                    <w:rPr>
                      <w:color w:val="000000"/>
                      <w:sz w:val="18"/>
                    </w:rPr>
                    <w:t>50,000</w:t>
                  </w:r>
                  <w:r>
                    <w:rPr>
                      <w:color w:val="000000"/>
                      <w:spacing w:val="-4"/>
                      <w:sz w:val="18"/>
                    </w:rPr>
                    <w:t xml:space="preserve"> </w:t>
                  </w:r>
                  <w:r>
                    <w:rPr>
                      <w:color w:val="000000"/>
                      <w:sz w:val="18"/>
                    </w:rPr>
                    <w:t>people</w:t>
                  </w:r>
                  <w:r>
                    <w:rPr>
                      <w:color w:val="000000"/>
                      <w:spacing w:val="-4"/>
                      <w:sz w:val="18"/>
                    </w:rPr>
                    <w:t xml:space="preserve"> </w:t>
                  </w:r>
                  <w:r>
                    <w:rPr>
                      <w:color w:val="000000"/>
                      <w:sz w:val="18"/>
                    </w:rPr>
                    <w:t>already</w:t>
                  </w:r>
                  <w:r>
                    <w:rPr>
                      <w:color w:val="000000"/>
                      <w:spacing w:val="-4"/>
                      <w:sz w:val="18"/>
                    </w:rPr>
                    <w:t xml:space="preserve"> </w:t>
                  </w:r>
                  <w:r>
                    <w:rPr>
                      <w:color w:val="000000"/>
                      <w:sz w:val="18"/>
                    </w:rPr>
                    <w:t>work</w:t>
                  </w:r>
                  <w:r>
                    <w:rPr>
                      <w:color w:val="000000"/>
                      <w:spacing w:val="-4"/>
                      <w:sz w:val="18"/>
                    </w:rPr>
                    <w:t xml:space="preserve"> </w:t>
                  </w:r>
                  <w:r>
                    <w:rPr>
                      <w:color w:val="000000"/>
                      <w:sz w:val="18"/>
                    </w:rPr>
                    <w:t>in</w:t>
                  </w:r>
                  <w:r>
                    <w:rPr>
                      <w:color w:val="000000"/>
                      <w:spacing w:val="-4"/>
                      <w:sz w:val="18"/>
                    </w:rPr>
                    <w:t xml:space="preserve"> </w:t>
                  </w:r>
                  <w:r>
                    <w:rPr>
                      <w:color w:val="000000"/>
                      <w:sz w:val="18"/>
                    </w:rPr>
                    <w:t>the</w:t>
                  </w:r>
                  <w:r>
                    <w:rPr>
                      <w:color w:val="000000"/>
                      <w:spacing w:val="-4"/>
                      <w:sz w:val="18"/>
                    </w:rPr>
                    <w:t xml:space="preserve"> </w:t>
                  </w:r>
                  <w:r>
                    <w:rPr>
                      <w:color w:val="000000"/>
                      <w:sz w:val="18"/>
                    </w:rPr>
                    <w:t xml:space="preserve">Parramatta </w:t>
                  </w:r>
                  <w:r>
                    <w:rPr>
                      <w:color w:val="000000"/>
                      <w:w w:val="95"/>
                      <w:sz w:val="18"/>
                    </w:rPr>
                    <w:t>CBD</w:t>
                  </w:r>
                  <w:r>
                    <w:rPr>
                      <w:color w:val="000000"/>
                      <w:w w:val="95"/>
                      <w:position w:val="6"/>
                      <w:sz w:val="10"/>
                    </w:rPr>
                    <w:t>13</w:t>
                  </w:r>
                  <w:r>
                    <w:rPr>
                      <w:color w:val="000000"/>
                      <w:w w:val="95"/>
                      <w:sz w:val="18"/>
                    </w:rPr>
                    <w:t>. The wider area around Parramatta (including the Westmead Hospital precinct, Sydney Olympic Park and the</w:t>
                  </w:r>
                  <w:r>
                    <w:rPr>
                      <w:color w:val="000000"/>
                      <w:spacing w:val="-8"/>
                      <w:w w:val="95"/>
                      <w:sz w:val="18"/>
                    </w:rPr>
                    <w:t xml:space="preserve"> </w:t>
                  </w:r>
                  <w:r>
                    <w:rPr>
                      <w:color w:val="000000"/>
                      <w:w w:val="95"/>
                      <w:sz w:val="18"/>
                    </w:rPr>
                    <w:t>University</w:t>
                  </w:r>
                  <w:r>
                    <w:rPr>
                      <w:color w:val="000000"/>
                      <w:spacing w:val="-8"/>
                      <w:w w:val="95"/>
                      <w:sz w:val="18"/>
                    </w:rPr>
                    <w:t xml:space="preserve"> </w:t>
                  </w:r>
                  <w:r>
                    <w:rPr>
                      <w:color w:val="000000"/>
                      <w:w w:val="95"/>
                      <w:sz w:val="18"/>
                    </w:rPr>
                    <w:t>of</w:t>
                  </w:r>
                  <w:r>
                    <w:rPr>
                      <w:color w:val="000000"/>
                      <w:spacing w:val="-8"/>
                      <w:w w:val="95"/>
                      <w:sz w:val="18"/>
                    </w:rPr>
                    <w:t xml:space="preserve"> </w:t>
                  </w:r>
                  <w:r>
                    <w:rPr>
                      <w:color w:val="000000"/>
                      <w:w w:val="95"/>
                      <w:sz w:val="18"/>
                    </w:rPr>
                    <w:t>Western</w:t>
                  </w:r>
                  <w:r>
                    <w:rPr>
                      <w:color w:val="000000"/>
                      <w:spacing w:val="-8"/>
                      <w:w w:val="95"/>
                      <w:sz w:val="18"/>
                    </w:rPr>
                    <w:t xml:space="preserve"> </w:t>
                  </w:r>
                  <w:r>
                    <w:rPr>
                      <w:color w:val="000000"/>
                      <w:w w:val="95"/>
                      <w:sz w:val="18"/>
                    </w:rPr>
                    <w:t>Sydney</w:t>
                  </w:r>
                  <w:r>
                    <w:rPr>
                      <w:color w:val="000000"/>
                      <w:spacing w:val="-8"/>
                      <w:w w:val="95"/>
                      <w:sz w:val="18"/>
                    </w:rPr>
                    <w:t xml:space="preserve"> </w:t>
                  </w:r>
                  <w:r>
                    <w:rPr>
                      <w:color w:val="000000"/>
                      <w:w w:val="95"/>
                      <w:sz w:val="18"/>
                    </w:rPr>
                    <w:t>Campus</w:t>
                  </w:r>
                  <w:r>
                    <w:rPr>
                      <w:color w:val="000000"/>
                      <w:spacing w:val="-8"/>
                      <w:w w:val="95"/>
                      <w:sz w:val="18"/>
                    </w:rPr>
                    <w:t xml:space="preserve"> </w:t>
                  </w:r>
                  <w:r>
                    <w:rPr>
                      <w:color w:val="000000"/>
                      <w:w w:val="95"/>
                      <w:sz w:val="18"/>
                    </w:rPr>
                    <w:t>at</w:t>
                  </w:r>
                  <w:r>
                    <w:rPr>
                      <w:color w:val="000000"/>
                      <w:spacing w:val="-8"/>
                      <w:w w:val="95"/>
                      <w:sz w:val="18"/>
                    </w:rPr>
                    <w:t xml:space="preserve"> </w:t>
                  </w:r>
                  <w:r>
                    <w:rPr>
                      <w:color w:val="000000"/>
                      <w:w w:val="95"/>
                      <w:sz w:val="18"/>
                    </w:rPr>
                    <w:t xml:space="preserve">Rydalmere) </w:t>
                  </w:r>
                  <w:r>
                    <w:rPr>
                      <w:color w:val="000000"/>
                      <w:sz w:val="18"/>
                    </w:rPr>
                    <w:t>employs many more.</w:t>
                  </w:r>
                </w:p>
                <w:p w:rsidR="00F22F94" w:rsidRDefault="00F22F94">
                  <w:pPr>
                    <w:spacing w:before="145" w:line="254" w:lineRule="auto"/>
                    <w:ind w:left="226" w:right="122"/>
                    <w:rPr>
                      <w:color w:val="000000"/>
                      <w:sz w:val="18"/>
                    </w:rPr>
                  </w:pPr>
                  <w:r>
                    <w:rPr>
                      <w:color w:val="000000"/>
                      <w:w w:val="95"/>
                      <w:sz w:val="18"/>
                    </w:rPr>
                    <w:t xml:space="preserve">Parramatta benefits from good transport connections, </w:t>
                  </w:r>
                  <w:r>
                    <w:rPr>
                      <w:color w:val="000000"/>
                      <w:w w:val="90"/>
                      <w:sz w:val="18"/>
                    </w:rPr>
                    <w:t xml:space="preserve">space for office development and attractive urban amenities, </w:t>
                  </w:r>
                  <w:r>
                    <w:rPr>
                      <w:color w:val="000000"/>
                      <w:w w:val="95"/>
                      <w:sz w:val="18"/>
                    </w:rPr>
                    <w:t>such</w:t>
                  </w:r>
                  <w:r>
                    <w:rPr>
                      <w:color w:val="000000"/>
                      <w:spacing w:val="-6"/>
                      <w:w w:val="95"/>
                      <w:sz w:val="18"/>
                    </w:rPr>
                    <w:t xml:space="preserve"> </w:t>
                  </w:r>
                  <w:r>
                    <w:rPr>
                      <w:color w:val="000000"/>
                      <w:w w:val="95"/>
                      <w:sz w:val="18"/>
                    </w:rPr>
                    <w:t>as</w:t>
                  </w:r>
                  <w:r>
                    <w:rPr>
                      <w:color w:val="000000"/>
                      <w:spacing w:val="-6"/>
                      <w:w w:val="95"/>
                      <w:sz w:val="18"/>
                    </w:rPr>
                    <w:t xml:space="preserve"> </w:t>
                  </w:r>
                  <w:r>
                    <w:rPr>
                      <w:color w:val="000000"/>
                      <w:w w:val="95"/>
                      <w:sz w:val="18"/>
                    </w:rPr>
                    <w:t>cafes,</w:t>
                  </w:r>
                  <w:r>
                    <w:rPr>
                      <w:color w:val="000000"/>
                      <w:spacing w:val="-6"/>
                      <w:w w:val="95"/>
                      <w:sz w:val="18"/>
                    </w:rPr>
                    <w:t xml:space="preserve"> </w:t>
                  </w:r>
                  <w:r>
                    <w:rPr>
                      <w:color w:val="000000"/>
                      <w:w w:val="95"/>
                      <w:sz w:val="18"/>
                    </w:rPr>
                    <w:t>parkland</w:t>
                  </w:r>
                  <w:r>
                    <w:rPr>
                      <w:color w:val="000000"/>
                      <w:spacing w:val="-6"/>
                      <w:w w:val="95"/>
                      <w:sz w:val="18"/>
                    </w:rPr>
                    <w:t xml:space="preserve"> </w:t>
                  </w:r>
                  <w:r>
                    <w:rPr>
                      <w:color w:val="000000"/>
                      <w:w w:val="95"/>
                      <w:sz w:val="18"/>
                    </w:rPr>
                    <w:t>and</w:t>
                  </w:r>
                  <w:r>
                    <w:rPr>
                      <w:color w:val="000000"/>
                      <w:spacing w:val="-6"/>
                      <w:w w:val="95"/>
                      <w:sz w:val="18"/>
                    </w:rPr>
                    <w:t xml:space="preserve"> </w:t>
                  </w:r>
                  <w:r>
                    <w:rPr>
                      <w:color w:val="000000"/>
                      <w:w w:val="95"/>
                      <w:sz w:val="18"/>
                    </w:rPr>
                    <w:t>the</w:t>
                  </w:r>
                  <w:r>
                    <w:rPr>
                      <w:color w:val="000000"/>
                      <w:spacing w:val="-6"/>
                      <w:w w:val="95"/>
                      <w:sz w:val="18"/>
                    </w:rPr>
                    <w:t xml:space="preserve"> </w:t>
                  </w:r>
                  <w:r>
                    <w:rPr>
                      <w:color w:val="000000"/>
                      <w:w w:val="95"/>
                      <w:sz w:val="18"/>
                    </w:rPr>
                    <w:t>river.</w:t>
                  </w:r>
                  <w:r>
                    <w:rPr>
                      <w:color w:val="000000"/>
                      <w:spacing w:val="-6"/>
                      <w:w w:val="95"/>
                      <w:sz w:val="18"/>
                    </w:rPr>
                    <w:t xml:space="preserve"> </w:t>
                  </w:r>
                  <w:r>
                    <w:rPr>
                      <w:color w:val="000000"/>
                      <w:w w:val="95"/>
                      <w:sz w:val="18"/>
                    </w:rPr>
                    <w:t>These</w:t>
                  </w:r>
                  <w:r>
                    <w:rPr>
                      <w:color w:val="000000"/>
                      <w:spacing w:val="-6"/>
                      <w:w w:val="95"/>
                      <w:sz w:val="18"/>
                    </w:rPr>
                    <w:t xml:space="preserve"> </w:t>
                  </w:r>
                  <w:r>
                    <w:rPr>
                      <w:color w:val="000000"/>
                      <w:w w:val="95"/>
                      <w:sz w:val="18"/>
                    </w:rPr>
                    <w:t>attributes</w:t>
                  </w:r>
                  <w:r>
                    <w:rPr>
                      <w:color w:val="000000"/>
                      <w:spacing w:val="-6"/>
                      <w:w w:val="95"/>
                      <w:sz w:val="18"/>
                    </w:rPr>
                    <w:t xml:space="preserve"> </w:t>
                  </w:r>
                  <w:r>
                    <w:rPr>
                      <w:color w:val="000000"/>
                      <w:w w:val="95"/>
                      <w:sz w:val="18"/>
                    </w:rPr>
                    <w:t>will support growth and attract infrastructure investment.</w:t>
                  </w:r>
                </w:p>
                <w:p w:rsidR="00F22F94" w:rsidRDefault="00F22F94">
                  <w:pPr>
                    <w:spacing w:before="144" w:line="254" w:lineRule="auto"/>
                    <w:ind w:left="226" w:right="122"/>
                    <w:rPr>
                      <w:color w:val="000000"/>
                      <w:sz w:val="18"/>
                    </w:rPr>
                  </w:pPr>
                  <w:r>
                    <w:rPr>
                      <w:color w:val="000000"/>
                      <w:w w:val="95"/>
                      <w:sz w:val="18"/>
                    </w:rPr>
                    <w:t>Parramatta’s</w:t>
                  </w:r>
                  <w:r>
                    <w:rPr>
                      <w:color w:val="000000"/>
                      <w:spacing w:val="-1"/>
                      <w:w w:val="95"/>
                      <w:sz w:val="18"/>
                    </w:rPr>
                    <w:t xml:space="preserve"> </w:t>
                  </w:r>
                  <w:r>
                    <w:rPr>
                      <w:color w:val="000000"/>
                      <w:w w:val="95"/>
                      <w:sz w:val="18"/>
                    </w:rPr>
                    <w:t>comparative</w:t>
                  </w:r>
                  <w:r>
                    <w:rPr>
                      <w:color w:val="000000"/>
                      <w:spacing w:val="-1"/>
                      <w:w w:val="95"/>
                      <w:sz w:val="18"/>
                    </w:rPr>
                    <w:t xml:space="preserve"> </w:t>
                  </w:r>
                  <w:r>
                    <w:rPr>
                      <w:color w:val="000000"/>
                      <w:w w:val="95"/>
                      <w:sz w:val="18"/>
                    </w:rPr>
                    <w:t>advantage</w:t>
                  </w:r>
                  <w:r>
                    <w:rPr>
                      <w:color w:val="000000"/>
                      <w:spacing w:val="-1"/>
                      <w:w w:val="95"/>
                      <w:sz w:val="18"/>
                    </w:rPr>
                    <w:t xml:space="preserve"> </w:t>
                  </w:r>
                  <w:r>
                    <w:rPr>
                      <w:color w:val="000000"/>
                      <w:w w:val="95"/>
                      <w:sz w:val="18"/>
                    </w:rPr>
                    <w:t>is</w:t>
                  </w:r>
                  <w:r>
                    <w:rPr>
                      <w:color w:val="000000"/>
                      <w:spacing w:val="-1"/>
                      <w:w w:val="95"/>
                      <w:sz w:val="18"/>
                    </w:rPr>
                    <w:t xml:space="preserve"> </w:t>
                  </w:r>
                  <w:r>
                    <w:rPr>
                      <w:color w:val="000000"/>
                      <w:w w:val="95"/>
                      <w:sz w:val="18"/>
                    </w:rPr>
                    <w:t>its</w:t>
                  </w:r>
                  <w:r>
                    <w:rPr>
                      <w:color w:val="000000"/>
                      <w:spacing w:val="-1"/>
                      <w:w w:val="95"/>
                      <w:sz w:val="18"/>
                    </w:rPr>
                    <w:t xml:space="preserve"> </w:t>
                  </w:r>
                  <w:r>
                    <w:rPr>
                      <w:color w:val="000000"/>
                      <w:w w:val="95"/>
                      <w:sz w:val="18"/>
                    </w:rPr>
                    <w:t>position</w:t>
                  </w:r>
                  <w:r>
                    <w:rPr>
                      <w:color w:val="000000"/>
                      <w:spacing w:val="-1"/>
                      <w:w w:val="95"/>
                      <w:sz w:val="18"/>
                    </w:rPr>
                    <w:t xml:space="preserve"> </w:t>
                  </w:r>
                  <w:r>
                    <w:rPr>
                      <w:color w:val="000000"/>
                      <w:w w:val="95"/>
                      <w:sz w:val="18"/>
                    </w:rPr>
                    <w:t>at</w:t>
                  </w:r>
                  <w:r>
                    <w:rPr>
                      <w:color w:val="000000"/>
                      <w:spacing w:val="-1"/>
                      <w:w w:val="95"/>
                      <w:sz w:val="18"/>
                    </w:rPr>
                    <w:t xml:space="preserve"> </w:t>
                  </w:r>
                  <w:r>
                    <w:rPr>
                      <w:color w:val="000000"/>
                      <w:w w:val="95"/>
                      <w:sz w:val="18"/>
                    </w:rPr>
                    <w:t xml:space="preserve">the </w:t>
                  </w:r>
                  <w:r>
                    <w:rPr>
                      <w:color w:val="000000"/>
                      <w:sz w:val="18"/>
                    </w:rPr>
                    <w:t>geographic</w:t>
                  </w:r>
                  <w:r>
                    <w:rPr>
                      <w:color w:val="000000"/>
                      <w:spacing w:val="-6"/>
                      <w:sz w:val="18"/>
                    </w:rPr>
                    <w:t xml:space="preserve"> </w:t>
                  </w:r>
                  <w:r>
                    <w:rPr>
                      <w:color w:val="000000"/>
                      <w:sz w:val="18"/>
                    </w:rPr>
                    <w:t>heart</w:t>
                  </w:r>
                  <w:r>
                    <w:rPr>
                      <w:color w:val="000000"/>
                      <w:spacing w:val="-6"/>
                      <w:sz w:val="18"/>
                    </w:rPr>
                    <w:t xml:space="preserve"> </w:t>
                  </w:r>
                  <w:r>
                    <w:rPr>
                      <w:color w:val="000000"/>
                      <w:sz w:val="18"/>
                    </w:rPr>
                    <w:t>of</w:t>
                  </w:r>
                  <w:r>
                    <w:rPr>
                      <w:color w:val="000000"/>
                      <w:spacing w:val="-6"/>
                      <w:sz w:val="18"/>
                    </w:rPr>
                    <w:t xml:space="preserve"> </w:t>
                  </w:r>
                  <w:r>
                    <w:rPr>
                      <w:color w:val="000000"/>
                      <w:sz w:val="18"/>
                    </w:rPr>
                    <w:t>Sydney.</w:t>
                  </w:r>
                  <w:r>
                    <w:rPr>
                      <w:color w:val="000000"/>
                      <w:spacing w:val="-6"/>
                      <w:sz w:val="18"/>
                    </w:rPr>
                    <w:t xml:space="preserve"> </w:t>
                  </w:r>
                  <w:r>
                    <w:rPr>
                      <w:color w:val="000000"/>
                      <w:sz w:val="18"/>
                    </w:rPr>
                    <w:t>Its</w:t>
                  </w:r>
                  <w:r>
                    <w:rPr>
                      <w:color w:val="000000"/>
                      <w:spacing w:val="-6"/>
                      <w:sz w:val="18"/>
                    </w:rPr>
                    <w:t xml:space="preserve"> </w:t>
                  </w:r>
                  <w:r>
                    <w:rPr>
                      <w:color w:val="000000"/>
                      <w:sz w:val="18"/>
                    </w:rPr>
                    <w:t>future</w:t>
                  </w:r>
                  <w:r>
                    <w:rPr>
                      <w:color w:val="000000"/>
                      <w:spacing w:val="-6"/>
                      <w:sz w:val="18"/>
                    </w:rPr>
                    <w:t xml:space="preserve"> </w:t>
                  </w:r>
                  <w:r>
                    <w:rPr>
                      <w:color w:val="000000"/>
                      <w:sz w:val="18"/>
                    </w:rPr>
                    <w:t>as</w:t>
                  </w:r>
                  <w:r>
                    <w:rPr>
                      <w:color w:val="000000"/>
                      <w:spacing w:val="-6"/>
                      <w:sz w:val="18"/>
                    </w:rPr>
                    <w:t xml:space="preserve"> </w:t>
                  </w:r>
                  <w:r>
                    <w:rPr>
                      <w:color w:val="000000"/>
                      <w:sz w:val="18"/>
                    </w:rPr>
                    <w:t>an</w:t>
                  </w:r>
                  <w:r>
                    <w:rPr>
                      <w:color w:val="000000"/>
                      <w:spacing w:val="-6"/>
                      <w:sz w:val="18"/>
                    </w:rPr>
                    <w:t xml:space="preserve"> </w:t>
                  </w:r>
                  <w:r>
                    <w:rPr>
                      <w:color w:val="000000"/>
                      <w:sz w:val="18"/>
                    </w:rPr>
                    <w:t>important business</w:t>
                  </w:r>
                  <w:r>
                    <w:rPr>
                      <w:color w:val="000000"/>
                      <w:spacing w:val="-5"/>
                      <w:sz w:val="18"/>
                    </w:rPr>
                    <w:t xml:space="preserve"> </w:t>
                  </w:r>
                  <w:r>
                    <w:rPr>
                      <w:color w:val="000000"/>
                      <w:sz w:val="18"/>
                    </w:rPr>
                    <w:t>centre</w:t>
                  </w:r>
                  <w:r>
                    <w:rPr>
                      <w:color w:val="000000"/>
                      <w:spacing w:val="-5"/>
                      <w:sz w:val="18"/>
                    </w:rPr>
                    <w:t xml:space="preserve"> </w:t>
                  </w:r>
                  <w:r>
                    <w:rPr>
                      <w:color w:val="000000"/>
                      <w:sz w:val="18"/>
                    </w:rPr>
                    <w:t>is</w:t>
                  </w:r>
                  <w:r>
                    <w:rPr>
                      <w:color w:val="000000"/>
                      <w:spacing w:val="-5"/>
                      <w:sz w:val="18"/>
                    </w:rPr>
                    <w:t xml:space="preserve"> </w:t>
                  </w:r>
                  <w:r>
                    <w:rPr>
                      <w:color w:val="000000"/>
                      <w:sz w:val="18"/>
                    </w:rPr>
                    <w:t>assured,</w:t>
                  </w:r>
                  <w:r>
                    <w:rPr>
                      <w:color w:val="000000"/>
                      <w:spacing w:val="-5"/>
                      <w:sz w:val="18"/>
                    </w:rPr>
                    <w:t xml:space="preserve"> </w:t>
                  </w:r>
                  <w:r>
                    <w:rPr>
                      <w:color w:val="000000"/>
                      <w:sz w:val="18"/>
                    </w:rPr>
                    <w:t>with</w:t>
                  </w:r>
                  <w:r>
                    <w:rPr>
                      <w:color w:val="000000"/>
                      <w:spacing w:val="-5"/>
                      <w:sz w:val="18"/>
                    </w:rPr>
                    <w:t xml:space="preserve"> </w:t>
                  </w:r>
                  <w:r>
                    <w:rPr>
                      <w:color w:val="000000"/>
                      <w:sz w:val="18"/>
                    </w:rPr>
                    <w:t>a</w:t>
                  </w:r>
                  <w:r>
                    <w:rPr>
                      <w:color w:val="000000"/>
                      <w:spacing w:val="-5"/>
                      <w:sz w:val="18"/>
                    </w:rPr>
                    <w:t xml:space="preserve"> </w:t>
                  </w:r>
                  <w:r>
                    <w:rPr>
                      <w:color w:val="000000"/>
                      <w:sz w:val="18"/>
                    </w:rPr>
                    <w:t>particular</w:t>
                  </w:r>
                  <w:r>
                    <w:rPr>
                      <w:color w:val="000000"/>
                      <w:spacing w:val="-5"/>
                      <w:sz w:val="18"/>
                    </w:rPr>
                    <w:t xml:space="preserve"> </w:t>
                  </w:r>
                  <w:r>
                    <w:rPr>
                      <w:color w:val="000000"/>
                      <w:sz w:val="18"/>
                    </w:rPr>
                    <w:t>focus</w:t>
                  </w:r>
                  <w:r>
                    <w:rPr>
                      <w:color w:val="000000"/>
                      <w:spacing w:val="-5"/>
                      <w:sz w:val="18"/>
                    </w:rPr>
                    <w:t xml:space="preserve"> </w:t>
                  </w:r>
                  <w:r>
                    <w:rPr>
                      <w:color w:val="000000"/>
                      <w:sz w:val="18"/>
                    </w:rPr>
                    <w:t xml:space="preserve">on </w:t>
                  </w:r>
                  <w:r>
                    <w:rPr>
                      <w:color w:val="000000"/>
                      <w:w w:val="95"/>
                      <w:sz w:val="18"/>
                    </w:rPr>
                    <w:t xml:space="preserve">Government services and the rapidly growing residential </w:t>
                  </w:r>
                  <w:r>
                    <w:rPr>
                      <w:color w:val="000000"/>
                      <w:sz w:val="18"/>
                    </w:rPr>
                    <w:t>areas of Greater Sydney.</w:t>
                  </w:r>
                </w:p>
                <w:p w:rsidR="00F22F94" w:rsidRDefault="00F22F94">
                  <w:pPr>
                    <w:spacing w:before="145" w:line="254" w:lineRule="auto"/>
                    <w:ind w:left="226" w:right="122"/>
                    <w:rPr>
                      <w:color w:val="000000"/>
                      <w:sz w:val="18"/>
                    </w:rPr>
                  </w:pPr>
                  <w:r>
                    <w:rPr>
                      <w:color w:val="000000"/>
                      <w:sz w:val="18"/>
                    </w:rPr>
                    <w:t>Parramatta</w:t>
                  </w:r>
                  <w:r>
                    <w:rPr>
                      <w:color w:val="000000"/>
                      <w:spacing w:val="-13"/>
                      <w:sz w:val="18"/>
                    </w:rPr>
                    <w:t xml:space="preserve"> </w:t>
                  </w:r>
                  <w:r>
                    <w:rPr>
                      <w:color w:val="000000"/>
                      <w:sz w:val="18"/>
                    </w:rPr>
                    <w:t>will</w:t>
                  </w:r>
                  <w:r>
                    <w:rPr>
                      <w:color w:val="000000"/>
                      <w:spacing w:val="-12"/>
                      <w:sz w:val="18"/>
                    </w:rPr>
                    <w:t xml:space="preserve"> </w:t>
                  </w:r>
                  <w:r>
                    <w:rPr>
                      <w:color w:val="000000"/>
                      <w:sz w:val="18"/>
                    </w:rPr>
                    <w:t>offer,</w:t>
                  </w:r>
                  <w:r>
                    <w:rPr>
                      <w:color w:val="000000"/>
                      <w:spacing w:val="-13"/>
                      <w:sz w:val="18"/>
                    </w:rPr>
                    <w:t xml:space="preserve"> </w:t>
                  </w:r>
                  <w:r>
                    <w:rPr>
                      <w:color w:val="000000"/>
                      <w:sz w:val="18"/>
                    </w:rPr>
                    <w:t>even</w:t>
                  </w:r>
                  <w:r>
                    <w:rPr>
                      <w:color w:val="000000"/>
                      <w:spacing w:val="-12"/>
                      <w:sz w:val="18"/>
                    </w:rPr>
                    <w:t xml:space="preserve"> </w:t>
                  </w:r>
                  <w:r>
                    <w:rPr>
                      <w:color w:val="000000"/>
                      <w:sz w:val="18"/>
                    </w:rPr>
                    <w:t>more</w:t>
                  </w:r>
                  <w:r>
                    <w:rPr>
                      <w:color w:val="000000"/>
                      <w:spacing w:val="-13"/>
                      <w:sz w:val="18"/>
                    </w:rPr>
                    <w:t xml:space="preserve"> </w:t>
                  </w:r>
                  <w:r>
                    <w:rPr>
                      <w:color w:val="000000"/>
                      <w:sz w:val="18"/>
                    </w:rPr>
                    <w:t>than</w:t>
                  </w:r>
                  <w:r>
                    <w:rPr>
                      <w:color w:val="000000"/>
                      <w:spacing w:val="-12"/>
                      <w:sz w:val="18"/>
                    </w:rPr>
                    <w:t xml:space="preserve"> </w:t>
                  </w:r>
                  <w:r>
                    <w:rPr>
                      <w:color w:val="000000"/>
                      <w:sz w:val="18"/>
                    </w:rPr>
                    <w:t>it</w:t>
                  </w:r>
                  <w:r>
                    <w:rPr>
                      <w:color w:val="000000"/>
                      <w:spacing w:val="-13"/>
                      <w:sz w:val="18"/>
                    </w:rPr>
                    <w:t xml:space="preserve"> </w:t>
                  </w:r>
                  <w:r>
                    <w:rPr>
                      <w:color w:val="000000"/>
                      <w:sz w:val="18"/>
                    </w:rPr>
                    <w:t>does</w:t>
                  </w:r>
                  <w:r>
                    <w:rPr>
                      <w:color w:val="000000"/>
                      <w:spacing w:val="-12"/>
                      <w:sz w:val="18"/>
                    </w:rPr>
                    <w:t xml:space="preserve"> </w:t>
                  </w:r>
                  <w:r>
                    <w:rPr>
                      <w:color w:val="000000"/>
                      <w:sz w:val="18"/>
                    </w:rPr>
                    <w:t xml:space="preserve">already, </w:t>
                  </w:r>
                  <w:r>
                    <w:rPr>
                      <w:color w:val="000000"/>
                      <w:w w:val="95"/>
                      <w:sz w:val="18"/>
                    </w:rPr>
                    <w:t xml:space="preserve">access to the highest quality healthcare, education and </w:t>
                  </w:r>
                  <w:r>
                    <w:rPr>
                      <w:color w:val="000000"/>
                      <w:sz w:val="18"/>
                    </w:rPr>
                    <w:t>cultural</w:t>
                  </w:r>
                  <w:r>
                    <w:rPr>
                      <w:color w:val="000000"/>
                      <w:spacing w:val="-8"/>
                      <w:sz w:val="18"/>
                    </w:rPr>
                    <w:t xml:space="preserve"> </w:t>
                  </w:r>
                  <w:r>
                    <w:rPr>
                      <w:color w:val="000000"/>
                      <w:sz w:val="18"/>
                    </w:rPr>
                    <w:t>services.</w:t>
                  </w:r>
                  <w:r>
                    <w:rPr>
                      <w:color w:val="000000"/>
                      <w:spacing w:val="-8"/>
                      <w:sz w:val="18"/>
                    </w:rPr>
                    <w:t xml:space="preserve"> </w:t>
                  </w:r>
                  <w:r>
                    <w:rPr>
                      <w:color w:val="000000"/>
                      <w:sz w:val="18"/>
                    </w:rPr>
                    <w:t>Parramatta</w:t>
                  </w:r>
                  <w:r>
                    <w:rPr>
                      <w:color w:val="000000"/>
                      <w:spacing w:val="-8"/>
                      <w:sz w:val="18"/>
                    </w:rPr>
                    <w:t xml:space="preserve"> </w:t>
                  </w:r>
                  <w:r>
                    <w:rPr>
                      <w:color w:val="000000"/>
                      <w:sz w:val="18"/>
                    </w:rPr>
                    <w:t>will</w:t>
                  </w:r>
                  <w:r>
                    <w:rPr>
                      <w:color w:val="000000"/>
                      <w:spacing w:val="-8"/>
                      <w:sz w:val="18"/>
                    </w:rPr>
                    <w:t xml:space="preserve"> </w:t>
                  </w:r>
                  <w:r>
                    <w:rPr>
                      <w:color w:val="000000"/>
                      <w:sz w:val="18"/>
                    </w:rPr>
                    <w:t>continue</w:t>
                  </w:r>
                  <w:r>
                    <w:rPr>
                      <w:color w:val="000000"/>
                      <w:spacing w:val="-8"/>
                      <w:sz w:val="18"/>
                    </w:rPr>
                    <w:t xml:space="preserve"> </w:t>
                  </w:r>
                  <w:r>
                    <w:rPr>
                      <w:color w:val="000000"/>
                      <w:sz w:val="18"/>
                    </w:rPr>
                    <w:t>to</w:t>
                  </w:r>
                  <w:r>
                    <w:rPr>
                      <w:color w:val="000000"/>
                      <w:spacing w:val="-8"/>
                      <w:sz w:val="18"/>
                    </w:rPr>
                    <w:t xml:space="preserve"> </w:t>
                  </w:r>
                  <w:r>
                    <w:rPr>
                      <w:color w:val="000000"/>
                      <w:sz w:val="18"/>
                    </w:rPr>
                    <w:t>act</w:t>
                  </w:r>
                  <w:r>
                    <w:rPr>
                      <w:color w:val="000000"/>
                      <w:spacing w:val="-8"/>
                      <w:sz w:val="18"/>
                    </w:rPr>
                    <w:t xml:space="preserve"> </w:t>
                  </w:r>
                  <w:r>
                    <w:rPr>
                      <w:color w:val="000000"/>
                      <w:sz w:val="18"/>
                    </w:rPr>
                    <w:t>as</w:t>
                  </w:r>
                  <w:r>
                    <w:rPr>
                      <w:color w:val="000000"/>
                      <w:spacing w:val="-8"/>
                      <w:sz w:val="18"/>
                    </w:rPr>
                    <w:t xml:space="preserve"> </w:t>
                  </w:r>
                  <w:r>
                    <w:rPr>
                      <w:color w:val="000000"/>
                      <w:sz w:val="18"/>
                    </w:rPr>
                    <w:t xml:space="preserve">a </w:t>
                  </w:r>
                  <w:r>
                    <w:rPr>
                      <w:color w:val="000000"/>
                      <w:w w:val="95"/>
                      <w:sz w:val="18"/>
                    </w:rPr>
                    <w:t xml:space="preserve">major regional business and service centre with strong </w:t>
                  </w:r>
                  <w:r>
                    <w:rPr>
                      <w:color w:val="000000"/>
                      <w:sz w:val="18"/>
                    </w:rPr>
                    <w:t>connections to Global Sydney.</w:t>
                  </w:r>
                </w:p>
                <w:p w:rsidR="00F22F94" w:rsidRDefault="00F22F94">
                  <w:pPr>
                    <w:spacing w:before="144" w:line="254" w:lineRule="auto"/>
                    <w:ind w:left="226" w:right="245"/>
                    <w:rPr>
                      <w:color w:val="000000"/>
                      <w:sz w:val="18"/>
                    </w:rPr>
                  </w:pPr>
                  <w:r>
                    <w:rPr>
                      <w:color w:val="000000"/>
                      <w:sz w:val="18"/>
                    </w:rPr>
                    <w:t>A</w:t>
                  </w:r>
                  <w:r>
                    <w:rPr>
                      <w:color w:val="000000"/>
                      <w:spacing w:val="-9"/>
                      <w:sz w:val="18"/>
                    </w:rPr>
                    <w:t xml:space="preserve"> </w:t>
                  </w:r>
                  <w:r>
                    <w:rPr>
                      <w:color w:val="000000"/>
                      <w:sz w:val="18"/>
                    </w:rPr>
                    <w:t>major</w:t>
                  </w:r>
                  <w:r>
                    <w:rPr>
                      <w:color w:val="000000"/>
                      <w:spacing w:val="-9"/>
                      <w:sz w:val="18"/>
                    </w:rPr>
                    <w:t xml:space="preserve"> </w:t>
                  </w:r>
                  <w:r>
                    <w:rPr>
                      <w:color w:val="000000"/>
                      <w:sz w:val="18"/>
                    </w:rPr>
                    <w:t>priority</w:t>
                  </w:r>
                  <w:r>
                    <w:rPr>
                      <w:color w:val="000000"/>
                      <w:spacing w:val="-9"/>
                      <w:sz w:val="18"/>
                    </w:rPr>
                    <w:t xml:space="preserve"> </w:t>
                  </w:r>
                  <w:r>
                    <w:rPr>
                      <w:color w:val="000000"/>
                      <w:sz w:val="18"/>
                    </w:rPr>
                    <w:t>to</w:t>
                  </w:r>
                  <w:r>
                    <w:rPr>
                      <w:color w:val="000000"/>
                      <w:spacing w:val="-9"/>
                      <w:sz w:val="18"/>
                    </w:rPr>
                    <w:t xml:space="preserve"> </w:t>
                  </w:r>
                  <w:r>
                    <w:rPr>
                      <w:color w:val="000000"/>
                      <w:sz w:val="18"/>
                    </w:rPr>
                    <w:t>achieve</w:t>
                  </w:r>
                  <w:r>
                    <w:rPr>
                      <w:color w:val="000000"/>
                      <w:spacing w:val="-9"/>
                      <w:sz w:val="18"/>
                    </w:rPr>
                    <w:t xml:space="preserve"> </w:t>
                  </w:r>
                  <w:r>
                    <w:rPr>
                      <w:color w:val="000000"/>
                      <w:sz w:val="18"/>
                    </w:rPr>
                    <w:t>these</w:t>
                  </w:r>
                  <w:r>
                    <w:rPr>
                      <w:color w:val="000000"/>
                      <w:spacing w:val="-9"/>
                      <w:sz w:val="18"/>
                    </w:rPr>
                    <w:t xml:space="preserve"> </w:t>
                  </w:r>
                  <w:r>
                    <w:rPr>
                      <w:color w:val="000000"/>
                      <w:sz w:val="18"/>
                    </w:rPr>
                    <w:t>goals</w:t>
                  </w:r>
                  <w:r>
                    <w:rPr>
                      <w:color w:val="000000"/>
                      <w:spacing w:val="-9"/>
                      <w:sz w:val="18"/>
                    </w:rPr>
                    <w:t xml:space="preserve"> </w:t>
                  </w:r>
                  <w:r>
                    <w:rPr>
                      <w:color w:val="000000"/>
                      <w:sz w:val="18"/>
                    </w:rPr>
                    <w:t>is</w:t>
                  </w:r>
                  <w:r>
                    <w:rPr>
                      <w:color w:val="000000"/>
                      <w:spacing w:val="-9"/>
                      <w:sz w:val="18"/>
                    </w:rPr>
                    <w:t xml:space="preserve"> </w:t>
                  </w:r>
                  <w:r>
                    <w:rPr>
                      <w:color w:val="000000"/>
                      <w:sz w:val="18"/>
                    </w:rPr>
                    <w:t xml:space="preserve">substantial improvement in transport to and around Parramatta </w:t>
                  </w:r>
                  <w:r>
                    <w:rPr>
                      <w:color w:val="000000"/>
                      <w:w w:val="95"/>
                      <w:sz w:val="18"/>
                    </w:rPr>
                    <w:t xml:space="preserve">and the corridor between Epping and Parramatta, and </w:t>
                  </w:r>
                  <w:r>
                    <w:rPr>
                      <w:color w:val="000000"/>
                      <w:sz w:val="18"/>
                    </w:rPr>
                    <w:t>improving</w:t>
                  </w:r>
                  <w:r>
                    <w:rPr>
                      <w:color w:val="000000"/>
                      <w:spacing w:val="-3"/>
                      <w:sz w:val="18"/>
                    </w:rPr>
                    <w:t xml:space="preserve"> </w:t>
                  </w:r>
                  <w:r>
                    <w:rPr>
                      <w:color w:val="000000"/>
                      <w:sz w:val="18"/>
                    </w:rPr>
                    <w:t>the</w:t>
                  </w:r>
                  <w:r>
                    <w:rPr>
                      <w:color w:val="000000"/>
                      <w:spacing w:val="-3"/>
                      <w:sz w:val="18"/>
                    </w:rPr>
                    <w:t xml:space="preserve"> </w:t>
                  </w:r>
                  <w:r>
                    <w:rPr>
                      <w:color w:val="000000"/>
                      <w:sz w:val="18"/>
                    </w:rPr>
                    <w:t>connectivity</w:t>
                  </w:r>
                  <w:r>
                    <w:rPr>
                      <w:color w:val="000000"/>
                      <w:spacing w:val="-3"/>
                      <w:sz w:val="18"/>
                    </w:rPr>
                    <w:t xml:space="preserve"> </w:t>
                  </w:r>
                  <w:r>
                    <w:rPr>
                      <w:color w:val="000000"/>
                      <w:sz w:val="18"/>
                    </w:rPr>
                    <w:t>of</w:t>
                  </w:r>
                  <w:r>
                    <w:rPr>
                      <w:color w:val="000000"/>
                      <w:spacing w:val="-3"/>
                      <w:sz w:val="18"/>
                    </w:rPr>
                    <w:t xml:space="preserve"> </w:t>
                  </w:r>
                  <w:r>
                    <w:rPr>
                      <w:color w:val="000000"/>
                      <w:sz w:val="18"/>
                    </w:rPr>
                    <w:t>Parramatta</w:t>
                  </w:r>
                  <w:r>
                    <w:rPr>
                      <w:color w:val="000000"/>
                      <w:spacing w:val="-3"/>
                      <w:sz w:val="18"/>
                    </w:rPr>
                    <w:t xml:space="preserve"> </w:t>
                  </w:r>
                  <w:r>
                    <w:rPr>
                      <w:color w:val="000000"/>
                      <w:sz w:val="18"/>
                    </w:rPr>
                    <w:t>to</w:t>
                  </w:r>
                  <w:r>
                    <w:rPr>
                      <w:color w:val="000000"/>
                      <w:spacing w:val="-3"/>
                      <w:sz w:val="18"/>
                    </w:rPr>
                    <w:t xml:space="preserve"> </w:t>
                  </w:r>
                  <w:r>
                    <w:rPr>
                      <w:color w:val="000000"/>
                      <w:sz w:val="18"/>
                    </w:rPr>
                    <w:t>Global</w:t>
                  </w:r>
                </w:p>
                <w:p w:rsidR="00F22F94" w:rsidRDefault="00F22F94">
                  <w:pPr>
                    <w:spacing w:before="3" w:line="254" w:lineRule="auto"/>
                    <w:ind w:left="226" w:right="122"/>
                    <w:rPr>
                      <w:color w:val="000000"/>
                      <w:sz w:val="18"/>
                    </w:rPr>
                  </w:pPr>
                  <w:r>
                    <w:rPr>
                      <w:color w:val="000000"/>
                      <w:w w:val="95"/>
                      <w:sz w:val="18"/>
                    </w:rPr>
                    <w:t xml:space="preserve">Sydney. Options to improve transport serving Parramatta </w:t>
                  </w:r>
                  <w:r>
                    <w:rPr>
                      <w:color w:val="000000"/>
                      <w:sz w:val="18"/>
                    </w:rPr>
                    <w:t>are set out in Sections 6, 7 and 8.</w:t>
                  </w:r>
                </w:p>
              </w:txbxContent>
            </v:textbox>
            <w10:wrap anchorx="page"/>
          </v:shape>
        </w:pict>
      </w:r>
      <w:r w:rsidR="00F22F94">
        <w:rPr>
          <w:w w:val="95"/>
        </w:rPr>
        <w:t xml:space="preserve">delivered affordably and without significant disruption to </w:t>
      </w:r>
      <w:r w:rsidR="00F22F94">
        <w:t>existing</w:t>
      </w:r>
      <w:r w:rsidR="00F22F94">
        <w:rPr>
          <w:spacing w:val="-11"/>
        </w:rPr>
        <w:t xml:space="preserve"> </w:t>
      </w:r>
      <w:r w:rsidR="00F22F94">
        <w:t>communities.</w:t>
      </w:r>
    </w:p>
    <w:p w:rsidR="002C1123" w:rsidRDefault="00F22F94">
      <w:pPr>
        <w:pStyle w:val="Heading6"/>
        <w:numPr>
          <w:ilvl w:val="2"/>
          <w:numId w:val="106"/>
        </w:numPr>
        <w:tabs>
          <w:tab w:val="left" w:pos="979"/>
        </w:tabs>
        <w:spacing w:before="143"/>
        <w:ind w:hanging="487"/>
        <w:jc w:val="left"/>
      </w:pPr>
      <w:r>
        <w:rPr>
          <w:color w:val="EC008C"/>
        </w:rPr>
        <w:t>Health</w:t>
      </w:r>
      <w:r>
        <w:rPr>
          <w:color w:val="EC008C"/>
          <w:spacing w:val="-14"/>
        </w:rPr>
        <w:t xml:space="preserve"> </w:t>
      </w:r>
      <w:r>
        <w:rPr>
          <w:color w:val="EC008C"/>
          <w:spacing w:val="-2"/>
        </w:rPr>
        <w:t>Infrastructure</w:t>
      </w:r>
    </w:p>
    <w:p w:rsidR="002C1123" w:rsidRDefault="00F22F94">
      <w:pPr>
        <w:pStyle w:val="BodyText"/>
        <w:spacing w:before="95" w:line="249" w:lineRule="auto"/>
        <w:ind w:left="492" w:right="835"/>
      </w:pPr>
      <w:r>
        <w:t>Around</w:t>
      </w:r>
      <w:r>
        <w:rPr>
          <w:spacing w:val="-14"/>
        </w:rPr>
        <w:t xml:space="preserve"> </w:t>
      </w:r>
      <w:r>
        <w:t>70</w:t>
      </w:r>
      <w:r>
        <w:rPr>
          <w:spacing w:val="-14"/>
        </w:rPr>
        <w:t xml:space="preserve"> </w:t>
      </w:r>
      <w:r>
        <w:t>percent</w:t>
      </w:r>
      <w:r>
        <w:rPr>
          <w:spacing w:val="-14"/>
        </w:rPr>
        <w:t xml:space="preserve"> </w:t>
      </w:r>
      <w:r>
        <w:t>of</w:t>
      </w:r>
      <w:r>
        <w:rPr>
          <w:spacing w:val="-14"/>
        </w:rPr>
        <w:t xml:space="preserve"> </w:t>
      </w:r>
      <w:r>
        <w:t>all</w:t>
      </w:r>
      <w:r>
        <w:rPr>
          <w:spacing w:val="-14"/>
        </w:rPr>
        <w:t xml:space="preserve"> </w:t>
      </w:r>
      <w:r>
        <w:t>NSW</w:t>
      </w:r>
      <w:r>
        <w:rPr>
          <w:spacing w:val="-14"/>
        </w:rPr>
        <w:t xml:space="preserve"> </w:t>
      </w:r>
      <w:r>
        <w:t>health</w:t>
      </w:r>
      <w:r>
        <w:rPr>
          <w:spacing w:val="-13"/>
        </w:rPr>
        <w:t xml:space="preserve"> </w:t>
      </w:r>
      <w:r>
        <w:t>assets</w:t>
      </w:r>
      <w:r>
        <w:rPr>
          <w:spacing w:val="-14"/>
        </w:rPr>
        <w:t xml:space="preserve"> </w:t>
      </w:r>
      <w:r>
        <w:t>are</w:t>
      </w:r>
      <w:r>
        <w:rPr>
          <w:spacing w:val="-14"/>
        </w:rPr>
        <w:t xml:space="preserve"> </w:t>
      </w:r>
      <w:r>
        <w:t>in Greater</w:t>
      </w:r>
      <w:r>
        <w:rPr>
          <w:spacing w:val="-14"/>
        </w:rPr>
        <w:t xml:space="preserve"> </w:t>
      </w:r>
      <w:r>
        <w:t>Sydney,</w:t>
      </w:r>
      <w:r>
        <w:rPr>
          <w:spacing w:val="-14"/>
        </w:rPr>
        <w:t xml:space="preserve"> </w:t>
      </w:r>
      <w:r>
        <w:t>including</w:t>
      </w:r>
      <w:r>
        <w:rPr>
          <w:spacing w:val="-14"/>
        </w:rPr>
        <w:t xml:space="preserve"> </w:t>
      </w:r>
      <w:r>
        <w:t>Westmead,</w:t>
      </w:r>
      <w:r>
        <w:rPr>
          <w:spacing w:val="-14"/>
        </w:rPr>
        <w:t xml:space="preserve"> </w:t>
      </w:r>
      <w:r>
        <w:t>St</w:t>
      </w:r>
      <w:r>
        <w:rPr>
          <w:spacing w:val="-14"/>
        </w:rPr>
        <w:t xml:space="preserve"> </w:t>
      </w:r>
      <w:r>
        <w:t xml:space="preserve">George, </w:t>
      </w:r>
      <w:r>
        <w:rPr>
          <w:w w:val="95"/>
        </w:rPr>
        <w:t xml:space="preserve">Liverpool, Bankstown and Concord Tier one hospitals. </w:t>
      </w:r>
      <w:r>
        <w:t>The</w:t>
      </w:r>
      <w:r>
        <w:rPr>
          <w:spacing w:val="-12"/>
        </w:rPr>
        <w:t xml:space="preserve"> </w:t>
      </w:r>
      <w:r>
        <w:t>development</w:t>
      </w:r>
      <w:r>
        <w:rPr>
          <w:spacing w:val="-12"/>
        </w:rPr>
        <w:t xml:space="preserve"> </w:t>
      </w:r>
      <w:r>
        <w:t>some</w:t>
      </w:r>
      <w:r>
        <w:rPr>
          <w:spacing w:val="-12"/>
        </w:rPr>
        <w:t xml:space="preserve"> </w:t>
      </w:r>
      <w:r>
        <w:t>30</w:t>
      </w:r>
      <w:r>
        <w:rPr>
          <w:spacing w:val="-12"/>
        </w:rPr>
        <w:t xml:space="preserve"> </w:t>
      </w:r>
      <w:r>
        <w:t>years</w:t>
      </w:r>
      <w:r>
        <w:rPr>
          <w:spacing w:val="-12"/>
        </w:rPr>
        <w:t xml:space="preserve"> </w:t>
      </w:r>
      <w:r>
        <w:t>ago</w:t>
      </w:r>
      <w:r>
        <w:rPr>
          <w:spacing w:val="-12"/>
        </w:rPr>
        <w:t xml:space="preserve"> </w:t>
      </w:r>
      <w:r>
        <w:t>of</w:t>
      </w:r>
      <w:r>
        <w:rPr>
          <w:spacing w:val="-12"/>
        </w:rPr>
        <w:t xml:space="preserve"> </w:t>
      </w:r>
      <w:r>
        <w:t>the</w:t>
      </w:r>
      <w:r>
        <w:rPr>
          <w:spacing w:val="-12"/>
        </w:rPr>
        <w:t xml:space="preserve"> </w:t>
      </w:r>
      <w:r>
        <w:t xml:space="preserve">health </w:t>
      </w:r>
      <w:r>
        <w:rPr>
          <w:w w:val="95"/>
        </w:rPr>
        <w:t>precinct around Westmead, which includes the State’s leading</w:t>
      </w:r>
      <w:r>
        <w:rPr>
          <w:spacing w:val="-5"/>
          <w:w w:val="95"/>
        </w:rPr>
        <w:t xml:space="preserve"> </w:t>
      </w:r>
      <w:r>
        <w:rPr>
          <w:w w:val="95"/>
        </w:rPr>
        <w:t>children’s</w:t>
      </w:r>
      <w:r>
        <w:rPr>
          <w:spacing w:val="-5"/>
          <w:w w:val="95"/>
        </w:rPr>
        <w:t xml:space="preserve"> </w:t>
      </w:r>
      <w:r>
        <w:rPr>
          <w:w w:val="95"/>
        </w:rPr>
        <w:t>hospital,</w:t>
      </w:r>
      <w:r>
        <w:rPr>
          <w:spacing w:val="-5"/>
          <w:w w:val="95"/>
        </w:rPr>
        <w:t xml:space="preserve"> </w:t>
      </w:r>
      <w:r>
        <w:rPr>
          <w:w w:val="95"/>
        </w:rPr>
        <w:t>was</w:t>
      </w:r>
      <w:r>
        <w:rPr>
          <w:spacing w:val="-5"/>
          <w:w w:val="95"/>
        </w:rPr>
        <w:t xml:space="preserve"> </w:t>
      </w:r>
      <w:r>
        <w:rPr>
          <w:w w:val="95"/>
        </w:rPr>
        <w:t>a</w:t>
      </w:r>
      <w:r>
        <w:rPr>
          <w:spacing w:val="-5"/>
          <w:w w:val="95"/>
        </w:rPr>
        <w:t xml:space="preserve"> </w:t>
      </w:r>
      <w:r>
        <w:rPr>
          <w:w w:val="95"/>
        </w:rPr>
        <w:t>direct</w:t>
      </w:r>
      <w:r>
        <w:rPr>
          <w:spacing w:val="-5"/>
          <w:w w:val="95"/>
        </w:rPr>
        <w:t xml:space="preserve"> </w:t>
      </w:r>
      <w:r>
        <w:rPr>
          <w:w w:val="95"/>
        </w:rPr>
        <w:t>response</w:t>
      </w:r>
      <w:r>
        <w:rPr>
          <w:spacing w:val="-5"/>
          <w:w w:val="95"/>
        </w:rPr>
        <w:t xml:space="preserve"> </w:t>
      </w:r>
      <w:r>
        <w:rPr>
          <w:w w:val="95"/>
        </w:rPr>
        <w:t>to</w:t>
      </w:r>
      <w:r>
        <w:rPr>
          <w:spacing w:val="-5"/>
          <w:w w:val="95"/>
        </w:rPr>
        <w:t xml:space="preserve"> </w:t>
      </w:r>
      <w:r>
        <w:rPr>
          <w:w w:val="95"/>
        </w:rPr>
        <w:t xml:space="preserve">the </w:t>
      </w:r>
      <w:r>
        <w:t>westward</w:t>
      </w:r>
      <w:r>
        <w:rPr>
          <w:spacing w:val="-12"/>
        </w:rPr>
        <w:t xml:space="preserve"> </w:t>
      </w:r>
      <w:r>
        <w:t>expansion</w:t>
      </w:r>
      <w:r>
        <w:rPr>
          <w:spacing w:val="-12"/>
        </w:rPr>
        <w:t xml:space="preserve"> </w:t>
      </w:r>
      <w:r>
        <w:t>of</w:t>
      </w:r>
      <w:r>
        <w:rPr>
          <w:spacing w:val="-12"/>
        </w:rPr>
        <w:t xml:space="preserve"> </w:t>
      </w:r>
      <w:r>
        <w:t>Sydney’s</w:t>
      </w:r>
      <w:r>
        <w:rPr>
          <w:spacing w:val="-12"/>
        </w:rPr>
        <w:t xml:space="preserve"> </w:t>
      </w:r>
      <w:r>
        <w:t>population.</w:t>
      </w:r>
      <w:r>
        <w:rPr>
          <w:spacing w:val="-12"/>
        </w:rPr>
        <w:t xml:space="preserve"> </w:t>
      </w:r>
      <w:r>
        <w:t xml:space="preserve">These </w:t>
      </w:r>
      <w:r>
        <w:rPr>
          <w:w w:val="95"/>
        </w:rPr>
        <w:t>trends</w:t>
      </w:r>
      <w:r>
        <w:rPr>
          <w:spacing w:val="-3"/>
          <w:w w:val="95"/>
        </w:rPr>
        <w:t xml:space="preserve"> </w:t>
      </w:r>
      <w:r>
        <w:rPr>
          <w:w w:val="95"/>
        </w:rPr>
        <w:t>are</w:t>
      </w:r>
      <w:r>
        <w:rPr>
          <w:spacing w:val="-3"/>
          <w:w w:val="95"/>
        </w:rPr>
        <w:t xml:space="preserve"> </w:t>
      </w:r>
      <w:r>
        <w:rPr>
          <w:w w:val="95"/>
        </w:rPr>
        <w:t>expected</w:t>
      </w:r>
      <w:r>
        <w:rPr>
          <w:spacing w:val="-3"/>
          <w:w w:val="95"/>
        </w:rPr>
        <w:t xml:space="preserve"> </w:t>
      </w:r>
      <w:r>
        <w:rPr>
          <w:w w:val="95"/>
        </w:rPr>
        <w:t>to</w:t>
      </w:r>
      <w:r>
        <w:rPr>
          <w:spacing w:val="-3"/>
          <w:w w:val="95"/>
        </w:rPr>
        <w:t xml:space="preserve"> </w:t>
      </w:r>
      <w:r>
        <w:rPr>
          <w:w w:val="95"/>
        </w:rPr>
        <w:t>continue</w:t>
      </w:r>
      <w:r>
        <w:rPr>
          <w:spacing w:val="-3"/>
          <w:w w:val="95"/>
        </w:rPr>
        <w:t xml:space="preserve"> </w:t>
      </w:r>
      <w:r>
        <w:rPr>
          <w:w w:val="95"/>
        </w:rPr>
        <w:t>over</w:t>
      </w:r>
      <w:r>
        <w:rPr>
          <w:spacing w:val="-3"/>
          <w:w w:val="95"/>
        </w:rPr>
        <w:t xml:space="preserve"> </w:t>
      </w:r>
      <w:r>
        <w:rPr>
          <w:w w:val="95"/>
        </w:rPr>
        <w:t>the</w:t>
      </w:r>
      <w:r>
        <w:rPr>
          <w:spacing w:val="-3"/>
          <w:w w:val="95"/>
        </w:rPr>
        <w:t xml:space="preserve"> </w:t>
      </w:r>
      <w:r>
        <w:rPr>
          <w:w w:val="95"/>
        </w:rPr>
        <w:t>next</w:t>
      </w:r>
      <w:r>
        <w:rPr>
          <w:spacing w:val="-3"/>
          <w:w w:val="95"/>
        </w:rPr>
        <w:t xml:space="preserve"> </w:t>
      </w:r>
      <w:r>
        <w:rPr>
          <w:w w:val="95"/>
        </w:rPr>
        <w:t>20</w:t>
      </w:r>
      <w:r>
        <w:rPr>
          <w:spacing w:val="-3"/>
          <w:w w:val="95"/>
        </w:rPr>
        <w:t xml:space="preserve"> </w:t>
      </w:r>
      <w:r>
        <w:rPr>
          <w:w w:val="95"/>
        </w:rPr>
        <w:t>years.</w:t>
      </w:r>
    </w:p>
    <w:p w:rsidR="002C1123" w:rsidRDefault="00F22F94">
      <w:pPr>
        <w:pStyle w:val="BodyText"/>
        <w:spacing w:before="149"/>
        <w:ind w:left="492"/>
      </w:pPr>
      <w:r>
        <w:rPr>
          <w:w w:val="95"/>
        </w:rPr>
        <w:t>Demand</w:t>
      </w:r>
      <w:r>
        <w:rPr>
          <w:spacing w:val="-6"/>
          <w:w w:val="95"/>
        </w:rPr>
        <w:t xml:space="preserve"> </w:t>
      </w:r>
      <w:r>
        <w:rPr>
          <w:w w:val="95"/>
        </w:rPr>
        <w:t>for</w:t>
      </w:r>
      <w:r>
        <w:rPr>
          <w:spacing w:val="-5"/>
          <w:w w:val="95"/>
        </w:rPr>
        <w:t xml:space="preserve"> </w:t>
      </w:r>
      <w:r>
        <w:rPr>
          <w:w w:val="95"/>
        </w:rPr>
        <w:t>health</w:t>
      </w:r>
      <w:r>
        <w:rPr>
          <w:spacing w:val="-5"/>
          <w:w w:val="95"/>
        </w:rPr>
        <w:t xml:space="preserve"> </w:t>
      </w:r>
      <w:r>
        <w:rPr>
          <w:w w:val="95"/>
        </w:rPr>
        <w:t>care</w:t>
      </w:r>
      <w:r>
        <w:rPr>
          <w:spacing w:val="-5"/>
          <w:w w:val="95"/>
        </w:rPr>
        <w:t xml:space="preserve"> </w:t>
      </w:r>
      <w:r>
        <w:rPr>
          <w:w w:val="95"/>
        </w:rPr>
        <w:t>is</w:t>
      </w:r>
      <w:r>
        <w:rPr>
          <w:spacing w:val="-5"/>
          <w:w w:val="95"/>
        </w:rPr>
        <w:t xml:space="preserve"> </w:t>
      </w:r>
      <w:r>
        <w:rPr>
          <w:w w:val="95"/>
        </w:rPr>
        <w:t>forecast</w:t>
      </w:r>
      <w:r>
        <w:rPr>
          <w:spacing w:val="-5"/>
          <w:w w:val="95"/>
        </w:rPr>
        <w:t xml:space="preserve"> </w:t>
      </w:r>
      <w:r>
        <w:rPr>
          <w:w w:val="95"/>
        </w:rPr>
        <w:t>to</w:t>
      </w:r>
      <w:r>
        <w:rPr>
          <w:spacing w:val="-5"/>
          <w:w w:val="95"/>
        </w:rPr>
        <w:t xml:space="preserve"> </w:t>
      </w:r>
      <w:r>
        <w:rPr>
          <w:w w:val="95"/>
        </w:rPr>
        <w:t>grow</w:t>
      </w:r>
      <w:r>
        <w:rPr>
          <w:spacing w:val="-5"/>
          <w:w w:val="95"/>
        </w:rPr>
        <w:t xml:space="preserve"> </w:t>
      </w:r>
      <w:r>
        <w:rPr>
          <w:spacing w:val="-2"/>
          <w:w w:val="95"/>
        </w:rPr>
        <w:t>around</w:t>
      </w:r>
    </w:p>
    <w:p w:rsidR="002C1123" w:rsidRDefault="00F22F94">
      <w:pPr>
        <w:pStyle w:val="BodyText"/>
        <w:spacing w:before="10" w:line="249" w:lineRule="auto"/>
        <w:ind w:left="492" w:right="853"/>
      </w:pPr>
      <w:r>
        <w:rPr>
          <w:w w:val="95"/>
        </w:rPr>
        <w:t>17</w:t>
      </w:r>
      <w:r>
        <w:rPr>
          <w:spacing w:val="-10"/>
          <w:w w:val="95"/>
        </w:rPr>
        <w:t xml:space="preserve"> </w:t>
      </w:r>
      <w:r>
        <w:rPr>
          <w:w w:val="95"/>
        </w:rPr>
        <w:t>percent</w:t>
      </w:r>
      <w:r>
        <w:rPr>
          <w:spacing w:val="-10"/>
          <w:w w:val="95"/>
        </w:rPr>
        <w:t xml:space="preserve"> </w:t>
      </w:r>
      <w:r>
        <w:rPr>
          <w:w w:val="95"/>
        </w:rPr>
        <w:t>over</w:t>
      </w:r>
      <w:r>
        <w:rPr>
          <w:spacing w:val="-10"/>
          <w:w w:val="95"/>
        </w:rPr>
        <w:t xml:space="preserve"> </w:t>
      </w:r>
      <w:r>
        <w:rPr>
          <w:w w:val="95"/>
        </w:rPr>
        <w:t>the</w:t>
      </w:r>
      <w:r>
        <w:rPr>
          <w:spacing w:val="-10"/>
          <w:w w:val="95"/>
        </w:rPr>
        <w:t xml:space="preserve"> </w:t>
      </w:r>
      <w:r>
        <w:rPr>
          <w:w w:val="95"/>
        </w:rPr>
        <w:t>next</w:t>
      </w:r>
      <w:r>
        <w:rPr>
          <w:spacing w:val="-10"/>
          <w:w w:val="95"/>
        </w:rPr>
        <w:t xml:space="preserve"> </w:t>
      </w:r>
      <w:r>
        <w:rPr>
          <w:w w:val="95"/>
        </w:rPr>
        <w:t>10</w:t>
      </w:r>
      <w:r>
        <w:rPr>
          <w:spacing w:val="-10"/>
          <w:w w:val="95"/>
        </w:rPr>
        <w:t xml:space="preserve"> </w:t>
      </w:r>
      <w:r>
        <w:rPr>
          <w:w w:val="95"/>
        </w:rPr>
        <w:t>years</w:t>
      </w:r>
      <w:r>
        <w:rPr>
          <w:spacing w:val="-10"/>
          <w:w w:val="95"/>
        </w:rPr>
        <w:t xml:space="preserve"> </w:t>
      </w:r>
      <w:r>
        <w:rPr>
          <w:w w:val="95"/>
        </w:rPr>
        <w:t>in</w:t>
      </w:r>
      <w:r>
        <w:rPr>
          <w:spacing w:val="-10"/>
          <w:w w:val="95"/>
        </w:rPr>
        <w:t xml:space="preserve"> </w:t>
      </w:r>
      <w:r>
        <w:rPr>
          <w:w w:val="95"/>
        </w:rPr>
        <w:t>Greater</w:t>
      </w:r>
      <w:r>
        <w:rPr>
          <w:spacing w:val="-10"/>
          <w:w w:val="95"/>
        </w:rPr>
        <w:t xml:space="preserve"> </w:t>
      </w:r>
      <w:r>
        <w:rPr>
          <w:w w:val="95"/>
        </w:rPr>
        <w:t>Sydney</w:t>
      </w:r>
      <w:r>
        <w:rPr>
          <w:w w:val="95"/>
          <w:position w:val="7"/>
          <w:sz w:val="11"/>
        </w:rPr>
        <w:t>14</w:t>
      </w:r>
      <w:r>
        <w:rPr>
          <w:w w:val="95"/>
        </w:rPr>
        <w:t xml:space="preserve">. </w:t>
      </w:r>
      <w:r>
        <w:t>The</w:t>
      </w:r>
      <w:r>
        <w:rPr>
          <w:spacing w:val="-8"/>
        </w:rPr>
        <w:t xml:space="preserve"> </w:t>
      </w:r>
      <w:r>
        <w:t>proportion</w:t>
      </w:r>
      <w:r>
        <w:rPr>
          <w:spacing w:val="-8"/>
        </w:rPr>
        <w:t xml:space="preserve"> </w:t>
      </w:r>
      <w:r>
        <w:t>of</w:t>
      </w:r>
      <w:r>
        <w:rPr>
          <w:spacing w:val="-8"/>
        </w:rPr>
        <w:t xml:space="preserve"> </w:t>
      </w:r>
      <w:r>
        <w:t>the</w:t>
      </w:r>
      <w:r>
        <w:rPr>
          <w:spacing w:val="-8"/>
        </w:rPr>
        <w:t xml:space="preserve"> </w:t>
      </w:r>
      <w:r>
        <w:t>economy</w:t>
      </w:r>
      <w:r>
        <w:rPr>
          <w:spacing w:val="-8"/>
        </w:rPr>
        <w:t xml:space="preserve"> </w:t>
      </w:r>
      <w:r>
        <w:t>in</w:t>
      </w:r>
      <w:r>
        <w:rPr>
          <w:spacing w:val="-8"/>
        </w:rPr>
        <w:t xml:space="preserve"> </w:t>
      </w:r>
      <w:r>
        <w:t>the</w:t>
      </w:r>
      <w:r>
        <w:rPr>
          <w:spacing w:val="-8"/>
        </w:rPr>
        <w:t xml:space="preserve"> </w:t>
      </w:r>
      <w:r>
        <w:t>health</w:t>
      </w:r>
      <w:r>
        <w:rPr>
          <w:spacing w:val="-8"/>
        </w:rPr>
        <w:t xml:space="preserve"> </w:t>
      </w:r>
      <w:r>
        <w:t xml:space="preserve">and </w:t>
      </w:r>
      <w:r>
        <w:rPr>
          <w:w w:val="95"/>
        </w:rPr>
        <w:t xml:space="preserve">social services industry sector is expected to grow by </w:t>
      </w:r>
      <w:r>
        <w:t>10</w:t>
      </w:r>
      <w:r>
        <w:rPr>
          <w:spacing w:val="-11"/>
        </w:rPr>
        <w:t xml:space="preserve"> </w:t>
      </w:r>
      <w:r>
        <w:t>per</w:t>
      </w:r>
      <w:r>
        <w:rPr>
          <w:spacing w:val="-11"/>
        </w:rPr>
        <w:t xml:space="preserve"> </w:t>
      </w:r>
      <w:r>
        <w:t>cent</w:t>
      </w:r>
      <w:r>
        <w:rPr>
          <w:spacing w:val="-11"/>
        </w:rPr>
        <w:t xml:space="preserve"> </w:t>
      </w:r>
      <w:r>
        <w:t>in</w:t>
      </w:r>
      <w:r>
        <w:rPr>
          <w:spacing w:val="-11"/>
        </w:rPr>
        <w:t xml:space="preserve"> </w:t>
      </w:r>
      <w:r>
        <w:t>the</w:t>
      </w:r>
      <w:r>
        <w:rPr>
          <w:spacing w:val="-11"/>
        </w:rPr>
        <w:t xml:space="preserve"> </w:t>
      </w:r>
      <w:r>
        <w:t>next</w:t>
      </w:r>
      <w:r>
        <w:rPr>
          <w:spacing w:val="-11"/>
        </w:rPr>
        <w:t xml:space="preserve"> </w:t>
      </w:r>
      <w:r>
        <w:t>20</w:t>
      </w:r>
      <w:r>
        <w:rPr>
          <w:spacing w:val="-11"/>
        </w:rPr>
        <w:t xml:space="preserve"> </w:t>
      </w:r>
      <w:r>
        <w:t>years</w:t>
      </w:r>
      <w:r>
        <w:rPr>
          <w:spacing w:val="-11"/>
        </w:rPr>
        <w:t xml:space="preserve"> </w:t>
      </w:r>
      <w:r>
        <w:t>(from</w:t>
      </w:r>
      <w:r>
        <w:rPr>
          <w:spacing w:val="-12"/>
        </w:rPr>
        <w:t xml:space="preserve"> </w:t>
      </w:r>
      <w:r>
        <w:t>6.6</w:t>
      </w:r>
      <w:r>
        <w:rPr>
          <w:spacing w:val="-11"/>
        </w:rPr>
        <w:t xml:space="preserve"> </w:t>
      </w:r>
      <w:r>
        <w:t>percent</w:t>
      </w:r>
      <w:r>
        <w:rPr>
          <w:spacing w:val="-11"/>
        </w:rPr>
        <w:t xml:space="preserve"> </w:t>
      </w:r>
      <w:r>
        <w:t xml:space="preserve">to </w:t>
      </w:r>
      <w:r>
        <w:rPr>
          <w:w w:val="95"/>
        </w:rPr>
        <w:t>7.3</w:t>
      </w:r>
      <w:r>
        <w:rPr>
          <w:spacing w:val="-12"/>
          <w:w w:val="95"/>
        </w:rPr>
        <w:t xml:space="preserve"> </w:t>
      </w:r>
      <w:r>
        <w:rPr>
          <w:w w:val="95"/>
        </w:rPr>
        <w:t>percent)</w:t>
      </w:r>
      <w:r>
        <w:rPr>
          <w:w w:val="95"/>
          <w:position w:val="7"/>
          <w:sz w:val="11"/>
        </w:rPr>
        <w:t>15</w:t>
      </w:r>
      <w:r>
        <w:rPr>
          <w:w w:val="95"/>
        </w:rPr>
        <w:t>.</w:t>
      </w:r>
      <w:r>
        <w:rPr>
          <w:spacing w:val="-11"/>
          <w:w w:val="95"/>
        </w:rPr>
        <w:t xml:space="preserve"> </w:t>
      </w:r>
      <w:r>
        <w:rPr>
          <w:w w:val="95"/>
        </w:rPr>
        <w:t>Importantly,</w:t>
      </w:r>
      <w:r>
        <w:rPr>
          <w:spacing w:val="-11"/>
          <w:w w:val="95"/>
        </w:rPr>
        <w:t xml:space="preserve"> </w:t>
      </w:r>
      <w:r>
        <w:rPr>
          <w:w w:val="95"/>
        </w:rPr>
        <w:t>public</w:t>
      </w:r>
      <w:r>
        <w:rPr>
          <w:spacing w:val="-11"/>
          <w:w w:val="95"/>
        </w:rPr>
        <w:t xml:space="preserve"> </w:t>
      </w:r>
      <w:r>
        <w:rPr>
          <w:w w:val="95"/>
        </w:rPr>
        <w:t>and</w:t>
      </w:r>
      <w:r>
        <w:rPr>
          <w:spacing w:val="-11"/>
          <w:w w:val="95"/>
        </w:rPr>
        <w:t xml:space="preserve"> </w:t>
      </w:r>
      <w:r>
        <w:rPr>
          <w:w w:val="95"/>
        </w:rPr>
        <w:t>private</w:t>
      </w:r>
      <w:r>
        <w:rPr>
          <w:spacing w:val="-11"/>
          <w:w w:val="95"/>
        </w:rPr>
        <w:t xml:space="preserve"> </w:t>
      </w:r>
      <w:r>
        <w:rPr>
          <w:w w:val="95"/>
        </w:rPr>
        <w:t>hospitals have</w:t>
      </w:r>
      <w:r>
        <w:rPr>
          <w:spacing w:val="-4"/>
          <w:w w:val="95"/>
        </w:rPr>
        <w:t xml:space="preserve"> </w:t>
      </w:r>
      <w:r>
        <w:rPr>
          <w:w w:val="95"/>
        </w:rPr>
        <w:t>created</w:t>
      </w:r>
      <w:r>
        <w:rPr>
          <w:spacing w:val="-4"/>
          <w:w w:val="95"/>
        </w:rPr>
        <w:t xml:space="preserve"> </w:t>
      </w:r>
      <w:r>
        <w:rPr>
          <w:w w:val="95"/>
        </w:rPr>
        <w:t>health</w:t>
      </w:r>
      <w:r>
        <w:rPr>
          <w:spacing w:val="-4"/>
          <w:w w:val="95"/>
        </w:rPr>
        <w:t xml:space="preserve"> </w:t>
      </w:r>
      <w:r>
        <w:rPr>
          <w:w w:val="95"/>
        </w:rPr>
        <w:t>precincts</w:t>
      </w:r>
      <w:r>
        <w:rPr>
          <w:spacing w:val="-4"/>
          <w:w w:val="95"/>
        </w:rPr>
        <w:t xml:space="preserve"> </w:t>
      </w:r>
      <w:r>
        <w:rPr>
          <w:w w:val="95"/>
        </w:rPr>
        <w:t>in</w:t>
      </w:r>
      <w:r>
        <w:rPr>
          <w:spacing w:val="-4"/>
          <w:w w:val="95"/>
        </w:rPr>
        <w:t xml:space="preserve"> </w:t>
      </w:r>
      <w:r>
        <w:rPr>
          <w:w w:val="95"/>
        </w:rPr>
        <w:t>Kogarah,</w:t>
      </w:r>
      <w:r>
        <w:rPr>
          <w:spacing w:val="-4"/>
          <w:w w:val="95"/>
        </w:rPr>
        <w:t xml:space="preserve"> </w:t>
      </w:r>
      <w:r>
        <w:rPr>
          <w:w w:val="95"/>
        </w:rPr>
        <w:t xml:space="preserve">Westmead, </w:t>
      </w:r>
      <w:r>
        <w:t>Hornsby, Campbelltown and Liverpool.</w:t>
      </w:r>
    </w:p>
    <w:p w:rsidR="002C1123" w:rsidRDefault="00F22F94">
      <w:pPr>
        <w:pStyle w:val="BodyText"/>
        <w:spacing w:before="147" w:line="249" w:lineRule="auto"/>
        <w:ind w:left="492" w:right="1137"/>
      </w:pPr>
      <w:r>
        <w:rPr>
          <w:w w:val="95"/>
        </w:rPr>
        <w:t>Each</w:t>
      </w:r>
      <w:r>
        <w:rPr>
          <w:spacing w:val="-5"/>
          <w:w w:val="95"/>
        </w:rPr>
        <w:t xml:space="preserve"> </w:t>
      </w:r>
      <w:r>
        <w:rPr>
          <w:w w:val="95"/>
        </w:rPr>
        <w:t>region’s</w:t>
      </w:r>
      <w:r>
        <w:rPr>
          <w:spacing w:val="-5"/>
          <w:w w:val="95"/>
        </w:rPr>
        <w:t xml:space="preserve"> </w:t>
      </w:r>
      <w:r>
        <w:rPr>
          <w:w w:val="95"/>
        </w:rPr>
        <w:t>utilisation</w:t>
      </w:r>
      <w:r>
        <w:rPr>
          <w:spacing w:val="-5"/>
          <w:w w:val="95"/>
        </w:rPr>
        <w:t xml:space="preserve"> </w:t>
      </w:r>
      <w:r>
        <w:rPr>
          <w:w w:val="95"/>
        </w:rPr>
        <w:t>of</w:t>
      </w:r>
      <w:r>
        <w:rPr>
          <w:spacing w:val="-5"/>
          <w:w w:val="95"/>
        </w:rPr>
        <w:t xml:space="preserve"> </w:t>
      </w:r>
      <w:r>
        <w:rPr>
          <w:w w:val="95"/>
        </w:rPr>
        <w:t>hospitals</w:t>
      </w:r>
      <w:r>
        <w:rPr>
          <w:spacing w:val="-5"/>
          <w:w w:val="95"/>
        </w:rPr>
        <w:t xml:space="preserve"> </w:t>
      </w:r>
      <w:r>
        <w:rPr>
          <w:w w:val="95"/>
        </w:rPr>
        <w:t>forecast</w:t>
      </w:r>
      <w:r>
        <w:rPr>
          <w:spacing w:val="-5"/>
          <w:w w:val="95"/>
        </w:rPr>
        <w:t xml:space="preserve"> </w:t>
      </w:r>
      <w:r>
        <w:rPr>
          <w:w w:val="95"/>
        </w:rPr>
        <w:t xml:space="preserve">growth </w:t>
      </w:r>
      <w:r>
        <w:t>in</w:t>
      </w:r>
      <w:r>
        <w:rPr>
          <w:spacing w:val="-14"/>
        </w:rPr>
        <w:t xml:space="preserve"> </w:t>
      </w:r>
      <w:r>
        <w:t>demand</w:t>
      </w:r>
      <w:r>
        <w:rPr>
          <w:spacing w:val="-14"/>
        </w:rPr>
        <w:t xml:space="preserve"> </w:t>
      </w:r>
      <w:r>
        <w:t>and</w:t>
      </w:r>
      <w:r>
        <w:rPr>
          <w:spacing w:val="-14"/>
        </w:rPr>
        <w:t xml:space="preserve"> </w:t>
      </w:r>
      <w:r>
        <w:t>major</w:t>
      </w:r>
      <w:r>
        <w:rPr>
          <w:spacing w:val="-14"/>
        </w:rPr>
        <w:t xml:space="preserve"> </w:t>
      </w:r>
      <w:r>
        <w:t>works</w:t>
      </w:r>
      <w:r>
        <w:rPr>
          <w:spacing w:val="-14"/>
        </w:rPr>
        <w:t xml:space="preserve"> </w:t>
      </w:r>
      <w:r>
        <w:t>proposed</w:t>
      </w:r>
      <w:r>
        <w:rPr>
          <w:spacing w:val="-14"/>
        </w:rPr>
        <w:t xml:space="preserve"> </w:t>
      </w:r>
      <w:r>
        <w:t>by</w:t>
      </w:r>
      <w:r>
        <w:rPr>
          <w:spacing w:val="-14"/>
        </w:rPr>
        <w:t xml:space="preserve"> </w:t>
      </w:r>
      <w:r>
        <w:t>the</w:t>
      </w:r>
      <w:r>
        <w:rPr>
          <w:spacing w:val="-14"/>
        </w:rPr>
        <w:t xml:space="preserve"> </w:t>
      </w:r>
      <w:r>
        <w:t>NSW Government</w:t>
      </w:r>
      <w:r>
        <w:rPr>
          <w:spacing w:val="-8"/>
        </w:rPr>
        <w:t xml:space="preserve"> </w:t>
      </w:r>
      <w:r>
        <w:t>are</w:t>
      </w:r>
      <w:r>
        <w:rPr>
          <w:spacing w:val="-8"/>
        </w:rPr>
        <w:t xml:space="preserve"> </w:t>
      </w:r>
      <w:r>
        <w:t>summarised</w:t>
      </w:r>
      <w:r>
        <w:rPr>
          <w:spacing w:val="-8"/>
        </w:rPr>
        <w:t xml:space="preserve"> </w:t>
      </w:r>
      <w:r>
        <w:t>in</w:t>
      </w:r>
      <w:r>
        <w:rPr>
          <w:spacing w:val="-8"/>
        </w:rPr>
        <w:t xml:space="preserve"> </w:t>
      </w:r>
      <w:r>
        <w:t>table</w:t>
      </w:r>
      <w:r>
        <w:rPr>
          <w:spacing w:val="-8"/>
        </w:rPr>
        <w:t xml:space="preserve"> </w:t>
      </w:r>
      <w:r>
        <w:t>4.2.</w:t>
      </w:r>
    </w:p>
    <w:p w:rsidR="002C1123" w:rsidRDefault="002C1123">
      <w:pPr>
        <w:spacing w:line="249" w:lineRule="auto"/>
        <w:sectPr w:rsidR="002C1123">
          <w:type w:val="continuous"/>
          <w:pgSz w:w="16840" w:h="11910" w:orient="landscape"/>
          <w:pgMar w:top="560" w:right="280" w:bottom="280" w:left="500" w:header="0" w:footer="470" w:gutter="0"/>
          <w:cols w:num="2" w:space="720" w:equalWidth="0">
            <w:col w:w="5304" w:space="4750"/>
            <w:col w:w="6006"/>
          </w:cols>
        </w:sectPr>
      </w:pPr>
    </w:p>
    <w:p w:rsidR="002C1123" w:rsidRDefault="002C1123">
      <w:pPr>
        <w:pStyle w:val="BodyText"/>
      </w:pPr>
    </w:p>
    <w:p w:rsidR="002C1123" w:rsidRDefault="002C1123">
      <w:pPr>
        <w:pStyle w:val="BodyText"/>
        <w:spacing w:before="5"/>
        <w:rPr>
          <w:sz w:val="28"/>
        </w:rPr>
      </w:pPr>
    </w:p>
    <w:p w:rsidR="002C1123" w:rsidRDefault="002060EF">
      <w:pPr>
        <w:pStyle w:val="BodyText"/>
        <w:spacing w:line="20" w:lineRule="exact"/>
        <w:ind w:left="10545"/>
        <w:rPr>
          <w:sz w:val="2"/>
        </w:rPr>
      </w:pPr>
      <w:r>
        <w:rPr>
          <w:sz w:val="2"/>
        </w:rPr>
      </w:r>
      <w:r>
        <w:rPr>
          <w:sz w:val="2"/>
        </w:rPr>
        <w:pict>
          <v:group id="docshapegroup810" o:spid="_x0000_s4518" style="width:1in;height:.5pt;mso-position-horizontal-relative:char;mso-position-vertical-relative:line" coordsize="1440,10">
            <v:line id="_x0000_s4519" style="position:absolute" from="0,5" to="1440,5" strokecolor="#9c9c9d" strokeweight=".5pt"/>
            <w10:anchorlock/>
          </v:group>
        </w:pict>
      </w:r>
    </w:p>
    <w:p w:rsidR="002C1123" w:rsidRDefault="00F22F94">
      <w:pPr>
        <w:pStyle w:val="ListParagraph"/>
        <w:numPr>
          <w:ilvl w:val="0"/>
          <w:numId w:val="114"/>
        </w:numPr>
        <w:tabs>
          <w:tab w:val="left" w:pos="10745"/>
        </w:tabs>
        <w:spacing w:before="8" w:line="161" w:lineRule="exact"/>
        <w:ind w:left="10744" w:hanging="200"/>
        <w:jc w:val="left"/>
        <w:rPr>
          <w:sz w:val="14"/>
        </w:rPr>
      </w:pPr>
      <w:r>
        <w:rPr>
          <w:w w:val="95"/>
          <w:sz w:val="14"/>
        </w:rPr>
        <w:t>NSW</w:t>
      </w:r>
      <w:r>
        <w:rPr>
          <w:spacing w:val="-1"/>
          <w:sz w:val="14"/>
        </w:rPr>
        <w:t xml:space="preserve"> </w:t>
      </w:r>
      <w:r>
        <w:rPr>
          <w:w w:val="95"/>
          <w:sz w:val="14"/>
        </w:rPr>
        <w:t>Bureau</w:t>
      </w:r>
      <w:r>
        <w:rPr>
          <w:spacing w:val="-1"/>
          <w:sz w:val="14"/>
        </w:rPr>
        <w:t xml:space="preserve"> </w:t>
      </w:r>
      <w:r>
        <w:rPr>
          <w:w w:val="95"/>
          <w:sz w:val="14"/>
        </w:rPr>
        <w:t>of</w:t>
      </w:r>
      <w:r>
        <w:rPr>
          <w:spacing w:val="-1"/>
          <w:sz w:val="14"/>
        </w:rPr>
        <w:t xml:space="preserve"> </w:t>
      </w:r>
      <w:r>
        <w:rPr>
          <w:w w:val="95"/>
          <w:sz w:val="14"/>
        </w:rPr>
        <w:t>Transport</w:t>
      </w:r>
      <w:r>
        <w:rPr>
          <w:spacing w:val="-1"/>
          <w:sz w:val="14"/>
        </w:rPr>
        <w:t xml:space="preserve"> </w:t>
      </w:r>
      <w:r>
        <w:rPr>
          <w:w w:val="95"/>
          <w:sz w:val="14"/>
        </w:rPr>
        <w:t>Statistics</w:t>
      </w:r>
      <w:r>
        <w:rPr>
          <w:sz w:val="14"/>
        </w:rPr>
        <w:t xml:space="preserve"> </w:t>
      </w:r>
      <w:r>
        <w:rPr>
          <w:w w:val="95"/>
          <w:sz w:val="14"/>
        </w:rPr>
        <w:t>2011,</w:t>
      </w:r>
      <w:r>
        <w:rPr>
          <w:spacing w:val="-1"/>
          <w:sz w:val="14"/>
        </w:rPr>
        <w:t xml:space="preserve"> </w:t>
      </w:r>
      <w:r>
        <w:rPr>
          <w:w w:val="95"/>
          <w:sz w:val="14"/>
        </w:rPr>
        <w:t>Employment</w:t>
      </w:r>
      <w:r>
        <w:rPr>
          <w:spacing w:val="-1"/>
          <w:sz w:val="14"/>
        </w:rPr>
        <w:t xml:space="preserve"> </w:t>
      </w:r>
      <w:r>
        <w:rPr>
          <w:spacing w:val="-2"/>
          <w:w w:val="95"/>
          <w:sz w:val="14"/>
        </w:rPr>
        <w:t>Forecasts.</w:t>
      </w:r>
    </w:p>
    <w:p w:rsidR="002C1123" w:rsidRDefault="00F22F94">
      <w:pPr>
        <w:pStyle w:val="ListParagraph"/>
        <w:numPr>
          <w:ilvl w:val="0"/>
          <w:numId w:val="114"/>
        </w:numPr>
        <w:tabs>
          <w:tab w:val="left" w:pos="10745"/>
        </w:tabs>
        <w:spacing w:line="160" w:lineRule="exact"/>
        <w:ind w:left="10744" w:hanging="200"/>
        <w:jc w:val="left"/>
        <w:rPr>
          <w:sz w:val="14"/>
        </w:rPr>
      </w:pPr>
      <w:r>
        <w:rPr>
          <w:w w:val="95"/>
          <w:sz w:val="14"/>
        </w:rPr>
        <w:t>NSW</w:t>
      </w:r>
      <w:r>
        <w:rPr>
          <w:spacing w:val="2"/>
          <w:sz w:val="14"/>
        </w:rPr>
        <w:t xml:space="preserve"> </w:t>
      </w:r>
      <w:r>
        <w:rPr>
          <w:w w:val="95"/>
          <w:sz w:val="14"/>
        </w:rPr>
        <w:t>Department</w:t>
      </w:r>
      <w:r>
        <w:rPr>
          <w:spacing w:val="2"/>
          <w:sz w:val="14"/>
        </w:rPr>
        <w:t xml:space="preserve"> </w:t>
      </w:r>
      <w:r>
        <w:rPr>
          <w:w w:val="95"/>
          <w:sz w:val="14"/>
        </w:rPr>
        <w:t>of</w:t>
      </w:r>
      <w:r>
        <w:rPr>
          <w:spacing w:val="2"/>
          <w:sz w:val="14"/>
        </w:rPr>
        <w:t xml:space="preserve"> </w:t>
      </w:r>
      <w:r>
        <w:rPr>
          <w:w w:val="95"/>
          <w:sz w:val="14"/>
        </w:rPr>
        <w:t>Health</w:t>
      </w:r>
      <w:r>
        <w:rPr>
          <w:spacing w:val="3"/>
          <w:sz w:val="14"/>
        </w:rPr>
        <w:t xml:space="preserve"> </w:t>
      </w:r>
      <w:r>
        <w:rPr>
          <w:spacing w:val="-2"/>
          <w:w w:val="95"/>
          <w:sz w:val="14"/>
        </w:rPr>
        <w:t>2012.</w:t>
      </w:r>
    </w:p>
    <w:p w:rsidR="002C1123" w:rsidRDefault="00F22F94">
      <w:pPr>
        <w:pStyle w:val="ListParagraph"/>
        <w:numPr>
          <w:ilvl w:val="0"/>
          <w:numId w:val="114"/>
        </w:numPr>
        <w:tabs>
          <w:tab w:val="left" w:pos="10745"/>
        </w:tabs>
        <w:spacing w:line="161" w:lineRule="exact"/>
        <w:ind w:left="10744" w:hanging="200"/>
        <w:jc w:val="left"/>
        <w:rPr>
          <w:sz w:val="14"/>
        </w:rPr>
      </w:pPr>
      <w:r>
        <w:rPr>
          <w:w w:val="95"/>
          <w:sz w:val="14"/>
        </w:rPr>
        <w:t>Deloitte</w:t>
      </w:r>
      <w:r>
        <w:rPr>
          <w:spacing w:val="2"/>
          <w:sz w:val="14"/>
        </w:rPr>
        <w:t xml:space="preserve"> </w:t>
      </w:r>
      <w:r>
        <w:rPr>
          <w:w w:val="95"/>
          <w:sz w:val="14"/>
        </w:rPr>
        <w:t>Access</w:t>
      </w:r>
      <w:r>
        <w:rPr>
          <w:spacing w:val="2"/>
          <w:sz w:val="14"/>
        </w:rPr>
        <w:t xml:space="preserve"> </w:t>
      </w:r>
      <w:r>
        <w:rPr>
          <w:w w:val="95"/>
          <w:sz w:val="14"/>
        </w:rPr>
        <w:t>Economics</w:t>
      </w:r>
      <w:r>
        <w:rPr>
          <w:spacing w:val="3"/>
          <w:sz w:val="14"/>
        </w:rPr>
        <w:t xml:space="preserve"> </w:t>
      </w:r>
      <w:r>
        <w:rPr>
          <w:w w:val="95"/>
          <w:sz w:val="14"/>
        </w:rPr>
        <w:t>2012,</w:t>
      </w:r>
      <w:r>
        <w:rPr>
          <w:spacing w:val="2"/>
          <w:sz w:val="14"/>
        </w:rPr>
        <w:t xml:space="preserve"> </w:t>
      </w:r>
      <w:r>
        <w:rPr>
          <w:w w:val="95"/>
          <w:sz w:val="14"/>
        </w:rPr>
        <w:t>Infrastructure</w:t>
      </w:r>
      <w:r>
        <w:rPr>
          <w:spacing w:val="2"/>
          <w:sz w:val="14"/>
        </w:rPr>
        <w:t xml:space="preserve"> </w:t>
      </w:r>
      <w:r>
        <w:rPr>
          <w:w w:val="95"/>
          <w:sz w:val="14"/>
        </w:rPr>
        <w:t>and</w:t>
      </w:r>
      <w:r>
        <w:rPr>
          <w:spacing w:val="3"/>
          <w:sz w:val="14"/>
        </w:rPr>
        <w:t xml:space="preserve"> </w:t>
      </w:r>
      <w:r>
        <w:rPr>
          <w:w w:val="95"/>
          <w:sz w:val="14"/>
        </w:rPr>
        <w:t>the</w:t>
      </w:r>
      <w:r>
        <w:rPr>
          <w:spacing w:val="2"/>
          <w:sz w:val="14"/>
        </w:rPr>
        <w:t xml:space="preserve"> </w:t>
      </w:r>
      <w:r>
        <w:rPr>
          <w:w w:val="95"/>
          <w:sz w:val="14"/>
        </w:rPr>
        <w:t>NSW</w:t>
      </w:r>
      <w:r>
        <w:rPr>
          <w:spacing w:val="2"/>
          <w:sz w:val="14"/>
        </w:rPr>
        <w:t xml:space="preserve"> </w:t>
      </w:r>
      <w:r>
        <w:rPr>
          <w:spacing w:val="-2"/>
          <w:w w:val="95"/>
          <w:sz w:val="14"/>
        </w:rPr>
        <w:t>Economy.</w:t>
      </w:r>
    </w:p>
    <w:p w:rsidR="002C1123" w:rsidRDefault="002C1123">
      <w:pPr>
        <w:spacing w:line="161" w:lineRule="exact"/>
        <w:rPr>
          <w:sz w:val="14"/>
        </w:rPr>
        <w:sectPr w:rsidR="002C1123">
          <w:type w:val="continuous"/>
          <w:pgSz w:w="16840" w:h="11910" w:orient="landscape"/>
          <w:pgMar w:top="560" w:right="280" w:bottom="280" w:left="500" w:header="0" w:footer="470"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C1123">
      <w:pPr>
        <w:rPr>
          <w:sz w:val="19"/>
        </w:rPr>
        <w:sectPr w:rsidR="002C1123">
          <w:pgSz w:w="16840" w:h="11910" w:orient="landscape"/>
          <w:pgMar w:top="560" w:right="280" w:bottom="660" w:left="500" w:header="0" w:footer="470" w:gutter="0"/>
          <w:cols w:space="720"/>
        </w:sectPr>
      </w:pPr>
    </w:p>
    <w:p w:rsidR="002C1123" w:rsidRDefault="002C1123">
      <w:pPr>
        <w:pStyle w:val="BodyText"/>
        <w:spacing w:before="6"/>
        <w:rPr>
          <w:sz w:val="16"/>
        </w:rPr>
      </w:pPr>
    </w:p>
    <w:p w:rsidR="002C1123" w:rsidRDefault="00F22F94">
      <w:pPr>
        <w:ind w:left="502"/>
        <w:rPr>
          <w:b/>
          <w:sz w:val="18"/>
        </w:rPr>
      </w:pPr>
      <w:bookmarkStart w:id="120" w:name="_bookmark86"/>
      <w:bookmarkEnd w:id="120"/>
      <w:r>
        <w:rPr>
          <w:b/>
          <w:sz w:val="18"/>
        </w:rPr>
        <w:t>Table</w:t>
      </w:r>
      <w:r>
        <w:rPr>
          <w:b/>
          <w:spacing w:val="-14"/>
          <w:sz w:val="18"/>
        </w:rPr>
        <w:t xml:space="preserve"> </w:t>
      </w:r>
      <w:r>
        <w:rPr>
          <w:b/>
          <w:sz w:val="18"/>
        </w:rPr>
        <w:t>4.2</w:t>
      </w:r>
      <w:r>
        <w:rPr>
          <w:b/>
          <w:spacing w:val="27"/>
          <w:sz w:val="18"/>
        </w:rPr>
        <w:t xml:space="preserve"> </w:t>
      </w:r>
      <w:r>
        <w:rPr>
          <w:b/>
          <w:sz w:val="18"/>
        </w:rPr>
        <w:t>Healthcare</w:t>
      </w:r>
      <w:r>
        <w:rPr>
          <w:b/>
          <w:spacing w:val="-13"/>
          <w:sz w:val="18"/>
        </w:rPr>
        <w:t xml:space="preserve"> </w:t>
      </w:r>
      <w:r>
        <w:rPr>
          <w:b/>
          <w:sz w:val="18"/>
        </w:rPr>
        <w:t>in</w:t>
      </w:r>
      <w:r>
        <w:rPr>
          <w:b/>
          <w:spacing w:val="-13"/>
          <w:sz w:val="18"/>
        </w:rPr>
        <w:t xml:space="preserve"> </w:t>
      </w:r>
      <w:r>
        <w:rPr>
          <w:b/>
          <w:sz w:val="18"/>
        </w:rPr>
        <w:t>Metropolitan</w:t>
      </w:r>
      <w:r>
        <w:rPr>
          <w:b/>
          <w:spacing w:val="-13"/>
          <w:sz w:val="18"/>
        </w:rPr>
        <w:t xml:space="preserve"> </w:t>
      </w:r>
      <w:r>
        <w:rPr>
          <w:b/>
          <w:spacing w:val="-2"/>
          <w:sz w:val="18"/>
        </w:rPr>
        <w:t>Sydney</w:t>
      </w:r>
    </w:p>
    <w:p w:rsidR="002C1123" w:rsidRDefault="00F22F94">
      <w:pPr>
        <w:pStyle w:val="BodyText"/>
        <w:spacing w:before="76" w:line="240" w:lineRule="atLeast"/>
        <w:ind w:left="502" w:right="693"/>
      </w:pPr>
      <w:r>
        <w:br w:type="column"/>
      </w:r>
      <w:r>
        <w:t>As</w:t>
      </w:r>
      <w:r>
        <w:rPr>
          <w:spacing w:val="-14"/>
        </w:rPr>
        <w:t xml:space="preserve"> </w:t>
      </w:r>
      <w:r>
        <w:t>with</w:t>
      </w:r>
      <w:r>
        <w:rPr>
          <w:spacing w:val="-14"/>
        </w:rPr>
        <w:t xml:space="preserve"> </w:t>
      </w:r>
      <w:r>
        <w:t>other</w:t>
      </w:r>
      <w:r>
        <w:rPr>
          <w:spacing w:val="-14"/>
        </w:rPr>
        <w:t xml:space="preserve"> </w:t>
      </w:r>
      <w:r>
        <w:t>parts</w:t>
      </w:r>
      <w:r>
        <w:rPr>
          <w:spacing w:val="-14"/>
        </w:rPr>
        <w:t xml:space="preserve"> </w:t>
      </w:r>
      <w:r>
        <w:t>of</w:t>
      </w:r>
      <w:r>
        <w:rPr>
          <w:spacing w:val="-14"/>
        </w:rPr>
        <w:t xml:space="preserve"> </w:t>
      </w:r>
      <w:r>
        <w:t>NSW,</w:t>
      </w:r>
      <w:r>
        <w:rPr>
          <w:spacing w:val="-14"/>
        </w:rPr>
        <w:t xml:space="preserve"> </w:t>
      </w:r>
      <w:r>
        <w:t>affordability</w:t>
      </w:r>
      <w:r>
        <w:rPr>
          <w:spacing w:val="-14"/>
        </w:rPr>
        <w:t xml:space="preserve"> </w:t>
      </w:r>
      <w:r>
        <w:t>will</w:t>
      </w:r>
      <w:r>
        <w:rPr>
          <w:spacing w:val="-14"/>
        </w:rPr>
        <w:t xml:space="preserve"> </w:t>
      </w:r>
      <w:r>
        <w:t>remain</w:t>
      </w:r>
      <w:r>
        <w:rPr>
          <w:spacing w:val="-14"/>
        </w:rPr>
        <w:t xml:space="preserve"> </w:t>
      </w:r>
      <w:r>
        <w:t xml:space="preserve">a </w:t>
      </w:r>
      <w:r>
        <w:rPr>
          <w:w w:val="95"/>
        </w:rPr>
        <w:t>challenge</w:t>
      </w:r>
      <w:r>
        <w:rPr>
          <w:spacing w:val="-5"/>
          <w:w w:val="95"/>
        </w:rPr>
        <w:t xml:space="preserve"> </w:t>
      </w:r>
      <w:r>
        <w:rPr>
          <w:w w:val="95"/>
        </w:rPr>
        <w:t>as</w:t>
      </w:r>
      <w:r>
        <w:rPr>
          <w:spacing w:val="-5"/>
          <w:w w:val="95"/>
        </w:rPr>
        <w:t xml:space="preserve"> </w:t>
      </w:r>
      <w:r>
        <w:rPr>
          <w:w w:val="95"/>
        </w:rPr>
        <w:t>an</w:t>
      </w:r>
      <w:r>
        <w:rPr>
          <w:spacing w:val="-5"/>
          <w:w w:val="95"/>
        </w:rPr>
        <w:t xml:space="preserve"> </w:t>
      </w:r>
      <w:r>
        <w:rPr>
          <w:w w:val="95"/>
        </w:rPr>
        <w:t>ageing</w:t>
      </w:r>
      <w:r>
        <w:rPr>
          <w:spacing w:val="-5"/>
          <w:w w:val="95"/>
        </w:rPr>
        <w:t xml:space="preserve"> </w:t>
      </w:r>
      <w:r>
        <w:rPr>
          <w:w w:val="95"/>
        </w:rPr>
        <w:t>population</w:t>
      </w:r>
      <w:r>
        <w:rPr>
          <w:spacing w:val="-5"/>
          <w:w w:val="95"/>
        </w:rPr>
        <w:t xml:space="preserve"> </w:t>
      </w:r>
      <w:r>
        <w:rPr>
          <w:w w:val="95"/>
        </w:rPr>
        <w:t>and</w:t>
      </w:r>
      <w:r>
        <w:rPr>
          <w:spacing w:val="-5"/>
          <w:w w:val="95"/>
        </w:rPr>
        <w:t xml:space="preserve"> </w:t>
      </w:r>
      <w:r>
        <w:rPr>
          <w:w w:val="95"/>
        </w:rPr>
        <w:t>new</w:t>
      </w:r>
      <w:r>
        <w:rPr>
          <w:spacing w:val="-5"/>
          <w:w w:val="95"/>
        </w:rPr>
        <w:t xml:space="preserve"> </w:t>
      </w:r>
      <w:r>
        <w:rPr>
          <w:w w:val="95"/>
        </w:rPr>
        <w:t>healthcare</w:t>
      </w:r>
    </w:p>
    <w:p w:rsidR="002C1123" w:rsidRDefault="002C1123">
      <w:pPr>
        <w:spacing w:line="240" w:lineRule="atLeast"/>
        <w:sectPr w:rsidR="002C1123">
          <w:type w:val="continuous"/>
          <w:pgSz w:w="16840" w:h="11910" w:orient="landscape"/>
          <w:pgMar w:top="560" w:right="280" w:bottom="280" w:left="500" w:header="0" w:footer="470" w:gutter="0"/>
          <w:cols w:num="2" w:space="720" w:equalWidth="0">
            <w:col w:w="4307" w:space="5736"/>
            <w:col w:w="6017"/>
          </w:cols>
        </w:sectPr>
      </w:pPr>
    </w:p>
    <w:p w:rsidR="002C1123" w:rsidRDefault="00F22F94">
      <w:pPr>
        <w:spacing w:line="143" w:lineRule="exact"/>
        <w:ind w:left="615"/>
        <w:rPr>
          <w:b/>
          <w:sz w:val="16"/>
        </w:rPr>
      </w:pPr>
      <w:r>
        <w:rPr>
          <w:b/>
          <w:color w:val="2E3092"/>
          <w:spacing w:val="-2"/>
          <w:sz w:val="16"/>
        </w:rPr>
        <w:t>Regional</w:t>
      </w:r>
    </w:p>
    <w:p w:rsidR="002C1123" w:rsidRDefault="002060EF">
      <w:pPr>
        <w:spacing w:before="1" w:line="235" w:lineRule="auto"/>
        <w:ind w:left="615" w:right="67"/>
        <w:rPr>
          <w:b/>
          <w:sz w:val="16"/>
        </w:rPr>
      </w:pPr>
      <w:r>
        <w:pict>
          <v:shape id="docshape811" o:spid="_x0000_s4517" type="#_x0000_t202" style="position:absolute;left:0;text-align:left;margin-left:49.6pt;margin-top:18.75pt;width:491.35pt;height:129.8pt;z-index:251280384;mso-position-horizontal-relative:page" filled="f" stroked="f">
            <v:textbox inset="0,0,0,0">
              <w:txbxContent>
                <w:tbl>
                  <w:tblPr>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84"/>
                    <w:gridCol w:w="1360"/>
                    <w:gridCol w:w="1360"/>
                    <w:gridCol w:w="1700"/>
                    <w:gridCol w:w="3400"/>
                  </w:tblGrid>
                  <w:tr w:rsidR="00F22F94">
                    <w:trPr>
                      <w:trHeight w:val="377"/>
                    </w:trPr>
                    <w:tc>
                      <w:tcPr>
                        <w:tcW w:w="1984" w:type="dxa"/>
                        <w:tcBorders>
                          <w:left w:val="nil"/>
                        </w:tcBorders>
                        <w:shd w:val="clear" w:color="auto" w:fill="C9C8C9"/>
                      </w:tcPr>
                      <w:p w:rsidR="00F22F94" w:rsidRDefault="00F22F94">
                        <w:pPr>
                          <w:pStyle w:val="TableParagraph"/>
                          <w:rPr>
                            <w:sz w:val="16"/>
                          </w:rPr>
                        </w:pPr>
                        <w:r>
                          <w:rPr>
                            <w:spacing w:val="-4"/>
                            <w:w w:val="105"/>
                            <w:sz w:val="16"/>
                          </w:rPr>
                          <w:t>South</w:t>
                        </w:r>
                      </w:p>
                    </w:tc>
                    <w:tc>
                      <w:tcPr>
                        <w:tcW w:w="1360" w:type="dxa"/>
                        <w:shd w:val="clear" w:color="auto" w:fill="E1E0E1"/>
                      </w:tcPr>
                      <w:p w:rsidR="00F22F94" w:rsidRDefault="00F22F94">
                        <w:pPr>
                          <w:pStyle w:val="TableParagraph"/>
                          <w:rPr>
                            <w:sz w:val="16"/>
                          </w:rPr>
                        </w:pPr>
                        <w:r>
                          <w:rPr>
                            <w:spacing w:val="-5"/>
                            <w:sz w:val="16"/>
                          </w:rPr>
                          <w:t>1.9</w:t>
                        </w:r>
                      </w:p>
                    </w:tc>
                    <w:tc>
                      <w:tcPr>
                        <w:tcW w:w="1360" w:type="dxa"/>
                        <w:shd w:val="clear" w:color="auto" w:fill="E1E0E1"/>
                      </w:tcPr>
                      <w:p w:rsidR="00F22F94" w:rsidRDefault="00F22F94">
                        <w:pPr>
                          <w:pStyle w:val="TableParagraph"/>
                          <w:spacing w:before="57"/>
                          <w:ind w:left="114"/>
                          <w:rPr>
                            <w:rFonts w:ascii="Tahoma"/>
                            <w:sz w:val="16"/>
                          </w:rPr>
                        </w:pPr>
                        <w:r>
                          <w:rPr>
                            <w:rFonts w:ascii="Tahoma"/>
                            <w:spacing w:val="-5"/>
                            <w:sz w:val="16"/>
                          </w:rPr>
                          <w:t>94%</w:t>
                        </w:r>
                      </w:p>
                    </w:tc>
                    <w:tc>
                      <w:tcPr>
                        <w:tcW w:w="1700" w:type="dxa"/>
                        <w:shd w:val="clear" w:color="auto" w:fill="E1E0E1"/>
                      </w:tcPr>
                      <w:p w:rsidR="00F22F94" w:rsidRDefault="00F22F94">
                        <w:pPr>
                          <w:pStyle w:val="TableParagraph"/>
                          <w:spacing w:before="57"/>
                          <w:ind w:left="115"/>
                          <w:rPr>
                            <w:rFonts w:ascii="Tahoma"/>
                            <w:sz w:val="16"/>
                          </w:rPr>
                        </w:pPr>
                        <w:r>
                          <w:rPr>
                            <w:rFonts w:ascii="Tahoma"/>
                            <w:spacing w:val="-5"/>
                            <w:sz w:val="16"/>
                          </w:rPr>
                          <w:t>17%</w:t>
                        </w:r>
                      </w:p>
                    </w:tc>
                    <w:tc>
                      <w:tcPr>
                        <w:tcW w:w="3400" w:type="dxa"/>
                        <w:shd w:val="clear" w:color="auto" w:fill="E1E0E1"/>
                      </w:tcPr>
                      <w:p w:rsidR="00F22F94" w:rsidRDefault="00F22F94">
                        <w:pPr>
                          <w:pStyle w:val="TableParagraph"/>
                          <w:ind w:left="115"/>
                          <w:rPr>
                            <w:sz w:val="16"/>
                          </w:rPr>
                        </w:pPr>
                        <w:r>
                          <w:rPr>
                            <w:w w:val="95"/>
                            <w:sz w:val="16"/>
                          </w:rPr>
                          <w:t>St</w:t>
                        </w:r>
                        <w:r>
                          <w:rPr>
                            <w:sz w:val="16"/>
                          </w:rPr>
                          <w:t xml:space="preserve"> </w:t>
                        </w:r>
                        <w:r>
                          <w:rPr>
                            <w:w w:val="95"/>
                            <w:sz w:val="16"/>
                          </w:rPr>
                          <w:t>George</w:t>
                        </w:r>
                        <w:r>
                          <w:rPr>
                            <w:sz w:val="16"/>
                          </w:rPr>
                          <w:t xml:space="preserve"> </w:t>
                        </w:r>
                        <w:r>
                          <w:rPr>
                            <w:spacing w:val="-2"/>
                            <w:w w:val="95"/>
                            <w:sz w:val="16"/>
                          </w:rPr>
                          <w:t>Redevelopment</w:t>
                        </w:r>
                      </w:p>
                    </w:tc>
                  </w:tr>
                  <w:tr w:rsidR="00F22F94">
                    <w:trPr>
                      <w:trHeight w:val="571"/>
                    </w:trPr>
                    <w:tc>
                      <w:tcPr>
                        <w:tcW w:w="1984" w:type="dxa"/>
                        <w:tcBorders>
                          <w:left w:val="nil"/>
                        </w:tcBorders>
                        <w:shd w:val="clear" w:color="auto" w:fill="C9C8C9"/>
                      </w:tcPr>
                      <w:p w:rsidR="00F22F94" w:rsidRDefault="00F22F94">
                        <w:pPr>
                          <w:pStyle w:val="TableParagraph"/>
                          <w:rPr>
                            <w:sz w:val="16"/>
                          </w:rPr>
                        </w:pPr>
                        <w:r>
                          <w:rPr>
                            <w:spacing w:val="-4"/>
                            <w:w w:val="105"/>
                            <w:sz w:val="16"/>
                          </w:rPr>
                          <w:t>North</w:t>
                        </w:r>
                      </w:p>
                    </w:tc>
                    <w:tc>
                      <w:tcPr>
                        <w:tcW w:w="1360" w:type="dxa"/>
                        <w:shd w:val="clear" w:color="auto" w:fill="E1E0E1"/>
                      </w:tcPr>
                      <w:p w:rsidR="00F22F94" w:rsidRDefault="00F22F94">
                        <w:pPr>
                          <w:pStyle w:val="TableParagraph"/>
                          <w:rPr>
                            <w:sz w:val="16"/>
                          </w:rPr>
                        </w:pPr>
                        <w:r>
                          <w:rPr>
                            <w:spacing w:val="-5"/>
                            <w:sz w:val="16"/>
                          </w:rPr>
                          <w:t>1.8</w:t>
                        </w:r>
                      </w:p>
                    </w:tc>
                    <w:tc>
                      <w:tcPr>
                        <w:tcW w:w="1360" w:type="dxa"/>
                        <w:shd w:val="clear" w:color="auto" w:fill="E1E0E1"/>
                      </w:tcPr>
                      <w:p w:rsidR="00F22F94" w:rsidRDefault="00F22F94">
                        <w:pPr>
                          <w:pStyle w:val="TableParagraph"/>
                          <w:spacing w:before="57"/>
                          <w:ind w:left="114"/>
                          <w:rPr>
                            <w:rFonts w:ascii="Tahoma"/>
                            <w:sz w:val="16"/>
                          </w:rPr>
                        </w:pPr>
                        <w:r>
                          <w:rPr>
                            <w:rFonts w:ascii="Tahoma"/>
                            <w:spacing w:val="-5"/>
                            <w:sz w:val="16"/>
                          </w:rPr>
                          <w:t>80%</w:t>
                        </w:r>
                      </w:p>
                    </w:tc>
                    <w:tc>
                      <w:tcPr>
                        <w:tcW w:w="1700" w:type="dxa"/>
                        <w:shd w:val="clear" w:color="auto" w:fill="E1E0E1"/>
                      </w:tcPr>
                      <w:p w:rsidR="00F22F94" w:rsidRDefault="00F22F94">
                        <w:pPr>
                          <w:pStyle w:val="TableParagraph"/>
                          <w:spacing w:before="57"/>
                          <w:ind w:left="115"/>
                          <w:rPr>
                            <w:rFonts w:ascii="Tahoma"/>
                            <w:sz w:val="16"/>
                          </w:rPr>
                        </w:pPr>
                        <w:r>
                          <w:rPr>
                            <w:rFonts w:ascii="Tahoma"/>
                            <w:spacing w:val="-5"/>
                            <w:sz w:val="16"/>
                          </w:rPr>
                          <w:t>16%</w:t>
                        </w:r>
                      </w:p>
                    </w:tc>
                    <w:tc>
                      <w:tcPr>
                        <w:tcW w:w="3400" w:type="dxa"/>
                        <w:shd w:val="clear" w:color="auto" w:fill="E1E0E1"/>
                      </w:tcPr>
                      <w:p w:rsidR="00F22F94" w:rsidRDefault="00F22F94">
                        <w:pPr>
                          <w:pStyle w:val="TableParagraph"/>
                          <w:spacing w:line="254" w:lineRule="auto"/>
                          <w:ind w:left="116" w:right="769"/>
                          <w:rPr>
                            <w:sz w:val="16"/>
                          </w:rPr>
                        </w:pPr>
                        <w:r>
                          <w:rPr>
                            <w:w w:val="95"/>
                            <w:sz w:val="16"/>
                          </w:rPr>
                          <w:t xml:space="preserve">Hornsby Ku-ring-gai stage 1 </w:t>
                        </w:r>
                        <w:r>
                          <w:rPr>
                            <w:sz w:val="16"/>
                          </w:rPr>
                          <w:t>Northern</w:t>
                        </w:r>
                        <w:r>
                          <w:rPr>
                            <w:spacing w:val="-4"/>
                            <w:sz w:val="16"/>
                          </w:rPr>
                          <w:t xml:space="preserve"> </w:t>
                        </w:r>
                        <w:r>
                          <w:rPr>
                            <w:sz w:val="16"/>
                          </w:rPr>
                          <w:t>Beaches</w:t>
                        </w:r>
                      </w:p>
                    </w:tc>
                  </w:tr>
                  <w:tr w:rsidR="00F22F94">
                    <w:trPr>
                      <w:trHeight w:val="377"/>
                    </w:trPr>
                    <w:tc>
                      <w:tcPr>
                        <w:tcW w:w="1984" w:type="dxa"/>
                        <w:tcBorders>
                          <w:left w:val="nil"/>
                        </w:tcBorders>
                        <w:shd w:val="clear" w:color="auto" w:fill="C9C8C9"/>
                      </w:tcPr>
                      <w:p w:rsidR="00F22F94" w:rsidRDefault="00F22F94">
                        <w:pPr>
                          <w:pStyle w:val="TableParagraph"/>
                          <w:rPr>
                            <w:sz w:val="16"/>
                          </w:rPr>
                        </w:pPr>
                        <w:r>
                          <w:rPr>
                            <w:sz w:val="16"/>
                          </w:rPr>
                          <w:t>West</w:t>
                        </w:r>
                        <w:r>
                          <w:rPr>
                            <w:spacing w:val="-3"/>
                            <w:sz w:val="16"/>
                          </w:rPr>
                          <w:t xml:space="preserve"> </w:t>
                        </w:r>
                        <w:r>
                          <w:rPr>
                            <w:spacing w:val="-2"/>
                            <w:w w:val="105"/>
                            <w:sz w:val="16"/>
                          </w:rPr>
                          <w:t>Central</w:t>
                        </w:r>
                      </w:p>
                    </w:tc>
                    <w:tc>
                      <w:tcPr>
                        <w:tcW w:w="1360" w:type="dxa"/>
                        <w:shd w:val="clear" w:color="auto" w:fill="E1E0E1"/>
                      </w:tcPr>
                      <w:p w:rsidR="00F22F94" w:rsidRDefault="00F22F94">
                        <w:pPr>
                          <w:pStyle w:val="TableParagraph"/>
                          <w:ind w:left="114"/>
                          <w:rPr>
                            <w:sz w:val="16"/>
                          </w:rPr>
                        </w:pPr>
                        <w:r>
                          <w:rPr>
                            <w:spacing w:val="-5"/>
                            <w:sz w:val="16"/>
                          </w:rPr>
                          <w:t>1.7</w:t>
                        </w:r>
                      </w:p>
                    </w:tc>
                    <w:tc>
                      <w:tcPr>
                        <w:tcW w:w="1360" w:type="dxa"/>
                        <w:shd w:val="clear" w:color="auto" w:fill="E1E0E1"/>
                      </w:tcPr>
                      <w:p w:rsidR="00F22F94" w:rsidRDefault="00F22F94">
                        <w:pPr>
                          <w:pStyle w:val="TableParagraph"/>
                          <w:spacing w:before="57"/>
                          <w:ind w:left="114"/>
                          <w:rPr>
                            <w:rFonts w:ascii="Tahoma"/>
                            <w:sz w:val="16"/>
                          </w:rPr>
                        </w:pPr>
                        <w:r>
                          <w:rPr>
                            <w:rFonts w:ascii="Tahoma"/>
                            <w:spacing w:val="-5"/>
                            <w:sz w:val="16"/>
                          </w:rPr>
                          <w:t>90%</w:t>
                        </w:r>
                      </w:p>
                    </w:tc>
                    <w:tc>
                      <w:tcPr>
                        <w:tcW w:w="1700" w:type="dxa"/>
                        <w:shd w:val="clear" w:color="auto" w:fill="E1E0E1"/>
                      </w:tcPr>
                      <w:p w:rsidR="00F22F94" w:rsidRDefault="00F22F94">
                        <w:pPr>
                          <w:pStyle w:val="TableParagraph"/>
                          <w:spacing w:before="57"/>
                          <w:ind w:left="115"/>
                          <w:rPr>
                            <w:rFonts w:ascii="Tahoma"/>
                            <w:sz w:val="16"/>
                          </w:rPr>
                        </w:pPr>
                        <w:r>
                          <w:rPr>
                            <w:rFonts w:ascii="Tahoma"/>
                            <w:spacing w:val="-5"/>
                            <w:sz w:val="16"/>
                          </w:rPr>
                          <w:t>24%</w:t>
                        </w:r>
                      </w:p>
                    </w:tc>
                    <w:tc>
                      <w:tcPr>
                        <w:tcW w:w="3400" w:type="dxa"/>
                        <w:shd w:val="clear" w:color="auto" w:fill="E1E0E1"/>
                      </w:tcPr>
                      <w:p w:rsidR="00F22F94" w:rsidRDefault="00F22F94">
                        <w:pPr>
                          <w:pStyle w:val="TableParagraph"/>
                          <w:ind w:left="116"/>
                          <w:rPr>
                            <w:sz w:val="16"/>
                          </w:rPr>
                        </w:pPr>
                        <w:r>
                          <w:rPr>
                            <w:sz w:val="16"/>
                          </w:rPr>
                          <w:t>Blacktown</w:t>
                        </w:r>
                        <w:r>
                          <w:rPr>
                            <w:spacing w:val="-4"/>
                            <w:sz w:val="16"/>
                          </w:rPr>
                          <w:t xml:space="preserve"> </w:t>
                        </w:r>
                        <w:r>
                          <w:rPr>
                            <w:sz w:val="16"/>
                          </w:rPr>
                          <w:t>/</w:t>
                        </w:r>
                        <w:r>
                          <w:rPr>
                            <w:spacing w:val="-4"/>
                            <w:sz w:val="16"/>
                          </w:rPr>
                          <w:t xml:space="preserve"> </w:t>
                        </w:r>
                        <w:r>
                          <w:rPr>
                            <w:sz w:val="16"/>
                          </w:rPr>
                          <w:t>Mt</w:t>
                        </w:r>
                        <w:r>
                          <w:rPr>
                            <w:spacing w:val="-4"/>
                            <w:sz w:val="16"/>
                          </w:rPr>
                          <w:t xml:space="preserve"> </w:t>
                        </w:r>
                        <w:r>
                          <w:rPr>
                            <w:sz w:val="16"/>
                          </w:rPr>
                          <w:t>Druitt</w:t>
                        </w:r>
                        <w:r>
                          <w:rPr>
                            <w:spacing w:val="-4"/>
                            <w:sz w:val="16"/>
                          </w:rPr>
                          <w:t xml:space="preserve"> </w:t>
                        </w:r>
                        <w:r>
                          <w:rPr>
                            <w:sz w:val="16"/>
                          </w:rPr>
                          <w:t>/</w:t>
                        </w:r>
                        <w:r>
                          <w:rPr>
                            <w:spacing w:val="-4"/>
                            <w:sz w:val="16"/>
                          </w:rPr>
                          <w:t xml:space="preserve"> </w:t>
                        </w:r>
                        <w:r>
                          <w:rPr>
                            <w:spacing w:val="-2"/>
                            <w:sz w:val="16"/>
                          </w:rPr>
                          <w:t>Westmead</w:t>
                        </w:r>
                      </w:p>
                    </w:tc>
                  </w:tr>
                  <w:tr w:rsidR="00F22F94">
                    <w:trPr>
                      <w:trHeight w:val="377"/>
                    </w:trPr>
                    <w:tc>
                      <w:tcPr>
                        <w:tcW w:w="1984" w:type="dxa"/>
                        <w:tcBorders>
                          <w:left w:val="nil"/>
                        </w:tcBorders>
                        <w:shd w:val="clear" w:color="auto" w:fill="C9C8C9"/>
                      </w:tcPr>
                      <w:p w:rsidR="00F22F94" w:rsidRDefault="00F22F94">
                        <w:pPr>
                          <w:pStyle w:val="TableParagraph"/>
                          <w:rPr>
                            <w:sz w:val="16"/>
                          </w:rPr>
                        </w:pPr>
                        <w:r>
                          <w:rPr>
                            <w:spacing w:val="-2"/>
                            <w:w w:val="105"/>
                            <w:sz w:val="16"/>
                          </w:rPr>
                          <w:t>North</w:t>
                        </w:r>
                        <w:r>
                          <w:rPr>
                            <w:spacing w:val="-5"/>
                            <w:w w:val="105"/>
                            <w:sz w:val="16"/>
                          </w:rPr>
                          <w:t xml:space="preserve"> </w:t>
                        </w:r>
                        <w:r>
                          <w:rPr>
                            <w:spacing w:val="-4"/>
                            <w:w w:val="105"/>
                            <w:sz w:val="16"/>
                          </w:rPr>
                          <w:t>West</w:t>
                        </w:r>
                      </w:p>
                    </w:tc>
                    <w:tc>
                      <w:tcPr>
                        <w:tcW w:w="1360" w:type="dxa"/>
                        <w:shd w:val="clear" w:color="auto" w:fill="E1E0E1"/>
                      </w:tcPr>
                      <w:p w:rsidR="00F22F94" w:rsidRDefault="00F22F94">
                        <w:pPr>
                          <w:pStyle w:val="TableParagraph"/>
                          <w:ind w:left="114"/>
                          <w:rPr>
                            <w:sz w:val="16"/>
                          </w:rPr>
                        </w:pPr>
                        <w:r>
                          <w:rPr>
                            <w:spacing w:val="-5"/>
                            <w:sz w:val="16"/>
                          </w:rPr>
                          <w:t>0.8</w:t>
                        </w:r>
                      </w:p>
                    </w:tc>
                    <w:tc>
                      <w:tcPr>
                        <w:tcW w:w="1360" w:type="dxa"/>
                        <w:shd w:val="clear" w:color="auto" w:fill="E1E0E1"/>
                      </w:tcPr>
                      <w:p w:rsidR="00F22F94" w:rsidRDefault="00F22F94">
                        <w:pPr>
                          <w:pStyle w:val="TableParagraph"/>
                          <w:spacing w:before="57"/>
                          <w:ind w:left="114"/>
                          <w:rPr>
                            <w:rFonts w:ascii="Tahoma"/>
                            <w:sz w:val="16"/>
                          </w:rPr>
                        </w:pPr>
                        <w:r>
                          <w:rPr>
                            <w:rFonts w:ascii="Tahoma"/>
                            <w:spacing w:val="-5"/>
                            <w:sz w:val="16"/>
                          </w:rPr>
                          <w:t>95%</w:t>
                        </w:r>
                      </w:p>
                    </w:tc>
                    <w:tc>
                      <w:tcPr>
                        <w:tcW w:w="1700" w:type="dxa"/>
                        <w:shd w:val="clear" w:color="auto" w:fill="E1E0E1"/>
                      </w:tcPr>
                      <w:p w:rsidR="00F22F94" w:rsidRDefault="00F22F94">
                        <w:pPr>
                          <w:pStyle w:val="TableParagraph"/>
                          <w:spacing w:before="57"/>
                          <w:ind w:left="115"/>
                          <w:rPr>
                            <w:rFonts w:ascii="Tahoma"/>
                            <w:sz w:val="16"/>
                          </w:rPr>
                        </w:pPr>
                        <w:r>
                          <w:rPr>
                            <w:rFonts w:ascii="Tahoma"/>
                            <w:spacing w:val="-5"/>
                            <w:sz w:val="16"/>
                          </w:rPr>
                          <w:t>20%</w:t>
                        </w:r>
                      </w:p>
                    </w:tc>
                    <w:tc>
                      <w:tcPr>
                        <w:tcW w:w="3400" w:type="dxa"/>
                        <w:shd w:val="clear" w:color="auto" w:fill="E1E0E1"/>
                      </w:tcPr>
                      <w:p w:rsidR="00F22F94" w:rsidRDefault="00F22F94">
                        <w:pPr>
                          <w:pStyle w:val="TableParagraph"/>
                          <w:ind w:left="116"/>
                          <w:rPr>
                            <w:sz w:val="16"/>
                          </w:rPr>
                        </w:pPr>
                        <w:r>
                          <w:rPr>
                            <w:w w:val="95"/>
                            <w:sz w:val="16"/>
                          </w:rPr>
                          <w:t>Nepean</w:t>
                        </w:r>
                        <w:r>
                          <w:rPr>
                            <w:spacing w:val="2"/>
                            <w:sz w:val="16"/>
                          </w:rPr>
                          <w:t xml:space="preserve"> </w:t>
                        </w:r>
                        <w:r>
                          <w:rPr>
                            <w:w w:val="95"/>
                            <w:sz w:val="16"/>
                          </w:rPr>
                          <w:t>Stage</w:t>
                        </w:r>
                        <w:r>
                          <w:rPr>
                            <w:spacing w:val="3"/>
                            <w:sz w:val="16"/>
                          </w:rPr>
                          <w:t xml:space="preserve"> </w:t>
                        </w:r>
                        <w:r>
                          <w:rPr>
                            <w:spacing w:val="-10"/>
                            <w:w w:val="95"/>
                            <w:sz w:val="16"/>
                          </w:rPr>
                          <w:t>4</w:t>
                        </w:r>
                      </w:p>
                    </w:tc>
                  </w:tr>
                  <w:tr w:rsidR="00F22F94">
                    <w:trPr>
                      <w:trHeight w:val="377"/>
                    </w:trPr>
                    <w:tc>
                      <w:tcPr>
                        <w:tcW w:w="1984" w:type="dxa"/>
                        <w:shd w:val="clear" w:color="auto" w:fill="C9C8C9"/>
                      </w:tcPr>
                      <w:p w:rsidR="00F22F94" w:rsidRDefault="00F22F94">
                        <w:pPr>
                          <w:pStyle w:val="TableParagraph"/>
                          <w:spacing w:before="68"/>
                          <w:ind w:left="114"/>
                          <w:rPr>
                            <w:sz w:val="16"/>
                          </w:rPr>
                        </w:pPr>
                        <w:r>
                          <w:rPr>
                            <w:sz w:val="16"/>
                          </w:rPr>
                          <w:t>South</w:t>
                        </w:r>
                        <w:r>
                          <w:rPr>
                            <w:spacing w:val="2"/>
                            <w:w w:val="105"/>
                            <w:sz w:val="16"/>
                          </w:rPr>
                          <w:t xml:space="preserve"> </w:t>
                        </w:r>
                        <w:r>
                          <w:rPr>
                            <w:spacing w:val="-4"/>
                            <w:w w:val="105"/>
                            <w:sz w:val="16"/>
                          </w:rPr>
                          <w:t>West</w:t>
                        </w:r>
                      </w:p>
                    </w:tc>
                    <w:tc>
                      <w:tcPr>
                        <w:tcW w:w="1360" w:type="dxa"/>
                        <w:shd w:val="clear" w:color="auto" w:fill="E1E0E1"/>
                      </w:tcPr>
                      <w:p w:rsidR="00F22F94" w:rsidRDefault="00F22F94">
                        <w:pPr>
                          <w:pStyle w:val="TableParagraph"/>
                          <w:spacing w:before="68"/>
                          <w:ind w:left="114"/>
                          <w:rPr>
                            <w:sz w:val="16"/>
                          </w:rPr>
                        </w:pPr>
                        <w:r>
                          <w:rPr>
                            <w:w w:val="99"/>
                            <w:sz w:val="16"/>
                          </w:rPr>
                          <w:t>2</w:t>
                        </w:r>
                      </w:p>
                    </w:tc>
                    <w:tc>
                      <w:tcPr>
                        <w:tcW w:w="1360" w:type="dxa"/>
                        <w:shd w:val="clear" w:color="auto" w:fill="E1E0E1"/>
                      </w:tcPr>
                      <w:p w:rsidR="00F22F94" w:rsidRDefault="00F22F94">
                        <w:pPr>
                          <w:pStyle w:val="TableParagraph"/>
                          <w:spacing w:before="58"/>
                          <w:ind w:left="115"/>
                          <w:rPr>
                            <w:rFonts w:ascii="Tahoma"/>
                            <w:sz w:val="16"/>
                          </w:rPr>
                        </w:pPr>
                        <w:r>
                          <w:rPr>
                            <w:rFonts w:ascii="Tahoma"/>
                            <w:spacing w:val="-5"/>
                            <w:sz w:val="16"/>
                          </w:rPr>
                          <w:t>80%</w:t>
                        </w:r>
                      </w:p>
                    </w:tc>
                    <w:tc>
                      <w:tcPr>
                        <w:tcW w:w="1700" w:type="dxa"/>
                        <w:shd w:val="clear" w:color="auto" w:fill="E1E0E1"/>
                      </w:tcPr>
                      <w:p w:rsidR="00F22F94" w:rsidRDefault="00F22F94">
                        <w:pPr>
                          <w:pStyle w:val="TableParagraph"/>
                          <w:spacing w:before="58"/>
                          <w:ind w:left="115"/>
                          <w:rPr>
                            <w:rFonts w:ascii="Tahoma"/>
                            <w:sz w:val="16"/>
                          </w:rPr>
                        </w:pPr>
                        <w:r>
                          <w:rPr>
                            <w:rFonts w:ascii="Tahoma"/>
                            <w:spacing w:val="-5"/>
                            <w:sz w:val="16"/>
                          </w:rPr>
                          <w:t>16%</w:t>
                        </w:r>
                      </w:p>
                    </w:tc>
                    <w:tc>
                      <w:tcPr>
                        <w:tcW w:w="3400" w:type="dxa"/>
                        <w:shd w:val="clear" w:color="auto" w:fill="E1E0E1"/>
                      </w:tcPr>
                      <w:p w:rsidR="00F22F94" w:rsidRDefault="00F22F94">
                        <w:pPr>
                          <w:pStyle w:val="TableParagraph"/>
                          <w:spacing w:before="68"/>
                          <w:ind w:left="116"/>
                          <w:rPr>
                            <w:sz w:val="16"/>
                          </w:rPr>
                        </w:pPr>
                        <w:r>
                          <w:rPr>
                            <w:w w:val="95"/>
                            <w:sz w:val="16"/>
                          </w:rPr>
                          <w:t>Liverpool</w:t>
                        </w:r>
                        <w:r>
                          <w:rPr>
                            <w:spacing w:val="8"/>
                            <w:sz w:val="16"/>
                          </w:rPr>
                          <w:t xml:space="preserve"> </w:t>
                        </w:r>
                        <w:r>
                          <w:rPr>
                            <w:w w:val="95"/>
                            <w:sz w:val="16"/>
                          </w:rPr>
                          <w:t>/</w:t>
                        </w:r>
                        <w:r>
                          <w:rPr>
                            <w:spacing w:val="9"/>
                            <w:sz w:val="16"/>
                          </w:rPr>
                          <w:t xml:space="preserve"> </w:t>
                        </w:r>
                        <w:r>
                          <w:rPr>
                            <w:w w:val="95"/>
                            <w:sz w:val="16"/>
                          </w:rPr>
                          <w:t>Campbelltown</w:t>
                        </w:r>
                        <w:r>
                          <w:rPr>
                            <w:spacing w:val="9"/>
                            <w:sz w:val="16"/>
                          </w:rPr>
                          <w:t xml:space="preserve"> </w:t>
                        </w:r>
                        <w:r>
                          <w:rPr>
                            <w:w w:val="95"/>
                            <w:sz w:val="16"/>
                          </w:rPr>
                          <w:t>/</w:t>
                        </w:r>
                        <w:r>
                          <w:rPr>
                            <w:spacing w:val="9"/>
                            <w:sz w:val="16"/>
                          </w:rPr>
                          <w:t xml:space="preserve"> </w:t>
                        </w:r>
                        <w:r>
                          <w:rPr>
                            <w:spacing w:val="-2"/>
                            <w:w w:val="95"/>
                            <w:sz w:val="16"/>
                          </w:rPr>
                          <w:t>Leppington</w:t>
                        </w:r>
                      </w:p>
                    </w:tc>
                  </w:tr>
                  <w:tr w:rsidR="00F22F94">
                    <w:trPr>
                      <w:trHeight w:val="377"/>
                    </w:trPr>
                    <w:tc>
                      <w:tcPr>
                        <w:tcW w:w="1984" w:type="dxa"/>
                        <w:shd w:val="clear" w:color="auto" w:fill="C9C8C9"/>
                      </w:tcPr>
                      <w:p w:rsidR="00F22F94" w:rsidRDefault="00F22F94">
                        <w:pPr>
                          <w:pStyle w:val="TableParagraph"/>
                          <w:spacing w:before="68"/>
                          <w:ind w:left="114"/>
                          <w:rPr>
                            <w:sz w:val="16"/>
                          </w:rPr>
                        </w:pPr>
                        <w:r>
                          <w:rPr>
                            <w:sz w:val="16"/>
                          </w:rPr>
                          <w:t>Central</w:t>
                        </w:r>
                        <w:r>
                          <w:rPr>
                            <w:spacing w:val="-1"/>
                            <w:sz w:val="16"/>
                          </w:rPr>
                          <w:t xml:space="preserve"> </w:t>
                        </w:r>
                        <w:r>
                          <w:rPr>
                            <w:spacing w:val="-2"/>
                            <w:w w:val="105"/>
                            <w:sz w:val="16"/>
                          </w:rPr>
                          <w:t>Coast</w:t>
                        </w:r>
                      </w:p>
                    </w:tc>
                    <w:tc>
                      <w:tcPr>
                        <w:tcW w:w="1360" w:type="dxa"/>
                        <w:shd w:val="clear" w:color="auto" w:fill="E1E0E1"/>
                      </w:tcPr>
                      <w:p w:rsidR="00F22F94" w:rsidRDefault="00F22F94">
                        <w:pPr>
                          <w:pStyle w:val="TableParagraph"/>
                          <w:spacing w:before="39"/>
                          <w:ind w:left="86"/>
                          <w:rPr>
                            <w:sz w:val="16"/>
                          </w:rPr>
                        </w:pPr>
                        <w:r>
                          <w:rPr>
                            <w:spacing w:val="-5"/>
                            <w:sz w:val="16"/>
                          </w:rPr>
                          <w:t>1.8</w:t>
                        </w:r>
                      </w:p>
                    </w:tc>
                    <w:tc>
                      <w:tcPr>
                        <w:tcW w:w="1360" w:type="dxa"/>
                        <w:shd w:val="clear" w:color="auto" w:fill="E1E0E1"/>
                      </w:tcPr>
                      <w:p w:rsidR="00F22F94" w:rsidRDefault="00F22F94">
                        <w:pPr>
                          <w:pStyle w:val="TableParagraph"/>
                          <w:spacing w:before="29"/>
                          <w:ind w:left="86"/>
                          <w:rPr>
                            <w:rFonts w:ascii="Tahoma"/>
                            <w:sz w:val="16"/>
                          </w:rPr>
                        </w:pPr>
                        <w:r>
                          <w:rPr>
                            <w:rFonts w:ascii="Tahoma"/>
                            <w:spacing w:val="-5"/>
                            <w:sz w:val="16"/>
                          </w:rPr>
                          <w:t>90%</w:t>
                        </w:r>
                      </w:p>
                    </w:tc>
                    <w:tc>
                      <w:tcPr>
                        <w:tcW w:w="1700" w:type="dxa"/>
                        <w:shd w:val="clear" w:color="auto" w:fill="E1E0E1"/>
                      </w:tcPr>
                      <w:p w:rsidR="00F22F94" w:rsidRDefault="00F22F94">
                        <w:pPr>
                          <w:pStyle w:val="TableParagraph"/>
                          <w:spacing w:before="29"/>
                          <w:ind w:left="87"/>
                          <w:rPr>
                            <w:rFonts w:ascii="Tahoma"/>
                            <w:sz w:val="16"/>
                          </w:rPr>
                        </w:pPr>
                        <w:r>
                          <w:rPr>
                            <w:rFonts w:ascii="Tahoma"/>
                            <w:spacing w:val="-5"/>
                            <w:sz w:val="16"/>
                          </w:rPr>
                          <w:t>7%</w:t>
                        </w:r>
                      </w:p>
                    </w:tc>
                    <w:tc>
                      <w:tcPr>
                        <w:tcW w:w="3400" w:type="dxa"/>
                        <w:shd w:val="clear" w:color="auto" w:fill="E1E0E1"/>
                      </w:tcPr>
                      <w:p w:rsidR="00F22F94" w:rsidRDefault="00F22F94">
                        <w:pPr>
                          <w:pStyle w:val="TableParagraph"/>
                          <w:spacing w:before="39"/>
                          <w:ind w:left="88"/>
                          <w:rPr>
                            <w:sz w:val="16"/>
                          </w:rPr>
                        </w:pPr>
                        <w:r>
                          <w:rPr>
                            <w:sz w:val="16"/>
                          </w:rPr>
                          <w:t>Gosford</w:t>
                        </w:r>
                        <w:r>
                          <w:rPr>
                            <w:spacing w:val="-9"/>
                            <w:sz w:val="16"/>
                          </w:rPr>
                          <w:t xml:space="preserve"> </w:t>
                        </w:r>
                        <w:r>
                          <w:rPr>
                            <w:sz w:val="16"/>
                          </w:rPr>
                          <w:t>/</w:t>
                        </w:r>
                        <w:r>
                          <w:rPr>
                            <w:spacing w:val="-8"/>
                            <w:sz w:val="16"/>
                          </w:rPr>
                          <w:t xml:space="preserve"> </w:t>
                        </w:r>
                        <w:r>
                          <w:rPr>
                            <w:spacing w:val="-2"/>
                            <w:sz w:val="16"/>
                          </w:rPr>
                          <w:t>Wyong</w:t>
                        </w:r>
                      </w:p>
                    </w:tc>
                  </w:tr>
                </w:tbl>
                <w:p w:rsidR="00F22F94" w:rsidRDefault="00F22F94">
                  <w:pPr>
                    <w:pStyle w:val="BodyText"/>
                  </w:pPr>
                </w:p>
              </w:txbxContent>
            </v:textbox>
            <w10:wrap anchorx="page"/>
          </v:shape>
        </w:pict>
      </w:r>
      <w:r w:rsidR="00F22F94">
        <w:rPr>
          <w:b/>
          <w:color w:val="2E3092"/>
          <w:spacing w:val="-2"/>
          <w:sz w:val="16"/>
        </w:rPr>
        <w:t>Action Plan</w:t>
      </w:r>
      <w:r w:rsidR="00F22F94">
        <w:rPr>
          <w:b/>
          <w:color w:val="2E3092"/>
          <w:spacing w:val="-6"/>
          <w:sz w:val="16"/>
        </w:rPr>
        <w:t xml:space="preserve"> </w:t>
      </w:r>
      <w:r w:rsidR="00F22F94">
        <w:rPr>
          <w:b/>
          <w:color w:val="2E3092"/>
          <w:spacing w:val="-5"/>
          <w:sz w:val="16"/>
        </w:rPr>
        <w:t>Area</w:t>
      </w: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F22F94">
      <w:pPr>
        <w:spacing w:before="145" w:line="139" w:lineRule="exact"/>
        <w:ind w:left="512"/>
        <w:rPr>
          <w:sz w:val="14"/>
        </w:rPr>
      </w:pPr>
      <w:r>
        <w:rPr>
          <w:w w:val="95"/>
          <w:sz w:val="14"/>
        </w:rPr>
        <w:t>Source:</w:t>
      </w:r>
      <w:r>
        <w:rPr>
          <w:spacing w:val="14"/>
          <w:sz w:val="14"/>
        </w:rPr>
        <w:t xml:space="preserve"> </w:t>
      </w:r>
      <w:r>
        <w:rPr>
          <w:spacing w:val="-4"/>
          <w:sz w:val="14"/>
        </w:rPr>
        <w:t>PwC.</w:t>
      </w:r>
    </w:p>
    <w:p w:rsidR="002C1123" w:rsidRDefault="00F22F94">
      <w:pPr>
        <w:spacing w:line="143" w:lineRule="exact"/>
        <w:ind w:left="512"/>
        <w:rPr>
          <w:b/>
          <w:sz w:val="16"/>
        </w:rPr>
      </w:pPr>
      <w:r>
        <w:br w:type="column"/>
      </w:r>
      <w:r>
        <w:rPr>
          <w:b/>
          <w:color w:val="2E3092"/>
          <w:spacing w:val="-2"/>
          <w:sz w:val="16"/>
        </w:rPr>
        <w:t>Average</w:t>
      </w:r>
    </w:p>
    <w:p w:rsidR="002C1123" w:rsidRDefault="00F22F94">
      <w:pPr>
        <w:spacing w:before="1" w:line="235" w:lineRule="auto"/>
        <w:ind w:left="512"/>
        <w:rPr>
          <w:b/>
          <w:sz w:val="9"/>
        </w:rPr>
      </w:pPr>
      <w:r>
        <w:rPr>
          <w:b/>
          <w:color w:val="2E3092"/>
          <w:spacing w:val="-2"/>
          <w:w w:val="95"/>
          <w:sz w:val="16"/>
        </w:rPr>
        <w:t xml:space="preserve">Available </w:t>
      </w:r>
      <w:r>
        <w:rPr>
          <w:b/>
          <w:color w:val="2E3092"/>
          <w:spacing w:val="-2"/>
          <w:sz w:val="16"/>
        </w:rPr>
        <w:t>Beds</w:t>
      </w:r>
      <w:r>
        <w:rPr>
          <w:b/>
          <w:color w:val="2E3092"/>
          <w:spacing w:val="-2"/>
          <w:position w:val="5"/>
          <w:sz w:val="9"/>
        </w:rPr>
        <w:t>*</w:t>
      </w:r>
    </w:p>
    <w:p w:rsidR="002C1123" w:rsidRDefault="00F22F94">
      <w:pPr>
        <w:spacing w:line="143" w:lineRule="exact"/>
        <w:ind w:left="512"/>
        <w:rPr>
          <w:b/>
          <w:sz w:val="16"/>
        </w:rPr>
      </w:pPr>
      <w:r>
        <w:br w:type="column"/>
      </w:r>
      <w:r>
        <w:rPr>
          <w:b/>
          <w:color w:val="2E3092"/>
          <w:spacing w:val="-5"/>
          <w:sz w:val="16"/>
        </w:rPr>
        <w:t>Bed</w:t>
      </w:r>
    </w:p>
    <w:p w:rsidR="002C1123" w:rsidRDefault="00F22F94">
      <w:pPr>
        <w:spacing w:before="1" w:line="235" w:lineRule="auto"/>
        <w:ind w:left="512"/>
        <w:rPr>
          <w:b/>
          <w:sz w:val="16"/>
        </w:rPr>
      </w:pPr>
      <w:r>
        <w:rPr>
          <w:b/>
          <w:color w:val="2E3092"/>
          <w:spacing w:val="-4"/>
          <w:sz w:val="16"/>
        </w:rPr>
        <w:t>Occupancy Rate</w:t>
      </w:r>
    </w:p>
    <w:p w:rsidR="002C1123" w:rsidRDefault="00F22F94">
      <w:pPr>
        <w:spacing w:line="143" w:lineRule="exact"/>
        <w:ind w:left="472"/>
        <w:rPr>
          <w:b/>
          <w:sz w:val="16"/>
        </w:rPr>
      </w:pPr>
      <w:r>
        <w:br w:type="column"/>
      </w:r>
      <w:r>
        <w:rPr>
          <w:b/>
          <w:color w:val="2E3092"/>
          <w:spacing w:val="-2"/>
          <w:sz w:val="16"/>
        </w:rPr>
        <w:t xml:space="preserve">Forecast Increase </w:t>
      </w:r>
      <w:r>
        <w:rPr>
          <w:b/>
          <w:color w:val="2E3092"/>
          <w:spacing w:val="-5"/>
          <w:sz w:val="16"/>
        </w:rPr>
        <w:t>in</w:t>
      </w:r>
    </w:p>
    <w:p w:rsidR="002C1123" w:rsidRDefault="00F22F94">
      <w:pPr>
        <w:spacing w:before="1" w:line="235" w:lineRule="auto"/>
        <w:ind w:left="472" w:right="243"/>
        <w:rPr>
          <w:b/>
          <w:sz w:val="16"/>
        </w:rPr>
      </w:pPr>
      <w:r>
        <w:rPr>
          <w:b/>
          <w:color w:val="2E3092"/>
          <w:spacing w:val="-2"/>
          <w:sz w:val="16"/>
        </w:rPr>
        <w:t>Demand</w:t>
      </w:r>
      <w:r>
        <w:rPr>
          <w:b/>
          <w:color w:val="2E3092"/>
          <w:spacing w:val="-10"/>
          <w:sz w:val="16"/>
        </w:rPr>
        <w:t xml:space="preserve"> </w:t>
      </w:r>
      <w:r>
        <w:rPr>
          <w:b/>
          <w:color w:val="2E3092"/>
          <w:spacing w:val="-2"/>
          <w:sz w:val="16"/>
        </w:rPr>
        <w:t>for Acute</w:t>
      </w:r>
      <w:r>
        <w:rPr>
          <w:b/>
          <w:color w:val="2E3092"/>
          <w:spacing w:val="-7"/>
          <w:sz w:val="16"/>
        </w:rPr>
        <w:t xml:space="preserve"> </w:t>
      </w:r>
      <w:r>
        <w:rPr>
          <w:b/>
          <w:color w:val="2E3092"/>
          <w:spacing w:val="-4"/>
          <w:sz w:val="16"/>
        </w:rPr>
        <w:t>Care</w:t>
      </w:r>
    </w:p>
    <w:p w:rsidR="002C1123" w:rsidRDefault="00F22F94">
      <w:pPr>
        <w:spacing w:line="143" w:lineRule="exact"/>
        <w:ind w:left="143"/>
        <w:rPr>
          <w:b/>
          <w:sz w:val="16"/>
        </w:rPr>
      </w:pPr>
      <w:r>
        <w:br w:type="column"/>
      </w:r>
      <w:r>
        <w:rPr>
          <w:b/>
          <w:color w:val="2E3092"/>
          <w:spacing w:val="-2"/>
          <w:sz w:val="16"/>
        </w:rPr>
        <w:t>Proposed</w:t>
      </w:r>
    </w:p>
    <w:p w:rsidR="002C1123" w:rsidRDefault="00F22F94">
      <w:pPr>
        <w:spacing w:before="1" w:line="235" w:lineRule="auto"/>
        <w:ind w:left="143" w:right="284"/>
        <w:rPr>
          <w:b/>
          <w:sz w:val="16"/>
        </w:rPr>
      </w:pPr>
      <w:r>
        <w:rPr>
          <w:b/>
          <w:color w:val="2E3092"/>
          <w:spacing w:val="-2"/>
          <w:sz w:val="16"/>
        </w:rPr>
        <w:t xml:space="preserve">Major </w:t>
      </w:r>
      <w:r>
        <w:rPr>
          <w:b/>
          <w:color w:val="2E3092"/>
          <w:spacing w:val="-6"/>
          <w:sz w:val="16"/>
        </w:rPr>
        <w:t>Works</w:t>
      </w:r>
    </w:p>
    <w:p w:rsidR="002C1123" w:rsidRDefault="00F22F94">
      <w:pPr>
        <w:pStyle w:val="BodyText"/>
        <w:spacing w:before="30" w:line="249" w:lineRule="auto"/>
        <w:ind w:left="512" w:right="774"/>
      </w:pPr>
      <w:r>
        <w:br w:type="column"/>
      </w:r>
      <w:r>
        <w:t>technologies</w:t>
      </w:r>
      <w:r>
        <w:rPr>
          <w:spacing w:val="-13"/>
        </w:rPr>
        <w:t xml:space="preserve"> </w:t>
      </w:r>
      <w:r>
        <w:t>increase</w:t>
      </w:r>
      <w:r>
        <w:rPr>
          <w:spacing w:val="-13"/>
        </w:rPr>
        <w:t xml:space="preserve"> </w:t>
      </w:r>
      <w:r>
        <w:t>healthcare</w:t>
      </w:r>
      <w:r>
        <w:rPr>
          <w:spacing w:val="-13"/>
        </w:rPr>
        <w:t xml:space="preserve"> </w:t>
      </w:r>
      <w:r>
        <w:t>spending.</w:t>
      </w:r>
      <w:r>
        <w:rPr>
          <w:spacing w:val="-13"/>
        </w:rPr>
        <w:t xml:space="preserve"> </w:t>
      </w:r>
      <w:r>
        <w:t xml:space="preserve">Getting </w:t>
      </w:r>
      <w:r>
        <w:rPr>
          <w:w w:val="95"/>
        </w:rPr>
        <w:t>the</w:t>
      </w:r>
      <w:r>
        <w:rPr>
          <w:spacing w:val="-4"/>
          <w:w w:val="95"/>
        </w:rPr>
        <w:t xml:space="preserve"> </w:t>
      </w:r>
      <w:r>
        <w:rPr>
          <w:w w:val="95"/>
        </w:rPr>
        <w:t>most</w:t>
      </w:r>
      <w:r>
        <w:rPr>
          <w:spacing w:val="-4"/>
          <w:w w:val="95"/>
        </w:rPr>
        <w:t xml:space="preserve"> </w:t>
      </w:r>
      <w:r>
        <w:rPr>
          <w:w w:val="95"/>
        </w:rPr>
        <w:t>out</w:t>
      </w:r>
      <w:r>
        <w:rPr>
          <w:spacing w:val="-4"/>
          <w:w w:val="95"/>
        </w:rPr>
        <w:t xml:space="preserve"> </w:t>
      </w:r>
      <w:r>
        <w:rPr>
          <w:w w:val="95"/>
        </w:rPr>
        <w:t>of</w:t>
      </w:r>
      <w:r>
        <w:rPr>
          <w:spacing w:val="-4"/>
          <w:w w:val="95"/>
        </w:rPr>
        <w:t xml:space="preserve"> </w:t>
      </w:r>
      <w:r>
        <w:rPr>
          <w:w w:val="95"/>
        </w:rPr>
        <w:t>the</w:t>
      </w:r>
      <w:r>
        <w:rPr>
          <w:spacing w:val="-4"/>
          <w:w w:val="95"/>
        </w:rPr>
        <w:t xml:space="preserve"> </w:t>
      </w:r>
      <w:r>
        <w:rPr>
          <w:w w:val="95"/>
        </w:rPr>
        <w:t>existing</w:t>
      </w:r>
      <w:r>
        <w:rPr>
          <w:spacing w:val="-4"/>
          <w:w w:val="95"/>
        </w:rPr>
        <w:t xml:space="preserve"> </w:t>
      </w:r>
      <w:r>
        <w:rPr>
          <w:w w:val="95"/>
        </w:rPr>
        <w:t>asset</w:t>
      </w:r>
      <w:r>
        <w:rPr>
          <w:spacing w:val="-4"/>
          <w:w w:val="95"/>
        </w:rPr>
        <w:t xml:space="preserve"> </w:t>
      </w:r>
      <w:r>
        <w:rPr>
          <w:w w:val="95"/>
        </w:rPr>
        <w:t>base</w:t>
      </w:r>
      <w:r>
        <w:rPr>
          <w:spacing w:val="-4"/>
          <w:w w:val="95"/>
        </w:rPr>
        <w:t xml:space="preserve"> </w:t>
      </w:r>
      <w:r>
        <w:rPr>
          <w:w w:val="95"/>
        </w:rPr>
        <w:t>(both</w:t>
      </w:r>
      <w:r>
        <w:rPr>
          <w:spacing w:val="-4"/>
          <w:w w:val="95"/>
        </w:rPr>
        <w:t xml:space="preserve"> </w:t>
      </w:r>
      <w:r>
        <w:rPr>
          <w:w w:val="95"/>
        </w:rPr>
        <w:t>public</w:t>
      </w:r>
      <w:r>
        <w:rPr>
          <w:spacing w:val="-4"/>
          <w:w w:val="95"/>
        </w:rPr>
        <w:t xml:space="preserve"> </w:t>
      </w:r>
      <w:r>
        <w:rPr>
          <w:w w:val="95"/>
        </w:rPr>
        <w:t>and private)</w:t>
      </w:r>
      <w:r>
        <w:rPr>
          <w:spacing w:val="-2"/>
          <w:w w:val="95"/>
        </w:rPr>
        <w:t xml:space="preserve"> </w:t>
      </w:r>
      <w:r>
        <w:rPr>
          <w:w w:val="95"/>
        </w:rPr>
        <w:t>through</w:t>
      </w:r>
      <w:r>
        <w:rPr>
          <w:spacing w:val="-2"/>
          <w:w w:val="95"/>
        </w:rPr>
        <w:t xml:space="preserve"> </w:t>
      </w:r>
      <w:r>
        <w:rPr>
          <w:w w:val="95"/>
        </w:rPr>
        <w:t>new</w:t>
      </w:r>
      <w:r>
        <w:rPr>
          <w:spacing w:val="-2"/>
          <w:w w:val="95"/>
        </w:rPr>
        <w:t xml:space="preserve"> </w:t>
      </w:r>
      <w:r>
        <w:rPr>
          <w:w w:val="95"/>
        </w:rPr>
        <w:t>models</w:t>
      </w:r>
      <w:r>
        <w:rPr>
          <w:spacing w:val="-2"/>
          <w:w w:val="95"/>
        </w:rPr>
        <w:t xml:space="preserve"> </w:t>
      </w:r>
      <w:r>
        <w:rPr>
          <w:w w:val="95"/>
        </w:rPr>
        <w:t>of</w:t>
      </w:r>
      <w:r>
        <w:rPr>
          <w:spacing w:val="-2"/>
          <w:w w:val="95"/>
        </w:rPr>
        <w:t xml:space="preserve"> </w:t>
      </w:r>
      <w:r>
        <w:rPr>
          <w:w w:val="95"/>
        </w:rPr>
        <w:t>care</w:t>
      </w:r>
      <w:r>
        <w:rPr>
          <w:spacing w:val="-2"/>
          <w:w w:val="95"/>
        </w:rPr>
        <w:t xml:space="preserve"> </w:t>
      </w:r>
      <w:r>
        <w:rPr>
          <w:w w:val="95"/>
        </w:rPr>
        <w:t>will</w:t>
      </w:r>
      <w:r>
        <w:rPr>
          <w:spacing w:val="-2"/>
          <w:w w:val="95"/>
        </w:rPr>
        <w:t xml:space="preserve"> </w:t>
      </w:r>
      <w:r>
        <w:rPr>
          <w:w w:val="95"/>
        </w:rPr>
        <w:t>be</w:t>
      </w:r>
      <w:r>
        <w:rPr>
          <w:spacing w:val="-2"/>
          <w:w w:val="95"/>
        </w:rPr>
        <w:t xml:space="preserve"> </w:t>
      </w:r>
      <w:r>
        <w:rPr>
          <w:w w:val="95"/>
        </w:rPr>
        <w:t>essential</w:t>
      </w:r>
      <w:r>
        <w:rPr>
          <w:spacing w:val="-2"/>
          <w:w w:val="95"/>
        </w:rPr>
        <w:t xml:space="preserve"> </w:t>
      </w:r>
      <w:r>
        <w:rPr>
          <w:w w:val="95"/>
        </w:rPr>
        <w:t xml:space="preserve">to </w:t>
      </w:r>
      <w:r>
        <w:t>manage these pressures.</w:t>
      </w:r>
    </w:p>
    <w:p w:rsidR="002C1123" w:rsidRDefault="00F22F94">
      <w:pPr>
        <w:pStyle w:val="BodyText"/>
        <w:spacing w:before="145" w:line="249" w:lineRule="auto"/>
        <w:ind w:left="512" w:right="526"/>
      </w:pPr>
      <w:r>
        <w:rPr>
          <w:w w:val="95"/>
        </w:rPr>
        <w:t>Infrastructure</w:t>
      </w:r>
      <w:r>
        <w:rPr>
          <w:spacing w:val="-9"/>
          <w:w w:val="95"/>
        </w:rPr>
        <w:t xml:space="preserve"> </w:t>
      </w:r>
      <w:r>
        <w:rPr>
          <w:w w:val="95"/>
        </w:rPr>
        <w:t>NSW’s</w:t>
      </w:r>
      <w:r>
        <w:rPr>
          <w:spacing w:val="-9"/>
          <w:w w:val="95"/>
        </w:rPr>
        <w:t xml:space="preserve"> </w:t>
      </w:r>
      <w:r>
        <w:rPr>
          <w:w w:val="95"/>
        </w:rPr>
        <w:t>Health</w:t>
      </w:r>
      <w:r>
        <w:rPr>
          <w:spacing w:val="-9"/>
          <w:w w:val="95"/>
        </w:rPr>
        <w:t xml:space="preserve"> </w:t>
      </w:r>
      <w:r>
        <w:rPr>
          <w:w w:val="95"/>
        </w:rPr>
        <w:t>Infrastructure</w:t>
      </w:r>
      <w:r>
        <w:rPr>
          <w:spacing w:val="-9"/>
          <w:w w:val="95"/>
        </w:rPr>
        <w:t xml:space="preserve"> </w:t>
      </w:r>
      <w:r>
        <w:rPr>
          <w:w w:val="95"/>
        </w:rPr>
        <w:t>Strategy</w:t>
      </w:r>
      <w:r>
        <w:rPr>
          <w:spacing w:val="-9"/>
          <w:w w:val="95"/>
        </w:rPr>
        <w:t xml:space="preserve"> </w:t>
      </w:r>
      <w:r>
        <w:rPr>
          <w:w w:val="95"/>
        </w:rPr>
        <w:t>is</w:t>
      </w:r>
      <w:r>
        <w:rPr>
          <w:spacing w:val="-9"/>
          <w:w w:val="95"/>
        </w:rPr>
        <w:t xml:space="preserve"> </w:t>
      </w:r>
      <w:r>
        <w:rPr>
          <w:w w:val="95"/>
        </w:rPr>
        <w:t xml:space="preserve">set </w:t>
      </w:r>
      <w:r>
        <w:t>out in Section 13.</w:t>
      </w:r>
    </w:p>
    <w:p w:rsidR="002C1123" w:rsidRDefault="00F22F94">
      <w:pPr>
        <w:pStyle w:val="Heading6"/>
        <w:numPr>
          <w:ilvl w:val="2"/>
          <w:numId w:val="106"/>
        </w:numPr>
        <w:tabs>
          <w:tab w:val="left" w:pos="999"/>
        </w:tabs>
        <w:spacing w:before="143"/>
        <w:ind w:left="998" w:hanging="487"/>
        <w:jc w:val="left"/>
      </w:pPr>
      <w:r>
        <w:rPr>
          <w:color w:val="EC008C"/>
          <w:spacing w:val="-2"/>
        </w:rPr>
        <w:t>Education</w:t>
      </w:r>
    </w:p>
    <w:p w:rsidR="002C1123" w:rsidRDefault="00F22F94">
      <w:pPr>
        <w:pStyle w:val="BodyText"/>
        <w:spacing w:before="95" w:line="249" w:lineRule="auto"/>
        <w:ind w:left="512" w:right="774"/>
      </w:pPr>
      <w:r>
        <w:t>School</w:t>
      </w:r>
      <w:r>
        <w:rPr>
          <w:spacing w:val="-14"/>
        </w:rPr>
        <w:t xml:space="preserve"> </w:t>
      </w:r>
      <w:r>
        <w:t>populations</w:t>
      </w:r>
      <w:r>
        <w:rPr>
          <w:spacing w:val="-14"/>
        </w:rPr>
        <w:t xml:space="preserve"> </w:t>
      </w:r>
      <w:r>
        <w:t>in</w:t>
      </w:r>
      <w:r>
        <w:rPr>
          <w:spacing w:val="-14"/>
        </w:rPr>
        <w:t xml:space="preserve"> </w:t>
      </w:r>
      <w:r>
        <w:t>Greater</w:t>
      </w:r>
      <w:r>
        <w:rPr>
          <w:spacing w:val="-14"/>
        </w:rPr>
        <w:t xml:space="preserve"> </w:t>
      </w:r>
      <w:r>
        <w:t>Sydney</w:t>
      </w:r>
      <w:r>
        <w:rPr>
          <w:spacing w:val="-14"/>
        </w:rPr>
        <w:t xml:space="preserve"> </w:t>
      </w:r>
      <w:r>
        <w:t>are</w:t>
      </w:r>
      <w:r>
        <w:rPr>
          <w:spacing w:val="-14"/>
        </w:rPr>
        <w:t xml:space="preserve"> </w:t>
      </w:r>
      <w:r>
        <w:t>growing</w:t>
      </w:r>
      <w:r>
        <w:rPr>
          <w:spacing w:val="-14"/>
        </w:rPr>
        <w:t xml:space="preserve"> </w:t>
      </w:r>
      <w:r>
        <w:t xml:space="preserve">at </w:t>
      </w:r>
      <w:r>
        <w:rPr>
          <w:spacing w:val="-2"/>
        </w:rPr>
        <w:t>twice</w:t>
      </w:r>
      <w:r>
        <w:rPr>
          <w:spacing w:val="-8"/>
        </w:rPr>
        <w:t xml:space="preserve"> </w:t>
      </w:r>
      <w:r>
        <w:rPr>
          <w:spacing w:val="-2"/>
        </w:rPr>
        <w:t>the</w:t>
      </w:r>
      <w:r>
        <w:rPr>
          <w:spacing w:val="-8"/>
        </w:rPr>
        <w:t xml:space="preserve"> </w:t>
      </w:r>
      <w:r>
        <w:rPr>
          <w:spacing w:val="-2"/>
        </w:rPr>
        <w:t>rate</w:t>
      </w:r>
      <w:r>
        <w:rPr>
          <w:spacing w:val="-8"/>
        </w:rPr>
        <w:t xml:space="preserve"> </w:t>
      </w:r>
      <w:r>
        <w:rPr>
          <w:spacing w:val="-2"/>
        </w:rPr>
        <w:t>of</w:t>
      </w:r>
      <w:r>
        <w:rPr>
          <w:spacing w:val="-8"/>
        </w:rPr>
        <w:t xml:space="preserve"> </w:t>
      </w:r>
      <w:r>
        <w:rPr>
          <w:spacing w:val="-2"/>
        </w:rPr>
        <w:t>the</w:t>
      </w:r>
      <w:r>
        <w:rPr>
          <w:spacing w:val="-8"/>
        </w:rPr>
        <w:t xml:space="preserve"> </w:t>
      </w:r>
      <w:r>
        <w:rPr>
          <w:spacing w:val="-2"/>
        </w:rPr>
        <w:t>rest</w:t>
      </w:r>
      <w:r>
        <w:rPr>
          <w:spacing w:val="-8"/>
        </w:rPr>
        <w:t xml:space="preserve"> </w:t>
      </w:r>
      <w:r>
        <w:rPr>
          <w:spacing w:val="-2"/>
        </w:rPr>
        <w:t>of</w:t>
      </w:r>
      <w:r>
        <w:rPr>
          <w:spacing w:val="-8"/>
        </w:rPr>
        <w:t xml:space="preserve"> </w:t>
      </w:r>
      <w:r>
        <w:rPr>
          <w:spacing w:val="-2"/>
        </w:rPr>
        <w:t>NSW,</w:t>
      </w:r>
      <w:r>
        <w:rPr>
          <w:spacing w:val="-8"/>
        </w:rPr>
        <w:t xml:space="preserve"> </w:t>
      </w:r>
      <w:r>
        <w:rPr>
          <w:spacing w:val="-2"/>
        </w:rPr>
        <w:t>reflecting</w:t>
      </w:r>
      <w:r>
        <w:rPr>
          <w:spacing w:val="-8"/>
        </w:rPr>
        <w:t xml:space="preserve"> </w:t>
      </w:r>
      <w:r>
        <w:rPr>
          <w:spacing w:val="-2"/>
        </w:rPr>
        <w:t>high</w:t>
      </w:r>
      <w:r>
        <w:rPr>
          <w:spacing w:val="-8"/>
        </w:rPr>
        <w:t xml:space="preserve"> </w:t>
      </w:r>
      <w:r>
        <w:rPr>
          <w:spacing w:val="-2"/>
        </w:rPr>
        <w:t xml:space="preserve">levels </w:t>
      </w:r>
      <w:r>
        <w:rPr>
          <w:w w:val="95"/>
        </w:rPr>
        <w:t>of</w:t>
      </w:r>
      <w:r>
        <w:rPr>
          <w:spacing w:val="-6"/>
          <w:w w:val="95"/>
        </w:rPr>
        <w:t xml:space="preserve"> </w:t>
      </w:r>
      <w:r>
        <w:rPr>
          <w:w w:val="95"/>
        </w:rPr>
        <w:t>population</w:t>
      </w:r>
      <w:r>
        <w:rPr>
          <w:spacing w:val="-6"/>
          <w:w w:val="95"/>
        </w:rPr>
        <w:t xml:space="preserve"> </w:t>
      </w:r>
      <w:r>
        <w:rPr>
          <w:w w:val="95"/>
        </w:rPr>
        <w:t>growth</w:t>
      </w:r>
      <w:r>
        <w:rPr>
          <w:spacing w:val="-6"/>
          <w:w w:val="95"/>
        </w:rPr>
        <w:t xml:space="preserve"> </w:t>
      </w:r>
      <w:r>
        <w:rPr>
          <w:w w:val="95"/>
        </w:rPr>
        <w:t>as</w:t>
      </w:r>
      <w:r>
        <w:rPr>
          <w:spacing w:val="-6"/>
          <w:w w:val="95"/>
        </w:rPr>
        <w:t xml:space="preserve"> </w:t>
      </w:r>
      <w:r>
        <w:rPr>
          <w:w w:val="95"/>
        </w:rPr>
        <w:t>shown</w:t>
      </w:r>
      <w:r>
        <w:rPr>
          <w:spacing w:val="-6"/>
          <w:w w:val="95"/>
        </w:rPr>
        <w:t xml:space="preserve"> </w:t>
      </w:r>
      <w:r>
        <w:rPr>
          <w:w w:val="95"/>
        </w:rPr>
        <w:t>in</w:t>
      </w:r>
      <w:r>
        <w:rPr>
          <w:spacing w:val="-6"/>
          <w:w w:val="95"/>
        </w:rPr>
        <w:t xml:space="preserve"> </w:t>
      </w:r>
      <w:r>
        <w:rPr>
          <w:w w:val="95"/>
        </w:rPr>
        <w:t>Table</w:t>
      </w:r>
      <w:r>
        <w:rPr>
          <w:spacing w:val="-6"/>
          <w:w w:val="95"/>
        </w:rPr>
        <w:t xml:space="preserve"> </w:t>
      </w:r>
      <w:r>
        <w:rPr>
          <w:w w:val="95"/>
        </w:rPr>
        <w:t>4.3.</w:t>
      </w:r>
      <w:r>
        <w:rPr>
          <w:spacing w:val="-6"/>
          <w:w w:val="95"/>
        </w:rPr>
        <w:t xml:space="preserve"> </w:t>
      </w:r>
      <w:r>
        <w:rPr>
          <w:w w:val="95"/>
        </w:rPr>
        <w:t>Parts</w:t>
      </w:r>
      <w:r>
        <w:rPr>
          <w:spacing w:val="-6"/>
          <w:w w:val="95"/>
        </w:rPr>
        <w:t xml:space="preserve"> </w:t>
      </w:r>
      <w:r>
        <w:rPr>
          <w:w w:val="95"/>
        </w:rPr>
        <w:t>of</w:t>
      </w:r>
      <w:r>
        <w:rPr>
          <w:spacing w:val="-6"/>
          <w:w w:val="95"/>
        </w:rPr>
        <w:t xml:space="preserve"> </w:t>
      </w:r>
      <w:r>
        <w:rPr>
          <w:w w:val="95"/>
        </w:rPr>
        <w:t>the</w:t>
      </w:r>
    </w:p>
    <w:p w:rsidR="002C1123" w:rsidRDefault="00F22F94">
      <w:pPr>
        <w:pStyle w:val="BodyText"/>
        <w:spacing w:line="249" w:lineRule="auto"/>
        <w:ind w:left="512"/>
      </w:pPr>
      <w:r>
        <w:rPr>
          <w:w w:val="95"/>
        </w:rPr>
        <w:t>Greater</w:t>
      </w:r>
      <w:r>
        <w:rPr>
          <w:spacing w:val="-11"/>
          <w:w w:val="95"/>
        </w:rPr>
        <w:t xml:space="preserve"> </w:t>
      </w:r>
      <w:r>
        <w:rPr>
          <w:w w:val="95"/>
        </w:rPr>
        <w:t>Sydney</w:t>
      </w:r>
      <w:r>
        <w:rPr>
          <w:spacing w:val="-9"/>
          <w:w w:val="95"/>
        </w:rPr>
        <w:t xml:space="preserve"> </w:t>
      </w:r>
      <w:r>
        <w:rPr>
          <w:w w:val="95"/>
        </w:rPr>
        <w:t>area</w:t>
      </w:r>
      <w:r>
        <w:rPr>
          <w:spacing w:val="-9"/>
          <w:w w:val="95"/>
        </w:rPr>
        <w:t xml:space="preserve"> </w:t>
      </w:r>
      <w:r>
        <w:rPr>
          <w:w w:val="95"/>
        </w:rPr>
        <w:t>are</w:t>
      </w:r>
      <w:r>
        <w:rPr>
          <w:spacing w:val="-9"/>
          <w:w w:val="95"/>
        </w:rPr>
        <w:t xml:space="preserve"> </w:t>
      </w:r>
      <w:r>
        <w:rPr>
          <w:w w:val="95"/>
        </w:rPr>
        <w:t>experiencing</w:t>
      </w:r>
      <w:r>
        <w:rPr>
          <w:spacing w:val="-9"/>
          <w:w w:val="95"/>
        </w:rPr>
        <w:t xml:space="preserve"> </w:t>
      </w:r>
      <w:r>
        <w:rPr>
          <w:w w:val="95"/>
        </w:rPr>
        <w:t>very</w:t>
      </w:r>
      <w:r>
        <w:rPr>
          <w:spacing w:val="-9"/>
          <w:w w:val="95"/>
        </w:rPr>
        <w:t xml:space="preserve"> </w:t>
      </w:r>
      <w:r>
        <w:rPr>
          <w:w w:val="95"/>
        </w:rPr>
        <w:t>high</w:t>
      </w:r>
      <w:r>
        <w:rPr>
          <w:spacing w:val="-9"/>
          <w:w w:val="95"/>
        </w:rPr>
        <w:t xml:space="preserve"> </w:t>
      </w:r>
      <w:r>
        <w:rPr>
          <w:w w:val="95"/>
        </w:rPr>
        <w:t xml:space="preserve">capacity </w:t>
      </w:r>
      <w:r>
        <w:t>utilisation</w:t>
      </w:r>
      <w:r>
        <w:rPr>
          <w:spacing w:val="-10"/>
        </w:rPr>
        <w:t xml:space="preserve"> </w:t>
      </w:r>
      <w:r>
        <w:t>in</w:t>
      </w:r>
      <w:r>
        <w:rPr>
          <w:spacing w:val="-10"/>
        </w:rPr>
        <w:t xml:space="preserve"> </w:t>
      </w:r>
      <w:r>
        <w:t>primary</w:t>
      </w:r>
      <w:r>
        <w:rPr>
          <w:spacing w:val="-10"/>
        </w:rPr>
        <w:t xml:space="preserve"> </w:t>
      </w:r>
      <w:r>
        <w:t>schools</w:t>
      </w:r>
      <w:r>
        <w:rPr>
          <w:spacing w:val="-10"/>
        </w:rPr>
        <w:t xml:space="preserve"> </w:t>
      </w:r>
      <w:r>
        <w:t>including</w:t>
      </w:r>
      <w:r>
        <w:rPr>
          <w:spacing w:val="-10"/>
        </w:rPr>
        <w:t xml:space="preserve"> </w:t>
      </w:r>
      <w:r>
        <w:t>the</w:t>
      </w:r>
      <w:r>
        <w:rPr>
          <w:spacing w:val="-10"/>
        </w:rPr>
        <w:t xml:space="preserve"> </w:t>
      </w:r>
      <w:r>
        <w:t>Northern</w:t>
      </w:r>
    </w:p>
    <w:p w:rsidR="002C1123" w:rsidRDefault="002C1123">
      <w:pPr>
        <w:spacing w:line="249" w:lineRule="auto"/>
        <w:sectPr w:rsidR="002C1123">
          <w:type w:val="continuous"/>
          <w:pgSz w:w="16840" w:h="11910" w:orient="landscape"/>
          <w:pgMar w:top="560" w:right="280" w:bottom="280" w:left="500" w:header="0" w:footer="470" w:gutter="0"/>
          <w:cols w:num="6" w:space="720" w:equalWidth="0">
            <w:col w:w="1407" w:space="680"/>
            <w:col w:w="1225" w:space="136"/>
            <w:col w:w="1361" w:space="40"/>
            <w:col w:w="1991" w:space="39"/>
            <w:col w:w="906" w:space="2249"/>
            <w:col w:w="6026"/>
          </w:cols>
        </w:sectPr>
      </w:pPr>
    </w:p>
    <w:p w:rsidR="002C1123" w:rsidRDefault="00F22F94">
      <w:pPr>
        <w:spacing w:before="76"/>
        <w:ind w:left="512"/>
        <w:rPr>
          <w:sz w:val="14"/>
        </w:rPr>
      </w:pPr>
      <w:r>
        <w:rPr>
          <w:sz w:val="14"/>
        </w:rPr>
        <w:t>*Beds</w:t>
      </w:r>
      <w:r>
        <w:rPr>
          <w:spacing w:val="-3"/>
          <w:sz w:val="14"/>
        </w:rPr>
        <w:t xml:space="preserve"> </w:t>
      </w:r>
      <w:r>
        <w:rPr>
          <w:sz w:val="14"/>
        </w:rPr>
        <w:t>per</w:t>
      </w:r>
      <w:r>
        <w:rPr>
          <w:spacing w:val="-3"/>
          <w:sz w:val="14"/>
        </w:rPr>
        <w:t xml:space="preserve"> </w:t>
      </w:r>
      <w:r>
        <w:rPr>
          <w:sz w:val="14"/>
        </w:rPr>
        <w:t>1000</w:t>
      </w:r>
      <w:r>
        <w:rPr>
          <w:spacing w:val="-3"/>
          <w:sz w:val="14"/>
        </w:rPr>
        <w:t xml:space="preserve"> </w:t>
      </w:r>
      <w:r>
        <w:rPr>
          <w:sz w:val="14"/>
        </w:rPr>
        <w:t>head</w:t>
      </w:r>
      <w:r>
        <w:rPr>
          <w:spacing w:val="-3"/>
          <w:sz w:val="14"/>
        </w:rPr>
        <w:t xml:space="preserve"> </w:t>
      </w:r>
      <w:r>
        <w:rPr>
          <w:sz w:val="14"/>
        </w:rPr>
        <w:t>of</w:t>
      </w:r>
      <w:r>
        <w:rPr>
          <w:spacing w:val="-3"/>
          <w:sz w:val="14"/>
        </w:rPr>
        <w:t xml:space="preserve"> </w:t>
      </w:r>
      <w:r>
        <w:rPr>
          <w:spacing w:val="-2"/>
          <w:sz w:val="14"/>
        </w:rPr>
        <w:t>population.</w:t>
      </w:r>
    </w:p>
    <w:p w:rsidR="002C1123" w:rsidRDefault="002C1123">
      <w:pPr>
        <w:pStyle w:val="BodyText"/>
        <w:rPr>
          <w:sz w:val="16"/>
        </w:rPr>
      </w:pPr>
    </w:p>
    <w:p w:rsidR="002C1123" w:rsidRDefault="00F22F94">
      <w:pPr>
        <w:spacing w:before="119"/>
        <w:ind w:left="502"/>
        <w:rPr>
          <w:b/>
          <w:sz w:val="18"/>
        </w:rPr>
      </w:pPr>
      <w:r>
        <w:rPr>
          <w:b/>
          <w:sz w:val="18"/>
        </w:rPr>
        <w:t>Table</w:t>
      </w:r>
      <w:r>
        <w:rPr>
          <w:b/>
          <w:spacing w:val="-17"/>
          <w:sz w:val="18"/>
        </w:rPr>
        <w:t xml:space="preserve"> </w:t>
      </w:r>
      <w:r>
        <w:rPr>
          <w:b/>
          <w:sz w:val="18"/>
        </w:rPr>
        <w:t>4.3</w:t>
      </w:r>
      <w:r>
        <w:rPr>
          <w:b/>
          <w:spacing w:val="19"/>
          <w:sz w:val="18"/>
        </w:rPr>
        <w:t xml:space="preserve"> </w:t>
      </w:r>
      <w:r>
        <w:rPr>
          <w:b/>
          <w:sz w:val="18"/>
        </w:rPr>
        <w:t>Education</w:t>
      </w:r>
      <w:r>
        <w:rPr>
          <w:b/>
          <w:spacing w:val="-17"/>
          <w:sz w:val="18"/>
        </w:rPr>
        <w:t xml:space="preserve"> </w:t>
      </w:r>
      <w:r>
        <w:rPr>
          <w:b/>
          <w:sz w:val="18"/>
        </w:rPr>
        <w:t>in</w:t>
      </w:r>
      <w:r>
        <w:rPr>
          <w:b/>
          <w:spacing w:val="-16"/>
          <w:sz w:val="18"/>
        </w:rPr>
        <w:t xml:space="preserve"> </w:t>
      </w:r>
      <w:r>
        <w:rPr>
          <w:b/>
          <w:sz w:val="18"/>
        </w:rPr>
        <w:t>Metropolitan</w:t>
      </w:r>
      <w:r>
        <w:rPr>
          <w:b/>
          <w:spacing w:val="-17"/>
          <w:sz w:val="18"/>
        </w:rPr>
        <w:t xml:space="preserve"> </w:t>
      </w:r>
      <w:r>
        <w:rPr>
          <w:b/>
          <w:spacing w:val="-2"/>
          <w:sz w:val="18"/>
        </w:rPr>
        <w:t>Sydney</w:t>
      </w:r>
    </w:p>
    <w:p w:rsidR="002C1123" w:rsidRDefault="00F22F94">
      <w:pPr>
        <w:pStyle w:val="BodyText"/>
        <w:spacing w:before="4" w:line="249" w:lineRule="auto"/>
        <w:ind w:left="502" w:right="644"/>
      </w:pPr>
      <w:r>
        <w:br w:type="column"/>
      </w:r>
      <w:r>
        <w:rPr>
          <w:spacing w:val="-2"/>
          <w:w w:val="95"/>
        </w:rPr>
        <w:t>region</w:t>
      </w:r>
      <w:r>
        <w:rPr>
          <w:spacing w:val="-7"/>
          <w:w w:val="95"/>
        </w:rPr>
        <w:t xml:space="preserve"> </w:t>
      </w:r>
      <w:r>
        <w:rPr>
          <w:spacing w:val="-2"/>
          <w:w w:val="95"/>
        </w:rPr>
        <w:t>(110</w:t>
      </w:r>
      <w:r>
        <w:rPr>
          <w:spacing w:val="-7"/>
          <w:w w:val="95"/>
        </w:rPr>
        <w:t xml:space="preserve"> </w:t>
      </w:r>
      <w:r>
        <w:rPr>
          <w:spacing w:val="-2"/>
          <w:w w:val="95"/>
        </w:rPr>
        <w:t>percent),</w:t>
      </w:r>
      <w:r>
        <w:rPr>
          <w:spacing w:val="-7"/>
          <w:w w:val="95"/>
        </w:rPr>
        <w:t xml:space="preserve"> </w:t>
      </w:r>
      <w:r>
        <w:rPr>
          <w:spacing w:val="-2"/>
          <w:w w:val="95"/>
        </w:rPr>
        <w:t>West</w:t>
      </w:r>
      <w:r>
        <w:rPr>
          <w:spacing w:val="-7"/>
          <w:w w:val="95"/>
        </w:rPr>
        <w:t xml:space="preserve"> </w:t>
      </w:r>
      <w:r>
        <w:rPr>
          <w:spacing w:val="-2"/>
          <w:w w:val="95"/>
        </w:rPr>
        <w:t>Central</w:t>
      </w:r>
      <w:r>
        <w:rPr>
          <w:spacing w:val="-7"/>
          <w:w w:val="95"/>
        </w:rPr>
        <w:t xml:space="preserve"> </w:t>
      </w:r>
      <w:r>
        <w:rPr>
          <w:spacing w:val="-2"/>
          <w:w w:val="95"/>
        </w:rPr>
        <w:t>region</w:t>
      </w:r>
      <w:r>
        <w:rPr>
          <w:spacing w:val="-7"/>
          <w:w w:val="95"/>
        </w:rPr>
        <w:t xml:space="preserve"> </w:t>
      </w:r>
      <w:r>
        <w:rPr>
          <w:spacing w:val="-2"/>
          <w:w w:val="95"/>
        </w:rPr>
        <w:t>(104.5</w:t>
      </w:r>
      <w:r>
        <w:rPr>
          <w:spacing w:val="-7"/>
          <w:w w:val="95"/>
        </w:rPr>
        <w:t xml:space="preserve"> </w:t>
      </w:r>
      <w:r>
        <w:rPr>
          <w:spacing w:val="-2"/>
          <w:w w:val="95"/>
        </w:rPr>
        <w:t xml:space="preserve">percent), </w:t>
      </w:r>
      <w:r>
        <w:t>and</w:t>
      </w:r>
      <w:r>
        <w:rPr>
          <w:spacing w:val="-4"/>
        </w:rPr>
        <w:t xml:space="preserve"> </w:t>
      </w:r>
      <w:r>
        <w:t>South</w:t>
      </w:r>
      <w:r>
        <w:rPr>
          <w:spacing w:val="-4"/>
        </w:rPr>
        <w:t xml:space="preserve"> </w:t>
      </w:r>
      <w:r>
        <w:t>West</w:t>
      </w:r>
      <w:r>
        <w:rPr>
          <w:spacing w:val="-4"/>
        </w:rPr>
        <w:t xml:space="preserve"> </w:t>
      </w:r>
      <w:r>
        <w:t>(103</w:t>
      </w:r>
      <w:r>
        <w:rPr>
          <w:spacing w:val="-4"/>
        </w:rPr>
        <w:t xml:space="preserve"> </w:t>
      </w:r>
      <w:r>
        <w:t>percent)</w:t>
      </w:r>
      <w:r>
        <w:rPr>
          <w:position w:val="7"/>
          <w:sz w:val="11"/>
        </w:rPr>
        <w:t>16</w:t>
      </w:r>
      <w:r>
        <w:t>.</w:t>
      </w:r>
    </w:p>
    <w:p w:rsidR="002C1123" w:rsidRDefault="00F22F94">
      <w:pPr>
        <w:pStyle w:val="BodyText"/>
        <w:spacing w:before="144"/>
        <w:ind w:left="502"/>
      </w:pPr>
      <w:r>
        <w:rPr>
          <w:w w:val="95"/>
        </w:rPr>
        <w:t>A</w:t>
      </w:r>
      <w:r>
        <w:rPr>
          <w:spacing w:val="-3"/>
          <w:w w:val="95"/>
        </w:rPr>
        <w:t xml:space="preserve"> </w:t>
      </w:r>
      <w:r>
        <w:rPr>
          <w:w w:val="95"/>
        </w:rPr>
        <w:t>large</w:t>
      </w:r>
      <w:r>
        <w:rPr>
          <w:spacing w:val="-2"/>
          <w:w w:val="95"/>
        </w:rPr>
        <w:t xml:space="preserve"> </w:t>
      </w:r>
      <w:r>
        <w:rPr>
          <w:w w:val="95"/>
        </w:rPr>
        <w:t>program</w:t>
      </w:r>
      <w:r>
        <w:rPr>
          <w:spacing w:val="-3"/>
          <w:w w:val="95"/>
        </w:rPr>
        <w:t xml:space="preserve"> </w:t>
      </w:r>
      <w:r>
        <w:rPr>
          <w:w w:val="95"/>
        </w:rPr>
        <w:t>of</w:t>
      </w:r>
      <w:r>
        <w:rPr>
          <w:spacing w:val="-2"/>
          <w:w w:val="95"/>
        </w:rPr>
        <w:t xml:space="preserve"> </w:t>
      </w:r>
      <w:r>
        <w:rPr>
          <w:w w:val="95"/>
        </w:rPr>
        <w:t>work</w:t>
      </w:r>
      <w:r>
        <w:rPr>
          <w:spacing w:val="-2"/>
          <w:w w:val="95"/>
        </w:rPr>
        <w:t xml:space="preserve"> </w:t>
      </w:r>
      <w:r>
        <w:rPr>
          <w:w w:val="95"/>
        </w:rPr>
        <w:t>to</w:t>
      </w:r>
      <w:r>
        <w:rPr>
          <w:spacing w:val="-2"/>
          <w:w w:val="95"/>
        </w:rPr>
        <w:t xml:space="preserve"> </w:t>
      </w:r>
      <w:r>
        <w:rPr>
          <w:w w:val="95"/>
        </w:rPr>
        <w:t>expand</w:t>
      </w:r>
      <w:r>
        <w:rPr>
          <w:spacing w:val="-3"/>
          <w:w w:val="95"/>
        </w:rPr>
        <w:t xml:space="preserve"> </w:t>
      </w:r>
      <w:r>
        <w:rPr>
          <w:w w:val="95"/>
        </w:rPr>
        <w:t>the</w:t>
      </w:r>
      <w:r>
        <w:rPr>
          <w:spacing w:val="-2"/>
          <w:w w:val="95"/>
        </w:rPr>
        <w:t xml:space="preserve"> </w:t>
      </w:r>
      <w:r>
        <w:rPr>
          <w:w w:val="95"/>
        </w:rPr>
        <w:t>capacity</w:t>
      </w:r>
      <w:r>
        <w:rPr>
          <w:spacing w:val="-2"/>
          <w:w w:val="95"/>
        </w:rPr>
        <w:t xml:space="preserve"> </w:t>
      </w:r>
      <w:r>
        <w:rPr>
          <w:spacing w:val="-5"/>
          <w:w w:val="95"/>
        </w:rPr>
        <w:t>of</w:t>
      </w:r>
    </w:p>
    <w:p w:rsidR="002C1123" w:rsidRDefault="002C1123">
      <w:pPr>
        <w:sectPr w:rsidR="002C1123">
          <w:type w:val="continuous"/>
          <w:pgSz w:w="16840" w:h="11910" w:orient="landscape"/>
          <w:pgMar w:top="560" w:right="280" w:bottom="280" w:left="500" w:header="0" w:footer="470" w:gutter="0"/>
          <w:cols w:num="2" w:space="720" w:equalWidth="0">
            <w:col w:w="4232" w:space="5812"/>
            <w:col w:w="6016"/>
          </w:cols>
        </w:sectPr>
      </w:pPr>
    </w:p>
    <w:p w:rsidR="002C1123" w:rsidRDefault="00F22F94">
      <w:pPr>
        <w:spacing w:before="15" w:line="182" w:lineRule="exact"/>
        <w:ind w:left="502"/>
        <w:rPr>
          <w:b/>
          <w:sz w:val="16"/>
        </w:rPr>
      </w:pPr>
      <w:r>
        <w:rPr>
          <w:b/>
          <w:color w:val="2E3092"/>
          <w:spacing w:val="-2"/>
          <w:sz w:val="16"/>
        </w:rPr>
        <w:t>Regional</w:t>
      </w:r>
    </w:p>
    <w:p w:rsidR="002C1123" w:rsidRDefault="00F22F94">
      <w:pPr>
        <w:spacing w:line="182" w:lineRule="exact"/>
        <w:ind w:left="502"/>
        <w:rPr>
          <w:b/>
          <w:sz w:val="16"/>
        </w:rPr>
      </w:pPr>
      <w:r>
        <w:rPr>
          <w:b/>
          <w:color w:val="2E3092"/>
          <w:w w:val="95"/>
          <w:sz w:val="16"/>
        </w:rPr>
        <w:t>Action</w:t>
      </w:r>
      <w:r>
        <w:rPr>
          <w:b/>
          <w:color w:val="2E3092"/>
          <w:spacing w:val="2"/>
          <w:sz w:val="16"/>
        </w:rPr>
        <w:t xml:space="preserve"> </w:t>
      </w:r>
      <w:r>
        <w:rPr>
          <w:b/>
          <w:color w:val="2E3092"/>
          <w:w w:val="95"/>
          <w:sz w:val="16"/>
        </w:rPr>
        <w:t>Plan</w:t>
      </w:r>
      <w:r>
        <w:rPr>
          <w:b/>
          <w:color w:val="2E3092"/>
          <w:spacing w:val="2"/>
          <w:sz w:val="16"/>
        </w:rPr>
        <w:t xml:space="preserve"> </w:t>
      </w:r>
      <w:r>
        <w:rPr>
          <w:b/>
          <w:color w:val="2E3092"/>
          <w:spacing w:val="-4"/>
          <w:w w:val="95"/>
          <w:sz w:val="16"/>
        </w:rPr>
        <w:t>Area</w:t>
      </w:r>
    </w:p>
    <w:p w:rsidR="002C1123" w:rsidRDefault="00F22F94">
      <w:pPr>
        <w:spacing w:before="18" w:line="235" w:lineRule="auto"/>
        <w:ind w:left="502"/>
        <w:rPr>
          <w:b/>
          <w:sz w:val="16"/>
        </w:rPr>
      </w:pPr>
      <w:r>
        <w:br w:type="column"/>
      </w:r>
      <w:r>
        <w:rPr>
          <w:b/>
          <w:color w:val="2E3092"/>
          <w:sz w:val="16"/>
        </w:rPr>
        <w:t xml:space="preserve">Primary enrolments – </w:t>
      </w:r>
      <w:r>
        <w:rPr>
          <w:b/>
          <w:color w:val="2E3092"/>
          <w:spacing w:val="-2"/>
          <w:sz w:val="16"/>
        </w:rPr>
        <w:t>growth</w:t>
      </w:r>
      <w:r>
        <w:rPr>
          <w:b/>
          <w:color w:val="2E3092"/>
          <w:spacing w:val="-10"/>
          <w:sz w:val="16"/>
        </w:rPr>
        <w:t xml:space="preserve"> </w:t>
      </w:r>
      <w:r>
        <w:rPr>
          <w:b/>
          <w:color w:val="2E3092"/>
          <w:spacing w:val="-2"/>
          <w:sz w:val="16"/>
        </w:rPr>
        <w:t>in</w:t>
      </w:r>
      <w:r>
        <w:rPr>
          <w:b/>
          <w:color w:val="2E3092"/>
          <w:spacing w:val="-9"/>
          <w:sz w:val="16"/>
        </w:rPr>
        <w:t xml:space="preserve"> </w:t>
      </w:r>
      <w:r>
        <w:rPr>
          <w:b/>
          <w:color w:val="2E3092"/>
          <w:spacing w:val="-2"/>
          <w:sz w:val="16"/>
        </w:rPr>
        <w:t>next</w:t>
      </w:r>
      <w:r>
        <w:rPr>
          <w:b/>
          <w:color w:val="2E3092"/>
          <w:spacing w:val="-9"/>
          <w:sz w:val="16"/>
        </w:rPr>
        <w:t xml:space="preserve"> </w:t>
      </w:r>
      <w:r>
        <w:rPr>
          <w:b/>
          <w:color w:val="2E3092"/>
          <w:spacing w:val="-2"/>
          <w:sz w:val="16"/>
        </w:rPr>
        <w:t>ten</w:t>
      </w:r>
      <w:r>
        <w:rPr>
          <w:b/>
          <w:color w:val="2E3092"/>
          <w:spacing w:val="-9"/>
          <w:sz w:val="16"/>
        </w:rPr>
        <w:t xml:space="preserve"> </w:t>
      </w:r>
      <w:r>
        <w:rPr>
          <w:b/>
          <w:color w:val="2E3092"/>
          <w:spacing w:val="-2"/>
          <w:sz w:val="16"/>
        </w:rPr>
        <w:t>years</w:t>
      </w:r>
    </w:p>
    <w:p w:rsidR="002C1123" w:rsidRDefault="00F22F94">
      <w:pPr>
        <w:spacing w:before="18" w:line="235" w:lineRule="auto"/>
        <w:ind w:left="502"/>
        <w:rPr>
          <w:b/>
          <w:sz w:val="16"/>
        </w:rPr>
      </w:pPr>
      <w:r>
        <w:br w:type="column"/>
      </w:r>
      <w:r>
        <w:rPr>
          <w:b/>
          <w:color w:val="2E3092"/>
          <w:spacing w:val="-4"/>
          <w:sz w:val="16"/>
        </w:rPr>
        <w:t xml:space="preserve">Secondary </w:t>
      </w:r>
      <w:r>
        <w:rPr>
          <w:b/>
          <w:color w:val="2E3092"/>
          <w:spacing w:val="-2"/>
          <w:sz w:val="16"/>
        </w:rPr>
        <w:t>Growth</w:t>
      </w:r>
    </w:p>
    <w:p w:rsidR="002C1123" w:rsidRDefault="00F22F94">
      <w:pPr>
        <w:spacing w:before="18" w:line="235" w:lineRule="auto"/>
        <w:ind w:left="502"/>
        <w:rPr>
          <w:b/>
          <w:sz w:val="16"/>
        </w:rPr>
      </w:pPr>
      <w:r>
        <w:br w:type="column"/>
      </w:r>
      <w:r>
        <w:rPr>
          <w:b/>
          <w:color w:val="2E3092"/>
          <w:spacing w:val="-2"/>
          <w:sz w:val="16"/>
        </w:rPr>
        <w:t>Proposed Major</w:t>
      </w:r>
      <w:r>
        <w:rPr>
          <w:b/>
          <w:color w:val="2E3092"/>
          <w:spacing w:val="-10"/>
          <w:sz w:val="16"/>
        </w:rPr>
        <w:t xml:space="preserve"> </w:t>
      </w:r>
      <w:r>
        <w:rPr>
          <w:b/>
          <w:color w:val="2E3092"/>
          <w:spacing w:val="-2"/>
          <w:sz w:val="16"/>
        </w:rPr>
        <w:t>Works</w:t>
      </w:r>
    </w:p>
    <w:p w:rsidR="002C1123" w:rsidRDefault="00F22F94">
      <w:pPr>
        <w:pStyle w:val="BodyText"/>
        <w:spacing w:before="10" w:line="249" w:lineRule="auto"/>
        <w:ind w:left="502" w:right="644"/>
      </w:pPr>
      <w:r>
        <w:br w:type="column"/>
      </w:r>
      <w:r>
        <w:rPr>
          <w:w w:val="95"/>
        </w:rPr>
        <w:t>existing</w:t>
      </w:r>
      <w:r>
        <w:rPr>
          <w:spacing w:val="-4"/>
          <w:w w:val="95"/>
        </w:rPr>
        <w:t xml:space="preserve"> </w:t>
      </w:r>
      <w:r>
        <w:rPr>
          <w:w w:val="95"/>
        </w:rPr>
        <w:t>schools</w:t>
      </w:r>
      <w:r>
        <w:rPr>
          <w:spacing w:val="-4"/>
          <w:w w:val="95"/>
        </w:rPr>
        <w:t xml:space="preserve"> </w:t>
      </w:r>
      <w:r>
        <w:rPr>
          <w:w w:val="95"/>
        </w:rPr>
        <w:t>is</w:t>
      </w:r>
      <w:r>
        <w:rPr>
          <w:spacing w:val="-4"/>
          <w:w w:val="95"/>
        </w:rPr>
        <w:t xml:space="preserve"> </w:t>
      </w:r>
      <w:r>
        <w:rPr>
          <w:w w:val="95"/>
        </w:rPr>
        <w:t>planned,</w:t>
      </w:r>
      <w:r>
        <w:rPr>
          <w:spacing w:val="-4"/>
          <w:w w:val="95"/>
        </w:rPr>
        <w:t xml:space="preserve"> </w:t>
      </w:r>
      <w:r>
        <w:rPr>
          <w:w w:val="95"/>
        </w:rPr>
        <w:t>in</w:t>
      </w:r>
      <w:r>
        <w:rPr>
          <w:spacing w:val="-4"/>
          <w:w w:val="95"/>
        </w:rPr>
        <w:t xml:space="preserve"> </w:t>
      </w:r>
      <w:r>
        <w:rPr>
          <w:w w:val="95"/>
        </w:rPr>
        <w:t>addition</w:t>
      </w:r>
      <w:r>
        <w:rPr>
          <w:spacing w:val="-4"/>
          <w:w w:val="95"/>
        </w:rPr>
        <w:t xml:space="preserve"> </w:t>
      </w:r>
      <w:r>
        <w:rPr>
          <w:w w:val="95"/>
        </w:rPr>
        <w:t>to</w:t>
      </w:r>
      <w:r>
        <w:rPr>
          <w:spacing w:val="-4"/>
          <w:w w:val="95"/>
        </w:rPr>
        <w:t xml:space="preserve"> </w:t>
      </w:r>
      <w:r>
        <w:rPr>
          <w:w w:val="95"/>
        </w:rPr>
        <w:t>new</w:t>
      </w:r>
      <w:r>
        <w:rPr>
          <w:spacing w:val="-4"/>
          <w:w w:val="95"/>
        </w:rPr>
        <w:t xml:space="preserve"> </w:t>
      </w:r>
      <w:r>
        <w:rPr>
          <w:w w:val="95"/>
        </w:rPr>
        <w:t xml:space="preserve">schools </w:t>
      </w:r>
      <w:r>
        <w:t>across the metropolitan area.</w:t>
      </w:r>
    </w:p>
    <w:p w:rsidR="002C1123" w:rsidRDefault="002060EF">
      <w:pPr>
        <w:pStyle w:val="BodyText"/>
        <w:spacing w:before="143" w:line="249" w:lineRule="auto"/>
        <w:ind w:left="502" w:right="778"/>
      </w:pPr>
      <w:r>
        <w:pict>
          <v:shape id="docshape812" o:spid="_x0000_s4516" type="#_x0000_t202" style="position:absolute;left:0;text-align:left;margin-left:49.6pt;margin-top:-3.4pt;width:491.35pt;height:136.25pt;z-index:251281408;mso-position-horizontal-relative:page" filled="f" stroked="f">
            <v:textbox inset="0,0,0,0">
              <w:txbxContent>
                <w:tbl>
                  <w:tblPr>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84"/>
                    <w:gridCol w:w="2721"/>
                    <w:gridCol w:w="1701"/>
                    <w:gridCol w:w="3401"/>
                  </w:tblGrid>
                  <w:tr w:rsidR="00F22F94">
                    <w:trPr>
                      <w:trHeight w:val="377"/>
                    </w:trPr>
                    <w:tc>
                      <w:tcPr>
                        <w:tcW w:w="1984" w:type="dxa"/>
                        <w:tcBorders>
                          <w:left w:val="nil"/>
                        </w:tcBorders>
                        <w:shd w:val="clear" w:color="auto" w:fill="C9C8C9"/>
                      </w:tcPr>
                      <w:p w:rsidR="00F22F94" w:rsidRDefault="00F22F94">
                        <w:pPr>
                          <w:pStyle w:val="TableParagraph"/>
                          <w:rPr>
                            <w:sz w:val="16"/>
                          </w:rPr>
                        </w:pPr>
                        <w:r>
                          <w:rPr>
                            <w:spacing w:val="-4"/>
                            <w:w w:val="105"/>
                            <w:sz w:val="16"/>
                          </w:rPr>
                          <w:t>North</w:t>
                        </w:r>
                      </w:p>
                    </w:tc>
                    <w:tc>
                      <w:tcPr>
                        <w:tcW w:w="2721" w:type="dxa"/>
                        <w:shd w:val="clear" w:color="auto" w:fill="E1E0E1"/>
                      </w:tcPr>
                      <w:p w:rsidR="00F22F94" w:rsidRDefault="00F22F94">
                        <w:pPr>
                          <w:pStyle w:val="TableParagraph"/>
                          <w:spacing w:before="57"/>
                          <w:rPr>
                            <w:rFonts w:ascii="Tahoma"/>
                            <w:sz w:val="16"/>
                          </w:rPr>
                        </w:pPr>
                        <w:r>
                          <w:rPr>
                            <w:rFonts w:ascii="Tahoma"/>
                            <w:spacing w:val="-5"/>
                            <w:sz w:val="16"/>
                          </w:rPr>
                          <w:t>16%</w:t>
                        </w:r>
                      </w:p>
                    </w:tc>
                    <w:tc>
                      <w:tcPr>
                        <w:tcW w:w="1701" w:type="dxa"/>
                        <w:shd w:val="clear" w:color="auto" w:fill="E1E0E1"/>
                      </w:tcPr>
                      <w:p w:rsidR="00F22F94" w:rsidRDefault="00F22F94">
                        <w:pPr>
                          <w:pStyle w:val="TableParagraph"/>
                          <w:spacing w:before="57"/>
                          <w:ind w:left="114"/>
                          <w:rPr>
                            <w:rFonts w:ascii="Tahoma"/>
                            <w:sz w:val="16"/>
                          </w:rPr>
                        </w:pPr>
                        <w:r>
                          <w:rPr>
                            <w:rFonts w:ascii="Tahoma"/>
                            <w:spacing w:val="-5"/>
                            <w:sz w:val="16"/>
                          </w:rPr>
                          <w:t>15%</w:t>
                        </w:r>
                      </w:p>
                    </w:tc>
                    <w:tc>
                      <w:tcPr>
                        <w:tcW w:w="3401" w:type="dxa"/>
                        <w:shd w:val="clear" w:color="auto" w:fill="E1E0E1"/>
                      </w:tcPr>
                      <w:p w:rsidR="00F22F94" w:rsidRDefault="00F22F94">
                        <w:pPr>
                          <w:pStyle w:val="TableParagraph"/>
                          <w:rPr>
                            <w:sz w:val="16"/>
                          </w:rPr>
                        </w:pPr>
                        <w:r>
                          <w:rPr>
                            <w:w w:val="95"/>
                            <w:sz w:val="16"/>
                          </w:rPr>
                          <w:t>Lindfield;</w:t>
                        </w:r>
                        <w:r>
                          <w:rPr>
                            <w:spacing w:val="-2"/>
                            <w:sz w:val="16"/>
                          </w:rPr>
                          <w:t xml:space="preserve"> </w:t>
                        </w:r>
                        <w:r>
                          <w:rPr>
                            <w:w w:val="95"/>
                            <w:sz w:val="16"/>
                          </w:rPr>
                          <w:t>major</w:t>
                        </w:r>
                        <w:r>
                          <w:rPr>
                            <w:spacing w:val="-2"/>
                            <w:sz w:val="16"/>
                          </w:rPr>
                          <w:t xml:space="preserve"> </w:t>
                        </w:r>
                        <w:r>
                          <w:rPr>
                            <w:spacing w:val="-2"/>
                            <w:w w:val="95"/>
                            <w:sz w:val="16"/>
                          </w:rPr>
                          <w:t>expansions</w:t>
                        </w:r>
                      </w:p>
                    </w:tc>
                  </w:tr>
                  <w:tr w:rsidR="00F22F94">
                    <w:trPr>
                      <w:trHeight w:val="377"/>
                    </w:trPr>
                    <w:tc>
                      <w:tcPr>
                        <w:tcW w:w="1984" w:type="dxa"/>
                        <w:tcBorders>
                          <w:left w:val="nil"/>
                        </w:tcBorders>
                        <w:shd w:val="clear" w:color="auto" w:fill="C9C8C9"/>
                      </w:tcPr>
                      <w:p w:rsidR="00F22F94" w:rsidRDefault="00F22F94">
                        <w:pPr>
                          <w:pStyle w:val="TableParagraph"/>
                          <w:rPr>
                            <w:sz w:val="16"/>
                          </w:rPr>
                        </w:pPr>
                        <w:r>
                          <w:rPr>
                            <w:sz w:val="16"/>
                          </w:rPr>
                          <w:t>West</w:t>
                        </w:r>
                        <w:r>
                          <w:rPr>
                            <w:spacing w:val="-3"/>
                            <w:sz w:val="16"/>
                          </w:rPr>
                          <w:t xml:space="preserve"> </w:t>
                        </w:r>
                        <w:r>
                          <w:rPr>
                            <w:spacing w:val="-2"/>
                            <w:w w:val="105"/>
                            <w:sz w:val="16"/>
                          </w:rPr>
                          <w:t>Central</w:t>
                        </w:r>
                      </w:p>
                    </w:tc>
                    <w:tc>
                      <w:tcPr>
                        <w:tcW w:w="2721" w:type="dxa"/>
                        <w:shd w:val="clear" w:color="auto" w:fill="E1E0E1"/>
                      </w:tcPr>
                      <w:p w:rsidR="00F22F94" w:rsidRDefault="00F22F94">
                        <w:pPr>
                          <w:pStyle w:val="TableParagraph"/>
                          <w:spacing w:before="57"/>
                          <w:rPr>
                            <w:rFonts w:ascii="Tahoma"/>
                            <w:sz w:val="16"/>
                          </w:rPr>
                        </w:pPr>
                        <w:r>
                          <w:rPr>
                            <w:rFonts w:ascii="Tahoma"/>
                            <w:spacing w:val="-5"/>
                            <w:sz w:val="16"/>
                          </w:rPr>
                          <w:t>14%</w:t>
                        </w:r>
                      </w:p>
                    </w:tc>
                    <w:tc>
                      <w:tcPr>
                        <w:tcW w:w="1701" w:type="dxa"/>
                        <w:shd w:val="clear" w:color="auto" w:fill="E1E0E1"/>
                      </w:tcPr>
                      <w:p w:rsidR="00F22F94" w:rsidRDefault="00F22F94">
                        <w:pPr>
                          <w:pStyle w:val="TableParagraph"/>
                          <w:spacing w:before="57"/>
                          <w:ind w:left="114"/>
                          <w:rPr>
                            <w:rFonts w:ascii="Tahoma"/>
                            <w:sz w:val="16"/>
                          </w:rPr>
                        </w:pPr>
                        <w:r>
                          <w:rPr>
                            <w:rFonts w:ascii="Tahoma"/>
                            <w:spacing w:val="-5"/>
                            <w:sz w:val="16"/>
                          </w:rPr>
                          <w:t>13%</w:t>
                        </w:r>
                      </w:p>
                    </w:tc>
                    <w:tc>
                      <w:tcPr>
                        <w:tcW w:w="3401" w:type="dxa"/>
                        <w:shd w:val="clear" w:color="auto" w:fill="E1E0E1"/>
                      </w:tcPr>
                      <w:p w:rsidR="00F22F94" w:rsidRDefault="00F22F94">
                        <w:pPr>
                          <w:pStyle w:val="TableParagraph"/>
                          <w:ind w:left="114"/>
                          <w:rPr>
                            <w:sz w:val="16"/>
                          </w:rPr>
                        </w:pPr>
                        <w:r>
                          <w:rPr>
                            <w:w w:val="95"/>
                            <w:sz w:val="16"/>
                          </w:rPr>
                          <w:t>Auburn</w:t>
                        </w:r>
                        <w:r>
                          <w:rPr>
                            <w:spacing w:val="3"/>
                            <w:sz w:val="16"/>
                          </w:rPr>
                          <w:t xml:space="preserve"> </w:t>
                        </w:r>
                        <w:r>
                          <w:rPr>
                            <w:w w:val="95"/>
                            <w:sz w:val="16"/>
                          </w:rPr>
                          <w:t>primary</w:t>
                        </w:r>
                        <w:r>
                          <w:rPr>
                            <w:spacing w:val="4"/>
                            <w:sz w:val="16"/>
                          </w:rPr>
                          <w:t xml:space="preserve"> </w:t>
                        </w:r>
                        <w:r>
                          <w:rPr>
                            <w:w w:val="95"/>
                            <w:sz w:val="16"/>
                          </w:rPr>
                          <w:t>school</w:t>
                        </w:r>
                        <w:r>
                          <w:rPr>
                            <w:spacing w:val="4"/>
                            <w:sz w:val="16"/>
                          </w:rPr>
                          <w:t xml:space="preserve"> </w:t>
                        </w:r>
                        <w:r>
                          <w:rPr>
                            <w:w w:val="95"/>
                            <w:sz w:val="16"/>
                          </w:rPr>
                          <w:t>and</w:t>
                        </w:r>
                        <w:r>
                          <w:rPr>
                            <w:spacing w:val="3"/>
                            <w:sz w:val="16"/>
                          </w:rPr>
                          <w:t xml:space="preserve"> </w:t>
                        </w:r>
                        <w:r>
                          <w:rPr>
                            <w:w w:val="95"/>
                            <w:sz w:val="16"/>
                          </w:rPr>
                          <w:t>high</w:t>
                        </w:r>
                        <w:r>
                          <w:rPr>
                            <w:spacing w:val="4"/>
                            <w:sz w:val="16"/>
                          </w:rPr>
                          <w:t xml:space="preserve"> </w:t>
                        </w:r>
                        <w:r>
                          <w:rPr>
                            <w:spacing w:val="-2"/>
                            <w:w w:val="95"/>
                            <w:sz w:val="16"/>
                          </w:rPr>
                          <w:t>school</w:t>
                        </w:r>
                      </w:p>
                    </w:tc>
                  </w:tr>
                  <w:tr w:rsidR="00F22F94">
                    <w:trPr>
                      <w:trHeight w:val="737"/>
                    </w:trPr>
                    <w:tc>
                      <w:tcPr>
                        <w:tcW w:w="1984" w:type="dxa"/>
                        <w:tcBorders>
                          <w:left w:val="nil"/>
                        </w:tcBorders>
                        <w:shd w:val="clear" w:color="auto" w:fill="C9C8C9"/>
                      </w:tcPr>
                      <w:p w:rsidR="00F22F94" w:rsidRDefault="00F22F94">
                        <w:pPr>
                          <w:pStyle w:val="TableParagraph"/>
                          <w:rPr>
                            <w:sz w:val="16"/>
                          </w:rPr>
                        </w:pPr>
                        <w:r>
                          <w:rPr>
                            <w:spacing w:val="-2"/>
                            <w:w w:val="105"/>
                            <w:sz w:val="16"/>
                          </w:rPr>
                          <w:t>North</w:t>
                        </w:r>
                        <w:r>
                          <w:rPr>
                            <w:spacing w:val="-5"/>
                            <w:w w:val="105"/>
                            <w:sz w:val="16"/>
                          </w:rPr>
                          <w:t xml:space="preserve"> </w:t>
                        </w:r>
                        <w:r>
                          <w:rPr>
                            <w:spacing w:val="-4"/>
                            <w:w w:val="105"/>
                            <w:sz w:val="16"/>
                          </w:rPr>
                          <w:t>West</w:t>
                        </w:r>
                      </w:p>
                    </w:tc>
                    <w:tc>
                      <w:tcPr>
                        <w:tcW w:w="2721" w:type="dxa"/>
                        <w:shd w:val="clear" w:color="auto" w:fill="E1E0E1"/>
                      </w:tcPr>
                      <w:p w:rsidR="00F22F94" w:rsidRDefault="00F22F94">
                        <w:pPr>
                          <w:pStyle w:val="TableParagraph"/>
                          <w:spacing w:before="57"/>
                          <w:ind w:left="114"/>
                          <w:rPr>
                            <w:rFonts w:ascii="Tahoma"/>
                            <w:sz w:val="16"/>
                          </w:rPr>
                        </w:pPr>
                        <w:r>
                          <w:rPr>
                            <w:rFonts w:ascii="Tahoma"/>
                            <w:spacing w:val="-5"/>
                            <w:sz w:val="16"/>
                          </w:rPr>
                          <w:t>16%</w:t>
                        </w:r>
                      </w:p>
                    </w:tc>
                    <w:tc>
                      <w:tcPr>
                        <w:tcW w:w="1701" w:type="dxa"/>
                        <w:shd w:val="clear" w:color="auto" w:fill="E1E0E1"/>
                      </w:tcPr>
                      <w:p w:rsidR="00F22F94" w:rsidRDefault="00F22F94">
                        <w:pPr>
                          <w:pStyle w:val="TableParagraph"/>
                          <w:spacing w:before="57"/>
                          <w:ind w:left="114"/>
                          <w:rPr>
                            <w:rFonts w:ascii="Tahoma"/>
                            <w:sz w:val="16"/>
                          </w:rPr>
                        </w:pPr>
                        <w:r>
                          <w:rPr>
                            <w:rFonts w:ascii="Tahoma"/>
                            <w:spacing w:val="-5"/>
                            <w:sz w:val="16"/>
                          </w:rPr>
                          <w:t>15%</w:t>
                        </w:r>
                      </w:p>
                    </w:tc>
                    <w:tc>
                      <w:tcPr>
                        <w:tcW w:w="3401" w:type="dxa"/>
                        <w:shd w:val="clear" w:color="auto" w:fill="E1E0E1"/>
                      </w:tcPr>
                      <w:p w:rsidR="00F22F94" w:rsidRDefault="00F22F94">
                        <w:pPr>
                          <w:pStyle w:val="TableParagraph"/>
                          <w:spacing w:before="70" w:line="235" w:lineRule="auto"/>
                          <w:ind w:left="114" w:right="34"/>
                          <w:rPr>
                            <w:sz w:val="16"/>
                          </w:rPr>
                        </w:pPr>
                        <w:r>
                          <w:rPr>
                            <w:sz w:val="16"/>
                          </w:rPr>
                          <w:t xml:space="preserve">The Ponds – 3 schools, Riverstone, </w:t>
                        </w:r>
                        <w:r>
                          <w:rPr>
                            <w:w w:val="95"/>
                            <w:sz w:val="16"/>
                          </w:rPr>
                          <w:t>Riverstone</w:t>
                        </w:r>
                        <w:r>
                          <w:rPr>
                            <w:spacing w:val="-6"/>
                            <w:w w:val="95"/>
                            <w:sz w:val="16"/>
                          </w:rPr>
                          <w:t xml:space="preserve"> </w:t>
                        </w:r>
                        <w:r>
                          <w:rPr>
                            <w:w w:val="95"/>
                            <w:sz w:val="16"/>
                          </w:rPr>
                          <w:t>East,</w:t>
                        </w:r>
                        <w:r>
                          <w:rPr>
                            <w:spacing w:val="-6"/>
                            <w:w w:val="95"/>
                            <w:sz w:val="16"/>
                          </w:rPr>
                          <w:t xml:space="preserve"> </w:t>
                        </w:r>
                        <w:r>
                          <w:rPr>
                            <w:w w:val="95"/>
                            <w:sz w:val="16"/>
                          </w:rPr>
                          <w:t>North</w:t>
                        </w:r>
                        <w:r>
                          <w:rPr>
                            <w:spacing w:val="-6"/>
                            <w:w w:val="95"/>
                            <w:sz w:val="16"/>
                          </w:rPr>
                          <w:t xml:space="preserve"> </w:t>
                        </w:r>
                        <w:r>
                          <w:rPr>
                            <w:w w:val="95"/>
                            <w:sz w:val="16"/>
                          </w:rPr>
                          <w:t>Kellyville,</w:t>
                        </w:r>
                        <w:r>
                          <w:rPr>
                            <w:spacing w:val="-6"/>
                            <w:w w:val="95"/>
                            <w:sz w:val="16"/>
                          </w:rPr>
                          <w:t xml:space="preserve"> </w:t>
                        </w:r>
                        <w:r>
                          <w:rPr>
                            <w:w w:val="95"/>
                            <w:sz w:val="16"/>
                          </w:rPr>
                          <w:t xml:space="preserve">Schofields, </w:t>
                        </w:r>
                        <w:r>
                          <w:rPr>
                            <w:sz w:val="16"/>
                          </w:rPr>
                          <w:t>Glenmore Park, Blue Mtns, Penrith SSP</w:t>
                        </w:r>
                      </w:p>
                    </w:tc>
                  </w:tr>
                  <w:tr w:rsidR="00F22F94">
                    <w:trPr>
                      <w:trHeight w:val="737"/>
                    </w:trPr>
                    <w:tc>
                      <w:tcPr>
                        <w:tcW w:w="1984" w:type="dxa"/>
                        <w:tcBorders>
                          <w:left w:val="nil"/>
                        </w:tcBorders>
                        <w:shd w:val="clear" w:color="auto" w:fill="C9C8C9"/>
                      </w:tcPr>
                      <w:p w:rsidR="00F22F94" w:rsidRDefault="00F22F94">
                        <w:pPr>
                          <w:pStyle w:val="TableParagraph"/>
                          <w:rPr>
                            <w:sz w:val="16"/>
                          </w:rPr>
                        </w:pPr>
                        <w:r>
                          <w:rPr>
                            <w:spacing w:val="-2"/>
                            <w:w w:val="105"/>
                            <w:sz w:val="16"/>
                          </w:rPr>
                          <w:t>South</w:t>
                        </w:r>
                        <w:r>
                          <w:rPr>
                            <w:spacing w:val="-8"/>
                            <w:w w:val="105"/>
                            <w:sz w:val="16"/>
                          </w:rPr>
                          <w:t xml:space="preserve"> </w:t>
                        </w:r>
                        <w:r>
                          <w:rPr>
                            <w:spacing w:val="-2"/>
                            <w:w w:val="105"/>
                            <w:sz w:val="16"/>
                          </w:rPr>
                          <w:t>and</w:t>
                        </w:r>
                        <w:r>
                          <w:rPr>
                            <w:spacing w:val="-8"/>
                            <w:w w:val="105"/>
                            <w:sz w:val="16"/>
                          </w:rPr>
                          <w:t xml:space="preserve"> </w:t>
                        </w:r>
                        <w:r>
                          <w:rPr>
                            <w:spacing w:val="-2"/>
                            <w:w w:val="105"/>
                            <w:sz w:val="16"/>
                          </w:rPr>
                          <w:t>South</w:t>
                        </w:r>
                        <w:r>
                          <w:rPr>
                            <w:spacing w:val="-8"/>
                            <w:w w:val="105"/>
                            <w:sz w:val="16"/>
                          </w:rPr>
                          <w:t xml:space="preserve"> </w:t>
                        </w:r>
                        <w:r>
                          <w:rPr>
                            <w:spacing w:val="-4"/>
                            <w:w w:val="105"/>
                            <w:sz w:val="16"/>
                          </w:rPr>
                          <w:t>West</w:t>
                        </w:r>
                      </w:p>
                    </w:tc>
                    <w:tc>
                      <w:tcPr>
                        <w:tcW w:w="2721" w:type="dxa"/>
                        <w:shd w:val="clear" w:color="auto" w:fill="E1E0E1"/>
                      </w:tcPr>
                      <w:p w:rsidR="00F22F94" w:rsidRDefault="00F22F94">
                        <w:pPr>
                          <w:pStyle w:val="TableParagraph"/>
                          <w:spacing w:before="57"/>
                          <w:ind w:left="114"/>
                          <w:rPr>
                            <w:rFonts w:ascii="Tahoma"/>
                            <w:sz w:val="16"/>
                          </w:rPr>
                        </w:pPr>
                        <w:r>
                          <w:rPr>
                            <w:rFonts w:ascii="Tahoma"/>
                            <w:spacing w:val="-5"/>
                            <w:sz w:val="16"/>
                          </w:rPr>
                          <w:t>15%</w:t>
                        </w:r>
                      </w:p>
                    </w:tc>
                    <w:tc>
                      <w:tcPr>
                        <w:tcW w:w="1701" w:type="dxa"/>
                        <w:shd w:val="clear" w:color="auto" w:fill="E1E0E1"/>
                      </w:tcPr>
                      <w:p w:rsidR="00F22F94" w:rsidRDefault="00F22F94">
                        <w:pPr>
                          <w:pStyle w:val="TableParagraph"/>
                          <w:spacing w:before="57"/>
                          <w:ind w:left="114"/>
                          <w:rPr>
                            <w:rFonts w:ascii="Tahoma"/>
                            <w:sz w:val="16"/>
                          </w:rPr>
                        </w:pPr>
                        <w:r>
                          <w:rPr>
                            <w:rFonts w:ascii="Tahoma"/>
                            <w:spacing w:val="-5"/>
                            <w:sz w:val="16"/>
                          </w:rPr>
                          <w:t>9%</w:t>
                        </w:r>
                      </w:p>
                    </w:tc>
                    <w:tc>
                      <w:tcPr>
                        <w:tcW w:w="3401" w:type="dxa"/>
                        <w:shd w:val="clear" w:color="auto" w:fill="E1E0E1"/>
                      </w:tcPr>
                      <w:p w:rsidR="00F22F94" w:rsidRDefault="00F22F94">
                        <w:pPr>
                          <w:pStyle w:val="TableParagraph"/>
                          <w:spacing w:before="70" w:line="235" w:lineRule="auto"/>
                          <w:ind w:left="114"/>
                          <w:rPr>
                            <w:sz w:val="16"/>
                          </w:rPr>
                        </w:pPr>
                        <w:r>
                          <w:rPr>
                            <w:w w:val="95"/>
                            <w:sz w:val="16"/>
                          </w:rPr>
                          <w:t xml:space="preserve">Wentworth Point, Spring Farm, Edmondson </w:t>
                        </w:r>
                        <w:r>
                          <w:rPr>
                            <w:sz w:val="16"/>
                          </w:rPr>
                          <w:t>Park, Oran Park, Rockdale, Leppington, Gregory</w:t>
                        </w:r>
                        <w:r>
                          <w:rPr>
                            <w:spacing w:val="-4"/>
                            <w:sz w:val="16"/>
                          </w:rPr>
                          <w:t xml:space="preserve"> </w:t>
                        </w:r>
                        <w:r>
                          <w:rPr>
                            <w:sz w:val="16"/>
                          </w:rPr>
                          <w:t>Hill</w:t>
                        </w:r>
                      </w:p>
                    </w:tc>
                  </w:tr>
                  <w:tr w:rsidR="00F22F94">
                    <w:trPr>
                      <w:trHeight w:val="377"/>
                    </w:trPr>
                    <w:tc>
                      <w:tcPr>
                        <w:tcW w:w="1984" w:type="dxa"/>
                        <w:tcBorders>
                          <w:left w:val="nil"/>
                        </w:tcBorders>
                        <w:shd w:val="clear" w:color="auto" w:fill="C9C8C9"/>
                      </w:tcPr>
                      <w:p w:rsidR="00F22F94" w:rsidRDefault="00F22F94">
                        <w:pPr>
                          <w:pStyle w:val="TableParagraph"/>
                          <w:ind w:left="114"/>
                          <w:rPr>
                            <w:sz w:val="16"/>
                          </w:rPr>
                        </w:pPr>
                        <w:r>
                          <w:rPr>
                            <w:sz w:val="16"/>
                          </w:rPr>
                          <w:t>Central</w:t>
                        </w:r>
                        <w:r>
                          <w:rPr>
                            <w:spacing w:val="-1"/>
                            <w:sz w:val="16"/>
                          </w:rPr>
                          <w:t xml:space="preserve"> </w:t>
                        </w:r>
                        <w:r>
                          <w:rPr>
                            <w:spacing w:val="-2"/>
                            <w:w w:val="105"/>
                            <w:sz w:val="16"/>
                          </w:rPr>
                          <w:t>Coast</w:t>
                        </w:r>
                      </w:p>
                    </w:tc>
                    <w:tc>
                      <w:tcPr>
                        <w:tcW w:w="2721" w:type="dxa"/>
                        <w:shd w:val="clear" w:color="auto" w:fill="E1E0E1"/>
                      </w:tcPr>
                      <w:p w:rsidR="00F22F94" w:rsidRDefault="00F22F94">
                        <w:pPr>
                          <w:pStyle w:val="TableParagraph"/>
                          <w:spacing w:before="57"/>
                          <w:ind w:left="114"/>
                          <w:rPr>
                            <w:rFonts w:ascii="Tahoma"/>
                            <w:sz w:val="16"/>
                          </w:rPr>
                        </w:pPr>
                        <w:r>
                          <w:rPr>
                            <w:rFonts w:ascii="Tahoma"/>
                            <w:spacing w:val="-5"/>
                            <w:sz w:val="16"/>
                          </w:rPr>
                          <w:t>8%</w:t>
                        </w:r>
                      </w:p>
                    </w:tc>
                    <w:tc>
                      <w:tcPr>
                        <w:tcW w:w="1701" w:type="dxa"/>
                        <w:shd w:val="clear" w:color="auto" w:fill="E1E0E1"/>
                      </w:tcPr>
                      <w:p w:rsidR="00F22F94" w:rsidRDefault="00F22F94">
                        <w:pPr>
                          <w:pStyle w:val="TableParagraph"/>
                          <w:spacing w:before="57"/>
                          <w:ind w:left="114"/>
                          <w:rPr>
                            <w:rFonts w:ascii="Tahoma"/>
                            <w:sz w:val="16"/>
                          </w:rPr>
                        </w:pPr>
                        <w:r>
                          <w:rPr>
                            <w:rFonts w:ascii="Tahoma"/>
                            <w:spacing w:val="-5"/>
                            <w:sz w:val="16"/>
                          </w:rPr>
                          <w:t>2%</w:t>
                        </w:r>
                      </w:p>
                    </w:tc>
                    <w:tc>
                      <w:tcPr>
                        <w:tcW w:w="3401" w:type="dxa"/>
                        <w:shd w:val="clear" w:color="auto" w:fill="E1E0E1"/>
                      </w:tcPr>
                      <w:p w:rsidR="00F22F94" w:rsidRDefault="00F22F94">
                        <w:pPr>
                          <w:pStyle w:val="TableParagraph"/>
                          <w:ind w:left="114"/>
                          <w:rPr>
                            <w:sz w:val="16"/>
                          </w:rPr>
                        </w:pPr>
                        <w:r>
                          <w:rPr>
                            <w:w w:val="95"/>
                            <w:sz w:val="16"/>
                          </w:rPr>
                          <w:t>Wyong,</w:t>
                        </w:r>
                        <w:r>
                          <w:rPr>
                            <w:spacing w:val="-1"/>
                            <w:sz w:val="16"/>
                          </w:rPr>
                          <w:t xml:space="preserve"> </w:t>
                        </w:r>
                        <w:r>
                          <w:rPr>
                            <w:w w:val="95"/>
                            <w:sz w:val="16"/>
                          </w:rPr>
                          <w:t>Lake</w:t>
                        </w:r>
                        <w:r>
                          <w:rPr>
                            <w:sz w:val="16"/>
                          </w:rPr>
                          <w:t xml:space="preserve"> </w:t>
                        </w:r>
                        <w:r>
                          <w:rPr>
                            <w:spacing w:val="-2"/>
                            <w:w w:val="95"/>
                            <w:sz w:val="16"/>
                          </w:rPr>
                          <w:t>Macquarie</w:t>
                        </w:r>
                      </w:p>
                    </w:tc>
                  </w:tr>
                </w:tbl>
                <w:p w:rsidR="00F22F94" w:rsidRDefault="00F22F94">
                  <w:pPr>
                    <w:pStyle w:val="BodyText"/>
                  </w:pPr>
                </w:p>
              </w:txbxContent>
            </v:textbox>
            <w10:wrap anchorx="page"/>
          </v:shape>
        </w:pict>
      </w:r>
      <w:r w:rsidR="00F22F94">
        <w:rPr>
          <w:w w:val="95"/>
        </w:rPr>
        <w:t>Sydney’s</w:t>
      </w:r>
      <w:r w:rsidR="00F22F94">
        <w:rPr>
          <w:spacing w:val="-1"/>
          <w:w w:val="95"/>
        </w:rPr>
        <w:t xml:space="preserve"> </w:t>
      </w:r>
      <w:r w:rsidR="00F22F94">
        <w:rPr>
          <w:w w:val="95"/>
        </w:rPr>
        <w:t>education</w:t>
      </w:r>
      <w:r w:rsidR="00F22F94">
        <w:rPr>
          <w:spacing w:val="-1"/>
          <w:w w:val="95"/>
        </w:rPr>
        <w:t xml:space="preserve"> </w:t>
      </w:r>
      <w:r w:rsidR="00F22F94">
        <w:rPr>
          <w:w w:val="95"/>
        </w:rPr>
        <w:t>infrastructure</w:t>
      </w:r>
      <w:r w:rsidR="00F22F94">
        <w:rPr>
          <w:spacing w:val="-1"/>
          <w:w w:val="95"/>
        </w:rPr>
        <w:t xml:space="preserve"> </w:t>
      </w:r>
      <w:r w:rsidR="00F22F94">
        <w:rPr>
          <w:w w:val="95"/>
        </w:rPr>
        <w:t>needs</w:t>
      </w:r>
      <w:r w:rsidR="00F22F94">
        <w:rPr>
          <w:spacing w:val="-1"/>
          <w:w w:val="95"/>
        </w:rPr>
        <w:t xml:space="preserve"> </w:t>
      </w:r>
      <w:r w:rsidR="00F22F94">
        <w:rPr>
          <w:w w:val="95"/>
        </w:rPr>
        <w:t>are</w:t>
      </w:r>
      <w:r w:rsidR="00F22F94">
        <w:rPr>
          <w:spacing w:val="-1"/>
          <w:w w:val="95"/>
        </w:rPr>
        <w:t xml:space="preserve"> </w:t>
      </w:r>
      <w:r w:rsidR="00F22F94">
        <w:rPr>
          <w:w w:val="95"/>
        </w:rPr>
        <w:t xml:space="preserve">discussed </w:t>
      </w:r>
      <w:r w:rsidR="00F22F94">
        <w:t>in</w:t>
      </w:r>
      <w:r w:rsidR="00F22F94">
        <w:rPr>
          <w:spacing w:val="-2"/>
        </w:rPr>
        <w:t xml:space="preserve"> </w:t>
      </w:r>
      <w:r w:rsidR="00F22F94">
        <w:t>more</w:t>
      </w:r>
      <w:r w:rsidR="00F22F94">
        <w:rPr>
          <w:spacing w:val="-2"/>
        </w:rPr>
        <w:t xml:space="preserve"> </w:t>
      </w:r>
      <w:r w:rsidR="00F22F94">
        <w:t>detail</w:t>
      </w:r>
      <w:r w:rsidR="00F22F94">
        <w:rPr>
          <w:spacing w:val="-2"/>
        </w:rPr>
        <w:t xml:space="preserve"> </w:t>
      </w:r>
      <w:r w:rsidR="00F22F94">
        <w:t>in</w:t>
      </w:r>
      <w:r w:rsidR="00F22F94">
        <w:rPr>
          <w:spacing w:val="-2"/>
        </w:rPr>
        <w:t xml:space="preserve"> </w:t>
      </w:r>
      <w:r w:rsidR="00F22F94">
        <w:t>Section</w:t>
      </w:r>
      <w:r w:rsidR="00F22F94">
        <w:rPr>
          <w:spacing w:val="-2"/>
        </w:rPr>
        <w:t xml:space="preserve"> </w:t>
      </w:r>
      <w:r w:rsidR="00F22F94">
        <w:t>14.</w:t>
      </w:r>
    </w:p>
    <w:p w:rsidR="002C1123" w:rsidRDefault="00F22F94">
      <w:pPr>
        <w:pStyle w:val="Heading6"/>
        <w:numPr>
          <w:ilvl w:val="2"/>
          <w:numId w:val="106"/>
        </w:numPr>
        <w:tabs>
          <w:tab w:val="left" w:pos="989"/>
        </w:tabs>
        <w:spacing w:before="144"/>
        <w:ind w:left="988" w:hanging="487"/>
        <w:jc w:val="left"/>
      </w:pPr>
      <w:r>
        <w:rPr>
          <w:color w:val="EC008C"/>
          <w:spacing w:val="-2"/>
        </w:rPr>
        <w:t>Protecting</w:t>
      </w:r>
      <w:r>
        <w:rPr>
          <w:color w:val="EC008C"/>
          <w:spacing w:val="-9"/>
        </w:rPr>
        <w:t xml:space="preserve"> </w:t>
      </w:r>
      <w:r>
        <w:rPr>
          <w:color w:val="EC008C"/>
          <w:spacing w:val="-2"/>
        </w:rPr>
        <w:t>People</w:t>
      </w:r>
      <w:r>
        <w:rPr>
          <w:color w:val="EC008C"/>
          <w:spacing w:val="-8"/>
        </w:rPr>
        <w:t xml:space="preserve"> </w:t>
      </w:r>
      <w:r>
        <w:rPr>
          <w:color w:val="EC008C"/>
          <w:spacing w:val="-2"/>
        </w:rPr>
        <w:t>and</w:t>
      </w:r>
      <w:r>
        <w:rPr>
          <w:color w:val="EC008C"/>
          <w:spacing w:val="-8"/>
        </w:rPr>
        <w:t xml:space="preserve"> </w:t>
      </w:r>
      <w:r>
        <w:rPr>
          <w:color w:val="EC008C"/>
          <w:spacing w:val="-2"/>
        </w:rPr>
        <w:t>the</w:t>
      </w:r>
      <w:r>
        <w:rPr>
          <w:color w:val="EC008C"/>
          <w:spacing w:val="-8"/>
        </w:rPr>
        <w:t xml:space="preserve"> </w:t>
      </w:r>
      <w:r>
        <w:rPr>
          <w:color w:val="EC008C"/>
          <w:spacing w:val="-2"/>
        </w:rPr>
        <w:t>Economy</w:t>
      </w:r>
    </w:p>
    <w:p w:rsidR="002C1123" w:rsidRDefault="00F22F94">
      <w:pPr>
        <w:pStyle w:val="BodyText"/>
        <w:spacing w:before="95" w:line="249" w:lineRule="auto"/>
        <w:ind w:left="502" w:right="644"/>
      </w:pPr>
      <w:r>
        <w:t>The</w:t>
      </w:r>
      <w:r>
        <w:rPr>
          <w:spacing w:val="-11"/>
        </w:rPr>
        <w:t xml:space="preserve"> </w:t>
      </w:r>
      <w:r>
        <w:t>recent</w:t>
      </w:r>
      <w:r>
        <w:rPr>
          <w:spacing w:val="-11"/>
        </w:rPr>
        <w:t xml:space="preserve"> </w:t>
      </w:r>
      <w:r>
        <w:t>experience</w:t>
      </w:r>
      <w:r>
        <w:rPr>
          <w:spacing w:val="-11"/>
        </w:rPr>
        <w:t xml:space="preserve"> </w:t>
      </w:r>
      <w:r>
        <w:t>in</w:t>
      </w:r>
      <w:r>
        <w:rPr>
          <w:spacing w:val="-11"/>
        </w:rPr>
        <w:t xml:space="preserve"> </w:t>
      </w:r>
      <w:r>
        <w:t>Queensland</w:t>
      </w:r>
      <w:r>
        <w:rPr>
          <w:spacing w:val="-11"/>
        </w:rPr>
        <w:t xml:space="preserve"> </w:t>
      </w:r>
      <w:r>
        <w:t>with</w:t>
      </w:r>
      <w:r>
        <w:rPr>
          <w:spacing w:val="-11"/>
        </w:rPr>
        <w:t xml:space="preserve"> </w:t>
      </w:r>
      <w:r>
        <w:t>the controversy</w:t>
      </w:r>
      <w:r>
        <w:rPr>
          <w:spacing w:val="-14"/>
        </w:rPr>
        <w:t xml:space="preserve"> </w:t>
      </w:r>
      <w:r>
        <w:t>over</w:t>
      </w:r>
      <w:r>
        <w:rPr>
          <w:spacing w:val="-14"/>
        </w:rPr>
        <w:t xml:space="preserve"> </w:t>
      </w:r>
      <w:r>
        <w:t>operating</w:t>
      </w:r>
      <w:r>
        <w:rPr>
          <w:spacing w:val="-14"/>
        </w:rPr>
        <w:t xml:space="preserve"> </w:t>
      </w:r>
      <w:r>
        <w:t>rules</w:t>
      </w:r>
      <w:r>
        <w:rPr>
          <w:spacing w:val="-14"/>
        </w:rPr>
        <w:t xml:space="preserve"> </w:t>
      </w:r>
      <w:r>
        <w:t>for</w:t>
      </w:r>
      <w:r>
        <w:rPr>
          <w:spacing w:val="-14"/>
        </w:rPr>
        <w:t xml:space="preserve"> </w:t>
      </w:r>
      <w:r>
        <w:t>Wivenhoe</w:t>
      </w:r>
      <w:r>
        <w:rPr>
          <w:spacing w:val="-14"/>
        </w:rPr>
        <w:t xml:space="preserve"> </w:t>
      </w:r>
      <w:r>
        <w:t xml:space="preserve">Dam </w:t>
      </w:r>
      <w:r>
        <w:rPr>
          <w:w w:val="95"/>
        </w:rPr>
        <w:t>during</w:t>
      </w:r>
      <w:r>
        <w:rPr>
          <w:spacing w:val="-10"/>
          <w:w w:val="95"/>
        </w:rPr>
        <w:t xml:space="preserve"> </w:t>
      </w:r>
      <w:r>
        <w:rPr>
          <w:w w:val="95"/>
        </w:rPr>
        <w:t>the</w:t>
      </w:r>
      <w:r>
        <w:rPr>
          <w:spacing w:val="-10"/>
          <w:w w:val="95"/>
        </w:rPr>
        <w:t xml:space="preserve"> </w:t>
      </w:r>
      <w:r>
        <w:rPr>
          <w:w w:val="95"/>
        </w:rPr>
        <w:t>2011</w:t>
      </w:r>
      <w:r>
        <w:rPr>
          <w:spacing w:val="-10"/>
          <w:w w:val="95"/>
        </w:rPr>
        <w:t xml:space="preserve"> </w:t>
      </w:r>
      <w:r>
        <w:rPr>
          <w:w w:val="95"/>
        </w:rPr>
        <w:t>floods,</w:t>
      </w:r>
      <w:r>
        <w:rPr>
          <w:spacing w:val="-10"/>
          <w:w w:val="95"/>
        </w:rPr>
        <w:t xml:space="preserve"> </w:t>
      </w:r>
      <w:r>
        <w:rPr>
          <w:w w:val="95"/>
        </w:rPr>
        <w:t>raises</w:t>
      </w:r>
      <w:r>
        <w:rPr>
          <w:spacing w:val="-10"/>
          <w:w w:val="95"/>
        </w:rPr>
        <w:t xml:space="preserve"> </w:t>
      </w:r>
      <w:r>
        <w:rPr>
          <w:w w:val="95"/>
        </w:rPr>
        <w:t>issues</w:t>
      </w:r>
      <w:r>
        <w:rPr>
          <w:spacing w:val="-10"/>
          <w:w w:val="95"/>
        </w:rPr>
        <w:t xml:space="preserve"> </w:t>
      </w:r>
      <w:r>
        <w:rPr>
          <w:w w:val="95"/>
        </w:rPr>
        <w:t>about</w:t>
      </w:r>
      <w:r>
        <w:rPr>
          <w:spacing w:val="-10"/>
          <w:w w:val="95"/>
        </w:rPr>
        <w:t xml:space="preserve"> </w:t>
      </w:r>
      <w:r>
        <w:rPr>
          <w:w w:val="95"/>
        </w:rPr>
        <w:t>the</w:t>
      </w:r>
      <w:r>
        <w:rPr>
          <w:spacing w:val="-10"/>
          <w:w w:val="95"/>
        </w:rPr>
        <w:t xml:space="preserve"> </w:t>
      </w:r>
      <w:r>
        <w:rPr>
          <w:w w:val="95"/>
        </w:rPr>
        <w:t>level</w:t>
      </w:r>
      <w:r>
        <w:rPr>
          <w:spacing w:val="-10"/>
          <w:w w:val="95"/>
        </w:rPr>
        <w:t xml:space="preserve"> </w:t>
      </w:r>
      <w:r>
        <w:rPr>
          <w:w w:val="95"/>
        </w:rPr>
        <w:t xml:space="preserve">of flood mitigation capability provided by major storages </w:t>
      </w:r>
      <w:r>
        <w:t>such</w:t>
      </w:r>
      <w:r>
        <w:rPr>
          <w:spacing w:val="-6"/>
        </w:rPr>
        <w:t xml:space="preserve"> </w:t>
      </w:r>
      <w:r>
        <w:t>as</w:t>
      </w:r>
      <w:r>
        <w:rPr>
          <w:spacing w:val="-6"/>
        </w:rPr>
        <w:t xml:space="preserve"> </w:t>
      </w:r>
      <w:r>
        <w:t>Warragamba</w:t>
      </w:r>
      <w:r>
        <w:rPr>
          <w:spacing w:val="-6"/>
        </w:rPr>
        <w:t xml:space="preserve"> </w:t>
      </w:r>
      <w:r>
        <w:t>Dam</w:t>
      </w:r>
      <w:r>
        <w:rPr>
          <w:spacing w:val="-7"/>
        </w:rPr>
        <w:t xml:space="preserve"> </w:t>
      </w:r>
      <w:r>
        <w:t>in</w:t>
      </w:r>
      <w:r>
        <w:rPr>
          <w:spacing w:val="-6"/>
        </w:rPr>
        <w:t xml:space="preserve"> </w:t>
      </w:r>
      <w:r>
        <w:t>NSW.</w:t>
      </w:r>
    </w:p>
    <w:p w:rsidR="002C1123" w:rsidRDefault="002C1123">
      <w:pPr>
        <w:spacing w:line="249" w:lineRule="auto"/>
        <w:sectPr w:rsidR="002C1123">
          <w:type w:val="continuous"/>
          <w:pgSz w:w="16840" w:h="11910" w:orient="landscape"/>
          <w:pgMar w:top="560" w:right="280" w:bottom="280" w:left="500" w:header="0" w:footer="470" w:gutter="0"/>
          <w:cols w:num="5" w:space="720" w:equalWidth="0">
            <w:col w:w="1785" w:space="199"/>
            <w:col w:w="2342" w:space="380"/>
            <w:col w:w="1343" w:space="357"/>
            <w:col w:w="1494" w:space="2144"/>
            <w:col w:w="6016"/>
          </w:cols>
        </w:sectPr>
      </w:pPr>
    </w:p>
    <w:p w:rsidR="002C1123" w:rsidRDefault="002C1123">
      <w:pPr>
        <w:pStyle w:val="BodyText"/>
        <w:spacing w:before="10"/>
        <w:rPr>
          <w:sz w:val="24"/>
        </w:rPr>
      </w:pPr>
    </w:p>
    <w:p w:rsidR="002C1123" w:rsidRDefault="00F22F94">
      <w:pPr>
        <w:spacing w:before="104"/>
        <w:ind w:left="512"/>
        <w:rPr>
          <w:sz w:val="14"/>
        </w:rPr>
      </w:pPr>
      <w:r>
        <w:rPr>
          <w:w w:val="95"/>
          <w:sz w:val="14"/>
        </w:rPr>
        <w:t>Source:</w:t>
      </w:r>
      <w:r>
        <w:rPr>
          <w:spacing w:val="15"/>
          <w:sz w:val="14"/>
        </w:rPr>
        <w:t xml:space="preserve"> </w:t>
      </w:r>
      <w:r>
        <w:rPr>
          <w:w w:val="95"/>
          <w:sz w:val="14"/>
        </w:rPr>
        <w:t>NSW</w:t>
      </w:r>
      <w:r>
        <w:rPr>
          <w:spacing w:val="16"/>
          <w:sz w:val="14"/>
        </w:rPr>
        <w:t xml:space="preserve"> </w:t>
      </w:r>
      <w:r>
        <w:rPr>
          <w:w w:val="95"/>
          <w:sz w:val="14"/>
        </w:rPr>
        <w:t>Department</w:t>
      </w:r>
      <w:r>
        <w:rPr>
          <w:spacing w:val="15"/>
          <w:sz w:val="14"/>
        </w:rPr>
        <w:t xml:space="preserve"> </w:t>
      </w:r>
      <w:r>
        <w:rPr>
          <w:w w:val="95"/>
          <w:sz w:val="14"/>
        </w:rPr>
        <w:t>of</w:t>
      </w:r>
      <w:r>
        <w:rPr>
          <w:spacing w:val="16"/>
          <w:sz w:val="14"/>
        </w:rPr>
        <w:t xml:space="preserve"> </w:t>
      </w:r>
      <w:r>
        <w:rPr>
          <w:w w:val="95"/>
          <w:sz w:val="14"/>
        </w:rPr>
        <w:t>Education</w:t>
      </w:r>
      <w:r>
        <w:rPr>
          <w:spacing w:val="16"/>
          <w:sz w:val="14"/>
        </w:rPr>
        <w:t xml:space="preserve"> </w:t>
      </w:r>
      <w:r>
        <w:rPr>
          <w:w w:val="95"/>
          <w:sz w:val="14"/>
        </w:rPr>
        <w:t>and</w:t>
      </w:r>
      <w:r>
        <w:rPr>
          <w:spacing w:val="15"/>
          <w:sz w:val="14"/>
        </w:rPr>
        <w:t xml:space="preserve"> </w:t>
      </w:r>
      <w:r>
        <w:rPr>
          <w:w w:val="95"/>
          <w:sz w:val="14"/>
        </w:rPr>
        <w:t>Communities.</w:t>
      </w:r>
      <w:r>
        <w:rPr>
          <w:spacing w:val="16"/>
          <w:sz w:val="14"/>
        </w:rPr>
        <w:t xml:space="preserve"> </w:t>
      </w:r>
      <w:r>
        <w:rPr>
          <w:w w:val="95"/>
          <w:sz w:val="14"/>
        </w:rPr>
        <w:t>Note:</w:t>
      </w:r>
      <w:r>
        <w:rPr>
          <w:spacing w:val="15"/>
          <w:sz w:val="14"/>
        </w:rPr>
        <w:t xml:space="preserve"> </w:t>
      </w:r>
      <w:r>
        <w:rPr>
          <w:w w:val="95"/>
          <w:sz w:val="14"/>
        </w:rPr>
        <w:t>Boundary</w:t>
      </w:r>
      <w:r>
        <w:rPr>
          <w:spacing w:val="16"/>
          <w:sz w:val="14"/>
        </w:rPr>
        <w:t xml:space="preserve"> </w:t>
      </w:r>
      <w:r>
        <w:rPr>
          <w:w w:val="95"/>
          <w:sz w:val="14"/>
        </w:rPr>
        <w:t>of</w:t>
      </w:r>
      <w:r>
        <w:rPr>
          <w:spacing w:val="16"/>
          <w:sz w:val="14"/>
        </w:rPr>
        <w:t xml:space="preserve"> </w:t>
      </w:r>
      <w:r>
        <w:rPr>
          <w:w w:val="95"/>
          <w:sz w:val="14"/>
        </w:rPr>
        <w:t>South</w:t>
      </w:r>
      <w:r>
        <w:rPr>
          <w:spacing w:val="15"/>
          <w:sz w:val="14"/>
        </w:rPr>
        <w:t xml:space="preserve"> </w:t>
      </w:r>
      <w:r>
        <w:rPr>
          <w:w w:val="95"/>
          <w:sz w:val="14"/>
        </w:rPr>
        <w:t>and</w:t>
      </w:r>
      <w:r>
        <w:rPr>
          <w:spacing w:val="16"/>
          <w:sz w:val="14"/>
        </w:rPr>
        <w:t xml:space="preserve"> </w:t>
      </w:r>
      <w:r>
        <w:rPr>
          <w:w w:val="95"/>
          <w:sz w:val="14"/>
        </w:rPr>
        <w:t>South</w:t>
      </w:r>
      <w:r>
        <w:rPr>
          <w:spacing w:val="15"/>
          <w:sz w:val="14"/>
        </w:rPr>
        <w:t xml:space="preserve"> </w:t>
      </w:r>
      <w:r>
        <w:rPr>
          <w:w w:val="95"/>
          <w:sz w:val="14"/>
        </w:rPr>
        <w:t>West</w:t>
      </w:r>
      <w:r>
        <w:rPr>
          <w:spacing w:val="16"/>
          <w:sz w:val="14"/>
        </w:rPr>
        <w:t xml:space="preserve"> </w:t>
      </w:r>
      <w:r>
        <w:rPr>
          <w:spacing w:val="-2"/>
          <w:w w:val="95"/>
          <w:sz w:val="14"/>
        </w:rPr>
        <w:t>Combine.</w:t>
      </w:r>
    </w:p>
    <w:p w:rsidR="002C1123" w:rsidRDefault="002C1123">
      <w:pPr>
        <w:pStyle w:val="BodyText"/>
      </w:pPr>
    </w:p>
    <w:p w:rsidR="002C1123" w:rsidRDefault="002060EF">
      <w:pPr>
        <w:pStyle w:val="BodyText"/>
        <w:rPr>
          <w:sz w:val="26"/>
        </w:rPr>
      </w:pPr>
      <w:r>
        <w:pict>
          <v:shape id="docshape813" o:spid="_x0000_s4515" style="position:absolute;margin-left:552.3pt;margin-top:16.2pt;width:1in;height:.1pt;z-index:-251402240;mso-wrap-distance-left:0;mso-wrap-distance-right:0;mso-position-horizontal-relative:page" coordorigin="11046,324" coordsize="1440,0" path="m11046,324r1440,e" filled="f" strokecolor="#9c9c9d" strokeweight=".5pt">
            <v:path arrowok="t"/>
            <w10:wrap type="topAndBottom" anchorx="page"/>
          </v:shape>
        </w:pict>
      </w:r>
    </w:p>
    <w:p w:rsidR="002C1123" w:rsidRDefault="00F22F94">
      <w:pPr>
        <w:pStyle w:val="ListParagraph"/>
        <w:numPr>
          <w:ilvl w:val="0"/>
          <w:numId w:val="114"/>
        </w:numPr>
        <w:tabs>
          <w:tab w:val="left" w:pos="10745"/>
        </w:tabs>
        <w:spacing w:before="23"/>
        <w:ind w:left="10744" w:hanging="200"/>
        <w:jc w:val="left"/>
        <w:rPr>
          <w:sz w:val="14"/>
        </w:rPr>
      </w:pPr>
      <w:r>
        <w:rPr>
          <w:w w:val="95"/>
          <w:sz w:val="14"/>
        </w:rPr>
        <w:t>NSW</w:t>
      </w:r>
      <w:r>
        <w:rPr>
          <w:spacing w:val="2"/>
          <w:sz w:val="14"/>
        </w:rPr>
        <w:t xml:space="preserve"> </w:t>
      </w:r>
      <w:r>
        <w:rPr>
          <w:w w:val="95"/>
          <w:sz w:val="14"/>
        </w:rPr>
        <w:t>Department</w:t>
      </w:r>
      <w:r>
        <w:rPr>
          <w:spacing w:val="2"/>
          <w:sz w:val="14"/>
        </w:rPr>
        <w:t xml:space="preserve"> </w:t>
      </w:r>
      <w:r>
        <w:rPr>
          <w:w w:val="95"/>
          <w:sz w:val="14"/>
        </w:rPr>
        <w:t>of</w:t>
      </w:r>
      <w:r>
        <w:rPr>
          <w:spacing w:val="3"/>
          <w:sz w:val="14"/>
        </w:rPr>
        <w:t xml:space="preserve"> </w:t>
      </w:r>
      <w:r>
        <w:rPr>
          <w:w w:val="95"/>
          <w:sz w:val="14"/>
        </w:rPr>
        <w:t>Education</w:t>
      </w:r>
      <w:r>
        <w:rPr>
          <w:spacing w:val="2"/>
          <w:sz w:val="14"/>
        </w:rPr>
        <w:t xml:space="preserve"> </w:t>
      </w:r>
      <w:r>
        <w:rPr>
          <w:w w:val="95"/>
          <w:sz w:val="14"/>
        </w:rPr>
        <w:t>analysis,</w:t>
      </w:r>
      <w:r>
        <w:rPr>
          <w:spacing w:val="3"/>
          <w:sz w:val="14"/>
        </w:rPr>
        <w:t xml:space="preserve"> </w:t>
      </w:r>
      <w:r>
        <w:rPr>
          <w:spacing w:val="-4"/>
          <w:w w:val="95"/>
          <w:sz w:val="14"/>
        </w:rPr>
        <w:t>2012.</w:t>
      </w:r>
    </w:p>
    <w:p w:rsidR="002C1123" w:rsidRDefault="002C1123">
      <w:pPr>
        <w:rPr>
          <w:sz w:val="14"/>
        </w:rPr>
        <w:sectPr w:rsidR="002C1123">
          <w:type w:val="continuous"/>
          <w:pgSz w:w="16840" w:h="11910" w:orient="landscape"/>
          <w:pgMar w:top="560" w:right="280" w:bottom="280" w:left="500" w:header="0" w:footer="470"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060EF">
      <w:pPr>
        <w:pStyle w:val="BodyText"/>
        <w:spacing w:before="106" w:line="249" w:lineRule="auto"/>
        <w:ind w:left="10545" w:right="709"/>
      </w:pPr>
      <w:r>
        <w:pict>
          <v:group id="docshapegroup814" o:spid="_x0000_s4491" style="position:absolute;left:0;text-align:left;margin-left:49.35pt;margin-top:6.55pt;width:491.6pt;height:313.05pt;z-index:251282432;mso-position-horizontal-relative:page" coordorigin="987,131" coordsize="9832,6261">
            <v:shape id="docshape815" o:spid="_x0000_s4514" type="#_x0000_t75" style="position:absolute;left:987;top:130;width:9832;height:6261">
              <v:imagedata r:id="rId110" o:title=""/>
            </v:shape>
            <v:shape id="docshape816" o:spid="_x0000_s4513" type="#_x0000_t202" style="position:absolute;left:1083;top:250;width:3284;height:215" filled="f" stroked="f">
              <v:textbox inset="0,0,0,0">
                <w:txbxContent>
                  <w:p w:rsidR="00F22F94" w:rsidRDefault="00F22F94">
                    <w:pPr>
                      <w:spacing w:before="6"/>
                      <w:rPr>
                        <w:b/>
                        <w:sz w:val="18"/>
                      </w:rPr>
                    </w:pPr>
                    <w:r>
                      <w:rPr>
                        <w:b/>
                        <w:sz w:val="18"/>
                      </w:rPr>
                      <w:t>Figure</w:t>
                    </w:r>
                    <w:r>
                      <w:rPr>
                        <w:b/>
                        <w:spacing w:val="-2"/>
                        <w:sz w:val="18"/>
                      </w:rPr>
                      <w:t xml:space="preserve"> </w:t>
                    </w:r>
                    <w:r>
                      <w:rPr>
                        <w:b/>
                        <w:sz w:val="18"/>
                      </w:rPr>
                      <w:t>4.5</w:t>
                    </w:r>
                    <w:r>
                      <w:rPr>
                        <w:b/>
                        <w:spacing w:val="47"/>
                        <w:sz w:val="18"/>
                      </w:rPr>
                      <w:t xml:space="preserve"> </w:t>
                    </w:r>
                    <w:r>
                      <w:rPr>
                        <w:b/>
                        <w:sz w:val="18"/>
                      </w:rPr>
                      <w:t>Hawkesbury</w:t>
                    </w:r>
                    <w:r>
                      <w:rPr>
                        <w:b/>
                        <w:spacing w:val="-2"/>
                        <w:sz w:val="18"/>
                      </w:rPr>
                      <w:t xml:space="preserve"> </w:t>
                    </w:r>
                    <w:r>
                      <w:rPr>
                        <w:b/>
                        <w:sz w:val="18"/>
                      </w:rPr>
                      <w:t>Nepean</w:t>
                    </w:r>
                    <w:r>
                      <w:rPr>
                        <w:b/>
                        <w:spacing w:val="-1"/>
                        <w:sz w:val="18"/>
                      </w:rPr>
                      <w:t xml:space="preserve"> </w:t>
                    </w:r>
                    <w:r>
                      <w:rPr>
                        <w:b/>
                        <w:spacing w:val="-2"/>
                        <w:sz w:val="18"/>
                      </w:rPr>
                      <w:t>Valley</w:t>
                    </w:r>
                  </w:p>
                </w:txbxContent>
              </v:textbox>
            </v:shape>
            <v:shape id="docshape817" o:spid="_x0000_s4512" type="#_x0000_t202" style="position:absolute;left:5643;top:564;width:1080;height:204" filled="f" stroked="f">
              <v:textbox inset="0,0,0,0">
                <w:txbxContent>
                  <w:p w:rsidR="00F22F94" w:rsidRDefault="00F22F94">
                    <w:pPr>
                      <w:spacing w:line="204" w:lineRule="exact"/>
                      <w:rPr>
                        <w:sz w:val="18"/>
                      </w:rPr>
                    </w:pPr>
                    <w:r>
                      <w:rPr>
                        <w:w w:val="75"/>
                        <w:sz w:val="18"/>
                      </w:rPr>
                      <w:t>Macdonald</w:t>
                    </w:r>
                    <w:r>
                      <w:rPr>
                        <w:spacing w:val="28"/>
                        <w:sz w:val="18"/>
                      </w:rPr>
                      <w:t xml:space="preserve"> </w:t>
                    </w:r>
                    <w:r>
                      <w:rPr>
                        <w:spacing w:val="-2"/>
                        <w:w w:val="80"/>
                        <w:sz w:val="18"/>
                      </w:rPr>
                      <w:t>River</w:t>
                    </w:r>
                  </w:p>
                </w:txbxContent>
              </v:textbox>
            </v:shape>
            <v:shape id="docshape818" o:spid="_x0000_s4511" type="#_x0000_t202" style="position:absolute;left:4573;top:831;width:664;height:204" filled="f" stroked="f">
              <v:textbox inset="0,0,0,0">
                <w:txbxContent>
                  <w:p w:rsidR="00F22F94" w:rsidRDefault="00F22F94">
                    <w:pPr>
                      <w:spacing w:line="204" w:lineRule="exact"/>
                      <w:rPr>
                        <w:sz w:val="18"/>
                      </w:rPr>
                    </w:pPr>
                    <w:r>
                      <w:rPr>
                        <w:w w:val="75"/>
                        <w:sz w:val="18"/>
                      </w:rPr>
                      <w:t>Webbs</w:t>
                    </w:r>
                    <w:r>
                      <w:rPr>
                        <w:spacing w:val="2"/>
                        <w:sz w:val="18"/>
                      </w:rPr>
                      <w:t xml:space="preserve"> </w:t>
                    </w:r>
                    <w:r>
                      <w:rPr>
                        <w:spacing w:val="-5"/>
                        <w:w w:val="85"/>
                        <w:sz w:val="18"/>
                      </w:rPr>
                      <w:t>Ck</w:t>
                    </w:r>
                  </w:p>
                </w:txbxContent>
              </v:textbox>
            </v:shape>
            <v:shape id="docshape819" o:spid="_x0000_s4510" type="#_x0000_t202" style="position:absolute;left:3000;top:1057;width:660;height:204" filled="f" stroked="f">
              <v:textbox inset="0,0,0,0">
                <w:txbxContent>
                  <w:p w:rsidR="00F22F94" w:rsidRDefault="00F22F94">
                    <w:pPr>
                      <w:spacing w:line="204" w:lineRule="exact"/>
                      <w:rPr>
                        <w:sz w:val="18"/>
                      </w:rPr>
                    </w:pPr>
                    <w:r>
                      <w:rPr>
                        <w:w w:val="75"/>
                        <w:sz w:val="18"/>
                      </w:rPr>
                      <w:t>Colo</w:t>
                    </w:r>
                    <w:r>
                      <w:rPr>
                        <w:spacing w:val="-7"/>
                        <w:sz w:val="18"/>
                      </w:rPr>
                      <w:t xml:space="preserve"> </w:t>
                    </w:r>
                    <w:r>
                      <w:rPr>
                        <w:spacing w:val="-2"/>
                        <w:w w:val="80"/>
                        <w:sz w:val="18"/>
                      </w:rPr>
                      <w:t>River</w:t>
                    </w:r>
                  </w:p>
                </w:txbxContent>
              </v:textbox>
            </v:shape>
            <v:shape id="docshape820" o:spid="_x0000_s4509" type="#_x0000_t202" style="position:absolute;left:7568;top:1056;width:843;height:206" filled="f" stroked="f">
              <v:textbox inset="0,0,0,0">
                <w:txbxContent>
                  <w:p w:rsidR="00F22F94" w:rsidRDefault="00F22F94">
                    <w:pPr>
                      <w:spacing w:line="206" w:lineRule="exact"/>
                      <w:rPr>
                        <w:sz w:val="18"/>
                      </w:rPr>
                    </w:pPr>
                    <w:r>
                      <w:rPr>
                        <w:color w:val="2E3092"/>
                        <w:w w:val="80"/>
                        <w:sz w:val="18"/>
                      </w:rPr>
                      <w:t>Gosford</w:t>
                    </w:r>
                    <w:r>
                      <w:rPr>
                        <w:color w:val="2E3092"/>
                        <w:spacing w:val="-7"/>
                        <w:sz w:val="18"/>
                      </w:rPr>
                      <w:t xml:space="preserve"> </w:t>
                    </w:r>
                    <w:r>
                      <w:rPr>
                        <w:color w:val="2E3092"/>
                        <w:spacing w:val="-5"/>
                        <w:w w:val="75"/>
                        <w:sz w:val="18"/>
                      </w:rPr>
                      <w:t>LGA</w:t>
                    </w:r>
                  </w:p>
                </w:txbxContent>
              </v:textbox>
            </v:shape>
            <v:shape id="docshape821" o:spid="_x0000_s4508" type="#_x0000_t202" style="position:absolute;left:2282;top:2176;width:1155;height:206" filled="f" stroked="f">
              <v:textbox inset="0,0,0,0">
                <w:txbxContent>
                  <w:p w:rsidR="00F22F94" w:rsidRDefault="00F22F94">
                    <w:pPr>
                      <w:spacing w:line="206" w:lineRule="exact"/>
                      <w:rPr>
                        <w:sz w:val="18"/>
                      </w:rPr>
                    </w:pPr>
                    <w:r>
                      <w:rPr>
                        <w:color w:val="2E3092"/>
                        <w:w w:val="80"/>
                        <w:sz w:val="18"/>
                      </w:rPr>
                      <w:t>Hawkesbury</w:t>
                    </w:r>
                    <w:r>
                      <w:rPr>
                        <w:color w:val="2E3092"/>
                        <w:spacing w:val="15"/>
                        <w:sz w:val="18"/>
                      </w:rPr>
                      <w:t xml:space="preserve"> </w:t>
                    </w:r>
                    <w:r>
                      <w:rPr>
                        <w:color w:val="2E3092"/>
                        <w:spacing w:val="-5"/>
                        <w:w w:val="80"/>
                        <w:sz w:val="18"/>
                      </w:rPr>
                      <w:t>LGA</w:t>
                    </w:r>
                  </w:p>
                </w:txbxContent>
              </v:textbox>
            </v:shape>
            <v:shape id="docshape822" o:spid="_x0000_s4507" type="#_x0000_t202" style="position:absolute;left:5299;top:2105;width:573;height:204" filled="f" stroked="f">
              <v:textbox inset="0,0,0,0">
                <w:txbxContent>
                  <w:p w:rsidR="00F22F94" w:rsidRDefault="00F22F94">
                    <w:pPr>
                      <w:spacing w:line="204" w:lineRule="exact"/>
                      <w:rPr>
                        <w:sz w:val="18"/>
                      </w:rPr>
                    </w:pPr>
                    <w:r>
                      <w:rPr>
                        <w:spacing w:val="-2"/>
                        <w:w w:val="80"/>
                        <w:sz w:val="18"/>
                      </w:rPr>
                      <w:t>Sackville</w:t>
                    </w:r>
                  </w:p>
                </w:txbxContent>
              </v:textbox>
            </v:shape>
            <v:shape id="docshape823" o:spid="_x0000_s4506" type="#_x0000_t202" style="position:absolute;left:3505;top:2431;width:1593;height:524" filled="f" stroked="f">
              <v:textbox inset="0,0,0,0">
                <w:txbxContent>
                  <w:p w:rsidR="00F22F94" w:rsidRDefault="00F22F94">
                    <w:pPr>
                      <w:spacing w:line="205" w:lineRule="exact"/>
                      <w:ind w:left="988"/>
                      <w:rPr>
                        <w:sz w:val="18"/>
                      </w:rPr>
                    </w:pPr>
                    <w:r>
                      <w:rPr>
                        <w:spacing w:val="-2"/>
                        <w:w w:val="75"/>
                        <w:sz w:val="18"/>
                      </w:rPr>
                      <w:t>Ebenezer</w:t>
                    </w:r>
                  </w:p>
                  <w:p w:rsidR="00F22F94" w:rsidRDefault="00F22F94">
                    <w:pPr>
                      <w:spacing w:before="113" w:line="206" w:lineRule="exact"/>
                      <w:rPr>
                        <w:sz w:val="18"/>
                      </w:rPr>
                    </w:pPr>
                    <w:r>
                      <w:rPr>
                        <w:w w:val="75"/>
                        <w:sz w:val="18"/>
                      </w:rPr>
                      <w:t>Hawkesbury</w:t>
                    </w:r>
                    <w:r>
                      <w:rPr>
                        <w:spacing w:val="22"/>
                        <w:sz w:val="18"/>
                      </w:rPr>
                      <w:t xml:space="preserve"> </w:t>
                    </w:r>
                    <w:r>
                      <w:rPr>
                        <w:spacing w:val="-2"/>
                        <w:w w:val="85"/>
                        <w:sz w:val="18"/>
                      </w:rPr>
                      <w:t>River</w:t>
                    </w:r>
                  </w:p>
                </w:txbxContent>
              </v:textbox>
            </v:shape>
            <v:shape id="docshape824" o:spid="_x0000_s4505" type="#_x0000_t202" style="position:absolute;left:1241;top:2924;width:750;height:204" filled="f" stroked="f">
              <v:textbox inset="0,0,0,0">
                <w:txbxContent>
                  <w:p w:rsidR="00F22F94" w:rsidRDefault="00F22F94">
                    <w:pPr>
                      <w:spacing w:line="204" w:lineRule="exact"/>
                      <w:rPr>
                        <w:sz w:val="18"/>
                      </w:rPr>
                    </w:pPr>
                    <w:r>
                      <w:rPr>
                        <w:w w:val="75"/>
                        <w:sz w:val="18"/>
                      </w:rPr>
                      <w:t>Grose</w:t>
                    </w:r>
                    <w:r>
                      <w:rPr>
                        <w:spacing w:val="-7"/>
                        <w:sz w:val="18"/>
                      </w:rPr>
                      <w:t xml:space="preserve"> </w:t>
                    </w:r>
                    <w:r>
                      <w:rPr>
                        <w:spacing w:val="-2"/>
                        <w:w w:val="80"/>
                        <w:sz w:val="18"/>
                      </w:rPr>
                      <w:t>River</w:t>
                    </w:r>
                  </w:p>
                </w:txbxContent>
              </v:textbox>
            </v:shape>
            <v:shape id="docshape825" o:spid="_x0000_s4504" type="#_x0000_t202" style="position:absolute;left:3857;top:3209;width:657;height:204" filled="f" stroked="f">
              <v:textbox inset="0,0,0,0">
                <w:txbxContent>
                  <w:p w:rsidR="00F22F94" w:rsidRDefault="00F22F94">
                    <w:pPr>
                      <w:spacing w:line="204" w:lineRule="exact"/>
                      <w:rPr>
                        <w:sz w:val="18"/>
                      </w:rPr>
                    </w:pPr>
                    <w:r>
                      <w:rPr>
                        <w:spacing w:val="-2"/>
                        <w:w w:val="80"/>
                        <w:sz w:val="18"/>
                      </w:rPr>
                      <w:t>Richmond</w:t>
                    </w:r>
                  </w:p>
                </w:txbxContent>
              </v:textbox>
            </v:shape>
            <v:shape id="docshape826" o:spid="_x0000_s4503" type="#_x0000_t202" style="position:absolute;left:4707;top:3384;width:540;height:204" filled="f" stroked="f">
              <v:textbox inset="0,0,0,0">
                <w:txbxContent>
                  <w:p w:rsidR="00F22F94" w:rsidRDefault="00F22F94">
                    <w:pPr>
                      <w:spacing w:line="204" w:lineRule="exact"/>
                      <w:rPr>
                        <w:sz w:val="18"/>
                      </w:rPr>
                    </w:pPr>
                    <w:r>
                      <w:rPr>
                        <w:spacing w:val="-2"/>
                        <w:w w:val="80"/>
                        <w:sz w:val="18"/>
                      </w:rPr>
                      <w:t>Windsor</w:t>
                    </w:r>
                  </w:p>
                </w:txbxContent>
              </v:textbox>
            </v:shape>
            <v:shape id="docshape827" o:spid="_x0000_s4502" type="#_x0000_t202" style="position:absolute;left:6365;top:3393;width:873;height:206" filled="f" stroked="f">
              <v:textbox inset="0,0,0,0">
                <w:txbxContent>
                  <w:p w:rsidR="00F22F94" w:rsidRDefault="00F22F94">
                    <w:pPr>
                      <w:spacing w:line="206" w:lineRule="exact"/>
                      <w:rPr>
                        <w:sz w:val="18"/>
                      </w:rPr>
                    </w:pPr>
                    <w:r>
                      <w:rPr>
                        <w:color w:val="2E3092"/>
                        <w:w w:val="80"/>
                        <w:sz w:val="18"/>
                      </w:rPr>
                      <w:t>Hornsby</w:t>
                    </w:r>
                    <w:r>
                      <w:rPr>
                        <w:color w:val="2E3092"/>
                        <w:spacing w:val="-7"/>
                        <w:sz w:val="18"/>
                      </w:rPr>
                      <w:t xml:space="preserve"> </w:t>
                    </w:r>
                    <w:r>
                      <w:rPr>
                        <w:color w:val="2E3092"/>
                        <w:spacing w:val="-5"/>
                        <w:w w:val="80"/>
                        <w:sz w:val="18"/>
                      </w:rPr>
                      <w:t>LGA</w:t>
                    </w:r>
                  </w:p>
                </w:txbxContent>
              </v:textbox>
            </v:shape>
            <v:shape id="docshape828" o:spid="_x0000_s4501" type="#_x0000_t202" style="position:absolute;left:3491;top:3766;width:797;height:206" filled="f" stroked="f">
              <v:textbox inset="0,0,0,0">
                <w:txbxContent>
                  <w:p w:rsidR="00F22F94" w:rsidRDefault="00F22F94">
                    <w:pPr>
                      <w:spacing w:line="206" w:lineRule="exact"/>
                      <w:rPr>
                        <w:sz w:val="18"/>
                      </w:rPr>
                    </w:pPr>
                    <w:r>
                      <w:rPr>
                        <w:color w:val="2E3092"/>
                        <w:w w:val="80"/>
                        <w:sz w:val="18"/>
                      </w:rPr>
                      <w:t>Penrith</w:t>
                    </w:r>
                    <w:r>
                      <w:rPr>
                        <w:color w:val="2E3092"/>
                        <w:spacing w:val="1"/>
                        <w:sz w:val="18"/>
                      </w:rPr>
                      <w:t xml:space="preserve"> </w:t>
                    </w:r>
                    <w:r>
                      <w:rPr>
                        <w:color w:val="2E3092"/>
                        <w:spacing w:val="-5"/>
                        <w:w w:val="80"/>
                        <w:sz w:val="18"/>
                      </w:rPr>
                      <w:t>LGA</w:t>
                    </w:r>
                  </w:p>
                </w:txbxContent>
              </v:textbox>
            </v:shape>
            <v:shape id="docshape829" o:spid="_x0000_s4500" type="#_x0000_t202" style="position:absolute;left:5523;top:3943;width:1320;height:206" filled="f" stroked="f">
              <v:textbox inset="0,0,0,0">
                <w:txbxContent>
                  <w:p w:rsidR="00F22F94" w:rsidRDefault="00F22F94">
                    <w:pPr>
                      <w:spacing w:line="206" w:lineRule="exact"/>
                      <w:rPr>
                        <w:sz w:val="18"/>
                      </w:rPr>
                    </w:pPr>
                    <w:r>
                      <w:rPr>
                        <w:color w:val="2E3092"/>
                        <w:w w:val="80"/>
                        <w:sz w:val="18"/>
                      </w:rPr>
                      <w:t>Baulkham</w:t>
                    </w:r>
                    <w:r>
                      <w:rPr>
                        <w:color w:val="2E3092"/>
                        <w:spacing w:val="8"/>
                        <w:sz w:val="18"/>
                      </w:rPr>
                      <w:t xml:space="preserve"> </w:t>
                    </w:r>
                    <w:r>
                      <w:rPr>
                        <w:color w:val="2E3092"/>
                        <w:w w:val="80"/>
                        <w:sz w:val="18"/>
                      </w:rPr>
                      <w:t>Hills</w:t>
                    </w:r>
                    <w:r>
                      <w:rPr>
                        <w:color w:val="2E3092"/>
                        <w:spacing w:val="8"/>
                        <w:sz w:val="18"/>
                      </w:rPr>
                      <w:t xml:space="preserve"> </w:t>
                    </w:r>
                    <w:r>
                      <w:rPr>
                        <w:color w:val="2E3092"/>
                        <w:spacing w:val="-5"/>
                        <w:w w:val="80"/>
                        <w:sz w:val="18"/>
                      </w:rPr>
                      <w:t>LGA</w:t>
                    </w:r>
                  </w:p>
                </w:txbxContent>
              </v:textbox>
            </v:shape>
            <v:shape id="docshape830" o:spid="_x0000_s4499" type="#_x0000_t202" style="position:absolute;left:5174;top:4560;width:707;height:204" filled="f" stroked="f">
              <v:textbox inset="0,0,0,0">
                <w:txbxContent>
                  <w:p w:rsidR="00F22F94" w:rsidRDefault="00F22F94">
                    <w:pPr>
                      <w:spacing w:line="204" w:lineRule="exact"/>
                      <w:rPr>
                        <w:sz w:val="18"/>
                      </w:rPr>
                    </w:pPr>
                    <w:r>
                      <w:rPr>
                        <w:w w:val="75"/>
                        <w:sz w:val="18"/>
                      </w:rPr>
                      <w:t>Eastern</w:t>
                    </w:r>
                    <w:r>
                      <w:rPr>
                        <w:spacing w:val="-1"/>
                        <w:sz w:val="18"/>
                      </w:rPr>
                      <w:t xml:space="preserve"> </w:t>
                    </w:r>
                    <w:r>
                      <w:rPr>
                        <w:spacing w:val="-5"/>
                        <w:w w:val="85"/>
                        <w:sz w:val="18"/>
                      </w:rPr>
                      <w:t>Ck</w:t>
                    </w:r>
                  </w:p>
                </w:txbxContent>
              </v:textbox>
            </v:shape>
            <v:shape id="docshape831" o:spid="_x0000_s4498" type="#_x0000_t202" style="position:absolute;left:3536;top:4864;width:470;height:204" filled="f" stroked="f">
              <v:textbox inset="0,0,0,0">
                <w:txbxContent>
                  <w:p w:rsidR="00F22F94" w:rsidRDefault="00F22F94">
                    <w:pPr>
                      <w:spacing w:line="204" w:lineRule="exact"/>
                      <w:rPr>
                        <w:sz w:val="18"/>
                      </w:rPr>
                    </w:pPr>
                    <w:r>
                      <w:rPr>
                        <w:spacing w:val="-2"/>
                        <w:w w:val="80"/>
                        <w:sz w:val="18"/>
                      </w:rPr>
                      <w:t>Penrith</w:t>
                    </w:r>
                  </w:p>
                </w:txbxContent>
              </v:textbox>
            </v:shape>
            <v:shape id="docshape832" o:spid="_x0000_s4497" type="#_x0000_t202" style="position:absolute;left:4508;top:4969;width:1025;height:206" filled="f" stroked="f">
              <v:textbox inset="0,0,0,0">
                <w:txbxContent>
                  <w:p w:rsidR="00F22F94" w:rsidRDefault="00F22F94">
                    <w:pPr>
                      <w:spacing w:line="206" w:lineRule="exact"/>
                      <w:rPr>
                        <w:sz w:val="18"/>
                      </w:rPr>
                    </w:pPr>
                    <w:r>
                      <w:rPr>
                        <w:color w:val="2E3092"/>
                        <w:w w:val="80"/>
                        <w:sz w:val="18"/>
                      </w:rPr>
                      <w:t>Blacktown</w:t>
                    </w:r>
                    <w:r>
                      <w:rPr>
                        <w:color w:val="2E3092"/>
                        <w:spacing w:val="25"/>
                        <w:sz w:val="18"/>
                      </w:rPr>
                      <w:t xml:space="preserve"> </w:t>
                    </w:r>
                    <w:r>
                      <w:rPr>
                        <w:color w:val="2E3092"/>
                        <w:spacing w:val="-5"/>
                        <w:w w:val="80"/>
                        <w:sz w:val="18"/>
                      </w:rPr>
                      <w:t>LGA</w:t>
                    </w:r>
                  </w:p>
                </w:txbxContent>
              </v:textbox>
            </v:shape>
            <v:shape id="docshape833" o:spid="_x0000_s4496" type="#_x0000_t202" style="position:absolute;left:1481;top:5687;width:1197;height:204" filled="f" stroked="f">
              <v:textbox inset="0,0,0,0">
                <w:txbxContent>
                  <w:p w:rsidR="00F22F94" w:rsidRDefault="00F22F94">
                    <w:pPr>
                      <w:spacing w:line="204" w:lineRule="exact"/>
                      <w:rPr>
                        <w:sz w:val="18"/>
                      </w:rPr>
                    </w:pPr>
                    <w:r>
                      <w:rPr>
                        <w:w w:val="75"/>
                        <w:sz w:val="18"/>
                      </w:rPr>
                      <w:t>Warragamba</w:t>
                    </w:r>
                    <w:r>
                      <w:rPr>
                        <w:spacing w:val="25"/>
                        <w:sz w:val="18"/>
                      </w:rPr>
                      <w:t xml:space="preserve"> </w:t>
                    </w:r>
                    <w:r>
                      <w:rPr>
                        <w:spacing w:val="-2"/>
                        <w:w w:val="80"/>
                        <w:sz w:val="18"/>
                      </w:rPr>
                      <w:t>River</w:t>
                    </w:r>
                  </w:p>
                </w:txbxContent>
              </v:textbox>
            </v:shape>
            <v:shape id="docshape834" o:spid="_x0000_s4495" type="#_x0000_t202" style="position:absolute;left:5167;top:5678;width:1213;height:204" filled="f" stroked="f">
              <v:textbox inset="0,0,0,0">
                <w:txbxContent>
                  <w:p w:rsidR="00F22F94" w:rsidRDefault="00F22F94">
                    <w:pPr>
                      <w:spacing w:line="204" w:lineRule="exact"/>
                      <w:rPr>
                        <w:sz w:val="18"/>
                      </w:rPr>
                    </w:pPr>
                    <w:r>
                      <w:rPr>
                        <w:w w:val="75"/>
                        <w:sz w:val="18"/>
                      </w:rPr>
                      <w:t>Prospect</w:t>
                    </w:r>
                    <w:r>
                      <w:rPr>
                        <w:spacing w:val="14"/>
                        <w:sz w:val="18"/>
                      </w:rPr>
                      <w:t xml:space="preserve"> </w:t>
                    </w:r>
                    <w:r>
                      <w:rPr>
                        <w:spacing w:val="-2"/>
                        <w:w w:val="75"/>
                        <w:sz w:val="18"/>
                      </w:rPr>
                      <w:t>Reservoir</w:t>
                    </w:r>
                  </w:p>
                </w:txbxContent>
              </v:textbox>
            </v:shape>
            <v:shape id="docshape835" o:spid="_x0000_s4494" type="#_x0000_t202" style="position:absolute;left:1103;top:6065;width:1177;height:204" filled="f" stroked="f">
              <v:textbox inset="0,0,0,0">
                <w:txbxContent>
                  <w:p w:rsidR="00F22F94" w:rsidRDefault="00F22F94">
                    <w:pPr>
                      <w:spacing w:line="204" w:lineRule="exact"/>
                      <w:rPr>
                        <w:sz w:val="18"/>
                      </w:rPr>
                    </w:pPr>
                    <w:r>
                      <w:rPr>
                        <w:w w:val="75"/>
                        <w:sz w:val="18"/>
                      </w:rPr>
                      <w:t>Warragamba</w:t>
                    </w:r>
                    <w:r>
                      <w:rPr>
                        <w:spacing w:val="25"/>
                        <w:sz w:val="18"/>
                      </w:rPr>
                      <w:t xml:space="preserve"> </w:t>
                    </w:r>
                    <w:r>
                      <w:rPr>
                        <w:spacing w:val="-5"/>
                        <w:w w:val="80"/>
                        <w:sz w:val="18"/>
                      </w:rPr>
                      <w:t>Dam</w:t>
                    </w:r>
                  </w:p>
                </w:txbxContent>
              </v:textbox>
            </v:shape>
            <v:shape id="docshape836" o:spid="_x0000_s4493" type="#_x0000_t202" style="position:absolute;left:4312;top:6122;width:597;height:204" filled="f" stroked="f">
              <v:textbox inset="0,0,0,0">
                <w:txbxContent>
                  <w:p w:rsidR="00F22F94" w:rsidRDefault="00F22F94">
                    <w:pPr>
                      <w:spacing w:line="204" w:lineRule="exact"/>
                      <w:rPr>
                        <w:sz w:val="18"/>
                      </w:rPr>
                    </w:pPr>
                    <w:r>
                      <w:rPr>
                        <w:w w:val="75"/>
                        <w:sz w:val="18"/>
                      </w:rPr>
                      <w:t>South</w:t>
                    </w:r>
                    <w:r>
                      <w:rPr>
                        <w:spacing w:val="2"/>
                        <w:sz w:val="18"/>
                      </w:rPr>
                      <w:t xml:space="preserve"> </w:t>
                    </w:r>
                    <w:r>
                      <w:rPr>
                        <w:spacing w:val="-5"/>
                        <w:w w:val="85"/>
                        <w:sz w:val="18"/>
                      </w:rPr>
                      <w:t>Ck</w:t>
                    </w:r>
                  </w:p>
                </w:txbxContent>
              </v:textbox>
            </v:shape>
            <v:shape id="docshape837" o:spid="_x0000_s4492" type="#_x0000_t202" style="position:absolute;left:7625;top:6129;width:477;height:204" filled="f" stroked="f">
              <v:textbox inset="0,0,0,0">
                <w:txbxContent>
                  <w:p w:rsidR="00F22F94" w:rsidRDefault="00F22F94">
                    <w:pPr>
                      <w:spacing w:line="204" w:lineRule="exact"/>
                      <w:rPr>
                        <w:sz w:val="18"/>
                      </w:rPr>
                    </w:pPr>
                    <w:r>
                      <w:rPr>
                        <w:spacing w:val="-2"/>
                        <w:w w:val="75"/>
                        <w:sz w:val="18"/>
                      </w:rPr>
                      <w:t>Sydney</w:t>
                    </w:r>
                  </w:p>
                </w:txbxContent>
              </v:textbox>
            </v:shape>
            <w10:wrap anchorx="page"/>
          </v:group>
        </w:pict>
      </w:r>
      <w:bookmarkStart w:id="121" w:name="_bookmark87"/>
      <w:bookmarkEnd w:id="121"/>
      <w:r w:rsidR="00F22F94">
        <w:rPr>
          <w:w w:val="95"/>
        </w:rPr>
        <w:t>The Hawkesbury Nepean Valley (HNV) (illustrated in Figure</w:t>
      </w:r>
      <w:r w:rsidR="00F22F94">
        <w:rPr>
          <w:spacing w:val="-11"/>
          <w:w w:val="95"/>
        </w:rPr>
        <w:t xml:space="preserve"> </w:t>
      </w:r>
      <w:r w:rsidR="00F22F94">
        <w:rPr>
          <w:w w:val="95"/>
        </w:rPr>
        <w:t>4.5)</w:t>
      </w:r>
      <w:r w:rsidR="00F22F94">
        <w:rPr>
          <w:spacing w:val="-11"/>
          <w:w w:val="95"/>
        </w:rPr>
        <w:t xml:space="preserve"> </w:t>
      </w:r>
      <w:r w:rsidR="00F22F94">
        <w:rPr>
          <w:w w:val="95"/>
        </w:rPr>
        <w:t>is</w:t>
      </w:r>
      <w:r w:rsidR="00F22F94">
        <w:rPr>
          <w:spacing w:val="-11"/>
          <w:w w:val="95"/>
        </w:rPr>
        <w:t xml:space="preserve"> </w:t>
      </w:r>
      <w:r w:rsidR="00F22F94">
        <w:rPr>
          <w:w w:val="95"/>
        </w:rPr>
        <w:t>one</w:t>
      </w:r>
      <w:r w:rsidR="00F22F94">
        <w:rPr>
          <w:spacing w:val="-11"/>
          <w:w w:val="95"/>
        </w:rPr>
        <w:t xml:space="preserve"> </w:t>
      </w:r>
      <w:r w:rsidR="00F22F94">
        <w:rPr>
          <w:w w:val="95"/>
        </w:rPr>
        <w:t>of</w:t>
      </w:r>
      <w:r w:rsidR="00F22F94">
        <w:rPr>
          <w:spacing w:val="-11"/>
          <w:w w:val="95"/>
        </w:rPr>
        <w:t xml:space="preserve"> </w:t>
      </w:r>
      <w:r w:rsidR="00F22F94">
        <w:rPr>
          <w:w w:val="95"/>
        </w:rPr>
        <w:t>the</w:t>
      </w:r>
      <w:r w:rsidR="00F22F94">
        <w:rPr>
          <w:spacing w:val="-11"/>
          <w:w w:val="95"/>
        </w:rPr>
        <w:t xml:space="preserve"> </w:t>
      </w:r>
      <w:r w:rsidR="00F22F94">
        <w:rPr>
          <w:w w:val="95"/>
        </w:rPr>
        <w:t>most</w:t>
      </w:r>
      <w:r w:rsidR="00F22F94">
        <w:rPr>
          <w:spacing w:val="-11"/>
          <w:w w:val="95"/>
        </w:rPr>
        <w:t xml:space="preserve"> </w:t>
      </w:r>
      <w:r w:rsidR="00F22F94">
        <w:rPr>
          <w:w w:val="95"/>
        </w:rPr>
        <w:t>heavily</w:t>
      </w:r>
      <w:r w:rsidR="00F22F94">
        <w:rPr>
          <w:spacing w:val="-11"/>
          <w:w w:val="95"/>
        </w:rPr>
        <w:t xml:space="preserve"> </w:t>
      </w:r>
      <w:r w:rsidR="00F22F94">
        <w:rPr>
          <w:w w:val="95"/>
        </w:rPr>
        <w:t>developed</w:t>
      </w:r>
      <w:r w:rsidR="00F22F94">
        <w:rPr>
          <w:spacing w:val="-11"/>
          <w:w w:val="95"/>
        </w:rPr>
        <w:t xml:space="preserve"> </w:t>
      </w:r>
      <w:r w:rsidR="00F22F94">
        <w:rPr>
          <w:w w:val="95"/>
        </w:rPr>
        <w:t>and</w:t>
      </w:r>
      <w:r w:rsidR="00F22F94">
        <w:rPr>
          <w:spacing w:val="-11"/>
          <w:w w:val="95"/>
        </w:rPr>
        <w:t xml:space="preserve"> </w:t>
      </w:r>
      <w:r w:rsidR="00F22F94">
        <w:rPr>
          <w:w w:val="95"/>
        </w:rPr>
        <w:t xml:space="preserve">at </w:t>
      </w:r>
      <w:r w:rsidR="00F22F94">
        <w:t>risk</w:t>
      </w:r>
      <w:r w:rsidR="00F22F94">
        <w:rPr>
          <w:spacing w:val="-1"/>
        </w:rPr>
        <w:t xml:space="preserve"> </w:t>
      </w:r>
      <w:r w:rsidR="00F22F94">
        <w:t>flood</w:t>
      </w:r>
      <w:r w:rsidR="00F22F94">
        <w:rPr>
          <w:spacing w:val="-1"/>
        </w:rPr>
        <w:t xml:space="preserve"> </w:t>
      </w:r>
      <w:r w:rsidR="00F22F94">
        <w:t>plains</w:t>
      </w:r>
      <w:r w:rsidR="00F22F94">
        <w:rPr>
          <w:spacing w:val="-1"/>
        </w:rPr>
        <w:t xml:space="preserve"> </w:t>
      </w:r>
      <w:r w:rsidR="00F22F94">
        <w:t>in</w:t>
      </w:r>
      <w:r w:rsidR="00F22F94">
        <w:rPr>
          <w:spacing w:val="-1"/>
        </w:rPr>
        <w:t xml:space="preserve"> </w:t>
      </w:r>
      <w:r w:rsidR="00F22F94">
        <w:t>Australia.</w:t>
      </w:r>
    </w:p>
    <w:p w:rsidR="002C1123" w:rsidRDefault="00F22F94">
      <w:pPr>
        <w:pStyle w:val="BodyText"/>
        <w:spacing w:before="144" w:line="249" w:lineRule="auto"/>
        <w:ind w:left="10545" w:right="803"/>
      </w:pPr>
      <w:r>
        <w:t>The</w:t>
      </w:r>
      <w:r>
        <w:rPr>
          <w:spacing w:val="-14"/>
        </w:rPr>
        <w:t xml:space="preserve"> </w:t>
      </w:r>
      <w:r>
        <w:t>flooding</w:t>
      </w:r>
      <w:r>
        <w:rPr>
          <w:spacing w:val="-14"/>
        </w:rPr>
        <w:t xml:space="preserve"> </w:t>
      </w:r>
      <w:r>
        <w:t>history</w:t>
      </w:r>
      <w:r>
        <w:rPr>
          <w:spacing w:val="-14"/>
        </w:rPr>
        <w:t xml:space="preserve"> </w:t>
      </w:r>
      <w:r>
        <w:t>in</w:t>
      </w:r>
      <w:r>
        <w:rPr>
          <w:spacing w:val="-14"/>
        </w:rPr>
        <w:t xml:space="preserve"> </w:t>
      </w:r>
      <w:r>
        <w:t>the</w:t>
      </w:r>
      <w:r>
        <w:rPr>
          <w:spacing w:val="-14"/>
        </w:rPr>
        <w:t xml:space="preserve"> </w:t>
      </w:r>
      <w:r>
        <w:t>HNV</w:t>
      </w:r>
      <w:r>
        <w:rPr>
          <w:spacing w:val="-14"/>
        </w:rPr>
        <w:t xml:space="preserve"> </w:t>
      </w:r>
      <w:r>
        <w:t>can</w:t>
      </w:r>
      <w:r>
        <w:rPr>
          <w:spacing w:val="-14"/>
        </w:rPr>
        <w:t xml:space="preserve"> </w:t>
      </w:r>
      <w:r>
        <w:t>be</w:t>
      </w:r>
      <w:r>
        <w:rPr>
          <w:spacing w:val="-14"/>
        </w:rPr>
        <w:t xml:space="preserve"> </w:t>
      </w:r>
      <w:r>
        <w:t>traced</w:t>
      </w:r>
      <w:r>
        <w:rPr>
          <w:spacing w:val="-14"/>
        </w:rPr>
        <w:t xml:space="preserve"> </w:t>
      </w:r>
      <w:r>
        <w:t>back</w:t>
      </w:r>
      <w:r>
        <w:rPr>
          <w:spacing w:val="-14"/>
        </w:rPr>
        <w:t xml:space="preserve"> </w:t>
      </w:r>
      <w:r>
        <w:t xml:space="preserve">to </w:t>
      </w:r>
      <w:r>
        <w:rPr>
          <w:w w:val="95"/>
        </w:rPr>
        <w:t>the</w:t>
      </w:r>
      <w:r>
        <w:rPr>
          <w:spacing w:val="-12"/>
          <w:w w:val="95"/>
        </w:rPr>
        <w:t xml:space="preserve"> </w:t>
      </w:r>
      <w:r>
        <w:rPr>
          <w:w w:val="95"/>
        </w:rPr>
        <w:t>very</w:t>
      </w:r>
      <w:r>
        <w:rPr>
          <w:spacing w:val="-11"/>
          <w:w w:val="95"/>
        </w:rPr>
        <w:t xml:space="preserve"> </w:t>
      </w:r>
      <w:r>
        <w:rPr>
          <w:w w:val="95"/>
        </w:rPr>
        <w:t>early</w:t>
      </w:r>
      <w:r>
        <w:rPr>
          <w:spacing w:val="-11"/>
          <w:w w:val="95"/>
        </w:rPr>
        <w:t xml:space="preserve"> </w:t>
      </w:r>
      <w:r>
        <w:rPr>
          <w:w w:val="95"/>
        </w:rPr>
        <w:t>years</w:t>
      </w:r>
      <w:r>
        <w:rPr>
          <w:spacing w:val="-11"/>
          <w:w w:val="95"/>
        </w:rPr>
        <w:t xml:space="preserve"> </w:t>
      </w:r>
      <w:r>
        <w:rPr>
          <w:w w:val="95"/>
        </w:rPr>
        <w:t>of</w:t>
      </w:r>
      <w:r>
        <w:rPr>
          <w:spacing w:val="-12"/>
          <w:w w:val="95"/>
        </w:rPr>
        <w:t xml:space="preserve"> </w:t>
      </w:r>
      <w:r>
        <w:rPr>
          <w:w w:val="95"/>
        </w:rPr>
        <w:t>European</w:t>
      </w:r>
      <w:r>
        <w:rPr>
          <w:spacing w:val="-11"/>
          <w:w w:val="95"/>
        </w:rPr>
        <w:t xml:space="preserve"> </w:t>
      </w:r>
      <w:r>
        <w:rPr>
          <w:w w:val="95"/>
        </w:rPr>
        <w:t>settlement.</w:t>
      </w:r>
      <w:r>
        <w:rPr>
          <w:spacing w:val="-11"/>
          <w:w w:val="95"/>
        </w:rPr>
        <w:t xml:space="preserve"> </w:t>
      </w:r>
      <w:r>
        <w:rPr>
          <w:w w:val="95"/>
        </w:rPr>
        <w:t>As</w:t>
      </w:r>
      <w:r>
        <w:rPr>
          <w:spacing w:val="-11"/>
          <w:w w:val="95"/>
        </w:rPr>
        <w:t xml:space="preserve"> </w:t>
      </w:r>
      <w:r>
        <w:rPr>
          <w:w w:val="95"/>
        </w:rPr>
        <w:t>early</w:t>
      </w:r>
      <w:r>
        <w:rPr>
          <w:spacing w:val="-11"/>
          <w:w w:val="95"/>
        </w:rPr>
        <w:t xml:space="preserve"> </w:t>
      </w:r>
      <w:r>
        <w:rPr>
          <w:w w:val="95"/>
        </w:rPr>
        <w:t xml:space="preserve">as </w:t>
      </w:r>
      <w:r>
        <w:rPr>
          <w:spacing w:val="-2"/>
          <w:w w:val="95"/>
        </w:rPr>
        <w:t xml:space="preserve">1817, a proclamation from Governor Lachlan Macquarie </w:t>
      </w:r>
      <w:r>
        <w:rPr>
          <w:w w:val="95"/>
        </w:rPr>
        <w:t>expressed</w:t>
      </w:r>
      <w:r>
        <w:rPr>
          <w:spacing w:val="-8"/>
          <w:w w:val="95"/>
        </w:rPr>
        <w:t xml:space="preserve"> </w:t>
      </w:r>
      <w:r>
        <w:rPr>
          <w:w w:val="95"/>
        </w:rPr>
        <w:t>"concern</w:t>
      </w:r>
      <w:r>
        <w:rPr>
          <w:spacing w:val="-8"/>
          <w:w w:val="95"/>
        </w:rPr>
        <w:t xml:space="preserve"> </w:t>
      </w:r>
      <w:r>
        <w:rPr>
          <w:w w:val="95"/>
        </w:rPr>
        <w:t>and</w:t>
      </w:r>
      <w:r>
        <w:rPr>
          <w:spacing w:val="-8"/>
          <w:w w:val="95"/>
        </w:rPr>
        <w:t xml:space="preserve"> </w:t>
      </w:r>
      <w:r>
        <w:rPr>
          <w:w w:val="95"/>
        </w:rPr>
        <w:t>regret</w:t>
      </w:r>
      <w:r>
        <w:rPr>
          <w:spacing w:val="-8"/>
          <w:w w:val="95"/>
        </w:rPr>
        <w:t xml:space="preserve"> </w:t>
      </w:r>
      <w:r>
        <w:rPr>
          <w:w w:val="95"/>
        </w:rPr>
        <w:t>for</w:t>
      </w:r>
      <w:r>
        <w:rPr>
          <w:spacing w:val="-8"/>
          <w:w w:val="95"/>
        </w:rPr>
        <w:t xml:space="preserve"> </w:t>
      </w:r>
      <w:r>
        <w:rPr>
          <w:w w:val="95"/>
        </w:rPr>
        <w:t>the</w:t>
      </w:r>
      <w:r>
        <w:rPr>
          <w:spacing w:val="-8"/>
          <w:w w:val="95"/>
        </w:rPr>
        <w:t xml:space="preserve"> </w:t>
      </w:r>
      <w:r>
        <w:rPr>
          <w:w w:val="95"/>
        </w:rPr>
        <w:t>recent</w:t>
      </w:r>
      <w:r>
        <w:rPr>
          <w:spacing w:val="-8"/>
          <w:w w:val="95"/>
        </w:rPr>
        <w:t xml:space="preserve"> </w:t>
      </w:r>
      <w:r>
        <w:rPr>
          <w:w w:val="95"/>
        </w:rPr>
        <w:t xml:space="preserve">calamities </w:t>
      </w:r>
      <w:r>
        <w:t>in</w:t>
      </w:r>
      <w:r>
        <w:rPr>
          <w:spacing w:val="-14"/>
        </w:rPr>
        <w:t xml:space="preserve"> </w:t>
      </w:r>
      <w:r>
        <w:t>which</w:t>
      </w:r>
      <w:r>
        <w:rPr>
          <w:spacing w:val="-14"/>
        </w:rPr>
        <w:t xml:space="preserve"> </w:t>
      </w:r>
      <w:r>
        <w:t>the</w:t>
      </w:r>
      <w:r>
        <w:rPr>
          <w:spacing w:val="-14"/>
        </w:rPr>
        <w:t xml:space="preserve"> </w:t>
      </w:r>
      <w:r>
        <w:t>unfortunate</w:t>
      </w:r>
      <w:r>
        <w:rPr>
          <w:spacing w:val="-14"/>
        </w:rPr>
        <w:t xml:space="preserve"> </w:t>
      </w:r>
      <w:r>
        <w:t>settlers</w:t>
      </w:r>
      <w:r>
        <w:rPr>
          <w:spacing w:val="-14"/>
        </w:rPr>
        <w:t xml:space="preserve"> </w:t>
      </w:r>
      <w:r>
        <w:t>on</w:t>
      </w:r>
      <w:r>
        <w:rPr>
          <w:spacing w:val="-14"/>
        </w:rPr>
        <w:t xml:space="preserve"> </w:t>
      </w:r>
      <w:r>
        <w:t>the</w:t>
      </w:r>
      <w:r>
        <w:rPr>
          <w:spacing w:val="-14"/>
        </w:rPr>
        <w:t xml:space="preserve"> </w:t>
      </w:r>
      <w:r>
        <w:t>banks</w:t>
      </w:r>
      <w:r>
        <w:rPr>
          <w:spacing w:val="-14"/>
        </w:rPr>
        <w:t xml:space="preserve"> </w:t>
      </w:r>
      <w:r>
        <w:t>of</w:t>
      </w:r>
      <w:r>
        <w:rPr>
          <w:spacing w:val="-14"/>
        </w:rPr>
        <w:t xml:space="preserve"> </w:t>
      </w:r>
      <w:r>
        <w:t>the</w:t>
      </w:r>
    </w:p>
    <w:p w:rsidR="002C1123" w:rsidRDefault="00F22F94">
      <w:pPr>
        <w:pStyle w:val="BodyText"/>
        <w:spacing w:before="4" w:line="249" w:lineRule="auto"/>
        <w:ind w:left="10545" w:right="709"/>
      </w:pPr>
      <w:r>
        <w:rPr>
          <w:w w:val="95"/>
        </w:rPr>
        <w:t>Nepean</w:t>
      </w:r>
      <w:r>
        <w:rPr>
          <w:spacing w:val="-11"/>
          <w:w w:val="95"/>
        </w:rPr>
        <w:t xml:space="preserve"> </w:t>
      </w:r>
      <w:r>
        <w:rPr>
          <w:w w:val="95"/>
        </w:rPr>
        <w:t>and</w:t>
      </w:r>
      <w:r>
        <w:rPr>
          <w:spacing w:val="-11"/>
          <w:w w:val="95"/>
        </w:rPr>
        <w:t xml:space="preserve"> </w:t>
      </w:r>
      <w:r>
        <w:rPr>
          <w:w w:val="95"/>
        </w:rPr>
        <w:t>Hawkesbury</w:t>
      </w:r>
      <w:r>
        <w:rPr>
          <w:spacing w:val="-11"/>
          <w:w w:val="95"/>
        </w:rPr>
        <w:t xml:space="preserve"> </w:t>
      </w:r>
      <w:r>
        <w:rPr>
          <w:w w:val="95"/>
        </w:rPr>
        <w:t>have</w:t>
      </w:r>
      <w:r>
        <w:rPr>
          <w:spacing w:val="-11"/>
          <w:w w:val="95"/>
        </w:rPr>
        <w:t xml:space="preserve"> </w:t>
      </w:r>
      <w:r>
        <w:rPr>
          <w:w w:val="95"/>
        </w:rPr>
        <w:t>been</w:t>
      </w:r>
      <w:r>
        <w:rPr>
          <w:spacing w:val="-11"/>
          <w:w w:val="95"/>
        </w:rPr>
        <w:t xml:space="preserve"> </w:t>
      </w:r>
      <w:r>
        <w:rPr>
          <w:w w:val="95"/>
        </w:rPr>
        <w:t>once</w:t>
      </w:r>
      <w:r>
        <w:rPr>
          <w:spacing w:val="-11"/>
          <w:w w:val="95"/>
        </w:rPr>
        <w:t xml:space="preserve"> </w:t>
      </w:r>
      <w:r>
        <w:rPr>
          <w:w w:val="95"/>
        </w:rPr>
        <w:t>more</w:t>
      </w:r>
      <w:r>
        <w:rPr>
          <w:spacing w:val="-11"/>
          <w:w w:val="95"/>
        </w:rPr>
        <w:t xml:space="preserve"> </w:t>
      </w:r>
      <w:r>
        <w:rPr>
          <w:w w:val="95"/>
        </w:rPr>
        <w:t xml:space="preserve">involved, </w:t>
      </w:r>
      <w:r>
        <w:rPr>
          <w:spacing w:val="-2"/>
        </w:rPr>
        <w:t>by</w:t>
      </w:r>
      <w:r>
        <w:rPr>
          <w:spacing w:val="-10"/>
        </w:rPr>
        <w:t xml:space="preserve"> </w:t>
      </w:r>
      <w:r>
        <w:rPr>
          <w:spacing w:val="-2"/>
        </w:rPr>
        <w:t>the</w:t>
      </w:r>
      <w:r>
        <w:rPr>
          <w:spacing w:val="-10"/>
        </w:rPr>
        <w:t xml:space="preserve"> </w:t>
      </w:r>
      <w:r>
        <w:rPr>
          <w:spacing w:val="-2"/>
        </w:rPr>
        <w:t>late</w:t>
      </w:r>
      <w:r>
        <w:rPr>
          <w:spacing w:val="-10"/>
        </w:rPr>
        <w:t xml:space="preserve"> </w:t>
      </w:r>
      <w:r>
        <w:rPr>
          <w:spacing w:val="-2"/>
        </w:rPr>
        <w:t>dreadful</w:t>
      </w:r>
      <w:r>
        <w:rPr>
          <w:spacing w:val="-10"/>
        </w:rPr>
        <w:t xml:space="preserve"> </w:t>
      </w:r>
      <w:r>
        <w:rPr>
          <w:spacing w:val="-2"/>
        </w:rPr>
        <w:t>inundations</w:t>
      </w:r>
      <w:r>
        <w:rPr>
          <w:spacing w:val="-10"/>
        </w:rPr>
        <w:t xml:space="preserve"> </w:t>
      </w:r>
      <w:r>
        <w:rPr>
          <w:spacing w:val="-2"/>
        </w:rPr>
        <w:t>of</w:t>
      </w:r>
      <w:r>
        <w:rPr>
          <w:spacing w:val="-10"/>
        </w:rPr>
        <w:t xml:space="preserve"> </w:t>
      </w:r>
      <w:r>
        <w:rPr>
          <w:spacing w:val="-2"/>
        </w:rPr>
        <w:t>those</w:t>
      </w:r>
      <w:r>
        <w:rPr>
          <w:spacing w:val="-10"/>
        </w:rPr>
        <w:t xml:space="preserve"> </w:t>
      </w:r>
      <w:r>
        <w:rPr>
          <w:spacing w:val="-2"/>
        </w:rPr>
        <w:t>rivers"</w:t>
      </w:r>
      <w:r>
        <w:rPr>
          <w:spacing w:val="-2"/>
          <w:position w:val="7"/>
          <w:sz w:val="11"/>
        </w:rPr>
        <w:t>17</w:t>
      </w:r>
      <w:r>
        <w:rPr>
          <w:spacing w:val="-2"/>
        </w:rPr>
        <w:t>.</w:t>
      </w:r>
    </w:p>
    <w:p w:rsidR="002C1123" w:rsidRDefault="00F22F94">
      <w:pPr>
        <w:pStyle w:val="BodyText"/>
        <w:spacing w:before="143" w:line="249" w:lineRule="auto"/>
        <w:ind w:left="10545" w:right="709"/>
      </w:pPr>
      <w:r>
        <w:t>The</w:t>
      </w:r>
      <w:r>
        <w:rPr>
          <w:spacing w:val="-14"/>
        </w:rPr>
        <w:t xml:space="preserve"> </w:t>
      </w:r>
      <w:r>
        <w:t>largest</w:t>
      </w:r>
      <w:r>
        <w:rPr>
          <w:spacing w:val="-14"/>
        </w:rPr>
        <w:t xml:space="preserve"> </w:t>
      </w:r>
      <w:r>
        <w:t>flood</w:t>
      </w:r>
      <w:r>
        <w:rPr>
          <w:spacing w:val="-14"/>
        </w:rPr>
        <w:t xml:space="preserve"> </w:t>
      </w:r>
      <w:r>
        <w:t>recorded</w:t>
      </w:r>
      <w:r>
        <w:rPr>
          <w:spacing w:val="-14"/>
        </w:rPr>
        <w:t xml:space="preserve"> </w:t>
      </w:r>
      <w:r>
        <w:t>in</w:t>
      </w:r>
      <w:r>
        <w:rPr>
          <w:spacing w:val="-14"/>
        </w:rPr>
        <w:t xml:space="preserve"> </w:t>
      </w:r>
      <w:r>
        <w:t>the</w:t>
      </w:r>
      <w:r>
        <w:rPr>
          <w:spacing w:val="-14"/>
        </w:rPr>
        <w:t xml:space="preserve"> </w:t>
      </w:r>
      <w:r>
        <w:t>Valley</w:t>
      </w:r>
      <w:r>
        <w:rPr>
          <w:spacing w:val="-14"/>
        </w:rPr>
        <w:t xml:space="preserve"> </w:t>
      </w:r>
      <w:r>
        <w:t>occurred</w:t>
      </w:r>
      <w:r>
        <w:rPr>
          <w:spacing w:val="-14"/>
        </w:rPr>
        <w:t xml:space="preserve"> </w:t>
      </w:r>
      <w:r>
        <w:t>in 1867.</w:t>
      </w:r>
      <w:r>
        <w:rPr>
          <w:spacing w:val="-14"/>
        </w:rPr>
        <w:t xml:space="preserve"> </w:t>
      </w:r>
      <w:r>
        <w:t>Despite</w:t>
      </w:r>
      <w:r>
        <w:rPr>
          <w:spacing w:val="-14"/>
        </w:rPr>
        <w:t xml:space="preserve"> </w:t>
      </w:r>
      <w:r>
        <w:t>proclamations</w:t>
      </w:r>
      <w:r>
        <w:rPr>
          <w:spacing w:val="-14"/>
        </w:rPr>
        <w:t xml:space="preserve"> </w:t>
      </w:r>
      <w:r>
        <w:t>as</w:t>
      </w:r>
      <w:r>
        <w:rPr>
          <w:spacing w:val="-14"/>
        </w:rPr>
        <w:t xml:space="preserve"> </w:t>
      </w:r>
      <w:r>
        <w:t>far</w:t>
      </w:r>
      <w:r>
        <w:rPr>
          <w:spacing w:val="-14"/>
        </w:rPr>
        <w:t xml:space="preserve"> </w:t>
      </w:r>
      <w:r>
        <w:t>back</w:t>
      </w:r>
      <w:r>
        <w:rPr>
          <w:spacing w:val="-14"/>
        </w:rPr>
        <w:t xml:space="preserve"> </w:t>
      </w:r>
      <w:r>
        <w:t>as</w:t>
      </w:r>
      <w:r>
        <w:rPr>
          <w:spacing w:val="-14"/>
        </w:rPr>
        <w:t xml:space="preserve"> </w:t>
      </w:r>
      <w:r>
        <w:t>the</w:t>
      </w:r>
      <w:r>
        <w:rPr>
          <w:spacing w:val="-14"/>
        </w:rPr>
        <w:t xml:space="preserve"> </w:t>
      </w:r>
      <w:r>
        <w:t xml:space="preserve">early </w:t>
      </w:r>
      <w:r>
        <w:rPr>
          <w:w w:val="95"/>
        </w:rPr>
        <w:t>1800s</w:t>
      </w:r>
      <w:r>
        <w:rPr>
          <w:spacing w:val="-12"/>
          <w:w w:val="95"/>
        </w:rPr>
        <w:t xml:space="preserve"> </w:t>
      </w:r>
      <w:r>
        <w:rPr>
          <w:w w:val="95"/>
        </w:rPr>
        <w:t>to</w:t>
      </w:r>
      <w:r>
        <w:rPr>
          <w:spacing w:val="-11"/>
          <w:w w:val="95"/>
        </w:rPr>
        <w:t xml:space="preserve"> </w:t>
      </w:r>
      <w:r>
        <w:rPr>
          <w:w w:val="95"/>
        </w:rPr>
        <w:t>avoid</w:t>
      </w:r>
      <w:r>
        <w:rPr>
          <w:spacing w:val="-11"/>
          <w:w w:val="95"/>
        </w:rPr>
        <w:t xml:space="preserve"> </w:t>
      </w:r>
      <w:r>
        <w:rPr>
          <w:w w:val="95"/>
        </w:rPr>
        <w:t>living</w:t>
      </w:r>
      <w:r>
        <w:rPr>
          <w:spacing w:val="-11"/>
          <w:w w:val="95"/>
        </w:rPr>
        <w:t xml:space="preserve"> </w:t>
      </w:r>
      <w:r>
        <w:rPr>
          <w:w w:val="95"/>
        </w:rPr>
        <w:t>in</w:t>
      </w:r>
      <w:r>
        <w:rPr>
          <w:spacing w:val="-11"/>
          <w:w w:val="95"/>
        </w:rPr>
        <w:t xml:space="preserve"> </w:t>
      </w:r>
      <w:r>
        <w:rPr>
          <w:w w:val="95"/>
        </w:rPr>
        <w:t>flood</w:t>
      </w:r>
      <w:r>
        <w:rPr>
          <w:spacing w:val="-11"/>
          <w:w w:val="95"/>
        </w:rPr>
        <w:t xml:space="preserve"> </w:t>
      </w:r>
      <w:r>
        <w:rPr>
          <w:w w:val="95"/>
        </w:rPr>
        <w:t>affected</w:t>
      </w:r>
      <w:r>
        <w:rPr>
          <w:spacing w:val="-11"/>
          <w:w w:val="95"/>
        </w:rPr>
        <w:t xml:space="preserve"> </w:t>
      </w:r>
      <w:r>
        <w:rPr>
          <w:w w:val="95"/>
        </w:rPr>
        <w:t>areas</w:t>
      </w:r>
      <w:r>
        <w:rPr>
          <w:spacing w:val="-11"/>
          <w:w w:val="95"/>
        </w:rPr>
        <w:t xml:space="preserve"> </w:t>
      </w:r>
      <w:r>
        <w:rPr>
          <w:w w:val="95"/>
        </w:rPr>
        <w:t>in</w:t>
      </w:r>
      <w:r>
        <w:rPr>
          <w:spacing w:val="-12"/>
          <w:w w:val="95"/>
        </w:rPr>
        <w:t xml:space="preserve"> </w:t>
      </w:r>
      <w:r>
        <w:rPr>
          <w:w w:val="95"/>
        </w:rPr>
        <w:t>the</w:t>
      </w:r>
      <w:r>
        <w:rPr>
          <w:spacing w:val="-11"/>
          <w:w w:val="95"/>
        </w:rPr>
        <w:t xml:space="preserve"> </w:t>
      </w:r>
      <w:r>
        <w:rPr>
          <w:w w:val="95"/>
        </w:rPr>
        <w:t>Valley, significant development of homes and businesses has</w:t>
      </w:r>
    </w:p>
    <w:p w:rsidR="002C1123" w:rsidRDefault="00F22F94">
      <w:pPr>
        <w:pStyle w:val="BodyText"/>
        <w:spacing w:before="4" w:line="249" w:lineRule="auto"/>
        <w:ind w:left="10545" w:right="709"/>
      </w:pPr>
      <w:r>
        <w:rPr>
          <w:w w:val="95"/>
        </w:rPr>
        <w:t xml:space="preserve">occurred. As more development has occurred, NSW has </w:t>
      </w:r>
      <w:r>
        <w:t>continued</w:t>
      </w:r>
      <w:r>
        <w:rPr>
          <w:spacing w:val="-14"/>
        </w:rPr>
        <w:t xml:space="preserve"> </w:t>
      </w:r>
      <w:r>
        <w:t>to</w:t>
      </w:r>
      <w:r>
        <w:rPr>
          <w:spacing w:val="-14"/>
        </w:rPr>
        <w:t xml:space="preserve"> </w:t>
      </w:r>
      <w:r>
        <w:t>invest</w:t>
      </w:r>
      <w:r>
        <w:rPr>
          <w:spacing w:val="-14"/>
        </w:rPr>
        <w:t xml:space="preserve"> </w:t>
      </w:r>
      <w:r>
        <w:t>millions</w:t>
      </w:r>
      <w:r>
        <w:rPr>
          <w:spacing w:val="-14"/>
        </w:rPr>
        <w:t xml:space="preserve"> </w:t>
      </w:r>
      <w:r>
        <w:t>in</w:t>
      </w:r>
      <w:r>
        <w:rPr>
          <w:spacing w:val="-14"/>
        </w:rPr>
        <w:t xml:space="preserve"> </w:t>
      </w:r>
      <w:r>
        <w:t>supporting</w:t>
      </w:r>
      <w:r>
        <w:rPr>
          <w:spacing w:val="-14"/>
        </w:rPr>
        <w:t xml:space="preserve"> </w:t>
      </w:r>
      <w:r>
        <w:t>infrastructure, which is also at risk.</w:t>
      </w:r>
    </w:p>
    <w:p w:rsidR="002C1123" w:rsidRDefault="00F22F94">
      <w:pPr>
        <w:pStyle w:val="BodyText"/>
        <w:spacing w:before="144" w:line="249" w:lineRule="auto"/>
        <w:ind w:left="10545" w:right="895"/>
      </w:pPr>
      <w:r>
        <w:rPr>
          <w:w w:val="95"/>
        </w:rPr>
        <w:t xml:space="preserve">During the 1980s and 1990s evidence emerged that floods significantly larger than any yet recorded could </w:t>
      </w:r>
      <w:r>
        <w:rPr>
          <w:w w:val="90"/>
        </w:rPr>
        <w:t>occur</w:t>
      </w:r>
      <w:r>
        <w:rPr>
          <w:spacing w:val="-4"/>
          <w:w w:val="90"/>
        </w:rPr>
        <w:t xml:space="preserve"> </w:t>
      </w:r>
      <w:r>
        <w:rPr>
          <w:w w:val="90"/>
        </w:rPr>
        <w:t>in</w:t>
      </w:r>
      <w:r>
        <w:rPr>
          <w:spacing w:val="-4"/>
          <w:w w:val="90"/>
        </w:rPr>
        <w:t xml:space="preserve"> </w:t>
      </w:r>
      <w:r>
        <w:rPr>
          <w:w w:val="90"/>
        </w:rPr>
        <w:t>the</w:t>
      </w:r>
      <w:r>
        <w:rPr>
          <w:spacing w:val="-4"/>
          <w:w w:val="90"/>
        </w:rPr>
        <w:t xml:space="preserve"> </w:t>
      </w:r>
      <w:r>
        <w:rPr>
          <w:w w:val="90"/>
        </w:rPr>
        <w:t>Valley</w:t>
      </w:r>
      <w:r>
        <w:rPr>
          <w:w w:val="90"/>
          <w:position w:val="7"/>
          <w:sz w:val="11"/>
        </w:rPr>
        <w:t>18</w:t>
      </w:r>
      <w:r>
        <w:rPr>
          <w:w w:val="90"/>
        </w:rPr>
        <w:t>.</w:t>
      </w:r>
      <w:r>
        <w:rPr>
          <w:spacing w:val="-4"/>
          <w:w w:val="90"/>
        </w:rPr>
        <w:t xml:space="preserve"> </w:t>
      </w:r>
      <w:r>
        <w:rPr>
          <w:w w:val="90"/>
        </w:rPr>
        <w:t>This</w:t>
      </w:r>
      <w:r>
        <w:rPr>
          <w:spacing w:val="-4"/>
          <w:w w:val="90"/>
        </w:rPr>
        <w:t xml:space="preserve"> </w:t>
      </w:r>
      <w:r>
        <w:rPr>
          <w:w w:val="90"/>
        </w:rPr>
        <w:t>eventually</w:t>
      </w:r>
      <w:r>
        <w:rPr>
          <w:spacing w:val="-4"/>
          <w:w w:val="90"/>
        </w:rPr>
        <w:t xml:space="preserve"> </w:t>
      </w:r>
      <w:r>
        <w:rPr>
          <w:w w:val="90"/>
        </w:rPr>
        <w:t>led</w:t>
      </w:r>
      <w:r>
        <w:rPr>
          <w:spacing w:val="-4"/>
          <w:w w:val="90"/>
        </w:rPr>
        <w:t xml:space="preserve"> </w:t>
      </w:r>
      <w:r>
        <w:rPr>
          <w:w w:val="90"/>
        </w:rPr>
        <w:t>in</w:t>
      </w:r>
      <w:r>
        <w:rPr>
          <w:spacing w:val="-4"/>
          <w:w w:val="90"/>
        </w:rPr>
        <w:t xml:space="preserve"> </w:t>
      </w:r>
      <w:r>
        <w:rPr>
          <w:w w:val="90"/>
        </w:rPr>
        <w:t>the</w:t>
      </w:r>
      <w:r>
        <w:rPr>
          <w:spacing w:val="-4"/>
          <w:w w:val="90"/>
        </w:rPr>
        <w:t xml:space="preserve"> </w:t>
      </w:r>
      <w:r>
        <w:rPr>
          <w:w w:val="90"/>
        </w:rPr>
        <w:t>late</w:t>
      </w:r>
      <w:r>
        <w:rPr>
          <w:spacing w:val="-4"/>
          <w:w w:val="90"/>
        </w:rPr>
        <w:t xml:space="preserve"> </w:t>
      </w:r>
      <w:r>
        <w:rPr>
          <w:w w:val="90"/>
        </w:rPr>
        <w:t xml:space="preserve">1990s </w:t>
      </w:r>
      <w:r>
        <w:rPr>
          <w:spacing w:val="-2"/>
          <w:w w:val="95"/>
        </w:rPr>
        <w:t>to</w:t>
      </w:r>
      <w:r>
        <w:rPr>
          <w:spacing w:val="-10"/>
          <w:w w:val="95"/>
        </w:rPr>
        <w:t xml:space="preserve"> </w:t>
      </w:r>
      <w:r>
        <w:rPr>
          <w:spacing w:val="-2"/>
          <w:w w:val="95"/>
        </w:rPr>
        <w:t>major</w:t>
      </w:r>
      <w:r>
        <w:rPr>
          <w:spacing w:val="-10"/>
          <w:w w:val="95"/>
        </w:rPr>
        <w:t xml:space="preserve"> </w:t>
      </w:r>
      <w:r>
        <w:rPr>
          <w:spacing w:val="-2"/>
          <w:w w:val="95"/>
        </w:rPr>
        <w:t>upgrades</w:t>
      </w:r>
      <w:r>
        <w:rPr>
          <w:spacing w:val="-10"/>
          <w:w w:val="95"/>
        </w:rPr>
        <w:t xml:space="preserve"> </w:t>
      </w:r>
      <w:r>
        <w:rPr>
          <w:spacing w:val="-2"/>
          <w:w w:val="95"/>
        </w:rPr>
        <w:t>of</w:t>
      </w:r>
      <w:r>
        <w:rPr>
          <w:spacing w:val="-10"/>
          <w:w w:val="95"/>
        </w:rPr>
        <w:t xml:space="preserve"> </w:t>
      </w:r>
      <w:r>
        <w:rPr>
          <w:spacing w:val="-2"/>
          <w:w w:val="95"/>
        </w:rPr>
        <w:t>Warragamba</w:t>
      </w:r>
      <w:r>
        <w:rPr>
          <w:spacing w:val="-10"/>
          <w:w w:val="95"/>
        </w:rPr>
        <w:t xml:space="preserve"> </w:t>
      </w:r>
      <w:r>
        <w:rPr>
          <w:spacing w:val="-2"/>
          <w:w w:val="95"/>
        </w:rPr>
        <w:t>Dam</w:t>
      </w:r>
      <w:r>
        <w:rPr>
          <w:spacing w:val="-10"/>
          <w:w w:val="95"/>
        </w:rPr>
        <w:t xml:space="preserve"> </w:t>
      </w:r>
      <w:r>
        <w:rPr>
          <w:spacing w:val="-2"/>
          <w:w w:val="95"/>
        </w:rPr>
        <w:t>to</w:t>
      </w:r>
      <w:r>
        <w:rPr>
          <w:spacing w:val="-10"/>
          <w:w w:val="95"/>
        </w:rPr>
        <w:t xml:space="preserve"> </w:t>
      </w:r>
      <w:r>
        <w:rPr>
          <w:spacing w:val="-2"/>
          <w:w w:val="95"/>
        </w:rPr>
        <w:t>prevent</w:t>
      </w:r>
      <w:r>
        <w:rPr>
          <w:spacing w:val="-10"/>
          <w:w w:val="95"/>
        </w:rPr>
        <w:t xml:space="preserve"> </w:t>
      </w:r>
      <w:r>
        <w:rPr>
          <w:spacing w:val="-2"/>
          <w:w w:val="95"/>
        </w:rPr>
        <w:t xml:space="preserve">dam </w:t>
      </w:r>
      <w:r>
        <w:rPr>
          <w:w w:val="95"/>
        </w:rPr>
        <w:t>break</w:t>
      </w:r>
      <w:r>
        <w:rPr>
          <w:spacing w:val="-11"/>
          <w:w w:val="95"/>
        </w:rPr>
        <w:t xml:space="preserve"> </w:t>
      </w:r>
      <w:r>
        <w:rPr>
          <w:w w:val="95"/>
        </w:rPr>
        <w:t>during</w:t>
      </w:r>
      <w:r>
        <w:rPr>
          <w:spacing w:val="-11"/>
          <w:w w:val="95"/>
        </w:rPr>
        <w:t xml:space="preserve"> </w:t>
      </w:r>
      <w:r>
        <w:rPr>
          <w:w w:val="95"/>
        </w:rPr>
        <w:t>major</w:t>
      </w:r>
      <w:r>
        <w:rPr>
          <w:spacing w:val="-11"/>
          <w:w w:val="95"/>
        </w:rPr>
        <w:t xml:space="preserve"> </w:t>
      </w:r>
      <w:r>
        <w:rPr>
          <w:w w:val="95"/>
        </w:rPr>
        <w:t>flooding</w:t>
      </w:r>
      <w:r>
        <w:rPr>
          <w:spacing w:val="-11"/>
          <w:w w:val="95"/>
        </w:rPr>
        <w:t xml:space="preserve"> </w:t>
      </w:r>
      <w:r>
        <w:rPr>
          <w:w w:val="95"/>
        </w:rPr>
        <w:t>events</w:t>
      </w:r>
      <w:r>
        <w:rPr>
          <w:spacing w:val="-11"/>
          <w:w w:val="95"/>
        </w:rPr>
        <w:t xml:space="preserve"> </w:t>
      </w:r>
      <w:r>
        <w:rPr>
          <w:w w:val="95"/>
        </w:rPr>
        <w:t>to</w:t>
      </w:r>
      <w:r>
        <w:rPr>
          <w:spacing w:val="-11"/>
          <w:w w:val="95"/>
        </w:rPr>
        <w:t xml:space="preserve"> </w:t>
      </w:r>
      <w:r>
        <w:rPr>
          <w:w w:val="95"/>
        </w:rPr>
        <w:t>protect</w:t>
      </w:r>
      <w:r>
        <w:rPr>
          <w:spacing w:val="-11"/>
          <w:w w:val="95"/>
        </w:rPr>
        <w:t xml:space="preserve"> </w:t>
      </w:r>
      <w:r>
        <w:rPr>
          <w:w w:val="95"/>
        </w:rPr>
        <w:t>Sydney’s water</w:t>
      </w:r>
      <w:r>
        <w:rPr>
          <w:spacing w:val="-2"/>
          <w:w w:val="95"/>
        </w:rPr>
        <w:t xml:space="preserve"> </w:t>
      </w:r>
      <w:r>
        <w:rPr>
          <w:w w:val="95"/>
        </w:rPr>
        <w:t>supply.</w:t>
      </w:r>
      <w:r>
        <w:rPr>
          <w:spacing w:val="-2"/>
          <w:w w:val="95"/>
        </w:rPr>
        <w:t xml:space="preserve"> </w:t>
      </w:r>
      <w:r>
        <w:rPr>
          <w:w w:val="95"/>
        </w:rPr>
        <w:t>This</w:t>
      </w:r>
      <w:r>
        <w:rPr>
          <w:spacing w:val="-2"/>
          <w:w w:val="95"/>
        </w:rPr>
        <w:t xml:space="preserve"> </w:t>
      </w:r>
      <w:r>
        <w:rPr>
          <w:w w:val="95"/>
        </w:rPr>
        <w:t>decision</w:t>
      </w:r>
      <w:r>
        <w:rPr>
          <w:spacing w:val="-2"/>
          <w:w w:val="95"/>
        </w:rPr>
        <w:t xml:space="preserve"> </w:t>
      </w:r>
      <w:r>
        <w:rPr>
          <w:w w:val="95"/>
        </w:rPr>
        <w:t>only</w:t>
      </w:r>
      <w:r>
        <w:rPr>
          <w:spacing w:val="-2"/>
          <w:w w:val="95"/>
        </w:rPr>
        <w:t xml:space="preserve"> </w:t>
      </w:r>
      <w:r>
        <w:rPr>
          <w:w w:val="95"/>
        </w:rPr>
        <w:t>dealt</w:t>
      </w:r>
      <w:r>
        <w:rPr>
          <w:spacing w:val="-2"/>
          <w:w w:val="95"/>
        </w:rPr>
        <w:t xml:space="preserve"> </w:t>
      </w:r>
      <w:r>
        <w:rPr>
          <w:w w:val="95"/>
        </w:rPr>
        <w:t>with</w:t>
      </w:r>
      <w:r>
        <w:rPr>
          <w:spacing w:val="-2"/>
          <w:w w:val="95"/>
        </w:rPr>
        <w:t xml:space="preserve"> </w:t>
      </w:r>
      <w:r>
        <w:rPr>
          <w:w w:val="95"/>
        </w:rPr>
        <w:t>dam</w:t>
      </w:r>
      <w:r>
        <w:rPr>
          <w:spacing w:val="-2"/>
          <w:w w:val="95"/>
        </w:rPr>
        <w:t xml:space="preserve"> </w:t>
      </w:r>
      <w:r>
        <w:rPr>
          <w:w w:val="95"/>
        </w:rPr>
        <w:t>safety issues and ignored the major risk to the people and</w:t>
      </w:r>
    </w:p>
    <w:p w:rsidR="002C1123" w:rsidRDefault="00F22F94">
      <w:pPr>
        <w:pStyle w:val="BodyText"/>
        <w:spacing w:before="6"/>
        <w:ind w:left="10545"/>
      </w:pPr>
      <w:r>
        <w:rPr>
          <w:w w:val="90"/>
        </w:rPr>
        <w:t>businesses</w:t>
      </w:r>
      <w:r>
        <w:rPr>
          <w:spacing w:val="-4"/>
        </w:rPr>
        <w:t xml:space="preserve"> </w:t>
      </w:r>
      <w:r>
        <w:rPr>
          <w:w w:val="90"/>
        </w:rPr>
        <w:t>in</w:t>
      </w:r>
      <w:r>
        <w:rPr>
          <w:spacing w:val="-4"/>
        </w:rPr>
        <w:t xml:space="preserve"> </w:t>
      </w:r>
      <w:r>
        <w:rPr>
          <w:w w:val="90"/>
        </w:rPr>
        <w:t>the</w:t>
      </w:r>
      <w:r>
        <w:rPr>
          <w:spacing w:val="-3"/>
        </w:rPr>
        <w:t xml:space="preserve"> </w:t>
      </w:r>
      <w:r>
        <w:rPr>
          <w:w w:val="90"/>
        </w:rPr>
        <w:t>HNV</w:t>
      </w:r>
      <w:r>
        <w:rPr>
          <w:spacing w:val="-4"/>
        </w:rPr>
        <w:t xml:space="preserve"> </w:t>
      </w:r>
      <w:r>
        <w:rPr>
          <w:w w:val="90"/>
        </w:rPr>
        <w:t>and</w:t>
      </w:r>
      <w:r>
        <w:rPr>
          <w:spacing w:val="-3"/>
        </w:rPr>
        <w:t xml:space="preserve"> </w:t>
      </w:r>
      <w:r>
        <w:rPr>
          <w:w w:val="90"/>
        </w:rPr>
        <w:t>the</w:t>
      </w:r>
      <w:r>
        <w:rPr>
          <w:spacing w:val="-4"/>
        </w:rPr>
        <w:t xml:space="preserve"> </w:t>
      </w:r>
      <w:r>
        <w:rPr>
          <w:w w:val="90"/>
        </w:rPr>
        <w:t>NSW</w:t>
      </w:r>
      <w:r>
        <w:rPr>
          <w:spacing w:val="-3"/>
        </w:rPr>
        <w:t xml:space="preserve"> </w:t>
      </w:r>
      <w:r>
        <w:rPr>
          <w:w w:val="90"/>
        </w:rPr>
        <w:t>economy</w:t>
      </w:r>
      <w:r>
        <w:rPr>
          <w:spacing w:val="-4"/>
        </w:rPr>
        <w:t xml:space="preserve"> </w:t>
      </w:r>
      <w:r>
        <w:rPr>
          <w:w w:val="90"/>
        </w:rPr>
        <w:t>as</w:t>
      </w:r>
      <w:r>
        <w:rPr>
          <w:spacing w:val="-3"/>
        </w:rPr>
        <w:t xml:space="preserve"> </w:t>
      </w:r>
      <w:r>
        <w:rPr>
          <w:w w:val="90"/>
        </w:rPr>
        <w:t>a</w:t>
      </w:r>
      <w:r>
        <w:rPr>
          <w:spacing w:val="-4"/>
        </w:rPr>
        <w:t xml:space="preserve"> </w:t>
      </w:r>
      <w:r>
        <w:rPr>
          <w:spacing w:val="-2"/>
          <w:w w:val="90"/>
        </w:rPr>
        <w:t>whole.</w:t>
      </w:r>
    </w:p>
    <w:p w:rsidR="002C1123" w:rsidRDefault="00F22F94">
      <w:pPr>
        <w:pStyle w:val="BodyText"/>
        <w:spacing w:before="151" w:line="249" w:lineRule="auto"/>
        <w:ind w:left="10545" w:right="709"/>
      </w:pPr>
      <w:r>
        <w:t>In</w:t>
      </w:r>
      <w:r>
        <w:rPr>
          <w:spacing w:val="-14"/>
        </w:rPr>
        <w:t xml:space="preserve"> </w:t>
      </w:r>
      <w:r>
        <w:t>reviewing</w:t>
      </w:r>
      <w:r>
        <w:rPr>
          <w:spacing w:val="-14"/>
        </w:rPr>
        <w:t xml:space="preserve"> </w:t>
      </w:r>
      <w:r>
        <w:t>the</w:t>
      </w:r>
      <w:r>
        <w:rPr>
          <w:spacing w:val="-14"/>
        </w:rPr>
        <w:t xml:space="preserve"> </w:t>
      </w:r>
      <w:r>
        <w:t>decision</w:t>
      </w:r>
      <w:r>
        <w:rPr>
          <w:spacing w:val="-14"/>
        </w:rPr>
        <w:t xml:space="preserve"> </w:t>
      </w:r>
      <w:r>
        <w:t>on</w:t>
      </w:r>
      <w:r>
        <w:rPr>
          <w:spacing w:val="-14"/>
        </w:rPr>
        <w:t xml:space="preserve"> </w:t>
      </w:r>
      <w:r>
        <w:t>dam</w:t>
      </w:r>
      <w:r>
        <w:rPr>
          <w:spacing w:val="-14"/>
        </w:rPr>
        <w:t xml:space="preserve"> </w:t>
      </w:r>
      <w:r>
        <w:t>safety,</w:t>
      </w:r>
      <w:r>
        <w:rPr>
          <w:spacing w:val="-14"/>
        </w:rPr>
        <w:t xml:space="preserve"> </w:t>
      </w:r>
      <w:r>
        <w:t>the</w:t>
      </w:r>
      <w:r>
        <w:rPr>
          <w:spacing w:val="-14"/>
        </w:rPr>
        <w:t xml:space="preserve"> </w:t>
      </w:r>
      <w:r>
        <w:t>extent</w:t>
      </w:r>
      <w:r>
        <w:rPr>
          <w:spacing w:val="-14"/>
        </w:rPr>
        <w:t xml:space="preserve"> </w:t>
      </w:r>
      <w:r>
        <w:t>of flood</w:t>
      </w:r>
      <w:r>
        <w:rPr>
          <w:spacing w:val="-14"/>
        </w:rPr>
        <w:t xml:space="preserve"> </w:t>
      </w:r>
      <w:r>
        <w:t>risk</w:t>
      </w:r>
      <w:r>
        <w:rPr>
          <w:spacing w:val="-14"/>
        </w:rPr>
        <w:t xml:space="preserve"> </w:t>
      </w:r>
      <w:r>
        <w:t>to</w:t>
      </w:r>
      <w:r>
        <w:rPr>
          <w:spacing w:val="-14"/>
        </w:rPr>
        <w:t xml:space="preserve"> </w:t>
      </w:r>
      <w:r>
        <w:t>people</w:t>
      </w:r>
      <w:r>
        <w:rPr>
          <w:spacing w:val="-14"/>
        </w:rPr>
        <w:t xml:space="preserve"> </w:t>
      </w:r>
      <w:r>
        <w:t>living</w:t>
      </w:r>
      <w:r>
        <w:rPr>
          <w:spacing w:val="-14"/>
        </w:rPr>
        <w:t xml:space="preserve"> </w:t>
      </w:r>
      <w:r>
        <w:t>and</w:t>
      </w:r>
      <w:r>
        <w:rPr>
          <w:spacing w:val="-14"/>
        </w:rPr>
        <w:t xml:space="preserve"> </w:t>
      </w:r>
      <w:r>
        <w:t>working</w:t>
      </w:r>
      <w:r>
        <w:rPr>
          <w:spacing w:val="-14"/>
        </w:rPr>
        <w:t xml:space="preserve"> </w:t>
      </w:r>
      <w:r>
        <w:t>in</w:t>
      </w:r>
      <w:r>
        <w:rPr>
          <w:spacing w:val="-14"/>
        </w:rPr>
        <w:t xml:space="preserve"> </w:t>
      </w:r>
      <w:r>
        <w:t>the</w:t>
      </w:r>
      <w:r>
        <w:rPr>
          <w:spacing w:val="-14"/>
        </w:rPr>
        <w:t xml:space="preserve"> </w:t>
      </w:r>
      <w:r>
        <w:t>HNV</w:t>
      </w:r>
      <w:r>
        <w:rPr>
          <w:spacing w:val="-13"/>
        </w:rPr>
        <w:t xml:space="preserve"> </w:t>
      </w:r>
      <w:r>
        <w:t xml:space="preserve">was </w:t>
      </w:r>
      <w:r>
        <w:rPr>
          <w:w w:val="95"/>
        </w:rPr>
        <w:t>revealed.</w:t>
      </w:r>
      <w:r>
        <w:rPr>
          <w:spacing w:val="-10"/>
          <w:w w:val="95"/>
        </w:rPr>
        <w:t xml:space="preserve"> </w:t>
      </w:r>
      <w:r>
        <w:rPr>
          <w:w w:val="95"/>
        </w:rPr>
        <w:t>The</w:t>
      </w:r>
      <w:r>
        <w:rPr>
          <w:spacing w:val="-10"/>
          <w:w w:val="95"/>
        </w:rPr>
        <w:t xml:space="preserve"> </w:t>
      </w:r>
      <w:r>
        <w:rPr>
          <w:w w:val="95"/>
        </w:rPr>
        <w:t>HNV</w:t>
      </w:r>
      <w:r>
        <w:rPr>
          <w:spacing w:val="-10"/>
          <w:w w:val="95"/>
        </w:rPr>
        <w:t xml:space="preserve"> </w:t>
      </w:r>
      <w:r>
        <w:rPr>
          <w:w w:val="95"/>
        </w:rPr>
        <w:t>has</w:t>
      </w:r>
      <w:r>
        <w:rPr>
          <w:spacing w:val="-10"/>
          <w:w w:val="95"/>
        </w:rPr>
        <w:t xml:space="preserve"> </w:t>
      </w:r>
      <w:r>
        <w:rPr>
          <w:w w:val="95"/>
        </w:rPr>
        <w:t>a</w:t>
      </w:r>
      <w:r>
        <w:rPr>
          <w:spacing w:val="-10"/>
          <w:w w:val="95"/>
        </w:rPr>
        <w:t xml:space="preserve"> </w:t>
      </w:r>
      <w:r>
        <w:rPr>
          <w:w w:val="95"/>
        </w:rPr>
        <w:t>unique</w:t>
      </w:r>
      <w:r>
        <w:rPr>
          <w:spacing w:val="-10"/>
          <w:w w:val="95"/>
        </w:rPr>
        <w:t xml:space="preserve"> </w:t>
      </w:r>
      <w:r>
        <w:rPr>
          <w:w w:val="95"/>
        </w:rPr>
        <w:t>flooding</w:t>
      </w:r>
      <w:r>
        <w:rPr>
          <w:spacing w:val="-9"/>
          <w:w w:val="95"/>
        </w:rPr>
        <w:t xml:space="preserve"> </w:t>
      </w:r>
      <w:r>
        <w:rPr>
          <w:w w:val="95"/>
        </w:rPr>
        <w:t>topography</w:t>
      </w:r>
      <w:r>
        <w:rPr>
          <w:spacing w:val="-11"/>
          <w:w w:val="95"/>
        </w:rPr>
        <w:t xml:space="preserve"> </w:t>
      </w:r>
      <w:r>
        <w:rPr>
          <w:w w:val="95"/>
        </w:rPr>
        <w:t>in Australia</w:t>
      </w:r>
      <w:r>
        <w:rPr>
          <w:spacing w:val="-11"/>
          <w:w w:val="95"/>
        </w:rPr>
        <w:t xml:space="preserve"> </w:t>
      </w:r>
      <w:r>
        <w:rPr>
          <w:w w:val="95"/>
        </w:rPr>
        <w:t>where</w:t>
      </w:r>
      <w:r>
        <w:rPr>
          <w:spacing w:val="-11"/>
          <w:w w:val="95"/>
        </w:rPr>
        <w:t xml:space="preserve"> </w:t>
      </w:r>
      <w:r>
        <w:rPr>
          <w:w w:val="95"/>
        </w:rPr>
        <w:t>a</w:t>
      </w:r>
      <w:r>
        <w:rPr>
          <w:spacing w:val="-11"/>
          <w:w w:val="95"/>
        </w:rPr>
        <w:t xml:space="preserve"> </w:t>
      </w:r>
      <w:r>
        <w:rPr>
          <w:w w:val="95"/>
        </w:rPr>
        <w:t>narrow</w:t>
      </w:r>
      <w:r>
        <w:rPr>
          <w:spacing w:val="-11"/>
          <w:w w:val="95"/>
        </w:rPr>
        <w:t xml:space="preserve"> </w:t>
      </w:r>
      <w:r>
        <w:rPr>
          <w:w w:val="95"/>
        </w:rPr>
        <w:t>gorge</w:t>
      </w:r>
      <w:r>
        <w:rPr>
          <w:spacing w:val="-11"/>
          <w:w w:val="95"/>
        </w:rPr>
        <w:t xml:space="preserve"> </w:t>
      </w:r>
      <w:r>
        <w:rPr>
          <w:w w:val="95"/>
        </w:rPr>
        <w:t>at</w:t>
      </w:r>
      <w:r>
        <w:rPr>
          <w:spacing w:val="-11"/>
          <w:w w:val="95"/>
        </w:rPr>
        <w:t xml:space="preserve"> </w:t>
      </w:r>
      <w:r>
        <w:rPr>
          <w:w w:val="95"/>
        </w:rPr>
        <w:t>Sackville</w:t>
      </w:r>
      <w:r>
        <w:rPr>
          <w:spacing w:val="-11"/>
          <w:w w:val="95"/>
        </w:rPr>
        <w:t xml:space="preserve"> </w:t>
      </w:r>
      <w:r>
        <w:rPr>
          <w:w w:val="95"/>
        </w:rPr>
        <w:t>restricts</w:t>
      </w:r>
      <w:r>
        <w:rPr>
          <w:spacing w:val="-11"/>
          <w:w w:val="95"/>
        </w:rPr>
        <w:t xml:space="preserve"> </w:t>
      </w:r>
      <w:r>
        <w:rPr>
          <w:w w:val="95"/>
        </w:rPr>
        <w:t xml:space="preserve">the </w:t>
      </w:r>
      <w:r>
        <w:t>rivers</w:t>
      </w:r>
      <w:r>
        <w:rPr>
          <w:spacing w:val="-13"/>
        </w:rPr>
        <w:t xml:space="preserve"> </w:t>
      </w:r>
      <w:r>
        <w:t>flow.</w:t>
      </w:r>
    </w:p>
    <w:p w:rsidR="002C1123" w:rsidRDefault="002060EF">
      <w:pPr>
        <w:pStyle w:val="BodyText"/>
        <w:spacing w:before="9"/>
        <w:rPr>
          <w:sz w:val="13"/>
        </w:rPr>
      </w:pPr>
      <w:r>
        <w:pict>
          <v:shape id="docshape838" o:spid="_x0000_s4490" style="position:absolute;margin-left:552.3pt;margin-top:9.15pt;width:1in;height:.1pt;z-index:-251401216;mso-wrap-distance-left:0;mso-wrap-distance-right:0;mso-position-horizontal-relative:page" coordorigin="11046,183" coordsize="1440,0" path="m11046,183r1440,e" filled="f" strokecolor="#9c9c9d" strokeweight=".5pt">
            <v:path arrowok="t"/>
            <w10:wrap type="topAndBottom" anchorx="page"/>
          </v:shape>
        </w:pict>
      </w:r>
    </w:p>
    <w:p w:rsidR="002C1123" w:rsidRDefault="00F22F94">
      <w:pPr>
        <w:pStyle w:val="ListParagraph"/>
        <w:numPr>
          <w:ilvl w:val="0"/>
          <w:numId w:val="114"/>
        </w:numPr>
        <w:tabs>
          <w:tab w:val="left" w:pos="10745"/>
        </w:tabs>
        <w:spacing w:before="23" w:line="161" w:lineRule="exact"/>
        <w:ind w:left="10744" w:hanging="200"/>
        <w:jc w:val="left"/>
        <w:rPr>
          <w:sz w:val="14"/>
        </w:rPr>
      </w:pPr>
      <w:r>
        <w:rPr>
          <w:w w:val="95"/>
          <w:sz w:val="14"/>
        </w:rPr>
        <w:t>Governor</w:t>
      </w:r>
      <w:r>
        <w:rPr>
          <w:spacing w:val="-4"/>
          <w:w w:val="95"/>
          <w:sz w:val="14"/>
        </w:rPr>
        <w:t xml:space="preserve"> </w:t>
      </w:r>
      <w:r>
        <w:rPr>
          <w:w w:val="95"/>
          <w:sz w:val="14"/>
        </w:rPr>
        <w:t>Macquarie</w:t>
      </w:r>
      <w:r>
        <w:rPr>
          <w:spacing w:val="-3"/>
          <w:w w:val="95"/>
          <w:sz w:val="14"/>
        </w:rPr>
        <w:t xml:space="preserve"> </w:t>
      </w:r>
      <w:r>
        <w:rPr>
          <w:w w:val="95"/>
          <w:sz w:val="14"/>
        </w:rPr>
        <w:t>1817,</w:t>
      </w:r>
      <w:r>
        <w:rPr>
          <w:spacing w:val="-4"/>
          <w:w w:val="95"/>
          <w:sz w:val="14"/>
        </w:rPr>
        <w:t xml:space="preserve"> </w:t>
      </w:r>
      <w:r>
        <w:rPr>
          <w:w w:val="95"/>
          <w:sz w:val="14"/>
        </w:rPr>
        <w:t>General</w:t>
      </w:r>
      <w:r>
        <w:rPr>
          <w:spacing w:val="-3"/>
          <w:w w:val="95"/>
          <w:sz w:val="14"/>
        </w:rPr>
        <w:t xml:space="preserve"> </w:t>
      </w:r>
      <w:r>
        <w:rPr>
          <w:spacing w:val="-2"/>
          <w:w w:val="95"/>
          <w:sz w:val="14"/>
        </w:rPr>
        <w:t>Orders.</w:t>
      </w:r>
    </w:p>
    <w:p w:rsidR="002C1123" w:rsidRDefault="00F22F94">
      <w:pPr>
        <w:pStyle w:val="ListParagraph"/>
        <w:numPr>
          <w:ilvl w:val="0"/>
          <w:numId w:val="114"/>
        </w:numPr>
        <w:tabs>
          <w:tab w:val="left" w:pos="10745"/>
        </w:tabs>
        <w:spacing w:line="161" w:lineRule="exact"/>
        <w:ind w:left="10744" w:hanging="200"/>
        <w:jc w:val="left"/>
        <w:rPr>
          <w:sz w:val="14"/>
        </w:rPr>
      </w:pPr>
      <w:r>
        <w:rPr>
          <w:w w:val="95"/>
          <w:sz w:val="14"/>
        </w:rPr>
        <w:t>Sydney</w:t>
      </w:r>
      <w:r>
        <w:rPr>
          <w:spacing w:val="-8"/>
          <w:w w:val="95"/>
          <w:sz w:val="14"/>
        </w:rPr>
        <w:t xml:space="preserve"> </w:t>
      </w:r>
      <w:r>
        <w:rPr>
          <w:w w:val="95"/>
          <w:sz w:val="14"/>
        </w:rPr>
        <w:t>Water,</w:t>
      </w:r>
      <w:r>
        <w:rPr>
          <w:spacing w:val="-7"/>
          <w:w w:val="95"/>
          <w:sz w:val="14"/>
        </w:rPr>
        <w:t xml:space="preserve"> </w:t>
      </w:r>
      <w:r>
        <w:rPr>
          <w:spacing w:val="-2"/>
          <w:w w:val="95"/>
          <w:sz w:val="14"/>
        </w:rPr>
        <w:t>1995.</w:t>
      </w:r>
    </w:p>
    <w:p w:rsidR="002C1123" w:rsidRDefault="002C1123">
      <w:pPr>
        <w:spacing w:line="161" w:lineRule="exact"/>
        <w:rPr>
          <w:sz w:val="14"/>
        </w:rPr>
        <w:sectPr w:rsidR="002C1123">
          <w:pgSz w:w="16840" w:h="11910" w:orient="landscape"/>
          <w:pgMar w:top="560" w:right="280" w:bottom="700" w:left="500" w:header="0" w:footer="470"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C1123">
      <w:pPr>
        <w:rPr>
          <w:sz w:val="19"/>
        </w:rPr>
        <w:sectPr w:rsidR="002C1123">
          <w:pgSz w:w="16840" w:h="11910" w:orient="landscape"/>
          <w:pgMar w:top="560" w:right="280" w:bottom="700" w:left="500" w:header="0" w:footer="470" w:gutter="0"/>
          <w:cols w:space="720"/>
        </w:sectPr>
      </w:pPr>
    </w:p>
    <w:p w:rsidR="002C1123" w:rsidRDefault="00F22F94">
      <w:pPr>
        <w:pStyle w:val="BodyText"/>
        <w:spacing w:before="106" w:line="249" w:lineRule="auto"/>
        <w:ind w:left="492"/>
      </w:pPr>
      <w:bookmarkStart w:id="122" w:name="_bookmark88"/>
      <w:bookmarkEnd w:id="122"/>
      <w:r>
        <w:rPr>
          <w:w w:val="95"/>
        </w:rPr>
        <w:t xml:space="preserve">In heavy rains the water level rises quickly and </w:t>
      </w:r>
      <w:r>
        <w:t>incremental</w:t>
      </w:r>
      <w:r>
        <w:rPr>
          <w:spacing w:val="-14"/>
        </w:rPr>
        <w:t xml:space="preserve"> </w:t>
      </w:r>
      <w:r>
        <w:t>flood</w:t>
      </w:r>
      <w:r>
        <w:rPr>
          <w:spacing w:val="-14"/>
        </w:rPr>
        <w:t xml:space="preserve"> </w:t>
      </w:r>
      <w:r>
        <w:t>depths</w:t>
      </w:r>
      <w:r>
        <w:rPr>
          <w:spacing w:val="-14"/>
        </w:rPr>
        <w:t xml:space="preserve"> </w:t>
      </w:r>
      <w:r>
        <w:t>are</w:t>
      </w:r>
      <w:r>
        <w:rPr>
          <w:spacing w:val="-14"/>
        </w:rPr>
        <w:t xml:space="preserve"> </w:t>
      </w:r>
      <w:r>
        <w:t>very</w:t>
      </w:r>
      <w:r>
        <w:rPr>
          <w:spacing w:val="-14"/>
        </w:rPr>
        <w:t xml:space="preserve"> </w:t>
      </w:r>
      <w:r>
        <w:t>large</w:t>
      </w:r>
      <w:r>
        <w:rPr>
          <w:spacing w:val="-14"/>
        </w:rPr>
        <w:t xml:space="preserve"> </w:t>
      </w:r>
      <w:r>
        <w:t>compared</w:t>
      </w:r>
      <w:r>
        <w:rPr>
          <w:spacing w:val="-14"/>
        </w:rPr>
        <w:t xml:space="preserve"> </w:t>
      </w:r>
      <w:r>
        <w:t xml:space="preserve">to </w:t>
      </w:r>
      <w:r>
        <w:rPr>
          <w:w w:val="95"/>
        </w:rPr>
        <w:t>other</w:t>
      </w:r>
      <w:r>
        <w:rPr>
          <w:spacing w:val="-2"/>
          <w:w w:val="95"/>
        </w:rPr>
        <w:t xml:space="preserve"> </w:t>
      </w:r>
      <w:r>
        <w:rPr>
          <w:w w:val="95"/>
        </w:rPr>
        <w:t>flood</w:t>
      </w:r>
      <w:r>
        <w:rPr>
          <w:spacing w:val="-2"/>
          <w:w w:val="95"/>
        </w:rPr>
        <w:t xml:space="preserve"> </w:t>
      </w:r>
      <w:r>
        <w:rPr>
          <w:w w:val="95"/>
        </w:rPr>
        <w:t>plains.</w:t>
      </w:r>
      <w:r>
        <w:rPr>
          <w:spacing w:val="-2"/>
          <w:w w:val="95"/>
        </w:rPr>
        <w:t xml:space="preserve"> </w:t>
      </w:r>
      <w:r>
        <w:rPr>
          <w:w w:val="95"/>
        </w:rPr>
        <w:t>The</w:t>
      </w:r>
      <w:r>
        <w:rPr>
          <w:spacing w:val="-2"/>
          <w:w w:val="95"/>
        </w:rPr>
        <w:t xml:space="preserve"> </w:t>
      </w:r>
      <w:r>
        <w:rPr>
          <w:w w:val="95"/>
        </w:rPr>
        <w:t>water</w:t>
      </w:r>
      <w:r>
        <w:rPr>
          <w:spacing w:val="-2"/>
          <w:w w:val="95"/>
        </w:rPr>
        <w:t xml:space="preserve"> </w:t>
      </w:r>
      <w:r>
        <w:rPr>
          <w:w w:val="95"/>
        </w:rPr>
        <w:t>level</w:t>
      </w:r>
      <w:r>
        <w:rPr>
          <w:spacing w:val="-2"/>
          <w:w w:val="95"/>
        </w:rPr>
        <w:t xml:space="preserve"> </w:t>
      </w:r>
      <w:r>
        <w:rPr>
          <w:w w:val="95"/>
        </w:rPr>
        <w:t>at</w:t>
      </w:r>
      <w:r>
        <w:rPr>
          <w:spacing w:val="-2"/>
          <w:w w:val="95"/>
        </w:rPr>
        <w:t xml:space="preserve"> </w:t>
      </w:r>
      <w:r>
        <w:rPr>
          <w:w w:val="95"/>
        </w:rPr>
        <w:t>Windsor</w:t>
      </w:r>
      <w:r>
        <w:rPr>
          <w:spacing w:val="-2"/>
          <w:w w:val="95"/>
        </w:rPr>
        <w:t xml:space="preserve"> </w:t>
      </w:r>
      <w:r>
        <w:rPr>
          <w:w w:val="95"/>
        </w:rPr>
        <w:t>is</w:t>
      </w:r>
      <w:r>
        <w:rPr>
          <w:spacing w:val="-2"/>
          <w:w w:val="95"/>
        </w:rPr>
        <w:t xml:space="preserve"> </w:t>
      </w:r>
      <w:r>
        <w:rPr>
          <w:w w:val="95"/>
        </w:rPr>
        <w:t>normally at</w:t>
      </w:r>
      <w:r>
        <w:rPr>
          <w:spacing w:val="-12"/>
          <w:w w:val="95"/>
        </w:rPr>
        <w:t xml:space="preserve"> </w:t>
      </w:r>
      <w:r>
        <w:rPr>
          <w:w w:val="95"/>
        </w:rPr>
        <w:t>sea</w:t>
      </w:r>
      <w:r>
        <w:rPr>
          <w:spacing w:val="-11"/>
          <w:w w:val="95"/>
        </w:rPr>
        <w:t xml:space="preserve"> </w:t>
      </w:r>
      <w:r>
        <w:rPr>
          <w:w w:val="95"/>
        </w:rPr>
        <w:t>level.</w:t>
      </w:r>
      <w:r>
        <w:rPr>
          <w:spacing w:val="-11"/>
          <w:w w:val="95"/>
        </w:rPr>
        <w:t xml:space="preserve"> </w:t>
      </w:r>
      <w:r>
        <w:rPr>
          <w:w w:val="95"/>
        </w:rPr>
        <w:t>A</w:t>
      </w:r>
      <w:r>
        <w:rPr>
          <w:spacing w:val="-11"/>
          <w:w w:val="95"/>
        </w:rPr>
        <w:t xml:space="preserve"> </w:t>
      </w:r>
      <w:r>
        <w:rPr>
          <w:w w:val="95"/>
        </w:rPr>
        <w:t>repeat</w:t>
      </w:r>
      <w:r>
        <w:rPr>
          <w:spacing w:val="-12"/>
          <w:w w:val="95"/>
        </w:rPr>
        <w:t xml:space="preserve"> </w:t>
      </w:r>
      <w:r>
        <w:rPr>
          <w:w w:val="95"/>
        </w:rPr>
        <w:t>of</w:t>
      </w:r>
      <w:r>
        <w:rPr>
          <w:spacing w:val="-11"/>
          <w:w w:val="95"/>
        </w:rPr>
        <w:t xml:space="preserve"> </w:t>
      </w:r>
      <w:r>
        <w:rPr>
          <w:w w:val="95"/>
        </w:rPr>
        <w:t>the</w:t>
      </w:r>
      <w:r>
        <w:rPr>
          <w:spacing w:val="-11"/>
          <w:w w:val="95"/>
        </w:rPr>
        <w:t xml:space="preserve"> </w:t>
      </w:r>
      <w:r>
        <w:rPr>
          <w:w w:val="95"/>
        </w:rPr>
        <w:t>flood</w:t>
      </w:r>
      <w:r>
        <w:rPr>
          <w:spacing w:val="-11"/>
          <w:w w:val="95"/>
        </w:rPr>
        <w:t xml:space="preserve"> </w:t>
      </w:r>
      <w:r>
        <w:rPr>
          <w:w w:val="95"/>
        </w:rPr>
        <w:t>on</w:t>
      </w:r>
      <w:r>
        <w:rPr>
          <w:spacing w:val="-11"/>
          <w:w w:val="95"/>
        </w:rPr>
        <w:t xml:space="preserve"> </w:t>
      </w:r>
      <w:r>
        <w:rPr>
          <w:w w:val="95"/>
        </w:rPr>
        <w:t>record</w:t>
      </w:r>
      <w:r>
        <w:rPr>
          <w:spacing w:val="-12"/>
          <w:w w:val="95"/>
        </w:rPr>
        <w:t xml:space="preserve"> </w:t>
      </w:r>
      <w:r>
        <w:rPr>
          <w:w w:val="95"/>
        </w:rPr>
        <w:t>would</w:t>
      </w:r>
      <w:r>
        <w:rPr>
          <w:spacing w:val="-11"/>
          <w:w w:val="95"/>
        </w:rPr>
        <w:t xml:space="preserve"> </w:t>
      </w:r>
      <w:r>
        <w:rPr>
          <w:w w:val="95"/>
        </w:rPr>
        <w:t>see</w:t>
      </w:r>
      <w:r>
        <w:rPr>
          <w:spacing w:val="-11"/>
          <w:w w:val="95"/>
        </w:rPr>
        <w:t xml:space="preserve"> </w:t>
      </w:r>
      <w:r>
        <w:rPr>
          <w:w w:val="95"/>
        </w:rPr>
        <w:t xml:space="preserve">this </w:t>
      </w:r>
      <w:r>
        <w:t>rise</w:t>
      </w:r>
      <w:r>
        <w:rPr>
          <w:spacing w:val="-4"/>
        </w:rPr>
        <w:t xml:space="preserve"> </w:t>
      </w:r>
      <w:r>
        <w:t>to</w:t>
      </w:r>
      <w:r>
        <w:rPr>
          <w:spacing w:val="-4"/>
        </w:rPr>
        <w:t xml:space="preserve"> </w:t>
      </w:r>
      <w:r>
        <w:t>almost</w:t>
      </w:r>
      <w:r>
        <w:rPr>
          <w:spacing w:val="-4"/>
        </w:rPr>
        <w:t xml:space="preserve"> </w:t>
      </w:r>
      <w:r>
        <w:t>20</w:t>
      </w:r>
      <w:r>
        <w:rPr>
          <w:spacing w:val="-4"/>
        </w:rPr>
        <w:t xml:space="preserve"> </w:t>
      </w:r>
      <w:r>
        <w:t>metres</w:t>
      </w:r>
      <w:r>
        <w:rPr>
          <w:spacing w:val="-4"/>
        </w:rPr>
        <w:t xml:space="preserve"> </w:t>
      </w:r>
      <w:r>
        <w:t>high.</w:t>
      </w:r>
    </w:p>
    <w:p w:rsidR="002C1123" w:rsidRDefault="00F22F94">
      <w:pPr>
        <w:pStyle w:val="BodyText"/>
        <w:spacing w:before="146" w:line="249" w:lineRule="auto"/>
        <w:ind w:left="492"/>
      </w:pPr>
      <w:r>
        <w:t>The</w:t>
      </w:r>
      <w:r>
        <w:rPr>
          <w:spacing w:val="-12"/>
        </w:rPr>
        <w:t xml:space="preserve"> </w:t>
      </w:r>
      <w:r>
        <w:t>NSW</w:t>
      </w:r>
      <w:r>
        <w:rPr>
          <w:spacing w:val="-12"/>
        </w:rPr>
        <w:t xml:space="preserve"> </w:t>
      </w:r>
      <w:r>
        <w:t>Government</w:t>
      </w:r>
      <w:r>
        <w:rPr>
          <w:spacing w:val="-12"/>
        </w:rPr>
        <w:t xml:space="preserve"> </w:t>
      </w:r>
      <w:r>
        <w:t>of</w:t>
      </w:r>
      <w:r>
        <w:rPr>
          <w:spacing w:val="-12"/>
        </w:rPr>
        <w:t xml:space="preserve"> </w:t>
      </w:r>
      <w:r>
        <w:t>the</w:t>
      </w:r>
      <w:r>
        <w:rPr>
          <w:spacing w:val="-12"/>
        </w:rPr>
        <w:t xml:space="preserve"> </w:t>
      </w:r>
      <w:r>
        <w:t>day</w:t>
      </w:r>
      <w:r>
        <w:rPr>
          <w:spacing w:val="-12"/>
        </w:rPr>
        <w:t xml:space="preserve"> </w:t>
      </w:r>
      <w:r>
        <w:t>not</w:t>
      </w:r>
      <w:r>
        <w:rPr>
          <w:spacing w:val="-12"/>
        </w:rPr>
        <w:t xml:space="preserve"> </w:t>
      </w:r>
      <w:r>
        <w:t>only</w:t>
      </w:r>
      <w:r>
        <w:rPr>
          <w:spacing w:val="-12"/>
        </w:rPr>
        <w:t xml:space="preserve"> </w:t>
      </w:r>
      <w:r>
        <w:t xml:space="preserve">wanted </w:t>
      </w:r>
      <w:r>
        <w:rPr>
          <w:w w:val="95"/>
        </w:rPr>
        <w:t>appropriate</w:t>
      </w:r>
      <w:r>
        <w:rPr>
          <w:spacing w:val="-6"/>
          <w:w w:val="95"/>
        </w:rPr>
        <w:t xml:space="preserve"> </w:t>
      </w:r>
      <w:r>
        <w:rPr>
          <w:w w:val="95"/>
        </w:rPr>
        <w:t>emergency</w:t>
      </w:r>
      <w:r>
        <w:rPr>
          <w:spacing w:val="-6"/>
          <w:w w:val="95"/>
        </w:rPr>
        <w:t xml:space="preserve"> </w:t>
      </w:r>
      <w:r>
        <w:rPr>
          <w:w w:val="95"/>
        </w:rPr>
        <w:t>plans</w:t>
      </w:r>
      <w:r>
        <w:rPr>
          <w:spacing w:val="-6"/>
          <w:w w:val="95"/>
        </w:rPr>
        <w:t xml:space="preserve"> </w:t>
      </w:r>
      <w:r>
        <w:rPr>
          <w:w w:val="95"/>
        </w:rPr>
        <w:t>for</w:t>
      </w:r>
      <w:r>
        <w:rPr>
          <w:spacing w:val="-6"/>
          <w:w w:val="95"/>
        </w:rPr>
        <w:t xml:space="preserve"> </w:t>
      </w:r>
      <w:r>
        <w:rPr>
          <w:w w:val="95"/>
        </w:rPr>
        <w:t>the</w:t>
      </w:r>
      <w:r>
        <w:rPr>
          <w:spacing w:val="-6"/>
          <w:w w:val="95"/>
        </w:rPr>
        <w:t xml:space="preserve"> </w:t>
      </w:r>
      <w:r>
        <w:rPr>
          <w:w w:val="95"/>
        </w:rPr>
        <w:t>HNV,</w:t>
      </w:r>
      <w:r>
        <w:rPr>
          <w:spacing w:val="-6"/>
          <w:w w:val="95"/>
        </w:rPr>
        <w:t xml:space="preserve"> </w:t>
      </w:r>
      <w:r>
        <w:rPr>
          <w:w w:val="95"/>
        </w:rPr>
        <w:t>it</w:t>
      </w:r>
      <w:r>
        <w:rPr>
          <w:spacing w:val="-6"/>
          <w:w w:val="95"/>
        </w:rPr>
        <w:t xml:space="preserve"> </w:t>
      </w:r>
      <w:r>
        <w:rPr>
          <w:w w:val="95"/>
        </w:rPr>
        <w:t>also</w:t>
      </w:r>
      <w:r>
        <w:rPr>
          <w:spacing w:val="-6"/>
          <w:w w:val="95"/>
        </w:rPr>
        <w:t xml:space="preserve"> </w:t>
      </w:r>
      <w:r>
        <w:rPr>
          <w:w w:val="95"/>
        </w:rPr>
        <w:t xml:space="preserve">wanted to substantially alleviate flood losses. An Environmental Impact Statement (EIS) was developed which looked at </w:t>
      </w:r>
      <w:r>
        <w:t>all the possible options.</w:t>
      </w:r>
    </w:p>
    <w:p w:rsidR="002C1123" w:rsidRDefault="00F22F94">
      <w:pPr>
        <w:pStyle w:val="BodyText"/>
        <w:spacing w:before="146" w:line="249" w:lineRule="auto"/>
        <w:ind w:left="492"/>
      </w:pPr>
      <w:r>
        <w:t>The</w:t>
      </w:r>
      <w:r>
        <w:rPr>
          <w:spacing w:val="-14"/>
        </w:rPr>
        <w:t xml:space="preserve"> </w:t>
      </w:r>
      <w:r>
        <w:t>EIS</w:t>
      </w:r>
      <w:r>
        <w:rPr>
          <w:spacing w:val="-14"/>
        </w:rPr>
        <w:t xml:space="preserve"> </w:t>
      </w:r>
      <w:r>
        <w:t>reached</w:t>
      </w:r>
      <w:r>
        <w:rPr>
          <w:spacing w:val="-14"/>
        </w:rPr>
        <w:t xml:space="preserve"> </w:t>
      </w:r>
      <w:r>
        <w:t>the</w:t>
      </w:r>
      <w:r>
        <w:rPr>
          <w:spacing w:val="-14"/>
        </w:rPr>
        <w:t xml:space="preserve"> </w:t>
      </w:r>
      <w:r>
        <w:t>conclusion</w:t>
      </w:r>
      <w:r>
        <w:rPr>
          <w:spacing w:val="-14"/>
        </w:rPr>
        <w:t xml:space="preserve"> </w:t>
      </w:r>
      <w:r>
        <w:t>that</w:t>
      </w:r>
      <w:r>
        <w:rPr>
          <w:spacing w:val="-14"/>
        </w:rPr>
        <w:t xml:space="preserve"> </w:t>
      </w:r>
      <w:r>
        <w:t>raising</w:t>
      </w:r>
      <w:r>
        <w:rPr>
          <w:spacing w:val="-13"/>
        </w:rPr>
        <w:t xml:space="preserve"> </w:t>
      </w:r>
      <w:r>
        <w:t xml:space="preserve">the </w:t>
      </w:r>
      <w:r>
        <w:rPr>
          <w:w w:val="95"/>
        </w:rPr>
        <w:t>Warragamba</w:t>
      </w:r>
      <w:r>
        <w:rPr>
          <w:spacing w:val="-6"/>
          <w:w w:val="95"/>
        </w:rPr>
        <w:t xml:space="preserve"> </w:t>
      </w:r>
      <w:r>
        <w:rPr>
          <w:w w:val="95"/>
        </w:rPr>
        <w:t>Dam</w:t>
      </w:r>
      <w:r>
        <w:rPr>
          <w:spacing w:val="-7"/>
          <w:w w:val="95"/>
        </w:rPr>
        <w:t xml:space="preserve"> </w:t>
      </w:r>
      <w:r>
        <w:rPr>
          <w:w w:val="95"/>
        </w:rPr>
        <w:t>wall</w:t>
      </w:r>
      <w:r>
        <w:rPr>
          <w:spacing w:val="-6"/>
          <w:w w:val="95"/>
        </w:rPr>
        <w:t xml:space="preserve"> </w:t>
      </w:r>
      <w:r>
        <w:rPr>
          <w:w w:val="95"/>
        </w:rPr>
        <w:t>by</w:t>
      </w:r>
      <w:r>
        <w:rPr>
          <w:spacing w:val="-6"/>
          <w:w w:val="95"/>
        </w:rPr>
        <w:t xml:space="preserve"> </w:t>
      </w:r>
      <w:r>
        <w:rPr>
          <w:w w:val="95"/>
        </w:rPr>
        <w:t>23</w:t>
      </w:r>
      <w:r>
        <w:rPr>
          <w:spacing w:val="-6"/>
          <w:w w:val="95"/>
        </w:rPr>
        <w:t xml:space="preserve"> </w:t>
      </w:r>
      <w:r>
        <w:rPr>
          <w:w w:val="95"/>
        </w:rPr>
        <w:t>metres</w:t>
      </w:r>
      <w:r>
        <w:rPr>
          <w:spacing w:val="-6"/>
          <w:w w:val="95"/>
        </w:rPr>
        <w:t xml:space="preserve"> </w:t>
      </w:r>
      <w:r>
        <w:rPr>
          <w:w w:val="95"/>
        </w:rPr>
        <w:t>to</w:t>
      </w:r>
      <w:r>
        <w:rPr>
          <w:spacing w:val="-6"/>
          <w:w w:val="95"/>
        </w:rPr>
        <w:t xml:space="preserve"> </w:t>
      </w:r>
      <w:r>
        <w:rPr>
          <w:w w:val="95"/>
        </w:rPr>
        <w:t>temporarily</w:t>
      </w:r>
      <w:r>
        <w:rPr>
          <w:spacing w:val="-6"/>
          <w:w w:val="95"/>
        </w:rPr>
        <w:t xml:space="preserve"> </w:t>
      </w:r>
      <w:r>
        <w:rPr>
          <w:w w:val="95"/>
        </w:rPr>
        <w:t xml:space="preserve">store </w:t>
      </w:r>
      <w:r>
        <w:t>flood</w:t>
      </w:r>
      <w:r>
        <w:rPr>
          <w:spacing w:val="-11"/>
        </w:rPr>
        <w:t xml:space="preserve"> </w:t>
      </w:r>
      <w:r>
        <w:t>waters</w:t>
      </w:r>
      <w:r>
        <w:rPr>
          <w:spacing w:val="-11"/>
        </w:rPr>
        <w:t xml:space="preserve"> </w:t>
      </w:r>
      <w:r>
        <w:t>not</w:t>
      </w:r>
      <w:r>
        <w:rPr>
          <w:spacing w:val="-11"/>
        </w:rPr>
        <w:t xml:space="preserve"> </w:t>
      </w:r>
      <w:r>
        <w:t>only</w:t>
      </w:r>
      <w:r>
        <w:rPr>
          <w:spacing w:val="-11"/>
        </w:rPr>
        <w:t xml:space="preserve"> </w:t>
      </w:r>
      <w:r>
        <w:t>made</w:t>
      </w:r>
      <w:r>
        <w:rPr>
          <w:spacing w:val="-11"/>
        </w:rPr>
        <w:t xml:space="preserve"> </w:t>
      </w:r>
      <w:r>
        <w:t>the</w:t>
      </w:r>
      <w:r>
        <w:rPr>
          <w:spacing w:val="-11"/>
        </w:rPr>
        <w:t xml:space="preserve"> </w:t>
      </w:r>
      <w:r>
        <w:t>dam</w:t>
      </w:r>
      <w:r>
        <w:rPr>
          <w:spacing w:val="-12"/>
        </w:rPr>
        <w:t xml:space="preserve"> </w:t>
      </w:r>
      <w:r>
        <w:t>wall</w:t>
      </w:r>
      <w:r>
        <w:rPr>
          <w:spacing w:val="-11"/>
        </w:rPr>
        <w:t xml:space="preserve"> </w:t>
      </w:r>
      <w:r>
        <w:t>safe</w:t>
      </w:r>
      <w:r>
        <w:rPr>
          <w:spacing w:val="-11"/>
        </w:rPr>
        <w:t xml:space="preserve"> </w:t>
      </w:r>
      <w:r>
        <w:t>from</w:t>
      </w:r>
      <w:r>
        <w:rPr>
          <w:spacing w:val="-12"/>
        </w:rPr>
        <w:t xml:space="preserve"> </w:t>
      </w:r>
      <w:r>
        <w:t>the probable</w:t>
      </w:r>
      <w:r>
        <w:rPr>
          <w:spacing w:val="-2"/>
        </w:rPr>
        <w:t xml:space="preserve"> </w:t>
      </w:r>
      <w:r>
        <w:t>maximum</w:t>
      </w:r>
      <w:r>
        <w:rPr>
          <w:spacing w:val="-3"/>
        </w:rPr>
        <w:t xml:space="preserve"> </w:t>
      </w:r>
      <w:r>
        <w:t>flood</w:t>
      </w:r>
      <w:r>
        <w:rPr>
          <w:spacing w:val="-2"/>
        </w:rPr>
        <w:t xml:space="preserve"> </w:t>
      </w:r>
      <w:r>
        <w:t>but</w:t>
      </w:r>
      <w:r>
        <w:rPr>
          <w:spacing w:val="-2"/>
        </w:rPr>
        <w:t xml:space="preserve"> </w:t>
      </w:r>
      <w:r>
        <w:t>would</w:t>
      </w:r>
      <w:r>
        <w:rPr>
          <w:spacing w:val="-2"/>
        </w:rPr>
        <w:t xml:space="preserve"> </w:t>
      </w:r>
      <w:r>
        <w:t>also</w:t>
      </w:r>
      <w:r>
        <w:rPr>
          <w:spacing w:val="-2"/>
        </w:rPr>
        <w:t xml:space="preserve"> </w:t>
      </w:r>
      <w:r>
        <w:t>reduce</w:t>
      </w:r>
      <w:r>
        <w:rPr>
          <w:spacing w:val="-2"/>
        </w:rPr>
        <w:t xml:space="preserve"> </w:t>
      </w:r>
      <w:r>
        <w:t xml:space="preserve">flood </w:t>
      </w:r>
      <w:r>
        <w:rPr>
          <w:w w:val="95"/>
        </w:rPr>
        <w:t>losses</w:t>
      </w:r>
      <w:r>
        <w:rPr>
          <w:spacing w:val="-5"/>
          <w:w w:val="95"/>
        </w:rPr>
        <w:t xml:space="preserve"> </w:t>
      </w:r>
      <w:r>
        <w:rPr>
          <w:w w:val="95"/>
        </w:rPr>
        <w:t>in</w:t>
      </w:r>
      <w:r>
        <w:rPr>
          <w:spacing w:val="-5"/>
          <w:w w:val="95"/>
        </w:rPr>
        <w:t xml:space="preserve"> </w:t>
      </w:r>
      <w:r>
        <w:rPr>
          <w:w w:val="95"/>
        </w:rPr>
        <w:t>the</w:t>
      </w:r>
      <w:r>
        <w:rPr>
          <w:spacing w:val="-5"/>
          <w:w w:val="95"/>
        </w:rPr>
        <w:t xml:space="preserve"> </w:t>
      </w:r>
      <w:r>
        <w:rPr>
          <w:w w:val="95"/>
        </w:rPr>
        <w:t>Valley.</w:t>
      </w:r>
      <w:r>
        <w:rPr>
          <w:spacing w:val="-5"/>
          <w:w w:val="95"/>
        </w:rPr>
        <w:t xml:space="preserve"> </w:t>
      </w:r>
      <w:r>
        <w:rPr>
          <w:w w:val="95"/>
        </w:rPr>
        <w:t>The</w:t>
      </w:r>
      <w:r>
        <w:rPr>
          <w:spacing w:val="-5"/>
          <w:w w:val="95"/>
        </w:rPr>
        <w:t xml:space="preserve"> </w:t>
      </w:r>
      <w:r>
        <w:rPr>
          <w:w w:val="95"/>
        </w:rPr>
        <w:t>largest</w:t>
      </w:r>
      <w:r>
        <w:rPr>
          <w:spacing w:val="-5"/>
          <w:w w:val="95"/>
        </w:rPr>
        <w:t xml:space="preserve"> </w:t>
      </w:r>
      <w:r>
        <w:rPr>
          <w:w w:val="95"/>
        </w:rPr>
        <w:t>environmental</w:t>
      </w:r>
      <w:r>
        <w:rPr>
          <w:spacing w:val="-5"/>
          <w:w w:val="95"/>
        </w:rPr>
        <w:t xml:space="preserve"> </w:t>
      </w:r>
      <w:r>
        <w:rPr>
          <w:w w:val="95"/>
        </w:rPr>
        <w:t>impact</w:t>
      </w:r>
      <w:r>
        <w:rPr>
          <w:spacing w:val="-5"/>
          <w:w w:val="95"/>
        </w:rPr>
        <w:t xml:space="preserve"> </w:t>
      </w:r>
      <w:r>
        <w:rPr>
          <w:w w:val="95"/>
        </w:rPr>
        <w:t xml:space="preserve">of </w:t>
      </w:r>
      <w:r>
        <w:t>this</w:t>
      </w:r>
      <w:r>
        <w:rPr>
          <w:spacing w:val="-9"/>
        </w:rPr>
        <w:t xml:space="preserve"> </w:t>
      </w:r>
      <w:r>
        <w:t>option</w:t>
      </w:r>
      <w:r>
        <w:rPr>
          <w:spacing w:val="-9"/>
        </w:rPr>
        <w:t xml:space="preserve"> </w:t>
      </w:r>
      <w:r>
        <w:t>was</w:t>
      </w:r>
      <w:r>
        <w:rPr>
          <w:spacing w:val="-9"/>
        </w:rPr>
        <w:t xml:space="preserve"> </w:t>
      </w:r>
      <w:r>
        <w:t>the</w:t>
      </w:r>
      <w:r>
        <w:rPr>
          <w:spacing w:val="-9"/>
        </w:rPr>
        <w:t xml:space="preserve"> </w:t>
      </w:r>
      <w:r>
        <w:t>temporary</w:t>
      </w:r>
      <w:r>
        <w:rPr>
          <w:spacing w:val="-9"/>
        </w:rPr>
        <w:t xml:space="preserve"> </w:t>
      </w:r>
      <w:r>
        <w:t>inundation,</w:t>
      </w:r>
      <w:r>
        <w:rPr>
          <w:spacing w:val="-9"/>
        </w:rPr>
        <w:t xml:space="preserve"> </w:t>
      </w:r>
      <w:r>
        <w:t>upstream</w:t>
      </w:r>
      <w:r>
        <w:rPr>
          <w:spacing w:val="-9"/>
        </w:rPr>
        <w:t xml:space="preserve"> </w:t>
      </w:r>
      <w:r>
        <w:t>of the dam, to the undisturbed bushland.</w:t>
      </w:r>
    </w:p>
    <w:p w:rsidR="002C1123" w:rsidRDefault="00F22F94">
      <w:pPr>
        <w:pStyle w:val="BodyText"/>
        <w:spacing w:before="147" w:line="249" w:lineRule="auto"/>
        <w:ind w:left="492" w:right="217"/>
      </w:pPr>
      <w:r>
        <w:rPr>
          <w:w w:val="95"/>
        </w:rPr>
        <w:t>At</w:t>
      </w:r>
      <w:r>
        <w:rPr>
          <w:spacing w:val="-4"/>
          <w:w w:val="95"/>
        </w:rPr>
        <w:t xml:space="preserve"> </w:t>
      </w:r>
      <w:r>
        <w:rPr>
          <w:w w:val="95"/>
        </w:rPr>
        <w:t>the</w:t>
      </w:r>
      <w:r>
        <w:rPr>
          <w:spacing w:val="-4"/>
          <w:w w:val="95"/>
        </w:rPr>
        <w:t xml:space="preserve"> </w:t>
      </w:r>
      <w:r>
        <w:rPr>
          <w:w w:val="95"/>
        </w:rPr>
        <w:t>time,</w:t>
      </w:r>
      <w:r>
        <w:rPr>
          <w:spacing w:val="-4"/>
          <w:w w:val="95"/>
        </w:rPr>
        <w:t xml:space="preserve"> </w:t>
      </w:r>
      <w:r>
        <w:rPr>
          <w:w w:val="95"/>
        </w:rPr>
        <w:t>it</w:t>
      </w:r>
      <w:r>
        <w:rPr>
          <w:spacing w:val="-4"/>
          <w:w w:val="95"/>
        </w:rPr>
        <w:t xml:space="preserve"> </w:t>
      </w:r>
      <w:r>
        <w:rPr>
          <w:w w:val="95"/>
        </w:rPr>
        <w:t>was</w:t>
      </w:r>
      <w:r>
        <w:rPr>
          <w:spacing w:val="-4"/>
          <w:w w:val="95"/>
        </w:rPr>
        <w:t xml:space="preserve"> </w:t>
      </w:r>
      <w:r>
        <w:rPr>
          <w:w w:val="95"/>
        </w:rPr>
        <w:t>considered</w:t>
      </w:r>
      <w:r>
        <w:rPr>
          <w:spacing w:val="-4"/>
          <w:w w:val="95"/>
        </w:rPr>
        <w:t xml:space="preserve"> </w:t>
      </w:r>
      <w:r>
        <w:rPr>
          <w:w w:val="95"/>
        </w:rPr>
        <w:t>that</w:t>
      </w:r>
      <w:r>
        <w:rPr>
          <w:spacing w:val="-4"/>
          <w:w w:val="95"/>
        </w:rPr>
        <w:t xml:space="preserve"> </w:t>
      </w:r>
      <w:r>
        <w:rPr>
          <w:w w:val="95"/>
        </w:rPr>
        <w:t>these</w:t>
      </w:r>
      <w:r>
        <w:rPr>
          <w:spacing w:val="-4"/>
          <w:w w:val="95"/>
        </w:rPr>
        <w:t xml:space="preserve"> </w:t>
      </w:r>
      <w:r>
        <w:rPr>
          <w:w w:val="95"/>
        </w:rPr>
        <w:t xml:space="preserve">biophysical </w:t>
      </w:r>
      <w:r>
        <w:t>costs</w:t>
      </w:r>
      <w:r>
        <w:rPr>
          <w:spacing w:val="-14"/>
        </w:rPr>
        <w:t xml:space="preserve"> </w:t>
      </w:r>
      <w:r>
        <w:t>would</w:t>
      </w:r>
      <w:r>
        <w:rPr>
          <w:spacing w:val="-14"/>
        </w:rPr>
        <w:t xml:space="preserve"> </w:t>
      </w:r>
      <w:r>
        <w:t>not</w:t>
      </w:r>
      <w:r>
        <w:rPr>
          <w:spacing w:val="-14"/>
        </w:rPr>
        <w:t xml:space="preserve"> </w:t>
      </w:r>
      <w:r>
        <w:t>outweigh</w:t>
      </w:r>
      <w:r>
        <w:rPr>
          <w:spacing w:val="-14"/>
        </w:rPr>
        <w:t xml:space="preserve"> </w:t>
      </w:r>
      <w:r>
        <w:t>the</w:t>
      </w:r>
      <w:r>
        <w:rPr>
          <w:spacing w:val="-14"/>
        </w:rPr>
        <w:t xml:space="preserve"> </w:t>
      </w:r>
      <w:r>
        <w:t>social</w:t>
      </w:r>
      <w:r>
        <w:rPr>
          <w:spacing w:val="-14"/>
        </w:rPr>
        <w:t xml:space="preserve"> </w:t>
      </w:r>
      <w:r>
        <w:t>and</w:t>
      </w:r>
      <w:r>
        <w:rPr>
          <w:spacing w:val="-14"/>
        </w:rPr>
        <w:t xml:space="preserve"> </w:t>
      </w:r>
      <w:r>
        <w:t>economic benefits</w:t>
      </w:r>
      <w:r>
        <w:rPr>
          <w:spacing w:val="-10"/>
        </w:rPr>
        <w:t xml:space="preserve"> </w:t>
      </w:r>
      <w:r>
        <w:t>to</w:t>
      </w:r>
      <w:r>
        <w:rPr>
          <w:spacing w:val="-10"/>
        </w:rPr>
        <w:t xml:space="preserve"> </w:t>
      </w:r>
      <w:r>
        <w:t>be</w:t>
      </w:r>
      <w:r>
        <w:rPr>
          <w:spacing w:val="-10"/>
        </w:rPr>
        <w:t xml:space="preserve"> </w:t>
      </w:r>
      <w:r>
        <w:t>gained</w:t>
      </w:r>
      <w:r>
        <w:rPr>
          <w:spacing w:val="-10"/>
        </w:rPr>
        <w:t xml:space="preserve"> </w:t>
      </w:r>
      <w:r>
        <w:t>from</w:t>
      </w:r>
      <w:r>
        <w:rPr>
          <w:spacing w:val="-11"/>
        </w:rPr>
        <w:t xml:space="preserve"> </w:t>
      </w:r>
      <w:r>
        <w:t>raising</w:t>
      </w:r>
      <w:r>
        <w:rPr>
          <w:spacing w:val="-10"/>
        </w:rPr>
        <w:t xml:space="preserve"> </w:t>
      </w:r>
      <w:r>
        <w:t>the</w:t>
      </w:r>
      <w:r>
        <w:rPr>
          <w:spacing w:val="-10"/>
        </w:rPr>
        <w:t xml:space="preserve"> </w:t>
      </w:r>
      <w:r>
        <w:t>dam</w:t>
      </w:r>
      <w:r>
        <w:rPr>
          <w:spacing w:val="-11"/>
        </w:rPr>
        <w:t xml:space="preserve"> </w:t>
      </w:r>
      <w:r>
        <w:t>wall.</w:t>
      </w:r>
    </w:p>
    <w:p w:rsidR="002C1123" w:rsidRDefault="00F22F94">
      <w:pPr>
        <w:pStyle w:val="BodyText"/>
        <w:spacing w:before="144" w:line="249" w:lineRule="auto"/>
        <w:ind w:left="492"/>
      </w:pPr>
      <w:r>
        <w:t>A</w:t>
      </w:r>
      <w:r>
        <w:rPr>
          <w:spacing w:val="-12"/>
        </w:rPr>
        <w:t xml:space="preserve"> </w:t>
      </w:r>
      <w:r>
        <w:t>change</w:t>
      </w:r>
      <w:r>
        <w:rPr>
          <w:spacing w:val="-12"/>
        </w:rPr>
        <w:t xml:space="preserve"> </w:t>
      </w:r>
      <w:r>
        <w:t>in</w:t>
      </w:r>
      <w:r>
        <w:rPr>
          <w:spacing w:val="-12"/>
        </w:rPr>
        <w:t xml:space="preserve"> </w:t>
      </w:r>
      <w:r>
        <w:t>the</w:t>
      </w:r>
      <w:r>
        <w:rPr>
          <w:spacing w:val="-12"/>
        </w:rPr>
        <w:t xml:space="preserve"> </w:t>
      </w:r>
      <w:r>
        <w:t>NSW</w:t>
      </w:r>
      <w:r>
        <w:rPr>
          <w:spacing w:val="-12"/>
        </w:rPr>
        <w:t xml:space="preserve"> </w:t>
      </w:r>
      <w:r>
        <w:t>Government</w:t>
      </w:r>
      <w:r>
        <w:rPr>
          <w:spacing w:val="-12"/>
        </w:rPr>
        <w:t xml:space="preserve"> </w:t>
      </w:r>
      <w:r>
        <w:t>in</w:t>
      </w:r>
      <w:r>
        <w:rPr>
          <w:spacing w:val="-12"/>
        </w:rPr>
        <w:t xml:space="preserve"> </w:t>
      </w:r>
      <w:r>
        <w:t>1995</w:t>
      </w:r>
      <w:r>
        <w:rPr>
          <w:spacing w:val="-12"/>
        </w:rPr>
        <w:t xml:space="preserve"> </w:t>
      </w:r>
      <w:r>
        <w:t>saw</w:t>
      </w:r>
      <w:r>
        <w:rPr>
          <w:spacing w:val="-12"/>
        </w:rPr>
        <w:t xml:space="preserve"> </w:t>
      </w:r>
      <w:r>
        <w:t xml:space="preserve">a </w:t>
      </w:r>
      <w:r>
        <w:rPr>
          <w:w w:val="95"/>
        </w:rPr>
        <w:t>change</w:t>
      </w:r>
      <w:r>
        <w:rPr>
          <w:spacing w:val="-2"/>
          <w:w w:val="95"/>
        </w:rPr>
        <w:t xml:space="preserve"> </w:t>
      </w:r>
      <w:r>
        <w:rPr>
          <w:w w:val="95"/>
        </w:rPr>
        <w:t>in</w:t>
      </w:r>
      <w:r>
        <w:rPr>
          <w:spacing w:val="-2"/>
          <w:w w:val="95"/>
        </w:rPr>
        <w:t xml:space="preserve"> </w:t>
      </w:r>
      <w:r>
        <w:rPr>
          <w:w w:val="95"/>
        </w:rPr>
        <w:t>view</w:t>
      </w:r>
      <w:r>
        <w:rPr>
          <w:spacing w:val="-2"/>
          <w:w w:val="95"/>
        </w:rPr>
        <w:t xml:space="preserve"> </w:t>
      </w:r>
      <w:r>
        <w:rPr>
          <w:w w:val="95"/>
        </w:rPr>
        <w:t>where</w:t>
      </w:r>
      <w:r>
        <w:rPr>
          <w:spacing w:val="-2"/>
          <w:w w:val="95"/>
        </w:rPr>
        <w:t xml:space="preserve"> </w:t>
      </w:r>
      <w:r>
        <w:rPr>
          <w:w w:val="95"/>
        </w:rPr>
        <w:t>upstream</w:t>
      </w:r>
      <w:r>
        <w:rPr>
          <w:spacing w:val="-3"/>
          <w:w w:val="95"/>
        </w:rPr>
        <w:t xml:space="preserve"> </w:t>
      </w:r>
      <w:r>
        <w:rPr>
          <w:w w:val="95"/>
        </w:rPr>
        <w:t>biophysical</w:t>
      </w:r>
      <w:r>
        <w:rPr>
          <w:spacing w:val="-2"/>
          <w:w w:val="95"/>
        </w:rPr>
        <w:t xml:space="preserve"> </w:t>
      </w:r>
      <w:r>
        <w:rPr>
          <w:w w:val="95"/>
        </w:rPr>
        <w:t>costs</w:t>
      </w:r>
      <w:r>
        <w:rPr>
          <w:spacing w:val="-2"/>
          <w:w w:val="95"/>
        </w:rPr>
        <w:t xml:space="preserve"> </w:t>
      </w:r>
      <w:r>
        <w:rPr>
          <w:w w:val="95"/>
        </w:rPr>
        <w:t xml:space="preserve">were </w:t>
      </w:r>
      <w:r>
        <w:t>considered</w:t>
      </w:r>
      <w:r>
        <w:rPr>
          <w:spacing w:val="-10"/>
        </w:rPr>
        <w:t xml:space="preserve"> </w:t>
      </w:r>
      <w:r>
        <w:t>to</w:t>
      </w:r>
      <w:r>
        <w:rPr>
          <w:spacing w:val="-10"/>
        </w:rPr>
        <w:t xml:space="preserve"> </w:t>
      </w:r>
      <w:r>
        <w:t>be</w:t>
      </w:r>
      <w:r>
        <w:rPr>
          <w:spacing w:val="-10"/>
        </w:rPr>
        <w:t xml:space="preserve"> </w:t>
      </w:r>
      <w:r>
        <w:t>sufficient</w:t>
      </w:r>
      <w:r>
        <w:rPr>
          <w:spacing w:val="-10"/>
        </w:rPr>
        <w:t xml:space="preserve"> </w:t>
      </w:r>
      <w:r>
        <w:t>to</w:t>
      </w:r>
      <w:r>
        <w:rPr>
          <w:spacing w:val="-10"/>
        </w:rPr>
        <w:t xml:space="preserve"> </w:t>
      </w:r>
      <w:r>
        <w:t>outweigh</w:t>
      </w:r>
      <w:r>
        <w:rPr>
          <w:spacing w:val="-10"/>
        </w:rPr>
        <w:t xml:space="preserve"> </w:t>
      </w:r>
      <w:r>
        <w:t>the</w:t>
      </w:r>
      <w:r>
        <w:rPr>
          <w:spacing w:val="-10"/>
        </w:rPr>
        <w:t xml:space="preserve"> </w:t>
      </w:r>
      <w:r>
        <w:t>social</w:t>
      </w:r>
      <w:r>
        <w:rPr>
          <w:spacing w:val="-10"/>
        </w:rPr>
        <w:t xml:space="preserve"> </w:t>
      </w:r>
      <w:r>
        <w:t>and economic</w:t>
      </w:r>
      <w:r>
        <w:rPr>
          <w:spacing w:val="-2"/>
        </w:rPr>
        <w:t xml:space="preserve"> </w:t>
      </w:r>
      <w:r>
        <w:t>benefits</w:t>
      </w:r>
      <w:r>
        <w:rPr>
          <w:spacing w:val="-2"/>
        </w:rPr>
        <w:t xml:space="preserve"> </w:t>
      </w:r>
      <w:r>
        <w:t>as</w:t>
      </w:r>
      <w:r>
        <w:rPr>
          <w:spacing w:val="-2"/>
        </w:rPr>
        <w:t xml:space="preserve"> </w:t>
      </w:r>
      <w:r>
        <w:t>a</w:t>
      </w:r>
      <w:r>
        <w:rPr>
          <w:spacing w:val="-2"/>
        </w:rPr>
        <w:t xml:space="preserve"> </w:t>
      </w:r>
      <w:r>
        <w:t>whole</w:t>
      </w:r>
      <w:r>
        <w:rPr>
          <w:position w:val="7"/>
          <w:sz w:val="11"/>
        </w:rPr>
        <w:t>19</w:t>
      </w:r>
      <w:r>
        <w:t>.</w:t>
      </w:r>
    </w:p>
    <w:p w:rsidR="002C1123" w:rsidRDefault="00F22F94">
      <w:pPr>
        <w:pStyle w:val="BodyText"/>
        <w:spacing w:before="145" w:line="249" w:lineRule="auto"/>
        <w:ind w:left="492" w:right="491"/>
        <w:jc w:val="both"/>
      </w:pPr>
      <w:r>
        <w:rPr>
          <w:w w:val="95"/>
        </w:rPr>
        <w:t>The</w:t>
      </w:r>
      <w:r>
        <w:rPr>
          <w:spacing w:val="-12"/>
          <w:w w:val="95"/>
        </w:rPr>
        <w:t xml:space="preserve"> </w:t>
      </w:r>
      <w:r>
        <w:rPr>
          <w:w w:val="95"/>
        </w:rPr>
        <w:t>previous</w:t>
      </w:r>
      <w:r>
        <w:rPr>
          <w:spacing w:val="-11"/>
          <w:w w:val="95"/>
        </w:rPr>
        <w:t xml:space="preserve"> </w:t>
      </w:r>
      <w:r>
        <w:rPr>
          <w:w w:val="95"/>
        </w:rPr>
        <w:t>NSW</w:t>
      </w:r>
      <w:r>
        <w:rPr>
          <w:spacing w:val="-11"/>
          <w:w w:val="95"/>
        </w:rPr>
        <w:t xml:space="preserve"> </w:t>
      </w:r>
      <w:r>
        <w:rPr>
          <w:w w:val="95"/>
        </w:rPr>
        <w:t>Government,</w:t>
      </w:r>
      <w:r>
        <w:rPr>
          <w:spacing w:val="-11"/>
          <w:w w:val="95"/>
        </w:rPr>
        <w:t xml:space="preserve"> </w:t>
      </w:r>
      <w:r>
        <w:rPr>
          <w:w w:val="95"/>
        </w:rPr>
        <w:t>in</w:t>
      </w:r>
      <w:r>
        <w:rPr>
          <w:spacing w:val="-11"/>
          <w:w w:val="95"/>
        </w:rPr>
        <w:t xml:space="preserve"> </w:t>
      </w:r>
      <w:r>
        <w:rPr>
          <w:w w:val="95"/>
        </w:rPr>
        <w:t>rejecting</w:t>
      </w:r>
      <w:r>
        <w:rPr>
          <w:spacing w:val="-11"/>
          <w:w w:val="95"/>
        </w:rPr>
        <w:t xml:space="preserve"> </w:t>
      </w:r>
      <w:r>
        <w:rPr>
          <w:w w:val="95"/>
        </w:rPr>
        <w:t xml:space="preserve">raising the wall of the dam, decided to mitigate the impact of flooding downstream through focused town and </w:t>
      </w:r>
      <w:r>
        <w:t>emergency</w:t>
      </w:r>
      <w:r>
        <w:rPr>
          <w:spacing w:val="-9"/>
        </w:rPr>
        <w:t xml:space="preserve"> </w:t>
      </w:r>
      <w:r>
        <w:t>planning.</w:t>
      </w:r>
      <w:r>
        <w:rPr>
          <w:spacing w:val="-9"/>
        </w:rPr>
        <w:t xml:space="preserve"> </w:t>
      </w:r>
      <w:r>
        <w:t>This</w:t>
      </w:r>
      <w:r>
        <w:rPr>
          <w:spacing w:val="-9"/>
        </w:rPr>
        <w:t xml:space="preserve"> </w:t>
      </w:r>
      <w:r>
        <w:t>included</w:t>
      </w:r>
      <w:r>
        <w:rPr>
          <w:spacing w:val="-9"/>
        </w:rPr>
        <w:t xml:space="preserve"> </w:t>
      </w:r>
      <w:r>
        <w:t>upgrading</w:t>
      </w:r>
      <w:r>
        <w:rPr>
          <w:spacing w:val="-9"/>
        </w:rPr>
        <w:t xml:space="preserve"> </w:t>
      </w:r>
      <w:r>
        <w:t>of</w:t>
      </w:r>
    </w:p>
    <w:p w:rsidR="002C1123" w:rsidRDefault="00F22F94">
      <w:pPr>
        <w:pStyle w:val="BodyText"/>
        <w:spacing w:before="106" w:line="249" w:lineRule="auto"/>
        <w:ind w:left="196" w:right="5637"/>
      </w:pPr>
      <w:r>
        <w:br w:type="column"/>
      </w:r>
      <w:r>
        <w:rPr>
          <w:w w:val="95"/>
        </w:rPr>
        <w:t>evacuation</w:t>
      </w:r>
      <w:r>
        <w:rPr>
          <w:spacing w:val="-6"/>
          <w:w w:val="95"/>
        </w:rPr>
        <w:t xml:space="preserve"> </w:t>
      </w:r>
      <w:r>
        <w:rPr>
          <w:w w:val="95"/>
        </w:rPr>
        <w:t>routes</w:t>
      </w:r>
      <w:r>
        <w:rPr>
          <w:spacing w:val="-6"/>
          <w:w w:val="95"/>
        </w:rPr>
        <w:t xml:space="preserve"> </w:t>
      </w:r>
      <w:r>
        <w:rPr>
          <w:w w:val="95"/>
        </w:rPr>
        <w:t>to</w:t>
      </w:r>
      <w:r>
        <w:rPr>
          <w:spacing w:val="-6"/>
          <w:w w:val="95"/>
        </w:rPr>
        <w:t xml:space="preserve"> </w:t>
      </w:r>
      <w:r>
        <w:rPr>
          <w:w w:val="95"/>
        </w:rPr>
        <w:t>provide</w:t>
      </w:r>
      <w:r>
        <w:rPr>
          <w:spacing w:val="-6"/>
          <w:w w:val="95"/>
        </w:rPr>
        <w:t xml:space="preserve"> </w:t>
      </w:r>
      <w:r>
        <w:rPr>
          <w:w w:val="95"/>
        </w:rPr>
        <w:t>more</w:t>
      </w:r>
      <w:r>
        <w:rPr>
          <w:spacing w:val="-6"/>
          <w:w w:val="95"/>
        </w:rPr>
        <w:t xml:space="preserve"> </w:t>
      </w:r>
      <w:r>
        <w:rPr>
          <w:w w:val="95"/>
        </w:rPr>
        <w:t>time</w:t>
      </w:r>
      <w:r>
        <w:rPr>
          <w:spacing w:val="-6"/>
          <w:w w:val="95"/>
        </w:rPr>
        <w:t xml:space="preserve"> </w:t>
      </w:r>
      <w:r>
        <w:rPr>
          <w:w w:val="95"/>
        </w:rPr>
        <w:t>for</w:t>
      </w:r>
      <w:r>
        <w:rPr>
          <w:spacing w:val="-6"/>
          <w:w w:val="95"/>
        </w:rPr>
        <w:t xml:space="preserve"> </w:t>
      </w:r>
      <w:r>
        <w:rPr>
          <w:w w:val="95"/>
        </w:rPr>
        <w:t>the</w:t>
      </w:r>
      <w:r>
        <w:rPr>
          <w:spacing w:val="-6"/>
          <w:w w:val="95"/>
        </w:rPr>
        <w:t xml:space="preserve"> </w:t>
      </w:r>
      <w:r>
        <w:rPr>
          <w:w w:val="95"/>
        </w:rPr>
        <w:t>people</w:t>
      </w:r>
      <w:r>
        <w:rPr>
          <w:spacing w:val="-6"/>
          <w:w w:val="95"/>
        </w:rPr>
        <w:t xml:space="preserve"> </w:t>
      </w:r>
      <w:r>
        <w:rPr>
          <w:w w:val="95"/>
        </w:rPr>
        <w:t xml:space="preserve">in </w:t>
      </w:r>
      <w:r>
        <w:t>the HNV to escape rising floods.</w:t>
      </w:r>
    </w:p>
    <w:p w:rsidR="002C1123" w:rsidRDefault="00F22F94">
      <w:pPr>
        <w:pStyle w:val="BodyText"/>
        <w:spacing w:before="143" w:line="249" w:lineRule="auto"/>
        <w:ind w:left="196" w:right="6027"/>
      </w:pPr>
      <w:r>
        <w:t>None</w:t>
      </w:r>
      <w:r>
        <w:rPr>
          <w:spacing w:val="-11"/>
        </w:rPr>
        <w:t xml:space="preserve"> </w:t>
      </w:r>
      <w:r>
        <w:t>of</w:t>
      </w:r>
      <w:r>
        <w:rPr>
          <w:spacing w:val="-11"/>
        </w:rPr>
        <w:t xml:space="preserve"> </w:t>
      </w:r>
      <w:r>
        <w:t>these</w:t>
      </w:r>
      <w:r>
        <w:rPr>
          <w:spacing w:val="-11"/>
        </w:rPr>
        <w:t xml:space="preserve"> </w:t>
      </w:r>
      <w:r>
        <w:t>actions</w:t>
      </w:r>
      <w:r>
        <w:rPr>
          <w:spacing w:val="-11"/>
        </w:rPr>
        <w:t xml:space="preserve"> </w:t>
      </w:r>
      <w:r>
        <w:t>comprehensively</w:t>
      </w:r>
      <w:r>
        <w:rPr>
          <w:spacing w:val="-11"/>
        </w:rPr>
        <w:t xml:space="preserve"> </w:t>
      </w:r>
      <w:r>
        <w:t>deal</w:t>
      </w:r>
      <w:r>
        <w:rPr>
          <w:spacing w:val="-11"/>
        </w:rPr>
        <w:t xml:space="preserve"> </w:t>
      </w:r>
      <w:r>
        <w:t xml:space="preserve">with </w:t>
      </w:r>
      <w:r>
        <w:rPr>
          <w:w w:val="95"/>
        </w:rPr>
        <w:t>the</w:t>
      </w:r>
      <w:r>
        <w:rPr>
          <w:spacing w:val="-2"/>
          <w:w w:val="95"/>
        </w:rPr>
        <w:t xml:space="preserve"> </w:t>
      </w:r>
      <w:r>
        <w:rPr>
          <w:w w:val="95"/>
        </w:rPr>
        <w:t>potential</w:t>
      </w:r>
      <w:r>
        <w:rPr>
          <w:spacing w:val="-2"/>
          <w:w w:val="95"/>
        </w:rPr>
        <w:t xml:space="preserve"> </w:t>
      </w:r>
      <w:r>
        <w:rPr>
          <w:w w:val="95"/>
        </w:rPr>
        <w:t>for</w:t>
      </w:r>
      <w:r>
        <w:rPr>
          <w:spacing w:val="-2"/>
          <w:w w:val="95"/>
        </w:rPr>
        <w:t xml:space="preserve"> </w:t>
      </w:r>
      <w:r>
        <w:rPr>
          <w:w w:val="95"/>
        </w:rPr>
        <w:t>homes</w:t>
      </w:r>
      <w:r>
        <w:rPr>
          <w:spacing w:val="-2"/>
          <w:w w:val="95"/>
        </w:rPr>
        <w:t xml:space="preserve"> </w:t>
      </w:r>
      <w:r>
        <w:rPr>
          <w:w w:val="95"/>
        </w:rPr>
        <w:t>to</w:t>
      </w:r>
      <w:r>
        <w:rPr>
          <w:spacing w:val="-2"/>
          <w:w w:val="95"/>
        </w:rPr>
        <w:t xml:space="preserve"> </w:t>
      </w:r>
      <w:r>
        <w:rPr>
          <w:w w:val="95"/>
        </w:rPr>
        <w:t>be</w:t>
      </w:r>
      <w:r>
        <w:rPr>
          <w:spacing w:val="-2"/>
          <w:w w:val="95"/>
        </w:rPr>
        <w:t xml:space="preserve"> </w:t>
      </w:r>
      <w:r>
        <w:rPr>
          <w:w w:val="95"/>
        </w:rPr>
        <w:t>flooded</w:t>
      </w:r>
      <w:r>
        <w:rPr>
          <w:spacing w:val="-2"/>
          <w:w w:val="95"/>
        </w:rPr>
        <w:t xml:space="preserve"> </w:t>
      </w:r>
      <w:r>
        <w:rPr>
          <w:w w:val="95"/>
        </w:rPr>
        <w:t>and</w:t>
      </w:r>
      <w:r>
        <w:rPr>
          <w:spacing w:val="-2"/>
          <w:w w:val="95"/>
        </w:rPr>
        <w:t xml:space="preserve"> </w:t>
      </w:r>
      <w:r>
        <w:rPr>
          <w:w w:val="95"/>
        </w:rPr>
        <w:t>destroyed</w:t>
      </w:r>
    </w:p>
    <w:p w:rsidR="002C1123" w:rsidRDefault="00F22F94">
      <w:pPr>
        <w:pStyle w:val="BodyText"/>
        <w:spacing w:before="2" w:line="249" w:lineRule="auto"/>
        <w:ind w:left="196" w:right="5637"/>
      </w:pPr>
      <w:r>
        <w:rPr>
          <w:w w:val="95"/>
        </w:rPr>
        <w:t xml:space="preserve">and the significant economic and personal loss which </w:t>
      </w:r>
      <w:r>
        <w:t>could</w:t>
      </w:r>
      <w:r>
        <w:rPr>
          <w:spacing w:val="-11"/>
        </w:rPr>
        <w:t xml:space="preserve"> </w:t>
      </w:r>
      <w:r>
        <w:t>occur</w:t>
      </w:r>
      <w:r>
        <w:rPr>
          <w:position w:val="7"/>
          <w:sz w:val="11"/>
        </w:rPr>
        <w:t>20</w:t>
      </w:r>
      <w:r>
        <w:t>.</w:t>
      </w:r>
    </w:p>
    <w:p w:rsidR="002C1123" w:rsidRDefault="00F22F94">
      <w:pPr>
        <w:pStyle w:val="BodyText"/>
        <w:spacing w:before="143" w:line="249" w:lineRule="auto"/>
        <w:ind w:left="196" w:right="5769"/>
      </w:pPr>
      <w:r>
        <w:t>Despite</w:t>
      </w:r>
      <w:r>
        <w:rPr>
          <w:spacing w:val="-14"/>
        </w:rPr>
        <w:t xml:space="preserve"> </w:t>
      </w:r>
      <w:r>
        <w:t>these</w:t>
      </w:r>
      <w:r>
        <w:rPr>
          <w:spacing w:val="-14"/>
        </w:rPr>
        <w:t xml:space="preserve"> </w:t>
      </w:r>
      <w:r>
        <w:t>measures,</w:t>
      </w:r>
      <w:r>
        <w:rPr>
          <w:spacing w:val="-14"/>
        </w:rPr>
        <w:t xml:space="preserve"> </w:t>
      </w:r>
      <w:r>
        <w:t>development</w:t>
      </w:r>
      <w:r>
        <w:rPr>
          <w:spacing w:val="-14"/>
        </w:rPr>
        <w:t xml:space="preserve"> </w:t>
      </w:r>
      <w:r>
        <w:t>has</w:t>
      </w:r>
      <w:r>
        <w:rPr>
          <w:spacing w:val="-14"/>
        </w:rPr>
        <w:t xml:space="preserve"> </w:t>
      </w:r>
      <w:r>
        <w:t xml:space="preserve">continued </w:t>
      </w:r>
      <w:r>
        <w:rPr>
          <w:w w:val="95"/>
        </w:rPr>
        <w:t>in</w:t>
      </w:r>
      <w:r>
        <w:rPr>
          <w:spacing w:val="-7"/>
          <w:w w:val="95"/>
        </w:rPr>
        <w:t xml:space="preserve"> </w:t>
      </w:r>
      <w:r>
        <w:rPr>
          <w:w w:val="95"/>
        </w:rPr>
        <w:t>the</w:t>
      </w:r>
      <w:r>
        <w:rPr>
          <w:spacing w:val="-7"/>
          <w:w w:val="95"/>
        </w:rPr>
        <w:t xml:space="preserve"> </w:t>
      </w:r>
      <w:r>
        <w:rPr>
          <w:w w:val="95"/>
        </w:rPr>
        <w:t>HNV</w:t>
      </w:r>
      <w:r>
        <w:rPr>
          <w:spacing w:val="-7"/>
          <w:w w:val="95"/>
        </w:rPr>
        <w:t xml:space="preserve"> </w:t>
      </w:r>
      <w:r>
        <w:rPr>
          <w:w w:val="95"/>
        </w:rPr>
        <w:t>in</w:t>
      </w:r>
      <w:r>
        <w:rPr>
          <w:spacing w:val="-7"/>
          <w:w w:val="95"/>
        </w:rPr>
        <w:t xml:space="preserve"> </w:t>
      </w:r>
      <w:r>
        <w:rPr>
          <w:w w:val="95"/>
        </w:rPr>
        <w:t>areas</w:t>
      </w:r>
      <w:r>
        <w:rPr>
          <w:spacing w:val="-7"/>
          <w:w w:val="95"/>
        </w:rPr>
        <w:t xml:space="preserve"> </w:t>
      </w:r>
      <w:r>
        <w:rPr>
          <w:w w:val="95"/>
        </w:rPr>
        <w:t>that</w:t>
      </w:r>
      <w:r>
        <w:rPr>
          <w:spacing w:val="-7"/>
          <w:w w:val="95"/>
        </w:rPr>
        <w:t xml:space="preserve"> </w:t>
      </w:r>
      <w:r>
        <w:rPr>
          <w:w w:val="95"/>
        </w:rPr>
        <w:t>would</w:t>
      </w:r>
      <w:r>
        <w:rPr>
          <w:spacing w:val="-7"/>
          <w:w w:val="95"/>
        </w:rPr>
        <w:t xml:space="preserve"> </w:t>
      </w:r>
      <w:r>
        <w:rPr>
          <w:w w:val="95"/>
        </w:rPr>
        <w:t>be</w:t>
      </w:r>
      <w:r>
        <w:rPr>
          <w:spacing w:val="-7"/>
          <w:w w:val="95"/>
        </w:rPr>
        <w:t xml:space="preserve"> </w:t>
      </w:r>
      <w:r>
        <w:rPr>
          <w:w w:val="95"/>
        </w:rPr>
        <w:t>significantly</w:t>
      </w:r>
      <w:r>
        <w:rPr>
          <w:spacing w:val="-7"/>
          <w:w w:val="95"/>
        </w:rPr>
        <w:t xml:space="preserve"> </w:t>
      </w:r>
      <w:r>
        <w:rPr>
          <w:w w:val="95"/>
        </w:rPr>
        <w:t xml:space="preserve">impacted </w:t>
      </w:r>
      <w:r>
        <w:t>by</w:t>
      </w:r>
      <w:r>
        <w:rPr>
          <w:spacing w:val="-9"/>
        </w:rPr>
        <w:t xml:space="preserve"> </w:t>
      </w:r>
      <w:r>
        <w:t>a</w:t>
      </w:r>
      <w:r>
        <w:rPr>
          <w:spacing w:val="-9"/>
        </w:rPr>
        <w:t xml:space="preserve"> </w:t>
      </w:r>
      <w:r>
        <w:t>flood</w:t>
      </w:r>
      <w:r>
        <w:rPr>
          <w:spacing w:val="-9"/>
        </w:rPr>
        <w:t xml:space="preserve"> </w:t>
      </w:r>
      <w:r>
        <w:t>on</w:t>
      </w:r>
      <w:r>
        <w:rPr>
          <w:spacing w:val="-9"/>
        </w:rPr>
        <w:t xml:space="preserve"> </w:t>
      </w:r>
      <w:r>
        <w:t>record.</w:t>
      </w:r>
      <w:r>
        <w:rPr>
          <w:spacing w:val="-9"/>
        </w:rPr>
        <w:t xml:space="preserve"> </w:t>
      </w:r>
      <w:r>
        <w:t>The</w:t>
      </w:r>
      <w:r>
        <w:rPr>
          <w:spacing w:val="-9"/>
        </w:rPr>
        <w:t xml:space="preserve"> </w:t>
      </w:r>
      <w:r>
        <w:t>economic</w:t>
      </w:r>
      <w:r>
        <w:rPr>
          <w:spacing w:val="-9"/>
        </w:rPr>
        <w:t xml:space="preserve"> </w:t>
      </w:r>
      <w:r>
        <w:t>and</w:t>
      </w:r>
      <w:r>
        <w:rPr>
          <w:spacing w:val="-9"/>
        </w:rPr>
        <w:t xml:space="preserve"> </w:t>
      </w:r>
      <w:r>
        <w:t>social</w:t>
      </w:r>
      <w:r>
        <w:rPr>
          <w:spacing w:val="-9"/>
        </w:rPr>
        <w:t xml:space="preserve"> </w:t>
      </w:r>
      <w:r>
        <w:t>risks</w:t>
      </w:r>
    </w:p>
    <w:p w:rsidR="002C1123" w:rsidRDefault="00F22F94">
      <w:pPr>
        <w:pStyle w:val="BodyText"/>
        <w:spacing w:before="3" w:line="249" w:lineRule="auto"/>
        <w:ind w:left="196" w:right="6027"/>
      </w:pPr>
      <w:r>
        <w:rPr>
          <w:w w:val="95"/>
        </w:rPr>
        <w:t>still</w:t>
      </w:r>
      <w:r>
        <w:rPr>
          <w:spacing w:val="-10"/>
          <w:w w:val="95"/>
        </w:rPr>
        <w:t xml:space="preserve"> </w:t>
      </w:r>
      <w:r>
        <w:rPr>
          <w:w w:val="95"/>
        </w:rPr>
        <w:t>exist</w:t>
      </w:r>
      <w:r>
        <w:rPr>
          <w:spacing w:val="-10"/>
          <w:w w:val="95"/>
        </w:rPr>
        <w:t xml:space="preserve"> </w:t>
      </w:r>
      <w:r>
        <w:rPr>
          <w:w w:val="95"/>
        </w:rPr>
        <w:t>and</w:t>
      </w:r>
      <w:r>
        <w:rPr>
          <w:spacing w:val="-10"/>
          <w:w w:val="95"/>
        </w:rPr>
        <w:t xml:space="preserve"> </w:t>
      </w:r>
      <w:r>
        <w:rPr>
          <w:w w:val="95"/>
        </w:rPr>
        <w:t>are</w:t>
      </w:r>
      <w:r>
        <w:rPr>
          <w:spacing w:val="-10"/>
          <w:w w:val="95"/>
        </w:rPr>
        <w:t xml:space="preserve"> </w:t>
      </w:r>
      <w:r>
        <w:rPr>
          <w:w w:val="95"/>
        </w:rPr>
        <w:t>considerably</w:t>
      </w:r>
      <w:r>
        <w:rPr>
          <w:spacing w:val="-10"/>
          <w:w w:val="95"/>
        </w:rPr>
        <w:t xml:space="preserve"> </w:t>
      </w:r>
      <w:r>
        <w:rPr>
          <w:w w:val="95"/>
        </w:rPr>
        <w:t>greater</w:t>
      </w:r>
      <w:r>
        <w:rPr>
          <w:spacing w:val="-10"/>
          <w:w w:val="95"/>
        </w:rPr>
        <w:t xml:space="preserve"> </w:t>
      </w:r>
      <w:r>
        <w:rPr>
          <w:w w:val="95"/>
        </w:rPr>
        <w:t>than</w:t>
      </w:r>
      <w:r>
        <w:rPr>
          <w:spacing w:val="-10"/>
          <w:w w:val="95"/>
        </w:rPr>
        <w:t xml:space="preserve"> </w:t>
      </w:r>
      <w:r>
        <w:rPr>
          <w:w w:val="95"/>
        </w:rPr>
        <w:t>they</w:t>
      </w:r>
      <w:r>
        <w:rPr>
          <w:spacing w:val="-10"/>
          <w:w w:val="95"/>
        </w:rPr>
        <w:t xml:space="preserve"> </w:t>
      </w:r>
      <w:r>
        <w:rPr>
          <w:w w:val="95"/>
        </w:rPr>
        <w:t xml:space="preserve">were </w:t>
      </w:r>
      <w:r>
        <w:t>20 years ago</w:t>
      </w:r>
      <w:r>
        <w:rPr>
          <w:position w:val="7"/>
          <w:sz w:val="11"/>
        </w:rPr>
        <w:t>21</w:t>
      </w:r>
      <w:r>
        <w:t>.</w:t>
      </w:r>
    </w:p>
    <w:p w:rsidR="002C1123" w:rsidRDefault="00F22F94">
      <w:pPr>
        <w:pStyle w:val="BodyText"/>
        <w:spacing w:before="143" w:line="249" w:lineRule="auto"/>
        <w:ind w:left="196" w:right="6027"/>
      </w:pPr>
      <w:r>
        <w:rPr>
          <w:w w:val="95"/>
        </w:rPr>
        <w:t xml:space="preserve">Infrastructure NSW commissioned new modelling to </w:t>
      </w:r>
      <w:r>
        <w:rPr>
          <w:spacing w:val="-2"/>
        </w:rPr>
        <w:t>provide</w:t>
      </w:r>
      <w:r>
        <w:rPr>
          <w:spacing w:val="-8"/>
        </w:rPr>
        <w:t xml:space="preserve"> </w:t>
      </w:r>
      <w:r>
        <w:rPr>
          <w:spacing w:val="-2"/>
        </w:rPr>
        <w:t>up</w:t>
      </w:r>
      <w:r>
        <w:rPr>
          <w:spacing w:val="-8"/>
        </w:rPr>
        <w:t xml:space="preserve"> </w:t>
      </w:r>
      <w:r>
        <w:rPr>
          <w:spacing w:val="-2"/>
        </w:rPr>
        <w:t>to</w:t>
      </w:r>
      <w:r>
        <w:rPr>
          <w:spacing w:val="-8"/>
        </w:rPr>
        <w:t xml:space="preserve"> </w:t>
      </w:r>
      <w:r>
        <w:rPr>
          <w:spacing w:val="-2"/>
        </w:rPr>
        <w:t>date</w:t>
      </w:r>
      <w:r>
        <w:rPr>
          <w:spacing w:val="-8"/>
        </w:rPr>
        <w:t xml:space="preserve"> </w:t>
      </w:r>
      <w:r>
        <w:rPr>
          <w:spacing w:val="-2"/>
        </w:rPr>
        <w:t>data</w:t>
      </w:r>
      <w:r>
        <w:rPr>
          <w:spacing w:val="-8"/>
        </w:rPr>
        <w:t xml:space="preserve"> </w:t>
      </w:r>
      <w:r>
        <w:rPr>
          <w:spacing w:val="-2"/>
        </w:rPr>
        <w:t>on</w:t>
      </w:r>
      <w:r>
        <w:rPr>
          <w:spacing w:val="-8"/>
        </w:rPr>
        <w:t xml:space="preserve"> </w:t>
      </w:r>
      <w:r>
        <w:rPr>
          <w:spacing w:val="-2"/>
        </w:rPr>
        <w:t>flooding</w:t>
      </w:r>
      <w:r>
        <w:rPr>
          <w:spacing w:val="-8"/>
        </w:rPr>
        <w:t xml:space="preserve"> </w:t>
      </w:r>
      <w:r>
        <w:rPr>
          <w:spacing w:val="-2"/>
        </w:rPr>
        <w:t>impact</w:t>
      </w:r>
      <w:r>
        <w:rPr>
          <w:spacing w:val="-8"/>
        </w:rPr>
        <w:t xml:space="preserve"> </w:t>
      </w:r>
      <w:r>
        <w:rPr>
          <w:spacing w:val="-2"/>
        </w:rPr>
        <w:t>from</w:t>
      </w:r>
      <w:r>
        <w:rPr>
          <w:spacing w:val="-9"/>
        </w:rPr>
        <w:t xml:space="preserve"> </w:t>
      </w:r>
      <w:r>
        <w:rPr>
          <w:spacing w:val="-2"/>
        </w:rPr>
        <w:t xml:space="preserve">both </w:t>
      </w:r>
      <w:r>
        <w:rPr>
          <w:w w:val="95"/>
        </w:rPr>
        <w:t xml:space="preserve">a damages and economic impact perspective so that </w:t>
      </w:r>
      <w:r>
        <w:t>it</w:t>
      </w:r>
      <w:r>
        <w:rPr>
          <w:spacing w:val="-13"/>
        </w:rPr>
        <w:t xml:space="preserve"> </w:t>
      </w:r>
      <w:r>
        <w:t>could</w:t>
      </w:r>
      <w:r>
        <w:rPr>
          <w:spacing w:val="-13"/>
        </w:rPr>
        <w:t xml:space="preserve"> </w:t>
      </w:r>
      <w:r>
        <w:t>provide</w:t>
      </w:r>
      <w:r>
        <w:rPr>
          <w:spacing w:val="-13"/>
        </w:rPr>
        <w:t xml:space="preserve"> </w:t>
      </w:r>
      <w:r>
        <w:t>advice</w:t>
      </w:r>
      <w:r>
        <w:rPr>
          <w:spacing w:val="-13"/>
        </w:rPr>
        <w:t xml:space="preserve"> </w:t>
      </w:r>
      <w:r>
        <w:t>to</w:t>
      </w:r>
      <w:r>
        <w:rPr>
          <w:spacing w:val="-13"/>
        </w:rPr>
        <w:t xml:space="preserve"> </w:t>
      </w:r>
      <w:r>
        <w:t>Government</w:t>
      </w:r>
      <w:r>
        <w:rPr>
          <w:spacing w:val="-13"/>
        </w:rPr>
        <w:t xml:space="preserve"> </w:t>
      </w:r>
      <w:r>
        <w:t>as</w:t>
      </w:r>
      <w:r>
        <w:rPr>
          <w:spacing w:val="-13"/>
        </w:rPr>
        <w:t xml:space="preserve"> </w:t>
      </w:r>
      <w:r>
        <w:t>part</w:t>
      </w:r>
      <w:r>
        <w:rPr>
          <w:spacing w:val="-13"/>
        </w:rPr>
        <w:t xml:space="preserve"> </w:t>
      </w:r>
      <w:r>
        <w:t>of</w:t>
      </w:r>
      <w:r>
        <w:rPr>
          <w:spacing w:val="-13"/>
        </w:rPr>
        <w:t xml:space="preserve"> </w:t>
      </w:r>
      <w:r>
        <w:t>the</w:t>
      </w:r>
    </w:p>
    <w:p w:rsidR="002C1123" w:rsidRDefault="00F22F94">
      <w:pPr>
        <w:pStyle w:val="BodyText"/>
        <w:spacing w:before="3" w:line="249" w:lineRule="auto"/>
        <w:ind w:left="196" w:right="5637"/>
      </w:pPr>
      <w:r>
        <w:rPr>
          <w:w w:val="95"/>
        </w:rPr>
        <w:t>Strategy.</w:t>
      </w:r>
      <w:r>
        <w:rPr>
          <w:spacing w:val="-6"/>
          <w:w w:val="95"/>
        </w:rPr>
        <w:t xml:space="preserve"> </w:t>
      </w:r>
      <w:r>
        <w:rPr>
          <w:w w:val="95"/>
        </w:rPr>
        <w:t>The</w:t>
      </w:r>
      <w:r>
        <w:rPr>
          <w:spacing w:val="-6"/>
          <w:w w:val="95"/>
        </w:rPr>
        <w:t xml:space="preserve"> </w:t>
      </w:r>
      <w:r>
        <w:rPr>
          <w:w w:val="95"/>
        </w:rPr>
        <w:t>findings</w:t>
      </w:r>
      <w:r>
        <w:rPr>
          <w:spacing w:val="-6"/>
          <w:w w:val="95"/>
        </w:rPr>
        <w:t xml:space="preserve"> </w:t>
      </w:r>
      <w:r>
        <w:rPr>
          <w:w w:val="95"/>
        </w:rPr>
        <w:t>and</w:t>
      </w:r>
      <w:r>
        <w:rPr>
          <w:spacing w:val="-6"/>
          <w:w w:val="95"/>
        </w:rPr>
        <w:t xml:space="preserve"> </w:t>
      </w:r>
      <w:r>
        <w:rPr>
          <w:w w:val="95"/>
        </w:rPr>
        <w:t>the</w:t>
      </w:r>
      <w:r>
        <w:rPr>
          <w:spacing w:val="-6"/>
          <w:w w:val="95"/>
        </w:rPr>
        <w:t xml:space="preserve"> </w:t>
      </w:r>
      <w:r>
        <w:rPr>
          <w:w w:val="95"/>
        </w:rPr>
        <w:t>recommendations</w:t>
      </w:r>
      <w:r>
        <w:rPr>
          <w:spacing w:val="-6"/>
          <w:w w:val="95"/>
        </w:rPr>
        <w:t xml:space="preserve"> </w:t>
      </w:r>
      <w:r>
        <w:rPr>
          <w:w w:val="95"/>
        </w:rPr>
        <w:t>are</w:t>
      </w:r>
      <w:r>
        <w:rPr>
          <w:spacing w:val="-6"/>
          <w:w w:val="95"/>
        </w:rPr>
        <w:t xml:space="preserve"> </w:t>
      </w:r>
      <w:r>
        <w:rPr>
          <w:w w:val="95"/>
        </w:rPr>
        <w:t xml:space="preserve">set </w:t>
      </w:r>
      <w:r>
        <w:t>out in Section 12.</w:t>
      </w:r>
    </w:p>
    <w:p w:rsidR="002C1123" w:rsidRDefault="002C1123">
      <w:pPr>
        <w:spacing w:line="249" w:lineRule="auto"/>
        <w:sectPr w:rsidR="002C1123">
          <w:type w:val="continuous"/>
          <w:pgSz w:w="16840" w:h="11910" w:orient="landscape"/>
          <w:pgMar w:top="560" w:right="280" w:bottom="280" w:left="500" w:header="0" w:footer="470" w:gutter="0"/>
          <w:cols w:num="2" w:space="720" w:equalWidth="0">
            <w:col w:w="5283" w:space="40"/>
            <w:col w:w="10737"/>
          </w:cols>
        </w:sectPr>
      </w:pPr>
    </w:p>
    <w:p w:rsidR="002C1123" w:rsidRDefault="002C1123">
      <w:pPr>
        <w:pStyle w:val="BodyText"/>
        <w:spacing w:before="4" w:after="1"/>
        <w:rPr>
          <w:sz w:val="17"/>
        </w:rPr>
      </w:pPr>
    </w:p>
    <w:p w:rsidR="002C1123" w:rsidRDefault="002060EF">
      <w:pPr>
        <w:pStyle w:val="BodyText"/>
        <w:spacing w:line="20" w:lineRule="exact"/>
        <w:ind w:left="5518"/>
        <w:rPr>
          <w:sz w:val="2"/>
        </w:rPr>
      </w:pPr>
      <w:r>
        <w:rPr>
          <w:sz w:val="2"/>
        </w:rPr>
      </w:r>
      <w:r>
        <w:rPr>
          <w:sz w:val="2"/>
        </w:rPr>
        <w:pict>
          <v:group id="docshapegroup839" o:spid="_x0000_s4488" style="width:1in;height:.5pt;mso-position-horizontal-relative:char;mso-position-vertical-relative:line" coordsize="1440,10">
            <v:line id="_x0000_s4489" style="position:absolute" from="0,5" to="1440,5" strokecolor="#9c9c9d" strokeweight=".5pt"/>
            <w10:anchorlock/>
          </v:group>
        </w:pict>
      </w:r>
    </w:p>
    <w:p w:rsidR="002C1123" w:rsidRDefault="002C1123">
      <w:pPr>
        <w:spacing w:line="20" w:lineRule="exact"/>
        <w:rPr>
          <w:sz w:val="2"/>
        </w:rPr>
        <w:sectPr w:rsidR="002C1123">
          <w:type w:val="continuous"/>
          <w:pgSz w:w="16840" w:h="11910" w:orient="landscape"/>
          <w:pgMar w:top="560" w:right="280" w:bottom="280" w:left="500" w:header="0" w:footer="470" w:gutter="0"/>
          <w:cols w:space="720"/>
        </w:sectPr>
      </w:pPr>
    </w:p>
    <w:p w:rsidR="002C1123" w:rsidRDefault="002C1123">
      <w:pPr>
        <w:pStyle w:val="BodyText"/>
        <w:spacing w:before="1"/>
        <w:rPr>
          <w:sz w:val="26"/>
        </w:rPr>
      </w:pPr>
    </w:p>
    <w:p w:rsidR="002C1123" w:rsidRDefault="002060EF">
      <w:pPr>
        <w:pStyle w:val="BodyText"/>
        <w:spacing w:line="20" w:lineRule="exact"/>
        <w:ind w:left="492"/>
        <w:rPr>
          <w:sz w:val="2"/>
        </w:rPr>
      </w:pPr>
      <w:r>
        <w:rPr>
          <w:sz w:val="2"/>
        </w:rPr>
      </w:r>
      <w:r>
        <w:rPr>
          <w:sz w:val="2"/>
        </w:rPr>
        <w:pict>
          <v:group id="docshapegroup840" o:spid="_x0000_s4486" style="width:1in;height:.5pt;mso-position-horizontal-relative:char;mso-position-vertical-relative:line" coordsize="1440,10">
            <v:line id="_x0000_s4487" style="position:absolute" from="0,5" to="1440,5" strokecolor="#9c9c9d" strokeweight=".5pt"/>
            <w10:anchorlock/>
          </v:group>
        </w:pict>
      </w:r>
    </w:p>
    <w:p w:rsidR="002C1123" w:rsidRDefault="00F22F94">
      <w:pPr>
        <w:pStyle w:val="ListParagraph"/>
        <w:numPr>
          <w:ilvl w:val="0"/>
          <w:numId w:val="114"/>
        </w:numPr>
        <w:tabs>
          <w:tab w:val="left" w:pos="691"/>
        </w:tabs>
        <w:spacing w:before="8"/>
        <w:ind w:left="690" w:hanging="199"/>
        <w:jc w:val="left"/>
        <w:rPr>
          <w:sz w:val="14"/>
        </w:rPr>
      </w:pPr>
      <w:r>
        <w:rPr>
          <w:w w:val="95"/>
          <w:sz w:val="14"/>
        </w:rPr>
        <w:t>Molino Stewart 2012, Hawkesbury Nepean Flood Damages Assessment:</w:t>
      </w:r>
      <w:r>
        <w:rPr>
          <w:spacing w:val="40"/>
          <w:sz w:val="14"/>
        </w:rPr>
        <w:t xml:space="preserve"> </w:t>
      </w:r>
      <w:r>
        <w:rPr>
          <w:sz w:val="14"/>
        </w:rPr>
        <w:t>Final</w:t>
      </w:r>
      <w:r>
        <w:rPr>
          <w:spacing w:val="-10"/>
          <w:sz w:val="14"/>
        </w:rPr>
        <w:t xml:space="preserve"> </w:t>
      </w:r>
      <w:r>
        <w:rPr>
          <w:sz w:val="14"/>
        </w:rPr>
        <w:t>Report.</w:t>
      </w:r>
    </w:p>
    <w:p w:rsidR="002C1123" w:rsidRDefault="00F22F94">
      <w:pPr>
        <w:pStyle w:val="ListParagraph"/>
        <w:numPr>
          <w:ilvl w:val="0"/>
          <w:numId w:val="114"/>
        </w:numPr>
        <w:tabs>
          <w:tab w:val="left" w:pos="573"/>
        </w:tabs>
        <w:spacing w:before="8"/>
        <w:ind w:left="572" w:right="5924" w:hanging="199"/>
        <w:jc w:val="left"/>
        <w:rPr>
          <w:sz w:val="14"/>
        </w:rPr>
      </w:pPr>
      <w:r>
        <w:br w:type="column"/>
      </w:r>
      <w:r>
        <w:rPr>
          <w:w w:val="95"/>
          <w:sz w:val="14"/>
        </w:rPr>
        <w:t>Molino Stewart 2012, Hawkesbury Nepean Flood Damages Assessment:</w:t>
      </w:r>
      <w:r>
        <w:rPr>
          <w:spacing w:val="40"/>
          <w:sz w:val="14"/>
        </w:rPr>
        <w:t xml:space="preserve"> </w:t>
      </w:r>
      <w:r>
        <w:rPr>
          <w:sz w:val="14"/>
        </w:rPr>
        <w:t>Final</w:t>
      </w:r>
      <w:r>
        <w:rPr>
          <w:spacing w:val="-10"/>
          <w:sz w:val="14"/>
        </w:rPr>
        <w:t xml:space="preserve"> </w:t>
      </w:r>
      <w:r>
        <w:rPr>
          <w:sz w:val="14"/>
        </w:rPr>
        <w:t>Report.</w:t>
      </w:r>
    </w:p>
    <w:p w:rsidR="002C1123" w:rsidRDefault="00F22F94">
      <w:pPr>
        <w:pStyle w:val="ListParagraph"/>
        <w:numPr>
          <w:ilvl w:val="0"/>
          <w:numId w:val="114"/>
        </w:numPr>
        <w:tabs>
          <w:tab w:val="left" w:pos="573"/>
        </w:tabs>
        <w:ind w:left="572" w:right="5924" w:hanging="199"/>
        <w:jc w:val="left"/>
        <w:rPr>
          <w:sz w:val="14"/>
        </w:rPr>
      </w:pPr>
      <w:r>
        <w:rPr>
          <w:w w:val="95"/>
          <w:sz w:val="14"/>
        </w:rPr>
        <w:t>Molino Stewart 2012, Hawkesbury Nepean Flood Damages Assessment:</w:t>
      </w:r>
      <w:r>
        <w:rPr>
          <w:spacing w:val="40"/>
          <w:sz w:val="14"/>
        </w:rPr>
        <w:t xml:space="preserve"> </w:t>
      </w:r>
      <w:r>
        <w:rPr>
          <w:sz w:val="14"/>
        </w:rPr>
        <w:t>Final</w:t>
      </w:r>
      <w:r>
        <w:rPr>
          <w:spacing w:val="-10"/>
          <w:sz w:val="14"/>
        </w:rPr>
        <w:t xml:space="preserve"> </w:t>
      </w:r>
      <w:r>
        <w:rPr>
          <w:sz w:val="14"/>
        </w:rPr>
        <w:t>Report.</w:t>
      </w:r>
    </w:p>
    <w:p w:rsidR="002C1123" w:rsidRDefault="002C1123">
      <w:pPr>
        <w:rPr>
          <w:sz w:val="14"/>
        </w:rPr>
        <w:sectPr w:rsidR="002C1123">
          <w:type w:val="continuous"/>
          <w:pgSz w:w="16840" w:h="11910" w:orient="landscape"/>
          <w:pgMar w:top="560" w:right="280" w:bottom="280" w:left="500" w:header="0" w:footer="470" w:gutter="0"/>
          <w:cols w:num="2" w:space="720" w:equalWidth="0">
            <w:col w:w="5105" w:space="40"/>
            <w:col w:w="10915"/>
          </w:cols>
        </w:sectPr>
      </w:pPr>
    </w:p>
    <w:p w:rsidR="002C1123" w:rsidRDefault="002C1123">
      <w:pPr>
        <w:pStyle w:val="BodyText"/>
      </w:pPr>
    </w:p>
    <w:p w:rsidR="002C1123" w:rsidRDefault="002C1123">
      <w:pPr>
        <w:sectPr w:rsidR="002C1123">
          <w:headerReference w:type="default" r:id="rId111"/>
          <w:footerReference w:type="default" r:id="rId112"/>
          <w:pgSz w:w="16840" w:h="11910" w:orient="landscape"/>
          <w:pgMar w:top="560" w:right="280" w:bottom="700" w:left="500" w:header="0" w:footer="517" w:gutter="0"/>
          <w:cols w:space="720"/>
        </w:sectPr>
      </w:pPr>
    </w:p>
    <w:p w:rsidR="002C1123" w:rsidRDefault="002060EF">
      <w:pPr>
        <w:pStyle w:val="Heading1"/>
      </w:pPr>
      <w:r>
        <w:pict>
          <v:rect id="docshape852" o:spid="_x0000_s4485" style="position:absolute;left:0;text-align:left;margin-left:38.25pt;margin-top:80.8pt;width:502.7pt;height:422.35pt;z-index:-251507712;mso-position-horizontal-relative:page" fillcolor="#e1e0e1" stroked="f">
            <w10:wrap anchorx="page"/>
          </v:rect>
        </w:pict>
      </w:r>
      <w:bookmarkStart w:id="123" w:name="5.0_Regional_NSW_"/>
      <w:bookmarkStart w:id="124" w:name="Key_points"/>
      <w:bookmarkStart w:id="125" w:name="5.1_Introduction"/>
      <w:bookmarkStart w:id="126" w:name="_bookmark90"/>
      <w:bookmarkStart w:id="127" w:name="_bookmark89"/>
      <w:bookmarkEnd w:id="123"/>
      <w:bookmarkEnd w:id="124"/>
      <w:bookmarkEnd w:id="125"/>
      <w:bookmarkEnd w:id="126"/>
      <w:bookmarkEnd w:id="127"/>
      <w:r w:rsidR="00F22F94">
        <w:rPr>
          <w:color w:val="2E3092"/>
          <w:w w:val="55"/>
        </w:rPr>
        <w:t>5.0</w:t>
      </w:r>
      <w:r w:rsidR="00F22F94">
        <w:rPr>
          <w:color w:val="2E3092"/>
          <w:spacing w:val="-97"/>
        </w:rPr>
        <w:t xml:space="preserve"> </w:t>
      </w:r>
      <w:r w:rsidR="00F22F94">
        <w:rPr>
          <w:color w:val="EC008C"/>
          <w:w w:val="55"/>
        </w:rPr>
        <w:t>Regional</w:t>
      </w:r>
      <w:r w:rsidR="00F22F94">
        <w:rPr>
          <w:color w:val="EC008C"/>
          <w:spacing w:val="-97"/>
        </w:rPr>
        <w:t xml:space="preserve"> </w:t>
      </w:r>
      <w:r w:rsidR="00F22F94">
        <w:rPr>
          <w:color w:val="EC008C"/>
          <w:spacing w:val="-5"/>
          <w:w w:val="55"/>
        </w:rPr>
        <w:t>NSW</w:t>
      </w:r>
    </w:p>
    <w:p w:rsidR="002C1123" w:rsidRDefault="00F22F94">
      <w:pPr>
        <w:pStyle w:val="Heading5"/>
        <w:spacing w:before="210"/>
        <w:ind w:left="492" w:firstLine="0"/>
      </w:pPr>
      <w:r>
        <w:rPr>
          <w:color w:val="EC008C"/>
          <w:w w:val="95"/>
        </w:rPr>
        <w:t>Key</w:t>
      </w:r>
      <w:r>
        <w:rPr>
          <w:color w:val="EC008C"/>
          <w:spacing w:val="-4"/>
        </w:rPr>
        <w:t xml:space="preserve"> </w:t>
      </w:r>
      <w:r>
        <w:rPr>
          <w:color w:val="EC008C"/>
          <w:spacing w:val="-2"/>
        </w:rPr>
        <w:t>points</w:t>
      </w:r>
    </w:p>
    <w:p w:rsidR="002C1123" w:rsidRDefault="00F22F94">
      <w:pPr>
        <w:rPr>
          <w:b/>
          <w:sz w:val="24"/>
        </w:rPr>
      </w:pPr>
      <w:r>
        <w:br w:type="column"/>
      </w:r>
    </w:p>
    <w:p w:rsidR="002C1123" w:rsidRDefault="002C1123">
      <w:pPr>
        <w:pStyle w:val="BodyText"/>
        <w:rPr>
          <w:b/>
          <w:sz w:val="24"/>
        </w:rPr>
      </w:pPr>
    </w:p>
    <w:p w:rsidR="002C1123" w:rsidRDefault="002C1123">
      <w:pPr>
        <w:pStyle w:val="BodyText"/>
        <w:rPr>
          <w:b/>
          <w:sz w:val="24"/>
        </w:rPr>
      </w:pPr>
    </w:p>
    <w:p w:rsidR="002C1123" w:rsidRDefault="002C1123">
      <w:pPr>
        <w:pStyle w:val="BodyText"/>
        <w:rPr>
          <w:b/>
          <w:sz w:val="24"/>
        </w:rPr>
      </w:pPr>
    </w:p>
    <w:p w:rsidR="002C1123" w:rsidRDefault="002C1123">
      <w:pPr>
        <w:pStyle w:val="BodyText"/>
        <w:rPr>
          <w:b/>
          <w:sz w:val="24"/>
        </w:rPr>
      </w:pPr>
    </w:p>
    <w:p w:rsidR="002C1123" w:rsidRDefault="002C1123">
      <w:pPr>
        <w:pStyle w:val="BodyText"/>
        <w:rPr>
          <w:b/>
          <w:sz w:val="24"/>
        </w:rPr>
      </w:pPr>
    </w:p>
    <w:p w:rsidR="002C1123" w:rsidRDefault="00F22F94">
      <w:pPr>
        <w:pStyle w:val="BodyText"/>
        <w:spacing w:before="139" w:line="249" w:lineRule="auto"/>
        <w:ind w:left="492"/>
      </w:pPr>
      <w:r>
        <w:rPr>
          <w:w w:val="95"/>
        </w:rPr>
        <w:t>This</w:t>
      </w:r>
      <w:r>
        <w:rPr>
          <w:spacing w:val="-4"/>
          <w:w w:val="95"/>
        </w:rPr>
        <w:t xml:space="preserve"> </w:t>
      </w:r>
      <w:r>
        <w:rPr>
          <w:w w:val="95"/>
        </w:rPr>
        <w:t>section</w:t>
      </w:r>
      <w:r>
        <w:rPr>
          <w:spacing w:val="-4"/>
          <w:w w:val="95"/>
        </w:rPr>
        <w:t xml:space="preserve"> </w:t>
      </w:r>
      <w:r>
        <w:rPr>
          <w:w w:val="95"/>
        </w:rPr>
        <w:t>examines</w:t>
      </w:r>
      <w:r>
        <w:rPr>
          <w:spacing w:val="-4"/>
          <w:w w:val="95"/>
        </w:rPr>
        <w:t xml:space="preserve"> </w:t>
      </w:r>
      <w:r>
        <w:rPr>
          <w:w w:val="95"/>
        </w:rPr>
        <w:t>the</w:t>
      </w:r>
      <w:r>
        <w:rPr>
          <w:spacing w:val="-4"/>
          <w:w w:val="95"/>
        </w:rPr>
        <w:t xml:space="preserve"> </w:t>
      </w:r>
      <w:r>
        <w:rPr>
          <w:w w:val="95"/>
        </w:rPr>
        <w:t>economies</w:t>
      </w:r>
      <w:r>
        <w:rPr>
          <w:spacing w:val="-4"/>
          <w:w w:val="95"/>
        </w:rPr>
        <w:t xml:space="preserve"> </w:t>
      </w:r>
      <w:r>
        <w:rPr>
          <w:w w:val="95"/>
        </w:rPr>
        <w:t>and</w:t>
      </w:r>
      <w:r>
        <w:rPr>
          <w:spacing w:val="-4"/>
          <w:w w:val="95"/>
        </w:rPr>
        <w:t xml:space="preserve"> </w:t>
      </w:r>
      <w:r>
        <w:rPr>
          <w:w w:val="95"/>
        </w:rPr>
        <w:t xml:space="preserve">infrastructure </w:t>
      </w:r>
      <w:r>
        <w:t>challenges</w:t>
      </w:r>
      <w:r>
        <w:rPr>
          <w:spacing w:val="-13"/>
        </w:rPr>
        <w:t xml:space="preserve"> </w:t>
      </w:r>
      <w:r>
        <w:t>faced</w:t>
      </w:r>
      <w:r>
        <w:rPr>
          <w:spacing w:val="-13"/>
        </w:rPr>
        <w:t xml:space="preserve"> </w:t>
      </w:r>
      <w:r>
        <w:t>by</w:t>
      </w:r>
      <w:r>
        <w:rPr>
          <w:spacing w:val="-13"/>
        </w:rPr>
        <w:t xml:space="preserve"> </w:t>
      </w:r>
      <w:r>
        <w:t>Regional</w:t>
      </w:r>
      <w:r>
        <w:rPr>
          <w:spacing w:val="-13"/>
        </w:rPr>
        <w:t xml:space="preserve"> </w:t>
      </w:r>
      <w:r>
        <w:t>NSW</w:t>
      </w:r>
      <w:r>
        <w:rPr>
          <w:spacing w:val="-13"/>
        </w:rPr>
        <w:t xml:space="preserve"> </w:t>
      </w:r>
      <w:r>
        <w:t>and</w:t>
      </w:r>
      <w:r>
        <w:rPr>
          <w:spacing w:val="-13"/>
        </w:rPr>
        <w:t xml:space="preserve"> </w:t>
      </w:r>
      <w:r>
        <w:t>the</w:t>
      </w:r>
      <w:r>
        <w:rPr>
          <w:spacing w:val="-13"/>
        </w:rPr>
        <w:t xml:space="preserve"> </w:t>
      </w:r>
      <w:r>
        <w:t>specific</w:t>
      </w:r>
    </w:p>
    <w:p w:rsidR="002C1123" w:rsidRDefault="002C1123">
      <w:pPr>
        <w:spacing w:line="249" w:lineRule="auto"/>
        <w:sectPr w:rsidR="002C1123">
          <w:type w:val="continuous"/>
          <w:pgSz w:w="16840" w:h="11910" w:orient="landscape"/>
          <w:pgMar w:top="560" w:right="280" w:bottom="280" w:left="500" w:header="0" w:footer="517" w:gutter="0"/>
          <w:cols w:num="2" w:space="720" w:equalWidth="0">
            <w:col w:w="5546" w:space="4508"/>
            <w:col w:w="6006"/>
          </w:cols>
        </w:sectPr>
      </w:pPr>
    </w:p>
    <w:p w:rsidR="002C1123" w:rsidRDefault="00F22F94">
      <w:pPr>
        <w:pStyle w:val="BodyText"/>
        <w:spacing w:line="194" w:lineRule="exact"/>
        <w:ind w:left="492"/>
      </w:pPr>
      <w:r>
        <w:rPr>
          <w:w w:val="95"/>
        </w:rPr>
        <w:t>NSW</w:t>
      </w:r>
      <w:r>
        <w:rPr>
          <w:spacing w:val="-7"/>
          <w:w w:val="95"/>
        </w:rPr>
        <w:t xml:space="preserve"> </w:t>
      </w:r>
      <w:r>
        <w:rPr>
          <w:w w:val="95"/>
        </w:rPr>
        <w:t>has</w:t>
      </w:r>
      <w:r>
        <w:rPr>
          <w:spacing w:val="-7"/>
          <w:w w:val="95"/>
        </w:rPr>
        <w:t xml:space="preserve"> </w:t>
      </w:r>
      <w:r>
        <w:rPr>
          <w:w w:val="95"/>
        </w:rPr>
        <w:t>the</w:t>
      </w:r>
      <w:r>
        <w:rPr>
          <w:spacing w:val="-6"/>
          <w:w w:val="95"/>
        </w:rPr>
        <w:t xml:space="preserve"> </w:t>
      </w:r>
      <w:r>
        <w:rPr>
          <w:w w:val="95"/>
        </w:rPr>
        <w:t>largest</w:t>
      </w:r>
      <w:r>
        <w:rPr>
          <w:spacing w:val="-7"/>
          <w:w w:val="95"/>
        </w:rPr>
        <w:t xml:space="preserve"> </w:t>
      </w:r>
      <w:r>
        <w:rPr>
          <w:w w:val="95"/>
        </w:rPr>
        <w:t>and</w:t>
      </w:r>
      <w:r>
        <w:rPr>
          <w:spacing w:val="-7"/>
          <w:w w:val="95"/>
        </w:rPr>
        <w:t xml:space="preserve"> </w:t>
      </w:r>
      <w:r>
        <w:rPr>
          <w:w w:val="95"/>
        </w:rPr>
        <w:t>most</w:t>
      </w:r>
      <w:r>
        <w:rPr>
          <w:spacing w:val="-6"/>
          <w:w w:val="95"/>
        </w:rPr>
        <w:t xml:space="preserve"> </w:t>
      </w:r>
      <w:r>
        <w:rPr>
          <w:w w:val="95"/>
        </w:rPr>
        <w:t>diversified</w:t>
      </w:r>
      <w:r>
        <w:rPr>
          <w:spacing w:val="-7"/>
          <w:w w:val="95"/>
        </w:rPr>
        <w:t xml:space="preserve"> </w:t>
      </w:r>
      <w:r>
        <w:rPr>
          <w:spacing w:val="-2"/>
          <w:w w:val="95"/>
        </w:rPr>
        <w:t>regional</w:t>
      </w:r>
    </w:p>
    <w:p w:rsidR="002C1123" w:rsidRDefault="00F22F94">
      <w:pPr>
        <w:pStyle w:val="BodyText"/>
        <w:spacing w:before="10"/>
        <w:ind w:left="492"/>
      </w:pPr>
      <w:r>
        <w:rPr>
          <w:w w:val="95"/>
        </w:rPr>
        <w:t>economy</w:t>
      </w:r>
      <w:r>
        <w:rPr>
          <w:spacing w:val="-9"/>
          <w:w w:val="95"/>
        </w:rPr>
        <w:t xml:space="preserve"> </w:t>
      </w:r>
      <w:r>
        <w:rPr>
          <w:w w:val="95"/>
        </w:rPr>
        <w:t>of</w:t>
      </w:r>
      <w:r>
        <w:rPr>
          <w:spacing w:val="-9"/>
          <w:w w:val="95"/>
        </w:rPr>
        <w:t xml:space="preserve"> </w:t>
      </w:r>
      <w:r>
        <w:rPr>
          <w:w w:val="95"/>
        </w:rPr>
        <w:t>any</w:t>
      </w:r>
      <w:r>
        <w:rPr>
          <w:spacing w:val="-9"/>
          <w:w w:val="95"/>
        </w:rPr>
        <w:t xml:space="preserve"> </w:t>
      </w:r>
      <w:r>
        <w:rPr>
          <w:w w:val="95"/>
        </w:rPr>
        <w:t>State</w:t>
      </w:r>
      <w:r>
        <w:rPr>
          <w:spacing w:val="-9"/>
          <w:w w:val="95"/>
        </w:rPr>
        <w:t xml:space="preserve"> </w:t>
      </w:r>
      <w:r>
        <w:rPr>
          <w:w w:val="95"/>
        </w:rPr>
        <w:t>in</w:t>
      </w:r>
      <w:r>
        <w:rPr>
          <w:spacing w:val="-9"/>
          <w:w w:val="95"/>
        </w:rPr>
        <w:t xml:space="preserve"> </w:t>
      </w:r>
      <w:r>
        <w:rPr>
          <w:spacing w:val="-2"/>
          <w:w w:val="95"/>
        </w:rPr>
        <w:t>Australia.</w:t>
      </w:r>
    </w:p>
    <w:p w:rsidR="002C1123" w:rsidRDefault="00F22F94">
      <w:pPr>
        <w:pStyle w:val="BodyText"/>
        <w:spacing w:before="152" w:line="249" w:lineRule="auto"/>
        <w:ind w:left="492"/>
      </w:pPr>
      <w:r>
        <w:rPr>
          <w:w w:val="95"/>
        </w:rPr>
        <w:t>Over</w:t>
      </w:r>
      <w:r>
        <w:rPr>
          <w:spacing w:val="-10"/>
          <w:w w:val="95"/>
        </w:rPr>
        <w:t xml:space="preserve"> </w:t>
      </w:r>
      <w:r>
        <w:rPr>
          <w:w w:val="95"/>
        </w:rPr>
        <w:t>a</w:t>
      </w:r>
      <w:r>
        <w:rPr>
          <w:spacing w:val="-10"/>
          <w:w w:val="95"/>
        </w:rPr>
        <w:t xml:space="preserve"> </w:t>
      </w:r>
      <w:r>
        <w:rPr>
          <w:w w:val="95"/>
        </w:rPr>
        <w:t>third</w:t>
      </w:r>
      <w:r>
        <w:rPr>
          <w:spacing w:val="-10"/>
          <w:w w:val="95"/>
        </w:rPr>
        <w:t xml:space="preserve"> </w:t>
      </w:r>
      <w:r>
        <w:rPr>
          <w:w w:val="95"/>
        </w:rPr>
        <w:t>of</w:t>
      </w:r>
      <w:r>
        <w:rPr>
          <w:spacing w:val="-10"/>
          <w:w w:val="95"/>
        </w:rPr>
        <w:t xml:space="preserve"> </w:t>
      </w:r>
      <w:r>
        <w:rPr>
          <w:w w:val="95"/>
        </w:rPr>
        <w:t>the</w:t>
      </w:r>
      <w:r>
        <w:rPr>
          <w:spacing w:val="-10"/>
          <w:w w:val="95"/>
        </w:rPr>
        <w:t xml:space="preserve"> </w:t>
      </w:r>
      <w:r>
        <w:rPr>
          <w:w w:val="95"/>
        </w:rPr>
        <w:t>population</w:t>
      </w:r>
      <w:r>
        <w:rPr>
          <w:spacing w:val="-10"/>
          <w:w w:val="95"/>
        </w:rPr>
        <w:t xml:space="preserve"> </w:t>
      </w:r>
      <w:r>
        <w:rPr>
          <w:w w:val="95"/>
        </w:rPr>
        <w:t>(37</w:t>
      </w:r>
      <w:r>
        <w:rPr>
          <w:spacing w:val="-10"/>
          <w:w w:val="95"/>
        </w:rPr>
        <w:t xml:space="preserve"> </w:t>
      </w:r>
      <w:r>
        <w:rPr>
          <w:w w:val="95"/>
        </w:rPr>
        <w:t>percent),</w:t>
      </w:r>
      <w:r>
        <w:rPr>
          <w:spacing w:val="-10"/>
          <w:w w:val="95"/>
        </w:rPr>
        <w:t xml:space="preserve"> </w:t>
      </w:r>
      <w:r>
        <w:rPr>
          <w:w w:val="95"/>
        </w:rPr>
        <w:t>live</w:t>
      </w:r>
      <w:r>
        <w:rPr>
          <w:spacing w:val="-10"/>
          <w:w w:val="95"/>
        </w:rPr>
        <w:t xml:space="preserve"> </w:t>
      </w:r>
      <w:r>
        <w:rPr>
          <w:w w:val="95"/>
        </w:rPr>
        <w:t>and</w:t>
      </w:r>
      <w:r>
        <w:rPr>
          <w:spacing w:val="-10"/>
          <w:w w:val="95"/>
        </w:rPr>
        <w:t xml:space="preserve"> </w:t>
      </w:r>
      <w:r>
        <w:rPr>
          <w:w w:val="95"/>
        </w:rPr>
        <w:t xml:space="preserve">work </w:t>
      </w:r>
      <w:r>
        <w:t>in</w:t>
      </w:r>
      <w:r>
        <w:rPr>
          <w:spacing w:val="-9"/>
        </w:rPr>
        <w:t xml:space="preserve"> </w:t>
      </w:r>
      <w:r>
        <w:t>the</w:t>
      </w:r>
      <w:r>
        <w:rPr>
          <w:spacing w:val="-9"/>
        </w:rPr>
        <w:t xml:space="preserve"> </w:t>
      </w:r>
      <w:r>
        <w:t>regions,</w:t>
      </w:r>
      <w:r>
        <w:rPr>
          <w:spacing w:val="-9"/>
        </w:rPr>
        <w:t xml:space="preserve"> </w:t>
      </w:r>
      <w:r>
        <w:t>contributing</w:t>
      </w:r>
      <w:r>
        <w:rPr>
          <w:spacing w:val="-9"/>
        </w:rPr>
        <w:t xml:space="preserve"> </w:t>
      </w:r>
      <w:r>
        <w:t>around</w:t>
      </w:r>
      <w:r>
        <w:rPr>
          <w:spacing w:val="-9"/>
        </w:rPr>
        <w:t xml:space="preserve"> </w:t>
      </w:r>
      <w:r>
        <w:t>a</w:t>
      </w:r>
      <w:r>
        <w:rPr>
          <w:spacing w:val="-9"/>
        </w:rPr>
        <w:t xml:space="preserve"> </w:t>
      </w:r>
      <w:r>
        <w:t>quarter</w:t>
      </w:r>
      <w:r>
        <w:rPr>
          <w:spacing w:val="-9"/>
        </w:rPr>
        <w:t xml:space="preserve"> </w:t>
      </w:r>
      <w:r>
        <w:t>of</w:t>
      </w:r>
      <w:r>
        <w:rPr>
          <w:spacing w:val="-9"/>
        </w:rPr>
        <w:t xml:space="preserve"> </w:t>
      </w:r>
      <w:r>
        <w:t>the State’s economic output.</w:t>
      </w:r>
    </w:p>
    <w:p w:rsidR="002C1123" w:rsidRDefault="00F22F94">
      <w:pPr>
        <w:pStyle w:val="BodyText"/>
        <w:spacing w:before="144" w:line="249" w:lineRule="auto"/>
        <w:ind w:left="492" w:right="166"/>
      </w:pPr>
      <w:r>
        <w:rPr>
          <w:w w:val="95"/>
        </w:rPr>
        <w:t xml:space="preserve">The development and future prosperity of Regional </w:t>
      </w:r>
      <w:r>
        <w:t>NSW</w:t>
      </w:r>
      <w:r>
        <w:rPr>
          <w:spacing w:val="-14"/>
        </w:rPr>
        <w:t xml:space="preserve"> </w:t>
      </w:r>
      <w:r>
        <w:t>and</w:t>
      </w:r>
      <w:r>
        <w:rPr>
          <w:spacing w:val="-14"/>
        </w:rPr>
        <w:t xml:space="preserve"> </w:t>
      </w:r>
      <w:r>
        <w:t>Metropolitan</w:t>
      </w:r>
      <w:r>
        <w:rPr>
          <w:spacing w:val="-14"/>
        </w:rPr>
        <w:t xml:space="preserve"> </w:t>
      </w:r>
      <w:r>
        <w:t>NSW,</w:t>
      </w:r>
      <w:r>
        <w:rPr>
          <w:spacing w:val="-14"/>
        </w:rPr>
        <w:t xml:space="preserve"> </w:t>
      </w:r>
      <w:r>
        <w:t>is</w:t>
      </w:r>
      <w:r>
        <w:rPr>
          <w:spacing w:val="-14"/>
        </w:rPr>
        <w:t xml:space="preserve"> </w:t>
      </w:r>
      <w:r>
        <w:t>firmly</w:t>
      </w:r>
      <w:r>
        <w:rPr>
          <w:spacing w:val="-14"/>
        </w:rPr>
        <w:t xml:space="preserve"> </w:t>
      </w:r>
      <w:r>
        <w:t xml:space="preserve">interlinked. </w:t>
      </w:r>
      <w:r>
        <w:rPr>
          <w:w w:val="95"/>
        </w:rPr>
        <w:t>Regional</w:t>
      </w:r>
      <w:r>
        <w:rPr>
          <w:spacing w:val="-8"/>
          <w:w w:val="95"/>
        </w:rPr>
        <w:t xml:space="preserve"> </w:t>
      </w:r>
      <w:r>
        <w:rPr>
          <w:w w:val="95"/>
        </w:rPr>
        <w:t>NSW</w:t>
      </w:r>
      <w:r>
        <w:rPr>
          <w:spacing w:val="-8"/>
          <w:w w:val="95"/>
        </w:rPr>
        <w:t xml:space="preserve"> </w:t>
      </w:r>
      <w:r>
        <w:rPr>
          <w:w w:val="95"/>
        </w:rPr>
        <w:t>supplies</w:t>
      </w:r>
      <w:r>
        <w:rPr>
          <w:spacing w:val="-8"/>
          <w:w w:val="95"/>
        </w:rPr>
        <w:t xml:space="preserve"> </w:t>
      </w:r>
      <w:r>
        <w:rPr>
          <w:w w:val="95"/>
        </w:rPr>
        <w:t>global</w:t>
      </w:r>
      <w:r>
        <w:rPr>
          <w:spacing w:val="-8"/>
          <w:w w:val="95"/>
        </w:rPr>
        <w:t xml:space="preserve"> </w:t>
      </w:r>
      <w:r>
        <w:rPr>
          <w:w w:val="95"/>
        </w:rPr>
        <w:t>markets</w:t>
      </w:r>
      <w:r>
        <w:rPr>
          <w:spacing w:val="-8"/>
          <w:w w:val="95"/>
        </w:rPr>
        <w:t xml:space="preserve"> </w:t>
      </w:r>
      <w:r>
        <w:rPr>
          <w:w w:val="95"/>
        </w:rPr>
        <w:t>and</w:t>
      </w:r>
      <w:r>
        <w:rPr>
          <w:spacing w:val="-8"/>
          <w:w w:val="95"/>
        </w:rPr>
        <w:t xml:space="preserve"> </w:t>
      </w:r>
      <w:r>
        <w:rPr>
          <w:w w:val="95"/>
        </w:rPr>
        <w:t xml:space="preserve">Sydney </w:t>
      </w:r>
      <w:r>
        <w:t>with produce, commodities and resources.</w:t>
      </w:r>
    </w:p>
    <w:p w:rsidR="002C1123" w:rsidRDefault="00F22F94">
      <w:pPr>
        <w:pStyle w:val="BodyText"/>
        <w:spacing w:before="145" w:line="249" w:lineRule="auto"/>
        <w:ind w:left="492" w:right="166"/>
      </w:pPr>
      <w:r>
        <w:rPr>
          <w:w w:val="95"/>
        </w:rPr>
        <w:t xml:space="preserve">The continued development and support of regional </w:t>
      </w:r>
      <w:r>
        <w:t>infrastructure</w:t>
      </w:r>
      <w:r>
        <w:rPr>
          <w:spacing w:val="-11"/>
        </w:rPr>
        <w:t xml:space="preserve"> </w:t>
      </w:r>
      <w:r>
        <w:t>benefits</w:t>
      </w:r>
      <w:r>
        <w:rPr>
          <w:spacing w:val="-11"/>
        </w:rPr>
        <w:t xml:space="preserve"> </w:t>
      </w:r>
      <w:r>
        <w:t>the</w:t>
      </w:r>
      <w:r>
        <w:rPr>
          <w:spacing w:val="-11"/>
        </w:rPr>
        <w:t xml:space="preserve"> </w:t>
      </w:r>
      <w:r>
        <w:t>NSW</w:t>
      </w:r>
      <w:r>
        <w:rPr>
          <w:spacing w:val="-11"/>
        </w:rPr>
        <w:t xml:space="preserve"> </w:t>
      </w:r>
      <w:r>
        <w:t>economy</w:t>
      </w:r>
      <w:r>
        <w:rPr>
          <w:spacing w:val="-11"/>
        </w:rPr>
        <w:t xml:space="preserve"> </w:t>
      </w:r>
      <w:r>
        <w:t>as</w:t>
      </w:r>
      <w:r>
        <w:rPr>
          <w:spacing w:val="-11"/>
        </w:rPr>
        <w:t xml:space="preserve"> </w:t>
      </w:r>
      <w:r>
        <w:t>a whole</w:t>
      </w:r>
      <w:r>
        <w:rPr>
          <w:spacing w:val="-14"/>
        </w:rPr>
        <w:t xml:space="preserve"> </w:t>
      </w:r>
      <w:r>
        <w:t>and</w:t>
      </w:r>
      <w:r>
        <w:rPr>
          <w:spacing w:val="-14"/>
        </w:rPr>
        <w:t xml:space="preserve"> </w:t>
      </w:r>
      <w:r>
        <w:t>should</w:t>
      </w:r>
      <w:r>
        <w:rPr>
          <w:spacing w:val="-14"/>
        </w:rPr>
        <w:t xml:space="preserve"> </w:t>
      </w:r>
      <w:r>
        <w:t>not</w:t>
      </w:r>
      <w:r>
        <w:rPr>
          <w:spacing w:val="-14"/>
        </w:rPr>
        <w:t xml:space="preserve"> </w:t>
      </w:r>
      <w:r>
        <w:t>be</w:t>
      </w:r>
      <w:r>
        <w:rPr>
          <w:spacing w:val="-14"/>
        </w:rPr>
        <w:t xml:space="preserve"> </w:t>
      </w:r>
      <w:r>
        <w:t>looked</w:t>
      </w:r>
      <w:r>
        <w:rPr>
          <w:spacing w:val="-14"/>
        </w:rPr>
        <w:t xml:space="preserve"> </w:t>
      </w:r>
      <w:r>
        <w:t>at</w:t>
      </w:r>
      <w:r>
        <w:rPr>
          <w:spacing w:val="-14"/>
        </w:rPr>
        <w:t xml:space="preserve"> </w:t>
      </w:r>
      <w:r>
        <w:t>in</w:t>
      </w:r>
      <w:r>
        <w:rPr>
          <w:spacing w:val="-14"/>
        </w:rPr>
        <w:t xml:space="preserve"> </w:t>
      </w:r>
      <w:r>
        <w:t>isolation</w:t>
      </w:r>
      <w:r>
        <w:rPr>
          <w:spacing w:val="-14"/>
        </w:rPr>
        <w:t xml:space="preserve"> </w:t>
      </w:r>
      <w:r>
        <w:t>from</w:t>
      </w:r>
    </w:p>
    <w:p w:rsidR="002C1123" w:rsidRDefault="00F22F94">
      <w:pPr>
        <w:pStyle w:val="BodyText"/>
        <w:spacing w:before="2" w:line="249" w:lineRule="auto"/>
        <w:ind w:left="492"/>
      </w:pPr>
      <w:r>
        <w:rPr>
          <w:w w:val="95"/>
        </w:rPr>
        <w:t>metropolitan</w:t>
      </w:r>
      <w:r>
        <w:rPr>
          <w:spacing w:val="-9"/>
          <w:w w:val="95"/>
        </w:rPr>
        <w:t xml:space="preserve"> </w:t>
      </w:r>
      <w:r>
        <w:rPr>
          <w:w w:val="95"/>
        </w:rPr>
        <w:t>infrastructure.</w:t>
      </w:r>
      <w:r>
        <w:rPr>
          <w:spacing w:val="-9"/>
          <w:w w:val="95"/>
        </w:rPr>
        <w:t xml:space="preserve"> </w:t>
      </w:r>
      <w:r>
        <w:rPr>
          <w:w w:val="95"/>
        </w:rPr>
        <w:t>NSW</w:t>
      </w:r>
      <w:r>
        <w:rPr>
          <w:spacing w:val="-9"/>
          <w:w w:val="95"/>
        </w:rPr>
        <w:t xml:space="preserve"> </w:t>
      </w:r>
      <w:r>
        <w:rPr>
          <w:w w:val="95"/>
        </w:rPr>
        <w:t>road,</w:t>
      </w:r>
      <w:r>
        <w:rPr>
          <w:spacing w:val="-9"/>
          <w:w w:val="95"/>
        </w:rPr>
        <w:t xml:space="preserve"> </w:t>
      </w:r>
      <w:r>
        <w:rPr>
          <w:w w:val="95"/>
        </w:rPr>
        <w:t>aviation</w:t>
      </w:r>
      <w:r>
        <w:rPr>
          <w:spacing w:val="-9"/>
          <w:w w:val="95"/>
        </w:rPr>
        <w:t xml:space="preserve"> </w:t>
      </w:r>
      <w:r>
        <w:rPr>
          <w:w w:val="95"/>
        </w:rPr>
        <w:t>and</w:t>
      </w:r>
      <w:r>
        <w:rPr>
          <w:spacing w:val="-9"/>
          <w:w w:val="95"/>
        </w:rPr>
        <w:t xml:space="preserve"> </w:t>
      </w:r>
      <w:r>
        <w:rPr>
          <w:w w:val="95"/>
        </w:rPr>
        <w:t xml:space="preserve">rail networks provide Regional NSW with the connectivity </w:t>
      </w:r>
      <w:r>
        <w:t>vital</w:t>
      </w:r>
      <w:r>
        <w:rPr>
          <w:spacing w:val="-8"/>
        </w:rPr>
        <w:t xml:space="preserve"> </w:t>
      </w:r>
      <w:r>
        <w:t>for</w:t>
      </w:r>
      <w:r>
        <w:rPr>
          <w:spacing w:val="-8"/>
        </w:rPr>
        <w:t xml:space="preserve"> </w:t>
      </w:r>
      <w:r>
        <w:t>regional</w:t>
      </w:r>
      <w:r>
        <w:rPr>
          <w:spacing w:val="-8"/>
        </w:rPr>
        <w:t xml:space="preserve"> </w:t>
      </w:r>
      <w:r>
        <w:t>and</w:t>
      </w:r>
      <w:r>
        <w:rPr>
          <w:spacing w:val="-8"/>
        </w:rPr>
        <w:t xml:space="preserve"> </w:t>
      </w:r>
      <w:r>
        <w:t>State</w:t>
      </w:r>
      <w:r>
        <w:rPr>
          <w:spacing w:val="-8"/>
        </w:rPr>
        <w:t xml:space="preserve"> </w:t>
      </w:r>
      <w:r>
        <w:t>prosperity.</w:t>
      </w:r>
    </w:p>
    <w:p w:rsidR="002C1123" w:rsidRDefault="00F22F94">
      <w:pPr>
        <w:pStyle w:val="BodyText"/>
        <w:spacing w:before="144" w:line="249" w:lineRule="auto"/>
        <w:ind w:left="492" w:right="42"/>
      </w:pPr>
      <w:r>
        <w:rPr>
          <w:w w:val="95"/>
        </w:rPr>
        <w:t>Over</w:t>
      </w:r>
      <w:r>
        <w:rPr>
          <w:spacing w:val="-12"/>
          <w:w w:val="95"/>
        </w:rPr>
        <w:t xml:space="preserve"> </w:t>
      </w:r>
      <w:r>
        <w:rPr>
          <w:w w:val="95"/>
        </w:rPr>
        <w:t>the</w:t>
      </w:r>
      <w:r>
        <w:rPr>
          <w:spacing w:val="-11"/>
          <w:w w:val="95"/>
        </w:rPr>
        <w:t xml:space="preserve"> </w:t>
      </w:r>
      <w:r>
        <w:rPr>
          <w:w w:val="95"/>
        </w:rPr>
        <w:t>last</w:t>
      </w:r>
      <w:r>
        <w:rPr>
          <w:spacing w:val="-11"/>
          <w:w w:val="95"/>
        </w:rPr>
        <w:t xml:space="preserve"> </w:t>
      </w:r>
      <w:r>
        <w:rPr>
          <w:w w:val="95"/>
        </w:rPr>
        <w:t>decade,</w:t>
      </w:r>
      <w:r>
        <w:rPr>
          <w:spacing w:val="-11"/>
          <w:w w:val="95"/>
        </w:rPr>
        <w:t xml:space="preserve"> </w:t>
      </w:r>
      <w:r>
        <w:rPr>
          <w:w w:val="95"/>
        </w:rPr>
        <w:t>Regional</w:t>
      </w:r>
      <w:r>
        <w:rPr>
          <w:spacing w:val="-12"/>
          <w:w w:val="95"/>
        </w:rPr>
        <w:t xml:space="preserve"> </w:t>
      </w:r>
      <w:r>
        <w:rPr>
          <w:w w:val="95"/>
        </w:rPr>
        <w:t>NSW</w:t>
      </w:r>
      <w:r>
        <w:rPr>
          <w:spacing w:val="-11"/>
          <w:w w:val="95"/>
        </w:rPr>
        <w:t xml:space="preserve"> </w:t>
      </w:r>
      <w:r>
        <w:rPr>
          <w:w w:val="95"/>
        </w:rPr>
        <w:t>has</w:t>
      </w:r>
      <w:r>
        <w:rPr>
          <w:spacing w:val="-11"/>
          <w:w w:val="95"/>
        </w:rPr>
        <w:t xml:space="preserve"> </w:t>
      </w:r>
      <w:r>
        <w:rPr>
          <w:w w:val="95"/>
        </w:rPr>
        <w:t>experienced</w:t>
      </w:r>
      <w:r>
        <w:rPr>
          <w:spacing w:val="-11"/>
          <w:w w:val="95"/>
        </w:rPr>
        <w:t xml:space="preserve"> </w:t>
      </w:r>
      <w:r>
        <w:rPr>
          <w:w w:val="95"/>
        </w:rPr>
        <w:t xml:space="preserve">a two-speed economy caused by increased demand for </w:t>
      </w:r>
      <w:r>
        <w:t>coal</w:t>
      </w:r>
      <w:r>
        <w:rPr>
          <w:spacing w:val="-14"/>
        </w:rPr>
        <w:t xml:space="preserve"> </w:t>
      </w:r>
      <w:r>
        <w:t>and</w:t>
      </w:r>
      <w:r>
        <w:rPr>
          <w:spacing w:val="-14"/>
        </w:rPr>
        <w:t xml:space="preserve"> </w:t>
      </w:r>
      <w:r>
        <w:t>minerals</w:t>
      </w:r>
      <w:r>
        <w:rPr>
          <w:spacing w:val="-14"/>
        </w:rPr>
        <w:t xml:space="preserve"> </w:t>
      </w:r>
      <w:r>
        <w:t>on</w:t>
      </w:r>
      <w:r>
        <w:rPr>
          <w:spacing w:val="-14"/>
        </w:rPr>
        <w:t xml:space="preserve"> </w:t>
      </w:r>
      <w:r>
        <w:t>one</w:t>
      </w:r>
      <w:r>
        <w:rPr>
          <w:spacing w:val="-14"/>
        </w:rPr>
        <w:t xml:space="preserve"> </w:t>
      </w:r>
      <w:r>
        <w:t>hand</w:t>
      </w:r>
      <w:r>
        <w:rPr>
          <w:spacing w:val="-14"/>
        </w:rPr>
        <w:t xml:space="preserve"> </w:t>
      </w:r>
      <w:r>
        <w:t>and</w:t>
      </w:r>
      <w:r>
        <w:rPr>
          <w:spacing w:val="-14"/>
        </w:rPr>
        <w:t xml:space="preserve"> </w:t>
      </w:r>
      <w:r>
        <w:t>pressure</w:t>
      </w:r>
      <w:r>
        <w:rPr>
          <w:spacing w:val="-14"/>
        </w:rPr>
        <w:t xml:space="preserve"> </w:t>
      </w:r>
      <w:r>
        <w:t>on</w:t>
      </w:r>
      <w:r>
        <w:rPr>
          <w:spacing w:val="-14"/>
        </w:rPr>
        <w:t xml:space="preserve"> </w:t>
      </w:r>
      <w:r>
        <w:t xml:space="preserve">other </w:t>
      </w:r>
      <w:r>
        <w:rPr>
          <w:spacing w:val="-2"/>
        </w:rPr>
        <w:t>industries,</w:t>
      </w:r>
      <w:r>
        <w:rPr>
          <w:spacing w:val="-4"/>
        </w:rPr>
        <w:t xml:space="preserve"> </w:t>
      </w:r>
      <w:r>
        <w:rPr>
          <w:spacing w:val="-2"/>
        </w:rPr>
        <w:t>particularly</w:t>
      </w:r>
      <w:r>
        <w:rPr>
          <w:spacing w:val="-4"/>
        </w:rPr>
        <w:t xml:space="preserve"> </w:t>
      </w:r>
      <w:r>
        <w:rPr>
          <w:spacing w:val="-2"/>
        </w:rPr>
        <w:t>manufacturing,</w:t>
      </w:r>
      <w:r>
        <w:rPr>
          <w:spacing w:val="-4"/>
        </w:rPr>
        <w:t xml:space="preserve"> </w:t>
      </w:r>
      <w:r>
        <w:rPr>
          <w:spacing w:val="-2"/>
        </w:rPr>
        <w:t>on</w:t>
      </w:r>
      <w:r>
        <w:rPr>
          <w:spacing w:val="-4"/>
        </w:rPr>
        <w:t xml:space="preserve"> </w:t>
      </w:r>
      <w:r>
        <w:rPr>
          <w:spacing w:val="-2"/>
        </w:rPr>
        <w:t>the</w:t>
      </w:r>
      <w:r>
        <w:rPr>
          <w:spacing w:val="-4"/>
        </w:rPr>
        <w:t xml:space="preserve"> </w:t>
      </w:r>
      <w:r>
        <w:rPr>
          <w:spacing w:val="-2"/>
        </w:rPr>
        <w:t>other.</w:t>
      </w:r>
    </w:p>
    <w:p w:rsidR="002C1123" w:rsidRDefault="00F22F94">
      <w:pPr>
        <w:pStyle w:val="BodyText"/>
        <w:spacing w:before="4" w:line="249" w:lineRule="auto"/>
        <w:ind w:left="492"/>
      </w:pPr>
      <w:r>
        <w:rPr>
          <w:spacing w:val="-2"/>
          <w:w w:val="95"/>
        </w:rPr>
        <w:t>This</w:t>
      </w:r>
      <w:r>
        <w:rPr>
          <w:spacing w:val="-3"/>
          <w:w w:val="95"/>
        </w:rPr>
        <w:t xml:space="preserve"> </w:t>
      </w:r>
      <w:r>
        <w:rPr>
          <w:spacing w:val="-2"/>
          <w:w w:val="95"/>
        </w:rPr>
        <w:t>raises</w:t>
      </w:r>
      <w:r>
        <w:rPr>
          <w:spacing w:val="-3"/>
          <w:w w:val="95"/>
        </w:rPr>
        <w:t xml:space="preserve"> </w:t>
      </w:r>
      <w:r>
        <w:rPr>
          <w:spacing w:val="-2"/>
          <w:w w:val="95"/>
        </w:rPr>
        <w:t>challenges</w:t>
      </w:r>
      <w:r>
        <w:rPr>
          <w:spacing w:val="-3"/>
          <w:w w:val="95"/>
        </w:rPr>
        <w:t xml:space="preserve"> </w:t>
      </w:r>
      <w:r>
        <w:rPr>
          <w:spacing w:val="-2"/>
          <w:w w:val="95"/>
        </w:rPr>
        <w:t>for</w:t>
      </w:r>
      <w:r>
        <w:rPr>
          <w:spacing w:val="-3"/>
          <w:w w:val="95"/>
        </w:rPr>
        <w:t xml:space="preserve"> </w:t>
      </w:r>
      <w:r>
        <w:rPr>
          <w:spacing w:val="-2"/>
          <w:w w:val="95"/>
        </w:rPr>
        <w:t>the</w:t>
      </w:r>
      <w:r>
        <w:rPr>
          <w:spacing w:val="-3"/>
          <w:w w:val="95"/>
        </w:rPr>
        <w:t xml:space="preserve"> </w:t>
      </w:r>
      <w:r>
        <w:rPr>
          <w:spacing w:val="-2"/>
          <w:w w:val="95"/>
        </w:rPr>
        <w:t>ability</w:t>
      </w:r>
      <w:r>
        <w:rPr>
          <w:spacing w:val="-3"/>
          <w:w w:val="95"/>
        </w:rPr>
        <w:t xml:space="preserve"> </w:t>
      </w:r>
      <w:r>
        <w:rPr>
          <w:spacing w:val="-2"/>
          <w:w w:val="95"/>
        </w:rPr>
        <w:t>of</w:t>
      </w:r>
      <w:r>
        <w:rPr>
          <w:spacing w:val="-3"/>
          <w:w w:val="95"/>
        </w:rPr>
        <w:t xml:space="preserve"> </w:t>
      </w:r>
      <w:r>
        <w:rPr>
          <w:spacing w:val="-2"/>
          <w:w w:val="95"/>
        </w:rPr>
        <w:t>infrastructure</w:t>
      </w:r>
      <w:r>
        <w:rPr>
          <w:spacing w:val="-3"/>
          <w:w w:val="95"/>
        </w:rPr>
        <w:t xml:space="preserve"> </w:t>
      </w:r>
      <w:r>
        <w:rPr>
          <w:spacing w:val="-2"/>
          <w:w w:val="95"/>
        </w:rPr>
        <w:t xml:space="preserve">to </w:t>
      </w:r>
      <w:r>
        <w:t>service increased demand.</w:t>
      </w:r>
    </w:p>
    <w:p w:rsidR="002C1123" w:rsidRDefault="00F22F94">
      <w:pPr>
        <w:pStyle w:val="BodyText"/>
        <w:spacing w:line="194" w:lineRule="exact"/>
        <w:ind w:left="215"/>
      </w:pPr>
      <w:r>
        <w:br w:type="column"/>
      </w:r>
      <w:r>
        <w:rPr>
          <w:w w:val="95"/>
        </w:rPr>
        <w:t>Infrastructure</w:t>
      </w:r>
      <w:r>
        <w:rPr>
          <w:spacing w:val="-11"/>
          <w:w w:val="95"/>
        </w:rPr>
        <w:t xml:space="preserve"> </w:t>
      </w:r>
      <w:r>
        <w:rPr>
          <w:w w:val="95"/>
        </w:rPr>
        <w:t>NSW</w:t>
      </w:r>
      <w:r>
        <w:rPr>
          <w:spacing w:val="-10"/>
          <w:w w:val="95"/>
        </w:rPr>
        <w:t xml:space="preserve"> </w:t>
      </w:r>
      <w:r>
        <w:rPr>
          <w:w w:val="95"/>
        </w:rPr>
        <w:t>has</w:t>
      </w:r>
      <w:r>
        <w:rPr>
          <w:spacing w:val="-10"/>
          <w:w w:val="95"/>
        </w:rPr>
        <w:t xml:space="preserve"> </w:t>
      </w:r>
      <w:r>
        <w:rPr>
          <w:w w:val="95"/>
        </w:rPr>
        <w:t>identified</w:t>
      </w:r>
      <w:r>
        <w:rPr>
          <w:spacing w:val="-10"/>
          <w:w w:val="95"/>
        </w:rPr>
        <w:t xml:space="preserve"> </w:t>
      </w:r>
      <w:r>
        <w:rPr>
          <w:w w:val="95"/>
        </w:rPr>
        <w:t>four</w:t>
      </w:r>
      <w:r>
        <w:rPr>
          <w:spacing w:val="-10"/>
          <w:w w:val="95"/>
        </w:rPr>
        <w:t xml:space="preserve"> </w:t>
      </w:r>
      <w:r>
        <w:rPr>
          <w:spacing w:val="-2"/>
          <w:w w:val="95"/>
        </w:rPr>
        <w:t>infrastructure</w:t>
      </w:r>
    </w:p>
    <w:p w:rsidR="002C1123" w:rsidRDefault="00F22F94">
      <w:pPr>
        <w:pStyle w:val="BodyText"/>
        <w:spacing w:before="10"/>
        <w:ind w:left="215"/>
      </w:pPr>
      <w:r>
        <w:rPr>
          <w:w w:val="95"/>
        </w:rPr>
        <w:t>objectives</w:t>
      </w:r>
      <w:r>
        <w:rPr>
          <w:spacing w:val="-11"/>
          <w:w w:val="95"/>
        </w:rPr>
        <w:t xml:space="preserve"> </w:t>
      </w:r>
      <w:r>
        <w:rPr>
          <w:w w:val="95"/>
        </w:rPr>
        <w:t>for</w:t>
      </w:r>
      <w:r>
        <w:rPr>
          <w:spacing w:val="-11"/>
          <w:w w:val="95"/>
        </w:rPr>
        <w:t xml:space="preserve"> </w:t>
      </w:r>
      <w:r>
        <w:rPr>
          <w:w w:val="95"/>
        </w:rPr>
        <w:t>Regional</w:t>
      </w:r>
      <w:r>
        <w:rPr>
          <w:spacing w:val="-10"/>
          <w:w w:val="95"/>
        </w:rPr>
        <w:t xml:space="preserve"> </w:t>
      </w:r>
      <w:r>
        <w:rPr>
          <w:spacing w:val="-4"/>
          <w:w w:val="95"/>
        </w:rPr>
        <w:t>NSW:</w:t>
      </w:r>
    </w:p>
    <w:p w:rsidR="002C1123" w:rsidRDefault="00F22F94">
      <w:pPr>
        <w:pStyle w:val="ListParagraph"/>
        <w:numPr>
          <w:ilvl w:val="0"/>
          <w:numId w:val="104"/>
        </w:numPr>
        <w:tabs>
          <w:tab w:val="left" w:pos="499"/>
        </w:tabs>
        <w:spacing w:before="139" w:line="249" w:lineRule="auto"/>
        <w:ind w:right="302"/>
        <w:rPr>
          <w:sz w:val="20"/>
        </w:rPr>
      </w:pPr>
      <w:r>
        <w:rPr>
          <w:w w:val="95"/>
          <w:sz w:val="20"/>
        </w:rPr>
        <w:t xml:space="preserve">improve access to employment and to connect </w:t>
      </w:r>
      <w:r>
        <w:rPr>
          <w:sz w:val="20"/>
        </w:rPr>
        <w:t>people and communities</w:t>
      </w:r>
    </w:p>
    <w:p w:rsidR="002C1123" w:rsidRDefault="00F22F94">
      <w:pPr>
        <w:pStyle w:val="ListParagraph"/>
        <w:numPr>
          <w:ilvl w:val="0"/>
          <w:numId w:val="104"/>
        </w:numPr>
        <w:tabs>
          <w:tab w:val="left" w:pos="499"/>
        </w:tabs>
        <w:spacing w:before="131"/>
        <w:rPr>
          <w:sz w:val="20"/>
        </w:rPr>
      </w:pPr>
      <w:r>
        <w:rPr>
          <w:w w:val="95"/>
          <w:sz w:val="20"/>
        </w:rPr>
        <w:t>improve</w:t>
      </w:r>
      <w:r>
        <w:rPr>
          <w:spacing w:val="-2"/>
          <w:w w:val="95"/>
          <w:sz w:val="20"/>
        </w:rPr>
        <w:t xml:space="preserve"> </w:t>
      </w:r>
      <w:r>
        <w:rPr>
          <w:w w:val="95"/>
          <w:sz w:val="20"/>
        </w:rPr>
        <w:t>local</w:t>
      </w:r>
      <w:r>
        <w:rPr>
          <w:spacing w:val="-1"/>
          <w:w w:val="95"/>
          <w:sz w:val="20"/>
        </w:rPr>
        <w:t xml:space="preserve"> </w:t>
      </w:r>
      <w:r>
        <w:rPr>
          <w:w w:val="95"/>
          <w:sz w:val="20"/>
        </w:rPr>
        <w:t>transport</w:t>
      </w:r>
      <w:r>
        <w:rPr>
          <w:spacing w:val="-1"/>
          <w:w w:val="95"/>
          <w:sz w:val="20"/>
        </w:rPr>
        <w:t xml:space="preserve"> </w:t>
      </w:r>
      <w:r>
        <w:rPr>
          <w:spacing w:val="-2"/>
          <w:w w:val="95"/>
          <w:sz w:val="20"/>
        </w:rPr>
        <w:t>networks</w:t>
      </w:r>
    </w:p>
    <w:p w:rsidR="002C1123" w:rsidRDefault="00F22F94">
      <w:pPr>
        <w:pStyle w:val="ListParagraph"/>
        <w:numPr>
          <w:ilvl w:val="0"/>
          <w:numId w:val="104"/>
        </w:numPr>
        <w:tabs>
          <w:tab w:val="left" w:pos="499"/>
        </w:tabs>
        <w:spacing w:before="139" w:line="249" w:lineRule="auto"/>
        <w:ind w:right="382"/>
        <w:rPr>
          <w:sz w:val="20"/>
        </w:rPr>
      </w:pPr>
      <w:r>
        <w:rPr>
          <w:w w:val="95"/>
          <w:sz w:val="20"/>
        </w:rPr>
        <w:t>efficient</w:t>
      </w:r>
      <w:r>
        <w:rPr>
          <w:spacing w:val="-3"/>
          <w:w w:val="95"/>
          <w:sz w:val="20"/>
        </w:rPr>
        <w:t xml:space="preserve"> </w:t>
      </w:r>
      <w:r>
        <w:rPr>
          <w:w w:val="95"/>
          <w:sz w:val="20"/>
        </w:rPr>
        <w:t>access</w:t>
      </w:r>
      <w:r>
        <w:rPr>
          <w:spacing w:val="-3"/>
          <w:w w:val="95"/>
          <w:sz w:val="20"/>
        </w:rPr>
        <w:t xml:space="preserve"> </w:t>
      </w:r>
      <w:r>
        <w:rPr>
          <w:w w:val="95"/>
          <w:sz w:val="20"/>
        </w:rPr>
        <w:t>to</w:t>
      </w:r>
      <w:r>
        <w:rPr>
          <w:spacing w:val="-3"/>
          <w:w w:val="95"/>
          <w:sz w:val="20"/>
        </w:rPr>
        <w:t xml:space="preserve"> </w:t>
      </w:r>
      <w:r>
        <w:rPr>
          <w:w w:val="95"/>
          <w:sz w:val="20"/>
        </w:rPr>
        <w:t>markets,</w:t>
      </w:r>
      <w:r>
        <w:rPr>
          <w:spacing w:val="-3"/>
          <w:w w:val="95"/>
          <w:sz w:val="20"/>
        </w:rPr>
        <w:t xml:space="preserve"> </w:t>
      </w:r>
      <w:r>
        <w:rPr>
          <w:w w:val="95"/>
          <w:sz w:val="20"/>
        </w:rPr>
        <w:t>particularly</w:t>
      </w:r>
      <w:r>
        <w:rPr>
          <w:spacing w:val="-3"/>
          <w:w w:val="95"/>
          <w:sz w:val="20"/>
        </w:rPr>
        <w:t xml:space="preserve"> </w:t>
      </w:r>
      <w:r>
        <w:rPr>
          <w:w w:val="95"/>
          <w:sz w:val="20"/>
        </w:rPr>
        <w:t xml:space="preserve">mining </w:t>
      </w:r>
      <w:r>
        <w:rPr>
          <w:sz w:val="20"/>
        </w:rPr>
        <w:t>and agriculture products to domestic and international</w:t>
      </w:r>
      <w:r>
        <w:rPr>
          <w:spacing w:val="-11"/>
          <w:sz w:val="20"/>
        </w:rPr>
        <w:t xml:space="preserve"> </w:t>
      </w:r>
      <w:r>
        <w:rPr>
          <w:sz w:val="20"/>
        </w:rPr>
        <w:t>markets</w:t>
      </w:r>
    </w:p>
    <w:p w:rsidR="002C1123" w:rsidRDefault="00F22F94">
      <w:pPr>
        <w:pStyle w:val="ListParagraph"/>
        <w:numPr>
          <w:ilvl w:val="0"/>
          <w:numId w:val="104"/>
        </w:numPr>
        <w:tabs>
          <w:tab w:val="left" w:pos="499"/>
        </w:tabs>
        <w:spacing w:before="131"/>
        <w:rPr>
          <w:sz w:val="20"/>
        </w:rPr>
      </w:pPr>
      <w:r>
        <w:rPr>
          <w:w w:val="95"/>
          <w:sz w:val="20"/>
        </w:rPr>
        <w:t>improve</w:t>
      </w:r>
      <w:r>
        <w:rPr>
          <w:spacing w:val="-6"/>
          <w:w w:val="95"/>
          <w:sz w:val="20"/>
        </w:rPr>
        <w:t xml:space="preserve"> </w:t>
      </w:r>
      <w:r>
        <w:rPr>
          <w:w w:val="95"/>
          <w:sz w:val="20"/>
        </w:rPr>
        <w:t>water</w:t>
      </w:r>
      <w:r>
        <w:rPr>
          <w:spacing w:val="-6"/>
          <w:w w:val="95"/>
          <w:sz w:val="20"/>
        </w:rPr>
        <w:t xml:space="preserve"> </w:t>
      </w:r>
      <w:r>
        <w:rPr>
          <w:w w:val="95"/>
          <w:sz w:val="20"/>
        </w:rPr>
        <w:t>quality</w:t>
      </w:r>
      <w:r>
        <w:rPr>
          <w:spacing w:val="-6"/>
          <w:w w:val="95"/>
          <w:sz w:val="20"/>
        </w:rPr>
        <w:t xml:space="preserve"> </w:t>
      </w:r>
      <w:r>
        <w:rPr>
          <w:w w:val="95"/>
          <w:sz w:val="20"/>
        </w:rPr>
        <w:t>and</w:t>
      </w:r>
      <w:r>
        <w:rPr>
          <w:spacing w:val="-5"/>
          <w:w w:val="95"/>
          <w:sz w:val="20"/>
        </w:rPr>
        <w:t xml:space="preserve"> </w:t>
      </w:r>
      <w:r>
        <w:rPr>
          <w:spacing w:val="-2"/>
          <w:w w:val="95"/>
          <w:sz w:val="20"/>
        </w:rPr>
        <w:t>security.</w:t>
      </w:r>
    </w:p>
    <w:p w:rsidR="002C1123" w:rsidRDefault="00F22F94">
      <w:pPr>
        <w:pStyle w:val="BodyText"/>
        <w:spacing w:before="152" w:line="249" w:lineRule="auto"/>
        <w:ind w:left="215" w:right="-9"/>
      </w:pPr>
      <w:r>
        <w:t>Low</w:t>
      </w:r>
      <w:r>
        <w:rPr>
          <w:spacing w:val="-5"/>
        </w:rPr>
        <w:t xml:space="preserve"> </w:t>
      </w:r>
      <w:r>
        <w:t>population</w:t>
      </w:r>
      <w:r>
        <w:rPr>
          <w:spacing w:val="-5"/>
        </w:rPr>
        <w:t xml:space="preserve"> </w:t>
      </w:r>
      <w:r>
        <w:t>densities</w:t>
      </w:r>
      <w:r>
        <w:rPr>
          <w:spacing w:val="-5"/>
        </w:rPr>
        <w:t xml:space="preserve"> </w:t>
      </w:r>
      <w:r>
        <w:t>and</w:t>
      </w:r>
      <w:r>
        <w:rPr>
          <w:spacing w:val="-5"/>
        </w:rPr>
        <w:t xml:space="preserve"> </w:t>
      </w:r>
      <w:r>
        <w:t>ageing</w:t>
      </w:r>
      <w:r>
        <w:rPr>
          <w:spacing w:val="-5"/>
        </w:rPr>
        <w:t xml:space="preserve"> </w:t>
      </w:r>
      <w:r>
        <w:t>demographics make</w:t>
      </w:r>
      <w:r>
        <w:rPr>
          <w:spacing w:val="-14"/>
        </w:rPr>
        <w:t xml:space="preserve"> </w:t>
      </w:r>
      <w:r>
        <w:t>infrastructure</w:t>
      </w:r>
      <w:r>
        <w:rPr>
          <w:spacing w:val="-14"/>
        </w:rPr>
        <w:t xml:space="preserve"> </w:t>
      </w:r>
      <w:r>
        <w:t>investments</w:t>
      </w:r>
      <w:r>
        <w:rPr>
          <w:spacing w:val="-14"/>
        </w:rPr>
        <w:t xml:space="preserve"> </w:t>
      </w:r>
      <w:r>
        <w:t>more</w:t>
      </w:r>
      <w:r>
        <w:rPr>
          <w:spacing w:val="-14"/>
        </w:rPr>
        <w:t xml:space="preserve"> </w:t>
      </w:r>
      <w:r>
        <w:t>challenging</w:t>
      </w:r>
      <w:r>
        <w:rPr>
          <w:spacing w:val="-14"/>
        </w:rPr>
        <w:t xml:space="preserve"> </w:t>
      </w:r>
      <w:r>
        <w:t xml:space="preserve">in </w:t>
      </w:r>
      <w:r>
        <w:rPr>
          <w:w w:val="95"/>
        </w:rPr>
        <w:t>some areas than others. To some extent, new service models</w:t>
      </w:r>
      <w:r>
        <w:rPr>
          <w:spacing w:val="-4"/>
          <w:w w:val="95"/>
        </w:rPr>
        <w:t xml:space="preserve"> </w:t>
      </w:r>
      <w:r>
        <w:rPr>
          <w:w w:val="95"/>
        </w:rPr>
        <w:t>enabled</w:t>
      </w:r>
      <w:r>
        <w:rPr>
          <w:spacing w:val="-4"/>
          <w:w w:val="95"/>
        </w:rPr>
        <w:t xml:space="preserve"> </w:t>
      </w:r>
      <w:r>
        <w:rPr>
          <w:w w:val="95"/>
        </w:rPr>
        <w:t>by</w:t>
      </w:r>
      <w:r>
        <w:rPr>
          <w:spacing w:val="-4"/>
          <w:w w:val="95"/>
        </w:rPr>
        <w:t xml:space="preserve"> </w:t>
      </w:r>
      <w:r>
        <w:rPr>
          <w:w w:val="95"/>
        </w:rPr>
        <w:t>technology</w:t>
      </w:r>
      <w:r>
        <w:rPr>
          <w:spacing w:val="-4"/>
          <w:w w:val="95"/>
        </w:rPr>
        <w:t xml:space="preserve"> </w:t>
      </w:r>
      <w:r>
        <w:rPr>
          <w:w w:val="95"/>
        </w:rPr>
        <w:t>will</w:t>
      </w:r>
      <w:r>
        <w:rPr>
          <w:spacing w:val="-4"/>
          <w:w w:val="95"/>
        </w:rPr>
        <w:t xml:space="preserve"> </w:t>
      </w:r>
      <w:r>
        <w:rPr>
          <w:w w:val="95"/>
        </w:rPr>
        <w:t>ensure</w:t>
      </w:r>
      <w:r>
        <w:rPr>
          <w:spacing w:val="-4"/>
          <w:w w:val="95"/>
        </w:rPr>
        <w:t xml:space="preserve"> </w:t>
      </w:r>
      <w:r>
        <w:rPr>
          <w:w w:val="95"/>
        </w:rPr>
        <w:t>regions</w:t>
      </w:r>
      <w:r>
        <w:rPr>
          <w:spacing w:val="-4"/>
          <w:w w:val="95"/>
        </w:rPr>
        <w:t xml:space="preserve"> </w:t>
      </w:r>
      <w:r>
        <w:rPr>
          <w:w w:val="95"/>
        </w:rPr>
        <w:t xml:space="preserve">can </w:t>
      </w:r>
      <w:r>
        <w:t>continue</w:t>
      </w:r>
      <w:r>
        <w:rPr>
          <w:spacing w:val="-1"/>
        </w:rPr>
        <w:t xml:space="preserve"> </w:t>
      </w:r>
      <w:r>
        <w:t>to</w:t>
      </w:r>
      <w:r>
        <w:rPr>
          <w:spacing w:val="-1"/>
        </w:rPr>
        <w:t xml:space="preserve"> </w:t>
      </w:r>
      <w:r>
        <w:t>receive</w:t>
      </w:r>
      <w:r>
        <w:rPr>
          <w:spacing w:val="-1"/>
        </w:rPr>
        <w:t xml:space="preserve"> </w:t>
      </w:r>
      <w:r>
        <w:t>quality</w:t>
      </w:r>
      <w:r>
        <w:rPr>
          <w:spacing w:val="-1"/>
        </w:rPr>
        <w:t xml:space="preserve"> </w:t>
      </w:r>
      <w:r>
        <w:t>services.</w:t>
      </w:r>
    </w:p>
    <w:p w:rsidR="002C1123" w:rsidRDefault="00F22F94">
      <w:pPr>
        <w:pStyle w:val="BodyText"/>
        <w:spacing w:before="5" w:line="249" w:lineRule="auto"/>
        <w:ind w:left="492" w:right="835"/>
      </w:pPr>
      <w:r>
        <w:br w:type="column"/>
      </w:r>
      <w:r>
        <w:rPr>
          <w:w w:val="95"/>
        </w:rPr>
        <w:t>challenges</w:t>
      </w:r>
      <w:r>
        <w:rPr>
          <w:spacing w:val="-4"/>
          <w:w w:val="95"/>
        </w:rPr>
        <w:t xml:space="preserve"> </w:t>
      </w:r>
      <w:r>
        <w:rPr>
          <w:w w:val="95"/>
        </w:rPr>
        <w:t>confronting</w:t>
      </w:r>
      <w:r>
        <w:rPr>
          <w:spacing w:val="-4"/>
          <w:w w:val="95"/>
        </w:rPr>
        <w:t xml:space="preserve"> </w:t>
      </w:r>
      <w:r>
        <w:rPr>
          <w:w w:val="95"/>
        </w:rPr>
        <w:t>individual</w:t>
      </w:r>
      <w:r>
        <w:rPr>
          <w:spacing w:val="-4"/>
          <w:w w:val="95"/>
        </w:rPr>
        <w:t xml:space="preserve"> </w:t>
      </w:r>
      <w:r>
        <w:rPr>
          <w:w w:val="95"/>
        </w:rPr>
        <w:t>regions</w:t>
      </w:r>
      <w:r>
        <w:rPr>
          <w:spacing w:val="-4"/>
          <w:w w:val="95"/>
        </w:rPr>
        <w:t xml:space="preserve"> </w:t>
      </w:r>
      <w:r>
        <w:rPr>
          <w:w w:val="95"/>
        </w:rPr>
        <w:t>including</w:t>
      </w:r>
      <w:r>
        <w:rPr>
          <w:spacing w:val="-4"/>
          <w:w w:val="95"/>
        </w:rPr>
        <w:t xml:space="preserve"> </w:t>
      </w:r>
      <w:r>
        <w:rPr>
          <w:w w:val="95"/>
        </w:rPr>
        <w:t xml:space="preserve">the </w:t>
      </w:r>
      <w:r>
        <w:t>Hunter and the Illawarra.</w:t>
      </w:r>
    </w:p>
    <w:p w:rsidR="002C1123" w:rsidRDefault="002C1123">
      <w:pPr>
        <w:pStyle w:val="BodyText"/>
        <w:spacing w:before="5"/>
        <w:rPr>
          <w:sz w:val="23"/>
        </w:rPr>
      </w:pPr>
    </w:p>
    <w:p w:rsidR="002C1123" w:rsidRDefault="00F22F94">
      <w:pPr>
        <w:pStyle w:val="Heading5"/>
        <w:numPr>
          <w:ilvl w:val="1"/>
          <w:numId w:val="103"/>
        </w:numPr>
        <w:tabs>
          <w:tab w:val="left" w:pos="942"/>
        </w:tabs>
        <w:spacing w:before="1"/>
        <w:jc w:val="left"/>
      </w:pPr>
      <w:r>
        <w:rPr>
          <w:color w:val="EC008C"/>
          <w:spacing w:val="-2"/>
        </w:rPr>
        <w:t>Introduction</w:t>
      </w:r>
    </w:p>
    <w:p w:rsidR="002C1123" w:rsidRDefault="00F22F94">
      <w:pPr>
        <w:pStyle w:val="BodyText"/>
        <w:spacing w:before="134" w:line="249" w:lineRule="auto"/>
        <w:ind w:left="492" w:right="646"/>
      </w:pPr>
      <w:r>
        <w:t>NSW</w:t>
      </w:r>
      <w:r>
        <w:rPr>
          <w:spacing w:val="-14"/>
        </w:rPr>
        <w:t xml:space="preserve"> </w:t>
      </w:r>
      <w:r>
        <w:t>has</w:t>
      </w:r>
      <w:r>
        <w:rPr>
          <w:spacing w:val="-14"/>
        </w:rPr>
        <w:t xml:space="preserve"> </w:t>
      </w:r>
      <w:r>
        <w:t>the</w:t>
      </w:r>
      <w:r>
        <w:rPr>
          <w:spacing w:val="-14"/>
        </w:rPr>
        <w:t xml:space="preserve"> </w:t>
      </w:r>
      <w:r>
        <w:t>highest</w:t>
      </w:r>
      <w:r>
        <w:rPr>
          <w:spacing w:val="-14"/>
        </w:rPr>
        <w:t xml:space="preserve"> </w:t>
      </w:r>
      <w:r>
        <w:t>regional</w:t>
      </w:r>
      <w:r>
        <w:rPr>
          <w:spacing w:val="-14"/>
        </w:rPr>
        <w:t xml:space="preserve"> </w:t>
      </w:r>
      <w:r>
        <w:t>population</w:t>
      </w:r>
      <w:r>
        <w:rPr>
          <w:spacing w:val="-13"/>
        </w:rPr>
        <w:t xml:space="preserve"> </w:t>
      </w:r>
      <w:r>
        <w:t>and</w:t>
      </w:r>
      <w:r>
        <w:rPr>
          <w:spacing w:val="-14"/>
        </w:rPr>
        <w:t xml:space="preserve"> </w:t>
      </w:r>
      <w:r>
        <w:t>largest and</w:t>
      </w:r>
      <w:r>
        <w:rPr>
          <w:spacing w:val="-14"/>
        </w:rPr>
        <w:t xml:space="preserve"> </w:t>
      </w:r>
      <w:r>
        <w:t>most</w:t>
      </w:r>
      <w:r>
        <w:rPr>
          <w:spacing w:val="-14"/>
        </w:rPr>
        <w:t xml:space="preserve"> </w:t>
      </w:r>
      <w:r>
        <w:t>diversified</w:t>
      </w:r>
      <w:r>
        <w:rPr>
          <w:spacing w:val="-14"/>
        </w:rPr>
        <w:t xml:space="preserve"> </w:t>
      </w:r>
      <w:r>
        <w:t>regional</w:t>
      </w:r>
      <w:r>
        <w:rPr>
          <w:spacing w:val="-14"/>
        </w:rPr>
        <w:t xml:space="preserve"> </w:t>
      </w:r>
      <w:r>
        <w:t>economy</w:t>
      </w:r>
      <w:r>
        <w:rPr>
          <w:spacing w:val="-14"/>
        </w:rPr>
        <w:t xml:space="preserve"> </w:t>
      </w:r>
      <w:r>
        <w:t>of</w:t>
      </w:r>
      <w:r>
        <w:rPr>
          <w:spacing w:val="-14"/>
        </w:rPr>
        <w:t xml:space="preserve"> </w:t>
      </w:r>
      <w:r>
        <w:t>any</w:t>
      </w:r>
      <w:r>
        <w:rPr>
          <w:spacing w:val="-14"/>
        </w:rPr>
        <w:t xml:space="preserve"> </w:t>
      </w:r>
      <w:r>
        <w:t>State</w:t>
      </w:r>
      <w:r>
        <w:rPr>
          <w:spacing w:val="-14"/>
        </w:rPr>
        <w:t xml:space="preserve"> </w:t>
      </w:r>
      <w:r>
        <w:t xml:space="preserve">in </w:t>
      </w:r>
      <w:r>
        <w:rPr>
          <w:w w:val="95"/>
        </w:rPr>
        <w:t>Australia.</w:t>
      </w:r>
      <w:r>
        <w:rPr>
          <w:spacing w:val="-9"/>
          <w:w w:val="95"/>
        </w:rPr>
        <w:t xml:space="preserve"> </w:t>
      </w:r>
      <w:r>
        <w:rPr>
          <w:w w:val="95"/>
        </w:rPr>
        <w:t>Manufacturing</w:t>
      </w:r>
      <w:r>
        <w:rPr>
          <w:spacing w:val="-9"/>
          <w:w w:val="95"/>
        </w:rPr>
        <w:t xml:space="preserve"> </w:t>
      </w:r>
      <w:r>
        <w:rPr>
          <w:w w:val="95"/>
        </w:rPr>
        <w:t>is</w:t>
      </w:r>
      <w:r>
        <w:rPr>
          <w:spacing w:val="-9"/>
          <w:w w:val="95"/>
        </w:rPr>
        <w:t xml:space="preserve"> </w:t>
      </w:r>
      <w:r>
        <w:rPr>
          <w:w w:val="95"/>
        </w:rPr>
        <w:t>the</w:t>
      </w:r>
      <w:r>
        <w:rPr>
          <w:spacing w:val="-9"/>
          <w:w w:val="95"/>
        </w:rPr>
        <w:t xml:space="preserve"> </w:t>
      </w:r>
      <w:r>
        <w:rPr>
          <w:w w:val="95"/>
        </w:rPr>
        <w:t>largest</w:t>
      </w:r>
      <w:r>
        <w:rPr>
          <w:spacing w:val="-9"/>
          <w:w w:val="95"/>
        </w:rPr>
        <w:t xml:space="preserve"> </w:t>
      </w:r>
      <w:r>
        <w:rPr>
          <w:w w:val="95"/>
        </w:rPr>
        <w:t>industry</w:t>
      </w:r>
      <w:r>
        <w:rPr>
          <w:spacing w:val="-9"/>
          <w:w w:val="95"/>
        </w:rPr>
        <w:t xml:space="preserve"> </w:t>
      </w:r>
      <w:r>
        <w:rPr>
          <w:w w:val="95"/>
        </w:rPr>
        <w:t>in</w:t>
      </w:r>
      <w:r>
        <w:rPr>
          <w:spacing w:val="-9"/>
          <w:w w:val="95"/>
        </w:rPr>
        <w:t xml:space="preserve"> </w:t>
      </w:r>
      <w:r>
        <w:rPr>
          <w:w w:val="95"/>
        </w:rPr>
        <w:t>regional NSW</w:t>
      </w:r>
      <w:r>
        <w:rPr>
          <w:spacing w:val="-4"/>
          <w:w w:val="95"/>
        </w:rPr>
        <w:t xml:space="preserve"> </w:t>
      </w:r>
      <w:r>
        <w:rPr>
          <w:w w:val="95"/>
        </w:rPr>
        <w:t>(in</w:t>
      </w:r>
      <w:r>
        <w:rPr>
          <w:spacing w:val="-4"/>
          <w:w w:val="95"/>
        </w:rPr>
        <w:t xml:space="preserve"> </w:t>
      </w:r>
      <w:r>
        <w:rPr>
          <w:w w:val="95"/>
        </w:rPr>
        <w:t>terms</w:t>
      </w:r>
      <w:r>
        <w:rPr>
          <w:spacing w:val="-4"/>
          <w:w w:val="95"/>
        </w:rPr>
        <w:t xml:space="preserve"> </w:t>
      </w:r>
      <w:r>
        <w:rPr>
          <w:w w:val="95"/>
        </w:rPr>
        <w:t>of</w:t>
      </w:r>
      <w:r>
        <w:rPr>
          <w:spacing w:val="-4"/>
          <w:w w:val="95"/>
        </w:rPr>
        <w:t xml:space="preserve"> </w:t>
      </w:r>
      <w:r>
        <w:rPr>
          <w:w w:val="95"/>
        </w:rPr>
        <w:t>share</w:t>
      </w:r>
      <w:r>
        <w:rPr>
          <w:spacing w:val="-4"/>
          <w:w w:val="95"/>
        </w:rPr>
        <w:t xml:space="preserve"> </w:t>
      </w:r>
      <w:r>
        <w:rPr>
          <w:w w:val="95"/>
        </w:rPr>
        <w:t>of</w:t>
      </w:r>
      <w:r>
        <w:rPr>
          <w:spacing w:val="-4"/>
          <w:w w:val="95"/>
        </w:rPr>
        <w:t xml:space="preserve"> </w:t>
      </w:r>
      <w:r>
        <w:rPr>
          <w:w w:val="95"/>
        </w:rPr>
        <w:t>value</w:t>
      </w:r>
      <w:r>
        <w:rPr>
          <w:spacing w:val="-4"/>
          <w:w w:val="95"/>
        </w:rPr>
        <w:t xml:space="preserve"> </w:t>
      </w:r>
      <w:r>
        <w:rPr>
          <w:w w:val="95"/>
        </w:rPr>
        <w:t>add),</w:t>
      </w:r>
      <w:r>
        <w:rPr>
          <w:spacing w:val="-4"/>
          <w:w w:val="95"/>
        </w:rPr>
        <w:t xml:space="preserve"> </w:t>
      </w:r>
      <w:r>
        <w:rPr>
          <w:w w:val="95"/>
        </w:rPr>
        <w:t>followed</w:t>
      </w:r>
      <w:r>
        <w:rPr>
          <w:spacing w:val="-4"/>
          <w:w w:val="95"/>
        </w:rPr>
        <w:t xml:space="preserve"> </w:t>
      </w:r>
      <w:r>
        <w:rPr>
          <w:w w:val="95"/>
        </w:rPr>
        <w:t>by</w:t>
      </w:r>
      <w:r>
        <w:rPr>
          <w:spacing w:val="-4"/>
          <w:w w:val="95"/>
        </w:rPr>
        <w:t xml:space="preserve"> </w:t>
      </w:r>
      <w:r>
        <w:rPr>
          <w:w w:val="95"/>
        </w:rPr>
        <w:t xml:space="preserve">mining (which includes the coal industry and the emerging coal </w:t>
      </w:r>
      <w:r>
        <w:t>seam gas sector).</w:t>
      </w:r>
    </w:p>
    <w:p w:rsidR="002C1123" w:rsidRDefault="00F22F94">
      <w:pPr>
        <w:pStyle w:val="BodyText"/>
        <w:spacing w:before="147" w:line="249" w:lineRule="auto"/>
        <w:ind w:left="492" w:right="646"/>
      </w:pPr>
      <w:r>
        <w:t>Regional</w:t>
      </w:r>
      <w:r>
        <w:rPr>
          <w:spacing w:val="-12"/>
        </w:rPr>
        <w:t xml:space="preserve"> </w:t>
      </w:r>
      <w:r>
        <w:t>cities</w:t>
      </w:r>
      <w:r>
        <w:rPr>
          <w:spacing w:val="-12"/>
        </w:rPr>
        <w:t xml:space="preserve"> </w:t>
      </w:r>
      <w:r>
        <w:t>are</w:t>
      </w:r>
      <w:r>
        <w:rPr>
          <w:spacing w:val="-12"/>
        </w:rPr>
        <w:t xml:space="preserve"> </w:t>
      </w:r>
      <w:r>
        <w:t>home</w:t>
      </w:r>
      <w:r>
        <w:rPr>
          <w:spacing w:val="-12"/>
        </w:rPr>
        <w:t xml:space="preserve"> </w:t>
      </w:r>
      <w:r>
        <w:t>to</w:t>
      </w:r>
      <w:r>
        <w:rPr>
          <w:spacing w:val="-12"/>
        </w:rPr>
        <w:t xml:space="preserve"> </w:t>
      </w:r>
      <w:r>
        <w:t>major</w:t>
      </w:r>
      <w:r>
        <w:rPr>
          <w:spacing w:val="-12"/>
        </w:rPr>
        <w:t xml:space="preserve"> </w:t>
      </w:r>
      <w:r>
        <w:t>hospitals</w:t>
      </w:r>
      <w:r>
        <w:rPr>
          <w:spacing w:val="-12"/>
        </w:rPr>
        <w:t xml:space="preserve"> </w:t>
      </w:r>
      <w:r>
        <w:t xml:space="preserve">and </w:t>
      </w:r>
      <w:r>
        <w:rPr>
          <w:w w:val="95"/>
        </w:rPr>
        <w:t>universities. Regional NSW has many areas of great natural</w:t>
      </w:r>
      <w:r>
        <w:rPr>
          <w:spacing w:val="-3"/>
          <w:w w:val="95"/>
        </w:rPr>
        <w:t xml:space="preserve"> </w:t>
      </w:r>
      <w:r>
        <w:rPr>
          <w:w w:val="95"/>
        </w:rPr>
        <w:t>beauty</w:t>
      </w:r>
      <w:r>
        <w:rPr>
          <w:spacing w:val="-3"/>
          <w:w w:val="95"/>
        </w:rPr>
        <w:t xml:space="preserve"> </w:t>
      </w:r>
      <w:r>
        <w:rPr>
          <w:w w:val="95"/>
        </w:rPr>
        <w:t>that</w:t>
      </w:r>
      <w:r>
        <w:rPr>
          <w:spacing w:val="-3"/>
          <w:w w:val="95"/>
        </w:rPr>
        <w:t xml:space="preserve"> </w:t>
      </w:r>
      <w:r>
        <w:rPr>
          <w:w w:val="95"/>
        </w:rPr>
        <w:t>appeal</w:t>
      </w:r>
      <w:r>
        <w:rPr>
          <w:spacing w:val="-3"/>
          <w:w w:val="95"/>
        </w:rPr>
        <w:t xml:space="preserve"> </w:t>
      </w:r>
      <w:r>
        <w:rPr>
          <w:w w:val="95"/>
        </w:rPr>
        <w:t>to</w:t>
      </w:r>
      <w:r>
        <w:rPr>
          <w:spacing w:val="-3"/>
          <w:w w:val="95"/>
        </w:rPr>
        <w:t xml:space="preserve"> </w:t>
      </w:r>
      <w:r>
        <w:rPr>
          <w:w w:val="95"/>
        </w:rPr>
        <w:t>domestic</w:t>
      </w:r>
      <w:r>
        <w:rPr>
          <w:spacing w:val="-3"/>
          <w:w w:val="95"/>
        </w:rPr>
        <w:t xml:space="preserve"> </w:t>
      </w:r>
      <w:r>
        <w:rPr>
          <w:w w:val="95"/>
        </w:rPr>
        <w:t>and</w:t>
      </w:r>
      <w:r>
        <w:rPr>
          <w:spacing w:val="-3"/>
          <w:w w:val="95"/>
        </w:rPr>
        <w:t xml:space="preserve"> </w:t>
      </w:r>
      <w:r>
        <w:rPr>
          <w:w w:val="95"/>
        </w:rPr>
        <w:t xml:space="preserve">international </w:t>
      </w:r>
      <w:r>
        <w:t>visitors</w:t>
      </w:r>
      <w:r>
        <w:rPr>
          <w:spacing w:val="-13"/>
        </w:rPr>
        <w:t xml:space="preserve"> </w:t>
      </w:r>
      <w:r>
        <w:t>as</w:t>
      </w:r>
      <w:r>
        <w:rPr>
          <w:spacing w:val="-13"/>
        </w:rPr>
        <w:t xml:space="preserve"> </w:t>
      </w:r>
      <w:r>
        <w:t>well</w:t>
      </w:r>
      <w:r>
        <w:rPr>
          <w:spacing w:val="-13"/>
        </w:rPr>
        <w:t xml:space="preserve"> </w:t>
      </w:r>
      <w:r>
        <w:t>as</w:t>
      </w:r>
      <w:r>
        <w:rPr>
          <w:spacing w:val="-13"/>
        </w:rPr>
        <w:t xml:space="preserve"> </w:t>
      </w:r>
      <w:r>
        <w:t>residents</w:t>
      </w:r>
      <w:r>
        <w:rPr>
          <w:spacing w:val="-13"/>
        </w:rPr>
        <w:t xml:space="preserve"> </w:t>
      </w:r>
      <w:r>
        <w:t>looking</w:t>
      </w:r>
      <w:r>
        <w:rPr>
          <w:spacing w:val="-13"/>
        </w:rPr>
        <w:t xml:space="preserve"> </w:t>
      </w:r>
      <w:r>
        <w:t>to</w:t>
      </w:r>
      <w:r>
        <w:rPr>
          <w:spacing w:val="-13"/>
        </w:rPr>
        <w:t xml:space="preserve"> </w:t>
      </w:r>
      <w:r>
        <w:t>migrate</w:t>
      </w:r>
      <w:r>
        <w:rPr>
          <w:spacing w:val="-13"/>
        </w:rPr>
        <w:t xml:space="preserve"> </w:t>
      </w:r>
      <w:r>
        <w:t>to regional</w:t>
      </w:r>
      <w:r>
        <w:rPr>
          <w:spacing w:val="-11"/>
        </w:rPr>
        <w:t xml:space="preserve"> </w:t>
      </w:r>
      <w:r>
        <w:t>areas.</w:t>
      </w:r>
    </w:p>
    <w:p w:rsidR="002C1123" w:rsidRDefault="00F22F94">
      <w:pPr>
        <w:pStyle w:val="BodyText"/>
        <w:spacing w:before="146" w:line="249" w:lineRule="auto"/>
        <w:ind w:left="492" w:right="662"/>
      </w:pPr>
      <w:r>
        <w:t>The</w:t>
      </w:r>
      <w:r>
        <w:rPr>
          <w:spacing w:val="-5"/>
        </w:rPr>
        <w:t xml:space="preserve"> </w:t>
      </w:r>
      <w:r>
        <w:t>Deloitte</w:t>
      </w:r>
      <w:r>
        <w:rPr>
          <w:spacing w:val="-5"/>
        </w:rPr>
        <w:t xml:space="preserve"> </w:t>
      </w:r>
      <w:r>
        <w:t>Access</w:t>
      </w:r>
      <w:r>
        <w:rPr>
          <w:spacing w:val="-5"/>
        </w:rPr>
        <w:t xml:space="preserve"> </w:t>
      </w:r>
      <w:r>
        <w:t>Economics</w:t>
      </w:r>
      <w:r>
        <w:rPr>
          <w:spacing w:val="-5"/>
        </w:rPr>
        <w:t xml:space="preserve"> </w:t>
      </w:r>
      <w:r>
        <w:t>Report</w:t>
      </w:r>
      <w:r>
        <w:rPr>
          <w:spacing w:val="-5"/>
        </w:rPr>
        <w:t xml:space="preserve"> </w:t>
      </w:r>
      <w:r>
        <w:t xml:space="preserve">divides </w:t>
      </w:r>
      <w:r>
        <w:rPr>
          <w:w w:val="95"/>
        </w:rPr>
        <w:t>Regional</w:t>
      </w:r>
      <w:r>
        <w:rPr>
          <w:spacing w:val="36"/>
        </w:rPr>
        <w:t xml:space="preserve"> </w:t>
      </w:r>
      <w:r>
        <w:rPr>
          <w:w w:val="95"/>
        </w:rPr>
        <w:t>NSW</w:t>
      </w:r>
      <w:r>
        <w:rPr>
          <w:spacing w:val="-7"/>
          <w:w w:val="95"/>
        </w:rPr>
        <w:t xml:space="preserve"> </w:t>
      </w:r>
      <w:r>
        <w:rPr>
          <w:w w:val="95"/>
        </w:rPr>
        <w:t>into</w:t>
      </w:r>
      <w:r>
        <w:rPr>
          <w:spacing w:val="-7"/>
          <w:w w:val="95"/>
        </w:rPr>
        <w:t xml:space="preserve"> </w:t>
      </w:r>
      <w:r>
        <w:rPr>
          <w:w w:val="95"/>
        </w:rPr>
        <w:t>five</w:t>
      </w:r>
      <w:r>
        <w:rPr>
          <w:spacing w:val="-7"/>
          <w:w w:val="95"/>
        </w:rPr>
        <w:t xml:space="preserve"> </w:t>
      </w:r>
      <w:r>
        <w:rPr>
          <w:w w:val="95"/>
        </w:rPr>
        <w:t>sub-regions</w:t>
      </w:r>
      <w:r>
        <w:rPr>
          <w:spacing w:val="-7"/>
          <w:w w:val="95"/>
        </w:rPr>
        <w:t xml:space="preserve"> </w:t>
      </w:r>
      <w:r>
        <w:rPr>
          <w:w w:val="95"/>
        </w:rPr>
        <w:t>for</w:t>
      </w:r>
      <w:r>
        <w:rPr>
          <w:spacing w:val="-7"/>
          <w:w w:val="95"/>
        </w:rPr>
        <w:t xml:space="preserve"> </w:t>
      </w:r>
      <w:r>
        <w:rPr>
          <w:w w:val="95"/>
        </w:rPr>
        <w:t>the</w:t>
      </w:r>
      <w:r>
        <w:rPr>
          <w:spacing w:val="-7"/>
          <w:w w:val="95"/>
        </w:rPr>
        <w:t xml:space="preserve"> </w:t>
      </w:r>
      <w:r>
        <w:rPr>
          <w:w w:val="95"/>
        </w:rPr>
        <w:t>purposes</w:t>
      </w:r>
      <w:r>
        <w:rPr>
          <w:spacing w:val="-7"/>
          <w:w w:val="95"/>
        </w:rPr>
        <w:t xml:space="preserve"> </w:t>
      </w:r>
      <w:r>
        <w:rPr>
          <w:w w:val="95"/>
        </w:rPr>
        <w:t xml:space="preserve">of </w:t>
      </w:r>
      <w:r>
        <w:t>the</w:t>
      </w:r>
      <w:r>
        <w:rPr>
          <w:spacing w:val="-11"/>
        </w:rPr>
        <w:t xml:space="preserve"> </w:t>
      </w:r>
      <w:r>
        <w:t>Strategy.</w:t>
      </w:r>
    </w:p>
    <w:p w:rsidR="002C1123" w:rsidRDefault="00F22F94">
      <w:pPr>
        <w:pStyle w:val="BodyText"/>
        <w:spacing w:before="144"/>
        <w:ind w:left="492"/>
      </w:pPr>
      <w:r>
        <w:rPr>
          <w:w w:val="95"/>
        </w:rPr>
        <w:t>The</w:t>
      </w:r>
      <w:r>
        <w:rPr>
          <w:spacing w:val="-2"/>
        </w:rPr>
        <w:t xml:space="preserve"> </w:t>
      </w:r>
      <w:r>
        <w:rPr>
          <w:w w:val="95"/>
        </w:rPr>
        <w:t>composition</w:t>
      </w:r>
      <w:r>
        <w:rPr>
          <w:spacing w:val="-2"/>
        </w:rPr>
        <w:t xml:space="preserve"> </w:t>
      </w:r>
      <w:r>
        <w:rPr>
          <w:w w:val="95"/>
        </w:rPr>
        <w:t>of</w:t>
      </w:r>
      <w:r>
        <w:rPr>
          <w:spacing w:val="-2"/>
        </w:rPr>
        <w:t xml:space="preserve"> </w:t>
      </w:r>
      <w:r>
        <w:rPr>
          <w:w w:val="95"/>
        </w:rPr>
        <w:t>each</w:t>
      </w:r>
      <w:r>
        <w:rPr>
          <w:spacing w:val="-1"/>
        </w:rPr>
        <w:t xml:space="preserve"> </w:t>
      </w:r>
      <w:r>
        <w:rPr>
          <w:w w:val="95"/>
        </w:rPr>
        <w:t>sub-region</w:t>
      </w:r>
      <w:r>
        <w:rPr>
          <w:spacing w:val="-2"/>
        </w:rPr>
        <w:t xml:space="preserve"> </w:t>
      </w:r>
      <w:r>
        <w:rPr>
          <w:spacing w:val="-5"/>
          <w:w w:val="95"/>
        </w:rPr>
        <w:t>is:</w:t>
      </w:r>
    </w:p>
    <w:p w:rsidR="002C1123" w:rsidRDefault="00F22F94">
      <w:pPr>
        <w:pStyle w:val="ListParagraph"/>
        <w:numPr>
          <w:ilvl w:val="0"/>
          <w:numId w:val="98"/>
        </w:numPr>
        <w:tabs>
          <w:tab w:val="left" w:pos="776"/>
        </w:tabs>
        <w:spacing w:before="140"/>
        <w:rPr>
          <w:sz w:val="20"/>
        </w:rPr>
      </w:pPr>
      <w:r>
        <w:rPr>
          <w:w w:val="95"/>
          <w:sz w:val="20"/>
        </w:rPr>
        <w:t>Hunter</w:t>
      </w:r>
      <w:r>
        <w:rPr>
          <w:spacing w:val="-6"/>
          <w:w w:val="95"/>
          <w:sz w:val="20"/>
        </w:rPr>
        <w:t xml:space="preserve"> </w:t>
      </w:r>
      <w:r>
        <w:rPr>
          <w:w w:val="95"/>
          <w:sz w:val="20"/>
        </w:rPr>
        <w:t>–</w:t>
      </w:r>
      <w:r>
        <w:rPr>
          <w:spacing w:val="-5"/>
          <w:w w:val="95"/>
          <w:sz w:val="20"/>
        </w:rPr>
        <w:t xml:space="preserve"> </w:t>
      </w:r>
      <w:r>
        <w:rPr>
          <w:w w:val="95"/>
          <w:sz w:val="20"/>
        </w:rPr>
        <w:t>Upper</w:t>
      </w:r>
      <w:r>
        <w:rPr>
          <w:spacing w:val="-5"/>
          <w:w w:val="95"/>
          <w:sz w:val="20"/>
        </w:rPr>
        <w:t xml:space="preserve"> </w:t>
      </w:r>
      <w:r>
        <w:rPr>
          <w:w w:val="95"/>
          <w:sz w:val="20"/>
        </w:rPr>
        <w:t>and</w:t>
      </w:r>
      <w:r>
        <w:rPr>
          <w:spacing w:val="-5"/>
          <w:w w:val="95"/>
          <w:sz w:val="20"/>
        </w:rPr>
        <w:t xml:space="preserve"> </w:t>
      </w:r>
      <w:r>
        <w:rPr>
          <w:w w:val="95"/>
          <w:sz w:val="20"/>
        </w:rPr>
        <w:t>Lower</w:t>
      </w:r>
      <w:r>
        <w:rPr>
          <w:spacing w:val="-5"/>
          <w:w w:val="95"/>
          <w:sz w:val="20"/>
        </w:rPr>
        <w:t xml:space="preserve"> </w:t>
      </w:r>
      <w:r>
        <w:rPr>
          <w:spacing w:val="-2"/>
          <w:w w:val="95"/>
          <w:sz w:val="20"/>
        </w:rPr>
        <w:t>Hunter</w:t>
      </w:r>
    </w:p>
    <w:p w:rsidR="002C1123" w:rsidRDefault="00F22F94">
      <w:pPr>
        <w:pStyle w:val="ListParagraph"/>
        <w:numPr>
          <w:ilvl w:val="0"/>
          <w:numId w:val="98"/>
        </w:numPr>
        <w:tabs>
          <w:tab w:val="left" w:pos="776"/>
        </w:tabs>
        <w:spacing w:before="139" w:line="249" w:lineRule="auto"/>
        <w:ind w:right="1370"/>
        <w:rPr>
          <w:sz w:val="20"/>
        </w:rPr>
      </w:pPr>
      <w:r>
        <w:rPr>
          <w:w w:val="95"/>
          <w:sz w:val="20"/>
        </w:rPr>
        <w:t>South</w:t>
      </w:r>
      <w:r>
        <w:rPr>
          <w:spacing w:val="-8"/>
          <w:w w:val="95"/>
          <w:sz w:val="20"/>
        </w:rPr>
        <w:t xml:space="preserve"> </w:t>
      </w:r>
      <w:r>
        <w:rPr>
          <w:w w:val="95"/>
          <w:sz w:val="20"/>
        </w:rPr>
        <w:t>Coast</w:t>
      </w:r>
      <w:r>
        <w:rPr>
          <w:spacing w:val="-8"/>
          <w:w w:val="95"/>
          <w:sz w:val="20"/>
        </w:rPr>
        <w:t xml:space="preserve"> </w:t>
      </w:r>
      <w:r>
        <w:rPr>
          <w:w w:val="95"/>
          <w:sz w:val="20"/>
        </w:rPr>
        <w:t>–</w:t>
      </w:r>
      <w:r>
        <w:rPr>
          <w:spacing w:val="-8"/>
          <w:w w:val="95"/>
          <w:sz w:val="20"/>
        </w:rPr>
        <w:t xml:space="preserve"> </w:t>
      </w:r>
      <w:r>
        <w:rPr>
          <w:w w:val="95"/>
          <w:sz w:val="20"/>
        </w:rPr>
        <w:t>Illawarra,</w:t>
      </w:r>
      <w:r>
        <w:rPr>
          <w:spacing w:val="-8"/>
          <w:w w:val="95"/>
          <w:sz w:val="20"/>
        </w:rPr>
        <w:t xml:space="preserve"> </w:t>
      </w:r>
      <w:r>
        <w:rPr>
          <w:w w:val="95"/>
          <w:sz w:val="20"/>
        </w:rPr>
        <w:t>South</w:t>
      </w:r>
      <w:r>
        <w:rPr>
          <w:spacing w:val="-8"/>
          <w:w w:val="95"/>
          <w:sz w:val="20"/>
        </w:rPr>
        <w:t xml:space="preserve"> </w:t>
      </w:r>
      <w:r>
        <w:rPr>
          <w:w w:val="95"/>
          <w:sz w:val="20"/>
        </w:rPr>
        <w:t>East</w:t>
      </w:r>
      <w:r>
        <w:rPr>
          <w:spacing w:val="-8"/>
          <w:w w:val="95"/>
          <w:sz w:val="20"/>
        </w:rPr>
        <w:t xml:space="preserve"> </w:t>
      </w:r>
      <w:r>
        <w:rPr>
          <w:w w:val="95"/>
          <w:sz w:val="20"/>
        </w:rPr>
        <w:t>NSW</w:t>
      </w:r>
      <w:r>
        <w:rPr>
          <w:spacing w:val="-8"/>
          <w:w w:val="95"/>
          <w:sz w:val="20"/>
        </w:rPr>
        <w:t xml:space="preserve"> </w:t>
      </w:r>
      <w:r>
        <w:rPr>
          <w:w w:val="95"/>
          <w:sz w:val="20"/>
        </w:rPr>
        <w:t>and Southern</w:t>
      </w:r>
      <w:r>
        <w:rPr>
          <w:spacing w:val="-7"/>
          <w:w w:val="95"/>
          <w:sz w:val="20"/>
        </w:rPr>
        <w:t xml:space="preserve"> </w:t>
      </w:r>
      <w:r>
        <w:rPr>
          <w:w w:val="95"/>
          <w:sz w:val="20"/>
        </w:rPr>
        <w:t>Highlands</w:t>
      </w:r>
      <w:r>
        <w:rPr>
          <w:spacing w:val="-7"/>
          <w:w w:val="95"/>
          <w:sz w:val="20"/>
        </w:rPr>
        <w:t xml:space="preserve"> </w:t>
      </w:r>
      <w:r>
        <w:rPr>
          <w:w w:val="95"/>
          <w:sz w:val="20"/>
        </w:rPr>
        <w:t>and</w:t>
      </w:r>
      <w:r>
        <w:rPr>
          <w:spacing w:val="-7"/>
          <w:w w:val="95"/>
          <w:sz w:val="20"/>
        </w:rPr>
        <w:t xml:space="preserve"> </w:t>
      </w:r>
      <w:r>
        <w:rPr>
          <w:w w:val="95"/>
          <w:sz w:val="20"/>
        </w:rPr>
        <w:t>Southern</w:t>
      </w:r>
      <w:r>
        <w:rPr>
          <w:spacing w:val="-7"/>
          <w:w w:val="95"/>
          <w:sz w:val="20"/>
        </w:rPr>
        <w:t xml:space="preserve"> </w:t>
      </w:r>
      <w:r>
        <w:rPr>
          <w:w w:val="95"/>
          <w:sz w:val="20"/>
        </w:rPr>
        <w:t>Tablelands</w:t>
      </w:r>
    </w:p>
    <w:p w:rsidR="002C1123" w:rsidRDefault="00F22F94">
      <w:pPr>
        <w:pStyle w:val="ListParagraph"/>
        <w:numPr>
          <w:ilvl w:val="0"/>
          <w:numId w:val="98"/>
        </w:numPr>
        <w:tabs>
          <w:tab w:val="left" w:pos="776"/>
        </w:tabs>
        <w:spacing w:before="130"/>
        <w:rPr>
          <w:sz w:val="20"/>
        </w:rPr>
      </w:pPr>
      <w:r>
        <w:rPr>
          <w:w w:val="95"/>
          <w:sz w:val="20"/>
        </w:rPr>
        <w:t>North</w:t>
      </w:r>
      <w:r>
        <w:rPr>
          <w:spacing w:val="-2"/>
          <w:sz w:val="20"/>
        </w:rPr>
        <w:t xml:space="preserve"> </w:t>
      </w:r>
      <w:r>
        <w:rPr>
          <w:w w:val="95"/>
          <w:sz w:val="20"/>
        </w:rPr>
        <w:t>Coast</w:t>
      </w:r>
      <w:r>
        <w:rPr>
          <w:spacing w:val="-1"/>
          <w:sz w:val="20"/>
        </w:rPr>
        <w:t xml:space="preserve"> </w:t>
      </w:r>
      <w:r>
        <w:rPr>
          <w:w w:val="95"/>
          <w:sz w:val="20"/>
        </w:rPr>
        <w:t>–</w:t>
      </w:r>
      <w:r>
        <w:rPr>
          <w:spacing w:val="-2"/>
          <w:sz w:val="20"/>
        </w:rPr>
        <w:t xml:space="preserve"> </w:t>
      </w:r>
      <w:r>
        <w:rPr>
          <w:w w:val="95"/>
          <w:sz w:val="20"/>
        </w:rPr>
        <w:t>Mid</w:t>
      </w:r>
      <w:r>
        <w:rPr>
          <w:spacing w:val="-1"/>
          <w:sz w:val="20"/>
        </w:rPr>
        <w:t xml:space="preserve"> </w:t>
      </w:r>
      <w:r>
        <w:rPr>
          <w:w w:val="95"/>
          <w:sz w:val="20"/>
        </w:rPr>
        <w:t>North</w:t>
      </w:r>
      <w:r>
        <w:rPr>
          <w:spacing w:val="-2"/>
          <w:sz w:val="20"/>
        </w:rPr>
        <w:t xml:space="preserve"> </w:t>
      </w:r>
      <w:r>
        <w:rPr>
          <w:w w:val="95"/>
          <w:sz w:val="20"/>
        </w:rPr>
        <w:t>Coast</w:t>
      </w:r>
      <w:r>
        <w:rPr>
          <w:spacing w:val="-1"/>
          <w:sz w:val="20"/>
        </w:rPr>
        <w:t xml:space="preserve"> </w:t>
      </w:r>
      <w:r>
        <w:rPr>
          <w:w w:val="95"/>
          <w:sz w:val="20"/>
        </w:rPr>
        <w:t>and</w:t>
      </w:r>
      <w:r>
        <w:rPr>
          <w:spacing w:val="-2"/>
          <w:sz w:val="20"/>
        </w:rPr>
        <w:t xml:space="preserve"> </w:t>
      </w:r>
      <w:r>
        <w:rPr>
          <w:w w:val="95"/>
          <w:sz w:val="20"/>
        </w:rPr>
        <w:t>Northern</w:t>
      </w:r>
      <w:r>
        <w:rPr>
          <w:spacing w:val="-1"/>
          <w:sz w:val="20"/>
        </w:rPr>
        <w:t xml:space="preserve"> </w:t>
      </w:r>
      <w:r>
        <w:rPr>
          <w:spacing w:val="-2"/>
          <w:w w:val="95"/>
          <w:sz w:val="20"/>
        </w:rPr>
        <w:t>Rivers</w:t>
      </w:r>
    </w:p>
    <w:p w:rsidR="002C1123" w:rsidRDefault="00F22F94">
      <w:pPr>
        <w:pStyle w:val="ListParagraph"/>
        <w:numPr>
          <w:ilvl w:val="0"/>
          <w:numId w:val="98"/>
        </w:numPr>
        <w:tabs>
          <w:tab w:val="left" w:pos="776"/>
        </w:tabs>
        <w:spacing w:before="140" w:line="249" w:lineRule="auto"/>
        <w:ind w:right="981"/>
        <w:rPr>
          <w:sz w:val="20"/>
        </w:rPr>
      </w:pPr>
      <w:r>
        <w:rPr>
          <w:w w:val="95"/>
          <w:sz w:val="20"/>
        </w:rPr>
        <w:t>Inland</w:t>
      </w:r>
      <w:r>
        <w:rPr>
          <w:spacing w:val="-12"/>
          <w:w w:val="95"/>
          <w:sz w:val="20"/>
        </w:rPr>
        <w:t xml:space="preserve"> </w:t>
      </w:r>
      <w:r>
        <w:rPr>
          <w:w w:val="95"/>
          <w:sz w:val="20"/>
        </w:rPr>
        <w:t>NSW</w:t>
      </w:r>
      <w:r>
        <w:rPr>
          <w:spacing w:val="-11"/>
          <w:w w:val="95"/>
          <w:sz w:val="20"/>
        </w:rPr>
        <w:t xml:space="preserve"> </w:t>
      </w:r>
      <w:r>
        <w:rPr>
          <w:w w:val="95"/>
          <w:sz w:val="20"/>
        </w:rPr>
        <w:t>–</w:t>
      </w:r>
      <w:r>
        <w:rPr>
          <w:spacing w:val="-11"/>
          <w:w w:val="95"/>
          <w:sz w:val="20"/>
        </w:rPr>
        <w:t xml:space="preserve"> </w:t>
      </w:r>
      <w:r>
        <w:rPr>
          <w:w w:val="95"/>
          <w:sz w:val="20"/>
        </w:rPr>
        <w:t>Central</w:t>
      </w:r>
      <w:r>
        <w:rPr>
          <w:spacing w:val="-11"/>
          <w:w w:val="95"/>
          <w:sz w:val="20"/>
        </w:rPr>
        <w:t xml:space="preserve"> </w:t>
      </w:r>
      <w:r>
        <w:rPr>
          <w:w w:val="95"/>
          <w:sz w:val="20"/>
        </w:rPr>
        <w:t>West,</w:t>
      </w:r>
      <w:r>
        <w:rPr>
          <w:spacing w:val="-11"/>
          <w:w w:val="95"/>
          <w:sz w:val="20"/>
        </w:rPr>
        <w:t xml:space="preserve"> </w:t>
      </w:r>
      <w:r>
        <w:rPr>
          <w:w w:val="95"/>
          <w:sz w:val="20"/>
        </w:rPr>
        <w:t>Far</w:t>
      </w:r>
      <w:r>
        <w:rPr>
          <w:spacing w:val="-11"/>
          <w:w w:val="95"/>
          <w:sz w:val="20"/>
        </w:rPr>
        <w:t xml:space="preserve"> </w:t>
      </w:r>
      <w:r>
        <w:rPr>
          <w:w w:val="95"/>
          <w:sz w:val="20"/>
        </w:rPr>
        <w:t>West,</w:t>
      </w:r>
      <w:r>
        <w:rPr>
          <w:spacing w:val="-11"/>
          <w:w w:val="95"/>
          <w:sz w:val="20"/>
        </w:rPr>
        <w:t xml:space="preserve"> </w:t>
      </w:r>
      <w:r>
        <w:rPr>
          <w:w w:val="95"/>
          <w:sz w:val="20"/>
        </w:rPr>
        <w:t>Orana,</w:t>
      </w:r>
      <w:r>
        <w:rPr>
          <w:spacing w:val="-11"/>
          <w:w w:val="95"/>
          <w:sz w:val="20"/>
        </w:rPr>
        <w:t xml:space="preserve"> </w:t>
      </w:r>
      <w:r>
        <w:rPr>
          <w:w w:val="95"/>
          <w:sz w:val="20"/>
        </w:rPr>
        <w:t xml:space="preserve">New </w:t>
      </w:r>
      <w:r>
        <w:rPr>
          <w:sz w:val="20"/>
        </w:rPr>
        <w:t>England and North West</w:t>
      </w:r>
    </w:p>
    <w:p w:rsidR="002C1123" w:rsidRDefault="00F22F94">
      <w:pPr>
        <w:pStyle w:val="ListParagraph"/>
        <w:numPr>
          <w:ilvl w:val="0"/>
          <w:numId w:val="98"/>
        </w:numPr>
        <w:tabs>
          <w:tab w:val="left" w:pos="776"/>
        </w:tabs>
        <w:spacing w:before="130"/>
        <w:rPr>
          <w:sz w:val="20"/>
        </w:rPr>
      </w:pPr>
      <w:r>
        <w:rPr>
          <w:w w:val="95"/>
          <w:sz w:val="20"/>
        </w:rPr>
        <w:t>Murray</w:t>
      </w:r>
      <w:r>
        <w:rPr>
          <w:spacing w:val="-11"/>
          <w:w w:val="95"/>
          <w:sz w:val="20"/>
        </w:rPr>
        <w:t xml:space="preserve"> </w:t>
      </w:r>
      <w:r>
        <w:rPr>
          <w:w w:val="95"/>
          <w:sz w:val="20"/>
        </w:rPr>
        <w:t>–</w:t>
      </w:r>
      <w:r>
        <w:rPr>
          <w:spacing w:val="-11"/>
          <w:w w:val="95"/>
          <w:sz w:val="20"/>
        </w:rPr>
        <w:t xml:space="preserve"> </w:t>
      </w:r>
      <w:r>
        <w:rPr>
          <w:w w:val="95"/>
          <w:sz w:val="20"/>
        </w:rPr>
        <w:t>Murray-Lower</w:t>
      </w:r>
      <w:r>
        <w:rPr>
          <w:spacing w:val="-11"/>
          <w:w w:val="95"/>
          <w:sz w:val="20"/>
        </w:rPr>
        <w:t xml:space="preserve"> </w:t>
      </w:r>
      <w:r>
        <w:rPr>
          <w:w w:val="95"/>
          <w:sz w:val="20"/>
        </w:rPr>
        <w:t>Darling,</w:t>
      </w:r>
      <w:r>
        <w:rPr>
          <w:spacing w:val="-12"/>
          <w:w w:val="95"/>
          <w:sz w:val="20"/>
        </w:rPr>
        <w:t xml:space="preserve"> </w:t>
      </w:r>
      <w:r>
        <w:rPr>
          <w:spacing w:val="-2"/>
          <w:w w:val="95"/>
          <w:sz w:val="20"/>
        </w:rPr>
        <w:t>Riverina.</w:t>
      </w:r>
    </w:p>
    <w:p w:rsidR="002C1123" w:rsidRDefault="002C1123">
      <w:pPr>
        <w:rPr>
          <w:sz w:val="20"/>
        </w:rPr>
        <w:sectPr w:rsidR="002C1123">
          <w:type w:val="continuous"/>
          <w:pgSz w:w="16840" w:h="11910" w:orient="landscape"/>
          <w:pgMar w:top="560" w:right="280" w:bottom="280" w:left="500" w:header="0" w:footer="517" w:gutter="0"/>
          <w:cols w:num="3" w:space="720" w:equalWidth="0">
            <w:col w:w="5175" w:space="40"/>
            <w:col w:w="4781" w:space="58"/>
            <w:col w:w="6006"/>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BodyText"/>
        <w:spacing w:before="106" w:line="249" w:lineRule="auto"/>
        <w:ind w:left="492" w:right="372"/>
      </w:pPr>
      <w:bookmarkStart w:id="128" w:name="5.2_Regional_NSW_today"/>
      <w:bookmarkStart w:id="129" w:name="_bookmark92"/>
      <w:bookmarkStart w:id="130" w:name="_bookmark91"/>
      <w:bookmarkEnd w:id="128"/>
      <w:bookmarkEnd w:id="129"/>
      <w:bookmarkEnd w:id="130"/>
      <w:r>
        <w:t>The</w:t>
      </w:r>
      <w:r>
        <w:rPr>
          <w:spacing w:val="-13"/>
        </w:rPr>
        <w:t xml:space="preserve"> </w:t>
      </w:r>
      <w:r>
        <w:t>five</w:t>
      </w:r>
      <w:r>
        <w:rPr>
          <w:spacing w:val="-13"/>
        </w:rPr>
        <w:t xml:space="preserve"> </w:t>
      </w:r>
      <w:r>
        <w:t>sub-regions</w:t>
      </w:r>
      <w:r>
        <w:rPr>
          <w:spacing w:val="-13"/>
        </w:rPr>
        <w:t xml:space="preserve"> </w:t>
      </w:r>
      <w:r>
        <w:t>are</w:t>
      </w:r>
      <w:r>
        <w:rPr>
          <w:spacing w:val="-13"/>
        </w:rPr>
        <w:t xml:space="preserve"> </w:t>
      </w:r>
      <w:r>
        <w:t>based</w:t>
      </w:r>
      <w:r>
        <w:rPr>
          <w:spacing w:val="-13"/>
        </w:rPr>
        <w:t xml:space="preserve"> </w:t>
      </w:r>
      <w:r>
        <w:t>on</w:t>
      </w:r>
      <w:r>
        <w:rPr>
          <w:spacing w:val="-13"/>
        </w:rPr>
        <w:t xml:space="preserve"> </w:t>
      </w:r>
      <w:r>
        <w:t>differences</w:t>
      </w:r>
      <w:r>
        <w:rPr>
          <w:spacing w:val="-13"/>
        </w:rPr>
        <w:t xml:space="preserve"> </w:t>
      </w:r>
      <w:r>
        <w:t xml:space="preserve">in </w:t>
      </w:r>
      <w:r>
        <w:rPr>
          <w:w w:val="95"/>
        </w:rPr>
        <w:t>population</w:t>
      </w:r>
      <w:r>
        <w:rPr>
          <w:spacing w:val="-1"/>
          <w:w w:val="95"/>
        </w:rPr>
        <w:t xml:space="preserve"> </w:t>
      </w:r>
      <w:r>
        <w:rPr>
          <w:w w:val="95"/>
        </w:rPr>
        <w:t>(and</w:t>
      </w:r>
      <w:r>
        <w:rPr>
          <w:spacing w:val="-1"/>
          <w:w w:val="95"/>
        </w:rPr>
        <w:t xml:space="preserve"> </w:t>
      </w:r>
      <w:r>
        <w:rPr>
          <w:w w:val="95"/>
        </w:rPr>
        <w:t>population</w:t>
      </w:r>
      <w:r>
        <w:rPr>
          <w:spacing w:val="-1"/>
          <w:w w:val="95"/>
        </w:rPr>
        <w:t xml:space="preserve"> </w:t>
      </w:r>
      <w:r>
        <w:rPr>
          <w:w w:val="95"/>
        </w:rPr>
        <w:t>growth)</w:t>
      </w:r>
      <w:r>
        <w:rPr>
          <w:spacing w:val="-1"/>
          <w:w w:val="95"/>
        </w:rPr>
        <w:t xml:space="preserve"> </w:t>
      </w:r>
      <w:r>
        <w:rPr>
          <w:w w:val="95"/>
        </w:rPr>
        <w:t>and</w:t>
      </w:r>
      <w:r>
        <w:rPr>
          <w:spacing w:val="-1"/>
          <w:w w:val="95"/>
        </w:rPr>
        <w:t xml:space="preserve"> </w:t>
      </w:r>
      <w:r>
        <w:rPr>
          <w:w w:val="95"/>
        </w:rPr>
        <w:t xml:space="preserve">differences </w:t>
      </w:r>
      <w:r>
        <w:rPr>
          <w:spacing w:val="-2"/>
        </w:rPr>
        <w:t>in</w:t>
      </w:r>
      <w:r>
        <w:rPr>
          <w:spacing w:val="-9"/>
        </w:rPr>
        <w:t xml:space="preserve"> </w:t>
      </w:r>
      <w:r>
        <w:rPr>
          <w:spacing w:val="-2"/>
        </w:rPr>
        <w:t>industry</w:t>
      </w:r>
      <w:r>
        <w:rPr>
          <w:spacing w:val="-9"/>
        </w:rPr>
        <w:t xml:space="preserve"> </w:t>
      </w:r>
      <w:r>
        <w:rPr>
          <w:spacing w:val="-2"/>
        </w:rPr>
        <w:t>structure</w:t>
      </w:r>
      <w:r>
        <w:rPr>
          <w:spacing w:val="-9"/>
        </w:rPr>
        <w:t xml:space="preserve"> </w:t>
      </w:r>
      <w:r>
        <w:rPr>
          <w:spacing w:val="-2"/>
        </w:rPr>
        <w:t>in</w:t>
      </w:r>
      <w:r>
        <w:rPr>
          <w:spacing w:val="-9"/>
        </w:rPr>
        <w:t xml:space="preserve"> </w:t>
      </w:r>
      <w:r>
        <w:rPr>
          <w:spacing w:val="-2"/>
        </w:rPr>
        <w:t>2011.</w:t>
      </w:r>
      <w:r>
        <w:rPr>
          <w:spacing w:val="-9"/>
        </w:rPr>
        <w:t xml:space="preserve"> </w:t>
      </w:r>
      <w:r>
        <w:rPr>
          <w:spacing w:val="-2"/>
        </w:rPr>
        <w:t>Figure</w:t>
      </w:r>
      <w:r>
        <w:rPr>
          <w:spacing w:val="-9"/>
        </w:rPr>
        <w:t xml:space="preserve"> </w:t>
      </w:r>
      <w:r>
        <w:rPr>
          <w:spacing w:val="-2"/>
        </w:rPr>
        <w:t>5.1</w:t>
      </w:r>
      <w:r>
        <w:rPr>
          <w:spacing w:val="-9"/>
        </w:rPr>
        <w:t xml:space="preserve"> </w:t>
      </w:r>
      <w:r>
        <w:rPr>
          <w:spacing w:val="-2"/>
        </w:rPr>
        <w:t>shows</w:t>
      </w:r>
      <w:r>
        <w:rPr>
          <w:spacing w:val="-9"/>
        </w:rPr>
        <w:t xml:space="preserve"> </w:t>
      </w:r>
      <w:r>
        <w:rPr>
          <w:spacing w:val="-2"/>
        </w:rPr>
        <w:t>the</w:t>
      </w:r>
    </w:p>
    <w:p w:rsidR="002C1123" w:rsidRDefault="00F22F94">
      <w:pPr>
        <w:pStyle w:val="BodyText"/>
        <w:spacing w:before="2" w:line="249" w:lineRule="auto"/>
        <w:ind w:left="492"/>
      </w:pPr>
      <w:r>
        <w:rPr>
          <w:spacing w:val="-2"/>
        </w:rPr>
        <w:t>predicted</w:t>
      </w:r>
      <w:r>
        <w:rPr>
          <w:spacing w:val="-6"/>
        </w:rPr>
        <w:t xml:space="preserve"> </w:t>
      </w:r>
      <w:r>
        <w:rPr>
          <w:spacing w:val="-2"/>
        </w:rPr>
        <w:t>population</w:t>
      </w:r>
      <w:r>
        <w:rPr>
          <w:spacing w:val="-6"/>
        </w:rPr>
        <w:t xml:space="preserve"> </w:t>
      </w:r>
      <w:r>
        <w:rPr>
          <w:spacing w:val="-2"/>
        </w:rPr>
        <w:t>growth</w:t>
      </w:r>
      <w:r>
        <w:rPr>
          <w:spacing w:val="-6"/>
        </w:rPr>
        <w:t xml:space="preserve"> </w:t>
      </w:r>
      <w:r>
        <w:rPr>
          <w:spacing w:val="-2"/>
        </w:rPr>
        <w:t>from</w:t>
      </w:r>
      <w:r>
        <w:rPr>
          <w:spacing w:val="-6"/>
        </w:rPr>
        <w:t xml:space="preserve"> </w:t>
      </w:r>
      <w:r>
        <w:rPr>
          <w:spacing w:val="-2"/>
        </w:rPr>
        <w:t>2011—2031</w:t>
      </w:r>
      <w:r>
        <w:rPr>
          <w:spacing w:val="-6"/>
        </w:rPr>
        <w:t xml:space="preserve"> </w:t>
      </w:r>
      <w:r>
        <w:rPr>
          <w:spacing w:val="-2"/>
        </w:rPr>
        <w:t>and</w:t>
      </w:r>
      <w:r>
        <w:rPr>
          <w:spacing w:val="-6"/>
        </w:rPr>
        <w:t xml:space="preserve"> </w:t>
      </w:r>
      <w:r>
        <w:rPr>
          <w:spacing w:val="-2"/>
        </w:rPr>
        <w:t xml:space="preserve">the </w:t>
      </w:r>
      <w:r>
        <w:rPr>
          <w:w w:val="95"/>
        </w:rPr>
        <w:t>forecast</w:t>
      </w:r>
      <w:r>
        <w:rPr>
          <w:spacing w:val="-3"/>
          <w:w w:val="95"/>
        </w:rPr>
        <w:t xml:space="preserve"> </w:t>
      </w:r>
      <w:r>
        <w:rPr>
          <w:w w:val="95"/>
        </w:rPr>
        <w:t>GRP</w:t>
      </w:r>
      <w:r>
        <w:rPr>
          <w:spacing w:val="-3"/>
          <w:w w:val="95"/>
        </w:rPr>
        <w:t xml:space="preserve"> </w:t>
      </w:r>
      <w:r>
        <w:rPr>
          <w:w w:val="95"/>
        </w:rPr>
        <w:t>growth.</w:t>
      </w:r>
      <w:r>
        <w:rPr>
          <w:spacing w:val="-3"/>
          <w:w w:val="95"/>
        </w:rPr>
        <w:t xml:space="preserve"> </w:t>
      </w:r>
      <w:r>
        <w:rPr>
          <w:w w:val="95"/>
        </w:rPr>
        <w:t>The</w:t>
      </w:r>
      <w:r>
        <w:rPr>
          <w:spacing w:val="-3"/>
          <w:w w:val="95"/>
        </w:rPr>
        <w:t xml:space="preserve"> </w:t>
      </w:r>
      <w:r>
        <w:rPr>
          <w:w w:val="95"/>
        </w:rPr>
        <w:t>coastal</w:t>
      </w:r>
      <w:r>
        <w:rPr>
          <w:spacing w:val="-3"/>
          <w:w w:val="95"/>
        </w:rPr>
        <w:t xml:space="preserve"> </w:t>
      </w:r>
      <w:r>
        <w:rPr>
          <w:w w:val="95"/>
        </w:rPr>
        <w:t>regions</w:t>
      </w:r>
      <w:r>
        <w:rPr>
          <w:spacing w:val="-3"/>
          <w:w w:val="95"/>
        </w:rPr>
        <w:t xml:space="preserve"> </w:t>
      </w:r>
      <w:r>
        <w:rPr>
          <w:w w:val="95"/>
        </w:rPr>
        <w:t>are</w:t>
      </w:r>
      <w:r>
        <w:rPr>
          <w:spacing w:val="-3"/>
          <w:w w:val="95"/>
        </w:rPr>
        <w:t xml:space="preserve"> </w:t>
      </w:r>
      <w:r>
        <w:rPr>
          <w:w w:val="95"/>
        </w:rPr>
        <w:t xml:space="preserve">expected </w:t>
      </w:r>
      <w:r>
        <w:t>to</w:t>
      </w:r>
      <w:r>
        <w:rPr>
          <w:spacing w:val="-9"/>
        </w:rPr>
        <w:t xml:space="preserve"> </w:t>
      </w:r>
      <w:r>
        <w:t>experience</w:t>
      </w:r>
      <w:r>
        <w:rPr>
          <w:spacing w:val="-9"/>
        </w:rPr>
        <w:t xml:space="preserve"> </w:t>
      </w:r>
      <w:r>
        <w:t>the</w:t>
      </w:r>
      <w:r>
        <w:rPr>
          <w:spacing w:val="-9"/>
        </w:rPr>
        <w:t xml:space="preserve"> </w:t>
      </w:r>
      <w:r>
        <w:t>highest</w:t>
      </w:r>
      <w:r>
        <w:rPr>
          <w:spacing w:val="-9"/>
        </w:rPr>
        <w:t xml:space="preserve"> </w:t>
      </w:r>
      <w:r>
        <w:t>growth</w:t>
      </w:r>
      <w:r>
        <w:rPr>
          <w:spacing w:val="-9"/>
        </w:rPr>
        <w:t xml:space="preserve"> </w:t>
      </w:r>
      <w:r>
        <w:t>in</w:t>
      </w:r>
      <w:r>
        <w:rPr>
          <w:spacing w:val="-9"/>
        </w:rPr>
        <w:t xml:space="preserve"> </w:t>
      </w:r>
      <w:r>
        <w:t>GRP</w:t>
      </w:r>
      <w:r>
        <w:rPr>
          <w:spacing w:val="-9"/>
        </w:rPr>
        <w:t xml:space="preserve"> </w:t>
      </w:r>
      <w:r>
        <w:t>per</w:t>
      </w:r>
      <w:r>
        <w:rPr>
          <w:spacing w:val="-9"/>
        </w:rPr>
        <w:t xml:space="preserve"> </w:t>
      </w:r>
      <w:r>
        <w:t>capita</w:t>
      </w:r>
    </w:p>
    <w:p w:rsidR="002C1123" w:rsidRDefault="00F22F94">
      <w:pPr>
        <w:pStyle w:val="BodyText"/>
        <w:spacing w:before="3" w:line="249" w:lineRule="auto"/>
        <w:ind w:left="492" w:right="392"/>
        <w:jc w:val="both"/>
      </w:pPr>
      <w:r>
        <w:rPr>
          <w:w w:val="95"/>
        </w:rPr>
        <w:t>(of</w:t>
      </w:r>
      <w:r>
        <w:rPr>
          <w:spacing w:val="-12"/>
          <w:w w:val="95"/>
        </w:rPr>
        <w:t xml:space="preserve"> </w:t>
      </w:r>
      <w:r>
        <w:rPr>
          <w:w w:val="95"/>
        </w:rPr>
        <w:t>around</w:t>
      </w:r>
      <w:r>
        <w:rPr>
          <w:spacing w:val="-11"/>
          <w:w w:val="95"/>
        </w:rPr>
        <w:t xml:space="preserve"> </w:t>
      </w:r>
      <w:r>
        <w:rPr>
          <w:w w:val="95"/>
        </w:rPr>
        <w:t>1.5</w:t>
      </w:r>
      <w:r>
        <w:rPr>
          <w:spacing w:val="-11"/>
          <w:w w:val="95"/>
        </w:rPr>
        <w:t xml:space="preserve"> </w:t>
      </w:r>
      <w:r>
        <w:rPr>
          <w:w w:val="95"/>
        </w:rPr>
        <w:t>percent),</w:t>
      </w:r>
      <w:r>
        <w:rPr>
          <w:spacing w:val="-11"/>
          <w:w w:val="95"/>
        </w:rPr>
        <w:t xml:space="preserve"> </w:t>
      </w:r>
      <w:r>
        <w:rPr>
          <w:w w:val="95"/>
        </w:rPr>
        <w:t>while</w:t>
      </w:r>
      <w:r>
        <w:rPr>
          <w:spacing w:val="-11"/>
          <w:w w:val="95"/>
        </w:rPr>
        <w:t xml:space="preserve"> </w:t>
      </w:r>
      <w:r>
        <w:rPr>
          <w:w w:val="95"/>
        </w:rPr>
        <w:t>West</w:t>
      </w:r>
      <w:r>
        <w:rPr>
          <w:spacing w:val="-11"/>
          <w:w w:val="95"/>
        </w:rPr>
        <w:t xml:space="preserve"> </w:t>
      </w:r>
      <w:r>
        <w:rPr>
          <w:w w:val="95"/>
        </w:rPr>
        <w:t>of</w:t>
      </w:r>
      <w:r>
        <w:rPr>
          <w:spacing w:val="-11"/>
          <w:w w:val="95"/>
        </w:rPr>
        <w:t xml:space="preserve"> </w:t>
      </w:r>
      <w:r>
        <w:rPr>
          <w:w w:val="95"/>
        </w:rPr>
        <w:t>the</w:t>
      </w:r>
      <w:r>
        <w:rPr>
          <w:spacing w:val="-11"/>
          <w:w w:val="95"/>
        </w:rPr>
        <w:t xml:space="preserve"> </w:t>
      </w:r>
      <w:r>
        <w:rPr>
          <w:w w:val="95"/>
        </w:rPr>
        <w:t>Divide,</w:t>
      </w:r>
      <w:r>
        <w:rPr>
          <w:spacing w:val="-12"/>
          <w:w w:val="95"/>
        </w:rPr>
        <w:t xml:space="preserve"> </w:t>
      </w:r>
      <w:r>
        <w:rPr>
          <w:w w:val="95"/>
        </w:rPr>
        <w:t>the Murray</w:t>
      </w:r>
      <w:r>
        <w:rPr>
          <w:spacing w:val="-7"/>
          <w:w w:val="95"/>
        </w:rPr>
        <w:t xml:space="preserve"> </w:t>
      </w:r>
      <w:r>
        <w:rPr>
          <w:w w:val="95"/>
        </w:rPr>
        <w:t>and</w:t>
      </w:r>
      <w:r>
        <w:rPr>
          <w:spacing w:val="-7"/>
          <w:w w:val="95"/>
        </w:rPr>
        <w:t xml:space="preserve"> </w:t>
      </w:r>
      <w:r>
        <w:rPr>
          <w:w w:val="95"/>
        </w:rPr>
        <w:t>Inland</w:t>
      </w:r>
      <w:r>
        <w:rPr>
          <w:spacing w:val="-7"/>
          <w:w w:val="95"/>
        </w:rPr>
        <w:t xml:space="preserve"> </w:t>
      </w:r>
      <w:r>
        <w:rPr>
          <w:w w:val="95"/>
        </w:rPr>
        <w:t>NSW</w:t>
      </w:r>
      <w:r>
        <w:rPr>
          <w:spacing w:val="-7"/>
          <w:w w:val="95"/>
        </w:rPr>
        <w:t xml:space="preserve"> </w:t>
      </w:r>
      <w:r>
        <w:rPr>
          <w:w w:val="95"/>
        </w:rPr>
        <w:t>are</w:t>
      </w:r>
      <w:r>
        <w:rPr>
          <w:spacing w:val="-7"/>
          <w:w w:val="95"/>
        </w:rPr>
        <w:t xml:space="preserve"> </w:t>
      </w:r>
      <w:r>
        <w:rPr>
          <w:w w:val="95"/>
        </w:rPr>
        <w:t>expected</w:t>
      </w:r>
      <w:r>
        <w:rPr>
          <w:spacing w:val="-7"/>
          <w:w w:val="95"/>
        </w:rPr>
        <w:t xml:space="preserve"> </w:t>
      </w:r>
      <w:r>
        <w:rPr>
          <w:w w:val="95"/>
        </w:rPr>
        <w:t>to</w:t>
      </w:r>
      <w:r>
        <w:rPr>
          <w:spacing w:val="-7"/>
          <w:w w:val="95"/>
        </w:rPr>
        <w:t xml:space="preserve"> </w:t>
      </w:r>
      <w:r>
        <w:rPr>
          <w:w w:val="95"/>
        </w:rPr>
        <w:t xml:space="preserve">experience </w:t>
      </w:r>
      <w:r>
        <w:t>lower annual growth rates.</w:t>
      </w:r>
    </w:p>
    <w:p w:rsidR="002C1123" w:rsidRDefault="002C1123">
      <w:pPr>
        <w:pStyle w:val="BodyText"/>
        <w:spacing w:before="6"/>
        <w:rPr>
          <w:sz w:val="23"/>
        </w:rPr>
      </w:pPr>
    </w:p>
    <w:p w:rsidR="002C1123" w:rsidRDefault="00F22F94">
      <w:pPr>
        <w:pStyle w:val="Heading5"/>
        <w:numPr>
          <w:ilvl w:val="1"/>
          <w:numId w:val="103"/>
        </w:numPr>
        <w:tabs>
          <w:tab w:val="left" w:pos="942"/>
        </w:tabs>
        <w:spacing w:before="0"/>
        <w:jc w:val="left"/>
      </w:pPr>
      <w:r>
        <w:rPr>
          <w:color w:val="EC008C"/>
          <w:spacing w:val="-4"/>
        </w:rPr>
        <w:t>Regional</w:t>
      </w:r>
      <w:r>
        <w:rPr>
          <w:color w:val="EC008C"/>
          <w:spacing w:val="-16"/>
        </w:rPr>
        <w:t xml:space="preserve"> </w:t>
      </w:r>
      <w:r>
        <w:rPr>
          <w:color w:val="EC008C"/>
          <w:spacing w:val="-4"/>
        </w:rPr>
        <w:t>NSW</w:t>
      </w:r>
      <w:r>
        <w:rPr>
          <w:color w:val="EC008C"/>
          <w:spacing w:val="-15"/>
        </w:rPr>
        <w:t xml:space="preserve"> </w:t>
      </w:r>
      <w:r>
        <w:rPr>
          <w:color w:val="EC008C"/>
          <w:spacing w:val="-4"/>
        </w:rPr>
        <w:t>today</w:t>
      </w:r>
    </w:p>
    <w:p w:rsidR="002C1123" w:rsidRDefault="00F22F94">
      <w:pPr>
        <w:pStyle w:val="BodyText"/>
        <w:spacing w:before="135"/>
        <w:ind w:left="492"/>
        <w:jc w:val="both"/>
      </w:pPr>
      <w:r>
        <w:rPr>
          <w:w w:val="95"/>
        </w:rPr>
        <w:t>As</w:t>
      </w:r>
      <w:r>
        <w:rPr>
          <w:spacing w:val="-1"/>
          <w:w w:val="95"/>
        </w:rPr>
        <w:t xml:space="preserve"> </w:t>
      </w:r>
      <w:r>
        <w:rPr>
          <w:w w:val="95"/>
        </w:rPr>
        <w:t>described</w:t>
      </w:r>
      <w:r>
        <w:rPr>
          <w:spacing w:val="-1"/>
          <w:w w:val="95"/>
        </w:rPr>
        <w:t xml:space="preserve"> </w:t>
      </w:r>
      <w:r>
        <w:rPr>
          <w:w w:val="95"/>
        </w:rPr>
        <w:t>in</w:t>
      </w:r>
      <w:r>
        <w:rPr>
          <w:spacing w:val="-3"/>
        </w:rPr>
        <w:t xml:space="preserve"> </w:t>
      </w:r>
      <w:r>
        <w:rPr>
          <w:w w:val="95"/>
        </w:rPr>
        <w:t>Deloitte</w:t>
      </w:r>
      <w:r>
        <w:rPr>
          <w:spacing w:val="-1"/>
          <w:w w:val="95"/>
        </w:rPr>
        <w:t xml:space="preserve"> </w:t>
      </w:r>
      <w:r>
        <w:rPr>
          <w:w w:val="95"/>
        </w:rPr>
        <w:t>Access</w:t>
      </w:r>
      <w:r>
        <w:rPr>
          <w:spacing w:val="-3"/>
        </w:rPr>
        <w:t xml:space="preserve"> </w:t>
      </w:r>
      <w:r>
        <w:rPr>
          <w:w w:val="95"/>
        </w:rPr>
        <w:t>Economics</w:t>
      </w:r>
      <w:r>
        <w:rPr>
          <w:spacing w:val="-3"/>
        </w:rPr>
        <w:t xml:space="preserve"> </w:t>
      </w:r>
      <w:r>
        <w:rPr>
          <w:spacing w:val="-2"/>
          <w:w w:val="95"/>
        </w:rPr>
        <w:t>Report</w:t>
      </w:r>
      <w:r>
        <w:rPr>
          <w:spacing w:val="-2"/>
          <w:w w:val="95"/>
          <w:position w:val="7"/>
          <w:sz w:val="11"/>
        </w:rPr>
        <w:t>1</w:t>
      </w:r>
      <w:r>
        <w:rPr>
          <w:spacing w:val="-2"/>
          <w:w w:val="95"/>
        </w:rPr>
        <w:t>:</w:t>
      </w:r>
    </w:p>
    <w:p w:rsidR="002C1123" w:rsidRDefault="00F22F94">
      <w:pPr>
        <w:pStyle w:val="ListParagraph"/>
        <w:numPr>
          <w:ilvl w:val="0"/>
          <w:numId w:val="99"/>
        </w:numPr>
        <w:tabs>
          <w:tab w:val="left" w:pos="776"/>
        </w:tabs>
        <w:spacing w:before="139" w:line="249" w:lineRule="auto"/>
        <w:rPr>
          <w:sz w:val="20"/>
        </w:rPr>
      </w:pPr>
      <w:r>
        <w:rPr>
          <w:w w:val="95"/>
          <w:sz w:val="20"/>
        </w:rPr>
        <w:t>2.6</w:t>
      </w:r>
      <w:r>
        <w:rPr>
          <w:spacing w:val="-12"/>
          <w:w w:val="95"/>
          <w:sz w:val="20"/>
        </w:rPr>
        <w:t xml:space="preserve"> </w:t>
      </w:r>
      <w:r>
        <w:rPr>
          <w:w w:val="95"/>
          <w:sz w:val="20"/>
        </w:rPr>
        <w:t>million</w:t>
      </w:r>
      <w:r>
        <w:rPr>
          <w:spacing w:val="-11"/>
          <w:w w:val="95"/>
          <w:sz w:val="20"/>
        </w:rPr>
        <w:t xml:space="preserve"> </w:t>
      </w:r>
      <w:r>
        <w:rPr>
          <w:w w:val="95"/>
          <w:sz w:val="20"/>
        </w:rPr>
        <w:t>people</w:t>
      </w:r>
      <w:r>
        <w:rPr>
          <w:spacing w:val="-11"/>
          <w:w w:val="95"/>
          <w:sz w:val="20"/>
        </w:rPr>
        <w:t xml:space="preserve"> </w:t>
      </w:r>
      <w:r>
        <w:rPr>
          <w:w w:val="95"/>
          <w:sz w:val="20"/>
        </w:rPr>
        <w:t>live</w:t>
      </w:r>
      <w:r>
        <w:rPr>
          <w:spacing w:val="-11"/>
          <w:w w:val="95"/>
          <w:sz w:val="20"/>
        </w:rPr>
        <w:t xml:space="preserve"> </w:t>
      </w:r>
      <w:r>
        <w:rPr>
          <w:w w:val="95"/>
          <w:sz w:val="20"/>
        </w:rPr>
        <w:t>in</w:t>
      </w:r>
      <w:r>
        <w:rPr>
          <w:spacing w:val="-11"/>
          <w:w w:val="95"/>
          <w:sz w:val="20"/>
        </w:rPr>
        <w:t xml:space="preserve"> </w:t>
      </w:r>
      <w:r>
        <w:rPr>
          <w:w w:val="95"/>
          <w:sz w:val="20"/>
        </w:rPr>
        <w:t>regional</w:t>
      </w:r>
      <w:r>
        <w:rPr>
          <w:spacing w:val="-11"/>
          <w:w w:val="95"/>
          <w:sz w:val="20"/>
        </w:rPr>
        <w:t xml:space="preserve"> </w:t>
      </w:r>
      <w:r>
        <w:rPr>
          <w:w w:val="95"/>
          <w:sz w:val="20"/>
        </w:rPr>
        <w:t>areas,</w:t>
      </w:r>
      <w:r>
        <w:rPr>
          <w:spacing w:val="-11"/>
          <w:w w:val="95"/>
          <w:sz w:val="20"/>
        </w:rPr>
        <w:t xml:space="preserve"> </w:t>
      </w:r>
      <w:r>
        <w:rPr>
          <w:w w:val="95"/>
          <w:sz w:val="20"/>
        </w:rPr>
        <w:t>which</w:t>
      </w:r>
      <w:r>
        <w:rPr>
          <w:spacing w:val="-11"/>
          <w:w w:val="95"/>
          <w:sz w:val="20"/>
        </w:rPr>
        <w:t xml:space="preserve"> </w:t>
      </w:r>
      <w:r>
        <w:rPr>
          <w:w w:val="95"/>
          <w:sz w:val="20"/>
        </w:rPr>
        <w:t>is</w:t>
      </w:r>
      <w:r>
        <w:rPr>
          <w:spacing w:val="-12"/>
          <w:w w:val="95"/>
          <w:sz w:val="20"/>
        </w:rPr>
        <w:t xml:space="preserve"> </w:t>
      </w:r>
      <w:r>
        <w:rPr>
          <w:w w:val="95"/>
          <w:sz w:val="20"/>
        </w:rPr>
        <w:t xml:space="preserve">more </w:t>
      </w:r>
      <w:r>
        <w:rPr>
          <w:sz w:val="20"/>
        </w:rPr>
        <w:t>than</w:t>
      </w:r>
      <w:r>
        <w:rPr>
          <w:spacing w:val="-14"/>
          <w:sz w:val="20"/>
        </w:rPr>
        <w:t xml:space="preserve"> </w:t>
      </w:r>
      <w:r>
        <w:rPr>
          <w:sz w:val="20"/>
        </w:rPr>
        <w:t>a</w:t>
      </w:r>
      <w:r>
        <w:rPr>
          <w:spacing w:val="-14"/>
          <w:sz w:val="20"/>
        </w:rPr>
        <w:t xml:space="preserve"> </w:t>
      </w:r>
      <w:r>
        <w:rPr>
          <w:sz w:val="20"/>
        </w:rPr>
        <w:t>third</w:t>
      </w:r>
      <w:r>
        <w:rPr>
          <w:spacing w:val="-14"/>
          <w:sz w:val="20"/>
        </w:rPr>
        <w:t xml:space="preserve"> </w:t>
      </w:r>
      <w:r>
        <w:rPr>
          <w:sz w:val="20"/>
        </w:rPr>
        <w:t>(37</w:t>
      </w:r>
      <w:r>
        <w:rPr>
          <w:spacing w:val="-14"/>
          <w:sz w:val="20"/>
        </w:rPr>
        <w:t xml:space="preserve"> </w:t>
      </w:r>
      <w:r>
        <w:rPr>
          <w:sz w:val="20"/>
        </w:rPr>
        <w:t>percent),</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NSW</w:t>
      </w:r>
      <w:r>
        <w:rPr>
          <w:spacing w:val="-14"/>
          <w:sz w:val="20"/>
        </w:rPr>
        <w:t xml:space="preserve"> </w:t>
      </w:r>
      <w:r>
        <w:rPr>
          <w:sz w:val="20"/>
        </w:rPr>
        <w:t>population;</w:t>
      </w:r>
    </w:p>
    <w:p w:rsidR="002C1123" w:rsidRDefault="00F22F94">
      <w:pPr>
        <w:pStyle w:val="ListParagraph"/>
        <w:numPr>
          <w:ilvl w:val="0"/>
          <w:numId w:val="99"/>
        </w:numPr>
        <w:tabs>
          <w:tab w:val="left" w:pos="776"/>
        </w:tabs>
        <w:spacing w:before="131" w:line="249" w:lineRule="auto"/>
        <w:ind w:right="124"/>
        <w:rPr>
          <w:sz w:val="20"/>
        </w:rPr>
      </w:pPr>
      <w:r>
        <w:rPr>
          <w:spacing w:val="-2"/>
          <w:w w:val="95"/>
          <w:sz w:val="20"/>
        </w:rPr>
        <w:t>36</w:t>
      </w:r>
      <w:r>
        <w:rPr>
          <w:spacing w:val="-7"/>
          <w:w w:val="95"/>
          <w:sz w:val="20"/>
        </w:rPr>
        <w:t xml:space="preserve"> </w:t>
      </w:r>
      <w:r>
        <w:rPr>
          <w:spacing w:val="-2"/>
          <w:w w:val="95"/>
          <w:sz w:val="20"/>
        </w:rPr>
        <w:t>percent</w:t>
      </w:r>
      <w:r>
        <w:rPr>
          <w:spacing w:val="-7"/>
          <w:w w:val="95"/>
          <w:sz w:val="20"/>
        </w:rPr>
        <w:t xml:space="preserve"> </w:t>
      </w:r>
      <w:r>
        <w:rPr>
          <w:spacing w:val="-2"/>
          <w:w w:val="95"/>
          <w:sz w:val="20"/>
        </w:rPr>
        <w:t>of</w:t>
      </w:r>
      <w:r>
        <w:rPr>
          <w:spacing w:val="-7"/>
          <w:w w:val="95"/>
          <w:sz w:val="20"/>
        </w:rPr>
        <w:t xml:space="preserve"> </w:t>
      </w:r>
      <w:r>
        <w:rPr>
          <w:spacing w:val="-2"/>
          <w:w w:val="95"/>
          <w:sz w:val="20"/>
        </w:rPr>
        <w:t>all</w:t>
      </w:r>
      <w:r>
        <w:rPr>
          <w:spacing w:val="-7"/>
          <w:w w:val="95"/>
          <w:sz w:val="20"/>
        </w:rPr>
        <w:t xml:space="preserve"> </w:t>
      </w:r>
      <w:r>
        <w:rPr>
          <w:spacing w:val="-2"/>
          <w:w w:val="95"/>
          <w:sz w:val="20"/>
        </w:rPr>
        <w:t>NSW</w:t>
      </w:r>
      <w:r>
        <w:rPr>
          <w:spacing w:val="-7"/>
          <w:w w:val="95"/>
          <w:sz w:val="20"/>
        </w:rPr>
        <w:t xml:space="preserve"> </w:t>
      </w:r>
      <w:r>
        <w:rPr>
          <w:spacing w:val="-2"/>
          <w:w w:val="95"/>
          <w:sz w:val="20"/>
        </w:rPr>
        <w:t>jobs</w:t>
      </w:r>
      <w:r>
        <w:rPr>
          <w:spacing w:val="-7"/>
          <w:w w:val="95"/>
          <w:sz w:val="20"/>
        </w:rPr>
        <w:t xml:space="preserve"> </w:t>
      </w:r>
      <w:r>
        <w:rPr>
          <w:spacing w:val="-2"/>
          <w:w w:val="95"/>
          <w:sz w:val="20"/>
        </w:rPr>
        <w:t>(1.3</w:t>
      </w:r>
      <w:r>
        <w:rPr>
          <w:spacing w:val="-7"/>
          <w:w w:val="95"/>
          <w:sz w:val="20"/>
        </w:rPr>
        <w:t xml:space="preserve"> </w:t>
      </w:r>
      <w:r>
        <w:rPr>
          <w:spacing w:val="-2"/>
          <w:w w:val="95"/>
          <w:sz w:val="20"/>
        </w:rPr>
        <w:t>million</w:t>
      </w:r>
      <w:r>
        <w:rPr>
          <w:spacing w:val="-7"/>
          <w:w w:val="95"/>
          <w:sz w:val="20"/>
        </w:rPr>
        <w:t xml:space="preserve"> </w:t>
      </w:r>
      <w:r>
        <w:rPr>
          <w:spacing w:val="-2"/>
          <w:w w:val="95"/>
          <w:sz w:val="20"/>
        </w:rPr>
        <w:t>in</w:t>
      </w:r>
      <w:r>
        <w:rPr>
          <w:spacing w:val="-7"/>
          <w:w w:val="95"/>
          <w:sz w:val="20"/>
        </w:rPr>
        <w:t xml:space="preserve"> </w:t>
      </w:r>
      <w:r>
        <w:rPr>
          <w:spacing w:val="-2"/>
          <w:w w:val="95"/>
          <w:sz w:val="20"/>
        </w:rPr>
        <w:t>total),</w:t>
      </w:r>
      <w:r>
        <w:rPr>
          <w:spacing w:val="-7"/>
          <w:w w:val="95"/>
          <w:sz w:val="20"/>
        </w:rPr>
        <w:t xml:space="preserve"> </w:t>
      </w:r>
      <w:r>
        <w:rPr>
          <w:spacing w:val="-2"/>
          <w:w w:val="95"/>
          <w:sz w:val="20"/>
        </w:rPr>
        <w:t>are</w:t>
      </w:r>
      <w:r>
        <w:rPr>
          <w:spacing w:val="-7"/>
          <w:w w:val="95"/>
          <w:sz w:val="20"/>
        </w:rPr>
        <w:t xml:space="preserve"> </w:t>
      </w:r>
      <w:r>
        <w:rPr>
          <w:spacing w:val="-2"/>
          <w:w w:val="95"/>
          <w:sz w:val="20"/>
        </w:rPr>
        <w:t xml:space="preserve">in </w:t>
      </w:r>
      <w:r>
        <w:rPr>
          <w:sz w:val="20"/>
        </w:rPr>
        <w:t>regional areas; and</w:t>
      </w:r>
    </w:p>
    <w:p w:rsidR="002C1123" w:rsidRDefault="00F22F94">
      <w:pPr>
        <w:pStyle w:val="ListParagraph"/>
        <w:numPr>
          <w:ilvl w:val="0"/>
          <w:numId w:val="99"/>
        </w:numPr>
        <w:tabs>
          <w:tab w:val="left" w:pos="776"/>
        </w:tabs>
        <w:spacing w:before="130" w:line="249" w:lineRule="auto"/>
        <w:ind w:right="543"/>
        <w:rPr>
          <w:sz w:val="20"/>
        </w:rPr>
      </w:pPr>
      <w:r>
        <w:rPr>
          <w:w w:val="95"/>
          <w:sz w:val="20"/>
        </w:rPr>
        <w:t>25</w:t>
      </w:r>
      <w:r>
        <w:rPr>
          <w:spacing w:val="-12"/>
          <w:w w:val="95"/>
          <w:sz w:val="20"/>
        </w:rPr>
        <w:t xml:space="preserve"> </w:t>
      </w:r>
      <w:r>
        <w:rPr>
          <w:w w:val="95"/>
          <w:sz w:val="20"/>
        </w:rPr>
        <w:t>percent</w:t>
      </w:r>
      <w:r>
        <w:rPr>
          <w:spacing w:val="-11"/>
          <w:w w:val="95"/>
          <w:sz w:val="20"/>
        </w:rPr>
        <w:t xml:space="preserve"> </w:t>
      </w:r>
      <w:r>
        <w:rPr>
          <w:w w:val="95"/>
          <w:sz w:val="20"/>
        </w:rPr>
        <w:t>of</w:t>
      </w:r>
      <w:r>
        <w:rPr>
          <w:spacing w:val="-11"/>
          <w:w w:val="95"/>
          <w:sz w:val="20"/>
        </w:rPr>
        <w:t xml:space="preserve"> </w:t>
      </w:r>
      <w:r>
        <w:rPr>
          <w:w w:val="95"/>
          <w:sz w:val="20"/>
        </w:rPr>
        <w:t>GSP</w:t>
      </w:r>
      <w:r>
        <w:rPr>
          <w:spacing w:val="-11"/>
          <w:w w:val="95"/>
          <w:sz w:val="20"/>
        </w:rPr>
        <w:t xml:space="preserve"> </w:t>
      </w:r>
      <w:r>
        <w:rPr>
          <w:w w:val="95"/>
          <w:sz w:val="20"/>
        </w:rPr>
        <w:t>($107</w:t>
      </w:r>
      <w:r>
        <w:rPr>
          <w:spacing w:val="-11"/>
          <w:w w:val="95"/>
          <w:sz w:val="20"/>
        </w:rPr>
        <w:t xml:space="preserve"> </w:t>
      </w:r>
      <w:r>
        <w:rPr>
          <w:w w:val="95"/>
          <w:sz w:val="20"/>
        </w:rPr>
        <w:t>billion),</w:t>
      </w:r>
      <w:r>
        <w:rPr>
          <w:spacing w:val="-11"/>
          <w:w w:val="95"/>
          <w:sz w:val="20"/>
        </w:rPr>
        <w:t xml:space="preserve"> </w:t>
      </w:r>
      <w:r>
        <w:rPr>
          <w:w w:val="95"/>
          <w:sz w:val="20"/>
        </w:rPr>
        <w:t>is</w:t>
      </w:r>
      <w:r>
        <w:rPr>
          <w:spacing w:val="-11"/>
          <w:w w:val="95"/>
          <w:sz w:val="20"/>
        </w:rPr>
        <w:t xml:space="preserve"> </w:t>
      </w:r>
      <w:r>
        <w:rPr>
          <w:w w:val="95"/>
          <w:sz w:val="20"/>
        </w:rPr>
        <w:t>produced</w:t>
      </w:r>
      <w:r>
        <w:rPr>
          <w:spacing w:val="-11"/>
          <w:w w:val="95"/>
          <w:sz w:val="20"/>
        </w:rPr>
        <w:t xml:space="preserve"> </w:t>
      </w:r>
      <w:r>
        <w:rPr>
          <w:w w:val="95"/>
          <w:sz w:val="20"/>
        </w:rPr>
        <w:t xml:space="preserve">in </w:t>
      </w:r>
      <w:r>
        <w:rPr>
          <w:sz w:val="20"/>
        </w:rPr>
        <w:t>regional</w:t>
      </w:r>
      <w:r>
        <w:rPr>
          <w:spacing w:val="-11"/>
          <w:sz w:val="20"/>
        </w:rPr>
        <w:t xml:space="preserve"> </w:t>
      </w:r>
      <w:r>
        <w:rPr>
          <w:sz w:val="20"/>
        </w:rPr>
        <w:t>NSW.</w:t>
      </w:r>
    </w:p>
    <w:p w:rsidR="002C1123" w:rsidRDefault="00F22F94">
      <w:pPr>
        <w:pStyle w:val="BodyText"/>
        <w:spacing w:before="143" w:line="249" w:lineRule="auto"/>
        <w:ind w:left="492" w:right="144"/>
      </w:pPr>
      <w:r>
        <w:rPr>
          <w:w w:val="95"/>
        </w:rPr>
        <w:t>Sydney</w:t>
      </w:r>
      <w:r>
        <w:rPr>
          <w:spacing w:val="-8"/>
          <w:w w:val="95"/>
        </w:rPr>
        <w:t xml:space="preserve"> </w:t>
      </w:r>
      <w:r>
        <w:rPr>
          <w:w w:val="95"/>
        </w:rPr>
        <w:t>relies</w:t>
      </w:r>
      <w:r>
        <w:rPr>
          <w:spacing w:val="-8"/>
          <w:w w:val="95"/>
        </w:rPr>
        <w:t xml:space="preserve"> </w:t>
      </w:r>
      <w:r>
        <w:rPr>
          <w:w w:val="95"/>
        </w:rPr>
        <w:t>on</w:t>
      </w:r>
      <w:r>
        <w:rPr>
          <w:spacing w:val="-8"/>
          <w:w w:val="95"/>
        </w:rPr>
        <w:t xml:space="preserve"> </w:t>
      </w:r>
      <w:r>
        <w:rPr>
          <w:w w:val="95"/>
        </w:rPr>
        <w:t>Regional</w:t>
      </w:r>
      <w:r>
        <w:rPr>
          <w:spacing w:val="-8"/>
          <w:w w:val="95"/>
        </w:rPr>
        <w:t xml:space="preserve"> </w:t>
      </w:r>
      <w:r>
        <w:rPr>
          <w:w w:val="95"/>
        </w:rPr>
        <w:t>NSW</w:t>
      </w:r>
      <w:r>
        <w:rPr>
          <w:spacing w:val="-8"/>
          <w:w w:val="95"/>
        </w:rPr>
        <w:t xml:space="preserve"> </w:t>
      </w:r>
      <w:r>
        <w:rPr>
          <w:w w:val="95"/>
        </w:rPr>
        <w:t>to</w:t>
      </w:r>
      <w:r>
        <w:rPr>
          <w:spacing w:val="-8"/>
          <w:w w:val="95"/>
        </w:rPr>
        <w:t xml:space="preserve"> </w:t>
      </w:r>
      <w:r>
        <w:rPr>
          <w:w w:val="95"/>
        </w:rPr>
        <w:t>supply</w:t>
      </w:r>
      <w:r>
        <w:rPr>
          <w:spacing w:val="-8"/>
          <w:w w:val="95"/>
        </w:rPr>
        <w:t xml:space="preserve"> </w:t>
      </w:r>
      <w:r>
        <w:rPr>
          <w:w w:val="95"/>
        </w:rPr>
        <w:t>the</w:t>
      </w:r>
      <w:r>
        <w:rPr>
          <w:spacing w:val="-8"/>
          <w:w w:val="95"/>
        </w:rPr>
        <w:t xml:space="preserve"> </w:t>
      </w:r>
      <w:r>
        <w:rPr>
          <w:w w:val="95"/>
        </w:rPr>
        <w:t xml:space="preserve">produce, </w:t>
      </w:r>
      <w:r>
        <w:t>commodities</w:t>
      </w:r>
      <w:r>
        <w:rPr>
          <w:spacing w:val="-14"/>
        </w:rPr>
        <w:t xml:space="preserve"> </w:t>
      </w:r>
      <w:r>
        <w:t>and</w:t>
      </w:r>
      <w:r>
        <w:rPr>
          <w:spacing w:val="-14"/>
        </w:rPr>
        <w:t xml:space="preserve"> </w:t>
      </w:r>
      <w:r>
        <w:t>resources</w:t>
      </w:r>
      <w:r>
        <w:rPr>
          <w:spacing w:val="-14"/>
        </w:rPr>
        <w:t xml:space="preserve"> </w:t>
      </w:r>
      <w:r>
        <w:t>that</w:t>
      </w:r>
      <w:r>
        <w:rPr>
          <w:spacing w:val="-14"/>
        </w:rPr>
        <w:t xml:space="preserve"> </w:t>
      </w:r>
      <w:r>
        <w:t>enable</w:t>
      </w:r>
      <w:r>
        <w:rPr>
          <w:spacing w:val="-14"/>
        </w:rPr>
        <w:t xml:space="preserve"> </w:t>
      </w:r>
      <w:r>
        <w:t>it</w:t>
      </w:r>
      <w:r>
        <w:rPr>
          <w:spacing w:val="-14"/>
        </w:rPr>
        <w:t xml:space="preserve"> </w:t>
      </w:r>
      <w:r>
        <w:t>to</w:t>
      </w:r>
      <w:r>
        <w:rPr>
          <w:spacing w:val="-14"/>
        </w:rPr>
        <w:t xml:space="preserve"> </w:t>
      </w:r>
      <w:r>
        <w:t>compete with its global peers.</w:t>
      </w:r>
    </w:p>
    <w:p w:rsidR="002C1123" w:rsidRDefault="00F22F94">
      <w:pPr>
        <w:pStyle w:val="BodyText"/>
        <w:spacing w:before="144" w:line="249" w:lineRule="auto"/>
        <w:ind w:left="492" w:right="372"/>
      </w:pPr>
      <w:r>
        <w:rPr>
          <w:w w:val="95"/>
        </w:rPr>
        <w:t>NSW’s</w:t>
      </w:r>
      <w:r>
        <w:rPr>
          <w:spacing w:val="-2"/>
          <w:w w:val="95"/>
        </w:rPr>
        <w:t xml:space="preserve"> </w:t>
      </w:r>
      <w:r>
        <w:rPr>
          <w:w w:val="95"/>
        </w:rPr>
        <w:t>top</w:t>
      </w:r>
      <w:r>
        <w:rPr>
          <w:spacing w:val="-2"/>
          <w:w w:val="95"/>
        </w:rPr>
        <w:t xml:space="preserve"> </w:t>
      </w:r>
      <w:r>
        <w:rPr>
          <w:w w:val="95"/>
        </w:rPr>
        <w:t>export</w:t>
      </w:r>
      <w:r>
        <w:rPr>
          <w:spacing w:val="-2"/>
          <w:w w:val="95"/>
        </w:rPr>
        <w:t xml:space="preserve"> </w:t>
      </w:r>
      <w:r>
        <w:rPr>
          <w:w w:val="95"/>
        </w:rPr>
        <w:t>is</w:t>
      </w:r>
      <w:r>
        <w:rPr>
          <w:spacing w:val="-2"/>
          <w:w w:val="95"/>
        </w:rPr>
        <w:t xml:space="preserve"> </w:t>
      </w:r>
      <w:r>
        <w:rPr>
          <w:w w:val="95"/>
        </w:rPr>
        <w:t>coal,</w:t>
      </w:r>
      <w:r>
        <w:rPr>
          <w:spacing w:val="-2"/>
          <w:w w:val="95"/>
        </w:rPr>
        <w:t xml:space="preserve"> </w:t>
      </w:r>
      <w:r>
        <w:rPr>
          <w:w w:val="95"/>
        </w:rPr>
        <w:t>from</w:t>
      </w:r>
      <w:r>
        <w:rPr>
          <w:spacing w:val="-3"/>
          <w:w w:val="95"/>
        </w:rPr>
        <w:t xml:space="preserve"> </w:t>
      </w:r>
      <w:r>
        <w:rPr>
          <w:w w:val="95"/>
        </w:rPr>
        <w:t>the</w:t>
      </w:r>
      <w:r>
        <w:rPr>
          <w:spacing w:val="-2"/>
          <w:w w:val="95"/>
        </w:rPr>
        <w:t xml:space="preserve"> </w:t>
      </w:r>
      <w:r>
        <w:rPr>
          <w:w w:val="95"/>
        </w:rPr>
        <w:t>largest</w:t>
      </w:r>
      <w:r>
        <w:rPr>
          <w:spacing w:val="-2"/>
          <w:w w:val="95"/>
        </w:rPr>
        <w:t xml:space="preserve"> </w:t>
      </w:r>
      <w:r>
        <w:rPr>
          <w:w w:val="95"/>
        </w:rPr>
        <w:t>coal</w:t>
      </w:r>
      <w:r>
        <w:rPr>
          <w:spacing w:val="-2"/>
          <w:w w:val="95"/>
        </w:rPr>
        <w:t xml:space="preserve"> </w:t>
      </w:r>
      <w:r>
        <w:rPr>
          <w:w w:val="95"/>
        </w:rPr>
        <w:t>port in</w:t>
      </w:r>
      <w:r>
        <w:rPr>
          <w:spacing w:val="-2"/>
          <w:w w:val="95"/>
        </w:rPr>
        <w:t xml:space="preserve"> </w:t>
      </w:r>
      <w:r>
        <w:rPr>
          <w:w w:val="95"/>
        </w:rPr>
        <w:t>the</w:t>
      </w:r>
      <w:r>
        <w:rPr>
          <w:spacing w:val="-2"/>
          <w:w w:val="95"/>
        </w:rPr>
        <w:t xml:space="preserve"> </w:t>
      </w:r>
      <w:r>
        <w:rPr>
          <w:w w:val="95"/>
        </w:rPr>
        <w:t>world</w:t>
      </w:r>
      <w:r>
        <w:rPr>
          <w:spacing w:val="-2"/>
          <w:w w:val="95"/>
        </w:rPr>
        <w:t xml:space="preserve"> </w:t>
      </w:r>
      <w:r>
        <w:rPr>
          <w:w w:val="95"/>
        </w:rPr>
        <w:t>at</w:t>
      </w:r>
      <w:r>
        <w:rPr>
          <w:spacing w:val="-2"/>
          <w:w w:val="95"/>
        </w:rPr>
        <w:t xml:space="preserve"> </w:t>
      </w:r>
      <w:r>
        <w:rPr>
          <w:w w:val="95"/>
        </w:rPr>
        <w:t>Newcastle.</w:t>
      </w:r>
      <w:r>
        <w:rPr>
          <w:spacing w:val="-2"/>
          <w:w w:val="95"/>
        </w:rPr>
        <w:t xml:space="preserve"> </w:t>
      </w:r>
      <w:r>
        <w:rPr>
          <w:w w:val="95"/>
        </w:rPr>
        <w:t>The</w:t>
      </w:r>
      <w:r>
        <w:rPr>
          <w:spacing w:val="-2"/>
          <w:w w:val="95"/>
        </w:rPr>
        <w:t xml:space="preserve"> </w:t>
      </w:r>
      <w:r>
        <w:rPr>
          <w:w w:val="95"/>
        </w:rPr>
        <w:t>top</w:t>
      </w:r>
      <w:r>
        <w:rPr>
          <w:spacing w:val="-2"/>
          <w:w w:val="95"/>
        </w:rPr>
        <w:t xml:space="preserve"> </w:t>
      </w:r>
      <w:r>
        <w:rPr>
          <w:w w:val="95"/>
        </w:rPr>
        <w:t>five</w:t>
      </w:r>
      <w:r>
        <w:rPr>
          <w:spacing w:val="-2"/>
          <w:w w:val="95"/>
        </w:rPr>
        <w:t xml:space="preserve"> </w:t>
      </w:r>
      <w:r>
        <w:rPr>
          <w:w w:val="95"/>
        </w:rPr>
        <w:t>industries</w:t>
      </w:r>
      <w:r>
        <w:rPr>
          <w:spacing w:val="-2"/>
          <w:w w:val="95"/>
        </w:rPr>
        <w:t xml:space="preserve"> </w:t>
      </w:r>
      <w:r>
        <w:rPr>
          <w:w w:val="95"/>
        </w:rPr>
        <w:t>in</w:t>
      </w:r>
    </w:p>
    <w:p w:rsidR="002C1123" w:rsidRDefault="00F22F94">
      <w:pPr>
        <w:pStyle w:val="BodyText"/>
        <w:spacing w:before="2" w:line="249" w:lineRule="auto"/>
        <w:ind w:left="492"/>
      </w:pPr>
      <w:r>
        <w:rPr>
          <w:w w:val="95"/>
        </w:rPr>
        <w:t>Regional</w:t>
      </w:r>
      <w:r>
        <w:rPr>
          <w:spacing w:val="-10"/>
          <w:w w:val="95"/>
        </w:rPr>
        <w:t xml:space="preserve"> </w:t>
      </w:r>
      <w:r>
        <w:rPr>
          <w:w w:val="95"/>
        </w:rPr>
        <w:t>NSW</w:t>
      </w:r>
      <w:r>
        <w:rPr>
          <w:spacing w:val="-10"/>
          <w:w w:val="95"/>
        </w:rPr>
        <w:t xml:space="preserve"> </w:t>
      </w:r>
      <w:r>
        <w:rPr>
          <w:w w:val="95"/>
        </w:rPr>
        <w:t>are</w:t>
      </w:r>
      <w:r>
        <w:rPr>
          <w:spacing w:val="-10"/>
          <w:w w:val="95"/>
        </w:rPr>
        <w:t xml:space="preserve"> </w:t>
      </w:r>
      <w:r>
        <w:rPr>
          <w:w w:val="95"/>
        </w:rPr>
        <w:t>manufacturing,</w:t>
      </w:r>
      <w:r>
        <w:rPr>
          <w:spacing w:val="-10"/>
          <w:w w:val="95"/>
        </w:rPr>
        <w:t xml:space="preserve"> </w:t>
      </w:r>
      <w:r>
        <w:rPr>
          <w:w w:val="95"/>
        </w:rPr>
        <w:t>mining,</w:t>
      </w:r>
      <w:r>
        <w:rPr>
          <w:spacing w:val="-10"/>
          <w:w w:val="95"/>
        </w:rPr>
        <w:t xml:space="preserve"> </w:t>
      </w:r>
      <w:r>
        <w:rPr>
          <w:w w:val="95"/>
        </w:rPr>
        <w:t xml:space="preserve">agriculture, </w:t>
      </w:r>
      <w:r>
        <w:t>construction</w:t>
      </w:r>
      <w:r>
        <w:rPr>
          <w:spacing w:val="-5"/>
        </w:rPr>
        <w:t xml:space="preserve"> </w:t>
      </w:r>
      <w:r>
        <w:t>and</w:t>
      </w:r>
      <w:r>
        <w:rPr>
          <w:spacing w:val="-5"/>
        </w:rPr>
        <w:t xml:space="preserve"> </w:t>
      </w:r>
      <w:r>
        <w:t>health</w:t>
      </w:r>
      <w:r>
        <w:rPr>
          <w:spacing w:val="-5"/>
        </w:rPr>
        <w:t xml:space="preserve"> </w:t>
      </w:r>
      <w:r>
        <w:t>and</w:t>
      </w:r>
      <w:r>
        <w:rPr>
          <w:spacing w:val="-5"/>
        </w:rPr>
        <w:t xml:space="preserve"> </w:t>
      </w:r>
      <w:r>
        <w:t>social</w:t>
      </w:r>
      <w:r>
        <w:rPr>
          <w:spacing w:val="-5"/>
        </w:rPr>
        <w:t xml:space="preserve"> </w:t>
      </w:r>
      <w:r>
        <w:t>assistance.</w:t>
      </w:r>
    </w:p>
    <w:p w:rsidR="002C1123" w:rsidRDefault="00F22F94">
      <w:pPr>
        <w:pStyle w:val="BodyText"/>
        <w:spacing w:before="106" w:line="249" w:lineRule="auto"/>
        <w:ind w:left="229" w:right="5534"/>
      </w:pPr>
      <w:r>
        <w:br w:type="column"/>
      </w:r>
      <w:r>
        <w:rPr>
          <w:w w:val="95"/>
        </w:rPr>
        <w:t>Regional</w:t>
      </w:r>
      <w:r>
        <w:rPr>
          <w:spacing w:val="-8"/>
          <w:w w:val="95"/>
        </w:rPr>
        <w:t xml:space="preserve"> </w:t>
      </w:r>
      <w:r>
        <w:rPr>
          <w:w w:val="95"/>
        </w:rPr>
        <w:t>NSW</w:t>
      </w:r>
      <w:r>
        <w:rPr>
          <w:spacing w:val="-8"/>
          <w:w w:val="95"/>
        </w:rPr>
        <w:t xml:space="preserve"> </w:t>
      </w:r>
      <w:r>
        <w:rPr>
          <w:w w:val="95"/>
        </w:rPr>
        <w:t>has</w:t>
      </w:r>
      <w:r>
        <w:rPr>
          <w:spacing w:val="-8"/>
          <w:w w:val="95"/>
        </w:rPr>
        <w:t xml:space="preserve"> </w:t>
      </w:r>
      <w:r>
        <w:rPr>
          <w:w w:val="95"/>
        </w:rPr>
        <w:t>experienced</w:t>
      </w:r>
      <w:r>
        <w:rPr>
          <w:spacing w:val="-8"/>
          <w:w w:val="95"/>
        </w:rPr>
        <w:t xml:space="preserve"> </w:t>
      </w:r>
      <w:r>
        <w:rPr>
          <w:w w:val="95"/>
        </w:rPr>
        <w:t>a</w:t>
      </w:r>
      <w:r>
        <w:rPr>
          <w:spacing w:val="-8"/>
          <w:w w:val="95"/>
        </w:rPr>
        <w:t xml:space="preserve"> </w:t>
      </w:r>
      <w:r>
        <w:rPr>
          <w:w w:val="95"/>
        </w:rPr>
        <w:t>two-speed</w:t>
      </w:r>
      <w:r>
        <w:rPr>
          <w:spacing w:val="-8"/>
          <w:w w:val="95"/>
        </w:rPr>
        <w:t xml:space="preserve"> </w:t>
      </w:r>
      <w:r>
        <w:rPr>
          <w:w w:val="95"/>
        </w:rPr>
        <w:t xml:space="preserve">economy. </w:t>
      </w:r>
      <w:r>
        <w:t>Mining</w:t>
      </w:r>
      <w:r>
        <w:rPr>
          <w:spacing w:val="-13"/>
        </w:rPr>
        <w:t xml:space="preserve"> </w:t>
      </w:r>
      <w:r>
        <w:t>and</w:t>
      </w:r>
      <w:r>
        <w:rPr>
          <w:spacing w:val="-13"/>
        </w:rPr>
        <w:t xml:space="preserve"> </w:t>
      </w:r>
      <w:r>
        <w:t>associated</w:t>
      </w:r>
      <w:r>
        <w:rPr>
          <w:spacing w:val="-13"/>
        </w:rPr>
        <w:t xml:space="preserve"> </w:t>
      </w:r>
      <w:r>
        <w:t>construction</w:t>
      </w:r>
      <w:r>
        <w:rPr>
          <w:spacing w:val="-13"/>
        </w:rPr>
        <w:t xml:space="preserve"> </w:t>
      </w:r>
      <w:r>
        <w:t>has</w:t>
      </w:r>
      <w:r>
        <w:rPr>
          <w:spacing w:val="-13"/>
        </w:rPr>
        <w:t xml:space="preserve"> </w:t>
      </w:r>
      <w:r>
        <w:t>dominated growth</w:t>
      </w:r>
      <w:r>
        <w:rPr>
          <w:spacing w:val="-14"/>
        </w:rPr>
        <w:t xml:space="preserve"> </w:t>
      </w:r>
      <w:r>
        <w:t>in</w:t>
      </w:r>
      <w:r>
        <w:rPr>
          <w:spacing w:val="-14"/>
        </w:rPr>
        <w:t xml:space="preserve"> </w:t>
      </w:r>
      <w:r>
        <w:t>the</w:t>
      </w:r>
      <w:r>
        <w:rPr>
          <w:spacing w:val="-14"/>
        </w:rPr>
        <w:t xml:space="preserve"> </w:t>
      </w:r>
      <w:r>
        <w:t>last</w:t>
      </w:r>
      <w:r>
        <w:rPr>
          <w:spacing w:val="-14"/>
        </w:rPr>
        <w:t xml:space="preserve"> </w:t>
      </w:r>
      <w:r>
        <w:t>decade</w:t>
      </w:r>
      <w:r>
        <w:rPr>
          <w:spacing w:val="-14"/>
        </w:rPr>
        <w:t xml:space="preserve"> </w:t>
      </w:r>
      <w:r>
        <w:t>while</w:t>
      </w:r>
      <w:r>
        <w:rPr>
          <w:spacing w:val="-14"/>
        </w:rPr>
        <w:t xml:space="preserve"> </w:t>
      </w:r>
      <w:r>
        <w:t>manufacturing</w:t>
      </w:r>
      <w:r>
        <w:rPr>
          <w:spacing w:val="-14"/>
        </w:rPr>
        <w:t xml:space="preserve"> </w:t>
      </w:r>
      <w:r>
        <w:t>has experienced</w:t>
      </w:r>
      <w:r>
        <w:rPr>
          <w:spacing w:val="-14"/>
        </w:rPr>
        <w:t xml:space="preserve"> </w:t>
      </w:r>
      <w:r>
        <w:t>pressure</w:t>
      </w:r>
      <w:r>
        <w:rPr>
          <w:spacing w:val="-14"/>
        </w:rPr>
        <w:t xml:space="preserve"> </w:t>
      </w:r>
      <w:r>
        <w:t>from</w:t>
      </w:r>
      <w:r>
        <w:rPr>
          <w:spacing w:val="-14"/>
        </w:rPr>
        <w:t xml:space="preserve"> </w:t>
      </w:r>
      <w:r>
        <w:t>the</w:t>
      </w:r>
      <w:r>
        <w:rPr>
          <w:spacing w:val="-14"/>
        </w:rPr>
        <w:t xml:space="preserve"> </w:t>
      </w:r>
      <w:r>
        <w:t>exchange</w:t>
      </w:r>
      <w:r>
        <w:rPr>
          <w:spacing w:val="-14"/>
        </w:rPr>
        <w:t xml:space="preserve"> </w:t>
      </w:r>
      <w:r>
        <w:t>rate</w:t>
      </w:r>
      <w:r>
        <w:rPr>
          <w:spacing w:val="-14"/>
        </w:rPr>
        <w:t xml:space="preserve"> </w:t>
      </w:r>
      <w:r>
        <w:t>and increased</w:t>
      </w:r>
      <w:r>
        <w:rPr>
          <w:spacing w:val="-13"/>
        </w:rPr>
        <w:t xml:space="preserve"> </w:t>
      </w:r>
      <w:r>
        <w:t>competition</w:t>
      </w:r>
      <w:r>
        <w:rPr>
          <w:spacing w:val="-13"/>
        </w:rPr>
        <w:t xml:space="preserve"> </w:t>
      </w:r>
      <w:r>
        <w:t>for</w:t>
      </w:r>
      <w:r>
        <w:rPr>
          <w:spacing w:val="-13"/>
        </w:rPr>
        <w:t xml:space="preserve"> </w:t>
      </w:r>
      <w:r>
        <w:t>capital</w:t>
      </w:r>
      <w:r>
        <w:rPr>
          <w:spacing w:val="-13"/>
        </w:rPr>
        <w:t xml:space="preserve"> </w:t>
      </w:r>
      <w:r>
        <w:t>and</w:t>
      </w:r>
      <w:r>
        <w:rPr>
          <w:spacing w:val="-13"/>
        </w:rPr>
        <w:t xml:space="preserve"> </w:t>
      </w:r>
      <w:r>
        <w:t>labour.</w:t>
      </w:r>
    </w:p>
    <w:p w:rsidR="002C1123" w:rsidRDefault="002C1123">
      <w:pPr>
        <w:spacing w:line="249" w:lineRule="auto"/>
        <w:sectPr w:rsidR="002C1123">
          <w:type w:val="continuous"/>
          <w:pgSz w:w="16840" w:h="11910" w:orient="landscape"/>
          <w:pgMar w:top="560" w:right="280" w:bottom="280" w:left="500" w:header="0" w:footer="517" w:gutter="0"/>
          <w:cols w:num="2" w:space="720" w:equalWidth="0">
            <w:col w:w="5250" w:space="40"/>
            <w:col w:w="10770"/>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4"/>
        <w:rPr>
          <w:sz w:val="26"/>
        </w:rPr>
      </w:pPr>
    </w:p>
    <w:p w:rsidR="002C1123" w:rsidRDefault="002060EF">
      <w:pPr>
        <w:pStyle w:val="BodyText"/>
        <w:spacing w:line="20" w:lineRule="exact"/>
        <w:ind w:left="492"/>
        <w:rPr>
          <w:sz w:val="2"/>
        </w:rPr>
      </w:pPr>
      <w:r>
        <w:rPr>
          <w:sz w:val="2"/>
        </w:rPr>
      </w:r>
      <w:r>
        <w:rPr>
          <w:sz w:val="2"/>
        </w:rPr>
        <w:pict>
          <v:group id="docshapegroup853" o:spid="_x0000_s4483" style="width:1in;height:.5pt;mso-position-horizontal-relative:char;mso-position-vertical-relative:line" coordsize="1440,10">
            <v:line id="_x0000_s4484" style="position:absolute" from="0,5" to="1440,5" strokecolor="#9c9c9d" strokeweight=".5pt"/>
            <w10:anchorlock/>
          </v:group>
        </w:pict>
      </w:r>
    </w:p>
    <w:p w:rsidR="002C1123" w:rsidRDefault="00F22F94">
      <w:pPr>
        <w:pStyle w:val="ListParagraph"/>
        <w:numPr>
          <w:ilvl w:val="0"/>
          <w:numId w:val="102"/>
        </w:numPr>
        <w:tabs>
          <w:tab w:val="left" w:pos="691"/>
        </w:tabs>
        <w:spacing w:before="8"/>
        <w:ind w:right="10808"/>
        <w:jc w:val="left"/>
        <w:rPr>
          <w:sz w:val="14"/>
        </w:rPr>
      </w:pPr>
      <w:r>
        <w:rPr>
          <w:w w:val="95"/>
          <w:sz w:val="14"/>
        </w:rPr>
        <w:t>Deloitte Access Economics 2012, The NSW Economy in 2031-32, Report to</w:t>
      </w:r>
      <w:r>
        <w:rPr>
          <w:spacing w:val="40"/>
          <w:sz w:val="14"/>
        </w:rPr>
        <w:t xml:space="preserve"> </w:t>
      </w:r>
      <w:r>
        <w:rPr>
          <w:sz w:val="14"/>
        </w:rPr>
        <w:t>Infrastructure</w:t>
      </w:r>
      <w:r>
        <w:rPr>
          <w:spacing w:val="-10"/>
          <w:sz w:val="14"/>
        </w:rPr>
        <w:t xml:space="preserve"> </w:t>
      </w:r>
      <w:r>
        <w:rPr>
          <w:sz w:val="14"/>
        </w:rPr>
        <w:t>NSW.</w:t>
      </w:r>
    </w:p>
    <w:p w:rsidR="002C1123" w:rsidRDefault="002C1123">
      <w:pPr>
        <w:rPr>
          <w:sz w:val="14"/>
        </w:rPr>
        <w:sectPr w:rsidR="002C1123">
          <w:type w:val="continuous"/>
          <w:pgSz w:w="16840" w:h="11910" w:orient="landscape"/>
          <w:pgMar w:top="560" w:right="280" w:bottom="280" w:left="500" w:header="0" w:footer="517" w:gutter="0"/>
          <w:cols w:space="720"/>
        </w:sectPr>
      </w:pPr>
    </w:p>
    <w:p w:rsidR="002C1123" w:rsidRDefault="00F22F94">
      <w:pPr>
        <w:spacing w:before="96"/>
        <w:ind w:left="237"/>
        <w:rPr>
          <w:b/>
          <w:sz w:val="18"/>
        </w:rPr>
      </w:pPr>
      <w:bookmarkStart w:id="131" w:name="_bookmark93"/>
      <w:bookmarkEnd w:id="131"/>
      <w:r>
        <w:rPr>
          <w:b/>
          <w:sz w:val="18"/>
        </w:rPr>
        <w:lastRenderedPageBreak/>
        <w:t>Figure</w:t>
      </w:r>
      <w:r>
        <w:rPr>
          <w:b/>
          <w:spacing w:val="-5"/>
          <w:sz w:val="18"/>
        </w:rPr>
        <w:t xml:space="preserve"> </w:t>
      </w:r>
      <w:r>
        <w:rPr>
          <w:b/>
          <w:sz w:val="18"/>
        </w:rPr>
        <w:t>5.1</w:t>
      </w:r>
      <w:r>
        <w:rPr>
          <w:b/>
          <w:spacing w:val="40"/>
          <w:sz w:val="18"/>
        </w:rPr>
        <w:t xml:space="preserve"> </w:t>
      </w:r>
      <w:r>
        <w:rPr>
          <w:b/>
          <w:sz w:val="18"/>
        </w:rPr>
        <w:t>Population,</w:t>
      </w:r>
      <w:r>
        <w:rPr>
          <w:b/>
          <w:spacing w:val="-5"/>
          <w:sz w:val="18"/>
        </w:rPr>
        <w:t xml:space="preserve"> </w:t>
      </w:r>
      <w:r>
        <w:rPr>
          <w:b/>
          <w:sz w:val="18"/>
        </w:rPr>
        <w:t>Jobs</w:t>
      </w:r>
      <w:r>
        <w:rPr>
          <w:b/>
          <w:spacing w:val="-5"/>
          <w:sz w:val="18"/>
        </w:rPr>
        <w:t xml:space="preserve"> </w:t>
      </w:r>
      <w:r>
        <w:rPr>
          <w:b/>
          <w:sz w:val="18"/>
        </w:rPr>
        <w:t>and</w:t>
      </w:r>
      <w:r>
        <w:rPr>
          <w:b/>
          <w:spacing w:val="-5"/>
          <w:sz w:val="18"/>
        </w:rPr>
        <w:t xml:space="preserve"> </w:t>
      </w:r>
      <w:r>
        <w:rPr>
          <w:b/>
          <w:sz w:val="18"/>
        </w:rPr>
        <w:t>Economy</w:t>
      </w:r>
      <w:r>
        <w:rPr>
          <w:b/>
          <w:spacing w:val="-5"/>
          <w:sz w:val="18"/>
        </w:rPr>
        <w:t xml:space="preserve"> </w:t>
      </w:r>
      <w:r>
        <w:rPr>
          <w:b/>
          <w:sz w:val="18"/>
        </w:rPr>
        <w:t>of</w:t>
      </w:r>
      <w:r>
        <w:rPr>
          <w:b/>
          <w:spacing w:val="-5"/>
          <w:sz w:val="18"/>
        </w:rPr>
        <w:t xml:space="preserve"> </w:t>
      </w:r>
      <w:r>
        <w:rPr>
          <w:b/>
          <w:sz w:val="18"/>
        </w:rPr>
        <w:t>Regional</w:t>
      </w:r>
      <w:r>
        <w:rPr>
          <w:b/>
          <w:spacing w:val="-5"/>
          <w:sz w:val="18"/>
        </w:rPr>
        <w:t xml:space="preserve"> NSW</w:t>
      </w:r>
    </w:p>
    <w:p w:rsidR="002C1123" w:rsidRDefault="002C1123">
      <w:pPr>
        <w:pStyle w:val="BodyText"/>
        <w:spacing w:before="11"/>
        <w:rPr>
          <w:b/>
          <w:sz w:val="18"/>
        </w:rPr>
      </w:pPr>
    </w:p>
    <w:p w:rsidR="002C1123" w:rsidRDefault="00F22F94">
      <w:pPr>
        <w:spacing w:before="103"/>
        <w:ind w:left="10860" w:right="476"/>
        <w:jc w:val="center"/>
        <w:rPr>
          <w:sz w:val="18"/>
        </w:rPr>
      </w:pPr>
      <w:r>
        <w:rPr>
          <w:spacing w:val="-2"/>
          <w:w w:val="95"/>
          <w:sz w:val="18"/>
        </w:rPr>
        <w:t>Population</w:t>
      </w:r>
    </w:p>
    <w:p w:rsidR="002C1123" w:rsidRDefault="00F22F94">
      <w:pPr>
        <w:spacing w:before="88"/>
        <w:ind w:left="10847" w:right="476"/>
        <w:jc w:val="center"/>
        <w:rPr>
          <w:sz w:val="16"/>
        </w:rPr>
      </w:pPr>
      <w:r>
        <w:rPr>
          <w:spacing w:val="-5"/>
          <w:w w:val="95"/>
          <w:sz w:val="16"/>
        </w:rPr>
        <w:t>5.0</w:t>
      </w:r>
    </w:p>
    <w:p w:rsidR="002C1123" w:rsidRDefault="002C1123">
      <w:pPr>
        <w:pStyle w:val="BodyText"/>
        <w:spacing w:before="7"/>
        <w:rPr>
          <w:sz w:val="11"/>
        </w:rPr>
      </w:pPr>
    </w:p>
    <w:p w:rsidR="002C1123" w:rsidRDefault="00F22F94">
      <w:pPr>
        <w:spacing w:before="98"/>
        <w:ind w:right="2745"/>
        <w:jc w:val="right"/>
        <w:rPr>
          <w:sz w:val="16"/>
        </w:rPr>
      </w:pPr>
      <w:r>
        <w:rPr>
          <w:spacing w:val="-5"/>
          <w:w w:val="95"/>
          <w:sz w:val="16"/>
        </w:rPr>
        <w:t>4.0</w:t>
      </w:r>
    </w:p>
    <w:p w:rsidR="002C1123" w:rsidRDefault="002C1123">
      <w:pPr>
        <w:pStyle w:val="BodyText"/>
        <w:spacing w:before="10"/>
        <w:rPr>
          <w:sz w:val="11"/>
        </w:rPr>
      </w:pPr>
    </w:p>
    <w:p w:rsidR="002C1123" w:rsidRDefault="002C1123">
      <w:pPr>
        <w:rPr>
          <w:sz w:val="11"/>
        </w:rPr>
        <w:sectPr w:rsidR="002C1123">
          <w:headerReference w:type="default" r:id="rId113"/>
          <w:footerReference w:type="default" r:id="rId114"/>
          <w:pgSz w:w="16840" w:h="11910" w:orient="landscape"/>
          <w:pgMar w:top="1100" w:right="280" w:bottom="280" w:left="500" w:header="0" w:footer="0" w:gutter="0"/>
          <w:cols w:space="720"/>
        </w:sectPr>
      </w:pPr>
    </w:p>
    <w:p w:rsidR="002C1123" w:rsidRDefault="00F22F94">
      <w:pPr>
        <w:spacing w:before="133"/>
        <w:jc w:val="right"/>
        <w:rPr>
          <w:sz w:val="16"/>
        </w:rPr>
      </w:pPr>
      <w:r>
        <w:rPr>
          <w:w w:val="80"/>
          <w:sz w:val="16"/>
        </w:rPr>
        <w:t>North</w:t>
      </w:r>
      <w:r>
        <w:rPr>
          <w:sz w:val="16"/>
        </w:rPr>
        <w:t xml:space="preserve"> </w:t>
      </w:r>
      <w:r>
        <w:rPr>
          <w:spacing w:val="-2"/>
          <w:w w:val="90"/>
          <w:sz w:val="16"/>
        </w:rPr>
        <w:t>Coast</w:t>
      </w:r>
    </w:p>
    <w:p w:rsidR="002C1123" w:rsidRDefault="00F22F94">
      <w:pPr>
        <w:spacing w:before="98"/>
        <w:ind w:left="2811" w:right="2725"/>
        <w:jc w:val="center"/>
        <w:rPr>
          <w:sz w:val="16"/>
        </w:rPr>
      </w:pPr>
      <w:r>
        <w:br w:type="column"/>
      </w:r>
      <w:r>
        <w:rPr>
          <w:spacing w:val="-5"/>
          <w:w w:val="95"/>
          <w:sz w:val="16"/>
        </w:rPr>
        <w:t>3.0</w:t>
      </w:r>
    </w:p>
    <w:p w:rsidR="002C1123" w:rsidRDefault="002C1123">
      <w:pPr>
        <w:jc w:val="center"/>
        <w:rPr>
          <w:sz w:val="16"/>
        </w:rPr>
        <w:sectPr w:rsidR="002C1123">
          <w:type w:val="continuous"/>
          <w:pgSz w:w="16840" w:h="11910" w:orient="landscape"/>
          <w:pgMar w:top="560" w:right="280" w:bottom="280" w:left="500" w:header="0" w:footer="0" w:gutter="0"/>
          <w:cols w:num="2" w:space="720" w:equalWidth="0">
            <w:col w:w="10246" w:space="40"/>
            <w:col w:w="5774"/>
          </w:cols>
        </w:sectPr>
      </w:pPr>
    </w:p>
    <w:p w:rsidR="002C1123" w:rsidRDefault="002C1123">
      <w:pPr>
        <w:pStyle w:val="BodyText"/>
        <w:spacing w:before="1"/>
        <w:rPr>
          <w:sz w:val="9"/>
        </w:rPr>
      </w:pPr>
    </w:p>
    <w:p w:rsidR="002C1123" w:rsidRDefault="002C1123">
      <w:pPr>
        <w:rPr>
          <w:sz w:val="9"/>
        </w:rPr>
        <w:sectPr w:rsidR="002C1123">
          <w:type w:val="continuous"/>
          <w:pgSz w:w="16840" w:h="11910" w:orient="landscape"/>
          <w:pgMar w:top="560" w:right="280" w:bottom="280" w:left="500" w:header="0" w:footer="0" w:gutter="0"/>
          <w:cols w:space="720"/>
        </w:sectPr>
      </w:pPr>
    </w:p>
    <w:p w:rsidR="002C1123" w:rsidRDefault="002C1123">
      <w:pPr>
        <w:pStyle w:val="BodyText"/>
        <w:rPr>
          <w:sz w:val="18"/>
        </w:rPr>
      </w:pPr>
    </w:p>
    <w:p w:rsidR="002C1123" w:rsidRDefault="002C1123">
      <w:pPr>
        <w:pStyle w:val="BodyText"/>
        <w:spacing w:before="3"/>
        <w:rPr>
          <w:sz w:val="24"/>
        </w:rPr>
      </w:pPr>
    </w:p>
    <w:p w:rsidR="002C1123" w:rsidRDefault="00F22F94">
      <w:pPr>
        <w:ind w:left="3506"/>
        <w:rPr>
          <w:sz w:val="16"/>
        </w:rPr>
      </w:pPr>
      <w:r>
        <w:rPr>
          <w:w w:val="80"/>
          <w:sz w:val="16"/>
        </w:rPr>
        <w:t>Inland</w:t>
      </w:r>
      <w:r>
        <w:rPr>
          <w:spacing w:val="1"/>
          <w:sz w:val="16"/>
        </w:rPr>
        <w:t xml:space="preserve"> </w:t>
      </w:r>
      <w:r>
        <w:rPr>
          <w:spacing w:val="-5"/>
          <w:w w:val="90"/>
          <w:sz w:val="16"/>
        </w:rPr>
        <w:t>NSW</w:t>
      </w:r>
    </w:p>
    <w:p w:rsidR="002C1123" w:rsidRDefault="002C1123">
      <w:pPr>
        <w:pStyle w:val="BodyText"/>
        <w:rPr>
          <w:sz w:val="18"/>
        </w:rPr>
      </w:pPr>
    </w:p>
    <w:p w:rsidR="002C1123" w:rsidRDefault="002C1123">
      <w:pPr>
        <w:pStyle w:val="BodyText"/>
        <w:spacing w:before="4"/>
        <w:rPr>
          <w:sz w:val="16"/>
        </w:rPr>
      </w:pPr>
    </w:p>
    <w:p w:rsidR="002C1123" w:rsidRDefault="00F22F94">
      <w:pPr>
        <w:tabs>
          <w:tab w:val="left" w:pos="4120"/>
        </w:tabs>
        <w:ind w:left="3539"/>
        <w:rPr>
          <w:sz w:val="16"/>
        </w:rPr>
      </w:pPr>
      <w:r>
        <w:rPr>
          <w:w w:val="90"/>
          <w:sz w:val="16"/>
        </w:rPr>
        <w:t>0</w:t>
      </w:r>
      <w:r>
        <w:rPr>
          <w:spacing w:val="-7"/>
          <w:w w:val="90"/>
          <w:sz w:val="16"/>
        </w:rPr>
        <w:t xml:space="preserve"> </w:t>
      </w:r>
      <w:r>
        <w:rPr>
          <w:spacing w:val="-10"/>
          <w:w w:val="95"/>
          <w:sz w:val="16"/>
        </w:rPr>
        <w:t>%</w:t>
      </w:r>
      <w:r>
        <w:rPr>
          <w:sz w:val="16"/>
        </w:rPr>
        <w:tab/>
      </w:r>
      <w:r>
        <w:rPr>
          <w:w w:val="85"/>
          <w:sz w:val="16"/>
        </w:rPr>
        <w:t>1.4</w:t>
      </w:r>
      <w:r>
        <w:rPr>
          <w:spacing w:val="-3"/>
          <w:w w:val="95"/>
          <w:sz w:val="16"/>
        </w:rPr>
        <w:t xml:space="preserve"> </w:t>
      </w:r>
      <w:r>
        <w:rPr>
          <w:spacing w:val="-10"/>
          <w:w w:val="95"/>
          <w:sz w:val="16"/>
        </w:rPr>
        <w:t>%</w:t>
      </w:r>
    </w:p>
    <w:p w:rsidR="002C1123" w:rsidRDefault="00F22F94">
      <w:pPr>
        <w:rPr>
          <w:sz w:val="18"/>
        </w:rPr>
      </w:pPr>
      <w:r>
        <w:br w:type="column"/>
      </w: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spacing w:before="6"/>
        <w:rPr>
          <w:sz w:val="15"/>
        </w:rPr>
      </w:pPr>
    </w:p>
    <w:p w:rsidR="002C1123" w:rsidRDefault="00F22F94">
      <w:pPr>
        <w:ind w:right="537"/>
        <w:jc w:val="right"/>
        <w:rPr>
          <w:sz w:val="16"/>
        </w:rPr>
      </w:pPr>
      <w:r>
        <w:rPr>
          <w:spacing w:val="-2"/>
          <w:w w:val="90"/>
          <w:sz w:val="16"/>
        </w:rPr>
        <w:t>Hunter</w:t>
      </w:r>
    </w:p>
    <w:p w:rsidR="002C1123" w:rsidRDefault="002C1123">
      <w:pPr>
        <w:pStyle w:val="BodyText"/>
        <w:rPr>
          <w:sz w:val="18"/>
        </w:rPr>
      </w:pPr>
    </w:p>
    <w:p w:rsidR="002C1123" w:rsidRDefault="00F22F94">
      <w:pPr>
        <w:tabs>
          <w:tab w:val="left" w:pos="881"/>
        </w:tabs>
        <w:spacing w:before="134"/>
        <w:jc w:val="right"/>
        <w:rPr>
          <w:sz w:val="16"/>
        </w:rPr>
      </w:pPr>
      <w:r>
        <w:rPr>
          <w:w w:val="85"/>
          <w:sz w:val="16"/>
        </w:rPr>
        <w:t>1.0</w:t>
      </w:r>
      <w:r>
        <w:rPr>
          <w:spacing w:val="-3"/>
          <w:w w:val="95"/>
          <w:sz w:val="16"/>
        </w:rPr>
        <w:t xml:space="preserve"> </w:t>
      </w:r>
      <w:r>
        <w:rPr>
          <w:spacing w:val="-10"/>
          <w:w w:val="95"/>
          <w:sz w:val="16"/>
        </w:rPr>
        <w:t>%</w:t>
      </w:r>
      <w:r>
        <w:rPr>
          <w:sz w:val="16"/>
        </w:rPr>
        <w:tab/>
      </w:r>
      <w:r>
        <w:rPr>
          <w:w w:val="85"/>
          <w:sz w:val="16"/>
        </w:rPr>
        <w:t>2.5</w:t>
      </w:r>
      <w:r>
        <w:rPr>
          <w:spacing w:val="-1"/>
          <w:w w:val="90"/>
          <w:sz w:val="16"/>
        </w:rPr>
        <w:t xml:space="preserve"> </w:t>
      </w:r>
      <w:r>
        <w:rPr>
          <w:spacing w:val="-10"/>
          <w:w w:val="90"/>
          <w:sz w:val="16"/>
        </w:rPr>
        <w:t>%</w:t>
      </w:r>
    </w:p>
    <w:p w:rsidR="002C1123" w:rsidRDefault="00F22F94">
      <w:pPr>
        <w:rPr>
          <w:sz w:val="18"/>
        </w:rPr>
      </w:pPr>
      <w:r>
        <w:br w:type="column"/>
      </w:r>
    </w:p>
    <w:p w:rsidR="002C1123" w:rsidRDefault="002C1123">
      <w:pPr>
        <w:pStyle w:val="BodyText"/>
        <w:spacing w:before="3"/>
        <w:rPr>
          <w:sz w:val="17"/>
        </w:rPr>
      </w:pPr>
    </w:p>
    <w:p w:rsidR="002C1123" w:rsidRDefault="002060EF">
      <w:pPr>
        <w:tabs>
          <w:tab w:val="left" w:pos="863"/>
        </w:tabs>
        <w:ind w:left="-18"/>
        <w:rPr>
          <w:sz w:val="16"/>
        </w:rPr>
      </w:pPr>
      <w:r>
        <w:pict>
          <v:shape id="docshape854" o:spid="_x0000_s4482" type="#_x0000_t202" style="position:absolute;left:0;text-align:left;margin-left:666.05pt;margin-top:-33.3pt;width:11.05pt;height:23.45pt;z-index:251285504;mso-position-horizontal-relative:page" filled="f" stroked="f">
            <v:textbox style="layout-flow:vertical;mso-layout-flow-alt:bottom-to-top" inset="0,0,0,0">
              <w:txbxContent>
                <w:p w:rsidR="00F22F94" w:rsidRDefault="00F22F94">
                  <w:pPr>
                    <w:spacing w:before="18"/>
                    <w:ind w:left="20"/>
                    <w:rPr>
                      <w:sz w:val="16"/>
                    </w:rPr>
                  </w:pPr>
                  <w:r>
                    <w:rPr>
                      <w:spacing w:val="-2"/>
                      <w:w w:val="80"/>
                      <w:sz w:val="16"/>
                    </w:rPr>
                    <w:t>Millions</w:t>
                  </w:r>
                </w:p>
              </w:txbxContent>
            </v:textbox>
            <w10:wrap anchorx="page"/>
          </v:shape>
        </w:pict>
      </w:r>
      <w:r w:rsidR="00F22F94">
        <w:rPr>
          <w:w w:val="85"/>
          <w:sz w:val="16"/>
        </w:rPr>
        <w:t>1.0</w:t>
      </w:r>
      <w:r w:rsidR="00F22F94">
        <w:rPr>
          <w:spacing w:val="-3"/>
          <w:w w:val="95"/>
          <w:sz w:val="16"/>
        </w:rPr>
        <w:t xml:space="preserve"> </w:t>
      </w:r>
      <w:r w:rsidR="00F22F94">
        <w:rPr>
          <w:spacing w:val="-10"/>
          <w:w w:val="95"/>
          <w:sz w:val="16"/>
        </w:rPr>
        <w:t>%</w:t>
      </w:r>
      <w:r w:rsidR="00F22F94">
        <w:rPr>
          <w:sz w:val="16"/>
        </w:rPr>
        <w:tab/>
      </w:r>
      <w:r w:rsidR="00F22F94">
        <w:rPr>
          <w:w w:val="85"/>
          <w:sz w:val="16"/>
        </w:rPr>
        <w:t>2.5</w:t>
      </w:r>
      <w:r w:rsidR="00F22F94">
        <w:rPr>
          <w:spacing w:val="-3"/>
          <w:w w:val="95"/>
          <w:sz w:val="16"/>
        </w:rPr>
        <w:t xml:space="preserve"> </w:t>
      </w:r>
      <w:r w:rsidR="00F22F94">
        <w:rPr>
          <w:spacing w:val="-22"/>
          <w:w w:val="95"/>
          <w:sz w:val="16"/>
        </w:rPr>
        <w:t>%</w:t>
      </w:r>
    </w:p>
    <w:p w:rsidR="002C1123" w:rsidRDefault="00F22F94">
      <w:pPr>
        <w:spacing w:before="99"/>
        <w:ind w:right="9"/>
        <w:jc w:val="right"/>
        <w:rPr>
          <w:sz w:val="16"/>
        </w:rPr>
      </w:pPr>
      <w:r>
        <w:br w:type="column"/>
      </w:r>
      <w:r>
        <w:rPr>
          <w:spacing w:val="-5"/>
          <w:w w:val="95"/>
          <w:sz w:val="16"/>
        </w:rPr>
        <w:t>2.0</w:t>
      </w:r>
    </w:p>
    <w:p w:rsidR="002C1123" w:rsidRDefault="002C1123">
      <w:pPr>
        <w:pStyle w:val="BodyText"/>
        <w:spacing w:before="4"/>
      </w:pPr>
    </w:p>
    <w:p w:rsidR="002C1123" w:rsidRDefault="00F22F94">
      <w:pPr>
        <w:ind w:right="9"/>
        <w:jc w:val="right"/>
        <w:rPr>
          <w:sz w:val="16"/>
        </w:rPr>
      </w:pPr>
      <w:r>
        <w:rPr>
          <w:spacing w:val="-5"/>
          <w:w w:val="95"/>
          <w:sz w:val="16"/>
        </w:rPr>
        <w:t>1.0</w:t>
      </w:r>
    </w:p>
    <w:p w:rsidR="002C1123" w:rsidRDefault="002C1123">
      <w:pPr>
        <w:pStyle w:val="BodyText"/>
        <w:spacing w:before="4"/>
      </w:pPr>
    </w:p>
    <w:p w:rsidR="002C1123" w:rsidRDefault="00F22F94">
      <w:pPr>
        <w:ind w:right="9"/>
        <w:jc w:val="right"/>
        <w:rPr>
          <w:sz w:val="16"/>
        </w:rPr>
      </w:pPr>
      <w:r>
        <w:rPr>
          <w:w w:val="86"/>
          <w:sz w:val="16"/>
        </w:rPr>
        <w:t>0</w:t>
      </w:r>
    </w:p>
    <w:p w:rsidR="002C1123" w:rsidRDefault="002C1123">
      <w:pPr>
        <w:pStyle w:val="BodyText"/>
        <w:rPr>
          <w:sz w:val="18"/>
        </w:rPr>
      </w:pPr>
    </w:p>
    <w:p w:rsidR="002C1123" w:rsidRDefault="002C1123">
      <w:pPr>
        <w:pStyle w:val="BodyText"/>
        <w:rPr>
          <w:sz w:val="18"/>
        </w:rPr>
      </w:pPr>
    </w:p>
    <w:p w:rsidR="002C1123" w:rsidRDefault="002C1123">
      <w:pPr>
        <w:pStyle w:val="BodyText"/>
        <w:spacing w:before="9"/>
        <w:rPr>
          <w:sz w:val="14"/>
        </w:rPr>
      </w:pPr>
    </w:p>
    <w:p w:rsidR="002C1123" w:rsidRDefault="00F22F94">
      <w:pPr>
        <w:ind w:left="2209"/>
        <w:rPr>
          <w:sz w:val="18"/>
        </w:rPr>
      </w:pPr>
      <w:r>
        <w:rPr>
          <w:spacing w:val="-4"/>
          <w:w w:val="95"/>
          <w:sz w:val="18"/>
        </w:rPr>
        <w:t>Jobs</w:t>
      </w:r>
    </w:p>
    <w:p w:rsidR="002C1123" w:rsidRDefault="00F22F94">
      <w:pPr>
        <w:spacing w:before="83"/>
        <w:ind w:left="2482"/>
        <w:rPr>
          <w:sz w:val="16"/>
        </w:rPr>
      </w:pPr>
      <w:r>
        <w:rPr>
          <w:spacing w:val="-5"/>
          <w:w w:val="85"/>
          <w:sz w:val="16"/>
        </w:rPr>
        <w:t>3.0</w:t>
      </w:r>
    </w:p>
    <w:p w:rsidR="002C1123" w:rsidRDefault="00F22F94">
      <w:pPr>
        <w:rPr>
          <w:sz w:val="18"/>
        </w:rPr>
      </w:pPr>
      <w:r>
        <w:br w:type="column"/>
      </w: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spacing w:before="7"/>
        <w:rPr>
          <w:sz w:val="21"/>
        </w:rPr>
      </w:pPr>
    </w:p>
    <w:p w:rsidR="002C1123" w:rsidRDefault="00F22F94">
      <w:pPr>
        <w:ind w:left="279"/>
        <w:rPr>
          <w:sz w:val="16"/>
        </w:rPr>
      </w:pPr>
      <w:r>
        <w:rPr>
          <w:spacing w:val="-4"/>
          <w:w w:val="85"/>
          <w:sz w:val="16"/>
        </w:rPr>
        <w:t>2011</w:t>
      </w:r>
    </w:p>
    <w:p w:rsidR="002C1123" w:rsidRDefault="00F22F94">
      <w:pPr>
        <w:rPr>
          <w:sz w:val="18"/>
        </w:rPr>
      </w:pPr>
      <w:r>
        <w:br w:type="column"/>
      </w: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spacing w:before="7"/>
        <w:rPr>
          <w:sz w:val="21"/>
        </w:rPr>
      </w:pPr>
    </w:p>
    <w:p w:rsidR="002C1123" w:rsidRDefault="00F22F94">
      <w:pPr>
        <w:ind w:left="297"/>
        <w:rPr>
          <w:sz w:val="16"/>
        </w:rPr>
      </w:pPr>
      <w:r>
        <w:rPr>
          <w:spacing w:val="-4"/>
          <w:w w:val="95"/>
          <w:sz w:val="16"/>
        </w:rPr>
        <w:t>2031</w:t>
      </w:r>
    </w:p>
    <w:p w:rsidR="002C1123" w:rsidRDefault="002C1123">
      <w:pPr>
        <w:rPr>
          <w:sz w:val="16"/>
        </w:rPr>
        <w:sectPr w:rsidR="002C1123">
          <w:type w:val="continuous"/>
          <w:pgSz w:w="16840" w:h="11910" w:orient="landscape"/>
          <w:pgMar w:top="560" w:right="280" w:bottom="280" w:left="500" w:header="0" w:footer="0" w:gutter="0"/>
          <w:cols w:num="6" w:space="720" w:equalWidth="0">
            <w:col w:w="4513" w:space="99"/>
            <w:col w:w="4740" w:space="39"/>
            <w:col w:w="1216" w:space="40"/>
            <w:col w:w="2675" w:space="40"/>
            <w:col w:w="587" w:space="40"/>
            <w:col w:w="2071"/>
          </w:cols>
        </w:sectPr>
      </w:pPr>
    </w:p>
    <w:p w:rsidR="002C1123" w:rsidRDefault="002C1123">
      <w:pPr>
        <w:pStyle w:val="BodyText"/>
      </w:pPr>
    </w:p>
    <w:p w:rsidR="002C1123" w:rsidRDefault="002C1123">
      <w:pPr>
        <w:pStyle w:val="BodyText"/>
        <w:spacing w:before="1"/>
        <w:rPr>
          <w:sz w:val="16"/>
        </w:rPr>
      </w:pPr>
    </w:p>
    <w:p w:rsidR="002C1123" w:rsidRDefault="002C1123">
      <w:pPr>
        <w:rPr>
          <w:sz w:val="16"/>
        </w:rPr>
        <w:sectPr w:rsidR="002C1123">
          <w:type w:val="continuous"/>
          <w:pgSz w:w="16840" w:h="11910" w:orient="landscape"/>
          <w:pgMar w:top="560" w:right="280" w:bottom="280" w:left="500" w:header="0" w:footer="0" w:gutter="0"/>
          <w:cols w:space="720"/>
        </w:sectPr>
      </w:pPr>
    </w:p>
    <w:p w:rsidR="002C1123" w:rsidRDefault="002C1123">
      <w:pPr>
        <w:pStyle w:val="BodyText"/>
        <w:rPr>
          <w:sz w:val="18"/>
        </w:rPr>
      </w:pPr>
    </w:p>
    <w:p w:rsidR="002C1123" w:rsidRDefault="002C1123">
      <w:pPr>
        <w:pStyle w:val="BodyText"/>
        <w:rPr>
          <w:sz w:val="18"/>
        </w:rPr>
      </w:pPr>
    </w:p>
    <w:p w:rsidR="002C1123" w:rsidRDefault="00F22F94">
      <w:pPr>
        <w:spacing w:before="129"/>
        <w:ind w:right="415"/>
        <w:jc w:val="right"/>
        <w:rPr>
          <w:sz w:val="16"/>
        </w:rPr>
      </w:pPr>
      <w:r>
        <w:rPr>
          <w:spacing w:val="-2"/>
          <w:w w:val="95"/>
          <w:sz w:val="16"/>
        </w:rPr>
        <w:t>Murray</w:t>
      </w:r>
    </w:p>
    <w:p w:rsidR="002C1123" w:rsidRDefault="002C1123">
      <w:pPr>
        <w:pStyle w:val="BodyText"/>
        <w:rPr>
          <w:sz w:val="18"/>
        </w:rPr>
      </w:pPr>
    </w:p>
    <w:p w:rsidR="002C1123" w:rsidRDefault="00F22F94">
      <w:pPr>
        <w:tabs>
          <w:tab w:val="left" w:pos="628"/>
        </w:tabs>
        <w:spacing w:before="138"/>
        <w:jc w:val="right"/>
        <w:rPr>
          <w:sz w:val="16"/>
        </w:rPr>
      </w:pPr>
      <w:r>
        <w:rPr>
          <w:spacing w:val="-8"/>
          <w:w w:val="85"/>
          <w:sz w:val="16"/>
        </w:rPr>
        <w:t>0.3</w:t>
      </w:r>
      <w:r>
        <w:rPr>
          <w:spacing w:val="-17"/>
          <w:w w:val="85"/>
          <w:sz w:val="16"/>
        </w:rPr>
        <w:t xml:space="preserve"> </w:t>
      </w:r>
      <w:r>
        <w:rPr>
          <w:spacing w:val="-10"/>
          <w:w w:val="95"/>
          <w:sz w:val="16"/>
        </w:rPr>
        <w:t>%</w:t>
      </w:r>
      <w:r>
        <w:rPr>
          <w:sz w:val="16"/>
        </w:rPr>
        <w:tab/>
      </w:r>
      <w:r>
        <w:rPr>
          <w:w w:val="85"/>
          <w:sz w:val="16"/>
        </w:rPr>
        <w:t>1.7</w:t>
      </w:r>
      <w:r>
        <w:rPr>
          <w:spacing w:val="-3"/>
          <w:w w:val="95"/>
          <w:sz w:val="16"/>
        </w:rPr>
        <w:t xml:space="preserve"> </w:t>
      </w:r>
      <w:r>
        <w:rPr>
          <w:spacing w:val="-10"/>
          <w:w w:val="95"/>
          <w:sz w:val="16"/>
        </w:rPr>
        <w:t>%</w:t>
      </w:r>
    </w:p>
    <w:p w:rsidR="002C1123" w:rsidRDefault="00F22F94">
      <w:pPr>
        <w:rPr>
          <w:sz w:val="18"/>
        </w:rPr>
      </w:pPr>
      <w:r>
        <w:br w:type="column"/>
      </w: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F22F94">
      <w:pPr>
        <w:spacing w:before="116"/>
        <w:ind w:right="350"/>
        <w:jc w:val="right"/>
        <w:rPr>
          <w:sz w:val="16"/>
        </w:rPr>
      </w:pPr>
      <w:r>
        <w:rPr>
          <w:w w:val="80"/>
          <w:sz w:val="16"/>
        </w:rPr>
        <w:t>South</w:t>
      </w:r>
      <w:r>
        <w:rPr>
          <w:spacing w:val="-3"/>
          <w:sz w:val="16"/>
        </w:rPr>
        <w:t xml:space="preserve"> </w:t>
      </w:r>
      <w:r>
        <w:rPr>
          <w:spacing w:val="-2"/>
          <w:w w:val="90"/>
          <w:sz w:val="16"/>
        </w:rPr>
        <w:t>Coast</w:t>
      </w:r>
    </w:p>
    <w:p w:rsidR="002C1123" w:rsidRDefault="002C1123">
      <w:pPr>
        <w:pStyle w:val="BodyText"/>
        <w:rPr>
          <w:sz w:val="18"/>
        </w:rPr>
      </w:pPr>
    </w:p>
    <w:p w:rsidR="002C1123" w:rsidRDefault="002C1123">
      <w:pPr>
        <w:pStyle w:val="BodyText"/>
        <w:rPr>
          <w:sz w:val="18"/>
        </w:rPr>
      </w:pPr>
    </w:p>
    <w:p w:rsidR="002C1123" w:rsidRDefault="00F22F94">
      <w:pPr>
        <w:tabs>
          <w:tab w:val="left" w:pos="3311"/>
        </w:tabs>
        <w:spacing w:before="127"/>
        <w:ind w:left="2429"/>
        <w:rPr>
          <w:sz w:val="16"/>
        </w:rPr>
      </w:pPr>
      <w:r>
        <w:rPr>
          <w:w w:val="85"/>
          <w:sz w:val="16"/>
        </w:rPr>
        <w:t>1.0</w:t>
      </w:r>
      <w:r>
        <w:rPr>
          <w:spacing w:val="-3"/>
          <w:w w:val="95"/>
          <w:sz w:val="16"/>
        </w:rPr>
        <w:t xml:space="preserve"> </w:t>
      </w:r>
      <w:r>
        <w:rPr>
          <w:spacing w:val="-10"/>
          <w:w w:val="95"/>
          <w:sz w:val="16"/>
        </w:rPr>
        <w:t>%</w:t>
      </w:r>
      <w:r>
        <w:rPr>
          <w:sz w:val="16"/>
        </w:rPr>
        <w:tab/>
      </w:r>
      <w:r>
        <w:rPr>
          <w:w w:val="85"/>
          <w:sz w:val="16"/>
        </w:rPr>
        <w:t>2.5</w:t>
      </w:r>
      <w:r>
        <w:rPr>
          <w:spacing w:val="-3"/>
          <w:w w:val="95"/>
          <w:sz w:val="16"/>
        </w:rPr>
        <w:t xml:space="preserve"> </w:t>
      </w:r>
      <w:r>
        <w:rPr>
          <w:spacing w:val="-23"/>
          <w:w w:val="95"/>
          <w:sz w:val="16"/>
        </w:rPr>
        <w:t>%</w:t>
      </w:r>
    </w:p>
    <w:p w:rsidR="002C1123" w:rsidRDefault="00F22F94">
      <w:pPr>
        <w:spacing w:before="2"/>
        <w:rPr>
          <w:sz w:val="19"/>
        </w:rPr>
      </w:pPr>
      <w:r>
        <w:br w:type="column"/>
      </w:r>
    </w:p>
    <w:p w:rsidR="002C1123" w:rsidRDefault="00F22F94">
      <w:pPr>
        <w:ind w:left="83"/>
        <w:rPr>
          <w:sz w:val="16"/>
        </w:rPr>
      </w:pPr>
      <w:r>
        <w:rPr>
          <w:spacing w:val="-2"/>
          <w:w w:val="85"/>
          <w:sz w:val="16"/>
        </w:rPr>
        <w:t>Sydney</w:t>
      </w:r>
    </w:p>
    <w:p w:rsidR="002C1123" w:rsidRDefault="00F22F94">
      <w:pPr>
        <w:spacing w:before="99"/>
        <w:ind w:right="148"/>
        <w:jc w:val="right"/>
        <w:rPr>
          <w:sz w:val="16"/>
        </w:rPr>
      </w:pPr>
      <w:r>
        <w:br w:type="column"/>
      </w:r>
      <w:r>
        <w:rPr>
          <w:spacing w:val="-5"/>
          <w:w w:val="95"/>
          <w:sz w:val="16"/>
        </w:rPr>
        <w:t>2.0</w:t>
      </w:r>
    </w:p>
    <w:p w:rsidR="002C1123" w:rsidRDefault="002C1123">
      <w:pPr>
        <w:pStyle w:val="BodyText"/>
        <w:rPr>
          <w:sz w:val="18"/>
        </w:rPr>
      </w:pPr>
    </w:p>
    <w:p w:rsidR="002C1123" w:rsidRDefault="002C1123">
      <w:pPr>
        <w:pStyle w:val="BodyText"/>
        <w:spacing w:before="7"/>
        <w:rPr>
          <w:sz w:val="26"/>
        </w:rPr>
      </w:pPr>
    </w:p>
    <w:p w:rsidR="002C1123" w:rsidRDefault="002060EF">
      <w:pPr>
        <w:ind w:right="148"/>
        <w:jc w:val="right"/>
        <w:rPr>
          <w:sz w:val="16"/>
        </w:rPr>
      </w:pPr>
      <w:r>
        <w:pict>
          <v:shape id="docshape855" o:spid="_x0000_s4481" type="#_x0000_t202" style="position:absolute;left:0;text-align:left;margin-left:107.7pt;margin-top:.95pt;width:692.4pt;height:198.75pt;z-index:-251506688;mso-position-horizontal-relative:page" filled="f" stroked="f">
            <v:textbox inset="0,0,0,0">
              <w:txbxContent>
                <w:p w:rsidR="00F22F94" w:rsidRDefault="00F22F94">
                  <w:pPr>
                    <w:tabs>
                      <w:tab w:val="left" w:pos="6925"/>
                      <w:tab w:val="left" w:pos="12100"/>
                    </w:tabs>
                    <w:spacing w:before="6"/>
                    <w:ind w:left="1526"/>
                    <w:rPr>
                      <w:b/>
                      <w:sz w:val="18"/>
                    </w:rPr>
                  </w:pPr>
                  <w:r>
                    <w:rPr>
                      <w:b/>
                      <w:sz w:val="18"/>
                    </w:rPr>
                    <w:t>Regional</w:t>
                  </w:r>
                  <w:r>
                    <w:rPr>
                      <w:b/>
                      <w:spacing w:val="-8"/>
                      <w:sz w:val="18"/>
                    </w:rPr>
                    <w:t xml:space="preserve"> </w:t>
                  </w:r>
                  <w:r>
                    <w:rPr>
                      <w:b/>
                      <w:spacing w:val="-5"/>
                      <w:sz w:val="18"/>
                    </w:rPr>
                    <w:t>NSW</w:t>
                  </w:r>
                  <w:r>
                    <w:rPr>
                      <w:b/>
                      <w:sz w:val="18"/>
                    </w:rPr>
                    <w:tab/>
                    <w:t>Greater</w:t>
                  </w:r>
                  <w:r>
                    <w:rPr>
                      <w:b/>
                      <w:spacing w:val="4"/>
                      <w:sz w:val="18"/>
                    </w:rPr>
                    <w:t xml:space="preserve"> </w:t>
                  </w:r>
                  <w:r>
                    <w:rPr>
                      <w:b/>
                      <w:spacing w:val="-2"/>
                      <w:sz w:val="18"/>
                    </w:rPr>
                    <w:t>Sydney</w:t>
                  </w:r>
                  <w:r>
                    <w:rPr>
                      <w:b/>
                      <w:sz w:val="18"/>
                    </w:rPr>
                    <w:tab/>
                    <w:t>Global</w:t>
                  </w:r>
                  <w:r>
                    <w:rPr>
                      <w:b/>
                      <w:spacing w:val="-12"/>
                      <w:sz w:val="18"/>
                    </w:rPr>
                    <w:t xml:space="preserve"> </w:t>
                  </w:r>
                  <w:r>
                    <w:rPr>
                      <w:b/>
                      <w:spacing w:val="-2"/>
                      <w:sz w:val="18"/>
                    </w:rPr>
                    <w:t>Sydney</w:t>
                  </w:r>
                </w:p>
                <w:p w:rsidR="00F22F94" w:rsidRDefault="00F22F94">
                  <w:pPr>
                    <w:pStyle w:val="BodyText"/>
                    <w:rPr>
                      <w:b/>
                    </w:rPr>
                  </w:pPr>
                </w:p>
                <w:p w:rsidR="00F22F94" w:rsidRDefault="00F22F94">
                  <w:pPr>
                    <w:pStyle w:val="BodyText"/>
                    <w:spacing w:before="7"/>
                    <w:rPr>
                      <w:b/>
                      <w:sz w:val="15"/>
                    </w:rPr>
                  </w:pPr>
                </w:p>
                <w:p w:rsidR="00F22F94" w:rsidRDefault="00F22F94">
                  <w:pPr>
                    <w:ind w:left="1260"/>
                    <w:rPr>
                      <w:b/>
                      <w:sz w:val="18"/>
                    </w:rPr>
                  </w:pPr>
                  <w:r>
                    <w:rPr>
                      <w:b/>
                      <w:spacing w:val="-4"/>
                      <w:sz w:val="18"/>
                    </w:rPr>
                    <w:t>2011</w:t>
                  </w:r>
                </w:p>
                <w:p w:rsidR="00F22F94" w:rsidRDefault="00F22F94">
                  <w:pPr>
                    <w:pStyle w:val="BodyText"/>
                    <w:spacing w:before="2"/>
                    <w:rPr>
                      <w:b/>
                      <w:sz w:val="18"/>
                    </w:rPr>
                  </w:pPr>
                </w:p>
                <w:p w:rsidR="00F22F94" w:rsidRDefault="00F22F94">
                  <w:pPr>
                    <w:tabs>
                      <w:tab w:val="left" w:pos="5531"/>
                      <w:tab w:val="left" w:pos="11310"/>
                      <w:tab w:val="left" w:pos="13572"/>
                    </w:tabs>
                    <w:rPr>
                      <w:sz w:val="16"/>
                    </w:rPr>
                  </w:pPr>
                  <w:r>
                    <w:rPr>
                      <w:b/>
                      <w:spacing w:val="-2"/>
                      <w:position w:val="1"/>
                      <w:sz w:val="18"/>
                    </w:rPr>
                    <w:t>Population</w:t>
                  </w:r>
                  <w:r>
                    <w:rPr>
                      <w:b/>
                      <w:position w:val="1"/>
                      <w:sz w:val="18"/>
                    </w:rPr>
                    <w:tab/>
                  </w:r>
                  <w:r>
                    <w:rPr>
                      <w:color w:val="FFFFFF"/>
                      <w:spacing w:val="-5"/>
                      <w:sz w:val="16"/>
                    </w:rPr>
                    <w:t>37%</w:t>
                  </w:r>
                  <w:r>
                    <w:rPr>
                      <w:color w:val="FFFFFF"/>
                      <w:sz w:val="16"/>
                    </w:rPr>
                    <w:tab/>
                  </w:r>
                  <w:r>
                    <w:rPr>
                      <w:color w:val="FFFFFF"/>
                      <w:spacing w:val="-5"/>
                      <w:sz w:val="16"/>
                    </w:rPr>
                    <w:t>46%</w:t>
                  </w:r>
                  <w:r>
                    <w:rPr>
                      <w:color w:val="FFFFFF"/>
                      <w:sz w:val="16"/>
                    </w:rPr>
                    <w:tab/>
                  </w:r>
                  <w:r>
                    <w:rPr>
                      <w:color w:val="FFFFFF"/>
                      <w:spacing w:val="-9"/>
                      <w:w w:val="90"/>
                      <w:sz w:val="16"/>
                    </w:rPr>
                    <w:t>18%</w:t>
                  </w:r>
                </w:p>
                <w:p w:rsidR="00F22F94" w:rsidRDefault="00F22F94">
                  <w:pPr>
                    <w:tabs>
                      <w:tab w:val="left" w:pos="5450"/>
                      <w:tab w:val="left" w:pos="10019"/>
                      <w:tab w:val="left" w:pos="13572"/>
                    </w:tabs>
                    <w:spacing w:before="168"/>
                    <w:rPr>
                      <w:sz w:val="16"/>
                    </w:rPr>
                  </w:pPr>
                  <w:r>
                    <w:rPr>
                      <w:b/>
                      <w:spacing w:val="-4"/>
                      <w:position w:val="1"/>
                      <w:sz w:val="18"/>
                    </w:rPr>
                    <w:t>Jobs</w:t>
                  </w:r>
                  <w:r>
                    <w:rPr>
                      <w:b/>
                      <w:position w:val="1"/>
                      <w:sz w:val="18"/>
                    </w:rPr>
                    <w:tab/>
                  </w:r>
                  <w:r>
                    <w:rPr>
                      <w:color w:val="FFFFFF"/>
                      <w:spacing w:val="-5"/>
                      <w:sz w:val="16"/>
                    </w:rPr>
                    <w:t>36%</w:t>
                  </w:r>
                  <w:r>
                    <w:rPr>
                      <w:color w:val="FFFFFF"/>
                      <w:sz w:val="16"/>
                    </w:rPr>
                    <w:tab/>
                  </w:r>
                  <w:r>
                    <w:rPr>
                      <w:color w:val="FFFFFF"/>
                      <w:spacing w:val="-5"/>
                      <w:sz w:val="16"/>
                    </w:rPr>
                    <w:t>36%</w:t>
                  </w:r>
                  <w:r>
                    <w:rPr>
                      <w:color w:val="FFFFFF"/>
                      <w:sz w:val="16"/>
                    </w:rPr>
                    <w:tab/>
                  </w:r>
                  <w:r>
                    <w:rPr>
                      <w:color w:val="FFFFFF"/>
                      <w:spacing w:val="-9"/>
                      <w:w w:val="90"/>
                      <w:sz w:val="16"/>
                    </w:rPr>
                    <w:t>28%</w:t>
                  </w:r>
                </w:p>
                <w:p w:rsidR="00F22F94" w:rsidRDefault="00F22F94">
                  <w:pPr>
                    <w:tabs>
                      <w:tab w:val="left" w:pos="4086"/>
                      <w:tab w:val="left" w:pos="8316"/>
                      <w:tab w:val="left" w:pos="13572"/>
                    </w:tabs>
                    <w:spacing w:before="169"/>
                    <w:rPr>
                      <w:sz w:val="16"/>
                    </w:rPr>
                  </w:pPr>
                  <w:r>
                    <w:rPr>
                      <w:b/>
                      <w:spacing w:val="-2"/>
                      <w:position w:val="1"/>
                      <w:sz w:val="18"/>
                    </w:rPr>
                    <w:t>GRP/GSP</w:t>
                  </w:r>
                  <w:r>
                    <w:rPr>
                      <w:b/>
                      <w:position w:val="1"/>
                      <w:sz w:val="18"/>
                    </w:rPr>
                    <w:tab/>
                  </w:r>
                  <w:r>
                    <w:rPr>
                      <w:color w:val="FFFFFF"/>
                      <w:spacing w:val="-5"/>
                      <w:sz w:val="16"/>
                    </w:rPr>
                    <w:t>25%</w:t>
                  </w:r>
                  <w:r>
                    <w:rPr>
                      <w:color w:val="FFFFFF"/>
                      <w:sz w:val="16"/>
                    </w:rPr>
                    <w:tab/>
                  </w:r>
                  <w:r>
                    <w:rPr>
                      <w:color w:val="FFFFFF"/>
                      <w:spacing w:val="-5"/>
                      <w:sz w:val="16"/>
                    </w:rPr>
                    <w:t>33%</w:t>
                  </w:r>
                  <w:r>
                    <w:rPr>
                      <w:color w:val="FFFFFF"/>
                      <w:sz w:val="16"/>
                    </w:rPr>
                    <w:tab/>
                  </w:r>
                  <w:r>
                    <w:rPr>
                      <w:color w:val="FFFFFF"/>
                      <w:spacing w:val="-9"/>
                      <w:w w:val="90"/>
                      <w:sz w:val="16"/>
                    </w:rPr>
                    <w:t>41%</w:t>
                  </w:r>
                </w:p>
                <w:p w:rsidR="00F22F94" w:rsidRDefault="00F22F94">
                  <w:pPr>
                    <w:pStyle w:val="BodyText"/>
                  </w:pPr>
                </w:p>
                <w:p w:rsidR="00F22F94" w:rsidRDefault="00F22F94">
                  <w:pPr>
                    <w:pStyle w:val="BodyText"/>
                    <w:spacing w:before="7"/>
                    <w:rPr>
                      <w:sz w:val="29"/>
                    </w:rPr>
                  </w:pPr>
                </w:p>
                <w:p w:rsidR="00F22F94" w:rsidRDefault="00F22F94">
                  <w:pPr>
                    <w:ind w:left="1260"/>
                    <w:rPr>
                      <w:b/>
                      <w:sz w:val="18"/>
                    </w:rPr>
                  </w:pPr>
                  <w:r>
                    <w:rPr>
                      <w:b/>
                      <w:spacing w:val="-4"/>
                      <w:sz w:val="18"/>
                    </w:rPr>
                    <w:t>2032</w:t>
                  </w:r>
                </w:p>
                <w:p w:rsidR="00F22F94" w:rsidRDefault="00F22F94">
                  <w:pPr>
                    <w:pStyle w:val="BodyText"/>
                    <w:spacing w:before="1"/>
                    <w:rPr>
                      <w:b/>
                      <w:sz w:val="18"/>
                    </w:rPr>
                  </w:pPr>
                </w:p>
                <w:p w:rsidR="00F22F94" w:rsidRDefault="00F22F94">
                  <w:pPr>
                    <w:tabs>
                      <w:tab w:val="left" w:pos="5154"/>
                      <w:tab w:val="left" w:pos="11185"/>
                      <w:tab w:val="left" w:pos="13572"/>
                    </w:tabs>
                    <w:spacing w:before="1"/>
                    <w:rPr>
                      <w:sz w:val="16"/>
                    </w:rPr>
                  </w:pPr>
                  <w:r>
                    <w:rPr>
                      <w:b/>
                      <w:spacing w:val="-2"/>
                      <w:position w:val="1"/>
                      <w:sz w:val="18"/>
                    </w:rPr>
                    <w:t>Population</w:t>
                  </w:r>
                  <w:r>
                    <w:rPr>
                      <w:b/>
                      <w:position w:val="1"/>
                      <w:sz w:val="18"/>
                    </w:rPr>
                    <w:tab/>
                  </w:r>
                  <w:r>
                    <w:rPr>
                      <w:color w:val="FFFFFF"/>
                      <w:spacing w:val="-5"/>
                      <w:sz w:val="16"/>
                    </w:rPr>
                    <w:t>34%</w:t>
                  </w:r>
                  <w:r>
                    <w:rPr>
                      <w:color w:val="FFFFFF"/>
                      <w:sz w:val="16"/>
                    </w:rPr>
                    <w:tab/>
                  </w:r>
                  <w:r>
                    <w:rPr>
                      <w:color w:val="FFFFFF"/>
                      <w:spacing w:val="-5"/>
                      <w:sz w:val="16"/>
                    </w:rPr>
                    <w:t>48%</w:t>
                  </w:r>
                  <w:r>
                    <w:rPr>
                      <w:color w:val="FFFFFF"/>
                      <w:sz w:val="16"/>
                    </w:rPr>
                    <w:tab/>
                  </w:r>
                  <w:r>
                    <w:rPr>
                      <w:color w:val="FFFFFF"/>
                      <w:spacing w:val="-9"/>
                      <w:w w:val="90"/>
                      <w:sz w:val="16"/>
                    </w:rPr>
                    <w:t>19%</w:t>
                  </w:r>
                </w:p>
                <w:p w:rsidR="00F22F94" w:rsidRDefault="00F22F94">
                  <w:pPr>
                    <w:tabs>
                      <w:tab w:val="left" w:pos="5323"/>
                      <w:tab w:val="left" w:pos="9892"/>
                      <w:tab w:val="left" w:pos="13572"/>
                    </w:tabs>
                    <w:spacing w:before="168"/>
                    <w:rPr>
                      <w:sz w:val="16"/>
                    </w:rPr>
                  </w:pPr>
                  <w:r>
                    <w:rPr>
                      <w:b/>
                      <w:spacing w:val="-4"/>
                      <w:position w:val="1"/>
                      <w:sz w:val="18"/>
                    </w:rPr>
                    <w:t>Jobs</w:t>
                  </w:r>
                  <w:r>
                    <w:rPr>
                      <w:b/>
                      <w:position w:val="1"/>
                      <w:sz w:val="18"/>
                    </w:rPr>
                    <w:tab/>
                  </w:r>
                  <w:r>
                    <w:rPr>
                      <w:color w:val="FFFFFF"/>
                      <w:spacing w:val="-5"/>
                      <w:sz w:val="16"/>
                    </w:rPr>
                    <w:t>35%</w:t>
                  </w:r>
                  <w:r>
                    <w:rPr>
                      <w:color w:val="FFFFFF"/>
                      <w:sz w:val="16"/>
                    </w:rPr>
                    <w:tab/>
                  </w:r>
                  <w:r>
                    <w:rPr>
                      <w:color w:val="FFFFFF"/>
                      <w:spacing w:val="-5"/>
                      <w:sz w:val="16"/>
                    </w:rPr>
                    <w:t>36%</w:t>
                  </w:r>
                  <w:r>
                    <w:rPr>
                      <w:color w:val="FFFFFF"/>
                      <w:sz w:val="16"/>
                    </w:rPr>
                    <w:tab/>
                  </w:r>
                  <w:r>
                    <w:rPr>
                      <w:color w:val="FFFFFF"/>
                      <w:spacing w:val="-9"/>
                      <w:w w:val="90"/>
                      <w:sz w:val="16"/>
                    </w:rPr>
                    <w:t>29%</w:t>
                  </w:r>
                </w:p>
                <w:p w:rsidR="00F22F94" w:rsidRDefault="00F22F94">
                  <w:pPr>
                    <w:tabs>
                      <w:tab w:val="left" w:pos="3772"/>
                      <w:tab w:val="left" w:pos="8169"/>
                      <w:tab w:val="left" w:pos="13572"/>
                    </w:tabs>
                    <w:spacing w:before="168"/>
                    <w:rPr>
                      <w:sz w:val="16"/>
                    </w:rPr>
                  </w:pPr>
                  <w:r>
                    <w:rPr>
                      <w:b/>
                      <w:spacing w:val="-2"/>
                      <w:position w:val="1"/>
                      <w:sz w:val="18"/>
                    </w:rPr>
                    <w:t>GRP/GSP</w:t>
                  </w:r>
                  <w:r>
                    <w:rPr>
                      <w:b/>
                      <w:position w:val="1"/>
                      <w:sz w:val="18"/>
                    </w:rPr>
                    <w:tab/>
                  </w:r>
                  <w:r>
                    <w:rPr>
                      <w:color w:val="FFFFFF"/>
                      <w:spacing w:val="-5"/>
                      <w:sz w:val="16"/>
                    </w:rPr>
                    <w:t>23%</w:t>
                  </w:r>
                  <w:r>
                    <w:rPr>
                      <w:color w:val="FFFFFF"/>
                      <w:sz w:val="16"/>
                    </w:rPr>
                    <w:tab/>
                  </w:r>
                  <w:r>
                    <w:rPr>
                      <w:color w:val="FFFFFF"/>
                      <w:spacing w:val="-5"/>
                      <w:sz w:val="16"/>
                    </w:rPr>
                    <w:t>35%</w:t>
                  </w:r>
                  <w:r>
                    <w:rPr>
                      <w:color w:val="FFFFFF"/>
                      <w:sz w:val="16"/>
                    </w:rPr>
                    <w:tab/>
                  </w:r>
                  <w:r>
                    <w:rPr>
                      <w:color w:val="FFFFFF"/>
                      <w:spacing w:val="-9"/>
                      <w:w w:val="90"/>
                      <w:sz w:val="16"/>
                    </w:rPr>
                    <w:t>43%</w:t>
                  </w:r>
                </w:p>
              </w:txbxContent>
            </v:textbox>
            <w10:wrap anchorx="page"/>
          </v:shape>
        </w:pict>
      </w:r>
      <w:r>
        <w:pict>
          <v:shape id="docshape856" o:spid="_x0000_s4480" type="#_x0000_t202" style="position:absolute;left:0;text-align:left;margin-left:666.05pt;margin-top:-24.7pt;width:11.05pt;height:23.45pt;z-index:251284480;mso-position-horizontal-relative:page" filled="f" stroked="f">
            <v:textbox style="layout-flow:vertical;mso-layout-flow-alt:bottom-to-top" inset="0,0,0,0">
              <w:txbxContent>
                <w:p w:rsidR="00F22F94" w:rsidRDefault="00F22F94">
                  <w:pPr>
                    <w:spacing w:before="18"/>
                    <w:ind w:left="20"/>
                    <w:rPr>
                      <w:sz w:val="16"/>
                    </w:rPr>
                  </w:pPr>
                  <w:r>
                    <w:rPr>
                      <w:spacing w:val="-2"/>
                      <w:w w:val="80"/>
                      <w:sz w:val="16"/>
                    </w:rPr>
                    <w:t>Millions</w:t>
                  </w:r>
                </w:p>
              </w:txbxContent>
            </v:textbox>
            <w10:wrap anchorx="page"/>
          </v:shape>
        </w:pict>
      </w:r>
      <w:r w:rsidR="00F22F94">
        <w:rPr>
          <w:spacing w:val="-5"/>
          <w:w w:val="95"/>
          <w:sz w:val="16"/>
        </w:rPr>
        <w:t>1.0</w:t>
      </w:r>
    </w:p>
    <w:p w:rsidR="002C1123" w:rsidRDefault="002C1123">
      <w:pPr>
        <w:pStyle w:val="BodyText"/>
        <w:rPr>
          <w:sz w:val="18"/>
        </w:rPr>
      </w:pPr>
    </w:p>
    <w:p w:rsidR="002C1123" w:rsidRDefault="002C1123">
      <w:pPr>
        <w:pStyle w:val="BodyText"/>
        <w:spacing w:before="7"/>
        <w:rPr>
          <w:sz w:val="26"/>
        </w:rPr>
      </w:pPr>
    </w:p>
    <w:p w:rsidR="002C1123" w:rsidRDefault="00F22F94">
      <w:pPr>
        <w:ind w:right="148"/>
        <w:jc w:val="right"/>
        <w:rPr>
          <w:sz w:val="16"/>
        </w:rPr>
      </w:pPr>
      <w:r>
        <w:rPr>
          <w:w w:val="86"/>
          <w:sz w:val="16"/>
        </w:rPr>
        <w:t>0</w:t>
      </w:r>
    </w:p>
    <w:p w:rsidR="002C1123" w:rsidRDefault="002C1123">
      <w:pPr>
        <w:pStyle w:val="BodyText"/>
        <w:rPr>
          <w:sz w:val="18"/>
        </w:rPr>
      </w:pPr>
    </w:p>
    <w:p w:rsidR="002C1123" w:rsidRDefault="002C1123">
      <w:pPr>
        <w:pStyle w:val="BodyText"/>
        <w:rPr>
          <w:sz w:val="18"/>
        </w:rPr>
      </w:pPr>
    </w:p>
    <w:p w:rsidR="002C1123" w:rsidRDefault="002C1123">
      <w:pPr>
        <w:pStyle w:val="BodyText"/>
        <w:spacing w:before="4"/>
        <w:rPr>
          <w:sz w:val="15"/>
        </w:rPr>
      </w:pPr>
    </w:p>
    <w:p w:rsidR="002C1123" w:rsidRDefault="00F22F94">
      <w:pPr>
        <w:jc w:val="right"/>
        <w:rPr>
          <w:sz w:val="18"/>
        </w:rPr>
      </w:pPr>
      <w:r>
        <w:rPr>
          <w:spacing w:val="-2"/>
          <w:w w:val="85"/>
          <w:sz w:val="18"/>
        </w:rPr>
        <w:t>GRP/GSP</w:t>
      </w:r>
    </w:p>
    <w:p w:rsidR="002C1123" w:rsidRDefault="00F22F94">
      <w:pPr>
        <w:spacing w:before="83"/>
        <w:ind w:right="148"/>
        <w:jc w:val="right"/>
        <w:rPr>
          <w:sz w:val="16"/>
        </w:rPr>
      </w:pPr>
      <w:r>
        <w:rPr>
          <w:spacing w:val="-5"/>
          <w:w w:val="95"/>
          <w:sz w:val="16"/>
        </w:rPr>
        <w:t>300</w:t>
      </w:r>
    </w:p>
    <w:p w:rsidR="002C1123" w:rsidRDefault="00F22F94">
      <w:pPr>
        <w:rPr>
          <w:sz w:val="18"/>
        </w:rPr>
      </w:pPr>
      <w:r>
        <w:br w:type="column"/>
      </w: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spacing w:before="5"/>
        <w:rPr>
          <w:sz w:val="16"/>
        </w:rPr>
      </w:pPr>
    </w:p>
    <w:p w:rsidR="002C1123" w:rsidRDefault="00F22F94">
      <w:pPr>
        <w:tabs>
          <w:tab w:val="left" w:pos="773"/>
        </w:tabs>
        <w:ind w:left="128"/>
        <w:rPr>
          <w:sz w:val="16"/>
        </w:rPr>
      </w:pPr>
      <w:r>
        <w:rPr>
          <w:spacing w:val="-4"/>
          <w:w w:val="95"/>
          <w:sz w:val="16"/>
        </w:rPr>
        <w:t>2011</w:t>
      </w:r>
      <w:r>
        <w:rPr>
          <w:sz w:val="16"/>
        </w:rPr>
        <w:tab/>
      </w:r>
      <w:r>
        <w:rPr>
          <w:spacing w:val="-4"/>
          <w:w w:val="95"/>
          <w:sz w:val="16"/>
        </w:rPr>
        <w:t>2031</w:t>
      </w:r>
    </w:p>
    <w:p w:rsidR="002C1123" w:rsidRDefault="002C1123">
      <w:pPr>
        <w:rPr>
          <w:sz w:val="16"/>
        </w:rPr>
        <w:sectPr w:rsidR="002C1123">
          <w:type w:val="continuous"/>
          <w:pgSz w:w="16840" w:h="11910" w:orient="landscape"/>
          <w:pgMar w:top="560" w:right="280" w:bottom="280" w:left="500" w:header="0" w:footer="0" w:gutter="0"/>
          <w:cols w:num="5" w:space="720" w:equalWidth="0">
            <w:col w:w="4412" w:space="40"/>
            <w:col w:w="3663" w:space="39"/>
            <w:col w:w="553" w:space="718"/>
            <w:col w:w="4049" w:space="39"/>
            <w:col w:w="2547"/>
          </w:cols>
        </w:sectPr>
      </w:pPr>
    </w:p>
    <w:p w:rsidR="002C1123" w:rsidRDefault="002C1123">
      <w:pPr>
        <w:pStyle w:val="BodyText"/>
      </w:pPr>
    </w:p>
    <w:p w:rsidR="002C1123" w:rsidRDefault="002C1123">
      <w:pPr>
        <w:pStyle w:val="BodyText"/>
        <w:spacing w:before="10"/>
        <w:rPr>
          <w:sz w:val="15"/>
        </w:rPr>
      </w:pPr>
    </w:p>
    <w:p w:rsidR="002C1123" w:rsidRDefault="002C1123">
      <w:pPr>
        <w:rPr>
          <w:sz w:val="15"/>
        </w:rPr>
        <w:sectPr w:rsidR="002C1123">
          <w:type w:val="continuous"/>
          <w:pgSz w:w="16840" w:h="11910" w:orient="landscape"/>
          <w:pgMar w:top="560" w:right="280" w:bottom="280" w:left="500" w:header="0" w:footer="0" w:gutter="0"/>
          <w:cols w:space="720"/>
        </w:sectPr>
      </w:pPr>
    </w:p>
    <w:p w:rsidR="002C1123" w:rsidRDefault="002C1123">
      <w:pPr>
        <w:pStyle w:val="BodyText"/>
        <w:rPr>
          <w:sz w:val="18"/>
        </w:rPr>
      </w:pPr>
    </w:p>
    <w:p w:rsidR="002C1123" w:rsidRDefault="002C1123">
      <w:pPr>
        <w:pStyle w:val="BodyText"/>
        <w:spacing w:before="8"/>
        <w:rPr>
          <w:sz w:val="19"/>
        </w:rPr>
      </w:pPr>
    </w:p>
    <w:p w:rsidR="002C1123" w:rsidRDefault="00F22F94">
      <w:pPr>
        <w:spacing w:line="487" w:lineRule="auto"/>
        <w:ind w:left="587" w:right="29"/>
        <w:rPr>
          <w:sz w:val="16"/>
        </w:rPr>
      </w:pPr>
      <w:r>
        <w:rPr>
          <w:w w:val="80"/>
          <w:sz w:val="16"/>
        </w:rPr>
        <w:t>Population</w:t>
      </w:r>
      <w:r>
        <w:rPr>
          <w:spacing w:val="-3"/>
          <w:w w:val="80"/>
          <w:sz w:val="16"/>
        </w:rPr>
        <w:t xml:space="preserve"> </w:t>
      </w:r>
      <w:r>
        <w:rPr>
          <w:w w:val="80"/>
          <w:sz w:val="16"/>
        </w:rPr>
        <w:t>growth</w:t>
      </w:r>
      <w:r>
        <w:rPr>
          <w:spacing w:val="-2"/>
          <w:w w:val="80"/>
          <w:sz w:val="16"/>
        </w:rPr>
        <w:t xml:space="preserve"> </w:t>
      </w:r>
      <w:r>
        <w:rPr>
          <w:w w:val="80"/>
          <w:sz w:val="16"/>
        </w:rPr>
        <w:t>rate</w:t>
      </w:r>
      <w:r>
        <w:rPr>
          <w:spacing w:val="-2"/>
          <w:w w:val="80"/>
          <w:sz w:val="16"/>
        </w:rPr>
        <w:t xml:space="preserve"> </w:t>
      </w:r>
      <w:r>
        <w:rPr>
          <w:w w:val="80"/>
          <w:sz w:val="16"/>
        </w:rPr>
        <w:t>per</w:t>
      </w:r>
      <w:r>
        <w:rPr>
          <w:spacing w:val="-2"/>
          <w:w w:val="80"/>
          <w:sz w:val="16"/>
        </w:rPr>
        <w:t xml:space="preserve"> </w:t>
      </w:r>
      <w:r>
        <w:rPr>
          <w:w w:val="80"/>
          <w:sz w:val="16"/>
        </w:rPr>
        <w:t>annum</w:t>
      </w:r>
      <w:r>
        <w:rPr>
          <w:sz w:val="16"/>
        </w:rPr>
        <w:t xml:space="preserve"> </w:t>
      </w:r>
      <w:r>
        <w:rPr>
          <w:w w:val="85"/>
          <w:sz w:val="16"/>
        </w:rPr>
        <w:t>GRP growth rate per annum</w:t>
      </w:r>
    </w:p>
    <w:p w:rsidR="002C1123" w:rsidRDefault="00F22F94">
      <w:pPr>
        <w:spacing w:before="98"/>
        <w:ind w:left="587"/>
        <w:rPr>
          <w:sz w:val="16"/>
        </w:rPr>
      </w:pPr>
      <w:r>
        <w:br w:type="column"/>
      </w:r>
      <w:r>
        <w:rPr>
          <w:spacing w:val="-5"/>
          <w:w w:val="95"/>
          <w:sz w:val="16"/>
        </w:rPr>
        <w:t>200</w:t>
      </w:r>
    </w:p>
    <w:p w:rsidR="002C1123" w:rsidRDefault="002C1123">
      <w:pPr>
        <w:pStyle w:val="BodyText"/>
        <w:rPr>
          <w:sz w:val="18"/>
        </w:rPr>
      </w:pPr>
    </w:p>
    <w:p w:rsidR="002C1123" w:rsidRDefault="002C1123">
      <w:pPr>
        <w:pStyle w:val="BodyText"/>
        <w:spacing w:before="10"/>
        <w:rPr>
          <w:sz w:val="26"/>
        </w:rPr>
      </w:pPr>
    </w:p>
    <w:p w:rsidR="002C1123" w:rsidRDefault="002060EF">
      <w:pPr>
        <w:ind w:left="587"/>
        <w:rPr>
          <w:sz w:val="16"/>
        </w:rPr>
      </w:pPr>
      <w:r>
        <w:pict>
          <v:shape id="docshape857" o:spid="_x0000_s4479" type="#_x0000_t202" style="position:absolute;left:0;text-align:left;margin-left:666.05pt;margin-top:-24.95pt;width:11.05pt;height:27.75pt;z-index:251283456;mso-position-horizontal-relative:page" filled="f" stroked="f">
            <v:textbox style="layout-flow:vertical;mso-layout-flow-alt:bottom-to-top" inset="0,0,0,0">
              <w:txbxContent>
                <w:p w:rsidR="00F22F94" w:rsidRDefault="00F22F94">
                  <w:pPr>
                    <w:spacing w:before="18"/>
                    <w:ind w:left="20"/>
                    <w:rPr>
                      <w:sz w:val="16"/>
                    </w:rPr>
                  </w:pPr>
                  <w:r>
                    <w:rPr>
                      <w:w w:val="90"/>
                      <w:sz w:val="16"/>
                    </w:rPr>
                    <w:t>$</w:t>
                  </w:r>
                  <w:r>
                    <w:rPr>
                      <w:spacing w:val="-7"/>
                      <w:w w:val="90"/>
                      <w:sz w:val="16"/>
                    </w:rPr>
                    <w:t xml:space="preserve"> </w:t>
                  </w:r>
                  <w:r>
                    <w:rPr>
                      <w:spacing w:val="-2"/>
                      <w:w w:val="80"/>
                      <w:sz w:val="16"/>
                    </w:rPr>
                    <w:t>Billions</w:t>
                  </w:r>
                </w:p>
              </w:txbxContent>
            </v:textbox>
            <w10:wrap anchorx="page"/>
          </v:shape>
        </w:pict>
      </w:r>
      <w:r w:rsidR="00F22F94">
        <w:rPr>
          <w:spacing w:val="-5"/>
          <w:w w:val="95"/>
          <w:sz w:val="16"/>
        </w:rPr>
        <w:t>100</w:t>
      </w:r>
    </w:p>
    <w:p w:rsidR="002C1123" w:rsidRDefault="002C1123">
      <w:pPr>
        <w:rPr>
          <w:sz w:val="16"/>
        </w:rPr>
        <w:sectPr w:rsidR="002C1123">
          <w:type w:val="continuous"/>
          <w:pgSz w:w="16840" w:h="11910" w:orient="landscape"/>
          <w:pgMar w:top="560" w:right="280" w:bottom="280" w:left="500" w:header="0" w:footer="0" w:gutter="0"/>
          <w:cols w:num="2" w:space="720" w:equalWidth="0">
            <w:col w:w="2556" w:space="9949"/>
            <w:col w:w="3555"/>
          </w:cols>
        </w:sectPr>
      </w:pPr>
    </w:p>
    <w:p w:rsidR="002C1123" w:rsidRDefault="002C1123">
      <w:pPr>
        <w:pStyle w:val="BodyText"/>
        <w:spacing w:before="10"/>
        <w:rPr>
          <w:sz w:val="18"/>
        </w:rPr>
      </w:pPr>
    </w:p>
    <w:p w:rsidR="002C1123" w:rsidRDefault="002C1123">
      <w:pPr>
        <w:rPr>
          <w:sz w:val="18"/>
        </w:rPr>
        <w:sectPr w:rsidR="002C1123">
          <w:type w:val="continuous"/>
          <w:pgSz w:w="16840" w:h="11910" w:orient="landscape"/>
          <w:pgMar w:top="560" w:right="280" w:bottom="280" w:left="500" w:header="0" w:footer="0" w:gutter="0"/>
          <w:cols w:space="720"/>
        </w:sectPr>
      </w:pPr>
    </w:p>
    <w:p w:rsidR="002C1123" w:rsidRDefault="002060EF">
      <w:pPr>
        <w:pStyle w:val="BodyText"/>
        <w:rPr>
          <w:sz w:val="16"/>
        </w:rPr>
      </w:pPr>
      <w:r>
        <w:pict>
          <v:rect id="docshape858" o:spid="_x0000_s4478" style="position:absolute;margin-left:0;margin-top:28.35pt;width:841.9pt;height:566.95pt;z-index:-251505664;mso-position-horizontal-relative:page;mso-position-vertical-relative:page" fillcolor="#e1e0e1" stroked="f">
            <w10:wrap anchorx="page" anchory="page"/>
          </v:rect>
        </w:pict>
      </w:r>
      <w:r>
        <w:pict>
          <v:group id="docshapegroup859" o:spid="_x0000_s4447" style="position:absolute;margin-left:0;margin-top:0;width:841.9pt;height:595.3pt;z-index:-251504640;mso-position-horizontal-relative:page;mso-position-vertical-relative:page" coordsize="16838,11906">
            <v:rect id="docshape860" o:spid="_x0000_s4477" style="position:absolute;left:170;top:566;width:16668;height:11339" fillcolor="#e1e0e1" stroked="f"/>
            <v:shape id="docshape861" o:spid="_x0000_s4476" type="#_x0000_t75" style="position:absolute;left:1331;top:1861;width:10105;height:7260">
              <v:imagedata r:id="rId115" o:title=""/>
            </v:shape>
            <v:shape id="docshape862" o:spid="_x0000_s4475" style="position:absolute;left:13901;top:2944;width:1433;height:841" coordorigin="13901,2945" coordsize="1433,841" o:spt="100" adj="0,,0" path="m13901,3367r168,m14521,3367r193,m15166,3367r168,m13901,3785r168,m14521,3785r193,m15166,3785r168,m13901,2945r813,m15166,2945r168,e" filled="f" strokecolor="#b2b1b3" strokeweight=".4pt">
              <v:stroke joinstyle="round"/>
              <v:formulas/>
              <v:path arrowok="t" o:connecttype="segments"/>
            </v:shape>
            <v:line id="_x0000_s4474" style="position:absolute" from="13901,2526" to="15334,2526" strokecolor="#b2b1b3" strokeweight=".4pt"/>
            <v:line id="_x0000_s4473" style="position:absolute" from="13901,2111" to="15334,2111" strokecolor="#b2b1b3" strokeweight=".4pt"/>
            <v:rect id="docshape863" o:spid="_x0000_s4472" style="position:absolute;left:14714;top:2905;width:452;height:1298" fillcolor="#2e3092" stroked="f"/>
            <v:rect id="docshape864" o:spid="_x0000_s4471" style="position:absolute;left:14069;top:3117;width:452;height:1086" fillcolor="#00aeef" stroked="f"/>
            <v:shape id="docshape865" o:spid="_x0000_s4470" style="position:absolute;left:13901;top:6661;width:1433;height:2" coordorigin="13901,6662" coordsize="1433,0" o:spt="100" adj="0,,0" path="m13901,6662r168,m14521,6662r193,m15166,6662r168,e" filled="f" strokecolor="#b2b1b3" strokeweight=".4pt">
              <v:stroke joinstyle="round"/>
              <v:formulas/>
              <v:path arrowok="t" o:connecttype="segments"/>
            </v:shape>
            <v:line id="_x0000_s4469" style="position:absolute" from="13901,5964" to="15334,5964" strokecolor="#b2b1b3" strokeweight=".4pt"/>
            <v:line id="_x0000_s4468" style="position:absolute" from="13901,5267" to="15334,5267" strokecolor="#b2b1b3" strokeweight=".4pt"/>
            <v:rect id="docshape866" o:spid="_x0000_s4467" style="position:absolute;left:14714;top:6310;width:452;height:1049" fillcolor="#2e3092" stroked="f"/>
            <v:rect id="docshape867" o:spid="_x0000_s4466" style="position:absolute;left:14069;top:6447;width:452;height:912" fillcolor="#00aeef" stroked="f"/>
            <v:shape id="docshape868" o:spid="_x0000_s4465" style="position:absolute;left:13901;top:9817;width:1433;height:2" coordorigin="13901,9817" coordsize="1433,0" o:spt="100" adj="0,,0" path="m13901,9817r168,m14521,9817r193,m15166,9817r168,e" filled="f" strokecolor="#b2b1b3" strokeweight=".4pt">
              <v:stroke joinstyle="round"/>
              <v:formulas/>
              <v:path arrowok="t" o:connecttype="segments"/>
            </v:shape>
            <v:line id="_x0000_s4464" style="position:absolute" from="13901,9117" to="15334,9117" strokecolor="#b2b1b3" strokeweight=".4pt"/>
            <v:line id="_x0000_s4463" style="position:absolute" from="13901,8423" to="15334,8423" strokecolor="#b2b1b3" strokeweight=".4pt"/>
            <v:rect id="docshape869" o:spid="_x0000_s4462" style="position:absolute;left:14714;top:9334;width:452;height:1181" fillcolor="#2e3092" stroked="f"/>
            <v:rect id="docshape870" o:spid="_x0000_s4461" style="position:absolute;left:14069;top:9747;width:452;height:768" fillcolor="#00aeef" stroked="f"/>
            <v:line id="_x0000_s4460" style="position:absolute" from="13901,4203" to="15334,4203" strokecolor="#b2b1b3" strokeweight=".8pt"/>
            <v:line id="_x0000_s4459" style="position:absolute" from="13901,7359" to="15334,7359" strokecolor="#b2b1b3" strokeweight=".8pt"/>
            <v:line id="_x0000_s4458" style="position:absolute" from="13901,10515" to="15334,10515" strokecolor="#b2b1b3" strokeweight=".8pt"/>
            <v:shape id="docshape871" o:spid="_x0000_s4457" type="#_x0000_t75" style="position:absolute;left:746;top:9713;width:265;height:265">
              <v:imagedata r:id="rId116" o:title=""/>
            </v:shape>
            <v:shape id="docshape872" o:spid="_x0000_s4456" type="#_x0000_t75" style="position:absolute;left:746;top:9331;width:265;height:265">
              <v:imagedata r:id="rId117" o:title=""/>
            </v:shape>
            <v:rect id="docshape873" o:spid="_x0000_s4455" style="position:absolute;width:16838;height:567" fillcolor="#ec008c" stroked="f"/>
            <v:shape id="docshape874" o:spid="_x0000_s4454" type="#_x0000_t75" style="position:absolute;left:972;top:148;width:399;height:312">
              <v:imagedata r:id="rId59" o:title=""/>
            </v:shape>
            <v:shape id="docshape875" o:spid="_x0000_s4453" style="position:absolute;left:2815;top:150;width:307;height:307" coordorigin="2815,151" coordsize="307,307" o:spt="100" adj="0,,0" path="m3055,284r-173,l2882,324r173,l3055,284xm3121,304r-12,-60l3095,223r,81l3085,353r-27,40l3017,421r-49,9l2919,421r-40,-28l2852,353r-10,-49l2852,255r27,-40l2919,187r49,-9l3017,187r41,28l3085,255r10,49l3095,223r-19,-27l3049,178r-21,-15l2968,151r-59,12l2860,196r-33,48l2815,304r12,60l2860,412r49,33l2968,457r60,-12l3049,430r27,-18l3109,364r12,-60xe" stroked="f">
              <v:stroke joinstyle="round"/>
              <v:formulas/>
              <v:path arrowok="t" o:connecttype="segments"/>
            </v:shape>
            <v:shape id="docshape876" o:spid="_x0000_s4452" type="#_x0000_t75" style="position:absolute;left:3250;top:150;width:307;height:307">
              <v:imagedata r:id="rId60" o:title=""/>
            </v:shape>
            <v:shape id="docshape877" o:spid="_x0000_s4451" type="#_x0000_t75" style="position:absolute;left:14523;top:147;width:330;height:313">
              <v:imagedata r:id="rId61" o:title=""/>
            </v:shape>
            <v:shape id="docshape878" o:spid="_x0000_s4450" type="#_x0000_t75" style="position:absolute;left:15144;top:150;width:307;height:307">
              <v:imagedata r:id="rId62" o:title=""/>
            </v:shape>
            <v:shape id="docshape879" o:spid="_x0000_s4449" type="#_x0000_t75" style="position:absolute;left:15557;top:150;width:307;height:307">
              <v:imagedata r:id="rId63" o:title=""/>
            </v:shape>
            <v:shape id="docshape880" o:spid="_x0000_s4448" type="#_x0000_t75" style="position:absolute;left:1687;top:147;width:314;height:313">
              <v:imagedata r:id="rId64" o:title=""/>
            </v:shape>
            <w10:wrap anchorx="page" anchory="page"/>
          </v:group>
        </w:pict>
      </w:r>
    </w:p>
    <w:p w:rsidR="002C1123" w:rsidRDefault="00F22F94">
      <w:pPr>
        <w:spacing w:before="141"/>
        <w:ind w:left="237"/>
        <w:rPr>
          <w:sz w:val="14"/>
        </w:rPr>
      </w:pPr>
      <w:r>
        <w:rPr>
          <w:w w:val="95"/>
          <w:sz w:val="14"/>
        </w:rPr>
        <w:t>Source:</w:t>
      </w:r>
      <w:r>
        <w:rPr>
          <w:spacing w:val="6"/>
          <w:sz w:val="14"/>
        </w:rPr>
        <w:t xml:space="preserve"> </w:t>
      </w:r>
      <w:r>
        <w:rPr>
          <w:w w:val="95"/>
          <w:sz w:val="14"/>
        </w:rPr>
        <w:t>Deloitte</w:t>
      </w:r>
      <w:r>
        <w:rPr>
          <w:spacing w:val="6"/>
          <w:sz w:val="14"/>
        </w:rPr>
        <w:t xml:space="preserve"> </w:t>
      </w:r>
      <w:r>
        <w:rPr>
          <w:w w:val="95"/>
          <w:sz w:val="14"/>
        </w:rPr>
        <w:t>Access</w:t>
      </w:r>
      <w:r>
        <w:rPr>
          <w:spacing w:val="6"/>
          <w:sz w:val="14"/>
        </w:rPr>
        <w:t xml:space="preserve"> </w:t>
      </w:r>
      <w:r>
        <w:rPr>
          <w:spacing w:val="-2"/>
          <w:w w:val="95"/>
          <w:sz w:val="14"/>
        </w:rPr>
        <w:t>Economics.</w:t>
      </w:r>
    </w:p>
    <w:p w:rsidR="002C1123" w:rsidRDefault="00F22F94">
      <w:pPr>
        <w:spacing w:before="98" w:line="172" w:lineRule="exact"/>
        <w:ind w:left="237"/>
        <w:rPr>
          <w:sz w:val="16"/>
        </w:rPr>
      </w:pPr>
      <w:r>
        <w:br w:type="column"/>
      </w:r>
      <w:r>
        <w:rPr>
          <w:spacing w:val="-10"/>
          <w:w w:val="95"/>
          <w:sz w:val="16"/>
        </w:rPr>
        <w:t>0</w:t>
      </w:r>
    </w:p>
    <w:p w:rsidR="002C1123" w:rsidRDefault="00F22F94">
      <w:pPr>
        <w:tabs>
          <w:tab w:val="left" w:pos="1278"/>
        </w:tabs>
        <w:spacing w:line="172" w:lineRule="exact"/>
        <w:ind w:left="633"/>
        <w:rPr>
          <w:sz w:val="16"/>
        </w:rPr>
      </w:pPr>
      <w:r>
        <w:rPr>
          <w:spacing w:val="-4"/>
          <w:w w:val="95"/>
          <w:sz w:val="16"/>
        </w:rPr>
        <w:t>2011</w:t>
      </w:r>
      <w:r>
        <w:rPr>
          <w:sz w:val="16"/>
        </w:rPr>
        <w:tab/>
      </w:r>
      <w:r>
        <w:rPr>
          <w:spacing w:val="-4"/>
          <w:w w:val="95"/>
          <w:sz w:val="16"/>
        </w:rPr>
        <w:t>2031</w:t>
      </w:r>
    </w:p>
    <w:p w:rsidR="002C1123" w:rsidRDefault="002C1123">
      <w:pPr>
        <w:spacing w:line="172" w:lineRule="exact"/>
        <w:rPr>
          <w:sz w:val="16"/>
        </w:rPr>
        <w:sectPr w:rsidR="002C1123">
          <w:type w:val="continuous"/>
          <w:pgSz w:w="16840" w:h="11910" w:orient="landscape"/>
          <w:pgMar w:top="560" w:right="280" w:bottom="280" w:left="500" w:header="0" w:footer="0" w:gutter="0"/>
          <w:cols w:num="2" w:space="720" w:equalWidth="0">
            <w:col w:w="2466" w:space="10542"/>
            <w:col w:w="3052"/>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3"/>
        <w:rPr>
          <w:sz w:val="19"/>
        </w:rPr>
      </w:pPr>
    </w:p>
    <w:p w:rsidR="002C1123" w:rsidRDefault="002C1123">
      <w:pPr>
        <w:rPr>
          <w:sz w:val="19"/>
        </w:rPr>
        <w:sectPr w:rsidR="002C1123">
          <w:headerReference w:type="default" r:id="rId118"/>
          <w:footerReference w:type="default" r:id="rId119"/>
          <w:pgSz w:w="16840" w:h="11910" w:orient="landscape"/>
          <w:pgMar w:top="560" w:right="280" w:bottom="700" w:left="500" w:header="0" w:footer="517" w:gutter="0"/>
          <w:cols w:space="720"/>
        </w:sectPr>
      </w:pPr>
    </w:p>
    <w:p w:rsidR="002C1123" w:rsidRDefault="00F22F94">
      <w:pPr>
        <w:spacing w:before="133" w:line="249" w:lineRule="auto"/>
        <w:ind w:left="1436" w:hanging="944"/>
        <w:rPr>
          <w:b/>
          <w:sz w:val="18"/>
        </w:rPr>
      </w:pPr>
      <w:bookmarkStart w:id="132" w:name="_bookmark94"/>
      <w:bookmarkEnd w:id="132"/>
      <w:r>
        <w:rPr>
          <w:b/>
          <w:sz w:val="18"/>
        </w:rPr>
        <w:t>Figure</w:t>
      </w:r>
      <w:r>
        <w:rPr>
          <w:b/>
          <w:spacing w:val="-6"/>
          <w:sz w:val="18"/>
        </w:rPr>
        <w:t xml:space="preserve"> </w:t>
      </w:r>
      <w:r>
        <w:rPr>
          <w:b/>
          <w:sz w:val="18"/>
        </w:rPr>
        <w:t>5.2</w:t>
      </w:r>
      <w:r>
        <w:rPr>
          <w:b/>
          <w:spacing w:val="38"/>
          <w:sz w:val="18"/>
        </w:rPr>
        <w:t xml:space="preserve"> </w:t>
      </w:r>
      <w:r>
        <w:rPr>
          <w:b/>
          <w:sz w:val="18"/>
        </w:rPr>
        <w:t>North</w:t>
      </w:r>
      <w:r>
        <w:rPr>
          <w:b/>
          <w:spacing w:val="-6"/>
          <w:sz w:val="18"/>
        </w:rPr>
        <w:t xml:space="preserve"> </w:t>
      </w:r>
      <w:r>
        <w:rPr>
          <w:b/>
          <w:sz w:val="18"/>
        </w:rPr>
        <w:t>Coast</w:t>
      </w:r>
      <w:r>
        <w:rPr>
          <w:b/>
          <w:spacing w:val="-6"/>
          <w:sz w:val="18"/>
        </w:rPr>
        <w:t xml:space="preserve"> </w:t>
      </w:r>
      <w:r>
        <w:rPr>
          <w:b/>
          <w:sz w:val="18"/>
        </w:rPr>
        <w:t>Regional</w:t>
      </w:r>
      <w:r>
        <w:rPr>
          <w:b/>
          <w:spacing w:val="-6"/>
          <w:sz w:val="18"/>
        </w:rPr>
        <w:t xml:space="preserve"> </w:t>
      </w:r>
      <w:r>
        <w:rPr>
          <w:b/>
          <w:sz w:val="18"/>
        </w:rPr>
        <w:t>Demographic</w:t>
      </w:r>
      <w:r>
        <w:rPr>
          <w:b/>
          <w:spacing w:val="-6"/>
          <w:sz w:val="18"/>
        </w:rPr>
        <w:t xml:space="preserve"> </w:t>
      </w:r>
      <w:r>
        <w:rPr>
          <w:b/>
          <w:sz w:val="18"/>
        </w:rPr>
        <w:t>profile compared to NSW profile</w:t>
      </w:r>
    </w:p>
    <w:p w:rsidR="002C1123" w:rsidRDefault="00F22F94">
      <w:pPr>
        <w:pStyle w:val="Heading6"/>
        <w:numPr>
          <w:ilvl w:val="2"/>
          <w:numId w:val="101"/>
        </w:numPr>
        <w:tabs>
          <w:tab w:val="left" w:pos="884"/>
        </w:tabs>
        <w:ind w:hanging="487"/>
        <w:jc w:val="left"/>
      </w:pPr>
      <w:r>
        <w:rPr>
          <w:b w:val="0"/>
        </w:rPr>
        <w:br w:type="column"/>
      </w:r>
      <w:r>
        <w:rPr>
          <w:color w:val="EC008C"/>
          <w:spacing w:val="-4"/>
        </w:rPr>
        <w:t>Demographic</w:t>
      </w:r>
      <w:r>
        <w:rPr>
          <w:color w:val="EC008C"/>
          <w:spacing w:val="9"/>
        </w:rPr>
        <w:t xml:space="preserve"> </w:t>
      </w:r>
      <w:r>
        <w:rPr>
          <w:color w:val="EC008C"/>
          <w:spacing w:val="-2"/>
        </w:rPr>
        <w:t>Profile</w:t>
      </w:r>
    </w:p>
    <w:p w:rsidR="002C1123" w:rsidRDefault="00F22F94">
      <w:pPr>
        <w:pStyle w:val="BodyText"/>
        <w:spacing w:before="95"/>
        <w:ind w:left="397"/>
      </w:pPr>
      <w:r>
        <w:rPr>
          <w:w w:val="95"/>
        </w:rPr>
        <w:t>Analysis</w:t>
      </w:r>
      <w:r>
        <w:rPr>
          <w:spacing w:val="-6"/>
          <w:w w:val="95"/>
        </w:rPr>
        <w:t xml:space="preserve"> </w:t>
      </w:r>
      <w:r>
        <w:rPr>
          <w:w w:val="95"/>
        </w:rPr>
        <w:t>of</w:t>
      </w:r>
      <w:r>
        <w:rPr>
          <w:spacing w:val="-6"/>
          <w:w w:val="95"/>
        </w:rPr>
        <w:t xml:space="preserve"> </w:t>
      </w:r>
      <w:r>
        <w:rPr>
          <w:w w:val="95"/>
        </w:rPr>
        <w:t>the</w:t>
      </w:r>
      <w:r>
        <w:rPr>
          <w:spacing w:val="-6"/>
          <w:w w:val="95"/>
        </w:rPr>
        <w:t xml:space="preserve"> </w:t>
      </w:r>
      <w:r>
        <w:rPr>
          <w:w w:val="95"/>
        </w:rPr>
        <w:t>demographic</w:t>
      </w:r>
      <w:r>
        <w:rPr>
          <w:spacing w:val="-6"/>
          <w:w w:val="95"/>
        </w:rPr>
        <w:t xml:space="preserve"> </w:t>
      </w:r>
      <w:r>
        <w:rPr>
          <w:w w:val="95"/>
        </w:rPr>
        <w:t>profiles</w:t>
      </w:r>
      <w:r>
        <w:rPr>
          <w:spacing w:val="-5"/>
          <w:w w:val="95"/>
        </w:rPr>
        <w:t xml:space="preserve"> </w:t>
      </w:r>
      <w:r>
        <w:rPr>
          <w:w w:val="95"/>
        </w:rPr>
        <w:t>of</w:t>
      </w:r>
      <w:r>
        <w:rPr>
          <w:spacing w:val="-6"/>
          <w:w w:val="95"/>
        </w:rPr>
        <w:t xml:space="preserve"> </w:t>
      </w:r>
      <w:r>
        <w:rPr>
          <w:w w:val="95"/>
        </w:rPr>
        <w:t>a</w:t>
      </w:r>
      <w:r>
        <w:rPr>
          <w:spacing w:val="-6"/>
          <w:w w:val="95"/>
        </w:rPr>
        <w:t xml:space="preserve"> </w:t>
      </w:r>
      <w:r>
        <w:rPr>
          <w:w w:val="95"/>
        </w:rPr>
        <w:t>number</w:t>
      </w:r>
      <w:r>
        <w:rPr>
          <w:spacing w:val="-6"/>
          <w:w w:val="95"/>
        </w:rPr>
        <w:t xml:space="preserve"> </w:t>
      </w:r>
      <w:r>
        <w:rPr>
          <w:spacing w:val="-5"/>
          <w:w w:val="95"/>
        </w:rPr>
        <w:t>of</w:t>
      </w:r>
    </w:p>
    <w:p w:rsidR="002C1123" w:rsidRDefault="00F22F94">
      <w:pPr>
        <w:spacing w:before="169"/>
        <w:ind w:left="492"/>
        <w:rPr>
          <w:b/>
          <w:sz w:val="18"/>
        </w:rPr>
      </w:pPr>
      <w:r>
        <w:br w:type="column"/>
      </w:r>
      <w:r>
        <w:rPr>
          <w:b/>
          <w:sz w:val="18"/>
        </w:rPr>
        <w:t>Table</w:t>
      </w:r>
      <w:r>
        <w:rPr>
          <w:b/>
          <w:spacing w:val="-19"/>
          <w:sz w:val="18"/>
        </w:rPr>
        <w:t xml:space="preserve"> </w:t>
      </w:r>
      <w:r>
        <w:rPr>
          <w:b/>
          <w:sz w:val="18"/>
        </w:rPr>
        <w:t>5.1</w:t>
      </w:r>
      <w:r>
        <w:rPr>
          <w:b/>
          <w:spacing w:val="13"/>
          <w:sz w:val="18"/>
        </w:rPr>
        <w:t xml:space="preserve"> </w:t>
      </w:r>
      <w:r>
        <w:rPr>
          <w:b/>
          <w:sz w:val="18"/>
        </w:rPr>
        <w:t>Labour</w:t>
      </w:r>
      <w:r>
        <w:rPr>
          <w:b/>
          <w:spacing w:val="-19"/>
          <w:sz w:val="18"/>
        </w:rPr>
        <w:t xml:space="preserve"> </w:t>
      </w:r>
      <w:r>
        <w:rPr>
          <w:b/>
          <w:sz w:val="18"/>
        </w:rPr>
        <w:t>Market</w:t>
      </w:r>
      <w:r>
        <w:rPr>
          <w:b/>
          <w:spacing w:val="-19"/>
          <w:sz w:val="18"/>
        </w:rPr>
        <w:t xml:space="preserve"> </w:t>
      </w:r>
      <w:r>
        <w:rPr>
          <w:b/>
          <w:sz w:val="18"/>
        </w:rPr>
        <w:t>Statistics</w:t>
      </w:r>
      <w:r>
        <w:rPr>
          <w:b/>
          <w:spacing w:val="-19"/>
          <w:sz w:val="18"/>
        </w:rPr>
        <w:t xml:space="preserve"> </w:t>
      </w:r>
      <w:r>
        <w:rPr>
          <w:b/>
          <w:sz w:val="18"/>
        </w:rPr>
        <w:t>by</w:t>
      </w:r>
      <w:r>
        <w:rPr>
          <w:b/>
          <w:spacing w:val="-19"/>
          <w:sz w:val="18"/>
        </w:rPr>
        <w:t xml:space="preserve"> </w:t>
      </w:r>
      <w:r>
        <w:rPr>
          <w:b/>
          <w:spacing w:val="-2"/>
          <w:sz w:val="18"/>
        </w:rPr>
        <w:t>Region</w:t>
      </w:r>
    </w:p>
    <w:p w:rsidR="002C1123" w:rsidRDefault="00F22F94">
      <w:pPr>
        <w:tabs>
          <w:tab w:val="left" w:pos="2306"/>
          <w:tab w:val="left" w:pos="3496"/>
        </w:tabs>
        <w:spacing w:before="81"/>
        <w:ind w:left="605"/>
        <w:rPr>
          <w:b/>
          <w:sz w:val="16"/>
        </w:rPr>
      </w:pPr>
      <w:r>
        <w:rPr>
          <w:b/>
          <w:color w:val="2E3092"/>
          <w:spacing w:val="-2"/>
          <w:sz w:val="16"/>
        </w:rPr>
        <w:t>Region</w:t>
      </w:r>
      <w:r>
        <w:rPr>
          <w:b/>
          <w:color w:val="2E3092"/>
          <w:sz w:val="16"/>
        </w:rPr>
        <w:tab/>
      </w:r>
      <w:r>
        <w:rPr>
          <w:b/>
          <w:color w:val="2E3092"/>
          <w:spacing w:val="-2"/>
          <w:sz w:val="16"/>
        </w:rPr>
        <w:t>Employment</w:t>
      </w:r>
      <w:r>
        <w:rPr>
          <w:b/>
          <w:color w:val="2E3092"/>
          <w:sz w:val="16"/>
        </w:rPr>
        <w:tab/>
      </w:r>
      <w:r>
        <w:rPr>
          <w:b/>
          <w:color w:val="2E3092"/>
          <w:spacing w:val="-2"/>
          <w:sz w:val="16"/>
        </w:rPr>
        <w:t>Unemployment Ratio</w:t>
      </w:r>
    </w:p>
    <w:p w:rsidR="002C1123" w:rsidRDefault="002C1123">
      <w:pPr>
        <w:rPr>
          <w:sz w:val="16"/>
        </w:rPr>
        <w:sectPr w:rsidR="002C1123">
          <w:type w:val="continuous"/>
          <w:pgSz w:w="16840" w:h="11910" w:orient="landscape"/>
          <w:pgMar w:top="560" w:right="280" w:bottom="280" w:left="500" w:header="0" w:footer="517" w:gutter="0"/>
          <w:cols w:num="3" w:space="720" w:equalWidth="0">
            <w:col w:w="5082" w:space="40"/>
            <w:col w:w="4760" w:space="171"/>
            <w:col w:w="6007"/>
          </w:cols>
        </w:sectPr>
      </w:pPr>
    </w:p>
    <w:p w:rsidR="002C1123" w:rsidRDefault="002060EF">
      <w:pPr>
        <w:spacing w:before="44"/>
        <w:jc w:val="right"/>
        <w:rPr>
          <w:sz w:val="16"/>
        </w:rPr>
      </w:pPr>
      <w:r>
        <w:pict>
          <v:group id="docshapegroup892" o:spid="_x0000_s4355" style="position:absolute;left:0;text-align:left;margin-left:50.3pt;margin-top:8.65pt;width:239.65pt;height:306.95pt;z-index:-251503616;mso-position-horizontal-relative:page" coordorigin="1006,173" coordsize="4793,6139">
            <v:rect id="docshape893" o:spid="_x0000_s4446" style="position:absolute;left:2981;top:5993;width:1443;height:130" fillcolor="#abe1fa" stroked="f"/>
            <v:rect id="docshape894" o:spid="_x0000_s4445" style="position:absolute;left:2981;top:6123;width:1210;height:130" fillcolor="#2e3092" stroked="f"/>
            <v:rect id="docshape895" o:spid="_x0000_s4444" style="position:absolute;left:2981;top:5675;width:1373;height:130" fillcolor="#abe1fa" stroked="f"/>
            <v:rect id="docshape896" o:spid="_x0000_s4443" style="position:absolute;left:2981;top:5804;width:1350;height:130" fillcolor="#2e3092" stroked="f"/>
            <v:shape id="docshape897" o:spid="_x0000_s4442" style="position:absolute;left:1447;top:5675;width:1536;height:449" coordorigin="1448,5675" coordsize="1536,449" o:spt="100" adj="0,,0" path="m2983,5994r-1535,l1448,6123r1535,l2983,5994xm2983,5675r-1465,l1518,5804r1465,l2983,5675xe" fillcolor="#abe1fa" stroked="f">
              <v:stroke joinstyle="round"/>
              <v:formulas/>
              <v:path arrowok="t" o:connecttype="segments"/>
            </v:shape>
            <v:shape id="docshape898" o:spid="_x0000_s4441" style="position:absolute;left:1540;top:5804;width:1443;height:449" coordorigin="1541,5804" coordsize="1443,449" o:spt="100" adj="0,,0" path="m2983,6123r-1349,l1634,6253r1349,l2983,6123xm2983,5804r-1442,l1541,5934r1442,l2983,5804xe" fillcolor="#2e3092" stroked="f">
              <v:stroke joinstyle="round"/>
              <v:formulas/>
              <v:path arrowok="t" o:connecttype="segments"/>
            </v:shape>
            <v:rect id="docshape899" o:spid="_x0000_s4440" style="position:absolute;left:2981;top:5338;width:1396;height:130" fillcolor="#abe1fa" stroked="f"/>
            <v:rect id="docshape900" o:spid="_x0000_s4439" style="position:absolute;left:2981;top:5467;width:1489;height:130" fillcolor="#2e3092" stroked="f"/>
            <v:rect id="docshape901" o:spid="_x0000_s4438" style="position:absolute;left:1494;top:5338;width:1489;height:130" fillcolor="#abe1fa" stroked="f"/>
            <v:rect id="docshape902" o:spid="_x0000_s4437" style="position:absolute;left:1354;top:5467;width:1629;height:130" fillcolor="#2e3092" stroked="f"/>
            <v:rect id="docshape903" o:spid="_x0000_s4436" style="position:absolute;left:2981;top:5001;width:1489;height:130" fillcolor="#abe1fa" stroked="f"/>
            <v:rect id="docshape904" o:spid="_x0000_s4435" style="position:absolute;left:2981;top:5130;width:1489;height:130" fillcolor="#2e3092" stroked="f"/>
            <v:rect id="docshape905" o:spid="_x0000_s4434" style="position:absolute;left:1378;top:5001;width:1606;height:130" fillcolor="#abe1fa" stroked="f"/>
            <v:rect id="docshape906" o:spid="_x0000_s4433" style="position:absolute;left:1354;top:5130;width:1629;height:130" fillcolor="#2e3092" stroked="f"/>
            <v:rect id="docshape907" o:spid="_x0000_s4432" style="position:absolute;left:2981;top:4664;width:1629;height:130" fillcolor="#abe1fa" stroked="f"/>
            <v:rect id="docshape908" o:spid="_x0000_s4431" style="position:absolute;left:2981;top:4793;width:1094;height:130" fillcolor="#2e3092" stroked="f"/>
            <v:rect id="docshape909" o:spid="_x0000_s4430" style="position:absolute;left:1238;top:4664;width:1745;height:130" fillcolor="#abe1fa" stroked="f"/>
            <v:rect id="docshape910" o:spid="_x0000_s4429" style="position:absolute;left:1727;top:4793;width:1257;height:130" fillcolor="#2e3092" stroked="f"/>
            <v:rect id="docshape911" o:spid="_x0000_s4428" style="position:absolute;left:2981;top:4327;width:1699;height:130" fillcolor="#abe1fa" stroked="f"/>
            <v:rect id="docshape912" o:spid="_x0000_s4427" style="position:absolute;left:2981;top:4456;width:1070;height:130" fillcolor="#2e3092" stroked="f"/>
            <v:rect id="docshape913" o:spid="_x0000_s4426" style="position:absolute;left:1238;top:4327;width:1745;height:130" fillcolor="#abe1fa" stroked="f"/>
            <v:rect id="docshape914" o:spid="_x0000_s4425" style="position:absolute;left:1866;top:4456;width:1117;height:130" fillcolor="#2e3092" stroked="f"/>
            <v:rect id="docshape915" o:spid="_x0000_s4424" style="position:absolute;left:2981;top:3990;width:1606;height:130" fillcolor="#abe1fa" stroked="f"/>
            <v:rect id="docshape916" o:spid="_x0000_s4423" style="position:absolute;left:2981;top:4119;width:1164;height:130" fillcolor="#2e3092" stroked="f"/>
            <v:rect id="docshape917" o:spid="_x0000_s4422" style="position:absolute;left:1354;top:3990;width:1629;height:130" fillcolor="#abe1fa" stroked="f"/>
            <v:rect id="docshape918" o:spid="_x0000_s4421" style="position:absolute;left:1889;top:4119;width:1094;height:130" fillcolor="#2e3092" stroked="f"/>
            <v:rect id="docshape919" o:spid="_x0000_s4420" style="position:absolute;left:2981;top:3653;width:1675;height:130" fillcolor="#abe1fa" stroked="f"/>
            <v:rect id="docshape920" o:spid="_x0000_s4419" style="position:absolute;left:2981;top:3782;width:1443;height:130" fillcolor="#2e3092" stroked="f"/>
            <v:rect id="docshape921" o:spid="_x0000_s4418" style="position:absolute;left:1308;top:3653;width:1675;height:130" fillcolor="#abe1fa" stroked="f"/>
            <v:rect id="docshape922" o:spid="_x0000_s4417" style="position:absolute;left:1610;top:3782;width:1373;height:130" fillcolor="#2e3092" stroked="f"/>
            <v:rect id="docshape923" o:spid="_x0000_s4416" style="position:absolute;left:2981;top:3316;width:1582;height:130" fillcolor="#abe1fa" stroked="f"/>
            <v:rect id="docshape924" o:spid="_x0000_s4415" style="position:absolute;left:2981;top:3446;width:1489;height:130" fillcolor="#2e3092" stroked="f"/>
            <v:rect id="docshape925" o:spid="_x0000_s4414" style="position:absolute;left:1401;top:3316;width:1582;height:130" fillcolor="#abe1fa" stroked="f"/>
            <v:rect id="docshape926" o:spid="_x0000_s4413" style="position:absolute;left:1587;top:3446;width:1396;height:130" fillcolor="#2e3092" stroked="f"/>
            <v:rect id="docshape927" o:spid="_x0000_s4412" style="position:absolute;left:2981;top:2979;width:1629;height:130" fillcolor="#abe1fa" stroked="f"/>
            <v:rect id="docshape928" o:spid="_x0000_s4411" style="position:absolute;left:2981;top:3109;width:1722;height:130" fillcolor="#2e3092" stroked="f"/>
            <v:rect id="docshape929" o:spid="_x0000_s4410" style="position:absolute;left:1354;top:2979;width:1629;height:130" fillcolor="#abe1fa" stroked="f"/>
            <v:rect id="docshape930" o:spid="_x0000_s4409" style="position:absolute;left:1308;top:3109;width:1675;height:130" fillcolor="#2e3092" stroked="f"/>
            <v:line id="_x0000_s4408" style="position:absolute" from="1007,3275" to="5798,3275" strokecolor="#b2b1b3" strokeweight=".1295mm"/>
            <v:line id="_x0000_s4407" style="position:absolute" from="1007,3612" to="5798,3612" strokecolor="#b2b1b3" strokeweight=".1295mm"/>
            <v:line id="_x0000_s4406" style="position:absolute" from="1007,3948" to="5798,3948" strokecolor="#b2b1b3" strokeweight=".1295mm"/>
            <v:line id="_x0000_s4405" style="position:absolute" from="1007,4285" to="5798,4285" strokecolor="#b2b1b3" strokeweight=".1295mm"/>
            <v:line id="_x0000_s4404" style="position:absolute" from="1007,4621" to="5798,4621" strokecolor="#b2b1b3" strokeweight=".1295mm"/>
            <v:line id="_x0000_s4403" style="position:absolute" from="1007,4957" to="5798,4957" strokecolor="#b2b1b3" strokeweight=".1295mm"/>
            <v:line id="_x0000_s4402" style="position:absolute" from="1007,5294" to="5798,5294" strokecolor="#b2b1b3" strokeweight=".1295mm"/>
            <v:line id="_x0000_s4401" style="position:absolute" from="1007,5630" to="5798,5630" strokecolor="#b2b1b3" strokeweight=".1295mm"/>
            <v:line id="_x0000_s4400" style="position:absolute" from="1007,5967" to="5798,5967" strokecolor="#b2b1b3" strokeweight=".1295mm"/>
            <v:rect id="docshape931" o:spid="_x0000_s4399" style="position:absolute;left:2981;top:2642;width:1536;height:130" fillcolor="#abe1fa" stroked="f"/>
            <v:rect id="docshape932" o:spid="_x0000_s4398" style="position:absolute;left:2981;top:2772;width:1792;height:130" fillcolor="#2e3092" stroked="f"/>
            <v:rect id="docshape933" o:spid="_x0000_s4397" style="position:absolute;left:1471;top:2642;width:1512;height:130" fillcolor="#abe1fa" stroked="f"/>
            <v:rect id="docshape934" o:spid="_x0000_s4396" style="position:absolute;left:1238;top:2772;width:1745;height:130" fillcolor="#2e3092" stroked="f"/>
            <v:rect id="docshape935" o:spid="_x0000_s4395" style="position:absolute;left:2981;top:2305;width:1396;height:130" fillcolor="#abe1fa" stroked="f"/>
            <v:rect id="docshape936" o:spid="_x0000_s4394" style="position:absolute;left:2981;top:2435;width:1629;height:130" fillcolor="#2e3092" stroked="f"/>
            <v:rect id="docshape937" o:spid="_x0000_s4393" style="position:absolute;left:1610;top:2305;width:1373;height:130" fillcolor="#abe1fa" stroked="f"/>
            <v:rect id="docshape938" o:spid="_x0000_s4392" style="position:absolute;left:1285;top:2435;width:1699;height:130" fillcolor="#2e3092" stroked="f"/>
            <v:rect id="docshape939" o:spid="_x0000_s4391" style="position:absolute;left:2981;top:1969;width:1257;height:130" fillcolor="#abe1fa" stroked="f"/>
            <v:rect id="docshape940" o:spid="_x0000_s4390" style="position:absolute;left:2981;top:2098;width:1559;height:130" fillcolor="#2e3092" stroked="f"/>
            <v:rect id="docshape941" o:spid="_x0000_s4389" style="position:absolute;left:1703;top:1969;width:1280;height:130" fillcolor="#abe1fa" stroked="f"/>
            <v:rect id="docshape942" o:spid="_x0000_s4388" style="position:absolute;left:1354;top:2098;width:1629;height:130" fillcolor="#2e3092" stroked="f"/>
            <v:rect id="docshape943" o:spid="_x0000_s4387" style="position:absolute;left:2981;top:1632;width:977;height:130" fillcolor="#abe1fa" stroked="f"/>
            <v:rect id="docshape944" o:spid="_x0000_s4386" style="position:absolute;left:2981;top:1761;width:1303;height:130" fillcolor="#2e3092" stroked="f"/>
            <v:rect id="docshape945" o:spid="_x0000_s4385" style="position:absolute;left:2029;top:1632;width:954;height:130" fillcolor="#abe1fa" stroked="f"/>
            <v:rect id="docshape946" o:spid="_x0000_s4384" style="position:absolute;left:1727;top:1761;width:1257;height:130" fillcolor="#2e3092" stroked="f"/>
            <v:rect id="docshape947" o:spid="_x0000_s4383" style="position:absolute;left:2981;top:1295;width:791;height:130" fillcolor="#abe1fa" stroked="f"/>
            <v:rect id="docshape948" o:spid="_x0000_s4382" style="position:absolute;left:2981;top:1424;width:1070;height:130" fillcolor="#2e3092" stroked="f"/>
            <v:rect id="docshape949" o:spid="_x0000_s4381" style="position:absolute;left:2238;top:1295;width:745;height:130" fillcolor="#abe1fa" stroked="f"/>
            <v:rect id="docshape950" o:spid="_x0000_s4380" style="position:absolute;left:1936;top:1424;width:1047;height:130" fillcolor="#2e3092" stroked="f"/>
            <v:rect id="docshape951" o:spid="_x0000_s4379" style="position:absolute;left:2981;top:958;width:652;height:130" fillcolor="#abe1fa" stroked="f"/>
            <v:rect id="docshape952" o:spid="_x0000_s4378" style="position:absolute;left:2981;top:1087;width:908;height:130" fillcolor="#2e3092" stroked="f"/>
            <v:rect id="docshape953" o:spid="_x0000_s4377" style="position:absolute;left:2424;top:958;width:559;height:130" fillcolor="#abe1fa" stroked="f"/>
            <v:rect id="docshape954" o:spid="_x0000_s4376" style="position:absolute;left:2145;top:1087;width:838;height:130" fillcolor="#2e3092" stroked="f"/>
            <v:rect id="docshape955" o:spid="_x0000_s4375" style="position:absolute;left:2981;top:621;width:559;height:130" fillcolor="#abe1fa" stroked="f"/>
            <v:rect id="docshape956" o:spid="_x0000_s4374" style="position:absolute;left:2981;top:750;width:768;height:130" fillcolor="#2e3092" stroked="f"/>
            <v:rect id="docshape957" o:spid="_x0000_s4373" style="position:absolute;left:2564;top:621;width:419;height:130" fillcolor="#abe1fa" stroked="f"/>
            <v:rect id="docshape958" o:spid="_x0000_s4372" style="position:absolute;left:2355;top:750;width:629;height:130" fillcolor="#2e3092" stroked="f"/>
            <v:rect id="docshape959" o:spid="_x0000_s4371" style="position:absolute;left:2981;top:284;width:582;height:130" fillcolor="#abe1fa" stroked="f"/>
            <v:rect id="docshape960" o:spid="_x0000_s4370" style="position:absolute;left:2981;top:413;width:745;height:130" fillcolor="#2e3092" stroked="f"/>
            <v:rect id="docshape961" o:spid="_x0000_s4369" style="position:absolute;left:2680;top:284;width:303;height:130" fillcolor="#abe1fa" stroked="f"/>
            <v:rect id="docshape962" o:spid="_x0000_s4368" style="position:absolute;left:2517;top:413;width:466;height:130" fillcolor="#2e3092" stroked="f"/>
            <v:line id="_x0000_s4367" style="position:absolute" from="1007,248" to="5798,248" strokecolor="#b2b1b3" strokeweight=".1295mm"/>
            <v:line id="_x0000_s4366" style="position:absolute" from="1007,584" to="5798,584" strokecolor="#b2b1b3" strokeweight=".1295mm"/>
            <v:line id="_x0000_s4365" style="position:absolute" from="1007,921" to="5798,921" strokecolor="#b2b1b3" strokeweight=".1295mm"/>
            <v:line id="_x0000_s4364" style="position:absolute" from="1007,1257" to="5798,1257" strokecolor="#b2b1b3" strokeweight=".1295mm"/>
            <v:line id="_x0000_s4363" style="position:absolute" from="1007,1594" to="5798,1594" strokecolor="#b2b1b3" strokeweight=".1295mm"/>
            <v:line id="_x0000_s4362" style="position:absolute" from="1007,1930" to="5798,1930" strokecolor="#b2b1b3" strokeweight=".1295mm"/>
            <v:line id="_x0000_s4361" style="position:absolute" from="1007,2266" to="5798,2266" strokecolor="#b2b1b3" strokeweight=".1295mm"/>
            <v:line id="_x0000_s4360" style="position:absolute" from="1007,2603" to="5798,2603" strokecolor="#b2b1b3" strokeweight=".1295mm"/>
            <v:line id="_x0000_s4359" style="position:absolute" from="1007,2939" to="5798,2939" strokecolor="#b2b1b3" strokeweight=".1295mm"/>
            <v:line id="_x0000_s4358" style="position:absolute" from="1006,6303" to="5797,6303" strokecolor="#b2b1b3" strokeweight=".8pt"/>
            <v:line id="_x0000_s4357" style="position:absolute" from="2982,173" to="2982,6303" strokecolor="#b2b1b3" strokeweight=".8pt"/>
            <v:shape id="docshape963" o:spid="_x0000_s4356" type="#_x0000_t202" style="position:absolute;left:1005;top:172;width:4793;height:6139" filled="f" stroked="f">
              <v:textbox inset="0,0,0,0">
                <w:txbxContent>
                  <w:p w:rsidR="00F22F94" w:rsidRDefault="00F22F94">
                    <w:pPr>
                      <w:spacing w:before="149" w:line="439" w:lineRule="auto"/>
                      <w:ind w:left="3960" w:right="-9" w:hanging="232"/>
                      <w:rPr>
                        <w:sz w:val="16"/>
                      </w:rPr>
                    </w:pPr>
                    <w:r>
                      <w:rPr>
                        <w:w w:val="80"/>
                        <w:sz w:val="16"/>
                      </w:rPr>
                      <w:t>85</w:t>
                    </w:r>
                    <w:r>
                      <w:rPr>
                        <w:spacing w:val="-3"/>
                        <w:w w:val="80"/>
                        <w:sz w:val="16"/>
                      </w:rPr>
                      <w:t xml:space="preserve"> </w:t>
                    </w:r>
                    <w:r>
                      <w:rPr>
                        <w:w w:val="80"/>
                        <w:sz w:val="16"/>
                      </w:rPr>
                      <w:t>years</w:t>
                    </w:r>
                    <w:r>
                      <w:rPr>
                        <w:spacing w:val="-2"/>
                        <w:w w:val="80"/>
                        <w:sz w:val="16"/>
                      </w:rPr>
                      <w:t xml:space="preserve"> </w:t>
                    </w:r>
                    <w:r>
                      <w:rPr>
                        <w:w w:val="80"/>
                        <w:sz w:val="16"/>
                      </w:rPr>
                      <w:t>and</w:t>
                    </w:r>
                    <w:r>
                      <w:rPr>
                        <w:spacing w:val="-2"/>
                        <w:w w:val="80"/>
                        <w:sz w:val="16"/>
                      </w:rPr>
                      <w:t xml:space="preserve"> </w:t>
                    </w:r>
                    <w:r>
                      <w:rPr>
                        <w:w w:val="80"/>
                        <w:sz w:val="16"/>
                      </w:rPr>
                      <w:t>older</w:t>
                    </w:r>
                    <w:r>
                      <w:rPr>
                        <w:sz w:val="16"/>
                      </w:rPr>
                      <w:t xml:space="preserve"> </w:t>
                    </w:r>
                    <w:r>
                      <w:rPr>
                        <w:w w:val="85"/>
                        <w:sz w:val="16"/>
                      </w:rPr>
                      <w:t>80</w:t>
                    </w:r>
                    <w:r>
                      <w:rPr>
                        <w:spacing w:val="-2"/>
                        <w:w w:val="85"/>
                        <w:sz w:val="16"/>
                      </w:rPr>
                      <w:t xml:space="preserve"> </w:t>
                    </w:r>
                    <w:r>
                      <w:rPr>
                        <w:w w:val="85"/>
                        <w:sz w:val="16"/>
                      </w:rPr>
                      <w:t>to</w:t>
                    </w:r>
                    <w:r>
                      <w:rPr>
                        <w:spacing w:val="-2"/>
                        <w:w w:val="85"/>
                        <w:sz w:val="16"/>
                      </w:rPr>
                      <w:t xml:space="preserve"> </w:t>
                    </w:r>
                    <w:r>
                      <w:rPr>
                        <w:w w:val="85"/>
                        <w:sz w:val="16"/>
                      </w:rPr>
                      <w:t>84</w:t>
                    </w:r>
                    <w:r>
                      <w:rPr>
                        <w:spacing w:val="-2"/>
                        <w:w w:val="85"/>
                        <w:sz w:val="16"/>
                      </w:rPr>
                      <w:t xml:space="preserve"> </w:t>
                    </w:r>
                    <w:r>
                      <w:rPr>
                        <w:spacing w:val="-4"/>
                        <w:w w:val="80"/>
                        <w:sz w:val="16"/>
                      </w:rPr>
                      <w:t>years</w:t>
                    </w:r>
                  </w:p>
                  <w:p w:rsidR="00F22F94" w:rsidRDefault="00F22F94">
                    <w:pPr>
                      <w:spacing w:before="1"/>
                      <w:ind w:left="3960"/>
                      <w:rPr>
                        <w:sz w:val="16"/>
                      </w:rPr>
                    </w:pPr>
                    <w:r>
                      <w:rPr>
                        <w:w w:val="85"/>
                        <w:sz w:val="16"/>
                      </w:rPr>
                      <w:t>75</w:t>
                    </w:r>
                    <w:r>
                      <w:rPr>
                        <w:spacing w:val="-2"/>
                        <w:w w:val="85"/>
                        <w:sz w:val="16"/>
                      </w:rPr>
                      <w:t xml:space="preserve"> </w:t>
                    </w:r>
                    <w:r>
                      <w:rPr>
                        <w:w w:val="85"/>
                        <w:sz w:val="16"/>
                      </w:rPr>
                      <w:t>to</w:t>
                    </w:r>
                    <w:r>
                      <w:rPr>
                        <w:spacing w:val="-2"/>
                        <w:w w:val="85"/>
                        <w:sz w:val="16"/>
                      </w:rPr>
                      <w:t xml:space="preserve"> </w:t>
                    </w:r>
                    <w:r>
                      <w:rPr>
                        <w:w w:val="85"/>
                        <w:sz w:val="16"/>
                      </w:rPr>
                      <w:t>79</w:t>
                    </w:r>
                    <w:r>
                      <w:rPr>
                        <w:spacing w:val="-2"/>
                        <w:w w:val="85"/>
                        <w:sz w:val="16"/>
                      </w:rPr>
                      <w:t xml:space="preserve"> </w:t>
                    </w:r>
                    <w:r>
                      <w:rPr>
                        <w:spacing w:val="-4"/>
                        <w:w w:val="80"/>
                        <w:sz w:val="16"/>
                      </w:rPr>
                      <w:t>years</w:t>
                    </w:r>
                  </w:p>
                  <w:p w:rsidR="00F22F94" w:rsidRDefault="00F22F94">
                    <w:pPr>
                      <w:spacing w:before="153"/>
                      <w:ind w:left="3960"/>
                      <w:rPr>
                        <w:sz w:val="16"/>
                      </w:rPr>
                    </w:pPr>
                    <w:r>
                      <w:rPr>
                        <w:w w:val="85"/>
                        <w:sz w:val="16"/>
                      </w:rPr>
                      <w:t>70</w:t>
                    </w:r>
                    <w:r>
                      <w:rPr>
                        <w:spacing w:val="-2"/>
                        <w:w w:val="85"/>
                        <w:sz w:val="16"/>
                      </w:rPr>
                      <w:t xml:space="preserve"> </w:t>
                    </w:r>
                    <w:r>
                      <w:rPr>
                        <w:w w:val="85"/>
                        <w:sz w:val="16"/>
                      </w:rPr>
                      <w:t>to</w:t>
                    </w:r>
                    <w:r>
                      <w:rPr>
                        <w:spacing w:val="-2"/>
                        <w:w w:val="85"/>
                        <w:sz w:val="16"/>
                      </w:rPr>
                      <w:t xml:space="preserve"> </w:t>
                    </w:r>
                    <w:r>
                      <w:rPr>
                        <w:w w:val="85"/>
                        <w:sz w:val="16"/>
                      </w:rPr>
                      <w:t>74</w:t>
                    </w:r>
                    <w:r>
                      <w:rPr>
                        <w:spacing w:val="-2"/>
                        <w:w w:val="85"/>
                        <w:sz w:val="16"/>
                      </w:rPr>
                      <w:t xml:space="preserve"> </w:t>
                    </w:r>
                    <w:r>
                      <w:rPr>
                        <w:spacing w:val="-4"/>
                        <w:w w:val="80"/>
                        <w:sz w:val="16"/>
                      </w:rPr>
                      <w:t>years</w:t>
                    </w:r>
                  </w:p>
                  <w:p w:rsidR="00F22F94" w:rsidRDefault="00F22F94">
                    <w:pPr>
                      <w:spacing w:before="153"/>
                      <w:ind w:left="3960"/>
                      <w:rPr>
                        <w:sz w:val="16"/>
                      </w:rPr>
                    </w:pPr>
                    <w:r>
                      <w:rPr>
                        <w:w w:val="85"/>
                        <w:sz w:val="16"/>
                      </w:rPr>
                      <w:t>65</w:t>
                    </w:r>
                    <w:r>
                      <w:rPr>
                        <w:spacing w:val="-2"/>
                        <w:w w:val="85"/>
                        <w:sz w:val="16"/>
                      </w:rPr>
                      <w:t xml:space="preserve"> </w:t>
                    </w:r>
                    <w:r>
                      <w:rPr>
                        <w:w w:val="85"/>
                        <w:sz w:val="16"/>
                      </w:rPr>
                      <w:t>to</w:t>
                    </w:r>
                    <w:r>
                      <w:rPr>
                        <w:spacing w:val="-2"/>
                        <w:w w:val="85"/>
                        <w:sz w:val="16"/>
                      </w:rPr>
                      <w:t xml:space="preserve"> </w:t>
                    </w:r>
                    <w:r>
                      <w:rPr>
                        <w:w w:val="85"/>
                        <w:sz w:val="16"/>
                      </w:rPr>
                      <w:t>69</w:t>
                    </w:r>
                    <w:r>
                      <w:rPr>
                        <w:spacing w:val="-2"/>
                        <w:w w:val="85"/>
                        <w:sz w:val="16"/>
                      </w:rPr>
                      <w:t xml:space="preserve"> </w:t>
                    </w:r>
                    <w:r>
                      <w:rPr>
                        <w:spacing w:val="-4"/>
                        <w:w w:val="80"/>
                        <w:sz w:val="16"/>
                      </w:rPr>
                      <w:t>years</w:t>
                    </w:r>
                  </w:p>
                  <w:p w:rsidR="00F22F94" w:rsidRDefault="00F22F94">
                    <w:pPr>
                      <w:spacing w:before="153"/>
                      <w:ind w:left="3960"/>
                      <w:rPr>
                        <w:sz w:val="16"/>
                      </w:rPr>
                    </w:pPr>
                    <w:r>
                      <w:rPr>
                        <w:w w:val="85"/>
                        <w:sz w:val="16"/>
                      </w:rPr>
                      <w:t>60</w:t>
                    </w:r>
                    <w:r>
                      <w:rPr>
                        <w:spacing w:val="-2"/>
                        <w:w w:val="85"/>
                        <w:sz w:val="16"/>
                      </w:rPr>
                      <w:t xml:space="preserve"> </w:t>
                    </w:r>
                    <w:r>
                      <w:rPr>
                        <w:w w:val="85"/>
                        <w:sz w:val="16"/>
                      </w:rPr>
                      <w:t>to</w:t>
                    </w:r>
                    <w:r>
                      <w:rPr>
                        <w:spacing w:val="-2"/>
                        <w:w w:val="85"/>
                        <w:sz w:val="16"/>
                      </w:rPr>
                      <w:t xml:space="preserve"> </w:t>
                    </w:r>
                    <w:r>
                      <w:rPr>
                        <w:w w:val="85"/>
                        <w:sz w:val="16"/>
                      </w:rPr>
                      <w:t>64</w:t>
                    </w:r>
                    <w:r>
                      <w:rPr>
                        <w:spacing w:val="-2"/>
                        <w:w w:val="85"/>
                        <w:sz w:val="16"/>
                      </w:rPr>
                      <w:t xml:space="preserve"> </w:t>
                    </w:r>
                    <w:r>
                      <w:rPr>
                        <w:spacing w:val="-4"/>
                        <w:w w:val="80"/>
                        <w:sz w:val="16"/>
                      </w:rPr>
                      <w:t>years</w:t>
                    </w:r>
                  </w:p>
                  <w:p w:rsidR="00F22F94" w:rsidRDefault="00F22F94">
                    <w:pPr>
                      <w:spacing w:before="153"/>
                      <w:ind w:left="3960"/>
                      <w:rPr>
                        <w:sz w:val="16"/>
                      </w:rPr>
                    </w:pPr>
                    <w:r>
                      <w:rPr>
                        <w:w w:val="85"/>
                        <w:sz w:val="16"/>
                      </w:rPr>
                      <w:t>55</w:t>
                    </w:r>
                    <w:r>
                      <w:rPr>
                        <w:spacing w:val="-2"/>
                        <w:w w:val="85"/>
                        <w:sz w:val="16"/>
                      </w:rPr>
                      <w:t xml:space="preserve"> </w:t>
                    </w:r>
                    <w:r>
                      <w:rPr>
                        <w:w w:val="85"/>
                        <w:sz w:val="16"/>
                      </w:rPr>
                      <w:t>to</w:t>
                    </w:r>
                    <w:r>
                      <w:rPr>
                        <w:spacing w:val="-2"/>
                        <w:w w:val="85"/>
                        <w:sz w:val="16"/>
                      </w:rPr>
                      <w:t xml:space="preserve"> </w:t>
                    </w:r>
                    <w:r>
                      <w:rPr>
                        <w:w w:val="85"/>
                        <w:sz w:val="16"/>
                      </w:rPr>
                      <w:t>59</w:t>
                    </w:r>
                    <w:r>
                      <w:rPr>
                        <w:spacing w:val="-2"/>
                        <w:w w:val="85"/>
                        <w:sz w:val="16"/>
                      </w:rPr>
                      <w:t xml:space="preserve"> </w:t>
                    </w:r>
                    <w:r>
                      <w:rPr>
                        <w:spacing w:val="-4"/>
                        <w:w w:val="80"/>
                        <w:sz w:val="16"/>
                      </w:rPr>
                      <w:t>years</w:t>
                    </w:r>
                  </w:p>
                  <w:p w:rsidR="00F22F94" w:rsidRDefault="00F22F94">
                    <w:pPr>
                      <w:spacing w:before="153"/>
                      <w:ind w:left="3960"/>
                      <w:rPr>
                        <w:sz w:val="16"/>
                      </w:rPr>
                    </w:pPr>
                    <w:r>
                      <w:rPr>
                        <w:w w:val="85"/>
                        <w:sz w:val="16"/>
                      </w:rPr>
                      <w:t>50</w:t>
                    </w:r>
                    <w:r>
                      <w:rPr>
                        <w:spacing w:val="-2"/>
                        <w:w w:val="85"/>
                        <w:sz w:val="16"/>
                      </w:rPr>
                      <w:t xml:space="preserve"> </w:t>
                    </w:r>
                    <w:r>
                      <w:rPr>
                        <w:w w:val="85"/>
                        <w:sz w:val="16"/>
                      </w:rPr>
                      <w:t>to</w:t>
                    </w:r>
                    <w:r>
                      <w:rPr>
                        <w:spacing w:val="-2"/>
                        <w:w w:val="85"/>
                        <w:sz w:val="16"/>
                      </w:rPr>
                      <w:t xml:space="preserve"> </w:t>
                    </w:r>
                    <w:r>
                      <w:rPr>
                        <w:w w:val="85"/>
                        <w:sz w:val="16"/>
                      </w:rPr>
                      <w:t>54</w:t>
                    </w:r>
                    <w:r>
                      <w:rPr>
                        <w:spacing w:val="-2"/>
                        <w:w w:val="85"/>
                        <w:sz w:val="16"/>
                      </w:rPr>
                      <w:t xml:space="preserve"> </w:t>
                    </w:r>
                    <w:r>
                      <w:rPr>
                        <w:spacing w:val="-4"/>
                        <w:w w:val="80"/>
                        <w:sz w:val="16"/>
                      </w:rPr>
                      <w:t>years</w:t>
                    </w:r>
                  </w:p>
                  <w:p w:rsidR="00F22F94" w:rsidRDefault="00F22F94">
                    <w:pPr>
                      <w:spacing w:before="153"/>
                      <w:ind w:left="3960"/>
                      <w:rPr>
                        <w:sz w:val="16"/>
                      </w:rPr>
                    </w:pPr>
                    <w:r>
                      <w:rPr>
                        <w:w w:val="85"/>
                        <w:sz w:val="16"/>
                      </w:rPr>
                      <w:t>45</w:t>
                    </w:r>
                    <w:r>
                      <w:rPr>
                        <w:spacing w:val="-2"/>
                        <w:w w:val="85"/>
                        <w:sz w:val="16"/>
                      </w:rPr>
                      <w:t xml:space="preserve"> </w:t>
                    </w:r>
                    <w:r>
                      <w:rPr>
                        <w:w w:val="85"/>
                        <w:sz w:val="16"/>
                      </w:rPr>
                      <w:t>to</w:t>
                    </w:r>
                    <w:r>
                      <w:rPr>
                        <w:spacing w:val="-2"/>
                        <w:w w:val="85"/>
                        <w:sz w:val="16"/>
                      </w:rPr>
                      <w:t xml:space="preserve"> </w:t>
                    </w:r>
                    <w:r>
                      <w:rPr>
                        <w:w w:val="85"/>
                        <w:sz w:val="16"/>
                      </w:rPr>
                      <w:t>49</w:t>
                    </w:r>
                    <w:r>
                      <w:rPr>
                        <w:spacing w:val="-2"/>
                        <w:w w:val="85"/>
                        <w:sz w:val="16"/>
                      </w:rPr>
                      <w:t xml:space="preserve"> </w:t>
                    </w:r>
                    <w:r>
                      <w:rPr>
                        <w:spacing w:val="-4"/>
                        <w:w w:val="80"/>
                        <w:sz w:val="16"/>
                      </w:rPr>
                      <w:t>years</w:t>
                    </w:r>
                  </w:p>
                  <w:p w:rsidR="00F22F94" w:rsidRDefault="00F22F94">
                    <w:pPr>
                      <w:spacing w:before="153"/>
                      <w:ind w:left="3960"/>
                      <w:rPr>
                        <w:sz w:val="16"/>
                      </w:rPr>
                    </w:pPr>
                    <w:r>
                      <w:rPr>
                        <w:w w:val="85"/>
                        <w:sz w:val="16"/>
                      </w:rPr>
                      <w:t>40</w:t>
                    </w:r>
                    <w:r>
                      <w:rPr>
                        <w:spacing w:val="-2"/>
                        <w:w w:val="85"/>
                        <w:sz w:val="16"/>
                      </w:rPr>
                      <w:t xml:space="preserve"> </w:t>
                    </w:r>
                    <w:r>
                      <w:rPr>
                        <w:w w:val="85"/>
                        <w:sz w:val="16"/>
                      </w:rPr>
                      <w:t>to</w:t>
                    </w:r>
                    <w:r>
                      <w:rPr>
                        <w:spacing w:val="-2"/>
                        <w:w w:val="85"/>
                        <w:sz w:val="16"/>
                      </w:rPr>
                      <w:t xml:space="preserve"> </w:t>
                    </w:r>
                    <w:r>
                      <w:rPr>
                        <w:w w:val="85"/>
                        <w:sz w:val="16"/>
                      </w:rPr>
                      <w:t>44</w:t>
                    </w:r>
                    <w:r>
                      <w:rPr>
                        <w:spacing w:val="-2"/>
                        <w:w w:val="85"/>
                        <w:sz w:val="16"/>
                      </w:rPr>
                      <w:t xml:space="preserve"> </w:t>
                    </w:r>
                    <w:r>
                      <w:rPr>
                        <w:spacing w:val="-4"/>
                        <w:w w:val="80"/>
                        <w:sz w:val="16"/>
                      </w:rPr>
                      <w:t>years</w:t>
                    </w:r>
                  </w:p>
                  <w:p w:rsidR="00F22F94" w:rsidRDefault="00F22F94">
                    <w:pPr>
                      <w:spacing w:before="153"/>
                      <w:ind w:left="3960"/>
                      <w:rPr>
                        <w:sz w:val="16"/>
                      </w:rPr>
                    </w:pPr>
                    <w:r>
                      <w:rPr>
                        <w:w w:val="85"/>
                        <w:sz w:val="16"/>
                      </w:rPr>
                      <w:t>35</w:t>
                    </w:r>
                    <w:r>
                      <w:rPr>
                        <w:spacing w:val="-2"/>
                        <w:w w:val="85"/>
                        <w:sz w:val="16"/>
                      </w:rPr>
                      <w:t xml:space="preserve"> </w:t>
                    </w:r>
                    <w:r>
                      <w:rPr>
                        <w:w w:val="85"/>
                        <w:sz w:val="16"/>
                      </w:rPr>
                      <w:t>to</w:t>
                    </w:r>
                    <w:r>
                      <w:rPr>
                        <w:spacing w:val="-2"/>
                        <w:w w:val="85"/>
                        <w:sz w:val="16"/>
                      </w:rPr>
                      <w:t xml:space="preserve"> </w:t>
                    </w:r>
                    <w:r>
                      <w:rPr>
                        <w:w w:val="85"/>
                        <w:sz w:val="16"/>
                      </w:rPr>
                      <w:t>39</w:t>
                    </w:r>
                    <w:r>
                      <w:rPr>
                        <w:spacing w:val="-2"/>
                        <w:w w:val="85"/>
                        <w:sz w:val="16"/>
                      </w:rPr>
                      <w:t xml:space="preserve"> </w:t>
                    </w:r>
                    <w:r>
                      <w:rPr>
                        <w:spacing w:val="-4"/>
                        <w:w w:val="80"/>
                        <w:sz w:val="16"/>
                      </w:rPr>
                      <w:t>years</w:t>
                    </w:r>
                  </w:p>
                  <w:p w:rsidR="00F22F94" w:rsidRDefault="00F22F94">
                    <w:pPr>
                      <w:spacing w:before="153"/>
                      <w:ind w:left="3960"/>
                      <w:rPr>
                        <w:sz w:val="16"/>
                      </w:rPr>
                    </w:pPr>
                    <w:r>
                      <w:rPr>
                        <w:w w:val="85"/>
                        <w:sz w:val="16"/>
                      </w:rPr>
                      <w:t>30</w:t>
                    </w:r>
                    <w:r>
                      <w:rPr>
                        <w:spacing w:val="-2"/>
                        <w:w w:val="85"/>
                        <w:sz w:val="16"/>
                      </w:rPr>
                      <w:t xml:space="preserve"> </w:t>
                    </w:r>
                    <w:r>
                      <w:rPr>
                        <w:w w:val="85"/>
                        <w:sz w:val="16"/>
                      </w:rPr>
                      <w:t>to</w:t>
                    </w:r>
                    <w:r>
                      <w:rPr>
                        <w:spacing w:val="-2"/>
                        <w:w w:val="85"/>
                        <w:sz w:val="16"/>
                      </w:rPr>
                      <w:t xml:space="preserve"> </w:t>
                    </w:r>
                    <w:r>
                      <w:rPr>
                        <w:w w:val="85"/>
                        <w:sz w:val="16"/>
                      </w:rPr>
                      <w:t>34</w:t>
                    </w:r>
                    <w:r>
                      <w:rPr>
                        <w:spacing w:val="-2"/>
                        <w:w w:val="85"/>
                        <w:sz w:val="16"/>
                      </w:rPr>
                      <w:t xml:space="preserve"> </w:t>
                    </w:r>
                    <w:r>
                      <w:rPr>
                        <w:spacing w:val="-4"/>
                        <w:w w:val="80"/>
                        <w:sz w:val="16"/>
                      </w:rPr>
                      <w:t>years</w:t>
                    </w:r>
                  </w:p>
                  <w:p w:rsidR="00F22F94" w:rsidRDefault="00F22F94">
                    <w:pPr>
                      <w:spacing w:before="153"/>
                      <w:ind w:left="3960"/>
                      <w:rPr>
                        <w:sz w:val="16"/>
                      </w:rPr>
                    </w:pPr>
                    <w:r>
                      <w:rPr>
                        <w:w w:val="85"/>
                        <w:sz w:val="16"/>
                      </w:rPr>
                      <w:t>25</w:t>
                    </w:r>
                    <w:r>
                      <w:rPr>
                        <w:spacing w:val="-2"/>
                        <w:w w:val="85"/>
                        <w:sz w:val="16"/>
                      </w:rPr>
                      <w:t xml:space="preserve"> </w:t>
                    </w:r>
                    <w:r>
                      <w:rPr>
                        <w:w w:val="85"/>
                        <w:sz w:val="16"/>
                      </w:rPr>
                      <w:t>to</w:t>
                    </w:r>
                    <w:r>
                      <w:rPr>
                        <w:spacing w:val="-2"/>
                        <w:w w:val="85"/>
                        <w:sz w:val="16"/>
                      </w:rPr>
                      <w:t xml:space="preserve"> </w:t>
                    </w:r>
                    <w:r>
                      <w:rPr>
                        <w:w w:val="85"/>
                        <w:sz w:val="16"/>
                      </w:rPr>
                      <w:t>29</w:t>
                    </w:r>
                    <w:r>
                      <w:rPr>
                        <w:spacing w:val="-2"/>
                        <w:w w:val="85"/>
                        <w:sz w:val="16"/>
                      </w:rPr>
                      <w:t xml:space="preserve"> </w:t>
                    </w:r>
                    <w:r>
                      <w:rPr>
                        <w:spacing w:val="-4"/>
                        <w:w w:val="80"/>
                        <w:sz w:val="16"/>
                      </w:rPr>
                      <w:t>years</w:t>
                    </w:r>
                  </w:p>
                  <w:p w:rsidR="00F22F94" w:rsidRDefault="00F22F94">
                    <w:pPr>
                      <w:spacing w:before="153"/>
                      <w:ind w:left="3960"/>
                      <w:rPr>
                        <w:sz w:val="16"/>
                      </w:rPr>
                    </w:pPr>
                    <w:r>
                      <w:rPr>
                        <w:w w:val="85"/>
                        <w:sz w:val="16"/>
                      </w:rPr>
                      <w:t>20</w:t>
                    </w:r>
                    <w:r>
                      <w:rPr>
                        <w:spacing w:val="-2"/>
                        <w:w w:val="85"/>
                        <w:sz w:val="16"/>
                      </w:rPr>
                      <w:t xml:space="preserve"> </w:t>
                    </w:r>
                    <w:r>
                      <w:rPr>
                        <w:w w:val="85"/>
                        <w:sz w:val="16"/>
                      </w:rPr>
                      <w:t>to</w:t>
                    </w:r>
                    <w:r>
                      <w:rPr>
                        <w:spacing w:val="-2"/>
                        <w:w w:val="85"/>
                        <w:sz w:val="16"/>
                      </w:rPr>
                      <w:t xml:space="preserve"> </w:t>
                    </w:r>
                    <w:r>
                      <w:rPr>
                        <w:w w:val="85"/>
                        <w:sz w:val="16"/>
                      </w:rPr>
                      <w:t>24</w:t>
                    </w:r>
                    <w:r>
                      <w:rPr>
                        <w:spacing w:val="-2"/>
                        <w:w w:val="85"/>
                        <w:sz w:val="16"/>
                      </w:rPr>
                      <w:t xml:space="preserve"> </w:t>
                    </w:r>
                    <w:r>
                      <w:rPr>
                        <w:spacing w:val="-4"/>
                        <w:w w:val="80"/>
                        <w:sz w:val="16"/>
                      </w:rPr>
                      <w:t>years</w:t>
                    </w:r>
                  </w:p>
                  <w:p w:rsidR="00F22F94" w:rsidRDefault="00F22F94">
                    <w:pPr>
                      <w:spacing w:before="153"/>
                      <w:ind w:left="3960"/>
                      <w:rPr>
                        <w:sz w:val="16"/>
                      </w:rPr>
                    </w:pPr>
                    <w:r>
                      <w:rPr>
                        <w:w w:val="85"/>
                        <w:sz w:val="16"/>
                      </w:rPr>
                      <w:t>15</w:t>
                    </w:r>
                    <w:r>
                      <w:rPr>
                        <w:spacing w:val="-2"/>
                        <w:w w:val="85"/>
                        <w:sz w:val="16"/>
                      </w:rPr>
                      <w:t xml:space="preserve"> </w:t>
                    </w:r>
                    <w:r>
                      <w:rPr>
                        <w:w w:val="85"/>
                        <w:sz w:val="16"/>
                      </w:rPr>
                      <w:t>to</w:t>
                    </w:r>
                    <w:r>
                      <w:rPr>
                        <w:spacing w:val="-2"/>
                        <w:w w:val="85"/>
                        <w:sz w:val="16"/>
                      </w:rPr>
                      <w:t xml:space="preserve"> </w:t>
                    </w:r>
                    <w:r>
                      <w:rPr>
                        <w:w w:val="85"/>
                        <w:sz w:val="16"/>
                      </w:rPr>
                      <w:t>19</w:t>
                    </w:r>
                    <w:r>
                      <w:rPr>
                        <w:spacing w:val="-2"/>
                        <w:w w:val="85"/>
                        <w:sz w:val="16"/>
                      </w:rPr>
                      <w:t xml:space="preserve"> </w:t>
                    </w:r>
                    <w:r>
                      <w:rPr>
                        <w:spacing w:val="-4"/>
                        <w:w w:val="80"/>
                        <w:sz w:val="16"/>
                      </w:rPr>
                      <w:t>years</w:t>
                    </w:r>
                  </w:p>
                  <w:p w:rsidR="00F22F94" w:rsidRDefault="00F22F94">
                    <w:pPr>
                      <w:spacing w:before="153"/>
                      <w:ind w:left="3960"/>
                      <w:rPr>
                        <w:sz w:val="16"/>
                      </w:rPr>
                    </w:pPr>
                    <w:r>
                      <w:rPr>
                        <w:w w:val="85"/>
                        <w:sz w:val="16"/>
                      </w:rPr>
                      <w:t>10</w:t>
                    </w:r>
                    <w:r>
                      <w:rPr>
                        <w:spacing w:val="-2"/>
                        <w:w w:val="85"/>
                        <w:sz w:val="16"/>
                      </w:rPr>
                      <w:t xml:space="preserve"> </w:t>
                    </w:r>
                    <w:r>
                      <w:rPr>
                        <w:w w:val="85"/>
                        <w:sz w:val="16"/>
                      </w:rPr>
                      <w:t>to</w:t>
                    </w:r>
                    <w:r>
                      <w:rPr>
                        <w:spacing w:val="-2"/>
                        <w:w w:val="85"/>
                        <w:sz w:val="16"/>
                      </w:rPr>
                      <w:t xml:space="preserve"> </w:t>
                    </w:r>
                    <w:r>
                      <w:rPr>
                        <w:w w:val="85"/>
                        <w:sz w:val="16"/>
                      </w:rPr>
                      <w:t>14</w:t>
                    </w:r>
                    <w:r>
                      <w:rPr>
                        <w:spacing w:val="-2"/>
                        <w:w w:val="85"/>
                        <w:sz w:val="16"/>
                      </w:rPr>
                      <w:t xml:space="preserve"> </w:t>
                    </w:r>
                    <w:r>
                      <w:rPr>
                        <w:spacing w:val="-4"/>
                        <w:w w:val="80"/>
                        <w:sz w:val="16"/>
                      </w:rPr>
                      <w:t>years</w:t>
                    </w:r>
                  </w:p>
                  <w:p w:rsidR="00F22F94" w:rsidRDefault="00F22F94">
                    <w:pPr>
                      <w:spacing w:before="152"/>
                      <w:ind w:left="4114"/>
                      <w:rPr>
                        <w:sz w:val="16"/>
                      </w:rPr>
                    </w:pPr>
                    <w:r>
                      <w:rPr>
                        <w:w w:val="85"/>
                        <w:sz w:val="16"/>
                      </w:rPr>
                      <w:t>5</w:t>
                    </w:r>
                    <w:r>
                      <w:rPr>
                        <w:spacing w:val="-3"/>
                        <w:w w:val="85"/>
                        <w:sz w:val="16"/>
                      </w:rPr>
                      <w:t xml:space="preserve"> </w:t>
                    </w:r>
                    <w:r>
                      <w:rPr>
                        <w:w w:val="85"/>
                        <w:sz w:val="16"/>
                      </w:rPr>
                      <w:t>to</w:t>
                    </w:r>
                    <w:r>
                      <w:rPr>
                        <w:spacing w:val="-2"/>
                        <w:w w:val="85"/>
                        <w:sz w:val="16"/>
                      </w:rPr>
                      <w:t xml:space="preserve"> </w:t>
                    </w:r>
                    <w:r>
                      <w:rPr>
                        <w:w w:val="85"/>
                        <w:sz w:val="16"/>
                      </w:rPr>
                      <w:t>9</w:t>
                    </w:r>
                    <w:r>
                      <w:rPr>
                        <w:spacing w:val="-3"/>
                        <w:w w:val="85"/>
                        <w:sz w:val="16"/>
                      </w:rPr>
                      <w:t xml:space="preserve"> </w:t>
                    </w:r>
                    <w:r>
                      <w:rPr>
                        <w:spacing w:val="-4"/>
                        <w:w w:val="80"/>
                        <w:sz w:val="16"/>
                      </w:rPr>
                      <w:t>years</w:t>
                    </w:r>
                  </w:p>
                  <w:p w:rsidR="00F22F94" w:rsidRDefault="00F22F94">
                    <w:pPr>
                      <w:spacing w:before="153"/>
                      <w:ind w:left="4114"/>
                      <w:rPr>
                        <w:sz w:val="16"/>
                      </w:rPr>
                    </w:pPr>
                    <w:r>
                      <w:rPr>
                        <w:w w:val="85"/>
                        <w:sz w:val="16"/>
                      </w:rPr>
                      <w:t>0</w:t>
                    </w:r>
                    <w:r>
                      <w:rPr>
                        <w:spacing w:val="-3"/>
                        <w:w w:val="85"/>
                        <w:sz w:val="16"/>
                      </w:rPr>
                      <w:t xml:space="preserve"> </w:t>
                    </w:r>
                    <w:r>
                      <w:rPr>
                        <w:w w:val="85"/>
                        <w:sz w:val="16"/>
                      </w:rPr>
                      <w:t>to</w:t>
                    </w:r>
                    <w:r>
                      <w:rPr>
                        <w:spacing w:val="-2"/>
                        <w:w w:val="85"/>
                        <w:sz w:val="16"/>
                      </w:rPr>
                      <w:t xml:space="preserve"> </w:t>
                    </w:r>
                    <w:r>
                      <w:rPr>
                        <w:w w:val="85"/>
                        <w:sz w:val="16"/>
                      </w:rPr>
                      <w:t>4</w:t>
                    </w:r>
                    <w:r>
                      <w:rPr>
                        <w:spacing w:val="-3"/>
                        <w:w w:val="85"/>
                        <w:sz w:val="16"/>
                      </w:rPr>
                      <w:t xml:space="preserve"> </w:t>
                    </w:r>
                    <w:r>
                      <w:rPr>
                        <w:spacing w:val="-4"/>
                        <w:w w:val="80"/>
                        <w:sz w:val="16"/>
                      </w:rPr>
                      <w:t>years</w:t>
                    </w:r>
                  </w:p>
                </w:txbxContent>
              </v:textbox>
            </v:shape>
            <w10:wrap anchorx="page"/>
          </v:group>
        </w:pict>
      </w:r>
      <w:r w:rsidR="00F22F94">
        <w:rPr>
          <w:spacing w:val="-4"/>
          <w:w w:val="95"/>
          <w:sz w:val="16"/>
        </w:rPr>
        <w:t>Male</w:t>
      </w:r>
    </w:p>
    <w:p w:rsidR="002C1123" w:rsidRDefault="00F22F94">
      <w:pPr>
        <w:spacing w:before="44"/>
        <w:ind w:right="38"/>
        <w:jc w:val="right"/>
        <w:rPr>
          <w:sz w:val="16"/>
        </w:rPr>
      </w:pPr>
      <w:r>
        <w:br w:type="column"/>
      </w:r>
      <w:r>
        <w:rPr>
          <w:spacing w:val="-2"/>
          <w:w w:val="95"/>
          <w:sz w:val="16"/>
        </w:rPr>
        <w:t>Female</w:t>
      </w:r>
    </w:p>
    <w:p w:rsidR="002C1123" w:rsidRDefault="00F22F94">
      <w:pPr>
        <w:pStyle w:val="BodyText"/>
        <w:spacing w:before="10" w:line="249" w:lineRule="auto"/>
        <w:ind w:left="1507"/>
      </w:pPr>
      <w:r>
        <w:br w:type="column"/>
      </w:r>
      <w:r>
        <w:rPr>
          <w:spacing w:val="-2"/>
        </w:rPr>
        <w:t>regions</w:t>
      </w:r>
      <w:r>
        <w:rPr>
          <w:spacing w:val="-6"/>
        </w:rPr>
        <w:t xml:space="preserve"> </w:t>
      </w:r>
      <w:r>
        <w:rPr>
          <w:spacing w:val="-2"/>
        </w:rPr>
        <w:t>shows</w:t>
      </w:r>
      <w:r>
        <w:rPr>
          <w:spacing w:val="-6"/>
        </w:rPr>
        <w:t xml:space="preserve"> </w:t>
      </w:r>
      <w:r>
        <w:rPr>
          <w:spacing w:val="-2"/>
        </w:rPr>
        <w:t>a</w:t>
      </w:r>
      <w:r>
        <w:rPr>
          <w:spacing w:val="-6"/>
        </w:rPr>
        <w:t xml:space="preserve"> </w:t>
      </w:r>
      <w:r>
        <w:rPr>
          <w:spacing w:val="-2"/>
        </w:rPr>
        <w:t>relatively</w:t>
      </w:r>
      <w:r>
        <w:rPr>
          <w:spacing w:val="-6"/>
        </w:rPr>
        <w:t xml:space="preserve"> </w:t>
      </w:r>
      <w:r>
        <w:rPr>
          <w:spacing w:val="-2"/>
        </w:rPr>
        <w:t>high</w:t>
      </w:r>
      <w:r>
        <w:rPr>
          <w:spacing w:val="-6"/>
        </w:rPr>
        <w:t xml:space="preserve"> </w:t>
      </w:r>
      <w:r>
        <w:rPr>
          <w:spacing w:val="-2"/>
        </w:rPr>
        <w:t>dependency</w:t>
      </w:r>
      <w:r>
        <w:rPr>
          <w:spacing w:val="-6"/>
        </w:rPr>
        <w:t xml:space="preserve"> </w:t>
      </w:r>
      <w:r>
        <w:rPr>
          <w:spacing w:val="-2"/>
        </w:rPr>
        <w:t>ratio</w:t>
      </w:r>
      <w:r>
        <w:rPr>
          <w:spacing w:val="-6"/>
        </w:rPr>
        <w:t xml:space="preserve"> </w:t>
      </w:r>
      <w:r>
        <w:rPr>
          <w:spacing w:val="-2"/>
        </w:rPr>
        <w:t xml:space="preserve">(the </w:t>
      </w:r>
      <w:r>
        <w:t>ratio</w:t>
      </w:r>
      <w:r>
        <w:rPr>
          <w:spacing w:val="-10"/>
        </w:rPr>
        <w:t xml:space="preserve"> </w:t>
      </w:r>
      <w:r>
        <w:t>of</w:t>
      </w:r>
      <w:r>
        <w:rPr>
          <w:spacing w:val="-10"/>
        </w:rPr>
        <w:t xml:space="preserve"> </w:t>
      </w:r>
      <w:r>
        <w:t>people</w:t>
      </w:r>
      <w:r>
        <w:rPr>
          <w:spacing w:val="-10"/>
        </w:rPr>
        <w:t xml:space="preserve"> </w:t>
      </w:r>
      <w:r>
        <w:t>aged</w:t>
      </w:r>
      <w:r>
        <w:rPr>
          <w:spacing w:val="-10"/>
        </w:rPr>
        <w:t xml:space="preserve"> </w:t>
      </w:r>
      <w:r>
        <w:t>under</w:t>
      </w:r>
      <w:r>
        <w:rPr>
          <w:spacing w:val="-10"/>
        </w:rPr>
        <w:t xml:space="preserve"> </w:t>
      </w:r>
      <w:r>
        <w:t>15</w:t>
      </w:r>
      <w:r>
        <w:rPr>
          <w:spacing w:val="-10"/>
        </w:rPr>
        <w:t xml:space="preserve"> </w:t>
      </w:r>
      <w:r>
        <w:t>and</w:t>
      </w:r>
      <w:r>
        <w:rPr>
          <w:spacing w:val="-10"/>
        </w:rPr>
        <w:t xml:space="preserve"> </w:t>
      </w:r>
      <w:r>
        <w:t>over</w:t>
      </w:r>
      <w:r>
        <w:rPr>
          <w:spacing w:val="-10"/>
        </w:rPr>
        <w:t xml:space="preserve"> </w:t>
      </w:r>
      <w:r>
        <w:t>65</w:t>
      </w:r>
      <w:r>
        <w:rPr>
          <w:spacing w:val="-10"/>
        </w:rPr>
        <w:t xml:space="preserve"> </w:t>
      </w:r>
      <w:r>
        <w:t>to</w:t>
      </w:r>
      <w:r>
        <w:rPr>
          <w:spacing w:val="-10"/>
        </w:rPr>
        <w:t xml:space="preserve"> </w:t>
      </w:r>
      <w:r>
        <w:t xml:space="preserve">total </w:t>
      </w:r>
      <w:r>
        <w:rPr>
          <w:w w:val="95"/>
        </w:rPr>
        <w:t>population)</w:t>
      </w:r>
      <w:r>
        <w:rPr>
          <w:spacing w:val="-3"/>
          <w:w w:val="95"/>
        </w:rPr>
        <w:t xml:space="preserve"> </w:t>
      </w:r>
      <w:r>
        <w:rPr>
          <w:w w:val="95"/>
        </w:rPr>
        <w:t>of</w:t>
      </w:r>
      <w:r>
        <w:rPr>
          <w:spacing w:val="-3"/>
          <w:w w:val="95"/>
        </w:rPr>
        <w:t xml:space="preserve"> </w:t>
      </w:r>
      <w:r>
        <w:rPr>
          <w:w w:val="95"/>
        </w:rPr>
        <w:t>around</w:t>
      </w:r>
      <w:r>
        <w:rPr>
          <w:spacing w:val="-3"/>
          <w:w w:val="95"/>
        </w:rPr>
        <w:t xml:space="preserve"> </w:t>
      </w:r>
      <w:r>
        <w:rPr>
          <w:w w:val="95"/>
        </w:rPr>
        <w:t>0.36</w:t>
      </w:r>
      <w:r>
        <w:rPr>
          <w:spacing w:val="-3"/>
          <w:w w:val="95"/>
        </w:rPr>
        <w:t xml:space="preserve"> </w:t>
      </w:r>
      <w:r>
        <w:rPr>
          <w:w w:val="95"/>
        </w:rPr>
        <w:t>compared</w:t>
      </w:r>
      <w:r>
        <w:rPr>
          <w:spacing w:val="-3"/>
          <w:w w:val="95"/>
        </w:rPr>
        <w:t xml:space="preserve"> </w:t>
      </w:r>
      <w:r>
        <w:rPr>
          <w:w w:val="95"/>
        </w:rPr>
        <w:t>to</w:t>
      </w:r>
      <w:r>
        <w:rPr>
          <w:spacing w:val="-3"/>
          <w:w w:val="95"/>
        </w:rPr>
        <w:t xml:space="preserve"> </w:t>
      </w:r>
      <w:r>
        <w:rPr>
          <w:w w:val="95"/>
        </w:rPr>
        <w:t>0.33</w:t>
      </w:r>
      <w:r>
        <w:rPr>
          <w:spacing w:val="-3"/>
          <w:w w:val="95"/>
        </w:rPr>
        <w:t xml:space="preserve"> </w:t>
      </w:r>
      <w:r>
        <w:rPr>
          <w:w w:val="95"/>
        </w:rPr>
        <w:t>for</w:t>
      </w:r>
      <w:r>
        <w:rPr>
          <w:spacing w:val="-3"/>
          <w:w w:val="95"/>
        </w:rPr>
        <w:t xml:space="preserve"> </w:t>
      </w:r>
      <w:r>
        <w:rPr>
          <w:w w:val="95"/>
        </w:rPr>
        <w:t>Sydney.</w:t>
      </w:r>
    </w:p>
    <w:p w:rsidR="002C1123" w:rsidRDefault="00F22F94">
      <w:pPr>
        <w:pStyle w:val="BodyText"/>
        <w:spacing w:before="2" w:line="249" w:lineRule="auto"/>
        <w:ind w:left="1507" w:right="25"/>
      </w:pPr>
      <w:r>
        <w:t>The</w:t>
      </w:r>
      <w:r>
        <w:rPr>
          <w:spacing w:val="-8"/>
        </w:rPr>
        <w:t xml:space="preserve"> </w:t>
      </w:r>
      <w:r>
        <w:t>proportion</w:t>
      </w:r>
      <w:r>
        <w:rPr>
          <w:spacing w:val="-8"/>
        </w:rPr>
        <w:t xml:space="preserve"> </w:t>
      </w:r>
      <w:r>
        <w:t>of</w:t>
      </w:r>
      <w:r>
        <w:rPr>
          <w:spacing w:val="-8"/>
        </w:rPr>
        <w:t xml:space="preserve"> </w:t>
      </w:r>
      <w:r>
        <w:t>the</w:t>
      </w:r>
      <w:r>
        <w:rPr>
          <w:spacing w:val="-8"/>
        </w:rPr>
        <w:t xml:space="preserve"> </w:t>
      </w:r>
      <w:r>
        <w:t>population</w:t>
      </w:r>
      <w:r>
        <w:rPr>
          <w:spacing w:val="-8"/>
        </w:rPr>
        <w:t xml:space="preserve"> </w:t>
      </w:r>
      <w:r>
        <w:t>from</w:t>
      </w:r>
      <w:r>
        <w:rPr>
          <w:spacing w:val="-8"/>
        </w:rPr>
        <w:t xml:space="preserve"> </w:t>
      </w:r>
      <w:r>
        <w:t>20</w:t>
      </w:r>
      <w:r>
        <w:rPr>
          <w:spacing w:val="-8"/>
        </w:rPr>
        <w:t xml:space="preserve"> </w:t>
      </w:r>
      <w:r>
        <w:t>to</w:t>
      </w:r>
      <w:r>
        <w:rPr>
          <w:spacing w:val="-8"/>
        </w:rPr>
        <w:t xml:space="preserve"> </w:t>
      </w:r>
      <w:r>
        <w:t>40</w:t>
      </w:r>
      <w:r>
        <w:rPr>
          <w:spacing w:val="-8"/>
        </w:rPr>
        <w:t xml:space="preserve"> </w:t>
      </w:r>
      <w:r>
        <w:t xml:space="preserve">years </w:t>
      </w:r>
      <w:r>
        <w:rPr>
          <w:w w:val="95"/>
        </w:rPr>
        <w:t>old</w:t>
      </w:r>
      <w:r>
        <w:rPr>
          <w:spacing w:val="-9"/>
          <w:w w:val="95"/>
        </w:rPr>
        <w:t xml:space="preserve"> </w:t>
      </w:r>
      <w:r>
        <w:rPr>
          <w:w w:val="95"/>
        </w:rPr>
        <w:t>is</w:t>
      </w:r>
      <w:r>
        <w:rPr>
          <w:spacing w:val="-9"/>
          <w:w w:val="95"/>
        </w:rPr>
        <w:t xml:space="preserve"> </w:t>
      </w:r>
      <w:r>
        <w:rPr>
          <w:w w:val="95"/>
        </w:rPr>
        <w:t>particularly</w:t>
      </w:r>
      <w:r>
        <w:rPr>
          <w:spacing w:val="-9"/>
          <w:w w:val="95"/>
        </w:rPr>
        <w:t xml:space="preserve"> </w:t>
      </w:r>
      <w:r>
        <w:rPr>
          <w:w w:val="95"/>
        </w:rPr>
        <w:t>low.</w:t>
      </w:r>
      <w:r>
        <w:rPr>
          <w:spacing w:val="-9"/>
          <w:w w:val="95"/>
        </w:rPr>
        <w:t xml:space="preserve"> </w:t>
      </w:r>
      <w:r>
        <w:rPr>
          <w:w w:val="95"/>
        </w:rPr>
        <w:t>This</w:t>
      </w:r>
      <w:r>
        <w:rPr>
          <w:spacing w:val="-9"/>
          <w:w w:val="95"/>
        </w:rPr>
        <w:t xml:space="preserve"> </w:t>
      </w:r>
      <w:r>
        <w:rPr>
          <w:w w:val="95"/>
        </w:rPr>
        <w:t>is</w:t>
      </w:r>
      <w:r>
        <w:rPr>
          <w:spacing w:val="-9"/>
          <w:w w:val="95"/>
        </w:rPr>
        <w:t xml:space="preserve"> </w:t>
      </w:r>
      <w:r>
        <w:rPr>
          <w:w w:val="95"/>
        </w:rPr>
        <w:t>partly</w:t>
      </w:r>
      <w:r>
        <w:rPr>
          <w:spacing w:val="-9"/>
          <w:w w:val="95"/>
        </w:rPr>
        <w:t xml:space="preserve"> </w:t>
      </w:r>
      <w:r>
        <w:rPr>
          <w:w w:val="95"/>
        </w:rPr>
        <w:t>the</w:t>
      </w:r>
      <w:r>
        <w:rPr>
          <w:spacing w:val="-9"/>
          <w:w w:val="95"/>
        </w:rPr>
        <w:t xml:space="preserve"> </w:t>
      </w:r>
      <w:r>
        <w:rPr>
          <w:w w:val="95"/>
        </w:rPr>
        <w:t>result</w:t>
      </w:r>
      <w:r>
        <w:rPr>
          <w:spacing w:val="-9"/>
          <w:w w:val="95"/>
        </w:rPr>
        <w:t xml:space="preserve"> </w:t>
      </w:r>
      <w:r>
        <w:rPr>
          <w:w w:val="95"/>
        </w:rPr>
        <w:t>of</w:t>
      </w:r>
      <w:r>
        <w:rPr>
          <w:spacing w:val="-9"/>
          <w:w w:val="95"/>
        </w:rPr>
        <w:t xml:space="preserve"> </w:t>
      </w:r>
      <w:r>
        <w:rPr>
          <w:w w:val="95"/>
        </w:rPr>
        <w:t>the</w:t>
      </w:r>
      <w:r>
        <w:rPr>
          <w:spacing w:val="-9"/>
          <w:w w:val="95"/>
        </w:rPr>
        <w:t xml:space="preserve"> </w:t>
      </w:r>
      <w:r>
        <w:rPr>
          <w:w w:val="95"/>
        </w:rPr>
        <w:t xml:space="preserve">past </w:t>
      </w:r>
      <w:r>
        <w:t>decade</w:t>
      </w:r>
      <w:r>
        <w:rPr>
          <w:spacing w:val="-7"/>
        </w:rPr>
        <w:t xml:space="preserve"> </w:t>
      </w:r>
      <w:r>
        <w:t>of</w:t>
      </w:r>
      <w:r>
        <w:rPr>
          <w:spacing w:val="-7"/>
        </w:rPr>
        <w:t xml:space="preserve"> </w:t>
      </w:r>
      <w:r>
        <w:t>drought</w:t>
      </w:r>
      <w:r>
        <w:rPr>
          <w:spacing w:val="-7"/>
        </w:rPr>
        <w:t xml:space="preserve"> </w:t>
      </w:r>
      <w:r>
        <w:t>when</w:t>
      </w:r>
      <w:r>
        <w:rPr>
          <w:spacing w:val="-7"/>
        </w:rPr>
        <w:t xml:space="preserve"> </w:t>
      </w:r>
      <w:r>
        <w:t>less</w:t>
      </w:r>
      <w:r>
        <w:rPr>
          <w:spacing w:val="-7"/>
        </w:rPr>
        <w:t xml:space="preserve"> </w:t>
      </w:r>
      <w:r>
        <w:t>labour</w:t>
      </w:r>
      <w:r>
        <w:rPr>
          <w:spacing w:val="-7"/>
        </w:rPr>
        <w:t xml:space="preserve"> </w:t>
      </w:r>
      <w:r>
        <w:t>was</w:t>
      </w:r>
      <w:r>
        <w:rPr>
          <w:spacing w:val="-7"/>
        </w:rPr>
        <w:t xml:space="preserve"> </w:t>
      </w:r>
      <w:r>
        <w:t>needed</w:t>
      </w:r>
      <w:r>
        <w:rPr>
          <w:spacing w:val="-7"/>
        </w:rPr>
        <w:t xml:space="preserve"> </w:t>
      </w:r>
      <w:r>
        <w:t>in agricultural</w:t>
      </w:r>
      <w:r>
        <w:rPr>
          <w:spacing w:val="-11"/>
        </w:rPr>
        <w:t xml:space="preserve"> </w:t>
      </w:r>
      <w:r>
        <w:t>production,</w:t>
      </w:r>
      <w:r>
        <w:rPr>
          <w:spacing w:val="-11"/>
        </w:rPr>
        <w:t xml:space="preserve"> </w:t>
      </w:r>
      <w:r>
        <w:t>encouraging</w:t>
      </w:r>
      <w:r>
        <w:rPr>
          <w:spacing w:val="-11"/>
        </w:rPr>
        <w:t xml:space="preserve"> </w:t>
      </w:r>
      <w:r>
        <w:t>migration</w:t>
      </w:r>
      <w:r>
        <w:rPr>
          <w:spacing w:val="-11"/>
        </w:rPr>
        <w:t xml:space="preserve"> </w:t>
      </w:r>
      <w:r>
        <w:t xml:space="preserve">away </w:t>
      </w:r>
      <w:r>
        <w:rPr>
          <w:w w:val="95"/>
        </w:rPr>
        <w:t>from some regional areas. The demographic profile of</w:t>
      </w:r>
    </w:p>
    <w:p w:rsidR="002C1123" w:rsidRDefault="00F22F94">
      <w:pPr>
        <w:pStyle w:val="BodyText"/>
        <w:spacing w:before="4" w:line="249" w:lineRule="auto"/>
        <w:ind w:left="1507"/>
      </w:pPr>
      <w:r>
        <w:rPr>
          <w:w w:val="95"/>
        </w:rPr>
        <w:t>North</w:t>
      </w:r>
      <w:r>
        <w:rPr>
          <w:spacing w:val="-7"/>
          <w:w w:val="95"/>
        </w:rPr>
        <w:t xml:space="preserve"> </w:t>
      </w:r>
      <w:r>
        <w:rPr>
          <w:w w:val="95"/>
        </w:rPr>
        <w:t>Coast,</w:t>
      </w:r>
      <w:r>
        <w:rPr>
          <w:spacing w:val="-7"/>
          <w:w w:val="95"/>
        </w:rPr>
        <w:t xml:space="preserve"> </w:t>
      </w:r>
      <w:r>
        <w:rPr>
          <w:w w:val="95"/>
        </w:rPr>
        <w:t>shown</w:t>
      </w:r>
      <w:r>
        <w:rPr>
          <w:spacing w:val="-7"/>
          <w:w w:val="95"/>
        </w:rPr>
        <w:t xml:space="preserve"> </w:t>
      </w:r>
      <w:r>
        <w:rPr>
          <w:w w:val="95"/>
        </w:rPr>
        <w:t>in</w:t>
      </w:r>
      <w:r>
        <w:rPr>
          <w:spacing w:val="-7"/>
          <w:w w:val="95"/>
        </w:rPr>
        <w:t xml:space="preserve"> </w:t>
      </w:r>
      <w:r>
        <w:rPr>
          <w:w w:val="95"/>
        </w:rPr>
        <w:t>Figure</w:t>
      </w:r>
      <w:r>
        <w:rPr>
          <w:spacing w:val="-7"/>
          <w:w w:val="95"/>
        </w:rPr>
        <w:t xml:space="preserve"> </w:t>
      </w:r>
      <w:r>
        <w:rPr>
          <w:w w:val="95"/>
        </w:rPr>
        <w:t>5.2,</w:t>
      </w:r>
      <w:r>
        <w:rPr>
          <w:spacing w:val="-7"/>
          <w:w w:val="95"/>
        </w:rPr>
        <w:t xml:space="preserve"> </w:t>
      </w:r>
      <w:r>
        <w:rPr>
          <w:w w:val="95"/>
        </w:rPr>
        <w:t>illustrates</w:t>
      </w:r>
      <w:r>
        <w:rPr>
          <w:spacing w:val="-7"/>
          <w:w w:val="95"/>
        </w:rPr>
        <w:t xml:space="preserve"> </w:t>
      </w:r>
      <w:r>
        <w:rPr>
          <w:w w:val="95"/>
        </w:rPr>
        <w:t>this</w:t>
      </w:r>
      <w:r>
        <w:rPr>
          <w:spacing w:val="-7"/>
          <w:w w:val="95"/>
        </w:rPr>
        <w:t xml:space="preserve"> </w:t>
      </w:r>
      <w:r>
        <w:rPr>
          <w:w w:val="95"/>
        </w:rPr>
        <w:t xml:space="preserve">‘missing’ </w:t>
      </w:r>
      <w:r>
        <w:t>age</w:t>
      </w:r>
      <w:r>
        <w:rPr>
          <w:spacing w:val="-10"/>
        </w:rPr>
        <w:t xml:space="preserve"> </w:t>
      </w:r>
      <w:r>
        <w:t>group</w:t>
      </w:r>
      <w:r>
        <w:rPr>
          <w:spacing w:val="-10"/>
        </w:rPr>
        <w:t xml:space="preserve"> </w:t>
      </w:r>
      <w:r>
        <w:t>compared</w:t>
      </w:r>
      <w:r>
        <w:rPr>
          <w:spacing w:val="-10"/>
        </w:rPr>
        <w:t xml:space="preserve"> </w:t>
      </w:r>
      <w:r>
        <w:t>to</w:t>
      </w:r>
      <w:r>
        <w:rPr>
          <w:spacing w:val="-10"/>
        </w:rPr>
        <w:t xml:space="preserve"> </w:t>
      </w:r>
      <w:r>
        <w:t>profile</w:t>
      </w:r>
      <w:r>
        <w:rPr>
          <w:spacing w:val="-10"/>
        </w:rPr>
        <w:t xml:space="preserve"> </w:t>
      </w:r>
      <w:r>
        <w:t>of</w:t>
      </w:r>
      <w:r>
        <w:rPr>
          <w:spacing w:val="-10"/>
        </w:rPr>
        <w:t xml:space="preserve"> </w:t>
      </w:r>
      <w:r>
        <w:t>NSW</w:t>
      </w:r>
      <w:r>
        <w:rPr>
          <w:spacing w:val="-10"/>
        </w:rPr>
        <w:t xml:space="preserve"> </w:t>
      </w:r>
      <w:r>
        <w:t>as</w:t>
      </w:r>
      <w:r>
        <w:rPr>
          <w:spacing w:val="-10"/>
        </w:rPr>
        <w:t xml:space="preserve"> </w:t>
      </w:r>
      <w:r>
        <w:t>a</w:t>
      </w:r>
      <w:r>
        <w:rPr>
          <w:spacing w:val="-10"/>
        </w:rPr>
        <w:t xml:space="preserve"> </w:t>
      </w:r>
      <w:r>
        <w:t>whole.</w:t>
      </w:r>
    </w:p>
    <w:p w:rsidR="002C1123" w:rsidRDefault="00F22F94">
      <w:pPr>
        <w:pStyle w:val="BodyText"/>
        <w:spacing w:before="144" w:line="249" w:lineRule="auto"/>
        <w:ind w:left="1507" w:right="188"/>
      </w:pPr>
      <w:r>
        <w:rPr>
          <w:w w:val="95"/>
        </w:rPr>
        <w:t>The</w:t>
      </w:r>
      <w:r>
        <w:rPr>
          <w:spacing w:val="-4"/>
          <w:w w:val="95"/>
        </w:rPr>
        <w:t xml:space="preserve"> </w:t>
      </w:r>
      <w:r>
        <w:rPr>
          <w:w w:val="95"/>
        </w:rPr>
        <w:t>impact</w:t>
      </w:r>
      <w:r>
        <w:rPr>
          <w:spacing w:val="-4"/>
          <w:w w:val="95"/>
        </w:rPr>
        <w:t xml:space="preserve"> </w:t>
      </w:r>
      <w:r>
        <w:rPr>
          <w:w w:val="95"/>
        </w:rPr>
        <w:t>of</w:t>
      </w:r>
      <w:r>
        <w:rPr>
          <w:spacing w:val="-4"/>
          <w:w w:val="95"/>
        </w:rPr>
        <w:t xml:space="preserve"> </w:t>
      </w:r>
      <w:r>
        <w:rPr>
          <w:w w:val="95"/>
        </w:rPr>
        <w:t>a</w:t>
      </w:r>
      <w:r>
        <w:rPr>
          <w:spacing w:val="-4"/>
          <w:w w:val="95"/>
        </w:rPr>
        <w:t xml:space="preserve"> </w:t>
      </w:r>
      <w:r>
        <w:rPr>
          <w:w w:val="95"/>
        </w:rPr>
        <w:t>lower</w:t>
      </w:r>
      <w:r>
        <w:rPr>
          <w:spacing w:val="-4"/>
          <w:w w:val="95"/>
        </w:rPr>
        <w:t xml:space="preserve"> </w:t>
      </w:r>
      <w:r>
        <w:rPr>
          <w:w w:val="95"/>
        </w:rPr>
        <w:t>proportion</w:t>
      </w:r>
      <w:r>
        <w:rPr>
          <w:spacing w:val="-4"/>
          <w:w w:val="95"/>
        </w:rPr>
        <w:t xml:space="preserve"> </w:t>
      </w:r>
      <w:r>
        <w:rPr>
          <w:w w:val="95"/>
        </w:rPr>
        <w:t>in</w:t>
      </w:r>
      <w:r>
        <w:rPr>
          <w:spacing w:val="-4"/>
          <w:w w:val="95"/>
        </w:rPr>
        <w:t xml:space="preserve"> </w:t>
      </w:r>
      <w:r>
        <w:rPr>
          <w:w w:val="95"/>
        </w:rPr>
        <w:t>this</w:t>
      </w:r>
      <w:r>
        <w:rPr>
          <w:spacing w:val="-4"/>
          <w:w w:val="95"/>
        </w:rPr>
        <w:t xml:space="preserve"> </w:t>
      </w:r>
      <w:r>
        <w:rPr>
          <w:w w:val="95"/>
        </w:rPr>
        <w:t>age</w:t>
      </w:r>
      <w:r>
        <w:rPr>
          <w:spacing w:val="-4"/>
          <w:w w:val="95"/>
        </w:rPr>
        <w:t xml:space="preserve"> </w:t>
      </w:r>
      <w:r>
        <w:rPr>
          <w:w w:val="95"/>
        </w:rPr>
        <w:t>group</w:t>
      </w:r>
      <w:r>
        <w:rPr>
          <w:spacing w:val="-4"/>
          <w:w w:val="95"/>
        </w:rPr>
        <w:t xml:space="preserve"> </w:t>
      </w:r>
      <w:r>
        <w:rPr>
          <w:w w:val="95"/>
        </w:rPr>
        <w:t xml:space="preserve">is </w:t>
      </w:r>
      <w:r>
        <w:t>reflected</w:t>
      </w:r>
      <w:r>
        <w:rPr>
          <w:spacing w:val="-8"/>
        </w:rPr>
        <w:t xml:space="preserve"> </w:t>
      </w:r>
      <w:r>
        <w:t>in</w:t>
      </w:r>
      <w:r>
        <w:rPr>
          <w:spacing w:val="-8"/>
        </w:rPr>
        <w:t xml:space="preserve"> </w:t>
      </w:r>
      <w:r>
        <w:t>forecasts</w:t>
      </w:r>
      <w:r>
        <w:rPr>
          <w:spacing w:val="-8"/>
        </w:rPr>
        <w:t xml:space="preserve"> </w:t>
      </w:r>
      <w:r>
        <w:t>for</w:t>
      </w:r>
      <w:r>
        <w:rPr>
          <w:spacing w:val="-8"/>
        </w:rPr>
        <w:t xml:space="preserve"> </w:t>
      </w:r>
      <w:r>
        <w:t>school</w:t>
      </w:r>
      <w:r>
        <w:rPr>
          <w:spacing w:val="-8"/>
        </w:rPr>
        <w:t xml:space="preserve"> </w:t>
      </w:r>
      <w:r>
        <w:t>growth,</w:t>
      </w:r>
      <w:r>
        <w:rPr>
          <w:spacing w:val="-8"/>
        </w:rPr>
        <w:t xml:space="preserve"> </w:t>
      </w:r>
      <w:r>
        <w:t>which</w:t>
      </w:r>
      <w:r>
        <w:rPr>
          <w:spacing w:val="-8"/>
        </w:rPr>
        <w:t xml:space="preserve"> </w:t>
      </w:r>
      <w:r>
        <w:t xml:space="preserve">are </w:t>
      </w:r>
      <w:r>
        <w:rPr>
          <w:w w:val="95"/>
        </w:rPr>
        <w:t>substantially</w:t>
      </w:r>
      <w:r>
        <w:rPr>
          <w:spacing w:val="-12"/>
          <w:w w:val="95"/>
        </w:rPr>
        <w:t xml:space="preserve"> </w:t>
      </w:r>
      <w:r>
        <w:rPr>
          <w:w w:val="95"/>
        </w:rPr>
        <w:t>lower</w:t>
      </w:r>
      <w:r>
        <w:rPr>
          <w:spacing w:val="-11"/>
          <w:w w:val="95"/>
        </w:rPr>
        <w:t xml:space="preserve"> </w:t>
      </w:r>
      <w:r>
        <w:rPr>
          <w:w w:val="95"/>
        </w:rPr>
        <w:t>than</w:t>
      </w:r>
      <w:r>
        <w:rPr>
          <w:spacing w:val="-11"/>
          <w:w w:val="95"/>
        </w:rPr>
        <w:t xml:space="preserve"> </w:t>
      </w:r>
      <w:r>
        <w:rPr>
          <w:w w:val="95"/>
        </w:rPr>
        <w:t>in</w:t>
      </w:r>
      <w:r>
        <w:rPr>
          <w:spacing w:val="-11"/>
          <w:w w:val="95"/>
        </w:rPr>
        <w:t xml:space="preserve"> </w:t>
      </w:r>
      <w:r>
        <w:rPr>
          <w:w w:val="95"/>
        </w:rPr>
        <w:t>Sydney.</w:t>
      </w:r>
      <w:r>
        <w:rPr>
          <w:spacing w:val="-11"/>
          <w:w w:val="95"/>
        </w:rPr>
        <w:t xml:space="preserve"> </w:t>
      </w:r>
      <w:r>
        <w:rPr>
          <w:w w:val="95"/>
        </w:rPr>
        <w:t>The</w:t>
      </w:r>
      <w:r>
        <w:rPr>
          <w:spacing w:val="-11"/>
          <w:w w:val="95"/>
        </w:rPr>
        <w:t xml:space="preserve"> </w:t>
      </w:r>
      <w:r>
        <w:rPr>
          <w:w w:val="95"/>
        </w:rPr>
        <w:t>profile</w:t>
      </w:r>
      <w:r>
        <w:rPr>
          <w:spacing w:val="-11"/>
          <w:w w:val="95"/>
        </w:rPr>
        <w:t xml:space="preserve"> </w:t>
      </w:r>
      <w:r>
        <w:rPr>
          <w:w w:val="95"/>
        </w:rPr>
        <w:t xml:space="preserve">above also illustrates the higher proportion in the ‘over 50’ </w:t>
      </w:r>
      <w:r>
        <w:t>age</w:t>
      </w:r>
      <w:r>
        <w:rPr>
          <w:spacing w:val="-11"/>
        </w:rPr>
        <w:t xml:space="preserve"> </w:t>
      </w:r>
      <w:r>
        <w:t>group.</w:t>
      </w:r>
    </w:p>
    <w:p w:rsidR="002C1123" w:rsidRDefault="00F22F94">
      <w:pPr>
        <w:pStyle w:val="Heading6"/>
        <w:numPr>
          <w:ilvl w:val="2"/>
          <w:numId w:val="101"/>
        </w:numPr>
        <w:tabs>
          <w:tab w:val="left" w:pos="1994"/>
        </w:tabs>
        <w:spacing w:before="146"/>
        <w:ind w:left="1993" w:hanging="487"/>
        <w:jc w:val="left"/>
      </w:pPr>
      <w:r>
        <w:rPr>
          <w:color w:val="EC008C"/>
          <w:w w:val="95"/>
        </w:rPr>
        <w:t>Employment</w:t>
      </w:r>
      <w:r>
        <w:rPr>
          <w:color w:val="EC008C"/>
          <w:spacing w:val="5"/>
        </w:rPr>
        <w:t xml:space="preserve"> </w:t>
      </w:r>
      <w:r>
        <w:rPr>
          <w:color w:val="EC008C"/>
          <w:w w:val="95"/>
        </w:rPr>
        <w:t>in</w:t>
      </w:r>
      <w:r>
        <w:rPr>
          <w:color w:val="EC008C"/>
          <w:spacing w:val="5"/>
        </w:rPr>
        <w:t xml:space="preserve"> </w:t>
      </w:r>
      <w:r>
        <w:rPr>
          <w:color w:val="EC008C"/>
          <w:w w:val="95"/>
        </w:rPr>
        <w:t>Regional</w:t>
      </w:r>
      <w:r>
        <w:rPr>
          <w:color w:val="EC008C"/>
          <w:spacing w:val="5"/>
        </w:rPr>
        <w:t xml:space="preserve"> </w:t>
      </w:r>
      <w:r>
        <w:rPr>
          <w:color w:val="EC008C"/>
          <w:spacing w:val="-5"/>
          <w:w w:val="95"/>
        </w:rPr>
        <w:t>NSW</w:t>
      </w:r>
    </w:p>
    <w:p w:rsidR="002C1123" w:rsidRDefault="00F22F94">
      <w:pPr>
        <w:pStyle w:val="BodyText"/>
        <w:spacing w:before="95" w:line="249" w:lineRule="auto"/>
        <w:ind w:left="1507" w:right="10"/>
      </w:pPr>
      <w:r>
        <w:rPr>
          <w:w w:val="95"/>
        </w:rPr>
        <w:t xml:space="preserve">Creating and then sustaining employment opportunities </w:t>
      </w:r>
      <w:r>
        <w:t>is</w:t>
      </w:r>
      <w:r>
        <w:rPr>
          <w:spacing w:val="-14"/>
        </w:rPr>
        <w:t xml:space="preserve"> </w:t>
      </w:r>
      <w:r>
        <w:t>a</w:t>
      </w:r>
      <w:r>
        <w:rPr>
          <w:spacing w:val="-14"/>
        </w:rPr>
        <w:t xml:space="preserve"> </w:t>
      </w:r>
      <w:r>
        <w:t>critical</w:t>
      </w:r>
      <w:r>
        <w:rPr>
          <w:spacing w:val="-14"/>
        </w:rPr>
        <w:t xml:space="preserve"> </w:t>
      </w:r>
      <w:r>
        <w:t>issue</w:t>
      </w:r>
      <w:r>
        <w:rPr>
          <w:spacing w:val="-14"/>
        </w:rPr>
        <w:t xml:space="preserve"> </w:t>
      </w:r>
      <w:r>
        <w:t>for</w:t>
      </w:r>
      <w:r>
        <w:rPr>
          <w:spacing w:val="-14"/>
        </w:rPr>
        <w:t xml:space="preserve"> </w:t>
      </w:r>
      <w:r>
        <w:t>Regional</w:t>
      </w:r>
      <w:r>
        <w:rPr>
          <w:spacing w:val="-14"/>
        </w:rPr>
        <w:t xml:space="preserve"> </w:t>
      </w:r>
      <w:r>
        <w:t>NSW.</w:t>
      </w:r>
      <w:r>
        <w:rPr>
          <w:spacing w:val="-14"/>
        </w:rPr>
        <w:t xml:space="preserve"> </w:t>
      </w:r>
      <w:r>
        <w:t>A</w:t>
      </w:r>
      <w:r>
        <w:rPr>
          <w:spacing w:val="-14"/>
        </w:rPr>
        <w:t xml:space="preserve"> </w:t>
      </w:r>
      <w:r>
        <w:t>lack</w:t>
      </w:r>
      <w:r>
        <w:rPr>
          <w:spacing w:val="-14"/>
        </w:rPr>
        <w:t xml:space="preserve"> </w:t>
      </w:r>
      <w:r>
        <w:t xml:space="preserve">of </w:t>
      </w:r>
      <w:r>
        <w:rPr>
          <w:w w:val="95"/>
        </w:rPr>
        <w:t xml:space="preserve">employment opportunities has led to the need for people </w:t>
      </w:r>
      <w:r>
        <w:t>to</w:t>
      </w:r>
      <w:r>
        <w:rPr>
          <w:spacing w:val="-14"/>
        </w:rPr>
        <w:t xml:space="preserve"> </w:t>
      </w:r>
      <w:r>
        <w:t>leave</w:t>
      </w:r>
      <w:r>
        <w:rPr>
          <w:spacing w:val="-14"/>
        </w:rPr>
        <w:t xml:space="preserve"> </w:t>
      </w:r>
      <w:r>
        <w:t>the</w:t>
      </w:r>
      <w:r>
        <w:rPr>
          <w:spacing w:val="-14"/>
        </w:rPr>
        <w:t xml:space="preserve"> </w:t>
      </w:r>
      <w:r>
        <w:t>regional</w:t>
      </w:r>
      <w:r>
        <w:rPr>
          <w:spacing w:val="-14"/>
        </w:rPr>
        <w:t xml:space="preserve"> </w:t>
      </w:r>
      <w:r>
        <w:t>areas</w:t>
      </w:r>
      <w:r>
        <w:rPr>
          <w:spacing w:val="-14"/>
        </w:rPr>
        <w:t xml:space="preserve"> </w:t>
      </w:r>
      <w:r>
        <w:t>for</w:t>
      </w:r>
      <w:r>
        <w:rPr>
          <w:spacing w:val="-14"/>
        </w:rPr>
        <w:t xml:space="preserve"> </w:t>
      </w:r>
      <w:r>
        <w:t>work</w:t>
      </w:r>
      <w:r>
        <w:rPr>
          <w:spacing w:val="-14"/>
        </w:rPr>
        <w:t xml:space="preserve"> </w:t>
      </w:r>
      <w:r>
        <w:t>elsewhere.</w:t>
      </w:r>
    </w:p>
    <w:p w:rsidR="002C1123" w:rsidRDefault="00F22F94">
      <w:pPr>
        <w:pStyle w:val="BodyText"/>
        <w:spacing w:before="145" w:line="249" w:lineRule="auto"/>
        <w:ind w:left="1507"/>
      </w:pPr>
      <w:r>
        <w:rPr>
          <w:w w:val="95"/>
        </w:rPr>
        <w:t xml:space="preserve">Employment challenges vary considerably between the </w:t>
      </w:r>
      <w:r>
        <w:t>different regions in NSW.</w:t>
      </w:r>
    </w:p>
    <w:p w:rsidR="002C1123" w:rsidRDefault="00F22F94">
      <w:pPr>
        <w:pStyle w:val="BodyText"/>
        <w:spacing w:before="139" w:line="249" w:lineRule="auto"/>
        <w:ind w:left="1507"/>
      </w:pPr>
      <w:r>
        <w:t>Some</w:t>
      </w:r>
      <w:r>
        <w:rPr>
          <w:spacing w:val="-10"/>
        </w:rPr>
        <w:t xml:space="preserve"> </w:t>
      </w:r>
      <w:r>
        <w:t>regions</w:t>
      </w:r>
      <w:r>
        <w:rPr>
          <w:spacing w:val="-8"/>
        </w:rPr>
        <w:t xml:space="preserve"> </w:t>
      </w:r>
      <w:r>
        <w:t>are</w:t>
      </w:r>
      <w:r>
        <w:rPr>
          <w:spacing w:val="-8"/>
        </w:rPr>
        <w:t xml:space="preserve"> </w:t>
      </w:r>
      <w:r>
        <w:t>experiencing</w:t>
      </w:r>
      <w:r>
        <w:rPr>
          <w:spacing w:val="-8"/>
        </w:rPr>
        <w:t xml:space="preserve"> </w:t>
      </w:r>
      <w:r>
        <w:t>employment</w:t>
      </w:r>
      <w:r>
        <w:rPr>
          <w:spacing w:val="-8"/>
        </w:rPr>
        <w:t xml:space="preserve"> </w:t>
      </w:r>
      <w:r>
        <w:t xml:space="preserve">growth </w:t>
      </w:r>
      <w:r>
        <w:rPr>
          <w:w w:val="95"/>
        </w:rPr>
        <w:t>due</w:t>
      </w:r>
      <w:r>
        <w:rPr>
          <w:spacing w:val="-8"/>
          <w:w w:val="95"/>
        </w:rPr>
        <w:t xml:space="preserve"> </w:t>
      </w:r>
      <w:r>
        <w:rPr>
          <w:w w:val="95"/>
        </w:rPr>
        <w:t>in</w:t>
      </w:r>
      <w:r>
        <w:rPr>
          <w:spacing w:val="-8"/>
          <w:w w:val="95"/>
        </w:rPr>
        <w:t xml:space="preserve"> </w:t>
      </w:r>
      <w:r>
        <w:rPr>
          <w:w w:val="95"/>
        </w:rPr>
        <w:t>part</w:t>
      </w:r>
      <w:r>
        <w:rPr>
          <w:spacing w:val="-8"/>
          <w:w w:val="95"/>
        </w:rPr>
        <w:t xml:space="preserve"> </w:t>
      </w:r>
      <w:r>
        <w:rPr>
          <w:w w:val="95"/>
        </w:rPr>
        <w:t>to</w:t>
      </w:r>
      <w:r>
        <w:rPr>
          <w:spacing w:val="-8"/>
          <w:w w:val="95"/>
        </w:rPr>
        <w:t xml:space="preserve"> </w:t>
      </w:r>
      <w:r>
        <w:rPr>
          <w:w w:val="95"/>
        </w:rPr>
        <w:t>the</w:t>
      </w:r>
      <w:r>
        <w:rPr>
          <w:spacing w:val="-8"/>
          <w:w w:val="95"/>
        </w:rPr>
        <w:t xml:space="preserve"> </w:t>
      </w:r>
      <w:r>
        <w:rPr>
          <w:w w:val="95"/>
        </w:rPr>
        <w:t>expansion</w:t>
      </w:r>
      <w:r>
        <w:rPr>
          <w:spacing w:val="-8"/>
          <w:w w:val="95"/>
        </w:rPr>
        <w:t xml:space="preserve"> </w:t>
      </w:r>
      <w:r>
        <w:rPr>
          <w:w w:val="95"/>
        </w:rPr>
        <w:t>of</w:t>
      </w:r>
      <w:r>
        <w:rPr>
          <w:spacing w:val="-8"/>
          <w:w w:val="95"/>
        </w:rPr>
        <w:t xml:space="preserve"> </w:t>
      </w:r>
      <w:r>
        <w:rPr>
          <w:w w:val="95"/>
        </w:rPr>
        <w:t>mining</w:t>
      </w:r>
      <w:r>
        <w:rPr>
          <w:spacing w:val="-8"/>
          <w:w w:val="95"/>
        </w:rPr>
        <w:t xml:space="preserve"> </w:t>
      </w:r>
      <w:r>
        <w:rPr>
          <w:w w:val="95"/>
        </w:rPr>
        <w:t>activity.</w:t>
      </w:r>
      <w:r>
        <w:rPr>
          <w:spacing w:val="-8"/>
          <w:w w:val="95"/>
        </w:rPr>
        <w:t xml:space="preserve"> </w:t>
      </w:r>
      <w:r>
        <w:rPr>
          <w:w w:val="95"/>
        </w:rPr>
        <w:t>Regional</w:t>
      </w:r>
    </w:p>
    <w:tbl>
      <w:tblPr>
        <w:tblW w:w="0" w:type="auto"/>
        <w:tblInd w:w="18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701"/>
        <w:gridCol w:w="1191"/>
        <w:gridCol w:w="1899"/>
      </w:tblGrid>
      <w:tr w:rsidR="002C1123">
        <w:trPr>
          <w:trHeight w:val="401"/>
        </w:trPr>
        <w:tc>
          <w:tcPr>
            <w:tcW w:w="1701" w:type="dxa"/>
            <w:tcBorders>
              <w:top w:val="nil"/>
              <w:left w:val="nil"/>
            </w:tcBorders>
            <w:shd w:val="clear" w:color="auto" w:fill="C9C8C9"/>
          </w:tcPr>
          <w:p w:rsidR="002C1123" w:rsidRDefault="00F22F94">
            <w:pPr>
              <w:pStyle w:val="TableParagraph"/>
              <w:spacing w:before="73"/>
              <w:rPr>
                <w:b/>
                <w:sz w:val="18"/>
              </w:rPr>
            </w:pPr>
            <w:r>
              <w:rPr>
                <w:b/>
                <w:spacing w:val="-2"/>
                <w:sz w:val="18"/>
              </w:rPr>
              <w:t>Hunter</w:t>
            </w:r>
          </w:p>
        </w:tc>
        <w:tc>
          <w:tcPr>
            <w:tcW w:w="1191" w:type="dxa"/>
            <w:tcBorders>
              <w:top w:val="nil"/>
            </w:tcBorders>
            <w:shd w:val="clear" w:color="auto" w:fill="E1E0E1"/>
          </w:tcPr>
          <w:p w:rsidR="002C1123" w:rsidRDefault="00F22F94">
            <w:pPr>
              <w:pStyle w:val="TableParagraph"/>
              <w:spacing w:before="77"/>
              <w:rPr>
                <w:sz w:val="16"/>
              </w:rPr>
            </w:pPr>
            <w:r>
              <w:rPr>
                <w:spacing w:val="-2"/>
                <w:sz w:val="16"/>
              </w:rPr>
              <w:t>323,400</w:t>
            </w:r>
          </w:p>
        </w:tc>
        <w:tc>
          <w:tcPr>
            <w:tcW w:w="1899" w:type="dxa"/>
            <w:tcBorders>
              <w:top w:val="nil"/>
            </w:tcBorders>
            <w:shd w:val="clear" w:color="auto" w:fill="E1E0E1"/>
          </w:tcPr>
          <w:p w:rsidR="002C1123" w:rsidRDefault="00F22F94">
            <w:pPr>
              <w:pStyle w:val="TableParagraph"/>
              <w:ind w:left="112"/>
              <w:rPr>
                <w:rFonts w:ascii="Tahoma"/>
                <w:sz w:val="16"/>
              </w:rPr>
            </w:pPr>
            <w:r>
              <w:rPr>
                <w:rFonts w:ascii="Tahoma"/>
                <w:spacing w:val="-4"/>
                <w:sz w:val="16"/>
              </w:rPr>
              <w:t>3.5%</w:t>
            </w:r>
          </w:p>
        </w:tc>
      </w:tr>
      <w:tr w:rsidR="002C1123">
        <w:trPr>
          <w:trHeight w:val="607"/>
        </w:trPr>
        <w:tc>
          <w:tcPr>
            <w:tcW w:w="1701" w:type="dxa"/>
            <w:tcBorders>
              <w:left w:val="nil"/>
            </w:tcBorders>
            <w:shd w:val="clear" w:color="auto" w:fill="C9C8C9"/>
          </w:tcPr>
          <w:p w:rsidR="002C1123" w:rsidRDefault="00F22F94">
            <w:pPr>
              <w:pStyle w:val="TableParagraph"/>
              <w:spacing w:before="63" w:line="249" w:lineRule="auto"/>
              <w:ind w:right="6"/>
              <w:rPr>
                <w:b/>
                <w:sz w:val="18"/>
              </w:rPr>
            </w:pPr>
            <w:r>
              <w:rPr>
                <w:b/>
                <w:sz w:val="18"/>
              </w:rPr>
              <w:t>Illawarra</w:t>
            </w:r>
            <w:r>
              <w:rPr>
                <w:b/>
                <w:spacing w:val="-19"/>
                <w:sz w:val="18"/>
              </w:rPr>
              <w:t xml:space="preserve"> </w:t>
            </w:r>
            <w:r>
              <w:rPr>
                <w:b/>
                <w:sz w:val="18"/>
              </w:rPr>
              <w:t>and South</w:t>
            </w:r>
            <w:r>
              <w:rPr>
                <w:b/>
                <w:spacing w:val="-19"/>
                <w:sz w:val="18"/>
              </w:rPr>
              <w:t xml:space="preserve"> </w:t>
            </w:r>
            <w:r>
              <w:rPr>
                <w:b/>
                <w:sz w:val="18"/>
              </w:rPr>
              <w:t>Coast</w:t>
            </w:r>
          </w:p>
        </w:tc>
        <w:tc>
          <w:tcPr>
            <w:tcW w:w="1191" w:type="dxa"/>
            <w:shd w:val="clear" w:color="auto" w:fill="E1E0E1"/>
          </w:tcPr>
          <w:p w:rsidR="002C1123" w:rsidRDefault="00F22F94">
            <w:pPr>
              <w:pStyle w:val="TableParagraph"/>
              <w:rPr>
                <w:sz w:val="16"/>
              </w:rPr>
            </w:pPr>
            <w:r>
              <w:rPr>
                <w:spacing w:val="-2"/>
                <w:sz w:val="16"/>
              </w:rPr>
              <w:t>364,300</w:t>
            </w:r>
          </w:p>
        </w:tc>
        <w:tc>
          <w:tcPr>
            <w:tcW w:w="1899" w:type="dxa"/>
            <w:shd w:val="clear" w:color="auto" w:fill="E1E0E1"/>
          </w:tcPr>
          <w:p w:rsidR="002C1123" w:rsidRDefault="00F22F94">
            <w:pPr>
              <w:pStyle w:val="TableParagraph"/>
              <w:spacing w:before="57"/>
              <w:ind w:left="112"/>
              <w:rPr>
                <w:rFonts w:ascii="Tahoma"/>
                <w:sz w:val="16"/>
              </w:rPr>
            </w:pPr>
            <w:r>
              <w:rPr>
                <w:rFonts w:ascii="Tahoma"/>
                <w:spacing w:val="-14"/>
                <w:w w:val="95"/>
                <w:sz w:val="16"/>
              </w:rPr>
              <w:t>7.1%</w:t>
            </w:r>
            <w:r>
              <w:rPr>
                <w:rFonts w:ascii="Tahoma"/>
                <w:spacing w:val="-3"/>
                <w:w w:val="95"/>
                <w:sz w:val="16"/>
              </w:rPr>
              <w:t xml:space="preserve"> </w:t>
            </w:r>
            <w:r>
              <w:rPr>
                <w:rFonts w:ascii="Tahoma"/>
                <w:spacing w:val="-2"/>
                <w:w w:val="95"/>
                <w:sz w:val="16"/>
              </w:rPr>
              <w:t>Illawarra</w:t>
            </w:r>
          </w:p>
          <w:p w:rsidR="002C1123" w:rsidRDefault="00F22F94">
            <w:pPr>
              <w:pStyle w:val="TableParagraph"/>
              <w:spacing w:before="1"/>
              <w:ind w:left="112"/>
              <w:rPr>
                <w:rFonts w:ascii="Tahoma"/>
                <w:sz w:val="16"/>
              </w:rPr>
            </w:pPr>
            <w:r>
              <w:rPr>
                <w:rFonts w:ascii="Tahoma"/>
                <w:w w:val="95"/>
                <w:sz w:val="16"/>
              </w:rPr>
              <w:t>3.8%</w:t>
            </w:r>
            <w:r>
              <w:rPr>
                <w:rFonts w:ascii="Tahoma"/>
                <w:spacing w:val="-3"/>
                <w:sz w:val="16"/>
              </w:rPr>
              <w:t xml:space="preserve"> </w:t>
            </w:r>
            <w:r>
              <w:rPr>
                <w:rFonts w:ascii="Tahoma"/>
                <w:w w:val="95"/>
                <w:sz w:val="16"/>
              </w:rPr>
              <w:t>South</w:t>
            </w:r>
            <w:r>
              <w:rPr>
                <w:rFonts w:ascii="Tahoma"/>
                <w:spacing w:val="-2"/>
                <w:sz w:val="16"/>
              </w:rPr>
              <w:t xml:space="preserve"> </w:t>
            </w:r>
            <w:r>
              <w:rPr>
                <w:rFonts w:ascii="Tahoma"/>
                <w:spacing w:val="-2"/>
                <w:w w:val="95"/>
                <w:sz w:val="16"/>
              </w:rPr>
              <w:t>Coast</w:t>
            </w:r>
          </w:p>
        </w:tc>
      </w:tr>
      <w:tr w:rsidR="002C1123">
        <w:trPr>
          <w:trHeight w:val="391"/>
        </w:trPr>
        <w:tc>
          <w:tcPr>
            <w:tcW w:w="1701" w:type="dxa"/>
            <w:tcBorders>
              <w:left w:val="nil"/>
            </w:tcBorders>
            <w:shd w:val="clear" w:color="auto" w:fill="C9C8C9"/>
          </w:tcPr>
          <w:p w:rsidR="002C1123" w:rsidRDefault="00F22F94">
            <w:pPr>
              <w:pStyle w:val="TableParagraph"/>
              <w:spacing w:before="63"/>
              <w:rPr>
                <w:b/>
                <w:sz w:val="18"/>
              </w:rPr>
            </w:pPr>
            <w:r>
              <w:rPr>
                <w:b/>
                <w:sz w:val="18"/>
              </w:rPr>
              <w:t>North</w:t>
            </w:r>
            <w:r>
              <w:rPr>
                <w:b/>
                <w:spacing w:val="-7"/>
                <w:sz w:val="18"/>
              </w:rPr>
              <w:t xml:space="preserve"> </w:t>
            </w:r>
            <w:r>
              <w:rPr>
                <w:b/>
                <w:spacing w:val="-4"/>
                <w:sz w:val="18"/>
              </w:rPr>
              <w:t>Coast</w:t>
            </w:r>
          </w:p>
        </w:tc>
        <w:tc>
          <w:tcPr>
            <w:tcW w:w="1191" w:type="dxa"/>
            <w:shd w:val="clear" w:color="auto" w:fill="E1E0E1"/>
          </w:tcPr>
          <w:p w:rsidR="002C1123" w:rsidRDefault="00F22F94">
            <w:pPr>
              <w:pStyle w:val="TableParagraph"/>
              <w:rPr>
                <w:sz w:val="16"/>
              </w:rPr>
            </w:pPr>
            <w:r>
              <w:rPr>
                <w:spacing w:val="-2"/>
                <w:sz w:val="16"/>
              </w:rPr>
              <w:t>242,700</w:t>
            </w:r>
          </w:p>
        </w:tc>
        <w:tc>
          <w:tcPr>
            <w:tcW w:w="1899" w:type="dxa"/>
            <w:shd w:val="clear" w:color="auto" w:fill="E1E0E1"/>
          </w:tcPr>
          <w:p w:rsidR="002C1123" w:rsidRDefault="00F22F94">
            <w:pPr>
              <w:pStyle w:val="TableParagraph"/>
              <w:spacing w:before="57"/>
              <w:ind w:left="112"/>
              <w:rPr>
                <w:rFonts w:ascii="Tahoma"/>
                <w:sz w:val="16"/>
              </w:rPr>
            </w:pPr>
            <w:r>
              <w:rPr>
                <w:rFonts w:ascii="Tahoma"/>
                <w:spacing w:val="-4"/>
                <w:sz w:val="16"/>
              </w:rPr>
              <w:t>5.6%</w:t>
            </w:r>
          </w:p>
        </w:tc>
      </w:tr>
      <w:tr w:rsidR="002C1123">
        <w:trPr>
          <w:trHeight w:val="391"/>
        </w:trPr>
        <w:tc>
          <w:tcPr>
            <w:tcW w:w="1701" w:type="dxa"/>
            <w:tcBorders>
              <w:left w:val="nil"/>
            </w:tcBorders>
            <w:shd w:val="clear" w:color="auto" w:fill="C9C8C9"/>
          </w:tcPr>
          <w:p w:rsidR="002C1123" w:rsidRDefault="00F22F94">
            <w:pPr>
              <w:pStyle w:val="TableParagraph"/>
              <w:spacing w:before="63"/>
              <w:rPr>
                <w:b/>
                <w:sz w:val="18"/>
              </w:rPr>
            </w:pPr>
            <w:r>
              <w:rPr>
                <w:b/>
                <w:w w:val="95"/>
                <w:sz w:val="18"/>
              </w:rPr>
              <w:t>Inland</w:t>
            </w:r>
            <w:r>
              <w:rPr>
                <w:b/>
                <w:spacing w:val="6"/>
                <w:sz w:val="18"/>
              </w:rPr>
              <w:t xml:space="preserve"> </w:t>
            </w:r>
            <w:r>
              <w:rPr>
                <w:b/>
                <w:spacing w:val="-5"/>
                <w:w w:val="95"/>
                <w:sz w:val="18"/>
              </w:rPr>
              <w:t>NSW</w:t>
            </w:r>
          </w:p>
        </w:tc>
        <w:tc>
          <w:tcPr>
            <w:tcW w:w="1191" w:type="dxa"/>
            <w:shd w:val="clear" w:color="auto" w:fill="E1E0E1"/>
          </w:tcPr>
          <w:p w:rsidR="002C1123" w:rsidRDefault="00F22F94">
            <w:pPr>
              <w:pStyle w:val="TableParagraph"/>
              <w:rPr>
                <w:sz w:val="16"/>
              </w:rPr>
            </w:pPr>
            <w:r>
              <w:rPr>
                <w:spacing w:val="-2"/>
                <w:sz w:val="16"/>
              </w:rPr>
              <w:t>245,000</w:t>
            </w:r>
          </w:p>
        </w:tc>
        <w:tc>
          <w:tcPr>
            <w:tcW w:w="1899" w:type="dxa"/>
            <w:shd w:val="clear" w:color="auto" w:fill="E1E0E1"/>
          </w:tcPr>
          <w:p w:rsidR="002C1123" w:rsidRDefault="00F22F94">
            <w:pPr>
              <w:pStyle w:val="TableParagraph"/>
              <w:spacing w:before="57"/>
              <w:ind w:left="112"/>
              <w:rPr>
                <w:rFonts w:ascii="Tahoma"/>
                <w:sz w:val="16"/>
              </w:rPr>
            </w:pPr>
            <w:r>
              <w:rPr>
                <w:rFonts w:ascii="Tahoma"/>
                <w:spacing w:val="-4"/>
                <w:sz w:val="16"/>
              </w:rPr>
              <w:t>5.8%</w:t>
            </w:r>
          </w:p>
        </w:tc>
      </w:tr>
      <w:tr w:rsidR="002C1123">
        <w:trPr>
          <w:trHeight w:val="401"/>
        </w:trPr>
        <w:tc>
          <w:tcPr>
            <w:tcW w:w="1701" w:type="dxa"/>
            <w:tcBorders>
              <w:left w:val="nil"/>
              <w:bottom w:val="nil"/>
            </w:tcBorders>
            <w:shd w:val="clear" w:color="auto" w:fill="C9C8C9"/>
          </w:tcPr>
          <w:p w:rsidR="002C1123" w:rsidRDefault="00F22F94">
            <w:pPr>
              <w:pStyle w:val="TableParagraph"/>
              <w:spacing w:before="63"/>
              <w:rPr>
                <w:b/>
                <w:sz w:val="18"/>
              </w:rPr>
            </w:pPr>
            <w:r>
              <w:rPr>
                <w:b/>
                <w:sz w:val="18"/>
              </w:rPr>
              <w:t>Murray</w:t>
            </w:r>
            <w:r>
              <w:rPr>
                <w:b/>
                <w:spacing w:val="-12"/>
                <w:sz w:val="18"/>
              </w:rPr>
              <w:t xml:space="preserve"> </w:t>
            </w:r>
            <w:r>
              <w:rPr>
                <w:b/>
                <w:spacing w:val="-2"/>
                <w:sz w:val="18"/>
              </w:rPr>
              <w:t>Riverina</w:t>
            </w:r>
          </w:p>
        </w:tc>
        <w:tc>
          <w:tcPr>
            <w:tcW w:w="1191" w:type="dxa"/>
            <w:tcBorders>
              <w:bottom w:val="nil"/>
            </w:tcBorders>
            <w:shd w:val="clear" w:color="auto" w:fill="E1E0E1"/>
          </w:tcPr>
          <w:p w:rsidR="002C1123" w:rsidRDefault="00F22F94">
            <w:pPr>
              <w:pStyle w:val="TableParagraph"/>
              <w:rPr>
                <w:sz w:val="16"/>
              </w:rPr>
            </w:pPr>
            <w:r>
              <w:rPr>
                <w:spacing w:val="-2"/>
                <w:sz w:val="16"/>
              </w:rPr>
              <w:t>138,700</w:t>
            </w:r>
          </w:p>
        </w:tc>
        <w:tc>
          <w:tcPr>
            <w:tcW w:w="1899" w:type="dxa"/>
            <w:tcBorders>
              <w:bottom w:val="nil"/>
            </w:tcBorders>
            <w:shd w:val="clear" w:color="auto" w:fill="E1E0E1"/>
          </w:tcPr>
          <w:p w:rsidR="002C1123" w:rsidRDefault="00F22F94">
            <w:pPr>
              <w:pStyle w:val="TableParagraph"/>
              <w:spacing w:before="57"/>
              <w:ind w:left="112"/>
              <w:rPr>
                <w:rFonts w:ascii="Tahoma"/>
                <w:sz w:val="16"/>
              </w:rPr>
            </w:pPr>
            <w:r>
              <w:rPr>
                <w:rFonts w:ascii="Tahoma"/>
                <w:spacing w:val="-4"/>
                <w:sz w:val="16"/>
              </w:rPr>
              <w:t>5.1%</w:t>
            </w:r>
          </w:p>
        </w:tc>
      </w:tr>
    </w:tbl>
    <w:p w:rsidR="002C1123" w:rsidRDefault="00F22F94">
      <w:pPr>
        <w:spacing w:before="30"/>
        <w:ind w:left="187"/>
        <w:rPr>
          <w:sz w:val="14"/>
        </w:rPr>
      </w:pPr>
      <w:r>
        <w:br w:type="column"/>
      </w:r>
      <w:r>
        <w:rPr>
          <w:w w:val="95"/>
          <w:sz w:val="14"/>
        </w:rPr>
        <w:lastRenderedPageBreak/>
        <w:t>Source:</w:t>
      </w:r>
      <w:r>
        <w:rPr>
          <w:spacing w:val="5"/>
          <w:sz w:val="14"/>
        </w:rPr>
        <w:t xml:space="preserve"> </w:t>
      </w:r>
      <w:r>
        <w:rPr>
          <w:w w:val="95"/>
          <w:sz w:val="14"/>
        </w:rPr>
        <w:t>Deloitte</w:t>
      </w:r>
      <w:r>
        <w:rPr>
          <w:spacing w:val="5"/>
          <w:sz w:val="14"/>
        </w:rPr>
        <w:t xml:space="preserve"> </w:t>
      </w:r>
      <w:r>
        <w:rPr>
          <w:w w:val="95"/>
          <w:sz w:val="14"/>
        </w:rPr>
        <w:t>Access</w:t>
      </w:r>
      <w:r>
        <w:rPr>
          <w:spacing w:val="5"/>
          <w:sz w:val="14"/>
        </w:rPr>
        <w:t xml:space="preserve"> </w:t>
      </w:r>
      <w:r>
        <w:rPr>
          <w:spacing w:val="-2"/>
          <w:w w:val="95"/>
          <w:sz w:val="14"/>
        </w:rPr>
        <w:t>Economics.</w:t>
      </w:r>
    </w:p>
    <w:p w:rsidR="002C1123" w:rsidRDefault="002C1123">
      <w:pPr>
        <w:pStyle w:val="BodyText"/>
        <w:spacing w:before="5"/>
        <w:rPr>
          <w:sz w:val="13"/>
        </w:rPr>
      </w:pPr>
    </w:p>
    <w:p w:rsidR="002C1123" w:rsidRDefault="00F22F94">
      <w:pPr>
        <w:pStyle w:val="BodyText"/>
        <w:spacing w:line="249" w:lineRule="auto"/>
        <w:ind w:left="187" w:right="701"/>
      </w:pPr>
      <w:r>
        <w:t>Other</w:t>
      </w:r>
      <w:r>
        <w:rPr>
          <w:spacing w:val="-13"/>
        </w:rPr>
        <w:t xml:space="preserve"> </w:t>
      </w:r>
      <w:r>
        <w:t>regions</w:t>
      </w:r>
      <w:r>
        <w:rPr>
          <w:spacing w:val="-13"/>
        </w:rPr>
        <w:t xml:space="preserve"> </w:t>
      </w:r>
      <w:r>
        <w:t>are</w:t>
      </w:r>
      <w:r>
        <w:rPr>
          <w:spacing w:val="-13"/>
        </w:rPr>
        <w:t xml:space="preserve"> </w:t>
      </w:r>
      <w:r>
        <w:t>undergoing</w:t>
      </w:r>
      <w:r>
        <w:rPr>
          <w:spacing w:val="-13"/>
        </w:rPr>
        <w:t xml:space="preserve"> </w:t>
      </w:r>
      <w:r>
        <w:t>significant</w:t>
      </w:r>
      <w:r>
        <w:rPr>
          <w:spacing w:val="-13"/>
        </w:rPr>
        <w:t xml:space="preserve"> </w:t>
      </w:r>
      <w:r>
        <w:t>structural change.</w:t>
      </w:r>
      <w:r>
        <w:rPr>
          <w:spacing w:val="-14"/>
        </w:rPr>
        <w:t xml:space="preserve"> </w:t>
      </w:r>
      <w:r>
        <w:t>The</w:t>
      </w:r>
      <w:r>
        <w:rPr>
          <w:spacing w:val="-14"/>
        </w:rPr>
        <w:t xml:space="preserve"> </w:t>
      </w:r>
      <w:r>
        <w:t>Illawarra</w:t>
      </w:r>
      <w:r>
        <w:rPr>
          <w:spacing w:val="-14"/>
        </w:rPr>
        <w:t xml:space="preserve"> </w:t>
      </w:r>
      <w:r>
        <w:t>has</w:t>
      </w:r>
      <w:r>
        <w:rPr>
          <w:spacing w:val="-14"/>
        </w:rPr>
        <w:t xml:space="preserve"> </w:t>
      </w:r>
      <w:r>
        <w:t>the</w:t>
      </w:r>
      <w:r>
        <w:rPr>
          <w:spacing w:val="-14"/>
        </w:rPr>
        <w:t xml:space="preserve"> </w:t>
      </w:r>
      <w:r>
        <w:t>highest</w:t>
      </w:r>
      <w:r>
        <w:rPr>
          <w:spacing w:val="-14"/>
        </w:rPr>
        <w:t xml:space="preserve"> </w:t>
      </w:r>
      <w:r>
        <w:t xml:space="preserve">unemployment </w:t>
      </w:r>
      <w:r>
        <w:rPr>
          <w:w w:val="95"/>
        </w:rPr>
        <w:t>rate</w:t>
      </w:r>
      <w:r>
        <w:rPr>
          <w:spacing w:val="-10"/>
          <w:w w:val="95"/>
        </w:rPr>
        <w:t xml:space="preserve"> </w:t>
      </w:r>
      <w:r>
        <w:rPr>
          <w:w w:val="95"/>
        </w:rPr>
        <w:t>of</w:t>
      </w:r>
      <w:r>
        <w:rPr>
          <w:spacing w:val="-10"/>
          <w:w w:val="95"/>
        </w:rPr>
        <w:t xml:space="preserve"> </w:t>
      </w:r>
      <w:r>
        <w:rPr>
          <w:w w:val="95"/>
        </w:rPr>
        <w:t>any</w:t>
      </w:r>
      <w:r>
        <w:rPr>
          <w:spacing w:val="-10"/>
          <w:w w:val="95"/>
        </w:rPr>
        <w:t xml:space="preserve"> </w:t>
      </w:r>
      <w:r>
        <w:rPr>
          <w:w w:val="95"/>
        </w:rPr>
        <w:t>region</w:t>
      </w:r>
      <w:r>
        <w:rPr>
          <w:spacing w:val="-10"/>
          <w:w w:val="95"/>
        </w:rPr>
        <w:t xml:space="preserve"> </w:t>
      </w:r>
      <w:r>
        <w:rPr>
          <w:w w:val="95"/>
        </w:rPr>
        <w:t>in</w:t>
      </w:r>
      <w:r>
        <w:rPr>
          <w:spacing w:val="-10"/>
          <w:w w:val="95"/>
        </w:rPr>
        <w:t xml:space="preserve"> </w:t>
      </w:r>
      <w:r>
        <w:rPr>
          <w:w w:val="95"/>
        </w:rPr>
        <w:t>NSW</w:t>
      </w:r>
      <w:r>
        <w:rPr>
          <w:spacing w:val="-10"/>
          <w:w w:val="95"/>
        </w:rPr>
        <w:t xml:space="preserve"> </w:t>
      </w:r>
      <w:r>
        <w:rPr>
          <w:w w:val="95"/>
        </w:rPr>
        <w:t>reflecting</w:t>
      </w:r>
      <w:r>
        <w:rPr>
          <w:spacing w:val="-10"/>
          <w:w w:val="95"/>
        </w:rPr>
        <w:t xml:space="preserve"> </w:t>
      </w:r>
      <w:r>
        <w:rPr>
          <w:w w:val="95"/>
        </w:rPr>
        <w:t>the</w:t>
      </w:r>
      <w:r>
        <w:rPr>
          <w:spacing w:val="-10"/>
          <w:w w:val="95"/>
        </w:rPr>
        <w:t xml:space="preserve"> </w:t>
      </w:r>
      <w:r>
        <w:rPr>
          <w:w w:val="95"/>
        </w:rPr>
        <w:t>recent</w:t>
      </w:r>
      <w:r>
        <w:rPr>
          <w:spacing w:val="-10"/>
          <w:w w:val="95"/>
        </w:rPr>
        <w:t xml:space="preserve"> </w:t>
      </w:r>
      <w:r>
        <w:rPr>
          <w:w w:val="95"/>
        </w:rPr>
        <w:t>decline</w:t>
      </w:r>
      <w:r>
        <w:rPr>
          <w:spacing w:val="-10"/>
          <w:w w:val="95"/>
        </w:rPr>
        <w:t xml:space="preserve"> </w:t>
      </w:r>
      <w:r>
        <w:rPr>
          <w:w w:val="95"/>
        </w:rPr>
        <w:t xml:space="preserve">of </w:t>
      </w:r>
      <w:r>
        <w:t>Wollongong’s manufacturing base.</w:t>
      </w:r>
    </w:p>
    <w:p w:rsidR="002C1123" w:rsidRDefault="00F22F94">
      <w:pPr>
        <w:pStyle w:val="BodyText"/>
        <w:spacing w:before="117" w:line="249" w:lineRule="auto"/>
        <w:ind w:left="187" w:right="701"/>
      </w:pPr>
      <w:r>
        <w:t>To</w:t>
      </w:r>
      <w:r>
        <w:rPr>
          <w:spacing w:val="-13"/>
        </w:rPr>
        <w:t xml:space="preserve"> </w:t>
      </w:r>
      <w:r>
        <w:t>a</w:t>
      </w:r>
      <w:r>
        <w:rPr>
          <w:spacing w:val="-13"/>
        </w:rPr>
        <w:t xml:space="preserve"> </w:t>
      </w:r>
      <w:r>
        <w:t>large</w:t>
      </w:r>
      <w:r>
        <w:rPr>
          <w:spacing w:val="-13"/>
        </w:rPr>
        <w:t xml:space="preserve"> </w:t>
      </w:r>
      <w:r>
        <w:t>extent,</w:t>
      </w:r>
      <w:r>
        <w:rPr>
          <w:spacing w:val="-13"/>
        </w:rPr>
        <w:t xml:space="preserve"> </w:t>
      </w:r>
      <w:r>
        <w:t>the</w:t>
      </w:r>
      <w:r>
        <w:rPr>
          <w:spacing w:val="-13"/>
        </w:rPr>
        <w:t xml:space="preserve"> </w:t>
      </w:r>
      <w:r>
        <w:t>creation</w:t>
      </w:r>
      <w:r>
        <w:rPr>
          <w:spacing w:val="-13"/>
        </w:rPr>
        <w:t xml:space="preserve"> </w:t>
      </w:r>
      <w:r>
        <w:t>of</w:t>
      </w:r>
      <w:r>
        <w:rPr>
          <w:spacing w:val="-13"/>
        </w:rPr>
        <w:t xml:space="preserve"> </w:t>
      </w:r>
      <w:r>
        <w:t xml:space="preserve">employment </w:t>
      </w:r>
      <w:r>
        <w:rPr>
          <w:w w:val="95"/>
        </w:rPr>
        <w:t>opportunities</w:t>
      </w:r>
      <w:r>
        <w:rPr>
          <w:spacing w:val="-5"/>
          <w:w w:val="95"/>
        </w:rPr>
        <w:t xml:space="preserve"> </w:t>
      </w:r>
      <w:r>
        <w:rPr>
          <w:w w:val="95"/>
        </w:rPr>
        <w:t>and</w:t>
      </w:r>
      <w:r>
        <w:rPr>
          <w:spacing w:val="-5"/>
          <w:w w:val="95"/>
        </w:rPr>
        <w:t xml:space="preserve"> </w:t>
      </w:r>
      <w:r>
        <w:rPr>
          <w:w w:val="95"/>
        </w:rPr>
        <w:t>economic</w:t>
      </w:r>
      <w:r>
        <w:rPr>
          <w:spacing w:val="-5"/>
          <w:w w:val="95"/>
        </w:rPr>
        <w:t xml:space="preserve"> </w:t>
      </w:r>
      <w:r>
        <w:rPr>
          <w:w w:val="95"/>
        </w:rPr>
        <w:t>diversity</w:t>
      </w:r>
      <w:r>
        <w:rPr>
          <w:spacing w:val="-5"/>
          <w:w w:val="95"/>
        </w:rPr>
        <w:t xml:space="preserve"> </w:t>
      </w:r>
      <w:r>
        <w:rPr>
          <w:w w:val="95"/>
        </w:rPr>
        <w:t>is</w:t>
      </w:r>
      <w:r>
        <w:rPr>
          <w:spacing w:val="-5"/>
          <w:w w:val="95"/>
        </w:rPr>
        <w:t xml:space="preserve"> </w:t>
      </w:r>
      <w:r>
        <w:rPr>
          <w:w w:val="95"/>
        </w:rPr>
        <w:t>achieved</w:t>
      </w:r>
      <w:r>
        <w:rPr>
          <w:spacing w:val="-5"/>
          <w:w w:val="95"/>
        </w:rPr>
        <w:t xml:space="preserve"> </w:t>
      </w:r>
      <w:r>
        <w:rPr>
          <w:w w:val="95"/>
        </w:rPr>
        <w:t xml:space="preserve">through </w:t>
      </w:r>
      <w:r>
        <w:t>investment</w:t>
      </w:r>
      <w:r>
        <w:rPr>
          <w:spacing w:val="-13"/>
        </w:rPr>
        <w:t xml:space="preserve"> </w:t>
      </w:r>
      <w:r>
        <w:t>of</w:t>
      </w:r>
      <w:r>
        <w:rPr>
          <w:spacing w:val="-13"/>
        </w:rPr>
        <w:t xml:space="preserve"> </w:t>
      </w:r>
      <w:r>
        <w:t>the</w:t>
      </w:r>
      <w:r>
        <w:rPr>
          <w:spacing w:val="-13"/>
        </w:rPr>
        <w:t xml:space="preserve"> </w:t>
      </w:r>
      <w:r>
        <w:t>private</w:t>
      </w:r>
      <w:r>
        <w:rPr>
          <w:spacing w:val="-13"/>
        </w:rPr>
        <w:t xml:space="preserve"> </w:t>
      </w:r>
      <w:r>
        <w:t>sector,</w:t>
      </w:r>
      <w:r>
        <w:rPr>
          <w:spacing w:val="-13"/>
        </w:rPr>
        <w:t xml:space="preserve"> </w:t>
      </w:r>
      <w:r>
        <w:t>but</w:t>
      </w:r>
      <w:r>
        <w:rPr>
          <w:spacing w:val="-13"/>
        </w:rPr>
        <w:t xml:space="preserve"> </w:t>
      </w:r>
      <w:r>
        <w:t>this</w:t>
      </w:r>
      <w:r>
        <w:rPr>
          <w:spacing w:val="-13"/>
        </w:rPr>
        <w:t xml:space="preserve"> </w:t>
      </w:r>
      <w:r>
        <w:t>needs</w:t>
      </w:r>
      <w:r>
        <w:rPr>
          <w:spacing w:val="-13"/>
        </w:rPr>
        <w:t xml:space="preserve"> </w:t>
      </w:r>
      <w:r>
        <w:t>to</w:t>
      </w:r>
      <w:r>
        <w:rPr>
          <w:spacing w:val="-13"/>
        </w:rPr>
        <w:t xml:space="preserve"> </w:t>
      </w:r>
      <w:r>
        <w:t>be supported</w:t>
      </w:r>
      <w:r>
        <w:rPr>
          <w:spacing w:val="-5"/>
        </w:rPr>
        <w:t xml:space="preserve"> </w:t>
      </w:r>
      <w:r>
        <w:t>by</w:t>
      </w:r>
      <w:r>
        <w:rPr>
          <w:spacing w:val="-5"/>
        </w:rPr>
        <w:t xml:space="preserve"> </w:t>
      </w:r>
      <w:r>
        <w:t>good</w:t>
      </w:r>
      <w:r>
        <w:rPr>
          <w:spacing w:val="-5"/>
        </w:rPr>
        <w:t xml:space="preserve"> </w:t>
      </w:r>
      <w:r>
        <w:t>planning,</w:t>
      </w:r>
      <w:r>
        <w:rPr>
          <w:spacing w:val="-5"/>
        </w:rPr>
        <w:t xml:space="preserve"> </w:t>
      </w:r>
      <w:r>
        <w:t>efficient</w:t>
      </w:r>
      <w:r>
        <w:rPr>
          <w:spacing w:val="-5"/>
        </w:rPr>
        <w:t xml:space="preserve"> </w:t>
      </w:r>
      <w:r>
        <w:t>approvals</w:t>
      </w:r>
      <w:r>
        <w:rPr>
          <w:spacing w:val="-5"/>
        </w:rPr>
        <w:t xml:space="preserve"> </w:t>
      </w:r>
      <w:r>
        <w:t xml:space="preserve">and </w:t>
      </w:r>
      <w:r>
        <w:rPr>
          <w:spacing w:val="-2"/>
        </w:rPr>
        <w:t>timely</w:t>
      </w:r>
      <w:r>
        <w:rPr>
          <w:spacing w:val="-3"/>
        </w:rPr>
        <w:t xml:space="preserve"> </w:t>
      </w:r>
      <w:r>
        <w:rPr>
          <w:spacing w:val="-2"/>
        </w:rPr>
        <w:t>investment</w:t>
      </w:r>
      <w:r>
        <w:rPr>
          <w:spacing w:val="-3"/>
        </w:rPr>
        <w:t xml:space="preserve"> </w:t>
      </w:r>
      <w:r>
        <w:rPr>
          <w:spacing w:val="-2"/>
        </w:rPr>
        <w:t>in</w:t>
      </w:r>
      <w:r>
        <w:rPr>
          <w:spacing w:val="-3"/>
        </w:rPr>
        <w:t xml:space="preserve"> </w:t>
      </w:r>
      <w:r>
        <w:rPr>
          <w:spacing w:val="-2"/>
        </w:rPr>
        <w:t>infrastructure.</w:t>
      </w:r>
      <w:r>
        <w:rPr>
          <w:spacing w:val="-3"/>
        </w:rPr>
        <w:t xml:space="preserve"> </w:t>
      </w:r>
      <w:r>
        <w:rPr>
          <w:spacing w:val="-2"/>
        </w:rPr>
        <w:t>Infrastructure</w:t>
      </w:r>
      <w:r>
        <w:rPr>
          <w:spacing w:val="-3"/>
        </w:rPr>
        <w:t xml:space="preserve"> </w:t>
      </w:r>
      <w:r>
        <w:rPr>
          <w:spacing w:val="-2"/>
        </w:rPr>
        <w:t xml:space="preserve">NSW </w:t>
      </w:r>
      <w:r>
        <w:t>supports</w:t>
      </w:r>
      <w:r>
        <w:rPr>
          <w:spacing w:val="-7"/>
        </w:rPr>
        <w:t xml:space="preserve"> </w:t>
      </w:r>
      <w:r>
        <w:t>the</w:t>
      </w:r>
      <w:r>
        <w:rPr>
          <w:spacing w:val="-7"/>
        </w:rPr>
        <w:t xml:space="preserve"> </w:t>
      </w:r>
      <w:r>
        <w:t>NSW</w:t>
      </w:r>
      <w:r>
        <w:rPr>
          <w:spacing w:val="-7"/>
        </w:rPr>
        <w:t xml:space="preserve"> </w:t>
      </w:r>
      <w:r>
        <w:t>Government’s</w:t>
      </w:r>
      <w:r>
        <w:rPr>
          <w:spacing w:val="-7"/>
        </w:rPr>
        <w:t xml:space="preserve"> </w:t>
      </w:r>
      <w:r>
        <w:t>recommendations</w:t>
      </w:r>
      <w:r>
        <w:rPr>
          <w:spacing w:val="-7"/>
        </w:rPr>
        <w:t xml:space="preserve"> </w:t>
      </w:r>
      <w:r>
        <w:t xml:space="preserve">in </w:t>
      </w:r>
      <w:r>
        <w:rPr>
          <w:w w:val="95"/>
        </w:rPr>
        <w:t>the</w:t>
      </w:r>
      <w:r>
        <w:rPr>
          <w:spacing w:val="-3"/>
          <w:w w:val="95"/>
        </w:rPr>
        <w:t xml:space="preserve"> </w:t>
      </w:r>
      <w:r>
        <w:rPr>
          <w:w w:val="95"/>
        </w:rPr>
        <w:t>Green</w:t>
      </w:r>
      <w:r>
        <w:rPr>
          <w:spacing w:val="-3"/>
          <w:w w:val="95"/>
        </w:rPr>
        <w:t xml:space="preserve"> </w:t>
      </w:r>
      <w:r>
        <w:rPr>
          <w:w w:val="95"/>
        </w:rPr>
        <w:t>Paper,</w:t>
      </w:r>
      <w:r>
        <w:rPr>
          <w:spacing w:val="-3"/>
          <w:w w:val="95"/>
        </w:rPr>
        <w:t xml:space="preserve"> </w:t>
      </w:r>
      <w:r>
        <w:rPr>
          <w:i/>
          <w:w w:val="95"/>
        </w:rPr>
        <w:t>A</w:t>
      </w:r>
      <w:r>
        <w:rPr>
          <w:i/>
          <w:spacing w:val="-3"/>
          <w:w w:val="95"/>
        </w:rPr>
        <w:t xml:space="preserve"> </w:t>
      </w:r>
      <w:r>
        <w:rPr>
          <w:i/>
          <w:w w:val="95"/>
        </w:rPr>
        <w:t>New</w:t>
      </w:r>
      <w:r>
        <w:rPr>
          <w:i/>
          <w:spacing w:val="-3"/>
          <w:w w:val="95"/>
        </w:rPr>
        <w:t xml:space="preserve"> </w:t>
      </w:r>
      <w:r>
        <w:rPr>
          <w:i/>
          <w:w w:val="95"/>
        </w:rPr>
        <w:t>Planning</w:t>
      </w:r>
      <w:r>
        <w:rPr>
          <w:i/>
          <w:spacing w:val="-3"/>
          <w:w w:val="95"/>
        </w:rPr>
        <w:t xml:space="preserve"> </w:t>
      </w:r>
      <w:r>
        <w:rPr>
          <w:i/>
          <w:w w:val="95"/>
        </w:rPr>
        <w:t>System</w:t>
      </w:r>
      <w:r>
        <w:rPr>
          <w:i/>
          <w:spacing w:val="-4"/>
          <w:w w:val="95"/>
        </w:rPr>
        <w:t xml:space="preserve"> </w:t>
      </w:r>
      <w:r>
        <w:rPr>
          <w:i/>
          <w:w w:val="95"/>
        </w:rPr>
        <w:t>for</w:t>
      </w:r>
      <w:r>
        <w:rPr>
          <w:i/>
          <w:spacing w:val="-3"/>
          <w:w w:val="95"/>
        </w:rPr>
        <w:t xml:space="preserve"> </w:t>
      </w:r>
      <w:r>
        <w:rPr>
          <w:i/>
          <w:w w:val="95"/>
        </w:rPr>
        <w:t>NSW</w:t>
      </w:r>
      <w:r>
        <w:rPr>
          <w:i/>
          <w:spacing w:val="-3"/>
          <w:w w:val="95"/>
        </w:rPr>
        <w:t xml:space="preserve"> </w:t>
      </w:r>
      <w:r>
        <w:rPr>
          <w:w w:val="95"/>
        </w:rPr>
        <w:t xml:space="preserve">(July </w:t>
      </w:r>
      <w:r>
        <w:rPr>
          <w:spacing w:val="-2"/>
        </w:rPr>
        <w:t>2012)</w:t>
      </w:r>
      <w:r>
        <w:rPr>
          <w:spacing w:val="-8"/>
        </w:rPr>
        <w:t xml:space="preserve"> </w:t>
      </w:r>
      <w:r>
        <w:rPr>
          <w:spacing w:val="-2"/>
        </w:rPr>
        <w:t>to</w:t>
      </w:r>
      <w:r>
        <w:rPr>
          <w:spacing w:val="-8"/>
        </w:rPr>
        <w:t xml:space="preserve"> </w:t>
      </w:r>
      <w:r>
        <w:rPr>
          <w:spacing w:val="-2"/>
        </w:rPr>
        <w:t>establish</w:t>
      </w:r>
      <w:r>
        <w:rPr>
          <w:spacing w:val="-8"/>
        </w:rPr>
        <w:t xml:space="preserve"> </w:t>
      </w:r>
      <w:r>
        <w:rPr>
          <w:spacing w:val="-2"/>
        </w:rPr>
        <w:t>a</w:t>
      </w:r>
      <w:r>
        <w:rPr>
          <w:spacing w:val="-8"/>
        </w:rPr>
        <w:t xml:space="preserve"> </w:t>
      </w:r>
      <w:r>
        <w:rPr>
          <w:spacing w:val="-2"/>
        </w:rPr>
        <w:t>regional</w:t>
      </w:r>
      <w:r>
        <w:rPr>
          <w:spacing w:val="-8"/>
        </w:rPr>
        <w:t xml:space="preserve"> </w:t>
      </w:r>
      <w:r>
        <w:rPr>
          <w:spacing w:val="-2"/>
        </w:rPr>
        <w:t>approach</w:t>
      </w:r>
      <w:r>
        <w:rPr>
          <w:spacing w:val="-8"/>
        </w:rPr>
        <w:t xml:space="preserve"> </w:t>
      </w:r>
      <w:r>
        <w:rPr>
          <w:spacing w:val="-2"/>
        </w:rPr>
        <w:t>to</w:t>
      </w:r>
      <w:r>
        <w:rPr>
          <w:spacing w:val="-8"/>
        </w:rPr>
        <w:t xml:space="preserve"> </w:t>
      </w:r>
      <w:r>
        <w:rPr>
          <w:spacing w:val="-2"/>
        </w:rPr>
        <w:t>the</w:t>
      </w:r>
      <w:r>
        <w:rPr>
          <w:spacing w:val="-8"/>
        </w:rPr>
        <w:t xml:space="preserve"> </w:t>
      </w:r>
      <w:r>
        <w:rPr>
          <w:spacing w:val="-2"/>
        </w:rPr>
        <w:t>release</w:t>
      </w:r>
      <w:r>
        <w:rPr>
          <w:spacing w:val="-8"/>
        </w:rPr>
        <w:t xml:space="preserve"> </w:t>
      </w:r>
      <w:r>
        <w:rPr>
          <w:spacing w:val="-2"/>
        </w:rPr>
        <w:t xml:space="preserve">of </w:t>
      </w:r>
      <w:r>
        <w:rPr>
          <w:w w:val="95"/>
        </w:rPr>
        <w:t>land</w:t>
      </w:r>
      <w:r>
        <w:rPr>
          <w:spacing w:val="-3"/>
          <w:w w:val="95"/>
        </w:rPr>
        <w:t xml:space="preserve"> </w:t>
      </w:r>
      <w:r>
        <w:rPr>
          <w:w w:val="95"/>
        </w:rPr>
        <w:t>for</w:t>
      </w:r>
      <w:r>
        <w:rPr>
          <w:spacing w:val="-3"/>
          <w:w w:val="95"/>
        </w:rPr>
        <w:t xml:space="preserve"> </w:t>
      </w:r>
      <w:r>
        <w:rPr>
          <w:w w:val="95"/>
        </w:rPr>
        <w:t>industrial</w:t>
      </w:r>
      <w:r>
        <w:rPr>
          <w:spacing w:val="-3"/>
          <w:w w:val="95"/>
        </w:rPr>
        <w:t xml:space="preserve"> </w:t>
      </w:r>
      <w:r>
        <w:rPr>
          <w:w w:val="95"/>
        </w:rPr>
        <w:t>and</w:t>
      </w:r>
      <w:r>
        <w:rPr>
          <w:spacing w:val="-3"/>
          <w:w w:val="95"/>
        </w:rPr>
        <w:t xml:space="preserve"> </w:t>
      </w:r>
      <w:r>
        <w:rPr>
          <w:w w:val="95"/>
        </w:rPr>
        <w:t>residential</w:t>
      </w:r>
      <w:r>
        <w:rPr>
          <w:spacing w:val="-3"/>
          <w:w w:val="95"/>
        </w:rPr>
        <w:t xml:space="preserve"> </w:t>
      </w:r>
      <w:r>
        <w:rPr>
          <w:w w:val="95"/>
        </w:rPr>
        <w:t>development</w:t>
      </w:r>
      <w:r>
        <w:rPr>
          <w:spacing w:val="-3"/>
          <w:w w:val="95"/>
        </w:rPr>
        <w:t xml:space="preserve"> </w:t>
      </w:r>
      <w:r>
        <w:rPr>
          <w:w w:val="95"/>
        </w:rPr>
        <w:t>purposes.</w:t>
      </w:r>
    </w:p>
    <w:p w:rsidR="002C1123" w:rsidRDefault="00F22F94">
      <w:pPr>
        <w:pStyle w:val="BodyText"/>
        <w:spacing w:before="116" w:line="249" w:lineRule="auto"/>
        <w:ind w:left="187" w:right="877"/>
      </w:pPr>
      <w:r>
        <w:rPr>
          <w:spacing w:val="-2"/>
        </w:rPr>
        <w:t>Infrastructure</w:t>
      </w:r>
      <w:r>
        <w:rPr>
          <w:spacing w:val="-8"/>
        </w:rPr>
        <w:t xml:space="preserve"> </w:t>
      </w:r>
      <w:r>
        <w:rPr>
          <w:spacing w:val="-2"/>
        </w:rPr>
        <w:t>NSW</w:t>
      </w:r>
      <w:r>
        <w:rPr>
          <w:spacing w:val="-8"/>
        </w:rPr>
        <w:t xml:space="preserve"> </w:t>
      </w:r>
      <w:r>
        <w:rPr>
          <w:spacing w:val="-2"/>
        </w:rPr>
        <w:t>also</w:t>
      </w:r>
      <w:r>
        <w:rPr>
          <w:spacing w:val="-8"/>
        </w:rPr>
        <w:t xml:space="preserve"> </w:t>
      </w:r>
      <w:r>
        <w:rPr>
          <w:spacing w:val="-2"/>
        </w:rPr>
        <w:t>notes</w:t>
      </w:r>
      <w:r>
        <w:rPr>
          <w:spacing w:val="-8"/>
        </w:rPr>
        <w:t xml:space="preserve"> </w:t>
      </w:r>
      <w:r>
        <w:rPr>
          <w:spacing w:val="-2"/>
        </w:rPr>
        <w:t>that</w:t>
      </w:r>
      <w:r>
        <w:rPr>
          <w:spacing w:val="-8"/>
        </w:rPr>
        <w:t xml:space="preserve"> </w:t>
      </w:r>
      <w:r>
        <w:rPr>
          <w:spacing w:val="-2"/>
        </w:rPr>
        <w:t xml:space="preserve">technology, </w:t>
      </w:r>
      <w:r>
        <w:rPr>
          <w:w w:val="95"/>
        </w:rPr>
        <w:t>mobility</w:t>
      </w:r>
      <w:r>
        <w:rPr>
          <w:spacing w:val="-8"/>
          <w:w w:val="95"/>
        </w:rPr>
        <w:t xml:space="preserve"> </w:t>
      </w:r>
      <w:r>
        <w:rPr>
          <w:w w:val="95"/>
        </w:rPr>
        <w:t>and</w:t>
      </w:r>
      <w:r>
        <w:rPr>
          <w:spacing w:val="-9"/>
          <w:w w:val="95"/>
        </w:rPr>
        <w:t xml:space="preserve"> </w:t>
      </w:r>
      <w:r>
        <w:rPr>
          <w:w w:val="95"/>
        </w:rPr>
        <w:t>patterns</w:t>
      </w:r>
      <w:r>
        <w:rPr>
          <w:spacing w:val="-8"/>
          <w:w w:val="95"/>
        </w:rPr>
        <w:t xml:space="preserve"> </w:t>
      </w:r>
      <w:r>
        <w:rPr>
          <w:w w:val="95"/>
        </w:rPr>
        <w:t>of</w:t>
      </w:r>
      <w:r>
        <w:rPr>
          <w:spacing w:val="-9"/>
          <w:w w:val="95"/>
        </w:rPr>
        <w:t xml:space="preserve"> </w:t>
      </w:r>
      <w:r>
        <w:rPr>
          <w:w w:val="95"/>
        </w:rPr>
        <w:t>work</w:t>
      </w:r>
      <w:r>
        <w:rPr>
          <w:spacing w:val="-8"/>
          <w:w w:val="95"/>
        </w:rPr>
        <w:t xml:space="preserve"> </w:t>
      </w:r>
      <w:r>
        <w:rPr>
          <w:w w:val="95"/>
        </w:rPr>
        <w:t>are</w:t>
      </w:r>
      <w:r>
        <w:rPr>
          <w:spacing w:val="-9"/>
          <w:w w:val="95"/>
        </w:rPr>
        <w:t xml:space="preserve"> </w:t>
      </w:r>
      <w:r>
        <w:rPr>
          <w:w w:val="95"/>
        </w:rPr>
        <w:t>changing</w:t>
      </w:r>
      <w:r>
        <w:rPr>
          <w:spacing w:val="-8"/>
          <w:w w:val="95"/>
        </w:rPr>
        <w:t xml:space="preserve"> </w:t>
      </w:r>
      <w:r>
        <w:rPr>
          <w:w w:val="95"/>
        </w:rPr>
        <w:t>and</w:t>
      </w:r>
      <w:r>
        <w:rPr>
          <w:spacing w:val="-9"/>
          <w:w w:val="95"/>
        </w:rPr>
        <w:t xml:space="preserve"> </w:t>
      </w:r>
      <w:r>
        <w:rPr>
          <w:w w:val="95"/>
        </w:rPr>
        <w:t>new</w:t>
      </w:r>
    </w:p>
    <w:p w:rsidR="002C1123" w:rsidRDefault="002C1123">
      <w:pPr>
        <w:spacing w:line="249" w:lineRule="auto"/>
        <w:sectPr w:rsidR="002C1123">
          <w:type w:val="continuous"/>
          <w:pgSz w:w="16840" w:h="11910" w:orient="landscape"/>
          <w:pgMar w:top="560" w:right="280" w:bottom="280" w:left="500" w:header="0" w:footer="517" w:gutter="0"/>
          <w:cols w:num="4" w:space="720" w:equalWidth="0">
            <w:col w:w="1808" w:space="40"/>
            <w:col w:w="1749" w:space="414"/>
            <w:col w:w="6308" w:space="39"/>
            <w:col w:w="5702"/>
          </w:cols>
        </w:sectPr>
      </w:pPr>
    </w:p>
    <w:p w:rsidR="002C1123" w:rsidRDefault="00F22F94">
      <w:pPr>
        <w:spacing w:before="17"/>
        <w:ind w:left="509"/>
        <w:rPr>
          <w:sz w:val="16"/>
        </w:rPr>
      </w:pPr>
      <w:r>
        <w:rPr>
          <w:w w:val="85"/>
          <w:sz w:val="16"/>
        </w:rPr>
        <w:t>8%</w:t>
      </w:r>
      <w:r>
        <w:rPr>
          <w:spacing w:val="-3"/>
          <w:w w:val="85"/>
          <w:sz w:val="16"/>
        </w:rPr>
        <w:t xml:space="preserve"> </w:t>
      </w:r>
      <w:r>
        <w:rPr>
          <w:w w:val="85"/>
          <w:sz w:val="16"/>
        </w:rPr>
        <w:t>7%</w:t>
      </w:r>
      <w:r>
        <w:rPr>
          <w:spacing w:val="-7"/>
          <w:sz w:val="16"/>
        </w:rPr>
        <w:t xml:space="preserve"> </w:t>
      </w:r>
      <w:r>
        <w:rPr>
          <w:w w:val="85"/>
          <w:sz w:val="16"/>
        </w:rPr>
        <w:t>6%</w:t>
      </w:r>
      <w:r>
        <w:rPr>
          <w:spacing w:val="-7"/>
          <w:sz w:val="16"/>
        </w:rPr>
        <w:t xml:space="preserve"> </w:t>
      </w:r>
      <w:r>
        <w:rPr>
          <w:w w:val="85"/>
          <w:sz w:val="16"/>
        </w:rPr>
        <w:t>5%</w:t>
      </w:r>
      <w:r>
        <w:rPr>
          <w:spacing w:val="-6"/>
          <w:sz w:val="16"/>
        </w:rPr>
        <w:t xml:space="preserve"> </w:t>
      </w:r>
      <w:r>
        <w:rPr>
          <w:w w:val="85"/>
          <w:sz w:val="16"/>
        </w:rPr>
        <w:t>4%</w:t>
      </w:r>
      <w:r>
        <w:rPr>
          <w:spacing w:val="-7"/>
          <w:sz w:val="16"/>
        </w:rPr>
        <w:t xml:space="preserve"> </w:t>
      </w:r>
      <w:r>
        <w:rPr>
          <w:w w:val="85"/>
          <w:sz w:val="16"/>
        </w:rPr>
        <w:t>3%</w:t>
      </w:r>
      <w:r>
        <w:rPr>
          <w:spacing w:val="-7"/>
          <w:sz w:val="16"/>
        </w:rPr>
        <w:t xml:space="preserve"> </w:t>
      </w:r>
      <w:r>
        <w:rPr>
          <w:w w:val="85"/>
          <w:sz w:val="16"/>
        </w:rPr>
        <w:t>2%</w:t>
      </w:r>
      <w:r>
        <w:rPr>
          <w:spacing w:val="-6"/>
          <w:sz w:val="16"/>
        </w:rPr>
        <w:t xml:space="preserve"> </w:t>
      </w:r>
      <w:r>
        <w:rPr>
          <w:w w:val="85"/>
          <w:sz w:val="16"/>
        </w:rPr>
        <w:t>1%</w:t>
      </w:r>
      <w:r>
        <w:rPr>
          <w:spacing w:val="-7"/>
          <w:sz w:val="16"/>
        </w:rPr>
        <w:t xml:space="preserve"> </w:t>
      </w:r>
      <w:r>
        <w:rPr>
          <w:w w:val="85"/>
          <w:sz w:val="16"/>
        </w:rPr>
        <w:t>0%</w:t>
      </w:r>
      <w:r>
        <w:rPr>
          <w:spacing w:val="-4"/>
          <w:w w:val="85"/>
          <w:sz w:val="16"/>
        </w:rPr>
        <w:t xml:space="preserve"> </w:t>
      </w:r>
      <w:r>
        <w:rPr>
          <w:w w:val="85"/>
          <w:sz w:val="16"/>
        </w:rPr>
        <w:t>1%</w:t>
      </w:r>
      <w:r>
        <w:rPr>
          <w:spacing w:val="-7"/>
          <w:sz w:val="16"/>
        </w:rPr>
        <w:t xml:space="preserve"> </w:t>
      </w:r>
      <w:r>
        <w:rPr>
          <w:w w:val="85"/>
          <w:sz w:val="16"/>
        </w:rPr>
        <w:t>2%</w:t>
      </w:r>
      <w:r>
        <w:rPr>
          <w:spacing w:val="-7"/>
          <w:sz w:val="16"/>
        </w:rPr>
        <w:t xml:space="preserve"> </w:t>
      </w:r>
      <w:r>
        <w:rPr>
          <w:w w:val="85"/>
          <w:sz w:val="16"/>
        </w:rPr>
        <w:t>3%</w:t>
      </w:r>
      <w:r>
        <w:rPr>
          <w:spacing w:val="-6"/>
          <w:sz w:val="16"/>
        </w:rPr>
        <w:t xml:space="preserve"> </w:t>
      </w:r>
      <w:r>
        <w:rPr>
          <w:w w:val="85"/>
          <w:sz w:val="16"/>
        </w:rPr>
        <w:t>4%</w:t>
      </w:r>
      <w:r>
        <w:rPr>
          <w:spacing w:val="-7"/>
          <w:sz w:val="16"/>
        </w:rPr>
        <w:t xml:space="preserve"> </w:t>
      </w:r>
      <w:r>
        <w:rPr>
          <w:w w:val="85"/>
          <w:sz w:val="16"/>
        </w:rPr>
        <w:t>5%</w:t>
      </w:r>
      <w:r>
        <w:rPr>
          <w:spacing w:val="-7"/>
          <w:sz w:val="16"/>
        </w:rPr>
        <w:t xml:space="preserve"> </w:t>
      </w:r>
      <w:r>
        <w:rPr>
          <w:w w:val="85"/>
          <w:sz w:val="16"/>
        </w:rPr>
        <w:t>6%</w:t>
      </w:r>
      <w:r>
        <w:rPr>
          <w:spacing w:val="-6"/>
          <w:sz w:val="16"/>
        </w:rPr>
        <w:t xml:space="preserve"> </w:t>
      </w:r>
      <w:r>
        <w:rPr>
          <w:w w:val="85"/>
          <w:sz w:val="16"/>
        </w:rPr>
        <w:t>7%</w:t>
      </w:r>
      <w:r>
        <w:rPr>
          <w:spacing w:val="-7"/>
          <w:sz w:val="16"/>
        </w:rPr>
        <w:t xml:space="preserve"> </w:t>
      </w:r>
      <w:r>
        <w:rPr>
          <w:spacing w:val="-5"/>
          <w:w w:val="85"/>
          <w:sz w:val="16"/>
        </w:rPr>
        <w:t>8%</w:t>
      </w:r>
    </w:p>
    <w:p w:rsidR="002C1123" w:rsidRDefault="002060EF">
      <w:pPr>
        <w:tabs>
          <w:tab w:val="left" w:pos="1742"/>
        </w:tabs>
        <w:spacing w:before="144"/>
        <w:ind w:left="760"/>
        <w:rPr>
          <w:sz w:val="16"/>
        </w:rPr>
      </w:pPr>
      <w:r>
        <w:pict>
          <v:rect id="docshape964" o:spid="_x0000_s4354" style="position:absolute;left:0;text-align:left;margin-left:50.3pt;margin-top:7.6pt;width:8.5pt;height:8.5pt;z-index:251286528;mso-position-horizontal-relative:page" fillcolor="#abe1fa" stroked="f">
            <w10:wrap anchorx="page"/>
          </v:rect>
        </w:pict>
      </w:r>
      <w:r>
        <w:pict>
          <v:rect id="docshape965" o:spid="_x0000_s4353" style="position:absolute;left:0;text-align:left;margin-left:99.4pt;margin-top:7.6pt;width:8.5pt;height:8.5pt;z-index:-251502592;mso-position-horizontal-relative:page" fillcolor="#2e3092" stroked="f">
            <w10:wrap anchorx="page"/>
          </v:rect>
        </w:pict>
      </w:r>
      <w:r w:rsidR="00F22F94">
        <w:rPr>
          <w:spacing w:val="-5"/>
          <w:w w:val="85"/>
          <w:sz w:val="16"/>
        </w:rPr>
        <w:t>NSW</w:t>
      </w:r>
      <w:r w:rsidR="00F22F94">
        <w:rPr>
          <w:sz w:val="16"/>
        </w:rPr>
        <w:tab/>
      </w:r>
      <w:r w:rsidR="00F22F94">
        <w:rPr>
          <w:w w:val="75"/>
          <w:sz w:val="16"/>
        </w:rPr>
        <w:t>North</w:t>
      </w:r>
      <w:r w:rsidR="00F22F94">
        <w:rPr>
          <w:spacing w:val="4"/>
          <w:sz w:val="16"/>
        </w:rPr>
        <w:t xml:space="preserve"> </w:t>
      </w:r>
      <w:r w:rsidR="00F22F94">
        <w:rPr>
          <w:spacing w:val="-2"/>
          <w:w w:val="85"/>
          <w:sz w:val="16"/>
        </w:rPr>
        <w:t>Coast</w:t>
      </w:r>
    </w:p>
    <w:p w:rsidR="002C1123" w:rsidRDefault="002C1123">
      <w:pPr>
        <w:pStyle w:val="BodyText"/>
        <w:spacing w:before="9"/>
        <w:rPr>
          <w:sz w:val="17"/>
        </w:rPr>
      </w:pPr>
    </w:p>
    <w:p w:rsidR="002C1123" w:rsidRDefault="00F22F94">
      <w:pPr>
        <w:spacing w:line="161" w:lineRule="exact"/>
        <w:ind w:left="492"/>
        <w:rPr>
          <w:sz w:val="14"/>
        </w:rPr>
      </w:pPr>
      <w:r>
        <w:rPr>
          <w:w w:val="95"/>
          <w:sz w:val="14"/>
        </w:rPr>
        <w:t>Source:</w:t>
      </w:r>
      <w:r>
        <w:rPr>
          <w:spacing w:val="6"/>
          <w:sz w:val="14"/>
        </w:rPr>
        <w:t xml:space="preserve"> </w:t>
      </w:r>
      <w:r>
        <w:rPr>
          <w:w w:val="95"/>
          <w:sz w:val="14"/>
        </w:rPr>
        <w:t>Deloitte</w:t>
      </w:r>
      <w:r>
        <w:rPr>
          <w:spacing w:val="6"/>
          <w:sz w:val="14"/>
        </w:rPr>
        <w:t xml:space="preserve"> </w:t>
      </w:r>
      <w:r>
        <w:rPr>
          <w:w w:val="95"/>
          <w:sz w:val="14"/>
        </w:rPr>
        <w:t>Access</w:t>
      </w:r>
      <w:r>
        <w:rPr>
          <w:spacing w:val="6"/>
          <w:sz w:val="14"/>
        </w:rPr>
        <w:t xml:space="preserve"> </w:t>
      </w:r>
      <w:r>
        <w:rPr>
          <w:spacing w:val="-2"/>
          <w:w w:val="95"/>
          <w:sz w:val="14"/>
        </w:rPr>
        <w:t>Economics.</w:t>
      </w:r>
    </w:p>
    <w:p w:rsidR="002C1123" w:rsidRDefault="00F22F94">
      <w:pPr>
        <w:spacing w:line="161" w:lineRule="exact"/>
        <w:ind w:left="492"/>
        <w:rPr>
          <w:sz w:val="14"/>
        </w:rPr>
      </w:pPr>
      <w:r>
        <w:rPr>
          <w:w w:val="95"/>
          <w:sz w:val="14"/>
        </w:rPr>
        <w:t>Note:</w:t>
      </w:r>
      <w:r>
        <w:rPr>
          <w:spacing w:val="2"/>
          <w:sz w:val="14"/>
        </w:rPr>
        <w:t xml:space="preserve"> </w:t>
      </w:r>
      <w:r>
        <w:rPr>
          <w:w w:val="95"/>
          <w:sz w:val="14"/>
        </w:rPr>
        <w:t>Indicative</w:t>
      </w:r>
      <w:r>
        <w:rPr>
          <w:spacing w:val="2"/>
          <w:sz w:val="14"/>
        </w:rPr>
        <w:t xml:space="preserve"> </w:t>
      </w:r>
      <w:r>
        <w:rPr>
          <w:w w:val="95"/>
          <w:sz w:val="14"/>
        </w:rPr>
        <w:t>Regional</w:t>
      </w:r>
      <w:r>
        <w:rPr>
          <w:spacing w:val="2"/>
          <w:sz w:val="14"/>
        </w:rPr>
        <w:t xml:space="preserve"> </w:t>
      </w:r>
      <w:r>
        <w:rPr>
          <w:w w:val="95"/>
          <w:sz w:val="14"/>
        </w:rPr>
        <w:t>Demographic</w:t>
      </w:r>
      <w:r>
        <w:rPr>
          <w:spacing w:val="3"/>
          <w:sz w:val="14"/>
        </w:rPr>
        <w:t xml:space="preserve"> </w:t>
      </w:r>
      <w:r>
        <w:rPr>
          <w:w w:val="95"/>
          <w:sz w:val="14"/>
        </w:rPr>
        <w:t>Profile</w:t>
      </w:r>
      <w:r>
        <w:rPr>
          <w:spacing w:val="2"/>
          <w:sz w:val="14"/>
        </w:rPr>
        <w:t xml:space="preserve"> </w:t>
      </w:r>
      <w:r>
        <w:rPr>
          <w:w w:val="95"/>
          <w:sz w:val="14"/>
        </w:rPr>
        <w:t>(North</w:t>
      </w:r>
      <w:r>
        <w:rPr>
          <w:spacing w:val="2"/>
          <w:sz w:val="14"/>
        </w:rPr>
        <w:t xml:space="preserve"> </w:t>
      </w:r>
      <w:r>
        <w:rPr>
          <w:w w:val="95"/>
          <w:sz w:val="14"/>
        </w:rPr>
        <w:t>Coast</w:t>
      </w:r>
      <w:r>
        <w:rPr>
          <w:spacing w:val="2"/>
          <w:sz w:val="14"/>
        </w:rPr>
        <w:t xml:space="preserve"> </w:t>
      </w:r>
      <w:r>
        <w:rPr>
          <w:w w:val="95"/>
          <w:sz w:val="14"/>
        </w:rPr>
        <w:t>&amp;</w:t>
      </w:r>
      <w:r>
        <w:rPr>
          <w:spacing w:val="3"/>
          <w:sz w:val="14"/>
        </w:rPr>
        <w:t xml:space="preserve"> </w:t>
      </w:r>
      <w:r>
        <w:rPr>
          <w:w w:val="95"/>
          <w:sz w:val="14"/>
        </w:rPr>
        <w:t>NSW,</w:t>
      </w:r>
      <w:r>
        <w:rPr>
          <w:spacing w:val="2"/>
          <w:sz w:val="14"/>
        </w:rPr>
        <w:t xml:space="preserve"> </w:t>
      </w:r>
      <w:r>
        <w:rPr>
          <w:spacing w:val="-2"/>
          <w:w w:val="95"/>
          <w:sz w:val="14"/>
        </w:rPr>
        <w:t>2010).</w:t>
      </w:r>
    </w:p>
    <w:p w:rsidR="002C1123" w:rsidRDefault="00F22F94">
      <w:pPr>
        <w:pStyle w:val="BodyText"/>
        <w:spacing w:line="214" w:lineRule="exact"/>
        <w:ind w:left="489"/>
        <w:jc w:val="both"/>
      </w:pPr>
      <w:r>
        <w:br w:type="column"/>
      </w:r>
      <w:r>
        <w:rPr>
          <w:w w:val="95"/>
        </w:rPr>
        <w:t>centres</w:t>
      </w:r>
      <w:r>
        <w:rPr>
          <w:spacing w:val="-5"/>
          <w:w w:val="95"/>
        </w:rPr>
        <w:t xml:space="preserve"> </w:t>
      </w:r>
      <w:r>
        <w:rPr>
          <w:w w:val="95"/>
        </w:rPr>
        <w:t>such</w:t>
      </w:r>
      <w:r>
        <w:rPr>
          <w:spacing w:val="-4"/>
          <w:w w:val="95"/>
        </w:rPr>
        <w:t xml:space="preserve"> </w:t>
      </w:r>
      <w:r>
        <w:rPr>
          <w:w w:val="95"/>
        </w:rPr>
        <w:t>as</w:t>
      </w:r>
      <w:r>
        <w:rPr>
          <w:spacing w:val="-5"/>
          <w:w w:val="95"/>
        </w:rPr>
        <w:t xml:space="preserve"> </w:t>
      </w:r>
      <w:r>
        <w:rPr>
          <w:w w:val="95"/>
        </w:rPr>
        <w:t>Dubbo,</w:t>
      </w:r>
      <w:r>
        <w:rPr>
          <w:spacing w:val="-4"/>
          <w:w w:val="95"/>
        </w:rPr>
        <w:t xml:space="preserve"> </w:t>
      </w:r>
      <w:r>
        <w:rPr>
          <w:w w:val="95"/>
        </w:rPr>
        <w:t>Orange</w:t>
      </w:r>
      <w:r>
        <w:rPr>
          <w:spacing w:val="-5"/>
          <w:w w:val="95"/>
        </w:rPr>
        <w:t xml:space="preserve"> </w:t>
      </w:r>
      <w:r>
        <w:rPr>
          <w:w w:val="95"/>
        </w:rPr>
        <w:t>and</w:t>
      </w:r>
      <w:r>
        <w:rPr>
          <w:spacing w:val="-4"/>
          <w:w w:val="95"/>
        </w:rPr>
        <w:t xml:space="preserve"> </w:t>
      </w:r>
      <w:r>
        <w:rPr>
          <w:w w:val="95"/>
        </w:rPr>
        <w:t>Broken</w:t>
      </w:r>
      <w:r>
        <w:rPr>
          <w:spacing w:val="-5"/>
          <w:w w:val="95"/>
        </w:rPr>
        <w:t xml:space="preserve"> </w:t>
      </w:r>
      <w:r>
        <w:rPr>
          <w:w w:val="95"/>
        </w:rPr>
        <w:t>Hill</w:t>
      </w:r>
      <w:r>
        <w:rPr>
          <w:spacing w:val="-4"/>
          <w:w w:val="95"/>
        </w:rPr>
        <w:t xml:space="preserve"> </w:t>
      </w:r>
      <w:r>
        <w:rPr>
          <w:spacing w:val="-5"/>
          <w:w w:val="95"/>
        </w:rPr>
        <w:t>and</w:t>
      </w:r>
    </w:p>
    <w:p w:rsidR="002C1123" w:rsidRDefault="00F22F94">
      <w:pPr>
        <w:pStyle w:val="BodyText"/>
        <w:spacing w:before="10" w:line="249" w:lineRule="auto"/>
        <w:ind w:left="489"/>
        <w:jc w:val="both"/>
      </w:pPr>
      <w:r>
        <w:rPr>
          <w:w w:val="95"/>
        </w:rPr>
        <w:t>towns</w:t>
      </w:r>
      <w:r>
        <w:rPr>
          <w:spacing w:val="-4"/>
          <w:w w:val="95"/>
        </w:rPr>
        <w:t xml:space="preserve"> </w:t>
      </w:r>
      <w:r>
        <w:rPr>
          <w:w w:val="95"/>
        </w:rPr>
        <w:t>in</w:t>
      </w:r>
      <w:r>
        <w:rPr>
          <w:spacing w:val="-4"/>
          <w:w w:val="95"/>
        </w:rPr>
        <w:t xml:space="preserve"> </w:t>
      </w:r>
      <w:r>
        <w:rPr>
          <w:w w:val="95"/>
        </w:rPr>
        <w:t>the</w:t>
      </w:r>
      <w:r>
        <w:rPr>
          <w:spacing w:val="-4"/>
          <w:w w:val="95"/>
        </w:rPr>
        <w:t xml:space="preserve"> </w:t>
      </w:r>
      <w:r>
        <w:rPr>
          <w:w w:val="95"/>
        </w:rPr>
        <w:t>Hunter</w:t>
      </w:r>
      <w:r>
        <w:rPr>
          <w:spacing w:val="-4"/>
          <w:w w:val="95"/>
        </w:rPr>
        <w:t xml:space="preserve"> </w:t>
      </w:r>
      <w:r>
        <w:rPr>
          <w:w w:val="95"/>
        </w:rPr>
        <w:t>are</w:t>
      </w:r>
      <w:r>
        <w:rPr>
          <w:spacing w:val="-4"/>
          <w:w w:val="95"/>
        </w:rPr>
        <w:t xml:space="preserve"> </w:t>
      </w:r>
      <w:r>
        <w:rPr>
          <w:w w:val="95"/>
        </w:rPr>
        <w:t>experiencing</w:t>
      </w:r>
      <w:r>
        <w:rPr>
          <w:spacing w:val="-4"/>
          <w:w w:val="95"/>
        </w:rPr>
        <w:t xml:space="preserve"> </w:t>
      </w:r>
      <w:r>
        <w:rPr>
          <w:w w:val="95"/>
        </w:rPr>
        <w:t>housing</w:t>
      </w:r>
      <w:r>
        <w:rPr>
          <w:spacing w:val="-4"/>
          <w:w w:val="95"/>
        </w:rPr>
        <w:t xml:space="preserve"> </w:t>
      </w:r>
      <w:r>
        <w:rPr>
          <w:w w:val="95"/>
        </w:rPr>
        <w:t xml:space="preserve">shortages and affordability problems and low unemployment rates </w:t>
      </w:r>
      <w:r>
        <w:t>due</w:t>
      </w:r>
      <w:r>
        <w:rPr>
          <w:spacing w:val="-6"/>
        </w:rPr>
        <w:t xml:space="preserve"> </w:t>
      </w:r>
      <w:r>
        <w:t>to</w:t>
      </w:r>
      <w:r>
        <w:rPr>
          <w:spacing w:val="-6"/>
        </w:rPr>
        <w:t xml:space="preserve"> </w:t>
      </w:r>
      <w:r>
        <w:t>the</w:t>
      </w:r>
      <w:r>
        <w:rPr>
          <w:spacing w:val="-6"/>
        </w:rPr>
        <w:t xml:space="preserve"> </w:t>
      </w:r>
      <w:r>
        <w:t>rapid</w:t>
      </w:r>
      <w:r>
        <w:rPr>
          <w:spacing w:val="-6"/>
        </w:rPr>
        <w:t xml:space="preserve"> </w:t>
      </w:r>
      <w:r>
        <w:t>growth</w:t>
      </w:r>
      <w:r>
        <w:rPr>
          <w:spacing w:val="-6"/>
        </w:rPr>
        <w:t xml:space="preserve"> </w:t>
      </w:r>
      <w:r>
        <w:t>of</w:t>
      </w:r>
      <w:r>
        <w:rPr>
          <w:spacing w:val="-6"/>
        </w:rPr>
        <w:t xml:space="preserve"> </w:t>
      </w:r>
      <w:r>
        <w:t>the</w:t>
      </w:r>
      <w:r>
        <w:rPr>
          <w:spacing w:val="-6"/>
        </w:rPr>
        <w:t xml:space="preserve"> </w:t>
      </w:r>
      <w:r>
        <w:t>mining</w:t>
      </w:r>
      <w:r>
        <w:rPr>
          <w:spacing w:val="-6"/>
        </w:rPr>
        <w:t xml:space="preserve"> </w:t>
      </w:r>
      <w:r>
        <w:t>sector.</w:t>
      </w:r>
    </w:p>
    <w:p w:rsidR="002C1123" w:rsidRDefault="00F22F94">
      <w:pPr>
        <w:pStyle w:val="BodyText"/>
        <w:spacing w:before="6" w:line="249" w:lineRule="auto"/>
        <w:ind w:left="271" w:right="807"/>
      </w:pPr>
      <w:r>
        <w:br w:type="column"/>
      </w:r>
      <w:r>
        <w:rPr>
          <w:w w:val="95"/>
        </w:rPr>
        <w:t>ways</w:t>
      </w:r>
      <w:r>
        <w:rPr>
          <w:spacing w:val="-11"/>
          <w:w w:val="95"/>
        </w:rPr>
        <w:t xml:space="preserve"> </w:t>
      </w:r>
      <w:r>
        <w:rPr>
          <w:w w:val="95"/>
        </w:rPr>
        <w:t>of</w:t>
      </w:r>
      <w:r>
        <w:rPr>
          <w:spacing w:val="-11"/>
          <w:w w:val="95"/>
        </w:rPr>
        <w:t xml:space="preserve"> </w:t>
      </w:r>
      <w:r>
        <w:rPr>
          <w:w w:val="95"/>
        </w:rPr>
        <w:t>working</w:t>
      </w:r>
      <w:r>
        <w:rPr>
          <w:spacing w:val="-11"/>
          <w:w w:val="95"/>
        </w:rPr>
        <w:t xml:space="preserve"> </w:t>
      </w:r>
      <w:r>
        <w:rPr>
          <w:w w:val="95"/>
        </w:rPr>
        <w:t>are</w:t>
      </w:r>
      <w:r>
        <w:rPr>
          <w:spacing w:val="-11"/>
          <w:w w:val="95"/>
        </w:rPr>
        <w:t xml:space="preserve"> </w:t>
      </w:r>
      <w:r>
        <w:rPr>
          <w:w w:val="95"/>
        </w:rPr>
        <w:t>able</w:t>
      </w:r>
      <w:r>
        <w:rPr>
          <w:spacing w:val="-11"/>
          <w:w w:val="95"/>
        </w:rPr>
        <w:t xml:space="preserve"> </w:t>
      </w:r>
      <w:r>
        <w:rPr>
          <w:w w:val="95"/>
        </w:rPr>
        <w:t>to</w:t>
      </w:r>
      <w:r>
        <w:rPr>
          <w:spacing w:val="-11"/>
          <w:w w:val="95"/>
        </w:rPr>
        <w:t xml:space="preserve"> </w:t>
      </w:r>
      <w:r>
        <w:rPr>
          <w:w w:val="95"/>
        </w:rPr>
        <w:t>increase</w:t>
      </w:r>
      <w:r>
        <w:rPr>
          <w:spacing w:val="-11"/>
          <w:w w:val="95"/>
        </w:rPr>
        <w:t xml:space="preserve"> </w:t>
      </w:r>
      <w:r>
        <w:rPr>
          <w:w w:val="95"/>
        </w:rPr>
        <w:t>access</w:t>
      </w:r>
      <w:r>
        <w:rPr>
          <w:spacing w:val="-11"/>
          <w:w w:val="95"/>
        </w:rPr>
        <w:t xml:space="preserve"> </w:t>
      </w:r>
      <w:r>
        <w:rPr>
          <w:w w:val="95"/>
        </w:rPr>
        <w:t>to</w:t>
      </w:r>
      <w:r>
        <w:rPr>
          <w:spacing w:val="-11"/>
          <w:w w:val="95"/>
        </w:rPr>
        <w:t xml:space="preserve"> </w:t>
      </w:r>
      <w:r>
        <w:rPr>
          <w:w w:val="95"/>
        </w:rPr>
        <w:t>jobs</w:t>
      </w:r>
      <w:r>
        <w:rPr>
          <w:spacing w:val="-11"/>
          <w:w w:val="95"/>
        </w:rPr>
        <w:t xml:space="preserve"> </w:t>
      </w:r>
      <w:r>
        <w:rPr>
          <w:w w:val="95"/>
        </w:rPr>
        <w:t xml:space="preserve">from </w:t>
      </w:r>
      <w:r>
        <w:rPr>
          <w:spacing w:val="-2"/>
          <w:w w:val="95"/>
        </w:rPr>
        <w:t>regional</w:t>
      </w:r>
      <w:r>
        <w:rPr>
          <w:spacing w:val="-10"/>
          <w:w w:val="95"/>
        </w:rPr>
        <w:t xml:space="preserve"> </w:t>
      </w:r>
      <w:r>
        <w:rPr>
          <w:spacing w:val="-2"/>
          <w:w w:val="95"/>
        </w:rPr>
        <w:t>areas.</w:t>
      </w:r>
      <w:r>
        <w:rPr>
          <w:spacing w:val="-10"/>
          <w:w w:val="95"/>
        </w:rPr>
        <w:t xml:space="preserve"> </w:t>
      </w:r>
      <w:r>
        <w:rPr>
          <w:spacing w:val="-2"/>
          <w:w w:val="95"/>
        </w:rPr>
        <w:t>For</w:t>
      </w:r>
      <w:r>
        <w:rPr>
          <w:spacing w:val="-10"/>
          <w:w w:val="95"/>
        </w:rPr>
        <w:t xml:space="preserve"> </w:t>
      </w:r>
      <w:r>
        <w:rPr>
          <w:spacing w:val="-2"/>
          <w:w w:val="95"/>
        </w:rPr>
        <w:t>example,</w:t>
      </w:r>
      <w:r>
        <w:rPr>
          <w:spacing w:val="-10"/>
          <w:w w:val="95"/>
        </w:rPr>
        <w:t xml:space="preserve"> </w:t>
      </w:r>
      <w:r>
        <w:rPr>
          <w:spacing w:val="-2"/>
          <w:w w:val="95"/>
        </w:rPr>
        <w:t>Bowral</w:t>
      </w:r>
      <w:r>
        <w:rPr>
          <w:spacing w:val="-10"/>
          <w:w w:val="95"/>
        </w:rPr>
        <w:t xml:space="preserve"> </w:t>
      </w:r>
      <w:r>
        <w:rPr>
          <w:spacing w:val="-2"/>
          <w:w w:val="95"/>
        </w:rPr>
        <w:t>and</w:t>
      </w:r>
      <w:r>
        <w:rPr>
          <w:spacing w:val="-10"/>
          <w:w w:val="95"/>
        </w:rPr>
        <w:t xml:space="preserve"> </w:t>
      </w:r>
      <w:r>
        <w:rPr>
          <w:spacing w:val="-2"/>
          <w:w w:val="95"/>
        </w:rPr>
        <w:t>Moss</w:t>
      </w:r>
      <w:r>
        <w:rPr>
          <w:spacing w:val="-10"/>
          <w:w w:val="95"/>
        </w:rPr>
        <w:t xml:space="preserve"> </w:t>
      </w:r>
      <w:r>
        <w:rPr>
          <w:spacing w:val="-2"/>
          <w:w w:val="95"/>
        </w:rPr>
        <w:t>Vale</w:t>
      </w:r>
      <w:r>
        <w:rPr>
          <w:spacing w:val="-10"/>
          <w:w w:val="95"/>
        </w:rPr>
        <w:t xml:space="preserve"> </w:t>
      </w:r>
      <w:r>
        <w:rPr>
          <w:spacing w:val="-2"/>
          <w:w w:val="95"/>
        </w:rPr>
        <w:t xml:space="preserve">have </w:t>
      </w:r>
      <w:r>
        <w:t>11</w:t>
      </w:r>
      <w:r>
        <w:rPr>
          <w:spacing w:val="-16"/>
        </w:rPr>
        <w:t xml:space="preserve"> </w:t>
      </w:r>
      <w:r>
        <w:t>per</w:t>
      </w:r>
      <w:r>
        <w:rPr>
          <w:spacing w:val="-16"/>
        </w:rPr>
        <w:t xml:space="preserve"> </w:t>
      </w:r>
      <w:r>
        <w:t>cent</w:t>
      </w:r>
      <w:r>
        <w:rPr>
          <w:spacing w:val="-16"/>
        </w:rPr>
        <w:t xml:space="preserve"> </w:t>
      </w:r>
      <w:r>
        <w:t>and</w:t>
      </w:r>
      <w:r>
        <w:rPr>
          <w:spacing w:val="-16"/>
        </w:rPr>
        <w:t xml:space="preserve"> </w:t>
      </w:r>
      <w:r>
        <w:t>10</w:t>
      </w:r>
      <w:r>
        <w:rPr>
          <w:spacing w:val="-16"/>
        </w:rPr>
        <w:t xml:space="preserve"> </w:t>
      </w:r>
      <w:r>
        <w:t>percent</w:t>
      </w:r>
      <w:r>
        <w:rPr>
          <w:spacing w:val="-16"/>
        </w:rPr>
        <w:t xml:space="preserve"> </w:t>
      </w:r>
      <w:r>
        <w:t>of</w:t>
      </w:r>
      <w:r>
        <w:rPr>
          <w:spacing w:val="-16"/>
        </w:rPr>
        <w:t xml:space="preserve"> </w:t>
      </w:r>
      <w:r>
        <w:t>their</w:t>
      </w:r>
      <w:r>
        <w:rPr>
          <w:spacing w:val="-16"/>
        </w:rPr>
        <w:t xml:space="preserve"> </w:t>
      </w:r>
      <w:r>
        <w:t>workforce</w:t>
      </w:r>
      <w:r>
        <w:rPr>
          <w:spacing w:val="-16"/>
        </w:rPr>
        <w:t xml:space="preserve"> </w:t>
      </w:r>
      <w:r>
        <w:t>who</w:t>
      </w:r>
      <w:r>
        <w:rPr>
          <w:spacing w:val="-16"/>
        </w:rPr>
        <w:t xml:space="preserve"> </w:t>
      </w:r>
      <w:r>
        <w:t>tele- work from home</w:t>
      </w:r>
      <w:r>
        <w:rPr>
          <w:position w:val="7"/>
          <w:sz w:val="11"/>
        </w:rPr>
        <w:t>2</w:t>
      </w:r>
      <w:r>
        <w:t>.</w:t>
      </w:r>
    </w:p>
    <w:p w:rsidR="002C1123" w:rsidRDefault="002060EF">
      <w:pPr>
        <w:pStyle w:val="BodyText"/>
        <w:spacing w:before="10"/>
        <w:rPr>
          <w:sz w:val="10"/>
        </w:rPr>
      </w:pPr>
      <w:r>
        <w:pict>
          <v:shape id="docshape966" o:spid="_x0000_s4352" style="position:absolute;margin-left:552.3pt;margin-top:7.45pt;width:1in;height:.1pt;z-index:-251400192;mso-wrap-distance-left:0;mso-wrap-distance-right:0;mso-position-horizontal-relative:page" coordorigin="11046,149" coordsize="1440,0" path="m11046,149r1440,e" filled="f" strokecolor="#9c9c9d" strokeweight=".5pt">
            <v:path arrowok="t"/>
            <w10:wrap type="topAndBottom" anchorx="page"/>
          </v:shape>
        </w:pict>
      </w:r>
    </w:p>
    <w:p w:rsidR="002C1123" w:rsidRDefault="00F22F94">
      <w:pPr>
        <w:pStyle w:val="ListParagraph"/>
        <w:numPr>
          <w:ilvl w:val="0"/>
          <w:numId w:val="102"/>
        </w:numPr>
        <w:tabs>
          <w:tab w:val="left" w:pos="470"/>
        </w:tabs>
        <w:spacing w:before="23"/>
        <w:ind w:left="469"/>
        <w:jc w:val="left"/>
        <w:rPr>
          <w:sz w:val="14"/>
        </w:rPr>
      </w:pPr>
      <w:r>
        <w:rPr>
          <w:w w:val="95"/>
          <w:sz w:val="14"/>
        </w:rPr>
        <w:t>KPMG</w:t>
      </w:r>
      <w:r>
        <w:rPr>
          <w:spacing w:val="5"/>
          <w:sz w:val="14"/>
        </w:rPr>
        <w:t xml:space="preserve"> </w:t>
      </w:r>
      <w:r>
        <w:rPr>
          <w:w w:val="95"/>
          <w:sz w:val="14"/>
        </w:rPr>
        <w:t>presentation</w:t>
      </w:r>
      <w:r>
        <w:rPr>
          <w:spacing w:val="6"/>
          <w:sz w:val="14"/>
        </w:rPr>
        <w:t xml:space="preserve"> </w:t>
      </w:r>
      <w:r>
        <w:rPr>
          <w:w w:val="95"/>
          <w:sz w:val="14"/>
        </w:rPr>
        <w:t>to</w:t>
      </w:r>
      <w:r>
        <w:rPr>
          <w:spacing w:val="6"/>
          <w:sz w:val="14"/>
        </w:rPr>
        <w:t xml:space="preserve"> </w:t>
      </w:r>
      <w:r>
        <w:rPr>
          <w:w w:val="95"/>
          <w:sz w:val="14"/>
        </w:rPr>
        <w:t>Infrastructure</w:t>
      </w:r>
      <w:r>
        <w:rPr>
          <w:spacing w:val="6"/>
          <w:sz w:val="14"/>
        </w:rPr>
        <w:t xml:space="preserve"> </w:t>
      </w:r>
      <w:r>
        <w:rPr>
          <w:spacing w:val="-4"/>
          <w:w w:val="95"/>
          <w:sz w:val="14"/>
        </w:rPr>
        <w:t>NSW.</w:t>
      </w:r>
    </w:p>
    <w:p w:rsidR="002C1123" w:rsidRDefault="002C1123">
      <w:pPr>
        <w:rPr>
          <w:sz w:val="14"/>
        </w:rPr>
        <w:sectPr w:rsidR="002C1123">
          <w:type w:val="continuous"/>
          <w:pgSz w:w="16840" w:h="11910" w:orient="landscape"/>
          <w:pgMar w:top="560" w:right="280" w:bottom="280" w:left="500" w:header="0" w:footer="517" w:gutter="0"/>
          <w:cols w:num="3" w:space="720" w:equalWidth="0">
            <w:col w:w="4990" w:space="40"/>
            <w:col w:w="5205" w:space="39"/>
            <w:col w:w="5786"/>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BodyText"/>
        <w:spacing w:before="106" w:line="249" w:lineRule="auto"/>
        <w:ind w:left="492" w:right="148"/>
        <w:jc w:val="both"/>
      </w:pPr>
      <w:bookmarkStart w:id="133" w:name="_bookmark95"/>
      <w:bookmarkEnd w:id="133"/>
      <w:r>
        <w:rPr>
          <w:w w:val="95"/>
        </w:rPr>
        <w:t>Every day people commute out from</w:t>
      </w:r>
      <w:r>
        <w:rPr>
          <w:spacing w:val="-1"/>
          <w:w w:val="95"/>
        </w:rPr>
        <w:t xml:space="preserve"> </w:t>
      </w:r>
      <w:r>
        <w:rPr>
          <w:w w:val="95"/>
        </w:rPr>
        <w:t>Newcastle to coal mines</w:t>
      </w:r>
      <w:r>
        <w:rPr>
          <w:spacing w:val="-12"/>
          <w:w w:val="95"/>
        </w:rPr>
        <w:t xml:space="preserve"> </w:t>
      </w:r>
      <w:r>
        <w:rPr>
          <w:w w:val="95"/>
        </w:rPr>
        <w:t>in</w:t>
      </w:r>
      <w:r>
        <w:rPr>
          <w:spacing w:val="-11"/>
          <w:w w:val="95"/>
        </w:rPr>
        <w:t xml:space="preserve"> </w:t>
      </w:r>
      <w:r>
        <w:rPr>
          <w:w w:val="95"/>
        </w:rPr>
        <w:t>the</w:t>
      </w:r>
      <w:r>
        <w:rPr>
          <w:spacing w:val="-11"/>
          <w:w w:val="95"/>
        </w:rPr>
        <w:t xml:space="preserve"> </w:t>
      </w:r>
      <w:r>
        <w:rPr>
          <w:w w:val="95"/>
        </w:rPr>
        <w:t>Hunter</w:t>
      </w:r>
      <w:r>
        <w:rPr>
          <w:spacing w:val="-11"/>
          <w:w w:val="95"/>
        </w:rPr>
        <w:t xml:space="preserve"> </w:t>
      </w:r>
      <w:r>
        <w:rPr>
          <w:w w:val="95"/>
        </w:rPr>
        <w:t>Valley</w:t>
      </w:r>
      <w:r>
        <w:rPr>
          <w:spacing w:val="-11"/>
          <w:w w:val="95"/>
        </w:rPr>
        <w:t xml:space="preserve"> </w:t>
      </w:r>
      <w:r>
        <w:rPr>
          <w:w w:val="95"/>
        </w:rPr>
        <w:t>and</w:t>
      </w:r>
      <w:r>
        <w:rPr>
          <w:spacing w:val="-11"/>
          <w:w w:val="95"/>
        </w:rPr>
        <w:t xml:space="preserve"> </w:t>
      </w:r>
      <w:r>
        <w:rPr>
          <w:w w:val="95"/>
        </w:rPr>
        <w:t>people</w:t>
      </w:r>
      <w:r>
        <w:rPr>
          <w:spacing w:val="-11"/>
          <w:w w:val="95"/>
        </w:rPr>
        <w:t xml:space="preserve"> </w:t>
      </w:r>
      <w:r>
        <w:rPr>
          <w:w w:val="95"/>
        </w:rPr>
        <w:t>in</w:t>
      </w:r>
      <w:r>
        <w:rPr>
          <w:spacing w:val="-11"/>
          <w:w w:val="95"/>
        </w:rPr>
        <w:t xml:space="preserve"> </w:t>
      </w:r>
      <w:r>
        <w:rPr>
          <w:w w:val="95"/>
        </w:rPr>
        <w:t>Regional</w:t>
      </w:r>
      <w:r>
        <w:rPr>
          <w:spacing w:val="-12"/>
          <w:w w:val="95"/>
        </w:rPr>
        <w:t xml:space="preserve"> </w:t>
      </w:r>
      <w:r>
        <w:rPr>
          <w:w w:val="95"/>
        </w:rPr>
        <w:t>NSW travel</w:t>
      </w:r>
      <w:r>
        <w:rPr>
          <w:spacing w:val="-1"/>
          <w:w w:val="95"/>
        </w:rPr>
        <w:t xml:space="preserve"> </w:t>
      </w:r>
      <w:r>
        <w:rPr>
          <w:w w:val="95"/>
        </w:rPr>
        <w:t>from</w:t>
      </w:r>
      <w:r>
        <w:rPr>
          <w:spacing w:val="-2"/>
          <w:w w:val="95"/>
        </w:rPr>
        <w:t xml:space="preserve"> </w:t>
      </w:r>
      <w:r>
        <w:rPr>
          <w:w w:val="95"/>
        </w:rPr>
        <w:t>regional</w:t>
      </w:r>
      <w:r>
        <w:rPr>
          <w:spacing w:val="-1"/>
          <w:w w:val="95"/>
        </w:rPr>
        <w:t xml:space="preserve"> </w:t>
      </w:r>
      <w:r>
        <w:rPr>
          <w:w w:val="95"/>
        </w:rPr>
        <w:t>airports</w:t>
      </w:r>
      <w:r>
        <w:rPr>
          <w:spacing w:val="-1"/>
          <w:w w:val="95"/>
        </w:rPr>
        <w:t xml:space="preserve"> </w:t>
      </w:r>
      <w:r>
        <w:rPr>
          <w:w w:val="95"/>
        </w:rPr>
        <w:t>to</w:t>
      </w:r>
      <w:r>
        <w:rPr>
          <w:spacing w:val="-1"/>
          <w:w w:val="95"/>
        </w:rPr>
        <w:t xml:space="preserve"> </w:t>
      </w:r>
      <w:r>
        <w:rPr>
          <w:w w:val="95"/>
        </w:rPr>
        <w:t>‘fly-in,</w:t>
      </w:r>
      <w:r>
        <w:rPr>
          <w:spacing w:val="-1"/>
          <w:w w:val="95"/>
        </w:rPr>
        <w:t xml:space="preserve"> </w:t>
      </w:r>
      <w:r>
        <w:rPr>
          <w:w w:val="95"/>
        </w:rPr>
        <w:t>fly-out’</w:t>
      </w:r>
      <w:r>
        <w:rPr>
          <w:spacing w:val="-1"/>
          <w:w w:val="95"/>
        </w:rPr>
        <w:t xml:space="preserve"> </w:t>
      </w:r>
      <w:r>
        <w:rPr>
          <w:w w:val="95"/>
        </w:rPr>
        <w:t>jobs</w:t>
      </w:r>
      <w:r>
        <w:rPr>
          <w:spacing w:val="-1"/>
          <w:w w:val="95"/>
        </w:rPr>
        <w:t xml:space="preserve"> </w:t>
      </w:r>
      <w:r>
        <w:rPr>
          <w:w w:val="95"/>
        </w:rPr>
        <w:t>in</w:t>
      </w:r>
      <w:r>
        <w:rPr>
          <w:spacing w:val="-1"/>
          <w:w w:val="95"/>
        </w:rPr>
        <w:t xml:space="preserve"> </w:t>
      </w:r>
      <w:r>
        <w:rPr>
          <w:w w:val="95"/>
        </w:rPr>
        <w:t xml:space="preserve">the </w:t>
      </w:r>
      <w:r>
        <w:t>mining</w:t>
      </w:r>
      <w:r>
        <w:rPr>
          <w:spacing w:val="-14"/>
        </w:rPr>
        <w:t xml:space="preserve"> </w:t>
      </w:r>
      <w:r>
        <w:t>states</w:t>
      </w:r>
      <w:r>
        <w:rPr>
          <w:spacing w:val="-14"/>
        </w:rPr>
        <w:t xml:space="preserve"> </w:t>
      </w:r>
      <w:r>
        <w:t>of</w:t>
      </w:r>
      <w:r>
        <w:rPr>
          <w:spacing w:val="-14"/>
        </w:rPr>
        <w:t xml:space="preserve"> </w:t>
      </w:r>
      <w:r>
        <w:t>Queensland</w:t>
      </w:r>
      <w:r>
        <w:rPr>
          <w:spacing w:val="-14"/>
        </w:rPr>
        <w:t xml:space="preserve"> </w:t>
      </w:r>
      <w:r>
        <w:t>and</w:t>
      </w:r>
      <w:r>
        <w:rPr>
          <w:spacing w:val="-14"/>
        </w:rPr>
        <w:t xml:space="preserve"> </w:t>
      </w:r>
      <w:r>
        <w:t>Western</w:t>
      </w:r>
      <w:r>
        <w:rPr>
          <w:spacing w:val="-14"/>
        </w:rPr>
        <w:t xml:space="preserve"> </w:t>
      </w:r>
      <w:r>
        <w:t>Australia.</w:t>
      </w:r>
    </w:p>
    <w:p w:rsidR="002C1123" w:rsidRDefault="00F22F94">
      <w:pPr>
        <w:pStyle w:val="BodyText"/>
        <w:spacing w:before="116" w:line="249" w:lineRule="auto"/>
        <w:ind w:left="492" w:right="4"/>
      </w:pPr>
      <w:r>
        <w:t xml:space="preserve">The Illawarra and Lower Hunter regions are </w:t>
      </w:r>
      <w:r>
        <w:rPr>
          <w:w w:val="95"/>
        </w:rPr>
        <w:t xml:space="preserve">increasingly becoming integrated with the economy of </w:t>
      </w:r>
      <w:r>
        <w:t>the</w:t>
      </w:r>
      <w:r>
        <w:rPr>
          <w:spacing w:val="-5"/>
        </w:rPr>
        <w:t xml:space="preserve"> </w:t>
      </w:r>
      <w:r>
        <w:t>Greater</w:t>
      </w:r>
      <w:r>
        <w:rPr>
          <w:spacing w:val="-5"/>
        </w:rPr>
        <w:t xml:space="preserve"> </w:t>
      </w:r>
      <w:r>
        <w:t>Sydney</w:t>
      </w:r>
      <w:r>
        <w:rPr>
          <w:spacing w:val="-5"/>
        </w:rPr>
        <w:t xml:space="preserve"> </w:t>
      </w:r>
      <w:r>
        <w:t>region.</w:t>
      </w:r>
      <w:r>
        <w:rPr>
          <w:spacing w:val="-5"/>
        </w:rPr>
        <w:t xml:space="preserve"> </w:t>
      </w:r>
      <w:r>
        <w:t>Many</w:t>
      </w:r>
      <w:r>
        <w:rPr>
          <w:spacing w:val="-5"/>
        </w:rPr>
        <w:t xml:space="preserve"> </w:t>
      </w:r>
      <w:r>
        <w:t>residents</w:t>
      </w:r>
      <w:r>
        <w:rPr>
          <w:spacing w:val="-5"/>
        </w:rPr>
        <w:t xml:space="preserve"> </w:t>
      </w:r>
      <w:r>
        <w:t>commute by rail and many more make the journey by road</w:t>
      </w:r>
    </w:p>
    <w:p w:rsidR="002C1123" w:rsidRDefault="00F22F94">
      <w:pPr>
        <w:pStyle w:val="BodyText"/>
        <w:spacing w:before="4" w:line="249" w:lineRule="auto"/>
        <w:ind w:left="492" w:right="4"/>
      </w:pPr>
      <w:r>
        <w:t>to work in Sydney every day. As Newcastle and Wollongong grow in size and importance to the NSW economy, they need faster and more efficient links to Sydney</w:t>
      </w:r>
      <w:r>
        <w:rPr>
          <w:position w:val="7"/>
          <w:sz w:val="11"/>
        </w:rPr>
        <w:t>3</w:t>
      </w:r>
      <w:r>
        <w:t>.</w:t>
      </w:r>
      <w:r>
        <w:rPr>
          <w:spacing w:val="-1"/>
        </w:rPr>
        <w:t xml:space="preserve"> </w:t>
      </w:r>
      <w:r>
        <w:t>In</w:t>
      </w:r>
      <w:r>
        <w:rPr>
          <w:spacing w:val="-1"/>
        </w:rPr>
        <w:t xml:space="preserve"> </w:t>
      </w:r>
      <w:r>
        <w:t>Section</w:t>
      </w:r>
      <w:r>
        <w:rPr>
          <w:spacing w:val="-1"/>
        </w:rPr>
        <w:t xml:space="preserve"> </w:t>
      </w:r>
      <w:r>
        <w:t>8,</w:t>
      </w:r>
      <w:r>
        <w:rPr>
          <w:spacing w:val="-1"/>
        </w:rPr>
        <w:t xml:space="preserve"> </w:t>
      </w:r>
      <w:r>
        <w:t>Infrastructure</w:t>
      </w:r>
      <w:r>
        <w:rPr>
          <w:spacing w:val="-1"/>
        </w:rPr>
        <w:t xml:space="preserve"> </w:t>
      </w:r>
      <w:r>
        <w:t>NSW</w:t>
      </w:r>
      <w:r>
        <w:rPr>
          <w:spacing w:val="-1"/>
        </w:rPr>
        <w:t xml:space="preserve"> </w:t>
      </w:r>
      <w:r>
        <w:t>assesses how</w:t>
      </w:r>
      <w:r>
        <w:rPr>
          <w:spacing w:val="-1"/>
        </w:rPr>
        <w:t xml:space="preserve"> </w:t>
      </w:r>
      <w:r>
        <w:t>faster</w:t>
      </w:r>
      <w:r>
        <w:rPr>
          <w:spacing w:val="-1"/>
        </w:rPr>
        <w:t xml:space="preserve"> </w:t>
      </w:r>
      <w:r>
        <w:t>rail</w:t>
      </w:r>
      <w:r>
        <w:rPr>
          <w:spacing w:val="-1"/>
        </w:rPr>
        <w:t xml:space="preserve"> </w:t>
      </w:r>
      <w:r>
        <w:t>journeys</w:t>
      </w:r>
      <w:r>
        <w:rPr>
          <w:spacing w:val="-1"/>
        </w:rPr>
        <w:t xml:space="preserve"> </w:t>
      </w:r>
      <w:r>
        <w:t>from</w:t>
      </w:r>
      <w:r>
        <w:rPr>
          <w:spacing w:val="-2"/>
        </w:rPr>
        <w:t xml:space="preserve"> </w:t>
      </w:r>
      <w:r>
        <w:t>the</w:t>
      </w:r>
      <w:r>
        <w:rPr>
          <w:spacing w:val="-1"/>
        </w:rPr>
        <w:t xml:space="preserve"> </w:t>
      </w:r>
      <w:r>
        <w:t>Illawarra</w:t>
      </w:r>
      <w:r>
        <w:rPr>
          <w:spacing w:val="-1"/>
        </w:rPr>
        <w:t xml:space="preserve"> </w:t>
      </w:r>
      <w:r>
        <w:t>and</w:t>
      </w:r>
      <w:r>
        <w:rPr>
          <w:spacing w:val="-1"/>
        </w:rPr>
        <w:t xml:space="preserve"> </w:t>
      </w:r>
      <w:r>
        <w:t xml:space="preserve">Central </w:t>
      </w:r>
      <w:r>
        <w:rPr>
          <w:w w:val="95"/>
        </w:rPr>
        <w:t xml:space="preserve">Coast to Sydney would help enable this integration and </w:t>
      </w:r>
      <w:r>
        <w:t>support these regions.</w:t>
      </w:r>
    </w:p>
    <w:p w:rsidR="002C1123" w:rsidRDefault="00F22F94">
      <w:pPr>
        <w:pStyle w:val="Heading5"/>
        <w:spacing w:before="258"/>
        <w:ind w:left="374" w:firstLine="0"/>
      </w:pPr>
      <w:r>
        <w:rPr>
          <w:b w:val="0"/>
        </w:rPr>
        <w:br w:type="column"/>
      </w:r>
      <w:r>
        <w:rPr>
          <w:b w:val="0"/>
          <w:color w:val="EC008C"/>
          <w:spacing w:val="-2"/>
        </w:rPr>
        <w:t>‘</w:t>
      </w:r>
      <w:r>
        <w:rPr>
          <w:color w:val="EC008C"/>
          <w:spacing w:val="-2"/>
        </w:rPr>
        <w:t>Fly-In,</w:t>
      </w:r>
      <w:r>
        <w:rPr>
          <w:color w:val="EC008C"/>
          <w:spacing w:val="-17"/>
        </w:rPr>
        <w:t xml:space="preserve"> </w:t>
      </w:r>
      <w:r>
        <w:rPr>
          <w:color w:val="EC008C"/>
          <w:spacing w:val="-2"/>
        </w:rPr>
        <w:t>Fly-Out</w:t>
      </w:r>
      <w:r>
        <w:rPr>
          <w:b w:val="0"/>
          <w:color w:val="EC008C"/>
          <w:spacing w:val="-2"/>
        </w:rPr>
        <w:t>’</w:t>
      </w:r>
      <w:r>
        <w:rPr>
          <w:b w:val="0"/>
          <w:color w:val="EC008C"/>
          <w:spacing w:val="-17"/>
        </w:rPr>
        <w:t xml:space="preserve"> </w:t>
      </w:r>
      <w:r>
        <w:rPr>
          <w:color w:val="EC008C"/>
          <w:spacing w:val="-2"/>
        </w:rPr>
        <w:t>Employment</w:t>
      </w:r>
    </w:p>
    <w:p w:rsidR="002C1123" w:rsidRDefault="002060EF">
      <w:pPr>
        <w:pStyle w:val="BodyText"/>
        <w:spacing w:before="135" w:line="249" w:lineRule="auto"/>
        <w:ind w:left="374"/>
      </w:pPr>
      <w:r>
        <w:pict>
          <v:shape id="docshape967" o:spid="_x0000_s4351" style="position:absolute;left:0;text-align:left;margin-left:300.95pt;margin-top:-21.45pt;width:491.35pt;height:300.5pt;z-index:-251501568;mso-position-horizontal-relative:page" coordorigin="6019,-429" coordsize="9827,6010" path="m15846,-429r-4800,l10819,-429r-4800,l6019,5576r4653,l10672,5580r416,l15846,5580r,-6009xe" fillcolor="#e1e0e1" stroked="f">
            <v:path arrowok="t"/>
            <w10:wrap anchorx="page"/>
          </v:shape>
        </w:pict>
      </w:r>
      <w:r w:rsidR="00F22F94">
        <w:rPr>
          <w:spacing w:val="-2"/>
        </w:rPr>
        <w:t>NSW</w:t>
      </w:r>
      <w:r w:rsidR="00F22F94">
        <w:rPr>
          <w:spacing w:val="-10"/>
        </w:rPr>
        <w:t xml:space="preserve"> </w:t>
      </w:r>
      <w:r w:rsidR="00F22F94">
        <w:rPr>
          <w:spacing w:val="-2"/>
        </w:rPr>
        <w:t>is</w:t>
      </w:r>
      <w:r w:rsidR="00F22F94">
        <w:rPr>
          <w:spacing w:val="-10"/>
        </w:rPr>
        <w:t xml:space="preserve"> </w:t>
      </w:r>
      <w:r w:rsidR="00F22F94">
        <w:rPr>
          <w:spacing w:val="-2"/>
        </w:rPr>
        <w:t>both</w:t>
      </w:r>
      <w:r w:rsidR="00F22F94">
        <w:rPr>
          <w:spacing w:val="-10"/>
        </w:rPr>
        <w:t xml:space="preserve"> </w:t>
      </w:r>
      <w:r w:rsidR="00F22F94">
        <w:rPr>
          <w:spacing w:val="-2"/>
        </w:rPr>
        <w:t>a</w:t>
      </w:r>
      <w:r w:rsidR="00F22F94">
        <w:rPr>
          <w:spacing w:val="-10"/>
        </w:rPr>
        <w:t xml:space="preserve"> </w:t>
      </w:r>
      <w:r w:rsidR="00F22F94">
        <w:rPr>
          <w:spacing w:val="-2"/>
        </w:rPr>
        <w:t>supplier</w:t>
      </w:r>
      <w:r w:rsidR="00F22F94">
        <w:rPr>
          <w:spacing w:val="-10"/>
        </w:rPr>
        <w:t xml:space="preserve"> </w:t>
      </w:r>
      <w:r w:rsidR="00F22F94">
        <w:rPr>
          <w:spacing w:val="-2"/>
        </w:rPr>
        <w:t>of</w:t>
      </w:r>
      <w:r w:rsidR="00F22F94">
        <w:rPr>
          <w:spacing w:val="-10"/>
        </w:rPr>
        <w:t xml:space="preserve"> </w:t>
      </w:r>
      <w:r w:rsidR="00F22F94">
        <w:rPr>
          <w:spacing w:val="-2"/>
        </w:rPr>
        <w:t>skilled</w:t>
      </w:r>
      <w:r w:rsidR="00F22F94">
        <w:rPr>
          <w:spacing w:val="-10"/>
        </w:rPr>
        <w:t xml:space="preserve"> </w:t>
      </w:r>
      <w:r w:rsidR="00F22F94">
        <w:rPr>
          <w:spacing w:val="-2"/>
        </w:rPr>
        <w:t>labour</w:t>
      </w:r>
      <w:r w:rsidR="00F22F94">
        <w:rPr>
          <w:spacing w:val="-10"/>
        </w:rPr>
        <w:t xml:space="preserve"> </w:t>
      </w:r>
      <w:r w:rsidR="00F22F94">
        <w:rPr>
          <w:spacing w:val="-2"/>
        </w:rPr>
        <w:t>to</w:t>
      </w:r>
      <w:r w:rsidR="00F22F94">
        <w:rPr>
          <w:spacing w:val="-10"/>
        </w:rPr>
        <w:t xml:space="preserve"> </w:t>
      </w:r>
      <w:r w:rsidR="00F22F94">
        <w:rPr>
          <w:spacing w:val="-2"/>
        </w:rPr>
        <w:t>interstate (Queensland</w:t>
      </w:r>
      <w:r w:rsidR="00F22F94">
        <w:rPr>
          <w:spacing w:val="-5"/>
        </w:rPr>
        <w:t xml:space="preserve"> </w:t>
      </w:r>
      <w:r w:rsidR="00F22F94">
        <w:rPr>
          <w:spacing w:val="-2"/>
        </w:rPr>
        <w:t>and</w:t>
      </w:r>
      <w:r w:rsidR="00F22F94">
        <w:rPr>
          <w:spacing w:val="-5"/>
        </w:rPr>
        <w:t xml:space="preserve"> </w:t>
      </w:r>
      <w:r w:rsidR="00F22F94">
        <w:rPr>
          <w:spacing w:val="-2"/>
        </w:rPr>
        <w:t>Western</w:t>
      </w:r>
      <w:r w:rsidR="00F22F94">
        <w:rPr>
          <w:spacing w:val="-5"/>
        </w:rPr>
        <w:t xml:space="preserve"> </w:t>
      </w:r>
      <w:r w:rsidR="00F22F94">
        <w:rPr>
          <w:spacing w:val="-2"/>
        </w:rPr>
        <w:t>Australian)</w:t>
      </w:r>
      <w:r w:rsidR="00F22F94">
        <w:rPr>
          <w:spacing w:val="-5"/>
        </w:rPr>
        <w:t xml:space="preserve"> </w:t>
      </w:r>
      <w:r w:rsidR="00F22F94">
        <w:rPr>
          <w:spacing w:val="-2"/>
        </w:rPr>
        <w:t xml:space="preserve">and </w:t>
      </w:r>
      <w:r w:rsidR="00F22F94">
        <w:rPr>
          <w:spacing w:val="-2"/>
          <w:w w:val="95"/>
        </w:rPr>
        <w:t>international</w:t>
      </w:r>
      <w:r w:rsidR="00F22F94">
        <w:rPr>
          <w:spacing w:val="-4"/>
          <w:w w:val="95"/>
        </w:rPr>
        <w:t xml:space="preserve"> </w:t>
      </w:r>
      <w:r w:rsidR="00F22F94">
        <w:rPr>
          <w:spacing w:val="-2"/>
          <w:w w:val="95"/>
        </w:rPr>
        <w:t>mines</w:t>
      </w:r>
      <w:r w:rsidR="00F22F94">
        <w:rPr>
          <w:spacing w:val="-4"/>
          <w:w w:val="95"/>
        </w:rPr>
        <w:t xml:space="preserve"> </w:t>
      </w:r>
      <w:r w:rsidR="00F22F94">
        <w:rPr>
          <w:spacing w:val="-2"/>
          <w:w w:val="95"/>
        </w:rPr>
        <w:t>and</w:t>
      </w:r>
      <w:r w:rsidR="00F22F94">
        <w:rPr>
          <w:spacing w:val="-4"/>
          <w:w w:val="95"/>
        </w:rPr>
        <w:t xml:space="preserve"> </w:t>
      </w:r>
      <w:r w:rsidR="00F22F94">
        <w:rPr>
          <w:spacing w:val="-2"/>
          <w:w w:val="95"/>
        </w:rPr>
        <w:t>a</w:t>
      </w:r>
      <w:r w:rsidR="00F22F94">
        <w:rPr>
          <w:spacing w:val="-4"/>
          <w:w w:val="95"/>
        </w:rPr>
        <w:t xml:space="preserve"> </w:t>
      </w:r>
      <w:r w:rsidR="00F22F94">
        <w:rPr>
          <w:spacing w:val="-2"/>
          <w:w w:val="95"/>
        </w:rPr>
        <w:t>user</w:t>
      </w:r>
      <w:r w:rsidR="00F22F94">
        <w:rPr>
          <w:spacing w:val="-4"/>
          <w:w w:val="95"/>
        </w:rPr>
        <w:t xml:space="preserve"> </w:t>
      </w:r>
      <w:r w:rsidR="00F22F94">
        <w:rPr>
          <w:spacing w:val="-2"/>
          <w:w w:val="95"/>
        </w:rPr>
        <w:t>of</w:t>
      </w:r>
      <w:r w:rsidR="00F22F94">
        <w:rPr>
          <w:spacing w:val="-4"/>
          <w:w w:val="95"/>
        </w:rPr>
        <w:t xml:space="preserve"> </w:t>
      </w:r>
      <w:r w:rsidR="00F22F94">
        <w:rPr>
          <w:spacing w:val="-2"/>
          <w:w w:val="95"/>
        </w:rPr>
        <w:t>‘fly-in,</w:t>
      </w:r>
      <w:r w:rsidR="00F22F94">
        <w:rPr>
          <w:spacing w:val="-4"/>
          <w:w w:val="95"/>
        </w:rPr>
        <w:t xml:space="preserve"> </w:t>
      </w:r>
      <w:r w:rsidR="00F22F94">
        <w:rPr>
          <w:spacing w:val="-2"/>
          <w:w w:val="95"/>
        </w:rPr>
        <w:t>fly-out’</w:t>
      </w:r>
      <w:r w:rsidR="00F22F94">
        <w:rPr>
          <w:spacing w:val="-4"/>
          <w:w w:val="95"/>
        </w:rPr>
        <w:t xml:space="preserve"> </w:t>
      </w:r>
      <w:r w:rsidR="00F22F94">
        <w:rPr>
          <w:spacing w:val="-2"/>
          <w:w w:val="95"/>
        </w:rPr>
        <w:t xml:space="preserve">(FIFO) </w:t>
      </w:r>
      <w:r w:rsidR="00F22F94">
        <w:rPr>
          <w:spacing w:val="-2"/>
        </w:rPr>
        <w:t>labour</w:t>
      </w:r>
      <w:r w:rsidR="00F22F94">
        <w:rPr>
          <w:spacing w:val="-7"/>
        </w:rPr>
        <w:t xml:space="preserve"> </w:t>
      </w:r>
      <w:r w:rsidR="00F22F94">
        <w:rPr>
          <w:spacing w:val="-2"/>
        </w:rPr>
        <w:t>in</w:t>
      </w:r>
      <w:r w:rsidR="00F22F94">
        <w:rPr>
          <w:spacing w:val="-7"/>
        </w:rPr>
        <w:t xml:space="preserve"> </w:t>
      </w:r>
      <w:r w:rsidR="00F22F94">
        <w:rPr>
          <w:spacing w:val="-2"/>
        </w:rPr>
        <w:t>Far-West</w:t>
      </w:r>
      <w:r w:rsidR="00F22F94">
        <w:rPr>
          <w:spacing w:val="-7"/>
        </w:rPr>
        <w:t xml:space="preserve"> </w:t>
      </w:r>
      <w:r w:rsidR="00F22F94">
        <w:rPr>
          <w:spacing w:val="-2"/>
        </w:rPr>
        <w:t>mines.</w:t>
      </w:r>
      <w:r w:rsidR="00F22F94">
        <w:rPr>
          <w:spacing w:val="-7"/>
        </w:rPr>
        <w:t xml:space="preserve"> </w:t>
      </w:r>
      <w:r w:rsidR="00F22F94">
        <w:rPr>
          <w:spacing w:val="-2"/>
        </w:rPr>
        <w:t>The</w:t>
      </w:r>
      <w:r w:rsidR="00F22F94">
        <w:rPr>
          <w:spacing w:val="-7"/>
        </w:rPr>
        <w:t xml:space="preserve"> </w:t>
      </w:r>
      <w:r w:rsidR="00F22F94">
        <w:rPr>
          <w:spacing w:val="-2"/>
        </w:rPr>
        <w:t>increasing</w:t>
      </w:r>
      <w:r w:rsidR="00F22F94">
        <w:rPr>
          <w:spacing w:val="-7"/>
        </w:rPr>
        <w:t xml:space="preserve"> </w:t>
      </w:r>
      <w:r w:rsidR="00F22F94">
        <w:rPr>
          <w:spacing w:val="-2"/>
        </w:rPr>
        <w:t>use</w:t>
      </w:r>
      <w:r w:rsidR="00F22F94">
        <w:rPr>
          <w:spacing w:val="-7"/>
        </w:rPr>
        <w:t xml:space="preserve"> </w:t>
      </w:r>
      <w:r w:rsidR="00F22F94">
        <w:rPr>
          <w:spacing w:val="-2"/>
        </w:rPr>
        <w:t xml:space="preserve">of </w:t>
      </w:r>
      <w:r w:rsidR="00F22F94">
        <w:t>FIFO</w:t>
      </w:r>
      <w:r w:rsidR="00F22F94">
        <w:rPr>
          <w:spacing w:val="-5"/>
        </w:rPr>
        <w:t xml:space="preserve"> </w:t>
      </w:r>
      <w:r w:rsidR="00F22F94">
        <w:t>and</w:t>
      </w:r>
      <w:r w:rsidR="00F22F94">
        <w:rPr>
          <w:spacing w:val="-5"/>
        </w:rPr>
        <w:t xml:space="preserve"> </w:t>
      </w:r>
      <w:r w:rsidR="00F22F94">
        <w:t>‘drive-in,</w:t>
      </w:r>
      <w:r w:rsidR="00F22F94">
        <w:rPr>
          <w:spacing w:val="-5"/>
        </w:rPr>
        <w:t xml:space="preserve"> </w:t>
      </w:r>
      <w:r w:rsidR="00F22F94">
        <w:t>drive-out’</w:t>
      </w:r>
      <w:r w:rsidR="00F22F94">
        <w:rPr>
          <w:spacing w:val="-5"/>
        </w:rPr>
        <w:t xml:space="preserve"> </w:t>
      </w:r>
      <w:r w:rsidR="00F22F94">
        <w:t>workforce</w:t>
      </w:r>
      <w:r w:rsidR="00F22F94">
        <w:rPr>
          <w:spacing w:val="-5"/>
        </w:rPr>
        <w:t xml:space="preserve"> </w:t>
      </w:r>
      <w:r w:rsidR="00F22F94">
        <w:t>practices worldwide</w:t>
      </w:r>
      <w:r w:rsidR="00F22F94">
        <w:rPr>
          <w:spacing w:val="-11"/>
        </w:rPr>
        <w:t xml:space="preserve"> </w:t>
      </w:r>
      <w:r w:rsidR="00F22F94">
        <w:t>provides</w:t>
      </w:r>
      <w:r w:rsidR="00F22F94">
        <w:rPr>
          <w:spacing w:val="-11"/>
        </w:rPr>
        <w:t xml:space="preserve"> </w:t>
      </w:r>
      <w:r w:rsidR="00F22F94">
        <w:t>an</w:t>
      </w:r>
      <w:r w:rsidR="00F22F94">
        <w:rPr>
          <w:spacing w:val="-11"/>
        </w:rPr>
        <w:t xml:space="preserve"> </w:t>
      </w:r>
      <w:r w:rsidR="00F22F94">
        <w:t>opportunity</w:t>
      </w:r>
      <w:r w:rsidR="00F22F94">
        <w:rPr>
          <w:spacing w:val="-11"/>
        </w:rPr>
        <w:t xml:space="preserve"> </w:t>
      </w:r>
      <w:r w:rsidR="00F22F94">
        <w:t>for</w:t>
      </w:r>
      <w:r w:rsidR="00F22F94">
        <w:rPr>
          <w:spacing w:val="-11"/>
        </w:rPr>
        <w:t xml:space="preserve"> </w:t>
      </w:r>
      <w:r w:rsidR="00F22F94">
        <w:t>employment without</w:t>
      </w:r>
      <w:r w:rsidR="00F22F94">
        <w:rPr>
          <w:spacing w:val="-8"/>
        </w:rPr>
        <w:t xml:space="preserve"> </w:t>
      </w:r>
      <w:r w:rsidR="00F22F94">
        <w:t>having</w:t>
      </w:r>
      <w:r w:rsidR="00F22F94">
        <w:rPr>
          <w:spacing w:val="-8"/>
        </w:rPr>
        <w:t xml:space="preserve"> </w:t>
      </w:r>
      <w:r w:rsidR="00F22F94">
        <w:t>to</w:t>
      </w:r>
      <w:r w:rsidR="00F22F94">
        <w:rPr>
          <w:spacing w:val="-8"/>
        </w:rPr>
        <w:t xml:space="preserve"> </w:t>
      </w:r>
      <w:r w:rsidR="00F22F94">
        <w:t>move</w:t>
      </w:r>
      <w:r w:rsidR="00F22F94">
        <w:rPr>
          <w:spacing w:val="-8"/>
        </w:rPr>
        <w:t xml:space="preserve"> </w:t>
      </w:r>
      <w:r w:rsidR="00F22F94">
        <w:t>residence,</w:t>
      </w:r>
      <w:r w:rsidR="00F22F94">
        <w:rPr>
          <w:spacing w:val="-8"/>
        </w:rPr>
        <w:t xml:space="preserve"> </w:t>
      </w:r>
      <w:r w:rsidR="00F22F94">
        <w:t>encouraging families</w:t>
      </w:r>
      <w:r w:rsidR="00F22F94">
        <w:rPr>
          <w:spacing w:val="-14"/>
        </w:rPr>
        <w:t xml:space="preserve"> </w:t>
      </w:r>
      <w:r w:rsidR="00F22F94">
        <w:t>to</w:t>
      </w:r>
      <w:r w:rsidR="00F22F94">
        <w:rPr>
          <w:spacing w:val="-14"/>
        </w:rPr>
        <w:t xml:space="preserve"> </w:t>
      </w:r>
      <w:r w:rsidR="00F22F94">
        <w:t>stay</w:t>
      </w:r>
      <w:r w:rsidR="00F22F94">
        <w:rPr>
          <w:spacing w:val="-14"/>
        </w:rPr>
        <w:t xml:space="preserve"> </w:t>
      </w:r>
      <w:r w:rsidR="00F22F94">
        <w:t>in</w:t>
      </w:r>
      <w:r w:rsidR="00F22F94">
        <w:rPr>
          <w:spacing w:val="-14"/>
        </w:rPr>
        <w:t xml:space="preserve"> </w:t>
      </w:r>
      <w:r w:rsidR="00F22F94">
        <w:t>rural</w:t>
      </w:r>
      <w:r w:rsidR="00F22F94">
        <w:rPr>
          <w:spacing w:val="-14"/>
        </w:rPr>
        <w:t xml:space="preserve"> </w:t>
      </w:r>
      <w:r w:rsidR="00F22F94">
        <w:t>towns.</w:t>
      </w:r>
      <w:r w:rsidR="00F22F94">
        <w:rPr>
          <w:spacing w:val="-14"/>
        </w:rPr>
        <w:t xml:space="preserve"> </w:t>
      </w:r>
      <w:r w:rsidR="00F22F94">
        <w:t>A</w:t>
      </w:r>
      <w:r w:rsidR="00F22F94">
        <w:rPr>
          <w:spacing w:val="-14"/>
        </w:rPr>
        <w:t xml:space="preserve"> </w:t>
      </w:r>
      <w:r w:rsidR="00F22F94">
        <w:t>highly</w:t>
      </w:r>
      <w:r w:rsidR="00F22F94">
        <w:rPr>
          <w:spacing w:val="-14"/>
        </w:rPr>
        <w:t xml:space="preserve"> </w:t>
      </w:r>
      <w:r w:rsidR="00F22F94">
        <w:t xml:space="preserve">mobile </w:t>
      </w:r>
      <w:r w:rsidR="00F22F94">
        <w:rPr>
          <w:w w:val="95"/>
        </w:rPr>
        <w:t xml:space="preserve">workforce, who establish their homes and raise their </w:t>
      </w:r>
      <w:r w:rsidR="00F22F94">
        <w:t>family</w:t>
      </w:r>
      <w:r w:rsidR="00F22F94">
        <w:rPr>
          <w:spacing w:val="-14"/>
        </w:rPr>
        <w:t xml:space="preserve"> </w:t>
      </w:r>
      <w:r w:rsidR="00F22F94">
        <w:t>in</w:t>
      </w:r>
      <w:r w:rsidR="00F22F94">
        <w:rPr>
          <w:spacing w:val="-14"/>
        </w:rPr>
        <w:t xml:space="preserve"> </w:t>
      </w:r>
      <w:r w:rsidR="00F22F94">
        <w:t>NSW,</w:t>
      </w:r>
      <w:r w:rsidR="00F22F94">
        <w:rPr>
          <w:spacing w:val="-14"/>
        </w:rPr>
        <w:t xml:space="preserve"> </w:t>
      </w:r>
      <w:r w:rsidR="00F22F94">
        <w:t>while</w:t>
      </w:r>
      <w:r w:rsidR="00F22F94">
        <w:rPr>
          <w:spacing w:val="-14"/>
        </w:rPr>
        <w:t xml:space="preserve"> </w:t>
      </w:r>
      <w:r w:rsidR="00F22F94">
        <w:t>working</w:t>
      </w:r>
      <w:r w:rsidR="00F22F94">
        <w:rPr>
          <w:spacing w:val="-14"/>
        </w:rPr>
        <w:t xml:space="preserve"> </w:t>
      </w:r>
      <w:r w:rsidR="00F22F94">
        <w:t>where</w:t>
      </w:r>
      <w:r w:rsidR="00F22F94">
        <w:rPr>
          <w:spacing w:val="-14"/>
        </w:rPr>
        <w:t xml:space="preserve"> </w:t>
      </w:r>
      <w:r w:rsidR="00F22F94">
        <w:t>the</w:t>
      </w:r>
      <w:r w:rsidR="00F22F94">
        <w:rPr>
          <w:spacing w:val="-14"/>
        </w:rPr>
        <w:t xml:space="preserve"> </w:t>
      </w:r>
      <w:r w:rsidR="00F22F94">
        <w:t>jobs</w:t>
      </w:r>
      <w:r w:rsidR="00F22F94">
        <w:rPr>
          <w:spacing w:val="-14"/>
        </w:rPr>
        <w:t xml:space="preserve"> </w:t>
      </w:r>
      <w:r w:rsidR="00F22F94">
        <w:t>are, provide</w:t>
      </w:r>
      <w:r w:rsidR="00F22F94">
        <w:rPr>
          <w:spacing w:val="-5"/>
        </w:rPr>
        <w:t xml:space="preserve"> </w:t>
      </w:r>
      <w:r w:rsidR="00F22F94">
        <w:t>a</w:t>
      </w:r>
      <w:r w:rsidR="00F22F94">
        <w:rPr>
          <w:spacing w:val="-5"/>
        </w:rPr>
        <w:t xml:space="preserve"> </w:t>
      </w:r>
      <w:r w:rsidR="00F22F94">
        <w:t>strong</w:t>
      </w:r>
      <w:r w:rsidR="00F22F94">
        <w:rPr>
          <w:spacing w:val="-5"/>
        </w:rPr>
        <w:t xml:space="preserve"> </w:t>
      </w:r>
      <w:r w:rsidR="00F22F94">
        <w:t>economic</w:t>
      </w:r>
      <w:r w:rsidR="00F22F94">
        <w:rPr>
          <w:spacing w:val="-5"/>
        </w:rPr>
        <w:t xml:space="preserve"> </w:t>
      </w:r>
      <w:r w:rsidR="00F22F94">
        <w:t>benefit</w:t>
      </w:r>
      <w:r w:rsidR="00F22F94">
        <w:rPr>
          <w:spacing w:val="-5"/>
        </w:rPr>
        <w:t xml:space="preserve"> </w:t>
      </w:r>
      <w:r w:rsidR="00F22F94">
        <w:t>to</w:t>
      </w:r>
      <w:r w:rsidR="00F22F94">
        <w:rPr>
          <w:spacing w:val="-5"/>
        </w:rPr>
        <w:t xml:space="preserve"> </w:t>
      </w:r>
      <w:r w:rsidR="00F22F94">
        <w:t>NSW.</w:t>
      </w:r>
    </w:p>
    <w:p w:rsidR="002C1123" w:rsidRDefault="00F22F94">
      <w:pPr>
        <w:pStyle w:val="BodyText"/>
        <w:spacing w:before="151" w:line="249" w:lineRule="auto"/>
        <w:ind w:left="374" w:right="452"/>
      </w:pPr>
      <w:r>
        <w:rPr>
          <w:w w:val="95"/>
        </w:rPr>
        <w:t>The</w:t>
      </w:r>
      <w:r>
        <w:rPr>
          <w:spacing w:val="-5"/>
          <w:w w:val="95"/>
        </w:rPr>
        <w:t xml:space="preserve"> </w:t>
      </w:r>
      <w:r>
        <w:rPr>
          <w:w w:val="95"/>
        </w:rPr>
        <w:t>major</w:t>
      </w:r>
      <w:r>
        <w:rPr>
          <w:spacing w:val="-5"/>
          <w:w w:val="95"/>
        </w:rPr>
        <w:t xml:space="preserve"> </w:t>
      </w:r>
      <w:r>
        <w:rPr>
          <w:w w:val="95"/>
        </w:rPr>
        <w:t>challenge</w:t>
      </w:r>
      <w:r>
        <w:rPr>
          <w:spacing w:val="-5"/>
          <w:w w:val="95"/>
        </w:rPr>
        <w:t xml:space="preserve"> </w:t>
      </w:r>
      <w:r>
        <w:rPr>
          <w:w w:val="95"/>
        </w:rPr>
        <w:t>for</w:t>
      </w:r>
      <w:r>
        <w:rPr>
          <w:spacing w:val="-5"/>
          <w:w w:val="95"/>
        </w:rPr>
        <w:t xml:space="preserve"> </w:t>
      </w:r>
      <w:r>
        <w:rPr>
          <w:w w:val="95"/>
        </w:rPr>
        <w:t>access</w:t>
      </w:r>
      <w:r>
        <w:rPr>
          <w:spacing w:val="-5"/>
          <w:w w:val="95"/>
        </w:rPr>
        <w:t xml:space="preserve"> </w:t>
      </w:r>
      <w:r>
        <w:rPr>
          <w:w w:val="95"/>
        </w:rPr>
        <w:t>to</w:t>
      </w:r>
      <w:r>
        <w:rPr>
          <w:spacing w:val="-5"/>
          <w:w w:val="95"/>
        </w:rPr>
        <w:t xml:space="preserve"> </w:t>
      </w:r>
      <w:r>
        <w:rPr>
          <w:w w:val="95"/>
        </w:rPr>
        <w:t>remote</w:t>
      </w:r>
      <w:r>
        <w:rPr>
          <w:spacing w:val="-5"/>
          <w:w w:val="95"/>
        </w:rPr>
        <w:t xml:space="preserve"> </w:t>
      </w:r>
      <w:r>
        <w:rPr>
          <w:w w:val="95"/>
        </w:rPr>
        <w:t xml:space="preserve">work is aviation coverage limitations. The regulation </w:t>
      </w:r>
      <w:r>
        <w:t>of</w:t>
      </w:r>
      <w:r>
        <w:rPr>
          <w:spacing w:val="-5"/>
        </w:rPr>
        <w:t xml:space="preserve"> </w:t>
      </w:r>
      <w:r>
        <w:t>air</w:t>
      </w:r>
      <w:r>
        <w:rPr>
          <w:spacing w:val="-5"/>
        </w:rPr>
        <w:t xml:space="preserve"> </w:t>
      </w:r>
      <w:r>
        <w:t>routes</w:t>
      </w:r>
      <w:r>
        <w:rPr>
          <w:spacing w:val="-5"/>
        </w:rPr>
        <w:t xml:space="preserve"> </w:t>
      </w:r>
      <w:r>
        <w:t>and</w:t>
      </w:r>
      <w:r>
        <w:rPr>
          <w:spacing w:val="-5"/>
        </w:rPr>
        <w:t xml:space="preserve"> </w:t>
      </w:r>
      <w:r>
        <w:t>airport</w:t>
      </w:r>
      <w:r>
        <w:rPr>
          <w:spacing w:val="-5"/>
        </w:rPr>
        <w:t xml:space="preserve"> </w:t>
      </w:r>
      <w:r>
        <w:t>capacity</w:t>
      </w:r>
      <w:r>
        <w:rPr>
          <w:spacing w:val="-5"/>
        </w:rPr>
        <w:t xml:space="preserve"> </w:t>
      </w:r>
      <w:r>
        <w:t>is</w:t>
      </w:r>
      <w:r>
        <w:rPr>
          <w:spacing w:val="-5"/>
        </w:rPr>
        <w:t xml:space="preserve"> </w:t>
      </w:r>
      <w:r>
        <w:t>too</w:t>
      </w:r>
      <w:r>
        <w:rPr>
          <w:spacing w:val="-5"/>
        </w:rPr>
        <w:t xml:space="preserve"> </w:t>
      </w:r>
      <w:r>
        <w:t>slow</w:t>
      </w:r>
    </w:p>
    <w:p w:rsidR="002C1123" w:rsidRDefault="00F22F94">
      <w:pPr>
        <w:pStyle w:val="BodyText"/>
        <w:spacing w:before="2" w:line="249" w:lineRule="auto"/>
        <w:ind w:left="374" w:right="102"/>
      </w:pPr>
      <w:r>
        <w:t>to</w:t>
      </w:r>
      <w:r>
        <w:rPr>
          <w:spacing w:val="-3"/>
        </w:rPr>
        <w:t xml:space="preserve"> </w:t>
      </w:r>
      <w:r>
        <w:t>adapt</w:t>
      </w:r>
      <w:r>
        <w:rPr>
          <w:spacing w:val="-3"/>
        </w:rPr>
        <w:t xml:space="preserve"> </w:t>
      </w:r>
      <w:r>
        <w:t>to</w:t>
      </w:r>
      <w:r>
        <w:rPr>
          <w:spacing w:val="-3"/>
        </w:rPr>
        <w:t xml:space="preserve"> </w:t>
      </w:r>
      <w:r>
        <w:t>demand,</w:t>
      </w:r>
      <w:r>
        <w:rPr>
          <w:spacing w:val="-3"/>
        </w:rPr>
        <w:t xml:space="preserve"> </w:t>
      </w:r>
      <w:r>
        <w:t>meaning</w:t>
      </w:r>
      <w:r>
        <w:rPr>
          <w:spacing w:val="-3"/>
        </w:rPr>
        <w:t xml:space="preserve"> </w:t>
      </w:r>
      <w:r>
        <w:t>that</w:t>
      </w:r>
      <w:r>
        <w:rPr>
          <w:spacing w:val="-3"/>
        </w:rPr>
        <w:t xml:space="preserve"> </w:t>
      </w:r>
      <w:r>
        <w:t>workers</w:t>
      </w:r>
      <w:r>
        <w:rPr>
          <w:spacing w:val="-3"/>
        </w:rPr>
        <w:t xml:space="preserve"> </w:t>
      </w:r>
      <w:r>
        <w:t xml:space="preserve">in </w:t>
      </w:r>
      <w:r>
        <w:rPr>
          <w:w w:val="95"/>
        </w:rPr>
        <w:t>many</w:t>
      </w:r>
      <w:r>
        <w:rPr>
          <w:spacing w:val="-7"/>
          <w:w w:val="95"/>
        </w:rPr>
        <w:t xml:space="preserve"> </w:t>
      </w:r>
      <w:r>
        <w:rPr>
          <w:w w:val="95"/>
        </w:rPr>
        <w:t>regional</w:t>
      </w:r>
      <w:r>
        <w:rPr>
          <w:spacing w:val="-7"/>
          <w:w w:val="95"/>
        </w:rPr>
        <w:t xml:space="preserve"> </w:t>
      </w:r>
      <w:r>
        <w:rPr>
          <w:w w:val="95"/>
        </w:rPr>
        <w:t>towns</w:t>
      </w:r>
      <w:r>
        <w:rPr>
          <w:spacing w:val="-7"/>
          <w:w w:val="95"/>
        </w:rPr>
        <w:t xml:space="preserve"> </w:t>
      </w:r>
      <w:r>
        <w:rPr>
          <w:w w:val="95"/>
        </w:rPr>
        <w:t>are</w:t>
      </w:r>
      <w:r>
        <w:rPr>
          <w:spacing w:val="-7"/>
          <w:w w:val="95"/>
        </w:rPr>
        <w:t xml:space="preserve"> </w:t>
      </w:r>
      <w:r>
        <w:rPr>
          <w:w w:val="95"/>
        </w:rPr>
        <w:t>effectively</w:t>
      </w:r>
      <w:r>
        <w:rPr>
          <w:spacing w:val="-7"/>
          <w:w w:val="95"/>
        </w:rPr>
        <w:t xml:space="preserve"> </w:t>
      </w:r>
      <w:r>
        <w:rPr>
          <w:w w:val="95"/>
        </w:rPr>
        <w:t>locked</w:t>
      </w:r>
      <w:r>
        <w:rPr>
          <w:spacing w:val="-7"/>
          <w:w w:val="95"/>
        </w:rPr>
        <w:t xml:space="preserve"> </w:t>
      </w:r>
      <w:r>
        <w:rPr>
          <w:w w:val="95"/>
        </w:rPr>
        <w:t>out</w:t>
      </w:r>
      <w:r>
        <w:rPr>
          <w:spacing w:val="-7"/>
          <w:w w:val="95"/>
        </w:rPr>
        <w:t xml:space="preserve"> </w:t>
      </w:r>
      <w:r>
        <w:rPr>
          <w:w w:val="95"/>
        </w:rPr>
        <w:t xml:space="preserve">of </w:t>
      </w:r>
      <w:r>
        <w:t>these</w:t>
      </w:r>
      <w:r>
        <w:rPr>
          <w:spacing w:val="-11"/>
        </w:rPr>
        <w:t xml:space="preserve"> </w:t>
      </w:r>
      <w:r>
        <w:t>opportunities.</w:t>
      </w:r>
    </w:p>
    <w:p w:rsidR="002C1123" w:rsidRDefault="00F22F94">
      <w:pPr>
        <w:pStyle w:val="BodyText"/>
        <w:spacing w:before="144" w:line="249" w:lineRule="auto"/>
        <w:ind w:left="374"/>
      </w:pPr>
      <w:r>
        <w:rPr>
          <w:w w:val="95"/>
        </w:rPr>
        <w:t xml:space="preserve">NSW businesses and Government services are also </w:t>
      </w:r>
      <w:r>
        <w:rPr>
          <w:w w:val="90"/>
        </w:rPr>
        <w:t xml:space="preserve">increasingly a user of FIFO labour. FIFO is not only for </w:t>
      </w:r>
      <w:r>
        <w:t>miners.</w:t>
      </w:r>
      <w:r>
        <w:rPr>
          <w:spacing w:val="-14"/>
        </w:rPr>
        <w:t xml:space="preserve"> </w:t>
      </w:r>
      <w:r>
        <w:t>Health</w:t>
      </w:r>
      <w:r>
        <w:rPr>
          <w:spacing w:val="-14"/>
        </w:rPr>
        <w:t xml:space="preserve"> </w:t>
      </w:r>
      <w:r>
        <w:t>and</w:t>
      </w:r>
      <w:r>
        <w:rPr>
          <w:spacing w:val="-14"/>
        </w:rPr>
        <w:t xml:space="preserve"> </w:t>
      </w:r>
      <w:r>
        <w:t>legal</w:t>
      </w:r>
      <w:r>
        <w:rPr>
          <w:spacing w:val="-14"/>
        </w:rPr>
        <w:t xml:space="preserve"> </w:t>
      </w:r>
      <w:r>
        <w:t>professional</w:t>
      </w:r>
      <w:r>
        <w:rPr>
          <w:spacing w:val="-14"/>
        </w:rPr>
        <w:t xml:space="preserve"> </w:t>
      </w:r>
      <w:r>
        <w:t>services</w:t>
      </w:r>
      <w:r>
        <w:rPr>
          <w:spacing w:val="-14"/>
        </w:rPr>
        <w:t xml:space="preserve"> </w:t>
      </w:r>
      <w:r>
        <w:t>are provided</w:t>
      </w:r>
      <w:r>
        <w:rPr>
          <w:spacing w:val="-14"/>
        </w:rPr>
        <w:t xml:space="preserve"> </w:t>
      </w:r>
      <w:r>
        <w:t>in</w:t>
      </w:r>
      <w:r>
        <w:rPr>
          <w:spacing w:val="-14"/>
        </w:rPr>
        <w:t xml:space="preserve"> </w:t>
      </w:r>
      <w:r>
        <w:t>many</w:t>
      </w:r>
      <w:r>
        <w:rPr>
          <w:spacing w:val="-14"/>
        </w:rPr>
        <w:t xml:space="preserve"> </w:t>
      </w:r>
      <w:r>
        <w:t>regional</w:t>
      </w:r>
      <w:r>
        <w:rPr>
          <w:spacing w:val="-14"/>
        </w:rPr>
        <w:t xml:space="preserve"> </w:t>
      </w:r>
      <w:r>
        <w:t>areas</w:t>
      </w:r>
      <w:r>
        <w:rPr>
          <w:spacing w:val="-13"/>
        </w:rPr>
        <w:t xml:space="preserve"> </w:t>
      </w:r>
      <w:r>
        <w:t>by</w:t>
      </w:r>
      <w:r>
        <w:rPr>
          <w:spacing w:val="-14"/>
        </w:rPr>
        <w:t xml:space="preserve"> </w:t>
      </w:r>
      <w:r>
        <w:t>non-residents.</w:t>
      </w:r>
    </w:p>
    <w:p w:rsidR="002C1123" w:rsidRDefault="00F22F94">
      <w:pPr>
        <w:rPr>
          <w:sz w:val="24"/>
        </w:rPr>
      </w:pPr>
      <w:r>
        <w:br w:type="column"/>
      </w:r>
    </w:p>
    <w:p w:rsidR="002C1123" w:rsidRDefault="002C1123">
      <w:pPr>
        <w:pStyle w:val="BodyText"/>
        <w:rPr>
          <w:sz w:val="24"/>
        </w:rPr>
      </w:pPr>
    </w:p>
    <w:p w:rsidR="002C1123" w:rsidRDefault="00F22F94">
      <w:pPr>
        <w:pStyle w:val="BodyText"/>
        <w:spacing w:before="163" w:line="249" w:lineRule="auto"/>
        <w:ind w:left="492" w:right="820"/>
      </w:pPr>
      <w:r>
        <w:t>NSW</w:t>
      </w:r>
      <w:r>
        <w:rPr>
          <w:spacing w:val="-9"/>
        </w:rPr>
        <w:t xml:space="preserve"> </w:t>
      </w:r>
      <w:r>
        <w:t>mining</w:t>
      </w:r>
      <w:r>
        <w:rPr>
          <w:spacing w:val="-9"/>
        </w:rPr>
        <w:t xml:space="preserve"> </w:t>
      </w:r>
      <w:r>
        <w:t>is</w:t>
      </w:r>
      <w:r>
        <w:rPr>
          <w:spacing w:val="-9"/>
        </w:rPr>
        <w:t xml:space="preserve"> </w:t>
      </w:r>
      <w:r>
        <w:t>expanding</w:t>
      </w:r>
      <w:r>
        <w:rPr>
          <w:spacing w:val="-9"/>
        </w:rPr>
        <w:t xml:space="preserve"> </w:t>
      </w:r>
      <w:r>
        <w:t>in</w:t>
      </w:r>
      <w:r>
        <w:rPr>
          <w:spacing w:val="-9"/>
        </w:rPr>
        <w:t xml:space="preserve"> </w:t>
      </w:r>
      <w:r>
        <w:t>the</w:t>
      </w:r>
      <w:r>
        <w:rPr>
          <w:spacing w:val="-9"/>
        </w:rPr>
        <w:t xml:space="preserve"> </w:t>
      </w:r>
      <w:r>
        <w:t>North</w:t>
      </w:r>
      <w:r>
        <w:rPr>
          <w:spacing w:val="-9"/>
        </w:rPr>
        <w:t xml:space="preserve"> </w:t>
      </w:r>
      <w:r>
        <w:t>West (unconventional</w:t>
      </w:r>
      <w:r>
        <w:rPr>
          <w:spacing w:val="-14"/>
        </w:rPr>
        <w:t xml:space="preserve"> </w:t>
      </w:r>
      <w:r>
        <w:t>gas</w:t>
      </w:r>
      <w:r>
        <w:rPr>
          <w:spacing w:val="-14"/>
        </w:rPr>
        <w:t xml:space="preserve"> </w:t>
      </w:r>
      <w:r>
        <w:t>sources)</w:t>
      </w:r>
      <w:r>
        <w:rPr>
          <w:spacing w:val="-14"/>
        </w:rPr>
        <w:t xml:space="preserve"> </w:t>
      </w:r>
      <w:r>
        <w:t>and</w:t>
      </w:r>
      <w:r>
        <w:rPr>
          <w:spacing w:val="-14"/>
        </w:rPr>
        <w:t xml:space="preserve"> </w:t>
      </w:r>
      <w:r>
        <w:t>the</w:t>
      </w:r>
      <w:r>
        <w:rPr>
          <w:spacing w:val="-14"/>
        </w:rPr>
        <w:t xml:space="preserve"> </w:t>
      </w:r>
      <w:r>
        <w:t>South</w:t>
      </w:r>
      <w:r>
        <w:rPr>
          <w:spacing w:val="-14"/>
        </w:rPr>
        <w:t xml:space="preserve"> </w:t>
      </w:r>
      <w:r>
        <w:t>West (iron</w:t>
      </w:r>
      <w:r>
        <w:rPr>
          <w:spacing w:val="-14"/>
        </w:rPr>
        <w:t xml:space="preserve"> </w:t>
      </w:r>
      <w:r>
        <w:t>ore</w:t>
      </w:r>
      <w:r>
        <w:rPr>
          <w:spacing w:val="-14"/>
        </w:rPr>
        <w:t xml:space="preserve"> </w:t>
      </w:r>
      <w:r>
        <w:t>and</w:t>
      </w:r>
      <w:r>
        <w:rPr>
          <w:spacing w:val="-14"/>
        </w:rPr>
        <w:t xml:space="preserve"> </w:t>
      </w:r>
      <w:r>
        <w:t>minerals).</w:t>
      </w:r>
      <w:r>
        <w:rPr>
          <w:spacing w:val="-14"/>
        </w:rPr>
        <w:t xml:space="preserve"> </w:t>
      </w:r>
      <w:r>
        <w:t>Many</w:t>
      </w:r>
      <w:r>
        <w:rPr>
          <w:spacing w:val="-14"/>
        </w:rPr>
        <w:t xml:space="preserve"> </w:t>
      </w:r>
      <w:r>
        <w:t>workers</w:t>
      </w:r>
      <w:r>
        <w:rPr>
          <w:spacing w:val="-14"/>
        </w:rPr>
        <w:t xml:space="preserve"> </w:t>
      </w:r>
      <w:r>
        <w:t>will</w:t>
      </w:r>
      <w:r>
        <w:rPr>
          <w:spacing w:val="-14"/>
        </w:rPr>
        <w:t xml:space="preserve"> </w:t>
      </w:r>
      <w:r>
        <w:t xml:space="preserve">choose </w:t>
      </w:r>
      <w:r>
        <w:rPr>
          <w:w w:val="95"/>
        </w:rPr>
        <w:t>not</w:t>
      </w:r>
      <w:r>
        <w:rPr>
          <w:spacing w:val="-9"/>
          <w:w w:val="95"/>
        </w:rPr>
        <w:t xml:space="preserve"> </w:t>
      </w:r>
      <w:r>
        <w:rPr>
          <w:w w:val="95"/>
        </w:rPr>
        <w:t>to</w:t>
      </w:r>
      <w:r>
        <w:rPr>
          <w:spacing w:val="-9"/>
          <w:w w:val="95"/>
        </w:rPr>
        <w:t xml:space="preserve"> </w:t>
      </w:r>
      <w:r>
        <w:rPr>
          <w:w w:val="95"/>
        </w:rPr>
        <w:t>locate</w:t>
      </w:r>
      <w:r>
        <w:rPr>
          <w:spacing w:val="-9"/>
          <w:w w:val="95"/>
        </w:rPr>
        <w:t xml:space="preserve"> </w:t>
      </w:r>
      <w:r>
        <w:rPr>
          <w:w w:val="95"/>
        </w:rPr>
        <w:t>their</w:t>
      </w:r>
      <w:r>
        <w:rPr>
          <w:spacing w:val="-9"/>
          <w:w w:val="95"/>
        </w:rPr>
        <w:t xml:space="preserve"> </w:t>
      </w:r>
      <w:r>
        <w:rPr>
          <w:w w:val="95"/>
        </w:rPr>
        <w:t>families</w:t>
      </w:r>
      <w:r>
        <w:rPr>
          <w:spacing w:val="-9"/>
          <w:w w:val="95"/>
        </w:rPr>
        <w:t xml:space="preserve"> </w:t>
      </w:r>
      <w:r>
        <w:rPr>
          <w:w w:val="95"/>
        </w:rPr>
        <w:t>in</w:t>
      </w:r>
      <w:r>
        <w:rPr>
          <w:spacing w:val="-9"/>
          <w:w w:val="95"/>
        </w:rPr>
        <w:t xml:space="preserve"> </w:t>
      </w:r>
      <w:r>
        <w:rPr>
          <w:w w:val="95"/>
        </w:rPr>
        <w:t>mining</w:t>
      </w:r>
      <w:r>
        <w:rPr>
          <w:spacing w:val="-9"/>
          <w:w w:val="95"/>
        </w:rPr>
        <w:t xml:space="preserve"> </w:t>
      </w:r>
      <w:r>
        <w:rPr>
          <w:w w:val="95"/>
        </w:rPr>
        <w:t>towns</w:t>
      </w:r>
      <w:r>
        <w:rPr>
          <w:spacing w:val="-9"/>
          <w:w w:val="95"/>
        </w:rPr>
        <w:t xml:space="preserve"> </w:t>
      </w:r>
      <w:r>
        <w:rPr>
          <w:w w:val="95"/>
        </w:rPr>
        <w:t>for</w:t>
      </w:r>
      <w:r>
        <w:rPr>
          <w:spacing w:val="-9"/>
          <w:w w:val="95"/>
        </w:rPr>
        <w:t xml:space="preserve"> </w:t>
      </w:r>
      <w:r>
        <w:rPr>
          <w:w w:val="95"/>
        </w:rPr>
        <w:t xml:space="preserve">various </w:t>
      </w:r>
      <w:r>
        <w:t>reasons,</w:t>
      </w:r>
      <w:r>
        <w:rPr>
          <w:spacing w:val="-3"/>
        </w:rPr>
        <w:t xml:space="preserve"> </w:t>
      </w:r>
      <w:r>
        <w:t>including</w:t>
      </w:r>
      <w:r>
        <w:rPr>
          <w:spacing w:val="-3"/>
        </w:rPr>
        <w:t xml:space="preserve"> </w:t>
      </w:r>
      <w:r>
        <w:t>employment</w:t>
      </w:r>
      <w:r>
        <w:rPr>
          <w:spacing w:val="-3"/>
        </w:rPr>
        <w:t xml:space="preserve"> </w:t>
      </w:r>
      <w:r>
        <w:t>opportunities</w:t>
      </w:r>
      <w:r>
        <w:rPr>
          <w:spacing w:val="-3"/>
        </w:rPr>
        <w:t xml:space="preserve"> </w:t>
      </w:r>
      <w:r>
        <w:t>for other</w:t>
      </w:r>
      <w:r>
        <w:rPr>
          <w:spacing w:val="-9"/>
        </w:rPr>
        <w:t xml:space="preserve"> </w:t>
      </w:r>
      <w:r>
        <w:t>family</w:t>
      </w:r>
      <w:r>
        <w:rPr>
          <w:spacing w:val="-9"/>
        </w:rPr>
        <w:t xml:space="preserve"> </w:t>
      </w:r>
      <w:r>
        <w:t>members</w:t>
      </w:r>
      <w:r>
        <w:rPr>
          <w:spacing w:val="-9"/>
        </w:rPr>
        <w:t xml:space="preserve"> </w:t>
      </w:r>
      <w:r>
        <w:t>and</w:t>
      </w:r>
      <w:r>
        <w:rPr>
          <w:spacing w:val="-9"/>
        </w:rPr>
        <w:t xml:space="preserve"> </w:t>
      </w:r>
      <w:r>
        <w:t>social</w:t>
      </w:r>
      <w:r>
        <w:rPr>
          <w:spacing w:val="-9"/>
        </w:rPr>
        <w:t xml:space="preserve"> </w:t>
      </w:r>
      <w:r>
        <w:t>considerations.</w:t>
      </w:r>
    </w:p>
    <w:p w:rsidR="002C1123" w:rsidRDefault="00F22F94">
      <w:pPr>
        <w:pStyle w:val="BodyText"/>
        <w:spacing w:before="5" w:line="249" w:lineRule="auto"/>
        <w:ind w:left="492" w:right="1063"/>
      </w:pPr>
      <w:r>
        <w:t>The</w:t>
      </w:r>
      <w:r>
        <w:rPr>
          <w:spacing w:val="-14"/>
        </w:rPr>
        <w:t xml:space="preserve"> </w:t>
      </w:r>
      <w:r>
        <w:t>shortage</w:t>
      </w:r>
      <w:r>
        <w:rPr>
          <w:spacing w:val="-14"/>
        </w:rPr>
        <w:t xml:space="preserve"> </w:t>
      </w:r>
      <w:r>
        <w:t>of</w:t>
      </w:r>
      <w:r>
        <w:rPr>
          <w:spacing w:val="-14"/>
        </w:rPr>
        <w:t xml:space="preserve"> </w:t>
      </w:r>
      <w:r>
        <w:t>affordable</w:t>
      </w:r>
      <w:r>
        <w:rPr>
          <w:spacing w:val="-14"/>
        </w:rPr>
        <w:t xml:space="preserve"> </w:t>
      </w:r>
      <w:r>
        <w:t>housing</w:t>
      </w:r>
      <w:r>
        <w:rPr>
          <w:spacing w:val="-14"/>
        </w:rPr>
        <w:t xml:space="preserve"> </w:t>
      </w:r>
      <w:r>
        <w:t>in</w:t>
      </w:r>
      <w:r>
        <w:rPr>
          <w:spacing w:val="-14"/>
        </w:rPr>
        <w:t xml:space="preserve"> </w:t>
      </w:r>
      <w:r>
        <w:t>mine</w:t>
      </w:r>
      <w:r>
        <w:rPr>
          <w:spacing w:val="-14"/>
        </w:rPr>
        <w:t xml:space="preserve"> </w:t>
      </w:r>
      <w:r>
        <w:t xml:space="preserve">areas </w:t>
      </w:r>
      <w:r>
        <w:rPr>
          <w:w w:val="95"/>
        </w:rPr>
        <w:t>is</w:t>
      </w:r>
      <w:r>
        <w:rPr>
          <w:spacing w:val="-6"/>
          <w:w w:val="95"/>
        </w:rPr>
        <w:t xml:space="preserve"> </w:t>
      </w:r>
      <w:r>
        <w:rPr>
          <w:w w:val="95"/>
        </w:rPr>
        <w:t>the</w:t>
      </w:r>
      <w:r>
        <w:rPr>
          <w:spacing w:val="-6"/>
          <w:w w:val="95"/>
        </w:rPr>
        <w:t xml:space="preserve"> </w:t>
      </w:r>
      <w:r>
        <w:rPr>
          <w:w w:val="95"/>
        </w:rPr>
        <w:t>single</w:t>
      </w:r>
      <w:r>
        <w:rPr>
          <w:spacing w:val="-6"/>
          <w:w w:val="95"/>
        </w:rPr>
        <w:t xml:space="preserve"> </w:t>
      </w:r>
      <w:r>
        <w:rPr>
          <w:w w:val="95"/>
        </w:rPr>
        <w:t>biggest</w:t>
      </w:r>
      <w:r>
        <w:rPr>
          <w:spacing w:val="-6"/>
          <w:w w:val="95"/>
        </w:rPr>
        <w:t xml:space="preserve"> </w:t>
      </w:r>
      <w:r>
        <w:rPr>
          <w:w w:val="95"/>
        </w:rPr>
        <w:t>reason</w:t>
      </w:r>
      <w:r>
        <w:rPr>
          <w:spacing w:val="-6"/>
          <w:w w:val="95"/>
        </w:rPr>
        <w:t xml:space="preserve"> </w:t>
      </w:r>
      <w:r>
        <w:rPr>
          <w:w w:val="95"/>
        </w:rPr>
        <w:t>for</w:t>
      </w:r>
      <w:r>
        <w:rPr>
          <w:spacing w:val="-6"/>
          <w:w w:val="95"/>
        </w:rPr>
        <w:t xml:space="preserve"> </w:t>
      </w:r>
      <w:r>
        <w:rPr>
          <w:w w:val="95"/>
        </w:rPr>
        <w:t>workers</w:t>
      </w:r>
      <w:r>
        <w:rPr>
          <w:spacing w:val="-6"/>
          <w:w w:val="95"/>
        </w:rPr>
        <w:t xml:space="preserve"> </w:t>
      </w:r>
      <w:r>
        <w:rPr>
          <w:w w:val="95"/>
        </w:rPr>
        <w:t>not</w:t>
      </w:r>
      <w:r>
        <w:rPr>
          <w:spacing w:val="-6"/>
          <w:w w:val="95"/>
        </w:rPr>
        <w:t xml:space="preserve"> </w:t>
      </w:r>
      <w:r>
        <w:rPr>
          <w:w w:val="95"/>
        </w:rPr>
        <w:t>moving</w:t>
      </w:r>
    </w:p>
    <w:p w:rsidR="002C1123" w:rsidRDefault="00F22F94">
      <w:pPr>
        <w:pStyle w:val="BodyText"/>
        <w:spacing w:before="1" w:line="249" w:lineRule="auto"/>
        <w:ind w:left="492" w:right="820"/>
      </w:pPr>
      <w:r>
        <w:rPr>
          <w:w w:val="95"/>
        </w:rPr>
        <w:t>to</w:t>
      </w:r>
      <w:r>
        <w:rPr>
          <w:spacing w:val="-2"/>
          <w:w w:val="95"/>
        </w:rPr>
        <w:t xml:space="preserve"> </w:t>
      </w:r>
      <w:r>
        <w:rPr>
          <w:w w:val="95"/>
        </w:rPr>
        <w:t>rapidly</w:t>
      </w:r>
      <w:r>
        <w:rPr>
          <w:spacing w:val="-2"/>
          <w:w w:val="95"/>
        </w:rPr>
        <w:t xml:space="preserve"> </w:t>
      </w:r>
      <w:r>
        <w:rPr>
          <w:w w:val="95"/>
        </w:rPr>
        <w:t>growing</w:t>
      </w:r>
      <w:r>
        <w:rPr>
          <w:spacing w:val="-2"/>
          <w:w w:val="95"/>
        </w:rPr>
        <w:t xml:space="preserve"> </w:t>
      </w:r>
      <w:r>
        <w:rPr>
          <w:w w:val="95"/>
        </w:rPr>
        <w:t>mine</w:t>
      </w:r>
      <w:r>
        <w:rPr>
          <w:spacing w:val="-2"/>
          <w:w w:val="95"/>
        </w:rPr>
        <w:t xml:space="preserve"> </w:t>
      </w:r>
      <w:r>
        <w:rPr>
          <w:w w:val="95"/>
        </w:rPr>
        <w:t>areas.</w:t>
      </w:r>
      <w:r>
        <w:rPr>
          <w:spacing w:val="-2"/>
          <w:w w:val="95"/>
        </w:rPr>
        <w:t xml:space="preserve"> </w:t>
      </w:r>
      <w:r>
        <w:rPr>
          <w:w w:val="95"/>
        </w:rPr>
        <w:t>As</w:t>
      </w:r>
      <w:r>
        <w:rPr>
          <w:spacing w:val="-2"/>
          <w:w w:val="95"/>
        </w:rPr>
        <w:t xml:space="preserve"> </w:t>
      </w:r>
      <w:r>
        <w:rPr>
          <w:w w:val="95"/>
        </w:rPr>
        <w:t>mines</w:t>
      </w:r>
      <w:r>
        <w:rPr>
          <w:spacing w:val="-2"/>
          <w:w w:val="95"/>
        </w:rPr>
        <w:t xml:space="preserve"> </w:t>
      </w:r>
      <w:r>
        <w:rPr>
          <w:w w:val="95"/>
        </w:rPr>
        <w:t>go</w:t>
      </w:r>
      <w:r>
        <w:rPr>
          <w:spacing w:val="-2"/>
          <w:w w:val="95"/>
        </w:rPr>
        <w:t xml:space="preserve"> </w:t>
      </w:r>
      <w:r>
        <w:rPr>
          <w:w w:val="95"/>
        </w:rPr>
        <w:t xml:space="preserve">through </w:t>
      </w:r>
      <w:r>
        <w:t xml:space="preserve">the development and construction phase to </w:t>
      </w:r>
      <w:r>
        <w:rPr>
          <w:w w:val="95"/>
        </w:rPr>
        <w:t xml:space="preserve">operations, both economic and social infrastructure </w:t>
      </w:r>
      <w:r>
        <w:t>struggles to keep pace.</w:t>
      </w:r>
    </w:p>
    <w:p w:rsidR="002C1123" w:rsidRDefault="00F22F94">
      <w:pPr>
        <w:pStyle w:val="BodyText"/>
        <w:spacing w:before="145" w:line="249" w:lineRule="auto"/>
        <w:ind w:left="492" w:right="820"/>
      </w:pPr>
      <w:r>
        <w:rPr>
          <w:w w:val="95"/>
        </w:rPr>
        <w:t>The</w:t>
      </w:r>
      <w:r>
        <w:rPr>
          <w:spacing w:val="-4"/>
          <w:w w:val="95"/>
        </w:rPr>
        <w:t xml:space="preserve"> </w:t>
      </w:r>
      <w:r>
        <w:rPr>
          <w:w w:val="95"/>
        </w:rPr>
        <w:t>House</w:t>
      </w:r>
      <w:r>
        <w:rPr>
          <w:spacing w:val="-4"/>
          <w:w w:val="95"/>
        </w:rPr>
        <w:t xml:space="preserve"> </w:t>
      </w:r>
      <w:r>
        <w:rPr>
          <w:w w:val="95"/>
        </w:rPr>
        <w:t>of</w:t>
      </w:r>
      <w:r>
        <w:rPr>
          <w:spacing w:val="-4"/>
          <w:w w:val="95"/>
        </w:rPr>
        <w:t xml:space="preserve"> </w:t>
      </w:r>
      <w:r>
        <w:rPr>
          <w:w w:val="95"/>
        </w:rPr>
        <w:t>Representatives</w:t>
      </w:r>
      <w:r>
        <w:rPr>
          <w:spacing w:val="-4"/>
          <w:w w:val="95"/>
        </w:rPr>
        <w:t xml:space="preserve"> </w:t>
      </w:r>
      <w:r>
        <w:rPr>
          <w:w w:val="95"/>
        </w:rPr>
        <w:t>Standing</w:t>
      </w:r>
      <w:r>
        <w:rPr>
          <w:spacing w:val="-4"/>
          <w:w w:val="95"/>
        </w:rPr>
        <w:t xml:space="preserve"> </w:t>
      </w:r>
      <w:r>
        <w:rPr>
          <w:w w:val="95"/>
        </w:rPr>
        <w:t xml:space="preserve">Committee </w:t>
      </w:r>
      <w:r>
        <w:t>on</w:t>
      </w:r>
      <w:r>
        <w:rPr>
          <w:spacing w:val="-7"/>
        </w:rPr>
        <w:t xml:space="preserve"> </w:t>
      </w:r>
      <w:r>
        <w:t>Regional</w:t>
      </w:r>
      <w:r>
        <w:rPr>
          <w:spacing w:val="-7"/>
        </w:rPr>
        <w:t xml:space="preserve"> </w:t>
      </w:r>
      <w:r>
        <w:t>Development</w:t>
      </w:r>
      <w:r>
        <w:rPr>
          <w:spacing w:val="-7"/>
        </w:rPr>
        <w:t xml:space="preserve"> </w:t>
      </w:r>
      <w:r>
        <w:t>is</w:t>
      </w:r>
      <w:r>
        <w:rPr>
          <w:spacing w:val="-7"/>
        </w:rPr>
        <w:t xml:space="preserve"> </w:t>
      </w:r>
      <w:r>
        <w:t>expected</w:t>
      </w:r>
      <w:r>
        <w:rPr>
          <w:spacing w:val="-7"/>
        </w:rPr>
        <w:t xml:space="preserve"> </w:t>
      </w:r>
      <w:r>
        <w:t>to</w:t>
      </w:r>
      <w:r>
        <w:rPr>
          <w:spacing w:val="-7"/>
        </w:rPr>
        <w:t xml:space="preserve"> </w:t>
      </w:r>
      <w:r>
        <w:t>report shortly</w:t>
      </w:r>
      <w:r>
        <w:rPr>
          <w:spacing w:val="-12"/>
        </w:rPr>
        <w:t xml:space="preserve"> </w:t>
      </w:r>
      <w:r>
        <w:t>on</w:t>
      </w:r>
      <w:r>
        <w:rPr>
          <w:spacing w:val="-12"/>
        </w:rPr>
        <w:t xml:space="preserve"> </w:t>
      </w:r>
      <w:r>
        <w:t>the</w:t>
      </w:r>
      <w:r>
        <w:rPr>
          <w:spacing w:val="-12"/>
        </w:rPr>
        <w:t xml:space="preserve"> </w:t>
      </w:r>
      <w:r>
        <w:t>use</w:t>
      </w:r>
      <w:r>
        <w:rPr>
          <w:spacing w:val="-12"/>
        </w:rPr>
        <w:t xml:space="preserve"> </w:t>
      </w:r>
      <w:r>
        <w:t>of</w:t>
      </w:r>
      <w:r>
        <w:rPr>
          <w:spacing w:val="-12"/>
        </w:rPr>
        <w:t xml:space="preserve"> </w:t>
      </w:r>
      <w:r>
        <w:t>FIFO</w:t>
      </w:r>
      <w:r>
        <w:rPr>
          <w:spacing w:val="-12"/>
        </w:rPr>
        <w:t xml:space="preserve"> </w:t>
      </w:r>
      <w:r>
        <w:t>workforce</w:t>
      </w:r>
      <w:r>
        <w:rPr>
          <w:spacing w:val="-12"/>
        </w:rPr>
        <w:t xml:space="preserve"> </w:t>
      </w:r>
      <w:r>
        <w:t>practices</w:t>
      </w:r>
      <w:r>
        <w:rPr>
          <w:spacing w:val="-12"/>
        </w:rPr>
        <w:t xml:space="preserve"> </w:t>
      </w:r>
      <w:r>
        <w:t>in Regional</w:t>
      </w:r>
      <w:r>
        <w:rPr>
          <w:spacing w:val="-11"/>
        </w:rPr>
        <w:t xml:space="preserve"> </w:t>
      </w:r>
      <w:r>
        <w:t>Australia.</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275" w:space="40"/>
            <w:col w:w="4858" w:space="51"/>
            <w:col w:w="5836"/>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3"/>
        <w:rPr>
          <w:sz w:val="29"/>
        </w:rPr>
      </w:pPr>
    </w:p>
    <w:p w:rsidR="002C1123" w:rsidRDefault="002060EF">
      <w:pPr>
        <w:pStyle w:val="BodyText"/>
        <w:spacing w:line="20" w:lineRule="exact"/>
        <w:ind w:left="492"/>
        <w:rPr>
          <w:sz w:val="2"/>
        </w:rPr>
      </w:pPr>
      <w:r>
        <w:rPr>
          <w:sz w:val="2"/>
        </w:rPr>
      </w:r>
      <w:r>
        <w:rPr>
          <w:sz w:val="2"/>
        </w:rPr>
        <w:pict>
          <v:group id="docshapegroup968" o:spid="_x0000_s4349" style="width:1in;height:.5pt;mso-position-horizontal-relative:char;mso-position-vertical-relative:line" coordsize="1440,10">
            <v:line id="_x0000_s4350" style="position:absolute" from="0,5" to="1440,5" strokecolor="#9c9c9d" strokeweight=".5pt"/>
            <w10:anchorlock/>
          </v:group>
        </w:pict>
      </w:r>
    </w:p>
    <w:p w:rsidR="002C1123" w:rsidRDefault="00F22F94">
      <w:pPr>
        <w:pStyle w:val="ListParagraph"/>
        <w:numPr>
          <w:ilvl w:val="0"/>
          <w:numId w:val="102"/>
        </w:numPr>
        <w:tabs>
          <w:tab w:val="left" w:pos="691"/>
        </w:tabs>
        <w:spacing w:before="8"/>
        <w:jc w:val="left"/>
        <w:rPr>
          <w:sz w:val="14"/>
        </w:rPr>
      </w:pPr>
      <w:r>
        <w:rPr>
          <w:w w:val="95"/>
          <w:sz w:val="14"/>
        </w:rPr>
        <w:t>Transport</w:t>
      </w:r>
      <w:r>
        <w:rPr>
          <w:spacing w:val="-1"/>
          <w:sz w:val="14"/>
        </w:rPr>
        <w:t xml:space="preserve"> </w:t>
      </w:r>
      <w:r>
        <w:rPr>
          <w:w w:val="95"/>
          <w:sz w:val="14"/>
        </w:rPr>
        <w:t>for</w:t>
      </w:r>
      <w:r>
        <w:rPr>
          <w:spacing w:val="-1"/>
          <w:sz w:val="14"/>
        </w:rPr>
        <w:t xml:space="preserve"> </w:t>
      </w:r>
      <w:r>
        <w:rPr>
          <w:w w:val="95"/>
          <w:sz w:val="14"/>
        </w:rPr>
        <w:t>NSW</w:t>
      </w:r>
      <w:r>
        <w:rPr>
          <w:spacing w:val="-1"/>
          <w:sz w:val="14"/>
        </w:rPr>
        <w:t xml:space="preserve"> </w:t>
      </w:r>
      <w:r>
        <w:rPr>
          <w:w w:val="95"/>
          <w:sz w:val="14"/>
        </w:rPr>
        <w:t>2012,</w:t>
      </w:r>
      <w:r>
        <w:rPr>
          <w:spacing w:val="-1"/>
          <w:sz w:val="14"/>
        </w:rPr>
        <w:t xml:space="preserve"> </w:t>
      </w:r>
      <w:r>
        <w:rPr>
          <w:w w:val="95"/>
          <w:sz w:val="14"/>
        </w:rPr>
        <w:t>Draft</w:t>
      </w:r>
      <w:r>
        <w:rPr>
          <w:spacing w:val="-1"/>
          <w:sz w:val="14"/>
        </w:rPr>
        <w:t xml:space="preserve"> </w:t>
      </w:r>
      <w:r>
        <w:rPr>
          <w:w w:val="95"/>
          <w:sz w:val="14"/>
        </w:rPr>
        <w:t>Transport</w:t>
      </w:r>
      <w:r>
        <w:rPr>
          <w:spacing w:val="-1"/>
          <w:sz w:val="14"/>
        </w:rPr>
        <w:t xml:space="preserve"> </w:t>
      </w:r>
      <w:r>
        <w:rPr>
          <w:w w:val="95"/>
          <w:sz w:val="14"/>
        </w:rPr>
        <w:t>Master</w:t>
      </w:r>
      <w:r>
        <w:rPr>
          <w:spacing w:val="-1"/>
          <w:sz w:val="14"/>
        </w:rPr>
        <w:t xml:space="preserve"> </w:t>
      </w:r>
      <w:r>
        <w:rPr>
          <w:spacing w:val="-2"/>
          <w:w w:val="95"/>
          <w:sz w:val="14"/>
        </w:rPr>
        <w:t>Plan.</w:t>
      </w:r>
    </w:p>
    <w:p w:rsidR="002C1123" w:rsidRDefault="002C1123">
      <w:pPr>
        <w:rPr>
          <w:sz w:val="14"/>
        </w:rPr>
        <w:sectPr w:rsidR="002C1123">
          <w:type w:val="continuous"/>
          <w:pgSz w:w="16840" w:h="11910" w:orient="landscape"/>
          <w:pgMar w:top="560" w:right="280" w:bottom="280" w:left="500" w:header="0" w:footer="517"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7"/>
        </w:rPr>
      </w:pPr>
    </w:p>
    <w:p w:rsidR="002C1123" w:rsidRDefault="002C1123">
      <w:pPr>
        <w:rPr>
          <w:sz w:val="17"/>
        </w:rPr>
        <w:sectPr w:rsidR="002C1123">
          <w:pgSz w:w="16840" w:h="11910" w:orient="landscape"/>
          <w:pgMar w:top="560" w:right="280" w:bottom="700" w:left="500" w:header="0" w:footer="517" w:gutter="0"/>
          <w:cols w:space="720"/>
        </w:sectPr>
      </w:pPr>
    </w:p>
    <w:p w:rsidR="002C1123" w:rsidRDefault="00F22F94">
      <w:pPr>
        <w:pStyle w:val="Heading5"/>
        <w:numPr>
          <w:ilvl w:val="1"/>
          <w:numId w:val="103"/>
        </w:numPr>
        <w:tabs>
          <w:tab w:val="left" w:pos="942"/>
        </w:tabs>
        <w:jc w:val="left"/>
      </w:pPr>
      <w:bookmarkStart w:id="134" w:name="5.3_Regional_NSW_in_2031"/>
      <w:bookmarkStart w:id="135" w:name="5.4__Infrastructure_priorities_in_Region"/>
      <w:bookmarkStart w:id="136" w:name="_bookmark97"/>
      <w:bookmarkStart w:id="137" w:name="_bookmark96"/>
      <w:bookmarkEnd w:id="134"/>
      <w:bookmarkEnd w:id="135"/>
      <w:bookmarkEnd w:id="136"/>
      <w:bookmarkEnd w:id="137"/>
      <w:r>
        <w:rPr>
          <w:color w:val="EC008C"/>
          <w:w w:val="95"/>
        </w:rPr>
        <w:t>Regional</w:t>
      </w:r>
      <w:r>
        <w:rPr>
          <w:color w:val="EC008C"/>
        </w:rPr>
        <w:t xml:space="preserve"> </w:t>
      </w:r>
      <w:r>
        <w:rPr>
          <w:color w:val="EC008C"/>
          <w:w w:val="95"/>
        </w:rPr>
        <w:t>NSW</w:t>
      </w:r>
      <w:r>
        <w:rPr>
          <w:color w:val="EC008C"/>
          <w:spacing w:val="1"/>
        </w:rPr>
        <w:t xml:space="preserve"> </w:t>
      </w:r>
      <w:r>
        <w:rPr>
          <w:color w:val="EC008C"/>
          <w:w w:val="95"/>
        </w:rPr>
        <w:t>in</w:t>
      </w:r>
      <w:r>
        <w:rPr>
          <w:color w:val="EC008C"/>
          <w:spacing w:val="1"/>
        </w:rPr>
        <w:t xml:space="preserve"> </w:t>
      </w:r>
      <w:r>
        <w:rPr>
          <w:color w:val="EC008C"/>
          <w:spacing w:val="-4"/>
          <w:w w:val="95"/>
        </w:rPr>
        <w:t>2031</w:t>
      </w:r>
    </w:p>
    <w:p w:rsidR="002C1123" w:rsidRDefault="00F22F94">
      <w:pPr>
        <w:spacing w:before="167" w:line="210" w:lineRule="atLeast"/>
        <w:ind w:left="1312" w:hanging="820"/>
        <w:rPr>
          <w:b/>
          <w:sz w:val="18"/>
        </w:rPr>
      </w:pPr>
      <w:r>
        <w:br w:type="column"/>
      </w:r>
      <w:r>
        <w:rPr>
          <w:b/>
          <w:sz w:val="18"/>
        </w:rPr>
        <w:t>Table</w:t>
      </w:r>
      <w:r>
        <w:rPr>
          <w:b/>
          <w:spacing w:val="-17"/>
          <w:sz w:val="18"/>
        </w:rPr>
        <w:t xml:space="preserve"> </w:t>
      </w:r>
      <w:r>
        <w:rPr>
          <w:b/>
          <w:sz w:val="18"/>
        </w:rPr>
        <w:t>5.2</w:t>
      </w:r>
      <w:r>
        <w:rPr>
          <w:b/>
          <w:spacing w:val="18"/>
          <w:sz w:val="18"/>
        </w:rPr>
        <w:t xml:space="preserve"> </w:t>
      </w:r>
      <w:r>
        <w:rPr>
          <w:b/>
          <w:sz w:val="18"/>
        </w:rPr>
        <w:t>Sub-Region</w:t>
      </w:r>
      <w:r>
        <w:rPr>
          <w:b/>
          <w:spacing w:val="-17"/>
          <w:sz w:val="18"/>
        </w:rPr>
        <w:t xml:space="preserve"> </w:t>
      </w:r>
      <w:r>
        <w:rPr>
          <w:b/>
          <w:sz w:val="18"/>
        </w:rPr>
        <w:t>Population</w:t>
      </w:r>
      <w:r>
        <w:rPr>
          <w:b/>
          <w:spacing w:val="-17"/>
          <w:sz w:val="18"/>
        </w:rPr>
        <w:t xml:space="preserve"> </w:t>
      </w:r>
      <w:r>
        <w:rPr>
          <w:b/>
          <w:sz w:val="18"/>
        </w:rPr>
        <w:t>and</w:t>
      </w:r>
      <w:r>
        <w:rPr>
          <w:b/>
          <w:spacing w:val="-17"/>
          <w:sz w:val="18"/>
        </w:rPr>
        <w:t xml:space="preserve"> </w:t>
      </w:r>
      <w:r>
        <w:rPr>
          <w:b/>
          <w:sz w:val="18"/>
        </w:rPr>
        <w:t>Economic</w:t>
      </w:r>
      <w:r>
        <w:rPr>
          <w:b/>
          <w:spacing w:val="-17"/>
          <w:sz w:val="18"/>
        </w:rPr>
        <w:t xml:space="preserve"> </w:t>
      </w:r>
      <w:r>
        <w:rPr>
          <w:b/>
          <w:sz w:val="18"/>
        </w:rPr>
        <w:t>Growth Rates</w:t>
      </w:r>
      <w:r>
        <w:rPr>
          <w:b/>
          <w:spacing w:val="-2"/>
          <w:sz w:val="18"/>
        </w:rPr>
        <w:t xml:space="preserve"> </w:t>
      </w:r>
      <w:r>
        <w:rPr>
          <w:b/>
          <w:sz w:val="18"/>
        </w:rPr>
        <w:t>2011</w:t>
      </w:r>
      <w:r>
        <w:rPr>
          <w:b/>
          <w:spacing w:val="-2"/>
          <w:sz w:val="18"/>
        </w:rPr>
        <w:t xml:space="preserve"> </w:t>
      </w:r>
      <w:r>
        <w:rPr>
          <w:b/>
          <w:sz w:val="18"/>
        </w:rPr>
        <w:t>-</w:t>
      </w:r>
      <w:r>
        <w:rPr>
          <w:b/>
          <w:spacing w:val="-2"/>
          <w:sz w:val="18"/>
        </w:rPr>
        <w:t xml:space="preserve"> </w:t>
      </w:r>
      <w:r>
        <w:rPr>
          <w:b/>
          <w:sz w:val="18"/>
        </w:rPr>
        <w:t>2031</w:t>
      </w:r>
    </w:p>
    <w:p w:rsidR="002C1123" w:rsidRDefault="00F22F94">
      <w:pPr>
        <w:pStyle w:val="ListParagraph"/>
        <w:numPr>
          <w:ilvl w:val="0"/>
          <w:numId w:val="100"/>
        </w:numPr>
        <w:tabs>
          <w:tab w:val="left" w:pos="527"/>
        </w:tabs>
        <w:spacing w:before="112" w:line="249" w:lineRule="auto"/>
        <w:ind w:right="951"/>
        <w:rPr>
          <w:sz w:val="20"/>
        </w:rPr>
      </w:pPr>
      <w:r>
        <w:br w:type="column"/>
      </w:r>
      <w:r>
        <w:rPr>
          <w:w w:val="95"/>
          <w:sz w:val="20"/>
        </w:rPr>
        <w:t>The</w:t>
      </w:r>
      <w:r>
        <w:rPr>
          <w:spacing w:val="-6"/>
          <w:w w:val="95"/>
          <w:sz w:val="20"/>
        </w:rPr>
        <w:t xml:space="preserve"> </w:t>
      </w:r>
      <w:r>
        <w:rPr>
          <w:w w:val="95"/>
          <w:sz w:val="20"/>
        </w:rPr>
        <w:t>coastal</w:t>
      </w:r>
      <w:r>
        <w:rPr>
          <w:spacing w:val="-6"/>
          <w:w w:val="95"/>
          <w:sz w:val="20"/>
        </w:rPr>
        <w:t xml:space="preserve"> </w:t>
      </w:r>
      <w:r>
        <w:rPr>
          <w:w w:val="95"/>
          <w:sz w:val="20"/>
        </w:rPr>
        <w:t>areas</w:t>
      </w:r>
      <w:r>
        <w:rPr>
          <w:spacing w:val="-6"/>
          <w:w w:val="95"/>
          <w:sz w:val="20"/>
        </w:rPr>
        <w:t xml:space="preserve"> </w:t>
      </w:r>
      <w:r>
        <w:rPr>
          <w:w w:val="95"/>
          <w:sz w:val="20"/>
        </w:rPr>
        <w:t>are</w:t>
      </w:r>
      <w:r>
        <w:rPr>
          <w:spacing w:val="-6"/>
          <w:w w:val="95"/>
          <w:sz w:val="20"/>
        </w:rPr>
        <w:t xml:space="preserve"> </w:t>
      </w:r>
      <w:r>
        <w:rPr>
          <w:w w:val="95"/>
          <w:sz w:val="20"/>
        </w:rPr>
        <w:t>expected</w:t>
      </w:r>
      <w:r>
        <w:rPr>
          <w:spacing w:val="-6"/>
          <w:w w:val="95"/>
          <w:sz w:val="20"/>
        </w:rPr>
        <w:t xml:space="preserve"> </w:t>
      </w:r>
      <w:r>
        <w:rPr>
          <w:w w:val="95"/>
          <w:sz w:val="20"/>
        </w:rPr>
        <w:t>to</w:t>
      </w:r>
      <w:r>
        <w:rPr>
          <w:spacing w:val="-6"/>
          <w:w w:val="95"/>
          <w:sz w:val="20"/>
        </w:rPr>
        <w:t xml:space="preserve"> </w:t>
      </w:r>
      <w:r>
        <w:rPr>
          <w:w w:val="95"/>
          <w:sz w:val="20"/>
        </w:rPr>
        <w:t>grow</w:t>
      </w:r>
      <w:r>
        <w:rPr>
          <w:spacing w:val="-6"/>
          <w:w w:val="95"/>
          <w:sz w:val="20"/>
        </w:rPr>
        <w:t xml:space="preserve"> </w:t>
      </w:r>
      <w:r>
        <w:rPr>
          <w:w w:val="95"/>
          <w:sz w:val="20"/>
        </w:rPr>
        <w:t>faster</w:t>
      </w:r>
      <w:r>
        <w:rPr>
          <w:spacing w:val="-6"/>
          <w:w w:val="95"/>
          <w:sz w:val="20"/>
        </w:rPr>
        <w:t xml:space="preserve"> </w:t>
      </w:r>
      <w:r>
        <w:rPr>
          <w:w w:val="95"/>
          <w:sz w:val="20"/>
        </w:rPr>
        <w:t>than the inland areas due to resource endowments and</w:t>
      </w:r>
    </w:p>
    <w:p w:rsidR="002C1123" w:rsidRDefault="002C1123">
      <w:pPr>
        <w:spacing w:line="249" w:lineRule="auto"/>
        <w:rPr>
          <w:sz w:val="20"/>
        </w:rPr>
        <w:sectPr w:rsidR="002C1123">
          <w:type w:val="continuous"/>
          <w:pgSz w:w="16840" w:h="11910" w:orient="landscape"/>
          <w:pgMar w:top="560" w:right="280" w:bottom="280" w:left="500" w:header="0" w:footer="517" w:gutter="0"/>
          <w:cols w:num="3" w:space="720" w:equalWidth="0">
            <w:col w:w="3816" w:space="1210"/>
            <w:col w:w="5236" w:space="40"/>
            <w:col w:w="5758"/>
          </w:cols>
        </w:sectPr>
      </w:pPr>
    </w:p>
    <w:p w:rsidR="002C1123" w:rsidRDefault="00F22F94">
      <w:pPr>
        <w:pStyle w:val="Heading6"/>
        <w:numPr>
          <w:ilvl w:val="2"/>
          <w:numId w:val="103"/>
        </w:numPr>
        <w:tabs>
          <w:tab w:val="left" w:pos="979"/>
        </w:tabs>
        <w:spacing w:before="0" w:line="195" w:lineRule="exact"/>
        <w:ind w:hanging="487"/>
        <w:jc w:val="left"/>
        <w:rPr>
          <w:color w:val="EC008C"/>
        </w:rPr>
      </w:pPr>
      <w:r>
        <w:rPr>
          <w:color w:val="EC008C"/>
          <w:spacing w:val="-4"/>
        </w:rPr>
        <w:t>Population</w:t>
      </w:r>
      <w:r>
        <w:rPr>
          <w:color w:val="EC008C"/>
          <w:spacing w:val="-3"/>
        </w:rPr>
        <w:t xml:space="preserve"> </w:t>
      </w:r>
      <w:r>
        <w:rPr>
          <w:color w:val="EC008C"/>
          <w:spacing w:val="-4"/>
        </w:rPr>
        <w:t>and</w:t>
      </w:r>
      <w:r>
        <w:rPr>
          <w:color w:val="EC008C"/>
          <w:spacing w:val="-3"/>
        </w:rPr>
        <w:t xml:space="preserve"> </w:t>
      </w:r>
      <w:r>
        <w:rPr>
          <w:color w:val="EC008C"/>
          <w:spacing w:val="-4"/>
        </w:rPr>
        <w:t>Economic</w:t>
      </w:r>
      <w:r>
        <w:rPr>
          <w:color w:val="EC008C"/>
          <w:spacing w:val="-2"/>
        </w:rPr>
        <w:t xml:space="preserve"> </w:t>
      </w:r>
      <w:r>
        <w:rPr>
          <w:color w:val="EC008C"/>
          <w:spacing w:val="-4"/>
        </w:rPr>
        <w:t>Growth</w:t>
      </w:r>
      <w:r>
        <w:rPr>
          <w:color w:val="EC008C"/>
          <w:spacing w:val="-3"/>
        </w:rPr>
        <w:t xml:space="preserve"> </w:t>
      </w:r>
      <w:r>
        <w:rPr>
          <w:color w:val="EC008C"/>
          <w:spacing w:val="-4"/>
        </w:rPr>
        <w:t>by</w:t>
      </w:r>
      <w:r>
        <w:rPr>
          <w:color w:val="EC008C"/>
          <w:spacing w:val="-3"/>
        </w:rPr>
        <w:t xml:space="preserve"> </w:t>
      </w:r>
      <w:r>
        <w:rPr>
          <w:color w:val="EC008C"/>
          <w:spacing w:val="-4"/>
        </w:rPr>
        <w:t>Region</w:t>
      </w:r>
    </w:p>
    <w:p w:rsidR="002C1123" w:rsidRDefault="00F22F94">
      <w:pPr>
        <w:pStyle w:val="BodyText"/>
        <w:spacing w:before="95" w:line="249" w:lineRule="auto"/>
        <w:ind w:left="492"/>
      </w:pPr>
      <w:r>
        <w:rPr>
          <w:w w:val="95"/>
        </w:rPr>
        <w:t xml:space="preserve">The baseline economic and demographic forecasts </w:t>
      </w:r>
      <w:r>
        <w:t>prepared</w:t>
      </w:r>
      <w:r>
        <w:rPr>
          <w:spacing w:val="-2"/>
        </w:rPr>
        <w:t xml:space="preserve"> </w:t>
      </w:r>
      <w:r>
        <w:t>by</w:t>
      </w:r>
      <w:r>
        <w:rPr>
          <w:spacing w:val="-2"/>
        </w:rPr>
        <w:t xml:space="preserve"> </w:t>
      </w:r>
      <w:r>
        <w:t>Deloitte</w:t>
      </w:r>
      <w:r>
        <w:rPr>
          <w:spacing w:val="-2"/>
        </w:rPr>
        <w:t xml:space="preserve"> </w:t>
      </w:r>
      <w:r>
        <w:t>Access</w:t>
      </w:r>
      <w:r>
        <w:rPr>
          <w:spacing w:val="-2"/>
        </w:rPr>
        <w:t xml:space="preserve"> </w:t>
      </w:r>
      <w:r>
        <w:t>Economics</w:t>
      </w:r>
      <w:r>
        <w:rPr>
          <w:spacing w:val="-2"/>
        </w:rPr>
        <w:t xml:space="preserve"> </w:t>
      </w:r>
      <w:r>
        <w:t>for Infrastructure NSW shows that:</w:t>
      </w:r>
    </w:p>
    <w:p w:rsidR="002C1123" w:rsidRDefault="00F22F94">
      <w:pPr>
        <w:pStyle w:val="ListParagraph"/>
        <w:numPr>
          <w:ilvl w:val="3"/>
          <w:numId w:val="103"/>
        </w:numPr>
        <w:tabs>
          <w:tab w:val="left" w:pos="776"/>
        </w:tabs>
        <w:spacing w:before="131" w:line="249" w:lineRule="auto"/>
        <w:ind w:hanging="284"/>
        <w:rPr>
          <w:sz w:val="20"/>
        </w:rPr>
      </w:pPr>
      <w:r>
        <w:rPr>
          <w:sz w:val="20"/>
        </w:rPr>
        <w:t>The</w:t>
      </w:r>
      <w:r>
        <w:rPr>
          <w:spacing w:val="-11"/>
          <w:sz w:val="20"/>
        </w:rPr>
        <w:t xml:space="preserve"> </w:t>
      </w:r>
      <w:r>
        <w:rPr>
          <w:sz w:val="20"/>
        </w:rPr>
        <w:t>population</w:t>
      </w:r>
      <w:r>
        <w:rPr>
          <w:spacing w:val="-11"/>
          <w:sz w:val="20"/>
        </w:rPr>
        <w:t xml:space="preserve"> </w:t>
      </w:r>
      <w:r>
        <w:rPr>
          <w:sz w:val="20"/>
        </w:rPr>
        <w:t>of</w:t>
      </w:r>
      <w:r>
        <w:rPr>
          <w:spacing w:val="-11"/>
          <w:sz w:val="20"/>
        </w:rPr>
        <w:t xml:space="preserve"> </w:t>
      </w:r>
      <w:r>
        <w:rPr>
          <w:sz w:val="20"/>
        </w:rPr>
        <w:t>Regional</w:t>
      </w:r>
      <w:r>
        <w:rPr>
          <w:spacing w:val="-11"/>
          <w:sz w:val="20"/>
        </w:rPr>
        <w:t xml:space="preserve"> </w:t>
      </w:r>
      <w:r>
        <w:rPr>
          <w:sz w:val="20"/>
        </w:rPr>
        <w:t>NSW</w:t>
      </w:r>
      <w:r>
        <w:rPr>
          <w:spacing w:val="-11"/>
          <w:sz w:val="20"/>
        </w:rPr>
        <w:t xml:space="preserve"> </w:t>
      </w:r>
      <w:r>
        <w:rPr>
          <w:sz w:val="20"/>
        </w:rPr>
        <w:t>is</w:t>
      </w:r>
      <w:r>
        <w:rPr>
          <w:spacing w:val="-11"/>
          <w:sz w:val="20"/>
        </w:rPr>
        <w:t xml:space="preserve"> </w:t>
      </w:r>
      <w:r>
        <w:rPr>
          <w:sz w:val="20"/>
        </w:rPr>
        <w:t>expected</w:t>
      </w:r>
      <w:r>
        <w:rPr>
          <w:spacing w:val="-11"/>
          <w:sz w:val="20"/>
        </w:rPr>
        <w:t xml:space="preserve"> </w:t>
      </w:r>
      <w:r>
        <w:rPr>
          <w:sz w:val="20"/>
        </w:rPr>
        <w:t xml:space="preserve">to </w:t>
      </w:r>
      <w:r>
        <w:rPr>
          <w:w w:val="95"/>
          <w:sz w:val="20"/>
        </w:rPr>
        <w:t>grow</w:t>
      </w:r>
      <w:r>
        <w:rPr>
          <w:spacing w:val="-7"/>
          <w:w w:val="95"/>
          <w:sz w:val="20"/>
        </w:rPr>
        <w:t xml:space="preserve"> </w:t>
      </w:r>
      <w:r>
        <w:rPr>
          <w:w w:val="95"/>
          <w:sz w:val="20"/>
        </w:rPr>
        <w:t>by</w:t>
      </w:r>
      <w:r>
        <w:rPr>
          <w:spacing w:val="-7"/>
          <w:w w:val="95"/>
          <w:sz w:val="20"/>
        </w:rPr>
        <w:t xml:space="preserve"> </w:t>
      </w:r>
      <w:r>
        <w:rPr>
          <w:w w:val="95"/>
          <w:sz w:val="20"/>
        </w:rPr>
        <w:t>0.7</w:t>
      </w:r>
      <w:r>
        <w:rPr>
          <w:spacing w:val="-7"/>
          <w:w w:val="95"/>
          <w:sz w:val="20"/>
        </w:rPr>
        <w:t xml:space="preserve"> </w:t>
      </w:r>
      <w:r>
        <w:rPr>
          <w:w w:val="95"/>
          <w:sz w:val="20"/>
        </w:rPr>
        <w:t>percent</w:t>
      </w:r>
      <w:r>
        <w:rPr>
          <w:spacing w:val="-7"/>
          <w:w w:val="95"/>
          <w:sz w:val="20"/>
        </w:rPr>
        <w:t xml:space="preserve"> </w:t>
      </w:r>
      <w:r>
        <w:rPr>
          <w:w w:val="95"/>
          <w:sz w:val="20"/>
        </w:rPr>
        <w:t>per</w:t>
      </w:r>
      <w:r>
        <w:rPr>
          <w:spacing w:val="-7"/>
          <w:w w:val="95"/>
          <w:sz w:val="20"/>
        </w:rPr>
        <w:t xml:space="preserve"> </w:t>
      </w:r>
      <w:r>
        <w:rPr>
          <w:w w:val="95"/>
          <w:sz w:val="20"/>
        </w:rPr>
        <w:t>annum</w:t>
      </w:r>
      <w:r>
        <w:rPr>
          <w:spacing w:val="-8"/>
          <w:w w:val="95"/>
          <w:sz w:val="20"/>
        </w:rPr>
        <w:t xml:space="preserve"> </w:t>
      </w:r>
      <w:r>
        <w:rPr>
          <w:w w:val="95"/>
          <w:sz w:val="20"/>
        </w:rPr>
        <w:t>to</w:t>
      </w:r>
      <w:r>
        <w:rPr>
          <w:spacing w:val="-7"/>
          <w:w w:val="95"/>
          <w:sz w:val="20"/>
        </w:rPr>
        <w:t xml:space="preserve"> </w:t>
      </w:r>
      <w:r>
        <w:rPr>
          <w:w w:val="95"/>
          <w:sz w:val="20"/>
        </w:rPr>
        <w:t>3.1</w:t>
      </w:r>
      <w:r>
        <w:rPr>
          <w:spacing w:val="-7"/>
          <w:w w:val="95"/>
          <w:sz w:val="20"/>
        </w:rPr>
        <w:t xml:space="preserve"> </w:t>
      </w:r>
      <w:r>
        <w:rPr>
          <w:w w:val="95"/>
          <w:sz w:val="20"/>
        </w:rPr>
        <w:t>million,</w:t>
      </w:r>
      <w:r>
        <w:rPr>
          <w:spacing w:val="-7"/>
          <w:w w:val="95"/>
          <w:sz w:val="20"/>
        </w:rPr>
        <w:t xml:space="preserve"> </w:t>
      </w:r>
      <w:r>
        <w:rPr>
          <w:w w:val="95"/>
          <w:sz w:val="20"/>
        </w:rPr>
        <w:t xml:space="preserve">slower </w:t>
      </w:r>
      <w:r>
        <w:rPr>
          <w:sz w:val="20"/>
        </w:rPr>
        <w:t>than</w:t>
      </w:r>
      <w:r>
        <w:rPr>
          <w:spacing w:val="-8"/>
          <w:sz w:val="20"/>
        </w:rPr>
        <w:t xml:space="preserve"> </w:t>
      </w:r>
      <w:r>
        <w:rPr>
          <w:sz w:val="20"/>
        </w:rPr>
        <w:t>Sydney’s</w:t>
      </w:r>
      <w:r>
        <w:rPr>
          <w:spacing w:val="-8"/>
          <w:sz w:val="20"/>
        </w:rPr>
        <w:t xml:space="preserve"> </w:t>
      </w:r>
      <w:r>
        <w:rPr>
          <w:sz w:val="20"/>
        </w:rPr>
        <w:t>growth</w:t>
      </w:r>
      <w:r>
        <w:rPr>
          <w:spacing w:val="-8"/>
          <w:sz w:val="20"/>
        </w:rPr>
        <w:t xml:space="preserve"> </w:t>
      </w:r>
      <w:r>
        <w:rPr>
          <w:sz w:val="20"/>
        </w:rPr>
        <w:t>of</w:t>
      </w:r>
      <w:r>
        <w:rPr>
          <w:spacing w:val="-8"/>
          <w:sz w:val="20"/>
        </w:rPr>
        <w:t xml:space="preserve"> </w:t>
      </w:r>
      <w:r>
        <w:rPr>
          <w:sz w:val="20"/>
        </w:rPr>
        <w:t>1.3</w:t>
      </w:r>
      <w:r>
        <w:rPr>
          <w:spacing w:val="-8"/>
          <w:sz w:val="20"/>
        </w:rPr>
        <w:t xml:space="preserve"> </w:t>
      </w:r>
      <w:r>
        <w:rPr>
          <w:sz w:val="20"/>
        </w:rPr>
        <w:t>percent</w:t>
      </w:r>
      <w:r>
        <w:rPr>
          <w:spacing w:val="-8"/>
          <w:sz w:val="20"/>
        </w:rPr>
        <w:t xml:space="preserve"> </w:t>
      </w:r>
      <w:r>
        <w:rPr>
          <w:sz w:val="20"/>
        </w:rPr>
        <w:t>per</w:t>
      </w:r>
      <w:r>
        <w:rPr>
          <w:spacing w:val="-8"/>
          <w:sz w:val="20"/>
        </w:rPr>
        <w:t xml:space="preserve"> </w:t>
      </w:r>
      <w:r>
        <w:rPr>
          <w:sz w:val="20"/>
        </w:rPr>
        <w:t xml:space="preserve">annum. </w:t>
      </w:r>
      <w:r>
        <w:rPr>
          <w:spacing w:val="-2"/>
          <w:sz w:val="20"/>
        </w:rPr>
        <w:t>This</w:t>
      </w:r>
      <w:r>
        <w:rPr>
          <w:spacing w:val="-13"/>
          <w:sz w:val="20"/>
        </w:rPr>
        <w:t xml:space="preserve"> </w:t>
      </w:r>
      <w:r>
        <w:rPr>
          <w:spacing w:val="-2"/>
          <w:sz w:val="20"/>
        </w:rPr>
        <w:t>means</w:t>
      </w:r>
      <w:r>
        <w:rPr>
          <w:spacing w:val="-13"/>
          <w:sz w:val="20"/>
        </w:rPr>
        <w:t xml:space="preserve"> </w:t>
      </w:r>
      <w:r>
        <w:rPr>
          <w:spacing w:val="-2"/>
          <w:sz w:val="20"/>
        </w:rPr>
        <w:t>that</w:t>
      </w:r>
      <w:r>
        <w:rPr>
          <w:spacing w:val="-13"/>
          <w:sz w:val="20"/>
        </w:rPr>
        <w:t xml:space="preserve"> </w:t>
      </w:r>
      <w:r>
        <w:rPr>
          <w:spacing w:val="-2"/>
          <w:sz w:val="20"/>
        </w:rPr>
        <w:t>by</w:t>
      </w:r>
      <w:r>
        <w:rPr>
          <w:spacing w:val="-13"/>
          <w:sz w:val="20"/>
        </w:rPr>
        <w:t xml:space="preserve"> </w:t>
      </w:r>
      <w:r>
        <w:rPr>
          <w:spacing w:val="-2"/>
          <w:sz w:val="20"/>
        </w:rPr>
        <w:t>2031,</w:t>
      </w:r>
      <w:r>
        <w:rPr>
          <w:spacing w:val="-13"/>
          <w:sz w:val="20"/>
        </w:rPr>
        <w:t xml:space="preserve"> </w:t>
      </w:r>
      <w:r>
        <w:rPr>
          <w:spacing w:val="-2"/>
          <w:sz w:val="20"/>
        </w:rPr>
        <w:t>the</w:t>
      </w:r>
      <w:r>
        <w:rPr>
          <w:spacing w:val="-13"/>
          <w:sz w:val="20"/>
        </w:rPr>
        <w:t xml:space="preserve"> </w:t>
      </w:r>
      <w:r>
        <w:rPr>
          <w:spacing w:val="-2"/>
          <w:sz w:val="20"/>
        </w:rPr>
        <w:t>regional</w:t>
      </w:r>
      <w:r>
        <w:rPr>
          <w:spacing w:val="-13"/>
          <w:sz w:val="20"/>
        </w:rPr>
        <w:t xml:space="preserve"> </w:t>
      </w:r>
      <w:r>
        <w:rPr>
          <w:spacing w:val="-2"/>
          <w:sz w:val="20"/>
        </w:rPr>
        <w:t>population</w:t>
      </w:r>
      <w:r>
        <w:rPr>
          <w:spacing w:val="-13"/>
          <w:sz w:val="20"/>
        </w:rPr>
        <w:t xml:space="preserve"> </w:t>
      </w:r>
      <w:r>
        <w:rPr>
          <w:spacing w:val="-2"/>
          <w:sz w:val="20"/>
        </w:rPr>
        <w:t xml:space="preserve">is </w:t>
      </w:r>
      <w:r>
        <w:rPr>
          <w:sz w:val="20"/>
        </w:rPr>
        <w:t>expected</w:t>
      </w:r>
      <w:r>
        <w:rPr>
          <w:spacing w:val="-4"/>
          <w:sz w:val="20"/>
        </w:rPr>
        <w:t xml:space="preserve"> </w:t>
      </w:r>
      <w:r>
        <w:rPr>
          <w:sz w:val="20"/>
        </w:rPr>
        <w:t>to</w:t>
      </w:r>
      <w:r>
        <w:rPr>
          <w:spacing w:val="-4"/>
          <w:sz w:val="20"/>
        </w:rPr>
        <w:t xml:space="preserve"> </w:t>
      </w:r>
      <w:r>
        <w:rPr>
          <w:sz w:val="20"/>
        </w:rPr>
        <w:t>fall</w:t>
      </w:r>
      <w:r>
        <w:rPr>
          <w:spacing w:val="-4"/>
          <w:sz w:val="20"/>
        </w:rPr>
        <w:t xml:space="preserve"> </w:t>
      </w:r>
      <w:r>
        <w:rPr>
          <w:sz w:val="20"/>
        </w:rPr>
        <w:t>from</w:t>
      </w:r>
      <w:r>
        <w:rPr>
          <w:spacing w:val="-4"/>
          <w:sz w:val="20"/>
        </w:rPr>
        <w:t xml:space="preserve"> </w:t>
      </w:r>
      <w:r>
        <w:rPr>
          <w:sz w:val="20"/>
        </w:rPr>
        <w:t>36</w:t>
      </w:r>
      <w:r>
        <w:rPr>
          <w:spacing w:val="-4"/>
          <w:sz w:val="20"/>
        </w:rPr>
        <w:t xml:space="preserve"> </w:t>
      </w:r>
      <w:r>
        <w:rPr>
          <w:sz w:val="20"/>
        </w:rPr>
        <w:t>percent</w:t>
      </w:r>
      <w:r>
        <w:rPr>
          <w:spacing w:val="-4"/>
          <w:sz w:val="20"/>
        </w:rPr>
        <w:t xml:space="preserve"> </w:t>
      </w:r>
      <w:r>
        <w:rPr>
          <w:sz w:val="20"/>
        </w:rPr>
        <w:t>to</w:t>
      </w:r>
      <w:r>
        <w:rPr>
          <w:spacing w:val="-4"/>
          <w:sz w:val="20"/>
        </w:rPr>
        <w:t xml:space="preserve"> </w:t>
      </w:r>
      <w:r>
        <w:rPr>
          <w:sz w:val="20"/>
        </w:rPr>
        <w:t>34</w:t>
      </w:r>
      <w:r>
        <w:rPr>
          <w:spacing w:val="-4"/>
          <w:sz w:val="20"/>
        </w:rPr>
        <w:t xml:space="preserve"> </w:t>
      </w:r>
      <w:r>
        <w:rPr>
          <w:sz w:val="20"/>
        </w:rPr>
        <w:t>percent.</w:t>
      </w:r>
    </w:p>
    <w:p w:rsidR="002C1123" w:rsidRDefault="00F22F94">
      <w:pPr>
        <w:pStyle w:val="ListParagraph"/>
        <w:numPr>
          <w:ilvl w:val="3"/>
          <w:numId w:val="103"/>
        </w:numPr>
        <w:tabs>
          <w:tab w:val="left" w:pos="776"/>
        </w:tabs>
        <w:spacing w:before="133" w:line="146" w:lineRule="exact"/>
        <w:ind w:hanging="284"/>
        <w:rPr>
          <w:sz w:val="20"/>
        </w:rPr>
      </w:pPr>
      <w:r>
        <w:rPr>
          <w:w w:val="95"/>
          <w:sz w:val="20"/>
        </w:rPr>
        <w:t>GSP</w:t>
      </w:r>
      <w:r>
        <w:rPr>
          <w:spacing w:val="-8"/>
          <w:w w:val="95"/>
          <w:sz w:val="20"/>
        </w:rPr>
        <w:t xml:space="preserve"> </w:t>
      </w:r>
      <w:r>
        <w:rPr>
          <w:w w:val="95"/>
          <w:sz w:val="20"/>
        </w:rPr>
        <w:t>is</w:t>
      </w:r>
      <w:r>
        <w:rPr>
          <w:spacing w:val="-7"/>
          <w:w w:val="95"/>
          <w:sz w:val="20"/>
        </w:rPr>
        <w:t xml:space="preserve"> </w:t>
      </w:r>
      <w:r>
        <w:rPr>
          <w:w w:val="95"/>
          <w:sz w:val="20"/>
        </w:rPr>
        <w:t>expected</w:t>
      </w:r>
      <w:r>
        <w:rPr>
          <w:spacing w:val="-8"/>
          <w:w w:val="95"/>
          <w:sz w:val="20"/>
        </w:rPr>
        <w:t xml:space="preserve"> </w:t>
      </w:r>
      <w:r>
        <w:rPr>
          <w:w w:val="95"/>
          <w:sz w:val="20"/>
        </w:rPr>
        <w:t>to</w:t>
      </w:r>
      <w:r>
        <w:rPr>
          <w:spacing w:val="-7"/>
          <w:w w:val="95"/>
          <w:sz w:val="20"/>
        </w:rPr>
        <w:t xml:space="preserve"> </w:t>
      </w:r>
      <w:r>
        <w:rPr>
          <w:w w:val="95"/>
          <w:sz w:val="20"/>
        </w:rPr>
        <w:t>grow</w:t>
      </w:r>
      <w:r>
        <w:rPr>
          <w:spacing w:val="-8"/>
          <w:w w:val="95"/>
          <w:sz w:val="20"/>
        </w:rPr>
        <w:t xml:space="preserve"> </w:t>
      </w:r>
      <w:r>
        <w:rPr>
          <w:w w:val="95"/>
          <w:sz w:val="20"/>
        </w:rPr>
        <w:t>at</w:t>
      </w:r>
      <w:r>
        <w:rPr>
          <w:spacing w:val="-7"/>
          <w:w w:val="95"/>
          <w:sz w:val="20"/>
        </w:rPr>
        <w:t xml:space="preserve"> </w:t>
      </w:r>
      <w:r>
        <w:rPr>
          <w:w w:val="95"/>
          <w:sz w:val="20"/>
        </w:rPr>
        <w:t>a</w:t>
      </w:r>
      <w:r>
        <w:rPr>
          <w:spacing w:val="-8"/>
          <w:w w:val="95"/>
          <w:sz w:val="20"/>
        </w:rPr>
        <w:t xml:space="preserve"> </w:t>
      </w:r>
      <w:r>
        <w:rPr>
          <w:w w:val="95"/>
          <w:sz w:val="20"/>
        </w:rPr>
        <w:t>slower</w:t>
      </w:r>
      <w:r>
        <w:rPr>
          <w:spacing w:val="-7"/>
          <w:w w:val="95"/>
          <w:sz w:val="20"/>
        </w:rPr>
        <w:t xml:space="preserve"> </w:t>
      </w:r>
      <w:r>
        <w:rPr>
          <w:w w:val="95"/>
          <w:sz w:val="20"/>
        </w:rPr>
        <w:t>rate,</w:t>
      </w:r>
      <w:r>
        <w:rPr>
          <w:spacing w:val="-8"/>
          <w:w w:val="95"/>
          <w:sz w:val="20"/>
        </w:rPr>
        <w:t xml:space="preserve"> </w:t>
      </w:r>
      <w:r>
        <w:rPr>
          <w:spacing w:val="-5"/>
          <w:w w:val="95"/>
          <w:sz w:val="20"/>
        </w:rPr>
        <w:t>(by</w:t>
      </w:r>
    </w:p>
    <w:p w:rsidR="002C1123" w:rsidRDefault="00F22F94">
      <w:pPr>
        <w:spacing w:before="10"/>
        <w:rPr>
          <w:sz w:val="19"/>
        </w:rPr>
      </w:pPr>
      <w:r>
        <w:br w:type="column"/>
      </w:r>
    </w:p>
    <w:p w:rsidR="002C1123" w:rsidRDefault="00F22F94">
      <w:pPr>
        <w:spacing w:before="1"/>
        <w:ind w:left="435"/>
        <w:rPr>
          <w:b/>
          <w:sz w:val="16"/>
        </w:rPr>
      </w:pPr>
      <w:r>
        <w:rPr>
          <w:b/>
          <w:color w:val="2E3092"/>
          <w:spacing w:val="-2"/>
          <w:sz w:val="16"/>
        </w:rPr>
        <w:t>Sub-region</w:t>
      </w:r>
    </w:p>
    <w:p w:rsidR="002C1123" w:rsidRDefault="00F22F94">
      <w:pPr>
        <w:spacing w:before="52" w:line="235" w:lineRule="auto"/>
        <w:ind w:left="492"/>
        <w:rPr>
          <w:b/>
          <w:sz w:val="16"/>
        </w:rPr>
      </w:pPr>
      <w:r>
        <w:br w:type="column"/>
      </w:r>
      <w:r>
        <w:rPr>
          <w:b/>
          <w:color w:val="2E3092"/>
          <w:spacing w:val="-2"/>
          <w:sz w:val="16"/>
        </w:rPr>
        <w:t>Population Growth</w:t>
      </w:r>
      <w:r>
        <w:rPr>
          <w:b/>
          <w:color w:val="2E3092"/>
          <w:spacing w:val="-10"/>
          <w:sz w:val="16"/>
        </w:rPr>
        <w:t xml:space="preserve"> </w:t>
      </w:r>
      <w:r>
        <w:rPr>
          <w:b/>
          <w:color w:val="2E3092"/>
          <w:spacing w:val="-2"/>
          <w:sz w:val="16"/>
        </w:rPr>
        <w:t>Rate</w:t>
      </w:r>
    </w:p>
    <w:p w:rsidR="002C1123" w:rsidRDefault="00F22F94">
      <w:pPr>
        <w:spacing w:before="49" w:line="182" w:lineRule="exact"/>
        <w:ind w:left="208"/>
        <w:rPr>
          <w:b/>
          <w:sz w:val="16"/>
        </w:rPr>
      </w:pPr>
      <w:r>
        <w:br w:type="column"/>
      </w:r>
      <w:r>
        <w:rPr>
          <w:b/>
          <w:color w:val="2E3092"/>
          <w:spacing w:val="-5"/>
          <w:sz w:val="16"/>
        </w:rPr>
        <w:t>GRP</w:t>
      </w:r>
    </w:p>
    <w:p w:rsidR="002C1123" w:rsidRDefault="00F22F94">
      <w:pPr>
        <w:spacing w:line="182" w:lineRule="exact"/>
        <w:ind w:left="208"/>
        <w:rPr>
          <w:b/>
          <w:sz w:val="16"/>
        </w:rPr>
      </w:pPr>
      <w:r>
        <w:rPr>
          <w:b/>
          <w:color w:val="2E3092"/>
          <w:spacing w:val="-2"/>
          <w:sz w:val="16"/>
        </w:rPr>
        <w:t>Growth</w:t>
      </w:r>
      <w:r>
        <w:rPr>
          <w:b/>
          <w:color w:val="2E3092"/>
          <w:spacing w:val="-7"/>
          <w:sz w:val="16"/>
        </w:rPr>
        <w:t xml:space="preserve"> </w:t>
      </w:r>
      <w:r>
        <w:rPr>
          <w:b/>
          <w:color w:val="2E3092"/>
          <w:spacing w:val="-4"/>
          <w:sz w:val="16"/>
        </w:rPr>
        <w:t>Rate</w:t>
      </w:r>
    </w:p>
    <w:p w:rsidR="002C1123" w:rsidRDefault="00F22F94">
      <w:pPr>
        <w:pStyle w:val="BodyText"/>
        <w:spacing w:before="5" w:line="249" w:lineRule="auto"/>
        <w:ind w:left="775" w:right="707"/>
      </w:pPr>
      <w:r>
        <w:br w:type="column"/>
      </w:r>
      <w:r>
        <w:t>the</w:t>
      </w:r>
      <w:r>
        <w:rPr>
          <w:spacing w:val="-4"/>
        </w:rPr>
        <w:t xml:space="preserve"> </w:t>
      </w:r>
      <w:r>
        <w:t>impact</w:t>
      </w:r>
      <w:r>
        <w:rPr>
          <w:spacing w:val="-4"/>
        </w:rPr>
        <w:t xml:space="preserve"> </w:t>
      </w:r>
      <w:r>
        <w:t>of</w:t>
      </w:r>
      <w:r>
        <w:rPr>
          <w:spacing w:val="-4"/>
        </w:rPr>
        <w:t xml:space="preserve"> </w:t>
      </w:r>
      <w:r>
        <w:t>the</w:t>
      </w:r>
      <w:r>
        <w:rPr>
          <w:spacing w:val="-4"/>
        </w:rPr>
        <w:t xml:space="preserve"> </w:t>
      </w:r>
      <w:r>
        <w:t>‘sea</w:t>
      </w:r>
      <w:r>
        <w:rPr>
          <w:spacing w:val="-4"/>
        </w:rPr>
        <w:t xml:space="preserve"> </w:t>
      </w:r>
      <w:r>
        <w:t>change’</w:t>
      </w:r>
      <w:r>
        <w:rPr>
          <w:spacing w:val="-4"/>
        </w:rPr>
        <w:t xml:space="preserve"> </w:t>
      </w:r>
      <w:r>
        <w:t>and</w:t>
      </w:r>
      <w:r>
        <w:rPr>
          <w:spacing w:val="-4"/>
        </w:rPr>
        <w:t xml:space="preserve"> </w:t>
      </w:r>
      <w:r>
        <w:t>‘tree</w:t>
      </w:r>
      <w:r>
        <w:rPr>
          <w:spacing w:val="-4"/>
        </w:rPr>
        <w:t xml:space="preserve"> </w:t>
      </w:r>
      <w:r>
        <w:t xml:space="preserve">change’ </w:t>
      </w:r>
      <w:r>
        <w:rPr>
          <w:w w:val="95"/>
        </w:rPr>
        <w:t xml:space="preserve">phenomenon. The coastal areas closest to Sydney – </w:t>
      </w:r>
      <w:r>
        <w:rPr>
          <w:spacing w:val="-2"/>
        </w:rPr>
        <w:t>the</w:t>
      </w:r>
      <w:r>
        <w:rPr>
          <w:spacing w:val="-8"/>
        </w:rPr>
        <w:t xml:space="preserve"> </w:t>
      </w:r>
      <w:r>
        <w:rPr>
          <w:spacing w:val="-2"/>
        </w:rPr>
        <w:t>Hunter</w:t>
      </w:r>
      <w:r>
        <w:rPr>
          <w:spacing w:val="-8"/>
        </w:rPr>
        <w:t xml:space="preserve"> </w:t>
      </w:r>
      <w:r>
        <w:rPr>
          <w:spacing w:val="-2"/>
        </w:rPr>
        <w:t>and</w:t>
      </w:r>
      <w:r>
        <w:rPr>
          <w:spacing w:val="-8"/>
        </w:rPr>
        <w:t xml:space="preserve"> </w:t>
      </w:r>
      <w:r>
        <w:rPr>
          <w:spacing w:val="-2"/>
        </w:rPr>
        <w:t>Illawarra</w:t>
      </w:r>
      <w:r>
        <w:rPr>
          <w:spacing w:val="-8"/>
        </w:rPr>
        <w:t xml:space="preserve"> </w:t>
      </w:r>
      <w:r>
        <w:rPr>
          <w:spacing w:val="-2"/>
        </w:rPr>
        <w:t>–</w:t>
      </w:r>
      <w:r>
        <w:rPr>
          <w:spacing w:val="-8"/>
        </w:rPr>
        <w:t xml:space="preserve"> </w:t>
      </w:r>
      <w:r>
        <w:rPr>
          <w:spacing w:val="-2"/>
        </w:rPr>
        <w:t>will</w:t>
      </w:r>
      <w:r>
        <w:rPr>
          <w:spacing w:val="-8"/>
        </w:rPr>
        <w:t xml:space="preserve"> </w:t>
      </w:r>
      <w:r>
        <w:rPr>
          <w:spacing w:val="-2"/>
        </w:rPr>
        <w:t>also</w:t>
      </w:r>
      <w:r>
        <w:rPr>
          <w:spacing w:val="-8"/>
        </w:rPr>
        <w:t xml:space="preserve"> </w:t>
      </w:r>
      <w:r>
        <w:rPr>
          <w:spacing w:val="-2"/>
        </w:rPr>
        <w:t>benefit</w:t>
      </w:r>
      <w:r>
        <w:rPr>
          <w:spacing w:val="-8"/>
        </w:rPr>
        <w:t xml:space="preserve"> </w:t>
      </w:r>
      <w:r>
        <w:rPr>
          <w:spacing w:val="-2"/>
        </w:rPr>
        <w:t>from</w:t>
      </w:r>
      <w:r>
        <w:rPr>
          <w:spacing w:val="-9"/>
        </w:rPr>
        <w:t xml:space="preserve"> </w:t>
      </w:r>
      <w:r>
        <w:rPr>
          <w:spacing w:val="-2"/>
        </w:rPr>
        <w:t xml:space="preserve">their </w:t>
      </w:r>
      <w:r>
        <w:rPr>
          <w:w w:val="95"/>
        </w:rPr>
        <w:t>proximity</w:t>
      </w:r>
      <w:r>
        <w:rPr>
          <w:spacing w:val="-5"/>
          <w:w w:val="95"/>
        </w:rPr>
        <w:t xml:space="preserve"> </w:t>
      </w:r>
      <w:r>
        <w:rPr>
          <w:w w:val="95"/>
        </w:rPr>
        <w:t>to</w:t>
      </w:r>
      <w:r>
        <w:rPr>
          <w:spacing w:val="-5"/>
          <w:w w:val="95"/>
        </w:rPr>
        <w:t xml:space="preserve"> </w:t>
      </w:r>
      <w:r>
        <w:rPr>
          <w:w w:val="95"/>
        </w:rPr>
        <w:t>Sydney.</w:t>
      </w:r>
      <w:r>
        <w:rPr>
          <w:spacing w:val="-5"/>
          <w:w w:val="95"/>
        </w:rPr>
        <w:t xml:space="preserve"> </w:t>
      </w:r>
      <w:r>
        <w:rPr>
          <w:w w:val="95"/>
        </w:rPr>
        <w:t>Newcastle</w:t>
      </w:r>
      <w:r>
        <w:rPr>
          <w:spacing w:val="-5"/>
          <w:w w:val="95"/>
        </w:rPr>
        <w:t xml:space="preserve"> </w:t>
      </w:r>
      <w:r>
        <w:rPr>
          <w:w w:val="95"/>
        </w:rPr>
        <w:t>is</w:t>
      </w:r>
      <w:r>
        <w:rPr>
          <w:spacing w:val="-5"/>
          <w:w w:val="95"/>
        </w:rPr>
        <w:t xml:space="preserve"> </w:t>
      </w:r>
      <w:r>
        <w:rPr>
          <w:w w:val="95"/>
        </w:rPr>
        <w:t>forecast</w:t>
      </w:r>
      <w:r>
        <w:rPr>
          <w:spacing w:val="-5"/>
          <w:w w:val="95"/>
        </w:rPr>
        <w:t xml:space="preserve"> </w:t>
      </w:r>
      <w:r>
        <w:rPr>
          <w:w w:val="95"/>
        </w:rPr>
        <w:t>to</w:t>
      </w:r>
      <w:r>
        <w:rPr>
          <w:spacing w:val="-5"/>
          <w:w w:val="95"/>
        </w:rPr>
        <w:t xml:space="preserve"> </w:t>
      </w:r>
      <w:r>
        <w:rPr>
          <w:w w:val="95"/>
        </w:rPr>
        <w:t>grow</w:t>
      </w:r>
      <w:r>
        <w:rPr>
          <w:spacing w:val="-5"/>
          <w:w w:val="95"/>
        </w:rPr>
        <w:t xml:space="preserve"> </w:t>
      </w:r>
      <w:r>
        <w:rPr>
          <w:w w:val="95"/>
        </w:rPr>
        <w:t xml:space="preserve">by </w:t>
      </w:r>
      <w:r>
        <w:t>58,000</w:t>
      </w:r>
      <w:r>
        <w:rPr>
          <w:spacing w:val="-11"/>
        </w:rPr>
        <w:t xml:space="preserve"> </w:t>
      </w:r>
      <w:r>
        <w:t>and</w:t>
      </w:r>
      <w:r>
        <w:rPr>
          <w:spacing w:val="-11"/>
        </w:rPr>
        <w:t xml:space="preserve"> </w:t>
      </w:r>
      <w:r>
        <w:t>Wollongong</w:t>
      </w:r>
      <w:r>
        <w:rPr>
          <w:spacing w:val="-11"/>
        </w:rPr>
        <w:t xml:space="preserve"> </w:t>
      </w:r>
      <w:r>
        <w:t>by</w:t>
      </w:r>
      <w:r>
        <w:rPr>
          <w:spacing w:val="-11"/>
        </w:rPr>
        <w:t xml:space="preserve"> </w:t>
      </w:r>
      <w:r>
        <w:t>33,000</w:t>
      </w:r>
      <w:r>
        <w:rPr>
          <w:spacing w:val="-11"/>
        </w:rPr>
        <w:t xml:space="preserve"> </w:t>
      </w:r>
      <w:r>
        <w:t>people</w:t>
      </w:r>
      <w:r>
        <w:rPr>
          <w:spacing w:val="-11"/>
        </w:rPr>
        <w:t xml:space="preserve"> </w:t>
      </w:r>
      <w:r>
        <w:t>by</w:t>
      </w:r>
      <w:r>
        <w:rPr>
          <w:spacing w:val="-11"/>
        </w:rPr>
        <w:t xml:space="preserve"> </w:t>
      </w:r>
      <w:r>
        <w:t>2031.</w:t>
      </w:r>
    </w:p>
    <w:p w:rsidR="002C1123" w:rsidRDefault="002060EF">
      <w:pPr>
        <w:pStyle w:val="ListParagraph"/>
        <w:numPr>
          <w:ilvl w:val="3"/>
          <w:numId w:val="103"/>
        </w:numPr>
        <w:tabs>
          <w:tab w:val="left" w:pos="776"/>
        </w:tabs>
        <w:spacing w:before="105" w:line="249" w:lineRule="auto"/>
        <w:ind w:right="775" w:hanging="284"/>
        <w:rPr>
          <w:sz w:val="20"/>
        </w:rPr>
      </w:pPr>
      <w:r>
        <w:pict>
          <v:shape id="docshape969" o:spid="_x0000_s4348" type="#_x0000_t202" style="position:absolute;left:0;text-align:left;margin-left:300.45pt;margin-top:-38.8pt;width:240.5pt;height:114.05pt;z-index:251287552;mso-position-horizontal-relative:page" filled="f" stroked="f">
            <v:textbox inset="0,0,0,0">
              <w:txbxContent>
                <w:tbl>
                  <w:tblPr>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701"/>
                    <w:gridCol w:w="1191"/>
                    <w:gridCol w:w="1899"/>
                  </w:tblGrid>
                  <w:tr w:rsidR="00F22F94">
                    <w:trPr>
                      <w:trHeight w:val="401"/>
                    </w:trPr>
                    <w:tc>
                      <w:tcPr>
                        <w:tcW w:w="1701" w:type="dxa"/>
                        <w:tcBorders>
                          <w:top w:val="nil"/>
                          <w:left w:val="nil"/>
                        </w:tcBorders>
                        <w:shd w:val="clear" w:color="auto" w:fill="C9C8C9"/>
                      </w:tcPr>
                      <w:p w:rsidR="00F22F94" w:rsidRDefault="00F22F94">
                        <w:pPr>
                          <w:pStyle w:val="TableParagraph"/>
                          <w:spacing w:before="73"/>
                          <w:rPr>
                            <w:b/>
                            <w:sz w:val="18"/>
                          </w:rPr>
                        </w:pPr>
                        <w:r>
                          <w:rPr>
                            <w:b/>
                            <w:spacing w:val="-2"/>
                            <w:sz w:val="18"/>
                          </w:rPr>
                          <w:t>Hunter</w:t>
                        </w:r>
                      </w:p>
                    </w:tc>
                    <w:tc>
                      <w:tcPr>
                        <w:tcW w:w="1191" w:type="dxa"/>
                        <w:tcBorders>
                          <w:top w:val="nil"/>
                        </w:tcBorders>
                        <w:shd w:val="clear" w:color="auto" w:fill="E1E0E1"/>
                      </w:tcPr>
                      <w:p w:rsidR="00F22F94" w:rsidRDefault="00F22F94">
                        <w:pPr>
                          <w:pStyle w:val="TableParagraph"/>
                          <w:rPr>
                            <w:rFonts w:ascii="Tahoma"/>
                            <w:sz w:val="16"/>
                          </w:rPr>
                        </w:pPr>
                        <w:r>
                          <w:rPr>
                            <w:rFonts w:ascii="Tahoma"/>
                            <w:spacing w:val="-4"/>
                            <w:sz w:val="16"/>
                          </w:rPr>
                          <w:t>1.0%</w:t>
                        </w:r>
                      </w:p>
                    </w:tc>
                    <w:tc>
                      <w:tcPr>
                        <w:tcW w:w="1899" w:type="dxa"/>
                        <w:tcBorders>
                          <w:top w:val="nil"/>
                        </w:tcBorders>
                        <w:shd w:val="clear" w:color="auto" w:fill="E1E0E1"/>
                      </w:tcPr>
                      <w:p w:rsidR="00F22F94" w:rsidRDefault="00F22F94">
                        <w:pPr>
                          <w:pStyle w:val="TableParagraph"/>
                          <w:ind w:left="112"/>
                          <w:rPr>
                            <w:rFonts w:ascii="Tahoma"/>
                            <w:sz w:val="16"/>
                          </w:rPr>
                        </w:pPr>
                        <w:r>
                          <w:rPr>
                            <w:rFonts w:ascii="Tahoma"/>
                            <w:spacing w:val="-4"/>
                            <w:sz w:val="16"/>
                          </w:rPr>
                          <w:t>2.5%</w:t>
                        </w:r>
                      </w:p>
                    </w:tc>
                  </w:tr>
                  <w:tr w:rsidR="00F22F94">
                    <w:trPr>
                      <w:trHeight w:val="607"/>
                    </w:trPr>
                    <w:tc>
                      <w:tcPr>
                        <w:tcW w:w="1701" w:type="dxa"/>
                        <w:tcBorders>
                          <w:left w:val="nil"/>
                        </w:tcBorders>
                        <w:shd w:val="clear" w:color="auto" w:fill="C9C8C9"/>
                      </w:tcPr>
                      <w:p w:rsidR="00F22F94" w:rsidRDefault="00F22F94">
                        <w:pPr>
                          <w:pStyle w:val="TableParagraph"/>
                          <w:spacing w:before="63" w:line="249" w:lineRule="auto"/>
                          <w:ind w:right="6"/>
                          <w:rPr>
                            <w:b/>
                            <w:sz w:val="18"/>
                          </w:rPr>
                        </w:pPr>
                        <w:r>
                          <w:rPr>
                            <w:b/>
                            <w:sz w:val="18"/>
                          </w:rPr>
                          <w:t>Illawarra</w:t>
                        </w:r>
                        <w:r>
                          <w:rPr>
                            <w:b/>
                            <w:spacing w:val="-19"/>
                            <w:sz w:val="18"/>
                          </w:rPr>
                          <w:t xml:space="preserve"> </w:t>
                        </w:r>
                        <w:r>
                          <w:rPr>
                            <w:b/>
                            <w:sz w:val="18"/>
                          </w:rPr>
                          <w:t>and South</w:t>
                        </w:r>
                        <w:r>
                          <w:rPr>
                            <w:b/>
                            <w:spacing w:val="-19"/>
                            <w:sz w:val="18"/>
                          </w:rPr>
                          <w:t xml:space="preserve"> </w:t>
                        </w:r>
                        <w:r>
                          <w:rPr>
                            <w:b/>
                            <w:sz w:val="18"/>
                          </w:rPr>
                          <w:t>Coast</w:t>
                        </w:r>
                      </w:p>
                    </w:tc>
                    <w:tc>
                      <w:tcPr>
                        <w:tcW w:w="1191" w:type="dxa"/>
                        <w:shd w:val="clear" w:color="auto" w:fill="E1E0E1"/>
                      </w:tcPr>
                      <w:p w:rsidR="00F22F94" w:rsidRDefault="00F22F94">
                        <w:pPr>
                          <w:pStyle w:val="TableParagraph"/>
                          <w:spacing w:before="57"/>
                          <w:rPr>
                            <w:rFonts w:ascii="Tahoma"/>
                            <w:sz w:val="16"/>
                          </w:rPr>
                        </w:pPr>
                        <w:r>
                          <w:rPr>
                            <w:rFonts w:ascii="Tahoma"/>
                            <w:spacing w:val="-4"/>
                            <w:sz w:val="16"/>
                          </w:rPr>
                          <w:t>1.0%</w:t>
                        </w:r>
                      </w:p>
                    </w:tc>
                    <w:tc>
                      <w:tcPr>
                        <w:tcW w:w="1899" w:type="dxa"/>
                        <w:shd w:val="clear" w:color="auto" w:fill="E1E0E1"/>
                      </w:tcPr>
                      <w:p w:rsidR="00F22F94" w:rsidRDefault="00F22F94">
                        <w:pPr>
                          <w:pStyle w:val="TableParagraph"/>
                          <w:spacing w:before="57"/>
                          <w:ind w:left="112"/>
                          <w:rPr>
                            <w:rFonts w:ascii="Tahoma"/>
                            <w:sz w:val="16"/>
                          </w:rPr>
                        </w:pPr>
                        <w:r>
                          <w:rPr>
                            <w:rFonts w:ascii="Tahoma"/>
                            <w:spacing w:val="-4"/>
                            <w:sz w:val="16"/>
                          </w:rPr>
                          <w:t>2.5%</w:t>
                        </w:r>
                      </w:p>
                    </w:tc>
                  </w:tr>
                  <w:tr w:rsidR="00F22F94">
                    <w:trPr>
                      <w:trHeight w:val="391"/>
                    </w:trPr>
                    <w:tc>
                      <w:tcPr>
                        <w:tcW w:w="1701" w:type="dxa"/>
                        <w:tcBorders>
                          <w:left w:val="nil"/>
                        </w:tcBorders>
                        <w:shd w:val="clear" w:color="auto" w:fill="C9C8C9"/>
                      </w:tcPr>
                      <w:p w:rsidR="00F22F94" w:rsidRDefault="00F22F94">
                        <w:pPr>
                          <w:pStyle w:val="TableParagraph"/>
                          <w:spacing w:before="63"/>
                          <w:rPr>
                            <w:b/>
                            <w:sz w:val="18"/>
                          </w:rPr>
                        </w:pPr>
                        <w:r>
                          <w:rPr>
                            <w:b/>
                            <w:sz w:val="18"/>
                          </w:rPr>
                          <w:t>North</w:t>
                        </w:r>
                        <w:r>
                          <w:rPr>
                            <w:b/>
                            <w:spacing w:val="-7"/>
                            <w:sz w:val="18"/>
                          </w:rPr>
                          <w:t xml:space="preserve"> </w:t>
                        </w:r>
                        <w:r>
                          <w:rPr>
                            <w:b/>
                            <w:spacing w:val="-4"/>
                            <w:sz w:val="18"/>
                          </w:rPr>
                          <w:t>Coast</w:t>
                        </w:r>
                      </w:p>
                    </w:tc>
                    <w:tc>
                      <w:tcPr>
                        <w:tcW w:w="1191" w:type="dxa"/>
                        <w:shd w:val="clear" w:color="auto" w:fill="E1E0E1"/>
                      </w:tcPr>
                      <w:p w:rsidR="00F22F94" w:rsidRDefault="00F22F94">
                        <w:pPr>
                          <w:pStyle w:val="TableParagraph"/>
                          <w:spacing w:before="57"/>
                          <w:rPr>
                            <w:rFonts w:ascii="Tahoma"/>
                            <w:sz w:val="16"/>
                          </w:rPr>
                        </w:pPr>
                        <w:r>
                          <w:rPr>
                            <w:rFonts w:ascii="Tahoma"/>
                            <w:spacing w:val="-4"/>
                            <w:sz w:val="16"/>
                          </w:rPr>
                          <w:t>1.0%</w:t>
                        </w:r>
                      </w:p>
                    </w:tc>
                    <w:tc>
                      <w:tcPr>
                        <w:tcW w:w="1899" w:type="dxa"/>
                        <w:shd w:val="clear" w:color="auto" w:fill="E1E0E1"/>
                      </w:tcPr>
                      <w:p w:rsidR="00F22F94" w:rsidRDefault="00F22F94">
                        <w:pPr>
                          <w:pStyle w:val="TableParagraph"/>
                          <w:spacing w:before="57"/>
                          <w:ind w:left="112"/>
                          <w:rPr>
                            <w:rFonts w:ascii="Tahoma"/>
                            <w:sz w:val="16"/>
                          </w:rPr>
                        </w:pPr>
                        <w:r>
                          <w:rPr>
                            <w:rFonts w:ascii="Tahoma"/>
                            <w:spacing w:val="-4"/>
                            <w:sz w:val="16"/>
                          </w:rPr>
                          <w:t>2.5%</w:t>
                        </w:r>
                      </w:p>
                    </w:tc>
                  </w:tr>
                  <w:tr w:rsidR="00F22F94">
                    <w:trPr>
                      <w:trHeight w:val="391"/>
                    </w:trPr>
                    <w:tc>
                      <w:tcPr>
                        <w:tcW w:w="1701" w:type="dxa"/>
                        <w:tcBorders>
                          <w:left w:val="nil"/>
                        </w:tcBorders>
                        <w:shd w:val="clear" w:color="auto" w:fill="C9C8C9"/>
                      </w:tcPr>
                      <w:p w:rsidR="00F22F94" w:rsidRDefault="00F22F94">
                        <w:pPr>
                          <w:pStyle w:val="TableParagraph"/>
                          <w:spacing w:before="63"/>
                          <w:rPr>
                            <w:b/>
                            <w:sz w:val="18"/>
                          </w:rPr>
                        </w:pPr>
                        <w:r>
                          <w:rPr>
                            <w:b/>
                            <w:w w:val="95"/>
                            <w:sz w:val="18"/>
                          </w:rPr>
                          <w:t>Inland</w:t>
                        </w:r>
                        <w:r>
                          <w:rPr>
                            <w:b/>
                            <w:spacing w:val="6"/>
                            <w:sz w:val="18"/>
                          </w:rPr>
                          <w:t xml:space="preserve"> </w:t>
                        </w:r>
                        <w:r>
                          <w:rPr>
                            <w:b/>
                            <w:spacing w:val="-5"/>
                            <w:w w:val="95"/>
                            <w:sz w:val="18"/>
                          </w:rPr>
                          <w:t>NSW</w:t>
                        </w:r>
                      </w:p>
                    </w:tc>
                    <w:tc>
                      <w:tcPr>
                        <w:tcW w:w="1191" w:type="dxa"/>
                        <w:shd w:val="clear" w:color="auto" w:fill="E1E0E1"/>
                      </w:tcPr>
                      <w:p w:rsidR="00F22F94" w:rsidRDefault="00F22F94">
                        <w:pPr>
                          <w:pStyle w:val="TableParagraph"/>
                          <w:spacing w:before="57"/>
                          <w:rPr>
                            <w:rFonts w:ascii="Tahoma"/>
                            <w:sz w:val="16"/>
                          </w:rPr>
                        </w:pPr>
                        <w:r>
                          <w:rPr>
                            <w:rFonts w:ascii="Tahoma"/>
                            <w:spacing w:val="-5"/>
                            <w:sz w:val="16"/>
                          </w:rPr>
                          <w:t>0%</w:t>
                        </w:r>
                      </w:p>
                    </w:tc>
                    <w:tc>
                      <w:tcPr>
                        <w:tcW w:w="1899" w:type="dxa"/>
                        <w:shd w:val="clear" w:color="auto" w:fill="E1E0E1"/>
                      </w:tcPr>
                      <w:p w:rsidR="00F22F94" w:rsidRDefault="00F22F94">
                        <w:pPr>
                          <w:pStyle w:val="TableParagraph"/>
                          <w:spacing w:before="57"/>
                          <w:ind w:left="112"/>
                          <w:rPr>
                            <w:rFonts w:ascii="Tahoma"/>
                            <w:sz w:val="16"/>
                          </w:rPr>
                        </w:pPr>
                        <w:r>
                          <w:rPr>
                            <w:rFonts w:ascii="Tahoma"/>
                            <w:spacing w:val="-4"/>
                            <w:sz w:val="16"/>
                          </w:rPr>
                          <w:t>1.4%</w:t>
                        </w:r>
                      </w:p>
                    </w:tc>
                  </w:tr>
                  <w:tr w:rsidR="00F22F94">
                    <w:trPr>
                      <w:trHeight w:val="391"/>
                    </w:trPr>
                    <w:tc>
                      <w:tcPr>
                        <w:tcW w:w="1701" w:type="dxa"/>
                        <w:tcBorders>
                          <w:left w:val="nil"/>
                        </w:tcBorders>
                        <w:shd w:val="clear" w:color="auto" w:fill="C9C8C9"/>
                      </w:tcPr>
                      <w:p w:rsidR="00F22F94" w:rsidRDefault="00F22F94">
                        <w:pPr>
                          <w:pStyle w:val="TableParagraph"/>
                          <w:spacing w:before="63"/>
                          <w:rPr>
                            <w:b/>
                            <w:sz w:val="18"/>
                          </w:rPr>
                        </w:pPr>
                        <w:r>
                          <w:rPr>
                            <w:b/>
                            <w:sz w:val="18"/>
                          </w:rPr>
                          <w:t>Murray</w:t>
                        </w:r>
                        <w:r>
                          <w:rPr>
                            <w:b/>
                            <w:spacing w:val="-12"/>
                            <w:sz w:val="18"/>
                          </w:rPr>
                          <w:t xml:space="preserve"> </w:t>
                        </w:r>
                        <w:r>
                          <w:rPr>
                            <w:b/>
                            <w:spacing w:val="-2"/>
                            <w:sz w:val="18"/>
                          </w:rPr>
                          <w:t>Riverina</w:t>
                        </w:r>
                      </w:p>
                    </w:tc>
                    <w:tc>
                      <w:tcPr>
                        <w:tcW w:w="1191" w:type="dxa"/>
                        <w:shd w:val="clear" w:color="auto" w:fill="E1E0E1"/>
                      </w:tcPr>
                      <w:p w:rsidR="00F22F94" w:rsidRDefault="00F22F94">
                        <w:pPr>
                          <w:pStyle w:val="TableParagraph"/>
                          <w:spacing w:before="57"/>
                          <w:rPr>
                            <w:rFonts w:ascii="Tahoma"/>
                            <w:sz w:val="16"/>
                          </w:rPr>
                        </w:pPr>
                        <w:r>
                          <w:rPr>
                            <w:rFonts w:ascii="Tahoma"/>
                            <w:spacing w:val="-4"/>
                            <w:sz w:val="16"/>
                          </w:rPr>
                          <w:t>0.3%</w:t>
                        </w:r>
                      </w:p>
                    </w:tc>
                    <w:tc>
                      <w:tcPr>
                        <w:tcW w:w="1899" w:type="dxa"/>
                        <w:shd w:val="clear" w:color="auto" w:fill="E1E0E1"/>
                      </w:tcPr>
                      <w:p w:rsidR="00F22F94" w:rsidRDefault="00F22F94">
                        <w:pPr>
                          <w:pStyle w:val="TableParagraph"/>
                          <w:spacing w:before="57"/>
                          <w:ind w:left="112"/>
                          <w:rPr>
                            <w:rFonts w:ascii="Tahoma"/>
                            <w:sz w:val="16"/>
                          </w:rPr>
                        </w:pPr>
                        <w:r>
                          <w:rPr>
                            <w:rFonts w:ascii="Tahoma"/>
                            <w:spacing w:val="-4"/>
                            <w:sz w:val="16"/>
                          </w:rPr>
                          <w:t>1.7%</w:t>
                        </w:r>
                      </w:p>
                    </w:tc>
                  </w:tr>
                </w:tbl>
                <w:p w:rsidR="00F22F94" w:rsidRDefault="00F22F94">
                  <w:pPr>
                    <w:pStyle w:val="BodyText"/>
                  </w:pPr>
                </w:p>
              </w:txbxContent>
            </v:textbox>
            <w10:wrap anchorx="page"/>
          </v:shape>
        </w:pict>
      </w:r>
      <w:r w:rsidR="00F22F94">
        <w:rPr>
          <w:sz w:val="20"/>
        </w:rPr>
        <w:t>Carbon</w:t>
      </w:r>
      <w:r w:rsidR="00F22F94">
        <w:rPr>
          <w:spacing w:val="-8"/>
          <w:sz w:val="20"/>
        </w:rPr>
        <w:t xml:space="preserve"> </w:t>
      </w:r>
      <w:r w:rsidR="00F22F94">
        <w:rPr>
          <w:sz w:val="20"/>
        </w:rPr>
        <w:t>pricing</w:t>
      </w:r>
      <w:r w:rsidR="00F22F94">
        <w:rPr>
          <w:spacing w:val="-8"/>
          <w:sz w:val="20"/>
        </w:rPr>
        <w:t xml:space="preserve"> </w:t>
      </w:r>
      <w:r w:rsidR="00F22F94">
        <w:rPr>
          <w:sz w:val="20"/>
        </w:rPr>
        <w:t>is</w:t>
      </w:r>
      <w:r w:rsidR="00F22F94">
        <w:rPr>
          <w:spacing w:val="-8"/>
          <w:sz w:val="20"/>
        </w:rPr>
        <w:t xml:space="preserve"> </w:t>
      </w:r>
      <w:r w:rsidR="00F22F94">
        <w:rPr>
          <w:sz w:val="20"/>
        </w:rPr>
        <w:t>expected</w:t>
      </w:r>
      <w:r w:rsidR="00F22F94">
        <w:rPr>
          <w:spacing w:val="-8"/>
          <w:sz w:val="20"/>
        </w:rPr>
        <w:t xml:space="preserve"> </w:t>
      </w:r>
      <w:r w:rsidR="00F22F94">
        <w:rPr>
          <w:sz w:val="20"/>
        </w:rPr>
        <w:t>to</w:t>
      </w:r>
      <w:r w:rsidR="00F22F94">
        <w:rPr>
          <w:spacing w:val="-8"/>
          <w:sz w:val="20"/>
        </w:rPr>
        <w:t xml:space="preserve"> </w:t>
      </w:r>
      <w:r w:rsidR="00F22F94">
        <w:rPr>
          <w:sz w:val="20"/>
        </w:rPr>
        <w:t>result</w:t>
      </w:r>
      <w:r w:rsidR="00F22F94">
        <w:rPr>
          <w:spacing w:val="-8"/>
          <w:sz w:val="20"/>
        </w:rPr>
        <w:t xml:space="preserve"> </w:t>
      </w:r>
      <w:r w:rsidR="00F22F94">
        <w:rPr>
          <w:sz w:val="20"/>
        </w:rPr>
        <w:t>in</w:t>
      </w:r>
      <w:r w:rsidR="00F22F94">
        <w:rPr>
          <w:spacing w:val="-8"/>
          <w:sz w:val="20"/>
        </w:rPr>
        <w:t xml:space="preserve"> </w:t>
      </w:r>
      <w:r w:rsidR="00F22F94">
        <w:rPr>
          <w:sz w:val="20"/>
        </w:rPr>
        <w:t>a</w:t>
      </w:r>
      <w:r w:rsidR="00F22F94">
        <w:rPr>
          <w:spacing w:val="-8"/>
          <w:sz w:val="20"/>
        </w:rPr>
        <w:t xml:space="preserve"> </w:t>
      </w:r>
      <w:r w:rsidR="00F22F94">
        <w:rPr>
          <w:sz w:val="20"/>
        </w:rPr>
        <w:t>dip</w:t>
      </w:r>
      <w:r w:rsidR="00F22F94">
        <w:rPr>
          <w:spacing w:val="-8"/>
          <w:sz w:val="20"/>
        </w:rPr>
        <w:t xml:space="preserve"> </w:t>
      </w:r>
      <w:r w:rsidR="00F22F94">
        <w:rPr>
          <w:sz w:val="20"/>
        </w:rPr>
        <w:t xml:space="preserve">in </w:t>
      </w:r>
      <w:r w:rsidR="00F22F94">
        <w:rPr>
          <w:w w:val="95"/>
          <w:sz w:val="20"/>
        </w:rPr>
        <w:t>production</w:t>
      </w:r>
      <w:r w:rsidR="00F22F94">
        <w:rPr>
          <w:spacing w:val="-3"/>
          <w:w w:val="95"/>
          <w:sz w:val="20"/>
        </w:rPr>
        <w:t xml:space="preserve"> </w:t>
      </w:r>
      <w:r w:rsidR="00F22F94">
        <w:rPr>
          <w:w w:val="95"/>
          <w:sz w:val="20"/>
        </w:rPr>
        <w:t>in</w:t>
      </w:r>
      <w:r w:rsidR="00F22F94">
        <w:rPr>
          <w:spacing w:val="-3"/>
          <w:w w:val="95"/>
          <w:sz w:val="20"/>
        </w:rPr>
        <w:t xml:space="preserve"> </w:t>
      </w:r>
      <w:r w:rsidR="00F22F94">
        <w:rPr>
          <w:w w:val="95"/>
          <w:sz w:val="20"/>
        </w:rPr>
        <w:t>Regional</w:t>
      </w:r>
      <w:r w:rsidR="00F22F94">
        <w:rPr>
          <w:spacing w:val="-3"/>
          <w:w w:val="95"/>
          <w:sz w:val="20"/>
        </w:rPr>
        <w:t xml:space="preserve"> </w:t>
      </w:r>
      <w:r w:rsidR="00F22F94">
        <w:rPr>
          <w:w w:val="95"/>
          <w:sz w:val="20"/>
        </w:rPr>
        <w:t>NSW,</w:t>
      </w:r>
      <w:r w:rsidR="00F22F94">
        <w:rPr>
          <w:spacing w:val="-3"/>
          <w:w w:val="95"/>
          <w:sz w:val="20"/>
        </w:rPr>
        <w:t xml:space="preserve"> </w:t>
      </w:r>
      <w:r w:rsidR="00F22F94">
        <w:rPr>
          <w:w w:val="95"/>
          <w:sz w:val="20"/>
        </w:rPr>
        <w:t>with</w:t>
      </w:r>
      <w:r w:rsidR="00F22F94">
        <w:rPr>
          <w:spacing w:val="-3"/>
          <w:w w:val="95"/>
          <w:sz w:val="20"/>
        </w:rPr>
        <w:t xml:space="preserve"> </w:t>
      </w:r>
      <w:r w:rsidR="00F22F94">
        <w:rPr>
          <w:w w:val="95"/>
          <w:sz w:val="20"/>
        </w:rPr>
        <w:t>the</w:t>
      </w:r>
      <w:r w:rsidR="00F22F94">
        <w:rPr>
          <w:spacing w:val="-3"/>
          <w:w w:val="95"/>
          <w:sz w:val="20"/>
        </w:rPr>
        <w:t xml:space="preserve"> </w:t>
      </w:r>
      <w:r w:rsidR="00F22F94">
        <w:rPr>
          <w:w w:val="95"/>
          <w:sz w:val="20"/>
        </w:rPr>
        <w:t>greatest</w:t>
      </w:r>
      <w:r w:rsidR="00F22F94">
        <w:rPr>
          <w:spacing w:val="-3"/>
          <w:w w:val="95"/>
          <w:sz w:val="20"/>
        </w:rPr>
        <w:t xml:space="preserve"> </w:t>
      </w:r>
      <w:r w:rsidR="00F22F94">
        <w:rPr>
          <w:w w:val="95"/>
          <w:sz w:val="20"/>
        </w:rPr>
        <w:t xml:space="preserve">shock </w:t>
      </w:r>
      <w:r w:rsidR="00F22F94">
        <w:rPr>
          <w:sz w:val="20"/>
        </w:rPr>
        <w:t>felt in the Hunter region.</w:t>
      </w:r>
    </w:p>
    <w:p w:rsidR="002C1123" w:rsidRDefault="00F22F94">
      <w:pPr>
        <w:pStyle w:val="ListParagraph"/>
        <w:numPr>
          <w:ilvl w:val="3"/>
          <w:numId w:val="103"/>
        </w:numPr>
        <w:tabs>
          <w:tab w:val="left" w:pos="776"/>
        </w:tabs>
        <w:spacing w:before="99" w:line="249" w:lineRule="auto"/>
        <w:ind w:right="1196" w:hanging="284"/>
        <w:rPr>
          <w:sz w:val="20"/>
        </w:rPr>
      </w:pPr>
      <w:r>
        <w:rPr>
          <w:w w:val="95"/>
          <w:sz w:val="20"/>
        </w:rPr>
        <w:t>The</w:t>
      </w:r>
      <w:r>
        <w:rPr>
          <w:spacing w:val="-2"/>
          <w:w w:val="95"/>
          <w:sz w:val="20"/>
        </w:rPr>
        <w:t xml:space="preserve"> </w:t>
      </w:r>
      <w:r>
        <w:rPr>
          <w:w w:val="95"/>
          <w:sz w:val="20"/>
        </w:rPr>
        <w:t>economy</w:t>
      </w:r>
      <w:r>
        <w:rPr>
          <w:spacing w:val="-2"/>
          <w:w w:val="95"/>
          <w:sz w:val="20"/>
        </w:rPr>
        <w:t xml:space="preserve"> </w:t>
      </w:r>
      <w:r>
        <w:rPr>
          <w:w w:val="95"/>
          <w:sz w:val="20"/>
        </w:rPr>
        <w:t>of</w:t>
      </w:r>
      <w:r>
        <w:rPr>
          <w:spacing w:val="-2"/>
          <w:w w:val="95"/>
          <w:sz w:val="20"/>
        </w:rPr>
        <w:t xml:space="preserve"> </w:t>
      </w:r>
      <w:r>
        <w:rPr>
          <w:w w:val="95"/>
          <w:sz w:val="20"/>
        </w:rPr>
        <w:t>each</w:t>
      </w:r>
      <w:r>
        <w:rPr>
          <w:spacing w:val="-2"/>
          <w:w w:val="95"/>
          <w:sz w:val="20"/>
        </w:rPr>
        <w:t xml:space="preserve"> </w:t>
      </w:r>
      <w:r>
        <w:rPr>
          <w:w w:val="95"/>
          <w:sz w:val="20"/>
        </w:rPr>
        <w:t>sub-region</w:t>
      </w:r>
      <w:r>
        <w:rPr>
          <w:spacing w:val="-2"/>
          <w:w w:val="95"/>
          <w:sz w:val="20"/>
        </w:rPr>
        <w:t xml:space="preserve"> </w:t>
      </w:r>
      <w:r>
        <w:rPr>
          <w:w w:val="95"/>
          <w:sz w:val="20"/>
        </w:rPr>
        <w:t>is</w:t>
      </w:r>
      <w:r>
        <w:rPr>
          <w:spacing w:val="-2"/>
          <w:w w:val="95"/>
          <w:sz w:val="20"/>
        </w:rPr>
        <w:t xml:space="preserve"> </w:t>
      </w:r>
      <w:r>
        <w:rPr>
          <w:w w:val="95"/>
          <w:sz w:val="20"/>
        </w:rPr>
        <w:t>expected</w:t>
      </w:r>
      <w:r>
        <w:rPr>
          <w:spacing w:val="-2"/>
          <w:w w:val="95"/>
          <w:sz w:val="20"/>
        </w:rPr>
        <w:t xml:space="preserve"> </w:t>
      </w:r>
      <w:r>
        <w:rPr>
          <w:w w:val="95"/>
          <w:sz w:val="20"/>
        </w:rPr>
        <w:t>to become more diverse and services based over</w:t>
      </w:r>
    </w:p>
    <w:p w:rsidR="002C1123" w:rsidRDefault="002C1123">
      <w:pPr>
        <w:spacing w:line="249" w:lineRule="auto"/>
        <w:rPr>
          <w:sz w:val="20"/>
        </w:rPr>
        <w:sectPr w:rsidR="002C1123">
          <w:type w:val="continuous"/>
          <w:pgSz w:w="16840" w:h="11910" w:orient="landscape"/>
          <w:pgMar w:top="560" w:right="280" w:bottom="280" w:left="500" w:header="0" w:footer="517" w:gutter="0"/>
          <w:cols w:num="5" w:space="720" w:equalWidth="0">
            <w:col w:w="5157" w:space="40"/>
            <w:col w:w="1305" w:space="339"/>
            <w:col w:w="1435" w:space="39"/>
            <w:col w:w="1191" w:space="547"/>
            <w:col w:w="6007"/>
          </w:cols>
        </w:sectPr>
      </w:pPr>
    </w:p>
    <w:p w:rsidR="002C1123" w:rsidRDefault="00F22F94">
      <w:pPr>
        <w:pStyle w:val="BodyText"/>
        <w:spacing w:before="106"/>
        <w:ind w:left="775"/>
      </w:pPr>
      <w:r>
        <w:rPr>
          <w:w w:val="95"/>
        </w:rPr>
        <w:t>2.1</w:t>
      </w:r>
      <w:r>
        <w:rPr>
          <w:spacing w:val="-8"/>
          <w:w w:val="95"/>
        </w:rPr>
        <w:t xml:space="preserve"> </w:t>
      </w:r>
      <w:r>
        <w:rPr>
          <w:w w:val="95"/>
        </w:rPr>
        <w:t>per</w:t>
      </w:r>
      <w:r>
        <w:rPr>
          <w:spacing w:val="-7"/>
          <w:w w:val="95"/>
        </w:rPr>
        <w:t xml:space="preserve"> </w:t>
      </w:r>
      <w:r>
        <w:rPr>
          <w:w w:val="95"/>
        </w:rPr>
        <w:t>cent</w:t>
      </w:r>
      <w:r>
        <w:rPr>
          <w:spacing w:val="-7"/>
          <w:w w:val="95"/>
        </w:rPr>
        <w:t xml:space="preserve"> </w:t>
      </w:r>
      <w:r>
        <w:rPr>
          <w:w w:val="95"/>
        </w:rPr>
        <w:t>per</w:t>
      </w:r>
      <w:r>
        <w:rPr>
          <w:spacing w:val="-8"/>
          <w:w w:val="95"/>
        </w:rPr>
        <w:t xml:space="preserve"> </w:t>
      </w:r>
      <w:r>
        <w:rPr>
          <w:w w:val="95"/>
        </w:rPr>
        <w:t>annum)</w:t>
      </w:r>
      <w:r>
        <w:rPr>
          <w:spacing w:val="-7"/>
          <w:w w:val="95"/>
        </w:rPr>
        <w:t xml:space="preserve"> </w:t>
      </w:r>
      <w:r>
        <w:rPr>
          <w:w w:val="95"/>
        </w:rPr>
        <w:t>than</w:t>
      </w:r>
      <w:r>
        <w:rPr>
          <w:spacing w:val="-7"/>
          <w:w w:val="95"/>
        </w:rPr>
        <w:t xml:space="preserve"> </w:t>
      </w:r>
      <w:r>
        <w:rPr>
          <w:w w:val="95"/>
        </w:rPr>
        <w:t>the</w:t>
      </w:r>
      <w:r>
        <w:rPr>
          <w:spacing w:val="-8"/>
          <w:w w:val="95"/>
        </w:rPr>
        <w:t xml:space="preserve"> </w:t>
      </w:r>
      <w:r>
        <w:rPr>
          <w:w w:val="95"/>
        </w:rPr>
        <w:t>Sydney</w:t>
      </w:r>
      <w:r>
        <w:rPr>
          <w:spacing w:val="-7"/>
          <w:w w:val="95"/>
        </w:rPr>
        <w:t xml:space="preserve"> </w:t>
      </w:r>
      <w:r>
        <w:rPr>
          <w:w w:val="95"/>
        </w:rPr>
        <w:t>growth</w:t>
      </w:r>
      <w:r>
        <w:rPr>
          <w:spacing w:val="-7"/>
          <w:w w:val="95"/>
        </w:rPr>
        <w:t xml:space="preserve"> </w:t>
      </w:r>
      <w:r>
        <w:rPr>
          <w:spacing w:val="-5"/>
          <w:w w:val="95"/>
        </w:rPr>
        <w:t>of</w:t>
      </w:r>
    </w:p>
    <w:p w:rsidR="002C1123" w:rsidRDefault="00F22F94">
      <w:pPr>
        <w:pStyle w:val="BodyText"/>
        <w:spacing w:before="10" w:line="249" w:lineRule="auto"/>
        <w:ind w:left="775"/>
      </w:pPr>
      <w:r>
        <w:rPr>
          <w:spacing w:val="-2"/>
        </w:rPr>
        <w:t>2.9</w:t>
      </w:r>
      <w:r>
        <w:rPr>
          <w:spacing w:val="-12"/>
        </w:rPr>
        <w:t xml:space="preserve"> </w:t>
      </w:r>
      <w:r>
        <w:rPr>
          <w:spacing w:val="-2"/>
        </w:rPr>
        <w:t>percent</w:t>
      </w:r>
      <w:r>
        <w:rPr>
          <w:spacing w:val="-12"/>
        </w:rPr>
        <w:t xml:space="preserve"> </w:t>
      </w:r>
      <w:r>
        <w:rPr>
          <w:spacing w:val="-2"/>
        </w:rPr>
        <w:t>per</w:t>
      </w:r>
      <w:r>
        <w:rPr>
          <w:spacing w:val="-12"/>
        </w:rPr>
        <w:t xml:space="preserve"> </w:t>
      </w:r>
      <w:r>
        <w:rPr>
          <w:spacing w:val="-2"/>
        </w:rPr>
        <w:t>annum.</w:t>
      </w:r>
      <w:r>
        <w:rPr>
          <w:spacing w:val="-12"/>
        </w:rPr>
        <w:t xml:space="preserve"> </w:t>
      </w:r>
      <w:r>
        <w:rPr>
          <w:spacing w:val="-2"/>
        </w:rPr>
        <w:t>This</w:t>
      </w:r>
      <w:r>
        <w:rPr>
          <w:spacing w:val="-12"/>
        </w:rPr>
        <w:t xml:space="preserve"> </w:t>
      </w:r>
      <w:r>
        <w:rPr>
          <w:spacing w:val="-2"/>
        </w:rPr>
        <w:t>means</w:t>
      </w:r>
      <w:r>
        <w:rPr>
          <w:spacing w:val="-12"/>
        </w:rPr>
        <w:t xml:space="preserve"> </w:t>
      </w:r>
      <w:r>
        <w:rPr>
          <w:spacing w:val="-2"/>
        </w:rPr>
        <w:t>that</w:t>
      </w:r>
      <w:r>
        <w:rPr>
          <w:spacing w:val="-12"/>
        </w:rPr>
        <w:t xml:space="preserve"> </w:t>
      </w:r>
      <w:r>
        <w:rPr>
          <w:spacing w:val="-2"/>
        </w:rPr>
        <w:t>in</w:t>
      </w:r>
      <w:r>
        <w:rPr>
          <w:spacing w:val="-12"/>
        </w:rPr>
        <w:t xml:space="preserve"> </w:t>
      </w:r>
      <w:r>
        <w:rPr>
          <w:spacing w:val="-2"/>
        </w:rPr>
        <w:t>2031</w:t>
      </w:r>
      <w:r>
        <w:rPr>
          <w:spacing w:val="-12"/>
        </w:rPr>
        <w:t xml:space="preserve"> </w:t>
      </w:r>
      <w:r>
        <w:rPr>
          <w:spacing w:val="-2"/>
        </w:rPr>
        <w:t xml:space="preserve">the </w:t>
      </w:r>
      <w:r>
        <w:rPr>
          <w:w w:val="95"/>
        </w:rPr>
        <w:t>regional</w:t>
      </w:r>
      <w:r>
        <w:rPr>
          <w:spacing w:val="-6"/>
          <w:w w:val="95"/>
        </w:rPr>
        <w:t xml:space="preserve"> </w:t>
      </w:r>
      <w:r>
        <w:rPr>
          <w:w w:val="95"/>
        </w:rPr>
        <w:t>proportion</w:t>
      </w:r>
      <w:r>
        <w:rPr>
          <w:spacing w:val="-6"/>
          <w:w w:val="95"/>
        </w:rPr>
        <w:t xml:space="preserve"> </w:t>
      </w:r>
      <w:r>
        <w:rPr>
          <w:w w:val="95"/>
        </w:rPr>
        <w:t>of</w:t>
      </w:r>
      <w:r>
        <w:rPr>
          <w:spacing w:val="-6"/>
          <w:w w:val="95"/>
        </w:rPr>
        <w:t xml:space="preserve"> </w:t>
      </w:r>
      <w:r>
        <w:rPr>
          <w:w w:val="95"/>
        </w:rPr>
        <w:t>GSP</w:t>
      </w:r>
      <w:r>
        <w:rPr>
          <w:spacing w:val="-6"/>
          <w:w w:val="95"/>
        </w:rPr>
        <w:t xml:space="preserve"> </w:t>
      </w:r>
      <w:r>
        <w:rPr>
          <w:w w:val="95"/>
        </w:rPr>
        <w:t>will</w:t>
      </w:r>
      <w:r>
        <w:rPr>
          <w:spacing w:val="-6"/>
          <w:w w:val="95"/>
        </w:rPr>
        <w:t xml:space="preserve"> </w:t>
      </w:r>
      <w:r>
        <w:rPr>
          <w:w w:val="95"/>
        </w:rPr>
        <w:t>fall</w:t>
      </w:r>
      <w:r>
        <w:rPr>
          <w:spacing w:val="-6"/>
          <w:w w:val="95"/>
        </w:rPr>
        <w:t xml:space="preserve"> </w:t>
      </w:r>
      <w:r>
        <w:rPr>
          <w:w w:val="95"/>
        </w:rPr>
        <w:t>from</w:t>
      </w:r>
      <w:r>
        <w:rPr>
          <w:spacing w:val="-7"/>
          <w:w w:val="95"/>
        </w:rPr>
        <w:t xml:space="preserve"> </w:t>
      </w:r>
      <w:r>
        <w:rPr>
          <w:w w:val="95"/>
        </w:rPr>
        <w:t>26</w:t>
      </w:r>
      <w:r>
        <w:rPr>
          <w:spacing w:val="-6"/>
          <w:w w:val="95"/>
        </w:rPr>
        <w:t xml:space="preserve"> </w:t>
      </w:r>
      <w:r>
        <w:rPr>
          <w:w w:val="95"/>
        </w:rPr>
        <w:t>percent</w:t>
      </w:r>
      <w:r>
        <w:rPr>
          <w:spacing w:val="-6"/>
          <w:w w:val="95"/>
        </w:rPr>
        <w:t xml:space="preserve"> </w:t>
      </w:r>
      <w:r>
        <w:rPr>
          <w:w w:val="95"/>
        </w:rPr>
        <w:t xml:space="preserve">to </w:t>
      </w:r>
      <w:r>
        <w:t>23</w:t>
      </w:r>
      <w:r>
        <w:rPr>
          <w:spacing w:val="-11"/>
        </w:rPr>
        <w:t xml:space="preserve"> </w:t>
      </w:r>
      <w:r>
        <w:t>percent.</w:t>
      </w:r>
    </w:p>
    <w:p w:rsidR="002C1123" w:rsidRDefault="00F22F94">
      <w:pPr>
        <w:pStyle w:val="ListParagraph"/>
        <w:numPr>
          <w:ilvl w:val="3"/>
          <w:numId w:val="103"/>
        </w:numPr>
        <w:tabs>
          <w:tab w:val="left" w:pos="776"/>
        </w:tabs>
        <w:spacing w:before="132" w:line="249" w:lineRule="auto"/>
        <w:ind w:right="43" w:hanging="284"/>
        <w:rPr>
          <w:sz w:val="20"/>
        </w:rPr>
      </w:pPr>
      <w:r>
        <w:rPr>
          <w:sz w:val="20"/>
        </w:rPr>
        <w:t>However,</w:t>
      </w:r>
      <w:r>
        <w:rPr>
          <w:spacing w:val="-13"/>
          <w:sz w:val="20"/>
        </w:rPr>
        <w:t xml:space="preserve"> </w:t>
      </w:r>
      <w:r>
        <w:rPr>
          <w:sz w:val="20"/>
        </w:rPr>
        <w:t>employment</w:t>
      </w:r>
      <w:r>
        <w:rPr>
          <w:spacing w:val="-13"/>
          <w:sz w:val="20"/>
        </w:rPr>
        <w:t xml:space="preserve"> </w:t>
      </w:r>
      <w:r>
        <w:rPr>
          <w:sz w:val="20"/>
        </w:rPr>
        <w:t>grows</w:t>
      </w:r>
      <w:r>
        <w:rPr>
          <w:spacing w:val="-13"/>
          <w:sz w:val="20"/>
        </w:rPr>
        <w:t xml:space="preserve"> </w:t>
      </w:r>
      <w:r>
        <w:rPr>
          <w:sz w:val="20"/>
        </w:rPr>
        <w:t>at</w:t>
      </w:r>
      <w:r>
        <w:rPr>
          <w:spacing w:val="-13"/>
          <w:sz w:val="20"/>
        </w:rPr>
        <w:t xml:space="preserve"> </w:t>
      </w:r>
      <w:r>
        <w:rPr>
          <w:sz w:val="20"/>
        </w:rPr>
        <w:t>nearly</w:t>
      </w:r>
      <w:r>
        <w:rPr>
          <w:spacing w:val="-13"/>
          <w:sz w:val="20"/>
        </w:rPr>
        <w:t xml:space="preserve"> </w:t>
      </w:r>
      <w:r>
        <w:rPr>
          <w:sz w:val="20"/>
        </w:rPr>
        <w:t>the</w:t>
      </w:r>
      <w:r>
        <w:rPr>
          <w:spacing w:val="-13"/>
          <w:sz w:val="20"/>
        </w:rPr>
        <w:t xml:space="preserve"> </w:t>
      </w:r>
      <w:r>
        <w:rPr>
          <w:sz w:val="20"/>
        </w:rPr>
        <w:t xml:space="preserve">same </w:t>
      </w:r>
      <w:r>
        <w:rPr>
          <w:w w:val="95"/>
          <w:sz w:val="20"/>
        </w:rPr>
        <w:t>rate</w:t>
      </w:r>
      <w:r>
        <w:rPr>
          <w:spacing w:val="-12"/>
          <w:w w:val="95"/>
          <w:sz w:val="20"/>
        </w:rPr>
        <w:t xml:space="preserve"> </w:t>
      </w:r>
      <w:r>
        <w:rPr>
          <w:w w:val="95"/>
          <w:sz w:val="20"/>
        </w:rPr>
        <w:t>in</w:t>
      </w:r>
      <w:r>
        <w:rPr>
          <w:spacing w:val="-11"/>
          <w:w w:val="95"/>
          <w:sz w:val="20"/>
        </w:rPr>
        <w:t xml:space="preserve"> </w:t>
      </w:r>
      <w:r>
        <w:rPr>
          <w:w w:val="95"/>
          <w:sz w:val="20"/>
        </w:rPr>
        <w:t>Regional</w:t>
      </w:r>
      <w:r>
        <w:rPr>
          <w:spacing w:val="-11"/>
          <w:w w:val="95"/>
          <w:sz w:val="20"/>
        </w:rPr>
        <w:t xml:space="preserve"> </w:t>
      </w:r>
      <w:r>
        <w:rPr>
          <w:w w:val="95"/>
          <w:sz w:val="20"/>
        </w:rPr>
        <w:t>NSW</w:t>
      </w:r>
      <w:r>
        <w:rPr>
          <w:spacing w:val="-11"/>
          <w:w w:val="95"/>
          <w:sz w:val="20"/>
        </w:rPr>
        <w:t xml:space="preserve"> </w:t>
      </w:r>
      <w:r>
        <w:rPr>
          <w:w w:val="95"/>
          <w:sz w:val="20"/>
        </w:rPr>
        <w:t>as</w:t>
      </w:r>
      <w:r>
        <w:rPr>
          <w:spacing w:val="-11"/>
          <w:w w:val="95"/>
          <w:sz w:val="20"/>
        </w:rPr>
        <w:t xml:space="preserve"> </w:t>
      </w:r>
      <w:r>
        <w:rPr>
          <w:w w:val="95"/>
          <w:sz w:val="20"/>
        </w:rPr>
        <w:t>in</w:t>
      </w:r>
      <w:r>
        <w:rPr>
          <w:spacing w:val="-11"/>
          <w:w w:val="95"/>
          <w:sz w:val="20"/>
        </w:rPr>
        <w:t xml:space="preserve"> </w:t>
      </w:r>
      <w:r>
        <w:rPr>
          <w:w w:val="95"/>
          <w:sz w:val="20"/>
        </w:rPr>
        <w:t>Sydney</w:t>
      </w:r>
      <w:r>
        <w:rPr>
          <w:spacing w:val="-11"/>
          <w:w w:val="95"/>
          <w:sz w:val="20"/>
        </w:rPr>
        <w:t xml:space="preserve"> </w:t>
      </w:r>
      <w:r>
        <w:rPr>
          <w:w w:val="95"/>
          <w:sz w:val="20"/>
        </w:rPr>
        <w:t>(0.86</w:t>
      </w:r>
      <w:r>
        <w:rPr>
          <w:spacing w:val="-11"/>
          <w:w w:val="95"/>
          <w:sz w:val="20"/>
        </w:rPr>
        <w:t xml:space="preserve"> </w:t>
      </w:r>
      <w:r>
        <w:rPr>
          <w:w w:val="95"/>
          <w:sz w:val="20"/>
        </w:rPr>
        <w:t>percent</w:t>
      </w:r>
      <w:r>
        <w:rPr>
          <w:spacing w:val="-12"/>
          <w:w w:val="95"/>
          <w:sz w:val="20"/>
        </w:rPr>
        <w:t xml:space="preserve"> </w:t>
      </w:r>
      <w:r>
        <w:rPr>
          <w:w w:val="95"/>
          <w:sz w:val="20"/>
        </w:rPr>
        <w:t xml:space="preserve">per </w:t>
      </w:r>
      <w:r>
        <w:rPr>
          <w:sz w:val="20"/>
        </w:rPr>
        <w:t>annum compared to 0.97 percent).</w:t>
      </w:r>
    </w:p>
    <w:p w:rsidR="002C1123" w:rsidRDefault="00F22F94">
      <w:pPr>
        <w:pStyle w:val="BodyText"/>
        <w:spacing w:before="144" w:line="249" w:lineRule="auto"/>
        <w:ind w:left="492"/>
      </w:pPr>
      <w:r>
        <w:t>The</w:t>
      </w:r>
      <w:r>
        <w:rPr>
          <w:spacing w:val="-14"/>
        </w:rPr>
        <w:t xml:space="preserve"> </w:t>
      </w:r>
      <w:r>
        <w:t>forecast</w:t>
      </w:r>
      <w:r>
        <w:rPr>
          <w:spacing w:val="-14"/>
        </w:rPr>
        <w:t xml:space="preserve"> </w:t>
      </w:r>
      <w:r>
        <w:t>growth</w:t>
      </w:r>
      <w:r>
        <w:rPr>
          <w:spacing w:val="-14"/>
        </w:rPr>
        <w:t xml:space="preserve"> </w:t>
      </w:r>
      <w:r>
        <w:t>is</w:t>
      </w:r>
      <w:r>
        <w:rPr>
          <w:spacing w:val="-14"/>
        </w:rPr>
        <w:t xml:space="preserve"> </w:t>
      </w:r>
      <w:r>
        <w:t>not</w:t>
      </w:r>
      <w:r>
        <w:rPr>
          <w:spacing w:val="-14"/>
        </w:rPr>
        <w:t xml:space="preserve"> </w:t>
      </w:r>
      <w:r>
        <w:t>experienced</w:t>
      </w:r>
      <w:r>
        <w:rPr>
          <w:spacing w:val="-14"/>
        </w:rPr>
        <w:t xml:space="preserve"> </w:t>
      </w:r>
      <w:r>
        <w:t>evenly</w:t>
      </w:r>
      <w:r>
        <w:rPr>
          <w:spacing w:val="-14"/>
        </w:rPr>
        <w:t xml:space="preserve"> </w:t>
      </w:r>
      <w:r>
        <w:t>across Regional</w:t>
      </w:r>
      <w:r>
        <w:rPr>
          <w:spacing w:val="-14"/>
        </w:rPr>
        <w:t xml:space="preserve"> </w:t>
      </w:r>
      <w:r>
        <w:t>NSW.</w:t>
      </w:r>
      <w:r>
        <w:rPr>
          <w:spacing w:val="-14"/>
        </w:rPr>
        <w:t xml:space="preserve"> </w:t>
      </w:r>
      <w:r>
        <w:t>The</w:t>
      </w:r>
      <w:r>
        <w:rPr>
          <w:spacing w:val="-14"/>
        </w:rPr>
        <w:t xml:space="preserve"> </w:t>
      </w:r>
      <w:r>
        <w:t>population</w:t>
      </w:r>
      <w:r>
        <w:rPr>
          <w:spacing w:val="-14"/>
        </w:rPr>
        <w:t xml:space="preserve"> </w:t>
      </w:r>
      <w:r>
        <w:t>and</w:t>
      </w:r>
      <w:r>
        <w:rPr>
          <w:spacing w:val="-14"/>
        </w:rPr>
        <w:t xml:space="preserve"> </w:t>
      </w:r>
      <w:r>
        <w:t>growth</w:t>
      </w:r>
      <w:r>
        <w:rPr>
          <w:spacing w:val="-14"/>
        </w:rPr>
        <w:t xml:space="preserve"> </w:t>
      </w:r>
      <w:r>
        <w:t>in</w:t>
      </w:r>
      <w:r>
        <w:rPr>
          <w:spacing w:val="-14"/>
        </w:rPr>
        <w:t xml:space="preserve"> </w:t>
      </w:r>
      <w:r>
        <w:t>GRP</w:t>
      </w:r>
      <w:r>
        <w:rPr>
          <w:spacing w:val="-14"/>
        </w:rPr>
        <w:t xml:space="preserve"> </w:t>
      </w:r>
      <w:r>
        <w:t xml:space="preserve">in </w:t>
      </w:r>
      <w:r>
        <w:rPr>
          <w:w w:val="95"/>
        </w:rPr>
        <w:t>each</w:t>
      </w:r>
      <w:r>
        <w:rPr>
          <w:spacing w:val="-10"/>
          <w:w w:val="95"/>
        </w:rPr>
        <w:t xml:space="preserve"> </w:t>
      </w:r>
      <w:r>
        <w:rPr>
          <w:w w:val="95"/>
        </w:rPr>
        <w:t>of</w:t>
      </w:r>
      <w:r>
        <w:rPr>
          <w:spacing w:val="-10"/>
          <w:w w:val="95"/>
        </w:rPr>
        <w:t xml:space="preserve"> </w:t>
      </w:r>
      <w:r>
        <w:rPr>
          <w:w w:val="95"/>
        </w:rPr>
        <w:t>the</w:t>
      </w:r>
      <w:r>
        <w:rPr>
          <w:spacing w:val="-10"/>
          <w:w w:val="95"/>
        </w:rPr>
        <w:t xml:space="preserve"> </w:t>
      </w:r>
      <w:r>
        <w:rPr>
          <w:w w:val="95"/>
        </w:rPr>
        <w:t>five</w:t>
      </w:r>
      <w:r>
        <w:rPr>
          <w:spacing w:val="-10"/>
          <w:w w:val="95"/>
        </w:rPr>
        <w:t xml:space="preserve"> </w:t>
      </w:r>
      <w:r>
        <w:rPr>
          <w:w w:val="95"/>
        </w:rPr>
        <w:t>sub-regions</w:t>
      </w:r>
      <w:r>
        <w:rPr>
          <w:spacing w:val="-10"/>
          <w:w w:val="95"/>
        </w:rPr>
        <w:t xml:space="preserve"> </w:t>
      </w:r>
      <w:r>
        <w:rPr>
          <w:w w:val="95"/>
        </w:rPr>
        <w:t>is</w:t>
      </w:r>
      <w:r>
        <w:rPr>
          <w:spacing w:val="-10"/>
          <w:w w:val="95"/>
        </w:rPr>
        <w:t xml:space="preserve"> </w:t>
      </w:r>
      <w:r>
        <w:rPr>
          <w:w w:val="95"/>
        </w:rPr>
        <w:t>summarised</w:t>
      </w:r>
      <w:r>
        <w:rPr>
          <w:spacing w:val="-10"/>
          <w:w w:val="95"/>
        </w:rPr>
        <w:t xml:space="preserve"> </w:t>
      </w:r>
      <w:r>
        <w:rPr>
          <w:w w:val="95"/>
        </w:rPr>
        <w:t>in</w:t>
      </w:r>
      <w:r>
        <w:rPr>
          <w:spacing w:val="-10"/>
          <w:w w:val="95"/>
        </w:rPr>
        <w:t xml:space="preserve"> </w:t>
      </w:r>
      <w:r>
        <w:rPr>
          <w:w w:val="95"/>
        </w:rPr>
        <w:t>Table</w:t>
      </w:r>
      <w:r>
        <w:rPr>
          <w:spacing w:val="-10"/>
          <w:w w:val="95"/>
        </w:rPr>
        <w:t xml:space="preserve"> </w:t>
      </w:r>
      <w:r>
        <w:rPr>
          <w:w w:val="95"/>
        </w:rPr>
        <w:t>5.2:</w:t>
      </w:r>
    </w:p>
    <w:p w:rsidR="002C1123" w:rsidRDefault="00F22F94">
      <w:pPr>
        <w:spacing w:before="110"/>
        <w:ind w:left="257"/>
        <w:rPr>
          <w:sz w:val="14"/>
        </w:rPr>
      </w:pPr>
      <w:r>
        <w:br w:type="column"/>
      </w:r>
      <w:r>
        <w:rPr>
          <w:w w:val="95"/>
          <w:sz w:val="14"/>
        </w:rPr>
        <w:t>Source:</w:t>
      </w:r>
      <w:r>
        <w:rPr>
          <w:spacing w:val="5"/>
          <w:sz w:val="14"/>
        </w:rPr>
        <w:t xml:space="preserve"> </w:t>
      </w:r>
      <w:r>
        <w:rPr>
          <w:w w:val="95"/>
          <w:sz w:val="14"/>
        </w:rPr>
        <w:t>Deloitte</w:t>
      </w:r>
      <w:r>
        <w:rPr>
          <w:spacing w:val="5"/>
          <w:sz w:val="14"/>
        </w:rPr>
        <w:t xml:space="preserve"> </w:t>
      </w:r>
      <w:r>
        <w:rPr>
          <w:w w:val="95"/>
          <w:sz w:val="14"/>
        </w:rPr>
        <w:t>Access</w:t>
      </w:r>
      <w:r>
        <w:rPr>
          <w:spacing w:val="5"/>
          <w:sz w:val="14"/>
        </w:rPr>
        <w:t xml:space="preserve"> </w:t>
      </w:r>
      <w:r>
        <w:rPr>
          <w:spacing w:val="-2"/>
          <w:w w:val="95"/>
          <w:sz w:val="14"/>
        </w:rPr>
        <w:t>Economics.</w:t>
      </w:r>
    </w:p>
    <w:p w:rsidR="002C1123" w:rsidRDefault="002C1123">
      <w:pPr>
        <w:pStyle w:val="BodyText"/>
        <w:spacing w:before="1"/>
        <w:rPr>
          <w:sz w:val="22"/>
        </w:rPr>
      </w:pPr>
    </w:p>
    <w:p w:rsidR="002C1123" w:rsidRDefault="00F22F94">
      <w:pPr>
        <w:pStyle w:val="BodyText"/>
        <w:ind w:left="257"/>
      </w:pPr>
      <w:r>
        <w:rPr>
          <w:w w:val="95"/>
        </w:rPr>
        <w:t>Deloitte</w:t>
      </w:r>
      <w:r>
        <w:t xml:space="preserve"> </w:t>
      </w:r>
      <w:r>
        <w:rPr>
          <w:w w:val="95"/>
        </w:rPr>
        <w:t>Access</w:t>
      </w:r>
      <w:r>
        <w:t xml:space="preserve"> </w:t>
      </w:r>
      <w:r>
        <w:rPr>
          <w:w w:val="95"/>
        </w:rPr>
        <w:t>Economics</w:t>
      </w:r>
      <w:r>
        <w:t xml:space="preserve"> </w:t>
      </w:r>
      <w:r>
        <w:rPr>
          <w:w w:val="95"/>
        </w:rPr>
        <w:t>report</w:t>
      </w:r>
      <w:r>
        <w:rPr>
          <w:w w:val="95"/>
          <w:position w:val="7"/>
          <w:sz w:val="11"/>
        </w:rPr>
        <w:t>4</w:t>
      </w:r>
      <w:r>
        <w:rPr>
          <w:spacing w:val="25"/>
          <w:position w:val="7"/>
          <w:sz w:val="11"/>
        </w:rPr>
        <w:t xml:space="preserve"> </w:t>
      </w:r>
      <w:r>
        <w:rPr>
          <w:spacing w:val="-4"/>
          <w:w w:val="95"/>
        </w:rPr>
        <w:t>that:</w:t>
      </w:r>
    </w:p>
    <w:p w:rsidR="002C1123" w:rsidRDefault="00F22F94">
      <w:pPr>
        <w:pStyle w:val="ListParagraph"/>
        <w:numPr>
          <w:ilvl w:val="0"/>
          <w:numId w:val="100"/>
        </w:numPr>
        <w:tabs>
          <w:tab w:val="left" w:pos="541"/>
        </w:tabs>
        <w:spacing w:before="140" w:line="249" w:lineRule="auto"/>
        <w:ind w:left="540"/>
        <w:rPr>
          <w:sz w:val="20"/>
        </w:rPr>
      </w:pPr>
      <w:r>
        <w:rPr>
          <w:sz w:val="20"/>
        </w:rPr>
        <w:t>The</w:t>
      </w:r>
      <w:r>
        <w:rPr>
          <w:spacing w:val="-10"/>
          <w:sz w:val="20"/>
        </w:rPr>
        <w:t xml:space="preserve"> </w:t>
      </w:r>
      <w:r>
        <w:rPr>
          <w:sz w:val="20"/>
        </w:rPr>
        <w:t>main</w:t>
      </w:r>
      <w:r>
        <w:rPr>
          <w:spacing w:val="-10"/>
          <w:sz w:val="20"/>
        </w:rPr>
        <w:t xml:space="preserve"> </w:t>
      </w:r>
      <w:r>
        <w:rPr>
          <w:sz w:val="20"/>
        </w:rPr>
        <w:t>factor</w:t>
      </w:r>
      <w:r>
        <w:rPr>
          <w:spacing w:val="-10"/>
          <w:sz w:val="20"/>
        </w:rPr>
        <w:t xml:space="preserve"> </w:t>
      </w:r>
      <w:r>
        <w:rPr>
          <w:sz w:val="20"/>
        </w:rPr>
        <w:t>affecting</w:t>
      </w:r>
      <w:r>
        <w:rPr>
          <w:spacing w:val="-10"/>
          <w:sz w:val="20"/>
        </w:rPr>
        <w:t xml:space="preserve"> </w:t>
      </w:r>
      <w:r>
        <w:rPr>
          <w:sz w:val="20"/>
        </w:rPr>
        <w:t>the</w:t>
      </w:r>
      <w:r>
        <w:rPr>
          <w:spacing w:val="-10"/>
          <w:sz w:val="20"/>
        </w:rPr>
        <w:t xml:space="preserve"> </w:t>
      </w:r>
      <w:r>
        <w:rPr>
          <w:sz w:val="20"/>
        </w:rPr>
        <w:t>Murray</w:t>
      </w:r>
      <w:r>
        <w:rPr>
          <w:spacing w:val="-10"/>
          <w:sz w:val="20"/>
        </w:rPr>
        <w:t xml:space="preserve"> </w:t>
      </w:r>
      <w:r>
        <w:rPr>
          <w:sz w:val="20"/>
        </w:rPr>
        <w:t>sub-region, agriculture</w:t>
      </w:r>
      <w:r>
        <w:rPr>
          <w:spacing w:val="-14"/>
          <w:sz w:val="20"/>
        </w:rPr>
        <w:t xml:space="preserve"> </w:t>
      </w:r>
      <w:r>
        <w:rPr>
          <w:sz w:val="20"/>
        </w:rPr>
        <w:t>in</w:t>
      </w:r>
      <w:r>
        <w:rPr>
          <w:spacing w:val="-14"/>
          <w:sz w:val="20"/>
        </w:rPr>
        <w:t xml:space="preserve"> </w:t>
      </w:r>
      <w:r>
        <w:rPr>
          <w:sz w:val="20"/>
        </w:rPr>
        <w:t>Inland</w:t>
      </w:r>
      <w:r>
        <w:rPr>
          <w:spacing w:val="-14"/>
          <w:sz w:val="20"/>
        </w:rPr>
        <w:t xml:space="preserve"> </w:t>
      </w:r>
      <w:r>
        <w:rPr>
          <w:sz w:val="20"/>
        </w:rPr>
        <w:t>NSW</w:t>
      </w:r>
      <w:r>
        <w:rPr>
          <w:spacing w:val="-14"/>
          <w:sz w:val="20"/>
        </w:rPr>
        <w:t xml:space="preserve"> </w:t>
      </w:r>
      <w:r>
        <w:rPr>
          <w:sz w:val="20"/>
        </w:rPr>
        <w:t>and</w:t>
      </w:r>
      <w:r>
        <w:rPr>
          <w:spacing w:val="-14"/>
          <w:sz w:val="20"/>
        </w:rPr>
        <w:t xml:space="preserve"> </w:t>
      </w:r>
      <w:r>
        <w:rPr>
          <w:sz w:val="20"/>
        </w:rPr>
        <w:t>overall</w:t>
      </w:r>
      <w:r>
        <w:rPr>
          <w:spacing w:val="-14"/>
          <w:sz w:val="20"/>
        </w:rPr>
        <w:t xml:space="preserve"> </w:t>
      </w:r>
      <w:r>
        <w:rPr>
          <w:sz w:val="20"/>
        </w:rPr>
        <w:t xml:space="preserve">regional </w:t>
      </w:r>
      <w:r>
        <w:rPr>
          <w:w w:val="95"/>
          <w:sz w:val="20"/>
        </w:rPr>
        <w:t>economic and population growth in coming years will be</w:t>
      </w:r>
      <w:r>
        <w:rPr>
          <w:spacing w:val="-5"/>
          <w:w w:val="95"/>
          <w:sz w:val="20"/>
        </w:rPr>
        <w:t xml:space="preserve"> </w:t>
      </w:r>
      <w:r>
        <w:rPr>
          <w:w w:val="95"/>
          <w:sz w:val="20"/>
        </w:rPr>
        <w:t>decisions</w:t>
      </w:r>
      <w:r>
        <w:rPr>
          <w:spacing w:val="-5"/>
          <w:w w:val="95"/>
          <w:sz w:val="20"/>
        </w:rPr>
        <w:t xml:space="preserve"> </w:t>
      </w:r>
      <w:r>
        <w:rPr>
          <w:w w:val="95"/>
          <w:sz w:val="20"/>
        </w:rPr>
        <w:t>over</w:t>
      </w:r>
      <w:r>
        <w:rPr>
          <w:spacing w:val="-5"/>
          <w:w w:val="95"/>
          <w:sz w:val="20"/>
        </w:rPr>
        <w:t xml:space="preserve"> </w:t>
      </w:r>
      <w:r>
        <w:rPr>
          <w:w w:val="95"/>
          <w:sz w:val="20"/>
        </w:rPr>
        <w:t>water</w:t>
      </w:r>
      <w:r>
        <w:rPr>
          <w:spacing w:val="-5"/>
          <w:w w:val="95"/>
          <w:sz w:val="20"/>
        </w:rPr>
        <w:t xml:space="preserve"> </w:t>
      </w:r>
      <w:r>
        <w:rPr>
          <w:w w:val="95"/>
          <w:sz w:val="20"/>
        </w:rPr>
        <w:t>entitlements</w:t>
      </w:r>
      <w:r>
        <w:rPr>
          <w:spacing w:val="-5"/>
          <w:w w:val="95"/>
          <w:sz w:val="20"/>
        </w:rPr>
        <w:t xml:space="preserve"> </w:t>
      </w:r>
      <w:r>
        <w:rPr>
          <w:w w:val="95"/>
          <w:sz w:val="20"/>
        </w:rPr>
        <w:t>and</w:t>
      </w:r>
      <w:r>
        <w:rPr>
          <w:spacing w:val="-5"/>
          <w:w w:val="95"/>
          <w:sz w:val="20"/>
        </w:rPr>
        <w:t xml:space="preserve"> </w:t>
      </w:r>
      <w:r>
        <w:rPr>
          <w:w w:val="95"/>
          <w:sz w:val="20"/>
        </w:rPr>
        <w:t>allowances.</w:t>
      </w:r>
    </w:p>
    <w:p w:rsidR="002C1123" w:rsidRDefault="00F22F94">
      <w:pPr>
        <w:pStyle w:val="ListParagraph"/>
        <w:numPr>
          <w:ilvl w:val="0"/>
          <w:numId w:val="100"/>
        </w:numPr>
        <w:tabs>
          <w:tab w:val="left" w:pos="541"/>
        </w:tabs>
        <w:spacing w:before="103" w:line="249" w:lineRule="auto"/>
        <w:ind w:left="540" w:right="99"/>
        <w:rPr>
          <w:sz w:val="20"/>
        </w:rPr>
      </w:pPr>
      <w:r>
        <w:rPr>
          <w:sz w:val="20"/>
        </w:rPr>
        <w:t>The</w:t>
      </w:r>
      <w:r>
        <w:rPr>
          <w:spacing w:val="-7"/>
          <w:sz w:val="20"/>
        </w:rPr>
        <w:t xml:space="preserve"> </w:t>
      </w:r>
      <w:r>
        <w:rPr>
          <w:sz w:val="20"/>
        </w:rPr>
        <w:t>long</w:t>
      </w:r>
      <w:r>
        <w:rPr>
          <w:spacing w:val="-7"/>
          <w:sz w:val="20"/>
        </w:rPr>
        <w:t xml:space="preserve"> </w:t>
      </w:r>
      <w:r>
        <w:rPr>
          <w:sz w:val="20"/>
        </w:rPr>
        <w:t>drought</w:t>
      </w:r>
      <w:r>
        <w:rPr>
          <w:spacing w:val="-7"/>
          <w:sz w:val="20"/>
        </w:rPr>
        <w:t xml:space="preserve"> </w:t>
      </w:r>
      <w:r>
        <w:rPr>
          <w:sz w:val="20"/>
        </w:rPr>
        <w:t>has</w:t>
      </w:r>
      <w:r>
        <w:rPr>
          <w:spacing w:val="-7"/>
          <w:sz w:val="20"/>
        </w:rPr>
        <w:t xml:space="preserve"> </w:t>
      </w:r>
      <w:r>
        <w:rPr>
          <w:sz w:val="20"/>
        </w:rPr>
        <w:t>had</w:t>
      </w:r>
      <w:r>
        <w:rPr>
          <w:spacing w:val="-7"/>
          <w:sz w:val="20"/>
        </w:rPr>
        <w:t xml:space="preserve"> </w:t>
      </w:r>
      <w:r>
        <w:rPr>
          <w:sz w:val="20"/>
        </w:rPr>
        <w:t>an</w:t>
      </w:r>
      <w:r>
        <w:rPr>
          <w:spacing w:val="-7"/>
          <w:sz w:val="20"/>
        </w:rPr>
        <w:t xml:space="preserve"> </w:t>
      </w:r>
      <w:r>
        <w:rPr>
          <w:sz w:val="20"/>
        </w:rPr>
        <w:t>impact</w:t>
      </w:r>
      <w:r>
        <w:rPr>
          <w:spacing w:val="-7"/>
          <w:sz w:val="20"/>
        </w:rPr>
        <w:t xml:space="preserve"> </w:t>
      </w:r>
      <w:r>
        <w:rPr>
          <w:sz w:val="20"/>
        </w:rPr>
        <w:t>on</w:t>
      </w:r>
      <w:r>
        <w:rPr>
          <w:spacing w:val="-7"/>
          <w:sz w:val="20"/>
        </w:rPr>
        <w:t xml:space="preserve"> </w:t>
      </w:r>
      <w:r>
        <w:rPr>
          <w:sz w:val="20"/>
        </w:rPr>
        <w:t>forecasts and</w:t>
      </w:r>
      <w:r>
        <w:rPr>
          <w:spacing w:val="-3"/>
          <w:sz w:val="20"/>
        </w:rPr>
        <w:t xml:space="preserve"> </w:t>
      </w:r>
      <w:r>
        <w:rPr>
          <w:sz w:val="20"/>
        </w:rPr>
        <w:t>the</w:t>
      </w:r>
      <w:r>
        <w:rPr>
          <w:spacing w:val="-3"/>
          <w:sz w:val="20"/>
        </w:rPr>
        <w:t xml:space="preserve"> </w:t>
      </w:r>
      <w:r>
        <w:rPr>
          <w:sz w:val="20"/>
        </w:rPr>
        <w:t>population</w:t>
      </w:r>
      <w:r>
        <w:rPr>
          <w:spacing w:val="-3"/>
          <w:sz w:val="20"/>
        </w:rPr>
        <w:t xml:space="preserve"> </w:t>
      </w:r>
      <w:r>
        <w:rPr>
          <w:sz w:val="20"/>
        </w:rPr>
        <w:t>outcomes</w:t>
      </w:r>
      <w:r>
        <w:rPr>
          <w:spacing w:val="-3"/>
          <w:sz w:val="20"/>
        </w:rPr>
        <w:t xml:space="preserve"> </w:t>
      </w:r>
      <w:r>
        <w:rPr>
          <w:sz w:val="20"/>
        </w:rPr>
        <w:t>and</w:t>
      </w:r>
      <w:r>
        <w:rPr>
          <w:spacing w:val="-3"/>
          <w:sz w:val="20"/>
        </w:rPr>
        <w:t xml:space="preserve"> </w:t>
      </w:r>
      <w:r>
        <w:rPr>
          <w:sz w:val="20"/>
        </w:rPr>
        <w:t>movements</w:t>
      </w:r>
      <w:r>
        <w:rPr>
          <w:spacing w:val="-3"/>
          <w:sz w:val="20"/>
        </w:rPr>
        <w:t xml:space="preserve"> </w:t>
      </w:r>
      <w:r>
        <w:rPr>
          <w:sz w:val="20"/>
        </w:rPr>
        <w:t xml:space="preserve">of </w:t>
      </w:r>
      <w:r>
        <w:rPr>
          <w:w w:val="95"/>
          <w:sz w:val="20"/>
        </w:rPr>
        <w:t>people</w:t>
      </w:r>
      <w:r>
        <w:rPr>
          <w:spacing w:val="-3"/>
          <w:w w:val="95"/>
          <w:sz w:val="20"/>
        </w:rPr>
        <w:t xml:space="preserve"> </w:t>
      </w:r>
      <w:r>
        <w:rPr>
          <w:w w:val="95"/>
          <w:sz w:val="20"/>
        </w:rPr>
        <w:t>throughout</w:t>
      </w:r>
      <w:r>
        <w:rPr>
          <w:spacing w:val="-3"/>
          <w:w w:val="95"/>
          <w:sz w:val="20"/>
        </w:rPr>
        <w:t xml:space="preserve"> </w:t>
      </w:r>
      <w:r>
        <w:rPr>
          <w:w w:val="95"/>
          <w:sz w:val="20"/>
        </w:rPr>
        <w:t>regional</w:t>
      </w:r>
      <w:r>
        <w:rPr>
          <w:spacing w:val="-3"/>
          <w:w w:val="95"/>
          <w:sz w:val="20"/>
        </w:rPr>
        <w:t xml:space="preserve"> </w:t>
      </w:r>
      <w:r>
        <w:rPr>
          <w:w w:val="95"/>
          <w:sz w:val="20"/>
        </w:rPr>
        <w:t>NSW</w:t>
      </w:r>
      <w:r>
        <w:rPr>
          <w:spacing w:val="-3"/>
          <w:w w:val="95"/>
          <w:sz w:val="20"/>
        </w:rPr>
        <w:t xml:space="preserve"> </w:t>
      </w:r>
      <w:r>
        <w:rPr>
          <w:w w:val="95"/>
          <w:sz w:val="20"/>
        </w:rPr>
        <w:t>may</w:t>
      </w:r>
      <w:r>
        <w:rPr>
          <w:spacing w:val="-3"/>
          <w:w w:val="95"/>
          <w:sz w:val="20"/>
        </w:rPr>
        <w:t xml:space="preserve"> </w:t>
      </w:r>
      <w:r>
        <w:rPr>
          <w:w w:val="95"/>
          <w:sz w:val="20"/>
        </w:rPr>
        <w:t>be</w:t>
      </w:r>
      <w:r>
        <w:rPr>
          <w:spacing w:val="-3"/>
          <w:w w:val="95"/>
          <w:sz w:val="20"/>
        </w:rPr>
        <w:t xml:space="preserve"> </w:t>
      </w:r>
      <w:r>
        <w:rPr>
          <w:w w:val="95"/>
          <w:sz w:val="20"/>
        </w:rPr>
        <w:t>different</w:t>
      </w:r>
      <w:r>
        <w:rPr>
          <w:spacing w:val="-3"/>
          <w:w w:val="95"/>
          <w:sz w:val="20"/>
        </w:rPr>
        <w:t xml:space="preserve"> </w:t>
      </w:r>
      <w:r>
        <w:rPr>
          <w:w w:val="95"/>
          <w:sz w:val="20"/>
        </w:rPr>
        <w:t xml:space="preserve">to the forecasts due to changes in weather conditions, </w:t>
      </w:r>
      <w:r>
        <w:rPr>
          <w:sz w:val="20"/>
        </w:rPr>
        <w:t>changes</w:t>
      </w:r>
      <w:r>
        <w:rPr>
          <w:spacing w:val="-7"/>
          <w:sz w:val="20"/>
        </w:rPr>
        <w:t xml:space="preserve"> </w:t>
      </w:r>
      <w:r>
        <w:rPr>
          <w:sz w:val="20"/>
        </w:rPr>
        <w:t>in</w:t>
      </w:r>
      <w:r>
        <w:rPr>
          <w:spacing w:val="-7"/>
          <w:sz w:val="20"/>
        </w:rPr>
        <w:t xml:space="preserve"> </w:t>
      </w:r>
      <w:r>
        <w:rPr>
          <w:sz w:val="20"/>
        </w:rPr>
        <w:t>the</w:t>
      </w:r>
      <w:r>
        <w:rPr>
          <w:spacing w:val="-7"/>
          <w:sz w:val="20"/>
        </w:rPr>
        <w:t xml:space="preserve"> </w:t>
      </w:r>
      <w:r>
        <w:rPr>
          <w:sz w:val="20"/>
        </w:rPr>
        <w:t>terms</w:t>
      </w:r>
      <w:r>
        <w:rPr>
          <w:spacing w:val="-7"/>
          <w:sz w:val="20"/>
        </w:rPr>
        <w:t xml:space="preserve"> </w:t>
      </w:r>
      <w:r>
        <w:rPr>
          <w:sz w:val="20"/>
        </w:rPr>
        <w:t>of</w:t>
      </w:r>
      <w:r>
        <w:rPr>
          <w:spacing w:val="-7"/>
          <w:sz w:val="20"/>
        </w:rPr>
        <w:t xml:space="preserve"> </w:t>
      </w:r>
      <w:r>
        <w:rPr>
          <w:sz w:val="20"/>
        </w:rPr>
        <w:t>trade,</w:t>
      </w:r>
      <w:r>
        <w:rPr>
          <w:spacing w:val="-7"/>
          <w:sz w:val="20"/>
        </w:rPr>
        <w:t xml:space="preserve"> </w:t>
      </w:r>
      <w:r>
        <w:rPr>
          <w:sz w:val="20"/>
        </w:rPr>
        <w:t>the</w:t>
      </w:r>
      <w:r>
        <w:rPr>
          <w:spacing w:val="-7"/>
          <w:sz w:val="20"/>
        </w:rPr>
        <w:t xml:space="preserve"> </w:t>
      </w:r>
      <w:r>
        <w:rPr>
          <w:sz w:val="20"/>
        </w:rPr>
        <w:t>demand</w:t>
      </w:r>
      <w:r>
        <w:rPr>
          <w:spacing w:val="-7"/>
          <w:sz w:val="20"/>
        </w:rPr>
        <w:t xml:space="preserve"> </w:t>
      </w:r>
      <w:r>
        <w:rPr>
          <w:sz w:val="20"/>
        </w:rPr>
        <w:t xml:space="preserve">for </w:t>
      </w:r>
      <w:r>
        <w:rPr>
          <w:w w:val="95"/>
          <w:sz w:val="20"/>
        </w:rPr>
        <w:t xml:space="preserve">resources and agriculture products, and the impact </w:t>
      </w:r>
      <w:r>
        <w:rPr>
          <w:sz w:val="20"/>
        </w:rPr>
        <w:t>of new policies.</w:t>
      </w:r>
    </w:p>
    <w:p w:rsidR="002C1123" w:rsidRDefault="00F22F94">
      <w:pPr>
        <w:pStyle w:val="BodyText"/>
        <w:spacing w:before="6" w:line="249" w:lineRule="auto"/>
        <w:ind w:left="485" w:right="974"/>
      </w:pPr>
      <w:r>
        <w:br w:type="column"/>
      </w:r>
      <w:r>
        <w:rPr>
          <w:w w:val="95"/>
        </w:rPr>
        <w:t>the</w:t>
      </w:r>
      <w:r>
        <w:rPr>
          <w:spacing w:val="-1"/>
          <w:w w:val="95"/>
        </w:rPr>
        <w:t xml:space="preserve"> </w:t>
      </w:r>
      <w:r>
        <w:rPr>
          <w:w w:val="95"/>
        </w:rPr>
        <w:t>next</w:t>
      </w:r>
      <w:r>
        <w:rPr>
          <w:spacing w:val="-1"/>
          <w:w w:val="95"/>
        </w:rPr>
        <w:t xml:space="preserve"> </w:t>
      </w:r>
      <w:r>
        <w:rPr>
          <w:w w:val="95"/>
        </w:rPr>
        <w:t>two</w:t>
      </w:r>
      <w:r>
        <w:rPr>
          <w:spacing w:val="-1"/>
          <w:w w:val="95"/>
        </w:rPr>
        <w:t xml:space="preserve"> </w:t>
      </w:r>
      <w:r>
        <w:rPr>
          <w:w w:val="95"/>
        </w:rPr>
        <w:t>decades,</w:t>
      </w:r>
      <w:r>
        <w:rPr>
          <w:spacing w:val="-1"/>
          <w:w w:val="95"/>
        </w:rPr>
        <w:t xml:space="preserve"> </w:t>
      </w:r>
      <w:r>
        <w:rPr>
          <w:w w:val="95"/>
        </w:rPr>
        <w:t>with</w:t>
      </w:r>
      <w:r>
        <w:rPr>
          <w:spacing w:val="-1"/>
          <w:w w:val="95"/>
        </w:rPr>
        <w:t xml:space="preserve"> </w:t>
      </w:r>
      <w:r>
        <w:rPr>
          <w:w w:val="95"/>
        </w:rPr>
        <w:t>a</w:t>
      </w:r>
      <w:r>
        <w:rPr>
          <w:spacing w:val="-1"/>
          <w:w w:val="95"/>
        </w:rPr>
        <w:t xml:space="preserve"> </w:t>
      </w:r>
      <w:r>
        <w:rPr>
          <w:w w:val="95"/>
        </w:rPr>
        <w:t>big</w:t>
      </w:r>
      <w:r>
        <w:rPr>
          <w:spacing w:val="-1"/>
          <w:w w:val="95"/>
        </w:rPr>
        <w:t xml:space="preserve"> </w:t>
      </w:r>
      <w:r>
        <w:rPr>
          <w:w w:val="95"/>
        </w:rPr>
        <w:t>shift</w:t>
      </w:r>
      <w:r>
        <w:rPr>
          <w:spacing w:val="-1"/>
          <w:w w:val="95"/>
        </w:rPr>
        <w:t xml:space="preserve"> </w:t>
      </w:r>
      <w:r>
        <w:rPr>
          <w:w w:val="95"/>
        </w:rPr>
        <w:t>away</w:t>
      </w:r>
      <w:r>
        <w:rPr>
          <w:spacing w:val="-1"/>
          <w:w w:val="95"/>
        </w:rPr>
        <w:t xml:space="preserve"> </w:t>
      </w:r>
      <w:r>
        <w:rPr>
          <w:w w:val="95"/>
        </w:rPr>
        <w:t xml:space="preserve">from </w:t>
      </w:r>
      <w:r>
        <w:t xml:space="preserve">manufacturing. Sectors with strongest growth </w:t>
      </w:r>
      <w:r>
        <w:rPr>
          <w:w w:val="95"/>
        </w:rPr>
        <w:t>are</w:t>
      </w:r>
      <w:r>
        <w:rPr>
          <w:spacing w:val="-8"/>
          <w:w w:val="95"/>
        </w:rPr>
        <w:t xml:space="preserve"> </w:t>
      </w:r>
      <w:r>
        <w:rPr>
          <w:w w:val="95"/>
        </w:rPr>
        <w:t>expected</w:t>
      </w:r>
      <w:r>
        <w:rPr>
          <w:spacing w:val="-8"/>
          <w:w w:val="95"/>
        </w:rPr>
        <w:t xml:space="preserve"> </w:t>
      </w:r>
      <w:r>
        <w:rPr>
          <w:w w:val="95"/>
        </w:rPr>
        <w:t>to</w:t>
      </w:r>
      <w:r>
        <w:rPr>
          <w:spacing w:val="-8"/>
          <w:w w:val="95"/>
        </w:rPr>
        <w:t xml:space="preserve"> </w:t>
      </w:r>
      <w:r>
        <w:rPr>
          <w:w w:val="95"/>
        </w:rPr>
        <w:t>be</w:t>
      </w:r>
      <w:r>
        <w:rPr>
          <w:spacing w:val="-8"/>
          <w:w w:val="95"/>
        </w:rPr>
        <w:t xml:space="preserve"> </w:t>
      </w:r>
      <w:r>
        <w:rPr>
          <w:w w:val="95"/>
        </w:rPr>
        <w:t>mining</w:t>
      </w:r>
      <w:r>
        <w:rPr>
          <w:spacing w:val="-8"/>
          <w:w w:val="95"/>
        </w:rPr>
        <w:t xml:space="preserve"> </w:t>
      </w:r>
      <w:r>
        <w:rPr>
          <w:w w:val="95"/>
        </w:rPr>
        <w:t>(particularly</w:t>
      </w:r>
      <w:r>
        <w:rPr>
          <w:spacing w:val="-8"/>
          <w:w w:val="95"/>
        </w:rPr>
        <w:t xml:space="preserve"> </w:t>
      </w:r>
      <w:r>
        <w:rPr>
          <w:w w:val="95"/>
        </w:rPr>
        <w:t>in</w:t>
      </w:r>
      <w:r>
        <w:rPr>
          <w:spacing w:val="-8"/>
          <w:w w:val="95"/>
        </w:rPr>
        <w:t xml:space="preserve"> </w:t>
      </w:r>
      <w:r>
        <w:rPr>
          <w:w w:val="95"/>
        </w:rPr>
        <w:t>the</w:t>
      </w:r>
      <w:r>
        <w:rPr>
          <w:spacing w:val="-8"/>
          <w:w w:val="95"/>
        </w:rPr>
        <w:t xml:space="preserve"> </w:t>
      </w:r>
      <w:r>
        <w:rPr>
          <w:w w:val="95"/>
        </w:rPr>
        <w:t xml:space="preserve">first </w:t>
      </w:r>
      <w:r>
        <w:t>decade),</w:t>
      </w:r>
      <w:r>
        <w:rPr>
          <w:spacing w:val="-5"/>
        </w:rPr>
        <w:t xml:space="preserve"> </w:t>
      </w:r>
      <w:r>
        <w:t>health</w:t>
      </w:r>
      <w:r>
        <w:rPr>
          <w:spacing w:val="-5"/>
        </w:rPr>
        <w:t xml:space="preserve"> </w:t>
      </w:r>
      <w:r>
        <w:t>and</w:t>
      </w:r>
      <w:r>
        <w:rPr>
          <w:spacing w:val="-5"/>
        </w:rPr>
        <w:t xml:space="preserve"> </w:t>
      </w:r>
      <w:r>
        <w:t>social</w:t>
      </w:r>
      <w:r>
        <w:rPr>
          <w:spacing w:val="-5"/>
        </w:rPr>
        <w:t xml:space="preserve"> </w:t>
      </w:r>
      <w:r>
        <w:t>services.</w:t>
      </w:r>
    </w:p>
    <w:p w:rsidR="002C1123" w:rsidRDefault="002C1123">
      <w:pPr>
        <w:pStyle w:val="BodyText"/>
        <w:spacing w:before="8"/>
        <w:rPr>
          <w:sz w:val="22"/>
        </w:rPr>
      </w:pPr>
    </w:p>
    <w:p w:rsidR="002C1123" w:rsidRDefault="00F22F94">
      <w:pPr>
        <w:pStyle w:val="Heading5"/>
        <w:numPr>
          <w:ilvl w:val="1"/>
          <w:numId w:val="103"/>
        </w:numPr>
        <w:tabs>
          <w:tab w:val="left" w:pos="651"/>
        </w:tabs>
        <w:spacing w:before="0" w:line="223" w:lineRule="auto"/>
        <w:ind w:left="650" w:right="1780"/>
        <w:jc w:val="left"/>
      </w:pPr>
      <w:r>
        <w:rPr>
          <w:color w:val="EC008C"/>
          <w:spacing w:val="-6"/>
        </w:rPr>
        <w:t>Infrastructure</w:t>
      </w:r>
      <w:r>
        <w:rPr>
          <w:color w:val="EC008C"/>
          <w:spacing w:val="-11"/>
        </w:rPr>
        <w:t xml:space="preserve"> </w:t>
      </w:r>
      <w:r>
        <w:rPr>
          <w:color w:val="EC008C"/>
          <w:spacing w:val="-6"/>
        </w:rPr>
        <w:t>priorities</w:t>
      </w:r>
      <w:r>
        <w:rPr>
          <w:color w:val="EC008C"/>
          <w:spacing w:val="-11"/>
        </w:rPr>
        <w:t xml:space="preserve"> </w:t>
      </w:r>
      <w:r>
        <w:rPr>
          <w:color w:val="EC008C"/>
          <w:spacing w:val="-6"/>
        </w:rPr>
        <w:t xml:space="preserve">in </w:t>
      </w:r>
      <w:r>
        <w:rPr>
          <w:color w:val="EC008C"/>
        </w:rPr>
        <w:t>Regional NSW</w:t>
      </w:r>
    </w:p>
    <w:p w:rsidR="002C1123" w:rsidRDefault="00F22F94">
      <w:pPr>
        <w:pStyle w:val="BodyText"/>
        <w:spacing w:before="140" w:line="249" w:lineRule="auto"/>
        <w:ind w:left="201" w:right="518"/>
      </w:pPr>
      <w:r>
        <w:rPr>
          <w:w w:val="95"/>
        </w:rPr>
        <w:t xml:space="preserve">The development and future prosperity of metropolitan NSW and Regional NSW are interlinked. Efficiently </w:t>
      </w:r>
      <w:r>
        <w:t>operated</w:t>
      </w:r>
      <w:r>
        <w:rPr>
          <w:spacing w:val="-8"/>
        </w:rPr>
        <w:t xml:space="preserve"> </w:t>
      </w:r>
      <w:r>
        <w:t>and</w:t>
      </w:r>
      <w:r>
        <w:rPr>
          <w:spacing w:val="-8"/>
        </w:rPr>
        <w:t xml:space="preserve"> </w:t>
      </w:r>
      <w:r>
        <w:t>developed</w:t>
      </w:r>
      <w:r>
        <w:rPr>
          <w:spacing w:val="-8"/>
        </w:rPr>
        <w:t xml:space="preserve"> </w:t>
      </w:r>
      <w:r>
        <w:t>metropolitan</w:t>
      </w:r>
      <w:r>
        <w:rPr>
          <w:spacing w:val="-8"/>
        </w:rPr>
        <w:t xml:space="preserve"> </w:t>
      </w:r>
      <w:r>
        <w:t>infrastructure</w:t>
      </w:r>
    </w:p>
    <w:p w:rsidR="002C1123" w:rsidRDefault="00F22F94">
      <w:pPr>
        <w:pStyle w:val="BodyText"/>
        <w:spacing w:before="2" w:line="249" w:lineRule="auto"/>
        <w:ind w:left="201" w:right="569"/>
      </w:pPr>
      <w:r>
        <w:t>is</w:t>
      </w:r>
      <w:r>
        <w:rPr>
          <w:spacing w:val="-14"/>
        </w:rPr>
        <w:t xml:space="preserve"> </w:t>
      </w:r>
      <w:r>
        <w:t>as</w:t>
      </w:r>
      <w:r>
        <w:rPr>
          <w:spacing w:val="-14"/>
        </w:rPr>
        <w:t xml:space="preserve"> </w:t>
      </w:r>
      <w:r>
        <w:t>vital</w:t>
      </w:r>
      <w:r>
        <w:rPr>
          <w:spacing w:val="-14"/>
        </w:rPr>
        <w:t xml:space="preserve"> </w:t>
      </w:r>
      <w:r>
        <w:t>to</w:t>
      </w:r>
      <w:r>
        <w:rPr>
          <w:spacing w:val="-14"/>
        </w:rPr>
        <w:t xml:space="preserve"> </w:t>
      </w:r>
      <w:r>
        <w:t>the</w:t>
      </w:r>
      <w:r>
        <w:rPr>
          <w:spacing w:val="-14"/>
        </w:rPr>
        <w:t xml:space="preserve"> </w:t>
      </w:r>
      <w:r>
        <w:t>regional</w:t>
      </w:r>
      <w:r>
        <w:rPr>
          <w:spacing w:val="-14"/>
        </w:rPr>
        <w:t xml:space="preserve"> </w:t>
      </w:r>
      <w:r>
        <w:t>prosperity</w:t>
      </w:r>
      <w:r>
        <w:rPr>
          <w:spacing w:val="-14"/>
        </w:rPr>
        <w:t xml:space="preserve"> </w:t>
      </w:r>
      <w:r>
        <w:t>and</w:t>
      </w:r>
      <w:r>
        <w:rPr>
          <w:spacing w:val="-14"/>
        </w:rPr>
        <w:t xml:space="preserve"> </w:t>
      </w:r>
      <w:r>
        <w:t>lifestyle</w:t>
      </w:r>
      <w:r>
        <w:rPr>
          <w:spacing w:val="-14"/>
        </w:rPr>
        <w:t xml:space="preserve"> </w:t>
      </w:r>
      <w:r>
        <w:t xml:space="preserve">as </w:t>
      </w:r>
      <w:r>
        <w:rPr>
          <w:w w:val="95"/>
        </w:rPr>
        <w:t xml:space="preserve">specific and focussed regional projects. Each cannot be </w:t>
      </w:r>
      <w:r>
        <w:t>considered</w:t>
      </w:r>
      <w:r>
        <w:rPr>
          <w:spacing w:val="-6"/>
        </w:rPr>
        <w:t xml:space="preserve"> </w:t>
      </w:r>
      <w:r>
        <w:t>in</w:t>
      </w:r>
      <w:r>
        <w:rPr>
          <w:spacing w:val="-6"/>
        </w:rPr>
        <w:t xml:space="preserve"> </w:t>
      </w:r>
      <w:r>
        <w:t>isolation</w:t>
      </w:r>
      <w:r>
        <w:rPr>
          <w:spacing w:val="-6"/>
        </w:rPr>
        <w:t xml:space="preserve"> </w:t>
      </w:r>
      <w:r>
        <w:t>from</w:t>
      </w:r>
      <w:r>
        <w:rPr>
          <w:spacing w:val="-7"/>
        </w:rPr>
        <w:t xml:space="preserve"> </w:t>
      </w:r>
      <w:r>
        <w:t>the</w:t>
      </w:r>
      <w:r>
        <w:rPr>
          <w:spacing w:val="-6"/>
        </w:rPr>
        <w:t xml:space="preserve"> </w:t>
      </w:r>
      <w:r>
        <w:t>other.</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222" w:space="40"/>
            <w:col w:w="5043" w:space="39"/>
            <w:col w:w="5716"/>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23"/>
        </w:rPr>
      </w:pPr>
    </w:p>
    <w:p w:rsidR="002C1123" w:rsidRDefault="002060EF">
      <w:pPr>
        <w:pStyle w:val="BodyText"/>
        <w:spacing w:line="20" w:lineRule="exact"/>
        <w:ind w:left="5518"/>
        <w:rPr>
          <w:sz w:val="2"/>
        </w:rPr>
      </w:pPr>
      <w:r>
        <w:rPr>
          <w:sz w:val="2"/>
        </w:rPr>
      </w:r>
      <w:r>
        <w:rPr>
          <w:sz w:val="2"/>
        </w:rPr>
        <w:pict>
          <v:group id="docshapegroup970" o:spid="_x0000_s4346" style="width:1in;height:.5pt;mso-position-horizontal-relative:char;mso-position-vertical-relative:line" coordsize="1440,10">
            <v:line id="_x0000_s4347" style="position:absolute" from="0,5" to="1440,5" strokecolor="#9c9c9d" strokeweight=".5pt"/>
            <w10:anchorlock/>
          </v:group>
        </w:pict>
      </w:r>
    </w:p>
    <w:p w:rsidR="002C1123" w:rsidRDefault="00F22F94">
      <w:pPr>
        <w:pStyle w:val="ListParagraph"/>
        <w:numPr>
          <w:ilvl w:val="0"/>
          <w:numId w:val="102"/>
        </w:numPr>
        <w:tabs>
          <w:tab w:val="left" w:pos="5718"/>
        </w:tabs>
        <w:spacing w:before="8"/>
        <w:ind w:left="5717" w:right="5781"/>
        <w:jc w:val="left"/>
        <w:rPr>
          <w:sz w:val="14"/>
        </w:rPr>
      </w:pPr>
      <w:r>
        <w:rPr>
          <w:w w:val="95"/>
          <w:sz w:val="14"/>
        </w:rPr>
        <w:t>Deloitte Access Economics 2012, The NSW Economy in 2031-32, Report to</w:t>
      </w:r>
      <w:r>
        <w:rPr>
          <w:spacing w:val="40"/>
          <w:sz w:val="14"/>
        </w:rPr>
        <w:t xml:space="preserve"> </w:t>
      </w:r>
      <w:r>
        <w:rPr>
          <w:sz w:val="14"/>
        </w:rPr>
        <w:t>Infrastructure</w:t>
      </w:r>
      <w:r>
        <w:rPr>
          <w:spacing w:val="-10"/>
          <w:sz w:val="14"/>
        </w:rPr>
        <w:t xml:space="preserve"> </w:t>
      </w:r>
      <w:r>
        <w:rPr>
          <w:sz w:val="14"/>
        </w:rPr>
        <w:t>NSW.</w:t>
      </w:r>
    </w:p>
    <w:p w:rsidR="002C1123" w:rsidRDefault="002C1123">
      <w:pPr>
        <w:rPr>
          <w:sz w:val="14"/>
        </w:rPr>
        <w:sectPr w:rsidR="002C1123">
          <w:type w:val="continuous"/>
          <w:pgSz w:w="16840" w:h="11910" w:orient="landscape"/>
          <w:pgMar w:top="560" w:right="280" w:bottom="280" w:left="500" w:header="0" w:footer="517"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3"/>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Heading6"/>
        <w:numPr>
          <w:ilvl w:val="2"/>
          <w:numId w:val="103"/>
        </w:numPr>
        <w:tabs>
          <w:tab w:val="left" w:pos="979"/>
        </w:tabs>
        <w:ind w:hanging="487"/>
        <w:jc w:val="left"/>
        <w:rPr>
          <w:color w:val="EC008C"/>
        </w:rPr>
      </w:pPr>
      <w:bookmarkStart w:id="138" w:name="_bookmark98"/>
      <w:bookmarkEnd w:id="138"/>
      <w:r>
        <w:rPr>
          <w:color w:val="EC008C"/>
          <w:spacing w:val="-4"/>
        </w:rPr>
        <w:t>Connecting</w:t>
      </w:r>
      <w:r>
        <w:rPr>
          <w:color w:val="EC008C"/>
          <w:spacing w:val="8"/>
        </w:rPr>
        <w:t xml:space="preserve"> </w:t>
      </w:r>
      <w:r>
        <w:rPr>
          <w:color w:val="EC008C"/>
          <w:spacing w:val="-2"/>
        </w:rPr>
        <w:t>people</w:t>
      </w:r>
    </w:p>
    <w:p w:rsidR="002C1123" w:rsidRDefault="00F22F94">
      <w:pPr>
        <w:pStyle w:val="BodyText"/>
        <w:spacing w:before="95" w:line="249" w:lineRule="auto"/>
        <w:ind w:left="492"/>
      </w:pPr>
      <w:r>
        <w:rPr>
          <w:spacing w:val="-2"/>
        </w:rPr>
        <w:t>Every</w:t>
      </w:r>
      <w:r>
        <w:rPr>
          <w:spacing w:val="-12"/>
        </w:rPr>
        <w:t xml:space="preserve"> </w:t>
      </w:r>
      <w:r>
        <w:rPr>
          <w:spacing w:val="-2"/>
        </w:rPr>
        <w:t>day</w:t>
      </w:r>
      <w:r>
        <w:rPr>
          <w:spacing w:val="-12"/>
        </w:rPr>
        <w:t xml:space="preserve"> </w:t>
      </w:r>
      <w:r>
        <w:rPr>
          <w:spacing w:val="-2"/>
        </w:rPr>
        <w:t>in</w:t>
      </w:r>
      <w:r>
        <w:rPr>
          <w:spacing w:val="-12"/>
        </w:rPr>
        <w:t xml:space="preserve"> </w:t>
      </w:r>
      <w:r>
        <w:rPr>
          <w:spacing w:val="-2"/>
        </w:rPr>
        <w:t>Regional</w:t>
      </w:r>
      <w:r>
        <w:rPr>
          <w:spacing w:val="-12"/>
        </w:rPr>
        <w:t xml:space="preserve"> </w:t>
      </w:r>
      <w:r>
        <w:rPr>
          <w:spacing w:val="-2"/>
        </w:rPr>
        <w:t>NSW,</w:t>
      </w:r>
      <w:r>
        <w:rPr>
          <w:spacing w:val="-12"/>
        </w:rPr>
        <w:t xml:space="preserve"> </w:t>
      </w:r>
      <w:r>
        <w:rPr>
          <w:spacing w:val="-2"/>
        </w:rPr>
        <w:t>people</w:t>
      </w:r>
      <w:r>
        <w:rPr>
          <w:spacing w:val="-12"/>
        </w:rPr>
        <w:t xml:space="preserve"> </w:t>
      </w:r>
      <w:r>
        <w:rPr>
          <w:spacing w:val="-2"/>
        </w:rPr>
        <w:t>make</w:t>
      </w:r>
      <w:r>
        <w:rPr>
          <w:spacing w:val="-12"/>
        </w:rPr>
        <w:t xml:space="preserve"> </w:t>
      </w:r>
      <w:r>
        <w:rPr>
          <w:spacing w:val="-2"/>
        </w:rPr>
        <w:t>7.5</w:t>
      </w:r>
      <w:r>
        <w:rPr>
          <w:spacing w:val="-12"/>
        </w:rPr>
        <w:t xml:space="preserve"> </w:t>
      </w:r>
      <w:r>
        <w:rPr>
          <w:spacing w:val="-2"/>
        </w:rPr>
        <w:t xml:space="preserve">million </w:t>
      </w:r>
      <w:r>
        <w:t>trips</w:t>
      </w:r>
      <w:r>
        <w:rPr>
          <w:position w:val="7"/>
          <w:sz w:val="11"/>
        </w:rPr>
        <w:t>5</w:t>
      </w:r>
      <w:r>
        <w:t>.</w:t>
      </w:r>
      <w:r>
        <w:rPr>
          <w:spacing w:val="-10"/>
        </w:rPr>
        <w:t xml:space="preserve"> </w:t>
      </w:r>
      <w:r>
        <w:t>Connecting</w:t>
      </w:r>
      <w:r>
        <w:rPr>
          <w:spacing w:val="-10"/>
        </w:rPr>
        <w:t xml:space="preserve"> </w:t>
      </w:r>
      <w:r>
        <w:t>people</w:t>
      </w:r>
      <w:r>
        <w:rPr>
          <w:spacing w:val="-10"/>
        </w:rPr>
        <w:t xml:space="preserve"> </w:t>
      </w:r>
      <w:r>
        <w:t>efficiently</w:t>
      </w:r>
      <w:r>
        <w:rPr>
          <w:spacing w:val="-10"/>
        </w:rPr>
        <w:t xml:space="preserve"> </w:t>
      </w:r>
      <w:r>
        <w:t>is</w:t>
      </w:r>
      <w:r>
        <w:rPr>
          <w:spacing w:val="-10"/>
        </w:rPr>
        <w:t xml:space="preserve"> </w:t>
      </w:r>
      <w:r>
        <w:t>central</w:t>
      </w:r>
      <w:r>
        <w:rPr>
          <w:spacing w:val="-10"/>
        </w:rPr>
        <w:t xml:space="preserve"> </w:t>
      </w:r>
      <w:r>
        <w:t>to</w:t>
      </w:r>
      <w:r>
        <w:rPr>
          <w:spacing w:val="-10"/>
        </w:rPr>
        <w:t xml:space="preserve"> </w:t>
      </w:r>
      <w:r>
        <w:t xml:space="preserve">the </w:t>
      </w:r>
      <w:r>
        <w:rPr>
          <w:w w:val="95"/>
        </w:rPr>
        <w:t xml:space="preserve">economic and social well-being of regional communities, </w:t>
      </w:r>
      <w:r>
        <w:t>businesses and individuals.</w:t>
      </w:r>
    </w:p>
    <w:p w:rsidR="002C1123" w:rsidRDefault="00F22F94">
      <w:pPr>
        <w:pStyle w:val="BodyText"/>
        <w:spacing w:before="145" w:line="249" w:lineRule="auto"/>
        <w:ind w:left="492" w:right="217"/>
      </w:pPr>
      <w:r>
        <w:rPr>
          <w:w w:val="95"/>
        </w:rPr>
        <w:t>With</w:t>
      </w:r>
      <w:r>
        <w:rPr>
          <w:spacing w:val="-7"/>
          <w:w w:val="95"/>
        </w:rPr>
        <w:t xml:space="preserve"> </w:t>
      </w:r>
      <w:r>
        <w:rPr>
          <w:w w:val="95"/>
        </w:rPr>
        <w:t>nine</w:t>
      </w:r>
      <w:r>
        <w:rPr>
          <w:spacing w:val="-7"/>
          <w:w w:val="95"/>
        </w:rPr>
        <w:t xml:space="preserve"> </w:t>
      </w:r>
      <w:r>
        <w:rPr>
          <w:w w:val="95"/>
        </w:rPr>
        <w:t>out</w:t>
      </w:r>
      <w:r>
        <w:rPr>
          <w:spacing w:val="-7"/>
          <w:w w:val="95"/>
        </w:rPr>
        <w:t xml:space="preserve"> </w:t>
      </w:r>
      <w:r>
        <w:rPr>
          <w:w w:val="95"/>
        </w:rPr>
        <w:t>of</w:t>
      </w:r>
      <w:r>
        <w:rPr>
          <w:spacing w:val="-7"/>
          <w:w w:val="95"/>
        </w:rPr>
        <w:t xml:space="preserve"> </w:t>
      </w:r>
      <w:r>
        <w:rPr>
          <w:w w:val="95"/>
        </w:rPr>
        <w:t>ten</w:t>
      </w:r>
      <w:r>
        <w:rPr>
          <w:spacing w:val="-7"/>
          <w:w w:val="95"/>
        </w:rPr>
        <w:t xml:space="preserve"> </w:t>
      </w:r>
      <w:r>
        <w:rPr>
          <w:w w:val="95"/>
        </w:rPr>
        <w:t>regional</w:t>
      </w:r>
      <w:r>
        <w:rPr>
          <w:spacing w:val="-7"/>
          <w:w w:val="95"/>
        </w:rPr>
        <w:t xml:space="preserve"> </w:t>
      </w:r>
      <w:r>
        <w:rPr>
          <w:w w:val="95"/>
        </w:rPr>
        <w:t>passenger</w:t>
      </w:r>
      <w:r>
        <w:rPr>
          <w:spacing w:val="-7"/>
          <w:w w:val="95"/>
        </w:rPr>
        <w:t xml:space="preserve"> </w:t>
      </w:r>
      <w:r>
        <w:rPr>
          <w:w w:val="95"/>
        </w:rPr>
        <w:t>trips</w:t>
      </w:r>
      <w:r>
        <w:rPr>
          <w:spacing w:val="-7"/>
          <w:w w:val="95"/>
        </w:rPr>
        <w:t xml:space="preserve"> </w:t>
      </w:r>
      <w:r>
        <w:rPr>
          <w:w w:val="95"/>
        </w:rPr>
        <w:t>being</w:t>
      </w:r>
      <w:r>
        <w:rPr>
          <w:spacing w:val="-7"/>
          <w:w w:val="95"/>
        </w:rPr>
        <w:t xml:space="preserve"> </w:t>
      </w:r>
      <w:r>
        <w:rPr>
          <w:w w:val="95"/>
        </w:rPr>
        <w:t xml:space="preserve">by </w:t>
      </w:r>
      <w:r>
        <w:t>car</w:t>
      </w:r>
      <w:r>
        <w:rPr>
          <w:position w:val="7"/>
          <w:sz w:val="11"/>
        </w:rPr>
        <w:t>6</w:t>
      </w:r>
      <w:r>
        <w:t>,</w:t>
      </w:r>
      <w:r>
        <w:rPr>
          <w:spacing w:val="-14"/>
        </w:rPr>
        <w:t xml:space="preserve"> </w:t>
      </w:r>
      <w:r>
        <w:t>the</w:t>
      </w:r>
      <w:r>
        <w:rPr>
          <w:spacing w:val="-14"/>
        </w:rPr>
        <w:t xml:space="preserve"> </w:t>
      </w:r>
      <w:r>
        <w:t>road</w:t>
      </w:r>
      <w:r>
        <w:rPr>
          <w:spacing w:val="-14"/>
        </w:rPr>
        <w:t xml:space="preserve"> </w:t>
      </w:r>
      <w:r>
        <w:t>network</w:t>
      </w:r>
      <w:r>
        <w:rPr>
          <w:spacing w:val="-14"/>
        </w:rPr>
        <w:t xml:space="preserve"> </w:t>
      </w:r>
      <w:r>
        <w:t>is</w:t>
      </w:r>
      <w:r>
        <w:rPr>
          <w:spacing w:val="-14"/>
        </w:rPr>
        <w:t xml:space="preserve"> </w:t>
      </w:r>
      <w:r>
        <w:t>vital</w:t>
      </w:r>
      <w:r>
        <w:rPr>
          <w:spacing w:val="-14"/>
        </w:rPr>
        <w:t xml:space="preserve"> </w:t>
      </w:r>
      <w:r>
        <w:t>in</w:t>
      </w:r>
      <w:r>
        <w:rPr>
          <w:spacing w:val="-14"/>
        </w:rPr>
        <w:t xml:space="preserve"> </w:t>
      </w:r>
      <w:r>
        <w:t>connecting</w:t>
      </w:r>
      <w:r>
        <w:rPr>
          <w:spacing w:val="-14"/>
        </w:rPr>
        <w:t xml:space="preserve"> </w:t>
      </w:r>
      <w:r>
        <w:t>regional people</w:t>
      </w:r>
      <w:r>
        <w:rPr>
          <w:spacing w:val="-1"/>
        </w:rPr>
        <w:t xml:space="preserve"> </w:t>
      </w:r>
      <w:r>
        <w:t>to</w:t>
      </w:r>
      <w:r>
        <w:rPr>
          <w:spacing w:val="-1"/>
        </w:rPr>
        <w:t xml:space="preserve"> </w:t>
      </w:r>
      <w:r>
        <w:t>employment</w:t>
      </w:r>
      <w:r>
        <w:rPr>
          <w:spacing w:val="-1"/>
        </w:rPr>
        <w:t xml:space="preserve"> </w:t>
      </w:r>
      <w:r>
        <w:t>opportunities,</w:t>
      </w:r>
      <w:r>
        <w:rPr>
          <w:spacing w:val="-1"/>
        </w:rPr>
        <w:t xml:space="preserve"> </w:t>
      </w:r>
      <w:r>
        <w:t>services</w:t>
      </w:r>
      <w:r>
        <w:rPr>
          <w:spacing w:val="-1"/>
        </w:rPr>
        <w:t xml:space="preserve"> </w:t>
      </w:r>
      <w:r>
        <w:t xml:space="preserve">and </w:t>
      </w:r>
      <w:r>
        <w:rPr>
          <w:w w:val="95"/>
        </w:rPr>
        <w:t>amenities.</w:t>
      </w:r>
      <w:r>
        <w:rPr>
          <w:spacing w:val="-1"/>
          <w:w w:val="95"/>
        </w:rPr>
        <w:t xml:space="preserve"> </w:t>
      </w:r>
      <w:r>
        <w:rPr>
          <w:w w:val="95"/>
        </w:rPr>
        <w:t>It</w:t>
      </w:r>
      <w:r>
        <w:rPr>
          <w:spacing w:val="-1"/>
          <w:w w:val="95"/>
        </w:rPr>
        <w:t xml:space="preserve"> </w:t>
      </w:r>
      <w:r>
        <w:rPr>
          <w:w w:val="95"/>
        </w:rPr>
        <w:t>is</w:t>
      </w:r>
      <w:r>
        <w:rPr>
          <w:spacing w:val="-1"/>
          <w:w w:val="95"/>
        </w:rPr>
        <w:t xml:space="preserve"> </w:t>
      </w:r>
      <w:r>
        <w:rPr>
          <w:w w:val="95"/>
        </w:rPr>
        <w:t>also</w:t>
      </w:r>
      <w:r>
        <w:rPr>
          <w:spacing w:val="-1"/>
          <w:w w:val="95"/>
        </w:rPr>
        <w:t xml:space="preserve"> </w:t>
      </w:r>
      <w:r>
        <w:rPr>
          <w:w w:val="95"/>
        </w:rPr>
        <w:t>important</w:t>
      </w:r>
      <w:r>
        <w:rPr>
          <w:spacing w:val="-1"/>
          <w:w w:val="95"/>
        </w:rPr>
        <w:t xml:space="preserve"> </w:t>
      </w:r>
      <w:r>
        <w:rPr>
          <w:w w:val="95"/>
        </w:rPr>
        <w:t>to</w:t>
      </w:r>
      <w:r>
        <w:rPr>
          <w:spacing w:val="-1"/>
          <w:w w:val="95"/>
        </w:rPr>
        <w:t xml:space="preserve"> </w:t>
      </w:r>
      <w:r>
        <w:rPr>
          <w:w w:val="95"/>
        </w:rPr>
        <w:t>note</w:t>
      </w:r>
      <w:r>
        <w:rPr>
          <w:spacing w:val="-1"/>
          <w:w w:val="95"/>
        </w:rPr>
        <w:t xml:space="preserve"> </w:t>
      </w:r>
      <w:r>
        <w:rPr>
          <w:w w:val="95"/>
        </w:rPr>
        <w:t>the</w:t>
      </w:r>
      <w:r>
        <w:rPr>
          <w:spacing w:val="-1"/>
          <w:w w:val="95"/>
        </w:rPr>
        <w:t xml:space="preserve"> </w:t>
      </w:r>
      <w:r>
        <w:rPr>
          <w:w w:val="95"/>
        </w:rPr>
        <w:t>small</w:t>
      </w:r>
      <w:r>
        <w:rPr>
          <w:spacing w:val="-1"/>
          <w:w w:val="95"/>
        </w:rPr>
        <w:t xml:space="preserve"> </w:t>
      </w:r>
      <w:r>
        <w:rPr>
          <w:w w:val="95"/>
        </w:rPr>
        <w:t xml:space="preserve">share </w:t>
      </w:r>
      <w:r>
        <w:t>of</w:t>
      </w:r>
      <w:r>
        <w:rPr>
          <w:spacing w:val="-13"/>
        </w:rPr>
        <w:t xml:space="preserve"> </w:t>
      </w:r>
      <w:r>
        <w:t>bus</w:t>
      </w:r>
      <w:r>
        <w:rPr>
          <w:spacing w:val="-14"/>
        </w:rPr>
        <w:t xml:space="preserve"> </w:t>
      </w:r>
      <w:r>
        <w:t>and</w:t>
      </w:r>
      <w:r>
        <w:rPr>
          <w:spacing w:val="-13"/>
        </w:rPr>
        <w:t xml:space="preserve"> </w:t>
      </w:r>
      <w:r>
        <w:t>train</w:t>
      </w:r>
      <w:r>
        <w:rPr>
          <w:spacing w:val="-13"/>
        </w:rPr>
        <w:t xml:space="preserve"> </w:t>
      </w:r>
      <w:r>
        <w:t>trips.</w:t>
      </w:r>
      <w:r>
        <w:rPr>
          <w:spacing w:val="-14"/>
        </w:rPr>
        <w:t xml:space="preserve"> </w:t>
      </w:r>
      <w:r>
        <w:t>These</w:t>
      </w:r>
      <w:r>
        <w:rPr>
          <w:spacing w:val="-13"/>
        </w:rPr>
        <w:t xml:space="preserve"> </w:t>
      </w:r>
      <w:r>
        <w:t>travel</w:t>
      </w:r>
      <w:r>
        <w:rPr>
          <w:spacing w:val="-13"/>
        </w:rPr>
        <w:t xml:space="preserve"> </w:t>
      </w:r>
      <w:r>
        <w:t>patterns</w:t>
      </w:r>
      <w:r>
        <w:rPr>
          <w:spacing w:val="-14"/>
        </w:rPr>
        <w:t xml:space="preserve"> </w:t>
      </w:r>
      <w:r>
        <w:t>are</w:t>
      </w:r>
      <w:r>
        <w:rPr>
          <w:spacing w:val="-13"/>
        </w:rPr>
        <w:t xml:space="preserve"> </w:t>
      </w:r>
      <w:r>
        <w:t>not expected</w:t>
      </w:r>
      <w:r>
        <w:rPr>
          <w:spacing w:val="-7"/>
        </w:rPr>
        <w:t xml:space="preserve"> </w:t>
      </w:r>
      <w:r>
        <w:t>to</w:t>
      </w:r>
      <w:r>
        <w:rPr>
          <w:spacing w:val="-7"/>
        </w:rPr>
        <w:t xml:space="preserve"> </w:t>
      </w:r>
      <w:r>
        <w:t>change</w:t>
      </w:r>
      <w:r>
        <w:rPr>
          <w:spacing w:val="-7"/>
        </w:rPr>
        <w:t xml:space="preserve"> </w:t>
      </w:r>
      <w:r>
        <w:t>over</w:t>
      </w:r>
      <w:r>
        <w:rPr>
          <w:spacing w:val="-7"/>
        </w:rPr>
        <w:t xml:space="preserve"> </w:t>
      </w:r>
      <w:r>
        <w:t>the</w:t>
      </w:r>
      <w:r>
        <w:rPr>
          <w:spacing w:val="-7"/>
        </w:rPr>
        <w:t xml:space="preserve"> </w:t>
      </w:r>
      <w:r>
        <w:t>next</w:t>
      </w:r>
      <w:r>
        <w:rPr>
          <w:spacing w:val="-7"/>
        </w:rPr>
        <w:t xml:space="preserve"> </w:t>
      </w:r>
      <w:r>
        <w:t>twenty</w:t>
      </w:r>
      <w:r>
        <w:rPr>
          <w:spacing w:val="-7"/>
        </w:rPr>
        <w:t xml:space="preserve"> </w:t>
      </w:r>
      <w:r>
        <w:t>years.</w:t>
      </w:r>
    </w:p>
    <w:p w:rsidR="002C1123" w:rsidRDefault="00F22F94">
      <w:pPr>
        <w:spacing w:before="182" w:line="249" w:lineRule="auto"/>
        <w:ind w:left="1489" w:right="392" w:hanging="934"/>
        <w:rPr>
          <w:b/>
          <w:sz w:val="18"/>
        </w:rPr>
      </w:pPr>
      <w:r>
        <w:rPr>
          <w:b/>
          <w:sz w:val="18"/>
        </w:rPr>
        <w:t>Figure</w:t>
      </w:r>
      <w:r>
        <w:rPr>
          <w:b/>
          <w:spacing w:val="-7"/>
          <w:sz w:val="18"/>
        </w:rPr>
        <w:t xml:space="preserve"> </w:t>
      </w:r>
      <w:r>
        <w:rPr>
          <w:b/>
          <w:sz w:val="18"/>
        </w:rPr>
        <w:t>5.3</w:t>
      </w:r>
      <w:r>
        <w:rPr>
          <w:b/>
          <w:spacing w:val="37"/>
          <w:sz w:val="18"/>
        </w:rPr>
        <w:t xml:space="preserve"> </w:t>
      </w:r>
      <w:r>
        <w:rPr>
          <w:b/>
          <w:sz w:val="18"/>
        </w:rPr>
        <w:t>Mode</w:t>
      </w:r>
      <w:r>
        <w:rPr>
          <w:b/>
          <w:spacing w:val="-7"/>
          <w:sz w:val="18"/>
        </w:rPr>
        <w:t xml:space="preserve"> </w:t>
      </w:r>
      <w:r>
        <w:rPr>
          <w:b/>
          <w:sz w:val="18"/>
        </w:rPr>
        <w:t>share</w:t>
      </w:r>
      <w:r>
        <w:rPr>
          <w:b/>
          <w:spacing w:val="-7"/>
          <w:sz w:val="18"/>
        </w:rPr>
        <w:t xml:space="preserve"> </w:t>
      </w:r>
      <w:r>
        <w:rPr>
          <w:b/>
          <w:sz w:val="18"/>
        </w:rPr>
        <w:t>for</w:t>
      </w:r>
      <w:r>
        <w:rPr>
          <w:b/>
          <w:spacing w:val="-7"/>
          <w:sz w:val="18"/>
        </w:rPr>
        <w:t xml:space="preserve"> </w:t>
      </w:r>
      <w:r>
        <w:rPr>
          <w:b/>
          <w:sz w:val="18"/>
        </w:rPr>
        <w:t>trips</w:t>
      </w:r>
      <w:r>
        <w:rPr>
          <w:b/>
          <w:spacing w:val="-7"/>
          <w:sz w:val="18"/>
        </w:rPr>
        <w:t xml:space="preserve"> </w:t>
      </w:r>
      <w:r>
        <w:rPr>
          <w:b/>
          <w:sz w:val="18"/>
        </w:rPr>
        <w:t>beginning</w:t>
      </w:r>
      <w:r>
        <w:rPr>
          <w:b/>
          <w:spacing w:val="-7"/>
          <w:sz w:val="18"/>
        </w:rPr>
        <w:t xml:space="preserve"> </w:t>
      </w:r>
      <w:r>
        <w:rPr>
          <w:b/>
          <w:sz w:val="18"/>
        </w:rPr>
        <w:t>or ending in Regional NSW</w:t>
      </w:r>
    </w:p>
    <w:p w:rsidR="002C1123" w:rsidRDefault="002060EF">
      <w:pPr>
        <w:pStyle w:val="BodyText"/>
        <w:spacing w:before="3"/>
        <w:rPr>
          <w:b/>
          <w:sz w:val="4"/>
        </w:rPr>
      </w:pPr>
      <w:r>
        <w:pict>
          <v:group id="docshapegroup971" o:spid="_x0000_s4330" style="position:absolute;margin-left:100.1pt;margin-top:3.65pt;width:151.6pt;height:179.65pt;z-index:-251399168;mso-wrap-distance-left:0;mso-wrap-distance-right:0;mso-position-horizontal-relative:page" coordorigin="2002,73" coordsize="3032,3593">
            <v:shape id="docshape972" o:spid="_x0000_s4345" style="position:absolute;left:2879;top:310;width:646;height:1721" coordorigin="2879,310" coordsize="646,1721" o:spt="100" adj="0,,0" path="m3525,2031l3253,310t272,1721l2879,413e" filled="f" strokecolor="#b2b1b3" strokeweight=".4pt">
              <v:stroke joinstyle="round"/>
              <v:formulas/>
              <v:path arrowok="t" o:connecttype="segments"/>
            </v:shape>
            <v:line id="_x0000_s4344" style="position:absolute" from="3525,2031" to="2598,556" strokecolor="#b2b1b3" strokeweight=".4pt"/>
            <v:line id="_x0000_s4343" style="position:absolute" from="4215,3631" to="3525,2031" strokecolor="#b2b1b3" strokeweight=".4pt"/>
            <v:shape id="docshape973" o:spid="_x0000_s4342" style="position:absolute;left:2015;top:520;width:3005;height:3005" coordorigin="2015,520" coordsize="3005,3005" path="m3517,520r,1502l2613,823r-64,50l2489,926r-57,54l2379,1037r-50,58l2283,1156r-43,62l2202,1283r-36,66l2135,1417r-28,69l2083,1558r-21,73l2045,1706r-13,77l2023,1861r-6,80l2015,2022r2,75l2022,2171r9,73l2044,2316r16,71l2079,2456r22,68l2126,2591r29,65l2186,2719r34,62l2257,2840r40,58l2339,2954r45,54l2431,3060r49,49l2532,3156r54,45l2641,3243r58,40l2759,3320r62,34l2884,3385r65,29l3016,3439r68,22l3153,3480r71,16l3295,3508r73,9l3442,3523r75,2l3592,3523r74,-6l3739,3508r72,-12l3882,3480r69,-19l4019,3439r67,-25l4151,3385r63,-31l4276,3320r59,-37l4393,3243r56,-42l4503,3156r52,-47l4604,3060r47,-52l4696,2954r42,-56l4778,2840r37,-59l4849,2719r31,-63l4909,2591r25,-67l4956,2456r19,-69l4991,2316r12,-72l5012,2171r6,-74l5020,2022r-2,-75l5012,1873r-9,-73l4991,1729r-16,-71l4956,1589r-22,-68l4909,1454r-29,-65l4849,1326r-34,-62l4778,1204r-40,-58l4696,1091r-45,-54l4604,985r-49,-49l4503,889r-54,-45l4393,802r-58,-40l4276,725r-62,-34l4151,660r-65,-29l4019,606r-68,-22l3882,565r-71,-16l3739,536r-73,-9l3592,522r-75,-2xe" fillcolor="#2e3092" stroked="f">
              <v:path arrowok="t"/>
            </v:shape>
            <v:shape id="docshape974" o:spid="_x0000_s4341" style="position:absolute;left:2015;top:520;width:3005;height:3005" coordorigin="2015,520" coordsize="3005,3005" path="m3517,2022r,-1502l3592,522r74,5l3739,536r72,13l3882,565r69,19l4019,606r67,25l4151,660r63,31l4276,725r59,37l4393,802r56,42l4503,889r52,47l4604,985r47,52l4696,1091r42,55l4778,1204r37,60l4849,1326r31,63l4909,1454r25,67l4956,1589r19,69l4991,1729r12,71l5012,1873r6,74l5020,2022r-2,75l5012,2171r-9,73l4991,2316r-16,71l4956,2456r-22,68l4909,2591r-29,65l4849,2719r-34,62l4778,2840r-40,58l4696,2954r-45,54l4604,3060r-49,49l4503,3156r-54,45l4393,3243r-58,40l4276,3320r-62,34l4151,3385r-65,29l4019,3439r-68,22l3882,3480r-71,16l3739,3508r-73,9l3592,3523r-75,2l3442,3523r-74,-6l3295,3508r-71,-12l3153,3480r-69,-19l3016,3439r-67,-25l2884,3385r-63,-31l2759,3320r-60,-37l2641,3243r-55,-42l2532,3156r-52,-47l2431,3060r-47,-52l2339,2954r-42,-56l2257,2840r-37,-59l2186,2719r-31,-63l2126,2591r-25,-67l2079,2456r-19,-69l2044,2316r-13,-72l2022,2171r-5,-74l2015,2022r2,-81l2023,1861r9,-78l2045,1706r17,-75l2083,1558r24,-72l2135,1417r31,-68l2202,1283r38,-65l2283,1156r46,-61l2379,1037r53,-57l2489,926r60,-53l2613,823r904,1199xe" filled="f" strokecolor="white" strokeweight="1.35pt">
              <v:path arrowok="t"/>
            </v:shape>
            <v:shape id="docshape975" o:spid="_x0000_s4340" style="position:absolute;left:2613;top:672;width:905;height:1351" coordorigin="2613,672" coordsize="905,1351" path="m2859,672r-65,34l2732,741r-59,39l2613,823r904,1199l2859,672xe" fillcolor="#2e3092" stroked="f">
              <v:path arrowok="t"/>
            </v:shape>
            <v:shape id="docshape976" o:spid="_x0000_s4339" style="position:absolute;left:2613;top:672;width:905;height:1351" coordorigin="2613,672" coordsize="905,1351" path="m3517,2022l2613,823r60,-43l2732,741r62,-35l2859,672r658,1350xe" filled="f" strokecolor="white" strokeweight="1.35pt">
              <v:path arrowok="t"/>
            </v:shape>
            <v:shape id="docshape977" o:spid="_x0000_s4338" style="position:absolute;left:2858;top:571;width:659;height:1452" coordorigin="2859,571" coordsize="659,1452" path="m3129,571r-71,21l2991,615r-66,26l2859,672r658,1350l3129,571xe" fillcolor="#2e3092" stroked="f">
              <v:path arrowok="t"/>
            </v:shape>
            <v:shape id="docshape978" o:spid="_x0000_s4337" style="position:absolute;left:2858;top:571;width:659;height:1452" coordorigin="2859,571" coordsize="659,1452" path="m3517,2022l2859,672r66,-31l2991,615r67,-23l3129,571r388,1451xe" filled="f" strokecolor="white" strokeweight="1.35pt">
              <v:path arrowok="t"/>
            </v:shape>
            <v:shape id="docshape979" o:spid="_x0000_s4336" style="position:absolute;left:3128;top:520;width:389;height:1503" coordorigin="3129,520" coordsize="389,1503" path="m3517,520r-79,2l3360,528r-77,10l3206,553r-77,18l3517,2022r,-1502xe" fillcolor="#2e3092" stroked="f">
              <v:path arrowok="t"/>
            </v:shape>
            <v:shape id="docshape980" o:spid="_x0000_s4335" style="position:absolute;left:3128;top:520;width:389;height:1503" coordorigin="3129,520" coordsize="389,1503" path="m3517,2022l3129,571r77,-18l3283,538r77,-10l3438,522r79,-2l3517,2022xe" filled="f" strokecolor="white" strokeweight="1.35pt">
              <v:path arrowok="t"/>
            </v:shape>
            <v:shape id="docshape981" o:spid="_x0000_s4334" style="position:absolute;left:2668;top:1164;width:1701;height:1701" coordorigin="2668,1165" coordsize="1701,1701" path="m3518,1165r-77,3l3366,1178r-74,17l3222,1218r-68,29l3089,1281r-61,39l2971,1365r-54,49l2868,1467r-44,58l2784,1586r-34,65l2721,1718r-23,71l2682,1862r-10,76l2668,2015r4,78l2682,2168r16,73l2721,2312r29,68l2784,2444r40,62l2868,2563r49,53l2971,2666r57,44l3089,2749r65,35l3222,2812r70,23l3366,2852r75,10l3518,2866r78,-4l3671,2852r74,-17l3815,2812r68,-28l3948,2749r61,-39l4066,2666r54,-50l4169,2563r44,-57l4253,2444r34,-64l4316,2312r22,-71l4355,2168r10,-75l4369,2015r-4,-77l4355,1862r-17,-73l4316,1718r-29,-67l4253,1586r-40,-61l4169,1467r-49,-53l4066,1365r-57,-45l3948,1281r-65,-34l3815,1218r-70,-23l3671,1178r-75,-10l3518,1165xe" stroked="f">
              <v:path arrowok="t"/>
            </v:shape>
            <v:shape id="docshape982" o:spid="_x0000_s4333" type="#_x0000_t202" style="position:absolute;left:3266;top:73;width:630;height:187" filled="f" stroked="f">
              <v:textbox inset="0,0,0,0">
                <w:txbxContent>
                  <w:p w:rsidR="00F22F94" w:rsidRDefault="00F22F94">
                    <w:pPr>
                      <w:spacing w:before="2"/>
                      <w:rPr>
                        <w:sz w:val="16"/>
                      </w:rPr>
                    </w:pPr>
                    <w:r>
                      <w:rPr>
                        <w:w w:val="80"/>
                        <w:sz w:val="16"/>
                      </w:rPr>
                      <w:t>Coach</w:t>
                    </w:r>
                    <w:r>
                      <w:rPr>
                        <w:spacing w:val="-3"/>
                        <w:sz w:val="16"/>
                      </w:rPr>
                      <w:t xml:space="preserve"> </w:t>
                    </w:r>
                    <w:r>
                      <w:rPr>
                        <w:spacing w:val="-7"/>
                        <w:w w:val="85"/>
                        <w:sz w:val="16"/>
                      </w:rPr>
                      <w:t>4%</w:t>
                    </w:r>
                  </w:p>
                </w:txbxContent>
              </v:textbox>
            </v:shape>
            <v:shape id="docshape983" o:spid="_x0000_s4332" type="#_x0000_t202" style="position:absolute;left:2015;top:220;width:779;height:371" filled="f" stroked="f">
              <v:textbox inset="0,0,0,0">
                <w:txbxContent>
                  <w:p w:rsidR="00F22F94" w:rsidRDefault="00F22F94">
                    <w:pPr>
                      <w:spacing w:before="2" w:line="184" w:lineRule="exact"/>
                      <w:ind w:left="358"/>
                      <w:rPr>
                        <w:sz w:val="16"/>
                      </w:rPr>
                    </w:pPr>
                    <w:r>
                      <w:rPr>
                        <w:w w:val="85"/>
                        <w:sz w:val="16"/>
                      </w:rPr>
                      <w:t>Air</w:t>
                    </w:r>
                    <w:r>
                      <w:rPr>
                        <w:spacing w:val="-1"/>
                        <w:w w:val="90"/>
                        <w:sz w:val="16"/>
                      </w:rPr>
                      <w:t xml:space="preserve"> </w:t>
                    </w:r>
                    <w:r>
                      <w:rPr>
                        <w:spacing w:val="-5"/>
                        <w:w w:val="90"/>
                        <w:sz w:val="16"/>
                      </w:rPr>
                      <w:t>3%</w:t>
                    </w:r>
                  </w:p>
                  <w:p w:rsidR="00F22F94" w:rsidRDefault="00F22F94">
                    <w:pPr>
                      <w:spacing w:line="184" w:lineRule="exact"/>
                      <w:rPr>
                        <w:sz w:val="16"/>
                      </w:rPr>
                    </w:pPr>
                    <w:r>
                      <w:rPr>
                        <w:w w:val="80"/>
                        <w:sz w:val="16"/>
                      </w:rPr>
                      <w:t>Rail</w:t>
                    </w:r>
                    <w:r>
                      <w:rPr>
                        <w:spacing w:val="1"/>
                        <w:sz w:val="16"/>
                      </w:rPr>
                      <w:t xml:space="preserve"> </w:t>
                    </w:r>
                    <w:r>
                      <w:rPr>
                        <w:spacing w:val="-5"/>
                        <w:w w:val="95"/>
                        <w:sz w:val="16"/>
                      </w:rPr>
                      <w:t>3%</w:t>
                    </w:r>
                  </w:p>
                </w:txbxContent>
              </v:textbox>
            </v:shape>
            <v:shape id="docshape984" o:spid="_x0000_s4331" type="#_x0000_t202" style="position:absolute;left:4299;top:3479;width:536;height:187" filled="f" stroked="f">
              <v:textbox inset="0,0,0,0">
                <w:txbxContent>
                  <w:p w:rsidR="00F22F94" w:rsidRDefault="00F22F94">
                    <w:pPr>
                      <w:spacing w:before="2"/>
                      <w:rPr>
                        <w:sz w:val="16"/>
                      </w:rPr>
                    </w:pPr>
                    <w:r>
                      <w:rPr>
                        <w:w w:val="80"/>
                        <w:sz w:val="16"/>
                      </w:rPr>
                      <w:t>Car</w:t>
                    </w:r>
                    <w:r>
                      <w:rPr>
                        <w:spacing w:val="-3"/>
                        <w:w w:val="90"/>
                        <w:sz w:val="16"/>
                      </w:rPr>
                      <w:t xml:space="preserve"> </w:t>
                    </w:r>
                    <w:r>
                      <w:rPr>
                        <w:spacing w:val="-5"/>
                        <w:w w:val="90"/>
                        <w:sz w:val="16"/>
                      </w:rPr>
                      <w:t>89%</w:t>
                    </w:r>
                  </w:p>
                </w:txbxContent>
              </v:textbox>
            </v:shape>
            <w10:wrap type="topAndBottom" anchorx="page"/>
          </v:group>
        </w:pict>
      </w:r>
    </w:p>
    <w:p w:rsidR="002C1123" w:rsidRDefault="00F22F94">
      <w:pPr>
        <w:spacing w:before="5" w:line="123" w:lineRule="exact"/>
        <w:ind w:left="555"/>
        <w:rPr>
          <w:sz w:val="14"/>
        </w:rPr>
      </w:pPr>
      <w:r>
        <w:rPr>
          <w:w w:val="95"/>
          <w:sz w:val="14"/>
        </w:rPr>
        <w:t>Source:</w:t>
      </w:r>
      <w:r>
        <w:rPr>
          <w:spacing w:val="5"/>
          <w:sz w:val="14"/>
        </w:rPr>
        <w:t xml:space="preserve"> </w:t>
      </w:r>
      <w:r>
        <w:rPr>
          <w:w w:val="95"/>
          <w:sz w:val="14"/>
        </w:rPr>
        <w:t>Transport</w:t>
      </w:r>
      <w:r>
        <w:rPr>
          <w:spacing w:val="6"/>
          <w:sz w:val="14"/>
        </w:rPr>
        <w:t xml:space="preserve"> </w:t>
      </w:r>
      <w:r>
        <w:rPr>
          <w:w w:val="95"/>
          <w:sz w:val="14"/>
        </w:rPr>
        <w:t>for</w:t>
      </w:r>
      <w:r>
        <w:rPr>
          <w:spacing w:val="6"/>
          <w:sz w:val="14"/>
        </w:rPr>
        <w:t xml:space="preserve"> </w:t>
      </w:r>
      <w:r>
        <w:rPr>
          <w:spacing w:val="-4"/>
          <w:w w:val="95"/>
          <w:sz w:val="14"/>
        </w:rPr>
        <w:t>NSW.</w:t>
      </w:r>
    </w:p>
    <w:p w:rsidR="002C1123" w:rsidRDefault="00F22F94">
      <w:pPr>
        <w:pStyle w:val="BodyText"/>
        <w:spacing w:before="108" w:line="249" w:lineRule="auto"/>
        <w:ind w:left="196" w:right="198"/>
      </w:pPr>
      <w:r>
        <w:br w:type="column"/>
      </w:r>
      <w:r>
        <w:t>A</w:t>
      </w:r>
      <w:r>
        <w:rPr>
          <w:spacing w:val="-14"/>
        </w:rPr>
        <w:t xml:space="preserve"> </w:t>
      </w:r>
      <w:r>
        <w:t>number</w:t>
      </w:r>
      <w:r>
        <w:rPr>
          <w:spacing w:val="-14"/>
        </w:rPr>
        <w:t xml:space="preserve"> </w:t>
      </w:r>
      <w:r>
        <w:t>of</w:t>
      </w:r>
      <w:r>
        <w:rPr>
          <w:spacing w:val="-13"/>
        </w:rPr>
        <w:t xml:space="preserve"> </w:t>
      </w:r>
      <w:r>
        <w:t>regions</w:t>
      </w:r>
      <w:r>
        <w:rPr>
          <w:spacing w:val="-14"/>
        </w:rPr>
        <w:t xml:space="preserve"> </w:t>
      </w:r>
      <w:r>
        <w:t>are</w:t>
      </w:r>
      <w:r>
        <w:rPr>
          <w:spacing w:val="-14"/>
        </w:rPr>
        <w:t xml:space="preserve"> </w:t>
      </w:r>
      <w:r>
        <w:t>expected</w:t>
      </w:r>
      <w:r>
        <w:rPr>
          <w:spacing w:val="-13"/>
        </w:rPr>
        <w:t xml:space="preserve"> </w:t>
      </w:r>
      <w:r>
        <w:t>to</w:t>
      </w:r>
      <w:r>
        <w:rPr>
          <w:spacing w:val="-14"/>
        </w:rPr>
        <w:t xml:space="preserve"> </w:t>
      </w:r>
      <w:r>
        <w:t>achieve</w:t>
      </w:r>
      <w:r>
        <w:rPr>
          <w:spacing w:val="-14"/>
        </w:rPr>
        <w:t xml:space="preserve"> </w:t>
      </w:r>
      <w:r>
        <w:t>steady growth</w:t>
      </w:r>
      <w:r>
        <w:rPr>
          <w:spacing w:val="-8"/>
        </w:rPr>
        <w:t xml:space="preserve"> </w:t>
      </w:r>
      <w:r>
        <w:t>in</w:t>
      </w:r>
      <w:r>
        <w:rPr>
          <w:spacing w:val="-8"/>
        </w:rPr>
        <w:t xml:space="preserve"> </w:t>
      </w:r>
      <w:r>
        <w:t>employment</w:t>
      </w:r>
      <w:r>
        <w:rPr>
          <w:spacing w:val="-8"/>
        </w:rPr>
        <w:t xml:space="preserve"> </w:t>
      </w:r>
      <w:r>
        <w:t>and</w:t>
      </w:r>
      <w:r>
        <w:rPr>
          <w:spacing w:val="-8"/>
        </w:rPr>
        <w:t xml:space="preserve"> </w:t>
      </w:r>
      <w:r>
        <w:t>population,</w:t>
      </w:r>
      <w:r>
        <w:rPr>
          <w:spacing w:val="-8"/>
        </w:rPr>
        <w:t xml:space="preserve"> </w:t>
      </w:r>
      <w:r>
        <w:t>driven</w:t>
      </w:r>
      <w:r>
        <w:rPr>
          <w:spacing w:val="-8"/>
        </w:rPr>
        <w:t xml:space="preserve"> </w:t>
      </w:r>
      <w:r>
        <w:t>in</w:t>
      </w:r>
      <w:r>
        <w:rPr>
          <w:spacing w:val="-8"/>
        </w:rPr>
        <w:t xml:space="preserve"> </w:t>
      </w:r>
      <w:r>
        <w:t xml:space="preserve">part </w:t>
      </w:r>
      <w:r>
        <w:rPr>
          <w:w w:val="95"/>
        </w:rPr>
        <w:t>by</w:t>
      </w:r>
      <w:r>
        <w:rPr>
          <w:spacing w:val="-6"/>
          <w:w w:val="95"/>
        </w:rPr>
        <w:t xml:space="preserve"> </w:t>
      </w:r>
      <w:r>
        <w:rPr>
          <w:w w:val="95"/>
        </w:rPr>
        <w:t>an</w:t>
      </w:r>
      <w:r>
        <w:rPr>
          <w:spacing w:val="-6"/>
          <w:w w:val="95"/>
        </w:rPr>
        <w:t xml:space="preserve"> </w:t>
      </w:r>
      <w:r>
        <w:rPr>
          <w:w w:val="95"/>
        </w:rPr>
        <w:t>increase</w:t>
      </w:r>
      <w:r>
        <w:rPr>
          <w:spacing w:val="-6"/>
          <w:w w:val="95"/>
        </w:rPr>
        <w:t xml:space="preserve"> </w:t>
      </w:r>
      <w:r>
        <w:rPr>
          <w:w w:val="95"/>
        </w:rPr>
        <w:t>in</w:t>
      </w:r>
      <w:r>
        <w:rPr>
          <w:spacing w:val="-6"/>
          <w:w w:val="95"/>
        </w:rPr>
        <w:t xml:space="preserve"> </w:t>
      </w:r>
      <w:r>
        <w:rPr>
          <w:w w:val="95"/>
        </w:rPr>
        <w:t>mining</w:t>
      </w:r>
      <w:r>
        <w:rPr>
          <w:spacing w:val="-6"/>
          <w:w w:val="95"/>
        </w:rPr>
        <w:t xml:space="preserve"> </w:t>
      </w:r>
      <w:r>
        <w:rPr>
          <w:w w:val="95"/>
        </w:rPr>
        <w:t>activity</w:t>
      </w:r>
      <w:r>
        <w:rPr>
          <w:spacing w:val="-6"/>
          <w:w w:val="95"/>
        </w:rPr>
        <w:t xml:space="preserve"> </w:t>
      </w:r>
      <w:r>
        <w:rPr>
          <w:w w:val="95"/>
        </w:rPr>
        <w:t>or</w:t>
      </w:r>
      <w:r>
        <w:rPr>
          <w:spacing w:val="-6"/>
          <w:w w:val="95"/>
        </w:rPr>
        <w:t xml:space="preserve"> </w:t>
      </w:r>
      <w:r>
        <w:rPr>
          <w:w w:val="95"/>
        </w:rPr>
        <w:t>relative</w:t>
      </w:r>
      <w:r>
        <w:rPr>
          <w:spacing w:val="-6"/>
          <w:w w:val="95"/>
        </w:rPr>
        <w:t xml:space="preserve"> </w:t>
      </w:r>
      <w:r>
        <w:rPr>
          <w:w w:val="95"/>
        </w:rPr>
        <w:t>proximity</w:t>
      </w:r>
      <w:r>
        <w:rPr>
          <w:spacing w:val="-6"/>
          <w:w w:val="95"/>
        </w:rPr>
        <w:t xml:space="preserve"> </w:t>
      </w:r>
      <w:r>
        <w:rPr>
          <w:w w:val="95"/>
        </w:rPr>
        <w:t>to Sydney. Infrastructure investment to increase access to</w:t>
      </w:r>
      <w:r>
        <w:rPr>
          <w:spacing w:val="-7"/>
          <w:w w:val="95"/>
        </w:rPr>
        <w:t xml:space="preserve"> </w:t>
      </w:r>
      <w:r>
        <w:rPr>
          <w:w w:val="95"/>
        </w:rPr>
        <w:t>high</w:t>
      </w:r>
      <w:r>
        <w:rPr>
          <w:spacing w:val="-7"/>
          <w:w w:val="95"/>
        </w:rPr>
        <w:t xml:space="preserve"> </w:t>
      </w:r>
      <w:r>
        <w:rPr>
          <w:w w:val="95"/>
        </w:rPr>
        <w:t>value</w:t>
      </w:r>
      <w:r>
        <w:rPr>
          <w:spacing w:val="-7"/>
          <w:w w:val="95"/>
        </w:rPr>
        <w:t xml:space="preserve"> </w:t>
      </w:r>
      <w:r>
        <w:rPr>
          <w:w w:val="95"/>
        </w:rPr>
        <w:t>employment</w:t>
      </w:r>
      <w:r>
        <w:rPr>
          <w:spacing w:val="-7"/>
          <w:w w:val="95"/>
        </w:rPr>
        <w:t xml:space="preserve"> </w:t>
      </w:r>
      <w:r>
        <w:rPr>
          <w:w w:val="95"/>
        </w:rPr>
        <w:t>opportunities</w:t>
      </w:r>
      <w:r>
        <w:rPr>
          <w:spacing w:val="-7"/>
          <w:w w:val="95"/>
        </w:rPr>
        <w:t xml:space="preserve"> </w:t>
      </w:r>
      <w:r>
        <w:rPr>
          <w:w w:val="95"/>
        </w:rPr>
        <w:t>is</w:t>
      </w:r>
      <w:r>
        <w:rPr>
          <w:spacing w:val="-7"/>
          <w:w w:val="95"/>
        </w:rPr>
        <w:t xml:space="preserve"> </w:t>
      </w:r>
      <w:r>
        <w:rPr>
          <w:w w:val="95"/>
        </w:rPr>
        <w:t>likely</w:t>
      </w:r>
      <w:r>
        <w:rPr>
          <w:spacing w:val="-7"/>
          <w:w w:val="95"/>
        </w:rPr>
        <w:t xml:space="preserve"> </w:t>
      </w:r>
      <w:r>
        <w:rPr>
          <w:w w:val="95"/>
        </w:rPr>
        <w:t>to</w:t>
      </w:r>
      <w:r>
        <w:rPr>
          <w:spacing w:val="-7"/>
          <w:w w:val="95"/>
        </w:rPr>
        <w:t xml:space="preserve"> </w:t>
      </w:r>
      <w:r>
        <w:rPr>
          <w:w w:val="95"/>
        </w:rPr>
        <w:t xml:space="preserve">lead </w:t>
      </w:r>
      <w:r>
        <w:t>to</w:t>
      </w:r>
      <w:r>
        <w:rPr>
          <w:spacing w:val="-11"/>
        </w:rPr>
        <w:t xml:space="preserve"> </w:t>
      </w:r>
      <w:r>
        <w:t>higher</w:t>
      </w:r>
      <w:r>
        <w:rPr>
          <w:spacing w:val="-11"/>
        </w:rPr>
        <w:t xml:space="preserve"> </w:t>
      </w:r>
      <w:r>
        <w:t>economic</w:t>
      </w:r>
      <w:r>
        <w:rPr>
          <w:spacing w:val="-11"/>
        </w:rPr>
        <w:t xml:space="preserve"> </w:t>
      </w:r>
      <w:r>
        <w:t>growth</w:t>
      </w:r>
      <w:r>
        <w:rPr>
          <w:spacing w:val="-11"/>
        </w:rPr>
        <w:t xml:space="preserve"> </w:t>
      </w:r>
      <w:r>
        <w:t>and</w:t>
      </w:r>
      <w:r>
        <w:rPr>
          <w:spacing w:val="-11"/>
        </w:rPr>
        <w:t xml:space="preserve"> </w:t>
      </w:r>
      <w:r>
        <w:t>reduced</w:t>
      </w:r>
      <w:r>
        <w:rPr>
          <w:spacing w:val="-11"/>
        </w:rPr>
        <w:t xml:space="preserve"> </w:t>
      </w:r>
      <w:r>
        <w:t>migration</w:t>
      </w:r>
      <w:r>
        <w:rPr>
          <w:spacing w:val="-11"/>
        </w:rPr>
        <w:t xml:space="preserve"> </w:t>
      </w:r>
      <w:r>
        <w:t>of young</w:t>
      </w:r>
      <w:r>
        <w:rPr>
          <w:spacing w:val="-1"/>
        </w:rPr>
        <w:t xml:space="preserve"> </w:t>
      </w:r>
      <w:r>
        <w:t>people</w:t>
      </w:r>
      <w:r>
        <w:rPr>
          <w:spacing w:val="-1"/>
        </w:rPr>
        <w:t xml:space="preserve"> </w:t>
      </w:r>
      <w:r>
        <w:t>from</w:t>
      </w:r>
      <w:r>
        <w:rPr>
          <w:spacing w:val="-1"/>
        </w:rPr>
        <w:t xml:space="preserve"> </w:t>
      </w:r>
      <w:r>
        <w:t>regional</w:t>
      </w:r>
      <w:r>
        <w:rPr>
          <w:spacing w:val="-1"/>
        </w:rPr>
        <w:t xml:space="preserve"> </w:t>
      </w:r>
      <w:r>
        <w:t>areas.</w:t>
      </w:r>
    </w:p>
    <w:p w:rsidR="002C1123" w:rsidRDefault="00F22F94">
      <w:pPr>
        <w:pStyle w:val="BodyText"/>
        <w:spacing w:before="147" w:line="249" w:lineRule="auto"/>
        <w:ind w:left="196"/>
        <w:jc w:val="both"/>
      </w:pPr>
      <w:r>
        <w:rPr>
          <w:w w:val="95"/>
        </w:rPr>
        <w:t>Over</w:t>
      </w:r>
      <w:r>
        <w:rPr>
          <w:spacing w:val="-4"/>
          <w:w w:val="95"/>
        </w:rPr>
        <w:t xml:space="preserve"> </w:t>
      </w:r>
      <w:r>
        <w:rPr>
          <w:w w:val="95"/>
        </w:rPr>
        <w:t>the</w:t>
      </w:r>
      <w:r>
        <w:rPr>
          <w:spacing w:val="-4"/>
          <w:w w:val="95"/>
        </w:rPr>
        <w:t xml:space="preserve"> </w:t>
      </w:r>
      <w:r>
        <w:rPr>
          <w:w w:val="95"/>
        </w:rPr>
        <w:t>next</w:t>
      </w:r>
      <w:r>
        <w:rPr>
          <w:spacing w:val="-4"/>
          <w:w w:val="95"/>
        </w:rPr>
        <w:t xml:space="preserve"> </w:t>
      </w:r>
      <w:r>
        <w:rPr>
          <w:w w:val="95"/>
        </w:rPr>
        <w:t>20</w:t>
      </w:r>
      <w:r>
        <w:rPr>
          <w:spacing w:val="-4"/>
          <w:w w:val="95"/>
        </w:rPr>
        <w:t xml:space="preserve"> </w:t>
      </w:r>
      <w:r>
        <w:rPr>
          <w:w w:val="95"/>
        </w:rPr>
        <w:t>years,</w:t>
      </w:r>
      <w:r>
        <w:rPr>
          <w:spacing w:val="-4"/>
          <w:w w:val="95"/>
        </w:rPr>
        <w:t xml:space="preserve"> </w:t>
      </w:r>
      <w:r>
        <w:rPr>
          <w:w w:val="95"/>
        </w:rPr>
        <w:t>targeted</w:t>
      </w:r>
      <w:r>
        <w:rPr>
          <w:spacing w:val="-4"/>
          <w:w w:val="95"/>
        </w:rPr>
        <w:t xml:space="preserve"> </w:t>
      </w:r>
      <w:r>
        <w:rPr>
          <w:w w:val="95"/>
        </w:rPr>
        <w:t>investment</w:t>
      </w:r>
      <w:r>
        <w:rPr>
          <w:spacing w:val="-4"/>
          <w:w w:val="95"/>
        </w:rPr>
        <w:t xml:space="preserve"> </w:t>
      </w:r>
      <w:r>
        <w:rPr>
          <w:w w:val="95"/>
        </w:rPr>
        <w:t>is</w:t>
      </w:r>
      <w:r>
        <w:rPr>
          <w:spacing w:val="-4"/>
          <w:w w:val="95"/>
        </w:rPr>
        <w:t xml:space="preserve"> </w:t>
      </w:r>
      <w:r>
        <w:rPr>
          <w:w w:val="95"/>
        </w:rPr>
        <w:t>needed</w:t>
      </w:r>
      <w:r>
        <w:rPr>
          <w:spacing w:val="-4"/>
          <w:w w:val="95"/>
        </w:rPr>
        <w:t xml:space="preserve"> </w:t>
      </w:r>
      <w:r>
        <w:rPr>
          <w:w w:val="95"/>
        </w:rPr>
        <w:t>to support these commuting patterns, by improving access to</w:t>
      </w:r>
      <w:r>
        <w:rPr>
          <w:spacing w:val="-5"/>
          <w:w w:val="95"/>
        </w:rPr>
        <w:t xml:space="preserve"> </w:t>
      </w:r>
      <w:r>
        <w:rPr>
          <w:w w:val="95"/>
        </w:rPr>
        <w:t>the</w:t>
      </w:r>
      <w:r>
        <w:rPr>
          <w:spacing w:val="-5"/>
          <w:w w:val="95"/>
        </w:rPr>
        <w:t xml:space="preserve"> </w:t>
      </w:r>
      <w:r>
        <w:rPr>
          <w:w w:val="95"/>
        </w:rPr>
        <w:t>metropolitan</w:t>
      </w:r>
      <w:r>
        <w:rPr>
          <w:spacing w:val="-5"/>
          <w:w w:val="95"/>
        </w:rPr>
        <w:t xml:space="preserve"> </w:t>
      </w:r>
      <w:r>
        <w:rPr>
          <w:w w:val="95"/>
        </w:rPr>
        <w:t>areas</w:t>
      </w:r>
      <w:r>
        <w:rPr>
          <w:spacing w:val="-5"/>
          <w:w w:val="95"/>
        </w:rPr>
        <w:t xml:space="preserve"> </w:t>
      </w:r>
      <w:r>
        <w:rPr>
          <w:w w:val="95"/>
        </w:rPr>
        <w:t>and</w:t>
      </w:r>
      <w:r>
        <w:rPr>
          <w:spacing w:val="-5"/>
          <w:w w:val="95"/>
        </w:rPr>
        <w:t xml:space="preserve"> </w:t>
      </w:r>
      <w:r>
        <w:rPr>
          <w:w w:val="95"/>
        </w:rPr>
        <w:t>access</w:t>
      </w:r>
      <w:r>
        <w:rPr>
          <w:spacing w:val="-5"/>
          <w:w w:val="95"/>
        </w:rPr>
        <w:t xml:space="preserve"> </w:t>
      </w:r>
      <w:r>
        <w:rPr>
          <w:w w:val="95"/>
        </w:rPr>
        <w:t>to</w:t>
      </w:r>
      <w:r>
        <w:rPr>
          <w:spacing w:val="-5"/>
          <w:w w:val="95"/>
        </w:rPr>
        <w:t xml:space="preserve"> </w:t>
      </w:r>
      <w:r>
        <w:rPr>
          <w:w w:val="95"/>
        </w:rPr>
        <w:t>air</w:t>
      </w:r>
      <w:r>
        <w:rPr>
          <w:spacing w:val="-5"/>
          <w:w w:val="95"/>
        </w:rPr>
        <w:t xml:space="preserve"> </w:t>
      </w:r>
      <w:r>
        <w:rPr>
          <w:w w:val="95"/>
        </w:rPr>
        <w:t>travel,</w:t>
      </w:r>
      <w:r>
        <w:rPr>
          <w:spacing w:val="-5"/>
          <w:w w:val="95"/>
        </w:rPr>
        <w:t xml:space="preserve"> </w:t>
      </w:r>
      <w:r>
        <w:rPr>
          <w:w w:val="95"/>
        </w:rPr>
        <w:t>both</w:t>
      </w:r>
      <w:r>
        <w:rPr>
          <w:spacing w:val="-5"/>
          <w:w w:val="95"/>
        </w:rPr>
        <w:t xml:space="preserve"> </w:t>
      </w:r>
      <w:r>
        <w:rPr>
          <w:w w:val="95"/>
        </w:rPr>
        <w:t xml:space="preserve">of </w:t>
      </w:r>
      <w:r>
        <w:t>which are discussed in Section 10.</w:t>
      </w:r>
    </w:p>
    <w:p w:rsidR="002C1123" w:rsidRDefault="00F22F94">
      <w:pPr>
        <w:pStyle w:val="Heading6"/>
        <w:numPr>
          <w:ilvl w:val="2"/>
          <w:numId w:val="103"/>
        </w:numPr>
        <w:tabs>
          <w:tab w:val="left" w:pos="683"/>
        </w:tabs>
        <w:spacing w:before="145"/>
        <w:ind w:left="682" w:hanging="487"/>
        <w:jc w:val="left"/>
        <w:rPr>
          <w:color w:val="EC008C"/>
        </w:rPr>
      </w:pPr>
      <w:r>
        <w:rPr>
          <w:color w:val="EC008C"/>
          <w:w w:val="95"/>
        </w:rPr>
        <w:t>Improving</w:t>
      </w:r>
      <w:r>
        <w:rPr>
          <w:color w:val="EC008C"/>
          <w:spacing w:val="4"/>
        </w:rPr>
        <w:t xml:space="preserve"> </w:t>
      </w:r>
      <w:r>
        <w:rPr>
          <w:color w:val="EC008C"/>
          <w:w w:val="95"/>
        </w:rPr>
        <w:t>Local</w:t>
      </w:r>
      <w:r>
        <w:rPr>
          <w:color w:val="EC008C"/>
          <w:spacing w:val="4"/>
        </w:rPr>
        <w:t xml:space="preserve"> </w:t>
      </w:r>
      <w:r>
        <w:rPr>
          <w:color w:val="EC008C"/>
          <w:spacing w:val="-2"/>
          <w:w w:val="95"/>
        </w:rPr>
        <w:t>Transport</w:t>
      </w:r>
    </w:p>
    <w:p w:rsidR="002C1123" w:rsidRDefault="00F22F94">
      <w:pPr>
        <w:pStyle w:val="BodyText"/>
        <w:spacing w:before="95" w:line="249" w:lineRule="auto"/>
        <w:ind w:left="196" w:right="19"/>
      </w:pPr>
      <w:r>
        <w:t xml:space="preserve">The implications of ‘two-speed’ economic and </w:t>
      </w:r>
      <w:r>
        <w:rPr>
          <w:w w:val="95"/>
        </w:rPr>
        <w:t xml:space="preserve">population growth for regional communities needs </w:t>
      </w:r>
      <w:r>
        <w:t>careful</w:t>
      </w:r>
      <w:r>
        <w:rPr>
          <w:spacing w:val="-11"/>
        </w:rPr>
        <w:t xml:space="preserve"> </w:t>
      </w:r>
      <w:r>
        <w:t>consideration.</w:t>
      </w:r>
    </w:p>
    <w:p w:rsidR="002C1123" w:rsidRDefault="00F22F94">
      <w:pPr>
        <w:pStyle w:val="BodyText"/>
        <w:spacing w:before="145" w:line="249" w:lineRule="auto"/>
        <w:ind w:left="196" w:right="19"/>
      </w:pPr>
      <w:r>
        <w:t>Regions</w:t>
      </w:r>
      <w:r>
        <w:rPr>
          <w:spacing w:val="-9"/>
        </w:rPr>
        <w:t xml:space="preserve"> </w:t>
      </w:r>
      <w:r>
        <w:t>expected</w:t>
      </w:r>
      <w:r>
        <w:rPr>
          <w:spacing w:val="-9"/>
        </w:rPr>
        <w:t xml:space="preserve"> </w:t>
      </w:r>
      <w:r>
        <w:t>to</w:t>
      </w:r>
      <w:r>
        <w:rPr>
          <w:spacing w:val="-9"/>
        </w:rPr>
        <w:t xml:space="preserve"> </w:t>
      </w:r>
      <w:r>
        <w:t>achieve</w:t>
      </w:r>
      <w:r>
        <w:rPr>
          <w:spacing w:val="-9"/>
        </w:rPr>
        <w:t xml:space="preserve"> </w:t>
      </w:r>
      <w:r>
        <w:t>steady</w:t>
      </w:r>
      <w:r>
        <w:rPr>
          <w:spacing w:val="-9"/>
        </w:rPr>
        <w:t xml:space="preserve"> </w:t>
      </w:r>
      <w:r>
        <w:t>growth</w:t>
      </w:r>
      <w:r>
        <w:rPr>
          <w:spacing w:val="-9"/>
        </w:rPr>
        <w:t xml:space="preserve"> </w:t>
      </w:r>
      <w:r>
        <w:t>in employment</w:t>
      </w:r>
      <w:r>
        <w:rPr>
          <w:spacing w:val="-6"/>
        </w:rPr>
        <w:t xml:space="preserve"> </w:t>
      </w:r>
      <w:r>
        <w:t>and</w:t>
      </w:r>
      <w:r>
        <w:rPr>
          <w:spacing w:val="-6"/>
        </w:rPr>
        <w:t xml:space="preserve"> </w:t>
      </w:r>
      <w:r>
        <w:t>population</w:t>
      </w:r>
      <w:r>
        <w:rPr>
          <w:spacing w:val="-6"/>
        </w:rPr>
        <w:t xml:space="preserve"> </w:t>
      </w:r>
      <w:r>
        <w:t>will</w:t>
      </w:r>
      <w:r>
        <w:rPr>
          <w:spacing w:val="-6"/>
        </w:rPr>
        <w:t xml:space="preserve"> </w:t>
      </w:r>
      <w:r>
        <w:t>need</w:t>
      </w:r>
      <w:r>
        <w:rPr>
          <w:spacing w:val="-6"/>
        </w:rPr>
        <w:t xml:space="preserve"> </w:t>
      </w:r>
      <w:r>
        <w:t xml:space="preserve">additional </w:t>
      </w:r>
      <w:r>
        <w:rPr>
          <w:w w:val="95"/>
        </w:rPr>
        <w:t>investment in both hard and soft infrastructure. Local congestion</w:t>
      </w:r>
      <w:r>
        <w:rPr>
          <w:spacing w:val="-6"/>
          <w:w w:val="95"/>
        </w:rPr>
        <w:t xml:space="preserve"> </w:t>
      </w:r>
      <w:r>
        <w:rPr>
          <w:w w:val="95"/>
        </w:rPr>
        <w:t>and</w:t>
      </w:r>
      <w:r>
        <w:rPr>
          <w:spacing w:val="-6"/>
          <w:w w:val="95"/>
        </w:rPr>
        <w:t xml:space="preserve"> </w:t>
      </w:r>
      <w:r>
        <w:rPr>
          <w:w w:val="95"/>
        </w:rPr>
        <w:t>environmental</w:t>
      </w:r>
      <w:r>
        <w:rPr>
          <w:spacing w:val="-6"/>
          <w:w w:val="95"/>
        </w:rPr>
        <w:t xml:space="preserve"> </w:t>
      </w:r>
      <w:r>
        <w:rPr>
          <w:w w:val="95"/>
        </w:rPr>
        <w:t>issues</w:t>
      </w:r>
      <w:r>
        <w:rPr>
          <w:spacing w:val="-6"/>
          <w:w w:val="95"/>
        </w:rPr>
        <w:t xml:space="preserve"> </w:t>
      </w:r>
      <w:r>
        <w:rPr>
          <w:w w:val="95"/>
        </w:rPr>
        <w:t>can</w:t>
      </w:r>
      <w:r>
        <w:rPr>
          <w:spacing w:val="-6"/>
          <w:w w:val="95"/>
        </w:rPr>
        <w:t xml:space="preserve"> </w:t>
      </w:r>
      <w:r>
        <w:rPr>
          <w:w w:val="95"/>
        </w:rPr>
        <w:t>have</w:t>
      </w:r>
      <w:r>
        <w:rPr>
          <w:spacing w:val="-6"/>
          <w:w w:val="95"/>
        </w:rPr>
        <w:t xml:space="preserve"> </w:t>
      </w:r>
      <w:r>
        <w:rPr>
          <w:w w:val="95"/>
        </w:rPr>
        <w:t xml:space="preserve">major </w:t>
      </w:r>
      <w:r>
        <w:t>impacts</w:t>
      </w:r>
      <w:r>
        <w:rPr>
          <w:spacing w:val="-2"/>
        </w:rPr>
        <w:t xml:space="preserve"> </w:t>
      </w:r>
      <w:r>
        <w:t>of</w:t>
      </w:r>
      <w:r>
        <w:rPr>
          <w:spacing w:val="-2"/>
        </w:rPr>
        <w:t xml:space="preserve"> </w:t>
      </w:r>
      <w:r>
        <w:t>people’s</w:t>
      </w:r>
      <w:r>
        <w:rPr>
          <w:spacing w:val="-2"/>
        </w:rPr>
        <w:t xml:space="preserve"> </w:t>
      </w:r>
      <w:r>
        <w:t>quality</w:t>
      </w:r>
      <w:r>
        <w:rPr>
          <w:spacing w:val="-2"/>
        </w:rPr>
        <w:t xml:space="preserve"> </w:t>
      </w:r>
      <w:r>
        <w:t>of</w:t>
      </w:r>
      <w:r>
        <w:rPr>
          <w:spacing w:val="-2"/>
        </w:rPr>
        <w:t xml:space="preserve"> </w:t>
      </w:r>
      <w:r>
        <w:t>life.</w:t>
      </w:r>
    </w:p>
    <w:p w:rsidR="002C1123" w:rsidRDefault="00F22F94">
      <w:pPr>
        <w:pStyle w:val="BodyText"/>
        <w:spacing w:before="146" w:line="249" w:lineRule="auto"/>
        <w:ind w:left="196" w:right="19"/>
      </w:pPr>
      <w:r>
        <w:rPr>
          <w:w w:val="95"/>
        </w:rPr>
        <w:t>For</w:t>
      </w:r>
      <w:r>
        <w:rPr>
          <w:spacing w:val="-4"/>
          <w:w w:val="95"/>
        </w:rPr>
        <w:t xml:space="preserve"> </w:t>
      </w:r>
      <w:r>
        <w:rPr>
          <w:w w:val="95"/>
        </w:rPr>
        <w:t>example,</w:t>
      </w:r>
      <w:r>
        <w:rPr>
          <w:spacing w:val="-4"/>
          <w:w w:val="95"/>
        </w:rPr>
        <w:t xml:space="preserve"> </w:t>
      </w:r>
      <w:r>
        <w:rPr>
          <w:w w:val="95"/>
        </w:rPr>
        <w:t>action</w:t>
      </w:r>
      <w:r>
        <w:rPr>
          <w:spacing w:val="-4"/>
          <w:w w:val="95"/>
        </w:rPr>
        <w:t xml:space="preserve"> </w:t>
      </w:r>
      <w:r>
        <w:rPr>
          <w:w w:val="95"/>
        </w:rPr>
        <w:t>is</w:t>
      </w:r>
      <w:r>
        <w:rPr>
          <w:spacing w:val="-4"/>
          <w:w w:val="95"/>
        </w:rPr>
        <w:t xml:space="preserve"> </w:t>
      </w:r>
      <w:r>
        <w:rPr>
          <w:w w:val="95"/>
        </w:rPr>
        <w:t>needed</w:t>
      </w:r>
      <w:r>
        <w:rPr>
          <w:spacing w:val="-4"/>
          <w:w w:val="95"/>
        </w:rPr>
        <w:t xml:space="preserve"> </w:t>
      </w:r>
      <w:r>
        <w:rPr>
          <w:w w:val="95"/>
        </w:rPr>
        <w:t>in</w:t>
      </w:r>
      <w:r>
        <w:rPr>
          <w:spacing w:val="-4"/>
          <w:w w:val="95"/>
        </w:rPr>
        <w:t xml:space="preserve"> </w:t>
      </w:r>
      <w:r>
        <w:rPr>
          <w:w w:val="95"/>
        </w:rPr>
        <w:t>the</w:t>
      </w:r>
      <w:r>
        <w:rPr>
          <w:spacing w:val="-4"/>
          <w:w w:val="95"/>
        </w:rPr>
        <w:t xml:space="preserve"> </w:t>
      </w:r>
      <w:r>
        <w:rPr>
          <w:w w:val="95"/>
        </w:rPr>
        <w:t>Hunter</w:t>
      </w:r>
      <w:r>
        <w:rPr>
          <w:spacing w:val="-4"/>
          <w:w w:val="95"/>
        </w:rPr>
        <w:t xml:space="preserve"> </w:t>
      </w:r>
      <w:r>
        <w:rPr>
          <w:w w:val="95"/>
        </w:rPr>
        <w:t>to</w:t>
      </w:r>
      <w:r>
        <w:rPr>
          <w:spacing w:val="-4"/>
          <w:w w:val="95"/>
        </w:rPr>
        <w:t xml:space="preserve"> </w:t>
      </w:r>
      <w:r>
        <w:rPr>
          <w:w w:val="95"/>
        </w:rPr>
        <w:t xml:space="preserve">manage </w:t>
      </w:r>
      <w:r>
        <w:t>the</w:t>
      </w:r>
      <w:r>
        <w:rPr>
          <w:spacing w:val="-10"/>
        </w:rPr>
        <w:t xml:space="preserve"> </w:t>
      </w:r>
      <w:r>
        <w:t>amenity</w:t>
      </w:r>
      <w:r>
        <w:rPr>
          <w:spacing w:val="-10"/>
        </w:rPr>
        <w:t xml:space="preserve"> </w:t>
      </w:r>
      <w:r>
        <w:t>effects</w:t>
      </w:r>
      <w:r>
        <w:rPr>
          <w:spacing w:val="-10"/>
        </w:rPr>
        <w:t xml:space="preserve"> </w:t>
      </w:r>
      <w:r>
        <w:t>of</w:t>
      </w:r>
      <w:r>
        <w:rPr>
          <w:spacing w:val="-10"/>
        </w:rPr>
        <w:t xml:space="preserve"> </w:t>
      </w:r>
      <w:r>
        <w:t>rapid</w:t>
      </w:r>
      <w:r>
        <w:rPr>
          <w:spacing w:val="-10"/>
        </w:rPr>
        <w:t xml:space="preserve"> </w:t>
      </w:r>
      <w:r>
        <w:t>growth</w:t>
      </w:r>
      <w:r>
        <w:rPr>
          <w:spacing w:val="-10"/>
        </w:rPr>
        <w:t xml:space="preserve"> </w:t>
      </w:r>
      <w:r>
        <w:t>in</w:t>
      </w:r>
      <w:r>
        <w:rPr>
          <w:spacing w:val="-10"/>
        </w:rPr>
        <w:t xml:space="preserve"> </w:t>
      </w:r>
      <w:r>
        <w:t>the</w:t>
      </w:r>
      <w:r>
        <w:rPr>
          <w:spacing w:val="-10"/>
        </w:rPr>
        <w:t xml:space="preserve"> </w:t>
      </w:r>
      <w:r>
        <w:t>size</w:t>
      </w:r>
      <w:r>
        <w:rPr>
          <w:spacing w:val="-10"/>
        </w:rPr>
        <w:t xml:space="preserve"> </w:t>
      </w:r>
      <w:r>
        <w:t>and frequency</w:t>
      </w:r>
      <w:r>
        <w:rPr>
          <w:spacing w:val="-6"/>
        </w:rPr>
        <w:t xml:space="preserve"> </w:t>
      </w:r>
      <w:r>
        <w:t>of</w:t>
      </w:r>
      <w:r>
        <w:rPr>
          <w:spacing w:val="-6"/>
        </w:rPr>
        <w:t xml:space="preserve"> </w:t>
      </w:r>
      <w:r>
        <w:t>coal</w:t>
      </w:r>
      <w:r>
        <w:rPr>
          <w:spacing w:val="-6"/>
        </w:rPr>
        <w:t xml:space="preserve"> </w:t>
      </w:r>
      <w:r>
        <w:t>transportation.</w:t>
      </w:r>
      <w:r>
        <w:rPr>
          <w:spacing w:val="-6"/>
        </w:rPr>
        <w:t xml:space="preserve"> </w:t>
      </w:r>
      <w:r>
        <w:t>Mining</w:t>
      </w:r>
      <w:r>
        <w:rPr>
          <w:spacing w:val="-6"/>
        </w:rPr>
        <w:t xml:space="preserve"> </w:t>
      </w:r>
      <w:r>
        <w:t xml:space="preserve">affected </w:t>
      </w:r>
      <w:r>
        <w:rPr>
          <w:w w:val="95"/>
        </w:rPr>
        <w:t xml:space="preserve">communities face a specific set of transport challenges </w:t>
      </w:r>
      <w:r>
        <w:t>associated</w:t>
      </w:r>
      <w:r>
        <w:rPr>
          <w:spacing w:val="-7"/>
        </w:rPr>
        <w:t xml:space="preserve"> </w:t>
      </w:r>
      <w:r>
        <w:t>with</w:t>
      </w:r>
      <w:r>
        <w:rPr>
          <w:spacing w:val="-7"/>
        </w:rPr>
        <w:t xml:space="preserve"> </w:t>
      </w:r>
      <w:r>
        <w:t>rail</w:t>
      </w:r>
      <w:r>
        <w:rPr>
          <w:spacing w:val="-7"/>
        </w:rPr>
        <w:t xml:space="preserve"> </w:t>
      </w:r>
      <w:r>
        <w:t>lines</w:t>
      </w:r>
      <w:r>
        <w:rPr>
          <w:spacing w:val="-7"/>
        </w:rPr>
        <w:t xml:space="preserve"> </w:t>
      </w:r>
      <w:r>
        <w:t>and</w:t>
      </w:r>
      <w:r>
        <w:rPr>
          <w:spacing w:val="-7"/>
        </w:rPr>
        <w:t xml:space="preserve"> </w:t>
      </w:r>
      <w:r>
        <w:t>crossings.</w:t>
      </w:r>
    </w:p>
    <w:p w:rsidR="002C1123" w:rsidRDefault="00F22F94">
      <w:pPr>
        <w:pStyle w:val="BodyText"/>
        <w:spacing w:before="141" w:line="249" w:lineRule="auto"/>
        <w:ind w:left="196" w:right="82"/>
        <w:jc w:val="both"/>
      </w:pPr>
      <w:r>
        <w:t xml:space="preserve">Across the regions, rural roads need adequate </w:t>
      </w:r>
      <w:r>
        <w:rPr>
          <w:w w:val="95"/>
        </w:rPr>
        <w:t>maintenance</w:t>
      </w:r>
      <w:r>
        <w:rPr>
          <w:spacing w:val="-3"/>
          <w:w w:val="95"/>
        </w:rPr>
        <w:t xml:space="preserve"> </w:t>
      </w:r>
      <w:r>
        <w:rPr>
          <w:w w:val="95"/>
        </w:rPr>
        <w:t>and</w:t>
      </w:r>
      <w:r>
        <w:rPr>
          <w:spacing w:val="-3"/>
          <w:w w:val="95"/>
        </w:rPr>
        <w:t xml:space="preserve"> </w:t>
      </w:r>
      <w:r>
        <w:rPr>
          <w:w w:val="95"/>
        </w:rPr>
        <w:t>upgrading</w:t>
      </w:r>
      <w:r>
        <w:rPr>
          <w:spacing w:val="-2"/>
          <w:w w:val="95"/>
        </w:rPr>
        <w:t xml:space="preserve"> </w:t>
      </w:r>
      <w:r>
        <w:rPr>
          <w:w w:val="95"/>
        </w:rPr>
        <w:t>where</w:t>
      </w:r>
      <w:r>
        <w:rPr>
          <w:spacing w:val="-3"/>
          <w:w w:val="95"/>
        </w:rPr>
        <w:t xml:space="preserve"> </w:t>
      </w:r>
      <w:r>
        <w:rPr>
          <w:w w:val="95"/>
        </w:rPr>
        <w:t>required</w:t>
      </w:r>
      <w:r>
        <w:rPr>
          <w:spacing w:val="-2"/>
          <w:w w:val="95"/>
        </w:rPr>
        <w:t xml:space="preserve"> </w:t>
      </w:r>
      <w:r>
        <w:rPr>
          <w:w w:val="95"/>
        </w:rPr>
        <w:t>for</w:t>
      </w:r>
      <w:r>
        <w:rPr>
          <w:spacing w:val="-3"/>
          <w:w w:val="95"/>
        </w:rPr>
        <w:t xml:space="preserve"> </w:t>
      </w:r>
      <w:r>
        <w:rPr>
          <w:spacing w:val="-2"/>
          <w:w w:val="95"/>
        </w:rPr>
        <w:t>growing</w:t>
      </w:r>
    </w:p>
    <w:p w:rsidR="002C1123" w:rsidRDefault="00F22F94">
      <w:pPr>
        <w:pStyle w:val="Heading6"/>
        <w:numPr>
          <w:ilvl w:val="2"/>
          <w:numId w:val="103"/>
        </w:numPr>
        <w:tabs>
          <w:tab w:val="left" w:pos="681"/>
        </w:tabs>
        <w:ind w:left="680" w:hanging="487"/>
        <w:jc w:val="left"/>
        <w:rPr>
          <w:color w:val="EC008C"/>
        </w:rPr>
      </w:pPr>
      <w:r>
        <w:rPr>
          <w:b w:val="0"/>
        </w:rPr>
        <w:br w:type="column"/>
      </w:r>
      <w:r>
        <w:rPr>
          <w:color w:val="EC008C"/>
          <w:spacing w:val="-2"/>
        </w:rPr>
        <w:t>Access</w:t>
      </w:r>
      <w:r>
        <w:rPr>
          <w:color w:val="EC008C"/>
          <w:spacing w:val="-8"/>
        </w:rPr>
        <w:t xml:space="preserve"> </w:t>
      </w:r>
      <w:r>
        <w:rPr>
          <w:color w:val="EC008C"/>
          <w:spacing w:val="-2"/>
        </w:rPr>
        <w:t>to</w:t>
      </w:r>
      <w:r>
        <w:rPr>
          <w:color w:val="EC008C"/>
          <w:spacing w:val="-8"/>
        </w:rPr>
        <w:t xml:space="preserve"> </w:t>
      </w:r>
      <w:r>
        <w:rPr>
          <w:color w:val="EC008C"/>
          <w:spacing w:val="-2"/>
        </w:rPr>
        <w:t>markets</w:t>
      </w:r>
    </w:p>
    <w:p w:rsidR="002C1123" w:rsidRDefault="00F22F94">
      <w:pPr>
        <w:pStyle w:val="BodyText"/>
        <w:spacing w:before="95" w:line="249" w:lineRule="auto"/>
        <w:ind w:left="194" w:right="887"/>
      </w:pPr>
      <w:r>
        <w:t>The</w:t>
      </w:r>
      <w:r>
        <w:rPr>
          <w:spacing w:val="-10"/>
        </w:rPr>
        <w:t xml:space="preserve"> </w:t>
      </w:r>
      <w:r>
        <w:t>ability</w:t>
      </w:r>
      <w:r>
        <w:rPr>
          <w:spacing w:val="-10"/>
        </w:rPr>
        <w:t xml:space="preserve"> </w:t>
      </w:r>
      <w:r>
        <w:t>of</w:t>
      </w:r>
      <w:r>
        <w:rPr>
          <w:spacing w:val="-10"/>
        </w:rPr>
        <w:t xml:space="preserve"> </w:t>
      </w:r>
      <w:r>
        <w:t>NSW</w:t>
      </w:r>
      <w:r>
        <w:rPr>
          <w:spacing w:val="-10"/>
        </w:rPr>
        <w:t xml:space="preserve"> </w:t>
      </w:r>
      <w:r>
        <w:t>producers</w:t>
      </w:r>
      <w:r>
        <w:rPr>
          <w:spacing w:val="-10"/>
        </w:rPr>
        <w:t xml:space="preserve"> </w:t>
      </w:r>
      <w:r>
        <w:t>to</w:t>
      </w:r>
      <w:r>
        <w:rPr>
          <w:spacing w:val="-10"/>
        </w:rPr>
        <w:t xml:space="preserve"> </w:t>
      </w:r>
      <w:r>
        <w:t>get</w:t>
      </w:r>
      <w:r>
        <w:rPr>
          <w:spacing w:val="-10"/>
        </w:rPr>
        <w:t xml:space="preserve"> </w:t>
      </w:r>
      <w:r>
        <w:t xml:space="preserve">agriculture, </w:t>
      </w:r>
      <w:r>
        <w:rPr>
          <w:w w:val="95"/>
        </w:rPr>
        <w:t xml:space="preserve">industrial products and natural resources to market by </w:t>
      </w:r>
      <w:r>
        <w:t>road</w:t>
      </w:r>
      <w:r>
        <w:rPr>
          <w:spacing w:val="-13"/>
        </w:rPr>
        <w:t xml:space="preserve"> </w:t>
      </w:r>
      <w:r>
        <w:t>in</w:t>
      </w:r>
      <w:r>
        <w:rPr>
          <w:spacing w:val="-13"/>
        </w:rPr>
        <w:t xml:space="preserve"> </w:t>
      </w:r>
      <w:r>
        <w:t>a</w:t>
      </w:r>
      <w:r>
        <w:rPr>
          <w:spacing w:val="-13"/>
        </w:rPr>
        <w:t xml:space="preserve"> </w:t>
      </w:r>
      <w:r>
        <w:t>timely</w:t>
      </w:r>
      <w:r>
        <w:rPr>
          <w:spacing w:val="-13"/>
        </w:rPr>
        <w:t xml:space="preserve"> </w:t>
      </w:r>
      <w:r>
        <w:t>and</w:t>
      </w:r>
      <w:r>
        <w:rPr>
          <w:spacing w:val="-13"/>
        </w:rPr>
        <w:t xml:space="preserve"> </w:t>
      </w:r>
      <w:r>
        <w:t>efficient</w:t>
      </w:r>
      <w:r>
        <w:rPr>
          <w:spacing w:val="-13"/>
        </w:rPr>
        <w:t xml:space="preserve"> </w:t>
      </w:r>
      <w:r>
        <w:t>manner</w:t>
      </w:r>
      <w:r>
        <w:rPr>
          <w:spacing w:val="-13"/>
        </w:rPr>
        <w:t xml:space="preserve"> </w:t>
      </w:r>
      <w:r>
        <w:t>directly</w:t>
      </w:r>
      <w:r>
        <w:rPr>
          <w:spacing w:val="-13"/>
        </w:rPr>
        <w:t xml:space="preserve"> </w:t>
      </w:r>
      <w:r>
        <w:t>impacts on</w:t>
      </w:r>
      <w:r>
        <w:rPr>
          <w:spacing w:val="-14"/>
        </w:rPr>
        <w:t xml:space="preserve"> </w:t>
      </w:r>
      <w:r>
        <w:t>productivity</w:t>
      </w:r>
      <w:r>
        <w:rPr>
          <w:spacing w:val="-14"/>
        </w:rPr>
        <w:t xml:space="preserve"> </w:t>
      </w:r>
      <w:r>
        <w:t>and</w:t>
      </w:r>
      <w:r>
        <w:rPr>
          <w:spacing w:val="-14"/>
        </w:rPr>
        <w:t xml:space="preserve"> </w:t>
      </w:r>
      <w:r>
        <w:t>competitiveness</w:t>
      </w:r>
      <w:r>
        <w:rPr>
          <w:spacing w:val="-14"/>
        </w:rPr>
        <w:t xml:space="preserve"> </w:t>
      </w:r>
      <w:r>
        <w:t>–</w:t>
      </w:r>
      <w:r>
        <w:rPr>
          <w:spacing w:val="-14"/>
        </w:rPr>
        <w:t xml:space="preserve"> </w:t>
      </w:r>
      <w:r>
        <w:t>and</w:t>
      </w:r>
      <w:r>
        <w:rPr>
          <w:spacing w:val="-14"/>
        </w:rPr>
        <w:t xml:space="preserve"> </w:t>
      </w:r>
      <w:r>
        <w:t>hence</w:t>
      </w:r>
      <w:r>
        <w:rPr>
          <w:spacing w:val="-14"/>
        </w:rPr>
        <w:t xml:space="preserve"> </w:t>
      </w:r>
      <w:r>
        <w:t>the economic</w:t>
      </w:r>
      <w:r>
        <w:rPr>
          <w:spacing w:val="-13"/>
        </w:rPr>
        <w:t xml:space="preserve"> </w:t>
      </w:r>
      <w:r>
        <w:t>performance</w:t>
      </w:r>
      <w:r>
        <w:rPr>
          <w:spacing w:val="-13"/>
        </w:rPr>
        <w:t xml:space="preserve"> </w:t>
      </w:r>
      <w:r>
        <w:t>of</w:t>
      </w:r>
      <w:r>
        <w:rPr>
          <w:spacing w:val="-13"/>
        </w:rPr>
        <w:t xml:space="preserve"> </w:t>
      </w:r>
      <w:r>
        <w:t>Regional</w:t>
      </w:r>
      <w:r>
        <w:rPr>
          <w:spacing w:val="-13"/>
        </w:rPr>
        <w:t xml:space="preserve"> </w:t>
      </w:r>
      <w:r>
        <w:t>NSW.</w:t>
      </w:r>
      <w:r>
        <w:rPr>
          <w:spacing w:val="-13"/>
        </w:rPr>
        <w:t xml:space="preserve"> </w:t>
      </w:r>
      <w:r>
        <w:t xml:space="preserve">Regional </w:t>
      </w:r>
      <w:r>
        <w:rPr>
          <w:w w:val="95"/>
        </w:rPr>
        <w:t>production</w:t>
      </w:r>
      <w:r>
        <w:rPr>
          <w:spacing w:val="-7"/>
          <w:w w:val="95"/>
        </w:rPr>
        <w:t xml:space="preserve"> </w:t>
      </w:r>
      <w:r>
        <w:rPr>
          <w:w w:val="95"/>
        </w:rPr>
        <w:t>is</w:t>
      </w:r>
      <w:r>
        <w:rPr>
          <w:spacing w:val="-7"/>
          <w:w w:val="95"/>
        </w:rPr>
        <w:t xml:space="preserve"> </w:t>
      </w:r>
      <w:r>
        <w:rPr>
          <w:w w:val="95"/>
        </w:rPr>
        <w:t>heavily</w:t>
      </w:r>
      <w:r>
        <w:rPr>
          <w:spacing w:val="-7"/>
          <w:w w:val="95"/>
        </w:rPr>
        <w:t xml:space="preserve"> </w:t>
      </w:r>
      <w:r>
        <w:rPr>
          <w:w w:val="95"/>
        </w:rPr>
        <w:t>reliant</w:t>
      </w:r>
      <w:r>
        <w:rPr>
          <w:spacing w:val="-7"/>
          <w:w w:val="95"/>
        </w:rPr>
        <w:t xml:space="preserve"> </w:t>
      </w:r>
      <w:r>
        <w:rPr>
          <w:w w:val="95"/>
        </w:rPr>
        <w:t>upon</w:t>
      </w:r>
      <w:r>
        <w:rPr>
          <w:spacing w:val="-7"/>
          <w:w w:val="95"/>
        </w:rPr>
        <w:t xml:space="preserve"> </w:t>
      </w:r>
      <w:r>
        <w:rPr>
          <w:w w:val="95"/>
        </w:rPr>
        <w:t>efficient</w:t>
      </w:r>
      <w:r>
        <w:rPr>
          <w:spacing w:val="-7"/>
          <w:w w:val="95"/>
        </w:rPr>
        <w:t xml:space="preserve"> </w:t>
      </w:r>
      <w:r>
        <w:rPr>
          <w:w w:val="95"/>
        </w:rPr>
        <w:t>and</w:t>
      </w:r>
      <w:r>
        <w:rPr>
          <w:spacing w:val="-7"/>
          <w:w w:val="95"/>
        </w:rPr>
        <w:t xml:space="preserve"> </w:t>
      </w:r>
      <w:r>
        <w:rPr>
          <w:w w:val="95"/>
        </w:rPr>
        <w:t xml:space="preserve">effective </w:t>
      </w:r>
      <w:r>
        <w:t>transport</w:t>
      </w:r>
      <w:r>
        <w:rPr>
          <w:spacing w:val="-11"/>
        </w:rPr>
        <w:t xml:space="preserve"> </w:t>
      </w:r>
      <w:r>
        <w:t>networks.</w:t>
      </w:r>
    </w:p>
    <w:p w:rsidR="002C1123" w:rsidRDefault="00F22F94">
      <w:pPr>
        <w:pStyle w:val="BodyText"/>
        <w:spacing w:before="148" w:line="249" w:lineRule="auto"/>
        <w:ind w:left="194" w:right="678" w:hanging="1"/>
      </w:pPr>
      <w:r>
        <w:t>Australia</w:t>
      </w:r>
      <w:r>
        <w:rPr>
          <w:spacing w:val="-14"/>
        </w:rPr>
        <w:t xml:space="preserve"> </w:t>
      </w:r>
      <w:r>
        <w:t>uses</w:t>
      </w:r>
      <w:r>
        <w:rPr>
          <w:spacing w:val="-14"/>
        </w:rPr>
        <w:t xml:space="preserve"> </w:t>
      </w:r>
      <w:r>
        <w:t>three</w:t>
      </w:r>
      <w:r>
        <w:rPr>
          <w:spacing w:val="-14"/>
        </w:rPr>
        <w:t xml:space="preserve"> </w:t>
      </w:r>
      <w:r>
        <w:t>times</w:t>
      </w:r>
      <w:r>
        <w:rPr>
          <w:spacing w:val="-14"/>
        </w:rPr>
        <w:t xml:space="preserve"> </w:t>
      </w:r>
      <w:r>
        <w:t>as</w:t>
      </w:r>
      <w:r>
        <w:rPr>
          <w:spacing w:val="-14"/>
        </w:rPr>
        <w:t xml:space="preserve"> </w:t>
      </w:r>
      <w:r>
        <w:t>much</w:t>
      </w:r>
      <w:r>
        <w:rPr>
          <w:spacing w:val="-14"/>
        </w:rPr>
        <w:t xml:space="preserve"> </w:t>
      </w:r>
      <w:r>
        <w:t>freight</w:t>
      </w:r>
      <w:r>
        <w:rPr>
          <w:spacing w:val="-14"/>
        </w:rPr>
        <w:t xml:space="preserve"> </w:t>
      </w:r>
      <w:r>
        <w:t>activity</w:t>
      </w:r>
      <w:r>
        <w:rPr>
          <w:spacing w:val="-14"/>
        </w:rPr>
        <w:t xml:space="preserve"> </w:t>
      </w:r>
      <w:r>
        <w:t xml:space="preserve">to </w:t>
      </w:r>
      <w:r>
        <w:rPr>
          <w:spacing w:val="-2"/>
          <w:w w:val="95"/>
        </w:rPr>
        <w:t>produce</w:t>
      </w:r>
      <w:r>
        <w:rPr>
          <w:spacing w:val="-7"/>
          <w:w w:val="95"/>
        </w:rPr>
        <w:t xml:space="preserve"> </w:t>
      </w:r>
      <w:r>
        <w:rPr>
          <w:spacing w:val="-2"/>
          <w:w w:val="95"/>
        </w:rPr>
        <w:t>one</w:t>
      </w:r>
      <w:r>
        <w:rPr>
          <w:spacing w:val="-7"/>
          <w:w w:val="95"/>
        </w:rPr>
        <w:t xml:space="preserve"> </w:t>
      </w:r>
      <w:r>
        <w:rPr>
          <w:spacing w:val="-2"/>
          <w:w w:val="95"/>
        </w:rPr>
        <w:t>dollar</w:t>
      </w:r>
      <w:r>
        <w:rPr>
          <w:spacing w:val="-7"/>
          <w:w w:val="95"/>
        </w:rPr>
        <w:t xml:space="preserve"> </w:t>
      </w:r>
      <w:r>
        <w:rPr>
          <w:spacing w:val="-2"/>
          <w:w w:val="95"/>
        </w:rPr>
        <w:t>of</w:t>
      </w:r>
      <w:r>
        <w:rPr>
          <w:spacing w:val="-7"/>
          <w:w w:val="95"/>
        </w:rPr>
        <w:t xml:space="preserve"> </w:t>
      </w:r>
      <w:r>
        <w:rPr>
          <w:spacing w:val="-2"/>
          <w:w w:val="95"/>
        </w:rPr>
        <w:t>economic</w:t>
      </w:r>
      <w:r>
        <w:rPr>
          <w:spacing w:val="-7"/>
          <w:w w:val="95"/>
        </w:rPr>
        <w:t xml:space="preserve"> </w:t>
      </w:r>
      <w:r>
        <w:rPr>
          <w:spacing w:val="-2"/>
          <w:w w:val="95"/>
        </w:rPr>
        <w:t>output</w:t>
      </w:r>
      <w:r>
        <w:rPr>
          <w:spacing w:val="-7"/>
          <w:w w:val="95"/>
        </w:rPr>
        <w:t xml:space="preserve"> </w:t>
      </w:r>
      <w:r>
        <w:rPr>
          <w:spacing w:val="-2"/>
          <w:w w:val="95"/>
        </w:rPr>
        <w:t>than</w:t>
      </w:r>
      <w:r>
        <w:rPr>
          <w:spacing w:val="-7"/>
          <w:w w:val="95"/>
        </w:rPr>
        <w:t xml:space="preserve"> </w:t>
      </w:r>
      <w:r>
        <w:rPr>
          <w:spacing w:val="-2"/>
          <w:w w:val="95"/>
        </w:rPr>
        <w:t>is</w:t>
      </w:r>
      <w:r>
        <w:rPr>
          <w:spacing w:val="-7"/>
          <w:w w:val="95"/>
        </w:rPr>
        <w:t xml:space="preserve"> </w:t>
      </w:r>
      <w:r>
        <w:rPr>
          <w:spacing w:val="-2"/>
          <w:w w:val="95"/>
        </w:rPr>
        <w:t>the</w:t>
      </w:r>
      <w:r>
        <w:rPr>
          <w:spacing w:val="-7"/>
          <w:w w:val="95"/>
        </w:rPr>
        <w:t xml:space="preserve"> </w:t>
      </w:r>
      <w:r>
        <w:rPr>
          <w:spacing w:val="-2"/>
          <w:w w:val="95"/>
        </w:rPr>
        <w:t xml:space="preserve">average </w:t>
      </w:r>
      <w:r>
        <w:rPr>
          <w:w w:val="95"/>
        </w:rPr>
        <w:t xml:space="preserve">across the Organisation for Economic Co-operation and </w:t>
      </w:r>
      <w:r>
        <w:rPr>
          <w:w w:val="90"/>
        </w:rPr>
        <w:t>Development (OECD)</w:t>
      </w:r>
      <w:r>
        <w:rPr>
          <w:w w:val="90"/>
          <w:position w:val="7"/>
          <w:sz w:val="11"/>
        </w:rPr>
        <w:t>7</w:t>
      </w:r>
      <w:r>
        <w:rPr>
          <w:w w:val="90"/>
        </w:rPr>
        <w:t xml:space="preserve">. Freight costs and efficiency impact </w:t>
      </w:r>
      <w:r>
        <w:t>the</w:t>
      </w:r>
      <w:r>
        <w:rPr>
          <w:spacing w:val="-6"/>
        </w:rPr>
        <w:t xml:space="preserve"> </w:t>
      </w:r>
      <w:r>
        <w:t>total</w:t>
      </w:r>
      <w:r>
        <w:rPr>
          <w:spacing w:val="-6"/>
        </w:rPr>
        <w:t xml:space="preserve"> </w:t>
      </w:r>
      <w:r>
        <w:t>cost</w:t>
      </w:r>
      <w:r>
        <w:rPr>
          <w:spacing w:val="-6"/>
        </w:rPr>
        <w:t xml:space="preserve"> </w:t>
      </w:r>
      <w:r>
        <w:t>of</w:t>
      </w:r>
      <w:r>
        <w:rPr>
          <w:spacing w:val="-6"/>
        </w:rPr>
        <w:t xml:space="preserve"> </w:t>
      </w:r>
      <w:r>
        <w:t>all</w:t>
      </w:r>
      <w:r>
        <w:rPr>
          <w:spacing w:val="-6"/>
        </w:rPr>
        <w:t xml:space="preserve"> </w:t>
      </w:r>
      <w:r>
        <w:t>export</w:t>
      </w:r>
      <w:r>
        <w:rPr>
          <w:spacing w:val="-6"/>
        </w:rPr>
        <w:t xml:space="preserve"> </w:t>
      </w:r>
      <w:r>
        <w:t>and</w:t>
      </w:r>
      <w:r>
        <w:rPr>
          <w:spacing w:val="-6"/>
        </w:rPr>
        <w:t xml:space="preserve"> </w:t>
      </w:r>
      <w:r>
        <w:t>import</w:t>
      </w:r>
      <w:r>
        <w:rPr>
          <w:spacing w:val="-6"/>
        </w:rPr>
        <w:t xml:space="preserve"> </w:t>
      </w:r>
      <w:r>
        <w:t>goods,</w:t>
      </w:r>
      <w:r>
        <w:rPr>
          <w:spacing w:val="-6"/>
        </w:rPr>
        <w:t xml:space="preserve"> </w:t>
      </w:r>
      <w:r>
        <w:t>which</w:t>
      </w:r>
      <w:r>
        <w:rPr>
          <w:spacing w:val="-6"/>
        </w:rPr>
        <w:t xml:space="preserve"> </w:t>
      </w:r>
      <w:r>
        <w:t>are moved</w:t>
      </w:r>
      <w:r>
        <w:rPr>
          <w:spacing w:val="-11"/>
        </w:rPr>
        <w:t xml:space="preserve"> </w:t>
      </w:r>
      <w:r>
        <w:t>intrastate,</w:t>
      </w:r>
      <w:r>
        <w:rPr>
          <w:spacing w:val="-11"/>
        </w:rPr>
        <w:t xml:space="preserve"> </w:t>
      </w:r>
      <w:r>
        <w:t>interstate</w:t>
      </w:r>
      <w:r>
        <w:rPr>
          <w:spacing w:val="-11"/>
        </w:rPr>
        <w:t xml:space="preserve"> </w:t>
      </w:r>
      <w:r>
        <w:t>and</w:t>
      </w:r>
      <w:r>
        <w:rPr>
          <w:spacing w:val="-11"/>
        </w:rPr>
        <w:t xml:space="preserve"> </w:t>
      </w:r>
      <w:r>
        <w:t>to</w:t>
      </w:r>
      <w:r>
        <w:rPr>
          <w:spacing w:val="-11"/>
        </w:rPr>
        <w:t xml:space="preserve"> </w:t>
      </w:r>
      <w:r>
        <w:t>the</w:t>
      </w:r>
      <w:r>
        <w:rPr>
          <w:spacing w:val="-11"/>
        </w:rPr>
        <w:t xml:space="preserve"> </w:t>
      </w:r>
      <w:r>
        <w:t>major</w:t>
      </w:r>
      <w:r>
        <w:rPr>
          <w:spacing w:val="-11"/>
        </w:rPr>
        <w:t xml:space="preserve"> </w:t>
      </w:r>
      <w:r>
        <w:t>ports</w:t>
      </w:r>
      <w:r>
        <w:rPr>
          <w:spacing w:val="-11"/>
        </w:rPr>
        <w:t xml:space="preserve"> </w:t>
      </w:r>
      <w:r>
        <w:t xml:space="preserve">to </w:t>
      </w:r>
      <w:r>
        <w:rPr>
          <w:w w:val="95"/>
        </w:rPr>
        <w:t xml:space="preserve">service the export market. The current combined freight </w:t>
      </w:r>
      <w:r>
        <w:t>task</w:t>
      </w:r>
      <w:r>
        <w:rPr>
          <w:spacing w:val="-14"/>
        </w:rPr>
        <w:t xml:space="preserve"> </w:t>
      </w:r>
      <w:r>
        <w:t>in</w:t>
      </w:r>
      <w:r>
        <w:rPr>
          <w:spacing w:val="-14"/>
        </w:rPr>
        <w:t xml:space="preserve"> </w:t>
      </w:r>
      <w:r>
        <w:t>NSW</w:t>
      </w:r>
      <w:r>
        <w:rPr>
          <w:spacing w:val="-14"/>
        </w:rPr>
        <w:t xml:space="preserve"> </w:t>
      </w:r>
      <w:r>
        <w:t>is</w:t>
      </w:r>
      <w:r>
        <w:rPr>
          <w:spacing w:val="-14"/>
        </w:rPr>
        <w:t xml:space="preserve"> </w:t>
      </w:r>
      <w:r>
        <w:t>estimated</w:t>
      </w:r>
      <w:r>
        <w:rPr>
          <w:spacing w:val="-14"/>
        </w:rPr>
        <w:t xml:space="preserve"> </w:t>
      </w:r>
      <w:r>
        <w:t>at</w:t>
      </w:r>
      <w:r>
        <w:rPr>
          <w:spacing w:val="-14"/>
        </w:rPr>
        <w:t xml:space="preserve"> </w:t>
      </w:r>
      <w:r>
        <w:t>over</w:t>
      </w:r>
      <w:r>
        <w:rPr>
          <w:spacing w:val="-14"/>
        </w:rPr>
        <w:t xml:space="preserve"> </w:t>
      </w:r>
      <w:r>
        <w:t>409</w:t>
      </w:r>
      <w:r>
        <w:rPr>
          <w:spacing w:val="-14"/>
        </w:rPr>
        <w:t xml:space="preserve"> </w:t>
      </w:r>
      <w:r>
        <w:t>million</w:t>
      </w:r>
      <w:r>
        <w:rPr>
          <w:spacing w:val="-14"/>
        </w:rPr>
        <w:t xml:space="preserve"> </w:t>
      </w:r>
      <w:r>
        <w:t>tonnes</w:t>
      </w:r>
      <w:r>
        <w:rPr>
          <w:spacing w:val="-13"/>
        </w:rPr>
        <w:t xml:space="preserve"> </w:t>
      </w:r>
      <w:r>
        <w:t>per annum</w:t>
      </w:r>
      <w:r>
        <w:rPr>
          <w:spacing w:val="-12"/>
        </w:rPr>
        <w:t xml:space="preserve"> </w:t>
      </w:r>
      <w:r>
        <w:t>and</w:t>
      </w:r>
      <w:r>
        <w:rPr>
          <w:spacing w:val="-11"/>
        </w:rPr>
        <w:t xml:space="preserve"> </w:t>
      </w:r>
      <w:r>
        <w:t>is</w:t>
      </w:r>
      <w:r>
        <w:rPr>
          <w:spacing w:val="-11"/>
        </w:rPr>
        <w:t xml:space="preserve"> </w:t>
      </w:r>
      <w:r>
        <w:t>expected</w:t>
      </w:r>
      <w:r>
        <w:rPr>
          <w:spacing w:val="-11"/>
        </w:rPr>
        <w:t xml:space="preserve"> </w:t>
      </w:r>
      <w:r>
        <w:t>to</w:t>
      </w:r>
      <w:r>
        <w:rPr>
          <w:spacing w:val="-11"/>
        </w:rPr>
        <w:t xml:space="preserve"> </w:t>
      </w:r>
      <w:r>
        <w:t>increase</w:t>
      </w:r>
      <w:r>
        <w:rPr>
          <w:spacing w:val="-11"/>
        </w:rPr>
        <w:t xml:space="preserve"> </w:t>
      </w:r>
      <w:r>
        <w:t>to</w:t>
      </w:r>
      <w:r>
        <w:rPr>
          <w:spacing w:val="-11"/>
        </w:rPr>
        <w:t xml:space="preserve"> </w:t>
      </w:r>
      <w:r>
        <w:t>approximately 794</w:t>
      </w:r>
      <w:r>
        <w:rPr>
          <w:spacing w:val="-8"/>
        </w:rPr>
        <w:t xml:space="preserve"> </w:t>
      </w:r>
      <w:r>
        <w:t>million</w:t>
      </w:r>
      <w:r>
        <w:rPr>
          <w:spacing w:val="-8"/>
        </w:rPr>
        <w:t xml:space="preserve"> </w:t>
      </w:r>
      <w:r>
        <w:t>tonnes</w:t>
      </w:r>
      <w:r>
        <w:rPr>
          <w:spacing w:val="-8"/>
        </w:rPr>
        <w:t xml:space="preserve"> </w:t>
      </w:r>
      <w:r>
        <w:t>per</w:t>
      </w:r>
      <w:r>
        <w:rPr>
          <w:spacing w:val="-8"/>
        </w:rPr>
        <w:t xml:space="preserve"> </w:t>
      </w:r>
      <w:r>
        <w:t>annum</w:t>
      </w:r>
      <w:r>
        <w:rPr>
          <w:spacing w:val="-8"/>
        </w:rPr>
        <w:t xml:space="preserve"> </w:t>
      </w:r>
      <w:r>
        <w:t>by</w:t>
      </w:r>
      <w:r>
        <w:rPr>
          <w:spacing w:val="-8"/>
        </w:rPr>
        <w:t xml:space="preserve"> </w:t>
      </w:r>
      <w:r>
        <w:t>2031</w:t>
      </w:r>
      <w:r>
        <w:rPr>
          <w:position w:val="7"/>
          <w:sz w:val="11"/>
        </w:rPr>
        <w:t>8</w:t>
      </w:r>
      <w:r>
        <w:t>.</w:t>
      </w:r>
    </w:p>
    <w:p w:rsidR="002C1123" w:rsidRDefault="00F22F94">
      <w:pPr>
        <w:pStyle w:val="BodyText"/>
        <w:spacing w:before="149"/>
        <w:ind w:left="194"/>
      </w:pPr>
      <w:r>
        <w:rPr>
          <w:w w:val="95"/>
        </w:rPr>
        <w:t>The</w:t>
      </w:r>
      <w:r>
        <w:rPr>
          <w:spacing w:val="-9"/>
          <w:w w:val="95"/>
        </w:rPr>
        <w:t xml:space="preserve"> </w:t>
      </w:r>
      <w:r>
        <w:rPr>
          <w:w w:val="95"/>
        </w:rPr>
        <w:t>majority</w:t>
      </w:r>
      <w:r>
        <w:rPr>
          <w:spacing w:val="-8"/>
          <w:w w:val="95"/>
        </w:rPr>
        <w:t xml:space="preserve"> </w:t>
      </w:r>
      <w:r>
        <w:rPr>
          <w:w w:val="95"/>
        </w:rPr>
        <w:t>of</w:t>
      </w:r>
      <w:r>
        <w:rPr>
          <w:spacing w:val="-8"/>
          <w:w w:val="95"/>
        </w:rPr>
        <w:t xml:space="preserve"> </w:t>
      </w:r>
      <w:r>
        <w:rPr>
          <w:w w:val="95"/>
        </w:rPr>
        <w:t>the</w:t>
      </w:r>
      <w:r>
        <w:rPr>
          <w:spacing w:val="-8"/>
          <w:w w:val="95"/>
        </w:rPr>
        <w:t xml:space="preserve"> </w:t>
      </w:r>
      <w:r>
        <w:rPr>
          <w:w w:val="95"/>
        </w:rPr>
        <w:t>NSW</w:t>
      </w:r>
      <w:r>
        <w:rPr>
          <w:spacing w:val="-8"/>
          <w:w w:val="95"/>
        </w:rPr>
        <w:t xml:space="preserve"> </w:t>
      </w:r>
      <w:r>
        <w:rPr>
          <w:w w:val="95"/>
        </w:rPr>
        <w:t>freight</w:t>
      </w:r>
      <w:r>
        <w:rPr>
          <w:spacing w:val="-8"/>
          <w:w w:val="95"/>
        </w:rPr>
        <w:t xml:space="preserve"> </w:t>
      </w:r>
      <w:r>
        <w:rPr>
          <w:w w:val="95"/>
        </w:rPr>
        <w:t>task</w:t>
      </w:r>
      <w:r>
        <w:rPr>
          <w:spacing w:val="-8"/>
          <w:w w:val="95"/>
        </w:rPr>
        <w:t xml:space="preserve"> </w:t>
      </w:r>
      <w:r>
        <w:rPr>
          <w:w w:val="95"/>
        </w:rPr>
        <w:t>by</w:t>
      </w:r>
      <w:r>
        <w:rPr>
          <w:spacing w:val="-8"/>
          <w:w w:val="95"/>
        </w:rPr>
        <w:t xml:space="preserve"> </w:t>
      </w:r>
      <w:r>
        <w:rPr>
          <w:spacing w:val="-2"/>
          <w:w w:val="95"/>
        </w:rPr>
        <w:t>volume,</w:t>
      </w:r>
    </w:p>
    <w:p w:rsidR="002C1123" w:rsidRDefault="00F22F94">
      <w:pPr>
        <w:pStyle w:val="BodyText"/>
        <w:spacing w:before="10" w:line="249" w:lineRule="auto"/>
        <w:ind w:left="194" w:right="678"/>
      </w:pPr>
      <w:r>
        <w:rPr>
          <w:spacing w:val="-2"/>
        </w:rPr>
        <w:t>(60</w:t>
      </w:r>
      <w:r>
        <w:rPr>
          <w:spacing w:val="-10"/>
        </w:rPr>
        <w:t xml:space="preserve"> </w:t>
      </w:r>
      <w:r>
        <w:rPr>
          <w:spacing w:val="-2"/>
        </w:rPr>
        <w:t>per</w:t>
      </w:r>
      <w:r>
        <w:rPr>
          <w:spacing w:val="-10"/>
        </w:rPr>
        <w:t xml:space="preserve"> </w:t>
      </w:r>
      <w:r>
        <w:rPr>
          <w:spacing w:val="-2"/>
        </w:rPr>
        <w:t>cent),</w:t>
      </w:r>
      <w:r>
        <w:rPr>
          <w:spacing w:val="-10"/>
        </w:rPr>
        <w:t xml:space="preserve"> </w:t>
      </w:r>
      <w:r>
        <w:rPr>
          <w:spacing w:val="-2"/>
        </w:rPr>
        <w:t>is</w:t>
      </w:r>
      <w:r>
        <w:rPr>
          <w:spacing w:val="-10"/>
        </w:rPr>
        <w:t xml:space="preserve"> </w:t>
      </w:r>
      <w:r>
        <w:rPr>
          <w:spacing w:val="-2"/>
        </w:rPr>
        <w:t>intrastate</w:t>
      </w:r>
      <w:r>
        <w:rPr>
          <w:spacing w:val="-10"/>
        </w:rPr>
        <w:t xml:space="preserve"> </w:t>
      </w:r>
      <w:r>
        <w:rPr>
          <w:spacing w:val="-2"/>
        </w:rPr>
        <w:t>freight</w:t>
      </w:r>
      <w:r>
        <w:rPr>
          <w:spacing w:val="-10"/>
        </w:rPr>
        <w:t xml:space="preserve"> </w:t>
      </w:r>
      <w:r>
        <w:rPr>
          <w:spacing w:val="-2"/>
        </w:rPr>
        <w:t>(origin</w:t>
      </w:r>
      <w:r>
        <w:rPr>
          <w:spacing w:val="-10"/>
        </w:rPr>
        <w:t xml:space="preserve"> </w:t>
      </w:r>
      <w:r>
        <w:rPr>
          <w:spacing w:val="-2"/>
        </w:rPr>
        <w:t>and</w:t>
      </w:r>
      <w:r>
        <w:rPr>
          <w:spacing w:val="-10"/>
        </w:rPr>
        <w:t xml:space="preserve"> </w:t>
      </w:r>
      <w:r>
        <w:rPr>
          <w:spacing w:val="-2"/>
        </w:rPr>
        <w:t xml:space="preserve">destination </w:t>
      </w:r>
      <w:r>
        <w:t>within</w:t>
      </w:r>
      <w:r>
        <w:rPr>
          <w:spacing w:val="-14"/>
        </w:rPr>
        <w:t xml:space="preserve"> </w:t>
      </w:r>
      <w:r>
        <w:t>NSW),</w:t>
      </w:r>
      <w:r>
        <w:rPr>
          <w:spacing w:val="-14"/>
        </w:rPr>
        <w:t xml:space="preserve"> </w:t>
      </w:r>
      <w:r>
        <w:t>highlighting</w:t>
      </w:r>
      <w:r>
        <w:rPr>
          <w:spacing w:val="-14"/>
        </w:rPr>
        <w:t xml:space="preserve"> </w:t>
      </w:r>
      <w:r>
        <w:t>the</w:t>
      </w:r>
      <w:r>
        <w:rPr>
          <w:spacing w:val="-14"/>
        </w:rPr>
        <w:t xml:space="preserve"> </w:t>
      </w:r>
      <w:r>
        <w:t>interdependence</w:t>
      </w:r>
      <w:r>
        <w:rPr>
          <w:spacing w:val="-14"/>
        </w:rPr>
        <w:t xml:space="preserve"> </w:t>
      </w:r>
      <w:r>
        <w:t>of</w:t>
      </w:r>
      <w:r>
        <w:rPr>
          <w:spacing w:val="-14"/>
        </w:rPr>
        <w:t xml:space="preserve"> </w:t>
      </w:r>
      <w:r>
        <w:t>the regional</w:t>
      </w:r>
      <w:r>
        <w:rPr>
          <w:spacing w:val="-14"/>
        </w:rPr>
        <w:t xml:space="preserve"> </w:t>
      </w:r>
      <w:r>
        <w:t>economy</w:t>
      </w:r>
      <w:r>
        <w:rPr>
          <w:spacing w:val="-14"/>
        </w:rPr>
        <w:t xml:space="preserve"> </w:t>
      </w:r>
      <w:r>
        <w:t>and</w:t>
      </w:r>
      <w:r>
        <w:rPr>
          <w:spacing w:val="-14"/>
        </w:rPr>
        <w:t xml:space="preserve"> </w:t>
      </w:r>
      <w:r>
        <w:t>the</w:t>
      </w:r>
      <w:r>
        <w:rPr>
          <w:spacing w:val="-13"/>
        </w:rPr>
        <w:t xml:space="preserve"> </w:t>
      </w:r>
      <w:r>
        <w:t>Sydney</w:t>
      </w:r>
      <w:r>
        <w:rPr>
          <w:spacing w:val="-14"/>
        </w:rPr>
        <w:t xml:space="preserve"> </w:t>
      </w:r>
      <w:r>
        <w:t>metropolitan</w:t>
      </w:r>
      <w:r>
        <w:rPr>
          <w:spacing w:val="-14"/>
        </w:rPr>
        <w:t xml:space="preserve"> </w:t>
      </w:r>
      <w:r>
        <w:t xml:space="preserve">area. </w:t>
      </w:r>
      <w:r>
        <w:rPr>
          <w:w w:val="95"/>
        </w:rPr>
        <w:t>The</w:t>
      </w:r>
      <w:r>
        <w:rPr>
          <w:spacing w:val="-6"/>
          <w:w w:val="95"/>
        </w:rPr>
        <w:t xml:space="preserve"> </w:t>
      </w:r>
      <w:r>
        <w:rPr>
          <w:w w:val="95"/>
        </w:rPr>
        <w:t>remaining</w:t>
      </w:r>
      <w:r>
        <w:rPr>
          <w:spacing w:val="-6"/>
          <w:w w:val="95"/>
        </w:rPr>
        <w:t xml:space="preserve"> </w:t>
      </w:r>
      <w:r>
        <w:rPr>
          <w:w w:val="95"/>
        </w:rPr>
        <w:t>40</w:t>
      </w:r>
      <w:r>
        <w:rPr>
          <w:spacing w:val="-6"/>
          <w:w w:val="95"/>
        </w:rPr>
        <w:t xml:space="preserve"> </w:t>
      </w:r>
      <w:r>
        <w:rPr>
          <w:w w:val="95"/>
        </w:rPr>
        <w:t>percent</w:t>
      </w:r>
      <w:r>
        <w:rPr>
          <w:spacing w:val="-6"/>
          <w:w w:val="95"/>
        </w:rPr>
        <w:t xml:space="preserve"> </w:t>
      </w:r>
      <w:r>
        <w:rPr>
          <w:w w:val="95"/>
        </w:rPr>
        <w:t>is</w:t>
      </w:r>
      <w:r>
        <w:rPr>
          <w:spacing w:val="-6"/>
          <w:w w:val="95"/>
        </w:rPr>
        <w:t xml:space="preserve"> </w:t>
      </w:r>
      <w:r>
        <w:rPr>
          <w:w w:val="95"/>
        </w:rPr>
        <w:t>made</w:t>
      </w:r>
      <w:r>
        <w:rPr>
          <w:spacing w:val="-6"/>
          <w:w w:val="95"/>
        </w:rPr>
        <w:t xml:space="preserve"> </w:t>
      </w:r>
      <w:r>
        <w:rPr>
          <w:w w:val="95"/>
        </w:rPr>
        <w:t>up</w:t>
      </w:r>
      <w:r>
        <w:rPr>
          <w:spacing w:val="-6"/>
          <w:w w:val="95"/>
        </w:rPr>
        <w:t xml:space="preserve"> </w:t>
      </w:r>
      <w:r>
        <w:rPr>
          <w:w w:val="95"/>
        </w:rPr>
        <w:t>of</w:t>
      </w:r>
      <w:r>
        <w:rPr>
          <w:spacing w:val="-6"/>
          <w:w w:val="95"/>
        </w:rPr>
        <w:t xml:space="preserve"> </w:t>
      </w:r>
      <w:r>
        <w:rPr>
          <w:w w:val="95"/>
        </w:rPr>
        <w:t>interstate</w:t>
      </w:r>
      <w:r>
        <w:rPr>
          <w:spacing w:val="-6"/>
          <w:w w:val="95"/>
        </w:rPr>
        <w:t xml:space="preserve"> </w:t>
      </w:r>
      <w:r>
        <w:rPr>
          <w:w w:val="95"/>
        </w:rPr>
        <w:t xml:space="preserve">freight </w:t>
      </w:r>
      <w:r>
        <w:t>(20</w:t>
      </w:r>
      <w:r>
        <w:rPr>
          <w:spacing w:val="-12"/>
        </w:rPr>
        <w:t xml:space="preserve"> </w:t>
      </w:r>
      <w:r>
        <w:t>percent),</w:t>
      </w:r>
      <w:r>
        <w:rPr>
          <w:spacing w:val="-12"/>
        </w:rPr>
        <w:t xml:space="preserve"> </w:t>
      </w:r>
      <w:r>
        <w:t>export</w:t>
      </w:r>
      <w:r>
        <w:rPr>
          <w:spacing w:val="-12"/>
        </w:rPr>
        <w:t xml:space="preserve"> </w:t>
      </w:r>
      <w:r>
        <w:t>goods</w:t>
      </w:r>
      <w:r>
        <w:rPr>
          <w:spacing w:val="-12"/>
        </w:rPr>
        <w:t xml:space="preserve"> </w:t>
      </w:r>
      <w:r>
        <w:t>accounts</w:t>
      </w:r>
      <w:r>
        <w:rPr>
          <w:spacing w:val="-12"/>
        </w:rPr>
        <w:t xml:space="preserve"> </w:t>
      </w:r>
      <w:r>
        <w:t>for</w:t>
      </w:r>
      <w:r>
        <w:rPr>
          <w:spacing w:val="-12"/>
        </w:rPr>
        <w:t xml:space="preserve"> </w:t>
      </w:r>
      <w:r>
        <w:t>approximately 17</w:t>
      </w:r>
      <w:r>
        <w:rPr>
          <w:spacing w:val="-4"/>
        </w:rPr>
        <w:t xml:space="preserve"> </w:t>
      </w:r>
      <w:r>
        <w:t>percent</w:t>
      </w:r>
      <w:r>
        <w:rPr>
          <w:spacing w:val="-4"/>
        </w:rPr>
        <w:t xml:space="preserve"> </w:t>
      </w:r>
      <w:r>
        <w:t>and</w:t>
      </w:r>
      <w:r>
        <w:rPr>
          <w:spacing w:val="-4"/>
        </w:rPr>
        <w:t xml:space="preserve"> </w:t>
      </w:r>
      <w:r>
        <w:t>imported</w:t>
      </w:r>
      <w:r>
        <w:rPr>
          <w:spacing w:val="-4"/>
        </w:rPr>
        <w:t xml:space="preserve"> </w:t>
      </w:r>
      <w:r>
        <w:t>goods</w:t>
      </w:r>
      <w:r>
        <w:rPr>
          <w:spacing w:val="-4"/>
        </w:rPr>
        <w:t xml:space="preserve"> </w:t>
      </w:r>
      <w:r>
        <w:t>is</w:t>
      </w:r>
      <w:r>
        <w:rPr>
          <w:spacing w:val="-4"/>
        </w:rPr>
        <w:t xml:space="preserve"> </w:t>
      </w:r>
      <w:r>
        <w:t>the</w:t>
      </w:r>
      <w:r>
        <w:rPr>
          <w:spacing w:val="-4"/>
        </w:rPr>
        <w:t xml:space="preserve"> </w:t>
      </w:r>
      <w:r>
        <w:t>smallest proportion</w:t>
      </w:r>
      <w:r>
        <w:rPr>
          <w:spacing w:val="-10"/>
        </w:rPr>
        <w:t xml:space="preserve"> </w:t>
      </w:r>
      <w:r>
        <w:t>of</w:t>
      </w:r>
      <w:r>
        <w:rPr>
          <w:spacing w:val="-10"/>
        </w:rPr>
        <w:t xml:space="preserve"> </w:t>
      </w:r>
      <w:r>
        <w:t>the</w:t>
      </w:r>
      <w:r>
        <w:rPr>
          <w:spacing w:val="-10"/>
        </w:rPr>
        <w:t xml:space="preserve"> </w:t>
      </w:r>
      <w:r>
        <w:t>freight</w:t>
      </w:r>
      <w:r>
        <w:rPr>
          <w:spacing w:val="-10"/>
        </w:rPr>
        <w:t xml:space="preserve"> </w:t>
      </w:r>
      <w:r>
        <w:t>task</w:t>
      </w:r>
      <w:r>
        <w:rPr>
          <w:spacing w:val="-10"/>
        </w:rPr>
        <w:t xml:space="preserve"> </w:t>
      </w:r>
      <w:r>
        <w:t>(around</w:t>
      </w:r>
      <w:r>
        <w:rPr>
          <w:spacing w:val="-10"/>
        </w:rPr>
        <w:t xml:space="preserve"> </w:t>
      </w:r>
      <w:r>
        <w:t>3</w:t>
      </w:r>
      <w:r>
        <w:rPr>
          <w:spacing w:val="-10"/>
        </w:rPr>
        <w:t xml:space="preserve"> </w:t>
      </w:r>
      <w:r>
        <w:t>per</w:t>
      </w:r>
      <w:r>
        <w:rPr>
          <w:spacing w:val="-10"/>
        </w:rPr>
        <w:t xml:space="preserve"> </w:t>
      </w:r>
      <w:r>
        <w:t>cent).</w:t>
      </w:r>
    </w:p>
    <w:p w:rsidR="002C1123" w:rsidRDefault="00F22F94">
      <w:pPr>
        <w:pStyle w:val="BodyText"/>
        <w:spacing w:before="6" w:line="249" w:lineRule="auto"/>
        <w:ind w:left="194" w:right="678"/>
      </w:pPr>
      <w:r>
        <w:rPr>
          <w:w w:val="95"/>
        </w:rPr>
        <w:t>Regional</w:t>
      </w:r>
      <w:r>
        <w:rPr>
          <w:spacing w:val="-6"/>
          <w:w w:val="95"/>
        </w:rPr>
        <w:t xml:space="preserve"> </w:t>
      </w:r>
      <w:r>
        <w:rPr>
          <w:w w:val="95"/>
        </w:rPr>
        <w:t>freight</w:t>
      </w:r>
      <w:r>
        <w:rPr>
          <w:spacing w:val="-6"/>
          <w:w w:val="95"/>
        </w:rPr>
        <w:t xml:space="preserve"> </w:t>
      </w:r>
      <w:r>
        <w:rPr>
          <w:w w:val="95"/>
        </w:rPr>
        <w:t>supply</w:t>
      </w:r>
      <w:r>
        <w:rPr>
          <w:spacing w:val="-6"/>
          <w:w w:val="95"/>
        </w:rPr>
        <w:t xml:space="preserve"> </w:t>
      </w:r>
      <w:r>
        <w:rPr>
          <w:w w:val="95"/>
        </w:rPr>
        <w:t>chains</w:t>
      </w:r>
      <w:r>
        <w:rPr>
          <w:spacing w:val="-6"/>
          <w:w w:val="95"/>
        </w:rPr>
        <w:t xml:space="preserve"> </w:t>
      </w:r>
      <w:r>
        <w:rPr>
          <w:w w:val="95"/>
        </w:rPr>
        <w:t>operate</w:t>
      </w:r>
      <w:r>
        <w:rPr>
          <w:spacing w:val="-6"/>
          <w:w w:val="95"/>
        </w:rPr>
        <w:t xml:space="preserve"> </w:t>
      </w:r>
      <w:r>
        <w:rPr>
          <w:w w:val="95"/>
        </w:rPr>
        <w:t>into</w:t>
      </w:r>
      <w:r>
        <w:rPr>
          <w:spacing w:val="-6"/>
          <w:w w:val="95"/>
        </w:rPr>
        <w:t xml:space="preserve"> </w:t>
      </w:r>
      <w:r>
        <w:rPr>
          <w:w w:val="95"/>
        </w:rPr>
        <w:t>and</w:t>
      </w:r>
      <w:r>
        <w:rPr>
          <w:spacing w:val="-6"/>
          <w:w w:val="95"/>
        </w:rPr>
        <w:t xml:space="preserve"> </w:t>
      </w:r>
      <w:r>
        <w:rPr>
          <w:w w:val="95"/>
        </w:rPr>
        <w:t>out</w:t>
      </w:r>
      <w:r>
        <w:rPr>
          <w:spacing w:val="-6"/>
          <w:w w:val="95"/>
        </w:rPr>
        <w:t xml:space="preserve"> </w:t>
      </w:r>
      <w:r>
        <w:rPr>
          <w:w w:val="95"/>
        </w:rPr>
        <w:t>of</w:t>
      </w:r>
      <w:r>
        <w:rPr>
          <w:spacing w:val="-6"/>
          <w:w w:val="95"/>
        </w:rPr>
        <w:t xml:space="preserve"> </w:t>
      </w:r>
      <w:r>
        <w:rPr>
          <w:w w:val="95"/>
        </w:rPr>
        <w:t xml:space="preserve">the </w:t>
      </w:r>
      <w:r>
        <w:t>regional</w:t>
      </w:r>
      <w:r>
        <w:rPr>
          <w:spacing w:val="-14"/>
        </w:rPr>
        <w:t xml:space="preserve"> </w:t>
      </w:r>
      <w:r>
        <w:t>port</w:t>
      </w:r>
      <w:r>
        <w:rPr>
          <w:spacing w:val="-14"/>
        </w:rPr>
        <w:t xml:space="preserve"> </w:t>
      </w:r>
      <w:r>
        <w:t>gateways</w:t>
      </w:r>
      <w:r>
        <w:rPr>
          <w:spacing w:val="-14"/>
        </w:rPr>
        <w:t xml:space="preserve"> </w:t>
      </w:r>
      <w:r>
        <w:t>of</w:t>
      </w:r>
      <w:r>
        <w:rPr>
          <w:spacing w:val="-14"/>
        </w:rPr>
        <w:t xml:space="preserve"> </w:t>
      </w:r>
      <w:r>
        <w:t>Newcastle</w:t>
      </w:r>
      <w:r>
        <w:rPr>
          <w:spacing w:val="-14"/>
        </w:rPr>
        <w:t xml:space="preserve"> </w:t>
      </w:r>
      <w:r>
        <w:t>and</w:t>
      </w:r>
      <w:r>
        <w:rPr>
          <w:spacing w:val="-14"/>
        </w:rPr>
        <w:t xml:space="preserve"> </w:t>
      </w:r>
      <w:r>
        <w:t>Port</w:t>
      </w:r>
      <w:r>
        <w:rPr>
          <w:spacing w:val="-14"/>
        </w:rPr>
        <w:t xml:space="preserve"> </w:t>
      </w:r>
      <w:r>
        <w:t>Kembla</w:t>
      </w:r>
      <w:r>
        <w:rPr>
          <w:position w:val="7"/>
          <w:sz w:val="11"/>
        </w:rPr>
        <w:t>9</w:t>
      </w:r>
      <w:r>
        <w:t>,</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283" w:space="40"/>
            <w:col w:w="4989" w:space="39"/>
            <w:col w:w="5709"/>
          </w:cols>
        </w:sectPr>
      </w:pPr>
    </w:p>
    <w:p w:rsidR="002C1123" w:rsidRDefault="00F22F94">
      <w:pPr>
        <w:pStyle w:val="BodyText"/>
        <w:tabs>
          <w:tab w:val="left" w:pos="10545"/>
          <w:tab w:val="left" w:pos="11985"/>
        </w:tabs>
        <w:spacing w:before="5" w:line="216" w:lineRule="exact"/>
        <w:ind w:left="5518"/>
      </w:pPr>
      <w:r>
        <w:rPr>
          <w:w w:val="95"/>
        </w:rPr>
        <w:t>demand.</w:t>
      </w:r>
      <w:r>
        <w:rPr>
          <w:spacing w:val="-7"/>
          <w:w w:val="95"/>
        </w:rPr>
        <w:t xml:space="preserve"> </w:t>
      </w:r>
      <w:r>
        <w:rPr>
          <w:w w:val="95"/>
        </w:rPr>
        <w:t>Details</w:t>
      </w:r>
      <w:r>
        <w:rPr>
          <w:spacing w:val="-6"/>
          <w:w w:val="95"/>
        </w:rPr>
        <w:t xml:space="preserve"> </w:t>
      </w:r>
      <w:r>
        <w:rPr>
          <w:w w:val="95"/>
        </w:rPr>
        <w:t>of</w:t>
      </w:r>
      <w:r>
        <w:rPr>
          <w:spacing w:val="-6"/>
          <w:w w:val="95"/>
        </w:rPr>
        <w:t xml:space="preserve"> </w:t>
      </w:r>
      <w:r>
        <w:rPr>
          <w:w w:val="95"/>
        </w:rPr>
        <w:t>the</w:t>
      </w:r>
      <w:r>
        <w:rPr>
          <w:spacing w:val="-6"/>
          <w:w w:val="95"/>
        </w:rPr>
        <w:t xml:space="preserve"> </w:t>
      </w:r>
      <w:r>
        <w:rPr>
          <w:w w:val="95"/>
        </w:rPr>
        <w:t>priorities</w:t>
      </w:r>
      <w:r>
        <w:rPr>
          <w:spacing w:val="-7"/>
          <w:w w:val="95"/>
        </w:rPr>
        <w:t xml:space="preserve"> </w:t>
      </w:r>
      <w:r>
        <w:rPr>
          <w:w w:val="95"/>
        </w:rPr>
        <w:t>and</w:t>
      </w:r>
      <w:r>
        <w:rPr>
          <w:spacing w:val="-6"/>
          <w:w w:val="95"/>
        </w:rPr>
        <w:t xml:space="preserve"> </w:t>
      </w:r>
      <w:r>
        <w:rPr>
          <w:w w:val="95"/>
        </w:rPr>
        <w:t>investment</w:t>
      </w:r>
      <w:r>
        <w:rPr>
          <w:spacing w:val="-6"/>
          <w:w w:val="95"/>
        </w:rPr>
        <w:t xml:space="preserve"> </w:t>
      </w:r>
      <w:r>
        <w:rPr>
          <w:spacing w:val="-2"/>
          <w:w w:val="95"/>
        </w:rPr>
        <w:t>options</w:t>
      </w:r>
      <w:r>
        <w:tab/>
      </w:r>
      <w:r>
        <w:rPr>
          <w:u w:val="single" w:color="9C9C9D"/>
        </w:rPr>
        <w:tab/>
      </w:r>
    </w:p>
    <w:p w:rsidR="002C1123" w:rsidRDefault="002C1123">
      <w:pPr>
        <w:spacing w:line="216" w:lineRule="exact"/>
        <w:sectPr w:rsidR="002C1123">
          <w:type w:val="continuous"/>
          <w:pgSz w:w="16840" w:h="11910" w:orient="landscape"/>
          <w:pgMar w:top="560" w:right="280" w:bottom="280" w:left="500" w:header="0" w:footer="517" w:gutter="0"/>
          <w:cols w:space="720"/>
        </w:sectPr>
      </w:pPr>
    </w:p>
    <w:p w:rsidR="002C1123" w:rsidRDefault="002C1123">
      <w:pPr>
        <w:pStyle w:val="BodyText"/>
      </w:pPr>
    </w:p>
    <w:p w:rsidR="002C1123" w:rsidRDefault="002C1123">
      <w:pPr>
        <w:pStyle w:val="BodyText"/>
        <w:spacing w:before="7"/>
        <w:rPr>
          <w:sz w:val="19"/>
        </w:rPr>
      </w:pPr>
    </w:p>
    <w:p w:rsidR="002C1123" w:rsidRDefault="002060EF">
      <w:pPr>
        <w:pStyle w:val="BodyText"/>
        <w:spacing w:line="20" w:lineRule="exact"/>
        <w:ind w:left="492"/>
        <w:rPr>
          <w:sz w:val="2"/>
        </w:rPr>
      </w:pPr>
      <w:r>
        <w:rPr>
          <w:sz w:val="2"/>
        </w:rPr>
      </w:r>
      <w:r>
        <w:rPr>
          <w:sz w:val="2"/>
        </w:rPr>
        <w:pict>
          <v:group id="docshapegroup985" o:spid="_x0000_s4328" style="width:1in;height:.5pt;mso-position-horizontal-relative:char;mso-position-vertical-relative:line" coordsize="1440,10">
            <v:line id="_x0000_s4329" style="position:absolute" from="0,5" to="1440,5" strokecolor="#9c9c9d" strokeweight=".5pt"/>
            <w10:anchorlock/>
          </v:group>
        </w:pict>
      </w:r>
    </w:p>
    <w:p w:rsidR="002C1123" w:rsidRDefault="00F22F94">
      <w:pPr>
        <w:pStyle w:val="ListParagraph"/>
        <w:numPr>
          <w:ilvl w:val="0"/>
          <w:numId w:val="102"/>
        </w:numPr>
        <w:tabs>
          <w:tab w:val="left" w:pos="691"/>
        </w:tabs>
        <w:spacing w:before="8" w:line="161" w:lineRule="exact"/>
        <w:jc w:val="left"/>
        <w:rPr>
          <w:sz w:val="14"/>
        </w:rPr>
      </w:pPr>
      <w:r>
        <w:rPr>
          <w:w w:val="95"/>
          <w:sz w:val="14"/>
        </w:rPr>
        <w:t>Transport</w:t>
      </w:r>
      <w:r>
        <w:rPr>
          <w:spacing w:val="-1"/>
          <w:w w:val="95"/>
          <w:sz w:val="14"/>
        </w:rPr>
        <w:t xml:space="preserve"> </w:t>
      </w:r>
      <w:r>
        <w:rPr>
          <w:w w:val="95"/>
          <w:sz w:val="14"/>
        </w:rPr>
        <w:t>for</w:t>
      </w:r>
      <w:r>
        <w:rPr>
          <w:spacing w:val="-2"/>
          <w:sz w:val="14"/>
        </w:rPr>
        <w:t xml:space="preserve"> </w:t>
      </w:r>
      <w:r>
        <w:rPr>
          <w:w w:val="95"/>
          <w:sz w:val="14"/>
        </w:rPr>
        <w:t>NSW</w:t>
      </w:r>
      <w:r>
        <w:rPr>
          <w:spacing w:val="-2"/>
          <w:sz w:val="14"/>
        </w:rPr>
        <w:t xml:space="preserve"> </w:t>
      </w:r>
      <w:r>
        <w:rPr>
          <w:w w:val="95"/>
          <w:sz w:val="14"/>
        </w:rPr>
        <w:t>2012,</w:t>
      </w:r>
      <w:r>
        <w:rPr>
          <w:spacing w:val="-1"/>
          <w:w w:val="95"/>
          <w:sz w:val="14"/>
        </w:rPr>
        <w:t xml:space="preserve"> </w:t>
      </w:r>
      <w:r>
        <w:rPr>
          <w:w w:val="95"/>
          <w:sz w:val="14"/>
        </w:rPr>
        <w:t>Draft</w:t>
      </w:r>
      <w:r>
        <w:rPr>
          <w:spacing w:val="-2"/>
          <w:sz w:val="14"/>
        </w:rPr>
        <w:t xml:space="preserve"> </w:t>
      </w:r>
      <w:r>
        <w:rPr>
          <w:w w:val="95"/>
          <w:sz w:val="14"/>
        </w:rPr>
        <w:t>Long</w:t>
      </w:r>
      <w:r>
        <w:rPr>
          <w:spacing w:val="-2"/>
          <w:sz w:val="14"/>
        </w:rPr>
        <w:t xml:space="preserve"> </w:t>
      </w:r>
      <w:r>
        <w:rPr>
          <w:w w:val="95"/>
          <w:sz w:val="14"/>
        </w:rPr>
        <w:t>Term</w:t>
      </w:r>
      <w:r>
        <w:rPr>
          <w:spacing w:val="-1"/>
          <w:w w:val="95"/>
          <w:sz w:val="14"/>
        </w:rPr>
        <w:t xml:space="preserve"> </w:t>
      </w:r>
      <w:r>
        <w:rPr>
          <w:w w:val="95"/>
          <w:sz w:val="14"/>
        </w:rPr>
        <w:t>Transport</w:t>
      </w:r>
      <w:r>
        <w:rPr>
          <w:spacing w:val="-2"/>
          <w:sz w:val="14"/>
        </w:rPr>
        <w:t xml:space="preserve"> </w:t>
      </w:r>
      <w:r>
        <w:rPr>
          <w:w w:val="95"/>
          <w:sz w:val="14"/>
        </w:rPr>
        <w:t>Master</w:t>
      </w:r>
      <w:r>
        <w:rPr>
          <w:spacing w:val="-2"/>
          <w:sz w:val="14"/>
        </w:rPr>
        <w:t xml:space="preserve"> </w:t>
      </w:r>
      <w:r>
        <w:rPr>
          <w:spacing w:val="-2"/>
          <w:w w:val="95"/>
          <w:sz w:val="14"/>
        </w:rPr>
        <w:t>Plan.</w:t>
      </w:r>
    </w:p>
    <w:p w:rsidR="002C1123" w:rsidRDefault="00F22F94">
      <w:pPr>
        <w:pStyle w:val="ListParagraph"/>
        <w:numPr>
          <w:ilvl w:val="0"/>
          <w:numId w:val="102"/>
        </w:numPr>
        <w:tabs>
          <w:tab w:val="left" w:pos="691"/>
        </w:tabs>
        <w:spacing w:line="161" w:lineRule="exact"/>
        <w:jc w:val="left"/>
        <w:rPr>
          <w:sz w:val="14"/>
        </w:rPr>
      </w:pPr>
      <w:r>
        <w:rPr>
          <w:w w:val="95"/>
          <w:sz w:val="14"/>
        </w:rPr>
        <w:t>Transport</w:t>
      </w:r>
      <w:r>
        <w:rPr>
          <w:spacing w:val="-1"/>
          <w:w w:val="95"/>
          <w:sz w:val="14"/>
        </w:rPr>
        <w:t xml:space="preserve"> </w:t>
      </w:r>
      <w:r>
        <w:rPr>
          <w:w w:val="95"/>
          <w:sz w:val="14"/>
        </w:rPr>
        <w:t>for</w:t>
      </w:r>
      <w:r>
        <w:rPr>
          <w:spacing w:val="-2"/>
          <w:sz w:val="14"/>
        </w:rPr>
        <w:t xml:space="preserve"> </w:t>
      </w:r>
      <w:r>
        <w:rPr>
          <w:w w:val="95"/>
          <w:sz w:val="14"/>
        </w:rPr>
        <w:t>NSW</w:t>
      </w:r>
      <w:r>
        <w:rPr>
          <w:spacing w:val="-2"/>
          <w:sz w:val="14"/>
        </w:rPr>
        <w:t xml:space="preserve"> </w:t>
      </w:r>
      <w:r>
        <w:rPr>
          <w:w w:val="95"/>
          <w:sz w:val="14"/>
        </w:rPr>
        <w:t>2012,</w:t>
      </w:r>
      <w:r>
        <w:rPr>
          <w:spacing w:val="-1"/>
          <w:w w:val="95"/>
          <w:sz w:val="14"/>
        </w:rPr>
        <w:t xml:space="preserve"> </w:t>
      </w:r>
      <w:r>
        <w:rPr>
          <w:w w:val="95"/>
          <w:sz w:val="14"/>
        </w:rPr>
        <w:t>Draft</w:t>
      </w:r>
      <w:r>
        <w:rPr>
          <w:spacing w:val="-2"/>
          <w:sz w:val="14"/>
        </w:rPr>
        <w:t xml:space="preserve"> </w:t>
      </w:r>
      <w:r>
        <w:rPr>
          <w:w w:val="95"/>
          <w:sz w:val="14"/>
        </w:rPr>
        <w:t>Long</w:t>
      </w:r>
      <w:r>
        <w:rPr>
          <w:spacing w:val="-2"/>
          <w:sz w:val="14"/>
        </w:rPr>
        <w:t xml:space="preserve"> </w:t>
      </w:r>
      <w:r>
        <w:rPr>
          <w:w w:val="95"/>
          <w:sz w:val="14"/>
        </w:rPr>
        <w:t>Term</w:t>
      </w:r>
      <w:r>
        <w:rPr>
          <w:spacing w:val="-1"/>
          <w:w w:val="95"/>
          <w:sz w:val="14"/>
        </w:rPr>
        <w:t xml:space="preserve"> </w:t>
      </w:r>
      <w:r>
        <w:rPr>
          <w:w w:val="95"/>
          <w:sz w:val="14"/>
        </w:rPr>
        <w:t>Transport</w:t>
      </w:r>
      <w:r>
        <w:rPr>
          <w:spacing w:val="-2"/>
          <w:sz w:val="14"/>
        </w:rPr>
        <w:t xml:space="preserve"> </w:t>
      </w:r>
      <w:r>
        <w:rPr>
          <w:w w:val="95"/>
          <w:sz w:val="14"/>
        </w:rPr>
        <w:t>Master</w:t>
      </w:r>
      <w:r>
        <w:rPr>
          <w:spacing w:val="-2"/>
          <w:sz w:val="14"/>
        </w:rPr>
        <w:t xml:space="preserve"> </w:t>
      </w:r>
      <w:r>
        <w:rPr>
          <w:spacing w:val="-2"/>
          <w:w w:val="95"/>
          <w:sz w:val="14"/>
        </w:rPr>
        <w:t>Plan.</w:t>
      </w:r>
    </w:p>
    <w:p w:rsidR="002C1123" w:rsidRDefault="00F22F94">
      <w:pPr>
        <w:pStyle w:val="BodyText"/>
        <w:spacing w:before="24"/>
        <w:ind w:left="492"/>
      </w:pPr>
      <w:r>
        <w:br w:type="column"/>
      </w:r>
      <w:r>
        <w:rPr>
          <w:w w:val="95"/>
        </w:rPr>
        <w:t>for</w:t>
      </w:r>
      <w:r>
        <w:rPr>
          <w:spacing w:val="-10"/>
          <w:w w:val="95"/>
        </w:rPr>
        <w:t xml:space="preserve"> </w:t>
      </w:r>
      <w:r>
        <w:rPr>
          <w:w w:val="95"/>
        </w:rPr>
        <w:t>NSW</w:t>
      </w:r>
      <w:r>
        <w:rPr>
          <w:spacing w:val="-9"/>
          <w:w w:val="95"/>
        </w:rPr>
        <w:t xml:space="preserve"> </w:t>
      </w:r>
      <w:r>
        <w:rPr>
          <w:w w:val="95"/>
        </w:rPr>
        <w:t>highways</w:t>
      </w:r>
      <w:r>
        <w:rPr>
          <w:spacing w:val="-9"/>
          <w:w w:val="95"/>
        </w:rPr>
        <w:t xml:space="preserve"> </w:t>
      </w:r>
      <w:r>
        <w:rPr>
          <w:w w:val="95"/>
        </w:rPr>
        <w:t>are</w:t>
      </w:r>
      <w:r>
        <w:rPr>
          <w:spacing w:val="-9"/>
          <w:w w:val="95"/>
        </w:rPr>
        <w:t xml:space="preserve"> </w:t>
      </w:r>
      <w:r>
        <w:rPr>
          <w:w w:val="95"/>
        </w:rPr>
        <w:t>outlined</w:t>
      </w:r>
      <w:r>
        <w:rPr>
          <w:spacing w:val="-9"/>
          <w:w w:val="95"/>
        </w:rPr>
        <w:t xml:space="preserve"> </w:t>
      </w:r>
      <w:r>
        <w:rPr>
          <w:w w:val="95"/>
        </w:rPr>
        <w:t>in</w:t>
      </w:r>
      <w:r>
        <w:rPr>
          <w:spacing w:val="-9"/>
          <w:w w:val="95"/>
        </w:rPr>
        <w:t xml:space="preserve"> </w:t>
      </w:r>
      <w:r>
        <w:rPr>
          <w:w w:val="95"/>
        </w:rPr>
        <w:t>Section</w:t>
      </w:r>
      <w:r>
        <w:rPr>
          <w:spacing w:val="-9"/>
          <w:w w:val="95"/>
        </w:rPr>
        <w:t xml:space="preserve"> </w:t>
      </w:r>
      <w:r>
        <w:rPr>
          <w:spacing w:val="-5"/>
          <w:w w:val="95"/>
        </w:rPr>
        <w:t>10.</w:t>
      </w:r>
    </w:p>
    <w:p w:rsidR="002C1123" w:rsidRDefault="00F22F94">
      <w:pPr>
        <w:pStyle w:val="ListParagraph"/>
        <w:numPr>
          <w:ilvl w:val="0"/>
          <w:numId w:val="102"/>
        </w:numPr>
        <w:tabs>
          <w:tab w:val="left" w:pos="691"/>
        </w:tabs>
        <w:spacing w:before="4"/>
        <w:ind w:right="905"/>
        <w:jc w:val="left"/>
        <w:rPr>
          <w:sz w:val="14"/>
        </w:rPr>
      </w:pPr>
      <w:r>
        <w:br w:type="column"/>
      </w:r>
      <w:r>
        <w:rPr>
          <w:w w:val="95"/>
          <w:sz w:val="14"/>
        </w:rPr>
        <w:t>National Road Transport Commission 2001, Options for Regulation of the</w:t>
      </w:r>
      <w:r>
        <w:rPr>
          <w:spacing w:val="40"/>
          <w:sz w:val="14"/>
        </w:rPr>
        <w:t xml:space="preserve"> </w:t>
      </w:r>
      <w:r>
        <w:rPr>
          <w:sz w:val="14"/>
        </w:rPr>
        <w:t>Road Freight Industry.</w:t>
      </w:r>
    </w:p>
    <w:p w:rsidR="002C1123" w:rsidRDefault="00F22F94">
      <w:pPr>
        <w:pStyle w:val="ListParagraph"/>
        <w:numPr>
          <w:ilvl w:val="0"/>
          <w:numId w:val="102"/>
        </w:numPr>
        <w:tabs>
          <w:tab w:val="left" w:pos="691"/>
        </w:tabs>
        <w:spacing w:line="159" w:lineRule="exact"/>
        <w:jc w:val="left"/>
        <w:rPr>
          <w:sz w:val="14"/>
        </w:rPr>
      </w:pPr>
      <w:r>
        <w:rPr>
          <w:w w:val="95"/>
          <w:sz w:val="14"/>
        </w:rPr>
        <w:t>Transport</w:t>
      </w:r>
      <w:r>
        <w:rPr>
          <w:spacing w:val="-1"/>
          <w:w w:val="95"/>
          <w:sz w:val="14"/>
        </w:rPr>
        <w:t xml:space="preserve"> </w:t>
      </w:r>
      <w:r>
        <w:rPr>
          <w:w w:val="95"/>
          <w:sz w:val="14"/>
        </w:rPr>
        <w:t>for</w:t>
      </w:r>
      <w:r>
        <w:rPr>
          <w:spacing w:val="-2"/>
          <w:sz w:val="14"/>
        </w:rPr>
        <w:t xml:space="preserve"> </w:t>
      </w:r>
      <w:r>
        <w:rPr>
          <w:w w:val="95"/>
          <w:sz w:val="14"/>
        </w:rPr>
        <w:t>NSW</w:t>
      </w:r>
      <w:r>
        <w:rPr>
          <w:spacing w:val="-2"/>
          <w:sz w:val="14"/>
        </w:rPr>
        <w:t xml:space="preserve"> </w:t>
      </w:r>
      <w:r>
        <w:rPr>
          <w:w w:val="95"/>
          <w:sz w:val="14"/>
        </w:rPr>
        <w:t>2012,</w:t>
      </w:r>
      <w:r>
        <w:rPr>
          <w:spacing w:val="-1"/>
          <w:w w:val="95"/>
          <w:sz w:val="14"/>
        </w:rPr>
        <w:t xml:space="preserve"> </w:t>
      </w:r>
      <w:r>
        <w:rPr>
          <w:w w:val="95"/>
          <w:sz w:val="14"/>
        </w:rPr>
        <w:t>Draft</w:t>
      </w:r>
      <w:r>
        <w:rPr>
          <w:spacing w:val="-2"/>
          <w:sz w:val="14"/>
        </w:rPr>
        <w:t xml:space="preserve"> </w:t>
      </w:r>
      <w:r>
        <w:rPr>
          <w:w w:val="95"/>
          <w:sz w:val="14"/>
        </w:rPr>
        <w:t>Long</w:t>
      </w:r>
      <w:r>
        <w:rPr>
          <w:spacing w:val="-2"/>
          <w:sz w:val="14"/>
        </w:rPr>
        <w:t xml:space="preserve"> </w:t>
      </w:r>
      <w:r>
        <w:rPr>
          <w:w w:val="95"/>
          <w:sz w:val="14"/>
        </w:rPr>
        <w:t>Term</w:t>
      </w:r>
      <w:r>
        <w:rPr>
          <w:spacing w:val="-1"/>
          <w:w w:val="95"/>
          <w:sz w:val="14"/>
        </w:rPr>
        <w:t xml:space="preserve"> </w:t>
      </w:r>
      <w:r>
        <w:rPr>
          <w:w w:val="95"/>
          <w:sz w:val="14"/>
        </w:rPr>
        <w:t>Transport</w:t>
      </w:r>
      <w:r>
        <w:rPr>
          <w:spacing w:val="-2"/>
          <w:sz w:val="14"/>
        </w:rPr>
        <w:t xml:space="preserve"> </w:t>
      </w:r>
      <w:r>
        <w:rPr>
          <w:w w:val="95"/>
          <w:sz w:val="14"/>
        </w:rPr>
        <w:t>Master</w:t>
      </w:r>
      <w:r>
        <w:rPr>
          <w:spacing w:val="-2"/>
          <w:sz w:val="14"/>
        </w:rPr>
        <w:t xml:space="preserve"> </w:t>
      </w:r>
      <w:r>
        <w:rPr>
          <w:spacing w:val="-2"/>
          <w:w w:val="95"/>
          <w:sz w:val="14"/>
        </w:rPr>
        <w:t>Plan.</w:t>
      </w:r>
    </w:p>
    <w:p w:rsidR="002C1123" w:rsidRDefault="00F22F94">
      <w:pPr>
        <w:pStyle w:val="ListParagraph"/>
        <w:numPr>
          <w:ilvl w:val="0"/>
          <w:numId w:val="102"/>
        </w:numPr>
        <w:tabs>
          <w:tab w:val="left" w:pos="691"/>
        </w:tabs>
        <w:ind w:right="733"/>
        <w:jc w:val="left"/>
        <w:rPr>
          <w:sz w:val="14"/>
        </w:rPr>
      </w:pPr>
      <w:r>
        <w:rPr>
          <w:w w:val="95"/>
          <w:sz w:val="14"/>
        </w:rPr>
        <w:t>The two small regional ports of Yamba and Eden are not reviewed in this</w:t>
      </w:r>
      <w:r>
        <w:rPr>
          <w:spacing w:val="40"/>
          <w:sz w:val="14"/>
        </w:rPr>
        <w:t xml:space="preserve"> </w:t>
      </w:r>
      <w:r>
        <w:rPr>
          <w:w w:val="95"/>
          <w:sz w:val="14"/>
        </w:rPr>
        <w:t>strategy due to the relative size of their markets and stable growth prospects.</w:t>
      </w:r>
    </w:p>
    <w:p w:rsidR="002C1123" w:rsidRDefault="002C1123">
      <w:pPr>
        <w:rPr>
          <w:sz w:val="14"/>
        </w:rPr>
        <w:sectPr w:rsidR="002C1123">
          <w:type w:val="continuous"/>
          <w:pgSz w:w="16840" w:h="11910" w:orient="landscape"/>
          <w:pgMar w:top="560" w:right="280" w:bottom="280" w:left="500" w:header="0" w:footer="517" w:gutter="0"/>
          <w:cols w:num="3" w:space="720" w:equalWidth="0">
            <w:col w:w="4642" w:space="385"/>
            <w:col w:w="4305" w:space="721"/>
            <w:col w:w="6007"/>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060EF">
      <w:pPr>
        <w:pStyle w:val="BodyText"/>
        <w:spacing w:before="106" w:line="249" w:lineRule="auto"/>
        <w:ind w:left="492" w:right="10835"/>
      </w:pPr>
      <w:r>
        <w:pict>
          <v:group id="docshapegroup986" o:spid="_x0000_s4303" style="position:absolute;left:0;text-align:left;margin-left:300.7pt;margin-top:7.55pt;width:491.35pt;height:411.05pt;z-index:251288576;mso-position-horizontal-relative:page" coordorigin="6014,151" coordsize="9827,8221">
            <v:rect id="docshape987" o:spid="_x0000_s4327" style="position:absolute;left:6014;top:150;width:9827;height:8221" fillcolor="#c9c8c9" stroked="f"/>
            <v:shape id="docshape988" o:spid="_x0000_s4326" type="#_x0000_t75" style="position:absolute;left:6310;top:419;width:8629;height:7510">
              <v:imagedata r:id="rId120" o:title=""/>
            </v:shape>
            <v:shape id="docshape989" o:spid="_x0000_s4325" type="#_x0000_t202" style="position:absolute;left:6133;top:228;width:2848;height:215" filled="f" stroked="f">
              <v:textbox inset="0,0,0,0">
                <w:txbxContent>
                  <w:p w:rsidR="00F22F94" w:rsidRDefault="00F22F94">
                    <w:pPr>
                      <w:spacing w:before="6"/>
                      <w:rPr>
                        <w:b/>
                        <w:sz w:val="18"/>
                      </w:rPr>
                    </w:pPr>
                    <w:r>
                      <w:rPr>
                        <w:b/>
                        <w:sz w:val="18"/>
                      </w:rPr>
                      <w:t>Figure</w:t>
                    </w:r>
                    <w:r>
                      <w:rPr>
                        <w:b/>
                        <w:spacing w:val="-5"/>
                        <w:sz w:val="18"/>
                      </w:rPr>
                      <w:t xml:space="preserve"> </w:t>
                    </w:r>
                    <w:r>
                      <w:rPr>
                        <w:b/>
                        <w:sz w:val="18"/>
                      </w:rPr>
                      <w:t>5.4</w:t>
                    </w:r>
                    <w:r>
                      <w:rPr>
                        <w:b/>
                        <w:spacing w:val="41"/>
                        <w:sz w:val="18"/>
                      </w:rPr>
                      <w:t xml:space="preserve"> </w:t>
                    </w:r>
                    <w:r>
                      <w:rPr>
                        <w:b/>
                        <w:sz w:val="18"/>
                      </w:rPr>
                      <w:t>The</w:t>
                    </w:r>
                    <w:r>
                      <w:rPr>
                        <w:b/>
                        <w:spacing w:val="-4"/>
                        <w:sz w:val="18"/>
                      </w:rPr>
                      <w:t xml:space="preserve"> </w:t>
                    </w:r>
                    <w:r>
                      <w:rPr>
                        <w:b/>
                        <w:sz w:val="18"/>
                      </w:rPr>
                      <w:t>NSW</w:t>
                    </w:r>
                    <w:r>
                      <w:rPr>
                        <w:b/>
                        <w:spacing w:val="-4"/>
                        <w:sz w:val="18"/>
                      </w:rPr>
                      <w:t xml:space="preserve"> </w:t>
                    </w:r>
                    <w:r>
                      <w:rPr>
                        <w:b/>
                        <w:sz w:val="18"/>
                      </w:rPr>
                      <w:t>Freight</w:t>
                    </w:r>
                    <w:r>
                      <w:rPr>
                        <w:b/>
                        <w:spacing w:val="-5"/>
                        <w:sz w:val="18"/>
                      </w:rPr>
                      <w:t xml:space="preserve"> </w:t>
                    </w:r>
                    <w:r>
                      <w:rPr>
                        <w:b/>
                        <w:spacing w:val="-4"/>
                        <w:sz w:val="18"/>
                      </w:rPr>
                      <w:t>Task</w:t>
                    </w:r>
                  </w:p>
                </w:txbxContent>
              </v:textbox>
            </v:shape>
            <v:shape id="docshape990" o:spid="_x0000_s4324" type="#_x0000_t202" style="position:absolute;left:13601;top:803;width:1012;height:181" filled="f" stroked="f">
              <v:textbox inset="0,0,0,0">
                <w:txbxContent>
                  <w:p w:rsidR="00F22F94" w:rsidRDefault="00F22F94">
                    <w:pPr>
                      <w:spacing w:line="181" w:lineRule="exact"/>
                      <w:rPr>
                        <w:sz w:val="16"/>
                      </w:rPr>
                    </w:pPr>
                    <w:r>
                      <w:rPr>
                        <w:w w:val="75"/>
                        <w:sz w:val="16"/>
                      </w:rPr>
                      <w:t>Richmond-</w:t>
                    </w:r>
                    <w:r>
                      <w:rPr>
                        <w:spacing w:val="-2"/>
                        <w:w w:val="80"/>
                        <w:sz w:val="16"/>
                      </w:rPr>
                      <w:t>Tweed</w:t>
                    </w:r>
                  </w:p>
                </w:txbxContent>
              </v:textbox>
            </v:shape>
            <v:shape id="docshape991" o:spid="_x0000_s4323" type="#_x0000_t202" style="position:absolute;left:9109;top:1208;width:835;height:181" filled="f" stroked="f">
              <v:textbox inset="0,0,0,0">
                <w:txbxContent>
                  <w:p w:rsidR="00F22F94" w:rsidRDefault="00F22F94">
                    <w:pPr>
                      <w:spacing w:line="181" w:lineRule="exact"/>
                      <w:rPr>
                        <w:sz w:val="16"/>
                      </w:rPr>
                    </w:pPr>
                    <w:r>
                      <w:rPr>
                        <w:w w:val="75"/>
                        <w:sz w:val="16"/>
                      </w:rPr>
                      <w:t>North</w:t>
                    </w:r>
                    <w:r>
                      <w:rPr>
                        <w:spacing w:val="4"/>
                        <w:sz w:val="16"/>
                      </w:rPr>
                      <w:t xml:space="preserve"> </w:t>
                    </w:r>
                    <w:r>
                      <w:rPr>
                        <w:spacing w:val="-2"/>
                        <w:w w:val="80"/>
                        <w:sz w:val="16"/>
                      </w:rPr>
                      <w:t>Western</w:t>
                    </w:r>
                  </w:p>
                </w:txbxContent>
              </v:textbox>
            </v:shape>
            <v:shape id="docshape992" o:spid="_x0000_s4322" type="#_x0000_t202" style="position:absolute;left:12276;top:1398;width:512;height:181" filled="f" stroked="f">
              <v:textbox inset="0,0,0,0">
                <w:txbxContent>
                  <w:p w:rsidR="00F22F94" w:rsidRDefault="00F22F94">
                    <w:pPr>
                      <w:spacing w:line="181" w:lineRule="exact"/>
                      <w:rPr>
                        <w:sz w:val="16"/>
                      </w:rPr>
                    </w:pPr>
                    <w:r>
                      <w:rPr>
                        <w:spacing w:val="-2"/>
                        <w:w w:val="80"/>
                        <w:sz w:val="16"/>
                      </w:rPr>
                      <w:t>Northern</w:t>
                    </w:r>
                  </w:p>
                </w:txbxContent>
              </v:textbox>
            </v:shape>
            <v:shape id="docshape993" o:spid="_x0000_s4321" type="#_x0000_t202" style="position:absolute;left:13533;top:1788;width:936;height:181" filled="f" stroked="f">
              <v:textbox inset="0,0,0,0">
                <w:txbxContent>
                  <w:p w:rsidR="00F22F94" w:rsidRDefault="00F22F94">
                    <w:pPr>
                      <w:spacing w:line="181" w:lineRule="exact"/>
                      <w:rPr>
                        <w:sz w:val="16"/>
                      </w:rPr>
                    </w:pPr>
                    <w:r>
                      <w:rPr>
                        <w:w w:val="80"/>
                        <w:sz w:val="16"/>
                      </w:rPr>
                      <w:t>Mid</w:t>
                    </w:r>
                    <w:r>
                      <w:rPr>
                        <w:spacing w:val="-1"/>
                        <w:w w:val="80"/>
                        <w:sz w:val="16"/>
                      </w:rPr>
                      <w:t xml:space="preserve"> </w:t>
                    </w:r>
                    <w:r>
                      <w:rPr>
                        <w:w w:val="80"/>
                        <w:sz w:val="16"/>
                      </w:rPr>
                      <w:t>North</w:t>
                    </w:r>
                    <w:r>
                      <w:rPr>
                        <w:spacing w:val="-1"/>
                        <w:w w:val="80"/>
                        <w:sz w:val="16"/>
                      </w:rPr>
                      <w:t xml:space="preserve"> </w:t>
                    </w:r>
                    <w:r>
                      <w:rPr>
                        <w:spacing w:val="-2"/>
                        <w:w w:val="80"/>
                        <w:sz w:val="16"/>
                      </w:rPr>
                      <w:t>Coast</w:t>
                    </w:r>
                  </w:p>
                </w:txbxContent>
              </v:textbox>
            </v:shape>
            <v:shape id="docshape994" o:spid="_x0000_s4320" type="#_x0000_t202" style="position:absolute;left:6861;top:2908;width:708;height:181" filled="f" stroked="f">
              <v:textbox inset="0,0,0,0">
                <w:txbxContent>
                  <w:p w:rsidR="00F22F94" w:rsidRDefault="00F22F94">
                    <w:pPr>
                      <w:spacing w:line="181" w:lineRule="exact"/>
                      <w:rPr>
                        <w:sz w:val="16"/>
                      </w:rPr>
                    </w:pPr>
                    <w:r>
                      <w:rPr>
                        <w:w w:val="75"/>
                        <w:sz w:val="16"/>
                      </w:rPr>
                      <w:t>Far</w:t>
                    </w:r>
                    <w:r>
                      <w:rPr>
                        <w:spacing w:val="-9"/>
                        <w:sz w:val="16"/>
                      </w:rPr>
                      <w:t xml:space="preserve"> </w:t>
                    </w:r>
                    <w:r>
                      <w:rPr>
                        <w:spacing w:val="-2"/>
                        <w:w w:val="80"/>
                        <w:sz w:val="16"/>
                      </w:rPr>
                      <w:t>Western</w:t>
                    </w:r>
                  </w:p>
                </w:txbxContent>
              </v:textbox>
            </v:shape>
            <v:shape id="docshape995" o:spid="_x0000_s4319" type="#_x0000_t202" style="position:absolute;left:9950;top:3189;width:489;height:333" filled="f" stroked="f">
              <v:textbox inset="0,0,0,0">
                <w:txbxContent>
                  <w:p w:rsidR="00F22F94" w:rsidRDefault="00F22F94">
                    <w:pPr>
                      <w:spacing w:before="23" w:line="199" w:lineRule="auto"/>
                      <w:rPr>
                        <w:sz w:val="16"/>
                      </w:rPr>
                    </w:pPr>
                    <w:r>
                      <w:rPr>
                        <w:spacing w:val="-2"/>
                        <w:w w:val="90"/>
                        <w:sz w:val="16"/>
                      </w:rPr>
                      <w:t>Central</w:t>
                    </w:r>
                    <w:r>
                      <w:rPr>
                        <w:sz w:val="16"/>
                      </w:rPr>
                      <w:t xml:space="preserve"> </w:t>
                    </w:r>
                    <w:r>
                      <w:rPr>
                        <w:spacing w:val="-2"/>
                        <w:w w:val="75"/>
                        <w:sz w:val="16"/>
                      </w:rPr>
                      <w:t>Western</w:t>
                    </w:r>
                  </w:p>
                </w:txbxContent>
              </v:textbox>
            </v:shape>
            <v:shape id="docshape996" o:spid="_x0000_s4318" type="#_x0000_t202" style="position:absolute;left:12271;top:3144;width:1580;height:1111" filled="f" stroked="f">
              <v:textbox inset="0,0,0,0">
                <w:txbxContent>
                  <w:p w:rsidR="00F22F94" w:rsidRDefault="00F22F94">
                    <w:pPr>
                      <w:spacing w:line="600" w:lineRule="auto"/>
                      <w:ind w:left="221" w:firstLine="345"/>
                      <w:rPr>
                        <w:sz w:val="16"/>
                      </w:rPr>
                    </w:pPr>
                    <w:r>
                      <w:rPr>
                        <w:spacing w:val="-2"/>
                        <w:w w:val="80"/>
                        <w:sz w:val="16"/>
                      </w:rPr>
                      <w:t>Port</w:t>
                    </w:r>
                    <w:r>
                      <w:rPr>
                        <w:spacing w:val="-10"/>
                        <w:sz w:val="16"/>
                      </w:rPr>
                      <w:t xml:space="preserve"> </w:t>
                    </w:r>
                    <w:r>
                      <w:rPr>
                        <w:spacing w:val="-2"/>
                        <w:w w:val="80"/>
                        <w:sz w:val="16"/>
                      </w:rPr>
                      <w:t>of</w:t>
                    </w:r>
                    <w:r>
                      <w:rPr>
                        <w:spacing w:val="-9"/>
                        <w:sz w:val="16"/>
                      </w:rPr>
                      <w:t xml:space="preserve"> </w:t>
                    </w:r>
                    <w:r>
                      <w:rPr>
                        <w:spacing w:val="-2"/>
                        <w:w w:val="80"/>
                        <w:sz w:val="16"/>
                      </w:rPr>
                      <w:t>Newcastle</w:t>
                    </w:r>
                    <w:r>
                      <w:rPr>
                        <w:sz w:val="16"/>
                      </w:rPr>
                      <w:t xml:space="preserve"> </w:t>
                    </w:r>
                    <w:r>
                      <w:rPr>
                        <w:spacing w:val="-2"/>
                        <w:w w:val="85"/>
                        <w:sz w:val="16"/>
                      </w:rPr>
                      <w:t>Sydney</w:t>
                    </w:r>
                  </w:p>
                  <w:p w:rsidR="00F22F94" w:rsidRDefault="00F22F94">
                    <w:pPr>
                      <w:spacing w:before="7" w:line="183" w:lineRule="exact"/>
                      <w:rPr>
                        <w:sz w:val="16"/>
                      </w:rPr>
                    </w:pPr>
                    <w:r>
                      <w:rPr>
                        <w:w w:val="75"/>
                        <w:sz w:val="16"/>
                      </w:rPr>
                      <w:t>Port</w:t>
                    </w:r>
                    <w:r>
                      <w:rPr>
                        <w:spacing w:val="-2"/>
                        <w:sz w:val="16"/>
                      </w:rPr>
                      <w:t xml:space="preserve"> </w:t>
                    </w:r>
                    <w:r>
                      <w:rPr>
                        <w:spacing w:val="-2"/>
                        <w:w w:val="85"/>
                        <w:sz w:val="16"/>
                      </w:rPr>
                      <w:t>Kembla</w:t>
                    </w:r>
                  </w:p>
                </w:txbxContent>
              </v:textbox>
            </v:shape>
            <v:shape id="docshape997" o:spid="_x0000_s4317" type="#_x0000_t202" style="position:absolute;left:8935;top:4373;width:850;height:181" filled="f" stroked="f">
              <v:textbox inset="0,0,0,0">
                <w:txbxContent>
                  <w:p w:rsidR="00F22F94" w:rsidRDefault="00F22F94">
                    <w:pPr>
                      <w:spacing w:line="181" w:lineRule="exact"/>
                      <w:rPr>
                        <w:sz w:val="16"/>
                      </w:rPr>
                    </w:pPr>
                    <w:r>
                      <w:rPr>
                        <w:spacing w:val="-2"/>
                        <w:w w:val="80"/>
                        <w:sz w:val="16"/>
                      </w:rPr>
                      <w:t>Murrumbidgee</w:t>
                    </w:r>
                  </w:p>
                </w:txbxContent>
              </v:textbox>
            </v:shape>
            <v:shape id="docshape998" o:spid="_x0000_s4316" type="#_x0000_t202" style="position:absolute;left:12192;top:4480;width:497;height:181" filled="f" stroked="f">
              <v:textbox inset="0,0,0,0">
                <w:txbxContent>
                  <w:p w:rsidR="00F22F94" w:rsidRDefault="00F22F94">
                    <w:pPr>
                      <w:spacing w:line="181" w:lineRule="exact"/>
                      <w:rPr>
                        <w:sz w:val="16"/>
                      </w:rPr>
                    </w:pPr>
                    <w:r>
                      <w:rPr>
                        <w:spacing w:val="-2"/>
                        <w:w w:val="80"/>
                        <w:sz w:val="16"/>
                      </w:rPr>
                      <w:t>Illawarra</w:t>
                    </w:r>
                  </w:p>
                </w:txbxContent>
              </v:textbox>
            </v:shape>
            <v:shape id="docshape999" o:spid="_x0000_s4315" type="#_x0000_t202" style="position:absolute;left:9156;top:4882;width:418;height:181" filled="f" stroked="f">
              <v:textbox inset="0,0,0,0">
                <w:txbxContent>
                  <w:p w:rsidR="00F22F94" w:rsidRDefault="00F22F94">
                    <w:pPr>
                      <w:spacing w:line="181" w:lineRule="exact"/>
                      <w:rPr>
                        <w:sz w:val="16"/>
                      </w:rPr>
                    </w:pPr>
                    <w:r>
                      <w:rPr>
                        <w:spacing w:val="-2"/>
                        <w:w w:val="80"/>
                        <w:sz w:val="16"/>
                      </w:rPr>
                      <w:t>Murray</w:t>
                    </w:r>
                  </w:p>
                </w:txbxContent>
              </v:textbox>
            </v:shape>
            <v:shape id="docshape1000" o:spid="_x0000_s4314" type="#_x0000_t202" style="position:absolute;left:11766;top:5181;width:808;height:181" filled="f" stroked="f">
              <v:textbox inset="0,0,0,0">
                <w:txbxContent>
                  <w:p w:rsidR="00F22F94" w:rsidRDefault="00F22F94">
                    <w:pPr>
                      <w:spacing w:line="181" w:lineRule="exact"/>
                      <w:rPr>
                        <w:sz w:val="16"/>
                      </w:rPr>
                    </w:pPr>
                    <w:r>
                      <w:rPr>
                        <w:w w:val="75"/>
                        <w:sz w:val="16"/>
                      </w:rPr>
                      <w:t>South</w:t>
                    </w:r>
                    <w:r>
                      <w:rPr>
                        <w:spacing w:val="1"/>
                        <w:sz w:val="16"/>
                      </w:rPr>
                      <w:t xml:space="preserve"> </w:t>
                    </w:r>
                    <w:r>
                      <w:rPr>
                        <w:spacing w:val="-2"/>
                        <w:w w:val="80"/>
                        <w:sz w:val="16"/>
                      </w:rPr>
                      <w:t>Eastern</w:t>
                    </w:r>
                  </w:p>
                </w:txbxContent>
              </v:textbox>
            </v:shape>
            <v:shape id="docshape1001" o:spid="_x0000_s4313" type="#_x0000_t202" style="position:absolute;left:7378;top:5675;width:1928;height:187" filled="f" stroked="f">
              <v:textbox inset="0,0,0,0">
                <w:txbxContent>
                  <w:p w:rsidR="00F22F94" w:rsidRDefault="00F22F94">
                    <w:pPr>
                      <w:spacing w:before="2"/>
                      <w:rPr>
                        <w:sz w:val="16"/>
                      </w:rPr>
                    </w:pPr>
                    <w:r>
                      <w:rPr>
                        <w:w w:val="85"/>
                        <w:sz w:val="16"/>
                      </w:rPr>
                      <w:t>Approximate</w:t>
                    </w:r>
                    <w:r>
                      <w:rPr>
                        <w:spacing w:val="-5"/>
                        <w:sz w:val="16"/>
                      </w:rPr>
                      <w:t xml:space="preserve"> </w:t>
                    </w:r>
                    <w:r>
                      <w:rPr>
                        <w:w w:val="85"/>
                        <w:sz w:val="16"/>
                      </w:rPr>
                      <w:t>Freight</w:t>
                    </w:r>
                    <w:r>
                      <w:rPr>
                        <w:spacing w:val="-5"/>
                        <w:sz w:val="16"/>
                      </w:rPr>
                      <w:t xml:space="preserve"> </w:t>
                    </w:r>
                    <w:r>
                      <w:rPr>
                        <w:w w:val="85"/>
                        <w:sz w:val="16"/>
                      </w:rPr>
                      <w:t>Task</w:t>
                    </w:r>
                    <w:r>
                      <w:rPr>
                        <w:spacing w:val="-4"/>
                        <w:sz w:val="16"/>
                      </w:rPr>
                      <w:t xml:space="preserve"> </w:t>
                    </w:r>
                    <w:r>
                      <w:rPr>
                        <w:spacing w:val="-5"/>
                        <w:w w:val="85"/>
                        <w:sz w:val="16"/>
                      </w:rPr>
                      <w:t>NSW</w:t>
                    </w:r>
                  </w:p>
                </w:txbxContent>
              </v:textbox>
            </v:shape>
            <v:shape id="docshape1002" o:spid="_x0000_s4312" type="#_x0000_t202" style="position:absolute;left:13014;top:5675;width:1885;height:187" filled="f" stroked="f">
              <v:textbox inset="0,0,0,0">
                <w:txbxContent>
                  <w:p w:rsidR="00F22F94" w:rsidRDefault="00F22F94">
                    <w:pPr>
                      <w:spacing w:before="2"/>
                      <w:rPr>
                        <w:sz w:val="16"/>
                      </w:rPr>
                    </w:pPr>
                    <w:r>
                      <w:rPr>
                        <w:w w:val="85"/>
                        <w:sz w:val="16"/>
                      </w:rPr>
                      <w:t>Estimated</w:t>
                    </w:r>
                    <w:r>
                      <w:rPr>
                        <w:spacing w:val="-5"/>
                        <w:sz w:val="16"/>
                      </w:rPr>
                      <w:t xml:space="preserve"> </w:t>
                    </w:r>
                    <w:r>
                      <w:rPr>
                        <w:w w:val="85"/>
                        <w:sz w:val="16"/>
                      </w:rPr>
                      <w:t>Freight</w:t>
                    </w:r>
                    <w:r>
                      <w:rPr>
                        <w:spacing w:val="-5"/>
                        <w:sz w:val="16"/>
                      </w:rPr>
                      <w:t xml:space="preserve"> </w:t>
                    </w:r>
                    <w:r>
                      <w:rPr>
                        <w:w w:val="85"/>
                        <w:sz w:val="16"/>
                      </w:rPr>
                      <w:t>Share,</w:t>
                    </w:r>
                    <w:r>
                      <w:rPr>
                        <w:spacing w:val="-4"/>
                        <w:sz w:val="16"/>
                      </w:rPr>
                      <w:t xml:space="preserve"> </w:t>
                    </w:r>
                    <w:r>
                      <w:rPr>
                        <w:spacing w:val="-4"/>
                        <w:w w:val="85"/>
                        <w:sz w:val="16"/>
                      </w:rPr>
                      <w:t>2011</w:t>
                    </w:r>
                  </w:p>
                </w:txbxContent>
              </v:textbox>
            </v:shape>
            <v:shape id="docshape1003" o:spid="_x0000_s4311" type="#_x0000_t202" style="position:absolute;left:6472;top:6049;width:1086;height:181" filled="f" stroked="f">
              <v:textbox inset="0,0,0,0">
                <w:txbxContent>
                  <w:p w:rsidR="00F22F94" w:rsidRDefault="00F22F94">
                    <w:pPr>
                      <w:spacing w:line="181" w:lineRule="exact"/>
                      <w:rPr>
                        <w:sz w:val="16"/>
                      </w:rPr>
                    </w:pPr>
                    <w:r>
                      <w:rPr>
                        <w:w w:val="75"/>
                        <w:sz w:val="16"/>
                      </w:rPr>
                      <w:t>Import/Export</w:t>
                    </w:r>
                    <w:r>
                      <w:rPr>
                        <w:spacing w:val="21"/>
                        <w:sz w:val="16"/>
                      </w:rPr>
                      <w:t xml:space="preserve"> </w:t>
                    </w:r>
                    <w:r>
                      <w:rPr>
                        <w:spacing w:val="-5"/>
                        <w:w w:val="90"/>
                        <w:sz w:val="16"/>
                      </w:rPr>
                      <w:t>20%</w:t>
                    </w:r>
                  </w:p>
                </w:txbxContent>
              </v:textbox>
            </v:shape>
            <v:shape id="docshape1004" o:spid="_x0000_s4310" type="#_x0000_t202" style="position:absolute;left:12534;top:6049;width:639;height:181" filled="f" stroked="f">
              <v:textbox inset="0,0,0,0">
                <w:txbxContent>
                  <w:p w:rsidR="00F22F94" w:rsidRDefault="00F22F94">
                    <w:pPr>
                      <w:spacing w:line="181" w:lineRule="exact"/>
                      <w:rPr>
                        <w:sz w:val="16"/>
                      </w:rPr>
                    </w:pPr>
                    <w:r>
                      <w:rPr>
                        <w:w w:val="75"/>
                        <w:sz w:val="16"/>
                      </w:rPr>
                      <w:t>Other</w:t>
                    </w:r>
                    <w:r>
                      <w:rPr>
                        <w:spacing w:val="1"/>
                        <w:sz w:val="16"/>
                      </w:rPr>
                      <w:t xml:space="preserve"> </w:t>
                    </w:r>
                    <w:r>
                      <w:rPr>
                        <w:spacing w:val="-5"/>
                        <w:w w:val="90"/>
                        <w:sz w:val="16"/>
                      </w:rPr>
                      <w:t>28%</w:t>
                    </w:r>
                  </w:p>
                </w:txbxContent>
              </v:textbox>
            </v:shape>
            <v:shape id="docshape1005" o:spid="_x0000_s4309" type="#_x0000_t202" style="position:absolute;left:15019;top:6519;width:577;height:181" filled="f" stroked="f">
              <v:textbox inset="0,0,0,0">
                <w:txbxContent>
                  <w:p w:rsidR="00F22F94" w:rsidRDefault="00F22F94">
                    <w:pPr>
                      <w:spacing w:line="181" w:lineRule="exact"/>
                      <w:rPr>
                        <w:sz w:val="16"/>
                      </w:rPr>
                    </w:pPr>
                    <w:r>
                      <w:rPr>
                        <w:w w:val="75"/>
                        <w:sz w:val="16"/>
                      </w:rPr>
                      <w:t>Coal</w:t>
                    </w:r>
                    <w:r>
                      <w:rPr>
                        <w:spacing w:val="-3"/>
                        <w:w w:val="90"/>
                        <w:sz w:val="16"/>
                      </w:rPr>
                      <w:t xml:space="preserve"> </w:t>
                    </w:r>
                    <w:r>
                      <w:rPr>
                        <w:spacing w:val="-5"/>
                        <w:w w:val="90"/>
                        <w:sz w:val="16"/>
                      </w:rPr>
                      <w:t>48%</w:t>
                    </w:r>
                  </w:p>
                </w:txbxContent>
              </v:textbox>
            </v:shape>
            <v:shape id="docshape1006" o:spid="_x0000_s4308" type="#_x0000_t202" style="position:absolute;left:6439;top:7109;width:855;height:181" filled="f" stroked="f">
              <v:textbox inset="0,0,0,0">
                <w:txbxContent>
                  <w:p w:rsidR="00F22F94" w:rsidRDefault="00F22F94">
                    <w:pPr>
                      <w:spacing w:line="181" w:lineRule="exact"/>
                      <w:rPr>
                        <w:sz w:val="16"/>
                      </w:rPr>
                    </w:pPr>
                    <w:r>
                      <w:rPr>
                        <w:w w:val="75"/>
                        <w:sz w:val="16"/>
                      </w:rPr>
                      <w:t>Interstate</w:t>
                    </w:r>
                    <w:r>
                      <w:rPr>
                        <w:spacing w:val="19"/>
                        <w:sz w:val="16"/>
                      </w:rPr>
                      <w:t xml:space="preserve"> </w:t>
                    </w:r>
                    <w:r>
                      <w:rPr>
                        <w:spacing w:val="-5"/>
                        <w:w w:val="90"/>
                        <w:sz w:val="16"/>
                      </w:rPr>
                      <w:t>20%</w:t>
                    </w:r>
                  </w:p>
                </w:txbxContent>
              </v:textbox>
            </v:shape>
            <v:shape id="docshape1007" o:spid="_x0000_s4307" type="#_x0000_t202" style="position:absolute;left:9393;top:7097;width:855;height:181" filled="f" stroked="f">
              <v:textbox inset="0,0,0,0">
                <w:txbxContent>
                  <w:p w:rsidR="00F22F94" w:rsidRDefault="00F22F94">
                    <w:pPr>
                      <w:spacing w:line="181" w:lineRule="exact"/>
                      <w:rPr>
                        <w:sz w:val="16"/>
                      </w:rPr>
                    </w:pPr>
                    <w:r>
                      <w:rPr>
                        <w:w w:val="75"/>
                        <w:sz w:val="16"/>
                      </w:rPr>
                      <w:t>Intrastate</w:t>
                    </w:r>
                    <w:r>
                      <w:rPr>
                        <w:spacing w:val="19"/>
                        <w:sz w:val="16"/>
                      </w:rPr>
                      <w:t xml:space="preserve"> </w:t>
                    </w:r>
                    <w:r>
                      <w:rPr>
                        <w:spacing w:val="-5"/>
                        <w:w w:val="90"/>
                        <w:sz w:val="16"/>
                      </w:rPr>
                      <w:t>60%</w:t>
                    </w:r>
                  </w:p>
                </w:txbxContent>
              </v:textbox>
            </v:shape>
            <v:shape id="docshape1008" o:spid="_x0000_s4306" type="#_x0000_t202" style="position:absolute;left:12257;top:7023;width:766;height:567" filled="f" stroked="f">
              <v:textbox inset="0,0,0,0">
                <w:txbxContent>
                  <w:p w:rsidR="00F22F94" w:rsidRDefault="00F22F94">
                    <w:pPr>
                      <w:spacing w:line="182" w:lineRule="exact"/>
                      <w:rPr>
                        <w:sz w:val="16"/>
                      </w:rPr>
                    </w:pPr>
                    <w:r>
                      <w:rPr>
                        <w:w w:val="80"/>
                        <w:sz w:val="16"/>
                      </w:rPr>
                      <w:t>Meat</w:t>
                    </w:r>
                    <w:r>
                      <w:rPr>
                        <w:spacing w:val="-5"/>
                        <w:w w:val="95"/>
                        <w:sz w:val="16"/>
                      </w:rPr>
                      <w:t xml:space="preserve"> &lt;1%</w:t>
                    </w:r>
                  </w:p>
                  <w:p w:rsidR="00F22F94" w:rsidRDefault="00F22F94">
                    <w:pPr>
                      <w:spacing w:before="9"/>
                      <w:ind w:left="120"/>
                      <w:rPr>
                        <w:sz w:val="16"/>
                      </w:rPr>
                    </w:pPr>
                    <w:r>
                      <w:rPr>
                        <w:w w:val="75"/>
                        <w:sz w:val="16"/>
                      </w:rPr>
                      <w:t>Steel</w:t>
                    </w:r>
                    <w:r>
                      <w:rPr>
                        <w:sz w:val="16"/>
                      </w:rPr>
                      <w:t xml:space="preserve"> </w:t>
                    </w:r>
                    <w:r>
                      <w:rPr>
                        <w:spacing w:val="-5"/>
                        <w:w w:val="90"/>
                        <w:sz w:val="16"/>
                      </w:rPr>
                      <w:t>2%</w:t>
                    </w:r>
                  </w:p>
                  <w:p w:rsidR="00F22F94" w:rsidRDefault="00F22F94">
                    <w:pPr>
                      <w:spacing w:before="8" w:line="183" w:lineRule="exact"/>
                      <w:ind w:left="215"/>
                      <w:rPr>
                        <w:sz w:val="16"/>
                      </w:rPr>
                    </w:pPr>
                    <w:r>
                      <w:rPr>
                        <w:w w:val="75"/>
                        <w:sz w:val="16"/>
                      </w:rPr>
                      <w:t>Grain</w:t>
                    </w:r>
                    <w:r>
                      <w:rPr>
                        <w:spacing w:val="-4"/>
                        <w:sz w:val="16"/>
                      </w:rPr>
                      <w:t xml:space="preserve"> </w:t>
                    </w:r>
                    <w:r>
                      <w:rPr>
                        <w:spacing w:val="-5"/>
                        <w:w w:val="90"/>
                        <w:sz w:val="16"/>
                      </w:rPr>
                      <w:t>4%</w:t>
                    </w:r>
                  </w:p>
                </w:txbxContent>
              </v:textbox>
            </v:shape>
            <v:shape id="docshape1009" o:spid="_x0000_s4305" type="#_x0000_t202" style="position:absolute;left:13782;top:7890;width:971;height:181" filled="f" stroked="f">
              <v:textbox inset="0,0,0,0">
                <w:txbxContent>
                  <w:p w:rsidR="00F22F94" w:rsidRDefault="00F22F94">
                    <w:pPr>
                      <w:spacing w:line="181" w:lineRule="exact"/>
                      <w:rPr>
                        <w:sz w:val="16"/>
                      </w:rPr>
                    </w:pPr>
                    <w:r>
                      <w:rPr>
                        <w:w w:val="75"/>
                        <w:sz w:val="16"/>
                      </w:rPr>
                      <w:t>Aggregates</w:t>
                    </w:r>
                    <w:r>
                      <w:rPr>
                        <w:spacing w:val="17"/>
                        <w:sz w:val="16"/>
                      </w:rPr>
                      <w:t xml:space="preserve"> </w:t>
                    </w:r>
                    <w:r>
                      <w:rPr>
                        <w:spacing w:val="-5"/>
                        <w:w w:val="90"/>
                        <w:sz w:val="16"/>
                      </w:rPr>
                      <w:t>18%</w:t>
                    </w:r>
                  </w:p>
                </w:txbxContent>
              </v:textbox>
            </v:shape>
            <v:shape id="docshape1010" o:spid="_x0000_s4304" type="#_x0000_t202" style="position:absolute;left:6133;top:8122;width:947;height:166" filled="f" stroked="f">
              <v:textbox inset="0,0,0,0">
                <w:txbxContent>
                  <w:p w:rsidR="00F22F94" w:rsidRDefault="00F22F94">
                    <w:pPr>
                      <w:spacing w:before="4"/>
                      <w:rPr>
                        <w:sz w:val="14"/>
                      </w:rPr>
                    </w:pPr>
                    <w:r>
                      <w:rPr>
                        <w:w w:val="95"/>
                        <w:sz w:val="14"/>
                      </w:rPr>
                      <w:t>Source:</w:t>
                    </w:r>
                    <w:r>
                      <w:rPr>
                        <w:spacing w:val="9"/>
                        <w:sz w:val="14"/>
                      </w:rPr>
                      <w:t xml:space="preserve"> </w:t>
                    </w:r>
                    <w:r>
                      <w:rPr>
                        <w:spacing w:val="-2"/>
                        <w:w w:val="95"/>
                        <w:sz w:val="14"/>
                      </w:rPr>
                      <w:t>BITRE.</w:t>
                    </w:r>
                  </w:p>
                </w:txbxContent>
              </v:textbox>
            </v:shape>
            <w10:wrap anchorx="page"/>
          </v:group>
        </w:pict>
      </w:r>
      <w:bookmarkStart w:id="139" w:name="_bookmark99"/>
      <w:bookmarkEnd w:id="139"/>
      <w:r w:rsidR="00F22F94">
        <w:rPr>
          <w:w w:val="95"/>
        </w:rPr>
        <w:t>to</w:t>
      </w:r>
      <w:r w:rsidR="00F22F94">
        <w:rPr>
          <w:spacing w:val="-7"/>
          <w:w w:val="95"/>
        </w:rPr>
        <w:t xml:space="preserve"> </w:t>
      </w:r>
      <w:r w:rsidR="00F22F94">
        <w:rPr>
          <w:w w:val="95"/>
        </w:rPr>
        <w:t>and</w:t>
      </w:r>
      <w:r w:rsidR="00F22F94">
        <w:rPr>
          <w:spacing w:val="-7"/>
          <w:w w:val="95"/>
        </w:rPr>
        <w:t xml:space="preserve"> </w:t>
      </w:r>
      <w:r w:rsidR="00F22F94">
        <w:rPr>
          <w:w w:val="95"/>
        </w:rPr>
        <w:t>from</w:t>
      </w:r>
      <w:r w:rsidR="00F22F94">
        <w:rPr>
          <w:spacing w:val="-8"/>
          <w:w w:val="95"/>
        </w:rPr>
        <w:t xml:space="preserve"> </w:t>
      </w:r>
      <w:r w:rsidR="00F22F94">
        <w:rPr>
          <w:w w:val="95"/>
        </w:rPr>
        <w:t>metropolitan</w:t>
      </w:r>
      <w:r w:rsidR="00F22F94">
        <w:rPr>
          <w:spacing w:val="-7"/>
          <w:w w:val="95"/>
        </w:rPr>
        <w:t xml:space="preserve"> </w:t>
      </w:r>
      <w:r w:rsidR="00F22F94">
        <w:rPr>
          <w:w w:val="95"/>
        </w:rPr>
        <w:t>markets</w:t>
      </w:r>
      <w:r w:rsidR="00F22F94">
        <w:rPr>
          <w:spacing w:val="-7"/>
          <w:w w:val="95"/>
        </w:rPr>
        <w:t xml:space="preserve"> </w:t>
      </w:r>
      <w:r w:rsidR="00F22F94">
        <w:rPr>
          <w:w w:val="95"/>
        </w:rPr>
        <w:t>(primarily</w:t>
      </w:r>
      <w:r w:rsidR="00F22F94">
        <w:rPr>
          <w:spacing w:val="-7"/>
          <w:w w:val="95"/>
        </w:rPr>
        <w:t xml:space="preserve"> </w:t>
      </w:r>
      <w:r w:rsidR="00F22F94">
        <w:rPr>
          <w:w w:val="95"/>
        </w:rPr>
        <w:t>Sydney)</w:t>
      </w:r>
      <w:r w:rsidR="00F22F94">
        <w:rPr>
          <w:spacing w:val="-7"/>
          <w:w w:val="95"/>
        </w:rPr>
        <w:t xml:space="preserve"> </w:t>
      </w:r>
      <w:r w:rsidR="00F22F94">
        <w:rPr>
          <w:w w:val="95"/>
        </w:rPr>
        <w:t xml:space="preserve">and </w:t>
      </w:r>
      <w:r w:rsidR="00F22F94">
        <w:rPr>
          <w:spacing w:val="-2"/>
        </w:rPr>
        <w:t>within</w:t>
      </w:r>
      <w:r w:rsidR="00F22F94">
        <w:rPr>
          <w:spacing w:val="-8"/>
        </w:rPr>
        <w:t xml:space="preserve"> </w:t>
      </w:r>
      <w:r w:rsidR="00F22F94">
        <w:rPr>
          <w:spacing w:val="-2"/>
        </w:rPr>
        <w:t>Regional</w:t>
      </w:r>
      <w:r w:rsidR="00F22F94">
        <w:rPr>
          <w:spacing w:val="-8"/>
        </w:rPr>
        <w:t xml:space="preserve"> </w:t>
      </w:r>
      <w:r w:rsidR="00F22F94">
        <w:rPr>
          <w:spacing w:val="-2"/>
        </w:rPr>
        <w:t>NSW</w:t>
      </w:r>
      <w:r w:rsidR="00F22F94">
        <w:rPr>
          <w:spacing w:val="-8"/>
        </w:rPr>
        <w:t xml:space="preserve"> </w:t>
      </w:r>
      <w:r w:rsidR="00F22F94">
        <w:rPr>
          <w:spacing w:val="-2"/>
        </w:rPr>
        <w:t>as</w:t>
      </w:r>
      <w:r w:rsidR="00F22F94">
        <w:rPr>
          <w:spacing w:val="-8"/>
        </w:rPr>
        <w:t xml:space="preserve"> </w:t>
      </w:r>
      <w:r w:rsidR="00F22F94">
        <w:rPr>
          <w:spacing w:val="-2"/>
        </w:rPr>
        <w:t>illustrated</w:t>
      </w:r>
      <w:r w:rsidR="00F22F94">
        <w:rPr>
          <w:spacing w:val="-8"/>
        </w:rPr>
        <w:t xml:space="preserve"> </w:t>
      </w:r>
      <w:r w:rsidR="00F22F94">
        <w:rPr>
          <w:spacing w:val="-2"/>
        </w:rPr>
        <w:t>in</w:t>
      </w:r>
      <w:r w:rsidR="00F22F94">
        <w:rPr>
          <w:spacing w:val="-8"/>
        </w:rPr>
        <w:t xml:space="preserve"> </w:t>
      </w:r>
      <w:r w:rsidR="00F22F94">
        <w:rPr>
          <w:spacing w:val="-2"/>
        </w:rPr>
        <w:t>Figure</w:t>
      </w:r>
      <w:r w:rsidR="00F22F94">
        <w:rPr>
          <w:spacing w:val="-8"/>
        </w:rPr>
        <w:t xml:space="preserve"> </w:t>
      </w:r>
      <w:r w:rsidR="00F22F94">
        <w:rPr>
          <w:spacing w:val="-2"/>
        </w:rPr>
        <w:t>5.4.</w:t>
      </w:r>
    </w:p>
    <w:p w:rsidR="002C1123" w:rsidRDefault="00F22F94">
      <w:pPr>
        <w:pStyle w:val="BodyText"/>
        <w:spacing w:before="143" w:line="249" w:lineRule="auto"/>
        <w:ind w:left="492" w:right="10782"/>
      </w:pPr>
      <w:r>
        <w:rPr>
          <w:w w:val="95"/>
        </w:rPr>
        <w:t>Road</w:t>
      </w:r>
      <w:r>
        <w:rPr>
          <w:spacing w:val="-4"/>
          <w:w w:val="95"/>
        </w:rPr>
        <w:t xml:space="preserve"> </w:t>
      </w:r>
      <w:r>
        <w:rPr>
          <w:w w:val="95"/>
        </w:rPr>
        <w:t>is</w:t>
      </w:r>
      <w:r>
        <w:rPr>
          <w:spacing w:val="-4"/>
          <w:w w:val="95"/>
        </w:rPr>
        <w:t xml:space="preserve"> </w:t>
      </w:r>
      <w:r>
        <w:rPr>
          <w:w w:val="95"/>
        </w:rPr>
        <w:t>the</w:t>
      </w:r>
      <w:r>
        <w:rPr>
          <w:spacing w:val="-4"/>
          <w:w w:val="95"/>
        </w:rPr>
        <w:t xml:space="preserve"> </w:t>
      </w:r>
      <w:r>
        <w:rPr>
          <w:w w:val="95"/>
        </w:rPr>
        <w:t>most</w:t>
      </w:r>
      <w:r>
        <w:rPr>
          <w:spacing w:val="-4"/>
          <w:w w:val="95"/>
        </w:rPr>
        <w:t xml:space="preserve"> </w:t>
      </w:r>
      <w:r>
        <w:rPr>
          <w:w w:val="95"/>
        </w:rPr>
        <w:t>heavily</w:t>
      </w:r>
      <w:r>
        <w:rPr>
          <w:spacing w:val="-4"/>
          <w:w w:val="95"/>
        </w:rPr>
        <w:t xml:space="preserve"> </w:t>
      </w:r>
      <w:r>
        <w:rPr>
          <w:w w:val="95"/>
        </w:rPr>
        <w:t>used</w:t>
      </w:r>
      <w:r>
        <w:rPr>
          <w:spacing w:val="-4"/>
          <w:w w:val="95"/>
        </w:rPr>
        <w:t xml:space="preserve"> </w:t>
      </w:r>
      <w:r>
        <w:rPr>
          <w:w w:val="95"/>
        </w:rPr>
        <w:t>mode</w:t>
      </w:r>
      <w:r>
        <w:rPr>
          <w:spacing w:val="-4"/>
          <w:w w:val="95"/>
        </w:rPr>
        <w:t xml:space="preserve"> </w:t>
      </w:r>
      <w:r>
        <w:rPr>
          <w:w w:val="95"/>
        </w:rPr>
        <w:t>for</w:t>
      </w:r>
      <w:r>
        <w:rPr>
          <w:spacing w:val="-4"/>
          <w:w w:val="95"/>
        </w:rPr>
        <w:t xml:space="preserve"> </w:t>
      </w:r>
      <w:r>
        <w:rPr>
          <w:w w:val="95"/>
        </w:rPr>
        <w:t>freight</w:t>
      </w:r>
      <w:r>
        <w:rPr>
          <w:spacing w:val="-4"/>
          <w:w w:val="95"/>
        </w:rPr>
        <w:t xml:space="preserve"> </w:t>
      </w:r>
      <w:r>
        <w:rPr>
          <w:w w:val="95"/>
        </w:rPr>
        <w:t xml:space="preserve">transport, </w:t>
      </w:r>
      <w:r>
        <w:t>responsible</w:t>
      </w:r>
      <w:r>
        <w:rPr>
          <w:spacing w:val="-14"/>
        </w:rPr>
        <w:t xml:space="preserve"> </w:t>
      </w:r>
      <w:r>
        <w:t>for</w:t>
      </w:r>
      <w:r>
        <w:rPr>
          <w:spacing w:val="-14"/>
        </w:rPr>
        <w:t xml:space="preserve"> </w:t>
      </w:r>
      <w:r>
        <w:t>63</w:t>
      </w:r>
      <w:r>
        <w:rPr>
          <w:spacing w:val="-14"/>
        </w:rPr>
        <w:t xml:space="preserve"> </w:t>
      </w:r>
      <w:r>
        <w:t>percent</w:t>
      </w:r>
      <w:r>
        <w:rPr>
          <w:spacing w:val="-14"/>
        </w:rPr>
        <w:t xml:space="preserve"> </w:t>
      </w:r>
      <w:r>
        <w:t>of</w:t>
      </w:r>
      <w:r>
        <w:rPr>
          <w:spacing w:val="-14"/>
        </w:rPr>
        <w:t xml:space="preserve"> </w:t>
      </w:r>
      <w:r>
        <w:t>volume,</w:t>
      </w:r>
      <w:r>
        <w:rPr>
          <w:spacing w:val="-14"/>
        </w:rPr>
        <w:t xml:space="preserve"> </w:t>
      </w:r>
      <w:r>
        <w:t>followed</w:t>
      </w:r>
      <w:r>
        <w:rPr>
          <w:spacing w:val="-14"/>
        </w:rPr>
        <w:t xml:space="preserve"> </w:t>
      </w:r>
      <w:r>
        <w:t>by</w:t>
      </w:r>
      <w:r>
        <w:rPr>
          <w:spacing w:val="-14"/>
        </w:rPr>
        <w:t xml:space="preserve"> </w:t>
      </w:r>
      <w:r>
        <w:t>rail</w:t>
      </w:r>
      <w:r>
        <w:rPr>
          <w:spacing w:val="-14"/>
        </w:rPr>
        <w:t xml:space="preserve"> </w:t>
      </w:r>
      <w:r>
        <w:t>at 33</w:t>
      </w:r>
      <w:r>
        <w:rPr>
          <w:spacing w:val="-11"/>
        </w:rPr>
        <w:t xml:space="preserve"> </w:t>
      </w:r>
      <w:r>
        <w:t>percent</w:t>
      </w:r>
      <w:r>
        <w:rPr>
          <w:position w:val="7"/>
          <w:sz w:val="11"/>
        </w:rPr>
        <w:t>10</w:t>
      </w:r>
      <w:r>
        <w:t>.</w:t>
      </w:r>
    </w:p>
    <w:p w:rsidR="002C1123" w:rsidRDefault="00F22F94">
      <w:pPr>
        <w:pStyle w:val="BodyText"/>
        <w:spacing w:before="144" w:line="249" w:lineRule="auto"/>
        <w:ind w:left="492" w:right="10835"/>
      </w:pPr>
      <w:r>
        <w:rPr>
          <w:w w:val="95"/>
        </w:rPr>
        <w:t>As</w:t>
      </w:r>
      <w:r>
        <w:rPr>
          <w:spacing w:val="-7"/>
          <w:w w:val="95"/>
        </w:rPr>
        <w:t xml:space="preserve"> </w:t>
      </w:r>
      <w:r>
        <w:rPr>
          <w:w w:val="95"/>
        </w:rPr>
        <w:t>described</w:t>
      </w:r>
      <w:r>
        <w:rPr>
          <w:spacing w:val="-7"/>
          <w:w w:val="95"/>
        </w:rPr>
        <w:t xml:space="preserve"> </w:t>
      </w:r>
      <w:r>
        <w:rPr>
          <w:w w:val="95"/>
        </w:rPr>
        <w:t>in</w:t>
      </w:r>
      <w:r>
        <w:rPr>
          <w:spacing w:val="-7"/>
          <w:w w:val="95"/>
        </w:rPr>
        <w:t xml:space="preserve"> </w:t>
      </w:r>
      <w:r>
        <w:rPr>
          <w:w w:val="95"/>
        </w:rPr>
        <w:t>Section</w:t>
      </w:r>
      <w:r>
        <w:rPr>
          <w:spacing w:val="-7"/>
          <w:w w:val="95"/>
        </w:rPr>
        <w:t xml:space="preserve"> </w:t>
      </w:r>
      <w:r>
        <w:rPr>
          <w:w w:val="95"/>
        </w:rPr>
        <w:t>2,</w:t>
      </w:r>
      <w:r>
        <w:rPr>
          <w:spacing w:val="-7"/>
          <w:w w:val="95"/>
        </w:rPr>
        <w:t xml:space="preserve"> </w:t>
      </w:r>
      <w:r>
        <w:rPr>
          <w:w w:val="95"/>
        </w:rPr>
        <w:t>there</w:t>
      </w:r>
      <w:r>
        <w:rPr>
          <w:spacing w:val="-7"/>
          <w:w w:val="95"/>
        </w:rPr>
        <w:t xml:space="preserve"> </w:t>
      </w:r>
      <w:r>
        <w:rPr>
          <w:w w:val="95"/>
        </w:rPr>
        <w:t>are</w:t>
      </w:r>
      <w:r>
        <w:rPr>
          <w:spacing w:val="-7"/>
          <w:w w:val="95"/>
        </w:rPr>
        <w:t xml:space="preserve"> </w:t>
      </w:r>
      <w:r>
        <w:rPr>
          <w:w w:val="95"/>
        </w:rPr>
        <w:t>deficiencies</w:t>
      </w:r>
      <w:r>
        <w:rPr>
          <w:spacing w:val="-7"/>
          <w:w w:val="95"/>
        </w:rPr>
        <w:t xml:space="preserve"> </w:t>
      </w:r>
      <w:r>
        <w:rPr>
          <w:w w:val="95"/>
        </w:rPr>
        <w:t>in</w:t>
      </w:r>
      <w:r>
        <w:rPr>
          <w:spacing w:val="-7"/>
          <w:w w:val="95"/>
        </w:rPr>
        <w:t xml:space="preserve"> </w:t>
      </w:r>
      <w:r>
        <w:rPr>
          <w:w w:val="95"/>
        </w:rPr>
        <w:t xml:space="preserve">the </w:t>
      </w:r>
      <w:r>
        <w:t>assessed</w:t>
      </w:r>
      <w:r>
        <w:rPr>
          <w:spacing w:val="-4"/>
        </w:rPr>
        <w:t xml:space="preserve"> </w:t>
      </w:r>
      <w:r>
        <w:t>capacity</w:t>
      </w:r>
      <w:r>
        <w:rPr>
          <w:spacing w:val="-4"/>
        </w:rPr>
        <w:t xml:space="preserve"> </w:t>
      </w:r>
      <w:r>
        <w:t>and</w:t>
      </w:r>
      <w:r>
        <w:rPr>
          <w:spacing w:val="-4"/>
        </w:rPr>
        <w:t xml:space="preserve"> </w:t>
      </w:r>
      <w:r>
        <w:t>condition</w:t>
      </w:r>
      <w:r>
        <w:rPr>
          <w:spacing w:val="-4"/>
        </w:rPr>
        <w:t xml:space="preserve"> </w:t>
      </w:r>
      <w:r>
        <w:t>of</w:t>
      </w:r>
      <w:r>
        <w:rPr>
          <w:spacing w:val="-4"/>
        </w:rPr>
        <w:t xml:space="preserve"> </w:t>
      </w:r>
      <w:r>
        <w:t>some</w:t>
      </w:r>
      <w:r>
        <w:rPr>
          <w:spacing w:val="-4"/>
        </w:rPr>
        <w:t xml:space="preserve"> </w:t>
      </w:r>
      <w:r>
        <w:t>sections</w:t>
      </w:r>
    </w:p>
    <w:p w:rsidR="002C1123" w:rsidRDefault="00F22F94">
      <w:pPr>
        <w:pStyle w:val="BodyText"/>
        <w:spacing w:before="2" w:line="249" w:lineRule="auto"/>
        <w:ind w:left="492" w:right="10891"/>
      </w:pPr>
      <w:r>
        <w:rPr>
          <w:w w:val="95"/>
        </w:rPr>
        <w:t>of</w:t>
      </w:r>
      <w:r>
        <w:rPr>
          <w:spacing w:val="-5"/>
          <w:w w:val="95"/>
        </w:rPr>
        <w:t xml:space="preserve"> </w:t>
      </w:r>
      <w:r>
        <w:rPr>
          <w:w w:val="95"/>
        </w:rPr>
        <w:t>both</w:t>
      </w:r>
      <w:r>
        <w:rPr>
          <w:spacing w:val="-5"/>
          <w:w w:val="95"/>
        </w:rPr>
        <w:t xml:space="preserve"> </w:t>
      </w:r>
      <w:r>
        <w:rPr>
          <w:w w:val="95"/>
        </w:rPr>
        <w:t>the</w:t>
      </w:r>
      <w:r>
        <w:rPr>
          <w:spacing w:val="-5"/>
          <w:w w:val="95"/>
        </w:rPr>
        <w:t xml:space="preserve"> </w:t>
      </w:r>
      <w:r>
        <w:rPr>
          <w:w w:val="95"/>
        </w:rPr>
        <w:t>regional</w:t>
      </w:r>
      <w:r>
        <w:rPr>
          <w:spacing w:val="-5"/>
          <w:w w:val="95"/>
        </w:rPr>
        <w:t xml:space="preserve"> </w:t>
      </w:r>
      <w:r>
        <w:rPr>
          <w:w w:val="95"/>
        </w:rPr>
        <w:t>road</w:t>
      </w:r>
      <w:r>
        <w:rPr>
          <w:spacing w:val="-5"/>
          <w:w w:val="95"/>
        </w:rPr>
        <w:t xml:space="preserve"> </w:t>
      </w:r>
      <w:r>
        <w:rPr>
          <w:w w:val="95"/>
        </w:rPr>
        <w:t>and</w:t>
      </w:r>
      <w:r>
        <w:rPr>
          <w:spacing w:val="-5"/>
          <w:w w:val="95"/>
        </w:rPr>
        <w:t xml:space="preserve"> </w:t>
      </w:r>
      <w:r>
        <w:rPr>
          <w:w w:val="95"/>
        </w:rPr>
        <w:t>rail</w:t>
      </w:r>
      <w:r>
        <w:rPr>
          <w:spacing w:val="-5"/>
          <w:w w:val="95"/>
        </w:rPr>
        <w:t xml:space="preserve"> </w:t>
      </w:r>
      <w:r>
        <w:rPr>
          <w:w w:val="95"/>
        </w:rPr>
        <w:t>network</w:t>
      </w:r>
      <w:r>
        <w:rPr>
          <w:spacing w:val="-5"/>
          <w:w w:val="95"/>
        </w:rPr>
        <w:t xml:space="preserve"> </w:t>
      </w:r>
      <w:r>
        <w:rPr>
          <w:w w:val="95"/>
        </w:rPr>
        <w:t>to</w:t>
      </w:r>
      <w:r>
        <w:rPr>
          <w:spacing w:val="-5"/>
          <w:w w:val="95"/>
        </w:rPr>
        <w:t xml:space="preserve"> </w:t>
      </w:r>
      <w:r>
        <w:rPr>
          <w:w w:val="95"/>
        </w:rPr>
        <w:t xml:space="preserve">meet </w:t>
      </w:r>
      <w:r>
        <w:t>current</w:t>
      </w:r>
      <w:r>
        <w:rPr>
          <w:spacing w:val="-11"/>
        </w:rPr>
        <w:t xml:space="preserve"> </w:t>
      </w:r>
      <w:r>
        <w:t>demand.</w:t>
      </w:r>
    </w:p>
    <w:p w:rsidR="002C1123" w:rsidRDefault="00F22F94">
      <w:pPr>
        <w:pStyle w:val="BodyText"/>
        <w:spacing w:before="143" w:line="249" w:lineRule="auto"/>
        <w:ind w:left="492" w:right="10891"/>
      </w:pPr>
      <w:r>
        <w:rPr>
          <w:spacing w:val="-2"/>
          <w:w w:val="95"/>
        </w:rPr>
        <w:t xml:space="preserve">In addition, inefficient metropolitan road and rail network </w:t>
      </w:r>
      <w:r>
        <w:rPr>
          <w:w w:val="95"/>
        </w:rPr>
        <w:t>is</w:t>
      </w:r>
      <w:r>
        <w:rPr>
          <w:spacing w:val="-2"/>
          <w:w w:val="95"/>
        </w:rPr>
        <w:t xml:space="preserve"> </w:t>
      </w:r>
      <w:r>
        <w:rPr>
          <w:w w:val="95"/>
        </w:rPr>
        <w:t>as</w:t>
      </w:r>
      <w:r>
        <w:rPr>
          <w:spacing w:val="-2"/>
          <w:w w:val="95"/>
        </w:rPr>
        <w:t xml:space="preserve"> </w:t>
      </w:r>
      <w:r>
        <w:rPr>
          <w:w w:val="95"/>
        </w:rPr>
        <w:t>much</w:t>
      </w:r>
      <w:r>
        <w:rPr>
          <w:spacing w:val="-2"/>
          <w:w w:val="95"/>
        </w:rPr>
        <w:t xml:space="preserve"> </w:t>
      </w:r>
      <w:r>
        <w:rPr>
          <w:w w:val="95"/>
        </w:rPr>
        <w:t>an</w:t>
      </w:r>
      <w:r>
        <w:rPr>
          <w:spacing w:val="-2"/>
          <w:w w:val="95"/>
        </w:rPr>
        <w:t xml:space="preserve"> </w:t>
      </w:r>
      <w:r>
        <w:rPr>
          <w:w w:val="95"/>
        </w:rPr>
        <w:t>issue</w:t>
      </w:r>
      <w:r>
        <w:rPr>
          <w:spacing w:val="-2"/>
          <w:w w:val="95"/>
        </w:rPr>
        <w:t xml:space="preserve"> </w:t>
      </w:r>
      <w:r>
        <w:rPr>
          <w:w w:val="95"/>
        </w:rPr>
        <w:t>for</w:t>
      </w:r>
      <w:r>
        <w:rPr>
          <w:spacing w:val="-2"/>
          <w:w w:val="95"/>
        </w:rPr>
        <w:t xml:space="preserve"> </w:t>
      </w:r>
      <w:r>
        <w:rPr>
          <w:w w:val="95"/>
        </w:rPr>
        <w:t>Regional</w:t>
      </w:r>
      <w:r>
        <w:rPr>
          <w:spacing w:val="-2"/>
          <w:w w:val="95"/>
        </w:rPr>
        <w:t xml:space="preserve"> </w:t>
      </w:r>
      <w:r>
        <w:rPr>
          <w:w w:val="95"/>
        </w:rPr>
        <w:t>NSW</w:t>
      </w:r>
      <w:r>
        <w:rPr>
          <w:spacing w:val="-2"/>
          <w:w w:val="95"/>
        </w:rPr>
        <w:t xml:space="preserve"> </w:t>
      </w:r>
      <w:r>
        <w:rPr>
          <w:w w:val="95"/>
        </w:rPr>
        <w:t>as</w:t>
      </w:r>
      <w:r>
        <w:rPr>
          <w:spacing w:val="-2"/>
          <w:w w:val="95"/>
        </w:rPr>
        <w:t xml:space="preserve"> </w:t>
      </w:r>
      <w:r>
        <w:rPr>
          <w:w w:val="95"/>
        </w:rPr>
        <w:t>farm</w:t>
      </w:r>
      <w:r>
        <w:rPr>
          <w:spacing w:val="-2"/>
          <w:w w:val="95"/>
        </w:rPr>
        <w:t xml:space="preserve"> </w:t>
      </w:r>
      <w:r>
        <w:rPr>
          <w:w w:val="95"/>
        </w:rPr>
        <w:t>gate</w:t>
      </w:r>
      <w:r>
        <w:rPr>
          <w:spacing w:val="-2"/>
          <w:w w:val="95"/>
        </w:rPr>
        <w:t xml:space="preserve"> </w:t>
      </w:r>
      <w:r>
        <w:rPr>
          <w:w w:val="95"/>
        </w:rPr>
        <w:t>or last mile access. The cost for freight to access Sydney gateways is the highest on the Australian east coast.</w:t>
      </w:r>
    </w:p>
    <w:p w:rsidR="002C1123" w:rsidRDefault="00F22F94">
      <w:pPr>
        <w:pStyle w:val="BodyText"/>
        <w:spacing w:before="4" w:line="249" w:lineRule="auto"/>
        <w:ind w:left="492" w:right="10891"/>
      </w:pPr>
      <w:r>
        <w:rPr>
          <w:w w:val="95"/>
        </w:rPr>
        <w:t>Road transport costs per tonne equivalent unit (TEU) and warehousing costs per square metre were greater in the Sydney market than any other Australian capital city market</w:t>
      </w:r>
      <w:r>
        <w:rPr>
          <w:w w:val="95"/>
          <w:position w:val="7"/>
          <w:sz w:val="11"/>
        </w:rPr>
        <w:t>11</w:t>
      </w:r>
      <w:r>
        <w:rPr>
          <w:w w:val="95"/>
        </w:rPr>
        <w:t>. These metropolitan based logistics costs have</w:t>
      </w:r>
      <w:r>
        <w:rPr>
          <w:spacing w:val="-1"/>
          <w:w w:val="95"/>
        </w:rPr>
        <w:t xml:space="preserve"> </w:t>
      </w:r>
      <w:r>
        <w:rPr>
          <w:w w:val="95"/>
        </w:rPr>
        <w:t>flow</w:t>
      </w:r>
      <w:r>
        <w:rPr>
          <w:spacing w:val="-1"/>
          <w:w w:val="95"/>
        </w:rPr>
        <w:t xml:space="preserve"> </w:t>
      </w:r>
      <w:r>
        <w:rPr>
          <w:w w:val="95"/>
        </w:rPr>
        <w:t>on</w:t>
      </w:r>
      <w:r>
        <w:rPr>
          <w:spacing w:val="-1"/>
          <w:w w:val="95"/>
        </w:rPr>
        <w:t xml:space="preserve"> </w:t>
      </w:r>
      <w:r>
        <w:rPr>
          <w:w w:val="95"/>
        </w:rPr>
        <w:t>effects</w:t>
      </w:r>
      <w:r>
        <w:rPr>
          <w:spacing w:val="-1"/>
          <w:w w:val="95"/>
        </w:rPr>
        <w:t xml:space="preserve"> </w:t>
      </w:r>
      <w:r>
        <w:rPr>
          <w:w w:val="95"/>
        </w:rPr>
        <w:t>to</w:t>
      </w:r>
      <w:r>
        <w:rPr>
          <w:spacing w:val="-1"/>
          <w:w w:val="95"/>
        </w:rPr>
        <w:t xml:space="preserve"> </w:t>
      </w:r>
      <w:r>
        <w:rPr>
          <w:w w:val="95"/>
        </w:rPr>
        <w:t>regional</w:t>
      </w:r>
      <w:r>
        <w:rPr>
          <w:spacing w:val="-1"/>
          <w:w w:val="95"/>
        </w:rPr>
        <w:t xml:space="preserve"> </w:t>
      </w:r>
      <w:r>
        <w:rPr>
          <w:w w:val="95"/>
        </w:rPr>
        <w:t>NSW,</w:t>
      </w:r>
      <w:r>
        <w:rPr>
          <w:spacing w:val="-1"/>
          <w:w w:val="95"/>
        </w:rPr>
        <w:t xml:space="preserve"> </w:t>
      </w:r>
      <w:r>
        <w:rPr>
          <w:w w:val="95"/>
        </w:rPr>
        <w:t>both</w:t>
      </w:r>
      <w:r>
        <w:rPr>
          <w:spacing w:val="-1"/>
          <w:w w:val="95"/>
        </w:rPr>
        <w:t xml:space="preserve"> </w:t>
      </w:r>
      <w:r>
        <w:rPr>
          <w:w w:val="95"/>
        </w:rPr>
        <w:t>on</w:t>
      </w:r>
      <w:r>
        <w:rPr>
          <w:spacing w:val="-1"/>
          <w:w w:val="95"/>
        </w:rPr>
        <w:t xml:space="preserve"> </w:t>
      </w:r>
      <w:r>
        <w:rPr>
          <w:w w:val="95"/>
        </w:rPr>
        <w:t>the</w:t>
      </w:r>
      <w:r>
        <w:rPr>
          <w:spacing w:val="-1"/>
          <w:w w:val="95"/>
        </w:rPr>
        <w:t xml:space="preserve"> </w:t>
      </w:r>
      <w:r>
        <w:rPr>
          <w:w w:val="95"/>
        </w:rPr>
        <w:t xml:space="preserve">cost </w:t>
      </w:r>
      <w:r>
        <w:rPr>
          <w:w w:val="90"/>
        </w:rPr>
        <w:t xml:space="preserve">effectiveness of accessing the key Sydney basin market </w:t>
      </w:r>
      <w:r>
        <w:rPr>
          <w:spacing w:val="-2"/>
        </w:rPr>
        <w:t>and</w:t>
      </w:r>
      <w:r>
        <w:rPr>
          <w:spacing w:val="-8"/>
        </w:rPr>
        <w:t xml:space="preserve"> </w:t>
      </w:r>
      <w:r>
        <w:rPr>
          <w:spacing w:val="-2"/>
        </w:rPr>
        <w:t>on</w:t>
      </w:r>
      <w:r>
        <w:rPr>
          <w:spacing w:val="-8"/>
        </w:rPr>
        <w:t xml:space="preserve"> </w:t>
      </w:r>
      <w:r>
        <w:rPr>
          <w:spacing w:val="-2"/>
        </w:rPr>
        <w:t>the</w:t>
      </w:r>
      <w:r>
        <w:rPr>
          <w:spacing w:val="-8"/>
        </w:rPr>
        <w:t xml:space="preserve"> </w:t>
      </w:r>
      <w:r>
        <w:rPr>
          <w:spacing w:val="-2"/>
        </w:rPr>
        <w:t>cost</w:t>
      </w:r>
      <w:r>
        <w:rPr>
          <w:spacing w:val="-8"/>
        </w:rPr>
        <w:t xml:space="preserve"> </w:t>
      </w:r>
      <w:r>
        <w:rPr>
          <w:spacing w:val="-2"/>
        </w:rPr>
        <w:t>of</w:t>
      </w:r>
      <w:r>
        <w:rPr>
          <w:spacing w:val="-8"/>
        </w:rPr>
        <w:t xml:space="preserve"> </w:t>
      </w:r>
      <w:r>
        <w:rPr>
          <w:spacing w:val="-2"/>
        </w:rPr>
        <w:t>supplying</w:t>
      </w:r>
      <w:r>
        <w:rPr>
          <w:spacing w:val="-8"/>
        </w:rPr>
        <w:t xml:space="preserve"> </w:t>
      </w:r>
      <w:r>
        <w:rPr>
          <w:spacing w:val="-2"/>
        </w:rPr>
        <w:t>consumer</w:t>
      </w:r>
      <w:r>
        <w:rPr>
          <w:spacing w:val="-8"/>
        </w:rPr>
        <w:t xml:space="preserve"> </w:t>
      </w:r>
      <w:r>
        <w:rPr>
          <w:spacing w:val="-2"/>
        </w:rPr>
        <w:t>and</w:t>
      </w:r>
      <w:r>
        <w:rPr>
          <w:spacing w:val="-8"/>
        </w:rPr>
        <w:t xml:space="preserve"> </w:t>
      </w:r>
      <w:r>
        <w:rPr>
          <w:spacing w:val="-2"/>
        </w:rPr>
        <w:t xml:space="preserve">industrial </w:t>
      </w:r>
      <w:r>
        <w:t>goods</w:t>
      </w:r>
      <w:r>
        <w:rPr>
          <w:spacing w:val="-12"/>
        </w:rPr>
        <w:t xml:space="preserve"> </w:t>
      </w:r>
      <w:r>
        <w:t>to</w:t>
      </w:r>
      <w:r>
        <w:rPr>
          <w:spacing w:val="-12"/>
        </w:rPr>
        <w:t xml:space="preserve"> </w:t>
      </w:r>
      <w:r>
        <w:t>Regional</w:t>
      </w:r>
      <w:r>
        <w:rPr>
          <w:spacing w:val="-12"/>
        </w:rPr>
        <w:t xml:space="preserve"> </w:t>
      </w:r>
      <w:r>
        <w:t>NSW</w:t>
      </w:r>
      <w:r>
        <w:rPr>
          <w:spacing w:val="-12"/>
        </w:rPr>
        <w:t xml:space="preserve"> </w:t>
      </w:r>
      <w:r>
        <w:t>areas.</w:t>
      </w:r>
    </w:p>
    <w:p w:rsidR="002C1123" w:rsidRDefault="00F22F94">
      <w:pPr>
        <w:pStyle w:val="BodyText"/>
        <w:spacing w:before="148" w:line="249" w:lineRule="auto"/>
        <w:ind w:left="492" w:right="10840"/>
      </w:pPr>
      <w:r>
        <w:t>International</w:t>
      </w:r>
      <w:r>
        <w:rPr>
          <w:spacing w:val="-14"/>
        </w:rPr>
        <w:t xml:space="preserve"> </w:t>
      </w:r>
      <w:r>
        <w:t>demand</w:t>
      </w:r>
      <w:r>
        <w:rPr>
          <w:spacing w:val="-14"/>
        </w:rPr>
        <w:t xml:space="preserve"> </w:t>
      </w:r>
      <w:r>
        <w:t>for</w:t>
      </w:r>
      <w:r>
        <w:rPr>
          <w:spacing w:val="-14"/>
        </w:rPr>
        <w:t xml:space="preserve"> </w:t>
      </w:r>
      <w:r>
        <w:t>resources</w:t>
      </w:r>
      <w:r>
        <w:rPr>
          <w:spacing w:val="-14"/>
        </w:rPr>
        <w:t xml:space="preserve"> </w:t>
      </w:r>
      <w:r>
        <w:t>means</w:t>
      </w:r>
      <w:r>
        <w:rPr>
          <w:spacing w:val="-14"/>
        </w:rPr>
        <w:t xml:space="preserve"> </w:t>
      </w:r>
      <w:r>
        <w:t>that</w:t>
      </w:r>
      <w:r>
        <w:rPr>
          <w:spacing w:val="-14"/>
        </w:rPr>
        <w:t xml:space="preserve"> </w:t>
      </w:r>
      <w:r>
        <w:t xml:space="preserve">mining </w:t>
      </w:r>
      <w:r>
        <w:rPr>
          <w:w w:val="95"/>
        </w:rPr>
        <w:t>areas</w:t>
      </w:r>
      <w:r>
        <w:rPr>
          <w:spacing w:val="-4"/>
          <w:w w:val="95"/>
        </w:rPr>
        <w:t xml:space="preserve"> </w:t>
      </w:r>
      <w:r>
        <w:rPr>
          <w:w w:val="95"/>
        </w:rPr>
        <w:t>in</w:t>
      </w:r>
      <w:r>
        <w:rPr>
          <w:spacing w:val="-4"/>
          <w:w w:val="95"/>
        </w:rPr>
        <w:t xml:space="preserve"> </w:t>
      </w:r>
      <w:r>
        <w:rPr>
          <w:w w:val="95"/>
        </w:rPr>
        <w:t>the</w:t>
      </w:r>
      <w:r>
        <w:rPr>
          <w:spacing w:val="-4"/>
          <w:w w:val="95"/>
        </w:rPr>
        <w:t xml:space="preserve"> </w:t>
      </w:r>
      <w:r>
        <w:rPr>
          <w:w w:val="95"/>
        </w:rPr>
        <w:t>Far</w:t>
      </w:r>
      <w:r>
        <w:rPr>
          <w:spacing w:val="-4"/>
          <w:w w:val="95"/>
        </w:rPr>
        <w:t xml:space="preserve"> </w:t>
      </w:r>
      <w:r>
        <w:rPr>
          <w:w w:val="95"/>
        </w:rPr>
        <w:t>West</w:t>
      </w:r>
      <w:r>
        <w:rPr>
          <w:spacing w:val="-4"/>
          <w:w w:val="95"/>
        </w:rPr>
        <w:t xml:space="preserve"> </w:t>
      </w:r>
      <w:r>
        <w:rPr>
          <w:w w:val="95"/>
        </w:rPr>
        <w:t>of</w:t>
      </w:r>
      <w:r>
        <w:rPr>
          <w:spacing w:val="-4"/>
          <w:w w:val="95"/>
        </w:rPr>
        <w:t xml:space="preserve"> </w:t>
      </w:r>
      <w:r>
        <w:rPr>
          <w:w w:val="95"/>
        </w:rPr>
        <w:t>NSW,</w:t>
      </w:r>
      <w:r>
        <w:rPr>
          <w:spacing w:val="-4"/>
          <w:w w:val="95"/>
        </w:rPr>
        <w:t xml:space="preserve"> </w:t>
      </w:r>
      <w:r>
        <w:rPr>
          <w:w w:val="95"/>
        </w:rPr>
        <w:t>further</w:t>
      </w:r>
      <w:r>
        <w:rPr>
          <w:spacing w:val="-4"/>
          <w:w w:val="95"/>
        </w:rPr>
        <w:t xml:space="preserve"> </w:t>
      </w:r>
      <w:r>
        <w:rPr>
          <w:w w:val="95"/>
        </w:rPr>
        <w:t>from</w:t>
      </w:r>
      <w:r>
        <w:rPr>
          <w:spacing w:val="-5"/>
          <w:w w:val="95"/>
        </w:rPr>
        <w:t xml:space="preserve"> </w:t>
      </w:r>
      <w:r>
        <w:rPr>
          <w:w w:val="95"/>
        </w:rPr>
        <w:t>export</w:t>
      </w:r>
      <w:r>
        <w:rPr>
          <w:spacing w:val="-4"/>
          <w:w w:val="95"/>
        </w:rPr>
        <w:t xml:space="preserve"> </w:t>
      </w:r>
      <w:r>
        <w:rPr>
          <w:w w:val="95"/>
        </w:rPr>
        <w:t xml:space="preserve">ports, </w:t>
      </w:r>
      <w:r>
        <w:t>are</w:t>
      </w:r>
      <w:r>
        <w:rPr>
          <w:spacing w:val="-12"/>
        </w:rPr>
        <w:t xml:space="preserve"> </w:t>
      </w:r>
      <w:r>
        <w:t>becoming</w:t>
      </w:r>
      <w:r>
        <w:rPr>
          <w:spacing w:val="-12"/>
        </w:rPr>
        <w:t xml:space="preserve"> </w:t>
      </w:r>
      <w:r>
        <w:t>economically</w:t>
      </w:r>
      <w:r>
        <w:rPr>
          <w:spacing w:val="-12"/>
        </w:rPr>
        <w:t xml:space="preserve"> </w:t>
      </w:r>
      <w:r>
        <w:t>viable</w:t>
      </w:r>
      <w:r>
        <w:rPr>
          <w:spacing w:val="-12"/>
        </w:rPr>
        <w:t xml:space="preserve"> </w:t>
      </w:r>
      <w:r>
        <w:t>–</w:t>
      </w:r>
      <w:r>
        <w:rPr>
          <w:spacing w:val="-12"/>
        </w:rPr>
        <w:t xml:space="preserve"> </w:t>
      </w:r>
      <w:r>
        <w:t>including</w:t>
      </w:r>
      <w:r>
        <w:rPr>
          <w:spacing w:val="-12"/>
        </w:rPr>
        <w:t xml:space="preserve"> </w:t>
      </w:r>
      <w:r>
        <w:t>coal, mineral</w:t>
      </w:r>
      <w:r>
        <w:rPr>
          <w:spacing w:val="-12"/>
        </w:rPr>
        <w:t xml:space="preserve"> </w:t>
      </w:r>
      <w:r>
        <w:t>and</w:t>
      </w:r>
      <w:r>
        <w:rPr>
          <w:spacing w:val="-12"/>
        </w:rPr>
        <w:t xml:space="preserve"> </w:t>
      </w:r>
      <w:r>
        <w:t>coal</w:t>
      </w:r>
      <w:r>
        <w:rPr>
          <w:spacing w:val="-12"/>
        </w:rPr>
        <w:t xml:space="preserve"> </w:t>
      </w:r>
      <w:r>
        <w:t>seam</w:t>
      </w:r>
      <w:r>
        <w:rPr>
          <w:spacing w:val="-13"/>
        </w:rPr>
        <w:t xml:space="preserve"> </w:t>
      </w:r>
      <w:r>
        <w:t>gas</w:t>
      </w:r>
      <w:r>
        <w:rPr>
          <w:spacing w:val="-12"/>
        </w:rPr>
        <w:t xml:space="preserve"> </w:t>
      </w:r>
      <w:r>
        <w:t>mines</w:t>
      </w:r>
      <w:r>
        <w:rPr>
          <w:spacing w:val="-12"/>
        </w:rPr>
        <w:t xml:space="preserve"> </w:t>
      </w:r>
      <w:r>
        <w:t>that</w:t>
      </w:r>
      <w:r>
        <w:rPr>
          <w:spacing w:val="-12"/>
        </w:rPr>
        <w:t xml:space="preserve"> </w:t>
      </w:r>
      <w:r>
        <w:t>are</w:t>
      </w:r>
      <w:r>
        <w:rPr>
          <w:spacing w:val="-12"/>
        </w:rPr>
        <w:t xml:space="preserve"> </w:t>
      </w:r>
      <w:r>
        <w:t>now</w:t>
      </w:r>
      <w:r>
        <w:rPr>
          <w:spacing w:val="-12"/>
        </w:rPr>
        <w:t xml:space="preserve"> </w:t>
      </w:r>
      <w:r>
        <w:t xml:space="preserve">being </w:t>
      </w:r>
      <w:r>
        <w:rPr>
          <w:spacing w:val="-2"/>
        </w:rPr>
        <w:t>developed.</w:t>
      </w:r>
      <w:r>
        <w:rPr>
          <w:spacing w:val="-8"/>
        </w:rPr>
        <w:t xml:space="preserve"> </w:t>
      </w:r>
      <w:r>
        <w:rPr>
          <w:spacing w:val="-2"/>
        </w:rPr>
        <w:t>The</w:t>
      </w:r>
      <w:r>
        <w:rPr>
          <w:spacing w:val="-8"/>
        </w:rPr>
        <w:t xml:space="preserve"> </w:t>
      </w:r>
      <w:r>
        <w:rPr>
          <w:spacing w:val="-2"/>
        </w:rPr>
        <w:t>road</w:t>
      </w:r>
      <w:r>
        <w:rPr>
          <w:spacing w:val="-8"/>
        </w:rPr>
        <w:t xml:space="preserve"> </w:t>
      </w:r>
      <w:r>
        <w:rPr>
          <w:spacing w:val="-2"/>
        </w:rPr>
        <w:t>and</w:t>
      </w:r>
      <w:r>
        <w:rPr>
          <w:spacing w:val="-8"/>
        </w:rPr>
        <w:t xml:space="preserve"> </w:t>
      </w:r>
      <w:r>
        <w:rPr>
          <w:spacing w:val="-2"/>
        </w:rPr>
        <w:t>rail</w:t>
      </w:r>
      <w:r>
        <w:rPr>
          <w:spacing w:val="-8"/>
        </w:rPr>
        <w:t xml:space="preserve"> </w:t>
      </w:r>
      <w:r>
        <w:rPr>
          <w:spacing w:val="-2"/>
        </w:rPr>
        <w:t>links</w:t>
      </w:r>
      <w:r>
        <w:rPr>
          <w:spacing w:val="-8"/>
        </w:rPr>
        <w:t xml:space="preserve"> </w:t>
      </w:r>
      <w:r>
        <w:rPr>
          <w:spacing w:val="-2"/>
        </w:rPr>
        <w:t>in</w:t>
      </w:r>
      <w:r>
        <w:rPr>
          <w:spacing w:val="-8"/>
        </w:rPr>
        <w:t xml:space="preserve"> </w:t>
      </w:r>
      <w:r>
        <w:rPr>
          <w:spacing w:val="-2"/>
        </w:rPr>
        <w:t>Inland</w:t>
      </w:r>
      <w:r>
        <w:rPr>
          <w:spacing w:val="-8"/>
        </w:rPr>
        <w:t xml:space="preserve"> </w:t>
      </w:r>
      <w:r>
        <w:rPr>
          <w:spacing w:val="-2"/>
        </w:rPr>
        <w:t>NSW</w:t>
      </w:r>
      <w:r>
        <w:rPr>
          <w:spacing w:val="-8"/>
        </w:rPr>
        <w:t xml:space="preserve"> </w:t>
      </w:r>
      <w:r>
        <w:rPr>
          <w:spacing w:val="-2"/>
        </w:rPr>
        <w:t xml:space="preserve">will </w:t>
      </w:r>
      <w:r>
        <w:rPr>
          <w:w w:val="95"/>
        </w:rPr>
        <w:t>require</w:t>
      </w:r>
      <w:r>
        <w:rPr>
          <w:spacing w:val="-9"/>
          <w:w w:val="95"/>
        </w:rPr>
        <w:t xml:space="preserve"> </w:t>
      </w:r>
      <w:r>
        <w:rPr>
          <w:w w:val="95"/>
        </w:rPr>
        <w:t>significant</w:t>
      </w:r>
      <w:r>
        <w:rPr>
          <w:spacing w:val="-9"/>
          <w:w w:val="95"/>
        </w:rPr>
        <w:t xml:space="preserve"> </w:t>
      </w:r>
      <w:r>
        <w:rPr>
          <w:w w:val="95"/>
        </w:rPr>
        <w:t>investment</w:t>
      </w:r>
      <w:r>
        <w:rPr>
          <w:spacing w:val="-9"/>
          <w:w w:val="95"/>
        </w:rPr>
        <w:t xml:space="preserve"> </w:t>
      </w:r>
      <w:r>
        <w:rPr>
          <w:w w:val="95"/>
        </w:rPr>
        <w:t>if</w:t>
      </w:r>
      <w:r>
        <w:rPr>
          <w:spacing w:val="-9"/>
          <w:w w:val="95"/>
        </w:rPr>
        <w:t xml:space="preserve"> </w:t>
      </w:r>
      <w:r>
        <w:rPr>
          <w:w w:val="95"/>
        </w:rPr>
        <w:t>they</w:t>
      </w:r>
      <w:r>
        <w:rPr>
          <w:spacing w:val="-9"/>
          <w:w w:val="95"/>
        </w:rPr>
        <w:t xml:space="preserve"> </w:t>
      </w:r>
      <w:r>
        <w:rPr>
          <w:w w:val="95"/>
        </w:rPr>
        <w:t>are</w:t>
      </w:r>
      <w:r>
        <w:rPr>
          <w:spacing w:val="-9"/>
          <w:w w:val="95"/>
        </w:rPr>
        <w:t xml:space="preserve"> </w:t>
      </w:r>
      <w:r>
        <w:rPr>
          <w:w w:val="95"/>
        </w:rPr>
        <w:t>to</w:t>
      </w:r>
      <w:r>
        <w:rPr>
          <w:spacing w:val="-9"/>
          <w:w w:val="95"/>
        </w:rPr>
        <w:t xml:space="preserve"> </w:t>
      </w:r>
      <w:r>
        <w:rPr>
          <w:w w:val="95"/>
        </w:rPr>
        <w:t>be</w:t>
      </w:r>
      <w:r>
        <w:rPr>
          <w:spacing w:val="-9"/>
          <w:w w:val="95"/>
        </w:rPr>
        <w:t xml:space="preserve"> </w:t>
      </w:r>
      <w:r>
        <w:rPr>
          <w:w w:val="95"/>
        </w:rPr>
        <w:t>capable</w:t>
      </w:r>
      <w:r>
        <w:rPr>
          <w:spacing w:val="-9"/>
          <w:w w:val="95"/>
        </w:rPr>
        <w:t xml:space="preserve"> </w:t>
      </w:r>
      <w:r>
        <w:rPr>
          <w:w w:val="95"/>
        </w:rPr>
        <w:t xml:space="preserve">of </w:t>
      </w:r>
      <w:r>
        <w:t>carrying</w:t>
      </w:r>
      <w:r>
        <w:rPr>
          <w:spacing w:val="-14"/>
        </w:rPr>
        <w:t xml:space="preserve"> </w:t>
      </w:r>
      <w:r>
        <w:t>the</w:t>
      </w:r>
      <w:r>
        <w:rPr>
          <w:spacing w:val="-14"/>
        </w:rPr>
        <w:t xml:space="preserve"> </w:t>
      </w:r>
      <w:r>
        <w:t>expected</w:t>
      </w:r>
      <w:r>
        <w:rPr>
          <w:spacing w:val="-14"/>
        </w:rPr>
        <w:t xml:space="preserve"> </w:t>
      </w:r>
      <w:r>
        <w:t>level</w:t>
      </w:r>
      <w:r>
        <w:rPr>
          <w:spacing w:val="-14"/>
        </w:rPr>
        <w:t xml:space="preserve"> </w:t>
      </w:r>
      <w:r>
        <w:t>of</w:t>
      </w:r>
      <w:r>
        <w:rPr>
          <w:spacing w:val="-14"/>
        </w:rPr>
        <w:t xml:space="preserve"> </w:t>
      </w:r>
      <w:r>
        <w:t>mine</w:t>
      </w:r>
      <w:r>
        <w:rPr>
          <w:spacing w:val="-14"/>
        </w:rPr>
        <w:t xml:space="preserve"> </w:t>
      </w:r>
      <w:r>
        <w:t>and</w:t>
      </w:r>
      <w:r>
        <w:rPr>
          <w:spacing w:val="-14"/>
        </w:rPr>
        <w:t xml:space="preserve"> </w:t>
      </w:r>
      <w:r>
        <w:t>agricultural production over the next 20 years.</w:t>
      </w:r>
    </w:p>
    <w:p w:rsidR="002C1123" w:rsidRDefault="002C1123">
      <w:pPr>
        <w:pStyle w:val="BodyText"/>
      </w:pPr>
    </w:p>
    <w:p w:rsidR="002C1123" w:rsidRDefault="002060EF">
      <w:pPr>
        <w:pStyle w:val="BodyText"/>
        <w:spacing w:before="10"/>
        <w:rPr>
          <w:sz w:val="14"/>
        </w:rPr>
      </w:pPr>
      <w:r>
        <w:pict>
          <v:shape id="docshape1011" o:spid="_x0000_s4302" style="position:absolute;margin-left:49.6pt;margin-top:9.75pt;width:1in;height:.1pt;z-index:-251398144;mso-wrap-distance-left:0;mso-wrap-distance-right:0;mso-position-horizontal-relative:page" coordorigin="992,195" coordsize="1440,0" path="m992,195r1440,e" filled="f" strokecolor="#9c9c9d" strokeweight=".5pt">
            <v:path arrowok="t"/>
            <w10:wrap type="topAndBottom" anchorx="page"/>
          </v:shape>
        </w:pict>
      </w:r>
    </w:p>
    <w:p w:rsidR="002C1123" w:rsidRDefault="00F22F94">
      <w:pPr>
        <w:pStyle w:val="ListParagraph"/>
        <w:numPr>
          <w:ilvl w:val="0"/>
          <w:numId w:val="102"/>
        </w:numPr>
        <w:tabs>
          <w:tab w:val="left" w:pos="691"/>
        </w:tabs>
        <w:spacing w:before="23" w:line="161" w:lineRule="exact"/>
        <w:jc w:val="left"/>
        <w:rPr>
          <w:sz w:val="14"/>
        </w:rPr>
      </w:pPr>
      <w:r>
        <w:rPr>
          <w:w w:val="95"/>
          <w:sz w:val="14"/>
        </w:rPr>
        <w:t>Transport</w:t>
      </w:r>
      <w:r>
        <w:rPr>
          <w:spacing w:val="-1"/>
          <w:sz w:val="14"/>
        </w:rPr>
        <w:t xml:space="preserve"> </w:t>
      </w:r>
      <w:r>
        <w:rPr>
          <w:w w:val="95"/>
          <w:sz w:val="14"/>
        </w:rPr>
        <w:t>for</w:t>
      </w:r>
      <w:r>
        <w:rPr>
          <w:spacing w:val="-1"/>
          <w:sz w:val="14"/>
        </w:rPr>
        <w:t xml:space="preserve"> </w:t>
      </w:r>
      <w:r>
        <w:rPr>
          <w:w w:val="95"/>
          <w:sz w:val="14"/>
        </w:rPr>
        <w:t>NSW</w:t>
      </w:r>
      <w:r>
        <w:rPr>
          <w:spacing w:val="-1"/>
          <w:sz w:val="14"/>
        </w:rPr>
        <w:t xml:space="preserve"> </w:t>
      </w:r>
      <w:r>
        <w:rPr>
          <w:w w:val="95"/>
          <w:sz w:val="14"/>
        </w:rPr>
        <w:t>2012,</w:t>
      </w:r>
      <w:r>
        <w:rPr>
          <w:spacing w:val="-1"/>
          <w:sz w:val="14"/>
        </w:rPr>
        <w:t xml:space="preserve"> </w:t>
      </w:r>
      <w:r>
        <w:rPr>
          <w:w w:val="95"/>
          <w:sz w:val="14"/>
        </w:rPr>
        <w:t>Draft</w:t>
      </w:r>
      <w:r>
        <w:rPr>
          <w:spacing w:val="-1"/>
          <w:sz w:val="14"/>
        </w:rPr>
        <w:t xml:space="preserve"> </w:t>
      </w:r>
      <w:r>
        <w:rPr>
          <w:w w:val="95"/>
          <w:sz w:val="14"/>
        </w:rPr>
        <w:t>Transport</w:t>
      </w:r>
      <w:r>
        <w:rPr>
          <w:spacing w:val="-1"/>
          <w:sz w:val="14"/>
        </w:rPr>
        <w:t xml:space="preserve"> </w:t>
      </w:r>
      <w:r>
        <w:rPr>
          <w:w w:val="95"/>
          <w:sz w:val="14"/>
        </w:rPr>
        <w:t>Master</w:t>
      </w:r>
      <w:r>
        <w:rPr>
          <w:spacing w:val="-1"/>
          <w:sz w:val="14"/>
        </w:rPr>
        <w:t xml:space="preserve"> </w:t>
      </w:r>
      <w:r>
        <w:rPr>
          <w:spacing w:val="-2"/>
          <w:w w:val="95"/>
          <w:sz w:val="14"/>
        </w:rPr>
        <w:t>Plan.</w:t>
      </w:r>
    </w:p>
    <w:p w:rsidR="002C1123" w:rsidRDefault="00F22F94">
      <w:pPr>
        <w:pStyle w:val="ListParagraph"/>
        <w:numPr>
          <w:ilvl w:val="0"/>
          <w:numId w:val="102"/>
        </w:numPr>
        <w:tabs>
          <w:tab w:val="left" w:pos="691"/>
        </w:tabs>
        <w:spacing w:line="161" w:lineRule="exact"/>
        <w:jc w:val="left"/>
        <w:rPr>
          <w:sz w:val="14"/>
        </w:rPr>
      </w:pPr>
      <w:r>
        <w:rPr>
          <w:w w:val="95"/>
          <w:sz w:val="14"/>
        </w:rPr>
        <w:t>FALCONSW</w:t>
      </w:r>
      <w:r>
        <w:rPr>
          <w:spacing w:val="-1"/>
          <w:sz w:val="14"/>
        </w:rPr>
        <w:t xml:space="preserve"> </w:t>
      </w:r>
      <w:r>
        <w:rPr>
          <w:w w:val="95"/>
          <w:sz w:val="14"/>
        </w:rPr>
        <w:t>2008,</w:t>
      </w:r>
      <w:r>
        <w:rPr>
          <w:sz w:val="14"/>
        </w:rPr>
        <w:t xml:space="preserve"> </w:t>
      </w:r>
      <w:r>
        <w:rPr>
          <w:w w:val="95"/>
          <w:sz w:val="14"/>
        </w:rPr>
        <w:t>Four</w:t>
      </w:r>
      <w:r>
        <w:rPr>
          <w:sz w:val="14"/>
        </w:rPr>
        <w:t xml:space="preserve"> </w:t>
      </w:r>
      <w:r>
        <w:rPr>
          <w:w w:val="95"/>
          <w:sz w:val="14"/>
        </w:rPr>
        <w:t>Key</w:t>
      </w:r>
      <w:r>
        <w:rPr>
          <w:sz w:val="14"/>
        </w:rPr>
        <w:t xml:space="preserve"> </w:t>
      </w:r>
      <w:r>
        <w:rPr>
          <w:w w:val="95"/>
          <w:sz w:val="14"/>
        </w:rPr>
        <w:t>Supply</w:t>
      </w:r>
      <w:r>
        <w:rPr>
          <w:sz w:val="14"/>
        </w:rPr>
        <w:t xml:space="preserve"> </w:t>
      </w:r>
      <w:r>
        <w:rPr>
          <w:w w:val="95"/>
          <w:sz w:val="14"/>
        </w:rPr>
        <w:t>Chain</w:t>
      </w:r>
      <w:r>
        <w:rPr>
          <w:sz w:val="14"/>
        </w:rPr>
        <w:t xml:space="preserve"> </w:t>
      </w:r>
      <w:r>
        <w:rPr>
          <w:w w:val="95"/>
          <w:sz w:val="14"/>
        </w:rPr>
        <w:t>Opportunities</w:t>
      </w:r>
      <w:r>
        <w:rPr>
          <w:sz w:val="14"/>
        </w:rPr>
        <w:t xml:space="preserve"> </w:t>
      </w:r>
      <w:r>
        <w:rPr>
          <w:w w:val="95"/>
          <w:sz w:val="14"/>
        </w:rPr>
        <w:t>for</w:t>
      </w:r>
      <w:r>
        <w:rPr>
          <w:sz w:val="14"/>
        </w:rPr>
        <w:t xml:space="preserve"> </w:t>
      </w:r>
      <w:r>
        <w:rPr>
          <w:spacing w:val="-2"/>
          <w:w w:val="95"/>
          <w:sz w:val="14"/>
        </w:rPr>
        <w:t>Innovation.</w:t>
      </w:r>
    </w:p>
    <w:p w:rsidR="002C1123" w:rsidRDefault="002C1123">
      <w:pPr>
        <w:spacing w:line="161" w:lineRule="exact"/>
        <w:rPr>
          <w:sz w:val="14"/>
        </w:rPr>
        <w:sectPr w:rsidR="002C1123">
          <w:pgSz w:w="16840" w:h="11910" w:orient="landscape"/>
          <w:pgMar w:top="560" w:right="280" w:bottom="700" w:left="500" w:header="0" w:footer="517"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BodyText"/>
        <w:spacing w:before="106" w:line="249" w:lineRule="auto"/>
        <w:ind w:left="492"/>
      </w:pPr>
      <w:bookmarkStart w:id="140" w:name="_bookmark100"/>
      <w:bookmarkEnd w:id="140"/>
      <w:r>
        <w:t>The</w:t>
      </w:r>
      <w:r>
        <w:rPr>
          <w:spacing w:val="-14"/>
        </w:rPr>
        <w:t xml:space="preserve"> </w:t>
      </w:r>
      <w:r>
        <w:t>Councils</w:t>
      </w:r>
      <w:r>
        <w:rPr>
          <w:spacing w:val="-14"/>
        </w:rPr>
        <w:t xml:space="preserve"> </w:t>
      </w:r>
      <w:r>
        <w:t>of</w:t>
      </w:r>
      <w:r>
        <w:rPr>
          <w:spacing w:val="-14"/>
        </w:rPr>
        <w:t xml:space="preserve"> </w:t>
      </w:r>
      <w:r>
        <w:t>Western</w:t>
      </w:r>
      <w:r>
        <w:rPr>
          <w:spacing w:val="-14"/>
        </w:rPr>
        <w:t xml:space="preserve"> </w:t>
      </w:r>
      <w:r>
        <w:t>NSW</w:t>
      </w:r>
      <w:r>
        <w:rPr>
          <w:position w:val="7"/>
          <w:sz w:val="11"/>
        </w:rPr>
        <w:t>12</w:t>
      </w:r>
      <w:r>
        <w:rPr>
          <w:spacing w:val="8"/>
          <w:position w:val="7"/>
          <w:sz w:val="11"/>
        </w:rPr>
        <w:t xml:space="preserve"> </w:t>
      </w:r>
      <w:r>
        <w:t>for</w:t>
      </w:r>
      <w:r>
        <w:rPr>
          <w:spacing w:val="-14"/>
        </w:rPr>
        <w:t xml:space="preserve"> </w:t>
      </w:r>
      <w:r>
        <w:t>example,</w:t>
      </w:r>
      <w:r>
        <w:rPr>
          <w:spacing w:val="-14"/>
        </w:rPr>
        <w:t xml:space="preserve"> </w:t>
      </w:r>
      <w:r>
        <w:t xml:space="preserve">has </w:t>
      </w:r>
      <w:r>
        <w:rPr>
          <w:w w:val="95"/>
        </w:rPr>
        <w:t>identified</w:t>
      </w:r>
      <w:r>
        <w:rPr>
          <w:spacing w:val="-2"/>
          <w:w w:val="95"/>
        </w:rPr>
        <w:t xml:space="preserve"> </w:t>
      </w:r>
      <w:r>
        <w:rPr>
          <w:w w:val="95"/>
        </w:rPr>
        <w:t>over</w:t>
      </w:r>
      <w:r>
        <w:rPr>
          <w:spacing w:val="-2"/>
          <w:w w:val="95"/>
        </w:rPr>
        <w:t xml:space="preserve"> </w:t>
      </w:r>
      <w:r>
        <w:rPr>
          <w:w w:val="95"/>
        </w:rPr>
        <w:t>a</w:t>
      </w:r>
      <w:r>
        <w:rPr>
          <w:spacing w:val="-2"/>
          <w:w w:val="95"/>
        </w:rPr>
        <w:t xml:space="preserve"> </w:t>
      </w:r>
      <w:r>
        <w:rPr>
          <w:w w:val="95"/>
        </w:rPr>
        <w:t>thousand</w:t>
      </w:r>
      <w:r>
        <w:rPr>
          <w:spacing w:val="-2"/>
          <w:w w:val="95"/>
        </w:rPr>
        <w:t xml:space="preserve"> </w:t>
      </w:r>
      <w:r>
        <w:rPr>
          <w:w w:val="95"/>
        </w:rPr>
        <w:t>kilometres</w:t>
      </w:r>
      <w:r>
        <w:rPr>
          <w:spacing w:val="-2"/>
          <w:w w:val="95"/>
        </w:rPr>
        <w:t xml:space="preserve"> </w:t>
      </w:r>
      <w:r>
        <w:rPr>
          <w:w w:val="95"/>
        </w:rPr>
        <w:t>of</w:t>
      </w:r>
      <w:r>
        <w:rPr>
          <w:spacing w:val="-2"/>
          <w:w w:val="95"/>
        </w:rPr>
        <w:t xml:space="preserve"> </w:t>
      </w:r>
      <w:r>
        <w:rPr>
          <w:w w:val="95"/>
        </w:rPr>
        <w:t>strategic</w:t>
      </w:r>
      <w:r>
        <w:rPr>
          <w:spacing w:val="-2"/>
          <w:w w:val="95"/>
        </w:rPr>
        <w:t xml:space="preserve"> </w:t>
      </w:r>
      <w:r>
        <w:rPr>
          <w:w w:val="95"/>
        </w:rPr>
        <w:t>links</w:t>
      </w:r>
      <w:r>
        <w:rPr>
          <w:spacing w:val="-2"/>
          <w:w w:val="95"/>
        </w:rPr>
        <w:t xml:space="preserve"> </w:t>
      </w:r>
      <w:r>
        <w:rPr>
          <w:w w:val="95"/>
        </w:rPr>
        <w:t>in the</w:t>
      </w:r>
      <w:r>
        <w:rPr>
          <w:spacing w:val="-9"/>
          <w:w w:val="95"/>
        </w:rPr>
        <w:t xml:space="preserve"> </w:t>
      </w:r>
      <w:r>
        <w:rPr>
          <w:w w:val="95"/>
        </w:rPr>
        <w:t>road</w:t>
      </w:r>
      <w:r>
        <w:rPr>
          <w:spacing w:val="-9"/>
          <w:w w:val="95"/>
        </w:rPr>
        <w:t xml:space="preserve"> </w:t>
      </w:r>
      <w:r>
        <w:rPr>
          <w:w w:val="95"/>
        </w:rPr>
        <w:t>network</w:t>
      </w:r>
      <w:r>
        <w:rPr>
          <w:spacing w:val="-9"/>
          <w:w w:val="95"/>
        </w:rPr>
        <w:t xml:space="preserve"> </w:t>
      </w:r>
      <w:r>
        <w:rPr>
          <w:w w:val="95"/>
        </w:rPr>
        <w:t>to</w:t>
      </w:r>
      <w:r>
        <w:rPr>
          <w:spacing w:val="-9"/>
          <w:w w:val="95"/>
        </w:rPr>
        <w:t xml:space="preserve"> </w:t>
      </w:r>
      <w:r>
        <w:rPr>
          <w:w w:val="95"/>
        </w:rPr>
        <w:t>mine</w:t>
      </w:r>
      <w:r>
        <w:rPr>
          <w:spacing w:val="-9"/>
          <w:w w:val="95"/>
        </w:rPr>
        <w:t xml:space="preserve"> </w:t>
      </w:r>
      <w:r>
        <w:rPr>
          <w:w w:val="95"/>
        </w:rPr>
        <w:t>areas</w:t>
      </w:r>
      <w:r>
        <w:rPr>
          <w:spacing w:val="-9"/>
          <w:w w:val="95"/>
        </w:rPr>
        <w:t xml:space="preserve"> </w:t>
      </w:r>
      <w:r>
        <w:rPr>
          <w:w w:val="95"/>
        </w:rPr>
        <w:t>that</w:t>
      </w:r>
      <w:r>
        <w:rPr>
          <w:spacing w:val="-9"/>
          <w:w w:val="95"/>
        </w:rPr>
        <w:t xml:space="preserve"> </w:t>
      </w:r>
      <w:r>
        <w:rPr>
          <w:w w:val="95"/>
        </w:rPr>
        <w:t>require</w:t>
      </w:r>
      <w:r>
        <w:rPr>
          <w:spacing w:val="-9"/>
          <w:w w:val="95"/>
        </w:rPr>
        <w:t xml:space="preserve"> </w:t>
      </w:r>
      <w:r>
        <w:rPr>
          <w:w w:val="95"/>
        </w:rPr>
        <w:t>initial</w:t>
      </w:r>
      <w:r>
        <w:rPr>
          <w:spacing w:val="-9"/>
          <w:w w:val="95"/>
        </w:rPr>
        <w:t xml:space="preserve"> </w:t>
      </w:r>
      <w:r>
        <w:rPr>
          <w:w w:val="95"/>
        </w:rPr>
        <w:t xml:space="preserve">sealing </w:t>
      </w:r>
      <w:r>
        <w:t>or</w:t>
      </w:r>
      <w:r>
        <w:rPr>
          <w:spacing w:val="-13"/>
        </w:rPr>
        <w:t xml:space="preserve"> </w:t>
      </w:r>
      <w:r>
        <w:t>rehabilitation</w:t>
      </w:r>
      <w:r>
        <w:rPr>
          <w:spacing w:val="-13"/>
        </w:rPr>
        <w:t xml:space="preserve"> </w:t>
      </w:r>
      <w:r>
        <w:t>if</w:t>
      </w:r>
      <w:r>
        <w:rPr>
          <w:spacing w:val="-13"/>
        </w:rPr>
        <w:t xml:space="preserve"> </w:t>
      </w:r>
      <w:r>
        <w:t>these</w:t>
      </w:r>
      <w:r>
        <w:rPr>
          <w:spacing w:val="-13"/>
        </w:rPr>
        <w:t xml:space="preserve"> </w:t>
      </w:r>
      <w:r>
        <w:t>roads</w:t>
      </w:r>
      <w:r>
        <w:rPr>
          <w:spacing w:val="-13"/>
        </w:rPr>
        <w:t xml:space="preserve"> </w:t>
      </w:r>
      <w:r>
        <w:t>and</w:t>
      </w:r>
      <w:r>
        <w:rPr>
          <w:spacing w:val="-13"/>
        </w:rPr>
        <w:t xml:space="preserve"> </w:t>
      </w:r>
      <w:r>
        <w:t>bridges</w:t>
      </w:r>
      <w:r>
        <w:rPr>
          <w:spacing w:val="-13"/>
        </w:rPr>
        <w:t xml:space="preserve"> </w:t>
      </w:r>
      <w:r>
        <w:t>are</w:t>
      </w:r>
      <w:r>
        <w:rPr>
          <w:spacing w:val="-13"/>
        </w:rPr>
        <w:t xml:space="preserve"> </w:t>
      </w:r>
      <w:r>
        <w:t>to</w:t>
      </w:r>
      <w:r>
        <w:rPr>
          <w:spacing w:val="-13"/>
        </w:rPr>
        <w:t xml:space="preserve"> </w:t>
      </w:r>
      <w:r>
        <w:t>be capable of supporting mine operations.</w:t>
      </w:r>
    </w:p>
    <w:p w:rsidR="002C1123" w:rsidRDefault="00F22F94">
      <w:pPr>
        <w:pStyle w:val="BodyText"/>
        <w:spacing w:before="146" w:line="249" w:lineRule="auto"/>
        <w:ind w:left="492"/>
      </w:pPr>
      <w:r>
        <w:rPr>
          <w:w w:val="95"/>
        </w:rPr>
        <w:t xml:space="preserve">It may be beyond the capacity of the local Government </w:t>
      </w:r>
      <w:r>
        <w:t>sector</w:t>
      </w:r>
      <w:r>
        <w:rPr>
          <w:spacing w:val="-9"/>
        </w:rPr>
        <w:t xml:space="preserve"> </w:t>
      </w:r>
      <w:r>
        <w:t>to</w:t>
      </w:r>
      <w:r>
        <w:rPr>
          <w:spacing w:val="-9"/>
        </w:rPr>
        <w:t xml:space="preserve"> </w:t>
      </w:r>
      <w:r>
        <w:t>fund</w:t>
      </w:r>
      <w:r>
        <w:rPr>
          <w:spacing w:val="-9"/>
        </w:rPr>
        <w:t xml:space="preserve"> </w:t>
      </w:r>
      <w:r>
        <w:t>the</w:t>
      </w:r>
      <w:r>
        <w:rPr>
          <w:spacing w:val="-9"/>
        </w:rPr>
        <w:t xml:space="preserve"> </w:t>
      </w:r>
      <w:r>
        <w:t>freight</w:t>
      </w:r>
      <w:r>
        <w:rPr>
          <w:spacing w:val="-9"/>
        </w:rPr>
        <w:t xml:space="preserve"> </w:t>
      </w:r>
      <w:r>
        <w:t>network.</w:t>
      </w:r>
      <w:r>
        <w:rPr>
          <w:spacing w:val="-9"/>
        </w:rPr>
        <w:t xml:space="preserve"> </w:t>
      </w:r>
      <w:r>
        <w:t>In</w:t>
      </w:r>
      <w:r>
        <w:rPr>
          <w:spacing w:val="-9"/>
        </w:rPr>
        <w:t xml:space="preserve"> </w:t>
      </w:r>
      <w:r>
        <w:t>assessing</w:t>
      </w:r>
      <w:r>
        <w:rPr>
          <w:spacing w:val="-9"/>
        </w:rPr>
        <w:t xml:space="preserve"> </w:t>
      </w:r>
      <w:r>
        <w:t>the capacity</w:t>
      </w:r>
      <w:r>
        <w:rPr>
          <w:spacing w:val="-6"/>
        </w:rPr>
        <w:t xml:space="preserve"> </w:t>
      </w:r>
      <w:r>
        <w:t>and</w:t>
      </w:r>
      <w:r>
        <w:rPr>
          <w:spacing w:val="-6"/>
        </w:rPr>
        <w:t xml:space="preserve"> </w:t>
      </w:r>
      <w:r>
        <w:t>condition</w:t>
      </w:r>
      <w:r>
        <w:rPr>
          <w:spacing w:val="-6"/>
        </w:rPr>
        <w:t xml:space="preserve"> </w:t>
      </w:r>
      <w:r>
        <w:t>of</w:t>
      </w:r>
      <w:r>
        <w:rPr>
          <w:spacing w:val="-6"/>
        </w:rPr>
        <w:t xml:space="preserve"> </w:t>
      </w:r>
      <w:r>
        <w:t>the</w:t>
      </w:r>
      <w:r>
        <w:rPr>
          <w:spacing w:val="-6"/>
        </w:rPr>
        <w:t xml:space="preserve"> </w:t>
      </w:r>
      <w:r>
        <w:t>regional</w:t>
      </w:r>
      <w:r>
        <w:rPr>
          <w:spacing w:val="-6"/>
        </w:rPr>
        <w:t xml:space="preserve"> </w:t>
      </w:r>
      <w:r>
        <w:t>road</w:t>
      </w:r>
      <w:r>
        <w:rPr>
          <w:spacing w:val="-6"/>
        </w:rPr>
        <w:t xml:space="preserve"> </w:t>
      </w:r>
      <w:r>
        <w:t>network, Infrastructure</w:t>
      </w:r>
      <w:r>
        <w:rPr>
          <w:spacing w:val="-13"/>
        </w:rPr>
        <w:t xml:space="preserve"> </w:t>
      </w:r>
      <w:r>
        <w:t>NSW</w:t>
      </w:r>
      <w:r>
        <w:rPr>
          <w:spacing w:val="-13"/>
        </w:rPr>
        <w:t xml:space="preserve"> </w:t>
      </w:r>
      <w:r>
        <w:t>observed</w:t>
      </w:r>
      <w:r>
        <w:rPr>
          <w:spacing w:val="-13"/>
        </w:rPr>
        <w:t xml:space="preserve"> </w:t>
      </w:r>
      <w:r>
        <w:t>that</w:t>
      </w:r>
      <w:r>
        <w:rPr>
          <w:spacing w:val="-13"/>
        </w:rPr>
        <w:t xml:space="preserve"> </w:t>
      </w:r>
      <w:r>
        <w:t>the</w:t>
      </w:r>
      <w:r>
        <w:rPr>
          <w:spacing w:val="-13"/>
        </w:rPr>
        <w:t xml:space="preserve"> </w:t>
      </w:r>
      <w:r>
        <w:t>traditional</w:t>
      </w:r>
      <w:r>
        <w:rPr>
          <w:spacing w:val="-13"/>
        </w:rPr>
        <w:t xml:space="preserve"> </w:t>
      </w:r>
      <w:r>
        <w:t>road hierarchy</w:t>
      </w:r>
      <w:r>
        <w:rPr>
          <w:spacing w:val="-11"/>
        </w:rPr>
        <w:t xml:space="preserve"> </w:t>
      </w:r>
      <w:r>
        <w:t>and</w:t>
      </w:r>
      <w:r>
        <w:rPr>
          <w:spacing w:val="-11"/>
        </w:rPr>
        <w:t xml:space="preserve"> </w:t>
      </w:r>
      <w:r>
        <w:t>boundaries</w:t>
      </w:r>
      <w:r>
        <w:rPr>
          <w:spacing w:val="-11"/>
        </w:rPr>
        <w:t xml:space="preserve"> </w:t>
      </w:r>
      <w:r>
        <w:t>between</w:t>
      </w:r>
      <w:r>
        <w:rPr>
          <w:spacing w:val="-11"/>
        </w:rPr>
        <w:t xml:space="preserve"> </w:t>
      </w:r>
      <w:r>
        <w:t>local</w:t>
      </w:r>
      <w:r>
        <w:rPr>
          <w:spacing w:val="-11"/>
        </w:rPr>
        <w:t xml:space="preserve"> </w:t>
      </w:r>
      <w:r>
        <w:t>Government roads,</w:t>
      </w:r>
      <w:r>
        <w:rPr>
          <w:spacing w:val="-14"/>
        </w:rPr>
        <w:t xml:space="preserve"> </w:t>
      </w:r>
      <w:r>
        <w:t>State</w:t>
      </w:r>
      <w:r>
        <w:rPr>
          <w:spacing w:val="-14"/>
        </w:rPr>
        <w:t xml:space="preserve"> </w:t>
      </w:r>
      <w:r>
        <w:t>and</w:t>
      </w:r>
      <w:r>
        <w:rPr>
          <w:spacing w:val="-14"/>
        </w:rPr>
        <w:t xml:space="preserve"> </w:t>
      </w:r>
      <w:r>
        <w:t>Federal</w:t>
      </w:r>
      <w:r>
        <w:rPr>
          <w:spacing w:val="-14"/>
        </w:rPr>
        <w:t xml:space="preserve"> </w:t>
      </w:r>
      <w:r>
        <w:t>roads</w:t>
      </w:r>
      <w:r>
        <w:rPr>
          <w:spacing w:val="-14"/>
        </w:rPr>
        <w:t xml:space="preserve"> </w:t>
      </w:r>
      <w:r>
        <w:t>has</w:t>
      </w:r>
      <w:r>
        <w:rPr>
          <w:spacing w:val="-14"/>
        </w:rPr>
        <w:t xml:space="preserve"> </w:t>
      </w:r>
      <w:r>
        <w:t>not</w:t>
      </w:r>
      <w:r>
        <w:rPr>
          <w:spacing w:val="-14"/>
        </w:rPr>
        <w:t xml:space="preserve"> </w:t>
      </w:r>
      <w:r>
        <w:t>worked</w:t>
      </w:r>
      <w:r>
        <w:rPr>
          <w:spacing w:val="-14"/>
        </w:rPr>
        <w:t xml:space="preserve"> </w:t>
      </w:r>
      <w:r>
        <w:t>well</w:t>
      </w:r>
      <w:r>
        <w:rPr>
          <w:spacing w:val="-14"/>
        </w:rPr>
        <w:t xml:space="preserve"> </w:t>
      </w:r>
      <w:r>
        <w:t xml:space="preserve">to </w:t>
      </w:r>
      <w:r>
        <w:rPr>
          <w:w w:val="95"/>
        </w:rPr>
        <w:t xml:space="preserve">support the growing export-oriented regional economy. </w:t>
      </w:r>
      <w:r>
        <w:t>Partly</w:t>
      </w:r>
      <w:r>
        <w:rPr>
          <w:spacing w:val="-14"/>
        </w:rPr>
        <w:t xml:space="preserve"> </w:t>
      </w:r>
      <w:r>
        <w:t>as</w:t>
      </w:r>
      <w:r>
        <w:rPr>
          <w:spacing w:val="-14"/>
        </w:rPr>
        <w:t xml:space="preserve"> </w:t>
      </w:r>
      <w:r>
        <w:t>a</w:t>
      </w:r>
      <w:r>
        <w:rPr>
          <w:spacing w:val="-14"/>
        </w:rPr>
        <w:t xml:space="preserve"> </w:t>
      </w:r>
      <w:r>
        <w:t>result</w:t>
      </w:r>
      <w:r>
        <w:rPr>
          <w:spacing w:val="-14"/>
        </w:rPr>
        <w:t xml:space="preserve"> </w:t>
      </w:r>
      <w:r>
        <w:t>of</w:t>
      </w:r>
      <w:r>
        <w:rPr>
          <w:spacing w:val="-14"/>
        </w:rPr>
        <w:t xml:space="preserve"> </w:t>
      </w:r>
      <w:r>
        <w:t>this</w:t>
      </w:r>
      <w:r>
        <w:rPr>
          <w:spacing w:val="-14"/>
        </w:rPr>
        <w:t xml:space="preserve"> </w:t>
      </w:r>
      <w:r>
        <w:t>hierarchy,</w:t>
      </w:r>
      <w:r>
        <w:rPr>
          <w:spacing w:val="-14"/>
        </w:rPr>
        <w:t xml:space="preserve"> </w:t>
      </w:r>
      <w:r>
        <w:t>high</w:t>
      </w:r>
      <w:r>
        <w:rPr>
          <w:spacing w:val="-14"/>
        </w:rPr>
        <w:t xml:space="preserve"> </w:t>
      </w:r>
      <w:r>
        <w:t>productivity vehicle</w:t>
      </w:r>
      <w:r>
        <w:rPr>
          <w:spacing w:val="-7"/>
        </w:rPr>
        <w:t xml:space="preserve"> </w:t>
      </w:r>
      <w:r>
        <w:t>types</w:t>
      </w:r>
      <w:r>
        <w:rPr>
          <w:spacing w:val="-7"/>
        </w:rPr>
        <w:t xml:space="preserve"> </w:t>
      </w:r>
      <w:r>
        <w:t>can’t</w:t>
      </w:r>
      <w:r>
        <w:rPr>
          <w:spacing w:val="-7"/>
        </w:rPr>
        <w:t xml:space="preserve"> </w:t>
      </w:r>
      <w:r>
        <w:t>use</w:t>
      </w:r>
      <w:r>
        <w:rPr>
          <w:spacing w:val="-7"/>
        </w:rPr>
        <w:t xml:space="preserve"> </w:t>
      </w:r>
      <w:r>
        <w:t>many</w:t>
      </w:r>
      <w:r>
        <w:rPr>
          <w:spacing w:val="-7"/>
        </w:rPr>
        <w:t xml:space="preserve"> </w:t>
      </w:r>
      <w:r>
        <w:t>of</w:t>
      </w:r>
      <w:r>
        <w:rPr>
          <w:spacing w:val="-7"/>
        </w:rPr>
        <w:t xml:space="preserve"> </w:t>
      </w:r>
      <w:r>
        <w:t>our</w:t>
      </w:r>
      <w:r>
        <w:rPr>
          <w:spacing w:val="-7"/>
        </w:rPr>
        <w:t xml:space="preserve"> </w:t>
      </w:r>
      <w:r>
        <w:t>roads.</w:t>
      </w:r>
    </w:p>
    <w:p w:rsidR="002C1123" w:rsidRDefault="00F22F94">
      <w:pPr>
        <w:pStyle w:val="Heading6"/>
        <w:spacing w:before="149"/>
        <w:ind w:left="492"/>
      </w:pPr>
      <w:r>
        <w:rPr>
          <w:spacing w:val="-2"/>
        </w:rPr>
        <w:t>Bulk</w:t>
      </w:r>
      <w:r>
        <w:rPr>
          <w:spacing w:val="-5"/>
        </w:rPr>
        <w:t xml:space="preserve"> </w:t>
      </w:r>
      <w:r>
        <w:rPr>
          <w:spacing w:val="-2"/>
        </w:rPr>
        <w:t>Export</w:t>
      </w:r>
      <w:r>
        <w:rPr>
          <w:spacing w:val="-5"/>
        </w:rPr>
        <w:t xml:space="preserve"> </w:t>
      </w:r>
      <w:r>
        <w:rPr>
          <w:spacing w:val="-2"/>
        </w:rPr>
        <w:t>Freight</w:t>
      </w:r>
      <w:r>
        <w:rPr>
          <w:spacing w:val="-4"/>
        </w:rPr>
        <w:t xml:space="preserve"> </w:t>
      </w:r>
      <w:r>
        <w:rPr>
          <w:spacing w:val="-2"/>
        </w:rPr>
        <w:t>Demand</w:t>
      </w:r>
    </w:p>
    <w:p w:rsidR="002C1123" w:rsidRDefault="00F22F94">
      <w:pPr>
        <w:pStyle w:val="BodyText"/>
        <w:spacing w:before="10" w:line="249" w:lineRule="auto"/>
        <w:ind w:left="492" w:right="205"/>
      </w:pPr>
      <w:r>
        <w:rPr>
          <w:w w:val="95"/>
        </w:rPr>
        <w:t>Bulk</w:t>
      </w:r>
      <w:r>
        <w:rPr>
          <w:spacing w:val="-12"/>
          <w:w w:val="95"/>
        </w:rPr>
        <w:t xml:space="preserve"> </w:t>
      </w:r>
      <w:r>
        <w:rPr>
          <w:w w:val="95"/>
        </w:rPr>
        <w:t>export</w:t>
      </w:r>
      <w:r>
        <w:rPr>
          <w:spacing w:val="-11"/>
          <w:w w:val="95"/>
        </w:rPr>
        <w:t xml:space="preserve"> </w:t>
      </w:r>
      <w:r>
        <w:rPr>
          <w:w w:val="95"/>
        </w:rPr>
        <w:t>freight</w:t>
      </w:r>
      <w:r>
        <w:rPr>
          <w:spacing w:val="-11"/>
          <w:w w:val="95"/>
        </w:rPr>
        <w:t xml:space="preserve"> </w:t>
      </w:r>
      <w:r>
        <w:rPr>
          <w:w w:val="95"/>
        </w:rPr>
        <w:t>(coal,</w:t>
      </w:r>
      <w:r>
        <w:rPr>
          <w:spacing w:val="-11"/>
          <w:w w:val="95"/>
        </w:rPr>
        <w:t xml:space="preserve"> </w:t>
      </w:r>
      <w:r>
        <w:rPr>
          <w:w w:val="95"/>
        </w:rPr>
        <w:t>grain,</w:t>
      </w:r>
      <w:r>
        <w:rPr>
          <w:spacing w:val="-11"/>
          <w:w w:val="95"/>
        </w:rPr>
        <w:t xml:space="preserve"> </w:t>
      </w:r>
      <w:r>
        <w:rPr>
          <w:w w:val="95"/>
        </w:rPr>
        <w:t>minerals</w:t>
      </w:r>
      <w:r>
        <w:rPr>
          <w:spacing w:val="-11"/>
          <w:w w:val="95"/>
        </w:rPr>
        <w:t xml:space="preserve"> </w:t>
      </w:r>
      <w:r>
        <w:rPr>
          <w:w w:val="95"/>
        </w:rPr>
        <w:t>and</w:t>
      </w:r>
      <w:r>
        <w:rPr>
          <w:spacing w:val="-11"/>
          <w:w w:val="95"/>
        </w:rPr>
        <w:t xml:space="preserve"> </w:t>
      </w:r>
      <w:r>
        <w:rPr>
          <w:w w:val="95"/>
        </w:rPr>
        <w:t>metals)</w:t>
      </w:r>
      <w:r>
        <w:rPr>
          <w:spacing w:val="-11"/>
          <w:w w:val="95"/>
        </w:rPr>
        <w:t xml:space="preserve"> </w:t>
      </w:r>
      <w:r>
        <w:rPr>
          <w:w w:val="95"/>
        </w:rPr>
        <w:t>is moved</w:t>
      </w:r>
      <w:r>
        <w:rPr>
          <w:spacing w:val="-1"/>
          <w:w w:val="95"/>
        </w:rPr>
        <w:t xml:space="preserve"> </w:t>
      </w:r>
      <w:r>
        <w:rPr>
          <w:w w:val="95"/>
        </w:rPr>
        <w:t>by</w:t>
      </w:r>
      <w:r>
        <w:rPr>
          <w:spacing w:val="-1"/>
          <w:w w:val="95"/>
        </w:rPr>
        <w:t xml:space="preserve"> </w:t>
      </w:r>
      <w:r>
        <w:rPr>
          <w:w w:val="95"/>
        </w:rPr>
        <w:t>both</w:t>
      </w:r>
      <w:r>
        <w:rPr>
          <w:spacing w:val="-1"/>
          <w:w w:val="95"/>
        </w:rPr>
        <w:t xml:space="preserve"> </w:t>
      </w:r>
      <w:r>
        <w:rPr>
          <w:w w:val="95"/>
        </w:rPr>
        <w:t>the</w:t>
      </w:r>
      <w:r>
        <w:rPr>
          <w:spacing w:val="-1"/>
          <w:w w:val="95"/>
        </w:rPr>
        <w:t xml:space="preserve"> </w:t>
      </w:r>
      <w:r>
        <w:rPr>
          <w:w w:val="95"/>
        </w:rPr>
        <w:t>road</w:t>
      </w:r>
      <w:r>
        <w:rPr>
          <w:spacing w:val="-1"/>
          <w:w w:val="95"/>
        </w:rPr>
        <w:t xml:space="preserve"> </w:t>
      </w:r>
      <w:r>
        <w:rPr>
          <w:w w:val="95"/>
        </w:rPr>
        <w:t>and</w:t>
      </w:r>
      <w:r>
        <w:rPr>
          <w:spacing w:val="-1"/>
          <w:w w:val="95"/>
        </w:rPr>
        <w:t xml:space="preserve"> </w:t>
      </w:r>
      <w:r>
        <w:rPr>
          <w:w w:val="95"/>
        </w:rPr>
        <w:t>rail</w:t>
      </w:r>
      <w:r>
        <w:rPr>
          <w:spacing w:val="-1"/>
          <w:w w:val="95"/>
        </w:rPr>
        <w:t xml:space="preserve"> </w:t>
      </w:r>
      <w:r>
        <w:rPr>
          <w:w w:val="95"/>
        </w:rPr>
        <w:t>networks</w:t>
      </w:r>
      <w:r>
        <w:rPr>
          <w:spacing w:val="-1"/>
          <w:w w:val="95"/>
        </w:rPr>
        <w:t xml:space="preserve"> </w:t>
      </w:r>
      <w:r>
        <w:rPr>
          <w:w w:val="95"/>
        </w:rPr>
        <w:t>of</w:t>
      </w:r>
      <w:r>
        <w:rPr>
          <w:spacing w:val="-1"/>
          <w:w w:val="95"/>
        </w:rPr>
        <w:t xml:space="preserve"> </w:t>
      </w:r>
      <w:r>
        <w:rPr>
          <w:w w:val="95"/>
        </w:rPr>
        <w:t xml:space="preserve">Regional </w:t>
      </w:r>
      <w:r>
        <w:rPr>
          <w:spacing w:val="-2"/>
        </w:rPr>
        <w:t>NSW</w:t>
      </w:r>
      <w:r>
        <w:rPr>
          <w:spacing w:val="-11"/>
        </w:rPr>
        <w:t xml:space="preserve"> </w:t>
      </w:r>
      <w:r>
        <w:rPr>
          <w:spacing w:val="-2"/>
        </w:rPr>
        <w:t>to</w:t>
      </w:r>
      <w:r>
        <w:rPr>
          <w:spacing w:val="-11"/>
        </w:rPr>
        <w:t xml:space="preserve"> </w:t>
      </w:r>
      <w:r>
        <w:rPr>
          <w:spacing w:val="-2"/>
        </w:rPr>
        <w:t>the</w:t>
      </w:r>
      <w:r>
        <w:rPr>
          <w:spacing w:val="-11"/>
        </w:rPr>
        <w:t xml:space="preserve"> </w:t>
      </w:r>
      <w:r>
        <w:rPr>
          <w:spacing w:val="-2"/>
        </w:rPr>
        <w:t>processing</w:t>
      </w:r>
      <w:r>
        <w:rPr>
          <w:spacing w:val="-11"/>
        </w:rPr>
        <w:t xml:space="preserve"> </w:t>
      </w:r>
      <w:r>
        <w:rPr>
          <w:spacing w:val="-2"/>
        </w:rPr>
        <w:t>plants</w:t>
      </w:r>
      <w:r>
        <w:rPr>
          <w:spacing w:val="-11"/>
        </w:rPr>
        <w:t xml:space="preserve"> </w:t>
      </w:r>
      <w:r>
        <w:rPr>
          <w:spacing w:val="-2"/>
        </w:rPr>
        <w:t>and</w:t>
      </w:r>
      <w:r>
        <w:rPr>
          <w:spacing w:val="-11"/>
        </w:rPr>
        <w:t xml:space="preserve"> </w:t>
      </w:r>
      <w:r>
        <w:rPr>
          <w:spacing w:val="-2"/>
        </w:rPr>
        <w:t>the</w:t>
      </w:r>
      <w:r>
        <w:rPr>
          <w:spacing w:val="-11"/>
        </w:rPr>
        <w:t xml:space="preserve"> </w:t>
      </w:r>
      <w:r>
        <w:rPr>
          <w:spacing w:val="-2"/>
        </w:rPr>
        <w:t>port</w:t>
      </w:r>
      <w:r>
        <w:rPr>
          <w:spacing w:val="-11"/>
        </w:rPr>
        <w:t xml:space="preserve"> </w:t>
      </w:r>
      <w:r>
        <w:rPr>
          <w:spacing w:val="-2"/>
        </w:rPr>
        <w:t xml:space="preserve">gateways </w:t>
      </w:r>
      <w:r>
        <w:t>of</w:t>
      </w:r>
      <w:r>
        <w:rPr>
          <w:spacing w:val="-10"/>
        </w:rPr>
        <w:t xml:space="preserve"> </w:t>
      </w:r>
      <w:r>
        <w:t>Newcastle</w:t>
      </w:r>
      <w:r>
        <w:rPr>
          <w:spacing w:val="-10"/>
        </w:rPr>
        <w:t xml:space="preserve"> </w:t>
      </w:r>
      <w:r>
        <w:t>and</w:t>
      </w:r>
      <w:r>
        <w:rPr>
          <w:spacing w:val="-10"/>
        </w:rPr>
        <w:t xml:space="preserve"> </w:t>
      </w:r>
      <w:r>
        <w:t>Port</w:t>
      </w:r>
      <w:r>
        <w:rPr>
          <w:spacing w:val="-10"/>
        </w:rPr>
        <w:t xml:space="preserve"> </w:t>
      </w:r>
      <w:r>
        <w:t>Kembla.</w:t>
      </w:r>
      <w:r>
        <w:rPr>
          <w:spacing w:val="-10"/>
        </w:rPr>
        <w:t xml:space="preserve"> </w:t>
      </w:r>
      <w:r>
        <w:t>It</w:t>
      </w:r>
      <w:r>
        <w:rPr>
          <w:spacing w:val="-10"/>
        </w:rPr>
        <w:t xml:space="preserve"> </w:t>
      </w:r>
      <w:r>
        <w:t>comprises</w:t>
      </w:r>
      <w:r>
        <w:rPr>
          <w:spacing w:val="-10"/>
        </w:rPr>
        <w:t xml:space="preserve"> </w:t>
      </w:r>
      <w:r>
        <w:t>around</w:t>
      </w:r>
    </w:p>
    <w:p w:rsidR="002C1123" w:rsidRDefault="00F22F94">
      <w:pPr>
        <w:pStyle w:val="BodyText"/>
        <w:spacing w:before="3" w:line="249" w:lineRule="auto"/>
        <w:ind w:left="492"/>
      </w:pPr>
      <w:r>
        <w:rPr>
          <w:w w:val="95"/>
        </w:rPr>
        <w:t>15</w:t>
      </w:r>
      <w:r>
        <w:rPr>
          <w:spacing w:val="-6"/>
          <w:w w:val="95"/>
        </w:rPr>
        <w:t xml:space="preserve"> </w:t>
      </w:r>
      <w:r>
        <w:rPr>
          <w:w w:val="95"/>
        </w:rPr>
        <w:t>per</w:t>
      </w:r>
      <w:r>
        <w:rPr>
          <w:spacing w:val="-6"/>
          <w:w w:val="95"/>
        </w:rPr>
        <w:t xml:space="preserve"> </w:t>
      </w:r>
      <w:r>
        <w:rPr>
          <w:w w:val="95"/>
        </w:rPr>
        <w:t>cent</w:t>
      </w:r>
      <w:r>
        <w:rPr>
          <w:spacing w:val="-6"/>
          <w:w w:val="95"/>
        </w:rPr>
        <w:t xml:space="preserve"> </w:t>
      </w:r>
      <w:r>
        <w:rPr>
          <w:w w:val="95"/>
        </w:rPr>
        <w:t>of</w:t>
      </w:r>
      <w:r>
        <w:rPr>
          <w:spacing w:val="-6"/>
          <w:w w:val="95"/>
        </w:rPr>
        <w:t xml:space="preserve"> </w:t>
      </w:r>
      <w:r>
        <w:rPr>
          <w:w w:val="95"/>
        </w:rPr>
        <w:t>the</w:t>
      </w:r>
      <w:r>
        <w:rPr>
          <w:spacing w:val="-6"/>
          <w:w w:val="95"/>
        </w:rPr>
        <w:t xml:space="preserve"> </w:t>
      </w:r>
      <w:r>
        <w:rPr>
          <w:w w:val="95"/>
        </w:rPr>
        <w:t>total</w:t>
      </w:r>
      <w:r>
        <w:rPr>
          <w:spacing w:val="-6"/>
          <w:w w:val="95"/>
        </w:rPr>
        <w:t xml:space="preserve"> </w:t>
      </w:r>
      <w:r>
        <w:rPr>
          <w:w w:val="95"/>
        </w:rPr>
        <w:t>freight</w:t>
      </w:r>
      <w:r>
        <w:rPr>
          <w:spacing w:val="-6"/>
          <w:w w:val="95"/>
        </w:rPr>
        <w:t xml:space="preserve"> </w:t>
      </w:r>
      <w:r>
        <w:rPr>
          <w:w w:val="95"/>
        </w:rPr>
        <w:t>task</w:t>
      </w:r>
      <w:r>
        <w:rPr>
          <w:spacing w:val="-6"/>
          <w:w w:val="95"/>
        </w:rPr>
        <w:t xml:space="preserve"> </w:t>
      </w:r>
      <w:r>
        <w:rPr>
          <w:w w:val="95"/>
        </w:rPr>
        <w:t>by</w:t>
      </w:r>
      <w:r>
        <w:rPr>
          <w:spacing w:val="-6"/>
          <w:w w:val="95"/>
        </w:rPr>
        <w:t xml:space="preserve"> </w:t>
      </w:r>
      <w:r>
        <w:rPr>
          <w:w w:val="95"/>
        </w:rPr>
        <w:t>volume</w:t>
      </w:r>
      <w:r>
        <w:rPr>
          <w:spacing w:val="-6"/>
          <w:w w:val="95"/>
        </w:rPr>
        <w:t xml:space="preserve"> </w:t>
      </w:r>
      <w:r>
        <w:rPr>
          <w:w w:val="95"/>
        </w:rPr>
        <w:t>(but</w:t>
      </w:r>
      <w:r>
        <w:rPr>
          <w:spacing w:val="-6"/>
          <w:w w:val="95"/>
        </w:rPr>
        <w:t xml:space="preserve"> </w:t>
      </w:r>
      <w:r>
        <w:rPr>
          <w:w w:val="95"/>
        </w:rPr>
        <w:t xml:space="preserve">around </w:t>
      </w:r>
      <w:r>
        <w:rPr>
          <w:spacing w:val="-2"/>
        </w:rPr>
        <w:t>half</w:t>
      </w:r>
      <w:r>
        <w:rPr>
          <w:spacing w:val="-8"/>
        </w:rPr>
        <w:t xml:space="preserve"> </w:t>
      </w:r>
      <w:r>
        <w:rPr>
          <w:spacing w:val="-2"/>
        </w:rPr>
        <w:t>of</w:t>
      </w:r>
      <w:r>
        <w:rPr>
          <w:spacing w:val="-8"/>
        </w:rPr>
        <w:t xml:space="preserve"> </w:t>
      </w:r>
      <w:r>
        <w:rPr>
          <w:spacing w:val="-2"/>
        </w:rPr>
        <w:t>the</w:t>
      </w:r>
      <w:r>
        <w:rPr>
          <w:spacing w:val="-8"/>
        </w:rPr>
        <w:t xml:space="preserve"> </w:t>
      </w:r>
      <w:r>
        <w:rPr>
          <w:spacing w:val="-2"/>
        </w:rPr>
        <w:t>freight</w:t>
      </w:r>
      <w:r>
        <w:rPr>
          <w:spacing w:val="-8"/>
        </w:rPr>
        <w:t xml:space="preserve"> </w:t>
      </w:r>
      <w:r>
        <w:rPr>
          <w:spacing w:val="-2"/>
        </w:rPr>
        <w:t>task</w:t>
      </w:r>
      <w:r>
        <w:rPr>
          <w:spacing w:val="-8"/>
        </w:rPr>
        <w:t xml:space="preserve"> </w:t>
      </w:r>
      <w:r>
        <w:rPr>
          <w:spacing w:val="-2"/>
        </w:rPr>
        <w:t>by</w:t>
      </w:r>
      <w:r>
        <w:rPr>
          <w:spacing w:val="-8"/>
        </w:rPr>
        <w:t xml:space="preserve"> </w:t>
      </w:r>
      <w:r>
        <w:rPr>
          <w:spacing w:val="-2"/>
        </w:rPr>
        <w:t>weight).</w:t>
      </w:r>
      <w:r>
        <w:rPr>
          <w:spacing w:val="-8"/>
        </w:rPr>
        <w:t xml:space="preserve"> </w:t>
      </w:r>
      <w:r>
        <w:rPr>
          <w:spacing w:val="-2"/>
        </w:rPr>
        <w:t>The</w:t>
      </w:r>
      <w:r>
        <w:rPr>
          <w:spacing w:val="-8"/>
        </w:rPr>
        <w:t xml:space="preserve"> </w:t>
      </w:r>
      <w:r>
        <w:rPr>
          <w:spacing w:val="-2"/>
        </w:rPr>
        <w:t>majority</w:t>
      </w:r>
      <w:r>
        <w:rPr>
          <w:spacing w:val="-8"/>
        </w:rPr>
        <w:t xml:space="preserve"> </w:t>
      </w:r>
      <w:r>
        <w:rPr>
          <w:spacing w:val="-2"/>
        </w:rPr>
        <w:t>of</w:t>
      </w:r>
      <w:r>
        <w:rPr>
          <w:spacing w:val="-8"/>
        </w:rPr>
        <w:t xml:space="preserve"> </w:t>
      </w:r>
      <w:r>
        <w:rPr>
          <w:spacing w:val="-2"/>
        </w:rPr>
        <w:t xml:space="preserve">export </w:t>
      </w:r>
      <w:r>
        <w:t>bulk</w:t>
      </w:r>
      <w:r>
        <w:rPr>
          <w:spacing w:val="-13"/>
        </w:rPr>
        <w:t xml:space="preserve"> </w:t>
      </w:r>
      <w:r>
        <w:t>commodities</w:t>
      </w:r>
      <w:r>
        <w:rPr>
          <w:spacing w:val="-13"/>
        </w:rPr>
        <w:t xml:space="preserve"> </w:t>
      </w:r>
      <w:r>
        <w:t>utilise</w:t>
      </w:r>
      <w:r>
        <w:rPr>
          <w:spacing w:val="-13"/>
        </w:rPr>
        <w:t xml:space="preserve"> </w:t>
      </w:r>
      <w:r>
        <w:t>rail</w:t>
      </w:r>
      <w:r>
        <w:rPr>
          <w:spacing w:val="-13"/>
        </w:rPr>
        <w:t xml:space="preserve"> </w:t>
      </w:r>
      <w:r>
        <w:t>infrastructure</w:t>
      </w:r>
      <w:r>
        <w:rPr>
          <w:spacing w:val="-13"/>
        </w:rPr>
        <w:t xml:space="preserve"> </w:t>
      </w:r>
      <w:r>
        <w:t>to</w:t>
      </w:r>
      <w:r>
        <w:rPr>
          <w:spacing w:val="-13"/>
        </w:rPr>
        <w:t xml:space="preserve"> </w:t>
      </w:r>
      <w:r>
        <w:t>reach</w:t>
      </w:r>
    </w:p>
    <w:p w:rsidR="002C1123" w:rsidRDefault="00F22F94">
      <w:pPr>
        <w:pStyle w:val="BodyText"/>
        <w:spacing w:before="3"/>
        <w:ind w:left="492"/>
      </w:pPr>
      <w:r>
        <w:rPr>
          <w:w w:val="95"/>
        </w:rPr>
        <w:t>the</w:t>
      </w:r>
      <w:r>
        <w:rPr>
          <w:spacing w:val="-8"/>
          <w:w w:val="95"/>
        </w:rPr>
        <w:t xml:space="preserve"> </w:t>
      </w:r>
      <w:r>
        <w:rPr>
          <w:spacing w:val="-2"/>
          <w:w w:val="95"/>
        </w:rPr>
        <w:t>gateways.</w:t>
      </w:r>
    </w:p>
    <w:p w:rsidR="002C1123" w:rsidRDefault="00F22F94">
      <w:pPr>
        <w:pStyle w:val="BodyText"/>
        <w:spacing w:before="151" w:line="249" w:lineRule="auto"/>
        <w:ind w:left="492"/>
      </w:pPr>
      <w:r>
        <w:rPr>
          <w:w w:val="95"/>
        </w:rPr>
        <w:t>Coal</w:t>
      </w:r>
      <w:r>
        <w:rPr>
          <w:spacing w:val="-2"/>
          <w:w w:val="95"/>
        </w:rPr>
        <w:t xml:space="preserve"> </w:t>
      </w:r>
      <w:r>
        <w:rPr>
          <w:w w:val="95"/>
        </w:rPr>
        <w:t>is</w:t>
      </w:r>
      <w:r>
        <w:rPr>
          <w:spacing w:val="-2"/>
          <w:w w:val="95"/>
        </w:rPr>
        <w:t xml:space="preserve"> </w:t>
      </w:r>
      <w:r>
        <w:rPr>
          <w:w w:val="95"/>
        </w:rPr>
        <w:t>the</w:t>
      </w:r>
      <w:r>
        <w:rPr>
          <w:spacing w:val="-2"/>
          <w:w w:val="95"/>
        </w:rPr>
        <w:t xml:space="preserve"> </w:t>
      </w:r>
      <w:r>
        <w:rPr>
          <w:w w:val="95"/>
        </w:rPr>
        <w:t>largest</w:t>
      </w:r>
      <w:r>
        <w:rPr>
          <w:spacing w:val="-2"/>
          <w:w w:val="95"/>
        </w:rPr>
        <w:t xml:space="preserve"> </w:t>
      </w:r>
      <w:r>
        <w:rPr>
          <w:w w:val="95"/>
        </w:rPr>
        <w:t>and</w:t>
      </w:r>
      <w:r>
        <w:rPr>
          <w:spacing w:val="-2"/>
          <w:w w:val="95"/>
        </w:rPr>
        <w:t xml:space="preserve"> </w:t>
      </w:r>
      <w:r>
        <w:rPr>
          <w:w w:val="95"/>
        </w:rPr>
        <w:t>fastest</w:t>
      </w:r>
      <w:r>
        <w:rPr>
          <w:spacing w:val="-2"/>
          <w:w w:val="95"/>
        </w:rPr>
        <w:t xml:space="preserve"> </w:t>
      </w:r>
      <w:r>
        <w:rPr>
          <w:w w:val="95"/>
        </w:rPr>
        <w:t>growing</w:t>
      </w:r>
      <w:r>
        <w:rPr>
          <w:spacing w:val="-2"/>
          <w:w w:val="95"/>
        </w:rPr>
        <w:t xml:space="preserve"> </w:t>
      </w:r>
      <w:r>
        <w:rPr>
          <w:w w:val="95"/>
        </w:rPr>
        <w:t>commodity</w:t>
      </w:r>
      <w:r>
        <w:rPr>
          <w:spacing w:val="-2"/>
          <w:w w:val="95"/>
        </w:rPr>
        <w:t xml:space="preserve"> </w:t>
      </w:r>
      <w:r>
        <w:rPr>
          <w:w w:val="95"/>
        </w:rPr>
        <w:t xml:space="preserve">freight </w:t>
      </w:r>
      <w:r>
        <w:rPr>
          <w:spacing w:val="-2"/>
        </w:rPr>
        <w:t>task</w:t>
      </w:r>
      <w:r>
        <w:rPr>
          <w:spacing w:val="-13"/>
        </w:rPr>
        <w:t xml:space="preserve"> </w:t>
      </w:r>
      <w:r>
        <w:rPr>
          <w:spacing w:val="-2"/>
        </w:rPr>
        <w:t>in</w:t>
      </w:r>
      <w:r>
        <w:rPr>
          <w:spacing w:val="-13"/>
        </w:rPr>
        <w:t xml:space="preserve"> </w:t>
      </w:r>
      <w:r>
        <w:rPr>
          <w:spacing w:val="-2"/>
        </w:rPr>
        <w:t>NSW,</w:t>
      </w:r>
      <w:r>
        <w:rPr>
          <w:spacing w:val="-13"/>
        </w:rPr>
        <w:t xml:space="preserve"> </w:t>
      </w:r>
      <w:r>
        <w:rPr>
          <w:spacing w:val="-2"/>
        </w:rPr>
        <w:t>(around</w:t>
      </w:r>
      <w:r>
        <w:rPr>
          <w:spacing w:val="-13"/>
        </w:rPr>
        <w:t xml:space="preserve"> </w:t>
      </w:r>
      <w:r>
        <w:rPr>
          <w:spacing w:val="-2"/>
        </w:rPr>
        <w:t>170</w:t>
      </w:r>
      <w:r>
        <w:rPr>
          <w:spacing w:val="-13"/>
        </w:rPr>
        <w:t xml:space="preserve"> </w:t>
      </w:r>
      <w:r>
        <w:rPr>
          <w:spacing w:val="-2"/>
        </w:rPr>
        <w:t>mtpa</w:t>
      </w:r>
      <w:r>
        <w:rPr>
          <w:spacing w:val="-2"/>
          <w:position w:val="7"/>
          <w:sz w:val="11"/>
        </w:rPr>
        <w:t>13</w:t>
      </w:r>
      <w:r>
        <w:rPr>
          <w:spacing w:val="-2"/>
        </w:rPr>
        <w:t>),</w:t>
      </w:r>
      <w:r>
        <w:rPr>
          <w:spacing w:val="-13"/>
        </w:rPr>
        <w:t xml:space="preserve"> </w:t>
      </w:r>
      <w:r>
        <w:rPr>
          <w:spacing w:val="-2"/>
        </w:rPr>
        <w:t>most</w:t>
      </w:r>
      <w:r>
        <w:rPr>
          <w:spacing w:val="-13"/>
        </w:rPr>
        <w:t xml:space="preserve"> </w:t>
      </w:r>
      <w:r>
        <w:rPr>
          <w:spacing w:val="-2"/>
        </w:rPr>
        <w:t>of</w:t>
      </w:r>
      <w:r>
        <w:rPr>
          <w:spacing w:val="-13"/>
        </w:rPr>
        <w:t xml:space="preserve"> </w:t>
      </w:r>
      <w:r>
        <w:rPr>
          <w:spacing w:val="-2"/>
        </w:rPr>
        <w:t>which</w:t>
      </w:r>
      <w:r>
        <w:rPr>
          <w:spacing w:val="-13"/>
        </w:rPr>
        <w:t xml:space="preserve"> </w:t>
      </w:r>
      <w:r>
        <w:rPr>
          <w:spacing w:val="-2"/>
        </w:rPr>
        <w:t xml:space="preserve">moves </w:t>
      </w:r>
      <w:r>
        <w:t>through the Port of Newcastle</w:t>
      </w:r>
      <w:r>
        <w:rPr>
          <w:position w:val="7"/>
          <w:sz w:val="11"/>
        </w:rPr>
        <w:t>14</w:t>
      </w:r>
      <w:r>
        <w:t>.</w:t>
      </w:r>
    </w:p>
    <w:p w:rsidR="002C1123" w:rsidRDefault="002C1123">
      <w:pPr>
        <w:pStyle w:val="BodyText"/>
      </w:pPr>
    </w:p>
    <w:p w:rsidR="002C1123" w:rsidRDefault="002C1123">
      <w:pPr>
        <w:pStyle w:val="BodyText"/>
      </w:pPr>
    </w:p>
    <w:p w:rsidR="002C1123" w:rsidRDefault="002060EF">
      <w:pPr>
        <w:pStyle w:val="BodyText"/>
        <w:spacing w:before="8"/>
        <w:rPr>
          <w:sz w:val="27"/>
        </w:rPr>
      </w:pPr>
      <w:r>
        <w:pict>
          <v:shape id="docshape1012" o:spid="_x0000_s4301" style="position:absolute;margin-left:49.6pt;margin-top:17.15pt;width:1in;height:.1pt;z-index:-251397120;mso-wrap-distance-left:0;mso-wrap-distance-right:0;mso-position-horizontal-relative:page" coordorigin="992,343" coordsize="1440,0" path="m992,343r1440,e" filled="f" strokecolor="#9c9c9d" strokeweight=".5pt">
            <v:path arrowok="t"/>
            <w10:wrap type="topAndBottom" anchorx="page"/>
          </v:shape>
        </w:pict>
      </w:r>
    </w:p>
    <w:p w:rsidR="002C1123" w:rsidRDefault="00F22F94">
      <w:pPr>
        <w:pStyle w:val="ListParagraph"/>
        <w:numPr>
          <w:ilvl w:val="0"/>
          <w:numId w:val="102"/>
        </w:numPr>
        <w:tabs>
          <w:tab w:val="left" w:pos="691"/>
        </w:tabs>
        <w:spacing w:before="17"/>
        <w:ind w:right="230"/>
        <w:jc w:val="left"/>
        <w:rPr>
          <w:sz w:val="14"/>
        </w:rPr>
      </w:pPr>
      <w:r>
        <w:rPr>
          <w:w w:val="95"/>
          <w:sz w:val="14"/>
        </w:rPr>
        <w:t>Central NSW Councils 2011, Submission to the NSW Legislative Council,</w:t>
      </w:r>
      <w:r>
        <w:rPr>
          <w:spacing w:val="40"/>
          <w:sz w:val="14"/>
        </w:rPr>
        <w:t xml:space="preserve"> </w:t>
      </w:r>
      <w:r>
        <w:rPr>
          <w:sz w:val="14"/>
        </w:rPr>
        <w:t>Standing</w:t>
      </w:r>
      <w:r>
        <w:rPr>
          <w:spacing w:val="-7"/>
          <w:sz w:val="14"/>
        </w:rPr>
        <w:t xml:space="preserve"> </w:t>
      </w:r>
      <w:r>
        <w:rPr>
          <w:sz w:val="14"/>
        </w:rPr>
        <w:t>Committee</w:t>
      </w:r>
      <w:r>
        <w:rPr>
          <w:spacing w:val="-7"/>
          <w:sz w:val="14"/>
        </w:rPr>
        <w:t xml:space="preserve"> </w:t>
      </w:r>
      <w:r>
        <w:rPr>
          <w:sz w:val="14"/>
        </w:rPr>
        <w:t>on</w:t>
      </w:r>
      <w:r>
        <w:rPr>
          <w:spacing w:val="-7"/>
          <w:sz w:val="14"/>
        </w:rPr>
        <w:t xml:space="preserve"> </w:t>
      </w:r>
      <w:r>
        <w:rPr>
          <w:sz w:val="14"/>
        </w:rPr>
        <w:t>State</w:t>
      </w:r>
      <w:r>
        <w:rPr>
          <w:spacing w:val="-7"/>
          <w:sz w:val="14"/>
        </w:rPr>
        <w:t xml:space="preserve"> </w:t>
      </w:r>
      <w:r>
        <w:rPr>
          <w:sz w:val="14"/>
        </w:rPr>
        <w:t>Development,</w:t>
      </w:r>
      <w:r>
        <w:rPr>
          <w:spacing w:val="-7"/>
          <w:sz w:val="14"/>
        </w:rPr>
        <w:t xml:space="preserve"> </w:t>
      </w:r>
      <w:r>
        <w:rPr>
          <w:sz w:val="14"/>
        </w:rPr>
        <w:t>Inquiry</w:t>
      </w:r>
      <w:r>
        <w:rPr>
          <w:spacing w:val="-7"/>
          <w:sz w:val="14"/>
        </w:rPr>
        <w:t xml:space="preserve"> </w:t>
      </w:r>
      <w:r>
        <w:rPr>
          <w:sz w:val="14"/>
        </w:rPr>
        <w:t>into</w:t>
      </w:r>
      <w:r>
        <w:rPr>
          <w:spacing w:val="-7"/>
          <w:sz w:val="14"/>
        </w:rPr>
        <w:t xml:space="preserve"> </w:t>
      </w:r>
      <w:r>
        <w:rPr>
          <w:sz w:val="14"/>
        </w:rPr>
        <w:t>Economic</w:t>
      </w:r>
      <w:r>
        <w:rPr>
          <w:spacing w:val="-7"/>
          <w:sz w:val="14"/>
        </w:rPr>
        <w:t xml:space="preserve"> </w:t>
      </w:r>
      <w:r>
        <w:rPr>
          <w:sz w:val="14"/>
        </w:rPr>
        <w:t>and</w:t>
      </w:r>
    </w:p>
    <w:p w:rsidR="002C1123" w:rsidRDefault="00F22F94">
      <w:pPr>
        <w:pStyle w:val="BodyText"/>
        <w:spacing w:before="106" w:line="249" w:lineRule="auto"/>
        <w:ind w:left="186" w:right="197"/>
      </w:pPr>
      <w:r>
        <w:br w:type="column"/>
      </w:r>
      <w:r>
        <w:t>Bulk</w:t>
      </w:r>
      <w:r>
        <w:rPr>
          <w:spacing w:val="-7"/>
        </w:rPr>
        <w:t xml:space="preserve"> </w:t>
      </w:r>
      <w:r>
        <w:t>export</w:t>
      </w:r>
      <w:r>
        <w:rPr>
          <w:spacing w:val="-7"/>
        </w:rPr>
        <w:t xml:space="preserve"> </w:t>
      </w:r>
      <w:r>
        <w:t>freight</w:t>
      </w:r>
      <w:r>
        <w:rPr>
          <w:spacing w:val="-7"/>
        </w:rPr>
        <w:t xml:space="preserve"> </w:t>
      </w:r>
      <w:r>
        <w:t>in</w:t>
      </w:r>
      <w:r>
        <w:rPr>
          <w:spacing w:val="-7"/>
        </w:rPr>
        <w:t xml:space="preserve"> </w:t>
      </w:r>
      <w:r>
        <w:t>NSW</w:t>
      </w:r>
      <w:r>
        <w:rPr>
          <w:spacing w:val="-7"/>
        </w:rPr>
        <w:t xml:space="preserve"> </w:t>
      </w:r>
      <w:r>
        <w:t>is</w:t>
      </w:r>
      <w:r>
        <w:rPr>
          <w:spacing w:val="-7"/>
        </w:rPr>
        <w:t xml:space="preserve"> </w:t>
      </w:r>
      <w:r>
        <w:t>expected</w:t>
      </w:r>
      <w:r>
        <w:rPr>
          <w:spacing w:val="-7"/>
        </w:rPr>
        <w:t xml:space="preserve"> </w:t>
      </w:r>
      <w:r>
        <w:t>to</w:t>
      </w:r>
      <w:r>
        <w:rPr>
          <w:spacing w:val="-7"/>
        </w:rPr>
        <w:t xml:space="preserve"> </w:t>
      </w:r>
      <w:r>
        <w:t>grow rapidly</w:t>
      </w:r>
      <w:r>
        <w:rPr>
          <w:spacing w:val="-12"/>
        </w:rPr>
        <w:t xml:space="preserve"> </w:t>
      </w:r>
      <w:r>
        <w:t>over</w:t>
      </w:r>
      <w:r>
        <w:rPr>
          <w:spacing w:val="-12"/>
        </w:rPr>
        <w:t xml:space="preserve"> </w:t>
      </w:r>
      <w:r>
        <w:t>the</w:t>
      </w:r>
      <w:r>
        <w:rPr>
          <w:spacing w:val="-12"/>
        </w:rPr>
        <w:t xml:space="preserve"> </w:t>
      </w:r>
      <w:r>
        <w:t>next</w:t>
      </w:r>
      <w:r>
        <w:rPr>
          <w:spacing w:val="-12"/>
        </w:rPr>
        <w:t xml:space="preserve"> </w:t>
      </w:r>
      <w:r>
        <w:t>twenty</w:t>
      </w:r>
      <w:r>
        <w:rPr>
          <w:spacing w:val="-12"/>
        </w:rPr>
        <w:t xml:space="preserve"> </w:t>
      </w:r>
      <w:r>
        <w:t>years</w:t>
      </w:r>
      <w:r>
        <w:rPr>
          <w:spacing w:val="-12"/>
        </w:rPr>
        <w:t xml:space="preserve"> </w:t>
      </w:r>
      <w:r>
        <w:t>and</w:t>
      </w:r>
      <w:r>
        <w:rPr>
          <w:spacing w:val="-12"/>
        </w:rPr>
        <w:t xml:space="preserve"> </w:t>
      </w:r>
      <w:r>
        <w:t>will</w:t>
      </w:r>
      <w:r>
        <w:rPr>
          <w:spacing w:val="-12"/>
        </w:rPr>
        <w:t xml:space="preserve"> </w:t>
      </w:r>
      <w:r>
        <w:t>continue moving</w:t>
      </w:r>
      <w:r>
        <w:rPr>
          <w:spacing w:val="-14"/>
        </w:rPr>
        <w:t xml:space="preserve"> </w:t>
      </w:r>
      <w:r>
        <w:t>primarily</w:t>
      </w:r>
      <w:r>
        <w:rPr>
          <w:spacing w:val="-14"/>
        </w:rPr>
        <w:t xml:space="preserve"> </w:t>
      </w:r>
      <w:r>
        <w:t>through</w:t>
      </w:r>
      <w:r>
        <w:rPr>
          <w:spacing w:val="-14"/>
        </w:rPr>
        <w:t xml:space="preserve"> </w:t>
      </w:r>
      <w:r>
        <w:t>the</w:t>
      </w:r>
      <w:r>
        <w:rPr>
          <w:spacing w:val="-14"/>
        </w:rPr>
        <w:t xml:space="preserve"> </w:t>
      </w:r>
      <w:r>
        <w:t>Port</w:t>
      </w:r>
      <w:r>
        <w:rPr>
          <w:spacing w:val="-14"/>
        </w:rPr>
        <w:t xml:space="preserve"> </w:t>
      </w:r>
      <w:r>
        <w:t>of</w:t>
      </w:r>
      <w:r>
        <w:rPr>
          <w:spacing w:val="-14"/>
        </w:rPr>
        <w:t xml:space="preserve"> </w:t>
      </w:r>
      <w:r>
        <w:t>Newcastle</w:t>
      </w:r>
      <w:r>
        <w:rPr>
          <w:spacing w:val="-14"/>
        </w:rPr>
        <w:t xml:space="preserve"> </w:t>
      </w:r>
      <w:r>
        <w:t>and Port</w:t>
      </w:r>
      <w:r>
        <w:rPr>
          <w:spacing w:val="-11"/>
        </w:rPr>
        <w:t xml:space="preserve"> </w:t>
      </w:r>
      <w:r>
        <w:t>Kembla</w:t>
      </w:r>
      <w:r>
        <w:rPr>
          <w:position w:val="7"/>
          <w:sz w:val="11"/>
        </w:rPr>
        <w:t>15</w:t>
      </w:r>
      <w:r>
        <w:t>.</w:t>
      </w:r>
      <w:r>
        <w:rPr>
          <w:spacing w:val="-11"/>
        </w:rPr>
        <w:t xml:space="preserve"> </w:t>
      </w:r>
      <w:r>
        <w:t>It</w:t>
      </w:r>
      <w:r>
        <w:rPr>
          <w:spacing w:val="-11"/>
        </w:rPr>
        <w:t xml:space="preserve"> </w:t>
      </w:r>
      <w:r>
        <w:t>is</w:t>
      </w:r>
      <w:r>
        <w:rPr>
          <w:spacing w:val="-11"/>
        </w:rPr>
        <w:t xml:space="preserve"> </w:t>
      </w:r>
      <w:r>
        <w:t>expected</w:t>
      </w:r>
      <w:r>
        <w:rPr>
          <w:spacing w:val="-11"/>
        </w:rPr>
        <w:t xml:space="preserve"> </w:t>
      </w:r>
      <w:r>
        <w:t>that</w:t>
      </w:r>
      <w:r>
        <w:rPr>
          <w:spacing w:val="-11"/>
        </w:rPr>
        <w:t xml:space="preserve"> </w:t>
      </w:r>
      <w:r>
        <w:t>demand</w:t>
      </w:r>
      <w:r>
        <w:rPr>
          <w:spacing w:val="-11"/>
        </w:rPr>
        <w:t xml:space="preserve"> </w:t>
      </w:r>
      <w:r>
        <w:t>will</w:t>
      </w:r>
      <w:r>
        <w:rPr>
          <w:spacing w:val="-11"/>
        </w:rPr>
        <w:t xml:space="preserve"> </w:t>
      </w:r>
      <w:r>
        <w:t xml:space="preserve">more </w:t>
      </w:r>
      <w:r>
        <w:rPr>
          <w:w w:val="95"/>
        </w:rPr>
        <w:t>than</w:t>
      </w:r>
      <w:r>
        <w:rPr>
          <w:spacing w:val="-7"/>
          <w:w w:val="95"/>
        </w:rPr>
        <w:t xml:space="preserve"> </w:t>
      </w:r>
      <w:r>
        <w:rPr>
          <w:w w:val="95"/>
        </w:rPr>
        <w:t>double</w:t>
      </w:r>
      <w:r>
        <w:rPr>
          <w:spacing w:val="-7"/>
          <w:w w:val="95"/>
        </w:rPr>
        <w:t xml:space="preserve"> </w:t>
      </w:r>
      <w:r>
        <w:rPr>
          <w:w w:val="95"/>
        </w:rPr>
        <w:t>and</w:t>
      </w:r>
      <w:r>
        <w:rPr>
          <w:spacing w:val="-7"/>
          <w:w w:val="95"/>
        </w:rPr>
        <w:t xml:space="preserve"> </w:t>
      </w:r>
      <w:r>
        <w:rPr>
          <w:w w:val="95"/>
        </w:rPr>
        <w:t>continue</w:t>
      </w:r>
      <w:r>
        <w:rPr>
          <w:spacing w:val="-7"/>
          <w:w w:val="95"/>
        </w:rPr>
        <w:t xml:space="preserve"> </w:t>
      </w:r>
      <w:r>
        <w:rPr>
          <w:w w:val="95"/>
        </w:rPr>
        <w:t>to</w:t>
      </w:r>
      <w:r>
        <w:rPr>
          <w:spacing w:val="-7"/>
          <w:w w:val="95"/>
        </w:rPr>
        <w:t xml:space="preserve"> </w:t>
      </w:r>
      <w:r>
        <w:rPr>
          <w:w w:val="95"/>
        </w:rPr>
        <w:t>rely</w:t>
      </w:r>
      <w:r>
        <w:rPr>
          <w:spacing w:val="-7"/>
          <w:w w:val="95"/>
        </w:rPr>
        <w:t xml:space="preserve"> </w:t>
      </w:r>
      <w:r>
        <w:rPr>
          <w:w w:val="95"/>
        </w:rPr>
        <w:t>on</w:t>
      </w:r>
      <w:r>
        <w:rPr>
          <w:spacing w:val="-7"/>
          <w:w w:val="95"/>
        </w:rPr>
        <w:t xml:space="preserve"> </w:t>
      </w:r>
      <w:r>
        <w:rPr>
          <w:w w:val="95"/>
        </w:rPr>
        <w:t>rail</w:t>
      </w:r>
      <w:r>
        <w:rPr>
          <w:spacing w:val="-7"/>
          <w:w w:val="95"/>
        </w:rPr>
        <w:t xml:space="preserve"> </w:t>
      </w:r>
      <w:r>
        <w:rPr>
          <w:w w:val="95"/>
        </w:rPr>
        <w:t xml:space="preserve">infrastructure, </w:t>
      </w:r>
      <w:r>
        <w:t>although</w:t>
      </w:r>
      <w:r>
        <w:rPr>
          <w:spacing w:val="-10"/>
        </w:rPr>
        <w:t xml:space="preserve"> </w:t>
      </w:r>
      <w:r>
        <w:t>road</w:t>
      </w:r>
      <w:r>
        <w:rPr>
          <w:spacing w:val="-10"/>
        </w:rPr>
        <w:t xml:space="preserve"> </w:t>
      </w:r>
      <w:r>
        <w:t>will</w:t>
      </w:r>
      <w:r>
        <w:rPr>
          <w:spacing w:val="-10"/>
        </w:rPr>
        <w:t xml:space="preserve"> </w:t>
      </w:r>
      <w:r>
        <w:t>also</w:t>
      </w:r>
      <w:r>
        <w:rPr>
          <w:spacing w:val="-10"/>
        </w:rPr>
        <w:t xml:space="preserve"> </w:t>
      </w:r>
      <w:r>
        <w:t>play</w:t>
      </w:r>
      <w:r>
        <w:rPr>
          <w:spacing w:val="-10"/>
        </w:rPr>
        <w:t xml:space="preserve"> </w:t>
      </w:r>
      <w:r>
        <w:t>an</w:t>
      </w:r>
      <w:r>
        <w:rPr>
          <w:spacing w:val="-10"/>
        </w:rPr>
        <w:t xml:space="preserve"> </w:t>
      </w:r>
      <w:r>
        <w:t>important</w:t>
      </w:r>
      <w:r>
        <w:rPr>
          <w:spacing w:val="-10"/>
        </w:rPr>
        <w:t xml:space="preserve"> </w:t>
      </w:r>
      <w:r>
        <w:t>role.</w:t>
      </w:r>
    </w:p>
    <w:p w:rsidR="002C1123" w:rsidRDefault="00F22F94">
      <w:pPr>
        <w:pStyle w:val="BodyText"/>
        <w:spacing w:before="147" w:line="249" w:lineRule="auto"/>
        <w:ind w:left="186" w:right="22"/>
      </w:pPr>
      <w:r>
        <w:rPr>
          <w:w w:val="95"/>
        </w:rPr>
        <w:t>To</w:t>
      </w:r>
      <w:r>
        <w:rPr>
          <w:spacing w:val="-8"/>
          <w:w w:val="95"/>
        </w:rPr>
        <w:t xml:space="preserve"> </w:t>
      </w:r>
      <w:r>
        <w:rPr>
          <w:w w:val="95"/>
        </w:rPr>
        <w:t>meet</w:t>
      </w:r>
      <w:r>
        <w:rPr>
          <w:spacing w:val="-8"/>
          <w:w w:val="95"/>
        </w:rPr>
        <w:t xml:space="preserve"> </w:t>
      </w:r>
      <w:r>
        <w:rPr>
          <w:w w:val="95"/>
        </w:rPr>
        <w:t>this</w:t>
      </w:r>
      <w:r>
        <w:rPr>
          <w:spacing w:val="-8"/>
          <w:w w:val="95"/>
        </w:rPr>
        <w:t xml:space="preserve"> </w:t>
      </w:r>
      <w:r>
        <w:rPr>
          <w:w w:val="95"/>
        </w:rPr>
        <w:t>demand</w:t>
      </w:r>
      <w:r>
        <w:rPr>
          <w:spacing w:val="-8"/>
          <w:w w:val="95"/>
        </w:rPr>
        <w:t xml:space="preserve"> </w:t>
      </w:r>
      <w:r>
        <w:rPr>
          <w:w w:val="95"/>
        </w:rPr>
        <w:t>will</w:t>
      </w:r>
      <w:r>
        <w:rPr>
          <w:spacing w:val="-8"/>
          <w:w w:val="95"/>
        </w:rPr>
        <w:t xml:space="preserve"> </w:t>
      </w:r>
      <w:r>
        <w:rPr>
          <w:w w:val="95"/>
        </w:rPr>
        <w:t>require</w:t>
      </w:r>
      <w:r>
        <w:rPr>
          <w:spacing w:val="-8"/>
          <w:w w:val="95"/>
        </w:rPr>
        <w:t xml:space="preserve"> </w:t>
      </w:r>
      <w:r>
        <w:rPr>
          <w:w w:val="95"/>
        </w:rPr>
        <w:t>additional</w:t>
      </w:r>
      <w:r>
        <w:rPr>
          <w:spacing w:val="-8"/>
          <w:w w:val="95"/>
        </w:rPr>
        <w:t xml:space="preserve"> </w:t>
      </w:r>
      <w:r>
        <w:rPr>
          <w:w w:val="95"/>
        </w:rPr>
        <w:t>rail</w:t>
      </w:r>
      <w:r>
        <w:rPr>
          <w:spacing w:val="-8"/>
          <w:w w:val="95"/>
        </w:rPr>
        <w:t xml:space="preserve"> </w:t>
      </w:r>
      <w:r>
        <w:rPr>
          <w:w w:val="95"/>
        </w:rPr>
        <w:t xml:space="preserve">capacity </w:t>
      </w:r>
      <w:r>
        <w:t>to</w:t>
      </w:r>
      <w:r>
        <w:rPr>
          <w:spacing w:val="-14"/>
        </w:rPr>
        <w:t xml:space="preserve"> </w:t>
      </w:r>
      <w:r>
        <w:t>be</w:t>
      </w:r>
      <w:r>
        <w:rPr>
          <w:spacing w:val="-14"/>
        </w:rPr>
        <w:t xml:space="preserve"> </w:t>
      </w:r>
      <w:r>
        <w:t>developed</w:t>
      </w:r>
      <w:r>
        <w:rPr>
          <w:spacing w:val="-14"/>
        </w:rPr>
        <w:t xml:space="preserve"> </w:t>
      </w:r>
      <w:r>
        <w:t>and</w:t>
      </w:r>
      <w:r>
        <w:rPr>
          <w:spacing w:val="-14"/>
        </w:rPr>
        <w:t xml:space="preserve"> </w:t>
      </w:r>
      <w:r>
        <w:t>the</w:t>
      </w:r>
      <w:r>
        <w:rPr>
          <w:spacing w:val="-14"/>
        </w:rPr>
        <w:t xml:space="preserve"> </w:t>
      </w:r>
      <w:r>
        <w:t>network</w:t>
      </w:r>
      <w:r>
        <w:rPr>
          <w:spacing w:val="-14"/>
        </w:rPr>
        <w:t xml:space="preserve"> </w:t>
      </w:r>
      <w:r>
        <w:t>extended</w:t>
      </w:r>
      <w:r>
        <w:rPr>
          <w:spacing w:val="-14"/>
        </w:rPr>
        <w:t xml:space="preserve"> </w:t>
      </w:r>
      <w:r>
        <w:t>in</w:t>
      </w:r>
      <w:r>
        <w:rPr>
          <w:spacing w:val="-14"/>
        </w:rPr>
        <w:t xml:space="preserve"> </w:t>
      </w:r>
      <w:r>
        <w:t>a</w:t>
      </w:r>
      <w:r>
        <w:rPr>
          <w:spacing w:val="-14"/>
        </w:rPr>
        <w:t xml:space="preserve"> </w:t>
      </w:r>
      <w:r>
        <w:t>timely manner</w:t>
      </w:r>
      <w:r>
        <w:rPr>
          <w:spacing w:val="-8"/>
        </w:rPr>
        <w:t xml:space="preserve"> </w:t>
      </w:r>
      <w:r>
        <w:t>for</w:t>
      </w:r>
      <w:r>
        <w:rPr>
          <w:spacing w:val="-8"/>
        </w:rPr>
        <w:t xml:space="preserve"> </w:t>
      </w:r>
      <w:r>
        <w:t>the</w:t>
      </w:r>
      <w:r>
        <w:rPr>
          <w:spacing w:val="-8"/>
        </w:rPr>
        <w:t xml:space="preserve"> </w:t>
      </w:r>
      <w:r>
        <w:t>forecast</w:t>
      </w:r>
      <w:r>
        <w:rPr>
          <w:spacing w:val="-8"/>
        </w:rPr>
        <w:t xml:space="preserve"> </w:t>
      </w:r>
      <w:r>
        <w:t>growth</w:t>
      </w:r>
      <w:r>
        <w:rPr>
          <w:spacing w:val="-8"/>
        </w:rPr>
        <w:t xml:space="preserve"> </w:t>
      </w:r>
      <w:r>
        <w:t>in</w:t>
      </w:r>
      <w:r>
        <w:rPr>
          <w:spacing w:val="-8"/>
        </w:rPr>
        <w:t xml:space="preserve"> </w:t>
      </w:r>
      <w:r>
        <w:t>GSP.</w:t>
      </w:r>
    </w:p>
    <w:p w:rsidR="002C1123" w:rsidRDefault="00F22F94">
      <w:pPr>
        <w:pStyle w:val="Heading6"/>
        <w:spacing w:before="144"/>
        <w:ind w:left="186"/>
      </w:pPr>
      <w:r>
        <w:t>Intrastate</w:t>
      </w:r>
      <w:r>
        <w:rPr>
          <w:spacing w:val="-3"/>
        </w:rPr>
        <w:t xml:space="preserve"> </w:t>
      </w:r>
      <w:r>
        <w:t>and</w:t>
      </w:r>
      <w:r>
        <w:rPr>
          <w:spacing w:val="-3"/>
        </w:rPr>
        <w:t xml:space="preserve"> </w:t>
      </w:r>
      <w:r>
        <w:t>Interstate</w:t>
      </w:r>
      <w:r>
        <w:rPr>
          <w:spacing w:val="-3"/>
        </w:rPr>
        <w:t xml:space="preserve"> </w:t>
      </w:r>
      <w:r>
        <w:t>Freight</w:t>
      </w:r>
      <w:r>
        <w:rPr>
          <w:spacing w:val="-2"/>
        </w:rPr>
        <w:t xml:space="preserve"> Demand</w:t>
      </w:r>
    </w:p>
    <w:p w:rsidR="002C1123" w:rsidRDefault="00F22F94">
      <w:pPr>
        <w:pStyle w:val="BodyText"/>
        <w:spacing w:before="10" w:line="249" w:lineRule="auto"/>
        <w:ind w:left="186" w:right="197"/>
      </w:pPr>
      <w:r>
        <w:rPr>
          <w:w w:val="95"/>
        </w:rPr>
        <w:t>Non-export</w:t>
      </w:r>
      <w:r>
        <w:rPr>
          <w:spacing w:val="-4"/>
          <w:w w:val="95"/>
        </w:rPr>
        <w:t xml:space="preserve"> </w:t>
      </w:r>
      <w:r>
        <w:rPr>
          <w:w w:val="95"/>
        </w:rPr>
        <w:t>intrastate</w:t>
      </w:r>
      <w:r>
        <w:rPr>
          <w:spacing w:val="-4"/>
          <w:w w:val="95"/>
        </w:rPr>
        <w:t xml:space="preserve"> </w:t>
      </w:r>
      <w:r>
        <w:rPr>
          <w:w w:val="95"/>
        </w:rPr>
        <w:t>freight</w:t>
      </w:r>
      <w:r>
        <w:rPr>
          <w:spacing w:val="-4"/>
          <w:w w:val="95"/>
        </w:rPr>
        <w:t xml:space="preserve"> </w:t>
      </w:r>
      <w:r>
        <w:rPr>
          <w:w w:val="95"/>
        </w:rPr>
        <w:t>consists</w:t>
      </w:r>
      <w:r>
        <w:rPr>
          <w:spacing w:val="-4"/>
          <w:w w:val="95"/>
        </w:rPr>
        <w:t xml:space="preserve"> </w:t>
      </w:r>
      <w:r>
        <w:rPr>
          <w:w w:val="95"/>
        </w:rPr>
        <w:t>of</w:t>
      </w:r>
      <w:r>
        <w:rPr>
          <w:spacing w:val="-4"/>
          <w:w w:val="95"/>
        </w:rPr>
        <w:t xml:space="preserve"> </w:t>
      </w:r>
      <w:r>
        <w:rPr>
          <w:w w:val="95"/>
        </w:rPr>
        <w:t>the</w:t>
      </w:r>
      <w:r>
        <w:rPr>
          <w:spacing w:val="-4"/>
          <w:w w:val="95"/>
        </w:rPr>
        <w:t xml:space="preserve"> </w:t>
      </w:r>
      <w:r>
        <w:rPr>
          <w:w w:val="95"/>
        </w:rPr>
        <w:t>full</w:t>
      </w:r>
      <w:r>
        <w:rPr>
          <w:spacing w:val="-4"/>
          <w:w w:val="95"/>
        </w:rPr>
        <w:t xml:space="preserve"> </w:t>
      </w:r>
      <w:r>
        <w:rPr>
          <w:w w:val="95"/>
        </w:rPr>
        <w:t xml:space="preserve">range </w:t>
      </w:r>
      <w:r>
        <w:t>of commodities, agricultural products and goods.</w:t>
      </w:r>
    </w:p>
    <w:p w:rsidR="002C1123" w:rsidRDefault="00F22F94">
      <w:pPr>
        <w:pStyle w:val="BodyText"/>
        <w:spacing w:before="1" w:line="249" w:lineRule="auto"/>
        <w:ind w:left="186" w:right="197"/>
      </w:pPr>
      <w:r>
        <w:rPr>
          <w:w w:val="95"/>
        </w:rPr>
        <w:t>The</w:t>
      </w:r>
      <w:r>
        <w:rPr>
          <w:spacing w:val="-2"/>
          <w:w w:val="95"/>
        </w:rPr>
        <w:t xml:space="preserve"> </w:t>
      </w:r>
      <w:r>
        <w:rPr>
          <w:w w:val="95"/>
        </w:rPr>
        <w:t>largest</w:t>
      </w:r>
      <w:r>
        <w:rPr>
          <w:spacing w:val="-2"/>
          <w:w w:val="95"/>
        </w:rPr>
        <w:t xml:space="preserve"> </w:t>
      </w:r>
      <w:r>
        <w:rPr>
          <w:w w:val="95"/>
        </w:rPr>
        <w:t>categories</w:t>
      </w:r>
      <w:r>
        <w:rPr>
          <w:spacing w:val="-2"/>
          <w:w w:val="95"/>
        </w:rPr>
        <w:t xml:space="preserve"> </w:t>
      </w:r>
      <w:r>
        <w:rPr>
          <w:w w:val="95"/>
        </w:rPr>
        <w:t>of</w:t>
      </w:r>
      <w:r>
        <w:rPr>
          <w:spacing w:val="-2"/>
          <w:w w:val="95"/>
        </w:rPr>
        <w:t xml:space="preserve"> </w:t>
      </w:r>
      <w:r>
        <w:rPr>
          <w:w w:val="95"/>
        </w:rPr>
        <w:t>these</w:t>
      </w:r>
      <w:r>
        <w:rPr>
          <w:spacing w:val="-2"/>
          <w:w w:val="95"/>
        </w:rPr>
        <w:t xml:space="preserve"> </w:t>
      </w:r>
      <w:r>
        <w:rPr>
          <w:w w:val="95"/>
        </w:rPr>
        <w:t>include</w:t>
      </w:r>
      <w:r>
        <w:rPr>
          <w:spacing w:val="-2"/>
          <w:w w:val="95"/>
        </w:rPr>
        <w:t xml:space="preserve"> </w:t>
      </w:r>
      <w:r>
        <w:rPr>
          <w:w w:val="95"/>
        </w:rPr>
        <w:t xml:space="preserve">construction </w:t>
      </w:r>
      <w:r>
        <w:t>materials,</w:t>
      </w:r>
      <w:r>
        <w:rPr>
          <w:spacing w:val="-9"/>
        </w:rPr>
        <w:t xml:space="preserve"> </w:t>
      </w:r>
      <w:r>
        <w:t>domestic</w:t>
      </w:r>
      <w:r>
        <w:rPr>
          <w:spacing w:val="-9"/>
        </w:rPr>
        <w:t xml:space="preserve"> </w:t>
      </w:r>
      <w:r>
        <w:t>coal,</w:t>
      </w:r>
      <w:r>
        <w:rPr>
          <w:spacing w:val="-9"/>
        </w:rPr>
        <w:t xml:space="preserve"> </w:t>
      </w:r>
      <w:r>
        <w:t>domestic</w:t>
      </w:r>
      <w:r>
        <w:rPr>
          <w:spacing w:val="-9"/>
        </w:rPr>
        <w:t xml:space="preserve"> </w:t>
      </w:r>
      <w:r>
        <w:t>grain,</w:t>
      </w:r>
      <w:r>
        <w:rPr>
          <w:spacing w:val="-9"/>
        </w:rPr>
        <w:t xml:space="preserve"> </w:t>
      </w:r>
      <w:r>
        <w:t>metallic minerals,</w:t>
      </w:r>
      <w:r>
        <w:rPr>
          <w:spacing w:val="-9"/>
        </w:rPr>
        <w:t xml:space="preserve"> </w:t>
      </w:r>
      <w:r>
        <w:t>waste,</w:t>
      </w:r>
      <w:r>
        <w:rPr>
          <w:spacing w:val="-9"/>
        </w:rPr>
        <w:t xml:space="preserve"> </w:t>
      </w:r>
      <w:r>
        <w:t>and</w:t>
      </w:r>
      <w:r>
        <w:rPr>
          <w:spacing w:val="-9"/>
        </w:rPr>
        <w:t xml:space="preserve"> </w:t>
      </w:r>
      <w:r>
        <w:t>containerised</w:t>
      </w:r>
      <w:r>
        <w:rPr>
          <w:spacing w:val="-9"/>
        </w:rPr>
        <w:t xml:space="preserve"> </w:t>
      </w:r>
      <w:r>
        <w:t>freight.</w:t>
      </w:r>
    </w:p>
    <w:p w:rsidR="002C1123" w:rsidRDefault="00F22F94">
      <w:pPr>
        <w:pStyle w:val="BodyText"/>
        <w:spacing w:before="145" w:line="249" w:lineRule="auto"/>
        <w:ind w:left="186"/>
      </w:pPr>
      <w:r>
        <w:rPr>
          <w:w w:val="95"/>
        </w:rPr>
        <w:t>Intrastate</w:t>
      </w:r>
      <w:r>
        <w:rPr>
          <w:spacing w:val="-11"/>
          <w:w w:val="95"/>
        </w:rPr>
        <w:t xml:space="preserve"> </w:t>
      </w:r>
      <w:r>
        <w:rPr>
          <w:w w:val="95"/>
        </w:rPr>
        <w:t>freight</w:t>
      </w:r>
      <w:r>
        <w:rPr>
          <w:spacing w:val="-11"/>
          <w:w w:val="95"/>
        </w:rPr>
        <w:t xml:space="preserve"> </w:t>
      </w:r>
      <w:r>
        <w:rPr>
          <w:w w:val="95"/>
        </w:rPr>
        <w:t>relies</w:t>
      </w:r>
      <w:r>
        <w:rPr>
          <w:spacing w:val="-11"/>
          <w:w w:val="95"/>
        </w:rPr>
        <w:t xml:space="preserve"> </w:t>
      </w:r>
      <w:r>
        <w:rPr>
          <w:w w:val="95"/>
        </w:rPr>
        <w:t>predominantly</w:t>
      </w:r>
      <w:r>
        <w:rPr>
          <w:spacing w:val="-11"/>
          <w:w w:val="95"/>
        </w:rPr>
        <w:t xml:space="preserve"> </w:t>
      </w:r>
      <w:r>
        <w:rPr>
          <w:w w:val="95"/>
        </w:rPr>
        <w:t>on</w:t>
      </w:r>
      <w:r>
        <w:rPr>
          <w:spacing w:val="-11"/>
          <w:w w:val="95"/>
        </w:rPr>
        <w:t xml:space="preserve"> </w:t>
      </w:r>
      <w:r>
        <w:rPr>
          <w:w w:val="95"/>
        </w:rPr>
        <w:t>the</w:t>
      </w:r>
      <w:r>
        <w:rPr>
          <w:spacing w:val="-11"/>
          <w:w w:val="95"/>
        </w:rPr>
        <w:t xml:space="preserve"> </w:t>
      </w:r>
      <w:r>
        <w:rPr>
          <w:w w:val="95"/>
        </w:rPr>
        <w:t>State’s</w:t>
      </w:r>
      <w:r>
        <w:rPr>
          <w:spacing w:val="-11"/>
          <w:w w:val="95"/>
        </w:rPr>
        <w:t xml:space="preserve"> </w:t>
      </w:r>
      <w:r>
        <w:rPr>
          <w:w w:val="95"/>
        </w:rPr>
        <w:t xml:space="preserve">road </w:t>
      </w:r>
      <w:r>
        <w:t>networks</w:t>
      </w:r>
      <w:r>
        <w:rPr>
          <w:spacing w:val="-12"/>
        </w:rPr>
        <w:t xml:space="preserve"> </w:t>
      </w:r>
      <w:r>
        <w:t>to</w:t>
      </w:r>
      <w:r>
        <w:rPr>
          <w:spacing w:val="-12"/>
        </w:rPr>
        <w:t xml:space="preserve"> </w:t>
      </w:r>
      <w:r>
        <w:t>access</w:t>
      </w:r>
      <w:r>
        <w:rPr>
          <w:spacing w:val="-12"/>
        </w:rPr>
        <w:t xml:space="preserve"> </w:t>
      </w:r>
      <w:r>
        <w:t>local</w:t>
      </w:r>
      <w:r>
        <w:rPr>
          <w:spacing w:val="-12"/>
        </w:rPr>
        <w:t xml:space="preserve"> </w:t>
      </w:r>
      <w:r>
        <w:t>and</w:t>
      </w:r>
      <w:r>
        <w:rPr>
          <w:spacing w:val="-12"/>
        </w:rPr>
        <w:t xml:space="preserve"> </w:t>
      </w:r>
      <w:r>
        <w:t>international</w:t>
      </w:r>
      <w:r>
        <w:rPr>
          <w:spacing w:val="-12"/>
        </w:rPr>
        <w:t xml:space="preserve"> </w:t>
      </w:r>
      <w:r>
        <w:t>markets, although</w:t>
      </w:r>
      <w:r>
        <w:rPr>
          <w:spacing w:val="-10"/>
        </w:rPr>
        <w:t xml:space="preserve"> </w:t>
      </w:r>
      <w:r>
        <w:t>rail</w:t>
      </w:r>
      <w:r>
        <w:rPr>
          <w:spacing w:val="-10"/>
        </w:rPr>
        <w:t xml:space="preserve"> </w:t>
      </w:r>
      <w:r>
        <w:t>also</w:t>
      </w:r>
      <w:r>
        <w:rPr>
          <w:spacing w:val="-10"/>
        </w:rPr>
        <w:t xml:space="preserve"> </w:t>
      </w:r>
      <w:r>
        <w:t>contributes</w:t>
      </w:r>
      <w:r>
        <w:rPr>
          <w:spacing w:val="-10"/>
        </w:rPr>
        <w:t xml:space="preserve"> </w:t>
      </w:r>
      <w:r>
        <w:t>to</w:t>
      </w:r>
      <w:r>
        <w:rPr>
          <w:spacing w:val="-10"/>
        </w:rPr>
        <w:t xml:space="preserve"> </w:t>
      </w:r>
      <w:r>
        <w:t>the</w:t>
      </w:r>
      <w:r>
        <w:rPr>
          <w:spacing w:val="-10"/>
        </w:rPr>
        <w:t xml:space="preserve"> </w:t>
      </w:r>
      <w:r>
        <w:t>transport</w:t>
      </w:r>
      <w:r>
        <w:rPr>
          <w:spacing w:val="-10"/>
        </w:rPr>
        <w:t xml:space="preserve"> </w:t>
      </w:r>
      <w:r>
        <w:t>task.</w:t>
      </w:r>
    </w:p>
    <w:p w:rsidR="002C1123" w:rsidRDefault="00F22F94">
      <w:pPr>
        <w:pStyle w:val="BodyText"/>
        <w:spacing w:before="2" w:line="249" w:lineRule="auto"/>
        <w:ind w:left="186" w:right="22"/>
      </w:pPr>
      <w:r>
        <w:rPr>
          <w:w w:val="95"/>
        </w:rPr>
        <w:t xml:space="preserve">The road network is the dominant mode to access both </w:t>
      </w:r>
      <w:r>
        <w:t>Sydney</w:t>
      </w:r>
      <w:r>
        <w:rPr>
          <w:spacing w:val="-14"/>
        </w:rPr>
        <w:t xml:space="preserve"> </w:t>
      </w:r>
      <w:r>
        <w:t>and</w:t>
      </w:r>
      <w:r>
        <w:rPr>
          <w:spacing w:val="-14"/>
        </w:rPr>
        <w:t xml:space="preserve"> </w:t>
      </w:r>
      <w:r>
        <w:t>Port</w:t>
      </w:r>
      <w:r>
        <w:rPr>
          <w:spacing w:val="-14"/>
        </w:rPr>
        <w:t xml:space="preserve"> </w:t>
      </w:r>
      <w:r>
        <w:t>Botany</w:t>
      </w:r>
      <w:r>
        <w:rPr>
          <w:spacing w:val="-14"/>
        </w:rPr>
        <w:t xml:space="preserve"> </w:t>
      </w:r>
      <w:r>
        <w:t>(for</w:t>
      </w:r>
      <w:r>
        <w:rPr>
          <w:spacing w:val="-14"/>
        </w:rPr>
        <w:t xml:space="preserve"> </w:t>
      </w:r>
      <w:r>
        <w:t>export)</w:t>
      </w:r>
      <w:r>
        <w:rPr>
          <w:spacing w:val="-14"/>
        </w:rPr>
        <w:t xml:space="preserve"> </w:t>
      </w:r>
      <w:r>
        <w:t>by</w:t>
      </w:r>
      <w:r>
        <w:rPr>
          <w:spacing w:val="-14"/>
        </w:rPr>
        <w:t xml:space="preserve"> </w:t>
      </w:r>
      <w:r>
        <w:t xml:space="preserve">containerised </w:t>
      </w:r>
      <w:r>
        <w:rPr>
          <w:w w:val="95"/>
        </w:rPr>
        <w:t>freight. Productivity and efficiency constraints on these roads</w:t>
      </w:r>
      <w:r>
        <w:rPr>
          <w:spacing w:val="-1"/>
          <w:w w:val="95"/>
        </w:rPr>
        <w:t xml:space="preserve"> </w:t>
      </w:r>
      <w:r>
        <w:rPr>
          <w:w w:val="95"/>
        </w:rPr>
        <w:t>are</w:t>
      </w:r>
      <w:r>
        <w:rPr>
          <w:spacing w:val="-1"/>
          <w:w w:val="95"/>
        </w:rPr>
        <w:t xml:space="preserve"> </w:t>
      </w:r>
      <w:r>
        <w:rPr>
          <w:w w:val="95"/>
        </w:rPr>
        <w:t>common</w:t>
      </w:r>
      <w:r>
        <w:rPr>
          <w:spacing w:val="-1"/>
          <w:w w:val="95"/>
        </w:rPr>
        <w:t xml:space="preserve"> </w:t>
      </w:r>
      <w:r>
        <w:rPr>
          <w:w w:val="95"/>
        </w:rPr>
        <w:t>and</w:t>
      </w:r>
      <w:r>
        <w:rPr>
          <w:spacing w:val="-1"/>
          <w:w w:val="95"/>
        </w:rPr>
        <w:t xml:space="preserve"> </w:t>
      </w:r>
      <w:r>
        <w:rPr>
          <w:w w:val="95"/>
        </w:rPr>
        <w:t>solutions</w:t>
      </w:r>
      <w:r>
        <w:rPr>
          <w:spacing w:val="-1"/>
          <w:w w:val="95"/>
        </w:rPr>
        <w:t xml:space="preserve"> </w:t>
      </w:r>
      <w:r>
        <w:rPr>
          <w:w w:val="95"/>
        </w:rPr>
        <w:t>need</w:t>
      </w:r>
      <w:r>
        <w:rPr>
          <w:spacing w:val="-1"/>
          <w:w w:val="95"/>
        </w:rPr>
        <w:t xml:space="preserve"> </w:t>
      </w:r>
      <w:r>
        <w:rPr>
          <w:w w:val="95"/>
        </w:rPr>
        <w:t>to</w:t>
      </w:r>
      <w:r>
        <w:rPr>
          <w:spacing w:val="-1"/>
          <w:w w:val="95"/>
        </w:rPr>
        <w:t xml:space="preserve"> </w:t>
      </w:r>
      <w:r>
        <w:rPr>
          <w:w w:val="95"/>
        </w:rPr>
        <w:t>be</w:t>
      </w:r>
      <w:r>
        <w:rPr>
          <w:spacing w:val="-1"/>
          <w:w w:val="95"/>
        </w:rPr>
        <w:t xml:space="preserve"> </w:t>
      </w:r>
      <w:r>
        <w:rPr>
          <w:w w:val="95"/>
        </w:rPr>
        <w:t>focused</w:t>
      </w:r>
      <w:r>
        <w:rPr>
          <w:spacing w:val="-1"/>
          <w:w w:val="95"/>
        </w:rPr>
        <w:t xml:space="preserve"> </w:t>
      </w:r>
      <w:r>
        <w:rPr>
          <w:w w:val="95"/>
        </w:rPr>
        <w:t xml:space="preserve">on increasing access of High Productivity Vehicles (HPV) </w:t>
      </w:r>
      <w:r>
        <w:t>and</w:t>
      </w:r>
      <w:r>
        <w:rPr>
          <w:spacing w:val="-14"/>
        </w:rPr>
        <w:t xml:space="preserve"> </w:t>
      </w:r>
      <w:r>
        <w:t>High</w:t>
      </w:r>
      <w:r>
        <w:rPr>
          <w:spacing w:val="-14"/>
        </w:rPr>
        <w:t xml:space="preserve"> </w:t>
      </w:r>
      <w:r>
        <w:t>Mass</w:t>
      </w:r>
      <w:r>
        <w:rPr>
          <w:spacing w:val="-14"/>
        </w:rPr>
        <w:t xml:space="preserve"> </w:t>
      </w:r>
      <w:r>
        <w:t>Limit</w:t>
      </w:r>
      <w:r>
        <w:rPr>
          <w:spacing w:val="-14"/>
        </w:rPr>
        <w:t xml:space="preserve"> </w:t>
      </w:r>
      <w:r>
        <w:t>(HML)</w:t>
      </w:r>
      <w:r>
        <w:rPr>
          <w:spacing w:val="-14"/>
        </w:rPr>
        <w:t xml:space="preserve"> </w:t>
      </w:r>
      <w:r>
        <w:t>vehicles</w:t>
      </w:r>
      <w:r>
        <w:rPr>
          <w:spacing w:val="-14"/>
        </w:rPr>
        <w:t xml:space="preserve"> </w:t>
      </w:r>
      <w:r>
        <w:t>to</w:t>
      </w:r>
      <w:r>
        <w:rPr>
          <w:spacing w:val="-14"/>
        </w:rPr>
        <w:t xml:space="preserve"> </w:t>
      </w:r>
      <w:r>
        <w:t>specific corridors</w:t>
      </w:r>
      <w:r>
        <w:rPr>
          <w:spacing w:val="-11"/>
        </w:rPr>
        <w:t xml:space="preserve"> </w:t>
      </w:r>
      <w:r>
        <w:t>for</w:t>
      </w:r>
      <w:r>
        <w:rPr>
          <w:spacing w:val="-11"/>
        </w:rPr>
        <w:t xml:space="preserve"> </w:t>
      </w:r>
      <w:r>
        <w:t>the</w:t>
      </w:r>
      <w:r>
        <w:rPr>
          <w:spacing w:val="-11"/>
        </w:rPr>
        <w:t xml:space="preserve"> </w:t>
      </w:r>
      <w:r>
        <w:t>major</w:t>
      </w:r>
      <w:r>
        <w:rPr>
          <w:spacing w:val="-11"/>
        </w:rPr>
        <w:t xml:space="preserve"> </w:t>
      </w:r>
      <w:r>
        <w:t>supply</w:t>
      </w:r>
      <w:r>
        <w:rPr>
          <w:spacing w:val="-11"/>
        </w:rPr>
        <w:t xml:space="preserve"> </w:t>
      </w:r>
      <w:r>
        <w:t>chains</w:t>
      </w:r>
      <w:r>
        <w:rPr>
          <w:spacing w:val="-11"/>
        </w:rPr>
        <w:t xml:space="preserve"> </w:t>
      </w:r>
      <w:r>
        <w:t>to</w:t>
      </w:r>
      <w:r>
        <w:rPr>
          <w:spacing w:val="-11"/>
        </w:rPr>
        <w:t xml:space="preserve"> </w:t>
      </w:r>
      <w:r>
        <w:t>enhance</w:t>
      </w:r>
      <w:r>
        <w:rPr>
          <w:spacing w:val="-11"/>
        </w:rPr>
        <w:t xml:space="preserve"> </w:t>
      </w:r>
      <w:r>
        <w:t>the competitiveness</w:t>
      </w:r>
      <w:r>
        <w:rPr>
          <w:spacing w:val="-8"/>
        </w:rPr>
        <w:t xml:space="preserve"> </w:t>
      </w:r>
      <w:r>
        <w:t>of</w:t>
      </w:r>
      <w:r>
        <w:rPr>
          <w:spacing w:val="-8"/>
        </w:rPr>
        <w:t xml:space="preserve"> </w:t>
      </w:r>
      <w:r>
        <w:t>the</w:t>
      </w:r>
      <w:r>
        <w:rPr>
          <w:spacing w:val="-8"/>
        </w:rPr>
        <w:t xml:space="preserve"> </w:t>
      </w:r>
      <w:r>
        <w:t>regional</w:t>
      </w:r>
      <w:r>
        <w:rPr>
          <w:spacing w:val="-8"/>
        </w:rPr>
        <w:t xml:space="preserve"> </w:t>
      </w:r>
      <w:r>
        <w:t>suppliers.</w:t>
      </w:r>
    </w:p>
    <w:p w:rsidR="002C1123" w:rsidRDefault="00F22F94">
      <w:pPr>
        <w:pStyle w:val="BodyText"/>
        <w:spacing w:before="149" w:line="249" w:lineRule="auto"/>
        <w:ind w:left="186" w:right="-5"/>
      </w:pPr>
      <w:r>
        <w:t>The</w:t>
      </w:r>
      <w:r>
        <w:rPr>
          <w:spacing w:val="-14"/>
        </w:rPr>
        <w:t xml:space="preserve"> </w:t>
      </w:r>
      <w:r>
        <w:t>interstate</w:t>
      </w:r>
      <w:r>
        <w:rPr>
          <w:spacing w:val="-14"/>
        </w:rPr>
        <w:t xml:space="preserve"> </w:t>
      </w:r>
      <w:r>
        <w:t>freight</w:t>
      </w:r>
      <w:r>
        <w:rPr>
          <w:spacing w:val="-14"/>
        </w:rPr>
        <w:t xml:space="preserve"> </w:t>
      </w:r>
      <w:r>
        <w:t>task</w:t>
      </w:r>
      <w:r>
        <w:rPr>
          <w:spacing w:val="-14"/>
        </w:rPr>
        <w:t xml:space="preserve"> </w:t>
      </w:r>
      <w:r>
        <w:t>is</w:t>
      </w:r>
      <w:r>
        <w:rPr>
          <w:spacing w:val="-14"/>
        </w:rPr>
        <w:t xml:space="preserve"> </w:t>
      </w:r>
      <w:r>
        <w:t>also</w:t>
      </w:r>
      <w:r>
        <w:rPr>
          <w:spacing w:val="-14"/>
        </w:rPr>
        <w:t xml:space="preserve"> </w:t>
      </w:r>
      <w:r>
        <w:t>significant. Approximately</w:t>
      </w:r>
      <w:r>
        <w:rPr>
          <w:spacing w:val="-14"/>
        </w:rPr>
        <w:t xml:space="preserve"> </w:t>
      </w:r>
      <w:r>
        <w:t>60</w:t>
      </w:r>
      <w:r>
        <w:rPr>
          <w:spacing w:val="-14"/>
        </w:rPr>
        <w:t xml:space="preserve"> </w:t>
      </w:r>
      <w:r>
        <w:t>million</w:t>
      </w:r>
      <w:r>
        <w:rPr>
          <w:spacing w:val="-14"/>
        </w:rPr>
        <w:t xml:space="preserve"> </w:t>
      </w:r>
      <w:r>
        <w:t>tonnes</w:t>
      </w:r>
      <w:r>
        <w:rPr>
          <w:spacing w:val="-14"/>
        </w:rPr>
        <w:t xml:space="preserve"> </w:t>
      </w:r>
      <w:r>
        <w:t>per</w:t>
      </w:r>
      <w:r>
        <w:rPr>
          <w:spacing w:val="-14"/>
        </w:rPr>
        <w:t xml:space="preserve"> </w:t>
      </w:r>
      <w:r>
        <w:t>annum</w:t>
      </w:r>
      <w:r>
        <w:rPr>
          <w:spacing w:val="-14"/>
        </w:rPr>
        <w:t xml:space="preserve"> </w:t>
      </w:r>
      <w:r>
        <w:t>of</w:t>
      </w:r>
      <w:r>
        <w:rPr>
          <w:spacing w:val="-14"/>
        </w:rPr>
        <w:t xml:space="preserve"> </w:t>
      </w:r>
      <w:r>
        <w:t>freight</w:t>
      </w:r>
      <w:r>
        <w:rPr>
          <w:spacing w:val="-14"/>
        </w:rPr>
        <w:t xml:space="preserve"> </w:t>
      </w:r>
      <w:r>
        <w:t xml:space="preserve">is </w:t>
      </w:r>
      <w:r>
        <w:rPr>
          <w:w w:val="95"/>
        </w:rPr>
        <w:t>moved to and from</w:t>
      </w:r>
      <w:r>
        <w:rPr>
          <w:spacing w:val="-1"/>
          <w:w w:val="95"/>
        </w:rPr>
        <w:t xml:space="preserve"> </w:t>
      </w:r>
      <w:r>
        <w:rPr>
          <w:w w:val="95"/>
        </w:rPr>
        <w:t xml:space="preserve">NSW comprising some 20 percent of </w:t>
      </w:r>
      <w:r>
        <w:t>the</w:t>
      </w:r>
      <w:r>
        <w:rPr>
          <w:spacing w:val="-8"/>
        </w:rPr>
        <w:t xml:space="preserve"> </w:t>
      </w:r>
      <w:r>
        <w:t>total</w:t>
      </w:r>
      <w:r>
        <w:rPr>
          <w:spacing w:val="-8"/>
        </w:rPr>
        <w:t xml:space="preserve"> </w:t>
      </w:r>
      <w:r>
        <w:t>state</w:t>
      </w:r>
      <w:r>
        <w:rPr>
          <w:spacing w:val="-8"/>
        </w:rPr>
        <w:t xml:space="preserve"> </w:t>
      </w:r>
      <w:r>
        <w:t>freight</w:t>
      </w:r>
      <w:r>
        <w:rPr>
          <w:spacing w:val="-8"/>
        </w:rPr>
        <w:t xml:space="preserve"> </w:t>
      </w:r>
      <w:r>
        <w:t>task</w:t>
      </w:r>
      <w:r>
        <w:rPr>
          <w:spacing w:val="-8"/>
        </w:rPr>
        <w:t xml:space="preserve"> </w:t>
      </w:r>
      <w:r>
        <w:t>by</w:t>
      </w:r>
      <w:r>
        <w:rPr>
          <w:spacing w:val="-8"/>
        </w:rPr>
        <w:t xml:space="preserve"> </w:t>
      </w:r>
      <w:r>
        <w:t>volume</w:t>
      </w:r>
      <w:r>
        <w:rPr>
          <w:position w:val="7"/>
          <w:sz w:val="11"/>
        </w:rPr>
        <w:t>16</w:t>
      </w:r>
      <w:r>
        <w:t>.</w:t>
      </w:r>
    </w:p>
    <w:p w:rsidR="002C1123" w:rsidRDefault="00F22F94">
      <w:pPr>
        <w:pStyle w:val="BodyText"/>
        <w:spacing w:before="106" w:line="249" w:lineRule="auto"/>
        <w:ind w:left="215" w:right="785"/>
      </w:pPr>
      <w:r>
        <w:br w:type="column"/>
      </w:r>
      <w:r>
        <w:rPr>
          <w:spacing w:val="-2"/>
        </w:rPr>
        <w:t>The</w:t>
      </w:r>
      <w:r>
        <w:rPr>
          <w:spacing w:val="-6"/>
        </w:rPr>
        <w:t xml:space="preserve"> </w:t>
      </w:r>
      <w:r>
        <w:rPr>
          <w:spacing w:val="-2"/>
        </w:rPr>
        <w:t>dominant</w:t>
      </w:r>
      <w:r>
        <w:rPr>
          <w:spacing w:val="-6"/>
        </w:rPr>
        <w:t xml:space="preserve"> </w:t>
      </w:r>
      <w:r>
        <w:rPr>
          <w:spacing w:val="-2"/>
        </w:rPr>
        <w:t>corridors</w:t>
      </w:r>
      <w:r>
        <w:rPr>
          <w:spacing w:val="-6"/>
        </w:rPr>
        <w:t xml:space="preserve"> </w:t>
      </w:r>
      <w:r>
        <w:rPr>
          <w:spacing w:val="-2"/>
        </w:rPr>
        <w:t>of</w:t>
      </w:r>
      <w:r>
        <w:rPr>
          <w:spacing w:val="-6"/>
        </w:rPr>
        <w:t xml:space="preserve"> </w:t>
      </w:r>
      <w:r>
        <w:rPr>
          <w:spacing w:val="-2"/>
        </w:rPr>
        <w:t>interstate</w:t>
      </w:r>
      <w:r>
        <w:rPr>
          <w:spacing w:val="-6"/>
        </w:rPr>
        <w:t xml:space="preserve"> </w:t>
      </w:r>
      <w:r>
        <w:rPr>
          <w:spacing w:val="-2"/>
        </w:rPr>
        <w:t>freight</w:t>
      </w:r>
      <w:r>
        <w:rPr>
          <w:spacing w:val="-6"/>
        </w:rPr>
        <w:t xml:space="preserve"> </w:t>
      </w:r>
      <w:r>
        <w:rPr>
          <w:spacing w:val="-2"/>
        </w:rPr>
        <w:t>are</w:t>
      </w:r>
      <w:r>
        <w:rPr>
          <w:spacing w:val="-6"/>
        </w:rPr>
        <w:t xml:space="preserve"> </w:t>
      </w:r>
      <w:r>
        <w:rPr>
          <w:spacing w:val="-2"/>
        </w:rPr>
        <w:t xml:space="preserve">the </w:t>
      </w:r>
      <w:r>
        <w:t>pairs</w:t>
      </w:r>
      <w:r>
        <w:rPr>
          <w:spacing w:val="-11"/>
        </w:rPr>
        <w:t xml:space="preserve"> </w:t>
      </w:r>
      <w:r>
        <w:t>of</w:t>
      </w:r>
      <w:r>
        <w:rPr>
          <w:spacing w:val="-11"/>
        </w:rPr>
        <w:t xml:space="preserve"> </w:t>
      </w:r>
      <w:r>
        <w:t>Sydney</w:t>
      </w:r>
      <w:r>
        <w:rPr>
          <w:spacing w:val="-11"/>
        </w:rPr>
        <w:t xml:space="preserve"> </w:t>
      </w:r>
      <w:r>
        <w:t>and</w:t>
      </w:r>
      <w:r>
        <w:rPr>
          <w:spacing w:val="-11"/>
        </w:rPr>
        <w:t xml:space="preserve"> </w:t>
      </w:r>
      <w:r>
        <w:t>Melbourne</w:t>
      </w:r>
      <w:r>
        <w:rPr>
          <w:spacing w:val="-11"/>
        </w:rPr>
        <w:t xml:space="preserve"> </w:t>
      </w:r>
      <w:r>
        <w:t>and</w:t>
      </w:r>
      <w:r>
        <w:rPr>
          <w:spacing w:val="-11"/>
        </w:rPr>
        <w:t xml:space="preserve"> </w:t>
      </w:r>
      <w:r>
        <w:t>Sydney</w:t>
      </w:r>
      <w:r>
        <w:rPr>
          <w:spacing w:val="-11"/>
        </w:rPr>
        <w:t xml:space="preserve"> </w:t>
      </w:r>
      <w:r>
        <w:t xml:space="preserve">and </w:t>
      </w:r>
      <w:r>
        <w:rPr>
          <w:w w:val="95"/>
        </w:rPr>
        <w:t>Brisbane.</w:t>
      </w:r>
      <w:r>
        <w:rPr>
          <w:spacing w:val="-3"/>
          <w:w w:val="95"/>
        </w:rPr>
        <w:t xml:space="preserve"> </w:t>
      </w:r>
      <w:r>
        <w:rPr>
          <w:w w:val="95"/>
        </w:rPr>
        <w:t>Of</w:t>
      </w:r>
      <w:r>
        <w:rPr>
          <w:spacing w:val="-3"/>
          <w:w w:val="95"/>
        </w:rPr>
        <w:t xml:space="preserve"> </w:t>
      </w:r>
      <w:r>
        <w:rPr>
          <w:w w:val="95"/>
        </w:rPr>
        <w:t>this</w:t>
      </w:r>
      <w:r>
        <w:rPr>
          <w:spacing w:val="-3"/>
          <w:w w:val="95"/>
        </w:rPr>
        <w:t xml:space="preserve"> </w:t>
      </w:r>
      <w:r>
        <w:rPr>
          <w:w w:val="95"/>
        </w:rPr>
        <w:t>freight</w:t>
      </w:r>
      <w:r>
        <w:rPr>
          <w:spacing w:val="-3"/>
          <w:w w:val="95"/>
        </w:rPr>
        <w:t xml:space="preserve"> </w:t>
      </w:r>
      <w:r>
        <w:rPr>
          <w:w w:val="95"/>
        </w:rPr>
        <w:t>task,</w:t>
      </w:r>
      <w:r>
        <w:rPr>
          <w:spacing w:val="-3"/>
          <w:w w:val="95"/>
        </w:rPr>
        <w:t xml:space="preserve"> </w:t>
      </w:r>
      <w:r>
        <w:rPr>
          <w:w w:val="95"/>
        </w:rPr>
        <w:t>the</w:t>
      </w:r>
      <w:r>
        <w:rPr>
          <w:spacing w:val="-3"/>
          <w:w w:val="95"/>
        </w:rPr>
        <w:t xml:space="preserve"> </w:t>
      </w:r>
      <w:r>
        <w:rPr>
          <w:w w:val="95"/>
        </w:rPr>
        <w:t>primary</w:t>
      </w:r>
      <w:r>
        <w:rPr>
          <w:spacing w:val="-3"/>
          <w:w w:val="95"/>
        </w:rPr>
        <w:t xml:space="preserve"> </w:t>
      </w:r>
      <w:r>
        <w:rPr>
          <w:w w:val="95"/>
        </w:rPr>
        <w:t>method</w:t>
      </w:r>
      <w:r>
        <w:rPr>
          <w:spacing w:val="-3"/>
          <w:w w:val="95"/>
        </w:rPr>
        <w:t xml:space="preserve"> </w:t>
      </w:r>
      <w:r>
        <w:rPr>
          <w:w w:val="95"/>
        </w:rPr>
        <w:t>of</w:t>
      </w:r>
    </w:p>
    <w:p w:rsidR="002C1123" w:rsidRDefault="00F22F94">
      <w:pPr>
        <w:pStyle w:val="BodyText"/>
        <w:spacing w:before="2" w:line="249" w:lineRule="auto"/>
        <w:ind w:left="215" w:right="727"/>
        <w:jc w:val="both"/>
      </w:pPr>
      <w:r>
        <w:rPr>
          <w:w w:val="95"/>
        </w:rPr>
        <w:t>transport is road with over 80 percent, followed by rail at approximately</w:t>
      </w:r>
      <w:r>
        <w:rPr>
          <w:spacing w:val="-2"/>
          <w:w w:val="95"/>
        </w:rPr>
        <w:t xml:space="preserve"> </w:t>
      </w:r>
      <w:r>
        <w:rPr>
          <w:w w:val="95"/>
        </w:rPr>
        <w:t>10</w:t>
      </w:r>
      <w:r>
        <w:rPr>
          <w:spacing w:val="-2"/>
          <w:w w:val="95"/>
        </w:rPr>
        <w:t xml:space="preserve"> </w:t>
      </w:r>
      <w:r>
        <w:rPr>
          <w:w w:val="95"/>
        </w:rPr>
        <w:t>percent</w:t>
      </w:r>
      <w:r>
        <w:rPr>
          <w:spacing w:val="-2"/>
          <w:w w:val="95"/>
        </w:rPr>
        <w:t xml:space="preserve"> </w:t>
      </w:r>
      <w:r>
        <w:rPr>
          <w:w w:val="95"/>
        </w:rPr>
        <w:t>and</w:t>
      </w:r>
      <w:r>
        <w:rPr>
          <w:spacing w:val="-2"/>
          <w:w w:val="95"/>
        </w:rPr>
        <w:t xml:space="preserve"> </w:t>
      </w:r>
      <w:r>
        <w:rPr>
          <w:w w:val="95"/>
        </w:rPr>
        <w:t>then</w:t>
      </w:r>
      <w:r>
        <w:rPr>
          <w:spacing w:val="-2"/>
          <w:w w:val="95"/>
        </w:rPr>
        <w:t xml:space="preserve"> </w:t>
      </w:r>
      <w:r>
        <w:rPr>
          <w:w w:val="95"/>
        </w:rPr>
        <w:t>sea</w:t>
      </w:r>
      <w:r>
        <w:rPr>
          <w:spacing w:val="-2"/>
          <w:w w:val="95"/>
        </w:rPr>
        <w:t xml:space="preserve"> </w:t>
      </w:r>
      <w:r>
        <w:rPr>
          <w:w w:val="95"/>
        </w:rPr>
        <w:t>and</w:t>
      </w:r>
      <w:r>
        <w:rPr>
          <w:spacing w:val="-2"/>
          <w:w w:val="95"/>
        </w:rPr>
        <w:t xml:space="preserve"> </w:t>
      </w:r>
      <w:r>
        <w:rPr>
          <w:w w:val="95"/>
        </w:rPr>
        <w:t>air</w:t>
      </w:r>
      <w:r>
        <w:rPr>
          <w:spacing w:val="-2"/>
          <w:w w:val="95"/>
        </w:rPr>
        <w:t xml:space="preserve"> </w:t>
      </w:r>
      <w:r>
        <w:rPr>
          <w:w w:val="95"/>
        </w:rPr>
        <w:t>freight</w:t>
      </w:r>
      <w:r>
        <w:rPr>
          <w:spacing w:val="-2"/>
          <w:w w:val="95"/>
        </w:rPr>
        <w:t xml:space="preserve"> </w:t>
      </w:r>
      <w:r>
        <w:rPr>
          <w:w w:val="95"/>
        </w:rPr>
        <w:t>on a</w:t>
      </w:r>
      <w:r>
        <w:rPr>
          <w:spacing w:val="-7"/>
          <w:w w:val="95"/>
        </w:rPr>
        <w:t xml:space="preserve"> </w:t>
      </w:r>
      <w:r>
        <w:rPr>
          <w:w w:val="95"/>
        </w:rPr>
        <w:t>mass</w:t>
      </w:r>
      <w:r>
        <w:rPr>
          <w:spacing w:val="-7"/>
          <w:w w:val="95"/>
        </w:rPr>
        <w:t xml:space="preserve"> </w:t>
      </w:r>
      <w:r>
        <w:rPr>
          <w:w w:val="95"/>
        </w:rPr>
        <w:t>tonnes</w:t>
      </w:r>
      <w:r>
        <w:rPr>
          <w:spacing w:val="-7"/>
          <w:w w:val="95"/>
        </w:rPr>
        <w:t xml:space="preserve"> </w:t>
      </w:r>
      <w:r>
        <w:rPr>
          <w:w w:val="95"/>
        </w:rPr>
        <w:t>basis.</w:t>
      </w:r>
      <w:r>
        <w:rPr>
          <w:spacing w:val="-7"/>
          <w:w w:val="95"/>
        </w:rPr>
        <w:t xml:space="preserve"> </w:t>
      </w:r>
      <w:r>
        <w:rPr>
          <w:w w:val="95"/>
        </w:rPr>
        <w:t>The</w:t>
      </w:r>
      <w:r>
        <w:rPr>
          <w:spacing w:val="-7"/>
          <w:w w:val="95"/>
        </w:rPr>
        <w:t xml:space="preserve"> </w:t>
      </w:r>
      <w:r>
        <w:rPr>
          <w:w w:val="95"/>
        </w:rPr>
        <w:t>large</w:t>
      </w:r>
      <w:r>
        <w:rPr>
          <w:spacing w:val="-7"/>
          <w:w w:val="95"/>
        </w:rPr>
        <w:t xml:space="preserve"> </w:t>
      </w:r>
      <w:r>
        <w:rPr>
          <w:w w:val="95"/>
        </w:rPr>
        <w:t>road</w:t>
      </w:r>
      <w:r>
        <w:rPr>
          <w:spacing w:val="-7"/>
          <w:w w:val="95"/>
        </w:rPr>
        <w:t xml:space="preserve"> </w:t>
      </w:r>
      <w:r>
        <w:rPr>
          <w:w w:val="95"/>
        </w:rPr>
        <w:t>freight</w:t>
      </w:r>
      <w:r>
        <w:rPr>
          <w:spacing w:val="-7"/>
          <w:w w:val="95"/>
        </w:rPr>
        <w:t xml:space="preserve"> </w:t>
      </w:r>
      <w:r>
        <w:rPr>
          <w:w w:val="95"/>
        </w:rPr>
        <w:t>task</w:t>
      </w:r>
      <w:r>
        <w:rPr>
          <w:spacing w:val="-7"/>
          <w:w w:val="95"/>
        </w:rPr>
        <w:t xml:space="preserve"> </w:t>
      </w:r>
      <w:r>
        <w:rPr>
          <w:w w:val="95"/>
        </w:rPr>
        <w:t>is</w:t>
      </w:r>
      <w:r>
        <w:rPr>
          <w:spacing w:val="-7"/>
          <w:w w:val="95"/>
        </w:rPr>
        <w:t xml:space="preserve"> </w:t>
      </w:r>
      <w:r>
        <w:rPr>
          <w:w w:val="95"/>
        </w:rPr>
        <w:t xml:space="preserve">based </w:t>
      </w:r>
      <w:r>
        <w:t>on</w:t>
      </w:r>
      <w:r>
        <w:rPr>
          <w:spacing w:val="-13"/>
        </w:rPr>
        <w:t xml:space="preserve"> </w:t>
      </w:r>
      <w:r>
        <w:t>overnight</w:t>
      </w:r>
      <w:r>
        <w:rPr>
          <w:spacing w:val="-13"/>
        </w:rPr>
        <w:t xml:space="preserve"> </w:t>
      </w:r>
      <w:r>
        <w:t>and</w:t>
      </w:r>
      <w:r>
        <w:rPr>
          <w:spacing w:val="-13"/>
        </w:rPr>
        <w:t xml:space="preserve"> </w:t>
      </w:r>
      <w:r>
        <w:t>‘just</w:t>
      </w:r>
      <w:r>
        <w:rPr>
          <w:spacing w:val="-13"/>
        </w:rPr>
        <w:t xml:space="preserve"> </w:t>
      </w:r>
      <w:r>
        <w:t>in</w:t>
      </w:r>
      <w:r>
        <w:rPr>
          <w:spacing w:val="-13"/>
        </w:rPr>
        <w:t xml:space="preserve"> </w:t>
      </w:r>
      <w:r>
        <w:t>time’</w:t>
      </w:r>
      <w:r>
        <w:rPr>
          <w:spacing w:val="-13"/>
        </w:rPr>
        <w:t xml:space="preserve"> </w:t>
      </w:r>
      <w:r>
        <w:t>delivery</w:t>
      </w:r>
      <w:r>
        <w:rPr>
          <w:spacing w:val="-13"/>
        </w:rPr>
        <w:t xml:space="preserve"> </w:t>
      </w:r>
      <w:r>
        <w:t>requirements.</w:t>
      </w:r>
    </w:p>
    <w:p w:rsidR="002C1123" w:rsidRDefault="00F22F94">
      <w:pPr>
        <w:pStyle w:val="BodyText"/>
        <w:spacing w:before="145" w:line="249" w:lineRule="auto"/>
        <w:ind w:left="215" w:right="655"/>
      </w:pPr>
      <w:r>
        <w:t>Demand</w:t>
      </w:r>
      <w:r>
        <w:rPr>
          <w:spacing w:val="-13"/>
        </w:rPr>
        <w:t xml:space="preserve"> </w:t>
      </w:r>
      <w:r>
        <w:t>over</w:t>
      </w:r>
      <w:r>
        <w:rPr>
          <w:spacing w:val="-13"/>
        </w:rPr>
        <w:t xml:space="preserve"> </w:t>
      </w:r>
      <w:r>
        <w:t>the</w:t>
      </w:r>
      <w:r>
        <w:rPr>
          <w:spacing w:val="-13"/>
        </w:rPr>
        <w:t xml:space="preserve"> </w:t>
      </w:r>
      <w:r>
        <w:t>next</w:t>
      </w:r>
      <w:r>
        <w:rPr>
          <w:spacing w:val="-13"/>
        </w:rPr>
        <w:t xml:space="preserve"> </w:t>
      </w:r>
      <w:r>
        <w:t>20</w:t>
      </w:r>
      <w:r>
        <w:rPr>
          <w:spacing w:val="-13"/>
        </w:rPr>
        <w:t xml:space="preserve"> </w:t>
      </w:r>
      <w:r>
        <w:t>years</w:t>
      </w:r>
      <w:r>
        <w:rPr>
          <w:spacing w:val="-13"/>
        </w:rPr>
        <w:t xml:space="preserve"> </w:t>
      </w:r>
      <w:r>
        <w:t>is</w:t>
      </w:r>
      <w:r>
        <w:rPr>
          <w:spacing w:val="-13"/>
        </w:rPr>
        <w:t xml:space="preserve"> </w:t>
      </w:r>
      <w:r>
        <w:t>expected</w:t>
      </w:r>
      <w:r>
        <w:rPr>
          <w:spacing w:val="-13"/>
        </w:rPr>
        <w:t xml:space="preserve"> </w:t>
      </w:r>
      <w:r>
        <w:t>to</w:t>
      </w:r>
      <w:r>
        <w:rPr>
          <w:spacing w:val="-13"/>
        </w:rPr>
        <w:t xml:space="preserve"> </w:t>
      </w:r>
      <w:r>
        <w:t>see</w:t>
      </w:r>
      <w:r>
        <w:rPr>
          <w:spacing w:val="-13"/>
        </w:rPr>
        <w:t xml:space="preserve"> </w:t>
      </w:r>
      <w:r>
        <w:t xml:space="preserve">the </w:t>
      </w:r>
      <w:r>
        <w:rPr>
          <w:w w:val="95"/>
        </w:rPr>
        <w:t>interstate</w:t>
      </w:r>
      <w:r>
        <w:rPr>
          <w:spacing w:val="-1"/>
          <w:w w:val="95"/>
        </w:rPr>
        <w:t xml:space="preserve"> </w:t>
      </w:r>
      <w:r>
        <w:rPr>
          <w:w w:val="95"/>
        </w:rPr>
        <w:t>freight</w:t>
      </w:r>
      <w:r>
        <w:rPr>
          <w:spacing w:val="-1"/>
          <w:w w:val="95"/>
        </w:rPr>
        <w:t xml:space="preserve"> </w:t>
      </w:r>
      <w:r>
        <w:rPr>
          <w:w w:val="95"/>
        </w:rPr>
        <w:t>task</w:t>
      </w:r>
      <w:r>
        <w:rPr>
          <w:spacing w:val="-1"/>
          <w:w w:val="95"/>
        </w:rPr>
        <w:t xml:space="preserve"> </w:t>
      </w:r>
      <w:r>
        <w:rPr>
          <w:w w:val="95"/>
        </w:rPr>
        <w:t>more</w:t>
      </w:r>
      <w:r>
        <w:rPr>
          <w:spacing w:val="-1"/>
          <w:w w:val="95"/>
        </w:rPr>
        <w:t xml:space="preserve"> </w:t>
      </w:r>
      <w:r>
        <w:rPr>
          <w:w w:val="95"/>
        </w:rPr>
        <w:t>than</w:t>
      </w:r>
      <w:r>
        <w:rPr>
          <w:spacing w:val="-1"/>
          <w:w w:val="95"/>
        </w:rPr>
        <w:t xml:space="preserve"> </w:t>
      </w:r>
      <w:r>
        <w:rPr>
          <w:w w:val="95"/>
        </w:rPr>
        <w:t>double</w:t>
      </w:r>
      <w:r>
        <w:rPr>
          <w:spacing w:val="-1"/>
          <w:w w:val="95"/>
        </w:rPr>
        <w:t xml:space="preserve"> </w:t>
      </w:r>
      <w:r>
        <w:rPr>
          <w:w w:val="95"/>
        </w:rPr>
        <w:t>by</w:t>
      </w:r>
      <w:r>
        <w:rPr>
          <w:spacing w:val="-1"/>
          <w:w w:val="95"/>
        </w:rPr>
        <w:t xml:space="preserve"> </w:t>
      </w:r>
      <w:r>
        <w:rPr>
          <w:w w:val="95"/>
        </w:rPr>
        <w:t>2031</w:t>
      </w:r>
      <w:r>
        <w:rPr>
          <w:w w:val="95"/>
          <w:position w:val="7"/>
          <w:sz w:val="11"/>
        </w:rPr>
        <w:t>17</w:t>
      </w:r>
      <w:r>
        <w:rPr>
          <w:w w:val="95"/>
        </w:rPr>
        <w:t>.</w:t>
      </w:r>
      <w:r>
        <w:rPr>
          <w:spacing w:val="-1"/>
          <w:w w:val="95"/>
        </w:rPr>
        <w:t xml:space="preserve"> </w:t>
      </w:r>
      <w:r>
        <w:rPr>
          <w:w w:val="95"/>
        </w:rPr>
        <w:t>Road freight</w:t>
      </w:r>
      <w:r>
        <w:rPr>
          <w:spacing w:val="-4"/>
          <w:w w:val="95"/>
        </w:rPr>
        <w:t xml:space="preserve"> </w:t>
      </w:r>
      <w:r>
        <w:rPr>
          <w:w w:val="95"/>
        </w:rPr>
        <w:t>is</w:t>
      </w:r>
      <w:r>
        <w:rPr>
          <w:spacing w:val="-4"/>
          <w:w w:val="95"/>
        </w:rPr>
        <w:t xml:space="preserve"> </w:t>
      </w:r>
      <w:r>
        <w:rPr>
          <w:w w:val="95"/>
        </w:rPr>
        <w:t>expected</w:t>
      </w:r>
      <w:r>
        <w:rPr>
          <w:spacing w:val="-4"/>
          <w:w w:val="95"/>
        </w:rPr>
        <w:t xml:space="preserve"> </w:t>
      </w:r>
      <w:r>
        <w:rPr>
          <w:w w:val="95"/>
        </w:rPr>
        <w:t>to</w:t>
      </w:r>
      <w:r>
        <w:rPr>
          <w:spacing w:val="-4"/>
          <w:w w:val="95"/>
        </w:rPr>
        <w:t xml:space="preserve"> </w:t>
      </w:r>
      <w:r>
        <w:rPr>
          <w:w w:val="95"/>
        </w:rPr>
        <w:t>continue</w:t>
      </w:r>
      <w:r>
        <w:rPr>
          <w:spacing w:val="-4"/>
          <w:w w:val="95"/>
        </w:rPr>
        <w:t xml:space="preserve"> </w:t>
      </w:r>
      <w:r>
        <w:rPr>
          <w:w w:val="95"/>
        </w:rPr>
        <w:t>to</w:t>
      </w:r>
      <w:r>
        <w:rPr>
          <w:spacing w:val="-4"/>
          <w:w w:val="95"/>
        </w:rPr>
        <w:t xml:space="preserve"> </w:t>
      </w:r>
      <w:r>
        <w:rPr>
          <w:w w:val="95"/>
        </w:rPr>
        <w:t>dominate</w:t>
      </w:r>
      <w:r>
        <w:rPr>
          <w:spacing w:val="-4"/>
          <w:w w:val="95"/>
        </w:rPr>
        <w:t xml:space="preserve"> </w:t>
      </w:r>
      <w:r>
        <w:rPr>
          <w:w w:val="95"/>
        </w:rPr>
        <w:t>the</w:t>
      </w:r>
      <w:r>
        <w:rPr>
          <w:spacing w:val="-4"/>
          <w:w w:val="95"/>
        </w:rPr>
        <w:t xml:space="preserve"> </w:t>
      </w:r>
      <w:r>
        <w:rPr>
          <w:w w:val="95"/>
        </w:rPr>
        <w:t xml:space="preserve">interstate </w:t>
      </w:r>
      <w:r>
        <w:t>freight</w:t>
      </w:r>
      <w:r>
        <w:rPr>
          <w:spacing w:val="-11"/>
        </w:rPr>
        <w:t xml:space="preserve"> </w:t>
      </w:r>
      <w:r>
        <w:t>task.</w:t>
      </w:r>
    </w:p>
    <w:p w:rsidR="002C1123" w:rsidRDefault="00F22F94">
      <w:pPr>
        <w:pStyle w:val="BodyText"/>
        <w:spacing w:before="145" w:line="249" w:lineRule="auto"/>
        <w:ind w:left="215" w:right="785"/>
      </w:pPr>
      <w:r>
        <w:rPr>
          <w:w w:val="95"/>
        </w:rPr>
        <w:t>Major investments, (underway or proposed) for freight solutions</w:t>
      </w:r>
      <w:r>
        <w:rPr>
          <w:spacing w:val="-5"/>
          <w:w w:val="95"/>
        </w:rPr>
        <w:t xml:space="preserve"> </w:t>
      </w:r>
      <w:r>
        <w:rPr>
          <w:w w:val="95"/>
        </w:rPr>
        <w:t>on</w:t>
      </w:r>
      <w:r>
        <w:rPr>
          <w:spacing w:val="-5"/>
          <w:w w:val="95"/>
        </w:rPr>
        <w:t xml:space="preserve"> </w:t>
      </w:r>
      <w:r>
        <w:rPr>
          <w:w w:val="95"/>
        </w:rPr>
        <w:t>the</w:t>
      </w:r>
      <w:r>
        <w:rPr>
          <w:spacing w:val="-5"/>
          <w:w w:val="95"/>
        </w:rPr>
        <w:t xml:space="preserve"> </w:t>
      </w:r>
      <w:r>
        <w:rPr>
          <w:w w:val="95"/>
        </w:rPr>
        <w:t>road</w:t>
      </w:r>
      <w:r>
        <w:rPr>
          <w:spacing w:val="-5"/>
          <w:w w:val="95"/>
        </w:rPr>
        <w:t xml:space="preserve"> </w:t>
      </w:r>
      <w:r>
        <w:rPr>
          <w:w w:val="95"/>
        </w:rPr>
        <w:t>and</w:t>
      </w:r>
      <w:r>
        <w:rPr>
          <w:spacing w:val="-5"/>
          <w:w w:val="95"/>
        </w:rPr>
        <w:t xml:space="preserve"> </w:t>
      </w:r>
      <w:r>
        <w:rPr>
          <w:w w:val="95"/>
        </w:rPr>
        <w:t>rail</w:t>
      </w:r>
      <w:r>
        <w:rPr>
          <w:spacing w:val="-5"/>
          <w:w w:val="95"/>
        </w:rPr>
        <w:t xml:space="preserve"> </w:t>
      </w:r>
      <w:r>
        <w:rPr>
          <w:w w:val="95"/>
        </w:rPr>
        <w:t>network</w:t>
      </w:r>
      <w:r>
        <w:rPr>
          <w:spacing w:val="-5"/>
          <w:w w:val="95"/>
        </w:rPr>
        <w:t xml:space="preserve"> </w:t>
      </w:r>
      <w:r>
        <w:rPr>
          <w:w w:val="95"/>
        </w:rPr>
        <w:t>are</w:t>
      </w:r>
      <w:r>
        <w:rPr>
          <w:spacing w:val="-5"/>
          <w:w w:val="95"/>
        </w:rPr>
        <w:t xml:space="preserve"> </w:t>
      </w:r>
      <w:r>
        <w:rPr>
          <w:w w:val="95"/>
        </w:rPr>
        <w:t>discussed</w:t>
      </w:r>
      <w:r>
        <w:rPr>
          <w:spacing w:val="-5"/>
          <w:w w:val="95"/>
        </w:rPr>
        <w:t xml:space="preserve"> </w:t>
      </w:r>
      <w:r>
        <w:rPr>
          <w:w w:val="95"/>
        </w:rPr>
        <w:t xml:space="preserve">in </w:t>
      </w:r>
      <w:r>
        <w:t>Section</w:t>
      </w:r>
      <w:r>
        <w:rPr>
          <w:spacing w:val="-11"/>
        </w:rPr>
        <w:t xml:space="preserve"> </w:t>
      </w:r>
      <w:r>
        <w:t>10.</w:t>
      </w:r>
    </w:p>
    <w:p w:rsidR="002C1123" w:rsidRDefault="00F22F94">
      <w:pPr>
        <w:pStyle w:val="Heading6"/>
        <w:numPr>
          <w:ilvl w:val="2"/>
          <w:numId w:val="103"/>
        </w:numPr>
        <w:tabs>
          <w:tab w:val="left" w:pos="702"/>
        </w:tabs>
        <w:spacing w:before="145"/>
        <w:ind w:left="701" w:hanging="487"/>
        <w:jc w:val="left"/>
        <w:rPr>
          <w:color w:val="EC008C"/>
        </w:rPr>
      </w:pPr>
      <w:r>
        <w:rPr>
          <w:color w:val="EC008C"/>
          <w:spacing w:val="-2"/>
        </w:rPr>
        <w:t>Water</w:t>
      </w:r>
      <w:r>
        <w:rPr>
          <w:color w:val="EC008C"/>
          <w:spacing w:val="-7"/>
        </w:rPr>
        <w:t xml:space="preserve"> </w:t>
      </w:r>
      <w:r>
        <w:rPr>
          <w:color w:val="EC008C"/>
          <w:spacing w:val="-2"/>
        </w:rPr>
        <w:t>Infrastructure</w:t>
      </w:r>
    </w:p>
    <w:p w:rsidR="002C1123" w:rsidRDefault="00F22F94">
      <w:pPr>
        <w:pStyle w:val="BodyText"/>
        <w:spacing w:before="95" w:line="249" w:lineRule="auto"/>
        <w:ind w:left="215" w:right="655"/>
      </w:pPr>
      <w:r>
        <w:t>Water</w:t>
      </w:r>
      <w:r>
        <w:rPr>
          <w:spacing w:val="-14"/>
        </w:rPr>
        <w:t xml:space="preserve"> </w:t>
      </w:r>
      <w:r>
        <w:t>supply</w:t>
      </w:r>
      <w:r>
        <w:rPr>
          <w:spacing w:val="-14"/>
        </w:rPr>
        <w:t xml:space="preserve"> </w:t>
      </w:r>
      <w:r>
        <w:t>and</w:t>
      </w:r>
      <w:r>
        <w:rPr>
          <w:spacing w:val="-14"/>
        </w:rPr>
        <w:t xml:space="preserve"> </w:t>
      </w:r>
      <w:r>
        <w:t>sewerage</w:t>
      </w:r>
      <w:r>
        <w:rPr>
          <w:spacing w:val="-14"/>
        </w:rPr>
        <w:t xml:space="preserve"> </w:t>
      </w:r>
      <w:r>
        <w:t>services</w:t>
      </w:r>
      <w:r>
        <w:rPr>
          <w:spacing w:val="-14"/>
        </w:rPr>
        <w:t xml:space="preserve"> </w:t>
      </w:r>
      <w:r>
        <w:t>in</w:t>
      </w:r>
      <w:r>
        <w:rPr>
          <w:spacing w:val="-14"/>
        </w:rPr>
        <w:t xml:space="preserve"> </w:t>
      </w:r>
      <w:r>
        <w:t>Regional</w:t>
      </w:r>
      <w:r>
        <w:rPr>
          <w:spacing w:val="-14"/>
        </w:rPr>
        <w:t xml:space="preserve"> </w:t>
      </w:r>
      <w:r>
        <w:t>NSW are</w:t>
      </w:r>
      <w:r>
        <w:rPr>
          <w:spacing w:val="-10"/>
        </w:rPr>
        <w:t xml:space="preserve"> </w:t>
      </w:r>
      <w:r>
        <w:t>provided</w:t>
      </w:r>
      <w:r>
        <w:rPr>
          <w:spacing w:val="-10"/>
        </w:rPr>
        <w:t xml:space="preserve"> </w:t>
      </w:r>
      <w:r>
        <w:t>by</w:t>
      </w:r>
      <w:r>
        <w:rPr>
          <w:spacing w:val="-10"/>
        </w:rPr>
        <w:t xml:space="preserve"> </w:t>
      </w:r>
      <w:r>
        <w:t>95</w:t>
      </w:r>
      <w:r>
        <w:rPr>
          <w:spacing w:val="-10"/>
        </w:rPr>
        <w:t xml:space="preserve"> </w:t>
      </w:r>
      <w:r>
        <w:t>local</w:t>
      </w:r>
      <w:r>
        <w:rPr>
          <w:spacing w:val="-10"/>
        </w:rPr>
        <w:t xml:space="preserve"> </w:t>
      </w:r>
      <w:r>
        <w:t>councils,</w:t>
      </w:r>
      <w:r>
        <w:rPr>
          <w:spacing w:val="-10"/>
        </w:rPr>
        <w:t xml:space="preserve"> </w:t>
      </w:r>
      <w:r>
        <w:t>five</w:t>
      </w:r>
      <w:r>
        <w:rPr>
          <w:spacing w:val="-10"/>
        </w:rPr>
        <w:t xml:space="preserve"> </w:t>
      </w:r>
      <w:r>
        <w:t>county</w:t>
      </w:r>
      <w:r>
        <w:rPr>
          <w:spacing w:val="-10"/>
        </w:rPr>
        <w:t xml:space="preserve"> </w:t>
      </w:r>
      <w:r>
        <w:t xml:space="preserve">councils </w:t>
      </w:r>
      <w:r>
        <w:rPr>
          <w:spacing w:val="-2"/>
        </w:rPr>
        <w:t>and</w:t>
      </w:r>
      <w:r>
        <w:rPr>
          <w:spacing w:val="-6"/>
        </w:rPr>
        <w:t xml:space="preserve"> </w:t>
      </w:r>
      <w:r>
        <w:rPr>
          <w:spacing w:val="-2"/>
        </w:rPr>
        <w:t>five</w:t>
      </w:r>
      <w:r>
        <w:rPr>
          <w:spacing w:val="-6"/>
        </w:rPr>
        <w:t xml:space="preserve"> </w:t>
      </w:r>
      <w:r>
        <w:rPr>
          <w:spacing w:val="-2"/>
        </w:rPr>
        <w:t>water</w:t>
      </w:r>
      <w:r>
        <w:rPr>
          <w:spacing w:val="-6"/>
        </w:rPr>
        <w:t xml:space="preserve"> </w:t>
      </w:r>
      <w:r>
        <w:rPr>
          <w:spacing w:val="-2"/>
        </w:rPr>
        <w:t>supply</w:t>
      </w:r>
      <w:r>
        <w:rPr>
          <w:spacing w:val="-6"/>
        </w:rPr>
        <w:t xml:space="preserve"> </w:t>
      </w:r>
      <w:r>
        <w:rPr>
          <w:spacing w:val="-2"/>
        </w:rPr>
        <w:t>authorities.</w:t>
      </w:r>
      <w:r>
        <w:rPr>
          <w:spacing w:val="-6"/>
        </w:rPr>
        <w:t xml:space="preserve"> </w:t>
      </w:r>
      <w:r>
        <w:rPr>
          <w:spacing w:val="-2"/>
        </w:rPr>
        <w:t>These</w:t>
      </w:r>
      <w:r>
        <w:rPr>
          <w:spacing w:val="-6"/>
        </w:rPr>
        <w:t xml:space="preserve"> </w:t>
      </w:r>
      <w:r>
        <w:rPr>
          <w:spacing w:val="-2"/>
        </w:rPr>
        <w:t>utilities</w:t>
      </w:r>
      <w:r>
        <w:rPr>
          <w:spacing w:val="-6"/>
        </w:rPr>
        <w:t xml:space="preserve"> </w:t>
      </w:r>
      <w:r>
        <w:rPr>
          <w:spacing w:val="-2"/>
        </w:rPr>
        <w:t xml:space="preserve">provide </w:t>
      </w:r>
      <w:r>
        <w:rPr>
          <w:w w:val="95"/>
        </w:rPr>
        <w:t>water</w:t>
      </w:r>
      <w:r>
        <w:rPr>
          <w:spacing w:val="-6"/>
          <w:w w:val="95"/>
        </w:rPr>
        <w:t xml:space="preserve"> </w:t>
      </w:r>
      <w:r>
        <w:rPr>
          <w:w w:val="95"/>
        </w:rPr>
        <w:t>supply</w:t>
      </w:r>
      <w:r>
        <w:rPr>
          <w:spacing w:val="-6"/>
          <w:w w:val="95"/>
        </w:rPr>
        <w:t xml:space="preserve"> </w:t>
      </w:r>
      <w:r>
        <w:rPr>
          <w:w w:val="95"/>
        </w:rPr>
        <w:t>and</w:t>
      </w:r>
      <w:r>
        <w:rPr>
          <w:spacing w:val="-6"/>
          <w:w w:val="95"/>
        </w:rPr>
        <w:t xml:space="preserve"> </w:t>
      </w:r>
      <w:r>
        <w:rPr>
          <w:w w:val="95"/>
        </w:rPr>
        <w:t>sewerage</w:t>
      </w:r>
      <w:r>
        <w:rPr>
          <w:spacing w:val="-6"/>
          <w:w w:val="95"/>
        </w:rPr>
        <w:t xml:space="preserve"> </w:t>
      </w:r>
      <w:r>
        <w:rPr>
          <w:w w:val="95"/>
        </w:rPr>
        <w:t>services</w:t>
      </w:r>
      <w:r>
        <w:rPr>
          <w:spacing w:val="-6"/>
          <w:w w:val="95"/>
        </w:rPr>
        <w:t xml:space="preserve"> </w:t>
      </w:r>
      <w:r>
        <w:rPr>
          <w:w w:val="95"/>
        </w:rPr>
        <w:t>to</w:t>
      </w:r>
      <w:r>
        <w:rPr>
          <w:spacing w:val="-6"/>
          <w:w w:val="95"/>
        </w:rPr>
        <w:t xml:space="preserve"> </w:t>
      </w:r>
      <w:r>
        <w:rPr>
          <w:w w:val="95"/>
        </w:rPr>
        <w:t>1.8</w:t>
      </w:r>
      <w:r>
        <w:rPr>
          <w:spacing w:val="-6"/>
          <w:w w:val="95"/>
        </w:rPr>
        <w:t xml:space="preserve"> </w:t>
      </w:r>
      <w:r>
        <w:rPr>
          <w:w w:val="95"/>
        </w:rPr>
        <w:t>million</w:t>
      </w:r>
      <w:r>
        <w:rPr>
          <w:spacing w:val="-6"/>
          <w:w w:val="95"/>
        </w:rPr>
        <w:t xml:space="preserve"> </w:t>
      </w:r>
      <w:r>
        <w:rPr>
          <w:w w:val="95"/>
        </w:rPr>
        <w:t xml:space="preserve">people </w:t>
      </w:r>
      <w:r>
        <w:t>(or</w:t>
      </w:r>
      <w:r>
        <w:rPr>
          <w:spacing w:val="-14"/>
        </w:rPr>
        <w:t xml:space="preserve"> </w:t>
      </w:r>
      <w:r>
        <w:t>98</w:t>
      </w:r>
      <w:r>
        <w:rPr>
          <w:spacing w:val="-14"/>
        </w:rPr>
        <w:t xml:space="preserve"> </w:t>
      </w:r>
      <w:r>
        <w:t>percent</w:t>
      </w:r>
      <w:r>
        <w:rPr>
          <w:spacing w:val="-14"/>
        </w:rPr>
        <w:t xml:space="preserve"> </w:t>
      </w:r>
      <w:r>
        <w:t>of</w:t>
      </w:r>
      <w:r>
        <w:rPr>
          <w:spacing w:val="-14"/>
        </w:rPr>
        <w:t xml:space="preserve"> </w:t>
      </w:r>
      <w:r>
        <w:t>the</w:t>
      </w:r>
      <w:r>
        <w:rPr>
          <w:spacing w:val="-14"/>
        </w:rPr>
        <w:t xml:space="preserve"> </w:t>
      </w:r>
      <w:r>
        <w:t>State’s</w:t>
      </w:r>
      <w:r>
        <w:rPr>
          <w:spacing w:val="-14"/>
        </w:rPr>
        <w:t xml:space="preserve"> </w:t>
      </w:r>
      <w:r>
        <w:t>regional</w:t>
      </w:r>
      <w:r>
        <w:rPr>
          <w:spacing w:val="-14"/>
        </w:rPr>
        <w:t xml:space="preserve"> </w:t>
      </w:r>
      <w:r>
        <w:t>population).</w:t>
      </w:r>
    </w:p>
    <w:p w:rsidR="002C1123" w:rsidRDefault="00F22F94">
      <w:pPr>
        <w:pStyle w:val="BodyText"/>
        <w:spacing w:before="146" w:line="249" w:lineRule="auto"/>
        <w:ind w:left="215" w:right="997"/>
      </w:pPr>
      <w:r>
        <w:rPr>
          <w:w w:val="95"/>
        </w:rPr>
        <w:t>The</w:t>
      </w:r>
      <w:r>
        <w:rPr>
          <w:spacing w:val="-12"/>
          <w:w w:val="95"/>
        </w:rPr>
        <w:t xml:space="preserve"> </w:t>
      </w:r>
      <w:r>
        <w:rPr>
          <w:w w:val="95"/>
        </w:rPr>
        <w:t>infrastructure</w:t>
      </w:r>
      <w:r>
        <w:rPr>
          <w:spacing w:val="-11"/>
          <w:w w:val="95"/>
        </w:rPr>
        <w:t xml:space="preserve"> </w:t>
      </w:r>
      <w:r>
        <w:rPr>
          <w:w w:val="95"/>
        </w:rPr>
        <w:t>investment</w:t>
      </w:r>
      <w:r>
        <w:rPr>
          <w:spacing w:val="-11"/>
          <w:w w:val="95"/>
        </w:rPr>
        <w:t xml:space="preserve"> </w:t>
      </w:r>
      <w:r>
        <w:rPr>
          <w:w w:val="95"/>
        </w:rPr>
        <w:t>in</w:t>
      </w:r>
      <w:r>
        <w:rPr>
          <w:spacing w:val="-11"/>
          <w:w w:val="95"/>
        </w:rPr>
        <w:t xml:space="preserve"> </w:t>
      </w:r>
      <w:r>
        <w:rPr>
          <w:w w:val="95"/>
        </w:rPr>
        <w:t>regional</w:t>
      </w:r>
      <w:r>
        <w:rPr>
          <w:spacing w:val="-11"/>
          <w:w w:val="95"/>
        </w:rPr>
        <w:t xml:space="preserve"> </w:t>
      </w:r>
      <w:r>
        <w:rPr>
          <w:w w:val="95"/>
        </w:rPr>
        <w:t>water</w:t>
      </w:r>
      <w:r>
        <w:rPr>
          <w:spacing w:val="-11"/>
          <w:w w:val="95"/>
        </w:rPr>
        <w:t xml:space="preserve"> </w:t>
      </w:r>
      <w:r>
        <w:rPr>
          <w:w w:val="95"/>
        </w:rPr>
        <w:t xml:space="preserve">utilities is substantial. The replacement value of water supply </w:t>
      </w:r>
      <w:r>
        <w:t>and</w:t>
      </w:r>
      <w:r>
        <w:rPr>
          <w:spacing w:val="-14"/>
        </w:rPr>
        <w:t xml:space="preserve"> </w:t>
      </w:r>
      <w:r>
        <w:t>sewerage</w:t>
      </w:r>
      <w:r>
        <w:rPr>
          <w:spacing w:val="-14"/>
        </w:rPr>
        <w:t xml:space="preserve"> </w:t>
      </w:r>
      <w:r>
        <w:t>infrastructure</w:t>
      </w:r>
      <w:r>
        <w:rPr>
          <w:spacing w:val="-14"/>
        </w:rPr>
        <w:t xml:space="preserve"> </w:t>
      </w:r>
      <w:r>
        <w:t>is</w:t>
      </w:r>
      <w:r>
        <w:rPr>
          <w:spacing w:val="-14"/>
        </w:rPr>
        <w:t xml:space="preserve"> </w:t>
      </w:r>
      <w:r>
        <w:t>about</w:t>
      </w:r>
      <w:r>
        <w:rPr>
          <w:spacing w:val="-14"/>
        </w:rPr>
        <w:t xml:space="preserve"> </w:t>
      </w:r>
      <w:r>
        <w:t>$23</w:t>
      </w:r>
      <w:r>
        <w:rPr>
          <w:spacing w:val="-14"/>
        </w:rPr>
        <w:t xml:space="preserve"> </w:t>
      </w:r>
      <w:r>
        <w:t>billion</w:t>
      </w:r>
      <w:r>
        <w:rPr>
          <w:spacing w:val="-14"/>
        </w:rPr>
        <w:t xml:space="preserve"> </w:t>
      </w:r>
      <w:r>
        <w:t>and the</w:t>
      </w:r>
      <w:r>
        <w:rPr>
          <w:spacing w:val="-14"/>
        </w:rPr>
        <w:t xml:space="preserve"> </w:t>
      </w:r>
      <w:r>
        <w:t>associated</w:t>
      </w:r>
      <w:r>
        <w:rPr>
          <w:spacing w:val="-14"/>
        </w:rPr>
        <w:t xml:space="preserve"> </w:t>
      </w:r>
      <w:r>
        <w:t>services</w:t>
      </w:r>
      <w:r>
        <w:rPr>
          <w:spacing w:val="-14"/>
        </w:rPr>
        <w:t xml:space="preserve"> </w:t>
      </w:r>
      <w:r>
        <w:t>generate</w:t>
      </w:r>
      <w:r>
        <w:rPr>
          <w:spacing w:val="-14"/>
        </w:rPr>
        <w:t xml:space="preserve"> </w:t>
      </w:r>
      <w:r>
        <w:t>annual</w:t>
      </w:r>
      <w:r>
        <w:rPr>
          <w:spacing w:val="-14"/>
        </w:rPr>
        <w:t xml:space="preserve"> </w:t>
      </w:r>
      <w:r>
        <w:t>revenue</w:t>
      </w:r>
      <w:r>
        <w:rPr>
          <w:spacing w:val="-14"/>
        </w:rPr>
        <w:t xml:space="preserve"> </w:t>
      </w:r>
      <w:r>
        <w:t>of</w:t>
      </w:r>
    </w:p>
    <w:p w:rsidR="002C1123" w:rsidRDefault="00F22F94">
      <w:pPr>
        <w:pStyle w:val="BodyText"/>
        <w:spacing w:before="3"/>
        <w:ind w:left="215"/>
      </w:pPr>
      <w:r>
        <w:rPr>
          <w:spacing w:val="-2"/>
          <w:w w:val="95"/>
        </w:rPr>
        <w:t>$10.4</w:t>
      </w:r>
      <w:r>
        <w:rPr>
          <w:spacing w:val="-10"/>
          <w:w w:val="95"/>
        </w:rPr>
        <w:t xml:space="preserve"> </w:t>
      </w:r>
      <w:r>
        <w:rPr>
          <w:spacing w:val="-2"/>
        </w:rPr>
        <w:t>billion.</w:t>
      </w:r>
    </w:p>
    <w:p w:rsidR="002C1123" w:rsidRDefault="00F22F94">
      <w:pPr>
        <w:pStyle w:val="BodyText"/>
        <w:spacing w:before="152" w:line="249" w:lineRule="auto"/>
        <w:ind w:left="215" w:right="785"/>
      </w:pPr>
      <w:r>
        <w:t>Lack</w:t>
      </w:r>
      <w:r>
        <w:rPr>
          <w:spacing w:val="-10"/>
        </w:rPr>
        <w:t xml:space="preserve"> </w:t>
      </w:r>
      <w:r>
        <w:t>of</w:t>
      </w:r>
      <w:r>
        <w:rPr>
          <w:spacing w:val="-10"/>
        </w:rPr>
        <w:t xml:space="preserve"> </w:t>
      </w:r>
      <w:r>
        <w:t>suitable</w:t>
      </w:r>
      <w:r>
        <w:rPr>
          <w:spacing w:val="-10"/>
        </w:rPr>
        <w:t xml:space="preserve"> </w:t>
      </w:r>
      <w:r>
        <w:t>water</w:t>
      </w:r>
      <w:r>
        <w:rPr>
          <w:spacing w:val="-10"/>
        </w:rPr>
        <w:t xml:space="preserve"> </w:t>
      </w:r>
      <w:r>
        <w:t>supply</w:t>
      </w:r>
      <w:r>
        <w:rPr>
          <w:spacing w:val="-10"/>
        </w:rPr>
        <w:t xml:space="preserve"> </w:t>
      </w:r>
      <w:r>
        <w:t>infrastructure</w:t>
      </w:r>
      <w:r>
        <w:rPr>
          <w:spacing w:val="-10"/>
        </w:rPr>
        <w:t xml:space="preserve"> </w:t>
      </w:r>
      <w:r>
        <w:t>can</w:t>
      </w:r>
      <w:r>
        <w:rPr>
          <w:spacing w:val="-10"/>
        </w:rPr>
        <w:t xml:space="preserve"> </w:t>
      </w:r>
      <w:r>
        <w:t>be clearly</w:t>
      </w:r>
      <w:r>
        <w:rPr>
          <w:spacing w:val="-10"/>
        </w:rPr>
        <w:t xml:space="preserve"> </w:t>
      </w:r>
      <w:r>
        <w:t>shown</w:t>
      </w:r>
      <w:r>
        <w:rPr>
          <w:spacing w:val="-10"/>
        </w:rPr>
        <w:t xml:space="preserve"> </w:t>
      </w:r>
      <w:r>
        <w:t>to</w:t>
      </w:r>
      <w:r>
        <w:rPr>
          <w:spacing w:val="-10"/>
        </w:rPr>
        <w:t xml:space="preserve"> </w:t>
      </w:r>
      <w:r>
        <w:t>inhibit</w:t>
      </w:r>
      <w:r>
        <w:rPr>
          <w:spacing w:val="-10"/>
        </w:rPr>
        <w:t xml:space="preserve"> </w:t>
      </w:r>
      <w:r>
        <w:t>economic</w:t>
      </w:r>
      <w:r>
        <w:rPr>
          <w:spacing w:val="-10"/>
        </w:rPr>
        <w:t xml:space="preserve"> </w:t>
      </w:r>
      <w:r>
        <w:t>growth</w:t>
      </w:r>
      <w:r>
        <w:rPr>
          <w:position w:val="7"/>
          <w:sz w:val="11"/>
        </w:rPr>
        <w:t>18</w:t>
      </w:r>
      <w:r>
        <w:t>.</w:t>
      </w:r>
      <w:r>
        <w:rPr>
          <w:spacing w:val="-10"/>
        </w:rPr>
        <w:t xml:space="preserve"> </w:t>
      </w:r>
      <w:r>
        <w:t>If</w:t>
      </w:r>
      <w:r>
        <w:rPr>
          <w:spacing w:val="-10"/>
        </w:rPr>
        <w:t xml:space="preserve"> </w:t>
      </w:r>
      <w:r>
        <w:t>a</w:t>
      </w:r>
      <w:r>
        <w:rPr>
          <w:spacing w:val="-10"/>
        </w:rPr>
        <w:t xml:space="preserve"> </w:t>
      </w:r>
      <w:r>
        <w:t xml:space="preserve">local </w:t>
      </w:r>
      <w:r>
        <w:rPr>
          <w:w w:val="95"/>
        </w:rPr>
        <w:t>Government</w:t>
      </w:r>
      <w:r>
        <w:rPr>
          <w:spacing w:val="-6"/>
          <w:w w:val="95"/>
        </w:rPr>
        <w:t xml:space="preserve"> </w:t>
      </w:r>
      <w:r>
        <w:rPr>
          <w:w w:val="95"/>
        </w:rPr>
        <w:t>is</w:t>
      </w:r>
      <w:r>
        <w:rPr>
          <w:spacing w:val="-6"/>
          <w:w w:val="95"/>
        </w:rPr>
        <w:t xml:space="preserve"> </w:t>
      </w:r>
      <w:r>
        <w:rPr>
          <w:w w:val="95"/>
        </w:rPr>
        <w:t>not</w:t>
      </w:r>
      <w:r>
        <w:rPr>
          <w:spacing w:val="-6"/>
          <w:w w:val="95"/>
        </w:rPr>
        <w:t xml:space="preserve"> </w:t>
      </w:r>
      <w:r>
        <w:rPr>
          <w:w w:val="95"/>
        </w:rPr>
        <w:t>able</w:t>
      </w:r>
      <w:r>
        <w:rPr>
          <w:spacing w:val="-6"/>
          <w:w w:val="95"/>
        </w:rPr>
        <w:t xml:space="preserve"> </w:t>
      </w:r>
      <w:r>
        <w:rPr>
          <w:w w:val="95"/>
        </w:rPr>
        <w:t>provide</w:t>
      </w:r>
      <w:r>
        <w:rPr>
          <w:spacing w:val="-6"/>
          <w:w w:val="95"/>
        </w:rPr>
        <w:t xml:space="preserve"> </w:t>
      </w:r>
      <w:r>
        <w:rPr>
          <w:w w:val="95"/>
        </w:rPr>
        <w:t>a</w:t>
      </w:r>
      <w:r>
        <w:rPr>
          <w:spacing w:val="-6"/>
          <w:w w:val="95"/>
        </w:rPr>
        <w:t xml:space="preserve"> </w:t>
      </w:r>
      <w:r>
        <w:rPr>
          <w:w w:val="95"/>
        </w:rPr>
        <w:t>secure</w:t>
      </w:r>
      <w:r>
        <w:rPr>
          <w:spacing w:val="-6"/>
          <w:w w:val="95"/>
        </w:rPr>
        <w:t xml:space="preserve"> </w:t>
      </w:r>
      <w:r>
        <w:rPr>
          <w:w w:val="95"/>
        </w:rPr>
        <w:t>water</w:t>
      </w:r>
      <w:r>
        <w:rPr>
          <w:spacing w:val="-6"/>
          <w:w w:val="95"/>
        </w:rPr>
        <w:t xml:space="preserve"> </w:t>
      </w:r>
      <w:r>
        <w:rPr>
          <w:w w:val="95"/>
        </w:rPr>
        <w:t>supply</w:t>
      </w:r>
    </w:p>
    <w:p w:rsidR="002C1123" w:rsidRDefault="002060EF">
      <w:pPr>
        <w:pStyle w:val="BodyText"/>
        <w:spacing w:before="8"/>
        <w:rPr>
          <w:sz w:val="21"/>
        </w:rPr>
      </w:pPr>
      <w:r>
        <w:pict>
          <v:shape id="docshape1013" o:spid="_x0000_s4300" style="position:absolute;margin-left:552.3pt;margin-top:13.7pt;width:1in;height:.1pt;z-index:-251396096;mso-wrap-distance-left:0;mso-wrap-distance-right:0;mso-position-horizontal-relative:page" coordorigin="11046,274" coordsize="1440,0" path="m11046,274r1440,e" filled="f" strokecolor="#9c9c9d" strokeweight=".5pt">
            <v:path arrowok="t"/>
            <w10:wrap type="topAndBottom" anchorx="page"/>
          </v:shape>
        </w:pict>
      </w:r>
    </w:p>
    <w:p w:rsidR="002C1123" w:rsidRDefault="002C1123">
      <w:pPr>
        <w:rPr>
          <w:sz w:val="21"/>
        </w:rPr>
        <w:sectPr w:rsidR="002C1123">
          <w:type w:val="continuous"/>
          <w:pgSz w:w="16840" w:h="11910" w:orient="landscape"/>
          <w:pgMar w:top="560" w:right="280" w:bottom="280" w:left="500" w:header="0" w:footer="517" w:gutter="0"/>
          <w:cols w:num="3" w:space="720" w:equalWidth="0">
            <w:col w:w="5293" w:space="40"/>
            <w:col w:w="4959" w:space="39"/>
            <w:col w:w="5729"/>
          </w:cols>
        </w:sectPr>
      </w:pPr>
    </w:p>
    <w:p w:rsidR="002C1123" w:rsidRDefault="00F22F94">
      <w:pPr>
        <w:tabs>
          <w:tab w:val="left" w:pos="5518"/>
          <w:tab w:val="left" w:pos="6958"/>
          <w:tab w:val="left" w:pos="10545"/>
        </w:tabs>
        <w:spacing w:before="4" w:line="156" w:lineRule="exact"/>
        <w:ind w:left="690"/>
        <w:rPr>
          <w:sz w:val="14"/>
        </w:rPr>
      </w:pPr>
      <w:r>
        <w:rPr>
          <w:w w:val="95"/>
          <w:sz w:val="14"/>
        </w:rPr>
        <w:t>Social</w:t>
      </w:r>
      <w:r>
        <w:rPr>
          <w:spacing w:val="-1"/>
          <w:sz w:val="14"/>
        </w:rPr>
        <w:t xml:space="preserve"> </w:t>
      </w:r>
      <w:r>
        <w:rPr>
          <w:w w:val="95"/>
          <w:sz w:val="14"/>
        </w:rPr>
        <w:t>Development</w:t>
      </w:r>
      <w:r>
        <w:rPr>
          <w:sz w:val="14"/>
        </w:rPr>
        <w:t xml:space="preserve"> </w:t>
      </w:r>
      <w:r>
        <w:rPr>
          <w:w w:val="95"/>
          <w:sz w:val="14"/>
        </w:rPr>
        <w:t>in</w:t>
      </w:r>
      <w:r>
        <w:rPr>
          <w:sz w:val="14"/>
        </w:rPr>
        <w:t xml:space="preserve"> </w:t>
      </w:r>
      <w:r>
        <w:rPr>
          <w:w w:val="95"/>
          <w:sz w:val="14"/>
        </w:rPr>
        <w:t>Central</w:t>
      </w:r>
      <w:r>
        <w:rPr>
          <w:spacing w:val="-1"/>
          <w:sz w:val="14"/>
        </w:rPr>
        <w:t xml:space="preserve"> </w:t>
      </w:r>
      <w:r>
        <w:rPr>
          <w:w w:val="95"/>
          <w:sz w:val="14"/>
        </w:rPr>
        <w:t>Western</w:t>
      </w:r>
      <w:r>
        <w:rPr>
          <w:sz w:val="14"/>
        </w:rPr>
        <w:t xml:space="preserve"> </w:t>
      </w:r>
      <w:r>
        <w:rPr>
          <w:spacing w:val="-4"/>
          <w:w w:val="95"/>
          <w:sz w:val="14"/>
        </w:rPr>
        <w:t>NSW.</w:t>
      </w:r>
      <w:r>
        <w:rPr>
          <w:sz w:val="14"/>
        </w:rPr>
        <w:tab/>
      </w:r>
      <w:r>
        <w:rPr>
          <w:sz w:val="14"/>
          <w:u w:val="single" w:color="9C9C9D"/>
        </w:rPr>
        <w:tab/>
      </w:r>
      <w:r>
        <w:rPr>
          <w:sz w:val="14"/>
        </w:rPr>
        <w:tab/>
      </w:r>
      <w:r>
        <w:rPr>
          <w:w w:val="95"/>
          <w:sz w:val="14"/>
        </w:rPr>
        <w:t>17</w:t>
      </w:r>
      <w:r>
        <w:rPr>
          <w:spacing w:val="20"/>
          <w:sz w:val="14"/>
        </w:rPr>
        <w:t xml:space="preserve"> </w:t>
      </w:r>
      <w:r>
        <w:rPr>
          <w:w w:val="95"/>
          <w:sz w:val="14"/>
        </w:rPr>
        <w:t>BTRE</w:t>
      </w:r>
      <w:r>
        <w:rPr>
          <w:spacing w:val="-3"/>
          <w:w w:val="95"/>
          <w:sz w:val="14"/>
        </w:rPr>
        <w:t xml:space="preserve"> </w:t>
      </w:r>
      <w:r>
        <w:rPr>
          <w:w w:val="95"/>
          <w:sz w:val="14"/>
        </w:rPr>
        <w:t>2010,</w:t>
      </w:r>
      <w:r>
        <w:rPr>
          <w:spacing w:val="-3"/>
          <w:w w:val="95"/>
          <w:sz w:val="14"/>
        </w:rPr>
        <w:t xml:space="preserve"> </w:t>
      </w:r>
      <w:r>
        <w:rPr>
          <w:w w:val="95"/>
          <w:sz w:val="14"/>
        </w:rPr>
        <w:t>Interstate</w:t>
      </w:r>
      <w:r>
        <w:rPr>
          <w:spacing w:val="-4"/>
          <w:w w:val="95"/>
          <w:sz w:val="14"/>
        </w:rPr>
        <w:t xml:space="preserve"> </w:t>
      </w:r>
      <w:r>
        <w:rPr>
          <w:w w:val="95"/>
          <w:sz w:val="14"/>
        </w:rPr>
        <w:t>Freight</w:t>
      </w:r>
      <w:r>
        <w:rPr>
          <w:spacing w:val="-3"/>
          <w:w w:val="95"/>
          <w:sz w:val="14"/>
        </w:rPr>
        <w:t xml:space="preserve"> </w:t>
      </w:r>
      <w:r>
        <w:rPr>
          <w:w w:val="95"/>
          <w:sz w:val="14"/>
        </w:rPr>
        <w:t>in</w:t>
      </w:r>
      <w:r>
        <w:rPr>
          <w:spacing w:val="-3"/>
          <w:w w:val="95"/>
          <w:sz w:val="14"/>
        </w:rPr>
        <w:t xml:space="preserve"> </w:t>
      </w:r>
      <w:r>
        <w:rPr>
          <w:w w:val="95"/>
          <w:sz w:val="14"/>
        </w:rPr>
        <w:t>Australia,</w:t>
      </w:r>
      <w:r>
        <w:rPr>
          <w:spacing w:val="-3"/>
          <w:w w:val="95"/>
          <w:sz w:val="14"/>
        </w:rPr>
        <w:t xml:space="preserve"> </w:t>
      </w:r>
      <w:r>
        <w:rPr>
          <w:w w:val="95"/>
          <w:sz w:val="14"/>
        </w:rPr>
        <w:t>Research</w:t>
      </w:r>
      <w:r>
        <w:rPr>
          <w:spacing w:val="-4"/>
          <w:w w:val="95"/>
          <w:sz w:val="14"/>
        </w:rPr>
        <w:t xml:space="preserve"> </w:t>
      </w:r>
      <w:r>
        <w:rPr>
          <w:w w:val="95"/>
          <w:sz w:val="14"/>
        </w:rPr>
        <w:t>Report</w:t>
      </w:r>
      <w:r>
        <w:rPr>
          <w:spacing w:val="-3"/>
          <w:w w:val="95"/>
          <w:sz w:val="14"/>
        </w:rPr>
        <w:t xml:space="preserve"> </w:t>
      </w:r>
      <w:r>
        <w:rPr>
          <w:spacing w:val="-4"/>
          <w:w w:val="95"/>
          <w:sz w:val="14"/>
        </w:rPr>
        <w:t>120.</w:t>
      </w:r>
    </w:p>
    <w:p w:rsidR="002C1123" w:rsidRDefault="002C1123">
      <w:pPr>
        <w:spacing w:line="156" w:lineRule="exact"/>
        <w:rPr>
          <w:sz w:val="14"/>
        </w:rPr>
        <w:sectPr w:rsidR="002C1123">
          <w:type w:val="continuous"/>
          <w:pgSz w:w="16840" w:h="11910" w:orient="landscape"/>
          <w:pgMar w:top="560" w:right="280" w:bottom="280" w:left="500" w:header="0" w:footer="517" w:gutter="0"/>
          <w:cols w:space="720"/>
        </w:sectPr>
      </w:pPr>
    </w:p>
    <w:p w:rsidR="002C1123" w:rsidRDefault="00F22F94">
      <w:pPr>
        <w:pStyle w:val="ListParagraph"/>
        <w:numPr>
          <w:ilvl w:val="0"/>
          <w:numId w:val="102"/>
        </w:numPr>
        <w:tabs>
          <w:tab w:val="left" w:pos="691"/>
        </w:tabs>
        <w:spacing w:before="5" w:line="161" w:lineRule="exact"/>
        <w:jc w:val="left"/>
        <w:rPr>
          <w:sz w:val="14"/>
        </w:rPr>
      </w:pPr>
      <w:r>
        <w:rPr>
          <w:w w:val="95"/>
          <w:sz w:val="14"/>
        </w:rPr>
        <w:t>Transport</w:t>
      </w:r>
      <w:r>
        <w:rPr>
          <w:spacing w:val="-1"/>
          <w:sz w:val="14"/>
        </w:rPr>
        <w:t xml:space="preserve"> </w:t>
      </w:r>
      <w:r>
        <w:rPr>
          <w:w w:val="95"/>
          <w:sz w:val="14"/>
        </w:rPr>
        <w:t>for</w:t>
      </w:r>
      <w:r>
        <w:rPr>
          <w:spacing w:val="-1"/>
          <w:sz w:val="14"/>
        </w:rPr>
        <w:t xml:space="preserve"> </w:t>
      </w:r>
      <w:r>
        <w:rPr>
          <w:w w:val="95"/>
          <w:sz w:val="14"/>
        </w:rPr>
        <w:t>NSW</w:t>
      </w:r>
      <w:r>
        <w:rPr>
          <w:spacing w:val="-1"/>
          <w:sz w:val="14"/>
        </w:rPr>
        <w:t xml:space="preserve"> </w:t>
      </w:r>
      <w:r>
        <w:rPr>
          <w:w w:val="95"/>
          <w:sz w:val="14"/>
        </w:rPr>
        <w:t>2012,</w:t>
      </w:r>
      <w:r>
        <w:rPr>
          <w:spacing w:val="-1"/>
          <w:sz w:val="14"/>
        </w:rPr>
        <w:t xml:space="preserve"> </w:t>
      </w:r>
      <w:r>
        <w:rPr>
          <w:w w:val="95"/>
          <w:sz w:val="14"/>
        </w:rPr>
        <w:t>Draft</w:t>
      </w:r>
      <w:r>
        <w:rPr>
          <w:spacing w:val="-1"/>
          <w:sz w:val="14"/>
        </w:rPr>
        <w:t xml:space="preserve"> </w:t>
      </w:r>
      <w:r>
        <w:rPr>
          <w:w w:val="95"/>
          <w:sz w:val="14"/>
        </w:rPr>
        <w:t>Transport</w:t>
      </w:r>
      <w:r>
        <w:rPr>
          <w:spacing w:val="-1"/>
          <w:sz w:val="14"/>
        </w:rPr>
        <w:t xml:space="preserve"> </w:t>
      </w:r>
      <w:r>
        <w:rPr>
          <w:w w:val="95"/>
          <w:sz w:val="14"/>
        </w:rPr>
        <w:t>Master</w:t>
      </w:r>
      <w:r>
        <w:rPr>
          <w:spacing w:val="-1"/>
          <w:sz w:val="14"/>
        </w:rPr>
        <w:t xml:space="preserve"> </w:t>
      </w:r>
      <w:r>
        <w:rPr>
          <w:spacing w:val="-2"/>
          <w:w w:val="95"/>
          <w:sz w:val="14"/>
        </w:rPr>
        <w:t>Plan.</w:t>
      </w:r>
    </w:p>
    <w:p w:rsidR="002C1123" w:rsidRDefault="00F22F94">
      <w:pPr>
        <w:pStyle w:val="ListParagraph"/>
        <w:numPr>
          <w:ilvl w:val="0"/>
          <w:numId w:val="102"/>
        </w:numPr>
        <w:tabs>
          <w:tab w:val="left" w:pos="691"/>
        </w:tabs>
        <w:spacing w:line="161" w:lineRule="exact"/>
        <w:jc w:val="left"/>
        <w:rPr>
          <w:sz w:val="14"/>
        </w:rPr>
      </w:pPr>
      <w:r>
        <w:rPr>
          <w:w w:val="95"/>
          <w:sz w:val="14"/>
        </w:rPr>
        <w:t>Newcastle</w:t>
      </w:r>
      <w:r>
        <w:rPr>
          <w:spacing w:val="2"/>
          <w:sz w:val="14"/>
        </w:rPr>
        <w:t xml:space="preserve"> </w:t>
      </w:r>
      <w:r>
        <w:rPr>
          <w:w w:val="95"/>
          <w:sz w:val="14"/>
        </w:rPr>
        <w:t>Port</w:t>
      </w:r>
      <w:r>
        <w:rPr>
          <w:spacing w:val="2"/>
          <w:sz w:val="14"/>
        </w:rPr>
        <w:t xml:space="preserve"> </w:t>
      </w:r>
      <w:r>
        <w:rPr>
          <w:w w:val="95"/>
          <w:sz w:val="14"/>
        </w:rPr>
        <w:t>Corporation</w:t>
      </w:r>
      <w:r>
        <w:rPr>
          <w:spacing w:val="3"/>
          <w:sz w:val="14"/>
        </w:rPr>
        <w:t xml:space="preserve"> </w:t>
      </w:r>
      <w:r>
        <w:rPr>
          <w:w w:val="95"/>
          <w:sz w:val="14"/>
        </w:rPr>
        <w:t>2011,</w:t>
      </w:r>
      <w:r>
        <w:rPr>
          <w:spacing w:val="2"/>
          <w:sz w:val="14"/>
        </w:rPr>
        <w:t xml:space="preserve"> </w:t>
      </w:r>
      <w:r>
        <w:rPr>
          <w:w w:val="95"/>
          <w:sz w:val="14"/>
        </w:rPr>
        <w:t>Annual</w:t>
      </w:r>
      <w:r>
        <w:rPr>
          <w:spacing w:val="2"/>
          <w:sz w:val="14"/>
        </w:rPr>
        <w:t xml:space="preserve"> </w:t>
      </w:r>
      <w:r>
        <w:rPr>
          <w:spacing w:val="-2"/>
          <w:w w:val="95"/>
          <w:sz w:val="14"/>
        </w:rPr>
        <w:t>Report.</w:t>
      </w:r>
    </w:p>
    <w:p w:rsidR="002C1123" w:rsidRDefault="00F22F94">
      <w:pPr>
        <w:pStyle w:val="ListParagraph"/>
        <w:numPr>
          <w:ilvl w:val="0"/>
          <w:numId w:val="102"/>
        </w:numPr>
        <w:tabs>
          <w:tab w:val="left" w:pos="691"/>
        </w:tabs>
        <w:spacing w:before="5" w:line="161" w:lineRule="exact"/>
        <w:jc w:val="left"/>
        <w:rPr>
          <w:sz w:val="14"/>
        </w:rPr>
      </w:pPr>
      <w:r>
        <w:br w:type="column"/>
      </w:r>
      <w:r>
        <w:rPr>
          <w:w w:val="95"/>
          <w:sz w:val="14"/>
        </w:rPr>
        <w:t>Newcastle</w:t>
      </w:r>
      <w:r>
        <w:rPr>
          <w:spacing w:val="8"/>
          <w:sz w:val="14"/>
        </w:rPr>
        <w:t xml:space="preserve"> </w:t>
      </w:r>
      <w:r>
        <w:rPr>
          <w:w w:val="95"/>
          <w:sz w:val="14"/>
        </w:rPr>
        <w:t>Port</w:t>
      </w:r>
      <w:r>
        <w:rPr>
          <w:spacing w:val="8"/>
          <w:sz w:val="14"/>
        </w:rPr>
        <w:t xml:space="preserve"> </w:t>
      </w:r>
      <w:r>
        <w:rPr>
          <w:w w:val="95"/>
          <w:sz w:val="14"/>
        </w:rPr>
        <w:t>Corporation,</w:t>
      </w:r>
      <w:r>
        <w:rPr>
          <w:spacing w:val="8"/>
          <w:sz w:val="14"/>
        </w:rPr>
        <w:t xml:space="preserve"> </w:t>
      </w:r>
      <w:r>
        <w:rPr>
          <w:w w:val="95"/>
          <w:sz w:val="14"/>
        </w:rPr>
        <w:t>Port</w:t>
      </w:r>
      <w:r>
        <w:rPr>
          <w:spacing w:val="8"/>
          <w:sz w:val="14"/>
        </w:rPr>
        <w:t xml:space="preserve"> </w:t>
      </w:r>
      <w:r>
        <w:rPr>
          <w:w w:val="95"/>
          <w:sz w:val="14"/>
        </w:rPr>
        <w:t>Kembla</w:t>
      </w:r>
      <w:r>
        <w:rPr>
          <w:spacing w:val="9"/>
          <w:sz w:val="14"/>
        </w:rPr>
        <w:t xml:space="preserve"> </w:t>
      </w:r>
      <w:r>
        <w:rPr>
          <w:w w:val="95"/>
          <w:sz w:val="14"/>
        </w:rPr>
        <w:t>Port</w:t>
      </w:r>
      <w:r>
        <w:rPr>
          <w:spacing w:val="8"/>
          <w:sz w:val="14"/>
        </w:rPr>
        <w:t xml:space="preserve"> </w:t>
      </w:r>
      <w:r>
        <w:rPr>
          <w:spacing w:val="-2"/>
          <w:w w:val="95"/>
          <w:sz w:val="14"/>
        </w:rPr>
        <w:t>Corporation.</w:t>
      </w:r>
    </w:p>
    <w:p w:rsidR="002C1123" w:rsidRDefault="00F22F94">
      <w:pPr>
        <w:pStyle w:val="ListParagraph"/>
        <w:numPr>
          <w:ilvl w:val="0"/>
          <w:numId w:val="102"/>
        </w:numPr>
        <w:tabs>
          <w:tab w:val="left" w:pos="691"/>
        </w:tabs>
        <w:spacing w:line="161" w:lineRule="exact"/>
        <w:jc w:val="left"/>
        <w:rPr>
          <w:i/>
          <w:sz w:val="14"/>
        </w:rPr>
      </w:pPr>
      <w:r>
        <w:rPr>
          <w:w w:val="95"/>
          <w:sz w:val="14"/>
        </w:rPr>
        <w:t>BTRE</w:t>
      </w:r>
      <w:r>
        <w:rPr>
          <w:spacing w:val="-2"/>
          <w:w w:val="95"/>
          <w:sz w:val="14"/>
        </w:rPr>
        <w:t xml:space="preserve"> </w:t>
      </w:r>
      <w:r>
        <w:rPr>
          <w:w w:val="95"/>
          <w:sz w:val="14"/>
        </w:rPr>
        <w:t>2010,</w:t>
      </w:r>
      <w:r>
        <w:rPr>
          <w:spacing w:val="-2"/>
          <w:w w:val="95"/>
          <w:sz w:val="14"/>
        </w:rPr>
        <w:t xml:space="preserve"> </w:t>
      </w:r>
      <w:r>
        <w:rPr>
          <w:w w:val="95"/>
          <w:sz w:val="14"/>
        </w:rPr>
        <w:t>Interstate</w:t>
      </w:r>
      <w:r>
        <w:rPr>
          <w:spacing w:val="-2"/>
          <w:w w:val="95"/>
          <w:sz w:val="14"/>
        </w:rPr>
        <w:t xml:space="preserve"> </w:t>
      </w:r>
      <w:r>
        <w:rPr>
          <w:w w:val="95"/>
          <w:sz w:val="14"/>
        </w:rPr>
        <w:t>Freight</w:t>
      </w:r>
      <w:r>
        <w:rPr>
          <w:spacing w:val="-2"/>
          <w:w w:val="95"/>
          <w:sz w:val="14"/>
        </w:rPr>
        <w:t xml:space="preserve"> </w:t>
      </w:r>
      <w:r>
        <w:rPr>
          <w:w w:val="95"/>
          <w:sz w:val="14"/>
        </w:rPr>
        <w:t>in</w:t>
      </w:r>
      <w:r>
        <w:rPr>
          <w:spacing w:val="-2"/>
          <w:w w:val="95"/>
          <w:sz w:val="14"/>
        </w:rPr>
        <w:t xml:space="preserve"> </w:t>
      </w:r>
      <w:r>
        <w:rPr>
          <w:w w:val="95"/>
          <w:sz w:val="14"/>
        </w:rPr>
        <w:t>Australia,</w:t>
      </w:r>
      <w:r>
        <w:rPr>
          <w:spacing w:val="-1"/>
          <w:w w:val="95"/>
          <w:sz w:val="14"/>
        </w:rPr>
        <w:t xml:space="preserve"> </w:t>
      </w:r>
      <w:r>
        <w:rPr>
          <w:w w:val="95"/>
          <w:sz w:val="14"/>
        </w:rPr>
        <w:t>Research</w:t>
      </w:r>
      <w:r>
        <w:rPr>
          <w:spacing w:val="-2"/>
          <w:w w:val="95"/>
          <w:sz w:val="14"/>
        </w:rPr>
        <w:t xml:space="preserve"> </w:t>
      </w:r>
      <w:r>
        <w:rPr>
          <w:w w:val="95"/>
          <w:sz w:val="14"/>
        </w:rPr>
        <w:t>Report</w:t>
      </w:r>
      <w:r>
        <w:rPr>
          <w:spacing w:val="-2"/>
          <w:w w:val="95"/>
          <w:sz w:val="14"/>
        </w:rPr>
        <w:t xml:space="preserve"> </w:t>
      </w:r>
      <w:r>
        <w:rPr>
          <w:spacing w:val="-4"/>
          <w:w w:val="95"/>
          <w:sz w:val="14"/>
        </w:rPr>
        <w:t>120</w:t>
      </w:r>
      <w:r>
        <w:rPr>
          <w:i/>
          <w:spacing w:val="-4"/>
          <w:w w:val="95"/>
          <w:sz w:val="14"/>
        </w:rPr>
        <w:t>.</w:t>
      </w:r>
    </w:p>
    <w:p w:rsidR="002C1123" w:rsidRDefault="00F22F94">
      <w:pPr>
        <w:spacing w:before="5"/>
        <w:ind w:left="690" w:right="707" w:hanging="199"/>
        <w:rPr>
          <w:sz w:val="14"/>
        </w:rPr>
      </w:pPr>
      <w:r>
        <w:br w:type="column"/>
      </w:r>
      <w:r>
        <w:rPr>
          <w:w w:val="95"/>
          <w:sz w:val="14"/>
        </w:rPr>
        <w:t>18</w:t>
      </w:r>
      <w:r>
        <w:rPr>
          <w:spacing w:val="25"/>
          <w:sz w:val="14"/>
        </w:rPr>
        <w:t xml:space="preserve"> </w:t>
      </w:r>
      <w:r>
        <w:rPr>
          <w:w w:val="95"/>
          <w:sz w:val="14"/>
        </w:rPr>
        <w:t>NSW Business Chamber, Keeping the Water Flowing: Protecting the Water</w:t>
      </w:r>
      <w:r>
        <w:rPr>
          <w:spacing w:val="40"/>
          <w:sz w:val="14"/>
        </w:rPr>
        <w:t xml:space="preserve"> </w:t>
      </w:r>
      <w:r>
        <w:rPr>
          <w:sz w:val="14"/>
        </w:rPr>
        <w:t>Supply in the Murray-Riverina.</w:t>
      </w:r>
    </w:p>
    <w:p w:rsidR="002C1123" w:rsidRDefault="002C1123">
      <w:pPr>
        <w:rPr>
          <w:sz w:val="14"/>
        </w:rPr>
        <w:sectPr w:rsidR="002C1123">
          <w:type w:val="continuous"/>
          <w:pgSz w:w="16840" w:h="11910" w:orient="landscape"/>
          <w:pgMar w:top="560" w:right="280" w:bottom="280" w:left="500" w:header="0" w:footer="517" w:gutter="0"/>
          <w:cols w:num="3" w:space="720" w:equalWidth="0">
            <w:col w:w="3964" w:space="1063"/>
            <w:col w:w="4600" w:space="426"/>
            <w:col w:w="6007"/>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BodyText"/>
        <w:spacing w:before="106" w:line="249" w:lineRule="auto"/>
        <w:ind w:left="492"/>
      </w:pPr>
      <w:bookmarkStart w:id="141" w:name="_bookmark101"/>
      <w:bookmarkEnd w:id="141"/>
      <w:r>
        <w:t>sufficient</w:t>
      </w:r>
      <w:r>
        <w:rPr>
          <w:spacing w:val="-8"/>
        </w:rPr>
        <w:t xml:space="preserve"> </w:t>
      </w:r>
      <w:r>
        <w:t>to</w:t>
      </w:r>
      <w:r>
        <w:rPr>
          <w:spacing w:val="-8"/>
        </w:rPr>
        <w:t xml:space="preserve"> </w:t>
      </w:r>
      <w:r>
        <w:t>allow</w:t>
      </w:r>
      <w:r>
        <w:rPr>
          <w:spacing w:val="-8"/>
        </w:rPr>
        <w:t xml:space="preserve"> </w:t>
      </w:r>
      <w:r>
        <w:t>additional</w:t>
      </w:r>
      <w:r>
        <w:rPr>
          <w:spacing w:val="-8"/>
        </w:rPr>
        <w:t xml:space="preserve"> </w:t>
      </w:r>
      <w:r>
        <w:t>connections,</w:t>
      </w:r>
      <w:r>
        <w:rPr>
          <w:spacing w:val="-8"/>
        </w:rPr>
        <w:t xml:space="preserve"> </w:t>
      </w:r>
      <w:r>
        <w:t>then</w:t>
      </w:r>
      <w:r>
        <w:rPr>
          <w:spacing w:val="-8"/>
        </w:rPr>
        <w:t xml:space="preserve"> </w:t>
      </w:r>
      <w:r>
        <w:t xml:space="preserve">new </w:t>
      </w:r>
      <w:r>
        <w:rPr>
          <w:w w:val="95"/>
        </w:rPr>
        <w:t xml:space="preserve">development and growth cannot proceed. For example, </w:t>
      </w:r>
      <w:r>
        <w:t>in</w:t>
      </w:r>
      <w:r>
        <w:rPr>
          <w:spacing w:val="-14"/>
        </w:rPr>
        <w:t xml:space="preserve"> </w:t>
      </w:r>
      <w:r>
        <w:t>2004</w:t>
      </w:r>
      <w:r>
        <w:rPr>
          <w:spacing w:val="-14"/>
        </w:rPr>
        <w:t xml:space="preserve"> </w:t>
      </w:r>
      <w:r>
        <w:t>Yass</w:t>
      </w:r>
      <w:r>
        <w:rPr>
          <w:spacing w:val="-14"/>
        </w:rPr>
        <w:t xml:space="preserve"> </w:t>
      </w:r>
      <w:r>
        <w:t>Valley</w:t>
      </w:r>
      <w:r>
        <w:rPr>
          <w:spacing w:val="-14"/>
        </w:rPr>
        <w:t xml:space="preserve"> </w:t>
      </w:r>
      <w:r>
        <w:t>Council</w:t>
      </w:r>
      <w:r>
        <w:rPr>
          <w:spacing w:val="-14"/>
        </w:rPr>
        <w:t xml:space="preserve"> </w:t>
      </w:r>
      <w:r>
        <w:t>imposed</w:t>
      </w:r>
      <w:r>
        <w:rPr>
          <w:spacing w:val="-14"/>
        </w:rPr>
        <w:t xml:space="preserve"> </w:t>
      </w:r>
      <w:r>
        <w:t>strict</w:t>
      </w:r>
      <w:r>
        <w:rPr>
          <w:spacing w:val="-14"/>
        </w:rPr>
        <w:t xml:space="preserve"> </w:t>
      </w:r>
      <w:r>
        <w:t>controls</w:t>
      </w:r>
    </w:p>
    <w:p w:rsidR="002C1123" w:rsidRDefault="00F22F94">
      <w:pPr>
        <w:pStyle w:val="BodyText"/>
        <w:spacing w:before="2" w:line="249" w:lineRule="auto"/>
        <w:ind w:left="492" w:right="144"/>
      </w:pPr>
      <w:r>
        <w:t>on</w:t>
      </w:r>
      <w:r>
        <w:rPr>
          <w:spacing w:val="-11"/>
        </w:rPr>
        <w:t xml:space="preserve"> </w:t>
      </w:r>
      <w:r>
        <w:t>the</w:t>
      </w:r>
      <w:r>
        <w:rPr>
          <w:spacing w:val="-11"/>
        </w:rPr>
        <w:t xml:space="preserve"> </w:t>
      </w:r>
      <w:r>
        <w:t>approval</w:t>
      </w:r>
      <w:r>
        <w:rPr>
          <w:spacing w:val="-11"/>
        </w:rPr>
        <w:t xml:space="preserve"> </w:t>
      </w:r>
      <w:r>
        <w:t>of</w:t>
      </w:r>
      <w:r>
        <w:rPr>
          <w:spacing w:val="-11"/>
        </w:rPr>
        <w:t xml:space="preserve"> </w:t>
      </w:r>
      <w:r>
        <w:t>new</w:t>
      </w:r>
      <w:r>
        <w:rPr>
          <w:spacing w:val="-11"/>
        </w:rPr>
        <w:t xml:space="preserve"> </w:t>
      </w:r>
      <w:r>
        <w:t>Development</w:t>
      </w:r>
      <w:r>
        <w:rPr>
          <w:spacing w:val="-11"/>
        </w:rPr>
        <w:t xml:space="preserve"> </w:t>
      </w:r>
      <w:r>
        <w:t>Applications</w:t>
      </w:r>
      <w:r>
        <w:rPr>
          <w:spacing w:val="-11"/>
        </w:rPr>
        <w:t xml:space="preserve"> </w:t>
      </w:r>
      <w:r>
        <w:t>on the</w:t>
      </w:r>
      <w:r>
        <w:rPr>
          <w:spacing w:val="-14"/>
        </w:rPr>
        <w:t xml:space="preserve"> </w:t>
      </w:r>
      <w:r>
        <w:t>basis</w:t>
      </w:r>
      <w:r>
        <w:rPr>
          <w:spacing w:val="-14"/>
        </w:rPr>
        <w:t xml:space="preserve"> </w:t>
      </w:r>
      <w:r>
        <w:t>of</w:t>
      </w:r>
      <w:r>
        <w:rPr>
          <w:spacing w:val="-14"/>
        </w:rPr>
        <w:t xml:space="preserve"> </w:t>
      </w:r>
      <w:r>
        <w:t>lack</w:t>
      </w:r>
      <w:r>
        <w:rPr>
          <w:spacing w:val="-14"/>
        </w:rPr>
        <w:t xml:space="preserve"> </w:t>
      </w:r>
      <w:r>
        <w:t>of</w:t>
      </w:r>
      <w:r>
        <w:rPr>
          <w:spacing w:val="-14"/>
        </w:rPr>
        <w:t xml:space="preserve"> </w:t>
      </w:r>
      <w:r>
        <w:t>security</w:t>
      </w:r>
      <w:r>
        <w:rPr>
          <w:spacing w:val="-14"/>
        </w:rPr>
        <w:t xml:space="preserve"> </w:t>
      </w:r>
      <w:r>
        <w:t>in</w:t>
      </w:r>
      <w:r>
        <w:rPr>
          <w:spacing w:val="-14"/>
        </w:rPr>
        <w:t xml:space="preserve"> </w:t>
      </w:r>
      <w:r>
        <w:t>water</w:t>
      </w:r>
      <w:r>
        <w:rPr>
          <w:spacing w:val="-14"/>
        </w:rPr>
        <w:t xml:space="preserve"> </w:t>
      </w:r>
      <w:r>
        <w:t>supply.</w:t>
      </w:r>
      <w:r>
        <w:rPr>
          <w:spacing w:val="-14"/>
        </w:rPr>
        <w:t xml:space="preserve"> </w:t>
      </w:r>
      <w:r>
        <w:t xml:space="preserve">Following </w:t>
      </w:r>
      <w:r>
        <w:rPr>
          <w:w w:val="95"/>
        </w:rPr>
        <w:t>Council’s</w:t>
      </w:r>
      <w:r>
        <w:rPr>
          <w:spacing w:val="-4"/>
          <w:w w:val="95"/>
        </w:rPr>
        <w:t xml:space="preserve"> </w:t>
      </w:r>
      <w:r>
        <w:rPr>
          <w:w w:val="95"/>
        </w:rPr>
        <w:t>approval</w:t>
      </w:r>
      <w:r>
        <w:rPr>
          <w:spacing w:val="-4"/>
          <w:w w:val="95"/>
        </w:rPr>
        <w:t xml:space="preserve"> </w:t>
      </w:r>
      <w:r>
        <w:rPr>
          <w:w w:val="95"/>
        </w:rPr>
        <w:t>of</w:t>
      </w:r>
      <w:r>
        <w:rPr>
          <w:spacing w:val="-4"/>
          <w:w w:val="95"/>
        </w:rPr>
        <w:t xml:space="preserve"> </w:t>
      </w:r>
      <w:r>
        <w:rPr>
          <w:w w:val="95"/>
        </w:rPr>
        <w:t>the</w:t>
      </w:r>
      <w:r>
        <w:rPr>
          <w:spacing w:val="-4"/>
          <w:w w:val="95"/>
        </w:rPr>
        <w:t xml:space="preserve"> </w:t>
      </w:r>
      <w:r>
        <w:rPr>
          <w:w w:val="95"/>
        </w:rPr>
        <w:t>raising</w:t>
      </w:r>
      <w:r>
        <w:rPr>
          <w:spacing w:val="-4"/>
          <w:w w:val="95"/>
        </w:rPr>
        <w:t xml:space="preserve"> </w:t>
      </w:r>
      <w:r>
        <w:rPr>
          <w:w w:val="95"/>
        </w:rPr>
        <w:t>of</w:t>
      </w:r>
      <w:r>
        <w:rPr>
          <w:spacing w:val="-4"/>
          <w:w w:val="95"/>
        </w:rPr>
        <w:t xml:space="preserve"> </w:t>
      </w:r>
      <w:r>
        <w:rPr>
          <w:w w:val="95"/>
        </w:rPr>
        <w:t>the</w:t>
      </w:r>
      <w:r>
        <w:rPr>
          <w:spacing w:val="-4"/>
          <w:w w:val="95"/>
        </w:rPr>
        <w:t xml:space="preserve"> </w:t>
      </w:r>
      <w:r>
        <w:rPr>
          <w:w w:val="95"/>
        </w:rPr>
        <w:t>Yass</w:t>
      </w:r>
      <w:r>
        <w:rPr>
          <w:spacing w:val="-4"/>
          <w:w w:val="95"/>
        </w:rPr>
        <w:t xml:space="preserve"> </w:t>
      </w:r>
      <w:r>
        <w:rPr>
          <w:w w:val="95"/>
        </w:rPr>
        <w:t>Dam</w:t>
      </w:r>
      <w:r>
        <w:rPr>
          <w:spacing w:val="-4"/>
          <w:w w:val="95"/>
        </w:rPr>
        <w:t xml:space="preserve"> </w:t>
      </w:r>
      <w:r>
        <w:rPr>
          <w:w w:val="95"/>
        </w:rPr>
        <w:t>Wall, these</w:t>
      </w:r>
      <w:r>
        <w:rPr>
          <w:spacing w:val="-3"/>
          <w:w w:val="95"/>
        </w:rPr>
        <w:t xml:space="preserve"> </w:t>
      </w:r>
      <w:r>
        <w:rPr>
          <w:w w:val="95"/>
        </w:rPr>
        <w:t>controls</w:t>
      </w:r>
      <w:r>
        <w:rPr>
          <w:spacing w:val="-3"/>
          <w:w w:val="95"/>
        </w:rPr>
        <w:t xml:space="preserve"> </w:t>
      </w:r>
      <w:r>
        <w:rPr>
          <w:w w:val="95"/>
        </w:rPr>
        <w:t>were</w:t>
      </w:r>
      <w:r>
        <w:rPr>
          <w:spacing w:val="-3"/>
          <w:w w:val="95"/>
        </w:rPr>
        <w:t xml:space="preserve"> </w:t>
      </w:r>
      <w:r>
        <w:rPr>
          <w:w w:val="95"/>
        </w:rPr>
        <w:t>able</w:t>
      </w:r>
      <w:r>
        <w:rPr>
          <w:spacing w:val="-3"/>
          <w:w w:val="95"/>
        </w:rPr>
        <w:t xml:space="preserve"> </w:t>
      </w:r>
      <w:r>
        <w:rPr>
          <w:w w:val="95"/>
        </w:rPr>
        <w:t>to</w:t>
      </w:r>
      <w:r>
        <w:rPr>
          <w:spacing w:val="-3"/>
          <w:w w:val="95"/>
        </w:rPr>
        <w:t xml:space="preserve"> </w:t>
      </w:r>
      <w:r>
        <w:rPr>
          <w:w w:val="95"/>
        </w:rPr>
        <w:t>be</w:t>
      </w:r>
      <w:r>
        <w:rPr>
          <w:spacing w:val="-3"/>
          <w:w w:val="95"/>
        </w:rPr>
        <w:t xml:space="preserve"> </w:t>
      </w:r>
      <w:r>
        <w:rPr>
          <w:w w:val="95"/>
        </w:rPr>
        <w:t>lifted,</w:t>
      </w:r>
      <w:r>
        <w:rPr>
          <w:spacing w:val="-3"/>
          <w:w w:val="95"/>
        </w:rPr>
        <w:t xml:space="preserve"> </w:t>
      </w:r>
      <w:r>
        <w:rPr>
          <w:w w:val="95"/>
        </w:rPr>
        <w:t>demonstrating</w:t>
      </w:r>
      <w:r>
        <w:rPr>
          <w:spacing w:val="-3"/>
          <w:w w:val="95"/>
        </w:rPr>
        <w:t xml:space="preserve"> </w:t>
      </w:r>
      <w:r>
        <w:rPr>
          <w:w w:val="95"/>
        </w:rPr>
        <w:t xml:space="preserve">the clear nexus between investment in water infrastructure </w:t>
      </w:r>
      <w:r>
        <w:t>and economic development</w:t>
      </w:r>
      <w:r>
        <w:rPr>
          <w:position w:val="7"/>
          <w:sz w:val="11"/>
        </w:rPr>
        <w:t>19</w:t>
      </w:r>
      <w:r>
        <w:t>.</w:t>
      </w:r>
    </w:p>
    <w:p w:rsidR="002C1123" w:rsidRDefault="00F22F94">
      <w:pPr>
        <w:pStyle w:val="BodyText"/>
        <w:spacing w:before="147" w:line="249" w:lineRule="auto"/>
        <w:ind w:left="492"/>
      </w:pPr>
      <w:r>
        <w:rPr>
          <w:w w:val="95"/>
        </w:rPr>
        <w:t>Regional</w:t>
      </w:r>
      <w:r>
        <w:rPr>
          <w:spacing w:val="-12"/>
          <w:w w:val="95"/>
        </w:rPr>
        <w:t xml:space="preserve"> </w:t>
      </w:r>
      <w:r>
        <w:rPr>
          <w:w w:val="95"/>
        </w:rPr>
        <w:t>communities</w:t>
      </w:r>
      <w:r>
        <w:rPr>
          <w:spacing w:val="-11"/>
          <w:w w:val="95"/>
        </w:rPr>
        <w:t xml:space="preserve"> </w:t>
      </w:r>
      <w:r>
        <w:rPr>
          <w:w w:val="95"/>
        </w:rPr>
        <w:t>are</w:t>
      </w:r>
      <w:r>
        <w:rPr>
          <w:spacing w:val="-11"/>
          <w:w w:val="95"/>
        </w:rPr>
        <w:t xml:space="preserve"> </w:t>
      </w:r>
      <w:r>
        <w:rPr>
          <w:w w:val="95"/>
        </w:rPr>
        <w:t>facing</w:t>
      </w:r>
      <w:r>
        <w:rPr>
          <w:spacing w:val="-11"/>
          <w:w w:val="95"/>
        </w:rPr>
        <w:t xml:space="preserve"> </w:t>
      </w:r>
      <w:r>
        <w:rPr>
          <w:w w:val="95"/>
        </w:rPr>
        <w:t>a</w:t>
      </w:r>
      <w:r>
        <w:rPr>
          <w:spacing w:val="-12"/>
          <w:w w:val="95"/>
        </w:rPr>
        <w:t xml:space="preserve"> </w:t>
      </w:r>
      <w:r>
        <w:rPr>
          <w:w w:val="95"/>
        </w:rPr>
        <w:t>decline</w:t>
      </w:r>
      <w:r>
        <w:rPr>
          <w:spacing w:val="-11"/>
          <w:w w:val="95"/>
        </w:rPr>
        <w:t xml:space="preserve"> </w:t>
      </w:r>
      <w:r>
        <w:rPr>
          <w:w w:val="95"/>
        </w:rPr>
        <w:t>in</w:t>
      </w:r>
      <w:r>
        <w:rPr>
          <w:spacing w:val="-11"/>
          <w:w w:val="95"/>
        </w:rPr>
        <w:t xml:space="preserve"> </w:t>
      </w:r>
      <w:r>
        <w:rPr>
          <w:w w:val="95"/>
        </w:rPr>
        <w:t>the</w:t>
      </w:r>
      <w:r>
        <w:rPr>
          <w:spacing w:val="-11"/>
          <w:w w:val="95"/>
        </w:rPr>
        <w:t xml:space="preserve"> </w:t>
      </w:r>
      <w:r>
        <w:rPr>
          <w:w w:val="95"/>
        </w:rPr>
        <w:t xml:space="preserve">capacity </w:t>
      </w:r>
      <w:r>
        <w:t>of</w:t>
      </w:r>
      <w:r>
        <w:rPr>
          <w:spacing w:val="-14"/>
        </w:rPr>
        <w:t xml:space="preserve"> </w:t>
      </w:r>
      <w:r>
        <w:t>their</w:t>
      </w:r>
      <w:r>
        <w:rPr>
          <w:spacing w:val="-14"/>
        </w:rPr>
        <w:t xml:space="preserve"> </w:t>
      </w:r>
      <w:r>
        <w:t>water</w:t>
      </w:r>
      <w:r>
        <w:rPr>
          <w:spacing w:val="-14"/>
        </w:rPr>
        <w:t xml:space="preserve"> </w:t>
      </w:r>
      <w:r>
        <w:t>systems</w:t>
      </w:r>
      <w:r>
        <w:rPr>
          <w:spacing w:val="-14"/>
        </w:rPr>
        <w:t xml:space="preserve"> </w:t>
      </w:r>
      <w:r>
        <w:t>to</w:t>
      </w:r>
      <w:r>
        <w:rPr>
          <w:spacing w:val="-14"/>
        </w:rPr>
        <w:t xml:space="preserve"> </w:t>
      </w:r>
      <w:r>
        <w:t>meet</w:t>
      </w:r>
      <w:r>
        <w:rPr>
          <w:spacing w:val="-14"/>
        </w:rPr>
        <w:t xml:space="preserve"> </w:t>
      </w:r>
      <w:r>
        <w:t>future</w:t>
      </w:r>
      <w:r>
        <w:rPr>
          <w:spacing w:val="-14"/>
        </w:rPr>
        <w:t xml:space="preserve"> </w:t>
      </w:r>
      <w:r>
        <w:t>water</w:t>
      </w:r>
      <w:r>
        <w:rPr>
          <w:spacing w:val="-14"/>
        </w:rPr>
        <w:t xml:space="preserve"> </w:t>
      </w:r>
      <w:r>
        <w:t>demand.</w:t>
      </w:r>
    </w:p>
    <w:p w:rsidR="002C1123" w:rsidRDefault="00F22F94">
      <w:pPr>
        <w:pStyle w:val="BodyText"/>
        <w:spacing w:before="2" w:line="249" w:lineRule="auto"/>
        <w:ind w:left="492" w:right="39"/>
      </w:pPr>
      <w:r>
        <w:t>A</w:t>
      </w:r>
      <w:r>
        <w:rPr>
          <w:spacing w:val="-14"/>
        </w:rPr>
        <w:t xml:space="preserve"> </w:t>
      </w:r>
      <w:r>
        <w:t>study</w:t>
      </w:r>
      <w:r>
        <w:rPr>
          <w:spacing w:val="-14"/>
        </w:rPr>
        <w:t xml:space="preserve"> </w:t>
      </w:r>
      <w:r>
        <w:t>conducted</w:t>
      </w:r>
      <w:r>
        <w:rPr>
          <w:spacing w:val="-14"/>
        </w:rPr>
        <w:t xml:space="preserve"> </w:t>
      </w:r>
      <w:r>
        <w:t>jointly</w:t>
      </w:r>
      <w:r>
        <w:rPr>
          <w:spacing w:val="-14"/>
        </w:rPr>
        <w:t xml:space="preserve"> </w:t>
      </w:r>
      <w:r>
        <w:t>by</w:t>
      </w:r>
      <w:r>
        <w:rPr>
          <w:spacing w:val="-14"/>
        </w:rPr>
        <w:t xml:space="preserve"> </w:t>
      </w:r>
      <w:r>
        <w:t>NSW</w:t>
      </w:r>
      <w:r>
        <w:rPr>
          <w:spacing w:val="-14"/>
        </w:rPr>
        <w:t xml:space="preserve"> </w:t>
      </w:r>
      <w:r>
        <w:t>Public</w:t>
      </w:r>
      <w:r>
        <w:rPr>
          <w:spacing w:val="-14"/>
        </w:rPr>
        <w:t xml:space="preserve"> </w:t>
      </w:r>
      <w:r>
        <w:t>Works</w:t>
      </w:r>
      <w:r>
        <w:rPr>
          <w:spacing w:val="-14"/>
        </w:rPr>
        <w:t xml:space="preserve"> </w:t>
      </w:r>
      <w:r>
        <w:t xml:space="preserve">and </w:t>
      </w:r>
      <w:r>
        <w:rPr>
          <w:w w:val="95"/>
        </w:rPr>
        <w:t>the</w:t>
      </w:r>
      <w:r>
        <w:rPr>
          <w:spacing w:val="-1"/>
          <w:w w:val="95"/>
        </w:rPr>
        <w:t xml:space="preserve"> </w:t>
      </w:r>
      <w:r>
        <w:rPr>
          <w:w w:val="95"/>
        </w:rPr>
        <w:t>NSW</w:t>
      </w:r>
      <w:r>
        <w:rPr>
          <w:spacing w:val="-1"/>
          <w:w w:val="95"/>
        </w:rPr>
        <w:t xml:space="preserve"> </w:t>
      </w:r>
      <w:r>
        <w:rPr>
          <w:w w:val="95"/>
        </w:rPr>
        <w:t>Office</w:t>
      </w:r>
      <w:r>
        <w:rPr>
          <w:spacing w:val="-1"/>
          <w:w w:val="95"/>
        </w:rPr>
        <w:t xml:space="preserve"> </w:t>
      </w:r>
      <w:r>
        <w:rPr>
          <w:w w:val="95"/>
        </w:rPr>
        <w:t>of</w:t>
      </w:r>
      <w:r>
        <w:rPr>
          <w:spacing w:val="-1"/>
          <w:w w:val="95"/>
        </w:rPr>
        <w:t xml:space="preserve"> </w:t>
      </w:r>
      <w:r>
        <w:rPr>
          <w:w w:val="95"/>
        </w:rPr>
        <w:t>Water,</w:t>
      </w:r>
      <w:r>
        <w:rPr>
          <w:spacing w:val="-1"/>
          <w:w w:val="95"/>
        </w:rPr>
        <w:t xml:space="preserve"> </w:t>
      </w:r>
      <w:r>
        <w:rPr>
          <w:w w:val="95"/>
        </w:rPr>
        <w:t>(using</w:t>
      </w:r>
      <w:r>
        <w:rPr>
          <w:spacing w:val="-1"/>
          <w:w w:val="95"/>
        </w:rPr>
        <w:t xml:space="preserve"> </w:t>
      </w:r>
      <w:r>
        <w:rPr>
          <w:w w:val="95"/>
        </w:rPr>
        <w:t>CSIRO</w:t>
      </w:r>
      <w:r>
        <w:rPr>
          <w:spacing w:val="-1"/>
          <w:w w:val="95"/>
        </w:rPr>
        <w:t xml:space="preserve"> </w:t>
      </w:r>
      <w:r>
        <w:rPr>
          <w:w w:val="95"/>
        </w:rPr>
        <w:t>methodology), estimates that global warming and climate variability is likely</w:t>
      </w:r>
      <w:r>
        <w:rPr>
          <w:spacing w:val="-12"/>
          <w:w w:val="95"/>
        </w:rPr>
        <w:t xml:space="preserve"> </w:t>
      </w:r>
      <w:r>
        <w:rPr>
          <w:w w:val="95"/>
        </w:rPr>
        <w:t>to</w:t>
      </w:r>
      <w:r>
        <w:rPr>
          <w:spacing w:val="-11"/>
          <w:w w:val="95"/>
        </w:rPr>
        <w:t xml:space="preserve"> </w:t>
      </w:r>
      <w:r>
        <w:rPr>
          <w:w w:val="95"/>
        </w:rPr>
        <w:t>cause</w:t>
      </w:r>
      <w:r>
        <w:rPr>
          <w:spacing w:val="-11"/>
          <w:w w:val="95"/>
        </w:rPr>
        <w:t xml:space="preserve"> </w:t>
      </w:r>
      <w:r>
        <w:rPr>
          <w:w w:val="95"/>
        </w:rPr>
        <w:t>a</w:t>
      </w:r>
      <w:r>
        <w:rPr>
          <w:spacing w:val="-11"/>
          <w:w w:val="95"/>
        </w:rPr>
        <w:t xml:space="preserve"> </w:t>
      </w:r>
      <w:r>
        <w:rPr>
          <w:w w:val="95"/>
        </w:rPr>
        <w:t>30</w:t>
      </w:r>
      <w:r>
        <w:rPr>
          <w:spacing w:val="-12"/>
          <w:w w:val="95"/>
        </w:rPr>
        <w:t xml:space="preserve"> </w:t>
      </w:r>
      <w:r>
        <w:rPr>
          <w:w w:val="95"/>
        </w:rPr>
        <w:t>percent</w:t>
      </w:r>
      <w:r>
        <w:rPr>
          <w:spacing w:val="-11"/>
          <w:w w:val="95"/>
        </w:rPr>
        <w:t xml:space="preserve"> </w:t>
      </w:r>
      <w:r>
        <w:rPr>
          <w:w w:val="95"/>
        </w:rPr>
        <w:t>reduction</w:t>
      </w:r>
      <w:r>
        <w:rPr>
          <w:spacing w:val="-11"/>
          <w:w w:val="95"/>
        </w:rPr>
        <w:t xml:space="preserve"> </w:t>
      </w:r>
      <w:r>
        <w:rPr>
          <w:w w:val="95"/>
        </w:rPr>
        <w:t>in</w:t>
      </w:r>
      <w:r>
        <w:rPr>
          <w:spacing w:val="-11"/>
          <w:w w:val="95"/>
        </w:rPr>
        <w:t xml:space="preserve"> </w:t>
      </w:r>
      <w:r>
        <w:rPr>
          <w:w w:val="95"/>
        </w:rPr>
        <w:t>the</w:t>
      </w:r>
      <w:r>
        <w:rPr>
          <w:spacing w:val="-11"/>
          <w:w w:val="95"/>
        </w:rPr>
        <w:t xml:space="preserve"> </w:t>
      </w:r>
      <w:r>
        <w:rPr>
          <w:w w:val="95"/>
        </w:rPr>
        <w:t>secure</w:t>
      </w:r>
      <w:r>
        <w:rPr>
          <w:spacing w:val="-12"/>
          <w:w w:val="95"/>
        </w:rPr>
        <w:t xml:space="preserve"> </w:t>
      </w:r>
      <w:r>
        <w:rPr>
          <w:w w:val="95"/>
        </w:rPr>
        <w:t xml:space="preserve">yield </w:t>
      </w:r>
      <w:r>
        <w:rPr>
          <w:spacing w:val="-2"/>
        </w:rPr>
        <w:t>of</w:t>
      </w:r>
      <w:r>
        <w:rPr>
          <w:spacing w:val="-8"/>
        </w:rPr>
        <w:t xml:space="preserve"> </w:t>
      </w:r>
      <w:r>
        <w:rPr>
          <w:spacing w:val="-2"/>
        </w:rPr>
        <w:t>many</w:t>
      </w:r>
      <w:r>
        <w:rPr>
          <w:spacing w:val="-8"/>
        </w:rPr>
        <w:t xml:space="preserve"> </w:t>
      </w:r>
      <w:r>
        <w:rPr>
          <w:spacing w:val="-2"/>
        </w:rPr>
        <w:t>inland</w:t>
      </w:r>
      <w:r>
        <w:rPr>
          <w:spacing w:val="-8"/>
        </w:rPr>
        <w:t xml:space="preserve"> </w:t>
      </w:r>
      <w:r>
        <w:rPr>
          <w:spacing w:val="-2"/>
        </w:rPr>
        <w:t>regional</w:t>
      </w:r>
      <w:r>
        <w:rPr>
          <w:spacing w:val="-8"/>
        </w:rPr>
        <w:t xml:space="preserve"> </w:t>
      </w:r>
      <w:r>
        <w:rPr>
          <w:spacing w:val="-2"/>
        </w:rPr>
        <w:t>water</w:t>
      </w:r>
      <w:r>
        <w:rPr>
          <w:spacing w:val="-8"/>
        </w:rPr>
        <w:t xml:space="preserve"> </w:t>
      </w:r>
      <w:r>
        <w:rPr>
          <w:spacing w:val="-2"/>
        </w:rPr>
        <w:t>systems</w:t>
      </w:r>
      <w:r>
        <w:rPr>
          <w:spacing w:val="-8"/>
        </w:rPr>
        <w:t xml:space="preserve"> </w:t>
      </w:r>
      <w:r>
        <w:rPr>
          <w:spacing w:val="-2"/>
        </w:rPr>
        <w:t>by</w:t>
      </w:r>
      <w:r>
        <w:rPr>
          <w:spacing w:val="-8"/>
        </w:rPr>
        <w:t xml:space="preserve"> </w:t>
      </w:r>
      <w:r>
        <w:rPr>
          <w:spacing w:val="-2"/>
        </w:rPr>
        <w:t>2030.</w:t>
      </w:r>
    </w:p>
    <w:p w:rsidR="002C1123" w:rsidRDefault="00F22F94">
      <w:pPr>
        <w:pStyle w:val="BodyText"/>
        <w:spacing w:before="145" w:line="249" w:lineRule="auto"/>
        <w:ind w:left="492"/>
      </w:pPr>
      <w:r>
        <w:t>Infrastructure</w:t>
      </w:r>
      <w:r>
        <w:rPr>
          <w:spacing w:val="-12"/>
        </w:rPr>
        <w:t xml:space="preserve"> </w:t>
      </w:r>
      <w:r>
        <w:t>investment</w:t>
      </w:r>
      <w:r>
        <w:rPr>
          <w:spacing w:val="-12"/>
        </w:rPr>
        <w:t xml:space="preserve"> </w:t>
      </w:r>
      <w:r>
        <w:t>will</w:t>
      </w:r>
      <w:r>
        <w:rPr>
          <w:spacing w:val="-12"/>
        </w:rPr>
        <w:t xml:space="preserve"> </w:t>
      </w:r>
      <w:r>
        <w:t>be</w:t>
      </w:r>
      <w:r>
        <w:rPr>
          <w:spacing w:val="-12"/>
        </w:rPr>
        <w:t xml:space="preserve"> </w:t>
      </w:r>
      <w:r>
        <w:t>needed</w:t>
      </w:r>
      <w:r>
        <w:rPr>
          <w:spacing w:val="-12"/>
        </w:rPr>
        <w:t xml:space="preserve"> </w:t>
      </w:r>
      <w:r>
        <w:t>for</w:t>
      </w:r>
      <w:r>
        <w:rPr>
          <w:spacing w:val="-12"/>
        </w:rPr>
        <w:t xml:space="preserve"> </w:t>
      </w:r>
      <w:r>
        <w:t>new</w:t>
      </w:r>
      <w:r>
        <w:rPr>
          <w:spacing w:val="-13"/>
        </w:rPr>
        <w:t xml:space="preserve"> </w:t>
      </w:r>
      <w:r>
        <w:t xml:space="preserve">water </w:t>
      </w:r>
      <w:r>
        <w:rPr>
          <w:w w:val="95"/>
        </w:rPr>
        <w:t>sources</w:t>
      </w:r>
      <w:r>
        <w:rPr>
          <w:spacing w:val="-2"/>
          <w:w w:val="95"/>
        </w:rPr>
        <w:t xml:space="preserve"> </w:t>
      </w:r>
      <w:r>
        <w:rPr>
          <w:w w:val="95"/>
        </w:rPr>
        <w:t>to</w:t>
      </w:r>
      <w:r>
        <w:rPr>
          <w:spacing w:val="-2"/>
          <w:w w:val="95"/>
        </w:rPr>
        <w:t xml:space="preserve"> </w:t>
      </w:r>
      <w:r>
        <w:rPr>
          <w:w w:val="95"/>
        </w:rPr>
        <w:t>augment</w:t>
      </w:r>
      <w:r>
        <w:rPr>
          <w:spacing w:val="-2"/>
          <w:w w:val="95"/>
        </w:rPr>
        <w:t xml:space="preserve"> </w:t>
      </w:r>
      <w:r>
        <w:rPr>
          <w:w w:val="95"/>
        </w:rPr>
        <w:t>water</w:t>
      </w:r>
      <w:r>
        <w:rPr>
          <w:spacing w:val="-2"/>
          <w:w w:val="95"/>
        </w:rPr>
        <w:t xml:space="preserve"> </w:t>
      </w:r>
      <w:r>
        <w:rPr>
          <w:w w:val="95"/>
        </w:rPr>
        <w:t>supply</w:t>
      </w:r>
      <w:r>
        <w:rPr>
          <w:spacing w:val="-2"/>
          <w:w w:val="95"/>
        </w:rPr>
        <w:t xml:space="preserve"> </w:t>
      </w:r>
      <w:r>
        <w:rPr>
          <w:w w:val="95"/>
        </w:rPr>
        <w:t>from</w:t>
      </w:r>
      <w:r>
        <w:rPr>
          <w:spacing w:val="-2"/>
          <w:w w:val="95"/>
        </w:rPr>
        <w:t xml:space="preserve"> </w:t>
      </w:r>
      <w:r>
        <w:rPr>
          <w:w w:val="95"/>
        </w:rPr>
        <w:t>existing</w:t>
      </w:r>
      <w:r>
        <w:rPr>
          <w:spacing w:val="-2"/>
          <w:w w:val="95"/>
        </w:rPr>
        <w:t xml:space="preserve"> </w:t>
      </w:r>
      <w:r>
        <w:rPr>
          <w:w w:val="95"/>
        </w:rPr>
        <w:t xml:space="preserve">declining </w:t>
      </w:r>
      <w:r>
        <w:t>yield sources, such as:</w:t>
      </w:r>
    </w:p>
    <w:p w:rsidR="002C1123" w:rsidRDefault="00F22F94">
      <w:pPr>
        <w:pStyle w:val="ListParagraph"/>
        <w:numPr>
          <w:ilvl w:val="3"/>
          <w:numId w:val="103"/>
        </w:numPr>
        <w:tabs>
          <w:tab w:val="left" w:pos="776"/>
        </w:tabs>
        <w:spacing w:before="132" w:line="249" w:lineRule="auto"/>
        <w:ind w:right="385" w:hanging="284"/>
        <w:rPr>
          <w:sz w:val="20"/>
        </w:rPr>
      </w:pPr>
      <w:r>
        <w:rPr>
          <w:w w:val="95"/>
          <w:sz w:val="20"/>
        </w:rPr>
        <w:t xml:space="preserve">new dams and dam augmentations storing more </w:t>
      </w:r>
      <w:r>
        <w:rPr>
          <w:sz w:val="20"/>
        </w:rPr>
        <w:t>water to counter prolonged droughts; and</w:t>
      </w:r>
    </w:p>
    <w:p w:rsidR="002C1123" w:rsidRDefault="00F22F94">
      <w:pPr>
        <w:pStyle w:val="ListParagraph"/>
        <w:numPr>
          <w:ilvl w:val="3"/>
          <w:numId w:val="103"/>
        </w:numPr>
        <w:tabs>
          <w:tab w:val="left" w:pos="776"/>
        </w:tabs>
        <w:spacing w:before="131" w:line="249" w:lineRule="auto"/>
        <w:ind w:right="12" w:hanging="284"/>
        <w:rPr>
          <w:sz w:val="20"/>
        </w:rPr>
      </w:pPr>
      <w:r>
        <w:rPr>
          <w:w w:val="95"/>
          <w:sz w:val="20"/>
        </w:rPr>
        <w:t xml:space="preserve">increased pumping capacity and off-stream storages </w:t>
      </w:r>
      <w:r>
        <w:rPr>
          <w:sz w:val="20"/>
        </w:rPr>
        <w:t>to</w:t>
      </w:r>
      <w:r>
        <w:rPr>
          <w:spacing w:val="-5"/>
          <w:sz w:val="20"/>
        </w:rPr>
        <w:t xml:space="preserve"> </w:t>
      </w:r>
      <w:r>
        <w:rPr>
          <w:sz w:val="20"/>
        </w:rPr>
        <w:t>extract</w:t>
      </w:r>
      <w:r>
        <w:rPr>
          <w:spacing w:val="-5"/>
          <w:sz w:val="20"/>
        </w:rPr>
        <w:t xml:space="preserve"> </w:t>
      </w:r>
      <w:r>
        <w:rPr>
          <w:sz w:val="20"/>
        </w:rPr>
        <w:t>the</w:t>
      </w:r>
      <w:r>
        <w:rPr>
          <w:spacing w:val="-5"/>
          <w:sz w:val="20"/>
        </w:rPr>
        <w:t xml:space="preserve"> </w:t>
      </w:r>
      <w:r>
        <w:rPr>
          <w:sz w:val="20"/>
        </w:rPr>
        <w:t>maximum</w:t>
      </w:r>
      <w:r>
        <w:rPr>
          <w:spacing w:val="-5"/>
          <w:sz w:val="20"/>
        </w:rPr>
        <w:t xml:space="preserve"> </w:t>
      </w:r>
      <w:r>
        <w:rPr>
          <w:sz w:val="20"/>
        </w:rPr>
        <w:t>allowable</w:t>
      </w:r>
      <w:r>
        <w:rPr>
          <w:spacing w:val="-5"/>
          <w:sz w:val="20"/>
        </w:rPr>
        <w:t xml:space="preserve"> </w:t>
      </w:r>
      <w:r>
        <w:rPr>
          <w:sz w:val="20"/>
        </w:rPr>
        <w:t>water</w:t>
      </w:r>
      <w:r>
        <w:rPr>
          <w:spacing w:val="-5"/>
          <w:sz w:val="20"/>
        </w:rPr>
        <w:t xml:space="preserve"> </w:t>
      </w:r>
      <w:r>
        <w:rPr>
          <w:sz w:val="20"/>
        </w:rPr>
        <w:t>from streams</w:t>
      </w:r>
      <w:r>
        <w:rPr>
          <w:spacing w:val="-6"/>
          <w:sz w:val="20"/>
        </w:rPr>
        <w:t xml:space="preserve"> </w:t>
      </w:r>
      <w:r>
        <w:rPr>
          <w:sz w:val="20"/>
        </w:rPr>
        <w:t>during</w:t>
      </w:r>
      <w:r>
        <w:rPr>
          <w:spacing w:val="-6"/>
          <w:sz w:val="20"/>
        </w:rPr>
        <w:t xml:space="preserve"> </w:t>
      </w:r>
      <w:r>
        <w:rPr>
          <w:sz w:val="20"/>
        </w:rPr>
        <w:t>periods</w:t>
      </w:r>
      <w:r>
        <w:rPr>
          <w:spacing w:val="-6"/>
          <w:sz w:val="20"/>
        </w:rPr>
        <w:t xml:space="preserve"> </w:t>
      </w:r>
      <w:r>
        <w:rPr>
          <w:sz w:val="20"/>
        </w:rPr>
        <w:t>of</w:t>
      </w:r>
      <w:r>
        <w:rPr>
          <w:spacing w:val="-6"/>
          <w:sz w:val="20"/>
        </w:rPr>
        <w:t xml:space="preserve"> </w:t>
      </w:r>
      <w:r>
        <w:rPr>
          <w:sz w:val="20"/>
        </w:rPr>
        <w:t>high</w:t>
      </w:r>
      <w:r>
        <w:rPr>
          <w:spacing w:val="-6"/>
          <w:sz w:val="20"/>
        </w:rPr>
        <w:t xml:space="preserve"> </w:t>
      </w:r>
      <w:r>
        <w:rPr>
          <w:sz w:val="20"/>
        </w:rPr>
        <w:t>stream</w:t>
      </w:r>
      <w:r>
        <w:rPr>
          <w:spacing w:val="-6"/>
          <w:sz w:val="20"/>
        </w:rPr>
        <w:t xml:space="preserve"> </w:t>
      </w:r>
      <w:r>
        <w:rPr>
          <w:sz w:val="20"/>
        </w:rPr>
        <w:t>flows.</w:t>
      </w:r>
    </w:p>
    <w:p w:rsidR="002C1123" w:rsidRDefault="00F22F94">
      <w:pPr>
        <w:pStyle w:val="BodyText"/>
        <w:spacing w:before="143" w:line="249" w:lineRule="auto"/>
        <w:ind w:left="492"/>
      </w:pPr>
      <w:r>
        <w:rPr>
          <w:w w:val="95"/>
        </w:rPr>
        <w:t>The</w:t>
      </w:r>
      <w:r>
        <w:rPr>
          <w:spacing w:val="-12"/>
          <w:w w:val="95"/>
        </w:rPr>
        <w:t xml:space="preserve"> </w:t>
      </w:r>
      <w:r>
        <w:rPr>
          <w:w w:val="95"/>
        </w:rPr>
        <w:t>NSW</w:t>
      </w:r>
      <w:r>
        <w:rPr>
          <w:spacing w:val="-11"/>
          <w:w w:val="95"/>
        </w:rPr>
        <w:t xml:space="preserve"> </w:t>
      </w:r>
      <w:r>
        <w:rPr>
          <w:w w:val="95"/>
        </w:rPr>
        <w:t>Office</w:t>
      </w:r>
      <w:r>
        <w:rPr>
          <w:spacing w:val="-11"/>
          <w:w w:val="95"/>
        </w:rPr>
        <w:t xml:space="preserve"> </w:t>
      </w:r>
      <w:r>
        <w:rPr>
          <w:w w:val="95"/>
        </w:rPr>
        <w:t>of</w:t>
      </w:r>
      <w:r>
        <w:rPr>
          <w:spacing w:val="-11"/>
          <w:w w:val="95"/>
        </w:rPr>
        <w:t xml:space="preserve"> </w:t>
      </w:r>
      <w:r>
        <w:rPr>
          <w:w w:val="95"/>
        </w:rPr>
        <w:t>Water</w:t>
      </w:r>
      <w:r>
        <w:rPr>
          <w:spacing w:val="-11"/>
          <w:w w:val="95"/>
        </w:rPr>
        <w:t xml:space="preserve"> </w:t>
      </w:r>
      <w:r>
        <w:rPr>
          <w:w w:val="95"/>
        </w:rPr>
        <w:t>estimates</w:t>
      </w:r>
      <w:r>
        <w:rPr>
          <w:spacing w:val="-11"/>
          <w:w w:val="95"/>
        </w:rPr>
        <w:t xml:space="preserve"> </w:t>
      </w:r>
      <w:r>
        <w:rPr>
          <w:w w:val="95"/>
        </w:rPr>
        <w:t>the</w:t>
      </w:r>
      <w:r>
        <w:rPr>
          <w:spacing w:val="-11"/>
          <w:w w:val="95"/>
        </w:rPr>
        <w:t xml:space="preserve"> </w:t>
      </w:r>
      <w:r>
        <w:rPr>
          <w:w w:val="95"/>
        </w:rPr>
        <w:t>investment</w:t>
      </w:r>
      <w:r>
        <w:rPr>
          <w:spacing w:val="-11"/>
          <w:w w:val="95"/>
        </w:rPr>
        <w:t xml:space="preserve"> </w:t>
      </w:r>
      <w:r>
        <w:rPr>
          <w:w w:val="95"/>
        </w:rPr>
        <w:t xml:space="preserve">value of regional water utilities needed to counter the impacts </w:t>
      </w:r>
      <w:r>
        <w:t>of</w:t>
      </w:r>
      <w:r>
        <w:rPr>
          <w:spacing w:val="-13"/>
        </w:rPr>
        <w:t xml:space="preserve"> </w:t>
      </w:r>
      <w:r>
        <w:t>climate</w:t>
      </w:r>
      <w:r>
        <w:rPr>
          <w:spacing w:val="-13"/>
        </w:rPr>
        <w:t xml:space="preserve"> </w:t>
      </w:r>
      <w:r>
        <w:t>variability</w:t>
      </w:r>
      <w:r>
        <w:rPr>
          <w:spacing w:val="-13"/>
        </w:rPr>
        <w:t xml:space="preserve"> </w:t>
      </w:r>
      <w:r>
        <w:t>and</w:t>
      </w:r>
      <w:r>
        <w:rPr>
          <w:spacing w:val="-13"/>
        </w:rPr>
        <w:t xml:space="preserve"> </w:t>
      </w:r>
      <w:r>
        <w:t>global</w:t>
      </w:r>
      <w:r>
        <w:rPr>
          <w:spacing w:val="-13"/>
        </w:rPr>
        <w:t xml:space="preserve"> </w:t>
      </w:r>
      <w:r>
        <w:t>warming</w:t>
      </w:r>
      <w:r>
        <w:rPr>
          <w:spacing w:val="-13"/>
        </w:rPr>
        <w:t xml:space="preserve"> </w:t>
      </w:r>
      <w:r>
        <w:t>may</w:t>
      </w:r>
      <w:r>
        <w:rPr>
          <w:spacing w:val="-13"/>
        </w:rPr>
        <w:t xml:space="preserve"> </w:t>
      </w:r>
      <w:r>
        <w:t>be</w:t>
      </w:r>
      <w:r>
        <w:rPr>
          <w:spacing w:val="-13"/>
        </w:rPr>
        <w:t xml:space="preserve"> </w:t>
      </w:r>
      <w:r>
        <w:t>up</w:t>
      </w:r>
    </w:p>
    <w:p w:rsidR="002C1123" w:rsidRDefault="00F22F94">
      <w:pPr>
        <w:pStyle w:val="BodyText"/>
        <w:spacing w:before="3"/>
        <w:ind w:left="492"/>
      </w:pPr>
      <w:r>
        <w:rPr>
          <w:w w:val="95"/>
        </w:rPr>
        <w:t>to</w:t>
      </w:r>
      <w:r>
        <w:rPr>
          <w:spacing w:val="-12"/>
          <w:w w:val="95"/>
        </w:rPr>
        <w:t xml:space="preserve"> </w:t>
      </w:r>
      <w:r>
        <w:rPr>
          <w:w w:val="95"/>
        </w:rPr>
        <w:t>$1.3</w:t>
      </w:r>
      <w:r>
        <w:rPr>
          <w:spacing w:val="-11"/>
          <w:w w:val="95"/>
        </w:rPr>
        <w:t xml:space="preserve"> </w:t>
      </w:r>
      <w:r>
        <w:rPr>
          <w:w w:val="95"/>
        </w:rPr>
        <w:t>billion.</w:t>
      </w:r>
      <w:r>
        <w:rPr>
          <w:spacing w:val="-11"/>
          <w:w w:val="95"/>
        </w:rPr>
        <w:t xml:space="preserve"> </w:t>
      </w:r>
      <w:r>
        <w:rPr>
          <w:w w:val="95"/>
        </w:rPr>
        <w:t>This</w:t>
      </w:r>
      <w:r>
        <w:rPr>
          <w:spacing w:val="-11"/>
          <w:w w:val="95"/>
        </w:rPr>
        <w:t xml:space="preserve"> </w:t>
      </w:r>
      <w:r>
        <w:rPr>
          <w:w w:val="95"/>
        </w:rPr>
        <w:t>is</w:t>
      </w:r>
      <w:r>
        <w:rPr>
          <w:spacing w:val="-11"/>
          <w:w w:val="95"/>
        </w:rPr>
        <w:t xml:space="preserve"> </w:t>
      </w:r>
      <w:r>
        <w:rPr>
          <w:w w:val="95"/>
        </w:rPr>
        <w:t>in</w:t>
      </w:r>
      <w:r>
        <w:rPr>
          <w:spacing w:val="-11"/>
          <w:w w:val="95"/>
        </w:rPr>
        <w:t xml:space="preserve"> </w:t>
      </w:r>
      <w:r>
        <w:rPr>
          <w:w w:val="95"/>
        </w:rPr>
        <w:t>addition</w:t>
      </w:r>
      <w:r>
        <w:rPr>
          <w:spacing w:val="-11"/>
          <w:w w:val="95"/>
        </w:rPr>
        <w:t xml:space="preserve"> </w:t>
      </w:r>
      <w:r>
        <w:rPr>
          <w:w w:val="95"/>
        </w:rPr>
        <w:t>to</w:t>
      </w:r>
      <w:r>
        <w:rPr>
          <w:spacing w:val="-11"/>
          <w:w w:val="95"/>
        </w:rPr>
        <w:t xml:space="preserve"> </w:t>
      </w:r>
      <w:r>
        <w:rPr>
          <w:w w:val="95"/>
        </w:rPr>
        <w:t>the</w:t>
      </w:r>
      <w:r>
        <w:rPr>
          <w:spacing w:val="-11"/>
          <w:w w:val="95"/>
        </w:rPr>
        <w:t xml:space="preserve"> </w:t>
      </w:r>
      <w:r>
        <w:rPr>
          <w:w w:val="95"/>
        </w:rPr>
        <w:t>utilities’</w:t>
      </w:r>
      <w:r>
        <w:rPr>
          <w:spacing w:val="-12"/>
          <w:w w:val="95"/>
        </w:rPr>
        <w:t xml:space="preserve"> </w:t>
      </w:r>
      <w:r>
        <w:rPr>
          <w:spacing w:val="-2"/>
          <w:w w:val="95"/>
        </w:rPr>
        <w:t>current</w:t>
      </w:r>
    </w:p>
    <w:p w:rsidR="002C1123" w:rsidRDefault="00F22F94">
      <w:pPr>
        <w:pStyle w:val="BodyText"/>
        <w:spacing w:before="106" w:line="249" w:lineRule="auto"/>
        <w:ind w:left="202"/>
      </w:pPr>
      <w:r>
        <w:br w:type="column"/>
      </w:r>
      <w:r>
        <w:rPr>
          <w:w w:val="95"/>
        </w:rPr>
        <w:t xml:space="preserve">factored in the costs associated with global warming and </w:t>
      </w:r>
      <w:r>
        <w:t>climate</w:t>
      </w:r>
      <w:r>
        <w:rPr>
          <w:spacing w:val="-11"/>
        </w:rPr>
        <w:t xml:space="preserve"> </w:t>
      </w:r>
      <w:r>
        <w:t>variability.</w:t>
      </w:r>
    </w:p>
    <w:p w:rsidR="002C1123" w:rsidRDefault="00F22F94">
      <w:pPr>
        <w:pStyle w:val="BodyText"/>
        <w:spacing w:before="143" w:line="249" w:lineRule="auto"/>
        <w:ind w:left="202"/>
      </w:pPr>
      <w:r>
        <w:rPr>
          <w:w w:val="95"/>
        </w:rPr>
        <w:t>There</w:t>
      </w:r>
      <w:r>
        <w:rPr>
          <w:spacing w:val="-6"/>
          <w:w w:val="95"/>
        </w:rPr>
        <w:t xml:space="preserve"> </w:t>
      </w:r>
      <w:r>
        <w:rPr>
          <w:w w:val="95"/>
        </w:rPr>
        <w:t>are</w:t>
      </w:r>
      <w:r>
        <w:rPr>
          <w:spacing w:val="-6"/>
          <w:w w:val="95"/>
        </w:rPr>
        <w:t xml:space="preserve"> </w:t>
      </w:r>
      <w:r>
        <w:rPr>
          <w:w w:val="95"/>
        </w:rPr>
        <w:t>ongoing</w:t>
      </w:r>
      <w:r>
        <w:rPr>
          <w:spacing w:val="-6"/>
          <w:w w:val="95"/>
        </w:rPr>
        <w:t xml:space="preserve"> </w:t>
      </w:r>
      <w:r>
        <w:rPr>
          <w:w w:val="95"/>
        </w:rPr>
        <w:t>subsidies</w:t>
      </w:r>
      <w:r>
        <w:rPr>
          <w:spacing w:val="-6"/>
          <w:w w:val="95"/>
        </w:rPr>
        <w:t xml:space="preserve"> </w:t>
      </w:r>
      <w:r>
        <w:rPr>
          <w:w w:val="95"/>
        </w:rPr>
        <w:t>from</w:t>
      </w:r>
      <w:r>
        <w:rPr>
          <w:spacing w:val="-6"/>
          <w:w w:val="95"/>
        </w:rPr>
        <w:t xml:space="preserve"> </w:t>
      </w:r>
      <w:r>
        <w:rPr>
          <w:w w:val="95"/>
        </w:rPr>
        <w:t>the</w:t>
      </w:r>
      <w:r>
        <w:rPr>
          <w:spacing w:val="-6"/>
          <w:w w:val="95"/>
        </w:rPr>
        <w:t xml:space="preserve"> </w:t>
      </w:r>
      <w:r>
        <w:rPr>
          <w:w w:val="95"/>
        </w:rPr>
        <w:t>State</w:t>
      </w:r>
      <w:r>
        <w:rPr>
          <w:spacing w:val="-6"/>
          <w:w w:val="95"/>
        </w:rPr>
        <w:t xml:space="preserve"> </w:t>
      </w:r>
      <w:r>
        <w:rPr>
          <w:w w:val="95"/>
        </w:rPr>
        <w:t xml:space="preserve">Government </w:t>
      </w:r>
      <w:r>
        <w:t>to</w:t>
      </w:r>
      <w:r>
        <w:rPr>
          <w:spacing w:val="-11"/>
        </w:rPr>
        <w:t xml:space="preserve"> </w:t>
      </w:r>
      <w:r>
        <w:t>local</w:t>
      </w:r>
      <w:r>
        <w:rPr>
          <w:spacing w:val="-11"/>
        </w:rPr>
        <w:t xml:space="preserve"> </w:t>
      </w:r>
      <w:r>
        <w:t>water</w:t>
      </w:r>
      <w:r>
        <w:rPr>
          <w:spacing w:val="-11"/>
        </w:rPr>
        <w:t xml:space="preserve"> </w:t>
      </w:r>
      <w:r>
        <w:t>authorities</w:t>
      </w:r>
      <w:r>
        <w:rPr>
          <w:spacing w:val="-11"/>
        </w:rPr>
        <w:t xml:space="preserve"> </w:t>
      </w:r>
      <w:r>
        <w:t>for</w:t>
      </w:r>
      <w:r>
        <w:rPr>
          <w:spacing w:val="-11"/>
        </w:rPr>
        <w:t xml:space="preserve"> </w:t>
      </w:r>
      <w:r>
        <w:t>works</w:t>
      </w:r>
      <w:r>
        <w:rPr>
          <w:spacing w:val="-11"/>
        </w:rPr>
        <w:t xml:space="preserve"> </w:t>
      </w:r>
      <w:r>
        <w:t>to</w:t>
      </w:r>
      <w:r>
        <w:rPr>
          <w:spacing w:val="-11"/>
        </w:rPr>
        <w:t xml:space="preserve"> </w:t>
      </w:r>
      <w:r>
        <w:t>water</w:t>
      </w:r>
      <w:r>
        <w:rPr>
          <w:spacing w:val="-11"/>
        </w:rPr>
        <w:t xml:space="preserve"> </w:t>
      </w:r>
      <w:r>
        <w:t>and</w:t>
      </w:r>
      <w:r>
        <w:rPr>
          <w:spacing w:val="-11"/>
        </w:rPr>
        <w:t xml:space="preserve"> </w:t>
      </w:r>
      <w:r>
        <w:t>waste water</w:t>
      </w:r>
      <w:r>
        <w:rPr>
          <w:spacing w:val="-11"/>
        </w:rPr>
        <w:t xml:space="preserve"> </w:t>
      </w:r>
      <w:r>
        <w:t>systems</w:t>
      </w:r>
      <w:r>
        <w:rPr>
          <w:spacing w:val="-11"/>
        </w:rPr>
        <w:t xml:space="preserve"> </w:t>
      </w:r>
      <w:r>
        <w:t>for</w:t>
      </w:r>
      <w:r>
        <w:rPr>
          <w:spacing w:val="-11"/>
        </w:rPr>
        <w:t xml:space="preserve"> </w:t>
      </w:r>
      <w:r>
        <w:t>compliance</w:t>
      </w:r>
      <w:r>
        <w:rPr>
          <w:spacing w:val="-11"/>
        </w:rPr>
        <w:t xml:space="preserve"> </w:t>
      </w:r>
      <w:r>
        <w:t>with</w:t>
      </w:r>
      <w:r>
        <w:rPr>
          <w:spacing w:val="-11"/>
        </w:rPr>
        <w:t xml:space="preserve"> </w:t>
      </w:r>
      <w:r>
        <w:t>national</w:t>
      </w:r>
      <w:r>
        <w:rPr>
          <w:spacing w:val="-11"/>
        </w:rPr>
        <w:t xml:space="preserve"> </w:t>
      </w:r>
      <w:r>
        <w:t>health guidelines</w:t>
      </w:r>
      <w:r>
        <w:rPr>
          <w:spacing w:val="-4"/>
        </w:rPr>
        <w:t xml:space="preserve"> </w:t>
      </w:r>
      <w:r>
        <w:t>in</w:t>
      </w:r>
      <w:r>
        <w:rPr>
          <w:spacing w:val="-4"/>
        </w:rPr>
        <w:t xml:space="preserve"> </w:t>
      </w:r>
      <w:r>
        <w:t>Regional</w:t>
      </w:r>
      <w:r>
        <w:rPr>
          <w:spacing w:val="-4"/>
        </w:rPr>
        <w:t xml:space="preserve"> </w:t>
      </w:r>
      <w:r>
        <w:t>NSW.</w:t>
      </w:r>
    </w:p>
    <w:p w:rsidR="002C1123" w:rsidRDefault="00F22F94">
      <w:pPr>
        <w:pStyle w:val="BodyText"/>
        <w:spacing w:before="145" w:line="249" w:lineRule="auto"/>
        <w:ind w:left="202" w:right="14"/>
      </w:pPr>
      <w:r>
        <w:t>Infrastructure</w:t>
      </w:r>
      <w:r>
        <w:rPr>
          <w:spacing w:val="-14"/>
        </w:rPr>
        <w:t xml:space="preserve"> </w:t>
      </w:r>
      <w:r>
        <w:t>in</w:t>
      </w:r>
      <w:r>
        <w:rPr>
          <w:spacing w:val="-14"/>
        </w:rPr>
        <w:t xml:space="preserve"> </w:t>
      </w:r>
      <w:r>
        <w:t>Western</w:t>
      </w:r>
      <w:r>
        <w:rPr>
          <w:spacing w:val="-14"/>
        </w:rPr>
        <w:t xml:space="preserve"> </w:t>
      </w:r>
      <w:r>
        <w:t>areas</w:t>
      </w:r>
      <w:r>
        <w:rPr>
          <w:spacing w:val="-14"/>
        </w:rPr>
        <w:t xml:space="preserve"> </w:t>
      </w:r>
      <w:r>
        <w:t>also</w:t>
      </w:r>
      <w:r>
        <w:rPr>
          <w:spacing w:val="-14"/>
        </w:rPr>
        <w:t xml:space="preserve"> </w:t>
      </w:r>
      <w:r>
        <w:t xml:space="preserve">experienced </w:t>
      </w:r>
      <w:r>
        <w:rPr>
          <w:w w:val="95"/>
        </w:rPr>
        <w:t>significant</w:t>
      </w:r>
      <w:r>
        <w:rPr>
          <w:spacing w:val="-7"/>
          <w:w w:val="95"/>
        </w:rPr>
        <w:t xml:space="preserve"> </w:t>
      </w:r>
      <w:r>
        <w:rPr>
          <w:w w:val="95"/>
        </w:rPr>
        <w:t>deterioration</w:t>
      </w:r>
      <w:r>
        <w:rPr>
          <w:spacing w:val="-7"/>
          <w:w w:val="95"/>
        </w:rPr>
        <w:t xml:space="preserve"> </w:t>
      </w:r>
      <w:r>
        <w:rPr>
          <w:w w:val="95"/>
        </w:rPr>
        <w:t>during</w:t>
      </w:r>
      <w:r>
        <w:rPr>
          <w:spacing w:val="-7"/>
          <w:w w:val="95"/>
        </w:rPr>
        <w:t xml:space="preserve"> </w:t>
      </w:r>
      <w:r>
        <w:rPr>
          <w:w w:val="95"/>
        </w:rPr>
        <w:t>the</w:t>
      </w:r>
      <w:r>
        <w:rPr>
          <w:spacing w:val="-7"/>
          <w:w w:val="95"/>
        </w:rPr>
        <w:t xml:space="preserve"> </w:t>
      </w:r>
      <w:r>
        <w:rPr>
          <w:w w:val="95"/>
        </w:rPr>
        <w:t>2011</w:t>
      </w:r>
      <w:r>
        <w:rPr>
          <w:spacing w:val="-7"/>
          <w:w w:val="95"/>
        </w:rPr>
        <w:t xml:space="preserve"> </w:t>
      </w:r>
      <w:r>
        <w:rPr>
          <w:w w:val="95"/>
        </w:rPr>
        <w:t>and</w:t>
      </w:r>
      <w:r>
        <w:rPr>
          <w:spacing w:val="-7"/>
          <w:w w:val="95"/>
        </w:rPr>
        <w:t xml:space="preserve"> </w:t>
      </w:r>
      <w:r>
        <w:rPr>
          <w:w w:val="95"/>
        </w:rPr>
        <w:t>2012</w:t>
      </w:r>
      <w:r>
        <w:rPr>
          <w:spacing w:val="-7"/>
          <w:w w:val="95"/>
        </w:rPr>
        <w:t xml:space="preserve"> </w:t>
      </w:r>
      <w:r>
        <w:rPr>
          <w:w w:val="95"/>
        </w:rPr>
        <w:t xml:space="preserve">floods. </w:t>
      </w:r>
      <w:r>
        <w:t>This</w:t>
      </w:r>
      <w:r>
        <w:rPr>
          <w:spacing w:val="-11"/>
        </w:rPr>
        <w:t xml:space="preserve"> </w:t>
      </w:r>
      <w:r>
        <w:t>has</w:t>
      </w:r>
      <w:r>
        <w:rPr>
          <w:spacing w:val="-11"/>
        </w:rPr>
        <w:t xml:space="preserve"> </w:t>
      </w:r>
      <w:r>
        <w:t>highlighted</w:t>
      </w:r>
      <w:r>
        <w:rPr>
          <w:spacing w:val="-11"/>
        </w:rPr>
        <w:t xml:space="preserve"> </w:t>
      </w:r>
      <w:r>
        <w:t>ongoing</w:t>
      </w:r>
      <w:r>
        <w:rPr>
          <w:spacing w:val="-11"/>
        </w:rPr>
        <w:t xml:space="preserve"> </w:t>
      </w:r>
      <w:r>
        <w:t>concerns</w:t>
      </w:r>
      <w:r>
        <w:rPr>
          <w:spacing w:val="-11"/>
        </w:rPr>
        <w:t xml:space="preserve"> </w:t>
      </w:r>
      <w:r>
        <w:t>regarding</w:t>
      </w:r>
      <w:r>
        <w:rPr>
          <w:spacing w:val="-11"/>
        </w:rPr>
        <w:t xml:space="preserve"> </w:t>
      </w:r>
      <w:r>
        <w:t xml:space="preserve">the </w:t>
      </w:r>
      <w:r>
        <w:rPr>
          <w:w w:val="95"/>
        </w:rPr>
        <w:t xml:space="preserve">ability of regional communities to deal with the impact of </w:t>
      </w:r>
      <w:r>
        <w:t>natural</w:t>
      </w:r>
      <w:r>
        <w:rPr>
          <w:spacing w:val="-8"/>
        </w:rPr>
        <w:t xml:space="preserve"> </w:t>
      </w:r>
      <w:r>
        <w:t>disasters</w:t>
      </w:r>
      <w:r>
        <w:rPr>
          <w:spacing w:val="-8"/>
        </w:rPr>
        <w:t xml:space="preserve"> </w:t>
      </w:r>
      <w:r>
        <w:t>like</w:t>
      </w:r>
      <w:r>
        <w:rPr>
          <w:spacing w:val="-8"/>
        </w:rPr>
        <w:t xml:space="preserve"> </w:t>
      </w:r>
      <w:r>
        <w:t>drought</w:t>
      </w:r>
      <w:r>
        <w:rPr>
          <w:spacing w:val="-8"/>
        </w:rPr>
        <w:t xml:space="preserve"> </w:t>
      </w:r>
      <w:r>
        <w:t>and</w:t>
      </w:r>
      <w:r>
        <w:rPr>
          <w:spacing w:val="-8"/>
        </w:rPr>
        <w:t xml:space="preserve"> </w:t>
      </w:r>
      <w:r>
        <w:t>flooding.</w:t>
      </w:r>
    </w:p>
    <w:p w:rsidR="002C1123" w:rsidRDefault="00F22F94">
      <w:pPr>
        <w:pStyle w:val="BodyText"/>
        <w:spacing w:before="146" w:line="249" w:lineRule="auto"/>
        <w:ind w:left="202"/>
      </w:pPr>
      <w:r>
        <w:rPr>
          <w:w w:val="95"/>
        </w:rPr>
        <w:t xml:space="preserve">A number of areas to improve water management and </w:t>
      </w:r>
      <w:r>
        <w:t>security and improve resilience and flood protection have been identified in Section 12.</w:t>
      </w:r>
    </w:p>
    <w:p w:rsidR="002C1123" w:rsidRDefault="00F22F94">
      <w:pPr>
        <w:pStyle w:val="Heading6"/>
        <w:numPr>
          <w:ilvl w:val="2"/>
          <w:numId w:val="103"/>
        </w:numPr>
        <w:tabs>
          <w:tab w:val="left" w:pos="689"/>
        </w:tabs>
        <w:spacing w:before="88"/>
        <w:ind w:left="688" w:hanging="487"/>
        <w:jc w:val="left"/>
        <w:rPr>
          <w:color w:val="EC008C"/>
        </w:rPr>
      </w:pPr>
      <w:r>
        <w:rPr>
          <w:color w:val="EC008C"/>
          <w:w w:val="95"/>
        </w:rPr>
        <w:t>Energy</w:t>
      </w:r>
      <w:r>
        <w:rPr>
          <w:color w:val="EC008C"/>
          <w:spacing w:val="1"/>
        </w:rPr>
        <w:t xml:space="preserve"> </w:t>
      </w:r>
      <w:r>
        <w:rPr>
          <w:color w:val="EC008C"/>
          <w:w w:val="95"/>
        </w:rPr>
        <w:t>Production</w:t>
      </w:r>
      <w:r>
        <w:rPr>
          <w:color w:val="EC008C"/>
          <w:spacing w:val="2"/>
        </w:rPr>
        <w:t xml:space="preserve"> </w:t>
      </w:r>
      <w:r>
        <w:rPr>
          <w:color w:val="EC008C"/>
          <w:w w:val="95"/>
        </w:rPr>
        <w:t>in</w:t>
      </w:r>
      <w:r>
        <w:rPr>
          <w:color w:val="EC008C"/>
          <w:spacing w:val="1"/>
        </w:rPr>
        <w:t xml:space="preserve"> </w:t>
      </w:r>
      <w:r>
        <w:rPr>
          <w:color w:val="EC008C"/>
          <w:w w:val="95"/>
        </w:rPr>
        <w:t>the</w:t>
      </w:r>
      <w:r>
        <w:rPr>
          <w:color w:val="EC008C"/>
          <w:spacing w:val="2"/>
        </w:rPr>
        <w:t xml:space="preserve"> </w:t>
      </w:r>
      <w:r>
        <w:rPr>
          <w:color w:val="EC008C"/>
          <w:spacing w:val="-2"/>
          <w:w w:val="95"/>
        </w:rPr>
        <w:t>Regions</w:t>
      </w:r>
    </w:p>
    <w:p w:rsidR="002C1123" w:rsidRDefault="00F22F94">
      <w:pPr>
        <w:pStyle w:val="BodyText"/>
        <w:spacing w:before="95" w:line="249" w:lineRule="auto"/>
        <w:ind w:left="202"/>
      </w:pPr>
      <w:r>
        <w:rPr>
          <w:w w:val="95"/>
        </w:rPr>
        <w:t>Energy</w:t>
      </w:r>
      <w:r>
        <w:rPr>
          <w:spacing w:val="-3"/>
          <w:w w:val="95"/>
        </w:rPr>
        <w:t xml:space="preserve"> </w:t>
      </w:r>
      <w:r>
        <w:rPr>
          <w:w w:val="95"/>
        </w:rPr>
        <w:t>and</w:t>
      </w:r>
      <w:r>
        <w:rPr>
          <w:spacing w:val="-3"/>
          <w:w w:val="95"/>
        </w:rPr>
        <w:t xml:space="preserve"> </w:t>
      </w:r>
      <w:r>
        <w:rPr>
          <w:w w:val="95"/>
        </w:rPr>
        <w:t>gas</w:t>
      </w:r>
      <w:r>
        <w:rPr>
          <w:spacing w:val="-3"/>
          <w:w w:val="95"/>
        </w:rPr>
        <w:t xml:space="preserve"> </w:t>
      </w:r>
      <w:r>
        <w:rPr>
          <w:w w:val="95"/>
        </w:rPr>
        <w:t>production</w:t>
      </w:r>
      <w:r>
        <w:rPr>
          <w:spacing w:val="-3"/>
          <w:w w:val="95"/>
        </w:rPr>
        <w:t xml:space="preserve"> </w:t>
      </w:r>
      <w:r>
        <w:rPr>
          <w:w w:val="95"/>
        </w:rPr>
        <w:t>businesses</w:t>
      </w:r>
      <w:r>
        <w:rPr>
          <w:spacing w:val="-3"/>
          <w:w w:val="95"/>
        </w:rPr>
        <w:t xml:space="preserve"> </w:t>
      </w:r>
      <w:r>
        <w:rPr>
          <w:w w:val="95"/>
        </w:rPr>
        <w:t>are</w:t>
      </w:r>
      <w:r>
        <w:rPr>
          <w:spacing w:val="-3"/>
          <w:w w:val="95"/>
        </w:rPr>
        <w:t xml:space="preserve"> </w:t>
      </w:r>
      <w:r>
        <w:rPr>
          <w:w w:val="95"/>
        </w:rPr>
        <w:t>forecast</w:t>
      </w:r>
      <w:r>
        <w:rPr>
          <w:spacing w:val="-3"/>
          <w:w w:val="95"/>
        </w:rPr>
        <w:t xml:space="preserve"> </w:t>
      </w:r>
      <w:r>
        <w:rPr>
          <w:w w:val="95"/>
        </w:rPr>
        <w:t>to grow</w:t>
      </w:r>
      <w:r>
        <w:rPr>
          <w:spacing w:val="-2"/>
          <w:w w:val="95"/>
        </w:rPr>
        <w:t xml:space="preserve"> </w:t>
      </w:r>
      <w:r>
        <w:rPr>
          <w:w w:val="95"/>
        </w:rPr>
        <w:t>rapidly</w:t>
      </w:r>
      <w:r>
        <w:rPr>
          <w:spacing w:val="-2"/>
          <w:w w:val="95"/>
        </w:rPr>
        <w:t xml:space="preserve"> </w:t>
      </w:r>
      <w:r>
        <w:rPr>
          <w:w w:val="95"/>
        </w:rPr>
        <w:t>in</w:t>
      </w:r>
      <w:r>
        <w:rPr>
          <w:spacing w:val="-2"/>
          <w:w w:val="95"/>
        </w:rPr>
        <w:t xml:space="preserve"> </w:t>
      </w:r>
      <w:r>
        <w:rPr>
          <w:w w:val="95"/>
        </w:rPr>
        <w:t>the</w:t>
      </w:r>
      <w:r>
        <w:rPr>
          <w:spacing w:val="-2"/>
          <w:w w:val="95"/>
        </w:rPr>
        <w:t xml:space="preserve"> </w:t>
      </w:r>
      <w:r>
        <w:rPr>
          <w:w w:val="95"/>
        </w:rPr>
        <w:t>next</w:t>
      </w:r>
      <w:r>
        <w:rPr>
          <w:spacing w:val="-2"/>
          <w:w w:val="95"/>
        </w:rPr>
        <w:t xml:space="preserve"> </w:t>
      </w:r>
      <w:r>
        <w:rPr>
          <w:w w:val="95"/>
        </w:rPr>
        <w:t>20</w:t>
      </w:r>
      <w:r>
        <w:rPr>
          <w:spacing w:val="-2"/>
          <w:w w:val="95"/>
        </w:rPr>
        <w:t xml:space="preserve"> </w:t>
      </w:r>
      <w:r>
        <w:rPr>
          <w:w w:val="95"/>
        </w:rPr>
        <w:t>years</w:t>
      </w:r>
      <w:r>
        <w:rPr>
          <w:spacing w:val="-2"/>
          <w:w w:val="95"/>
        </w:rPr>
        <w:t xml:space="preserve"> </w:t>
      </w:r>
      <w:r>
        <w:rPr>
          <w:w w:val="95"/>
        </w:rPr>
        <w:t>and</w:t>
      </w:r>
      <w:r>
        <w:rPr>
          <w:spacing w:val="-2"/>
          <w:w w:val="95"/>
        </w:rPr>
        <w:t xml:space="preserve"> </w:t>
      </w:r>
      <w:r>
        <w:rPr>
          <w:w w:val="95"/>
        </w:rPr>
        <w:t>will</w:t>
      </w:r>
      <w:r>
        <w:rPr>
          <w:spacing w:val="-2"/>
          <w:w w:val="95"/>
        </w:rPr>
        <w:t xml:space="preserve"> </w:t>
      </w:r>
      <w:r>
        <w:rPr>
          <w:w w:val="95"/>
        </w:rPr>
        <w:t>increase</w:t>
      </w:r>
      <w:r>
        <w:rPr>
          <w:spacing w:val="-2"/>
          <w:w w:val="95"/>
        </w:rPr>
        <w:t xml:space="preserve"> </w:t>
      </w:r>
      <w:r>
        <w:rPr>
          <w:w w:val="95"/>
        </w:rPr>
        <w:t xml:space="preserve">this </w:t>
      </w:r>
      <w:r>
        <w:t>industry’s</w:t>
      </w:r>
      <w:r>
        <w:rPr>
          <w:spacing w:val="-8"/>
        </w:rPr>
        <w:t xml:space="preserve"> </w:t>
      </w:r>
      <w:r>
        <w:t>share</w:t>
      </w:r>
      <w:r>
        <w:rPr>
          <w:spacing w:val="-8"/>
        </w:rPr>
        <w:t xml:space="preserve"> </w:t>
      </w:r>
      <w:r>
        <w:t>of</w:t>
      </w:r>
      <w:r>
        <w:rPr>
          <w:spacing w:val="-8"/>
        </w:rPr>
        <w:t xml:space="preserve"> </w:t>
      </w:r>
      <w:r>
        <w:t>the</w:t>
      </w:r>
      <w:r>
        <w:rPr>
          <w:spacing w:val="-8"/>
        </w:rPr>
        <w:t xml:space="preserve"> </w:t>
      </w:r>
      <w:r>
        <w:t>economy</w:t>
      </w:r>
      <w:r>
        <w:rPr>
          <w:spacing w:val="-8"/>
        </w:rPr>
        <w:t xml:space="preserve"> </w:t>
      </w:r>
      <w:r>
        <w:t>from</w:t>
      </w:r>
      <w:r>
        <w:rPr>
          <w:spacing w:val="-9"/>
        </w:rPr>
        <w:t xml:space="preserve"> </w:t>
      </w:r>
      <w:r>
        <w:t>2.5</w:t>
      </w:r>
      <w:r>
        <w:rPr>
          <w:spacing w:val="-8"/>
        </w:rPr>
        <w:t xml:space="preserve"> </w:t>
      </w:r>
      <w:r>
        <w:t>percent</w:t>
      </w:r>
      <w:r>
        <w:rPr>
          <w:spacing w:val="-8"/>
        </w:rPr>
        <w:t xml:space="preserve"> </w:t>
      </w:r>
      <w:r>
        <w:t>to</w:t>
      </w:r>
    </w:p>
    <w:p w:rsidR="002C1123" w:rsidRDefault="00F22F94">
      <w:pPr>
        <w:pStyle w:val="BodyText"/>
        <w:spacing w:before="2" w:line="249" w:lineRule="auto"/>
        <w:ind w:left="202" w:right="170"/>
      </w:pPr>
      <w:r>
        <w:rPr>
          <w:w w:val="95"/>
        </w:rPr>
        <w:t>3.5</w:t>
      </w:r>
      <w:r>
        <w:rPr>
          <w:spacing w:val="-9"/>
          <w:w w:val="95"/>
        </w:rPr>
        <w:t xml:space="preserve"> </w:t>
      </w:r>
      <w:r>
        <w:rPr>
          <w:w w:val="95"/>
        </w:rPr>
        <w:t>percent</w:t>
      </w:r>
      <w:r>
        <w:rPr>
          <w:spacing w:val="-9"/>
          <w:w w:val="95"/>
        </w:rPr>
        <w:t xml:space="preserve"> </w:t>
      </w:r>
      <w:r>
        <w:rPr>
          <w:w w:val="95"/>
        </w:rPr>
        <w:t>over</w:t>
      </w:r>
      <w:r>
        <w:rPr>
          <w:spacing w:val="-9"/>
          <w:w w:val="95"/>
        </w:rPr>
        <w:t xml:space="preserve"> </w:t>
      </w:r>
      <w:r>
        <w:rPr>
          <w:w w:val="95"/>
        </w:rPr>
        <w:t>the</w:t>
      </w:r>
      <w:r>
        <w:rPr>
          <w:spacing w:val="-9"/>
          <w:w w:val="95"/>
        </w:rPr>
        <w:t xml:space="preserve"> </w:t>
      </w:r>
      <w:r>
        <w:rPr>
          <w:w w:val="95"/>
        </w:rPr>
        <w:t>next</w:t>
      </w:r>
      <w:r>
        <w:rPr>
          <w:spacing w:val="-9"/>
          <w:w w:val="95"/>
        </w:rPr>
        <w:t xml:space="preserve"> </w:t>
      </w:r>
      <w:r>
        <w:rPr>
          <w:w w:val="95"/>
        </w:rPr>
        <w:t>20</w:t>
      </w:r>
      <w:r>
        <w:rPr>
          <w:spacing w:val="-9"/>
          <w:w w:val="95"/>
        </w:rPr>
        <w:t xml:space="preserve"> </w:t>
      </w:r>
      <w:r>
        <w:rPr>
          <w:w w:val="95"/>
        </w:rPr>
        <w:t>years.</w:t>
      </w:r>
      <w:r>
        <w:rPr>
          <w:spacing w:val="-9"/>
          <w:w w:val="95"/>
        </w:rPr>
        <w:t xml:space="preserve"> </w:t>
      </w:r>
      <w:r>
        <w:rPr>
          <w:w w:val="95"/>
        </w:rPr>
        <w:t>Coal</w:t>
      </w:r>
      <w:r>
        <w:rPr>
          <w:spacing w:val="-9"/>
          <w:w w:val="95"/>
        </w:rPr>
        <w:t xml:space="preserve"> </w:t>
      </w:r>
      <w:r>
        <w:rPr>
          <w:w w:val="95"/>
        </w:rPr>
        <w:t>will</w:t>
      </w:r>
      <w:r>
        <w:rPr>
          <w:spacing w:val="-9"/>
          <w:w w:val="95"/>
        </w:rPr>
        <w:t xml:space="preserve"> </w:t>
      </w:r>
      <w:r>
        <w:rPr>
          <w:w w:val="95"/>
        </w:rPr>
        <w:t>remain</w:t>
      </w:r>
      <w:r>
        <w:rPr>
          <w:spacing w:val="-9"/>
          <w:w w:val="95"/>
        </w:rPr>
        <w:t xml:space="preserve"> </w:t>
      </w:r>
      <w:r>
        <w:rPr>
          <w:w w:val="95"/>
        </w:rPr>
        <w:t xml:space="preserve">a </w:t>
      </w:r>
      <w:r>
        <w:t>major</w:t>
      </w:r>
      <w:r>
        <w:rPr>
          <w:spacing w:val="-1"/>
        </w:rPr>
        <w:t xml:space="preserve"> </w:t>
      </w:r>
      <w:r>
        <w:t>source</w:t>
      </w:r>
      <w:r>
        <w:rPr>
          <w:spacing w:val="-1"/>
        </w:rPr>
        <w:t xml:space="preserve"> </w:t>
      </w:r>
      <w:r>
        <w:t>of</w:t>
      </w:r>
      <w:r>
        <w:rPr>
          <w:spacing w:val="-1"/>
        </w:rPr>
        <w:t xml:space="preserve"> </w:t>
      </w:r>
      <w:r>
        <w:t>energy</w:t>
      </w:r>
      <w:r>
        <w:rPr>
          <w:spacing w:val="-1"/>
        </w:rPr>
        <w:t xml:space="preserve"> </w:t>
      </w:r>
      <w:r>
        <w:t>for</w:t>
      </w:r>
      <w:r>
        <w:rPr>
          <w:spacing w:val="-1"/>
        </w:rPr>
        <w:t xml:space="preserve"> </w:t>
      </w:r>
      <w:r>
        <w:t>NSW</w:t>
      </w:r>
      <w:r>
        <w:rPr>
          <w:position w:val="7"/>
          <w:sz w:val="11"/>
        </w:rPr>
        <w:t>20</w:t>
      </w:r>
      <w:r>
        <w:t>.</w:t>
      </w:r>
    </w:p>
    <w:p w:rsidR="002C1123" w:rsidRDefault="00F22F94">
      <w:pPr>
        <w:pStyle w:val="BodyText"/>
        <w:spacing w:before="143" w:line="249" w:lineRule="auto"/>
        <w:ind w:left="202" w:right="200"/>
      </w:pPr>
      <w:r>
        <w:t>NSW</w:t>
      </w:r>
      <w:r>
        <w:rPr>
          <w:spacing w:val="-12"/>
        </w:rPr>
        <w:t xml:space="preserve"> </w:t>
      </w:r>
      <w:r>
        <w:t>regions</w:t>
      </w:r>
      <w:r>
        <w:rPr>
          <w:spacing w:val="-12"/>
        </w:rPr>
        <w:t xml:space="preserve"> </w:t>
      </w:r>
      <w:r>
        <w:t>in</w:t>
      </w:r>
      <w:r>
        <w:rPr>
          <w:spacing w:val="-12"/>
        </w:rPr>
        <w:t xml:space="preserve"> </w:t>
      </w:r>
      <w:r>
        <w:t>the</w:t>
      </w:r>
      <w:r>
        <w:rPr>
          <w:spacing w:val="-12"/>
        </w:rPr>
        <w:t xml:space="preserve"> </w:t>
      </w:r>
      <w:r>
        <w:t>North-West,</w:t>
      </w:r>
      <w:r>
        <w:rPr>
          <w:spacing w:val="-12"/>
        </w:rPr>
        <w:t xml:space="preserve"> </w:t>
      </w:r>
      <w:r>
        <w:t>Gunnedah</w:t>
      </w:r>
      <w:r>
        <w:rPr>
          <w:spacing w:val="-12"/>
        </w:rPr>
        <w:t xml:space="preserve"> </w:t>
      </w:r>
      <w:r>
        <w:t xml:space="preserve">basin </w:t>
      </w:r>
      <w:r>
        <w:rPr>
          <w:w w:val="95"/>
        </w:rPr>
        <w:t>and</w:t>
      </w:r>
      <w:r>
        <w:rPr>
          <w:spacing w:val="-9"/>
          <w:w w:val="95"/>
        </w:rPr>
        <w:t xml:space="preserve"> </w:t>
      </w:r>
      <w:r>
        <w:rPr>
          <w:w w:val="95"/>
        </w:rPr>
        <w:t>Upper</w:t>
      </w:r>
      <w:r>
        <w:rPr>
          <w:spacing w:val="-9"/>
          <w:w w:val="95"/>
        </w:rPr>
        <w:t xml:space="preserve"> </w:t>
      </w:r>
      <w:r>
        <w:rPr>
          <w:w w:val="95"/>
        </w:rPr>
        <w:t>Hunter</w:t>
      </w:r>
      <w:r>
        <w:rPr>
          <w:spacing w:val="-9"/>
          <w:w w:val="95"/>
        </w:rPr>
        <w:t xml:space="preserve"> </w:t>
      </w:r>
      <w:r>
        <w:rPr>
          <w:w w:val="95"/>
        </w:rPr>
        <w:t>areas</w:t>
      </w:r>
      <w:r>
        <w:rPr>
          <w:spacing w:val="-9"/>
          <w:w w:val="95"/>
        </w:rPr>
        <w:t xml:space="preserve"> </w:t>
      </w:r>
      <w:r>
        <w:rPr>
          <w:w w:val="95"/>
        </w:rPr>
        <w:t>have</w:t>
      </w:r>
      <w:r>
        <w:rPr>
          <w:spacing w:val="-9"/>
          <w:w w:val="95"/>
        </w:rPr>
        <w:t xml:space="preserve"> </w:t>
      </w:r>
      <w:r>
        <w:rPr>
          <w:w w:val="95"/>
        </w:rPr>
        <w:t>the</w:t>
      </w:r>
      <w:r>
        <w:rPr>
          <w:spacing w:val="-9"/>
          <w:w w:val="95"/>
        </w:rPr>
        <w:t xml:space="preserve"> </w:t>
      </w:r>
      <w:r>
        <w:rPr>
          <w:w w:val="95"/>
        </w:rPr>
        <w:t>benefit</w:t>
      </w:r>
      <w:r>
        <w:rPr>
          <w:spacing w:val="-9"/>
          <w:w w:val="95"/>
        </w:rPr>
        <w:t xml:space="preserve"> </w:t>
      </w:r>
      <w:r>
        <w:rPr>
          <w:w w:val="95"/>
        </w:rPr>
        <w:t>of</w:t>
      </w:r>
      <w:r>
        <w:rPr>
          <w:spacing w:val="-9"/>
          <w:w w:val="95"/>
        </w:rPr>
        <w:t xml:space="preserve"> </w:t>
      </w:r>
      <w:r>
        <w:rPr>
          <w:w w:val="95"/>
        </w:rPr>
        <w:t>very</w:t>
      </w:r>
      <w:r>
        <w:rPr>
          <w:spacing w:val="-9"/>
          <w:w w:val="95"/>
        </w:rPr>
        <w:t xml:space="preserve"> </w:t>
      </w:r>
      <w:r>
        <w:rPr>
          <w:w w:val="95"/>
        </w:rPr>
        <w:t xml:space="preserve">large reserves of coal seam gas for development of a new and extensive, high value energy industry. The NSW </w:t>
      </w:r>
      <w:r>
        <w:t>Government</w:t>
      </w:r>
      <w:r>
        <w:rPr>
          <w:spacing w:val="-3"/>
        </w:rPr>
        <w:t xml:space="preserve"> </w:t>
      </w:r>
      <w:r>
        <w:t>has</w:t>
      </w:r>
      <w:r>
        <w:rPr>
          <w:spacing w:val="-3"/>
        </w:rPr>
        <w:t xml:space="preserve"> </w:t>
      </w:r>
      <w:r>
        <w:t>estimated</w:t>
      </w:r>
      <w:r>
        <w:rPr>
          <w:spacing w:val="-3"/>
        </w:rPr>
        <w:t xml:space="preserve"> </w:t>
      </w:r>
      <w:r>
        <w:t>that</w:t>
      </w:r>
      <w:r>
        <w:rPr>
          <w:spacing w:val="-3"/>
        </w:rPr>
        <w:t xml:space="preserve"> </w:t>
      </w:r>
      <w:r>
        <w:t>production</w:t>
      </w:r>
      <w:r>
        <w:rPr>
          <w:spacing w:val="-3"/>
        </w:rPr>
        <w:t xml:space="preserve"> </w:t>
      </w:r>
      <w:r>
        <w:t xml:space="preserve">could </w:t>
      </w:r>
      <w:r>
        <w:rPr>
          <w:w w:val="95"/>
        </w:rPr>
        <w:t>provide</w:t>
      </w:r>
      <w:r>
        <w:rPr>
          <w:spacing w:val="-9"/>
          <w:w w:val="95"/>
        </w:rPr>
        <w:t xml:space="preserve"> </w:t>
      </w:r>
      <w:r>
        <w:rPr>
          <w:w w:val="95"/>
        </w:rPr>
        <w:t>18,000</w:t>
      </w:r>
      <w:r>
        <w:rPr>
          <w:spacing w:val="-9"/>
          <w:w w:val="95"/>
        </w:rPr>
        <w:t xml:space="preserve"> </w:t>
      </w:r>
      <w:r>
        <w:rPr>
          <w:w w:val="95"/>
        </w:rPr>
        <w:t>jobs,</w:t>
      </w:r>
      <w:r>
        <w:rPr>
          <w:spacing w:val="-9"/>
          <w:w w:val="95"/>
        </w:rPr>
        <w:t xml:space="preserve"> </w:t>
      </w:r>
      <w:r>
        <w:rPr>
          <w:w w:val="95"/>
        </w:rPr>
        <w:t>up</w:t>
      </w:r>
      <w:r>
        <w:rPr>
          <w:spacing w:val="-9"/>
          <w:w w:val="95"/>
        </w:rPr>
        <w:t xml:space="preserve"> </w:t>
      </w:r>
      <w:r>
        <w:rPr>
          <w:w w:val="95"/>
        </w:rPr>
        <w:t>to</w:t>
      </w:r>
      <w:r>
        <w:rPr>
          <w:spacing w:val="-9"/>
          <w:w w:val="95"/>
        </w:rPr>
        <w:t xml:space="preserve"> </w:t>
      </w:r>
      <w:r>
        <w:rPr>
          <w:w w:val="95"/>
        </w:rPr>
        <w:t>$1</w:t>
      </w:r>
      <w:r>
        <w:rPr>
          <w:spacing w:val="-9"/>
          <w:w w:val="95"/>
        </w:rPr>
        <w:t xml:space="preserve"> </w:t>
      </w:r>
      <w:r>
        <w:rPr>
          <w:w w:val="95"/>
        </w:rPr>
        <w:t>billion</w:t>
      </w:r>
      <w:r>
        <w:rPr>
          <w:spacing w:val="-9"/>
          <w:w w:val="95"/>
        </w:rPr>
        <w:t xml:space="preserve"> </w:t>
      </w:r>
      <w:r>
        <w:rPr>
          <w:w w:val="95"/>
        </w:rPr>
        <w:t>in</w:t>
      </w:r>
      <w:r>
        <w:rPr>
          <w:spacing w:val="-9"/>
          <w:w w:val="95"/>
        </w:rPr>
        <w:t xml:space="preserve"> </w:t>
      </w:r>
      <w:r>
        <w:rPr>
          <w:w w:val="95"/>
        </w:rPr>
        <w:t>royalty</w:t>
      </w:r>
      <w:r>
        <w:rPr>
          <w:spacing w:val="-9"/>
          <w:w w:val="95"/>
        </w:rPr>
        <w:t xml:space="preserve"> </w:t>
      </w:r>
      <w:r>
        <w:rPr>
          <w:w w:val="95"/>
        </w:rPr>
        <w:t xml:space="preserve">revenue </w:t>
      </w:r>
      <w:r>
        <w:t>and</w:t>
      </w:r>
      <w:r>
        <w:rPr>
          <w:spacing w:val="-5"/>
        </w:rPr>
        <w:t xml:space="preserve"> </w:t>
      </w:r>
      <w:r>
        <w:t>add</w:t>
      </w:r>
      <w:r>
        <w:rPr>
          <w:spacing w:val="-5"/>
        </w:rPr>
        <w:t xml:space="preserve"> </w:t>
      </w:r>
      <w:r>
        <w:t>$3</w:t>
      </w:r>
      <w:r>
        <w:rPr>
          <w:spacing w:val="-5"/>
        </w:rPr>
        <w:t xml:space="preserve"> </w:t>
      </w:r>
      <w:r>
        <w:t>billion</w:t>
      </w:r>
      <w:r>
        <w:rPr>
          <w:spacing w:val="-5"/>
        </w:rPr>
        <w:t xml:space="preserve"> </w:t>
      </w:r>
      <w:r>
        <w:t>a</w:t>
      </w:r>
      <w:r>
        <w:rPr>
          <w:spacing w:val="-5"/>
        </w:rPr>
        <w:t xml:space="preserve"> </w:t>
      </w:r>
      <w:r>
        <w:t>year</w:t>
      </w:r>
      <w:r>
        <w:rPr>
          <w:spacing w:val="-5"/>
        </w:rPr>
        <w:t xml:space="preserve"> </w:t>
      </w:r>
      <w:r>
        <w:t>to</w:t>
      </w:r>
      <w:r>
        <w:rPr>
          <w:spacing w:val="-5"/>
        </w:rPr>
        <w:t xml:space="preserve"> </w:t>
      </w:r>
      <w:r>
        <w:t>GSP</w:t>
      </w:r>
      <w:r>
        <w:rPr>
          <w:position w:val="7"/>
          <w:sz w:val="11"/>
        </w:rPr>
        <w:t>21</w:t>
      </w:r>
      <w:r>
        <w:t>.</w:t>
      </w:r>
    </w:p>
    <w:p w:rsidR="002C1123" w:rsidRDefault="00F22F94">
      <w:pPr>
        <w:pStyle w:val="BodyText"/>
        <w:spacing w:before="106"/>
        <w:ind w:left="194"/>
      </w:pPr>
      <w:r>
        <w:br w:type="column"/>
      </w:r>
      <w:r>
        <w:rPr>
          <w:w w:val="95"/>
        </w:rPr>
        <w:t>Energy</w:t>
      </w:r>
      <w:r>
        <w:rPr>
          <w:spacing w:val="-8"/>
          <w:w w:val="95"/>
        </w:rPr>
        <w:t xml:space="preserve"> </w:t>
      </w:r>
      <w:r>
        <w:rPr>
          <w:w w:val="95"/>
        </w:rPr>
        <w:t>infrastructure</w:t>
      </w:r>
      <w:r>
        <w:rPr>
          <w:spacing w:val="-8"/>
          <w:w w:val="95"/>
        </w:rPr>
        <w:t xml:space="preserve"> </w:t>
      </w:r>
      <w:r>
        <w:rPr>
          <w:w w:val="95"/>
        </w:rPr>
        <w:t>issues</w:t>
      </w:r>
      <w:r>
        <w:rPr>
          <w:spacing w:val="-8"/>
          <w:w w:val="95"/>
        </w:rPr>
        <w:t xml:space="preserve"> </w:t>
      </w:r>
      <w:r>
        <w:rPr>
          <w:w w:val="95"/>
        </w:rPr>
        <w:t>are</w:t>
      </w:r>
      <w:r>
        <w:rPr>
          <w:spacing w:val="-8"/>
          <w:w w:val="95"/>
        </w:rPr>
        <w:t xml:space="preserve"> </w:t>
      </w:r>
      <w:r>
        <w:rPr>
          <w:w w:val="95"/>
        </w:rPr>
        <w:t>discussed</w:t>
      </w:r>
      <w:r>
        <w:rPr>
          <w:spacing w:val="-8"/>
          <w:w w:val="95"/>
        </w:rPr>
        <w:t xml:space="preserve"> </w:t>
      </w:r>
      <w:r>
        <w:rPr>
          <w:w w:val="95"/>
        </w:rPr>
        <w:t>in</w:t>
      </w:r>
      <w:r>
        <w:rPr>
          <w:spacing w:val="-8"/>
          <w:w w:val="95"/>
        </w:rPr>
        <w:t xml:space="preserve"> </w:t>
      </w:r>
      <w:r>
        <w:rPr>
          <w:w w:val="95"/>
        </w:rPr>
        <w:t>Section</w:t>
      </w:r>
      <w:r>
        <w:rPr>
          <w:spacing w:val="-8"/>
          <w:w w:val="95"/>
        </w:rPr>
        <w:t xml:space="preserve"> </w:t>
      </w:r>
      <w:r>
        <w:rPr>
          <w:spacing w:val="-5"/>
          <w:w w:val="95"/>
        </w:rPr>
        <w:t>11.</w:t>
      </w:r>
    </w:p>
    <w:p w:rsidR="002C1123" w:rsidRDefault="00F22F94">
      <w:pPr>
        <w:pStyle w:val="Heading6"/>
        <w:numPr>
          <w:ilvl w:val="2"/>
          <w:numId w:val="103"/>
        </w:numPr>
        <w:tabs>
          <w:tab w:val="left" w:pos="681"/>
        </w:tabs>
        <w:spacing w:before="152"/>
        <w:ind w:left="680" w:hanging="487"/>
        <w:jc w:val="left"/>
        <w:rPr>
          <w:color w:val="EC008C"/>
        </w:rPr>
      </w:pPr>
      <w:r>
        <w:rPr>
          <w:color w:val="EC008C"/>
          <w:spacing w:val="-2"/>
        </w:rPr>
        <w:t>Health</w:t>
      </w:r>
    </w:p>
    <w:p w:rsidR="002C1123" w:rsidRDefault="00F22F94">
      <w:pPr>
        <w:pStyle w:val="BodyText"/>
        <w:spacing w:before="95" w:line="249" w:lineRule="auto"/>
        <w:ind w:left="194" w:right="1020"/>
      </w:pPr>
      <w:r>
        <w:rPr>
          <w:w w:val="95"/>
        </w:rPr>
        <w:t>Thirty</w:t>
      </w:r>
      <w:r>
        <w:rPr>
          <w:spacing w:val="-7"/>
          <w:w w:val="95"/>
        </w:rPr>
        <w:t xml:space="preserve"> </w:t>
      </w:r>
      <w:r>
        <w:rPr>
          <w:w w:val="95"/>
        </w:rPr>
        <w:t>percent</w:t>
      </w:r>
      <w:r>
        <w:rPr>
          <w:spacing w:val="-7"/>
          <w:w w:val="95"/>
        </w:rPr>
        <w:t xml:space="preserve"> </w:t>
      </w:r>
      <w:r>
        <w:rPr>
          <w:w w:val="95"/>
        </w:rPr>
        <w:t>of</w:t>
      </w:r>
      <w:r>
        <w:rPr>
          <w:spacing w:val="-7"/>
          <w:w w:val="95"/>
        </w:rPr>
        <w:t xml:space="preserve"> </w:t>
      </w:r>
      <w:r>
        <w:rPr>
          <w:w w:val="95"/>
        </w:rPr>
        <w:t>health</w:t>
      </w:r>
      <w:r>
        <w:rPr>
          <w:spacing w:val="-7"/>
          <w:w w:val="95"/>
        </w:rPr>
        <w:t xml:space="preserve"> </w:t>
      </w:r>
      <w:r>
        <w:rPr>
          <w:w w:val="95"/>
        </w:rPr>
        <w:t>assets</w:t>
      </w:r>
      <w:r>
        <w:rPr>
          <w:spacing w:val="-7"/>
          <w:w w:val="95"/>
        </w:rPr>
        <w:t xml:space="preserve"> </w:t>
      </w:r>
      <w:r>
        <w:rPr>
          <w:w w:val="95"/>
        </w:rPr>
        <w:t>are</w:t>
      </w:r>
      <w:r>
        <w:rPr>
          <w:spacing w:val="-7"/>
          <w:w w:val="95"/>
        </w:rPr>
        <w:t xml:space="preserve"> </w:t>
      </w:r>
      <w:r>
        <w:rPr>
          <w:w w:val="95"/>
        </w:rPr>
        <w:t>physically</w:t>
      </w:r>
      <w:r>
        <w:rPr>
          <w:spacing w:val="-7"/>
          <w:w w:val="95"/>
        </w:rPr>
        <w:t xml:space="preserve"> </w:t>
      </w:r>
      <w:r>
        <w:rPr>
          <w:w w:val="95"/>
        </w:rPr>
        <w:t xml:space="preserve">located in regional areas, supported by the large, specialist hospitals located in and around Sydney that provide </w:t>
      </w:r>
      <w:r>
        <w:t>services to all of NSW.</w:t>
      </w:r>
    </w:p>
    <w:p w:rsidR="002C1123" w:rsidRDefault="00F22F94">
      <w:pPr>
        <w:pStyle w:val="BodyText"/>
        <w:spacing w:before="145" w:line="249" w:lineRule="auto"/>
        <w:ind w:left="194" w:right="865"/>
      </w:pPr>
      <w:r>
        <w:rPr>
          <w:w w:val="95"/>
        </w:rPr>
        <w:t>The</w:t>
      </w:r>
      <w:r>
        <w:rPr>
          <w:spacing w:val="-6"/>
          <w:w w:val="95"/>
        </w:rPr>
        <w:t xml:space="preserve"> </w:t>
      </w:r>
      <w:r>
        <w:rPr>
          <w:w w:val="95"/>
        </w:rPr>
        <w:t>regional</w:t>
      </w:r>
      <w:r>
        <w:rPr>
          <w:spacing w:val="-6"/>
          <w:w w:val="95"/>
        </w:rPr>
        <w:t xml:space="preserve"> </w:t>
      </w:r>
      <w:r>
        <w:rPr>
          <w:w w:val="95"/>
        </w:rPr>
        <w:t>health</w:t>
      </w:r>
      <w:r>
        <w:rPr>
          <w:spacing w:val="-6"/>
          <w:w w:val="95"/>
        </w:rPr>
        <w:t xml:space="preserve"> </w:t>
      </w:r>
      <w:r>
        <w:rPr>
          <w:w w:val="95"/>
        </w:rPr>
        <w:t>and</w:t>
      </w:r>
      <w:r>
        <w:rPr>
          <w:spacing w:val="-6"/>
          <w:w w:val="95"/>
        </w:rPr>
        <w:t xml:space="preserve"> </w:t>
      </w:r>
      <w:r>
        <w:rPr>
          <w:w w:val="95"/>
        </w:rPr>
        <w:t>social</w:t>
      </w:r>
      <w:r>
        <w:rPr>
          <w:spacing w:val="-6"/>
          <w:w w:val="95"/>
        </w:rPr>
        <w:t xml:space="preserve"> </w:t>
      </w:r>
      <w:r>
        <w:rPr>
          <w:w w:val="95"/>
        </w:rPr>
        <w:t>services</w:t>
      </w:r>
      <w:r>
        <w:rPr>
          <w:spacing w:val="-6"/>
          <w:w w:val="95"/>
        </w:rPr>
        <w:t xml:space="preserve"> </w:t>
      </w:r>
      <w:r>
        <w:rPr>
          <w:w w:val="95"/>
        </w:rPr>
        <w:t>industry</w:t>
      </w:r>
      <w:r>
        <w:rPr>
          <w:spacing w:val="-6"/>
          <w:w w:val="95"/>
        </w:rPr>
        <w:t xml:space="preserve"> </w:t>
      </w:r>
      <w:r>
        <w:rPr>
          <w:w w:val="95"/>
        </w:rPr>
        <w:t>sector is</w:t>
      </w:r>
      <w:r>
        <w:rPr>
          <w:spacing w:val="-2"/>
          <w:w w:val="95"/>
        </w:rPr>
        <w:t xml:space="preserve"> </w:t>
      </w:r>
      <w:r>
        <w:rPr>
          <w:w w:val="95"/>
        </w:rPr>
        <w:t>expected</w:t>
      </w:r>
      <w:r>
        <w:rPr>
          <w:spacing w:val="-2"/>
          <w:w w:val="95"/>
        </w:rPr>
        <w:t xml:space="preserve"> </w:t>
      </w:r>
      <w:r>
        <w:rPr>
          <w:w w:val="95"/>
        </w:rPr>
        <w:t>to</w:t>
      </w:r>
      <w:r>
        <w:rPr>
          <w:spacing w:val="-2"/>
          <w:w w:val="95"/>
        </w:rPr>
        <w:t xml:space="preserve"> </w:t>
      </w:r>
      <w:r>
        <w:rPr>
          <w:w w:val="95"/>
        </w:rPr>
        <w:t>grow</w:t>
      </w:r>
      <w:r>
        <w:rPr>
          <w:spacing w:val="-2"/>
          <w:w w:val="95"/>
        </w:rPr>
        <w:t xml:space="preserve"> </w:t>
      </w:r>
      <w:r>
        <w:rPr>
          <w:w w:val="95"/>
        </w:rPr>
        <w:t>by</w:t>
      </w:r>
      <w:r>
        <w:rPr>
          <w:spacing w:val="-2"/>
          <w:w w:val="95"/>
        </w:rPr>
        <w:t xml:space="preserve"> </w:t>
      </w:r>
      <w:r>
        <w:rPr>
          <w:w w:val="95"/>
        </w:rPr>
        <w:t>25</w:t>
      </w:r>
      <w:r>
        <w:rPr>
          <w:spacing w:val="-2"/>
          <w:w w:val="95"/>
        </w:rPr>
        <w:t xml:space="preserve"> </w:t>
      </w:r>
      <w:r>
        <w:rPr>
          <w:w w:val="95"/>
        </w:rPr>
        <w:t>percent</w:t>
      </w:r>
      <w:r>
        <w:rPr>
          <w:spacing w:val="-2"/>
          <w:w w:val="95"/>
        </w:rPr>
        <w:t xml:space="preserve"> </w:t>
      </w:r>
      <w:r>
        <w:rPr>
          <w:w w:val="95"/>
        </w:rPr>
        <w:t>in</w:t>
      </w:r>
      <w:r>
        <w:rPr>
          <w:spacing w:val="-2"/>
          <w:w w:val="95"/>
        </w:rPr>
        <w:t xml:space="preserve"> </w:t>
      </w:r>
      <w:r>
        <w:rPr>
          <w:w w:val="95"/>
        </w:rPr>
        <w:t>the</w:t>
      </w:r>
      <w:r>
        <w:rPr>
          <w:spacing w:val="-2"/>
          <w:w w:val="95"/>
        </w:rPr>
        <w:t xml:space="preserve"> </w:t>
      </w:r>
      <w:r>
        <w:rPr>
          <w:w w:val="95"/>
        </w:rPr>
        <w:t>next</w:t>
      </w:r>
      <w:r>
        <w:rPr>
          <w:spacing w:val="-2"/>
          <w:w w:val="95"/>
        </w:rPr>
        <w:t xml:space="preserve"> </w:t>
      </w:r>
      <w:r>
        <w:rPr>
          <w:w w:val="95"/>
        </w:rPr>
        <w:t>20</w:t>
      </w:r>
      <w:r>
        <w:rPr>
          <w:spacing w:val="-2"/>
          <w:w w:val="95"/>
        </w:rPr>
        <w:t xml:space="preserve"> </w:t>
      </w:r>
      <w:r>
        <w:rPr>
          <w:w w:val="95"/>
        </w:rPr>
        <w:t xml:space="preserve">years </w:t>
      </w:r>
      <w:r>
        <w:rPr>
          <w:spacing w:val="-4"/>
        </w:rPr>
        <w:t>(from</w:t>
      </w:r>
      <w:r>
        <w:rPr>
          <w:spacing w:val="-8"/>
        </w:rPr>
        <w:t xml:space="preserve"> </w:t>
      </w:r>
      <w:r>
        <w:rPr>
          <w:spacing w:val="-4"/>
        </w:rPr>
        <w:t>6.1</w:t>
      </w:r>
      <w:r>
        <w:rPr>
          <w:spacing w:val="-8"/>
        </w:rPr>
        <w:t xml:space="preserve"> </w:t>
      </w:r>
      <w:r>
        <w:rPr>
          <w:spacing w:val="-4"/>
        </w:rPr>
        <w:t>percent</w:t>
      </w:r>
      <w:r>
        <w:rPr>
          <w:spacing w:val="-8"/>
        </w:rPr>
        <w:t xml:space="preserve"> </w:t>
      </w:r>
      <w:r>
        <w:rPr>
          <w:spacing w:val="-4"/>
        </w:rPr>
        <w:t>to</w:t>
      </w:r>
      <w:r>
        <w:rPr>
          <w:spacing w:val="-8"/>
        </w:rPr>
        <w:t xml:space="preserve"> </w:t>
      </w:r>
      <w:r>
        <w:rPr>
          <w:spacing w:val="-4"/>
        </w:rPr>
        <w:t>7.6</w:t>
      </w:r>
      <w:r>
        <w:rPr>
          <w:spacing w:val="-8"/>
        </w:rPr>
        <w:t xml:space="preserve"> </w:t>
      </w:r>
      <w:r>
        <w:rPr>
          <w:spacing w:val="-4"/>
        </w:rPr>
        <w:t>percent</w:t>
      </w:r>
      <w:r>
        <w:rPr>
          <w:spacing w:val="-4"/>
          <w:position w:val="7"/>
          <w:sz w:val="11"/>
        </w:rPr>
        <w:t>22</w:t>
      </w:r>
      <w:r>
        <w:rPr>
          <w:spacing w:val="-4"/>
        </w:rPr>
        <w:t>).</w:t>
      </w:r>
      <w:r>
        <w:rPr>
          <w:spacing w:val="-8"/>
        </w:rPr>
        <w:t xml:space="preserve"> </w:t>
      </w:r>
      <w:r>
        <w:rPr>
          <w:spacing w:val="-4"/>
        </w:rPr>
        <w:t>However,</w:t>
      </w:r>
      <w:r>
        <w:rPr>
          <w:spacing w:val="-8"/>
        </w:rPr>
        <w:t xml:space="preserve"> </w:t>
      </w:r>
      <w:r>
        <w:rPr>
          <w:spacing w:val="-4"/>
        </w:rPr>
        <w:t>the</w:t>
      </w:r>
      <w:r>
        <w:rPr>
          <w:spacing w:val="-8"/>
        </w:rPr>
        <w:t xml:space="preserve"> </w:t>
      </w:r>
      <w:r>
        <w:rPr>
          <w:spacing w:val="-4"/>
        </w:rPr>
        <w:t xml:space="preserve">large </w:t>
      </w:r>
      <w:r>
        <w:t>distances,</w:t>
      </w:r>
      <w:r>
        <w:rPr>
          <w:spacing w:val="-6"/>
        </w:rPr>
        <w:t xml:space="preserve"> </w:t>
      </w:r>
      <w:r>
        <w:t>a</w:t>
      </w:r>
      <w:r>
        <w:rPr>
          <w:spacing w:val="-6"/>
        </w:rPr>
        <w:t xml:space="preserve"> </w:t>
      </w:r>
      <w:r>
        <w:t>dispersed</w:t>
      </w:r>
      <w:r>
        <w:rPr>
          <w:spacing w:val="-6"/>
        </w:rPr>
        <w:t xml:space="preserve"> </w:t>
      </w:r>
      <w:r>
        <w:t>population,</w:t>
      </w:r>
      <w:r>
        <w:rPr>
          <w:spacing w:val="-6"/>
        </w:rPr>
        <w:t xml:space="preserve"> </w:t>
      </w:r>
      <w:r>
        <w:t>and</w:t>
      </w:r>
      <w:r>
        <w:rPr>
          <w:spacing w:val="-6"/>
        </w:rPr>
        <w:t xml:space="preserve"> </w:t>
      </w:r>
      <w:r>
        <w:t>difficulty</w:t>
      </w:r>
      <w:r>
        <w:rPr>
          <w:spacing w:val="-6"/>
        </w:rPr>
        <w:t xml:space="preserve"> </w:t>
      </w:r>
      <w:r>
        <w:t>in</w:t>
      </w:r>
    </w:p>
    <w:p w:rsidR="002C1123" w:rsidRDefault="00F22F94">
      <w:pPr>
        <w:pStyle w:val="BodyText"/>
        <w:spacing w:before="3" w:line="249" w:lineRule="auto"/>
        <w:ind w:left="194" w:right="667"/>
      </w:pPr>
      <w:r>
        <w:rPr>
          <w:w w:val="95"/>
        </w:rPr>
        <w:t>attracting</w:t>
      </w:r>
      <w:r>
        <w:rPr>
          <w:spacing w:val="-9"/>
          <w:w w:val="95"/>
        </w:rPr>
        <w:t xml:space="preserve"> </w:t>
      </w:r>
      <w:r>
        <w:rPr>
          <w:w w:val="95"/>
        </w:rPr>
        <w:t>and</w:t>
      </w:r>
      <w:r>
        <w:rPr>
          <w:spacing w:val="-9"/>
          <w:w w:val="95"/>
        </w:rPr>
        <w:t xml:space="preserve"> </w:t>
      </w:r>
      <w:r>
        <w:rPr>
          <w:w w:val="95"/>
        </w:rPr>
        <w:t>retaining</w:t>
      </w:r>
      <w:r>
        <w:rPr>
          <w:spacing w:val="-9"/>
          <w:w w:val="95"/>
        </w:rPr>
        <w:t xml:space="preserve"> </w:t>
      </w:r>
      <w:r>
        <w:rPr>
          <w:w w:val="95"/>
        </w:rPr>
        <w:t>staff</w:t>
      </w:r>
      <w:r>
        <w:rPr>
          <w:spacing w:val="-9"/>
          <w:w w:val="95"/>
        </w:rPr>
        <w:t xml:space="preserve"> </w:t>
      </w:r>
      <w:r>
        <w:rPr>
          <w:w w:val="95"/>
        </w:rPr>
        <w:t>are</w:t>
      </w:r>
      <w:r>
        <w:rPr>
          <w:spacing w:val="-9"/>
          <w:w w:val="95"/>
        </w:rPr>
        <w:t xml:space="preserve"> </w:t>
      </w:r>
      <w:r>
        <w:rPr>
          <w:w w:val="95"/>
        </w:rPr>
        <w:t>all</w:t>
      </w:r>
      <w:r>
        <w:rPr>
          <w:spacing w:val="-9"/>
          <w:w w:val="95"/>
        </w:rPr>
        <w:t xml:space="preserve"> </w:t>
      </w:r>
      <w:r>
        <w:rPr>
          <w:w w:val="95"/>
        </w:rPr>
        <w:t>significant</w:t>
      </w:r>
      <w:r>
        <w:rPr>
          <w:spacing w:val="-9"/>
          <w:w w:val="95"/>
        </w:rPr>
        <w:t xml:space="preserve"> </w:t>
      </w:r>
      <w:r>
        <w:rPr>
          <w:w w:val="95"/>
        </w:rPr>
        <w:t xml:space="preserve">challenges </w:t>
      </w:r>
      <w:r>
        <w:t>in</w:t>
      </w:r>
      <w:r>
        <w:rPr>
          <w:spacing w:val="-14"/>
        </w:rPr>
        <w:t xml:space="preserve"> </w:t>
      </w:r>
      <w:r>
        <w:t>the</w:t>
      </w:r>
      <w:r>
        <w:rPr>
          <w:spacing w:val="-14"/>
        </w:rPr>
        <w:t xml:space="preserve"> </w:t>
      </w:r>
      <w:r>
        <w:t>delivery</w:t>
      </w:r>
      <w:r>
        <w:rPr>
          <w:spacing w:val="-14"/>
        </w:rPr>
        <w:t xml:space="preserve"> </w:t>
      </w:r>
      <w:r>
        <w:t>of</w:t>
      </w:r>
      <w:r>
        <w:rPr>
          <w:spacing w:val="-14"/>
        </w:rPr>
        <w:t xml:space="preserve"> </w:t>
      </w:r>
      <w:r>
        <w:t>regional</w:t>
      </w:r>
      <w:r>
        <w:rPr>
          <w:spacing w:val="-14"/>
        </w:rPr>
        <w:t xml:space="preserve"> </w:t>
      </w:r>
      <w:r>
        <w:t>health</w:t>
      </w:r>
      <w:r>
        <w:rPr>
          <w:spacing w:val="-14"/>
        </w:rPr>
        <w:t xml:space="preserve"> </w:t>
      </w:r>
      <w:r>
        <w:t>services.</w:t>
      </w:r>
      <w:r>
        <w:rPr>
          <w:spacing w:val="-14"/>
        </w:rPr>
        <w:t xml:space="preserve"> </w:t>
      </w:r>
      <w:r>
        <w:t>This</w:t>
      </w:r>
      <w:r>
        <w:rPr>
          <w:spacing w:val="-14"/>
        </w:rPr>
        <w:t xml:space="preserve"> </w:t>
      </w:r>
      <w:r>
        <w:t>is compounded</w:t>
      </w:r>
      <w:r>
        <w:rPr>
          <w:spacing w:val="-3"/>
        </w:rPr>
        <w:t xml:space="preserve"> </w:t>
      </w:r>
      <w:r>
        <w:t>by</w:t>
      </w:r>
      <w:r>
        <w:rPr>
          <w:spacing w:val="-3"/>
        </w:rPr>
        <w:t xml:space="preserve"> </w:t>
      </w:r>
      <w:r>
        <w:t>the</w:t>
      </w:r>
      <w:r>
        <w:rPr>
          <w:spacing w:val="-3"/>
        </w:rPr>
        <w:t xml:space="preserve"> </w:t>
      </w:r>
      <w:r>
        <w:t>specific</w:t>
      </w:r>
      <w:r>
        <w:rPr>
          <w:spacing w:val="-3"/>
        </w:rPr>
        <w:t xml:space="preserve"> </w:t>
      </w:r>
      <w:r>
        <w:t>impacts</w:t>
      </w:r>
      <w:r>
        <w:rPr>
          <w:spacing w:val="-3"/>
        </w:rPr>
        <w:t xml:space="preserve"> </w:t>
      </w:r>
      <w:r>
        <w:t>of</w:t>
      </w:r>
      <w:r>
        <w:rPr>
          <w:spacing w:val="-3"/>
        </w:rPr>
        <w:t xml:space="preserve"> </w:t>
      </w:r>
      <w:r>
        <w:t>an</w:t>
      </w:r>
      <w:r>
        <w:rPr>
          <w:spacing w:val="-3"/>
        </w:rPr>
        <w:t xml:space="preserve"> </w:t>
      </w:r>
      <w:r>
        <w:t xml:space="preserve">ageing </w:t>
      </w:r>
      <w:r>
        <w:rPr>
          <w:spacing w:val="-2"/>
        </w:rPr>
        <w:t>population</w:t>
      </w:r>
      <w:r>
        <w:rPr>
          <w:spacing w:val="-8"/>
        </w:rPr>
        <w:t xml:space="preserve"> </w:t>
      </w:r>
      <w:r>
        <w:rPr>
          <w:spacing w:val="-2"/>
        </w:rPr>
        <w:t>in</w:t>
      </w:r>
      <w:r>
        <w:rPr>
          <w:spacing w:val="-8"/>
        </w:rPr>
        <w:t xml:space="preserve"> </w:t>
      </w:r>
      <w:r>
        <w:rPr>
          <w:spacing w:val="-2"/>
        </w:rPr>
        <w:t>all</w:t>
      </w:r>
      <w:r>
        <w:rPr>
          <w:spacing w:val="-8"/>
        </w:rPr>
        <w:t xml:space="preserve"> </w:t>
      </w:r>
      <w:r>
        <w:rPr>
          <w:spacing w:val="-2"/>
        </w:rPr>
        <w:t>regional</w:t>
      </w:r>
      <w:r>
        <w:rPr>
          <w:spacing w:val="-8"/>
        </w:rPr>
        <w:t xml:space="preserve"> </w:t>
      </w:r>
      <w:r>
        <w:rPr>
          <w:spacing w:val="-2"/>
        </w:rPr>
        <w:t>areas</w:t>
      </w:r>
      <w:r>
        <w:rPr>
          <w:spacing w:val="-8"/>
        </w:rPr>
        <w:t xml:space="preserve"> </w:t>
      </w:r>
      <w:r>
        <w:rPr>
          <w:spacing w:val="-2"/>
        </w:rPr>
        <w:t>of</w:t>
      </w:r>
      <w:r>
        <w:rPr>
          <w:spacing w:val="-8"/>
        </w:rPr>
        <w:t xml:space="preserve"> </w:t>
      </w:r>
      <w:r>
        <w:rPr>
          <w:spacing w:val="-2"/>
        </w:rPr>
        <w:t>NSW,</w:t>
      </w:r>
      <w:r>
        <w:rPr>
          <w:spacing w:val="-8"/>
        </w:rPr>
        <w:t xml:space="preserve"> </w:t>
      </w:r>
      <w:r>
        <w:rPr>
          <w:spacing w:val="-2"/>
        </w:rPr>
        <w:t>particularly</w:t>
      </w:r>
      <w:r>
        <w:rPr>
          <w:spacing w:val="-8"/>
        </w:rPr>
        <w:t xml:space="preserve"> </w:t>
      </w:r>
      <w:r>
        <w:rPr>
          <w:spacing w:val="-2"/>
        </w:rPr>
        <w:t xml:space="preserve">the </w:t>
      </w:r>
      <w:r>
        <w:t>North</w:t>
      </w:r>
      <w:r>
        <w:rPr>
          <w:spacing w:val="-6"/>
        </w:rPr>
        <w:t xml:space="preserve"> </w:t>
      </w:r>
      <w:r>
        <w:t>and</w:t>
      </w:r>
      <w:r>
        <w:rPr>
          <w:spacing w:val="-6"/>
        </w:rPr>
        <w:t xml:space="preserve"> </w:t>
      </w:r>
      <w:r>
        <w:t>South</w:t>
      </w:r>
      <w:r>
        <w:rPr>
          <w:spacing w:val="-6"/>
        </w:rPr>
        <w:t xml:space="preserve"> </w:t>
      </w:r>
      <w:r>
        <w:t>Coast</w:t>
      </w:r>
      <w:r>
        <w:rPr>
          <w:spacing w:val="-6"/>
        </w:rPr>
        <w:t xml:space="preserve"> </w:t>
      </w:r>
      <w:r>
        <w:t>regions</w:t>
      </w:r>
      <w:r>
        <w:rPr>
          <w:spacing w:val="-6"/>
        </w:rPr>
        <w:t xml:space="preserve"> </w:t>
      </w:r>
      <w:r>
        <w:t>that</w:t>
      </w:r>
      <w:r>
        <w:rPr>
          <w:spacing w:val="-6"/>
        </w:rPr>
        <w:t xml:space="preserve"> </w:t>
      </w:r>
      <w:r>
        <w:t>provide</w:t>
      </w:r>
      <w:r>
        <w:rPr>
          <w:spacing w:val="-6"/>
        </w:rPr>
        <w:t xml:space="preserve"> </w:t>
      </w:r>
      <w:r>
        <w:t xml:space="preserve">popular </w:t>
      </w:r>
      <w:r>
        <w:rPr>
          <w:spacing w:val="-2"/>
        </w:rPr>
        <w:t xml:space="preserve">retirement destinations. Each region’s utilisation of </w:t>
      </w:r>
      <w:r>
        <w:t>hospitals,</w:t>
      </w:r>
      <w:r>
        <w:rPr>
          <w:spacing w:val="-6"/>
        </w:rPr>
        <w:t xml:space="preserve"> </w:t>
      </w:r>
      <w:r>
        <w:t>forecast</w:t>
      </w:r>
      <w:r>
        <w:rPr>
          <w:spacing w:val="-6"/>
        </w:rPr>
        <w:t xml:space="preserve"> </w:t>
      </w:r>
      <w:r>
        <w:t>growth</w:t>
      </w:r>
      <w:r>
        <w:rPr>
          <w:spacing w:val="-6"/>
        </w:rPr>
        <w:t xml:space="preserve"> </w:t>
      </w:r>
      <w:r>
        <w:t>in</w:t>
      </w:r>
      <w:r>
        <w:rPr>
          <w:spacing w:val="-6"/>
        </w:rPr>
        <w:t xml:space="preserve"> </w:t>
      </w:r>
      <w:r>
        <w:t>demand</w:t>
      </w:r>
      <w:r>
        <w:rPr>
          <w:spacing w:val="-6"/>
        </w:rPr>
        <w:t xml:space="preserve"> </w:t>
      </w:r>
      <w:r>
        <w:t>and</w:t>
      </w:r>
      <w:r>
        <w:rPr>
          <w:spacing w:val="-6"/>
        </w:rPr>
        <w:t xml:space="preserve"> </w:t>
      </w:r>
      <w:r>
        <w:t>the</w:t>
      </w:r>
      <w:r>
        <w:rPr>
          <w:spacing w:val="-6"/>
        </w:rPr>
        <w:t xml:space="preserve"> </w:t>
      </w:r>
      <w:r>
        <w:t>planned major</w:t>
      </w:r>
      <w:r>
        <w:rPr>
          <w:spacing w:val="-11"/>
        </w:rPr>
        <w:t xml:space="preserve"> </w:t>
      </w:r>
      <w:r>
        <w:t>works</w:t>
      </w:r>
      <w:r>
        <w:rPr>
          <w:spacing w:val="-11"/>
        </w:rPr>
        <w:t xml:space="preserve"> </w:t>
      </w:r>
      <w:r>
        <w:t>are</w:t>
      </w:r>
      <w:r>
        <w:rPr>
          <w:spacing w:val="-11"/>
        </w:rPr>
        <w:t xml:space="preserve"> </w:t>
      </w:r>
      <w:r>
        <w:t>summarised</w:t>
      </w:r>
      <w:r>
        <w:rPr>
          <w:spacing w:val="-11"/>
        </w:rPr>
        <w:t xml:space="preserve"> </w:t>
      </w:r>
      <w:r>
        <w:t>in</w:t>
      </w:r>
      <w:r>
        <w:rPr>
          <w:spacing w:val="-11"/>
        </w:rPr>
        <w:t xml:space="preserve"> </w:t>
      </w:r>
      <w:r>
        <w:t>Table</w:t>
      </w:r>
      <w:r>
        <w:rPr>
          <w:spacing w:val="-11"/>
        </w:rPr>
        <w:t xml:space="preserve"> </w:t>
      </w:r>
      <w:r>
        <w:t>5.3.</w:t>
      </w:r>
    </w:p>
    <w:p w:rsidR="002C1123" w:rsidRDefault="00F22F94">
      <w:pPr>
        <w:pStyle w:val="BodyText"/>
        <w:spacing w:before="148" w:line="249" w:lineRule="auto"/>
        <w:ind w:left="194" w:right="865"/>
      </w:pPr>
      <w:r>
        <w:rPr>
          <w:w w:val="95"/>
        </w:rPr>
        <w:t xml:space="preserve">Patients in regional areas are increasingly affected by the need to travel for specialist care and consultations. </w:t>
      </w:r>
      <w:r>
        <w:rPr>
          <w:spacing w:val="-2"/>
        </w:rPr>
        <w:t>The</w:t>
      </w:r>
      <w:r>
        <w:rPr>
          <w:spacing w:val="-8"/>
        </w:rPr>
        <w:t xml:space="preserve"> </w:t>
      </w:r>
      <w:r>
        <w:rPr>
          <w:spacing w:val="-2"/>
        </w:rPr>
        <w:t>National</w:t>
      </w:r>
      <w:r>
        <w:rPr>
          <w:spacing w:val="-8"/>
        </w:rPr>
        <w:t xml:space="preserve"> </w:t>
      </w:r>
      <w:r>
        <w:rPr>
          <w:spacing w:val="-2"/>
        </w:rPr>
        <w:t>eHealth</w:t>
      </w:r>
      <w:r>
        <w:rPr>
          <w:spacing w:val="-8"/>
        </w:rPr>
        <w:t xml:space="preserve"> </w:t>
      </w:r>
      <w:r>
        <w:rPr>
          <w:spacing w:val="-2"/>
        </w:rPr>
        <w:t>Strategy</w:t>
      </w:r>
      <w:r>
        <w:rPr>
          <w:spacing w:val="-8"/>
        </w:rPr>
        <w:t xml:space="preserve"> </w:t>
      </w:r>
      <w:r>
        <w:rPr>
          <w:spacing w:val="-2"/>
        </w:rPr>
        <w:t>agreed</w:t>
      </w:r>
      <w:r>
        <w:rPr>
          <w:spacing w:val="-8"/>
        </w:rPr>
        <w:t xml:space="preserve"> </w:t>
      </w:r>
      <w:r>
        <w:rPr>
          <w:spacing w:val="-2"/>
        </w:rPr>
        <w:t>by</w:t>
      </w:r>
      <w:r>
        <w:rPr>
          <w:spacing w:val="-8"/>
        </w:rPr>
        <w:t xml:space="preserve"> </w:t>
      </w:r>
      <w:r>
        <w:rPr>
          <w:spacing w:val="-2"/>
        </w:rPr>
        <w:t>COAG</w:t>
      </w:r>
      <w:r>
        <w:rPr>
          <w:spacing w:val="-8"/>
        </w:rPr>
        <w:t xml:space="preserve"> </w:t>
      </w:r>
      <w:r>
        <w:rPr>
          <w:spacing w:val="-2"/>
        </w:rPr>
        <w:t xml:space="preserve">in </w:t>
      </w:r>
      <w:r>
        <w:t>2009</w:t>
      </w:r>
      <w:r>
        <w:rPr>
          <w:spacing w:val="-7"/>
        </w:rPr>
        <w:t xml:space="preserve"> </w:t>
      </w:r>
      <w:r>
        <w:t>set</w:t>
      </w:r>
      <w:r>
        <w:rPr>
          <w:spacing w:val="-7"/>
        </w:rPr>
        <w:t xml:space="preserve"> </w:t>
      </w:r>
      <w:r>
        <w:t>out</w:t>
      </w:r>
      <w:r>
        <w:rPr>
          <w:spacing w:val="-7"/>
        </w:rPr>
        <w:t xml:space="preserve"> </w:t>
      </w:r>
      <w:r>
        <w:t>an</w:t>
      </w:r>
      <w:r>
        <w:rPr>
          <w:spacing w:val="-7"/>
        </w:rPr>
        <w:t xml:space="preserve"> </w:t>
      </w:r>
      <w:r>
        <w:t>action</w:t>
      </w:r>
      <w:r>
        <w:rPr>
          <w:spacing w:val="-7"/>
        </w:rPr>
        <w:t xml:space="preserve"> </w:t>
      </w:r>
      <w:r>
        <w:t>plan</w:t>
      </w:r>
      <w:r>
        <w:rPr>
          <w:spacing w:val="-7"/>
        </w:rPr>
        <w:t xml:space="preserve"> </w:t>
      </w:r>
      <w:r>
        <w:t>for</w:t>
      </w:r>
      <w:r>
        <w:rPr>
          <w:spacing w:val="-7"/>
        </w:rPr>
        <w:t xml:space="preserve"> </w:t>
      </w:r>
      <w:r>
        <w:t>eHealth</w:t>
      </w:r>
      <w:r>
        <w:rPr>
          <w:spacing w:val="-7"/>
        </w:rPr>
        <w:t xml:space="preserve"> </w:t>
      </w:r>
      <w:r>
        <w:t>based</w:t>
      </w:r>
      <w:r>
        <w:rPr>
          <w:spacing w:val="-7"/>
        </w:rPr>
        <w:t xml:space="preserve"> </w:t>
      </w:r>
      <w:r>
        <w:t xml:space="preserve">on </w:t>
      </w:r>
      <w:r>
        <w:rPr>
          <w:w w:val="95"/>
        </w:rPr>
        <w:t xml:space="preserve">implementing the national ‘health information highway’ </w:t>
      </w:r>
      <w:r>
        <w:t>infrastructure</w:t>
      </w:r>
      <w:r>
        <w:rPr>
          <w:spacing w:val="-11"/>
        </w:rPr>
        <w:t xml:space="preserve"> </w:t>
      </w:r>
      <w:r>
        <w:t>and</w:t>
      </w:r>
      <w:r>
        <w:rPr>
          <w:spacing w:val="-12"/>
        </w:rPr>
        <w:t xml:space="preserve"> </w:t>
      </w:r>
      <w:r>
        <w:t>rules</w:t>
      </w:r>
      <w:r>
        <w:rPr>
          <w:spacing w:val="-11"/>
        </w:rPr>
        <w:t xml:space="preserve"> </w:t>
      </w:r>
      <w:r>
        <w:t>to</w:t>
      </w:r>
      <w:r>
        <w:rPr>
          <w:spacing w:val="-12"/>
        </w:rPr>
        <w:t xml:space="preserve"> </w:t>
      </w:r>
      <w:r>
        <w:t>allow</w:t>
      </w:r>
      <w:r>
        <w:rPr>
          <w:spacing w:val="-11"/>
        </w:rPr>
        <w:t xml:space="preserve"> </w:t>
      </w:r>
      <w:r>
        <w:t>information</w:t>
      </w:r>
      <w:r>
        <w:rPr>
          <w:spacing w:val="-12"/>
        </w:rPr>
        <w:t xml:space="preserve"> </w:t>
      </w:r>
      <w:r>
        <w:t>to</w:t>
      </w:r>
      <w:r>
        <w:rPr>
          <w:spacing w:val="-11"/>
        </w:rPr>
        <w:t xml:space="preserve"> </w:t>
      </w:r>
      <w:r>
        <w:t xml:space="preserve">be </w:t>
      </w:r>
      <w:r>
        <w:rPr>
          <w:w w:val="95"/>
        </w:rPr>
        <w:t>seamlessly</w:t>
      </w:r>
      <w:r>
        <w:rPr>
          <w:spacing w:val="-5"/>
          <w:w w:val="95"/>
        </w:rPr>
        <w:t xml:space="preserve"> </w:t>
      </w:r>
      <w:r>
        <w:rPr>
          <w:w w:val="95"/>
        </w:rPr>
        <w:t>accessed</w:t>
      </w:r>
      <w:r>
        <w:rPr>
          <w:spacing w:val="-5"/>
          <w:w w:val="95"/>
        </w:rPr>
        <w:t xml:space="preserve"> </w:t>
      </w:r>
      <w:r>
        <w:rPr>
          <w:w w:val="95"/>
        </w:rPr>
        <w:t>and</w:t>
      </w:r>
      <w:r>
        <w:rPr>
          <w:spacing w:val="-5"/>
          <w:w w:val="95"/>
        </w:rPr>
        <w:t xml:space="preserve"> </w:t>
      </w:r>
      <w:r>
        <w:rPr>
          <w:w w:val="95"/>
        </w:rPr>
        <w:t>shared</w:t>
      </w:r>
      <w:r>
        <w:rPr>
          <w:spacing w:val="-5"/>
          <w:w w:val="95"/>
        </w:rPr>
        <w:t xml:space="preserve"> </w:t>
      </w:r>
      <w:r>
        <w:rPr>
          <w:w w:val="95"/>
        </w:rPr>
        <w:t>across</w:t>
      </w:r>
      <w:r>
        <w:rPr>
          <w:spacing w:val="-5"/>
          <w:w w:val="95"/>
        </w:rPr>
        <w:t xml:space="preserve"> </w:t>
      </w:r>
      <w:r>
        <w:rPr>
          <w:w w:val="95"/>
        </w:rPr>
        <w:t>the</w:t>
      </w:r>
      <w:r>
        <w:rPr>
          <w:spacing w:val="-5"/>
          <w:w w:val="95"/>
        </w:rPr>
        <w:t xml:space="preserve"> </w:t>
      </w:r>
      <w:r>
        <w:rPr>
          <w:w w:val="95"/>
        </w:rPr>
        <w:t xml:space="preserve">Australian </w:t>
      </w:r>
      <w:r>
        <w:t>healthcare</w:t>
      </w:r>
      <w:r>
        <w:rPr>
          <w:spacing w:val="-11"/>
        </w:rPr>
        <w:t xml:space="preserve"> </w:t>
      </w:r>
      <w:r>
        <w:t>system.</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277" w:space="40"/>
            <w:col w:w="4996" w:space="39"/>
            <w:col w:w="5708"/>
          </w:cols>
        </w:sectPr>
      </w:pPr>
    </w:p>
    <w:p w:rsidR="002C1123" w:rsidRDefault="00F22F94">
      <w:pPr>
        <w:pStyle w:val="BodyText"/>
        <w:tabs>
          <w:tab w:val="left" w:pos="5518"/>
          <w:tab w:val="left" w:pos="6958"/>
        </w:tabs>
        <w:spacing w:before="10" w:line="228" w:lineRule="exact"/>
        <w:ind w:left="492"/>
      </w:pPr>
      <w:r>
        <w:rPr>
          <w:w w:val="95"/>
        </w:rPr>
        <w:t>30</w:t>
      </w:r>
      <w:r>
        <w:rPr>
          <w:spacing w:val="-8"/>
          <w:w w:val="95"/>
        </w:rPr>
        <w:t xml:space="preserve"> </w:t>
      </w:r>
      <w:r>
        <w:rPr>
          <w:w w:val="95"/>
        </w:rPr>
        <w:t>year</w:t>
      </w:r>
      <w:r>
        <w:rPr>
          <w:spacing w:val="-8"/>
          <w:w w:val="95"/>
        </w:rPr>
        <w:t xml:space="preserve"> </w:t>
      </w:r>
      <w:r>
        <w:rPr>
          <w:w w:val="95"/>
        </w:rPr>
        <w:t>capital</w:t>
      </w:r>
      <w:r>
        <w:rPr>
          <w:spacing w:val="-8"/>
          <w:w w:val="95"/>
        </w:rPr>
        <w:t xml:space="preserve"> </w:t>
      </w:r>
      <w:r>
        <w:rPr>
          <w:w w:val="95"/>
        </w:rPr>
        <w:t>program</w:t>
      </w:r>
      <w:r>
        <w:rPr>
          <w:spacing w:val="-9"/>
          <w:w w:val="95"/>
        </w:rPr>
        <w:t xml:space="preserve"> </w:t>
      </w:r>
      <w:r>
        <w:rPr>
          <w:w w:val="95"/>
        </w:rPr>
        <w:t>of</w:t>
      </w:r>
      <w:r>
        <w:rPr>
          <w:spacing w:val="-8"/>
          <w:w w:val="95"/>
        </w:rPr>
        <w:t xml:space="preserve"> </w:t>
      </w:r>
      <w:r>
        <w:rPr>
          <w:w w:val="95"/>
        </w:rPr>
        <w:t>$11</w:t>
      </w:r>
      <w:r>
        <w:rPr>
          <w:spacing w:val="-8"/>
          <w:w w:val="95"/>
        </w:rPr>
        <w:t xml:space="preserve"> </w:t>
      </w:r>
      <w:r>
        <w:rPr>
          <w:w w:val="95"/>
        </w:rPr>
        <w:t>billion,</w:t>
      </w:r>
      <w:r>
        <w:rPr>
          <w:spacing w:val="-8"/>
          <w:w w:val="95"/>
        </w:rPr>
        <w:t xml:space="preserve"> </w:t>
      </w:r>
      <w:r>
        <w:rPr>
          <w:w w:val="95"/>
        </w:rPr>
        <w:t>which</w:t>
      </w:r>
      <w:r>
        <w:rPr>
          <w:spacing w:val="-8"/>
          <w:w w:val="95"/>
        </w:rPr>
        <w:t xml:space="preserve"> </w:t>
      </w:r>
      <w:r>
        <w:rPr>
          <w:w w:val="95"/>
        </w:rPr>
        <w:t>has</w:t>
      </w:r>
      <w:r>
        <w:rPr>
          <w:spacing w:val="-8"/>
          <w:w w:val="95"/>
        </w:rPr>
        <w:t xml:space="preserve"> </w:t>
      </w:r>
      <w:r>
        <w:rPr>
          <w:spacing w:val="-5"/>
          <w:w w:val="95"/>
        </w:rPr>
        <w:t>not</w:t>
      </w:r>
      <w:r>
        <w:tab/>
      </w:r>
      <w:r>
        <w:rPr>
          <w:u w:val="single" w:color="9C9C9D"/>
        </w:rPr>
        <w:tab/>
      </w:r>
    </w:p>
    <w:p w:rsidR="002C1123" w:rsidRDefault="002060EF">
      <w:pPr>
        <w:spacing w:line="237" w:lineRule="auto"/>
        <w:ind w:left="5717" w:right="5064" w:hanging="199"/>
        <w:rPr>
          <w:sz w:val="14"/>
        </w:rPr>
      </w:pPr>
      <w:r>
        <w:pict>
          <v:line id="_x0000_s4299" style="position:absolute;left:0;text-align:left;z-index:251289600;mso-position-horizontal-relative:page" from="49.6pt,14.5pt" to="121.6pt,14.5pt" strokecolor="#9c9c9d" strokeweight=".5pt">
            <w10:wrap anchorx="page"/>
          </v:line>
        </w:pict>
      </w:r>
      <w:r>
        <w:pict>
          <v:line id="_x0000_s4298" style="position:absolute;left:0;text-align:left;z-index:251290624;mso-position-horizontal-relative:page" from="552.3pt,14.5pt" to="624.3pt,14.5pt" strokecolor="#9c9c9d" strokeweight=".5pt">
            <w10:wrap anchorx="page"/>
          </v:line>
        </w:pict>
      </w:r>
      <w:r w:rsidR="00F22F94">
        <w:rPr>
          <w:w w:val="95"/>
          <w:sz w:val="14"/>
        </w:rPr>
        <w:t>20</w:t>
      </w:r>
      <w:r w:rsidR="00F22F94">
        <w:rPr>
          <w:spacing w:val="21"/>
          <w:sz w:val="14"/>
        </w:rPr>
        <w:t xml:space="preserve"> </w:t>
      </w:r>
      <w:r w:rsidR="00F22F94">
        <w:rPr>
          <w:w w:val="95"/>
          <w:sz w:val="14"/>
        </w:rPr>
        <w:t>Deloitte Access Economics 2012, The NSW Economy in 2031-32, Report to</w:t>
      </w:r>
      <w:r w:rsidR="00F22F94">
        <w:rPr>
          <w:spacing w:val="40"/>
          <w:sz w:val="14"/>
        </w:rPr>
        <w:t xml:space="preserve"> </w:t>
      </w:r>
      <w:r w:rsidR="00F22F94">
        <w:rPr>
          <w:sz w:val="14"/>
        </w:rPr>
        <w:t>Infrastructure</w:t>
      </w:r>
      <w:r w:rsidR="00F22F94">
        <w:rPr>
          <w:spacing w:val="-10"/>
          <w:sz w:val="14"/>
        </w:rPr>
        <w:t xml:space="preserve"> </w:t>
      </w:r>
      <w:r w:rsidR="00F22F94">
        <w:rPr>
          <w:sz w:val="14"/>
        </w:rPr>
        <w:t>NSW.</w:t>
      </w:r>
    </w:p>
    <w:p w:rsidR="002C1123" w:rsidRDefault="002C1123">
      <w:pPr>
        <w:spacing w:line="237" w:lineRule="auto"/>
        <w:rPr>
          <w:sz w:val="14"/>
        </w:rPr>
        <w:sectPr w:rsidR="002C1123">
          <w:type w:val="continuous"/>
          <w:pgSz w:w="16840" w:h="11910" w:orient="landscape"/>
          <w:pgMar w:top="560" w:right="280" w:bottom="280" w:left="500" w:header="0" w:footer="517" w:gutter="0"/>
          <w:cols w:space="720"/>
        </w:sectPr>
      </w:pPr>
    </w:p>
    <w:p w:rsidR="002C1123" w:rsidRDefault="00F22F94">
      <w:pPr>
        <w:ind w:left="690" w:hanging="199"/>
        <w:rPr>
          <w:sz w:val="14"/>
        </w:rPr>
      </w:pPr>
      <w:r>
        <w:rPr>
          <w:w w:val="95"/>
          <w:sz w:val="14"/>
        </w:rPr>
        <w:t>19</w:t>
      </w:r>
      <w:r>
        <w:rPr>
          <w:spacing w:val="21"/>
          <w:sz w:val="14"/>
        </w:rPr>
        <w:t xml:space="preserve"> </w:t>
      </w:r>
      <w:r>
        <w:rPr>
          <w:w w:val="95"/>
          <w:sz w:val="14"/>
        </w:rPr>
        <w:t>Yass Valley Council 2008, Report to Council ‘Water Policy for New</w:t>
      </w:r>
      <w:r>
        <w:rPr>
          <w:spacing w:val="40"/>
          <w:sz w:val="14"/>
        </w:rPr>
        <w:t xml:space="preserve"> </w:t>
      </w:r>
      <w:r>
        <w:rPr>
          <w:spacing w:val="-2"/>
          <w:sz w:val="14"/>
        </w:rPr>
        <w:t>Developments’.</w:t>
      </w:r>
    </w:p>
    <w:p w:rsidR="002C1123" w:rsidRDefault="00F22F94">
      <w:pPr>
        <w:ind w:left="690" w:hanging="199"/>
        <w:rPr>
          <w:sz w:val="14"/>
        </w:rPr>
      </w:pPr>
      <w:r>
        <w:br w:type="column"/>
      </w:r>
      <w:r>
        <w:rPr>
          <w:w w:val="95"/>
          <w:sz w:val="14"/>
        </w:rPr>
        <w:t>21</w:t>
      </w:r>
      <w:r>
        <w:rPr>
          <w:spacing w:val="19"/>
          <w:sz w:val="14"/>
        </w:rPr>
        <w:t xml:space="preserve"> </w:t>
      </w:r>
      <w:r>
        <w:rPr>
          <w:w w:val="95"/>
          <w:sz w:val="14"/>
        </w:rPr>
        <w:t>NSW Government 2011, Submission to NSW Legislative Council General</w:t>
      </w:r>
      <w:r>
        <w:rPr>
          <w:spacing w:val="40"/>
          <w:sz w:val="14"/>
        </w:rPr>
        <w:t xml:space="preserve"> </w:t>
      </w:r>
      <w:r>
        <w:rPr>
          <w:sz w:val="14"/>
        </w:rPr>
        <w:t>Purpose</w:t>
      </w:r>
      <w:r>
        <w:rPr>
          <w:spacing w:val="-1"/>
          <w:sz w:val="14"/>
        </w:rPr>
        <w:t xml:space="preserve"> </w:t>
      </w:r>
      <w:r>
        <w:rPr>
          <w:sz w:val="14"/>
        </w:rPr>
        <w:t>Standing</w:t>
      </w:r>
      <w:r>
        <w:rPr>
          <w:spacing w:val="-1"/>
          <w:sz w:val="14"/>
        </w:rPr>
        <w:t xml:space="preserve"> </w:t>
      </w:r>
      <w:r>
        <w:rPr>
          <w:sz w:val="14"/>
        </w:rPr>
        <w:t>Committee</w:t>
      </w:r>
      <w:r>
        <w:rPr>
          <w:spacing w:val="-1"/>
          <w:sz w:val="14"/>
        </w:rPr>
        <w:t xml:space="preserve"> </w:t>
      </w:r>
      <w:r>
        <w:rPr>
          <w:sz w:val="14"/>
        </w:rPr>
        <w:t>No5,</w:t>
      </w:r>
      <w:r>
        <w:rPr>
          <w:spacing w:val="-1"/>
          <w:sz w:val="14"/>
        </w:rPr>
        <w:t xml:space="preserve"> </w:t>
      </w:r>
      <w:r>
        <w:rPr>
          <w:sz w:val="14"/>
        </w:rPr>
        <w:t>Inquiry</w:t>
      </w:r>
      <w:r>
        <w:rPr>
          <w:spacing w:val="-1"/>
          <w:sz w:val="14"/>
        </w:rPr>
        <w:t xml:space="preserve"> </w:t>
      </w:r>
      <w:r>
        <w:rPr>
          <w:sz w:val="14"/>
        </w:rPr>
        <w:t>into</w:t>
      </w:r>
      <w:r>
        <w:rPr>
          <w:spacing w:val="-1"/>
          <w:sz w:val="14"/>
        </w:rPr>
        <w:t xml:space="preserve"> </w:t>
      </w:r>
      <w:r>
        <w:rPr>
          <w:sz w:val="14"/>
        </w:rPr>
        <w:t>Coal</w:t>
      </w:r>
      <w:r>
        <w:rPr>
          <w:spacing w:val="-1"/>
          <w:sz w:val="14"/>
        </w:rPr>
        <w:t xml:space="preserve"> </w:t>
      </w:r>
      <w:r>
        <w:rPr>
          <w:sz w:val="14"/>
        </w:rPr>
        <w:t>Seam</w:t>
      </w:r>
      <w:r>
        <w:rPr>
          <w:spacing w:val="-2"/>
          <w:sz w:val="14"/>
        </w:rPr>
        <w:t xml:space="preserve"> </w:t>
      </w:r>
      <w:r>
        <w:rPr>
          <w:sz w:val="14"/>
        </w:rPr>
        <w:t>Gas.</w:t>
      </w:r>
    </w:p>
    <w:p w:rsidR="002C1123" w:rsidRDefault="00F22F94">
      <w:pPr>
        <w:ind w:left="609" w:right="40" w:hanging="199"/>
        <w:rPr>
          <w:sz w:val="14"/>
        </w:rPr>
      </w:pPr>
      <w:r>
        <w:br w:type="column"/>
      </w:r>
      <w:r>
        <w:rPr>
          <w:w w:val="95"/>
          <w:sz w:val="14"/>
        </w:rPr>
        <w:t>22</w:t>
      </w:r>
      <w:r>
        <w:rPr>
          <w:spacing w:val="19"/>
          <w:sz w:val="14"/>
        </w:rPr>
        <w:t xml:space="preserve"> </w:t>
      </w:r>
      <w:r>
        <w:rPr>
          <w:w w:val="95"/>
          <w:sz w:val="14"/>
        </w:rPr>
        <w:t>Deloitte Access Economics 2012, The NSW Economy in 2031-32, Report to</w:t>
      </w:r>
      <w:r>
        <w:rPr>
          <w:spacing w:val="40"/>
          <w:sz w:val="14"/>
        </w:rPr>
        <w:t xml:space="preserve"> </w:t>
      </w:r>
      <w:r>
        <w:rPr>
          <w:sz w:val="14"/>
        </w:rPr>
        <w:t>Infrastructure</w:t>
      </w:r>
      <w:r>
        <w:rPr>
          <w:spacing w:val="-10"/>
          <w:sz w:val="14"/>
        </w:rPr>
        <w:t xml:space="preserve"> </w:t>
      </w:r>
      <w:r>
        <w:rPr>
          <w:sz w:val="14"/>
        </w:rPr>
        <w:t>NSW.</w:t>
      </w:r>
    </w:p>
    <w:p w:rsidR="002C1123" w:rsidRDefault="002C1123">
      <w:pPr>
        <w:rPr>
          <w:sz w:val="14"/>
        </w:rPr>
        <w:sectPr w:rsidR="002C1123">
          <w:type w:val="continuous"/>
          <w:pgSz w:w="16840" w:h="11910" w:orient="landscape"/>
          <w:pgMar w:top="560" w:right="280" w:bottom="280" w:left="500" w:header="0" w:footer="517" w:gutter="0"/>
          <w:cols w:num="3" w:space="720" w:equalWidth="0">
            <w:col w:w="4698" w:space="329"/>
            <w:col w:w="5068" w:space="39"/>
            <w:col w:w="5926"/>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spacing w:before="167"/>
        <w:ind w:left="492"/>
        <w:rPr>
          <w:b/>
          <w:sz w:val="18"/>
        </w:rPr>
      </w:pPr>
      <w:bookmarkStart w:id="142" w:name="_bookmark102"/>
      <w:bookmarkEnd w:id="142"/>
      <w:r>
        <w:rPr>
          <w:b/>
          <w:sz w:val="18"/>
        </w:rPr>
        <w:t>Table</w:t>
      </w:r>
      <w:r>
        <w:rPr>
          <w:b/>
          <w:spacing w:val="-19"/>
          <w:sz w:val="18"/>
        </w:rPr>
        <w:t xml:space="preserve"> </w:t>
      </w:r>
      <w:r>
        <w:rPr>
          <w:b/>
          <w:sz w:val="18"/>
        </w:rPr>
        <w:t>5.3</w:t>
      </w:r>
      <w:r>
        <w:rPr>
          <w:b/>
          <w:spacing w:val="1"/>
          <w:sz w:val="18"/>
        </w:rPr>
        <w:t xml:space="preserve"> </w:t>
      </w:r>
      <w:r>
        <w:rPr>
          <w:b/>
          <w:sz w:val="18"/>
        </w:rPr>
        <w:t>Hospital</w:t>
      </w:r>
      <w:r>
        <w:rPr>
          <w:b/>
          <w:spacing w:val="-19"/>
          <w:sz w:val="18"/>
        </w:rPr>
        <w:t xml:space="preserve"> </w:t>
      </w:r>
      <w:r>
        <w:rPr>
          <w:b/>
          <w:sz w:val="18"/>
        </w:rPr>
        <w:t>Utilisation</w:t>
      </w:r>
      <w:r>
        <w:rPr>
          <w:b/>
          <w:spacing w:val="-19"/>
          <w:sz w:val="18"/>
        </w:rPr>
        <w:t xml:space="preserve"> </w:t>
      </w:r>
      <w:r>
        <w:rPr>
          <w:b/>
          <w:sz w:val="18"/>
        </w:rPr>
        <w:t>by</w:t>
      </w:r>
      <w:r>
        <w:rPr>
          <w:b/>
          <w:spacing w:val="-19"/>
          <w:sz w:val="18"/>
        </w:rPr>
        <w:t xml:space="preserve"> </w:t>
      </w:r>
      <w:r>
        <w:rPr>
          <w:b/>
          <w:spacing w:val="-2"/>
          <w:sz w:val="18"/>
        </w:rPr>
        <w:t>Region</w:t>
      </w:r>
    </w:p>
    <w:p w:rsidR="002C1123" w:rsidRDefault="002C1123">
      <w:pPr>
        <w:pStyle w:val="BodyText"/>
        <w:rPr>
          <w:b/>
        </w:rPr>
      </w:pPr>
    </w:p>
    <w:p w:rsidR="002C1123" w:rsidRDefault="002C1123">
      <w:pPr>
        <w:pStyle w:val="BodyText"/>
        <w:spacing w:before="4"/>
        <w:rPr>
          <w:b/>
          <w:sz w:val="18"/>
        </w:rPr>
      </w:pPr>
    </w:p>
    <w:p w:rsidR="002C1123" w:rsidRDefault="00F22F94">
      <w:pPr>
        <w:spacing w:line="174" w:lineRule="exact"/>
        <w:ind w:right="328"/>
        <w:jc w:val="right"/>
        <w:rPr>
          <w:b/>
          <w:sz w:val="16"/>
        </w:rPr>
      </w:pPr>
      <w:r>
        <w:rPr>
          <w:b/>
          <w:color w:val="2E3092"/>
          <w:spacing w:val="-2"/>
          <w:sz w:val="16"/>
        </w:rPr>
        <w:t>Average</w:t>
      </w:r>
    </w:p>
    <w:p w:rsidR="002C1123" w:rsidRDefault="00F22F94">
      <w:pPr>
        <w:rPr>
          <w:b/>
          <w:sz w:val="18"/>
        </w:rPr>
      </w:pPr>
      <w:r>
        <w:br w:type="column"/>
      </w:r>
    </w:p>
    <w:p w:rsidR="002C1123" w:rsidRDefault="002C1123">
      <w:pPr>
        <w:pStyle w:val="BodyText"/>
        <w:rPr>
          <w:b/>
          <w:sz w:val="18"/>
        </w:rPr>
      </w:pPr>
    </w:p>
    <w:p w:rsidR="002C1123" w:rsidRDefault="002C1123">
      <w:pPr>
        <w:pStyle w:val="BodyText"/>
        <w:rPr>
          <w:b/>
          <w:sz w:val="18"/>
        </w:rPr>
      </w:pPr>
    </w:p>
    <w:p w:rsidR="002C1123" w:rsidRDefault="002C1123">
      <w:pPr>
        <w:pStyle w:val="BodyText"/>
        <w:spacing w:before="10"/>
        <w:rPr>
          <w:b/>
          <w:sz w:val="16"/>
        </w:rPr>
      </w:pPr>
    </w:p>
    <w:p w:rsidR="002C1123" w:rsidRDefault="00F22F94">
      <w:pPr>
        <w:spacing w:line="174" w:lineRule="exact"/>
        <w:ind w:left="92"/>
        <w:rPr>
          <w:b/>
          <w:sz w:val="16"/>
        </w:rPr>
      </w:pPr>
      <w:r>
        <w:rPr>
          <w:b/>
          <w:color w:val="2E3092"/>
          <w:spacing w:val="-5"/>
          <w:sz w:val="16"/>
        </w:rPr>
        <w:t>Bed</w:t>
      </w:r>
    </w:p>
    <w:p w:rsidR="002C1123" w:rsidRDefault="00F22F94">
      <w:pPr>
        <w:rPr>
          <w:b/>
          <w:sz w:val="18"/>
        </w:rPr>
      </w:pPr>
      <w:r>
        <w:br w:type="column"/>
      </w:r>
    </w:p>
    <w:p w:rsidR="002C1123" w:rsidRDefault="002C1123">
      <w:pPr>
        <w:pStyle w:val="BodyText"/>
        <w:rPr>
          <w:b/>
          <w:sz w:val="18"/>
        </w:rPr>
      </w:pPr>
    </w:p>
    <w:p w:rsidR="002C1123" w:rsidRDefault="002C1123">
      <w:pPr>
        <w:pStyle w:val="BodyText"/>
        <w:spacing w:before="1"/>
        <w:rPr>
          <w:b/>
          <w:sz w:val="19"/>
        </w:rPr>
      </w:pPr>
    </w:p>
    <w:p w:rsidR="002C1123" w:rsidRDefault="00F22F94">
      <w:pPr>
        <w:spacing w:before="1" w:line="235" w:lineRule="auto"/>
        <w:ind w:left="492" w:right="-9"/>
        <w:rPr>
          <w:b/>
          <w:sz w:val="16"/>
        </w:rPr>
      </w:pPr>
      <w:r>
        <w:rPr>
          <w:b/>
          <w:color w:val="2E3092"/>
          <w:spacing w:val="-2"/>
          <w:sz w:val="16"/>
        </w:rPr>
        <w:t>Forecast Increase</w:t>
      </w:r>
      <w:r>
        <w:rPr>
          <w:b/>
          <w:color w:val="2E3092"/>
          <w:spacing w:val="-10"/>
          <w:sz w:val="16"/>
        </w:rPr>
        <w:t xml:space="preserve"> </w:t>
      </w:r>
      <w:r>
        <w:rPr>
          <w:b/>
          <w:color w:val="2E3092"/>
          <w:spacing w:val="-2"/>
          <w:sz w:val="16"/>
        </w:rPr>
        <w:t>in</w:t>
      </w:r>
    </w:p>
    <w:p w:rsidR="002C1123" w:rsidRDefault="00F22F94">
      <w:pPr>
        <w:rPr>
          <w:b/>
          <w:sz w:val="18"/>
        </w:rPr>
      </w:pPr>
      <w:r>
        <w:br w:type="column"/>
      </w:r>
    </w:p>
    <w:p w:rsidR="002C1123" w:rsidRDefault="002C1123">
      <w:pPr>
        <w:pStyle w:val="BodyText"/>
        <w:spacing w:before="5"/>
        <w:rPr>
          <w:b/>
          <w:sz w:val="21"/>
        </w:rPr>
      </w:pPr>
    </w:p>
    <w:p w:rsidR="002C1123" w:rsidRDefault="00F22F94">
      <w:pPr>
        <w:spacing w:before="1" w:line="235" w:lineRule="auto"/>
        <w:ind w:left="219" w:right="32"/>
        <w:rPr>
          <w:b/>
          <w:sz w:val="16"/>
        </w:rPr>
      </w:pPr>
      <w:r>
        <w:rPr>
          <w:b/>
          <w:color w:val="2E3092"/>
          <w:spacing w:val="-2"/>
          <w:sz w:val="16"/>
        </w:rPr>
        <w:t>Forecast Increase</w:t>
      </w:r>
      <w:r>
        <w:rPr>
          <w:b/>
          <w:color w:val="2E3092"/>
          <w:spacing w:val="-10"/>
          <w:sz w:val="16"/>
        </w:rPr>
        <w:t xml:space="preserve"> </w:t>
      </w:r>
      <w:r>
        <w:rPr>
          <w:b/>
          <w:color w:val="2E3092"/>
          <w:spacing w:val="-2"/>
          <w:sz w:val="16"/>
        </w:rPr>
        <w:t>in Demand,</w:t>
      </w:r>
    </w:p>
    <w:p w:rsidR="002C1123" w:rsidRDefault="00F22F94">
      <w:pPr>
        <w:pStyle w:val="BodyText"/>
        <w:spacing w:before="76" w:line="240" w:lineRule="atLeast"/>
        <w:ind w:left="492" w:right="646"/>
      </w:pPr>
      <w:r>
        <w:br w:type="column"/>
      </w:r>
      <w:r>
        <w:rPr>
          <w:w w:val="95"/>
        </w:rPr>
        <w:t>Regional</w:t>
      </w:r>
      <w:r>
        <w:rPr>
          <w:spacing w:val="-8"/>
          <w:w w:val="95"/>
        </w:rPr>
        <w:t xml:space="preserve"> </w:t>
      </w:r>
      <w:r>
        <w:rPr>
          <w:w w:val="95"/>
        </w:rPr>
        <w:t>health</w:t>
      </w:r>
      <w:r>
        <w:rPr>
          <w:spacing w:val="-8"/>
          <w:w w:val="95"/>
        </w:rPr>
        <w:t xml:space="preserve"> </w:t>
      </w:r>
      <w:r>
        <w:rPr>
          <w:w w:val="95"/>
        </w:rPr>
        <w:t>costs</w:t>
      </w:r>
      <w:r>
        <w:rPr>
          <w:spacing w:val="-8"/>
          <w:w w:val="95"/>
        </w:rPr>
        <w:t xml:space="preserve"> </w:t>
      </w:r>
      <w:r>
        <w:rPr>
          <w:w w:val="95"/>
        </w:rPr>
        <w:t>and</w:t>
      </w:r>
      <w:r>
        <w:rPr>
          <w:spacing w:val="-8"/>
          <w:w w:val="95"/>
        </w:rPr>
        <w:t xml:space="preserve"> </w:t>
      </w:r>
      <w:r>
        <w:rPr>
          <w:w w:val="95"/>
        </w:rPr>
        <w:t>services</w:t>
      </w:r>
      <w:r>
        <w:rPr>
          <w:spacing w:val="-8"/>
          <w:w w:val="95"/>
        </w:rPr>
        <w:t xml:space="preserve"> </w:t>
      </w:r>
      <w:r>
        <w:rPr>
          <w:w w:val="95"/>
        </w:rPr>
        <w:t>would</w:t>
      </w:r>
      <w:r>
        <w:rPr>
          <w:spacing w:val="-8"/>
          <w:w w:val="95"/>
        </w:rPr>
        <w:t xml:space="preserve"> </w:t>
      </w:r>
      <w:r>
        <w:rPr>
          <w:w w:val="95"/>
        </w:rPr>
        <w:t xml:space="preserve">significantly </w:t>
      </w:r>
      <w:r>
        <w:rPr>
          <w:w w:val="90"/>
        </w:rPr>
        <w:t xml:space="preserve">improve with increasing use of these tools, including audio </w:t>
      </w:r>
      <w:r>
        <w:rPr>
          <w:w w:val="95"/>
        </w:rPr>
        <w:t>conferencing,</w:t>
      </w:r>
      <w:r>
        <w:rPr>
          <w:spacing w:val="-3"/>
          <w:w w:val="95"/>
        </w:rPr>
        <w:t xml:space="preserve"> </w:t>
      </w:r>
      <w:r>
        <w:rPr>
          <w:w w:val="95"/>
        </w:rPr>
        <w:t>video</w:t>
      </w:r>
      <w:r>
        <w:rPr>
          <w:spacing w:val="-3"/>
          <w:w w:val="95"/>
        </w:rPr>
        <w:t xml:space="preserve"> </w:t>
      </w:r>
      <w:r>
        <w:rPr>
          <w:w w:val="95"/>
        </w:rPr>
        <w:t>conferencing</w:t>
      </w:r>
      <w:r>
        <w:rPr>
          <w:spacing w:val="-3"/>
          <w:w w:val="95"/>
        </w:rPr>
        <w:t xml:space="preserve"> </w:t>
      </w:r>
      <w:r>
        <w:rPr>
          <w:w w:val="95"/>
        </w:rPr>
        <w:t>and</w:t>
      </w:r>
      <w:r>
        <w:rPr>
          <w:spacing w:val="-3"/>
          <w:w w:val="95"/>
        </w:rPr>
        <w:t xml:space="preserve"> </w:t>
      </w:r>
      <w:r>
        <w:rPr>
          <w:w w:val="95"/>
        </w:rPr>
        <w:t>web</w:t>
      </w:r>
      <w:r>
        <w:rPr>
          <w:spacing w:val="-3"/>
          <w:w w:val="95"/>
        </w:rPr>
        <w:t xml:space="preserve"> </w:t>
      </w:r>
      <w:r>
        <w:rPr>
          <w:w w:val="95"/>
        </w:rPr>
        <w:t>meetings</w:t>
      </w:r>
      <w:r>
        <w:rPr>
          <w:spacing w:val="-3"/>
          <w:w w:val="95"/>
        </w:rPr>
        <w:t xml:space="preserve"> </w:t>
      </w:r>
      <w:r>
        <w:rPr>
          <w:w w:val="95"/>
        </w:rPr>
        <w:t xml:space="preserve">for </w:t>
      </w:r>
      <w:r>
        <w:rPr>
          <w:spacing w:val="-2"/>
          <w:w w:val="95"/>
        </w:rPr>
        <w:t>consultations</w:t>
      </w:r>
      <w:r>
        <w:rPr>
          <w:spacing w:val="-7"/>
          <w:w w:val="95"/>
        </w:rPr>
        <w:t xml:space="preserve"> </w:t>
      </w:r>
      <w:r>
        <w:rPr>
          <w:spacing w:val="-2"/>
          <w:w w:val="95"/>
        </w:rPr>
        <w:t>and</w:t>
      </w:r>
      <w:r>
        <w:rPr>
          <w:spacing w:val="-7"/>
          <w:w w:val="95"/>
        </w:rPr>
        <w:t xml:space="preserve"> </w:t>
      </w:r>
      <w:r>
        <w:rPr>
          <w:spacing w:val="-2"/>
          <w:w w:val="95"/>
        </w:rPr>
        <w:t>telehealth</w:t>
      </w:r>
      <w:r>
        <w:rPr>
          <w:spacing w:val="-7"/>
          <w:w w:val="95"/>
        </w:rPr>
        <w:t xml:space="preserve"> </w:t>
      </w:r>
      <w:r>
        <w:rPr>
          <w:spacing w:val="-2"/>
          <w:w w:val="95"/>
        </w:rPr>
        <w:t>services</w:t>
      </w:r>
      <w:r>
        <w:rPr>
          <w:spacing w:val="-7"/>
          <w:w w:val="95"/>
        </w:rPr>
        <w:t xml:space="preserve"> </w:t>
      </w:r>
      <w:r>
        <w:rPr>
          <w:spacing w:val="-2"/>
          <w:w w:val="95"/>
        </w:rPr>
        <w:t>to</w:t>
      </w:r>
      <w:r>
        <w:rPr>
          <w:spacing w:val="-7"/>
          <w:w w:val="95"/>
        </w:rPr>
        <w:t xml:space="preserve"> </w:t>
      </w:r>
      <w:r>
        <w:rPr>
          <w:spacing w:val="-2"/>
          <w:w w:val="95"/>
        </w:rPr>
        <w:t>remotely</w:t>
      </w:r>
      <w:r>
        <w:rPr>
          <w:spacing w:val="-7"/>
          <w:w w:val="95"/>
        </w:rPr>
        <w:t xml:space="preserve"> </w:t>
      </w:r>
      <w:r>
        <w:rPr>
          <w:spacing w:val="-2"/>
          <w:w w:val="95"/>
        </w:rPr>
        <w:t>monitor</w:t>
      </w:r>
    </w:p>
    <w:p w:rsidR="002C1123" w:rsidRDefault="002C1123">
      <w:pPr>
        <w:spacing w:line="240" w:lineRule="atLeast"/>
        <w:sectPr w:rsidR="002C1123">
          <w:type w:val="continuous"/>
          <w:pgSz w:w="16840" w:h="11910" w:orient="landscape"/>
          <w:pgMar w:top="560" w:right="280" w:bottom="280" w:left="500" w:header="0" w:footer="517" w:gutter="0"/>
          <w:cols w:num="5" w:space="720" w:equalWidth="0">
            <w:col w:w="3819" w:space="40"/>
            <w:col w:w="430" w:space="246"/>
            <w:col w:w="1310" w:space="40"/>
            <w:col w:w="1078" w:space="3091"/>
            <w:col w:w="6006"/>
          </w:cols>
        </w:sectPr>
      </w:pPr>
    </w:p>
    <w:p w:rsidR="002C1123" w:rsidRDefault="002060EF">
      <w:pPr>
        <w:spacing w:before="139"/>
        <w:ind w:left="461" w:right="2"/>
        <w:jc w:val="center"/>
        <w:rPr>
          <w:b/>
          <w:sz w:val="16"/>
        </w:rPr>
      </w:pPr>
      <w:r>
        <w:pict>
          <v:shape id="docshape1014" o:spid="_x0000_s4297" type="#_x0000_t202" style="position:absolute;left:0;text-align:left;margin-left:49.1pt;margin-top:16.8pt;width:471.6pt;height:329.2pt;z-index:251291648;mso-position-horizontal-relative:page" filled="f" stroked="f">
            <v:textbox inset="0,0,0,0">
              <w:txbxContent>
                <w:tbl>
                  <w:tblPr>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268"/>
                    <w:gridCol w:w="1077"/>
                    <w:gridCol w:w="1077"/>
                    <w:gridCol w:w="1077"/>
                    <w:gridCol w:w="1360"/>
                    <w:gridCol w:w="2551"/>
                  </w:tblGrid>
                  <w:tr w:rsidR="00F22F94">
                    <w:trPr>
                      <w:trHeight w:val="567"/>
                    </w:trPr>
                    <w:tc>
                      <w:tcPr>
                        <w:tcW w:w="2268" w:type="dxa"/>
                        <w:vMerge w:val="restart"/>
                        <w:tcBorders>
                          <w:top w:val="nil"/>
                          <w:left w:val="nil"/>
                        </w:tcBorders>
                        <w:shd w:val="clear" w:color="auto" w:fill="C9C8C9"/>
                      </w:tcPr>
                      <w:p w:rsidR="00F22F94" w:rsidRDefault="00F22F94">
                        <w:pPr>
                          <w:pStyle w:val="TableParagraph"/>
                          <w:spacing w:before="73"/>
                          <w:rPr>
                            <w:b/>
                            <w:sz w:val="18"/>
                          </w:rPr>
                        </w:pPr>
                        <w:r>
                          <w:rPr>
                            <w:b/>
                            <w:sz w:val="18"/>
                          </w:rPr>
                          <w:t>Hunter</w:t>
                        </w:r>
                        <w:r>
                          <w:rPr>
                            <w:b/>
                            <w:spacing w:val="-12"/>
                            <w:sz w:val="18"/>
                          </w:rPr>
                          <w:t xml:space="preserve"> </w:t>
                        </w:r>
                        <w:r>
                          <w:rPr>
                            <w:b/>
                            <w:sz w:val="18"/>
                          </w:rPr>
                          <w:t>New</w:t>
                        </w:r>
                        <w:r>
                          <w:rPr>
                            <w:b/>
                            <w:spacing w:val="-11"/>
                            <w:sz w:val="18"/>
                          </w:rPr>
                          <w:t xml:space="preserve"> </w:t>
                        </w:r>
                        <w:r>
                          <w:rPr>
                            <w:b/>
                            <w:spacing w:val="-2"/>
                            <w:sz w:val="18"/>
                          </w:rPr>
                          <w:t>England</w:t>
                        </w:r>
                      </w:p>
                    </w:tc>
                    <w:tc>
                      <w:tcPr>
                        <w:tcW w:w="1077" w:type="dxa"/>
                        <w:vMerge w:val="restart"/>
                        <w:tcBorders>
                          <w:top w:val="nil"/>
                        </w:tcBorders>
                        <w:shd w:val="clear" w:color="auto" w:fill="E1E0E1"/>
                      </w:tcPr>
                      <w:p w:rsidR="00F22F94" w:rsidRDefault="00F22F94">
                        <w:pPr>
                          <w:pStyle w:val="TableParagraph"/>
                          <w:spacing w:before="77"/>
                          <w:rPr>
                            <w:sz w:val="16"/>
                          </w:rPr>
                        </w:pPr>
                        <w:r>
                          <w:rPr>
                            <w:spacing w:val="-5"/>
                            <w:sz w:val="16"/>
                          </w:rPr>
                          <w:t>3.2</w:t>
                        </w:r>
                      </w:p>
                    </w:tc>
                    <w:tc>
                      <w:tcPr>
                        <w:tcW w:w="1077" w:type="dxa"/>
                        <w:vMerge w:val="restart"/>
                        <w:tcBorders>
                          <w:top w:val="nil"/>
                        </w:tcBorders>
                        <w:shd w:val="clear" w:color="auto" w:fill="E1E0E1"/>
                      </w:tcPr>
                      <w:p w:rsidR="00F22F94" w:rsidRDefault="00F22F94">
                        <w:pPr>
                          <w:pStyle w:val="TableParagraph"/>
                          <w:rPr>
                            <w:rFonts w:ascii="Tahoma"/>
                            <w:sz w:val="16"/>
                          </w:rPr>
                        </w:pPr>
                        <w:r>
                          <w:rPr>
                            <w:rFonts w:ascii="Tahoma"/>
                            <w:spacing w:val="-5"/>
                            <w:sz w:val="16"/>
                          </w:rPr>
                          <w:t>75%</w:t>
                        </w:r>
                      </w:p>
                    </w:tc>
                    <w:tc>
                      <w:tcPr>
                        <w:tcW w:w="1077" w:type="dxa"/>
                        <w:vMerge w:val="restart"/>
                        <w:tcBorders>
                          <w:top w:val="nil"/>
                          <w:right w:val="dashed" w:sz="8" w:space="0" w:color="FFFFFF"/>
                        </w:tcBorders>
                        <w:shd w:val="clear" w:color="auto" w:fill="E1E0E1"/>
                      </w:tcPr>
                      <w:p w:rsidR="00F22F94" w:rsidRDefault="00F22F94">
                        <w:pPr>
                          <w:pStyle w:val="TableParagraph"/>
                          <w:rPr>
                            <w:rFonts w:ascii="Tahoma"/>
                            <w:sz w:val="16"/>
                          </w:rPr>
                        </w:pPr>
                        <w:r>
                          <w:rPr>
                            <w:rFonts w:ascii="Tahoma"/>
                            <w:spacing w:val="-5"/>
                            <w:sz w:val="16"/>
                          </w:rPr>
                          <w:t>13%</w:t>
                        </w:r>
                      </w:p>
                    </w:tc>
                    <w:tc>
                      <w:tcPr>
                        <w:tcW w:w="1360" w:type="dxa"/>
                        <w:vMerge w:val="restart"/>
                        <w:tcBorders>
                          <w:top w:val="nil"/>
                          <w:left w:val="dashed" w:sz="8" w:space="0" w:color="FFFFFF"/>
                        </w:tcBorders>
                        <w:shd w:val="clear" w:color="auto" w:fill="E1E0E1"/>
                      </w:tcPr>
                      <w:p w:rsidR="00F22F94" w:rsidRDefault="00F22F94">
                        <w:pPr>
                          <w:pStyle w:val="TableParagraph"/>
                          <w:rPr>
                            <w:rFonts w:ascii="Tahoma"/>
                            <w:sz w:val="16"/>
                          </w:rPr>
                        </w:pPr>
                        <w:r>
                          <w:rPr>
                            <w:rFonts w:ascii="Tahoma"/>
                            <w:spacing w:val="-5"/>
                            <w:sz w:val="16"/>
                          </w:rPr>
                          <w:t>41%</w:t>
                        </w:r>
                      </w:p>
                    </w:tc>
                    <w:tc>
                      <w:tcPr>
                        <w:tcW w:w="2551" w:type="dxa"/>
                        <w:tcBorders>
                          <w:top w:val="nil"/>
                        </w:tcBorders>
                        <w:shd w:val="clear" w:color="auto" w:fill="E1E0E1"/>
                      </w:tcPr>
                      <w:p w:rsidR="00F22F94" w:rsidRDefault="00F22F94">
                        <w:pPr>
                          <w:pStyle w:val="TableParagraph"/>
                          <w:spacing w:before="80" w:line="235" w:lineRule="auto"/>
                          <w:ind w:left="114" w:right="390"/>
                          <w:rPr>
                            <w:sz w:val="16"/>
                          </w:rPr>
                        </w:pPr>
                        <w:r>
                          <w:rPr>
                            <w:w w:val="95"/>
                            <w:sz w:val="16"/>
                          </w:rPr>
                          <w:t>Tamworth</w:t>
                        </w:r>
                        <w:r>
                          <w:rPr>
                            <w:spacing w:val="-3"/>
                            <w:w w:val="95"/>
                            <w:sz w:val="16"/>
                          </w:rPr>
                          <w:t xml:space="preserve"> </w:t>
                        </w:r>
                        <w:r>
                          <w:rPr>
                            <w:w w:val="95"/>
                            <w:sz w:val="16"/>
                          </w:rPr>
                          <w:t xml:space="preserve">Redevelopment </w:t>
                        </w:r>
                        <w:r>
                          <w:rPr>
                            <w:sz w:val="16"/>
                          </w:rPr>
                          <w:t>and Stage 3</w:t>
                        </w:r>
                      </w:p>
                    </w:tc>
                  </w:tr>
                  <w:tr w:rsidR="00F22F94">
                    <w:trPr>
                      <w:trHeight w:val="377"/>
                    </w:trPr>
                    <w:tc>
                      <w:tcPr>
                        <w:tcW w:w="2268" w:type="dxa"/>
                        <w:vMerge/>
                        <w:tcBorders>
                          <w:top w:val="nil"/>
                          <w:left w:val="nil"/>
                        </w:tcBorders>
                        <w:shd w:val="clear" w:color="auto" w:fill="C9C8C9"/>
                      </w:tcPr>
                      <w:p w:rsidR="00F22F94" w:rsidRDefault="00F22F94">
                        <w:pPr>
                          <w:rPr>
                            <w:sz w:val="2"/>
                            <w:szCs w:val="2"/>
                          </w:rPr>
                        </w:pPr>
                      </w:p>
                    </w:tc>
                    <w:tc>
                      <w:tcPr>
                        <w:tcW w:w="1077" w:type="dxa"/>
                        <w:vMerge/>
                        <w:tcBorders>
                          <w:top w:val="nil"/>
                        </w:tcBorders>
                        <w:shd w:val="clear" w:color="auto" w:fill="E1E0E1"/>
                      </w:tcPr>
                      <w:p w:rsidR="00F22F94" w:rsidRDefault="00F22F94">
                        <w:pPr>
                          <w:rPr>
                            <w:sz w:val="2"/>
                            <w:szCs w:val="2"/>
                          </w:rPr>
                        </w:pPr>
                      </w:p>
                    </w:tc>
                    <w:tc>
                      <w:tcPr>
                        <w:tcW w:w="1077" w:type="dxa"/>
                        <w:vMerge/>
                        <w:tcBorders>
                          <w:top w:val="nil"/>
                        </w:tcBorders>
                        <w:shd w:val="clear" w:color="auto" w:fill="E1E0E1"/>
                      </w:tcPr>
                      <w:p w:rsidR="00F22F94" w:rsidRDefault="00F22F94">
                        <w:pPr>
                          <w:rPr>
                            <w:sz w:val="2"/>
                            <w:szCs w:val="2"/>
                          </w:rPr>
                        </w:pPr>
                      </w:p>
                    </w:tc>
                    <w:tc>
                      <w:tcPr>
                        <w:tcW w:w="1077" w:type="dxa"/>
                        <w:vMerge/>
                        <w:tcBorders>
                          <w:top w:val="nil"/>
                          <w:right w:val="dashed" w:sz="8" w:space="0" w:color="FFFFFF"/>
                        </w:tcBorders>
                        <w:shd w:val="clear" w:color="auto" w:fill="E1E0E1"/>
                      </w:tcPr>
                      <w:p w:rsidR="00F22F94" w:rsidRDefault="00F22F94">
                        <w:pPr>
                          <w:rPr>
                            <w:sz w:val="2"/>
                            <w:szCs w:val="2"/>
                          </w:rPr>
                        </w:pPr>
                      </w:p>
                    </w:tc>
                    <w:tc>
                      <w:tcPr>
                        <w:tcW w:w="1360" w:type="dxa"/>
                        <w:vMerge/>
                        <w:tcBorders>
                          <w:top w:val="nil"/>
                          <w:left w:val="dashed" w:sz="8" w:space="0" w:color="FFFFFF"/>
                        </w:tcBorders>
                        <w:shd w:val="clear" w:color="auto" w:fill="E1E0E1"/>
                      </w:tcPr>
                      <w:p w:rsidR="00F22F94" w:rsidRDefault="00F22F94">
                        <w:pPr>
                          <w:rPr>
                            <w:sz w:val="2"/>
                            <w:szCs w:val="2"/>
                          </w:rPr>
                        </w:pPr>
                      </w:p>
                    </w:tc>
                    <w:tc>
                      <w:tcPr>
                        <w:tcW w:w="2551" w:type="dxa"/>
                        <w:shd w:val="clear" w:color="auto" w:fill="E1E0E1"/>
                      </w:tcPr>
                      <w:p w:rsidR="00F22F94" w:rsidRDefault="00F22F94">
                        <w:pPr>
                          <w:pStyle w:val="TableParagraph"/>
                          <w:ind w:left="114"/>
                          <w:rPr>
                            <w:sz w:val="16"/>
                          </w:rPr>
                        </w:pPr>
                        <w:r>
                          <w:rPr>
                            <w:w w:val="95"/>
                            <w:sz w:val="16"/>
                          </w:rPr>
                          <w:t>Maitland/</w:t>
                        </w:r>
                        <w:r>
                          <w:rPr>
                            <w:spacing w:val="10"/>
                            <w:sz w:val="16"/>
                          </w:rPr>
                          <w:t xml:space="preserve"> </w:t>
                        </w:r>
                        <w:r>
                          <w:rPr>
                            <w:w w:val="95"/>
                            <w:sz w:val="16"/>
                          </w:rPr>
                          <w:t>New</w:t>
                        </w:r>
                        <w:r>
                          <w:rPr>
                            <w:spacing w:val="11"/>
                            <w:sz w:val="16"/>
                          </w:rPr>
                          <w:t xml:space="preserve"> </w:t>
                        </w:r>
                        <w:r>
                          <w:rPr>
                            <w:spacing w:val="-2"/>
                            <w:w w:val="95"/>
                            <w:sz w:val="16"/>
                          </w:rPr>
                          <w:t>Hunter</w:t>
                        </w:r>
                      </w:p>
                    </w:tc>
                  </w:tr>
                  <w:tr w:rsidR="00F22F94">
                    <w:trPr>
                      <w:trHeight w:val="377"/>
                    </w:trPr>
                    <w:tc>
                      <w:tcPr>
                        <w:tcW w:w="2268" w:type="dxa"/>
                        <w:vMerge/>
                        <w:tcBorders>
                          <w:top w:val="nil"/>
                          <w:left w:val="nil"/>
                        </w:tcBorders>
                        <w:shd w:val="clear" w:color="auto" w:fill="C9C8C9"/>
                      </w:tcPr>
                      <w:p w:rsidR="00F22F94" w:rsidRDefault="00F22F94">
                        <w:pPr>
                          <w:rPr>
                            <w:sz w:val="2"/>
                            <w:szCs w:val="2"/>
                          </w:rPr>
                        </w:pPr>
                      </w:p>
                    </w:tc>
                    <w:tc>
                      <w:tcPr>
                        <w:tcW w:w="1077" w:type="dxa"/>
                        <w:vMerge/>
                        <w:tcBorders>
                          <w:top w:val="nil"/>
                        </w:tcBorders>
                        <w:shd w:val="clear" w:color="auto" w:fill="E1E0E1"/>
                      </w:tcPr>
                      <w:p w:rsidR="00F22F94" w:rsidRDefault="00F22F94">
                        <w:pPr>
                          <w:rPr>
                            <w:sz w:val="2"/>
                            <w:szCs w:val="2"/>
                          </w:rPr>
                        </w:pPr>
                      </w:p>
                    </w:tc>
                    <w:tc>
                      <w:tcPr>
                        <w:tcW w:w="1077" w:type="dxa"/>
                        <w:vMerge/>
                        <w:tcBorders>
                          <w:top w:val="nil"/>
                        </w:tcBorders>
                        <w:shd w:val="clear" w:color="auto" w:fill="E1E0E1"/>
                      </w:tcPr>
                      <w:p w:rsidR="00F22F94" w:rsidRDefault="00F22F94">
                        <w:pPr>
                          <w:rPr>
                            <w:sz w:val="2"/>
                            <w:szCs w:val="2"/>
                          </w:rPr>
                        </w:pPr>
                      </w:p>
                    </w:tc>
                    <w:tc>
                      <w:tcPr>
                        <w:tcW w:w="1077" w:type="dxa"/>
                        <w:vMerge/>
                        <w:tcBorders>
                          <w:top w:val="nil"/>
                          <w:right w:val="dashed" w:sz="8" w:space="0" w:color="FFFFFF"/>
                        </w:tcBorders>
                        <w:shd w:val="clear" w:color="auto" w:fill="E1E0E1"/>
                      </w:tcPr>
                      <w:p w:rsidR="00F22F94" w:rsidRDefault="00F22F94">
                        <w:pPr>
                          <w:rPr>
                            <w:sz w:val="2"/>
                            <w:szCs w:val="2"/>
                          </w:rPr>
                        </w:pPr>
                      </w:p>
                    </w:tc>
                    <w:tc>
                      <w:tcPr>
                        <w:tcW w:w="1360" w:type="dxa"/>
                        <w:vMerge/>
                        <w:tcBorders>
                          <w:top w:val="nil"/>
                          <w:left w:val="dashed" w:sz="8" w:space="0" w:color="FFFFFF"/>
                        </w:tcBorders>
                        <w:shd w:val="clear" w:color="auto" w:fill="E1E0E1"/>
                      </w:tcPr>
                      <w:p w:rsidR="00F22F94" w:rsidRDefault="00F22F94">
                        <w:pPr>
                          <w:rPr>
                            <w:sz w:val="2"/>
                            <w:szCs w:val="2"/>
                          </w:rPr>
                        </w:pPr>
                      </w:p>
                    </w:tc>
                    <w:tc>
                      <w:tcPr>
                        <w:tcW w:w="2551" w:type="dxa"/>
                        <w:tcBorders>
                          <w:right w:val="dashed" w:sz="8" w:space="0" w:color="FFFFFF"/>
                        </w:tcBorders>
                        <w:shd w:val="clear" w:color="auto" w:fill="E1E0E1"/>
                      </w:tcPr>
                      <w:p w:rsidR="00F22F94" w:rsidRDefault="00F22F94">
                        <w:pPr>
                          <w:pStyle w:val="TableParagraph"/>
                          <w:ind w:left="114"/>
                          <w:rPr>
                            <w:sz w:val="16"/>
                          </w:rPr>
                        </w:pPr>
                        <w:r>
                          <w:rPr>
                            <w:w w:val="95"/>
                            <w:sz w:val="16"/>
                          </w:rPr>
                          <w:t>Morisset/</w:t>
                        </w:r>
                        <w:r>
                          <w:rPr>
                            <w:spacing w:val="20"/>
                            <w:sz w:val="16"/>
                          </w:rPr>
                          <w:t xml:space="preserve"> </w:t>
                        </w:r>
                        <w:r>
                          <w:rPr>
                            <w:spacing w:val="-2"/>
                            <w:sz w:val="16"/>
                          </w:rPr>
                          <w:t>Kestral</w:t>
                        </w:r>
                      </w:p>
                    </w:tc>
                  </w:tr>
                  <w:tr w:rsidR="00F22F94">
                    <w:trPr>
                      <w:trHeight w:val="377"/>
                    </w:trPr>
                    <w:tc>
                      <w:tcPr>
                        <w:tcW w:w="2268" w:type="dxa"/>
                        <w:vMerge/>
                        <w:tcBorders>
                          <w:top w:val="nil"/>
                          <w:left w:val="nil"/>
                        </w:tcBorders>
                        <w:shd w:val="clear" w:color="auto" w:fill="C9C8C9"/>
                      </w:tcPr>
                      <w:p w:rsidR="00F22F94" w:rsidRDefault="00F22F94">
                        <w:pPr>
                          <w:rPr>
                            <w:sz w:val="2"/>
                            <w:szCs w:val="2"/>
                          </w:rPr>
                        </w:pPr>
                      </w:p>
                    </w:tc>
                    <w:tc>
                      <w:tcPr>
                        <w:tcW w:w="1077" w:type="dxa"/>
                        <w:vMerge/>
                        <w:tcBorders>
                          <w:top w:val="nil"/>
                        </w:tcBorders>
                        <w:shd w:val="clear" w:color="auto" w:fill="E1E0E1"/>
                      </w:tcPr>
                      <w:p w:rsidR="00F22F94" w:rsidRDefault="00F22F94">
                        <w:pPr>
                          <w:rPr>
                            <w:sz w:val="2"/>
                            <w:szCs w:val="2"/>
                          </w:rPr>
                        </w:pPr>
                      </w:p>
                    </w:tc>
                    <w:tc>
                      <w:tcPr>
                        <w:tcW w:w="1077" w:type="dxa"/>
                        <w:vMerge/>
                        <w:tcBorders>
                          <w:top w:val="nil"/>
                        </w:tcBorders>
                        <w:shd w:val="clear" w:color="auto" w:fill="E1E0E1"/>
                      </w:tcPr>
                      <w:p w:rsidR="00F22F94" w:rsidRDefault="00F22F94">
                        <w:pPr>
                          <w:rPr>
                            <w:sz w:val="2"/>
                            <w:szCs w:val="2"/>
                          </w:rPr>
                        </w:pPr>
                      </w:p>
                    </w:tc>
                    <w:tc>
                      <w:tcPr>
                        <w:tcW w:w="1077" w:type="dxa"/>
                        <w:vMerge/>
                        <w:tcBorders>
                          <w:top w:val="nil"/>
                          <w:right w:val="dashed" w:sz="8" w:space="0" w:color="FFFFFF"/>
                        </w:tcBorders>
                        <w:shd w:val="clear" w:color="auto" w:fill="E1E0E1"/>
                      </w:tcPr>
                      <w:p w:rsidR="00F22F94" w:rsidRDefault="00F22F94">
                        <w:pPr>
                          <w:rPr>
                            <w:sz w:val="2"/>
                            <w:szCs w:val="2"/>
                          </w:rPr>
                        </w:pPr>
                      </w:p>
                    </w:tc>
                    <w:tc>
                      <w:tcPr>
                        <w:tcW w:w="1360" w:type="dxa"/>
                        <w:vMerge/>
                        <w:tcBorders>
                          <w:top w:val="nil"/>
                          <w:left w:val="dashed" w:sz="8" w:space="0" w:color="FFFFFF"/>
                        </w:tcBorders>
                        <w:shd w:val="clear" w:color="auto" w:fill="E1E0E1"/>
                      </w:tcPr>
                      <w:p w:rsidR="00F22F94" w:rsidRDefault="00F22F94">
                        <w:pPr>
                          <w:rPr>
                            <w:sz w:val="2"/>
                            <w:szCs w:val="2"/>
                          </w:rPr>
                        </w:pPr>
                      </w:p>
                    </w:tc>
                    <w:tc>
                      <w:tcPr>
                        <w:tcW w:w="2551" w:type="dxa"/>
                        <w:tcBorders>
                          <w:right w:val="dashed" w:sz="8" w:space="0" w:color="FFFFFF"/>
                        </w:tcBorders>
                        <w:shd w:val="clear" w:color="auto" w:fill="E1E0E1"/>
                      </w:tcPr>
                      <w:p w:rsidR="00F22F94" w:rsidRDefault="00F22F94">
                        <w:pPr>
                          <w:pStyle w:val="TableParagraph"/>
                          <w:ind w:left="114"/>
                          <w:rPr>
                            <w:sz w:val="16"/>
                          </w:rPr>
                        </w:pPr>
                        <w:r>
                          <w:rPr>
                            <w:w w:val="95"/>
                            <w:sz w:val="16"/>
                          </w:rPr>
                          <w:t>Armidale</w:t>
                        </w:r>
                        <w:r>
                          <w:rPr>
                            <w:spacing w:val="-1"/>
                            <w:sz w:val="16"/>
                          </w:rPr>
                          <w:t xml:space="preserve"> </w:t>
                        </w:r>
                        <w:r>
                          <w:rPr>
                            <w:spacing w:val="-2"/>
                            <w:sz w:val="16"/>
                          </w:rPr>
                          <w:t>Redevelopment</w:t>
                        </w:r>
                      </w:p>
                    </w:tc>
                  </w:tr>
                  <w:tr w:rsidR="00F22F94">
                    <w:trPr>
                      <w:trHeight w:val="391"/>
                    </w:trPr>
                    <w:tc>
                      <w:tcPr>
                        <w:tcW w:w="2268" w:type="dxa"/>
                        <w:tcBorders>
                          <w:left w:val="nil"/>
                        </w:tcBorders>
                        <w:shd w:val="clear" w:color="auto" w:fill="C9C8C9"/>
                      </w:tcPr>
                      <w:p w:rsidR="00F22F94" w:rsidRDefault="00F22F94">
                        <w:pPr>
                          <w:pStyle w:val="TableParagraph"/>
                          <w:spacing w:before="63"/>
                          <w:rPr>
                            <w:b/>
                            <w:sz w:val="18"/>
                          </w:rPr>
                        </w:pPr>
                        <w:r>
                          <w:rPr>
                            <w:b/>
                            <w:spacing w:val="-2"/>
                            <w:sz w:val="18"/>
                          </w:rPr>
                          <w:t>Illawarra</w:t>
                        </w:r>
                      </w:p>
                    </w:tc>
                    <w:tc>
                      <w:tcPr>
                        <w:tcW w:w="1077" w:type="dxa"/>
                        <w:shd w:val="clear" w:color="auto" w:fill="E1E0E1"/>
                      </w:tcPr>
                      <w:p w:rsidR="00F22F94" w:rsidRDefault="00F22F94">
                        <w:pPr>
                          <w:pStyle w:val="TableParagraph"/>
                          <w:rPr>
                            <w:sz w:val="16"/>
                          </w:rPr>
                        </w:pPr>
                        <w:r>
                          <w:rPr>
                            <w:w w:val="99"/>
                            <w:sz w:val="16"/>
                          </w:rPr>
                          <w:t>1</w:t>
                        </w:r>
                      </w:p>
                    </w:tc>
                    <w:tc>
                      <w:tcPr>
                        <w:tcW w:w="1077" w:type="dxa"/>
                        <w:shd w:val="clear" w:color="auto" w:fill="E1E0E1"/>
                      </w:tcPr>
                      <w:p w:rsidR="00F22F94" w:rsidRDefault="00F22F94">
                        <w:pPr>
                          <w:pStyle w:val="TableParagraph"/>
                          <w:spacing w:before="57"/>
                          <w:rPr>
                            <w:rFonts w:ascii="Tahoma"/>
                            <w:sz w:val="16"/>
                          </w:rPr>
                        </w:pPr>
                        <w:r>
                          <w:rPr>
                            <w:rFonts w:ascii="Tahoma"/>
                            <w:spacing w:val="-5"/>
                            <w:sz w:val="16"/>
                          </w:rPr>
                          <w:t>97%</w:t>
                        </w:r>
                      </w:p>
                    </w:tc>
                    <w:tc>
                      <w:tcPr>
                        <w:tcW w:w="1077" w:type="dxa"/>
                        <w:tcBorders>
                          <w:right w:val="dashed" w:sz="8" w:space="0" w:color="FFFFFF"/>
                        </w:tcBorders>
                        <w:shd w:val="clear" w:color="auto" w:fill="E1E0E1"/>
                      </w:tcPr>
                      <w:p w:rsidR="00F22F94" w:rsidRDefault="00F22F94">
                        <w:pPr>
                          <w:pStyle w:val="TableParagraph"/>
                          <w:spacing w:before="57"/>
                          <w:rPr>
                            <w:rFonts w:ascii="Tahoma"/>
                            <w:sz w:val="16"/>
                          </w:rPr>
                        </w:pPr>
                        <w:r>
                          <w:rPr>
                            <w:rFonts w:ascii="Tahoma"/>
                            <w:spacing w:val="-5"/>
                            <w:sz w:val="16"/>
                          </w:rPr>
                          <w:t>24%</w:t>
                        </w:r>
                      </w:p>
                    </w:tc>
                    <w:tc>
                      <w:tcPr>
                        <w:tcW w:w="1360" w:type="dxa"/>
                        <w:tcBorders>
                          <w:left w:val="dashed" w:sz="8" w:space="0" w:color="FFFFFF"/>
                        </w:tcBorders>
                        <w:shd w:val="clear" w:color="auto" w:fill="E1E0E1"/>
                      </w:tcPr>
                      <w:p w:rsidR="00F22F94" w:rsidRDefault="00F22F94">
                        <w:pPr>
                          <w:pStyle w:val="TableParagraph"/>
                          <w:spacing w:before="57"/>
                          <w:rPr>
                            <w:rFonts w:ascii="Tahoma"/>
                            <w:sz w:val="16"/>
                          </w:rPr>
                        </w:pPr>
                        <w:r>
                          <w:rPr>
                            <w:rFonts w:ascii="Tahoma"/>
                            <w:spacing w:val="-5"/>
                            <w:sz w:val="16"/>
                          </w:rPr>
                          <w:t>67%</w:t>
                        </w:r>
                      </w:p>
                    </w:tc>
                    <w:tc>
                      <w:tcPr>
                        <w:tcW w:w="2551" w:type="dxa"/>
                        <w:tcBorders>
                          <w:right w:val="dashed" w:sz="8" w:space="0" w:color="FFFFFF"/>
                        </w:tcBorders>
                        <w:shd w:val="clear" w:color="auto" w:fill="E1E0E1"/>
                      </w:tcPr>
                      <w:p w:rsidR="00F22F94" w:rsidRDefault="00F22F94">
                        <w:pPr>
                          <w:pStyle w:val="TableParagraph"/>
                          <w:ind w:left="114"/>
                          <w:rPr>
                            <w:sz w:val="16"/>
                          </w:rPr>
                        </w:pPr>
                        <w:r>
                          <w:rPr>
                            <w:w w:val="95"/>
                            <w:sz w:val="16"/>
                          </w:rPr>
                          <w:t>Bega</w:t>
                        </w:r>
                        <w:r>
                          <w:rPr>
                            <w:spacing w:val="2"/>
                            <w:sz w:val="16"/>
                          </w:rPr>
                          <w:t xml:space="preserve"> </w:t>
                        </w:r>
                        <w:r>
                          <w:rPr>
                            <w:spacing w:val="-2"/>
                            <w:sz w:val="16"/>
                          </w:rPr>
                          <w:t>Hospital</w:t>
                        </w:r>
                      </w:p>
                    </w:tc>
                  </w:tr>
                  <w:tr w:rsidR="00F22F94">
                    <w:trPr>
                      <w:trHeight w:val="391"/>
                    </w:trPr>
                    <w:tc>
                      <w:tcPr>
                        <w:tcW w:w="2268" w:type="dxa"/>
                        <w:tcBorders>
                          <w:left w:val="nil"/>
                        </w:tcBorders>
                        <w:shd w:val="clear" w:color="auto" w:fill="C9C8C9"/>
                      </w:tcPr>
                      <w:p w:rsidR="00F22F94" w:rsidRDefault="00F22F94">
                        <w:pPr>
                          <w:pStyle w:val="TableParagraph"/>
                          <w:spacing w:before="63"/>
                          <w:rPr>
                            <w:b/>
                            <w:sz w:val="18"/>
                          </w:rPr>
                        </w:pPr>
                        <w:r>
                          <w:rPr>
                            <w:b/>
                            <w:spacing w:val="-2"/>
                            <w:sz w:val="18"/>
                          </w:rPr>
                          <w:t>Southern</w:t>
                        </w:r>
                      </w:p>
                    </w:tc>
                    <w:tc>
                      <w:tcPr>
                        <w:tcW w:w="1077" w:type="dxa"/>
                        <w:shd w:val="clear" w:color="auto" w:fill="E1E0E1"/>
                      </w:tcPr>
                      <w:p w:rsidR="00F22F94" w:rsidRDefault="00F22F94">
                        <w:pPr>
                          <w:pStyle w:val="TableParagraph"/>
                          <w:rPr>
                            <w:sz w:val="16"/>
                          </w:rPr>
                        </w:pPr>
                        <w:r>
                          <w:rPr>
                            <w:spacing w:val="-5"/>
                            <w:sz w:val="16"/>
                          </w:rPr>
                          <w:t>0.5</w:t>
                        </w:r>
                      </w:p>
                    </w:tc>
                    <w:tc>
                      <w:tcPr>
                        <w:tcW w:w="1077" w:type="dxa"/>
                        <w:shd w:val="clear" w:color="auto" w:fill="E1E0E1"/>
                      </w:tcPr>
                      <w:p w:rsidR="00F22F94" w:rsidRDefault="00F22F94">
                        <w:pPr>
                          <w:pStyle w:val="TableParagraph"/>
                          <w:spacing w:before="57"/>
                          <w:rPr>
                            <w:rFonts w:ascii="Tahoma"/>
                            <w:sz w:val="16"/>
                          </w:rPr>
                        </w:pPr>
                        <w:r>
                          <w:rPr>
                            <w:rFonts w:ascii="Tahoma"/>
                            <w:spacing w:val="-5"/>
                            <w:sz w:val="16"/>
                          </w:rPr>
                          <w:t>75%</w:t>
                        </w:r>
                      </w:p>
                    </w:tc>
                    <w:tc>
                      <w:tcPr>
                        <w:tcW w:w="1077" w:type="dxa"/>
                        <w:tcBorders>
                          <w:right w:val="dashed" w:sz="8" w:space="0" w:color="FFFFFF"/>
                        </w:tcBorders>
                        <w:shd w:val="clear" w:color="auto" w:fill="E1E0E1"/>
                      </w:tcPr>
                      <w:p w:rsidR="00F22F94" w:rsidRDefault="00F22F94">
                        <w:pPr>
                          <w:pStyle w:val="TableParagraph"/>
                          <w:spacing w:before="57"/>
                          <w:rPr>
                            <w:rFonts w:ascii="Tahoma"/>
                            <w:sz w:val="16"/>
                          </w:rPr>
                        </w:pPr>
                        <w:r>
                          <w:rPr>
                            <w:rFonts w:ascii="Tahoma"/>
                            <w:spacing w:val="-5"/>
                            <w:sz w:val="16"/>
                          </w:rPr>
                          <w:t>24%</w:t>
                        </w:r>
                      </w:p>
                    </w:tc>
                    <w:tc>
                      <w:tcPr>
                        <w:tcW w:w="1360" w:type="dxa"/>
                        <w:tcBorders>
                          <w:left w:val="dashed" w:sz="8" w:space="0" w:color="FFFFFF"/>
                        </w:tcBorders>
                        <w:shd w:val="clear" w:color="auto" w:fill="E1E0E1"/>
                      </w:tcPr>
                      <w:p w:rsidR="00F22F94" w:rsidRDefault="00F22F94">
                        <w:pPr>
                          <w:pStyle w:val="TableParagraph"/>
                          <w:spacing w:before="57"/>
                          <w:rPr>
                            <w:rFonts w:ascii="Tahoma"/>
                            <w:sz w:val="16"/>
                          </w:rPr>
                        </w:pPr>
                        <w:r>
                          <w:rPr>
                            <w:rFonts w:ascii="Tahoma"/>
                            <w:spacing w:val="-5"/>
                            <w:sz w:val="16"/>
                          </w:rPr>
                          <w:t>67%</w:t>
                        </w:r>
                      </w:p>
                    </w:tc>
                    <w:tc>
                      <w:tcPr>
                        <w:tcW w:w="2551" w:type="dxa"/>
                        <w:tcBorders>
                          <w:right w:val="dashed" w:sz="8" w:space="0" w:color="FFFFFF"/>
                        </w:tcBorders>
                        <w:shd w:val="clear" w:color="auto" w:fill="E1E0E1"/>
                      </w:tcPr>
                      <w:p w:rsidR="00F22F94" w:rsidRDefault="00F22F94">
                        <w:pPr>
                          <w:pStyle w:val="TableParagraph"/>
                          <w:ind w:left="114"/>
                          <w:rPr>
                            <w:sz w:val="16"/>
                          </w:rPr>
                        </w:pPr>
                        <w:r>
                          <w:rPr>
                            <w:w w:val="95"/>
                            <w:sz w:val="16"/>
                          </w:rPr>
                          <w:t>Goulburn</w:t>
                        </w:r>
                        <w:r>
                          <w:rPr>
                            <w:spacing w:val="2"/>
                            <w:sz w:val="16"/>
                          </w:rPr>
                          <w:t xml:space="preserve"> </w:t>
                        </w:r>
                        <w:r>
                          <w:rPr>
                            <w:w w:val="95"/>
                            <w:sz w:val="16"/>
                          </w:rPr>
                          <w:t>Base</w:t>
                        </w:r>
                        <w:r>
                          <w:rPr>
                            <w:spacing w:val="2"/>
                            <w:sz w:val="16"/>
                          </w:rPr>
                          <w:t xml:space="preserve"> </w:t>
                        </w:r>
                        <w:r>
                          <w:rPr>
                            <w:spacing w:val="-2"/>
                            <w:w w:val="95"/>
                            <w:sz w:val="16"/>
                          </w:rPr>
                          <w:t>Redevelopment</w:t>
                        </w:r>
                      </w:p>
                    </w:tc>
                  </w:tr>
                  <w:tr w:rsidR="00F22F94">
                    <w:trPr>
                      <w:trHeight w:val="377"/>
                    </w:trPr>
                    <w:tc>
                      <w:tcPr>
                        <w:tcW w:w="2268" w:type="dxa"/>
                        <w:vMerge w:val="restart"/>
                        <w:tcBorders>
                          <w:left w:val="nil"/>
                        </w:tcBorders>
                        <w:shd w:val="clear" w:color="auto" w:fill="C9C8C9"/>
                      </w:tcPr>
                      <w:p w:rsidR="00F22F94" w:rsidRDefault="00F22F94">
                        <w:pPr>
                          <w:pStyle w:val="TableParagraph"/>
                          <w:spacing w:before="63"/>
                          <w:rPr>
                            <w:b/>
                            <w:sz w:val="18"/>
                          </w:rPr>
                        </w:pPr>
                        <w:r>
                          <w:rPr>
                            <w:b/>
                            <w:sz w:val="18"/>
                          </w:rPr>
                          <w:t>Mid</w:t>
                        </w:r>
                        <w:r>
                          <w:rPr>
                            <w:b/>
                            <w:spacing w:val="-8"/>
                            <w:sz w:val="18"/>
                          </w:rPr>
                          <w:t xml:space="preserve"> </w:t>
                        </w:r>
                        <w:r>
                          <w:rPr>
                            <w:b/>
                            <w:sz w:val="18"/>
                          </w:rPr>
                          <w:t>North</w:t>
                        </w:r>
                        <w:r>
                          <w:rPr>
                            <w:b/>
                            <w:spacing w:val="-8"/>
                            <w:sz w:val="18"/>
                          </w:rPr>
                          <w:t xml:space="preserve"> </w:t>
                        </w:r>
                        <w:r>
                          <w:rPr>
                            <w:b/>
                            <w:spacing w:val="-2"/>
                            <w:sz w:val="18"/>
                          </w:rPr>
                          <w:t>Coast</w:t>
                        </w:r>
                      </w:p>
                    </w:tc>
                    <w:tc>
                      <w:tcPr>
                        <w:tcW w:w="1077" w:type="dxa"/>
                        <w:vMerge w:val="restart"/>
                        <w:shd w:val="clear" w:color="auto" w:fill="E1E0E1"/>
                      </w:tcPr>
                      <w:p w:rsidR="00F22F94" w:rsidRDefault="00F22F94">
                        <w:pPr>
                          <w:pStyle w:val="TableParagraph"/>
                          <w:rPr>
                            <w:sz w:val="16"/>
                          </w:rPr>
                        </w:pPr>
                        <w:r>
                          <w:rPr>
                            <w:spacing w:val="-5"/>
                            <w:sz w:val="16"/>
                          </w:rPr>
                          <w:t>0.7</w:t>
                        </w:r>
                      </w:p>
                    </w:tc>
                    <w:tc>
                      <w:tcPr>
                        <w:tcW w:w="1077" w:type="dxa"/>
                        <w:vMerge w:val="restart"/>
                        <w:shd w:val="clear" w:color="auto" w:fill="E1E0E1"/>
                      </w:tcPr>
                      <w:p w:rsidR="00F22F94" w:rsidRDefault="00F22F94">
                        <w:pPr>
                          <w:pStyle w:val="TableParagraph"/>
                          <w:spacing w:before="57"/>
                          <w:rPr>
                            <w:rFonts w:ascii="Tahoma"/>
                            <w:sz w:val="16"/>
                          </w:rPr>
                        </w:pPr>
                        <w:r>
                          <w:rPr>
                            <w:rFonts w:ascii="Tahoma"/>
                            <w:spacing w:val="-5"/>
                            <w:sz w:val="16"/>
                          </w:rPr>
                          <w:t>95%</w:t>
                        </w:r>
                      </w:p>
                    </w:tc>
                    <w:tc>
                      <w:tcPr>
                        <w:tcW w:w="1077" w:type="dxa"/>
                        <w:vMerge w:val="restart"/>
                        <w:tcBorders>
                          <w:right w:val="dashed" w:sz="8" w:space="0" w:color="FFFFFF"/>
                        </w:tcBorders>
                        <w:shd w:val="clear" w:color="auto" w:fill="E1E0E1"/>
                      </w:tcPr>
                      <w:p w:rsidR="00F22F94" w:rsidRDefault="00F22F94">
                        <w:pPr>
                          <w:pStyle w:val="TableParagraph"/>
                          <w:spacing w:before="57"/>
                          <w:rPr>
                            <w:rFonts w:ascii="Tahoma"/>
                            <w:sz w:val="16"/>
                          </w:rPr>
                        </w:pPr>
                        <w:r>
                          <w:rPr>
                            <w:rFonts w:ascii="Tahoma"/>
                            <w:spacing w:val="-5"/>
                            <w:sz w:val="16"/>
                          </w:rPr>
                          <w:t>13%</w:t>
                        </w:r>
                      </w:p>
                    </w:tc>
                    <w:tc>
                      <w:tcPr>
                        <w:tcW w:w="1360" w:type="dxa"/>
                        <w:vMerge w:val="restart"/>
                        <w:tcBorders>
                          <w:left w:val="dashed" w:sz="8" w:space="0" w:color="FFFFFF"/>
                        </w:tcBorders>
                        <w:shd w:val="clear" w:color="auto" w:fill="E1E0E1"/>
                      </w:tcPr>
                      <w:p w:rsidR="00F22F94" w:rsidRDefault="00F22F94">
                        <w:pPr>
                          <w:pStyle w:val="TableParagraph"/>
                          <w:spacing w:before="57"/>
                          <w:rPr>
                            <w:rFonts w:ascii="Tahoma"/>
                            <w:sz w:val="16"/>
                          </w:rPr>
                        </w:pPr>
                        <w:r>
                          <w:rPr>
                            <w:rFonts w:ascii="Tahoma"/>
                            <w:spacing w:val="-4"/>
                            <w:sz w:val="16"/>
                          </w:rPr>
                          <w:t>183%</w:t>
                        </w:r>
                      </w:p>
                    </w:tc>
                    <w:tc>
                      <w:tcPr>
                        <w:tcW w:w="2551" w:type="dxa"/>
                        <w:tcBorders>
                          <w:right w:val="dashed" w:sz="8" w:space="0" w:color="FFFFFF"/>
                        </w:tcBorders>
                        <w:shd w:val="clear" w:color="auto" w:fill="E1E0E1"/>
                      </w:tcPr>
                      <w:p w:rsidR="00F22F94" w:rsidRDefault="00F22F94">
                        <w:pPr>
                          <w:pStyle w:val="TableParagraph"/>
                          <w:ind w:left="114"/>
                          <w:rPr>
                            <w:sz w:val="16"/>
                          </w:rPr>
                        </w:pPr>
                        <w:r>
                          <w:rPr>
                            <w:w w:val="95"/>
                            <w:sz w:val="16"/>
                          </w:rPr>
                          <w:t>Kempsey</w:t>
                        </w:r>
                        <w:r>
                          <w:rPr>
                            <w:spacing w:val="1"/>
                            <w:sz w:val="16"/>
                          </w:rPr>
                          <w:t xml:space="preserve"> </w:t>
                        </w:r>
                        <w:r>
                          <w:rPr>
                            <w:spacing w:val="-2"/>
                            <w:sz w:val="16"/>
                          </w:rPr>
                          <w:t>Redevelopment</w:t>
                        </w:r>
                      </w:p>
                    </w:tc>
                  </w:tr>
                  <w:tr w:rsidR="00F22F94">
                    <w:trPr>
                      <w:trHeight w:val="377"/>
                    </w:trPr>
                    <w:tc>
                      <w:tcPr>
                        <w:tcW w:w="2268" w:type="dxa"/>
                        <w:vMerge/>
                        <w:tcBorders>
                          <w:top w:val="nil"/>
                          <w:left w:val="nil"/>
                        </w:tcBorders>
                        <w:shd w:val="clear" w:color="auto" w:fill="C9C8C9"/>
                      </w:tcPr>
                      <w:p w:rsidR="00F22F94" w:rsidRDefault="00F22F94">
                        <w:pPr>
                          <w:rPr>
                            <w:sz w:val="2"/>
                            <w:szCs w:val="2"/>
                          </w:rPr>
                        </w:pPr>
                      </w:p>
                    </w:tc>
                    <w:tc>
                      <w:tcPr>
                        <w:tcW w:w="1077" w:type="dxa"/>
                        <w:vMerge/>
                        <w:tcBorders>
                          <w:top w:val="nil"/>
                        </w:tcBorders>
                        <w:shd w:val="clear" w:color="auto" w:fill="E1E0E1"/>
                      </w:tcPr>
                      <w:p w:rsidR="00F22F94" w:rsidRDefault="00F22F94">
                        <w:pPr>
                          <w:rPr>
                            <w:sz w:val="2"/>
                            <w:szCs w:val="2"/>
                          </w:rPr>
                        </w:pPr>
                      </w:p>
                    </w:tc>
                    <w:tc>
                      <w:tcPr>
                        <w:tcW w:w="1077" w:type="dxa"/>
                        <w:vMerge/>
                        <w:tcBorders>
                          <w:top w:val="nil"/>
                        </w:tcBorders>
                        <w:shd w:val="clear" w:color="auto" w:fill="E1E0E1"/>
                      </w:tcPr>
                      <w:p w:rsidR="00F22F94" w:rsidRDefault="00F22F94">
                        <w:pPr>
                          <w:rPr>
                            <w:sz w:val="2"/>
                            <w:szCs w:val="2"/>
                          </w:rPr>
                        </w:pPr>
                      </w:p>
                    </w:tc>
                    <w:tc>
                      <w:tcPr>
                        <w:tcW w:w="1077" w:type="dxa"/>
                        <w:vMerge/>
                        <w:tcBorders>
                          <w:top w:val="nil"/>
                          <w:right w:val="dashed" w:sz="8" w:space="0" w:color="FFFFFF"/>
                        </w:tcBorders>
                        <w:shd w:val="clear" w:color="auto" w:fill="E1E0E1"/>
                      </w:tcPr>
                      <w:p w:rsidR="00F22F94" w:rsidRDefault="00F22F94">
                        <w:pPr>
                          <w:rPr>
                            <w:sz w:val="2"/>
                            <w:szCs w:val="2"/>
                          </w:rPr>
                        </w:pPr>
                      </w:p>
                    </w:tc>
                    <w:tc>
                      <w:tcPr>
                        <w:tcW w:w="1360" w:type="dxa"/>
                        <w:vMerge/>
                        <w:tcBorders>
                          <w:top w:val="nil"/>
                          <w:left w:val="dashed" w:sz="8" w:space="0" w:color="FFFFFF"/>
                        </w:tcBorders>
                        <w:shd w:val="clear" w:color="auto" w:fill="E1E0E1"/>
                      </w:tcPr>
                      <w:p w:rsidR="00F22F94" w:rsidRDefault="00F22F94">
                        <w:pPr>
                          <w:rPr>
                            <w:sz w:val="2"/>
                            <w:szCs w:val="2"/>
                          </w:rPr>
                        </w:pPr>
                      </w:p>
                    </w:tc>
                    <w:tc>
                      <w:tcPr>
                        <w:tcW w:w="2551" w:type="dxa"/>
                        <w:tcBorders>
                          <w:right w:val="dashed" w:sz="8" w:space="0" w:color="FFFFFF"/>
                        </w:tcBorders>
                        <w:shd w:val="clear" w:color="auto" w:fill="E1E0E1"/>
                      </w:tcPr>
                      <w:p w:rsidR="00F22F94" w:rsidRDefault="00F22F94">
                        <w:pPr>
                          <w:pStyle w:val="TableParagraph"/>
                          <w:ind w:left="114"/>
                          <w:rPr>
                            <w:sz w:val="16"/>
                          </w:rPr>
                        </w:pPr>
                        <w:r>
                          <w:rPr>
                            <w:w w:val="95"/>
                            <w:sz w:val="16"/>
                          </w:rPr>
                          <w:t>Port</w:t>
                        </w:r>
                        <w:r>
                          <w:rPr>
                            <w:spacing w:val="3"/>
                            <w:sz w:val="16"/>
                          </w:rPr>
                          <w:t xml:space="preserve"> </w:t>
                        </w:r>
                        <w:r>
                          <w:rPr>
                            <w:w w:val="95"/>
                            <w:sz w:val="16"/>
                          </w:rPr>
                          <w:t>Macquarie</w:t>
                        </w:r>
                        <w:r>
                          <w:rPr>
                            <w:spacing w:val="4"/>
                            <w:sz w:val="16"/>
                          </w:rPr>
                          <w:t xml:space="preserve"> </w:t>
                        </w:r>
                        <w:r>
                          <w:rPr>
                            <w:w w:val="95"/>
                            <w:sz w:val="16"/>
                          </w:rPr>
                          <w:t>Base</w:t>
                        </w:r>
                        <w:r>
                          <w:rPr>
                            <w:spacing w:val="4"/>
                            <w:sz w:val="16"/>
                          </w:rPr>
                          <w:t xml:space="preserve"> </w:t>
                        </w:r>
                        <w:r>
                          <w:rPr>
                            <w:spacing w:val="-2"/>
                            <w:w w:val="95"/>
                            <w:sz w:val="16"/>
                          </w:rPr>
                          <w:t>Hospital</w:t>
                        </w:r>
                      </w:p>
                    </w:tc>
                  </w:tr>
                  <w:tr w:rsidR="00F22F94">
                    <w:trPr>
                      <w:trHeight w:val="377"/>
                    </w:trPr>
                    <w:tc>
                      <w:tcPr>
                        <w:tcW w:w="2268" w:type="dxa"/>
                        <w:vMerge w:val="restart"/>
                        <w:tcBorders>
                          <w:left w:val="nil"/>
                        </w:tcBorders>
                        <w:shd w:val="clear" w:color="auto" w:fill="C9C8C9"/>
                      </w:tcPr>
                      <w:p w:rsidR="00F22F94" w:rsidRDefault="00F22F94">
                        <w:pPr>
                          <w:pStyle w:val="TableParagraph"/>
                          <w:spacing w:before="63"/>
                          <w:rPr>
                            <w:b/>
                            <w:sz w:val="18"/>
                          </w:rPr>
                        </w:pPr>
                        <w:r>
                          <w:rPr>
                            <w:b/>
                            <w:sz w:val="18"/>
                          </w:rPr>
                          <w:t>Northern</w:t>
                        </w:r>
                        <w:r>
                          <w:rPr>
                            <w:b/>
                            <w:spacing w:val="-6"/>
                            <w:sz w:val="18"/>
                          </w:rPr>
                          <w:t xml:space="preserve"> </w:t>
                        </w:r>
                        <w:r>
                          <w:rPr>
                            <w:b/>
                            <w:spacing w:val="-2"/>
                            <w:sz w:val="18"/>
                          </w:rPr>
                          <w:t>Rivers</w:t>
                        </w:r>
                      </w:p>
                    </w:tc>
                    <w:tc>
                      <w:tcPr>
                        <w:tcW w:w="1077" w:type="dxa"/>
                        <w:vMerge w:val="restart"/>
                        <w:shd w:val="clear" w:color="auto" w:fill="E1E0E1"/>
                      </w:tcPr>
                      <w:p w:rsidR="00F22F94" w:rsidRDefault="00F22F94">
                        <w:pPr>
                          <w:pStyle w:val="TableParagraph"/>
                          <w:rPr>
                            <w:sz w:val="16"/>
                          </w:rPr>
                        </w:pPr>
                        <w:r>
                          <w:rPr>
                            <w:spacing w:val="-5"/>
                            <w:sz w:val="16"/>
                          </w:rPr>
                          <w:t>0.8</w:t>
                        </w:r>
                      </w:p>
                    </w:tc>
                    <w:tc>
                      <w:tcPr>
                        <w:tcW w:w="1077" w:type="dxa"/>
                        <w:vMerge w:val="restart"/>
                        <w:shd w:val="clear" w:color="auto" w:fill="E1E0E1"/>
                      </w:tcPr>
                      <w:p w:rsidR="00F22F94" w:rsidRDefault="00F22F94">
                        <w:pPr>
                          <w:pStyle w:val="TableParagraph"/>
                          <w:spacing w:before="57"/>
                          <w:rPr>
                            <w:rFonts w:ascii="Tahoma"/>
                            <w:sz w:val="16"/>
                          </w:rPr>
                        </w:pPr>
                        <w:r>
                          <w:rPr>
                            <w:rFonts w:ascii="Tahoma"/>
                            <w:spacing w:val="-5"/>
                            <w:sz w:val="16"/>
                          </w:rPr>
                          <w:t>95%</w:t>
                        </w:r>
                      </w:p>
                    </w:tc>
                    <w:tc>
                      <w:tcPr>
                        <w:tcW w:w="1077" w:type="dxa"/>
                        <w:vMerge w:val="restart"/>
                        <w:tcBorders>
                          <w:right w:val="dashed" w:sz="8" w:space="0" w:color="FFFFFF"/>
                        </w:tcBorders>
                        <w:shd w:val="clear" w:color="auto" w:fill="E1E0E1"/>
                      </w:tcPr>
                      <w:p w:rsidR="00F22F94" w:rsidRDefault="00F22F94">
                        <w:pPr>
                          <w:pStyle w:val="TableParagraph"/>
                          <w:spacing w:before="57"/>
                          <w:rPr>
                            <w:rFonts w:ascii="Tahoma"/>
                            <w:sz w:val="16"/>
                          </w:rPr>
                        </w:pPr>
                        <w:r>
                          <w:rPr>
                            <w:rFonts w:ascii="Tahoma"/>
                            <w:spacing w:val="-5"/>
                            <w:sz w:val="16"/>
                          </w:rPr>
                          <w:t>13%</w:t>
                        </w:r>
                      </w:p>
                    </w:tc>
                    <w:tc>
                      <w:tcPr>
                        <w:tcW w:w="1360" w:type="dxa"/>
                        <w:vMerge w:val="restart"/>
                        <w:tcBorders>
                          <w:left w:val="dashed" w:sz="8" w:space="0" w:color="FFFFFF"/>
                        </w:tcBorders>
                        <w:shd w:val="clear" w:color="auto" w:fill="E1E0E1"/>
                      </w:tcPr>
                      <w:p w:rsidR="00F22F94" w:rsidRDefault="00F22F94">
                        <w:pPr>
                          <w:pStyle w:val="TableParagraph"/>
                          <w:spacing w:before="57"/>
                          <w:rPr>
                            <w:rFonts w:ascii="Tahoma"/>
                            <w:sz w:val="16"/>
                          </w:rPr>
                        </w:pPr>
                        <w:r>
                          <w:rPr>
                            <w:rFonts w:ascii="Tahoma"/>
                            <w:spacing w:val="-5"/>
                            <w:sz w:val="16"/>
                          </w:rPr>
                          <w:t>42%</w:t>
                        </w:r>
                      </w:p>
                    </w:tc>
                    <w:tc>
                      <w:tcPr>
                        <w:tcW w:w="2551" w:type="dxa"/>
                        <w:tcBorders>
                          <w:right w:val="dashed" w:sz="8" w:space="0" w:color="FFFFFF"/>
                        </w:tcBorders>
                        <w:shd w:val="clear" w:color="auto" w:fill="E1E0E1"/>
                      </w:tcPr>
                      <w:p w:rsidR="00F22F94" w:rsidRDefault="00F22F94">
                        <w:pPr>
                          <w:pStyle w:val="TableParagraph"/>
                          <w:ind w:left="114"/>
                          <w:rPr>
                            <w:sz w:val="16"/>
                          </w:rPr>
                        </w:pPr>
                        <w:r>
                          <w:rPr>
                            <w:w w:val="95"/>
                            <w:sz w:val="16"/>
                          </w:rPr>
                          <w:t>Lismore</w:t>
                        </w:r>
                        <w:r>
                          <w:rPr>
                            <w:sz w:val="16"/>
                          </w:rPr>
                          <w:t xml:space="preserve"> </w:t>
                        </w:r>
                        <w:r>
                          <w:rPr>
                            <w:w w:val="95"/>
                            <w:sz w:val="16"/>
                          </w:rPr>
                          <w:t>Base</w:t>
                        </w:r>
                        <w:r>
                          <w:rPr>
                            <w:sz w:val="16"/>
                          </w:rPr>
                          <w:t xml:space="preserve"> </w:t>
                        </w:r>
                        <w:r>
                          <w:rPr>
                            <w:w w:val="95"/>
                            <w:sz w:val="16"/>
                          </w:rPr>
                          <w:t>Hospital</w:t>
                        </w:r>
                        <w:r>
                          <w:rPr>
                            <w:sz w:val="16"/>
                          </w:rPr>
                          <w:t xml:space="preserve"> </w:t>
                        </w:r>
                        <w:r>
                          <w:rPr>
                            <w:w w:val="95"/>
                            <w:sz w:val="16"/>
                          </w:rPr>
                          <w:t>Stage</w:t>
                        </w:r>
                        <w:r>
                          <w:rPr>
                            <w:spacing w:val="1"/>
                            <w:sz w:val="16"/>
                          </w:rPr>
                          <w:t xml:space="preserve"> </w:t>
                        </w:r>
                        <w:r>
                          <w:rPr>
                            <w:spacing w:val="-10"/>
                            <w:w w:val="95"/>
                            <w:sz w:val="16"/>
                          </w:rPr>
                          <w:t>3</w:t>
                        </w:r>
                      </w:p>
                    </w:tc>
                  </w:tr>
                  <w:tr w:rsidR="00F22F94">
                    <w:trPr>
                      <w:trHeight w:val="377"/>
                    </w:trPr>
                    <w:tc>
                      <w:tcPr>
                        <w:tcW w:w="2268" w:type="dxa"/>
                        <w:vMerge/>
                        <w:tcBorders>
                          <w:top w:val="nil"/>
                          <w:left w:val="nil"/>
                        </w:tcBorders>
                        <w:shd w:val="clear" w:color="auto" w:fill="C9C8C9"/>
                      </w:tcPr>
                      <w:p w:rsidR="00F22F94" w:rsidRDefault="00F22F94">
                        <w:pPr>
                          <w:rPr>
                            <w:sz w:val="2"/>
                            <w:szCs w:val="2"/>
                          </w:rPr>
                        </w:pPr>
                      </w:p>
                    </w:tc>
                    <w:tc>
                      <w:tcPr>
                        <w:tcW w:w="1077" w:type="dxa"/>
                        <w:vMerge/>
                        <w:tcBorders>
                          <w:top w:val="nil"/>
                        </w:tcBorders>
                        <w:shd w:val="clear" w:color="auto" w:fill="E1E0E1"/>
                      </w:tcPr>
                      <w:p w:rsidR="00F22F94" w:rsidRDefault="00F22F94">
                        <w:pPr>
                          <w:rPr>
                            <w:sz w:val="2"/>
                            <w:szCs w:val="2"/>
                          </w:rPr>
                        </w:pPr>
                      </w:p>
                    </w:tc>
                    <w:tc>
                      <w:tcPr>
                        <w:tcW w:w="1077" w:type="dxa"/>
                        <w:vMerge/>
                        <w:tcBorders>
                          <w:top w:val="nil"/>
                        </w:tcBorders>
                        <w:shd w:val="clear" w:color="auto" w:fill="E1E0E1"/>
                      </w:tcPr>
                      <w:p w:rsidR="00F22F94" w:rsidRDefault="00F22F94">
                        <w:pPr>
                          <w:rPr>
                            <w:sz w:val="2"/>
                            <w:szCs w:val="2"/>
                          </w:rPr>
                        </w:pPr>
                      </w:p>
                    </w:tc>
                    <w:tc>
                      <w:tcPr>
                        <w:tcW w:w="1077" w:type="dxa"/>
                        <w:vMerge/>
                        <w:tcBorders>
                          <w:top w:val="nil"/>
                          <w:right w:val="dashed" w:sz="8" w:space="0" w:color="FFFFFF"/>
                        </w:tcBorders>
                        <w:shd w:val="clear" w:color="auto" w:fill="E1E0E1"/>
                      </w:tcPr>
                      <w:p w:rsidR="00F22F94" w:rsidRDefault="00F22F94">
                        <w:pPr>
                          <w:rPr>
                            <w:sz w:val="2"/>
                            <w:szCs w:val="2"/>
                          </w:rPr>
                        </w:pPr>
                      </w:p>
                    </w:tc>
                    <w:tc>
                      <w:tcPr>
                        <w:tcW w:w="1360" w:type="dxa"/>
                        <w:vMerge/>
                        <w:tcBorders>
                          <w:top w:val="nil"/>
                          <w:left w:val="dashed" w:sz="8" w:space="0" w:color="FFFFFF"/>
                        </w:tcBorders>
                        <w:shd w:val="clear" w:color="auto" w:fill="E1E0E1"/>
                      </w:tcPr>
                      <w:p w:rsidR="00F22F94" w:rsidRDefault="00F22F94">
                        <w:pPr>
                          <w:rPr>
                            <w:sz w:val="2"/>
                            <w:szCs w:val="2"/>
                          </w:rPr>
                        </w:pPr>
                      </w:p>
                    </w:tc>
                    <w:tc>
                      <w:tcPr>
                        <w:tcW w:w="2551" w:type="dxa"/>
                        <w:tcBorders>
                          <w:right w:val="dashed" w:sz="8" w:space="0" w:color="FFFFFF"/>
                        </w:tcBorders>
                        <w:shd w:val="clear" w:color="auto" w:fill="E1E0E1"/>
                      </w:tcPr>
                      <w:p w:rsidR="00F22F94" w:rsidRDefault="00F22F94">
                        <w:pPr>
                          <w:pStyle w:val="TableParagraph"/>
                          <w:ind w:left="114"/>
                          <w:rPr>
                            <w:sz w:val="16"/>
                          </w:rPr>
                        </w:pPr>
                        <w:r>
                          <w:rPr>
                            <w:w w:val="95"/>
                            <w:sz w:val="16"/>
                          </w:rPr>
                          <w:t>New</w:t>
                        </w:r>
                        <w:r>
                          <w:rPr>
                            <w:sz w:val="16"/>
                          </w:rPr>
                          <w:t xml:space="preserve"> </w:t>
                        </w:r>
                        <w:r>
                          <w:rPr>
                            <w:w w:val="95"/>
                            <w:sz w:val="16"/>
                          </w:rPr>
                          <w:t>Northern</w:t>
                        </w:r>
                        <w:r>
                          <w:rPr>
                            <w:spacing w:val="1"/>
                            <w:sz w:val="16"/>
                          </w:rPr>
                          <w:t xml:space="preserve"> </w:t>
                        </w:r>
                        <w:r>
                          <w:rPr>
                            <w:w w:val="95"/>
                            <w:sz w:val="16"/>
                          </w:rPr>
                          <w:t>Rivers</w:t>
                        </w:r>
                        <w:r>
                          <w:rPr>
                            <w:sz w:val="16"/>
                          </w:rPr>
                          <w:t xml:space="preserve"> </w:t>
                        </w:r>
                        <w:r>
                          <w:rPr>
                            <w:spacing w:val="-2"/>
                            <w:w w:val="95"/>
                            <w:sz w:val="16"/>
                          </w:rPr>
                          <w:t>Hospital</w:t>
                        </w:r>
                      </w:p>
                    </w:tc>
                  </w:tr>
                  <w:tr w:rsidR="00F22F94">
                    <w:trPr>
                      <w:trHeight w:val="377"/>
                    </w:trPr>
                    <w:tc>
                      <w:tcPr>
                        <w:tcW w:w="2268" w:type="dxa"/>
                        <w:vMerge w:val="restart"/>
                        <w:tcBorders>
                          <w:left w:val="nil"/>
                        </w:tcBorders>
                        <w:shd w:val="clear" w:color="auto" w:fill="C9C8C9"/>
                      </w:tcPr>
                      <w:p w:rsidR="00F22F94" w:rsidRDefault="00F22F94">
                        <w:pPr>
                          <w:pStyle w:val="TableParagraph"/>
                          <w:spacing w:before="63"/>
                          <w:rPr>
                            <w:b/>
                            <w:sz w:val="18"/>
                          </w:rPr>
                        </w:pPr>
                        <w:r>
                          <w:rPr>
                            <w:b/>
                            <w:spacing w:val="-2"/>
                            <w:sz w:val="18"/>
                          </w:rPr>
                          <w:t>Western</w:t>
                        </w:r>
                      </w:p>
                    </w:tc>
                    <w:tc>
                      <w:tcPr>
                        <w:tcW w:w="1077" w:type="dxa"/>
                        <w:vMerge w:val="restart"/>
                        <w:shd w:val="clear" w:color="auto" w:fill="E1E0E1"/>
                      </w:tcPr>
                      <w:p w:rsidR="00F22F94" w:rsidRDefault="00F22F94">
                        <w:pPr>
                          <w:pStyle w:val="TableParagraph"/>
                          <w:rPr>
                            <w:sz w:val="16"/>
                          </w:rPr>
                        </w:pPr>
                        <w:r>
                          <w:rPr>
                            <w:spacing w:val="-5"/>
                            <w:sz w:val="16"/>
                          </w:rPr>
                          <w:t>1.5</w:t>
                        </w:r>
                      </w:p>
                    </w:tc>
                    <w:tc>
                      <w:tcPr>
                        <w:tcW w:w="1077" w:type="dxa"/>
                        <w:vMerge w:val="restart"/>
                        <w:shd w:val="clear" w:color="auto" w:fill="E1E0E1"/>
                      </w:tcPr>
                      <w:p w:rsidR="00F22F94" w:rsidRDefault="00F22F94">
                        <w:pPr>
                          <w:pStyle w:val="TableParagraph"/>
                          <w:spacing w:before="57"/>
                          <w:rPr>
                            <w:rFonts w:ascii="Tahoma"/>
                            <w:sz w:val="16"/>
                          </w:rPr>
                        </w:pPr>
                        <w:r>
                          <w:rPr>
                            <w:rFonts w:ascii="Tahoma"/>
                            <w:spacing w:val="-5"/>
                            <w:sz w:val="16"/>
                          </w:rPr>
                          <w:t>74%</w:t>
                        </w:r>
                      </w:p>
                    </w:tc>
                    <w:tc>
                      <w:tcPr>
                        <w:tcW w:w="1077" w:type="dxa"/>
                        <w:vMerge w:val="restart"/>
                        <w:tcBorders>
                          <w:right w:val="dashed" w:sz="8" w:space="0" w:color="FFFFFF"/>
                        </w:tcBorders>
                        <w:shd w:val="clear" w:color="auto" w:fill="E1E0E1"/>
                      </w:tcPr>
                      <w:p w:rsidR="00F22F94" w:rsidRDefault="00F22F94">
                        <w:pPr>
                          <w:pStyle w:val="TableParagraph"/>
                          <w:spacing w:before="57"/>
                          <w:rPr>
                            <w:rFonts w:ascii="Tahoma"/>
                            <w:sz w:val="16"/>
                          </w:rPr>
                        </w:pPr>
                        <w:r>
                          <w:rPr>
                            <w:rFonts w:ascii="Tahoma"/>
                            <w:spacing w:val="-5"/>
                            <w:sz w:val="16"/>
                          </w:rPr>
                          <w:t>5%</w:t>
                        </w:r>
                      </w:p>
                    </w:tc>
                    <w:tc>
                      <w:tcPr>
                        <w:tcW w:w="1360" w:type="dxa"/>
                        <w:vMerge w:val="restart"/>
                        <w:tcBorders>
                          <w:left w:val="dashed" w:sz="8" w:space="0" w:color="FFFFFF"/>
                        </w:tcBorders>
                        <w:shd w:val="clear" w:color="auto" w:fill="E1E0E1"/>
                      </w:tcPr>
                      <w:p w:rsidR="00F22F94" w:rsidRDefault="00F22F94">
                        <w:pPr>
                          <w:pStyle w:val="TableParagraph"/>
                          <w:spacing w:before="57"/>
                          <w:rPr>
                            <w:rFonts w:ascii="Tahoma"/>
                            <w:sz w:val="16"/>
                          </w:rPr>
                        </w:pPr>
                        <w:r>
                          <w:rPr>
                            <w:rFonts w:ascii="Tahoma"/>
                            <w:spacing w:val="-5"/>
                            <w:sz w:val="16"/>
                          </w:rPr>
                          <w:t>41%</w:t>
                        </w:r>
                      </w:p>
                    </w:tc>
                    <w:tc>
                      <w:tcPr>
                        <w:tcW w:w="2551" w:type="dxa"/>
                        <w:tcBorders>
                          <w:right w:val="dashed" w:sz="8" w:space="0" w:color="FFFFFF"/>
                        </w:tcBorders>
                        <w:shd w:val="clear" w:color="auto" w:fill="E1E0E1"/>
                      </w:tcPr>
                      <w:p w:rsidR="00F22F94" w:rsidRDefault="00F22F94">
                        <w:pPr>
                          <w:pStyle w:val="TableParagraph"/>
                          <w:ind w:left="114"/>
                          <w:rPr>
                            <w:sz w:val="16"/>
                          </w:rPr>
                        </w:pPr>
                        <w:r>
                          <w:rPr>
                            <w:w w:val="95"/>
                            <w:sz w:val="16"/>
                          </w:rPr>
                          <w:t>Parkes,</w:t>
                        </w:r>
                        <w:r>
                          <w:rPr>
                            <w:spacing w:val="-3"/>
                            <w:w w:val="95"/>
                            <w:sz w:val="16"/>
                          </w:rPr>
                          <w:t xml:space="preserve"> </w:t>
                        </w:r>
                        <w:r>
                          <w:rPr>
                            <w:w w:val="95"/>
                            <w:sz w:val="16"/>
                          </w:rPr>
                          <w:t>Forbes</w:t>
                        </w:r>
                        <w:r>
                          <w:rPr>
                            <w:spacing w:val="-2"/>
                            <w:w w:val="95"/>
                            <w:sz w:val="16"/>
                          </w:rPr>
                          <w:t xml:space="preserve"> Hospitals</w:t>
                        </w:r>
                      </w:p>
                    </w:tc>
                  </w:tr>
                  <w:tr w:rsidR="00F22F94">
                    <w:trPr>
                      <w:trHeight w:val="377"/>
                    </w:trPr>
                    <w:tc>
                      <w:tcPr>
                        <w:tcW w:w="2268" w:type="dxa"/>
                        <w:vMerge/>
                        <w:tcBorders>
                          <w:top w:val="nil"/>
                          <w:left w:val="nil"/>
                        </w:tcBorders>
                        <w:shd w:val="clear" w:color="auto" w:fill="C9C8C9"/>
                      </w:tcPr>
                      <w:p w:rsidR="00F22F94" w:rsidRDefault="00F22F94">
                        <w:pPr>
                          <w:rPr>
                            <w:sz w:val="2"/>
                            <w:szCs w:val="2"/>
                          </w:rPr>
                        </w:pPr>
                      </w:p>
                    </w:tc>
                    <w:tc>
                      <w:tcPr>
                        <w:tcW w:w="1077" w:type="dxa"/>
                        <w:vMerge/>
                        <w:tcBorders>
                          <w:top w:val="nil"/>
                        </w:tcBorders>
                        <w:shd w:val="clear" w:color="auto" w:fill="E1E0E1"/>
                      </w:tcPr>
                      <w:p w:rsidR="00F22F94" w:rsidRDefault="00F22F94">
                        <w:pPr>
                          <w:rPr>
                            <w:sz w:val="2"/>
                            <w:szCs w:val="2"/>
                          </w:rPr>
                        </w:pPr>
                      </w:p>
                    </w:tc>
                    <w:tc>
                      <w:tcPr>
                        <w:tcW w:w="1077" w:type="dxa"/>
                        <w:vMerge/>
                        <w:tcBorders>
                          <w:top w:val="nil"/>
                        </w:tcBorders>
                        <w:shd w:val="clear" w:color="auto" w:fill="E1E0E1"/>
                      </w:tcPr>
                      <w:p w:rsidR="00F22F94" w:rsidRDefault="00F22F94">
                        <w:pPr>
                          <w:rPr>
                            <w:sz w:val="2"/>
                            <w:szCs w:val="2"/>
                          </w:rPr>
                        </w:pPr>
                      </w:p>
                    </w:tc>
                    <w:tc>
                      <w:tcPr>
                        <w:tcW w:w="1077" w:type="dxa"/>
                        <w:vMerge/>
                        <w:tcBorders>
                          <w:top w:val="nil"/>
                          <w:right w:val="dashed" w:sz="8" w:space="0" w:color="FFFFFF"/>
                        </w:tcBorders>
                        <w:shd w:val="clear" w:color="auto" w:fill="E1E0E1"/>
                      </w:tcPr>
                      <w:p w:rsidR="00F22F94" w:rsidRDefault="00F22F94">
                        <w:pPr>
                          <w:rPr>
                            <w:sz w:val="2"/>
                            <w:szCs w:val="2"/>
                          </w:rPr>
                        </w:pPr>
                      </w:p>
                    </w:tc>
                    <w:tc>
                      <w:tcPr>
                        <w:tcW w:w="1360" w:type="dxa"/>
                        <w:vMerge/>
                        <w:tcBorders>
                          <w:top w:val="nil"/>
                          <w:left w:val="dashed" w:sz="8" w:space="0" w:color="FFFFFF"/>
                        </w:tcBorders>
                        <w:shd w:val="clear" w:color="auto" w:fill="E1E0E1"/>
                      </w:tcPr>
                      <w:p w:rsidR="00F22F94" w:rsidRDefault="00F22F94">
                        <w:pPr>
                          <w:rPr>
                            <w:sz w:val="2"/>
                            <w:szCs w:val="2"/>
                          </w:rPr>
                        </w:pPr>
                      </w:p>
                    </w:tc>
                    <w:tc>
                      <w:tcPr>
                        <w:tcW w:w="2551" w:type="dxa"/>
                        <w:tcBorders>
                          <w:right w:val="dashed" w:sz="8" w:space="0" w:color="FFFFFF"/>
                        </w:tcBorders>
                        <w:shd w:val="clear" w:color="auto" w:fill="E1E0E1"/>
                      </w:tcPr>
                      <w:p w:rsidR="00F22F94" w:rsidRDefault="00F22F94">
                        <w:pPr>
                          <w:pStyle w:val="TableParagraph"/>
                          <w:ind w:left="114"/>
                          <w:rPr>
                            <w:sz w:val="16"/>
                          </w:rPr>
                        </w:pPr>
                        <w:r>
                          <w:rPr>
                            <w:sz w:val="16"/>
                          </w:rPr>
                          <w:t>Dubbo</w:t>
                        </w:r>
                        <w:r>
                          <w:rPr>
                            <w:spacing w:val="-10"/>
                            <w:sz w:val="16"/>
                          </w:rPr>
                          <w:t xml:space="preserve"> </w:t>
                        </w:r>
                        <w:r>
                          <w:rPr>
                            <w:spacing w:val="-2"/>
                            <w:sz w:val="16"/>
                          </w:rPr>
                          <w:t>Hospital</w:t>
                        </w:r>
                      </w:p>
                    </w:tc>
                  </w:tr>
                  <w:tr w:rsidR="00F22F94">
                    <w:trPr>
                      <w:trHeight w:val="377"/>
                    </w:trPr>
                    <w:tc>
                      <w:tcPr>
                        <w:tcW w:w="2268" w:type="dxa"/>
                        <w:vMerge/>
                        <w:tcBorders>
                          <w:top w:val="nil"/>
                          <w:left w:val="nil"/>
                        </w:tcBorders>
                        <w:shd w:val="clear" w:color="auto" w:fill="C9C8C9"/>
                      </w:tcPr>
                      <w:p w:rsidR="00F22F94" w:rsidRDefault="00F22F94">
                        <w:pPr>
                          <w:rPr>
                            <w:sz w:val="2"/>
                            <w:szCs w:val="2"/>
                          </w:rPr>
                        </w:pPr>
                      </w:p>
                    </w:tc>
                    <w:tc>
                      <w:tcPr>
                        <w:tcW w:w="1077" w:type="dxa"/>
                        <w:vMerge/>
                        <w:tcBorders>
                          <w:top w:val="nil"/>
                        </w:tcBorders>
                        <w:shd w:val="clear" w:color="auto" w:fill="E1E0E1"/>
                      </w:tcPr>
                      <w:p w:rsidR="00F22F94" w:rsidRDefault="00F22F94">
                        <w:pPr>
                          <w:rPr>
                            <w:sz w:val="2"/>
                            <w:szCs w:val="2"/>
                          </w:rPr>
                        </w:pPr>
                      </w:p>
                    </w:tc>
                    <w:tc>
                      <w:tcPr>
                        <w:tcW w:w="1077" w:type="dxa"/>
                        <w:vMerge/>
                        <w:tcBorders>
                          <w:top w:val="nil"/>
                        </w:tcBorders>
                        <w:shd w:val="clear" w:color="auto" w:fill="E1E0E1"/>
                      </w:tcPr>
                      <w:p w:rsidR="00F22F94" w:rsidRDefault="00F22F94">
                        <w:pPr>
                          <w:rPr>
                            <w:sz w:val="2"/>
                            <w:szCs w:val="2"/>
                          </w:rPr>
                        </w:pPr>
                      </w:p>
                    </w:tc>
                    <w:tc>
                      <w:tcPr>
                        <w:tcW w:w="1077" w:type="dxa"/>
                        <w:vMerge/>
                        <w:tcBorders>
                          <w:top w:val="nil"/>
                          <w:right w:val="dashed" w:sz="8" w:space="0" w:color="FFFFFF"/>
                        </w:tcBorders>
                        <w:shd w:val="clear" w:color="auto" w:fill="E1E0E1"/>
                      </w:tcPr>
                      <w:p w:rsidR="00F22F94" w:rsidRDefault="00F22F94">
                        <w:pPr>
                          <w:rPr>
                            <w:sz w:val="2"/>
                            <w:szCs w:val="2"/>
                          </w:rPr>
                        </w:pPr>
                      </w:p>
                    </w:tc>
                    <w:tc>
                      <w:tcPr>
                        <w:tcW w:w="1360" w:type="dxa"/>
                        <w:vMerge/>
                        <w:tcBorders>
                          <w:top w:val="nil"/>
                          <w:left w:val="dashed" w:sz="8" w:space="0" w:color="FFFFFF"/>
                        </w:tcBorders>
                        <w:shd w:val="clear" w:color="auto" w:fill="E1E0E1"/>
                      </w:tcPr>
                      <w:p w:rsidR="00F22F94" w:rsidRDefault="00F22F94">
                        <w:pPr>
                          <w:rPr>
                            <w:sz w:val="2"/>
                            <w:szCs w:val="2"/>
                          </w:rPr>
                        </w:pPr>
                      </w:p>
                    </w:tc>
                    <w:tc>
                      <w:tcPr>
                        <w:tcW w:w="2551" w:type="dxa"/>
                        <w:tcBorders>
                          <w:right w:val="dashed" w:sz="8" w:space="0" w:color="FFFFFF"/>
                        </w:tcBorders>
                        <w:shd w:val="clear" w:color="auto" w:fill="E1E0E1"/>
                      </w:tcPr>
                      <w:p w:rsidR="00F22F94" w:rsidRDefault="00F22F94">
                        <w:pPr>
                          <w:pStyle w:val="TableParagraph"/>
                          <w:ind w:left="114"/>
                          <w:rPr>
                            <w:sz w:val="16"/>
                          </w:rPr>
                        </w:pPr>
                        <w:r>
                          <w:rPr>
                            <w:w w:val="95"/>
                            <w:sz w:val="16"/>
                          </w:rPr>
                          <w:t>Gulgong</w:t>
                        </w:r>
                        <w:r>
                          <w:rPr>
                            <w:spacing w:val="5"/>
                            <w:sz w:val="16"/>
                          </w:rPr>
                          <w:t xml:space="preserve"> </w:t>
                        </w:r>
                        <w:r>
                          <w:rPr>
                            <w:spacing w:val="-5"/>
                            <w:sz w:val="16"/>
                          </w:rPr>
                          <w:t>MPS</w:t>
                        </w:r>
                      </w:p>
                    </w:tc>
                  </w:tr>
                  <w:tr w:rsidR="00F22F94">
                    <w:trPr>
                      <w:trHeight w:val="377"/>
                    </w:trPr>
                    <w:tc>
                      <w:tcPr>
                        <w:tcW w:w="2268" w:type="dxa"/>
                        <w:vMerge w:val="restart"/>
                        <w:tcBorders>
                          <w:left w:val="nil"/>
                        </w:tcBorders>
                        <w:shd w:val="clear" w:color="auto" w:fill="C9C8C9"/>
                      </w:tcPr>
                      <w:p w:rsidR="00F22F94" w:rsidRDefault="00F22F94">
                        <w:pPr>
                          <w:pStyle w:val="TableParagraph"/>
                          <w:spacing w:before="63"/>
                          <w:rPr>
                            <w:b/>
                            <w:sz w:val="18"/>
                          </w:rPr>
                        </w:pPr>
                        <w:r>
                          <w:rPr>
                            <w:b/>
                            <w:spacing w:val="-2"/>
                            <w:sz w:val="18"/>
                          </w:rPr>
                          <w:t>Murrumbidgee</w:t>
                        </w:r>
                      </w:p>
                    </w:tc>
                    <w:tc>
                      <w:tcPr>
                        <w:tcW w:w="1077" w:type="dxa"/>
                        <w:vMerge w:val="restart"/>
                        <w:shd w:val="clear" w:color="auto" w:fill="E1E0E1"/>
                      </w:tcPr>
                      <w:p w:rsidR="00F22F94" w:rsidRDefault="00F22F94">
                        <w:pPr>
                          <w:pStyle w:val="TableParagraph"/>
                          <w:rPr>
                            <w:sz w:val="16"/>
                          </w:rPr>
                        </w:pPr>
                        <w:r>
                          <w:rPr>
                            <w:spacing w:val="-5"/>
                            <w:sz w:val="16"/>
                          </w:rPr>
                          <w:t>1.3</w:t>
                        </w:r>
                      </w:p>
                    </w:tc>
                    <w:tc>
                      <w:tcPr>
                        <w:tcW w:w="1077" w:type="dxa"/>
                        <w:vMerge w:val="restart"/>
                        <w:shd w:val="clear" w:color="auto" w:fill="E1E0E1"/>
                      </w:tcPr>
                      <w:p w:rsidR="00F22F94" w:rsidRDefault="00F22F94">
                        <w:pPr>
                          <w:pStyle w:val="TableParagraph"/>
                          <w:spacing w:before="57"/>
                          <w:rPr>
                            <w:rFonts w:ascii="Tahoma"/>
                            <w:sz w:val="16"/>
                          </w:rPr>
                        </w:pPr>
                        <w:r>
                          <w:rPr>
                            <w:rFonts w:ascii="Tahoma"/>
                            <w:spacing w:val="-5"/>
                            <w:sz w:val="16"/>
                          </w:rPr>
                          <w:t>70%</w:t>
                        </w:r>
                      </w:p>
                    </w:tc>
                    <w:tc>
                      <w:tcPr>
                        <w:tcW w:w="1077" w:type="dxa"/>
                        <w:vMerge w:val="restart"/>
                        <w:tcBorders>
                          <w:right w:val="dashed" w:sz="8" w:space="0" w:color="FFFFFF"/>
                        </w:tcBorders>
                        <w:shd w:val="clear" w:color="auto" w:fill="E1E0E1"/>
                      </w:tcPr>
                      <w:p w:rsidR="00F22F94" w:rsidRDefault="00F22F94">
                        <w:pPr>
                          <w:pStyle w:val="TableParagraph"/>
                          <w:spacing w:before="57"/>
                          <w:rPr>
                            <w:rFonts w:ascii="Tahoma"/>
                            <w:sz w:val="16"/>
                          </w:rPr>
                        </w:pPr>
                        <w:r>
                          <w:rPr>
                            <w:rFonts w:ascii="Tahoma"/>
                            <w:spacing w:val="-5"/>
                            <w:sz w:val="16"/>
                          </w:rPr>
                          <w:t>16%</w:t>
                        </w:r>
                      </w:p>
                    </w:tc>
                    <w:tc>
                      <w:tcPr>
                        <w:tcW w:w="1360" w:type="dxa"/>
                        <w:vMerge w:val="restart"/>
                        <w:tcBorders>
                          <w:left w:val="dashed" w:sz="8" w:space="0" w:color="FFFFFF"/>
                        </w:tcBorders>
                        <w:shd w:val="clear" w:color="auto" w:fill="E1E0E1"/>
                      </w:tcPr>
                      <w:p w:rsidR="00F22F94" w:rsidRDefault="00F22F94">
                        <w:pPr>
                          <w:pStyle w:val="TableParagraph"/>
                          <w:spacing w:before="57"/>
                          <w:rPr>
                            <w:rFonts w:ascii="Tahoma"/>
                            <w:sz w:val="16"/>
                          </w:rPr>
                        </w:pPr>
                        <w:r>
                          <w:rPr>
                            <w:rFonts w:ascii="Tahoma"/>
                            <w:spacing w:val="-5"/>
                            <w:sz w:val="16"/>
                          </w:rPr>
                          <w:t>22%</w:t>
                        </w:r>
                      </w:p>
                    </w:tc>
                    <w:tc>
                      <w:tcPr>
                        <w:tcW w:w="2551" w:type="dxa"/>
                        <w:tcBorders>
                          <w:right w:val="dashed" w:sz="8" w:space="0" w:color="FFFFFF"/>
                        </w:tcBorders>
                        <w:shd w:val="clear" w:color="auto" w:fill="E1E0E1"/>
                      </w:tcPr>
                      <w:p w:rsidR="00F22F94" w:rsidRDefault="00F22F94">
                        <w:pPr>
                          <w:pStyle w:val="TableParagraph"/>
                          <w:ind w:left="114"/>
                          <w:rPr>
                            <w:sz w:val="16"/>
                          </w:rPr>
                        </w:pPr>
                        <w:r>
                          <w:rPr>
                            <w:w w:val="95"/>
                            <w:sz w:val="16"/>
                          </w:rPr>
                          <w:t>Lockhart</w:t>
                        </w:r>
                        <w:r>
                          <w:rPr>
                            <w:spacing w:val="20"/>
                            <w:sz w:val="16"/>
                          </w:rPr>
                          <w:t xml:space="preserve"> </w:t>
                        </w:r>
                        <w:r>
                          <w:rPr>
                            <w:spacing w:val="-5"/>
                            <w:sz w:val="16"/>
                          </w:rPr>
                          <w:t>MPS</w:t>
                        </w:r>
                      </w:p>
                    </w:tc>
                  </w:tr>
                  <w:tr w:rsidR="00F22F94">
                    <w:trPr>
                      <w:trHeight w:val="377"/>
                    </w:trPr>
                    <w:tc>
                      <w:tcPr>
                        <w:tcW w:w="2268" w:type="dxa"/>
                        <w:vMerge/>
                        <w:tcBorders>
                          <w:top w:val="nil"/>
                          <w:left w:val="nil"/>
                        </w:tcBorders>
                        <w:shd w:val="clear" w:color="auto" w:fill="C9C8C9"/>
                      </w:tcPr>
                      <w:p w:rsidR="00F22F94" w:rsidRDefault="00F22F94">
                        <w:pPr>
                          <w:rPr>
                            <w:sz w:val="2"/>
                            <w:szCs w:val="2"/>
                          </w:rPr>
                        </w:pPr>
                      </w:p>
                    </w:tc>
                    <w:tc>
                      <w:tcPr>
                        <w:tcW w:w="1077" w:type="dxa"/>
                        <w:vMerge/>
                        <w:tcBorders>
                          <w:top w:val="nil"/>
                        </w:tcBorders>
                        <w:shd w:val="clear" w:color="auto" w:fill="E1E0E1"/>
                      </w:tcPr>
                      <w:p w:rsidR="00F22F94" w:rsidRDefault="00F22F94">
                        <w:pPr>
                          <w:rPr>
                            <w:sz w:val="2"/>
                            <w:szCs w:val="2"/>
                          </w:rPr>
                        </w:pPr>
                      </w:p>
                    </w:tc>
                    <w:tc>
                      <w:tcPr>
                        <w:tcW w:w="1077" w:type="dxa"/>
                        <w:vMerge/>
                        <w:tcBorders>
                          <w:top w:val="nil"/>
                        </w:tcBorders>
                        <w:shd w:val="clear" w:color="auto" w:fill="E1E0E1"/>
                      </w:tcPr>
                      <w:p w:rsidR="00F22F94" w:rsidRDefault="00F22F94">
                        <w:pPr>
                          <w:rPr>
                            <w:sz w:val="2"/>
                            <w:szCs w:val="2"/>
                          </w:rPr>
                        </w:pPr>
                      </w:p>
                    </w:tc>
                    <w:tc>
                      <w:tcPr>
                        <w:tcW w:w="1077" w:type="dxa"/>
                        <w:vMerge/>
                        <w:tcBorders>
                          <w:top w:val="nil"/>
                          <w:right w:val="dashed" w:sz="8" w:space="0" w:color="FFFFFF"/>
                        </w:tcBorders>
                        <w:shd w:val="clear" w:color="auto" w:fill="E1E0E1"/>
                      </w:tcPr>
                      <w:p w:rsidR="00F22F94" w:rsidRDefault="00F22F94">
                        <w:pPr>
                          <w:rPr>
                            <w:sz w:val="2"/>
                            <w:szCs w:val="2"/>
                          </w:rPr>
                        </w:pPr>
                      </w:p>
                    </w:tc>
                    <w:tc>
                      <w:tcPr>
                        <w:tcW w:w="1360" w:type="dxa"/>
                        <w:vMerge/>
                        <w:tcBorders>
                          <w:top w:val="nil"/>
                          <w:left w:val="dashed" w:sz="8" w:space="0" w:color="FFFFFF"/>
                        </w:tcBorders>
                        <w:shd w:val="clear" w:color="auto" w:fill="E1E0E1"/>
                      </w:tcPr>
                      <w:p w:rsidR="00F22F94" w:rsidRDefault="00F22F94">
                        <w:pPr>
                          <w:rPr>
                            <w:sz w:val="2"/>
                            <w:szCs w:val="2"/>
                          </w:rPr>
                        </w:pPr>
                      </w:p>
                    </w:tc>
                    <w:tc>
                      <w:tcPr>
                        <w:tcW w:w="2551" w:type="dxa"/>
                        <w:tcBorders>
                          <w:right w:val="dashed" w:sz="8" w:space="0" w:color="FFFFFF"/>
                        </w:tcBorders>
                        <w:shd w:val="clear" w:color="auto" w:fill="E1E0E1"/>
                      </w:tcPr>
                      <w:p w:rsidR="00F22F94" w:rsidRDefault="00F22F94">
                        <w:pPr>
                          <w:pStyle w:val="TableParagraph"/>
                          <w:ind w:left="114"/>
                          <w:rPr>
                            <w:sz w:val="16"/>
                          </w:rPr>
                        </w:pPr>
                        <w:r>
                          <w:rPr>
                            <w:w w:val="95"/>
                            <w:sz w:val="16"/>
                          </w:rPr>
                          <w:t>Wagga</w:t>
                        </w:r>
                        <w:r>
                          <w:rPr>
                            <w:spacing w:val="-2"/>
                            <w:sz w:val="16"/>
                          </w:rPr>
                          <w:t xml:space="preserve"> </w:t>
                        </w:r>
                        <w:r>
                          <w:rPr>
                            <w:w w:val="95"/>
                            <w:sz w:val="16"/>
                          </w:rPr>
                          <w:t>Wagga</w:t>
                        </w:r>
                        <w:r>
                          <w:rPr>
                            <w:spacing w:val="-2"/>
                            <w:sz w:val="16"/>
                          </w:rPr>
                          <w:t xml:space="preserve"> </w:t>
                        </w:r>
                        <w:r>
                          <w:rPr>
                            <w:w w:val="95"/>
                            <w:sz w:val="16"/>
                          </w:rPr>
                          <w:t>Stage</w:t>
                        </w:r>
                        <w:r>
                          <w:rPr>
                            <w:spacing w:val="-2"/>
                            <w:sz w:val="16"/>
                          </w:rPr>
                          <w:t xml:space="preserve"> </w:t>
                        </w:r>
                        <w:r>
                          <w:rPr>
                            <w:spacing w:val="-10"/>
                            <w:w w:val="95"/>
                            <w:sz w:val="16"/>
                          </w:rPr>
                          <w:t>3</w:t>
                        </w:r>
                      </w:p>
                    </w:tc>
                  </w:tr>
                  <w:tr w:rsidR="00F22F94">
                    <w:trPr>
                      <w:trHeight w:val="391"/>
                    </w:trPr>
                    <w:tc>
                      <w:tcPr>
                        <w:tcW w:w="2268" w:type="dxa"/>
                        <w:tcBorders>
                          <w:left w:val="nil"/>
                        </w:tcBorders>
                        <w:shd w:val="clear" w:color="auto" w:fill="C9C8C9"/>
                      </w:tcPr>
                      <w:p w:rsidR="00F22F94" w:rsidRDefault="00F22F94">
                        <w:pPr>
                          <w:pStyle w:val="TableParagraph"/>
                          <w:spacing w:before="63"/>
                          <w:rPr>
                            <w:b/>
                            <w:sz w:val="18"/>
                          </w:rPr>
                        </w:pPr>
                        <w:r>
                          <w:rPr>
                            <w:b/>
                            <w:w w:val="95"/>
                            <w:sz w:val="18"/>
                          </w:rPr>
                          <w:t>Far</w:t>
                        </w:r>
                        <w:r>
                          <w:rPr>
                            <w:b/>
                            <w:spacing w:val="-8"/>
                            <w:w w:val="95"/>
                            <w:sz w:val="18"/>
                          </w:rPr>
                          <w:t xml:space="preserve"> </w:t>
                        </w:r>
                        <w:r>
                          <w:rPr>
                            <w:b/>
                            <w:spacing w:val="-4"/>
                            <w:sz w:val="18"/>
                          </w:rPr>
                          <w:t>West</w:t>
                        </w:r>
                      </w:p>
                    </w:tc>
                    <w:tc>
                      <w:tcPr>
                        <w:tcW w:w="1077" w:type="dxa"/>
                        <w:tcBorders>
                          <w:bottom w:val="nil"/>
                        </w:tcBorders>
                        <w:shd w:val="clear" w:color="auto" w:fill="E1E0E1"/>
                      </w:tcPr>
                      <w:p w:rsidR="00F22F94" w:rsidRDefault="00F22F94">
                        <w:pPr>
                          <w:pStyle w:val="TableParagraph"/>
                          <w:rPr>
                            <w:sz w:val="16"/>
                          </w:rPr>
                        </w:pPr>
                        <w:r>
                          <w:rPr>
                            <w:spacing w:val="-5"/>
                            <w:sz w:val="16"/>
                          </w:rPr>
                          <w:t>0.2</w:t>
                        </w:r>
                      </w:p>
                    </w:tc>
                    <w:tc>
                      <w:tcPr>
                        <w:tcW w:w="1077" w:type="dxa"/>
                        <w:tcBorders>
                          <w:bottom w:val="nil"/>
                        </w:tcBorders>
                        <w:shd w:val="clear" w:color="auto" w:fill="E1E0E1"/>
                      </w:tcPr>
                      <w:p w:rsidR="00F22F94" w:rsidRDefault="00F22F94">
                        <w:pPr>
                          <w:pStyle w:val="TableParagraph"/>
                          <w:spacing w:before="57"/>
                          <w:rPr>
                            <w:rFonts w:ascii="Tahoma"/>
                            <w:sz w:val="16"/>
                          </w:rPr>
                        </w:pPr>
                        <w:r>
                          <w:rPr>
                            <w:rFonts w:ascii="Tahoma"/>
                            <w:spacing w:val="-5"/>
                            <w:sz w:val="16"/>
                          </w:rPr>
                          <w:t>66%</w:t>
                        </w:r>
                      </w:p>
                    </w:tc>
                    <w:tc>
                      <w:tcPr>
                        <w:tcW w:w="1077" w:type="dxa"/>
                        <w:tcBorders>
                          <w:bottom w:val="nil"/>
                          <w:right w:val="dashed" w:sz="8" w:space="0" w:color="FFFFFF"/>
                        </w:tcBorders>
                        <w:shd w:val="clear" w:color="auto" w:fill="E1E0E1"/>
                      </w:tcPr>
                      <w:p w:rsidR="00F22F94" w:rsidRDefault="00F22F94">
                        <w:pPr>
                          <w:pStyle w:val="TableParagraph"/>
                          <w:rPr>
                            <w:sz w:val="16"/>
                          </w:rPr>
                        </w:pPr>
                        <w:r>
                          <w:rPr>
                            <w:sz w:val="16"/>
                          </w:rPr>
                          <w:t>No</w:t>
                        </w:r>
                        <w:r>
                          <w:rPr>
                            <w:spacing w:val="-9"/>
                            <w:sz w:val="16"/>
                          </w:rPr>
                          <w:t xml:space="preserve"> </w:t>
                        </w:r>
                        <w:r>
                          <w:rPr>
                            <w:spacing w:val="-2"/>
                            <w:sz w:val="16"/>
                          </w:rPr>
                          <w:t>increase</w:t>
                        </w:r>
                      </w:p>
                    </w:tc>
                    <w:tc>
                      <w:tcPr>
                        <w:tcW w:w="1360" w:type="dxa"/>
                        <w:tcBorders>
                          <w:left w:val="dashed" w:sz="8" w:space="0" w:color="FFFFFF"/>
                        </w:tcBorders>
                        <w:shd w:val="clear" w:color="auto" w:fill="E1E0E1"/>
                      </w:tcPr>
                      <w:p w:rsidR="00F22F94" w:rsidRDefault="00F22F94">
                        <w:pPr>
                          <w:pStyle w:val="TableParagraph"/>
                          <w:rPr>
                            <w:sz w:val="16"/>
                          </w:rPr>
                        </w:pPr>
                        <w:r>
                          <w:rPr>
                            <w:sz w:val="16"/>
                          </w:rPr>
                          <w:t>No</w:t>
                        </w:r>
                        <w:r>
                          <w:rPr>
                            <w:spacing w:val="-9"/>
                            <w:sz w:val="16"/>
                          </w:rPr>
                          <w:t xml:space="preserve"> </w:t>
                        </w:r>
                        <w:r>
                          <w:rPr>
                            <w:spacing w:val="-2"/>
                            <w:sz w:val="16"/>
                          </w:rPr>
                          <w:t>increase</w:t>
                        </w:r>
                      </w:p>
                    </w:tc>
                    <w:tc>
                      <w:tcPr>
                        <w:tcW w:w="2551" w:type="dxa"/>
                        <w:tcBorders>
                          <w:right w:val="dashed" w:sz="8" w:space="0" w:color="FFFFFF"/>
                        </w:tcBorders>
                        <w:shd w:val="clear" w:color="auto" w:fill="E1E0E1"/>
                      </w:tcPr>
                      <w:p w:rsidR="00F22F94" w:rsidRDefault="00F22F94">
                        <w:pPr>
                          <w:pStyle w:val="TableParagraph"/>
                          <w:spacing w:before="0"/>
                          <w:ind w:left="0"/>
                          <w:rPr>
                            <w:rFonts w:ascii="Times New Roman"/>
                            <w:sz w:val="18"/>
                          </w:rPr>
                        </w:pPr>
                      </w:p>
                    </w:tc>
                  </w:tr>
                </w:tbl>
                <w:p w:rsidR="00F22F94" w:rsidRDefault="00F22F94">
                  <w:pPr>
                    <w:pStyle w:val="BodyText"/>
                  </w:pPr>
                </w:p>
              </w:txbxContent>
            </v:textbox>
            <w10:wrap anchorx="page"/>
          </v:shape>
        </w:pict>
      </w:r>
      <w:r w:rsidR="00F22F94">
        <w:rPr>
          <w:b/>
          <w:color w:val="2E3092"/>
          <w:w w:val="95"/>
          <w:sz w:val="16"/>
        </w:rPr>
        <w:t>Regional</w:t>
      </w:r>
      <w:r w:rsidR="00F22F94">
        <w:rPr>
          <w:b/>
          <w:color w:val="2E3092"/>
          <w:spacing w:val="4"/>
          <w:sz w:val="16"/>
        </w:rPr>
        <w:t xml:space="preserve"> </w:t>
      </w:r>
      <w:r w:rsidR="00F22F94">
        <w:rPr>
          <w:b/>
          <w:color w:val="2E3092"/>
          <w:w w:val="95"/>
          <w:sz w:val="16"/>
        </w:rPr>
        <w:t>Action</w:t>
      </w:r>
      <w:r w:rsidR="00F22F94">
        <w:rPr>
          <w:b/>
          <w:color w:val="2E3092"/>
          <w:spacing w:val="4"/>
          <w:sz w:val="16"/>
        </w:rPr>
        <w:t xml:space="preserve"> </w:t>
      </w:r>
      <w:r w:rsidR="00F22F94">
        <w:rPr>
          <w:b/>
          <w:color w:val="2E3092"/>
          <w:w w:val="95"/>
          <w:sz w:val="16"/>
        </w:rPr>
        <w:t>Plan</w:t>
      </w:r>
      <w:r w:rsidR="00F22F94">
        <w:rPr>
          <w:b/>
          <w:color w:val="2E3092"/>
          <w:spacing w:val="5"/>
          <w:sz w:val="16"/>
        </w:rPr>
        <w:t xml:space="preserve"> </w:t>
      </w:r>
      <w:r w:rsidR="00F22F94">
        <w:rPr>
          <w:b/>
          <w:color w:val="2E3092"/>
          <w:spacing w:val="-4"/>
          <w:w w:val="95"/>
          <w:sz w:val="16"/>
        </w:rPr>
        <w:t>Area</w:t>
      </w: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spacing w:before="11"/>
        <w:rPr>
          <w:b/>
          <w:sz w:val="18"/>
        </w:rPr>
      </w:pPr>
    </w:p>
    <w:p w:rsidR="002C1123" w:rsidRDefault="00F22F94">
      <w:pPr>
        <w:spacing w:line="161" w:lineRule="exact"/>
        <w:ind w:left="492"/>
        <w:rPr>
          <w:sz w:val="14"/>
        </w:rPr>
      </w:pPr>
      <w:r>
        <w:rPr>
          <w:w w:val="95"/>
          <w:sz w:val="14"/>
        </w:rPr>
        <w:t>Sources:</w:t>
      </w:r>
      <w:r>
        <w:rPr>
          <w:spacing w:val="11"/>
          <w:sz w:val="14"/>
        </w:rPr>
        <w:t xml:space="preserve"> </w:t>
      </w:r>
      <w:r>
        <w:rPr>
          <w:w w:val="95"/>
          <w:sz w:val="14"/>
        </w:rPr>
        <w:t>NSW</w:t>
      </w:r>
      <w:r>
        <w:rPr>
          <w:spacing w:val="11"/>
          <w:sz w:val="14"/>
        </w:rPr>
        <w:t xml:space="preserve"> </w:t>
      </w:r>
      <w:r>
        <w:rPr>
          <w:w w:val="95"/>
          <w:sz w:val="14"/>
        </w:rPr>
        <w:t>Health;</w:t>
      </w:r>
      <w:r>
        <w:rPr>
          <w:spacing w:val="11"/>
          <w:sz w:val="14"/>
        </w:rPr>
        <w:t xml:space="preserve"> </w:t>
      </w:r>
      <w:r>
        <w:rPr>
          <w:spacing w:val="-4"/>
          <w:w w:val="95"/>
          <w:sz w:val="14"/>
        </w:rPr>
        <w:t>PwC.</w:t>
      </w:r>
    </w:p>
    <w:p w:rsidR="002C1123" w:rsidRDefault="00F22F94">
      <w:pPr>
        <w:spacing w:line="161" w:lineRule="exact"/>
        <w:ind w:left="494" w:right="2"/>
        <w:jc w:val="center"/>
        <w:rPr>
          <w:sz w:val="14"/>
        </w:rPr>
      </w:pPr>
      <w:r>
        <w:rPr>
          <w:sz w:val="14"/>
        </w:rPr>
        <w:t>*Beds</w:t>
      </w:r>
      <w:r>
        <w:rPr>
          <w:spacing w:val="-3"/>
          <w:sz w:val="14"/>
        </w:rPr>
        <w:t xml:space="preserve"> </w:t>
      </w:r>
      <w:r>
        <w:rPr>
          <w:sz w:val="14"/>
        </w:rPr>
        <w:t>per</w:t>
      </w:r>
      <w:r>
        <w:rPr>
          <w:spacing w:val="-3"/>
          <w:sz w:val="14"/>
        </w:rPr>
        <w:t xml:space="preserve"> </w:t>
      </w:r>
      <w:r>
        <w:rPr>
          <w:sz w:val="14"/>
        </w:rPr>
        <w:t>1000</w:t>
      </w:r>
      <w:r>
        <w:rPr>
          <w:spacing w:val="-3"/>
          <w:sz w:val="14"/>
        </w:rPr>
        <w:t xml:space="preserve"> </w:t>
      </w:r>
      <w:r>
        <w:rPr>
          <w:sz w:val="14"/>
        </w:rPr>
        <w:t>head</w:t>
      </w:r>
      <w:r>
        <w:rPr>
          <w:spacing w:val="-3"/>
          <w:sz w:val="14"/>
        </w:rPr>
        <w:t xml:space="preserve"> </w:t>
      </w:r>
      <w:r>
        <w:rPr>
          <w:sz w:val="14"/>
        </w:rPr>
        <w:t>of</w:t>
      </w:r>
      <w:r>
        <w:rPr>
          <w:spacing w:val="-3"/>
          <w:sz w:val="14"/>
        </w:rPr>
        <w:t xml:space="preserve"> </w:t>
      </w:r>
      <w:r>
        <w:rPr>
          <w:spacing w:val="-2"/>
          <w:sz w:val="14"/>
        </w:rPr>
        <w:t>population.</w:t>
      </w:r>
    </w:p>
    <w:p w:rsidR="002C1123" w:rsidRDefault="00F22F94">
      <w:pPr>
        <w:spacing w:line="141" w:lineRule="exact"/>
        <w:ind w:left="137"/>
        <w:rPr>
          <w:b/>
          <w:sz w:val="16"/>
        </w:rPr>
      </w:pPr>
      <w:r>
        <w:br w:type="column"/>
      </w:r>
      <w:r>
        <w:rPr>
          <w:b/>
          <w:color w:val="2E3092"/>
          <w:spacing w:val="-2"/>
          <w:w w:val="95"/>
          <w:sz w:val="16"/>
        </w:rPr>
        <w:t>Available</w:t>
      </w:r>
    </w:p>
    <w:p w:rsidR="002C1123" w:rsidRDefault="00F22F94">
      <w:pPr>
        <w:spacing w:line="182" w:lineRule="exact"/>
        <w:ind w:left="137"/>
        <w:rPr>
          <w:b/>
          <w:sz w:val="9"/>
        </w:rPr>
      </w:pPr>
      <w:r>
        <w:rPr>
          <w:b/>
          <w:color w:val="2E3092"/>
          <w:spacing w:val="-2"/>
          <w:sz w:val="16"/>
        </w:rPr>
        <w:t>Beds</w:t>
      </w:r>
      <w:r>
        <w:rPr>
          <w:b/>
          <w:color w:val="2E3092"/>
          <w:spacing w:val="-2"/>
          <w:position w:val="5"/>
          <w:sz w:val="9"/>
        </w:rPr>
        <w:t>*</w:t>
      </w:r>
    </w:p>
    <w:p w:rsidR="002C1123" w:rsidRDefault="00F22F94">
      <w:pPr>
        <w:spacing w:line="141" w:lineRule="exact"/>
        <w:ind w:left="364"/>
        <w:rPr>
          <w:b/>
          <w:sz w:val="16"/>
        </w:rPr>
      </w:pPr>
      <w:r>
        <w:br w:type="column"/>
      </w:r>
      <w:r>
        <w:rPr>
          <w:b/>
          <w:color w:val="2E3092"/>
          <w:spacing w:val="-4"/>
          <w:sz w:val="16"/>
        </w:rPr>
        <w:t>Occupancy</w:t>
      </w:r>
    </w:p>
    <w:p w:rsidR="002C1123" w:rsidRDefault="00F22F94">
      <w:pPr>
        <w:spacing w:line="182" w:lineRule="exact"/>
        <w:ind w:left="364"/>
        <w:rPr>
          <w:b/>
          <w:sz w:val="16"/>
        </w:rPr>
      </w:pPr>
      <w:r>
        <w:rPr>
          <w:b/>
          <w:color w:val="2E3092"/>
          <w:spacing w:val="-4"/>
          <w:sz w:val="16"/>
        </w:rPr>
        <w:t>Rate</w:t>
      </w:r>
    </w:p>
    <w:p w:rsidR="002C1123" w:rsidRDefault="00F22F94">
      <w:pPr>
        <w:spacing w:line="141" w:lineRule="exact"/>
        <w:ind w:left="189"/>
        <w:rPr>
          <w:b/>
          <w:sz w:val="16"/>
        </w:rPr>
      </w:pPr>
      <w:r>
        <w:br w:type="column"/>
      </w:r>
      <w:r>
        <w:rPr>
          <w:b/>
          <w:color w:val="2E3092"/>
          <w:spacing w:val="-2"/>
          <w:sz w:val="16"/>
        </w:rPr>
        <w:t>Demand,</w:t>
      </w:r>
    </w:p>
    <w:p w:rsidR="002C1123" w:rsidRDefault="00F22F94">
      <w:pPr>
        <w:spacing w:line="182" w:lineRule="exact"/>
        <w:ind w:left="189"/>
        <w:rPr>
          <w:b/>
          <w:sz w:val="16"/>
        </w:rPr>
      </w:pPr>
      <w:r>
        <w:rPr>
          <w:b/>
          <w:color w:val="2E3092"/>
          <w:spacing w:val="-2"/>
          <w:sz w:val="16"/>
        </w:rPr>
        <w:t>Acute</w:t>
      </w:r>
      <w:r>
        <w:rPr>
          <w:b/>
          <w:color w:val="2E3092"/>
          <w:spacing w:val="-7"/>
          <w:sz w:val="16"/>
        </w:rPr>
        <w:t xml:space="preserve"> </w:t>
      </w:r>
      <w:r>
        <w:rPr>
          <w:b/>
          <w:color w:val="2E3092"/>
          <w:spacing w:val="-4"/>
          <w:sz w:val="16"/>
        </w:rPr>
        <w:t>Care</w:t>
      </w:r>
    </w:p>
    <w:p w:rsidR="002C1123" w:rsidRDefault="00F22F94">
      <w:pPr>
        <w:spacing w:line="141" w:lineRule="exact"/>
        <w:ind w:left="200"/>
        <w:rPr>
          <w:b/>
          <w:sz w:val="16"/>
        </w:rPr>
      </w:pPr>
      <w:r>
        <w:br w:type="column"/>
      </w:r>
      <w:r>
        <w:rPr>
          <w:b/>
          <w:color w:val="2E3092"/>
          <w:spacing w:val="-2"/>
          <w:sz w:val="16"/>
        </w:rPr>
        <w:t>Sub-Acute</w:t>
      </w:r>
    </w:p>
    <w:p w:rsidR="002C1123" w:rsidRDefault="00F22F94">
      <w:pPr>
        <w:tabs>
          <w:tab w:val="left" w:pos="1561"/>
        </w:tabs>
        <w:spacing w:line="182" w:lineRule="exact"/>
        <w:ind w:left="200"/>
        <w:rPr>
          <w:b/>
          <w:sz w:val="16"/>
        </w:rPr>
      </w:pPr>
      <w:r>
        <w:rPr>
          <w:b/>
          <w:color w:val="2E3092"/>
          <w:spacing w:val="-4"/>
          <w:sz w:val="16"/>
        </w:rPr>
        <w:t>Care</w:t>
      </w:r>
      <w:r>
        <w:rPr>
          <w:b/>
          <w:color w:val="2E3092"/>
          <w:sz w:val="16"/>
        </w:rPr>
        <w:tab/>
        <w:t xml:space="preserve">Major </w:t>
      </w:r>
      <w:r>
        <w:rPr>
          <w:b/>
          <w:color w:val="2E3092"/>
          <w:spacing w:val="-4"/>
          <w:sz w:val="16"/>
        </w:rPr>
        <w:t>Works</w:t>
      </w:r>
    </w:p>
    <w:p w:rsidR="002C1123" w:rsidRDefault="00F22F94">
      <w:pPr>
        <w:pStyle w:val="BodyText"/>
        <w:spacing w:before="30" w:line="249" w:lineRule="auto"/>
        <w:ind w:left="492" w:right="707"/>
      </w:pPr>
      <w:r>
        <w:br w:type="column"/>
      </w:r>
      <w:r>
        <w:rPr>
          <w:w w:val="90"/>
        </w:rPr>
        <w:t xml:space="preserve">and manage patients at home. However these tools are not </w:t>
      </w:r>
      <w:r>
        <w:rPr>
          <w:w w:val="95"/>
        </w:rPr>
        <w:t>yet</w:t>
      </w:r>
      <w:r>
        <w:rPr>
          <w:spacing w:val="-15"/>
          <w:w w:val="95"/>
        </w:rPr>
        <w:t xml:space="preserve"> </w:t>
      </w:r>
      <w:r>
        <w:rPr>
          <w:w w:val="95"/>
        </w:rPr>
        <w:t>in</w:t>
      </w:r>
      <w:r>
        <w:rPr>
          <w:spacing w:val="-14"/>
          <w:w w:val="95"/>
        </w:rPr>
        <w:t xml:space="preserve"> </w:t>
      </w:r>
      <w:r>
        <w:rPr>
          <w:w w:val="95"/>
        </w:rPr>
        <w:t>place</w:t>
      </w:r>
      <w:r>
        <w:rPr>
          <w:spacing w:val="-14"/>
          <w:w w:val="95"/>
        </w:rPr>
        <w:t xml:space="preserve"> </w:t>
      </w:r>
      <w:r>
        <w:rPr>
          <w:w w:val="95"/>
        </w:rPr>
        <w:t>for</w:t>
      </w:r>
      <w:r>
        <w:rPr>
          <w:spacing w:val="-14"/>
          <w:w w:val="95"/>
        </w:rPr>
        <w:t xml:space="preserve"> </w:t>
      </w:r>
      <w:r>
        <w:rPr>
          <w:w w:val="95"/>
        </w:rPr>
        <w:t>some</w:t>
      </w:r>
      <w:r>
        <w:rPr>
          <w:spacing w:val="-15"/>
          <w:w w:val="95"/>
        </w:rPr>
        <w:t xml:space="preserve"> </w:t>
      </w:r>
      <w:r>
        <w:rPr>
          <w:w w:val="95"/>
        </w:rPr>
        <w:t>communities.</w:t>
      </w:r>
      <w:r>
        <w:rPr>
          <w:spacing w:val="-14"/>
          <w:w w:val="95"/>
        </w:rPr>
        <w:t xml:space="preserve"> </w:t>
      </w:r>
      <w:r>
        <w:rPr>
          <w:w w:val="95"/>
        </w:rPr>
        <w:t>Detail</w:t>
      </w:r>
      <w:r>
        <w:rPr>
          <w:spacing w:val="-14"/>
          <w:w w:val="95"/>
        </w:rPr>
        <w:t xml:space="preserve"> </w:t>
      </w:r>
      <w:r>
        <w:rPr>
          <w:w w:val="95"/>
        </w:rPr>
        <w:t>of</w:t>
      </w:r>
      <w:r>
        <w:rPr>
          <w:spacing w:val="-14"/>
          <w:w w:val="95"/>
        </w:rPr>
        <w:t xml:space="preserve"> </w:t>
      </w:r>
      <w:r>
        <w:rPr>
          <w:w w:val="95"/>
        </w:rPr>
        <w:t>the</w:t>
      </w:r>
      <w:r>
        <w:rPr>
          <w:spacing w:val="-14"/>
          <w:w w:val="95"/>
        </w:rPr>
        <w:t xml:space="preserve"> </w:t>
      </w:r>
      <w:r>
        <w:rPr>
          <w:w w:val="95"/>
        </w:rPr>
        <w:t>strategies to</w:t>
      </w:r>
      <w:r>
        <w:rPr>
          <w:spacing w:val="-2"/>
          <w:w w:val="95"/>
        </w:rPr>
        <w:t xml:space="preserve"> </w:t>
      </w:r>
      <w:r>
        <w:rPr>
          <w:w w:val="95"/>
        </w:rPr>
        <w:t>meet</w:t>
      </w:r>
      <w:r>
        <w:rPr>
          <w:spacing w:val="-2"/>
          <w:w w:val="95"/>
        </w:rPr>
        <w:t xml:space="preserve"> </w:t>
      </w:r>
      <w:r>
        <w:rPr>
          <w:w w:val="95"/>
        </w:rPr>
        <w:t>sub-acute</w:t>
      </w:r>
      <w:r>
        <w:rPr>
          <w:spacing w:val="-2"/>
          <w:w w:val="95"/>
        </w:rPr>
        <w:t xml:space="preserve"> </w:t>
      </w:r>
      <w:r>
        <w:rPr>
          <w:w w:val="95"/>
        </w:rPr>
        <w:t>demand</w:t>
      </w:r>
      <w:r>
        <w:rPr>
          <w:spacing w:val="-2"/>
          <w:w w:val="95"/>
        </w:rPr>
        <w:t xml:space="preserve"> </w:t>
      </w:r>
      <w:r>
        <w:rPr>
          <w:w w:val="95"/>
        </w:rPr>
        <w:t>by</w:t>
      </w:r>
      <w:r>
        <w:rPr>
          <w:spacing w:val="-2"/>
          <w:w w:val="95"/>
        </w:rPr>
        <w:t xml:space="preserve"> </w:t>
      </w:r>
      <w:r>
        <w:rPr>
          <w:w w:val="95"/>
        </w:rPr>
        <w:t>care</w:t>
      </w:r>
      <w:r>
        <w:rPr>
          <w:spacing w:val="-2"/>
          <w:w w:val="95"/>
        </w:rPr>
        <w:t xml:space="preserve"> </w:t>
      </w:r>
      <w:r>
        <w:rPr>
          <w:w w:val="95"/>
        </w:rPr>
        <w:t>models</w:t>
      </w:r>
      <w:r>
        <w:rPr>
          <w:spacing w:val="-2"/>
          <w:w w:val="95"/>
        </w:rPr>
        <w:t xml:space="preserve"> </w:t>
      </w:r>
      <w:r>
        <w:rPr>
          <w:w w:val="95"/>
        </w:rPr>
        <w:t>that</w:t>
      </w:r>
      <w:r>
        <w:rPr>
          <w:spacing w:val="-2"/>
          <w:w w:val="95"/>
        </w:rPr>
        <w:t xml:space="preserve"> </w:t>
      </w:r>
      <w:r>
        <w:rPr>
          <w:w w:val="95"/>
        </w:rPr>
        <w:t>are</w:t>
      </w:r>
      <w:r>
        <w:rPr>
          <w:spacing w:val="-2"/>
          <w:w w:val="95"/>
        </w:rPr>
        <w:t xml:space="preserve"> </w:t>
      </w:r>
      <w:r>
        <w:rPr>
          <w:w w:val="95"/>
        </w:rPr>
        <w:t>‘out</w:t>
      </w:r>
    </w:p>
    <w:p w:rsidR="002C1123" w:rsidRDefault="00F22F94">
      <w:pPr>
        <w:pStyle w:val="BodyText"/>
        <w:spacing w:before="2" w:line="249" w:lineRule="auto"/>
        <w:ind w:left="492" w:right="718"/>
      </w:pPr>
      <w:r>
        <w:rPr>
          <w:spacing w:val="-2"/>
          <w:w w:val="95"/>
        </w:rPr>
        <w:t>of</w:t>
      </w:r>
      <w:r>
        <w:rPr>
          <w:spacing w:val="-15"/>
          <w:w w:val="95"/>
        </w:rPr>
        <w:t xml:space="preserve"> </w:t>
      </w:r>
      <w:r>
        <w:rPr>
          <w:spacing w:val="-2"/>
          <w:w w:val="95"/>
        </w:rPr>
        <w:t>hospital’</w:t>
      </w:r>
      <w:r>
        <w:rPr>
          <w:spacing w:val="-14"/>
          <w:w w:val="95"/>
        </w:rPr>
        <w:t xml:space="preserve"> </w:t>
      </w:r>
      <w:r>
        <w:rPr>
          <w:spacing w:val="-2"/>
          <w:w w:val="95"/>
        </w:rPr>
        <w:t>and</w:t>
      </w:r>
      <w:r>
        <w:rPr>
          <w:spacing w:val="-14"/>
          <w:w w:val="95"/>
        </w:rPr>
        <w:t xml:space="preserve"> </w:t>
      </w:r>
      <w:r>
        <w:rPr>
          <w:spacing w:val="-2"/>
          <w:w w:val="95"/>
        </w:rPr>
        <w:t>to</w:t>
      </w:r>
      <w:r>
        <w:rPr>
          <w:spacing w:val="-14"/>
          <w:w w:val="95"/>
        </w:rPr>
        <w:t xml:space="preserve"> </w:t>
      </w:r>
      <w:r>
        <w:rPr>
          <w:spacing w:val="-2"/>
          <w:w w:val="95"/>
        </w:rPr>
        <w:t>encourage</w:t>
      </w:r>
      <w:r>
        <w:rPr>
          <w:spacing w:val="-15"/>
          <w:w w:val="95"/>
        </w:rPr>
        <w:t xml:space="preserve"> </w:t>
      </w:r>
      <w:r>
        <w:rPr>
          <w:spacing w:val="-2"/>
          <w:w w:val="95"/>
        </w:rPr>
        <w:t>private</w:t>
      </w:r>
      <w:r>
        <w:rPr>
          <w:spacing w:val="-14"/>
          <w:w w:val="95"/>
        </w:rPr>
        <w:t xml:space="preserve"> </w:t>
      </w:r>
      <w:r>
        <w:rPr>
          <w:spacing w:val="-2"/>
          <w:w w:val="95"/>
        </w:rPr>
        <w:t>sector</w:t>
      </w:r>
      <w:r>
        <w:rPr>
          <w:spacing w:val="-14"/>
          <w:w w:val="95"/>
        </w:rPr>
        <w:t xml:space="preserve"> </w:t>
      </w:r>
      <w:r>
        <w:rPr>
          <w:spacing w:val="-2"/>
          <w:w w:val="95"/>
        </w:rPr>
        <w:t>provision</w:t>
      </w:r>
      <w:r>
        <w:rPr>
          <w:spacing w:val="-14"/>
          <w:w w:val="95"/>
        </w:rPr>
        <w:t xml:space="preserve"> </w:t>
      </w:r>
      <w:r>
        <w:rPr>
          <w:spacing w:val="-2"/>
          <w:w w:val="95"/>
        </w:rPr>
        <w:t xml:space="preserve">of </w:t>
      </w:r>
      <w:r>
        <w:rPr>
          <w:w w:val="95"/>
        </w:rPr>
        <w:t>public</w:t>
      </w:r>
      <w:r>
        <w:rPr>
          <w:spacing w:val="-6"/>
          <w:w w:val="95"/>
        </w:rPr>
        <w:t xml:space="preserve"> </w:t>
      </w:r>
      <w:r>
        <w:rPr>
          <w:w w:val="95"/>
        </w:rPr>
        <w:t>hospital</w:t>
      </w:r>
      <w:r>
        <w:rPr>
          <w:spacing w:val="-6"/>
          <w:w w:val="95"/>
        </w:rPr>
        <w:t xml:space="preserve"> </w:t>
      </w:r>
      <w:r>
        <w:rPr>
          <w:w w:val="95"/>
        </w:rPr>
        <w:t>services</w:t>
      </w:r>
      <w:r>
        <w:rPr>
          <w:spacing w:val="-6"/>
          <w:w w:val="95"/>
        </w:rPr>
        <w:t xml:space="preserve"> </w:t>
      </w:r>
      <w:r>
        <w:rPr>
          <w:w w:val="95"/>
        </w:rPr>
        <w:t>are</w:t>
      </w:r>
      <w:r>
        <w:rPr>
          <w:spacing w:val="-6"/>
          <w:w w:val="95"/>
        </w:rPr>
        <w:t xml:space="preserve"> </w:t>
      </w:r>
      <w:r>
        <w:rPr>
          <w:w w:val="95"/>
        </w:rPr>
        <w:t>provided</w:t>
      </w:r>
      <w:r>
        <w:rPr>
          <w:spacing w:val="-6"/>
          <w:w w:val="95"/>
        </w:rPr>
        <w:t xml:space="preserve"> </w:t>
      </w:r>
      <w:r>
        <w:rPr>
          <w:w w:val="95"/>
        </w:rPr>
        <w:t>in</w:t>
      </w:r>
      <w:r>
        <w:rPr>
          <w:spacing w:val="-6"/>
          <w:w w:val="95"/>
        </w:rPr>
        <w:t xml:space="preserve"> </w:t>
      </w:r>
      <w:r>
        <w:rPr>
          <w:w w:val="95"/>
        </w:rPr>
        <w:t>Section</w:t>
      </w:r>
      <w:r>
        <w:rPr>
          <w:spacing w:val="-6"/>
          <w:w w:val="95"/>
        </w:rPr>
        <w:t xml:space="preserve"> </w:t>
      </w:r>
      <w:r>
        <w:rPr>
          <w:w w:val="95"/>
        </w:rPr>
        <w:t>13.</w:t>
      </w:r>
    </w:p>
    <w:p w:rsidR="002C1123" w:rsidRDefault="00F22F94">
      <w:pPr>
        <w:pStyle w:val="Heading6"/>
        <w:numPr>
          <w:ilvl w:val="2"/>
          <w:numId w:val="103"/>
        </w:numPr>
        <w:tabs>
          <w:tab w:val="left" w:pos="979"/>
        </w:tabs>
        <w:spacing w:before="144"/>
        <w:ind w:hanging="487"/>
        <w:jc w:val="left"/>
        <w:rPr>
          <w:color w:val="EC008C"/>
        </w:rPr>
      </w:pPr>
      <w:r>
        <w:rPr>
          <w:color w:val="EC008C"/>
          <w:spacing w:val="-4"/>
        </w:rPr>
        <w:t>Social</w:t>
      </w:r>
      <w:r>
        <w:rPr>
          <w:color w:val="EC008C"/>
          <w:spacing w:val="-2"/>
        </w:rPr>
        <w:t xml:space="preserve"> Infrastructure</w:t>
      </w:r>
    </w:p>
    <w:p w:rsidR="002C1123" w:rsidRDefault="00F22F94">
      <w:pPr>
        <w:pStyle w:val="BodyText"/>
        <w:spacing w:before="95" w:line="249" w:lineRule="auto"/>
        <w:ind w:left="492" w:right="707"/>
      </w:pPr>
      <w:r>
        <w:rPr>
          <w:w w:val="95"/>
        </w:rPr>
        <w:t>The</w:t>
      </w:r>
      <w:r>
        <w:rPr>
          <w:spacing w:val="-9"/>
          <w:w w:val="95"/>
        </w:rPr>
        <w:t xml:space="preserve"> </w:t>
      </w:r>
      <w:r>
        <w:rPr>
          <w:w w:val="95"/>
        </w:rPr>
        <w:t>demographic</w:t>
      </w:r>
      <w:r>
        <w:rPr>
          <w:spacing w:val="-9"/>
          <w:w w:val="95"/>
        </w:rPr>
        <w:t xml:space="preserve"> </w:t>
      </w:r>
      <w:r>
        <w:rPr>
          <w:w w:val="95"/>
        </w:rPr>
        <w:t>differences</w:t>
      </w:r>
      <w:r>
        <w:rPr>
          <w:spacing w:val="-9"/>
          <w:w w:val="95"/>
        </w:rPr>
        <w:t xml:space="preserve"> </w:t>
      </w:r>
      <w:r>
        <w:rPr>
          <w:w w:val="95"/>
        </w:rPr>
        <w:t>in</w:t>
      </w:r>
      <w:r>
        <w:rPr>
          <w:spacing w:val="-9"/>
          <w:w w:val="95"/>
        </w:rPr>
        <w:t xml:space="preserve"> </w:t>
      </w:r>
      <w:r>
        <w:rPr>
          <w:w w:val="95"/>
        </w:rPr>
        <w:t>Regional</w:t>
      </w:r>
      <w:r>
        <w:rPr>
          <w:spacing w:val="-9"/>
          <w:w w:val="95"/>
        </w:rPr>
        <w:t xml:space="preserve"> </w:t>
      </w:r>
      <w:r>
        <w:rPr>
          <w:w w:val="95"/>
        </w:rPr>
        <w:t>NSW</w:t>
      </w:r>
      <w:r>
        <w:rPr>
          <w:spacing w:val="-9"/>
          <w:w w:val="95"/>
        </w:rPr>
        <w:t xml:space="preserve"> </w:t>
      </w:r>
      <w:r>
        <w:rPr>
          <w:w w:val="95"/>
        </w:rPr>
        <w:t>will</w:t>
      </w:r>
      <w:r>
        <w:rPr>
          <w:spacing w:val="-9"/>
          <w:w w:val="95"/>
        </w:rPr>
        <w:t xml:space="preserve"> </w:t>
      </w:r>
      <w:r>
        <w:rPr>
          <w:w w:val="95"/>
        </w:rPr>
        <w:t xml:space="preserve">have </w:t>
      </w:r>
      <w:r>
        <w:t>an</w:t>
      </w:r>
      <w:r>
        <w:rPr>
          <w:spacing w:val="-13"/>
        </w:rPr>
        <w:t xml:space="preserve"> </w:t>
      </w:r>
      <w:r>
        <w:t>impact</w:t>
      </w:r>
      <w:r>
        <w:rPr>
          <w:spacing w:val="-13"/>
        </w:rPr>
        <w:t xml:space="preserve"> </w:t>
      </w:r>
      <w:r>
        <w:t>on</w:t>
      </w:r>
      <w:r>
        <w:rPr>
          <w:spacing w:val="-13"/>
        </w:rPr>
        <w:t xml:space="preserve"> </w:t>
      </w:r>
      <w:r>
        <w:t>utilisation</w:t>
      </w:r>
      <w:r>
        <w:rPr>
          <w:spacing w:val="-13"/>
        </w:rPr>
        <w:t xml:space="preserve"> </w:t>
      </w:r>
      <w:r>
        <w:t>and</w:t>
      </w:r>
      <w:r>
        <w:rPr>
          <w:spacing w:val="-13"/>
        </w:rPr>
        <w:t xml:space="preserve"> </w:t>
      </w:r>
      <w:r>
        <w:t>development</w:t>
      </w:r>
      <w:r>
        <w:rPr>
          <w:spacing w:val="-13"/>
        </w:rPr>
        <w:t xml:space="preserve"> </w:t>
      </w:r>
      <w:r>
        <w:t>of</w:t>
      </w:r>
      <w:r>
        <w:rPr>
          <w:spacing w:val="-13"/>
        </w:rPr>
        <w:t xml:space="preserve"> </w:t>
      </w:r>
      <w:r>
        <w:t>education services</w:t>
      </w:r>
      <w:r>
        <w:rPr>
          <w:spacing w:val="-12"/>
        </w:rPr>
        <w:t xml:space="preserve"> </w:t>
      </w:r>
      <w:r>
        <w:t>across</w:t>
      </w:r>
      <w:r>
        <w:rPr>
          <w:spacing w:val="-12"/>
        </w:rPr>
        <w:t xml:space="preserve"> </w:t>
      </w:r>
      <w:r>
        <w:t>the</w:t>
      </w:r>
      <w:r>
        <w:rPr>
          <w:spacing w:val="-12"/>
        </w:rPr>
        <w:t xml:space="preserve"> </w:t>
      </w:r>
      <w:r>
        <w:t>regions.</w:t>
      </w:r>
      <w:r>
        <w:rPr>
          <w:spacing w:val="-12"/>
        </w:rPr>
        <w:t xml:space="preserve"> </w:t>
      </w:r>
      <w:r>
        <w:t>For</w:t>
      </w:r>
      <w:r>
        <w:rPr>
          <w:spacing w:val="-12"/>
        </w:rPr>
        <w:t xml:space="preserve"> </w:t>
      </w:r>
      <w:r>
        <w:t>example</w:t>
      </w:r>
      <w:r>
        <w:rPr>
          <w:spacing w:val="-12"/>
        </w:rPr>
        <w:t xml:space="preserve"> </w:t>
      </w:r>
      <w:r>
        <w:t>the</w:t>
      </w:r>
      <w:r>
        <w:rPr>
          <w:spacing w:val="-12"/>
        </w:rPr>
        <w:t xml:space="preserve"> </w:t>
      </w:r>
      <w:r>
        <w:t>impact</w:t>
      </w:r>
    </w:p>
    <w:p w:rsidR="002C1123" w:rsidRDefault="00F22F94">
      <w:pPr>
        <w:pStyle w:val="BodyText"/>
        <w:spacing w:before="2" w:line="249" w:lineRule="auto"/>
        <w:ind w:left="492" w:right="922"/>
      </w:pPr>
      <w:r>
        <w:rPr>
          <w:w w:val="95"/>
        </w:rPr>
        <w:t xml:space="preserve">of demographic profile, with lower proportions of 20 to </w:t>
      </w:r>
      <w:r>
        <w:rPr>
          <w:spacing w:val="-2"/>
        </w:rPr>
        <w:t>40-year-olds,</w:t>
      </w:r>
      <w:r>
        <w:rPr>
          <w:spacing w:val="-7"/>
        </w:rPr>
        <w:t xml:space="preserve"> </w:t>
      </w:r>
      <w:r>
        <w:rPr>
          <w:spacing w:val="-2"/>
        </w:rPr>
        <w:t>is</w:t>
      </w:r>
      <w:r>
        <w:rPr>
          <w:spacing w:val="-7"/>
        </w:rPr>
        <w:t xml:space="preserve"> </w:t>
      </w:r>
      <w:r>
        <w:rPr>
          <w:spacing w:val="-2"/>
        </w:rPr>
        <w:t>reflected</w:t>
      </w:r>
      <w:r>
        <w:rPr>
          <w:spacing w:val="-7"/>
        </w:rPr>
        <w:t xml:space="preserve"> </w:t>
      </w:r>
      <w:r>
        <w:rPr>
          <w:spacing w:val="-2"/>
        </w:rPr>
        <w:t>in</w:t>
      </w:r>
      <w:r>
        <w:rPr>
          <w:spacing w:val="-7"/>
        </w:rPr>
        <w:t xml:space="preserve"> </w:t>
      </w:r>
      <w:r>
        <w:rPr>
          <w:spacing w:val="-2"/>
        </w:rPr>
        <w:t>the</w:t>
      </w:r>
      <w:r>
        <w:rPr>
          <w:spacing w:val="-7"/>
        </w:rPr>
        <w:t xml:space="preserve"> </w:t>
      </w:r>
      <w:r>
        <w:rPr>
          <w:spacing w:val="-2"/>
        </w:rPr>
        <w:t>forecast</w:t>
      </w:r>
      <w:r>
        <w:rPr>
          <w:spacing w:val="-7"/>
        </w:rPr>
        <w:t xml:space="preserve"> </w:t>
      </w:r>
      <w:r>
        <w:rPr>
          <w:spacing w:val="-2"/>
        </w:rPr>
        <w:t>growth</w:t>
      </w:r>
      <w:r>
        <w:rPr>
          <w:spacing w:val="-7"/>
        </w:rPr>
        <w:t xml:space="preserve"> </w:t>
      </w:r>
      <w:r>
        <w:rPr>
          <w:spacing w:val="-2"/>
        </w:rPr>
        <w:t>in</w:t>
      </w:r>
      <w:r>
        <w:rPr>
          <w:spacing w:val="-7"/>
        </w:rPr>
        <w:t xml:space="preserve"> </w:t>
      </w:r>
      <w:r>
        <w:rPr>
          <w:spacing w:val="-2"/>
        </w:rPr>
        <w:t xml:space="preserve">the </w:t>
      </w:r>
      <w:r>
        <w:rPr>
          <w:w w:val="95"/>
        </w:rPr>
        <w:t>school population. Primary school growth is expected to</w:t>
      </w:r>
      <w:r>
        <w:rPr>
          <w:spacing w:val="-6"/>
          <w:w w:val="95"/>
        </w:rPr>
        <w:t xml:space="preserve"> </w:t>
      </w:r>
      <w:r>
        <w:rPr>
          <w:w w:val="95"/>
        </w:rPr>
        <w:t>be</w:t>
      </w:r>
      <w:r>
        <w:rPr>
          <w:spacing w:val="-6"/>
          <w:w w:val="95"/>
        </w:rPr>
        <w:t xml:space="preserve"> </w:t>
      </w:r>
      <w:r>
        <w:rPr>
          <w:w w:val="95"/>
        </w:rPr>
        <w:t>four</w:t>
      </w:r>
      <w:r>
        <w:rPr>
          <w:spacing w:val="-6"/>
          <w:w w:val="95"/>
        </w:rPr>
        <w:t xml:space="preserve"> </w:t>
      </w:r>
      <w:r>
        <w:rPr>
          <w:w w:val="95"/>
        </w:rPr>
        <w:t>percent</w:t>
      </w:r>
      <w:r>
        <w:rPr>
          <w:spacing w:val="-6"/>
          <w:w w:val="95"/>
        </w:rPr>
        <w:t xml:space="preserve"> </w:t>
      </w:r>
      <w:r>
        <w:rPr>
          <w:w w:val="95"/>
        </w:rPr>
        <w:t>in</w:t>
      </w:r>
      <w:r>
        <w:rPr>
          <w:spacing w:val="-6"/>
          <w:w w:val="95"/>
        </w:rPr>
        <w:t xml:space="preserve"> </w:t>
      </w:r>
      <w:r>
        <w:rPr>
          <w:w w:val="95"/>
        </w:rPr>
        <w:t>Murray</w:t>
      </w:r>
      <w:r>
        <w:rPr>
          <w:spacing w:val="-6"/>
          <w:w w:val="95"/>
        </w:rPr>
        <w:t xml:space="preserve"> </w:t>
      </w:r>
      <w:r>
        <w:rPr>
          <w:w w:val="95"/>
        </w:rPr>
        <w:t>Riverina</w:t>
      </w:r>
      <w:r>
        <w:rPr>
          <w:spacing w:val="-6"/>
          <w:w w:val="95"/>
        </w:rPr>
        <w:t xml:space="preserve"> </w:t>
      </w:r>
      <w:r>
        <w:rPr>
          <w:w w:val="95"/>
        </w:rPr>
        <w:t>and</w:t>
      </w:r>
      <w:r>
        <w:rPr>
          <w:spacing w:val="-6"/>
          <w:w w:val="95"/>
        </w:rPr>
        <w:t xml:space="preserve"> </w:t>
      </w:r>
      <w:r>
        <w:rPr>
          <w:w w:val="95"/>
        </w:rPr>
        <w:t>eight</w:t>
      </w:r>
      <w:r>
        <w:rPr>
          <w:spacing w:val="-6"/>
          <w:w w:val="95"/>
        </w:rPr>
        <w:t xml:space="preserve"> </w:t>
      </w:r>
      <w:r>
        <w:rPr>
          <w:w w:val="95"/>
        </w:rPr>
        <w:t>percent in</w:t>
      </w:r>
      <w:r>
        <w:rPr>
          <w:spacing w:val="-10"/>
          <w:w w:val="95"/>
        </w:rPr>
        <w:t xml:space="preserve"> </w:t>
      </w:r>
      <w:r>
        <w:rPr>
          <w:w w:val="95"/>
        </w:rPr>
        <w:t>the</w:t>
      </w:r>
      <w:r>
        <w:rPr>
          <w:spacing w:val="-10"/>
          <w:w w:val="95"/>
        </w:rPr>
        <w:t xml:space="preserve"> </w:t>
      </w:r>
      <w:r>
        <w:rPr>
          <w:w w:val="95"/>
        </w:rPr>
        <w:t>coastal</w:t>
      </w:r>
      <w:r>
        <w:rPr>
          <w:spacing w:val="-10"/>
          <w:w w:val="95"/>
        </w:rPr>
        <w:t xml:space="preserve"> </w:t>
      </w:r>
      <w:r>
        <w:rPr>
          <w:w w:val="95"/>
        </w:rPr>
        <w:t>regional</w:t>
      </w:r>
      <w:r>
        <w:rPr>
          <w:spacing w:val="-10"/>
          <w:w w:val="95"/>
        </w:rPr>
        <w:t xml:space="preserve"> </w:t>
      </w:r>
      <w:r>
        <w:rPr>
          <w:w w:val="95"/>
        </w:rPr>
        <w:t>areas,</w:t>
      </w:r>
      <w:r>
        <w:rPr>
          <w:spacing w:val="-10"/>
          <w:w w:val="95"/>
        </w:rPr>
        <w:t xml:space="preserve"> </w:t>
      </w:r>
      <w:r>
        <w:rPr>
          <w:w w:val="95"/>
        </w:rPr>
        <w:t>which</w:t>
      </w:r>
      <w:r>
        <w:rPr>
          <w:spacing w:val="-10"/>
          <w:w w:val="95"/>
        </w:rPr>
        <w:t xml:space="preserve"> </w:t>
      </w:r>
      <w:r>
        <w:rPr>
          <w:w w:val="95"/>
        </w:rPr>
        <w:t>is</w:t>
      </w:r>
      <w:r>
        <w:rPr>
          <w:spacing w:val="-10"/>
          <w:w w:val="95"/>
        </w:rPr>
        <w:t xml:space="preserve"> </w:t>
      </w:r>
      <w:r>
        <w:rPr>
          <w:w w:val="95"/>
        </w:rPr>
        <w:t>less</w:t>
      </w:r>
      <w:r>
        <w:rPr>
          <w:spacing w:val="-10"/>
          <w:w w:val="95"/>
        </w:rPr>
        <w:t xml:space="preserve"> </w:t>
      </w:r>
      <w:r>
        <w:rPr>
          <w:w w:val="95"/>
        </w:rPr>
        <w:t>than</w:t>
      </w:r>
      <w:r>
        <w:rPr>
          <w:spacing w:val="-10"/>
          <w:w w:val="95"/>
        </w:rPr>
        <w:t xml:space="preserve"> </w:t>
      </w:r>
      <w:r>
        <w:rPr>
          <w:w w:val="95"/>
        </w:rPr>
        <w:t>half</w:t>
      </w:r>
      <w:r>
        <w:rPr>
          <w:spacing w:val="-10"/>
          <w:w w:val="95"/>
        </w:rPr>
        <w:t xml:space="preserve"> </w:t>
      </w:r>
      <w:r>
        <w:rPr>
          <w:w w:val="95"/>
        </w:rPr>
        <w:t>the forecast</w:t>
      </w:r>
      <w:r>
        <w:rPr>
          <w:spacing w:val="-4"/>
          <w:w w:val="95"/>
        </w:rPr>
        <w:t xml:space="preserve"> </w:t>
      </w:r>
      <w:r>
        <w:rPr>
          <w:w w:val="95"/>
        </w:rPr>
        <w:t>growth</w:t>
      </w:r>
      <w:r>
        <w:rPr>
          <w:spacing w:val="-4"/>
          <w:w w:val="95"/>
        </w:rPr>
        <w:t xml:space="preserve"> </w:t>
      </w:r>
      <w:r>
        <w:rPr>
          <w:w w:val="95"/>
        </w:rPr>
        <w:t>in</w:t>
      </w:r>
      <w:r>
        <w:rPr>
          <w:spacing w:val="-4"/>
          <w:w w:val="95"/>
        </w:rPr>
        <w:t xml:space="preserve"> </w:t>
      </w:r>
      <w:r>
        <w:rPr>
          <w:w w:val="95"/>
        </w:rPr>
        <w:t>Sydney.</w:t>
      </w:r>
      <w:r>
        <w:rPr>
          <w:spacing w:val="-4"/>
          <w:w w:val="95"/>
        </w:rPr>
        <w:t xml:space="preserve"> </w:t>
      </w:r>
      <w:r>
        <w:rPr>
          <w:w w:val="95"/>
        </w:rPr>
        <w:t>There</w:t>
      </w:r>
      <w:r>
        <w:rPr>
          <w:spacing w:val="-4"/>
          <w:w w:val="95"/>
        </w:rPr>
        <w:t xml:space="preserve"> </w:t>
      </w:r>
      <w:r>
        <w:rPr>
          <w:w w:val="95"/>
        </w:rPr>
        <w:t>is</w:t>
      </w:r>
      <w:r>
        <w:rPr>
          <w:spacing w:val="-4"/>
          <w:w w:val="95"/>
        </w:rPr>
        <w:t xml:space="preserve"> </w:t>
      </w:r>
      <w:r>
        <w:rPr>
          <w:w w:val="95"/>
        </w:rPr>
        <w:t>almost</w:t>
      </w:r>
      <w:r>
        <w:rPr>
          <w:spacing w:val="-4"/>
          <w:w w:val="95"/>
        </w:rPr>
        <w:t xml:space="preserve"> </w:t>
      </w:r>
      <w:r>
        <w:rPr>
          <w:w w:val="95"/>
        </w:rPr>
        <w:t>no</w:t>
      </w:r>
      <w:r>
        <w:rPr>
          <w:spacing w:val="-4"/>
          <w:w w:val="95"/>
        </w:rPr>
        <w:t xml:space="preserve"> </w:t>
      </w:r>
      <w:r>
        <w:rPr>
          <w:w w:val="95"/>
        </w:rPr>
        <w:t xml:space="preserve">forecast </w:t>
      </w:r>
      <w:r>
        <w:t>growth</w:t>
      </w:r>
      <w:r>
        <w:rPr>
          <w:spacing w:val="-5"/>
        </w:rPr>
        <w:t xml:space="preserve"> </w:t>
      </w:r>
      <w:r>
        <w:t>in</w:t>
      </w:r>
      <w:r>
        <w:rPr>
          <w:spacing w:val="-5"/>
        </w:rPr>
        <w:t xml:space="preserve"> </w:t>
      </w:r>
      <w:r>
        <w:t>the</w:t>
      </w:r>
      <w:r>
        <w:rPr>
          <w:spacing w:val="-5"/>
        </w:rPr>
        <w:t xml:space="preserve"> </w:t>
      </w:r>
      <w:r>
        <w:t>regional</w:t>
      </w:r>
      <w:r>
        <w:rPr>
          <w:spacing w:val="-5"/>
        </w:rPr>
        <w:t xml:space="preserve"> </w:t>
      </w:r>
      <w:r>
        <w:t>secondary</w:t>
      </w:r>
      <w:r>
        <w:rPr>
          <w:spacing w:val="-5"/>
        </w:rPr>
        <w:t xml:space="preserve"> </w:t>
      </w:r>
      <w:r>
        <w:t>school</w:t>
      </w:r>
      <w:r>
        <w:rPr>
          <w:spacing w:val="-5"/>
        </w:rPr>
        <w:t xml:space="preserve"> </w:t>
      </w:r>
      <w:r>
        <w:t>population</w:t>
      </w:r>
    </w:p>
    <w:p w:rsidR="002C1123" w:rsidRDefault="00F22F94">
      <w:pPr>
        <w:pStyle w:val="BodyText"/>
        <w:spacing w:before="6" w:line="249" w:lineRule="auto"/>
        <w:ind w:left="492" w:right="707"/>
      </w:pPr>
      <w:r>
        <w:rPr>
          <w:w w:val="95"/>
        </w:rPr>
        <w:t>in</w:t>
      </w:r>
      <w:r>
        <w:rPr>
          <w:spacing w:val="-3"/>
          <w:w w:val="95"/>
        </w:rPr>
        <w:t xml:space="preserve"> </w:t>
      </w:r>
      <w:r>
        <w:rPr>
          <w:w w:val="95"/>
        </w:rPr>
        <w:t>the</w:t>
      </w:r>
      <w:r>
        <w:rPr>
          <w:spacing w:val="-3"/>
          <w:w w:val="95"/>
        </w:rPr>
        <w:t xml:space="preserve"> </w:t>
      </w:r>
      <w:r>
        <w:rPr>
          <w:w w:val="95"/>
        </w:rPr>
        <w:t>next</w:t>
      </w:r>
      <w:r>
        <w:rPr>
          <w:spacing w:val="-3"/>
          <w:w w:val="95"/>
        </w:rPr>
        <w:t xml:space="preserve"> </w:t>
      </w:r>
      <w:r>
        <w:rPr>
          <w:w w:val="95"/>
        </w:rPr>
        <w:t>ten</w:t>
      </w:r>
      <w:r>
        <w:rPr>
          <w:spacing w:val="-3"/>
          <w:w w:val="95"/>
        </w:rPr>
        <w:t xml:space="preserve"> </w:t>
      </w:r>
      <w:r>
        <w:rPr>
          <w:w w:val="95"/>
        </w:rPr>
        <w:t>years,</w:t>
      </w:r>
      <w:r>
        <w:rPr>
          <w:spacing w:val="-3"/>
          <w:w w:val="95"/>
        </w:rPr>
        <w:t xml:space="preserve"> </w:t>
      </w:r>
      <w:r>
        <w:rPr>
          <w:w w:val="95"/>
        </w:rPr>
        <w:t>compared</w:t>
      </w:r>
      <w:r>
        <w:rPr>
          <w:spacing w:val="-3"/>
          <w:w w:val="95"/>
        </w:rPr>
        <w:t xml:space="preserve"> </w:t>
      </w:r>
      <w:r>
        <w:rPr>
          <w:w w:val="95"/>
        </w:rPr>
        <w:t>to</w:t>
      </w:r>
      <w:r>
        <w:rPr>
          <w:spacing w:val="-3"/>
          <w:w w:val="95"/>
        </w:rPr>
        <w:t xml:space="preserve"> </w:t>
      </w:r>
      <w:r>
        <w:rPr>
          <w:w w:val="95"/>
        </w:rPr>
        <w:t>around</w:t>
      </w:r>
      <w:r>
        <w:rPr>
          <w:spacing w:val="-3"/>
          <w:w w:val="95"/>
        </w:rPr>
        <w:t xml:space="preserve"> </w:t>
      </w:r>
      <w:r>
        <w:rPr>
          <w:w w:val="95"/>
        </w:rPr>
        <w:t>10</w:t>
      </w:r>
      <w:r>
        <w:rPr>
          <w:spacing w:val="-3"/>
          <w:w w:val="95"/>
        </w:rPr>
        <w:t xml:space="preserve"> </w:t>
      </w:r>
      <w:r>
        <w:rPr>
          <w:w w:val="95"/>
        </w:rPr>
        <w:t xml:space="preserve">percent </w:t>
      </w:r>
      <w:r>
        <w:t>growth in Sydney.</w:t>
      </w:r>
    </w:p>
    <w:p w:rsidR="002C1123" w:rsidRDefault="00F22F94">
      <w:pPr>
        <w:pStyle w:val="BodyText"/>
        <w:spacing w:before="143" w:line="249" w:lineRule="auto"/>
        <w:ind w:left="492" w:right="718"/>
      </w:pPr>
      <w:r>
        <w:t>Justice</w:t>
      </w:r>
      <w:r>
        <w:rPr>
          <w:spacing w:val="-9"/>
        </w:rPr>
        <w:t xml:space="preserve"> </w:t>
      </w:r>
      <w:r>
        <w:t>services</w:t>
      </w:r>
      <w:r>
        <w:rPr>
          <w:spacing w:val="-9"/>
        </w:rPr>
        <w:t xml:space="preserve"> </w:t>
      </w:r>
      <w:r>
        <w:t>are</w:t>
      </w:r>
      <w:r>
        <w:rPr>
          <w:spacing w:val="-9"/>
        </w:rPr>
        <w:t xml:space="preserve"> </w:t>
      </w:r>
      <w:r>
        <w:t>a</w:t>
      </w:r>
      <w:r>
        <w:rPr>
          <w:spacing w:val="-9"/>
        </w:rPr>
        <w:t xml:space="preserve"> </w:t>
      </w:r>
      <w:r>
        <w:t>vital</w:t>
      </w:r>
      <w:r>
        <w:rPr>
          <w:spacing w:val="-9"/>
        </w:rPr>
        <w:t xml:space="preserve"> </w:t>
      </w:r>
      <w:r>
        <w:t>community</w:t>
      </w:r>
      <w:r>
        <w:rPr>
          <w:spacing w:val="-9"/>
        </w:rPr>
        <w:t xml:space="preserve"> </w:t>
      </w:r>
      <w:r>
        <w:t xml:space="preserve">service. </w:t>
      </w:r>
      <w:r>
        <w:rPr>
          <w:w w:val="95"/>
        </w:rPr>
        <w:t>Increasingly</w:t>
      </w:r>
      <w:r>
        <w:rPr>
          <w:spacing w:val="-10"/>
          <w:w w:val="95"/>
        </w:rPr>
        <w:t xml:space="preserve"> </w:t>
      </w:r>
      <w:r>
        <w:rPr>
          <w:w w:val="95"/>
        </w:rPr>
        <w:t>the</w:t>
      </w:r>
      <w:r>
        <w:rPr>
          <w:spacing w:val="-10"/>
          <w:w w:val="95"/>
        </w:rPr>
        <w:t xml:space="preserve"> </w:t>
      </w:r>
      <w:r>
        <w:rPr>
          <w:w w:val="95"/>
        </w:rPr>
        <w:t>provision</w:t>
      </w:r>
      <w:r>
        <w:rPr>
          <w:spacing w:val="-10"/>
          <w:w w:val="95"/>
        </w:rPr>
        <w:t xml:space="preserve"> </w:t>
      </w:r>
      <w:r>
        <w:rPr>
          <w:w w:val="95"/>
        </w:rPr>
        <w:t>of</w:t>
      </w:r>
      <w:r>
        <w:rPr>
          <w:spacing w:val="-10"/>
          <w:w w:val="95"/>
        </w:rPr>
        <w:t xml:space="preserve"> </w:t>
      </w:r>
      <w:r>
        <w:rPr>
          <w:w w:val="95"/>
        </w:rPr>
        <w:t>justice</w:t>
      </w:r>
      <w:r>
        <w:rPr>
          <w:spacing w:val="-10"/>
          <w:w w:val="95"/>
        </w:rPr>
        <w:t xml:space="preserve"> </w:t>
      </w:r>
      <w:r>
        <w:rPr>
          <w:w w:val="95"/>
        </w:rPr>
        <w:t>services</w:t>
      </w:r>
      <w:r>
        <w:rPr>
          <w:spacing w:val="-10"/>
          <w:w w:val="95"/>
        </w:rPr>
        <w:t xml:space="preserve"> </w:t>
      </w:r>
      <w:r>
        <w:rPr>
          <w:w w:val="95"/>
        </w:rPr>
        <w:t>are</w:t>
      </w:r>
      <w:r>
        <w:rPr>
          <w:spacing w:val="-10"/>
          <w:w w:val="95"/>
        </w:rPr>
        <w:t xml:space="preserve"> </w:t>
      </w:r>
      <w:r>
        <w:rPr>
          <w:w w:val="95"/>
        </w:rPr>
        <w:t xml:space="preserve">being </w:t>
      </w:r>
      <w:r>
        <w:t>provided</w:t>
      </w:r>
      <w:r>
        <w:rPr>
          <w:spacing w:val="-12"/>
        </w:rPr>
        <w:t xml:space="preserve"> </w:t>
      </w:r>
      <w:r>
        <w:t>by</w:t>
      </w:r>
      <w:r>
        <w:rPr>
          <w:spacing w:val="-12"/>
        </w:rPr>
        <w:t xml:space="preserve"> </w:t>
      </w:r>
      <w:r>
        <w:t>innovative</w:t>
      </w:r>
      <w:r>
        <w:rPr>
          <w:spacing w:val="-12"/>
        </w:rPr>
        <w:t xml:space="preserve"> </w:t>
      </w:r>
      <w:r>
        <w:t>new</w:t>
      </w:r>
      <w:r>
        <w:rPr>
          <w:spacing w:val="-12"/>
        </w:rPr>
        <w:t xml:space="preserve"> </w:t>
      </w:r>
      <w:r>
        <w:t>IT</w:t>
      </w:r>
      <w:r>
        <w:rPr>
          <w:spacing w:val="-12"/>
        </w:rPr>
        <w:t xml:space="preserve"> </w:t>
      </w:r>
      <w:r>
        <w:t>solutions,</w:t>
      </w:r>
      <w:r>
        <w:rPr>
          <w:spacing w:val="-12"/>
        </w:rPr>
        <w:t xml:space="preserve"> </w:t>
      </w:r>
      <w:r>
        <w:t>without</w:t>
      </w:r>
    </w:p>
    <w:p w:rsidR="002C1123" w:rsidRDefault="00F22F94">
      <w:pPr>
        <w:pStyle w:val="BodyText"/>
        <w:spacing w:before="3" w:line="249" w:lineRule="auto"/>
        <w:ind w:left="492" w:right="1249"/>
      </w:pPr>
      <w:r>
        <w:t>the</w:t>
      </w:r>
      <w:r>
        <w:rPr>
          <w:spacing w:val="-14"/>
        </w:rPr>
        <w:t xml:space="preserve"> </w:t>
      </w:r>
      <w:r>
        <w:t>reliance</w:t>
      </w:r>
      <w:r>
        <w:rPr>
          <w:spacing w:val="-14"/>
        </w:rPr>
        <w:t xml:space="preserve"> </w:t>
      </w:r>
      <w:r>
        <w:t>on</w:t>
      </w:r>
      <w:r>
        <w:rPr>
          <w:spacing w:val="-14"/>
        </w:rPr>
        <w:t xml:space="preserve"> </w:t>
      </w:r>
      <w:r>
        <w:t>familiar</w:t>
      </w:r>
      <w:r>
        <w:rPr>
          <w:spacing w:val="-14"/>
        </w:rPr>
        <w:t xml:space="preserve"> </w:t>
      </w:r>
      <w:r>
        <w:t>hard</w:t>
      </w:r>
      <w:r>
        <w:rPr>
          <w:spacing w:val="-14"/>
        </w:rPr>
        <w:t xml:space="preserve"> </w:t>
      </w:r>
      <w:r>
        <w:t>infrastructure</w:t>
      </w:r>
      <w:r>
        <w:rPr>
          <w:spacing w:val="-14"/>
        </w:rPr>
        <w:t xml:space="preserve"> </w:t>
      </w:r>
      <w:r>
        <w:t xml:space="preserve">such </w:t>
      </w:r>
      <w:r>
        <w:rPr>
          <w:w w:val="95"/>
        </w:rPr>
        <w:t>as</w:t>
      </w:r>
      <w:r>
        <w:rPr>
          <w:spacing w:val="-5"/>
          <w:w w:val="95"/>
        </w:rPr>
        <w:t xml:space="preserve"> </w:t>
      </w:r>
      <w:r>
        <w:rPr>
          <w:w w:val="95"/>
        </w:rPr>
        <w:t>court</w:t>
      </w:r>
      <w:r>
        <w:rPr>
          <w:spacing w:val="-5"/>
          <w:w w:val="95"/>
        </w:rPr>
        <w:t xml:space="preserve"> </w:t>
      </w:r>
      <w:r>
        <w:rPr>
          <w:w w:val="95"/>
        </w:rPr>
        <w:t>houses,</w:t>
      </w:r>
      <w:r>
        <w:rPr>
          <w:spacing w:val="-5"/>
          <w:w w:val="95"/>
        </w:rPr>
        <w:t xml:space="preserve"> </w:t>
      </w:r>
      <w:r>
        <w:rPr>
          <w:w w:val="95"/>
        </w:rPr>
        <w:t>or</w:t>
      </w:r>
      <w:r>
        <w:rPr>
          <w:spacing w:val="-5"/>
          <w:w w:val="95"/>
        </w:rPr>
        <w:t xml:space="preserve"> </w:t>
      </w:r>
      <w:r>
        <w:rPr>
          <w:w w:val="95"/>
        </w:rPr>
        <w:t>even</w:t>
      </w:r>
      <w:r>
        <w:rPr>
          <w:spacing w:val="-5"/>
          <w:w w:val="95"/>
        </w:rPr>
        <w:t xml:space="preserve"> </w:t>
      </w:r>
      <w:r>
        <w:rPr>
          <w:w w:val="95"/>
        </w:rPr>
        <w:t>the</w:t>
      </w:r>
      <w:r>
        <w:rPr>
          <w:spacing w:val="-5"/>
          <w:w w:val="95"/>
        </w:rPr>
        <w:t xml:space="preserve"> </w:t>
      </w:r>
      <w:r>
        <w:rPr>
          <w:w w:val="95"/>
        </w:rPr>
        <w:t>physical</w:t>
      </w:r>
      <w:r>
        <w:rPr>
          <w:spacing w:val="-5"/>
          <w:w w:val="95"/>
        </w:rPr>
        <w:t xml:space="preserve"> </w:t>
      </w:r>
      <w:r>
        <w:rPr>
          <w:w w:val="95"/>
        </w:rPr>
        <w:t>presence</w:t>
      </w:r>
      <w:r>
        <w:rPr>
          <w:spacing w:val="-5"/>
          <w:w w:val="95"/>
        </w:rPr>
        <w:t xml:space="preserve"> </w:t>
      </w:r>
      <w:r>
        <w:rPr>
          <w:w w:val="95"/>
        </w:rPr>
        <w:t xml:space="preserve">of </w:t>
      </w:r>
      <w:r>
        <w:t>key</w:t>
      </w:r>
      <w:r>
        <w:rPr>
          <w:spacing w:val="-11"/>
        </w:rPr>
        <w:t xml:space="preserve"> </w:t>
      </w:r>
      <w:r>
        <w:t>participants.</w:t>
      </w:r>
    </w:p>
    <w:p w:rsidR="002C1123" w:rsidRDefault="00F22F94">
      <w:pPr>
        <w:pStyle w:val="BodyText"/>
        <w:spacing w:before="144" w:line="249" w:lineRule="auto"/>
        <w:ind w:left="492" w:right="707"/>
      </w:pPr>
      <w:r>
        <w:rPr>
          <w:w w:val="95"/>
        </w:rPr>
        <w:t>Regional</w:t>
      </w:r>
      <w:r>
        <w:rPr>
          <w:spacing w:val="-9"/>
          <w:w w:val="95"/>
        </w:rPr>
        <w:t xml:space="preserve"> </w:t>
      </w:r>
      <w:r>
        <w:rPr>
          <w:w w:val="95"/>
        </w:rPr>
        <w:t>social</w:t>
      </w:r>
      <w:r>
        <w:rPr>
          <w:spacing w:val="-9"/>
          <w:w w:val="95"/>
        </w:rPr>
        <w:t xml:space="preserve"> </w:t>
      </w:r>
      <w:r>
        <w:rPr>
          <w:w w:val="95"/>
        </w:rPr>
        <w:t>infrastructure</w:t>
      </w:r>
      <w:r>
        <w:rPr>
          <w:spacing w:val="-9"/>
          <w:w w:val="95"/>
        </w:rPr>
        <w:t xml:space="preserve"> </w:t>
      </w:r>
      <w:r>
        <w:rPr>
          <w:w w:val="95"/>
        </w:rPr>
        <w:t>issues</w:t>
      </w:r>
      <w:r>
        <w:rPr>
          <w:spacing w:val="-9"/>
          <w:w w:val="95"/>
        </w:rPr>
        <w:t xml:space="preserve"> </w:t>
      </w:r>
      <w:r>
        <w:rPr>
          <w:w w:val="95"/>
        </w:rPr>
        <w:t>are</w:t>
      </w:r>
      <w:r>
        <w:rPr>
          <w:spacing w:val="-9"/>
          <w:w w:val="95"/>
        </w:rPr>
        <w:t xml:space="preserve"> </w:t>
      </w:r>
      <w:r>
        <w:rPr>
          <w:w w:val="95"/>
        </w:rPr>
        <w:t>discussed</w:t>
      </w:r>
      <w:r>
        <w:rPr>
          <w:spacing w:val="-9"/>
          <w:w w:val="95"/>
        </w:rPr>
        <w:t xml:space="preserve"> </w:t>
      </w:r>
      <w:r>
        <w:rPr>
          <w:w w:val="95"/>
        </w:rPr>
        <w:t xml:space="preserve">in </w:t>
      </w:r>
      <w:r>
        <w:t>Section</w:t>
      </w:r>
      <w:r>
        <w:rPr>
          <w:spacing w:val="-11"/>
        </w:rPr>
        <w:t xml:space="preserve"> </w:t>
      </w:r>
      <w:r>
        <w:t>14.</w:t>
      </w:r>
    </w:p>
    <w:p w:rsidR="002C1123" w:rsidRDefault="002C1123">
      <w:pPr>
        <w:spacing w:line="249" w:lineRule="auto"/>
        <w:sectPr w:rsidR="002C1123">
          <w:type w:val="continuous"/>
          <w:pgSz w:w="16840" w:h="11910" w:orient="landscape"/>
          <w:pgMar w:top="560" w:right="280" w:bottom="280" w:left="500" w:header="0" w:footer="517" w:gutter="0"/>
          <w:cols w:num="6" w:space="720" w:equalWidth="0">
            <w:col w:w="2696" w:space="40"/>
            <w:col w:w="810" w:space="39"/>
            <w:col w:w="1213" w:space="40"/>
            <w:col w:w="1026" w:space="40"/>
            <w:col w:w="2553" w:space="1596"/>
            <w:col w:w="6007"/>
          </w:cols>
        </w:sectPr>
      </w:pPr>
    </w:p>
    <w:p w:rsidR="002C1123" w:rsidRDefault="00F22F94">
      <w:pPr>
        <w:tabs>
          <w:tab w:val="left" w:pos="1187"/>
          <w:tab w:val="left" w:pos="2315"/>
          <w:tab w:val="left" w:pos="14023"/>
          <w:tab w:val="left" w:pos="14644"/>
        </w:tabs>
        <w:ind w:left="472"/>
        <w:rPr>
          <w:sz w:val="20"/>
        </w:rPr>
      </w:pPr>
      <w:bookmarkStart w:id="143" w:name="The_Solution"/>
      <w:bookmarkStart w:id="144" w:name="_bookmark104"/>
      <w:bookmarkEnd w:id="143"/>
      <w:bookmarkEnd w:id="144"/>
      <w:r>
        <w:rPr>
          <w:noProof/>
          <w:position w:val="1"/>
          <w:sz w:val="20"/>
        </w:rPr>
        <w:lastRenderedPageBreak/>
        <w:drawing>
          <wp:inline distT="0" distB="0" distL="0" distR="0">
            <wp:extent cx="250303" cy="196024"/>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11" cstate="print"/>
                    <a:stretch>
                      <a:fillRect/>
                    </a:stretch>
                  </pic:blipFill>
                  <pic:spPr>
                    <a:xfrm>
                      <a:off x="0" y="0"/>
                      <a:ext cx="250303" cy="196024"/>
                    </a:xfrm>
                    <a:prstGeom prst="rect">
                      <a:avLst/>
                    </a:prstGeom>
                  </pic:spPr>
                </pic:pic>
              </a:graphicData>
            </a:graphic>
          </wp:inline>
        </w:drawing>
      </w:r>
      <w:r>
        <w:rPr>
          <w:position w:val="1"/>
          <w:sz w:val="20"/>
        </w:rPr>
        <w:tab/>
      </w:r>
      <w:r>
        <w:rPr>
          <w:noProof/>
          <w:sz w:val="20"/>
        </w:rPr>
        <w:drawing>
          <wp:inline distT="0" distB="0" distL="0" distR="0">
            <wp:extent cx="200190" cy="200025"/>
            <wp:effectExtent l="0" t="0" r="0" b="0"/>
            <wp:docPr id="5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png"/>
                    <pic:cNvPicPr/>
                  </pic:nvPicPr>
                  <pic:blipFill>
                    <a:blip r:embed="rId12" cstate="print"/>
                    <a:stretch>
                      <a:fillRect/>
                    </a:stretch>
                  </pic:blipFill>
                  <pic:spPr>
                    <a:xfrm>
                      <a:off x="0" y="0"/>
                      <a:ext cx="200190" cy="200025"/>
                    </a:xfrm>
                    <a:prstGeom prst="rect">
                      <a:avLst/>
                    </a:prstGeom>
                  </pic:spPr>
                </pic:pic>
              </a:graphicData>
            </a:graphic>
          </wp:inline>
        </w:drawing>
      </w:r>
      <w:r>
        <w:rPr>
          <w:sz w:val="20"/>
        </w:rPr>
        <w:tab/>
      </w:r>
      <w:r w:rsidR="002060EF">
        <w:rPr>
          <w:position w:val="1"/>
          <w:sz w:val="20"/>
        </w:rPr>
      </w:r>
      <w:r w:rsidR="002060EF">
        <w:rPr>
          <w:position w:val="1"/>
          <w:sz w:val="20"/>
        </w:rPr>
        <w:pict>
          <v:group id="docshapegroup1015" o:spid="_x0000_s4295" style="width:15.35pt;height:15.35pt;mso-position-horizontal-relative:char;mso-position-vertical-relative:line" coordsize="307,307">
            <v:shape id="docshape1016" o:spid="_x0000_s4296" style="position:absolute;width:307;height:307" coordsize="307,307" o:spt="100" adj="0,,0" path="m240,133r-173,l67,173r173,l240,133xm306,153l294,94,280,72r,81l270,202r-27,41l202,270r-49,10l104,270,64,243,37,202,27,153,37,104,64,64,104,37,153,27r49,10l243,64r27,40l280,153r,-81l261,45,234,27,213,12,153,,94,12,45,45,12,94,,153r12,60l45,261r49,33l153,306r60,-12l234,280r27,-19l294,213r12,-60xe" stroked="f">
              <v:stroke joinstyle="round"/>
              <v:formulas/>
              <v:path arrowok="t" o:connecttype="segments"/>
            </v:shape>
            <w10:anchorlock/>
          </v:group>
        </w:pict>
      </w:r>
      <w:r>
        <w:rPr>
          <w:rFonts w:ascii="Times New Roman"/>
          <w:spacing w:val="60"/>
          <w:position w:val="1"/>
          <w:sz w:val="20"/>
        </w:rPr>
        <w:t xml:space="preserve"> </w:t>
      </w:r>
      <w:r>
        <w:rPr>
          <w:noProof/>
          <w:spacing w:val="60"/>
          <w:sz w:val="20"/>
        </w:rPr>
        <w:drawing>
          <wp:inline distT="0" distB="0" distL="0" distR="0">
            <wp:extent cx="195276" cy="195262"/>
            <wp:effectExtent l="0" t="0" r="0" b="0"/>
            <wp:docPr id="53"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21.png"/>
                    <pic:cNvPicPr/>
                  </pic:nvPicPr>
                  <pic:blipFill>
                    <a:blip r:embed="rId13" cstate="print"/>
                    <a:stretch>
                      <a:fillRect/>
                    </a:stretch>
                  </pic:blipFill>
                  <pic:spPr>
                    <a:xfrm>
                      <a:off x="0" y="0"/>
                      <a:ext cx="195276" cy="195262"/>
                    </a:xfrm>
                    <a:prstGeom prst="rect">
                      <a:avLst/>
                    </a:prstGeom>
                  </pic:spPr>
                </pic:pic>
              </a:graphicData>
            </a:graphic>
          </wp:inline>
        </w:drawing>
      </w:r>
      <w:r>
        <w:rPr>
          <w:spacing w:val="60"/>
          <w:sz w:val="20"/>
        </w:rPr>
        <w:tab/>
      </w:r>
      <w:r>
        <w:rPr>
          <w:noProof/>
          <w:spacing w:val="60"/>
          <w:sz w:val="20"/>
        </w:rPr>
        <w:drawing>
          <wp:inline distT="0" distB="0" distL="0" distR="0">
            <wp:extent cx="210415" cy="200025"/>
            <wp:effectExtent l="0" t="0" r="0" b="0"/>
            <wp:docPr id="5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png"/>
                    <pic:cNvPicPr/>
                  </pic:nvPicPr>
                  <pic:blipFill>
                    <a:blip r:embed="rId14" cstate="print"/>
                    <a:stretch>
                      <a:fillRect/>
                    </a:stretch>
                  </pic:blipFill>
                  <pic:spPr>
                    <a:xfrm>
                      <a:off x="0" y="0"/>
                      <a:ext cx="210415" cy="200025"/>
                    </a:xfrm>
                    <a:prstGeom prst="rect">
                      <a:avLst/>
                    </a:prstGeom>
                  </pic:spPr>
                </pic:pic>
              </a:graphicData>
            </a:graphic>
          </wp:inline>
        </w:drawing>
      </w:r>
      <w:r>
        <w:rPr>
          <w:spacing w:val="60"/>
          <w:sz w:val="20"/>
        </w:rPr>
        <w:tab/>
      </w:r>
      <w:r>
        <w:rPr>
          <w:noProof/>
          <w:spacing w:val="60"/>
          <w:sz w:val="20"/>
        </w:rPr>
        <w:drawing>
          <wp:inline distT="0" distB="0" distL="0" distR="0">
            <wp:extent cx="195268" cy="195262"/>
            <wp:effectExtent l="0" t="0" r="0" b="0"/>
            <wp:docPr id="57"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22.png"/>
                    <pic:cNvPicPr/>
                  </pic:nvPicPr>
                  <pic:blipFill>
                    <a:blip r:embed="rId15" cstate="print"/>
                    <a:stretch>
                      <a:fillRect/>
                    </a:stretch>
                  </pic:blipFill>
                  <pic:spPr>
                    <a:xfrm>
                      <a:off x="0" y="0"/>
                      <a:ext cx="195268" cy="195262"/>
                    </a:xfrm>
                    <a:prstGeom prst="rect">
                      <a:avLst/>
                    </a:prstGeom>
                  </pic:spPr>
                </pic:pic>
              </a:graphicData>
            </a:graphic>
          </wp:inline>
        </w:drawing>
      </w:r>
      <w:r>
        <w:rPr>
          <w:rFonts w:ascii="Times New Roman"/>
          <w:spacing w:val="55"/>
          <w:sz w:val="20"/>
        </w:rPr>
        <w:t xml:space="preserve"> </w:t>
      </w:r>
      <w:r>
        <w:rPr>
          <w:noProof/>
          <w:spacing w:val="55"/>
          <w:sz w:val="20"/>
        </w:rPr>
        <w:drawing>
          <wp:inline distT="0" distB="0" distL="0" distR="0">
            <wp:extent cx="195268" cy="195262"/>
            <wp:effectExtent l="0" t="0" r="0" b="0"/>
            <wp:docPr id="59"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23.png"/>
                    <pic:cNvPicPr/>
                  </pic:nvPicPr>
                  <pic:blipFill>
                    <a:blip r:embed="rId16" cstate="print"/>
                    <a:stretch>
                      <a:fillRect/>
                    </a:stretch>
                  </pic:blipFill>
                  <pic:spPr>
                    <a:xfrm>
                      <a:off x="0" y="0"/>
                      <a:ext cx="195268" cy="195262"/>
                    </a:xfrm>
                    <a:prstGeom prst="rect">
                      <a:avLst/>
                    </a:prstGeom>
                  </pic:spPr>
                </pic:pic>
              </a:graphicData>
            </a:graphic>
          </wp:inline>
        </w:drawing>
      </w:r>
    </w:p>
    <w:p w:rsidR="002C1123" w:rsidRDefault="002C1123">
      <w:pPr>
        <w:pStyle w:val="BodyText"/>
      </w:pPr>
    </w:p>
    <w:p w:rsidR="002C1123" w:rsidRDefault="002C1123">
      <w:pPr>
        <w:pStyle w:val="BodyText"/>
      </w:pPr>
    </w:p>
    <w:p w:rsidR="002C1123" w:rsidRDefault="002C1123">
      <w:pPr>
        <w:sectPr w:rsidR="002C1123">
          <w:headerReference w:type="default" r:id="rId121"/>
          <w:footerReference w:type="default" r:id="rId122"/>
          <w:pgSz w:w="16840" w:h="11910" w:orient="landscape"/>
          <w:pgMar w:top="140" w:right="280" w:bottom="280" w:left="500" w:header="0" w:footer="0" w:gutter="0"/>
          <w:cols w:space="720"/>
        </w:sectPr>
      </w:pPr>
    </w:p>
    <w:p w:rsidR="002C1123" w:rsidRDefault="00F22F94">
      <w:pPr>
        <w:spacing w:before="219" w:line="3397" w:lineRule="exact"/>
        <w:ind w:left="344"/>
        <w:rPr>
          <w:rFonts w:ascii="Trebuchet MS"/>
          <w:sz w:val="344"/>
        </w:rPr>
      </w:pPr>
      <w:bookmarkStart w:id="145" w:name="_bookmark103"/>
      <w:bookmarkEnd w:id="145"/>
      <w:r>
        <w:rPr>
          <w:rFonts w:ascii="Trebuchet MS"/>
          <w:color w:val="2E3092"/>
          <w:spacing w:val="-64"/>
          <w:w w:val="55"/>
          <w:sz w:val="344"/>
        </w:rPr>
        <w:t>the</w:t>
      </w:r>
    </w:p>
    <w:p w:rsidR="002C1123" w:rsidRDefault="00F22F94">
      <w:pPr>
        <w:spacing w:line="2388" w:lineRule="exact"/>
        <w:ind w:left="344"/>
        <w:rPr>
          <w:rFonts w:ascii="Trebuchet MS"/>
          <w:sz w:val="344"/>
        </w:rPr>
      </w:pPr>
      <w:r>
        <w:rPr>
          <w:rFonts w:ascii="Trebuchet MS"/>
          <w:color w:val="2E3092"/>
          <w:spacing w:val="-55"/>
          <w:w w:val="55"/>
          <w:sz w:val="344"/>
        </w:rPr>
        <w:t>solution</w:t>
      </w:r>
    </w:p>
    <w:p w:rsidR="002C1123" w:rsidRDefault="00F22F94">
      <w:pPr>
        <w:rPr>
          <w:rFonts w:ascii="Trebuchet MS"/>
          <w:sz w:val="42"/>
        </w:rPr>
      </w:pPr>
      <w:r>
        <w:br w:type="column"/>
      </w:r>
    </w:p>
    <w:p w:rsidR="002C1123" w:rsidRDefault="002C1123">
      <w:pPr>
        <w:pStyle w:val="BodyText"/>
        <w:rPr>
          <w:rFonts w:ascii="Trebuchet MS"/>
          <w:sz w:val="42"/>
        </w:rPr>
      </w:pPr>
    </w:p>
    <w:p w:rsidR="002C1123" w:rsidRDefault="002C1123">
      <w:pPr>
        <w:pStyle w:val="BodyText"/>
        <w:rPr>
          <w:rFonts w:ascii="Trebuchet MS"/>
          <w:sz w:val="42"/>
        </w:rPr>
      </w:pPr>
    </w:p>
    <w:p w:rsidR="002C1123" w:rsidRDefault="002C1123">
      <w:pPr>
        <w:pStyle w:val="BodyText"/>
        <w:rPr>
          <w:rFonts w:ascii="Trebuchet MS"/>
          <w:sz w:val="42"/>
        </w:rPr>
      </w:pPr>
    </w:p>
    <w:p w:rsidR="002C1123" w:rsidRDefault="002C1123">
      <w:pPr>
        <w:pStyle w:val="BodyText"/>
        <w:rPr>
          <w:rFonts w:ascii="Trebuchet MS"/>
          <w:sz w:val="42"/>
        </w:rPr>
      </w:pPr>
    </w:p>
    <w:p w:rsidR="002C1123" w:rsidRDefault="002C1123">
      <w:pPr>
        <w:pStyle w:val="BodyText"/>
        <w:rPr>
          <w:rFonts w:ascii="Trebuchet MS"/>
          <w:sz w:val="42"/>
        </w:rPr>
      </w:pPr>
    </w:p>
    <w:p w:rsidR="002C1123" w:rsidRDefault="002C1123">
      <w:pPr>
        <w:pStyle w:val="BodyText"/>
        <w:rPr>
          <w:rFonts w:ascii="Trebuchet MS"/>
          <w:sz w:val="42"/>
        </w:rPr>
      </w:pPr>
    </w:p>
    <w:p w:rsidR="002C1123" w:rsidRDefault="002C1123">
      <w:pPr>
        <w:pStyle w:val="BodyText"/>
        <w:rPr>
          <w:rFonts w:ascii="Trebuchet MS"/>
          <w:sz w:val="42"/>
        </w:rPr>
      </w:pPr>
    </w:p>
    <w:p w:rsidR="002C1123" w:rsidRDefault="002C1123">
      <w:pPr>
        <w:pStyle w:val="BodyText"/>
        <w:spacing w:before="3"/>
        <w:rPr>
          <w:rFonts w:ascii="Trebuchet MS"/>
          <w:sz w:val="33"/>
        </w:rPr>
      </w:pPr>
    </w:p>
    <w:p w:rsidR="002C1123" w:rsidRDefault="00F22F94">
      <w:pPr>
        <w:pStyle w:val="Heading4"/>
        <w:spacing w:line="254" w:lineRule="auto"/>
        <w:ind w:left="344" w:right="830"/>
      </w:pPr>
      <w:r>
        <w:rPr>
          <w:color w:val="FFFFFF"/>
        </w:rPr>
        <w:t>Securing</w:t>
      </w:r>
      <w:r>
        <w:rPr>
          <w:color w:val="FFFFFF"/>
          <w:spacing w:val="-20"/>
        </w:rPr>
        <w:t xml:space="preserve"> </w:t>
      </w:r>
      <w:r>
        <w:rPr>
          <w:color w:val="FFFFFF"/>
        </w:rPr>
        <w:t>the</w:t>
      </w:r>
      <w:r>
        <w:rPr>
          <w:color w:val="FFFFFF"/>
          <w:spacing w:val="-20"/>
        </w:rPr>
        <w:t xml:space="preserve"> </w:t>
      </w:r>
      <w:r>
        <w:rPr>
          <w:color w:val="FFFFFF"/>
        </w:rPr>
        <w:t>networks</w:t>
      </w:r>
      <w:r>
        <w:rPr>
          <w:color w:val="FFFFFF"/>
          <w:spacing w:val="-20"/>
        </w:rPr>
        <w:t xml:space="preserve"> </w:t>
      </w:r>
      <w:r>
        <w:rPr>
          <w:color w:val="FFFFFF"/>
        </w:rPr>
        <w:t>required</w:t>
      </w:r>
      <w:r>
        <w:rPr>
          <w:color w:val="FFFFFF"/>
          <w:spacing w:val="-20"/>
        </w:rPr>
        <w:t xml:space="preserve"> </w:t>
      </w:r>
      <w:r>
        <w:rPr>
          <w:color w:val="FFFFFF"/>
        </w:rPr>
        <w:t>to</w:t>
      </w:r>
      <w:r>
        <w:rPr>
          <w:color w:val="FFFFFF"/>
          <w:spacing w:val="-20"/>
        </w:rPr>
        <w:t xml:space="preserve"> </w:t>
      </w:r>
      <w:r>
        <w:rPr>
          <w:color w:val="FFFFFF"/>
        </w:rPr>
        <w:t>enable</w:t>
      </w:r>
      <w:r>
        <w:rPr>
          <w:color w:val="FFFFFF"/>
          <w:spacing w:val="-20"/>
        </w:rPr>
        <w:t xml:space="preserve"> </w:t>
      </w:r>
      <w:r>
        <w:rPr>
          <w:color w:val="FFFFFF"/>
        </w:rPr>
        <w:t xml:space="preserve">the </w:t>
      </w:r>
      <w:r>
        <w:rPr>
          <w:color w:val="FFFFFF"/>
          <w:w w:val="95"/>
        </w:rPr>
        <w:t xml:space="preserve">efficient flow of people, goods and information </w:t>
      </w:r>
      <w:r>
        <w:rPr>
          <w:color w:val="FFFFFF"/>
        </w:rPr>
        <w:t>is</w:t>
      </w:r>
      <w:r>
        <w:rPr>
          <w:color w:val="FFFFFF"/>
          <w:spacing w:val="-9"/>
        </w:rPr>
        <w:t xml:space="preserve"> </w:t>
      </w:r>
      <w:r>
        <w:rPr>
          <w:color w:val="FFFFFF"/>
        </w:rPr>
        <w:t>key</w:t>
      </w:r>
      <w:r>
        <w:rPr>
          <w:color w:val="FFFFFF"/>
          <w:spacing w:val="-9"/>
        </w:rPr>
        <w:t xml:space="preserve"> </w:t>
      </w:r>
      <w:r>
        <w:rPr>
          <w:color w:val="FFFFFF"/>
        </w:rPr>
        <w:t>to</w:t>
      </w:r>
      <w:r>
        <w:rPr>
          <w:color w:val="FFFFFF"/>
          <w:spacing w:val="-9"/>
        </w:rPr>
        <w:t xml:space="preserve"> </w:t>
      </w:r>
      <w:r>
        <w:rPr>
          <w:color w:val="FFFFFF"/>
        </w:rPr>
        <w:t>the</w:t>
      </w:r>
      <w:r>
        <w:rPr>
          <w:color w:val="FFFFFF"/>
          <w:spacing w:val="-9"/>
        </w:rPr>
        <w:t xml:space="preserve"> </w:t>
      </w:r>
      <w:r>
        <w:rPr>
          <w:color w:val="FFFFFF"/>
        </w:rPr>
        <w:t>success</w:t>
      </w:r>
      <w:r>
        <w:rPr>
          <w:color w:val="FFFFFF"/>
          <w:spacing w:val="-9"/>
        </w:rPr>
        <w:t xml:space="preserve"> </w:t>
      </w:r>
      <w:r>
        <w:rPr>
          <w:color w:val="FFFFFF"/>
        </w:rPr>
        <w:t>of</w:t>
      </w:r>
      <w:r>
        <w:rPr>
          <w:color w:val="FFFFFF"/>
          <w:spacing w:val="-9"/>
        </w:rPr>
        <w:t xml:space="preserve"> </w:t>
      </w:r>
      <w:r>
        <w:rPr>
          <w:color w:val="FFFFFF"/>
        </w:rPr>
        <w:t>NSW.</w:t>
      </w:r>
    </w:p>
    <w:p w:rsidR="002C1123" w:rsidRDefault="002C1123">
      <w:pPr>
        <w:spacing w:line="254" w:lineRule="auto"/>
        <w:sectPr w:rsidR="002C1123">
          <w:type w:val="continuous"/>
          <w:pgSz w:w="16840" w:h="11910" w:orient="landscape"/>
          <w:pgMar w:top="560" w:right="280" w:bottom="280" w:left="500" w:header="0" w:footer="0" w:gutter="0"/>
          <w:cols w:num="2" w:space="720" w:equalWidth="0">
            <w:col w:w="6859" w:space="828"/>
            <w:col w:w="8373"/>
          </w:cols>
        </w:sectPr>
      </w:pPr>
    </w:p>
    <w:p w:rsidR="002C1123" w:rsidRDefault="002060EF">
      <w:pPr>
        <w:pStyle w:val="BodyText"/>
        <w:spacing w:before="6" w:line="249" w:lineRule="auto"/>
        <w:ind w:left="8032"/>
      </w:pPr>
      <w:r>
        <w:pict>
          <v:rect id="docshape1017" o:spid="_x0000_s4294" style="position:absolute;left:0;text-align:left;margin-left:0;margin-top:0;width:841.9pt;height:595.3pt;z-index:-251500544;mso-position-horizontal-relative:page;mso-position-vertical-relative:page" fillcolor="#00aeef" stroked="f">
            <w10:wrap anchorx="page" anchory="page"/>
          </v:rect>
        </w:pict>
      </w:r>
      <w:r w:rsidR="00F22F94">
        <w:rPr>
          <w:color w:val="FFFFFF"/>
          <w:w w:val="95"/>
        </w:rPr>
        <w:t>At</w:t>
      </w:r>
      <w:r w:rsidR="00F22F94">
        <w:rPr>
          <w:color w:val="FFFFFF"/>
          <w:spacing w:val="-6"/>
          <w:w w:val="95"/>
        </w:rPr>
        <w:t xml:space="preserve"> </w:t>
      </w:r>
      <w:r w:rsidR="00F22F94">
        <w:rPr>
          <w:color w:val="FFFFFF"/>
          <w:w w:val="95"/>
        </w:rPr>
        <w:t>the</w:t>
      </w:r>
      <w:r w:rsidR="00F22F94">
        <w:rPr>
          <w:color w:val="FFFFFF"/>
          <w:spacing w:val="-6"/>
          <w:w w:val="95"/>
        </w:rPr>
        <w:t xml:space="preserve"> </w:t>
      </w:r>
      <w:r w:rsidR="00F22F94">
        <w:rPr>
          <w:color w:val="FFFFFF"/>
          <w:w w:val="95"/>
        </w:rPr>
        <w:t>same</w:t>
      </w:r>
      <w:r w:rsidR="00F22F94">
        <w:rPr>
          <w:color w:val="FFFFFF"/>
          <w:spacing w:val="-6"/>
          <w:w w:val="95"/>
        </w:rPr>
        <w:t xml:space="preserve"> </w:t>
      </w:r>
      <w:r w:rsidR="00F22F94">
        <w:rPr>
          <w:color w:val="FFFFFF"/>
          <w:w w:val="95"/>
        </w:rPr>
        <w:t>time,</w:t>
      </w:r>
      <w:r w:rsidR="00F22F94">
        <w:rPr>
          <w:color w:val="FFFFFF"/>
          <w:spacing w:val="-6"/>
          <w:w w:val="95"/>
        </w:rPr>
        <w:t xml:space="preserve"> </w:t>
      </w:r>
      <w:r w:rsidR="00F22F94">
        <w:rPr>
          <w:color w:val="FFFFFF"/>
          <w:w w:val="95"/>
        </w:rPr>
        <w:t xml:space="preserve">ensuring </w:t>
      </w:r>
      <w:r w:rsidR="00F22F94">
        <w:rPr>
          <w:color w:val="FFFFFF"/>
        </w:rPr>
        <w:t>the fundamentals of community wellbeing in health and education are in place is important.</w:t>
      </w:r>
    </w:p>
    <w:p w:rsidR="002C1123" w:rsidRDefault="00F22F94">
      <w:pPr>
        <w:pStyle w:val="BodyText"/>
        <w:spacing w:before="6" w:line="249" w:lineRule="auto"/>
        <w:ind w:left="195"/>
      </w:pPr>
      <w:r>
        <w:br w:type="column"/>
      </w:r>
      <w:r>
        <w:rPr>
          <w:color w:val="FFFFFF"/>
          <w:w w:val="95"/>
        </w:rPr>
        <w:t>The</w:t>
      </w:r>
      <w:r>
        <w:rPr>
          <w:color w:val="FFFFFF"/>
          <w:spacing w:val="-8"/>
          <w:w w:val="95"/>
        </w:rPr>
        <w:t xml:space="preserve"> </w:t>
      </w:r>
      <w:r>
        <w:rPr>
          <w:color w:val="FFFFFF"/>
          <w:w w:val="95"/>
        </w:rPr>
        <w:t>solutions</w:t>
      </w:r>
      <w:r>
        <w:rPr>
          <w:color w:val="FFFFFF"/>
          <w:spacing w:val="-8"/>
          <w:w w:val="95"/>
        </w:rPr>
        <w:t xml:space="preserve"> </w:t>
      </w:r>
      <w:r>
        <w:rPr>
          <w:color w:val="FFFFFF"/>
          <w:w w:val="95"/>
        </w:rPr>
        <w:t xml:space="preserve">recommend </w:t>
      </w:r>
      <w:r>
        <w:rPr>
          <w:color w:val="FFFFFF"/>
        </w:rPr>
        <w:t>completing the missing motorways, fixing public transport, decongesting freight links and</w:t>
      </w:r>
    </w:p>
    <w:p w:rsidR="002C1123" w:rsidRDefault="00F22F94">
      <w:pPr>
        <w:pStyle w:val="BodyText"/>
        <w:spacing w:before="6" w:line="249" w:lineRule="auto"/>
        <w:ind w:left="262" w:right="658"/>
      </w:pPr>
      <w:r>
        <w:br w:type="column"/>
      </w:r>
      <w:r>
        <w:rPr>
          <w:color w:val="FFFFFF"/>
        </w:rPr>
        <w:t xml:space="preserve">investing in schools and hospitals. This strategy also recommends safer regional water supplies </w:t>
      </w:r>
      <w:r>
        <w:rPr>
          <w:color w:val="FFFFFF"/>
          <w:w w:val="95"/>
        </w:rPr>
        <w:t>and</w:t>
      </w:r>
      <w:r>
        <w:rPr>
          <w:color w:val="FFFFFF"/>
          <w:spacing w:val="-3"/>
          <w:w w:val="95"/>
        </w:rPr>
        <w:t xml:space="preserve"> </w:t>
      </w:r>
      <w:r>
        <w:rPr>
          <w:color w:val="FFFFFF"/>
          <w:w w:val="95"/>
        </w:rPr>
        <w:t>containing</w:t>
      </w:r>
      <w:r>
        <w:rPr>
          <w:color w:val="FFFFFF"/>
          <w:spacing w:val="-3"/>
          <w:w w:val="95"/>
        </w:rPr>
        <w:t xml:space="preserve"> </w:t>
      </w:r>
      <w:r>
        <w:rPr>
          <w:color w:val="FFFFFF"/>
          <w:w w:val="95"/>
        </w:rPr>
        <w:t>flood</w:t>
      </w:r>
      <w:r>
        <w:rPr>
          <w:color w:val="FFFFFF"/>
          <w:spacing w:val="-3"/>
          <w:w w:val="95"/>
        </w:rPr>
        <w:t xml:space="preserve"> </w:t>
      </w:r>
      <w:r>
        <w:rPr>
          <w:color w:val="FFFFFF"/>
          <w:w w:val="95"/>
        </w:rPr>
        <w:t>risks.</w:t>
      </w:r>
    </w:p>
    <w:p w:rsidR="002C1123" w:rsidRDefault="002C1123">
      <w:pPr>
        <w:spacing w:line="249" w:lineRule="auto"/>
        <w:sectPr w:rsidR="002C1123">
          <w:type w:val="continuous"/>
          <w:pgSz w:w="16840" w:h="11910" w:orient="landscape"/>
          <w:pgMar w:top="560" w:right="280" w:bottom="280" w:left="500" w:header="0" w:footer="0" w:gutter="0"/>
          <w:cols w:num="3" w:space="720" w:equalWidth="0">
            <w:col w:w="10311" w:space="40"/>
            <w:col w:w="2407" w:space="39"/>
            <w:col w:w="3263"/>
          </w:cols>
        </w:sectPr>
      </w:pPr>
    </w:p>
    <w:p w:rsidR="002C1123" w:rsidRDefault="002C1123">
      <w:pPr>
        <w:pStyle w:val="BodyText"/>
      </w:pPr>
    </w:p>
    <w:p w:rsidR="002C1123" w:rsidRDefault="002C1123">
      <w:pPr>
        <w:sectPr w:rsidR="002C1123">
          <w:headerReference w:type="default" r:id="rId123"/>
          <w:footerReference w:type="default" r:id="rId124"/>
          <w:pgSz w:w="16840" w:h="11910" w:orient="landscape"/>
          <w:pgMar w:top="560" w:right="280" w:bottom="700" w:left="500" w:header="0" w:footer="517" w:gutter="0"/>
          <w:pgNumType w:start="77"/>
          <w:cols w:space="720"/>
        </w:sectPr>
      </w:pPr>
    </w:p>
    <w:p w:rsidR="002C1123" w:rsidRDefault="002060EF">
      <w:pPr>
        <w:pStyle w:val="Heading1"/>
      </w:pPr>
      <w:r>
        <w:pict>
          <v:rect id="docshape1029" o:spid="_x0000_s4293" style="position:absolute;left:0;text-align:left;margin-left:38.25pt;margin-top:80.8pt;width:502.7pt;height:422.35pt;z-index:-251499520;mso-position-horizontal-relative:page" fillcolor="#e1e0e1" stroked="f">
            <w10:wrap anchorx="page"/>
          </v:rect>
        </w:pict>
      </w:r>
      <w:bookmarkStart w:id="146" w:name="6.0_Urban_roads_"/>
      <w:bookmarkStart w:id="147" w:name="6.1_Snapshot_"/>
      <w:bookmarkStart w:id="148" w:name="_bookmark106"/>
      <w:bookmarkStart w:id="149" w:name="_bookmark105"/>
      <w:bookmarkEnd w:id="146"/>
      <w:bookmarkEnd w:id="147"/>
      <w:bookmarkEnd w:id="148"/>
      <w:bookmarkEnd w:id="149"/>
      <w:r w:rsidR="00F22F94">
        <w:rPr>
          <w:color w:val="2E3092"/>
          <w:w w:val="55"/>
        </w:rPr>
        <w:t>6.0</w:t>
      </w:r>
      <w:r w:rsidR="00F22F94">
        <w:rPr>
          <w:color w:val="2E3092"/>
          <w:spacing w:val="-131"/>
        </w:rPr>
        <w:t xml:space="preserve"> </w:t>
      </w:r>
      <w:r w:rsidR="00F22F94">
        <w:rPr>
          <w:color w:val="00AEEF"/>
          <w:w w:val="55"/>
        </w:rPr>
        <w:t>Urban</w:t>
      </w:r>
      <w:r w:rsidR="00F22F94">
        <w:rPr>
          <w:color w:val="00AEEF"/>
          <w:spacing w:val="-137"/>
        </w:rPr>
        <w:t xml:space="preserve"> </w:t>
      </w:r>
      <w:r w:rsidR="00F22F94">
        <w:rPr>
          <w:color w:val="00AEEF"/>
          <w:spacing w:val="-4"/>
          <w:w w:val="55"/>
        </w:rPr>
        <w:t>roads</w:t>
      </w:r>
    </w:p>
    <w:p w:rsidR="002C1123" w:rsidRDefault="00F22F94">
      <w:pPr>
        <w:pStyle w:val="Heading5"/>
        <w:spacing w:before="210"/>
        <w:ind w:left="492" w:firstLine="0"/>
      </w:pPr>
      <w:r>
        <w:rPr>
          <w:color w:val="00AEEF"/>
          <w:spacing w:val="-2"/>
        </w:rPr>
        <w:t>Summary</w:t>
      </w:r>
    </w:p>
    <w:p w:rsidR="002C1123" w:rsidRDefault="00F22F94">
      <w:pPr>
        <w:pStyle w:val="ListParagraph"/>
        <w:numPr>
          <w:ilvl w:val="0"/>
          <w:numId w:val="7"/>
        </w:numPr>
        <w:tabs>
          <w:tab w:val="left" w:pos="776"/>
        </w:tabs>
        <w:spacing w:before="122" w:line="249" w:lineRule="auto"/>
        <w:ind w:right="163"/>
        <w:rPr>
          <w:sz w:val="20"/>
        </w:rPr>
      </w:pPr>
      <w:r>
        <w:rPr>
          <w:sz w:val="20"/>
        </w:rPr>
        <w:t>Sydney’s</w:t>
      </w:r>
      <w:r>
        <w:rPr>
          <w:spacing w:val="-4"/>
          <w:sz w:val="20"/>
        </w:rPr>
        <w:t xml:space="preserve"> </w:t>
      </w:r>
      <w:r>
        <w:rPr>
          <w:sz w:val="20"/>
        </w:rPr>
        <w:t>road</w:t>
      </w:r>
      <w:r>
        <w:rPr>
          <w:spacing w:val="-4"/>
          <w:sz w:val="20"/>
        </w:rPr>
        <w:t xml:space="preserve"> </w:t>
      </w:r>
      <w:r>
        <w:rPr>
          <w:sz w:val="20"/>
        </w:rPr>
        <w:t>network</w:t>
      </w:r>
      <w:r>
        <w:rPr>
          <w:spacing w:val="-4"/>
          <w:sz w:val="20"/>
        </w:rPr>
        <w:t xml:space="preserve"> </w:t>
      </w:r>
      <w:r>
        <w:rPr>
          <w:sz w:val="20"/>
        </w:rPr>
        <w:t>serves</w:t>
      </w:r>
      <w:r>
        <w:rPr>
          <w:spacing w:val="-4"/>
          <w:sz w:val="20"/>
        </w:rPr>
        <w:t xml:space="preserve"> </w:t>
      </w:r>
      <w:r>
        <w:rPr>
          <w:sz w:val="20"/>
        </w:rPr>
        <w:t>93</w:t>
      </w:r>
      <w:r>
        <w:rPr>
          <w:spacing w:val="-4"/>
          <w:sz w:val="20"/>
        </w:rPr>
        <w:t xml:space="preserve"> </w:t>
      </w:r>
      <w:r>
        <w:rPr>
          <w:sz w:val="20"/>
        </w:rPr>
        <w:t>percent</w:t>
      </w:r>
      <w:r>
        <w:rPr>
          <w:spacing w:val="-4"/>
          <w:sz w:val="20"/>
        </w:rPr>
        <w:t xml:space="preserve"> </w:t>
      </w:r>
      <w:r>
        <w:rPr>
          <w:sz w:val="20"/>
        </w:rPr>
        <w:t>of passenger</w:t>
      </w:r>
      <w:r>
        <w:rPr>
          <w:spacing w:val="-14"/>
          <w:sz w:val="20"/>
        </w:rPr>
        <w:t xml:space="preserve"> </w:t>
      </w:r>
      <w:r>
        <w:rPr>
          <w:sz w:val="20"/>
        </w:rPr>
        <w:t>journey</w:t>
      </w:r>
      <w:r>
        <w:rPr>
          <w:spacing w:val="-14"/>
          <w:sz w:val="20"/>
        </w:rPr>
        <w:t xml:space="preserve"> </w:t>
      </w:r>
      <w:r>
        <w:rPr>
          <w:sz w:val="20"/>
        </w:rPr>
        <w:t>and</w:t>
      </w:r>
      <w:r>
        <w:rPr>
          <w:spacing w:val="-14"/>
          <w:sz w:val="20"/>
        </w:rPr>
        <w:t xml:space="preserve"> </w:t>
      </w:r>
      <w:r>
        <w:rPr>
          <w:sz w:val="20"/>
        </w:rPr>
        <w:t>86</w:t>
      </w:r>
      <w:r>
        <w:rPr>
          <w:spacing w:val="-14"/>
          <w:sz w:val="20"/>
        </w:rPr>
        <w:t xml:space="preserve"> </w:t>
      </w:r>
      <w:r>
        <w:rPr>
          <w:sz w:val="20"/>
        </w:rPr>
        <w:t>percent</w:t>
      </w:r>
      <w:r>
        <w:rPr>
          <w:spacing w:val="-14"/>
          <w:sz w:val="20"/>
        </w:rPr>
        <w:t xml:space="preserve"> </w:t>
      </w:r>
      <w:r>
        <w:rPr>
          <w:sz w:val="20"/>
        </w:rPr>
        <w:t>of</w:t>
      </w:r>
      <w:r>
        <w:rPr>
          <w:spacing w:val="-14"/>
          <w:sz w:val="20"/>
        </w:rPr>
        <w:t xml:space="preserve"> </w:t>
      </w:r>
      <w:r>
        <w:rPr>
          <w:sz w:val="20"/>
        </w:rPr>
        <w:t>port</w:t>
      </w:r>
      <w:r>
        <w:rPr>
          <w:spacing w:val="-14"/>
          <w:sz w:val="20"/>
        </w:rPr>
        <w:t xml:space="preserve"> </w:t>
      </w:r>
      <w:r>
        <w:rPr>
          <w:sz w:val="20"/>
        </w:rPr>
        <w:t>freight movements.</w:t>
      </w:r>
      <w:r>
        <w:rPr>
          <w:spacing w:val="-8"/>
          <w:sz w:val="20"/>
        </w:rPr>
        <w:t xml:space="preserve"> </w:t>
      </w:r>
      <w:r>
        <w:rPr>
          <w:sz w:val="20"/>
        </w:rPr>
        <w:t>Even</w:t>
      </w:r>
      <w:r>
        <w:rPr>
          <w:spacing w:val="-8"/>
          <w:sz w:val="20"/>
        </w:rPr>
        <w:t xml:space="preserve"> </w:t>
      </w:r>
      <w:r>
        <w:rPr>
          <w:sz w:val="20"/>
        </w:rPr>
        <w:t>under</w:t>
      </w:r>
      <w:r>
        <w:rPr>
          <w:spacing w:val="-8"/>
          <w:sz w:val="20"/>
        </w:rPr>
        <w:t xml:space="preserve"> </w:t>
      </w:r>
      <w:r>
        <w:rPr>
          <w:sz w:val="20"/>
        </w:rPr>
        <w:t>high</w:t>
      </w:r>
      <w:r>
        <w:rPr>
          <w:spacing w:val="-8"/>
          <w:sz w:val="20"/>
        </w:rPr>
        <w:t xml:space="preserve"> </w:t>
      </w:r>
      <w:r>
        <w:rPr>
          <w:sz w:val="20"/>
        </w:rPr>
        <w:t>growth</w:t>
      </w:r>
      <w:r>
        <w:rPr>
          <w:spacing w:val="-8"/>
          <w:sz w:val="20"/>
        </w:rPr>
        <w:t xml:space="preserve"> </w:t>
      </w:r>
      <w:r>
        <w:rPr>
          <w:sz w:val="20"/>
        </w:rPr>
        <w:t xml:space="preserve">scenarios </w:t>
      </w:r>
      <w:r>
        <w:rPr>
          <w:w w:val="95"/>
          <w:sz w:val="20"/>
        </w:rPr>
        <w:t>for</w:t>
      </w:r>
      <w:r>
        <w:rPr>
          <w:spacing w:val="-1"/>
          <w:w w:val="95"/>
          <w:sz w:val="20"/>
        </w:rPr>
        <w:t xml:space="preserve"> </w:t>
      </w:r>
      <w:r>
        <w:rPr>
          <w:w w:val="95"/>
          <w:sz w:val="20"/>
        </w:rPr>
        <w:t>rail</w:t>
      </w:r>
      <w:r>
        <w:rPr>
          <w:spacing w:val="-1"/>
          <w:w w:val="95"/>
          <w:sz w:val="20"/>
        </w:rPr>
        <w:t xml:space="preserve"> </w:t>
      </w:r>
      <w:r>
        <w:rPr>
          <w:w w:val="95"/>
          <w:sz w:val="20"/>
        </w:rPr>
        <w:t>freight</w:t>
      </w:r>
      <w:r>
        <w:rPr>
          <w:spacing w:val="-1"/>
          <w:w w:val="95"/>
          <w:sz w:val="20"/>
        </w:rPr>
        <w:t xml:space="preserve"> </w:t>
      </w:r>
      <w:r>
        <w:rPr>
          <w:w w:val="95"/>
          <w:sz w:val="20"/>
        </w:rPr>
        <w:t>and</w:t>
      </w:r>
      <w:r>
        <w:rPr>
          <w:spacing w:val="-1"/>
          <w:w w:val="95"/>
          <w:sz w:val="20"/>
        </w:rPr>
        <w:t xml:space="preserve"> </w:t>
      </w:r>
      <w:r>
        <w:rPr>
          <w:w w:val="95"/>
          <w:sz w:val="20"/>
        </w:rPr>
        <w:t>public</w:t>
      </w:r>
      <w:r>
        <w:rPr>
          <w:spacing w:val="-1"/>
          <w:w w:val="95"/>
          <w:sz w:val="20"/>
        </w:rPr>
        <w:t xml:space="preserve"> </w:t>
      </w:r>
      <w:r>
        <w:rPr>
          <w:w w:val="95"/>
          <w:sz w:val="20"/>
        </w:rPr>
        <w:t>transport,</w:t>
      </w:r>
      <w:r>
        <w:rPr>
          <w:spacing w:val="-1"/>
          <w:w w:val="95"/>
          <w:sz w:val="20"/>
        </w:rPr>
        <w:t xml:space="preserve"> </w:t>
      </w:r>
      <w:r>
        <w:rPr>
          <w:w w:val="95"/>
          <w:sz w:val="20"/>
        </w:rPr>
        <w:t>most</w:t>
      </w:r>
      <w:r>
        <w:rPr>
          <w:spacing w:val="-1"/>
          <w:w w:val="95"/>
          <w:sz w:val="20"/>
        </w:rPr>
        <w:t xml:space="preserve"> </w:t>
      </w:r>
      <w:r>
        <w:rPr>
          <w:w w:val="95"/>
          <w:sz w:val="20"/>
        </w:rPr>
        <w:t>growth</w:t>
      </w:r>
      <w:r>
        <w:rPr>
          <w:spacing w:val="-1"/>
          <w:w w:val="95"/>
          <w:sz w:val="20"/>
        </w:rPr>
        <w:t xml:space="preserve"> </w:t>
      </w:r>
      <w:r>
        <w:rPr>
          <w:w w:val="95"/>
          <w:sz w:val="20"/>
        </w:rPr>
        <w:t>in</w:t>
      </w:r>
    </w:p>
    <w:p w:rsidR="002C1123" w:rsidRDefault="00F22F94">
      <w:pPr>
        <w:pStyle w:val="BodyText"/>
        <w:spacing w:before="3" w:line="249" w:lineRule="auto"/>
        <w:ind w:left="775"/>
      </w:pPr>
      <w:r>
        <w:rPr>
          <w:w w:val="95"/>
        </w:rPr>
        <w:t>transport</w:t>
      </w:r>
      <w:r>
        <w:rPr>
          <w:spacing w:val="-2"/>
          <w:w w:val="95"/>
        </w:rPr>
        <w:t xml:space="preserve"> </w:t>
      </w:r>
      <w:r>
        <w:rPr>
          <w:w w:val="95"/>
        </w:rPr>
        <w:t>demand</w:t>
      </w:r>
      <w:r>
        <w:rPr>
          <w:spacing w:val="-2"/>
          <w:w w:val="95"/>
        </w:rPr>
        <w:t xml:space="preserve"> </w:t>
      </w:r>
      <w:r>
        <w:rPr>
          <w:w w:val="95"/>
        </w:rPr>
        <w:t>over</w:t>
      </w:r>
      <w:r>
        <w:rPr>
          <w:spacing w:val="-2"/>
          <w:w w:val="95"/>
        </w:rPr>
        <w:t xml:space="preserve"> </w:t>
      </w:r>
      <w:r>
        <w:rPr>
          <w:w w:val="95"/>
        </w:rPr>
        <w:t>the</w:t>
      </w:r>
      <w:r>
        <w:rPr>
          <w:spacing w:val="-2"/>
          <w:w w:val="95"/>
        </w:rPr>
        <w:t xml:space="preserve"> </w:t>
      </w:r>
      <w:r>
        <w:rPr>
          <w:w w:val="95"/>
        </w:rPr>
        <w:t>next</w:t>
      </w:r>
      <w:r>
        <w:rPr>
          <w:spacing w:val="-2"/>
          <w:w w:val="95"/>
        </w:rPr>
        <w:t xml:space="preserve"> </w:t>
      </w:r>
      <w:r>
        <w:rPr>
          <w:w w:val="95"/>
        </w:rPr>
        <w:t>twenty</w:t>
      </w:r>
      <w:r>
        <w:rPr>
          <w:spacing w:val="-2"/>
          <w:w w:val="95"/>
        </w:rPr>
        <w:t xml:space="preserve"> </w:t>
      </w:r>
      <w:r>
        <w:rPr>
          <w:w w:val="95"/>
        </w:rPr>
        <w:t>years</w:t>
      </w:r>
      <w:r>
        <w:rPr>
          <w:spacing w:val="-2"/>
          <w:w w:val="95"/>
        </w:rPr>
        <w:t xml:space="preserve"> </w:t>
      </w:r>
      <w:r>
        <w:rPr>
          <w:w w:val="95"/>
        </w:rPr>
        <w:t>will</w:t>
      </w:r>
      <w:r>
        <w:rPr>
          <w:spacing w:val="-2"/>
          <w:w w:val="95"/>
        </w:rPr>
        <w:t xml:space="preserve"> </w:t>
      </w:r>
      <w:r>
        <w:rPr>
          <w:w w:val="95"/>
        </w:rPr>
        <w:t xml:space="preserve">be </w:t>
      </w:r>
      <w:r>
        <w:t>met by roads.</w:t>
      </w:r>
    </w:p>
    <w:p w:rsidR="002C1123" w:rsidRDefault="00F22F94">
      <w:pPr>
        <w:pStyle w:val="ListParagraph"/>
        <w:numPr>
          <w:ilvl w:val="0"/>
          <w:numId w:val="7"/>
        </w:numPr>
        <w:tabs>
          <w:tab w:val="left" w:pos="776"/>
        </w:tabs>
        <w:spacing w:before="131" w:line="249" w:lineRule="auto"/>
        <w:ind w:right="31"/>
        <w:rPr>
          <w:sz w:val="20"/>
        </w:rPr>
      </w:pPr>
      <w:r>
        <w:rPr>
          <w:w w:val="95"/>
          <w:sz w:val="20"/>
        </w:rPr>
        <w:t xml:space="preserve">Traffic on key corridors has grown by 50 percent in </w:t>
      </w:r>
      <w:r>
        <w:rPr>
          <w:sz w:val="20"/>
        </w:rPr>
        <w:t>the</w:t>
      </w:r>
      <w:r>
        <w:rPr>
          <w:spacing w:val="-14"/>
          <w:sz w:val="20"/>
        </w:rPr>
        <w:t xml:space="preserve"> </w:t>
      </w:r>
      <w:r>
        <w:rPr>
          <w:sz w:val="20"/>
        </w:rPr>
        <w:t>last</w:t>
      </w:r>
      <w:r>
        <w:rPr>
          <w:spacing w:val="-14"/>
          <w:sz w:val="20"/>
        </w:rPr>
        <w:t xml:space="preserve"> </w:t>
      </w:r>
      <w:r>
        <w:rPr>
          <w:sz w:val="20"/>
        </w:rPr>
        <w:t>twenty</w:t>
      </w:r>
      <w:r>
        <w:rPr>
          <w:spacing w:val="-14"/>
          <w:sz w:val="20"/>
        </w:rPr>
        <w:t xml:space="preserve"> </w:t>
      </w:r>
      <w:r>
        <w:rPr>
          <w:sz w:val="20"/>
        </w:rPr>
        <w:t>years</w:t>
      </w:r>
      <w:r>
        <w:rPr>
          <w:spacing w:val="-14"/>
          <w:sz w:val="20"/>
        </w:rPr>
        <w:t xml:space="preserve"> </w:t>
      </w:r>
      <w:r>
        <w:rPr>
          <w:sz w:val="20"/>
        </w:rPr>
        <w:t>and</w:t>
      </w:r>
      <w:r>
        <w:rPr>
          <w:spacing w:val="-14"/>
          <w:sz w:val="20"/>
        </w:rPr>
        <w:t xml:space="preserve"> </w:t>
      </w:r>
      <w:r>
        <w:rPr>
          <w:sz w:val="20"/>
        </w:rPr>
        <w:t>investment</w:t>
      </w:r>
      <w:r>
        <w:rPr>
          <w:spacing w:val="-14"/>
          <w:sz w:val="20"/>
        </w:rPr>
        <w:t xml:space="preserve"> </w:t>
      </w:r>
      <w:r>
        <w:rPr>
          <w:sz w:val="20"/>
        </w:rPr>
        <w:t>in</w:t>
      </w:r>
      <w:r>
        <w:rPr>
          <w:spacing w:val="-14"/>
          <w:sz w:val="20"/>
        </w:rPr>
        <w:t xml:space="preserve"> </w:t>
      </w:r>
      <w:r>
        <w:rPr>
          <w:sz w:val="20"/>
        </w:rPr>
        <w:t>new</w:t>
      </w:r>
      <w:r>
        <w:rPr>
          <w:spacing w:val="-14"/>
          <w:sz w:val="20"/>
        </w:rPr>
        <w:t xml:space="preserve"> </w:t>
      </w:r>
      <w:r>
        <w:rPr>
          <w:sz w:val="20"/>
        </w:rPr>
        <w:t xml:space="preserve">roads </w:t>
      </w:r>
      <w:r>
        <w:rPr>
          <w:w w:val="95"/>
          <w:sz w:val="20"/>
        </w:rPr>
        <w:t xml:space="preserve">has struggled to keep up with demand. Congestion </w:t>
      </w:r>
      <w:r>
        <w:rPr>
          <w:sz w:val="20"/>
        </w:rPr>
        <w:t>currently</w:t>
      </w:r>
      <w:r>
        <w:rPr>
          <w:spacing w:val="-7"/>
          <w:sz w:val="20"/>
        </w:rPr>
        <w:t xml:space="preserve"> </w:t>
      </w:r>
      <w:r>
        <w:rPr>
          <w:sz w:val="20"/>
        </w:rPr>
        <w:t>occurs</w:t>
      </w:r>
      <w:r>
        <w:rPr>
          <w:spacing w:val="-7"/>
          <w:sz w:val="20"/>
        </w:rPr>
        <w:t xml:space="preserve"> </w:t>
      </w:r>
      <w:r>
        <w:rPr>
          <w:sz w:val="20"/>
        </w:rPr>
        <w:t>across</w:t>
      </w:r>
      <w:r>
        <w:rPr>
          <w:spacing w:val="-7"/>
          <w:sz w:val="20"/>
        </w:rPr>
        <w:t xml:space="preserve"> </w:t>
      </w:r>
      <w:r>
        <w:rPr>
          <w:sz w:val="20"/>
        </w:rPr>
        <w:t>the</w:t>
      </w:r>
      <w:r>
        <w:rPr>
          <w:spacing w:val="-7"/>
          <w:sz w:val="20"/>
        </w:rPr>
        <w:t xml:space="preserve"> </w:t>
      </w:r>
      <w:r>
        <w:rPr>
          <w:sz w:val="20"/>
        </w:rPr>
        <w:t>day</w:t>
      </w:r>
      <w:r>
        <w:rPr>
          <w:spacing w:val="-7"/>
          <w:sz w:val="20"/>
        </w:rPr>
        <w:t xml:space="preserve"> </w:t>
      </w:r>
      <w:r>
        <w:rPr>
          <w:sz w:val="20"/>
        </w:rPr>
        <w:t>on</w:t>
      </w:r>
      <w:r>
        <w:rPr>
          <w:spacing w:val="-7"/>
          <w:sz w:val="20"/>
        </w:rPr>
        <w:t xml:space="preserve"> </w:t>
      </w:r>
      <w:r>
        <w:rPr>
          <w:sz w:val="20"/>
        </w:rPr>
        <w:t>key</w:t>
      </w:r>
      <w:r>
        <w:rPr>
          <w:spacing w:val="-7"/>
          <w:sz w:val="20"/>
        </w:rPr>
        <w:t xml:space="preserve"> </w:t>
      </w:r>
      <w:r>
        <w:rPr>
          <w:sz w:val="20"/>
        </w:rPr>
        <w:t>corridors, and</w:t>
      </w:r>
      <w:r>
        <w:rPr>
          <w:spacing w:val="-8"/>
          <w:sz w:val="20"/>
        </w:rPr>
        <w:t xml:space="preserve"> </w:t>
      </w:r>
      <w:r>
        <w:rPr>
          <w:sz w:val="20"/>
        </w:rPr>
        <w:t>this</w:t>
      </w:r>
      <w:r>
        <w:rPr>
          <w:spacing w:val="-8"/>
          <w:sz w:val="20"/>
        </w:rPr>
        <w:t xml:space="preserve"> </w:t>
      </w:r>
      <w:r>
        <w:rPr>
          <w:sz w:val="20"/>
        </w:rPr>
        <w:t>has</w:t>
      </w:r>
      <w:r>
        <w:rPr>
          <w:spacing w:val="-8"/>
          <w:sz w:val="20"/>
        </w:rPr>
        <w:t xml:space="preserve"> </w:t>
      </w:r>
      <w:r>
        <w:rPr>
          <w:sz w:val="20"/>
        </w:rPr>
        <w:t>a</w:t>
      </w:r>
      <w:r>
        <w:rPr>
          <w:spacing w:val="-8"/>
          <w:sz w:val="20"/>
        </w:rPr>
        <w:t xml:space="preserve"> </w:t>
      </w:r>
      <w:r>
        <w:rPr>
          <w:sz w:val="20"/>
        </w:rPr>
        <w:t>real</w:t>
      </w:r>
      <w:r>
        <w:rPr>
          <w:spacing w:val="-8"/>
          <w:sz w:val="20"/>
        </w:rPr>
        <w:t xml:space="preserve"> </w:t>
      </w:r>
      <w:r>
        <w:rPr>
          <w:sz w:val="20"/>
        </w:rPr>
        <w:t>economic</w:t>
      </w:r>
      <w:r>
        <w:rPr>
          <w:spacing w:val="-8"/>
          <w:sz w:val="20"/>
        </w:rPr>
        <w:t xml:space="preserve"> </w:t>
      </w:r>
      <w:r>
        <w:rPr>
          <w:sz w:val="20"/>
        </w:rPr>
        <w:t>cost</w:t>
      </w:r>
      <w:r>
        <w:rPr>
          <w:spacing w:val="-8"/>
          <w:sz w:val="20"/>
        </w:rPr>
        <w:t xml:space="preserve"> </w:t>
      </w:r>
      <w:r>
        <w:rPr>
          <w:sz w:val="20"/>
        </w:rPr>
        <w:t>to</w:t>
      </w:r>
      <w:r>
        <w:rPr>
          <w:spacing w:val="-8"/>
          <w:sz w:val="20"/>
        </w:rPr>
        <w:t xml:space="preserve"> </w:t>
      </w:r>
      <w:r>
        <w:rPr>
          <w:sz w:val="20"/>
        </w:rPr>
        <w:t>NSW.</w:t>
      </w:r>
    </w:p>
    <w:p w:rsidR="002C1123" w:rsidRDefault="00F22F94">
      <w:pPr>
        <w:pStyle w:val="ListParagraph"/>
        <w:numPr>
          <w:ilvl w:val="0"/>
          <w:numId w:val="7"/>
        </w:numPr>
        <w:tabs>
          <w:tab w:val="left" w:pos="776"/>
        </w:tabs>
        <w:spacing w:before="133" w:line="249" w:lineRule="auto"/>
        <w:ind w:right="11"/>
        <w:rPr>
          <w:sz w:val="20"/>
        </w:rPr>
      </w:pPr>
      <w:r>
        <w:rPr>
          <w:sz w:val="20"/>
        </w:rPr>
        <w:t>New</w:t>
      </w:r>
      <w:r>
        <w:rPr>
          <w:spacing w:val="-14"/>
          <w:sz w:val="20"/>
        </w:rPr>
        <w:t xml:space="preserve"> </w:t>
      </w:r>
      <w:r>
        <w:rPr>
          <w:sz w:val="20"/>
        </w:rPr>
        <w:t>road</w:t>
      </w:r>
      <w:r>
        <w:rPr>
          <w:spacing w:val="-14"/>
          <w:sz w:val="20"/>
        </w:rPr>
        <w:t xml:space="preserve"> </w:t>
      </w:r>
      <w:r>
        <w:rPr>
          <w:sz w:val="20"/>
        </w:rPr>
        <w:t>capacity</w:t>
      </w:r>
      <w:r>
        <w:rPr>
          <w:spacing w:val="-14"/>
          <w:sz w:val="20"/>
        </w:rPr>
        <w:t xml:space="preserve"> </w:t>
      </w:r>
      <w:r>
        <w:rPr>
          <w:sz w:val="20"/>
        </w:rPr>
        <w:t>is</w:t>
      </w:r>
      <w:r>
        <w:rPr>
          <w:spacing w:val="-14"/>
          <w:sz w:val="20"/>
        </w:rPr>
        <w:t xml:space="preserve"> </w:t>
      </w:r>
      <w:r>
        <w:rPr>
          <w:sz w:val="20"/>
        </w:rPr>
        <w:t>urgently</w:t>
      </w:r>
      <w:r>
        <w:rPr>
          <w:spacing w:val="-14"/>
          <w:sz w:val="20"/>
        </w:rPr>
        <w:t xml:space="preserve"> </w:t>
      </w:r>
      <w:r>
        <w:rPr>
          <w:sz w:val="20"/>
        </w:rPr>
        <w:t>required</w:t>
      </w:r>
      <w:r>
        <w:rPr>
          <w:spacing w:val="-14"/>
          <w:sz w:val="20"/>
        </w:rPr>
        <w:t xml:space="preserve"> </w:t>
      </w:r>
      <w:r>
        <w:rPr>
          <w:sz w:val="20"/>
        </w:rPr>
        <w:t>to</w:t>
      </w:r>
      <w:r>
        <w:rPr>
          <w:spacing w:val="-14"/>
          <w:sz w:val="20"/>
        </w:rPr>
        <w:t xml:space="preserve"> </w:t>
      </w:r>
      <w:r>
        <w:rPr>
          <w:sz w:val="20"/>
        </w:rPr>
        <w:t>meet</w:t>
      </w:r>
      <w:r>
        <w:rPr>
          <w:spacing w:val="-14"/>
          <w:sz w:val="20"/>
        </w:rPr>
        <w:t xml:space="preserve"> </w:t>
      </w:r>
      <w:r>
        <w:rPr>
          <w:sz w:val="20"/>
        </w:rPr>
        <w:t>the challenge</w:t>
      </w:r>
      <w:r>
        <w:rPr>
          <w:spacing w:val="-4"/>
          <w:sz w:val="20"/>
        </w:rPr>
        <w:t xml:space="preserve"> </w:t>
      </w:r>
      <w:r>
        <w:rPr>
          <w:sz w:val="20"/>
        </w:rPr>
        <w:t>of</w:t>
      </w:r>
      <w:r>
        <w:rPr>
          <w:spacing w:val="-4"/>
          <w:sz w:val="20"/>
        </w:rPr>
        <w:t xml:space="preserve"> </w:t>
      </w:r>
      <w:r>
        <w:rPr>
          <w:sz w:val="20"/>
        </w:rPr>
        <w:t>population</w:t>
      </w:r>
      <w:r>
        <w:rPr>
          <w:spacing w:val="-4"/>
          <w:sz w:val="20"/>
        </w:rPr>
        <w:t xml:space="preserve"> </w:t>
      </w:r>
      <w:r>
        <w:rPr>
          <w:sz w:val="20"/>
        </w:rPr>
        <w:t>growth</w:t>
      </w:r>
      <w:r>
        <w:rPr>
          <w:spacing w:val="-4"/>
          <w:sz w:val="20"/>
        </w:rPr>
        <w:t xml:space="preserve"> </w:t>
      </w:r>
      <w:r>
        <w:rPr>
          <w:sz w:val="20"/>
        </w:rPr>
        <w:t>and</w:t>
      </w:r>
      <w:r>
        <w:rPr>
          <w:spacing w:val="-4"/>
          <w:sz w:val="20"/>
        </w:rPr>
        <w:t xml:space="preserve"> </w:t>
      </w:r>
      <w:r>
        <w:rPr>
          <w:sz w:val="20"/>
        </w:rPr>
        <w:t xml:space="preserve">substantial </w:t>
      </w:r>
      <w:r>
        <w:rPr>
          <w:w w:val="95"/>
          <w:sz w:val="20"/>
        </w:rPr>
        <w:t>increases</w:t>
      </w:r>
      <w:r>
        <w:rPr>
          <w:spacing w:val="-1"/>
          <w:w w:val="95"/>
          <w:sz w:val="20"/>
        </w:rPr>
        <w:t xml:space="preserve"> </w:t>
      </w:r>
      <w:r>
        <w:rPr>
          <w:w w:val="95"/>
          <w:sz w:val="20"/>
        </w:rPr>
        <w:t>in</w:t>
      </w:r>
      <w:r>
        <w:rPr>
          <w:spacing w:val="-1"/>
          <w:w w:val="95"/>
          <w:sz w:val="20"/>
        </w:rPr>
        <w:t xml:space="preserve"> </w:t>
      </w:r>
      <w:r>
        <w:rPr>
          <w:w w:val="95"/>
          <w:sz w:val="20"/>
        </w:rPr>
        <w:t>freight</w:t>
      </w:r>
      <w:r>
        <w:rPr>
          <w:spacing w:val="-1"/>
          <w:w w:val="95"/>
          <w:sz w:val="20"/>
        </w:rPr>
        <w:t xml:space="preserve"> </w:t>
      </w:r>
      <w:r>
        <w:rPr>
          <w:w w:val="95"/>
          <w:sz w:val="20"/>
        </w:rPr>
        <w:t>volumes.</w:t>
      </w:r>
      <w:r>
        <w:rPr>
          <w:spacing w:val="-1"/>
          <w:w w:val="95"/>
          <w:sz w:val="20"/>
        </w:rPr>
        <w:t xml:space="preserve"> </w:t>
      </w:r>
      <w:r>
        <w:rPr>
          <w:w w:val="95"/>
          <w:sz w:val="20"/>
        </w:rPr>
        <w:t>In</w:t>
      </w:r>
      <w:r>
        <w:rPr>
          <w:spacing w:val="-1"/>
          <w:w w:val="95"/>
          <w:sz w:val="20"/>
        </w:rPr>
        <w:t xml:space="preserve"> </w:t>
      </w:r>
      <w:r>
        <w:rPr>
          <w:w w:val="95"/>
          <w:sz w:val="20"/>
        </w:rPr>
        <w:t>addition,</w:t>
      </w:r>
      <w:r>
        <w:rPr>
          <w:spacing w:val="-1"/>
          <w:w w:val="95"/>
          <w:sz w:val="20"/>
        </w:rPr>
        <w:t xml:space="preserve"> </w:t>
      </w:r>
      <w:r>
        <w:rPr>
          <w:w w:val="95"/>
          <w:sz w:val="20"/>
        </w:rPr>
        <w:t>new</w:t>
      </w:r>
      <w:r>
        <w:rPr>
          <w:spacing w:val="-1"/>
          <w:w w:val="95"/>
          <w:sz w:val="20"/>
        </w:rPr>
        <w:t xml:space="preserve"> </w:t>
      </w:r>
      <w:r>
        <w:rPr>
          <w:w w:val="95"/>
          <w:sz w:val="20"/>
        </w:rPr>
        <w:t>roads will</w:t>
      </w:r>
      <w:r>
        <w:rPr>
          <w:spacing w:val="-4"/>
          <w:w w:val="95"/>
          <w:sz w:val="20"/>
        </w:rPr>
        <w:t xml:space="preserve"> </w:t>
      </w:r>
      <w:r>
        <w:rPr>
          <w:w w:val="95"/>
          <w:sz w:val="20"/>
        </w:rPr>
        <w:t>relieve</w:t>
      </w:r>
      <w:r>
        <w:rPr>
          <w:spacing w:val="-4"/>
          <w:w w:val="95"/>
          <w:sz w:val="20"/>
        </w:rPr>
        <w:t xml:space="preserve"> </w:t>
      </w:r>
      <w:r>
        <w:rPr>
          <w:w w:val="95"/>
          <w:sz w:val="20"/>
        </w:rPr>
        <w:t>legacy</w:t>
      </w:r>
      <w:r>
        <w:rPr>
          <w:spacing w:val="-4"/>
          <w:w w:val="95"/>
          <w:sz w:val="20"/>
        </w:rPr>
        <w:t xml:space="preserve"> </w:t>
      </w:r>
      <w:r>
        <w:rPr>
          <w:w w:val="95"/>
          <w:sz w:val="20"/>
        </w:rPr>
        <w:t>arterial</w:t>
      </w:r>
      <w:r>
        <w:rPr>
          <w:spacing w:val="-4"/>
          <w:w w:val="95"/>
          <w:sz w:val="20"/>
        </w:rPr>
        <w:t xml:space="preserve"> </w:t>
      </w:r>
      <w:r>
        <w:rPr>
          <w:w w:val="95"/>
          <w:sz w:val="20"/>
        </w:rPr>
        <w:t>roads</w:t>
      </w:r>
      <w:r>
        <w:rPr>
          <w:spacing w:val="-4"/>
          <w:w w:val="95"/>
          <w:sz w:val="20"/>
        </w:rPr>
        <w:t xml:space="preserve"> </w:t>
      </w:r>
      <w:r>
        <w:rPr>
          <w:w w:val="95"/>
          <w:sz w:val="20"/>
        </w:rPr>
        <w:t>such</w:t>
      </w:r>
      <w:r>
        <w:rPr>
          <w:spacing w:val="-4"/>
          <w:w w:val="95"/>
          <w:sz w:val="20"/>
        </w:rPr>
        <w:t xml:space="preserve"> </w:t>
      </w:r>
      <w:r>
        <w:rPr>
          <w:w w:val="95"/>
          <w:sz w:val="20"/>
        </w:rPr>
        <w:t>as</w:t>
      </w:r>
      <w:r>
        <w:rPr>
          <w:spacing w:val="-4"/>
          <w:w w:val="95"/>
          <w:sz w:val="20"/>
        </w:rPr>
        <w:t xml:space="preserve"> </w:t>
      </w:r>
      <w:r>
        <w:rPr>
          <w:w w:val="95"/>
          <w:sz w:val="20"/>
        </w:rPr>
        <w:t>Parramatta Road,</w:t>
      </w:r>
      <w:r>
        <w:rPr>
          <w:spacing w:val="-11"/>
          <w:w w:val="95"/>
          <w:sz w:val="20"/>
        </w:rPr>
        <w:t xml:space="preserve"> </w:t>
      </w:r>
      <w:r>
        <w:rPr>
          <w:w w:val="95"/>
          <w:sz w:val="20"/>
        </w:rPr>
        <w:t>Pennant</w:t>
      </w:r>
      <w:r>
        <w:rPr>
          <w:spacing w:val="-11"/>
          <w:w w:val="95"/>
          <w:sz w:val="20"/>
        </w:rPr>
        <w:t xml:space="preserve"> </w:t>
      </w:r>
      <w:r>
        <w:rPr>
          <w:w w:val="95"/>
          <w:sz w:val="20"/>
        </w:rPr>
        <w:t>Hills</w:t>
      </w:r>
      <w:r>
        <w:rPr>
          <w:spacing w:val="-11"/>
          <w:w w:val="95"/>
          <w:sz w:val="20"/>
        </w:rPr>
        <w:t xml:space="preserve"> </w:t>
      </w:r>
      <w:r>
        <w:rPr>
          <w:w w:val="95"/>
          <w:sz w:val="20"/>
        </w:rPr>
        <w:t>Road</w:t>
      </w:r>
      <w:r>
        <w:rPr>
          <w:spacing w:val="-11"/>
          <w:w w:val="95"/>
          <w:sz w:val="20"/>
        </w:rPr>
        <w:t xml:space="preserve"> </w:t>
      </w:r>
      <w:r>
        <w:rPr>
          <w:w w:val="95"/>
          <w:sz w:val="20"/>
        </w:rPr>
        <w:t>and</w:t>
      </w:r>
      <w:r>
        <w:rPr>
          <w:spacing w:val="-11"/>
          <w:w w:val="95"/>
          <w:sz w:val="20"/>
        </w:rPr>
        <w:t xml:space="preserve"> </w:t>
      </w:r>
      <w:r>
        <w:rPr>
          <w:w w:val="95"/>
          <w:sz w:val="20"/>
        </w:rPr>
        <w:t>the</w:t>
      </w:r>
      <w:r>
        <w:rPr>
          <w:spacing w:val="-11"/>
          <w:w w:val="95"/>
          <w:sz w:val="20"/>
        </w:rPr>
        <w:t xml:space="preserve"> </w:t>
      </w:r>
      <w:r>
        <w:rPr>
          <w:w w:val="95"/>
          <w:sz w:val="20"/>
        </w:rPr>
        <w:t>Princes</w:t>
      </w:r>
      <w:r>
        <w:rPr>
          <w:spacing w:val="-11"/>
          <w:w w:val="95"/>
          <w:sz w:val="20"/>
        </w:rPr>
        <w:t xml:space="preserve"> </w:t>
      </w:r>
      <w:r>
        <w:rPr>
          <w:w w:val="95"/>
          <w:sz w:val="20"/>
        </w:rPr>
        <w:t xml:space="preserve">Highway, </w:t>
      </w:r>
      <w:r>
        <w:rPr>
          <w:sz w:val="20"/>
        </w:rPr>
        <w:t>and</w:t>
      </w:r>
      <w:r>
        <w:rPr>
          <w:spacing w:val="-11"/>
          <w:sz w:val="20"/>
        </w:rPr>
        <w:t xml:space="preserve"> </w:t>
      </w:r>
      <w:r>
        <w:rPr>
          <w:sz w:val="20"/>
        </w:rPr>
        <w:t>permit</w:t>
      </w:r>
      <w:r>
        <w:rPr>
          <w:spacing w:val="-11"/>
          <w:sz w:val="20"/>
        </w:rPr>
        <w:t xml:space="preserve"> </w:t>
      </w:r>
      <w:r>
        <w:rPr>
          <w:sz w:val="20"/>
        </w:rPr>
        <w:t>urban</w:t>
      </w:r>
      <w:r>
        <w:rPr>
          <w:spacing w:val="-11"/>
          <w:sz w:val="20"/>
        </w:rPr>
        <w:t xml:space="preserve"> </w:t>
      </w:r>
      <w:r>
        <w:rPr>
          <w:sz w:val="20"/>
        </w:rPr>
        <w:t>regeneration</w:t>
      </w:r>
      <w:r>
        <w:rPr>
          <w:spacing w:val="-11"/>
          <w:sz w:val="20"/>
        </w:rPr>
        <w:t xml:space="preserve"> </w:t>
      </w:r>
      <w:r>
        <w:rPr>
          <w:sz w:val="20"/>
        </w:rPr>
        <w:t>in</w:t>
      </w:r>
      <w:r>
        <w:rPr>
          <w:spacing w:val="-11"/>
          <w:sz w:val="20"/>
        </w:rPr>
        <w:t xml:space="preserve"> </w:t>
      </w:r>
      <w:r>
        <w:rPr>
          <w:sz w:val="20"/>
        </w:rPr>
        <w:t>these</w:t>
      </w:r>
      <w:r>
        <w:rPr>
          <w:spacing w:val="-11"/>
          <w:sz w:val="20"/>
        </w:rPr>
        <w:t xml:space="preserve"> </w:t>
      </w:r>
      <w:r>
        <w:rPr>
          <w:sz w:val="20"/>
        </w:rPr>
        <w:t>areas.</w:t>
      </w:r>
    </w:p>
    <w:p w:rsidR="002C1123" w:rsidRDefault="00F22F94">
      <w:pPr>
        <w:pStyle w:val="ListParagraph"/>
        <w:numPr>
          <w:ilvl w:val="0"/>
          <w:numId w:val="7"/>
        </w:numPr>
        <w:tabs>
          <w:tab w:val="left" w:pos="776"/>
        </w:tabs>
        <w:spacing w:before="134" w:line="249" w:lineRule="auto"/>
        <w:ind w:right="1"/>
        <w:rPr>
          <w:sz w:val="20"/>
        </w:rPr>
      </w:pPr>
      <w:r>
        <w:rPr>
          <w:sz w:val="20"/>
        </w:rPr>
        <w:t>The</w:t>
      </w:r>
      <w:r>
        <w:rPr>
          <w:spacing w:val="-14"/>
          <w:sz w:val="20"/>
        </w:rPr>
        <w:t xml:space="preserve"> </w:t>
      </w:r>
      <w:r>
        <w:rPr>
          <w:sz w:val="20"/>
        </w:rPr>
        <w:t>most</w:t>
      </w:r>
      <w:r>
        <w:rPr>
          <w:spacing w:val="-14"/>
          <w:sz w:val="20"/>
        </w:rPr>
        <w:t xml:space="preserve"> </w:t>
      </w:r>
      <w:r>
        <w:rPr>
          <w:sz w:val="20"/>
        </w:rPr>
        <w:t>pressing</w:t>
      </w:r>
      <w:r>
        <w:rPr>
          <w:spacing w:val="-14"/>
          <w:sz w:val="20"/>
        </w:rPr>
        <w:t xml:space="preserve"> </w:t>
      </w:r>
      <w:r>
        <w:rPr>
          <w:sz w:val="20"/>
        </w:rPr>
        <w:t>investment</w:t>
      </w:r>
      <w:r>
        <w:rPr>
          <w:spacing w:val="-14"/>
          <w:sz w:val="20"/>
        </w:rPr>
        <w:t xml:space="preserve"> </w:t>
      </w:r>
      <w:r>
        <w:rPr>
          <w:sz w:val="20"/>
        </w:rPr>
        <w:t>needs</w:t>
      </w:r>
      <w:r>
        <w:rPr>
          <w:spacing w:val="-14"/>
          <w:sz w:val="20"/>
        </w:rPr>
        <w:t xml:space="preserve"> </w:t>
      </w:r>
      <w:r>
        <w:rPr>
          <w:sz w:val="20"/>
        </w:rPr>
        <w:t>occur</w:t>
      </w:r>
      <w:r>
        <w:rPr>
          <w:spacing w:val="-14"/>
          <w:sz w:val="20"/>
        </w:rPr>
        <w:t xml:space="preserve"> </w:t>
      </w:r>
      <w:r>
        <w:rPr>
          <w:sz w:val="20"/>
        </w:rPr>
        <w:t>on</w:t>
      </w:r>
      <w:r>
        <w:rPr>
          <w:spacing w:val="-14"/>
          <w:sz w:val="20"/>
        </w:rPr>
        <w:t xml:space="preserve"> </w:t>
      </w:r>
      <w:r>
        <w:rPr>
          <w:sz w:val="20"/>
        </w:rPr>
        <w:t>the M4</w:t>
      </w:r>
      <w:r>
        <w:rPr>
          <w:spacing w:val="-5"/>
          <w:sz w:val="20"/>
        </w:rPr>
        <w:t xml:space="preserve"> </w:t>
      </w:r>
      <w:r>
        <w:rPr>
          <w:sz w:val="20"/>
        </w:rPr>
        <w:t>and</w:t>
      </w:r>
      <w:r>
        <w:rPr>
          <w:spacing w:val="-5"/>
          <w:sz w:val="20"/>
        </w:rPr>
        <w:t xml:space="preserve"> </w:t>
      </w:r>
      <w:r>
        <w:rPr>
          <w:sz w:val="20"/>
        </w:rPr>
        <w:t>M5</w:t>
      </w:r>
      <w:r>
        <w:rPr>
          <w:spacing w:val="-5"/>
          <w:sz w:val="20"/>
        </w:rPr>
        <w:t xml:space="preserve"> </w:t>
      </w:r>
      <w:r>
        <w:rPr>
          <w:sz w:val="20"/>
        </w:rPr>
        <w:t>corridors</w:t>
      </w:r>
      <w:r>
        <w:rPr>
          <w:spacing w:val="-5"/>
          <w:sz w:val="20"/>
        </w:rPr>
        <w:t xml:space="preserve"> </w:t>
      </w:r>
      <w:r>
        <w:rPr>
          <w:sz w:val="20"/>
        </w:rPr>
        <w:t>because</w:t>
      </w:r>
      <w:r>
        <w:rPr>
          <w:spacing w:val="-5"/>
          <w:sz w:val="20"/>
        </w:rPr>
        <w:t xml:space="preserve"> </w:t>
      </w:r>
      <w:r>
        <w:rPr>
          <w:sz w:val="20"/>
        </w:rPr>
        <w:t>of</w:t>
      </w:r>
      <w:r>
        <w:rPr>
          <w:spacing w:val="-5"/>
          <w:sz w:val="20"/>
        </w:rPr>
        <w:t xml:space="preserve"> </w:t>
      </w:r>
      <w:r>
        <w:rPr>
          <w:sz w:val="20"/>
        </w:rPr>
        <w:t>their</w:t>
      </w:r>
      <w:r>
        <w:rPr>
          <w:spacing w:val="-5"/>
          <w:sz w:val="20"/>
        </w:rPr>
        <w:t xml:space="preserve"> </w:t>
      </w:r>
      <w:r>
        <w:rPr>
          <w:sz w:val="20"/>
        </w:rPr>
        <w:t>importance for</w:t>
      </w:r>
      <w:r>
        <w:rPr>
          <w:spacing w:val="-3"/>
          <w:sz w:val="20"/>
        </w:rPr>
        <w:t xml:space="preserve"> </w:t>
      </w:r>
      <w:r>
        <w:rPr>
          <w:sz w:val="20"/>
        </w:rPr>
        <w:t>the</w:t>
      </w:r>
      <w:r>
        <w:rPr>
          <w:spacing w:val="-3"/>
          <w:sz w:val="20"/>
        </w:rPr>
        <w:t xml:space="preserve"> </w:t>
      </w:r>
      <w:r>
        <w:rPr>
          <w:sz w:val="20"/>
        </w:rPr>
        <w:t>freight</w:t>
      </w:r>
      <w:r>
        <w:rPr>
          <w:spacing w:val="-3"/>
          <w:sz w:val="20"/>
        </w:rPr>
        <w:t xml:space="preserve"> </w:t>
      </w:r>
      <w:r>
        <w:rPr>
          <w:sz w:val="20"/>
        </w:rPr>
        <w:t>and</w:t>
      </w:r>
      <w:r>
        <w:rPr>
          <w:spacing w:val="-3"/>
          <w:sz w:val="20"/>
        </w:rPr>
        <w:t xml:space="preserve"> </w:t>
      </w:r>
      <w:r>
        <w:rPr>
          <w:sz w:val="20"/>
        </w:rPr>
        <w:t>business</w:t>
      </w:r>
      <w:r>
        <w:rPr>
          <w:spacing w:val="-3"/>
          <w:sz w:val="20"/>
        </w:rPr>
        <w:t xml:space="preserve"> </w:t>
      </w:r>
      <w:r>
        <w:rPr>
          <w:sz w:val="20"/>
        </w:rPr>
        <w:t>transport</w:t>
      </w:r>
      <w:r>
        <w:rPr>
          <w:spacing w:val="-3"/>
          <w:sz w:val="20"/>
        </w:rPr>
        <w:t xml:space="preserve"> </w:t>
      </w:r>
      <w:r>
        <w:rPr>
          <w:sz w:val="20"/>
        </w:rPr>
        <w:t>task; connecting</w:t>
      </w:r>
      <w:r>
        <w:rPr>
          <w:spacing w:val="-12"/>
          <w:sz w:val="20"/>
        </w:rPr>
        <w:t xml:space="preserve"> </w:t>
      </w:r>
      <w:r>
        <w:rPr>
          <w:sz w:val="20"/>
        </w:rPr>
        <w:t>Global</w:t>
      </w:r>
      <w:r>
        <w:rPr>
          <w:spacing w:val="-12"/>
          <w:sz w:val="20"/>
        </w:rPr>
        <w:t xml:space="preserve"> </w:t>
      </w:r>
      <w:r>
        <w:rPr>
          <w:sz w:val="20"/>
        </w:rPr>
        <w:t>Sydney</w:t>
      </w:r>
      <w:r>
        <w:rPr>
          <w:spacing w:val="-12"/>
          <w:sz w:val="20"/>
        </w:rPr>
        <w:t xml:space="preserve"> </w:t>
      </w:r>
      <w:r>
        <w:rPr>
          <w:sz w:val="20"/>
        </w:rPr>
        <w:t>and</w:t>
      </w:r>
      <w:r>
        <w:rPr>
          <w:spacing w:val="-12"/>
          <w:sz w:val="20"/>
        </w:rPr>
        <w:t xml:space="preserve"> </w:t>
      </w:r>
      <w:r>
        <w:rPr>
          <w:sz w:val="20"/>
        </w:rPr>
        <w:t>the</w:t>
      </w:r>
      <w:r>
        <w:rPr>
          <w:spacing w:val="-12"/>
          <w:sz w:val="20"/>
        </w:rPr>
        <w:t xml:space="preserve"> </w:t>
      </w:r>
      <w:r>
        <w:rPr>
          <w:sz w:val="20"/>
        </w:rPr>
        <w:t xml:space="preserve">international </w:t>
      </w:r>
      <w:r>
        <w:rPr>
          <w:w w:val="95"/>
          <w:sz w:val="20"/>
        </w:rPr>
        <w:t>gateways</w:t>
      </w:r>
      <w:r>
        <w:rPr>
          <w:spacing w:val="-10"/>
          <w:w w:val="95"/>
          <w:sz w:val="20"/>
        </w:rPr>
        <w:t xml:space="preserve"> </w:t>
      </w:r>
      <w:r>
        <w:rPr>
          <w:w w:val="95"/>
          <w:sz w:val="20"/>
        </w:rPr>
        <w:t>with</w:t>
      </w:r>
      <w:r>
        <w:rPr>
          <w:spacing w:val="-10"/>
          <w:w w:val="95"/>
          <w:sz w:val="20"/>
        </w:rPr>
        <w:t xml:space="preserve"> </w:t>
      </w:r>
      <w:r>
        <w:rPr>
          <w:w w:val="95"/>
          <w:sz w:val="20"/>
        </w:rPr>
        <w:t>the</w:t>
      </w:r>
      <w:r>
        <w:rPr>
          <w:spacing w:val="-10"/>
          <w:w w:val="95"/>
          <w:sz w:val="20"/>
        </w:rPr>
        <w:t xml:space="preserve"> </w:t>
      </w:r>
      <w:r>
        <w:rPr>
          <w:w w:val="95"/>
          <w:sz w:val="20"/>
        </w:rPr>
        <w:t>industries</w:t>
      </w:r>
      <w:r>
        <w:rPr>
          <w:spacing w:val="-10"/>
          <w:w w:val="95"/>
          <w:sz w:val="20"/>
        </w:rPr>
        <w:t xml:space="preserve"> </w:t>
      </w:r>
      <w:r>
        <w:rPr>
          <w:w w:val="95"/>
          <w:sz w:val="20"/>
        </w:rPr>
        <w:t>and</w:t>
      </w:r>
      <w:r>
        <w:rPr>
          <w:spacing w:val="-10"/>
          <w:w w:val="95"/>
          <w:sz w:val="20"/>
        </w:rPr>
        <w:t xml:space="preserve"> </w:t>
      </w:r>
      <w:r>
        <w:rPr>
          <w:w w:val="95"/>
          <w:sz w:val="20"/>
        </w:rPr>
        <w:t>residential</w:t>
      </w:r>
      <w:r>
        <w:rPr>
          <w:spacing w:val="-10"/>
          <w:w w:val="95"/>
          <w:sz w:val="20"/>
        </w:rPr>
        <w:t xml:space="preserve"> </w:t>
      </w:r>
      <w:r>
        <w:rPr>
          <w:w w:val="95"/>
          <w:sz w:val="20"/>
        </w:rPr>
        <w:t>areas</w:t>
      </w:r>
      <w:r>
        <w:rPr>
          <w:spacing w:val="-10"/>
          <w:w w:val="95"/>
          <w:sz w:val="20"/>
        </w:rPr>
        <w:t xml:space="preserve"> </w:t>
      </w:r>
      <w:r>
        <w:rPr>
          <w:w w:val="95"/>
          <w:sz w:val="20"/>
        </w:rPr>
        <w:t xml:space="preserve">in </w:t>
      </w:r>
      <w:r>
        <w:rPr>
          <w:sz w:val="20"/>
        </w:rPr>
        <w:t>the West and South-West.</w:t>
      </w:r>
    </w:p>
    <w:p w:rsidR="002C1123" w:rsidRDefault="00F22F94">
      <w:pPr>
        <w:rPr>
          <w:sz w:val="24"/>
        </w:rPr>
      </w:pPr>
      <w:r>
        <w:br w:type="column"/>
      </w: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spacing w:before="5"/>
        <w:rPr>
          <w:sz w:val="25"/>
        </w:rPr>
      </w:pPr>
    </w:p>
    <w:p w:rsidR="002C1123" w:rsidRDefault="00F22F94">
      <w:pPr>
        <w:pStyle w:val="ListParagraph"/>
        <w:numPr>
          <w:ilvl w:val="0"/>
          <w:numId w:val="7"/>
        </w:numPr>
        <w:tabs>
          <w:tab w:val="left" w:pos="535"/>
        </w:tabs>
        <w:spacing w:before="1" w:line="249" w:lineRule="auto"/>
        <w:ind w:left="534"/>
        <w:rPr>
          <w:sz w:val="20"/>
        </w:rPr>
      </w:pPr>
      <w:r>
        <w:rPr>
          <w:w w:val="95"/>
          <w:sz w:val="20"/>
        </w:rPr>
        <w:t>Infrastructure</w:t>
      </w:r>
      <w:r>
        <w:rPr>
          <w:spacing w:val="-6"/>
          <w:w w:val="95"/>
          <w:sz w:val="20"/>
        </w:rPr>
        <w:t xml:space="preserve"> </w:t>
      </w:r>
      <w:r>
        <w:rPr>
          <w:w w:val="95"/>
          <w:sz w:val="20"/>
        </w:rPr>
        <w:t>NSW</w:t>
      </w:r>
      <w:r>
        <w:rPr>
          <w:spacing w:val="-6"/>
          <w:w w:val="95"/>
          <w:sz w:val="20"/>
        </w:rPr>
        <w:t xml:space="preserve"> </w:t>
      </w:r>
      <w:r>
        <w:rPr>
          <w:w w:val="95"/>
          <w:sz w:val="20"/>
        </w:rPr>
        <w:t>has</w:t>
      </w:r>
      <w:r>
        <w:rPr>
          <w:spacing w:val="-6"/>
          <w:w w:val="95"/>
          <w:sz w:val="20"/>
        </w:rPr>
        <w:t xml:space="preserve"> </w:t>
      </w:r>
      <w:r>
        <w:rPr>
          <w:w w:val="95"/>
          <w:sz w:val="20"/>
        </w:rPr>
        <w:t>developed</w:t>
      </w:r>
      <w:r>
        <w:rPr>
          <w:spacing w:val="-6"/>
          <w:w w:val="95"/>
          <w:sz w:val="20"/>
        </w:rPr>
        <w:t xml:space="preserve"> </w:t>
      </w:r>
      <w:r>
        <w:rPr>
          <w:w w:val="95"/>
          <w:sz w:val="20"/>
        </w:rPr>
        <w:t>a</w:t>
      </w:r>
      <w:r>
        <w:rPr>
          <w:spacing w:val="-6"/>
          <w:w w:val="95"/>
          <w:sz w:val="20"/>
        </w:rPr>
        <w:t xml:space="preserve"> </w:t>
      </w:r>
      <w:r>
        <w:rPr>
          <w:w w:val="95"/>
          <w:sz w:val="20"/>
        </w:rPr>
        <w:t>scheme</w:t>
      </w:r>
      <w:r>
        <w:rPr>
          <w:spacing w:val="-6"/>
          <w:w w:val="95"/>
          <w:sz w:val="20"/>
        </w:rPr>
        <w:t xml:space="preserve"> </w:t>
      </w:r>
      <w:r>
        <w:rPr>
          <w:w w:val="95"/>
          <w:sz w:val="20"/>
        </w:rPr>
        <w:t xml:space="preserve">called </w:t>
      </w:r>
      <w:r>
        <w:rPr>
          <w:sz w:val="20"/>
        </w:rPr>
        <w:t>WestConnex,</w:t>
      </w:r>
      <w:r>
        <w:rPr>
          <w:spacing w:val="-13"/>
          <w:sz w:val="20"/>
        </w:rPr>
        <w:t xml:space="preserve"> </w:t>
      </w:r>
      <w:r>
        <w:rPr>
          <w:sz w:val="20"/>
        </w:rPr>
        <w:t>which</w:t>
      </w:r>
      <w:r>
        <w:rPr>
          <w:spacing w:val="-13"/>
          <w:sz w:val="20"/>
        </w:rPr>
        <w:t xml:space="preserve"> </w:t>
      </w:r>
      <w:r>
        <w:rPr>
          <w:sz w:val="20"/>
        </w:rPr>
        <w:t>it</w:t>
      </w:r>
      <w:r>
        <w:rPr>
          <w:spacing w:val="-13"/>
          <w:sz w:val="20"/>
        </w:rPr>
        <w:t xml:space="preserve"> </w:t>
      </w:r>
      <w:r>
        <w:rPr>
          <w:sz w:val="20"/>
        </w:rPr>
        <w:t>proposes</w:t>
      </w:r>
      <w:r>
        <w:rPr>
          <w:spacing w:val="-13"/>
          <w:sz w:val="20"/>
        </w:rPr>
        <w:t xml:space="preserve"> </w:t>
      </w:r>
      <w:r>
        <w:rPr>
          <w:sz w:val="20"/>
        </w:rPr>
        <w:t>as</w:t>
      </w:r>
      <w:r>
        <w:rPr>
          <w:spacing w:val="-13"/>
          <w:sz w:val="20"/>
        </w:rPr>
        <w:t xml:space="preserve"> </w:t>
      </w:r>
      <w:r>
        <w:rPr>
          <w:sz w:val="20"/>
        </w:rPr>
        <w:t>Sydney’s</w:t>
      </w:r>
      <w:r>
        <w:rPr>
          <w:spacing w:val="-13"/>
          <w:sz w:val="20"/>
        </w:rPr>
        <w:t xml:space="preserve"> </w:t>
      </w:r>
      <w:r>
        <w:rPr>
          <w:sz w:val="20"/>
        </w:rPr>
        <w:t>next motorway</w:t>
      </w:r>
      <w:r>
        <w:rPr>
          <w:spacing w:val="-14"/>
          <w:sz w:val="20"/>
        </w:rPr>
        <w:t xml:space="preserve"> </w:t>
      </w:r>
      <w:r>
        <w:rPr>
          <w:sz w:val="20"/>
        </w:rPr>
        <w:t>project.</w:t>
      </w:r>
      <w:r>
        <w:rPr>
          <w:spacing w:val="-14"/>
          <w:sz w:val="20"/>
        </w:rPr>
        <w:t xml:space="preserve"> </w:t>
      </w:r>
      <w:r>
        <w:rPr>
          <w:sz w:val="20"/>
        </w:rPr>
        <w:t>WestConnex</w:t>
      </w:r>
      <w:r>
        <w:rPr>
          <w:spacing w:val="-14"/>
          <w:sz w:val="20"/>
        </w:rPr>
        <w:t xml:space="preserve"> </w:t>
      </w:r>
      <w:r>
        <w:rPr>
          <w:sz w:val="20"/>
        </w:rPr>
        <w:t>integrates</w:t>
      </w:r>
      <w:r>
        <w:rPr>
          <w:spacing w:val="-14"/>
          <w:sz w:val="20"/>
        </w:rPr>
        <w:t xml:space="preserve"> </w:t>
      </w:r>
      <w:r>
        <w:rPr>
          <w:sz w:val="20"/>
        </w:rPr>
        <w:t>the</w:t>
      </w:r>
      <w:r>
        <w:rPr>
          <w:spacing w:val="-14"/>
          <w:sz w:val="20"/>
        </w:rPr>
        <w:t xml:space="preserve"> </w:t>
      </w:r>
      <w:r>
        <w:rPr>
          <w:sz w:val="20"/>
        </w:rPr>
        <w:t>M4 extension</w:t>
      </w:r>
      <w:r>
        <w:rPr>
          <w:spacing w:val="-7"/>
          <w:sz w:val="20"/>
        </w:rPr>
        <w:t xml:space="preserve"> </w:t>
      </w:r>
      <w:r>
        <w:rPr>
          <w:sz w:val="20"/>
        </w:rPr>
        <w:t>towards</w:t>
      </w:r>
      <w:r>
        <w:rPr>
          <w:spacing w:val="-7"/>
          <w:sz w:val="20"/>
        </w:rPr>
        <w:t xml:space="preserve"> </w:t>
      </w:r>
      <w:r>
        <w:rPr>
          <w:sz w:val="20"/>
        </w:rPr>
        <w:t>the</w:t>
      </w:r>
      <w:r>
        <w:rPr>
          <w:spacing w:val="-7"/>
          <w:sz w:val="20"/>
        </w:rPr>
        <w:t xml:space="preserve"> </w:t>
      </w:r>
      <w:r>
        <w:rPr>
          <w:sz w:val="20"/>
        </w:rPr>
        <w:t>Airport</w:t>
      </w:r>
      <w:r>
        <w:rPr>
          <w:spacing w:val="-7"/>
          <w:sz w:val="20"/>
        </w:rPr>
        <w:t xml:space="preserve"> </w:t>
      </w:r>
      <w:r>
        <w:rPr>
          <w:sz w:val="20"/>
        </w:rPr>
        <w:t>with</w:t>
      </w:r>
      <w:r>
        <w:rPr>
          <w:spacing w:val="-7"/>
          <w:sz w:val="20"/>
        </w:rPr>
        <w:t xml:space="preserve"> </w:t>
      </w:r>
      <w:r>
        <w:rPr>
          <w:sz w:val="20"/>
        </w:rPr>
        <w:t>an</w:t>
      </w:r>
      <w:r>
        <w:rPr>
          <w:spacing w:val="-7"/>
          <w:sz w:val="20"/>
        </w:rPr>
        <w:t xml:space="preserve"> </w:t>
      </w:r>
      <w:r>
        <w:rPr>
          <w:sz w:val="20"/>
        </w:rPr>
        <w:t>expansion</w:t>
      </w:r>
    </w:p>
    <w:p w:rsidR="002C1123" w:rsidRDefault="00F22F94">
      <w:pPr>
        <w:pStyle w:val="BodyText"/>
        <w:spacing w:before="2" w:line="249" w:lineRule="auto"/>
        <w:ind w:left="534"/>
      </w:pPr>
      <w:r>
        <w:rPr>
          <w:w w:val="95"/>
        </w:rPr>
        <w:t>of</w:t>
      </w:r>
      <w:r>
        <w:rPr>
          <w:spacing w:val="-6"/>
          <w:w w:val="95"/>
        </w:rPr>
        <w:t xml:space="preserve"> </w:t>
      </w:r>
      <w:r>
        <w:rPr>
          <w:w w:val="95"/>
        </w:rPr>
        <w:t>the</w:t>
      </w:r>
      <w:r>
        <w:rPr>
          <w:spacing w:val="-6"/>
          <w:w w:val="95"/>
        </w:rPr>
        <w:t xml:space="preserve"> </w:t>
      </w:r>
      <w:r>
        <w:rPr>
          <w:w w:val="95"/>
        </w:rPr>
        <w:t>M5</w:t>
      </w:r>
      <w:r>
        <w:rPr>
          <w:spacing w:val="-6"/>
          <w:w w:val="95"/>
        </w:rPr>
        <w:t xml:space="preserve"> </w:t>
      </w:r>
      <w:r>
        <w:rPr>
          <w:w w:val="95"/>
        </w:rPr>
        <w:t>East.</w:t>
      </w:r>
      <w:r>
        <w:rPr>
          <w:spacing w:val="-6"/>
          <w:w w:val="95"/>
        </w:rPr>
        <w:t xml:space="preserve"> </w:t>
      </w:r>
      <w:r>
        <w:rPr>
          <w:w w:val="95"/>
        </w:rPr>
        <w:t>This</w:t>
      </w:r>
      <w:r>
        <w:rPr>
          <w:spacing w:val="-6"/>
          <w:w w:val="95"/>
        </w:rPr>
        <w:t xml:space="preserve"> </w:t>
      </w:r>
      <w:r>
        <w:rPr>
          <w:w w:val="95"/>
        </w:rPr>
        <w:t>new</w:t>
      </w:r>
      <w:r>
        <w:rPr>
          <w:spacing w:val="-6"/>
          <w:w w:val="95"/>
        </w:rPr>
        <w:t xml:space="preserve"> </w:t>
      </w:r>
      <w:r>
        <w:rPr>
          <w:w w:val="95"/>
        </w:rPr>
        <w:t>tollroad</w:t>
      </w:r>
      <w:r>
        <w:rPr>
          <w:spacing w:val="-6"/>
          <w:w w:val="95"/>
        </w:rPr>
        <w:t xml:space="preserve"> </w:t>
      </w:r>
      <w:r>
        <w:rPr>
          <w:w w:val="95"/>
        </w:rPr>
        <w:t>is</w:t>
      </w:r>
      <w:r>
        <w:rPr>
          <w:spacing w:val="-6"/>
          <w:w w:val="95"/>
        </w:rPr>
        <w:t xml:space="preserve"> </w:t>
      </w:r>
      <w:r>
        <w:rPr>
          <w:w w:val="95"/>
        </w:rPr>
        <w:t>proposed</w:t>
      </w:r>
      <w:r>
        <w:rPr>
          <w:spacing w:val="-6"/>
          <w:w w:val="95"/>
        </w:rPr>
        <w:t xml:space="preserve"> </w:t>
      </w:r>
      <w:r>
        <w:rPr>
          <w:w w:val="95"/>
        </w:rPr>
        <w:t>to</w:t>
      </w:r>
      <w:r>
        <w:rPr>
          <w:spacing w:val="-6"/>
          <w:w w:val="95"/>
        </w:rPr>
        <w:t xml:space="preserve"> </w:t>
      </w:r>
      <w:r>
        <w:rPr>
          <w:w w:val="95"/>
        </w:rPr>
        <w:t xml:space="preserve">be </w:t>
      </w:r>
      <w:r>
        <w:t>delivered</w:t>
      </w:r>
      <w:r>
        <w:rPr>
          <w:spacing w:val="-14"/>
        </w:rPr>
        <w:t xml:space="preserve"> </w:t>
      </w:r>
      <w:r>
        <w:t>in</w:t>
      </w:r>
      <w:r>
        <w:rPr>
          <w:spacing w:val="-14"/>
        </w:rPr>
        <w:t xml:space="preserve"> </w:t>
      </w:r>
      <w:r>
        <w:t>stages</w:t>
      </w:r>
      <w:r>
        <w:rPr>
          <w:spacing w:val="-13"/>
        </w:rPr>
        <w:t xml:space="preserve"> </w:t>
      </w:r>
      <w:r>
        <w:t>over</w:t>
      </w:r>
      <w:r>
        <w:rPr>
          <w:spacing w:val="-14"/>
        </w:rPr>
        <w:t xml:space="preserve"> </w:t>
      </w:r>
      <w:r>
        <w:t>the</w:t>
      </w:r>
      <w:r>
        <w:rPr>
          <w:spacing w:val="-14"/>
        </w:rPr>
        <w:t xml:space="preserve"> </w:t>
      </w:r>
      <w:r>
        <w:t>next</w:t>
      </w:r>
      <w:r>
        <w:rPr>
          <w:spacing w:val="-13"/>
        </w:rPr>
        <w:t xml:space="preserve"> </w:t>
      </w:r>
      <w:r>
        <w:t>ten</w:t>
      </w:r>
      <w:r>
        <w:rPr>
          <w:spacing w:val="-14"/>
        </w:rPr>
        <w:t xml:space="preserve"> </w:t>
      </w:r>
      <w:r>
        <w:t>years.</w:t>
      </w:r>
    </w:p>
    <w:p w:rsidR="002C1123" w:rsidRDefault="00F22F94">
      <w:pPr>
        <w:pStyle w:val="ListParagraph"/>
        <w:numPr>
          <w:ilvl w:val="0"/>
          <w:numId w:val="7"/>
        </w:numPr>
        <w:tabs>
          <w:tab w:val="left" w:pos="535"/>
        </w:tabs>
        <w:spacing w:before="131" w:line="249" w:lineRule="auto"/>
        <w:ind w:left="534" w:right="31"/>
        <w:rPr>
          <w:sz w:val="20"/>
        </w:rPr>
      </w:pPr>
      <w:r>
        <w:rPr>
          <w:sz w:val="20"/>
        </w:rPr>
        <w:t>The</w:t>
      </w:r>
      <w:r>
        <w:rPr>
          <w:spacing w:val="-14"/>
          <w:sz w:val="20"/>
        </w:rPr>
        <w:t xml:space="preserve"> </w:t>
      </w:r>
      <w:r>
        <w:rPr>
          <w:sz w:val="20"/>
        </w:rPr>
        <w:t>F3-M2</w:t>
      </w:r>
      <w:r>
        <w:rPr>
          <w:spacing w:val="-14"/>
          <w:sz w:val="20"/>
        </w:rPr>
        <w:t xml:space="preserve"> </w:t>
      </w:r>
      <w:r>
        <w:rPr>
          <w:sz w:val="20"/>
        </w:rPr>
        <w:t>link</w:t>
      </w:r>
      <w:r>
        <w:rPr>
          <w:spacing w:val="-14"/>
          <w:sz w:val="20"/>
        </w:rPr>
        <w:t xml:space="preserve"> </w:t>
      </w:r>
      <w:r>
        <w:rPr>
          <w:sz w:val="20"/>
        </w:rPr>
        <w:t>and</w:t>
      </w:r>
      <w:r>
        <w:rPr>
          <w:spacing w:val="-14"/>
          <w:sz w:val="20"/>
        </w:rPr>
        <w:t xml:space="preserve"> </w:t>
      </w:r>
      <w:r>
        <w:rPr>
          <w:sz w:val="20"/>
        </w:rPr>
        <w:t>F6</w:t>
      </w:r>
      <w:r>
        <w:rPr>
          <w:spacing w:val="-14"/>
          <w:sz w:val="20"/>
        </w:rPr>
        <w:t xml:space="preserve"> </w:t>
      </w:r>
      <w:r>
        <w:rPr>
          <w:sz w:val="20"/>
        </w:rPr>
        <w:t>extension</w:t>
      </w:r>
      <w:r>
        <w:rPr>
          <w:spacing w:val="-14"/>
          <w:sz w:val="20"/>
        </w:rPr>
        <w:t xml:space="preserve"> </w:t>
      </w:r>
      <w:r>
        <w:rPr>
          <w:sz w:val="20"/>
        </w:rPr>
        <w:t>are</w:t>
      </w:r>
      <w:r>
        <w:rPr>
          <w:spacing w:val="-14"/>
          <w:sz w:val="20"/>
        </w:rPr>
        <w:t xml:space="preserve"> </w:t>
      </w:r>
      <w:r>
        <w:rPr>
          <w:sz w:val="20"/>
        </w:rPr>
        <w:t>also</w:t>
      </w:r>
      <w:r>
        <w:rPr>
          <w:spacing w:val="-14"/>
          <w:sz w:val="20"/>
        </w:rPr>
        <w:t xml:space="preserve"> </w:t>
      </w:r>
      <w:r>
        <w:rPr>
          <w:sz w:val="20"/>
        </w:rPr>
        <w:t>highly desirable</w:t>
      </w:r>
      <w:r>
        <w:rPr>
          <w:spacing w:val="-14"/>
          <w:sz w:val="20"/>
        </w:rPr>
        <w:t xml:space="preserve"> </w:t>
      </w:r>
      <w:r>
        <w:rPr>
          <w:sz w:val="20"/>
        </w:rPr>
        <w:t>to</w:t>
      </w:r>
      <w:r>
        <w:rPr>
          <w:spacing w:val="-14"/>
          <w:sz w:val="20"/>
        </w:rPr>
        <w:t xml:space="preserve"> </w:t>
      </w:r>
      <w:r>
        <w:rPr>
          <w:sz w:val="20"/>
        </w:rPr>
        <w:t>bring</w:t>
      </w:r>
      <w:r>
        <w:rPr>
          <w:spacing w:val="-14"/>
          <w:sz w:val="20"/>
        </w:rPr>
        <w:t xml:space="preserve"> </w:t>
      </w:r>
      <w:r>
        <w:rPr>
          <w:sz w:val="20"/>
        </w:rPr>
        <w:t>connections</w:t>
      </w:r>
      <w:r>
        <w:rPr>
          <w:spacing w:val="-14"/>
          <w:sz w:val="20"/>
        </w:rPr>
        <w:t xml:space="preserve"> </w:t>
      </w:r>
      <w:r>
        <w:rPr>
          <w:sz w:val="20"/>
        </w:rPr>
        <w:t>North</w:t>
      </w:r>
      <w:r>
        <w:rPr>
          <w:spacing w:val="-14"/>
          <w:sz w:val="20"/>
        </w:rPr>
        <w:t xml:space="preserve"> </w:t>
      </w:r>
      <w:r>
        <w:rPr>
          <w:sz w:val="20"/>
        </w:rPr>
        <w:t>and</w:t>
      </w:r>
      <w:r>
        <w:rPr>
          <w:spacing w:val="-14"/>
          <w:sz w:val="20"/>
        </w:rPr>
        <w:t xml:space="preserve"> </w:t>
      </w:r>
      <w:r>
        <w:rPr>
          <w:sz w:val="20"/>
        </w:rPr>
        <w:t>South</w:t>
      </w:r>
      <w:r>
        <w:rPr>
          <w:spacing w:val="-14"/>
          <w:sz w:val="20"/>
        </w:rPr>
        <w:t xml:space="preserve"> </w:t>
      </w:r>
      <w:r>
        <w:rPr>
          <w:sz w:val="20"/>
        </w:rPr>
        <w:t xml:space="preserve">of </w:t>
      </w:r>
      <w:r>
        <w:rPr>
          <w:w w:val="95"/>
          <w:sz w:val="20"/>
        </w:rPr>
        <w:t>Sydney</w:t>
      </w:r>
      <w:r>
        <w:rPr>
          <w:spacing w:val="-1"/>
          <w:w w:val="95"/>
          <w:sz w:val="20"/>
        </w:rPr>
        <w:t xml:space="preserve"> </w:t>
      </w:r>
      <w:r>
        <w:rPr>
          <w:w w:val="95"/>
          <w:sz w:val="20"/>
        </w:rPr>
        <w:t>up</w:t>
      </w:r>
      <w:r>
        <w:rPr>
          <w:spacing w:val="-1"/>
          <w:w w:val="95"/>
          <w:sz w:val="20"/>
        </w:rPr>
        <w:t xml:space="preserve"> </w:t>
      </w:r>
      <w:r>
        <w:rPr>
          <w:w w:val="95"/>
          <w:sz w:val="20"/>
        </w:rPr>
        <w:t>to</w:t>
      </w:r>
      <w:r>
        <w:rPr>
          <w:spacing w:val="-1"/>
          <w:w w:val="95"/>
          <w:sz w:val="20"/>
        </w:rPr>
        <w:t xml:space="preserve"> </w:t>
      </w:r>
      <w:r>
        <w:rPr>
          <w:w w:val="95"/>
          <w:sz w:val="20"/>
        </w:rPr>
        <w:t>motorway</w:t>
      </w:r>
      <w:r>
        <w:rPr>
          <w:spacing w:val="-1"/>
          <w:w w:val="95"/>
          <w:sz w:val="20"/>
        </w:rPr>
        <w:t xml:space="preserve"> </w:t>
      </w:r>
      <w:r>
        <w:rPr>
          <w:w w:val="95"/>
          <w:sz w:val="20"/>
        </w:rPr>
        <w:t>standard.</w:t>
      </w:r>
      <w:r>
        <w:rPr>
          <w:spacing w:val="-1"/>
          <w:w w:val="95"/>
          <w:sz w:val="20"/>
        </w:rPr>
        <w:t xml:space="preserve"> </w:t>
      </w:r>
      <w:r>
        <w:rPr>
          <w:w w:val="95"/>
          <w:sz w:val="20"/>
        </w:rPr>
        <w:t>These</w:t>
      </w:r>
      <w:r>
        <w:rPr>
          <w:spacing w:val="-1"/>
          <w:w w:val="95"/>
          <w:sz w:val="20"/>
        </w:rPr>
        <w:t xml:space="preserve"> </w:t>
      </w:r>
      <w:r>
        <w:rPr>
          <w:w w:val="95"/>
          <w:sz w:val="20"/>
        </w:rPr>
        <w:t>roads</w:t>
      </w:r>
      <w:r>
        <w:rPr>
          <w:spacing w:val="-1"/>
          <w:w w:val="95"/>
          <w:sz w:val="20"/>
        </w:rPr>
        <w:t xml:space="preserve"> </w:t>
      </w:r>
      <w:r>
        <w:rPr>
          <w:w w:val="95"/>
          <w:sz w:val="20"/>
        </w:rPr>
        <w:t>are scheduled for development between Years 10 and 20,</w:t>
      </w:r>
      <w:r>
        <w:rPr>
          <w:spacing w:val="-5"/>
          <w:w w:val="95"/>
          <w:sz w:val="20"/>
        </w:rPr>
        <w:t xml:space="preserve"> </w:t>
      </w:r>
      <w:r>
        <w:rPr>
          <w:w w:val="95"/>
          <w:sz w:val="20"/>
        </w:rPr>
        <w:t>but</w:t>
      </w:r>
      <w:r>
        <w:rPr>
          <w:spacing w:val="-5"/>
          <w:w w:val="95"/>
          <w:sz w:val="20"/>
        </w:rPr>
        <w:t xml:space="preserve"> </w:t>
      </w:r>
      <w:r>
        <w:rPr>
          <w:w w:val="95"/>
          <w:sz w:val="20"/>
        </w:rPr>
        <w:t>may</w:t>
      </w:r>
      <w:r>
        <w:rPr>
          <w:spacing w:val="-5"/>
          <w:w w:val="95"/>
          <w:sz w:val="20"/>
        </w:rPr>
        <w:t xml:space="preserve"> </w:t>
      </w:r>
      <w:r>
        <w:rPr>
          <w:w w:val="95"/>
          <w:sz w:val="20"/>
        </w:rPr>
        <w:t>be</w:t>
      </w:r>
      <w:r>
        <w:rPr>
          <w:spacing w:val="-5"/>
          <w:w w:val="95"/>
          <w:sz w:val="20"/>
        </w:rPr>
        <w:t xml:space="preserve"> </w:t>
      </w:r>
      <w:r>
        <w:rPr>
          <w:w w:val="95"/>
          <w:sz w:val="20"/>
        </w:rPr>
        <w:t>accelerated</w:t>
      </w:r>
      <w:r>
        <w:rPr>
          <w:spacing w:val="-5"/>
          <w:w w:val="95"/>
          <w:sz w:val="20"/>
        </w:rPr>
        <w:t xml:space="preserve"> </w:t>
      </w:r>
      <w:r>
        <w:rPr>
          <w:w w:val="95"/>
          <w:sz w:val="20"/>
        </w:rPr>
        <w:t>if</w:t>
      </w:r>
      <w:r>
        <w:rPr>
          <w:spacing w:val="-5"/>
          <w:w w:val="95"/>
          <w:sz w:val="20"/>
        </w:rPr>
        <w:t xml:space="preserve"> </w:t>
      </w:r>
      <w:r>
        <w:rPr>
          <w:w w:val="95"/>
          <w:sz w:val="20"/>
        </w:rPr>
        <w:t>the</w:t>
      </w:r>
      <w:r>
        <w:rPr>
          <w:spacing w:val="-5"/>
          <w:w w:val="95"/>
          <w:sz w:val="20"/>
        </w:rPr>
        <w:t xml:space="preserve"> </w:t>
      </w:r>
      <w:r>
        <w:rPr>
          <w:w w:val="95"/>
          <w:sz w:val="20"/>
        </w:rPr>
        <w:t>private</w:t>
      </w:r>
      <w:r>
        <w:rPr>
          <w:spacing w:val="-5"/>
          <w:w w:val="95"/>
          <w:sz w:val="20"/>
        </w:rPr>
        <w:t xml:space="preserve"> </w:t>
      </w:r>
      <w:r>
        <w:rPr>
          <w:w w:val="95"/>
          <w:sz w:val="20"/>
        </w:rPr>
        <w:t>sector</w:t>
      </w:r>
      <w:r>
        <w:rPr>
          <w:spacing w:val="-5"/>
          <w:w w:val="95"/>
          <w:sz w:val="20"/>
        </w:rPr>
        <w:t xml:space="preserve"> </w:t>
      </w:r>
      <w:r>
        <w:rPr>
          <w:w w:val="95"/>
          <w:sz w:val="20"/>
        </w:rPr>
        <w:t xml:space="preserve">can </w:t>
      </w:r>
      <w:r>
        <w:rPr>
          <w:sz w:val="20"/>
        </w:rPr>
        <w:t>provide</w:t>
      </w:r>
      <w:r>
        <w:rPr>
          <w:spacing w:val="-11"/>
          <w:sz w:val="20"/>
        </w:rPr>
        <w:t xml:space="preserve"> </w:t>
      </w:r>
      <w:r>
        <w:rPr>
          <w:sz w:val="20"/>
        </w:rPr>
        <w:t>financing.</w:t>
      </w:r>
    </w:p>
    <w:p w:rsidR="002C1123" w:rsidRDefault="00F22F94">
      <w:pPr>
        <w:pStyle w:val="ListParagraph"/>
        <w:numPr>
          <w:ilvl w:val="0"/>
          <w:numId w:val="7"/>
        </w:numPr>
        <w:tabs>
          <w:tab w:val="left" w:pos="535"/>
        </w:tabs>
        <w:spacing w:before="134" w:line="249" w:lineRule="auto"/>
        <w:ind w:left="534" w:right="5"/>
        <w:rPr>
          <w:sz w:val="20"/>
        </w:rPr>
      </w:pPr>
      <w:r>
        <w:rPr>
          <w:w w:val="95"/>
          <w:sz w:val="20"/>
        </w:rPr>
        <w:t xml:space="preserve">We need to make the most of the existing network. </w:t>
      </w:r>
      <w:r>
        <w:rPr>
          <w:sz w:val="20"/>
        </w:rPr>
        <w:t>Infrastructure NSW supports the managed motorways program</w:t>
      </w:r>
      <w:r>
        <w:rPr>
          <w:spacing w:val="-1"/>
          <w:sz w:val="20"/>
        </w:rPr>
        <w:t xml:space="preserve"> </w:t>
      </w:r>
      <w:r>
        <w:rPr>
          <w:sz w:val="20"/>
        </w:rPr>
        <w:t>and views the concept of variable</w:t>
      </w:r>
      <w:r>
        <w:rPr>
          <w:spacing w:val="-13"/>
          <w:sz w:val="20"/>
        </w:rPr>
        <w:t xml:space="preserve"> </w:t>
      </w:r>
      <w:r>
        <w:rPr>
          <w:sz w:val="20"/>
        </w:rPr>
        <w:t>road</w:t>
      </w:r>
      <w:r>
        <w:rPr>
          <w:spacing w:val="-13"/>
          <w:sz w:val="20"/>
        </w:rPr>
        <w:t xml:space="preserve"> </w:t>
      </w:r>
      <w:r>
        <w:rPr>
          <w:sz w:val="20"/>
        </w:rPr>
        <w:t>pricing</w:t>
      </w:r>
      <w:r>
        <w:rPr>
          <w:spacing w:val="-13"/>
          <w:sz w:val="20"/>
        </w:rPr>
        <w:t xml:space="preserve"> </w:t>
      </w:r>
      <w:r>
        <w:rPr>
          <w:sz w:val="20"/>
        </w:rPr>
        <w:t>as</w:t>
      </w:r>
      <w:r>
        <w:rPr>
          <w:spacing w:val="-13"/>
          <w:sz w:val="20"/>
        </w:rPr>
        <w:t xml:space="preserve"> </w:t>
      </w:r>
      <w:r>
        <w:rPr>
          <w:sz w:val="20"/>
        </w:rPr>
        <w:t>having</w:t>
      </w:r>
      <w:r>
        <w:rPr>
          <w:spacing w:val="-13"/>
          <w:sz w:val="20"/>
        </w:rPr>
        <w:t xml:space="preserve"> </w:t>
      </w:r>
      <w:r>
        <w:rPr>
          <w:sz w:val="20"/>
        </w:rPr>
        <w:t>merit</w:t>
      </w:r>
      <w:r>
        <w:rPr>
          <w:spacing w:val="-13"/>
          <w:sz w:val="20"/>
        </w:rPr>
        <w:t xml:space="preserve"> </w:t>
      </w:r>
      <w:r>
        <w:rPr>
          <w:sz w:val="20"/>
        </w:rPr>
        <w:t>over</w:t>
      </w:r>
      <w:r>
        <w:rPr>
          <w:spacing w:val="-13"/>
          <w:sz w:val="20"/>
        </w:rPr>
        <w:t xml:space="preserve"> </w:t>
      </w:r>
      <w:r>
        <w:rPr>
          <w:sz w:val="20"/>
        </w:rPr>
        <w:t xml:space="preserve">the </w:t>
      </w:r>
      <w:r>
        <w:rPr>
          <w:w w:val="95"/>
          <w:sz w:val="20"/>
        </w:rPr>
        <w:t>longer</w:t>
      </w:r>
      <w:r>
        <w:rPr>
          <w:spacing w:val="-3"/>
          <w:w w:val="95"/>
          <w:sz w:val="20"/>
        </w:rPr>
        <w:t xml:space="preserve"> </w:t>
      </w:r>
      <w:r>
        <w:rPr>
          <w:w w:val="95"/>
          <w:sz w:val="20"/>
        </w:rPr>
        <w:t>term.</w:t>
      </w:r>
      <w:r>
        <w:rPr>
          <w:spacing w:val="-3"/>
          <w:w w:val="95"/>
          <w:sz w:val="20"/>
        </w:rPr>
        <w:t xml:space="preserve"> </w:t>
      </w:r>
      <w:r>
        <w:rPr>
          <w:w w:val="95"/>
          <w:sz w:val="20"/>
        </w:rPr>
        <w:t>A</w:t>
      </w:r>
      <w:r>
        <w:rPr>
          <w:spacing w:val="-3"/>
          <w:w w:val="95"/>
          <w:sz w:val="20"/>
        </w:rPr>
        <w:t xml:space="preserve"> </w:t>
      </w:r>
      <w:r>
        <w:rPr>
          <w:w w:val="95"/>
          <w:sz w:val="20"/>
        </w:rPr>
        <w:t>program</w:t>
      </w:r>
      <w:r>
        <w:rPr>
          <w:spacing w:val="-4"/>
          <w:w w:val="95"/>
          <w:sz w:val="20"/>
        </w:rPr>
        <w:t xml:space="preserve"> </w:t>
      </w:r>
      <w:r>
        <w:rPr>
          <w:w w:val="95"/>
          <w:sz w:val="20"/>
        </w:rPr>
        <w:t>of</w:t>
      </w:r>
      <w:r>
        <w:rPr>
          <w:spacing w:val="-3"/>
          <w:w w:val="95"/>
          <w:sz w:val="20"/>
        </w:rPr>
        <w:t xml:space="preserve"> </w:t>
      </w:r>
      <w:r>
        <w:rPr>
          <w:w w:val="95"/>
          <w:sz w:val="20"/>
        </w:rPr>
        <w:t>investment</w:t>
      </w:r>
      <w:r>
        <w:rPr>
          <w:spacing w:val="-3"/>
          <w:w w:val="95"/>
          <w:sz w:val="20"/>
        </w:rPr>
        <w:t xml:space="preserve"> </w:t>
      </w:r>
      <w:r>
        <w:rPr>
          <w:w w:val="95"/>
          <w:sz w:val="20"/>
        </w:rPr>
        <w:t>in</w:t>
      </w:r>
      <w:r>
        <w:rPr>
          <w:spacing w:val="-3"/>
          <w:w w:val="95"/>
          <w:sz w:val="20"/>
        </w:rPr>
        <w:t xml:space="preserve"> </w:t>
      </w:r>
      <w:r>
        <w:rPr>
          <w:w w:val="95"/>
          <w:sz w:val="20"/>
        </w:rPr>
        <w:t xml:space="preserve">congestion </w:t>
      </w:r>
      <w:r>
        <w:rPr>
          <w:sz w:val="20"/>
        </w:rPr>
        <w:t>hotspots</w:t>
      </w:r>
      <w:r>
        <w:rPr>
          <w:spacing w:val="-2"/>
          <w:sz w:val="20"/>
        </w:rPr>
        <w:t xml:space="preserve"> </w:t>
      </w:r>
      <w:r>
        <w:rPr>
          <w:sz w:val="20"/>
        </w:rPr>
        <w:t>across</w:t>
      </w:r>
      <w:r>
        <w:rPr>
          <w:spacing w:val="-2"/>
          <w:sz w:val="20"/>
        </w:rPr>
        <w:t xml:space="preserve"> </w:t>
      </w:r>
      <w:r>
        <w:rPr>
          <w:sz w:val="20"/>
        </w:rPr>
        <w:t>the</w:t>
      </w:r>
      <w:r>
        <w:rPr>
          <w:spacing w:val="-2"/>
          <w:sz w:val="20"/>
        </w:rPr>
        <w:t xml:space="preserve"> </w:t>
      </w:r>
      <w:r>
        <w:rPr>
          <w:sz w:val="20"/>
        </w:rPr>
        <w:t>city</w:t>
      </w:r>
      <w:r>
        <w:rPr>
          <w:spacing w:val="-2"/>
          <w:sz w:val="20"/>
        </w:rPr>
        <w:t xml:space="preserve"> </w:t>
      </w:r>
      <w:r>
        <w:rPr>
          <w:sz w:val="20"/>
        </w:rPr>
        <w:t>is</w:t>
      </w:r>
      <w:r>
        <w:rPr>
          <w:spacing w:val="-2"/>
          <w:sz w:val="20"/>
        </w:rPr>
        <w:t xml:space="preserve"> </w:t>
      </w:r>
      <w:r>
        <w:rPr>
          <w:sz w:val="20"/>
        </w:rPr>
        <w:t>also</w:t>
      </w:r>
      <w:r>
        <w:rPr>
          <w:spacing w:val="-2"/>
          <w:sz w:val="20"/>
        </w:rPr>
        <w:t xml:space="preserve"> </w:t>
      </w:r>
      <w:r>
        <w:rPr>
          <w:sz w:val="20"/>
        </w:rPr>
        <w:t xml:space="preserve">recommended, </w:t>
      </w:r>
      <w:r>
        <w:rPr>
          <w:w w:val="95"/>
          <w:sz w:val="20"/>
        </w:rPr>
        <w:t>including in Parramatta and other growing centres.</w:t>
      </w:r>
    </w:p>
    <w:p w:rsidR="002C1123" w:rsidRDefault="00F22F94">
      <w:pPr>
        <w:rPr>
          <w:sz w:val="32"/>
        </w:rPr>
      </w:pPr>
      <w:r>
        <w:br w:type="column"/>
      </w:r>
    </w:p>
    <w:p w:rsidR="002C1123" w:rsidRDefault="002C1123">
      <w:pPr>
        <w:pStyle w:val="BodyText"/>
        <w:rPr>
          <w:sz w:val="32"/>
        </w:rPr>
      </w:pPr>
    </w:p>
    <w:p w:rsidR="002C1123" w:rsidRDefault="002C1123">
      <w:pPr>
        <w:pStyle w:val="BodyText"/>
        <w:rPr>
          <w:sz w:val="32"/>
        </w:rPr>
      </w:pPr>
    </w:p>
    <w:p w:rsidR="002C1123" w:rsidRDefault="002C1123">
      <w:pPr>
        <w:pStyle w:val="BodyText"/>
        <w:rPr>
          <w:sz w:val="32"/>
        </w:rPr>
      </w:pPr>
    </w:p>
    <w:p w:rsidR="002C1123" w:rsidRDefault="002C1123">
      <w:pPr>
        <w:pStyle w:val="BodyText"/>
        <w:spacing w:before="9"/>
        <w:rPr>
          <w:sz w:val="26"/>
        </w:rPr>
      </w:pPr>
    </w:p>
    <w:p w:rsidR="002C1123" w:rsidRDefault="00F22F94">
      <w:pPr>
        <w:pStyle w:val="Heading5"/>
        <w:numPr>
          <w:ilvl w:val="1"/>
          <w:numId w:val="97"/>
        </w:numPr>
        <w:tabs>
          <w:tab w:val="left" w:pos="904"/>
        </w:tabs>
        <w:spacing w:before="1"/>
        <w:ind w:hanging="451"/>
        <w:jc w:val="left"/>
        <w:rPr>
          <w:sz w:val="16"/>
        </w:rPr>
      </w:pPr>
      <w:r>
        <w:rPr>
          <w:color w:val="00AEEF"/>
          <w:spacing w:val="-2"/>
        </w:rPr>
        <w:t>Snapshot</w:t>
      </w:r>
      <w:r>
        <w:rPr>
          <w:color w:val="00AEEF"/>
          <w:spacing w:val="-2"/>
          <w:position w:val="9"/>
          <w:sz w:val="16"/>
        </w:rPr>
        <w:t>1</w:t>
      </w:r>
    </w:p>
    <w:p w:rsidR="002C1123" w:rsidRDefault="00F22F94">
      <w:pPr>
        <w:pStyle w:val="ListParagraph"/>
        <w:numPr>
          <w:ilvl w:val="0"/>
          <w:numId w:val="95"/>
        </w:numPr>
        <w:tabs>
          <w:tab w:val="left" w:pos="738"/>
        </w:tabs>
        <w:spacing w:before="122" w:line="249" w:lineRule="auto"/>
        <w:ind w:right="823"/>
        <w:rPr>
          <w:sz w:val="20"/>
        </w:rPr>
      </w:pPr>
      <w:r>
        <w:rPr>
          <w:w w:val="95"/>
          <w:sz w:val="20"/>
        </w:rPr>
        <w:t xml:space="preserve">The road network is the dominant transport network </w:t>
      </w:r>
      <w:r>
        <w:rPr>
          <w:sz w:val="20"/>
        </w:rPr>
        <w:t>in</w:t>
      </w:r>
      <w:r>
        <w:rPr>
          <w:spacing w:val="-14"/>
          <w:sz w:val="20"/>
        </w:rPr>
        <w:t xml:space="preserve"> </w:t>
      </w:r>
      <w:r>
        <w:rPr>
          <w:sz w:val="20"/>
        </w:rPr>
        <w:t>Sydney,</w:t>
      </w:r>
      <w:r>
        <w:rPr>
          <w:spacing w:val="-14"/>
          <w:sz w:val="20"/>
        </w:rPr>
        <w:t xml:space="preserve"> </w:t>
      </w:r>
      <w:r>
        <w:rPr>
          <w:sz w:val="20"/>
        </w:rPr>
        <w:t>and</w:t>
      </w:r>
      <w:r>
        <w:rPr>
          <w:spacing w:val="-14"/>
          <w:sz w:val="20"/>
        </w:rPr>
        <w:t xml:space="preserve"> </w:t>
      </w:r>
      <w:r>
        <w:rPr>
          <w:sz w:val="20"/>
        </w:rPr>
        <w:t>will</w:t>
      </w:r>
      <w:r>
        <w:rPr>
          <w:spacing w:val="-14"/>
          <w:sz w:val="20"/>
        </w:rPr>
        <w:t xml:space="preserve"> </w:t>
      </w:r>
      <w:r>
        <w:rPr>
          <w:sz w:val="20"/>
        </w:rPr>
        <w:t>remain</w:t>
      </w:r>
      <w:r>
        <w:rPr>
          <w:spacing w:val="-14"/>
          <w:sz w:val="20"/>
        </w:rPr>
        <w:t xml:space="preserve"> </w:t>
      </w:r>
      <w:r>
        <w:rPr>
          <w:sz w:val="20"/>
        </w:rPr>
        <w:t>so</w:t>
      </w:r>
      <w:r>
        <w:rPr>
          <w:spacing w:val="-14"/>
          <w:sz w:val="20"/>
        </w:rPr>
        <w:t xml:space="preserve"> </w:t>
      </w:r>
      <w:r>
        <w:rPr>
          <w:sz w:val="20"/>
        </w:rPr>
        <w:t>over</w:t>
      </w:r>
      <w:r>
        <w:rPr>
          <w:spacing w:val="-13"/>
          <w:sz w:val="20"/>
        </w:rPr>
        <w:t xml:space="preserve"> </w:t>
      </w:r>
      <w:r>
        <w:rPr>
          <w:sz w:val="20"/>
        </w:rPr>
        <w:t>the</w:t>
      </w:r>
      <w:r>
        <w:rPr>
          <w:spacing w:val="-14"/>
          <w:sz w:val="20"/>
        </w:rPr>
        <w:t xml:space="preserve"> </w:t>
      </w:r>
      <w:r>
        <w:rPr>
          <w:sz w:val="20"/>
        </w:rPr>
        <w:t>next</w:t>
      </w:r>
      <w:r>
        <w:rPr>
          <w:spacing w:val="-14"/>
          <w:sz w:val="20"/>
        </w:rPr>
        <w:t xml:space="preserve"> </w:t>
      </w:r>
      <w:r>
        <w:rPr>
          <w:sz w:val="20"/>
        </w:rPr>
        <w:t>twenty years</w:t>
      </w:r>
      <w:r>
        <w:rPr>
          <w:spacing w:val="-7"/>
          <w:sz w:val="20"/>
        </w:rPr>
        <w:t xml:space="preserve"> </w:t>
      </w:r>
      <w:r>
        <w:rPr>
          <w:sz w:val="20"/>
        </w:rPr>
        <w:t>under</w:t>
      </w:r>
      <w:r>
        <w:rPr>
          <w:spacing w:val="-7"/>
          <w:sz w:val="20"/>
        </w:rPr>
        <w:t xml:space="preserve"> </w:t>
      </w:r>
      <w:r>
        <w:rPr>
          <w:sz w:val="20"/>
        </w:rPr>
        <w:t>any</w:t>
      </w:r>
      <w:r>
        <w:rPr>
          <w:spacing w:val="-7"/>
          <w:sz w:val="20"/>
        </w:rPr>
        <w:t xml:space="preserve"> </w:t>
      </w:r>
      <w:r>
        <w:rPr>
          <w:sz w:val="20"/>
        </w:rPr>
        <w:t>plausible</w:t>
      </w:r>
      <w:r>
        <w:rPr>
          <w:spacing w:val="-7"/>
          <w:sz w:val="20"/>
        </w:rPr>
        <w:t xml:space="preserve"> </w:t>
      </w:r>
      <w:r>
        <w:rPr>
          <w:sz w:val="20"/>
        </w:rPr>
        <w:t>scenario.</w:t>
      </w:r>
    </w:p>
    <w:p w:rsidR="002C1123" w:rsidRDefault="00F22F94">
      <w:pPr>
        <w:pStyle w:val="ListParagraph"/>
        <w:numPr>
          <w:ilvl w:val="0"/>
          <w:numId w:val="95"/>
        </w:numPr>
        <w:tabs>
          <w:tab w:val="left" w:pos="738"/>
        </w:tabs>
        <w:spacing w:before="131" w:line="249" w:lineRule="auto"/>
        <w:ind w:right="1365"/>
        <w:rPr>
          <w:sz w:val="20"/>
        </w:rPr>
      </w:pPr>
      <w:r>
        <w:rPr>
          <w:w w:val="95"/>
          <w:sz w:val="20"/>
        </w:rPr>
        <w:t>93</w:t>
      </w:r>
      <w:r>
        <w:rPr>
          <w:spacing w:val="-9"/>
          <w:w w:val="95"/>
          <w:sz w:val="20"/>
        </w:rPr>
        <w:t xml:space="preserve"> </w:t>
      </w:r>
      <w:r>
        <w:rPr>
          <w:w w:val="95"/>
          <w:sz w:val="20"/>
        </w:rPr>
        <w:t>percent</w:t>
      </w:r>
      <w:r>
        <w:rPr>
          <w:spacing w:val="-9"/>
          <w:w w:val="95"/>
          <w:sz w:val="20"/>
        </w:rPr>
        <w:t xml:space="preserve"> </w:t>
      </w:r>
      <w:r>
        <w:rPr>
          <w:w w:val="95"/>
          <w:sz w:val="20"/>
        </w:rPr>
        <w:t>of</w:t>
      </w:r>
      <w:r>
        <w:rPr>
          <w:spacing w:val="-9"/>
          <w:w w:val="95"/>
          <w:sz w:val="20"/>
        </w:rPr>
        <w:t xml:space="preserve"> </w:t>
      </w:r>
      <w:r>
        <w:rPr>
          <w:w w:val="95"/>
          <w:sz w:val="20"/>
        </w:rPr>
        <w:t>passenger</w:t>
      </w:r>
      <w:r>
        <w:rPr>
          <w:spacing w:val="-9"/>
          <w:w w:val="95"/>
          <w:sz w:val="20"/>
        </w:rPr>
        <w:t xml:space="preserve"> </w:t>
      </w:r>
      <w:r>
        <w:rPr>
          <w:w w:val="95"/>
          <w:sz w:val="20"/>
        </w:rPr>
        <w:t>travel</w:t>
      </w:r>
      <w:r>
        <w:rPr>
          <w:spacing w:val="-9"/>
          <w:w w:val="95"/>
          <w:sz w:val="20"/>
        </w:rPr>
        <w:t xml:space="preserve"> </w:t>
      </w:r>
      <w:r>
        <w:rPr>
          <w:w w:val="95"/>
          <w:sz w:val="20"/>
        </w:rPr>
        <w:t>in</w:t>
      </w:r>
      <w:r>
        <w:rPr>
          <w:spacing w:val="-9"/>
          <w:w w:val="95"/>
          <w:sz w:val="20"/>
        </w:rPr>
        <w:t xml:space="preserve"> </w:t>
      </w:r>
      <w:r>
        <w:rPr>
          <w:w w:val="95"/>
          <w:sz w:val="20"/>
        </w:rPr>
        <w:t>Sydney</w:t>
      </w:r>
      <w:r>
        <w:rPr>
          <w:spacing w:val="-9"/>
          <w:w w:val="95"/>
          <w:sz w:val="20"/>
        </w:rPr>
        <w:t xml:space="preserve"> </w:t>
      </w:r>
      <w:r>
        <w:rPr>
          <w:w w:val="95"/>
          <w:sz w:val="20"/>
        </w:rPr>
        <w:t>is</w:t>
      </w:r>
      <w:r>
        <w:rPr>
          <w:spacing w:val="-9"/>
          <w:w w:val="95"/>
          <w:sz w:val="20"/>
        </w:rPr>
        <w:t xml:space="preserve"> </w:t>
      </w:r>
      <w:r>
        <w:rPr>
          <w:w w:val="95"/>
          <w:sz w:val="20"/>
        </w:rPr>
        <w:t xml:space="preserve">by </w:t>
      </w:r>
      <w:r>
        <w:rPr>
          <w:sz w:val="20"/>
        </w:rPr>
        <w:t>road</w:t>
      </w:r>
      <w:r>
        <w:rPr>
          <w:spacing w:val="-14"/>
          <w:sz w:val="20"/>
        </w:rPr>
        <w:t xml:space="preserve"> </w:t>
      </w:r>
      <w:r>
        <w:rPr>
          <w:sz w:val="20"/>
        </w:rPr>
        <w:t>(refer</w:t>
      </w:r>
      <w:r>
        <w:rPr>
          <w:spacing w:val="-14"/>
          <w:sz w:val="20"/>
        </w:rPr>
        <w:t xml:space="preserve"> </w:t>
      </w:r>
      <w:r>
        <w:rPr>
          <w:sz w:val="20"/>
        </w:rPr>
        <w:t>Section</w:t>
      </w:r>
      <w:r>
        <w:rPr>
          <w:spacing w:val="-14"/>
          <w:sz w:val="20"/>
        </w:rPr>
        <w:t xml:space="preserve"> </w:t>
      </w:r>
      <w:r>
        <w:rPr>
          <w:sz w:val="20"/>
        </w:rPr>
        <w:t>2)</w:t>
      </w:r>
      <w:r>
        <w:rPr>
          <w:spacing w:val="-14"/>
          <w:sz w:val="20"/>
        </w:rPr>
        <w:t xml:space="preserve"> </w:t>
      </w:r>
      <w:r>
        <w:rPr>
          <w:sz w:val="20"/>
        </w:rPr>
        <w:t>–</w:t>
      </w:r>
      <w:r>
        <w:rPr>
          <w:spacing w:val="-14"/>
          <w:sz w:val="20"/>
        </w:rPr>
        <w:t xml:space="preserve"> </w:t>
      </w:r>
      <w:r>
        <w:rPr>
          <w:sz w:val="20"/>
        </w:rPr>
        <w:t>12</w:t>
      </w:r>
      <w:r>
        <w:rPr>
          <w:spacing w:val="-14"/>
          <w:sz w:val="20"/>
        </w:rPr>
        <w:t xml:space="preserve"> </w:t>
      </w:r>
      <w:r>
        <w:rPr>
          <w:sz w:val="20"/>
        </w:rPr>
        <w:t>million</w:t>
      </w:r>
      <w:r>
        <w:rPr>
          <w:spacing w:val="-14"/>
          <w:sz w:val="20"/>
        </w:rPr>
        <w:t xml:space="preserve"> </w:t>
      </w:r>
      <w:r>
        <w:rPr>
          <w:sz w:val="20"/>
        </w:rPr>
        <w:t>trips</w:t>
      </w:r>
      <w:r>
        <w:rPr>
          <w:spacing w:val="-14"/>
          <w:sz w:val="20"/>
        </w:rPr>
        <w:t xml:space="preserve"> </w:t>
      </w:r>
      <w:r>
        <w:rPr>
          <w:sz w:val="20"/>
        </w:rPr>
        <w:t>on</w:t>
      </w:r>
      <w:r>
        <w:rPr>
          <w:spacing w:val="-14"/>
          <w:sz w:val="20"/>
        </w:rPr>
        <w:t xml:space="preserve"> </w:t>
      </w:r>
      <w:r>
        <w:rPr>
          <w:sz w:val="20"/>
        </w:rPr>
        <w:t>an average</w:t>
      </w:r>
      <w:r>
        <w:rPr>
          <w:spacing w:val="-11"/>
          <w:sz w:val="20"/>
        </w:rPr>
        <w:t xml:space="preserve"> </w:t>
      </w:r>
      <w:r>
        <w:rPr>
          <w:sz w:val="20"/>
        </w:rPr>
        <w:t>weekday.</w:t>
      </w:r>
    </w:p>
    <w:p w:rsidR="002C1123" w:rsidRDefault="00F22F94">
      <w:pPr>
        <w:pStyle w:val="ListParagraph"/>
        <w:numPr>
          <w:ilvl w:val="0"/>
          <w:numId w:val="95"/>
        </w:numPr>
        <w:tabs>
          <w:tab w:val="left" w:pos="738"/>
        </w:tabs>
        <w:spacing w:before="131" w:line="249" w:lineRule="auto"/>
        <w:ind w:right="938"/>
        <w:jc w:val="both"/>
        <w:rPr>
          <w:sz w:val="20"/>
        </w:rPr>
      </w:pPr>
      <w:r>
        <w:rPr>
          <w:w w:val="95"/>
          <w:sz w:val="20"/>
        </w:rPr>
        <w:t>The</w:t>
      </w:r>
      <w:r>
        <w:rPr>
          <w:spacing w:val="-4"/>
          <w:w w:val="95"/>
          <w:sz w:val="20"/>
        </w:rPr>
        <w:t xml:space="preserve"> </w:t>
      </w:r>
      <w:r>
        <w:rPr>
          <w:w w:val="95"/>
          <w:sz w:val="20"/>
        </w:rPr>
        <w:t>vast</w:t>
      </w:r>
      <w:r>
        <w:rPr>
          <w:spacing w:val="-4"/>
          <w:w w:val="95"/>
          <w:sz w:val="20"/>
        </w:rPr>
        <w:t xml:space="preserve"> </w:t>
      </w:r>
      <w:r>
        <w:rPr>
          <w:w w:val="95"/>
          <w:sz w:val="20"/>
        </w:rPr>
        <w:t>majority</w:t>
      </w:r>
      <w:r>
        <w:rPr>
          <w:spacing w:val="-4"/>
          <w:w w:val="95"/>
          <w:sz w:val="20"/>
        </w:rPr>
        <w:t xml:space="preserve"> </w:t>
      </w:r>
      <w:r>
        <w:rPr>
          <w:w w:val="95"/>
          <w:sz w:val="20"/>
        </w:rPr>
        <w:t>of</w:t>
      </w:r>
      <w:r>
        <w:rPr>
          <w:spacing w:val="-4"/>
          <w:w w:val="95"/>
          <w:sz w:val="20"/>
        </w:rPr>
        <w:t xml:space="preserve"> </w:t>
      </w:r>
      <w:r>
        <w:rPr>
          <w:w w:val="95"/>
          <w:sz w:val="20"/>
        </w:rPr>
        <w:t>freight</w:t>
      </w:r>
      <w:r>
        <w:rPr>
          <w:spacing w:val="-4"/>
          <w:w w:val="95"/>
          <w:sz w:val="20"/>
        </w:rPr>
        <w:t xml:space="preserve"> </w:t>
      </w:r>
      <w:r>
        <w:rPr>
          <w:w w:val="95"/>
          <w:sz w:val="20"/>
        </w:rPr>
        <w:t>journeys</w:t>
      </w:r>
      <w:r>
        <w:rPr>
          <w:spacing w:val="-4"/>
          <w:w w:val="95"/>
          <w:sz w:val="20"/>
        </w:rPr>
        <w:t xml:space="preserve"> </w:t>
      </w:r>
      <w:r>
        <w:rPr>
          <w:w w:val="95"/>
          <w:sz w:val="20"/>
        </w:rPr>
        <w:t>in</w:t>
      </w:r>
      <w:r>
        <w:rPr>
          <w:spacing w:val="-4"/>
          <w:w w:val="95"/>
          <w:sz w:val="20"/>
        </w:rPr>
        <w:t xml:space="preserve"> </w:t>
      </w:r>
      <w:r>
        <w:rPr>
          <w:w w:val="95"/>
          <w:sz w:val="20"/>
        </w:rPr>
        <w:t>and</w:t>
      </w:r>
      <w:r>
        <w:rPr>
          <w:spacing w:val="-4"/>
          <w:w w:val="95"/>
          <w:sz w:val="20"/>
        </w:rPr>
        <w:t xml:space="preserve"> </w:t>
      </w:r>
      <w:r>
        <w:rPr>
          <w:w w:val="95"/>
          <w:sz w:val="20"/>
        </w:rPr>
        <w:t xml:space="preserve">through Sydney are by road. At present, only 14 percent of container freight to and from Port Botany is moved </w:t>
      </w:r>
      <w:r>
        <w:rPr>
          <w:sz w:val="20"/>
        </w:rPr>
        <w:t>by</w:t>
      </w:r>
      <w:r>
        <w:rPr>
          <w:spacing w:val="-9"/>
          <w:sz w:val="20"/>
        </w:rPr>
        <w:t xml:space="preserve"> </w:t>
      </w:r>
      <w:r>
        <w:rPr>
          <w:sz w:val="20"/>
        </w:rPr>
        <w:t>rail.</w:t>
      </w:r>
    </w:p>
    <w:p w:rsidR="002C1123" w:rsidRDefault="00F22F94">
      <w:pPr>
        <w:pStyle w:val="ListParagraph"/>
        <w:numPr>
          <w:ilvl w:val="0"/>
          <w:numId w:val="95"/>
        </w:numPr>
        <w:tabs>
          <w:tab w:val="left" w:pos="738"/>
        </w:tabs>
        <w:spacing w:before="133" w:line="249" w:lineRule="auto"/>
        <w:ind w:right="826"/>
        <w:jc w:val="both"/>
        <w:rPr>
          <w:sz w:val="20"/>
        </w:rPr>
      </w:pPr>
      <w:r>
        <w:rPr>
          <w:w w:val="95"/>
          <w:sz w:val="20"/>
        </w:rPr>
        <w:t>Over</w:t>
      </w:r>
      <w:r>
        <w:rPr>
          <w:spacing w:val="-3"/>
          <w:w w:val="95"/>
          <w:sz w:val="20"/>
        </w:rPr>
        <w:t xml:space="preserve"> </w:t>
      </w:r>
      <w:r>
        <w:rPr>
          <w:w w:val="95"/>
          <w:sz w:val="20"/>
        </w:rPr>
        <w:t>73</w:t>
      </w:r>
      <w:r>
        <w:rPr>
          <w:spacing w:val="-3"/>
          <w:w w:val="95"/>
          <w:sz w:val="20"/>
        </w:rPr>
        <w:t xml:space="preserve"> </w:t>
      </w:r>
      <w:r>
        <w:rPr>
          <w:w w:val="95"/>
          <w:sz w:val="20"/>
        </w:rPr>
        <w:t>percent</w:t>
      </w:r>
      <w:r>
        <w:rPr>
          <w:spacing w:val="-3"/>
          <w:w w:val="95"/>
          <w:sz w:val="20"/>
        </w:rPr>
        <w:t xml:space="preserve"> </w:t>
      </w:r>
      <w:r>
        <w:rPr>
          <w:w w:val="95"/>
          <w:sz w:val="20"/>
        </w:rPr>
        <w:t>of</w:t>
      </w:r>
      <w:r>
        <w:rPr>
          <w:spacing w:val="-3"/>
          <w:w w:val="95"/>
          <w:sz w:val="20"/>
        </w:rPr>
        <w:t xml:space="preserve"> </w:t>
      </w:r>
      <w:r>
        <w:rPr>
          <w:w w:val="95"/>
          <w:sz w:val="20"/>
        </w:rPr>
        <w:t>the</w:t>
      </w:r>
      <w:r>
        <w:rPr>
          <w:spacing w:val="-3"/>
          <w:w w:val="95"/>
          <w:sz w:val="20"/>
        </w:rPr>
        <w:t xml:space="preserve"> </w:t>
      </w:r>
      <w:r>
        <w:rPr>
          <w:w w:val="95"/>
          <w:sz w:val="20"/>
        </w:rPr>
        <w:t>forecast</w:t>
      </w:r>
      <w:r>
        <w:rPr>
          <w:spacing w:val="-3"/>
          <w:w w:val="95"/>
          <w:sz w:val="20"/>
        </w:rPr>
        <w:t xml:space="preserve"> </w:t>
      </w:r>
      <w:r>
        <w:rPr>
          <w:w w:val="95"/>
          <w:sz w:val="20"/>
        </w:rPr>
        <w:t>growth</w:t>
      </w:r>
      <w:r>
        <w:rPr>
          <w:spacing w:val="-3"/>
          <w:w w:val="95"/>
          <w:sz w:val="20"/>
        </w:rPr>
        <w:t xml:space="preserve"> </w:t>
      </w:r>
      <w:r>
        <w:rPr>
          <w:w w:val="95"/>
          <w:sz w:val="20"/>
        </w:rPr>
        <w:t>in</w:t>
      </w:r>
      <w:r>
        <w:rPr>
          <w:spacing w:val="-3"/>
          <w:w w:val="95"/>
          <w:sz w:val="20"/>
        </w:rPr>
        <w:t xml:space="preserve"> </w:t>
      </w:r>
      <w:r>
        <w:rPr>
          <w:w w:val="95"/>
          <w:sz w:val="20"/>
        </w:rPr>
        <w:t xml:space="preserve">passenger </w:t>
      </w:r>
      <w:r>
        <w:rPr>
          <w:sz w:val="20"/>
        </w:rPr>
        <w:t>journeys</w:t>
      </w:r>
      <w:r>
        <w:rPr>
          <w:spacing w:val="-13"/>
          <w:sz w:val="20"/>
        </w:rPr>
        <w:t xml:space="preserve"> </w:t>
      </w:r>
      <w:r>
        <w:rPr>
          <w:sz w:val="20"/>
        </w:rPr>
        <w:t>between</w:t>
      </w:r>
      <w:r>
        <w:rPr>
          <w:spacing w:val="-13"/>
          <w:sz w:val="20"/>
        </w:rPr>
        <w:t xml:space="preserve"> </w:t>
      </w:r>
      <w:r>
        <w:rPr>
          <w:sz w:val="20"/>
        </w:rPr>
        <w:t>2011</w:t>
      </w:r>
      <w:r>
        <w:rPr>
          <w:spacing w:val="-13"/>
          <w:sz w:val="20"/>
        </w:rPr>
        <w:t xml:space="preserve"> </w:t>
      </w:r>
      <w:r>
        <w:rPr>
          <w:sz w:val="20"/>
        </w:rPr>
        <w:t>and</w:t>
      </w:r>
      <w:r>
        <w:rPr>
          <w:spacing w:val="-13"/>
          <w:sz w:val="20"/>
        </w:rPr>
        <w:t xml:space="preserve"> </w:t>
      </w:r>
      <w:r>
        <w:rPr>
          <w:sz w:val="20"/>
        </w:rPr>
        <w:t>2031</w:t>
      </w:r>
      <w:r>
        <w:rPr>
          <w:spacing w:val="-13"/>
          <w:sz w:val="20"/>
        </w:rPr>
        <w:t xml:space="preserve"> </w:t>
      </w:r>
      <w:r>
        <w:rPr>
          <w:sz w:val="20"/>
        </w:rPr>
        <w:t>will</w:t>
      </w:r>
      <w:r>
        <w:rPr>
          <w:spacing w:val="-13"/>
          <w:sz w:val="20"/>
        </w:rPr>
        <w:t xml:space="preserve"> </w:t>
      </w:r>
      <w:r>
        <w:rPr>
          <w:sz w:val="20"/>
        </w:rPr>
        <w:t>be</w:t>
      </w:r>
      <w:r>
        <w:rPr>
          <w:spacing w:val="-13"/>
          <w:sz w:val="20"/>
        </w:rPr>
        <w:t xml:space="preserve"> </w:t>
      </w:r>
      <w:r>
        <w:rPr>
          <w:sz w:val="20"/>
        </w:rPr>
        <w:t>by</w:t>
      </w:r>
      <w:r>
        <w:rPr>
          <w:spacing w:val="-13"/>
          <w:sz w:val="20"/>
        </w:rPr>
        <w:t xml:space="preserve"> </w:t>
      </w:r>
      <w:r>
        <w:rPr>
          <w:sz w:val="20"/>
        </w:rPr>
        <w:t>car.</w:t>
      </w:r>
    </w:p>
    <w:p w:rsidR="002C1123" w:rsidRDefault="00F22F94">
      <w:pPr>
        <w:pStyle w:val="ListParagraph"/>
        <w:numPr>
          <w:ilvl w:val="0"/>
          <w:numId w:val="95"/>
        </w:numPr>
        <w:tabs>
          <w:tab w:val="left" w:pos="738"/>
        </w:tabs>
        <w:spacing w:before="130" w:line="249" w:lineRule="auto"/>
        <w:ind w:right="768"/>
        <w:rPr>
          <w:sz w:val="20"/>
        </w:rPr>
      </w:pPr>
      <w:r>
        <w:rPr>
          <w:w w:val="95"/>
          <w:sz w:val="20"/>
        </w:rPr>
        <w:t>Road</w:t>
      </w:r>
      <w:r>
        <w:rPr>
          <w:spacing w:val="-3"/>
          <w:w w:val="95"/>
          <w:sz w:val="20"/>
        </w:rPr>
        <w:t xml:space="preserve"> </w:t>
      </w:r>
      <w:r>
        <w:rPr>
          <w:w w:val="95"/>
          <w:sz w:val="20"/>
        </w:rPr>
        <w:t>demand</w:t>
      </w:r>
      <w:r>
        <w:rPr>
          <w:spacing w:val="-3"/>
          <w:w w:val="95"/>
          <w:sz w:val="20"/>
        </w:rPr>
        <w:t xml:space="preserve"> </w:t>
      </w:r>
      <w:r>
        <w:rPr>
          <w:w w:val="95"/>
          <w:sz w:val="20"/>
        </w:rPr>
        <w:t>is</w:t>
      </w:r>
      <w:r>
        <w:rPr>
          <w:spacing w:val="-3"/>
          <w:w w:val="95"/>
          <w:sz w:val="20"/>
        </w:rPr>
        <w:t xml:space="preserve"> </w:t>
      </w:r>
      <w:r>
        <w:rPr>
          <w:w w:val="95"/>
          <w:sz w:val="20"/>
        </w:rPr>
        <w:t>more</w:t>
      </w:r>
      <w:r>
        <w:rPr>
          <w:spacing w:val="-3"/>
          <w:w w:val="95"/>
          <w:sz w:val="20"/>
        </w:rPr>
        <w:t xml:space="preserve"> </w:t>
      </w:r>
      <w:r>
        <w:rPr>
          <w:w w:val="95"/>
          <w:sz w:val="20"/>
        </w:rPr>
        <w:t>sustained</w:t>
      </w:r>
      <w:r>
        <w:rPr>
          <w:spacing w:val="-3"/>
          <w:w w:val="95"/>
          <w:sz w:val="20"/>
        </w:rPr>
        <w:t xml:space="preserve"> </w:t>
      </w:r>
      <w:r>
        <w:rPr>
          <w:w w:val="95"/>
          <w:sz w:val="20"/>
        </w:rPr>
        <w:t>across</w:t>
      </w:r>
      <w:r>
        <w:rPr>
          <w:spacing w:val="-3"/>
          <w:w w:val="95"/>
          <w:sz w:val="20"/>
        </w:rPr>
        <w:t xml:space="preserve"> </w:t>
      </w:r>
      <w:r>
        <w:rPr>
          <w:w w:val="95"/>
          <w:sz w:val="20"/>
        </w:rPr>
        <w:t>the</w:t>
      </w:r>
      <w:r>
        <w:rPr>
          <w:spacing w:val="-3"/>
          <w:w w:val="95"/>
          <w:sz w:val="20"/>
        </w:rPr>
        <w:t xml:space="preserve"> </w:t>
      </w:r>
      <w:r>
        <w:rPr>
          <w:w w:val="95"/>
          <w:sz w:val="20"/>
        </w:rPr>
        <w:t>day</w:t>
      </w:r>
      <w:r>
        <w:rPr>
          <w:spacing w:val="-3"/>
          <w:w w:val="95"/>
          <w:sz w:val="20"/>
        </w:rPr>
        <w:t xml:space="preserve"> </w:t>
      </w:r>
      <w:r>
        <w:rPr>
          <w:w w:val="95"/>
          <w:sz w:val="20"/>
        </w:rPr>
        <w:t xml:space="preserve">than demand for the rail network. This reflects the variety </w:t>
      </w:r>
      <w:r>
        <w:rPr>
          <w:sz w:val="20"/>
        </w:rPr>
        <w:t>of</w:t>
      </w:r>
      <w:r>
        <w:rPr>
          <w:spacing w:val="-14"/>
          <w:sz w:val="20"/>
        </w:rPr>
        <w:t xml:space="preserve"> </w:t>
      </w:r>
      <w:r>
        <w:rPr>
          <w:sz w:val="20"/>
        </w:rPr>
        <w:t>journeys</w:t>
      </w:r>
      <w:r>
        <w:rPr>
          <w:spacing w:val="-14"/>
          <w:sz w:val="20"/>
        </w:rPr>
        <w:t xml:space="preserve"> </w:t>
      </w:r>
      <w:r>
        <w:rPr>
          <w:sz w:val="20"/>
        </w:rPr>
        <w:t>(commuter,</w:t>
      </w:r>
      <w:r>
        <w:rPr>
          <w:spacing w:val="-14"/>
          <w:sz w:val="20"/>
        </w:rPr>
        <w:t xml:space="preserve"> </w:t>
      </w:r>
      <w:r>
        <w:rPr>
          <w:sz w:val="20"/>
        </w:rPr>
        <w:t>educational,</w:t>
      </w:r>
      <w:r>
        <w:rPr>
          <w:spacing w:val="-14"/>
          <w:sz w:val="20"/>
        </w:rPr>
        <w:t xml:space="preserve"> </w:t>
      </w:r>
      <w:r>
        <w:rPr>
          <w:sz w:val="20"/>
        </w:rPr>
        <w:t>social,</w:t>
      </w:r>
      <w:r>
        <w:rPr>
          <w:spacing w:val="-14"/>
          <w:sz w:val="20"/>
        </w:rPr>
        <w:t xml:space="preserve"> </w:t>
      </w:r>
      <w:r>
        <w:rPr>
          <w:sz w:val="20"/>
        </w:rPr>
        <w:t>freight, business,</w:t>
      </w:r>
      <w:r>
        <w:rPr>
          <w:spacing w:val="-6"/>
          <w:sz w:val="20"/>
        </w:rPr>
        <w:t xml:space="preserve"> </w:t>
      </w:r>
      <w:r>
        <w:rPr>
          <w:sz w:val="20"/>
        </w:rPr>
        <w:t>etc)</w:t>
      </w:r>
      <w:r>
        <w:rPr>
          <w:spacing w:val="-6"/>
          <w:sz w:val="20"/>
        </w:rPr>
        <w:t xml:space="preserve"> </w:t>
      </w:r>
      <w:r>
        <w:rPr>
          <w:sz w:val="20"/>
        </w:rPr>
        <w:t>that</w:t>
      </w:r>
      <w:r>
        <w:rPr>
          <w:spacing w:val="-6"/>
          <w:sz w:val="20"/>
        </w:rPr>
        <w:t xml:space="preserve"> </w:t>
      </w:r>
      <w:r>
        <w:rPr>
          <w:sz w:val="20"/>
        </w:rPr>
        <w:t>use</w:t>
      </w:r>
      <w:r>
        <w:rPr>
          <w:spacing w:val="-6"/>
          <w:sz w:val="20"/>
        </w:rPr>
        <w:t xml:space="preserve"> </w:t>
      </w:r>
      <w:r>
        <w:rPr>
          <w:sz w:val="20"/>
        </w:rPr>
        <w:t>the</w:t>
      </w:r>
      <w:r>
        <w:rPr>
          <w:spacing w:val="-6"/>
          <w:sz w:val="20"/>
        </w:rPr>
        <w:t xml:space="preserve"> </w:t>
      </w:r>
      <w:r>
        <w:rPr>
          <w:sz w:val="20"/>
        </w:rPr>
        <w:t>road</w:t>
      </w:r>
      <w:r>
        <w:rPr>
          <w:spacing w:val="-6"/>
          <w:sz w:val="20"/>
        </w:rPr>
        <w:t xml:space="preserve"> </w:t>
      </w:r>
      <w:r>
        <w:rPr>
          <w:sz w:val="20"/>
        </w:rPr>
        <w:t>network.</w:t>
      </w:r>
    </w:p>
    <w:p w:rsidR="002C1123" w:rsidRDefault="00F22F94">
      <w:pPr>
        <w:pStyle w:val="ListParagraph"/>
        <w:numPr>
          <w:ilvl w:val="0"/>
          <w:numId w:val="95"/>
        </w:numPr>
        <w:tabs>
          <w:tab w:val="left" w:pos="738"/>
        </w:tabs>
        <w:spacing w:before="132" w:line="249" w:lineRule="auto"/>
        <w:ind w:right="1006"/>
        <w:rPr>
          <w:sz w:val="20"/>
        </w:rPr>
      </w:pPr>
      <w:r>
        <w:rPr>
          <w:sz w:val="20"/>
        </w:rPr>
        <w:t>Urban</w:t>
      </w:r>
      <w:r>
        <w:rPr>
          <w:spacing w:val="-14"/>
          <w:sz w:val="20"/>
        </w:rPr>
        <w:t xml:space="preserve"> </w:t>
      </w:r>
      <w:r>
        <w:rPr>
          <w:sz w:val="20"/>
        </w:rPr>
        <w:t>roads</w:t>
      </w:r>
      <w:r>
        <w:rPr>
          <w:spacing w:val="-14"/>
          <w:sz w:val="20"/>
        </w:rPr>
        <w:t xml:space="preserve"> </w:t>
      </w:r>
      <w:r>
        <w:rPr>
          <w:sz w:val="20"/>
        </w:rPr>
        <w:t>have</w:t>
      </w:r>
      <w:r>
        <w:rPr>
          <w:spacing w:val="-14"/>
          <w:sz w:val="20"/>
        </w:rPr>
        <w:t xml:space="preserve"> </w:t>
      </w:r>
      <w:r>
        <w:rPr>
          <w:sz w:val="20"/>
        </w:rPr>
        <w:t>received</w:t>
      </w:r>
      <w:r>
        <w:rPr>
          <w:spacing w:val="-14"/>
          <w:sz w:val="20"/>
        </w:rPr>
        <w:t xml:space="preserve"> </w:t>
      </w:r>
      <w:r>
        <w:rPr>
          <w:sz w:val="20"/>
        </w:rPr>
        <w:t>a</w:t>
      </w:r>
      <w:r>
        <w:rPr>
          <w:spacing w:val="-14"/>
          <w:sz w:val="20"/>
        </w:rPr>
        <w:t xml:space="preserve"> </w:t>
      </w:r>
      <w:r>
        <w:rPr>
          <w:sz w:val="20"/>
        </w:rPr>
        <w:t>relatively</w:t>
      </w:r>
      <w:r>
        <w:rPr>
          <w:spacing w:val="-14"/>
          <w:sz w:val="20"/>
        </w:rPr>
        <w:t xml:space="preserve"> </w:t>
      </w:r>
      <w:r>
        <w:rPr>
          <w:sz w:val="20"/>
        </w:rPr>
        <w:t>small proportion</w:t>
      </w:r>
      <w:r>
        <w:rPr>
          <w:spacing w:val="-7"/>
          <w:sz w:val="20"/>
        </w:rPr>
        <w:t xml:space="preserve"> </w:t>
      </w:r>
      <w:r>
        <w:rPr>
          <w:sz w:val="20"/>
        </w:rPr>
        <w:t>of</w:t>
      </w:r>
      <w:r>
        <w:rPr>
          <w:spacing w:val="-7"/>
          <w:sz w:val="20"/>
        </w:rPr>
        <w:t xml:space="preserve"> </w:t>
      </w:r>
      <w:r>
        <w:rPr>
          <w:sz w:val="20"/>
        </w:rPr>
        <w:t>NSW</w:t>
      </w:r>
      <w:r>
        <w:rPr>
          <w:spacing w:val="-7"/>
          <w:sz w:val="20"/>
        </w:rPr>
        <w:t xml:space="preserve"> </w:t>
      </w:r>
      <w:r>
        <w:rPr>
          <w:sz w:val="20"/>
        </w:rPr>
        <w:t>Government</w:t>
      </w:r>
      <w:r>
        <w:rPr>
          <w:spacing w:val="-7"/>
          <w:sz w:val="20"/>
        </w:rPr>
        <w:t xml:space="preserve"> </w:t>
      </w:r>
      <w:r>
        <w:rPr>
          <w:sz w:val="20"/>
        </w:rPr>
        <w:t>investment</w:t>
      </w:r>
      <w:r>
        <w:rPr>
          <w:spacing w:val="-7"/>
          <w:sz w:val="20"/>
        </w:rPr>
        <w:t xml:space="preserve"> </w:t>
      </w:r>
      <w:r>
        <w:rPr>
          <w:sz w:val="20"/>
        </w:rPr>
        <w:t>in transport</w:t>
      </w:r>
      <w:r>
        <w:rPr>
          <w:spacing w:val="-8"/>
          <w:sz w:val="20"/>
        </w:rPr>
        <w:t xml:space="preserve"> </w:t>
      </w:r>
      <w:r>
        <w:rPr>
          <w:sz w:val="20"/>
        </w:rPr>
        <w:t>in</w:t>
      </w:r>
      <w:r>
        <w:rPr>
          <w:spacing w:val="-8"/>
          <w:sz w:val="20"/>
        </w:rPr>
        <w:t xml:space="preserve"> </w:t>
      </w:r>
      <w:r>
        <w:rPr>
          <w:sz w:val="20"/>
        </w:rPr>
        <w:t>recent</w:t>
      </w:r>
      <w:r>
        <w:rPr>
          <w:spacing w:val="-8"/>
          <w:sz w:val="20"/>
        </w:rPr>
        <w:t xml:space="preserve"> </w:t>
      </w:r>
      <w:r>
        <w:rPr>
          <w:sz w:val="20"/>
        </w:rPr>
        <w:t>years.</w:t>
      </w:r>
      <w:r>
        <w:rPr>
          <w:spacing w:val="-8"/>
          <w:sz w:val="20"/>
        </w:rPr>
        <w:t xml:space="preserve"> </w:t>
      </w:r>
      <w:r>
        <w:rPr>
          <w:sz w:val="20"/>
        </w:rPr>
        <w:t>For</w:t>
      </w:r>
      <w:r>
        <w:rPr>
          <w:spacing w:val="-8"/>
          <w:sz w:val="20"/>
        </w:rPr>
        <w:t xml:space="preserve"> </w:t>
      </w:r>
      <w:r>
        <w:rPr>
          <w:sz w:val="20"/>
        </w:rPr>
        <w:t>example,</w:t>
      </w:r>
      <w:r>
        <w:rPr>
          <w:spacing w:val="-8"/>
          <w:sz w:val="20"/>
        </w:rPr>
        <w:t xml:space="preserve"> </w:t>
      </w:r>
      <w:r>
        <w:rPr>
          <w:sz w:val="20"/>
        </w:rPr>
        <w:t xml:space="preserve">most </w:t>
      </w:r>
      <w:r>
        <w:rPr>
          <w:w w:val="95"/>
          <w:sz w:val="20"/>
        </w:rPr>
        <w:t>recent motorways in Sydney, have been privately funded</w:t>
      </w:r>
      <w:r>
        <w:rPr>
          <w:spacing w:val="-8"/>
          <w:w w:val="95"/>
          <w:sz w:val="20"/>
        </w:rPr>
        <w:t xml:space="preserve"> </w:t>
      </w:r>
      <w:r>
        <w:rPr>
          <w:w w:val="95"/>
          <w:sz w:val="20"/>
        </w:rPr>
        <w:t>and</w:t>
      </w:r>
      <w:r>
        <w:rPr>
          <w:spacing w:val="-8"/>
          <w:w w:val="95"/>
          <w:sz w:val="20"/>
        </w:rPr>
        <w:t xml:space="preserve"> </w:t>
      </w:r>
      <w:r>
        <w:rPr>
          <w:w w:val="95"/>
          <w:sz w:val="20"/>
        </w:rPr>
        <w:t>financed.</w:t>
      </w:r>
      <w:r>
        <w:rPr>
          <w:spacing w:val="-8"/>
          <w:w w:val="95"/>
          <w:sz w:val="20"/>
        </w:rPr>
        <w:t xml:space="preserve"> </w:t>
      </w:r>
      <w:r>
        <w:rPr>
          <w:w w:val="95"/>
          <w:sz w:val="20"/>
        </w:rPr>
        <w:t>In</w:t>
      </w:r>
      <w:r>
        <w:rPr>
          <w:spacing w:val="-8"/>
          <w:w w:val="95"/>
          <w:sz w:val="20"/>
        </w:rPr>
        <w:t xml:space="preserve"> </w:t>
      </w:r>
      <w:r>
        <w:rPr>
          <w:w w:val="95"/>
          <w:sz w:val="20"/>
        </w:rPr>
        <w:t>2012-13,</w:t>
      </w:r>
      <w:r>
        <w:rPr>
          <w:spacing w:val="-8"/>
          <w:w w:val="95"/>
          <w:sz w:val="20"/>
        </w:rPr>
        <w:t xml:space="preserve"> </w:t>
      </w:r>
      <w:r>
        <w:rPr>
          <w:w w:val="95"/>
          <w:sz w:val="20"/>
        </w:rPr>
        <w:t>only</w:t>
      </w:r>
      <w:r>
        <w:rPr>
          <w:spacing w:val="-8"/>
          <w:w w:val="95"/>
          <w:sz w:val="20"/>
        </w:rPr>
        <w:t xml:space="preserve"> </w:t>
      </w:r>
      <w:r>
        <w:rPr>
          <w:w w:val="95"/>
          <w:sz w:val="20"/>
        </w:rPr>
        <w:t>8</w:t>
      </w:r>
      <w:r>
        <w:rPr>
          <w:spacing w:val="-8"/>
          <w:w w:val="95"/>
          <w:sz w:val="20"/>
        </w:rPr>
        <w:t xml:space="preserve"> </w:t>
      </w:r>
      <w:r>
        <w:rPr>
          <w:w w:val="95"/>
          <w:sz w:val="20"/>
        </w:rPr>
        <w:t>percent</w:t>
      </w:r>
      <w:r>
        <w:rPr>
          <w:spacing w:val="-8"/>
          <w:w w:val="95"/>
          <w:sz w:val="20"/>
        </w:rPr>
        <w:t xml:space="preserve"> </w:t>
      </w:r>
      <w:r>
        <w:rPr>
          <w:w w:val="95"/>
          <w:sz w:val="20"/>
        </w:rPr>
        <w:t xml:space="preserve">of </w:t>
      </w:r>
      <w:r>
        <w:rPr>
          <w:sz w:val="20"/>
        </w:rPr>
        <w:t>transport</w:t>
      </w:r>
      <w:r>
        <w:rPr>
          <w:spacing w:val="-13"/>
          <w:sz w:val="20"/>
        </w:rPr>
        <w:t xml:space="preserve"> </w:t>
      </w:r>
      <w:r>
        <w:rPr>
          <w:sz w:val="20"/>
        </w:rPr>
        <w:t>capital</w:t>
      </w:r>
      <w:r>
        <w:rPr>
          <w:spacing w:val="-13"/>
          <w:sz w:val="20"/>
        </w:rPr>
        <w:t xml:space="preserve"> </w:t>
      </w:r>
      <w:r>
        <w:rPr>
          <w:sz w:val="20"/>
        </w:rPr>
        <w:t>expenditure</w:t>
      </w:r>
      <w:r>
        <w:rPr>
          <w:spacing w:val="-13"/>
          <w:sz w:val="20"/>
        </w:rPr>
        <w:t xml:space="preserve"> </w:t>
      </w:r>
      <w:r>
        <w:rPr>
          <w:sz w:val="20"/>
        </w:rPr>
        <w:t>is</w:t>
      </w:r>
      <w:r>
        <w:rPr>
          <w:spacing w:val="-13"/>
          <w:sz w:val="20"/>
        </w:rPr>
        <w:t xml:space="preserve"> </w:t>
      </w:r>
      <w:r>
        <w:rPr>
          <w:sz w:val="20"/>
        </w:rPr>
        <w:t>planned</w:t>
      </w:r>
      <w:r>
        <w:rPr>
          <w:spacing w:val="-13"/>
          <w:sz w:val="20"/>
        </w:rPr>
        <w:t xml:space="preserve"> </w:t>
      </w:r>
      <w:r>
        <w:rPr>
          <w:sz w:val="20"/>
        </w:rPr>
        <w:t>to</w:t>
      </w:r>
      <w:r>
        <w:rPr>
          <w:spacing w:val="-13"/>
          <w:sz w:val="20"/>
        </w:rPr>
        <w:t xml:space="preserve"> </w:t>
      </w:r>
      <w:r>
        <w:rPr>
          <w:sz w:val="20"/>
        </w:rPr>
        <w:t>be</w:t>
      </w:r>
      <w:r>
        <w:rPr>
          <w:spacing w:val="-13"/>
          <w:sz w:val="20"/>
        </w:rPr>
        <w:t xml:space="preserve"> </w:t>
      </w:r>
      <w:r>
        <w:rPr>
          <w:sz w:val="20"/>
        </w:rPr>
        <w:t>on Sydney’s</w:t>
      </w:r>
      <w:r>
        <w:rPr>
          <w:spacing w:val="-11"/>
          <w:sz w:val="20"/>
        </w:rPr>
        <w:t xml:space="preserve"> </w:t>
      </w:r>
      <w:r>
        <w:rPr>
          <w:sz w:val="20"/>
        </w:rPr>
        <w:t>roads.</w:t>
      </w:r>
    </w:p>
    <w:p w:rsidR="002C1123" w:rsidRDefault="00F22F94">
      <w:pPr>
        <w:pStyle w:val="ListParagraph"/>
        <w:numPr>
          <w:ilvl w:val="0"/>
          <w:numId w:val="95"/>
        </w:numPr>
        <w:tabs>
          <w:tab w:val="left" w:pos="738"/>
        </w:tabs>
        <w:spacing w:before="134" w:line="249" w:lineRule="auto"/>
        <w:ind w:right="745"/>
        <w:rPr>
          <w:sz w:val="20"/>
        </w:rPr>
      </w:pPr>
      <w:r>
        <w:rPr>
          <w:w w:val="95"/>
          <w:sz w:val="20"/>
        </w:rPr>
        <w:t>The section identifies Infrastructure NSW’s view on the priorities for investment in Sydney’s major roads over</w:t>
      </w:r>
      <w:r>
        <w:rPr>
          <w:spacing w:val="-12"/>
          <w:w w:val="95"/>
          <w:sz w:val="20"/>
        </w:rPr>
        <w:t xml:space="preserve"> </w:t>
      </w:r>
      <w:r>
        <w:rPr>
          <w:w w:val="95"/>
          <w:sz w:val="20"/>
        </w:rPr>
        <w:t>the</w:t>
      </w:r>
      <w:r>
        <w:rPr>
          <w:spacing w:val="-11"/>
          <w:w w:val="95"/>
          <w:sz w:val="20"/>
        </w:rPr>
        <w:t xml:space="preserve"> </w:t>
      </w:r>
      <w:r>
        <w:rPr>
          <w:w w:val="95"/>
          <w:sz w:val="20"/>
        </w:rPr>
        <w:t>next</w:t>
      </w:r>
      <w:r>
        <w:rPr>
          <w:spacing w:val="-11"/>
          <w:w w:val="95"/>
          <w:sz w:val="20"/>
        </w:rPr>
        <w:t xml:space="preserve"> </w:t>
      </w:r>
      <w:r>
        <w:rPr>
          <w:w w:val="95"/>
          <w:sz w:val="20"/>
        </w:rPr>
        <w:t>twenty</w:t>
      </w:r>
      <w:r>
        <w:rPr>
          <w:spacing w:val="-11"/>
          <w:w w:val="95"/>
          <w:sz w:val="20"/>
        </w:rPr>
        <w:t xml:space="preserve"> </w:t>
      </w:r>
      <w:r>
        <w:rPr>
          <w:w w:val="95"/>
          <w:sz w:val="20"/>
        </w:rPr>
        <w:t>years.</w:t>
      </w:r>
      <w:r>
        <w:rPr>
          <w:spacing w:val="-12"/>
          <w:w w:val="95"/>
          <w:sz w:val="20"/>
        </w:rPr>
        <w:t xml:space="preserve"> </w:t>
      </w:r>
      <w:r>
        <w:rPr>
          <w:w w:val="95"/>
          <w:sz w:val="20"/>
        </w:rPr>
        <w:t>It</w:t>
      </w:r>
      <w:r>
        <w:rPr>
          <w:spacing w:val="-11"/>
          <w:w w:val="95"/>
          <w:sz w:val="20"/>
        </w:rPr>
        <w:t xml:space="preserve"> </w:t>
      </w:r>
      <w:r>
        <w:rPr>
          <w:w w:val="95"/>
          <w:sz w:val="20"/>
        </w:rPr>
        <w:t>also</w:t>
      </w:r>
      <w:r>
        <w:rPr>
          <w:spacing w:val="-11"/>
          <w:w w:val="95"/>
          <w:sz w:val="20"/>
        </w:rPr>
        <w:t xml:space="preserve"> </w:t>
      </w:r>
      <w:r>
        <w:rPr>
          <w:w w:val="95"/>
          <w:sz w:val="20"/>
        </w:rPr>
        <w:t>considers</w:t>
      </w:r>
      <w:r>
        <w:rPr>
          <w:spacing w:val="-11"/>
          <w:w w:val="95"/>
          <w:sz w:val="20"/>
        </w:rPr>
        <w:t xml:space="preserve"> </w:t>
      </w:r>
      <w:r>
        <w:rPr>
          <w:w w:val="95"/>
          <w:sz w:val="20"/>
        </w:rPr>
        <w:t>options</w:t>
      </w:r>
      <w:r>
        <w:rPr>
          <w:spacing w:val="-11"/>
          <w:w w:val="95"/>
          <w:sz w:val="20"/>
        </w:rPr>
        <w:t xml:space="preserve"> </w:t>
      </w:r>
      <w:r>
        <w:rPr>
          <w:w w:val="95"/>
          <w:sz w:val="20"/>
        </w:rPr>
        <w:t>to better</w:t>
      </w:r>
      <w:r>
        <w:rPr>
          <w:spacing w:val="-5"/>
          <w:w w:val="95"/>
          <w:sz w:val="20"/>
        </w:rPr>
        <w:t xml:space="preserve"> </w:t>
      </w:r>
      <w:r>
        <w:rPr>
          <w:w w:val="95"/>
          <w:sz w:val="20"/>
        </w:rPr>
        <w:t>operate</w:t>
      </w:r>
      <w:r>
        <w:rPr>
          <w:spacing w:val="-5"/>
          <w:w w:val="95"/>
          <w:sz w:val="20"/>
        </w:rPr>
        <w:t xml:space="preserve"> </w:t>
      </w:r>
      <w:r>
        <w:rPr>
          <w:w w:val="95"/>
          <w:sz w:val="20"/>
        </w:rPr>
        <w:t>and</w:t>
      </w:r>
      <w:r>
        <w:rPr>
          <w:spacing w:val="-5"/>
          <w:w w:val="95"/>
          <w:sz w:val="20"/>
        </w:rPr>
        <w:t xml:space="preserve"> </w:t>
      </w:r>
      <w:r>
        <w:rPr>
          <w:w w:val="95"/>
          <w:sz w:val="20"/>
        </w:rPr>
        <w:t>manage</w:t>
      </w:r>
      <w:r>
        <w:rPr>
          <w:spacing w:val="-5"/>
          <w:w w:val="95"/>
          <w:sz w:val="20"/>
        </w:rPr>
        <w:t xml:space="preserve"> </w:t>
      </w:r>
      <w:r>
        <w:rPr>
          <w:w w:val="95"/>
          <w:sz w:val="20"/>
        </w:rPr>
        <w:t>demand</w:t>
      </w:r>
      <w:r>
        <w:rPr>
          <w:spacing w:val="-5"/>
          <w:w w:val="95"/>
          <w:sz w:val="20"/>
        </w:rPr>
        <w:t xml:space="preserve"> </w:t>
      </w:r>
      <w:r>
        <w:rPr>
          <w:w w:val="95"/>
          <w:sz w:val="20"/>
        </w:rPr>
        <w:t>for</w:t>
      </w:r>
      <w:r>
        <w:rPr>
          <w:spacing w:val="-5"/>
          <w:w w:val="95"/>
          <w:sz w:val="20"/>
        </w:rPr>
        <w:t xml:space="preserve"> </w:t>
      </w:r>
      <w:r>
        <w:rPr>
          <w:w w:val="95"/>
          <w:sz w:val="20"/>
        </w:rPr>
        <w:t>these</w:t>
      </w:r>
      <w:r>
        <w:rPr>
          <w:spacing w:val="-5"/>
          <w:w w:val="95"/>
          <w:sz w:val="20"/>
        </w:rPr>
        <w:t xml:space="preserve"> </w:t>
      </w:r>
      <w:r>
        <w:rPr>
          <w:w w:val="95"/>
          <w:sz w:val="20"/>
        </w:rPr>
        <w:t>assets.</w:t>
      </w:r>
    </w:p>
    <w:p w:rsidR="002C1123" w:rsidRDefault="002C1123">
      <w:pPr>
        <w:spacing w:line="249" w:lineRule="auto"/>
        <w:rPr>
          <w:sz w:val="20"/>
        </w:rPr>
        <w:sectPr w:rsidR="002C1123">
          <w:type w:val="continuous"/>
          <w:pgSz w:w="16840" w:h="11910" w:orient="landscape"/>
          <w:pgMar w:top="560" w:right="280" w:bottom="280" w:left="500" w:header="0" w:footer="517" w:gutter="0"/>
          <w:cols w:num="3" w:space="720" w:equalWidth="0">
            <w:col w:w="5143" w:space="40"/>
            <w:col w:w="4870" w:space="39"/>
            <w:col w:w="5968"/>
          </w:cols>
        </w:sectPr>
      </w:pPr>
    </w:p>
    <w:p w:rsidR="002C1123" w:rsidRDefault="002C1123">
      <w:pPr>
        <w:pStyle w:val="BodyText"/>
        <w:spacing w:before="6"/>
        <w:rPr>
          <w:sz w:val="29"/>
        </w:rPr>
      </w:pPr>
    </w:p>
    <w:p w:rsidR="002C1123" w:rsidRDefault="002060EF">
      <w:pPr>
        <w:pStyle w:val="BodyText"/>
        <w:spacing w:line="20" w:lineRule="exact"/>
        <w:ind w:left="10545"/>
        <w:rPr>
          <w:sz w:val="2"/>
        </w:rPr>
      </w:pPr>
      <w:r>
        <w:rPr>
          <w:sz w:val="2"/>
        </w:rPr>
      </w:r>
      <w:r>
        <w:rPr>
          <w:sz w:val="2"/>
        </w:rPr>
        <w:pict>
          <v:group id="docshapegroup1030" o:spid="_x0000_s4291" style="width:1in;height:.5pt;mso-position-horizontal-relative:char;mso-position-vertical-relative:line" coordsize="1440,10">
            <v:line id="_x0000_s4292" style="position:absolute" from="0,5" to="1440,5" strokecolor="#9c9c9d" strokeweight=".5pt"/>
            <w10:anchorlock/>
          </v:group>
        </w:pict>
      </w:r>
    </w:p>
    <w:p w:rsidR="002C1123" w:rsidRDefault="00F22F94">
      <w:pPr>
        <w:pStyle w:val="ListParagraph"/>
        <w:numPr>
          <w:ilvl w:val="1"/>
          <w:numId w:val="95"/>
        </w:numPr>
        <w:tabs>
          <w:tab w:val="left" w:pos="10745"/>
        </w:tabs>
        <w:spacing w:before="8"/>
        <w:ind w:hanging="200"/>
        <w:jc w:val="left"/>
        <w:rPr>
          <w:sz w:val="14"/>
        </w:rPr>
      </w:pPr>
      <w:r>
        <w:rPr>
          <w:w w:val="90"/>
          <w:sz w:val="14"/>
        </w:rPr>
        <w:t>All</w:t>
      </w:r>
      <w:r>
        <w:rPr>
          <w:spacing w:val="8"/>
          <w:sz w:val="14"/>
        </w:rPr>
        <w:t xml:space="preserve"> </w:t>
      </w:r>
      <w:r>
        <w:rPr>
          <w:w w:val="90"/>
          <w:sz w:val="14"/>
        </w:rPr>
        <w:t>data</w:t>
      </w:r>
      <w:r>
        <w:rPr>
          <w:spacing w:val="9"/>
          <w:sz w:val="14"/>
        </w:rPr>
        <w:t xml:space="preserve"> </w:t>
      </w:r>
      <w:r>
        <w:rPr>
          <w:w w:val="90"/>
          <w:sz w:val="14"/>
        </w:rPr>
        <w:t>and</w:t>
      </w:r>
      <w:r>
        <w:rPr>
          <w:spacing w:val="8"/>
          <w:sz w:val="14"/>
        </w:rPr>
        <w:t xml:space="preserve"> </w:t>
      </w:r>
      <w:r>
        <w:rPr>
          <w:w w:val="90"/>
          <w:sz w:val="14"/>
        </w:rPr>
        <w:t>forecasts</w:t>
      </w:r>
      <w:r>
        <w:rPr>
          <w:spacing w:val="9"/>
          <w:sz w:val="14"/>
        </w:rPr>
        <w:t xml:space="preserve"> </w:t>
      </w:r>
      <w:r>
        <w:rPr>
          <w:w w:val="90"/>
          <w:sz w:val="14"/>
        </w:rPr>
        <w:t>in</w:t>
      </w:r>
      <w:r>
        <w:rPr>
          <w:spacing w:val="8"/>
          <w:sz w:val="14"/>
        </w:rPr>
        <w:t xml:space="preserve"> </w:t>
      </w:r>
      <w:r>
        <w:rPr>
          <w:w w:val="90"/>
          <w:sz w:val="14"/>
        </w:rPr>
        <w:t>section</w:t>
      </w:r>
      <w:r>
        <w:rPr>
          <w:spacing w:val="9"/>
          <w:sz w:val="14"/>
        </w:rPr>
        <w:t xml:space="preserve"> </w:t>
      </w:r>
      <w:r>
        <w:rPr>
          <w:w w:val="90"/>
          <w:sz w:val="14"/>
        </w:rPr>
        <w:t>6.1</w:t>
      </w:r>
      <w:r>
        <w:rPr>
          <w:spacing w:val="8"/>
          <w:sz w:val="14"/>
        </w:rPr>
        <w:t xml:space="preserve"> </w:t>
      </w:r>
      <w:r>
        <w:rPr>
          <w:w w:val="90"/>
          <w:sz w:val="14"/>
        </w:rPr>
        <w:t>from</w:t>
      </w:r>
      <w:r>
        <w:rPr>
          <w:spacing w:val="9"/>
          <w:sz w:val="14"/>
        </w:rPr>
        <w:t xml:space="preserve"> </w:t>
      </w:r>
      <w:r>
        <w:rPr>
          <w:w w:val="90"/>
          <w:sz w:val="14"/>
        </w:rPr>
        <w:t>Bureau</w:t>
      </w:r>
      <w:r>
        <w:rPr>
          <w:spacing w:val="8"/>
          <w:sz w:val="14"/>
        </w:rPr>
        <w:t xml:space="preserve"> </w:t>
      </w:r>
      <w:r>
        <w:rPr>
          <w:w w:val="90"/>
          <w:sz w:val="14"/>
        </w:rPr>
        <w:t>of</w:t>
      </w:r>
      <w:r>
        <w:rPr>
          <w:spacing w:val="9"/>
          <w:sz w:val="14"/>
        </w:rPr>
        <w:t xml:space="preserve"> </w:t>
      </w:r>
      <w:r>
        <w:rPr>
          <w:w w:val="90"/>
          <w:sz w:val="14"/>
        </w:rPr>
        <w:t>Transport</w:t>
      </w:r>
      <w:r>
        <w:rPr>
          <w:spacing w:val="8"/>
          <w:sz w:val="14"/>
        </w:rPr>
        <w:t xml:space="preserve"> </w:t>
      </w:r>
      <w:r>
        <w:rPr>
          <w:w w:val="90"/>
          <w:sz w:val="14"/>
        </w:rPr>
        <w:t>Statistics,</w:t>
      </w:r>
      <w:r>
        <w:rPr>
          <w:spacing w:val="9"/>
          <w:sz w:val="14"/>
        </w:rPr>
        <w:t xml:space="preserve"> </w:t>
      </w:r>
      <w:r>
        <w:rPr>
          <w:spacing w:val="-4"/>
          <w:w w:val="90"/>
          <w:sz w:val="14"/>
        </w:rPr>
        <w:t>2011.</w:t>
      </w:r>
    </w:p>
    <w:p w:rsidR="002C1123" w:rsidRDefault="002C1123">
      <w:pPr>
        <w:rPr>
          <w:sz w:val="14"/>
        </w:rPr>
        <w:sectPr w:rsidR="002C1123">
          <w:type w:val="continuous"/>
          <w:pgSz w:w="16840" w:h="11910" w:orient="landscape"/>
          <w:pgMar w:top="560" w:right="280" w:bottom="280" w:left="500" w:header="0" w:footer="517"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7"/>
        </w:rPr>
      </w:pPr>
    </w:p>
    <w:p w:rsidR="002C1123" w:rsidRDefault="002060EF">
      <w:pPr>
        <w:pStyle w:val="Heading5"/>
        <w:numPr>
          <w:ilvl w:val="1"/>
          <w:numId w:val="97"/>
        </w:numPr>
        <w:tabs>
          <w:tab w:val="left" w:pos="942"/>
        </w:tabs>
        <w:spacing w:before="129" w:line="223" w:lineRule="auto"/>
        <w:ind w:left="941" w:right="12367"/>
        <w:jc w:val="left"/>
      </w:pPr>
      <w:r>
        <w:pict>
          <v:group id="docshapegroup1031" o:spid="_x0000_s4250" style="position:absolute;left:0;text-align:left;margin-left:299.95pt;margin-top:7.65pt;width:492.35pt;height:413.05pt;z-index:251292672;mso-position-horizontal-relative:page" coordorigin="5999,153" coordsize="9847,8261">
            <v:shape id="docshape1032" o:spid="_x0000_s4290" type="#_x0000_t75" style="position:absolute;left:6018;top:171;width:9819;height:8225">
              <v:imagedata r:id="rId125" o:title=""/>
            </v:shape>
            <v:shape id="docshape1033" o:spid="_x0000_s4289" type="#_x0000_t75" style="position:absolute;left:6016;top:171;width:9823;height:8225">
              <v:imagedata r:id="rId126" o:title=""/>
            </v:shape>
            <v:line id="_x0000_s4288" style="position:absolute" from="15837,8394" to="15837,173" strokecolor="#e1f4fd" strokeweight=".2pt"/>
            <v:shape id="docshape1034" o:spid="_x0000_s4287" type="#_x0000_t75" style="position:absolute;left:5998;top:153;width:8512;height:8261">
              <v:imagedata r:id="rId127" o:title=""/>
            </v:shape>
            <v:rect id="docshape1035" o:spid="_x0000_s4286" style="position:absolute;left:6018;top:8379;width:9827;height:14" stroked="f"/>
            <v:shape id="docshape1036" o:spid="_x0000_s4285" style="position:absolute;left:10058;top:7904;width:213;height:475" coordorigin="10059,7904" coordsize="213,475" path="m10271,7904r-40,61l10210,8043r-9,83l10196,8165r-18,68l10119,8301r-19,17l10085,8333r-13,16l10062,8365r-3,14e" filled="f" strokecolor="#2e3092" strokeweight="2pt">
              <v:path arrowok="t"/>
            </v:shape>
            <v:shape id="docshape1037" o:spid="_x0000_s4284" type="#_x0000_t75" style="position:absolute;left:10045;top:8043;width:265;height:229">
              <v:imagedata r:id="rId128" o:title=""/>
            </v:shape>
            <v:shape id="docshape1038" o:spid="_x0000_s4283" type="#_x0000_t202" style="position:absolute;left:6116;top:249;width:4068;height:467" filled="f" stroked="f">
              <v:textbox inset="0,0,0,0">
                <w:txbxContent>
                  <w:p w:rsidR="00F22F94" w:rsidRDefault="00F22F94">
                    <w:pPr>
                      <w:spacing w:before="6"/>
                      <w:rPr>
                        <w:b/>
                        <w:sz w:val="18"/>
                      </w:rPr>
                    </w:pPr>
                    <w:r>
                      <w:rPr>
                        <w:b/>
                        <w:sz w:val="18"/>
                      </w:rPr>
                      <w:t>Figure</w:t>
                    </w:r>
                    <w:r>
                      <w:rPr>
                        <w:b/>
                        <w:spacing w:val="-4"/>
                        <w:sz w:val="18"/>
                      </w:rPr>
                      <w:t xml:space="preserve"> </w:t>
                    </w:r>
                    <w:r>
                      <w:rPr>
                        <w:b/>
                        <w:sz w:val="18"/>
                      </w:rPr>
                      <w:t>6.1</w:t>
                    </w:r>
                    <w:r>
                      <w:rPr>
                        <w:b/>
                        <w:spacing w:val="42"/>
                        <w:sz w:val="18"/>
                      </w:rPr>
                      <w:t xml:space="preserve"> </w:t>
                    </w:r>
                    <w:r>
                      <w:rPr>
                        <w:b/>
                        <w:sz w:val="18"/>
                      </w:rPr>
                      <w:t>The</w:t>
                    </w:r>
                    <w:r>
                      <w:rPr>
                        <w:b/>
                        <w:spacing w:val="-3"/>
                        <w:sz w:val="18"/>
                      </w:rPr>
                      <w:t xml:space="preserve"> </w:t>
                    </w:r>
                    <w:r>
                      <w:rPr>
                        <w:b/>
                        <w:sz w:val="18"/>
                      </w:rPr>
                      <w:t>Sydney</w:t>
                    </w:r>
                    <w:r>
                      <w:rPr>
                        <w:b/>
                        <w:spacing w:val="-4"/>
                        <w:sz w:val="18"/>
                      </w:rPr>
                      <w:t xml:space="preserve"> </w:t>
                    </w:r>
                    <w:r>
                      <w:rPr>
                        <w:b/>
                        <w:sz w:val="18"/>
                      </w:rPr>
                      <w:t>Strategic</w:t>
                    </w:r>
                    <w:r>
                      <w:rPr>
                        <w:b/>
                        <w:spacing w:val="-4"/>
                        <w:sz w:val="18"/>
                      </w:rPr>
                      <w:t xml:space="preserve"> </w:t>
                    </w:r>
                    <w:r>
                      <w:rPr>
                        <w:b/>
                        <w:sz w:val="18"/>
                      </w:rPr>
                      <w:t>Road</w:t>
                    </w:r>
                    <w:r>
                      <w:rPr>
                        <w:b/>
                        <w:spacing w:val="-3"/>
                        <w:sz w:val="18"/>
                      </w:rPr>
                      <w:t xml:space="preserve"> </w:t>
                    </w:r>
                    <w:r>
                      <w:rPr>
                        <w:b/>
                        <w:spacing w:val="-2"/>
                        <w:sz w:val="18"/>
                      </w:rPr>
                      <w:t>Network</w:t>
                    </w:r>
                  </w:p>
                  <w:p w:rsidR="00F22F94" w:rsidRDefault="00F22F94">
                    <w:pPr>
                      <w:spacing w:before="93" w:line="160" w:lineRule="exact"/>
                      <w:ind w:left="429"/>
                      <w:rPr>
                        <w:sz w:val="14"/>
                      </w:rPr>
                    </w:pPr>
                    <w:r>
                      <w:rPr>
                        <w:spacing w:val="-2"/>
                        <w:w w:val="90"/>
                        <w:sz w:val="14"/>
                      </w:rPr>
                      <w:t>Richmond</w:t>
                    </w:r>
                  </w:p>
                </w:txbxContent>
              </v:textbox>
            </v:shape>
            <v:shape id="docshape1039" o:spid="_x0000_s4282" type="#_x0000_t202" style="position:absolute;left:11609;top:1470;width:140;height:141" filled="f" stroked="f">
              <v:textbox inset="0,0,0,0">
                <w:txbxContent>
                  <w:p w:rsidR="00F22F94" w:rsidRDefault="00F22F94">
                    <w:pPr>
                      <w:spacing w:before="1"/>
                      <w:rPr>
                        <w:sz w:val="12"/>
                      </w:rPr>
                    </w:pPr>
                    <w:r>
                      <w:rPr>
                        <w:color w:val="FFFFFF"/>
                        <w:spacing w:val="-5"/>
                        <w:w w:val="90"/>
                        <w:sz w:val="12"/>
                      </w:rPr>
                      <w:t>F3</w:t>
                    </w:r>
                  </w:p>
                </w:txbxContent>
              </v:textbox>
            </v:shape>
            <v:shape id="docshape1040" o:spid="_x0000_s4281" type="#_x0000_t202" style="position:absolute;left:8278;top:1887;width:524;height:159" filled="f" stroked="f">
              <v:textbox inset="0,0,0,0">
                <w:txbxContent>
                  <w:p w:rsidR="00F22F94" w:rsidRDefault="00F22F94">
                    <w:pPr>
                      <w:spacing w:line="158" w:lineRule="exact"/>
                      <w:rPr>
                        <w:sz w:val="14"/>
                      </w:rPr>
                    </w:pPr>
                    <w:r>
                      <w:rPr>
                        <w:w w:val="75"/>
                        <w:sz w:val="14"/>
                      </w:rPr>
                      <w:t>Rouse</w:t>
                    </w:r>
                    <w:r>
                      <w:rPr>
                        <w:sz w:val="14"/>
                      </w:rPr>
                      <w:t xml:space="preserve"> </w:t>
                    </w:r>
                    <w:r>
                      <w:rPr>
                        <w:spacing w:val="-4"/>
                        <w:w w:val="85"/>
                        <w:sz w:val="14"/>
                      </w:rPr>
                      <w:t>Hill</w:t>
                    </w:r>
                  </w:p>
                </w:txbxContent>
              </v:textbox>
            </v:shape>
            <v:shape id="docshape1041" o:spid="_x0000_s4280" type="#_x0000_t202" style="position:absolute;left:7427;top:2140;width:759;height:319" filled="f" stroked="f">
              <v:textbox inset="0,0,0,0">
                <w:txbxContent>
                  <w:p w:rsidR="00F22F94" w:rsidRDefault="00F22F94">
                    <w:pPr>
                      <w:ind w:right="12" w:firstLine="83"/>
                      <w:rPr>
                        <w:sz w:val="14"/>
                      </w:rPr>
                    </w:pPr>
                    <w:r>
                      <w:rPr>
                        <w:w w:val="90"/>
                        <w:sz w:val="14"/>
                      </w:rPr>
                      <w:t>North</w:t>
                    </w:r>
                    <w:r>
                      <w:rPr>
                        <w:spacing w:val="-6"/>
                        <w:w w:val="90"/>
                        <w:sz w:val="14"/>
                      </w:rPr>
                      <w:t xml:space="preserve"> </w:t>
                    </w:r>
                    <w:r>
                      <w:rPr>
                        <w:w w:val="90"/>
                        <w:sz w:val="14"/>
                      </w:rPr>
                      <w:t>West</w:t>
                    </w:r>
                    <w:r>
                      <w:rPr>
                        <w:spacing w:val="40"/>
                        <w:sz w:val="14"/>
                      </w:rPr>
                      <w:t xml:space="preserve"> </w:t>
                    </w:r>
                    <w:r>
                      <w:rPr>
                        <w:w w:val="80"/>
                        <w:sz w:val="14"/>
                      </w:rPr>
                      <w:t>Growth</w:t>
                    </w:r>
                    <w:r>
                      <w:rPr>
                        <w:spacing w:val="-2"/>
                        <w:w w:val="80"/>
                        <w:sz w:val="14"/>
                      </w:rPr>
                      <w:t xml:space="preserve"> </w:t>
                    </w:r>
                    <w:r>
                      <w:rPr>
                        <w:w w:val="80"/>
                        <w:sz w:val="14"/>
                      </w:rPr>
                      <w:t>Centre</w:t>
                    </w:r>
                  </w:p>
                </w:txbxContent>
              </v:textbox>
            </v:shape>
            <v:shape id="docshape1042" o:spid="_x0000_s4279" type="#_x0000_t202" style="position:absolute;left:10712;top:2142;width:435;height:159" filled="f" stroked="f">
              <v:textbox inset="0,0,0,0">
                <w:txbxContent>
                  <w:p w:rsidR="00F22F94" w:rsidRDefault="00F22F94">
                    <w:pPr>
                      <w:spacing w:line="158" w:lineRule="exact"/>
                      <w:rPr>
                        <w:sz w:val="14"/>
                      </w:rPr>
                    </w:pPr>
                    <w:r>
                      <w:rPr>
                        <w:spacing w:val="-2"/>
                        <w:w w:val="80"/>
                        <w:sz w:val="14"/>
                      </w:rPr>
                      <w:t>Hornsby</w:t>
                    </w:r>
                  </w:p>
                </w:txbxContent>
              </v:textbox>
            </v:shape>
            <v:shape id="docshape1043" o:spid="_x0000_s4278" type="#_x0000_t202" style="position:absolute;left:9694;top:2456;width:527;height:159" filled="f" stroked="f">
              <v:textbox inset="0,0,0,0">
                <w:txbxContent>
                  <w:p w:rsidR="00F22F94" w:rsidRDefault="00F22F94">
                    <w:pPr>
                      <w:spacing w:line="158" w:lineRule="exact"/>
                      <w:rPr>
                        <w:sz w:val="14"/>
                      </w:rPr>
                    </w:pPr>
                    <w:r>
                      <w:rPr>
                        <w:w w:val="75"/>
                        <w:sz w:val="14"/>
                      </w:rPr>
                      <w:t>Castle</w:t>
                    </w:r>
                    <w:r>
                      <w:rPr>
                        <w:spacing w:val="9"/>
                        <w:sz w:val="14"/>
                      </w:rPr>
                      <w:t xml:space="preserve"> </w:t>
                    </w:r>
                    <w:r>
                      <w:rPr>
                        <w:spacing w:val="-4"/>
                        <w:w w:val="90"/>
                        <w:sz w:val="14"/>
                      </w:rPr>
                      <w:t>Hill</w:t>
                    </w:r>
                  </w:p>
                </w:txbxContent>
              </v:textbox>
            </v:shape>
            <v:shape id="docshape1044" o:spid="_x0000_s4277" type="#_x0000_t202" style="position:absolute;left:9002;top:2758;width:171;height:141" filled="f" stroked="f">
              <v:textbox inset="0,0,0,0">
                <w:txbxContent>
                  <w:p w:rsidR="00F22F94" w:rsidRDefault="00F22F94">
                    <w:pPr>
                      <w:spacing w:before="1"/>
                      <w:rPr>
                        <w:sz w:val="12"/>
                      </w:rPr>
                    </w:pPr>
                    <w:r>
                      <w:rPr>
                        <w:color w:val="FFFFFF"/>
                        <w:spacing w:val="-5"/>
                        <w:w w:val="95"/>
                        <w:sz w:val="12"/>
                      </w:rPr>
                      <w:t>M2</w:t>
                    </w:r>
                  </w:p>
                </w:txbxContent>
              </v:textbox>
            </v:shape>
            <v:shape id="docshape1045" o:spid="_x0000_s4276" type="#_x0000_t202" style="position:absolute;left:6052;top:2862;width:382;height:159" filled="f" stroked="f">
              <v:textbox inset="0,0,0,0">
                <w:txbxContent>
                  <w:p w:rsidR="00F22F94" w:rsidRDefault="00F22F94">
                    <w:pPr>
                      <w:spacing w:line="158" w:lineRule="exact"/>
                      <w:rPr>
                        <w:sz w:val="14"/>
                      </w:rPr>
                    </w:pPr>
                    <w:r>
                      <w:rPr>
                        <w:spacing w:val="-2"/>
                        <w:w w:val="80"/>
                        <w:sz w:val="14"/>
                      </w:rPr>
                      <w:t>Penrith</w:t>
                    </w:r>
                  </w:p>
                </w:txbxContent>
              </v:textbox>
            </v:shape>
            <v:shape id="docshape1046" o:spid="_x0000_s4275" type="#_x0000_t202" style="position:absolute;left:8444;top:3382;width:547;height:159" filled="f" stroked="f">
              <v:textbox inset="0,0,0,0">
                <w:txbxContent>
                  <w:p w:rsidR="00F22F94" w:rsidRDefault="00F22F94">
                    <w:pPr>
                      <w:spacing w:line="158" w:lineRule="exact"/>
                      <w:rPr>
                        <w:sz w:val="14"/>
                      </w:rPr>
                    </w:pPr>
                    <w:r>
                      <w:rPr>
                        <w:spacing w:val="-2"/>
                        <w:w w:val="80"/>
                        <w:sz w:val="14"/>
                      </w:rPr>
                      <w:t>Blacktown</w:t>
                    </w:r>
                  </w:p>
                </w:txbxContent>
              </v:textbox>
            </v:shape>
            <v:shape id="docshape1047" o:spid="_x0000_s4274" type="#_x0000_t202" style="position:absolute;left:10856;top:3554;width:821;height:159" filled="f" stroked="f">
              <v:textbox inset="0,0,0,0">
                <w:txbxContent>
                  <w:p w:rsidR="00F22F94" w:rsidRDefault="00F22F94">
                    <w:pPr>
                      <w:spacing w:line="158" w:lineRule="exact"/>
                      <w:rPr>
                        <w:sz w:val="14"/>
                      </w:rPr>
                    </w:pPr>
                    <w:r>
                      <w:rPr>
                        <w:w w:val="75"/>
                        <w:sz w:val="14"/>
                      </w:rPr>
                      <w:t>Macquarie</w:t>
                    </w:r>
                    <w:r>
                      <w:rPr>
                        <w:spacing w:val="32"/>
                        <w:sz w:val="14"/>
                      </w:rPr>
                      <w:t xml:space="preserve"> </w:t>
                    </w:r>
                    <w:r>
                      <w:rPr>
                        <w:spacing w:val="-4"/>
                        <w:w w:val="85"/>
                        <w:sz w:val="14"/>
                      </w:rPr>
                      <w:t>Park</w:t>
                    </w:r>
                  </w:p>
                </w:txbxContent>
              </v:textbox>
            </v:shape>
            <v:shape id="docshape1048" o:spid="_x0000_s4273" type="#_x0000_t202" style="position:absolute;left:13651;top:3514;width:324;height:159" filled="f" stroked="f">
              <v:textbox inset="0,0,0,0">
                <w:txbxContent>
                  <w:p w:rsidR="00F22F94" w:rsidRDefault="00F22F94">
                    <w:pPr>
                      <w:spacing w:line="158" w:lineRule="exact"/>
                      <w:rPr>
                        <w:sz w:val="14"/>
                      </w:rPr>
                    </w:pPr>
                    <w:r>
                      <w:rPr>
                        <w:spacing w:val="-4"/>
                        <w:w w:val="85"/>
                        <w:sz w:val="14"/>
                      </w:rPr>
                      <w:t>Manly</w:t>
                    </w:r>
                  </w:p>
                </w:txbxContent>
              </v:textbox>
            </v:shape>
            <v:shape id="docshape1049" o:spid="_x0000_s4272" type="#_x0000_t202" style="position:absolute;left:12496;top:3668;width:586;height:159" filled="f" stroked="f">
              <v:textbox inset="0,0,0,0">
                <w:txbxContent>
                  <w:p w:rsidR="00F22F94" w:rsidRDefault="00F22F94">
                    <w:pPr>
                      <w:spacing w:line="158" w:lineRule="exact"/>
                      <w:rPr>
                        <w:sz w:val="14"/>
                      </w:rPr>
                    </w:pPr>
                    <w:r>
                      <w:rPr>
                        <w:spacing w:val="-2"/>
                        <w:w w:val="80"/>
                        <w:sz w:val="14"/>
                      </w:rPr>
                      <w:t>Chatswood</w:t>
                    </w:r>
                  </w:p>
                </w:txbxContent>
              </v:textbox>
            </v:shape>
            <v:shape id="docshape1050" o:spid="_x0000_s4271" type="#_x0000_t202" style="position:absolute;left:9306;top:3870;width:172;height:141" filled="f" stroked="f">
              <v:textbox inset="0,0,0,0">
                <w:txbxContent>
                  <w:p w:rsidR="00F22F94" w:rsidRDefault="00F22F94">
                    <w:pPr>
                      <w:spacing w:before="1"/>
                      <w:rPr>
                        <w:sz w:val="12"/>
                      </w:rPr>
                    </w:pPr>
                    <w:r>
                      <w:rPr>
                        <w:color w:val="FFFFFF"/>
                        <w:spacing w:val="-5"/>
                        <w:w w:val="95"/>
                        <w:sz w:val="12"/>
                      </w:rPr>
                      <w:t>M4</w:t>
                    </w:r>
                  </w:p>
                </w:txbxContent>
              </v:textbox>
            </v:shape>
            <v:shape id="docshape1051" o:spid="_x0000_s4270" type="#_x0000_t202" style="position:absolute;left:9880;top:3874;width:590;height:159" filled="f" stroked="f">
              <v:textbox inset="0,0,0,0">
                <w:txbxContent>
                  <w:p w:rsidR="00F22F94" w:rsidRDefault="00F22F94">
                    <w:pPr>
                      <w:spacing w:line="158" w:lineRule="exact"/>
                      <w:rPr>
                        <w:sz w:val="14"/>
                      </w:rPr>
                    </w:pPr>
                    <w:r>
                      <w:rPr>
                        <w:spacing w:val="-2"/>
                        <w:w w:val="80"/>
                        <w:sz w:val="14"/>
                      </w:rPr>
                      <w:t>Parramatta</w:t>
                    </w:r>
                  </w:p>
                </w:txbxContent>
              </v:textbox>
            </v:shape>
            <v:shape id="docshape1052" o:spid="_x0000_s4269" type="#_x0000_t202" style="position:absolute;left:11486;top:3846;width:272;height:159" filled="f" stroked="f">
              <v:textbox inset="0,0,0,0">
                <w:txbxContent>
                  <w:p w:rsidR="00F22F94" w:rsidRDefault="00F22F94">
                    <w:pPr>
                      <w:spacing w:line="158" w:lineRule="exact"/>
                      <w:rPr>
                        <w:sz w:val="14"/>
                      </w:rPr>
                    </w:pPr>
                    <w:r>
                      <w:rPr>
                        <w:spacing w:val="-4"/>
                        <w:w w:val="80"/>
                        <w:sz w:val="14"/>
                      </w:rPr>
                      <w:t>Ryde</w:t>
                    </w:r>
                  </w:p>
                </w:txbxContent>
              </v:textbox>
            </v:shape>
            <v:shape id="docshape1053" o:spid="_x0000_s4268" type="#_x0000_t202" style="position:absolute;left:12893;top:4302;width:703;height:159" filled="f" stroked="f">
              <v:textbox inset="0,0,0,0">
                <w:txbxContent>
                  <w:p w:rsidR="00F22F94" w:rsidRDefault="00F22F94">
                    <w:pPr>
                      <w:spacing w:line="158" w:lineRule="exact"/>
                      <w:rPr>
                        <w:sz w:val="14"/>
                      </w:rPr>
                    </w:pPr>
                    <w:r>
                      <w:rPr>
                        <w:w w:val="75"/>
                        <w:sz w:val="14"/>
                      </w:rPr>
                      <w:t>North</w:t>
                    </w:r>
                    <w:r>
                      <w:rPr>
                        <w:spacing w:val="15"/>
                        <w:sz w:val="14"/>
                      </w:rPr>
                      <w:t xml:space="preserve"> </w:t>
                    </w:r>
                    <w:r>
                      <w:rPr>
                        <w:spacing w:val="-2"/>
                        <w:w w:val="80"/>
                        <w:sz w:val="14"/>
                      </w:rPr>
                      <w:t>Sydney</w:t>
                    </w:r>
                  </w:p>
                </w:txbxContent>
              </v:textbox>
            </v:shape>
            <v:shape id="docshape1054" o:spid="_x0000_s4267" type="#_x0000_t202" style="position:absolute;left:7971;top:4742;width:171;height:141" filled="f" stroked="f">
              <v:textbox inset="0,0,0,0">
                <w:txbxContent>
                  <w:p w:rsidR="00F22F94" w:rsidRDefault="00F22F94">
                    <w:pPr>
                      <w:spacing w:before="1"/>
                      <w:rPr>
                        <w:sz w:val="12"/>
                      </w:rPr>
                    </w:pPr>
                    <w:r>
                      <w:rPr>
                        <w:color w:val="FFFFFF"/>
                        <w:spacing w:val="-5"/>
                        <w:w w:val="95"/>
                        <w:sz w:val="12"/>
                      </w:rPr>
                      <w:t>M7</w:t>
                    </w:r>
                  </w:p>
                </w:txbxContent>
              </v:textbox>
            </v:shape>
            <v:shape id="docshape1055" o:spid="_x0000_s4266" type="#_x0000_t202" style="position:absolute;left:10545;top:4657;width:1450;height:543" filled="f" stroked="f">
              <v:textbox inset="0,0,0,0">
                <w:txbxContent>
                  <w:p w:rsidR="00F22F94" w:rsidRDefault="00F22F94">
                    <w:pPr>
                      <w:spacing w:before="1" w:line="130" w:lineRule="exact"/>
                      <w:ind w:left="616"/>
                      <w:rPr>
                        <w:sz w:val="12"/>
                      </w:rPr>
                    </w:pPr>
                    <w:r>
                      <w:rPr>
                        <w:color w:val="FFFFFF"/>
                        <w:w w:val="85"/>
                        <w:sz w:val="12"/>
                      </w:rPr>
                      <w:t>Parramatta</w:t>
                    </w:r>
                    <w:r>
                      <w:rPr>
                        <w:color w:val="FFFFFF"/>
                        <w:spacing w:val="26"/>
                        <w:sz w:val="12"/>
                      </w:rPr>
                      <w:t xml:space="preserve"> </w:t>
                    </w:r>
                    <w:r>
                      <w:rPr>
                        <w:color w:val="FFFFFF"/>
                        <w:spacing w:val="-4"/>
                        <w:w w:val="90"/>
                        <w:sz w:val="12"/>
                      </w:rPr>
                      <w:t>Road</w:t>
                    </w:r>
                  </w:p>
                  <w:p w:rsidR="00F22F94" w:rsidRDefault="00F22F94">
                    <w:pPr>
                      <w:spacing w:line="153" w:lineRule="exact"/>
                      <w:rPr>
                        <w:sz w:val="14"/>
                      </w:rPr>
                    </w:pPr>
                    <w:r>
                      <w:rPr>
                        <w:spacing w:val="-2"/>
                        <w:w w:val="90"/>
                        <w:sz w:val="14"/>
                      </w:rPr>
                      <w:t>Strathfield</w:t>
                    </w:r>
                  </w:p>
                  <w:p w:rsidR="00F22F94" w:rsidRDefault="00F22F94">
                    <w:pPr>
                      <w:spacing w:before="98" w:line="160" w:lineRule="exact"/>
                      <w:ind w:left="637"/>
                      <w:rPr>
                        <w:sz w:val="14"/>
                      </w:rPr>
                    </w:pPr>
                    <w:r>
                      <w:rPr>
                        <w:spacing w:val="-2"/>
                        <w:w w:val="90"/>
                        <w:sz w:val="14"/>
                      </w:rPr>
                      <w:t>Burwood</w:t>
                    </w:r>
                  </w:p>
                </w:txbxContent>
              </v:textbox>
            </v:shape>
            <v:shape id="docshape1056" o:spid="_x0000_s4265" type="#_x0000_t202" style="position:absolute;left:13009;top:4903;width:386;height:159" filled="f" stroked="f">
              <v:textbox inset="0,0,0,0">
                <w:txbxContent>
                  <w:p w:rsidR="00F22F94" w:rsidRDefault="00F22F94">
                    <w:pPr>
                      <w:spacing w:line="158" w:lineRule="exact"/>
                      <w:rPr>
                        <w:sz w:val="14"/>
                      </w:rPr>
                    </w:pPr>
                    <w:r>
                      <w:rPr>
                        <w:spacing w:val="-2"/>
                        <w:w w:val="80"/>
                        <w:sz w:val="14"/>
                      </w:rPr>
                      <w:t>Sydney</w:t>
                    </w:r>
                  </w:p>
                </w:txbxContent>
              </v:textbox>
            </v:shape>
            <v:shape id="docshape1057" o:spid="_x0000_s4264" type="#_x0000_t202" style="position:absolute;left:13471;top:5084;width:779;height:159" filled="f" stroked="f">
              <v:textbox inset="0,0,0,0">
                <w:txbxContent>
                  <w:p w:rsidR="00F22F94" w:rsidRDefault="00F22F94">
                    <w:pPr>
                      <w:spacing w:line="158" w:lineRule="exact"/>
                      <w:rPr>
                        <w:sz w:val="14"/>
                      </w:rPr>
                    </w:pPr>
                    <w:r>
                      <w:rPr>
                        <w:w w:val="75"/>
                        <w:sz w:val="14"/>
                      </w:rPr>
                      <w:t>Bondi</w:t>
                    </w:r>
                    <w:r>
                      <w:rPr>
                        <w:spacing w:val="10"/>
                        <w:sz w:val="14"/>
                      </w:rPr>
                      <w:t xml:space="preserve"> </w:t>
                    </w:r>
                    <w:r>
                      <w:rPr>
                        <w:spacing w:val="-2"/>
                        <w:w w:val="85"/>
                        <w:sz w:val="14"/>
                      </w:rPr>
                      <w:t>Junction</w:t>
                    </w:r>
                  </w:p>
                </w:txbxContent>
              </v:textbox>
            </v:shape>
            <v:shape id="docshape1058" o:spid="_x0000_s4263" type="#_x0000_t202" style="position:absolute;left:6834;top:5423;width:759;height:319" filled="f" stroked="f">
              <v:textbox inset="0,0,0,0">
                <w:txbxContent>
                  <w:p w:rsidR="00F22F94" w:rsidRDefault="00F22F94">
                    <w:pPr>
                      <w:ind w:right="12" w:firstLine="77"/>
                      <w:rPr>
                        <w:sz w:val="14"/>
                      </w:rPr>
                    </w:pPr>
                    <w:r>
                      <w:rPr>
                        <w:w w:val="90"/>
                        <w:sz w:val="14"/>
                      </w:rPr>
                      <w:t>South</w:t>
                    </w:r>
                    <w:r>
                      <w:rPr>
                        <w:spacing w:val="-6"/>
                        <w:w w:val="90"/>
                        <w:sz w:val="14"/>
                      </w:rPr>
                      <w:t xml:space="preserve"> </w:t>
                    </w:r>
                    <w:r>
                      <w:rPr>
                        <w:w w:val="90"/>
                        <w:sz w:val="14"/>
                      </w:rPr>
                      <w:t>West</w:t>
                    </w:r>
                    <w:r>
                      <w:rPr>
                        <w:spacing w:val="40"/>
                        <w:sz w:val="14"/>
                      </w:rPr>
                      <w:t xml:space="preserve"> </w:t>
                    </w:r>
                    <w:r>
                      <w:rPr>
                        <w:w w:val="80"/>
                        <w:sz w:val="14"/>
                      </w:rPr>
                      <w:t>Growth</w:t>
                    </w:r>
                    <w:r>
                      <w:rPr>
                        <w:spacing w:val="-2"/>
                        <w:w w:val="80"/>
                        <w:sz w:val="14"/>
                      </w:rPr>
                      <w:t xml:space="preserve"> </w:t>
                    </w:r>
                    <w:r>
                      <w:rPr>
                        <w:w w:val="80"/>
                        <w:sz w:val="14"/>
                      </w:rPr>
                      <w:t>Centre</w:t>
                    </w:r>
                  </w:p>
                </w:txbxContent>
              </v:textbox>
            </v:shape>
            <v:shape id="docshape1059" o:spid="_x0000_s4262" type="#_x0000_t202" style="position:absolute;left:8442;top:5468;width:482;height:159" filled="f" stroked="f">
              <v:textbox inset="0,0,0,0">
                <w:txbxContent>
                  <w:p w:rsidR="00F22F94" w:rsidRDefault="00F22F94">
                    <w:pPr>
                      <w:spacing w:line="158" w:lineRule="exact"/>
                      <w:rPr>
                        <w:sz w:val="14"/>
                      </w:rPr>
                    </w:pPr>
                    <w:r>
                      <w:rPr>
                        <w:spacing w:val="-2"/>
                        <w:w w:val="80"/>
                        <w:sz w:val="14"/>
                      </w:rPr>
                      <w:t>Liverpool</w:t>
                    </w:r>
                  </w:p>
                </w:txbxContent>
              </v:textbox>
            </v:shape>
            <v:shape id="docshape1060" o:spid="_x0000_s4261" type="#_x0000_t202" style="position:absolute;left:12697;top:5444;width:1077;height:281" filled="f" stroked="f">
              <v:textbox inset="0,0,0,0">
                <w:txbxContent>
                  <w:p w:rsidR="00F22F94" w:rsidRDefault="00F22F94">
                    <w:pPr>
                      <w:spacing w:before="1" w:line="242" w:lineRule="auto"/>
                      <w:rPr>
                        <w:sz w:val="12"/>
                      </w:rPr>
                    </w:pPr>
                    <w:r>
                      <w:rPr>
                        <w:color w:val="FFFFFF"/>
                        <w:w w:val="85"/>
                        <w:sz w:val="12"/>
                      </w:rPr>
                      <w:t>Southern Cross Drive/</w:t>
                    </w:r>
                    <w:r>
                      <w:rPr>
                        <w:color w:val="FFFFFF"/>
                        <w:spacing w:val="40"/>
                        <w:sz w:val="12"/>
                      </w:rPr>
                      <w:t xml:space="preserve"> </w:t>
                    </w:r>
                    <w:r>
                      <w:rPr>
                        <w:color w:val="FFFFFF"/>
                        <w:sz w:val="12"/>
                      </w:rPr>
                      <w:t>Eastern</w:t>
                    </w:r>
                    <w:r>
                      <w:rPr>
                        <w:color w:val="FFFFFF"/>
                        <w:spacing w:val="-9"/>
                        <w:sz w:val="12"/>
                      </w:rPr>
                      <w:t xml:space="preserve"> </w:t>
                    </w:r>
                    <w:r>
                      <w:rPr>
                        <w:color w:val="FFFFFF"/>
                        <w:sz w:val="12"/>
                      </w:rPr>
                      <w:t>Distributor</w:t>
                    </w:r>
                  </w:p>
                </w:txbxContent>
              </v:textbox>
            </v:shape>
            <v:shape id="docshape1061" o:spid="_x0000_s4260" type="#_x0000_t202" style="position:absolute;left:9202;top:5894;width:172;height:141" filled="f" stroked="f">
              <v:textbox inset="0,0,0,0">
                <w:txbxContent>
                  <w:p w:rsidR="00F22F94" w:rsidRDefault="00F22F94">
                    <w:pPr>
                      <w:spacing w:before="1"/>
                      <w:rPr>
                        <w:sz w:val="12"/>
                      </w:rPr>
                    </w:pPr>
                    <w:r>
                      <w:rPr>
                        <w:color w:val="FFFFFF"/>
                        <w:spacing w:val="-5"/>
                        <w:w w:val="95"/>
                        <w:sz w:val="12"/>
                      </w:rPr>
                      <w:t>M5</w:t>
                    </w:r>
                  </w:p>
                </w:txbxContent>
              </v:textbox>
            </v:shape>
            <v:shape id="docshape1062" o:spid="_x0000_s4259" type="#_x0000_t202" style="position:absolute;left:10885;top:5857;width:410;height:141" filled="f" stroked="f">
              <v:textbox inset="0,0,0,0">
                <w:txbxContent>
                  <w:p w:rsidR="00F22F94" w:rsidRDefault="00F22F94">
                    <w:pPr>
                      <w:spacing w:before="1"/>
                      <w:rPr>
                        <w:sz w:val="12"/>
                      </w:rPr>
                    </w:pPr>
                    <w:r>
                      <w:rPr>
                        <w:color w:val="FFFFFF"/>
                        <w:w w:val="85"/>
                        <w:sz w:val="12"/>
                      </w:rPr>
                      <w:t>M5</w:t>
                    </w:r>
                    <w:r>
                      <w:rPr>
                        <w:color w:val="FFFFFF"/>
                        <w:spacing w:val="-1"/>
                        <w:sz w:val="12"/>
                      </w:rPr>
                      <w:t xml:space="preserve"> </w:t>
                    </w:r>
                    <w:r>
                      <w:rPr>
                        <w:color w:val="FFFFFF"/>
                        <w:spacing w:val="-4"/>
                        <w:w w:val="90"/>
                        <w:sz w:val="12"/>
                      </w:rPr>
                      <w:t>East</w:t>
                    </w:r>
                  </w:p>
                </w:txbxContent>
              </v:textbox>
            </v:shape>
            <v:shape id="docshape1063" o:spid="_x0000_s4258" type="#_x0000_t202" style="position:absolute;left:12106;top:6563;width:613;height:159" filled="f" stroked="f">
              <v:textbox inset="0,0,0,0">
                <w:txbxContent>
                  <w:p w:rsidR="00F22F94" w:rsidRDefault="00F22F94">
                    <w:pPr>
                      <w:spacing w:line="158" w:lineRule="exact"/>
                      <w:rPr>
                        <w:sz w:val="14"/>
                      </w:rPr>
                    </w:pPr>
                    <w:r>
                      <w:rPr>
                        <w:w w:val="75"/>
                        <w:sz w:val="14"/>
                      </w:rPr>
                      <w:t>Port</w:t>
                    </w:r>
                    <w:r>
                      <w:rPr>
                        <w:spacing w:val="7"/>
                        <w:sz w:val="14"/>
                      </w:rPr>
                      <w:t xml:space="preserve"> </w:t>
                    </w:r>
                    <w:r>
                      <w:rPr>
                        <w:spacing w:val="-2"/>
                        <w:w w:val="80"/>
                        <w:sz w:val="14"/>
                      </w:rPr>
                      <w:t>Botany</w:t>
                    </w:r>
                  </w:p>
                </w:txbxContent>
              </v:textbox>
            </v:shape>
            <v:shape id="docshape1064" o:spid="_x0000_s4257" type="#_x0000_t202" style="position:absolute;left:7098;top:7415;width:737;height:141" filled="f" stroked="f">
              <v:textbox inset="0,0,0,0">
                <w:txbxContent>
                  <w:p w:rsidR="00F22F94" w:rsidRDefault="00F22F94">
                    <w:pPr>
                      <w:spacing w:before="1"/>
                      <w:rPr>
                        <w:sz w:val="12"/>
                      </w:rPr>
                    </w:pPr>
                    <w:r>
                      <w:rPr>
                        <w:color w:val="FFFFFF"/>
                        <w:w w:val="80"/>
                        <w:sz w:val="12"/>
                      </w:rPr>
                      <w:t>Hume</w:t>
                    </w:r>
                    <w:r>
                      <w:rPr>
                        <w:color w:val="FFFFFF"/>
                        <w:spacing w:val="11"/>
                        <w:sz w:val="12"/>
                      </w:rPr>
                      <w:t xml:space="preserve"> </w:t>
                    </w:r>
                    <w:r>
                      <w:rPr>
                        <w:color w:val="FFFFFF"/>
                        <w:spacing w:val="-2"/>
                        <w:w w:val="90"/>
                        <w:sz w:val="12"/>
                      </w:rPr>
                      <w:t>Highway</w:t>
                    </w:r>
                  </w:p>
                </w:txbxContent>
              </v:textbox>
            </v:shape>
            <v:shape id="docshape1065" o:spid="_x0000_s4256" type="#_x0000_t202" style="position:absolute;left:10078;top:7312;width:572;height:159" filled="f" stroked="f">
              <v:textbox inset="0,0,0,0">
                <w:txbxContent>
                  <w:p w:rsidR="00F22F94" w:rsidRDefault="00F22F94">
                    <w:pPr>
                      <w:spacing w:line="158" w:lineRule="exact"/>
                      <w:rPr>
                        <w:sz w:val="14"/>
                      </w:rPr>
                    </w:pPr>
                    <w:r>
                      <w:rPr>
                        <w:spacing w:val="-2"/>
                        <w:w w:val="80"/>
                        <w:sz w:val="14"/>
                      </w:rPr>
                      <w:t>Sutherland</w:t>
                    </w:r>
                  </w:p>
                </w:txbxContent>
              </v:textbox>
            </v:shape>
            <v:shape id="docshape1066" o:spid="_x0000_s4255" type="#_x0000_t202" style="position:absolute;left:10987;top:7542;width:436;height:159" filled="f" stroked="f">
              <v:textbox inset="0,0,0,0">
                <w:txbxContent>
                  <w:p w:rsidR="00F22F94" w:rsidRDefault="00F22F94">
                    <w:pPr>
                      <w:spacing w:line="158" w:lineRule="exact"/>
                      <w:rPr>
                        <w:sz w:val="14"/>
                      </w:rPr>
                    </w:pPr>
                    <w:r>
                      <w:rPr>
                        <w:spacing w:val="-2"/>
                        <w:w w:val="80"/>
                        <w:sz w:val="14"/>
                      </w:rPr>
                      <w:t>Miranda</w:t>
                    </w:r>
                  </w:p>
                </w:txbxContent>
              </v:textbox>
            </v:shape>
            <v:shape id="docshape1067" o:spid="_x0000_s4254" type="#_x0000_t202" style="position:absolute;left:11823;top:7639;width:438;height:159" filled="f" stroked="f">
              <v:textbox inset="0,0,0,0">
                <w:txbxContent>
                  <w:p w:rsidR="00F22F94" w:rsidRDefault="00F22F94">
                    <w:pPr>
                      <w:spacing w:line="158" w:lineRule="exact"/>
                      <w:rPr>
                        <w:sz w:val="14"/>
                      </w:rPr>
                    </w:pPr>
                    <w:r>
                      <w:rPr>
                        <w:spacing w:val="-2"/>
                        <w:w w:val="80"/>
                        <w:sz w:val="14"/>
                      </w:rPr>
                      <w:t>Cronulla</w:t>
                    </w:r>
                  </w:p>
                </w:txbxContent>
              </v:textbox>
            </v:shape>
            <v:shape id="docshape1068" o:spid="_x0000_s4253" type="#_x0000_t202" style="position:absolute;left:6116;top:7840;width:2441;height:439" filled="f" stroked="f">
              <v:textbox inset="0,0,0,0">
                <w:txbxContent>
                  <w:p w:rsidR="00F22F94" w:rsidRDefault="00F22F94">
                    <w:pPr>
                      <w:spacing w:line="159" w:lineRule="exact"/>
                      <w:ind w:right="18"/>
                      <w:jc w:val="right"/>
                      <w:rPr>
                        <w:sz w:val="14"/>
                      </w:rPr>
                    </w:pPr>
                    <w:r>
                      <w:rPr>
                        <w:spacing w:val="-2"/>
                        <w:w w:val="90"/>
                        <w:sz w:val="14"/>
                      </w:rPr>
                      <w:t>Campbelltown</w:t>
                    </w:r>
                  </w:p>
                  <w:p w:rsidR="00F22F94" w:rsidRDefault="00F22F94">
                    <w:pPr>
                      <w:spacing w:before="118"/>
                      <w:rPr>
                        <w:sz w:val="14"/>
                      </w:rPr>
                    </w:pPr>
                    <w:r>
                      <w:rPr>
                        <w:w w:val="95"/>
                        <w:sz w:val="14"/>
                      </w:rPr>
                      <w:t>Source:</w:t>
                    </w:r>
                    <w:r>
                      <w:rPr>
                        <w:spacing w:val="13"/>
                        <w:sz w:val="14"/>
                      </w:rPr>
                      <w:t xml:space="preserve"> </w:t>
                    </w:r>
                    <w:r>
                      <w:rPr>
                        <w:w w:val="95"/>
                        <w:sz w:val="14"/>
                      </w:rPr>
                      <w:t>Transport</w:t>
                    </w:r>
                    <w:r>
                      <w:rPr>
                        <w:spacing w:val="13"/>
                        <w:sz w:val="14"/>
                      </w:rPr>
                      <w:t xml:space="preserve"> </w:t>
                    </w:r>
                    <w:r>
                      <w:rPr>
                        <w:w w:val="95"/>
                        <w:sz w:val="14"/>
                      </w:rPr>
                      <w:t>for</w:t>
                    </w:r>
                    <w:r>
                      <w:rPr>
                        <w:spacing w:val="13"/>
                        <w:sz w:val="14"/>
                      </w:rPr>
                      <w:t xml:space="preserve"> </w:t>
                    </w:r>
                    <w:r>
                      <w:rPr>
                        <w:spacing w:val="-4"/>
                        <w:w w:val="95"/>
                        <w:sz w:val="14"/>
                      </w:rPr>
                      <w:t>NSW.</w:t>
                    </w:r>
                  </w:p>
                </w:txbxContent>
              </v:textbox>
            </v:shape>
            <v:shape id="docshape1069" o:spid="_x0000_s4252" type="#_x0000_t202" style="position:absolute;left:10121;top:8080;width:134;height:141" filled="f" stroked="f">
              <v:textbox inset="0,0,0,0">
                <w:txbxContent>
                  <w:p w:rsidR="00F22F94" w:rsidRDefault="00F22F94">
                    <w:pPr>
                      <w:spacing w:before="1"/>
                      <w:rPr>
                        <w:sz w:val="12"/>
                      </w:rPr>
                    </w:pPr>
                    <w:r>
                      <w:rPr>
                        <w:color w:val="FFFFFF"/>
                        <w:spacing w:val="-5"/>
                        <w:w w:val="90"/>
                        <w:sz w:val="12"/>
                      </w:rPr>
                      <w:t>F6</w:t>
                    </w:r>
                  </w:p>
                </w:txbxContent>
              </v:textbox>
            </v:shape>
            <v:shape id="docshape1070" o:spid="_x0000_s4251" type="#_x0000_t202" style="position:absolute;left:14291;top:6395;width:1301;height:1782" filled="f" stroked="f">
              <v:textbox inset="0,0,0,0">
                <w:txbxContent>
                  <w:p w:rsidR="00F22F94" w:rsidRDefault="00F22F94">
                    <w:pPr>
                      <w:spacing w:before="6"/>
                      <w:rPr>
                        <w:b/>
                        <w:sz w:val="18"/>
                      </w:rPr>
                    </w:pPr>
                    <w:r>
                      <w:rPr>
                        <w:b/>
                        <w:color w:val="2E3092"/>
                        <w:spacing w:val="-5"/>
                        <w:sz w:val="18"/>
                      </w:rPr>
                      <w:t>Key</w:t>
                    </w:r>
                  </w:p>
                  <w:p w:rsidR="00F22F94" w:rsidRDefault="00F22F94">
                    <w:pPr>
                      <w:spacing w:before="9" w:line="200" w:lineRule="atLeast"/>
                      <w:ind w:left="306" w:right="233"/>
                      <w:rPr>
                        <w:sz w:val="14"/>
                      </w:rPr>
                    </w:pPr>
                    <w:r>
                      <w:rPr>
                        <w:w w:val="90"/>
                        <w:sz w:val="14"/>
                      </w:rPr>
                      <w:t>Urban</w:t>
                    </w:r>
                    <w:r>
                      <w:rPr>
                        <w:spacing w:val="-8"/>
                        <w:w w:val="90"/>
                        <w:sz w:val="14"/>
                      </w:rPr>
                      <w:t xml:space="preserve"> </w:t>
                    </w:r>
                    <w:r>
                      <w:rPr>
                        <w:w w:val="90"/>
                        <w:sz w:val="14"/>
                      </w:rPr>
                      <w:t>Areas</w:t>
                    </w:r>
                    <w:r>
                      <w:rPr>
                        <w:spacing w:val="40"/>
                        <w:sz w:val="14"/>
                      </w:rPr>
                      <w:t xml:space="preserve"> </w:t>
                    </w:r>
                    <w:r>
                      <w:rPr>
                        <w:w w:val="85"/>
                        <w:sz w:val="14"/>
                      </w:rPr>
                      <w:t>Growth</w:t>
                    </w:r>
                    <w:r>
                      <w:rPr>
                        <w:spacing w:val="-6"/>
                        <w:w w:val="85"/>
                        <w:sz w:val="14"/>
                      </w:rPr>
                      <w:t xml:space="preserve"> </w:t>
                    </w:r>
                    <w:r>
                      <w:rPr>
                        <w:w w:val="85"/>
                        <w:sz w:val="14"/>
                      </w:rPr>
                      <w:t>Areas</w:t>
                    </w:r>
                    <w:r>
                      <w:rPr>
                        <w:spacing w:val="40"/>
                        <w:sz w:val="14"/>
                      </w:rPr>
                      <w:t xml:space="preserve"> </w:t>
                    </w:r>
                    <w:r>
                      <w:rPr>
                        <w:w w:val="75"/>
                        <w:sz w:val="14"/>
                      </w:rPr>
                      <w:t>Business</w:t>
                    </w:r>
                    <w:r>
                      <w:rPr>
                        <w:spacing w:val="11"/>
                        <w:sz w:val="14"/>
                      </w:rPr>
                      <w:t xml:space="preserve"> </w:t>
                    </w:r>
                    <w:r>
                      <w:rPr>
                        <w:spacing w:val="-5"/>
                        <w:w w:val="85"/>
                        <w:sz w:val="14"/>
                      </w:rPr>
                      <w:t>parks</w:t>
                    </w:r>
                  </w:p>
                  <w:p w:rsidR="00F22F94" w:rsidRDefault="00F22F94">
                    <w:pPr>
                      <w:spacing w:line="297" w:lineRule="auto"/>
                      <w:ind w:left="306" w:right="11"/>
                      <w:rPr>
                        <w:sz w:val="14"/>
                      </w:rPr>
                    </w:pPr>
                    <w:r>
                      <w:rPr>
                        <w:spacing w:val="-2"/>
                        <w:w w:val="80"/>
                        <w:sz w:val="14"/>
                      </w:rPr>
                      <w:t>and</w:t>
                    </w:r>
                    <w:r>
                      <w:rPr>
                        <w:spacing w:val="-8"/>
                        <w:sz w:val="14"/>
                      </w:rPr>
                      <w:t xml:space="preserve"> </w:t>
                    </w:r>
                    <w:r>
                      <w:rPr>
                        <w:spacing w:val="-2"/>
                        <w:w w:val="80"/>
                        <w:sz w:val="14"/>
                      </w:rPr>
                      <w:t>industrial</w:t>
                    </w:r>
                    <w:r>
                      <w:rPr>
                        <w:spacing w:val="-8"/>
                        <w:sz w:val="14"/>
                      </w:rPr>
                      <w:t xml:space="preserve"> </w:t>
                    </w:r>
                    <w:r>
                      <w:rPr>
                        <w:spacing w:val="-2"/>
                        <w:w w:val="80"/>
                        <w:sz w:val="14"/>
                      </w:rPr>
                      <w:t>areas</w:t>
                    </w:r>
                    <w:r>
                      <w:rPr>
                        <w:spacing w:val="40"/>
                        <w:sz w:val="14"/>
                      </w:rPr>
                      <w:t xml:space="preserve"> </w:t>
                    </w:r>
                    <w:r>
                      <w:rPr>
                        <w:w w:val="90"/>
                        <w:sz w:val="14"/>
                      </w:rPr>
                      <w:t>Main</w:t>
                    </w:r>
                    <w:r>
                      <w:rPr>
                        <w:spacing w:val="-6"/>
                        <w:w w:val="90"/>
                        <w:sz w:val="14"/>
                      </w:rPr>
                      <w:t xml:space="preserve"> </w:t>
                    </w:r>
                    <w:r>
                      <w:rPr>
                        <w:w w:val="90"/>
                        <w:sz w:val="14"/>
                      </w:rPr>
                      <w:t>roads</w:t>
                    </w:r>
                    <w:r>
                      <w:rPr>
                        <w:spacing w:val="40"/>
                        <w:sz w:val="14"/>
                      </w:rPr>
                      <w:t xml:space="preserve"> </w:t>
                    </w:r>
                    <w:r>
                      <w:rPr>
                        <w:spacing w:val="-2"/>
                        <w:w w:val="90"/>
                        <w:sz w:val="14"/>
                      </w:rPr>
                      <w:t>Motorways</w:t>
                    </w:r>
                  </w:p>
                  <w:p w:rsidR="00F22F94" w:rsidRDefault="00F22F94">
                    <w:pPr>
                      <w:spacing w:before="1"/>
                      <w:ind w:left="306"/>
                      <w:rPr>
                        <w:sz w:val="14"/>
                      </w:rPr>
                    </w:pPr>
                    <w:r>
                      <w:rPr>
                        <w:spacing w:val="-2"/>
                        <w:w w:val="90"/>
                        <w:sz w:val="14"/>
                      </w:rPr>
                      <w:t>Airport</w:t>
                    </w:r>
                  </w:p>
                  <w:p w:rsidR="00F22F94" w:rsidRDefault="00F22F94">
                    <w:pPr>
                      <w:spacing w:before="39" w:line="160" w:lineRule="exact"/>
                      <w:ind w:left="306"/>
                      <w:rPr>
                        <w:sz w:val="14"/>
                      </w:rPr>
                    </w:pPr>
                    <w:r>
                      <w:rPr>
                        <w:spacing w:val="-4"/>
                        <w:w w:val="85"/>
                        <w:sz w:val="14"/>
                      </w:rPr>
                      <w:t>Port</w:t>
                    </w:r>
                  </w:p>
                </w:txbxContent>
              </v:textbox>
            </v:shape>
            <w10:wrap anchorx="page"/>
          </v:group>
        </w:pict>
      </w:r>
      <w:r>
        <w:pict>
          <v:rect id="docshape1071" o:spid="_x0000_s4249" style="position:absolute;left:0;text-align:left;margin-left:791.6pt;margin-top:8.65pt;width:.7pt;height:410.3pt;z-index:-251498496;mso-position-horizontal-relative:page" stroked="f">
            <w10:wrap anchorx="page"/>
          </v:rect>
        </w:pict>
      </w:r>
      <w:bookmarkStart w:id="150" w:name="6.2__The_Sydney_Strategic_Road_Network_"/>
      <w:bookmarkStart w:id="151" w:name="_bookmark108"/>
      <w:bookmarkStart w:id="152" w:name="_bookmark107"/>
      <w:bookmarkEnd w:id="150"/>
      <w:bookmarkEnd w:id="151"/>
      <w:bookmarkEnd w:id="152"/>
      <w:r w:rsidR="00F22F94">
        <w:rPr>
          <w:color w:val="00AEEF"/>
          <w:spacing w:val="-6"/>
        </w:rPr>
        <w:t>The</w:t>
      </w:r>
      <w:r w:rsidR="00F22F94">
        <w:rPr>
          <w:color w:val="00AEEF"/>
          <w:spacing w:val="-14"/>
        </w:rPr>
        <w:t xml:space="preserve"> </w:t>
      </w:r>
      <w:r w:rsidR="00F22F94">
        <w:rPr>
          <w:color w:val="00AEEF"/>
          <w:spacing w:val="-6"/>
        </w:rPr>
        <w:t>Sydney</w:t>
      </w:r>
      <w:r w:rsidR="00F22F94">
        <w:rPr>
          <w:color w:val="00AEEF"/>
          <w:spacing w:val="-13"/>
        </w:rPr>
        <w:t xml:space="preserve"> </w:t>
      </w:r>
      <w:r w:rsidR="00F22F94">
        <w:rPr>
          <w:color w:val="00AEEF"/>
          <w:spacing w:val="-6"/>
        </w:rPr>
        <w:t xml:space="preserve">Strategic </w:t>
      </w:r>
      <w:r w:rsidR="00F22F94">
        <w:rPr>
          <w:color w:val="00AEEF"/>
        </w:rPr>
        <w:t>Road Network</w:t>
      </w:r>
    </w:p>
    <w:p w:rsidR="002C1123" w:rsidRDefault="00F22F94">
      <w:pPr>
        <w:pStyle w:val="BodyText"/>
        <w:spacing w:before="140" w:line="249" w:lineRule="auto"/>
        <w:ind w:left="492" w:right="10835"/>
      </w:pPr>
      <w:r>
        <w:rPr>
          <w:w w:val="95"/>
        </w:rPr>
        <w:t>For the purposes of the Strategy, the Sydney Strategic Road</w:t>
      </w:r>
      <w:r>
        <w:rPr>
          <w:spacing w:val="-12"/>
          <w:w w:val="95"/>
        </w:rPr>
        <w:t xml:space="preserve"> </w:t>
      </w:r>
      <w:r>
        <w:rPr>
          <w:w w:val="95"/>
        </w:rPr>
        <w:t>Network</w:t>
      </w:r>
      <w:r>
        <w:rPr>
          <w:spacing w:val="-11"/>
          <w:w w:val="95"/>
        </w:rPr>
        <w:t xml:space="preserve"> </w:t>
      </w:r>
      <w:r>
        <w:rPr>
          <w:w w:val="95"/>
        </w:rPr>
        <w:t>(“SSRN”),</w:t>
      </w:r>
      <w:r>
        <w:rPr>
          <w:spacing w:val="-11"/>
          <w:w w:val="95"/>
        </w:rPr>
        <w:t xml:space="preserve"> </w:t>
      </w:r>
      <w:r>
        <w:rPr>
          <w:w w:val="95"/>
        </w:rPr>
        <w:t>shown</w:t>
      </w:r>
      <w:r>
        <w:rPr>
          <w:spacing w:val="-11"/>
          <w:w w:val="95"/>
        </w:rPr>
        <w:t xml:space="preserve"> </w:t>
      </w:r>
      <w:r>
        <w:rPr>
          <w:w w:val="95"/>
        </w:rPr>
        <w:t>in</w:t>
      </w:r>
      <w:r>
        <w:rPr>
          <w:spacing w:val="-11"/>
          <w:w w:val="95"/>
        </w:rPr>
        <w:t xml:space="preserve"> </w:t>
      </w:r>
      <w:r>
        <w:rPr>
          <w:w w:val="95"/>
        </w:rPr>
        <w:t>Figure</w:t>
      </w:r>
      <w:r>
        <w:rPr>
          <w:spacing w:val="-11"/>
          <w:w w:val="95"/>
        </w:rPr>
        <w:t xml:space="preserve"> </w:t>
      </w:r>
      <w:r>
        <w:rPr>
          <w:w w:val="95"/>
        </w:rPr>
        <w:t>6.1,</w:t>
      </w:r>
      <w:r>
        <w:rPr>
          <w:spacing w:val="-11"/>
          <w:w w:val="95"/>
        </w:rPr>
        <w:t xml:space="preserve"> </w:t>
      </w:r>
      <w:r>
        <w:rPr>
          <w:w w:val="95"/>
        </w:rPr>
        <w:t>is</w:t>
      </w:r>
      <w:r>
        <w:rPr>
          <w:spacing w:val="-11"/>
          <w:w w:val="95"/>
        </w:rPr>
        <w:t xml:space="preserve"> </w:t>
      </w:r>
      <w:r>
        <w:rPr>
          <w:w w:val="95"/>
        </w:rPr>
        <w:t xml:space="preserve">defined </w:t>
      </w:r>
      <w:r>
        <w:t>as</w:t>
      </w:r>
      <w:r>
        <w:rPr>
          <w:spacing w:val="-11"/>
        </w:rPr>
        <w:t xml:space="preserve"> </w:t>
      </w:r>
      <w:r>
        <w:t>comprising:</w:t>
      </w:r>
    </w:p>
    <w:p w:rsidR="002C1123" w:rsidRDefault="00F22F94">
      <w:pPr>
        <w:pStyle w:val="ListParagraph"/>
        <w:numPr>
          <w:ilvl w:val="0"/>
          <w:numId w:val="96"/>
        </w:numPr>
        <w:tabs>
          <w:tab w:val="left" w:pos="776"/>
        </w:tabs>
        <w:spacing w:before="132"/>
        <w:rPr>
          <w:sz w:val="20"/>
        </w:rPr>
      </w:pPr>
      <w:r>
        <w:rPr>
          <w:w w:val="95"/>
          <w:sz w:val="20"/>
        </w:rPr>
        <w:t>the</w:t>
      </w:r>
      <w:r>
        <w:rPr>
          <w:spacing w:val="-10"/>
          <w:w w:val="95"/>
          <w:sz w:val="20"/>
        </w:rPr>
        <w:t xml:space="preserve"> </w:t>
      </w:r>
      <w:r>
        <w:rPr>
          <w:w w:val="95"/>
          <w:sz w:val="20"/>
        </w:rPr>
        <w:t>Sydney</w:t>
      </w:r>
      <w:r>
        <w:rPr>
          <w:spacing w:val="-10"/>
          <w:w w:val="95"/>
          <w:sz w:val="20"/>
        </w:rPr>
        <w:t xml:space="preserve"> </w:t>
      </w:r>
      <w:r>
        <w:rPr>
          <w:w w:val="95"/>
          <w:sz w:val="20"/>
        </w:rPr>
        <w:t>Orbital</w:t>
      </w:r>
      <w:r>
        <w:rPr>
          <w:spacing w:val="-10"/>
          <w:w w:val="95"/>
          <w:sz w:val="20"/>
        </w:rPr>
        <w:t xml:space="preserve"> </w:t>
      </w:r>
      <w:r>
        <w:rPr>
          <w:spacing w:val="-2"/>
          <w:w w:val="95"/>
          <w:sz w:val="20"/>
        </w:rPr>
        <w:t>Network</w:t>
      </w:r>
    </w:p>
    <w:p w:rsidR="002C1123" w:rsidRDefault="00F22F94">
      <w:pPr>
        <w:pStyle w:val="ListParagraph"/>
        <w:numPr>
          <w:ilvl w:val="0"/>
          <w:numId w:val="96"/>
        </w:numPr>
        <w:tabs>
          <w:tab w:val="left" w:pos="776"/>
        </w:tabs>
        <w:spacing w:before="139"/>
        <w:rPr>
          <w:sz w:val="20"/>
        </w:rPr>
      </w:pPr>
      <w:r>
        <w:rPr>
          <w:w w:val="95"/>
          <w:sz w:val="20"/>
        </w:rPr>
        <w:t>the</w:t>
      </w:r>
      <w:r>
        <w:rPr>
          <w:spacing w:val="-2"/>
          <w:w w:val="95"/>
          <w:sz w:val="20"/>
        </w:rPr>
        <w:t xml:space="preserve"> </w:t>
      </w:r>
      <w:r>
        <w:rPr>
          <w:w w:val="95"/>
          <w:sz w:val="20"/>
        </w:rPr>
        <w:t>M4</w:t>
      </w:r>
      <w:r>
        <w:rPr>
          <w:spacing w:val="-1"/>
          <w:w w:val="95"/>
          <w:sz w:val="20"/>
        </w:rPr>
        <w:t xml:space="preserve"> </w:t>
      </w:r>
      <w:r>
        <w:rPr>
          <w:w w:val="95"/>
          <w:sz w:val="20"/>
        </w:rPr>
        <w:t>Motorway</w:t>
      </w:r>
      <w:r>
        <w:rPr>
          <w:spacing w:val="-2"/>
          <w:w w:val="95"/>
          <w:sz w:val="20"/>
        </w:rPr>
        <w:t xml:space="preserve"> </w:t>
      </w:r>
      <w:r>
        <w:rPr>
          <w:w w:val="95"/>
          <w:sz w:val="20"/>
        </w:rPr>
        <w:t>and</w:t>
      </w:r>
      <w:r>
        <w:rPr>
          <w:spacing w:val="-1"/>
          <w:w w:val="95"/>
          <w:sz w:val="20"/>
        </w:rPr>
        <w:t xml:space="preserve"> </w:t>
      </w:r>
      <w:r>
        <w:rPr>
          <w:w w:val="95"/>
          <w:sz w:val="20"/>
        </w:rPr>
        <w:t>Parramatta</w:t>
      </w:r>
      <w:r>
        <w:rPr>
          <w:spacing w:val="-1"/>
          <w:w w:val="95"/>
          <w:sz w:val="20"/>
        </w:rPr>
        <w:t xml:space="preserve"> </w:t>
      </w:r>
      <w:r>
        <w:rPr>
          <w:w w:val="95"/>
          <w:sz w:val="20"/>
        </w:rPr>
        <w:t>Road</w:t>
      </w:r>
      <w:r>
        <w:rPr>
          <w:spacing w:val="-2"/>
          <w:w w:val="95"/>
          <w:sz w:val="20"/>
        </w:rPr>
        <w:t xml:space="preserve"> corridor</w:t>
      </w:r>
    </w:p>
    <w:p w:rsidR="002C1123" w:rsidRDefault="00F22F94">
      <w:pPr>
        <w:pStyle w:val="ListParagraph"/>
        <w:numPr>
          <w:ilvl w:val="0"/>
          <w:numId w:val="96"/>
        </w:numPr>
        <w:tabs>
          <w:tab w:val="left" w:pos="776"/>
        </w:tabs>
        <w:spacing w:before="139" w:line="249" w:lineRule="auto"/>
        <w:ind w:right="11120"/>
        <w:rPr>
          <w:sz w:val="20"/>
        </w:rPr>
      </w:pPr>
      <w:r>
        <w:rPr>
          <w:w w:val="95"/>
          <w:sz w:val="20"/>
        </w:rPr>
        <w:t>the</w:t>
      </w:r>
      <w:r>
        <w:rPr>
          <w:spacing w:val="-3"/>
          <w:w w:val="95"/>
          <w:sz w:val="20"/>
        </w:rPr>
        <w:t xml:space="preserve"> </w:t>
      </w:r>
      <w:r>
        <w:rPr>
          <w:w w:val="95"/>
          <w:sz w:val="20"/>
        </w:rPr>
        <w:t>so-called</w:t>
      </w:r>
      <w:r>
        <w:rPr>
          <w:spacing w:val="-3"/>
          <w:w w:val="95"/>
          <w:sz w:val="20"/>
        </w:rPr>
        <w:t xml:space="preserve"> </w:t>
      </w:r>
      <w:r>
        <w:rPr>
          <w:w w:val="95"/>
          <w:sz w:val="20"/>
        </w:rPr>
        <w:t>missing</w:t>
      </w:r>
      <w:r>
        <w:rPr>
          <w:spacing w:val="-3"/>
          <w:w w:val="95"/>
          <w:sz w:val="20"/>
        </w:rPr>
        <w:t xml:space="preserve"> </w:t>
      </w:r>
      <w:r>
        <w:rPr>
          <w:w w:val="95"/>
          <w:sz w:val="20"/>
        </w:rPr>
        <w:t>links</w:t>
      </w:r>
      <w:r>
        <w:rPr>
          <w:spacing w:val="-3"/>
          <w:w w:val="95"/>
          <w:sz w:val="20"/>
        </w:rPr>
        <w:t xml:space="preserve"> </w:t>
      </w:r>
      <w:r>
        <w:rPr>
          <w:w w:val="95"/>
          <w:sz w:val="20"/>
        </w:rPr>
        <w:t>to</w:t>
      </w:r>
      <w:r>
        <w:rPr>
          <w:spacing w:val="-3"/>
          <w:w w:val="95"/>
          <w:sz w:val="20"/>
        </w:rPr>
        <w:t xml:space="preserve"> </w:t>
      </w:r>
      <w:r>
        <w:rPr>
          <w:w w:val="95"/>
          <w:sz w:val="20"/>
        </w:rPr>
        <w:t>connect</w:t>
      </w:r>
      <w:r>
        <w:rPr>
          <w:spacing w:val="-3"/>
          <w:w w:val="95"/>
          <w:sz w:val="20"/>
        </w:rPr>
        <w:t xml:space="preserve"> </w:t>
      </w:r>
      <w:r>
        <w:rPr>
          <w:w w:val="95"/>
          <w:sz w:val="20"/>
        </w:rPr>
        <w:t>the</w:t>
      </w:r>
      <w:r>
        <w:rPr>
          <w:spacing w:val="-3"/>
          <w:w w:val="95"/>
          <w:sz w:val="20"/>
        </w:rPr>
        <w:t xml:space="preserve"> </w:t>
      </w:r>
      <w:r>
        <w:rPr>
          <w:w w:val="95"/>
          <w:sz w:val="20"/>
        </w:rPr>
        <w:t xml:space="preserve">Sydney </w:t>
      </w:r>
      <w:r>
        <w:rPr>
          <w:sz w:val="20"/>
        </w:rPr>
        <w:t>Orbital</w:t>
      </w:r>
      <w:r>
        <w:rPr>
          <w:spacing w:val="-2"/>
          <w:sz w:val="20"/>
        </w:rPr>
        <w:t xml:space="preserve"> </w:t>
      </w:r>
      <w:r>
        <w:rPr>
          <w:sz w:val="20"/>
        </w:rPr>
        <w:t>to</w:t>
      </w:r>
      <w:r>
        <w:rPr>
          <w:spacing w:val="-2"/>
          <w:sz w:val="20"/>
        </w:rPr>
        <w:t xml:space="preserve"> </w:t>
      </w:r>
      <w:r>
        <w:rPr>
          <w:sz w:val="20"/>
        </w:rPr>
        <w:t>the</w:t>
      </w:r>
      <w:r>
        <w:rPr>
          <w:spacing w:val="-2"/>
          <w:sz w:val="20"/>
        </w:rPr>
        <w:t xml:space="preserve"> </w:t>
      </w:r>
      <w:r>
        <w:rPr>
          <w:sz w:val="20"/>
        </w:rPr>
        <w:t>F3</w:t>
      </w:r>
      <w:r>
        <w:rPr>
          <w:spacing w:val="-2"/>
          <w:sz w:val="20"/>
        </w:rPr>
        <w:t xml:space="preserve"> </w:t>
      </w:r>
      <w:r>
        <w:rPr>
          <w:sz w:val="20"/>
        </w:rPr>
        <w:t>and</w:t>
      </w:r>
      <w:r>
        <w:rPr>
          <w:spacing w:val="-2"/>
          <w:sz w:val="20"/>
        </w:rPr>
        <w:t xml:space="preserve"> </w:t>
      </w:r>
      <w:r>
        <w:rPr>
          <w:sz w:val="20"/>
        </w:rPr>
        <w:t>the</w:t>
      </w:r>
      <w:r>
        <w:rPr>
          <w:spacing w:val="-2"/>
          <w:sz w:val="20"/>
        </w:rPr>
        <w:t xml:space="preserve"> </w:t>
      </w:r>
      <w:r>
        <w:rPr>
          <w:sz w:val="20"/>
        </w:rPr>
        <w:t>F6.</w:t>
      </w:r>
    </w:p>
    <w:p w:rsidR="002C1123" w:rsidRDefault="00F22F94">
      <w:pPr>
        <w:pStyle w:val="BodyText"/>
        <w:spacing w:before="143" w:line="249" w:lineRule="auto"/>
        <w:ind w:left="492" w:right="11066"/>
      </w:pPr>
      <w:r>
        <w:t>The</w:t>
      </w:r>
      <w:r>
        <w:rPr>
          <w:spacing w:val="-14"/>
        </w:rPr>
        <w:t xml:space="preserve"> </w:t>
      </w:r>
      <w:r>
        <w:t>SSRN</w:t>
      </w:r>
      <w:r>
        <w:rPr>
          <w:spacing w:val="-13"/>
        </w:rPr>
        <w:t xml:space="preserve"> </w:t>
      </w:r>
      <w:r>
        <w:t>is</w:t>
      </w:r>
      <w:r>
        <w:rPr>
          <w:spacing w:val="-14"/>
        </w:rPr>
        <w:t xml:space="preserve"> </w:t>
      </w:r>
      <w:r>
        <w:t>the</w:t>
      </w:r>
      <w:r>
        <w:rPr>
          <w:spacing w:val="-13"/>
        </w:rPr>
        <w:t xml:space="preserve"> </w:t>
      </w:r>
      <w:r>
        <w:t>most</w:t>
      </w:r>
      <w:r>
        <w:rPr>
          <w:spacing w:val="-14"/>
        </w:rPr>
        <w:t xml:space="preserve"> </w:t>
      </w:r>
      <w:r>
        <w:t>important</w:t>
      </w:r>
      <w:r>
        <w:rPr>
          <w:spacing w:val="-13"/>
        </w:rPr>
        <w:t xml:space="preserve"> </w:t>
      </w:r>
      <w:r>
        <w:t>transport</w:t>
      </w:r>
      <w:r>
        <w:rPr>
          <w:spacing w:val="-14"/>
        </w:rPr>
        <w:t xml:space="preserve"> </w:t>
      </w:r>
      <w:r>
        <w:t xml:space="preserve">network </w:t>
      </w:r>
      <w:r>
        <w:rPr>
          <w:w w:val="95"/>
        </w:rPr>
        <w:t>in</w:t>
      </w:r>
      <w:r>
        <w:rPr>
          <w:spacing w:val="-11"/>
          <w:w w:val="95"/>
        </w:rPr>
        <w:t xml:space="preserve"> </w:t>
      </w:r>
      <w:r>
        <w:rPr>
          <w:w w:val="95"/>
        </w:rPr>
        <w:t>the</w:t>
      </w:r>
      <w:r>
        <w:rPr>
          <w:spacing w:val="-11"/>
          <w:w w:val="95"/>
        </w:rPr>
        <w:t xml:space="preserve"> </w:t>
      </w:r>
      <w:r>
        <w:rPr>
          <w:w w:val="95"/>
        </w:rPr>
        <w:t>State.</w:t>
      </w:r>
      <w:r>
        <w:rPr>
          <w:spacing w:val="-11"/>
          <w:w w:val="95"/>
        </w:rPr>
        <w:t xml:space="preserve"> </w:t>
      </w:r>
      <w:r>
        <w:rPr>
          <w:w w:val="95"/>
        </w:rPr>
        <w:t>The</w:t>
      </w:r>
      <w:r>
        <w:rPr>
          <w:spacing w:val="-11"/>
          <w:w w:val="95"/>
        </w:rPr>
        <w:t xml:space="preserve"> </w:t>
      </w:r>
      <w:r>
        <w:rPr>
          <w:w w:val="95"/>
        </w:rPr>
        <w:t>SSRN</w:t>
      </w:r>
      <w:r>
        <w:rPr>
          <w:spacing w:val="-11"/>
          <w:w w:val="95"/>
        </w:rPr>
        <w:t xml:space="preserve"> </w:t>
      </w:r>
      <w:r>
        <w:rPr>
          <w:w w:val="95"/>
        </w:rPr>
        <w:t>carries</w:t>
      </w:r>
      <w:r>
        <w:rPr>
          <w:spacing w:val="-11"/>
          <w:w w:val="95"/>
        </w:rPr>
        <w:t xml:space="preserve"> </w:t>
      </w:r>
      <w:r>
        <w:rPr>
          <w:w w:val="95"/>
        </w:rPr>
        <w:t>the</w:t>
      </w:r>
      <w:r>
        <w:rPr>
          <w:spacing w:val="-11"/>
          <w:w w:val="95"/>
        </w:rPr>
        <w:t xml:space="preserve"> </w:t>
      </w:r>
      <w:r>
        <w:rPr>
          <w:w w:val="95"/>
        </w:rPr>
        <w:t>bulk</w:t>
      </w:r>
      <w:r>
        <w:rPr>
          <w:spacing w:val="-11"/>
          <w:w w:val="95"/>
        </w:rPr>
        <w:t xml:space="preserve"> </w:t>
      </w:r>
      <w:r>
        <w:rPr>
          <w:w w:val="95"/>
        </w:rPr>
        <w:t>of</w:t>
      </w:r>
      <w:r>
        <w:rPr>
          <w:spacing w:val="-11"/>
          <w:w w:val="95"/>
        </w:rPr>
        <w:t xml:space="preserve"> </w:t>
      </w:r>
      <w:r>
        <w:rPr>
          <w:w w:val="95"/>
        </w:rPr>
        <w:t>the</w:t>
      </w:r>
      <w:r>
        <w:rPr>
          <w:spacing w:val="-11"/>
          <w:w w:val="95"/>
        </w:rPr>
        <w:t xml:space="preserve"> </w:t>
      </w:r>
      <w:r>
        <w:rPr>
          <w:w w:val="95"/>
        </w:rPr>
        <w:t>State’s</w:t>
      </w:r>
    </w:p>
    <w:p w:rsidR="002C1123" w:rsidRDefault="00F22F94">
      <w:pPr>
        <w:pStyle w:val="BodyText"/>
        <w:spacing w:before="2" w:line="249" w:lineRule="auto"/>
        <w:ind w:left="492" w:right="10730"/>
      </w:pPr>
      <w:r>
        <w:rPr>
          <w:w w:val="95"/>
        </w:rPr>
        <w:t xml:space="preserve">container freight and acts as a feeder and distributor for </w:t>
      </w:r>
      <w:r>
        <w:rPr>
          <w:spacing w:val="-2"/>
        </w:rPr>
        <w:t>other</w:t>
      </w:r>
      <w:r>
        <w:rPr>
          <w:spacing w:val="-10"/>
        </w:rPr>
        <w:t xml:space="preserve"> </w:t>
      </w:r>
      <w:r>
        <w:rPr>
          <w:spacing w:val="-2"/>
        </w:rPr>
        <w:t>modes</w:t>
      </w:r>
      <w:r>
        <w:rPr>
          <w:spacing w:val="-10"/>
        </w:rPr>
        <w:t xml:space="preserve"> </w:t>
      </w:r>
      <w:r>
        <w:rPr>
          <w:spacing w:val="-2"/>
        </w:rPr>
        <w:t>–</w:t>
      </w:r>
      <w:r>
        <w:rPr>
          <w:spacing w:val="-10"/>
        </w:rPr>
        <w:t xml:space="preserve"> </w:t>
      </w:r>
      <w:r>
        <w:rPr>
          <w:spacing w:val="-2"/>
        </w:rPr>
        <w:t>for</w:t>
      </w:r>
      <w:r>
        <w:rPr>
          <w:spacing w:val="-10"/>
        </w:rPr>
        <w:t xml:space="preserve"> </w:t>
      </w:r>
      <w:r>
        <w:rPr>
          <w:spacing w:val="-2"/>
        </w:rPr>
        <w:t>example,</w:t>
      </w:r>
      <w:r>
        <w:rPr>
          <w:spacing w:val="-10"/>
        </w:rPr>
        <w:t xml:space="preserve"> </w:t>
      </w:r>
      <w:r>
        <w:rPr>
          <w:spacing w:val="-2"/>
        </w:rPr>
        <w:t>rail,</w:t>
      </w:r>
      <w:r>
        <w:rPr>
          <w:spacing w:val="-10"/>
        </w:rPr>
        <w:t xml:space="preserve"> </w:t>
      </w:r>
      <w:r>
        <w:rPr>
          <w:spacing w:val="-2"/>
        </w:rPr>
        <w:t>sea</w:t>
      </w:r>
      <w:r>
        <w:rPr>
          <w:spacing w:val="-10"/>
        </w:rPr>
        <w:t xml:space="preserve"> </w:t>
      </w:r>
      <w:r>
        <w:rPr>
          <w:spacing w:val="-2"/>
        </w:rPr>
        <w:t>and</w:t>
      </w:r>
      <w:r>
        <w:rPr>
          <w:spacing w:val="-10"/>
        </w:rPr>
        <w:t xml:space="preserve"> </w:t>
      </w:r>
      <w:r>
        <w:rPr>
          <w:spacing w:val="-2"/>
        </w:rPr>
        <w:t>air</w:t>
      </w:r>
      <w:r>
        <w:rPr>
          <w:spacing w:val="-10"/>
        </w:rPr>
        <w:t xml:space="preserve"> </w:t>
      </w:r>
      <w:r>
        <w:rPr>
          <w:spacing w:val="-2"/>
        </w:rPr>
        <w:t>transport.</w:t>
      </w:r>
      <w:r>
        <w:rPr>
          <w:spacing w:val="-10"/>
        </w:rPr>
        <w:t xml:space="preserve"> </w:t>
      </w:r>
      <w:r>
        <w:rPr>
          <w:spacing w:val="-2"/>
        </w:rPr>
        <w:t xml:space="preserve">It </w:t>
      </w:r>
      <w:r>
        <w:rPr>
          <w:w w:val="95"/>
        </w:rPr>
        <w:t xml:space="preserve">supports economic growth across the metropolitan area by connecting people to jobs and allowing businesses to </w:t>
      </w:r>
      <w:r>
        <w:t>trade with each other.</w:t>
      </w:r>
    </w:p>
    <w:p w:rsidR="002C1123" w:rsidRDefault="00F22F94">
      <w:pPr>
        <w:pStyle w:val="BodyText"/>
        <w:spacing w:before="146" w:line="249" w:lineRule="auto"/>
        <w:ind w:left="492" w:right="10730"/>
      </w:pPr>
      <w:r>
        <w:t>Much</w:t>
      </w:r>
      <w:r>
        <w:rPr>
          <w:spacing w:val="-10"/>
        </w:rPr>
        <w:t xml:space="preserve"> </w:t>
      </w:r>
      <w:r>
        <w:t>of</w:t>
      </w:r>
      <w:r>
        <w:rPr>
          <w:spacing w:val="-10"/>
        </w:rPr>
        <w:t xml:space="preserve"> </w:t>
      </w:r>
      <w:r>
        <w:t>the</w:t>
      </w:r>
      <w:r>
        <w:rPr>
          <w:spacing w:val="-10"/>
        </w:rPr>
        <w:t xml:space="preserve"> </w:t>
      </w:r>
      <w:r>
        <w:t>SSRN</w:t>
      </w:r>
      <w:r>
        <w:rPr>
          <w:spacing w:val="-10"/>
        </w:rPr>
        <w:t xml:space="preserve"> </w:t>
      </w:r>
      <w:r>
        <w:t>has</w:t>
      </w:r>
      <w:r>
        <w:rPr>
          <w:spacing w:val="-10"/>
        </w:rPr>
        <w:t xml:space="preserve"> </w:t>
      </w:r>
      <w:r>
        <w:t>been</w:t>
      </w:r>
      <w:r>
        <w:rPr>
          <w:spacing w:val="-10"/>
        </w:rPr>
        <w:t xml:space="preserve"> </w:t>
      </w:r>
      <w:r>
        <w:t>delivered</w:t>
      </w:r>
      <w:r>
        <w:rPr>
          <w:spacing w:val="-10"/>
        </w:rPr>
        <w:t xml:space="preserve"> </w:t>
      </w:r>
      <w:r>
        <w:t>through partnerships</w:t>
      </w:r>
      <w:r>
        <w:rPr>
          <w:spacing w:val="-8"/>
        </w:rPr>
        <w:t xml:space="preserve"> </w:t>
      </w:r>
      <w:r>
        <w:t>between</w:t>
      </w:r>
      <w:r>
        <w:rPr>
          <w:spacing w:val="-8"/>
        </w:rPr>
        <w:t xml:space="preserve"> </w:t>
      </w:r>
      <w:r>
        <w:t>Government</w:t>
      </w:r>
      <w:r>
        <w:rPr>
          <w:spacing w:val="-8"/>
        </w:rPr>
        <w:t xml:space="preserve"> </w:t>
      </w:r>
      <w:r>
        <w:t>and</w:t>
      </w:r>
      <w:r>
        <w:rPr>
          <w:spacing w:val="-8"/>
        </w:rPr>
        <w:t xml:space="preserve"> </w:t>
      </w:r>
      <w:r>
        <w:t>the</w:t>
      </w:r>
      <w:r>
        <w:rPr>
          <w:spacing w:val="-8"/>
        </w:rPr>
        <w:t xml:space="preserve"> </w:t>
      </w:r>
      <w:r>
        <w:t xml:space="preserve">private </w:t>
      </w:r>
      <w:r>
        <w:rPr>
          <w:spacing w:val="-2"/>
        </w:rPr>
        <w:t>sector.</w:t>
      </w:r>
      <w:r>
        <w:rPr>
          <w:spacing w:val="-8"/>
        </w:rPr>
        <w:t xml:space="preserve"> </w:t>
      </w:r>
      <w:r>
        <w:rPr>
          <w:spacing w:val="-2"/>
        </w:rPr>
        <w:t>These</w:t>
      </w:r>
      <w:r>
        <w:rPr>
          <w:spacing w:val="-8"/>
        </w:rPr>
        <w:t xml:space="preserve"> </w:t>
      </w:r>
      <w:r>
        <w:rPr>
          <w:spacing w:val="-2"/>
        </w:rPr>
        <w:t>investments</w:t>
      </w:r>
      <w:r>
        <w:rPr>
          <w:spacing w:val="-8"/>
        </w:rPr>
        <w:t xml:space="preserve"> </w:t>
      </w:r>
      <w:r>
        <w:rPr>
          <w:spacing w:val="-2"/>
        </w:rPr>
        <w:t>have</w:t>
      </w:r>
      <w:r>
        <w:rPr>
          <w:spacing w:val="-8"/>
        </w:rPr>
        <w:t xml:space="preserve"> </w:t>
      </w:r>
      <w:r>
        <w:rPr>
          <w:spacing w:val="-2"/>
        </w:rPr>
        <w:t>transformed</w:t>
      </w:r>
      <w:r>
        <w:rPr>
          <w:spacing w:val="-8"/>
        </w:rPr>
        <w:t xml:space="preserve"> </w:t>
      </w:r>
      <w:r>
        <w:rPr>
          <w:spacing w:val="-2"/>
        </w:rPr>
        <w:t>travel</w:t>
      </w:r>
      <w:r>
        <w:rPr>
          <w:spacing w:val="-8"/>
        </w:rPr>
        <w:t xml:space="preserve"> </w:t>
      </w:r>
      <w:r>
        <w:rPr>
          <w:spacing w:val="-2"/>
        </w:rPr>
        <w:t xml:space="preserve">in </w:t>
      </w:r>
      <w:r>
        <w:t>Sydney</w:t>
      </w:r>
      <w:r>
        <w:rPr>
          <w:spacing w:val="-11"/>
        </w:rPr>
        <w:t xml:space="preserve"> </w:t>
      </w:r>
      <w:r>
        <w:t>and</w:t>
      </w:r>
      <w:r>
        <w:rPr>
          <w:spacing w:val="-11"/>
        </w:rPr>
        <w:t xml:space="preserve"> </w:t>
      </w:r>
      <w:r>
        <w:t>have</w:t>
      </w:r>
      <w:r>
        <w:rPr>
          <w:spacing w:val="-11"/>
        </w:rPr>
        <w:t xml:space="preserve"> </w:t>
      </w:r>
      <w:r>
        <w:t>had</w:t>
      </w:r>
      <w:r>
        <w:rPr>
          <w:spacing w:val="-11"/>
        </w:rPr>
        <w:t xml:space="preserve"> </w:t>
      </w:r>
      <w:r>
        <w:t>a</w:t>
      </w:r>
      <w:r>
        <w:rPr>
          <w:spacing w:val="-11"/>
        </w:rPr>
        <w:t xml:space="preserve"> </w:t>
      </w:r>
      <w:r>
        <w:t>profound</w:t>
      </w:r>
      <w:r>
        <w:rPr>
          <w:spacing w:val="-11"/>
        </w:rPr>
        <w:t xml:space="preserve"> </w:t>
      </w:r>
      <w:r>
        <w:t>impact</w:t>
      </w:r>
      <w:r>
        <w:rPr>
          <w:spacing w:val="-11"/>
        </w:rPr>
        <w:t xml:space="preserve"> </w:t>
      </w:r>
      <w:r>
        <w:t>on</w:t>
      </w:r>
      <w:r>
        <w:rPr>
          <w:spacing w:val="-11"/>
        </w:rPr>
        <w:t xml:space="preserve"> </w:t>
      </w:r>
      <w:r>
        <w:t xml:space="preserve">freight </w:t>
      </w:r>
      <w:r>
        <w:rPr>
          <w:w w:val="95"/>
        </w:rPr>
        <w:t>logistics.</w:t>
      </w:r>
      <w:r>
        <w:rPr>
          <w:spacing w:val="-10"/>
          <w:w w:val="95"/>
        </w:rPr>
        <w:t xml:space="preserve"> </w:t>
      </w:r>
      <w:r>
        <w:rPr>
          <w:w w:val="95"/>
        </w:rPr>
        <w:t>Ernst</w:t>
      </w:r>
      <w:r>
        <w:rPr>
          <w:spacing w:val="-10"/>
          <w:w w:val="95"/>
        </w:rPr>
        <w:t xml:space="preserve"> </w:t>
      </w:r>
      <w:r>
        <w:rPr>
          <w:w w:val="95"/>
        </w:rPr>
        <w:t>and</w:t>
      </w:r>
      <w:r>
        <w:rPr>
          <w:spacing w:val="-10"/>
          <w:w w:val="95"/>
        </w:rPr>
        <w:t xml:space="preserve"> </w:t>
      </w:r>
      <w:r>
        <w:rPr>
          <w:w w:val="95"/>
        </w:rPr>
        <w:t>Young</w:t>
      </w:r>
      <w:r>
        <w:rPr>
          <w:spacing w:val="-10"/>
          <w:w w:val="95"/>
        </w:rPr>
        <w:t xml:space="preserve"> </w:t>
      </w:r>
      <w:r>
        <w:rPr>
          <w:w w:val="95"/>
        </w:rPr>
        <w:t>has</w:t>
      </w:r>
      <w:r>
        <w:rPr>
          <w:spacing w:val="-10"/>
          <w:w w:val="95"/>
        </w:rPr>
        <w:t xml:space="preserve"> </w:t>
      </w:r>
      <w:r>
        <w:rPr>
          <w:w w:val="95"/>
        </w:rPr>
        <w:t>estimated</w:t>
      </w:r>
      <w:r>
        <w:rPr>
          <w:spacing w:val="-10"/>
          <w:w w:val="95"/>
        </w:rPr>
        <w:t xml:space="preserve"> </w:t>
      </w:r>
      <w:r>
        <w:rPr>
          <w:w w:val="95"/>
        </w:rPr>
        <w:t>the</w:t>
      </w:r>
      <w:r>
        <w:rPr>
          <w:spacing w:val="-10"/>
          <w:w w:val="95"/>
        </w:rPr>
        <w:t xml:space="preserve"> </w:t>
      </w:r>
      <w:r>
        <w:rPr>
          <w:w w:val="95"/>
        </w:rPr>
        <w:t>value</w:t>
      </w:r>
      <w:r>
        <w:rPr>
          <w:spacing w:val="-10"/>
          <w:w w:val="95"/>
        </w:rPr>
        <w:t xml:space="preserve"> </w:t>
      </w:r>
      <w:r>
        <w:rPr>
          <w:w w:val="95"/>
        </w:rPr>
        <w:t>of</w:t>
      </w:r>
      <w:r>
        <w:rPr>
          <w:spacing w:val="-10"/>
          <w:w w:val="95"/>
        </w:rPr>
        <w:t xml:space="preserve"> </w:t>
      </w:r>
      <w:r>
        <w:rPr>
          <w:w w:val="95"/>
        </w:rPr>
        <w:t xml:space="preserve">the </w:t>
      </w:r>
      <w:r>
        <w:t>tollroad</w:t>
      </w:r>
      <w:r>
        <w:rPr>
          <w:spacing w:val="-14"/>
        </w:rPr>
        <w:t xml:space="preserve"> </w:t>
      </w:r>
      <w:r>
        <w:t>network</w:t>
      </w:r>
      <w:r>
        <w:rPr>
          <w:spacing w:val="-14"/>
        </w:rPr>
        <w:t xml:space="preserve"> </w:t>
      </w:r>
      <w:r>
        <w:t>to</w:t>
      </w:r>
      <w:r>
        <w:rPr>
          <w:spacing w:val="-14"/>
        </w:rPr>
        <w:t xml:space="preserve"> </w:t>
      </w:r>
      <w:r>
        <w:t>the</w:t>
      </w:r>
      <w:r>
        <w:rPr>
          <w:spacing w:val="-14"/>
        </w:rPr>
        <w:t xml:space="preserve"> </w:t>
      </w:r>
      <w:r>
        <w:t>NSW</w:t>
      </w:r>
      <w:r>
        <w:rPr>
          <w:spacing w:val="-14"/>
        </w:rPr>
        <w:t xml:space="preserve"> </w:t>
      </w:r>
      <w:r>
        <w:t>economy</w:t>
      </w:r>
      <w:r>
        <w:rPr>
          <w:spacing w:val="-14"/>
        </w:rPr>
        <w:t xml:space="preserve"> </w:t>
      </w:r>
      <w:r>
        <w:t>at</w:t>
      </w:r>
      <w:r>
        <w:rPr>
          <w:spacing w:val="-14"/>
        </w:rPr>
        <w:t xml:space="preserve"> </w:t>
      </w:r>
      <w:r>
        <w:t>$22.7</w:t>
      </w:r>
      <w:r>
        <w:rPr>
          <w:spacing w:val="-14"/>
        </w:rPr>
        <w:t xml:space="preserve"> </w:t>
      </w:r>
      <w:r>
        <w:t>billion</w:t>
      </w:r>
      <w:r>
        <w:rPr>
          <w:position w:val="7"/>
          <w:sz w:val="11"/>
        </w:rPr>
        <w:t>2</w:t>
      </w:r>
      <w:r>
        <w:t>.</w:t>
      </w:r>
    </w:p>
    <w:p w:rsidR="002C1123" w:rsidRDefault="00F22F94">
      <w:pPr>
        <w:pStyle w:val="BodyText"/>
        <w:spacing w:before="146" w:line="249" w:lineRule="auto"/>
        <w:ind w:left="492" w:right="10835"/>
      </w:pPr>
      <w:r>
        <w:rPr>
          <w:w w:val="95"/>
        </w:rPr>
        <w:t>The</w:t>
      </w:r>
      <w:r>
        <w:rPr>
          <w:spacing w:val="-4"/>
          <w:w w:val="95"/>
        </w:rPr>
        <w:t xml:space="preserve"> </w:t>
      </w:r>
      <w:r>
        <w:rPr>
          <w:w w:val="95"/>
        </w:rPr>
        <w:t>success</w:t>
      </w:r>
      <w:r>
        <w:rPr>
          <w:spacing w:val="-4"/>
          <w:w w:val="95"/>
        </w:rPr>
        <w:t xml:space="preserve"> </w:t>
      </w:r>
      <w:r>
        <w:rPr>
          <w:w w:val="95"/>
        </w:rPr>
        <w:t>of</w:t>
      </w:r>
      <w:r>
        <w:rPr>
          <w:spacing w:val="-4"/>
          <w:w w:val="95"/>
        </w:rPr>
        <w:t xml:space="preserve"> </w:t>
      </w:r>
      <w:r>
        <w:rPr>
          <w:w w:val="95"/>
        </w:rPr>
        <w:t>the</w:t>
      </w:r>
      <w:r>
        <w:rPr>
          <w:spacing w:val="-4"/>
          <w:w w:val="95"/>
        </w:rPr>
        <w:t xml:space="preserve"> </w:t>
      </w:r>
      <w:r>
        <w:rPr>
          <w:w w:val="95"/>
        </w:rPr>
        <w:t>network</w:t>
      </w:r>
      <w:r>
        <w:rPr>
          <w:spacing w:val="-4"/>
          <w:w w:val="95"/>
        </w:rPr>
        <w:t xml:space="preserve"> </w:t>
      </w:r>
      <w:r>
        <w:rPr>
          <w:w w:val="95"/>
        </w:rPr>
        <w:t>in</w:t>
      </w:r>
      <w:r>
        <w:rPr>
          <w:spacing w:val="-4"/>
          <w:w w:val="95"/>
        </w:rPr>
        <w:t xml:space="preserve"> </w:t>
      </w:r>
      <w:r>
        <w:rPr>
          <w:w w:val="95"/>
        </w:rPr>
        <w:t>serving</w:t>
      </w:r>
      <w:r>
        <w:rPr>
          <w:spacing w:val="-4"/>
          <w:w w:val="95"/>
        </w:rPr>
        <w:t xml:space="preserve"> </w:t>
      </w:r>
      <w:r>
        <w:rPr>
          <w:w w:val="95"/>
        </w:rPr>
        <w:t>previously</w:t>
      </w:r>
      <w:r>
        <w:rPr>
          <w:spacing w:val="-4"/>
          <w:w w:val="95"/>
        </w:rPr>
        <w:t xml:space="preserve"> </w:t>
      </w:r>
      <w:r>
        <w:rPr>
          <w:w w:val="95"/>
        </w:rPr>
        <w:t xml:space="preserve">unmet </w:t>
      </w:r>
      <w:r>
        <w:t>need</w:t>
      </w:r>
      <w:r>
        <w:rPr>
          <w:spacing w:val="-9"/>
        </w:rPr>
        <w:t xml:space="preserve"> </w:t>
      </w:r>
      <w:r>
        <w:t>means</w:t>
      </w:r>
      <w:r>
        <w:rPr>
          <w:spacing w:val="-9"/>
        </w:rPr>
        <w:t xml:space="preserve"> </w:t>
      </w:r>
      <w:r>
        <w:t>that</w:t>
      </w:r>
      <w:r>
        <w:rPr>
          <w:spacing w:val="-9"/>
        </w:rPr>
        <w:t xml:space="preserve"> </w:t>
      </w:r>
      <w:r>
        <w:t>today,</w:t>
      </w:r>
      <w:r>
        <w:rPr>
          <w:spacing w:val="-9"/>
        </w:rPr>
        <w:t xml:space="preserve"> </w:t>
      </w:r>
      <w:r>
        <w:t>some</w:t>
      </w:r>
      <w:r>
        <w:rPr>
          <w:spacing w:val="-9"/>
        </w:rPr>
        <w:t xml:space="preserve"> </w:t>
      </w:r>
      <w:r>
        <w:t>two</w:t>
      </w:r>
      <w:r>
        <w:rPr>
          <w:spacing w:val="-9"/>
        </w:rPr>
        <w:t xml:space="preserve"> </w:t>
      </w:r>
      <w:r>
        <w:t>decades</w:t>
      </w:r>
      <w:r>
        <w:rPr>
          <w:spacing w:val="-9"/>
        </w:rPr>
        <w:t xml:space="preserve"> </w:t>
      </w:r>
      <w:r>
        <w:t>since</w:t>
      </w:r>
      <w:r>
        <w:rPr>
          <w:spacing w:val="-9"/>
        </w:rPr>
        <w:t xml:space="preserve"> </w:t>
      </w:r>
      <w:r>
        <w:t>this cycle</w:t>
      </w:r>
      <w:r>
        <w:rPr>
          <w:spacing w:val="-1"/>
        </w:rPr>
        <w:t xml:space="preserve"> </w:t>
      </w:r>
      <w:r>
        <w:t>of</w:t>
      </w:r>
      <w:r>
        <w:rPr>
          <w:spacing w:val="-1"/>
        </w:rPr>
        <w:t xml:space="preserve"> </w:t>
      </w:r>
      <w:r>
        <w:t>motorway</w:t>
      </w:r>
      <w:r>
        <w:rPr>
          <w:spacing w:val="-1"/>
        </w:rPr>
        <w:t xml:space="preserve"> </w:t>
      </w:r>
      <w:r>
        <w:t>construction</w:t>
      </w:r>
      <w:r>
        <w:rPr>
          <w:spacing w:val="-1"/>
        </w:rPr>
        <w:t xml:space="preserve"> </w:t>
      </w:r>
      <w:r>
        <w:t>began,</w:t>
      </w:r>
      <w:r>
        <w:rPr>
          <w:spacing w:val="-1"/>
        </w:rPr>
        <w:t xml:space="preserve"> </w:t>
      </w:r>
      <w:r>
        <w:t>congestion</w:t>
      </w:r>
    </w:p>
    <w:p w:rsidR="002C1123" w:rsidRDefault="00F22F94">
      <w:pPr>
        <w:pStyle w:val="BodyText"/>
        <w:spacing w:before="3" w:line="249" w:lineRule="auto"/>
        <w:ind w:left="492" w:right="10730"/>
      </w:pPr>
      <w:r>
        <w:t>is</w:t>
      </w:r>
      <w:r>
        <w:rPr>
          <w:spacing w:val="-13"/>
        </w:rPr>
        <w:t xml:space="preserve"> </w:t>
      </w:r>
      <w:r>
        <w:t>a</w:t>
      </w:r>
      <w:r>
        <w:rPr>
          <w:spacing w:val="-13"/>
        </w:rPr>
        <w:t xml:space="preserve"> </w:t>
      </w:r>
      <w:r>
        <w:t>major</w:t>
      </w:r>
      <w:r>
        <w:rPr>
          <w:spacing w:val="-13"/>
        </w:rPr>
        <w:t xml:space="preserve"> </w:t>
      </w:r>
      <w:r>
        <w:t>issue</w:t>
      </w:r>
      <w:r>
        <w:rPr>
          <w:spacing w:val="-13"/>
        </w:rPr>
        <w:t xml:space="preserve"> </w:t>
      </w:r>
      <w:r>
        <w:t>on</w:t>
      </w:r>
      <w:r>
        <w:rPr>
          <w:spacing w:val="-13"/>
        </w:rPr>
        <w:t xml:space="preserve"> </w:t>
      </w:r>
      <w:r>
        <w:t>many</w:t>
      </w:r>
      <w:r>
        <w:rPr>
          <w:spacing w:val="-13"/>
        </w:rPr>
        <w:t xml:space="preserve"> </w:t>
      </w:r>
      <w:r>
        <w:t>parts</w:t>
      </w:r>
      <w:r>
        <w:rPr>
          <w:spacing w:val="-13"/>
        </w:rPr>
        <w:t xml:space="preserve"> </w:t>
      </w:r>
      <w:r>
        <w:t>of</w:t>
      </w:r>
      <w:r>
        <w:rPr>
          <w:spacing w:val="-13"/>
        </w:rPr>
        <w:t xml:space="preserve"> </w:t>
      </w:r>
      <w:r>
        <w:t>the</w:t>
      </w:r>
      <w:r>
        <w:rPr>
          <w:spacing w:val="-13"/>
        </w:rPr>
        <w:t xml:space="preserve"> </w:t>
      </w:r>
      <w:r>
        <w:t>SSRN.</w:t>
      </w:r>
      <w:r>
        <w:rPr>
          <w:spacing w:val="-13"/>
        </w:rPr>
        <w:t xml:space="preserve"> </w:t>
      </w:r>
      <w:r>
        <w:t xml:space="preserve">Some </w:t>
      </w:r>
      <w:r>
        <w:rPr>
          <w:w w:val="95"/>
        </w:rPr>
        <w:t>motorway</w:t>
      </w:r>
      <w:r>
        <w:rPr>
          <w:spacing w:val="-5"/>
          <w:w w:val="95"/>
        </w:rPr>
        <w:t xml:space="preserve"> </w:t>
      </w:r>
      <w:r>
        <w:rPr>
          <w:w w:val="95"/>
        </w:rPr>
        <w:t>sections</w:t>
      </w:r>
      <w:r>
        <w:rPr>
          <w:spacing w:val="-5"/>
          <w:w w:val="95"/>
        </w:rPr>
        <w:t xml:space="preserve"> </w:t>
      </w:r>
      <w:r>
        <w:rPr>
          <w:w w:val="95"/>
        </w:rPr>
        <w:t>are</w:t>
      </w:r>
      <w:r>
        <w:rPr>
          <w:spacing w:val="-5"/>
          <w:w w:val="95"/>
        </w:rPr>
        <w:t xml:space="preserve"> </w:t>
      </w:r>
      <w:r>
        <w:rPr>
          <w:w w:val="95"/>
        </w:rPr>
        <w:t>operating</w:t>
      </w:r>
      <w:r>
        <w:rPr>
          <w:spacing w:val="-5"/>
          <w:w w:val="95"/>
        </w:rPr>
        <w:t xml:space="preserve"> </w:t>
      </w:r>
      <w:r>
        <w:rPr>
          <w:w w:val="95"/>
        </w:rPr>
        <w:t>well</w:t>
      </w:r>
      <w:r>
        <w:rPr>
          <w:spacing w:val="-5"/>
          <w:w w:val="95"/>
        </w:rPr>
        <w:t xml:space="preserve"> </w:t>
      </w:r>
      <w:r>
        <w:rPr>
          <w:w w:val="95"/>
        </w:rPr>
        <w:t>in</w:t>
      </w:r>
      <w:r>
        <w:rPr>
          <w:spacing w:val="-5"/>
          <w:w w:val="95"/>
        </w:rPr>
        <w:t xml:space="preserve"> </w:t>
      </w:r>
      <w:r>
        <w:rPr>
          <w:w w:val="95"/>
        </w:rPr>
        <w:t>excess</w:t>
      </w:r>
      <w:r>
        <w:rPr>
          <w:spacing w:val="-5"/>
          <w:w w:val="95"/>
        </w:rPr>
        <w:t xml:space="preserve"> </w:t>
      </w:r>
      <w:r>
        <w:rPr>
          <w:w w:val="95"/>
        </w:rPr>
        <w:t>of</w:t>
      </w:r>
      <w:r>
        <w:rPr>
          <w:spacing w:val="-5"/>
          <w:w w:val="95"/>
        </w:rPr>
        <w:t xml:space="preserve"> </w:t>
      </w:r>
      <w:r>
        <w:rPr>
          <w:w w:val="95"/>
        </w:rPr>
        <w:t>design</w:t>
      </w:r>
    </w:p>
    <w:p w:rsidR="002C1123" w:rsidRDefault="002C1123">
      <w:pPr>
        <w:pStyle w:val="BodyText"/>
        <w:spacing w:before="7"/>
        <w:rPr>
          <w:sz w:val="17"/>
        </w:rPr>
      </w:pPr>
    </w:p>
    <w:p w:rsidR="002C1123" w:rsidRDefault="002060EF">
      <w:pPr>
        <w:pStyle w:val="BodyText"/>
        <w:spacing w:before="4"/>
        <w:rPr>
          <w:sz w:val="11"/>
        </w:rPr>
      </w:pPr>
      <w:r>
        <w:pict>
          <v:shape id="docshape1072" o:spid="_x0000_s4248" style="position:absolute;margin-left:49.6pt;margin-top:7.75pt;width:1in;height:.1pt;z-index:-251395072;mso-wrap-distance-left:0;mso-wrap-distance-right:0;mso-position-horizontal-relative:page" coordorigin="992,155" coordsize="1440,0" path="m992,155r1440,e" filled="f" strokecolor="#9c9c9d" strokeweight=".5pt">
            <v:path arrowok="t"/>
            <w10:wrap type="topAndBottom" anchorx="page"/>
          </v:shape>
        </w:pict>
      </w:r>
    </w:p>
    <w:p w:rsidR="002C1123" w:rsidRDefault="00F22F94">
      <w:pPr>
        <w:pStyle w:val="ListParagraph"/>
        <w:numPr>
          <w:ilvl w:val="1"/>
          <w:numId w:val="95"/>
        </w:numPr>
        <w:tabs>
          <w:tab w:val="left" w:pos="691"/>
        </w:tabs>
        <w:spacing w:before="23"/>
        <w:ind w:left="690" w:right="10893"/>
        <w:jc w:val="left"/>
        <w:rPr>
          <w:sz w:val="14"/>
        </w:rPr>
      </w:pPr>
      <w:r>
        <w:rPr>
          <w:w w:val="95"/>
          <w:sz w:val="14"/>
        </w:rPr>
        <w:t>Ernst &amp; Young 2008, The Economic Contribution of Sydney’s Toll Roads to</w:t>
      </w:r>
      <w:r>
        <w:rPr>
          <w:spacing w:val="40"/>
          <w:sz w:val="14"/>
        </w:rPr>
        <w:t xml:space="preserve"> </w:t>
      </w:r>
      <w:r>
        <w:rPr>
          <w:sz w:val="14"/>
        </w:rPr>
        <w:t>NSW and Australia.</w:t>
      </w:r>
    </w:p>
    <w:p w:rsidR="002C1123" w:rsidRDefault="002C1123">
      <w:pPr>
        <w:rPr>
          <w:sz w:val="14"/>
        </w:rPr>
        <w:sectPr w:rsidR="002C1123">
          <w:pgSz w:w="16840" w:h="11910" w:orient="landscape"/>
          <w:pgMar w:top="560" w:right="280" w:bottom="700" w:left="500" w:header="0" w:footer="517"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BodyText"/>
        <w:spacing w:before="106" w:line="249" w:lineRule="auto"/>
        <w:ind w:left="492" w:right="72"/>
      </w:pPr>
      <w:bookmarkStart w:id="153" w:name="6.3__Adequacy_of_Sydney’s_Strategic_Road"/>
      <w:bookmarkStart w:id="154" w:name="_bookmark110"/>
      <w:bookmarkStart w:id="155" w:name="_bookmark109"/>
      <w:bookmarkEnd w:id="153"/>
      <w:bookmarkEnd w:id="154"/>
      <w:bookmarkEnd w:id="155"/>
      <w:r>
        <w:rPr>
          <w:w w:val="95"/>
        </w:rPr>
        <w:t>capacity. Where there are missing links, such as along Parramatta</w:t>
      </w:r>
      <w:r>
        <w:rPr>
          <w:spacing w:val="-8"/>
          <w:w w:val="95"/>
        </w:rPr>
        <w:t xml:space="preserve"> </w:t>
      </w:r>
      <w:r>
        <w:rPr>
          <w:w w:val="95"/>
        </w:rPr>
        <w:t>Road</w:t>
      </w:r>
      <w:r>
        <w:rPr>
          <w:spacing w:val="-8"/>
          <w:w w:val="95"/>
        </w:rPr>
        <w:t xml:space="preserve"> </w:t>
      </w:r>
      <w:r>
        <w:rPr>
          <w:w w:val="95"/>
        </w:rPr>
        <w:t>or</w:t>
      </w:r>
      <w:r>
        <w:rPr>
          <w:spacing w:val="-8"/>
          <w:w w:val="95"/>
        </w:rPr>
        <w:t xml:space="preserve"> </w:t>
      </w:r>
      <w:r>
        <w:rPr>
          <w:w w:val="95"/>
        </w:rPr>
        <w:t>Pennant</w:t>
      </w:r>
      <w:r>
        <w:rPr>
          <w:spacing w:val="-8"/>
          <w:w w:val="95"/>
        </w:rPr>
        <w:t xml:space="preserve"> </w:t>
      </w:r>
      <w:r>
        <w:rPr>
          <w:w w:val="95"/>
        </w:rPr>
        <w:t>Hills</w:t>
      </w:r>
      <w:r>
        <w:rPr>
          <w:spacing w:val="-8"/>
          <w:w w:val="95"/>
        </w:rPr>
        <w:t xml:space="preserve"> </w:t>
      </w:r>
      <w:r>
        <w:rPr>
          <w:w w:val="95"/>
        </w:rPr>
        <w:t>Road,</w:t>
      </w:r>
      <w:r>
        <w:rPr>
          <w:spacing w:val="-8"/>
          <w:w w:val="95"/>
        </w:rPr>
        <w:t xml:space="preserve"> </w:t>
      </w:r>
      <w:r>
        <w:rPr>
          <w:w w:val="95"/>
        </w:rPr>
        <w:t>traffic</w:t>
      </w:r>
      <w:r>
        <w:rPr>
          <w:spacing w:val="-8"/>
          <w:w w:val="95"/>
        </w:rPr>
        <w:t xml:space="preserve"> </w:t>
      </w:r>
      <w:r>
        <w:rPr>
          <w:w w:val="95"/>
        </w:rPr>
        <w:t>is</w:t>
      </w:r>
      <w:r>
        <w:rPr>
          <w:spacing w:val="-8"/>
          <w:w w:val="95"/>
        </w:rPr>
        <w:t xml:space="preserve"> </w:t>
      </w:r>
      <w:r>
        <w:rPr>
          <w:w w:val="95"/>
        </w:rPr>
        <w:t xml:space="preserve">forced </w:t>
      </w:r>
      <w:r>
        <w:t>to</w:t>
      </w:r>
      <w:r>
        <w:rPr>
          <w:spacing w:val="-13"/>
        </w:rPr>
        <w:t xml:space="preserve"> </w:t>
      </w:r>
      <w:r>
        <w:t>use</w:t>
      </w:r>
      <w:r>
        <w:rPr>
          <w:spacing w:val="-13"/>
        </w:rPr>
        <w:t xml:space="preserve"> </w:t>
      </w:r>
      <w:r>
        <w:t>the</w:t>
      </w:r>
      <w:r>
        <w:rPr>
          <w:spacing w:val="-13"/>
        </w:rPr>
        <w:t xml:space="preserve"> </w:t>
      </w:r>
      <w:r>
        <w:t>legacy</w:t>
      </w:r>
      <w:r>
        <w:rPr>
          <w:spacing w:val="-13"/>
        </w:rPr>
        <w:t xml:space="preserve"> </w:t>
      </w:r>
      <w:r>
        <w:t>road</w:t>
      </w:r>
      <w:r>
        <w:rPr>
          <w:spacing w:val="-13"/>
        </w:rPr>
        <w:t xml:space="preserve"> </w:t>
      </w:r>
      <w:r>
        <w:t>network.</w:t>
      </w:r>
      <w:r>
        <w:rPr>
          <w:spacing w:val="-13"/>
        </w:rPr>
        <w:t xml:space="preserve"> </w:t>
      </w:r>
      <w:r>
        <w:t>Traffic</w:t>
      </w:r>
      <w:r>
        <w:rPr>
          <w:spacing w:val="-13"/>
        </w:rPr>
        <w:t xml:space="preserve"> </w:t>
      </w:r>
      <w:r>
        <w:t>congestion</w:t>
      </w:r>
      <w:r>
        <w:rPr>
          <w:spacing w:val="-13"/>
        </w:rPr>
        <w:t xml:space="preserve"> </w:t>
      </w:r>
      <w:r>
        <w:t xml:space="preserve">in </w:t>
      </w:r>
      <w:r>
        <w:rPr>
          <w:w w:val="95"/>
        </w:rPr>
        <w:t xml:space="preserve">Sydney is forecast to cost the NSW economy $8 billion </w:t>
      </w:r>
      <w:r>
        <w:t>per annum by 2020</w:t>
      </w:r>
      <w:r>
        <w:rPr>
          <w:position w:val="7"/>
          <w:sz w:val="11"/>
        </w:rPr>
        <w:t>3</w:t>
      </w:r>
      <w:r>
        <w:t>.</w:t>
      </w:r>
    </w:p>
    <w:p w:rsidR="002C1123" w:rsidRDefault="00F22F94">
      <w:pPr>
        <w:pStyle w:val="BodyText"/>
        <w:spacing w:before="146" w:line="249" w:lineRule="auto"/>
        <w:ind w:left="492" w:right="72"/>
      </w:pPr>
      <w:r>
        <w:t>In</w:t>
      </w:r>
      <w:r>
        <w:rPr>
          <w:spacing w:val="-14"/>
        </w:rPr>
        <w:t xml:space="preserve"> </w:t>
      </w:r>
      <w:r>
        <w:t>conjunction</w:t>
      </w:r>
      <w:r>
        <w:rPr>
          <w:spacing w:val="-14"/>
        </w:rPr>
        <w:t xml:space="preserve"> </w:t>
      </w:r>
      <w:r>
        <w:t>with</w:t>
      </w:r>
      <w:r>
        <w:rPr>
          <w:spacing w:val="-14"/>
        </w:rPr>
        <w:t xml:space="preserve"> </w:t>
      </w:r>
      <w:r>
        <w:t>the</w:t>
      </w:r>
      <w:r>
        <w:rPr>
          <w:spacing w:val="-14"/>
        </w:rPr>
        <w:t xml:space="preserve"> </w:t>
      </w:r>
      <w:r>
        <w:t>private</w:t>
      </w:r>
      <w:r>
        <w:rPr>
          <w:spacing w:val="-14"/>
        </w:rPr>
        <w:t xml:space="preserve"> </w:t>
      </w:r>
      <w:r>
        <w:t>sector,</w:t>
      </w:r>
      <w:r>
        <w:rPr>
          <w:spacing w:val="-14"/>
        </w:rPr>
        <w:t xml:space="preserve"> </w:t>
      </w:r>
      <w:r>
        <w:t>the</w:t>
      </w:r>
      <w:r>
        <w:rPr>
          <w:spacing w:val="-14"/>
        </w:rPr>
        <w:t xml:space="preserve"> </w:t>
      </w:r>
      <w:r>
        <w:t>Government is</w:t>
      </w:r>
      <w:r>
        <w:rPr>
          <w:spacing w:val="-12"/>
        </w:rPr>
        <w:t xml:space="preserve"> </w:t>
      </w:r>
      <w:r>
        <w:t>already</w:t>
      </w:r>
      <w:r>
        <w:rPr>
          <w:spacing w:val="-12"/>
        </w:rPr>
        <w:t xml:space="preserve"> </w:t>
      </w:r>
      <w:r>
        <w:t>delivering</w:t>
      </w:r>
      <w:r>
        <w:rPr>
          <w:spacing w:val="-12"/>
        </w:rPr>
        <w:t xml:space="preserve"> </w:t>
      </w:r>
      <w:r>
        <w:t>improvements</w:t>
      </w:r>
      <w:r>
        <w:rPr>
          <w:spacing w:val="-12"/>
        </w:rPr>
        <w:t xml:space="preserve"> </w:t>
      </w:r>
      <w:r>
        <w:t>to</w:t>
      </w:r>
      <w:r>
        <w:rPr>
          <w:spacing w:val="-12"/>
        </w:rPr>
        <w:t xml:space="preserve"> </w:t>
      </w:r>
      <w:r>
        <w:t>two</w:t>
      </w:r>
      <w:r>
        <w:rPr>
          <w:spacing w:val="-12"/>
        </w:rPr>
        <w:t xml:space="preserve"> </w:t>
      </w:r>
      <w:r>
        <w:t>of</w:t>
      </w:r>
      <w:r>
        <w:rPr>
          <w:spacing w:val="-12"/>
        </w:rPr>
        <w:t xml:space="preserve"> </w:t>
      </w:r>
      <w:r>
        <w:t>the</w:t>
      </w:r>
      <w:r>
        <w:rPr>
          <w:spacing w:val="-12"/>
        </w:rPr>
        <w:t xml:space="preserve"> </w:t>
      </w:r>
      <w:r>
        <w:t xml:space="preserve">most </w:t>
      </w:r>
      <w:r>
        <w:rPr>
          <w:spacing w:val="-2"/>
        </w:rPr>
        <w:t>congested</w:t>
      </w:r>
      <w:r>
        <w:rPr>
          <w:spacing w:val="-7"/>
        </w:rPr>
        <w:t xml:space="preserve"> </w:t>
      </w:r>
      <w:r>
        <w:rPr>
          <w:spacing w:val="-2"/>
        </w:rPr>
        <w:t>motorway</w:t>
      </w:r>
      <w:r>
        <w:rPr>
          <w:spacing w:val="-7"/>
        </w:rPr>
        <w:t xml:space="preserve"> </w:t>
      </w:r>
      <w:r>
        <w:rPr>
          <w:spacing w:val="-2"/>
        </w:rPr>
        <w:t>corridors:</w:t>
      </w:r>
      <w:r>
        <w:rPr>
          <w:spacing w:val="-7"/>
        </w:rPr>
        <w:t xml:space="preserve"> </w:t>
      </w:r>
      <w:r>
        <w:rPr>
          <w:spacing w:val="-2"/>
        </w:rPr>
        <w:t>the</w:t>
      </w:r>
      <w:r>
        <w:rPr>
          <w:spacing w:val="-7"/>
        </w:rPr>
        <w:t xml:space="preserve"> </w:t>
      </w:r>
      <w:r>
        <w:rPr>
          <w:spacing w:val="-2"/>
        </w:rPr>
        <w:t>M2</w:t>
      </w:r>
      <w:r>
        <w:rPr>
          <w:spacing w:val="-7"/>
        </w:rPr>
        <w:t xml:space="preserve"> </w:t>
      </w:r>
      <w:r>
        <w:rPr>
          <w:spacing w:val="-2"/>
        </w:rPr>
        <w:t>will</w:t>
      </w:r>
      <w:r>
        <w:rPr>
          <w:spacing w:val="-7"/>
        </w:rPr>
        <w:t xml:space="preserve"> </w:t>
      </w:r>
      <w:r>
        <w:rPr>
          <w:spacing w:val="-2"/>
        </w:rPr>
        <w:t>be</w:t>
      </w:r>
      <w:r>
        <w:rPr>
          <w:spacing w:val="-7"/>
        </w:rPr>
        <w:t xml:space="preserve"> </w:t>
      </w:r>
      <w:r>
        <w:rPr>
          <w:spacing w:val="-2"/>
        </w:rPr>
        <w:t xml:space="preserve">widened </w:t>
      </w:r>
      <w:r>
        <w:rPr>
          <w:w w:val="95"/>
        </w:rPr>
        <w:t>by</w:t>
      </w:r>
      <w:r>
        <w:rPr>
          <w:spacing w:val="-8"/>
          <w:w w:val="95"/>
        </w:rPr>
        <w:t xml:space="preserve"> </w:t>
      </w:r>
      <w:r>
        <w:rPr>
          <w:w w:val="95"/>
        </w:rPr>
        <w:t>2013</w:t>
      </w:r>
      <w:r>
        <w:rPr>
          <w:spacing w:val="-8"/>
          <w:w w:val="95"/>
        </w:rPr>
        <w:t xml:space="preserve"> </w:t>
      </w:r>
      <w:r>
        <w:rPr>
          <w:w w:val="95"/>
        </w:rPr>
        <w:t>and</w:t>
      </w:r>
      <w:r>
        <w:rPr>
          <w:spacing w:val="-8"/>
          <w:w w:val="95"/>
        </w:rPr>
        <w:t xml:space="preserve"> </w:t>
      </w:r>
      <w:r>
        <w:rPr>
          <w:w w:val="95"/>
        </w:rPr>
        <w:t>the</w:t>
      </w:r>
      <w:r>
        <w:rPr>
          <w:spacing w:val="-8"/>
          <w:w w:val="95"/>
        </w:rPr>
        <w:t xml:space="preserve"> </w:t>
      </w:r>
      <w:r>
        <w:rPr>
          <w:w w:val="95"/>
        </w:rPr>
        <w:t>M5</w:t>
      </w:r>
      <w:r>
        <w:rPr>
          <w:spacing w:val="-8"/>
          <w:w w:val="95"/>
        </w:rPr>
        <w:t xml:space="preserve"> </w:t>
      </w:r>
      <w:r>
        <w:rPr>
          <w:w w:val="95"/>
        </w:rPr>
        <w:t>West</w:t>
      </w:r>
      <w:r>
        <w:rPr>
          <w:spacing w:val="-8"/>
          <w:w w:val="95"/>
        </w:rPr>
        <w:t xml:space="preserve"> </w:t>
      </w:r>
      <w:r>
        <w:rPr>
          <w:w w:val="95"/>
        </w:rPr>
        <w:t>widened</w:t>
      </w:r>
      <w:r>
        <w:rPr>
          <w:spacing w:val="-8"/>
          <w:w w:val="95"/>
        </w:rPr>
        <w:t xml:space="preserve"> </w:t>
      </w:r>
      <w:r>
        <w:rPr>
          <w:w w:val="95"/>
        </w:rPr>
        <w:t>by</w:t>
      </w:r>
      <w:r>
        <w:rPr>
          <w:spacing w:val="-8"/>
          <w:w w:val="95"/>
        </w:rPr>
        <w:t xml:space="preserve"> </w:t>
      </w:r>
      <w:r>
        <w:rPr>
          <w:w w:val="95"/>
        </w:rPr>
        <w:t>2014.</w:t>
      </w:r>
      <w:r>
        <w:rPr>
          <w:spacing w:val="-8"/>
          <w:w w:val="95"/>
        </w:rPr>
        <w:t xml:space="preserve"> </w:t>
      </w:r>
      <w:r>
        <w:rPr>
          <w:w w:val="95"/>
        </w:rPr>
        <w:t>While</w:t>
      </w:r>
      <w:r>
        <w:rPr>
          <w:spacing w:val="-8"/>
          <w:w w:val="95"/>
        </w:rPr>
        <w:t xml:space="preserve"> </w:t>
      </w:r>
      <w:r>
        <w:rPr>
          <w:w w:val="95"/>
        </w:rPr>
        <w:t xml:space="preserve">these </w:t>
      </w:r>
      <w:r>
        <w:t>projects</w:t>
      </w:r>
      <w:r>
        <w:rPr>
          <w:spacing w:val="-14"/>
        </w:rPr>
        <w:t xml:space="preserve"> </w:t>
      </w:r>
      <w:r>
        <w:t>are</w:t>
      </w:r>
      <w:r>
        <w:rPr>
          <w:spacing w:val="-14"/>
        </w:rPr>
        <w:t xml:space="preserve"> </w:t>
      </w:r>
      <w:r>
        <w:t>important,</w:t>
      </w:r>
      <w:r>
        <w:rPr>
          <w:spacing w:val="-14"/>
        </w:rPr>
        <w:t xml:space="preserve"> </w:t>
      </w:r>
      <w:r>
        <w:t>more</w:t>
      </w:r>
      <w:r>
        <w:rPr>
          <w:spacing w:val="-14"/>
        </w:rPr>
        <w:t xml:space="preserve"> </w:t>
      </w:r>
      <w:r>
        <w:t>needs</w:t>
      </w:r>
      <w:r>
        <w:rPr>
          <w:spacing w:val="-14"/>
        </w:rPr>
        <w:t xml:space="preserve"> </w:t>
      </w:r>
      <w:r>
        <w:t>to</w:t>
      </w:r>
      <w:r>
        <w:rPr>
          <w:spacing w:val="-14"/>
        </w:rPr>
        <w:t xml:space="preserve"> </w:t>
      </w:r>
      <w:r>
        <w:t>be</w:t>
      </w:r>
      <w:r>
        <w:rPr>
          <w:spacing w:val="-14"/>
        </w:rPr>
        <w:t xml:space="preserve"> </w:t>
      </w:r>
      <w:r>
        <w:t>done</w:t>
      </w:r>
      <w:r>
        <w:rPr>
          <w:spacing w:val="-14"/>
        </w:rPr>
        <w:t xml:space="preserve"> </w:t>
      </w:r>
      <w:r>
        <w:t>to</w:t>
      </w:r>
      <w:r>
        <w:rPr>
          <w:spacing w:val="-14"/>
        </w:rPr>
        <w:t xml:space="preserve"> </w:t>
      </w:r>
      <w:r>
        <w:t>meet future traffic requirements.</w:t>
      </w:r>
    </w:p>
    <w:p w:rsidR="002C1123" w:rsidRDefault="002C1123">
      <w:pPr>
        <w:pStyle w:val="BodyText"/>
        <w:spacing w:before="4"/>
        <w:rPr>
          <w:sz w:val="25"/>
        </w:rPr>
      </w:pPr>
    </w:p>
    <w:p w:rsidR="002C1123" w:rsidRDefault="00F22F94">
      <w:pPr>
        <w:pStyle w:val="Heading5"/>
        <w:numPr>
          <w:ilvl w:val="1"/>
          <w:numId w:val="97"/>
        </w:numPr>
        <w:tabs>
          <w:tab w:val="left" w:pos="942"/>
        </w:tabs>
        <w:spacing w:before="0" w:line="223" w:lineRule="auto"/>
        <w:ind w:left="941" w:right="257"/>
        <w:jc w:val="left"/>
      </w:pPr>
      <w:r>
        <w:rPr>
          <w:color w:val="00AEEF"/>
          <w:spacing w:val="-6"/>
        </w:rPr>
        <w:t>Adequacy</w:t>
      </w:r>
      <w:r>
        <w:rPr>
          <w:color w:val="00AEEF"/>
          <w:spacing w:val="-14"/>
        </w:rPr>
        <w:t xml:space="preserve"> </w:t>
      </w:r>
      <w:r>
        <w:rPr>
          <w:color w:val="00AEEF"/>
          <w:spacing w:val="-6"/>
        </w:rPr>
        <w:t>of</w:t>
      </w:r>
      <w:r>
        <w:rPr>
          <w:color w:val="00AEEF"/>
          <w:spacing w:val="-13"/>
        </w:rPr>
        <w:t xml:space="preserve"> </w:t>
      </w:r>
      <w:r>
        <w:rPr>
          <w:color w:val="00AEEF"/>
          <w:spacing w:val="-6"/>
        </w:rPr>
        <w:t>Sydney’s</w:t>
      </w:r>
      <w:r>
        <w:rPr>
          <w:color w:val="00AEEF"/>
          <w:spacing w:val="-14"/>
        </w:rPr>
        <w:t xml:space="preserve"> </w:t>
      </w:r>
      <w:r>
        <w:rPr>
          <w:color w:val="00AEEF"/>
          <w:spacing w:val="-6"/>
        </w:rPr>
        <w:t xml:space="preserve">Strategic </w:t>
      </w:r>
      <w:r>
        <w:rPr>
          <w:color w:val="00AEEF"/>
        </w:rPr>
        <w:t>Road Network</w:t>
      </w:r>
    </w:p>
    <w:p w:rsidR="002C1123" w:rsidRDefault="00F22F94">
      <w:pPr>
        <w:pStyle w:val="BodyText"/>
        <w:spacing w:before="139" w:line="249" w:lineRule="auto"/>
        <w:ind w:left="492" w:right="392"/>
      </w:pPr>
      <w:r>
        <w:t>This</w:t>
      </w:r>
      <w:r>
        <w:rPr>
          <w:spacing w:val="-9"/>
        </w:rPr>
        <w:t xml:space="preserve"> </w:t>
      </w:r>
      <w:r>
        <w:t>section</w:t>
      </w:r>
      <w:r>
        <w:rPr>
          <w:spacing w:val="-9"/>
        </w:rPr>
        <w:t xml:space="preserve"> </w:t>
      </w:r>
      <w:r>
        <w:t>analyses</w:t>
      </w:r>
      <w:r>
        <w:rPr>
          <w:spacing w:val="-9"/>
        </w:rPr>
        <w:t xml:space="preserve"> </w:t>
      </w:r>
      <w:r>
        <w:t>the</w:t>
      </w:r>
      <w:r>
        <w:rPr>
          <w:spacing w:val="-9"/>
        </w:rPr>
        <w:t xml:space="preserve"> </w:t>
      </w:r>
      <w:r>
        <w:t>performance</w:t>
      </w:r>
      <w:r>
        <w:rPr>
          <w:spacing w:val="-9"/>
        </w:rPr>
        <w:t xml:space="preserve"> </w:t>
      </w:r>
      <w:r>
        <w:t>of</w:t>
      </w:r>
      <w:r>
        <w:rPr>
          <w:spacing w:val="-9"/>
        </w:rPr>
        <w:t xml:space="preserve"> </w:t>
      </w:r>
      <w:r>
        <w:t xml:space="preserve">the </w:t>
      </w:r>
      <w:r>
        <w:rPr>
          <w:w w:val="95"/>
        </w:rPr>
        <w:t>SSRN</w:t>
      </w:r>
      <w:r>
        <w:rPr>
          <w:spacing w:val="-5"/>
          <w:w w:val="95"/>
        </w:rPr>
        <w:t xml:space="preserve"> </w:t>
      </w:r>
      <w:r>
        <w:rPr>
          <w:w w:val="95"/>
        </w:rPr>
        <w:t>today</w:t>
      </w:r>
      <w:r>
        <w:rPr>
          <w:spacing w:val="-5"/>
          <w:w w:val="95"/>
        </w:rPr>
        <w:t xml:space="preserve"> </w:t>
      </w:r>
      <w:r>
        <w:rPr>
          <w:w w:val="95"/>
        </w:rPr>
        <w:t>in</w:t>
      </w:r>
      <w:r>
        <w:rPr>
          <w:spacing w:val="-5"/>
          <w:w w:val="95"/>
        </w:rPr>
        <w:t xml:space="preserve"> </w:t>
      </w:r>
      <w:r>
        <w:rPr>
          <w:w w:val="95"/>
        </w:rPr>
        <w:t>terms</w:t>
      </w:r>
      <w:r>
        <w:rPr>
          <w:spacing w:val="-5"/>
          <w:w w:val="95"/>
        </w:rPr>
        <w:t xml:space="preserve"> </w:t>
      </w:r>
      <w:r>
        <w:rPr>
          <w:w w:val="95"/>
        </w:rPr>
        <w:t>of</w:t>
      </w:r>
      <w:r>
        <w:rPr>
          <w:spacing w:val="-5"/>
          <w:w w:val="95"/>
        </w:rPr>
        <w:t xml:space="preserve"> </w:t>
      </w:r>
      <w:r>
        <w:rPr>
          <w:w w:val="95"/>
        </w:rPr>
        <w:t>traffic</w:t>
      </w:r>
      <w:r>
        <w:rPr>
          <w:spacing w:val="-5"/>
          <w:w w:val="95"/>
        </w:rPr>
        <w:t xml:space="preserve"> </w:t>
      </w:r>
      <w:r>
        <w:rPr>
          <w:w w:val="95"/>
        </w:rPr>
        <w:t>and</w:t>
      </w:r>
      <w:r>
        <w:rPr>
          <w:spacing w:val="-5"/>
          <w:w w:val="95"/>
        </w:rPr>
        <w:t xml:space="preserve"> </w:t>
      </w:r>
      <w:r>
        <w:rPr>
          <w:w w:val="95"/>
        </w:rPr>
        <w:t>congestion,</w:t>
      </w:r>
      <w:r>
        <w:rPr>
          <w:spacing w:val="-5"/>
          <w:w w:val="95"/>
        </w:rPr>
        <w:t xml:space="preserve"> </w:t>
      </w:r>
      <w:r>
        <w:rPr>
          <w:w w:val="95"/>
        </w:rPr>
        <w:t>and</w:t>
      </w:r>
    </w:p>
    <w:p w:rsidR="002C1123" w:rsidRDefault="00F22F94">
      <w:pPr>
        <w:pStyle w:val="BodyText"/>
        <w:spacing w:before="2" w:line="249" w:lineRule="auto"/>
        <w:ind w:left="492"/>
      </w:pPr>
      <w:r>
        <w:rPr>
          <w:w w:val="95"/>
        </w:rPr>
        <w:t>considers</w:t>
      </w:r>
      <w:r>
        <w:rPr>
          <w:spacing w:val="-5"/>
          <w:w w:val="95"/>
        </w:rPr>
        <w:t xml:space="preserve"> </w:t>
      </w:r>
      <w:r>
        <w:rPr>
          <w:w w:val="95"/>
        </w:rPr>
        <w:t>how</w:t>
      </w:r>
      <w:r>
        <w:rPr>
          <w:spacing w:val="-5"/>
          <w:w w:val="95"/>
        </w:rPr>
        <w:t xml:space="preserve"> </w:t>
      </w:r>
      <w:r>
        <w:rPr>
          <w:w w:val="95"/>
        </w:rPr>
        <w:t>growing</w:t>
      </w:r>
      <w:r>
        <w:rPr>
          <w:spacing w:val="-5"/>
          <w:w w:val="95"/>
        </w:rPr>
        <w:t xml:space="preserve"> </w:t>
      </w:r>
      <w:r>
        <w:rPr>
          <w:w w:val="95"/>
        </w:rPr>
        <w:t>travel</w:t>
      </w:r>
      <w:r>
        <w:rPr>
          <w:spacing w:val="-5"/>
          <w:w w:val="95"/>
        </w:rPr>
        <w:t xml:space="preserve"> </w:t>
      </w:r>
      <w:r>
        <w:rPr>
          <w:w w:val="95"/>
        </w:rPr>
        <w:t>demand</w:t>
      </w:r>
      <w:r>
        <w:rPr>
          <w:spacing w:val="-5"/>
          <w:w w:val="95"/>
        </w:rPr>
        <w:t xml:space="preserve"> </w:t>
      </w:r>
      <w:r>
        <w:rPr>
          <w:w w:val="95"/>
        </w:rPr>
        <w:t>is</w:t>
      </w:r>
      <w:r>
        <w:rPr>
          <w:spacing w:val="-5"/>
          <w:w w:val="95"/>
        </w:rPr>
        <w:t xml:space="preserve"> </w:t>
      </w:r>
      <w:r>
        <w:rPr>
          <w:w w:val="95"/>
        </w:rPr>
        <w:t>likely</w:t>
      </w:r>
      <w:r>
        <w:rPr>
          <w:spacing w:val="-5"/>
          <w:w w:val="95"/>
        </w:rPr>
        <w:t xml:space="preserve"> </w:t>
      </w:r>
      <w:r>
        <w:rPr>
          <w:w w:val="95"/>
        </w:rPr>
        <w:t>to</w:t>
      </w:r>
      <w:r>
        <w:rPr>
          <w:spacing w:val="-5"/>
          <w:w w:val="95"/>
        </w:rPr>
        <w:t xml:space="preserve"> </w:t>
      </w:r>
      <w:r>
        <w:rPr>
          <w:w w:val="95"/>
        </w:rPr>
        <w:t xml:space="preserve">affect </w:t>
      </w:r>
      <w:r>
        <w:t>performance</w:t>
      </w:r>
      <w:r>
        <w:rPr>
          <w:spacing w:val="-2"/>
        </w:rPr>
        <w:t xml:space="preserve"> </w:t>
      </w:r>
      <w:r>
        <w:t>over</w:t>
      </w:r>
      <w:r>
        <w:rPr>
          <w:spacing w:val="-2"/>
        </w:rPr>
        <w:t xml:space="preserve"> </w:t>
      </w:r>
      <w:r>
        <w:t>the</w:t>
      </w:r>
      <w:r>
        <w:rPr>
          <w:spacing w:val="-2"/>
        </w:rPr>
        <w:t xml:space="preserve"> </w:t>
      </w:r>
      <w:r>
        <w:t>next</w:t>
      </w:r>
      <w:r>
        <w:rPr>
          <w:spacing w:val="-2"/>
        </w:rPr>
        <w:t xml:space="preserve"> </w:t>
      </w:r>
      <w:r>
        <w:t>twenty</w:t>
      </w:r>
      <w:r>
        <w:rPr>
          <w:spacing w:val="-2"/>
        </w:rPr>
        <w:t xml:space="preserve"> </w:t>
      </w:r>
      <w:r>
        <w:t>years.</w:t>
      </w:r>
    </w:p>
    <w:p w:rsidR="002C1123" w:rsidRDefault="00F22F94">
      <w:pPr>
        <w:pStyle w:val="Heading6"/>
        <w:numPr>
          <w:ilvl w:val="2"/>
          <w:numId w:val="97"/>
        </w:numPr>
        <w:tabs>
          <w:tab w:val="left" w:pos="979"/>
        </w:tabs>
        <w:spacing w:before="143"/>
        <w:ind w:hanging="487"/>
        <w:jc w:val="left"/>
      </w:pPr>
      <w:r>
        <w:rPr>
          <w:color w:val="00AEEF"/>
          <w:spacing w:val="-2"/>
        </w:rPr>
        <w:t>Demand</w:t>
      </w:r>
    </w:p>
    <w:p w:rsidR="002C1123" w:rsidRDefault="00F22F94">
      <w:pPr>
        <w:pStyle w:val="BodyText"/>
        <w:spacing w:before="96" w:line="249" w:lineRule="auto"/>
        <w:ind w:left="492"/>
      </w:pPr>
      <w:r>
        <w:rPr>
          <w:w w:val="95"/>
        </w:rPr>
        <w:t>Traffic</w:t>
      </w:r>
      <w:r>
        <w:rPr>
          <w:spacing w:val="-3"/>
          <w:w w:val="95"/>
        </w:rPr>
        <w:t xml:space="preserve"> </w:t>
      </w:r>
      <w:r>
        <w:rPr>
          <w:w w:val="95"/>
        </w:rPr>
        <w:t>is</w:t>
      </w:r>
      <w:r>
        <w:rPr>
          <w:spacing w:val="-3"/>
          <w:w w:val="95"/>
        </w:rPr>
        <w:t xml:space="preserve"> </w:t>
      </w:r>
      <w:r>
        <w:rPr>
          <w:w w:val="95"/>
        </w:rPr>
        <w:t>most</w:t>
      </w:r>
      <w:r>
        <w:rPr>
          <w:spacing w:val="-3"/>
          <w:w w:val="95"/>
        </w:rPr>
        <w:t xml:space="preserve"> </w:t>
      </w:r>
      <w:r>
        <w:rPr>
          <w:w w:val="95"/>
        </w:rPr>
        <w:t>commonly</w:t>
      </w:r>
      <w:r>
        <w:rPr>
          <w:spacing w:val="-3"/>
          <w:w w:val="95"/>
        </w:rPr>
        <w:t xml:space="preserve"> </w:t>
      </w:r>
      <w:r>
        <w:rPr>
          <w:w w:val="95"/>
        </w:rPr>
        <w:t>measured</w:t>
      </w:r>
      <w:r>
        <w:rPr>
          <w:spacing w:val="-3"/>
          <w:w w:val="95"/>
        </w:rPr>
        <w:t xml:space="preserve"> </w:t>
      </w:r>
      <w:r>
        <w:rPr>
          <w:w w:val="95"/>
        </w:rPr>
        <w:t>in</w:t>
      </w:r>
      <w:r>
        <w:rPr>
          <w:spacing w:val="-3"/>
          <w:w w:val="95"/>
        </w:rPr>
        <w:t xml:space="preserve"> </w:t>
      </w:r>
      <w:r>
        <w:rPr>
          <w:w w:val="95"/>
        </w:rPr>
        <w:t>terms</w:t>
      </w:r>
      <w:r>
        <w:rPr>
          <w:spacing w:val="-3"/>
          <w:w w:val="95"/>
        </w:rPr>
        <w:t xml:space="preserve"> </w:t>
      </w:r>
      <w:r>
        <w:rPr>
          <w:w w:val="95"/>
        </w:rPr>
        <w:t>of</w:t>
      </w:r>
      <w:r>
        <w:rPr>
          <w:spacing w:val="-3"/>
          <w:w w:val="95"/>
        </w:rPr>
        <w:t xml:space="preserve"> </w:t>
      </w:r>
      <w:r>
        <w:rPr>
          <w:w w:val="95"/>
        </w:rPr>
        <w:t xml:space="preserve">Average Annual Daily Traffic (AADT), the average (taken over a </w:t>
      </w:r>
      <w:r>
        <w:rPr>
          <w:spacing w:val="-2"/>
        </w:rPr>
        <w:t>year)</w:t>
      </w:r>
      <w:r>
        <w:rPr>
          <w:spacing w:val="-10"/>
        </w:rPr>
        <w:t xml:space="preserve"> </w:t>
      </w:r>
      <w:r>
        <w:rPr>
          <w:spacing w:val="-2"/>
        </w:rPr>
        <w:t>of</w:t>
      </w:r>
      <w:r>
        <w:rPr>
          <w:spacing w:val="-10"/>
        </w:rPr>
        <w:t xml:space="preserve"> </w:t>
      </w:r>
      <w:r>
        <w:rPr>
          <w:spacing w:val="-2"/>
        </w:rPr>
        <w:t>the</w:t>
      </w:r>
      <w:r>
        <w:rPr>
          <w:spacing w:val="-10"/>
        </w:rPr>
        <w:t xml:space="preserve"> </w:t>
      </w:r>
      <w:r>
        <w:rPr>
          <w:spacing w:val="-2"/>
        </w:rPr>
        <w:t>two-way</w:t>
      </w:r>
      <w:r>
        <w:rPr>
          <w:spacing w:val="-10"/>
        </w:rPr>
        <w:t xml:space="preserve"> </w:t>
      </w:r>
      <w:r>
        <w:rPr>
          <w:spacing w:val="-2"/>
        </w:rPr>
        <w:t>total</w:t>
      </w:r>
      <w:r>
        <w:rPr>
          <w:spacing w:val="-10"/>
        </w:rPr>
        <w:t xml:space="preserve"> </w:t>
      </w:r>
      <w:r>
        <w:rPr>
          <w:spacing w:val="-2"/>
        </w:rPr>
        <w:t>24</w:t>
      </w:r>
      <w:r>
        <w:rPr>
          <w:spacing w:val="-10"/>
        </w:rPr>
        <w:t xml:space="preserve"> </w:t>
      </w:r>
      <w:r>
        <w:rPr>
          <w:spacing w:val="-2"/>
        </w:rPr>
        <w:t>hour</w:t>
      </w:r>
      <w:r>
        <w:rPr>
          <w:spacing w:val="-10"/>
        </w:rPr>
        <w:t xml:space="preserve"> </w:t>
      </w:r>
      <w:r>
        <w:rPr>
          <w:spacing w:val="-2"/>
        </w:rPr>
        <w:t>traffic</w:t>
      </w:r>
      <w:r>
        <w:rPr>
          <w:spacing w:val="-10"/>
        </w:rPr>
        <w:t xml:space="preserve"> </w:t>
      </w:r>
      <w:r>
        <w:rPr>
          <w:spacing w:val="-2"/>
        </w:rPr>
        <w:t>flow.</w:t>
      </w:r>
      <w:r>
        <w:rPr>
          <w:spacing w:val="-10"/>
        </w:rPr>
        <w:t xml:space="preserve"> </w:t>
      </w:r>
      <w:r>
        <w:rPr>
          <w:spacing w:val="-2"/>
        </w:rPr>
        <w:t>Table</w:t>
      </w:r>
      <w:r>
        <w:rPr>
          <w:spacing w:val="-11"/>
        </w:rPr>
        <w:t xml:space="preserve"> </w:t>
      </w:r>
      <w:r>
        <w:rPr>
          <w:spacing w:val="-2"/>
        </w:rPr>
        <w:t xml:space="preserve">6.1 </w:t>
      </w:r>
      <w:r>
        <w:t>summarises</w:t>
      </w:r>
      <w:r>
        <w:rPr>
          <w:spacing w:val="-5"/>
        </w:rPr>
        <w:t xml:space="preserve"> </w:t>
      </w:r>
      <w:r>
        <w:t>the</w:t>
      </w:r>
      <w:r>
        <w:rPr>
          <w:spacing w:val="-5"/>
        </w:rPr>
        <w:t xml:space="preserve"> </w:t>
      </w:r>
      <w:r>
        <w:t>AADT</w:t>
      </w:r>
      <w:r>
        <w:rPr>
          <w:spacing w:val="-5"/>
        </w:rPr>
        <w:t xml:space="preserve"> </w:t>
      </w:r>
      <w:r>
        <w:t>for</w:t>
      </w:r>
      <w:r>
        <w:rPr>
          <w:spacing w:val="-5"/>
        </w:rPr>
        <w:t xml:space="preserve"> </w:t>
      </w:r>
      <w:r>
        <w:t>major</w:t>
      </w:r>
      <w:r>
        <w:rPr>
          <w:spacing w:val="-5"/>
        </w:rPr>
        <w:t xml:space="preserve"> </w:t>
      </w:r>
      <w:r>
        <w:t>roads</w:t>
      </w:r>
      <w:r>
        <w:rPr>
          <w:spacing w:val="-5"/>
        </w:rPr>
        <w:t xml:space="preserve"> </w:t>
      </w:r>
      <w:r>
        <w:t>today:</w:t>
      </w: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060EF">
      <w:pPr>
        <w:pStyle w:val="BodyText"/>
        <w:spacing w:before="5"/>
        <w:rPr>
          <w:sz w:val="10"/>
        </w:rPr>
      </w:pPr>
      <w:r>
        <w:pict>
          <v:shape id="docshape1073" o:spid="_x0000_s4247" style="position:absolute;margin-left:49.6pt;margin-top:7.25pt;width:1in;height:.1pt;z-index:-251394048;mso-wrap-distance-left:0;mso-wrap-distance-right:0;mso-position-horizontal-relative:page" coordorigin="992,145" coordsize="1440,0" path="m992,145r1440,e" filled="f" strokecolor="#9c9c9d" strokeweight=".5pt">
            <v:path arrowok="t"/>
            <w10:wrap type="topAndBottom" anchorx="page"/>
          </v:shape>
        </w:pict>
      </w:r>
    </w:p>
    <w:p w:rsidR="002C1123" w:rsidRDefault="00F22F94">
      <w:pPr>
        <w:pStyle w:val="ListParagraph"/>
        <w:numPr>
          <w:ilvl w:val="1"/>
          <w:numId w:val="95"/>
        </w:numPr>
        <w:tabs>
          <w:tab w:val="left" w:pos="691"/>
        </w:tabs>
        <w:spacing w:before="23"/>
        <w:ind w:left="690"/>
        <w:jc w:val="left"/>
        <w:rPr>
          <w:sz w:val="14"/>
        </w:rPr>
      </w:pPr>
      <w:r>
        <w:rPr>
          <w:w w:val="95"/>
          <w:sz w:val="14"/>
        </w:rPr>
        <w:t>Bureau of Transport and Regional Economics 2007, Estimating Urban Traffic</w:t>
      </w:r>
      <w:r>
        <w:rPr>
          <w:spacing w:val="40"/>
          <w:sz w:val="14"/>
        </w:rPr>
        <w:t xml:space="preserve"> </w:t>
      </w:r>
      <w:r>
        <w:rPr>
          <w:sz w:val="14"/>
        </w:rPr>
        <w:t>and Congestion Cost Trends for Australian Cities.</w:t>
      </w:r>
    </w:p>
    <w:p w:rsidR="002C1123" w:rsidRDefault="00F22F94">
      <w:pPr>
        <w:spacing w:before="110"/>
        <w:ind w:left="206"/>
        <w:jc w:val="both"/>
        <w:rPr>
          <w:b/>
          <w:sz w:val="18"/>
        </w:rPr>
      </w:pPr>
      <w:r>
        <w:br w:type="column"/>
      </w:r>
      <w:r>
        <w:rPr>
          <w:b/>
          <w:sz w:val="18"/>
        </w:rPr>
        <w:t>Table</w:t>
      </w:r>
      <w:r>
        <w:rPr>
          <w:b/>
          <w:spacing w:val="-19"/>
          <w:sz w:val="18"/>
        </w:rPr>
        <w:t xml:space="preserve"> </w:t>
      </w:r>
      <w:r>
        <w:rPr>
          <w:b/>
          <w:sz w:val="18"/>
        </w:rPr>
        <w:t>6.1</w:t>
      </w:r>
      <w:r>
        <w:rPr>
          <w:b/>
          <w:spacing w:val="5"/>
          <w:sz w:val="18"/>
        </w:rPr>
        <w:t xml:space="preserve"> </w:t>
      </w:r>
      <w:r>
        <w:rPr>
          <w:b/>
          <w:sz w:val="18"/>
        </w:rPr>
        <w:t>Current</w:t>
      </w:r>
      <w:r>
        <w:rPr>
          <w:b/>
          <w:spacing w:val="-19"/>
          <w:sz w:val="18"/>
        </w:rPr>
        <w:t xml:space="preserve"> </w:t>
      </w:r>
      <w:r>
        <w:rPr>
          <w:b/>
          <w:sz w:val="18"/>
        </w:rPr>
        <w:t>AADT</w:t>
      </w:r>
      <w:r>
        <w:rPr>
          <w:b/>
          <w:spacing w:val="-19"/>
          <w:sz w:val="18"/>
        </w:rPr>
        <w:t xml:space="preserve"> </w:t>
      </w:r>
      <w:r>
        <w:rPr>
          <w:b/>
          <w:sz w:val="18"/>
        </w:rPr>
        <w:t>on</w:t>
      </w:r>
      <w:r>
        <w:rPr>
          <w:b/>
          <w:spacing w:val="-19"/>
          <w:sz w:val="18"/>
        </w:rPr>
        <w:t xml:space="preserve"> </w:t>
      </w:r>
      <w:r>
        <w:rPr>
          <w:b/>
          <w:sz w:val="18"/>
        </w:rPr>
        <w:t>Major</w:t>
      </w:r>
      <w:r>
        <w:rPr>
          <w:b/>
          <w:spacing w:val="-19"/>
          <w:sz w:val="18"/>
        </w:rPr>
        <w:t xml:space="preserve"> </w:t>
      </w:r>
      <w:r>
        <w:rPr>
          <w:b/>
          <w:spacing w:val="-2"/>
          <w:sz w:val="18"/>
        </w:rPr>
        <w:t>Arteries</w:t>
      </w:r>
    </w:p>
    <w:p w:rsidR="002C1123" w:rsidRDefault="002060EF">
      <w:pPr>
        <w:tabs>
          <w:tab w:val="left" w:pos="3173"/>
        </w:tabs>
        <w:spacing w:before="96"/>
        <w:ind w:left="319"/>
        <w:rPr>
          <w:b/>
          <w:sz w:val="16"/>
        </w:rPr>
      </w:pPr>
      <w:r>
        <w:pict>
          <v:shape id="docshape1074" o:spid="_x0000_s4246" type="#_x0000_t202" style="position:absolute;left:0;text-align:left;margin-left:300.95pt;margin-top:14.65pt;width:240.5pt;height:171pt;z-index:251293696;mso-position-horizontal-relative:page" filled="f" stroked="f">
            <v:textbox inset="0,0,0,0">
              <w:txbxContent>
                <w:tbl>
                  <w:tblPr>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854"/>
                    <w:gridCol w:w="1937"/>
                  </w:tblGrid>
                  <w:tr w:rsidR="00F22F94">
                    <w:trPr>
                      <w:trHeight w:val="331"/>
                    </w:trPr>
                    <w:tc>
                      <w:tcPr>
                        <w:tcW w:w="2854" w:type="dxa"/>
                        <w:tcBorders>
                          <w:top w:val="nil"/>
                        </w:tcBorders>
                        <w:shd w:val="clear" w:color="auto" w:fill="C9C8C9"/>
                      </w:tcPr>
                      <w:p w:rsidR="00F22F94" w:rsidRDefault="00F22F94">
                        <w:pPr>
                          <w:pStyle w:val="TableParagraph"/>
                          <w:spacing w:before="77"/>
                          <w:rPr>
                            <w:sz w:val="16"/>
                          </w:rPr>
                        </w:pPr>
                        <w:r>
                          <w:rPr>
                            <w:sz w:val="16"/>
                          </w:rPr>
                          <w:t>Sydney</w:t>
                        </w:r>
                        <w:r>
                          <w:rPr>
                            <w:spacing w:val="1"/>
                            <w:sz w:val="16"/>
                          </w:rPr>
                          <w:t xml:space="preserve"> </w:t>
                        </w:r>
                        <w:r>
                          <w:rPr>
                            <w:sz w:val="16"/>
                          </w:rPr>
                          <w:t>Harbour</w:t>
                        </w:r>
                        <w:r>
                          <w:rPr>
                            <w:spacing w:val="2"/>
                            <w:sz w:val="16"/>
                          </w:rPr>
                          <w:t xml:space="preserve"> </w:t>
                        </w:r>
                        <w:r>
                          <w:rPr>
                            <w:spacing w:val="-2"/>
                            <w:sz w:val="16"/>
                          </w:rPr>
                          <w:t>Crossings</w:t>
                        </w:r>
                      </w:p>
                    </w:tc>
                    <w:tc>
                      <w:tcPr>
                        <w:tcW w:w="1937" w:type="dxa"/>
                        <w:tcBorders>
                          <w:top w:val="nil"/>
                        </w:tcBorders>
                        <w:shd w:val="clear" w:color="auto" w:fill="E1E0E1"/>
                      </w:tcPr>
                      <w:p w:rsidR="00F22F94" w:rsidRDefault="00F22F94">
                        <w:pPr>
                          <w:pStyle w:val="TableParagraph"/>
                          <w:spacing w:before="77"/>
                          <w:ind w:left="112"/>
                          <w:rPr>
                            <w:sz w:val="16"/>
                          </w:rPr>
                        </w:pPr>
                        <w:r>
                          <w:rPr>
                            <w:spacing w:val="-2"/>
                            <w:sz w:val="16"/>
                          </w:rPr>
                          <w:t>250,000</w:t>
                        </w:r>
                      </w:p>
                    </w:tc>
                  </w:tr>
                  <w:tr w:rsidR="00F22F94">
                    <w:trPr>
                      <w:trHeight w:val="321"/>
                    </w:trPr>
                    <w:tc>
                      <w:tcPr>
                        <w:tcW w:w="2854" w:type="dxa"/>
                        <w:shd w:val="clear" w:color="auto" w:fill="C9C8C9"/>
                      </w:tcPr>
                      <w:p w:rsidR="00F22F94" w:rsidRDefault="00F22F94">
                        <w:pPr>
                          <w:pStyle w:val="TableParagraph"/>
                          <w:rPr>
                            <w:sz w:val="16"/>
                          </w:rPr>
                        </w:pPr>
                        <w:r>
                          <w:rPr>
                            <w:sz w:val="16"/>
                          </w:rPr>
                          <w:t>Eastern</w:t>
                        </w:r>
                        <w:r>
                          <w:rPr>
                            <w:spacing w:val="-6"/>
                            <w:sz w:val="16"/>
                          </w:rPr>
                          <w:t xml:space="preserve"> </w:t>
                        </w:r>
                        <w:r>
                          <w:rPr>
                            <w:spacing w:val="-2"/>
                            <w:sz w:val="16"/>
                          </w:rPr>
                          <w:t>Distributor</w:t>
                        </w:r>
                      </w:p>
                    </w:tc>
                    <w:tc>
                      <w:tcPr>
                        <w:tcW w:w="1937" w:type="dxa"/>
                        <w:shd w:val="clear" w:color="auto" w:fill="E1E0E1"/>
                      </w:tcPr>
                      <w:p w:rsidR="00F22F94" w:rsidRDefault="00F22F94">
                        <w:pPr>
                          <w:pStyle w:val="TableParagraph"/>
                          <w:ind w:left="112"/>
                          <w:rPr>
                            <w:sz w:val="16"/>
                          </w:rPr>
                        </w:pPr>
                        <w:r>
                          <w:rPr>
                            <w:spacing w:val="-2"/>
                            <w:sz w:val="16"/>
                          </w:rPr>
                          <w:t>115,000</w:t>
                        </w:r>
                      </w:p>
                    </w:tc>
                  </w:tr>
                  <w:tr w:rsidR="00F22F94">
                    <w:trPr>
                      <w:trHeight w:val="321"/>
                    </w:trPr>
                    <w:tc>
                      <w:tcPr>
                        <w:tcW w:w="2854" w:type="dxa"/>
                        <w:shd w:val="clear" w:color="auto" w:fill="C9C8C9"/>
                      </w:tcPr>
                      <w:p w:rsidR="00F22F94" w:rsidRDefault="00F22F94">
                        <w:pPr>
                          <w:pStyle w:val="TableParagraph"/>
                          <w:rPr>
                            <w:sz w:val="16"/>
                          </w:rPr>
                        </w:pPr>
                        <w:r>
                          <w:rPr>
                            <w:w w:val="95"/>
                            <w:sz w:val="16"/>
                          </w:rPr>
                          <w:t>M4</w:t>
                        </w:r>
                        <w:r>
                          <w:rPr>
                            <w:spacing w:val="-2"/>
                            <w:w w:val="95"/>
                            <w:sz w:val="16"/>
                          </w:rPr>
                          <w:t xml:space="preserve"> </w:t>
                        </w:r>
                        <w:r>
                          <w:rPr>
                            <w:w w:val="95"/>
                            <w:sz w:val="16"/>
                          </w:rPr>
                          <w:t>(Mays</w:t>
                        </w:r>
                        <w:r>
                          <w:rPr>
                            <w:spacing w:val="-1"/>
                            <w:w w:val="95"/>
                            <w:sz w:val="16"/>
                          </w:rPr>
                          <w:t xml:space="preserve"> </w:t>
                        </w:r>
                        <w:r>
                          <w:rPr>
                            <w:spacing w:val="-2"/>
                            <w:w w:val="95"/>
                            <w:sz w:val="16"/>
                          </w:rPr>
                          <w:t>Hill)</w:t>
                        </w:r>
                      </w:p>
                    </w:tc>
                    <w:tc>
                      <w:tcPr>
                        <w:tcW w:w="1937" w:type="dxa"/>
                        <w:shd w:val="clear" w:color="auto" w:fill="E1E0E1"/>
                      </w:tcPr>
                      <w:p w:rsidR="00F22F94" w:rsidRDefault="00F22F94">
                        <w:pPr>
                          <w:pStyle w:val="TableParagraph"/>
                          <w:ind w:left="112"/>
                          <w:rPr>
                            <w:sz w:val="16"/>
                          </w:rPr>
                        </w:pPr>
                        <w:r>
                          <w:rPr>
                            <w:spacing w:val="-2"/>
                            <w:sz w:val="16"/>
                          </w:rPr>
                          <w:t>170,000</w:t>
                        </w:r>
                      </w:p>
                    </w:tc>
                  </w:tr>
                  <w:tr w:rsidR="00F22F94">
                    <w:trPr>
                      <w:trHeight w:val="321"/>
                    </w:trPr>
                    <w:tc>
                      <w:tcPr>
                        <w:tcW w:w="2854" w:type="dxa"/>
                        <w:shd w:val="clear" w:color="auto" w:fill="C9C8C9"/>
                      </w:tcPr>
                      <w:p w:rsidR="00F22F94" w:rsidRDefault="00F22F94">
                        <w:pPr>
                          <w:pStyle w:val="TableParagraph"/>
                          <w:rPr>
                            <w:sz w:val="16"/>
                          </w:rPr>
                        </w:pPr>
                        <w:r>
                          <w:rPr>
                            <w:w w:val="95"/>
                            <w:sz w:val="16"/>
                          </w:rPr>
                          <w:t>M5</w:t>
                        </w:r>
                        <w:r>
                          <w:rPr>
                            <w:spacing w:val="-2"/>
                            <w:sz w:val="16"/>
                          </w:rPr>
                          <w:t xml:space="preserve"> </w:t>
                        </w:r>
                        <w:r>
                          <w:rPr>
                            <w:w w:val="95"/>
                            <w:sz w:val="16"/>
                          </w:rPr>
                          <w:t>East</w:t>
                        </w:r>
                        <w:r>
                          <w:rPr>
                            <w:spacing w:val="-2"/>
                            <w:sz w:val="16"/>
                          </w:rPr>
                          <w:t xml:space="preserve"> </w:t>
                        </w:r>
                        <w:r>
                          <w:rPr>
                            <w:w w:val="95"/>
                            <w:sz w:val="16"/>
                          </w:rPr>
                          <w:t>(Bardwell</w:t>
                        </w:r>
                        <w:r>
                          <w:rPr>
                            <w:spacing w:val="-2"/>
                            <w:sz w:val="16"/>
                          </w:rPr>
                          <w:t xml:space="preserve"> </w:t>
                        </w:r>
                        <w:r>
                          <w:rPr>
                            <w:spacing w:val="-4"/>
                            <w:w w:val="95"/>
                            <w:sz w:val="16"/>
                          </w:rPr>
                          <w:t>Park)</w:t>
                        </w:r>
                      </w:p>
                    </w:tc>
                    <w:tc>
                      <w:tcPr>
                        <w:tcW w:w="1937" w:type="dxa"/>
                        <w:shd w:val="clear" w:color="auto" w:fill="E1E0E1"/>
                      </w:tcPr>
                      <w:p w:rsidR="00F22F94" w:rsidRDefault="00F22F94">
                        <w:pPr>
                          <w:pStyle w:val="TableParagraph"/>
                          <w:ind w:left="112"/>
                          <w:rPr>
                            <w:sz w:val="16"/>
                          </w:rPr>
                        </w:pPr>
                        <w:r>
                          <w:rPr>
                            <w:spacing w:val="-2"/>
                            <w:sz w:val="16"/>
                          </w:rPr>
                          <w:t>105,000</w:t>
                        </w:r>
                      </w:p>
                    </w:tc>
                  </w:tr>
                  <w:tr w:rsidR="00F22F94">
                    <w:trPr>
                      <w:trHeight w:val="321"/>
                    </w:trPr>
                    <w:tc>
                      <w:tcPr>
                        <w:tcW w:w="2854" w:type="dxa"/>
                        <w:shd w:val="clear" w:color="auto" w:fill="C9C8C9"/>
                      </w:tcPr>
                      <w:p w:rsidR="00F22F94" w:rsidRDefault="00F22F94">
                        <w:pPr>
                          <w:pStyle w:val="TableParagraph"/>
                          <w:rPr>
                            <w:sz w:val="16"/>
                          </w:rPr>
                        </w:pPr>
                        <w:r>
                          <w:rPr>
                            <w:sz w:val="16"/>
                          </w:rPr>
                          <w:t xml:space="preserve">M5 West </w:t>
                        </w:r>
                        <w:r>
                          <w:rPr>
                            <w:spacing w:val="-2"/>
                            <w:sz w:val="16"/>
                          </w:rPr>
                          <w:t>(Revesby)</w:t>
                        </w:r>
                      </w:p>
                    </w:tc>
                    <w:tc>
                      <w:tcPr>
                        <w:tcW w:w="1937" w:type="dxa"/>
                        <w:shd w:val="clear" w:color="auto" w:fill="E1E0E1"/>
                      </w:tcPr>
                      <w:p w:rsidR="00F22F94" w:rsidRDefault="00F22F94">
                        <w:pPr>
                          <w:pStyle w:val="TableParagraph"/>
                          <w:ind w:left="112"/>
                          <w:rPr>
                            <w:sz w:val="16"/>
                          </w:rPr>
                        </w:pPr>
                        <w:r>
                          <w:rPr>
                            <w:spacing w:val="-2"/>
                            <w:sz w:val="16"/>
                          </w:rPr>
                          <w:t>95,000</w:t>
                        </w:r>
                      </w:p>
                    </w:tc>
                  </w:tr>
                  <w:tr w:rsidR="00F22F94">
                    <w:trPr>
                      <w:trHeight w:val="321"/>
                    </w:trPr>
                    <w:tc>
                      <w:tcPr>
                        <w:tcW w:w="2854" w:type="dxa"/>
                        <w:shd w:val="clear" w:color="auto" w:fill="C9C8C9"/>
                      </w:tcPr>
                      <w:p w:rsidR="00F22F94" w:rsidRDefault="00F22F94">
                        <w:pPr>
                          <w:pStyle w:val="TableParagraph"/>
                          <w:rPr>
                            <w:sz w:val="16"/>
                          </w:rPr>
                        </w:pPr>
                        <w:r>
                          <w:rPr>
                            <w:w w:val="95"/>
                            <w:sz w:val="16"/>
                          </w:rPr>
                          <w:t>M7</w:t>
                        </w:r>
                        <w:r>
                          <w:rPr>
                            <w:spacing w:val="-3"/>
                            <w:w w:val="95"/>
                            <w:sz w:val="16"/>
                          </w:rPr>
                          <w:t xml:space="preserve"> </w:t>
                        </w:r>
                        <w:r>
                          <w:rPr>
                            <w:w w:val="95"/>
                            <w:sz w:val="16"/>
                          </w:rPr>
                          <w:t>(Kings</w:t>
                        </w:r>
                        <w:r>
                          <w:rPr>
                            <w:spacing w:val="-2"/>
                            <w:w w:val="95"/>
                            <w:sz w:val="16"/>
                          </w:rPr>
                          <w:t xml:space="preserve"> Langley)</w:t>
                        </w:r>
                      </w:p>
                    </w:tc>
                    <w:tc>
                      <w:tcPr>
                        <w:tcW w:w="1937" w:type="dxa"/>
                        <w:shd w:val="clear" w:color="auto" w:fill="E1E0E1"/>
                      </w:tcPr>
                      <w:p w:rsidR="00F22F94" w:rsidRDefault="00F22F94">
                        <w:pPr>
                          <w:pStyle w:val="TableParagraph"/>
                          <w:ind w:left="112"/>
                          <w:rPr>
                            <w:sz w:val="16"/>
                          </w:rPr>
                        </w:pPr>
                        <w:r>
                          <w:rPr>
                            <w:spacing w:val="-2"/>
                            <w:sz w:val="16"/>
                          </w:rPr>
                          <w:t>60,000</w:t>
                        </w:r>
                      </w:p>
                    </w:tc>
                  </w:tr>
                  <w:tr w:rsidR="00F22F94">
                    <w:trPr>
                      <w:trHeight w:val="321"/>
                    </w:trPr>
                    <w:tc>
                      <w:tcPr>
                        <w:tcW w:w="2854" w:type="dxa"/>
                        <w:shd w:val="clear" w:color="auto" w:fill="C9C8C9"/>
                      </w:tcPr>
                      <w:p w:rsidR="00F22F94" w:rsidRDefault="00F22F94">
                        <w:pPr>
                          <w:pStyle w:val="TableParagraph"/>
                          <w:rPr>
                            <w:sz w:val="16"/>
                          </w:rPr>
                        </w:pPr>
                        <w:r>
                          <w:rPr>
                            <w:w w:val="95"/>
                            <w:sz w:val="16"/>
                          </w:rPr>
                          <w:t>M2</w:t>
                        </w:r>
                        <w:r>
                          <w:rPr>
                            <w:sz w:val="16"/>
                          </w:rPr>
                          <w:t xml:space="preserve"> </w:t>
                        </w:r>
                        <w:r>
                          <w:rPr>
                            <w:w w:val="95"/>
                            <w:sz w:val="16"/>
                          </w:rPr>
                          <w:t>(North</w:t>
                        </w:r>
                        <w:r>
                          <w:rPr>
                            <w:sz w:val="16"/>
                          </w:rPr>
                          <w:t xml:space="preserve"> </w:t>
                        </w:r>
                        <w:r>
                          <w:rPr>
                            <w:spacing w:val="-4"/>
                            <w:w w:val="95"/>
                            <w:sz w:val="16"/>
                          </w:rPr>
                          <w:t>Ryde)</w:t>
                        </w:r>
                      </w:p>
                    </w:tc>
                    <w:tc>
                      <w:tcPr>
                        <w:tcW w:w="1937" w:type="dxa"/>
                        <w:shd w:val="clear" w:color="auto" w:fill="E1E0E1"/>
                      </w:tcPr>
                      <w:p w:rsidR="00F22F94" w:rsidRDefault="00F22F94">
                        <w:pPr>
                          <w:pStyle w:val="TableParagraph"/>
                          <w:ind w:left="112"/>
                          <w:rPr>
                            <w:sz w:val="16"/>
                          </w:rPr>
                        </w:pPr>
                        <w:r>
                          <w:rPr>
                            <w:spacing w:val="-2"/>
                            <w:sz w:val="16"/>
                          </w:rPr>
                          <w:t>70,000</w:t>
                        </w:r>
                      </w:p>
                    </w:tc>
                  </w:tr>
                  <w:tr w:rsidR="00F22F94">
                    <w:trPr>
                      <w:trHeight w:val="321"/>
                    </w:trPr>
                    <w:tc>
                      <w:tcPr>
                        <w:tcW w:w="2854" w:type="dxa"/>
                        <w:shd w:val="clear" w:color="auto" w:fill="C9C8C9"/>
                      </w:tcPr>
                      <w:p w:rsidR="00F22F94" w:rsidRDefault="00F22F94">
                        <w:pPr>
                          <w:pStyle w:val="TableParagraph"/>
                          <w:rPr>
                            <w:sz w:val="16"/>
                          </w:rPr>
                        </w:pPr>
                        <w:r>
                          <w:rPr>
                            <w:spacing w:val="-2"/>
                            <w:sz w:val="16"/>
                          </w:rPr>
                          <w:t>Parramatta</w:t>
                        </w:r>
                        <w:r>
                          <w:rPr>
                            <w:spacing w:val="-8"/>
                            <w:sz w:val="16"/>
                          </w:rPr>
                          <w:t xml:space="preserve"> </w:t>
                        </w:r>
                        <w:r>
                          <w:rPr>
                            <w:spacing w:val="-2"/>
                            <w:sz w:val="16"/>
                          </w:rPr>
                          <w:t>Road</w:t>
                        </w:r>
                        <w:r>
                          <w:rPr>
                            <w:spacing w:val="-6"/>
                            <w:sz w:val="16"/>
                          </w:rPr>
                          <w:t xml:space="preserve"> </w:t>
                        </w:r>
                        <w:r>
                          <w:rPr>
                            <w:spacing w:val="-2"/>
                            <w:sz w:val="16"/>
                          </w:rPr>
                          <w:t>(Five</w:t>
                        </w:r>
                        <w:r>
                          <w:rPr>
                            <w:spacing w:val="-5"/>
                            <w:sz w:val="16"/>
                          </w:rPr>
                          <w:t xml:space="preserve"> </w:t>
                        </w:r>
                        <w:r>
                          <w:rPr>
                            <w:spacing w:val="-2"/>
                            <w:sz w:val="16"/>
                          </w:rPr>
                          <w:t>Dock)</w:t>
                        </w:r>
                      </w:p>
                    </w:tc>
                    <w:tc>
                      <w:tcPr>
                        <w:tcW w:w="1937" w:type="dxa"/>
                        <w:shd w:val="clear" w:color="auto" w:fill="E1E0E1"/>
                      </w:tcPr>
                      <w:p w:rsidR="00F22F94" w:rsidRDefault="00F22F94">
                        <w:pPr>
                          <w:pStyle w:val="TableParagraph"/>
                          <w:ind w:left="112"/>
                          <w:rPr>
                            <w:sz w:val="16"/>
                          </w:rPr>
                        </w:pPr>
                        <w:r>
                          <w:rPr>
                            <w:spacing w:val="-2"/>
                            <w:sz w:val="16"/>
                          </w:rPr>
                          <w:t>100,000</w:t>
                        </w:r>
                      </w:p>
                    </w:tc>
                  </w:tr>
                  <w:tr w:rsidR="00F22F94">
                    <w:trPr>
                      <w:trHeight w:val="321"/>
                    </w:trPr>
                    <w:tc>
                      <w:tcPr>
                        <w:tcW w:w="2854" w:type="dxa"/>
                        <w:shd w:val="clear" w:color="auto" w:fill="C9C8C9"/>
                      </w:tcPr>
                      <w:p w:rsidR="00F22F94" w:rsidRDefault="00F22F94">
                        <w:pPr>
                          <w:pStyle w:val="TableParagraph"/>
                          <w:rPr>
                            <w:sz w:val="16"/>
                          </w:rPr>
                        </w:pPr>
                        <w:r>
                          <w:rPr>
                            <w:spacing w:val="-2"/>
                            <w:sz w:val="16"/>
                          </w:rPr>
                          <w:t>Pennant</w:t>
                        </w:r>
                        <w:r>
                          <w:rPr>
                            <w:spacing w:val="-4"/>
                            <w:sz w:val="16"/>
                          </w:rPr>
                          <w:t xml:space="preserve"> </w:t>
                        </w:r>
                        <w:r>
                          <w:rPr>
                            <w:spacing w:val="-2"/>
                            <w:sz w:val="16"/>
                          </w:rPr>
                          <w:t>Hills</w:t>
                        </w:r>
                        <w:r>
                          <w:rPr>
                            <w:spacing w:val="-4"/>
                            <w:sz w:val="16"/>
                          </w:rPr>
                          <w:t xml:space="preserve"> </w:t>
                        </w:r>
                        <w:r>
                          <w:rPr>
                            <w:spacing w:val="-2"/>
                            <w:sz w:val="16"/>
                          </w:rPr>
                          <w:t>Road</w:t>
                        </w:r>
                        <w:r>
                          <w:rPr>
                            <w:spacing w:val="-3"/>
                            <w:sz w:val="16"/>
                          </w:rPr>
                          <w:t xml:space="preserve"> </w:t>
                        </w:r>
                        <w:r>
                          <w:rPr>
                            <w:spacing w:val="-2"/>
                            <w:sz w:val="16"/>
                          </w:rPr>
                          <w:t>(Pennant</w:t>
                        </w:r>
                        <w:r>
                          <w:rPr>
                            <w:spacing w:val="-4"/>
                            <w:sz w:val="16"/>
                          </w:rPr>
                          <w:t xml:space="preserve"> </w:t>
                        </w:r>
                        <w:r>
                          <w:rPr>
                            <w:spacing w:val="-2"/>
                            <w:sz w:val="16"/>
                          </w:rPr>
                          <w:t>Hills)</w:t>
                        </w:r>
                      </w:p>
                    </w:tc>
                    <w:tc>
                      <w:tcPr>
                        <w:tcW w:w="1937" w:type="dxa"/>
                        <w:shd w:val="clear" w:color="auto" w:fill="E1E0E1"/>
                      </w:tcPr>
                      <w:p w:rsidR="00F22F94" w:rsidRDefault="00F22F94">
                        <w:pPr>
                          <w:pStyle w:val="TableParagraph"/>
                          <w:ind w:left="112"/>
                          <w:rPr>
                            <w:sz w:val="16"/>
                          </w:rPr>
                        </w:pPr>
                        <w:r>
                          <w:rPr>
                            <w:spacing w:val="-2"/>
                            <w:sz w:val="16"/>
                          </w:rPr>
                          <w:t>80,000</w:t>
                        </w:r>
                      </w:p>
                    </w:tc>
                  </w:tr>
                  <w:tr w:rsidR="00F22F94">
                    <w:trPr>
                      <w:trHeight w:val="321"/>
                    </w:trPr>
                    <w:tc>
                      <w:tcPr>
                        <w:tcW w:w="2854" w:type="dxa"/>
                        <w:shd w:val="clear" w:color="auto" w:fill="C9C8C9"/>
                      </w:tcPr>
                      <w:p w:rsidR="00F22F94" w:rsidRDefault="00F22F94">
                        <w:pPr>
                          <w:pStyle w:val="TableParagraph"/>
                          <w:rPr>
                            <w:sz w:val="16"/>
                          </w:rPr>
                        </w:pPr>
                        <w:r>
                          <w:rPr>
                            <w:sz w:val="16"/>
                          </w:rPr>
                          <w:t>Princes</w:t>
                        </w:r>
                        <w:r>
                          <w:rPr>
                            <w:spacing w:val="1"/>
                            <w:sz w:val="16"/>
                          </w:rPr>
                          <w:t xml:space="preserve"> </w:t>
                        </w:r>
                        <w:r>
                          <w:rPr>
                            <w:sz w:val="16"/>
                          </w:rPr>
                          <w:t>Highway</w:t>
                        </w:r>
                        <w:r>
                          <w:rPr>
                            <w:spacing w:val="1"/>
                            <w:sz w:val="16"/>
                          </w:rPr>
                          <w:t xml:space="preserve"> </w:t>
                        </w:r>
                        <w:r>
                          <w:rPr>
                            <w:spacing w:val="-2"/>
                            <w:sz w:val="16"/>
                          </w:rPr>
                          <w:t>(Blakehurst)</w:t>
                        </w:r>
                      </w:p>
                    </w:tc>
                    <w:tc>
                      <w:tcPr>
                        <w:tcW w:w="1937" w:type="dxa"/>
                        <w:shd w:val="clear" w:color="auto" w:fill="E1E0E1"/>
                      </w:tcPr>
                      <w:p w:rsidR="00F22F94" w:rsidRDefault="00F22F94">
                        <w:pPr>
                          <w:pStyle w:val="TableParagraph"/>
                          <w:ind w:left="112"/>
                          <w:rPr>
                            <w:sz w:val="16"/>
                          </w:rPr>
                        </w:pPr>
                        <w:r>
                          <w:rPr>
                            <w:spacing w:val="-2"/>
                            <w:sz w:val="16"/>
                          </w:rPr>
                          <w:t>80,000</w:t>
                        </w:r>
                      </w:p>
                    </w:tc>
                  </w:tr>
                </w:tbl>
                <w:p w:rsidR="00F22F94" w:rsidRDefault="00F22F94">
                  <w:pPr>
                    <w:pStyle w:val="BodyText"/>
                  </w:pPr>
                </w:p>
              </w:txbxContent>
            </v:textbox>
            <w10:wrap anchorx="page"/>
          </v:shape>
        </w:pict>
      </w:r>
      <w:r w:rsidR="00F22F94">
        <w:rPr>
          <w:b/>
          <w:color w:val="2E3092"/>
          <w:spacing w:val="-4"/>
          <w:sz w:val="16"/>
        </w:rPr>
        <w:t>Road</w:t>
      </w:r>
      <w:r w:rsidR="00F22F94">
        <w:rPr>
          <w:b/>
          <w:color w:val="2E3092"/>
          <w:sz w:val="16"/>
        </w:rPr>
        <w:tab/>
      </w:r>
      <w:r w:rsidR="00F22F94">
        <w:rPr>
          <w:b/>
          <w:color w:val="2E3092"/>
          <w:spacing w:val="-2"/>
          <w:sz w:val="16"/>
        </w:rPr>
        <w:t>Estimated</w:t>
      </w:r>
      <w:r w:rsidR="00F22F94">
        <w:rPr>
          <w:b/>
          <w:color w:val="2E3092"/>
          <w:spacing w:val="-7"/>
          <w:sz w:val="16"/>
        </w:rPr>
        <w:t xml:space="preserve"> </w:t>
      </w:r>
      <w:r w:rsidR="00F22F94">
        <w:rPr>
          <w:b/>
          <w:color w:val="2E3092"/>
          <w:spacing w:val="-2"/>
          <w:sz w:val="16"/>
        </w:rPr>
        <w:t>AADT</w:t>
      </w:r>
      <w:r w:rsidR="00F22F94">
        <w:rPr>
          <w:b/>
          <w:color w:val="2E3092"/>
          <w:spacing w:val="-6"/>
          <w:sz w:val="16"/>
        </w:rPr>
        <w:t xml:space="preserve"> </w:t>
      </w:r>
      <w:r w:rsidR="00F22F94">
        <w:rPr>
          <w:b/>
          <w:color w:val="2E3092"/>
          <w:spacing w:val="-4"/>
          <w:sz w:val="16"/>
        </w:rPr>
        <w:t>2011</w:t>
      </w: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F22F94">
      <w:pPr>
        <w:spacing w:before="147"/>
        <w:ind w:left="206"/>
        <w:jc w:val="both"/>
        <w:rPr>
          <w:sz w:val="14"/>
        </w:rPr>
      </w:pPr>
      <w:r>
        <w:rPr>
          <w:w w:val="95"/>
          <w:sz w:val="14"/>
        </w:rPr>
        <w:t>Source:</w:t>
      </w:r>
      <w:r>
        <w:rPr>
          <w:spacing w:val="13"/>
          <w:sz w:val="14"/>
        </w:rPr>
        <w:t xml:space="preserve"> </w:t>
      </w:r>
      <w:r>
        <w:rPr>
          <w:w w:val="95"/>
          <w:sz w:val="14"/>
        </w:rPr>
        <w:t>Roads</w:t>
      </w:r>
      <w:r>
        <w:rPr>
          <w:spacing w:val="14"/>
          <w:sz w:val="14"/>
        </w:rPr>
        <w:t xml:space="preserve"> </w:t>
      </w:r>
      <w:r>
        <w:rPr>
          <w:w w:val="95"/>
          <w:sz w:val="14"/>
        </w:rPr>
        <w:t>and</w:t>
      </w:r>
      <w:r>
        <w:rPr>
          <w:spacing w:val="14"/>
          <w:sz w:val="14"/>
        </w:rPr>
        <w:t xml:space="preserve"> </w:t>
      </w:r>
      <w:r>
        <w:rPr>
          <w:w w:val="95"/>
          <w:sz w:val="14"/>
        </w:rPr>
        <w:t>Maritime</w:t>
      </w:r>
      <w:r>
        <w:rPr>
          <w:spacing w:val="14"/>
          <w:sz w:val="14"/>
        </w:rPr>
        <w:t xml:space="preserve"> </w:t>
      </w:r>
      <w:r>
        <w:rPr>
          <w:spacing w:val="-2"/>
          <w:w w:val="95"/>
          <w:sz w:val="14"/>
        </w:rPr>
        <w:t>Services.</w:t>
      </w:r>
    </w:p>
    <w:p w:rsidR="002C1123" w:rsidRDefault="002C1123">
      <w:pPr>
        <w:pStyle w:val="BodyText"/>
        <w:spacing w:before="5"/>
        <w:rPr>
          <w:sz w:val="13"/>
        </w:rPr>
      </w:pPr>
    </w:p>
    <w:p w:rsidR="002C1123" w:rsidRDefault="00F22F94">
      <w:pPr>
        <w:pStyle w:val="BodyText"/>
        <w:spacing w:line="249" w:lineRule="auto"/>
        <w:ind w:left="196" w:right="85"/>
        <w:jc w:val="both"/>
      </w:pPr>
      <w:r>
        <w:rPr>
          <w:w w:val="95"/>
        </w:rPr>
        <w:t>The</w:t>
      </w:r>
      <w:r>
        <w:rPr>
          <w:spacing w:val="-5"/>
          <w:w w:val="95"/>
        </w:rPr>
        <w:t xml:space="preserve"> </w:t>
      </w:r>
      <w:r>
        <w:rPr>
          <w:w w:val="95"/>
        </w:rPr>
        <w:t>high</w:t>
      </w:r>
      <w:r>
        <w:rPr>
          <w:spacing w:val="-5"/>
          <w:w w:val="95"/>
        </w:rPr>
        <w:t xml:space="preserve"> </w:t>
      </w:r>
      <w:r>
        <w:rPr>
          <w:w w:val="95"/>
        </w:rPr>
        <w:t>volumes</w:t>
      </w:r>
      <w:r>
        <w:rPr>
          <w:spacing w:val="-5"/>
          <w:w w:val="95"/>
        </w:rPr>
        <w:t xml:space="preserve"> </w:t>
      </w:r>
      <w:r>
        <w:rPr>
          <w:w w:val="95"/>
        </w:rPr>
        <w:t>on</w:t>
      </w:r>
      <w:r>
        <w:rPr>
          <w:spacing w:val="-5"/>
          <w:w w:val="95"/>
        </w:rPr>
        <w:t xml:space="preserve"> </w:t>
      </w:r>
      <w:r>
        <w:rPr>
          <w:w w:val="95"/>
        </w:rPr>
        <w:t>the</w:t>
      </w:r>
      <w:r>
        <w:rPr>
          <w:spacing w:val="-5"/>
          <w:w w:val="95"/>
        </w:rPr>
        <w:t xml:space="preserve"> </w:t>
      </w:r>
      <w:r>
        <w:rPr>
          <w:w w:val="95"/>
        </w:rPr>
        <w:t>motorways</w:t>
      </w:r>
      <w:r>
        <w:rPr>
          <w:spacing w:val="-5"/>
          <w:w w:val="95"/>
        </w:rPr>
        <w:t xml:space="preserve"> </w:t>
      </w:r>
      <w:r>
        <w:rPr>
          <w:w w:val="95"/>
        </w:rPr>
        <w:t>show</w:t>
      </w:r>
      <w:r>
        <w:rPr>
          <w:spacing w:val="-5"/>
          <w:w w:val="95"/>
        </w:rPr>
        <w:t xml:space="preserve"> </w:t>
      </w:r>
      <w:r>
        <w:rPr>
          <w:w w:val="95"/>
        </w:rPr>
        <w:t>how</w:t>
      </w:r>
      <w:r>
        <w:rPr>
          <w:spacing w:val="-5"/>
          <w:w w:val="95"/>
        </w:rPr>
        <w:t xml:space="preserve"> </w:t>
      </w:r>
      <w:r>
        <w:rPr>
          <w:w w:val="95"/>
        </w:rPr>
        <w:t>heavily people and businesses rely on those roads for access around</w:t>
      </w:r>
      <w:r>
        <w:rPr>
          <w:spacing w:val="-7"/>
          <w:w w:val="95"/>
        </w:rPr>
        <w:t xml:space="preserve"> </w:t>
      </w:r>
      <w:r>
        <w:rPr>
          <w:w w:val="95"/>
        </w:rPr>
        <w:t>Sydney.</w:t>
      </w:r>
      <w:r>
        <w:rPr>
          <w:spacing w:val="-7"/>
          <w:w w:val="95"/>
        </w:rPr>
        <w:t xml:space="preserve"> </w:t>
      </w:r>
      <w:r>
        <w:rPr>
          <w:w w:val="95"/>
        </w:rPr>
        <w:t>The</w:t>
      </w:r>
      <w:r>
        <w:rPr>
          <w:spacing w:val="-7"/>
          <w:w w:val="95"/>
        </w:rPr>
        <w:t xml:space="preserve"> </w:t>
      </w:r>
      <w:r>
        <w:rPr>
          <w:w w:val="95"/>
        </w:rPr>
        <w:t>motorways</w:t>
      </w:r>
      <w:r>
        <w:rPr>
          <w:spacing w:val="-7"/>
          <w:w w:val="95"/>
        </w:rPr>
        <w:t xml:space="preserve"> </w:t>
      </w:r>
      <w:r>
        <w:rPr>
          <w:w w:val="95"/>
        </w:rPr>
        <w:t>cater</w:t>
      </w:r>
      <w:r>
        <w:rPr>
          <w:spacing w:val="-7"/>
          <w:w w:val="95"/>
        </w:rPr>
        <w:t xml:space="preserve"> </w:t>
      </w:r>
      <w:r>
        <w:rPr>
          <w:w w:val="95"/>
        </w:rPr>
        <w:t>for</w:t>
      </w:r>
      <w:r>
        <w:rPr>
          <w:spacing w:val="-7"/>
          <w:w w:val="95"/>
        </w:rPr>
        <w:t xml:space="preserve"> </w:t>
      </w:r>
      <w:r>
        <w:rPr>
          <w:w w:val="95"/>
        </w:rPr>
        <w:t>high</w:t>
      </w:r>
      <w:r>
        <w:rPr>
          <w:spacing w:val="-7"/>
          <w:w w:val="95"/>
        </w:rPr>
        <w:t xml:space="preserve"> </w:t>
      </w:r>
      <w:r>
        <w:rPr>
          <w:w w:val="95"/>
        </w:rPr>
        <w:t>volumes of</w:t>
      </w:r>
      <w:r>
        <w:rPr>
          <w:spacing w:val="-4"/>
          <w:w w:val="95"/>
        </w:rPr>
        <w:t xml:space="preserve"> </w:t>
      </w:r>
      <w:r>
        <w:rPr>
          <w:w w:val="95"/>
        </w:rPr>
        <w:t>traffic</w:t>
      </w:r>
      <w:r>
        <w:rPr>
          <w:spacing w:val="-4"/>
          <w:w w:val="95"/>
        </w:rPr>
        <w:t xml:space="preserve"> </w:t>
      </w:r>
      <w:r>
        <w:rPr>
          <w:w w:val="95"/>
        </w:rPr>
        <w:t>in</w:t>
      </w:r>
      <w:r>
        <w:rPr>
          <w:spacing w:val="-4"/>
          <w:w w:val="95"/>
        </w:rPr>
        <w:t xml:space="preserve"> </w:t>
      </w:r>
      <w:r>
        <w:rPr>
          <w:w w:val="95"/>
        </w:rPr>
        <w:t>a</w:t>
      </w:r>
      <w:r>
        <w:rPr>
          <w:spacing w:val="-4"/>
          <w:w w:val="95"/>
        </w:rPr>
        <w:t xml:space="preserve"> </w:t>
      </w:r>
      <w:r>
        <w:rPr>
          <w:w w:val="95"/>
        </w:rPr>
        <w:t>more</w:t>
      </w:r>
      <w:r>
        <w:rPr>
          <w:spacing w:val="-4"/>
          <w:w w:val="95"/>
        </w:rPr>
        <w:t xml:space="preserve"> </w:t>
      </w:r>
      <w:r>
        <w:rPr>
          <w:w w:val="95"/>
        </w:rPr>
        <w:t>efficient</w:t>
      </w:r>
      <w:r>
        <w:rPr>
          <w:spacing w:val="-4"/>
          <w:w w:val="95"/>
        </w:rPr>
        <w:t xml:space="preserve"> </w:t>
      </w:r>
      <w:r>
        <w:rPr>
          <w:w w:val="95"/>
        </w:rPr>
        <w:t>manner</w:t>
      </w:r>
      <w:r>
        <w:rPr>
          <w:spacing w:val="-4"/>
          <w:w w:val="95"/>
        </w:rPr>
        <w:t xml:space="preserve"> </w:t>
      </w:r>
      <w:r>
        <w:rPr>
          <w:w w:val="95"/>
        </w:rPr>
        <w:t>than</w:t>
      </w:r>
      <w:r>
        <w:rPr>
          <w:spacing w:val="-4"/>
          <w:w w:val="95"/>
        </w:rPr>
        <w:t xml:space="preserve"> </w:t>
      </w:r>
      <w:r>
        <w:rPr>
          <w:w w:val="95"/>
        </w:rPr>
        <w:t>legacy</w:t>
      </w:r>
      <w:r>
        <w:rPr>
          <w:spacing w:val="-4"/>
          <w:w w:val="95"/>
        </w:rPr>
        <w:t xml:space="preserve"> </w:t>
      </w:r>
      <w:r>
        <w:rPr>
          <w:w w:val="95"/>
        </w:rPr>
        <w:t xml:space="preserve">arterial </w:t>
      </w:r>
      <w:r>
        <w:t>roads like Parramatta Road.</w:t>
      </w:r>
    </w:p>
    <w:p w:rsidR="002C1123" w:rsidRDefault="00F22F94">
      <w:pPr>
        <w:pStyle w:val="Heading6"/>
        <w:numPr>
          <w:ilvl w:val="2"/>
          <w:numId w:val="97"/>
        </w:numPr>
        <w:tabs>
          <w:tab w:val="left" w:pos="683"/>
        </w:tabs>
        <w:spacing w:before="146"/>
        <w:ind w:left="682" w:hanging="487"/>
        <w:jc w:val="left"/>
      </w:pPr>
      <w:r>
        <w:rPr>
          <w:color w:val="00AEEF"/>
          <w:spacing w:val="-2"/>
        </w:rPr>
        <w:t>Congestion</w:t>
      </w:r>
    </w:p>
    <w:p w:rsidR="002C1123" w:rsidRDefault="00F22F94">
      <w:pPr>
        <w:pStyle w:val="BodyText"/>
        <w:spacing w:before="95" w:line="249" w:lineRule="auto"/>
        <w:ind w:left="196"/>
      </w:pPr>
      <w:r>
        <w:rPr>
          <w:w w:val="95"/>
        </w:rPr>
        <w:t>AADT</w:t>
      </w:r>
      <w:r>
        <w:rPr>
          <w:spacing w:val="-7"/>
          <w:w w:val="95"/>
        </w:rPr>
        <w:t xml:space="preserve"> </w:t>
      </w:r>
      <w:r>
        <w:rPr>
          <w:w w:val="95"/>
        </w:rPr>
        <w:t>is</w:t>
      </w:r>
      <w:r>
        <w:rPr>
          <w:spacing w:val="-7"/>
          <w:w w:val="95"/>
        </w:rPr>
        <w:t xml:space="preserve"> </w:t>
      </w:r>
      <w:r>
        <w:rPr>
          <w:w w:val="95"/>
        </w:rPr>
        <w:t>a</w:t>
      </w:r>
      <w:r>
        <w:rPr>
          <w:spacing w:val="-7"/>
          <w:w w:val="95"/>
        </w:rPr>
        <w:t xml:space="preserve"> </w:t>
      </w:r>
      <w:r>
        <w:rPr>
          <w:w w:val="95"/>
        </w:rPr>
        <w:t>crude</w:t>
      </w:r>
      <w:r>
        <w:rPr>
          <w:spacing w:val="-7"/>
          <w:w w:val="95"/>
        </w:rPr>
        <w:t xml:space="preserve"> </w:t>
      </w:r>
      <w:r>
        <w:rPr>
          <w:w w:val="95"/>
        </w:rPr>
        <w:t>measure</w:t>
      </w:r>
      <w:r>
        <w:rPr>
          <w:spacing w:val="-7"/>
          <w:w w:val="95"/>
        </w:rPr>
        <w:t xml:space="preserve"> </w:t>
      </w:r>
      <w:r>
        <w:rPr>
          <w:w w:val="95"/>
        </w:rPr>
        <w:t>since</w:t>
      </w:r>
      <w:r>
        <w:rPr>
          <w:spacing w:val="-7"/>
          <w:w w:val="95"/>
        </w:rPr>
        <w:t xml:space="preserve"> </w:t>
      </w:r>
      <w:r>
        <w:rPr>
          <w:w w:val="95"/>
        </w:rPr>
        <w:t>it</w:t>
      </w:r>
      <w:r>
        <w:rPr>
          <w:spacing w:val="-7"/>
          <w:w w:val="95"/>
        </w:rPr>
        <w:t xml:space="preserve"> </w:t>
      </w:r>
      <w:r>
        <w:rPr>
          <w:w w:val="95"/>
        </w:rPr>
        <w:t>does</w:t>
      </w:r>
      <w:r>
        <w:rPr>
          <w:spacing w:val="-7"/>
          <w:w w:val="95"/>
        </w:rPr>
        <w:t xml:space="preserve"> </w:t>
      </w:r>
      <w:r>
        <w:rPr>
          <w:w w:val="95"/>
        </w:rPr>
        <w:t>not</w:t>
      </w:r>
      <w:r>
        <w:rPr>
          <w:spacing w:val="-7"/>
          <w:w w:val="95"/>
        </w:rPr>
        <w:t xml:space="preserve"> </w:t>
      </w:r>
      <w:r>
        <w:rPr>
          <w:w w:val="95"/>
        </w:rPr>
        <w:t>indicate</w:t>
      </w:r>
      <w:r>
        <w:rPr>
          <w:spacing w:val="-7"/>
          <w:w w:val="95"/>
        </w:rPr>
        <w:t xml:space="preserve"> </w:t>
      </w:r>
      <w:r>
        <w:rPr>
          <w:w w:val="95"/>
        </w:rPr>
        <w:t xml:space="preserve">the </w:t>
      </w:r>
      <w:r>
        <w:t>peakiness</w:t>
      </w:r>
      <w:r>
        <w:rPr>
          <w:spacing w:val="-13"/>
        </w:rPr>
        <w:t xml:space="preserve"> </w:t>
      </w:r>
      <w:r>
        <w:t>of</w:t>
      </w:r>
      <w:r>
        <w:rPr>
          <w:spacing w:val="-13"/>
        </w:rPr>
        <w:t xml:space="preserve"> </w:t>
      </w:r>
      <w:r>
        <w:t>demand,</w:t>
      </w:r>
      <w:r>
        <w:rPr>
          <w:spacing w:val="-13"/>
        </w:rPr>
        <w:t xml:space="preserve"> </w:t>
      </w:r>
      <w:r>
        <w:t>nor</w:t>
      </w:r>
      <w:r>
        <w:rPr>
          <w:spacing w:val="-13"/>
        </w:rPr>
        <w:t xml:space="preserve"> </w:t>
      </w:r>
      <w:r>
        <w:t>does</w:t>
      </w:r>
      <w:r>
        <w:rPr>
          <w:spacing w:val="-13"/>
        </w:rPr>
        <w:t xml:space="preserve"> </w:t>
      </w:r>
      <w:r>
        <w:t>it</w:t>
      </w:r>
      <w:r>
        <w:rPr>
          <w:spacing w:val="-13"/>
        </w:rPr>
        <w:t xml:space="preserve"> </w:t>
      </w:r>
      <w:r>
        <w:t>provide</w:t>
      </w:r>
      <w:r>
        <w:rPr>
          <w:spacing w:val="-13"/>
        </w:rPr>
        <w:t xml:space="preserve"> </w:t>
      </w:r>
      <w:r>
        <w:t>a</w:t>
      </w:r>
      <w:r>
        <w:rPr>
          <w:spacing w:val="-13"/>
        </w:rPr>
        <w:t xml:space="preserve"> </w:t>
      </w:r>
      <w:r>
        <w:t>measure of</w:t>
      </w:r>
      <w:r>
        <w:rPr>
          <w:spacing w:val="-11"/>
        </w:rPr>
        <w:t xml:space="preserve"> </w:t>
      </w:r>
      <w:r>
        <w:t>congestion.</w:t>
      </w:r>
    </w:p>
    <w:p w:rsidR="002C1123" w:rsidRDefault="00F22F94">
      <w:pPr>
        <w:pStyle w:val="BodyText"/>
        <w:spacing w:before="144" w:line="249" w:lineRule="auto"/>
        <w:ind w:left="196"/>
      </w:pPr>
      <w:r>
        <w:t>Table</w:t>
      </w:r>
      <w:r>
        <w:rPr>
          <w:spacing w:val="-12"/>
        </w:rPr>
        <w:t xml:space="preserve"> </w:t>
      </w:r>
      <w:r>
        <w:t>6.2</w:t>
      </w:r>
      <w:r>
        <w:rPr>
          <w:spacing w:val="-12"/>
        </w:rPr>
        <w:t xml:space="preserve"> </w:t>
      </w:r>
      <w:r>
        <w:t>shows</w:t>
      </w:r>
      <w:r>
        <w:rPr>
          <w:spacing w:val="-12"/>
        </w:rPr>
        <w:t xml:space="preserve"> </w:t>
      </w:r>
      <w:r>
        <w:t>the</w:t>
      </w:r>
      <w:r>
        <w:rPr>
          <w:spacing w:val="-12"/>
        </w:rPr>
        <w:t xml:space="preserve"> </w:t>
      </w:r>
      <w:r>
        <w:t>periods</w:t>
      </w:r>
      <w:r>
        <w:rPr>
          <w:spacing w:val="-12"/>
        </w:rPr>
        <w:t xml:space="preserve"> </w:t>
      </w:r>
      <w:r>
        <w:t>of</w:t>
      </w:r>
      <w:r>
        <w:rPr>
          <w:spacing w:val="-12"/>
        </w:rPr>
        <w:t xml:space="preserve"> </w:t>
      </w:r>
      <w:r>
        <w:t>congestion</w:t>
      </w:r>
      <w:r>
        <w:rPr>
          <w:spacing w:val="-12"/>
        </w:rPr>
        <w:t xml:space="preserve"> </w:t>
      </w:r>
      <w:r>
        <w:t xml:space="preserve">(traffic </w:t>
      </w:r>
      <w:r>
        <w:rPr>
          <w:w w:val="95"/>
        </w:rPr>
        <w:t>travelling</w:t>
      </w:r>
      <w:r>
        <w:rPr>
          <w:spacing w:val="-4"/>
          <w:w w:val="95"/>
        </w:rPr>
        <w:t xml:space="preserve"> </w:t>
      </w:r>
      <w:r>
        <w:rPr>
          <w:w w:val="95"/>
        </w:rPr>
        <w:t>at</w:t>
      </w:r>
      <w:r>
        <w:rPr>
          <w:spacing w:val="-4"/>
          <w:w w:val="95"/>
        </w:rPr>
        <w:t xml:space="preserve"> </w:t>
      </w:r>
      <w:r>
        <w:rPr>
          <w:w w:val="95"/>
        </w:rPr>
        <w:t>lower</w:t>
      </w:r>
      <w:r>
        <w:rPr>
          <w:spacing w:val="-4"/>
          <w:w w:val="95"/>
        </w:rPr>
        <w:t xml:space="preserve"> </w:t>
      </w:r>
      <w:r>
        <w:rPr>
          <w:w w:val="95"/>
        </w:rPr>
        <w:t>than</w:t>
      </w:r>
      <w:r>
        <w:rPr>
          <w:spacing w:val="-4"/>
          <w:w w:val="95"/>
        </w:rPr>
        <w:t xml:space="preserve"> </w:t>
      </w:r>
      <w:r>
        <w:rPr>
          <w:w w:val="95"/>
        </w:rPr>
        <w:t>‘design</w:t>
      </w:r>
      <w:r>
        <w:rPr>
          <w:spacing w:val="-4"/>
          <w:w w:val="95"/>
        </w:rPr>
        <w:t xml:space="preserve"> </w:t>
      </w:r>
      <w:r>
        <w:rPr>
          <w:w w:val="95"/>
        </w:rPr>
        <w:t>speed’</w:t>
      </w:r>
      <w:r>
        <w:rPr>
          <w:spacing w:val="-4"/>
          <w:w w:val="95"/>
        </w:rPr>
        <w:t xml:space="preserve"> </w:t>
      </w:r>
      <w:r>
        <w:rPr>
          <w:w w:val="95"/>
        </w:rPr>
        <w:t>and</w:t>
      </w:r>
      <w:r>
        <w:rPr>
          <w:spacing w:val="-4"/>
          <w:w w:val="95"/>
        </w:rPr>
        <w:t xml:space="preserve"> </w:t>
      </w:r>
      <w:r>
        <w:rPr>
          <w:w w:val="95"/>
        </w:rPr>
        <w:t xml:space="preserve">experiencing </w:t>
      </w:r>
      <w:r>
        <w:t>periods</w:t>
      </w:r>
      <w:r>
        <w:rPr>
          <w:spacing w:val="-11"/>
        </w:rPr>
        <w:t xml:space="preserve"> </w:t>
      </w:r>
      <w:r>
        <w:t>of</w:t>
      </w:r>
      <w:r>
        <w:rPr>
          <w:spacing w:val="-11"/>
        </w:rPr>
        <w:t xml:space="preserve"> </w:t>
      </w:r>
      <w:r>
        <w:t>queuing)</w:t>
      </w:r>
      <w:r>
        <w:rPr>
          <w:spacing w:val="-11"/>
        </w:rPr>
        <w:t xml:space="preserve"> </w:t>
      </w:r>
      <w:r>
        <w:t>currently</w:t>
      </w:r>
      <w:r>
        <w:rPr>
          <w:spacing w:val="-11"/>
        </w:rPr>
        <w:t xml:space="preserve"> </w:t>
      </w:r>
      <w:r>
        <w:t>experienced</w:t>
      </w:r>
      <w:r>
        <w:rPr>
          <w:spacing w:val="-11"/>
        </w:rPr>
        <w:t xml:space="preserve"> </w:t>
      </w:r>
      <w:r>
        <w:t>on</w:t>
      </w:r>
      <w:r>
        <w:rPr>
          <w:spacing w:val="-11"/>
        </w:rPr>
        <w:t xml:space="preserve"> </w:t>
      </w:r>
      <w:r>
        <w:t>some major</w:t>
      </w:r>
      <w:r>
        <w:rPr>
          <w:spacing w:val="-11"/>
        </w:rPr>
        <w:t xml:space="preserve"> </w:t>
      </w:r>
      <w:r>
        <w:t>corridors.</w:t>
      </w:r>
    </w:p>
    <w:p w:rsidR="002C1123" w:rsidRDefault="00F22F94">
      <w:pPr>
        <w:spacing w:before="110"/>
        <w:ind w:left="326"/>
        <w:jc w:val="both"/>
        <w:rPr>
          <w:b/>
          <w:sz w:val="18"/>
        </w:rPr>
      </w:pPr>
      <w:r>
        <w:br w:type="column"/>
      </w:r>
      <w:r>
        <w:rPr>
          <w:b/>
          <w:sz w:val="18"/>
        </w:rPr>
        <w:t>Table</w:t>
      </w:r>
      <w:r>
        <w:rPr>
          <w:b/>
          <w:spacing w:val="-19"/>
          <w:sz w:val="18"/>
        </w:rPr>
        <w:t xml:space="preserve"> </w:t>
      </w:r>
      <w:r>
        <w:rPr>
          <w:b/>
          <w:sz w:val="18"/>
        </w:rPr>
        <w:t>6.2</w:t>
      </w:r>
      <w:r>
        <w:rPr>
          <w:b/>
          <w:spacing w:val="39"/>
          <w:sz w:val="18"/>
        </w:rPr>
        <w:t xml:space="preserve"> </w:t>
      </w:r>
      <w:r>
        <w:rPr>
          <w:b/>
          <w:sz w:val="18"/>
        </w:rPr>
        <w:t>Periods</w:t>
      </w:r>
      <w:r>
        <w:rPr>
          <w:b/>
          <w:spacing w:val="-19"/>
          <w:sz w:val="18"/>
        </w:rPr>
        <w:t xml:space="preserve"> </w:t>
      </w:r>
      <w:r>
        <w:rPr>
          <w:b/>
          <w:sz w:val="18"/>
        </w:rPr>
        <w:t>of</w:t>
      </w:r>
      <w:r>
        <w:rPr>
          <w:b/>
          <w:spacing w:val="-19"/>
          <w:sz w:val="18"/>
        </w:rPr>
        <w:t xml:space="preserve"> </w:t>
      </w:r>
      <w:r>
        <w:rPr>
          <w:b/>
          <w:spacing w:val="-2"/>
          <w:sz w:val="18"/>
        </w:rPr>
        <w:t>Congestion</w:t>
      </w:r>
    </w:p>
    <w:p w:rsidR="002C1123" w:rsidRDefault="00F22F94">
      <w:pPr>
        <w:tabs>
          <w:tab w:val="left" w:pos="2933"/>
        </w:tabs>
        <w:spacing w:before="110"/>
        <w:ind w:left="429"/>
        <w:rPr>
          <w:b/>
          <w:sz w:val="16"/>
        </w:rPr>
      </w:pPr>
      <w:r>
        <w:rPr>
          <w:b/>
          <w:color w:val="2E3092"/>
          <w:spacing w:val="-2"/>
          <w:sz w:val="16"/>
        </w:rPr>
        <w:t>Motorway</w:t>
      </w:r>
      <w:r>
        <w:rPr>
          <w:b/>
          <w:color w:val="2E3092"/>
          <w:sz w:val="16"/>
        </w:rPr>
        <w:tab/>
      </w:r>
      <w:r>
        <w:rPr>
          <w:b/>
          <w:color w:val="2E3092"/>
          <w:spacing w:val="-2"/>
          <w:sz w:val="16"/>
        </w:rPr>
        <w:t>Hours</w:t>
      </w:r>
      <w:r>
        <w:rPr>
          <w:b/>
          <w:color w:val="2E3092"/>
          <w:spacing w:val="-5"/>
          <w:sz w:val="16"/>
        </w:rPr>
        <w:t xml:space="preserve"> </w:t>
      </w:r>
      <w:r>
        <w:rPr>
          <w:b/>
          <w:color w:val="2E3092"/>
          <w:spacing w:val="-2"/>
          <w:sz w:val="16"/>
        </w:rPr>
        <w:t>of</w:t>
      </w:r>
      <w:r>
        <w:rPr>
          <w:b/>
          <w:color w:val="2E3092"/>
          <w:spacing w:val="-4"/>
          <w:sz w:val="16"/>
        </w:rPr>
        <w:t xml:space="preserve"> </w:t>
      </w:r>
      <w:r>
        <w:rPr>
          <w:b/>
          <w:color w:val="2E3092"/>
          <w:spacing w:val="-2"/>
          <w:sz w:val="16"/>
        </w:rPr>
        <w:t>Congestion</w:t>
      </w:r>
    </w:p>
    <w:tbl>
      <w:tblPr>
        <w:tblW w:w="0" w:type="auto"/>
        <w:tblInd w:w="3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503"/>
        <w:gridCol w:w="2286"/>
      </w:tblGrid>
      <w:tr w:rsidR="002C1123">
        <w:trPr>
          <w:trHeight w:val="321"/>
        </w:trPr>
        <w:tc>
          <w:tcPr>
            <w:tcW w:w="2503" w:type="dxa"/>
            <w:shd w:val="clear" w:color="auto" w:fill="C9C8C9"/>
          </w:tcPr>
          <w:p w:rsidR="002C1123" w:rsidRDefault="00F22F94">
            <w:pPr>
              <w:pStyle w:val="TableParagraph"/>
              <w:rPr>
                <w:sz w:val="16"/>
              </w:rPr>
            </w:pPr>
            <w:r w:rsidRPr="00F22F94">
              <w:rPr>
                <w:sz w:val="16"/>
                <w:highlight w:val="yellow"/>
              </w:rPr>
              <w:t>Sydney</w:t>
            </w:r>
            <w:r w:rsidRPr="00F22F94">
              <w:rPr>
                <w:spacing w:val="1"/>
                <w:sz w:val="16"/>
                <w:highlight w:val="yellow"/>
              </w:rPr>
              <w:t xml:space="preserve"> </w:t>
            </w:r>
            <w:r w:rsidRPr="00F22F94">
              <w:rPr>
                <w:sz w:val="16"/>
                <w:highlight w:val="yellow"/>
              </w:rPr>
              <w:t>Harbour</w:t>
            </w:r>
            <w:r w:rsidRPr="00F22F94">
              <w:rPr>
                <w:spacing w:val="2"/>
                <w:sz w:val="16"/>
                <w:highlight w:val="yellow"/>
              </w:rPr>
              <w:t xml:space="preserve"> </w:t>
            </w:r>
            <w:r w:rsidRPr="00F22F94">
              <w:rPr>
                <w:spacing w:val="-2"/>
                <w:sz w:val="16"/>
                <w:highlight w:val="yellow"/>
              </w:rPr>
              <w:t>Tunnel</w:t>
            </w:r>
          </w:p>
        </w:tc>
        <w:tc>
          <w:tcPr>
            <w:tcW w:w="2286" w:type="dxa"/>
            <w:shd w:val="clear" w:color="auto" w:fill="E1E0E1"/>
          </w:tcPr>
          <w:p w:rsidR="002C1123" w:rsidRDefault="00F22F94">
            <w:pPr>
              <w:pStyle w:val="TableParagraph"/>
              <w:rPr>
                <w:sz w:val="16"/>
              </w:rPr>
            </w:pPr>
            <w:r>
              <w:rPr>
                <w:spacing w:val="-5"/>
                <w:sz w:val="16"/>
              </w:rPr>
              <w:t>8.6</w:t>
            </w:r>
          </w:p>
        </w:tc>
      </w:tr>
      <w:tr w:rsidR="002C1123">
        <w:trPr>
          <w:trHeight w:val="321"/>
        </w:trPr>
        <w:tc>
          <w:tcPr>
            <w:tcW w:w="2503" w:type="dxa"/>
            <w:shd w:val="clear" w:color="auto" w:fill="C9C8C9"/>
          </w:tcPr>
          <w:p w:rsidR="002C1123" w:rsidRDefault="00F22F94">
            <w:pPr>
              <w:pStyle w:val="TableParagraph"/>
              <w:rPr>
                <w:sz w:val="16"/>
              </w:rPr>
            </w:pPr>
            <w:r>
              <w:rPr>
                <w:spacing w:val="-5"/>
                <w:w w:val="105"/>
                <w:sz w:val="16"/>
              </w:rPr>
              <w:t>M2</w:t>
            </w:r>
          </w:p>
        </w:tc>
        <w:tc>
          <w:tcPr>
            <w:tcW w:w="2286" w:type="dxa"/>
            <w:shd w:val="clear" w:color="auto" w:fill="E1E0E1"/>
          </w:tcPr>
          <w:p w:rsidR="002C1123" w:rsidRDefault="00F22F94">
            <w:pPr>
              <w:pStyle w:val="TableParagraph"/>
              <w:rPr>
                <w:sz w:val="16"/>
              </w:rPr>
            </w:pPr>
            <w:r>
              <w:rPr>
                <w:spacing w:val="-5"/>
                <w:sz w:val="16"/>
              </w:rPr>
              <w:t>9.9</w:t>
            </w:r>
          </w:p>
        </w:tc>
      </w:tr>
      <w:tr w:rsidR="002C1123">
        <w:trPr>
          <w:trHeight w:val="321"/>
        </w:trPr>
        <w:tc>
          <w:tcPr>
            <w:tcW w:w="2503" w:type="dxa"/>
            <w:shd w:val="clear" w:color="auto" w:fill="C9C8C9"/>
          </w:tcPr>
          <w:p w:rsidR="002C1123" w:rsidRDefault="00F22F94">
            <w:pPr>
              <w:pStyle w:val="TableParagraph"/>
              <w:rPr>
                <w:sz w:val="16"/>
              </w:rPr>
            </w:pPr>
            <w:r>
              <w:rPr>
                <w:spacing w:val="-5"/>
                <w:w w:val="105"/>
                <w:sz w:val="16"/>
              </w:rPr>
              <w:t>M5</w:t>
            </w:r>
          </w:p>
        </w:tc>
        <w:tc>
          <w:tcPr>
            <w:tcW w:w="2286" w:type="dxa"/>
            <w:shd w:val="clear" w:color="auto" w:fill="E1E0E1"/>
          </w:tcPr>
          <w:p w:rsidR="002C1123" w:rsidRDefault="00F22F94">
            <w:pPr>
              <w:pStyle w:val="TableParagraph"/>
              <w:rPr>
                <w:sz w:val="16"/>
              </w:rPr>
            </w:pPr>
            <w:r>
              <w:rPr>
                <w:spacing w:val="-5"/>
                <w:sz w:val="16"/>
              </w:rPr>
              <w:t>10</w:t>
            </w:r>
          </w:p>
        </w:tc>
      </w:tr>
      <w:tr w:rsidR="002C1123">
        <w:trPr>
          <w:trHeight w:val="321"/>
        </w:trPr>
        <w:tc>
          <w:tcPr>
            <w:tcW w:w="2503" w:type="dxa"/>
            <w:shd w:val="clear" w:color="auto" w:fill="C9C8C9"/>
          </w:tcPr>
          <w:p w:rsidR="002C1123" w:rsidRDefault="00F22F94">
            <w:pPr>
              <w:pStyle w:val="TableParagraph"/>
              <w:rPr>
                <w:sz w:val="16"/>
              </w:rPr>
            </w:pPr>
            <w:r>
              <w:rPr>
                <w:spacing w:val="-5"/>
                <w:w w:val="105"/>
                <w:sz w:val="16"/>
              </w:rPr>
              <w:t>M4</w:t>
            </w:r>
          </w:p>
        </w:tc>
        <w:tc>
          <w:tcPr>
            <w:tcW w:w="2286" w:type="dxa"/>
            <w:shd w:val="clear" w:color="auto" w:fill="E1E0E1"/>
          </w:tcPr>
          <w:p w:rsidR="002C1123" w:rsidRDefault="00F22F94">
            <w:pPr>
              <w:pStyle w:val="TableParagraph"/>
              <w:rPr>
                <w:sz w:val="16"/>
              </w:rPr>
            </w:pPr>
            <w:r>
              <w:rPr>
                <w:spacing w:val="-5"/>
                <w:sz w:val="16"/>
              </w:rPr>
              <w:t>13</w:t>
            </w:r>
          </w:p>
        </w:tc>
      </w:tr>
      <w:tr w:rsidR="002C1123">
        <w:trPr>
          <w:trHeight w:val="321"/>
        </w:trPr>
        <w:tc>
          <w:tcPr>
            <w:tcW w:w="2503" w:type="dxa"/>
            <w:shd w:val="clear" w:color="auto" w:fill="C9C8C9"/>
          </w:tcPr>
          <w:p w:rsidR="002C1123" w:rsidRDefault="00F22F94">
            <w:pPr>
              <w:pStyle w:val="TableParagraph"/>
              <w:rPr>
                <w:sz w:val="16"/>
              </w:rPr>
            </w:pPr>
            <w:r>
              <w:rPr>
                <w:w w:val="105"/>
                <w:sz w:val="16"/>
              </w:rPr>
              <w:t>M5</w:t>
            </w:r>
            <w:r>
              <w:rPr>
                <w:spacing w:val="-11"/>
                <w:w w:val="105"/>
                <w:sz w:val="16"/>
              </w:rPr>
              <w:t xml:space="preserve"> </w:t>
            </w:r>
            <w:r>
              <w:rPr>
                <w:spacing w:val="-4"/>
                <w:w w:val="105"/>
                <w:sz w:val="16"/>
              </w:rPr>
              <w:t>East</w:t>
            </w:r>
          </w:p>
        </w:tc>
        <w:tc>
          <w:tcPr>
            <w:tcW w:w="2286" w:type="dxa"/>
            <w:shd w:val="clear" w:color="auto" w:fill="E1E0E1"/>
          </w:tcPr>
          <w:p w:rsidR="002C1123" w:rsidRDefault="00F22F94">
            <w:pPr>
              <w:pStyle w:val="TableParagraph"/>
              <w:rPr>
                <w:sz w:val="16"/>
              </w:rPr>
            </w:pPr>
            <w:r>
              <w:rPr>
                <w:spacing w:val="-4"/>
                <w:sz w:val="16"/>
              </w:rPr>
              <w:t>13.3</w:t>
            </w:r>
          </w:p>
        </w:tc>
      </w:tr>
      <w:tr w:rsidR="002C1123">
        <w:trPr>
          <w:trHeight w:val="321"/>
        </w:trPr>
        <w:tc>
          <w:tcPr>
            <w:tcW w:w="2503" w:type="dxa"/>
            <w:shd w:val="clear" w:color="auto" w:fill="C9C8C9"/>
          </w:tcPr>
          <w:p w:rsidR="002C1123" w:rsidRDefault="00F22F94">
            <w:pPr>
              <w:pStyle w:val="TableParagraph"/>
              <w:rPr>
                <w:sz w:val="16"/>
              </w:rPr>
            </w:pPr>
            <w:r>
              <w:rPr>
                <w:sz w:val="16"/>
              </w:rPr>
              <w:t>Eastern</w:t>
            </w:r>
            <w:r>
              <w:rPr>
                <w:spacing w:val="-6"/>
                <w:sz w:val="16"/>
              </w:rPr>
              <w:t xml:space="preserve"> </w:t>
            </w:r>
            <w:r>
              <w:rPr>
                <w:spacing w:val="-2"/>
                <w:sz w:val="16"/>
              </w:rPr>
              <w:t>Distributor</w:t>
            </w:r>
          </w:p>
        </w:tc>
        <w:tc>
          <w:tcPr>
            <w:tcW w:w="2286" w:type="dxa"/>
            <w:shd w:val="clear" w:color="auto" w:fill="E1E0E1"/>
          </w:tcPr>
          <w:p w:rsidR="002C1123" w:rsidRDefault="00F22F94">
            <w:pPr>
              <w:pStyle w:val="TableParagraph"/>
              <w:rPr>
                <w:sz w:val="16"/>
              </w:rPr>
            </w:pPr>
            <w:r>
              <w:rPr>
                <w:spacing w:val="-4"/>
                <w:sz w:val="16"/>
              </w:rPr>
              <w:t>13.5</w:t>
            </w:r>
          </w:p>
        </w:tc>
      </w:tr>
    </w:tbl>
    <w:p w:rsidR="002C1123" w:rsidRDefault="00F22F94">
      <w:pPr>
        <w:spacing w:before="28"/>
        <w:ind w:left="316"/>
        <w:jc w:val="both"/>
        <w:rPr>
          <w:sz w:val="14"/>
        </w:rPr>
      </w:pPr>
      <w:r>
        <w:rPr>
          <w:w w:val="95"/>
          <w:sz w:val="14"/>
        </w:rPr>
        <w:t>Source:</w:t>
      </w:r>
      <w:r>
        <w:rPr>
          <w:spacing w:val="6"/>
          <w:sz w:val="14"/>
        </w:rPr>
        <w:t xml:space="preserve"> </w:t>
      </w:r>
      <w:r>
        <w:rPr>
          <w:w w:val="95"/>
          <w:sz w:val="14"/>
        </w:rPr>
        <w:t>Ernst</w:t>
      </w:r>
      <w:r>
        <w:rPr>
          <w:spacing w:val="6"/>
          <w:sz w:val="14"/>
        </w:rPr>
        <w:t xml:space="preserve"> </w:t>
      </w:r>
      <w:r>
        <w:rPr>
          <w:w w:val="95"/>
          <w:sz w:val="14"/>
        </w:rPr>
        <w:t>&amp;</w:t>
      </w:r>
      <w:r>
        <w:rPr>
          <w:spacing w:val="6"/>
          <w:sz w:val="14"/>
        </w:rPr>
        <w:t xml:space="preserve"> </w:t>
      </w:r>
      <w:r>
        <w:rPr>
          <w:spacing w:val="-2"/>
          <w:w w:val="95"/>
          <w:sz w:val="14"/>
        </w:rPr>
        <w:t>Young.</w:t>
      </w:r>
    </w:p>
    <w:p w:rsidR="002C1123" w:rsidRDefault="002C1123">
      <w:pPr>
        <w:pStyle w:val="BodyText"/>
        <w:spacing w:before="3"/>
        <w:rPr>
          <w:sz w:val="14"/>
        </w:rPr>
      </w:pPr>
    </w:p>
    <w:p w:rsidR="002C1123" w:rsidRDefault="00F22F94">
      <w:pPr>
        <w:pStyle w:val="BodyText"/>
        <w:spacing w:line="249" w:lineRule="auto"/>
        <w:ind w:left="306" w:right="722"/>
        <w:jc w:val="both"/>
      </w:pPr>
      <w:r>
        <w:rPr>
          <w:w w:val="95"/>
        </w:rPr>
        <w:t>Importantly,</w:t>
      </w:r>
      <w:r>
        <w:rPr>
          <w:spacing w:val="-10"/>
          <w:w w:val="95"/>
        </w:rPr>
        <w:t xml:space="preserve"> </w:t>
      </w:r>
      <w:r>
        <w:rPr>
          <w:w w:val="95"/>
        </w:rPr>
        <w:t>congestion</w:t>
      </w:r>
      <w:r>
        <w:rPr>
          <w:spacing w:val="-10"/>
          <w:w w:val="95"/>
        </w:rPr>
        <w:t xml:space="preserve"> </w:t>
      </w:r>
      <w:r>
        <w:rPr>
          <w:w w:val="95"/>
        </w:rPr>
        <w:t>on</w:t>
      </w:r>
      <w:r>
        <w:rPr>
          <w:spacing w:val="-10"/>
          <w:w w:val="95"/>
        </w:rPr>
        <w:t xml:space="preserve"> </w:t>
      </w:r>
      <w:r>
        <w:rPr>
          <w:w w:val="95"/>
        </w:rPr>
        <w:t>roads</w:t>
      </w:r>
      <w:r>
        <w:rPr>
          <w:spacing w:val="-10"/>
          <w:w w:val="95"/>
        </w:rPr>
        <w:t xml:space="preserve"> </w:t>
      </w:r>
      <w:r>
        <w:rPr>
          <w:w w:val="95"/>
        </w:rPr>
        <w:t>such</w:t>
      </w:r>
      <w:r>
        <w:rPr>
          <w:spacing w:val="-10"/>
          <w:w w:val="95"/>
        </w:rPr>
        <w:t xml:space="preserve"> </w:t>
      </w:r>
      <w:r>
        <w:rPr>
          <w:w w:val="95"/>
        </w:rPr>
        <w:t>as</w:t>
      </w:r>
      <w:r>
        <w:rPr>
          <w:spacing w:val="-10"/>
          <w:w w:val="95"/>
        </w:rPr>
        <w:t xml:space="preserve"> </w:t>
      </w:r>
      <w:r>
        <w:rPr>
          <w:w w:val="95"/>
        </w:rPr>
        <w:t>the</w:t>
      </w:r>
      <w:r>
        <w:rPr>
          <w:spacing w:val="-10"/>
          <w:w w:val="95"/>
        </w:rPr>
        <w:t xml:space="preserve"> </w:t>
      </w:r>
      <w:r>
        <w:rPr>
          <w:w w:val="95"/>
        </w:rPr>
        <w:t>M4,</w:t>
      </w:r>
      <w:r>
        <w:rPr>
          <w:spacing w:val="-10"/>
          <w:w w:val="95"/>
        </w:rPr>
        <w:t xml:space="preserve"> </w:t>
      </w:r>
      <w:r>
        <w:rPr>
          <w:w w:val="95"/>
        </w:rPr>
        <w:t>M5</w:t>
      </w:r>
      <w:r>
        <w:rPr>
          <w:spacing w:val="-10"/>
          <w:w w:val="95"/>
        </w:rPr>
        <w:t xml:space="preserve"> </w:t>
      </w:r>
      <w:r>
        <w:rPr>
          <w:w w:val="95"/>
        </w:rPr>
        <w:t>and Eastern</w:t>
      </w:r>
      <w:r>
        <w:rPr>
          <w:spacing w:val="-12"/>
          <w:w w:val="95"/>
        </w:rPr>
        <w:t xml:space="preserve"> </w:t>
      </w:r>
      <w:r>
        <w:rPr>
          <w:w w:val="95"/>
        </w:rPr>
        <w:t>Distributor</w:t>
      </w:r>
      <w:r>
        <w:rPr>
          <w:spacing w:val="-11"/>
          <w:w w:val="95"/>
        </w:rPr>
        <w:t xml:space="preserve"> </w:t>
      </w:r>
      <w:r>
        <w:rPr>
          <w:w w:val="95"/>
        </w:rPr>
        <w:t>is</w:t>
      </w:r>
      <w:r>
        <w:rPr>
          <w:spacing w:val="-11"/>
          <w:w w:val="95"/>
        </w:rPr>
        <w:t xml:space="preserve"> </w:t>
      </w:r>
      <w:r>
        <w:rPr>
          <w:w w:val="95"/>
        </w:rPr>
        <w:t>no</w:t>
      </w:r>
      <w:r>
        <w:rPr>
          <w:spacing w:val="-11"/>
          <w:w w:val="95"/>
        </w:rPr>
        <w:t xml:space="preserve"> </w:t>
      </w:r>
      <w:r>
        <w:rPr>
          <w:w w:val="95"/>
        </w:rPr>
        <w:t>longer</w:t>
      </w:r>
      <w:r>
        <w:rPr>
          <w:spacing w:val="-11"/>
          <w:w w:val="95"/>
        </w:rPr>
        <w:t xml:space="preserve"> </w:t>
      </w:r>
      <w:r>
        <w:rPr>
          <w:w w:val="95"/>
        </w:rPr>
        <w:t>a</w:t>
      </w:r>
      <w:r>
        <w:rPr>
          <w:spacing w:val="-11"/>
          <w:w w:val="95"/>
        </w:rPr>
        <w:t xml:space="preserve"> </w:t>
      </w:r>
      <w:r>
        <w:rPr>
          <w:w w:val="95"/>
        </w:rPr>
        <w:t>peak-only</w:t>
      </w:r>
      <w:r>
        <w:rPr>
          <w:spacing w:val="-11"/>
          <w:w w:val="95"/>
        </w:rPr>
        <w:t xml:space="preserve"> </w:t>
      </w:r>
      <w:r>
        <w:rPr>
          <w:w w:val="95"/>
        </w:rPr>
        <w:t>phenomenon, but</w:t>
      </w:r>
      <w:r>
        <w:rPr>
          <w:spacing w:val="-12"/>
          <w:w w:val="95"/>
        </w:rPr>
        <w:t xml:space="preserve"> </w:t>
      </w:r>
      <w:r>
        <w:rPr>
          <w:w w:val="95"/>
        </w:rPr>
        <w:t>is</w:t>
      </w:r>
      <w:r>
        <w:rPr>
          <w:spacing w:val="-11"/>
          <w:w w:val="95"/>
        </w:rPr>
        <w:t xml:space="preserve"> </w:t>
      </w:r>
      <w:r>
        <w:rPr>
          <w:w w:val="95"/>
        </w:rPr>
        <w:t>sustained</w:t>
      </w:r>
      <w:r>
        <w:rPr>
          <w:spacing w:val="-11"/>
          <w:w w:val="95"/>
        </w:rPr>
        <w:t xml:space="preserve"> </w:t>
      </w:r>
      <w:r>
        <w:rPr>
          <w:w w:val="95"/>
        </w:rPr>
        <w:t>for</w:t>
      </w:r>
      <w:r>
        <w:rPr>
          <w:spacing w:val="-11"/>
          <w:w w:val="95"/>
        </w:rPr>
        <w:t xml:space="preserve"> </w:t>
      </w:r>
      <w:r>
        <w:rPr>
          <w:w w:val="95"/>
        </w:rPr>
        <w:t>much</w:t>
      </w:r>
      <w:r>
        <w:rPr>
          <w:spacing w:val="-11"/>
          <w:w w:val="95"/>
        </w:rPr>
        <w:t xml:space="preserve"> </w:t>
      </w:r>
      <w:r>
        <w:rPr>
          <w:w w:val="95"/>
        </w:rPr>
        <w:t>of</w:t>
      </w:r>
      <w:r>
        <w:rPr>
          <w:spacing w:val="-11"/>
          <w:w w:val="95"/>
        </w:rPr>
        <w:t xml:space="preserve"> </w:t>
      </w:r>
      <w:r>
        <w:rPr>
          <w:w w:val="95"/>
        </w:rPr>
        <w:t>the</w:t>
      </w:r>
      <w:r>
        <w:rPr>
          <w:spacing w:val="-11"/>
          <w:w w:val="95"/>
        </w:rPr>
        <w:t xml:space="preserve"> </w:t>
      </w:r>
      <w:r>
        <w:rPr>
          <w:w w:val="95"/>
        </w:rPr>
        <w:t>day.</w:t>
      </w:r>
      <w:r>
        <w:rPr>
          <w:spacing w:val="-11"/>
          <w:w w:val="95"/>
        </w:rPr>
        <w:t xml:space="preserve"> </w:t>
      </w:r>
      <w:r>
        <w:rPr>
          <w:w w:val="95"/>
        </w:rPr>
        <w:t>The</w:t>
      </w:r>
      <w:r>
        <w:rPr>
          <w:spacing w:val="-12"/>
          <w:w w:val="95"/>
        </w:rPr>
        <w:t xml:space="preserve"> </w:t>
      </w:r>
      <w:r>
        <w:rPr>
          <w:w w:val="95"/>
        </w:rPr>
        <w:t>morning</w:t>
      </w:r>
      <w:r>
        <w:rPr>
          <w:spacing w:val="-11"/>
          <w:w w:val="95"/>
        </w:rPr>
        <w:t xml:space="preserve"> </w:t>
      </w:r>
      <w:r>
        <w:rPr>
          <w:w w:val="95"/>
        </w:rPr>
        <w:t>peak</w:t>
      </w:r>
      <w:r>
        <w:rPr>
          <w:spacing w:val="-11"/>
          <w:w w:val="95"/>
        </w:rPr>
        <w:t xml:space="preserve"> </w:t>
      </w:r>
      <w:r>
        <w:rPr>
          <w:w w:val="95"/>
        </w:rPr>
        <w:t xml:space="preserve">on </w:t>
      </w:r>
      <w:r>
        <w:t>the</w:t>
      </w:r>
      <w:r>
        <w:rPr>
          <w:spacing w:val="-12"/>
        </w:rPr>
        <w:t xml:space="preserve"> </w:t>
      </w:r>
      <w:r>
        <w:t>M5</w:t>
      </w:r>
      <w:r>
        <w:rPr>
          <w:spacing w:val="-12"/>
        </w:rPr>
        <w:t xml:space="preserve"> </w:t>
      </w:r>
      <w:r>
        <w:t>East</w:t>
      </w:r>
      <w:r>
        <w:rPr>
          <w:spacing w:val="-12"/>
        </w:rPr>
        <w:t xml:space="preserve"> </w:t>
      </w:r>
      <w:r>
        <w:t>now</w:t>
      </w:r>
      <w:r>
        <w:rPr>
          <w:spacing w:val="-12"/>
        </w:rPr>
        <w:t xml:space="preserve"> </w:t>
      </w:r>
      <w:r>
        <w:t>starts</w:t>
      </w:r>
      <w:r>
        <w:rPr>
          <w:spacing w:val="-12"/>
        </w:rPr>
        <w:t xml:space="preserve"> </w:t>
      </w:r>
      <w:r>
        <w:t>to</w:t>
      </w:r>
      <w:r>
        <w:rPr>
          <w:spacing w:val="-12"/>
        </w:rPr>
        <w:t xml:space="preserve"> </w:t>
      </w:r>
      <w:r>
        <w:t>build</w:t>
      </w:r>
      <w:r>
        <w:rPr>
          <w:spacing w:val="-12"/>
        </w:rPr>
        <w:t xml:space="preserve"> </w:t>
      </w:r>
      <w:r>
        <w:t>from</w:t>
      </w:r>
      <w:r>
        <w:rPr>
          <w:spacing w:val="-12"/>
        </w:rPr>
        <w:t xml:space="preserve"> </w:t>
      </w:r>
      <w:r>
        <w:t>5am.</w:t>
      </w:r>
    </w:p>
    <w:p w:rsidR="002C1123" w:rsidRDefault="00F22F94">
      <w:pPr>
        <w:pStyle w:val="BodyText"/>
        <w:spacing w:before="116" w:line="249" w:lineRule="auto"/>
        <w:ind w:left="306" w:right="556"/>
      </w:pPr>
      <w:r>
        <w:t>Sustained</w:t>
      </w:r>
      <w:r>
        <w:rPr>
          <w:spacing w:val="-7"/>
        </w:rPr>
        <w:t xml:space="preserve"> </w:t>
      </w:r>
      <w:r>
        <w:t>congestion</w:t>
      </w:r>
      <w:r>
        <w:rPr>
          <w:spacing w:val="-7"/>
        </w:rPr>
        <w:t xml:space="preserve"> </w:t>
      </w:r>
      <w:r>
        <w:t>reduces</w:t>
      </w:r>
      <w:r>
        <w:rPr>
          <w:spacing w:val="-7"/>
        </w:rPr>
        <w:t xml:space="preserve"> </w:t>
      </w:r>
      <w:r>
        <w:t>the</w:t>
      </w:r>
      <w:r>
        <w:rPr>
          <w:spacing w:val="-7"/>
        </w:rPr>
        <w:t xml:space="preserve"> </w:t>
      </w:r>
      <w:r>
        <w:t>efficiency</w:t>
      </w:r>
      <w:r>
        <w:rPr>
          <w:spacing w:val="-7"/>
        </w:rPr>
        <w:t xml:space="preserve"> </w:t>
      </w:r>
      <w:r>
        <w:t>of commuter</w:t>
      </w:r>
      <w:r>
        <w:rPr>
          <w:spacing w:val="-10"/>
        </w:rPr>
        <w:t xml:space="preserve"> </w:t>
      </w:r>
      <w:r>
        <w:t>journeys,</w:t>
      </w:r>
      <w:r>
        <w:rPr>
          <w:spacing w:val="-10"/>
        </w:rPr>
        <w:t xml:space="preserve"> </w:t>
      </w:r>
      <w:r>
        <w:t>freight</w:t>
      </w:r>
      <w:r>
        <w:rPr>
          <w:spacing w:val="-10"/>
        </w:rPr>
        <w:t xml:space="preserve"> </w:t>
      </w:r>
      <w:r>
        <w:t>movements</w:t>
      </w:r>
      <w:r>
        <w:rPr>
          <w:spacing w:val="-10"/>
        </w:rPr>
        <w:t xml:space="preserve"> </w:t>
      </w:r>
      <w:r>
        <w:t>and</w:t>
      </w:r>
      <w:r>
        <w:rPr>
          <w:spacing w:val="-10"/>
        </w:rPr>
        <w:t xml:space="preserve"> </w:t>
      </w:r>
      <w:r>
        <w:t xml:space="preserve">business </w:t>
      </w:r>
      <w:r>
        <w:rPr>
          <w:w w:val="95"/>
        </w:rPr>
        <w:t xml:space="preserve">travel, hindering economic growth and affecting people’s </w:t>
      </w:r>
      <w:r>
        <w:t>quality of life.</w:t>
      </w:r>
    </w:p>
    <w:p w:rsidR="002C1123" w:rsidRDefault="00F22F94">
      <w:pPr>
        <w:pStyle w:val="BodyText"/>
        <w:spacing w:before="117" w:line="249" w:lineRule="auto"/>
        <w:ind w:left="306" w:right="1214"/>
      </w:pPr>
      <w:r>
        <w:t>Unlike</w:t>
      </w:r>
      <w:r>
        <w:rPr>
          <w:spacing w:val="-13"/>
        </w:rPr>
        <w:t xml:space="preserve"> </w:t>
      </w:r>
      <w:r>
        <w:t>the</w:t>
      </w:r>
      <w:r>
        <w:rPr>
          <w:spacing w:val="-13"/>
        </w:rPr>
        <w:t xml:space="preserve"> </w:t>
      </w:r>
      <w:r>
        <w:t>rail</w:t>
      </w:r>
      <w:r>
        <w:rPr>
          <w:spacing w:val="-13"/>
        </w:rPr>
        <w:t xml:space="preserve"> </w:t>
      </w:r>
      <w:r>
        <w:t>system,</w:t>
      </w:r>
      <w:r>
        <w:rPr>
          <w:spacing w:val="-13"/>
        </w:rPr>
        <w:t xml:space="preserve"> </w:t>
      </w:r>
      <w:r>
        <w:t>where</w:t>
      </w:r>
      <w:r>
        <w:rPr>
          <w:spacing w:val="-13"/>
        </w:rPr>
        <w:t xml:space="preserve"> </w:t>
      </w:r>
      <w:r>
        <w:t>demand</w:t>
      </w:r>
      <w:r>
        <w:rPr>
          <w:spacing w:val="-13"/>
        </w:rPr>
        <w:t xml:space="preserve"> </w:t>
      </w:r>
      <w:r>
        <w:t>is</w:t>
      </w:r>
      <w:r>
        <w:rPr>
          <w:spacing w:val="-13"/>
        </w:rPr>
        <w:t xml:space="preserve"> </w:t>
      </w:r>
      <w:r>
        <w:t xml:space="preserve">focused </w:t>
      </w:r>
      <w:r>
        <w:rPr>
          <w:w w:val="95"/>
        </w:rPr>
        <w:t xml:space="preserve">during peak hours, motorists have less opportunity </w:t>
      </w:r>
      <w:r>
        <w:t>to</w:t>
      </w:r>
      <w:r>
        <w:rPr>
          <w:spacing w:val="-9"/>
        </w:rPr>
        <w:t xml:space="preserve"> </w:t>
      </w:r>
      <w:r>
        <w:t>shift</w:t>
      </w:r>
      <w:r>
        <w:rPr>
          <w:spacing w:val="-9"/>
        </w:rPr>
        <w:t xml:space="preserve"> </w:t>
      </w:r>
      <w:r>
        <w:t>the</w:t>
      </w:r>
      <w:r>
        <w:rPr>
          <w:spacing w:val="-9"/>
        </w:rPr>
        <w:t xml:space="preserve"> </w:t>
      </w:r>
      <w:r>
        <w:t>timing</w:t>
      </w:r>
      <w:r>
        <w:rPr>
          <w:spacing w:val="-9"/>
        </w:rPr>
        <w:t xml:space="preserve"> </w:t>
      </w:r>
      <w:r>
        <w:t>of</w:t>
      </w:r>
      <w:r>
        <w:rPr>
          <w:spacing w:val="-9"/>
        </w:rPr>
        <w:t xml:space="preserve"> </w:t>
      </w:r>
      <w:r>
        <w:t>their</w:t>
      </w:r>
      <w:r>
        <w:rPr>
          <w:spacing w:val="-9"/>
        </w:rPr>
        <w:t xml:space="preserve"> </w:t>
      </w:r>
      <w:r>
        <w:t>trip</w:t>
      </w:r>
      <w:r>
        <w:rPr>
          <w:spacing w:val="-9"/>
        </w:rPr>
        <w:t xml:space="preserve"> </w:t>
      </w:r>
      <w:r>
        <w:t>where</w:t>
      </w:r>
      <w:r>
        <w:rPr>
          <w:spacing w:val="-9"/>
        </w:rPr>
        <w:t xml:space="preserve"> </w:t>
      </w:r>
      <w:r>
        <w:t>the</w:t>
      </w:r>
      <w:r>
        <w:rPr>
          <w:spacing w:val="-9"/>
        </w:rPr>
        <w:t xml:space="preserve"> </w:t>
      </w:r>
      <w:r>
        <w:t>road</w:t>
      </w:r>
      <w:r>
        <w:rPr>
          <w:spacing w:val="-9"/>
        </w:rPr>
        <w:t xml:space="preserve"> </w:t>
      </w:r>
      <w:r>
        <w:t>is congested</w:t>
      </w:r>
      <w:r>
        <w:rPr>
          <w:spacing w:val="-14"/>
        </w:rPr>
        <w:t xml:space="preserve"> </w:t>
      </w:r>
      <w:r>
        <w:t>through</w:t>
      </w:r>
      <w:r>
        <w:rPr>
          <w:spacing w:val="-14"/>
        </w:rPr>
        <w:t xml:space="preserve"> </w:t>
      </w:r>
      <w:r>
        <w:t>long</w:t>
      </w:r>
      <w:r>
        <w:rPr>
          <w:spacing w:val="-14"/>
        </w:rPr>
        <w:t xml:space="preserve"> </w:t>
      </w:r>
      <w:r>
        <w:t>periods</w:t>
      </w:r>
      <w:r>
        <w:rPr>
          <w:spacing w:val="-14"/>
        </w:rPr>
        <w:t xml:space="preserve"> </w:t>
      </w:r>
      <w:r>
        <w:t>of</w:t>
      </w:r>
      <w:r>
        <w:rPr>
          <w:spacing w:val="-14"/>
        </w:rPr>
        <w:t xml:space="preserve"> </w:t>
      </w:r>
      <w:r>
        <w:t>the</w:t>
      </w:r>
      <w:r>
        <w:rPr>
          <w:spacing w:val="-14"/>
        </w:rPr>
        <w:t xml:space="preserve"> </w:t>
      </w:r>
      <w:r>
        <w:t>day,</w:t>
      </w:r>
      <w:r>
        <w:rPr>
          <w:spacing w:val="-14"/>
        </w:rPr>
        <w:t xml:space="preserve"> </w:t>
      </w:r>
      <w:r>
        <w:t>and</w:t>
      </w:r>
      <w:r>
        <w:rPr>
          <w:spacing w:val="-14"/>
        </w:rPr>
        <w:t xml:space="preserve"> </w:t>
      </w:r>
      <w:r>
        <w:t>in</w:t>
      </w:r>
    </w:p>
    <w:p w:rsidR="002C1123" w:rsidRDefault="00F22F94">
      <w:pPr>
        <w:pStyle w:val="BodyText"/>
        <w:spacing w:before="3" w:line="249" w:lineRule="auto"/>
        <w:ind w:left="306" w:right="644"/>
      </w:pPr>
      <w:r>
        <w:rPr>
          <w:w w:val="95"/>
        </w:rPr>
        <w:t>these</w:t>
      </w:r>
      <w:r>
        <w:rPr>
          <w:spacing w:val="-5"/>
          <w:w w:val="95"/>
        </w:rPr>
        <w:t xml:space="preserve"> </w:t>
      </w:r>
      <w:r>
        <w:rPr>
          <w:w w:val="95"/>
        </w:rPr>
        <w:t>cases</w:t>
      </w:r>
      <w:r>
        <w:rPr>
          <w:spacing w:val="-5"/>
          <w:w w:val="95"/>
        </w:rPr>
        <w:t xml:space="preserve"> </w:t>
      </w:r>
      <w:r>
        <w:rPr>
          <w:w w:val="95"/>
        </w:rPr>
        <w:t>the</w:t>
      </w:r>
      <w:r>
        <w:rPr>
          <w:spacing w:val="-5"/>
          <w:w w:val="95"/>
        </w:rPr>
        <w:t xml:space="preserve"> </w:t>
      </w:r>
      <w:r>
        <w:rPr>
          <w:w w:val="95"/>
        </w:rPr>
        <w:t>congestion</w:t>
      </w:r>
      <w:r>
        <w:rPr>
          <w:spacing w:val="-5"/>
          <w:w w:val="95"/>
        </w:rPr>
        <w:t xml:space="preserve"> </w:t>
      </w:r>
      <w:r>
        <w:rPr>
          <w:w w:val="95"/>
        </w:rPr>
        <w:t>indicates</w:t>
      </w:r>
      <w:r>
        <w:rPr>
          <w:spacing w:val="-5"/>
          <w:w w:val="95"/>
        </w:rPr>
        <w:t xml:space="preserve"> </w:t>
      </w:r>
      <w:r>
        <w:rPr>
          <w:w w:val="95"/>
        </w:rPr>
        <w:t>a</w:t>
      </w:r>
      <w:r>
        <w:rPr>
          <w:spacing w:val="-5"/>
          <w:w w:val="95"/>
        </w:rPr>
        <w:t xml:space="preserve"> </w:t>
      </w:r>
      <w:r>
        <w:rPr>
          <w:w w:val="95"/>
        </w:rPr>
        <w:t>greater</w:t>
      </w:r>
      <w:r>
        <w:rPr>
          <w:spacing w:val="-5"/>
          <w:w w:val="95"/>
        </w:rPr>
        <w:t xml:space="preserve"> </w:t>
      </w:r>
      <w:r>
        <w:rPr>
          <w:w w:val="95"/>
        </w:rPr>
        <w:t>need</w:t>
      </w:r>
      <w:r>
        <w:rPr>
          <w:spacing w:val="-5"/>
          <w:w w:val="95"/>
        </w:rPr>
        <w:t xml:space="preserve"> </w:t>
      </w:r>
      <w:r>
        <w:rPr>
          <w:w w:val="95"/>
        </w:rPr>
        <w:t xml:space="preserve">for </w:t>
      </w:r>
      <w:r>
        <w:t>capacity</w:t>
      </w:r>
      <w:r>
        <w:rPr>
          <w:spacing w:val="-11"/>
        </w:rPr>
        <w:t xml:space="preserve"> </w:t>
      </w:r>
      <w:r>
        <w:t>augmentation.</w:t>
      </w:r>
    </w:p>
    <w:p w:rsidR="002C1123" w:rsidRDefault="00F22F94">
      <w:pPr>
        <w:pStyle w:val="Heading6"/>
        <w:numPr>
          <w:ilvl w:val="2"/>
          <w:numId w:val="97"/>
        </w:numPr>
        <w:tabs>
          <w:tab w:val="left" w:pos="793"/>
        </w:tabs>
        <w:spacing w:before="115"/>
        <w:ind w:left="792" w:hanging="487"/>
        <w:jc w:val="left"/>
      </w:pPr>
      <w:r>
        <w:rPr>
          <w:color w:val="00AEEF"/>
          <w:w w:val="95"/>
        </w:rPr>
        <w:t>Servicing</w:t>
      </w:r>
      <w:r>
        <w:rPr>
          <w:color w:val="00AEEF"/>
          <w:spacing w:val="-2"/>
        </w:rPr>
        <w:t xml:space="preserve"> </w:t>
      </w:r>
      <w:r>
        <w:rPr>
          <w:color w:val="00AEEF"/>
          <w:w w:val="95"/>
        </w:rPr>
        <w:t>Global</w:t>
      </w:r>
      <w:r>
        <w:rPr>
          <w:color w:val="00AEEF"/>
          <w:spacing w:val="-2"/>
        </w:rPr>
        <w:t xml:space="preserve"> </w:t>
      </w:r>
      <w:r>
        <w:rPr>
          <w:color w:val="00AEEF"/>
          <w:spacing w:val="-2"/>
          <w:w w:val="95"/>
        </w:rPr>
        <w:t>Sydney</w:t>
      </w:r>
    </w:p>
    <w:p w:rsidR="002C1123" w:rsidRDefault="00F22F94">
      <w:pPr>
        <w:pStyle w:val="BodyText"/>
        <w:spacing w:before="96" w:line="249" w:lineRule="auto"/>
        <w:ind w:left="306" w:right="644"/>
      </w:pPr>
      <w:r>
        <w:rPr>
          <w:w w:val="95"/>
        </w:rPr>
        <w:t>As</w:t>
      </w:r>
      <w:r>
        <w:rPr>
          <w:spacing w:val="-10"/>
          <w:w w:val="95"/>
        </w:rPr>
        <w:t xml:space="preserve"> </w:t>
      </w:r>
      <w:r>
        <w:rPr>
          <w:w w:val="95"/>
        </w:rPr>
        <w:t>Section</w:t>
      </w:r>
      <w:r>
        <w:rPr>
          <w:spacing w:val="-10"/>
          <w:w w:val="95"/>
        </w:rPr>
        <w:t xml:space="preserve"> </w:t>
      </w:r>
      <w:r>
        <w:rPr>
          <w:w w:val="95"/>
        </w:rPr>
        <w:t>3</w:t>
      </w:r>
      <w:r>
        <w:rPr>
          <w:spacing w:val="-10"/>
          <w:w w:val="95"/>
        </w:rPr>
        <w:t xml:space="preserve"> </w:t>
      </w:r>
      <w:r>
        <w:rPr>
          <w:w w:val="95"/>
        </w:rPr>
        <w:t>notes,</w:t>
      </w:r>
      <w:r>
        <w:rPr>
          <w:spacing w:val="-10"/>
          <w:w w:val="95"/>
        </w:rPr>
        <w:t xml:space="preserve"> </w:t>
      </w:r>
      <w:r>
        <w:rPr>
          <w:w w:val="95"/>
        </w:rPr>
        <w:t>Sydney</w:t>
      </w:r>
      <w:r>
        <w:rPr>
          <w:spacing w:val="-10"/>
          <w:w w:val="95"/>
        </w:rPr>
        <w:t xml:space="preserve"> </w:t>
      </w:r>
      <w:r>
        <w:rPr>
          <w:w w:val="95"/>
        </w:rPr>
        <w:t>is</w:t>
      </w:r>
      <w:r>
        <w:rPr>
          <w:spacing w:val="-10"/>
          <w:w w:val="95"/>
        </w:rPr>
        <w:t xml:space="preserve"> </w:t>
      </w:r>
      <w:r>
        <w:rPr>
          <w:w w:val="95"/>
        </w:rPr>
        <w:t>unusual</w:t>
      </w:r>
      <w:r>
        <w:rPr>
          <w:spacing w:val="-10"/>
          <w:w w:val="95"/>
        </w:rPr>
        <w:t xml:space="preserve"> </w:t>
      </w:r>
      <w:r>
        <w:rPr>
          <w:w w:val="95"/>
        </w:rPr>
        <w:t>in</w:t>
      </w:r>
      <w:r>
        <w:rPr>
          <w:spacing w:val="-10"/>
          <w:w w:val="95"/>
        </w:rPr>
        <w:t xml:space="preserve"> </w:t>
      </w:r>
      <w:r>
        <w:rPr>
          <w:w w:val="95"/>
        </w:rPr>
        <w:t>having</w:t>
      </w:r>
      <w:r>
        <w:rPr>
          <w:spacing w:val="-10"/>
          <w:w w:val="95"/>
        </w:rPr>
        <w:t xml:space="preserve"> </w:t>
      </w:r>
      <w:r>
        <w:rPr>
          <w:w w:val="95"/>
        </w:rPr>
        <w:t>its</w:t>
      </w:r>
      <w:r>
        <w:rPr>
          <w:spacing w:val="-10"/>
          <w:w w:val="95"/>
        </w:rPr>
        <w:t xml:space="preserve"> </w:t>
      </w:r>
      <w:r>
        <w:rPr>
          <w:w w:val="95"/>
        </w:rPr>
        <w:t xml:space="preserve">CBD, </w:t>
      </w:r>
      <w:r>
        <w:t>airport</w:t>
      </w:r>
      <w:r>
        <w:rPr>
          <w:spacing w:val="-12"/>
        </w:rPr>
        <w:t xml:space="preserve"> </w:t>
      </w:r>
      <w:r>
        <w:t>and</w:t>
      </w:r>
      <w:r>
        <w:rPr>
          <w:spacing w:val="-12"/>
        </w:rPr>
        <w:t xml:space="preserve"> </w:t>
      </w:r>
      <w:r>
        <w:t>container</w:t>
      </w:r>
      <w:r>
        <w:rPr>
          <w:spacing w:val="-12"/>
        </w:rPr>
        <w:t xml:space="preserve"> </w:t>
      </w:r>
      <w:r>
        <w:t>port</w:t>
      </w:r>
      <w:r>
        <w:rPr>
          <w:spacing w:val="-12"/>
        </w:rPr>
        <w:t xml:space="preserve"> </w:t>
      </w:r>
      <w:r>
        <w:t>all</w:t>
      </w:r>
      <w:r>
        <w:rPr>
          <w:spacing w:val="-12"/>
        </w:rPr>
        <w:t xml:space="preserve"> </w:t>
      </w:r>
      <w:r>
        <w:t>in</w:t>
      </w:r>
      <w:r>
        <w:rPr>
          <w:spacing w:val="-12"/>
        </w:rPr>
        <w:t xml:space="preserve"> </w:t>
      </w:r>
      <w:r>
        <w:t>close</w:t>
      </w:r>
      <w:r>
        <w:rPr>
          <w:spacing w:val="-12"/>
        </w:rPr>
        <w:t xml:space="preserve"> </w:t>
      </w:r>
      <w:r>
        <w:t>proximity.</w:t>
      </w:r>
      <w:r>
        <w:rPr>
          <w:spacing w:val="-12"/>
        </w:rPr>
        <w:t xml:space="preserve"> </w:t>
      </w:r>
      <w:r>
        <w:t xml:space="preserve">While </w:t>
      </w:r>
      <w:r>
        <w:rPr>
          <w:w w:val="95"/>
        </w:rPr>
        <w:t xml:space="preserve">this has productivity benefits, it concentrates commuter, </w:t>
      </w:r>
      <w:r>
        <w:t>business</w:t>
      </w:r>
      <w:r>
        <w:rPr>
          <w:spacing w:val="-11"/>
        </w:rPr>
        <w:t xml:space="preserve"> </w:t>
      </w:r>
      <w:r>
        <w:t>and</w:t>
      </w:r>
      <w:r>
        <w:rPr>
          <w:spacing w:val="-11"/>
        </w:rPr>
        <w:t xml:space="preserve"> </w:t>
      </w:r>
      <w:r>
        <w:t>freight</w:t>
      </w:r>
      <w:r>
        <w:rPr>
          <w:spacing w:val="-11"/>
        </w:rPr>
        <w:t xml:space="preserve"> </w:t>
      </w:r>
      <w:r>
        <w:t>traffic</w:t>
      </w:r>
      <w:r>
        <w:rPr>
          <w:spacing w:val="-11"/>
        </w:rPr>
        <w:t xml:space="preserve"> </w:t>
      </w:r>
      <w:r>
        <w:t>on</w:t>
      </w:r>
      <w:r>
        <w:rPr>
          <w:spacing w:val="-11"/>
        </w:rPr>
        <w:t xml:space="preserve"> </w:t>
      </w:r>
      <w:r>
        <w:t>the</w:t>
      </w:r>
      <w:r>
        <w:rPr>
          <w:spacing w:val="-11"/>
        </w:rPr>
        <w:t xml:space="preserve"> </w:t>
      </w:r>
      <w:r>
        <w:t>eastern</w:t>
      </w:r>
      <w:r>
        <w:rPr>
          <w:spacing w:val="-11"/>
        </w:rPr>
        <w:t xml:space="preserve"> </w:t>
      </w:r>
      <w:r>
        <w:t>part</w:t>
      </w:r>
      <w:r>
        <w:rPr>
          <w:spacing w:val="-11"/>
        </w:rPr>
        <w:t xml:space="preserve"> </w:t>
      </w:r>
      <w:r>
        <w:t>of</w:t>
      </w:r>
      <w:r>
        <w:rPr>
          <w:spacing w:val="-11"/>
        </w:rPr>
        <w:t xml:space="preserve"> </w:t>
      </w:r>
      <w:r>
        <w:t>the SSRN</w:t>
      </w:r>
      <w:r>
        <w:rPr>
          <w:spacing w:val="-13"/>
        </w:rPr>
        <w:t xml:space="preserve"> </w:t>
      </w:r>
      <w:r>
        <w:t>and</w:t>
      </w:r>
      <w:r>
        <w:rPr>
          <w:spacing w:val="-13"/>
        </w:rPr>
        <w:t xml:space="preserve"> </w:t>
      </w:r>
      <w:r>
        <w:t>drives</w:t>
      </w:r>
      <w:r>
        <w:rPr>
          <w:spacing w:val="-13"/>
        </w:rPr>
        <w:t xml:space="preserve"> </w:t>
      </w:r>
      <w:r>
        <w:t>the</w:t>
      </w:r>
      <w:r>
        <w:rPr>
          <w:spacing w:val="-13"/>
        </w:rPr>
        <w:t xml:space="preserve"> </w:t>
      </w:r>
      <w:r>
        <w:t>need</w:t>
      </w:r>
      <w:r>
        <w:rPr>
          <w:spacing w:val="-13"/>
        </w:rPr>
        <w:t xml:space="preserve"> </w:t>
      </w:r>
      <w:r>
        <w:t>for</w:t>
      </w:r>
      <w:r>
        <w:rPr>
          <w:spacing w:val="-13"/>
        </w:rPr>
        <w:t xml:space="preserve"> </w:t>
      </w:r>
      <w:r>
        <w:t>new</w:t>
      </w:r>
      <w:r>
        <w:rPr>
          <w:spacing w:val="-13"/>
        </w:rPr>
        <w:t xml:space="preserve"> </w:t>
      </w:r>
      <w:r>
        <w:t>infrastructure.</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283" w:space="40"/>
            <w:col w:w="4877" w:space="39"/>
            <w:col w:w="5821"/>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3"/>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BodyText"/>
        <w:spacing w:before="108" w:line="249" w:lineRule="auto"/>
        <w:ind w:left="492"/>
      </w:pPr>
      <w:bookmarkStart w:id="156" w:name="6.4__The_rationale_for_urban_road_invest"/>
      <w:bookmarkStart w:id="157" w:name="_bookmark112"/>
      <w:bookmarkStart w:id="158" w:name="_bookmark111"/>
      <w:bookmarkEnd w:id="156"/>
      <w:bookmarkEnd w:id="157"/>
      <w:bookmarkEnd w:id="158"/>
      <w:r>
        <w:t>Both</w:t>
      </w:r>
      <w:r>
        <w:rPr>
          <w:spacing w:val="-7"/>
        </w:rPr>
        <w:t xml:space="preserve"> </w:t>
      </w:r>
      <w:r>
        <w:t>the</w:t>
      </w:r>
      <w:r>
        <w:rPr>
          <w:spacing w:val="-7"/>
        </w:rPr>
        <w:t xml:space="preserve"> </w:t>
      </w:r>
      <w:r>
        <w:t>airport</w:t>
      </w:r>
      <w:r>
        <w:rPr>
          <w:spacing w:val="-7"/>
        </w:rPr>
        <w:t xml:space="preserve"> </w:t>
      </w:r>
      <w:r>
        <w:t>and</w:t>
      </w:r>
      <w:r>
        <w:rPr>
          <w:spacing w:val="-7"/>
        </w:rPr>
        <w:t xml:space="preserve"> </w:t>
      </w:r>
      <w:r>
        <w:t>port</w:t>
      </w:r>
      <w:r>
        <w:rPr>
          <w:spacing w:val="-7"/>
        </w:rPr>
        <w:t xml:space="preserve"> </w:t>
      </w:r>
      <w:r>
        <w:t>generate</w:t>
      </w:r>
      <w:r>
        <w:rPr>
          <w:spacing w:val="-7"/>
        </w:rPr>
        <w:t xml:space="preserve"> </w:t>
      </w:r>
      <w:r>
        <w:t>significant</w:t>
      </w:r>
      <w:r>
        <w:rPr>
          <w:spacing w:val="-7"/>
        </w:rPr>
        <w:t xml:space="preserve"> </w:t>
      </w:r>
      <w:r>
        <w:t>traffic, and</w:t>
      </w:r>
      <w:r>
        <w:rPr>
          <w:spacing w:val="-13"/>
        </w:rPr>
        <w:t xml:space="preserve"> </w:t>
      </w:r>
      <w:r>
        <w:t>demand</w:t>
      </w:r>
      <w:r>
        <w:rPr>
          <w:spacing w:val="-13"/>
        </w:rPr>
        <w:t xml:space="preserve"> </w:t>
      </w:r>
      <w:r>
        <w:t>generated</w:t>
      </w:r>
      <w:r>
        <w:rPr>
          <w:spacing w:val="-13"/>
        </w:rPr>
        <w:t xml:space="preserve"> </w:t>
      </w:r>
      <w:r>
        <w:t>by</w:t>
      </w:r>
      <w:r>
        <w:rPr>
          <w:spacing w:val="-13"/>
        </w:rPr>
        <w:t xml:space="preserve"> </w:t>
      </w:r>
      <w:r>
        <w:t>these</w:t>
      </w:r>
      <w:r>
        <w:rPr>
          <w:spacing w:val="-13"/>
        </w:rPr>
        <w:t xml:space="preserve"> </w:t>
      </w:r>
      <w:r>
        <w:t>facilities</w:t>
      </w:r>
      <w:r>
        <w:rPr>
          <w:spacing w:val="-13"/>
        </w:rPr>
        <w:t xml:space="preserve"> </w:t>
      </w:r>
      <w:r>
        <w:t>is</w:t>
      </w:r>
      <w:r>
        <w:rPr>
          <w:spacing w:val="-13"/>
        </w:rPr>
        <w:t xml:space="preserve"> </w:t>
      </w:r>
      <w:r>
        <w:t>growing much</w:t>
      </w:r>
      <w:r>
        <w:rPr>
          <w:spacing w:val="-14"/>
        </w:rPr>
        <w:t xml:space="preserve"> </w:t>
      </w:r>
      <w:r>
        <w:t>faster</w:t>
      </w:r>
      <w:r>
        <w:rPr>
          <w:spacing w:val="-14"/>
        </w:rPr>
        <w:t xml:space="preserve"> </w:t>
      </w:r>
      <w:r>
        <w:t>than</w:t>
      </w:r>
      <w:r>
        <w:rPr>
          <w:spacing w:val="-14"/>
        </w:rPr>
        <w:t xml:space="preserve"> </w:t>
      </w:r>
      <w:r>
        <w:t>general</w:t>
      </w:r>
      <w:r>
        <w:rPr>
          <w:spacing w:val="-14"/>
        </w:rPr>
        <w:t xml:space="preserve"> </w:t>
      </w:r>
      <w:r>
        <w:t>travel</w:t>
      </w:r>
      <w:r>
        <w:rPr>
          <w:spacing w:val="-14"/>
        </w:rPr>
        <w:t xml:space="preserve"> </w:t>
      </w:r>
      <w:r>
        <w:t>demand.</w:t>
      </w:r>
      <w:r>
        <w:rPr>
          <w:spacing w:val="-14"/>
        </w:rPr>
        <w:t xml:space="preserve"> </w:t>
      </w:r>
      <w:r>
        <w:t>By</w:t>
      </w:r>
      <w:r>
        <w:rPr>
          <w:spacing w:val="-14"/>
        </w:rPr>
        <w:t xml:space="preserve"> </w:t>
      </w:r>
      <w:r>
        <w:t>2031,</w:t>
      </w:r>
      <w:r>
        <w:rPr>
          <w:spacing w:val="-14"/>
        </w:rPr>
        <w:t xml:space="preserve"> </w:t>
      </w:r>
      <w:r>
        <w:t xml:space="preserve">the </w:t>
      </w:r>
      <w:r>
        <w:rPr>
          <w:w w:val="95"/>
        </w:rPr>
        <w:t xml:space="preserve">number of people accessing Sydney Airport is expected </w:t>
      </w:r>
      <w:r>
        <w:t>to</w:t>
      </w:r>
      <w:r>
        <w:rPr>
          <w:spacing w:val="-5"/>
        </w:rPr>
        <w:t xml:space="preserve"> </w:t>
      </w:r>
      <w:r>
        <w:t>double</w:t>
      </w:r>
      <w:r>
        <w:rPr>
          <w:spacing w:val="-5"/>
        </w:rPr>
        <w:t xml:space="preserve"> </w:t>
      </w:r>
      <w:r>
        <w:t>to</w:t>
      </w:r>
      <w:r>
        <w:rPr>
          <w:spacing w:val="-5"/>
        </w:rPr>
        <w:t xml:space="preserve"> </w:t>
      </w:r>
      <w:r>
        <w:t>200,000</w:t>
      </w:r>
      <w:r>
        <w:rPr>
          <w:spacing w:val="-5"/>
        </w:rPr>
        <w:t xml:space="preserve"> </w:t>
      </w:r>
      <w:r>
        <w:t>per</w:t>
      </w:r>
      <w:r>
        <w:rPr>
          <w:spacing w:val="-5"/>
        </w:rPr>
        <w:t xml:space="preserve"> </w:t>
      </w:r>
      <w:r>
        <w:t>day</w:t>
      </w:r>
      <w:r>
        <w:rPr>
          <w:position w:val="7"/>
          <w:sz w:val="11"/>
        </w:rPr>
        <w:t>4</w:t>
      </w:r>
      <w:r>
        <w:t>,</w:t>
      </w:r>
      <w:r>
        <w:rPr>
          <w:spacing w:val="-5"/>
        </w:rPr>
        <w:t xml:space="preserve"> </w:t>
      </w:r>
      <w:r>
        <w:t>and</w:t>
      </w:r>
      <w:r>
        <w:rPr>
          <w:spacing w:val="-5"/>
        </w:rPr>
        <w:t xml:space="preserve"> </w:t>
      </w:r>
      <w:r>
        <w:t>the</w:t>
      </w:r>
      <w:r>
        <w:rPr>
          <w:spacing w:val="-5"/>
        </w:rPr>
        <w:t xml:space="preserve"> </w:t>
      </w:r>
      <w:r>
        <w:t>number</w:t>
      </w:r>
      <w:r>
        <w:rPr>
          <w:spacing w:val="-5"/>
        </w:rPr>
        <w:t xml:space="preserve"> </w:t>
      </w:r>
      <w:r>
        <w:t xml:space="preserve">of </w:t>
      </w:r>
      <w:r>
        <w:rPr>
          <w:spacing w:val="-2"/>
        </w:rPr>
        <w:t>containers</w:t>
      </w:r>
      <w:r>
        <w:rPr>
          <w:spacing w:val="-9"/>
        </w:rPr>
        <w:t xml:space="preserve"> </w:t>
      </w:r>
      <w:r>
        <w:rPr>
          <w:spacing w:val="-2"/>
        </w:rPr>
        <w:t>travelling</w:t>
      </w:r>
      <w:r>
        <w:rPr>
          <w:spacing w:val="-9"/>
        </w:rPr>
        <w:t xml:space="preserve"> </w:t>
      </w:r>
      <w:r>
        <w:rPr>
          <w:spacing w:val="-2"/>
        </w:rPr>
        <w:t>to</w:t>
      </w:r>
      <w:r>
        <w:rPr>
          <w:spacing w:val="-9"/>
        </w:rPr>
        <w:t xml:space="preserve"> </w:t>
      </w:r>
      <w:r>
        <w:rPr>
          <w:spacing w:val="-2"/>
        </w:rPr>
        <w:t>and</w:t>
      </w:r>
      <w:r>
        <w:rPr>
          <w:spacing w:val="-9"/>
        </w:rPr>
        <w:t xml:space="preserve"> </w:t>
      </w:r>
      <w:r>
        <w:rPr>
          <w:spacing w:val="-2"/>
        </w:rPr>
        <w:t>from</w:t>
      </w:r>
      <w:r>
        <w:rPr>
          <w:spacing w:val="-10"/>
        </w:rPr>
        <w:t xml:space="preserve"> </w:t>
      </w:r>
      <w:r>
        <w:rPr>
          <w:spacing w:val="-2"/>
        </w:rPr>
        <w:t>Port</w:t>
      </w:r>
      <w:r>
        <w:rPr>
          <w:spacing w:val="-9"/>
        </w:rPr>
        <w:t xml:space="preserve"> </w:t>
      </w:r>
      <w:r>
        <w:rPr>
          <w:spacing w:val="-2"/>
        </w:rPr>
        <w:t>Botany</w:t>
      </w:r>
      <w:r>
        <w:rPr>
          <w:spacing w:val="-9"/>
        </w:rPr>
        <w:t xml:space="preserve"> </w:t>
      </w:r>
      <w:r>
        <w:rPr>
          <w:spacing w:val="-2"/>
        </w:rPr>
        <w:t>by</w:t>
      </w:r>
      <w:r>
        <w:rPr>
          <w:spacing w:val="-9"/>
        </w:rPr>
        <w:t xml:space="preserve"> </w:t>
      </w:r>
      <w:r>
        <w:rPr>
          <w:spacing w:val="-2"/>
        </w:rPr>
        <w:t>road</w:t>
      </w:r>
      <w:r>
        <w:rPr>
          <w:spacing w:val="-9"/>
        </w:rPr>
        <w:t xml:space="preserve"> </w:t>
      </w:r>
      <w:r>
        <w:rPr>
          <w:spacing w:val="-2"/>
        </w:rPr>
        <w:t xml:space="preserve">is </w:t>
      </w:r>
      <w:r>
        <w:t>forecast to triple</w:t>
      </w:r>
      <w:r>
        <w:rPr>
          <w:position w:val="7"/>
          <w:sz w:val="11"/>
        </w:rPr>
        <w:t>5</w:t>
      </w:r>
      <w:r>
        <w:t>.</w:t>
      </w:r>
    </w:p>
    <w:p w:rsidR="002C1123" w:rsidRDefault="00F22F94">
      <w:pPr>
        <w:pStyle w:val="BodyText"/>
        <w:spacing w:before="147" w:line="249" w:lineRule="auto"/>
        <w:ind w:left="492"/>
      </w:pPr>
      <w:r>
        <w:t>There</w:t>
      </w:r>
      <w:r>
        <w:rPr>
          <w:spacing w:val="-15"/>
        </w:rPr>
        <w:t xml:space="preserve"> </w:t>
      </w:r>
      <w:r>
        <w:t>is</w:t>
      </w:r>
      <w:r>
        <w:rPr>
          <w:spacing w:val="-13"/>
        </w:rPr>
        <w:t xml:space="preserve"> </w:t>
      </w:r>
      <w:r>
        <w:t>insufficient</w:t>
      </w:r>
      <w:r>
        <w:rPr>
          <w:spacing w:val="-13"/>
        </w:rPr>
        <w:t xml:space="preserve"> </w:t>
      </w:r>
      <w:r>
        <w:t>road</w:t>
      </w:r>
      <w:r>
        <w:rPr>
          <w:spacing w:val="-13"/>
        </w:rPr>
        <w:t xml:space="preserve"> </w:t>
      </w:r>
      <w:r>
        <w:t>capacity</w:t>
      </w:r>
      <w:r>
        <w:rPr>
          <w:spacing w:val="-13"/>
        </w:rPr>
        <w:t xml:space="preserve"> </w:t>
      </w:r>
      <w:r>
        <w:t>connecting</w:t>
      </w:r>
      <w:r>
        <w:rPr>
          <w:spacing w:val="-13"/>
        </w:rPr>
        <w:t xml:space="preserve"> </w:t>
      </w:r>
      <w:r>
        <w:t>the</w:t>
      </w:r>
      <w:r>
        <w:rPr>
          <w:spacing w:val="-13"/>
        </w:rPr>
        <w:t xml:space="preserve"> </w:t>
      </w:r>
      <w:r>
        <w:t>port and</w:t>
      </w:r>
      <w:r>
        <w:rPr>
          <w:spacing w:val="-14"/>
        </w:rPr>
        <w:t xml:space="preserve"> </w:t>
      </w:r>
      <w:r>
        <w:t>airport</w:t>
      </w:r>
      <w:r>
        <w:rPr>
          <w:spacing w:val="-14"/>
        </w:rPr>
        <w:t xml:space="preserve"> </w:t>
      </w:r>
      <w:r>
        <w:t>gateways</w:t>
      </w:r>
      <w:r>
        <w:rPr>
          <w:spacing w:val="-14"/>
        </w:rPr>
        <w:t xml:space="preserve"> </w:t>
      </w:r>
      <w:r>
        <w:t>to</w:t>
      </w:r>
      <w:r>
        <w:rPr>
          <w:spacing w:val="-14"/>
        </w:rPr>
        <w:t xml:space="preserve"> </w:t>
      </w:r>
      <w:r>
        <w:t>Greater</w:t>
      </w:r>
      <w:r>
        <w:rPr>
          <w:spacing w:val="-14"/>
        </w:rPr>
        <w:t xml:space="preserve"> </w:t>
      </w:r>
      <w:r>
        <w:t>Sydney’s</w:t>
      </w:r>
      <w:r>
        <w:rPr>
          <w:spacing w:val="-14"/>
        </w:rPr>
        <w:t xml:space="preserve"> </w:t>
      </w:r>
      <w:r>
        <w:t xml:space="preserve">residential </w:t>
      </w:r>
      <w:r>
        <w:rPr>
          <w:w w:val="95"/>
        </w:rPr>
        <w:t>and industrial centres. The M5 East is congested daily, and whenever an incident occurs, traffic delays can be lengthy.</w:t>
      </w:r>
      <w:r>
        <w:rPr>
          <w:spacing w:val="-8"/>
          <w:w w:val="95"/>
        </w:rPr>
        <w:t xml:space="preserve"> </w:t>
      </w:r>
      <w:r>
        <w:rPr>
          <w:w w:val="95"/>
        </w:rPr>
        <w:t>Parramatta</w:t>
      </w:r>
      <w:r>
        <w:rPr>
          <w:spacing w:val="-8"/>
          <w:w w:val="95"/>
        </w:rPr>
        <w:t xml:space="preserve"> </w:t>
      </w:r>
      <w:r>
        <w:rPr>
          <w:w w:val="95"/>
        </w:rPr>
        <w:t>Road</w:t>
      </w:r>
      <w:r>
        <w:rPr>
          <w:spacing w:val="-8"/>
          <w:w w:val="95"/>
        </w:rPr>
        <w:t xml:space="preserve"> </w:t>
      </w:r>
      <w:r>
        <w:rPr>
          <w:w w:val="95"/>
        </w:rPr>
        <w:t>carries</w:t>
      </w:r>
      <w:r>
        <w:rPr>
          <w:spacing w:val="-8"/>
          <w:w w:val="95"/>
        </w:rPr>
        <w:t xml:space="preserve"> </w:t>
      </w:r>
      <w:r>
        <w:rPr>
          <w:w w:val="95"/>
        </w:rPr>
        <w:t>high</w:t>
      </w:r>
      <w:r>
        <w:rPr>
          <w:spacing w:val="-8"/>
          <w:w w:val="95"/>
        </w:rPr>
        <w:t xml:space="preserve"> </w:t>
      </w:r>
      <w:r>
        <w:rPr>
          <w:w w:val="95"/>
        </w:rPr>
        <w:t>volumes</w:t>
      </w:r>
      <w:r>
        <w:rPr>
          <w:spacing w:val="-8"/>
          <w:w w:val="95"/>
        </w:rPr>
        <w:t xml:space="preserve"> </w:t>
      </w:r>
      <w:r>
        <w:rPr>
          <w:w w:val="95"/>
        </w:rPr>
        <w:t>of</w:t>
      </w:r>
      <w:r>
        <w:rPr>
          <w:spacing w:val="-8"/>
          <w:w w:val="95"/>
        </w:rPr>
        <w:t xml:space="preserve"> </w:t>
      </w:r>
      <w:r>
        <w:rPr>
          <w:w w:val="95"/>
        </w:rPr>
        <w:t>traffic for</w:t>
      </w:r>
      <w:r>
        <w:rPr>
          <w:spacing w:val="-1"/>
          <w:w w:val="95"/>
        </w:rPr>
        <w:t xml:space="preserve"> </w:t>
      </w:r>
      <w:r>
        <w:rPr>
          <w:w w:val="95"/>
        </w:rPr>
        <w:t>its</w:t>
      </w:r>
      <w:r>
        <w:rPr>
          <w:spacing w:val="-1"/>
          <w:w w:val="95"/>
        </w:rPr>
        <w:t xml:space="preserve"> </w:t>
      </w:r>
      <w:r>
        <w:rPr>
          <w:w w:val="95"/>
        </w:rPr>
        <w:t>configuration</w:t>
      </w:r>
      <w:r>
        <w:rPr>
          <w:spacing w:val="-1"/>
          <w:w w:val="95"/>
        </w:rPr>
        <w:t xml:space="preserve"> </w:t>
      </w:r>
      <w:r>
        <w:rPr>
          <w:w w:val="95"/>
        </w:rPr>
        <w:t>and</w:t>
      </w:r>
      <w:r>
        <w:rPr>
          <w:spacing w:val="-1"/>
          <w:w w:val="95"/>
        </w:rPr>
        <w:t xml:space="preserve"> </w:t>
      </w:r>
      <w:r>
        <w:rPr>
          <w:w w:val="95"/>
        </w:rPr>
        <w:t>has</w:t>
      </w:r>
      <w:r>
        <w:rPr>
          <w:spacing w:val="-1"/>
          <w:w w:val="95"/>
        </w:rPr>
        <w:t xml:space="preserve"> </w:t>
      </w:r>
      <w:r>
        <w:rPr>
          <w:w w:val="95"/>
        </w:rPr>
        <w:t>relatively</w:t>
      </w:r>
      <w:r>
        <w:rPr>
          <w:spacing w:val="-1"/>
          <w:w w:val="95"/>
        </w:rPr>
        <w:t xml:space="preserve"> </w:t>
      </w:r>
      <w:r>
        <w:rPr>
          <w:w w:val="95"/>
        </w:rPr>
        <w:t>poor</w:t>
      </w:r>
      <w:r>
        <w:rPr>
          <w:spacing w:val="-1"/>
          <w:w w:val="95"/>
        </w:rPr>
        <w:t xml:space="preserve"> </w:t>
      </w:r>
      <w:r>
        <w:rPr>
          <w:w w:val="95"/>
        </w:rPr>
        <w:t xml:space="preserve">connections </w:t>
      </w:r>
      <w:r>
        <w:t>towards</w:t>
      </w:r>
      <w:r>
        <w:rPr>
          <w:spacing w:val="-5"/>
        </w:rPr>
        <w:t xml:space="preserve"> </w:t>
      </w:r>
      <w:r>
        <w:t>the</w:t>
      </w:r>
      <w:r>
        <w:rPr>
          <w:spacing w:val="-5"/>
        </w:rPr>
        <w:t xml:space="preserve"> </w:t>
      </w:r>
      <w:r>
        <w:t>airport.</w:t>
      </w:r>
      <w:r>
        <w:rPr>
          <w:spacing w:val="-5"/>
        </w:rPr>
        <w:t xml:space="preserve"> </w:t>
      </w:r>
      <w:r>
        <w:t>Without</w:t>
      </w:r>
      <w:r>
        <w:rPr>
          <w:spacing w:val="-5"/>
        </w:rPr>
        <w:t xml:space="preserve"> </w:t>
      </w:r>
      <w:r>
        <w:t>new</w:t>
      </w:r>
      <w:r>
        <w:rPr>
          <w:spacing w:val="-5"/>
        </w:rPr>
        <w:t xml:space="preserve"> </w:t>
      </w:r>
      <w:r>
        <w:t>infrastructure, increasing</w:t>
      </w:r>
      <w:r>
        <w:rPr>
          <w:spacing w:val="-5"/>
        </w:rPr>
        <w:t xml:space="preserve"> </w:t>
      </w:r>
      <w:r>
        <w:t>demand</w:t>
      </w:r>
      <w:r>
        <w:rPr>
          <w:spacing w:val="-5"/>
        </w:rPr>
        <w:t xml:space="preserve"> </w:t>
      </w:r>
      <w:r>
        <w:t>will</w:t>
      </w:r>
      <w:r>
        <w:rPr>
          <w:spacing w:val="-5"/>
        </w:rPr>
        <w:t xml:space="preserve"> </w:t>
      </w:r>
      <w:r>
        <w:t>worsen</w:t>
      </w:r>
      <w:r>
        <w:rPr>
          <w:spacing w:val="-5"/>
        </w:rPr>
        <w:t xml:space="preserve"> </w:t>
      </w:r>
      <w:r>
        <w:t>congestion,</w:t>
      </w:r>
      <w:r>
        <w:rPr>
          <w:spacing w:val="-5"/>
        </w:rPr>
        <w:t xml:space="preserve"> </w:t>
      </w:r>
      <w:r>
        <w:t>with significant negative economic impact.</w:t>
      </w:r>
    </w:p>
    <w:p w:rsidR="002C1123" w:rsidRDefault="00F22F94">
      <w:pPr>
        <w:pStyle w:val="BodyText"/>
        <w:spacing w:before="150" w:line="249" w:lineRule="auto"/>
        <w:ind w:left="492"/>
      </w:pPr>
      <w:r>
        <w:t>As</w:t>
      </w:r>
      <w:r>
        <w:rPr>
          <w:spacing w:val="-12"/>
        </w:rPr>
        <w:t xml:space="preserve"> </w:t>
      </w:r>
      <w:r>
        <w:t>has</w:t>
      </w:r>
      <w:r>
        <w:rPr>
          <w:spacing w:val="-12"/>
        </w:rPr>
        <w:t xml:space="preserve"> </w:t>
      </w:r>
      <w:r>
        <w:t>been</w:t>
      </w:r>
      <w:r>
        <w:rPr>
          <w:spacing w:val="-12"/>
        </w:rPr>
        <w:t xml:space="preserve"> </w:t>
      </w:r>
      <w:r>
        <w:t>noted</w:t>
      </w:r>
      <w:r>
        <w:rPr>
          <w:spacing w:val="-12"/>
        </w:rPr>
        <w:t xml:space="preserve"> </w:t>
      </w:r>
      <w:r>
        <w:t>in</w:t>
      </w:r>
      <w:r>
        <w:rPr>
          <w:spacing w:val="-12"/>
        </w:rPr>
        <w:t xml:space="preserve"> </w:t>
      </w:r>
      <w:r>
        <w:t>earlier</w:t>
      </w:r>
      <w:r>
        <w:rPr>
          <w:spacing w:val="-12"/>
        </w:rPr>
        <w:t xml:space="preserve"> </w:t>
      </w:r>
      <w:r>
        <w:t>sections,</w:t>
      </w:r>
      <w:r>
        <w:rPr>
          <w:spacing w:val="-12"/>
        </w:rPr>
        <w:t xml:space="preserve"> </w:t>
      </w:r>
      <w:r>
        <w:t>the</w:t>
      </w:r>
      <w:r>
        <w:rPr>
          <w:spacing w:val="-12"/>
        </w:rPr>
        <w:t xml:space="preserve"> </w:t>
      </w:r>
      <w:r>
        <w:t>data</w:t>
      </w:r>
      <w:r>
        <w:rPr>
          <w:spacing w:val="-12"/>
        </w:rPr>
        <w:t xml:space="preserve"> </w:t>
      </w:r>
      <w:r>
        <w:t>about road</w:t>
      </w:r>
      <w:r>
        <w:rPr>
          <w:spacing w:val="-14"/>
        </w:rPr>
        <w:t xml:space="preserve"> </w:t>
      </w:r>
      <w:r>
        <w:t>journey</w:t>
      </w:r>
      <w:r>
        <w:rPr>
          <w:spacing w:val="-14"/>
        </w:rPr>
        <w:t xml:space="preserve"> </w:t>
      </w:r>
      <w:r>
        <w:t>patterns</w:t>
      </w:r>
      <w:r>
        <w:rPr>
          <w:spacing w:val="-14"/>
        </w:rPr>
        <w:t xml:space="preserve"> </w:t>
      </w:r>
      <w:r>
        <w:t>in</w:t>
      </w:r>
      <w:r>
        <w:rPr>
          <w:spacing w:val="-14"/>
        </w:rPr>
        <w:t xml:space="preserve"> </w:t>
      </w:r>
      <w:r>
        <w:t>Sydney</w:t>
      </w:r>
      <w:r>
        <w:rPr>
          <w:spacing w:val="-14"/>
        </w:rPr>
        <w:t xml:space="preserve"> </w:t>
      </w:r>
      <w:r>
        <w:t>shows</w:t>
      </w:r>
      <w:r>
        <w:rPr>
          <w:spacing w:val="-14"/>
        </w:rPr>
        <w:t xml:space="preserve"> </w:t>
      </w:r>
      <w:r>
        <w:t>that</w:t>
      </w:r>
      <w:r>
        <w:rPr>
          <w:spacing w:val="-14"/>
        </w:rPr>
        <w:t xml:space="preserve"> </w:t>
      </w:r>
      <w:r>
        <w:t>traditional perceptions</w:t>
      </w:r>
      <w:r>
        <w:rPr>
          <w:spacing w:val="-1"/>
        </w:rPr>
        <w:t xml:space="preserve"> </w:t>
      </w:r>
      <w:r>
        <w:t>of</w:t>
      </w:r>
      <w:r>
        <w:rPr>
          <w:spacing w:val="-1"/>
        </w:rPr>
        <w:t xml:space="preserve"> </w:t>
      </w:r>
      <w:r>
        <w:t>suburban</w:t>
      </w:r>
      <w:r>
        <w:rPr>
          <w:spacing w:val="-1"/>
        </w:rPr>
        <w:t xml:space="preserve"> </w:t>
      </w:r>
      <w:r>
        <w:t>commuter</w:t>
      </w:r>
      <w:r>
        <w:rPr>
          <w:spacing w:val="-1"/>
        </w:rPr>
        <w:t xml:space="preserve"> </w:t>
      </w:r>
      <w:r>
        <w:t>traffic</w:t>
      </w:r>
      <w:r>
        <w:rPr>
          <w:spacing w:val="-1"/>
        </w:rPr>
        <w:t xml:space="preserve"> </w:t>
      </w:r>
      <w:r>
        <w:t xml:space="preserve">flowing </w:t>
      </w:r>
      <w:r>
        <w:rPr>
          <w:w w:val="95"/>
        </w:rPr>
        <w:t>primarily</w:t>
      </w:r>
      <w:r>
        <w:rPr>
          <w:spacing w:val="-11"/>
          <w:w w:val="95"/>
        </w:rPr>
        <w:t xml:space="preserve"> </w:t>
      </w:r>
      <w:r>
        <w:rPr>
          <w:w w:val="95"/>
        </w:rPr>
        <w:t>into</w:t>
      </w:r>
      <w:r>
        <w:rPr>
          <w:spacing w:val="-11"/>
          <w:w w:val="95"/>
        </w:rPr>
        <w:t xml:space="preserve"> </w:t>
      </w:r>
      <w:r>
        <w:rPr>
          <w:w w:val="95"/>
        </w:rPr>
        <w:t>the</w:t>
      </w:r>
      <w:r>
        <w:rPr>
          <w:spacing w:val="-11"/>
          <w:w w:val="95"/>
        </w:rPr>
        <w:t xml:space="preserve"> </w:t>
      </w:r>
      <w:r>
        <w:rPr>
          <w:w w:val="95"/>
        </w:rPr>
        <w:t>Sydney</w:t>
      </w:r>
      <w:r>
        <w:rPr>
          <w:spacing w:val="-11"/>
          <w:w w:val="95"/>
        </w:rPr>
        <w:t xml:space="preserve"> </w:t>
      </w:r>
      <w:r>
        <w:rPr>
          <w:w w:val="95"/>
        </w:rPr>
        <w:t>CBD</w:t>
      </w:r>
      <w:r>
        <w:rPr>
          <w:spacing w:val="-11"/>
          <w:w w:val="95"/>
        </w:rPr>
        <w:t xml:space="preserve"> </w:t>
      </w:r>
      <w:r>
        <w:rPr>
          <w:w w:val="95"/>
        </w:rPr>
        <w:t>are</w:t>
      </w:r>
      <w:r>
        <w:rPr>
          <w:spacing w:val="-11"/>
          <w:w w:val="95"/>
        </w:rPr>
        <w:t xml:space="preserve"> </w:t>
      </w:r>
      <w:r>
        <w:rPr>
          <w:w w:val="95"/>
        </w:rPr>
        <w:t>not</w:t>
      </w:r>
      <w:r>
        <w:rPr>
          <w:spacing w:val="-11"/>
          <w:w w:val="95"/>
        </w:rPr>
        <w:t xml:space="preserve"> </w:t>
      </w:r>
      <w:r>
        <w:rPr>
          <w:w w:val="95"/>
        </w:rPr>
        <w:t>correct.</w:t>
      </w:r>
      <w:r>
        <w:rPr>
          <w:spacing w:val="-11"/>
          <w:w w:val="95"/>
        </w:rPr>
        <w:t xml:space="preserve"> </w:t>
      </w:r>
      <w:r>
        <w:rPr>
          <w:w w:val="95"/>
        </w:rPr>
        <w:t xml:space="preserve">Relatively </w:t>
      </w:r>
      <w:r>
        <w:t>few</w:t>
      </w:r>
      <w:r>
        <w:rPr>
          <w:spacing w:val="-14"/>
        </w:rPr>
        <w:t xml:space="preserve"> </w:t>
      </w:r>
      <w:r>
        <w:t>private</w:t>
      </w:r>
      <w:r>
        <w:rPr>
          <w:spacing w:val="-14"/>
        </w:rPr>
        <w:t xml:space="preserve"> </w:t>
      </w:r>
      <w:r>
        <w:t>road</w:t>
      </w:r>
      <w:r>
        <w:rPr>
          <w:spacing w:val="-14"/>
        </w:rPr>
        <w:t xml:space="preserve"> </w:t>
      </w:r>
      <w:r>
        <w:t>journeys</w:t>
      </w:r>
      <w:r>
        <w:rPr>
          <w:spacing w:val="-14"/>
        </w:rPr>
        <w:t xml:space="preserve"> </w:t>
      </w:r>
      <w:r>
        <w:t>on</w:t>
      </w:r>
      <w:r>
        <w:rPr>
          <w:spacing w:val="-14"/>
        </w:rPr>
        <w:t xml:space="preserve"> </w:t>
      </w:r>
      <w:r>
        <w:t>the</w:t>
      </w:r>
      <w:r>
        <w:rPr>
          <w:spacing w:val="-14"/>
        </w:rPr>
        <w:t xml:space="preserve"> </w:t>
      </w:r>
      <w:r>
        <w:t>SSRN</w:t>
      </w:r>
      <w:r>
        <w:rPr>
          <w:spacing w:val="-14"/>
        </w:rPr>
        <w:t xml:space="preserve"> </w:t>
      </w:r>
      <w:r>
        <w:t>terminate</w:t>
      </w:r>
      <w:r>
        <w:rPr>
          <w:spacing w:val="-14"/>
        </w:rPr>
        <w:t xml:space="preserve"> </w:t>
      </w:r>
      <w:r>
        <w:t>in Sydney’s</w:t>
      </w:r>
      <w:r>
        <w:rPr>
          <w:spacing w:val="-11"/>
        </w:rPr>
        <w:t xml:space="preserve"> </w:t>
      </w:r>
      <w:r>
        <w:t>CBD,</w:t>
      </w:r>
      <w:r>
        <w:rPr>
          <w:spacing w:val="-11"/>
        </w:rPr>
        <w:t xml:space="preserve"> </w:t>
      </w:r>
      <w:r>
        <w:t>where,</w:t>
      </w:r>
      <w:r>
        <w:rPr>
          <w:spacing w:val="-11"/>
        </w:rPr>
        <w:t xml:space="preserve"> </w:t>
      </w:r>
      <w:r>
        <w:t>as</w:t>
      </w:r>
      <w:r>
        <w:rPr>
          <w:spacing w:val="-11"/>
        </w:rPr>
        <w:t xml:space="preserve"> </w:t>
      </w:r>
      <w:r>
        <w:t>Section</w:t>
      </w:r>
      <w:r>
        <w:rPr>
          <w:spacing w:val="-11"/>
        </w:rPr>
        <w:t xml:space="preserve"> </w:t>
      </w:r>
      <w:r>
        <w:t>3</w:t>
      </w:r>
      <w:r>
        <w:rPr>
          <w:spacing w:val="-11"/>
        </w:rPr>
        <w:t xml:space="preserve"> </w:t>
      </w:r>
      <w:r>
        <w:t>notes,</w:t>
      </w:r>
      <w:r>
        <w:rPr>
          <w:spacing w:val="-11"/>
        </w:rPr>
        <w:t xml:space="preserve"> </w:t>
      </w:r>
      <w:r>
        <w:t>public transport</w:t>
      </w:r>
      <w:r>
        <w:rPr>
          <w:spacing w:val="-14"/>
        </w:rPr>
        <w:t xml:space="preserve"> </w:t>
      </w:r>
      <w:r>
        <w:t>has</w:t>
      </w:r>
      <w:r>
        <w:rPr>
          <w:spacing w:val="-14"/>
        </w:rPr>
        <w:t xml:space="preserve"> </w:t>
      </w:r>
      <w:r>
        <w:t>a</w:t>
      </w:r>
      <w:r>
        <w:rPr>
          <w:spacing w:val="-14"/>
        </w:rPr>
        <w:t xml:space="preserve"> </w:t>
      </w:r>
      <w:r>
        <w:t>75</w:t>
      </w:r>
      <w:r>
        <w:rPr>
          <w:spacing w:val="-14"/>
        </w:rPr>
        <w:t xml:space="preserve"> </w:t>
      </w:r>
      <w:r>
        <w:t>percent</w:t>
      </w:r>
      <w:r>
        <w:rPr>
          <w:spacing w:val="-14"/>
        </w:rPr>
        <w:t xml:space="preserve"> </w:t>
      </w:r>
      <w:r>
        <w:t>modal</w:t>
      </w:r>
      <w:r>
        <w:rPr>
          <w:spacing w:val="-14"/>
        </w:rPr>
        <w:t xml:space="preserve"> </w:t>
      </w:r>
      <w:r>
        <w:t>share</w:t>
      </w:r>
      <w:r>
        <w:rPr>
          <w:spacing w:val="-14"/>
        </w:rPr>
        <w:t xml:space="preserve"> </w:t>
      </w:r>
      <w:r>
        <w:t>in</w:t>
      </w:r>
      <w:r>
        <w:rPr>
          <w:spacing w:val="-14"/>
        </w:rPr>
        <w:t xml:space="preserve"> </w:t>
      </w:r>
      <w:r>
        <w:t>peak</w:t>
      </w:r>
      <w:r>
        <w:rPr>
          <w:spacing w:val="-14"/>
        </w:rPr>
        <w:t xml:space="preserve"> </w:t>
      </w:r>
      <w:r>
        <w:t>hours.</w:t>
      </w:r>
    </w:p>
    <w:p w:rsidR="002C1123" w:rsidRDefault="00F22F94">
      <w:pPr>
        <w:pStyle w:val="BodyText"/>
        <w:spacing w:before="147" w:line="249" w:lineRule="auto"/>
        <w:ind w:left="492"/>
      </w:pPr>
      <w:r>
        <w:t>Instead,</w:t>
      </w:r>
      <w:r>
        <w:rPr>
          <w:spacing w:val="-14"/>
        </w:rPr>
        <w:t xml:space="preserve"> </w:t>
      </w:r>
      <w:r>
        <w:t>the</w:t>
      </w:r>
      <w:r>
        <w:rPr>
          <w:spacing w:val="-14"/>
        </w:rPr>
        <w:t xml:space="preserve"> </w:t>
      </w:r>
      <w:r>
        <w:t>SSRN</w:t>
      </w:r>
      <w:r>
        <w:rPr>
          <w:spacing w:val="-14"/>
        </w:rPr>
        <w:t xml:space="preserve"> </w:t>
      </w:r>
      <w:r>
        <w:t>is</w:t>
      </w:r>
      <w:r>
        <w:rPr>
          <w:spacing w:val="-14"/>
        </w:rPr>
        <w:t xml:space="preserve"> </w:t>
      </w:r>
      <w:r>
        <w:t>a</w:t>
      </w:r>
      <w:r>
        <w:rPr>
          <w:spacing w:val="-14"/>
        </w:rPr>
        <w:t xml:space="preserve"> </w:t>
      </w:r>
      <w:r>
        <w:t>distribution</w:t>
      </w:r>
      <w:r>
        <w:rPr>
          <w:spacing w:val="-14"/>
        </w:rPr>
        <w:t xml:space="preserve"> </w:t>
      </w:r>
      <w:r>
        <w:t>system</w:t>
      </w:r>
      <w:r>
        <w:rPr>
          <w:spacing w:val="-14"/>
        </w:rPr>
        <w:t xml:space="preserve"> </w:t>
      </w:r>
      <w:r>
        <w:t>that</w:t>
      </w:r>
      <w:r>
        <w:rPr>
          <w:spacing w:val="-14"/>
        </w:rPr>
        <w:t xml:space="preserve"> </w:t>
      </w:r>
      <w:r>
        <w:t xml:space="preserve">allows </w:t>
      </w:r>
      <w:r>
        <w:rPr>
          <w:w w:val="95"/>
        </w:rPr>
        <w:t>traffic</w:t>
      </w:r>
      <w:r>
        <w:rPr>
          <w:spacing w:val="-1"/>
          <w:w w:val="95"/>
        </w:rPr>
        <w:t xml:space="preserve"> </w:t>
      </w:r>
      <w:r>
        <w:rPr>
          <w:w w:val="95"/>
        </w:rPr>
        <w:t>to</w:t>
      </w:r>
      <w:r>
        <w:rPr>
          <w:spacing w:val="-1"/>
          <w:w w:val="95"/>
        </w:rPr>
        <w:t xml:space="preserve"> </w:t>
      </w:r>
      <w:r>
        <w:rPr>
          <w:w w:val="95"/>
        </w:rPr>
        <w:t>bypass</w:t>
      </w:r>
      <w:r>
        <w:rPr>
          <w:spacing w:val="-1"/>
          <w:w w:val="95"/>
        </w:rPr>
        <w:t xml:space="preserve"> </w:t>
      </w:r>
      <w:r>
        <w:rPr>
          <w:w w:val="95"/>
        </w:rPr>
        <w:t>the</w:t>
      </w:r>
      <w:r>
        <w:rPr>
          <w:spacing w:val="-1"/>
          <w:w w:val="95"/>
        </w:rPr>
        <w:t xml:space="preserve"> </w:t>
      </w:r>
      <w:r>
        <w:rPr>
          <w:w w:val="95"/>
        </w:rPr>
        <w:t>centre</w:t>
      </w:r>
      <w:r>
        <w:rPr>
          <w:spacing w:val="-1"/>
          <w:w w:val="95"/>
        </w:rPr>
        <w:t xml:space="preserve"> </w:t>
      </w:r>
      <w:r>
        <w:rPr>
          <w:w w:val="95"/>
        </w:rPr>
        <w:t>to</w:t>
      </w:r>
      <w:r>
        <w:rPr>
          <w:spacing w:val="-1"/>
          <w:w w:val="95"/>
        </w:rPr>
        <w:t xml:space="preserve"> </w:t>
      </w:r>
      <w:r>
        <w:rPr>
          <w:w w:val="95"/>
        </w:rPr>
        <w:t>access</w:t>
      </w:r>
      <w:r>
        <w:rPr>
          <w:spacing w:val="-1"/>
          <w:w w:val="95"/>
        </w:rPr>
        <w:t xml:space="preserve"> </w:t>
      </w:r>
      <w:r>
        <w:rPr>
          <w:w w:val="95"/>
        </w:rPr>
        <w:t>its</w:t>
      </w:r>
      <w:r>
        <w:rPr>
          <w:spacing w:val="-1"/>
          <w:w w:val="95"/>
        </w:rPr>
        <w:t xml:space="preserve"> </w:t>
      </w:r>
      <w:r>
        <w:rPr>
          <w:w w:val="95"/>
        </w:rPr>
        <w:t>end</w:t>
      </w:r>
      <w:r>
        <w:rPr>
          <w:spacing w:val="-1"/>
          <w:w w:val="95"/>
        </w:rPr>
        <w:t xml:space="preserve"> </w:t>
      </w:r>
      <w:r>
        <w:rPr>
          <w:w w:val="95"/>
        </w:rPr>
        <w:t xml:space="preserve">destination </w:t>
      </w:r>
      <w:r>
        <w:t>at</w:t>
      </w:r>
      <w:r>
        <w:rPr>
          <w:spacing w:val="-10"/>
        </w:rPr>
        <w:t xml:space="preserve"> </w:t>
      </w:r>
      <w:r>
        <w:t>a</w:t>
      </w:r>
      <w:r>
        <w:rPr>
          <w:spacing w:val="-10"/>
        </w:rPr>
        <w:t xml:space="preserve"> </w:t>
      </w:r>
      <w:r>
        <w:t>wide</w:t>
      </w:r>
      <w:r>
        <w:rPr>
          <w:spacing w:val="-10"/>
        </w:rPr>
        <w:t xml:space="preserve"> </w:t>
      </w:r>
      <w:r>
        <w:t>variety</w:t>
      </w:r>
      <w:r>
        <w:rPr>
          <w:spacing w:val="-10"/>
        </w:rPr>
        <w:t xml:space="preserve"> </w:t>
      </w:r>
      <w:r>
        <w:t>of</w:t>
      </w:r>
      <w:r>
        <w:rPr>
          <w:spacing w:val="-10"/>
        </w:rPr>
        <w:t xml:space="preserve"> </w:t>
      </w:r>
      <w:r>
        <w:t>locations</w:t>
      </w:r>
      <w:r>
        <w:rPr>
          <w:spacing w:val="-10"/>
        </w:rPr>
        <w:t xml:space="preserve"> </w:t>
      </w:r>
      <w:r>
        <w:t>dispersed</w:t>
      </w:r>
      <w:r>
        <w:rPr>
          <w:spacing w:val="-10"/>
        </w:rPr>
        <w:t xml:space="preserve"> </w:t>
      </w:r>
      <w:r>
        <w:t>across</w:t>
      </w:r>
      <w:r>
        <w:rPr>
          <w:spacing w:val="-10"/>
        </w:rPr>
        <w:t xml:space="preserve"> </w:t>
      </w:r>
      <w:r>
        <w:t xml:space="preserve">the </w:t>
      </w:r>
      <w:r>
        <w:rPr>
          <w:w w:val="95"/>
        </w:rPr>
        <w:t>metropolitan</w:t>
      </w:r>
      <w:r>
        <w:rPr>
          <w:spacing w:val="-7"/>
          <w:w w:val="95"/>
        </w:rPr>
        <w:t xml:space="preserve"> </w:t>
      </w:r>
      <w:r>
        <w:rPr>
          <w:w w:val="95"/>
        </w:rPr>
        <w:t>area.</w:t>
      </w:r>
      <w:r>
        <w:rPr>
          <w:spacing w:val="-7"/>
          <w:w w:val="95"/>
        </w:rPr>
        <w:t xml:space="preserve"> </w:t>
      </w:r>
      <w:r>
        <w:rPr>
          <w:w w:val="95"/>
        </w:rPr>
        <w:t>The</w:t>
      </w:r>
      <w:r>
        <w:rPr>
          <w:spacing w:val="-7"/>
          <w:w w:val="95"/>
        </w:rPr>
        <w:t xml:space="preserve"> </w:t>
      </w:r>
      <w:r>
        <w:rPr>
          <w:w w:val="95"/>
        </w:rPr>
        <w:t>primary</w:t>
      </w:r>
      <w:r>
        <w:rPr>
          <w:spacing w:val="-7"/>
          <w:w w:val="95"/>
        </w:rPr>
        <w:t xml:space="preserve"> </w:t>
      </w:r>
      <w:r>
        <w:rPr>
          <w:w w:val="95"/>
        </w:rPr>
        <w:t>weakness</w:t>
      </w:r>
      <w:r>
        <w:rPr>
          <w:spacing w:val="-7"/>
          <w:w w:val="95"/>
        </w:rPr>
        <w:t xml:space="preserve"> </w:t>
      </w:r>
      <w:r>
        <w:rPr>
          <w:w w:val="95"/>
        </w:rPr>
        <w:t>in</w:t>
      </w:r>
      <w:r>
        <w:rPr>
          <w:spacing w:val="-7"/>
          <w:w w:val="95"/>
        </w:rPr>
        <w:t xml:space="preserve"> </w:t>
      </w:r>
      <w:r>
        <w:rPr>
          <w:w w:val="95"/>
        </w:rPr>
        <w:t>the</w:t>
      </w:r>
      <w:r>
        <w:rPr>
          <w:spacing w:val="-7"/>
          <w:w w:val="95"/>
        </w:rPr>
        <w:t xml:space="preserve"> </w:t>
      </w:r>
      <w:r>
        <w:rPr>
          <w:w w:val="95"/>
        </w:rPr>
        <w:t xml:space="preserve">existing </w:t>
      </w:r>
      <w:r>
        <w:t>distributor</w:t>
      </w:r>
      <w:r>
        <w:rPr>
          <w:spacing w:val="-13"/>
        </w:rPr>
        <w:t xml:space="preserve"> </w:t>
      </w:r>
      <w:r>
        <w:t>system</w:t>
      </w:r>
      <w:r>
        <w:rPr>
          <w:spacing w:val="-13"/>
        </w:rPr>
        <w:t xml:space="preserve"> </w:t>
      </w:r>
      <w:r>
        <w:t>is</w:t>
      </w:r>
      <w:r>
        <w:rPr>
          <w:spacing w:val="-13"/>
        </w:rPr>
        <w:t xml:space="preserve"> </w:t>
      </w:r>
      <w:r>
        <w:t>a</w:t>
      </w:r>
      <w:r>
        <w:rPr>
          <w:spacing w:val="-13"/>
        </w:rPr>
        <w:t xml:space="preserve"> </w:t>
      </w:r>
      <w:r>
        <w:t>lack</w:t>
      </w:r>
      <w:r>
        <w:rPr>
          <w:spacing w:val="-13"/>
        </w:rPr>
        <w:t xml:space="preserve"> </w:t>
      </w:r>
      <w:r>
        <w:t>of</w:t>
      </w:r>
      <w:r>
        <w:rPr>
          <w:spacing w:val="-13"/>
        </w:rPr>
        <w:t xml:space="preserve"> </w:t>
      </w:r>
      <w:r>
        <w:t>connectivity</w:t>
      </w:r>
      <w:r>
        <w:rPr>
          <w:spacing w:val="-13"/>
        </w:rPr>
        <w:t xml:space="preserve"> </w:t>
      </w:r>
      <w:r>
        <w:t>to</w:t>
      </w:r>
      <w:r>
        <w:rPr>
          <w:spacing w:val="-13"/>
        </w:rPr>
        <w:t xml:space="preserve"> </w:t>
      </w:r>
      <w:r>
        <w:t>the</w:t>
      </w:r>
      <w:r>
        <w:rPr>
          <w:spacing w:val="-13"/>
        </w:rPr>
        <w:t xml:space="preserve"> </w:t>
      </w:r>
      <w:r>
        <w:t>areas South and West of the CBD.</w:t>
      </w:r>
    </w:p>
    <w:p w:rsidR="002C1123" w:rsidRDefault="002060EF">
      <w:pPr>
        <w:pStyle w:val="BodyText"/>
        <w:spacing w:before="2"/>
        <w:rPr>
          <w:sz w:val="19"/>
        </w:rPr>
      </w:pPr>
      <w:r>
        <w:pict>
          <v:shape id="docshape1075" o:spid="_x0000_s4245" style="position:absolute;margin-left:49.6pt;margin-top:12.25pt;width:1in;height:.1pt;z-index:-251393024;mso-wrap-distance-left:0;mso-wrap-distance-right:0;mso-position-horizontal-relative:page" coordorigin="992,245" coordsize="1440,0" path="m992,245r1440,e" filled="f" strokecolor="#9c9c9d" strokeweight=".5pt">
            <v:path arrowok="t"/>
            <w10:wrap type="topAndBottom" anchorx="page"/>
          </v:shape>
        </w:pict>
      </w:r>
    </w:p>
    <w:p w:rsidR="002C1123" w:rsidRDefault="00F22F94">
      <w:pPr>
        <w:pStyle w:val="ListParagraph"/>
        <w:numPr>
          <w:ilvl w:val="1"/>
          <w:numId w:val="95"/>
        </w:numPr>
        <w:tabs>
          <w:tab w:val="left" w:pos="691"/>
        </w:tabs>
        <w:spacing w:before="23"/>
        <w:ind w:left="690" w:right="392"/>
        <w:jc w:val="left"/>
        <w:rPr>
          <w:sz w:val="14"/>
        </w:rPr>
      </w:pPr>
      <w:r>
        <w:rPr>
          <w:w w:val="95"/>
          <w:sz w:val="14"/>
        </w:rPr>
        <w:t>Based upon passenger forecasts in Sydney Airport Corporation 2009,</w:t>
      </w:r>
      <w:r>
        <w:rPr>
          <w:spacing w:val="40"/>
          <w:sz w:val="14"/>
        </w:rPr>
        <w:t xml:space="preserve"> </w:t>
      </w:r>
      <w:r>
        <w:rPr>
          <w:sz w:val="14"/>
        </w:rPr>
        <w:t>Sydney Airport Master Plan.</w:t>
      </w:r>
    </w:p>
    <w:p w:rsidR="002C1123" w:rsidRDefault="00F22F94">
      <w:pPr>
        <w:pStyle w:val="ListParagraph"/>
        <w:numPr>
          <w:ilvl w:val="1"/>
          <w:numId w:val="95"/>
        </w:numPr>
        <w:tabs>
          <w:tab w:val="left" w:pos="691"/>
        </w:tabs>
        <w:ind w:left="690" w:right="449"/>
        <w:jc w:val="left"/>
        <w:rPr>
          <w:sz w:val="14"/>
        </w:rPr>
      </w:pPr>
      <w:r>
        <w:rPr>
          <w:w w:val="95"/>
          <w:sz w:val="14"/>
        </w:rPr>
        <w:t>Based upon Sydney Ports Corporation 2011, Freight Forecasts, and</w:t>
      </w:r>
      <w:r>
        <w:rPr>
          <w:spacing w:val="40"/>
          <w:sz w:val="14"/>
        </w:rPr>
        <w:t xml:space="preserve"> </w:t>
      </w:r>
      <w:r>
        <w:rPr>
          <w:sz w:val="14"/>
        </w:rPr>
        <w:t>assumes 28 percent rail mode share in 2031.</w:t>
      </w:r>
    </w:p>
    <w:p w:rsidR="002C1123" w:rsidRDefault="00F22F94">
      <w:pPr>
        <w:pStyle w:val="Heading6"/>
        <w:numPr>
          <w:ilvl w:val="2"/>
          <w:numId w:val="97"/>
        </w:numPr>
        <w:tabs>
          <w:tab w:val="left" w:pos="736"/>
        </w:tabs>
        <w:ind w:left="735" w:hanging="487"/>
        <w:jc w:val="left"/>
      </w:pPr>
      <w:r>
        <w:rPr>
          <w:b w:val="0"/>
        </w:rPr>
        <w:br w:type="column"/>
      </w:r>
      <w:r>
        <w:rPr>
          <w:color w:val="00AEEF"/>
          <w:spacing w:val="-4"/>
        </w:rPr>
        <w:t>Servicing</w:t>
      </w:r>
      <w:r>
        <w:rPr>
          <w:color w:val="00AEEF"/>
        </w:rPr>
        <w:t xml:space="preserve"> </w:t>
      </w:r>
      <w:r>
        <w:rPr>
          <w:color w:val="00AEEF"/>
          <w:spacing w:val="-4"/>
        </w:rPr>
        <w:t>Greater</w:t>
      </w:r>
      <w:r>
        <w:rPr>
          <w:color w:val="00AEEF"/>
        </w:rPr>
        <w:t xml:space="preserve"> </w:t>
      </w:r>
      <w:r>
        <w:rPr>
          <w:color w:val="00AEEF"/>
          <w:spacing w:val="-4"/>
        </w:rPr>
        <w:t>Sydney</w:t>
      </w:r>
    </w:p>
    <w:p w:rsidR="002C1123" w:rsidRDefault="00F22F94">
      <w:pPr>
        <w:pStyle w:val="BodyText"/>
        <w:spacing w:before="95" w:line="249" w:lineRule="auto"/>
        <w:ind w:left="249"/>
      </w:pPr>
      <w:r>
        <w:t>The</w:t>
      </w:r>
      <w:r>
        <w:rPr>
          <w:spacing w:val="-7"/>
        </w:rPr>
        <w:t xml:space="preserve"> </w:t>
      </w:r>
      <w:r>
        <w:t>M2,</w:t>
      </w:r>
      <w:r>
        <w:rPr>
          <w:spacing w:val="-7"/>
        </w:rPr>
        <w:t xml:space="preserve"> </w:t>
      </w:r>
      <w:r>
        <w:t>M4,</w:t>
      </w:r>
      <w:r>
        <w:rPr>
          <w:spacing w:val="-7"/>
        </w:rPr>
        <w:t xml:space="preserve"> </w:t>
      </w:r>
      <w:r>
        <w:t>M5</w:t>
      </w:r>
      <w:r>
        <w:rPr>
          <w:spacing w:val="-7"/>
        </w:rPr>
        <w:t xml:space="preserve"> </w:t>
      </w:r>
      <w:r>
        <w:t>and</w:t>
      </w:r>
      <w:r>
        <w:rPr>
          <w:spacing w:val="-7"/>
        </w:rPr>
        <w:t xml:space="preserve"> </w:t>
      </w:r>
      <w:r>
        <w:t>M7</w:t>
      </w:r>
      <w:r>
        <w:rPr>
          <w:spacing w:val="-7"/>
        </w:rPr>
        <w:t xml:space="preserve"> </w:t>
      </w:r>
      <w:r>
        <w:t>corridors</w:t>
      </w:r>
      <w:r>
        <w:rPr>
          <w:spacing w:val="-7"/>
        </w:rPr>
        <w:t xml:space="preserve"> </w:t>
      </w:r>
      <w:r>
        <w:t>support</w:t>
      </w:r>
      <w:r>
        <w:rPr>
          <w:spacing w:val="-7"/>
        </w:rPr>
        <w:t xml:space="preserve"> </w:t>
      </w:r>
      <w:r>
        <w:t>the</w:t>
      </w:r>
      <w:r>
        <w:rPr>
          <w:spacing w:val="-7"/>
        </w:rPr>
        <w:t xml:space="preserve"> </w:t>
      </w:r>
      <w:r>
        <w:t xml:space="preserve">travel </w:t>
      </w:r>
      <w:r>
        <w:rPr>
          <w:w w:val="95"/>
        </w:rPr>
        <w:t>needs</w:t>
      </w:r>
      <w:r>
        <w:rPr>
          <w:spacing w:val="-6"/>
          <w:w w:val="95"/>
        </w:rPr>
        <w:t xml:space="preserve"> </w:t>
      </w:r>
      <w:r>
        <w:rPr>
          <w:w w:val="95"/>
        </w:rPr>
        <w:t>of</w:t>
      </w:r>
      <w:r>
        <w:rPr>
          <w:spacing w:val="-6"/>
          <w:w w:val="95"/>
        </w:rPr>
        <w:t xml:space="preserve"> </w:t>
      </w:r>
      <w:r>
        <w:rPr>
          <w:w w:val="95"/>
        </w:rPr>
        <w:t>Greater</w:t>
      </w:r>
      <w:r>
        <w:rPr>
          <w:spacing w:val="-6"/>
          <w:w w:val="95"/>
        </w:rPr>
        <w:t xml:space="preserve"> </w:t>
      </w:r>
      <w:r>
        <w:rPr>
          <w:w w:val="95"/>
        </w:rPr>
        <w:t>Sydney</w:t>
      </w:r>
      <w:r>
        <w:rPr>
          <w:spacing w:val="-6"/>
          <w:w w:val="95"/>
        </w:rPr>
        <w:t xml:space="preserve"> </w:t>
      </w:r>
      <w:r>
        <w:rPr>
          <w:w w:val="95"/>
        </w:rPr>
        <w:t>–</w:t>
      </w:r>
      <w:r>
        <w:rPr>
          <w:spacing w:val="-6"/>
          <w:w w:val="95"/>
        </w:rPr>
        <w:t xml:space="preserve"> </w:t>
      </w:r>
      <w:r>
        <w:rPr>
          <w:w w:val="95"/>
        </w:rPr>
        <w:t>already</w:t>
      </w:r>
      <w:r>
        <w:rPr>
          <w:spacing w:val="-6"/>
          <w:w w:val="95"/>
        </w:rPr>
        <w:t xml:space="preserve"> </w:t>
      </w:r>
      <w:r>
        <w:rPr>
          <w:w w:val="95"/>
        </w:rPr>
        <w:t>home</w:t>
      </w:r>
      <w:r>
        <w:rPr>
          <w:spacing w:val="-6"/>
          <w:w w:val="95"/>
        </w:rPr>
        <w:t xml:space="preserve"> </w:t>
      </w:r>
      <w:r>
        <w:rPr>
          <w:w w:val="95"/>
        </w:rPr>
        <w:t>to</w:t>
      </w:r>
      <w:r>
        <w:rPr>
          <w:spacing w:val="-6"/>
          <w:w w:val="95"/>
        </w:rPr>
        <w:t xml:space="preserve"> </w:t>
      </w:r>
      <w:r>
        <w:rPr>
          <w:w w:val="95"/>
        </w:rPr>
        <w:t>almost</w:t>
      </w:r>
      <w:r>
        <w:rPr>
          <w:spacing w:val="-6"/>
          <w:w w:val="95"/>
        </w:rPr>
        <w:t xml:space="preserve"> </w:t>
      </w:r>
      <w:r>
        <w:rPr>
          <w:w w:val="95"/>
        </w:rPr>
        <w:t>three quarters</w:t>
      </w:r>
      <w:r>
        <w:rPr>
          <w:spacing w:val="-2"/>
          <w:w w:val="95"/>
        </w:rPr>
        <w:t xml:space="preserve"> </w:t>
      </w:r>
      <w:r>
        <w:rPr>
          <w:w w:val="95"/>
        </w:rPr>
        <w:t>of</w:t>
      </w:r>
      <w:r>
        <w:rPr>
          <w:spacing w:val="-2"/>
          <w:w w:val="95"/>
        </w:rPr>
        <w:t xml:space="preserve"> </w:t>
      </w:r>
      <w:r>
        <w:rPr>
          <w:w w:val="95"/>
        </w:rPr>
        <w:t>Sydney’s</w:t>
      </w:r>
      <w:r>
        <w:rPr>
          <w:spacing w:val="-2"/>
          <w:w w:val="95"/>
        </w:rPr>
        <w:t xml:space="preserve"> </w:t>
      </w:r>
      <w:r>
        <w:rPr>
          <w:w w:val="95"/>
        </w:rPr>
        <w:t>population.</w:t>
      </w:r>
      <w:r>
        <w:rPr>
          <w:spacing w:val="-2"/>
          <w:w w:val="95"/>
        </w:rPr>
        <w:t xml:space="preserve"> </w:t>
      </w:r>
      <w:r>
        <w:rPr>
          <w:w w:val="95"/>
        </w:rPr>
        <w:t>Over</w:t>
      </w:r>
      <w:r>
        <w:rPr>
          <w:spacing w:val="-2"/>
          <w:w w:val="95"/>
        </w:rPr>
        <w:t xml:space="preserve"> </w:t>
      </w:r>
      <w:r>
        <w:rPr>
          <w:w w:val="95"/>
        </w:rPr>
        <w:t>the</w:t>
      </w:r>
      <w:r>
        <w:rPr>
          <w:spacing w:val="-2"/>
          <w:w w:val="95"/>
        </w:rPr>
        <w:t xml:space="preserve"> </w:t>
      </w:r>
      <w:r>
        <w:rPr>
          <w:w w:val="95"/>
        </w:rPr>
        <w:t>next</w:t>
      </w:r>
      <w:r>
        <w:rPr>
          <w:spacing w:val="-2"/>
          <w:w w:val="95"/>
        </w:rPr>
        <w:t xml:space="preserve"> </w:t>
      </w:r>
      <w:r>
        <w:rPr>
          <w:w w:val="95"/>
        </w:rPr>
        <w:t>20</w:t>
      </w:r>
      <w:r>
        <w:rPr>
          <w:spacing w:val="-2"/>
          <w:w w:val="95"/>
        </w:rPr>
        <w:t xml:space="preserve"> </w:t>
      </w:r>
      <w:r>
        <w:rPr>
          <w:w w:val="95"/>
        </w:rPr>
        <w:t>years, most</w:t>
      </w:r>
      <w:r>
        <w:rPr>
          <w:spacing w:val="-6"/>
          <w:w w:val="95"/>
        </w:rPr>
        <w:t xml:space="preserve"> </w:t>
      </w:r>
      <w:r>
        <w:rPr>
          <w:w w:val="95"/>
        </w:rPr>
        <w:t>residential</w:t>
      </w:r>
      <w:r>
        <w:rPr>
          <w:spacing w:val="-6"/>
          <w:w w:val="95"/>
        </w:rPr>
        <w:t xml:space="preserve"> </w:t>
      </w:r>
      <w:r>
        <w:rPr>
          <w:w w:val="95"/>
        </w:rPr>
        <w:t>growth</w:t>
      </w:r>
      <w:r>
        <w:rPr>
          <w:spacing w:val="-6"/>
          <w:w w:val="95"/>
        </w:rPr>
        <w:t xml:space="preserve"> </w:t>
      </w:r>
      <w:r>
        <w:rPr>
          <w:w w:val="95"/>
        </w:rPr>
        <w:t>in</w:t>
      </w:r>
      <w:r>
        <w:rPr>
          <w:spacing w:val="-6"/>
          <w:w w:val="95"/>
        </w:rPr>
        <w:t xml:space="preserve"> </w:t>
      </w:r>
      <w:r>
        <w:rPr>
          <w:w w:val="95"/>
        </w:rPr>
        <w:t>the</w:t>
      </w:r>
      <w:r>
        <w:rPr>
          <w:spacing w:val="-6"/>
          <w:w w:val="95"/>
        </w:rPr>
        <w:t xml:space="preserve"> </w:t>
      </w:r>
      <w:r>
        <w:rPr>
          <w:w w:val="95"/>
        </w:rPr>
        <w:t>metropolitan</w:t>
      </w:r>
      <w:r>
        <w:rPr>
          <w:spacing w:val="-6"/>
          <w:w w:val="95"/>
        </w:rPr>
        <w:t xml:space="preserve"> </w:t>
      </w:r>
      <w:r>
        <w:rPr>
          <w:w w:val="95"/>
        </w:rPr>
        <w:t>area</w:t>
      </w:r>
      <w:r>
        <w:rPr>
          <w:spacing w:val="-6"/>
          <w:w w:val="95"/>
        </w:rPr>
        <w:t xml:space="preserve"> </w:t>
      </w:r>
      <w:r>
        <w:rPr>
          <w:w w:val="95"/>
        </w:rPr>
        <w:t>will</w:t>
      </w:r>
      <w:r>
        <w:rPr>
          <w:spacing w:val="-6"/>
          <w:w w:val="95"/>
        </w:rPr>
        <w:t xml:space="preserve"> </w:t>
      </w:r>
      <w:r>
        <w:rPr>
          <w:w w:val="95"/>
        </w:rPr>
        <w:t>be</w:t>
      </w:r>
      <w:r>
        <w:rPr>
          <w:spacing w:val="-6"/>
          <w:w w:val="95"/>
        </w:rPr>
        <w:t xml:space="preserve"> </w:t>
      </w:r>
      <w:r>
        <w:rPr>
          <w:w w:val="95"/>
        </w:rPr>
        <w:t xml:space="preserve">in </w:t>
      </w:r>
      <w:r>
        <w:rPr>
          <w:spacing w:val="-2"/>
        </w:rPr>
        <w:t>Greater</w:t>
      </w:r>
      <w:r>
        <w:rPr>
          <w:spacing w:val="-8"/>
        </w:rPr>
        <w:t xml:space="preserve"> </w:t>
      </w:r>
      <w:r>
        <w:rPr>
          <w:spacing w:val="-2"/>
        </w:rPr>
        <w:t>Sydney,</w:t>
      </w:r>
      <w:r>
        <w:rPr>
          <w:spacing w:val="-8"/>
        </w:rPr>
        <w:t xml:space="preserve"> </w:t>
      </w:r>
      <w:r>
        <w:rPr>
          <w:spacing w:val="-2"/>
        </w:rPr>
        <w:t>through</w:t>
      </w:r>
      <w:r>
        <w:rPr>
          <w:spacing w:val="-8"/>
        </w:rPr>
        <w:t xml:space="preserve"> </w:t>
      </w:r>
      <w:r>
        <w:rPr>
          <w:spacing w:val="-2"/>
        </w:rPr>
        <w:t>in-fill</w:t>
      </w:r>
      <w:r>
        <w:rPr>
          <w:spacing w:val="-8"/>
        </w:rPr>
        <w:t xml:space="preserve"> </w:t>
      </w:r>
      <w:r>
        <w:rPr>
          <w:spacing w:val="-2"/>
        </w:rPr>
        <w:t>and</w:t>
      </w:r>
      <w:r>
        <w:rPr>
          <w:spacing w:val="-8"/>
        </w:rPr>
        <w:t xml:space="preserve"> </w:t>
      </w:r>
      <w:r>
        <w:rPr>
          <w:spacing w:val="-2"/>
        </w:rPr>
        <w:t>on</w:t>
      </w:r>
      <w:r>
        <w:rPr>
          <w:spacing w:val="-8"/>
        </w:rPr>
        <w:t xml:space="preserve"> </w:t>
      </w:r>
      <w:r>
        <w:rPr>
          <w:spacing w:val="-2"/>
        </w:rPr>
        <w:t>greenfield</w:t>
      </w:r>
      <w:r>
        <w:rPr>
          <w:spacing w:val="-8"/>
        </w:rPr>
        <w:t xml:space="preserve"> </w:t>
      </w:r>
      <w:r>
        <w:rPr>
          <w:spacing w:val="-2"/>
        </w:rPr>
        <w:t>sites.</w:t>
      </w:r>
    </w:p>
    <w:p w:rsidR="002C1123" w:rsidRDefault="00F22F94">
      <w:pPr>
        <w:pStyle w:val="BodyText"/>
        <w:spacing w:before="146" w:line="249" w:lineRule="auto"/>
        <w:ind w:left="249"/>
      </w:pPr>
      <w:r>
        <w:rPr>
          <w:w w:val="95"/>
        </w:rPr>
        <w:t xml:space="preserve">As Section 4 notes, most Sydney residents do not work </w:t>
      </w:r>
      <w:r>
        <w:t>in</w:t>
      </w:r>
      <w:r>
        <w:rPr>
          <w:spacing w:val="-8"/>
        </w:rPr>
        <w:t xml:space="preserve"> </w:t>
      </w:r>
      <w:r>
        <w:t>defined</w:t>
      </w:r>
      <w:r>
        <w:rPr>
          <w:spacing w:val="-8"/>
        </w:rPr>
        <w:t xml:space="preserve"> </w:t>
      </w:r>
      <w:r>
        <w:t>metropolitan</w:t>
      </w:r>
      <w:r>
        <w:rPr>
          <w:spacing w:val="-8"/>
        </w:rPr>
        <w:t xml:space="preserve"> </w:t>
      </w:r>
      <w:r>
        <w:t>centres.</w:t>
      </w:r>
      <w:r>
        <w:rPr>
          <w:spacing w:val="-8"/>
        </w:rPr>
        <w:t xml:space="preserve"> </w:t>
      </w:r>
      <w:r>
        <w:t>Some</w:t>
      </w:r>
      <w:r>
        <w:rPr>
          <w:spacing w:val="-8"/>
        </w:rPr>
        <w:t xml:space="preserve"> </w:t>
      </w:r>
      <w:r>
        <w:t>60</w:t>
      </w:r>
      <w:r>
        <w:rPr>
          <w:spacing w:val="-8"/>
        </w:rPr>
        <w:t xml:space="preserve"> </w:t>
      </w:r>
      <w:r>
        <w:t>percent</w:t>
      </w:r>
      <w:r>
        <w:rPr>
          <w:spacing w:val="-8"/>
        </w:rPr>
        <w:t xml:space="preserve"> </w:t>
      </w:r>
      <w:r>
        <w:t xml:space="preserve">of </w:t>
      </w:r>
      <w:r>
        <w:rPr>
          <w:w w:val="95"/>
        </w:rPr>
        <w:t>employment is dispersed across the metropolitan area</w:t>
      </w:r>
      <w:r>
        <w:rPr>
          <w:w w:val="95"/>
          <w:position w:val="7"/>
          <w:sz w:val="11"/>
        </w:rPr>
        <w:t>6</w:t>
      </w:r>
      <w:r>
        <w:rPr>
          <w:w w:val="95"/>
        </w:rPr>
        <w:t>.</w:t>
      </w:r>
    </w:p>
    <w:p w:rsidR="002C1123" w:rsidRDefault="00F22F94">
      <w:pPr>
        <w:pStyle w:val="BodyText"/>
        <w:spacing w:before="2" w:line="249" w:lineRule="auto"/>
        <w:ind w:left="249" w:right="34"/>
      </w:pPr>
      <w:r>
        <w:t>Public</w:t>
      </w:r>
      <w:r>
        <w:rPr>
          <w:spacing w:val="-8"/>
        </w:rPr>
        <w:t xml:space="preserve"> </w:t>
      </w:r>
      <w:r>
        <w:t>transport</w:t>
      </w:r>
      <w:r>
        <w:rPr>
          <w:spacing w:val="-8"/>
        </w:rPr>
        <w:t xml:space="preserve"> </w:t>
      </w:r>
      <w:r>
        <w:t>cannot</w:t>
      </w:r>
      <w:r>
        <w:rPr>
          <w:spacing w:val="-8"/>
        </w:rPr>
        <w:t xml:space="preserve"> </w:t>
      </w:r>
      <w:r>
        <w:t>viably</w:t>
      </w:r>
      <w:r>
        <w:rPr>
          <w:spacing w:val="-8"/>
        </w:rPr>
        <w:t xml:space="preserve"> </w:t>
      </w:r>
      <w:r>
        <w:t>serve</w:t>
      </w:r>
      <w:r>
        <w:rPr>
          <w:spacing w:val="-8"/>
        </w:rPr>
        <w:t xml:space="preserve"> </w:t>
      </w:r>
      <w:r>
        <w:t>most</w:t>
      </w:r>
      <w:r>
        <w:rPr>
          <w:spacing w:val="-8"/>
        </w:rPr>
        <w:t xml:space="preserve"> </w:t>
      </w:r>
      <w:r>
        <w:t>of</w:t>
      </w:r>
      <w:r>
        <w:rPr>
          <w:spacing w:val="-8"/>
        </w:rPr>
        <w:t xml:space="preserve"> </w:t>
      </w:r>
      <w:r>
        <w:t xml:space="preserve">these </w:t>
      </w:r>
      <w:r>
        <w:rPr>
          <w:w w:val="95"/>
        </w:rPr>
        <w:t>jobs.</w:t>
      </w:r>
      <w:r>
        <w:rPr>
          <w:spacing w:val="-5"/>
          <w:w w:val="95"/>
        </w:rPr>
        <w:t xml:space="preserve"> </w:t>
      </w:r>
      <w:r>
        <w:rPr>
          <w:w w:val="95"/>
        </w:rPr>
        <w:t>Many</w:t>
      </w:r>
      <w:r>
        <w:rPr>
          <w:spacing w:val="-5"/>
          <w:w w:val="95"/>
        </w:rPr>
        <w:t xml:space="preserve"> </w:t>
      </w:r>
      <w:r>
        <w:rPr>
          <w:w w:val="95"/>
        </w:rPr>
        <w:t>other</w:t>
      </w:r>
      <w:r>
        <w:rPr>
          <w:spacing w:val="-5"/>
          <w:w w:val="95"/>
        </w:rPr>
        <w:t xml:space="preserve"> </w:t>
      </w:r>
      <w:r>
        <w:rPr>
          <w:w w:val="95"/>
        </w:rPr>
        <w:t>significant</w:t>
      </w:r>
      <w:r>
        <w:rPr>
          <w:spacing w:val="-5"/>
          <w:w w:val="95"/>
        </w:rPr>
        <w:t xml:space="preserve"> </w:t>
      </w:r>
      <w:r>
        <w:rPr>
          <w:w w:val="95"/>
        </w:rPr>
        <w:t>journey</w:t>
      </w:r>
      <w:r>
        <w:rPr>
          <w:spacing w:val="-5"/>
          <w:w w:val="95"/>
        </w:rPr>
        <w:t xml:space="preserve"> </w:t>
      </w:r>
      <w:r>
        <w:rPr>
          <w:w w:val="95"/>
        </w:rPr>
        <w:t>patterns,</w:t>
      </w:r>
      <w:r>
        <w:rPr>
          <w:spacing w:val="-5"/>
          <w:w w:val="95"/>
        </w:rPr>
        <w:t xml:space="preserve"> </w:t>
      </w:r>
      <w:r>
        <w:rPr>
          <w:w w:val="95"/>
        </w:rPr>
        <w:t>such</w:t>
      </w:r>
      <w:r>
        <w:rPr>
          <w:spacing w:val="-5"/>
          <w:w w:val="95"/>
        </w:rPr>
        <w:t xml:space="preserve"> </w:t>
      </w:r>
      <w:r>
        <w:rPr>
          <w:w w:val="95"/>
        </w:rPr>
        <w:t xml:space="preserve">as triangular or multi-stop trips, are also most effectively </w:t>
      </w:r>
      <w:r>
        <w:t>served by private vehicles.</w:t>
      </w:r>
    </w:p>
    <w:p w:rsidR="002C1123" w:rsidRDefault="00F22F94">
      <w:pPr>
        <w:pStyle w:val="BodyText"/>
        <w:spacing w:before="145" w:line="249" w:lineRule="auto"/>
        <w:ind w:left="249" w:right="114"/>
      </w:pPr>
      <w:r>
        <w:rPr>
          <w:w w:val="95"/>
        </w:rPr>
        <w:t>A</w:t>
      </w:r>
      <w:r>
        <w:rPr>
          <w:spacing w:val="-7"/>
          <w:w w:val="95"/>
        </w:rPr>
        <w:t xml:space="preserve"> </w:t>
      </w:r>
      <w:r>
        <w:rPr>
          <w:w w:val="95"/>
        </w:rPr>
        <w:t>significant</w:t>
      </w:r>
      <w:r>
        <w:rPr>
          <w:spacing w:val="-7"/>
          <w:w w:val="95"/>
        </w:rPr>
        <w:t xml:space="preserve"> </w:t>
      </w:r>
      <w:r>
        <w:rPr>
          <w:w w:val="95"/>
        </w:rPr>
        <w:t>proportion</w:t>
      </w:r>
      <w:r>
        <w:rPr>
          <w:spacing w:val="-7"/>
          <w:w w:val="95"/>
        </w:rPr>
        <w:t xml:space="preserve"> </w:t>
      </w:r>
      <w:r>
        <w:rPr>
          <w:w w:val="95"/>
        </w:rPr>
        <w:t>of</w:t>
      </w:r>
      <w:r>
        <w:rPr>
          <w:spacing w:val="-7"/>
          <w:w w:val="95"/>
        </w:rPr>
        <w:t xml:space="preserve"> </w:t>
      </w:r>
      <w:r>
        <w:rPr>
          <w:w w:val="95"/>
        </w:rPr>
        <w:t>journeys</w:t>
      </w:r>
      <w:r>
        <w:rPr>
          <w:spacing w:val="-7"/>
          <w:w w:val="95"/>
        </w:rPr>
        <w:t xml:space="preserve"> </w:t>
      </w:r>
      <w:r>
        <w:rPr>
          <w:w w:val="95"/>
        </w:rPr>
        <w:t>on</w:t>
      </w:r>
      <w:r>
        <w:rPr>
          <w:spacing w:val="-7"/>
          <w:w w:val="95"/>
        </w:rPr>
        <w:t xml:space="preserve"> </w:t>
      </w:r>
      <w:r>
        <w:rPr>
          <w:w w:val="95"/>
        </w:rPr>
        <w:t>the</w:t>
      </w:r>
      <w:r>
        <w:rPr>
          <w:spacing w:val="-7"/>
          <w:w w:val="95"/>
        </w:rPr>
        <w:t xml:space="preserve"> </w:t>
      </w:r>
      <w:r>
        <w:rPr>
          <w:w w:val="95"/>
        </w:rPr>
        <w:t>SSRN</w:t>
      </w:r>
      <w:r>
        <w:rPr>
          <w:spacing w:val="-7"/>
          <w:w w:val="95"/>
        </w:rPr>
        <w:t xml:space="preserve"> </w:t>
      </w:r>
      <w:r>
        <w:rPr>
          <w:w w:val="95"/>
        </w:rPr>
        <w:t>are</w:t>
      </w:r>
      <w:r>
        <w:rPr>
          <w:spacing w:val="-7"/>
          <w:w w:val="95"/>
        </w:rPr>
        <w:t xml:space="preserve"> </w:t>
      </w:r>
      <w:r>
        <w:rPr>
          <w:w w:val="95"/>
        </w:rPr>
        <w:t xml:space="preserve">for </w:t>
      </w:r>
      <w:r>
        <w:t>business-related</w:t>
      </w:r>
      <w:r>
        <w:rPr>
          <w:spacing w:val="-11"/>
        </w:rPr>
        <w:t xml:space="preserve"> </w:t>
      </w:r>
      <w:r>
        <w:t>travel.</w:t>
      </w:r>
      <w:r>
        <w:rPr>
          <w:spacing w:val="-11"/>
        </w:rPr>
        <w:t xml:space="preserve"> </w:t>
      </w:r>
      <w:r>
        <w:t>On</w:t>
      </w:r>
      <w:r>
        <w:rPr>
          <w:spacing w:val="-11"/>
        </w:rPr>
        <w:t xml:space="preserve"> </w:t>
      </w:r>
      <w:r>
        <w:t>the</w:t>
      </w:r>
      <w:r>
        <w:rPr>
          <w:spacing w:val="-11"/>
        </w:rPr>
        <w:t xml:space="preserve"> </w:t>
      </w:r>
      <w:r>
        <w:t>M4</w:t>
      </w:r>
      <w:r>
        <w:rPr>
          <w:spacing w:val="-11"/>
        </w:rPr>
        <w:t xml:space="preserve"> </w:t>
      </w:r>
      <w:r>
        <w:t>and</w:t>
      </w:r>
      <w:r>
        <w:rPr>
          <w:spacing w:val="-11"/>
        </w:rPr>
        <w:t xml:space="preserve"> </w:t>
      </w:r>
      <w:r>
        <w:t>M5</w:t>
      </w:r>
      <w:r>
        <w:rPr>
          <w:spacing w:val="-11"/>
        </w:rPr>
        <w:t xml:space="preserve"> </w:t>
      </w:r>
      <w:r>
        <w:t>corridors, around</w:t>
      </w:r>
      <w:r>
        <w:rPr>
          <w:spacing w:val="-14"/>
        </w:rPr>
        <w:t xml:space="preserve"> </w:t>
      </w:r>
      <w:r>
        <w:t>40</w:t>
      </w:r>
      <w:r>
        <w:rPr>
          <w:spacing w:val="-14"/>
        </w:rPr>
        <w:t xml:space="preserve"> </w:t>
      </w:r>
      <w:r>
        <w:t>percent</w:t>
      </w:r>
      <w:r>
        <w:rPr>
          <w:spacing w:val="-14"/>
        </w:rPr>
        <w:t xml:space="preserve"> </w:t>
      </w:r>
      <w:r>
        <w:t>of</w:t>
      </w:r>
      <w:r>
        <w:rPr>
          <w:spacing w:val="-14"/>
        </w:rPr>
        <w:t xml:space="preserve"> </w:t>
      </w:r>
      <w:r>
        <w:t>users</w:t>
      </w:r>
      <w:r>
        <w:rPr>
          <w:spacing w:val="-14"/>
        </w:rPr>
        <w:t xml:space="preserve"> </w:t>
      </w:r>
      <w:r>
        <w:t>during</w:t>
      </w:r>
      <w:r>
        <w:rPr>
          <w:spacing w:val="-14"/>
        </w:rPr>
        <w:t xml:space="preserve"> </w:t>
      </w:r>
      <w:r>
        <w:t>business</w:t>
      </w:r>
      <w:r>
        <w:rPr>
          <w:spacing w:val="-14"/>
        </w:rPr>
        <w:t xml:space="preserve"> </w:t>
      </w:r>
      <w:r>
        <w:t>hours</w:t>
      </w:r>
      <w:r>
        <w:rPr>
          <w:spacing w:val="-14"/>
        </w:rPr>
        <w:t xml:space="preserve"> </w:t>
      </w:r>
      <w:r>
        <w:t>are on</w:t>
      </w:r>
      <w:r>
        <w:rPr>
          <w:spacing w:val="-14"/>
        </w:rPr>
        <w:t xml:space="preserve"> </w:t>
      </w:r>
      <w:r>
        <w:t>work-related</w:t>
      </w:r>
      <w:r>
        <w:rPr>
          <w:spacing w:val="-14"/>
        </w:rPr>
        <w:t xml:space="preserve"> </w:t>
      </w:r>
      <w:r>
        <w:t>business</w:t>
      </w:r>
      <w:r>
        <w:rPr>
          <w:position w:val="7"/>
          <w:sz w:val="11"/>
        </w:rPr>
        <w:t>7</w:t>
      </w:r>
      <w:r>
        <w:t>.</w:t>
      </w:r>
      <w:r>
        <w:rPr>
          <w:spacing w:val="-14"/>
        </w:rPr>
        <w:t xml:space="preserve"> </w:t>
      </w:r>
      <w:r>
        <w:t>Road</w:t>
      </w:r>
      <w:r>
        <w:rPr>
          <w:spacing w:val="-14"/>
        </w:rPr>
        <w:t xml:space="preserve"> </w:t>
      </w:r>
      <w:r>
        <w:t>travel</w:t>
      </w:r>
      <w:r>
        <w:rPr>
          <w:spacing w:val="-14"/>
        </w:rPr>
        <w:t xml:space="preserve"> </w:t>
      </w:r>
      <w:r>
        <w:t>is</w:t>
      </w:r>
      <w:r>
        <w:rPr>
          <w:spacing w:val="-14"/>
        </w:rPr>
        <w:t xml:space="preserve"> </w:t>
      </w:r>
      <w:r>
        <w:t>the</w:t>
      </w:r>
      <w:r>
        <w:rPr>
          <w:spacing w:val="-14"/>
        </w:rPr>
        <w:t xml:space="preserve"> </w:t>
      </w:r>
      <w:r>
        <w:t>most suitable</w:t>
      </w:r>
      <w:r>
        <w:rPr>
          <w:spacing w:val="-13"/>
        </w:rPr>
        <w:t xml:space="preserve"> </w:t>
      </w:r>
      <w:r>
        <w:t>choice</w:t>
      </w:r>
      <w:r>
        <w:rPr>
          <w:spacing w:val="-13"/>
        </w:rPr>
        <w:t xml:space="preserve"> </w:t>
      </w:r>
      <w:r>
        <w:t>for</w:t>
      </w:r>
      <w:r>
        <w:rPr>
          <w:spacing w:val="-13"/>
        </w:rPr>
        <w:t xml:space="preserve"> </w:t>
      </w:r>
      <w:r>
        <w:t>workers</w:t>
      </w:r>
      <w:r>
        <w:rPr>
          <w:spacing w:val="-13"/>
        </w:rPr>
        <w:t xml:space="preserve"> </w:t>
      </w:r>
      <w:r>
        <w:t>travelling</w:t>
      </w:r>
      <w:r>
        <w:rPr>
          <w:spacing w:val="-13"/>
        </w:rPr>
        <w:t xml:space="preserve"> </w:t>
      </w:r>
      <w:r>
        <w:t>between</w:t>
      </w:r>
      <w:r>
        <w:rPr>
          <w:spacing w:val="-13"/>
        </w:rPr>
        <w:t xml:space="preserve"> </w:t>
      </w:r>
      <w:r>
        <w:t xml:space="preserve">widely </w:t>
      </w:r>
      <w:r>
        <w:rPr>
          <w:spacing w:val="-2"/>
        </w:rPr>
        <w:t>dispersed</w:t>
      </w:r>
      <w:r>
        <w:rPr>
          <w:spacing w:val="-4"/>
        </w:rPr>
        <w:t xml:space="preserve"> </w:t>
      </w:r>
      <w:r>
        <w:rPr>
          <w:spacing w:val="-2"/>
        </w:rPr>
        <w:t>locations</w:t>
      </w:r>
      <w:r>
        <w:rPr>
          <w:spacing w:val="-4"/>
        </w:rPr>
        <w:t xml:space="preserve"> </w:t>
      </w:r>
      <w:r>
        <w:rPr>
          <w:spacing w:val="-2"/>
        </w:rPr>
        <w:t>(eg</w:t>
      </w:r>
      <w:r>
        <w:rPr>
          <w:spacing w:val="-4"/>
        </w:rPr>
        <w:t xml:space="preserve"> </w:t>
      </w:r>
      <w:r>
        <w:rPr>
          <w:spacing w:val="-2"/>
        </w:rPr>
        <w:t>sales</w:t>
      </w:r>
      <w:r>
        <w:rPr>
          <w:spacing w:val="-4"/>
        </w:rPr>
        <w:t xml:space="preserve"> </w:t>
      </w:r>
      <w:r>
        <w:rPr>
          <w:spacing w:val="-2"/>
        </w:rPr>
        <w:t>representatives)</w:t>
      </w:r>
      <w:r>
        <w:rPr>
          <w:spacing w:val="-4"/>
        </w:rPr>
        <w:t xml:space="preserve"> </w:t>
      </w:r>
      <w:r>
        <w:rPr>
          <w:spacing w:val="-2"/>
        </w:rPr>
        <w:t>or</w:t>
      </w:r>
      <w:r>
        <w:rPr>
          <w:spacing w:val="-4"/>
        </w:rPr>
        <w:t xml:space="preserve"> </w:t>
      </w:r>
      <w:r>
        <w:rPr>
          <w:spacing w:val="-2"/>
        </w:rPr>
        <w:t xml:space="preserve">who </w:t>
      </w:r>
      <w:r>
        <w:t>carry tools of trade.</w:t>
      </w:r>
    </w:p>
    <w:p w:rsidR="002C1123" w:rsidRDefault="00F22F94">
      <w:pPr>
        <w:pStyle w:val="BodyText"/>
        <w:spacing w:before="148" w:line="249" w:lineRule="auto"/>
        <w:ind w:left="249" w:right="326"/>
      </w:pPr>
      <w:r>
        <w:rPr>
          <w:w w:val="95"/>
        </w:rPr>
        <w:t>Population</w:t>
      </w:r>
      <w:r>
        <w:rPr>
          <w:spacing w:val="-2"/>
          <w:w w:val="95"/>
        </w:rPr>
        <w:t xml:space="preserve"> </w:t>
      </w:r>
      <w:r>
        <w:rPr>
          <w:w w:val="95"/>
        </w:rPr>
        <w:t>and</w:t>
      </w:r>
      <w:r>
        <w:rPr>
          <w:spacing w:val="-2"/>
          <w:w w:val="95"/>
        </w:rPr>
        <w:t xml:space="preserve"> </w:t>
      </w:r>
      <w:r>
        <w:rPr>
          <w:w w:val="95"/>
        </w:rPr>
        <w:t>economic</w:t>
      </w:r>
      <w:r>
        <w:rPr>
          <w:spacing w:val="-2"/>
          <w:w w:val="95"/>
        </w:rPr>
        <w:t xml:space="preserve"> </w:t>
      </w:r>
      <w:r>
        <w:rPr>
          <w:w w:val="95"/>
        </w:rPr>
        <w:t>growth</w:t>
      </w:r>
      <w:r>
        <w:rPr>
          <w:spacing w:val="-2"/>
          <w:w w:val="95"/>
        </w:rPr>
        <w:t xml:space="preserve"> </w:t>
      </w:r>
      <w:r>
        <w:rPr>
          <w:w w:val="95"/>
        </w:rPr>
        <w:t>in</w:t>
      </w:r>
      <w:r>
        <w:rPr>
          <w:spacing w:val="-2"/>
          <w:w w:val="95"/>
        </w:rPr>
        <w:t xml:space="preserve"> </w:t>
      </w:r>
      <w:r>
        <w:rPr>
          <w:w w:val="95"/>
        </w:rPr>
        <w:t>Greater</w:t>
      </w:r>
      <w:r>
        <w:rPr>
          <w:spacing w:val="-2"/>
          <w:w w:val="95"/>
        </w:rPr>
        <w:t xml:space="preserve"> </w:t>
      </w:r>
      <w:r>
        <w:rPr>
          <w:w w:val="95"/>
        </w:rPr>
        <w:t>Sydney is</w:t>
      </w:r>
      <w:r>
        <w:rPr>
          <w:spacing w:val="-7"/>
          <w:w w:val="95"/>
        </w:rPr>
        <w:t xml:space="preserve"> </w:t>
      </w:r>
      <w:r>
        <w:rPr>
          <w:w w:val="95"/>
        </w:rPr>
        <w:t>likely</w:t>
      </w:r>
      <w:r>
        <w:rPr>
          <w:spacing w:val="-7"/>
          <w:w w:val="95"/>
        </w:rPr>
        <w:t xml:space="preserve"> </w:t>
      </w:r>
      <w:r>
        <w:rPr>
          <w:w w:val="95"/>
        </w:rPr>
        <w:t>to</w:t>
      </w:r>
      <w:r>
        <w:rPr>
          <w:spacing w:val="-7"/>
          <w:w w:val="95"/>
        </w:rPr>
        <w:t xml:space="preserve"> </w:t>
      </w:r>
      <w:r>
        <w:rPr>
          <w:w w:val="95"/>
        </w:rPr>
        <w:t>place</w:t>
      </w:r>
      <w:r>
        <w:rPr>
          <w:spacing w:val="-7"/>
          <w:w w:val="95"/>
        </w:rPr>
        <w:t xml:space="preserve"> </w:t>
      </w:r>
      <w:r>
        <w:rPr>
          <w:w w:val="95"/>
        </w:rPr>
        <w:t>most</w:t>
      </w:r>
      <w:r>
        <w:rPr>
          <w:spacing w:val="-7"/>
          <w:w w:val="95"/>
        </w:rPr>
        <w:t xml:space="preserve"> </w:t>
      </w:r>
      <w:r>
        <w:rPr>
          <w:w w:val="95"/>
        </w:rPr>
        <w:t>pressure</w:t>
      </w:r>
      <w:r>
        <w:rPr>
          <w:spacing w:val="-7"/>
          <w:w w:val="95"/>
        </w:rPr>
        <w:t xml:space="preserve"> </w:t>
      </w:r>
      <w:r>
        <w:rPr>
          <w:w w:val="95"/>
        </w:rPr>
        <w:t>on</w:t>
      </w:r>
      <w:r>
        <w:rPr>
          <w:spacing w:val="-7"/>
          <w:w w:val="95"/>
        </w:rPr>
        <w:t xml:space="preserve"> </w:t>
      </w:r>
      <w:r>
        <w:rPr>
          <w:w w:val="95"/>
        </w:rPr>
        <w:t>the</w:t>
      </w:r>
      <w:r>
        <w:rPr>
          <w:spacing w:val="-7"/>
          <w:w w:val="95"/>
        </w:rPr>
        <w:t xml:space="preserve"> </w:t>
      </w:r>
      <w:r>
        <w:rPr>
          <w:w w:val="95"/>
        </w:rPr>
        <w:t>SSRN</w:t>
      </w:r>
      <w:r>
        <w:rPr>
          <w:spacing w:val="-7"/>
          <w:w w:val="95"/>
        </w:rPr>
        <w:t xml:space="preserve"> </w:t>
      </w:r>
      <w:r>
        <w:rPr>
          <w:w w:val="95"/>
        </w:rPr>
        <w:t>East</w:t>
      </w:r>
      <w:r>
        <w:rPr>
          <w:spacing w:val="-7"/>
          <w:w w:val="95"/>
        </w:rPr>
        <w:t xml:space="preserve"> </w:t>
      </w:r>
      <w:r>
        <w:rPr>
          <w:w w:val="95"/>
        </w:rPr>
        <w:t xml:space="preserve">of </w:t>
      </w:r>
      <w:r>
        <w:t>Parramatta</w:t>
      </w:r>
      <w:r>
        <w:rPr>
          <w:spacing w:val="-14"/>
        </w:rPr>
        <w:t xml:space="preserve"> </w:t>
      </w:r>
      <w:r>
        <w:t>and</w:t>
      </w:r>
      <w:r>
        <w:rPr>
          <w:spacing w:val="-14"/>
        </w:rPr>
        <w:t xml:space="preserve"> </w:t>
      </w:r>
      <w:r>
        <w:t>on</w:t>
      </w:r>
      <w:r>
        <w:rPr>
          <w:spacing w:val="-13"/>
        </w:rPr>
        <w:t xml:space="preserve"> </w:t>
      </w:r>
      <w:r>
        <w:t>the</w:t>
      </w:r>
      <w:r>
        <w:rPr>
          <w:spacing w:val="-14"/>
        </w:rPr>
        <w:t xml:space="preserve"> </w:t>
      </w:r>
      <w:r>
        <w:t>M5</w:t>
      </w:r>
      <w:r>
        <w:rPr>
          <w:spacing w:val="-14"/>
        </w:rPr>
        <w:t xml:space="preserve"> </w:t>
      </w:r>
      <w:r>
        <w:t>East.</w:t>
      </w:r>
      <w:r>
        <w:rPr>
          <w:spacing w:val="-13"/>
        </w:rPr>
        <w:t xml:space="preserve"> </w:t>
      </w:r>
      <w:r>
        <w:t>These</w:t>
      </w:r>
      <w:r>
        <w:rPr>
          <w:spacing w:val="-14"/>
        </w:rPr>
        <w:t xml:space="preserve"> </w:t>
      </w:r>
      <w:r>
        <w:t>assets</w:t>
      </w:r>
      <w:r>
        <w:rPr>
          <w:spacing w:val="-14"/>
        </w:rPr>
        <w:t xml:space="preserve"> </w:t>
      </w:r>
      <w:r>
        <w:t>are already</w:t>
      </w:r>
      <w:r>
        <w:rPr>
          <w:spacing w:val="-13"/>
        </w:rPr>
        <w:t xml:space="preserve"> </w:t>
      </w:r>
      <w:r>
        <w:t>operating</w:t>
      </w:r>
      <w:r>
        <w:rPr>
          <w:spacing w:val="-13"/>
        </w:rPr>
        <w:t xml:space="preserve"> </w:t>
      </w:r>
      <w:r>
        <w:t>well</w:t>
      </w:r>
      <w:r>
        <w:rPr>
          <w:spacing w:val="-13"/>
        </w:rPr>
        <w:t xml:space="preserve"> </w:t>
      </w:r>
      <w:r>
        <w:t>beyond</w:t>
      </w:r>
      <w:r>
        <w:rPr>
          <w:spacing w:val="-13"/>
        </w:rPr>
        <w:t xml:space="preserve"> </w:t>
      </w:r>
      <w:r>
        <w:t>design</w:t>
      </w:r>
      <w:r>
        <w:rPr>
          <w:spacing w:val="-13"/>
        </w:rPr>
        <w:t xml:space="preserve"> </w:t>
      </w:r>
      <w:r>
        <w:t>capacity.</w:t>
      </w:r>
      <w:r>
        <w:rPr>
          <w:spacing w:val="-13"/>
        </w:rPr>
        <w:t xml:space="preserve"> </w:t>
      </w:r>
      <w:r>
        <w:t>In</w:t>
      </w:r>
    </w:p>
    <w:p w:rsidR="002C1123" w:rsidRDefault="00F22F94">
      <w:pPr>
        <w:pStyle w:val="BodyText"/>
        <w:spacing w:before="3" w:line="249" w:lineRule="auto"/>
        <w:ind w:left="249"/>
      </w:pPr>
      <w:r>
        <w:rPr>
          <w:w w:val="95"/>
        </w:rPr>
        <w:t>contrast,</w:t>
      </w:r>
      <w:r>
        <w:rPr>
          <w:spacing w:val="-3"/>
          <w:w w:val="95"/>
        </w:rPr>
        <w:t xml:space="preserve"> </w:t>
      </w:r>
      <w:r>
        <w:rPr>
          <w:w w:val="95"/>
        </w:rPr>
        <w:t>the</w:t>
      </w:r>
      <w:r>
        <w:rPr>
          <w:spacing w:val="-3"/>
          <w:w w:val="95"/>
        </w:rPr>
        <w:t xml:space="preserve"> </w:t>
      </w:r>
      <w:r>
        <w:rPr>
          <w:w w:val="95"/>
        </w:rPr>
        <w:t>current</w:t>
      </w:r>
      <w:r>
        <w:rPr>
          <w:spacing w:val="-3"/>
          <w:w w:val="95"/>
        </w:rPr>
        <w:t xml:space="preserve"> </w:t>
      </w:r>
      <w:r>
        <w:rPr>
          <w:w w:val="95"/>
        </w:rPr>
        <w:t>widening</w:t>
      </w:r>
      <w:r>
        <w:rPr>
          <w:spacing w:val="-3"/>
          <w:w w:val="95"/>
        </w:rPr>
        <w:t xml:space="preserve"> </w:t>
      </w:r>
      <w:r>
        <w:rPr>
          <w:w w:val="95"/>
        </w:rPr>
        <w:t>of</w:t>
      </w:r>
      <w:r>
        <w:rPr>
          <w:spacing w:val="-3"/>
          <w:w w:val="95"/>
        </w:rPr>
        <w:t xml:space="preserve"> </w:t>
      </w:r>
      <w:r>
        <w:rPr>
          <w:w w:val="95"/>
        </w:rPr>
        <w:t>the</w:t>
      </w:r>
      <w:r>
        <w:rPr>
          <w:spacing w:val="-3"/>
          <w:w w:val="95"/>
        </w:rPr>
        <w:t xml:space="preserve"> </w:t>
      </w:r>
      <w:r>
        <w:rPr>
          <w:w w:val="95"/>
        </w:rPr>
        <w:t>M2</w:t>
      </w:r>
      <w:r>
        <w:rPr>
          <w:spacing w:val="-3"/>
          <w:w w:val="95"/>
        </w:rPr>
        <w:t xml:space="preserve"> </w:t>
      </w:r>
      <w:r>
        <w:rPr>
          <w:w w:val="95"/>
        </w:rPr>
        <w:t>and</w:t>
      </w:r>
      <w:r>
        <w:rPr>
          <w:spacing w:val="-3"/>
          <w:w w:val="95"/>
        </w:rPr>
        <w:t xml:space="preserve"> </w:t>
      </w:r>
      <w:r>
        <w:rPr>
          <w:w w:val="95"/>
        </w:rPr>
        <w:t>the</w:t>
      </w:r>
      <w:r>
        <w:rPr>
          <w:spacing w:val="-3"/>
          <w:w w:val="95"/>
        </w:rPr>
        <w:t xml:space="preserve"> </w:t>
      </w:r>
      <w:r>
        <w:rPr>
          <w:w w:val="95"/>
        </w:rPr>
        <w:t xml:space="preserve">latent </w:t>
      </w:r>
      <w:r>
        <w:t>capacity</w:t>
      </w:r>
      <w:r>
        <w:rPr>
          <w:spacing w:val="-14"/>
        </w:rPr>
        <w:t xml:space="preserve"> </w:t>
      </w:r>
      <w:r>
        <w:t>in</w:t>
      </w:r>
      <w:r>
        <w:rPr>
          <w:spacing w:val="-14"/>
        </w:rPr>
        <w:t xml:space="preserve"> </w:t>
      </w:r>
      <w:r>
        <w:t>the</w:t>
      </w:r>
      <w:r>
        <w:rPr>
          <w:spacing w:val="-14"/>
        </w:rPr>
        <w:t xml:space="preserve"> </w:t>
      </w:r>
      <w:r>
        <w:t>Lane</w:t>
      </w:r>
      <w:r>
        <w:rPr>
          <w:spacing w:val="-14"/>
        </w:rPr>
        <w:t xml:space="preserve"> </w:t>
      </w:r>
      <w:r>
        <w:t>Cove</w:t>
      </w:r>
      <w:r>
        <w:rPr>
          <w:spacing w:val="-14"/>
        </w:rPr>
        <w:t xml:space="preserve"> </w:t>
      </w:r>
      <w:r>
        <w:t>Tunnel</w:t>
      </w:r>
      <w:r>
        <w:rPr>
          <w:spacing w:val="-14"/>
        </w:rPr>
        <w:t xml:space="preserve"> </w:t>
      </w:r>
      <w:r>
        <w:t>should</w:t>
      </w:r>
      <w:r>
        <w:rPr>
          <w:spacing w:val="-14"/>
        </w:rPr>
        <w:t xml:space="preserve"> </w:t>
      </w:r>
      <w:r>
        <w:t>keep</w:t>
      </w:r>
      <w:r>
        <w:rPr>
          <w:spacing w:val="-14"/>
        </w:rPr>
        <w:t xml:space="preserve"> </w:t>
      </w:r>
      <w:r>
        <w:t>this corridor</w:t>
      </w:r>
      <w:r>
        <w:rPr>
          <w:spacing w:val="-2"/>
        </w:rPr>
        <w:t xml:space="preserve"> </w:t>
      </w:r>
      <w:r>
        <w:t>moving</w:t>
      </w:r>
      <w:r>
        <w:rPr>
          <w:spacing w:val="-2"/>
        </w:rPr>
        <w:t xml:space="preserve"> </w:t>
      </w:r>
      <w:r>
        <w:t>for</w:t>
      </w:r>
      <w:r>
        <w:rPr>
          <w:spacing w:val="-2"/>
        </w:rPr>
        <w:t xml:space="preserve"> </w:t>
      </w:r>
      <w:r>
        <w:t>a</w:t>
      </w:r>
      <w:r>
        <w:rPr>
          <w:spacing w:val="-2"/>
        </w:rPr>
        <w:t xml:space="preserve"> </w:t>
      </w:r>
      <w:r>
        <w:t>considerable</w:t>
      </w:r>
      <w:r>
        <w:rPr>
          <w:spacing w:val="-2"/>
        </w:rPr>
        <w:t xml:space="preserve"> </w:t>
      </w:r>
      <w:r>
        <w:t>time.</w:t>
      </w:r>
    </w:p>
    <w:p w:rsidR="002C1123" w:rsidRDefault="002C1123">
      <w:pPr>
        <w:pStyle w:val="BodyText"/>
      </w:pPr>
    </w:p>
    <w:p w:rsidR="002C1123" w:rsidRDefault="002C1123">
      <w:pPr>
        <w:pStyle w:val="BodyText"/>
      </w:pPr>
    </w:p>
    <w:p w:rsidR="002C1123" w:rsidRDefault="002C1123">
      <w:pPr>
        <w:pStyle w:val="BodyText"/>
      </w:pPr>
    </w:p>
    <w:p w:rsidR="002C1123" w:rsidRDefault="002060EF">
      <w:pPr>
        <w:pStyle w:val="BodyText"/>
        <w:spacing w:before="2"/>
        <w:rPr>
          <w:sz w:val="21"/>
        </w:rPr>
      </w:pPr>
      <w:r>
        <w:pict>
          <v:shape id="docshape1076" o:spid="_x0000_s4244" style="position:absolute;margin-left:300.95pt;margin-top:13.4pt;width:1in;height:.1pt;z-index:-251392000;mso-wrap-distance-left:0;mso-wrap-distance-right:0;mso-position-horizontal-relative:page" coordorigin="6019,268" coordsize="1440,0" path="m6019,268r1440,e" filled="f" strokecolor="#9c9c9d" strokeweight=".5pt">
            <v:path arrowok="t"/>
            <w10:wrap type="topAndBottom" anchorx="page"/>
          </v:shape>
        </w:pict>
      </w:r>
    </w:p>
    <w:p w:rsidR="002C1123" w:rsidRDefault="00F22F94">
      <w:pPr>
        <w:pStyle w:val="ListParagraph"/>
        <w:numPr>
          <w:ilvl w:val="1"/>
          <w:numId w:val="95"/>
        </w:numPr>
        <w:tabs>
          <w:tab w:val="left" w:pos="448"/>
        </w:tabs>
        <w:spacing w:before="23" w:line="161" w:lineRule="exact"/>
        <w:ind w:left="447"/>
        <w:jc w:val="left"/>
        <w:rPr>
          <w:sz w:val="14"/>
        </w:rPr>
      </w:pPr>
      <w:r>
        <w:rPr>
          <w:w w:val="95"/>
          <w:sz w:val="14"/>
        </w:rPr>
        <w:t>NSW</w:t>
      </w:r>
      <w:r>
        <w:rPr>
          <w:sz w:val="14"/>
        </w:rPr>
        <w:t xml:space="preserve"> </w:t>
      </w:r>
      <w:r>
        <w:rPr>
          <w:w w:val="95"/>
          <w:sz w:val="14"/>
        </w:rPr>
        <w:t>Department</w:t>
      </w:r>
      <w:r>
        <w:rPr>
          <w:sz w:val="14"/>
        </w:rPr>
        <w:t xml:space="preserve"> </w:t>
      </w:r>
      <w:r>
        <w:rPr>
          <w:w w:val="95"/>
          <w:sz w:val="14"/>
        </w:rPr>
        <w:t>of</w:t>
      </w:r>
      <w:r>
        <w:rPr>
          <w:sz w:val="14"/>
        </w:rPr>
        <w:t xml:space="preserve"> </w:t>
      </w:r>
      <w:r>
        <w:rPr>
          <w:w w:val="95"/>
          <w:sz w:val="14"/>
        </w:rPr>
        <w:t>Planning</w:t>
      </w:r>
      <w:r>
        <w:rPr>
          <w:sz w:val="14"/>
        </w:rPr>
        <w:t xml:space="preserve"> </w:t>
      </w:r>
      <w:r>
        <w:rPr>
          <w:w w:val="95"/>
          <w:sz w:val="14"/>
        </w:rPr>
        <w:t>2010,</w:t>
      </w:r>
      <w:r>
        <w:rPr>
          <w:spacing w:val="1"/>
          <w:sz w:val="14"/>
        </w:rPr>
        <w:t xml:space="preserve"> </w:t>
      </w:r>
      <w:r>
        <w:rPr>
          <w:w w:val="95"/>
          <w:sz w:val="14"/>
        </w:rPr>
        <w:t>Metropolitan</w:t>
      </w:r>
      <w:r>
        <w:rPr>
          <w:sz w:val="14"/>
        </w:rPr>
        <w:t xml:space="preserve"> </w:t>
      </w:r>
      <w:r>
        <w:rPr>
          <w:w w:val="95"/>
          <w:sz w:val="14"/>
        </w:rPr>
        <w:t>Plan</w:t>
      </w:r>
      <w:r>
        <w:rPr>
          <w:sz w:val="14"/>
        </w:rPr>
        <w:t xml:space="preserve"> </w:t>
      </w:r>
      <w:r>
        <w:rPr>
          <w:w w:val="95"/>
          <w:sz w:val="14"/>
        </w:rPr>
        <w:t>for</w:t>
      </w:r>
      <w:r>
        <w:rPr>
          <w:sz w:val="14"/>
        </w:rPr>
        <w:t xml:space="preserve"> </w:t>
      </w:r>
      <w:r>
        <w:rPr>
          <w:w w:val="95"/>
          <w:sz w:val="14"/>
        </w:rPr>
        <w:t>Sydney</w:t>
      </w:r>
      <w:r>
        <w:rPr>
          <w:spacing w:val="1"/>
          <w:sz w:val="14"/>
        </w:rPr>
        <w:t xml:space="preserve"> </w:t>
      </w:r>
      <w:r>
        <w:rPr>
          <w:spacing w:val="-4"/>
          <w:w w:val="95"/>
          <w:sz w:val="14"/>
        </w:rPr>
        <w:t>2036.</w:t>
      </w:r>
    </w:p>
    <w:p w:rsidR="002C1123" w:rsidRDefault="00F22F94">
      <w:pPr>
        <w:pStyle w:val="ListParagraph"/>
        <w:numPr>
          <w:ilvl w:val="1"/>
          <w:numId w:val="95"/>
        </w:numPr>
        <w:tabs>
          <w:tab w:val="left" w:pos="448"/>
        </w:tabs>
        <w:spacing w:line="161" w:lineRule="exact"/>
        <w:ind w:left="447"/>
        <w:jc w:val="left"/>
        <w:rPr>
          <w:sz w:val="14"/>
        </w:rPr>
      </w:pPr>
      <w:r>
        <w:rPr>
          <w:w w:val="95"/>
          <w:sz w:val="14"/>
        </w:rPr>
        <w:t>Bureau</w:t>
      </w:r>
      <w:r>
        <w:rPr>
          <w:spacing w:val="-2"/>
          <w:w w:val="95"/>
          <w:sz w:val="14"/>
        </w:rPr>
        <w:t xml:space="preserve"> </w:t>
      </w:r>
      <w:r>
        <w:rPr>
          <w:w w:val="95"/>
          <w:sz w:val="14"/>
        </w:rPr>
        <w:t>of</w:t>
      </w:r>
      <w:r>
        <w:rPr>
          <w:spacing w:val="-2"/>
          <w:w w:val="95"/>
          <w:sz w:val="14"/>
        </w:rPr>
        <w:t xml:space="preserve"> </w:t>
      </w:r>
      <w:r>
        <w:rPr>
          <w:w w:val="95"/>
          <w:sz w:val="14"/>
        </w:rPr>
        <w:t>Transport</w:t>
      </w:r>
      <w:r>
        <w:rPr>
          <w:spacing w:val="-2"/>
          <w:w w:val="95"/>
          <w:sz w:val="14"/>
        </w:rPr>
        <w:t xml:space="preserve"> </w:t>
      </w:r>
      <w:r>
        <w:rPr>
          <w:w w:val="95"/>
          <w:sz w:val="14"/>
        </w:rPr>
        <w:t>Statistics</w:t>
      </w:r>
      <w:r>
        <w:rPr>
          <w:spacing w:val="-2"/>
          <w:w w:val="95"/>
          <w:sz w:val="14"/>
        </w:rPr>
        <w:t xml:space="preserve"> </w:t>
      </w:r>
      <w:r>
        <w:rPr>
          <w:w w:val="95"/>
          <w:sz w:val="14"/>
        </w:rPr>
        <w:t>2011,</w:t>
      </w:r>
      <w:r>
        <w:rPr>
          <w:spacing w:val="-2"/>
          <w:w w:val="95"/>
          <w:sz w:val="14"/>
        </w:rPr>
        <w:t xml:space="preserve"> </w:t>
      </w:r>
      <w:r>
        <w:rPr>
          <w:w w:val="95"/>
          <w:sz w:val="14"/>
        </w:rPr>
        <w:t>Household</w:t>
      </w:r>
      <w:r>
        <w:rPr>
          <w:spacing w:val="-2"/>
          <w:w w:val="95"/>
          <w:sz w:val="14"/>
        </w:rPr>
        <w:t xml:space="preserve"> </w:t>
      </w:r>
      <w:r>
        <w:rPr>
          <w:w w:val="95"/>
          <w:sz w:val="14"/>
        </w:rPr>
        <w:t>Travel</w:t>
      </w:r>
      <w:r>
        <w:rPr>
          <w:spacing w:val="-2"/>
          <w:w w:val="95"/>
          <w:sz w:val="14"/>
        </w:rPr>
        <w:t xml:space="preserve"> Survey.</w:t>
      </w:r>
    </w:p>
    <w:p w:rsidR="002C1123" w:rsidRDefault="00F22F94">
      <w:pPr>
        <w:pStyle w:val="Heading6"/>
        <w:numPr>
          <w:ilvl w:val="2"/>
          <w:numId w:val="97"/>
        </w:numPr>
        <w:tabs>
          <w:tab w:val="left" w:pos="701"/>
        </w:tabs>
        <w:ind w:left="700" w:hanging="487"/>
        <w:jc w:val="left"/>
      </w:pPr>
      <w:r>
        <w:rPr>
          <w:b w:val="0"/>
        </w:rPr>
        <w:br w:type="column"/>
      </w:r>
      <w:r>
        <w:rPr>
          <w:color w:val="00AEEF"/>
          <w:spacing w:val="-2"/>
        </w:rPr>
        <w:t>Conclusions</w:t>
      </w:r>
    </w:p>
    <w:p w:rsidR="002C1123" w:rsidRDefault="00F22F94">
      <w:pPr>
        <w:pStyle w:val="BodyText"/>
        <w:spacing w:before="95" w:line="249" w:lineRule="auto"/>
        <w:ind w:left="214" w:right="763"/>
      </w:pPr>
      <w:r>
        <w:t>As</w:t>
      </w:r>
      <w:r>
        <w:rPr>
          <w:spacing w:val="-12"/>
        </w:rPr>
        <w:t xml:space="preserve"> </w:t>
      </w:r>
      <w:r>
        <w:t>Sydney’s</w:t>
      </w:r>
      <w:r>
        <w:rPr>
          <w:spacing w:val="-12"/>
        </w:rPr>
        <w:t xml:space="preserve"> </w:t>
      </w:r>
      <w:r>
        <w:t>population</w:t>
      </w:r>
      <w:r>
        <w:rPr>
          <w:spacing w:val="-12"/>
        </w:rPr>
        <w:t xml:space="preserve"> </w:t>
      </w:r>
      <w:r>
        <w:t>continues</w:t>
      </w:r>
      <w:r>
        <w:rPr>
          <w:spacing w:val="-12"/>
        </w:rPr>
        <w:t xml:space="preserve"> </w:t>
      </w:r>
      <w:r>
        <w:t>to</w:t>
      </w:r>
      <w:r>
        <w:rPr>
          <w:spacing w:val="-12"/>
        </w:rPr>
        <w:t xml:space="preserve"> </w:t>
      </w:r>
      <w:r>
        <w:t>grow,</w:t>
      </w:r>
      <w:r>
        <w:rPr>
          <w:spacing w:val="-12"/>
        </w:rPr>
        <w:t xml:space="preserve"> </w:t>
      </w:r>
      <w:r>
        <w:t>people</w:t>
      </w:r>
      <w:r>
        <w:rPr>
          <w:spacing w:val="-12"/>
        </w:rPr>
        <w:t xml:space="preserve"> </w:t>
      </w:r>
      <w:r>
        <w:t>will continue</w:t>
      </w:r>
      <w:r>
        <w:rPr>
          <w:spacing w:val="-5"/>
        </w:rPr>
        <w:t xml:space="preserve"> </w:t>
      </w:r>
      <w:r>
        <w:t>to</w:t>
      </w:r>
      <w:r>
        <w:rPr>
          <w:spacing w:val="-5"/>
        </w:rPr>
        <w:t xml:space="preserve"> </w:t>
      </w:r>
      <w:r>
        <w:t>expect</w:t>
      </w:r>
      <w:r>
        <w:rPr>
          <w:spacing w:val="-5"/>
        </w:rPr>
        <w:t xml:space="preserve"> </w:t>
      </w:r>
      <w:r>
        <w:t>mobility</w:t>
      </w:r>
      <w:r>
        <w:rPr>
          <w:spacing w:val="-5"/>
        </w:rPr>
        <w:t xml:space="preserve"> </w:t>
      </w:r>
      <w:r>
        <w:t>for</w:t>
      </w:r>
      <w:r>
        <w:rPr>
          <w:spacing w:val="-5"/>
        </w:rPr>
        <w:t xml:space="preserve"> </w:t>
      </w:r>
      <w:r>
        <w:t>work,</w:t>
      </w:r>
      <w:r>
        <w:rPr>
          <w:spacing w:val="-5"/>
        </w:rPr>
        <w:t xml:space="preserve"> </w:t>
      </w:r>
      <w:r>
        <w:t>business</w:t>
      </w:r>
      <w:r>
        <w:rPr>
          <w:spacing w:val="-5"/>
        </w:rPr>
        <w:t xml:space="preserve"> </w:t>
      </w:r>
      <w:r>
        <w:t>and recreation.</w:t>
      </w:r>
      <w:r>
        <w:rPr>
          <w:spacing w:val="-14"/>
        </w:rPr>
        <w:t xml:space="preserve"> </w:t>
      </w:r>
      <w:r>
        <w:t>Efficient</w:t>
      </w:r>
      <w:r>
        <w:rPr>
          <w:spacing w:val="-14"/>
        </w:rPr>
        <w:t xml:space="preserve"> </w:t>
      </w:r>
      <w:r>
        <w:t>delivery</w:t>
      </w:r>
      <w:r>
        <w:rPr>
          <w:spacing w:val="-14"/>
        </w:rPr>
        <w:t xml:space="preserve"> </w:t>
      </w:r>
      <w:r>
        <w:t>of</w:t>
      </w:r>
      <w:r>
        <w:rPr>
          <w:spacing w:val="-14"/>
        </w:rPr>
        <w:t xml:space="preserve"> </w:t>
      </w:r>
      <w:r>
        <w:t>consumer</w:t>
      </w:r>
      <w:r>
        <w:rPr>
          <w:spacing w:val="-14"/>
        </w:rPr>
        <w:t xml:space="preserve"> </w:t>
      </w:r>
      <w:r>
        <w:t>goods</w:t>
      </w:r>
      <w:r>
        <w:rPr>
          <w:spacing w:val="-14"/>
        </w:rPr>
        <w:t xml:space="preserve"> </w:t>
      </w:r>
      <w:r>
        <w:t>will remain</w:t>
      </w:r>
      <w:r>
        <w:rPr>
          <w:spacing w:val="-13"/>
        </w:rPr>
        <w:t xml:space="preserve"> </w:t>
      </w:r>
      <w:r>
        <w:t>important</w:t>
      </w:r>
      <w:r>
        <w:rPr>
          <w:spacing w:val="-13"/>
        </w:rPr>
        <w:t xml:space="preserve"> </w:t>
      </w:r>
      <w:r>
        <w:t>to</w:t>
      </w:r>
      <w:r>
        <w:rPr>
          <w:spacing w:val="-13"/>
        </w:rPr>
        <w:t xml:space="preserve"> </w:t>
      </w:r>
      <w:r>
        <w:t>NSW’s</w:t>
      </w:r>
      <w:r>
        <w:rPr>
          <w:spacing w:val="-13"/>
        </w:rPr>
        <w:t xml:space="preserve"> </w:t>
      </w:r>
      <w:r>
        <w:t>economy.</w:t>
      </w:r>
      <w:r>
        <w:rPr>
          <w:spacing w:val="-13"/>
        </w:rPr>
        <w:t xml:space="preserve"> </w:t>
      </w:r>
      <w:r>
        <w:t>This</w:t>
      </w:r>
      <w:r>
        <w:rPr>
          <w:spacing w:val="-13"/>
        </w:rPr>
        <w:t xml:space="preserve"> </w:t>
      </w:r>
      <w:r>
        <w:t>will</w:t>
      </w:r>
      <w:r>
        <w:rPr>
          <w:spacing w:val="-13"/>
        </w:rPr>
        <w:t xml:space="preserve"> </w:t>
      </w:r>
      <w:r>
        <w:t xml:space="preserve">only </w:t>
      </w:r>
      <w:r>
        <w:rPr>
          <w:w w:val="95"/>
        </w:rPr>
        <w:t>occur</w:t>
      </w:r>
      <w:r>
        <w:rPr>
          <w:spacing w:val="-8"/>
          <w:w w:val="95"/>
        </w:rPr>
        <w:t xml:space="preserve"> </w:t>
      </w:r>
      <w:r>
        <w:rPr>
          <w:w w:val="95"/>
        </w:rPr>
        <w:t>if</w:t>
      </w:r>
      <w:r>
        <w:rPr>
          <w:spacing w:val="-8"/>
          <w:w w:val="95"/>
        </w:rPr>
        <w:t xml:space="preserve"> </w:t>
      </w:r>
      <w:r>
        <w:rPr>
          <w:w w:val="95"/>
        </w:rPr>
        <w:t>a</w:t>
      </w:r>
      <w:r>
        <w:rPr>
          <w:spacing w:val="-8"/>
          <w:w w:val="95"/>
        </w:rPr>
        <w:t xml:space="preserve"> </w:t>
      </w:r>
      <w:r>
        <w:rPr>
          <w:w w:val="95"/>
        </w:rPr>
        <w:t>clear</w:t>
      </w:r>
      <w:r>
        <w:rPr>
          <w:spacing w:val="-8"/>
          <w:w w:val="95"/>
        </w:rPr>
        <w:t xml:space="preserve"> </w:t>
      </w:r>
      <w:r>
        <w:rPr>
          <w:w w:val="95"/>
        </w:rPr>
        <w:t>and</w:t>
      </w:r>
      <w:r>
        <w:rPr>
          <w:spacing w:val="-8"/>
          <w:w w:val="95"/>
        </w:rPr>
        <w:t xml:space="preserve"> </w:t>
      </w:r>
      <w:r>
        <w:rPr>
          <w:w w:val="95"/>
        </w:rPr>
        <w:t>realistic</w:t>
      </w:r>
      <w:r>
        <w:rPr>
          <w:spacing w:val="-8"/>
          <w:w w:val="95"/>
        </w:rPr>
        <w:t xml:space="preserve"> </w:t>
      </w:r>
      <w:r>
        <w:rPr>
          <w:w w:val="95"/>
        </w:rPr>
        <w:t>direction</w:t>
      </w:r>
      <w:r>
        <w:rPr>
          <w:spacing w:val="-8"/>
          <w:w w:val="95"/>
        </w:rPr>
        <w:t xml:space="preserve"> </w:t>
      </w:r>
      <w:r>
        <w:rPr>
          <w:w w:val="95"/>
        </w:rPr>
        <w:t>for</w:t>
      </w:r>
      <w:r>
        <w:rPr>
          <w:spacing w:val="-8"/>
          <w:w w:val="95"/>
        </w:rPr>
        <w:t xml:space="preserve"> </w:t>
      </w:r>
      <w:r>
        <w:rPr>
          <w:w w:val="95"/>
        </w:rPr>
        <w:t>Sydney’s</w:t>
      </w:r>
      <w:r>
        <w:rPr>
          <w:spacing w:val="-8"/>
          <w:w w:val="95"/>
        </w:rPr>
        <w:t xml:space="preserve"> </w:t>
      </w:r>
      <w:r>
        <w:rPr>
          <w:w w:val="95"/>
        </w:rPr>
        <w:t xml:space="preserve">SSRN </w:t>
      </w:r>
      <w:r>
        <w:t>is articulated and pursued.</w:t>
      </w:r>
    </w:p>
    <w:p w:rsidR="002C1123" w:rsidRDefault="00F22F94">
      <w:pPr>
        <w:pStyle w:val="BodyText"/>
        <w:spacing w:before="147" w:line="249" w:lineRule="auto"/>
        <w:ind w:left="214" w:right="655"/>
      </w:pPr>
      <w:r>
        <w:rPr>
          <w:w w:val="95"/>
        </w:rPr>
        <w:t>Road</w:t>
      </w:r>
      <w:r>
        <w:rPr>
          <w:spacing w:val="-3"/>
          <w:w w:val="95"/>
        </w:rPr>
        <w:t xml:space="preserve"> </w:t>
      </w:r>
      <w:r>
        <w:rPr>
          <w:w w:val="95"/>
        </w:rPr>
        <w:t>links</w:t>
      </w:r>
      <w:r>
        <w:rPr>
          <w:spacing w:val="-3"/>
          <w:w w:val="95"/>
        </w:rPr>
        <w:t xml:space="preserve"> </w:t>
      </w:r>
      <w:r>
        <w:rPr>
          <w:w w:val="95"/>
        </w:rPr>
        <w:t>between</w:t>
      </w:r>
      <w:r>
        <w:rPr>
          <w:spacing w:val="-3"/>
          <w:w w:val="95"/>
        </w:rPr>
        <w:t xml:space="preserve"> </w:t>
      </w:r>
      <w:r>
        <w:rPr>
          <w:w w:val="95"/>
        </w:rPr>
        <w:t>Sydney’s</w:t>
      </w:r>
      <w:r>
        <w:rPr>
          <w:spacing w:val="-3"/>
          <w:w w:val="95"/>
        </w:rPr>
        <w:t xml:space="preserve"> </w:t>
      </w:r>
      <w:r>
        <w:rPr>
          <w:w w:val="95"/>
        </w:rPr>
        <w:t>West</w:t>
      </w:r>
      <w:r>
        <w:rPr>
          <w:spacing w:val="-3"/>
          <w:w w:val="95"/>
        </w:rPr>
        <w:t xml:space="preserve"> </w:t>
      </w:r>
      <w:r>
        <w:rPr>
          <w:w w:val="95"/>
        </w:rPr>
        <w:t>and</w:t>
      </w:r>
      <w:r>
        <w:rPr>
          <w:spacing w:val="-3"/>
          <w:w w:val="95"/>
        </w:rPr>
        <w:t xml:space="preserve"> </w:t>
      </w:r>
      <w:r>
        <w:rPr>
          <w:w w:val="95"/>
        </w:rPr>
        <w:t>South-West</w:t>
      </w:r>
      <w:r>
        <w:rPr>
          <w:spacing w:val="-3"/>
          <w:w w:val="95"/>
        </w:rPr>
        <w:t xml:space="preserve"> </w:t>
      </w:r>
      <w:r>
        <w:rPr>
          <w:w w:val="95"/>
        </w:rPr>
        <w:t>and Global</w:t>
      </w:r>
      <w:r>
        <w:rPr>
          <w:spacing w:val="-5"/>
          <w:w w:val="95"/>
        </w:rPr>
        <w:t xml:space="preserve"> </w:t>
      </w:r>
      <w:r>
        <w:rPr>
          <w:w w:val="95"/>
        </w:rPr>
        <w:t>Sydney</w:t>
      </w:r>
      <w:r>
        <w:rPr>
          <w:spacing w:val="-5"/>
          <w:w w:val="95"/>
        </w:rPr>
        <w:t xml:space="preserve"> </w:t>
      </w:r>
      <w:r>
        <w:rPr>
          <w:w w:val="95"/>
        </w:rPr>
        <w:t>are</w:t>
      </w:r>
      <w:r>
        <w:rPr>
          <w:spacing w:val="-5"/>
          <w:w w:val="95"/>
        </w:rPr>
        <w:t xml:space="preserve"> </w:t>
      </w:r>
      <w:r>
        <w:rPr>
          <w:w w:val="95"/>
        </w:rPr>
        <w:t>particularly</w:t>
      </w:r>
      <w:r>
        <w:rPr>
          <w:spacing w:val="-5"/>
          <w:w w:val="95"/>
        </w:rPr>
        <w:t xml:space="preserve"> </w:t>
      </w:r>
      <w:r>
        <w:rPr>
          <w:w w:val="95"/>
        </w:rPr>
        <w:t>critical.</w:t>
      </w:r>
      <w:r>
        <w:rPr>
          <w:spacing w:val="-5"/>
          <w:w w:val="95"/>
        </w:rPr>
        <w:t xml:space="preserve"> </w:t>
      </w:r>
      <w:r>
        <w:rPr>
          <w:w w:val="95"/>
        </w:rPr>
        <w:t>They</w:t>
      </w:r>
      <w:r>
        <w:rPr>
          <w:spacing w:val="-5"/>
          <w:w w:val="95"/>
        </w:rPr>
        <w:t xml:space="preserve"> </w:t>
      </w:r>
      <w:r>
        <w:rPr>
          <w:w w:val="95"/>
        </w:rPr>
        <w:t>allow</w:t>
      </w:r>
      <w:r>
        <w:rPr>
          <w:spacing w:val="-5"/>
          <w:w w:val="95"/>
        </w:rPr>
        <w:t xml:space="preserve"> </w:t>
      </w:r>
      <w:r>
        <w:rPr>
          <w:w w:val="95"/>
        </w:rPr>
        <w:t xml:space="preserve">people </w:t>
      </w:r>
      <w:r>
        <w:rPr>
          <w:spacing w:val="-2"/>
        </w:rPr>
        <w:t>in</w:t>
      </w:r>
      <w:r>
        <w:rPr>
          <w:spacing w:val="-10"/>
        </w:rPr>
        <w:t xml:space="preserve"> </w:t>
      </w:r>
      <w:r>
        <w:rPr>
          <w:spacing w:val="-2"/>
        </w:rPr>
        <w:t>Greater</w:t>
      </w:r>
      <w:r>
        <w:rPr>
          <w:spacing w:val="-10"/>
        </w:rPr>
        <w:t xml:space="preserve"> </w:t>
      </w:r>
      <w:r>
        <w:rPr>
          <w:spacing w:val="-2"/>
        </w:rPr>
        <w:t>Sydney</w:t>
      </w:r>
      <w:r>
        <w:rPr>
          <w:spacing w:val="-10"/>
        </w:rPr>
        <w:t xml:space="preserve"> </w:t>
      </w:r>
      <w:r>
        <w:rPr>
          <w:spacing w:val="-2"/>
        </w:rPr>
        <w:t>–</w:t>
      </w:r>
      <w:r>
        <w:rPr>
          <w:spacing w:val="-10"/>
        </w:rPr>
        <w:t xml:space="preserve"> </w:t>
      </w:r>
      <w:r>
        <w:rPr>
          <w:spacing w:val="-2"/>
        </w:rPr>
        <w:t>particularly</w:t>
      </w:r>
      <w:r>
        <w:rPr>
          <w:spacing w:val="-10"/>
        </w:rPr>
        <w:t xml:space="preserve"> </w:t>
      </w:r>
      <w:r>
        <w:rPr>
          <w:spacing w:val="-2"/>
        </w:rPr>
        <w:t>Western</w:t>
      </w:r>
      <w:r>
        <w:rPr>
          <w:spacing w:val="-10"/>
        </w:rPr>
        <w:t xml:space="preserve"> </w:t>
      </w:r>
      <w:r>
        <w:rPr>
          <w:spacing w:val="-2"/>
        </w:rPr>
        <w:t>Sydney</w:t>
      </w:r>
      <w:r>
        <w:rPr>
          <w:spacing w:val="-10"/>
        </w:rPr>
        <w:t xml:space="preserve"> </w:t>
      </w:r>
      <w:r>
        <w:rPr>
          <w:spacing w:val="-2"/>
        </w:rPr>
        <w:t>–</w:t>
      </w:r>
      <w:r>
        <w:rPr>
          <w:spacing w:val="-10"/>
        </w:rPr>
        <w:t xml:space="preserve"> </w:t>
      </w:r>
      <w:r>
        <w:rPr>
          <w:spacing w:val="-2"/>
        </w:rPr>
        <w:t xml:space="preserve">to </w:t>
      </w:r>
      <w:r>
        <w:rPr>
          <w:w w:val="95"/>
        </w:rPr>
        <w:t xml:space="preserve">access Global Sydney, and connect Sydney’s gateways </w:t>
      </w:r>
      <w:r>
        <w:t>with</w:t>
      </w:r>
      <w:r>
        <w:rPr>
          <w:spacing w:val="-12"/>
        </w:rPr>
        <w:t xml:space="preserve"> </w:t>
      </w:r>
      <w:r>
        <w:t>the</w:t>
      </w:r>
      <w:r>
        <w:rPr>
          <w:spacing w:val="-12"/>
        </w:rPr>
        <w:t xml:space="preserve"> </w:t>
      </w:r>
      <w:r>
        <w:t>industrial</w:t>
      </w:r>
      <w:r>
        <w:rPr>
          <w:spacing w:val="-12"/>
        </w:rPr>
        <w:t xml:space="preserve"> </w:t>
      </w:r>
      <w:r>
        <w:t>lands</w:t>
      </w:r>
      <w:r>
        <w:rPr>
          <w:spacing w:val="-12"/>
        </w:rPr>
        <w:t xml:space="preserve"> </w:t>
      </w:r>
      <w:r>
        <w:t>of</w:t>
      </w:r>
      <w:r>
        <w:rPr>
          <w:spacing w:val="-12"/>
        </w:rPr>
        <w:t xml:space="preserve"> </w:t>
      </w:r>
      <w:r>
        <w:t>the</w:t>
      </w:r>
      <w:r>
        <w:rPr>
          <w:spacing w:val="-12"/>
        </w:rPr>
        <w:t xml:space="preserve"> </w:t>
      </w:r>
      <w:r>
        <w:t>West</w:t>
      </w:r>
      <w:r>
        <w:rPr>
          <w:spacing w:val="-12"/>
        </w:rPr>
        <w:t xml:space="preserve"> </w:t>
      </w:r>
      <w:r>
        <w:t>and</w:t>
      </w:r>
      <w:r>
        <w:rPr>
          <w:spacing w:val="-12"/>
        </w:rPr>
        <w:t xml:space="preserve"> </w:t>
      </w:r>
      <w:r>
        <w:t>South-West.</w:t>
      </w:r>
    </w:p>
    <w:p w:rsidR="002C1123" w:rsidRDefault="002C1123">
      <w:pPr>
        <w:pStyle w:val="BodyText"/>
        <w:spacing w:before="3"/>
        <w:rPr>
          <w:sz w:val="25"/>
        </w:rPr>
      </w:pPr>
    </w:p>
    <w:p w:rsidR="002C1123" w:rsidRDefault="00F22F94">
      <w:pPr>
        <w:pStyle w:val="Heading5"/>
        <w:numPr>
          <w:ilvl w:val="1"/>
          <w:numId w:val="97"/>
        </w:numPr>
        <w:tabs>
          <w:tab w:val="left" w:pos="664"/>
        </w:tabs>
        <w:spacing w:before="0" w:line="223" w:lineRule="auto"/>
        <w:ind w:left="663" w:right="2115"/>
        <w:jc w:val="left"/>
      </w:pPr>
      <w:r>
        <w:rPr>
          <w:color w:val="00AEEF"/>
          <w:spacing w:val="-4"/>
        </w:rPr>
        <w:t>The</w:t>
      </w:r>
      <w:r>
        <w:rPr>
          <w:color w:val="00AEEF"/>
          <w:spacing w:val="-16"/>
        </w:rPr>
        <w:t xml:space="preserve"> </w:t>
      </w:r>
      <w:r>
        <w:rPr>
          <w:color w:val="00AEEF"/>
          <w:spacing w:val="-4"/>
        </w:rPr>
        <w:t>rationale</w:t>
      </w:r>
      <w:r>
        <w:rPr>
          <w:color w:val="00AEEF"/>
          <w:spacing w:val="-15"/>
        </w:rPr>
        <w:t xml:space="preserve"> </w:t>
      </w:r>
      <w:r>
        <w:rPr>
          <w:color w:val="00AEEF"/>
          <w:spacing w:val="-4"/>
        </w:rPr>
        <w:t>for</w:t>
      </w:r>
      <w:r>
        <w:rPr>
          <w:color w:val="00AEEF"/>
          <w:spacing w:val="-16"/>
        </w:rPr>
        <w:t xml:space="preserve"> </w:t>
      </w:r>
      <w:r>
        <w:rPr>
          <w:color w:val="00AEEF"/>
          <w:spacing w:val="-4"/>
        </w:rPr>
        <w:t xml:space="preserve">urban </w:t>
      </w:r>
      <w:r>
        <w:rPr>
          <w:color w:val="00AEEF"/>
        </w:rPr>
        <w:t>road investment</w:t>
      </w:r>
    </w:p>
    <w:p w:rsidR="002C1123" w:rsidRDefault="00F22F94">
      <w:pPr>
        <w:pStyle w:val="BodyText"/>
        <w:spacing w:before="139" w:line="249" w:lineRule="auto"/>
        <w:ind w:left="214" w:right="785"/>
      </w:pPr>
      <w:r>
        <w:rPr>
          <w:w w:val="95"/>
        </w:rPr>
        <w:t>The</w:t>
      </w:r>
      <w:r>
        <w:rPr>
          <w:spacing w:val="-9"/>
          <w:w w:val="95"/>
        </w:rPr>
        <w:t xml:space="preserve"> </w:t>
      </w:r>
      <w:r>
        <w:rPr>
          <w:w w:val="95"/>
        </w:rPr>
        <w:t>SSRN</w:t>
      </w:r>
      <w:r>
        <w:rPr>
          <w:spacing w:val="-9"/>
          <w:w w:val="95"/>
        </w:rPr>
        <w:t xml:space="preserve"> </w:t>
      </w:r>
      <w:r>
        <w:rPr>
          <w:w w:val="95"/>
        </w:rPr>
        <w:t>is</w:t>
      </w:r>
      <w:r>
        <w:rPr>
          <w:spacing w:val="-9"/>
          <w:w w:val="95"/>
        </w:rPr>
        <w:t xml:space="preserve"> </w:t>
      </w:r>
      <w:r>
        <w:rPr>
          <w:w w:val="95"/>
        </w:rPr>
        <w:t>critical</w:t>
      </w:r>
      <w:r>
        <w:rPr>
          <w:spacing w:val="-9"/>
          <w:w w:val="95"/>
        </w:rPr>
        <w:t xml:space="preserve"> </w:t>
      </w:r>
      <w:r>
        <w:rPr>
          <w:w w:val="95"/>
        </w:rPr>
        <w:t>for</w:t>
      </w:r>
      <w:r>
        <w:rPr>
          <w:spacing w:val="-9"/>
          <w:w w:val="95"/>
        </w:rPr>
        <w:t xml:space="preserve"> </w:t>
      </w:r>
      <w:r>
        <w:rPr>
          <w:w w:val="95"/>
        </w:rPr>
        <w:t>sustaining</w:t>
      </w:r>
      <w:r>
        <w:rPr>
          <w:spacing w:val="-9"/>
          <w:w w:val="95"/>
        </w:rPr>
        <w:t xml:space="preserve"> </w:t>
      </w:r>
      <w:r>
        <w:rPr>
          <w:w w:val="95"/>
        </w:rPr>
        <w:t>Sydney’s</w:t>
      </w:r>
      <w:r>
        <w:rPr>
          <w:spacing w:val="-9"/>
          <w:w w:val="95"/>
        </w:rPr>
        <w:t xml:space="preserve"> </w:t>
      </w:r>
      <w:r>
        <w:rPr>
          <w:w w:val="95"/>
        </w:rPr>
        <w:t xml:space="preserve">economy </w:t>
      </w:r>
      <w:r>
        <w:t>and</w:t>
      </w:r>
      <w:r>
        <w:rPr>
          <w:spacing w:val="-10"/>
        </w:rPr>
        <w:t xml:space="preserve"> </w:t>
      </w:r>
      <w:r>
        <w:t>quality</w:t>
      </w:r>
      <w:r>
        <w:rPr>
          <w:spacing w:val="-10"/>
        </w:rPr>
        <w:t xml:space="preserve"> </w:t>
      </w:r>
      <w:r>
        <w:t>of</w:t>
      </w:r>
      <w:r>
        <w:rPr>
          <w:spacing w:val="-10"/>
        </w:rPr>
        <w:t xml:space="preserve"> </w:t>
      </w:r>
      <w:r>
        <w:t>life.</w:t>
      </w:r>
      <w:r>
        <w:rPr>
          <w:spacing w:val="-10"/>
        </w:rPr>
        <w:t xml:space="preserve"> </w:t>
      </w:r>
      <w:r>
        <w:t>But</w:t>
      </w:r>
      <w:r>
        <w:rPr>
          <w:spacing w:val="-10"/>
        </w:rPr>
        <w:t xml:space="preserve"> </w:t>
      </w:r>
      <w:r>
        <w:t>urban</w:t>
      </w:r>
      <w:r>
        <w:rPr>
          <w:spacing w:val="-10"/>
        </w:rPr>
        <w:t xml:space="preserve"> </w:t>
      </w:r>
      <w:r>
        <w:t>road</w:t>
      </w:r>
      <w:r>
        <w:rPr>
          <w:spacing w:val="-10"/>
        </w:rPr>
        <w:t xml:space="preserve"> </w:t>
      </w:r>
      <w:r>
        <w:t>projects</w:t>
      </w:r>
      <w:r>
        <w:rPr>
          <w:spacing w:val="-10"/>
        </w:rPr>
        <w:t xml:space="preserve"> </w:t>
      </w:r>
      <w:r>
        <w:t>are</w:t>
      </w:r>
      <w:r>
        <w:rPr>
          <w:spacing w:val="-10"/>
        </w:rPr>
        <w:t xml:space="preserve"> </w:t>
      </w:r>
      <w:r>
        <w:t>not universally</w:t>
      </w:r>
      <w:r>
        <w:rPr>
          <w:spacing w:val="-13"/>
        </w:rPr>
        <w:t xml:space="preserve"> </w:t>
      </w:r>
      <w:r>
        <w:t>popular.</w:t>
      </w:r>
      <w:r>
        <w:rPr>
          <w:spacing w:val="-13"/>
        </w:rPr>
        <w:t xml:space="preserve"> </w:t>
      </w:r>
      <w:r>
        <w:t>Some</w:t>
      </w:r>
      <w:r>
        <w:rPr>
          <w:spacing w:val="-13"/>
        </w:rPr>
        <w:t xml:space="preserve"> </w:t>
      </w:r>
      <w:r>
        <w:t>commentators</w:t>
      </w:r>
      <w:r>
        <w:rPr>
          <w:spacing w:val="-13"/>
        </w:rPr>
        <w:t xml:space="preserve"> </w:t>
      </w:r>
      <w:r>
        <w:t>argue</w:t>
      </w:r>
    </w:p>
    <w:p w:rsidR="002C1123" w:rsidRDefault="00F22F94">
      <w:pPr>
        <w:pStyle w:val="BodyText"/>
        <w:spacing w:before="3" w:line="249" w:lineRule="auto"/>
        <w:ind w:left="214" w:right="763"/>
      </w:pPr>
      <w:r>
        <w:t>that</w:t>
      </w:r>
      <w:r>
        <w:rPr>
          <w:spacing w:val="-7"/>
        </w:rPr>
        <w:t xml:space="preserve"> </w:t>
      </w:r>
      <w:r>
        <w:t>new</w:t>
      </w:r>
      <w:r>
        <w:rPr>
          <w:spacing w:val="-7"/>
        </w:rPr>
        <w:t xml:space="preserve"> </w:t>
      </w:r>
      <w:r>
        <w:t>roads</w:t>
      </w:r>
      <w:r>
        <w:rPr>
          <w:spacing w:val="-7"/>
        </w:rPr>
        <w:t xml:space="preserve"> </w:t>
      </w:r>
      <w:r>
        <w:t>do</w:t>
      </w:r>
      <w:r>
        <w:rPr>
          <w:spacing w:val="-7"/>
        </w:rPr>
        <w:t xml:space="preserve"> </w:t>
      </w:r>
      <w:r>
        <w:t>not</w:t>
      </w:r>
      <w:r>
        <w:rPr>
          <w:spacing w:val="-7"/>
        </w:rPr>
        <w:t xml:space="preserve"> </w:t>
      </w:r>
      <w:r>
        <w:t>solve</w:t>
      </w:r>
      <w:r>
        <w:rPr>
          <w:spacing w:val="-7"/>
        </w:rPr>
        <w:t xml:space="preserve"> </w:t>
      </w:r>
      <w:r>
        <w:t>congestion,</w:t>
      </w:r>
      <w:r>
        <w:rPr>
          <w:spacing w:val="-7"/>
        </w:rPr>
        <w:t xml:space="preserve"> </w:t>
      </w:r>
      <w:r>
        <w:t>that</w:t>
      </w:r>
      <w:r>
        <w:rPr>
          <w:spacing w:val="-7"/>
        </w:rPr>
        <w:t xml:space="preserve"> </w:t>
      </w:r>
      <w:r>
        <w:t xml:space="preserve">they </w:t>
      </w:r>
      <w:r>
        <w:rPr>
          <w:w w:val="95"/>
        </w:rPr>
        <w:t>discourage</w:t>
      </w:r>
      <w:r>
        <w:rPr>
          <w:spacing w:val="-1"/>
          <w:w w:val="95"/>
        </w:rPr>
        <w:t xml:space="preserve"> </w:t>
      </w:r>
      <w:r>
        <w:rPr>
          <w:w w:val="95"/>
        </w:rPr>
        <w:t>public</w:t>
      </w:r>
      <w:r>
        <w:rPr>
          <w:spacing w:val="-1"/>
          <w:w w:val="95"/>
        </w:rPr>
        <w:t xml:space="preserve"> </w:t>
      </w:r>
      <w:r>
        <w:rPr>
          <w:w w:val="95"/>
        </w:rPr>
        <w:t>transport</w:t>
      </w:r>
      <w:r>
        <w:rPr>
          <w:spacing w:val="-1"/>
          <w:w w:val="95"/>
        </w:rPr>
        <w:t xml:space="preserve"> </w:t>
      </w:r>
      <w:r>
        <w:rPr>
          <w:w w:val="95"/>
        </w:rPr>
        <w:t>use,</w:t>
      </w:r>
      <w:r>
        <w:rPr>
          <w:spacing w:val="-1"/>
          <w:w w:val="95"/>
        </w:rPr>
        <w:t xml:space="preserve"> </w:t>
      </w:r>
      <w:r>
        <w:rPr>
          <w:w w:val="95"/>
        </w:rPr>
        <w:t>or</w:t>
      </w:r>
      <w:r>
        <w:rPr>
          <w:spacing w:val="-1"/>
          <w:w w:val="95"/>
        </w:rPr>
        <w:t xml:space="preserve"> </w:t>
      </w:r>
      <w:r>
        <w:rPr>
          <w:w w:val="95"/>
        </w:rPr>
        <w:t>are</w:t>
      </w:r>
      <w:r>
        <w:rPr>
          <w:spacing w:val="-1"/>
          <w:w w:val="95"/>
        </w:rPr>
        <w:t xml:space="preserve"> </w:t>
      </w:r>
      <w:r>
        <w:rPr>
          <w:w w:val="95"/>
        </w:rPr>
        <w:t>environmentally unsustainable.</w:t>
      </w:r>
      <w:r>
        <w:rPr>
          <w:spacing w:val="-2"/>
          <w:w w:val="95"/>
        </w:rPr>
        <w:t xml:space="preserve"> </w:t>
      </w:r>
      <w:r>
        <w:rPr>
          <w:w w:val="95"/>
        </w:rPr>
        <w:t>This</w:t>
      </w:r>
      <w:r>
        <w:rPr>
          <w:spacing w:val="-2"/>
          <w:w w:val="95"/>
        </w:rPr>
        <w:t xml:space="preserve"> </w:t>
      </w:r>
      <w:r>
        <w:rPr>
          <w:w w:val="95"/>
        </w:rPr>
        <w:t>section</w:t>
      </w:r>
      <w:r>
        <w:rPr>
          <w:spacing w:val="-2"/>
          <w:w w:val="95"/>
        </w:rPr>
        <w:t xml:space="preserve"> </w:t>
      </w:r>
      <w:r>
        <w:rPr>
          <w:w w:val="95"/>
        </w:rPr>
        <w:t>considers</w:t>
      </w:r>
      <w:r>
        <w:rPr>
          <w:spacing w:val="-2"/>
          <w:w w:val="95"/>
        </w:rPr>
        <w:t xml:space="preserve"> </w:t>
      </w:r>
      <w:r>
        <w:rPr>
          <w:w w:val="95"/>
        </w:rPr>
        <w:t>these</w:t>
      </w:r>
      <w:r>
        <w:rPr>
          <w:spacing w:val="-2"/>
          <w:w w:val="95"/>
        </w:rPr>
        <w:t xml:space="preserve"> </w:t>
      </w:r>
      <w:r>
        <w:rPr>
          <w:w w:val="95"/>
        </w:rPr>
        <w:t xml:space="preserve">arguments </w:t>
      </w:r>
      <w:r>
        <w:t>in more detail.</w:t>
      </w:r>
    </w:p>
    <w:p w:rsidR="002C1123" w:rsidRDefault="00F22F94">
      <w:pPr>
        <w:pStyle w:val="Heading6"/>
        <w:numPr>
          <w:ilvl w:val="2"/>
          <w:numId w:val="97"/>
        </w:numPr>
        <w:tabs>
          <w:tab w:val="left" w:pos="701"/>
        </w:tabs>
        <w:spacing w:before="145"/>
        <w:ind w:left="700" w:hanging="487"/>
        <w:jc w:val="left"/>
      </w:pPr>
      <w:r>
        <w:rPr>
          <w:color w:val="00AEEF"/>
          <w:spacing w:val="-2"/>
        </w:rPr>
        <w:t>Do</w:t>
      </w:r>
      <w:r>
        <w:rPr>
          <w:color w:val="00AEEF"/>
          <w:spacing w:val="-10"/>
        </w:rPr>
        <w:t xml:space="preserve"> </w:t>
      </w:r>
      <w:r>
        <w:rPr>
          <w:color w:val="00AEEF"/>
          <w:spacing w:val="-2"/>
        </w:rPr>
        <w:t>new</w:t>
      </w:r>
      <w:r>
        <w:rPr>
          <w:color w:val="00AEEF"/>
          <w:spacing w:val="-9"/>
        </w:rPr>
        <w:t xml:space="preserve"> </w:t>
      </w:r>
      <w:r>
        <w:rPr>
          <w:color w:val="00AEEF"/>
          <w:spacing w:val="-2"/>
        </w:rPr>
        <w:t>roads</w:t>
      </w:r>
      <w:r>
        <w:rPr>
          <w:color w:val="00AEEF"/>
          <w:spacing w:val="-9"/>
        </w:rPr>
        <w:t xml:space="preserve"> </w:t>
      </w:r>
      <w:r>
        <w:rPr>
          <w:color w:val="00AEEF"/>
          <w:spacing w:val="-2"/>
        </w:rPr>
        <w:t>relieve</w:t>
      </w:r>
      <w:r>
        <w:rPr>
          <w:color w:val="00AEEF"/>
          <w:spacing w:val="-9"/>
        </w:rPr>
        <w:t xml:space="preserve"> </w:t>
      </w:r>
      <w:r>
        <w:rPr>
          <w:color w:val="00AEEF"/>
          <w:spacing w:val="-2"/>
        </w:rPr>
        <w:t>congestion?</w:t>
      </w:r>
    </w:p>
    <w:p w:rsidR="002C1123" w:rsidRDefault="00F22F94">
      <w:pPr>
        <w:pStyle w:val="BodyText"/>
        <w:spacing w:before="95" w:line="249" w:lineRule="auto"/>
        <w:ind w:left="214" w:right="785"/>
      </w:pPr>
      <w:r>
        <w:rPr>
          <w:w w:val="95"/>
        </w:rPr>
        <w:t>It</w:t>
      </w:r>
      <w:r>
        <w:rPr>
          <w:spacing w:val="-7"/>
          <w:w w:val="95"/>
        </w:rPr>
        <w:t xml:space="preserve"> </w:t>
      </w:r>
      <w:r>
        <w:rPr>
          <w:w w:val="95"/>
        </w:rPr>
        <w:t>is</w:t>
      </w:r>
      <w:r>
        <w:rPr>
          <w:spacing w:val="-7"/>
          <w:w w:val="95"/>
        </w:rPr>
        <w:t xml:space="preserve"> </w:t>
      </w:r>
      <w:r>
        <w:rPr>
          <w:w w:val="95"/>
        </w:rPr>
        <w:t>sometimes</w:t>
      </w:r>
      <w:r>
        <w:rPr>
          <w:spacing w:val="-7"/>
          <w:w w:val="95"/>
        </w:rPr>
        <w:t xml:space="preserve"> </w:t>
      </w:r>
      <w:r>
        <w:rPr>
          <w:w w:val="95"/>
        </w:rPr>
        <w:t>argued</w:t>
      </w:r>
      <w:r>
        <w:rPr>
          <w:spacing w:val="-7"/>
          <w:w w:val="95"/>
        </w:rPr>
        <w:t xml:space="preserve"> </w:t>
      </w:r>
      <w:r>
        <w:rPr>
          <w:w w:val="95"/>
        </w:rPr>
        <w:t>that</w:t>
      </w:r>
      <w:r>
        <w:rPr>
          <w:spacing w:val="-7"/>
          <w:w w:val="95"/>
        </w:rPr>
        <w:t xml:space="preserve"> </w:t>
      </w:r>
      <w:r>
        <w:rPr>
          <w:w w:val="95"/>
        </w:rPr>
        <w:t>building</w:t>
      </w:r>
      <w:r>
        <w:rPr>
          <w:spacing w:val="-7"/>
          <w:w w:val="95"/>
        </w:rPr>
        <w:t xml:space="preserve"> </w:t>
      </w:r>
      <w:r>
        <w:rPr>
          <w:w w:val="95"/>
        </w:rPr>
        <w:t>new</w:t>
      </w:r>
      <w:r>
        <w:rPr>
          <w:spacing w:val="-7"/>
          <w:w w:val="95"/>
        </w:rPr>
        <w:t xml:space="preserve"> </w:t>
      </w:r>
      <w:r>
        <w:rPr>
          <w:w w:val="95"/>
        </w:rPr>
        <w:t>roads</w:t>
      </w:r>
      <w:r>
        <w:rPr>
          <w:spacing w:val="-7"/>
          <w:w w:val="95"/>
        </w:rPr>
        <w:t xml:space="preserve"> </w:t>
      </w:r>
      <w:r>
        <w:rPr>
          <w:w w:val="95"/>
        </w:rPr>
        <w:t>is</w:t>
      </w:r>
      <w:r>
        <w:rPr>
          <w:spacing w:val="-7"/>
          <w:w w:val="95"/>
        </w:rPr>
        <w:t xml:space="preserve"> </w:t>
      </w:r>
      <w:r>
        <w:rPr>
          <w:w w:val="95"/>
        </w:rPr>
        <w:t>a</w:t>
      </w:r>
      <w:r>
        <w:rPr>
          <w:spacing w:val="-7"/>
          <w:w w:val="95"/>
        </w:rPr>
        <w:t xml:space="preserve"> </w:t>
      </w:r>
      <w:r>
        <w:rPr>
          <w:w w:val="95"/>
        </w:rPr>
        <w:t xml:space="preserve">futile exercise since within a few years, the road network will </w:t>
      </w:r>
      <w:r>
        <w:rPr>
          <w:spacing w:val="-2"/>
        </w:rPr>
        <w:t>be</w:t>
      </w:r>
      <w:r>
        <w:rPr>
          <w:spacing w:val="-8"/>
        </w:rPr>
        <w:t xml:space="preserve"> </w:t>
      </w:r>
      <w:r>
        <w:rPr>
          <w:spacing w:val="-2"/>
        </w:rPr>
        <w:t>as</w:t>
      </w:r>
      <w:r>
        <w:rPr>
          <w:spacing w:val="-8"/>
        </w:rPr>
        <w:t xml:space="preserve"> </w:t>
      </w:r>
      <w:r>
        <w:rPr>
          <w:spacing w:val="-2"/>
        </w:rPr>
        <w:t>congested</w:t>
      </w:r>
      <w:r>
        <w:rPr>
          <w:spacing w:val="-8"/>
        </w:rPr>
        <w:t xml:space="preserve"> </w:t>
      </w:r>
      <w:r>
        <w:rPr>
          <w:spacing w:val="-2"/>
        </w:rPr>
        <w:t>as</w:t>
      </w:r>
      <w:r>
        <w:rPr>
          <w:spacing w:val="-8"/>
        </w:rPr>
        <w:t xml:space="preserve"> </w:t>
      </w:r>
      <w:r>
        <w:rPr>
          <w:spacing w:val="-2"/>
        </w:rPr>
        <w:t>it</w:t>
      </w:r>
      <w:r>
        <w:rPr>
          <w:spacing w:val="-8"/>
        </w:rPr>
        <w:t xml:space="preserve"> </w:t>
      </w:r>
      <w:r>
        <w:rPr>
          <w:spacing w:val="-2"/>
        </w:rPr>
        <w:t>was</w:t>
      </w:r>
      <w:r>
        <w:rPr>
          <w:spacing w:val="-8"/>
        </w:rPr>
        <w:t xml:space="preserve"> </w:t>
      </w:r>
      <w:r>
        <w:rPr>
          <w:spacing w:val="-2"/>
        </w:rPr>
        <w:t>before:</w:t>
      </w:r>
      <w:r>
        <w:rPr>
          <w:spacing w:val="-8"/>
        </w:rPr>
        <w:t xml:space="preserve"> </w:t>
      </w:r>
      <w:r>
        <w:rPr>
          <w:spacing w:val="-2"/>
        </w:rPr>
        <w:t>new</w:t>
      </w:r>
      <w:r>
        <w:rPr>
          <w:spacing w:val="-8"/>
        </w:rPr>
        <w:t xml:space="preserve"> </w:t>
      </w:r>
      <w:r>
        <w:rPr>
          <w:spacing w:val="-2"/>
        </w:rPr>
        <w:t>traffic</w:t>
      </w:r>
      <w:r>
        <w:rPr>
          <w:spacing w:val="-8"/>
        </w:rPr>
        <w:t xml:space="preserve"> </w:t>
      </w:r>
      <w:r>
        <w:rPr>
          <w:spacing w:val="-2"/>
        </w:rPr>
        <w:t xml:space="preserve">(‘induced </w:t>
      </w:r>
      <w:r>
        <w:t>demand’) wiping out initial benefits.</w:t>
      </w:r>
    </w:p>
    <w:p w:rsidR="002C1123" w:rsidRDefault="00F22F94">
      <w:pPr>
        <w:pStyle w:val="BodyText"/>
        <w:spacing w:before="145" w:line="249" w:lineRule="auto"/>
        <w:ind w:left="214" w:right="785"/>
      </w:pPr>
      <w:r>
        <w:rPr>
          <w:w w:val="95"/>
        </w:rPr>
        <w:t>This</w:t>
      </w:r>
      <w:r>
        <w:rPr>
          <w:spacing w:val="-4"/>
          <w:w w:val="95"/>
        </w:rPr>
        <w:t xml:space="preserve"> </w:t>
      </w:r>
      <w:r>
        <w:rPr>
          <w:w w:val="95"/>
        </w:rPr>
        <w:t>argument</w:t>
      </w:r>
      <w:r>
        <w:rPr>
          <w:spacing w:val="-4"/>
          <w:w w:val="95"/>
        </w:rPr>
        <w:t xml:space="preserve"> </w:t>
      </w:r>
      <w:r>
        <w:rPr>
          <w:w w:val="95"/>
        </w:rPr>
        <w:t>needs</w:t>
      </w:r>
      <w:r>
        <w:rPr>
          <w:spacing w:val="-4"/>
          <w:w w:val="95"/>
        </w:rPr>
        <w:t xml:space="preserve"> </w:t>
      </w:r>
      <w:r>
        <w:rPr>
          <w:w w:val="95"/>
        </w:rPr>
        <w:t>to</w:t>
      </w:r>
      <w:r>
        <w:rPr>
          <w:spacing w:val="-4"/>
          <w:w w:val="95"/>
        </w:rPr>
        <w:t xml:space="preserve"> </w:t>
      </w:r>
      <w:r>
        <w:rPr>
          <w:w w:val="95"/>
        </w:rPr>
        <w:t>be</w:t>
      </w:r>
      <w:r>
        <w:rPr>
          <w:spacing w:val="-4"/>
          <w:w w:val="95"/>
        </w:rPr>
        <w:t xml:space="preserve"> </w:t>
      </w:r>
      <w:r>
        <w:rPr>
          <w:w w:val="95"/>
        </w:rPr>
        <w:t>treated</w:t>
      </w:r>
      <w:r>
        <w:rPr>
          <w:spacing w:val="-4"/>
          <w:w w:val="95"/>
        </w:rPr>
        <w:t xml:space="preserve"> </w:t>
      </w:r>
      <w:r>
        <w:rPr>
          <w:w w:val="95"/>
        </w:rPr>
        <w:t>with</w:t>
      </w:r>
      <w:r>
        <w:rPr>
          <w:spacing w:val="-4"/>
          <w:w w:val="95"/>
        </w:rPr>
        <w:t xml:space="preserve"> </w:t>
      </w:r>
      <w:r>
        <w:rPr>
          <w:w w:val="95"/>
        </w:rPr>
        <w:t>care:</w:t>
      </w:r>
      <w:r>
        <w:rPr>
          <w:spacing w:val="-4"/>
          <w:w w:val="95"/>
        </w:rPr>
        <w:t xml:space="preserve"> </w:t>
      </w:r>
      <w:r>
        <w:rPr>
          <w:w w:val="95"/>
        </w:rPr>
        <w:t>new</w:t>
      </w:r>
      <w:r>
        <w:rPr>
          <w:spacing w:val="-4"/>
          <w:w w:val="95"/>
        </w:rPr>
        <w:t xml:space="preserve"> </w:t>
      </w:r>
      <w:r>
        <w:rPr>
          <w:w w:val="95"/>
        </w:rPr>
        <w:t xml:space="preserve">roads </w:t>
      </w:r>
      <w:r>
        <w:t>are</w:t>
      </w:r>
      <w:r>
        <w:rPr>
          <w:spacing w:val="-14"/>
        </w:rPr>
        <w:t xml:space="preserve"> </w:t>
      </w:r>
      <w:r>
        <w:t>not</w:t>
      </w:r>
      <w:r>
        <w:rPr>
          <w:spacing w:val="-14"/>
        </w:rPr>
        <w:t xml:space="preserve"> </w:t>
      </w:r>
      <w:r>
        <w:t>primarily</w:t>
      </w:r>
      <w:r>
        <w:rPr>
          <w:spacing w:val="-14"/>
        </w:rPr>
        <w:t xml:space="preserve"> </w:t>
      </w:r>
      <w:r>
        <w:t>required</w:t>
      </w:r>
      <w:r>
        <w:rPr>
          <w:spacing w:val="-14"/>
        </w:rPr>
        <w:t xml:space="preserve"> </w:t>
      </w:r>
      <w:r>
        <w:t>to</w:t>
      </w:r>
      <w:r>
        <w:rPr>
          <w:spacing w:val="-14"/>
        </w:rPr>
        <w:t xml:space="preserve"> </w:t>
      </w:r>
      <w:r>
        <w:t>increase</w:t>
      </w:r>
      <w:r>
        <w:rPr>
          <w:spacing w:val="-14"/>
        </w:rPr>
        <w:t xml:space="preserve"> </w:t>
      </w:r>
      <w:r>
        <w:t>journey</w:t>
      </w:r>
      <w:r>
        <w:rPr>
          <w:spacing w:val="-14"/>
        </w:rPr>
        <w:t xml:space="preserve"> </w:t>
      </w:r>
      <w:r>
        <w:t>speeds</w:t>
      </w:r>
    </w:p>
    <w:p w:rsidR="002C1123" w:rsidRDefault="00F22F94">
      <w:pPr>
        <w:pStyle w:val="BodyText"/>
        <w:spacing w:before="2"/>
        <w:ind w:left="214"/>
      </w:pPr>
      <w:r>
        <w:rPr>
          <w:w w:val="95"/>
        </w:rPr>
        <w:t>for</w:t>
      </w:r>
      <w:r>
        <w:rPr>
          <w:spacing w:val="-8"/>
          <w:w w:val="95"/>
        </w:rPr>
        <w:t xml:space="preserve"> </w:t>
      </w:r>
      <w:r>
        <w:rPr>
          <w:w w:val="95"/>
        </w:rPr>
        <w:t>existing</w:t>
      </w:r>
      <w:r>
        <w:rPr>
          <w:spacing w:val="-8"/>
          <w:w w:val="95"/>
        </w:rPr>
        <w:t xml:space="preserve"> </w:t>
      </w:r>
      <w:r>
        <w:rPr>
          <w:w w:val="95"/>
        </w:rPr>
        <w:t>users</w:t>
      </w:r>
      <w:r>
        <w:rPr>
          <w:spacing w:val="-7"/>
          <w:w w:val="95"/>
        </w:rPr>
        <w:t xml:space="preserve"> </w:t>
      </w:r>
      <w:r>
        <w:rPr>
          <w:w w:val="95"/>
        </w:rPr>
        <w:t>in</w:t>
      </w:r>
      <w:r>
        <w:rPr>
          <w:spacing w:val="-8"/>
          <w:w w:val="95"/>
        </w:rPr>
        <w:t xml:space="preserve"> </w:t>
      </w:r>
      <w:r>
        <w:rPr>
          <w:w w:val="95"/>
        </w:rPr>
        <w:t>peak</w:t>
      </w:r>
      <w:r>
        <w:rPr>
          <w:spacing w:val="-7"/>
          <w:w w:val="95"/>
        </w:rPr>
        <w:t xml:space="preserve"> </w:t>
      </w:r>
      <w:r>
        <w:rPr>
          <w:w w:val="95"/>
        </w:rPr>
        <w:t>hours</w:t>
      </w:r>
      <w:r>
        <w:rPr>
          <w:spacing w:val="-8"/>
          <w:w w:val="95"/>
        </w:rPr>
        <w:t xml:space="preserve"> </w:t>
      </w:r>
      <w:r>
        <w:rPr>
          <w:w w:val="95"/>
        </w:rPr>
        <w:t>(a</w:t>
      </w:r>
      <w:r>
        <w:rPr>
          <w:spacing w:val="-7"/>
          <w:w w:val="95"/>
        </w:rPr>
        <w:t xml:space="preserve"> </w:t>
      </w:r>
      <w:r>
        <w:rPr>
          <w:w w:val="95"/>
        </w:rPr>
        <w:t>common</w:t>
      </w:r>
      <w:r>
        <w:rPr>
          <w:spacing w:val="-8"/>
          <w:w w:val="95"/>
        </w:rPr>
        <w:t xml:space="preserve"> </w:t>
      </w:r>
      <w:r>
        <w:rPr>
          <w:spacing w:val="-2"/>
          <w:w w:val="95"/>
        </w:rPr>
        <w:t>definition</w:t>
      </w:r>
    </w:p>
    <w:p w:rsidR="002C1123" w:rsidRDefault="002C1123">
      <w:pPr>
        <w:sectPr w:rsidR="002C1123">
          <w:type w:val="continuous"/>
          <w:pgSz w:w="16840" w:h="11910" w:orient="landscape"/>
          <w:pgMar w:top="560" w:right="280" w:bottom="280" w:left="500" w:header="0" w:footer="517" w:gutter="0"/>
          <w:cols w:num="3" w:space="720" w:equalWidth="0">
            <w:col w:w="5230" w:space="40"/>
            <w:col w:w="5022" w:space="39"/>
            <w:col w:w="5729"/>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3"/>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BodyText"/>
        <w:spacing w:before="108" w:line="249" w:lineRule="auto"/>
        <w:ind w:left="492"/>
      </w:pPr>
      <w:bookmarkStart w:id="159" w:name="_bookmark113"/>
      <w:bookmarkEnd w:id="159"/>
      <w:r>
        <w:t>of</w:t>
      </w:r>
      <w:r>
        <w:rPr>
          <w:spacing w:val="-14"/>
        </w:rPr>
        <w:t xml:space="preserve"> </w:t>
      </w:r>
      <w:r>
        <w:t>congestion).</w:t>
      </w:r>
      <w:r>
        <w:rPr>
          <w:spacing w:val="-14"/>
        </w:rPr>
        <w:t xml:space="preserve"> </w:t>
      </w:r>
      <w:r>
        <w:t>Rather</w:t>
      </w:r>
      <w:r>
        <w:rPr>
          <w:spacing w:val="-14"/>
        </w:rPr>
        <w:t xml:space="preserve"> </w:t>
      </w:r>
      <w:r>
        <w:t>new</w:t>
      </w:r>
      <w:r>
        <w:rPr>
          <w:spacing w:val="-14"/>
        </w:rPr>
        <w:t xml:space="preserve"> </w:t>
      </w:r>
      <w:r>
        <w:t>roads</w:t>
      </w:r>
      <w:r>
        <w:rPr>
          <w:spacing w:val="-14"/>
        </w:rPr>
        <w:t xml:space="preserve"> </w:t>
      </w:r>
      <w:r>
        <w:t>provide</w:t>
      </w:r>
      <w:r>
        <w:rPr>
          <w:spacing w:val="-14"/>
        </w:rPr>
        <w:t xml:space="preserve"> </w:t>
      </w:r>
      <w:r>
        <w:t>the</w:t>
      </w:r>
      <w:r>
        <w:rPr>
          <w:spacing w:val="-14"/>
        </w:rPr>
        <w:t xml:space="preserve"> </w:t>
      </w:r>
      <w:r>
        <w:t xml:space="preserve">capacity </w:t>
      </w:r>
      <w:r>
        <w:rPr>
          <w:w w:val="95"/>
        </w:rPr>
        <w:t>needed</w:t>
      </w:r>
      <w:r>
        <w:rPr>
          <w:spacing w:val="-2"/>
          <w:w w:val="95"/>
        </w:rPr>
        <w:t xml:space="preserve"> </w:t>
      </w:r>
      <w:r>
        <w:rPr>
          <w:w w:val="95"/>
        </w:rPr>
        <w:t>for</w:t>
      </w:r>
      <w:r>
        <w:rPr>
          <w:spacing w:val="-2"/>
          <w:w w:val="95"/>
        </w:rPr>
        <w:t xml:space="preserve"> </w:t>
      </w:r>
      <w:r>
        <w:rPr>
          <w:w w:val="95"/>
        </w:rPr>
        <w:t>a</w:t>
      </w:r>
      <w:r>
        <w:rPr>
          <w:spacing w:val="-2"/>
          <w:w w:val="95"/>
        </w:rPr>
        <w:t xml:space="preserve"> </w:t>
      </w:r>
      <w:r>
        <w:rPr>
          <w:w w:val="95"/>
        </w:rPr>
        <w:t>growing</w:t>
      </w:r>
      <w:r>
        <w:rPr>
          <w:spacing w:val="-2"/>
          <w:w w:val="95"/>
        </w:rPr>
        <w:t xml:space="preserve"> </w:t>
      </w:r>
      <w:r>
        <w:rPr>
          <w:w w:val="95"/>
        </w:rPr>
        <w:t>population</w:t>
      </w:r>
      <w:r>
        <w:rPr>
          <w:spacing w:val="-2"/>
          <w:w w:val="95"/>
        </w:rPr>
        <w:t xml:space="preserve"> </w:t>
      </w:r>
      <w:r>
        <w:rPr>
          <w:w w:val="95"/>
        </w:rPr>
        <w:t>and</w:t>
      </w:r>
      <w:r>
        <w:rPr>
          <w:spacing w:val="-2"/>
          <w:w w:val="95"/>
        </w:rPr>
        <w:t xml:space="preserve"> </w:t>
      </w:r>
      <w:r>
        <w:rPr>
          <w:w w:val="95"/>
        </w:rPr>
        <w:t>economy.</w:t>
      </w:r>
      <w:r>
        <w:rPr>
          <w:spacing w:val="-2"/>
          <w:w w:val="95"/>
        </w:rPr>
        <w:t xml:space="preserve"> </w:t>
      </w:r>
      <w:r>
        <w:rPr>
          <w:w w:val="95"/>
        </w:rPr>
        <w:t>In</w:t>
      </w:r>
      <w:r>
        <w:rPr>
          <w:spacing w:val="-2"/>
          <w:w w:val="95"/>
        </w:rPr>
        <w:t xml:space="preserve"> </w:t>
      </w:r>
      <w:r>
        <w:rPr>
          <w:w w:val="95"/>
        </w:rPr>
        <w:t xml:space="preserve">some </w:t>
      </w:r>
      <w:r>
        <w:t>cases,</w:t>
      </w:r>
      <w:r>
        <w:rPr>
          <w:spacing w:val="-14"/>
        </w:rPr>
        <w:t xml:space="preserve"> </w:t>
      </w:r>
      <w:r>
        <w:t>new</w:t>
      </w:r>
      <w:r>
        <w:rPr>
          <w:spacing w:val="-14"/>
        </w:rPr>
        <w:t xml:space="preserve"> </w:t>
      </w:r>
      <w:r>
        <w:t>roads</w:t>
      </w:r>
      <w:r>
        <w:rPr>
          <w:spacing w:val="-14"/>
        </w:rPr>
        <w:t xml:space="preserve"> </w:t>
      </w:r>
      <w:r>
        <w:t>are</w:t>
      </w:r>
      <w:r>
        <w:rPr>
          <w:spacing w:val="-14"/>
        </w:rPr>
        <w:t xml:space="preserve"> </w:t>
      </w:r>
      <w:r>
        <w:t>desirable</w:t>
      </w:r>
      <w:r>
        <w:rPr>
          <w:spacing w:val="-14"/>
        </w:rPr>
        <w:t xml:space="preserve"> </w:t>
      </w:r>
      <w:r>
        <w:t>to</w:t>
      </w:r>
      <w:r>
        <w:rPr>
          <w:spacing w:val="-14"/>
        </w:rPr>
        <w:t xml:space="preserve"> </w:t>
      </w:r>
      <w:r>
        <w:t>relieve</w:t>
      </w:r>
      <w:r>
        <w:rPr>
          <w:spacing w:val="-14"/>
        </w:rPr>
        <w:t xml:space="preserve"> </w:t>
      </w:r>
      <w:r>
        <w:t>pressure</w:t>
      </w:r>
      <w:r>
        <w:rPr>
          <w:spacing w:val="-14"/>
        </w:rPr>
        <w:t xml:space="preserve"> </w:t>
      </w:r>
      <w:r>
        <w:t>on unsuitable</w:t>
      </w:r>
      <w:r>
        <w:rPr>
          <w:spacing w:val="-14"/>
        </w:rPr>
        <w:t xml:space="preserve"> </w:t>
      </w:r>
      <w:r>
        <w:t>legacy</w:t>
      </w:r>
      <w:r>
        <w:rPr>
          <w:spacing w:val="-14"/>
        </w:rPr>
        <w:t xml:space="preserve"> </w:t>
      </w:r>
      <w:r>
        <w:t>arterial</w:t>
      </w:r>
      <w:r>
        <w:rPr>
          <w:spacing w:val="-14"/>
        </w:rPr>
        <w:t xml:space="preserve"> </w:t>
      </w:r>
      <w:r>
        <w:t>roads,</w:t>
      </w:r>
      <w:r>
        <w:rPr>
          <w:spacing w:val="-14"/>
        </w:rPr>
        <w:t xml:space="preserve"> </w:t>
      </w:r>
      <w:r>
        <w:t>in</w:t>
      </w:r>
      <w:r>
        <w:rPr>
          <w:spacing w:val="-14"/>
        </w:rPr>
        <w:t xml:space="preserve"> </w:t>
      </w:r>
      <w:r>
        <w:t>order</w:t>
      </w:r>
      <w:r>
        <w:rPr>
          <w:spacing w:val="-14"/>
        </w:rPr>
        <w:t xml:space="preserve"> </w:t>
      </w:r>
      <w:r>
        <w:t>to</w:t>
      </w:r>
      <w:r>
        <w:rPr>
          <w:spacing w:val="-14"/>
        </w:rPr>
        <w:t xml:space="preserve"> </w:t>
      </w:r>
      <w:r>
        <w:t>stimulate urban</w:t>
      </w:r>
      <w:r>
        <w:rPr>
          <w:spacing w:val="-9"/>
        </w:rPr>
        <w:t xml:space="preserve"> </w:t>
      </w:r>
      <w:r>
        <w:t>regeneration</w:t>
      </w:r>
      <w:r>
        <w:rPr>
          <w:spacing w:val="-9"/>
        </w:rPr>
        <w:t xml:space="preserve"> </w:t>
      </w:r>
      <w:r>
        <w:t>and</w:t>
      </w:r>
      <w:r>
        <w:rPr>
          <w:spacing w:val="-9"/>
        </w:rPr>
        <w:t xml:space="preserve"> </w:t>
      </w:r>
      <w:r>
        <w:t>improve</w:t>
      </w:r>
      <w:r>
        <w:rPr>
          <w:spacing w:val="-9"/>
        </w:rPr>
        <w:t xml:space="preserve"> </w:t>
      </w:r>
      <w:r>
        <w:t>safety.</w:t>
      </w:r>
    </w:p>
    <w:p w:rsidR="002C1123" w:rsidRDefault="00F22F94">
      <w:pPr>
        <w:pStyle w:val="BodyText"/>
        <w:spacing w:before="146" w:line="249" w:lineRule="auto"/>
        <w:ind w:left="492"/>
      </w:pPr>
      <w:r>
        <w:t>Accordingly,</w:t>
      </w:r>
      <w:r>
        <w:rPr>
          <w:spacing w:val="-12"/>
        </w:rPr>
        <w:t xml:space="preserve"> </w:t>
      </w:r>
      <w:r>
        <w:t>a</w:t>
      </w:r>
      <w:r>
        <w:rPr>
          <w:spacing w:val="-12"/>
        </w:rPr>
        <w:t xml:space="preserve"> </w:t>
      </w:r>
      <w:r>
        <w:t>reduction</w:t>
      </w:r>
      <w:r>
        <w:rPr>
          <w:spacing w:val="-12"/>
        </w:rPr>
        <w:t xml:space="preserve"> </w:t>
      </w:r>
      <w:r>
        <w:t>in</w:t>
      </w:r>
      <w:r>
        <w:rPr>
          <w:spacing w:val="-12"/>
        </w:rPr>
        <w:t xml:space="preserve"> </w:t>
      </w:r>
      <w:r>
        <w:t>journey</w:t>
      </w:r>
      <w:r>
        <w:rPr>
          <w:spacing w:val="-12"/>
        </w:rPr>
        <w:t xml:space="preserve"> </w:t>
      </w:r>
      <w:r>
        <w:t>times</w:t>
      </w:r>
      <w:r>
        <w:rPr>
          <w:spacing w:val="-12"/>
        </w:rPr>
        <w:t xml:space="preserve"> </w:t>
      </w:r>
      <w:r>
        <w:t>in</w:t>
      </w:r>
      <w:r>
        <w:rPr>
          <w:spacing w:val="-12"/>
        </w:rPr>
        <w:t xml:space="preserve"> </w:t>
      </w:r>
      <w:r>
        <w:t>peak periods</w:t>
      </w:r>
      <w:r>
        <w:rPr>
          <w:spacing w:val="-11"/>
        </w:rPr>
        <w:t xml:space="preserve"> </w:t>
      </w:r>
      <w:r>
        <w:t>is</w:t>
      </w:r>
      <w:r>
        <w:rPr>
          <w:spacing w:val="-11"/>
        </w:rPr>
        <w:t xml:space="preserve"> </w:t>
      </w:r>
      <w:r>
        <w:t>desirable,</w:t>
      </w:r>
      <w:r>
        <w:rPr>
          <w:spacing w:val="-11"/>
        </w:rPr>
        <w:t xml:space="preserve"> </w:t>
      </w:r>
      <w:r>
        <w:t>but</w:t>
      </w:r>
      <w:r>
        <w:rPr>
          <w:spacing w:val="-11"/>
        </w:rPr>
        <w:t xml:space="preserve"> </w:t>
      </w:r>
      <w:r>
        <w:t>the</w:t>
      </w:r>
      <w:r>
        <w:rPr>
          <w:spacing w:val="-11"/>
        </w:rPr>
        <w:t xml:space="preserve"> </w:t>
      </w:r>
      <w:r>
        <w:t>first</w:t>
      </w:r>
      <w:r>
        <w:rPr>
          <w:spacing w:val="-11"/>
        </w:rPr>
        <w:t xml:space="preserve"> </w:t>
      </w:r>
      <w:r>
        <w:t>task</w:t>
      </w:r>
      <w:r>
        <w:rPr>
          <w:spacing w:val="-11"/>
        </w:rPr>
        <w:t xml:space="preserve"> </w:t>
      </w:r>
      <w:r>
        <w:t>is</w:t>
      </w:r>
      <w:r>
        <w:rPr>
          <w:spacing w:val="-11"/>
        </w:rPr>
        <w:t xml:space="preserve"> </w:t>
      </w:r>
      <w:r>
        <w:t>to</w:t>
      </w:r>
      <w:r>
        <w:rPr>
          <w:spacing w:val="-11"/>
        </w:rPr>
        <w:t xml:space="preserve"> </w:t>
      </w:r>
      <w:r>
        <w:t xml:space="preserve">maintain </w:t>
      </w:r>
      <w:r>
        <w:rPr>
          <w:w w:val="95"/>
        </w:rPr>
        <w:t>existing</w:t>
      </w:r>
      <w:r>
        <w:rPr>
          <w:spacing w:val="-9"/>
          <w:w w:val="95"/>
        </w:rPr>
        <w:t xml:space="preserve"> </w:t>
      </w:r>
      <w:r>
        <w:rPr>
          <w:w w:val="95"/>
        </w:rPr>
        <w:t>performance</w:t>
      </w:r>
      <w:r>
        <w:rPr>
          <w:spacing w:val="-9"/>
          <w:w w:val="95"/>
        </w:rPr>
        <w:t xml:space="preserve"> </w:t>
      </w:r>
      <w:r>
        <w:rPr>
          <w:w w:val="95"/>
        </w:rPr>
        <w:t>standards</w:t>
      </w:r>
      <w:r>
        <w:rPr>
          <w:spacing w:val="-9"/>
          <w:w w:val="95"/>
        </w:rPr>
        <w:t xml:space="preserve"> </w:t>
      </w:r>
      <w:r>
        <w:rPr>
          <w:w w:val="95"/>
        </w:rPr>
        <w:t>and</w:t>
      </w:r>
      <w:r>
        <w:rPr>
          <w:spacing w:val="-9"/>
          <w:w w:val="95"/>
        </w:rPr>
        <w:t xml:space="preserve"> </w:t>
      </w:r>
      <w:r>
        <w:rPr>
          <w:w w:val="95"/>
        </w:rPr>
        <w:t>reliability</w:t>
      </w:r>
      <w:r>
        <w:rPr>
          <w:spacing w:val="-9"/>
          <w:w w:val="95"/>
        </w:rPr>
        <w:t xml:space="preserve"> </w:t>
      </w:r>
      <w:r>
        <w:rPr>
          <w:w w:val="95"/>
        </w:rPr>
        <w:t>levels</w:t>
      </w:r>
      <w:r>
        <w:rPr>
          <w:spacing w:val="-9"/>
          <w:w w:val="95"/>
        </w:rPr>
        <w:t xml:space="preserve"> </w:t>
      </w:r>
      <w:r>
        <w:rPr>
          <w:w w:val="95"/>
        </w:rPr>
        <w:t xml:space="preserve">as </w:t>
      </w:r>
      <w:r>
        <w:t>traffic</w:t>
      </w:r>
      <w:r>
        <w:rPr>
          <w:spacing w:val="-11"/>
        </w:rPr>
        <w:t xml:space="preserve"> </w:t>
      </w:r>
      <w:r>
        <w:t>grows.</w:t>
      </w:r>
    </w:p>
    <w:p w:rsidR="002C1123" w:rsidRDefault="00F22F94">
      <w:pPr>
        <w:pStyle w:val="BodyText"/>
        <w:spacing w:before="143" w:line="249" w:lineRule="auto"/>
        <w:ind w:left="492"/>
      </w:pPr>
      <w:r>
        <w:t>In</w:t>
      </w:r>
      <w:r>
        <w:rPr>
          <w:spacing w:val="-14"/>
        </w:rPr>
        <w:t xml:space="preserve"> </w:t>
      </w:r>
      <w:r>
        <w:t>the</w:t>
      </w:r>
      <w:r>
        <w:rPr>
          <w:spacing w:val="-14"/>
        </w:rPr>
        <w:t xml:space="preserve"> </w:t>
      </w:r>
      <w:r>
        <w:t>last</w:t>
      </w:r>
      <w:r>
        <w:rPr>
          <w:spacing w:val="-14"/>
        </w:rPr>
        <w:t xml:space="preserve"> </w:t>
      </w:r>
      <w:r>
        <w:t>twenty</w:t>
      </w:r>
      <w:r>
        <w:rPr>
          <w:spacing w:val="-14"/>
        </w:rPr>
        <w:t xml:space="preserve"> </w:t>
      </w:r>
      <w:r>
        <w:t>years,</w:t>
      </w:r>
      <w:r>
        <w:rPr>
          <w:spacing w:val="-14"/>
        </w:rPr>
        <w:t xml:space="preserve"> </w:t>
      </w:r>
      <w:r>
        <w:t>traffic</w:t>
      </w:r>
      <w:r>
        <w:rPr>
          <w:spacing w:val="-14"/>
        </w:rPr>
        <w:t xml:space="preserve"> </w:t>
      </w:r>
      <w:r>
        <w:t>volumes</w:t>
      </w:r>
      <w:r>
        <w:rPr>
          <w:spacing w:val="-14"/>
        </w:rPr>
        <w:t xml:space="preserve"> </w:t>
      </w:r>
      <w:r>
        <w:t>on</w:t>
      </w:r>
      <w:r>
        <w:rPr>
          <w:spacing w:val="-14"/>
        </w:rPr>
        <w:t xml:space="preserve"> </w:t>
      </w:r>
      <w:r>
        <w:t>the</w:t>
      </w:r>
      <w:r>
        <w:rPr>
          <w:spacing w:val="-14"/>
        </w:rPr>
        <w:t xml:space="preserve"> </w:t>
      </w:r>
      <w:r>
        <w:t>SSRN have</w:t>
      </w:r>
      <w:r>
        <w:rPr>
          <w:spacing w:val="-14"/>
        </w:rPr>
        <w:t xml:space="preserve"> </w:t>
      </w:r>
      <w:r>
        <w:t>grown</w:t>
      </w:r>
      <w:r>
        <w:rPr>
          <w:spacing w:val="-14"/>
        </w:rPr>
        <w:t xml:space="preserve"> </w:t>
      </w:r>
      <w:r>
        <w:t>by</w:t>
      </w:r>
      <w:r>
        <w:rPr>
          <w:spacing w:val="-14"/>
        </w:rPr>
        <w:t xml:space="preserve"> </w:t>
      </w:r>
      <w:r>
        <w:t>approximately</w:t>
      </w:r>
      <w:r>
        <w:rPr>
          <w:spacing w:val="-14"/>
        </w:rPr>
        <w:t xml:space="preserve"> </w:t>
      </w:r>
      <w:r>
        <w:t>50</w:t>
      </w:r>
      <w:r>
        <w:rPr>
          <w:spacing w:val="-14"/>
        </w:rPr>
        <w:t xml:space="preserve"> </w:t>
      </w:r>
      <w:r>
        <w:t>percent,</w:t>
      </w:r>
      <w:r>
        <w:rPr>
          <w:spacing w:val="-14"/>
        </w:rPr>
        <w:t xml:space="preserve"> </w:t>
      </w:r>
      <w:r>
        <w:t>while</w:t>
      </w:r>
      <w:r>
        <w:rPr>
          <w:spacing w:val="-14"/>
        </w:rPr>
        <w:t xml:space="preserve"> </w:t>
      </w:r>
      <w:r>
        <w:t>travel speeds</w:t>
      </w:r>
      <w:r>
        <w:rPr>
          <w:spacing w:val="-11"/>
        </w:rPr>
        <w:t xml:space="preserve"> </w:t>
      </w:r>
      <w:r>
        <w:t>in</w:t>
      </w:r>
      <w:r>
        <w:rPr>
          <w:spacing w:val="-11"/>
        </w:rPr>
        <w:t xml:space="preserve"> </w:t>
      </w:r>
      <w:r>
        <w:t>the</w:t>
      </w:r>
      <w:r>
        <w:rPr>
          <w:spacing w:val="-11"/>
        </w:rPr>
        <w:t xml:space="preserve"> </w:t>
      </w:r>
      <w:r>
        <w:t>peak</w:t>
      </w:r>
      <w:r>
        <w:rPr>
          <w:spacing w:val="-11"/>
        </w:rPr>
        <w:t xml:space="preserve"> </w:t>
      </w:r>
      <w:r>
        <w:t>periods</w:t>
      </w:r>
      <w:r>
        <w:rPr>
          <w:spacing w:val="-11"/>
        </w:rPr>
        <w:t xml:space="preserve"> </w:t>
      </w:r>
      <w:r>
        <w:t>have</w:t>
      </w:r>
      <w:r>
        <w:rPr>
          <w:spacing w:val="-11"/>
        </w:rPr>
        <w:t xml:space="preserve"> </w:t>
      </w:r>
      <w:r>
        <w:t>remained</w:t>
      </w:r>
      <w:r>
        <w:rPr>
          <w:spacing w:val="-11"/>
        </w:rPr>
        <w:t xml:space="preserve"> </w:t>
      </w:r>
      <w:r>
        <w:t xml:space="preserve">broadly </w:t>
      </w:r>
      <w:r>
        <w:rPr>
          <w:w w:val="95"/>
        </w:rPr>
        <w:t>stable.</w:t>
      </w:r>
      <w:r>
        <w:rPr>
          <w:spacing w:val="-5"/>
          <w:w w:val="95"/>
        </w:rPr>
        <w:t xml:space="preserve"> </w:t>
      </w:r>
      <w:r>
        <w:rPr>
          <w:w w:val="95"/>
        </w:rPr>
        <w:t>The</w:t>
      </w:r>
      <w:r>
        <w:rPr>
          <w:spacing w:val="-5"/>
          <w:w w:val="95"/>
        </w:rPr>
        <w:t xml:space="preserve"> </w:t>
      </w:r>
      <w:r>
        <w:rPr>
          <w:w w:val="95"/>
        </w:rPr>
        <w:t>new</w:t>
      </w:r>
      <w:r>
        <w:rPr>
          <w:spacing w:val="-5"/>
          <w:w w:val="95"/>
        </w:rPr>
        <w:t xml:space="preserve"> </w:t>
      </w:r>
      <w:r>
        <w:rPr>
          <w:w w:val="95"/>
        </w:rPr>
        <w:t>roads</w:t>
      </w:r>
      <w:r>
        <w:rPr>
          <w:spacing w:val="-5"/>
          <w:w w:val="95"/>
        </w:rPr>
        <w:t xml:space="preserve"> </w:t>
      </w:r>
      <w:r>
        <w:rPr>
          <w:w w:val="95"/>
        </w:rPr>
        <w:t>built</w:t>
      </w:r>
      <w:r>
        <w:rPr>
          <w:spacing w:val="-5"/>
          <w:w w:val="95"/>
        </w:rPr>
        <w:t xml:space="preserve"> </w:t>
      </w:r>
      <w:r>
        <w:rPr>
          <w:w w:val="95"/>
        </w:rPr>
        <w:t>in</w:t>
      </w:r>
      <w:r>
        <w:rPr>
          <w:spacing w:val="-5"/>
          <w:w w:val="95"/>
        </w:rPr>
        <w:t xml:space="preserve"> </w:t>
      </w:r>
      <w:r>
        <w:rPr>
          <w:w w:val="95"/>
        </w:rPr>
        <w:t>the</w:t>
      </w:r>
      <w:r>
        <w:rPr>
          <w:spacing w:val="-5"/>
          <w:w w:val="95"/>
        </w:rPr>
        <w:t xml:space="preserve"> </w:t>
      </w:r>
      <w:r>
        <w:rPr>
          <w:w w:val="95"/>
        </w:rPr>
        <w:t>last</w:t>
      </w:r>
      <w:r>
        <w:rPr>
          <w:spacing w:val="-5"/>
          <w:w w:val="95"/>
        </w:rPr>
        <w:t xml:space="preserve"> </w:t>
      </w:r>
      <w:r>
        <w:rPr>
          <w:w w:val="95"/>
        </w:rPr>
        <w:t>two</w:t>
      </w:r>
      <w:r>
        <w:rPr>
          <w:spacing w:val="-5"/>
          <w:w w:val="95"/>
        </w:rPr>
        <w:t xml:space="preserve"> </w:t>
      </w:r>
      <w:r>
        <w:rPr>
          <w:w w:val="95"/>
        </w:rPr>
        <w:t>decades</w:t>
      </w:r>
      <w:r>
        <w:rPr>
          <w:spacing w:val="-5"/>
          <w:w w:val="95"/>
        </w:rPr>
        <w:t xml:space="preserve"> </w:t>
      </w:r>
      <w:r>
        <w:rPr>
          <w:w w:val="95"/>
        </w:rPr>
        <w:t xml:space="preserve">were </w:t>
      </w:r>
      <w:r>
        <w:t>the</w:t>
      </w:r>
      <w:r>
        <w:rPr>
          <w:spacing w:val="-9"/>
        </w:rPr>
        <w:t xml:space="preserve"> </w:t>
      </w:r>
      <w:r>
        <w:t>minimum</w:t>
      </w:r>
      <w:r>
        <w:rPr>
          <w:spacing w:val="-10"/>
        </w:rPr>
        <w:t xml:space="preserve"> </w:t>
      </w:r>
      <w:r>
        <w:t>required</w:t>
      </w:r>
      <w:r>
        <w:rPr>
          <w:spacing w:val="-9"/>
        </w:rPr>
        <w:t xml:space="preserve"> </w:t>
      </w:r>
      <w:r>
        <w:t>to</w:t>
      </w:r>
      <w:r>
        <w:rPr>
          <w:spacing w:val="-9"/>
        </w:rPr>
        <w:t xml:space="preserve"> </w:t>
      </w:r>
      <w:r>
        <w:t>maintain</w:t>
      </w:r>
      <w:r>
        <w:rPr>
          <w:spacing w:val="-9"/>
        </w:rPr>
        <w:t xml:space="preserve"> </w:t>
      </w:r>
      <w:r>
        <w:t>quality</w:t>
      </w:r>
      <w:r>
        <w:rPr>
          <w:spacing w:val="-9"/>
        </w:rPr>
        <w:t xml:space="preserve"> </w:t>
      </w:r>
      <w:r>
        <w:t>of</w:t>
      </w:r>
      <w:r>
        <w:rPr>
          <w:spacing w:val="-9"/>
        </w:rPr>
        <w:t xml:space="preserve"> </w:t>
      </w:r>
      <w:r>
        <w:t>network</w:t>
      </w:r>
    </w:p>
    <w:p w:rsidR="002C1123" w:rsidRDefault="00F22F94">
      <w:pPr>
        <w:pStyle w:val="Heading6"/>
        <w:numPr>
          <w:ilvl w:val="2"/>
          <w:numId w:val="97"/>
        </w:numPr>
        <w:tabs>
          <w:tab w:val="left" w:pos="755"/>
        </w:tabs>
        <w:spacing w:line="249" w:lineRule="auto"/>
        <w:ind w:left="754" w:right="1624"/>
        <w:jc w:val="left"/>
      </w:pPr>
      <w:r>
        <w:rPr>
          <w:b w:val="0"/>
        </w:rPr>
        <w:br w:type="column"/>
      </w:r>
      <w:r>
        <w:rPr>
          <w:color w:val="00AEEF"/>
          <w:spacing w:val="-2"/>
        </w:rPr>
        <w:t>Can</w:t>
      </w:r>
      <w:r>
        <w:rPr>
          <w:color w:val="00AEEF"/>
          <w:spacing w:val="-12"/>
        </w:rPr>
        <w:t xml:space="preserve"> </w:t>
      </w:r>
      <w:r>
        <w:rPr>
          <w:color w:val="00AEEF"/>
          <w:spacing w:val="-2"/>
        </w:rPr>
        <w:t>public</w:t>
      </w:r>
      <w:r>
        <w:rPr>
          <w:color w:val="00AEEF"/>
          <w:spacing w:val="-12"/>
        </w:rPr>
        <w:t xml:space="preserve"> </w:t>
      </w:r>
      <w:r>
        <w:rPr>
          <w:color w:val="00AEEF"/>
          <w:spacing w:val="-2"/>
        </w:rPr>
        <w:t>transport</w:t>
      </w:r>
      <w:r>
        <w:rPr>
          <w:color w:val="00AEEF"/>
          <w:spacing w:val="-12"/>
        </w:rPr>
        <w:t xml:space="preserve"> </w:t>
      </w:r>
      <w:r>
        <w:rPr>
          <w:color w:val="00AEEF"/>
          <w:spacing w:val="-2"/>
        </w:rPr>
        <w:t xml:space="preserve">replace </w:t>
      </w:r>
      <w:r>
        <w:rPr>
          <w:color w:val="00AEEF"/>
        </w:rPr>
        <w:t>the need for new roads?</w:t>
      </w:r>
    </w:p>
    <w:p w:rsidR="002C1123" w:rsidRDefault="00F22F94">
      <w:pPr>
        <w:pStyle w:val="BodyText"/>
        <w:spacing w:before="86" w:line="249" w:lineRule="auto"/>
        <w:ind w:left="268"/>
      </w:pPr>
      <w:r>
        <w:t>As</w:t>
      </w:r>
      <w:r>
        <w:rPr>
          <w:spacing w:val="-9"/>
        </w:rPr>
        <w:t xml:space="preserve"> </w:t>
      </w:r>
      <w:r>
        <w:t>in</w:t>
      </w:r>
      <w:r>
        <w:rPr>
          <w:spacing w:val="-9"/>
        </w:rPr>
        <w:t xml:space="preserve"> </w:t>
      </w:r>
      <w:r>
        <w:t>other</w:t>
      </w:r>
      <w:r>
        <w:rPr>
          <w:spacing w:val="-9"/>
        </w:rPr>
        <w:t xml:space="preserve"> </w:t>
      </w:r>
      <w:r>
        <w:t>major</w:t>
      </w:r>
      <w:r>
        <w:rPr>
          <w:spacing w:val="-9"/>
        </w:rPr>
        <w:t xml:space="preserve"> </w:t>
      </w:r>
      <w:r>
        <w:t>cities,</w:t>
      </w:r>
      <w:r>
        <w:rPr>
          <w:spacing w:val="-9"/>
        </w:rPr>
        <w:t xml:space="preserve"> </w:t>
      </w:r>
      <w:r>
        <w:t>public</w:t>
      </w:r>
      <w:r>
        <w:rPr>
          <w:spacing w:val="-9"/>
        </w:rPr>
        <w:t xml:space="preserve"> </w:t>
      </w:r>
      <w:r>
        <w:t>transport</w:t>
      </w:r>
      <w:r>
        <w:rPr>
          <w:spacing w:val="-9"/>
        </w:rPr>
        <w:t xml:space="preserve"> </w:t>
      </w:r>
      <w:r>
        <w:t>is</w:t>
      </w:r>
      <w:r>
        <w:rPr>
          <w:spacing w:val="-9"/>
        </w:rPr>
        <w:t xml:space="preserve"> </w:t>
      </w:r>
      <w:r>
        <w:t>the</w:t>
      </w:r>
      <w:r>
        <w:rPr>
          <w:spacing w:val="-9"/>
        </w:rPr>
        <w:t xml:space="preserve"> </w:t>
      </w:r>
      <w:r>
        <w:t xml:space="preserve">best </w:t>
      </w:r>
      <w:r>
        <w:rPr>
          <w:w w:val="95"/>
        </w:rPr>
        <w:t xml:space="preserve">option for journeys to dense employment centres – such </w:t>
      </w:r>
      <w:r>
        <w:t>as</w:t>
      </w:r>
      <w:r>
        <w:rPr>
          <w:spacing w:val="-14"/>
        </w:rPr>
        <w:t xml:space="preserve"> </w:t>
      </w:r>
      <w:r>
        <w:t>the</w:t>
      </w:r>
      <w:r>
        <w:rPr>
          <w:spacing w:val="-14"/>
        </w:rPr>
        <w:t xml:space="preserve"> </w:t>
      </w:r>
      <w:r>
        <w:t>Sydney</w:t>
      </w:r>
      <w:r>
        <w:rPr>
          <w:spacing w:val="-14"/>
        </w:rPr>
        <w:t xml:space="preserve"> </w:t>
      </w:r>
      <w:r>
        <w:t>CBD</w:t>
      </w:r>
      <w:r>
        <w:rPr>
          <w:spacing w:val="-14"/>
        </w:rPr>
        <w:t xml:space="preserve"> </w:t>
      </w:r>
      <w:r>
        <w:t>and</w:t>
      </w:r>
      <w:r>
        <w:rPr>
          <w:spacing w:val="-14"/>
        </w:rPr>
        <w:t xml:space="preserve"> </w:t>
      </w:r>
      <w:r>
        <w:t>Parramatta.</w:t>
      </w:r>
      <w:r>
        <w:rPr>
          <w:spacing w:val="-14"/>
        </w:rPr>
        <w:t xml:space="preserve"> </w:t>
      </w:r>
      <w:r>
        <w:t>In</w:t>
      </w:r>
      <w:r>
        <w:rPr>
          <w:spacing w:val="-14"/>
        </w:rPr>
        <w:t xml:space="preserve"> </w:t>
      </w:r>
      <w:r>
        <w:t>these</w:t>
      </w:r>
      <w:r>
        <w:rPr>
          <w:spacing w:val="-14"/>
        </w:rPr>
        <w:t xml:space="preserve"> </w:t>
      </w:r>
      <w:r>
        <w:t xml:space="preserve">areas, </w:t>
      </w:r>
      <w:r>
        <w:rPr>
          <w:w w:val="95"/>
        </w:rPr>
        <w:t>public transport is already the preferred choice for many employees</w:t>
      </w:r>
      <w:r>
        <w:rPr>
          <w:spacing w:val="-7"/>
          <w:w w:val="95"/>
        </w:rPr>
        <w:t xml:space="preserve"> </w:t>
      </w:r>
      <w:r>
        <w:rPr>
          <w:w w:val="95"/>
        </w:rPr>
        <w:t>and</w:t>
      </w:r>
      <w:r>
        <w:rPr>
          <w:spacing w:val="-7"/>
          <w:w w:val="95"/>
        </w:rPr>
        <w:t xml:space="preserve"> </w:t>
      </w:r>
      <w:r>
        <w:rPr>
          <w:w w:val="95"/>
        </w:rPr>
        <w:t>that</w:t>
      </w:r>
      <w:r>
        <w:rPr>
          <w:spacing w:val="-7"/>
          <w:w w:val="95"/>
        </w:rPr>
        <w:t xml:space="preserve"> </w:t>
      </w:r>
      <w:r>
        <w:rPr>
          <w:w w:val="95"/>
        </w:rPr>
        <w:t>will</w:t>
      </w:r>
      <w:r>
        <w:rPr>
          <w:spacing w:val="-7"/>
          <w:w w:val="95"/>
        </w:rPr>
        <w:t xml:space="preserve"> </w:t>
      </w:r>
      <w:r>
        <w:rPr>
          <w:w w:val="95"/>
        </w:rPr>
        <w:t>continue</w:t>
      </w:r>
      <w:r>
        <w:rPr>
          <w:spacing w:val="-7"/>
          <w:w w:val="95"/>
        </w:rPr>
        <w:t xml:space="preserve"> </w:t>
      </w:r>
      <w:r>
        <w:rPr>
          <w:w w:val="95"/>
        </w:rPr>
        <w:t>to</w:t>
      </w:r>
      <w:r>
        <w:rPr>
          <w:spacing w:val="-7"/>
          <w:w w:val="95"/>
        </w:rPr>
        <w:t xml:space="preserve"> </w:t>
      </w:r>
      <w:r>
        <w:rPr>
          <w:w w:val="95"/>
        </w:rPr>
        <w:t>be</w:t>
      </w:r>
      <w:r>
        <w:rPr>
          <w:spacing w:val="-7"/>
          <w:w w:val="95"/>
        </w:rPr>
        <w:t xml:space="preserve"> </w:t>
      </w:r>
      <w:r>
        <w:rPr>
          <w:w w:val="95"/>
        </w:rPr>
        <w:t>the</w:t>
      </w:r>
      <w:r>
        <w:rPr>
          <w:spacing w:val="-7"/>
          <w:w w:val="95"/>
        </w:rPr>
        <w:t xml:space="preserve"> </w:t>
      </w:r>
      <w:r>
        <w:rPr>
          <w:w w:val="95"/>
        </w:rPr>
        <w:t>case</w:t>
      </w:r>
      <w:r>
        <w:rPr>
          <w:spacing w:val="-7"/>
          <w:w w:val="95"/>
        </w:rPr>
        <w:t xml:space="preserve"> </w:t>
      </w:r>
      <w:r>
        <w:rPr>
          <w:w w:val="95"/>
        </w:rPr>
        <w:t>in</w:t>
      </w:r>
      <w:r>
        <w:rPr>
          <w:spacing w:val="-7"/>
          <w:w w:val="95"/>
        </w:rPr>
        <w:t xml:space="preserve"> </w:t>
      </w:r>
      <w:r>
        <w:rPr>
          <w:w w:val="95"/>
        </w:rPr>
        <w:t>future.</w:t>
      </w:r>
    </w:p>
    <w:p w:rsidR="002C1123" w:rsidRDefault="00F22F94">
      <w:pPr>
        <w:pStyle w:val="BodyText"/>
        <w:spacing w:before="146" w:line="249" w:lineRule="auto"/>
        <w:ind w:left="268" w:right="118"/>
      </w:pPr>
      <w:r>
        <w:t>However,</w:t>
      </w:r>
      <w:r>
        <w:rPr>
          <w:spacing w:val="-14"/>
        </w:rPr>
        <w:t xml:space="preserve"> </w:t>
      </w:r>
      <w:r>
        <w:t>the</w:t>
      </w:r>
      <w:r>
        <w:rPr>
          <w:spacing w:val="-14"/>
        </w:rPr>
        <w:t xml:space="preserve"> </w:t>
      </w:r>
      <w:r>
        <w:t>overwhelming</w:t>
      </w:r>
      <w:r>
        <w:rPr>
          <w:spacing w:val="-14"/>
        </w:rPr>
        <w:t xml:space="preserve"> </w:t>
      </w:r>
      <w:r>
        <w:t>majority</w:t>
      </w:r>
      <w:r>
        <w:rPr>
          <w:spacing w:val="-14"/>
        </w:rPr>
        <w:t xml:space="preserve"> </w:t>
      </w:r>
      <w:r>
        <w:t>of</w:t>
      </w:r>
      <w:r>
        <w:rPr>
          <w:spacing w:val="-14"/>
        </w:rPr>
        <w:t xml:space="preserve"> </w:t>
      </w:r>
      <w:r>
        <w:t>Sydney’s journeys</w:t>
      </w:r>
      <w:r>
        <w:rPr>
          <w:spacing w:val="-14"/>
        </w:rPr>
        <w:t xml:space="preserve"> </w:t>
      </w:r>
      <w:r>
        <w:t>are</w:t>
      </w:r>
      <w:r>
        <w:rPr>
          <w:spacing w:val="-14"/>
        </w:rPr>
        <w:t xml:space="preserve"> </w:t>
      </w:r>
      <w:r>
        <w:t>dispersed</w:t>
      </w:r>
      <w:r>
        <w:rPr>
          <w:spacing w:val="-14"/>
        </w:rPr>
        <w:t xml:space="preserve"> </w:t>
      </w:r>
      <w:r>
        <w:t>in</w:t>
      </w:r>
      <w:r>
        <w:rPr>
          <w:spacing w:val="-14"/>
        </w:rPr>
        <w:t xml:space="preserve"> </w:t>
      </w:r>
      <w:r>
        <w:t>nature.</w:t>
      </w:r>
      <w:r>
        <w:rPr>
          <w:spacing w:val="-14"/>
        </w:rPr>
        <w:t xml:space="preserve"> </w:t>
      </w:r>
      <w:r>
        <w:t>For</w:t>
      </w:r>
      <w:r>
        <w:rPr>
          <w:spacing w:val="-14"/>
        </w:rPr>
        <w:t xml:space="preserve"> </w:t>
      </w:r>
      <w:r>
        <w:t>such</w:t>
      </w:r>
      <w:r>
        <w:rPr>
          <w:spacing w:val="-14"/>
        </w:rPr>
        <w:t xml:space="preserve"> </w:t>
      </w:r>
      <w:r>
        <w:t>trips</w:t>
      </w:r>
      <w:r>
        <w:rPr>
          <w:spacing w:val="-14"/>
        </w:rPr>
        <w:t xml:space="preserve"> </w:t>
      </w:r>
      <w:r>
        <w:t>the flexibility</w:t>
      </w:r>
      <w:r>
        <w:rPr>
          <w:spacing w:val="-13"/>
        </w:rPr>
        <w:t xml:space="preserve"> </w:t>
      </w:r>
      <w:r>
        <w:t>of</w:t>
      </w:r>
      <w:r>
        <w:rPr>
          <w:spacing w:val="-13"/>
        </w:rPr>
        <w:t xml:space="preserve"> </w:t>
      </w:r>
      <w:r>
        <w:t>the</w:t>
      </w:r>
      <w:r>
        <w:rPr>
          <w:spacing w:val="-13"/>
        </w:rPr>
        <w:t xml:space="preserve"> </w:t>
      </w:r>
      <w:r>
        <w:t>private</w:t>
      </w:r>
      <w:r>
        <w:rPr>
          <w:spacing w:val="-13"/>
        </w:rPr>
        <w:t xml:space="preserve"> </w:t>
      </w:r>
      <w:r>
        <w:t>car</w:t>
      </w:r>
      <w:r>
        <w:rPr>
          <w:spacing w:val="-13"/>
        </w:rPr>
        <w:t xml:space="preserve"> </w:t>
      </w:r>
      <w:r>
        <w:t>makes</w:t>
      </w:r>
      <w:r>
        <w:rPr>
          <w:spacing w:val="-13"/>
        </w:rPr>
        <w:t xml:space="preserve"> </w:t>
      </w:r>
      <w:r>
        <w:t>it</w:t>
      </w:r>
      <w:r>
        <w:rPr>
          <w:spacing w:val="-13"/>
        </w:rPr>
        <w:t xml:space="preserve"> </w:t>
      </w:r>
      <w:r>
        <w:t>the</w:t>
      </w:r>
      <w:r>
        <w:rPr>
          <w:spacing w:val="-13"/>
        </w:rPr>
        <w:t xml:space="preserve"> </w:t>
      </w:r>
      <w:r>
        <w:t xml:space="preserve">dominant </w:t>
      </w:r>
      <w:r>
        <w:rPr>
          <w:w w:val="95"/>
        </w:rPr>
        <w:t>choice.</w:t>
      </w:r>
      <w:r>
        <w:rPr>
          <w:spacing w:val="-2"/>
          <w:w w:val="95"/>
        </w:rPr>
        <w:t xml:space="preserve"> </w:t>
      </w:r>
      <w:r>
        <w:rPr>
          <w:w w:val="95"/>
        </w:rPr>
        <w:t>This</w:t>
      </w:r>
      <w:r>
        <w:rPr>
          <w:spacing w:val="-2"/>
          <w:w w:val="95"/>
        </w:rPr>
        <w:t xml:space="preserve"> </w:t>
      </w:r>
      <w:r>
        <w:rPr>
          <w:w w:val="95"/>
        </w:rPr>
        <w:t>pattern</w:t>
      </w:r>
      <w:r>
        <w:rPr>
          <w:spacing w:val="-2"/>
          <w:w w:val="95"/>
        </w:rPr>
        <w:t xml:space="preserve"> </w:t>
      </w:r>
      <w:r>
        <w:rPr>
          <w:w w:val="95"/>
        </w:rPr>
        <w:t>is</w:t>
      </w:r>
      <w:r>
        <w:rPr>
          <w:spacing w:val="-2"/>
          <w:w w:val="95"/>
        </w:rPr>
        <w:t xml:space="preserve"> </w:t>
      </w:r>
      <w:r>
        <w:rPr>
          <w:w w:val="95"/>
        </w:rPr>
        <w:t>the</w:t>
      </w:r>
      <w:r>
        <w:rPr>
          <w:spacing w:val="-2"/>
          <w:w w:val="95"/>
        </w:rPr>
        <w:t xml:space="preserve"> </w:t>
      </w:r>
      <w:r>
        <w:rPr>
          <w:w w:val="95"/>
        </w:rPr>
        <w:t>consequence</w:t>
      </w:r>
      <w:r>
        <w:rPr>
          <w:spacing w:val="-2"/>
          <w:w w:val="95"/>
        </w:rPr>
        <w:t xml:space="preserve"> </w:t>
      </w:r>
      <w:r>
        <w:rPr>
          <w:w w:val="95"/>
        </w:rPr>
        <w:t>of</w:t>
      </w:r>
      <w:r>
        <w:rPr>
          <w:spacing w:val="-2"/>
          <w:w w:val="95"/>
        </w:rPr>
        <w:t xml:space="preserve"> </w:t>
      </w:r>
      <w:r>
        <w:rPr>
          <w:w w:val="95"/>
        </w:rPr>
        <w:t xml:space="preserve">established land use patterns in Sydney and there is no indication </w:t>
      </w:r>
      <w:r>
        <w:t>in</w:t>
      </w:r>
      <w:r>
        <w:rPr>
          <w:spacing w:val="-14"/>
        </w:rPr>
        <w:t xml:space="preserve"> </w:t>
      </w:r>
      <w:r>
        <w:t>the</w:t>
      </w:r>
      <w:r>
        <w:rPr>
          <w:spacing w:val="-14"/>
        </w:rPr>
        <w:t xml:space="preserve"> </w:t>
      </w:r>
      <w:r>
        <w:t>available</w:t>
      </w:r>
      <w:r>
        <w:rPr>
          <w:spacing w:val="-14"/>
        </w:rPr>
        <w:t xml:space="preserve"> </w:t>
      </w:r>
      <w:r>
        <w:t>data</w:t>
      </w:r>
      <w:r>
        <w:rPr>
          <w:spacing w:val="-13"/>
        </w:rPr>
        <w:t xml:space="preserve"> </w:t>
      </w:r>
      <w:r>
        <w:t>that</w:t>
      </w:r>
      <w:r>
        <w:rPr>
          <w:spacing w:val="-14"/>
        </w:rPr>
        <w:t xml:space="preserve"> </w:t>
      </w:r>
      <w:r>
        <w:t>the</w:t>
      </w:r>
      <w:r>
        <w:rPr>
          <w:spacing w:val="-14"/>
        </w:rPr>
        <w:t xml:space="preserve"> </w:t>
      </w:r>
      <w:r>
        <w:t>patterns</w:t>
      </w:r>
      <w:r>
        <w:rPr>
          <w:spacing w:val="-14"/>
        </w:rPr>
        <w:t xml:space="preserve"> </w:t>
      </w:r>
      <w:r>
        <w:t>of</w:t>
      </w:r>
      <w:r>
        <w:rPr>
          <w:spacing w:val="-13"/>
        </w:rPr>
        <w:t xml:space="preserve"> </w:t>
      </w:r>
      <w:r>
        <w:t>demand</w:t>
      </w:r>
      <w:r>
        <w:rPr>
          <w:spacing w:val="-14"/>
        </w:rPr>
        <w:t xml:space="preserve"> </w:t>
      </w:r>
      <w:r>
        <w:t>will change in future.</w:t>
      </w:r>
    </w:p>
    <w:p w:rsidR="002C1123" w:rsidRDefault="00F22F94">
      <w:pPr>
        <w:spacing w:before="170"/>
        <w:ind w:left="243"/>
        <w:rPr>
          <w:b/>
          <w:sz w:val="17"/>
        </w:rPr>
      </w:pPr>
      <w:r>
        <w:br w:type="column"/>
      </w:r>
      <w:r>
        <w:rPr>
          <w:b/>
          <w:w w:val="105"/>
          <w:sz w:val="17"/>
        </w:rPr>
        <w:t>Figure</w:t>
      </w:r>
      <w:r>
        <w:rPr>
          <w:b/>
          <w:spacing w:val="-8"/>
          <w:w w:val="105"/>
          <w:sz w:val="17"/>
        </w:rPr>
        <w:t xml:space="preserve"> </w:t>
      </w:r>
      <w:r>
        <w:rPr>
          <w:b/>
          <w:w w:val="105"/>
          <w:sz w:val="17"/>
        </w:rPr>
        <w:t>6.2</w:t>
      </w:r>
      <w:r>
        <w:rPr>
          <w:b/>
          <w:spacing w:val="36"/>
          <w:w w:val="105"/>
          <w:sz w:val="17"/>
        </w:rPr>
        <w:t xml:space="preserve"> </w:t>
      </w:r>
      <w:r>
        <w:rPr>
          <w:b/>
          <w:w w:val="105"/>
          <w:sz w:val="17"/>
        </w:rPr>
        <w:t>Total</w:t>
      </w:r>
      <w:r>
        <w:rPr>
          <w:b/>
          <w:spacing w:val="-7"/>
          <w:w w:val="105"/>
          <w:sz w:val="17"/>
        </w:rPr>
        <w:t xml:space="preserve"> </w:t>
      </w:r>
      <w:r>
        <w:rPr>
          <w:b/>
          <w:w w:val="105"/>
          <w:sz w:val="17"/>
        </w:rPr>
        <w:t>number</w:t>
      </w:r>
      <w:r>
        <w:rPr>
          <w:b/>
          <w:spacing w:val="-7"/>
          <w:w w:val="105"/>
          <w:sz w:val="17"/>
        </w:rPr>
        <w:t xml:space="preserve"> </w:t>
      </w:r>
      <w:r>
        <w:rPr>
          <w:b/>
          <w:w w:val="105"/>
          <w:sz w:val="17"/>
        </w:rPr>
        <w:t>of</w:t>
      </w:r>
      <w:r>
        <w:rPr>
          <w:b/>
          <w:spacing w:val="-7"/>
          <w:w w:val="105"/>
          <w:sz w:val="17"/>
        </w:rPr>
        <w:t xml:space="preserve"> </w:t>
      </w:r>
      <w:r>
        <w:rPr>
          <w:b/>
          <w:w w:val="105"/>
          <w:sz w:val="17"/>
        </w:rPr>
        <w:t>trips</w:t>
      </w:r>
      <w:r>
        <w:rPr>
          <w:b/>
          <w:spacing w:val="-7"/>
          <w:w w:val="105"/>
          <w:sz w:val="17"/>
        </w:rPr>
        <w:t xml:space="preserve"> </w:t>
      </w:r>
      <w:r>
        <w:rPr>
          <w:b/>
          <w:w w:val="105"/>
          <w:sz w:val="17"/>
        </w:rPr>
        <w:t>per</w:t>
      </w:r>
      <w:r>
        <w:rPr>
          <w:b/>
          <w:spacing w:val="-7"/>
          <w:w w:val="105"/>
          <w:sz w:val="17"/>
        </w:rPr>
        <w:t xml:space="preserve"> </w:t>
      </w:r>
      <w:r>
        <w:rPr>
          <w:b/>
          <w:spacing w:val="-2"/>
          <w:w w:val="105"/>
          <w:sz w:val="17"/>
        </w:rPr>
        <w:t>weekday</w:t>
      </w:r>
    </w:p>
    <w:p w:rsidR="002C1123" w:rsidRDefault="002060EF">
      <w:pPr>
        <w:spacing w:before="17"/>
        <w:ind w:left="1168"/>
        <w:rPr>
          <w:b/>
          <w:sz w:val="17"/>
        </w:rPr>
      </w:pPr>
      <w:r>
        <w:pict>
          <v:group id="docshapegroup1077" o:spid="_x0000_s4229" style="position:absolute;left:0;text-align:left;margin-left:594.95pt;margin-top:13.2pt;width:196.65pt;height:154.95pt;z-index:251294720;mso-position-horizontal-relative:page" coordorigin="11899,264" coordsize="3933,3099">
            <v:shape id="docshape1078" o:spid="_x0000_s4243" style="position:absolute;left:11899;top:582;width:3863;height:2218" coordorigin="11899,582" coordsize="3863,2218" o:spt="100" adj="0,,0" path="m11899,2800r409,m12513,2800r136,m12853,2800r2909,m12513,2245r136,m12853,2245r2909,m12513,1691r136,m12853,1691r2909,m12513,1137r136,m12853,1137r2909,m11899,582r750,m12853,582r2909,e" filled="f" strokecolor="#b2b1b3" strokeweight=".13933mm">
              <v:stroke joinstyle="round"/>
              <v:formulas/>
              <v:path arrowok="t" o:connecttype="segments"/>
            </v:shape>
            <v:shape id="docshape1079" o:spid="_x0000_s4242" style="position:absolute;left:12648;top:569;width:2706;height:2786" coordorigin="12649,569" coordsize="2706,2786" o:spt="100" adj="0,,0" path="m12853,569r-204,l12649,3354r204,l12853,569xm13992,3164r-205,l13787,3354r205,l13992,3164xm15354,3197r-205,l15149,3354r205,l15354,3197xe" fillcolor="#00aeef" stroked="f">
              <v:stroke joinstyle="round"/>
              <v:formulas/>
              <v:path arrowok="t" o:connecttype="segments"/>
            </v:shape>
            <v:shape id="docshape1080" o:spid="_x0000_s4241" style="position:absolute;left:11899;top:1136;width:409;height:1109" coordorigin="11899,1137" coordsize="409,1109" o:spt="100" adj="0,,0" path="m11899,2245r409,m11899,1691r409,m11899,1137r409,e" filled="f" strokecolor="#b2b1b3" strokeweight=".13933mm">
              <v:stroke joinstyle="round"/>
              <v:formulas/>
              <v:path arrowok="t" o:connecttype="segments"/>
            </v:shape>
            <v:shape id="docshape1081" o:spid="_x0000_s4240" style="position:absolute;left:12308;top:1121;width:2706;height:2234" coordorigin="12308,1121" coordsize="2706,2234" o:spt="100" adj="0,,0" path="m12513,1121r-205,l12308,3354r205,l12513,1121xm13651,3215r-204,l13447,3354r204,l13651,3215xm15013,3218r-204,l14809,3354r204,l15013,3218xe" fillcolor="#2e3092" stroked="f">
              <v:stroke joinstyle="round"/>
              <v:formulas/>
              <v:path arrowok="t" o:connecttype="segments"/>
            </v:shape>
            <v:line id="_x0000_s4239" style="position:absolute" from="11899,3354" to="15762,3354" strokecolor="#b2b1b3" strokeweight=".79pt"/>
            <v:shape id="docshape1082" o:spid="_x0000_s4238" style="position:absolute;left:12410;top:293;width:341;height:828" coordorigin="12410,293" coordsize="341,828" path="m12751,499r,-206l12410,293r,828e" filled="f" strokecolor="#9c9c9d" strokeweight="1.0446mm">
              <v:path arrowok="t"/>
            </v:shape>
            <v:shape id="docshape1083" o:spid="_x0000_s4237" style="position:absolute;left:12707;top:465;width:88;height:104" coordorigin="12707,465" coordsize="88,104" path="m12795,465r-44,19l12707,465r44,104l12795,465xe" fillcolor="#9c9c9d" stroked="f">
              <v:path arrowok="t"/>
            </v:shape>
            <v:shape id="docshape1084" o:spid="_x0000_s4236" style="position:absolute;left:13548;top:2887;width:341;height:329" coordorigin="13549,2887" coordsize="341,329" path="m13889,3092r,-205l13549,2887r,328e" filled="f" strokecolor="#9c9c9d" strokeweight="1.0446mm">
              <v:path arrowok="t"/>
            </v:shape>
            <v:shape id="docshape1085" o:spid="_x0000_s4235" style="position:absolute;left:13845;top:3059;width:88;height:104" coordorigin="13846,3059" coordsize="88,104" path="m13933,3059r-44,19l13846,3059r43,104l13933,3059xe" fillcolor="#9c9c9d" stroked="f">
              <v:path arrowok="t"/>
            </v:shape>
            <v:shape id="docshape1086" o:spid="_x0000_s4234" style="position:absolute;left:14911;top:2887;width:341;height:332" coordorigin="14911,2887" coordsize="341,332" path="m15252,3126r,-239l14911,2887r,331e" filled="f" strokecolor="#9c9c9d" strokeweight="1.0446mm">
              <v:path arrowok="t"/>
            </v:shape>
            <v:shape id="docshape1087" o:spid="_x0000_s4233" style="position:absolute;left:15207;top:3092;width:88;height:104" coordorigin="15208,3093" coordsize="88,104" path="m15295,3093r-43,18l15208,3093r44,104l15295,3093xe" fillcolor="#9c9c9d" stroked="f">
              <v:path arrowok="t"/>
            </v:shape>
            <v:shape id="docshape1088" o:spid="_x0000_s4232" type="#_x0000_t202" style="position:absolute;left:12853;top:268;width:535;height:253" filled="f" stroked="f">
              <v:textbox inset="0,0,0,0">
                <w:txbxContent>
                  <w:p w:rsidR="00F22F94" w:rsidRDefault="00F22F94">
                    <w:pPr>
                      <w:spacing w:before="13" w:line="206" w:lineRule="auto"/>
                      <w:ind w:right="17"/>
                      <w:rPr>
                        <w:sz w:val="12"/>
                      </w:rPr>
                    </w:pPr>
                    <w:r>
                      <w:rPr>
                        <w:spacing w:val="-4"/>
                        <w:w w:val="85"/>
                        <w:sz w:val="12"/>
                      </w:rPr>
                      <w:t>73%</w:t>
                    </w:r>
                    <w:r>
                      <w:rPr>
                        <w:spacing w:val="-7"/>
                        <w:sz w:val="12"/>
                      </w:rPr>
                      <w:t xml:space="preserve"> </w:t>
                    </w:r>
                    <w:r>
                      <w:rPr>
                        <w:spacing w:val="-4"/>
                        <w:w w:val="85"/>
                        <w:sz w:val="12"/>
                      </w:rPr>
                      <w:t>of</w:t>
                    </w:r>
                    <w:r>
                      <w:rPr>
                        <w:spacing w:val="-5"/>
                        <w:sz w:val="12"/>
                      </w:rPr>
                      <w:t xml:space="preserve"> </w:t>
                    </w:r>
                    <w:r>
                      <w:rPr>
                        <w:spacing w:val="-4"/>
                        <w:w w:val="85"/>
                        <w:sz w:val="12"/>
                      </w:rPr>
                      <w:t>total</w:t>
                    </w:r>
                    <w:r>
                      <w:rPr>
                        <w:spacing w:val="40"/>
                        <w:sz w:val="12"/>
                      </w:rPr>
                      <w:t xml:space="preserve"> </w:t>
                    </w:r>
                    <w:r>
                      <w:rPr>
                        <w:w w:val="90"/>
                        <w:sz w:val="12"/>
                      </w:rPr>
                      <w:t>trip</w:t>
                    </w:r>
                    <w:r>
                      <w:rPr>
                        <w:spacing w:val="-7"/>
                        <w:w w:val="90"/>
                        <w:sz w:val="12"/>
                      </w:rPr>
                      <w:t xml:space="preserve"> </w:t>
                    </w:r>
                    <w:r>
                      <w:rPr>
                        <w:w w:val="90"/>
                        <w:sz w:val="12"/>
                      </w:rPr>
                      <w:t>growth</w:t>
                    </w:r>
                  </w:p>
                </w:txbxContent>
              </v:textbox>
            </v:shape>
            <v:shape id="docshape1089" o:spid="_x0000_s4231" type="#_x0000_t202" style="position:absolute;left:13991;top:2876;width:478;height:253" filled="f" stroked="f">
              <v:textbox inset="0,0,0,0">
                <w:txbxContent>
                  <w:p w:rsidR="00F22F94" w:rsidRDefault="00F22F94">
                    <w:pPr>
                      <w:spacing w:before="13" w:line="206" w:lineRule="auto"/>
                      <w:ind w:right="12"/>
                      <w:rPr>
                        <w:sz w:val="12"/>
                      </w:rPr>
                    </w:pPr>
                    <w:r>
                      <w:rPr>
                        <w:spacing w:val="-4"/>
                        <w:w w:val="85"/>
                        <w:sz w:val="12"/>
                      </w:rPr>
                      <w:t>7%</w:t>
                    </w:r>
                    <w:r>
                      <w:rPr>
                        <w:spacing w:val="-5"/>
                        <w:sz w:val="12"/>
                      </w:rPr>
                      <w:t xml:space="preserve"> </w:t>
                    </w:r>
                    <w:r>
                      <w:rPr>
                        <w:spacing w:val="-4"/>
                        <w:w w:val="85"/>
                        <w:sz w:val="12"/>
                      </w:rPr>
                      <w:t>of</w:t>
                    </w:r>
                    <w:r>
                      <w:rPr>
                        <w:spacing w:val="-5"/>
                        <w:sz w:val="12"/>
                      </w:rPr>
                      <w:t xml:space="preserve"> </w:t>
                    </w:r>
                    <w:r>
                      <w:rPr>
                        <w:spacing w:val="-4"/>
                        <w:w w:val="85"/>
                        <w:sz w:val="12"/>
                      </w:rPr>
                      <w:t>total</w:t>
                    </w:r>
                    <w:r>
                      <w:rPr>
                        <w:spacing w:val="40"/>
                        <w:sz w:val="12"/>
                      </w:rPr>
                      <w:t xml:space="preserve"> </w:t>
                    </w:r>
                    <w:r>
                      <w:rPr>
                        <w:w w:val="80"/>
                        <w:sz w:val="12"/>
                      </w:rPr>
                      <w:t>trip</w:t>
                    </w:r>
                    <w:r>
                      <w:rPr>
                        <w:spacing w:val="-4"/>
                        <w:sz w:val="12"/>
                      </w:rPr>
                      <w:t xml:space="preserve"> </w:t>
                    </w:r>
                    <w:r>
                      <w:rPr>
                        <w:spacing w:val="-5"/>
                        <w:w w:val="85"/>
                        <w:sz w:val="12"/>
                      </w:rPr>
                      <w:t>growth</w:t>
                    </w:r>
                  </w:p>
                </w:txbxContent>
              </v:textbox>
            </v:shape>
            <v:shape id="docshape1090" o:spid="_x0000_s4230" type="#_x0000_t202" style="position:absolute;left:15353;top:2876;width:478;height:253" filled="f" stroked="f">
              <v:textbox inset="0,0,0,0">
                <w:txbxContent>
                  <w:p w:rsidR="00F22F94" w:rsidRDefault="00F22F94">
                    <w:pPr>
                      <w:spacing w:before="13" w:line="206" w:lineRule="auto"/>
                      <w:ind w:right="12"/>
                      <w:rPr>
                        <w:sz w:val="12"/>
                      </w:rPr>
                    </w:pPr>
                    <w:r>
                      <w:rPr>
                        <w:spacing w:val="-4"/>
                        <w:w w:val="85"/>
                        <w:sz w:val="12"/>
                      </w:rPr>
                      <w:t>3%</w:t>
                    </w:r>
                    <w:r>
                      <w:rPr>
                        <w:spacing w:val="-5"/>
                        <w:sz w:val="12"/>
                      </w:rPr>
                      <w:t xml:space="preserve"> </w:t>
                    </w:r>
                    <w:r>
                      <w:rPr>
                        <w:spacing w:val="-4"/>
                        <w:w w:val="85"/>
                        <w:sz w:val="12"/>
                      </w:rPr>
                      <w:t>of</w:t>
                    </w:r>
                    <w:r>
                      <w:rPr>
                        <w:spacing w:val="-5"/>
                        <w:sz w:val="12"/>
                      </w:rPr>
                      <w:t xml:space="preserve"> </w:t>
                    </w:r>
                    <w:r>
                      <w:rPr>
                        <w:spacing w:val="-4"/>
                        <w:w w:val="85"/>
                        <w:sz w:val="12"/>
                      </w:rPr>
                      <w:t>total</w:t>
                    </w:r>
                    <w:r>
                      <w:rPr>
                        <w:spacing w:val="40"/>
                        <w:sz w:val="12"/>
                      </w:rPr>
                      <w:t xml:space="preserve"> </w:t>
                    </w:r>
                    <w:r>
                      <w:rPr>
                        <w:w w:val="80"/>
                        <w:sz w:val="12"/>
                      </w:rPr>
                      <w:t>trip</w:t>
                    </w:r>
                    <w:r>
                      <w:rPr>
                        <w:spacing w:val="-4"/>
                        <w:sz w:val="12"/>
                      </w:rPr>
                      <w:t xml:space="preserve"> </w:t>
                    </w:r>
                    <w:r>
                      <w:rPr>
                        <w:spacing w:val="-5"/>
                        <w:w w:val="85"/>
                        <w:sz w:val="12"/>
                      </w:rPr>
                      <w:t>growth</w:t>
                    </w:r>
                  </w:p>
                </w:txbxContent>
              </v:textbox>
            </v:shape>
            <w10:wrap anchorx="page"/>
          </v:group>
        </w:pict>
      </w:r>
      <w:r w:rsidR="00F22F94">
        <w:rPr>
          <w:b/>
          <w:sz w:val="17"/>
        </w:rPr>
        <w:t>in</w:t>
      </w:r>
      <w:r w:rsidR="00F22F94">
        <w:rPr>
          <w:b/>
          <w:spacing w:val="19"/>
          <w:sz w:val="17"/>
        </w:rPr>
        <w:t xml:space="preserve"> </w:t>
      </w:r>
      <w:r w:rsidR="00F22F94">
        <w:rPr>
          <w:b/>
          <w:sz w:val="17"/>
        </w:rPr>
        <w:t>Sydney</w:t>
      </w:r>
      <w:r w:rsidR="00F22F94">
        <w:rPr>
          <w:b/>
          <w:spacing w:val="20"/>
          <w:sz w:val="17"/>
        </w:rPr>
        <w:t xml:space="preserve"> </w:t>
      </w:r>
      <w:r w:rsidR="00F22F94">
        <w:rPr>
          <w:b/>
          <w:sz w:val="17"/>
        </w:rPr>
        <w:t>Statistical</w:t>
      </w:r>
      <w:r w:rsidR="00F22F94">
        <w:rPr>
          <w:b/>
          <w:spacing w:val="20"/>
          <w:sz w:val="17"/>
        </w:rPr>
        <w:t xml:space="preserve"> </w:t>
      </w:r>
      <w:r w:rsidR="00F22F94">
        <w:rPr>
          <w:b/>
          <w:sz w:val="17"/>
        </w:rPr>
        <w:t>Division,</w:t>
      </w:r>
      <w:r w:rsidR="00F22F94">
        <w:rPr>
          <w:b/>
          <w:spacing w:val="20"/>
          <w:sz w:val="17"/>
        </w:rPr>
        <w:t xml:space="preserve"> </w:t>
      </w:r>
      <w:r w:rsidR="00F22F94">
        <w:rPr>
          <w:b/>
          <w:sz w:val="17"/>
        </w:rPr>
        <w:t>2011-</w:t>
      </w:r>
      <w:r w:rsidR="00F22F94">
        <w:rPr>
          <w:b/>
          <w:spacing w:val="-5"/>
          <w:sz w:val="17"/>
        </w:rPr>
        <w:t>31</w:t>
      </w:r>
    </w:p>
    <w:p w:rsidR="002C1123" w:rsidRDefault="002C1123">
      <w:pPr>
        <w:pStyle w:val="BodyText"/>
        <w:spacing w:before="11"/>
        <w:rPr>
          <w:b/>
          <w:sz w:val="22"/>
        </w:rPr>
      </w:pPr>
    </w:p>
    <w:p w:rsidR="002C1123" w:rsidRDefault="002060EF">
      <w:pPr>
        <w:ind w:left="495"/>
        <w:rPr>
          <w:sz w:val="19"/>
        </w:rPr>
      </w:pPr>
      <w:r>
        <w:pict>
          <v:shape id="docshape1091" o:spid="_x0000_s4228" type="#_x0000_t202" style="position:absolute;left:0;text-align:left;margin-left:551.5pt;margin-top:19.2pt;width:10.95pt;height:74.6pt;z-index:251296768;mso-position-horizontal-relative:page" filled="f" stroked="f">
            <v:textbox style="layout-flow:vertical;mso-layout-flow-alt:bottom-to-top" inset="0,0,0,0">
              <w:txbxContent>
                <w:p w:rsidR="00F22F94" w:rsidRDefault="00F22F94">
                  <w:pPr>
                    <w:spacing w:before="25"/>
                    <w:ind w:left="20"/>
                    <w:rPr>
                      <w:sz w:val="15"/>
                    </w:rPr>
                  </w:pPr>
                  <w:r>
                    <w:rPr>
                      <w:w w:val="85"/>
                      <w:sz w:val="15"/>
                    </w:rPr>
                    <w:t>Number</w:t>
                  </w:r>
                  <w:r>
                    <w:rPr>
                      <w:spacing w:val="-2"/>
                      <w:w w:val="85"/>
                      <w:sz w:val="15"/>
                    </w:rPr>
                    <w:t xml:space="preserve"> </w:t>
                  </w:r>
                  <w:r>
                    <w:rPr>
                      <w:w w:val="85"/>
                      <w:sz w:val="15"/>
                    </w:rPr>
                    <w:t>of</w:t>
                  </w:r>
                  <w:r>
                    <w:rPr>
                      <w:spacing w:val="-2"/>
                      <w:w w:val="85"/>
                      <w:sz w:val="15"/>
                    </w:rPr>
                    <w:t xml:space="preserve"> </w:t>
                  </w:r>
                  <w:r>
                    <w:rPr>
                      <w:w w:val="85"/>
                      <w:sz w:val="15"/>
                    </w:rPr>
                    <w:t>trips</w:t>
                  </w:r>
                  <w:r>
                    <w:rPr>
                      <w:spacing w:val="-2"/>
                      <w:w w:val="85"/>
                      <w:sz w:val="15"/>
                    </w:rPr>
                    <w:t xml:space="preserve"> </w:t>
                  </w:r>
                  <w:r>
                    <w:rPr>
                      <w:w w:val="85"/>
                      <w:sz w:val="15"/>
                    </w:rPr>
                    <w:t>per</w:t>
                  </w:r>
                  <w:r>
                    <w:rPr>
                      <w:spacing w:val="-2"/>
                      <w:w w:val="85"/>
                      <w:sz w:val="15"/>
                    </w:rPr>
                    <w:t xml:space="preserve"> 000’s</w:t>
                  </w:r>
                </w:p>
              </w:txbxContent>
            </v:textbox>
            <w10:wrap anchorx="page"/>
          </v:shape>
        </w:pict>
      </w:r>
      <w:r w:rsidR="00F22F94">
        <w:rPr>
          <w:spacing w:val="-2"/>
          <w:w w:val="90"/>
          <w:sz w:val="19"/>
        </w:rPr>
        <w:t>15,000</w:t>
      </w:r>
    </w:p>
    <w:p w:rsidR="002C1123" w:rsidRDefault="002C1123">
      <w:pPr>
        <w:pStyle w:val="BodyText"/>
        <w:spacing w:before="2"/>
        <w:rPr>
          <w:sz w:val="29"/>
        </w:rPr>
      </w:pPr>
    </w:p>
    <w:p w:rsidR="002C1123" w:rsidRDefault="00F22F94">
      <w:pPr>
        <w:spacing w:before="1"/>
        <w:ind w:left="495"/>
        <w:rPr>
          <w:sz w:val="19"/>
        </w:rPr>
      </w:pPr>
      <w:r>
        <w:rPr>
          <w:spacing w:val="-2"/>
          <w:w w:val="90"/>
          <w:sz w:val="19"/>
        </w:rPr>
        <w:t>12,000</w:t>
      </w:r>
    </w:p>
    <w:p w:rsidR="002C1123" w:rsidRDefault="002C1123">
      <w:pPr>
        <w:pStyle w:val="BodyText"/>
        <w:spacing w:before="2"/>
        <w:rPr>
          <w:sz w:val="29"/>
        </w:rPr>
      </w:pPr>
    </w:p>
    <w:p w:rsidR="002C1123" w:rsidRDefault="00F22F94">
      <w:pPr>
        <w:ind w:left="580"/>
        <w:rPr>
          <w:sz w:val="19"/>
        </w:rPr>
      </w:pPr>
      <w:r>
        <w:rPr>
          <w:spacing w:val="-4"/>
          <w:w w:val="90"/>
          <w:sz w:val="19"/>
        </w:rPr>
        <w:t>9,000</w:t>
      </w:r>
    </w:p>
    <w:p w:rsidR="002C1123" w:rsidRDefault="002C1123">
      <w:pPr>
        <w:pStyle w:val="BodyText"/>
        <w:spacing w:before="2"/>
        <w:rPr>
          <w:sz w:val="29"/>
        </w:rPr>
      </w:pPr>
    </w:p>
    <w:p w:rsidR="002C1123" w:rsidRDefault="00F22F94">
      <w:pPr>
        <w:ind w:left="580"/>
        <w:rPr>
          <w:sz w:val="19"/>
        </w:rPr>
      </w:pPr>
      <w:r>
        <w:rPr>
          <w:spacing w:val="-4"/>
          <w:w w:val="90"/>
          <w:sz w:val="19"/>
        </w:rPr>
        <w:t>6,000</w:t>
      </w:r>
    </w:p>
    <w:p w:rsidR="002C1123" w:rsidRDefault="002C1123">
      <w:pPr>
        <w:pStyle w:val="BodyText"/>
        <w:spacing w:before="3"/>
        <w:rPr>
          <w:sz w:val="29"/>
        </w:rPr>
      </w:pPr>
    </w:p>
    <w:p w:rsidR="002C1123" w:rsidRDefault="00F22F94">
      <w:pPr>
        <w:ind w:left="580"/>
        <w:rPr>
          <w:sz w:val="19"/>
        </w:rPr>
      </w:pPr>
      <w:r>
        <w:rPr>
          <w:spacing w:val="-4"/>
          <w:w w:val="90"/>
          <w:sz w:val="19"/>
        </w:rPr>
        <w:t>3,000</w:t>
      </w:r>
    </w:p>
    <w:p w:rsidR="002C1123" w:rsidRDefault="002C1123">
      <w:pPr>
        <w:pStyle w:val="BodyText"/>
        <w:spacing w:before="2"/>
        <w:rPr>
          <w:sz w:val="29"/>
        </w:rPr>
      </w:pPr>
    </w:p>
    <w:p w:rsidR="002C1123" w:rsidRDefault="00F22F94">
      <w:pPr>
        <w:spacing w:line="132" w:lineRule="exact"/>
        <w:ind w:left="877"/>
        <w:rPr>
          <w:sz w:val="19"/>
        </w:rPr>
      </w:pPr>
      <w:r>
        <w:rPr>
          <w:w w:val="80"/>
          <w:sz w:val="19"/>
        </w:rPr>
        <w:t>0</w:t>
      </w:r>
    </w:p>
    <w:p w:rsidR="002C1123" w:rsidRDefault="002C1123">
      <w:pPr>
        <w:spacing w:line="132" w:lineRule="exact"/>
        <w:rPr>
          <w:sz w:val="19"/>
        </w:rPr>
        <w:sectPr w:rsidR="002C1123">
          <w:type w:val="continuous"/>
          <w:pgSz w:w="16840" w:h="11910" w:orient="landscape"/>
          <w:pgMar w:top="560" w:right="280" w:bottom="280" w:left="500" w:header="0" w:footer="517" w:gutter="0"/>
          <w:cols w:num="3" w:space="720" w:equalWidth="0">
            <w:col w:w="5211" w:space="40"/>
            <w:col w:w="5032" w:space="39"/>
            <w:col w:w="5738"/>
          </w:cols>
        </w:sectPr>
      </w:pPr>
    </w:p>
    <w:p w:rsidR="002C1123" w:rsidRDefault="00F22F94">
      <w:pPr>
        <w:pStyle w:val="BodyText"/>
        <w:spacing w:before="6"/>
        <w:ind w:left="492"/>
      </w:pPr>
      <w:r>
        <w:rPr>
          <w:w w:val="95"/>
        </w:rPr>
        <w:t>service</w:t>
      </w:r>
      <w:r>
        <w:rPr>
          <w:spacing w:val="-1"/>
        </w:rPr>
        <w:t xml:space="preserve"> </w:t>
      </w:r>
      <w:r>
        <w:rPr>
          <w:w w:val="95"/>
        </w:rPr>
        <w:t>and</w:t>
      </w:r>
      <w:r>
        <w:rPr>
          <w:spacing w:val="-1"/>
        </w:rPr>
        <w:t xml:space="preserve"> </w:t>
      </w:r>
      <w:r>
        <w:rPr>
          <w:w w:val="95"/>
        </w:rPr>
        <w:t>meet</w:t>
      </w:r>
      <w:r>
        <w:rPr>
          <w:spacing w:val="-1"/>
        </w:rPr>
        <w:t xml:space="preserve"> </w:t>
      </w:r>
      <w:r>
        <w:rPr>
          <w:w w:val="95"/>
        </w:rPr>
        <w:t>growth</w:t>
      </w:r>
      <w:r>
        <w:rPr>
          <w:spacing w:val="-1"/>
        </w:rPr>
        <w:t xml:space="preserve"> </w:t>
      </w:r>
      <w:r>
        <w:rPr>
          <w:spacing w:val="-2"/>
          <w:w w:val="95"/>
        </w:rPr>
        <w:t>requirements.</w:t>
      </w:r>
    </w:p>
    <w:p w:rsidR="002C1123" w:rsidRDefault="00F22F94">
      <w:pPr>
        <w:pStyle w:val="BodyText"/>
        <w:spacing w:before="150" w:line="249" w:lineRule="auto"/>
        <w:ind w:left="492"/>
      </w:pPr>
      <w:r>
        <w:rPr>
          <w:w w:val="95"/>
        </w:rPr>
        <w:t>There</w:t>
      </w:r>
      <w:r>
        <w:rPr>
          <w:spacing w:val="-2"/>
          <w:w w:val="95"/>
        </w:rPr>
        <w:t xml:space="preserve"> </w:t>
      </w:r>
      <w:r>
        <w:rPr>
          <w:w w:val="95"/>
        </w:rPr>
        <w:t>is</w:t>
      </w:r>
      <w:r>
        <w:rPr>
          <w:spacing w:val="-2"/>
          <w:w w:val="95"/>
        </w:rPr>
        <w:t xml:space="preserve"> </w:t>
      </w:r>
      <w:r>
        <w:rPr>
          <w:w w:val="95"/>
        </w:rPr>
        <w:t>some</w:t>
      </w:r>
      <w:r>
        <w:rPr>
          <w:spacing w:val="-2"/>
          <w:w w:val="95"/>
        </w:rPr>
        <w:t xml:space="preserve"> </w:t>
      </w:r>
      <w:r>
        <w:rPr>
          <w:w w:val="95"/>
        </w:rPr>
        <w:t>evidence</w:t>
      </w:r>
      <w:r>
        <w:rPr>
          <w:spacing w:val="-2"/>
          <w:w w:val="95"/>
        </w:rPr>
        <w:t xml:space="preserve"> </w:t>
      </w:r>
      <w:r>
        <w:rPr>
          <w:w w:val="95"/>
        </w:rPr>
        <w:t>that</w:t>
      </w:r>
      <w:r>
        <w:rPr>
          <w:spacing w:val="-2"/>
          <w:w w:val="95"/>
        </w:rPr>
        <w:t xml:space="preserve"> </w:t>
      </w:r>
      <w:r>
        <w:rPr>
          <w:w w:val="95"/>
        </w:rPr>
        <w:t>growth</w:t>
      </w:r>
      <w:r>
        <w:rPr>
          <w:spacing w:val="-2"/>
          <w:w w:val="95"/>
        </w:rPr>
        <w:t xml:space="preserve"> </w:t>
      </w:r>
      <w:r>
        <w:rPr>
          <w:w w:val="95"/>
        </w:rPr>
        <w:t>in</w:t>
      </w:r>
      <w:r>
        <w:rPr>
          <w:spacing w:val="-2"/>
          <w:w w:val="95"/>
        </w:rPr>
        <w:t xml:space="preserve"> </w:t>
      </w:r>
      <w:r>
        <w:rPr>
          <w:w w:val="95"/>
        </w:rPr>
        <w:t>vehicle</w:t>
      </w:r>
      <w:r>
        <w:rPr>
          <w:spacing w:val="-2"/>
          <w:w w:val="95"/>
        </w:rPr>
        <w:t xml:space="preserve"> </w:t>
      </w:r>
      <w:r>
        <w:rPr>
          <w:w w:val="95"/>
        </w:rPr>
        <w:t xml:space="preserve">kilometres </w:t>
      </w:r>
      <w:r>
        <w:t>travelled</w:t>
      </w:r>
      <w:r>
        <w:rPr>
          <w:spacing w:val="-9"/>
        </w:rPr>
        <w:t xml:space="preserve"> </w:t>
      </w:r>
      <w:r>
        <w:t>per</w:t>
      </w:r>
      <w:r>
        <w:rPr>
          <w:spacing w:val="-9"/>
        </w:rPr>
        <w:t xml:space="preserve"> </w:t>
      </w:r>
      <w:r>
        <w:t>person</w:t>
      </w:r>
      <w:r>
        <w:rPr>
          <w:spacing w:val="-9"/>
        </w:rPr>
        <w:t xml:space="preserve"> </w:t>
      </w:r>
      <w:r>
        <w:t>may</w:t>
      </w:r>
      <w:r>
        <w:rPr>
          <w:spacing w:val="-9"/>
        </w:rPr>
        <w:t xml:space="preserve"> </w:t>
      </w:r>
      <w:r>
        <w:t>now</w:t>
      </w:r>
      <w:r>
        <w:rPr>
          <w:spacing w:val="-9"/>
        </w:rPr>
        <w:t xml:space="preserve"> </w:t>
      </w:r>
      <w:r>
        <w:t>be</w:t>
      </w:r>
      <w:r>
        <w:rPr>
          <w:spacing w:val="-9"/>
        </w:rPr>
        <w:t xml:space="preserve"> </w:t>
      </w:r>
      <w:r>
        <w:t>stabilising</w:t>
      </w:r>
      <w:r>
        <w:rPr>
          <w:position w:val="7"/>
          <w:sz w:val="11"/>
        </w:rPr>
        <w:t>8</w:t>
      </w:r>
      <w:r>
        <w:t>,</w:t>
      </w:r>
      <w:r>
        <w:rPr>
          <w:spacing w:val="-9"/>
        </w:rPr>
        <w:t xml:space="preserve"> </w:t>
      </w:r>
      <w:r>
        <w:t>but demand</w:t>
      </w:r>
      <w:r>
        <w:rPr>
          <w:spacing w:val="-14"/>
        </w:rPr>
        <w:t xml:space="preserve"> </w:t>
      </w:r>
      <w:r>
        <w:t>for</w:t>
      </w:r>
      <w:r>
        <w:rPr>
          <w:spacing w:val="-13"/>
        </w:rPr>
        <w:t xml:space="preserve"> </w:t>
      </w:r>
      <w:r>
        <w:t>freight</w:t>
      </w:r>
      <w:r>
        <w:rPr>
          <w:spacing w:val="-14"/>
        </w:rPr>
        <w:t xml:space="preserve"> </w:t>
      </w:r>
      <w:r>
        <w:t>is</w:t>
      </w:r>
      <w:r>
        <w:rPr>
          <w:spacing w:val="-13"/>
        </w:rPr>
        <w:t xml:space="preserve"> </w:t>
      </w:r>
      <w:r>
        <w:t>still</w:t>
      </w:r>
      <w:r>
        <w:rPr>
          <w:spacing w:val="-14"/>
        </w:rPr>
        <w:t xml:space="preserve"> </w:t>
      </w:r>
      <w:r>
        <w:t>increasing</w:t>
      </w:r>
      <w:r>
        <w:rPr>
          <w:spacing w:val="-13"/>
        </w:rPr>
        <w:t xml:space="preserve"> </w:t>
      </w:r>
      <w:r>
        <w:t>rapidly</w:t>
      </w:r>
      <w:r>
        <w:rPr>
          <w:spacing w:val="-14"/>
        </w:rPr>
        <w:t xml:space="preserve"> </w:t>
      </w:r>
      <w:r>
        <w:t>and</w:t>
      </w:r>
      <w:r>
        <w:rPr>
          <w:spacing w:val="-13"/>
        </w:rPr>
        <w:t xml:space="preserve"> </w:t>
      </w:r>
      <w:r>
        <w:t xml:space="preserve">our </w:t>
      </w:r>
      <w:r>
        <w:rPr>
          <w:w w:val="95"/>
        </w:rPr>
        <w:t>population continues to grow. The need to provide traffic relief</w:t>
      </w:r>
      <w:r>
        <w:rPr>
          <w:spacing w:val="-6"/>
          <w:w w:val="95"/>
        </w:rPr>
        <w:t xml:space="preserve"> </w:t>
      </w:r>
      <w:r>
        <w:rPr>
          <w:w w:val="95"/>
        </w:rPr>
        <w:t>on</w:t>
      </w:r>
      <w:r>
        <w:rPr>
          <w:spacing w:val="-6"/>
          <w:w w:val="95"/>
        </w:rPr>
        <w:t xml:space="preserve"> </w:t>
      </w:r>
      <w:r>
        <w:rPr>
          <w:w w:val="95"/>
        </w:rPr>
        <w:t>corridors</w:t>
      </w:r>
      <w:r>
        <w:rPr>
          <w:spacing w:val="-6"/>
          <w:w w:val="95"/>
        </w:rPr>
        <w:t xml:space="preserve"> </w:t>
      </w:r>
      <w:r>
        <w:rPr>
          <w:w w:val="95"/>
        </w:rPr>
        <w:t>such</w:t>
      </w:r>
      <w:r>
        <w:rPr>
          <w:spacing w:val="-6"/>
          <w:w w:val="95"/>
        </w:rPr>
        <w:t xml:space="preserve"> </w:t>
      </w:r>
      <w:r>
        <w:rPr>
          <w:w w:val="95"/>
        </w:rPr>
        <w:t>as</w:t>
      </w:r>
      <w:r>
        <w:rPr>
          <w:spacing w:val="-6"/>
          <w:w w:val="95"/>
        </w:rPr>
        <w:t xml:space="preserve"> </w:t>
      </w:r>
      <w:r>
        <w:rPr>
          <w:w w:val="95"/>
        </w:rPr>
        <w:t>Parramatta</w:t>
      </w:r>
      <w:r>
        <w:rPr>
          <w:spacing w:val="-6"/>
          <w:w w:val="95"/>
        </w:rPr>
        <w:t xml:space="preserve"> </w:t>
      </w:r>
      <w:r>
        <w:rPr>
          <w:w w:val="95"/>
        </w:rPr>
        <w:t>Road</w:t>
      </w:r>
      <w:r>
        <w:rPr>
          <w:spacing w:val="-6"/>
          <w:w w:val="95"/>
        </w:rPr>
        <w:t xml:space="preserve"> </w:t>
      </w:r>
      <w:r>
        <w:rPr>
          <w:w w:val="95"/>
        </w:rPr>
        <w:t>and</w:t>
      </w:r>
      <w:r>
        <w:rPr>
          <w:spacing w:val="-6"/>
          <w:w w:val="95"/>
        </w:rPr>
        <w:t xml:space="preserve"> </w:t>
      </w:r>
      <w:r>
        <w:rPr>
          <w:w w:val="95"/>
        </w:rPr>
        <w:t>Pennant</w:t>
      </w:r>
    </w:p>
    <w:p w:rsidR="002C1123" w:rsidRDefault="00F22F94">
      <w:pPr>
        <w:pStyle w:val="BodyText"/>
        <w:spacing w:before="91" w:line="249" w:lineRule="auto"/>
        <w:ind w:left="187" w:right="309"/>
      </w:pPr>
      <w:r>
        <w:br w:type="column"/>
      </w:r>
      <w:r>
        <w:t>The</w:t>
      </w:r>
      <w:r>
        <w:rPr>
          <w:spacing w:val="-4"/>
        </w:rPr>
        <w:t xml:space="preserve"> </w:t>
      </w:r>
      <w:r>
        <w:t>forecast</w:t>
      </w:r>
      <w:r>
        <w:rPr>
          <w:spacing w:val="-4"/>
        </w:rPr>
        <w:t xml:space="preserve"> </w:t>
      </w:r>
      <w:r>
        <w:t>growth</w:t>
      </w:r>
      <w:r>
        <w:rPr>
          <w:spacing w:val="-4"/>
        </w:rPr>
        <w:t xml:space="preserve"> </w:t>
      </w:r>
      <w:r>
        <w:t>in</w:t>
      </w:r>
      <w:r>
        <w:rPr>
          <w:spacing w:val="-4"/>
        </w:rPr>
        <w:t xml:space="preserve"> </w:t>
      </w:r>
      <w:r>
        <w:t>demand</w:t>
      </w:r>
      <w:r>
        <w:rPr>
          <w:spacing w:val="-4"/>
        </w:rPr>
        <w:t xml:space="preserve"> </w:t>
      </w:r>
      <w:r>
        <w:t>for</w:t>
      </w:r>
      <w:r>
        <w:rPr>
          <w:spacing w:val="-4"/>
        </w:rPr>
        <w:t xml:space="preserve"> </w:t>
      </w:r>
      <w:r>
        <w:t xml:space="preserve">passenger </w:t>
      </w:r>
      <w:r>
        <w:rPr>
          <w:w w:val="95"/>
        </w:rPr>
        <w:t>road</w:t>
      </w:r>
      <w:r>
        <w:rPr>
          <w:spacing w:val="-12"/>
          <w:w w:val="95"/>
        </w:rPr>
        <w:t xml:space="preserve"> </w:t>
      </w:r>
      <w:r>
        <w:rPr>
          <w:w w:val="95"/>
        </w:rPr>
        <w:t>travel</w:t>
      </w:r>
      <w:r>
        <w:rPr>
          <w:spacing w:val="-11"/>
          <w:w w:val="95"/>
        </w:rPr>
        <w:t xml:space="preserve"> </w:t>
      </w:r>
      <w:r>
        <w:rPr>
          <w:w w:val="95"/>
        </w:rPr>
        <w:t>is</w:t>
      </w:r>
      <w:r>
        <w:rPr>
          <w:spacing w:val="-11"/>
          <w:w w:val="95"/>
        </w:rPr>
        <w:t xml:space="preserve"> </w:t>
      </w:r>
      <w:r>
        <w:rPr>
          <w:w w:val="95"/>
        </w:rPr>
        <w:t>shown</w:t>
      </w:r>
      <w:r>
        <w:rPr>
          <w:spacing w:val="-11"/>
          <w:w w:val="95"/>
        </w:rPr>
        <w:t xml:space="preserve"> </w:t>
      </w:r>
      <w:r>
        <w:rPr>
          <w:w w:val="95"/>
        </w:rPr>
        <w:t>in</w:t>
      </w:r>
      <w:r>
        <w:rPr>
          <w:spacing w:val="-11"/>
          <w:w w:val="95"/>
        </w:rPr>
        <w:t xml:space="preserve"> </w:t>
      </w:r>
      <w:r>
        <w:rPr>
          <w:w w:val="95"/>
        </w:rPr>
        <w:t>Figure</w:t>
      </w:r>
      <w:r>
        <w:rPr>
          <w:spacing w:val="-11"/>
          <w:w w:val="95"/>
        </w:rPr>
        <w:t xml:space="preserve"> </w:t>
      </w:r>
      <w:r>
        <w:rPr>
          <w:w w:val="95"/>
        </w:rPr>
        <w:t>6.2.</w:t>
      </w:r>
      <w:r>
        <w:rPr>
          <w:spacing w:val="-11"/>
          <w:w w:val="95"/>
        </w:rPr>
        <w:t xml:space="preserve"> </w:t>
      </w:r>
      <w:r>
        <w:rPr>
          <w:w w:val="95"/>
        </w:rPr>
        <w:t>The</w:t>
      </w:r>
      <w:r>
        <w:rPr>
          <w:spacing w:val="-11"/>
          <w:w w:val="95"/>
        </w:rPr>
        <w:t xml:space="preserve"> </w:t>
      </w:r>
      <w:r>
        <w:rPr>
          <w:w w:val="95"/>
        </w:rPr>
        <w:t>vast</w:t>
      </w:r>
      <w:r>
        <w:rPr>
          <w:spacing w:val="-12"/>
          <w:w w:val="95"/>
        </w:rPr>
        <w:t xml:space="preserve"> </w:t>
      </w:r>
      <w:r>
        <w:rPr>
          <w:w w:val="95"/>
        </w:rPr>
        <w:t xml:space="preserve">majority </w:t>
      </w:r>
      <w:r>
        <w:t>of</w:t>
      </w:r>
      <w:r>
        <w:rPr>
          <w:spacing w:val="-8"/>
        </w:rPr>
        <w:t xml:space="preserve"> </w:t>
      </w:r>
      <w:r>
        <w:t>the</w:t>
      </w:r>
      <w:r>
        <w:rPr>
          <w:spacing w:val="-8"/>
        </w:rPr>
        <w:t xml:space="preserve"> </w:t>
      </w:r>
      <w:r>
        <w:t>growth</w:t>
      </w:r>
      <w:r>
        <w:rPr>
          <w:spacing w:val="-8"/>
        </w:rPr>
        <w:t xml:space="preserve"> </w:t>
      </w:r>
      <w:r>
        <w:t>in</w:t>
      </w:r>
      <w:r>
        <w:rPr>
          <w:spacing w:val="-8"/>
        </w:rPr>
        <w:t xml:space="preserve"> </w:t>
      </w:r>
      <w:r>
        <w:t>travel</w:t>
      </w:r>
      <w:r>
        <w:rPr>
          <w:spacing w:val="-8"/>
        </w:rPr>
        <w:t xml:space="preserve"> </w:t>
      </w:r>
      <w:r>
        <w:t>demand</w:t>
      </w:r>
      <w:r>
        <w:rPr>
          <w:spacing w:val="-8"/>
        </w:rPr>
        <w:t xml:space="preserve"> </w:t>
      </w:r>
      <w:r>
        <w:t>is</w:t>
      </w:r>
      <w:r>
        <w:rPr>
          <w:spacing w:val="-8"/>
        </w:rPr>
        <w:t xml:space="preserve"> </w:t>
      </w:r>
      <w:r>
        <w:t>expected</w:t>
      </w:r>
      <w:r>
        <w:rPr>
          <w:spacing w:val="-8"/>
        </w:rPr>
        <w:t xml:space="preserve"> </w:t>
      </w:r>
      <w:r>
        <w:t>to</w:t>
      </w:r>
      <w:r>
        <w:rPr>
          <w:spacing w:val="-8"/>
        </w:rPr>
        <w:t xml:space="preserve"> </w:t>
      </w:r>
      <w:r>
        <w:t>be accommodated by road.</w:t>
      </w:r>
    </w:p>
    <w:p w:rsidR="002C1123" w:rsidRDefault="00F22F94">
      <w:pPr>
        <w:pStyle w:val="BodyText"/>
        <w:spacing w:before="115" w:line="240" w:lineRule="atLeast"/>
        <w:ind w:left="187"/>
      </w:pPr>
      <w:r>
        <w:t>The</w:t>
      </w:r>
      <w:r>
        <w:rPr>
          <w:spacing w:val="-12"/>
        </w:rPr>
        <w:t xml:space="preserve"> </w:t>
      </w:r>
      <w:r>
        <w:t>same</w:t>
      </w:r>
      <w:r>
        <w:rPr>
          <w:spacing w:val="-12"/>
        </w:rPr>
        <w:t xml:space="preserve"> </w:t>
      </w:r>
      <w:r>
        <w:t>is</w:t>
      </w:r>
      <w:r>
        <w:rPr>
          <w:spacing w:val="-12"/>
        </w:rPr>
        <w:t xml:space="preserve"> </w:t>
      </w:r>
      <w:r>
        <w:t>true</w:t>
      </w:r>
      <w:r>
        <w:rPr>
          <w:spacing w:val="-12"/>
        </w:rPr>
        <w:t xml:space="preserve"> </w:t>
      </w:r>
      <w:r>
        <w:t>for</w:t>
      </w:r>
      <w:r>
        <w:rPr>
          <w:spacing w:val="-12"/>
        </w:rPr>
        <w:t xml:space="preserve"> </w:t>
      </w:r>
      <w:r>
        <w:t>freight</w:t>
      </w:r>
      <w:r>
        <w:rPr>
          <w:spacing w:val="-12"/>
        </w:rPr>
        <w:t xml:space="preserve"> </w:t>
      </w:r>
      <w:r>
        <w:t>movements.</w:t>
      </w:r>
      <w:r>
        <w:rPr>
          <w:spacing w:val="-12"/>
        </w:rPr>
        <w:t xml:space="preserve"> </w:t>
      </w:r>
      <w:r>
        <w:t xml:space="preserve">The </w:t>
      </w:r>
      <w:r>
        <w:rPr>
          <w:w w:val="95"/>
        </w:rPr>
        <w:t>Government</w:t>
      </w:r>
      <w:r>
        <w:rPr>
          <w:spacing w:val="-4"/>
          <w:w w:val="95"/>
        </w:rPr>
        <w:t xml:space="preserve"> </w:t>
      </w:r>
      <w:r>
        <w:rPr>
          <w:w w:val="95"/>
        </w:rPr>
        <w:t>has</w:t>
      </w:r>
      <w:r>
        <w:rPr>
          <w:spacing w:val="-4"/>
          <w:w w:val="95"/>
        </w:rPr>
        <w:t xml:space="preserve"> </w:t>
      </w:r>
      <w:r>
        <w:rPr>
          <w:w w:val="95"/>
        </w:rPr>
        <w:t>set</w:t>
      </w:r>
      <w:r>
        <w:rPr>
          <w:spacing w:val="-4"/>
          <w:w w:val="95"/>
        </w:rPr>
        <w:t xml:space="preserve"> </w:t>
      </w:r>
      <w:r>
        <w:rPr>
          <w:w w:val="95"/>
        </w:rPr>
        <w:t>a</w:t>
      </w:r>
      <w:r>
        <w:rPr>
          <w:spacing w:val="-4"/>
          <w:w w:val="95"/>
        </w:rPr>
        <w:t xml:space="preserve"> </w:t>
      </w:r>
      <w:r>
        <w:rPr>
          <w:w w:val="95"/>
        </w:rPr>
        <w:t>target</w:t>
      </w:r>
      <w:r>
        <w:rPr>
          <w:spacing w:val="-4"/>
          <w:w w:val="95"/>
        </w:rPr>
        <w:t xml:space="preserve"> </w:t>
      </w:r>
      <w:r>
        <w:rPr>
          <w:w w:val="95"/>
        </w:rPr>
        <w:t>to</w:t>
      </w:r>
      <w:r>
        <w:rPr>
          <w:spacing w:val="-4"/>
          <w:w w:val="95"/>
        </w:rPr>
        <w:t xml:space="preserve"> </w:t>
      </w:r>
      <w:r>
        <w:rPr>
          <w:w w:val="95"/>
        </w:rPr>
        <w:t>double</w:t>
      </w:r>
      <w:r>
        <w:rPr>
          <w:spacing w:val="-4"/>
          <w:w w:val="95"/>
        </w:rPr>
        <w:t xml:space="preserve"> </w:t>
      </w:r>
      <w:r>
        <w:rPr>
          <w:w w:val="95"/>
        </w:rPr>
        <w:t>the</w:t>
      </w:r>
      <w:r>
        <w:rPr>
          <w:spacing w:val="-4"/>
          <w:w w:val="95"/>
        </w:rPr>
        <w:t xml:space="preserve"> </w:t>
      </w:r>
      <w:r>
        <w:rPr>
          <w:w w:val="95"/>
        </w:rPr>
        <w:t>share</w:t>
      </w:r>
      <w:r>
        <w:rPr>
          <w:spacing w:val="-4"/>
          <w:w w:val="95"/>
        </w:rPr>
        <w:t xml:space="preserve"> </w:t>
      </w:r>
      <w:r>
        <w:rPr>
          <w:w w:val="95"/>
        </w:rPr>
        <w:t>of</w:t>
      </w:r>
      <w:r>
        <w:rPr>
          <w:spacing w:val="-4"/>
          <w:w w:val="95"/>
        </w:rPr>
        <w:t xml:space="preserve"> </w:t>
      </w:r>
      <w:r>
        <w:rPr>
          <w:w w:val="95"/>
        </w:rPr>
        <w:t>port</w:t>
      </w:r>
    </w:p>
    <w:p w:rsidR="002C1123" w:rsidRDefault="00F22F94">
      <w:pPr>
        <w:spacing w:before="99"/>
        <w:ind w:left="1745"/>
        <w:rPr>
          <w:sz w:val="15"/>
        </w:rPr>
      </w:pPr>
      <w:r>
        <w:br w:type="column"/>
      </w:r>
      <w:r>
        <w:rPr>
          <w:spacing w:val="-5"/>
          <w:w w:val="90"/>
          <w:sz w:val="15"/>
        </w:rPr>
        <w:t>Car</w:t>
      </w:r>
    </w:p>
    <w:p w:rsidR="002C1123" w:rsidRDefault="002C1123">
      <w:pPr>
        <w:pStyle w:val="BodyText"/>
        <w:spacing w:before="5"/>
        <w:rPr>
          <w:sz w:val="21"/>
        </w:rPr>
      </w:pPr>
    </w:p>
    <w:p w:rsidR="002C1123" w:rsidRDefault="002060EF">
      <w:pPr>
        <w:tabs>
          <w:tab w:val="left" w:pos="821"/>
        </w:tabs>
        <w:spacing w:before="1"/>
        <w:ind w:right="94"/>
        <w:jc w:val="right"/>
        <w:rPr>
          <w:sz w:val="15"/>
        </w:rPr>
      </w:pPr>
      <w:r>
        <w:pict>
          <v:rect id="docshape1092" o:spid="_x0000_s4227" style="position:absolute;left:0;text-align:left;margin-left:594.95pt;margin-top:.1pt;width:8.4pt;height:8.4pt;z-index:251295744;mso-position-horizontal-relative:page" fillcolor="#2e3092" stroked="f">
            <w10:wrap anchorx="page"/>
          </v:rect>
        </w:pict>
      </w:r>
      <w:r>
        <w:pict>
          <v:rect id="docshape1093" o:spid="_x0000_s4226" style="position:absolute;left:0;text-align:left;margin-left:636.05pt;margin-top:.1pt;width:8.4pt;height:8.4pt;z-index:-251497472;mso-position-horizontal-relative:page" fillcolor="#00aeef" stroked="f">
            <w10:wrap anchorx="page"/>
          </v:rect>
        </w:pict>
      </w:r>
      <w:r w:rsidR="00F22F94">
        <w:rPr>
          <w:spacing w:val="-4"/>
          <w:sz w:val="15"/>
        </w:rPr>
        <w:t>2011</w:t>
      </w:r>
      <w:r w:rsidR="00F22F94">
        <w:rPr>
          <w:sz w:val="15"/>
        </w:rPr>
        <w:tab/>
      </w:r>
      <w:r w:rsidR="00F22F94">
        <w:rPr>
          <w:spacing w:val="-4"/>
          <w:sz w:val="15"/>
        </w:rPr>
        <w:t>2031</w:t>
      </w:r>
    </w:p>
    <w:p w:rsidR="002C1123" w:rsidRDefault="002C1123">
      <w:pPr>
        <w:pStyle w:val="BodyText"/>
        <w:spacing w:before="1"/>
      </w:pPr>
    </w:p>
    <w:p w:rsidR="002C1123" w:rsidRDefault="00F22F94">
      <w:pPr>
        <w:jc w:val="right"/>
        <w:rPr>
          <w:sz w:val="14"/>
        </w:rPr>
      </w:pPr>
      <w:r>
        <w:rPr>
          <w:w w:val="95"/>
          <w:sz w:val="14"/>
        </w:rPr>
        <w:t>Source:</w:t>
      </w:r>
      <w:r>
        <w:rPr>
          <w:spacing w:val="-1"/>
          <w:sz w:val="14"/>
        </w:rPr>
        <w:t xml:space="preserve"> </w:t>
      </w:r>
      <w:r>
        <w:rPr>
          <w:w w:val="95"/>
          <w:sz w:val="14"/>
        </w:rPr>
        <w:t>Bureau</w:t>
      </w:r>
      <w:r>
        <w:rPr>
          <w:spacing w:val="-1"/>
          <w:sz w:val="14"/>
        </w:rPr>
        <w:t xml:space="preserve"> </w:t>
      </w:r>
      <w:r>
        <w:rPr>
          <w:w w:val="95"/>
          <w:sz w:val="14"/>
        </w:rPr>
        <w:t>of</w:t>
      </w:r>
      <w:r>
        <w:rPr>
          <w:sz w:val="14"/>
        </w:rPr>
        <w:t xml:space="preserve"> </w:t>
      </w:r>
      <w:r>
        <w:rPr>
          <w:w w:val="95"/>
          <w:sz w:val="14"/>
        </w:rPr>
        <w:t>Transport</w:t>
      </w:r>
      <w:r>
        <w:rPr>
          <w:spacing w:val="-1"/>
          <w:sz w:val="14"/>
        </w:rPr>
        <w:t xml:space="preserve"> </w:t>
      </w:r>
      <w:r>
        <w:rPr>
          <w:spacing w:val="-2"/>
          <w:w w:val="95"/>
          <w:sz w:val="14"/>
        </w:rPr>
        <w:t>Statistics.</w:t>
      </w:r>
    </w:p>
    <w:p w:rsidR="002C1123" w:rsidRDefault="00F22F94">
      <w:pPr>
        <w:spacing w:before="99"/>
        <w:ind w:left="205"/>
        <w:rPr>
          <w:sz w:val="15"/>
        </w:rPr>
      </w:pPr>
      <w:r>
        <w:br w:type="column"/>
      </w:r>
      <w:r>
        <w:rPr>
          <w:spacing w:val="-4"/>
          <w:w w:val="90"/>
          <w:sz w:val="15"/>
        </w:rPr>
        <w:t>Rail</w:t>
      </w:r>
    </w:p>
    <w:p w:rsidR="002C1123" w:rsidRDefault="00F22F94">
      <w:pPr>
        <w:spacing w:before="99"/>
        <w:ind w:left="492"/>
        <w:rPr>
          <w:sz w:val="15"/>
        </w:rPr>
      </w:pPr>
      <w:r>
        <w:br w:type="column"/>
      </w:r>
      <w:r>
        <w:rPr>
          <w:spacing w:val="-5"/>
          <w:w w:val="90"/>
          <w:sz w:val="15"/>
        </w:rPr>
        <w:t>Bus</w:t>
      </w:r>
    </w:p>
    <w:p w:rsidR="002C1123" w:rsidRDefault="002C1123">
      <w:pPr>
        <w:rPr>
          <w:sz w:val="15"/>
        </w:rPr>
        <w:sectPr w:rsidR="002C1123">
          <w:type w:val="continuous"/>
          <w:pgSz w:w="16840" w:h="11910" w:orient="landscape"/>
          <w:pgMar w:top="560" w:right="280" w:bottom="280" w:left="500" w:header="0" w:footer="517" w:gutter="0"/>
          <w:cols w:num="5" w:space="720" w:equalWidth="0">
            <w:col w:w="5292" w:space="40"/>
            <w:col w:w="4868" w:space="39"/>
            <w:col w:w="2633" w:space="40"/>
            <w:col w:w="450" w:space="622"/>
            <w:col w:w="2076"/>
          </w:cols>
        </w:sectPr>
      </w:pPr>
    </w:p>
    <w:p w:rsidR="002C1123" w:rsidRDefault="00F22F94">
      <w:pPr>
        <w:pStyle w:val="BodyText"/>
        <w:spacing w:line="175" w:lineRule="exact"/>
        <w:ind w:left="492"/>
      </w:pPr>
      <w:r>
        <w:rPr>
          <w:w w:val="95"/>
        </w:rPr>
        <w:t>Hills</w:t>
      </w:r>
      <w:r>
        <w:rPr>
          <w:spacing w:val="-7"/>
          <w:w w:val="95"/>
        </w:rPr>
        <w:t xml:space="preserve"> </w:t>
      </w:r>
      <w:r>
        <w:rPr>
          <w:w w:val="95"/>
        </w:rPr>
        <w:t>Road</w:t>
      </w:r>
      <w:r>
        <w:rPr>
          <w:spacing w:val="-7"/>
          <w:w w:val="95"/>
        </w:rPr>
        <w:t xml:space="preserve"> </w:t>
      </w:r>
      <w:r>
        <w:rPr>
          <w:w w:val="95"/>
        </w:rPr>
        <w:t>remains</w:t>
      </w:r>
      <w:r>
        <w:rPr>
          <w:spacing w:val="-7"/>
          <w:w w:val="95"/>
        </w:rPr>
        <w:t xml:space="preserve"> </w:t>
      </w:r>
      <w:r>
        <w:rPr>
          <w:w w:val="95"/>
        </w:rPr>
        <w:t>acute.</w:t>
      </w:r>
      <w:r>
        <w:rPr>
          <w:spacing w:val="-7"/>
          <w:w w:val="95"/>
        </w:rPr>
        <w:t xml:space="preserve"> </w:t>
      </w:r>
      <w:r>
        <w:rPr>
          <w:w w:val="95"/>
        </w:rPr>
        <w:t>Accordingly</w:t>
      </w:r>
      <w:r>
        <w:rPr>
          <w:spacing w:val="-7"/>
          <w:w w:val="95"/>
        </w:rPr>
        <w:t xml:space="preserve"> </w:t>
      </w:r>
      <w:r>
        <w:rPr>
          <w:w w:val="95"/>
        </w:rPr>
        <w:t>further</w:t>
      </w:r>
      <w:r>
        <w:rPr>
          <w:spacing w:val="-6"/>
          <w:w w:val="95"/>
        </w:rPr>
        <w:t xml:space="preserve"> </w:t>
      </w:r>
      <w:r>
        <w:rPr>
          <w:spacing w:val="-2"/>
          <w:w w:val="95"/>
        </w:rPr>
        <w:t>investment</w:t>
      </w:r>
    </w:p>
    <w:p w:rsidR="002C1123" w:rsidRDefault="00F22F94">
      <w:pPr>
        <w:pStyle w:val="BodyText"/>
        <w:spacing w:before="10" w:line="249" w:lineRule="auto"/>
        <w:ind w:left="492" w:right="5"/>
      </w:pPr>
      <w:r>
        <w:rPr>
          <w:spacing w:val="-2"/>
        </w:rPr>
        <w:t>in</w:t>
      </w:r>
      <w:r>
        <w:rPr>
          <w:spacing w:val="-9"/>
        </w:rPr>
        <w:t xml:space="preserve"> </w:t>
      </w:r>
      <w:r>
        <w:rPr>
          <w:spacing w:val="-2"/>
        </w:rPr>
        <w:t>the</w:t>
      </w:r>
      <w:r>
        <w:rPr>
          <w:spacing w:val="-9"/>
        </w:rPr>
        <w:t xml:space="preserve"> </w:t>
      </w:r>
      <w:r>
        <w:rPr>
          <w:spacing w:val="-2"/>
        </w:rPr>
        <w:t>SSRN</w:t>
      </w:r>
      <w:r>
        <w:rPr>
          <w:spacing w:val="-9"/>
        </w:rPr>
        <w:t xml:space="preserve"> </w:t>
      </w:r>
      <w:r>
        <w:rPr>
          <w:spacing w:val="-2"/>
        </w:rPr>
        <w:t>is</w:t>
      </w:r>
      <w:r>
        <w:rPr>
          <w:spacing w:val="-9"/>
        </w:rPr>
        <w:t xml:space="preserve"> </w:t>
      </w:r>
      <w:r>
        <w:rPr>
          <w:spacing w:val="-2"/>
        </w:rPr>
        <w:t>required</w:t>
      </w:r>
      <w:r>
        <w:rPr>
          <w:spacing w:val="-9"/>
        </w:rPr>
        <w:t xml:space="preserve"> </w:t>
      </w:r>
      <w:r>
        <w:rPr>
          <w:spacing w:val="-2"/>
        </w:rPr>
        <w:t>to</w:t>
      </w:r>
      <w:r>
        <w:rPr>
          <w:spacing w:val="-9"/>
        </w:rPr>
        <w:t xml:space="preserve"> </w:t>
      </w:r>
      <w:r>
        <w:rPr>
          <w:spacing w:val="-2"/>
        </w:rPr>
        <w:t>maintain</w:t>
      </w:r>
      <w:r>
        <w:rPr>
          <w:spacing w:val="-9"/>
        </w:rPr>
        <w:t xml:space="preserve"> </w:t>
      </w:r>
      <w:r>
        <w:rPr>
          <w:spacing w:val="-2"/>
        </w:rPr>
        <w:t>existing</w:t>
      </w:r>
      <w:r>
        <w:rPr>
          <w:spacing w:val="-9"/>
        </w:rPr>
        <w:t xml:space="preserve"> </w:t>
      </w:r>
      <w:r>
        <w:rPr>
          <w:spacing w:val="-2"/>
        </w:rPr>
        <w:t>levels</w:t>
      </w:r>
      <w:r>
        <w:rPr>
          <w:spacing w:val="-9"/>
        </w:rPr>
        <w:t xml:space="preserve"> </w:t>
      </w:r>
      <w:r>
        <w:rPr>
          <w:spacing w:val="-2"/>
        </w:rPr>
        <w:t xml:space="preserve">of </w:t>
      </w:r>
      <w:r>
        <w:rPr>
          <w:w w:val="95"/>
        </w:rPr>
        <w:t xml:space="preserve">mobility across the network, with targeted opportunities </w:t>
      </w:r>
      <w:r>
        <w:t>to reduce congestion in some locations.</w:t>
      </w: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060EF">
      <w:pPr>
        <w:pStyle w:val="BodyText"/>
        <w:spacing w:before="3"/>
        <w:rPr>
          <w:sz w:val="17"/>
        </w:rPr>
      </w:pPr>
      <w:r>
        <w:pict>
          <v:shape id="docshape1094" o:spid="_x0000_s4225" style="position:absolute;margin-left:49.6pt;margin-top:11.15pt;width:1in;height:.1pt;z-index:-251390976;mso-wrap-distance-left:0;mso-wrap-distance-right:0;mso-position-horizontal-relative:page" coordorigin="992,223" coordsize="1440,0" path="m992,223r1440,e" filled="f" strokecolor="#9c9c9d" strokeweight=".5pt">
            <v:path arrowok="t"/>
            <w10:wrap type="topAndBottom" anchorx="page"/>
          </v:shape>
        </w:pict>
      </w:r>
    </w:p>
    <w:p w:rsidR="002C1123" w:rsidRDefault="00F22F94">
      <w:pPr>
        <w:pStyle w:val="ListParagraph"/>
        <w:numPr>
          <w:ilvl w:val="1"/>
          <w:numId w:val="95"/>
        </w:numPr>
        <w:tabs>
          <w:tab w:val="left" w:pos="691"/>
        </w:tabs>
        <w:spacing w:before="23"/>
        <w:ind w:left="690" w:right="20"/>
        <w:jc w:val="left"/>
        <w:rPr>
          <w:sz w:val="14"/>
        </w:rPr>
      </w:pPr>
      <w:r>
        <w:rPr>
          <w:sz w:val="14"/>
        </w:rPr>
        <w:t>Bureau</w:t>
      </w:r>
      <w:r>
        <w:rPr>
          <w:spacing w:val="-3"/>
          <w:sz w:val="14"/>
        </w:rPr>
        <w:t xml:space="preserve"> </w:t>
      </w:r>
      <w:r>
        <w:rPr>
          <w:sz w:val="14"/>
        </w:rPr>
        <w:t>of</w:t>
      </w:r>
      <w:r>
        <w:rPr>
          <w:spacing w:val="-3"/>
          <w:sz w:val="14"/>
        </w:rPr>
        <w:t xml:space="preserve"> </w:t>
      </w:r>
      <w:r>
        <w:rPr>
          <w:sz w:val="14"/>
        </w:rPr>
        <w:t>Infrastructure,</w:t>
      </w:r>
      <w:r>
        <w:rPr>
          <w:spacing w:val="-3"/>
          <w:sz w:val="14"/>
        </w:rPr>
        <w:t xml:space="preserve"> </w:t>
      </w:r>
      <w:r>
        <w:rPr>
          <w:sz w:val="14"/>
        </w:rPr>
        <w:t>Transport</w:t>
      </w:r>
      <w:r>
        <w:rPr>
          <w:spacing w:val="-3"/>
          <w:sz w:val="14"/>
        </w:rPr>
        <w:t xml:space="preserve"> </w:t>
      </w:r>
      <w:r>
        <w:rPr>
          <w:sz w:val="14"/>
        </w:rPr>
        <w:t>and</w:t>
      </w:r>
      <w:r>
        <w:rPr>
          <w:spacing w:val="-3"/>
          <w:sz w:val="14"/>
        </w:rPr>
        <w:t xml:space="preserve"> </w:t>
      </w:r>
      <w:r>
        <w:rPr>
          <w:sz w:val="14"/>
        </w:rPr>
        <w:t>Regional</w:t>
      </w:r>
      <w:r>
        <w:rPr>
          <w:spacing w:val="-3"/>
          <w:sz w:val="14"/>
        </w:rPr>
        <w:t xml:space="preserve"> </w:t>
      </w:r>
      <w:r>
        <w:rPr>
          <w:sz w:val="14"/>
        </w:rPr>
        <w:t>Economics,</w:t>
      </w:r>
      <w:r>
        <w:rPr>
          <w:spacing w:val="-3"/>
          <w:sz w:val="14"/>
        </w:rPr>
        <w:t xml:space="preserve"> </w:t>
      </w:r>
      <w:r>
        <w:rPr>
          <w:sz w:val="14"/>
        </w:rPr>
        <w:t>quoted</w:t>
      </w:r>
      <w:r>
        <w:rPr>
          <w:spacing w:val="-3"/>
          <w:sz w:val="14"/>
        </w:rPr>
        <w:t xml:space="preserve"> </w:t>
      </w:r>
      <w:r>
        <w:rPr>
          <w:sz w:val="14"/>
        </w:rPr>
        <w:t>in</w:t>
      </w:r>
      <w:r>
        <w:rPr>
          <w:spacing w:val="40"/>
          <w:sz w:val="14"/>
        </w:rPr>
        <w:t xml:space="preserve"> </w:t>
      </w:r>
      <w:r>
        <w:rPr>
          <w:w w:val="95"/>
          <w:sz w:val="14"/>
        </w:rPr>
        <w:t>Infrastructure Australia 2012, Australian Infrastructure: Progress and Action,</w:t>
      </w:r>
      <w:r>
        <w:rPr>
          <w:spacing w:val="40"/>
          <w:sz w:val="14"/>
        </w:rPr>
        <w:t xml:space="preserve"> </w:t>
      </w:r>
      <w:r>
        <w:rPr>
          <w:sz w:val="14"/>
        </w:rPr>
        <w:t>A report to the Council of Australian Governments.</w:t>
      </w:r>
    </w:p>
    <w:p w:rsidR="002C1123" w:rsidRDefault="00F22F94">
      <w:pPr>
        <w:pStyle w:val="BodyText"/>
        <w:spacing w:before="30" w:line="249" w:lineRule="auto"/>
        <w:ind w:left="209"/>
      </w:pPr>
      <w:r>
        <w:br w:type="column"/>
      </w:r>
      <w:r>
        <w:rPr>
          <w:w w:val="95"/>
        </w:rPr>
        <w:t>container</w:t>
      </w:r>
      <w:r>
        <w:rPr>
          <w:spacing w:val="-2"/>
          <w:w w:val="95"/>
        </w:rPr>
        <w:t xml:space="preserve"> </w:t>
      </w:r>
      <w:r>
        <w:rPr>
          <w:w w:val="95"/>
        </w:rPr>
        <w:t>freight</w:t>
      </w:r>
      <w:r>
        <w:rPr>
          <w:spacing w:val="-2"/>
          <w:w w:val="95"/>
        </w:rPr>
        <w:t xml:space="preserve"> </w:t>
      </w:r>
      <w:r>
        <w:rPr>
          <w:w w:val="95"/>
        </w:rPr>
        <w:t>that</w:t>
      </w:r>
      <w:r>
        <w:rPr>
          <w:spacing w:val="-2"/>
          <w:w w:val="95"/>
        </w:rPr>
        <w:t xml:space="preserve"> </w:t>
      </w:r>
      <w:r>
        <w:rPr>
          <w:w w:val="95"/>
        </w:rPr>
        <w:t>is</w:t>
      </w:r>
      <w:r>
        <w:rPr>
          <w:spacing w:val="-2"/>
          <w:w w:val="95"/>
        </w:rPr>
        <w:t xml:space="preserve"> </w:t>
      </w:r>
      <w:r>
        <w:rPr>
          <w:w w:val="95"/>
        </w:rPr>
        <w:t>moved</w:t>
      </w:r>
      <w:r>
        <w:rPr>
          <w:spacing w:val="-2"/>
          <w:w w:val="95"/>
        </w:rPr>
        <w:t xml:space="preserve"> </w:t>
      </w:r>
      <w:r>
        <w:rPr>
          <w:w w:val="95"/>
        </w:rPr>
        <w:t>by</w:t>
      </w:r>
      <w:r>
        <w:rPr>
          <w:spacing w:val="-2"/>
          <w:w w:val="95"/>
        </w:rPr>
        <w:t xml:space="preserve"> </w:t>
      </w:r>
      <w:r>
        <w:rPr>
          <w:w w:val="95"/>
        </w:rPr>
        <w:t>rail</w:t>
      </w:r>
      <w:r>
        <w:rPr>
          <w:spacing w:val="-2"/>
          <w:w w:val="95"/>
        </w:rPr>
        <w:t xml:space="preserve"> </w:t>
      </w:r>
      <w:r>
        <w:rPr>
          <w:w w:val="95"/>
        </w:rPr>
        <w:t>by</w:t>
      </w:r>
      <w:r>
        <w:rPr>
          <w:spacing w:val="-2"/>
          <w:w w:val="95"/>
        </w:rPr>
        <w:t xml:space="preserve"> </w:t>
      </w:r>
      <w:r>
        <w:rPr>
          <w:w w:val="95"/>
        </w:rPr>
        <w:t>2021.</w:t>
      </w:r>
      <w:r>
        <w:rPr>
          <w:spacing w:val="-2"/>
          <w:w w:val="95"/>
        </w:rPr>
        <w:t xml:space="preserve"> </w:t>
      </w:r>
      <w:r>
        <w:rPr>
          <w:w w:val="95"/>
        </w:rPr>
        <w:t>However, as</w:t>
      </w:r>
      <w:r>
        <w:rPr>
          <w:spacing w:val="-8"/>
          <w:w w:val="95"/>
        </w:rPr>
        <w:t xml:space="preserve"> </w:t>
      </w:r>
      <w:r>
        <w:rPr>
          <w:w w:val="95"/>
        </w:rPr>
        <w:t>Section</w:t>
      </w:r>
      <w:r>
        <w:rPr>
          <w:spacing w:val="-8"/>
          <w:w w:val="95"/>
        </w:rPr>
        <w:t xml:space="preserve"> </w:t>
      </w:r>
      <w:r>
        <w:rPr>
          <w:w w:val="95"/>
        </w:rPr>
        <w:t>9</w:t>
      </w:r>
      <w:r>
        <w:rPr>
          <w:spacing w:val="-8"/>
          <w:w w:val="95"/>
        </w:rPr>
        <w:t xml:space="preserve"> </w:t>
      </w:r>
      <w:r>
        <w:rPr>
          <w:w w:val="95"/>
        </w:rPr>
        <w:t>shows,</w:t>
      </w:r>
      <w:r>
        <w:rPr>
          <w:spacing w:val="-8"/>
          <w:w w:val="95"/>
        </w:rPr>
        <w:t xml:space="preserve"> </w:t>
      </w:r>
      <w:r>
        <w:rPr>
          <w:w w:val="95"/>
        </w:rPr>
        <w:t>meeting</w:t>
      </w:r>
      <w:r>
        <w:rPr>
          <w:spacing w:val="-8"/>
          <w:w w:val="95"/>
        </w:rPr>
        <w:t xml:space="preserve"> </w:t>
      </w:r>
      <w:r>
        <w:rPr>
          <w:w w:val="95"/>
        </w:rPr>
        <w:t>this</w:t>
      </w:r>
      <w:r>
        <w:rPr>
          <w:spacing w:val="-8"/>
          <w:w w:val="95"/>
        </w:rPr>
        <w:t xml:space="preserve"> </w:t>
      </w:r>
      <w:r>
        <w:rPr>
          <w:w w:val="95"/>
        </w:rPr>
        <w:t>target</w:t>
      </w:r>
      <w:r>
        <w:rPr>
          <w:spacing w:val="-8"/>
          <w:w w:val="95"/>
        </w:rPr>
        <w:t xml:space="preserve"> </w:t>
      </w:r>
      <w:r>
        <w:rPr>
          <w:w w:val="95"/>
        </w:rPr>
        <w:t>will</w:t>
      </w:r>
      <w:r>
        <w:rPr>
          <w:spacing w:val="-8"/>
          <w:w w:val="95"/>
        </w:rPr>
        <w:t xml:space="preserve"> </w:t>
      </w:r>
      <w:r>
        <w:rPr>
          <w:w w:val="95"/>
        </w:rPr>
        <w:t>still</w:t>
      </w:r>
      <w:r>
        <w:rPr>
          <w:spacing w:val="-8"/>
          <w:w w:val="95"/>
        </w:rPr>
        <w:t xml:space="preserve"> </w:t>
      </w:r>
      <w:r>
        <w:rPr>
          <w:w w:val="95"/>
        </w:rPr>
        <w:t>leave</w:t>
      </w:r>
      <w:r>
        <w:rPr>
          <w:spacing w:val="-8"/>
          <w:w w:val="95"/>
        </w:rPr>
        <w:t xml:space="preserve"> </w:t>
      </w:r>
      <w:r>
        <w:rPr>
          <w:w w:val="95"/>
        </w:rPr>
        <w:t>two thirds</w:t>
      </w:r>
      <w:r>
        <w:rPr>
          <w:spacing w:val="-2"/>
          <w:w w:val="95"/>
        </w:rPr>
        <w:t xml:space="preserve"> </w:t>
      </w:r>
      <w:r>
        <w:rPr>
          <w:w w:val="95"/>
        </w:rPr>
        <w:t>of</w:t>
      </w:r>
      <w:r>
        <w:rPr>
          <w:spacing w:val="-2"/>
          <w:w w:val="95"/>
        </w:rPr>
        <w:t xml:space="preserve"> </w:t>
      </w:r>
      <w:r>
        <w:rPr>
          <w:w w:val="95"/>
        </w:rPr>
        <w:t>the</w:t>
      </w:r>
      <w:r>
        <w:rPr>
          <w:spacing w:val="-2"/>
          <w:w w:val="95"/>
        </w:rPr>
        <w:t xml:space="preserve"> </w:t>
      </w:r>
      <w:r>
        <w:rPr>
          <w:w w:val="95"/>
        </w:rPr>
        <w:t>growth</w:t>
      </w:r>
      <w:r>
        <w:rPr>
          <w:spacing w:val="-2"/>
          <w:w w:val="95"/>
        </w:rPr>
        <w:t xml:space="preserve"> </w:t>
      </w:r>
      <w:r>
        <w:rPr>
          <w:w w:val="95"/>
        </w:rPr>
        <w:t>in</w:t>
      </w:r>
      <w:r>
        <w:rPr>
          <w:spacing w:val="-2"/>
          <w:w w:val="95"/>
        </w:rPr>
        <w:t xml:space="preserve"> </w:t>
      </w:r>
      <w:r>
        <w:rPr>
          <w:w w:val="95"/>
        </w:rPr>
        <w:t>container</w:t>
      </w:r>
      <w:r>
        <w:rPr>
          <w:spacing w:val="-2"/>
          <w:w w:val="95"/>
        </w:rPr>
        <w:t xml:space="preserve"> </w:t>
      </w:r>
      <w:r>
        <w:rPr>
          <w:w w:val="95"/>
        </w:rPr>
        <w:t>demand</w:t>
      </w:r>
      <w:r>
        <w:rPr>
          <w:spacing w:val="-2"/>
          <w:w w:val="95"/>
        </w:rPr>
        <w:t xml:space="preserve"> </w:t>
      </w:r>
      <w:r>
        <w:rPr>
          <w:w w:val="95"/>
        </w:rPr>
        <w:t>to</w:t>
      </w:r>
      <w:r>
        <w:rPr>
          <w:spacing w:val="-2"/>
          <w:w w:val="95"/>
        </w:rPr>
        <w:t xml:space="preserve"> </w:t>
      </w:r>
      <w:r>
        <w:rPr>
          <w:w w:val="95"/>
        </w:rPr>
        <w:t>be</w:t>
      </w:r>
      <w:r>
        <w:rPr>
          <w:spacing w:val="-2"/>
          <w:w w:val="95"/>
        </w:rPr>
        <w:t xml:space="preserve"> </w:t>
      </w:r>
      <w:r>
        <w:rPr>
          <w:w w:val="95"/>
        </w:rPr>
        <w:t>moved</w:t>
      </w:r>
      <w:r>
        <w:rPr>
          <w:spacing w:val="-2"/>
          <w:w w:val="95"/>
        </w:rPr>
        <w:t xml:space="preserve"> </w:t>
      </w:r>
      <w:r>
        <w:rPr>
          <w:w w:val="95"/>
        </w:rPr>
        <w:t xml:space="preserve">by </w:t>
      </w:r>
      <w:r>
        <w:t>road over the next twenty years.</w:t>
      </w:r>
    </w:p>
    <w:p w:rsidR="002C1123" w:rsidRDefault="00F22F94">
      <w:pPr>
        <w:spacing w:before="88" w:line="249" w:lineRule="auto"/>
        <w:ind w:left="227" w:right="1563"/>
        <w:rPr>
          <w:b/>
          <w:sz w:val="18"/>
        </w:rPr>
      </w:pPr>
      <w:r>
        <w:br w:type="column"/>
      </w:r>
      <w:r>
        <w:rPr>
          <w:b/>
          <w:sz w:val="18"/>
        </w:rPr>
        <w:t>Table</w:t>
      </w:r>
      <w:r>
        <w:rPr>
          <w:b/>
          <w:spacing w:val="-17"/>
          <w:sz w:val="18"/>
        </w:rPr>
        <w:t xml:space="preserve"> </w:t>
      </w:r>
      <w:r>
        <w:rPr>
          <w:b/>
          <w:sz w:val="18"/>
        </w:rPr>
        <w:t>6.3</w:t>
      </w:r>
      <w:r>
        <w:rPr>
          <w:b/>
          <w:spacing w:val="18"/>
          <w:sz w:val="18"/>
        </w:rPr>
        <w:t xml:space="preserve"> </w:t>
      </w:r>
      <w:r>
        <w:rPr>
          <w:b/>
          <w:sz w:val="18"/>
        </w:rPr>
        <w:t>Forecast</w:t>
      </w:r>
      <w:r>
        <w:rPr>
          <w:b/>
          <w:spacing w:val="-17"/>
          <w:sz w:val="18"/>
        </w:rPr>
        <w:t xml:space="preserve"> </w:t>
      </w:r>
      <w:r>
        <w:rPr>
          <w:b/>
          <w:sz w:val="18"/>
        </w:rPr>
        <w:t>average</w:t>
      </w:r>
      <w:r>
        <w:rPr>
          <w:b/>
          <w:spacing w:val="-17"/>
          <w:sz w:val="18"/>
        </w:rPr>
        <w:t xml:space="preserve"> </w:t>
      </w:r>
      <w:r>
        <w:rPr>
          <w:b/>
          <w:sz w:val="18"/>
        </w:rPr>
        <w:t>annual</w:t>
      </w:r>
      <w:r>
        <w:rPr>
          <w:b/>
          <w:spacing w:val="-17"/>
          <w:sz w:val="18"/>
        </w:rPr>
        <w:t xml:space="preserve"> </w:t>
      </w:r>
      <w:r>
        <w:rPr>
          <w:b/>
          <w:sz w:val="18"/>
        </w:rPr>
        <w:t>growth rates</w:t>
      </w:r>
      <w:r>
        <w:rPr>
          <w:b/>
          <w:spacing w:val="-2"/>
          <w:sz w:val="18"/>
        </w:rPr>
        <w:t xml:space="preserve"> </w:t>
      </w:r>
      <w:r>
        <w:rPr>
          <w:b/>
          <w:sz w:val="18"/>
        </w:rPr>
        <w:t>by</w:t>
      </w:r>
      <w:r>
        <w:rPr>
          <w:b/>
          <w:spacing w:val="-2"/>
          <w:sz w:val="18"/>
        </w:rPr>
        <w:t xml:space="preserve"> </w:t>
      </w:r>
      <w:r>
        <w:rPr>
          <w:b/>
          <w:sz w:val="18"/>
        </w:rPr>
        <w:t>travel</w:t>
      </w:r>
      <w:r>
        <w:rPr>
          <w:b/>
          <w:spacing w:val="-2"/>
          <w:sz w:val="18"/>
        </w:rPr>
        <w:t xml:space="preserve"> </w:t>
      </w:r>
      <w:r>
        <w:rPr>
          <w:b/>
          <w:sz w:val="18"/>
        </w:rPr>
        <w:t>mode</w:t>
      </w:r>
    </w:p>
    <w:p w:rsidR="002C1123" w:rsidRDefault="00F22F94">
      <w:pPr>
        <w:spacing w:before="112" w:line="182" w:lineRule="exact"/>
        <w:ind w:left="340"/>
        <w:rPr>
          <w:b/>
          <w:sz w:val="16"/>
        </w:rPr>
      </w:pPr>
      <w:r>
        <w:rPr>
          <w:b/>
          <w:color w:val="2E3092"/>
          <w:w w:val="95"/>
          <w:sz w:val="16"/>
        </w:rPr>
        <w:t>Average</w:t>
      </w:r>
      <w:r>
        <w:rPr>
          <w:b/>
          <w:color w:val="2E3092"/>
          <w:spacing w:val="5"/>
          <w:sz w:val="16"/>
        </w:rPr>
        <w:t xml:space="preserve"> </w:t>
      </w:r>
      <w:r>
        <w:rPr>
          <w:b/>
          <w:color w:val="2E3092"/>
          <w:spacing w:val="-2"/>
          <w:sz w:val="16"/>
        </w:rPr>
        <w:t>Annual</w:t>
      </w:r>
    </w:p>
    <w:p w:rsidR="002C1123" w:rsidRDefault="00F22F94">
      <w:pPr>
        <w:tabs>
          <w:tab w:val="left" w:pos="2371"/>
          <w:tab w:val="left" w:pos="3289"/>
          <w:tab w:val="left" w:pos="4207"/>
        </w:tabs>
        <w:spacing w:line="182" w:lineRule="exact"/>
        <w:ind w:left="340"/>
        <w:rPr>
          <w:b/>
          <w:sz w:val="16"/>
        </w:rPr>
      </w:pPr>
      <w:r>
        <w:rPr>
          <w:b/>
          <w:color w:val="2E3092"/>
          <w:spacing w:val="-2"/>
          <w:sz w:val="16"/>
        </w:rPr>
        <w:t>Growth</w:t>
      </w:r>
      <w:r>
        <w:rPr>
          <w:b/>
          <w:color w:val="2E3092"/>
          <w:spacing w:val="-7"/>
          <w:sz w:val="16"/>
        </w:rPr>
        <w:t xml:space="preserve"> </w:t>
      </w:r>
      <w:r>
        <w:rPr>
          <w:b/>
          <w:color w:val="2E3092"/>
          <w:spacing w:val="-4"/>
          <w:sz w:val="16"/>
        </w:rPr>
        <w:t>rate</w:t>
      </w:r>
      <w:r>
        <w:rPr>
          <w:b/>
          <w:color w:val="2E3092"/>
          <w:sz w:val="16"/>
        </w:rPr>
        <w:tab/>
      </w:r>
      <w:r>
        <w:rPr>
          <w:b/>
          <w:color w:val="2E3092"/>
          <w:spacing w:val="-5"/>
          <w:sz w:val="16"/>
        </w:rPr>
        <w:t>Car</w:t>
      </w:r>
      <w:r>
        <w:rPr>
          <w:b/>
          <w:color w:val="2E3092"/>
          <w:sz w:val="16"/>
        </w:rPr>
        <w:tab/>
      </w:r>
      <w:r>
        <w:rPr>
          <w:b/>
          <w:color w:val="2E3092"/>
          <w:spacing w:val="-2"/>
          <w:sz w:val="16"/>
        </w:rPr>
        <w:t>Train</w:t>
      </w:r>
      <w:r>
        <w:rPr>
          <w:b/>
          <w:color w:val="2E3092"/>
          <w:sz w:val="16"/>
        </w:rPr>
        <w:tab/>
      </w:r>
      <w:r>
        <w:rPr>
          <w:b/>
          <w:color w:val="2E3092"/>
          <w:spacing w:val="-5"/>
          <w:sz w:val="16"/>
        </w:rPr>
        <w:t>Bus</w:t>
      </w:r>
    </w:p>
    <w:tbl>
      <w:tblPr>
        <w:tblW w:w="0" w:type="auto"/>
        <w:tblInd w:w="23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031"/>
        <w:gridCol w:w="918"/>
        <w:gridCol w:w="918"/>
        <w:gridCol w:w="918"/>
      </w:tblGrid>
      <w:tr w:rsidR="002C1123">
        <w:trPr>
          <w:trHeight w:val="321"/>
        </w:trPr>
        <w:tc>
          <w:tcPr>
            <w:tcW w:w="2031" w:type="dxa"/>
            <w:shd w:val="clear" w:color="auto" w:fill="C9C8C9"/>
          </w:tcPr>
          <w:p w:rsidR="002C1123" w:rsidRDefault="00F22F94">
            <w:pPr>
              <w:pStyle w:val="TableParagraph"/>
              <w:rPr>
                <w:sz w:val="16"/>
              </w:rPr>
            </w:pPr>
            <w:r>
              <w:rPr>
                <w:spacing w:val="-2"/>
                <w:w w:val="105"/>
                <w:sz w:val="16"/>
              </w:rPr>
              <w:t>Historic</w:t>
            </w:r>
          </w:p>
        </w:tc>
        <w:tc>
          <w:tcPr>
            <w:tcW w:w="918" w:type="dxa"/>
            <w:shd w:val="clear" w:color="auto" w:fill="E1E0E1"/>
          </w:tcPr>
          <w:p w:rsidR="002C1123" w:rsidRDefault="00F22F94">
            <w:pPr>
              <w:pStyle w:val="TableParagraph"/>
              <w:spacing w:before="57"/>
              <w:rPr>
                <w:rFonts w:ascii="Tahoma"/>
                <w:sz w:val="16"/>
              </w:rPr>
            </w:pPr>
            <w:r>
              <w:rPr>
                <w:rFonts w:ascii="Tahoma"/>
                <w:spacing w:val="-4"/>
                <w:sz w:val="16"/>
              </w:rPr>
              <w:t>0.9%</w:t>
            </w:r>
          </w:p>
        </w:tc>
        <w:tc>
          <w:tcPr>
            <w:tcW w:w="918" w:type="dxa"/>
            <w:shd w:val="clear" w:color="auto" w:fill="E1E0E1"/>
          </w:tcPr>
          <w:p w:rsidR="002C1123" w:rsidRDefault="00F22F94">
            <w:pPr>
              <w:pStyle w:val="TableParagraph"/>
              <w:spacing w:before="57"/>
              <w:rPr>
                <w:rFonts w:ascii="Tahoma"/>
                <w:sz w:val="16"/>
              </w:rPr>
            </w:pPr>
            <w:r>
              <w:rPr>
                <w:rFonts w:ascii="Tahoma"/>
                <w:spacing w:val="-4"/>
                <w:sz w:val="16"/>
              </w:rPr>
              <w:t>0.8%</w:t>
            </w:r>
          </w:p>
        </w:tc>
        <w:tc>
          <w:tcPr>
            <w:tcW w:w="918" w:type="dxa"/>
            <w:shd w:val="clear" w:color="auto" w:fill="E1E0E1"/>
          </w:tcPr>
          <w:p w:rsidR="002C1123" w:rsidRDefault="00F22F94">
            <w:pPr>
              <w:pStyle w:val="TableParagraph"/>
              <w:spacing w:before="57"/>
              <w:rPr>
                <w:rFonts w:ascii="Tahoma"/>
                <w:sz w:val="16"/>
              </w:rPr>
            </w:pPr>
            <w:r>
              <w:rPr>
                <w:rFonts w:ascii="Tahoma"/>
                <w:spacing w:val="-4"/>
                <w:sz w:val="16"/>
              </w:rPr>
              <w:t>1.0%</w:t>
            </w:r>
          </w:p>
        </w:tc>
      </w:tr>
      <w:tr w:rsidR="002C1123">
        <w:trPr>
          <w:trHeight w:val="321"/>
        </w:trPr>
        <w:tc>
          <w:tcPr>
            <w:tcW w:w="2031" w:type="dxa"/>
            <w:shd w:val="clear" w:color="auto" w:fill="C9C8C9"/>
          </w:tcPr>
          <w:p w:rsidR="002C1123" w:rsidRDefault="00F22F94">
            <w:pPr>
              <w:pStyle w:val="TableParagraph"/>
              <w:rPr>
                <w:sz w:val="16"/>
              </w:rPr>
            </w:pPr>
            <w:r>
              <w:rPr>
                <w:w w:val="95"/>
                <w:sz w:val="16"/>
              </w:rPr>
              <w:t>2011</w:t>
            </w:r>
            <w:r>
              <w:rPr>
                <w:spacing w:val="-1"/>
                <w:w w:val="95"/>
                <w:sz w:val="16"/>
              </w:rPr>
              <w:t xml:space="preserve"> </w:t>
            </w:r>
            <w:r>
              <w:rPr>
                <w:w w:val="95"/>
                <w:sz w:val="16"/>
              </w:rPr>
              <w:t>–</w:t>
            </w:r>
            <w:r>
              <w:rPr>
                <w:spacing w:val="-2"/>
                <w:sz w:val="16"/>
              </w:rPr>
              <w:t xml:space="preserve"> </w:t>
            </w:r>
            <w:r>
              <w:rPr>
                <w:spacing w:val="-4"/>
                <w:w w:val="95"/>
                <w:sz w:val="16"/>
              </w:rPr>
              <w:t>2031</w:t>
            </w:r>
          </w:p>
        </w:tc>
        <w:tc>
          <w:tcPr>
            <w:tcW w:w="918" w:type="dxa"/>
            <w:shd w:val="clear" w:color="auto" w:fill="E1E0E1"/>
          </w:tcPr>
          <w:p w:rsidR="002C1123" w:rsidRDefault="00F22F94">
            <w:pPr>
              <w:pStyle w:val="TableParagraph"/>
              <w:spacing w:before="57"/>
              <w:rPr>
                <w:rFonts w:ascii="Tahoma"/>
                <w:sz w:val="16"/>
              </w:rPr>
            </w:pPr>
            <w:r>
              <w:rPr>
                <w:rFonts w:ascii="Tahoma"/>
                <w:spacing w:val="-4"/>
                <w:sz w:val="16"/>
              </w:rPr>
              <w:t>1.1%</w:t>
            </w:r>
          </w:p>
        </w:tc>
        <w:tc>
          <w:tcPr>
            <w:tcW w:w="918" w:type="dxa"/>
            <w:shd w:val="clear" w:color="auto" w:fill="E1E0E1"/>
          </w:tcPr>
          <w:p w:rsidR="002C1123" w:rsidRDefault="00F22F94">
            <w:pPr>
              <w:pStyle w:val="TableParagraph"/>
              <w:spacing w:before="57"/>
              <w:rPr>
                <w:rFonts w:ascii="Tahoma"/>
                <w:sz w:val="16"/>
              </w:rPr>
            </w:pPr>
            <w:r>
              <w:rPr>
                <w:rFonts w:ascii="Tahoma"/>
                <w:spacing w:val="-4"/>
                <w:sz w:val="16"/>
              </w:rPr>
              <w:t>1.6%</w:t>
            </w:r>
          </w:p>
        </w:tc>
        <w:tc>
          <w:tcPr>
            <w:tcW w:w="918" w:type="dxa"/>
            <w:shd w:val="clear" w:color="auto" w:fill="E1E0E1"/>
          </w:tcPr>
          <w:p w:rsidR="002C1123" w:rsidRDefault="00F22F94">
            <w:pPr>
              <w:pStyle w:val="TableParagraph"/>
              <w:spacing w:before="57"/>
              <w:rPr>
                <w:rFonts w:ascii="Tahoma"/>
                <w:sz w:val="16"/>
              </w:rPr>
            </w:pPr>
            <w:r>
              <w:rPr>
                <w:rFonts w:ascii="Tahoma"/>
                <w:spacing w:val="-4"/>
                <w:sz w:val="16"/>
              </w:rPr>
              <w:t>0.8%</w:t>
            </w:r>
          </w:p>
        </w:tc>
      </w:tr>
    </w:tbl>
    <w:p w:rsidR="002C1123" w:rsidRDefault="002C1123">
      <w:pPr>
        <w:rPr>
          <w:rFonts w:ascii="Tahoma"/>
          <w:sz w:val="16"/>
        </w:rPr>
        <w:sectPr w:rsidR="002C1123">
          <w:type w:val="continuous"/>
          <w:pgSz w:w="16840" w:h="11910" w:orient="landscape"/>
          <w:pgMar w:top="560" w:right="280" w:bottom="280" w:left="500" w:header="0" w:footer="517" w:gutter="0"/>
          <w:cols w:num="3" w:space="720" w:equalWidth="0">
            <w:col w:w="5270" w:space="40"/>
            <w:col w:w="4979" w:space="39"/>
            <w:col w:w="5732"/>
          </w:cols>
        </w:sect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spacing w:before="3"/>
        <w:rPr>
          <w:b/>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Heading6"/>
        <w:numPr>
          <w:ilvl w:val="2"/>
          <w:numId w:val="97"/>
        </w:numPr>
        <w:tabs>
          <w:tab w:val="left" w:pos="979"/>
        </w:tabs>
        <w:ind w:hanging="487"/>
        <w:jc w:val="left"/>
      </w:pPr>
      <w:bookmarkStart w:id="160" w:name="_bookmark114"/>
      <w:bookmarkEnd w:id="160"/>
      <w:r>
        <w:rPr>
          <w:color w:val="00AEEF"/>
          <w:spacing w:val="-2"/>
        </w:rPr>
        <w:t>Can’t</w:t>
      </w:r>
      <w:r>
        <w:rPr>
          <w:color w:val="00AEEF"/>
          <w:spacing w:val="-7"/>
        </w:rPr>
        <w:t xml:space="preserve"> </w:t>
      </w:r>
      <w:r>
        <w:rPr>
          <w:color w:val="00AEEF"/>
          <w:spacing w:val="-2"/>
        </w:rPr>
        <w:t>we</w:t>
      </w:r>
      <w:r>
        <w:rPr>
          <w:color w:val="00AEEF"/>
          <w:spacing w:val="-7"/>
        </w:rPr>
        <w:t xml:space="preserve"> </w:t>
      </w:r>
      <w:r>
        <w:rPr>
          <w:color w:val="00AEEF"/>
          <w:spacing w:val="-2"/>
        </w:rPr>
        <w:t>just</w:t>
      </w:r>
      <w:r>
        <w:rPr>
          <w:color w:val="00AEEF"/>
          <w:spacing w:val="-7"/>
        </w:rPr>
        <w:t xml:space="preserve"> </w:t>
      </w:r>
      <w:r>
        <w:rPr>
          <w:color w:val="00AEEF"/>
          <w:spacing w:val="-2"/>
        </w:rPr>
        <w:t>manage</w:t>
      </w:r>
      <w:r>
        <w:rPr>
          <w:color w:val="00AEEF"/>
          <w:spacing w:val="-6"/>
        </w:rPr>
        <w:t xml:space="preserve"> </w:t>
      </w:r>
      <w:r>
        <w:rPr>
          <w:color w:val="00AEEF"/>
          <w:spacing w:val="-2"/>
        </w:rPr>
        <w:t>our</w:t>
      </w:r>
      <w:r>
        <w:rPr>
          <w:color w:val="00AEEF"/>
          <w:spacing w:val="-7"/>
        </w:rPr>
        <w:t xml:space="preserve"> </w:t>
      </w:r>
      <w:r>
        <w:rPr>
          <w:color w:val="00AEEF"/>
          <w:spacing w:val="-2"/>
        </w:rPr>
        <w:t>roads</w:t>
      </w:r>
      <w:r>
        <w:rPr>
          <w:color w:val="00AEEF"/>
          <w:spacing w:val="-7"/>
        </w:rPr>
        <w:t xml:space="preserve"> </w:t>
      </w:r>
      <w:r>
        <w:rPr>
          <w:color w:val="00AEEF"/>
          <w:spacing w:val="-2"/>
        </w:rPr>
        <w:t>better?</w:t>
      </w:r>
    </w:p>
    <w:p w:rsidR="002C1123" w:rsidRDefault="00F22F94">
      <w:pPr>
        <w:pStyle w:val="BodyText"/>
        <w:spacing w:before="95" w:line="249" w:lineRule="auto"/>
        <w:ind w:left="492"/>
      </w:pPr>
      <w:r>
        <w:t>As</w:t>
      </w:r>
      <w:r>
        <w:rPr>
          <w:spacing w:val="-13"/>
        </w:rPr>
        <w:t xml:space="preserve"> </w:t>
      </w:r>
      <w:r>
        <w:t>noted</w:t>
      </w:r>
      <w:r>
        <w:rPr>
          <w:spacing w:val="-13"/>
        </w:rPr>
        <w:t xml:space="preserve"> </w:t>
      </w:r>
      <w:r>
        <w:t>in</w:t>
      </w:r>
      <w:r>
        <w:rPr>
          <w:spacing w:val="-13"/>
        </w:rPr>
        <w:t xml:space="preserve"> </w:t>
      </w:r>
      <w:r>
        <w:t>Section</w:t>
      </w:r>
      <w:r>
        <w:rPr>
          <w:spacing w:val="-13"/>
        </w:rPr>
        <w:t xml:space="preserve"> </w:t>
      </w:r>
      <w:r>
        <w:t>1,</w:t>
      </w:r>
      <w:r>
        <w:rPr>
          <w:spacing w:val="-13"/>
        </w:rPr>
        <w:t xml:space="preserve"> </w:t>
      </w:r>
      <w:r>
        <w:t>measures</w:t>
      </w:r>
      <w:r>
        <w:rPr>
          <w:spacing w:val="-13"/>
        </w:rPr>
        <w:t xml:space="preserve"> </w:t>
      </w:r>
      <w:r>
        <w:t>to</w:t>
      </w:r>
      <w:r>
        <w:rPr>
          <w:spacing w:val="-13"/>
        </w:rPr>
        <w:t xml:space="preserve"> </w:t>
      </w:r>
      <w:r>
        <w:t>improve</w:t>
      </w:r>
      <w:r>
        <w:rPr>
          <w:spacing w:val="-13"/>
        </w:rPr>
        <w:t xml:space="preserve"> </w:t>
      </w:r>
      <w:r>
        <w:t xml:space="preserve">asset </w:t>
      </w:r>
      <w:r>
        <w:rPr>
          <w:spacing w:val="-2"/>
        </w:rPr>
        <w:t>utilisation</w:t>
      </w:r>
      <w:r>
        <w:rPr>
          <w:spacing w:val="-8"/>
        </w:rPr>
        <w:t xml:space="preserve"> </w:t>
      </w:r>
      <w:r>
        <w:rPr>
          <w:spacing w:val="-2"/>
        </w:rPr>
        <w:t>are</w:t>
      </w:r>
      <w:r>
        <w:rPr>
          <w:spacing w:val="-8"/>
        </w:rPr>
        <w:t xml:space="preserve"> </w:t>
      </w:r>
      <w:r>
        <w:rPr>
          <w:spacing w:val="-2"/>
        </w:rPr>
        <w:t>favoured</w:t>
      </w:r>
      <w:r>
        <w:rPr>
          <w:spacing w:val="-8"/>
        </w:rPr>
        <w:t xml:space="preserve"> </w:t>
      </w:r>
      <w:r>
        <w:rPr>
          <w:spacing w:val="-2"/>
        </w:rPr>
        <w:t>by</w:t>
      </w:r>
      <w:r>
        <w:rPr>
          <w:spacing w:val="-8"/>
        </w:rPr>
        <w:t xml:space="preserve"> </w:t>
      </w:r>
      <w:r>
        <w:rPr>
          <w:spacing w:val="-2"/>
        </w:rPr>
        <w:t>Infrastructure</w:t>
      </w:r>
      <w:r>
        <w:rPr>
          <w:spacing w:val="-8"/>
        </w:rPr>
        <w:t xml:space="preserve"> </w:t>
      </w:r>
      <w:r>
        <w:rPr>
          <w:spacing w:val="-2"/>
        </w:rPr>
        <w:t>NSW</w:t>
      </w:r>
      <w:r>
        <w:rPr>
          <w:spacing w:val="-8"/>
        </w:rPr>
        <w:t xml:space="preserve"> </w:t>
      </w:r>
      <w:r>
        <w:rPr>
          <w:spacing w:val="-2"/>
        </w:rPr>
        <w:t>as</w:t>
      </w:r>
      <w:r>
        <w:rPr>
          <w:spacing w:val="-8"/>
        </w:rPr>
        <w:t xml:space="preserve"> </w:t>
      </w:r>
      <w:r>
        <w:rPr>
          <w:spacing w:val="-2"/>
        </w:rPr>
        <w:t xml:space="preserve">they </w:t>
      </w:r>
      <w:r>
        <w:rPr>
          <w:w w:val="95"/>
        </w:rPr>
        <w:t>often</w:t>
      </w:r>
      <w:r>
        <w:rPr>
          <w:spacing w:val="-4"/>
          <w:w w:val="95"/>
        </w:rPr>
        <w:t xml:space="preserve"> </w:t>
      </w:r>
      <w:r>
        <w:rPr>
          <w:w w:val="95"/>
        </w:rPr>
        <w:t>provide</w:t>
      </w:r>
      <w:r>
        <w:rPr>
          <w:spacing w:val="-4"/>
          <w:w w:val="95"/>
        </w:rPr>
        <w:t xml:space="preserve"> </w:t>
      </w:r>
      <w:r>
        <w:rPr>
          <w:w w:val="95"/>
        </w:rPr>
        <w:t>a</w:t>
      </w:r>
      <w:r>
        <w:rPr>
          <w:spacing w:val="-4"/>
          <w:w w:val="95"/>
        </w:rPr>
        <w:t xml:space="preserve"> </w:t>
      </w:r>
      <w:r>
        <w:rPr>
          <w:w w:val="95"/>
        </w:rPr>
        <w:t>cheaper</w:t>
      </w:r>
      <w:r>
        <w:rPr>
          <w:spacing w:val="-4"/>
          <w:w w:val="95"/>
        </w:rPr>
        <w:t xml:space="preserve"> </w:t>
      </w:r>
      <w:r>
        <w:rPr>
          <w:w w:val="95"/>
        </w:rPr>
        <w:t>and</w:t>
      </w:r>
      <w:r>
        <w:rPr>
          <w:spacing w:val="-4"/>
          <w:w w:val="95"/>
        </w:rPr>
        <w:t xml:space="preserve"> </w:t>
      </w:r>
      <w:r>
        <w:rPr>
          <w:w w:val="95"/>
        </w:rPr>
        <w:t>faster</w:t>
      </w:r>
      <w:r>
        <w:rPr>
          <w:spacing w:val="-4"/>
          <w:w w:val="95"/>
        </w:rPr>
        <w:t xml:space="preserve"> </w:t>
      </w:r>
      <w:r>
        <w:rPr>
          <w:w w:val="95"/>
        </w:rPr>
        <w:t>means</w:t>
      </w:r>
      <w:r>
        <w:rPr>
          <w:spacing w:val="-4"/>
          <w:w w:val="95"/>
        </w:rPr>
        <w:t xml:space="preserve"> </w:t>
      </w:r>
      <w:r>
        <w:rPr>
          <w:w w:val="95"/>
        </w:rPr>
        <w:t>of</w:t>
      </w:r>
      <w:r>
        <w:rPr>
          <w:spacing w:val="-4"/>
          <w:w w:val="95"/>
        </w:rPr>
        <w:t xml:space="preserve"> </w:t>
      </w:r>
      <w:r>
        <w:rPr>
          <w:w w:val="95"/>
        </w:rPr>
        <w:t>addressing congestion than investment in major new infrastructure.</w:t>
      </w:r>
    </w:p>
    <w:p w:rsidR="002C1123" w:rsidRDefault="00F22F94">
      <w:pPr>
        <w:pStyle w:val="BodyText"/>
        <w:spacing w:before="145" w:line="249" w:lineRule="auto"/>
        <w:ind w:left="492"/>
      </w:pPr>
      <w:r>
        <w:rPr>
          <w:w w:val="95"/>
        </w:rPr>
        <w:t>In</w:t>
      </w:r>
      <w:r>
        <w:rPr>
          <w:spacing w:val="-7"/>
          <w:w w:val="95"/>
        </w:rPr>
        <w:t xml:space="preserve"> </w:t>
      </w:r>
      <w:r>
        <w:rPr>
          <w:w w:val="95"/>
        </w:rPr>
        <w:t>the</w:t>
      </w:r>
      <w:r>
        <w:rPr>
          <w:spacing w:val="-7"/>
          <w:w w:val="95"/>
        </w:rPr>
        <w:t xml:space="preserve"> </w:t>
      </w:r>
      <w:r>
        <w:rPr>
          <w:w w:val="95"/>
        </w:rPr>
        <w:t>case</w:t>
      </w:r>
      <w:r>
        <w:rPr>
          <w:spacing w:val="-7"/>
          <w:w w:val="95"/>
        </w:rPr>
        <w:t xml:space="preserve"> </w:t>
      </w:r>
      <w:r>
        <w:rPr>
          <w:w w:val="95"/>
        </w:rPr>
        <w:t>of</w:t>
      </w:r>
      <w:r>
        <w:rPr>
          <w:spacing w:val="-7"/>
          <w:w w:val="95"/>
        </w:rPr>
        <w:t xml:space="preserve"> </w:t>
      </w:r>
      <w:r>
        <w:rPr>
          <w:w w:val="95"/>
        </w:rPr>
        <w:t>roads,</w:t>
      </w:r>
      <w:r>
        <w:rPr>
          <w:spacing w:val="-7"/>
          <w:w w:val="95"/>
        </w:rPr>
        <w:t xml:space="preserve"> </w:t>
      </w:r>
      <w:r>
        <w:rPr>
          <w:w w:val="95"/>
        </w:rPr>
        <w:t>Infrastructure</w:t>
      </w:r>
      <w:r>
        <w:rPr>
          <w:spacing w:val="-7"/>
          <w:w w:val="95"/>
        </w:rPr>
        <w:t xml:space="preserve"> </w:t>
      </w:r>
      <w:r>
        <w:rPr>
          <w:w w:val="95"/>
        </w:rPr>
        <w:t>NSW</w:t>
      </w:r>
      <w:r>
        <w:rPr>
          <w:spacing w:val="-7"/>
          <w:w w:val="95"/>
        </w:rPr>
        <w:t xml:space="preserve"> </w:t>
      </w:r>
      <w:r>
        <w:rPr>
          <w:w w:val="95"/>
        </w:rPr>
        <w:t>has</w:t>
      </w:r>
      <w:r>
        <w:rPr>
          <w:spacing w:val="-7"/>
          <w:w w:val="95"/>
        </w:rPr>
        <w:t xml:space="preserve"> </w:t>
      </w:r>
      <w:r>
        <w:rPr>
          <w:w w:val="95"/>
        </w:rPr>
        <w:t xml:space="preserve">considered </w:t>
      </w:r>
      <w:r>
        <w:t>two main ‘better use’ options:</w:t>
      </w:r>
    </w:p>
    <w:p w:rsidR="002C1123" w:rsidRDefault="00F22F94">
      <w:pPr>
        <w:pStyle w:val="ListParagraph"/>
        <w:numPr>
          <w:ilvl w:val="3"/>
          <w:numId w:val="97"/>
        </w:numPr>
        <w:tabs>
          <w:tab w:val="left" w:pos="776"/>
        </w:tabs>
        <w:spacing w:before="131"/>
        <w:rPr>
          <w:sz w:val="20"/>
        </w:rPr>
      </w:pPr>
      <w:r>
        <w:rPr>
          <w:w w:val="95"/>
          <w:sz w:val="20"/>
        </w:rPr>
        <w:t>managing</w:t>
      </w:r>
      <w:r>
        <w:rPr>
          <w:spacing w:val="-3"/>
          <w:w w:val="95"/>
          <w:sz w:val="20"/>
        </w:rPr>
        <w:t xml:space="preserve"> </w:t>
      </w:r>
      <w:r>
        <w:rPr>
          <w:w w:val="95"/>
          <w:sz w:val="20"/>
        </w:rPr>
        <w:t>existing</w:t>
      </w:r>
      <w:r>
        <w:rPr>
          <w:spacing w:val="-3"/>
          <w:w w:val="95"/>
          <w:sz w:val="20"/>
        </w:rPr>
        <w:t xml:space="preserve"> </w:t>
      </w:r>
      <w:r>
        <w:rPr>
          <w:w w:val="95"/>
          <w:sz w:val="20"/>
        </w:rPr>
        <w:t>motorways</w:t>
      </w:r>
      <w:r>
        <w:rPr>
          <w:spacing w:val="-3"/>
          <w:w w:val="95"/>
          <w:sz w:val="20"/>
        </w:rPr>
        <w:t xml:space="preserve"> </w:t>
      </w:r>
      <w:r>
        <w:rPr>
          <w:w w:val="95"/>
          <w:sz w:val="20"/>
        </w:rPr>
        <w:t>more</w:t>
      </w:r>
      <w:r>
        <w:rPr>
          <w:spacing w:val="-3"/>
          <w:w w:val="95"/>
          <w:sz w:val="20"/>
        </w:rPr>
        <w:t xml:space="preserve"> </w:t>
      </w:r>
      <w:r>
        <w:rPr>
          <w:spacing w:val="-2"/>
          <w:w w:val="95"/>
          <w:sz w:val="20"/>
        </w:rPr>
        <w:t>efficiently</w:t>
      </w:r>
    </w:p>
    <w:p w:rsidR="002C1123" w:rsidRDefault="00F22F94">
      <w:pPr>
        <w:pStyle w:val="ListParagraph"/>
        <w:numPr>
          <w:ilvl w:val="3"/>
          <w:numId w:val="97"/>
        </w:numPr>
        <w:tabs>
          <w:tab w:val="left" w:pos="776"/>
        </w:tabs>
        <w:spacing w:before="139"/>
        <w:rPr>
          <w:sz w:val="20"/>
        </w:rPr>
      </w:pPr>
      <w:r>
        <w:rPr>
          <w:w w:val="95"/>
          <w:sz w:val="20"/>
        </w:rPr>
        <w:t>road</w:t>
      </w:r>
      <w:r>
        <w:rPr>
          <w:spacing w:val="-3"/>
          <w:w w:val="95"/>
          <w:sz w:val="20"/>
        </w:rPr>
        <w:t xml:space="preserve"> </w:t>
      </w:r>
      <w:r>
        <w:rPr>
          <w:spacing w:val="-2"/>
          <w:sz w:val="20"/>
        </w:rPr>
        <w:t>pricing</w:t>
      </w:r>
    </w:p>
    <w:p w:rsidR="002C1123" w:rsidRDefault="00F22F94">
      <w:pPr>
        <w:pStyle w:val="BodyText"/>
        <w:spacing w:before="152" w:line="249" w:lineRule="auto"/>
        <w:ind w:left="492" w:right="28"/>
      </w:pPr>
      <w:r>
        <w:rPr>
          <w:w w:val="95"/>
        </w:rPr>
        <w:t xml:space="preserve">These are valuable options that should be progressed </w:t>
      </w:r>
      <w:r>
        <w:rPr>
          <w:spacing w:val="-2"/>
        </w:rPr>
        <w:t>as</w:t>
      </w:r>
      <w:r>
        <w:rPr>
          <w:spacing w:val="-10"/>
        </w:rPr>
        <w:t xml:space="preserve"> </w:t>
      </w:r>
      <w:r>
        <w:rPr>
          <w:spacing w:val="-2"/>
        </w:rPr>
        <w:t>discussed</w:t>
      </w:r>
      <w:r>
        <w:rPr>
          <w:spacing w:val="-10"/>
        </w:rPr>
        <w:t xml:space="preserve"> </w:t>
      </w:r>
      <w:r>
        <w:rPr>
          <w:spacing w:val="-2"/>
        </w:rPr>
        <w:t>in</w:t>
      </w:r>
      <w:r>
        <w:rPr>
          <w:spacing w:val="-10"/>
        </w:rPr>
        <w:t xml:space="preserve"> </w:t>
      </w:r>
      <w:r>
        <w:rPr>
          <w:spacing w:val="-2"/>
        </w:rPr>
        <w:t>Section</w:t>
      </w:r>
      <w:r>
        <w:rPr>
          <w:spacing w:val="-10"/>
        </w:rPr>
        <w:t xml:space="preserve"> </w:t>
      </w:r>
      <w:r>
        <w:rPr>
          <w:spacing w:val="-2"/>
        </w:rPr>
        <w:t>6.7.</w:t>
      </w:r>
      <w:r>
        <w:rPr>
          <w:spacing w:val="-10"/>
        </w:rPr>
        <w:t xml:space="preserve"> </w:t>
      </w:r>
      <w:r>
        <w:rPr>
          <w:spacing w:val="-2"/>
        </w:rPr>
        <w:t>However,</w:t>
      </w:r>
      <w:r>
        <w:rPr>
          <w:spacing w:val="-10"/>
        </w:rPr>
        <w:t xml:space="preserve"> </w:t>
      </w:r>
      <w:r>
        <w:rPr>
          <w:spacing w:val="-2"/>
        </w:rPr>
        <w:t>because</w:t>
      </w:r>
      <w:r>
        <w:rPr>
          <w:spacing w:val="-10"/>
        </w:rPr>
        <w:t xml:space="preserve"> </w:t>
      </w:r>
      <w:r>
        <w:rPr>
          <w:spacing w:val="-2"/>
        </w:rPr>
        <w:t>of</w:t>
      </w:r>
      <w:r>
        <w:rPr>
          <w:spacing w:val="-10"/>
        </w:rPr>
        <w:t xml:space="preserve"> </w:t>
      </w:r>
      <w:r>
        <w:rPr>
          <w:spacing w:val="-2"/>
        </w:rPr>
        <w:t xml:space="preserve">the </w:t>
      </w:r>
      <w:r>
        <w:t>underlying</w:t>
      </w:r>
      <w:r>
        <w:rPr>
          <w:spacing w:val="-11"/>
        </w:rPr>
        <w:t xml:space="preserve"> </w:t>
      </w:r>
      <w:r>
        <w:t>demand</w:t>
      </w:r>
      <w:r>
        <w:rPr>
          <w:spacing w:val="-11"/>
        </w:rPr>
        <w:t xml:space="preserve"> </w:t>
      </w:r>
      <w:r>
        <w:t>growth</w:t>
      </w:r>
      <w:r>
        <w:rPr>
          <w:spacing w:val="-11"/>
        </w:rPr>
        <w:t xml:space="preserve"> </w:t>
      </w:r>
      <w:r>
        <w:t>these</w:t>
      </w:r>
      <w:r>
        <w:rPr>
          <w:spacing w:val="-11"/>
        </w:rPr>
        <w:t xml:space="preserve"> </w:t>
      </w:r>
      <w:r>
        <w:t>options</w:t>
      </w:r>
      <w:r>
        <w:rPr>
          <w:spacing w:val="-11"/>
        </w:rPr>
        <w:t xml:space="preserve"> </w:t>
      </w:r>
      <w:r>
        <w:t>will</w:t>
      </w:r>
      <w:r>
        <w:rPr>
          <w:spacing w:val="-11"/>
        </w:rPr>
        <w:t xml:space="preserve"> </w:t>
      </w:r>
      <w:r>
        <w:t>provide only</w:t>
      </w:r>
      <w:r>
        <w:rPr>
          <w:spacing w:val="-14"/>
        </w:rPr>
        <w:t xml:space="preserve"> </w:t>
      </w:r>
      <w:r>
        <w:t>part</w:t>
      </w:r>
      <w:r>
        <w:rPr>
          <w:spacing w:val="-14"/>
        </w:rPr>
        <w:t xml:space="preserve"> </w:t>
      </w:r>
      <w:r>
        <w:t>of</w:t>
      </w:r>
      <w:r>
        <w:rPr>
          <w:spacing w:val="-14"/>
        </w:rPr>
        <w:t xml:space="preserve"> </w:t>
      </w:r>
      <w:r>
        <w:t>the</w:t>
      </w:r>
      <w:r>
        <w:rPr>
          <w:spacing w:val="-14"/>
        </w:rPr>
        <w:t xml:space="preserve"> </w:t>
      </w:r>
      <w:r>
        <w:t>solution</w:t>
      </w:r>
      <w:r>
        <w:rPr>
          <w:spacing w:val="-14"/>
        </w:rPr>
        <w:t xml:space="preserve"> </w:t>
      </w:r>
      <w:r>
        <w:t>to</w:t>
      </w:r>
      <w:r>
        <w:rPr>
          <w:spacing w:val="-14"/>
        </w:rPr>
        <w:t xml:space="preserve"> </w:t>
      </w:r>
      <w:r>
        <w:t>the</w:t>
      </w:r>
      <w:r>
        <w:rPr>
          <w:spacing w:val="-14"/>
        </w:rPr>
        <w:t xml:space="preserve"> </w:t>
      </w:r>
      <w:r>
        <w:t>capacity</w:t>
      </w:r>
      <w:r>
        <w:rPr>
          <w:spacing w:val="-14"/>
        </w:rPr>
        <w:t xml:space="preserve"> </w:t>
      </w:r>
      <w:r>
        <w:t>constraints</w:t>
      </w:r>
      <w:r>
        <w:rPr>
          <w:spacing w:val="-14"/>
        </w:rPr>
        <w:t xml:space="preserve"> </w:t>
      </w:r>
      <w:r>
        <w:t xml:space="preserve">on </w:t>
      </w:r>
      <w:r>
        <w:rPr>
          <w:w w:val="95"/>
        </w:rPr>
        <w:t>the</w:t>
      </w:r>
      <w:r>
        <w:rPr>
          <w:spacing w:val="-4"/>
          <w:w w:val="95"/>
        </w:rPr>
        <w:t xml:space="preserve"> </w:t>
      </w:r>
      <w:r>
        <w:rPr>
          <w:w w:val="95"/>
        </w:rPr>
        <w:t>SSRN</w:t>
      </w:r>
      <w:r>
        <w:rPr>
          <w:spacing w:val="-4"/>
          <w:w w:val="95"/>
        </w:rPr>
        <w:t xml:space="preserve"> </w:t>
      </w:r>
      <w:r>
        <w:rPr>
          <w:w w:val="95"/>
        </w:rPr>
        <w:t>which</w:t>
      </w:r>
      <w:r>
        <w:rPr>
          <w:spacing w:val="-4"/>
          <w:w w:val="95"/>
        </w:rPr>
        <w:t xml:space="preserve"> </w:t>
      </w:r>
      <w:r>
        <w:rPr>
          <w:w w:val="95"/>
        </w:rPr>
        <w:t>ultimately</w:t>
      </w:r>
      <w:r>
        <w:rPr>
          <w:spacing w:val="-4"/>
          <w:w w:val="95"/>
        </w:rPr>
        <w:t xml:space="preserve"> </w:t>
      </w:r>
      <w:r>
        <w:rPr>
          <w:w w:val="95"/>
        </w:rPr>
        <w:t>needs</w:t>
      </w:r>
      <w:r>
        <w:rPr>
          <w:spacing w:val="-4"/>
          <w:w w:val="95"/>
        </w:rPr>
        <w:t xml:space="preserve"> </w:t>
      </w:r>
      <w:r>
        <w:rPr>
          <w:w w:val="95"/>
        </w:rPr>
        <w:t>further</w:t>
      </w:r>
      <w:r>
        <w:rPr>
          <w:spacing w:val="-4"/>
          <w:w w:val="95"/>
        </w:rPr>
        <w:t xml:space="preserve"> </w:t>
      </w:r>
      <w:r>
        <w:rPr>
          <w:w w:val="95"/>
        </w:rPr>
        <w:t>development.</w:t>
      </w:r>
    </w:p>
    <w:p w:rsidR="002C1123" w:rsidRDefault="00F22F94">
      <w:pPr>
        <w:pStyle w:val="Heading6"/>
        <w:numPr>
          <w:ilvl w:val="2"/>
          <w:numId w:val="97"/>
        </w:numPr>
        <w:tabs>
          <w:tab w:val="left" w:pos="979"/>
        </w:tabs>
        <w:spacing w:before="146"/>
        <w:ind w:hanging="487"/>
        <w:jc w:val="left"/>
      </w:pPr>
      <w:r>
        <w:rPr>
          <w:color w:val="00AEEF"/>
          <w:w w:val="95"/>
        </w:rPr>
        <w:t>Are</w:t>
      </w:r>
      <w:r>
        <w:rPr>
          <w:color w:val="00AEEF"/>
          <w:spacing w:val="3"/>
        </w:rPr>
        <w:t xml:space="preserve"> </w:t>
      </w:r>
      <w:r>
        <w:rPr>
          <w:color w:val="00AEEF"/>
          <w:w w:val="95"/>
        </w:rPr>
        <w:t>new</w:t>
      </w:r>
      <w:r>
        <w:rPr>
          <w:color w:val="00AEEF"/>
          <w:spacing w:val="3"/>
        </w:rPr>
        <w:t xml:space="preserve"> </w:t>
      </w:r>
      <w:r>
        <w:rPr>
          <w:color w:val="00AEEF"/>
          <w:w w:val="95"/>
        </w:rPr>
        <w:t>roads</w:t>
      </w:r>
      <w:r>
        <w:rPr>
          <w:color w:val="00AEEF"/>
          <w:spacing w:val="3"/>
        </w:rPr>
        <w:t xml:space="preserve"> </w:t>
      </w:r>
      <w:r>
        <w:rPr>
          <w:color w:val="00AEEF"/>
          <w:w w:val="95"/>
        </w:rPr>
        <w:t>environmentally</w:t>
      </w:r>
      <w:r>
        <w:rPr>
          <w:color w:val="00AEEF"/>
          <w:spacing w:val="4"/>
        </w:rPr>
        <w:t xml:space="preserve"> </w:t>
      </w:r>
      <w:r>
        <w:rPr>
          <w:color w:val="00AEEF"/>
          <w:spacing w:val="-2"/>
          <w:w w:val="95"/>
        </w:rPr>
        <w:t>sustainable?</w:t>
      </w:r>
    </w:p>
    <w:p w:rsidR="002C1123" w:rsidRDefault="00F22F94">
      <w:pPr>
        <w:pStyle w:val="BodyText"/>
        <w:spacing w:before="95" w:line="249" w:lineRule="auto"/>
        <w:ind w:left="492" w:right="204"/>
      </w:pPr>
      <w:r>
        <w:rPr>
          <w:w w:val="95"/>
        </w:rPr>
        <w:t xml:space="preserve">The use of fossil fuels to power cars raises concerns </w:t>
      </w:r>
      <w:r>
        <w:t>about</w:t>
      </w:r>
      <w:r>
        <w:rPr>
          <w:spacing w:val="-12"/>
        </w:rPr>
        <w:t xml:space="preserve"> </w:t>
      </w:r>
      <w:r>
        <w:t>environmental</w:t>
      </w:r>
      <w:r>
        <w:rPr>
          <w:spacing w:val="-12"/>
        </w:rPr>
        <w:t xml:space="preserve"> </w:t>
      </w:r>
      <w:r>
        <w:t>pollution</w:t>
      </w:r>
      <w:r>
        <w:rPr>
          <w:spacing w:val="-12"/>
        </w:rPr>
        <w:t xml:space="preserve"> </w:t>
      </w:r>
      <w:r>
        <w:t>and</w:t>
      </w:r>
      <w:r>
        <w:rPr>
          <w:spacing w:val="-12"/>
        </w:rPr>
        <w:t xml:space="preserve"> </w:t>
      </w:r>
      <w:r>
        <w:t>energy</w:t>
      </w:r>
      <w:r>
        <w:rPr>
          <w:spacing w:val="-12"/>
        </w:rPr>
        <w:t xml:space="preserve"> </w:t>
      </w:r>
      <w:r>
        <w:t xml:space="preserve">security. </w:t>
      </w:r>
      <w:r>
        <w:rPr>
          <w:w w:val="95"/>
        </w:rPr>
        <w:t>However the embedded land use and travel patterns in</w:t>
      </w:r>
      <w:r>
        <w:rPr>
          <w:spacing w:val="-9"/>
          <w:w w:val="95"/>
        </w:rPr>
        <w:t xml:space="preserve"> </w:t>
      </w:r>
      <w:r>
        <w:rPr>
          <w:w w:val="95"/>
        </w:rPr>
        <w:t>Sydney</w:t>
      </w:r>
      <w:r>
        <w:rPr>
          <w:spacing w:val="-9"/>
          <w:w w:val="95"/>
        </w:rPr>
        <w:t xml:space="preserve"> </w:t>
      </w:r>
      <w:r>
        <w:rPr>
          <w:w w:val="95"/>
        </w:rPr>
        <w:t>require</w:t>
      </w:r>
      <w:r>
        <w:rPr>
          <w:spacing w:val="-9"/>
          <w:w w:val="95"/>
        </w:rPr>
        <w:t xml:space="preserve"> </w:t>
      </w:r>
      <w:r>
        <w:rPr>
          <w:w w:val="95"/>
        </w:rPr>
        <w:t>affordable</w:t>
      </w:r>
      <w:r>
        <w:rPr>
          <w:spacing w:val="-9"/>
          <w:w w:val="95"/>
        </w:rPr>
        <w:t xml:space="preserve"> </w:t>
      </w:r>
      <w:r>
        <w:rPr>
          <w:w w:val="95"/>
        </w:rPr>
        <w:t>personal</w:t>
      </w:r>
      <w:r>
        <w:rPr>
          <w:spacing w:val="-9"/>
          <w:w w:val="95"/>
        </w:rPr>
        <w:t xml:space="preserve"> </w:t>
      </w:r>
      <w:r>
        <w:rPr>
          <w:w w:val="95"/>
        </w:rPr>
        <w:t>transport.</w:t>
      </w:r>
      <w:r>
        <w:rPr>
          <w:spacing w:val="-9"/>
          <w:w w:val="95"/>
        </w:rPr>
        <w:t xml:space="preserve"> </w:t>
      </w:r>
      <w:r>
        <w:rPr>
          <w:w w:val="95"/>
        </w:rPr>
        <w:t>Even</w:t>
      </w:r>
    </w:p>
    <w:p w:rsidR="002C1123" w:rsidRDefault="00F22F94">
      <w:pPr>
        <w:pStyle w:val="BodyText"/>
        <w:spacing w:before="3" w:line="249" w:lineRule="auto"/>
        <w:ind w:left="492"/>
      </w:pPr>
      <w:r>
        <w:rPr>
          <w:w w:val="95"/>
        </w:rPr>
        <w:t>under</w:t>
      </w:r>
      <w:r>
        <w:rPr>
          <w:spacing w:val="-2"/>
          <w:w w:val="95"/>
        </w:rPr>
        <w:t xml:space="preserve"> </w:t>
      </w:r>
      <w:r>
        <w:rPr>
          <w:w w:val="95"/>
        </w:rPr>
        <w:t>the</w:t>
      </w:r>
      <w:r>
        <w:rPr>
          <w:spacing w:val="-2"/>
          <w:w w:val="95"/>
        </w:rPr>
        <w:t xml:space="preserve"> </w:t>
      </w:r>
      <w:r>
        <w:rPr>
          <w:w w:val="95"/>
        </w:rPr>
        <w:t>most</w:t>
      </w:r>
      <w:r>
        <w:rPr>
          <w:spacing w:val="-2"/>
          <w:w w:val="95"/>
        </w:rPr>
        <w:t xml:space="preserve"> </w:t>
      </w:r>
      <w:r>
        <w:rPr>
          <w:w w:val="95"/>
        </w:rPr>
        <w:t>ambitious</w:t>
      </w:r>
      <w:r>
        <w:rPr>
          <w:spacing w:val="-2"/>
          <w:w w:val="95"/>
        </w:rPr>
        <w:t xml:space="preserve"> </w:t>
      </w:r>
      <w:r>
        <w:rPr>
          <w:w w:val="95"/>
        </w:rPr>
        <w:t>scenarios</w:t>
      </w:r>
      <w:r>
        <w:rPr>
          <w:spacing w:val="-2"/>
          <w:w w:val="95"/>
        </w:rPr>
        <w:t xml:space="preserve"> </w:t>
      </w:r>
      <w:r>
        <w:rPr>
          <w:w w:val="95"/>
        </w:rPr>
        <w:t>for</w:t>
      </w:r>
      <w:r>
        <w:rPr>
          <w:spacing w:val="-2"/>
          <w:w w:val="95"/>
        </w:rPr>
        <w:t xml:space="preserve"> </w:t>
      </w:r>
      <w:r>
        <w:rPr>
          <w:w w:val="95"/>
        </w:rPr>
        <w:t>land</w:t>
      </w:r>
      <w:r>
        <w:rPr>
          <w:spacing w:val="-2"/>
          <w:w w:val="95"/>
        </w:rPr>
        <w:t xml:space="preserve"> </w:t>
      </w:r>
      <w:r>
        <w:rPr>
          <w:w w:val="95"/>
        </w:rPr>
        <w:t>use</w:t>
      </w:r>
      <w:r>
        <w:rPr>
          <w:spacing w:val="-2"/>
          <w:w w:val="95"/>
        </w:rPr>
        <w:t xml:space="preserve"> </w:t>
      </w:r>
      <w:r>
        <w:rPr>
          <w:w w:val="95"/>
        </w:rPr>
        <w:t xml:space="preserve">change </w:t>
      </w:r>
      <w:r>
        <w:t>and</w:t>
      </w:r>
      <w:r>
        <w:rPr>
          <w:spacing w:val="-10"/>
        </w:rPr>
        <w:t xml:space="preserve"> </w:t>
      </w:r>
      <w:r>
        <w:t>growth</w:t>
      </w:r>
      <w:r>
        <w:rPr>
          <w:spacing w:val="-10"/>
        </w:rPr>
        <w:t xml:space="preserve"> </w:t>
      </w:r>
      <w:r>
        <w:t>in</w:t>
      </w:r>
      <w:r>
        <w:rPr>
          <w:spacing w:val="-10"/>
        </w:rPr>
        <w:t xml:space="preserve"> </w:t>
      </w:r>
      <w:r>
        <w:t>public</w:t>
      </w:r>
      <w:r>
        <w:rPr>
          <w:spacing w:val="-10"/>
        </w:rPr>
        <w:t xml:space="preserve"> </w:t>
      </w:r>
      <w:r>
        <w:t>transport,</w:t>
      </w:r>
      <w:r>
        <w:rPr>
          <w:spacing w:val="-10"/>
        </w:rPr>
        <w:t xml:space="preserve"> </w:t>
      </w:r>
      <w:r>
        <w:t>the</w:t>
      </w:r>
      <w:r>
        <w:rPr>
          <w:spacing w:val="-10"/>
        </w:rPr>
        <w:t xml:space="preserve"> </w:t>
      </w:r>
      <w:r>
        <w:t>absolute</w:t>
      </w:r>
      <w:r>
        <w:rPr>
          <w:spacing w:val="-10"/>
        </w:rPr>
        <w:t xml:space="preserve"> </w:t>
      </w:r>
      <w:r>
        <w:t>number</w:t>
      </w:r>
      <w:r>
        <w:rPr>
          <w:spacing w:val="-10"/>
        </w:rPr>
        <w:t xml:space="preserve"> </w:t>
      </w:r>
      <w:r>
        <w:t>of car</w:t>
      </w:r>
      <w:r>
        <w:rPr>
          <w:spacing w:val="-7"/>
        </w:rPr>
        <w:t xml:space="preserve"> </w:t>
      </w:r>
      <w:r>
        <w:t>journeys</w:t>
      </w:r>
      <w:r>
        <w:rPr>
          <w:spacing w:val="-7"/>
        </w:rPr>
        <w:t xml:space="preserve"> </w:t>
      </w:r>
      <w:r>
        <w:t>will</w:t>
      </w:r>
      <w:r>
        <w:rPr>
          <w:spacing w:val="-7"/>
        </w:rPr>
        <w:t xml:space="preserve"> </w:t>
      </w:r>
      <w:r>
        <w:t>continue</w:t>
      </w:r>
      <w:r>
        <w:rPr>
          <w:spacing w:val="-7"/>
        </w:rPr>
        <w:t xml:space="preserve"> </w:t>
      </w:r>
      <w:r>
        <w:t>to</w:t>
      </w:r>
      <w:r>
        <w:rPr>
          <w:spacing w:val="-7"/>
        </w:rPr>
        <w:t xml:space="preserve"> </w:t>
      </w:r>
      <w:r>
        <w:t>increase.</w:t>
      </w:r>
    </w:p>
    <w:p w:rsidR="002C1123" w:rsidRDefault="00F22F94">
      <w:pPr>
        <w:pStyle w:val="BodyText"/>
        <w:spacing w:before="144" w:line="249" w:lineRule="auto"/>
        <w:ind w:left="492" w:right="204"/>
      </w:pPr>
      <w:r>
        <w:t>One</w:t>
      </w:r>
      <w:r>
        <w:rPr>
          <w:spacing w:val="-9"/>
        </w:rPr>
        <w:t xml:space="preserve"> </w:t>
      </w:r>
      <w:r>
        <w:t>of</w:t>
      </w:r>
      <w:r>
        <w:rPr>
          <w:spacing w:val="-9"/>
        </w:rPr>
        <w:t xml:space="preserve"> </w:t>
      </w:r>
      <w:r>
        <w:t>the</w:t>
      </w:r>
      <w:r>
        <w:rPr>
          <w:spacing w:val="-9"/>
        </w:rPr>
        <w:t xml:space="preserve"> </w:t>
      </w:r>
      <w:r>
        <w:t>most</w:t>
      </w:r>
      <w:r>
        <w:rPr>
          <w:spacing w:val="-9"/>
        </w:rPr>
        <w:t xml:space="preserve"> </w:t>
      </w:r>
      <w:r>
        <w:t>comprehensive</w:t>
      </w:r>
      <w:r>
        <w:rPr>
          <w:spacing w:val="-9"/>
        </w:rPr>
        <w:t xml:space="preserve"> </w:t>
      </w:r>
      <w:r>
        <w:t>studies</w:t>
      </w:r>
      <w:r>
        <w:rPr>
          <w:spacing w:val="-9"/>
        </w:rPr>
        <w:t xml:space="preserve"> </w:t>
      </w:r>
      <w:r>
        <w:t>into</w:t>
      </w:r>
      <w:r>
        <w:rPr>
          <w:spacing w:val="-9"/>
        </w:rPr>
        <w:t xml:space="preserve"> </w:t>
      </w:r>
      <w:r>
        <w:t xml:space="preserve">the </w:t>
      </w:r>
      <w:r>
        <w:rPr>
          <w:w w:val="95"/>
        </w:rPr>
        <w:t>issue of charging motorists for environmental costs</w:t>
      </w:r>
      <w:r>
        <w:rPr>
          <w:w w:val="95"/>
          <w:position w:val="7"/>
          <w:sz w:val="11"/>
        </w:rPr>
        <w:t>9</w:t>
      </w:r>
      <w:r>
        <w:rPr>
          <w:spacing w:val="40"/>
          <w:position w:val="7"/>
          <w:sz w:val="11"/>
        </w:rPr>
        <w:t xml:space="preserve"> </w:t>
      </w:r>
      <w:r>
        <w:rPr>
          <w:w w:val="95"/>
        </w:rPr>
        <w:t>suggested</w:t>
      </w:r>
      <w:r>
        <w:rPr>
          <w:spacing w:val="-9"/>
          <w:w w:val="95"/>
        </w:rPr>
        <w:t xml:space="preserve"> </w:t>
      </w:r>
      <w:r>
        <w:rPr>
          <w:w w:val="95"/>
        </w:rPr>
        <w:t>that</w:t>
      </w:r>
      <w:r>
        <w:rPr>
          <w:spacing w:val="-9"/>
          <w:w w:val="95"/>
        </w:rPr>
        <w:t xml:space="preserve"> </w:t>
      </w:r>
      <w:r>
        <w:rPr>
          <w:w w:val="95"/>
        </w:rPr>
        <w:t>there</w:t>
      </w:r>
      <w:r>
        <w:rPr>
          <w:spacing w:val="-9"/>
          <w:w w:val="95"/>
        </w:rPr>
        <w:t xml:space="preserve"> </w:t>
      </w:r>
      <w:r>
        <w:rPr>
          <w:w w:val="95"/>
        </w:rPr>
        <w:t>would</w:t>
      </w:r>
      <w:r>
        <w:rPr>
          <w:spacing w:val="-9"/>
          <w:w w:val="95"/>
        </w:rPr>
        <w:t xml:space="preserve"> </w:t>
      </w:r>
      <w:r>
        <w:rPr>
          <w:w w:val="95"/>
        </w:rPr>
        <w:t>still</w:t>
      </w:r>
      <w:r>
        <w:rPr>
          <w:spacing w:val="-9"/>
          <w:w w:val="95"/>
        </w:rPr>
        <w:t xml:space="preserve"> </w:t>
      </w:r>
      <w:r>
        <w:rPr>
          <w:w w:val="95"/>
        </w:rPr>
        <w:t>be</w:t>
      </w:r>
      <w:r>
        <w:rPr>
          <w:spacing w:val="-9"/>
          <w:w w:val="95"/>
        </w:rPr>
        <w:t xml:space="preserve"> </w:t>
      </w:r>
      <w:r>
        <w:rPr>
          <w:w w:val="95"/>
        </w:rPr>
        <w:t>very</w:t>
      </w:r>
      <w:r>
        <w:rPr>
          <w:spacing w:val="-9"/>
          <w:w w:val="95"/>
        </w:rPr>
        <w:t xml:space="preserve"> </w:t>
      </w:r>
      <w:r>
        <w:rPr>
          <w:w w:val="95"/>
        </w:rPr>
        <w:t>high</w:t>
      </w:r>
      <w:r>
        <w:rPr>
          <w:spacing w:val="-9"/>
          <w:w w:val="95"/>
        </w:rPr>
        <w:t xml:space="preserve"> </w:t>
      </w:r>
      <w:r>
        <w:rPr>
          <w:w w:val="95"/>
        </w:rPr>
        <w:t>levels</w:t>
      </w:r>
      <w:r>
        <w:rPr>
          <w:spacing w:val="-9"/>
          <w:w w:val="95"/>
        </w:rPr>
        <w:t xml:space="preserve"> </w:t>
      </w:r>
      <w:r>
        <w:rPr>
          <w:w w:val="95"/>
        </w:rPr>
        <w:t>of</w:t>
      </w:r>
    </w:p>
    <w:p w:rsidR="002C1123" w:rsidRDefault="00F22F94">
      <w:pPr>
        <w:pStyle w:val="BodyText"/>
        <w:spacing w:before="3" w:line="249" w:lineRule="auto"/>
        <w:ind w:left="492"/>
      </w:pPr>
      <w:r>
        <w:rPr>
          <w:w w:val="95"/>
        </w:rPr>
        <w:t>demand</w:t>
      </w:r>
      <w:r>
        <w:rPr>
          <w:spacing w:val="-7"/>
          <w:w w:val="95"/>
        </w:rPr>
        <w:t xml:space="preserve"> </w:t>
      </w:r>
      <w:r>
        <w:rPr>
          <w:w w:val="95"/>
        </w:rPr>
        <w:t>for</w:t>
      </w:r>
      <w:r>
        <w:rPr>
          <w:spacing w:val="-7"/>
          <w:w w:val="95"/>
        </w:rPr>
        <w:t xml:space="preserve"> </w:t>
      </w:r>
      <w:r>
        <w:rPr>
          <w:w w:val="95"/>
        </w:rPr>
        <w:t>road</w:t>
      </w:r>
      <w:r>
        <w:rPr>
          <w:spacing w:val="-7"/>
          <w:w w:val="95"/>
        </w:rPr>
        <w:t xml:space="preserve"> </w:t>
      </w:r>
      <w:r>
        <w:rPr>
          <w:w w:val="95"/>
        </w:rPr>
        <w:t>travel</w:t>
      </w:r>
      <w:r>
        <w:rPr>
          <w:spacing w:val="-7"/>
          <w:w w:val="95"/>
        </w:rPr>
        <w:t xml:space="preserve"> </w:t>
      </w:r>
      <w:r>
        <w:rPr>
          <w:w w:val="95"/>
        </w:rPr>
        <w:t>relative</w:t>
      </w:r>
      <w:r>
        <w:rPr>
          <w:spacing w:val="-7"/>
          <w:w w:val="95"/>
        </w:rPr>
        <w:t xml:space="preserve"> </w:t>
      </w:r>
      <w:r>
        <w:rPr>
          <w:w w:val="95"/>
        </w:rPr>
        <w:t>to</w:t>
      </w:r>
      <w:r>
        <w:rPr>
          <w:spacing w:val="-7"/>
          <w:w w:val="95"/>
        </w:rPr>
        <w:t xml:space="preserve"> </w:t>
      </w:r>
      <w:r>
        <w:rPr>
          <w:w w:val="95"/>
        </w:rPr>
        <w:t>other</w:t>
      </w:r>
      <w:r>
        <w:rPr>
          <w:spacing w:val="-7"/>
          <w:w w:val="95"/>
        </w:rPr>
        <w:t xml:space="preserve"> </w:t>
      </w:r>
      <w:r>
        <w:rPr>
          <w:w w:val="95"/>
        </w:rPr>
        <w:t>modes</w:t>
      </w:r>
      <w:r>
        <w:rPr>
          <w:spacing w:val="-7"/>
          <w:w w:val="95"/>
        </w:rPr>
        <w:t xml:space="preserve"> </w:t>
      </w:r>
      <w:r>
        <w:rPr>
          <w:w w:val="95"/>
        </w:rPr>
        <w:t>even</w:t>
      </w:r>
      <w:r>
        <w:rPr>
          <w:spacing w:val="-7"/>
          <w:w w:val="95"/>
        </w:rPr>
        <w:t xml:space="preserve"> </w:t>
      </w:r>
      <w:r>
        <w:rPr>
          <w:w w:val="95"/>
        </w:rPr>
        <w:t xml:space="preserve">with </w:t>
      </w:r>
      <w:r>
        <w:t>environmental</w:t>
      </w:r>
      <w:r>
        <w:rPr>
          <w:spacing w:val="-9"/>
        </w:rPr>
        <w:t xml:space="preserve"> </w:t>
      </w:r>
      <w:r>
        <w:t>and</w:t>
      </w:r>
      <w:r>
        <w:rPr>
          <w:spacing w:val="-9"/>
        </w:rPr>
        <w:t xml:space="preserve"> </w:t>
      </w:r>
      <w:r>
        <w:t>other</w:t>
      </w:r>
      <w:r>
        <w:rPr>
          <w:spacing w:val="-9"/>
        </w:rPr>
        <w:t xml:space="preserve"> </w:t>
      </w:r>
      <w:r>
        <w:t>costs</w:t>
      </w:r>
      <w:r>
        <w:rPr>
          <w:spacing w:val="-9"/>
        </w:rPr>
        <w:t xml:space="preserve"> </w:t>
      </w:r>
      <w:r>
        <w:t>factored</w:t>
      </w:r>
      <w:r>
        <w:rPr>
          <w:spacing w:val="-9"/>
        </w:rPr>
        <w:t xml:space="preserve"> </w:t>
      </w:r>
      <w:r>
        <w:t>into</w:t>
      </w:r>
      <w:r>
        <w:rPr>
          <w:spacing w:val="-9"/>
        </w:rPr>
        <w:t xml:space="preserve"> </w:t>
      </w:r>
      <w:r>
        <w:t>prices.</w:t>
      </w:r>
    </w:p>
    <w:p w:rsidR="002C1123" w:rsidRDefault="002C1123">
      <w:pPr>
        <w:pStyle w:val="BodyText"/>
      </w:pPr>
    </w:p>
    <w:p w:rsidR="002C1123" w:rsidRDefault="002060EF">
      <w:pPr>
        <w:pStyle w:val="BodyText"/>
        <w:spacing w:before="8"/>
        <w:rPr>
          <w:sz w:val="16"/>
        </w:rPr>
      </w:pPr>
      <w:r>
        <w:pict>
          <v:shape id="docshape1095" o:spid="_x0000_s4224" style="position:absolute;margin-left:49.6pt;margin-top:10.8pt;width:1in;height:.1pt;z-index:-251389952;mso-wrap-distance-left:0;mso-wrap-distance-right:0;mso-position-horizontal-relative:page" coordorigin="992,216" coordsize="1440,0" path="m992,216r1440,e" filled="f" strokecolor="#9c9c9d" strokeweight=".5pt">
            <v:path arrowok="t"/>
            <w10:wrap type="topAndBottom" anchorx="page"/>
          </v:shape>
        </w:pict>
      </w:r>
    </w:p>
    <w:p w:rsidR="002C1123" w:rsidRDefault="00F22F94">
      <w:pPr>
        <w:pStyle w:val="ListParagraph"/>
        <w:numPr>
          <w:ilvl w:val="1"/>
          <w:numId w:val="95"/>
        </w:numPr>
        <w:tabs>
          <w:tab w:val="left" w:pos="691"/>
        </w:tabs>
        <w:spacing w:before="23"/>
        <w:ind w:left="690" w:right="288"/>
        <w:jc w:val="left"/>
        <w:rPr>
          <w:sz w:val="14"/>
        </w:rPr>
      </w:pPr>
      <w:r>
        <w:rPr>
          <w:w w:val="95"/>
          <w:sz w:val="14"/>
        </w:rPr>
        <w:t>Sir Rod Eddington 2006, The Eddington Transport Study: The Case for</w:t>
      </w:r>
      <w:r>
        <w:rPr>
          <w:spacing w:val="40"/>
          <w:sz w:val="14"/>
        </w:rPr>
        <w:t xml:space="preserve"> </w:t>
      </w:r>
      <w:r>
        <w:rPr>
          <w:spacing w:val="-2"/>
          <w:sz w:val="14"/>
        </w:rPr>
        <w:t>Action.</w:t>
      </w:r>
    </w:p>
    <w:p w:rsidR="002C1123" w:rsidRDefault="00F22F94">
      <w:pPr>
        <w:pStyle w:val="BodyText"/>
        <w:spacing w:before="108" w:line="249" w:lineRule="auto"/>
        <w:ind w:left="240" w:right="5645"/>
      </w:pPr>
      <w:r>
        <w:br w:type="column"/>
      </w:r>
      <w:r>
        <w:t>The</w:t>
      </w:r>
      <w:r>
        <w:rPr>
          <w:spacing w:val="-14"/>
        </w:rPr>
        <w:t xml:space="preserve"> </w:t>
      </w:r>
      <w:r>
        <w:t>most</w:t>
      </w:r>
      <w:r>
        <w:rPr>
          <w:spacing w:val="-14"/>
        </w:rPr>
        <w:t xml:space="preserve"> </w:t>
      </w:r>
      <w:r>
        <w:t>realistic</w:t>
      </w:r>
      <w:r>
        <w:rPr>
          <w:spacing w:val="-14"/>
        </w:rPr>
        <w:t xml:space="preserve"> </w:t>
      </w:r>
      <w:r>
        <w:t>and</w:t>
      </w:r>
      <w:r>
        <w:rPr>
          <w:spacing w:val="-14"/>
        </w:rPr>
        <w:t xml:space="preserve"> </w:t>
      </w:r>
      <w:r>
        <w:t>effective</w:t>
      </w:r>
      <w:r>
        <w:rPr>
          <w:spacing w:val="-14"/>
        </w:rPr>
        <w:t xml:space="preserve"> </w:t>
      </w:r>
      <w:r>
        <w:t>means</w:t>
      </w:r>
      <w:r>
        <w:rPr>
          <w:spacing w:val="-14"/>
        </w:rPr>
        <w:t xml:space="preserve"> </w:t>
      </w:r>
      <w:r>
        <w:t>to</w:t>
      </w:r>
      <w:r>
        <w:rPr>
          <w:spacing w:val="-14"/>
        </w:rPr>
        <w:t xml:space="preserve"> </w:t>
      </w:r>
      <w:r>
        <w:t xml:space="preserve">substantially </w:t>
      </w:r>
      <w:r>
        <w:rPr>
          <w:w w:val="95"/>
        </w:rPr>
        <w:t>reduce environmental impacts will be through continued improvements</w:t>
      </w:r>
      <w:r>
        <w:rPr>
          <w:spacing w:val="-8"/>
          <w:w w:val="95"/>
        </w:rPr>
        <w:t xml:space="preserve"> </w:t>
      </w:r>
      <w:r>
        <w:rPr>
          <w:w w:val="95"/>
        </w:rPr>
        <w:t>in</w:t>
      </w:r>
      <w:r>
        <w:rPr>
          <w:spacing w:val="-8"/>
          <w:w w:val="95"/>
        </w:rPr>
        <w:t xml:space="preserve"> </w:t>
      </w:r>
      <w:r>
        <w:rPr>
          <w:w w:val="95"/>
        </w:rPr>
        <w:t>vehicle</w:t>
      </w:r>
      <w:r>
        <w:rPr>
          <w:spacing w:val="-8"/>
          <w:w w:val="95"/>
        </w:rPr>
        <w:t xml:space="preserve"> </w:t>
      </w:r>
      <w:r>
        <w:rPr>
          <w:w w:val="95"/>
        </w:rPr>
        <w:t>fuel-efficiency,</w:t>
      </w:r>
      <w:r>
        <w:rPr>
          <w:spacing w:val="-8"/>
          <w:w w:val="95"/>
        </w:rPr>
        <w:t xml:space="preserve"> </w:t>
      </w:r>
      <w:r>
        <w:rPr>
          <w:w w:val="95"/>
        </w:rPr>
        <w:t>and</w:t>
      </w:r>
      <w:r>
        <w:rPr>
          <w:spacing w:val="-8"/>
          <w:w w:val="95"/>
        </w:rPr>
        <w:t xml:space="preserve"> </w:t>
      </w:r>
      <w:r>
        <w:rPr>
          <w:w w:val="95"/>
        </w:rPr>
        <w:t>a</w:t>
      </w:r>
      <w:r>
        <w:rPr>
          <w:spacing w:val="-8"/>
          <w:w w:val="95"/>
        </w:rPr>
        <w:t xml:space="preserve"> </w:t>
      </w:r>
      <w:r>
        <w:rPr>
          <w:w w:val="95"/>
        </w:rPr>
        <w:t xml:space="preserve">market-led </w:t>
      </w:r>
      <w:r>
        <w:t>shift</w:t>
      </w:r>
      <w:r>
        <w:rPr>
          <w:spacing w:val="-14"/>
        </w:rPr>
        <w:t xml:space="preserve"> </w:t>
      </w:r>
      <w:r>
        <w:t>towards</w:t>
      </w:r>
      <w:r>
        <w:rPr>
          <w:spacing w:val="-14"/>
        </w:rPr>
        <w:t xml:space="preserve"> </w:t>
      </w:r>
      <w:r>
        <w:t>alternative</w:t>
      </w:r>
      <w:r>
        <w:rPr>
          <w:spacing w:val="-14"/>
        </w:rPr>
        <w:t xml:space="preserve"> </w:t>
      </w:r>
      <w:r>
        <w:t>fuel</w:t>
      </w:r>
      <w:r>
        <w:rPr>
          <w:spacing w:val="-14"/>
        </w:rPr>
        <w:t xml:space="preserve"> </w:t>
      </w:r>
      <w:r>
        <w:t>technologies,</w:t>
      </w:r>
      <w:r>
        <w:rPr>
          <w:spacing w:val="-14"/>
        </w:rPr>
        <w:t xml:space="preserve"> </w:t>
      </w:r>
      <w:r>
        <w:t>not</w:t>
      </w:r>
      <w:r>
        <w:rPr>
          <w:spacing w:val="-14"/>
        </w:rPr>
        <w:t xml:space="preserve"> </w:t>
      </w:r>
      <w:r>
        <w:t>through restrictions on travel movements.</w:t>
      </w:r>
    </w:p>
    <w:p w:rsidR="002C1123" w:rsidRDefault="00F22F94">
      <w:pPr>
        <w:pStyle w:val="BodyText"/>
        <w:spacing w:before="146" w:line="249" w:lineRule="auto"/>
        <w:ind w:left="240" w:right="5987"/>
        <w:jc w:val="both"/>
      </w:pPr>
      <w:r>
        <w:t>A</w:t>
      </w:r>
      <w:r>
        <w:rPr>
          <w:spacing w:val="-10"/>
        </w:rPr>
        <w:t xml:space="preserve"> </w:t>
      </w:r>
      <w:r>
        <w:t>second</w:t>
      </w:r>
      <w:r>
        <w:rPr>
          <w:spacing w:val="-10"/>
        </w:rPr>
        <w:t xml:space="preserve"> </w:t>
      </w:r>
      <w:r>
        <w:t>consideration</w:t>
      </w:r>
      <w:r>
        <w:rPr>
          <w:spacing w:val="-10"/>
        </w:rPr>
        <w:t xml:space="preserve"> </w:t>
      </w:r>
      <w:r>
        <w:t>is</w:t>
      </w:r>
      <w:r>
        <w:rPr>
          <w:spacing w:val="-10"/>
        </w:rPr>
        <w:t xml:space="preserve"> </w:t>
      </w:r>
      <w:r>
        <w:t>the</w:t>
      </w:r>
      <w:r>
        <w:rPr>
          <w:spacing w:val="-10"/>
        </w:rPr>
        <w:t xml:space="preserve"> </w:t>
      </w:r>
      <w:r>
        <w:t>environmental</w:t>
      </w:r>
      <w:r>
        <w:rPr>
          <w:spacing w:val="-10"/>
        </w:rPr>
        <w:t xml:space="preserve"> </w:t>
      </w:r>
      <w:r>
        <w:t xml:space="preserve">impact </w:t>
      </w:r>
      <w:r>
        <w:rPr>
          <w:w w:val="95"/>
        </w:rPr>
        <w:t>of</w:t>
      </w:r>
      <w:r>
        <w:rPr>
          <w:spacing w:val="-7"/>
          <w:w w:val="95"/>
        </w:rPr>
        <w:t xml:space="preserve"> </w:t>
      </w:r>
      <w:r>
        <w:rPr>
          <w:w w:val="95"/>
        </w:rPr>
        <w:t>continuing</w:t>
      </w:r>
      <w:r>
        <w:rPr>
          <w:spacing w:val="-7"/>
          <w:w w:val="95"/>
        </w:rPr>
        <w:t xml:space="preserve"> </w:t>
      </w:r>
      <w:r>
        <w:rPr>
          <w:w w:val="95"/>
        </w:rPr>
        <w:t>to</w:t>
      </w:r>
      <w:r>
        <w:rPr>
          <w:spacing w:val="-6"/>
          <w:w w:val="95"/>
        </w:rPr>
        <w:t xml:space="preserve"> </w:t>
      </w:r>
      <w:r>
        <w:rPr>
          <w:w w:val="95"/>
        </w:rPr>
        <w:t>use</w:t>
      </w:r>
      <w:r>
        <w:rPr>
          <w:spacing w:val="-7"/>
          <w:w w:val="95"/>
        </w:rPr>
        <w:t xml:space="preserve"> </w:t>
      </w:r>
      <w:r>
        <w:rPr>
          <w:w w:val="95"/>
        </w:rPr>
        <w:t>legacy</w:t>
      </w:r>
      <w:r>
        <w:rPr>
          <w:spacing w:val="-6"/>
          <w:w w:val="95"/>
        </w:rPr>
        <w:t xml:space="preserve"> </w:t>
      </w:r>
      <w:r>
        <w:rPr>
          <w:w w:val="95"/>
        </w:rPr>
        <w:t>arterial</w:t>
      </w:r>
      <w:r>
        <w:rPr>
          <w:spacing w:val="-7"/>
          <w:w w:val="95"/>
        </w:rPr>
        <w:t xml:space="preserve"> </w:t>
      </w:r>
      <w:r>
        <w:rPr>
          <w:w w:val="95"/>
        </w:rPr>
        <w:t>roads</w:t>
      </w:r>
      <w:r>
        <w:rPr>
          <w:spacing w:val="-7"/>
          <w:w w:val="95"/>
        </w:rPr>
        <w:t xml:space="preserve"> </w:t>
      </w:r>
      <w:r>
        <w:rPr>
          <w:w w:val="95"/>
        </w:rPr>
        <w:t>as</w:t>
      </w:r>
      <w:r>
        <w:rPr>
          <w:spacing w:val="-6"/>
          <w:w w:val="95"/>
        </w:rPr>
        <w:t xml:space="preserve"> </w:t>
      </w:r>
      <w:r>
        <w:rPr>
          <w:w w:val="95"/>
        </w:rPr>
        <w:t>part</w:t>
      </w:r>
      <w:r>
        <w:rPr>
          <w:spacing w:val="-7"/>
          <w:w w:val="95"/>
        </w:rPr>
        <w:t xml:space="preserve"> </w:t>
      </w:r>
      <w:r>
        <w:rPr>
          <w:w w:val="95"/>
        </w:rPr>
        <w:t>of</w:t>
      </w:r>
      <w:r>
        <w:rPr>
          <w:spacing w:val="-6"/>
          <w:w w:val="95"/>
        </w:rPr>
        <w:t xml:space="preserve"> </w:t>
      </w:r>
      <w:r>
        <w:rPr>
          <w:spacing w:val="-5"/>
          <w:w w:val="95"/>
        </w:rPr>
        <w:t>the</w:t>
      </w:r>
    </w:p>
    <w:p w:rsidR="002C1123" w:rsidRDefault="00F22F94">
      <w:pPr>
        <w:pStyle w:val="BodyText"/>
        <w:spacing w:before="1" w:line="249" w:lineRule="auto"/>
        <w:ind w:left="240" w:right="5815"/>
        <w:jc w:val="both"/>
      </w:pPr>
      <w:r>
        <w:rPr>
          <w:w w:val="95"/>
        </w:rPr>
        <w:t>SSRN.</w:t>
      </w:r>
      <w:r>
        <w:rPr>
          <w:spacing w:val="-1"/>
          <w:w w:val="95"/>
        </w:rPr>
        <w:t xml:space="preserve"> </w:t>
      </w:r>
      <w:r>
        <w:rPr>
          <w:w w:val="95"/>
        </w:rPr>
        <w:t>This</w:t>
      </w:r>
      <w:r>
        <w:rPr>
          <w:spacing w:val="-1"/>
          <w:w w:val="95"/>
        </w:rPr>
        <w:t xml:space="preserve"> </w:t>
      </w:r>
      <w:r>
        <w:rPr>
          <w:w w:val="95"/>
        </w:rPr>
        <w:t>has</w:t>
      </w:r>
      <w:r>
        <w:rPr>
          <w:spacing w:val="-1"/>
          <w:w w:val="95"/>
        </w:rPr>
        <w:t xml:space="preserve"> </w:t>
      </w:r>
      <w:r>
        <w:rPr>
          <w:w w:val="95"/>
        </w:rPr>
        <w:t>direct</w:t>
      </w:r>
      <w:r>
        <w:rPr>
          <w:spacing w:val="-1"/>
          <w:w w:val="95"/>
        </w:rPr>
        <w:t xml:space="preserve"> </w:t>
      </w:r>
      <w:r>
        <w:rPr>
          <w:w w:val="95"/>
        </w:rPr>
        <w:t>impacts</w:t>
      </w:r>
      <w:r>
        <w:rPr>
          <w:spacing w:val="-1"/>
          <w:w w:val="95"/>
        </w:rPr>
        <w:t xml:space="preserve"> </w:t>
      </w:r>
      <w:r>
        <w:rPr>
          <w:w w:val="95"/>
        </w:rPr>
        <w:t>on</w:t>
      </w:r>
      <w:r>
        <w:rPr>
          <w:spacing w:val="-1"/>
          <w:w w:val="95"/>
        </w:rPr>
        <w:t xml:space="preserve"> </w:t>
      </w:r>
      <w:r>
        <w:rPr>
          <w:w w:val="95"/>
        </w:rPr>
        <w:t>affected</w:t>
      </w:r>
      <w:r>
        <w:rPr>
          <w:spacing w:val="-1"/>
          <w:w w:val="95"/>
        </w:rPr>
        <w:t xml:space="preserve"> </w:t>
      </w:r>
      <w:r>
        <w:rPr>
          <w:w w:val="95"/>
        </w:rPr>
        <w:t xml:space="preserve">communities and discourages urban renewal and densification along </w:t>
      </w:r>
      <w:r>
        <w:t>these</w:t>
      </w:r>
      <w:r>
        <w:rPr>
          <w:spacing w:val="-11"/>
        </w:rPr>
        <w:t xml:space="preserve"> </w:t>
      </w:r>
      <w:r>
        <w:t>corridors.</w:t>
      </w:r>
    </w:p>
    <w:p w:rsidR="002C1123" w:rsidRDefault="00F22F94">
      <w:pPr>
        <w:pStyle w:val="Heading6"/>
        <w:numPr>
          <w:ilvl w:val="2"/>
          <w:numId w:val="97"/>
        </w:numPr>
        <w:tabs>
          <w:tab w:val="left" w:pos="727"/>
        </w:tabs>
        <w:spacing w:before="145"/>
        <w:ind w:left="726" w:hanging="487"/>
        <w:jc w:val="left"/>
      </w:pPr>
      <w:r>
        <w:rPr>
          <w:color w:val="00AEEF"/>
          <w:spacing w:val="-2"/>
        </w:rPr>
        <w:t>Conclusion</w:t>
      </w:r>
    </w:p>
    <w:p w:rsidR="002C1123" w:rsidRDefault="00F22F94">
      <w:pPr>
        <w:pStyle w:val="BodyText"/>
        <w:spacing w:before="95" w:line="249" w:lineRule="auto"/>
        <w:ind w:left="240" w:right="6048"/>
      </w:pPr>
      <w:r>
        <w:t>It</w:t>
      </w:r>
      <w:r>
        <w:rPr>
          <w:spacing w:val="-5"/>
        </w:rPr>
        <w:t xml:space="preserve"> </w:t>
      </w:r>
      <w:r>
        <w:t>is</w:t>
      </w:r>
      <w:r>
        <w:rPr>
          <w:spacing w:val="-5"/>
        </w:rPr>
        <w:t xml:space="preserve"> </w:t>
      </w:r>
      <w:r>
        <w:t>unfortunate</w:t>
      </w:r>
      <w:r>
        <w:rPr>
          <w:spacing w:val="-5"/>
        </w:rPr>
        <w:t xml:space="preserve"> </w:t>
      </w:r>
      <w:r>
        <w:t>that</w:t>
      </w:r>
      <w:r>
        <w:rPr>
          <w:spacing w:val="-5"/>
        </w:rPr>
        <w:t xml:space="preserve"> </w:t>
      </w:r>
      <w:r>
        <w:t>roads</w:t>
      </w:r>
      <w:r>
        <w:rPr>
          <w:spacing w:val="-5"/>
        </w:rPr>
        <w:t xml:space="preserve"> </w:t>
      </w:r>
      <w:r>
        <w:t>and</w:t>
      </w:r>
      <w:r>
        <w:rPr>
          <w:spacing w:val="-5"/>
        </w:rPr>
        <w:t xml:space="preserve"> </w:t>
      </w:r>
      <w:r>
        <w:t>public</w:t>
      </w:r>
      <w:r>
        <w:rPr>
          <w:spacing w:val="-5"/>
        </w:rPr>
        <w:t xml:space="preserve"> </w:t>
      </w:r>
      <w:r>
        <w:t xml:space="preserve">transport </w:t>
      </w:r>
      <w:r>
        <w:rPr>
          <w:w w:val="95"/>
        </w:rPr>
        <w:t>have</w:t>
      </w:r>
      <w:r>
        <w:rPr>
          <w:spacing w:val="-4"/>
          <w:w w:val="95"/>
        </w:rPr>
        <w:t xml:space="preserve"> </w:t>
      </w:r>
      <w:r>
        <w:rPr>
          <w:w w:val="95"/>
        </w:rPr>
        <w:t>often</w:t>
      </w:r>
      <w:r>
        <w:rPr>
          <w:spacing w:val="-4"/>
          <w:w w:val="95"/>
        </w:rPr>
        <w:t xml:space="preserve"> </w:t>
      </w:r>
      <w:r>
        <w:rPr>
          <w:w w:val="95"/>
        </w:rPr>
        <w:t>been</w:t>
      </w:r>
      <w:r>
        <w:rPr>
          <w:spacing w:val="-4"/>
          <w:w w:val="95"/>
        </w:rPr>
        <w:t xml:space="preserve"> </w:t>
      </w:r>
      <w:r>
        <w:rPr>
          <w:w w:val="95"/>
        </w:rPr>
        <w:t>positioned</w:t>
      </w:r>
      <w:r>
        <w:rPr>
          <w:spacing w:val="-4"/>
          <w:w w:val="95"/>
        </w:rPr>
        <w:t xml:space="preserve"> </w:t>
      </w:r>
      <w:r>
        <w:rPr>
          <w:w w:val="95"/>
        </w:rPr>
        <w:t>as</w:t>
      </w:r>
      <w:r>
        <w:rPr>
          <w:spacing w:val="-4"/>
          <w:w w:val="95"/>
        </w:rPr>
        <w:t xml:space="preserve"> </w:t>
      </w:r>
      <w:r>
        <w:rPr>
          <w:w w:val="95"/>
        </w:rPr>
        <w:t>opposing</w:t>
      </w:r>
      <w:r>
        <w:rPr>
          <w:spacing w:val="-4"/>
          <w:w w:val="95"/>
        </w:rPr>
        <w:t xml:space="preserve"> </w:t>
      </w:r>
      <w:r>
        <w:rPr>
          <w:w w:val="95"/>
        </w:rPr>
        <w:t>alternatives competing for scarce public funding. In reality these</w:t>
      </w:r>
    </w:p>
    <w:p w:rsidR="002C1123" w:rsidRDefault="00F22F94">
      <w:pPr>
        <w:pStyle w:val="BodyText"/>
        <w:spacing w:before="2" w:line="249" w:lineRule="auto"/>
        <w:ind w:left="240" w:right="5645"/>
      </w:pPr>
      <w:r>
        <w:rPr>
          <w:w w:val="95"/>
        </w:rPr>
        <w:t>modes</w:t>
      </w:r>
      <w:r>
        <w:rPr>
          <w:spacing w:val="-4"/>
          <w:w w:val="95"/>
        </w:rPr>
        <w:t xml:space="preserve"> </w:t>
      </w:r>
      <w:r>
        <w:rPr>
          <w:w w:val="95"/>
        </w:rPr>
        <w:t>are</w:t>
      </w:r>
      <w:r>
        <w:rPr>
          <w:spacing w:val="-4"/>
          <w:w w:val="95"/>
        </w:rPr>
        <w:t xml:space="preserve"> </w:t>
      </w:r>
      <w:r>
        <w:rPr>
          <w:w w:val="95"/>
        </w:rPr>
        <w:t>complementary</w:t>
      </w:r>
      <w:r>
        <w:rPr>
          <w:spacing w:val="-4"/>
          <w:w w:val="95"/>
        </w:rPr>
        <w:t xml:space="preserve"> </w:t>
      </w:r>
      <w:r>
        <w:rPr>
          <w:w w:val="95"/>
        </w:rPr>
        <w:t>to</w:t>
      </w:r>
      <w:r>
        <w:rPr>
          <w:spacing w:val="-4"/>
          <w:w w:val="95"/>
        </w:rPr>
        <w:t xml:space="preserve"> </w:t>
      </w:r>
      <w:r>
        <w:rPr>
          <w:w w:val="95"/>
        </w:rPr>
        <w:t>each</w:t>
      </w:r>
      <w:r>
        <w:rPr>
          <w:spacing w:val="-4"/>
          <w:w w:val="95"/>
        </w:rPr>
        <w:t xml:space="preserve"> </w:t>
      </w:r>
      <w:r>
        <w:rPr>
          <w:w w:val="95"/>
        </w:rPr>
        <w:t>other,</w:t>
      </w:r>
      <w:r>
        <w:rPr>
          <w:spacing w:val="-4"/>
          <w:w w:val="95"/>
        </w:rPr>
        <w:t xml:space="preserve"> </w:t>
      </w:r>
      <w:r>
        <w:rPr>
          <w:w w:val="95"/>
        </w:rPr>
        <w:t>each</w:t>
      </w:r>
      <w:r>
        <w:rPr>
          <w:spacing w:val="-4"/>
          <w:w w:val="95"/>
        </w:rPr>
        <w:t xml:space="preserve"> </w:t>
      </w:r>
      <w:r>
        <w:rPr>
          <w:w w:val="95"/>
        </w:rPr>
        <w:t>having</w:t>
      </w:r>
      <w:r>
        <w:rPr>
          <w:spacing w:val="-4"/>
          <w:w w:val="95"/>
        </w:rPr>
        <w:t xml:space="preserve"> </w:t>
      </w:r>
      <w:r>
        <w:rPr>
          <w:w w:val="95"/>
        </w:rPr>
        <w:t xml:space="preserve">a </w:t>
      </w:r>
      <w:r>
        <w:t>valuable, but different role.</w:t>
      </w:r>
    </w:p>
    <w:p w:rsidR="002C1123" w:rsidRDefault="00F22F94">
      <w:pPr>
        <w:pStyle w:val="BodyText"/>
        <w:spacing w:before="143" w:line="249" w:lineRule="auto"/>
        <w:ind w:left="240" w:right="5645"/>
      </w:pPr>
      <w:r>
        <w:rPr>
          <w:w w:val="95"/>
        </w:rPr>
        <w:t>The</w:t>
      </w:r>
      <w:r>
        <w:rPr>
          <w:spacing w:val="-9"/>
          <w:w w:val="95"/>
        </w:rPr>
        <w:t xml:space="preserve"> </w:t>
      </w:r>
      <w:r>
        <w:rPr>
          <w:w w:val="95"/>
        </w:rPr>
        <w:t>evidence</w:t>
      </w:r>
      <w:r>
        <w:rPr>
          <w:spacing w:val="-9"/>
          <w:w w:val="95"/>
        </w:rPr>
        <w:t xml:space="preserve"> </w:t>
      </w:r>
      <w:r>
        <w:rPr>
          <w:w w:val="95"/>
        </w:rPr>
        <w:t>is</w:t>
      </w:r>
      <w:r>
        <w:rPr>
          <w:spacing w:val="-9"/>
          <w:w w:val="95"/>
        </w:rPr>
        <w:t xml:space="preserve"> </w:t>
      </w:r>
      <w:r>
        <w:rPr>
          <w:w w:val="95"/>
        </w:rPr>
        <w:t>clear</w:t>
      </w:r>
      <w:r>
        <w:rPr>
          <w:spacing w:val="-9"/>
          <w:w w:val="95"/>
        </w:rPr>
        <w:t xml:space="preserve"> </w:t>
      </w:r>
      <w:r>
        <w:rPr>
          <w:w w:val="95"/>
        </w:rPr>
        <w:t>that</w:t>
      </w:r>
      <w:r>
        <w:rPr>
          <w:spacing w:val="-9"/>
          <w:w w:val="95"/>
        </w:rPr>
        <w:t xml:space="preserve"> </w:t>
      </w:r>
      <w:r>
        <w:rPr>
          <w:w w:val="95"/>
        </w:rPr>
        <w:t>private</w:t>
      </w:r>
      <w:r>
        <w:rPr>
          <w:spacing w:val="-9"/>
          <w:w w:val="95"/>
        </w:rPr>
        <w:t xml:space="preserve"> </w:t>
      </w:r>
      <w:r>
        <w:rPr>
          <w:w w:val="95"/>
        </w:rPr>
        <w:t>road</w:t>
      </w:r>
      <w:r>
        <w:rPr>
          <w:spacing w:val="-9"/>
          <w:w w:val="95"/>
        </w:rPr>
        <w:t xml:space="preserve"> </w:t>
      </w:r>
      <w:r>
        <w:rPr>
          <w:w w:val="95"/>
        </w:rPr>
        <w:t>transport</w:t>
      </w:r>
      <w:r>
        <w:rPr>
          <w:spacing w:val="-9"/>
          <w:w w:val="95"/>
        </w:rPr>
        <w:t xml:space="preserve"> </w:t>
      </w:r>
      <w:r>
        <w:rPr>
          <w:w w:val="95"/>
        </w:rPr>
        <w:t>is</w:t>
      </w:r>
      <w:r>
        <w:rPr>
          <w:spacing w:val="-9"/>
          <w:w w:val="95"/>
        </w:rPr>
        <w:t xml:space="preserve"> </w:t>
      </w:r>
      <w:r>
        <w:rPr>
          <w:w w:val="95"/>
        </w:rPr>
        <w:t>–</w:t>
      </w:r>
      <w:r>
        <w:rPr>
          <w:spacing w:val="-9"/>
          <w:w w:val="95"/>
        </w:rPr>
        <w:t xml:space="preserve"> </w:t>
      </w:r>
      <w:r>
        <w:rPr>
          <w:w w:val="95"/>
        </w:rPr>
        <w:t>and will</w:t>
      </w:r>
      <w:r>
        <w:rPr>
          <w:spacing w:val="-11"/>
          <w:w w:val="95"/>
        </w:rPr>
        <w:t xml:space="preserve"> </w:t>
      </w:r>
      <w:r>
        <w:rPr>
          <w:w w:val="95"/>
        </w:rPr>
        <w:t>remain</w:t>
      </w:r>
      <w:r>
        <w:rPr>
          <w:spacing w:val="-11"/>
          <w:w w:val="95"/>
        </w:rPr>
        <w:t xml:space="preserve"> </w:t>
      </w:r>
      <w:r>
        <w:rPr>
          <w:w w:val="95"/>
        </w:rPr>
        <w:t>–</w:t>
      </w:r>
      <w:r>
        <w:rPr>
          <w:spacing w:val="-11"/>
          <w:w w:val="95"/>
        </w:rPr>
        <w:t xml:space="preserve"> </w:t>
      </w:r>
      <w:r>
        <w:rPr>
          <w:w w:val="95"/>
        </w:rPr>
        <w:t>the</w:t>
      </w:r>
      <w:r>
        <w:rPr>
          <w:spacing w:val="-11"/>
          <w:w w:val="95"/>
        </w:rPr>
        <w:t xml:space="preserve"> </w:t>
      </w:r>
      <w:r>
        <w:rPr>
          <w:w w:val="95"/>
        </w:rPr>
        <w:t>only</w:t>
      </w:r>
      <w:r>
        <w:rPr>
          <w:spacing w:val="-11"/>
          <w:w w:val="95"/>
        </w:rPr>
        <w:t xml:space="preserve"> </w:t>
      </w:r>
      <w:r>
        <w:rPr>
          <w:w w:val="95"/>
        </w:rPr>
        <w:t>viable</w:t>
      </w:r>
      <w:r>
        <w:rPr>
          <w:spacing w:val="-11"/>
          <w:w w:val="95"/>
        </w:rPr>
        <w:t xml:space="preserve"> </w:t>
      </w:r>
      <w:r>
        <w:rPr>
          <w:w w:val="95"/>
        </w:rPr>
        <w:t>option</w:t>
      </w:r>
      <w:r>
        <w:rPr>
          <w:spacing w:val="-11"/>
          <w:w w:val="95"/>
        </w:rPr>
        <w:t xml:space="preserve"> </w:t>
      </w:r>
      <w:r>
        <w:rPr>
          <w:w w:val="95"/>
        </w:rPr>
        <w:t>for</w:t>
      </w:r>
      <w:r>
        <w:rPr>
          <w:spacing w:val="-11"/>
          <w:w w:val="95"/>
        </w:rPr>
        <w:t xml:space="preserve"> </w:t>
      </w:r>
      <w:r>
        <w:rPr>
          <w:w w:val="95"/>
        </w:rPr>
        <w:t>most</w:t>
      </w:r>
      <w:r>
        <w:rPr>
          <w:spacing w:val="-11"/>
          <w:w w:val="95"/>
        </w:rPr>
        <w:t xml:space="preserve"> </w:t>
      </w:r>
      <w:r>
        <w:rPr>
          <w:w w:val="95"/>
        </w:rPr>
        <w:t>journeys</w:t>
      </w:r>
      <w:r>
        <w:rPr>
          <w:spacing w:val="-11"/>
          <w:w w:val="95"/>
        </w:rPr>
        <w:t xml:space="preserve"> </w:t>
      </w:r>
      <w:r>
        <w:rPr>
          <w:w w:val="95"/>
        </w:rPr>
        <w:t>in Sydney</w:t>
      </w:r>
      <w:r>
        <w:rPr>
          <w:spacing w:val="-5"/>
          <w:w w:val="95"/>
        </w:rPr>
        <w:t xml:space="preserve"> </w:t>
      </w:r>
      <w:r>
        <w:rPr>
          <w:w w:val="95"/>
        </w:rPr>
        <w:t>most</w:t>
      </w:r>
      <w:r>
        <w:rPr>
          <w:spacing w:val="-5"/>
          <w:w w:val="95"/>
        </w:rPr>
        <w:t xml:space="preserve"> </w:t>
      </w:r>
      <w:r>
        <w:rPr>
          <w:w w:val="95"/>
        </w:rPr>
        <w:t>of</w:t>
      </w:r>
      <w:r>
        <w:rPr>
          <w:spacing w:val="-5"/>
          <w:w w:val="95"/>
        </w:rPr>
        <w:t xml:space="preserve"> </w:t>
      </w:r>
      <w:r>
        <w:rPr>
          <w:w w:val="95"/>
        </w:rPr>
        <w:t>time,</w:t>
      </w:r>
      <w:r>
        <w:rPr>
          <w:spacing w:val="-5"/>
          <w:w w:val="95"/>
        </w:rPr>
        <w:t xml:space="preserve"> </w:t>
      </w:r>
      <w:r>
        <w:rPr>
          <w:w w:val="95"/>
        </w:rPr>
        <w:t>even</w:t>
      </w:r>
      <w:r>
        <w:rPr>
          <w:spacing w:val="-5"/>
          <w:w w:val="95"/>
        </w:rPr>
        <w:t xml:space="preserve"> </w:t>
      </w:r>
      <w:r>
        <w:rPr>
          <w:w w:val="95"/>
        </w:rPr>
        <w:t>with</w:t>
      </w:r>
      <w:r>
        <w:rPr>
          <w:spacing w:val="-5"/>
          <w:w w:val="95"/>
        </w:rPr>
        <w:t xml:space="preserve"> </w:t>
      </w:r>
      <w:r>
        <w:rPr>
          <w:w w:val="95"/>
        </w:rPr>
        <w:t>the</w:t>
      </w:r>
      <w:r>
        <w:rPr>
          <w:spacing w:val="-5"/>
          <w:w w:val="95"/>
        </w:rPr>
        <w:t xml:space="preserve"> </w:t>
      </w:r>
      <w:r>
        <w:rPr>
          <w:w w:val="95"/>
        </w:rPr>
        <w:t>targeted</w:t>
      </w:r>
      <w:r>
        <w:rPr>
          <w:spacing w:val="-5"/>
          <w:w w:val="95"/>
        </w:rPr>
        <w:t xml:space="preserve"> </w:t>
      </w:r>
      <w:r>
        <w:rPr>
          <w:w w:val="95"/>
        </w:rPr>
        <w:t>growth</w:t>
      </w:r>
      <w:r>
        <w:rPr>
          <w:spacing w:val="-5"/>
          <w:w w:val="95"/>
        </w:rPr>
        <w:t xml:space="preserve"> </w:t>
      </w:r>
      <w:r>
        <w:rPr>
          <w:w w:val="95"/>
        </w:rPr>
        <w:t xml:space="preserve">in </w:t>
      </w:r>
      <w:r>
        <w:rPr>
          <w:w w:val="90"/>
        </w:rPr>
        <w:t xml:space="preserve">public transport and rail freight sought by Government, and </w:t>
      </w:r>
      <w:r>
        <w:rPr>
          <w:w w:val="95"/>
        </w:rPr>
        <w:t>the</w:t>
      </w:r>
      <w:r>
        <w:rPr>
          <w:spacing w:val="-13"/>
          <w:w w:val="95"/>
        </w:rPr>
        <w:t xml:space="preserve"> </w:t>
      </w:r>
      <w:r>
        <w:rPr>
          <w:w w:val="95"/>
        </w:rPr>
        <w:t>expected</w:t>
      </w:r>
      <w:r>
        <w:rPr>
          <w:spacing w:val="-12"/>
          <w:w w:val="95"/>
        </w:rPr>
        <w:t xml:space="preserve"> </w:t>
      </w:r>
      <w:r>
        <w:rPr>
          <w:w w:val="95"/>
        </w:rPr>
        <w:t>increase</w:t>
      </w:r>
      <w:r>
        <w:rPr>
          <w:spacing w:val="-12"/>
          <w:w w:val="95"/>
        </w:rPr>
        <w:t xml:space="preserve"> </w:t>
      </w:r>
      <w:r>
        <w:rPr>
          <w:w w:val="95"/>
        </w:rPr>
        <w:t>in</w:t>
      </w:r>
      <w:r>
        <w:rPr>
          <w:spacing w:val="-12"/>
          <w:w w:val="95"/>
        </w:rPr>
        <w:t xml:space="preserve"> </w:t>
      </w:r>
      <w:r>
        <w:rPr>
          <w:w w:val="95"/>
        </w:rPr>
        <w:t>the</w:t>
      </w:r>
      <w:r>
        <w:rPr>
          <w:spacing w:val="-13"/>
          <w:w w:val="95"/>
        </w:rPr>
        <w:t xml:space="preserve"> </w:t>
      </w:r>
      <w:r>
        <w:rPr>
          <w:w w:val="95"/>
        </w:rPr>
        <w:t>population</w:t>
      </w:r>
      <w:r>
        <w:rPr>
          <w:spacing w:val="-12"/>
          <w:w w:val="95"/>
        </w:rPr>
        <w:t xml:space="preserve"> </w:t>
      </w:r>
      <w:r>
        <w:rPr>
          <w:w w:val="95"/>
        </w:rPr>
        <w:t>density</w:t>
      </w:r>
      <w:r>
        <w:rPr>
          <w:spacing w:val="-12"/>
          <w:w w:val="95"/>
        </w:rPr>
        <w:t xml:space="preserve"> </w:t>
      </w:r>
      <w:r>
        <w:rPr>
          <w:w w:val="95"/>
        </w:rPr>
        <w:t>of</w:t>
      </w:r>
      <w:r>
        <w:rPr>
          <w:spacing w:val="-12"/>
          <w:w w:val="95"/>
        </w:rPr>
        <w:t xml:space="preserve"> </w:t>
      </w:r>
      <w:r>
        <w:rPr>
          <w:w w:val="95"/>
        </w:rPr>
        <w:t>the</w:t>
      </w:r>
      <w:r>
        <w:rPr>
          <w:spacing w:val="-12"/>
          <w:w w:val="95"/>
        </w:rPr>
        <w:t xml:space="preserve"> </w:t>
      </w:r>
      <w:r>
        <w:rPr>
          <w:w w:val="95"/>
        </w:rPr>
        <w:t>city.</w:t>
      </w:r>
    </w:p>
    <w:p w:rsidR="002C1123" w:rsidRDefault="00F22F94">
      <w:pPr>
        <w:pStyle w:val="BodyText"/>
        <w:spacing w:before="146" w:line="249" w:lineRule="auto"/>
        <w:ind w:left="240" w:right="5645"/>
      </w:pPr>
      <w:r>
        <w:rPr>
          <w:w w:val="95"/>
        </w:rPr>
        <w:t>Better</w:t>
      </w:r>
      <w:r>
        <w:rPr>
          <w:spacing w:val="-1"/>
          <w:w w:val="95"/>
        </w:rPr>
        <w:t xml:space="preserve"> </w:t>
      </w:r>
      <w:r>
        <w:rPr>
          <w:w w:val="95"/>
        </w:rPr>
        <w:t>management</w:t>
      </w:r>
      <w:r>
        <w:rPr>
          <w:spacing w:val="-1"/>
          <w:w w:val="95"/>
        </w:rPr>
        <w:t xml:space="preserve"> </w:t>
      </w:r>
      <w:r>
        <w:rPr>
          <w:w w:val="95"/>
        </w:rPr>
        <w:t>of</w:t>
      </w:r>
      <w:r>
        <w:rPr>
          <w:spacing w:val="-1"/>
          <w:w w:val="95"/>
        </w:rPr>
        <w:t xml:space="preserve"> </w:t>
      </w:r>
      <w:r>
        <w:rPr>
          <w:w w:val="95"/>
        </w:rPr>
        <w:t>the</w:t>
      </w:r>
      <w:r>
        <w:rPr>
          <w:spacing w:val="-1"/>
          <w:w w:val="95"/>
        </w:rPr>
        <w:t xml:space="preserve"> </w:t>
      </w:r>
      <w:r>
        <w:rPr>
          <w:w w:val="95"/>
        </w:rPr>
        <w:t>SSRN</w:t>
      </w:r>
      <w:r>
        <w:rPr>
          <w:spacing w:val="-1"/>
          <w:w w:val="95"/>
        </w:rPr>
        <w:t xml:space="preserve"> </w:t>
      </w:r>
      <w:r>
        <w:rPr>
          <w:w w:val="95"/>
        </w:rPr>
        <w:t>is</w:t>
      </w:r>
      <w:r>
        <w:rPr>
          <w:spacing w:val="-1"/>
          <w:w w:val="95"/>
        </w:rPr>
        <w:t xml:space="preserve"> </w:t>
      </w:r>
      <w:r>
        <w:rPr>
          <w:w w:val="95"/>
        </w:rPr>
        <w:t>therefore</w:t>
      </w:r>
      <w:r>
        <w:rPr>
          <w:spacing w:val="-1"/>
          <w:w w:val="95"/>
        </w:rPr>
        <w:t xml:space="preserve"> </w:t>
      </w:r>
      <w:r>
        <w:rPr>
          <w:w w:val="95"/>
        </w:rPr>
        <w:t xml:space="preserve">essential, and is being pursued through a developmental process </w:t>
      </w:r>
      <w:r>
        <w:t>already.</w:t>
      </w:r>
      <w:r>
        <w:rPr>
          <w:spacing w:val="-14"/>
        </w:rPr>
        <w:t xml:space="preserve"> </w:t>
      </w:r>
      <w:r>
        <w:t>Road</w:t>
      </w:r>
      <w:r>
        <w:rPr>
          <w:spacing w:val="-14"/>
        </w:rPr>
        <w:t xml:space="preserve"> </w:t>
      </w:r>
      <w:r>
        <w:t>pricing</w:t>
      </w:r>
      <w:r>
        <w:rPr>
          <w:spacing w:val="-14"/>
        </w:rPr>
        <w:t xml:space="preserve"> </w:t>
      </w:r>
      <w:r>
        <w:t>is</w:t>
      </w:r>
      <w:r>
        <w:rPr>
          <w:spacing w:val="-14"/>
        </w:rPr>
        <w:t xml:space="preserve"> </w:t>
      </w:r>
      <w:r>
        <w:t>an</w:t>
      </w:r>
      <w:r>
        <w:rPr>
          <w:spacing w:val="-14"/>
        </w:rPr>
        <w:t xml:space="preserve"> </w:t>
      </w:r>
      <w:r>
        <w:t>emerging</w:t>
      </w:r>
      <w:r>
        <w:rPr>
          <w:spacing w:val="-14"/>
        </w:rPr>
        <w:t xml:space="preserve"> </w:t>
      </w:r>
      <w:r>
        <w:t>area</w:t>
      </w:r>
      <w:r>
        <w:rPr>
          <w:spacing w:val="-14"/>
        </w:rPr>
        <w:t xml:space="preserve"> </w:t>
      </w:r>
      <w:r>
        <w:t>that</w:t>
      </w:r>
      <w:r>
        <w:rPr>
          <w:spacing w:val="-14"/>
        </w:rPr>
        <w:t xml:space="preserve"> </w:t>
      </w:r>
      <w:r>
        <w:t>offers potential</w:t>
      </w:r>
      <w:r>
        <w:rPr>
          <w:spacing w:val="-5"/>
        </w:rPr>
        <w:t xml:space="preserve"> </w:t>
      </w:r>
      <w:r>
        <w:t>benefits</w:t>
      </w:r>
      <w:r>
        <w:rPr>
          <w:spacing w:val="-5"/>
        </w:rPr>
        <w:t xml:space="preserve"> </w:t>
      </w:r>
      <w:r>
        <w:t>in</w:t>
      </w:r>
      <w:r>
        <w:rPr>
          <w:spacing w:val="-5"/>
        </w:rPr>
        <w:t xml:space="preserve"> </w:t>
      </w:r>
      <w:r>
        <w:t>the</w:t>
      </w:r>
      <w:r>
        <w:rPr>
          <w:spacing w:val="-5"/>
        </w:rPr>
        <w:t xml:space="preserve"> </w:t>
      </w:r>
      <w:r>
        <w:t>longer</w:t>
      </w:r>
      <w:r>
        <w:rPr>
          <w:spacing w:val="-5"/>
        </w:rPr>
        <w:t xml:space="preserve"> </w:t>
      </w:r>
      <w:r>
        <w:t>term.</w:t>
      </w:r>
    </w:p>
    <w:p w:rsidR="002C1123" w:rsidRDefault="00F22F94">
      <w:pPr>
        <w:pStyle w:val="BodyText"/>
        <w:spacing w:before="145" w:line="249" w:lineRule="auto"/>
        <w:ind w:left="240" w:right="5963"/>
      </w:pPr>
      <w:r>
        <w:t>There</w:t>
      </w:r>
      <w:r>
        <w:rPr>
          <w:spacing w:val="-14"/>
        </w:rPr>
        <w:t xml:space="preserve"> </w:t>
      </w:r>
      <w:r>
        <w:t>will,</w:t>
      </w:r>
      <w:r>
        <w:rPr>
          <w:spacing w:val="-14"/>
        </w:rPr>
        <w:t xml:space="preserve"> </w:t>
      </w:r>
      <w:r>
        <w:t>however,</w:t>
      </w:r>
      <w:r>
        <w:rPr>
          <w:spacing w:val="-14"/>
        </w:rPr>
        <w:t xml:space="preserve"> </w:t>
      </w:r>
      <w:r>
        <w:t>be</w:t>
      </w:r>
      <w:r>
        <w:rPr>
          <w:spacing w:val="-14"/>
        </w:rPr>
        <w:t xml:space="preserve"> </w:t>
      </w:r>
      <w:r>
        <w:t>places</w:t>
      </w:r>
      <w:r>
        <w:rPr>
          <w:spacing w:val="-14"/>
        </w:rPr>
        <w:t xml:space="preserve"> </w:t>
      </w:r>
      <w:r>
        <w:t>where</w:t>
      </w:r>
      <w:r>
        <w:rPr>
          <w:spacing w:val="-14"/>
        </w:rPr>
        <w:t xml:space="preserve"> </w:t>
      </w:r>
      <w:r>
        <w:t>more</w:t>
      </w:r>
      <w:r>
        <w:rPr>
          <w:spacing w:val="-14"/>
        </w:rPr>
        <w:t xml:space="preserve"> </w:t>
      </w:r>
      <w:r>
        <w:t>capacity will</w:t>
      </w:r>
      <w:r>
        <w:rPr>
          <w:spacing w:val="-12"/>
        </w:rPr>
        <w:t xml:space="preserve"> </w:t>
      </w:r>
      <w:r>
        <w:t>be</w:t>
      </w:r>
      <w:r>
        <w:rPr>
          <w:spacing w:val="-12"/>
        </w:rPr>
        <w:t xml:space="preserve"> </w:t>
      </w:r>
      <w:r>
        <w:t>needed</w:t>
      </w:r>
      <w:r>
        <w:rPr>
          <w:spacing w:val="-12"/>
        </w:rPr>
        <w:t xml:space="preserve"> </w:t>
      </w:r>
      <w:r>
        <w:t>on</w:t>
      </w:r>
      <w:r>
        <w:rPr>
          <w:spacing w:val="-12"/>
        </w:rPr>
        <w:t xml:space="preserve"> </w:t>
      </w:r>
      <w:r>
        <w:t>the</w:t>
      </w:r>
      <w:r>
        <w:rPr>
          <w:spacing w:val="-12"/>
        </w:rPr>
        <w:t xml:space="preserve"> </w:t>
      </w:r>
      <w:r>
        <w:t>motorway</w:t>
      </w:r>
      <w:r>
        <w:rPr>
          <w:spacing w:val="-12"/>
        </w:rPr>
        <w:t xml:space="preserve"> </w:t>
      </w:r>
      <w:r>
        <w:t>system.</w:t>
      </w:r>
      <w:r>
        <w:rPr>
          <w:spacing w:val="-12"/>
        </w:rPr>
        <w:t xml:space="preserve"> </w:t>
      </w:r>
      <w:r>
        <w:t>Investment in</w:t>
      </w:r>
      <w:r>
        <w:rPr>
          <w:spacing w:val="-14"/>
        </w:rPr>
        <w:t xml:space="preserve"> </w:t>
      </w:r>
      <w:r>
        <w:t>the</w:t>
      </w:r>
      <w:r>
        <w:rPr>
          <w:spacing w:val="-14"/>
        </w:rPr>
        <w:t xml:space="preserve"> </w:t>
      </w:r>
      <w:r>
        <w:t>SSRN</w:t>
      </w:r>
      <w:r>
        <w:rPr>
          <w:spacing w:val="-14"/>
        </w:rPr>
        <w:t xml:space="preserve"> </w:t>
      </w:r>
      <w:r>
        <w:t>can</w:t>
      </w:r>
      <w:r>
        <w:rPr>
          <w:spacing w:val="-14"/>
        </w:rPr>
        <w:t xml:space="preserve"> </w:t>
      </w:r>
      <w:r>
        <w:t>be</w:t>
      </w:r>
      <w:r>
        <w:rPr>
          <w:spacing w:val="-14"/>
        </w:rPr>
        <w:t xml:space="preserve"> </w:t>
      </w:r>
      <w:r>
        <w:t>sustainable,</w:t>
      </w:r>
      <w:r>
        <w:rPr>
          <w:spacing w:val="-14"/>
        </w:rPr>
        <w:t xml:space="preserve"> </w:t>
      </w:r>
      <w:r>
        <w:t>if</w:t>
      </w:r>
      <w:r>
        <w:rPr>
          <w:spacing w:val="-14"/>
        </w:rPr>
        <w:t xml:space="preserve"> </w:t>
      </w:r>
      <w:r>
        <w:t>complemented</w:t>
      </w:r>
      <w:r>
        <w:rPr>
          <w:spacing w:val="-14"/>
        </w:rPr>
        <w:t xml:space="preserve"> </w:t>
      </w:r>
      <w:r>
        <w:t>by strategies</w:t>
      </w:r>
      <w:r>
        <w:rPr>
          <w:spacing w:val="-13"/>
        </w:rPr>
        <w:t xml:space="preserve"> </w:t>
      </w:r>
      <w:r>
        <w:t>to</w:t>
      </w:r>
      <w:r>
        <w:rPr>
          <w:spacing w:val="-13"/>
        </w:rPr>
        <w:t xml:space="preserve"> </w:t>
      </w:r>
      <w:r>
        <w:t>manage</w:t>
      </w:r>
      <w:r>
        <w:rPr>
          <w:spacing w:val="-13"/>
        </w:rPr>
        <w:t xml:space="preserve"> </w:t>
      </w:r>
      <w:r>
        <w:t>congestion</w:t>
      </w:r>
      <w:r>
        <w:rPr>
          <w:spacing w:val="-13"/>
        </w:rPr>
        <w:t xml:space="preserve"> </w:t>
      </w:r>
      <w:r>
        <w:t>and</w:t>
      </w:r>
      <w:r>
        <w:rPr>
          <w:spacing w:val="-13"/>
        </w:rPr>
        <w:t xml:space="preserve"> </w:t>
      </w:r>
      <w:r>
        <w:t xml:space="preserve">environmental </w:t>
      </w:r>
      <w:r>
        <w:rPr>
          <w:w w:val="95"/>
        </w:rPr>
        <w:t>impacts, and undertaken in tandem</w:t>
      </w:r>
      <w:r>
        <w:rPr>
          <w:spacing w:val="-1"/>
          <w:w w:val="95"/>
        </w:rPr>
        <w:t xml:space="preserve"> </w:t>
      </w:r>
      <w:r>
        <w:rPr>
          <w:w w:val="95"/>
        </w:rPr>
        <w:t xml:space="preserve">with investment in </w:t>
      </w:r>
      <w:r>
        <w:t>public</w:t>
      </w:r>
      <w:r>
        <w:rPr>
          <w:spacing w:val="-11"/>
        </w:rPr>
        <w:t xml:space="preserve"> </w:t>
      </w:r>
      <w:r>
        <w:t>transport.</w:t>
      </w:r>
    </w:p>
    <w:p w:rsidR="002C1123" w:rsidRDefault="002C1123">
      <w:pPr>
        <w:spacing w:line="249" w:lineRule="auto"/>
        <w:sectPr w:rsidR="002C1123">
          <w:type w:val="continuous"/>
          <w:pgSz w:w="16840" w:h="11910" w:orient="landscape"/>
          <w:pgMar w:top="560" w:right="280" w:bottom="280" w:left="500" w:header="0" w:footer="517" w:gutter="0"/>
          <w:cols w:num="2" w:space="720" w:equalWidth="0">
            <w:col w:w="5239" w:space="40"/>
            <w:col w:w="10781"/>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7"/>
        </w:rPr>
      </w:pPr>
    </w:p>
    <w:p w:rsidR="002C1123" w:rsidRDefault="002060EF">
      <w:pPr>
        <w:pStyle w:val="Heading5"/>
        <w:numPr>
          <w:ilvl w:val="1"/>
          <w:numId w:val="97"/>
        </w:numPr>
        <w:tabs>
          <w:tab w:val="left" w:pos="942"/>
        </w:tabs>
        <w:spacing w:before="129" w:line="223" w:lineRule="auto"/>
        <w:ind w:left="941" w:right="11199"/>
        <w:jc w:val="left"/>
      </w:pPr>
      <w:r>
        <w:pict>
          <v:group id="docshapegroup1096" o:spid="_x0000_s4166" style="position:absolute;left:0;text-align:left;margin-left:299.6pt;margin-top:7.65pt;width:492.7pt;height:413.05pt;z-index:251297792;mso-position-horizontal-relative:page" coordorigin="5992,153" coordsize="9854,8261">
            <v:shape id="docshape1097" o:spid="_x0000_s4223" type="#_x0000_t75" style="position:absolute;left:5992;top:153;width:9854;height:8261">
              <v:imagedata r:id="rId129" o:title=""/>
            </v:shape>
            <v:rect id="docshape1098" o:spid="_x0000_s4222" style="position:absolute;left:15822;top:173;width:24;height:8221" stroked="f"/>
            <v:shape id="docshape1099" o:spid="_x0000_s4221" type="#_x0000_t202" style="position:absolute;left:6236;top:244;width:6027;height:834" filled="f" stroked="f">
              <v:textbox inset="0,0,0,0">
                <w:txbxContent>
                  <w:p w:rsidR="00F22F94" w:rsidRDefault="00F22F94">
                    <w:pPr>
                      <w:spacing w:before="6"/>
                      <w:rPr>
                        <w:b/>
                        <w:sz w:val="18"/>
                      </w:rPr>
                    </w:pPr>
                    <w:r>
                      <w:rPr>
                        <w:b/>
                        <w:sz w:val="18"/>
                      </w:rPr>
                      <w:t>Figure</w:t>
                    </w:r>
                    <w:r>
                      <w:rPr>
                        <w:b/>
                        <w:spacing w:val="-7"/>
                        <w:sz w:val="18"/>
                      </w:rPr>
                      <w:t xml:space="preserve"> </w:t>
                    </w:r>
                    <w:r>
                      <w:rPr>
                        <w:b/>
                        <w:sz w:val="18"/>
                      </w:rPr>
                      <w:t>6.3</w:t>
                    </w:r>
                    <w:r>
                      <w:rPr>
                        <w:b/>
                        <w:spacing w:val="37"/>
                        <w:sz w:val="18"/>
                      </w:rPr>
                      <w:t xml:space="preserve"> </w:t>
                    </w:r>
                    <w:r>
                      <w:rPr>
                        <w:b/>
                        <w:sz w:val="18"/>
                      </w:rPr>
                      <w:t>Longer-Term</w:t>
                    </w:r>
                    <w:r>
                      <w:rPr>
                        <w:b/>
                        <w:spacing w:val="-7"/>
                        <w:sz w:val="18"/>
                      </w:rPr>
                      <w:t xml:space="preserve"> </w:t>
                    </w:r>
                    <w:r>
                      <w:rPr>
                        <w:b/>
                        <w:sz w:val="18"/>
                      </w:rPr>
                      <w:t>Vision</w:t>
                    </w:r>
                    <w:r>
                      <w:rPr>
                        <w:b/>
                        <w:spacing w:val="-6"/>
                        <w:sz w:val="18"/>
                      </w:rPr>
                      <w:t xml:space="preserve"> </w:t>
                    </w:r>
                    <w:r>
                      <w:rPr>
                        <w:b/>
                        <w:sz w:val="18"/>
                      </w:rPr>
                      <w:t>for</w:t>
                    </w:r>
                    <w:r>
                      <w:rPr>
                        <w:b/>
                        <w:spacing w:val="-7"/>
                        <w:sz w:val="18"/>
                      </w:rPr>
                      <w:t xml:space="preserve"> </w:t>
                    </w:r>
                    <w:r>
                      <w:rPr>
                        <w:b/>
                        <w:sz w:val="18"/>
                      </w:rPr>
                      <w:t>the</w:t>
                    </w:r>
                    <w:r>
                      <w:rPr>
                        <w:b/>
                        <w:spacing w:val="-7"/>
                        <w:sz w:val="18"/>
                      </w:rPr>
                      <w:t xml:space="preserve"> </w:t>
                    </w:r>
                    <w:r>
                      <w:rPr>
                        <w:b/>
                        <w:sz w:val="18"/>
                      </w:rPr>
                      <w:t>Sydney</w:t>
                    </w:r>
                    <w:r>
                      <w:rPr>
                        <w:b/>
                        <w:spacing w:val="-6"/>
                        <w:sz w:val="18"/>
                      </w:rPr>
                      <w:t xml:space="preserve"> </w:t>
                    </w:r>
                    <w:r>
                      <w:rPr>
                        <w:b/>
                        <w:sz w:val="18"/>
                      </w:rPr>
                      <w:t>Strategic</w:t>
                    </w:r>
                    <w:r>
                      <w:rPr>
                        <w:b/>
                        <w:spacing w:val="-7"/>
                        <w:sz w:val="18"/>
                      </w:rPr>
                      <w:t xml:space="preserve"> </w:t>
                    </w:r>
                    <w:r>
                      <w:rPr>
                        <w:b/>
                        <w:sz w:val="18"/>
                      </w:rPr>
                      <w:t>Road</w:t>
                    </w:r>
                    <w:r>
                      <w:rPr>
                        <w:b/>
                        <w:spacing w:val="-6"/>
                        <w:sz w:val="18"/>
                      </w:rPr>
                      <w:t xml:space="preserve"> </w:t>
                    </w:r>
                    <w:r>
                      <w:rPr>
                        <w:b/>
                        <w:spacing w:val="-2"/>
                        <w:sz w:val="18"/>
                      </w:rPr>
                      <w:t>Network</w:t>
                    </w:r>
                  </w:p>
                  <w:p w:rsidR="00F22F94" w:rsidRDefault="00F22F94">
                    <w:pPr>
                      <w:spacing w:before="112"/>
                      <w:ind w:left="696"/>
                      <w:rPr>
                        <w:sz w:val="14"/>
                      </w:rPr>
                    </w:pPr>
                    <w:r>
                      <w:rPr>
                        <w:spacing w:val="-2"/>
                        <w:w w:val="90"/>
                        <w:sz w:val="14"/>
                      </w:rPr>
                      <w:t>Richmond</w:t>
                    </w:r>
                  </w:p>
                  <w:p w:rsidR="00F22F94" w:rsidRDefault="00F22F94">
                    <w:pPr>
                      <w:spacing w:before="36"/>
                      <w:ind w:left="177"/>
                      <w:rPr>
                        <w:sz w:val="12"/>
                      </w:rPr>
                    </w:pPr>
                    <w:r>
                      <w:rPr>
                        <w:color w:val="FFFFFF"/>
                        <w:w w:val="85"/>
                        <w:sz w:val="12"/>
                      </w:rPr>
                      <w:t>Bells</w:t>
                    </w:r>
                    <w:r>
                      <w:rPr>
                        <w:color w:val="FFFFFF"/>
                        <w:spacing w:val="-4"/>
                        <w:sz w:val="12"/>
                      </w:rPr>
                      <w:t xml:space="preserve"> </w:t>
                    </w:r>
                    <w:r>
                      <w:rPr>
                        <w:color w:val="FFFFFF"/>
                        <w:w w:val="85"/>
                        <w:sz w:val="12"/>
                      </w:rPr>
                      <w:t>Line</w:t>
                    </w:r>
                    <w:r>
                      <w:rPr>
                        <w:color w:val="FFFFFF"/>
                        <w:spacing w:val="-3"/>
                        <w:sz w:val="12"/>
                      </w:rPr>
                      <w:t xml:space="preserve"> </w:t>
                    </w:r>
                    <w:r>
                      <w:rPr>
                        <w:color w:val="FFFFFF"/>
                        <w:w w:val="85"/>
                        <w:sz w:val="12"/>
                      </w:rPr>
                      <w:t>of</w:t>
                    </w:r>
                    <w:r>
                      <w:rPr>
                        <w:color w:val="FFFFFF"/>
                        <w:spacing w:val="-3"/>
                        <w:sz w:val="12"/>
                      </w:rPr>
                      <w:t xml:space="preserve"> </w:t>
                    </w:r>
                    <w:r>
                      <w:rPr>
                        <w:color w:val="FFFFFF"/>
                        <w:spacing w:val="-4"/>
                        <w:w w:val="85"/>
                        <w:sz w:val="12"/>
                      </w:rPr>
                      <w:t>Road</w:t>
                    </w:r>
                  </w:p>
                  <w:p w:rsidR="00F22F94" w:rsidRDefault="00F22F94">
                    <w:pPr>
                      <w:spacing w:before="14" w:line="160" w:lineRule="exact"/>
                      <w:ind w:left="1549"/>
                      <w:rPr>
                        <w:sz w:val="14"/>
                      </w:rPr>
                    </w:pPr>
                    <w:r>
                      <w:rPr>
                        <w:spacing w:val="-2"/>
                        <w:w w:val="90"/>
                        <w:sz w:val="14"/>
                      </w:rPr>
                      <w:t>Windsor</w:t>
                    </w:r>
                  </w:p>
                </w:txbxContent>
              </v:textbox>
            </v:shape>
            <v:shape id="docshape1100" o:spid="_x0000_s4220" type="#_x0000_t202" style="position:absolute;left:14282;top:387;width:626;height:159" filled="f" stroked="f">
              <v:textbox inset="0,0,0,0">
                <w:txbxContent>
                  <w:p w:rsidR="00F22F94" w:rsidRDefault="00F22F94">
                    <w:pPr>
                      <w:spacing w:line="158" w:lineRule="exact"/>
                      <w:rPr>
                        <w:sz w:val="14"/>
                      </w:rPr>
                    </w:pPr>
                    <w:r>
                      <w:rPr>
                        <w:w w:val="75"/>
                        <w:sz w:val="14"/>
                      </w:rPr>
                      <w:t>Palm</w:t>
                    </w:r>
                    <w:r>
                      <w:rPr>
                        <w:spacing w:val="4"/>
                        <w:sz w:val="14"/>
                      </w:rPr>
                      <w:t xml:space="preserve"> </w:t>
                    </w:r>
                    <w:r>
                      <w:rPr>
                        <w:spacing w:val="-2"/>
                        <w:w w:val="80"/>
                        <w:sz w:val="14"/>
                      </w:rPr>
                      <w:t>Beach</w:t>
                    </w:r>
                  </w:p>
                </w:txbxContent>
              </v:textbox>
            </v:shape>
            <v:shape id="docshape1101" o:spid="_x0000_s4219" type="#_x0000_t202" style="position:absolute;left:6867;top:1425;width:989;height:141" filled="f" stroked="f">
              <v:textbox inset="0,0,0,0">
                <w:txbxContent>
                  <w:p w:rsidR="00F22F94" w:rsidRDefault="00F22F94">
                    <w:pPr>
                      <w:spacing w:before="1"/>
                      <w:rPr>
                        <w:sz w:val="12"/>
                      </w:rPr>
                    </w:pPr>
                    <w:r>
                      <w:rPr>
                        <w:color w:val="FFFFFF"/>
                        <w:w w:val="80"/>
                        <w:sz w:val="12"/>
                      </w:rPr>
                      <w:t>Castlereagh</w:t>
                    </w:r>
                    <w:r>
                      <w:rPr>
                        <w:color w:val="FFFFFF"/>
                        <w:spacing w:val="19"/>
                        <w:sz w:val="12"/>
                      </w:rPr>
                      <w:t xml:space="preserve"> </w:t>
                    </w:r>
                    <w:r>
                      <w:rPr>
                        <w:color w:val="FFFFFF"/>
                        <w:spacing w:val="-2"/>
                        <w:w w:val="90"/>
                        <w:sz w:val="12"/>
                      </w:rPr>
                      <w:t>Freeway</w:t>
                    </w:r>
                  </w:p>
                </w:txbxContent>
              </v:textbox>
            </v:shape>
            <v:shape id="docshape1102" o:spid="_x0000_s4218" type="#_x0000_t202" style="position:absolute;left:11999;top:1484;width:134;height:141" filled="f" stroked="f">
              <v:textbox inset="0,0,0,0">
                <w:txbxContent>
                  <w:p w:rsidR="00F22F94" w:rsidRDefault="00F22F94">
                    <w:pPr>
                      <w:spacing w:before="1"/>
                      <w:rPr>
                        <w:sz w:val="12"/>
                      </w:rPr>
                    </w:pPr>
                    <w:r>
                      <w:rPr>
                        <w:color w:val="FFFFFF"/>
                        <w:spacing w:val="-5"/>
                        <w:w w:val="90"/>
                        <w:sz w:val="12"/>
                      </w:rPr>
                      <w:t>F3</w:t>
                    </w:r>
                  </w:p>
                </w:txbxContent>
              </v:textbox>
            </v:shape>
            <v:shape id="docshape1103" o:spid="_x0000_s4217" type="#_x0000_t202" style="position:absolute;left:13896;top:1710;width:552;height:159" filled="f" stroked="f">
              <v:textbox inset="0,0,0,0">
                <w:txbxContent>
                  <w:p w:rsidR="00F22F94" w:rsidRDefault="00F22F94">
                    <w:pPr>
                      <w:spacing w:line="158" w:lineRule="exact"/>
                      <w:rPr>
                        <w:sz w:val="14"/>
                      </w:rPr>
                    </w:pPr>
                    <w:r>
                      <w:rPr>
                        <w:w w:val="75"/>
                        <w:sz w:val="14"/>
                      </w:rPr>
                      <w:t>Mona</w:t>
                    </w:r>
                    <w:r>
                      <w:rPr>
                        <w:spacing w:val="11"/>
                        <w:sz w:val="14"/>
                      </w:rPr>
                      <w:t xml:space="preserve"> </w:t>
                    </w:r>
                    <w:r>
                      <w:rPr>
                        <w:spacing w:val="-4"/>
                        <w:w w:val="80"/>
                        <w:sz w:val="14"/>
                      </w:rPr>
                      <w:t>Vale</w:t>
                    </w:r>
                  </w:p>
                </w:txbxContent>
              </v:textbox>
            </v:shape>
            <v:shape id="docshape1104" o:spid="_x0000_s4216" type="#_x0000_t202" style="position:absolute;left:8142;top:1916;width:759;height:319" filled="f" stroked="f">
              <v:textbox inset="0,0,0,0">
                <w:txbxContent>
                  <w:p w:rsidR="00F22F94" w:rsidRDefault="00F22F94">
                    <w:pPr>
                      <w:ind w:right="12" w:firstLine="83"/>
                      <w:rPr>
                        <w:sz w:val="14"/>
                      </w:rPr>
                    </w:pPr>
                    <w:r>
                      <w:rPr>
                        <w:w w:val="90"/>
                        <w:sz w:val="14"/>
                      </w:rPr>
                      <w:t>North</w:t>
                    </w:r>
                    <w:r>
                      <w:rPr>
                        <w:spacing w:val="-6"/>
                        <w:w w:val="90"/>
                        <w:sz w:val="14"/>
                      </w:rPr>
                      <w:t xml:space="preserve"> </w:t>
                    </w:r>
                    <w:r>
                      <w:rPr>
                        <w:w w:val="90"/>
                        <w:sz w:val="14"/>
                      </w:rPr>
                      <w:t>West</w:t>
                    </w:r>
                    <w:r>
                      <w:rPr>
                        <w:spacing w:val="40"/>
                        <w:sz w:val="14"/>
                      </w:rPr>
                      <w:t xml:space="preserve"> </w:t>
                    </w:r>
                    <w:r>
                      <w:rPr>
                        <w:w w:val="80"/>
                        <w:sz w:val="14"/>
                      </w:rPr>
                      <w:t>Growth</w:t>
                    </w:r>
                    <w:r>
                      <w:rPr>
                        <w:spacing w:val="-2"/>
                        <w:w w:val="80"/>
                        <w:sz w:val="14"/>
                      </w:rPr>
                      <w:t xml:space="preserve"> </w:t>
                    </w:r>
                    <w:r>
                      <w:rPr>
                        <w:w w:val="80"/>
                        <w:sz w:val="14"/>
                      </w:rPr>
                      <w:t>Centre</w:t>
                    </w:r>
                  </w:p>
                </w:txbxContent>
              </v:textbox>
            </v:shape>
            <v:shape id="docshape1105" o:spid="_x0000_s4215" type="#_x0000_t202" style="position:absolute;left:9384;top:1999;width:524;height:159" filled="f" stroked="f">
              <v:textbox inset="0,0,0,0">
                <w:txbxContent>
                  <w:p w:rsidR="00F22F94" w:rsidRDefault="00F22F94">
                    <w:pPr>
                      <w:spacing w:line="158" w:lineRule="exact"/>
                      <w:rPr>
                        <w:sz w:val="14"/>
                      </w:rPr>
                    </w:pPr>
                    <w:r>
                      <w:rPr>
                        <w:w w:val="75"/>
                        <w:sz w:val="14"/>
                      </w:rPr>
                      <w:t>Rouse</w:t>
                    </w:r>
                    <w:r>
                      <w:rPr>
                        <w:sz w:val="14"/>
                      </w:rPr>
                      <w:t xml:space="preserve"> </w:t>
                    </w:r>
                    <w:r>
                      <w:rPr>
                        <w:spacing w:val="-4"/>
                        <w:w w:val="85"/>
                        <w:sz w:val="14"/>
                      </w:rPr>
                      <w:t>Hill</w:t>
                    </w:r>
                  </w:p>
                </w:txbxContent>
              </v:textbox>
            </v:shape>
            <v:shape id="docshape1106" o:spid="_x0000_s4214" type="#_x0000_t202" style="position:absolute;left:12970;top:1812;width:277;height:319" filled="f" stroked="f">
              <v:textbox inset="0,0,0,0">
                <w:txbxContent>
                  <w:p w:rsidR="00F22F94" w:rsidRDefault="00F22F94">
                    <w:pPr>
                      <w:rPr>
                        <w:sz w:val="14"/>
                      </w:rPr>
                    </w:pPr>
                    <w:r>
                      <w:rPr>
                        <w:spacing w:val="-2"/>
                        <w:w w:val="75"/>
                        <w:sz w:val="14"/>
                      </w:rPr>
                      <w:t>Terry</w:t>
                    </w:r>
                    <w:r>
                      <w:rPr>
                        <w:spacing w:val="40"/>
                        <w:sz w:val="14"/>
                      </w:rPr>
                      <w:t xml:space="preserve"> </w:t>
                    </w:r>
                    <w:r>
                      <w:rPr>
                        <w:spacing w:val="-2"/>
                        <w:w w:val="90"/>
                        <w:sz w:val="14"/>
                      </w:rPr>
                      <w:t>Hills</w:t>
                    </w:r>
                  </w:p>
                </w:txbxContent>
              </v:textbox>
            </v:shape>
            <v:shape id="docshape1107" o:spid="_x0000_s4213" type="#_x0000_t202" style="position:absolute;left:11099;top:2157;width:435;height:159" filled="f" stroked="f">
              <v:textbox inset="0,0,0,0">
                <w:txbxContent>
                  <w:p w:rsidR="00F22F94" w:rsidRDefault="00F22F94">
                    <w:pPr>
                      <w:spacing w:line="158" w:lineRule="exact"/>
                      <w:rPr>
                        <w:sz w:val="14"/>
                      </w:rPr>
                    </w:pPr>
                    <w:r>
                      <w:rPr>
                        <w:spacing w:val="-2"/>
                        <w:w w:val="80"/>
                        <w:sz w:val="14"/>
                      </w:rPr>
                      <w:t>Hornsby</w:t>
                    </w:r>
                  </w:p>
                </w:txbxContent>
              </v:textbox>
            </v:shape>
            <v:shape id="docshape1108" o:spid="_x0000_s4212" type="#_x0000_t202" style="position:absolute;left:10081;top:2470;width:527;height:159" filled="f" stroked="f">
              <v:textbox inset="0,0,0,0">
                <w:txbxContent>
                  <w:p w:rsidR="00F22F94" w:rsidRDefault="00F22F94">
                    <w:pPr>
                      <w:spacing w:line="158" w:lineRule="exact"/>
                      <w:rPr>
                        <w:sz w:val="14"/>
                      </w:rPr>
                    </w:pPr>
                    <w:r>
                      <w:rPr>
                        <w:w w:val="75"/>
                        <w:sz w:val="14"/>
                      </w:rPr>
                      <w:t>Castle</w:t>
                    </w:r>
                    <w:r>
                      <w:rPr>
                        <w:spacing w:val="9"/>
                        <w:sz w:val="14"/>
                      </w:rPr>
                      <w:t xml:space="preserve"> </w:t>
                    </w:r>
                    <w:r>
                      <w:rPr>
                        <w:spacing w:val="-4"/>
                        <w:w w:val="90"/>
                        <w:sz w:val="14"/>
                      </w:rPr>
                      <w:t>Hill</w:t>
                    </w:r>
                  </w:p>
                </w:txbxContent>
              </v:textbox>
            </v:shape>
            <v:shape id="docshape1109" o:spid="_x0000_s4211" type="#_x0000_t202" style="position:absolute;left:9391;top:2773;width:165;height:141" filled="f" stroked="f">
              <v:textbox inset="0,0,0,0">
                <w:txbxContent>
                  <w:p w:rsidR="00F22F94" w:rsidRDefault="00F22F94">
                    <w:pPr>
                      <w:spacing w:before="1"/>
                      <w:rPr>
                        <w:sz w:val="12"/>
                      </w:rPr>
                    </w:pPr>
                    <w:r>
                      <w:rPr>
                        <w:color w:val="FFFFFF"/>
                        <w:spacing w:val="-5"/>
                        <w:w w:val="95"/>
                        <w:sz w:val="12"/>
                      </w:rPr>
                      <w:t>M2</w:t>
                    </w:r>
                  </w:p>
                </w:txbxContent>
              </v:textbox>
            </v:shape>
            <v:shape id="docshape1110" o:spid="_x0000_s4210" type="#_x0000_t202" style="position:absolute;left:12028;top:2772;width:829;height:141" filled="f" stroked="f">
              <v:textbox inset="0,0,0,0">
                <w:txbxContent>
                  <w:p w:rsidR="00F22F94" w:rsidRDefault="00F22F94">
                    <w:pPr>
                      <w:spacing w:before="1"/>
                      <w:rPr>
                        <w:sz w:val="12"/>
                      </w:rPr>
                    </w:pPr>
                    <w:r>
                      <w:rPr>
                        <w:color w:val="FFFFFF"/>
                        <w:w w:val="85"/>
                        <w:sz w:val="12"/>
                      </w:rPr>
                      <w:t>Connect</w:t>
                    </w:r>
                    <w:r>
                      <w:rPr>
                        <w:color w:val="FFFFFF"/>
                        <w:spacing w:val="-3"/>
                        <w:w w:val="85"/>
                        <w:sz w:val="12"/>
                      </w:rPr>
                      <w:t xml:space="preserve"> </w:t>
                    </w:r>
                    <w:r>
                      <w:rPr>
                        <w:color w:val="FFFFFF"/>
                        <w:w w:val="85"/>
                        <w:sz w:val="12"/>
                      </w:rPr>
                      <w:t>F3</w:t>
                    </w:r>
                    <w:r>
                      <w:rPr>
                        <w:color w:val="FFFFFF"/>
                        <w:spacing w:val="-3"/>
                        <w:w w:val="85"/>
                        <w:sz w:val="12"/>
                      </w:rPr>
                      <w:t xml:space="preserve"> </w:t>
                    </w:r>
                    <w:r>
                      <w:rPr>
                        <w:color w:val="FFFFFF"/>
                        <w:w w:val="85"/>
                        <w:sz w:val="12"/>
                      </w:rPr>
                      <w:t>to</w:t>
                    </w:r>
                    <w:r>
                      <w:rPr>
                        <w:color w:val="FFFFFF"/>
                        <w:spacing w:val="-3"/>
                        <w:w w:val="85"/>
                        <w:sz w:val="12"/>
                      </w:rPr>
                      <w:t xml:space="preserve"> </w:t>
                    </w:r>
                    <w:r>
                      <w:rPr>
                        <w:color w:val="FFFFFF"/>
                        <w:spacing w:val="-5"/>
                        <w:w w:val="85"/>
                        <w:sz w:val="12"/>
                      </w:rPr>
                      <w:t>M2</w:t>
                    </w:r>
                  </w:p>
                </w:txbxContent>
              </v:textbox>
            </v:shape>
            <v:shape id="docshape1111" o:spid="_x0000_s4209" type="#_x0000_t202" style="position:absolute;left:6440;top:2877;width:382;height:159" filled="f" stroked="f">
              <v:textbox inset="0,0,0,0">
                <w:txbxContent>
                  <w:p w:rsidR="00F22F94" w:rsidRDefault="00F22F94">
                    <w:pPr>
                      <w:spacing w:line="158" w:lineRule="exact"/>
                      <w:rPr>
                        <w:sz w:val="14"/>
                      </w:rPr>
                    </w:pPr>
                    <w:r>
                      <w:rPr>
                        <w:spacing w:val="-2"/>
                        <w:w w:val="80"/>
                        <w:sz w:val="14"/>
                      </w:rPr>
                      <w:t>Penrith</w:t>
                    </w:r>
                  </w:p>
                </w:txbxContent>
              </v:textbox>
            </v:shape>
            <v:shape id="docshape1112" o:spid="_x0000_s4208" type="#_x0000_t202" style="position:absolute;left:14261;top:2897;width:473;height:159" filled="f" stroked="f">
              <v:textbox inset="0,0,0,0">
                <w:txbxContent>
                  <w:p w:rsidR="00F22F94" w:rsidRDefault="00F22F94">
                    <w:pPr>
                      <w:spacing w:line="158" w:lineRule="exact"/>
                      <w:rPr>
                        <w:sz w:val="14"/>
                      </w:rPr>
                    </w:pPr>
                    <w:r>
                      <w:rPr>
                        <w:w w:val="75"/>
                        <w:sz w:val="14"/>
                      </w:rPr>
                      <w:t>Dee</w:t>
                    </w:r>
                    <w:r>
                      <w:rPr>
                        <w:spacing w:val="-3"/>
                        <w:sz w:val="14"/>
                      </w:rPr>
                      <w:t xml:space="preserve"> </w:t>
                    </w:r>
                    <w:r>
                      <w:rPr>
                        <w:spacing w:val="-5"/>
                        <w:w w:val="85"/>
                        <w:sz w:val="14"/>
                      </w:rPr>
                      <w:t>Why</w:t>
                    </w:r>
                  </w:p>
                </w:txbxContent>
              </v:textbox>
            </v:shape>
            <v:shape id="docshape1113" o:spid="_x0000_s4207" type="#_x0000_t202" style="position:absolute;left:7752;top:3100;width:471;height:159" filled="f" stroked="f">
              <v:textbox inset="0,0,0,0">
                <w:txbxContent>
                  <w:p w:rsidR="00F22F94" w:rsidRDefault="00F22F94">
                    <w:pPr>
                      <w:spacing w:line="158" w:lineRule="exact"/>
                      <w:rPr>
                        <w:sz w:val="14"/>
                      </w:rPr>
                    </w:pPr>
                    <w:r>
                      <w:rPr>
                        <w:w w:val="85"/>
                        <w:sz w:val="14"/>
                      </w:rPr>
                      <w:t>Mt</w:t>
                    </w:r>
                    <w:r>
                      <w:rPr>
                        <w:spacing w:val="-1"/>
                        <w:w w:val="85"/>
                        <w:sz w:val="14"/>
                      </w:rPr>
                      <w:t xml:space="preserve"> </w:t>
                    </w:r>
                    <w:r>
                      <w:rPr>
                        <w:spacing w:val="-2"/>
                        <w:w w:val="85"/>
                        <w:sz w:val="14"/>
                      </w:rPr>
                      <w:t>Druitt</w:t>
                    </w:r>
                  </w:p>
                </w:txbxContent>
              </v:textbox>
            </v:shape>
            <v:shape id="docshape1114" o:spid="_x0000_s4206" type="#_x0000_t202" style="position:absolute;left:12236;top:3083;width:480;height:141" filled="f" stroked="f">
              <v:textbox inset="0,0,0,0">
                <w:txbxContent>
                  <w:p w:rsidR="00F22F94" w:rsidRDefault="00F22F94">
                    <w:pPr>
                      <w:spacing w:before="1"/>
                      <w:rPr>
                        <w:sz w:val="12"/>
                      </w:rPr>
                    </w:pPr>
                    <w:r>
                      <w:rPr>
                        <w:color w:val="FFFFFF"/>
                        <w:w w:val="80"/>
                        <w:sz w:val="12"/>
                      </w:rPr>
                      <w:t>Widen</w:t>
                    </w:r>
                    <w:r>
                      <w:rPr>
                        <w:color w:val="FFFFFF"/>
                        <w:spacing w:val="8"/>
                        <w:sz w:val="12"/>
                      </w:rPr>
                      <w:t xml:space="preserve"> </w:t>
                    </w:r>
                    <w:r>
                      <w:rPr>
                        <w:color w:val="FFFFFF"/>
                        <w:spacing w:val="-5"/>
                        <w:w w:val="95"/>
                        <w:sz w:val="12"/>
                      </w:rPr>
                      <w:t>M2</w:t>
                    </w:r>
                  </w:p>
                </w:txbxContent>
              </v:textbox>
            </v:shape>
            <v:shape id="docshape1115" o:spid="_x0000_s4205" type="#_x0000_t202" style="position:absolute;left:6957;top:3270;width:474;height:159" filled="f" stroked="f">
              <v:textbox inset="0,0,0,0">
                <w:txbxContent>
                  <w:p w:rsidR="00F22F94" w:rsidRDefault="00F22F94">
                    <w:pPr>
                      <w:spacing w:line="158" w:lineRule="exact"/>
                      <w:rPr>
                        <w:sz w:val="14"/>
                      </w:rPr>
                    </w:pPr>
                    <w:r>
                      <w:rPr>
                        <w:w w:val="75"/>
                        <w:sz w:val="14"/>
                      </w:rPr>
                      <w:t>St</w:t>
                    </w:r>
                    <w:r>
                      <w:rPr>
                        <w:spacing w:val="-2"/>
                        <w:sz w:val="14"/>
                      </w:rPr>
                      <w:t xml:space="preserve"> </w:t>
                    </w:r>
                    <w:r>
                      <w:rPr>
                        <w:spacing w:val="-2"/>
                        <w:w w:val="85"/>
                        <w:sz w:val="14"/>
                      </w:rPr>
                      <w:t>Marys</w:t>
                    </w:r>
                  </w:p>
                </w:txbxContent>
              </v:textbox>
            </v:shape>
            <v:shape id="docshape1116" o:spid="_x0000_s4204" type="#_x0000_t202" style="position:absolute;left:13638;top:3160;width:524;height:159" filled="f" stroked="f">
              <v:textbox inset="0,0,0,0">
                <w:txbxContent>
                  <w:p w:rsidR="00F22F94" w:rsidRDefault="00F22F94">
                    <w:pPr>
                      <w:spacing w:line="158" w:lineRule="exact"/>
                      <w:rPr>
                        <w:sz w:val="14"/>
                      </w:rPr>
                    </w:pPr>
                    <w:r>
                      <w:rPr>
                        <w:spacing w:val="-2"/>
                        <w:w w:val="80"/>
                        <w:sz w:val="14"/>
                      </w:rPr>
                      <w:t>Brookvale</w:t>
                    </w:r>
                  </w:p>
                </w:txbxContent>
              </v:textbox>
            </v:shape>
            <v:shape id="docshape1117" o:spid="_x0000_s4203" type="#_x0000_t202" style="position:absolute;left:8831;top:3396;width:547;height:159" filled="f" stroked="f">
              <v:textbox inset="0,0,0,0">
                <w:txbxContent>
                  <w:p w:rsidR="00F22F94" w:rsidRDefault="00F22F94">
                    <w:pPr>
                      <w:spacing w:line="158" w:lineRule="exact"/>
                      <w:rPr>
                        <w:sz w:val="14"/>
                      </w:rPr>
                    </w:pPr>
                    <w:r>
                      <w:rPr>
                        <w:spacing w:val="-2"/>
                        <w:w w:val="80"/>
                        <w:sz w:val="14"/>
                      </w:rPr>
                      <w:t>Blacktown</w:t>
                    </w:r>
                  </w:p>
                </w:txbxContent>
              </v:textbox>
            </v:shape>
            <v:shape id="docshape1118" o:spid="_x0000_s4202" type="#_x0000_t202" style="position:absolute;left:11000;top:3258;width:863;height:613" filled="f" stroked="f">
              <v:textbox inset="0,0,0,0">
                <w:txbxContent>
                  <w:p w:rsidR="00F22F94" w:rsidRDefault="00F22F94">
                    <w:pPr>
                      <w:spacing w:line="159" w:lineRule="exact"/>
                      <w:rPr>
                        <w:sz w:val="14"/>
                      </w:rPr>
                    </w:pPr>
                    <w:r>
                      <w:rPr>
                        <w:spacing w:val="-2"/>
                        <w:w w:val="85"/>
                        <w:sz w:val="14"/>
                      </w:rPr>
                      <w:t>Epping</w:t>
                    </w:r>
                  </w:p>
                  <w:p w:rsidR="00F22F94" w:rsidRDefault="00F22F94">
                    <w:pPr>
                      <w:spacing w:before="131"/>
                      <w:ind w:left="458" w:hanging="154"/>
                      <w:rPr>
                        <w:sz w:val="14"/>
                      </w:rPr>
                    </w:pPr>
                    <w:r>
                      <w:rPr>
                        <w:spacing w:val="-2"/>
                        <w:w w:val="80"/>
                        <w:sz w:val="14"/>
                      </w:rPr>
                      <w:t>Macquarie</w:t>
                    </w:r>
                    <w:r>
                      <w:rPr>
                        <w:spacing w:val="40"/>
                        <w:sz w:val="14"/>
                      </w:rPr>
                      <w:t xml:space="preserve"> </w:t>
                    </w:r>
                    <w:r>
                      <w:rPr>
                        <w:spacing w:val="-4"/>
                        <w:w w:val="90"/>
                        <w:sz w:val="14"/>
                      </w:rPr>
                      <w:t>Park</w:t>
                    </w:r>
                  </w:p>
                </w:txbxContent>
              </v:textbox>
            </v:shape>
            <v:shape id="docshape1119" o:spid="_x0000_s4201" type="#_x0000_t202" style="position:absolute;left:12755;top:3353;width:798;height:281" filled="f" stroked="f">
              <v:textbox inset="0,0,0,0">
                <w:txbxContent>
                  <w:p w:rsidR="00F22F94" w:rsidRDefault="00F22F94">
                    <w:pPr>
                      <w:spacing w:before="1" w:line="242" w:lineRule="auto"/>
                      <w:ind w:right="10"/>
                      <w:rPr>
                        <w:sz w:val="12"/>
                      </w:rPr>
                    </w:pPr>
                    <w:r>
                      <w:rPr>
                        <w:color w:val="FFFFFF"/>
                        <w:w w:val="85"/>
                        <w:sz w:val="12"/>
                      </w:rPr>
                      <w:t>Enhanced</w:t>
                    </w:r>
                    <w:r>
                      <w:rPr>
                        <w:color w:val="FFFFFF"/>
                        <w:spacing w:val="-4"/>
                        <w:w w:val="85"/>
                        <w:sz w:val="12"/>
                      </w:rPr>
                      <w:t xml:space="preserve"> </w:t>
                    </w:r>
                    <w:r>
                      <w:rPr>
                        <w:color w:val="FFFFFF"/>
                        <w:w w:val="85"/>
                        <w:sz w:val="12"/>
                      </w:rPr>
                      <w:t>North-</w:t>
                    </w:r>
                    <w:r>
                      <w:rPr>
                        <w:color w:val="FFFFFF"/>
                        <w:spacing w:val="40"/>
                        <w:sz w:val="12"/>
                      </w:rPr>
                      <w:t xml:space="preserve"> </w:t>
                    </w:r>
                    <w:r>
                      <w:rPr>
                        <w:color w:val="FFFFFF"/>
                        <w:w w:val="95"/>
                        <w:sz w:val="12"/>
                      </w:rPr>
                      <w:t>South</w:t>
                    </w:r>
                    <w:r>
                      <w:rPr>
                        <w:color w:val="FFFFFF"/>
                        <w:spacing w:val="-7"/>
                        <w:w w:val="95"/>
                        <w:sz w:val="12"/>
                      </w:rPr>
                      <w:t xml:space="preserve"> </w:t>
                    </w:r>
                    <w:r>
                      <w:rPr>
                        <w:color w:val="FFFFFF"/>
                        <w:w w:val="95"/>
                        <w:sz w:val="12"/>
                      </w:rPr>
                      <w:t>links</w:t>
                    </w:r>
                  </w:p>
                </w:txbxContent>
              </v:textbox>
            </v:shape>
            <v:shape id="docshape1120" o:spid="_x0000_s4200" type="#_x0000_t202" style="position:absolute;left:14038;top:3528;width:324;height:159" filled="f" stroked="f">
              <v:textbox inset="0,0,0,0">
                <w:txbxContent>
                  <w:p w:rsidR="00F22F94" w:rsidRDefault="00F22F94">
                    <w:pPr>
                      <w:spacing w:line="158" w:lineRule="exact"/>
                      <w:rPr>
                        <w:sz w:val="14"/>
                      </w:rPr>
                    </w:pPr>
                    <w:r>
                      <w:rPr>
                        <w:spacing w:val="-4"/>
                        <w:w w:val="85"/>
                        <w:sz w:val="14"/>
                      </w:rPr>
                      <w:t>Manly</w:t>
                    </w:r>
                  </w:p>
                </w:txbxContent>
              </v:textbox>
            </v:shape>
            <v:shape id="docshape1121" o:spid="_x0000_s4199" type="#_x0000_t202" style="position:absolute;left:9695;top:3884;width:165;height:141" filled="f" stroked="f">
              <v:textbox inset="0,0,0,0">
                <w:txbxContent>
                  <w:p w:rsidR="00F22F94" w:rsidRDefault="00F22F94">
                    <w:pPr>
                      <w:spacing w:before="1"/>
                      <w:rPr>
                        <w:sz w:val="12"/>
                      </w:rPr>
                    </w:pPr>
                    <w:r>
                      <w:rPr>
                        <w:color w:val="FFFFFF"/>
                        <w:spacing w:val="-5"/>
                        <w:w w:val="95"/>
                        <w:sz w:val="12"/>
                      </w:rPr>
                      <w:t>M4</w:t>
                    </w:r>
                  </w:p>
                </w:txbxContent>
              </v:textbox>
            </v:shape>
            <v:shape id="docshape1122" o:spid="_x0000_s4198" type="#_x0000_t202" style="position:absolute;left:10122;top:3777;width:590;height:159" filled="f" stroked="f">
              <v:textbox inset="0,0,0,0">
                <w:txbxContent>
                  <w:p w:rsidR="00F22F94" w:rsidRDefault="00F22F94">
                    <w:pPr>
                      <w:spacing w:line="158" w:lineRule="exact"/>
                      <w:rPr>
                        <w:sz w:val="14"/>
                      </w:rPr>
                    </w:pPr>
                    <w:r>
                      <w:rPr>
                        <w:spacing w:val="-2"/>
                        <w:w w:val="80"/>
                        <w:sz w:val="14"/>
                      </w:rPr>
                      <w:t>Parramatta</w:t>
                    </w:r>
                  </w:p>
                </w:txbxContent>
              </v:textbox>
            </v:shape>
            <v:shape id="docshape1123" o:spid="_x0000_s4197" type="#_x0000_t202" style="position:absolute;left:11874;top:3860;width:272;height:159" filled="f" stroked="f">
              <v:textbox inset="0,0,0,0">
                <w:txbxContent>
                  <w:p w:rsidR="00F22F94" w:rsidRDefault="00F22F94">
                    <w:pPr>
                      <w:spacing w:line="158" w:lineRule="exact"/>
                      <w:rPr>
                        <w:sz w:val="14"/>
                      </w:rPr>
                    </w:pPr>
                    <w:r>
                      <w:rPr>
                        <w:spacing w:val="-4"/>
                        <w:w w:val="80"/>
                        <w:sz w:val="14"/>
                      </w:rPr>
                      <w:t>Ryde</w:t>
                    </w:r>
                  </w:p>
                </w:txbxContent>
              </v:textbox>
            </v:shape>
            <v:shape id="docshape1124" o:spid="_x0000_s4196" type="#_x0000_t202" style="position:absolute;left:13086;top:3778;width:586;height:159" filled="f" stroked="f">
              <v:textbox inset="0,0,0,0">
                <w:txbxContent>
                  <w:p w:rsidR="00F22F94" w:rsidRDefault="00F22F94">
                    <w:pPr>
                      <w:spacing w:line="158" w:lineRule="exact"/>
                      <w:rPr>
                        <w:sz w:val="14"/>
                      </w:rPr>
                    </w:pPr>
                    <w:r>
                      <w:rPr>
                        <w:spacing w:val="-2"/>
                        <w:w w:val="80"/>
                        <w:sz w:val="14"/>
                      </w:rPr>
                      <w:t>Chatswood</w:t>
                    </w:r>
                  </w:p>
                </w:txbxContent>
              </v:textbox>
            </v:shape>
            <v:shape id="docshape1125" o:spid="_x0000_s4195" type="#_x0000_t202" style="position:absolute;left:8855;top:4009;width:480;height:141" filled="f" stroked="f">
              <v:textbox inset="0,0,0,0">
                <w:txbxContent>
                  <w:p w:rsidR="00F22F94" w:rsidRDefault="00F22F94">
                    <w:pPr>
                      <w:spacing w:before="1"/>
                      <w:rPr>
                        <w:sz w:val="12"/>
                      </w:rPr>
                    </w:pPr>
                    <w:r>
                      <w:rPr>
                        <w:color w:val="FFFFFF"/>
                        <w:w w:val="80"/>
                        <w:sz w:val="12"/>
                      </w:rPr>
                      <w:t>Widen</w:t>
                    </w:r>
                    <w:r>
                      <w:rPr>
                        <w:color w:val="FFFFFF"/>
                        <w:spacing w:val="8"/>
                        <w:sz w:val="12"/>
                      </w:rPr>
                      <w:t xml:space="preserve"> </w:t>
                    </w:r>
                    <w:r>
                      <w:rPr>
                        <w:color w:val="FFFFFF"/>
                        <w:spacing w:val="-5"/>
                        <w:w w:val="95"/>
                        <w:sz w:val="12"/>
                      </w:rPr>
                      <w:t>M4</w:t>
                    </w:r>
                  </w:p>
                </w:txbxContent>
              </v:textbox>
            </v:shape>
            <v:shape id="docshape1126" o:spid="_x0000_s4194" type="#_x0000_t202" style="position:absolute;left:11020;top:4157;width:901;height:141" filled="f" stroked="f">
              <v:textbox inset="0,0,0,0">
                <w:txbxContent>
                  <w:p w:rsidR="00F22F94" w:rsidRDefault="00F22F94">
                    <w:pPr>
                      <w:spacing w:before="1"/>
                      <w:rPr>
                        <w:sz w:val="12"/>
                      </w:rPr>
                    </w:pPr>
                    <w:r>
                      <w:rPr>
                        <w:color w:val="FFFFFF"/>
                        <w:spacing w:val="-2"/>
                        <w:w w:val="85"/>
                        <w:sz w:val="12"/>
                      </w:rPr>
                      <w:t>Inner</w:t>
                    </w:r>
                    <w:r>
                      <w:rPr>
                        <w:color w:val="FFFFFF"/>
                        <w:sz w:val="12"/>
                      </w:rPr>
                      <w:t xml:space="preserve"> </w:t>
                    </w:r>
                    <w:r>
                      <w:rPr>
                        <w:color w:val="FFFFFF"/>
                        <w:spacing w:val="-2"/>
                        <w:w w:val="85"/>
                        <w:sz w:val="12"/>
                      </w:rPr>
                      <w:t>West</w:t>
                    </w:r>
                    <w:r>
                      <w:rPr>
                        <w:color w:val="FFFFFF"/>
                        <w:spacing w:val="5"/>
                        <w:sz w:val="12"/>
                      </w:rPr>
                      <w:t xml:space="preserve"> </w:t>
                    </w:r>
                    <w:r>
                      <w:rPr>
                        <w:color w:val="FFFFFF"/>
                        <w:spacing w:val="-2"/>
                        <w:w w:val="85"/>
                        <w:sz w:val="12"/>
                      </w:rPr>
                      <w:t>by-</w:t>
                    </w:r>
                    <w:r>
                      <w:rPr>
                        <w:color w:val="FFFFFF"/>
                        <w:spacing w:val="-4"/>
                        <w:w w:val="85"/>
                        <w:sz w:val="12"/>
                      </w:rPr>
                      <w:t>pass</w:t>
                    </w:r>
                  </w:p>
                </w:txbxContent>
              </v:textbox>
            </v:shape>
            <v:shape id="docshape1127" o:spid="_x0000_s4193" type="#_x0000_t202" style="position:absolute;left:8607;top:4331;width:620;height:159" filled="f" stroked="f">
              <v:textbox inset="0,0,0,0">
                <w:txbxContent>
                  <w:p w:rsidR="00F22F94" w:rsidRDefault="00F22F94">
                    <w:pPr>
                      <w:spacing w:line="158" w:lineRule="exact"/>
                      <w:rPr>
                        <w:sz w:val="14"/>
                      </w:rPr>
                    </w:pPr>
                    <w:r>
                      <w:rPr>
                        <w:spacing w:val="-2"/>
                        <w:w w:val="80"/>
                        <w:sz w:val="14"/>
                      </w:rPr>
                      <w:t>Prairiewood</w:t>
                    </w:r>
                  </w:p>
                </w:txbxContent>
              </v:textbox>
            </v:shape>
            <v:shape id="docshape1128" o:spid="_x0000_s4192" type="#_x0000_t202" style="position:absolute;left:13281;top:4316;width:703;height:159" filled="f" stroked="f">
              <v:textbox inset="0,0,0,0">
                <w:txbxContent>
                  <w:p w:rsidR="00F22F94" w:rsidRDefault="00F22F94">
                    <w:pPr>
                      <w:spacing w:line="158" w:lineRule="exact"/>
                      <w:rPr>
                        <w:sz w:val="14"/>
                      </w:rPr>
                    </w:pPr>
                    <w:r>
                      <w:rPr>
                        <w:w w:val="75"/>
                        <w:sz w:val="14"/>
                      </w:rPr>
                      <w:t>North</w:t>
                    </w:r>
                    <w:r>
                      <w:rPr>
                        <w:spacing w:val="15"/>
                        <w:sz w:val="14"/>
                      </w:rPr>
                      <w:t xml:space="preserve"> </w:t>
                    </w:r>
                    <w:r>
                      <w:rPr>
                        <w:spacing w:val="-2"/>
                        <w:w w:val="80"/>
                        <w:sz w:val="14"/>
                      </w:rPr>
                      <w:t>Sydney</w:t>
                    </w:r>
                  </w:p>
                </w:txbxContent>
              </v:textbox>
            </v:shape>
            <v:shape id="docshape1129" o:spid="_x0000_s4191" type="#_x0000_t202" style="position:absolute;left:8359;top:4756;width:165;height:141" filled="f" stroked="f">
              <v:textbox inset="0,0,0,0">
                <w:txbxContent>
                  <w:p w:rsidR="00F22F94" w:rsidRDefault="00F22F94">
                    <w:pPr>
                      <w:spacing w:before="1"/>
                      <w:rPr>
                        <w:sz w:val="12"/>
                      </w:rPr>
                    </w:pPr>
                    <w:r>
                      <w:rPr>
                        <w:color w:val="FFFFFF"/>
                        <w:spacing w:val="-5"/>
                        <w:w w:val="95"/>
                        <w:sz w:val="12"/>
                      </w:rPr>
                      <w:t>M7</w:t>
                    </w:r>
                  </w:p>
                </w:txbxContent>
              </v:textbox>
            </v:shape>
            <v:shape id="docshape1130" o:spid="_x0000_s4190" type="#_x0000_t202" style="position:absolute;left:8970;top:4827;width:754;height:341" filled="f" stroked="f">
              <v:textbox inset="0,0,0,0">
                <w:txbxContent>
                  <w:p w:rsidR="00F22F94" w:rsidRDefault="00F22F94">
                    <w:pPr>
                      <w:spacing w:line="271" w:lineRule="auto"/>
                      <w:ind w:firstLine="323"/>
                      <w:rPr>
                        <w:sz w:val="14"/>
                      </w:rPr>
                    </w:pPr>
                    <w:r>
                      <w:rPr>
                        <w:spacing w:val="-2"/>
                        <w:w w:val="80"/>
                        <w:sz w:val="14"/>
                      </w:rPr>
                      <w:t>Fairfield</w:t>
                    </w:r>
                    <w:r>
                      <w:rPr>
                        <w:spacing w:val="40"/>
                        <w:sz w:val="14"/>
                      </w:rPr>
                      <w:t xml:space="preserve"> </w:t>
                    </w:r>
                    <w:r>
                      <w:rPr>
                        <w:spacing w:val="-2"/>
                        <w:w w:val="90"/>
                        <w:sz w:val="14"/>
                      </w:rPr>
                      <w:t>Cabramatta</w:t>
                    </w:r>
                  </w:p>
                </w:txbxContent>
              </v:textbox>
            </v:shape>
            <v:shape id="docshape1131" o:spid="_x0000_s4189" type="#_x0000_t202" style="position:absolute;left:7639;top:5527;width:480;height:141" filled="f" stroked="f">
              <v:textbox inset="0,0,0,0">
                <w:txbxContent>
                  <w:p w:rsidR="00F22F94" w:rsidRDefault="00F22F94">
                    <w:pPr>
                      <w:spacing w:before="1"/>
                      <w:rPr>
                        <w:sz w:val="12"/>
                      </w:rPr>
                    </w:pPr>
                    <w:r>
                      <w:rPr>
                        <w:color w:val="FFFFFF"/>
                        <w:w w:val="80"/>
                        <w:sz w:val="12"/>
                      </w:rPr>
                      <w:t>Widen</w:t>
                    </w:r>
                    <w:r>
                      <w:rPr>
                        <w:color w:val="FFFFFF"/>
                        <w:spacing w:val="8"/>
                        <w:sz w:val="12"/>
                      </w:rPr>
                      <w:t xml:space="preserve"> </w:t>
                    </w:r>
                    <w:r>
                      <w:rPr>
                        <w:color w:val="FFFFFF"/>
                        <w:spacing w:val="-5"/>
                        <w:w w:val="95"/>
                        <w:sz w:val="12"/>
                      </w:rPr>
                      <w:t>M7</w:t>
                    </w:r>
                  </w:p>
                </w:txbxContent>
              </v:textbox>
            </v:shape>
            <v:shape id="docshape1132" o:spid="_x0000_s4188" type="#_x0000_t202" style="position:absolute;left:8830;top:5482;width:482;height:159" filled="f" stroked="f">
              <v:textbox inset="0,0,0,0">
                <w:txbxContent>
                  <w:p w:rsidR="00F22F94" w:rsidRDefault="00F22F94">
                    <w:pPr>
                      <w:spacing w:line="158" w:lineRule="exact"/>
                      <w:rPr>
                        <w:sz w:val="14"/>
                      </w:rPr>
                    </w:pPr>
                    <w:r>
                      <w:rPr>
                        <w:spacing w:val="-2"/>
                        <w:w w:val="80"/>
                        <w:sz w:val="14"/>
                      </w:rPr>
                      <w:t>Liverpool</w:t>
                    </w:r>
                  </w:p>
                </w:txbxContent>
              </v:textbox>
            </v:shape>
            <v:shape id="docshape1133" o:spid="_x0000_s4187" type="#_x0000_t202" style="position:absolute;left:10327;top:4577;width:1729;height:1281" filled="f" stroked="f">
              <v:textbox inset="0,0,0,0">
                <w:txbxContent>
                  <w:p w:rsidR="00F22F94" w:rsidRDefault="00F22F94">
                    <w:pPr>
                      <w:spacing w:line="159" w:lineRule="exact"/>
                      <w:ind w:left="114" w:right="981"/>
                      <w:jc w:val="center"/>
                      <w:rPr>
                        <w:sz w:val="14"/>
                      </w:rPr>
                    </w:pPr>
                    <w:r>
                      <w:rPr>
                        <w:spacing w:val="-2"/>
                        <w:w w:val="90"/>
                        <w:sz w:val="14"/>
                      </w:rPr>
                      <w:t>Homebush</w:t>
                    </w:r>
                  </w:p>
                  <w:p w:rsidR="00F22F94" w:rsidRDefault="00F22F94">
                    <w:pPr>
                      <w:spacing w:before="58" w:line="144" w:lineRule="exact"/>
                      <w:ind w:left="8"/>
                      <w:jc w:val="center"/>
                      <w:rPr>
                        <w:sz w:val="14"/>
                      </w:rPr>
                    </w:pPr>
                    <w:r>
                      <w:rPr>
                        <w:spacing w:val="-2"/>
                        <w:w w:val="90"/>
                        <w:sz w:val="14"/>
                      </w:rPr>
                      <w:t>Strathfield</w:t>
                    </w:r>
                  </w:p>
                  <w:p w:rsidR="00F22F94" w:rsidRDefault="00F22F94">
                    <w:pPr>
                      <w:spacing w:line="138" w:lineRule="exact"/>
                      <w:ind w:left="2" w:right="1310"/>
                      <w:jc w:val="center"/>
                      <w:rPr>
                        <w:sz w:val="14"/>
                      </w:rPr>
                    </w:pPr>
                    <w:r>
                      <w:rPr>
                        <w:spacing w:val="-2"/>
                        <w:w w:val="75"/>
                        <w:sz w:val="14"/>
                      </w:rPr>
                      <w:t>Chullora</w:t>
                    </w:r>
                  </w:p>
                  <w:p w:rsidR="00F22F94" w:rsidRDefault="00F22F94">
                    <w:pPr>
                      <w:spacing w:line="132" w:lineRule="exact"/>
                      <w:ind w:left="1068"/>
                      <w:jc w:val="center"/>
                      <w:rPr>
                        <w:sz w:val="12"/>
                      </w:rPr>
                    </w:pPr>
                    <w:r>
                      <w:rPr>
                        <w:color w:val="FFFFFF"/>
                        <w:w w:val="85"/>
                        <w:sz w:val="12"/>
                      </w:rPr>
                      <w:t>M4</w:t>
                    </w:r>
                    <w:r>
                      <w:rPr>
                        <w:color w:val="FFFFFF"/>
                        <w:spacing w:val="-4"/>
                        <w:sz w:val="12"/>
                      </w:rPr>
                      <w:t xml:space="preserve"> </w:t>
                    </w:r>
                    <w:r>
                      <w:rPr>
                        <w:color w:val="FFFFFF"/>
                        <w:spacing w:val="-2"/>
                        <w:w w:val="90"/>
                        <w:sz w:val="12"/>
                      </w:rPr>
                      <w:t>Extension</w:t>
                    </w:r>
                  </w:p>
                  <w:p w:rsidR="00F22F94" w:rsidRDefault="00F22F94">
                    <w:pPr>
                      <w:spacing w:before="97"/>
                      <w:ind w:right="228"/>
                      <w:jc w:val="right"/>
                      <w:rPr>
                        <w:sz w:val="14"/>
                      </w:rPr>
                    </w:pPr>
                    <w:r>
                      <w:rPr>
                        <w:spacing w:val="-2"/>
                        <w:w w:val="90"/>
                        <w:sz w:val="14"/>
                      </w:rPr>
                      <w:t>Enfield</w:t>
                    </w:r>
                  </w:p>
                  <w:p w:rsidR="00F22F94" w:rsidRDefault="00F22F94">
                    <w:pPr>
                      <w:spacing w:before="59"/>
                      <w:ind w:right="277"/>
                      <w:jc w:val="right"/>
                      <w:rPr>
                        <w:sz w:val="12"/>
                      </w:rPr>
                    </w:pPr>
                    <w:r>
                      <w:rPr>
                        <w:color w:val="FFFFFF"/>
                        <w:w w:val="85"/>
                        <w:sz w:val="12"/>
                      </w:rPr>
                      <w:t>Widen</w:t>
                    </w:r>
                    <w:r>
                      <w:rPr>
                        <w:color w:val="FFFFFF"/>
                        <w:spacing w:val="-1"/>
                        <w:w w:val="85"/>
                        <w:sz w:val="12"/>
                      </w:rPr>
                      <w:t xml:space="preserve"> </w:t>
                    </w:r>
                    <w:r>
                      <w:rPr>
                        <w:color w:val="FFFFFF"/>
                        <w:w w:val="85"/>
                        <w:sz w:val="12"/>
                      </w:rPr>
                      <w:t>M5</w:t>
                    </w:r>
                    <w:r>
                      <w:rPr>
                        <w:color w:val="FFFFFF"/>
                        <w:spacing w:val="-1"/>
                        <w:w w:val="85"/>
                        <w:sz w:val="12"/>
                      </w:rPr>
                      <w:t xml:space="preserve"> </w:t>
                    </w:r>
                    <w:r>
                      <w:rPr>
                        <w:color w:val="FFFFFF"/>
                        <w:spacing w:val="-4"/>
                        <w:w w:val="85"/>
                        <w:sz w:val="12"/>
                      </w:rPr>
                      <w:t>East</w:t>
                    </w:r>
                  </w:p>
                  <w:p w:rsidR="00F22F94" w:rsidRDefault="00F22F94">
                    <w:pPr>
                      <w:spacing w:before="34" w:line="160" w:lineRule="exact"/>
                      <w:ind w:left="297"/>
                      <w:rPr>
                        <w:sz w:val="14"/>
                      </w:rPr>
                    </w:pPr>
                    <w:r>
                      <w:rPr>
                        <w:spacing w:val="-2"/>
                        <w:w w:val="90"/>
                        <w:sz w:val="14"/>
                      </w:rPr>
                      <w:t>Bankstown</w:t>
                    </w:r>
                  </w:p>
                </w:txbxContent>
              </v:textbox>
            </v:shape>
            <v:shape id="docshape1134" o:spid="_x0000_s4186" type="#_x0000_t202" style="position:absolute;left:13397;top:4918;width:386;height:159" filled="f" stroked="f">
              <v:textbox inset="0,0,0,0">
                <w:txbxContent>
                  <w:p w:rsidR="00F22F94" w:rsidRDefault="00F22F94">
                    <w:pPr>
                      <w:spacing w:line="158" w:lineRule="exact"/>
                      <w:rPr>
                        <w:sz w:val="14"/>
                      </w:rPr>
                    </w:pPr>
                    <w:r>
                      <w:rPr>
                        <w:spacing w:val="-2"/>
                        <w:w w:val="80"/>
                        <w:sz w:val="14"/>
                      </w:rPr>
                      <w:t>Sydney</w:t>
                    </w:r>
                  </w:p>
                </w:txbxContent>
              </v:textbox>
            </v:shape>
            <v:shape id="docshape1135" o:spid="_x0000_s4185" type="#_x0000_t202" style="position:absolute;left:13858;top:5098;width:779;height:159" filled="f" stroked="f">
              <v:textbox inset="0,0,0,0">
                <w:txbxContent>
                  <w:p w:rsidR="00F22F94" w:rsidRDefault="00F22F94">
                    <w:pPr>
                      <w:spacing w:line="158" w:lineRule="exact"/>
                      <w:rPr>
                        <w:sz w:val="14"/>
                      </w:rPr>
                    </w:pPr>
                    <w:r>
                      <w:rPr>
                        <w:w w:val="75"/>
                        <w:sz w:val="14"/>
                      </w:rPr>
                      <w:t>Bondi</w:t>
                    </w:r>
                    <w:r>
                      <w:rPr>
                        <w:spacing w:val="10"/>
                        <w:sz w:val="14"/>
                      </w:rPr>
                      <w:t xml:space="preserve"> </w:t>
                    </w:r>
                    <w:r>
                      <w:rPr>
                        <w:spacing w:val="-2"/>
                        <w:w w:val="85"/>
                        <w:sz w:val="14"/>
                      </w:rPr>
                      <w:t>Junction</w:t>
                    </w:r>
                  </w:p>
                </w:txbxContent>
              </v:textbox>
            </v:shape>
            <v:shape id="docshape1136" o:spid="_x0000_s4184" type="#_x0000_t202" style="position:absolute;left:13364;top:5649;width:689;height:281" filled="f" stroked="f">
              <v:textbox inset="0,0,0,0">
                <w:txbxContent>
                  <w:p w:rsidR="00F22F94" w:rsidRDefault="00F22F94">
                    <w:pPr>
                      <w:spacing w:before="1" w:line="242" w:lineRule="auto"/>
                      <w:rPr>
                        <w:sz w:val="12"/>
                      </w:rPr>
                    </w:pPr>
                    <w:r>
                      <w:rPr>
                        <w:color w:val="FFFFFF"/>
                        <w:spacing w:val="-2"/>
                        <w:w w:val="85"/>
                        <w:sz w:val="12"/>
                      </w:rPr>
                      <w:t>Enhanced</w:t>
                    </w:r>
                    <w:r>
                      <w:rPr>
                        <w:color w:val="FFFFFF"/>
                        <w:spacing w:val="-7"/>
                        <w:sz w:val="12"/>
                      </w:rPr>
                      <w:t xml:space="preserve"> </w:t>
                    </w:r>
                    <w:r>
                      <w:rPr>
                        <w:color w:val="FFFFFF"/>
                        <w:spacing w:val="-2"/>
                        <w:w w:val="85"/>
                        <w:sz w:val="12"/>
                      </w:rPr>
                      <w:t>Port</w:t>
                    </w:r>
                    <w:r>
                      <w:rPr>
                        <w:color w:val="FFFFFF"/>
                        <w:spacing w:val="40"/>
                        <w:sz w:val="12"/>
                      </w:rPr>
                      <w:t xml:space="preserve"> </w:t>
                    </w:r>
                    <w:r>
                      <w:rPr>
                        <w:color w:val="FFFFFF"/>
                        <w:w w:val="95"/>
                        <w:sz w:val="12"/>
                      </w:rPr>
                      <w:t>Botany</w:t>
                    </w:r>
                    <w:r>
                      <w:rPr>
                        <w:color w:val="FFFFFF"/>
                        <w:spacing w:val="-7"/>
                        <w:w w:val="95"/>
                        <w:sz w:val="12"/>
                      </w:rPr>
                      <w:t xml:space="preserve"> </w:t>
                    </w:r>
                    <w:r>
                      <w:rPr>
                        <w:color w:val="FFFFFF"/>
                        <w:w w:val="95"/>
                        <w:sz w:val="12"/>
                      </w:rPr>
                      <w:t>links</w:t>
                    </w:r>
                  </w:p>
                </w:txbxContent>
              </v:textbox>
            </v:shape>
            <v:shape id="docshape1137" o:spid="_x0000_s4183" type="#_x0000_t202" style="position:absolute;left:7186;top:5978;width:759;height:319" filled="f" stroked="f">
              <v:textbox inset="0,0,0,0">
                <w:txbxContent>
                  <w:p w:rsidR="00F22F94" w:rsidRDefault="00F22F94">
                    <w:pPr>
                      <w:ind w:right="12" w:firstLine="77"/>
                      <w:rPr>
                        <w:sz w:val="14"/>
                      </w:rPr>
                    </w:pPr>
                    <w:r>
                      <w:rPr>
                        <w:w w:val="90"/>
                        <w:sz w:val="14"/>
                      </w:rPr>
                      <w:t>South</w:t>
                    </w:r>
                    <w:r>
                      <w:rPr>
                        <w:spacing w:val="-6"/>
                        <w:w w:val="90"/>
                        <w:sz w:val="14"/>
                      </w:rPr>
                      <w:t xml:space="preserve"> </w:t>
                    </w:r>
                    <w:r>
                      <w:rPr>
                        <w:w w:val="90"/>
                        <w:sz w:val="14"/>
                      </w:rPr>
                      <w:t>West</w:t>
                    </w:r>
                    <w:r>
                      <w:rPr>
                        <w:spacing w:val="40"/>
                        <w:sz w:val="14"/>
                      </w:rPr>
                      <w:t xml:space="preserve"> </w:t>
                    </w:r>
                    <w:r>
                      <w:rPr>
                        <w:w w:val="80"/>
                        <w:sz w:val="14"/>
                      </w:rPr>
                      <w:t>Growth</w:t>
                    </w:r>
                    <w:r>
                      <w:rPr>
                        <w:spacing w:val="-2"/>
                        <w:w w:val="80"/>
                        <w:sz w:val="14"/>
                      </w:rPr>
                      <w:t xml:space="preserve"> </w:t>
                    </w:r>
                    <w:r>
                      <w:rPr>
                        <w:w w:val="80"/>
                        <w:sz w:val="14"/>
                      </w:rPr>
                      <w:t>Centre</w:t>
                    </w:r>
                  </w:p>
                </w:txbxContent>
              </v:textbox>
            </v:shape>
            <v:shape id="docshape1138" o:spid="_x0000_s4182" type="#_x0000_t202" style="position:absolute;left:9591;top:5909;width:165;height:141" filled="f" stroked="f">
              <v:textbox inset="0,0,0,0">
                <w:txbxContent>
                  <w:p w:rsidR="00F22F94" w:rsidRDefault="00F22F94">
                    <w:pPr>
                      <w:spacing w:before="1"/>
                      <w:rPr>
                        <w:sz w:val="12"/>
                      </w:rPr>
                    </w:pPr>
                    <w:r>
                      <w:rPr>
                        <w:color w:val="FFFFFF"/>
                        <w:spacing w:val="-5"/>
                        <w:w w:val="95"/>
                        <w:sz w:val="12"/>
                      </w:rPr>
                      <w:t>M5</w:t>
                    </w:r>
                  </w:p>
                </w:txbxContent>
              </v:textbox>
            </v:shape>
            <v:shape id="docshape1139" o:spid="_x0000_s4181" type="#_x0000_t202" style="position:absolute;left:12253;top:6108;width:444;height:159" filled="f" stroked="f">
              <v:textbox inset="0,0,0,0">
                <w:txbxContent>
                  <w:p w:rsidR="00F22F94" w:rsidRDefault="00F22F94">
                    <w:pPr>
                      <w:spacing w:line="158" w:lineRule="exact"/>
                      <w:rPr>
                        <w:sz w:val="14"/>
                      </w:rPr>
                    </w:pPr>
                    <w:r>
                      <w:rPr>
                        <w:spacing w:val="-2"/>
                        <w:w w:val="80"/>
                        <w:sz w:val="14"/>
                      </w:rPr>
                      <w:t>Kogarah</w:t>
                    </w:r>
                  </w:p>
                </w:txbxContent>
              </v:textbox>
            </v:shape>
            <v:shape id="docshape1140" o:spid="_x0000_s4180" type="#_x0000_t202" style="position:absolute;left:9273;top:6271;width:731;height:141" filled="f" stroked="f">
              <v:textbox inset="0,0,0,0">
                <w:txbxContent>
                  <w:p w:rsidR="00F22F94" w:rsidRDefault="00F22F94">
                    <w:pPr>
                      <w:spacing w:before="1"/>
                      <w:rPr>
                        <w:sz w:val="12"/>
                      </w:rPr>
                    </w:pPr>
                    <w:r>
                      <w:rPr>
                        <w:color w:val="FFFFFF"/>
                        <w:w w:val="85"/>
                        <w:sz w:val="12"/>
                      </w:rPr>
                      <w:t>Widen</w:t>
                    </w:r>
                    <w:r>
                      <w:rPr>
                        <w:color w:val="FFFFFF"/>
                        <w:spacing w:val="-2"/>
                        <w:w w:val="85"/>
                        <w:sz w:val="12"/>
                      </w:rPr>
                      <w:t xml:space="preserve"> </w:t>
                    </w:r>
                    <w:r>
                      <w:rPr>
                        <w:color w:val="FFFFFF"/>
                        <w:w w:val="85"/>
                        <w:sz w:val="12"/>
                      </w:rPr>
                      <w:t>M5</w:t>
                    </w:r>
                    <w:r>
                      <w:rPr>
                        <w:color w:val="FFFFFF"/>
                        <w:spacing w:val="-4"/>
                        <w:w w:val="85"/>
                        <w:sz w:val="12"/>
                      </w:rPr>
                      <w:t xml:space="preserve"> West</w:t>
                    </w:r>
                  </w:p>
                </w:txbxContent>
              </v:textbox>
            </v:shape>
            <v:shape id="docshape1141" o:spid="_x0000_s4179" type="#_x0000_t202" style="position:absolute;left:13327;top:6237;width:613;height:159" filled="f" stroked="f">
              <v:textbox inset="0,0,0,0">
                <w:txbxContent>
                  <w:p w:rsidR="00F22F94" w:rsidRDefault="00F22F94">
                    <w:pPr>
                      <w:spacing w:line="158" w:lineRule="exact"/>
                      <w:rPr>
                        <w:sz w:val="14"/>
                      </w:rPr>
                    </w:pPr>
                    <w:r>
                      <w:rPr>
                        <w:w w:val="75"/>
                        <w:sz w:val="14"/>
                      </w:rPr>
                      <w:t>Port</w:t>
                    </w:r>
                    <w:r>
                      <w:rPr>
                        <w:spacing w:val="7"/>
                        <w:sz w:val="14"/>
                      </w:rPr>
                      <w:t xml:space="preserve"> </w:t>
                    </w:r>
                    <w:r>
                      <w:rPr>
                        <w:spacing w:val="-2"/>
                        <w:w w:val="80"/>
                        <w:sz w:val="14"/>
                      </w:rPr>
                      <w:t>Botany</w:t>
                    </w:r>
                  </w:p>
                </w:txbxContent>
              </v:textbox>
            </v:shape>
            <v:shape id="docshape1142" o:spid="_x0000_s4178" type="#_x0000_t202" style="position:absolute;left:11423;top:6427;width:491;height:159" filled="f" stroked="f">
              <v:textbox inset="0,0,0,0">
                <w:txbxContent>
                  <w:p w:rsidR="00F22F94" w:rsidRDefault="00F22F94">
                    <w:pPr>
                      <w:spacing w:line="158" w:lineRule="exact"/>
                      <w:rPr>
                        <w:sz w:val="14"/>
                      </w:rPr>
                    </w:pPr>
                    <w:r>
                      <w:rPr>
                        <w:spacing w:val="-2"/>
                        <w:w w:val="80"/>
                        <w:sz w:val="14"/>
                      </w:rPr>
                      <w:t>Hurstville</w:t>
                    </w:r>
                  </w:p>
                </w:txbxContent>
              </v:textbox>
            </v:shape>
            <v:shape id="docshape1143" o:spid="_x0000_s4177" type="#_x0000_t202" style="position:absolute;left:6668;top:7034;width:605;height:141" filled="f" stroked="f">
              <v:textbox inset="0,0,0,0">
                <w:txbxContent>
                  <w:p w:rsidR="00F22F94" w:rsidRDefault="00F22F94">
                    <w:pPr>
                      <w:spacing w:before="1"/>
                      <w:rPr>
                        <w:sz w:val="12"/>
                      </w:rPr>
                    </w:pPr>
                    <w:r>
                      <w:rPr>
                        <w:color w:val="FFFFFF"/>
                        <w:w w:val="80"/>
                        <w:sz w:val="12"/>
                      </w:rPr>
                      <w:t>Outer</w:t>
                    </w:r>
                    <w:r>
                      <w:rPr>
                        <w:color w:val="FFFFFF"/>
                        <w:spacing w:val="4"/>
                        <w:sz w:val="12"/>
                      </w:rPr>
                      <w:t xml:space="preserve"> </w:t>
                    </w:r>
                    <w:r>
                      <w:rPr>
                        <w:color w:val="FFFFFF"/>
                        <w:spacing w:val="-2"/>
                        <w:w w:val="90"/>
                        <w:sz w:val="12"/>
                      </w:rPr>
                      <w:t>Orbital</w:t>
                    </w:r>
                  </w:p>
                </w:txbxContent>
              </v:textbox>
            </v:shape>
            <v:shape id="docshape1144" o:spid="_x0000_s4176" type="#_x0000_t202" style="position:absolute;left:10465;top:7326;width:572;height:159" filled="f" stroked="f">
              <v:textbox inset="0,0,0,0">
                <w:txbxContent>
                  <w:p w:rsidR="00F22F94" w:rsidRDefault="00F22F94">
                    <w:pPr>
                      <w:spacing w:line="158" w:lineRule="exact"/>
                      <w:rPr>
                        <w:sz w:val="14"/>
                      </w:rPr>
                    </w:pPr>
                    <w:r>
                      <w:rPr>
                        <w:spacing w:val="-2"/>
                        <w:w w:val="80"/>
                        <w:sz w:val="14"/>
                      </w:rPr>
                      <w:t>Sutherland</w:t>
                    </w:r>
                  </w:p>
                </w:txbxContent>
              </v:textbox>
            </v:shape>
            <v:shape id="docshape1145" o:spid="_x0000_s4175" type="#_x0000_t202" style="position:absolute;left:12313;top:7325;width:796;height:141" filled="f" stroked="f">
              <v:textbox inset="0,0,0,0">
                <w:txbxContent>
                  <w:p w:rsidR="00F22F94" w:rsidRDefault="00F22F94">
                    <w:pPr>
                      <w:spacing w:before="1"/>
                      <w:rPr>
                        <w:sz w:val="12"/>
                      </w:rPr>
                    </w:pPr>
                    <w:r>
                      <w:rPr>
                        <w:color w:val="FFFFFF"/>
                        <w:w w:val="85"/>
                        <w:sz w:val="12"/>
                      </w:rPr>
                      <w:t>Connection</w:t>
                    </w:r>
                    <w:r>
                      <w:rPr>
                        <w:color w:val="FFFFFF"/>
                        <w:spacing w:val="-2"/>
                        <w:w w:val="85"/>
                        <w:sz w:val="12"/>
                      </w:rPr>
                      <w:t xml:space="preserve"> </w:t>
                    </w:r>
                    <w:r>
                      <w:rPr>
                        <w:color w:val="FFFFFF"/>
                        <w:w w:val="85"/>
                        <w:sz w:val="12"/>
                      </w:rPr>
                      <w:t>to</w:t>
                    </w:r>
                    <w:r>
                      <w:rPr>
                        <w:color w:val="FFFFFF"/>
                        <w:spacing w:val="-2"/>
                        <w:w w:val="85"/>
                        <w:sz w:val="12"/>
                      </w:rPr>
                      <w:t xml:space="preserve"> </w:t>
                    </w:r>
                    <w:r>
                      <w:rPr>
                        <w:color w:val="FFFFFF"/>
                        <w:spacing w:val="-5"/>
                        <w:w w:val="85"/>
                        <w:sz w:val="12"/>
                      </w:rPr>
                      <w:t>F6</w:t>
                    </w:r>
                  </w:p>
                </w:txbxContent>
              </v:textbox>
            </v:shape>
            <v:shape id="docshape1146" o:spid="_x0000_s4174" type="#_x0000_t202" style="position:absolute;left:7388;top:7644;width:714;height:141" filled="f" stroked="f">
              <v:textbox inset="0,0,0,0">
                <w:txbxContent>
                  <w:p w:rsidR="00F22F94" w:rsidRDefault="00F22F94">
                    <w:pPr>
                      <w:spacing w:before="1"/>
                      <w:rPr>
                        <w:sz w:val="12"/>
                      </w:rPr>
                    </w:pPr>
                    <w:r>
                      <w:rPr>
                        <w:color w:val="FFFFFF"/>
                        <w:w w:val="80"/>
                        <w:sz w:val="12"/>
                      </w:rPr>
                      <w:t>Hume</w:t>
                    </w:r>
                    <w:r>
                      <w:rPr>
                        <w:color w:val="FFFFFF"/>
                        <w:spacing w:val="4"/>
                        <w:sz w:val="12"/>
                      </w:rPr>
                      <w:t xml:space="preserve"> </w:t>
                    </w:r>
                    <w:r>
                      <w:rPr>
                        <w:color w:val="FFFFFF"/>
                        <w:spacing w:val="-2"/>
                        <w:w w:val="90"/>
                        <w:sz w:val="12"/>
                      </w:rPr>
                      <w:t>Highway</w:t>
                    </w:r>
                  </w:p>
                </w:txbxContent>
              </v:textbox>
            </v:shape>
            <v:shape id="docshape1147" o:spid="_x0000_s4173" type="#_x0000_t202" style="position:absolute;left:11375;top:7556;width:436;height:159" filled="f" stroked="f">
              <v:textbox inset="0,0,0,0">
                <w:txbxContent>
                  <w:p w:rsidR="00F22F94" w:rsidRDefault="00F22F94">
                    <w:pPr>
                      <w:spacing w:line="158" w:lineRule="exact"/>
                      <w:rPr>
                        <w:sz w:val="14"/>
                      </w:rPr>
                    </w:pPr>
                    <w:r>
                      <w:rPr>
                        <w:spacing w:val="-2"/>
                        <w:w w:val="80"/>
                        <w:sz w:val="14"/>
                      </w:rPr>
                      <w:t>Miranda</w:t>
                    </w:r>
                  </w:p>
                </w:txbxContent>
              </v:textbox>
            </v:shape>
            <v:shape id="docshape1148" o:spid="_x0000_s4172" type="#_x0000_t202" style="position:absolute;left:6423;top:7753;width:444;height:159" filled="f" stroked="f">
              <v:textbox inset="0,0,0,0">
                <w:txbxContent>
                  <w:p w:rsidR="00F22F94" w:rsidRDefault="00F22F94">
                    <w:pPr>
                      <w:spacing w:line="158" w:lineRule="exact"/>
                      <w:rPr>
                        <w:sz w:val="14"/>
                      </w:rPr>
                    </w:pPr>
                    <w:r>
                      <w:rPr>
                        <w:spacing w:val="-2"/>
                        <w:w w:val="80"/>
                        <w:sz w:val="14"/>
                      </w:rPr>
                      <w:t>Camden</w:t>
                    </w:r>
                  </w:p>
                </w:txbxContent>
              </v:textbox>
            </v:shape>
            <v:shape id="docshape1149" o:spid="_x0000_s4171" type="#_x0000_t202" style="position:absolute;left:12211;top:7653;width:438;height:159" filled="f" stroked="f">
              <v:textbox inset="0,0,0,0">
                <w:txbxContent>
                  <w:p w:rsidR="00F22F94" w:rsidRDefault="00F22F94">
                    <w:pPr>
                      <w:spacing w:line="158" w:lineRule="exact"/>
                      <w:rPr>
                        <w:sz w:val="14"/>
                      </w:rPr>
                    </w:pPr>
                    <w:r>
                      <w:rPr>
                        <w:spacing w:val="-2"/>
                        <w:w w:val="80"/>
                        <w:sz w:val="14"/>
                      </w:rPr>
                      <w:t>Cronulla</w:t>
                    </w:r>
                  </w:p>
                </w:txbxContent>
              </v:textbox>
            </v:shape>
            <v:shape id="docshape1150" o:spid="_x0000_s4170" type="#_x0000_t202" style="position:absolute;left:8201;top:7855;width:744;height:159" filled="f" stroked="f">
              <v:textbox inset="0,0,0,0">
                <w:txbxContent>
                  <w:p w:rsidR="00F22F94" w:rsidRDefault="00F22F94">
                    <w:pPr>
                      <w:spacing w:line="158" w:lineRule="exact"/>
                      <w:rPr>
                        <w:sz w:val="14"/>
                      </w:rPr>
                    </w:pPr>
                    <w:r>
                      <w:rPr>
                        <w:spacing w:val="-2"/>
                        <w:w w:val="80"/>
                        <w:sz w:val="14"/>
                      </w:rPr>
                      <w:t>Campbelltown</w:t>
                    </w:r>
                  </w:p>
                </w:txbxContent>
              </v:textbox>
            </v:shape>
            <v:shape id="docshape1151" o:spid="_x0000_s4169" type="#_x0000_t202" style="position:absolute;left:6107;top:8128;width:1699;height:166" filled="f" stroked="f">
              <v:textbox inset="0,0,0,0">
                <w:txbxContent>
                  <w:p w:rsidR="00F22F94" w:rsidRDefault="00F22F94">
                    <w:pPr>
                      <w:spacing w:before="4"/>
                      <w:rPr>
                        <w:sz w:val="14"/>
                      </w:rPr>
                    </w:pPr>
                    <w:r>
                      <w:rPr>
                        <w:w w:val="95"/>
                        <w:sz w:val="14"/>
                      </w:rPr>
                      <w:t>Source:</w:t>
                    </w:r>
                    <w:r>
                      <w:rPr>
                        <w:spacing w:val="5"/>
                        <w:sz w:val="14"/>
                      </w:rPr>
                      <w:t xml:space="preserve"> </w:t>
                    </w:r>
                    <w:r>
                      <w:rPr>
                        <w:w w:val="95"/>
                        <w:sz w:val="14"/>
                      </w:rPr>
                      <w:t>Transport</w:t>
                    </w:r>
                    <w:r>
                      <w:rPr>
                        <w:spacing w:val="6"/>
                        <w:sz w:val="14"/>
                      </w:rPr>
                      <w:t xml:space="preserve"> </w:t>
                    </w:r>
                    <w:r>
                      <w:rPr>
                        <w:w w:val="95"/>
                        <w:sz w:val="14"/>
                      </w:rPr>
                      <w:t>for</w:t>
                    </w:r>
                    <w:r>
                      <w:rPr>
                        <w:spacing w:val="6"/>
                        <w:sz w:val="14"/>
                      </w:rPr>
                      <w:t xml:space="preserve"> </w:t>
                    </w:r>
                    <w:r>
                      <w:rPr>
                        <w:spacing w:val="-4"/>
                        <w:w w:val="95"/>
                        <w:sz w:val="14"/>
                      </w:rPr>
                      <w:t>NSW.</w:t>
                    </w:r>
                  </w:p>
                </w:txbxContent>
              </v:textbox>
            </v:shape>
            <v:shape id="docshape1152" o:spid="_x0000_s4168" type="#_x0000_t202" style="position:absolute;left:10513;top:8093;width:134;height:141" filled="f" stroked="f">
              <v:textbox inset="0,0,0,0">
                <w:txbxContent>
                  <w:p w:rsidR="00F22F94" w:rsidRDefault="00F22F94">
                    <w:pPr>
                      <w:spacing w:before="1"/>
                      <w:rPr>
                        <w:sz w:val="12"/>
                      </w:rPr>
                    </w:pPr>
                    <w:r>
                      <w:rPr>
                        <w:color w:val="FFFFFF"/>
                        <w:spacing w:val="-5"/>
                        <w:w w:val="90"/>
                        <w:sz w:val="12"/>
                      </w:rPr>
                      <w:t>F6</w:t>
                    </w:r>
                  </w:p>
                </w:txbxContent>
              </v:textbox>
            </v:shape>
            <v:shape id="docshape1153" o:spid="_x0000_s4167" type="#_x0000_t202" style="position:absolute;left:13954;top:8115;width:1663;height:114" filled="f" stroked="f">
              <v:textbox inset="0,0,0,0">
                <w:txbxContent>
                  <w:p w:rsidR="00F22F94" w:rsidRDefault="00F22F94">
                    <w:pPr>
                      <w:tabs>
                        <w:tab w:val="left" w:pos="279"/>
                        <w:tab w:val="left" w:pos="559"/>
                        <w:tab w:val="left" w:pos="839"/>
                        <w:tab w:val="left" w:pos="1119"/>
                        <w:tab w:val="left" w:pos="1371"/>
                      </w:tabs>
                      <w:spacing w:line="113" w:lineRule="exact"/>
                      <w:rPr>
                        <w:sz w:val="10"/>
                      </w:rPr>
                    </w:pPr>
                    <w:r>
                      <w:rPr>
                        <w:spacing w:val="-10"/>
                        <w:w w:val="95"/>
                        <w:sz w:val="10"/>
                      </w:rPr>
                      <w:t>0</w:t>
                    </w:r>
                    <w:r>
                      <w:rPr>
                        <w:sz w:val="10"/>
                      </w:rPr>
                      <w:tab/>
                    </w:r>
                    <w:r>
                      <w:rPr>
                        <w:spacing w:val="-10"/>
                        <w:w w:val="95"/>
                        <w:sz w:val="10"/>
                      </w:rPr>
                      <w:t>2</w:t>
                    </w:r>
                    <w:r>
                      <w:rPr>
                        <w:sz w:val="10"/>
                      </w:rPr>
                      <w:tab/>
                    </w:r>
                    <w:r>
                      <w:rPr>
                        <w:spacing w:val="-10"/>
                        <w:w w:val="95"/>
                        <w:sz w:val="10"/>
                      </w:rPr>
                      <w:t>4</w:t>
                    </w:r>
                    <w:r>
                      <w:rPr>
                        <w:sz w:val="10"/>
                      </w:rPr>
                      <w:tab/>
                    </w:r>
                    <w:r>
                      <w:rPr>
                        <w:spacing w:val="-10"/>
                        <w:w w:val="95"/>
                        <w:sz w:val="10"/>
                      </w:rPr>
                      <w:t>6</w:t>
                    </w:r>
                    <w:r>
                      <w:rPr>
                        <w:sz w:val="10"/>
                      </w:rPr>
                      <w:tab/>
                    </w:r>
                    <w:r>
                      <w:rPr>
                        <w:spacing w:val="-10"/>
                        <w:w w:val="95"/>
                        <w:sz w:val="10"/>
                      </w:rPr>
                      <w:t>8</w:t>
                    </w:r>
                    <w:r>
                      <w:rPr>
                        <w:sz w:val="10"/>
                      </w:rPr>
                      <w:tab/>
                    </w:r>
                    <w:r>
                      <w:rPr>
                        <w:w w:val="85"/>
                        <w:sz w:val="10"/>
                      </w:rPr>
                      <w:t>10</w:t>
                    </w:r>
                    <w:r>
                      <w:rPr>
                        <w:spacing w:val="-1"/>
                        <w:w w:val="85"/>
                        <w:sz w:val="10"/>
                      </w:rPr>
                      <w:t xml:space="preserve"> </w:t>
                    </w:r>
                    <w:r>
                      <w:rPr>
                        <w:spacing w:val="-5"/>
                        <w:w w:val="90"/>
                        <w:sz w:val="10"/>
                      </w:rPr>
                      <w:t>kms</w:t>
                    </w:r>
                  </w:p>
                </w:txbxContent>
              </v:textbox>
            </v:shape>
            <w10:wrap anchorx="page"/>
          </v:group>
        </w:pict>
      </w:r>
      <w:bookmarkStart w:id="161" w:name="6.5__Developing_Sydney’s_Strategic_Road_"/>
      <w:bookmarkStart w:id="162" w:name="_bookmark116"/>
      <w:bookmarkStart w:id="163" w:name="_bookmark115"/>
      <w:bookmarkEnd w:id="161"/>
      <w:bookmarkEnd w:id="162"/>
      <w:bookmarkEnd w:id="163"/>
      <w:r w:rsidR="00F22F94">
        <w:rPr>
          <w:color w:val="00AEEF"/>
          <w:spacing w:val="-6"/>
        </w:rPr>
        <w:t>Developing</w:t>
      </w:r>
      <w:r w:rsidR="00F22F94">
        <w:rPr>
          <w:color w:val="00AEEF"/>
          <w:spacing w:val="-14"/>
        </w:rPr>
        <w:t xml:space="preserve"> </w:t>
      </w:r>
      <w:r w:rsidR="00F22F94">
        <w:rPr>
          <w:color w:val="00AEEF"/>
          <w:spacing w:val="-6"/>
        </w:rPr>
        <w:t>Sydney’s</w:t>
      </w:r>
      <w:r w:rsidR="00F22F94">
        <w:rPr>
          <w:color w:val="00AEEF"/>
          <w:spacing w:val="-13"/>
        </w:rPr>
        <w:t xml:space="preserve"> </w:t>
      </w:r>
      <w:r w:rsidR="00F22F94">
        <w:rPr>
          <w:color w:val="00AEEF"/>
          <w:spacing w:val="-6"/>
        </w:rPr>
        <w:t xml:space="preserve">Strategic </w:t>
      </w:r>
      <w:r w:rsidR="00F22F94">
        <w:rPr>
          <w:color w:val="00AEEF"/>
        </w:rPr>
        <w:t>Road Network</w:t>
      </w:r>
    </w:p>
    <w:p w:rsidR="002C1123" w:rsidRDefault="00F22F94">
      <w:pPr>
        <w:pStyle w:val="Heading6"/>
        <w:numPr>
          <w:ilvl w:val="2"/>
          <w:numId w:val="97"/>
        </w:numPr>
        <w:tabs>
          <w:tab w:val="left" w:pos="979"/>
        </w:tabs>
        <w:spacing w:before="140"/>
        <w:ind w:hanging="487"/>
        <w:jc w:val="left"/>
      </w:pPr>
      <w:r>
        <w:rPr>
          <w:color w:val="00AEEF"/>
          <w:spacing w:val="-2"/>
        </w:rPr>
        <w:t>Network</w:t>
      </w:r>
      <w:r>
        <w:rPr>
          <w:color w:val="00AEEF"/>
          <w:spacing w:val="-11"/>
        </w:rPr>
        <w:t xml:space="preserve"> </w:t>
      </w:r>
      <w:r>
        <w:rPr>
          <w:color w:val="00AEEF"/>
          <w:spacing w:val="-2"/>
        </w:rPr>
        <w:t>Vision</w:t>
      </w:r>
      <w:r>
        <w:rPr>
          <w:color w:val="00AEEF"/>
          <w:spacing w:val="-10"/>
        </w:rPr>
        <w:t xml:space="preserve"> </w:t>
      </w:r>
      <w:r>
        <w:rPr>
          <w:color w:val="00AEEF"/>
          <w:spacing w:val="-2"/>
        </w:rPr>
        <w:t>for</w:t>
      </w:r>
      <w:r>
        <w:rPr>
          <w:color w:val="00AEEF"/>
          <w:spacing w:val="-10"/>
        </w:rPr>
        <w:t xml:space="preserve"> </w:t>
      </w:r>
      <w:r>
        <w:rPr>
          <w:color w:val="00AEEF"/>
          <w:spacing w:val="-2"/>
        </w:rPr>
        <w:t>Sydney</w:t>
      </w:r>
    </w:p>
    <w:p w:rsidR="002C1123" w:rsidRDefault="00F22F94">
      <w:pPr>
        <w:pStyle w:val="BodyText"/>
        <w:spacing w:before="95" w:line="249" w:lineRule="auto"/>
        <w:ind w:left="492" w:right="10835"/>
      </w:pPr>
      <w:r>
        <w:t>No</w:t>
      </w:r>
      <w:r>
        <w:rPr>
          <w:spacing w:val="-9"/>
        </w:rPr>
        <w:t xml:space="preserve"> </w:t>
      </w:r>
      <w:r>
        <w:t>new</w:t>
      </w:r>
      <w:r>
        <w:rPr>
          <w:spacing w:val="-9"/>
        </w:rPr>
        <w:t xml:space="preserve"> </w:t>
      </w:r>
      <w:r>
        <w:t>motorway</w:t>
      </w:r>
      <w:r>
        <w:rPr>
          <w:spacing w:val="-9"/>
        </w:rPr>
        <w:t xml:space="preserve"> </w:t>
      </w:r>
      <w:r>
        <w:t>project</w:t>
      </w:r>
      <w:r>
        <w:rPr>
          <w:spacing w:val="-9"/>
        </w:rPr>
        <w:t xml:space="preserve"> </w:t>
      </w:r>
      <w:r>
        <w:t>has</w:t>
      </w:r>
      <w:r>
        <w:rPr>
          <w:spacing w:val="-9"/>
        </w:rPr>
        <w:t xml:space="preserve"> </w:t>
      </w:r>
      <w:r>
        <w:t>been</w:t>
      </w:r>
      <w:r>
        <w:rPr>
          <w:spacing w:val="-9"/>
        </w:rPr>
        <w:t xml:space="preserve"> </w:t>
      </w:r>
      <w:r>
        <w:t>tendered</w:t>
      </w:r>
      <w:r>
        <w:rPr>
          <w:spacing w:val="-9"/>
        </w:rPr>
        <w:t xml:space="preserve"> </w:t>
      </w:r>
      <w:r>
        <w:t>in</w:t>
      </w:r>
      <w:r>
        <w:rPr>
          <w:spacing w:val="-9"/>
        </w:rPr>
        <w:t xml:space="preserve"> </w:t>
      </w:r>
      <w:r>
        <w:t>NSW for</w:t>
      </w:r>
      <w:r>
        <w:rPr>
          <w:spacing w:val="-11"/>
        </w:rPr>
        <w:t xml:space="preserve"> </w:t>
      </w:r>
      <w:r>
        <w:t>almost</w:t>
      </w:r>
      <w:r>
        <w:rPr>
          <w:spacing w:val="-11"/>
        </w:rPr>
        <w:t xml:space="preserve"> </w:t>
      </w:r>
      <w:r>
        <w:t>a</w:t>
      </w:r>
      <w:r>
        <w:rPr>
          <w:spacing w:val="-11"/>
        </w:rPr>
        <w:t xml:space="preserve"> </w:t>
      </w:r>
      <w:r>
        <w:t>decade.</w:t>
      </w:r>
      <w:r>
        <w:rPr>
          <w:spacing w:val="-11"/>
        </w:rPr>
        <w:t xml:space="preserve"> </w:t>
      </w:r>
      <w:r>
        <w:t>One</w:t>
      </w:r>
      <w:r>
        <w:rPr>
          <w:spacing w:val="-11"/>
        </w:rPr>
        <w:t xml:space="preserve"> </w:t>
      </w:r>
      <w:r>
        <w:t>factor</w:t>
      </w:r>
      <w:r>
        <w:rPr>
          <w:spacing w:val="-11"/>
        </w:rPr>
        <w:t xml:space="preserve"> </w:t>
      </w:r>
      <w:r>
        <w:t>behind</w:t>
      </w:r>
      <w:r>
        <w:rPr>
          <w:spacing w:val="-11"/>
        </w:rPr>
        <w:t xml:space="preserve"> </w:t>
      </w:r>
      <w:r>
        <w:t>this</w:t>
      </w:r>
      <w:r>
        <w:rPr>
          <w:spacing w:val="-11"/>
        </w:rPr>
        <w:t xml:space="preserve"> </w:t>
      </w:r>
      <w:r>
        <w:t>has</w:t>
      </w:r>
      <w:r>
        <w:rPr>
          <w:spacing w:val="-11"/>
        </w:rPr>
        <w:t xml:space="preserve"> </w:t>
      </w:r>
      <w:r>
        <w:t>been the</w:t>
      </w:r>
      <w:r>
        <w:rPr>
          <w:spacing w:val="-11"/>
        </w:rPr>
        <w:t xml:space="preserve"> </w:t>
      </w:r>
      <w:r>
        <w:t>lack</w:t>
      </w:r>
      <w:r>
        <w:rPr>
          <w:spacing w:val="-11"/>
        </w:rPr>
        <w:t xml:space="preserve"> </w:t>
      </w:r>
      <w:r>
        <w:t>of</w:t>
      </w:r>
      <w:r>
        <w:rPr>
          <w:spacing w:val="-11"/>
        </w:rPr>
        <w:t xml:space="preserve"> </w:t>
      </w:r>
      <w:r>
        <w:t>an</w:t>
      </w:r>
      <w:r>
        <w:rPr>
          <w:spacing w:val="-11"/>
        </w:rPr>
        <w:t xml:space="preserve"> </w:t>
      </w:r>
      <w:r>
        <w:t>affordable</w:t>
      </w:r>
      <w:r>
        <w:rPr>
          <w:spacing w:val="-11"/>
        </w:rPr>
        <w:t xml:space="preserve"> </w:t>
      </w:r>
      <w:r>
        <w:t>coherent</w:t>
      </w:r>
      <w:r>
        <w:rPr>
          <w:spacing w:val="-11"/>
        </w:rPr>
        <w:t xml:space="preserve"> </w:t>
      </w:r>
      <w:r>
        <w:t>network</w:t>
      </w:r>
      <w:r>
        <w:rPr>
          <w:spacing w:val="-11"/>
        </w:rPr>
        <w:t xml:space="preserve"> </w:t>
      </w:r>
      <w:r>
        <w:t>strategy</w:t>
      </w:r>
      <w:r>
        <w:rPr>
          <w:spacing w:val="-11"/>
        </w:rPr>
        <w:t xml:space="preserve"> </w:t>
      </w:r>
      <w:r>
        <w:t xml:space="preserve">for </w:t>
      </w:r>
      <w:r>
        <w:rPr>
          <w:w w:val="95"/>
        </w:rPr>
        <w:t>the</w:t>
      </w:r>
      <w:r>
        <w:rPr>
          <w:spacing w:val="-4"/>
          <w:w w:val="95"/>
        </w:rPr>
        <w:t xml:space="preserve"> </w:t>
      </w:r>
      <w:r>
        <w:rPr>
          <w:w w:val="95"/>
        </w:rPr>
        <w:t>SSRN.</w:t>
      </w:r>
      <w:r>
        <w:rPr>
          <w:spacing w:val="-4"/>
          <w:w w:val="95"/>
        </w:rPr>
        <w:t xml:space="preserve"> </w:t>
      </w:r>
      <w:r>
        <w:rPr>
          <w:w w:val="95"/>
        </w:rPr>
        <w:t>Before</w:t>
      </w:r>
      <w:r>
        <w:rPr>
          <w:spacing w:val="-4"/>
          <w:w w:val="95"/>
        </w:rPr>
        <w:t xml:space="preserve"> </w:t>
      </w:r>
      <w:r>
        <w:rPr>
          <w:w w:val="95"/>
        </w:rPr>
        <w:t>any</w:t>
      </w:r>
      <w:r>
        <w:rPr>
          <w:spacing w:val="-4"/>
          <w:w w:val="95"/>
        </w:rPr>
        <w:t xml:space="preserve"> </w:t>
      </w:r>
      <w:r>
        <w:rPr>
          <w:w w:val="95"/>
        </w:rPr>
        <w:t>new</w:t>
      </w:r>
      <w:r>
        <w:rPr>
          <w:spacing w:val="-4"/>
          <w:w w:val="95"/>
        </w:rPr>
        <w:t xml:space="preserve"> </w:t>
      </w:r>
      <w:r>
        <w:rPr>
          <w:w w:val="95"/>
        </w:rPr>
        <w:t>project</w:t>
      </w:r>
      <w:r>
        <w:rPr>
          <w:spacing w:val="-4"/>
          <w:w w:val="95"/>
        </w:rPr>
        <w:t xml:space="preserve"> </w:t>
      </w:r>
      <w:r>
        <w:rPr>
          <w:w w:val="95"/>
        </w:rPr>
        <w:t>is</w:t>
      </w:r>
      <w:r>
        <w:rPr>
          <w:spacing w:val="-4"/>
          <w:w w:val="95"/>
        </w:rPr>
        <w:t xml:space="preserve"> </w:t>
      </w:r>
      <w:r>
        <w:rPr>
          <w:w w:val="95"/>
        </w:rPr>
        <w:t>commenced,</w:t>
      </w:r>
      <w:r>
        <w:rPr>
          <w:spacing w:val="-4"/>
          <w:w w:val="95"/>
        </w:rPr>
        <w:t xml:space="preserve"> </w:t>
      </w:r>
      <w:r>
        <w:rPr>
          <w:w w:val="95"/>
        </w:rPr>
        <w:t xml:space="preserve">NSW </w:t>
      </w:r>
      <w:r>
        <w:t>needs</w:t>
      </w:r>
      <w:r>
        <w:rPr>
          <w:spacing w:val="-14"/>
        </w:rPr>
        <w:t xml:space="preserve"> </w:t>
      </w:r>
      <w:r>
        <w:t>an</w:t>
      </w:r>
      <w:r>
        <w:rPr>
          <w:spacing w:val="-14"/>
        </w:rPr>
        <w:t xml:space="preserve"> </w:t>
      </w:r>
      <w:r>
        <w:t>overarching</w:t>
      </w:r>
      <w:r>
        <w:rPr>
          <w:spacing w:val="-14"/>
        </w:rPr>
        <w:t xml:space="preserve"> </w:t>
      </w:r>
      <w:r>
        <w:t>vision</w:t>
      </w:r>
      <w:r>
        <w:rPr>
          <w:spacing w:val="-14"/>
        </w:rPr>
        <w:t xml:space="preserve"> </w:t>
      </w:r>
      <w:r>
        <w:t>equivalent</w:t>
      </w:r>
      <w:r>
        <w:rPr>
          <w:spacing w:val="-14"/>
        </w:rPr>
        <w:t xml:space="preserve"> </w:t>
      </w:r>
      <w:r>
        <w:t>to</w:t>
      </w:r>
      <w:r>
        <w:rPr>
          <w:spacing w:val="-14"/>
        </w:rPr>
        <w:t xml:space="preserve"> </w:t>
      </w:r>
      <w:r>
        <w:t>the</w:t>
      </w:r>
      <w:r>
        <w:rPr>
          <w:spacing w:val="-14"/>
        </w:rPr>
        <w:t xml:space="preserve"> </w:t>
      </w:r>
      <w:r>
        <w:t>Sydney Orbital Network plan of two decades ago.</w:t>
      </w:r>
    </w:p>
    <w:p w:rsidR="002C1123" w:rsidRDefault="00F22F94">
      <w:pPr>
        <w:pStyle w:val="BodyText"/>
        <w:spacing w:before="147" w:line="249" w:lineRule="auto"/>
        <w:ind w:left="492" w:right="10730"/>
      </w:pPr>
      <w:r>
        <w:rPr>
          <w:w w:val="95"/>
        </w:rPr>
        <w:t xml:space="preserve">The Draft NSW Long Term Transport Master Plan (Draft </w:t>
      </w:r>
      <w:r>
        <w:rPr>
          <w:spacing w:val="-2"/>
        </w:rPr>
        <w:t>Transport</w:t>
      </w:r>
      <w:r>
        <w:rPr>
          <w:spacing w:val="-8"/>
        </w:rPr>
        <w:t xml:space="preserve"> </w:t>
      </w:r>
      <w:r>
        <w:rPr>
          <w:spacing w:val="-2"/>
        </w:rPr>
        <w:t>Master</w:t>
      </w:r>
      <w:r>
        <w:rPr>
          <w:spacing w:val="-8"/>
        </w:rPr>
        <w:t xml:space="preserve"> </w:t>
      </w:r>
      <w:r>
        <w:rPr>
          <w:spacing w:val="-2"/>
        </w:rPr>
        <w:t>Plan)</w:t>
      </w:r>
      <w:r>
        <w:rPr>
          <w:spacing w:val="-8"/>
        </w:rPr>
        <w:t xml:space="preserve"> </w:t>
      </w:r>
      <w:r>
        <w:rPr>
          <w:spacing w:val="-2"/>
        </w:rPr>
        <w:t>sets</w:t>
      </w:r>
      <w:r>
        <w:rPr>
          <w:spacing w:val="-8"/>
        </w:rPr>
        <w:t xml:space="preserve"> </w:t>
      </w:r>
      <w:r>
        <w:rPr>
          <w:spacing w:val="-2"/>
        </w:rPr>
        <w:t>out</w:t>
      </w:r>
      <w:r>
        <w:rPr>
          <w:spacing w:val="-8"/>
        </w:rPr>
        <w:t xml:space="preserve"> </w:t>
      </w:r>
      <w:r>
        <w:rPr>
          <w:spacing w:val="-2"/>
        </w:rPr>
        <w:t>a</w:t>
      </w:r>
      <w:r>
        <w:rPr>
          <w:spacing w:val="-8"/>
        </w:rPr>
        <w:t xml:space="preserve"> </w:t>
      </w:r>
      <w:r>
        <w:rPr>
          <w:spacing w:val="-2"/>
        </w:rPr>
        <w:t>vision</w:t>
      </w:r>
      <w:r>
        <w:rPr>
          <w:spacing w:val="-8"/>
        </w:rPr>
        <w:t xml:space="preserve"> </w:t>
      </w:r>
      <w:r>
        <w:rPr>
          <w:spacing w:val="-2"/>
        </w:rPr>
        <w:t>for</w:t>
      </w:r>
      <w:r>
        <w:rPr>
          <w:spacing w:val="-8"/>
        </w:rPr>
        <w:t xml:space="preserve"> </w:t>
      </w:r>
      <w:r>
        <w:rPr>
          <w:spacing w:val="-2"/>
        </w:rPr>
        <w:t>the</w:t>
      </w:r>
      <w:r>
        <w:rPr>
          <w:spacing w:val="-8"/>
        </w:rPr>
        <w:t xml:space="preserve"> </w:t>
      </w:r>
      <w:r>
        <w:rPr>
          <w:spacing w:val="-2"/>
        </w:rPr>
        <w:t xml:space="preserve">longer </w:t>
      </w:r>
      <w:r>
        <w:rPr>
          <w:w w:val="95"/>
        </w:rPr>
        <w:t>term of Sydney’s motorway infrastructure. This is shown in</w:t>
      </w:r>
      <w:r>
        <w:rPr>
          <w:spacing w:val="-9"/>
          <w:w w:val="95"/>
        </w:rPr>
        <w:t xml:space="preserve"> </w:t>
      </w:r>
      <w:r>
        <w:rPr>
          <w:w w:val="95"/>
        </w:rPr>
        <w:t>Figure</w:t>
      </w:r>
      <w:r>
        <w:rPr>
          <w:spacing w:val="-9"/>
          <w:w w:val="95"/>
        </w:rPr>
        <w:t xml:space="preserve"> </w:t>
      </w:r>
      <w:r>
        <w:rPr>
          <w:w w:val="95"/>
        </w:rPr>
        <w:t>6.3.</w:t>
      </w:r>
      <w:r>
        <w:rPr>
          <w:spacing w:val="-9"/>
          <w:w w:val="95"/>
        </w:rPr>
        <w:t xml:space="preserve"> </w:t>
      </w:r>
      <w:r>
        <w:rPr>
          <w:w w:val="95"/>
        </w:rPr>
        <w:t>Infrastructure</w:t>
      </w:r>
      <w:r>
        <w:rPr>
          <w:spacing w:val="-9"/>
          <w:w w:val="95"/>
        </w:rPr>
        <w:t xml:space="preserve"> </w:t>
      </w:r>
      <w:r>
        <w:rPr>
          <w:w w:val="95"/>
        </w:rPr>
        <w:t>NSW</w:t>
      </w:r>
      <w:r>
        <w:rPr>
          <w:spacing w:val="-9"/>
          <w:w w:val="95"/>
        </w:rPr>
        <w:t xml:space="preserve"> </w:t>
      </w:r>
      <w:r>
        <w:rPr>
          <w:w w:val="95"/>
        </w:rPr>
        <w:t>is</w:t>
      </w:r>
      <w:r>
        <w:rPr>
          <w:spacing w:val="-9"/>
          <w:w w:val="95"/>
        </w:rPr>
        <w:t xml:space="preserve"> </w:t>
      </w:r>
      <w:r>
        <w:rPr>
          <w:w w:val="95"/>
        </w:rPr>
        <w:t>strongly</w:t>
      </w:r>
      <w:r>
        <w:rPr>
          <w:spacing w:val="-9"/>
          <w:w w:val="95"/>
        </w:rPr>
        <w:t xml:space="preserve"> </w:t>
      </w:r>
      <w:r>
        <w:rPr>
          <w:w w:val="95"/>
        </w:rPr>
        <w:t>supportive</w:t>
      </w:r>
      <w:r>
        <w:rPr>
          <w:spacing w:val="-9"/>
          <w:w w:val="95"/>
        </w:rPr>
        <w:t xml:space="preserve"> </w:t>
      </w:r>
      <w:r>
        <w:rPr>
          <w:w w:val="95"/>
        </w:rPr>
        <w:t xml:space="preserve">of </w:t>
      </w:r>
      <w:r>
        <w:t>this</w:t>
      </w:r>
      <w:r>
        <w:rPr>
          <w:spacing w:val="-11"/>
        </w:rPr>
        <w:t xml:space="preserve"> </w:t>
      </w:r>
      <w:r>
        <w:t>vision.</w:t>
      </w:r>
    </w:p>
    <w:p w:rsidR="002C1123" w:rsidRDefault="002060EF">
      <w:pPr>
        <w:pStyle w:val="BodyText"/>
        <w:spacing w:before="145" w:line="249" w:lineRule="auto"/>
        <w:ind w:left="492" w:right="10730"/>
      </w:pPr>
      <w:r>
        <w:pict>
          <v:shape id="docshape1154" o:spid="_x0000_s4165" type="#_x0000_t202" style="position:absolute;left:0;text-align:left;margin-left:578.55pt;margin-top:54.2pt;width:22.65pt;height:7.95pt;z-index:-251496448;mso-position-horizontal-relative:page" filled="f" stroked="f">
            <v:textbox inset="0,0,0,0">
              <w:txbxContent>
                <w:p w:rsidR="00F22F94" w:rsidRDefault="00F22F94">
                  <w:pPr>
                    <w:spacing w:line="158" w:lineRule="exact"/>
                    <w:rPr>
                      <w:sz w:val="14"/>
                    </w:rPr>
                  </w:pPr>
                  <w:r>
                    <w:rPr>
                      <w:spacing w:val="-2"/>
                      <w:w w:val="75"/>
                      <w:sz w:val="14"/>
                    </w:rPr>
                    <w:t>Burwood</w:t>
                  </w:r>
                </w:p>
              </w:txbxContent>
            </v:textbox>
            <w10:wrap anchorx="page"/>
          </v:shape>
        </w:pict>
      </w:r>
      <w:r w:rsidR="00F22F94">
        <w:t>Infrastructure</w:t>
      </w:r>
      <w:r w:rsidR="00F22F94">
        <w:rPr>
          <w:spacing w:val="-14"/>
        </w:rPr>
        <w:t xml:space="preserve"> </w:t>
      </w:r>
      <w:r w:rsidR="00F22F94">
        <w:t>NSW</w:t>
      </w:r>
      <w:r w:rsidR="00F22F94">
        <w:rPr>
          <w:spacing w:val="-14"/>
        </w:rPr>
        <w:t xml:space="preserve"> </w:t>
      </w:r>
      <w:r w:rsidR="00F22F94">
        <w:t>supports</w:t>
      </w:r>
      <w:r w:rsidR="00F22F94">
        <w:rPr>
          <w:spacing w:val="-14"/>
        </w:rPr>
        <w:t xml:space="preserve"> </w:t>
      </w:r>
      <w:r w:rsidR="00F22F94">
        <w:t>extending</w:t>
      </w:r>
      <w:r w:rsidR="00F22F94">
        <w:rPr>
          <w:spacing w:val="-14"/>
        </w:rPr>
        <w:t xml:space="preserve"> </w:t>
      </w:r>
      <w:r w:rsidR="00F22F94">
        <w:t>and</w:t>
      </w:r>
      <w:r w:rsidR="00F22F94">
        <w:rPr>
          <w:spacing w:val="-14"/>
        </w:rPr>
        <w:t xml:space="preserve"> </w:t>
      </w:r>
      <w:r w:rsidR="00F22F94">
        <w:t xml:space="preserve">expanding </w:t>
      </w:r>
      <w:r w:rsidR="00F22F94">
        <w:rPr>
          <w:w w:val="95"/>
        </w:rPr>
        <w:t>the</w:t>
      </w:r>
      <w:r w:rsidR="00F22F94">
        <w:rPr>
          <w:spacing w:val="-3"/>
          <w:w w:val="95"/>
        </w:rPr>
        <w:t xml:space="preserve"> </w:t>
      </w:r>
      <w:r w:rsidR="00F22F94">
        <w:rPr>
          <w:w w:val="95"/>
        </w:rPr>
        <w:t>SSRN</w:t>
      </w:r>
      <w:r w:rsidR="00F22F94">
        <w:rPr>
          <w:spacing w:val="-3"/>
          <w:w w:val="95"/>
        </w:rPr>
        <w:t xml:space="preserve"> </w:t>
      </w:r>
      <w:r w:rsidR="00F22F94">
        <w:rPr>
          <w:w w:val="95"/>
        </w:rPr>
        <w:t>through</w:t>
      </w:r>
      <w:r w:rsidR="00F22F94">
        <w:rPr>
          <w:spacing w:val="-3"/>
          <w:w w:val="95"/>
        </w:rPr>
        <w:t xml:space="preserve"> </w:t>
      </w:r>
      <w:r w:rsidR="00F22F94">
        <w:rPr>
          <w:w w:val="95"/>
        </w:rPr>
        <w:t>the</w:t>
      </w:r>
      <w:r w:rsidR="00F22F94">
        <w:rPr>
          <w:spacing w:val="-3"/>
          <w:w w:val="95"/>
        </w:rPr>
        <w:t xml:space="preserve"> </w:t>
      </w:r>
      <w:r w:rsidR="00F22F94">
        <w:rPr>
          <w:w w:val="95"/>
        </w:rPr>
        <w:t>longer-term</w:t>
      </w:r>
      <w:r w:rsidR="00F22F94">
        <w:rPr>
          <w:spacing w:val="-4"/>
          <w:w w:val="95"/>
        </w:rPr>
        <w:t xml:space="preserve"> </w:t>
      </w:r>
      <w:r w:rsidR="00F22F94">
        <w:rPr>
          <w:w w:val="95"/>
        </w:rPr>
        <w:t>network</w:t>
      </w:r>
      <w:r w:rsidR="00F22F94">
        <w:rPr>
          <w:spacing w:val="-3"/>
          <w:w w:val="95"/>
        </w:rPr>
        <w:t xml:space="preserve"> </w:t>
      </w:r>
      <w:r w:rsidR="00F22F94">
        <w:rPr>
          <w:w w:val="95"/>
        </w:rPr>
        <w:t>vision</w:t>
      </w:r>
      <w:r w:rsidR="00F22F94">
        <w:rPr>
          <w:spacing w:val="-3"/>
          <w:w w:val="95"/>
        </w:rPr>
        <w:t xml:space="preserve"> </w:t>
      </w:r>
      <w:r w:rsidR="00F22F94">
        <w:rPr>
          <w:w w:val="95"/>
        </w:rPr>
        <w:t>set</w:t>
      </w:r>
      <w:r w:rsidR="00F22F94">
        <w:rPr>
          <w:spacing w:val="-3"/>
          <w:w w:val="95"/>
        </w:rPr>
        <w:t xml:space="preserve"> </w:t>
      </w:r>
      <w:r w:rsidR="00F22F94">
        <w:rPr>
          <w:w w:val="95"/>
        </w:rPr>
        <w:t xml:space="preserve">out </w:t>
      </w:r>
      <w:r w:rsidR="00F22F94">
        <w:t>in</w:t>
      </w:r>
      <w:r w:rsidR="00F22F94">
        <w:rPr>
          <w:spacing w:val="-14"/>
        </w:rPr>
        <w:t xml:space="preserve"> </w:t>
      </w:r>
      <w:r w:rsidR="00F22F94">
        <w:t>the</w:t>
      </w:r>
      <w:r w:rsidR="00F22F94">
        <w:rPr>
          <w:spacing w:val="-14"/>
        </w:rPr>
        <w:t xml:space="preserve"> </w:t>
      </w:r>
      <w:r w:rsidR="00F22F94">
        <w:t>Draft</w:t>
      </w:r>
      <w:r w:rsidR="00F22F94">
        <w:rPr>
          <w:spacing w:val="-14"/>
        </w:rPr>
        <w:t xml:space="preserve"> </w:t>
      </w:r>
      <w:r w:rsidR="00F22F94">
        <w:t>Transport</w:t>
      </w:r>
      <w:r w:rsidR="00F22F94">
        <w:rPr>
          <w:spacing w:val="-14"/>
        </w:rPr>
        <w:t xml:space="preserve"> </w:t>
      </w:r>
      <w:r w:rsidR="00F22F94">
        <w:t>Master</w:t>
      </w:r>
      <w:r w:rsidR="00F22F94">
        <w:rPr>
          <w:spacing w:val="-14"/>
        </w:rPr>
        <w:t xml:space="preserve"> </w:t>
      </w:r>
      <w:r w:rsidR="00F22F94">
        <w:t>Plan</w:t>
      </w:r>
      <w:r w:rsidR="00F22F94">
        <w:rPr>
          <w:spacing w:val="-14"/>
        </w:rPr>
        <w:t xml:space="preserve"> </w:t>
      </w:r>
      <w:r w:rsidR="00F22F94">
        <w:t>as</w:t>
      </w:r>
      <w:r w:rsidR="00F22F94">
        <w:rPr>
          <w:spacing w:val="-14"/>
        </w:rPr>
        <w:t xml:space="preserve"> </w:t>
      </w:r>
      <w:r w:rsidR="00F22F94">
        <w:t>one</w:t>
      </w:r>
      <w:r w:rsidR="00F22F94">
        <w:rPr>
          <w:spacing w:val="-14"/>
        </w:rPr>
        <w:t xml:space="preserve"> </w:t>
      </w:r>
      <w:r w:rsidR="00F22F94">
        <w:t>of</w:t>
      </w:r>
      <w:r w:rsidR="00F22F94">
        <w:rPr>
          <w:spacing w:val="-14"/>
        </w:rPr>
        <w:t xml:space="preserve"> </w:t>
      </w:r>
      <w:r w:rsidR="00F22F94">
        <w:t>the</w:t>
      </w:r>
      <w:r w:rsidR="00F22F94">
        <w:rPr>
          <w:spacing w:val="-13"/>
        </w:rPr>
        <w:t xml:space="preserve"> </w:t>
      </w:r>
      <w:r w:rsidR="00F22F94">
        <w:t>State’s highest infrastructure priorities.</w:t>
      </w:r>
    </w:p>
    <w:p w:rsidR="002C1123" w:rsidRDefault="00F22F94">
      <w:pPr>
        <w:pStyle w:val="Heading6"/>
        <w:numPr>
          <w:ilvl w:val="2"/>
          <w:numId w:val="97"/>
        </w:numPr>
        <w:tabs>
          <w:tab w:val="left" w:pos="979"/>
        </w:tabs>
        <w:spacing w:before="146"/>
        <w:ind w:hanging="487"/>
        <w:jc w:val="both"/>
      </w:pPr>
      <w:r>
        <w:rPr>
          <w:color w:val="00AEEF"/>
          <w:spacing w:val="-2"/>
        </w:rPr>
        <w:t>Overview</w:t>
      </w:r>
      <w:r>
        <w:rPr>
          <w:color w:val="00AEEF"/>
          <w:spacing w:val="-12"/>
        </w:rPr>
        <w:t xml:space="preserve"> </w:t>
      </w:r>
      <w:r>
        <w:rPr>
          <w:color w:val="00AEEF"/>
          <w:spacing w:val="-2"/>
        </w:rPr>
        <w:t>of</w:t>
      </w:r>
      <w:r>
        <w:rPr>
          <w:color w:val="00AEEF"/>
          <w:spacing w:val="-11"/>
        </w:rPr>
        <w:t xml:space="preserve"> </w:t>
      </w:r>
      <w:r>
        <w:rPr>
          <w:color w:val="00AEEF"/>
          <w:spacing w:val="-2"/>
        </w:rPr>
        <w:t>Options</w:t>
      </w:r>
    </w:p>
    <w:p w:rsidR="002C1123" w:rsidRDefault="00F22F94">
      <w:pPr>
        <w:pStyle w:val="BodyText"/>
        <w:spacing w:before="85" w:line="240" w:lineRule="atLeast"/>
        <w:ind w:left="492" w:right="10814"/>
        <w:jc w:val="both"/>
      </w:pPr>
      <w:r>
        <w:rPr>
          <w:w w:val="95"/>
        </w:rPr>
        <w:t>Infrastructure</w:t>
      </w:r>
      <w:r>
        <w:rPr>
          <w:spacing w:val="-6"/>
          <w:w w:val="95"/>
        </w:rPr>
        <w:t xml:space="preserve"> </w:t>
      </w:r>
      <w:r>
        <w:rPr>
          <w:w w:val="95"/>
        </w:rPr>
        <w:t>NSW</w:t>
      </w:r>
      <w:r>
        <w:rPr>
          <w:spacing w:val="-6"/>
          <w:w w:val="95"/>
        </w:rPr>
        <w:t xml:space="preserve"> </w:t>
      </w:r>
      <w:r>
        <w:rPr>
          <w:w w:val="95"/>
        </w:rPr>
        <w:t>has</w:t>
      </w:r>
      <w:r>
        <w:rPr>
          <w:spacing w:val="-6"/>
          <w:w w:val="95"/>
        </w:rPr>
        <w:t xml:space="preserve"> </w:t>
      </w:r>
      <w:r>
        <w:rPr>
          <w:w w:val="95"/>
        </w:rPr>
        <w:t>reviewed</w:t>
      </w:r>
      <w:r>
        <w:rPr>
          <w:spacing w:val="-6"/>
          <w:w w:val="95"/>
        </w:rPr>
        <w:t xml:space="preserve"> </w:t>
      </w:r>
      <w:r>
        <w:rPr>
          <w:w w:val="95"/>
        </w:rPr>
        <w:t>each</w:t>
      </w:r>
      <w:r>
        <w:rPr>
          <w:spacing w:val="-6"/>
          <w:w w:val="95"/>
        </w:rPr>
        <w:t xml:space="preserve"> </w:t>
      </w:r>
      <w:r>
        <w:rPr>
          <w:w w:val="95"/>
        </w:rPr>
        <w:t>of</w:t>
      </w:r>
      <w:r>
        <w:rPr>
          <w:spacing w:val="-6"/>
          <w:w w:val="95"/>
        </w:rPr>
        <w:t xml:space="preserve"> </w:t>
      </w:r>
      <w:r>
        <w:rPr>
          <w:w w:val="95"/>
        </w:rPr>
        <w:t>the</w:t>
      </w:r>
      <w:r>
        <w:rPr>
          <w:spacing w:val="-6"/>
          <w:w w:val="95"/>
        </w:rPr>
        <w:t xml:space="preserve"> </w:t>
      </w:r>
      <w:r>
        <w:rPr>
          <w:w w:val="95"/>
        </w:rPr>
        <w:t>motorways identified</w:t>
      </w:r>
      <w:r>
        <w:rPr>
          <w:spacing w:val="-8"/>
          <w:w w:val="95"/>
        </w:rPr>
        <w:t xml:space="preserve"> </w:t>
      </w:r>
      <w:r>
        <w:rPr>
          <w:w w:val="95"/>
        </w:rPr>
        <w:t>by</w:t>
      </w:r>
      <w:r>
        <w:rPr>
          <w:spacing w:val="-8"/>
          <w:w w:val="95"/>
        </w:rPr>
        <w:t xml:space="preserve"> </w:t>
      </w:r>
      <w:r>
        <w:rPr>
          <w:w w:val="95"/>
        </w:rPr>
        <w:t>Transport</w:t>
      </w:r>
      <w:r>
        <w:rPr>
          <w:spacing w:val="-8"/>
          <w:w w:val="95"/>
        </w:rPr>
        <w:t xml:space="preserve"> </w:t>
      </w:r>
      <w:r>
        <w:rPr>
          <w:w w:val="95"/>
        </w:rPr>
        <w:t>for</w:t>
      </w:r>
      <w:r>
        <w:rPr>
          <w:spacing w:val="-8"/>
          <w:w w:val="95"/>
        </w:rPr>
        <w:t xml:space="preserve"> </w:t>
      </w:r>
      <w:r>
        <w:rPr>
          <w:w w:val="95"/>
        </w:rPr>
        <w:t>NSW,</w:t>
      </w:r>
      <w:r>
        <w:rPr>
          <w:spacing w:val="-8"/>
          <w:w w:val="95"/>
        </w:rPr>
        <w:t xml:space="preserve"> </w:t>
      </w:r>
      <w:r>
        <w:rPr>
          <w:w w:val="95"/>
        </w:rPr>
        <w:t>together</w:t>
      </w:r>
      <w:r>
        <w:rPr>
          <w:spacing w:val="-8"/>
          <w:w w:val="95"/>
        </w:rPr>
        <w:t xml:space="preserve"> </w:t>
      </w:r>
      <w:r>
        <w:rPr>
          <w:w w:val="95"/>
        </w:rPr>
        <w:t>with</w:t>
      </w:r>
      <w:r>
        <w:rPr>
          <w:spacing w:val="-8"/>
          <w:w w:val="95"/>
        </w:rPr>
        <w:t xml:space="preserve"> </w:t>
      </w:r>
      <w:r>
        <w:rPr>
          <w:w w:val="95"/>
        </w:rPr>
        <w:t>a</w:t>
      </w:r>
      <w:r>
        <w:rPr>
          <w:spacing w:val="-8"/>
          <w:w w:val="95"/>
        </w:rPr>
        <w:t xml:space="preserve"> </w:t>
      </w:r>
      <w:r>
        <w:rPr>
          <w:w w:val="95"/>
        </w:rPr>
        <w:t xml:space="preserve">potential </w:t>
      </w:r>
      <w:r>
        <w:t>Northern</w:t>
      </w:r>
      <w:r>
        <w:rPr>
          <w:spacing w:val="-6"/>
        </w:rPr>
        <w:t xml:space="preserve"> </w:t>
      </w:r>
      <w:r>
        <w:t>Beaches</w:t>
      </w:r>
      <w:r>
        <w:rPr>
          <w:spacing w:val="-6"/>
        </w:rPr>
        <w:t xml:space="preserve"> </w:t>
      </w:r>
      <w:r>
        <w:t>Link,</w:t>
      </w:r>
      <w:r>
        <w:rPr>
          <w:spacing w:val="-6"/>
        </w:rPr>
        <w:t xml:space="preserve"> </w:t>
      </w:r>
      <w:r>
        <w:t>which</w:t>
      </w:r>
      <w:r>
        <w:rPr>
          <w:spacing w:val="-6"/>
        </w:rPr>
        <w:t xml:space="preserve"> </w:t>
      </w:r>
      <w:r>
        <w:t>has</w:t>
      </w:r>
      <w:r>
        <w:rPr>
          <w:spacing w:val="-6"/>
        </w:rPr>
        <w:t xml:space="preserve"> </w:t>
      </w:r>
      <w:r>
        <w:t>been</w:t>
      </w:r>
      <w:r>
        <w:rPr>
          <w:spacing w:val="-6"/>
        </w:rPr>
        <w:t xml:space="preserve"> </w:t>
      </w:r>
      <w:r>
        <w:t>advocated</w:t>
      </w:r>
    </w:p>
    <w:p w:rsidR="002C1123" w:rsidRDefault="00F22F94">
      <w:pPr>
        <w:pStyle w:val="BodyText"/>
        <w:spacing w:before="10" w:line="249" w:lineRule="auto"/>
        <w:ind w:left="492" w:right="11501"/>
        <w:jc w:val="both"/>
      </w:pPr>
      <w:r>
        <w:rPr>
          <w:w w:val="95"/>
        </w:rPr>
        <w:t>in</w:t>
      </w:r>
      <w:r>
        <w:rPr>
          <w:spacing w:val="-5"/>
          <w:w w:val="95"/>
        </w:rPr>
        <w:t xml:space="preserve"> </w:t>
      </w:r>
      <w:r>
        <w:rPr>
          <w:w w:val="95"/>
        </w:rPr>
        <w:t>a</w:t>
      </w:r>
      <w:r>
        <w:rPr>
          <w:spacing w:val="-5"/>
          <w:w w:val="95"/>
        </w:rPr>
        <w:t xml:space="preserve"> </w:t>
      </w:r>
      <w:r>
        <w:rPr>
          <w:w w:val="95"/>
        </w:rPr>
        <w:t>number</w:t>
      </w:r>
      <w:r>
        <w:rPr>
          <w:spacing w:val="-5"/>
          <w:w w:val="95"/>
        </w:rPr>
        <w:t xml:space="preserve"> </w:t>
      </w:r>
      <w:r>
        <w:rPr>
          <w:w w:val="95"/>
        </w:rPr>
        <w:t>of</w:t>
      </w:r>
      <w:r>
        <w:rPr>
          <w:spacing w:val="-5"/>
          <w:w w:val="95"/>
        </w:rPr>
        <w:t xml:space="preserve"> </w:t>
      </w:r>
      <w:r>
        <w:rPr>
          <w:w w:val="95"/>
        </w:rPr>
        <w:t>unsolicited</w:t>
      </w:r>
      <w:r>
        <w:rPr>
          <w:spacing w:val="-5"/>
          <w:w w:val="95"/>
        </w:rPr>
        <w:t xml:space="preserve"> </w:t>
      </w:r>
      <w:r>
        <w:rPr>
          <w:w w:val="95"/>
        </w:rPr>
        <w:t>proposals</w:t>
      </w:r>
      <w:r>
        <w:rPr>
          <w:spacing w:val="-5"/>
          <w:w w:val="95"/>
        </w:rPr>
        <w:t xml:space="preserve"> </w:t>
      </w:r>
      <w:r>
        <w:rPr>
          <w:w w:val="95"/>
        </w:rPr>
        <w:t>to</w:t>
      </w:r>
      <w:r>
        <w:rPr>
          <w:spacing w:val="-5"/>
          <w:w w:val="95"/>
        </w:rPr>
        <w:t xml:space="preserve"> </w:t>
      </w:r>
      <w:r>
        <w:rPr>
          <w:w w:val="95"/>
        </w:rPr>
        <w:t>the</w:t>
      </w:r>
      <w:r>
        <w:rPr>
          <w:spacing w:val="-5"/>
          <w:w w:val="95"/>
        </w:rPr>
        <w:t xml:space="preserve"> </w:t>
      </w:r>
      <w:r>
        <w:rPr>
          <w:w w:val="95"/>
        </w:rPr>
        <w:t xml:space="preserve">NSW </w:t>
      </w:r>
      <w:r>
        <w:rPr>
          <w:spacing w:val="-2"/>
        </w:rPr>
        <w:t>Government.</w:t>
      </w:r>
    </w:p>
    <w:p w:rsidR="002C1123" w:rsidRDefault="002C1123">
      <w:pPr>
        <w:spacing w:line="249" w:lineRule="auto"/>
        <w:jc w:val="both"/>
        <w:sectPr w:rsidR="002C1123">
          <w:pgSz w:w="16840" w:h="11910" w:orient="landscape"/>
          <w:pgMar w:top="560" w:right="280" w:bottom="700" w:left="500" w:header="0" w:footer="517"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3"/>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Heading6"/>
        <w:numPr>
          <w:ilvl w:val="2"/>
          <w:numId w:val="97"/>
        </w:numPr>
        <w:tabs>
          <w:tab w:val="left" w:pos="979"/>
        </w:tabs>
        <w:spacing w:line="249" w:lineRule="auto"/>
        <w:ind w:right="412"/>
        <w:jc w:val="left"/>
      </w:pPr>
      <w:bookmarkStart w:id="164" w:name="_bookmark117"/>
      <w:bookmarkEnd w:id="164"/>
      <w:r>
        <w:rPr>
          <w:color w:val="00AEEF"/>
          <w:spacing w:val="-2"/>
        </w:rPr>
        <w:t>Delivering</w:t>
      </w:r>
      <w:r>
        <w:rPr>
          <w:color w:val="00AEEF"/>
          <w:spacing w:val="-12"/>
        </w:rPr>
        <w:t xml:space="preserve"> </w:t>
      </w:r>
      <w:r>
        <w:rPr>
          <w:color w:val="00AEEF"/>
          <w:spacing w:val="-2"/>
        </w:rPr>
        <w:t>Integrated</w:t>
      </w:r>
      <w:r>
        <w:rPr>
          <w:color w:val="00AEEF"/>
          <w:spacing w:val="-12"/>
        </w:rPr>
        <w:t xml:space="preserve"> </w:t>
      </w:r>
      <w:r>
        <w:rPr>
          <w:color w:val="00AEEF"/>
          <w:spacing w:val="-2"/>
        </w:rPr>
        <w:t>Planning</w:t>
      </w:r>
      <w:r>
        <w:rPr>
          <w:color w:val="00AEEF"/>
          <w:spacing w:val="-12"/>
        </w:rPr>
        <w:t xml:space="preserve"> </w:t>
      </w:r>
      <w:r>
        <w:rPr>
          <w:color w:val="00AEEF"/>
          <w:spacing w:val="-2"/>
        </w:rPr>
        <w:t xml:space="preserve">Outcomes, </w:t>
      </w:r>
      <w:r>
        <w:rPr>
          <w:color w:val="00AEEF"/>
        </w:rPr>
        <w:t>Not Just Roads</w:t>
      </w:r>
    </w:p>
    <w:p w:rsidR="002C1123" w:rsidRDefault="00F22F94">
      <w:pPr>
        <w:pStyle w:val="BodyText"/>
        <w:spacing w:before="86" w:line="249" w:lineRule="auto"/>
        <w:ind w:left="492"/>
      </w:pPr>
      <w:r>
        <w:rPr>
          <w:w w:val="95"/>
        </w:rPr>
        <w:t>This</w:t>
      </w:r>
      <w:r>
        <w:rPr>
          <w:spacing w:val="-8"/>
          <w:w w:val="95"/>
        </w:rPr>
        <w:t xml:space="preserve"> </w:t>
      </w:r>
      <w:r>
        <w:rPr>
          <w:w w:val="95"/>
        </w:rPr>
        <w:t>Strategy</w:t>
      </w:r>
      <w:r>
        <w:rPr>
          <w:spacing w:val="-8"/>
          <w:w w:val="95"/>
        </w:rPr>
        <w:t xml:space="preserve"> </w:t>
      </w:r>
      <w:r>
        <w:rPr>
          <w:w w:val="95"/>
        </w:rPr>
        <w:t>has</w:t>
      </w:r>
      <w:r>
        <w:rPr>
          <w:spacing w:val="-8"/>
          <w:w w:val="95"/>
        </w:rPr>
        <w:t xml:space="preserve"> </w:t>
      </w:r>
      <w:r>
        <w:rPr>
          <w:w w:val="95"/>
        </w:rPr>
        <w:t>outlined</w:t>
      </w:r>
      <w:r>
        <w:rPr>
          <w:spacing w:val="-8"/>
          <w:w w:val="95"/>
        </w:rPr>
        <w:t xml:space="preserve"> </w:t>
      </w:r>
      <w:r>
        <w:rPr>
          <w:w w:val="95"/>
        </w:rPr>
        <w:t>the</w:t>
      </w:r>
      <w:r>
        <w:rPr>
          <w:spacing w:val="-8"/>
          <w:w w:val="95"/>
        </w:rPr>
        <w:t xml:space="preserve"> </w:t>
      </w:r>
      <w:r>
        <w:rPr>
          <w:w w:val="95"/>
        </w:rPr>
        <w:t>reasons</w:t>
      </w:r>
      <w:r>
        <w:rPr>
          <w:spacing w:val="-8"/>
          <w:w w:val="95"/>
        </w:rPr>
        <w:t xml:space="preserve"> </w:t>
      </w:r>
      <w:r>
        <w:rPr>
          <w:w w:val="95"/>
        </w:rPr>
        <w:t>why</w:t>
      </w:r>
      <w:r>
        <w:rPr>
          <w:spacing w:val="-8"/>
          <w:w w:val="95"/>
        </w:rPr>
        <w:t xml:space="preserve"> </w:t>
      </w:r>
      <w:r>
        <w:rPr>
          <w:w w:val="95"/>
        </w:rPr>
        <w:t xml:space="preserve">infrastructure investment needs to focus on economic benefits if NSW </w:t>
      </w:r>
      <w:r>
        <w:t>is</w:t>
      </w:r>
      <w:r>
        <w:rPr>
          <w:spacing w:val="-12"/>
        </w:rPr>
        <w:t xml:space="preserve"> </w:t>
      </w:r>
      <w:r>
        <w:t>to</w:t>
      </w:r>
      <w:r>
        <w:rPr>
          <w:spacing w:val="-12"/>
        </w:rPr>
        <w:t xml:space="preserve"> </w:t>
      </w:r>
      <w:r>
        <w:t>be</w:t>
      </w:r>
      <w:r>
        <w:rPr>
          <w:spacing w:val="-12"/>
        </w:rPr>
        <w:t xml:space="preserve"> </w:t>
      </w:r>
      <w:r>
        <w:t>number</w:t>
      </w:r>
      <w:r>
        <w:rPr>
          <w:spacing w:val="-12"/>
        </w:rPr>
        <w:t xml:space="preserve"> </w:t>
      </w:r>
      <w:r>
        <w:t>one</w:t>
      </w:r>
      <w:r>
        <w:rPr>
          <w:spacing w:val="-12"/>
        </w:rPr>
        <w:t xml:space="preserve"> </w:t>
      </w:r>
      <w:r>
        <w:t>again.</w:t>
      </w:r>
      <w:r>
        <w:rPr>
          <w:spacing w:val="-12"/>
        </w:rPr>
        <w:t xml:space="preserve"> </w:t>
      </w:r>
      <w:r>
        <w:t>A</w:t>
      </w:r>
      <w:r>
        <w:rPr>
          <w:spacing w:val="-12"/>
        </w:rPr>
        <w:t xml:space="preserve"> </w:t>
      </w:r>
      <w:r>
        <w:t>key</w:t>
      </w:r>
      <w:r>
        <w:rPr>
          <w:spacing w:val="-12"/>
        </w:rPr>
        <w:t xml:space="preserve"> </w:t>
      </w:r>
      <w:r>
        <w:t>element</w:t>
      </w:r>
      <w:r>
        <w:rPr>
          <w:spacing w:val="-12"/>
        </w:rPr>
        <w:t xml:space="preserve"> </w:t>
      </w:r>
      <w:r>
        <w:t>of</w:t>
      </w:r>
      <w:r>
        <w:rPr>
          <w:spacing w:val="-12"/>
        </w:rPr>
        <w:t xml:space="preserve"> </w:t>
      </w:r>
      <w:r>
        <w:t>economic success,</w:t>
      </w:r>
      <w:r>
        <w:rPr>
          <w:spacing w:val="-14"/>
        </w:rPr>
        <w:t xml:space="preserve"> </w:t>
      </w:r>
      <w:r>
        <w:t>as</w:t>
      </w:r>
      <w:r>
        <w:rPr>
          <w:spacing w:val="-14"/>
        </w:rPr>
        <w:t xml:space="preserve"> </w:t>
      </w:r>
      <w:r>
        <w:t>we</w:t>
      </w:r>
      <w:r>
        <w:rPr>
          <w:spacing w:val="-14"/>
        </w:rPr>
        <w:t xml:space="preserve"> </w:t>
      </w:r>
      <w:r>
        <w:t>have</w:t>
      </w:r>
      <w:r>
        <w:rPr>
          <w:spacing w:val="-14"/>
        </w:rPr>
        <w:t xml:space="preserve"> </w:t>
      </w:r>
      <w:r>
        <w:t>seen,</w:t>
      </w:r>
      <w:r>
        <w:rPr>
          <w:spacing w:val="-14"/>
        </w:rPr>
        <w:t xml:space="preserve"> </w:t>
      </w:r>
      <w:r>
        <w:t>is</w:t>
      </w:r>
      <w:r>
        <w:rPr>
          <w:spacing w:val="-14"/>
        </w:rPr>
        <w:t xml:space="preserve"> </w:t>
      </w:r>
      <w:r>
        <w:t>ensuring</w:t>
      </w:r>
      <w:r>
        <w:rPr>
          <w:spacing w:val="-14"/>
        </w:rPr>
        <w:t xml:space="preserve"> </w:t>
      </w:r>
      <w:r>
        <w:t>that</w:t>
      </w:r>
      <w:r>
        <w:rPr>
          <w:spacing w:val="-14"/>
        </w:rPr>
        <w:t xml:space="preserve"> </w:t>
      </w:r>
      <w:r>
        <w:t>NSW</w:t>
      </w:r>
      <w:r>
        <w:rPr>
          <w:spacing w:val="-14"/>
        </w:rPr>
        <w:t xml:space="preserve"> </w:t>
      </w:r>
      <w:r>
        <w:t>is</w:t>
      </w:r>
      <w:r>
        <w:rPr>
          <w:spacing w:val="-13"/>
        </w:rPr>
        <w:t xml:space="preserve"> </w:t>
      </w:r>
      <w:r>
        <w:t>an attractive</w:t>
      </w:r>
      <w:r>
        <w:rPr>
          <w:spacing w:val="-9"/>
        </w:rPr>
        <w:t xml:space="preserve"> </w:t>
      </w:r>
      <w:r>
        <w:t>place</w:t>
      </w:r>
      <w:r>
        <w:rPr>
          <w:spacing w:val="-9"/>
        </w:rPr>
        <w:t xml:space="preserve"> </w:t>
      </w:r>
      <w:r>
        <w:t>not</w:t>
      </w:r>
      <w:r>
        <w:rPr>
          <w:spacing w:val="-9"/>
        </w:rPr>
        <w:t xml:space="preserve"> </w:t>
      </w:r>
      <w:r>
        <w:t>only</w:t>
      </w:r>
      <w:r>
        <w:rPr>
          <w:spacing w:val="-9"/>
        </w:rPr>
        <w:t xml:space="preserve"> </w:t>
      </w:r>
      <w:r>
        <w:t>to</w:t>
      </w:r>
      <w:r>
        <w:rPr>
          <w:spacing w:val="-9"/>
        </w:rPr>
        <w:t xml:space="preserve"> </w:t>
      </w:r>
      <w:r>
        <w:t>work</w:t>
      </w:r>
      <w:r>
        <w:rPr>
          <w:spacing w:val="-9"/>
        </w:rPr>
        <w:t xml:space="preserve"> </w:t>
      </w:r>
      <w:r>
        <w:t>but</w:t>
      </w:r>
      <w:r>
        <w:rPr>
          <w:spacing w:val="-9"/>
        </w:rPr>
        <w:t xml:space="preserve"> </w:t>
      </w:r>
      <w:r>
        <w:t>also</w:t>
      </w:r>
      <w:r>
        <w:rPr>
          <w:spacing w:val="-9"/>
        </w:rPr>
        <w:t xml:space="preserve"> </w:t>
      </w:r>
      <w:r>
        <w:t>to</w:t>
      </w:r>
      <w:r>
        <w:rPr>
          <w:spacing w:val="-9"/>
        </w:rPr>
        <w:t xml:space="preserve"> </w:t>
      </w:r>
      <w:r>
        <w:t>live.</w:t>
      </w:r>
    </w:p>
    <w:p w:rsidR="002C1123" w:rsidRDefault="00F22F94">
      <w:pPr>
        <w:pStyle w:val="BodyText"/>
        <w:spacing w:before="146" w:line="249" w:lineRule="auto"/>
        <w:ind w:left="492" w:right="355"/>
      </w:pPr>
      <w:r>
        <w:t>This</w:t>
      </w:r>
      <w:r>
        <w:rPr>
          <w:spacing w:val="-14"/>
        </w:rPr>
        <w:t xml:space="preserve"> </w:t>
      </w:r>
      <w:r>
        <w:t>means</w:t>
      </w:r>
      <w:r>
        <w:rPr>
          <w:spacing w:val="-14"/>
        </w:rPr>
        <w:t xml:space="preserve"> </w:t>
      </w:r>
      <w:r>
        <w:t>that</w:t>
      </w:r>
      <w:r>
        <w:rPr>
          <w:spacing w:val="-14"/>
        </w:rPr>
        <w:t xml:space="preserve"> </w:t>
      </w:r>
      <w:r>
        <w:t>investment</w:t>
      </w:r>
      <w:r>
        <w:rPr>
          <w:spacing w:val="-14"/>
        </w:rPr>
        <w:t xml:space="preserve"> </w:t>
      </w:r>
      <w:r>
        <w:t>in</w:t>
      </w:r>
      <w:r>
        <w:rPr>
          <w:spacing w:val="-14"/>
        </w:rPr>
        <w:t xml:space="preserve"> </w:t>
      </w:r>
      <w:r>
        <w:t>major</w:t>
      </w:r>
      <w:r>
        <w:rPr>
          <w:spacing w:val="-14"/>
        </w:rPr>
        <w:t xml:space="preserve"> </w:t>
      </w:r>
      <w:r>
        <w:t xml:space="preserve">infrastructure, </w:t>
      </w:r>
      <w:r>
        <w:rPr>
          <w:w w:val="95"/>
        </w:rPr>
        <w:t>such as roads, must do more than deliver economic connectivity. Cities are extremely complex, crowded structures</w:t>
      </w:r>
      <w:r>
        <w:rPr>
          <w:spacing w:val="-2"/>
          <w:w w:val="95"/>
        </w:rPr>
        <w:t xml:space="preserve"> </w:t>
      </w:r>
      <w:r>
        <w:rPr>
          <w:w w:val="95"/>
        </w:rPr>
        <w:t>and</w:t>
      </w:r>
      <w:r>
        <w:rPr>
          <w:spacing w:val="-2"/>
          <w:w w:val="95"/>
        </w:rPr>
        <w:t xml:space="preserve"> </w:t>
      </w:r>
      <w:r>
        <w:rPr>
          <w:w w:val="95"/>
        </w:rPr>
        <w:t>any</w:t>
      </w:r>
      <w:r>
        <w:rPr>
          <w:spacing w:val="-2"/>
          <w:w w:val="95"/>
        </w:rPr>
        <w:t xml:space="preserve"> </w:t>
      </w:r>
      <w:r>
        <w:rPr>
          <w:w w:val="95"/>
        </w:rPr>
        <w:t>new</w:t>
      </w:r>
      <w:r>
        <w:rPr>
          <w:spacing w:val="-2"/>
          <w:w w:val="95"/>
        </w:rPr>
        <w:t xml:space="preserve"> </w:t>
      </w:r>
      <w:r>
        <w:rPr>
          <w:w w:val="95"/>
        </w:rPr>
        <w:t>road</w:t>
      </w:r>
      <w:r>
        <w:rPr>
          <w:spacing w:val="-2"/>
          <w:w w:val="95"/>
        </w:rPr>
        <w:t xml:space="preserve"> </w:t>
      </w:r>
      <w:r>
        <w:rPr>
          <w:w w:val="95"/>
        </w:rPr>
        <w:t>building</w:t>
      </w:r>
      <w:r>
        <w:rPr>
          <w:spacing w:val="-2"/>
          <w:w w:val="95"/>
        </w:rPr>
        <w:t xml:space="preserve"> </w:t>
      </w:r>
      <w:r>
        <w:rPr>
          <w:w w:val="95"/>
        </w:rPr>
        <w:t>scheme</w:t>
      </w:r>
      <w:r>
        <w:rPr>
          <w:spacing w:val="-2"/>
          <w:w w:val="95"/>
        </w:rPr>
        <w:t xml:space="preserve"> </w:t>
      </w:r>
      <w:r>
        <w:rPr>
          <w:w w:val="95"/>
        </w:rPr>
        <w:t xml:space="preserve">needs </w:t>
      </w:r>
      <w:r>
        <w:rPr>
          <w:spacing w:val="-2"/>
        </w:rPr>
        <w:t>to</w:t>
      </w:r>
      <w:r>
        <w:rPr>
          <w:spacing w:val="-8"/>
        </w:rPr>
        <w:t xml:space="preserve"> </w:t>
      </w:r>
      <w:r>
        <w:rPr>
          <w:spacing w:val="-2"/>
        </w:rPr>
        <w:t>integrate</w:t>
      </w:r>
      <w:r>
        <w:rPr>
          <w:spacing w:val="-8"/>
        </w:rPr>
        <w:t xml:space="preserve"> </w:t>
      </w:r>
      <w:r>
        <w:rPr>
          <w:spacing w:val="-2"/>
        </w:rPr>
        <w:t>with</w:t>
      </w:r>
      <w:r>
        <w:rPr>
          <w:spacing w:val="-8"/>
        </w:rPr>
        <w:t xml:space="preserve"> </w:t>
      </w:r>
      <w:r>
        <w:rPr>
          <w:spacing w:val="-2"/>
        </w:rPr>
        <w:t>existing</w:t>
      </w:r>
      <w:r>
        <w:rPr>
          <w:spacing w:val="-8"/>
        </w:rPr>
        <w:t xml:space="preserve"> </w:t>
      </w:r>
      <w:r>
        <w:rPr>
          <w:spacing w:val="-2"/>
        </w:rPr>
        <w:t>land</w:t>
      </w:r>
      <w:r>
        <w:rPr>
          <w:spacing w:val="-8"/>
        </w:rPr>
        <w:t xml:space="preserve"> </w:t>
      </w:r>
      <w:r>
        <w:rPr>
          <w:spacing w:val="-2"/>
        </w:rPr>
        <w:t>uses</w:t>
      </w:r>
      <w:r>
        <w:rPr>
          <w:spacing w:val="-8"/>
        </w:rPr>
        <w:t xml:space="preserve"> </w:t>
      </w:r>
      <w:r>
        <w:rPr>
          <w:spacing w:val="-2"/>
        </w:rPr>
        <w:t>and</w:t>
      </w:r>
      <w:r>
        <w:rPr>
          <w:spacing w:val="-8"/>
        </w:rPr>
        <w:t xml:space="preserve"> </w:t>
      </w:r>
      <w:r>
        <w:rPr>
          <w:spacing w:val="-2"/>
        </w:rPr>
        <w:t>legacy</w:t>
      </w:r>
      <w:r>
        <w:rPr>
          <w:spacing w:val="-8"/>
        </w:rPr>
        <w:t xml:space="preserve"> </w:t>
      </w:r>
      <w:r>
        <w:rPr>
          <w:spacing w:val="-2"/>
        </w:rPr>
        <w:t xml:space="preserve">road </w:t>
      </w:r>
      <w:r>
        <w:t>networks</w:t>
      </w:r>
      <w:r>
        <w:rPr>
          <w:spacing w:val="-8"/>
        </w:rPr>
        <w:t xml:space="preserve"> </w:t>
      </w:r>
      <w:r>
        <w:t>to</w:t>
      </w:r>
      <w:r>
        <w:rPr>
          <w:spacing w:val="-8"/>
        </w:rPr>
        <w:t xml:space="preserve"> </w:t>
      </w:r>
      <w:r>
        <w:t>deliver</w:t>
      </w:r>
      <w:r>
        <w:rPr>
          <w:spacing w:val="-8"/>
        </w:rPr>
        <w:t xml:space="preserve"> </w:t>
      </w:r>
      <w:r>
        <w:t>a</w:t>
      </w:r>
      <w:r>
        <w:rPr>
          <w:spacing w:val="-8"/>
        </w:rPr>
        <w:t xml:space="preserve"> </w:t>
      </w:r>
      <w:r>
        <w:t>better</w:t>
      </w:r>
      <w:r>
        <w:rPr>
          <w:spacing w:val="-8"/>
        </w:rPr>
        <w:t xml:space="preserve"> </w:t>
      </w:r>
      <w:r>
        <w:t>place</w:t>
      </w:r>
      <w:r>
        <w:rPr>
          <w:spacing w:val="-8"/>
        </w:rPr>
        <w:t xml:space="preserve"> </w:t>
      </w:r>
      <w:r>
        <w:t>to</w:t>
      </w:r>
      <w:r>
        <w:rPr>
          <w:spacing w:val="-8"/>
        </w:rPr>
        <w:t xml:space="preserve"> </w:t>
      </w:r>
      <w:r>
        <w:t>live.</w:t>
      </w:r>
    </w:p>
    <w:p w:rsidR="002C1123" w:rsidRDefault="00F22F94">
      <w:pPr>
        <w:pStyle w:val="BodyText"/>
        <w:spacing w:before="147" w:line="249" w:lineRule="auto"/>
        <w:ind w:left="492" w:right="476"/>
      </w:pPr>
      <w:r>
        <w:rPr>
          <w:w w:val="95"/>
        </w:rPr>
        <w:t>The</w:t>
      </w:r>
      <w:r>
        <w:rPr>
          <w:spacing w:val="-2"/>
          <w:w w:val="95"/>
        </w:rPr>
        <w:t xml:space="preserve"> </w:t>
      </w:r>
      <w:r>
        <w:rPr>
          <w:w w:val="95"/>
        </w:rPr>
        <w:t>community</w:t>
      </w:r>
      <w:r>
        <w:rPr>
          <w:spacing w:val="-2"/>
          <w:w w:val="95"/>
        </w:rPr>
        <w:t xml:space="preserve"> </w:t>
      </w:r>
      <w:r>
        <w:rPr>
          <w:w w:val="95"/>
        </w:rPr>
        <w:t>rightly</w:t>
      </w:r>
      <w:r>
        <w:rPr>
          <w:spacing w:val="-2"/>
          <w:w w:val="95"/>
        </w:rPr>
        <w:t xml:space="preserve"> </w:t>
      </w:r>
      <w:r>
        <w:rPr>
          <w:w w:val="95"/>
        </w:rPr>
        <w:t>expects</w:t>
      </w:r>
      <w:r>
        <w:rPr>
          <w:spacing w:val="-2"/>
          <w:w w:val="95"/>
        </w:rPr>
        <w:t xml:space="preserve"> </w:t>
      </w:r>
      <w:r>
        <w:rPr>
          <w:w w:val="95"/>
        </w:rPr>
        <w:t>any</w:t>
      </w:r>
      <w:r>
        <w:rPr>
          <w:spacing w:val="-2"/>
          <w:w w:val="95"/>
        </w:rPr>
        <w:t xml:space="preserve"> </w:t>
      </w:r>
      <w:r>
        <w:rPr>
          <w:w w:val="95"/>
        </w:rPr>
        <w:t>major</w:t>
      </w:r>
      <w:r>
        <w:rPr>
          <w:spacing w:val="-2"/>
          <w:w w:val="95"/>
        </w:rPr>
        <w:t xml:space="preserve"> </w:t>
      </w:r>
      <w:r>
        <w:rPr>
          <w:w w:val="95"/>
        </w:rPr>
        <w:t xml:space="preserve">scheme </w:t>
      </w:r>
      <w:r>
        <w:t>to</w:t>
      </w:r>
      <w:r>
        <w:rPr>
          <w:spacing w:val="-7"/>
        </w:rPr>
        <w:t xml:space="preserve"> </w:t>
      </w:r>
      <w:r>
        <w:t>deliver</w:t>
      </w:r>
      <w:r>
        <w:rPr>
          <w:spacing w:val="-7"/>
        </w:rPr>
        <w:t xml:space="preserve"> </w:t>
      </w:r>
      <w:r>
        <w:t>tangible</w:t>
      </w:r>
      <w:r>
        <w:rPr>
          <w:spacing w:val="-7"/>
        </w:rPr>
        <w:t xml:space="preserve"> </w:t>
      </w:r>
      <w:r>
        <w:t>benefits</w:t>
      </w:r>
      <w:r>
        <w:rPr>
          <w:spacing w:val="-7"/>
        </w:rPr>
        <w:t xml:space="preserve"> </w:t>
      </w:r>
      <w:r>
        <w:t>for</w:t>
      </w:r>
      <w:r>
        <w:rPr>
          <w:spacing w:val="-7"/>
        </w:rPr>
        <w:t xml:space="preserve"> </w:t>
      </w:r>
      <w:r>
        <w:t>public</w:t>
      </w:r>
      <w:r>
        <w:rPr>
          <w:spacing w:val="-7"/>
        </w:rPr>
        <w:t xml:space="preserve"> </w:t>
      </w:r>
      <w:r>
        <w:t>transport and</w:t>
      </w:r>
      <w:r>
        <w:rPr>
          <w:spacing w:val="-14"/>
        </w:rPr>
        <w:t xml:space="preserve"> </w:t>
      </w:r>
      <w:r>
        <w:t>for</w:t>
      </w:r>
      <w:r>
        <w:rPr>
          <w:spacing w:val="-14"/>
        </w:rPr>
        <w:t xml:space="preserve"> </w:t>
      </w:r>
      <w:r>
        <w:t>urban</w:t>
      </w:r>
      <w:r>
        <w:rPr>
          <w:spacing w:val="-13"/>
        </w:rPr>
        <w:t xml:space="preserve"> </w:t>
      </w:r>
      <w:r>
        <w:t>regeneration.</w:t>
      </w:r>
      <w:r>
        <w:rPr>
          <w:spacing w:val="-14"/>
        </w:rPr>
        <w:t xml:space="preserve"> </w:t>
      </w:r>
      <w:r>
        <w:t>Infrastructure</w:t>
      </w:r>
      <w:r>
        <w:rPr>
          <w:spacing w:val="-14"/>
        </w:rPr>
        <w:t xml:space="preserve"> </w:t>
      </w:r>
      <w:r>
        <w:t>NSW considers</w:t>
      </w:r>
      <w:r>
        <w:rPr>
          <w:spacing w:val="-13"/>
        </w:rPr>
        <w:t xml:space="preserve"> </w:t>
      </w:r>
      <w:r>
        <w:t>that</w:t>
      </w:r>
      <w:r>
        <w:rPr>
          <w:spacing w:val="-13"/>
        </w:rPr>
        <w:t xml:space="preserve"> </w:t>
      </w:r>
      <w:r>
        <w:t>delivery</w:t>
      </w:r>
      <w:r>
        <w:rPr>
          <w:spacing w:val="-13"/>
        </w:rPr>
        <w:t xml:space="preserve"> </w:t>
      </w:r>
      <w:r>
        <w:t>of</w:t>
      </w:r>
      <w:r>
        <w:rPr>
          <w:spacing w:val="-13"/>
        </w:rPr>
        <w:t xml:space="preserve"> </w:t>
      </w:r>
      <w:r>
        <w:t>these</w:t>
      </w:r>
      <w:r>
        <w:rPr>
          <w:spacing w:val="-13"/>
        </w:rPr>
        <w:t xml:space="preserve"> </w:t>
      </w:r>
      <w:r>
        <w:t>wider</w:t>
      </w:r>
      <w:r>
        <w:rPr>
          <w:spacing w:val="-13"/>
        </w:rPr>
        <w:t xml:space="preserve"> </w:t>
      </w:r>
      <w:r>
        <w:t>integrated</w:t>
      </w:r>
    </w:p>
    <w:p w:rsidR="002C1123" w:rsidRDefault="00F22F94">
      <w:pPr>
        <w:pStyle w:val="BodyText"/>
        <w:spacing w:before="3" w:line="249" w:lineRule="auto"/>
        <w:ind w:left="492" w:right="355"/>
      </w:pPr>
      <w:r>
        <w:rPr>
          <w:w w:val="95"/>
        </w:rPr>
        <w:t>planning</w:t>
      </w:r>
      <w:r>
        <w:rPr>
          <w:spacing w:val="-11"/>
          <w:w w:val="95"/>
        </w:rPr>
        <w:t xml:space="preserve"> </w:t>
      </w:r>
      <w:r>
        <w:rPr>
          <w:w w:val="95"/>
        </w:rPr>
        <w:t>imperatives</w:t>
      </w:r>
      <w:r>
        <w:rPr>
          <w:spacing w:val="-11"/>
          <w:w w:val="95"/>
        </w:rPr>
        <w:t xml:space="preserve"> </w:t>
      </w:r>
      <w:r>
        <w:rPr>
          <w:w w:val="95"/>
        </w:rPr>
        <w:t>is</w:t>
      </w:r>
      <w:r>
        <w:rPr>
          <w:spacing w:val="-11"/>
          <w:w w:val="95"/>
        </w:rPr>
        <w:t xml:space="preserve"> </w:t>
      </w:r>
      <w:r>
        <w:rPr>
          <w:w w:val="95"/>
        </w:rPr>
        <w:t>critical</w:t>
      </w:r>
      <w:r>
        <w:rPr>
          <w:spacing w:val="-11"/>
          <w:w w:val="95"/>
        </w:rPr>
        <w:t xml:space="preserve"> </w:t>
      </w:r>
      <w:r>
        <w:rPr>
          <w:w w:val="95"/>
        </w:rPr>
        <w:t>if</w:t>
      </w:r>
      <w:r>
        <w:rPr>
          <w:spacing w:val="-11"/>
          <w:w w:val="95"/>
        </w:rPr>
        <w:t xml:space="preserve"> </w:t>
      </w:r>
      <w:r>
        <w:rPr>
          <w:w w:val="95"/>
        </w:rPr>
        <w:t>NSW</w:t>
      </w:r>
      <w:r>
        <w:rPr>
          <w:spacing w:val="-11"/>
          <w:w w:val="95"/>
        </w:rPr>
        <w:t xml:space="preserve"> </w:t>
      </w:r>
      <w:r>
        <w:rPr>
          <w:w w:val="95"/>
        </w:rPr>
        <w:t>is</w:t>
      </w:r>
      <w:r>
        <w:rPr>
          <w:spacing w:val="-11"/>
          <w:w w:val="95"/>
        </w:rPr>
        <w:t xml:space="preserve"> </w:t>
      </w:r>
      <w:r>
        <w:rPr>
          <w:w w:val="95"/>
        </w:rPr>
        <w:t>to</w:t>
      </w:r>
      <w:r>
        <w:rPr>
          <w:spacing w:val="-11"/>
          <w:w w:val="95"/>
        </w:rPr>
        <w:t xml:space="preserve"> </w:t>
      </w:r>
      <w:r>
        <w:rPr>
          <w:w w:val="95"/>
        </w:rPr>
        <w:t xml:space="preserve">maximise </w:t>
      </w:r>
      <w:r>
        <w:t>the</w:t>
      </w:r>
      <w:r>
        <w:rPr>
          <w:spacing w:val="-11"/>
        </w:rPr>
        <w:t xml:space="preserve"> </w:t>
      </w:r>
      <w:r>
        <w:t>potential</w:t>
      </w:r>
      <w:r>
        <w:rPr>
          <w:spacing w:val="-11"/>
        </w:rPr>
        <w:t xml:space="preserve"> </w:t>
      </w:r>
      <w:r>
        <w:t>for</w:t>
      </w:r>
      <w:r>
        <w:rPr>
          <w:spacing w:val="-11"/>
        </w:rPr>
        <w:t xml:space="preserve"> </w:t>
      </w:r>
      <w:r>
        <w:t>infrastructure</w:t>
      </w:r>
      <w:r>
        <w:rPr>
          <w:spacing w:val="-11"/>
        </w:rPr>
        <w:t xml:space="preserve"> </w:t>
      </w:r>
      <w:r>
        <w:t>to</w:t>
      </w:r>
      <w:r>
        <w:rPr>
          <w:spacing w:val="-11"/>
        </w:rPr>
        <w:t xml:space="preserve"> </w:t>
      </w:r>
      <w:r>
        <w:t>make</w:t>
      </w:r>
      <w:r>
        <w:rPr>
          <w:spacing w:val="-11"/>
        </w:rPr>
        <w:t xml:space="preserve"> </w:t>
      </w:r>
      <w:r>
        <w:t>our</w:t>
      </w:r>
      <w:r>
        <w:rPr>
          <w:spacing w:val="-11"/>
        </w:rPr>
        <w:t xml:space="preserve"> </w:t>
      </w:r>
      <w:r>
        <w:t>urban landscape more liveable.</w:t>
      </w:r>
    </w:p>
    <w:p w:rsidR="002C1123" w:rsidRDefault="00F22F94">
      <w:pPr>
        <w:pStyle w:val="Heading6"/>
        <w:numPr>
          <w:ilvl w:val="2"/>
          <w:numId w:val="97"/>
        </w:numPr>
        <w:tabs>
          <w:tab w:val="left" w:pos="979"/>
        </w:tabs>
        <w:spacing w:before="145"/>
        <w:ind w:hanging="487"/>
        <w:jc w:val="left"/>
      </w:pPr>
      <w:r>
        <w:rPr>
          <w:color w:val="00AEEF"/>
          <w:w w:val="95"/>
        </w:rPr>
        <w:t>Prioritisation</w:t>
      </w:r>
      <w:r>
        <w:rPr>
          <w:color w:val="00AEEF"/>
          <w:spacing w:val="5"/>
        </w:rPr>
        <w:t xml:space="preserve"> </w:t>
      </w:r>
      <w:r>
        <w:rPr>
          <w:color w:val="00AEEF"/>
          <w:spacing w:val="-2"/>
        </w:rPr>
        <w:t>Analysis</w:t>
      </w:r>
    </w:p>
    <w:p w:rsidR="002C1123" w:rsidRDefault="00F22F94">
      <w:pPr>
        <w:pStyle w:val="BodyText"/>
        <w:spacing w:before="95" w:line="249" w:lineRule="auto"/>
        <w:ind w:left="492"/>
      </w:pPr>
      <w:r>
        <w:t>Sequencing</w:t>
      </w:r>
      <w:r>
        <w:rPr>
          <w:spacing w:val="-10"/>
        </w:rPr>
        <w:t xml:space="preserve"> </w:t>
      </w:r>
      <w:r>
        <w:t>of</w:t>
      </w:r>
      <w:r>
        <w:rPr>
          <w:spacing w:val="-10"/>
        </w:rPr>
        <w:t xml:space="preserve"> </w:t>
      </w:r>
      <w:r>
        <w:t>the</w:t>
      </w:r>
      <w:r>
        <w:rPr>
          <w:spacing w:val="-10"/>
        </w:rPr>
        <w:t xml:space="preserve"> </w:t>
      </w:r>
      <w:r>
        <w:t>connections</w:t>
      </w:r>
      <w:r>
        <w:rPr>
          <w:spacing w:val="-10"/>
        </w:rPr>
        <w:t xml:space="preserve"> </w:t>
      </w:r>
      <w:r>
        <w:t>shown</w:t>
      </w:r>
      <w:r>
        <w:rPr>
          <w:spacing w:val="-10"/>
        </w:rPr>
        <w:t xml:space="preserve"> </w:t>
      </w:r>
      <w:r>
        <w:t>in</w:t>
      </w:r>
      <w:r>
        <w:rPr>
          <w:spacing w:val="-10"/>
        </w:rPr>
        <w:t xml:space="preserve"> </w:t>
      </w:r>
      <w:r>
        <w:t>figure</w:t>
      </w:r>
      <w:r>
        <w:rPr>
          <w:spacing w:val="-10"/>
        </w:rPr>
        <w:t xml:space="preserve"> </w:t>
      </w:r>
      <w:r>
        <w:t>6.3</w:t>
      </w:r>
      <w:r>
        <w:rPr>
          <w:spacing w:val="-10"/>
        </w:rPr>
        <w:t xml:space="preserve"> </w:t>
      </w:r>
      <w:r>
        <w:t xml:space="preserve">is </w:t>
      </w:r>
      <w:r>
        <w:rPr>
          <w:w w:val="95"/>
        </w:rPr>
        <w:t>essential.</w:t>
      </w:r>
      <w:r>
        <w:rPr>
          <w:spacing w:val="-9"/>
          <w:w w:val="95"/>
        </w:rPr>
        <w:t xml:space="preserve"> </w:t>
      </w:r>
      <w:r>
        <w:rPr>
          <w:w w:val="95"/>
        </w:rPr>
        <w:t>Neither</w:t>
      </w:r>
      <w:r>
        <w:rPr>
          <w:spacing w:val="-9"/>
          <w:w w:val="95"/>
        </w:rPr>
        <w:t xml:space="preserve"> </w:t>
      </w:r>
      <w:r>
        <w:rPr>
          <w:w w:val="95"/>
        </w:rPr>
        <w:t>the</w:t>
      </w:r>
      <w:r>
        <w:rPr>
          <w:spacing w:val="-9"/>
          <w:w w:val="95"/>
        </w:rPr>
        <w:t xml:space="preserve"> </w:t>
      </w:r>
      <w:r>
        <w:rPr>
          <w:w w:val="95"/>
        </w:rPr>
        <w:t>State</w:t>
      </w:r>
      <w:r>
        <w:rPr>
          <w:spacing w:val="-9"/>
          <w:w w:val="95"/>
        </w:rPr>
        <w:t xml:space="preserve"> </w:t>
      </w:r>
      <w:r>
        <w:rPr>
          <w:w w:val="95"/>
        </w:rPr>
        <w:t>nor</w:t>
      </w:r>
      <w:r>
        <w:rPr>
          <w:spacing w:val="-9"/>
          <w:w w:val="95"/>
        </w:rPr>
        <w:t xml:space="preserve"> </w:t>
      </w:r>
      <w:r>
        <w:rPr>
          <w:w w:val="95"/>
        </w:rPr>
        <w:t>the</w:t>
      </w:r>
      <w:r>
        <w:rPr>
          <w:spacing w:val="-9"/>
          <w:w w:val="95"/>
        </w:rPr>
        <w:t xml:space="preserve"> </w:t>
      </w:r>
      <w:r>
        <w:rPr>
          <w:w w:val="95"/>
        </w:rPr>
        <w:t>private</w:t>
      </w:r>
      <w:r>
        <w:rPr>
          <w:spacing w:val="-9"/>
          <w:w w:val="95"/>
        </w:rPr>
        <w:t xml:space="preserve"> </w:t>
      </w:r>
      <w:r>
        <w:rPr>
          <w:w w:val="95"/>
        </w:rPr>
        <w:t>sector</w:t>
      </w:r>
      <w:r>
        <w:rPr>
          <w:spacing w:val="-9"/>
          <w:w w:val="95"/>
        </w:rPr>
        <w:t xml:space="preserve"> </w:t>
      </w:r>
      <w:r>
        <w:rPr>
          <w:w w:val="95"/>
        </w:rPr>
        <w:t>has</w:t>
      </w:r>
      <w:r>
        <w:rPr>
          <w:spacing w:val="-9"/>
          <w:w w:val="95"/>
        </w:rPr>
        <w:t xml:space="preserve"> </w:t>
      </w:r>
      <w:r>
        <w:rPr>
          <w:w w:val="95"/>
        </w:rPr>
        <w:t xml:space="preserve">the </w:t>
      </w:r>
      <w:r>
        <w:t>resources</w:t>
      </w:r>
      <w:r>
        <w:rPr>
          <w:spacing w:val="-14"/>
        </w:rPr>
        <w:t xml:space="preserve"> </w:t>
      </w:r>
      <w:r>
        <w:t>to</w:t>
      </w:r>
      <w:r>
        <w:rPr>
          <w:spacing w:val="-14"/>
        </w:rPr>
        <w:t xml:space="preserve"> </w:t>
      </w:r>
      <w:r>
        <w:t>progress</w:t>
      </w:r>
      <w:r>
        <w:rPr>
          <w:spacing w:val="-14"/>
        </w:rPr>
        <w:t xml:space="preserve"> </w:t>
      </w:r>
      <w:r>
        <w:t>all</w:t>
      </w:r>
      <w:r>
        <w:rPr>
          <w:spacing w:val="-14"/>
        </w:rPr>
        <w:t xml:space="preserve"> </w:t>
      </w:r>
      <w:r>
        <w:t>of</w:t>
      </w:r>
      <w:r>
        <w:rPr>
          <w:spacing w:val="-14"/>
        </w:rPr>
        <w:t xml:space="preserve"> </w:t>
      </w:r>
      <w:r>
        <w:t>this</w:t>
      </w:r>
      <w:r>
        <w:rPr>
          <w:spacing w:val="-14"/>
        </w:rPr>
        <w:t xml:space="preserve"> </w:t>
      </w:r>
      <w:r>
        <w:t>program</w:t>
      </w:r>
      <w:r>
        <w:rPr>
          <w:spacing w:val="-14"/>
        </w:rPr>
        <w:t xml:space="preserve"> </w:t>
      </w:r>
      <w:r>
        <w:t>in</w:t>
      </w:r>
      <w:r>
        <w:rPr>
          <w:spacing w:val="-13"/>
        </w:rPr>
        <w:t xml:space="preserve"> </w:t>
      </w:r>
      <w:r>
        <w:t>parallel.</w:t>
      </w:r>
    </w:p>
    <w:p w:rsidR="002C1123" w:rsidRDefault="00F22F94">
      <w:pPr>
        <w:pStyle w:val="BodyText"/>
        <w:spacing w:before="144" w:line="249" w:lineRule="auto"/>
        <w:ind w:left="492" w:right="359"/>
      </w:pPr>
      <w:r>
        <w:rPr>
          <w:w w:val="95"/>
        </w:rPr>
        <w:t>Infrastructure</w:t>
      </w:r>
      <w:r>
        <w:rPr>
          <w:spacing w:val="-5"/>
          <w:w w:val="95"/>
        </w:rPr>
        <w:t xml:space="preserve"> </w:t>
      </w:r>
      <w:r>
        <w:rPr>
          <w:w w:val="95"/>
        </w:rPr>
        <w:t>NSW</w:t>
      </w:r>
      <w:r>
        <w:rPr>
          <w:spacing w:val="-5"/>
          <w:w w:val="95"/>
        </w:rPr>
        <w:t xml:space="preserve"> </w:t>
      </w:r>
      <w:r>
        <w:rPr>
          <w:w w:val="95"/>
        </w:rPr>
        <w:t>has</w:t>
      </w:r>
      <w:r>
        <w:rPr>
          <w:spacing w:val="-5"/>
          <w:w w:val="95"/>
        </w:rPr>
        <w:t xml:space="preserve"> </w:t>
      </w:r>
      <w:r>
        <w:rPr>
          <w:w w:val="95"/>
        </w:rPr>
        <w:t>evaluated</w:t>
      </w:r>
      <w:r>
        <w:rPr>
          <w:spacing w:val="-5"/>
          <w:w w:val="95"/>
        </w:rPr>
        <w:t xml:space="preserve"> </w:t>
      </w:r>
      <w:r>
        <w:rPr>
          <w:w w:val="95"/>
        </w:rPr>
        <w:t>which</w:t>
      </w:r>
      <w:r>
        <w:rPr>
          <w:spacing w:val="-5"/>
          <w:w w:val="95"/>
        </w:rPr>
        <w:t xml:space="preserve"> </w:t>
      </w:r>
      <w:r>
        <w:rPr>
          <w:w w:val="95"/>
        </w:rPr>
        <w:t xml:space="preserve">motorways </w:t>
      </w:r>
      <w:r>
        <w:t>should</w:t>
      </w:r>
      <w:r>
        <w:rPr>
          <w:spacing w:val="-14"/>
        </w:rPr>
        <w:t xml:space="preserve"> </w:t>
      </w:r>
      <w:r>
        <w:t>be</w:t>
      </w:r>
      <w:r>
        <w:rPr>
          <w:spacing w:val="-14"/>
        </w:rPr>
        <w:t xml:space="preserve"> </w:t>
      </w:r>
      <w:r>
        <w:t>built</w:t>
      </w:r>
      <w:r>
        <w:rPr>
          <w:spacing w:val="-14"/>
        </w:rPr>
        <w:t xml:space="preserve"> </w:t>
      </w:r>
      <w:r>
        <w:t>first</w:t>
      </w:r>
      <w:r>
        <w:rPr>
          <w:spacing w:val="-14"/>
        </w:rPr>
        <w:t xml:space="preserve"> </w:t>
      </w:r>
      <w:r>
        <w:t>from</w:t>
      </w:r>
      <w:r>
        <w:rPr>
          <w:spacing w:val="-14"/>
        </w:rPr>
        <w:t xml:space="preserve"> </w:t>
      </w:r>
      <w:r>
        <w:t>the</w:t>
      </w:r>
      <w:r>
        <w:rPr>
          <w:spacing w:val="-14"/>
        </w:rPr>
        <w:t xml:space="preserve"> </w:t>
      </w:r>
      <w:r>
        <w:t>perspectives</w:t>
      </w:r>
      <w:r>
        <w:rPr>
          <w:spacing w:val="-14"/>
        </w:rPr>
        <w:t xml:space="preserve"> </w:t>
      </w:r>
      <w:r>
        <w:t>of</w:t>
      </w:r>
      <w:r>
        <w:rPr>
          <w:spacing w:val="-14"/>
        </w:rPr>
        <w:t xml:space="preserve"> </w:t>
      </w:r>
      <w:r>
        <w:t xml:space="preserve">traffic, </w:t>
      </w:r>
      <w:r>
        <w:rPr>
          <w:w w:val="95"/>
        </w:rPr>
        <w:t xml:space="preserve">wider benefits and serving key demand generators. </w:t>
      </w:r>
      <w:r>
        <w:t>A</w:t>
      </w:r>
      <w:r>
        <w:rPr>
          <w:spacing w:val="-14"/>
        </w:rPr>
        <w:t xml:space="preserve"> </w:t>
      </w:r>
      <w:r>
        <w:t>summary</w:t>
      </w:r>
      <w:r>
        <w:rPr>
          <w:spacing w:val="-14"/>
        </w:rPr>
        <w:t xml:space="preserve"> </w:t>
      </w:r>
      <w:r>
        <w:t>of</w:t>
      </w:r>
      <w:r>
        <w:rPr>
          <w:spacing w:val="-14"/>
        </w:rPr>
        <w:t xml:space="preserve"> </w:t>
      </w:r>
      <w:r>
        <w:t>this</w:t>
      </w:r>
      <w:r>
        <w:rPr>
          <w:spacing w:val="-14"/>
        </w:rPr>
        <w:t xml:space="preserve"> </w:t>
      </w:r>
      <w:r>
        <w:t>analysis</w:t>
      </w:r>
      <w:r>
        <w:rPr>
          <w:spacing w:val="-14"/>
        </w:rPr>
        <w:t xml:space="preserve"> </w:t>
      </w:r>
      <w:r>
        <w:t>is</w:t>
      </w:r>
      <w:r>
        <w:rPr>
          <w:spacing w:val="-14"/>
        </w:rPr>
        <w:t xml:space="preserve"> </w:t>
      </w:r>
      <w:r>
        <w:t>shown</w:t>
      </w:r>
      <w:r>
        <w:rPr>
          <w:spacing w:val="-14"/>
        </w:rPr>
        <w:t xml:space="preserve"> </w:t>
      </w:r>
      <w:r>
        <w:t>in</w:t>
      </w:r>
      <w:r>
        <w:rPr>
          <w:spacing w:val="-14"/>
        </w:rPr>
        <w:t xml:space="preserve"> </w:t>
      </w:r>
      <w:r>
        <w:t>Table</w:t>
      </w:r>
      <w:r>
        <w:rPr>
          <w:spacing w:val="-14"/>
        </w:rPr>
        <w:t xml:space="preserve"> </w:t>
      </w:r>
      <w:r>
        <w:t>6.4.</w:t>
      </w:r>
    </w:p>
    <w:p w:rsidR="002C1123" w:rsidRDefault="00F22F94">
      <w:pPr>
        <w:spacing w:before="112"/>
        <w:ind w:left="225"/>
        <w:rPr>
          <w:b/>
          <w:sz w:val="18"/>
        </w:rPr>
      </w:pPr>
      <w:r>
        <w:br w:type="column"/>
      </w:r>
      <w:r>
        <w:rPr>
          <w:b/>
          <w:sz w:val="18"/>
        </w:rPr>
        <w:t>Table</w:t>
      </w:r>
      <w:r>
        <w:rPr>
          <w:b/>
          <w:spacing w:val="-17"/>
          <w:sz w:val="18"/>
        </w:rPr>
        <w:t xml:space="preserve"> </w:t>
      </w:r>
      <w:r>
        <w:rPr>
          <w:b/>
          <w:sz w:val="18"/>
        </w:rPr>
        <w:t>6.4</w:t>
      </w:r>
      <w:r>
        <w:rPr>
          <w:b/>
          <w:spacing w:val="20"/>
          <w:sz w:val="18"/>
        </w:rPr>
        <w:t xml:space="preserve"> </w:t>
      </w:r>
      <w:r>
        <w:rPr>
          <w:b/>
          <w:sz w:val="18"/>
        </w:rPr>
        <w:t>Sydney</w:t>
      </w:r>
      <w:r>
        <w:rPr>
          <w:b/>
          <w:spacing w:val="-16"/>
          <w:sz w:val="18"/>
        </w:rPr>
        <w:t xml:space="preserve"> </w:t>
      </w:r>
      <w:r>
        <w:rPr>
          <w:b/>
          <w:sz w:val="18"/>
        </w:rPr>
        <w:t>Strategic</w:t>
      </w:r>
      <w:r>
        <w:rPr>
          <w:b/>
          <w:spacing w:val="-17"/>
          <w:sz w:val="18"/>
        </w:rPr>
        <w:t xml:space="preserve"> </w:t>
      </w:r>
      <w:r>
        <w:rPr>
          <w:b/>
          <w:sz w:val="18"/>
        </w:rPr>
        <w:t>Road</w:t>
      </w:r>
      <w:r>
        <w:rPr>
          <w:b/>
          <w:spacing w:val="-16"/>
          <w:sz w:val="18"/>
        </w:rPr>
        <w:t xml:space="preserve"> </w:t>
      </w:r>
      <w:r>
        <w:rPr>
          <w:b/>
          <w:sz w:val="18"/>
        </w:rPr>
        <w:t>Network</w:t>
      </w:r>
      <w:r>
        <w:rPr>
          <w:b/>
          <w:spacing w:val="-16"/>
          <w:sz w:val="18"/>
        </w:rPr>
        <w:t xml:space="preserve"> </w:t>
      </w:r>
      <w:r>
        <w:rPr>
          <w:b/>
          <w:sz w:val="18"/>
        </w:rPr>
        <w:t>Development</w:t>
      </w:r>
      <w:r>
        <w:rPr>
          <w:b/>
          <w:spacing w:val="-17"/>
          <w:sz w:val="18"/>
        </w:rPr>
        <w:t xml:space="preserve"> </w:t>
      </w:r>
      <w:r>
        <w:rPr>
          <w:b/>
          <w:spacing w:val="-2"/>
          <w:sz w:val="18"/>
        </w:rPr>
        <w:t>Options</w:t>
      </w:r>
    </w:p>
    <w:p w:rsidR="002C1123" w:rsidRDefault="002060EF">
      <w:pPr>
        <w:tabs>
          <w:tab w:val="left" w:pos="2880"/>
        </w:tabs>
        <w:spacing w:before="153"/>
        <w:ind w:left="328"/>
        <w:rPr>
          <w:b/>
          <w:sz w:val="16"/>
        </w:rPr>
      </w:pPr>
      <w:r>
        <w:pict>
          <v:shape id="docshape1155" o:spid="_x0000_s4164" type="#_x0000_t202" style="position:absolute;left:0;text-align:left;margin-left:300.95pt;margin-top:17.5pt;width:491.85pt;height:381.9pt;z-index:251298816;mso-position-horizontal-relative:page" filled="f" stroked="f">
            <v:textbox inset="0,0,0,0">
              <w:txbxContent>
                <w:tbl>
                  <w:tblPr>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551"/>
                    <w:gridCol w:w="7265"/>
                  </w:tblGrid>
                  <w:tr w:rsidR="00F22F94">
                    <w:trPr>
                      <w:trHeight w:val="1559"/>
                    </w:trPr>
                    <w:tc>
                      <w:tcPr>
                        <w:tcW w:w="2551" w:type="dxa"/>
                        <w:tcBorders>
                          <w:top w:val="nil"/>
                        </w:tcBorders>
                        <w:shd w:val="clear" w:color="auto" w:fill="C9C8C9"/>
                      </w:tcPr>
                      <w:p w:rsidR="00F22F94" w:rsidRDefault="00F22F94">
                        <w:pPr>
                          <w:pStyle w:val="TableParagraph"/>
                          <w:rPr>
                            <w:sz w:val="16"/>
                          </w:rPr>
                        </w:pPr>
                        <w:r>
                          <w:rPr>
                            <w:w w:val="105"/>
                            <w:sz w:val="16"/>
                          </w:rPr>
                          <w:t>M4</w:t>
                        </w:r>
                        <w:r>
                          <w:rPr>
                            <w:spacing w:val="-11"/>
                            <w:w w:val="105"/>
                            <w:sz w:val="16"/>
                          </w:rPr>
                          <w:t xml:space="preserve"> </w:t>
                        </w:r>
                        <w:r>
                          <w:rPr>
                            <w:spacing w:val="-2"/>
                            <w:w w:val="105"/>
                            <w:sz w:val="16"/>
                          </w:rPr>
                          <w:t>Extension</w:t>
                        </w:r>
                      </w:p>
                    </w:tc>
                    <w:tc>
                      <w:tcPr>
                        <w:tcW w:w="7265" w:type="dxa"/>
                        <w:shd w:val="clear" w:color="auto" w:fill="E1E0E1"/>
                      </w:tcPr>
                      <w:p w:rsidR="00F22F94" w:rsidRDefault="00F22F94">
                        <w:pPr>
                          <w:pStyle w:val="TableParagraph"/>
                          <w:spacing w:before="127" w:line="235" w:lineRule="auto"/>
                          <w:ind w:right="184"/>
                          <w:rPr>
                            <w:sz w:val="16"/>
                          </w:rPr>
                        </w:pPr>
                        <w:r>
                          <w:rPr>
                            <w:spacing w:val="-2"/>
                            <w:sz w:val="16"/>
                          </w:rPr>
                          <w:t>This</w:t>
                        </w:r>
                        <w:r>
                          <w:rPr>
                            <w:spacing w:val="-3"/>
                            <w:sz w:val="16"/>
                          </w:rPr>
                          <w:t xml:space="preserve"> </w:t>
                        </w:r>
                        <w:r>
                          <w:rPr>
                            <w:spacing w:val="-2"/>
                            <w:sz w:val="16"/>
                          </w:rPr>
                          <w:t>project</w:t>
                        </w:r>
                        <w:r>
                          <w:rPr>
                            <w:spacing w:val="-3"/>
                            <w:sz w:val="16"/>
                          </w:rPr>
                          <w:t xml:space="preserve"> </w:t>
                        </w:r>
                        <w:r>
                          <w:rPr>
                            <w:spacing w:val="-2"/>
                            <w:sz w:val="16"/>
                          </w:rPr>
                          <w:t>proposes</w:t>
                        </w:r>
                        <w:r>
                          <w:rPr>
                            <w:spacing w:val="-3"/>
                            <w:sz w:val="16"/>
                          </w:rPr>
                          <w:t xml:space="preserve"> </w:t>
                        </w:r>
                        <w:r>
                          <w:rPr>
                            <w:spacing w:val="-2"/>
                            <w:sz w:val="16"/>
                          </w:rPr>
                          <w:t>to</w:t>
                        </w:r>
                        <w:r>
                          <w:rPr>
                            <w:spacing w:val="-3"/>
                            <w:sz w:val="16"/>
                          </w:rPr>
                          <w:t xml:space="preserve"> </w:t>
                        </w:r>
                        <w:r>
                          <w:rPr>
                            <w:spacing w:val="-2"/>
                            <w:sz w:val="16"/>
                          </w:rPr>
                          <w:t>extend</w:t>
                        </w:r>
                        <w:r>
                          <w:rPr>
                            <w:spacing w:val="-3"/>
                            <w:sz w:val="16"/>
                          </w:rPr>
                          <w:t xml:space="preserve"> </w:t>
                        </w:r>
                        <w:r>
                          <w:rPr>
                            <w:spacing w:val="-2"/>
                            <w:sz w:val="16"/>
                          </w:rPr>
                          <w:t>the</w:t>
                        </w:r>
                        <w:r>
                          <w:rPr>
                            <w:spacing w:val="-3"/>
                            <w:sz w:val="16"/>
                          </w:rPr>
                          <w:t xml:space="preserve"> </w:t>
                        </w:r>
                        <w:r>
                          <w:rPr>
                            <w:spacing w:val="-2"/>
                            <w:sz w:val="16"/>
                          </w:rPr>
                          <w:t>M4</w:t>
                        </w:r>
                        <w:r>
                          <w:rPr>
                            <w:spacing w:val="-3"/>
                            <w:sz w:val="16"/>
                          </w:rPr>
                          <w:t xml:space="preserve"> </w:t>
                        </w:r>
                        <w:r>
                          <w:rPr>
                            <w:spacing w:val="-2"/>
                            <w:sz w:val="16"/>
                          </w:rPr>
                          <w:t>motorway</w:t>
                        </w:r>
                        <w:r>
                          <w:rPr>
                            <w:spacing w:val="-3"/>
                            <w:sz w:val="16"/>
                          </w:rPr>
                          <w:t xml:space="preserve"> </w:t>
                        </w:r>
                        <w:r>
                          <w:rPr>
                            <w:spacing w:val="-2"/>
                            <w:sz w:val="16"/>
                          </w:rPr>
                          <w:t>from</w:t>
                        </w:r>
                        <w:r>
                          <w:rPr>
                            <w:spacing w:val="-4"/>
                            <w:sz w:val="16"/>
                          </w:rPr>
                          <w:t xml:space="preserve"> </w:t>
                        </w:r>
                        <w:r>
                          <w:rPr>
                            <w:spacing w:val="-2"/>
                            <w:sz w:val="16"/>
                          </w:rPr>
                          <w:t>Strathfield</w:t>
                        </w:r>
                        <w:r>
                          <w:rPr>
                            <w:spacing w:val="-3"/>
                            <w:sz w:val="16"/>
                          </w:rPr>
                          <w:t xml:space="preserve"> </w:t>
                        </w:r>
                        <w:r>
                          <w:rPr>
                            <w:spacing w:val="-2"/>
                            <w:sz w:val="16"/>
                          </w:rPr>
                          <w:t>towards</w:t>
                        </w:r>
                        <w:r>
                          <w:rPr>
                            <w:spacing w:val="-3"/>
                            <w:sz w:val="16"/>
                          </w:rPr>
                          <w:t xml:space="preserve"> </w:t>
                        </w:r>
                        <w:r>
                          <w:rPr>
                            <w:spacing w:val="-2"/>
                            <w:sz w:val="16"/>
                          </w:rPr>
                          <w:t>the</w:t>
                        </w:r>
                        <w:r>
                          <w:rPr>
                            <w:spacing w:val="-3"/>
                            <w:sz w:val="16"/>
                          </w:rPr>
                          <w:t xml:space="preserve"> </w:t>
                        </w:r>
                        <w:r>
                          <w:rPr>
                            <w:spacing w:val="-2"/>
                            <w:sz w:val="16"/>
                          </w:rPr>
                          <w:t>CBD</w:t>
                        </w:r>
                        <w:r>
                          <w:rPr>
                            <w:spacing w:val="-3"/>
                            <w:sz w:val="16"/>
                          </w:rPr>
                          <w:t xml:space="preserve"> </w:t>
                        </w:r>
                        <w:r>
                          <w:rPr>
                            <w:spacing w:val="-2"/>
                            <w:sz w:val="16"/>
                          </w:rPr>
                          <w:t>and</w:t>
                        </w:r>
                        <w:r>
                          <w:rPr>
                            <w:spacing w:val="-3"/>
                            <w:sz w:val="16"/>
                          </w:rPr>
                          <w:t xml:space="preserve"> </w:t>
                        </w:r>
                        <w:r>
                          <w:rPr>
                            <w:spacing w:val="-2"/>
                            <w:sz w:val="16"/>
                          </w:rPr>
                          <w:t>the</w:t>
                        </w:r>
                        <w:r>
                          <w:rPr>
                            <w:spacing w:val="-3"/>
                            <w:sz w:val="16"/>
                          </w:rPr>
                          <w:t xml:space="preserve"> </w:t>
                        </w:r>
                        <w:r>
                          <w:rPr>
                            <w:spacing w:val="-2"/>
                            <w:sz w:val="16"/>
                          </w:rPr>
                          <w:t xml:space="preserve">Airport, </w:t>
                        </w:r>
                        <w:r>
                          <w:rPr>
                            <w:sz w:val="16"/>
                          </w:rPr>
                          <w:t>thereby</w:t>
                        </w:r>
                        <w:r>
                          <w:rPr>
                            <w:spacing w:val="-8"/>
                            <w:sz w:val="16"/>
                          </w:rPr>
                          <w:t xml:space="preserve"> </w:t>
                        </w:r>
                        <w:r>
                          <w:rPr>
                            <w:sz w:val="16"/>
                          </w:rPr>
                          <w:t>connecting</w:t>
                        </w:r>
                        <w:r>
                          <w:rPr>
                            <w:spacing w:val="-8"/>
                            <w:sz w:val="16"/>
                          </w:rPr>
                          <w:t xml:space="preserve"> </w:t>
                        </w:r>
                        <w:r>
                          <w:rPr>
                            <w:sz w:val="16"/>
                          </w:rPr>
                          <w:t>Global</w:t>
                        </w:r>
                        <w:r>
                          <w:rPr>
                            <w:spacing w:val="-8"/>
                            <w:sz w:val="16"/>
                          </w:rPr>
                          <w:t xml:space="preserve"> </w:t>
                        </w:r>
                        <w:r>
                          <w:rPr>
                            <w:sz w:val="16"/>
                          </w:rPr>
                          <w:t>Sydney</w:t>
                        </w:r>
                        <w:r>
                          <w:rPr>
                            <w:spacing w:val="-8"/>
                            <w:sz w:val="16"/>
                          </w:rPr>
                          <w:t xml:space="preserve"> </w:t>
                        </w:r>
                        <w:r>
                          <w:rPr>
                            <w:sz w:val="16"/>
                          </w:rPr>
                          <w:t>to</w:t>
                        </w:r>
                        <w:r>
                          <w:rPr>
                            <w:spacing w:val="-8"/>
                            <w:sz w:val="16"/>
                          </w:rPr>
                          <w:t xml:space="preserve"> </w:t>
                        </w:r>
                        <w:r>
                          <w:rPr>
                            <w:sz w:val="16"/>
                          </w:rPr>
                          <w:t>Parramatta</w:t>
                        </w:r>
                        <w:r>
                          <w:rPr>
                            <w:spacing w:val="-8"/>
                            <w:sz w:val="16"/>
                          </w:rPr>
                          <w:t xml:space="preserve"> </w:t>
                        </w:r>
                        <w:r>
                          <w:rPr>
                            <w:sz w:val="16"/>
                          </w:rPr>
                          <w:t>and</w:t>
                        </w:r>
                        <w:r>
                          <w:rPr>
                            <w:spacing w:val="-8"/>
                            <w:sz w:val="16"/>
                          </w:rPr>
                          <w:t xml:space="preserve"> </w:t>
                        </w:r>
                        <w:r>
                          <w:rPr>
                            <w:sz w:val="16"/>
                          </w:rPr>
                          <w:t>Western</w:t>
                        </w:r>
                        <w:r>
                          <w:rPr>
                            <w:spacing w:val="-8"/>
                            <w:sz w:val="16"/>
                          </w:rPr>
                          <w:t xml:space="preserve"> </w:t>
                        </w:r>
                        <w:r>
                          <w:rPr>
                            <w:sz w:val="16"/>
                          </w:rPr>
                          <w:t>Sydney.</w:t>
                        </w:r>
                      </w:p>
                      <w:p w:rsidR="00F22F94" w:rsidRDefault="00F22F94">
                        <w:pPr>
                          <w:pStyle w:val="TableParagraph"/>
                          <w:spacing w:before="14" w:line="235" w:lineRule="auto"/>
                          <w:ind w:right="530"/>
                          <w:rPr>
                            <w:sz w:val="16"/>
                          </w:rPr>
                        </w:pPr>
                        <w:r>
                          <w:rPr>
                            <w:w w:val="95"/>
                            <w:sz w:val="16"/>
                          </w:rPr>
                          <w:t xml:space="preserve">A number of potential schemes have been developed but have not progressed to construction. </w:t>
                        </w:r>
                        <w:r>
                          <w:rPr>
                            <w:sz w:val="16"/>
                          </w:rPr>
                          <w:t>The</w:t>
                        </w:r>
                        <w:r>
                          <w:rPr>
                            <w:spacing w:val="-8"/>
                            <w:sz w:val="16"/>
                          </w:rPr>
                          <w:t xml:space="preserve"> </w:t>
                        </w:r>
                        <w:r>
                          <w:rPr>
                            <w:sz w:val="16"/>
                          </w:rPr>
                          <w:t>principal</w:t>
                        </w:r>
                        <w:r>
                          <w:rPr>
                            <w:spacing w:val="-8"/>
                            <w:sz w:val="16"/>
                          </w:rPr>
                          <w:t xml:space="preserve"> </w:t>
                        </w:r>
                        <w:r>
                          <w:rPr>
                            <w:sz w:val="16"/>
                          </w:rPr>
                          <w:t>issues</w:t>
                        </w:r>
                        <w:r>
                          <w:rPr>
                            <w:spacing w:val="-8"/>
                            <w:sz w:val="16"/>
                          </w:rPr>
                          <w:t xml:space="preserve"> </w:t>
                        </w:r>
                        <w:r>
                          <w:rPr>
                            <w:sz w:val="16"/>
                          </w:rPr>
                          <w:t>have</w:t>
                        </w:r>
                        <w:r>
                          <w:rPr>
                            <w:spacing w:val="-8"/>
                            <w:sz w:val="16"/>
                          </w:rPr>
                          <w:t xml:space="preserve"> </w:t>
                        </w:r>
                        <w:r>
                          <w:rPr>
                            <w:sz w:val="16"/>
                          </w:rPr>
                          <w:t>been</w:t>
                        </w:r>
                        <w:r>
                          <w:rPr>
                            <w:spacing w:val="-8"/>
                            <w:sz w:val="16"/>
                          </w:rPr>
                          <w:t xml:space="preserve"> </w:t>
                        </w:r>
                        <w:r>
                          <w:rPr>
                            <w:sz w:val="16"/>
                          </w:rPr>
                          <w:t>inadequate</w:t>
                        </w:r>
                        <w:r>
                          <w:rPr>
                            <w:spacing w:val="-8"/>
                            <w:sz w:val="16"/>
                          </w:rPr>
                          <w:t xml:space="preserve"> </w:t>
                        </w:r>
                        <w:r>
                          <w:rPr>
                            <w:sz w:val="16"/>
                          </w:rPr>
                          <w:t>connections</w:t>
                        </w:r>
                        <w:r>
                          <w:rPr>
                            <w:spacing w:val="-8"/>
                            <w:sz w:val="16"/>
                          </w:rPr>
                          <w:t xml:space="preserve"> </w:t>
                        </w:r>
                        <w:r>
                          <w:rPr>
                            <w:sz w:val="16"/>
                          </w:rPr>
                          <w:t>to</w:t>
                        </w:r>
                        <w:r>
                          <w:rPr>
                            <w:spacing w:val="-8"/>
                            <w:sz w:val="16"/>
                          </w:rPr>
                          <w:t xml:space="preserve"> </w:t>
                        </w:r>
                        <w:r>
                          <w:rPr>
                            <w:sz w:val="16"/>
                          </w:rPr>
                          <w:t>the</w:t>
                        </w:r>
                        <w:r>
                          <w:rPr>
                            <w:spacing w:val="-8"/>
                            <w:sz w:val="16"/>
                          </w:rPr>
                          <w:t xml:space="preserve"> </w:t>
                        </w:r>
                        <w:r>
                          <w:rPr>
                            <w:sz w:val="16"/>
                          </w:rPr>
                          <w:t>existing</w:t>
                        </w:r>
                        <w:r>
                          <w:rPr>
                            <w:spacing w:val="-8"/>
                            <w:sz w:val="16"/>
                          </w:rPr>
                          <w:t xml:space="preserve"> </w:t>
                        </w:r>
                        <w:r>
                          <w:rPr>
                            <w:sz w:val="16"/>
                          </w:rPr>
                          <w:t>road</w:t>
                        </w:r>
                        <w:r>
                          <w:rPr>
                            <w:spacing w:val="-8"/>
                            <w:sz w:val="16"/>
                          </w:rPr>
                          <w:t xml:space="preserve"> </w:t>
                        </w:r>
                        <w:r>
                          <w:rPr>
                            <w:sz w:val="16"/>
                          </w:rPr>
                          <w:t>network</w:t>
                        </w:r>
                        <w:r>
                          <w:rPr>
                            <w:spacing w:val="-8"/>
                            <w:sz w:val="16"/>
                          </w:rPr>
                          <w:t xml:space="preserve"> </w:t>
                        </w:r>
                        <w:r>
                          <w:rPr>
                            <w:sz w:val="16"/>
                          </w:rPr>
                          <w:t>and affordability</w:t>
                        </w:r>
                        <w:r>
                          <w:rPr>
                            <w:spacing w:val="-4"/>
                            <w:sz w:val="16"/>
                          </w:rPr>
                          <w:t xml:space="preserve"> </w:t>
                        </w:r>
                        <w:r>
                          <w:rPr>
                            <w:sz w:val="16"/>
                          </w:rPr>
                          <w:t>concerns.</w:t>
                        </w:r>
                      </w:p>
                      <w:p w:rsidR="00F22F94" w:rsidRDefault="00F22F94">
                        <w:pPr>
                          <w:pStyle w:val="TableParagraph"/>
                          <w:spacing w:before="13" w:line="235" w:lineRule="auto"/>
                          <w:ind w:right="184"/>
                          <w:rPr>
                            <w:sz w:val="16"/>
                          </w:rPr>
                        </w:pPr>
                        <w:r>
                          <w:rPr>
                            <w:w w:val="95"/>
                            <w:sz w:val="16"/>
                          </w:rPr>
                          <w:t xml:space="preserve">Widening of the existing M4 between Parramatta and Strathfield is seen as an integral part of this </w:t>
                        </w:r>
                        <w:r>
                          <w:rPr>
                            <w:sz w:val="16"/>
                          </w:rPr>
                          <w:t>option due to high demand along this section.</w:t>
                        </w:r>
                      </w:p>
                    </w:tc>
                  </w:tr>
                  <w:tr w:rsidR="00F22F94">
                    <w:trPr>
                      <w:trHeight w:val="1005"/>
                    </w:trPr>
                    <w:tc>
                      <w:tcPr>
                        <w:tcW w:w="2551" w:type="dxa"/>
                        <w:shd w:val="clear" w:color="auto" w:fill="C9C8C9"/>
                      </w:tcPr>
                      <w:p w:rsidR="00F22F94" w:rsidRDefault="00F22F94">
                        <w:pPr>
                          <w:pStyle w:val="TableParagraph"/>
                          <w:rPr>
                            <w:sz w:val="16"/>
                          </w:rPr>
                        </w:pPr>
                        <w:r>
                          <w:rPr>
                            <w:sz w:val="16"/>
                          </w:rPr>
                          <w:t>M5</w:t>
                        </w:r>
                        <w:r>
                          <w:rPr>
                            <w:spacing w:val="-2"/>
                            <w:sz w:val="16"/>
                          </w:rPr>
                          <w:t xml:space="preserve"> </w:t>
                        </w:r>
                        <w:r>
                          <w:rPr>
                            <w:sz w:val="16"/>
                          </w:rPr>
                          <w:t>East</w:t>
                        </w:r>
                        <w:r>
                          <w:rPr>
                            <w:spacing w:val="-2"/>
                            <w:sz w:val="16"/>
                          </w:rPr>
                          <w:t xml:space="preserve"> Expansion</w:t>
                        </w:r>
                      </w:p>
                    </w:tc>
                    <w:tc>
                      <w:tcPr>
                        <w:tcW w:w="7265" w:type="dxa"/>
                        <w:shd w:val="clear" w:color="auto" w:fill="E1E0E1"/>
                      </w:tcPr>
                      <w:p w:rsidR="00F22F94" w:rsidRDefault="00F22F94">
                        <w:pPr>
                          <w:pStyle w:val="TableParagraph"/>
                          <w:spacing w:before="124"/>
                          <w:rPr>
                            <w:sz w:val="16"/>
                          </w:rPr>
                        </w:pPr>
                        <w:r>
                          <w:rPr>
                            <w:w w:val="95"/>
                            <w:sz w:val="16"/>
                          </w:rPr>
                          <w:t>The</w:t>
                        </w:r>
                        <w:r>
                          <w:rPr>
                            <w:spacing w:val="-2"/>
                            <w:sz w:val="16"/>
                          </w:rPr>
                          <w:t xml:space="preserve"> </w:t>
                        </w:r>
                        <w:r>
                          <w:rPr>
                            <w:w w:val="95"/>
                            <w:sz w:val="16"/>
                          </w:rPr>
                          <w:t>current</w:t>
                        </w:r>
                        <w:r>
                          <w:rPr>
                            <w:spacing w:val="-1"/>
                            <w:sz w:val="16"/>
                          </w:rPr>
                          <w:t xml:space="preserve"> </w:t>
                        </w:r>
                        <w:r>
                          <w:rPr>
                            <w:w w:val="95"/>
                            <w:sz w:val="16"/>
                          </w:rPr>
                          <w:t>2x2</w:t>
                        </w:r>
                        <w:r>
                          <w:rPr>
                            <w:spacing w:val="-1"/>
                            <w:sz w:val="16"/>
                          </w:rPr>
                          <w:t xml:space="preserve"> </w:t>
                        </w:r>
                        <w:r>
                          <w:rPr>
                            <w:w w:val="95"/>
                            <w:sz w:val="16"/>
                          </w:rPr>
                          <w:t>toll-free</w:t>
                        </w:r>
                        <w:r>
                          <w:rPr>
                            <w:spacing w:val="-2"/>
                            <w:sz w:val="16"/>
                          </w:rPr>
                          <w:t xml:space="preserve"> </w:t>
                        </w:r>
                        <w:r>
                          <w:rPr>
                            <w:w w:val="95"/>
                            <w:sz w:val="16"/>
                          </w:rPr>
                          <w:t>tunnel</w:t>
                        </w:r>
                        <w:r>
                          <w:rPr>
                            <w:spacing w:val="-1"/>
                            <w:sz w:val="16"/>
                          </w:rPr>
                          <w:t xml:space="preserve"> </w:t>
                        </w:r>
                        <w:r>
                          <w:rPr>
                            <w:w w:val="95"/>
                            <w:sz w:val="16"/>
                          </w:rPr>
                          <w:t>is</w:t>
                        </w:r>
                        <w:r>
                          <w:rPr>
                            <w:spacing w:val="-1"/>
                            <w:sz w:val="16"/>
                          </w:rPr>
                          <w:t xml:space="preserve"> </w:t>
                        </w:r>
                        <w:r>
                          <w:rPr>
                            <w:w w:val="95"/>
                            <w:sz w:val="16"/>
                          </w:rPr>
                          <w:t>severely</w:t>
                        </w:r>
                        <w:r>
                          <w:rPr>
                            <w:spacing w:val="-2"/>
                            <w:sz w:val="16"/>
                          </w:rPr>
                          <w:t xml:space="preserve"> </w:t>
                        </w:r>
                        <w:r>
                          <w:rPr>
                            <w:w w:val="95"/>
                            <w:sz w:val="16"/>
                          </w:rPr>
                          <w:t>congested</w:t>
                        </w:r>
                        <w:r>
                          <w:rPr>
                            <w:spacing w:val="-1"/>
                            <w:sz w:val="16"/>
                          </w:rPr>
                          <w:t xml:space="preserve"> </w:t>
                        </w:r>
                        <w:r>
                          <w:rPr>
                            <w:w w:val="95"/>
                            <w:sz w:val="16"/>
                          </w:rPr>
                          <w:t>for</w:t>
                        </w:r>
                        <w:r>
                          <w:rPr>
                            <w:spacing w:val="-1"/>
                            <w:sz w:val="16"/>
                          </w:rPr>
                          <w:t xml:space="preserve"> </w:t>
                        </w:r>
                        <w:r>
                          <w:rPr>
                            <w:w w:val="95"/>
                            <w:sz w:val="16"/>
                          </w:rPr>
                          <w:t>large</w:t>
                        </w:r>
                        <w:r>
                          <w:rPr>
                            <w:spacing w:val="-2"/>
                            <w:sz w:val="16"/>
                          </w:rPr>
                          <w:t xml:space="preserve"> </w:t>
                        </w:r>
                        <w:r>
                          <w:rPr>
                            <w:w w:val="95"/>
                            <w:sz w:val="16"/>
                          </w:rPr>
                          <w:t>parts</w:t>
                        </w:r>
                        <w:r>
                          <w:rPr>
                            <w:spacing w:val="-1"/>
                            <w:sz w:val="16"/>
                          </w:rPr>
                          <w:t xml:space="preserve"> </w:t>
                        </w:r>
                        <w:r>
                          <w:rPr>
                            <w:w w:val="95"/>
                            <w:sz w:val="16"/>
                          </w:rPr>
                          <w:t>of</w:t>
                        </w:r>
                        <w:r>
                          <w:rPr>
                            <w:spacing w:val="-1"/>
                            <w:sz w:val="16"/>
                          </w:rPr>
                          <w:t xml:space="preserve"> </w:t>
                        </w:r>
                        <w:r>
                          <w:rPr>
                            <w:w w:val="95"/>
                            <w:sz w:val="16"/>
                          </w:rPr>
                          <w:t>the</w:t>
                        </w:r>
                        <w:r>
                          <w:rPr>
                            <w:spacing w:val="-2"/>
                            <w:sz w:val="16"/>
                          </w:rPr>
                          <w:t xml:space="preserve"> </w:t>
                        </w:r>
                        <w:r>
                          <w:rPr>
                            <w:spacing w:val="-4"/>
                            <w:w w:val="95"/>
                            <w:sz w:val="16"/>
                          </w:rPr>
                          <w:t>day.</w:t>
                        </w:r>
                      </w:p>
                      <w:p w:rsidR="00F22F94" w:rsidRDefault="00F22F94">
                        <w:pPr>
                          <w:pStyle w:val="TableParagraph"/>
                          <w:spacing w:before="13" w:line="235" w:lineRule="auto"/>
                          <w:ind w:right="184"/>
                          <w:rPr>
                            <w:sz w:val="16"/>
                          </w:rPr>
                        </w:pPr>
                        <w:r>
                          <w:rPr>
                            <w:sz w:val="16"/>
                          </w:rPr>
                          <w:t>Options</w:t>
                        </w:r>
                        <w:r>
                          <w:rPr>
                            <w:spacing w:val="-10"/>
                            <w:sz w:val="16"/>
                          </w:rPr>
                          <w:t xml:space="preserve"> </w:t>
                        </w:r>
                        <w:r>
                          <w:rPr>
                            <w:sz w:val="16"/>
                          </w:rPr>
                          <w:t>to</w:t>
                        </w:r>
                        <w:r>
                          <w:rPr>
                            <w:spacing w:val="-10"/>
                            <w:sz w:val="16"/>
                          </w:rPr>
                          <w:t xml:space="preserve"> </w:t>
                        </w:r>
                        <w:r>
                          <w:rPr>
                            <w:sz w:val="16"/>
                          </w:rPr>
                          <w:t>duplicate</w:t>
                        </w:r>
                        <w:r>
                          <w:rPr>
                            <w:spacing w:val="-10"/>
                            <w:sz w:val="16"/>
                          </w:rPr>
                          <w:t xml:space="preserve"> </w:t>
                        </w:r>
                        <w:r>
                          <w:rPr>
                            <w:sz w:val="16"/>
                          </w:rPr>
                          <w:t>the</w:t>
                        </w:r>
                        <w:r>
                          <w:rPr>
                            <w:spacing w:val="-10"/>
                            <w:sz w:val="16"/>
                          </w:rPr>
                          <w:t xml:space="preserve"> </w:t>
                        </w:r>
                        <w:r>
                          <w:rPr>
                            <w:sz w:val="16"/>
                          </w:rPr>
                          <w:t>existing</w:t>
                        </w:r>
                        <w:r>
                          <w:rPr>
                            <w:spacing w:val="-10"/>
                            <w:sz w:val="16"/>
                          </w:rPr>
                          <w:t xml:space="preserve"> </w:t>
                        </w:r>
                        <w:r>
                          <w:rPr>
                            <w:sz w:val="16"/>
                          </w:rPr>
                          <w:t>tunnels</w:t>
                        </w:r>
                        <w:r>
                          <w:rPr>
                            <w:spacing w:val="-10"/>
                            <w:sz w:val="16"/>
                          </w:rPr>
                          <w:t xml:space="preserve"> </w:t>
                        </w:r>
                        <w:r>
                          <w:rPr>
                            <w:sz w:val="16"/>
                          </w:rPr>
                          <w:t>have</w:t>
                        </w:r>
                        <w:r>
                          <w:rPr>
                            <w:spacing w:val="-10"/>
                            <w:sz w:val="16"/>
                          </w:rPr>
                          <w:t xml:space="preserve"> </w:t>
                        </w:r>
                        <w:r>
                          <w:rPr>
                            <w:sz w:val="16"/>
                          </w:rPr>
                          <w:t>been</w:t>
                        </w:r>
                        <w:r>
                          <w:rPr>
                            <w:spacing w:val="-10"/>
                            <w:sz w:val="16"/>
                          </w:rPr>
                          <w:t xml:space="preserve"> </w:t>
                        </w:r>
                        <w:r>
                          <w:rPr>
                            <w:sz w:val="16"/>
                          </w:rPr>
                          <w:t>under</w:t>
                        </w:r>
                        <w:r>
                          <w:rPr>
                            <w:spacing w:val="-10"/>
                            <w:sz w:val="16"/>
                          </w:rPr>
                          <w:t xml:space="preserve"> </w:t>
                        </w:r>
                        <w:r>
                          <w:rPr>
                            <w:sz w:val="16"/>
                          </w:rPr>
                          <w:t>consideration</w:t>
                        </w:r>
                        <w:r>
                          <w:rPr>
                            <w:spacing w:val="-10"/>
                            <w:sz w:val="16"/>
                          </w:rPr>
                          <w:t xml:space="preserve"> </w:t>
                        </w:r>
                        <w:r>
                          <w:rPr>
                            <w:sz w:val="16"/>
                          </w:rPr>
                          <w:t>for</w:t>
                        </w:r>
                        <w:r>
                          <w:rPr>
                            <w:spacing w:val="-10"/>
                            <w:sz w:val="16"/>
                          </w:rPr>
                          <w:t xml:space="preserve"> </w:t>
                        </w:r>
                        <w:r>
                          <w:rPr>
                            <w:sz w:val="16"/>
                          </w:rPr>
                          <w:t>some</w:t>
                        </w:r>
                        <w:r>
                          <w:rPr>
                            <w:spacing w:val="-10"/>
                            <w:sz w:val="16"/>
                          </w:rPr>
                          <w:t xml:space="preserve"> </w:t>
                        </w:r>
                        <w:r>
                          <w:rPr>
                            <w:sz w:val="16"/>
                          </w:rPr>
                          <w:t>years,</w:t>
                        </w:r>
                        <w:r>
                          <w:rPr>
                            <w:spacing w:val="-10"/>
                            <w:sz w:val="16"/>
                          </w:rPr>
                          <w:t xml:space="preserve"> </w:t>
                        </w:r>
                        <w:r>
                          <w:rPr>
                            <w:sz w:val="16"/>
                          </w:rPr>
                          <w:t>but</w:t>
                        </w:r>
                        <w:r>
                          <w:rPr>
                            <w:spacing w:val="-10"/>
                            <w:sz w:val="16"/>
                          </w:rPr>
                          <w:t xml:space="preserve"> </w:t>
                        </w:r>
                        <w:r>
                          <w:rPr>
                            <w:sz w:val="16"/>
                          </w:rPr>
                          <w:t xml:space="preserve">have </w:t>
                        </w:r>
                        <w:r>
                          <w:rPr>
                            <w:w w:val="95"/>
                            <w:sz w:val="16"/>
                          </w:rPr>
                          <w:t xml:space="preserve">foundered on the lack of a viable scheme to distribute traffic to the North of Sydney Airport. Additional </w:t>
                        </w:r>
                        <w:r>
                          <w:rPr>
                            <w:sz w:val="16"/>
                          </w:rPr>
                          <w:t>traffic</w:t>
                        </w:r>
                        <w:r>
                          <w:rPr>
                            <w:spacing w:val="-7"/>
                            <w:sz w:val="16"/>
                          </w:rPr>
                          <w:t xml:space="preserve"> </w:t>
                        </w:r>
                        <w:r>
                          <w:rPr>
                            <w:sz w:val="16"/>
                          </w:rPr>
                          <w:t>cannot</w:t>
                        </w:r>
                        <w:r>
                          <w:rPr>
                            <w:spacing w:val="-7"/>
                            <w:sz w:val="16"/>
                          </w:rPr>
                          <w:t xml:space="preserve"> </w:t>
                        </w:r>
                        <w:r>
                          <w:rPr>
                            <w:sz w:val="16"/>
                          </w:rPr>
                          <w:t>pass</w:t>
                        </w:r>
                        <w:r>
                          <w:rPr>
                            <w:spacing w:val="-7"/>
                            <w:sz w:val="16"/>
                          </w:rPr>
                          <w:t xml:space="preserve"> </w:t>
                        </w:r>
                        <w:r>
                          <w:rPr>
                            <w:sz w:val="16"/>
                          </w:rPr>
                          <w:t>South</w:t>
                        </w:r>
                        <w:r>
                          <w:rPr>
                            <w:spacing w:val="-7"/>
                            <w:sz w:val="16"/>
                          </w:rPr>
                          <w:t xml:space="preserve"> </w:t>
                        </w:r>
                        <w:r>
                          <w:rPr>
                            <w:sz w:val="16"/>
                          </w:rPr>
                          <w:t>of</w:t>
                        </w:r>
                        <w:r>
                          <w:rPr>
                            <w:spacing w:val="-7"/>
                            <w:sz w:val="16"/>
                          </w:rPr>
                          <w:t xml:space="preserve"> </w:t>
                        </w:r>
                        <w:r>
                          <w:rPr>
                            <w:sz w:val="16"/>
                          </w:rPr>
                          <w:t>the</w:t>
                        </w:r>
                        <w:r>
                          <w:rPr>
                            <w:spacing w:val="-7"/>
                            <w:sz w:val="16"/>
                          </w:rPr>
                          <w:t xml:space="preserve"> </w:t>
                        </w:r>
                        <w:r>
                          <w:rPr>
                            <w:sz w:val="16"/>
                          </w:rPr>
                          <w:t>Airport</w:t>
                        </w:r>
                        <w:r>
                          <w:rPr>
                            <w:spacing w:val="-7"/>
                            <w:sz w:val="16"/>
                          </w:rPr>
                          <w:t xml:space="preserve"> </w:t>
                        </w:r>
                        <w:r>
                          <w:rPr>
                            <w:sz w:val="16"/>
                          </w:rPr>
                          <w:t>due</w:t>
                        </w:r>
                        <w:r>
                          <w:rPr>
                            <w:spacing w:val="-7"/>
                            <w:sz w:val="16"/>
                          </w:rPr>
                          <w:t xml:space="preserve"> </w:t>
                        </w:r>
                        <w:r>
                          <w:rPr>
                            <w:sz w:val="16"/>
                          </w:rPr>
                          <w:t>to</w:t>
                        </w:r>
                        <w:r>
                          <w:rPr>
                            <w:spacing w:val="-7"/>
                            <w:sz w:val="16"/>
                          </w:rPr>
                          <w:t xml:space="preserve"> </w:t>
                        </w:r>
                        <w:r>
                          <w:rPr>
                            <w:sz w:val="16"/>
                          </w:rPr>
                          <w:t>the</w:t>
                        </w:r>
                        <w:r>
                          <w:rPr>
                            <w:spacing w:val="-7"/>
                            <w:sz w:val="16"/>
                          </w:rPr>
                          <w:t xml:space="preserve"> </w:t>
                        </w:r>
                        <w:r>
                          <w:rPr>
                            <w:sz w:val="16"/>
                          </w:rPr>
                          <w:t>existing</w:t>
                        </w:r>
                        <w:r>
                          <w:rPr>
                            <w:spacing w:val="-7"/>
                            <w:sz w:val="16"/>
                          </w:rPr>
                          <w:t xml:space="preserve"> </w:t>
                        </w:r>
                        <w:r>
                          <w:rPr>
                            <w:sz w:val="16"/>
                          </w:rPr>
                          <w:t>congestion</w:t>
                        </w:r>
                        <w:r>
                          <w:rPr>
                            <w:spacing w:val="-7"/>
                            <w:sz w:val="16"/>
                          </w:rPr>
                          <w:t xml:space="preserve"> </w:t>
                        </w:r>
                        <w:r>
                          <w:rPr>
                            <w:sz w:val="16"/>
                          </w:rPr>
                          <w:t>on</w:t>
                        </w:r>
                        <w:r>
                          <w:rPr>
                            <w:spacing w:val="-7"/>
                            <w:sz w:val="16"/>
                          </w:rPr>
                          <w:t xml:space="preserve"> </w:t>
                        </w:r>
                        <w:r>
                          <w:rPr>
                            <w:sz w:val="16"/>
                          </w:rPr>
                          <w:t>General</w:t>
                        </w:r>
                        <w:r>
                          <w:rPr>
                            <w:spacing w:val="-7"/>
                            <w:sz w:val="16"/>
                          </w:rPr>
                          <w:t xml:space="preserve"> </w:t>
                        </w:r>
                        <w:r>
                          <w:rPr>
                            <w:sz w:val="16"/>
                          </w:rPr>
                          <w:t>Holmes</w:t>
                        </w:r>
                        <w:r>
                          <w:rPr>
                            <w:spacing w:val="-7"/>
                            <w:sz w:val="16"/>
                          </w:rPr>
                          <w:t xml:space="preserve"> </w:t>
                        </w:r>
                        <w:r>
                          <w:rPr>
                            <w:sz w:val="16"/>
                          </w:rPr>
                          <w:t>Drive.</w:t>
                        </w:r>
                      </w:p>
                    </w:tc>
                  </w:tr>
                  <w:tr w:rsidR="00F22F94">
                    <w:trPr>
                      <w:trHeight w:val="825"/>
                    </w:trPr>
                    <w:tc>
                      <w:tcPr>
                        <w:tcW w:w="2551" w:type="dxa"/>
                        <w:shd w:val="clear" w:color="auto" w:fill="C9C8C9"/>
                      </w:tcPr>
                      <w:p w:rsidR="00F22F94" w:rsidRDefault="00F22F94">
                        <w:pPr>
                          <w:pStyle w:val="TableParagraph"/>
                          <w:rPr>
                            <w:sz w:val="16"/>
                          </w:rPr>
                        </w:pPr>
                        <w:r>
                          <w:rPr>
                            <w:sz w:val="16"/>
                          </w:rPr>
                          <w:t>F3-M2</w:t>
                        </w:r>
                        <w:r>
                          <w:rPr>
                            <w:spacing w:val="1"/>
                            <w:sz w:val="16"/>
                          </w:rPr>
                          <w:t xml:space="preserve"> </w:t>
                        </w:r>
                        <w:r>
                          <w:rPr>
                            <w:spacing w:val="-4"/>
                            <w:sz w:val="16"/>
                          </w:rPr>
                          <w:t>Link</w:t>
                        </w:r>
                      </w:p>
                    </w:tc>
                    <w:tc>
                      <w:tcPr>
                        <w:tcW w:w="7265" w:type="dxa"/>
                        <w:shd w:val="clear" w:color="auto" w:fill="E1E0E1"/>
                      </w:tcPr>
                      <w:p w:rsidR="00F22F94" w:rsidRDefault="00F22F94">
                        <w:pPr>
                          <w:pStyle w:val="TableParagraph"/>
                          <w:spacing w:before="124" w:line="244" w:lineRule="auto"/>
                          <w:ind w:right="184"/>
                          <w:rPr>
                            <w:sz w:val="16"/>
                          </w:rPr>
                        </w:pPr>
                        <w:r>
                          <w:rPr>
                            <w:w w:val="95"/>
                            <w:sz w:val="16"/>
                          </w:rPr>
                          <w:t xml:space="preserve">This project would link the Sydney Orbital to the F3 northwards to the Central Coast and Hunter. </w:t>
                        </w:r>
                        <w:r>
                          <w:rPr>
                            <w:sz w:val="16"/>
                          </w:rPr>
                          <w:t>Current</w:t>
                        </w:r>
                        <w:r>
                          <w:rPr>
                            <w:spacing w:val="-9"/>
                            <w:sz w:val="16"/>
                          </w:rPr>
                          <w:t xml:space="preserve"> </w:t>
                        </w:r>
                        <w:r>
                          <w:rPr>
                            <w:sz w:val="16"/>
                          </w:rPr>
                          <w:t>proposals</w:t>
                        </w:r>
                        <w:r>
                          <w:rPr>
                            <w:spacing w:val="-9"/>
                            <w:sz w:val="16"/>
                          </w:rPr>
                          <w:t xml:space="preserve"> </w:t>
                        </w:r>
                        <w:r>
                          <w:rPr>
                            <w:sz w:val="16"/>
                          </w:rPr>
                          <w:t>require</w:t>
                        </w:r>
                        <w:r>
                          <w:rPr>
                            <w:spacing w:val="-9"/>
                            <w:sz w:val="16"/>
                          </w:rPr>
                          <w:t xml:space="preserve"> </w:t>
                        </w:r>
                        <w:r>
                          <w:rPr>
                            <w:sz w:val="16"/>
                          </w:rPr>
                          <w:t>the</w:t>
                        </w:r>
                        <w:r>
                          <w:rPr>
                            <w:spacing w:val="-9"/>
                            <w:sz w:val="16"/>
                          </w:rPr>
                          <w:t xml:space="preserve"> </w:t>
                        </w:r>
                        <w:r>
                          <w:rPr>
                            <w:sz w:val="16"/>
                          </w:rPr>
                          <w:t>construction</w:t>
                        </w:r>
                        <w:r>
                          <w:rPr>
                            <w:spacing w:val="-9"/>
                            <w:sz w:val="16"/>
                          </w:rPr>
                          <w:t xml:space="preserve"> </w:t>
                        </w:r>
                        <w:r>
                          <w:rPr>
                            <w:sz w:val="16"/>
                          </w:rPr>
                          <w:t>of</w:t>
                        </w:r>
                        <w:r>
                          <w:rPr>
                            <w:spacing w:val="-9"/>
                            <w:sz w:val="16"/>
                          </w:rPr>
                          <w:t xml:space="preserve"> </w:t>
                        </w:r>
                        <w:r>
                          <w:rPr>
                            <w:sz w:val="16"/>
                          </w:rPr>
                          <w:t>the</w:t>
                        </w:r>
                        <w:r>
                          <w:rPr>
                            <w:spacing w:val="-9"/>
                            <w:sz w:val="16"/>
                          </w:rPr>
                          <w:t xml:space="preserve"> </w:t>
                        </w:r>
                        <w:r>
                          <w:rPr>
                            <w:sz w:val="16"/>
                          </w:rPr>
                          <w:t>longest</w:t>
                        </w:r>
                        <w:r>
                          <w:rPr>
                            <w:spacing w:val="-9"/>
                            <w:sz w:val="16"/>
                          </w:rPr>
                          <w:t xml:space="preserve"> </w:t>
                        </w:r>
                        <w:r>
                          <w:rPr>
                            <w:sz w:val="16"/>
                          </w:rPr>
                          <w:t>road</w:t>
                        </w:r>
                        <w:r>
                          <w:rPr>
                            <w:spacing w:val="-9"/>
                            <w:sz w:val="16"/>
                          </w:rPr>
                          <w:t xml:space="preserve"> </w:t>
                        </w:r>
                        <w:r>
                          <w:rPr>
                            <w:sz w:val="16"/>
                          </w:rPr>
                          <w:t>tunnel</w:t>
                        </w:r>
                        <w:r>
                          <w:rPr>
                            <w:spacing w:val="-9"/>
                            <w:sz w:val="16"/>
                          </w:rPr>
                          <w:t xml:space="preserve"> </w:t>
                        </w:r>
                        <w:r>
                          <w:rPr>
                            <w:sz w:val="16"/>
                          </w:rPr>
                          <w:t>in</w:t>
                        </w:r>
                        <w:r>
                          <w:rPr>
                            <w:spacing w:val="-9"/>
                            <w:sz w:val="16"/>
                          </w:rPr>
                          <w:t xml:space="preserve"> </w:t>
                        </w:r>
                        <w:r>
                          <w:rPr>
                            <w:sz w:val="16"/>
                          </w:rPr>
                          <w:t>Australia,</w:t>
                        </w:r>
                        <w:r>
                          <w:rPr>
                            <w:spacing w:val="-9"/>
                            <w:sz w:val="16"/>
                          </w:rPr>
                          <w:t xml:space="preserve"> </w:t>
                        </w:r>
                        <w:r>
                          <w:rPr>
                            <w:sz w:val="16"/>
                          </w:rPr>
                          <w:t>which</w:t>
                        </w:r>
                        <w:r>
                          <w:rPr>
                            <w:spacing w:val="-9"/>
                            <w:sz w:val="16"/>
                          </w:rPr>
                          <w:t xml:space="preserve"> </w:t>
                        </w:r>
                        <w:r>
                          <w:rPr>
                            <w:sz w:val="16"/>
                          </w:rPr>
                          <w:t>raises affordability</w:t>
                        </w:r>
                        <w:r>
                          <w:rPr>
                            <w:spacing w:val="-4"/>
                            <w:sz w:val="16"/>
                          </w:rPr>
                          <w:t xml:space="preserve"> </w:t>
                        </w:r>
                        <w:r>
                          <w:rPr>
                            <w:sz w:val="16"/>
                          </w:rPr>
                          <w:t>issues.</w:t>
                        </w:r>
                      </w:p>
                    </w:tc>
                  </w:tr>
                  <w:tr w:rsidR="00F22F94">
                    <w:trPr>
                      <w:trHeight w:val="811"/>
                    </w:trPr>
                    <w:tc>
                      <w:tcPr>
                        <w:tcW w:w="2551" w:type="dxa"/>
                        <w:shd w:val="clear" w:color="auto" w:fill="C9C8C9"/>
                      </w:tcPr>
                      <w:p w:rsidR="00F22F94" w:rsidRDefault="00F22F94">
                        <w:pPr>
                          <w:pStyle w:val="TableParagraph"/>
                          <w:rPr>
                            <w:sz w:val="16"/>
                          </w:rPr>
                        </w:pPr>
                        <w:r>
                          <w:rPr>
                            <w:sz w:val="16"/>
                          </w:rPr>
                          <w:t>F6</w:t>
                        </w:r>
                        <w:r>
                          <w:rPr>
                            <w:spacing w:val="-10"/>
                            <w:sz w:val="16"/>
                          </w:rPr>
                          <w:t xml:space="preserve"> </w:t>
                        </w:r>
                        <w:r>
                          <w:rPr>
                            <w:spacing w:val="-2"/>
                            <w:sz w:val="16"/>
                          </w:rPr>
                          <w:t>Extension</w:t>
                        </w:r>
                      </w:p>
                    </w:tc>
                    <w:tc>
                      <w:tcPr>
                        <w:tcW w:w="7265" w:type="dxa"/>
                        <w:shd w:val="clear" w:color="auto" w:fill="E1E0E1"/>
                      </w:tcPr>
                      <w:p w:rsidR="00F22F94" w:rsidRDefault="00F22F94">
                        <w:pPr>
                          <w:pStyle w:val="TableParagraph"/>
                          <w:spacing w:before="127" w:line="235" w:lineRule="auto"/>
                          <w:ind w:right="386"/>
                          <w:rPr>
                            <w:sz w:val="16"/>
                          </w:rPr>
                        </w:pPr>
                        <w:r>
                          <w:rPr>
                            <w:sz w:val="16"/>
                          </w:rPr>
                          <w:t>This</w:t>
                        </w:r>
                        <w:r>
                          <w:rPr>
                            <w:spacing w:val="-8"/>
                            <w:sz w:val="16"/>
                          </w:rPr>
                          <w:t xml:space="preserve"> </w:t>
                        </w:r>
                        <w:r>
                          <w:rPr>
                            <w:sz w:val="16"/>
                          </w:rPr>
                          <w:t>project</w:t>
                        </w:r>
                        <w:r>
                          <w:rPr>
                            <w:spacing w:val="-8"/>
                            <w:sz w:val="16"/>
                          </w:rPr>
                          <w:t xml:space="preserve"> </w:t>
                        </w:r>
                        <w:r>
                          <w:rPr>
                            <w:sz w:val="16"/>
                          </w:rPr>
                          <w:t>would</w:t>
                        </w:r>
                        <w:r>
                          <w:rPr>
                            <w:spacing w:val="-8"/>
                            <w:sz w:val="16"/>
                          </w:rPr>
                          <w:t xml:space="preserve"> </w:t>
                        </w:r>
                        <w:r>
                          <w:rPr>
                            <w:sz w:val="16"/>
                          </w:rPr>
                          <w:t>link</w:t>
                        </w:r>
                        <w:r>
                          <w:rPr>
                            <w:spacing w:val="-8"/>
                            <w:sz w:val="16"/>
                          </w:rPr>
                          <w:t xml:space="preserve"> </w:t>
                        </w:r>
                        <w:r>
                          <w:rPr>
                            <w:sz w:val="16"/>
                          </w:rPr>
                          <w:t>the</w:t>
                        </w:r>
                        <w:r>
                          <w:rPr>
                            <w:spacing w:val="-8"/>
                            <w:sz w:val="16"/>
                          </w:rPr>
                          <w:t xml:space="preserve"> </w:t>
                        </w:r>
                        <w:r>
                          <w:rPr>
                            <w:sz w:val="16"/>
                          </w:rPr>
                          <w:t>Sydney</w:t>
                        </w:r>
                        <w:r>
                          <w:rPr>
                            <w:spacing w:val="-8"/>
                            <w:sz w:val="16"/>
                          </w:rPr>
                          <w:t xml:space="preserve"> </w:t>
                        </w:r>
                        <w:r>
                          <w:rPr>
                            <w:sz w:val="16"/>
                          </w:rPr>
                          <w:t>Orbital</w:t>
                        </w:r>
                        <w:r>
                          <w:rPr>
                            <w:spacing w:val="-8"/>
                            <w:sz w:val="16"/>
                          </w:rPr>
                          <w:t xml:space="preserve"> </w:t>
                        </w:r>
                        <w:r>
                          <w:rPr>
                            <w:sz w:val="16"/>
                          </w:rPr>
                          <w:t>southwards</w:t>
                        </w:r>
                        <w:r>
                          <w:rPr>
                            <w:spacing w:val="-8"/>
                            <w:sz w:val="16"/>
                          </w:rPr>
                          <w:t xml:space="preserve"> </w:t>
                        </w:r>
                        <w:r>
                          <w:rPr>
                            <w:sz w:val="16"/>
                          </w:rPr>
                          <w:t>to</w:t>
                        </w:r>
                        <w:r>
                          <w:rPr>
                            <w:spacing w:val="-8"/>
                            <w:sz w:val="16"/>
                          </w:rPr>
                          <w:t xml:space="preserve"> </w:t>
                        </w:r>
                        <w:r>
                          <w:rPr>
                            <w:sz w:val="16"/>
                          </w:rPr>
                          <w:t>the</w:t>
                        </w:r>
                        <w:r>
                          <w:rPr>
                            <w:spacing w:val="-8"/>
                            <w:sz w:val="16"/>
                          </w:rPr>
                          <w:t xml:space="preserve"> </w:t>
                        </w:r>
                        <w:r>
                          <w:rPr>
                            <w:sz w:val="16"/>
                          </w:rPr>
                          <w:t>Sutherland</w:t>
                        </w:r>
                        <w:r>
                          <w:rPr>
                            <w:spacing w:val="-8"/>
                            <w:sz w:val="16"/>
                          </w:rPr>
                          <w:t xml:space="preserve"> </w:t>
                        </w:r>
                        <w:r>
                          <w:rPr>
                            <w:sz w:val="16"/>
                          </w:rPr>
                          <w:t>Shire</w:t>
                        </w:r>
                        <w:r>
                          <w:rPr>
                            <w:spacing w:val="-8"/>
                            <w:sz w:val="16"/>
                          </w:rPr>
                          <w:t xml:space="preserve"> </w:t>
                        </w:r>
                        <w:r>
                          <w:rPr>
                            <w:sz w:val="16"/>
                          </w:rPr>
                          <w:t>and</w:t>
                        </w:r>
                        <w:r>
                          <w:rPr>
                            <w:spacing w:val="-8"/>
                            <w:sz w:val="16"/>
                          </w:rPr>
                          <w:t xml:space="preserve"> </w:t>
                        </w:r>
                        <w:r>
                          <w:rPr>
                            <w:sz w:val="16"/>
                          </w:rPr>
                          <w:t>the</w:t>
                        </w:r>
                        <w:r>
                          <w:rPr>
                            <w:spacing w:val="-8"/>
                            <w:sz w:val="16"/>
                          </w:rPr>
                          <w:t xml:space="preserve"> </w:t>
                        </w:r>
                        <w:r>
                          <w:rPr>
                            <w:sz w:val="16"/>
                          </w:rPr>
                          <w:t>F6</w:t>
                        </w:r>
                        <w:r>
                          <w:rPr>
                            <w:spacing w:val="-8"/>
                            <w:sz w:val="16"/>
                          </w:rPr>
                          <w:t xml:space="preserve"> </w:t>
                        </w:r>
                        <w:r>
                          <w:rPr>
                            <w:sz w:val="16"/>
                          </w:rPr>
                          <w:t>to</w:t>
                        </w:r>
                        <w:r>
                          <w:rPr>
                            <w:spacing w:val="-8"/>
                            <w:sz w:val="16"/>
                          </w:rPr>
                          <w:t xml:space="preserve"> </w:t>
                        </w:r>
                        <w:r>
                          <w:rPr>
                            <w:sz w:val="16"/>
                          </w:rPr>
                          <w:t xml:space="preserve">the </w:t>
                        </w:r>
                        <w:r>
                          <w:rPr>
                            <w:w w:val="95"/>
                            <w:sz w:val="16"/>
                          </w:rPr>
                          <w:t xml:space="preserve">Illawarra. A largely preserved transit corridor exists between St Peters and the Royal National Park </w:t>
                        </w:r>
                        <w:r>
                          <w:rPr>
                            <w:sz w:val="16"/>
                          </w:rPr>
                          <w:t>at</w:t>
                        </w:r>
                        <w:r>
                          <w:rPr>
                            <w:spacing w:val="-4"/>
                            <w:sz w:val="16"/>
                          </w:rPr>
                          <w:t xml:space="preserve"> </w:t>
                        </w:r>
                        <w:r>
                          <w:rPr>
                            <w:sz w:val="16"/>
                          </w:rPr>
                          <w:t>Loftus.</w:t>
                        </w:r>
                      </w:p>
                    </w:tc>
                  </w:tr>
                  <w:tr w:rsidR="00F22F94">
                    <w:trPr>
                      <w:trHeight w:val="1005"/>
                    </w:trPr>
                    <w:tc>
                      <w:tcPr>
                        <w:tcW w:w="2551" w:type="dxa"/>
                        <w:shd w:val="clear" w:color="auto" w:fill="C9C8C9"/>
                      </w:tcPr>
                      <w:p w:rsidR="00F22F94" w:rsidRDefault="00F22F94">
                        <w:pPr>
                          <w:pStyle w:val="TableParagraph"/>
                          <w:spacing w:line="261" w:lineRule="auto"/>
                          <w:ind w:right="56"/>
                          <w:rPr>
                            <w:sz w:val="16"/>
                          </w:rPr>
                        </w:pPr>
                        <w:r>
                          <w:rPr>
                            <w:w w:val="105"/>
                            <w:sz w:val="16"/>
                          </w:rPr>
                          <w:t xml:space="preserve">Inner West Bypass and </w:t>
                        </w:r>
                        <w:r>
                          <w:rPr>
                            <w:spacing w:val="-2"/>
                            <w:w w:val="105"/>
                            <w:sz w:val="16"/>
                          </w:rPr>
                          <w:t>enhanced</w:t>
                        </w:r>
                        <w:r>
                          <w:rPr>
                            <w:spacing w:val="-12"/>
                            <w:w w:val="105"/>
                            <w:sz w:val="16"/>
                          </w:rPr>
                          <w:t xml:space="preserve"> </w:t>
                        </w:r>
                        <w:r>
                          <w:rPr>
                            <w:spacing w:val="-2"/>
                            <w:w w:val="105"/>
                            <w:sz w:val="16"/>
                          </w:rPr>
                          <w:t>North-South</w:t>
                        </w:r>
                        <w:r>
                          <w:rPr>
                            <w:spacing w:val="-10"/>
                            <w:w w:val="105"/>
                            <w:sz w:val="16"/>
                          </w:rPr>
                          <w:t xml:space="preserve"> </w:t>
                        </w:r>
                        <w:r>
                          <w:rPr>
                            <w:spacing w:val="-2"/>
                            <w:w w:val="105"/>
                            <w:sz w:val="16"/>
                          </w:rPr>
                          <w:t>links</w:t>
                        </w:r>
                        <w:r>
                          <w:rPr>
                            <w:spacing w:val="-9"/>
                            <w:w w:val="105"/>
                            <w:sz w:val="16"/>
                          </w:rPr>
                          <w:t xml:space="preserve"> </w:t>
                        </w:r>
                        <w:r>
                          <w:rPr>
                            <w:spacing w:val="-2"/>
                            <w:w w:val="105"/>
                            <w:sz w:val="16"/>
                          </w:rPr>
                          <w:t xml:space="preserve">to </w:t>
                        </w:r>
                        <w:r>
                          <w:rPr>
                            <w:w w:val="105"/>
                            <w:sz w:val="16"/>
                          </w:rPr>
                          <w:t>the</w:t>
                        </w:r>
                        <w:r>
                          <w:rPr>
                            <w:spacing w:val="-6"/>
                            <w:w w:val="105"/>
                            <w:sz w:val="16"/>
                          </w:rPr>
                          <w:t xml:space="preserve"> </w:t>
                        </w:r>
                        <w:r>
                          <w:rPr>
                            <w:w w:val="105"/>
                            <w:sz w:val="16"/>
                          </w:rPr>
                          <w:t>M2</w:t>
                        </w:r>
                      </w:p>
                    </w:tc>
                    <w:tc>
                      <w:tcPr>
                        <w:tcW w:w="7265" w:type="dxa"/>
                        <w:shd w:val="clear" w:color="auto" w:fill="E1E0E1"/>
                      </w:tcPr>
                      <w:p w:rsidR="00F22F94" w:rsidRDefault="00F22F94">
                        <w:pPr>
                          <w:pStyle w:val="TableParagraph"/>
                          <w:spacing w:before="127" w:line="235" w:lineRule="auto"/>
                          <w:ind w:right="455"/>
                          <w:jc w:val="both"/>
                          <w:rPr>
                            <w:sz w:val="16"/>
                          </w:rPr>
                        </w:pPr>
                        <w:r>
                          <w:rPr>
                            <w:spacing w:val="-2"/>
                            <w:sz w:val="16"/>
                          </w:rPr>
                          <w:t>This</w:t>
                        </w:r>
                        <w:r>
                          <w:rPr>
                            <w:spacing w:val="-4"/>
                            <w:sz w:val="16"/>
                          </w:rPr>
                          <w:t xml:space="preserve"> </w:t>
                        </w:r>
                        <w:r>
                          <w:rPr>
                            <w:spacing w:val="-2"/>
                            <w:sz w:val="16"/>
                          </w:rPr>
                          <w:t>conceptual</w:t>
                        </w:r>
                        <w:r>
                          <w:rPr>
                            <w:spacing w:val="-4"/>
                            <w:sz w:val="16"/>
                          </w:rPr>
                          <w:t xml:space="preserve"> </w:t>
                        </w:r>
                        <w:r>
                          <w:rPr>
                            <w:spacing w:val="-2"/>
                            <w:sz w:val="16"/>
                          </w:rPr>
                          <w:t>option</w:t>
                        </w:r>
                        <w:r>
                          <w:rPr>
                            <w:spacing w:val="-4"/>
                            <w:sz w:val="16"/>
                          </w:rPr>
                          <w:t xml:space="preserve"> </w:t>
                        </w:r>
                        <w:r>
                          <w:rPr>
                            <w:spacing w:val="-2"/>
                            <w:sz w:val="16"/>
                          </w:rPr>
                          <w:t>proposes</w:t>
                        </w:r>
                        <w:r>
                          <w:rPr>
                            <w:spacing w:val="-4"/>
                            <w:sz w:val="16"/>
                          </w:rPr>
                          <w:t xml:space="preserve"> </w:t>
                        </w:r>
                        <w:r>
                          <w:rPr>
                            <w:spacing w:val="-2"/>
                            <w:sz w:val="16"/>
                          </w:rPr>
                          <w:t>a</w:t>
                        </w:r>
                        <w:r>
                          <w:rPr>
                            <w:spacing w:val="-4"/>
                            <w:sz w:val="16"/>
                          </w:rPr>
                          <w:t xml:space="preserve"> </w:t>
                        </w:r>
                        <w:r>
                          <w:rPr>
                            <w:spacing w:val="-2"/>
                            <w:sz w:val="16"/>
                          </w:rPr>
                          <w:t>motorway</w:t>
                        </w:r>
                        <w:r>
                          <w:rPr>
                            <w:spacing w:val="-4"/>
                            <w:sz w:val="16"/>
                          </w:rPr>
                          <w:t xml:space="preserve"> </w:t>
                        </w:r>
                        <w:r>
                          <w:rPr>
                            <w:spacing w:val="-2"/>
                            <w:sz w:val="16"/>
                          </w:rPr>
                          <w:t>from</w:t>
                        </w:r>
                        <w:r>
                          <w:rPr>
                            <w:spacing w:val="-4"/>
                            <w:sz w:val="16"/>
                          </w:rPr>
                          <w:t xml:space="preserve"> </w:t>
                        </w:r>
                        <w:r>
                          <w:rPr>
                            <w:spacing w:val="-2"/>
                            <w:sz w:val="16"/>
                          </w:rPr>
                          <w:t>the</w:t>
                        </w:r>
                        <w:r>
                          <w:rPr>
                            <w:spacing w:val="-4"/>
                            <w:sz w:val="16"/>
                          </w:rPr>
                          <w:t xml:space="preserve"> </w:t>
                        </w:r>
                        <w:r>
                          <w:rPr>
                            <w:spacing w:val="-2"/>
                            <w:sz w:val="16"/>
                          </w:rPr>
                          <w:t>airport</w:t>
                        </w:r>
                        <w:r>
                          <w:rPr>
                            <w:spacing w:val="-4"/>
                            <w:sz w:val="16"/>
                          </w:rPr>
                          <w:t xml:space="preserve"> </w:t>
                        </w:r>
                        <w:r>
                          <w:rPr>
                            <w:spacing w:val="-2"/>
                            <w:sz w:val="16"/>
                          </w:rPr>
                          <w:t>to</w:t>
                        </w:r>
                        <w:r>
                          <w:rPr>
                            <w:spacing w:val="-4"/>
                            <w:sz w:val="16"/>
                          </w:rPr>
                          <w:t xml:space="preserve"> </w:t>
                        </w:r>
                        <w:r>
                          <w:rPr>
                            <w:spacing w:val="-2"/>
                            <w:sz w:val="16"/>
                          </w:rPr>
                          <w:t>the</w:t>
                        </w:r>
                        <w:r>
                          <w:rPr>
                            <w:spacing w:val="-4"/>
                            <w:sz w:val="16"/>
                          </w:rPr>
                          <w:t xml:space="preserve"> </w:t>
                        </w:r>
                        <w:r>
                          <w:rPr>
                            <w:spacing w:val="-2"/>
                            <w:sz w:val="16"/>
                          </w:rPr>
                          <w:t>Victoria</w:t>
                        </w:r>
                        <w:r>
                          <w:rPr>
                            <w:spacing w:val="-4"/>
                            <w:sz w:val="16"/>
                          </w:rPr>
                          <w:t xml:space="preserve"> </w:t>
                        </w:r>
                        <w:r>
                          <w:rPr>
                            <w:spacing w:val="-2"/>
                            <w:sz w:val="16"/>
                          </w:rPr>
                          <w:t>Road</w:t>
                        </w:r>
                        <w:r>
                          <w:rPr>
                            <w:spacing w:val="-4"/>
                            <w:sz w:val="16"/>
                          </w:rPr>
                          <w:t xml:space="preserve"> </w:t>
                        </w:r>
                        <w:r>
                          <w:rPr>
                            <w:spacing w:val="-2"/>
                            <w:sz w:val="16"/>
                          </w:rPr>
                          <w:t>corridor,</w:t>
                        </w:r>
                        <w:r>
                          <w:rPr>
                            <w:spacing w:val="-4"/>
                            <w:sz w:val="16"/>
                          </w:rPr>
                          <w:t xml:space="preserve"> </w:t>
                        </w:r>
                        <w:r>
                          <w:rPr>
                            <w:spacing w:val="-2"/>
                            <w:sz w:val="16"/>
                          </w:rPr>
                          <w:t>with</w:t>
                        </w:r>
                        <w:r>
                          <w:rPr>
                            <w:spacing w:val="-4"/>
                            <w:sz w:val="16"/>
                          </w:rPr>
                          <w:t xml:space="preserve"> </w:t>
                        </w:r>
                        <w:r>
                          <w:rPr>
                            <w:spacing w:val="-2"/>
                            <w:sz w:val="16"/>
                          </w:rPr>
                          <w:t>a potential</w:t>
                        </w:r>
                        <w:r>
                          <w:rPr>
                            <w:spacing w:val="-6"/>
                            <w:sz w:val="16"/>
                          </w:rPr>
                          <w:t xml:space="preserve"> </w:t>
                        </w:r>
                        <w:r>
                          <w:rPr>
                            <w:spacing w:val="-2"/>
                            <w:sz w:val="16"/>
                          </w:rPr>
                          <w:t>extension</w:t>
                        </w:r>
                        <w:r>
                          <w:rPr>
                            <w:spacing w:val="-6"/>
                            <w:sz w:val="16"/>
                          </w:rPr>
                          <w:t xml:space="preserve"> </w:t>
                        </w:r>
                        <w:r>
                          <w:rPr>
                            <w:spacing w:val="-2"/>
                            <w:sz w:val="16"/>
                          </w:rPr>
                          <w:t>North</w:t>
                        </w:r>
                        <w:r>
                          <w:rPr>
                            <w:spacing w:val="-6"/>
                            <w:sz w:val="16"/>
                          </w:rPr>
                          <w:t xml:space="preserve"> </w:t>
                        </w:r>
                        <w:r>
                          <w:rPr>
                            <w:spacing w:val="-2"/>
                            <w:sz w:val="16"/>
                          </w:rPr>
                          <w:t>to</w:t>
                        </w:r>
                        <w:r>
                          <w:rPr>
                            <w:spacing w:val="-6"/>
                            <w:sz w:val="16"/>
                          </w:rPr>
                          <w:t xml:space="preserve"> </w:t>
                        </w:r>
                        <w:r>
                          <w:rPr>
                            <w:spacing w:val="-2"/>
                            <w:sz w:val="16"/>
                          </w:rPr>
                          <w:t>the</w:t>
                        </w:r>
                        <w:r>
                          <w:rPr>
                            <w:spacing w:val="-6"/>
                            <w:sz w:val="16"/>
                          </w:rPr>
                          <w:t xml:space="preserve"> </w:t>
                        </w:r>
                        <w:r>
                          <w:rPr>
                            <w:spacing w:val="-2"/>
                            <w:sz w:val="16"/>
                          </w:rPr>
                          <w:t>M2.</w:t>
                        </w:r>
                        <w:r>
                          <w:rPr>
                            <w:spacing w:val="-6"/>
                            <w:sz w:val="16"/>
                          </w:rPr>
                          <w:t xml:space="preserve"> </w:t>
                        </w:r>
                        <w:r>
                          <w:rPr>
                            <w:spacing w:val="-2"/>
                            <w:sz w:val="16"/>
                          </w:rPr>
                          <w:t>The</w:t>
                        </w:r>
                        <w:r>
                          <w:rPr>
                            <w:spacing w:val="-6"/>
                            <w:sz w:val="16"/>
                          </w:rPr>
                          <w:t xml:space="preserve"> </w:t>
                        </w:r>
                        <w:r>
                          <w:rPr>
                            <w:spacing w:val="-2"/>
                            <w:sz w:val="16"/>
                          </w:rPr>
                          <w:t>road</w:t>
                        </w:r>
                        <w:r>
                          <w:rPr>
                            <w:spacing w:val="-6"/>
                            <w:sz w:val="16"/>
                          </w:rPr>
                          <w:t xml:space="preserve"> </w:t>
                        </w:r>
                        <w:r>
                          <w:rPr>
                            <w:spacing w:val="-2"/>
                            <w:sz w:val="16"/>
                          </w:rPr>
                          <w:t>would</w:t>
                        </w:r>
                        <w:r>
                          <w:rPr>
                            <w:spacing w:val="-6"/>
                            <w:sz w:val="16"/>
                          </w:rPr>
                          <w:t xml:space="preserve"> </w:t>
                        </w:r>
                        <w:r>
                          <w:rPr>
                            <w:spacing w:val="-2"/>
                            <w:sz w:val="16"/>
                          </w:rPr>
                          <w:t>form</w:t>
                        </w:r>
                        <w:r>
                          <w:rPr>
                            <w:spacing w:val="-6"/>
                            <w:sz w:val="16"/>
                          </w:rPr>
                          <w:t xml:space="preserve"> </w:t>
                        </w:r>
                        <w:r>
                          <w:rPr>
                            <w:spacing w:val="-2"/>
                            <w:sz w:val="16"/>
                          </w:rPr>
                          <w:t>a</w:t>
                        </w:r>
                        <w:r>
                          <w:rPr>
                            <w:spacing w:val="-6"/>
                            <w:sz w:val="16"/>
                          </w:rPr>
                          <w:t xml:space="preserve"> </w:t>
                        </w:r>
                        <w:r>
                          <w:rPr>
                            <w:spacing w:val="-2"/>
                            <w:sz w:val="16"/>
                          </w:rPr>
                          <w:t>Western</w:t>
                        </w:r>
                        <w:r>
                          <w:rPr>
                            <w:spacing w:val="-6"/>
                            <w:sz w:val="16"/>
                          </w:rPr>
                          <w:t xml:space="preserve"> </w:t>
                        </w:r>
                        <w:r>
                          <w:rPr>
                            <w:spacing w:val="-2"/>
                            <w:sz w:val="16"/>
                          </w:rPr>
                          <w:t>bypass</w:t>
                        </w:r>
                        <w:r>
                          <w:rPr>
                            <w:spacing w:val="-6"/>
                            <w:sz w:val="16"/>
                          </w:rPr>
                          <w:t xml:space="preserve"> </w:t>
                        </w:r>
                        <w:r>
                          <w:rPr>
                            <w:spacing w:val="-2"/>
                            <w:sz w:val="16"/>
                          </w:rPr>
                          <w:t>of</w:t>
                        </w:r>
                        <w:r>
                          <w:rPr>
                            <w:spacing w:val="-6"/>
                            <w:sz w:val="16"/>
                          </w:rPr>
                          <w:t xml:space="preserve"> </w:t>
                        </w:r>
                        <w:r>
                          <w:rPr>
                            <w:spacing w:val="-2"/>
                            <w:sz w:val="16"/>
                          </w:rPr>
                          <w:t>the</w:t>
                        </w:r>
                        <w:r>
                          <w:rPr>
                            <w:spacing w:val="-6"/>
                            <w:sz w:val="16"/>
                          </w:rPr>
                          <w:t xml:space="preserve"> </w:t>
                        </w:r>
                        <w:r>
                          <w:rPr>
                            <w:spacing w:val="-2"/>
                            <w:sz w:val="16"/>
                          </w:rPr>
                          <w:t>CBD</w:t>
                        </w:r>
                        <w:r>
                          <w:rPr>
                            <w:spacing w:val="-6"/>
                            <w:sz w:val="16"/>
                          </w:rPr>
                          <w:t xml:space="preserve"> </w:t>
                        </w:r>
                        <w:r>
                          <w:rPr>
                            <w:spacing w:val="-2"/>
                            <w:sz w:val="16"/>
                          </w:rPr>
                          <w:t>to</w:t>
                        </w:r>
                        <w:r>
                          <w:rPr>
                            <w:spacing w:val="-6"/>
                            <w:sz w:val="16"/>
                          </w:rPr>
                          <w:t xml:space="preserve"> </w:t>
                        </w:r>
                        <w:r>
                          <w:rPr>
                            <w:spacing w:val="-2"/>
                            <w:sz w:val="16"/>
                          </w:rPr>
                          <w:t xml:space="preserve">relieve </w:t>
                        </w:r>
                        <w:r>
                          <w:rPr>
                            <w:sz w:val="16"/>
                          </w:rPr>
                          <w:t>pressure on the harbour crossings.</w:t>
                        </w:r>
                      </w:p>
                      <w:p w:rsidR="00F22F94" w:rsidRDefault="00F22F94">
                        <w:pPr>
                          <w:pStyle w:val="TableParagraph"/>
                          <w:spacing w:before="10"/>
                          <w:jc w:val="both"/>
                          <w:rPr>
                            <w:sz w:val="16"/>
                          </w:rPr>
                        </w:pPr>
                        <w:r>
                          <w:rPr>
                            <w:w w:val="95"/>
                            <w:sz w:val="16"/>
                          </w:rPr>
                          <w:t>No</w:t>
                        </w:r>
                        <w:r>
                          <w:rPr>
                            <w:sz w:val="16"/>
                          </w:rPr>
                          <w:t xml:space="preserve"> </w:t>
                        </w:r>
                        <w:r>
                          <w:rPr>
                            <w:w w:val="95"/>
                            <w:sz w:val="16"/>
                          </w:rPr>
                          <w:t>reservation</w:t>
                        </w:r>
                        <w:r>
                          <w:rPr>
                            <w:sz w:val="16"/>
                          </w:rPr>
                          <w:t xml:space="preserve"> </w:t>
                        </w:r>
                        <w:r>
                          <w:rPr>
                            <w:w w:val="95"/>
                            <w:sz w:val="16"/>
                          </w:rPr>
                          <w:t>or</w:t>
                        </w:r>
                        <w:r>
                          <w:rPr>
                            <w:sz w:val="16"/>
                          </w:rPr>
                          <w:t xml:space="preserve"> </w:t>
                        </w:r>
                        <w:r>
                          <w:rPr>
                            <w:w w:val="95"/>
                            <w:sz w:val="16"/>
                          </w:rPr>
                          <w:t>detailed</w:t>
                        </w:r>
                        <w:r>
                          <w:rPr>
                            <w:sz w:val="16"/>
                          </w:rPr>
                          <w:t xml:space="preserve"> </w:t>
                        </w:r>
                        <w:r>
                          <w:rPr>
                            <w:w w:val="95"/>
                            <w:sz w:val="16"/>
                          </w:rPr>
                          <w:t>alignment</w:t>
                        </w:r>
                        <w:r>
                          <w:rPr>
                            <w:sz w:val="16"/>
                          </w:rPr>
                          <w:t xml:space="preserve"> </w:t>
                        </w:r>
                        <w:r>
                          <w:rPr>
                            <w:w w:val="95"/>
                            <w:sz w:val="16"/>
                          </w:rPr>
                          <w:t>exists</w:t>
                        </w:r>
                        <w:r>
                          <w:rPr>
                            <w:sz w:val="16"/>
                          </w:rPr>
                          <w:t xml:space="preserve"> </w:t>
                        </w:r>
                        <w:r>
                          <w:rPr>
                            <w:w w:val="95"/>
                            <w:sz w:val="16"/>
                          </w:rPr>
                          <w:t>and</w:t>
                        </w:r>
                        <w:r>
                          <w:rPr>
                            <w:sz w:val="16"/>
                          </w:rPr>
                          <w:t xml:space="preserve"> </w:t>
                        </w:r>
                        <w:r>
                          <w:rPr>
                            <w:w w:val="95"/>
                            <w:sz w:val="16"/>
                          </w:rPr>
                          <w:t>construction</w:t>
                        </w:r>
                        <w:r>
                          <w:rPr>
                            <w:spacing w:val="1"/>
                            <w:sz w:val="16"/>
                          </w:rPr>
                          <w:t xml:space="preserve"> </w:t>
                        </w:r>
                        <w:r>
                          <w:rPr>
                            <w:w w:val="95"/>
                            <w:sz w:val="16"/>
                          </w:rPr>
                          <w:t>costs</w:t>
                        </w:r>
                        <w:r>
                          <w:rPr>
                            <w:sz w:val="16"/>
                          </w:rPr>
                          <w:t xml:space="preserve"> </w:t>
                        </w:r>
                        <w:r>
                          <w:rPr>
                            <w:w w:val="95"/>
                            <w:sz w:val="16"/>
                          </w:rPr>
                          <w:t>are</w:t>
                        </w:r>
                        <w:r>
                          <w:rPr>
                            <w:sz w:val="16"/>
                          </w:rPr>
                          <w:t xml:space="preserve"> </w:t>
                        </w:r>
                        <w:r>
                          <w:rPr>
                            <w:w w:val="95"/>
                            <w:sz w:val="16"/>
                          </w:rPr>
                          <w:t>likely</w:t>
                        </w:r>
                        <w:r>
                          <w:rPr>
                            <w:sz w:val="16"/>
                          </w:rPr>
                          <w:t xml:space="preserve"> </w:t>
                        </w:r>
                        <w:r>
                          <w:rPr>
                            <w:w w:val="95"/>
                            <w:sz w:val="16"/>
                          </w:rPr>
                          <w:t>to</w:t>
                        </w:r>
                        <w:r>
                          <w:rPr>
                            <w:sz w:val="16"/>
                          </w:rPr>
                          <w:t xml:space="preserve"> </w:t>
                        </w:r>
                        <w:r>
                          <w:rPr>
                            <w:w w:val="95"/>
                            <w:sz w:val="16"/>
                          </w:rPr>
                          <w:t>be</w:t>
                        </w:r>
                        <w:r>
                          <w:rPr>
                            <w:sz w:val="16"/>
                          </w:rPr>
                          <w:t xml:space="preserve"> </w:t>
                        </w:r>
                        <w:r>
                          <w:rPr>
                            <w:w w:val="95"/>
                            <w:sz w:val="16"/>
                          </w:rPr>
                          <w:t>very</w:t>
                        </w:r>
                        <w:r>
                          <w:rPr>
                            <w:sz w:val="16"/>
                          </w:rPr>
                          <w:t xml:space="preserve"> </w:t>
                        </w:r>
                        <w:r>
                          <w:rPr>
                            <w:spacing w:val="-2"/>
                            <w:w w:val="95"/>
                            <w:sz w:val="16"/>
                          </w:rPr>
                          <w:t>high.</w:t>
                        </w:r>
                      </w:p>
                    </w:tc>
                  </w:tr>
                  <w:tr w:rsidR="00F22F94">
                    <w:trPr>
                      <w:trHeight w:val="811"/>
                    </w:trPr>
                    <w:tc>
                      <w:tcPr>
                        <w:tcW w:w="2551" w:type="dxa"/>
                        <w:shd w:val="clear" w:color="auto" w:fill="C9C8C9"/>
                      </w:tcPr>
                      <w:p w:rsidR="00F22F94" w:rsidRDefault="00F22F94">
                        <w:pPr>
                          <w:pStyle w:val="TableParagraph"/>
                          <w:rPr>
                            <w:sz w:val="16"/>
                          </w:rPr>
                        </w:pPr>
                        <w:r>
                          <w:rPr>
                            <w:sz w:val="16"/>
                          </w:rPr>
                          <w:t>Outer</w:t>
                        </w:r>
                        <w:r>
                          <w:rPr>
                            <w:spacing w:val="-3"/>
                            <w:sz w:val="16"/>
                          </w:rPr>
                          <w:t xml:space="preserve"> </w:t>
                        </w:r>
                        <w:r>
                          <w:rPr>
                            <w:sz w:val="16"/>
                          </w:rPr>
                          <w:t>Western</w:t>
                        </w:r>
                        <w:r>
                          <w:rPr>
                            <w:spacing w:val="-2"/>
                            <w:sz w:val="16"/>
                          </w:rPr>
                          <w:t xml:space="preserve"> </w:t>
                        </w:r>
                        <w:r>
                          <w:rPr>
                            <w:sz w:val="16"/>
                          </w:rPr>
                          <w:t>Sydney</w:t>
                        </w:r>
                        <w:r>
                          <w:rPr>
                            <w:spacing w:val="-2"/>
                            <w:sz w:val="16"/>
                          </w:rPr>
                          <w:t xml:space="preserve"> Orbital</w:t>
                        </w:r>
                      </w:p>
                    </w:tc>
                    <w:tc>
                      <w:tcPr>
                        <w:tcW w:w="7265" w:type="dxa"/>
                        <w:shd w:val="clear" w:color="auto" w:fill="E1E0E1"/>
                      </w:tcPr>
                      <w:p w:rsidR="00F22F94" w:rsidRDefault="00F22F94">
                        <w:pPr>
                          <w:pStyle w:val="TableParagraph"/>
                          <w:spacing w:before="127" w:line="235" w:lineRule="auto"/>
                          <w:ind w:right="184"/>
                          <w:rPr>
                            <w:sz w:val="16"/>
                          </w:rPr>
                        </w:pPr>
                        <w:r>
                          <w:rPr>
                            <w:w w:val="95"/>
                            <w:sz w:val="16"/>
                          </w:rPr>
                          <w:t xml:space="preserve">This road would run on the Western edge of the Sydney Basin, connecting the South-West and North </w:t>
                        </w:r>
                        <w:r>
                          <w:rPr>
                            <w:sz w:val="16"/>
                          </w:rPr>
                          <w:t>West</w:t>
                        </w:r>
                        <w:r>
                          <w:rPr>
                            <w:spacing w:val="-11"/>
                            <w:sz w:val="16"/>
                          </w:rPr>
                          <w:t xml:space="preserve"> </w:t>
                        </w:r>
                        <w:r>
                          <w:rPr>
                            <w:sz w:val="16"/>
                          </w:rPr>
                          <w:t>Growth</w:t>
                        </w:r>
                        <w:r>
                          <w:rPr>
                            <w:spacing w:val="-11"/>
                            <w:sz w:val="16"/>
                          </w:rPr>
                          <w:t xml:space="preserve"> </w:t>
                        </w:r>
                        <w:r>
                          <w:rPr>
                            <w:sz w:val="16"/>
                          </w:rPr>
                          <w:t>Centres</w:t>
                        </w:r>
                        <w:r>
                          <w:rPr>
                            <w:spacing w:val="-11"/>
                            <w:sz w:val="16"/>
                          </w:rPr>
                          <w:t xml:space="preserve"> </w:t>
                        </w:r>
                        <w:r>
                          <w:rPr>
                            <w:sz w:val="16"/>
                          </w:rPr>
                          <w:t>via</w:t>
                        </w:r>
                        <w:r>
                          <w:rPr>
                            <w:spacing w:val="-11"/>
                            <w:sz w:val="16"/>
                          </w:rPr>
                          <w:t xml:space="preserve"> </w:t>
                        </w:r>
                        <w:r>
                          <w:rPr>
                            <w:sz w:val="16"/>
                          </w:rPr>
                          <w:t>the</w:t>
                        </w:r>
                        <w:r>
                          <w:rPr>
                            <w:spacing w:val="-11"/>
                            <w:sz w:val="16"/>
                          </w:rPr>
                          <w:t xml:space="preserve"> </w:t>
                        </w:r>
                        <w:r>
                          <w:rPr>
                            <w:sz w:val="16"/>
                          </w:rPr>
                          <w:t>Penrith</w:t>
                        </w:r>
                        <w:r>
                          <w:rPr>
                            <w:spacing w:val="-11"/>
                            <w:sz w:val="16"/>
                          </w:rPr>
                          <w:t xml:space="preserve"> </w:t>
                        </w:r>
                        <w:r>
                          <w:rPr>
                            <w:sz w:val="16"/>
                          </w:rPr>
                          <w:t>area.</w:t>
                        </w:r>
                        <w:r>
                          <w:rPr>
                            <w:spacing w:val="-11"/>
                            <w:sz w:val="16"/>
                          </w:rPr>
                          <w:t xml:space="preserve"> </w:t>
                        </w:r>
                        <w:r>
                          <w:rPr>
                            <w:sz w:val="16"/>
                          </w:rPr>
                          <w:t>No</w:t>
                        </w:r>
                        <w:r>
                          <w:rPr>
                            <w:spacing w:val="-11"/>
                            <w:sz w:val="16"/>
                          </w:rPr>
                          <w:t xml:space="preserve"> </w:t>
                        </w:r>
                        <w:r>
                          <w:rPr>
                            <w:sz w:val="16"/>
                          </w:rPr>
                          <w:t>detailed</w:t>
                        </w:r>
                        <w:r>
                          <w:rPr>
                            <w:spacing w:val="-11"/>
                            <w:sz w:val="16"/>
                          </w:rPr>
                          <w:t xml:space="preserve"> </w:t>
                        </w:r>
                        <w:r>
                          <w:rPr>
                            <w:sz w:val="16"/>
                          </w:rPr>
                          <w:t>alignment</w:t>
                        </w:r>
                        <w:r>
                          <w:rPr>
                            <w:spacing w:val="-11"/>
                            <w:sz w:val="16"/>
                          </w:rPr>
                          <w:t xml:space="preserve"> </w:t>
                        </w:r>
                        <w:r>
                          <w:rPr>
                            <w:sz w:val="16"/>
                          </w:rPr>
                          <w:t>exists,</w:t>
                        </w:r>
                        <w:r>
                          <w:rPr>
                            <w:spacing w:val="-11"/>
                            <w:sz w:val="16"/>
                          </w:rPr>
                          <w:t xml:space="preserve"> </w:t>
                        </w:r>
                        <w:r>
                          <w:rPr>
                            <w:sz w:val="16"/>
                          </w:rPr>
                          <w:t>but</w:t>
                        </w:r>
                        <w:r>
                          <w:rPr>
                            <w:spacing w:val="-11"/>
                            <w:sz w:val="16"/>
                          </w:rPr>
                          <w:t xml:space="preserve"> </w:t>
                        </w:r>
                        <w:r>
                          <w:rPr>
                            <w:sz w:val="16"/>
                          </w:rPr>
                          <w:t>the</w:t>
                        </w:r>
                        <w:r>
                          <w:rPr>
                            <w:spacing w:val="-11"/>
                            <w:sz w:val="16"/>
                          </w:rPr>
                          <w:t xml:space="preserve"> </w:t>
                        </w:r>
                        <w:r>
                          <w:rPr>
                            <w:sz w:val="16"/>
                          </w:rPr>
                          <w:t>corridor</w:t>
                        </w:r>
                        <w:r>
                          <w:rPr>
                            <w:spacing w:val="-11"/>
                            <w:sz w:val="16"/>
                          </w:rPr>
                          <w:t xml:space="preserve"> </w:t>
                        </w:r>
                        <w:r>
                          <w:rPr>
                            <w:sz w:val="16"/>
                          </w:rPr>
                          <w:t>is</w:t>
                        </w:r>
                        <w:r>
                          <w:rPr>
                            <w:spacing w:val="-11"/>
                            <w:sz w:val="16"/>
                          </w:rPr>
                          <w:t xml:space="preserve"> </w:t>
                        </w:r>
                        <w:r>
                          <w:rPr>
                            <w:sz w:val="16"/>
                          </w:rPr>
                          <w:t>generally undeveloped at present.</w:t>
                        </w:r>
                      </w:p>
                    </w:tc>
                  </w:tr>
                  <w:tr w:rsidR="00F22F94">
                    <w:trPr>
                      <w:trHeight w:val="631"/>
                    </w:trPr>
                    <w:tc>
                      <w:tcPr>
                        <w:tcW w:w="2551" w:type="dxa"/>
                        <w:shd w:val="clear" w:color="auto" w:fill="C9C8C9"/>
                      </w:tcPr>
                      <w:p w:rsidR="00F22F94" w:rsidRDefault="00F22F94">
                        <w:pPr>
                          <w:pStyle w:val="TableParagraph"/>
                          <w:spacing w:line="261" w:lineRule="auto"/>
                          <w:ind w:right="56"/>
                          <w:rPr>
                            <w:sz w:val="16"/>
                          </w:rPr>
                        </w:pPr>
                        <w:r>
                          <w:rPr>
                            <w:sz w:val="16"/>
                          </w:rPr>
                          <w:t>Castlereagh</w:t>
                        </w:r>
                        <w:r>
                          <w:rPr>
                            <w:spacing w:val="-9"/>
                            <w:sz w:val="16"/>
                          </w:rPr>
                          <w:t xml:space="preserve"> </w:t>
                        </w:r>
                        <w:r>
                          <w:rPr>
                            <w:sz w:val="16"/>
                          </w:rPr>
                          <w:t>Freeway/Bells</w:t>
                        </w:r>
                        <w:r>
                          <w:rPr>
                            <w:spacing w:val="-9"/>
                            <w:sz w:val="16"/>
                          </w:rPr>
                          <w:t xml:space="preserve"> </w:t>
                        </w:r>
                        <w:r>
                          <w:rPr>
                            <w:sz w:val="16"/>
                          </w:rPr>
                          <w:t xml:space="preserve">Line </w:t>
                        </w:r>
                        <w:r>
                          <w:rPr>
                            <w:w w:val="105"/>
                            <w:sz w:val="16"/>
                          </w:rPr>
                          <w:t>of</w:t>
                        </w:r>
                        <w:r>
                          <w:rPr>
                            <w:spacing w:val="-6"/>
                            <w:w w:val="105"/>
                            <w:sz w:val="16"/>
                          </w:rPr>
                          <w:t xml:space="preserve"> </w:t>
                        </w:r>
                        <w:r>
                          <w:rPr>
                            <w:w w:val="105"/>
                            <w:sz w:val="16"/>
                          </w:rPr>
                          <w:t>Road</w:t>
                        </w:r>
                      </w:p>
                    </w:tc>
                    <w:tc>
                      <w:tcPr>
                        <w:tcW w:w="7265" w:type="dxa"/>
                        <w:shd w:val="clear" w:color="auto" w:fill="E1E0E1"/>
                      </w:tcPr>
                      <w:p w:rsidR="00F22F94" w:rsidRDefault="00F22F94">
                        <w:pPr>
                          <w:pStyle w:val="TableParagraph"/>
                          <w:spacing w:before="127" w:line="235" w:lineRule="auto"/>
                          <w:ind w:right="184"/>
                          <w:rPr>
                            <w:sz w:val="16"/>
                          </w:rPr>
                        </w:pPr>
                        <w:r>
                          <w:rPr>
                            <w:w w:val="95"/>
                            <w:sz w:val="16"/>
                          </w:rPr>
                          <w:t xml:space="preserve">These projects would extend the existing M2/M7 West towards the Blue Mountains. These proposals </w:t>
                        </w:r>
                        <w:r>
                          <w:rPr>
                            <w:sz w:val="16"/>
                          </w:rPr>
                          <w:t>are</w:t>
                        </w:r>
                        <w:r>
                          <w:rPr>
                            <w:spacing w:val="-9"/>
                            <w:sz w:val="16"/>
                          </w:rPr>
                          <w:t xml:space="preserve"> </w:t>
                        </w:r>
                        <w:r>
                          <w:rPr>
                            <w:sz w:val="16"/>
                          </w:rPr>
                          <w:t>discussed</w:t>
                        </w:r>
                        <w:r>
                          <w:rPr>
                            <w:spacing w:val="-9"/>
                            <w:sz w:val="16"/>
                          </w:rPr>
                          <w:t xml:space="preserve"> </w:t>
                        </w:r>
                        <w:r>
                          <w:rPr>
                            <w:sz w:val="16"/>
                          </w:rPr>
                          <w:t>in</w:t>
                        </w:r>
                        <w:r>
                          <w:rPr>
                            <w:spacing w:val="-9"/>
                            <w:sz w:val="16"/>
                          </w:rPr>
                          <w:t xml:space="preserve"> </w:t>
                        </w:r>
                        <w:r>
                          <w:rPr>
                            <w:sz w:val="16"/>
                          </w:rPr>
                          <w:t>Section</w:t>
                        </w:r>
                        <w:r>
                          <w:rPr>
                            <w:spacing w:val="-9"/>
                            <w:sz w:val="16"/>
                          </w:rPr>
                          <w:t xml:space="preserve"> </w:t>
                        </w:r>
                        <w:r>
                          <w:rPr>
                            <w:sz w:val="16"/>
                          </w:rPr>
                          <w:t>10</w:t>
                        </w:r>
                        <w:r>
                          <w:rPr>
                            <w:spacing w:val="-9"/>
                            <w:sz w:val="16"/>
                          </w:rPr>
                          <w:t xml:space="preserve"> </w:t>
                        </w:r>
                        <w:r>
                          <w:rPr>
                            <w:sz w:val="16"/>
                          </w:rPr>
                          <w:t>due</w:t>
                        </w:r>
                        <w:r>
                          <w:rPr>
                            <w:spacing w:val="-9"/>
                            <w:sz w:val="16"/>
                          </w:rPr>
                          <w:t xml:space="preserve"> </w:t>
                        </w:r>
                        <w:r>
                          <w:rPr>
                            <w:sz w:val="16"/>
                          </w:rPr>
                          <w:t>to</w:t>
                        </w:r>
                        <w:r>
                          <w:rPr>
                            <w:spacing w:val="-9"/>
                            <w:sz w:val="16"/>
                          </w:rPr>
                          <w:t xml:space="preserve"> </w:t>
                        </w:r>
                        <w:r>
                          <w:rPr>
                            <w:sz w:val="16"/>
                          </w:rPr>
                          <w:t>their</w:t>
                        </w:r>
                        <w:r>
                          <w:rPr>
                            <w:spacing w:val="-9"/>
                            <w:sz w:val="16"/>
                          </w:rPr>
                          <w:t xml:space="preserve"> </w:t>
                        </w:r>
                        <w:r>
                          <w:rPr>
                            <w:sz w:val="16"/>
                          </w:rPr>
                          <w:t>proposed</w:t>
                        </w:r>
                        <w:r>
                          <w:rPr>
                            <w:spacing w:val="-9"/>
                            <w:sz w:val="16"/>
                          </w:rPr>
                          <w:t xml:space="preserve"> </w:t>
                        </w:r>
                        <w:r>
                          <w:rPr>
                            <w:sz w:val="16"/>
                          </w:rPr>
                          <w:t>role</w:t>
                        </w:r>
                        <w:r>
                          <w:rPr>
                            <w:spacing w:val="-9"/>
                            <w:sz w:val="16"/>
                          </w:rPr>
                          <w:t xml:space="preserve"> </w:t>
                        </w:r>
                        <w:r>
                          <w:rPr>
                            <w:sz w:val="16"/>
                          </w:rPr>
                          <w:t>in</w:t>
                        </w:r>
                        <w:r>
                          <w:rPr>
                            <w:spacing w:val="-9"/>
                            <w:sz w:val="16"/>
                          </w:rPr>
                          <w:t xml:space="preserve"> </w:t>
                        </w:r>
                        <w:r>
                          <w:rPr>
                            <w:sz w:val="16"/>
                          </w:rPr>
                          <w:t>improving</w:t>
                        </w:r>
                        <w:r>
                          <w:rPr>
                            <w:spacing w:val="-9"/>
                            <w:sz w:val="16"/>
                          </w:rPr>
                          <w:t xml:space="preserve"> </w:t>
                        </w:r>
                        <w:r>
                          <w:rPr>
                            <w:sz w:val="16"/>
                          </w:rPr>
                          <w:t>connections</w:t>
                        </w:r>
                        <w:r>
                          <w:rPr>
                            <w:spacing w:val="-9"/>
                            <w:sz w:val="16"/>
                          </w:rPr>
                          <w:t xml:space="preserve"> </w:t>
                        </w:r>
                        <w:r>
                          <w:rPr>
                            <w:sz w:val="16"/>
                          </w:rPr>
                          <w:t>to</w:t>
                        </w:r>
                        <w:r>
                          <w:rPr>
                            <w:spacing w:val="-9"/>
                            <w:sz w:val="16"/>
                          </w:rPr>
                          <w:t xml:space="preserve"> </w:t>
                        </w:r>
                        <w:r>
                          <w:rPr>
                            <w:sz w:val="16"/>
                          </w:rPr>
                          <w:t>Regional</w:t>
                        </w:r>
                        <w:r>
                          <w:rPr>
                            <w:spacing w:val="-9"/>
                            <w:sz w:val="16"/>
                          </w:rPr>
                          <w:t xml:space="preserve"> </w:t>
                        </w:r>
                        <w:r>
                          <w:rPr>
                            <w:sz w:val="16"/>
                          </w:rPr>
                          <w:t>NSW.</w:t>
                        </w:r>
                      </w:p>
                    </w:tc>
                  </w:tr>
                  <w:tr w:rsidR="00F22F94">
                    <w:trPr>
                      <w:trHeight w:val="811"/>
                    </w:trPr>
                    <w:tc>
                      <w:tcPr>
                        <w:tcW w:w="2551" w:type="dxa"/>
                        <w:shd w:val="clear" w:color="auto" w:fill="C9C8C9"/>
                      </w:tcPr>
                      <w:p w:rsidR="00F22F94" w:rsidRDefault="00F22F94">
                        <w:pPr>
                          <w:pStyle w:val="TableParagraph"/>
                          <w:rPr>
                            <w:sz w:val="16"/>
                          </w:rPr>
                        </w:pPr>
                        <w:r>
                          <w:rPr>
                            <w:sz w:val="16"/>
                          </w:rPr>
                          <w:t>Northern</w:t>
                        </w:r>
                        <w:r>
                          <w:rPr>
                            <w:spacing w:val="5"/>
                            <w:sz w:val="16"/>
                          </w:rPr>
                          <w:t xml:space="preserve"> </w:t>
                        </w:r>
                        <w:r>
                          <w:rPr>
                            <w:sz w:val="16"/>
                          </w:rPr>
                          <w:t>Beaches</w:t>
                        </w:r>
                        <w:r>
                          <w:rPr>
                            <w:spacing w:val="6"/>
                            <w:sz w:val="16"/>
                          </w:rPr>
                          <w:t xml:space="preserve"> </w:t>
                        </w:r>
                        <w:r>
                          <w:rPr>
                            <w:spacing w:val="-4"/>
                            <w:sz w:val="16"/>
                          </w:rPr>
                          <w:t>Link</w:t>
                        </w:r>
                      </w:p>
                    </w:tc>
                    <w:tc>
                      <w:tcPr>
                        <w:tcW w:w="7265" w:type="dxa"/>
                        <w:shd w:val="clear" w:color="auto" w:fill="E1E0E1"/>
                      </w:tcPr>
                      <w:p w:rsidR="00F22F94" w:rsidRDefault="00F22F94">
                        <w:pPr>
                          <w:pStyle w:val="TableParagraph"/>
                          <w:spacing w:before="127" w:line="235" w:lineRule="auto"/>
                          <w:ind w:right="352"/>
                          <w:jc w:val="both"/>
                          <w:rPr>
                            <w:sz w:val="16"/>
                          </w:rPr>
                        </w:pPr>
                        <w:r>
                          <w:rPr>
                            <w:w w:val="95"/>
                            <w:sz w:val="16"/>
                          </w:rPr>
                          <w:t xml:space="preserve">This road would link the Gore Hill Freeway with the Burnt Bridge Creek Deviation via a tunnel under </w:t>
                        </w:r>
                        <w:r>
                          <w:rPr>
                            <w:sz w:val="16"/>
                          </w:rPr>
                          <w:t>Mosman</w:t>
                        </w:r>
                        <w:r>
                          <w:rPr>
                            <w:spacing w:val="-12"/>
                            <w:sz w:val="16"/>
                          </w:rPr>
                          <w:t xml:space="preserve"> </w:t>
                        </w:r>
                        <w:r>
                          <w:rPr>
                            <w:sz w:val="16"/>
                          </w:rPr>
                          <w:t>and</w:t>
                        </w:r>
                        <w:r>
                          <w:rPr>
                            <w:spacing w:val="-11"/>
                            <w:sz w:val="16"/>
                          </w:rPr>
                          <w:t xml:space="preserve"> </w:t>
                        </w:r>
                        <w:r>
                          <w:rPr>
                            <w:sz w:val="16"/>
                          </w:rPr>
                          <w:t>a</w:t>
                        </w:r>
                        <w:r>
                          <w:rPr>
                            <w:spacing w:val="-11"/>
                            <w:sz w:val="16"/>
                          </w:rPr>
                          <w:t xml:space="preserve"> </w:t>
                        </w:r>
                        <w:r>
                          <w:rPr>
                            <w:sz w:val="16"/>
                          </w:rPr>
                          <w:t>new</w:t>
                        </w:r>
                        <w:r>
                          <w:rPr>
                            <w:spacing w:val="-11"/>
                            <w:sz w:val="16"/>
                          </w:rPr>
                          <w:t xml:space="preserve"> </w:t>
                        </w:r>
                        <w:r>
                          <w:rPr>
                            <w:sz w:val="16"/>
                          </w:rPr>
                          <w:t>bridge</w:t>
                        </w:r>
                        <w:r>
                          <w:rPr>
                            <w:spacing w:val="-11"/>
                            <w:sz w:val="16"/>
                          </w:rPr>
                          <w:t xml:space="preserve"> </w:t>
                        </w:r>
                        <w:r>
                          <w:rPr>
                            <w:sz w:val="16"/>
                          </w:rPr>
                          <w:t>over</w:t>
                        </w:r>
                        <w:r>
                          <w:rPr>
                            <w:spacing w:val="-11"/>
                            <w:sz w:val="16"/>
                          </w:rPr>
                          <w:t xml:space="preserve"> </w:t>
                        </w:r>
                        <w:r>
                          <w:rPr>
                            <w:sz w:val="16"/>
                          </w:rPr>
                          <w:t>the</w:t>
                        </w:r>
                        <w:r>
                          <w:rPr>
                            <w:spacing w:val="-11"/>
                            <w:sz w:val="16"/>
                          </w:rPr>
                          <w:t xml:space="preserve"> </w:t>
                        </w:r>
                        <w:r>
                          <w:rPr>
                            <w:sz w:val="16"/>
                          </w:rPr>
                          <w:t>Spit.</w:t>
                        </w:r>
                        <w:r>
                          <w:rPr>
                            <w:spacing w:val="-11"/>
                            <w:sz w:val="16"/>
                          </w:rPr>
                          <w:t xml:space="preserve"> </w:t>
                        </w:r>
                        <w:r>
                          <w:rPr>
                            <w:sz w:val="16"/>
                          </w:rPr>
                          <w:t>It</w:t>
                        </w:r>
                        <w:r>
                          <w:rPr>
                            <w:spacing w:val="-12"/>
                            <w:sz w:val="16"/>
                          </w:rPr>
                          <w:t xml:space="preserve"> </w:t>
                        </w:r>
                        <w:r>
                          <w:rPr>
                            <w:sz w:val="16"/>
                          </w:rPr>
                          <w:t>could</w:t>
                        </w:r>
                        <w:r>
                          <w:rPr>
                            <w:spacing w:val="-11"/>
                            <w:sz w:val="16"/>
                          </w:rPr>
                          <w:t xml:space="preserve"> </w:t>
                        </w:r>
                        <w:r>
                          <w:rPr>
                            <w:sz w:val="16"/>
                          </w:rPr>
                          <w:t>be</w:t>
                        </w:r>
                        <w:r>
                          <w:rPr>
                            <w:spacing w:val="-11"/>
                            <w:sz w:val="16"/>
                          </w:rPr>
                          <w:t xml:space="preserve"> </w:t>
                        </w:r>
                        <w:r>
                          <w:rPr>
                            <w:sz w:val="16"/>
                          </w:rPr>
                          <w:t>combined</w:t>
                        </w:r>
                        <w:r>
                          <w:rPr>
                            <w:spacing w:val="-11"/>
                            <w:sz w:val="16"/>
                          </w:rPr>
                          <w:t xml:space="preserve"> </w:t>
                        </w:r>
                        <w:r>
                          <w:rPr>
                            <w:sz w:val="16"/>
                          </w:rPr>
                          <w:t>with</w:t>
                        </w:r>
                        <w:r>
                          <w:rPr>
                            <w:spacing w:val="-11"/>
                            <w:sz w:val="16"/>
                          </w:rPr>
                          <w:t xml:space="preserve"> </w:t>
                        </w:r>
                        <w:r>
                          <w:rPr>
                            <w:sz w:val="16"/>
                          </w:rPr>
                          <w:t>a</w:t>
                        </w:r>
                        <w:r>
                          <w:rPr>
                            <w:spacing w:val="-11"/>
                            <w:sz w:val="16"/>
                          </w:rPr>
                          <w:t xml:space="preserve"> </w:t>
                        </w:r>
                        <w:r>
                          <w:rPr>
                            <w:sz w:val="16"/>
                          </w:rPr>
                          <w:t>transitway</w:t>
                        </w:r>
                        <w:r>
                          <w:rPr>
                            <w:spacing w:val="-11"/>
                            <w:sz w:val="16"/>
                          </w:rPr>
                          <w:t xml:space="preserve"> </w:t>
                        </w:r>
                        <w:r>
                          <w:rPr>
                            <w:sz w:val="16"/>
                          </w:rPr>
                          <w:t>for</w:t>
                        </w:r>
                        <w:r>
                          <w:rPr>
                            <w:spacing w:val="-11"/>
                            <w:sz w:val="16"/>
                          </w:rPr>
                          <w:t xml:space="preserve"> </w:t>
                        </w:r>
                        <w:r>
                          <w:rPr>
                            <w:sz w:val="16"/>
                          </w:rPr>
                          <w:t>buses</w:t>
                        </w:r>
                        <w:r>
                          <w:rPr>
                            <w:spacing w:val="-11"/>
                            <w:sz w:val="16"/>
                          </w:rPr>
                          <w:t xml:space="preserve"> </w:t>
                        </w:r>
                        <w:r>
                          <w:rPr>
                            <w:sz w:val="16"/>
                          </w:rPr>
                          <w:t>from</w:t>
                        </w:r>
                        <w:r>
                          <w:rPr>
                            <w:spacing w:val="-12"/>
                            <w:sz w:val="16"/>
                          </w:rPr>
                          <w:t xml:space="preserve"> </w:t>
                        </w:r>
                        <w:r>
                          <w:rPr>
                            <w:sz w:val="16"/>
                          </w:rPr>
                          <w:t>the Northern Beaches to the CBD.</w:t>
                        </w:r>
                      </w:p>
                    </w:tc>
                  </w:tr>
                </w:tbl>
                <w:p w:rsidR="00F22F94" w:rsidRDefault="00F22F94">
                  <w:pPr>
                    <w:pStyle w:val="BodyText"/>
                  </w:pPr>
                </w:p>
              </w:txbxContent>
            </v:textbox>
            <w10:wrap anchorx="page"/>
          </v:shape>
        </w:pict>
      </w:r>
      <w:r w:rsidR="00F22F94">
        <w:rPr>
          <w:b/>
          <w:color w:val="2E3092"/>
          <w:spacing w:val="-4"/>
          <w:sz w:val="16"/>
        </w:rPr>
        <w:t>Road</w:t>
      </w:r>
      <w:r w:rsidR="00F22F94">
        <w:rPr>
          <w:b/>
          <w:color w:val="2E3092"/>
          <w:sz w:val="16"/>
        </w:rPr>
        <w:tab/>
      </w:r>
      <w:r w:rsidR="00F22F94">
        <w:rPr>
          <w:b/>
          <w:color w:val="2E3092"/>
          <w:spacing w:val="-2"/>
          <w:sz w:val="16"/>
        </w:rPr>
        <w:t>Commentary</w:t>
      </w:r>
    </w:p>
    <w:p w:rsidR="002C1123" w:rsidRDefault="002C1123">
      <w:pPr>
        <w:rPr>
          <w:sz w:val="16"/>
        </w:rPr>
        <w:sectPr w:rsidR="002C1123">
          <w:type w:val="continuous"/>
          <w:pgSz w:w="16840" w:h="11910" w:orient="landscape"/>
          <w:pgMar w:top="560" w:right="280" w:bottom="280" w:left="500" w:header="0" w:footer="517" w:gutter="0"/>
          <w:cols w:num="2" w:space="720" w:equalWidth="0">
            <w:col w:w="5274" w:space="40"/>
            <w:col w:w="10746"/>
          </w:cols>
        </w:sect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spacing w:before="3"/>
        <w:rPr>
          <w:b/>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2060EF">
      <w:pPr>
        <w:spacing w:before="112"/>
        <w:ind w:left="512"/>
        <w:rPr>
          <w:b/>
          <w:sz w:val="18"/>
        </w:rPr>
      </w:pPr>
      <w:r>
        <w:pict>
          <v:shape id="docshape1156" o:spid="_x0000_s4163" type="#_x0000_t202" style="position:absolute;left:0;text-align:left;margin-left:49.6pt;margin-top:47.05pt;width:491.4pt;height:236.65pt;z-index:251299840;mso-position-horizontal-relative:page" filled="f" stroked="f">
            <v:textbox inset="0,0,0,0">
              <w:txbxContent>
                <w:tbl>
                  <w:tblPr>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18"/>
                    <w:gridCol w:w="917"/>
                    <w:gridCol w:w="1134"/>
                    <w:gridCol w:w="1134"/>
                    <w:gridCol w:w="1304"/>
                    <w:gridCol w:w="1134"/>
                    <w:gridCol w:w="1134"/>
                    <w:gridCol w:w="1134"/>
                  </w:tblGrid>
                  <w:tr w:rsidR="00F22F94">
                    <w:trPr>
                      <w:trHeight w:val="556"/>
                    </w:trPr>
                    <w:tc>
                      <w:tcPr>
                        <w:tcW w:w="1918" w:type="dxa"/>
                        <w:tcBorders>
                          <w:top w:val="nil"/>
                          <w:left w:val="nil"/>
                          <w:right w:val="nil"/>
                        </w:tcBorders>
                      </w:tcPr>
                      <w:p w:rsidR="00F22F94" w:rsidRDefault="00F22F94">
                        <w:pPr>
                          <w:pStyle w:val="TableParagraph"/>
                          <w:spacing w:before="0"/>
                          <w:ind w:left="0"/>
                          <w:rPr>
                            <w:sz w:val="18"/>
                          </w:rPr>
                        </w:pPr>
                      </w:p>
                      <w:p w:rsidR="00F22F94" w:rsidRDefault="00F22F94">
                        <w:pPr>
                          <w:pStyle w:val="TableParagraph"/>
                          <w:spacing w:before="152" w:line="177" w:lineRule="exact"/>
                          <w:ind w:left="123"/>
                          <w:rPr>
                            <w:b/>
                            <w:sz w:val="16"/>
                          </w:rPr>
                        </w:pPr>
                        <w:r>
                          <w:rPr>
                            <w:b/>
                            <w:color w:val="2E3092"/>
                            <w:spacing w:val="-2"/>
                            <w:sz w:val="16"/>
                          </w:rPr>
                          <w:t>Route</w:t>
                        </w:r>
                      </w:p>
                    </w:tc>
                    <w:tc>
                      <w:tcPr>
                        <w:tcW w:w="917" w:type="dxa"/>
                        <w:tcBorders>
                          <w:top w:val="nil"/>
                          <w:left w:val="nil"/>
                          <w:right w:val="nil"/>
                        </w:tcBorders>
                      </w:tcPr>
                      <w:p w:rsidR="00F22F94" w:rsidRDefault="00F22F94">
                        <w:pPr>
                          <w:pStyle w:val="TableParagraph"/>
                          <w:spacing w:before="3"/>
                          <w:ind w:left="0"/>
                          <w:rPr>
                            <w:sz w:val="15"/>
                          </w:rPr>
                        </w:pPr>
                      </w:p>
                      <w:p w:rsidR="00F22F94" w:rsidRDefault="00F22F94">
                        <w:pPr>
                          <w:pStyle w:val="TableParagraph"/>
                          <w:spacing w:before="1" w:line="180" w:lineRule="exact"/>
                          <w:ind w:left="122" w:right="314"/>
                          <w:rPr>
                            <w:b/>
                            <w:sz w:val="16"/>
                          </w:rPr>
                        </w:pPr>
                        <w:r>
                          <w:rPr>
                            <w:b/>
                            <w:color w:val="2E3092"/>
                            <w:spacing w:val="-4"/>
                            <w:sz w:val="16"/>
                          </w:rPr>
                          <w:t xml:space="preserve">Traffic </w:t>
                        </w:r>
                        <w:r>
                          <w:rPr>
                            <w:b/>
                            <w:color w:val="2E3092"/>
                            <w:spacing w:val="-2"/>
                            <w:sz w:val="16"/>
                          </w:rPr>
                          <w:t>Flows</w:t>
                        </w:r>
                      </w:p>
                    </w:tc>
                    <w:tc>
                      <w:tcPr>
                        <w:tcW w:w="1134" w:type="dxa"/>
                        <w:tcBorders>
                          <w:top w:val="nil"/>
                          <w:left w:val="nil"/>
                          <w:right w:val="nil"/>
                        </w:tcBorders>
                      </w:tcPr>
                      <w:p w:rsidR="00F22F94" w:rsidRDefault="00F22F94">
                        <w:pPr>
                          <w:pStyle w:val="TableParagraph"/>
                          <w:spacing w:before="3"/>
                          <w:ind w:left="0"/>
                          <w:rPr>
                            <w:sz w:val="15"/>
                          </w:rPr>
                        </w:pPr>
                      </w:p>
                      <w:p w:rsidR="00F22F94" w:rsidRDefault="00F22F94">
                        <w:pPr>
                          <w:pStyle w:val="TableParagraph"/>
                          <w:spacing w:before="1" w:line="180" w:lineRule="exact"/>
                          <w:ind w:left="122"/>
                          <w:rPr>
                            <w:b/>
                            <w:sz w:val="16"/>
                          </w:rPr>
                        </w:pPr>
                        <w:r>
                          <w:rPr>
                            <w:b/>
                            <w:color w:val="2E3092"/>
                            <w:spacing w:val="-4"/>
                            <w:sz w:val="16"/>
                          </w:rPr>
                          <w:t xml:space="preserve">Congestion </w:t>
                        </w:r>
                        <w:r>
                          <w:rPr>
                            <w:b/>
                            <w:color w:val="2E3092"/>
                            <w:spacing w:val="-2"/>
                            <w:sz w:val="16"/>
                          </w:rPr>
                          <w:t>Relief</w:t>
                        </w:r>
                      </w:p>
                    </w:tc>
                    <w:tc>
                      <w:tcPr>
                        <w:tcW w:w="1134" w:type="dxa"/>
                        <w:tcBorders>
                          <w:top w:val="nil"/>
                          <w:left w:val="nil"/>
                          <w:right w:val="nil"/>
                        </w:tcBorders>
                      </w:tcPr>
                      <w:p w:rsidR="00F22F94" w:rsidRDefault="00F22F94">
                        <w:pPr>
                          <w:pStyle w:val="TableParagraph"/>
                          <w:spacing w:before="3"/>
                          <w:ind w:left="0"/>
                          <w:rPr>
                            <w:sz w:val="15"/>
                          </w:rPr>
                        </w:pPr>
                      </w:p>
                      <w:p w:rsidR="00F22F94" w:rsidRDefault="00F22F94">
                        <w:pPr>
                          <w:pStyle w:val="TableParagraph"/>
                          <w:spacing w:before="1" w:line="180" w:lineRule="exact"/>
                          <w:ind w:left="122" w:right="334"/>
                          <w:rPr>
                            <w:b/>
                            <w:sz w:val="16"/>
                          </w:rPr>
                        </w:pPr>
                        <w:r>
                          <w:rPr>
                            <w:b/>
                            <w:color w:val="2E3092"/>
                            <w:spacing w:val="-2"/>
                            <w:sz w:val="16"/>
                          </w:rPr>
                          <w:t>Wider benefits*</w:t>
                        </w:r>
                      </w:p>
                    </w:tc>
                    <w:tc>
                      <w:tcPr>
                        <w:tcW w:w="1304" w:type="dxa"/>
                        <w:tcBorders>
                          <w:top w:val="single" w:sz="8" w:space="0" w:color="E1E0E1"/>
                          <w:left w:val="nil"/>
                          <w:right w:val="single" w:sz="8" w:space="0" w:color="E1E0E1"/>
                        </w:tcBorders>
                      </w:tcPr>
                      <w:p w:rsidR="00F22F94" w:rsidRDefault="00F22F94">
                        <w:pPr>
                          <w:pStyle w:val="TableParagraph"/>
                          <w:spacing w:before="3"/>
                          <w:ind w:left="0"/>
                          <w:rPr>
                            <w:sz w:val="15"/>
                          </w:rPr>
                        </w:pPr>
                      </w:p>
                      <w:p w:rsidR="00F22F94" w:rsidRDefault="00F22F94">
                        <w:pPr>
                          <w:pStyle w:val="TableParagraph"/>
                          <w:spacing w:before="1" w:line="180" w:lineRule="exact"/>
                          <w:ind w:left="112"/>
                          <w:rPr>
                            <w:b/>
                            <w:sz w:val="16"/>
                          </w:rPr>
                        </w:pPr>
                        <w:r>
                          <w:rPr>
                            <w:b/>
                            <w:color w:val="2E3092"/>
                            <w:spacing w:val="-2"/>
                            <w:sz w:val="16"/>
                          </w:rPr>
                          <w:t>International Gateways</w:t>
                        </w:r>
                      </w:p>
                    </w:tc>
                    <w:tc>
                      <w:tcPr>
                        <w:tcW w:w="1134" w:type="dxa"/>
                        <w:tcBorders>
                          <w:top w:val="single" w:sz="8" w:space="0" w:color="E1E0E1"/>
                          <w:left w:val="single" w:sz="8" w:space="0" w:color="E1E0E1"/>
                          <w:right w:val="single" w:sz="8" w:space="0" w:color="E1E0E1"/>
                        </w:tcBorders>
                      </w:tcPr>
                      <w:p w:rsidR="00F22F94" w:rsidRDefault="00F22F94">
                        <w:pPr>
                          <w:pStyle w:val="TableParagraph"/>
                          <w:spacing w:before="3"/>
                          <w:ind w:left="0"/>
                          <w:rPr>
                            <w:sz w:val="15"/>
                          </w:rPr>
                        </w:pPr>
                      </w:p>
                      <w:p w:rsidR="00F22F94" w:rsidRDefault="00F22F94">
                        <w:pPr>
                          <w:pStyle w:val="TableParagraph"/>
                          <w:spacing w:before="1" w:line="180" w:lineRule="exact"/>
                          <w:ind w:left="112" w:right="453"/>
                          <w:rPr>
                            <w:b/>
                            <w:sz w:val="16"/>
                          </w:rPr>
                        </w:pPr>
                        <w:r>
                          <w:rPr>
                            <w:b/>
                            <w:color w:val="2E3092"/>
                            <w:spacing w:val="-2"/>
                            <w:sz w:val="16"/>
                          </w:rPr>
                          <w:t xml:space="preserve">Global </w:t>
                        </w:r>
                        <w:r>
                          <w:rPr>
                            <w:b/>
                            <w:color w:val="2E3092"/>
                            <w:spacing w:val="-2"/>
                            <w:w w:val="95"/>
                            <w:sz w:val="16"/>
                          </w:rPr>
                          <w:t>Sydney</w:t>
                        </w:r>
                      </w:p>
                    </w:tc>
                    <w:tc>
                      <w:tcPr>
                        <w:tcW w:w="1134" w:type="dxa"/>
                        <w:tcBorders>
                          <w:top w:val="single" w:sz="8" w:space="0" w:color="E1E0E1"/>
                          <w:left w:val="single" w:sz="8" w:space="0" w:color="E1E0E1"/>
                          <w:right w:val="single" w:sz="8" w:space="0" w:color="E1E0E1"/>
                        </w:tcBorders>
                      </w:tcPr>
                      <w:p w:rsidR="00F22F94" w:rsidRDefault="00F22F94">
                        <w:pPr>
                          <w:pStyle w:val="TableParagraph"/>
                          <w:spacing w:before="3"/>
                          <w:ind w:left="0"/>
                          <w:rPr>
                            <w:sz w:val="15"/>
                          </w:rPr>
                        </w:pPr>
                      </w:p>
                      <w:p w:rsidR="00F22F94" w:rsidRDefault="00F22F94">
                        <w:pPr>
                          <w:pStyle w:val="TableParagraph"/>
                          <w:spacing w:before="1" w:line="180" w:lineRule="exact"/>
                          <w:ind w:left="112" w:right="197"/>
                          <w:rPr>
                            <w:b/>
                            <w:sz w:val="16"/>
                          </w:rPr>
                        </w:pPr>
                        <w:r>
                          <w:rPr>
                            <w:b/>
                            <w:color w:val="2E3092"/>
                            <w:spacing w:val="-2"/>
                            <w:sz w:val="16"/>
                          </w:rPr>
                          <w:t>Freight movement</w:t>
                        </w:r>
                      </w:p>
                    </w:tc>
                    <w:tc>
                      <w:tcPr>
                        <w:tcW w:w="1134" w:type="dxa"/>
                        <w:tcBorders>
                          <w:top w:val="single" w:sz="8" w:space="0" w:color="E1E0E1"/>
                          <w:left w:val="single" w:sz="8" w:space="0" w:color="E1E0E1"/>
                          <w:right w:val="nil"/>
                        </w:tcBorders>
                      </w:tcPr>
                      <w:p w:rsidR="00F22F94" w:rsidRDefault="00F22F94">
                        <w:pPr>
                          <w:pStyle w:val="TableParagraph"/>
                          <w:spacing w:before="3"/>
                          <w:ind w:left="0"/>
                          <w:rPr>
                            <w:sz w:val="15"/>
                          </w:rPr>
                        </w:pPr>
                      </w:p>
                      <w:p w:rsidR="00F22F94" w:rsidRDefault="00F22F94">
                        <w:pPr>
                          <w:pStyle w:val="TableParagraph"/>
                          <w:spacing w:before="1" w:line="180" w:lineRule="exact"/>
                          <w:ind w:left="112"/>
                          <w:rPr>
                            <w:b/>
                            <w:sz w:val="16"/>
                          </w:rPr>
                        </w:pPr>
                        <w:r>
                          <w:rPr>
                            <w:b/>
                            <w:color w:val="2E3092"/>
                            <w:spacing w:val="-2"/>
                            <w:sz w:val="16"/>
                          </w:rPr>
                          <w:t>People movement</w:t>
                        </w:r>
                      </w:p>
                    </w:tc>
                  </w:tr>
                  <w:tr w:rsidR="00F22F94">
                    <w:trPr>
                      <w:trHeight w:val="546"/>
                    </w:trPr>
                    <w:tc>
                      <w:tcPr>
                        <w:tcW w:w="1918" w:type="dxa"/>
                        <w:shd w:val="clear" w:color="auto" w:fill="C9C8C9"/>
                      </w:tcPr>
                      <w:p w:rsidR="00F22F94" w:rsidRDefault="00F22F94">
                        <w:pPr>
                          <w:pStyle w:val="TableParagraph"/>
                          <w:rPr>
                            <w:sz w:val="16"/>
                          </w:rPr>
                        </w:pPr>
                        <w:r>
                          <w:rPr>
                            <w:w w:val="105"/>
                            <w:sz w:val="16"/>
                          </w:rPr>
                          <w:t>M4</w:t>
                        </w:r>
                        <w:r>
                          <w:rPr>
                            <w:spacing w:val="-11"/>
                            <w:w w:val="105"/>
                            <w:sz w:val="16"/>
                          </w:rPr>
                          <w:t xml:space="preserve"> </w:t>
                        </w:r>
                        <w:r>
                          <w:rPr>
                            <w:spacing w:val="-2"/>
                            <w:w w:val="105"/>
                            <w:sz w:val="16"/>
                          </w:rPr>
                          <w:t>Extension</w:t>
                        </w:r>
                      </w:p>
                    </w:tc>
                    <w:tc>
                      <w:tcPr>
                        <w:tcW w:w="917" w:type="dxa"/>
                        <w:shd w:val="clear" w:color="auto" w:fill="E1E0E1"/>
                      </w:tcPr>
                      <w:p w:rsidR="00F22F94" w:rsidRDefault="00F22F94">
                        <w:pPr>
                          <w:pStyle w:val="TableParagraph"/>
                          <w:spacing w:before="65"/>
                          <w:rPr>
                            <w:rFonts w:ascii="HGMaruGothicMPRO" w:hAnsi="HGMaruGothicMPRO"/>
                            <w:sz w:val="16"/>
                          </w:rPr>
                        </w:pPr>
                        <w:r>
                          <w:rPr>
                            <w:rFonts w:ascii="HGMaruGothicMPRO" w:hAnsi="HGMaruGothicMPRO"/>
                            <w:spacing w:val="-5"/>
                            <w:w w:val="85"/>
                            <w:sz w:val="16"/>
                          </w:rPr>
                          <w:t>✓✓✓</w:t>
                        </w:r>
                      </w:p>
                    </w:tc>
                    <w:tc>
                      <w:tcPr>
                        <w:tcW w:w="1134" w:type="dxa"/>
                        <w:shd w:val="clear" w:color="auto" w:fill="E1E0E1"/>
                      </w:tcPr>
                      <w:p w:rsidR="00F22F94" w:rsidRDefault="00F22F94">
                        <w:pPr>
                          <w:pStyle w:val="TableParagraph"/>
                          <w:spacing w:before="65"/>
                          <w:ind w:left="112"/>
                          <w:rPr>
                            <w:rFonts w:ascii="HGMaruGothicMPRO" w:hAnsi="HGMaruGothicMPRO"/>
                            <w:sz w:val="16"/>
                          </w:rPr>
                        </w:pPr>
                        <w:r>
                          <w:rPr>
                            <w:rFonts w:ascii="HGMaruGothicMPRO" w:hAnsi="HGMaruGothicMPRO"/>
                            <w:spacing w:val="-5"/>
                            <w:w w:val="85"/>
                            <w:sz w:val="16"/>
                          </w:rPr>
                          <w:t>✓✓✓</w:t>
                        </w:r>
                      </w:p>
                    </w:tc>
                    <w:tc>
                      <w:tcPr>
                        <w:tcW w:w="1134" w:type="dxa"/>
                        <w:shd w:val="clear" w:color="auto" w:fill="E1E0E1"/>
                      </w:tcPr>
                      <w:p w:rsidR="00F22F94" w:rsidRDefault="00F22F94">
                        <w:pPr>
                          <w:pStyle w:val="TableParagraph"/>
                          <w:spacing w:before="65"/>
                          <w:ind w:left="112"/>
                          <w:rPr>
                            <w:rFonts w:ascii="HGMaruGothicMPRO" w:hAnsi="HGMaruGothicMPRO"/>
                            <w:sz w:val="16"/>
                          </w:rPr>
                        </w:pPr>
                        <w:r>
                          <w:rPr>
                            <w:rFonts w:ascii="HGMaruGothicMPRO" w:hAnsi="HGMaruGothicMPRO"/>
                            <w:spacing w:val="-5"/>
                            <w:w w:val="85"/>
                            <w:sz w:val="16"/>
                          </w:rPr>
                          <w:t>✓✓✓</w:t>
                        </w:r>
                      </w:p>
                    </w:tc>
                    <w:tc>
                      <w:tcPr>
                        <w:tcW w:w="1304" w:type="dxa"/>
                        <w:shd w:val="clear" w:color="auto" w:fill="E1E0E1"/>
                      </w:tcPr>
                      <w:p w:rsidR="00F22F94" w:rsidRDefault="00F22F94">
                        <w:pPr>
                          <w:pStyle w:val="TableParagraph"/>
                          <w:spacing w:before="65"/>
                          <w:ind w:left="112"/>
                          <w:rPr>
                            <w:rFonts w:ascii="HGMaruGothicMPRO" w:hAnsi="HGMaruGothicMPRO"/>
                            <w:sz w:val="16"/>
                          </w:rPr>
                        </w:pPr>
                        <w:r>
                          <w:rPr>
                            <w:rFonts w:ascii="HGMaruGothicMPRO" w:hAnsi="HGMaruGothicMPRO"/>
                            <w:spacing w:val="-5"/>
                            <w:w w:val="85"/>
                            <w:sz w:val="16"/>
                          </w:rPr>
                          <w:t>✓✓✓</w:t>
                        </w:r>
                      </w:p>
                    </w:tc>
                    <w:tc>
                      <w:tcPr>
                        <w:tcW w:w="1134" w:type="dxa"/>
                        <w:shd w:val="clear" w:color="auto" w:fill="E1E0E1"/>
                      </w:tcPr>
                      <w:p w:rsidR="00F22F94" w:rsidRDefault="00F22F94">
                        <w:pPr>
                          <w:pStyle w:val="TableParagraph"/>
                          <w:spacing w:before="65"/>
                          <w:ind w:left="112"/>
                          <w:rPr>
                            <w:rFonts w:ascii="HGMaruGothicMPRO" w:hAnsi="HGMaruGothicMPRO"/>
                            <w:sz w:val="16"/>
                          </w:rPr>
                        </w:pPr>
                        <w:r>
                          <w:rPr>
                            <w:rFonts w:ascii="HGMaruGothicMPRO" w:hAnsi="HGMaruGothicMPRO"/>
                            <w:spacing w:val="-5"/>
                            <w:w w:val="85"/>
                            <w:sz w:val="16"/>
                          </w:rPr>
                          <w:t>✓✓✓</w:t>
                        </w:r>
                      </w:p>
                    </w:tc>
                    <w:tc>
                      <w:tcPr>
                        <w:tcW w:w="1134" w:type="dxa"/>
                        <w:shd w:val="clear" w:color="auto" w:fill="E1E0E1"/>
                      </w:tcPr>
                      <w:p w:rsidR="00F22F94" w:rsidRDefault="00F22F94">
                        <w:pPr>
                          <w:pStyle w:val="TableParagraph"/>
                          <w:spacing w:before="65"/>
                          <w:ind w:left="112"/>
                          <w:rPr>
                            <w:rFonts w:ascii="HGMaruGothicMPRO" w:hAnsi="HGMaruGothicMPRO"/>
                            <w:sz w:val="16"/>
                          </w:rPr>
                        </w:pPr>
                        <w:r>
                          <w:rPr>
                            <w:rFonts w:ascii="HGMaruGothicMPRO" w:hAnsi="HGMaruGothicMPRO"/>
                            <w:spacing w:val="-5"/>
                            <w:w w:val="85"/>
                            <w:sz w:val="16"/>
                          </w:rPr>
                          <w:t>✓✓</w:t>
                        </w:r>
                      </w:p>
                    </w:tc>
                    <w:tc>
                      <w:tcPr>
                        <w:tcW w:w="1134" w:type="dxa"/>
                        <w:shd w:val="clear" w:color="auto" w:fill="E1E0E1"/>
                      </w:tcPr>
                      <w:p w:rsidR="00F22F94" w:rsidRDefault="00F22F94">
                        <w:pPr>
                          <w:pStyle w:val="TableParagraph"/>
                          <w:spacing w:before="65"/>
                          <w:ind w:left="112"/>
                          <w:rPr>
                            <w:rFonts w:ascii="HGMaruGothicMPRO" w:hAnsi="HGMaruGothicMPRO"/>
                            <w:sz w:val="16"/>
                          </w:rPr>
                        </w:pPr>
                        <w:r>
                          <w:rPr>
                            <w:rFonts w:ascii="HGMaruGothicMPRO" w:hAnsi="HGMaruGothicMPRO"/>
                            <w:spacing w:val="-5"/>
                            <w:w w:val="85"/>
                            <w:sz w:val="16"/>
                          </w:rPr>
                          <w:t>✓✓✓</w:t>
                        </w:r>
                      </w:p>
                    </w:tc>
                  </w:tr>
                  <w:tr w:rsidR="00F22F94">
                    <w:trPr>
                      <w:trHeight w:val="546"/>
                    </w:trPr>
                    <w:tc>
                      <w:tcPr>
                        <w:tcW w:w="1918" w:type="dxa"/>
                        <w:shd w:val="clear" w:color="auto" w:fill="C9C8C9"/>
                      </w:tcPr>
                      <w:p w:rsidR="00F22F94" w:rsidRDefault="00F22F94">
                        <w:pPr>
                          <w:pStyle w:val="TableParagraph"/>
                          <w:ind w:left="114"/>
                          <w:rPr>
                            <w:sz w:val="16"/>
                          </w:rPr>
                        </w:pPr>
                        <w:r>
                          <w:rPr>
                            <w:sz w:val="16"/>
                          </w:rPr>
                          <w:t>M5</w:t>
                        </w:r>
                        <w:r>
                          <w:rPr>
                            <w:spacing w:val="-2"/>
                            <w:sz w:val="16"/>
                          </w:rPr>
                          <w:t xml:space="preserve"> </w:t>
                        </w:r>
                        <w:r>
                          <w:rPr>
                            <w:sz w:val="16"/>
                          </w:rPr>
                          <w:t>East</w:t>
                        </w:r>
                        <w:r>
                          <w:rPr>
                            <w:spacing w:val="-2"/>
                            <w:sz w:val="16"/>
                          </w:rPr>
                          <w:t xml:space="preserve"> Expansion</w:t>
                        </w:r>
                      </w:p>
                    </w:tc>
                    <w:tc>
                      <w:tcPr>
                        <w:tcW w:w="917" w:type="dxa"/>
                        <w:shd w:val="clear" w:color="auto" w:fill="E1E0E1"/>
                      </w:tcPr>
                      <w:p w:rsidR="00F22F94" w:rsidRDefault="00F22F94">
                        <w:pPr>
                          <w:pStyle w:val="TableParagraph"/>
                          <w:spacing w:before="65"/>
                          <w:rPr>
                            <w:rFonts w:ascii="HGMaruGothicMPRO" w:hAnsi="HGMaruGothicMPRO"/>
                            <w:sz w:val="16"/>
                          </w:rPr>
                        </w:pPr>
                        <w:r>
                          <w:rPr>
                            <w:rFonts w:ascii="HGMaruGothicMPRO" w:hAnsi="HGMaruGothicMPRO"/>
                            <w:spacing w:val="-5"/>
                            <w:w w:val="85"/>
                            <w:sz w:val="16"/>
                          </w:rPr>
                          <w:t>✓✓✓</w:t>
                        </w:r>
                      </w:p>
                    </w:tc>
                    <w:tc>
                      <w:tcPr>
                        <w:tcW w:w="1134" w:type="dxa"/>
                        <w:shd w:val="clear" w:color="auto" w:fill="E1E0E1"/>
                      </w:tcPr>
                      <w:p w:rsidR="00F22F94" w:rsidRDefault="00F22F94">
                        <w:pPr>
                          <w:pStyle w:val="TableParagraph"/>
                          <w:spacing w:before="65"/>
                          <w:rPr>
                            <w:rFonts w:ascii="HGMaruGothicMPRO" w:hAnsi="HGMaruGothicMPRO"/>
                            <w:sz w:val="16"/>
                          </w:rPr>
                        </w:pPr>
                        <w:r>
                          <w:rPr>
                            <w:rFonts w:ascii="HGMaruGothicMPRO" w:hAnsi="HGMaruGothicMPRO"/>
                            <w:spacing w:val="-5"/>
                            <w:w w:val="85"/>
                            <w:sz w:val="16"/>
                          </w:rPr>
                          <w:t>✓✓✓</w:t>
                        </w:r>
                      </w:p>
                    </w:tc>
                    <w:tc>
                      <w:tcPr>
                        <w:tcW w:w="1134" w:type="dxa"/>
                        <w:shd w:val="clear" w:color="auto" w:fill="E1E0E1"/>
                      </w:tcPr>
                      <w:p w:rsidR="00F22F94" w:rsidRDefault="00F22F94">
                        <w:pPr>
                          <w:pStyle w:val="TableParagraph"/>
                          <w:spacing w:before="65"/>
                          <w:rPr>
                            <w:rFonts w:ascii="HGMaruGothicMPRO" w:hAnsi="HGMaruGothicMPRO"/>
                            <w:sz w:val="16"/>
                          </w:rPr>
                        </w:pPr>
                        <w:r>
                          <w:rPr>
                            <w:rFonts w:ascii="HGMaruGothicMPRO" w:hAnsi="HGMaruGothicMPRO"/>
                            <w:spacing w:val="-5"/>
                            <w:w w:val="85"/>
                            <w:sz w:val="16"/>
                          </w:rPr>
                          <w:t>✓✓</w:t>
                        </w:r>
                      </w:p>
                    </w:tc>
                    <w:tc>
                      <w:tcPr>
                        <w:tcW w:w="1304" w:type="dxa"/>
                        <w:shd w:val="clear" w:color="auto" w:fill="E1E0E1"/>
                      </w:tcPr>
                      <w:p w:rsidR="00F22F94" w:rsidRDefault="00F22F94">
                        <w:pPr>
                          <w:pStyle w:val="TableParagraph"/>
                          <w:spacing w:before="65"/>
                          <w:ind w:left="112"/>
                          <w:rPr>
                            <w:rFonts w:ascii="HGMaruGothicMPRO" w:hAnsi="HGMaruGothicMPRO"/>
                            <w:sz w:val="16"/>
                          </w:rPr>
                        </w:pPr>
                        <w:r>
                          <w:rPr>
                            <w:rFonts w:ascii="HGMaruGothicMPRO" w:hAnsi="HGMaruGothicMPRO"/>
                            <w:spacing w:val="-5"/>
                            <w:w w:val="85"/>
                            <w:sz w:val="16"/>
                          </w:rPr>
                          <w:t>✓✓✓</w:t>
                        </w:r>
                      </w:p>
                    </w:tc>
                    <w:tc>
                      <w:tcPr>
                        <w:tcW w:w="1134" w:type="dxa"/>
                        <w:shd w:val="clear" w:color="auto" w:fill="E1E0E1"/>
                      </w:tcPr>
                      <w:p w:rsidR="00F22F94" w:rsidRDefault="00F22F94">
                        <w:pPr>
                          <w:pStyle w:val="TableParagraph"/>
                          <w:spacing w:before="65"/>
                          <w:ind w:left="112"/>
                          <w:rPr>
                            <w:rFonts w:ascii="HGMaruGothicMPRO" w:hAnsi="HGMaruGothicMPRO"/>
                            <w:sz w:val="16"/>
                          </w:rPr>
                        </w:pPr>
                        <w:r>
                          <w:rPr>
                            <w:rFonts w:ascii="HGMaruGothicMPRO" w:hAnsi="HGMaruGothicMPRO"/>
                            <w:spacing w:val="-5"/>
                            <w:w w:val="85"/>
                            <w:sz w:val="16"/>
                          </w:rPr>
                          <w:t>✓✓</w:t>
                        </w:r>
                      </w:p>
                    </w:tc>
                    <w:tc>
                      <w:tcPr>
                        <w:tcW w:w="1134" w:type="dxa"/>
                        <w:shd w:val="clear" w:color="auto" w:fill="E1E0E1"/>
                      </w:tcPr>
                      <w:p w:rsidR="00F22F94" w:rsidRDefault="00F22F94">
                        <w:pPr>
                          <w:pStyle w:val="TableParagraph"/>
                          <w:spacing w:before="65"/>
                          <w:ind w:left="112"/>
                          <w:rPr>
                            <w:rFonts w:ascii="HGMaruGothicMPRO" w:hAnsi="HGMaruGothicMPRO"/>
                            <w:sz w:val="16"/>
                          </w:rPr>
                        </w:pPr>
                        <w:r>
                          <w:rPr>
                            <w:rFonts w:ascii="HGMaruGothicMPRO" w:hAnsi="HGMaruGothicMPRO"/>
                            <w:spacing w:val="-5"/>
                            <w:w w:val="85"/>
                            <w:sz w:val="16"/>
                          </w:rPr>
                          <w:t>✓✓✓</w:t>
                        </w:r>
                      </w:p>
                    </w:tc>
                    <w:tc>
                      <w:tcPr>
                        <w:tcW w:w="1134" w:type="dxa"/>
                        <w:shd w:val="clear" w:color="auto" w:fill="E1E0E1"/>
                      </w:tcPr>
                      <w:p w:rsidR="00F22F94" w:rsidRDefault="00F22F94">
                        <w:pPr>
                          <w:pStyle w:val="TableParagraph"/>
                          <w:spacing w:before="65"/>
                          <w:ind w:left="112"/>
                          <w:rPr>
                            <w:rFonts w:ascii="HGMaruGothicMPRO" w:hAnsi="HGMaruGothicMPRO"/>
                            <w:sz w:val="16"/>
                          </w:rPr>
                        </w:pPr>
                        <w:r>
                          <w:rPr>
                            <w:rFonts w:ascii="HGMaruGothicMPRO" w:hAnsi="HGMaruGothicMPRO"/>
                            <w:spacing w:val="-5"/>
                            <w:w w:val="85"/>
                            <w:sz w:val="16"/>
                          </w:rPr>
                          <w:t>✓✓✓</w:t>
                        </w:r>
                      </w:p>
                    </w:tc>
                  </w:tr>
                  <w:tr w:rsidR="00F22F94">
                    <w:trPr>
                      <w:trHeight w:val="546"/>
                    </w:trPr>
                    <w:tc>
                      <w:tcPr>
                        <w:tcW w:w="1918" w:type="dxa"/>
                        <w:shd w:val="clear" w:color="auto" w:fill="C9C8C9"/>
                      </w:tcPr>
                      <w:p w:rsidR="00F22F94" w:rsidRDefault="00F22F94">
                        <w:pPr>
                          <w:pStyle w:val="TableParagraph"/>
                          <w:ind w:left="114"/>
                          <w:rPr>
                            <w:sz w:val="16"/>
                          </w:rPr>
                        </w:pPr>
                        <w:r>
                          <w:rPr>
                            <w:w w:val="95"/>
                            <w:sz w:val="16"/>
                          </w:rPr>
                          <w:t>F3</w:t>
                        </w:r>
                        <w:r>
                          <w:rPr>
                            <w:spacing w:val="-3"/>
                            <w:w w:val="95"/>
                            <w:sz w:val="16"/>
                          </w:rPr>
                          <w:t xml:space="preserve"> </w:t>
                        </w:r>
                        <w:r>
                          <w:rPr>
                            <w:w w:val="95"/>
                            <w:sz w:val="16"/>
                          </w:rPr>
                          <w:t>–</w:t>
                        </w:r>
                        <w:r>
                          <w:rPr>
                            <w:spacing w:val="-3"/>
                            <w:w w:val="95"/>
                            <w:sz w:val="16"/>
                          </w:rPr>
                          <w:t xml:space="preserve"> </w:t>
                        </w:r>
                        <w:r>
                          <w:rPr>
                            <w:spacing w:val="-5"/>
                            <w:w w:val="95"/>
                            <w:sz w:val="16"/>
                          </w:rPr>
                          <w:t>M2</w:t>
                        </w:r>
                      </w:p>
                    </w:tc>
                    <w:tc>
                      <w:tcPr>
                        <w:tcW w:w="917" w:type="dxa"/>
                        <w:shd w:val="clear" w:color="auto" w:fill="E1E0E1"/>
                      </w:tcPr>
                      <w:p w:rsidR="00F22F94" w:rsidRDefault="00F22F94">
                        <w:pPr>
                          <w:pStyle w:val="TableParagraph"/>
                          <w:spacing w:before="65"/>
                          <w:rPr>
                            <w:rFonts w:ascii="HGMaruGothicMPRO" w:hAnsi="HGMaruGothicMPRO"/>
                            <w:sz w:val="16"/>
                          </w:rPr>
                        </w:pPr>
                        <w:r>
                          <w:rPr>
                            <w:rFonts w:ascii="HGMaruGothicMPRO" w:hAnsi="HGMaruGothicMPRO"/>
                            <w:spacing w:val="-5"/>
                            <w:w w:val="85"/>
                            <w:sz w:val="16"/>
                          </w:rPr>
                          <w:t>✓✓</w:t>
                        </w:r>
                      </w:p>
                    </w:tc>
                    <w:tc>
                      <w:tcPr>
                        <w:tcW w:w="1134" w:type="dxa"/>
                        <w:shd w:val="clear" w:color="auto" w:fill="E1E0E1"/>
                      </w:tcPr>
                      <w:p w:rsidR="00F22F94" w:rsidRDefault="00F22F94">
                        <w:pPr>
                          <w:pStyle w:val="TableParagraph"/>
                          <w:spacing w:before="65"/>
                          <w:rPr>
                            <w:rFonts w:ascii="HGMaruGothicMPRO" w:hAnsi="HGMaruGothicMPRO"/>
                            <w:sz w:val="16"/>
                          </w:rPr>
                        </w:pPr>
                        <w:r>
                          <w:rPr>
                            <w:rFonts w:ascii="HGMaruGothicMPRO" w:hAnsi="HGMaruGothicMPRO"/>
                            <w:spacing w:val="-5"/>
                            <w:w w:val="85"/>
                            <w:sz w:val="16"/>
                          </w:rPr>
                          <w:t>✓✓</w:t>
                        </w:r>
                      </w:p>
                    </w:tc>
                    <w:tc>
                      <w:tcPr>
                        <w:tcW w:w="1134" w:type="dxa"/>
                        <w:shd w:val="clear" w:color="auto" w:fill="E1E0E1"/>
                      </w:tcPr>
                      <w:p w:rsidR="00F22F94" w:rsidRDefault="00F22F94">
                        <w:pPr>
                          <w:pStyle w:val="TableParagraph"/>
                          <w:spacing w:before="65"/>
                          <w:rPr>
                            <w:rFonts w:ascii="HGMaruGothicMPRO" w:hAnsi="HGMaruGothicMPRO"/>
                            <w:sz w:val="16"/>
                          </w:rPr>
                        </w:pPr>
                        <w:r>
                          <w:rPr>
                            <w:rFonts w:ascii="HGMaruGothicMPRO" w:hAnsi="HGMaruGothicMPRO"/>
                            <w:w w:val="75"/>
                            <w:sz w:val="16"/>
                          </w:rPr>
                          <w:t>✓</w:t>
                        </w:r>
                      </w:p>
                    </w:tc>
                    <w:tc>
                      <w:tcPr>
                        <w:tcW w:w="1304" w:type="dxa"/>
                        <w:shd w:val="clear" w:color="auto" w:fill="E1E0E1"/>
                      </w:tcPr>
                      <w:p w:rsidR="00F22F94" w:rsidRDefault="00F22F94">
                        <w:pPr>
                          <w:pStyle w:val="TableParagraph"/>
                          <w:spacing w:before="65"/>
                          <w:rPr>
                            <w:rFonts w:ascii="HGMaruGothicMPRO" w:hAnsi="HGMaruGothicMPRO"/>
                            <w:sz w:val="16"/>
                          </w:rPr>
                        </w:pPr>
                        <w:r>
                          <w:rPr>
                            <w:rFonts w:ascii="HGMaruGothicMPRO" w:hAnsi="HGMaruGothicMPRO"/>
                            <w:w w:val="75"/>
                            <w:sz w:val="16"/>
                          </w:rPr>
                          <w:t>✓</w:t>
                        </w:r>
                      </w:p>
                    </w:tc>
                    <w:tc>
                      <w:tcPr>
                        <w:tcW w:w="1134" w:type="dxa"/>
                        <w:shd w:val="clear" w:color="auto" w:fill="E1E0E1"/>
                      </w:tcPr>
                      <w:p w:rsidR="00F22F94" w:rsidRDefault="00F22F94">
                        <w:pPr>
                          <w:pStyle w:val="TableParagraph"/>
                          <w:spacing w:before="65"/>
                          <w:rPr>
                            <w:rFonts w:ascii="HGMaruGothicMPRO" w:hAnsi="HGMaruGothicMPRO"/>
                            <w:sz w:val="16"/>
                          </w:rPr>
                        </w:pPr>
                        <w:r>
                          <w:rPr>
                            <w:rFonts w:ascii="HGMaruGothicMPRO" w:hAnsi="HGMaruGothicMPRO"/>
                            <w:w w:val="75"/>
                            <w:sz w:val="16"/>
                          </w:rPr>
                          <w:t>✓</w:t>
                        </w:r>
                      </w:p>
                    </w:tc>
                    <w:tc>
                      <w:tcPr>
                        <w:tcW w:w="1134" w:type="dxa"/>
                        <w:shd w:val="clear" w:color="auto" w:fill="E1E0E1"/>
                      </w:tcPr>
                      <w:p w:rsidR="00F22F94" w:rsidRDefault="00F22F94">
                        <w:pPr>
                          <w:pStyle w:val="TableParagraph"/>
                          <w:spacing w:before="65"/>
                          <w:rPr>
                            <w:rFonts w:ascii="HGMaruGothicMPRO" w:hAnsi="HGMaruGothicMPRO"/>
                            <w:sz w:val="16"/>
                          </w:rPr>
                        </w:pPr>
                        <w:r>
                          <w:rPr>
                            <w:rFonts w:ascii="HGMaruGothicMPRO" w:hAnsi="HGMaruGothicMPRO"/>
                            <w:spacing w:val="-5"/>
                            <w:w w:val="85"/>
                            <w:sz w:val="16"/>
                          </w:rPr>
                          <w:t>✓✓</w:t>
                        </w:r>
                      </w:p>
                    </w:tc>
                    <w:tc>
                      <w:tcPr>
                        <w:tcW w:w="1134" w:type="dxa"/>
                        <w:shd w:val="clear" w:color="auto" w:fill="E1E0E1"/>
                      </w:tcPr>
                      <w:p w:rsidR="00F22F94" w:rsidRDefault="00F22F94">
                        <w:pPr>
                          <w:pStyle w:val="TableParagraph"/>
                          <w:spacing w:before="65"/>
                          <w:rPr>
                            <w:rFonts w:ascii="HGMaruGothicMPRO" w:hAnsi="HGMaruGothicMPRO"/>
                            <w:sz w:val="16"/>
                          </w:rPr>
                        </w:pPr>
                        <w:r>
                          <w:rPr>
                            <w:rFonts w:ascii="HGMaruGothicMPRO" w:hAnsi="HGMaruGothicMPRO"/>
                            <w:w w:val="75"/>
                            <w:sz w:val="16"/>
                          </w:rPr>
                          <w:t>✓</w:t>
                        </w:r>
                      </w:p>
                    </w:tc>
                  </w:tr>
                  <w:tr w:rsidR="00F22F94">
                    <w:trPr>
                      <w:trHeight w:val="546"/>
                    </w:trPr>
                    <w:tc>
                      <w:tcPr>
                        <w:tcW w:w="1918" w:type="dxa"/>
                        <w:shd w:val="clear" w:color="auto" w:fill="C9C8C9"/>
                      </w:tcPr>
                      <w:p w:rsidR="00F22F94" w:rsidRDefault="00F22F94">
                        <w:pPr>
                          <w:pStyle w:val="TableParagraph"/>
                          <w:spacing w:before="68"/>
                          <w:ind w:left="114"/>
                          <w:rPr>
                            <w:sz w:val="16"/>
                          </w:rPr>
                        </w:pPr>
                        <w:r>
                          <w:rPr>
                            <w:spacing w:val="-5"/>
                            <w:sz w:val="16"/>
                          </w:rPr>
                          <w:t>F6</w:t>
                        </w:r>
                      </w:p>
                    </w:tc>
                    <w:tc>
                      <w:tcPr>
                        <w:tcW w:w="917" w:type="dxa"/>
                        <w:shd w:val="clear" w:color="auto" w:fill="E1E0E1"/>
                      </w:tcPr>
                      <w:p w:rsidR="00F22F94" w:rsidRDefault="00F22F94">
                        <w:pPr>
                          <w:pStyle w:val="TableParagraph"/>
                          <w:spacing w:before="65"/>
                          <w:ind w:left="114"/>
                          <w:rPr>
                            <w:rFonts w:ascii="HGMaruGothicMPRO" w:hAnsi="HGMaruGothicMPRO"/>
                            <w:sz w:val="16"/>
                          </w:rPr>
                        </w:pPr>
                        <w:r>
                          <w:rPr>
                            <w:rFonts w:ascii="HGMaruGothicMPRO" w:hAnsi="HGMaruGothicMPRO"/>
                            <w:spacing w:val="-5"/>
                            <w:w w:val="85"/>
                            <w:sz w:val="16"/>
                          </w:rPr>
                          <w:t>✓✓</w:t>
                        </w:r>
                      </w:p>
                    </w:tc>
                    <w:tc>
                      <w:tcPr>
                        <w:tcW w:w="1134" w:type="dxa"/>
                        <w:shd w:val="clear" w:color="auto" w:fill="E1E0E1"/>
                      </w:tcPr>
                      <w:p w:rsidR="00F22F94" w:rsidRDefault="00F22F94">
                        <w:pPr>
                          <w:pStyle w:val="TableParagraph"/>
                          <w:spacing w:before="65"/>
                          <w:rPr>
                            <w:rFonts w:ascii="HGMaruGothicMPRO" w:hAnsi="HGMaruGothicMPRO"/>
                            <w:sz w:val="16"/>
                          </w:rPr>
                        </w:pPr>
                        <w:r>
                          <w:rPr>
                            <w:rFonts w:ascii="HGMaruGothicMPRO" w:hAnsi="HGMaruGothicMPRO"/>
                            <w:spacing w:val="-5"/>
                            <w:w w:val="85"/>
                            <w:sz w:val="16"/>
                          </w:rPr>
                          <w:t>✓✓</w:t>
                        </w:r>
                      </w:p>
                    </w:tc>
                    <w:tc>
                      <w:tcPr>
                        <w:tcW w:w="1134" w:type="dxa"/>
                        <w:shd w:val="clear" w:color="auto" w:fill="E1E0E1"/>
                      </w:tcPr>
                      <w:p w:rsidR="00F22F94" w:rsidRDefault="00F22F94">
                        <w:pPr>
                          <w:pStyle w:val="TableParagraph"/>
                          <w:spacing w:before="65"/>
                          <w:rPr>
                            <w:rFonts w:ascii="HGMaruGothicMPRO" w:hAnsi="HGMaruGothicMPRO"/>
                            <w:sz w:val="16"/>
                          </w:rPr>
                        </w:pPr>
                        <w:r>
                          <w:rPr>
                            <w:rFonts w:ascii="HGMaruGothicMPRO" w:hAnsi="HGMaruGothicMPRO"/>
                            <w:w w:val="75"/>
                            <w:sz w:val="16"/>
                          </w:rPr>
                          <w:t>✓</w:t>
                        </w:r>
                      </w:p>
                    </w:tc>
                    <w:tc>
                      <w:tcPr>
                        <w:tcW w:w="1304" w:type="dxa"/>
                        <w:shd w:val="clear" w:color="auto" w:fill="E1E0E1"/>
                      </w:tcPr>
                      <w:p w:rsidR="00F22F94" w:rsidRDefault="00F22F94">
                        <w:pPr>
                          <w:pStyle w:val="TableParagraph"/>
                          <w:spacing w:before="65"/>
                          <w:rPr>
                            <w:rFonts w:ascii="HGMaruGothicMPRO" w:hAnsi="HGMaruGothicMPRO"/>
                            <w:sz w:val="16"/>
                          </w:rPr>
                        </w:pPr>
                        <w:r>
                          <w:rPr>
                            <w:rFonts w:ascii="HGMaruGothicMPRO" w:hAnsi="HGMaruGothicMPRO"/>
                            <w:spacing w:val="-5"/>
                            <w:w w:val="85"/>
                            <w:sz w:val="16"/>
                          </w:rPr>
                          <w:t>✓✓</w:t>
                        </w:r>
                      </w:p>
                    </w:tc>
                    <w:tc>
                      <w:tcPr>
                        <w:tcW w:w="1134" w:type="dxa"/>
                        <w:shd w:val="clear" w:color="auto" w:fill="E1E0E1"/>
                      </w:tcPr>
                      <w:p w:rsidR="00F22F94" w:rsidRDefault="00F22F94">
                        <w:pPr>
                          <w:pStyle w:val="TableParagraph"/>
                          <w:spacing w:before="65"/>
                          <w:rPr>
                            <w:rFonts w:ascii="HGMaruGothicMPRO" w:hAnsi="HGMaruGothicMPRO"/>
                            <w:sz w:val="16"/>
                          </w:rPr>
                        </w:pPr>
                        <w:r>
                          <w:rPr>
                            <w:rFonts w:ascii="HGMaruGothicMPRO" w:hAnsi="HGMaruGothicMPRO"/>
                            <w:w w:val="75"/>
                            <w:sz w:val="16"/>
                          </w:rPr>
                          <w:t>✓</w:t>
                        </w:r>
                      </w:p>
                    </w:tc>
                    <w:tc>
                      <w:tcPr>
                        <w:tcW w:w="1134" w:type="dxa"/>
                        <w:shd w:val="clear" w:color="auto" w:fill="E1E0E1"/>
                      </w:tcPr>
                      <w:p w:rsidR="00F22F94" w:rsidRDefault="00F22F94">
                        <w:pPr>
                          <w:pStyle w:val="TableParagraph"/>
                          <w:spacing w:before="65"/>
                          <w:rPr>
                            <w:rFonts w:ascii="HGMaruGothicMPRO" w:hAnsi="HGMaruGothicMPRO"/>
                            <w:sz w:val="16"/>
                          </w:rPr>
                        </w:pPr>
                        <w:r>
                          <w:rPr>
                            <w:rFonts w:ascii="HGMaruGothicMPRO" w:hAnsi="HGMaruGothicMPRO"/>
                            <w:w w:val="75"/>
                            <w:sz w:val="16"/>
                          </w:rPr>
                          <w:t>✓</w:t>
                        </w:r>
                      </w:p>
                    </w:tc>
                    <w:tc>
                      <w:tcPr>
                        <w:tcW w:w="1134" w:type="dxa"/>
                        <w:shd w:val="clear" w:color="auto" w:fill="E1E0E1"/>
                      </w:tcPr>
                      <w:p w:rsidR="00F22F94" w:rsidRDefault="00F22F94">
                        <w:pPr>
                          <w:pStyle w:val="TableParagraph"/>
                          <w:spacing w:before="65"/>
                          <w:rPr>
                            <w:rFonts w:ascii="HGMaruGothicMPRO" w:hAnsi="HGMaruGothicMPRO"/>
                            <w:sz w:val="16"/>
                          </w:rPr>
                        </w:pPr>
                        <w:r>
                          <w:rPr>
                            <w:rFonts w:ascii="HGMaruGothicMPRO" w:hAnsi="HGMaruGothicMPRO"/>
                            <w:spacing w:val="-5"/>
                            <w:w w:val="85"/>
                            <w:sz w:val="16"/>
                          </w:rPr>
                          <w:t>✓✓</w:t>
                        </w:r>
                      </w:p>
                    </w:tc>
                  </w:tr>
                  <w:tr w:rsidR="00F22F94">
                    <w:trPr>
                      <w:trHeight w:val="721"/>
                    </w:trPr>
                    <w:tc>
                      <w:tcPr>
                        <w:tcW w:w="1918" w:type="dxa"/>
                        <w:shd w:val="clear" w:color="auto" w:fill="C9C8C9"/>
                      </w:tcPr>
                      <w:p w:rsidR="00F22F94" w:rsidRDefault="00F22F94">
                        <w:pPr>
                          <w:pStyle w:val="TableParagraph"/>
                          <w:spacing w:before="68" w:line="261" w:lineRule="auto"/>
                          <w:ind w:left="114"/>
                          <w:rPr>
                            <w:sz w:val="16"/>
                          </w:rPr>
                        </w:pPr>
                        <w:r>
                          <w:rPr>
                            <w:w w:val="105"/>
                            <w:sz w:val="16"/>
                          </w:rPr>
                          <w:t xml:space="preserve">Inner West Bypass/ </w:t>
                        </w:r>
                        <w:r>
                          <w:rPr>
                            <w:spacing w:val="-4"/>
                            <w:w w:val="105"/>
                            <w:sz w:val="16"/>
                          </w:rPr>
                          <w:t>Enhanced</w:t>
                        </w:r>
                        <w:r>
                          <w:rPr>
                            <w:spacing w:val="-8"/>
                            <w:w w:val="105"/>
                            <w:sz w:val="16"/>
                          </w:rPr>
                          <w:t xml:space="preserve"> </w:t>
                        </w:r>
                        <w:r>
                          <w:rPr>
                            <w:spacing w:val="-4"/>
                            <w:w w:val="105"/>
                            <w:sz w:val="16"/>
                          </w:rPr>
                          <w:t>North</w:t>
                        </w:r>
                        <w:r>
                          <w:rPr>
                            <w:spacing w:val="-8"/>
                            <w:w w:val="105"/>
                            <w:sz w:val="16"/>
                          </w:rPr>
                          <w:t xml:space="preserve"> </w:t>
                        </w:r>
                        <w:r>
                          <w:rPr>
                            <w:spacing w:val="-4"/>
                            <w:w w:val="105"/>
                            <w:sz w:val="16"/>
                          </w:rPr>
                          <w:t>South Link</w:t>
                        </w:r>
                      </w:p>
                    </w:tc>
                    <w:tc>
                      <w:tcPr>
                        <w:tcW w:w="917" w:type="dxa"/>
                        <w:shd w:val="clear" w:color="auto" w:fill="E1E0E1"/>
                      </w:tcPr>
                      <w:p w:rsidR="00F22F94" w:rsidRDefault="00F22F94">
                        <w:pPr>
                          <w:pStyle w:val="TableParagraph"/>
                          <w:spacing w:before="65"/>
                          <w:ind w:left="114"/>
                          <w:rPr>
                            <w:rFonts w:ascii="HGMaruGothicMPRO" w:hAnsi="HGMaruGothicMPRO"/>
                            <w:sz w:val="16"/>
                          </w:rPr>
                        </w:pPr>
                        <w:r>
                          <w:rPr>
                            <w:rFonts w:ascii="HGMaruGothicMPRO" w:hAnsi="HGMaruGothicMPRO"/>
                            <w:spacing w:val="-5"/>
                            <w:w w:val="85"/>
                            <w:sz w:val="16"/>
                          </w:rPr>
                          <w:t>✓✓</w:t>
                        </w:r>
                      </w:p>
                    </w:tc>
                    <w:tc>
                      <w:tcPr>
                        <w:tcW w:w="1134" w:type="dxa"/>
                        <w:shd w:val="clear" w:color="auto" w:fill="E1E0E1"/>
                      </w:tcPr>
                      <w:p w:rsidR="00F22F94" w:rsidRDefault="00F22F94">
                        <w:pPr>
                          <w:pStyle w:val="TableParagraph"/>
                          <w:spacing w:before="65"/>
                          <w:ind w:left="114"/>
                          <w:rPr>
                            <w:rFonts w:ascii="HGMaruGothicMPRO" w:hAnsi="HGMaruGothicMPRO"/>
                            <w:sz w:val="16"/>
                          </w:rPr>
                        </w:pPr>
                        <w:r>
                          <w:rPr>
                            <w:rFonts w:ascii="HGMaruGothicMPRO" w:hAnsi="HGMaruGothicMPRO"/>
                            <w:spacing w:val="-5"/>
                            <w:w w:val="85"/>
                            <w:sz w:val="16"/>
                          </w:rPr>
                          <w:t>✓✓</w:t>
                        </w:r>
                      </w:p>
                    </w:tc>
                    <w:tc>
                      <w:tcPr>
                        <w:tcW w:w="1134" w:type="dxa"/>
                        <w:shd w:val="clear" w:color="auto" w:fill="E1E0E1"/>
                      </w:tcPr>
                      <w:p w:rsidR="00F22F94" w:rsidRDefault="00F22F94">
                        <w:pPr>
                          <w:pStyle w:val="TableParagraph"/>
                          <w:spacing w:before="65"/>
                          <w:rPr>
                            <w:rFonts w:ascii="HGMaruGothicMPRO" w:hAnsi="HGMaruGothicMPRO"/>
                            <w:sz w:val="16"/>
                          </w:rPr>
                        </w:pPr>
                        <w:r>
                          <w:rPr>
                            <w:rFonts w:ascii="HGMaruGothicMPRO" w:hAnsi="HGMaruGothicMPRO"/>
                            <w:spacing w:val="-5"/>
                            <w:w w:val="85"/>
                            <w:sz w:val="16"/>
                          </w:rPr>
                          <w:t>✓✓</w:t>
                        </w:r>
                      </w:p>
                    </w:tc>
                    <w:tc>
                      <w:tcPr>
                        <w:tcW w:w="1304" w:type="dxa"/>
                        <w:shd w:val="clear" w:color="auto" w:fill="E1E0E1"/>
                      </w:tcPr>
                      <w:p w:rsidR="00F22F94" w:rsidRDefault="00F22F94">
                        <w:pPr>
                          <w:pStyle w:val="TableParagraph"/>
                          <w:spacing w:before="65"/>
                          <w:rPr>
                            <w:rFonts w:ascii="HGMaruGothicMPRO" w:hAnsi="HGMaruGothicMPRO"/>
                            <w:sz w:val="16"/>
                          </w:rPr>
                        </w:pPr>
                        <w:r>
                          <w:rPr>
                            <w:rFonts w:ascii="HGMaruGothicMPRO" w:hAnsi="HGMaruGothicMPRO"/>
                            <w:spacing w:val="-5"/>
                            <w:w w:val="85"/>
                            <w:sz w:val="16"/>
                          </w:rPr>
                          <w:t>✓✓</w:t>
                        </w:r>
                      </w:p>
                    </w:tc>
                    <w:tc>
                      <w:tcPr>
                        <w:tcW w:w="1134" w:type="dxa"/>
                        <w:shd w:val="clear" w:color="auto" w:fill="E1E0E1"/>
                      </w:tcPr>
                      <w:p w:rsidR="00F22F94" w:rsidRDefault="00F22F94">
                        <w:pPr>
                          <w:pStyle w:val="TableParagraph"/>
                          <w:spacing w:before="65"/>
                          <w:rPr>
                            <w:rFonts w:ascii="HGMaruGothicMPRO" w:hAnsi="HGMaruGothicMPRO"/>
                            <w:sz w:val="16"/>
                          </w:rPr>
                        </w:pPr>
                        <w:r>
                          <w:rPr>
                            <w:rFonts w:ascii="HGMaruGothicMPRO" w:hAnsi="HGMaruGothicMPRO"/>
                            <w:spacing w:val="-5"/>
                            <w:w w:val="85"/>
                            <w:sz w:val="16"/>
                          </w:rPr>
                          <w:t>✓✓✓</w:t>
                        </w:r>
                      </w:p>
                    </w:tc>
                    <w:tc>
                      <w:tcPr>
                        <w:tcW w:w="1134" w:type="dxa"/>
                        <w:shd w:val="clear" w:color="auto" w:fill="E1E0E1"/>
                      </w:tcPr>
                      <w:p w:rsidR="00F22F94" w:rsidRDefault="00F22F94">
                        <w:pPr>
                          <w:pStyle w:val="TableParagraph"/>
                          <w:spacing w:before="65"/>
                          <w:rPr>
                            <w:rFonts w:ascii="HGMaruGothicMPRO" w:hAnsi="HGMaruGothicMPRO"/>
                            <w:sz w:val="16"/>
                          </w:rPr>
                        </w:pPr>
                        <w:r>
                          <w:rPr>
                            <w:rFonts w:ascii="HGMaruGothicMPRO" w:hAnsi="HGMaruGothicMPRO"/>
                            <w:spacing w:val="-5"/>
                            <w:w w:val="85"/>
                            <w:sz w:val="16"/>
                          </w:rPr>
                          <w:t>✓✓</w:t>
                        </w:r>
                      </w:p>
                    </w:tc>
                    <w:tc>
                      <w:tcPr>
                        <w:tcW w:w="1134" w:type="dxa"/>
                        <w:shd w:val="clear" w:color="auto" w:fill="E1E0E1"/>
                      </w:tcPr>
                      <w:p w:rsidR="00F22F94" w:rsidRDefault="00F22F94">
                        <w:pPr>
                          <w:pStyle w:val="TableParagraph"/>
                          <w:spacing w:before="65"/>
                          <w:rPr>
                            <w:rFonts w:ascii="HGMaruGothicMPRO" w:hAnsi="HGMaruGothicMPRO"/>
                            <w:sz w:val="16"/>
                          </w:rPr>
                        </w:pPr>
                        <w:r>
                          <w:rPr>
                            <w:rFonts w:ascii="HGMaruGothicMPRO" w:hAnsi="HGMaruGothicMPRO"/>
                            <w:spacing w:val="-5"/>
                            <w:w w:val="85"/>
                            <w:sz w:val="16"/>
                          </w:rPr>
                          <w:t>✓✓</w:t>
                        </w:r>
                      </w:p>
                    </w:tc>
                  </w:tr>
                  <w:tr w:rsidR="00F22F94">
                    <w:trPr>
                      <w:trHeight w:val="546"/>
                    </w:trPr>
                    <w:tc>
                      <w:tcPr>
                        <w:tcW w:w="1918" w:type="dxa"/>
                        <w:shd w:val="clear" w:color="auto" w:fill="C9C8C9"/>
                      </w:tcPr>
                      <w:p w:rsidR="00F22F94" w:rsidRDefault="00F22F94">
                        <w:pPr>
                          <w:pStyle w:val="TableParagraph"/>
                          <w:spacing w:before="68"/>
                          <w:ind w:left="115"/>
                          <w:rPr>
                            <w:sz w:val="16"/>
                          </w:rPr>
                        </w:pPr>
                        <w:r>
                          <w:rPr>
                            <w:sz w:val="16"/>
                          </w:rPr>
                          <w:t>Northern</w:t>
                        </w:r>
                        <w:r>
                          <w:rPr>
                            <w:spacing w:val="5"/>
                            <w:sz w:val="16"/>
                          </w:rPr>
                          <w:t xml:space="preserve"> </w:t>
                        </w:r>
                        <w:r>
                          <w:rPr>
                            <w:sz w:val="16"/>
                          </w:rPr>
                          <w:t>Beaches</w:t>
                        </w:r>
                        <w:r>
                          <w:rPr>
                            <w:spacing w:val="6"/>
                            <w:sz w:val="16"/>
                          </w:rPr>
                          <w:t xml:space="preserve"> </w:t>
                        </w:r>
                        <w:r>
                          <w:rPr>
                            <w:spacing w:val="-4"/>
                            <w:sz w:val="16"/>
                          </w:rPr>
                          <w:t>Link</w:t>
                        </w:r>
                      </w:p>
                    </w:tc>
                    <w:tc>
                      <w:tcPr>
                        <w:tcW w:w="917" w:type="dxa"/>
                        <w:shd w:val="clear" w:color="auto" w:fill="E1E0E1"/>
                      </w:tcPr>
                      <w:p w:rsidR="00F22F94" w:rsidRDefault="00F22F94">
                        <w:pPr>
                          <w:pStyle w:val="TableParagraph"/>
                          <w:spacing w:before="65"/>
                          <w:ind w:left="114"/>
                          <w:rPr>
                            <w:rFonts w:ascii="HGMaruGothicMPRO" w:hAnsi="HGMaruGothicMPRO"/>
                            <w:sz w:val="16"/>
                          </w:rPr>
                        </w:pPr>
                        <w:r>
                          <w:rPr>
                            <w:rFonts w:ascii="HGMaruGothicMPRO" w:hAnsi="HGMaruGothicMPRO"/>
                            <w:w w:val="75"/>
                            <w:sz w:val="16"/>
                          </w:rPr>
                          <w:t>✓</w:t>
                        </w:r>
                      </w:p>
                    </w:tc>
                    <w:tc>
                      <w:tcPr>
                        <w:tcW w:w="1134" w:type="dxa"/>
                        <w:shd w:val="clear" w:color="auto" w:fill="E1E0E1"/>
                      </w:tcPr>
                      <w:p w:rsidR="00F22F94" w:rsidRDefault="00F22F94">
                        <w:pPr>
                          <w:pStyle w:val="TableParagraph"/>
                          <w:spacing w:before="65"/>
                          <w:ind w:left="114"/>
                          <w:rPr>
                            <w:rFonts w:ascii="HGMaruGothicMPRO" w:hAnsi="HGMaruGothicMPRO"/>
                            <w:sz w:val="16"/>
                          </w:rPr>
                        </w:pPr>
                        <w:r>
                          <w:rPr>
                            <w:rFonts w:ascii="HGMaruGothicMPRO" w:hAnsi="HGMaruGothicMPRO"/>
                            <w:spacing w:val="-5"/>
                            <w:w w:val="85"/>
                            <w:sz w:val="16"/>
                          </w:rPr>
                          <w:t>✓✓</w:t>
                        </w:r>
                      </w:p>
                    </w:tc>
                    <w:tc>
                      <w:tcPr>
                        <w:tcW w:w="1134" w:type="dxa"/>
                        <w:shd w:val="clear" w:color="auto" w:fill="E1E0E1"/>
                      </w:tcPr>
                      <w:p w:rsidR="00F22F94" w:rsidRDefault="00F22F94">
                        <w:pPr>
                          <w:pStyle w:val="TableParagraph"/>
                          <w:spacing w:before="65"/>
                          <w:ind w:left="114"/>
                          <w:rPr>
                            <w:rFonts w:ascii="HGMaruGothicMPRO" w:hAnsi="HGMaruGothicMPRO"/>
                            <w:sz w:val="16"/>
                          </w:rPr>
                        </w:pPr>
                        <w:r>
                          <w:rPr>
                            <w:rFonts w:ascii="HGMaruGothicMPRO" w:hAnsi="HGMaruGothicMPRO"/>
                            <w:w w:val="75"/>
                            <w:sz w:val="16"/>
                          </w:rPr>
                          <w:t>✓</w:t>
                        </w:r>
                      </w:p>
                    </w:tc>
                    <w:tc>
                      <w:tcPr>
                        <w:tcW w:w="1304" w:type="dxa"/>
                        <w:shd w:val="clear" w:color="auto" w:fill="E1E0E1"/>
                      </w:tcPr>
                      <w:p w:rsidR="00F22F94" w:rsidRDefault="00F22F94">
                        <w:pPr>
                          <w:pStyle w:val="TableParagraph"/>
                          <w:spacing w:before="65"/>
                          <w:ind w:left="114"/>
                          <w:rPr>
                            <w:rFonts w:ascii="HGMaruGothicMPRO" w:hAnsi="HGMaruGothicMPRO"/>
                            <w:sz w:val="16"/>
                          </w:rPr>
                        </w:pPr>
                        <w:r>
                          <w:rPr>
                            <w:rFonts w:ascii="HGMaruGothicMPRO" w:hAnsi="HGMaruGothicMPRO"/>
                            <w:w w:val="75"/>
                            <w:sz w:val="16"/>
                          </w:rPr>
                          <w:t>✓</w:t>
                        </w:r>
                      </w:p>
                    </w:tc>
                    <w:tc>
                      <w:tcPr>
                        <w:tcW w:w="1134" w:type="dxa"/>
                        <w:shd w:val="clear" w:color="auto" w:fill="E1E0E1"/>
                      </w:tcPr>
                      <w:p w:rsidR="00F22F94" w:rsidRDefault="00F22F94">
                        <w:pPr>
                          <w:pStyle w:val="TableParagraph"/>
                          <w:spacing w:before="65"/>
                          <w:ind w:left="114"/>
                          <w:rPr>
                            <w:rFonts w:ascii="HGMaruGothicMPRO" w:hAnsi="HGMaruGothicMPRO"/>
                            <w:sz w:val="16"/>
                          </w:rPr>
                        </w:pPr>
                        <w:r>
                          <w:rPr>
                            <w:rFonts w:ascii="HGMaruGothicMPRO" w:hAnsi="HGMaruGothicMPRO"/>
                            <w:spacing w:val="-5"/>
                            <w:w w:val="85"/>
                            <w:sz w:val="16"/>
                          </w:rPr>
                          <w:t>✓✓</w:t>
                        </w:r>
                      </w:p>
                    </w:tc>
                    <w:tc>
                      <w:tcPr>
                        <w:tcW w:w="1134" w:type="dxa"/>
                        <w:shd w:val="clear" w:color="auto" w:fill="E1E0E1"/>
                      </w:tcPr>
                      <w:p w:rsidR="00F22F94" w:rsidRDefault="00F22F94">
                        <w:pPr>
                          <w:pStyle w:val="TableParagraph"/>
                          <w:spacing w:before="65"/>
                          <w:ind w:left="114"/>
                          <w:rPr>
                            <w:rFonts w:ascii="HGMaruGothicMPRO" w:hAnsi="HGMaruGothicMPRO"/>
                            <w:sz w:val="16"/>
                          </w:rPr>
                        </w:pPr>
                        <w:r>
                          <w:rPr>
                            <w:rFonts w:ascii="HGMaruGothicMPRO" w:hAnsi="HGMaruGothicMPRO"/>
                            <w:w w:val="75"/>
                            <w:sz w:val="16"/>
                          </w:rPr>
                          <w:t>✓</w:t>
                        </w:r>
                      </w:p>
                    </w:tc>
                    <w:tc>
                      <w:tcPr>
                        <w:tcW w:w="1134" w:type="dxa"/>
                        <w:shd w:val="clear" w:color="auto" w:fill="E1E0E1"/>
                      </w:tcPr>
                      <w:p w:rsidR="00F22F94" w:rsidRDefault="00F22F94">
                        <w:pPr>
                          <w:pStyle w:val="TableParagraph"/>
                          <w:spacing w:before="65"/>
                          <w:ind w:left="114"/>
                          <w:rPr>
                            <w:rFonts w:ascii="HGMaruGothicMPRO" w:hAnsi="HGMaruGothicMPRO"/>
                            <w:sz w:val="16"/>
                          </w:rPr>
                        </w:pPr>
                        <w:r>
                          <w:rPr>
                            <w:rFonts w:ascii="HGMaruGothicMPRO" w:hAnsi="HGMaruGothicMPRO"/>
                            <w:w w:val="75"/>
                            <w:sz w:val="16"/>
                          </w:rPr>
                          <w:t>✓</w:t>
                        </w:r>
                      </w:p>
                    </w:tc>
                  </w:tr>
                  <w:tr w:rsidR="00F22F94">
                    <w:trPr>
                      <w:trHeight w:val="546"/>
                    </w:trPr>
                    <w:tc>
                      <w:tcPr>
                        <w:tcW w:w="1918" w:type="dxa"/>
                        <w:shd w:val="clear" w:color="auto" w:fill="C9C8C9"/>
                      </w:tcPr>
                      <w:p w:rsidR="00F22F94" w:rsidRDefault="00F22F94">
                        <w:pPr>
                          <w:pStyle w:val="TableParagraph"/>
                          <w:spacing w:before="68" w:line="261" w:lineRule="auto"/>
                          <w:ind w:left="115"/>
                          <w:rPr>
                            <w:sz w:val="16"/>
                          </w:rPr>
                        </w:pPr>
                        <w:r>
                          <w:rPr>
                            <w:sz w:val="16"/>
                          </w:rPr>
                          <w:t>Outer</w:t>
                        </w:r>
                        <w:r>
                          <w:rPr>
                            <w:spacing w:val="-12"/>
                            <w:sz w:val="16"/>
                          </w:rPr>
                          <w:t xml:space="preserve"> </w:t>
                        </w:r>
                        <w:r>
                          <w:rPr>
                            <w:sz w:val="16"/>
                          </w:rPr>
                          <w:t>Western</w:t>
                        </w:r>
                        <w:r>
                          <w:rPr>
                            <w:spacing w:val="-11"/>
                            <w:sz w:val="16"/>
                          </w:rPr>
                          <w:t xml:space="preserve"> </w:t>
                        </w:r>
                        <w:r>
                          <w:rPr>
                            <w:sz w:val="16"/>
                          </w:rPr>
                          <w:t xml:space="preserve">Sydney </w:t>
                        </w:r>
                        <w:r>
                          <w:rPr>
                            <w:spacing w:val="-2"/>
                            <w:w w:val="105"/>
                            <w:sz w:val="16"/>
                          </w:rPr>
                          <w:t>Orbital</w:t>
                        </w:r>
                      </w:p>
                    </w:tc>
                    <w:tc>
                      <w:tcPr>
                        <w:tcW w:w="917" w:type="dxa"/>
                        <w:shd w:val="clear" w:color="auto" w:fill="E1E0E1"/>
                      </w:tcPr>
                      <w:p w:rsidR="00F22F94" w:rsidRDefault="00F22F94">
                        <w:pPr>
                          <w:pStyle w:val="TableParagraph"/>
                          <w:spacing w:before="65"/>
                          <w:ind w:left="115"/>
                          <w:rPr>
                            <w:rFonts w:ascii="HGMaruGothicMPRO" w:hAnsi="HGMaruGothicMPRO"/>
                            <w:sz w:val="16"/>
                          </w:rPr>
                        </w:pPr>
                        <w:r>
                          <w:rPr>
                            <w:rFonts w:ascii="HGMaruGothicMPRO" w:hAnsi="HGMaruGothicMPRO"/>
                            <w:w w:val="75"/>
                            <w:sz w:val="16"/>
                          </w:rPr>
                          <w:t>✓</w:t>
                        </w:r>
                      </w:p>
                    </w:tc>
                    <w:tc>
                      <w:tcPr>
                        <w:tcW w:w="1134" w:type="dxa"/>
                        <w:shd w:val="clear" w:color="auto" w:fill="E1E0E1"/>
                      </w:tcPr>
                      <w:p w:rsidR="00F22F94" w:rsidRDefault="00F22F94">
                        <w:pPr>
                          <w:pStyle w:val="TableParagraph"/>
                          <w:spacing w:before="65"/>
                          <w:ind w:left="114"/>
                          <w:rPr>
                            <w:rFonts w:ascii="HGMaruGothicMPRO" w:hAnsi="HGMaruGothicMPRO"/>
                            <w:sz w:val="16"/>
                          </w:rPr>
                        </w:pPr>
                        <w:r>
                          <w:rPr>
                            <w:rFonts w:ascii="HGMaruGothicMPRO" w:hAnsi="HGMaruGothicMPRO"/>
                            <w:w w:val="75"/>
                            <w:sz w:val="16"/>
                          </w:rPr>
                          <w:t>✓</w:t>
                        </w:r>
                      </w:p>
                    </w:tc>
                    <w:tc>
                      <w:tcPr>
                        <w:tcW w:w="1134" w:type="dxa"/>
                        <w:shd w:val="clear" w:color="auto" w:fill="E1E0E1"/>
                      </w:tcPr>
                      <w:p w:rsidR="00F22F94" w:rsidRDefault="00F22F94">
                        <w:pPr>
                          <w:pStyle w:val="TableParagraph"/>
                          <w:spacing w:before="65"/>
                          <w:ind w:left="114"/>
                          <w:rPr>
                            <w:rFonts w:ascii="HGMaruGothicMPRO" w:hAnsi="HGMaruGothicMPRO"/>
                            <w:sz w:val="16"/>
                          </w:rPr>
                        </w:pPr>
                        <w:r>
                          <w:rPr>
                            <w:rFonts w:ascii="HGMaruGothicMPRO" w:hAnsi="HGMaruGothicMPRO"/>
                            <w:w w:val="75"/>
                            <w:sz w:val="16"/>
                          </w:rPr>
                          <w:t>✓</w:t>
                        </w:r>
                      </w:p>
                    </w:tc>
                    <w:tc>
                      <w:tcPr>
                        <w:tcW w:w="1304" w:type="dxa"/>
                        <w:shd w:val="clear" w:color="auto" w:fill="E1E0E1"/>
                      </w:tcPr>
                      <w:p w:rsidR="00F22F94" w:rsidRDefault="00F22F94">
                        <w:pPr>
                          <w:pStyle w:val="TableParagraph"/>
                          <w:spacing w:before="65"/>
                          <w:ind w:left="114"/>
                          <w:rPr>
                            <w:rFonts w:ascii="HGMaruGothicMPRO" w:hAnsi="HGMaruGothicMPRO"/>
                            <w:sz w:val="16"/>
                          </w:rPr>
                        </w:pPr>
                        <w:r>
                          <w:rPr>
                            <w:rFonts w:ascii="HGMaruGothicMPRO" w:hAnsi="HGMaruGothicMPRO"/>
                            <w:w w:val="75"/>
                            <w:sz w:val="16"/>
                          </w:rPr>
                          <w:t>✓</w:t>
                        </w:r>
                      </w:p>
                    </w:tc>
                    <w:tc>
                      <w:tcPr>
                        <w:tcW w:w="1134" w:type="dxa"/>
                        <w:shd w:val="clear" w:color="auto" w:fill="E1E0E1"/>
                      </w:tcPr>
                      <w:p w:rsidR="00F22F94" w:rsidRDefault="00F22F94">
                        <w:pPr>
                          <w:pStyle w:val="TableParagraph"/>
                          <w:spacing w:before="65"/>
                          <w:ind w:left="114"/>
                          <w:rPr>
                            <w:rFonts w:ascii="HGMaruGothicMPRO" w:hAnsi="HGMaruGothicMPRO"/>
                            <w:sz w:val="16"/>
                          </w:rPr>
                        </w:pPr>
                        <w:r>
                          <w:rPr>
                            <w:rFonts w:ascii="HGMaruGothicMPRO" w:hAnsi="HGMaruGothicMPRO"/>
                            <w:w w:val="75"/>
                            <w:sz w:val="16"/>
                          </w:rPr>
                          <w:t>✓</w:t>
                        </w:r>
                      </w:p>
                    </w:tc>
                    <w:tc>
                      <w:tcPr>
                        <w:tcW w:w="1134" w:type="dxa"/>
                        <w:shd w:val="clear" w:color="auto" w:fill="E1E0E1"/>
                      </w:tcPr>
                      <w:p w:rsidR="00F22F94" w:rsidRDefault="00F22F94">
                        <w:pPr>
                          <w:pStyle w:val="TableParagraph"/>
                          <w:spacing w:before="65"/>
                          <w:ind w:left="114"/>
                          <w:rPr>
                            <w:rFonts w:ascii="HGMaruGothicMPRO" w:hAnsi="HGMaruGothicMPRO"/>
                            <w:sz w:val="16"/>
                          </w:rPr>
                        </w:pPr>
                        <w:r>
                          <w:rPr>
                            <w:rFonts w:ascii="HGMaruGothicMPRO" w:hAnsi="HGMaruGothicMPRO"/>
                            <w:spacing w:val="-5"/>
                            <w:w w:val="85"/>
                            <w:sz w:val="16"/>
                          </w:rPr>
                          <w:t>✓✓</w:t>
                        </w:r>
                      </w:p>
                    </w:tc>
                    <w:tc>
                      <w:tcPr>
                        <w:tcW w:w="1134" w:type="dxa"/>
                        <w:shd w:val="clear" w:color="auto" w:fill="E1E0E1"/>
                      </w:tcPr>
                      <w:p w:rsidR="00F22F94" w:rsidRDefault="00F22F94">
                        <w:pPr>
                          <w:pStyle w:val="TableParagraph"/>
                          <w:spacing w:before="65"/>
                          <w:ind w:left="114"/>
                          <w:rPr>
                            <w:rFonts w:ascii="HGMaruGothicMPRO" w:hAnsi="HGMaruGothicMPRO"/>
                            <w:sz w:val="16"/>
                          </w:rPr>
                        </w:pPr>
                        <w:r>
                          <w:rPr>
                            <w:rFonts w:ascii="HGMaruGothicMPRO" w:hAnsi="HGMaruGothicMPRO"/>
                            <w:w w:val="75"/>
                            <w:sz w:val="16"/>
                          </w:rPr>
                          <w:t>✓</w:t>
                        </w:r>
                      </w:p>
                    </w:tc>
                  </w:tr>
                </w:tbl>
                <w:p w:rsidR="00F22F94" w:rsidRDefault="00F22F94">
                  <w:pPr>
                    <w:pStyle w:val="BodyText"/>
                  </w:pPr>
                </w:p>
              </w:txbxContent>
            </v:textbox>
            <w10:wrap anchorx="page"/>
          </v:shape>
        </w:pict>
      </w:r>
      <w:bookmarkStart w:id="165" w:name="_bookmark118"/>
      <w:bookmarkEnd w:id="165"/>
      <w:r w:rsidR="00F22F94">
        <w:rPr>
          <w:b/>
          <w:sz w:val="18"/>
        </w:rPr>
        <w:t>Table</w:t>
      </w:r>
      <w:r w:rsidR="00F22F94">
        <w:rPr>
          <w:b/>
          <w:spacing w:val="-14"/>
          <w:sz w:val="18"/>
        </w:rPr>
        <w:t xml:space="preserve"> </w:t>
      </w:r>
      <w:r w:rsidR="00F22F94">
        <w:rPr>
          <w:b/>
          <w:sz w:val="18"/>
        </w:rPr>
        <w:t>6.5</w:t>
      </w:r>
      <w:r w:rsidR="00F22F94">
        <w:rPr>
          <w:b/>
          <w:spacing w:val="26"/>
          <w:sz w:val="18"/>
        </w:rPr>
        <w:t xml:space="preserve"> </w:t>
      </w:r>
      <w:r w:rsidR="00F22F94">
        <w:rPr>
          <w:b/>
          <w:sz w:val="18"/>
        </w:rPr>
        <w:t>Motorway</w:t>
      </w:r>
      <w:r w:rsidR="00F22F94">
        <w:rPr>
          <w:b/>
          <w:spacing w:val="-14"/>
          <w:sz w:val="18"/>
        </w:rPr>
        <w:t xml:space="preserve"> </w:t>
      </w:r>
      <w:r w:rsidR="00F22F94">
        <w:rPr>
          <w:b/>
          <w:sz w:val="18"/>
        </w:rPr>
        <w:t>Implementation</w:t>
      </w:r>
      <w:r w:rsidR="00F22F94">
        <w:rPr>
          <w:b/>
          <w:spacing w:val="-13"/>
          <w:sz w:val="18"/>
        </w:rPr>
        <w:t xml:space="preserve"> </w:t>
      </w:r>
      <w:r w:rsidR="00F22F94">
        <w:rPr>
          <w:b/>
          <w:sz w:val="18"/>
        </w:rPr>
        <w:t>Prioritisation</w:t>
      </w:r>
      <w:r w:rsidR="00F22F94">
        <w:rPr>
          <w:b/>
          <w:spacing w:val="-13"/>
          <w:sz w:val="18"/>
        </w:rPr>
        <w:t xml:space="preserve"> </w:t>
      </w:r>
      <w:r w:rsidR="00F22F94">
        <w:rPr>
          <w:b/>
          <w:spacing w:val="-2"/>
          <w:sz w:val="18"/>
        </w:rPr>
        <w:t>Summary</w:t>
      </w: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spacing w:before="7"/>
        <w:rPr>
          <w:b/>
          <w:sz w:val="27"/>
        </w:rPr>
      </w:pPr>
    </w:p>
    <w:p w:rsidR="002C1123" w:rsidRDefault="00F22F94">
      <w:pPr>
        <w:ind w:left="502"/>
        <w:rPr>
          <w:sz w:val="14"/>
        </w:rPr>
      </w:pPr>
      <w:r>
        <w:rPr>
          <w:w w:val="95"/>
          <w:sz w:val="14"/>
        </w:rPr>
        <w:t>*</w:t>
      </w:r>
      <w:r>
        <w:rPr>
          <w:spacing w:val="15"/>
          <w:sz w:val="14"/>
        </w:rPr>
        <w:t xml:space="preserve"> </w:t>
      </w:r>
      <w:r>
        <w:rPr>
          <w:w w:val="95"/>
          <w:sz w:val="14"/>
        </w:rPr>
        <w:t>Wider</w:t>
      </w:r>
      <w:r>
        <w:rPr>
          <w:spacing w:val="16"/>
          <w:sz w:val="14"/>
        </w:rPr>
        <w:t xml:space="preserve"> </w:t>
      </w:r>
      <w:r>
        <w:rPr>
          <w:w w:val="95"/>
          <w:sz w:val="14"/>
        </w:rPr>
        <w:t>benefits</w:t>
      </w:r>
      <w:r>
        <w:rPr>
          <w:spacing w:val="15"/>
          <w:sz w:val="14"/>
        </w:rPr>
        <w:t xml:space="preserve"> </w:t>
      </w:r>
      <w:r>
        <w:rPr>
          <w:w w:val="95"/>
          <w:sz w:val="14"/>
        </w:rPr>
        <w:t>include</w:t>
      </w:r>
      <w:r>
        <w:rPr>
          <w:spacing w:val="16"/>
          <w:sz w:val="14"/>
        </w:rPr>
        <w:t xml:space="preserve"> </w:t>
      </w:r>
      <w:r>
        <w:rPr>
          <w:w w:val="95"/>
          <w:sz w:val="14"/>
        </w:rPr>
        <w:t>potential</w:t>
      </w:r>
      <w:r>
        <w:rPr>
          <w:spacing w:val="16"/>
          <w:sz w:val="14"/>
        </w:rPr>
        <w:t xml:space="preserve"> </w:t>
      </w:r>
      <w:r>
        <w:rPr>
          <w:w w:val="95"/>
          <w:sz w:val="14"/>
        </w:rPr>
        <w:t>urban</w:t>
      </w:r>
      <w:r>
        <w:rPr>
          <w:spacing w:val="15"/>
          <w:sz w:val="14"/>
        </w:rPr>
        <w:t xml:space="preserve"> </w:t>
      </w:r>
      <w:r>
        <w:rPr>
          <w:w w:val="95"/>
          <w:sz w:val="14"/>
        </w:rPr>
        <w:t>regeneration</w:t>
      </w:r>
      <w:r>
        <w:rPr>
          <w:spacing w:val="16"/>
          <w:sz w:val="14"/>
        </w:rPr>
        <w:t xml:space="preserve"> </w:t>
      </w:r>
      <w:r>
        <w:rPr>
          <w:w w:val="95"/>
          <w:sz w:val="14"/>
        </w:rPr>
        <w:t>and</w:t>
      </w:r>
      <w:r>
        <w:rPr>
          <w:spacing w:val="15"/>
          <w:sz w:val="14"/>
        </w:rPr>
        <w:t xml:space="preserve"> </w:t>
      </w:r>
      <w:r>
        <w:rPr>
          <w:w w:val="95"/>
          <w:sz w:val="14"/>
        </w:rPr>
        <w:t>agglomeration</w:t>
      </w:r>
      <w:r>
        <w:rPr>
          <w:spacing w:val="16"/>
          <w:sz w:val="14"/>
        </w:rPr>
        <w:t xml:space="preserve"> </w:t>
      </w:r>
      <w:r>
        <w:rPr>
          <w:spacing w:val="-2"/>
          <w:w w:val="95"/>
          <w:sz w:val="14"/>
        </w:rPr>
        <w:t>benefits.</w:t>
      </w:r>
    </w:p>
    <w:p w:rsidR="002C1123" w:rsidRDefault="00F22F94">
      <w:pPr>
        <w:rPr>
          <w:sz w:val="18"/>
        </w:rPr>
      </w:pPr>
      <w:r>
        <w:br w:type="column"/>
      </w:r>
    </w:p>
    <w:p w:rsidR="002C1123" w:rsidRDefault="002C1123">
      <w:pPr>
        <w:pStyle w:val="BodyText"/>
        <w:rPr>
          <w:sz w:val="18"/>
        </w:rPr>
      </w:pPr>
    </w:p>
    <w:p w:rsidR="002C1123" w:rsidRDefault="002C1123">
      <w:pPr>
        <w:pStyle w:val="BodyText"/>
        <w:rPr>
          <w:sz w:val="18"/>
        </w:rPr>
      </w:pPr>
    </w:p>
    <w:p w:rsidR="002C1123" w:rsidRDefault="00F22F94">
      <w:pPr>
        <w:spacing w:before="124"/>
        <w:ind w:left="502"/>
        <w:rPr>
          <w:b/>
          <w:sz w:val="16"/>
        </w:rPr>
      </w:pPr>
      <w:r>
        <w:rPr>
          <w:b/>
          <w:color w:val="2E3092"/>
          <w:spacing w:val="-2"/>
          <w:sz w:val="16"/>
        </w:rPr>
        <w:t>Servicing</w:t>
      </w:r>
      <w:r>
        <w:rPr>
          <w:b/>
          <w:color w:val="2E3092"/>
          <w:spacing w:val="-7"/>
          <w:sz w:val="16"/>
        </w:rPr>
        <w:t xml:space="preserve"> </w:t>
      </w:r>
      <w:r>
        <w:rPr>
          <w:b/>
          <w:color w:val="2E3092"/>
          <w:spacing w:val="-2"/>
          <w:sz w:val="16"/>
        </w:rPr>
        <w:t>Key</w:t>
      </w:r>
      <w:r>
        <w:rPr>
          <w:b/>
          <w:color w:val="2E3092"/>
          <w:spacing w:val="-7"/>
          <w:sz w:val="16"/>
        </w:rPr>
        <w:t xml:space="preserve"> </w:t>
      </w:r>
      <w:r>
        <w:rPr>
          <w:b/>
          <w:color w:val="2E3092"/>
          <w:spacing w:val="-2"/>
          <w:sz w:val="16"/>
        </w:rPr>
        <w:t>Demand</w:t>
      </w:r>
      <w:r>
        <w:rPr>
          <w:b/>
          <w:color w:val="2E3092"/>
          <w:spacing w:val="-6"/>
          <w:sz w:val="16"/>
        </w:rPr>
        <w:t xml:space="preserve"> </w:t>
      </w:r>
      <w:r>
        <w:rPr>
          <w:b/>
          <w:color w:val="2E3092"/>
          <w:spacing w:val="-2"/>
          <w:sz w:val="16"/>
        </w:rPr>
        <w:t>Generators</w:t>
      </w:r>
    </w:p>
    <w:p w:rsidR="002C1123" w:rsidRDefault="00F22F94">
      <w:pPr>
        <w:pStyle w:val="Heading6"/>
        <w:numPr>
          <w:ilvl w:val="2"/>
          <w:numId w:val="97"/>
        </w:numPr>
        <w:tabs>
          <w:tab w:val="left" w:pos="989"/>
        </w:tabs>
        <w:ind w:left="988" w:hanging="487"/>
        <w:jc w:val="left"/>
      </w:pPr>
      <w:r>
        <w:rPr>
          <w:b w:val="0"/>
        </w:rPr>
        <w:br w:type="column"/>
      </w:r>
      <w:r>
        <w:rPr>
          <w:color w:val="00AEEF"/>
          <w:spacing w:val="-2"/>
        </w:rPr>
        <w:t>Recommendations</w:t>
      </w:r>
    </w:p>
    <w:p w:rsidR="002C1123" w:rsidRDefault="00F22F94">
      <w:pPr>
        <w:pStyle w:val="BodyText"/>
        <w:spacing w:before="95"/>
        <w:ind w:left="502"/>
      </w:pPr>
      <w:r>
        <w:rPr>
          <w:w w:val="95"/>
        </w:rPr>
        <w:t>Infrastructure</w:t>
      </w:r>
      <w:r>
        <w:rPr>
          <w:spacing w:val="-10"/>
          <w:w w:val="95"/>
        </w:rPr>
        <w:t xml:space="preserve"> </w:t>
      </w:r>
      <w:r>
        <w:rPr>
          <w:w w:val="95"/>
        </w:rPr>
        <w:t>NSW’s</w:t>
      </w:r>
      <w:r>
        <w:rPr>
          <w:spacing w:val="-10"/>
          <w:w w:val="95"/>
        </w:rPr>
        <w:t xml:space="preserve"> </w:t>
      </w:r>
      <w:r>
        <w:rPr>
          <w:w w:val="95"/>
        </w:rPr>
        <w:t>analysis</w:t>
      </w:r>
      <w:r>
        <w:rPr>
          <w:spacing w:val="-10"/>
          <w:w w:val="95"/>
        </w:rPr>
        <w:t xml:space="preserve"> </w:t>
      </w:r>
      <w:r>
        <w:rPr>
          <w:w w:val="95"/>
        </w:rPr>
        <w:t>indicates</w:t>
      </w:r>
      <w:r>
        <w:rPr>
          <w:spacing w:val="-10"/>
          <w:w w:val="95"/>
        </w:rPr>
        <w:t xml:space="preserve"> </w:t>
      </w:r>
      <w:r>
        <w:rPr>
          <w:w w:val="95"/>
        </w:rPr>
        <w:t>that</w:t>
      </w:r>
      <w:r>
        <w:rPr>
          <w:spacing w:val="-10"/>
          <w:w w:val="95"/>
        </w:rPr>
        <w:t xml:space="preserve"> </w:t>
      </w:r>
      <w:r>
        <w:rPr>
          <w:spacing w:val="-5"/>
          <w:w w:val="95"/>
        </w:rPr>
        <w:t>the</w:t>
      </w:r>
    </w:p>
    <w:p w:rsidR="002C1123" w:rsidRDefault="00F22F94">
      <w:pPr>
        <w:pStyle w:val="BodyText"/>
        <w:spacing w:before="10" w:line="249" w:lineRule="auto"/>
        <w:ind w:left="502" w:right="744"/>
      </w:pPr>
      <w:r>
        <w:t>M4</w:t>
      </w:r>
      <w:r>
        <w:rPr>
          <w:spacing w:val="-8"/>
        </w:rPr>
        <w:t xml:space="preserve"> </w:t>
      </w:r>
      <w:r>
        <w:t>and</w:t>
      </w:r>
      <w:r>
        <w:rPr>
          <w:spacing w:val="-8"/>
        </w:rPr>
        <w:t xml:space="preserve"> </w:t>
      </w:r>
      <w:r>
        <w:t>M5</w:t>
      </w:r>
      <w:r>
        <w:rPr>
          <w:spacing w:val="-8"/>
        </w:rPr>
        <w:t xml:space="preserve"> </w:t>
      </w:r>
      <w:r>
        <w:t>corridors</w:t>
      </w:r>
      <w:r>
        <w:rPr>
          <w:spacing w:val="-8"/>
        </w:rPr>
        <w:t xml:space="preserve"> </w:t>
      </w:r>
      <w:r>
        <w:t>have</w:t>
      </w:r>
      <w:r>
        <w:rPr>
          <w:spacing w:val="-8"/>
        </w:rPr>
        <w:t xml:space="preserve"> </w:t>
      </w:r>
      <w:r>
        <w:t>the</w:t>
      </w:r>
      <w:r>
        <w:rPr>
          <w:spacing w:val="-8"/>
        </w:rPr>
        <w:t xml:space="preserve"> </w:t>
      </w:r>
      <w:r>
        <w:t>most</w:t>
      </w:r>
      <w:r>
        <w:rPr>
          <w:spacing w:val="-8"/>
        </w:rPr>
        <w:t xml:space="preserve"> </w:t>
      </w:r>
      <w:r>
        <w:t>pressing</w:t>
      </w:r>
      <w:r>
        <w:rPr>
          <w:spacing w:val="-8"/>
        </w:rPr>
        <w:t xml:space="preserve"> </w:t>
      </w:r>
      <w:r>
        <w:t>need</w:t>
      </w:r>
      <w:r>
        <w:rPr>
          <w:spacing w:val="-8"/>
        </w:rPr>
        <w:t xml:space="preserve"> </w:t>
      </w:r>
      <w:r>
        <w:t xml:space="preserve">for </w:t>
      </w:r>
      <w:r>
        <w:rPr>
          <w:w w:val="95"/>
        </w:rPr>
        <w:t xml:space="preserve">augmentation because of their importance in supporting </w:t>
      </w:r>
      <w:r>
        <w:rPr>
          <w:spacing w:val="-2"/>
        </w:rPr>
        <w:t>freight</w:t>
      </w:r>
      <w:r>
        <w:rPr>
          <w:spacing w:val="-7"/>
        </w:rPr>
        <w:t xml:space="preserve"> </w:t>
      </w:r>
      <w:r>
        <w:rPr>
          <w:spacing w:val="-2"/>
        </w:rPr>
        <w:t>and</w:t>
      </w:r>
      <w:r>
        <w:rPr>
          <w:spacing w:val="-7"/>
        </w:rPr>
        <w:t xml:space="preserve"> </w:t>
      </w:r>
      <w:r>
        <w:rPr>
          <w:spacing w:val="-2"/>
        </w:rPr>
        <w:t>business</w:t>
      </w:r>
      <w:r>
        <w:rPr>
          <w:spacing w:val="-7"/>
        </w:rPr>
        <w:t xml:space="preserve"> </w:t>
      </w:r>
      <w:r>
        <w:rPr>
          <w:spacing w:val="-2"/>
        </w:rPr>
        <w:t>travel,</w:t>
      </w:r>
      <w:r>
        <w:rPr>
          <w:spacing w:val="-7"/>
        </w:rPr>
        <w:t xml:space="preserve"> </w:t>
      </w:r>
      <w:r>
        <w:rPr>
          <w:spacing w:val="-2"/>
        </w:rPr>
        <w:t>high</w:t>
      </w:r>
      <w:r>
        <w:rPr>
          <w:spacing w:val="-7"/>
        </w:rPr>
        <w:t xml:space="preserve"> </w:t>
      </w:r>
      <w:r>
        <w:rPr>
          <w:spacing w:val="-2"/>
        </w:rPr>
        <w:t>levels</w:t>
      </w:r>
      <w:r>
        <w:rPr>
          <w:spacing w:val="-7"/>
        </w:rPr>
        <w:t xml:space="preserve"> </w:t>
      </w:r>
      <w:r>
        <w:rPr>
          <w:spacing w:val="-2"/>
        </w:rPr>
        <w:t>of</w:t>
      </w:r>
      <w:r>
        <w:rPr>
          <w:spacing w:val="-7"/>
        </w:rPr>
        <w:t xml:space="preserve"> </w:t>
      </w:r>
      <w:r>
        <w:rPr>
          <w:spacing w:val="-2"/>
        </w:rPr>
        <w:t xml:space="preserve">existing </w:t>
      </w:r>
      <w:r>
        <w:t>demand</w:t>
      </w:r>
      <w:r>
        <w:rPr>
          <w:spacing w:val="-14"/>
        </w:rPr>
        <w:t xml:space="preserve"> </w:t>
      </w:r>
      <w:r>
        <w:t>and</w:t>
      </w:r>
      <w:r>
        <w:rPr>
          <w:spacing w:val="-14"/>
        </w:rPr>
        <w:t xml:space="preserve"> </w:t>
      </w:r>
      <w:r>
        <w:t>forecast</w:t>
      </w:r>
      <w:r>
        <w:rPr>
          <w:spacing w:val="-14"/>
        </w:rPr>
        <w:t xml:space="preserve"> </w:t>
      </w:r>
      <w:r>
        <w:t>population</w:t>
      </w:r>
      <w:r>
        <w:rPr>
          <w:spacing w:val="-14"/>
        </w:rPr>
        <w:t xml:space="preserve"> </w:t>
      </w:r>
      <w:r>
        <w:t>and</w:t>
      </w:r>
      <w:r>
        <w:rPr>
          <w:spacing w:val="-14"/>
        </w:rPr>
        <w:t xml:space="preserve"> </w:t>
      </w:r>
      <w:r>
        <w:t>economic</w:t>
      </w:r>
      <w:r>
        <w:rPr>
          <w:spacing w:val="-14"/>
        </w:rPr>
        <w:t xml:space="preserve"> </w:t>
      </w:r>
      <w:r>
        <w:t xml:space="preserve">growth </w:t>
      </w:r>
      <w:r>
        <w:rPr>
          <w:w w:val="95"/>
        </w:rPr>
        <w:t xml:space="preserve">along and around these corridors. Given the importance </w:t>
      </w:r>
      <w:r>
        <w:t>of</w:t>
      </w:r>
      <w:r>
        <w:rPr>
          <w:spacing w:val="-14"/>
        </w:rPr>
        <w:t xml:space="preserve"> </w:t>
      </w:r>
      <w:r>
        <w:t>connections</w:t>
      </w:r>
      <w:r>
        <w:rPr>
          <w:spacing w:val="-14"/>
        </w:rPr>
        <w:t xml:space="preserve"> </w:t>
      </w:r>
      <w:r>
        <w:t>to</w:t>
      </w:r>
      <w:r>
        <w:rPr>
          <w:spacing w:val="-14"/>
        </w:rPr>
        <w:t xml:space="preserve"> </w:t>
      </w:r>
      <w:r>
        <w:t>Sydney’s</w:t>
      </w:r>
      <w:r>
        <w:rPr>
          <w:spacing w:val="-14"/>
        </w:rPr>
        <w:t xml:space="preserve"> </w:t>
      </w:r>
      <w:r>
        <w:t>international</w:t>
      </w:r>
      <w:r>
        <w:rPr>
          <w:spacing w:val="-14"/>
        </w:rPr>
        <w:t xml:space="preserve"> </w:t>
      </w:r>
      <w:r>
        <w:t>gateways, Infrastructure</w:t>
      </w:r>
      <w:r>
        <w:rPr>
          <w:spacing w:val="-6"/>
        </w:rPr>
        <w:t xml:space="preserve"> </w:t>
      </w:r>
      <w:r>
        <w:t>NSW</w:t>
      </w:r>
      <w:r>
        <w:rPr>
          <w:spacing w:val="-6"/>
        </w:rPr>
        <w:t xml:space="preserve"> </w:t>
      </w:r>
      <w:r>
        <w:t>recommends</w:t>
      </w:r>
      <w:r>
        <w:rPr>
          <w:spacing w:val="-6"/>
        </w:rPr>
        <w:t xml:space="preserve"> </w:t>
      </w:r>
      <w:r>
        <w:t>the</w:t>
      </w:r>
      <w:r>
        <w:rPr>
          <w:spacing w:val="-6"/>
        </w:rPr>
        <w:t xml:space="preserve"> </w:t>
      </w:r>
      <w:r>
        <w:t>M4</w:t>
      </w:r>
      <w:r>
        <w:rPr>
          <w:spacing w:val="-6"/>
        </w:rPr>
        <w:t xml:space="preserve"> </w:t>
      </w:r>
      <w:r>
        <w:t>connects</w:t>
      </w:r>
      <w:r>
        <w:rPr>
          <w:spacing w:val="-6"/>
        </w:rPr>
        <w:t xml:space="preserve"> </w:t>
      </w:r>
      <w:r>
        <w:t xml:space="preserve">to </w:t>
      </w:r>
      <w:r>
        <w:rPr>
          <w:w w:val="95"/>
        </w:rPr>
        <w:t>Sydney</w:t>
      </w:r>
      <w:r>
        <w:rPr>
          <w:spacing w:val="-1"/>
          <w:w w:val="95"/>
        </w:rPr>
        <w:t xml:space="preserve"> </w:t>
      </w:r>
      <w:r>
        <w:rPr>
          <w:w w:val="95"/>
        </w:rPr>
        <w:t>Airport</w:t>
      </w:r>
      <w:r>
        <w:rPr>
          <w:spacing w:val="-1"/>
          <w:w w:val="95"/>
        </w:rPr>
        <w:t xml:space="preserve"> </w:t>
      </w:r>
      <w:r>
        <w:rPr>
          <w:w w:val="95"/>
        </w:rPr>
        <w:t>as</w:t>
      </w:r>
      <w:r>
        <w:rPr>
          <w:spacing w:val="-1"/>
          <w:w w:val="95"/>
        </w:rPr>
        <w:t xml:space="preserve"> </w:t>
      </w:r>
      <w:r>
        <w:rPr>
          <w:w w:val="95"/>
        </w:rPr>
        <w:t>part</w:t>
      </w:r>
      <w:r>
        <w:rPr>
          <w:spacing w:val="-1"/>
          <w:w w:val="95"/>
        </w:rPr>
        <w:t xml:space="preserve"> </w:t>
      </w:r>
      <w:r>
        <w:rPr>
          <w:w w:val="95"/>
        </w:rPr>
        <w:t>of</w:t>
      </w:r>
      <w:r>
        <w:rPr>
          <w:spacing w:val="-1"/>
          <w:w w:val="95"/>
        </w:rPr>
        <w:t xml:space="preserve"> </w:t>
      </w:r>
      <w:r>
        <w:rPr>
          <w:w w:val="95"/>
        </w:rPr>
        <w:t>an</w:t>
      </w:r>
      <w:r>
        <w:rPr>
          <w:spacing w:val="-1"/>
          <w:w w:val="95"/>
        </w:rPr>
        <w:t xml:space="preserve"> </w:t>
      </w:r>
      <w:r>
        <w:rPr>
          <w:w w:val="95"/>
        </w:rPr>
        <w:t>integrated</w:t>
      </w:r>
      <w:r>
        <w:rPr>
          <w:spacing w:val="-1"/>
          <w:w w:val="95"/>
        </w:rPr>
        <w:t xml:space="preserve"> </w:t>
      </w:r>
      <w:r>
        <w:rPr>
          <w:w w:val="95"/>
        </w:rPr>
        <w:t>program</w:t>
      </w:r>
      <w:r>
        <w:rPr>
          <w:spacing w:val="-2"/>
          <w:w w:val="95"/>
        </w:rPr>
        <w:t xml:space="preserve"> </w:t>
      </w:r>
      <w:r>
        <w:rPr>
          <w:w w:val="95"/>
        </w:rPr>
        <w:t>of</w:t>
      </w:r>
      <w:r>
        <w:rPr>
          <w:spacing w:val="-1"/>
          <w:w w:val="95"/>
        </w:rPr>
        <w:t xml:space="preserve"> </w:t>
      </w:r>
      <w:r>
        <w:rPr>
          <w:w w:val="95"/>
        </w:rPr>
        <w:t>work.</w:t>
      </w:r>
    </w:p>
    <w:p w:rsidR="002C1123" w:rsidRDefault="00F22F94">
      <w:pPr>
        <w:pStyle w:val="BodyText"/>
        <w:spacing w:before="148" w:line="249" w:lineRule="auto"/>
        <w:ind w:left="502" w:right="744"/>
      </w:pPr>
      <w:r>
        <w:t>A</w:t>
      </w:r>
      <w:r>
        <w:rPr>
          <w:spacing w:val="-14"/>
        </w:rPr>
        <w:t xml:space="preserve"> </w:t>
      </w:r>
      <w:r>
        <w:t>potential</w:t>
      </w:r>
      <w:r>
        <w:rPr>
          <w:spacing w:val="-14"/>
        </w:rPr>
        <w:t xml:space="preserve"> </w:t>
      </w:r>
      <w:r>
        <w:t>way</w:t>
      </w:r>
      <w:r>
        <w:rPr>
          <w:spacing w:val="-14"/>
        </w:rPr>
        <w:t xml:space="preserve"> </w:t>
      </w:r>
      <w:r>
        <w:t>to</w:t>
      </w:r>
      <w:r>
        <w:rPr>
          <w:spacing w:val="-14"/>
        </w:rPr>
        <w:t xml:space="preserve"> </w:t>
      </w:r>
      <w:r>
        <w:t>progress</w:t>
      </w:r>
      <w:r>
        <w:rPr>
          <w:spacing w:val="-14"/>
        </w:rPr>
        <w:t xml:space="preserve"> </w:t>
      </w:r>
      <w:r>
        <w:t>these</w:t>
      </w:r>
      <w:r>
        <w:rPr>
          <w:spacing w:val="-14"/>
        </w:rPr>
        <w:t xml:space="preserve"> </w:t>
      </w:r>
      <w:r>
        <w:t>links</w:t>
      </w:r>
      <w:r>
        <w:rPr>
          <w:spacing w:val="-14"/>
        </w:rPr>
        <w:t xml:space="preserve"> </w:t>
      </w:r>
      <w:r>
        <w:t>as</w:t>
      </w:r>
      <w:r>
        <w:rPr>
          <w:spacing w:val="-14"/>
        </w:rPr>
        <w:t xml:space="preserve"> </w:t>
      </w:r>
      <w:r>
        <w:t>a</w:t>
      </w:r>
      <w:r>
        <w:rPr>
          <w:spacing w:val="-14"/>
        </w:rPr>
        <w:t xml:space="preserve"> </w:t>
      </w:r>
      <w:r>
        <w:t xml:space="preserve">single </w:t>
      </w:r>
      <w:r>
        <w:rPr>
          <w:w w:val="95"/>
        </w:rPr>
        <w:t>integrated</w:t>
      </w:r>
      <w:r>
        <w:rPr>
          <w:spacing w:val="-6"/>
          <w:w w:val="95"/>
        </w:rPr>
        <w:t xml:space="preserve"> </w:t>
      </w:r>
      <w:r>
        <w:rPr>
          <w:w w:val="95"/>
        </w:rPr>
        <w:t>scheme</w:t>
      </w:r>
      <w:r>
        <w:rPr>
          <w:spacing w:val="-6"/>
          <w:w w:val="95"/>
        </w:rPr>
        <w:t xml:space="preserve"> </w:t>
      </w:r>
      <w:r>
        <w:rPr>
          <w:w w:val="95"/>
        </w:rPr>
        <w:t>–</w:t>
      </w:r>
      <w:r>
        <w:rPr>
          <w:spacing w:val="-6"/>
          <w:w w:val="95"/>
        </w:rPr>
        <w:t xml:space="preserve"> </w:t>
      </w:r>
      <w:r>
        <w:rPr>
          <w:w w:val="95"/>
        </w:rPr>
        <w:t>known</w:t>
      </w:r>
      <w:r>
        <w:rPr>
          <w:spacing w:val="-6"/>
          <w:w w:val="95"/>
        </w:rPr>
        <w:t xml:space="preserve"> </w:t>
      </w:r>
      <w:r>
        <w:rPr>
          <w:w w:val="95"/>
        </w:rPr>
        <w:t>as</w:t>
      </w:r>
      <w:r>
        <w:rPr>
          <w:spacing w:val="-6"/>
          <w:w w:val="95"/>
        </w:rPr>
        <w:t xml:space="preserve"> </w:t>
      </w:r>
      <w:r>
        <w:rPr>
          <w:w w:val="95"/>
        </w:rPr>
        <w:t>WestConnex</w:t>
      </w:r>
      <w:r>
        <w:rPr>
          <w:spacing w:val="-6"/>
          <w:w w:val="95"/>
        </w:rPr>
        <w:t xml:space="preserve"> </w:t>
      </w:r>
      <w:r>
        <w:rPr>
          <w:w w:val="95"/>
        </w:rPr>
        <w:t>–</w:t>
      </w:r>
      <w:r>
        <w:rPr>
          <w:spacing w:val="-6"/>
          <w:w w:val="95"/>
        </w:rPr>
        <w:t xml:space="preserve"> </w:t>
      </w:r>
      <w:r>
        <w:rPr>
          <w:w w:val="95"/>
        </w:rPr>
        <w:t>is</w:t>
      </w:r>
      <w:r>
        <w:rPr>
          <w:spacing w:val="-6"/>
          <w:w w:val="95"/>
        </w:rPr>
        <w:t xml:space="preserve"> </w:t>
      </w:r>
      <w:r>
        <w:rPr>
          <w:w w:val="95"/>
        </w:rPr>
        <w:t>set</w:t>
      </w:r>
      <w:r>
        <w:rPr>
          <w:spacing w:val="-6"/>
          <w:w w:val="95"/>
        </w:rPr>
        <w:t xml:space="preserve"> </w:t>
      </w:r>
      <w:r>
        <w:rPr>
          <w:w w:val="95"/>
        </w:rPr>
        <w:t xml:space="preserve">out </w:t>
      </w:r>
      <w:r>
        <w:t>in Section 6.6.</w:t>
      </w:r>
    </w:p>
    <w:p w:rsidR="002C1123" w:rsidRDefault="00F22F94">
      <w:pPr>
        <w:pStyle w:val="BodyText"/>
        <w:spacing w:before="144" w:line="249" w:lineRule="auto"/>
        <w:ind w:left="502" w:right="693"/>
      </w:pPr>
      <w:r>
        <w:rPr>
          <w:w w:val="95"/>
        </w:rPr>
        <w:t>The</w:t>
      </w:r>
      <w:r>
        <w:rPr>
          <w:spacing w:val="-4"/>
          <w:w w:val="95"/>
        </w:rPr>
        <w:t xml:space="preserve"> </w:t>
      </w:r>
      <w:r>
        <w:rPr>
          <w:w w:val="95"/>
        </w:rPr>
        <w:t>immediate</w:t>
      </w:r>
      <w:r>
        <w:rPr>
          <w:spacing w:val="-4"/>
          <w:w w:val="95"/>
        </w:rPr>
        <w:t xml:space="preserve"> </w:t>
      </w:r>
      <w:r>
        <w:rPr>
          <w:w w:val="95"/>
        </w:rPr>
        <w:t>case</w:t>
      </w:r>
      <w:r>
        <w:rPr>
          <w:spacing w:val="-5"/>
          <w:w w:val="95"/>
        </w:rPr>
        <w:t xml:space="preserve"> </w:t>
      </w:r>
      <w:r>
        <w:rPr>
          <w:w w:val="95"/>
        </w:rPr>
        <w:t>for</w:t>
      </w:r>
      <w:r>
        <w:rPr>
          <w:spacing w:val="-4"/>
          <w:w w:val="95"/>
        </w:rPr>
        <w:t xml:space="preserve"> </w:t>
      </w:r>
      <w:r>
        <w:rPr>
          <w:w w:val="95"/>
        </w:rPr>
        <w:t>the</w:t>
      </w:r>
      <w:r>
        <w:rPr>
          <w:spacing w:val="-4"/>
          <w:w w:val="95"/>
        </w:rPr>
        <w:t xml:space="preserve"> </w:t>
      </w:r>
      <w:r>
        <w:rPr>
          <w:w w:val="95"/>
        </w:rPr>
        <w:t>other</w:t>
      </w:r>
      <w:r>
        <w:rPr>
          <w:spacing w:val="-5"/>
          <w:w w:val="95"/>
        </w:rPr>
        <w:t xml:space="preserve"> </w:t>
      </w:r>
      <w:r>
        <w:rPr>
          <w:w w:val="95"/>
        </w:rPr>
        <w:t>motorway</w:t>
      </w:r>
      <w:r>
        <w:rPr>
          <w:spacing w:val="-4"/>
          <w:w w:val="95"/>
        </w:rPr>
        <w:t xml:space="preserve"> </w:t>
      </w:r>
      <w:r>
        <w:rPr>
          <w:w w:val="95"/>
        </w:rPr>
        <w:t>options</w:t>
      </w:r>
      <w:r>
        <w:rPr>
          <w:spacing w:val="-4"/>
          <w:w w:val="95"/>
        </w:rPr>
        <w:t xml:space="preserve"> </w:t>
      </w:r>
      <w:r>
        <w:rPr>
          <w:w w:val="95"/>
        </w:rPr>
        <w:t xml:space="preserve">is </w:t>
      </w:r>
      <w:r>
        <w:t>less</w:t>
      </w:r>
      <w:r>
        <w:rPr>
          <w:spacing w:val="-11"/>
        </w:rPr>
        <w:t xml:space="preserve"> </w:t>
      </w:r>
      <w:r>
        <w:t>pressing.</w:t>
      </w:r>
    </w:p>
    <w:p w:rsidR="002C1123" w:rsidRDefault="00F22F94">
      <w:pPr>
        <w:pStyle w:val="BodyText"/>
        <w:spacing w:before="144" w:line="249" w:lineRule="auto"/>
        <w:ind w:left="502" w:right="962"/>
      </w:pPr>
      <w:r>
        <w:t>The</w:t>
      </w:r>
      <w:r>
        <w:rPr>
          <w:spacing w:val="-11"/>
        </w:rPr>
        <w:t xml:space="preserve"> </w:t>
      </w:r>
      <w:r>
        <w:t>F3-M2</w:t>
      </w:r>
      <w:r>
        <w:rPr>
          <w:spacing w:val="-11"/>
        </w:rPr>
        <w:t xml:space="preserve"> </w:t>
      </w:r>
      <w:r>
        <w:t>meets</w:t>
      </w:r>
      <w:r>
        <w:rPr>
          <w:spacing w:val="-11"/>
        </w:rPr>
        <w:t xml:space="preserve"> </w:t>
      </w:r>
      <w:r>
        <w:t>a</w:t>
      </w:r>
      <w:r>
        <w:rPr>
          <w:spacing w:val="-11"/>
        </w:rPr>
        <w:t xml:space="preserve"> </w:t>
      </w:r>
      <w:r>
        <w:t>strategic</w:t>
      </w:r>
      <w:r>
        <w:rPr>
          <w:spacing w:val="-11"/>
        </w:rPr>
        <w:t xml:space="preserve"> </w:t>
      </w:r>
      <w:r>
        <w:t>need</w:t>
      </w:r>
      <w:r>
        <w:rPr>
          <w:spacing w:val="-11"/>
        </w:rPr>
        <w:t xml:space="preserve"> </w:t>
      </w:r>
      <w:r>
        <w:t>in</w:t>
      </w:r>
      <w:r>
        <w:rPr>
          <w:spacing w:val="-11"/>
        </w:rPr>
        <w:t xml:space="preserve"> </w:t>
      </w:r>
      <w:r>
        <w:t>completing</w:t>
      </w:r>
      <w:r>
        <w:rPr>
          <w:spacing w:val="-11"/>
        </w:rPr>
        <w:t xml:space="preserve"> </w:t>
      </w:r>
      <w:r>
        <w:t xml:space="preserve">a </w:t>
      </w:r>
      <w:r>
        <w:rPr>
          <w:w w:val="95"/>
        </w:rPr>
        <w:t>motorway grade bypass of Sydney. This is important to</w:t>
      </w:r>
      <w:r>
        <w:rPr>
          <w:spacing w:val="-3"/>
          <w:w w:val="95"/>
        </w:rPr>
        <w:t xml:space="preserve"> </w:t>
      </w:r>
      <w:r>
        <w:rPr>
          <w:w w:val="95"/>
        </w:rPr>
        <w:t>freight</w:t>
      </w:r>
      <w:r>
        <w:rPr>
          <w:spacing w:val="-3"/>
          <w:w w:val="95"/>
        </w:rPr>
        <w:t xml:space="preserve"> </w:t>
      </w:r>
      <w:r>
        <w:rPr>
          <w:w w:val="95"/>
        </w:rPr>
        <w:t>traffic</w:t>
      </w:r>
      <w:r>
        <w:rPr>
          <w:spacing w:val="-3"/>
          <w:w w:val="95"/>
        </w:rPr>
        <w:t xml:space="preserve"> </w:t>
      </w:r>
      <w:r>
        <w:rPr>
          <w:w w:val="95"/>
        </w:rPr>
        <w:t>and</w:t>
      </w:r>
      <w:r>
        <w:rPr>
          <w:spacing w:val="-3"/>
          <w:w w:val="95"/>
        </w:rPr>
        <w:t xml:space="preserve"> </w:t>
      </w:r>
      <w:r>
        <w:rPr>
          <w:w w:val="95"/>
        </w:rPr>
        <w:t>for</w:t>
      </w:r>
      <w:r>
        <w:rPr>
          <w:spacing w:val="-3"/>
          <w:w w:val="95"/>
        </w:rPr>
        <w:t xml:space="preserve"> </w:t>
      </w:r>
      <w:r>
        <w:rPr>
          <w:w w:val="95"/>
        </w:rPr>
        <w:t>wider</w:t>
      </w:r>
      <w:r>
        <w:rPr>
          <w:spacing w:val="-3"/>
          <w:w w:val="95"/>
        </w:rPr>
        <w:t xml:space="preserve"> </w:t>
      </w:r>
      <w:r>
        <w:rPr>
          <w:w w:val="95"/>
        </w:rPr>
        <w:t>connectivity</w:t>
      </w:r>
      <w:r>
        <w:rPr>
          <w:spacing w:val="-3"/>
          <w:w w:val="95"/>
        </w:rPr>
        <w:t xml:space="preserve"> </w:t>
      </w:r>
      <w:r>
        <w:rPr>
          <w:w w:val="95"/>
        </w:rPr>
        <w:t>within</w:t>
      </w:r>
      <w:r>
        <w:rPr>
          <w:spacing w:val="-3"/>
          <w:w w:val="95"/>
        </w:rPr>
        <w:t xml:space="preserve"> </w:t>
      </w:r>
      <w:r>
        <w:rPr>
          <w:w w:val="95"/>
        </w:rPr>
        <w:t xml:space="preserve">NSW </w:t>
      </w:r>
      <w:r>
        <w:t>and</w:t>
      </w:r>
      <w:r>
        <w:rPr>
          <w:spacing w:val="-14"/>
        </w:rPr>
        <w:t xml:space="preserve"> </w:t>
      </w:r>
      <w:r>
        <w:t>along</w:t>
      </w:r>
      <w:r>
        <w:rPr>
          <w:spacing w:val="-14"/>
        </w:rPr>
        <w:t xml:space="preserve"> </w:t>
      </w:r>
      <w:r>
        <w:t>the</w:t>
      </w:r>
      <w:r>
        <w:rPr>
          <w:spacing w:val="-14"/>
        </w:rPr>
        <w:t xml:space="preserve"> </w:t>
      </w:r>
      <w:r>
        <w:t>eastern</w:t>
      </w:r>
      <w:r>
        <w:rPr>
          <w:spacing w:val="-14"/>
        </w:rPr>
        <w:t xml:space="preserve"> </w:t>
      </w:r>
      <w:r>
        <w:t>seaboard.</w:t>
      </w:r>
      <w:r>
        <w:rPr>
          <w:spacing w:val="-14"/>
        </w:rPr>
        <w:t xml:space="preserve"> </w:t>
      </w:r>
      <w:r>
        <w:t>However,</w:t>
      </w:r>
      <w:r>
        <w:rPr>
          <w:spacing w:val="-14"/>
        </w:rPr>
        <w:t xml:space="preserve"> </w:t>
      </w:r>
      <w:r>
        <w:t>the</w:t>
      </w:r>
      <w:r>
        <w:rPr>
          <w:spacing w:val="-14"/>
        </w:rPr>
        <w:t xml:space="preserve"> </w:t>
      </w:r>
      <w:r>
        <w:t>lack</w:t>
      </w:r>
    </w:p>
    <w:p w:rsidR="002C1123" w:rsidRDefault="00F22F94">
      <w:pPr>
        <w:pStyle w:val="BodyText"/>
        <w:spacing w:before="3" w:line="249" w:lineRule="auto"/>
        <w:ind w:left="502" w:right="744"/>
      </w:pPr>
      <w:r>
        <w:t>of</w:t>
      </w:r>
      <w:r>
        <w:rPr>
          <w:spacing w:val="-13"/>
        </w:rPr>
        <w:t xml:space="preserve"> </w:t>
      </w:r>
      <w:r>
        <w:t>preserved</w:t>
      </w:r>
      <w:r>
        <w:rPr>
          <w:spacing w:val="-13"/>
        </w:rPr>
        <w:t xml:space="preserve"> </w:t>
      </w:r>
      <w:r>
        <w:t>corridor</w:t>
      </w:r>
      <w:r>
        <w:rPr>
          <w:spacing w:val="-13"/>
        </w:rPr>
        <w:t xml:space="preserve"> </w:t>
      </w:r>
      <w:r>
        <w:t>for</w:t>
      </w:r>
      <w:r>
        <w:rPr>
          <w:spacing w:val="-13"/>
        </w:rPr>
        <w:t xml:space="preserve"> </w:t>
      </w:r>
      <w:r>
        <w:t>this</w:t>
      </w:r>
      <w:r>
        <w:rPr>
          <w:spacing w:val="-13"/>
        </w:rPr>
        <w:t xml:space="preserve"> </w:t>
      </w:r>
      <w:r>
        <w:t>route</w:t>
      </w:r>
      <w:r>
        <w:rPr>
          <w:spacing w:val="-13"/>
        </w:rPr>
        <w:t xml:space="preserve"> </w:t>
      </w:r>
      <w:r>
        <w:t>make</w:t>
      </w:r>
      <w:r>
        <w:rPr>
          <w:spacing w:val="-13"/>
        </w:rPr>
        <w:t xml:space="preserve"> </w:t>
      </w:r>
      <w:r>
        <w:t>it</w:t>
      </w:r>
      <w:r>
        <w:rPr>
          <w:spacing w:val="-13"/>
        </w:rPr>
        <w:t xml:space="preserve"> </w:t>
      </w:r>
      <w:r>
        <w:t xml:space="preserve">expensive </w:t>
      </w:r>
      <w:r>
        <w:rPr>
          <w:w w:val="95"/>
        </w:rPr>
        <w:t>relative</w:t>
      </w:r>
      <w:r>
        <w:rPr>
          <w:spacing w:val="-4"/>
          <w:w w:val="95"/>
        </w:rPr>
        <w:t xml:space="preserve"> </w:t>
      </w:r>
      <w:r>
        <w:rPr>
          <w:w w:val="95"/>
        </w:rPr>
        <w:t>to</w:t>
      </w:r>
      <w:r>
        <w:rPr>
          <w:spacing w:val="-4"/>
          <w:w w:val="95"/>
        </w:rPr>
        <w:t xml:space="preserve"> </w:t>
      </w:r>
      <w:r>
        <w:rPr>
          <w:w w:val="95"/>
        </w:rPr>
        <w:t>the</w:t>
      </w:r>
      <w:r>
        <w:rPr>
          <w:spacing w:val="-4"/>
          <w:w w:val="95"/>
        </w:rPr>
        <w:t xml:space="preserve"> </w:t>
      </w:r>
      <w:r>
        <w:rPr>
          <w:w w:val="95"/>
        </w:rPr>
        <w:t>benefits</w:t>
      </w:r>
      <w:r>
        <w:rPr>
          <w:spacing w:val="-4"/>
          <w:w w:val="95"/>
        </w:rPr>
        <w:t xml:space="preserve"> </w:t>
      </w:r>
      <w:r>
        <w:rPr>
          <w:w w:val="95"/>
        </w:rPr>
        <w:t>it</w:t>
      </w:r>
      <w:r>
        <w:rPr>
          <w:spacing w:val="-4"/>
          <w:w w:val="95"/>
        </w:rPr>
        <w:t xml:space="preserve"> </w:t>
      </w:r>
      <w:r>
        <w:rPr>
          <w:w w:val="95"/>
        </w:rPr>
        <w:t>provides</w:t>
      </w:r>
      <w:r>
        <w:rPr>
          <w:spacing w:val="-4"/>
          <w:w w:val="95"/>
        </w:rPr>
        <w:t xml:space="preserve"> </w:t>
      </w:r>
      <w:r>
        <w:rPr>
          <w:w w:val="95"/>
        </w:rPr>
        <w:t>due</w:t>
      </w:r>
      <w:r>
        <w:rPr>
          <w:spacing w:val="-4"/>
          <w:w w:val="95"/>
        </w:rPr>
        <w:t xml:space="preserve"> </w:t>
      </w:r>
      <w:r>
        <w:rPr>
          <w:w w:val="95"/>
        </w:rPr>
        <w:t>to</w:t>
      </w:r>
      <w:r>
        <w:rPr>
          <w:spacing w:val="-4"/>
          <w:w w:val="95"/>
        </w:rPr>
        <w:t xml:space="preserve"> </w:t>
      </w:r>
      <w:r>
        <w:rPr>
          <w:w w:val="95"/>
        </w:rPr>
        <w:t>the</w:t>
      </w:r>
      <w:r>
        <w:rPr>
          <w:spacing w:val="-4"/>
          <w:w w:val="95"/>
        </w:rPr>
        <w:t xml:space="preserve"> </w:t>
      </w:r>
      <w:r>
        <w:rPr>
          <w:w w:val="95"/>
        </w:rPr>
        <w:t>expectation that</w:t>
      </w:r>
      <w:r>
        <w:rPr>
          <w:spacing w:val="-6"/>
          <w:w w:val="95"/>
        </w:rPr>
        <w:t xml:space="preserve"> </w:t>
      </w:r>
      <w:r>
        <w:rPr>
          <w:w w:val="95"/>
        </w:rPr>
        <w:t>the</w:t>
      </w:r>
      <w:r>
        <w:rPr>
          <w:spacing w:val="-6"/>
          <w:w w:val="95"/>
        </w:rPr>
        <w:t xml:space="preserve"> </w:t>
      </w:r>
      <w:r>
        <w:rPr>
          <w:w w:val="95"/>
        </w:rPr>
        <w:t>route</w:t>
      </w:r>
      <w:r>
        <w:rPr>
          <w:spacing w:val="-6"/>
          <w:w w:val="95"/>
        </w:rPr>
        <w:t xml:space="preserve"> </w:t>
      </w:r>
      <w:r>
        <w:rPr>
          <w:w w:val="95"/>
        </w:rPr>
        <w:t>would</w:t>
      </w:r>
      <w:r>
        <w:rPr>
          <w:spacing w:val="-6"/>
          <w:w w:val="95"/>
        </w:rPr>
        <w:t xml:space="preserve"> </w:t>
      </w:r>
      <w:r>
        <w:rPr>
          <w:w w:val="95"/>
        </w:rPr>
        <w:t>be</w:t>
      </w:r>
      <w:r>
        <w:rPr>
          <w:spacing w:val="-6"/>
          <w:w w:val="95"/>
        </w:rPr>
        <w:t xml:space="preserve"> </w:t>
      </w:r>
      <w:r>
        <w:rPr>
          <w:w w:val="95"/>
        </w:rPr>
        <w:t>in</w:t>
      </w:r>
      <w:r>
        <w:rPr>
          <w:spacing w:val="-6"/>
          <w:w w:val="95"/>
        </w:rPr>
        <w:t xml:space="preserve"> </w:t>
      </w:r>
      <w:r>
        <w:rPr>
          <w:w w:val="95"/>
        </w:rPr>
        <w:t>an</w:t>
      </w:r>
      <w:r>
        <w:rPr>
          <w:spacing w:val="-5"/>
          <w:w w:val="95"/>
        </w:rPr>
        <w:t xml:space="preserve"> </w:t>
      </w:r>
      <w:r>
        <w:rPr>
          <w:w w:val="95"/>
        </w:rPr>
        <w:t>eight</w:t>
      </w:r>
      <w:r>
        <w:rPr>
          <w:spacing w:val="-6"/>
          <w:w w:val="95"/>
        </w:rPr>
        <w:t xml:space="preserve"> </w:t>
      </w:r>
      <w:r>
        <w:rPr>
          <w:w w:val="95"/>
        </w:rPr>
        <w:t>kilometre</w:t>
      </w:r>
      <w:r>
        <w:rPr>
          <w:spacing w:val="-6"/>
          <w:w w:val="95"/>
        </w:rPr>
        <w:t xml:space="preserve"> </w:t>
      </w:r>
      <w:r>
        <w:rPr>
          <w:w w:val="95"/>
        </w:rPr>
        <w:t>long</w:t>
      </w:r>
      <w:r>
        <w:rPr>
          <w:spacing w:val="-6"/>
          <w:w w:val="95"/>
        </w:rPr>
        <w:t xml:space="preserve"> </w:t>
      </w:r>
      <w:r>
        <w:rPr>
          <w:spacing w:val="-2"/>
          <w:w w:val="95"/>
        </w:rPr>
        <w:t>tunnel.</w:t>
      </w:r>
    </w:p>
    <w:p w:rsidR="002C1123" w:rsidRDefault="00F22F94">
      <w:pPr>
        <w:pStyle w:val="BodyText"/>
        <w:spacing w:before="144" w:line="249" w:lineRule="auto"/>
        <w:ind w:left="502" w:right="962"/>
      </w:pPr>
      <w:r>
        <w:t>The</w:t>
      </w:r>
      <w:r>
        <w:rPr>
          <w:spacing w:val="-14"/>
        </w:rPr>
        <w:t xml:space="preserve"> </w:t>
      </w:r>
      <w:r>
        <w:t>NSW</w:t>
      </w:r>
      <w:r>
        <w:rPr>
          <w:spacing w:val="-14"/>
        </w:rPr>
        <w:t xml:space="preserve"> </w:t>
      </w:r>
      <w:r>
        <w:t>Government</w:t>
      </w:r>
      <w:r>
        <w:rPr>
          <w:spacing w:val="-14"/>
        </w:rPr>
        <w:t xml:space="preserve"> </w:t>
      </w:r>
      <w:r>
        <w:t>has</w:t>
      </w:r>
      <w:r>
        <w:rPr>
          <w:spacing w:val="-14"/>
        </w:rPr>
        <w:t xml:space="preserve"> </w:t>
      </w:r>
      <w:r>
        <w:t>received</w:t>
      </w:r>
      <w:r>
        <w:rPr>
          <w:spacing w:val="-14"/>
        </w:rPr>
        <w:t xml:space="preserve"> </w:t>
      </w:r>
      <w:r>
        <w:t>an</w:t>
      </w:r>
      <w:r>
        <w:rPr>
          <w:spacing w:val="-14"/>
        </w:rPr>
        <w:t xml:space="preserve"> </w:t>
      </w:r>
      <w:r>
        <w:t>unsolicited proposal</w:t>
      </w:r>
      <w:r>
        <w:rPr>
          <w:spacing w:val="-4"/>
        </w:rPr>
        <w:t xml:space="preserve"> </w:t>
      </w:r>
      <w:r>
        <w:t>for</w:t>
      </w:r>
      <w:r>
        <w:rPr>
          <w:spacing w:val="-4"/>
        </w:rPr>
        <w:t xml:space="preserve"> </w:t>
      </w:r>
      <w:r>
        <w:t>the</w:t>
      </w:r>
      <w:r>
        <w:rPr>
          <w:spacing w:val="-4"/>
        </w:rPr>
        <w:t xml:space="preserve"> </w:t>
      </w:r>
      <w:r>
        <w:t>F3-M2</w:t>
      </w:r>
      <w:r>
        <w:rPr>
          <w:spacing w:val="-4"/>
        </w:rPr>
        <w:t xml:space="preserve"> </w:t>
      </w:r>
      <w:r>
        <w:t>which</w:t>
      </w:r>
      <w:r>
        <w:rPr>
          <w:spacing w:val="-4"/>
        </w:rPr>
        <w:t xml:space="preserve"> </w:t>
      </w:r>
      <w:r>
        <w:t>proposes</w:t>
      </w:r>
      <w:r>
        <w:rPr>
          <w:spacing w:val="-4"/>
        </w:rPr>
        <w:t xml:space="preserve"> </w:t>
      </w:r>
      <w:r>
        <w:t xml:space="preserve">developing </w:t>
      </w:r>
      <w:r>
        <w:rPr>
          <w:w w:val="95"/>
        </w:rPr>
        <w:t>this link without the need for any public support. This proposal</w:t>
      </w:r>
      <w:r>
        <w:rPr>
          <w:spacing w:val="-4"/>
          <w:w w:val="95"/>
        </w:rPr>
        <w:t xml:space="preserve"> </w:t>
      </w:r>
      <w:r>
        <w:rPr>
          <w:w w:val="95"/>
        </w:rPr>
        <w:t>is</w:t>
      </w:r>
      <w:r>
        <w:rPr>
          <w:spacing w:val="-4"/>
          <w:w w:val="95"/>
        </w:rPr>
        <w:t xml:space="preserve"> </w:t>
      </w:r>
      <w:r>
        <w:rPr>
          <w:w w:val="95"/>
        </w:rPr>
        <w:t>currently</w:t>
      </w:r>
      <w:r>
        <w:rPr>
          <w:spacing w:val="-4"/>
          <w:w w:val="95"/>
        </w:rPr>
        <w:t xml:space="preserve"> </w:t>
      </w:r>
      <w:r>
        <w:rPr>
          <w:w w:val="95"/>
        </w:rPr>
        <w:t>being</w:t>
      </w:r>
      <w:r>
        <w:rPr>
          <w:spacing w:val="-4"/>
          <w:w w:val="95"/>
        </w:rPr>
        <w:t xml:space="preserve"> </w:t>
      </w:r>
      <w:r>
        <w:rPr>
          <w:w w:val="95"/>
        </w:rPr>
        <w:t>assessed</w:t>
      </w:r>
      <w:r>
        <w:rPr>
          <w:spacing w:val="-4"/>
          <w:w w:val="95"/>
        </w:rPr>
        <w:t xml:space="preserve"> </w:t>
      </w:r>
      <w:r>
        <w:rPr>
          <w:w w:val="95"/>
        </w:rPr>
        <w:t>by</w:t>
      </w:r>
      <w:r>
        <w:rPr>
          <w:spacing w:val="-4"/>
          <w:w w:val="95"/>
        </w:rPr>
        <w:t xml:space="preserve"> </w:t>
      </w:r>
      <w:r>
        <w:rPr>
          <w:w w:val="95"/>
        </w:rPr>
        <w:t xml:space="preserve">Infrastructure </w:t>
      </w:r>
      <w:r>
        <w:t>NSW</w:t>
      </w:r>
      <w:r>
        <w:rPr>
          <w:spacing w:val="-3"/>
        </w:rPr>
        <w:t xml:space="preserve"> </w:t>
      </w:r>
      <w:r>
        <w:t>and</w:t>
      </w:r>
      <w:r>
        <w:rPr>
          <w:spacing w:val="-3"/>
        </w:rPr>
        <w:t xml:space="preserve"> </w:t>
      </w:r>
      <w:r>
        <w:t>other</w:t>
      </w:r>
      <w:r>
        <w:rPr>
          <w:spacing w:val="-3"/>
        </w:rPr>
        <w:t xml:space="preserve"> </w:t>
      </w:r>
      <w:r>
        <w:t>Government</w:t>
      </w:r>
      <w:r>
        <w:rPr>
          <w:spacing w:val="-3"/>
        </w:rPr>
        <w:t xml:space="preserve"> </w:t>
      </w:r>
      <w:r>
        <w:t>agencies.</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650" w:space="566"/>
            <w:col w:w="3121" w:space="706"/>
            <w:col w:w="6017"/>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7"/>
        </w:rPr>
      </w:pPr>
    </w:p>
    <w:p w:rsidR="002C1123" w:rsidRDefault="002C1123">
      <w:pPr>
        <w:rPr>
          <w:sz w:val="17"/>
        </w:rPr>
        <w:sectPr w:rsidR="002C1123">
          <w:pgSz w:w="16840" w:h="11910" w:orient="landscape"/>
          <w:pgMar w:top="560" w:right="280" w:bottom="700" w:left="500" w:header="0" w:footer="517" w:gutter="0"/>
          <w:cols w:space="720"/>
        </w:sectPr>
      </w:pPr>
    </w:p>
    <w:p w:rsidR="002C1123" w:rsidRDefault="002C1123">
      <w:pPr>
        <w:pStyle w:val="BodyText"/>
        <w:spacing w:before="1"/>
        <w:rPr>
          <w:sz w:val="15"/>
        </w:rPr>
      </w:pPr>
    </w:p>
    <w:bookmarkStart w:id="166" w:name="6.6_WestConnex"/>
    <w:bookmarkStart w:id="167" w:name="_bookmark120"/>
    <w:bookmarkEnd w:id="166"/>
    <w:bookmarkEnd w:id="167"/>
    <w:p w:rsidR="002C1123" w:rsidRDefault="002060EF">
      <w:pPr>
        <w:pStyle w:val="BodyText"/>
        <w:ind w:left="492" w:right="-58"/>
      </w:pPr>
      <w:r>
        <w:pict>
          <v:shape id="docshape1157" o:spid="_x0000_s5277" type="#_x0000_t202" style="width:240pt;height:70.9pt;mso-left-percent:-10001;mso-top-percent:-10001;mso-position-horizontal:absolute;mso-position-horizontal-relative:char;mso-position-vertical:absolute;mso-position-vertical-relative:line;mso-left-percent:-10001;mso-top-percent:-10001" fillcolor="#e1e0e1" stroked="f">
            <v:textbox inset="0,0,0,0">
              <w:txbxContent>
                <w:p w:rsidR="00F22F94" w:rsidRDefault="00F22F94">
                  <w:pPr>
                    <w:pStyle w:val="BodyText"/>
                    <w:spacing w:before="68" w:line="249" w:lineRule="auto"/>
                    <w:ind w:left="113" w:right="122"/>
                    <w:rPr>
                      <w:color w:val="000000"/>
                    </w:rPr>
                  </w:pPr>
                  <w:bookmarkStart w:id="168" w:name="_bookmark119"/>
                  <w:bookmarkEnd w:id="168"/>
                  <w:r>
                    <w:rPr>
                      <w:b/>
                      <w:color w:val="00AEEF"/>
                      <w:w w:val="95"/>
                    </w:rPr>
                    <w:t xml:space="preserve">Recommendation </w:t>
                  </w:r>
                  <w:r>
                    <w:rPr>
                      <w:color w:val="000000"/>
                      <w:w w:val="95"/>
                    </w:rPr>
                    <w:t xml:space="preserve">Infrastructure NSW recommends </w:t>
                  </w:r>
                  <w:r>
                    <w:rPr>
                      <w:color w:val="000000"/>
                    </w:rPr>
                    <w:t>that the F3-M2 link should be the next priority following completion of the M4 and M5 upgrades.</w:t>
                  </w:r>
                </w:p>
                <w:p w:rsidR="00F22F94" w:rsidRDefault="00F22F94">
                  <w:pPr>
                    <w:pStyle w:val="BodyText"/>
                    <w:spacing w:before="3" w:line="249" w:lineRule="auto"/>
                    <w:ind w:left="113" w:right="122"/>
                    <w:rPr>
                      <w:color w:val="000000"/>
                    </w:rPr>
                  </w:pPr>
                  <w:r>
                    <w:rPr>
                      <w:color w:val="000000"/>
                      <w:w w:val="95"/>
                    </w:rPr>
                    <w:t>This</w:t>
                  </w:r>
                  <w:r>
                    <w:rPr>
                      <w:color w:val="000000"/>
                      <w:spacing w:val="-3"/>
                      <w:w w:val="95"/>
                    </w:rPr>
                    <w:t xml:space="preserve"> </w:t>
                  </w:r>
                  <w:r>
                    <w:rPr>
                      <w:color w:val="000000"/>
                      <w:w w:val="95"/>
                    </w:rPr>
                    <w:t>scheme</w:t>
                  </w:r>
                  <w:r>
                    <w:rPr>
                      <w:color w:val="000000"/>
                      <w:spacing w:val="-3"/>
                      <w:w w:val="95"/>
                    </w:rPr>
                    <w:t xml:space="preserve"> </w:t>
                  </w:r>
                  <w:r>
                    <w:rPr>
                      <w:color w:val="000000"/>
                      <w:w w:val="95"/>
                    </w:rPr>
                    <w:t>could</w:t>
                  </w:r>
                  <w:r>
                    <w:rPr>
                      <w:color w:val="000000"/>
                      <w:spacing w:val="-3"/>
                      <w:w w:val="95"/>
                    </w:rPr>
                    <w:t xml:space="preserve"> </w:t>
                  </w:r>
                  <w:r>
                    <w:rPr>
                      <w:color w:val="000000"/>
                      <w:w w:val="95"/>
                    </w:rPr>
                    <w:t>be</w:t>
                  </w:r>
                  <w:r>
                    <w:rPr>
                      <w:color w:val="000000"/>
                      <w:spacing w:val="-3"/>
                      <w:w w:val="95"/>
                    </w:rPr>
                    <w:t xml:space="preserve"> </w:t>
                  </w:r>
                  <w:r>
                    <w:rPr>
                      <w:color w:val="000000"/>
                      <w:w w:val="95"/>
                    </w:rPr>
                    <w:t>accelerated</w:t>
                  </w:r>
                  <w:r>
                    <w:rPr>
                      <w:color w:val="000000"/>
                      <w:spacing w:val="-3"/>
                      <w:w w:val="95"/>
                    </w:rPr>
                    <w:t xml:space="preserve"> </w:t>
                  </w:r>
                  <w:r>
                    <w:rPr>
                      <w:color w:val="000000"/>
                      <w:w w:val="95"/>
                    </w:rPr>
                    <w:t>if</w:t>
                  </w:r>
                  <w:r>
                    <w:rPr>
                      <w:color w:val="000000"/>
                      <w:spacing w:val="-3"/>
                      <w:w w:val="95"/>
                    </w:rPr>
                    <w:t xml:space="preserve"> </w:t>
                  </w:r>
                  <w:r>
                    <w:rPr>
                      <w:color w:val="000000"/>
                      <w:w w:val="95"/>
                    </w:rPr>
                    <w:t>shown</w:t>
                  </w:r>
                  <w:r>
                    <w:rPr>
                      <w:color w:val="000000"/>
                      <w:spacing w:val="-3"/>
                      <w:w w:val="95"/>
                    </w:rPr>
                    <w:t xml:space="preserve"> </w:t>
                  </w:r>
                  <w:r>
                    <w:rPr>
                      <w:color w:val="000000"/>
                      <w:w w:val="95"/>
                    </w:rPr>
                    <w:t>to</w:t>
                  </w:r>
                  <w:r>
                    <w:rPr>
                      <w:color w:val="000000"/>
                      <w:spacing w:val="-3"/>
                      <w:w w:val="95"/>
                    </w:rPr>
                    <w:t xml:space="preserve"> </w:t>
                  </w:r>
                  <w:r>
                    <w:rPr>
                      <w:color w:val="000000"/>
                      <w:w w:val="95"/>
                    </w:rPr>
                    <w:t xml:space="preserve">be </w:t>
                  </w:r>
                  <w:r>
                    <w:rPr>
                      <w:color w:val="000000"/>
                    </w:rPr>
                    <w:t>viable without public subsidy.</w:t>
                  </w:r>
                </w:p>
              </w:txbxContent>
            </v:textbox>
            <w10:anchorlock/>
          </v:shape>
        </w:pict>
      </w:r>
    </w:p>
    <w:p w:rsidR="002C1123" w:rsidRDefault="00F22F94">
      <w:pPr>
        <w:pStyle w:val="BodyText"/>
        <w:spacing w:before="204" w:line="249" w:lineRule="auto"/>
        <w:ind w:left="492"/>
      </w:pPr>
      <w:r>
        <w:t>The</w:t>
      </w:r>
      <w:r>
        <w:rPr>
          <w:spacing w:val="-14"/>
        </w:rPr>
        <w:t xml:space="preserve"> </w:t>
      </w:r>
      <w:r>
        <w:t>lower</w:t>
      </w:r>
      <w:r>
        <w:rPr>
          <w:spacing w:val="-14"/>
        </w:rPr>
        <w:t xml:space="preserve"> </w:t>
      </w:r>
      <w:r>
        <w:t>forecast</w:t>
      </w:r>
      <w:r>
        <w:rPr>
          <w:spacing w:val="-14"/>
        </w:rPr>
        <w:t xml:space="preserve"> </w:t>
      </w:r>
      <w:r>
        <w:t>freight</w:t>
      </w:r>
      <w:r>
        <w:rPr>
          <w:spacing w:val="-14"/>
        </w:rPr>
        <w:t xml:space="preserve"> </w:t>
      </w:r>
      <w:r>
        <w:t>flows</w:t>
      </w:r>
      <w:r>
        <w:rPr>
          <w:spacing w:val="-14"/>
        </w:rPr>
        <w:t xml:space="preserve"> </w:t>
      </w:r>
      <w:r>
        <w:t>on</w:t>
      </w:r>
      <w:r>
        <w:rPr>
          <w:spacing w:val="-14"/>
        </w:rPr>
        <w:t xml:space="preserve"> </w:t>
      </w:r>
      <w:r>
        <w:t>the</w:t>
      </w:r>
      <w:r>
        <w:rPr>
          <w:spacing w:val="-14"/>
        </w:rPr>
        <w:t xml:space="preserve"> </w:t>
      </w:r>
      <w:r>
        <w:t>future</w:t>
      </w:r>
      <w:r>
        <w:rPr>
          <w:spacing w:val="-14"/>
        </w:rPr>
        <w:t xml:space="preserve"> </w:t>
      </w:r>
      <w:r>
        <w:t>F6</w:t>
      </w:r>
      <w:r>
        <w:rPr>
          <w:spacing w:val="-14"/>
        </w:rPr>
        <w:t xml:space="preserve"> </w:t>
      </w:r>
      <w:r>
        <w:t xml:space="preserve">make </w:t>
      </w:r>
      <w:r>
        <w:rPr>
          <w:w w:val="95"/>
        </w:rPr>
        <w:t>its</w:t>
      </w:r>
      <w:r>
        <w:rPr>
          <w:spacing w:val="-9"/>
          <w:w w:val="95"/>
        </w:rPr>
        <w:t xml:space="preserve"> </w:t>
      </w:r>
      <w:r>
        <w:rPr>
          <w:w w:val="95"/>
        </w:rPr>
        <w:t>extension</w:t>
      </w:r>
      <w:r>
        <w:rPr>
          <w:spacing w:val="-9"/>
          <w:w w:val="95"/>
        </w:rPr>
        <w:t xml:space="preserve"> </w:t>
      </w:r>
      <w:r>
        <w:rPr>
          <w:w w:val="95"/>
        </w:rPr>
        <w:t>less</w:t>
      </w:r>
      <w:r>
        <w:rPr>
          <w:spacing w:val="-9"/>
          <w:w w:val="95"/>
        </w:rPr>
        <w:t xml:space="preserve"> </w:t>
      </w:r>
      <w:r>
        <w:rPr>
          <w:w w:val="95"/>
        </w:rPr>
        <w:t>of</w:t>
      </w:r>
      <w:r>
        <w:rPr>
          <w:spacing w:val="-9"/>
          <w:w w:val="95"/>
        </w:rPr>
        <w:t xml:space="preserve"> </w:t>
      </w:r>
      <w:r>
        <w:rPr>
          <w:w w:val="95"/>
        </w:rPr>
        <w:t>a</w:t>
      </w:r>
      <w:r>
        <w:rPr>
          <w:spacing w:val="-9"/>
          <w:w w:val="95"/>
        </w:rPr>
        <w:t xml:space="preserve"> </w:t>
      </w:r>
      <w:r>
        <w:rPr>
          <w:w w:val="95"/>
        </w:rPr>
        <w:t>priority</w:t>
      </w:r>
      <w:r>
        <w:rPr>
          <w:spacing w:val="-9"/>
          <w:w w:val="95"/>
        </w:rPr>
        <w:t xml:space="preserve"> </w:t>
      </w:r>
      <w:r>
        <w:rPr>
          <w:w w:val="95"/>
        </w:rPr>
        <w:t>in</w:t>
      </w:r>
      <w:r>
        <w:rPr>
          <w:spacing w:val="-9"/>
          <w:w w:val="95"/>
        </w:rPr>
        <w:t xml:space="preserve"> </w:t>
      </w:r>
      <w:r>
        <w:rPr>
          <w:w w:val="95"/>
        </w:rPr>
        <w:t>the</w:t>
      </w:r>
      <w:r>
        <w:rPr>
          <w:spacing w:val="-9"/>
          <w:w w:val="95"/>
        </w:rPr>
        <w:t xml:space="preserve"> </w:t>
      </w:r>
      <w:r>
        <w:rPr>
          <w:w w:val="95"/>
        </w:rPr>
        <w:t>short</w:t>
      </w:r>
      <w:r>
        <w:rPr>
          <w:spacing w:val="-9"/>
          <w:w w:val="95"/>
        </w:rPr>
        <w:t xml:space="preserve"> </w:t>
      </w:r>
      <w:r>
        <w:rPr>
          <w:w w:val="95"/>
        </w:rPr>
        <w:t>term.</w:t>
      </w:r>
      <w:r>
        <w:rPr>
          <w:spacing w:val="-9"/>
          <w:w w:val="95"/>
        </w:rPr>
        <w:t xml:space="preserve"> </w:t>
      </w:r>
      <w:r>
        <w:rPr>
          <w:w w:val="95"/>
        </w:rPr>
        <w:t xml:space="preserve">However, </w:t>
      </w:r>
      <w:r>
        <w:t>over</w:t>
      </w:r>
      <w:r>
        <w:rPr>
          <w:spacing w:val="-14"/>
        </w:rPr>
        <w:t xml:space="preserve"> </w:t>
      </w:r>
      <w:r>
        <w:t>the</w:t>
      </w:r>
      <w:r>
        <w:rPr>
          <w:spacing w:val="-14"/>
        </w:rPr>
        <w:t xml:space="preserve"> </w:t>
      </w:r>
      <w:r>
        <w:t>longer</w:t>
      </w:r>
      <w:r>
        <w:rPr>
          <w:spacing w:val="-14"/>
        </w:rPr>
        <w:t xml:space="preserve"> </w:t>
      </w:r>
      <w:r>
        <w:t>term,</w:t>
      </w:r>
      <w:r>
        <w:rPr>
          <w:spacing w:val="-14"/>
        </w:rPr>
        <w:t xml:space="preserve"> </w:t>
      </w:r>
      <w:r>
        <w:t>it</w:t>
      </w:r>
      <w:r>
        <w:rPr>
          <w:spacing w:val="-14"/>
        </w:rPr>
        <w:t xml:space="preserve"> </w:t>
      </w:r>
      <w:r>
        <w:t>will</w:t>
      </w:r>
      <w:r>
        <w:rPr>
          <w:spacing w:val="-14"/>
        </w:rPr>
        <w:t xml:space="preserve"> </w:t>
      </w:r>
      <w:r>
        <w:t>have</w:t>
      </w:r>
      <w:r>
        <w:rPr>
          <w:spacing w:val="-14"/>
        </w:rPr>
        <w:t xml:space="preserve"> </w:t>
      </w:r>
      <w:r>
        <w:t>an</w:t>
      </w:r>
      <w:r>
        <w:rPr>
          <w:spacing w:val="-14"/>
        </w:rPr>
        <w:t xml:space="preserve"> </w:t>
      </w:r>
      <w:r>
        <w:t>important</w:t>
      </w:r>
      <w:r>
        <w:rPr>
          <w:spacing w:val="-14"/>
        </w:rPr>
        <w:t xml:space="preserve"> </w:t>
      </w:r>
      <w:r>
        <w:t>role</w:t>
      </w:r>
      <w:r>
        <w:rPr>
          <w:spacing w:val="-13"/>
        </w:rPr>
        <w:t xml:space="preserve"> </w:t>
      </w:r>
      <w:r>
        <w:t>in connecting</w:t>
      </w:r>
      <w:r>
        <w:rPr>
          <w:spacing w:val="-8"/>
        </w:rPr>
        <w:t xml:space="preserve"> </w:t>
      </w:r>
      <w:r>
        <w:t>Southern</w:t>
      </w:r>
      <w:r>
        <w:rPr>
          <w:spacing w:val="-8"/>
        </w:rPr>
        <w:t xml:space="preserve"> </w:t>
      </w:r>
      <w:r>
        <w:t>Sydney</w:t>
      </w:r>
      <w:r>
        <w:rPr>
          <w:spacing w:val="-8"/>
        </w:rPr>
        <w:t xml:space="preserve"> </w:t>
      </w:r>
      <w:r>
        <w:t>to</w:t>
      </w:r>
      <w:r>
        <w:rPr>
          <w:spacing w:val="-8"/>
        </w:rPr>
        <w:t xml:space="preserve"> </w:t>
      </w:r>
      <w:r>
        <w:t>Wollongong</w:t>
      </w:r>
      <w:r>
        <w:rPr>
          <w:spacing w:val="-8"/>
        </w:rPr>
        <w:t xml:space="preserve"> </w:t>
      </w:r>
      <w:r>
        <w:t>and</w:t>
      </w:r>
      <w:r>
        <w:rPr>
          <w:spacing w:val="-8"/>
        </w:rPr>
        <w:t xml:space="preserve"> </w:t>
      </w:r>
      <w:r>
        <w:t xml:space="preserve">Port </w:t>
      </w:r>
      <w:r>
        <w:rPr>
          <w:spacing w:val="-2"/>
        </w:rPr>
        <w:t>Kembla</w:t>
      </w:r>
      <w:r>
        <w:rPr>
          <w:spacing w:val="-8"/>
        </w:rPr>
        <w:t xml:space="preserve"> </w:t>
      </w:r>
      <w:r>
        <w:rPr>
          <w:spacing w:val="-2"/>
        </w:rPr>
        <w:t>(discussed</w:t>
      </w:r>
      <w:r>
        <w:rPr>
          <w:spacing w:val="-8"/>
        </w:rPr>
        <w:t xml:space="preserve"> </w:t>
      </w:r>
      <w:r>
        <w:rPr>
          <w:spacing w:val="-2"/>
        </w:rPr>
        <w:t>in</w:t>
      </w:r>
      <w:r>
        <w:rPr>
          <w:spacing w:val="-8"/>
        </w:rPr>
        <w:t xml:space="preserve"> </w:t>
      </w:r>
      <w:r>
        <w:rPr>
          <w:spacing w:val="-2"/>
        </w:rPr>
        <w:t>Section</w:t>
      </w:r>
      <w:r>
        <w:rPr>
          <w:spacing w:val="-8"/>
        </w:rPr>
        <w:t xml:space="preserve"> </w:t>
      </w:r>
      <w:r>
        <w:rPr>
          <w:spacing w:val="-2"/>
        </w:rPr>
        <w:t>9).</w:t>
      </w:r>
      <w:r>
        <w:rPr>
          <w:spacing w:val="-8"/>
        </w:rPr>
        <w:t xml:space="preserve"> </w:t>
      </w:r>
      <w:r>
        <w:rPr>
          <w:spacing w:val="-2"/>
        </w:rPr>
        <w:t>Existing</w:t>
      </w:r>
      <w:r>
        <w:rPr>
          <w:spacing w:val="-8"/>
        </w:rPr>
        <w:t xml:space="preserve"> </w:t>
      </w:r>
      <w:r>
        <w:rPr>
          <w:spacing w:val="-2"/>
        </w:rPr>
        <w:t>analysis</w:t>
      </w:r>
      <w:r>
        <w:rPr>
          <w:spacing w:val="-8"/>
        </w:rPr>
        <w:t xml:space="preserve"> </w:t>
      </w:r>
      <w:r>
        <w:rPr>
          <w:spacing w:val="-2"/>
        </w:rPr>
        <w:t xml:space="preserve">of </w:t>
      </w:r>
      <w:r>
        <w:t>this</w:t>
      </w:r>
      <w:r>
        <w:rPr>
          <w:spacing w:val="-14"/>
        </w:rPr>
        <w:t xml:space="preserve"> </w:t>
      </w:r>
      <w:r>
        <w:t>route</w:t>
      </w:r>
      <w:r>
        <w:rPr>
          <w:spacing w:val="-14"/>
        </w:rPr>
        <w:t xml:space="preserve"> </w:t>
      </w:r>
      <w:r>
        <w:t>is</w:t>
      </w:r>
      <w:r>
        <w:rPr>
          <w:spacing w:val="-14"/>
        </w:rPr>
        <w:t xml:space="preserve"> </w:t>
      </w:r>
      <w:r>
        <w:t>several</w:t>
      </w:r>
      <w:r>
        <w:rPr>
          <w:spacing w:val="-14"/>
        </w:rPr>
        <w:t xml:space="preserve"> </w:t>
      </w:r>
      <w:r>
        <w:t>years</w:t>
      </w:r>
      <w:r>
        <w:rPr>
          <w:spacing w:val="-14"/>
        </w:rPr>
        <w:t xml:space="preserve"> </w:t>
      </w:r>
      <w:r>
        <w:t>old</w:t>
      </w:r>
      <w:r>
        <w:rPr>
          <w:spacing w:val="-14"/>
        </w:rPr>
        <w:t xml:space="preserve"> </w:t>
      </w:r>
      <w:r>
        <w:t>and</w:t>
      </w:r>
      <w:r>
        <w:rPr>
          <w:spacing w:val="-14"/>
        </w:rPr>
        <w:t xml:space="preserve"> </w:t>
      </w:r>
      <w:r>
        <w:t>needs</w:t>
      </w:r>
      <w:r>
        <w:rPr>
          <w:spacing w:val="-14"/>
        </w:rPr>
        <w:t xml:space="preserve"> </w:t>
      </w:r>
      <w:r>
        <w:t>updating</w:t>
      </w:r>
      <w:r>
        <w:rPr>
          <w:spacing w:val="-14"/>
        </w:rPr>
        <w:t xml:space="preserve"> </w:t>
      </w:r>
      <w:r>
        <w:t>for</w:t>
      </w:r>
    </w:p>
    <w:p w:rsidR="002C1123" w:rsidRDefault="00F22F94">
      <w:pPr>
        <w:pStyle w:val="BodyText"/>
        <w:spacing w:before="5" w:line="249" w:lineRule="auto"/>
        <w:ind w:left="492"/>
      </w:pPr>
      <w:r>
        <w:rPr>
          <w:w w:val="95"/>
        </w:rPr>
        <w:t>contemporary</w:t>
      </w:r>
      <w:r>
        <w:rPr>
          <w:spacing w:val="-2"/>
          <w:w w:val="95"/>
        </w:rPr>
        <w:t xml:space="preserve"> </w:t>
      </w:r>
      <w:r>
        <w:rPr>
          <w:w w:val="95"/>
        </w:rPr>
        <w:t>land</w:t>
      </w:r>
      <w:r>
        <w:rPr>
          <w:spacing w:val="-2"/>
          <w:w w:val="95"/>
        </w:rPr>
        <w:t xml:space="preserve"> </w:t>
      </w:r>
      <w:r>
        <w:rPr>
          <w:w w:val="95"/>
        </w:rPr>
        <w:t>use</w:t>
      </w:r>
      <w:r>
        <w:rPr>
          <w:spacing w:val="-2"/>
          <w:w w:val="95"/>
        </w:rPr>
        <w:t xml:space="preserve"> </w:t>
      </w:r>
      <w:r>
        <w:rPr>
          <w:w w:val="95"/>
        </w:rPr>
        <w:t>and</w:t>
      </w:r>
      <w:r>
        <w:rPr>
          <w:spacing w:val="-2"/>
          <w:w w:val="95"/>
        </w:rPr>
        <w:t xml:space="preserve"> </w:t>
      </w:r>
      <w:r>
        <w:rPr>
          <w:w w:val="95"/>
        </w:rPr>
        <w:t>demand</w:t>
      </w:r>
      <w:r>
        <w:rPr>
          <w:spacing w:val="-2"/>
          <w:w w:val="95"/>
        </w:rPr>
        <w:t xml:space="preserve"> </w:t>
      </w:r>
      <w:r>
        <w:rPr>
          <w:w w:val="95"/>
        </w:rPr>
        <w:t>patterns.</w:t>
      </w:r>
      <w:r>
        <w:rPr>
          <w:spacing w:val="-2"/>
          <w:w w:val="95"/>
        </w:rPr>
        <w:t xml:space="preserve"> </w:t>
      </w:r>
      <w:r>
        <w:rPr>
          <w:w w:val="95"/>
        </w:rPr>
        <w:t xml:space="preserve">Positively, </w:t>
      </w:r>
      <w:r>
        <w:t>the</w:t>
      </w:r>
      <w:r>
        <w:rPr>
          <w:spacing w:val="-11"/>
        </w:rPr>
        <w:t xml:space="preserve"> </w:t>
      </w:r>
      <w:r>
        <w:t>existing</w:t>
      </w:r>
      <w:r>
        <w:rPr>
          <w:spacing w:val="-11"/>
        </w:rPr>
        <w:t xml:space="preserve"> </w:t>
      </w:r>
      <w:r>
        <w:t>corridor</w:t>
      </w:r>
      <w:r>
        <w:rPr>
          <w:spacing w:val="-11"/>
        </w:rPr>
        <w:t xml:space="preserve"> </w:t>
      </w:r>
      <w:r>
        <w:t>along</w:t>
      </w:r>
      <w:r>
        <w:rPr>
          <w:spacing w:val="-11"/>
        </w:rPr>
        <w:t xml:space="preserve"> </w:t>
      </w:r>
      <w:r>
        <w:t>much</w:t>
      </w:r>
      <w:r>
        <w:rPr>
          <w:spacing w:val="-11"/>
        </w:rPr>
        <w:t xml:space="preserve"> </w:t>
      </w:r>
      <w:r>
        <w:t>of</w:t>
      </w:r>
      <w:r>
        <w:rPr>
          <w:spacing w:val="-11"/>
        </w:rPr>
        <w:t xml:space="preserve"> </w:t>
      </w:r>
      <w:r>
        <w:t>this</w:t>
      </w:r>
      <w:r>
        <w:rPr>
          <w:spacing w:val="-11"/>
        </w:rPr>
        <w:t xml:space="preserve"> </w:t>
      </w:r>
      <w:r>
        <w:t>route</w:t>
      </w:r>
      <w:r>
        <w:rPr>
          <w:spacing w:val="-11"/>
        </w:rPr>
        <w:t xml:space="preserve"> </w:t>
      </w:r>
      <w:r>
        <w:t>provides the</w:t>
      </w:r>
      <w:r>
        <w:rPr>
          <w:spacing w:val="-7"/>
        </w:rPr>
        <w:t xml:space="preserve"> </w:t>
      </w:r>
      <w:r>
        <w:t>opportunity</w:t>
      </w:r>
      <w:r>
        <w:rPr>
          <w:spacing w:val="-7"/>
        </w:rPr>
        <w:t xml:space="preserve"> </w:t>
      </w:r>
      <w:r>
        <w:t>to</w:t>
      </w:r>
      <w:r>
        <w:rPr>
          <w:spacing w:val="-7"/>
        </w:rPr>
        <w:t xml:space="preserve"> </w:t>
      </w:r>
      <w:r>
        <w:t>develop</w:t>
      </w:r>
      <w:r>
        <w:rPr>
          <w:spacing w:val="-7"/>
        </w:rPr>
        <w:t xml:space="preserve"> </w:t>
      </w:r>
      <w:r>
        <w:t>a</w:t>
      </w:r>
      <w:r>
        <w:rPr>
          <w:spacing w:val="-7"/>
        </w:rPr>
        <w:t xml:space="preserve"> </w:t>
      </w:r>
      <w:r>
        <w:t>more</w:t>
      </w:r>
      <w:r>
        <w:rPr>
          <w:spacing w:val="-7"/>
        </w:rPr>
        <w:t xml:space="preserve"> </w:t>
      </w:r>
      <w:r>
        <w:t>affordable</w:t>
      </w:r>
      <w:r>
        <w:rPr>
          <w:spacing w:val="-7"/>
        </w:rPr>
        <w:t xml:space="preserve"> </w:t>
      </w:r>
      <w:r>
        <w:t>scheme.</w:t>
      </w:r>
    </w:p>
    <w:p w:rsidR="002C1123" w:rsidRDefault="00F22F94">
      <w:pPr>
        <w:pStyle w:val="BodyText"/>
        <w:spacing w:before="145" w:line="249" w:lineRule="auto"/>
        <w:ind w:left="492"/>
      </w:pPr>
      <w:r>
        <w:rPr>
          <w:w w:val="95"/>
        </w:rPr>
        <w:t>The</w:t>
      </w:r>
      <w:r>
        <w:rPr>
          <w:spacing w:val="-8"/>
          <w:w w:val="95"/>
        </w:rPr>
        <w:t xml:space="preserve"> </w:t>
      </w:r>
      <w:r>
        <w:rPr>
          <w:w w:val="95"/>
        </w:rPr>
        <w:t>completion</w:t>
      </w:r>
      <w:r>
        <w:rPr>
          <w:spacing w:val="-8"/>
          <w:w w:val="95"/>
        </w:rPr>
        <w:t xml:space="preserve"> </w:t>
      </w:r>
      <w:r>
        <w:rPr>
          <w:w w:val="95"/>
        </w:rPr>
        <w:t>of</w:t>
      </w:r>
      <w:r>
        <w:rPr>
          <w:spacing w:val="-8"/>
          <w:w w:val="95"/>
        </w:rPr>
        <w:t xml:space="preserve"> </w:t>
      </w:r>
      <w:r>
        <w:rPr>
          <w:w w:val="95"/>
        </w:rPr>
        <w:t>an</w:t>
      </w:r>
      <w:r>
        <w:rPr>
          <w:spacing w:val="-8"/>
          <w:w w:val="95"/>
        </w:rPr>
        <w:t xml:space="preserve"> </w:t>
      </w:r>
      <w:r>
        <w:rPr>
          <w:w w:val="95"/>
        </w:rPr>
        <w:t>Inner</w:t>
      </w:r>
      <w:r>
        <w:rPr>
          <w:spacing w:val="-8"/>
          <w:w w:val="95"/>
        </w:rPr>
        <w:t xml:space="preserve"> </w:t>
      </w:r>
      <w:r>
        <w:rPr>
          <w:w w:val="95"/>
        </w:rPr>
        <w:t>West</w:t>
      </w:r>
      <w:r>
        <w:rPr>
          <w:spacing w:val="-8"/>
          <w:w w:val="95"/>
        </w:rPr>
        <w:t xml:space="preserve"> </w:t>
      </w:r>
      <w:r>
        <w:rPr>
          <w:w w:val="95"/>
        </w:rPr>
        <w:t>Bypass</w:t>
      </w:r>
      <w:r>
        <w:rPr>
          <w:spacing w:val="-8"/>
          <w:w w:val="95"/>
        </w:rPr>
        <w:t xml:space="preserve"> </w:t>
      </w:r>
      <w:r>
        <w:rPr>
          <w:w w:val="95"/>
        </w:rPr>
        <w:t>to</w:t>
      </w:r>
      <w:r>
        <w:rPr>
          <w:spacing w:val="-8"/>
          <w:w w:val="95"/>
        </w:rPr>
        <w:t xml:space="preserve"> </w:t>
      </w:r>
      <w:r>
        <w:rPr>
          <w:w w:val="95"/>
        </w:rPr>
        <w:t>Victoria</w:t>
      </w:r>
      <w:r>
        <w:rPr>
          <w:spacing w:val="-8"/>
          <w:w w:val="95"/>
        </w:rPr>
        <w:t xml:space="preserve"> </w:t>
      </w:r>
      <w:r>
        <w:rPr>
          <w:w w:val="95"/>
        </w:rPr>
        <w:t>Road and</w:t>
      </w:r>
      <w:r>
        <w:rPr>
          <w:spacing w:val="-5"/>
          <w:w w:val="95"/>
        </w:rPr>
        <w:t xml:space="preserve"> </w:t>
      </w:r>
      <w:r>
        <w:rPr>
          <w:w w:val="95"/>
        </w:rPr>
        <w:t>potentially</w:t>
      </w:r>
      <w:r>
        <w:rPr>
          <w:spacing w:val="-5"/>
          <w:w w:val="95"/>
        </w:rPr>
        <w:t xml:space="preserve"> </w:t>
      </w:r>
      <w:r>
        <w:rPr>
          <w:w w:val="95"/>
        </w:rPr>
        <w:t>the</w:t>
      </w:r>
      <w:r>
        <w:rPr>
          <w:spacing w:val="-5"/>
          <w:w w:val="95"/>
        </w:rPr>
        <w:t xml:space="preserve"> </w:t>
      </w:r>
      <w:r>
        <w:rPr>
          <w:w w:val="95"/>
        </w:rPr>
        <w:t>M2</w:t>
      </w:r>
      <w:r>
        <w:rPr>
          <w:spacing w:val="-5"/>
          <w:w w:val="95"/>
        </w:rPr>
        <w:t xml:space="preserve"> </w:t>
      </w:r>
      <w:r>
        <w:rPr>
          <w:w w:val="95"/>
        </w:rPr>
        <w:t>(the</w:t>
      </w:r>
      <w:r>
        <w:rPr>
          <w:spacing w:val="-5"/>
          <w:w w:val="95"/>
        </w:rPr>
        <w:t xml:space="preserve"> </w:t>
      </w:r>
      <w:r>
        <w:rPr>
          <w:w w:val="95"/>
        </w:rPr>
        <w:t>enhanced</w:t>
      </w:r>
      <w:r>
        <w:rPr>
          <w:spacing w:val="-5"/>
          <w:w w:val="95"/>
        </w:rPr>
        <w:t xml:space="preserve"> </w:t>
      </w:r>
      <w:r>
        <w:rPr>
          <w:w w:val="95"/>
        </w:rPr>
        <w:t>North-South</w:t>
      </w:r>
      <w:r>
        <w:rPr>
          <w:spacing w:val="-5"/>
          <w:w w:val="95"/>
        </w:rPr>
        <w:t xml:space="preserve"> </w:t>
      </w:r>
      <w:r>
        <w:rPr>
          <w:w w:val="95"/>
        </w:rPr>
        <w:t>link)</w:t>
      </w:r>
      <w:r>
        <w:rPr>
          <w:spacing w:val="-5"/>
          <w:w w:val="95"/>
        </w:rPr>
        <w:t xml:space="preserve"> </w:t>
      </w:r>
      <w:r>
        <w:rPr>
          <w:w w:val="95"/>
        </w:rPr>
        <w:t xml:space="preserve">is </w:t>
      </w:r>
      <w:r>
        <w:t>an</w:t>
      </w:r>
      <w:r>
        <w:rPr>
          <w:spacing w:val="-14"/>
        </w:rPr>
        <w:t xml:space="preserve"> </w:t>
      </w:r>
      <w:r>
        <w:t>attractive</w:t>
      </w:r>
      <w:r>
        <w:rPr>
          <w:spacing w:val="-14"/>
        </w:rPr>
        <w:t xml:space="preserve"> </w:t>
      </w:r>
      <w:r>
        <w:t>concept.</w:t>
      </w:r>
      <w:r>
        <w:rPr>
          <w:spacing w:val="-14"/>
        </w:rPr>
        <w:t xml:space="preserve"> </w:t>
      </w:r>
      <w:r>
        <w:t>Over</w:t>
      </w:r>
      <w:r>
        <w:rPr>
          <w:spacing w:val="-14"/>
        </w:rPr>
        <w:t xml:space="preserve"> </w:t>
      </w:r>
      <w:r>
        <w:t>the</w:t>
      </w:r>
      <w:r>
        <w:rPr>
          <w:spacing w:val="-14"/>
        </w:rPr>
        <w:t xml:space="preserve"> </w:t>
      </w:r>
      <w:r>
        <w:t>long-term,</w:t>
      </w:r>
      <w:r>
        <w:rPr>
          <w:spacing w:val="-14"/>
        </w:rPr>
        <w:t xml:space="preserve"> </w:t>
      </w:r>
      <w:r>
        <w:t>there</w:t>
      </w:r>
      <w:r>
        <w:rPr>
          <w:spacing w:val="-14"/>
        </w:rPr>
        <w:t xml:space="preserve"> </w:t>
      </w:r>
      <w:r>
        <w:t>is</w:t>
      </w:r>
      <w:r>
        <w:rPr>
          <w:spacing w:val="-14"/>
        </w:rPr>
        <w:t xml:space="preserve"> </w:t>
      </w:r>
      <w:r>
        <w:t>likely to</w:t>
      </w:r>
      <w:r>
        <w:rPr>
          <w:spacing w:val="-14"/>
        </w:rPr>
        <w:t xml:space="preserve"> </w:t>
      </w:r>
      <w:r>
        <w:t>be</w:t>
      </w:r>
      <w:r>
        <w:rPr>
          <w:spacing w:val="-14"/>
        </w:rPr>
        <w:t xml:space="preserve"> </w:t>
      </w:r>
      <w:r>
        <w:t>a</w:t>
      </w:r>
      <w:r>
        <w:rPr>
          <w:spacing w:val="-14"/>
        </w:rPr>
        <w:t xml:space="preserve"> </w:t>
      </w:r>
      <w:r>
        <w:t>need</w:t>
      </w:r>
      <w:r>
        <w:rPr>
          <w:spacing w:val="-14"/>
        </w:rPr>
        <w:t xml:space="preserve"> </w:t>
      </w:r>
      <w:r>
        <w:t>to</w:t>
      </w:r>
      <w:r>
        <w:rPr>
          <w:spacing w:val="-14"/>
        </w:rPr>
        <w:t xml:space="preserve"> </w:t>
      </w:r>
      <w:r>
        <w:t>relieve</w:t>
      </w:r>
      <w:r>
        <w:rPr>
          <w:spacing w:val="-14"/>
        </w:rPr>
        <w:t xml:space="preserve"> </w:t>
      </w:r>
      <w:r>
        <w:t>pressure</w:t>
      </w:r>
      <w:r>
        <w:rPr>
          <w:spacing w:val="-14"/>
        </w:rPr>
        <w:t xml:space="preserve"> </w:t>
      </w:r>
      <w:r>
        <w:t>on</w:t>
      </w:r>
      <w:r>
        <w:rPr>
          <w:spacing w:val="-14"/>
        </w:rPr>
        <w:t xml:space="preserve"> </w:t>
      </w:r>
      <w:r>
        <w:t>Sydney’s</w:t>
      </w:r>
      <w:r>
        <w:rPr>
          <w:spacing w:val="-14"/>
        </w:rPr>
        <w:t xml:space="preserve"> </w:t>
      </w:r>
      <w:r>
        <w:t>existing harbour</w:t>
      </w:r>
      <w:r>
        <w:rPr>
          <w:spacing w:val="-7"/>
        </w:rPr>
        <w:t xml:space="preserve"> </w:t>
      </w:r>
      <w:r>
        <w:t>crossings</w:t>
      </w:r>
      <w:r>
        <w:rPr>
          <w:spacing w:val="-7"/>
        </w:rPr>
        <w:t xml:space="preserve"> </w:t>
      </w:r>
      <w:r>
        <w:t>by</w:t>
      </w:r>
      <w:r>
        <w:rPr>
          <w:spacing w:val="-7"/>
        </w:rPr>
        <w:t xml:space="preserve"> </w:t>
      </w:r>
      <w:r>
        <w:t>providing</w:t>
      </w:r>
      <w:r>
        <w:rPr>
          <w:spacing w:val="-7"/>
        </w:rPr>
        <w:t xml:space="preserve"> </w:t>
      </w:r>
      <w:r>
        <w:t>a</w:t>
      </w:r>
      <w:r>
        <w:rPr>
          <w:spacing w:val="-7"/>
        </w:rPr>
        <w:t xml:space="preserve"> </w:t>
      </w:r>
      <w:r>
        <w:t>comprehensive Western</w:t>
      </w:r>
      <w:r>
        <w:rPr>
          <w:spacing w:val="-14"/>
        </w:rPr>
        <w:t xml:space="preserve"> </w:t>
      </w:r>
      <w:r>
        <w:t>bypass</w:t>
      </w:r>
      <w:r>
        <w:rPr>
          <w:spacing w:val="-14"/>
        </w:rPr>
        <w:t xml:space="preserve"> </w:t>
      </w:r>
      <w:r>
        <w:t>of</w:t>
      </w:r>
      <w:r>
        <w:rPr>
          <w:spacing w:val="-14"/>
        </w:rPr>
        <w:t xml:space="preserve"> </w:t>
      </w:r>
      <w:r>
        <w:t>the</w:t>
      </w:r>
      <w:r>
        <w:rPr>
          <w:spacing w:val="-14"/>
        </w:rPr>
        <w:t xml:space="preserve"> </w:t>
      </w:r>
      <w:r>
        <w:t>CBD.</w:t>
      </w:r>
      <w:r>
        <w:rPr>
          <w:spacing w:val="-14"/>
        </w:rPr>
        <w:t xml:space="preserve"> </w:t>
      </w:r>
      <w:r>
        <w:t>However</w:t>
      </w:r>
      <w:r>
        <w:rPr>
          <w:spacing w:val="-14"/>
        </w:rPr>
        <w:t xml:space="preserve"> </w:t>
      </w:r>
      <w:r>
        <w:t>in</w:t>
      </w:r>
      <w:r>
        <w:rPr>
          <w:spacing w:val="-14"/>
        </w:rPr>
        <w:t xml:space="preserve"> </w:t>
      </w:r>
      <w:r>
        <w:t>the</w:t>
      </w:r>
      <w:r>
        <w:rPr>
          <w:spacing w:val="-13"/>
        </w:rPr>
        <w:t xml:space="preserve"> </w:t>
      </w:r>
      <w:r>
        <w:t>absence</w:t>
      </w:r>
    </w:p>
    <w:p w:rsidR="002C1123" w:rsidRDefault="00F22F94">
      <w:pPr>
        <w:pStyle w:val="BodyText"/>
        <w:spacing w:before="5" w:line="249" w:lineRule="auto"/>
        <w:ind w:left="492"/>
      </w:pPr>
      <w:r>
        <w:rPr>
          <w:w w:val="95"/>
        </w:rPr>
        <w:t>of a specific business case, it is difficult for Infrastructure NSW</w:t>
      </w:r>
      <w:r>
        <w:rPr>
          <w:spacing w:val="-6"/>
          <w:w w:val="95"/>
        </w:rPr>
        <w:t xml:space="preserve"> </w:t>
      </w:r>
      <w:r>
        <w:rPr>
          <w:w w:val="95"/>
        </w:rPr>
        <w:t>to</w:t>
      </w:r>
      <w:r>
        <w:rPr>
          <w:spacing w:val="-6"/>
          <w:w w:val="95"/>
        </w:rPr>
        <w:t xml:space="preserve"> </w:t>
      </w:r>
      <w:r>
        <w:rPr>
          <w:w w:val="95"/>
        </w:rPr>
        <w:t>identify</w:t>
      </w:r>
      <w:r>
        <w:rPr>
          <w:spacing w:val="-6"/>
          <w:w w:val="95"/>
        </w:rPr>
        <w:t xml:space="preserve"> </w:t>
      </w:r>
      <w:r>
        <w:rPr>
          <w:w w:val="95"/>
        </w:rPr>
        <w:t>the</w:t>
      </w:r>
      <w:r>
        <w:rPr>
          <w:spacing w:val="-6"/>
          <w:w w:val="95"/>
        </w:rPr>
        <w:t xml:space="preserve"> </w:t>
      </w:r>
      <w:r>
        <w:rPr>
          <w:w w:val="95"/>
        </w:rPr>
        <w:t>prioritisation</w:t>
      </w:r>
      <w:r>
        <w:rPr>
          <w:spacing w:val="-6"/>
          <w:w w:val="95"/>
        </w:rPr>
        <w:t xml:space="preserve"> </w:t>
      </w:r>
      <w:r>
        <w:rPr>
          <w:w w:val="95"/>
        </w:rPr>
        <w:t>of</w:t>
      </w:r>
      <w:r>
        <w:rPr>
          <w:spacing w:val="-6"/>
          <w:w w:val="95"/>
        </w:rPr>
        <w:t xml:space="preserve"> </w:t>
      </w:r>
      <w:r>
        <w:rPr>
          <w:w w:val="95"/>
        </w:rPr>
        <w:t>the</w:t>
      </w:r>
      <w:r>
        <w:rPr>
          <w:spacing w:val="-6"/>
          <w:w w:val="95"/>
        </w:rPr>
        <w:t xml:space="preserve"> </w:t>
      </w:r>
      <w:r>
        <w:rPr>
          <w:w w:val="95"/>
        </w:rPr>
        <w:t>project.</w:t>
      </w:r>
      <w:r>
        <w:rPr>
          <w:spacing w:val="-6"/>
          <w:w w:val="95"/>
        </w:rPr>
        <w:t xml:space="preserve"> </w:t>
      </w:r>
      <w:r>
        <w:rPr>
          <w:w w:val="95"/>
        </w:rPr>
        <w:t>It</w:t>
      </w:r>
      <w:r>
        <w:rPr>
          <w:spacing w:val="-6"/>
          <w:w w:val="95"/>
        </w:rPr>
        <w:t xml:space="preserve"> </w:t>
      </w:r>
      <w:r>
        <w:rPr>
          <w:w w:val="95"/>
        </w:rPr>
        <w:t xml:space="preserve">appears </w:t>
      </w:r>
      <w:r>
        <w:t>likely</w:t>
      </w:r>
      <w:r>
        <w:rPr>
          <w:spacing w:val="-9"/>
        </w:rPr>
        <w:t xml:space="preserve"> </w:t>
      </w:r>
      <w:r>
        <w:t>to</w:t>
      </w:r>
      <w:r>
        <w:rPr>
          <w:spacing w:val="-9"/>
        </w:rPr>
        <w:t xml:space="preserve"> </w:t>
      </w:r>
      <w:r>
        <w:t>be</w:t>
      </w:r>
      <w:r>
        <w:rPr>
          <w:spacing w:val="-9"/>
        </w:rPr>
        <w:t xml:space="preserve"> </w:t>
      </w:r>
      <w:r>
        <w:t>completed</w:t>
      </w:r>
      <w:r>
        <w:rPr>
          <w:spacing w:val="-9"/>
        </w:rPr>
        <w:t xml:space="preserve"> </w:t>
      </w:r>
      <w:r>
        <w:t>beyond</w:t>
      </w:r>
      <w:r>
        <w:rPr>
          <w:spacing w:val="-9"/>
        </w:rPr>
        <w:t xml:space="preserve"> </w:t>
      </w:r>
      <w:r>
        <w:t>the</w:t>
      </w:r>
      <w:r>
        <w:rPr>
          <w:spacing w:val="-9"/>
        </w:rPr>
        <w:t xml:space="preserve"> </w:t>
      </w:r>
      <w:r>
        <w:t>timeframe</w:t>
      </w:r>
      <w:r>
        <w:rPr>
          <w:spacing w:val="-9"/>
        </w:rPr>
        <w:t xml:space="preserve"> </w:t>
      </w:r>
      <w:r>
        <w:t>of</w:t>
      </w:r>
    </w:p>
    <w:p w:rsidR="002C1123" w:rsidRDefault="00F22F94">
      <w:pPr>
        <w:pStyle w:val="BodyText"/>
        <w:spacing w:before="2"/>
        <w:ind w:left="492"/>
      </w:pPr>
      <w:r>
        <w:rPr>
          <w:w w:val="95"/>
        </w:rPr>
        <w:t>this</w:t>
      </w:r>
      <w:r>
        <w:rPr>
          <w:spacing w:val="-10"/>
          <w:w w:val="95"/>
        </w:rPr>
        <w:t xml:space="preserve"> </w:t>
      </w:r>
      <w:r>
        <w:rPr>
          <w:spacing w:val="-2"/>
          <w:w w:val="95"/>
        </w:rPr>
        <w:t>strategy.</w:t>
      </w:r>
    </w:p>
    <w:p w:rsidR="002C1123" w:rsidRDefault="00F22F94">
      <w:pPr>
        <w:rPr>
          <w:sz w:val="24"/>
        </w:rPr>
      </w:pPr>
      <w:r>
        <w:br w:type="column"/>
      </w: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F22F94">
      <w:pPr>
        <w:pStyle w:val="BodyText"/>
        <w:spacing w:before="163" w:line="249" w:lineRule="auto"/>
        <w:ind w:left="187"/>
      </w:pPr>
      <w:r>
        <w:t>Infrastructure</w:t>
      </w:r>
      <w:r>
        <w:rPr>
          <w:spacing w:val="-6"/>
        </w:rPr>
        <w:t xml:space="preserve"> </w:t>
      </w:r>
      <w:r>
        <w:t>NSW</w:t>
      </w:r>
      <w:r>
        <w:rPr>
          <w:spacing w:val="-6"/>
        </w:rPr>
        <w:t xml:space="preserve"> </w:t>
      </w:r>
      <w:r>
        <w:t>has</w:t>
      </w:r>
      <w:r>
        <w:rPr>
          <w:spacing w:val="-6"/>
        </w:rPr>
        <w:t xml:space="preserve"> </w:t>
      </w:r>
      <w:r>
        <w:t>concluded</w:t>
      </w:r>
      <w:r>
        <w:rPr>
          <w:spacing w:val="-6"/>
        </w:rPr>
        <w:t xml:space="preserve"> </w:t>
      </w:r>
      <w:r>
        <w:t>that</w:t>
      </w:r>
      <w:r>
        <w:rPr>
          <w:spacing w:val="-6"/>
        </w:rPr>
        <w:t xml:space="preserve"> </w:t>
      </w:r>
      <w:r>
        <w:t xml:space="preserve">Northern </w:t>
      </w:r>
      <w:r>
        <w:rPr>
          <w:w w:val="95"/>
        </w:rPr>
        <w:t>Beaches</w:t>
      </w:r>
      <w:r>
        <w:rPr>
          <w:spacing w:val="-6"/>
          <w:w w:val="95"/>
        </w:rPr>
        <w:t xml:space="preserve"> </w:t>
      </w:r>
      <w:r>
        <w:rPr>
          <w:w w:val="95"/>
        </w:rPr>
        <w:t>Link</w:t>
      </w:r>
      <w:r>
        <w:rPr>
          <w:spacing w:val="-6"/>
          <w:w w:val="95"/>
        </w:rPr>
        <w:t xml:space="preserve"> </w:t>
      </w:r>
      <w:r>
        <w:rPr>
          <w:w w:val="95"/>
        </w:rPr>
        <w:t>is</w:t>
      </w:r>
      <w:r>
        <w:rPr>
          <w:spacing w:val="-6"/>
          <w:w w:val="95"/>
        </w:rPr>
        <w:t xml:space="preserve"> </w:t>
      </w:r>
      <w:r>
        <w:rPr>
          <w:w w:val="95"/>
        </w:rPr>
        <w:t>a</w:t>
      </w:r>
      <w:r>
        <w:rPr>
          <w:spacing w:val="-6"/>
          <w:w w:val="95"/>
        </w:rPr>
        <w:t xml:space="preserve"> </w:t>
      </w:r>
      <w:r>
        <w:rPr>
          <w:w w:val="95"/>
        </w:rPr>
        <w:t>lower</w:t>
      </w:r>
      <w:r>
        <w:rPr>
          <w:spacing w:val="-6"/>
          <w:w w:val="95"/>
        </w:rPr>
        <w:t xml:space="preserve"> </w:t>
      </w:r>
      <w:r>
        <w:rPr>
          <w:w w:val="95"/>
        </w:rPr>
        <w:t>priority</w:t>
      </w:r>
      <w:r>
        <w:rPr>
          <w:spacing w:val="-6"/>
          <w:w w:val="95"/>
        </w:rPr>
        <w:t xml:space="preserve"> </w:t>
      </w:r>
      <w:r>
        <w:rPr>
          <w:w w:val="95"/>
        </w:rPr>
        <w:t>for</w:t>
      </w:r>
      <w:r>
        <w:rPr>
          <w:spacing w:val="-6"/>
          <w:w w:val="95"/>
        </w:rPr>
        <w:t xml:space="preserve"> </w:t>
      </w:r>
      <w:r>
        <w:rPr>
          <w:w w:val="95"/>
        </w:rPr>
        <w:t>Government</w:t>
      </w:r>
      <w:r>
        <w:rPr>
          <w:spacing w:val="-6"/>
          <w:w w:val="95"/>
        </w:rPr>
        <w:t xml:space="preserve"> </w:t>
      </w:r>
      <w:r>
        <w:rPr>
          <w:w w:val="95"/>
        </w:rPr>
        <w:t xml:space="preserve">funding </w:t>
      </w:r>
      <w:r>
        <w:t>support</w:t>
      </w:r>
      <w:r>
        <w:rPr>
          <w:spacing w:val="-11"/>
        </w:rPr>
        <w:t xml:space="preserve"> </w:t>
      </w:r>
      <w:r>
        <w:t>because</w:t>
      </w:r>
      <w:r>
        <w:rPr>
          <w:spacing w:val="-11"/>
        </w:rPr>
        <w:t xml:space="preserve"> </w:t>
      </w:r>
      <w:r>
        <w:t>of</w:t>
      </w:r>
      <w:r>
        <w:rPr>
          <w:spacing w:val="-11"/>
        </w:rPr>
        <w:t xml:space="preserve"> </w:t>
      </w:r>
      <w:r>
        <w:t>the</w:t>
      </w:r>
      <w:r>
        <w:rPr>
          <w:spacing w:val="-11"/>
        </w:rPr>
        <w:t xml:space="preserve"> </w:t>
      </w:r>
      <w:r>
        <w:t>lower</w:t>
      </w:r>
      <w:r>
        <w:rPr>
          <w:spacing w:val="-11"/>
        </w:rPr>
        <w:t xml:space="preserve"> </w:t>
      </w:r>
      <w:r>
        <w:t>traffic</w:t>
      </w:r>
      <w:r>
        <w:rPr>
          <w:spacing w:val="-11"/>
        </w:rPr>
        <w:t xml:space="preserve"> </w:t>
      </w:r>
      <w:r>
        <w:t>volumes,</w:t>
      </w:r>
      <w:r>
        <w:rPr>
          <w:spacing w:val="-11"/>
        </w:rPr>
        <w:t xml:space="preserve"> </w:t>
      </w:r>
      <w:r>
        <w:t>the</w:t>
      </w:r>
      <w:r>
        <w:rPr>
          <w:spacing w:val="-11"/>
        </w:rPr>
        <w:t xml:space="preserve"> </w:t>
      </w:r>
      <w:r>
        <w:t>lack of</w:t>
      </w:r>
      <w:r>
        <w:rPr>
          <w:spacing w:val="-6"/>
        </w:rPr>
        <w:t xml:space="preserve"> </w:t>
      </w:r>
      <w:r>
        <w:t>through</w:t>
      </w:r>
      <w:r>
        <w:rPr>
          <w:spacing w:val="-6"/>
        </w:rPr>
        <w:t xml:space="preserve"> </w:t>
      </w:r>
      <w:r>
        <w:t>traffic,</w:t>
      </w:r>
      <w:r>
        <w:rPr>
          <w:spacing w:val="-6"/>
        </w:rPr>
        <w:t xml:space="preserve"> </w:t>
      </w:r>
      <w:r>
        <w:t>limited</w:t>
      </w:r>
      <w:r>
        <w:rPr>
          <w:spacing w:val="-6"/>
        </w:rPr>
        <w:t xml:space="preserve"> </w:t>
      </w:r>
      <w:r>
        <w:t>population</w:t>
      </w:r>
      <w:r>
        <w:rPr>
          <w:spacing w:val="-6"/>
        </w:rPr>
        <w:t xml:space="preserve"> </w:t>
      </w:r>
      <w:r>
        <w:t>growth</w:t>
      </w:r>
      <w:r>
        <w:rPr>
          <w:spacing w:val="-6"/>
        </w:rPr>
        <w:t xml:space="preserve"> </w:t>
      </w:r>
      <w:r>
        <w:t>on</w:t>
      </w:r>
      <w:r>
        <w:rPr>
          <w:spacing w:val="-6"/>
        </w:rPr>
        <w:t xml:space="preserve"> </w:t>
      </w:r>
      <w:r>
        <w:t>the Peninsula</w:t>
      </w:r>
      <w:r>
        <w:rPr>
          <w:spacing w:val="-14"/>
        </w:rPr>
        <w:t xml:space="preserve"> </w:t>
      </w:r>
      <w:r>
        <w:t>and</w:t>
      </w:r>
      <w:r>
        <w:rPr>
          <w:spacing w:val="-14"/>
        </w:rPr>
        <w:t xml:space="preserve"> </w:t>
      </w:r>
      <w:r>
        <w:t>the</w:t>
      </w:r>
      <w:r>
        <w:rPr>
          <w:spacing w:val="-14"/>
        </w:rPr>
        <w:t xml:space="preserve"> </w:t>
      </w:r>
      <w:r>
        <w:t>limited</w:t>
      </w:r>
      <w:r>
        <w:rPr>
          <w:spacing w:val="-14"/>
        </w:rPr>
        <w:t xml:space="preserve"> </w:t>
      </w:r>
      <w:r>
        <w:t>role</w:t>
      </w:r>
      <w:r>
        <w:rPr>
          <w:spacing w:val="-14"/>
        </w:rPr>
        <w:t xml:space="preserve"> </w:t>
      </w:r>
      <w:r>
        <w:t>of</w:t>
      </w:r>
      <w:r>
        <w:rPr>
          <w:spacing w:val="-14"/>
        </w:rPr>
        <w:t xml:space="preserve"> </w:t>
      </w:r>
      <w:r>
        <w:t>Military</w:t>
      </w:r>
      <w:r>
        <w:rPr>
          <w:spacing w:val="-14"/>
        </w:rPr>
        <w:t xml:space="preserve"> </w:t>
      </w:r>
      <w:r>
        <w:t>Road</w:t>
      </w:r>
      <w:r>
        <w:rPr>
          <w:spacing w:val="-14"/>
        </w:rPr>
        <w:t xml:space="preserve"> </w:t>
      </w:r>
      <w:r>
        <w:t>in</w:t>
      </w:r>
      <w:r>
        <w:rPr>
          <w:spacing w:val="-14"/>
        </w:rPr>
        <w:t xml:space="preserve"> </w:t>
      </w:r>
      <w:r>
        <w:t>the freight distribution network.</w:t>
      </w:r>
    </w:p>
    <w:p w:rsidR="002C1123" w:rsidRDefault="00F22F94">
      <w:pPr>
        <w:pStyle w:val="BodyText"/>
        <w:spacing w:before="146" w:line="249" w:lineRule="auto"/>
        <w:ind w:left="187"/>
      </w:pPr>
      <w:r>
        <w:t>As</w:t>
      </w:r>
      <w:r>
        <w:rPr>
          <w:spacing w:val="-9"/>
        </w:rPr>
        <w:t xml:space="preserve"> </w:t>
      </w:r>
      <w:r>
        <w:t>with</w:t>
      </w:r>
      <w:r>
        <w:rPr>
          <w:spacing w:val="-9"/>
        </w:rPr>
        <w:t xml:space="preserve"> </w:t>
      </w:r>
      <w:r>
        <w:t>the</w:t>
      </w:r>
      <w:r>
        <w:rPr>
          <w:spacing w:val="-9"/>
        </w:rPr>
        <w:t xml:space="preserve"> </w:t>
      </w:r>
      <w:r>
        <w:t>F3-M2</w:t>
      </w:r>
      <w:r>
        <w:rPr>
          <w:spacing w:val="-9"/>
        </w:rPr>
        <w:t xml:space="preserve"> </w:t>
      </w:r>
      <w:r>
        <w:t>link,</w:t>
      </w:r>
      <w:r>
        <w:rPr>
          <w:spacing w:val="-9"/>
        </w:rPr>
        <w:t xml:space="preserve"> </w:t>
      </w:r>
      <w:r>
        <w:t>the</w:t>
      </w:r>
      <w:r>
        <w:rPr>
          <w:spacing w:val="-9"/>
        </w:rPr>
        <w:t xml:space="preserve"> </w:t>
      </w:r>
      <w:r>
        <w:t>Northern</w:t>
      </w:r>
      <w:r>
        <w:rPr>
          <w:spacing w:val="-9"/>
        </w:rPr>
        <w:t xml:space="preserve"> </w:t>
      </w:r>
      <w:r>
        <w:t>Beaches</w:t>
      </w:r>
      <w:r>
        <w:rPr>
          <w:spacing w:val="-9"/>
        </w:rPr>
        <w:t xml:space="preserve"> </w:t>
      </w:r>
      <w:r>
        <w:t>Link could</w:t>
      </w:r>
      <w:r>
        <w:rPr>
          <w:spacing w:val="-6"/>
        </w:rPr>
        <w:t xml:space="preserve"> </w:t>
      </w:r>
      <w:r>
        <w:t>be</w:t>
      </w:r>
      <w:r>
        <w:rPr>
          <w:spacing w:val="-6"/>
        </w:rPr>
        <w:t xml:space="preserve"> </w:t>
      </w:r>
      <w:r>
        <w:t>accelerated</w:t>
      </w:r>
      <w:r>
        <w:rPr>
          <w:spacing w:val="-6"/>
        </w:rPr>
        <w:t xml:space="preserve"> </w:t>
      </w:r>
      <w:r>
        <w:t>if</w:t>
      </w:r>
      <w:r>
        <w:rPr>
          <w:spacing w:val="-6"/>
        </w:rPr>
        <w:t xml:space="preserve"> </w:t>
      </w:r>
      <w:r>
        <w:t>it</w:t>
      </w:r>
      <w:r>
        <w:rPr>
          <w:spacing w:val="-6"/>
        </w:rPr>
        <w:t xml:space="preserve"> </w:t>
      </w:r>
      <w:r>
        <w:t>can</w:t>
      </w:r>
      <w:r>
        <w:rPr>
          <w:spacing w:val="-6"/>
        </w:rPr>
        <w:t xml:space="preserve"> </w:t>
      </w:r>
      <w:r>
        <w:t>be</w:t>
      </w:r>
      <w:r>
        <w:rPr>
          <w:spacing w:val="-6"/>
        </w:rPr>
        <w:t xml:space="preserve"> </w:t>
      </w:r>
      <w:r>
        <w:t>built</w:t>
      </w:r>
      <w:r>
        <w:rPr>
          <w:spacing w:val="-6"/>
        </w:rPr>
        <w:t xml:space="preserve"> </w:t>
      </w:r>
      <w:r>
        <w:t>without</w:t>
      </w:r>
      <w:r>
        <w:rPr>
          <w:spacing w:val="-6"/>
        </w:rPr>
        <w:t xml:space="preserve"> </w:t>
      </w:r>
      <w:r>
        <w:t xml:space="preserve">public </w:t>
      </w:r>
      <w:r>
        <w:rPr>
          <w:w w:val="95"/>
        </w:rPr>
        <w:t>subsidy.</w:t>
      </w:r>
      <w:r>
        <w:rPr>
          <w:spacing w:val="-1"/>
          <w:w w:val="95"/>
        </w:rPr>
        <w:t xml:space="preserve"> </w:t>
      </w:r>
      <w:r>
        <w:rPr>
          <w:w w:val="95"/>
        </w:rPr>
        <w:t>In</w:t>
      </w:r>
      <w:r>
        <w:rPr>
          <w:spacing w:val="-1"/>
          <w:w w:val="95"/>
        </w:rPr>
        <w:t xml:space="preserve"> </w:t>
      </w:r>
      <w:r>
        <w:rPr>
          <w:w w:val="95"/>
        </w:rPr>
        <w:t>the</w:t>
      </w:r>
      <w:r>
        <w:rPr>
          <w:spacing w:val="-1"/>
          <w:w w:val="95"/>
        </w:rPr>
        <w:t xml:space="preserve"> </w:t>
      </w:r>
      <w:r>
        <w:rPr>
          <w:w w:val="95"/>
        </w:rPr>
        <w:t>short</w:t>
      </w:r>
      <w:r>
        <w:rPr>
          <w:spacing w:val="-1"/>
          <w:w w:val="95"/>
        </w:rPr>
        <w:t xml:space="preserve"> </w:t>
      </w:r>
      <w:r>
        <w:rPr>
          <w:w w:val="95"/>
        </w:rPr>
        <w:t>term,</w:t>
      </w:r>
      <w:r>
        <w:rPr>
          <w:spacing w:val="-1"/>
          <w:w w:val="95"/>
        </w:rPr>
        <w:t xml:space="preserve"> </w:t>
      </w:r>
      <w:r>
        <w:rPr>
          <w:w w:val="95"/>
        </w:rPr>
        <w:t>priority</w:t>
      </w:r>
      <w:r>
        <w:rPr>
          <w:spacing w:val="-1"/>
          <w:w w:val="95"/>
        </w:rPr>
        <w:t xml:space="preserve"> </w:t>
      </w:r>
      <w:r>
        <w:rPr>
          <w:w w:val="95"/>
        </w:rPr>
        <w:t>should</w:t>
      </w:r>
      <w:r>
        <w:rPr>
          <w:spacing w:val="-1"/>
          <w:w w:val="95"/>
        </w:rPr>
        <w:t xml:space="preserve"> </w:t>
      </w:r>
      <w:r>
        <w:rPr>
          <w:w w:val="95"/>
        </w:rPr>
        <w:t>be</w:t>
      </w:r>
      <w:r>
        <w:rPr>
          <w:spacing w:val="-1"/>
          <w:w w:val="95"/>
        </w:rPr>
        <w:t xml:space="preserve"> </w:t>
      </w:r>
      <w:r>
        <w:rPr>
          <w:w w:val="95"/>
        </w:rPr>
        <w:t>placed</w:t>
      </w:r>
      <w:r>
        <w:rPr>
          <w:spacing w:val="-1"/>
          <w:w w:val="95"/>
        </w:rPr>
        <w:t xml:space="preserve"> </w:t>
      </w:r>
      <w:r>
        <w:rPr>
          <w:w w:val="95"/>
        </w:rPr>
        <w:t xml:space="preserve">on </w:t>
      </w:r>
      <w:r>
        <w:t>incremental</w:t>
      </w:r>
      <w:r>
        <w:rPr>
          <w:spacing w:val="-13"/>
        </w:rPr>
        <w:t xml:space="preserve"> </w:t>
      </w:r>
      <w:r>
        <w:t>reforms</w:t>
      </w:r>
      <w:r>
        <w:rPr>
          <w:spacing w:val="-13"/>
        </w:rPr>
        <w:t xml:space="preserve"> </w:t>
      </w:r>
      <w:r>
        <w:t>to</w:t>
      </w:r>
      <w:r>
        <w:rPr>
          <w:spacing w:val="-13"/>
        </w:rPr>
        <w:t xml:space="preserve"> </w:t>
      </w:r>
      <w:r>
        <w:t>improve</w:t>
      </w:r>
      <w:r>
        <w:rPr>
          <w:spacing w:val="-13"/>
        </w:rPr>
        <w:t xml:space="preserve"> </w:t>
      </w:r>
      <w:r>
        <w:t>public</w:t>
      </w:r>
      <w:r>
        <w:rPr>
          <w:spacing w:val="-13"/>
        </w:rPr>
        <w:t xml:space="preserve"> </w:t>
      </w:r>
      <w:r>
        <w:t>transport</w:t>
      </w:r>
      <w:r>
        <w:rPr>
          <w:spacing w:val="-13"/>
        </w:rPr>
        <w:t xml:space="preserve"> </w:t>
      </w:r>
      <w:r>
        <w:t xml:space="preserve">from </w:t>
      </w:r>
      <w:r>
        <w:rPr>
          <w:w w:val="95"/>
        </w:rPr>
        <w:t>the</w:t>
      </w:r>
      <w:r>
        <w:rPr>
          <w:spacing w:val="-3"/>
          <w:w w:val="95"/>
        </w:rPr>
        <w:t xml:space="preserve"> </w:t>
      </w:r>
      <w:r>
        <w:rPr>
          <w:w w:val="95"/>
        </w:rPr>
        <w:t>Northern</w:t>
      </w:r>
      <w:r>
        <w:rPr>
          <w:spacing w:val="-3"/>
          <w:w w:val="95"/>
        </w:rPr>
        <w:t xml:space="preserve"> </w:t>
      </w:r>
      <w:r>
        <w:rPr>
          <w:w w:val="95"/>
        </w:rPr>
        <w:t>Beaches.</w:t>
      </w:r>
      <w:r>
        <w:rPr>
          <w:spacing w:val="-3"/>
          <w:w w:val="95"/>
        </w:rPr>
        <w:t xml:space="preserve"> </w:t>
      </w:r>
      <w:r>
        <w:rPr>
          <w:w w:val="95"/>
        </w:rPr>
        <w:t>These</w:t>
      </w:r>
      <w:r>
        <w:rPr>
          <w:spacing w:val="-3"/>
          <w:w w:val="95"/>
        </w:rPr>
        <w:t xml:space="preserve"> </w:t>
      </w:r>
      <w:r>
        <w:rPr>
          <w:w w:val="95"/>
        </w:rPr>
        <w:t>options</w:t>
      </w:r>
      <w:r>
        <w:rPr>
          <w:spacing w:val="-3"/>
          <w:w w:val="95"/>
        </w:rPr>
        <w:t xml:space="preserve"> </w:t>
      </w:r>
      <w:r>
        <w:rPr>
          <w:w w:val="95"/>
        </w:rPr>
        <w:t>are</w:t>
      </w:r>
      <w:r>
        <w:rPr>
          <w:spacing w:val="-3"/>
          <w:w w:val="95"/>
        </w:rPr>
        <w:t xml:space="preserve"> </w:t>
      </w:r>
      <w:r>
        <w:rPr>
          <w:w w:val="95"/>
        </w:rPr>
        <w:t>discussed</w:t>
      </w:r>
      <w:r>
        <w:rPr>
          <w:spacing w:val="-3"/>
          <w:w w:val="95"/>
        </w:rPr>
        <w:t xml:space="preserve"> </w:t>
      </w:r>
      <w:r>
        <w:rPr>
          <w:w w:val="95"/>
        </w:rPr>
        <w:t xml:space="preserve">in </w:t>
      </w:r>
      <w:r>
        <w:t>more detail in Section 7.</w:t>
      </w:r>
    </w:p>
    <w:p w:rsidR="002C1123" w:rsidRDefault="00F22F94">
      <w:pPr>
        <w:pStyle w:val="BodyText"/>
        <w:spacing w:before="147" w:line="249" w:lineRule="auto"/>
        <w:ind w:left="187"/>
      </w:pPr>
      <w:r>
        <w:rPr>
          <w:w w:val="95"/>
        </w:rPr>
        <w:t>The</w:t>
      </w:r>
      <w:r>
        <w:rPr>
          <w:spacing w:val="-6"/>
          <w:w w:val="95"/>
        </w:rPr>
        <w:t xml:space="preserve"> </w:t>
      </w:r>
      <w:r>
        <w:rPr>
          <w:w w:val="95"/>
        </w:rPr>
        <w:t>construction</w:t>
      </w:r>
      <w:r>
        <w:rPr>
          <w:spacing w:val="-6"/>
          <w:w w:val="95"/>
        </w:rPr>
        <w:t xml:space="preserve"> </w:t>
      </w:r>
      <w:r>
        <w:rPr>
          <w:w w:val="95"/>
        </w:rPr>
        <w:t>of</w:t>
      </w:r>
      <w:r>
        <w:rPr>
          <w:spacing w:val="-6"/>
          <w:w w:val="95"/>
        </w:rPr>
        <w:t xml:space="preserve"> </w:t>
      </w:r>
      <w:r>
        <w:rPr>
          <w:w w:val="95"/>
        </w:rPr>
        <w:t>the</w:t>
      </w:r>
      <w:r>
        <w:rPr>
          <w:spacing w:val="-6"/>
          <w:w w:val="95"/>
        </w:rPr>
        <w:t xml:space="preserve"> </w:t>
      </w:r>
      <w:r>
        <w:rPr>
          <w:w w:val="95"/>
        </w:rPr>
        <w:t>Outer</w:t>
      </w:r>
      <w:r>
        <w:rPr>
          <w:spacing w:val="-6"/>
          <w:w w:val="95"/>
        </w:rPr>
        <w:t xml:space="preserve"> </w:t>
      </w:r>
      <w:r>
        <w:rPr>
          <w:w w:val="95"/>
        </w:rPr>
        <w:t>Western</w:t>
      </w:r>
      <w:r>
        <w:rPr>
          <w:spacing w:val="-6"/>
          <w:w w:val="95"/>
        </w:rPr>
        <w:t xml:space="preserve"> </w:t>
      </w:r>
      <w:r>
        <w:rPr>
          <w:w w:val="95"/>
        </w:rPr>
        <w:t>Sydney</w:t>
      </w:r>
      <w:r>
        <w:rPr>
          <w:spacing w:val="-6"/>
          <w:w w:val="95"/>
        </w:rPr>
        <w:t xml:space="preserve"> </w:t>
      </w:r>
      <w:r>
        <w:rPr>
          <w:w w:val="95"/>
        </w:rPr>
        <w:t>Orbital has</w:t>
      </w:r>
      <w:r>
        <w:rPr>
          <w:spacing w:val="-5"/>
          <w:w w:val="95"/>
        </w:rPr>
        <w:t xml:space="preserve"> </w:t>
      </w:r>
      <w:r>
        <w:rPr>
          <w:w w:val="95"/>
        </w:rPr>
        <w:t>also</w:t>
      </w:r>
      <w:r>
        <w:rPr>
          <w:spacing w:val="-5"/>
          <w:w w:val="95"/>
        </w:rPr>
        <w:t xml:space="preserve"> </w:t>
      </w:r>
      <w:r>
        <w:rPr>
          <w:w w:val="95"/>
        </w:rPr>
        <w:t>been</w:t>
      </w:r>
      <w:r>
        <w:rPr>
          <w:spacing w:val="-5"/>
          <w:w w:val="95"/>
        </w:rPr>
        <w:t xml:space="preserve"> </w:t>
      </w:r>
      <w:r>
        <w:rPr>
          <w:w w:val="95"/>
        </w:rPr>
        <w:t>assessed</w:t>
      </w:r>
      <w:r>
        <w:rPr>
          <w:spacing w:val="-5"/>
          <w:w w:val="95"/>
        </w:rPr>
        <w:t xml:space="preserve"> </w:t>
      </w:r>
      <w:r>
        <w:rPr>
          <w:w w:val="95"/>
        </w:rPr>
        <w:t>as</w:t>
      </w:r>
      <w:r>
        <w:rPr>
          <w:spacing w:val="-5"/>
          <w:w w:val="95"/>
        </w:rPr>
        <w:t xml:space="preserve"> </w:t>
      </w:r>
      <w:r>
        <w:rPr>
          <w:w w:val="95"/>
        </w:rPr>
        <w:t>falling</w:t>
      </w:r>
      <w:r>
        <w:rPr>
          <w:spacing w:val="-5"/>
          <w:w w:val="95"/>
        </w:rPr>
        <w:t xml:space="preserve"> </w:t>
      </w:r>
      <w:r>
        <w:rPr>
          <w:w w:val="95"/>
        </w:rPr>
        <w:t>outside</w:t>
      </w:r>
      <w:r>
        <w:rPr>
          <w:spacing w:val="-5"/>
          <w:w w:val="95"/>
        </w:rPr>
        <w:t xml:space="preserve"> </w:t>
      </w:r>
      <w:r>
        <w:rPr>
          <w:w w:val="95"/>
        </w:rPr>
        <w:t>the</w:t>
      </w:r>
      <w:r>
        <w:rPr>
          <w:spacing w:val="-5"/>
          <w:w w:val="95"/>
        </w:rPr>
        <w:t xml:space="preserve"> </w:t>
      </w:r>
      <w:r>
        <w:rPr>
          <w:w w:val="95"/>
        </w:rPr>
        <w:t xml:space="preserve">20-year </w:t>
      </w:r>
      <w:r>
        <w:t>time</w:t>
      </w:r>
      <w:r>
        <w:rPr>
          <w:spacing w:val="-14"/>
        </w:rPr>
        <w:t xml:space="preserve"> </w:t>
      </w:r>
      <w:r>
        <w:t>horizon</w:t>
      </w:r>
      <w:r>
        <w:rPr>
          <w:spacing w:val="-14"/>
        </w:rPr>
        <w:t xml:space="preserve"> </w:t>
      </w:r>
      <w:r>
        <w:t>of</w:t>
      </w:r>
      <w:r>
        <w:rPr>
          <w:spacing w:val="-14"/>
        </w:rPr>
        <w:t xml:space="preserve"> </w:t>
      </w:r>
      <w:r>
        <w:t>the</w:t>
      </w:r>
      <w:r>
        <w:rPr>
          <w:spacing w:val="-14"/>
        </w:rPr>
        <w:t xml:space="preserve"> </w:t>
      </w:r>
      <w:r>
        <w:t>strategy.</w:t>
      </w:r>
      <w:r>
        <w:rPr>
          <w:spacing w:val="-13"/>
        </w:rPr>
        <w:t xml:space="preserve"> </w:t>
      </w:r>
      <w:r>
        <w:t>At</w:t>
      </w:r>
      <w:r>
        <w:rPr>
          <w:spacing w:val="-14"/>
        </w:rPr>
        <w:t xml:space="preserve"> </w:t>
      </w:r>
      <w:r>
        <w:t>present</w:t>
      </w:r>
      <w:r>
        <w:rPr>
          <w:spacing w:val="-14"/>
        </w:rPr>
        <w:t xml:space="preserve"> </w:t>
      </w:r>
      <w:r>
        <w:t>appropriate connectivity</w:t>
      </w:r>
      <w:r>
        <w:rPr>
          <w:spacing w:val="-8"/>
        </w:rPr>
        <w:t xml:space="preserve"> </w:t>
      </w:r>
      <w:r>
        <w:t>is</w:t>
      </w:r>
      <w:r>
        <w:rPr>
          <w:spacing w:val="-8"/>
        </w:rPr>
        <w:t xml:space="preserve"> </w:t>
      </w:r>
      <w:r>
        <w:t>provided</w:t>
      </w:r>
      <w:r>
        <w:rPr>
          <w:spacing w:val="-8"/>
        </w:rPr>
        <w:t xml:space="preserve"> </w:t>
      </w:r>
      <w:r>
        <w:t>by</w:t>
      </w:r>
      <w:r>
        <w:rPr>
          <w:spacing w:val="-8"/>
        </w:rPr>
        <w:t xml:space="preserve"> </w:t>
      </w:r>
      <w:r>
        <w:t>the</w:t>
      </w:r>
      <w:r>
        <w:rPr>
          <w:spacing w:val="-8"/>
        </w:rPr>
        <w:t xml:space="preserve"> </w:t>
      </w:r>
      <w:r>
        <w:t>M7,</w:t>
      </w:r>
      <w:r>
        <w:rPr>
          <w:spacing w:val="-8"/>
        </w:rPr>
        <w:t xml:space="preserve"> </w:t>
      </w:r>
      <w:r>
        <w:t>which</w:t>
      </w:r>
      <w:r>
        <w:rPr>
          <w:spacing w:val="-8"/>
        </w:rPr>
        <w:t xml:space="preserve"> </w:t>
      </w:r>
      <w:r>
        <w:t>can</w:t>
      </w:r>
      <w:r>
        <w:rPr>
          <w:spacing w:val="-8"/>
        </w:rPr>
        <w:t xml:space="preserve"> </w:t>
      </w:r>
      <w:r>
        <w:t>be widened as traffic grows.</w:t>
      </w:r>
    </w:p>
    <w:p w:rsidR="002C1123" w:rsidRDefault="00F22F94">
      <w:pPr>
        <w:pStyle w:val="BodyText"/>
        <w:spacing w:before="146" w:line="249" w:lineRule="auto"/>
        <w:ind w:left="187" w:right="178"/>
        <w:jc w:val="both"/>
      </w:pPr>
      <w:r>
        <w:rPr>
          <w:w w:val="95"/>
        </w:rPr>
        <w:t>Infrastructure</w:t>
      </w:r>
      <w:r>
        <w:rPr>
          <w:spacing w:val="-9"/>
          <w:w w:val="95"/>
        </w:rPr>
        <w:t xml:space="preserve"> </w:t>
      </w:r>
      <w:r>
        <w:rPr>
          <w:w w:val="95"/>
        </w:rPr>
        <w:t>NSW</w:t>
      </w:r>
      <w:r>
        <w:rPr>
          <w:spacing w:val="-9"/>
          <w:w w:val="95"/>
        </w:rPr>
        <w:t xml:space="preserve"> </w:t>
      </w:r>
      <w:r>
        <w:rPr>
          <w:w w:val="95"/>
        </w:rPr>
        <w:t>believes</w:t>
      </w:r>
      <w:r>
        <w:rPr>
          <w:spacing w:val="-9"/>
          <w:w w:val="95"/>
        </w:rPr>
        <w:t xml:space="preserve"> </w:t>
      </w:r>
      <w:r>
        <w:rPr>
          <w:w w:val="95"/>
        </w:rPr>
        <w:t>it</w:t>
      </w:r>
      <w:r>
        <w:rPr>
          <w:spacing w:val="-9"/>
          <w:w w:val="95"/>
        </w:rPr>
        <w:t xml:space="preserve"> </w:t>
      </w:r>
      <w:r>
        <w:rPr>
          <w:w w:val="95"/>
        </w:rPr>
        <w:t>is</w:t>
      </w:r>
      <w:r>
        <w:rPr>
          <w:spacing w:val="-9"/>
          <w:w w:val="95"/>
        </w:rPr>
        <w:t xml:space="preserve"> </w:t>
      </w:r>
      <w:r>
        <w:rPr>
          <w:w w:val="95"/>
        </w:rPr>
        <w:t>essential</w:t>
      </w:r>
      <w:r>
        <w:rPr>
          <w:spacing w:val="-9"/>
          <w:w w:val="95"/>
        </w:rPr>
        <w:t xml:space="preserve"> </w:t>
      </w:r>
      <w:r>
        <w:rPr>
          <w:w w:val="95"/>
        </w:rPr>
        <w:t>to</w:t>
      </w:r>
      <w:r>
        <w:rPr>
          <w:spacing w:val="-9"/>
          <w:w w:val="95"/>
        </w:rPr>
        <w:t xml:space="preserve"> </w:t>
      </w:r>
      <w:r>
        <w:rPr>
          <w:w w:val="95"/>
        </w:rPr>
        <w:t>preserve the</w:t>
      </w:r>
      <w:r>
        <w:rPr>
          <w:spacing w:val="-5"/>
          <w:w w:val="95"/>
        </w:rPr>
        <w:t xml:space="preserve"> </w:t>
      </w:r>
      <w:r>
        <w:rPr>
          <w:w w:val="95"/>
        </w:rPr>
        <w:t>corridor</w:t>
      </w:r>
      <w:r>
        <w:rPr>
          <w:spacing w:val="-5"/>
          <w:w w:val="95"/>
        </w:rPr>
        <w:t xml:space="preserve"> </w:t>
      </w:r>
      <w:r>
        <w:rPr>
          <w:w w:val="95"/>
        </w:rPr>
        <w:t>for</w:t>
      </w:r>
      <w:r>
        <w:rPr>
          <w:spacing w:val="-5"/>
          <w:w w:val="95"/>
        </w:rPr>
        <w:t xml:space="preserve"> </w:t>
      </w:r>
      <w:r>
        <w:rPr>
          <w:w w:val="95"/>
        </w:rPr>
        <w:t>this</w:t>
      </w:r>
      <w:r>
        <w:rPr>
          <w:spacing w:val="-5"/>
          <w:w w:val="95"/>
        </w:rPr>
        <w:t xml:space="preserve"> </w:t>
      </w:r>
      <w:r>
        <w:rPr>
          <w:w w:val="95"/>
        </w:rPr>
        <w:t>motorway</w:t>
      </w:r>
      <w:r>
        <w:rPr>
          <w:spacing w:val="-5"/>
          <w:w w:val="95"/>
        </w:rPr>
        <w:t xml:space="preserve"> </w:t>
      </w:r>
      <w:r>
        <w:rPr>
          <w:w w:val="95"/>
        </w:rPr>
        <w:t>in</w:t>
      </w:r>
      <w:r>
        <w:rPr>
          <w:spacing w:val="-5"/>
          <w:w w:val="95"/>
        </w:rPr>
        <w:t xml:space="preserve"> </w:t>
      </w:r>
      <w:r>
        <w:rPr>
          <w:w w:val="95"/>
        </w:rPr>
        <w:t>the</w:t>
      </w:r>
      <w:r>
        <w:rPr>
          <w:spacing w:val="-5"/>
          <w:w w:val="95"/>
        </w:rPr>
        <w:t xml:space="preserve"> </w:t>
      </w:r>
      <w:r>
        <w:rPr>
          <w:w w:val="95"/>
        </w:rPr>
        <w:t>near</w:t>
      </w:r>
      <w:r>
        <w:rPr>
          <w:spacing w:val="-5"/>
          <w:w w:val="95"/>
        </w:rPr>
        <w:t xml:space="preserve"> </w:t>
      </w:r>
      <w:r>
        <w:rPr>
          <w:w w:val="95"/>
        </w:rPr>
        <w:t>term,</w:t>
      </w:r>
      <w:r>
        <w:rPr>
          <w:spacing w:val="-5"/>
          <w:w w:val="95"/>
        </w:rPr>
        <w:t xml:space="preserve"> </w:t>
      </w:r>
      <w:r>
        <w:rPr>
          <w:w w:val="95"/>
        </w:rPr>
        <w:t xml:space="preserve">before </w:t>
      </w:r>
      <w:r>
        <w:t>development</w:t>
      </w:r>
      <w:r>
        <w:rPr>
          <w:spacing w:val="-5"/>
        </w:rPr>
        <w:t xml:space="preserve"> </w:t>
      </w:r>
      <w:r>
        <w:t>encroaches</w:t>
      </w:r>
      <w:r>
        <w:rPr>
          <w:spacing w:val="-5"/>
        </w:rPr>
        <w:t xml:space="preserve"> </w:t>
      </w:r>
      <w:r>
        <w:t>on</w:t>
      </w:r>
      <w:r>
        <w:rPr>
          <w:spacing w:val="-5"/>
        </w:rPr>
        <w:t xml:space="preserve"> </w:t>
      </w:r>
      <w:r>
        <w:t>the</w:t>
      </w:r>
      <w:r>
        <w:rPr>
          <w:spacing w:val="-5"/>
        </w:rPr>
        <w:t xml:space="preserve"> </w:t>
      </w:r>
      <w:r>
        <w:t>optimal</w:t>
      </w:r>
      <w:r>
        <w:rPr>
          <w:spacing w:val="-5"/>
        </w:rPr>
        <w:t xml:space="preserve"> </w:t>
      </w:r>
      <w:r>
        <w:t>route.</w:t>
      </w:r>
    </w:p>
    <w:p w:rsidR="002C1123" w:rsidRDefault="00F22F94">
      <w:pPr>
        <w:pStyle w:val="Heading5"/>
        <w:numPr>
          <w:ilvl w:val="1"/>
          <w:numId w:val="97"/>
        </w:numPr>
        <w:tabs>
          <w:tab w:val="left" w:pos="770"/>
        </w:tabs>
        <w:ind w:left="769"/>
        <w:jc w:val="left"/>
      </w:pPr>
      <w:r>
        <w:rPr>
          <w:b w:val="0"/>
        </w:rPr>
        <w:br w:type="column"/>
      </w:r>
      <w:r>
        <w:rPr>
          <w:color w:val="00AEEF"/>
          <w:spacing w:val="-2"/>
        </w:rPr>
        <w:t>WestConnex</w:t>
      </w:r>
    </w:p>
    <w:p w:rsidR="002C1123" w:rsidRDefault="002060EF">
      <w:pPr>
        <w:pStyle w:val="Heading6"/>
        <w:numPr>
          <w:ilvl w:val="2"/>
          <w:numId w:val="97"/>
        </w:numPr>
        <w:tabs>
          <w:tab w:val="left" w:pos="807"/>
        </w:tabs>
        <w:spacing w:before="135"/>
        <w:ind w:left="806" w:hanging="487"/>
        <w:jc w:val="left"/>
      </w:pPr>
      <w:r>
        <w:pict>
          <v:shape id="docshape1158" o:spid="_x0000_s4161" type="#_x0000_t202" style="position:absolute;left:0;text-align:left;margin-left:300.95pt;margin-top:-12.95pt;width:240pt;height:70.9pt;z-index:251300864;mso-position-horizontal-relative:page" fillcolor="#e1e0e1" stroked="f">
            <v:textbox inset="0,0,0,0">
              <w:txbxContent>
                <w:p w:rsidR="00F22F94" w:rsidRDefault="00F22F94">
                  <w:pPr>
                    <w:pStyle w:val="BodyText"/>
                    <w:spacing w:before="68" w:line="249" w:lineRule="auto"/>
                    <w:ind w:left="113" w:right="850"/>
                    <w:rPr>
                      <w:color w:val="000000"/>
                    </w:rPr>
                  </w:pPr>
                  <w:r>
                    <w:rPr>
                      <w:b/>
                      <w:color w:val="00AEEF"/>
                    </w:rPr>
                    <w:t xml:space="preserve">Recommendation </w:t>
                  </w:r>
                  <w:r>
                    <w:rPr>
                      <w:color w:val="000000"/>
                    </w:rPr>
                    <w:t xml:space="preserve">Infrastructure NSW </w:t>
                  </w:r>
                  <w:r>
                    <w:rPr>
                      <w:color w:val="000000"/>
                      <w:w w:val="95"/>
                    </w:rPr>
                    <w:t>recommends</w:t>
                  </w:r>
                  <w:r>
                    <w:rPr>
                      <w:color w:val="000000"/>
                      <w:spacing w:val="40"/>
                    </w:rPr>
                    <w:t xml:space="preserve"> </w:t>
                  </w:r>
                  <w:r>
                    <w:rPr>
                      <w:color w:val="000000"/>
                      <w:w w:val="95"/>
                    </w:rPr>
                    <w:t>development should begin on the F6 extension and proposed North-South links</w:t>
                  </w:r>
                  <w:r>
                    <w:rPr>
                      <w:color w:val="000000"/>
                      <w:spacing w:val="-1"/>
                      <w:w w:val="95"/>
                    </w:rPr>
                    <w:t xml:space="preserve"> </w:t>
                  </w:r>
                  <w:r>
                    <w:rPr>
                      <w:color w:val="000000"/>
                      <w:w w:val="95"/>
                    </w:rPr>
                    <w:t>West</w:t>
                  </w:r>
                  <w:r>
                    <w:rPr>
                      <w:color w:val="000000"/>
                      <w:spacing w:val="-1"/>
                      <w:w w:val="95"/>
                    </w:rPr>
                    <w:t xml:space="preserve"> </w:t>
                  </w:r>
                  <w:r>
                    <w:rPr>
                      <w:color w:val="000000"/>
                      <w:w w:val="95"/>
                    </w:rPr>
                    <w:t>of</w:t>
                  </w:r>
                  <w:r>
                    <w:rPr>
                      <w:color w:val="000000"/>
                      <w:spacing w:val="-1"/>
                      <w:w w:val="95"/>
                    </w:rPr>
                    <w:t xml:space="preserve"> </w:t>
                  </w:r>
                  <w:r>
                    <w:rPr>
                      <w:color w:val="000000"/>
                      <w:w w:val="95"/>
                    </w:rPr>
                    <w:t>Sydney’s</w:t>
                  </w:r>
                  <w:r>
                    <w:rPr>
                      <w:color w:val="000000"/>
                      <w:spacing w:val="-1"/>
                      <w:w w:val="95"/>
                    </w:rPr>
                    <w:t xml:space="preserve"> </w:t>
                  </w:r>
                  <w:r>
                    <w:rPr>
                      <w:color w:val="000000"/>
                      <w:w w:val="95"/>
                    </w:rPr>
                    <w:t>CBD</w:t>
                  </w:r>
                  <w:r>
                    <w:rPr>
                      <w:color w:val="000000"/>
                      <w:spacing w:val="-1"/>
                      <w:w w:val="95"/>
                    </w:rPr>
                    <w:t xml:space="preserve"> </w:t>
                  </w:r>
                  <w:r>
                    <w:rPr>
                      <w:color w:val="000000"/>
                      <w:w w:val="95"/>
                    </w:rPr>
                    <w:t>beyond</w:t>
                  </w:r>
                  <w:r>
                    <w:rPr>
                      <w:color w:val="000000"/>
                      <w:spacing w:val="-1"/>
                      <w:w w:val="95"/>
                    </w:rPr>
                    <w:t xml:space="preserve"> </w:t>
                  </w:r>
                  <w:r>
                    <w:rPr>
                      <w:color w:val="000000"/>
                      <w:w w:val="95"/>
                    </w:rPr>
                    <w:t>year</w:t>
                  </w:r>
                  <w:r>
                    <w:rPr>
                      <w:color w:val="000000"/>
                      <w:spacing w:val="-1"/>
                      <w:w w:val="95"/>
                    </w:rPr>
                    <w:t xml:space="preserve"> </w:t>
                  </w:r>
                  <w:r>
                    <w:rPr>
                      <w:color w:val="000000"/>
                      <w:w w:val="95"/>
                    </w:rPr>
                    <w:t xml:space="preserve">10 </w:t>
                  </w:r>
                  <w:r>
                    <w:rPr>
                      <w:color w:val="000000"/>
                    </w:rPr>
                    <w:t>of the strategy.</w:t>
                  </w:r>
                </w:p>
              </w:txbxContent>
            </v:textbox>
            <w10:wrap anchorx="page"/>
          </v:shape>
        </w:pict>
      </w:r>
      <w:r w:rsidR="00F22F94">
        <w:rPr>
          <w:color w:val="00AEEF"/>
          <w:spacing w:val="-2"/>
        </w:rPr>
        <w:t>Reference</w:t>
      </w:r>
      <w:r w:rsidR="00F22F94">
        <w:rPr>
          <w:color w:val="00AEEF"/>
          <w:spacing w:val="-5"/>
        </w:rPr>
        <w:t xml:space="preserve"> </w:t>
      </w:r>
      <w:r w:rsidR="00F22F94">
        <w:rPr>
          <w:color w:val="00AEEF"/>
          <w:spacing w:val="-2"/>
        </w:rPr>
        <w:t>Scheme</w:t>
      </w:r>
    </w:p>
    <w:p w:rsidR="002C1123" w:rsidRDefault="00F22F94">
      <w:pPr>
        <w:pStyle w:val="BodyText"/>
        <w:spacing w:before="95" w:line="249" w:lineRule="auto"/>
        <w:ind w:left="320" w:right="509"/>
      </w:pPr>
      <w:r>
        <w:rPr>
          <w:w w:val="95"/>
        </w:rPr>
        <w:t>To</w:t>
      </w:r>
      <w:r>
        <w:rPr>
          <w:spacing w:val="-4"/>
          <w:w w:val="95"/>
        </w:rPr>
        <w:t xml:space="preserve"> </w:t>
      </w:r>
      <w:r>
        <w:rPr>
          <w:w w:val="95"/>
        </w:rPr>
        <w:t>support</w:t>
      </w:r>
      <w:r>
        <w:rPr>
          <w:spacing w:val="-4"/>
          <w:w w:val="95"/>
        </w:rPr>
        <w:t xml:space="preserve"> </w:t>
      </w:r>
      <w:r>
        <w:rPr>
          <w:w w:val="95"/>
        </w:rPr>
        <w:t>the</w:t>
      </w:r>
      <w:r>
        <w:rPr>
          <w:spacing w:val="-4"/>
          <w:w w:val="95"/>
        </w:rPr>
        <w:t xml:space="preserve"> </w:t>
      </w:r>
      <w:r>
        <w:rPr>
          <w:w w:val="95"/>
        </w:rPr>
        <w:t>NSW</w:t>
      </w:r>
      <w:r>
        <w:rPr>
          <w:spacing w:val="-4"/>
          <w:w w:val="95"/>
        </w:rPr>
        <w:t xml:space="preserve"> </w:t>
      </w:r>
      <w:r>
        <w:rPr>
          <w:w w:val="95"/>
        </w:rPr>
        <w:t>Government</w:t>
      </w:r>
      <w:r>
        <w:rPr>
          <w:spacing w:val="-4"/>
          <w:w w:val="95"/>
        </w:rPr>
        <w:t xml:space="preserve"> </w:t>
      </w:r>
      <w:r>
        <w:rPr>
          <w:w w:val="95"/>
        </w:rPr>
        <w:t>in</w:t>
      </w:r>
      <w:r>
        <w:rPr>
          <w:spacing w:val="-4"/>
          <w:w w:val="95"/>
        </w:rPr>
        <w:t xml:space="preserve"> </w:t>
      </w:r>
      <w:r>
        <w:rPr>
          <w:w w:val="95"/>
        </w:rPr>
        <w:t>progressing</w:t>
      </w:r>
      <w:r>
        <w:rPr>
          <w:spacing w:val="-4"/>
          <w:w w:val="95"/>
        </w:rPr>
        <w:t xml:space="preserve"> </w:t>
      </w:r>
      <w:r>
        <w:rPr>
          <w:w w:val="95"/>
        </w:rPr>
        <w:t>the</w:t>
      </w:r>
      <w:r>
        <w:rPr>
          <w:spacing w:val="-4"/>
          <w:w w:val="95"/>
        </w:rPr>
        <w:t xml:space="preserve"> </w:t>
      </w:r>
      <w:r>
        <w:rPr>
          <w:w w:val="95"/>
        </w:rPr>
        <w:t xml:space="preserve">next </w:t>
      </w:r>
      <w:r>
        <w:t>motorway</w:t>
      </w:r>
      <w:r>
        <w:rPr>
          <w:spacing w:val="-14"/>
        </w:rPr>
        <w:t xml:space="preserve"> </w:t>
      </w:r>
      <w:r>
        <w:t>project</w:t>
      </w:r>
      <w:r>
        <w:rPr>
          <w:spacing w:val="-14"/>
        </w:rPr>
        <w:t xml:space="preserve"> </w:t>
      </w:r>
      <w:r>
        <w:t>in</w:t>
      </w:r>
      <w:r>
        <w:rPr>
          <w:spacing w:val="-14"/>
        </w:rPr>
        <w:t xml:space="preserve"> </w:t>
      </w:r>
      <w:r>
        <w:t>Sydney,</w:t>
      </w:r>
      <w:r>
        <w:rPr>
          <w:spacing w:val="-14"/>
        </w:rPr>
        <w:t xml:space="preserve"> </w:t>
      </w:r>
      <w:r>
        <w:t>Infrastructure</w:t>
      </w:r>
      <w:r>
        <w:rPr>
          <w:spacing w:val="-14"/>
        </w:rPr>
        <w:t xml:space="preserve"> </w:t>
      </w:r>
      <w:r>
        <w:t>NSW</w:t>
      </w:r>
      <w:r>
        <w:rPr>
          <w:spacing w:val="-14"/>
        </w:rPr>
        <w:t xml:space="preserve"> </w:t>
      </w:r>
      <w:r>
        <w:t xml:space="preserve">has </w:t>
      </w:r>
      <w:r>
        <w:rPr>
          <w:w w:val="95"/>
        </w:rPr>
        <w:t>worked with Transport for NSW and Roads and Maritime Services</w:t>
      </w:r>
      <w:r>
        <w:rPr>
          <w:spacing w:val="-12"/>
          <w:w w:val="95"/>
        </w:rPr>
        <w:t xml:space="preserve"> </w:t>
      </w:r>
      <w:r>
        <w:rPr>
          <w:w w:val="95"/>
        </w:rPr>
        <w:t>(RMS)</w:t>
      </w:r>
      <w:r>
        <w:rPr>
          <w:spacing w:val="-11"/>
          <w:w w:val="95"/>
        </w:rPr>
        <w:t xml:space="preserve"> </w:t>
      </w:r>
      <w:r>
        <w:rPr>
          <w:w w:val="95"/>
        </w:rPr>
        <w:t>to</w:t>
      </w:r>
      <w:r>
        <w:rPr>
          <w:spacing w:val="-11"/>
          <w:w w:val="95"/>
        </w:rPr>
        <w:t xml:space="preserve"> </w:t>
      </w:r>
      <w:r>
        <w:rPr>
          <w:w w:val="95"/>
        </w:rPr>
        <w:t>develop</w:t>
      </w:r>
      <w:r>
        <w:rPr>
          <w:spacing w:val="-11"/>
          <w:w w:val="95"/>
        </w:rPr>
        <w:t xml:space="preserve"> </w:t>
      </w:r>
      <w:r>
        <w:rPr>
          <w:w w:val="95"/>
        </w:rPr>
        <w:t>a</w:t>
      </w:r>
      <w:r>
        <w:rPr>
          <w:spacing w:val="-12"/>
          <w:w w:val="95"/>
        </w:rPr>
        <w:t xml:space="preserve"> </w:t>
      </w:r>
      <w:r>
        <w:rPr>
          <w:w w:val="95"/>
        </w:rPr>
        <w:t>high-level</w:t>
      </w:r>
      <w:r>
        <w:rPr>
          <w:spacing w:val="-11"/>
          <w:w w:val="95"/>
        </w:rPr>
        <w:t xml:space="preserve"> </w:t>
      </w:r>
      <w:r>
        <w:rPr>
          <w:w w:val="95"/>
        </w:rPr>
        <w:t>reference</w:t>
      </w:r>
      <w:r>
        <w:rPr>
          <w:spacing w:val="-11"/>
          <w:w w:val="95"/>
        </w:rPr>
        <w:t xml:space="preserve"> </w:t>
      </w:r>
      <w:r>
        <w:rPr>
          <w:w w:val="95"/>
        </w:rPr>
        <w:t xml:space="preserve">scheme </w:t>
      </w:r>
      <w:r>
        <w:t>that</w:t>
      </w:r>
      <w:r>
        <w:rPr>
          <w:spacing w:val="-10"/>
        </w:rPr>
        <w:t xml:space="preserve"> </w:t>
      </w:r>
      <w:r>
        <w:t>integrates</w:t>
      </w:r>
      <w:r>
        <w:rPr>
          <w:spacing w:val="-10"/>
        </w:rPr>
        <w:t xml:space="preserve"> </w:t>
      </w:r>
      <w:r>
        <w:t>the</w:t>
      </w:r>
      <w:r>
        <w:rPr>
          <w:spacing w:val="-10"/>
        </w:rPr>
        <w:t xml:space="preserve"> </w:t>
      </w:r>
      <w:r>
        <w:t>proposed</w:t>
      </w:r>
      <w:r>
        <w:rPr>
          <w:spacing w:val="-10"/>
        </w:rPr>
        <w:t xml:space="preserve"> </w:t>
      </w:r>
      <w:r>
        <w:t>M4</w:t>
      </w:r>
      <w:r>
        <w:rPr>
          <w:spacing w:val="-10"/>
        </w:rPr>
        <w:t xml:space="preserve"> </w:t>
      </w:r>
      <w:r>
        <w:t>Extension,</w:t>
      </w:r>
      <w:r>
        <w:rPr>
          <w:spacing w:val="-10"/>
        </w:rPr>
        <w:t xml:space="preserve"> </w:t>
      </w:r>
      <w:r>
        <w:t>M5</w:t>
      </w:r>
      <w:r>
        <w:rPr>
          <w:spacing w:val="-10"/>
        </w:rPr>
        <w:t xml:space="preserve"> </w:t>
      </w:r>
      <w:r>
        <w:t>East Expansion,</w:t>
      </w:r>
      <w:r>
        <w:rPr>
          <w:spacing w:val="-10"/>
        </w:rPr>
        <w:t xml:space="preserve"> </w:t>
      </w:r>
      <w:r>
        <w:t>and</w:t>
      </w:r>
      <w:r>
        <w:rPr>
          <w:spacing w:val="-10"/>
        </w:rPr>
        <w:t xml:space="preserve"> </w:t>
      </w:r>
      <w:r>
        <w:t>part</w:t>
      </w:r>
      <w:r>
        <w:rPr>
          <w:spacing w:val="-10"/>
        </w:rPr>
        <w:t xml:space="preserve"> </w:t>
      </w:r>
      <w:r>
        <w:t>of</w:t>
      </w:r>
      <w:r>
        <w:rPr>
          <w:spacing w:val="-10"/>
        </w:rPr>
        <w:t xml:space="preserve"> </w:t>
      </w:r>
      <w:r>
        <w:t>the</w:t>
      </w:r>
      <w:r>
        <w:rPr>
          <w:spacing w:val="-10"/>
        </w:rPr>
        <w:t xml:space="preserve"> </w:t>
      </w:r>
      <w:r>
        <w:t>Inner</w:t>
      </w:r>
      <w:r>
        <w:rPr>
          <w:spacing w:val="-10"/>
        </w:rPr>
        <w:t xml:space="preserve"> </w:t>
      </w:r>
      <w:r>
        <w:t>West</w:t>
      </w:r>
      <w:r>
        <w:rPr>
          <w:spacing w:val="-10"/>
        </w:rPr>
        <w:t xml:space="preserve"> </w:t>
      </w:r>
      <w:r>
        <w:t>Bypass.</w:t>
      </w:r>
    </w:p>
    <w:p w:rsidR="002C1123" w:rsidRDefault="00F22F94">
      <w:pPr>
        <w:pStyle w:val="BodyText"/>
        <w:spacing w:before="146" w:line="249" w:lineRule="auto"/>
        <w:ind w:left="320" w:right="509"/>
      </w:pPr>
      <w:r>
        <w:rPr>
          <w:w w:val="95"/>
        </w:rPr>
        <w:t>This</w:t>
      </w:r>
      <w:r>
        <w:rPr>
          <w:spacing w:val="-4"/>
          <w:w w:val="95"/>
        </w:rPr>
        <w:t xml:space="preserve"> </w:t>
      </w:r>
      <w:r>
        <w:rPr>
          <w:w w:val="95"/>
        </w:rPr>
        <w:t>project</w:t>
      </w:r>
      <w:r>
        <w:rPr>
          <w:spacing w:val="-4"/>
          <w:w w:val="95"/>
        </w:rPr>
        <w:t xml:space="preserve"> </w:t>
      </w:r>
      <w:r>
        <w:rPr>
          <w:w w:val="95"/>
        </w:rPr>
        <w:t>has</w:t>
      </w:r>
      <w:r>
        <w:rPr>
          <w:spacing w:val="-4"/>
          <w:w w:val="95"/>
        </w:rPr>
        <w:t xml:space="preserve"> </w:t>
      </w:r>
      <w:r>
        <w:rPr>
          <w:w w:val="95"/>
        </w:rPr>
        <w:t>been</w:t>
      </w:r>
      <w:r>
        <w:rPr>
          <w:spacing w:val="-4"/>
          <w:w w:val="95"/>
        </w:rPr>
        <w:t xml:space="preserve"> </w:t>
      </w:r>
      <w:r>
        <w:rPr>
          <w:w w:val="95"/>
        </w:rPr>
        <w:t>named</w:t>
      </w:r>
      <w:r>
        <w:rPr>
          <w:spacing w:val="-4"/>
          <w:w w:val="95"/>
        </w:rPr>
        <w:t xml:space="preserve"> </w:t>
      </w:r>
      <w:r>
        <w:rPr>
          <w:w w:val="95"/>
        </w:rPr>
        <w:t>WestConnex,</w:t>
      </w:r>
      <w:r>
        <w:rPr>
          <w:spacing w:val="-4"/>
          <w:w w:val="95"/>
        </w:rPr>
        <w:t xml:space="preserve"> </w:t>
      </w:r>
      <w:r>
        <w:rPr>
          <w:w w:val="95"/>
        </w:rPr>
        <w:t>reflecting</w:t>
      </w:r>
      <w:r>
        <w:rPr>
          <w:spacing w:val="-4"/>
          <w:w w:val="95"/>
        </w:rPr>
        <w:t xml:space="preserve"> </w:t>
      </w:r>
      <w:r>
        <w:rPr>
          <w:w w:val="95"/>
        </w:rPr>
        <w:t xml:space="preserve">the </w:t>
      </w:r>
      <w:r>
        <w:t>connectivity</w:t>
      </w:r>
      <w:r>
        <w:rPr>
          <w:spacing w:val="-11"/>
        </w:rPr>
        <w:t xml:space="preserve"> </w:t>
      </w:r>
      <w:r>
        <w:t>it</w:t>
      </w:r>
      <w:r>
        <w:rPr>
          <w:spacing w:val="-11"/>
        </w:rPr>
        <w:t xml:space="preserve"> </w:t>
      </w:r>
      <w:r>
        <w:t>would</w:t>
      </w:r>
      <w:r>
        <w:rPr>
          <w:spacing w:val="-11"/>
        </w:rPr>
        <w:t xml:space="preserve"> </w:t>
      </w:r>
      <w:r>
        <w:t>provide</w:t>
      </w:r>
      <w:r>
        <w:rPr>
          <w:spacing w:val="-11"/>
        </w:rPr>
        <w:t xml:space="preserve"> </w:t>
      </w:r>
      <w:r>
        <w:t>between</w:t>
      </w:r>
      <w:r>
        <w:rPr>
          <w:spacing w:val="-11"/>
        </w:rPr>
        <w:t xml:space="preserve"> </w:t>
      </w:r>
      <w:r>
        <w:t>Greater</w:t>
      </w:r>
      <w:r>
        <w:rPr>
          <w:spacing w:val="-11"/>
        </w:rPr>
        <w:t xml:space="preserve"> </w:t>
      </w:r>
      <w:r>
        <w:t>Sydney and</w:t>
      </w:r>
      <w:r>
        <w:rPr>
          <w:spacing w:val="-8"/>
        </w:rPr>
        <w:t xml:space="preserve"> </w:t>
      </w:r>
      <w:r>
        <w:t>Global</w:t>
      </w:r>
      <w:r>
        <w:rPr>
          <w:spacing w:val="-8"/>
        </w:rPr>
        <w:t xml:space="preserve"> </w:t>
      </w:r>
      <w:r>
        <w:t>Sydney’s</w:t>
      </w:r>
      <w:r>
        <w:rPr>
          <w:spacing w:val="-8"/>
        </w:rPr>
        <w:t xml:space="preserve"> </w:t>
      </w:r>
      <w:r>
        <w:t>primary</w:t>
      </w:r>
      <w:r>
        <w:rPr>
          <w:spacing w:val="-8"/>
        </w:rPr>
        <w:t xml:space="preserve"> </w:t>
      </w:r>
      <w:r>
        <w:t>economic</w:t>
      </w:r>
      <w:r>
        <w:rPr>
          <w:spacing w:val="-8"/>
        </w:rPr>
        <w:t xml:space="preserve"> </w:t>
      </w:r>
      <w:r>
        <w:t>centres</w:t>
      </w:r>
      <w:r>
        <w:rPr>
          <w:spacing w:val="-8"/>
        </w:rPr>
        <w:t xml:space="preserve"> </w:t>
      </w:r>
      <w:r>
        <w:t>and international</w:t>
      </w:r>
      <w:r>
        <w:rPr>
          <w:spacing w:val="-11"/>
        </w:rPr>
        <w:t xml:space="preserve"> </w:t>
      </w:r>
      <w:r>
        <w:t>gateways.</w:t>
      </w:r>
    </w:p>
    <w:p w:rsidR="002C1123" w:rsidRDefault="00F22F94">
      <w:pPr>
        <w:pStyle w:val="BodyText"/>
        <w:spacing w:before="146" w:line="249" w:lineRule="auto"/>
        <w:ind w:left="320" w:right="759"/>
      </w:pPr>
      <w:r>
        <w:rPr>
          <w:w w:val="95"/>
        </w:rPr>
        <w:t>Options</w:t>
      </w:r>
      <w:r>
        <w:rPr>
          <w:spacing w:val="-3"/>
          <w:w w:val="95"/>
        </w:rPr>
        <w:t xml:space="preserve"> </w:t>
      </w:r>
      <w:r>
        <w:rPr>
          <w:w w:val="95"/>
        </w:rPr>
        <w:t>to</w:t>
      </w:r>
      <w:r>
        <w:rPr>
          <w:spacing w:val="-3"/>
          <w:w w:val="95"/>
        </w:rPr>
        <w:t xml:space="preserve"> </w:t>
      </w:r>
      <w:r>
        <w:rPr>
          <w:w w:val="95"/>
        </w:rPr>
        <w:t>extend</w:t>
      </w:r>
      <w:r>
        <w:rPr>
          <w:spacing w:val="-3"/>
          <w:w w:val="95"/>
        </w:rPr>
        <w:t xml:space="preserve"> </w:t>
      </w:r>
      <w:r>
        <w:rPr>
          <w:w w:val="95"/>
        </w:rPr>
        <w:t>the</w:t>
      </w:r>
      <w:r>
        <w:rPr>
          <w:spacing w:val="-3"/>
          <w:w w:val="95"/>
        </w:rPr>
        <w:t xml:space="preserve"> </w:t>
      </w:r>
      <w:r>
        <w:rPr>
          <w:w w:val="95"/>
        </w:rPr>
        <w:t>M4</w:t>
      </w:r>
      <w:r>
        <w:rPr>
          <w:spacing w:val="-3"/>
          <w:w w:val="95"/>
        </w:rPr>
        <w:t xml:space="preserve"> </w:t>
      </w:r>
      <w:r>
        <w:rPr>
          <w:w w:val="95"/>
        </w:rPr>
        <w:t>and</w:t>
      </w:r>
      <w:r>
        <w:rPr>
          <w:spacing w:val="-3"/>
          <w:w w:val="95"/>
        </w:rPr>
        <w:t xml:space="preserve"> </w:t>
      </w:r>
      <w:r>
        <w:rPr>
          <w:w w:val="95"/>
        </w:rPr>
        <w:t>expand</w:t>
      </w:r>
      <w:r>
        <w:rPr>
          <w:spacing w:val="-3"/>
          <w:w w:val="95"/>
        </w:rPr>
        <w:t xml:space="preserve"> </w:t>
      </w:r>
      <w:r>
        <w:rPr>
          <w:w w:val="95"/>
        </w:rPr>
        <w:t>the</w:t>
      </w:r>
      <w:r>
        <w:rPr>
          <w:spacing w:val="-3"/>
          <w:w w:val="95"/>
        </w:rPr>
        <w:t xml:space="preserve"> </w:t>
      </w:r>
      <w:r>
        <w:rPr>
          <w:w w:val="95"/>
        </w:rPr>
        <w:t>M5</w:t>
      </w:r>
      <w:r>
        <w:rPr>
          <w:spacing w:val="-3"/>
          <w:w w:val="95"/>
        </w:rPr>
        <w:t xml:space="preserve"> </w:t>
      </w:r>
      <w:r>
        <w:rPr>
          <w:w w:val="95"/>
        </w:rPr>
        <w:t>have</w:t>
      </w:r>
      <w:r>
        <w:rPr>
          <w:spacing w:val="-3"/>
          <w:w w:val="95"/>
        </w:rPr>
        <w:t xml:space="preserve"> </w:t>
      </w:r>
      <w:r>
        <w:rPr>
          <w:w w:val="95"/>
        </w:rPr>
        <w:t xml:space="preserve">been </w:t>
      </w:r>
      <w:r>
        <w:t>considered</w:t>
      </w:r>
      <w:r>
        <w:rPr>
          <w:spacing w:val="-14"/>
        </w:rPr>
        <w:t xml:space="preserve"> </w:t>
      </w:r>
      <w:r>
        <w:t>over</w:t>
      </w:r>
      <w:r>
        <w:rPr>
          <w:spacing w:val="-14"/>
        </w:rPr>
        <w:t xml:space="preserve"> </w:t>
      </w:r>
      <w:r>
        <w:t>a</w:t>
      </w:r>
      <w:r>
        <w:rPr>
          <w:spacing w:val="-14"/>
        </w:rPr>
        <w:t xml:space="preserve"> </w:t>
      </w:r>
      <w:r>
        <w:t>number</w:t>
      </w:r>
      <w:r>
        <w:rPr>
          <w:spacing w:val="-14"/>
        </w:rPr>
        <w:t xml:space="preserve"> </w:t>
      </w:r>
      <w:r>
        <w:t>of</w:t>
      </w:r>
      <w:r>
        <w:rPr>
          <w:spacing w:val="-14"/>
        </w:rPr>
        <w:t xml:space="preserve"> </w:t>
      </w:r>
      <w:r>
        <w:t>years,</w:t>
      </w:r>
      <w:r>
        <w:rPr>
          <w:spacing w:val="-14"/>
        </w:rPr>
        <w:t xml:space="preserve"> </w:t>
      </w:r>
      <w:r>
        <w:t>but</w:t>
      </w:r>
      <w:r>
        <w:rPr>
          <w:spacing w:val="-14"/>
        </w:rPr>
        <w:t xml:space="preserve"> </w:t>
      </w:r>
      <w:r>
        <w:t>have</w:t>
      </w:r>
      <w:r>
        <w:rPr>
          <w:spacing w:val="-14"/>
        </w:rPr>
        <w:t xml:space="preserve"> </w:t>
      </w:r>
      <w:r>
        <w:t>struggled with</w:t>
      </w:r>
      <w:r>
        <w:rPr>
          <w:spacing w:val="-7"/>
        </w:rPr>
        <w:t xml:space="preserve"> </w:t>
      </w:r>
      <w:r>
        <w:t>scope</w:t>
      </w:r>
      <w:r>
        <w:rPr>
          <w:spacing w:val="-7"/>
        </w:rPr>
        <w:t xml:space="preserve"> </w:t>
      </w:r>
      <w:r>
        <w:t>and</w:t>
      </w:r>
      <w:r>
        <w:rPr>
          <w:spacing w:val="-7"/>
        </w:rPr>
        <w:t xml:space="preserve"> </w:t>
      </w:r>
      <w:r>
        <w:t>cost</w:t>
      </w:r>
      <w:r>
        <w:rPr>
          <w:spacing w:val="-7"/>
        </w:rPr>
        <w:t xml:space="preserve"> </w:t>
      </w:r>
      <w:r>
        <w:t>issues.</w:t>
      </w:r>
      <w:r>
        <w:rPr>
          <w:spacing w:val="-7"/>
        </w:rPr>
        <w:t xml:space="preserve"> </w:t>
      </w:r>
      <w:r>
        <w:t>Infrastructure</w:t>
      </w:r>
      <w:r>
        <w:rPr>
          <w:spacing w:val="-7"/>
        </w:rPr>
        <w:t xml:space="preserve"> </w:t>
      </w:r>
      <w:r>
        <w:t>NSW</w:t>
      </w:r>
    </w:p>
    <w:p w:rsidR="002C1123" w:rsidRDefault="00F22F94">
      <w:pPr>
        <w:pStyle w:val="BodyText"/>
        <w:spacing w:before="2" w:line="249" w:lineRule="auto"/>
        <w:ind w:left="320" w:right="1236"/>
      </w:pPr>
      <w:r>
        <w:rPr>
          <w:w w:val="95"/>
        </w:rPr>
        <w:t>has worked to value engineer the design options for</w:t>
      </w:r>
      <w:r>
        <w:rPr>
          <w:spacing w:val="-2"/>
          <w:w w:val="95"/>
        </w:rPr>
        <w:t xml:space="preserve"> </w:t>
      </w:r>
      <w:r>
        <w:rPr>
          <w:w w:val="95"/>
        </w:rPr>
        <w:t>these</w:t>
      </w:r>
      <w:r>
        <w:rPr>
          <w:spacing w:val="-2"/>
          <w:w w:val="95"/>
        </w:rPr>
        <w:t xml:space="preserve"> </w:t>
      </w:r>
      <w:r>
        <w:rPr>
          <w:w w:val="95"/>
        </w:rPr>
        <w:t>corridors</w:t>
      </w:r>
      <w:r>
        <w:rPr>
          <w:spacing w:val="-2"/>
          <w:w w:val="95"/>
        </w:rPr>
        <w:t xml:space="preserve"> </w:t>
      </w:r>
      <w:r>
        <w:rPr>
          <w:w w:val="95"/>
        </w:rPr>
        <w:t>to</w:t>
      </w:r>
      <w:r>
        <w:rPr>
          <w:spacing w:val="-2"/>
          <w:w w:val="95"/>
        </w:rPr>
        <w:t xml:space="preserve"> </w:t>
      </w:r>
      <w:r>
        <w:rPr>
          <w:w w:val="95"/>
        </w:rPr>
        <w:t>provide</w:t>
      </w:r>
      <w:r>
        <w:rPr>
          <w:spacing w:val="-2"/>
          <w:w w:val="95"/>
        </w:rPr>
        <w:t xml:space="preserve"> </w:t>
      </w:r>
      <w:r>
        <w:rPr>
          <w:w w:val="95"/>
        </w:rPr>
        <w:t>a</w:t>
      </w:r>
      <w:r>
        <w:rPr>
          <w:spacing w:val="-2"/>
          <w:w w:val="95"/>
        </w:rPr>
        <w:t xml:space="preserve"> </w:t>
      </w:r>
      <w:r>
        <w:rPr>
          <w:w w:val="95"/>
        </w:rPr>
        <w:t>more</w:t>
      </w:r>
      <w:r>
        <w:rPr>
          <w:spacing w:val="-2"/>
          <w:w w:val="95"/>
        </w:rPr>
        <w:t xml:space="preserve"> </w:t>
      </w:r>
      <w:r>
        <w:rPr>
          <w:w w:val="95"/>
        </w:rPr>
        <w:t>focused</w:t>
      </w:r>
      <w:r>
        <w:rPr>
          <w:spacing w:val="-2"/>
          <w:w w:val="95"/>
        </w:rPr>
        <w:t xml:space="preserve"> </w:t>
      </w:r>
      <w:r>
        <w:rPr>
          <w:w w:val="95"/>
        </w:rPr>
        <w:t xml:space="preserve">and </w:t>
      </w:r>
      <w:r>
        <w:t>affordable</w:t>
      </w:r>
      <w:r>
        <w:rPr>
          <w:spacing w:val="-11"/>
        </w:rPr>
        <w:t xml:space="preserve"> </w:t>
      </w:r>
      <w:r>
        <w:t>scheme.</w:t>
      </w:r>
    </w:p>
    <w:p w:rsidR="002C1123" w:rsidRDefault="00F22F94">
      <w:pPr>
        <w:pStyle w:val="BodyText"/>
        <w:spacing w:before="144" w:line="249" w:lineRule="auto"/>
        <w:ind w:left="320" w:right="478"/>
      </w:pPr>
      <w:r>
        <w:rPr>
          <w:w w:val="95"/>
        </w:rPr>
        <w:t>Figure</w:t>
      </w:r>
      <w:r>
        <w:rPr>
          <w:spacing w:val="-5"/>
          <w:w w:val="95"/>
        </w:rPr>
        <w:t xml:space="preserve"> </w:t>
      </w:r>
      <w:r>
        <w:rPr>
          <w:w w:val="95"/>
        </w:rPr>
        <w:t>6.4</w:t>
      </w:r>
      <w:r>
        <w:rPr>
          <w:spacing w:val="-5"/>
          <w:w w:val="95"/>
        </w:rPr>
        <w:t xml:space="preserve"> </w:t>
      </w:r>
      <w:r>
        <w:rPr>
          <w:w w:val="95"/>
        </w:rPr>
        <w:t>indicates</w:t>
      </w:r>
      <w:r>
        <w:rPr>
          <w:spacing w:val="-5"/>
          <w:w w:val="95"/>
        </w:rPr>
        <w:t xml:space="preserve"> </w:t>
      </w:r>
      <w:r>
        <w:rPr>
          <w:w w:val="95"/>
        </w:rPr>
        <w:t>the</w:t>
      </w:r>
      <w:r>
        <w:rPr>
          <w:spacing w:val="-5"/>
          <w:w w:val="95"/>
        </w:rPr>
        <w:t xml:space="preserve"> </w:t>
      </w:r>
      <w:r>
        <w:rPr>
          <w:w w:val="95"/>
        </w:rPr>
        <w:t>proposed</w:t>
      </w:r>
      <w:r>
        <w:rPr>
          <w:spacing w:val="-5"/>
          <w:w w:val="95"/>
        </w:rPr>
        <w:t xml:space="preserve"> </w:t>
      </w:r>
      <w:r>
        <w:rPr>
          <w:w w:val="95"/>
        </w:rPr>
        <w:t>alignment</w:t>
      </w:r>
      <w:r>
        <w:rPr>
          <w:spacing w:val="-5"/>
          <w:w w:val="95"/>
        </w:rPr>
        <w:t xml:space="preserve"> </w:t>
      </w:r>
      <w:r>
        <w:rPr>
          <w:w w:val="95"/>
        </w:rPr>
        <w:t xml:space="preserve">of </w:t>
      </w:r>
      <w:r>
        <w:rPr>
          <w:spacing w:val="-2"/>
        </w:rPr>
        <w:t>WestConnex.</w:t>
      </w:r>
    </w:p>
    <w:p w:rsidR="002C1123" w:rsidRDefault="00F22F94">
      <w:pPr>
        <w:pStyle w:val="BodyText"/>
        <w:spacing w:before="144" w:line="249" w:lineRule="auto"/>
        <w:ind w:left="320" w:right="759"/>
      </w:pPr>
      <w:r>
        <w:rPr>
          <w:w w:val="95"/>
        </w:rPr>
        <w:t>A</w:t>
      </w:r>
      <w:r>
        <w:rPr>
          <w:spacing w:val="-1"/>
          <w:w w:val="95"/>
        </w:rPr>
        <w:t xml:space="preserve"> </w:t>
      </w:r>
      <w:r>
        <w:rPr>
          <w:w w:val="95"/>
        </w:rPr>
        <w:t>more</w:t>
      </w:r>
      <w:r>
        <w:rPr>
          <w:spacing w:val="-1"/>
          <w:w w:val="95"/>
        </w:rPr>
        <w:t xml:space="preserve"> </w:t>
      </w:r>
      <w:r>
        <w:rPr>
          <w:w w:val="95"/>
        </w:rPr>
        <w:t>detailed</w:t>
      </w:r>
      <w:r>
        <w:rPr>
          <w:spacing w:val="-1"/>
          <w:w w:val="95"/>
        </w:rPr>
        <w:t xml:space="preserve"> </w:t>
      </w:r>
      <w:r>
        <w:rPr>
          <w:w w:val="95"/>
        </w:rPr>
        <w:t>description</w:t>
      </w:r>
      <w:r>
        <w:rPr>
          <w:spacing w:val="-1"/>
          <w:w w:val="95"/>
        </w:rPr>
        <w:t xml:space="preserve"> </w:t>
      </w:r>
      <w:r>
        <w:rPr>
          <w:w w:val="95"/>
        </w:rPr>
        <w:t>of</w:t>
      </w:r>
      <w:r>
        <w:rPr>
          <w:spacing w:val="-1"/>
          <w:w w:val="95"/>
        </w:rPr>
        <w:t xml:space="preserve"> </w:t>
      </w:r>
      <w:r>
        <w:rPr>
          <w:w w:val="95"/>
        </w:rPr>
        <w:t>the</w:t>
      </w:r>
      <w:r>
        <w:rPr>
          <w:spacing w:val="-1"/>
          <w:w w:val="95"/>
        </w:rPr>
        <w:t xml:space="preserve"> </w:t>
      </w:r>
      <w:r>
        <w:rPr>
          <w:w w:val="95"/>
        </w:rPr>
        <w:t>constituent</w:t>
      </w:r>
      <w:r>
        <w:rPr>
          <w:spacing w:val="-1"/>
          <w:w w:val="95"/>
        </w:rPr>
        <w:t xml:space="preserve"> </w:t>
      </w:r>
      <w:r>
        <w:rPr>
          <w:w w:val="95"/>
        </w:rPr>
        <w:t xml:space="preserve">elements </w:t>
      </w:r>
      <w:r>
        <w:t>of</w:t>
      </w:r>
      <w:r>
        <w:rPr>
          <w:spacing w:val="-11"/>
        </w:rPr>
        <w:t xml:space="preserve"> </w:t>
      </w:r>
      <w:r>
        <w:t>the</w:t>
      </w:r>
      <w:r>
        <w:rPr>
          <w:spacing w:val="-11"/>
        </w:rPr>
        <w:t xml:space="preserve"> </w:t>
      </w:r>
      <w:r>
        <w:t>proposed</w:t>
      </w:r>
      <w:r>
        <w:rPr>
          <w:spacing w:val="-11"/>
        </w:rPr>
        <w:t xml:space="preserve"> </w:t>
      </w:r>
      <w:r>
        <w:t>WestConnex</w:t>
      </w:r>
      <w:r>
        <w:rPr>
          <w:spacing w:val="-11"/>
        </w:rPr>
        <w:t xml:space="preserve"> </w:t>
      </w:r>
      <w:r>
        <w:t>reference</w:t>
      </w:r>
      <w:r>
        <w:rPr>
          <w:spacing w:val="-11"/>
        </w:rPr>
        <w:t xml:space="preserve"> </w:t>
      </w:r>
      <w:r>
        <w:t>scheme,</w:t>
      </w:r>
      <w:r>
        <w:rPr>
          <w:spacing w:val="-11"/>
        </w:rPr>
        <w:t xml:space="preserve"> </w:t>
      </w:r>
      <w:r>
        <w:t xml:space="preserve">its </w:t>
      </w:r>
      <w:r>
        <w:rPr>
          <w:w w:val="95"/>
        </w:rPr>
        <w:t>benefits</w:t>
      </w:r>
      <w:r>
        <w:rPr>
          <w:spacing w:val="-1"/>
          <w:w w:val="95"/>
        </w:rPr>
        <w:t xml:space="preserve"> </w:t>
      </w:r>
      <w:r>
        <w:rPr>
          <w:w w:val="95"/>
        </w:rPr>
        <w:t>and</w:t>
      </w:r>
      <w:r>
        <w:rPr>
          <w:spacing w:val="-1"/>
          <w:w w:val="95"/>
        </w:rPr>
        <w:t xml:space="preserve"> </w:t>
      </w:r>
      <w:r>
        <w:rPr>
          <w:w w:val="95"/>
        </w:rPr>
        <w:t>delivery</w:t>
      </w:r>
      <w:r>
        <w:rPr>
          <w:spacing w:val="-1"/>
          <w:w w:val="95"/>
        </w:rPr>
        <w:t xml:space="preserve"> </w:t>
      </w:r>
      <w:r>
        <w:rPr>
          <w:w w:val="95"/>
        </w:rPr>
        <w:t>options</w:t>
      </w:r>
      <w:r>
        <w:rPr>
          <w:spacing w:val="-1"/>
          <w:w w:val="95"/>
        </w:rPr>
        <w:t xml:space="preserve"> </w:t>
      </w:r>
      <w:r>
        <w:rPr>
          <w:w w:val="95"/>
        </w:rPr>
        <w:t>is</w:t>
      </w:r>
      <w:r>
        <w:rPr>
          <w:spacing w:val="-1"/>
          <w:w w:val="95"/>
        </w:rPr>
        <w:t xml:space="preserve"> </w:t>
      </w:r>
      <w:r>
        <w:rPr>
          <w:w w:val="95"/>
        </w:rPr>
        <w:t>set</w:t>
      </w:r>
      <w:r>
        <w:rPr>
          <w:spacing w:val="-1"/>
          <w:w w:val="95"/>
        </w:rPr>
        <w:t xml:space="preserve"> </w:t>
      </w:r>
      <w:r>
        <w:rPr>
          <w:w w:val="95"/>
        </w:rPr>
        <w:t>out</w:t>
      </w:r>
      <w:r>
        <w:rPr>
          <w:spacing w:val="-1"/>
          <w:w w:val="95"/>
        </w:rPr>
        <w:t xml:space="preserve"> </w:t>
      </w:r>
      <w:r>
        <w:rPr>
          <w:w w:val="95"/>
        </w:rPr>
        <w:t>in</w:t>
      </w:r>
      <w:r>
        <w:rPr>
          <w:spacing w:val="-1"/>
          <w:w w:val="95"/>
        </w:rPr>
        <w:t xml:space="preserve"> </w:t>
      </w:r>
      <w:r>
        <w:rPr>
          <w:w w:val="95"/>
        </w:rPr>
        <w:t>the</w:t>
      </w:r>
      <w:r>
        <w:rPr>
          <w:spacing w:val="-1"/>
          <w:w w:val="95"/>
        </w:rPr>
        <w:t xml:space="preserve"> </w:t>
      </w:r>
      <w:r>
        <w:rPr>
          <w:w w:val="95"/>
        </w:rPr>
        <w:t xml:space="preserve">document </w:t>
      </w:r>
      <w:r>
        <w:t>WestConnex:</w:t>
      </w:r>
      <w:r>
        <w:rPr>
          <w:spacing w:val="-11"/>
        </w:rPr>
        <w:t xml:space="preserve"> </w:t>
      </w:r>
      <w:r>
        <w:t>Sydney’s</w:t>
      </w:r>
      <w:r>
        <w:rPr>
          <w:spacing w:val="-11"/>
        </w:rPr>
        <w:t xml:space="preserve"> </w:t>
      </w:r>
      <w:r>
        <w:t>Next</w:t>
      </w:r>
      <w:r>
        <w:rPr>
          <w:spacing w:val="-11"/>
        </w:rPr>
        <w:t xml:space="preserve"> </w:t>
      </w:r>
      <w:r>
        <w:t>Motorway</w:t>
      </w:r>
      <w:r>
        <w:rPr>
          <w:spacing w:val="-11"/>
        </w:rPr>
        <w:t xml:space="preserve"> </w:t>
      </w:r>
      <w:r>
        <w:t>Priority</w:t>
      </w:r>
      <w:r>
        <w:rPr>
          <w:spacing w:val="-11"/>
        </w:rPr>
        <w:t xml:space="preserve"> </w:t>
      </w:r>
      <w:r>
        <w:t>on Infrastructure NSW’s website.</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292" w:space="40"/>
            <w:col w:w="4854" w:space="39"/>
            <w:col w:w="5835"/>
          </w:cols>
        </w:sectPr>
      </w:pPr>
    </w:p>
    <w:p w:rsidR="002C1123" w:rsidRDefault="002C1123">
      <w:pPr>
        <w:pStyle w:val="BodyText"/>
        <w:spacing w:before="10" w:after="1"/>
        <w:rPr>
          <w:sz w:val="14"/>
        </w:rPr>
      </w:pPr>
    </w:p>
    <w:p w:rsidR="002C1123" w:rsidRDefault="002060EF">
      <w:pPr>
        <w:pStyle w:val="BodyText"/>
        <w:ind w:left="5518"/>
      </w:pPr>
      <w:r>
        <w:pict>
          <v:shape id="docshape1159" o:spid="_x0000_s5276" type="#_x0000_t202" style="width:240pt;height:45.35pt;mso-left-percent:-10001;mso-top-percent:-10001;mso-position-horizontal:absolute;mso-position-horizontal-relative:char;mso-position-vertical:absolute;mso-position-vertical-relative:line;mso-left-percent:-10001;mso-top-percent:-10001" fillcolor="#e1e0e1" stroked="f">
            <v:textbox inset="0,0,0,0">
              <w:txbxContent>
                <w:p w:rsidR="00F22F94" w:rsidRDefault="00F22F94">
                  <w:pPr>
                    <w:pStyle w:val="BodyText"/>
                    <w:spacing w:before="68" w:line="249" w:lineRule="auto"/>
                    <w:ind w:left="113" w:right="140"/>
                    <w:jc w:val="both"/>
                    <w:rPr>
                      <w:color w:val="000000"/>
                    </w:rPr>
                  </w:pPr>
                  <w:r>
                    <w:rPr>
                      <w:b/>
                      <w:color w:val="00AEEF"/>
                      <w:w w:val="95"/>
                    </w:rPr>
                    <w:t xml:space="preserve">Recommendation </w:t>
                  </w:r>
                  <w:r>
                    <w:rPr>
                      <w:color w:val="000000"/>
                      <w:w w:val="95"/>
                    </w:rPr>
                    <w:t xml:space="preserve">Infrastructure NSW recommends the identification and preservation of a corridor for the </w:t>
                  </w:r>
                  <w:r>
                    <w:rPr>
                      <w:color w:val="000000"/>
                    </w:rPr>
                    <w:t>Outer Western Sydney Orbital.</w:t>
                  </w:r>
                </w:p>
              </w:txbxContent>
            </v:textbox>
            <w10:anchorlock/>
          </v:shape>
        </w:pict>
      </w:r>
    </w:p>
    <w:p w:rsidR="002C1123" w:rsidRDefault="002C1123">
      <w:pPr>
        <w:sectPr w:rsidR="002C1123">
          <w:type w:val="continuous"/>
          <w:pgSz w:w="16840" w:h="11910" w:orient="landscape"/>
          <w:pgMar w:top="560" w:right="280" w:bottom="280" w:left="500" w:header="0" w:footer="517"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1"/>
        <w:rPr>
          <w:sz w:val="29"/>
        </w:rPr>
      </w:pPr>
    </w:p>
    <w:p w:rsidR="002C1123" w:rsidRDefault="002C1123">
      <w:pPr>
        <w:rPr>
          <w:sz w:val="29"/>
        </w:rPr>
        <w:sectPr w:rsidR="002C1123">
          <w:pgSz w:w="16840" w:h="11910" w:orient="landscape"/>
          <w:pgMar w:top="560" w:right="280" w:bottom="700" w:left="500" w:header="0" w:footer="517" w:gutter="0"/>
          <w:cols w:space="720"/>
        </w:sectPr>
      </w:pPr>
    </w:p>
    <w:p w:rsidR="002C1123" w:rsidRDefault="002060EF">
      <w:pPr>
        <w:spacing w:before="119"/>
        <w:ind w:left="586"/>
        <w:rPr>
          <w:b/>
          <w:sz w:val="18"/>
        </w:rPr>
      </w:pPr>
      <w:r>
        <w:pict>
          <v:group id="docshapegroup1160" o:spid="_x0000_s4135" style="position:absolute;left:0;text-align:left;margin-left:48.6pt;margin-top:.95pt;width:743.7pt;height:413.05pt;z-index:-251495424;mso-position-horizontal-relative:page" coordorigin="972,19" coordsize="14874,8261">
            <v:shape id="docshape1161" o:spid="_x0000_s4159" type="#_x0000_t75" style="position:absolute;left:972;top:19;width:11931;height:8261">
              <v:imagedata r:id="rId130" o:title=""/>
            </v:shape>
            <v:rect id="docshape1162" o:spid="_x0000_s4158" style="position:absolute;left:10799;top:39;width:5046;height:8221" stroked="f"/>
            <v:shape id="docshape1163" o:spid="_x0000_s4157" type="#_x0000_t75" style="position:absolute;left:2866;top:5984;width:220;height:220">
              <v:imagedata r:id="rId131" o:title=""/>
            </v:shape>
            <v:shape id="docshape1164" o:spid="_x0000_s4156" type="#_x0000_t75" style="position:absolute;left:6207;top:5734;width:220;height:220">
              <v:imagedata r:id="rId131" o:title=""/>
            </v:shape>
            <v:shape id="docshape1165" o:spid="_x0000_s4155" type="#_x0000_t75" style="position:absolute;left:3269;top:2120;width:220;height:220">
              <v:imagedata r:id="rId108" o:title=""/>
            </v:shape>
            <v:shape id="docshape1166" o:spid="_x0000_s4154" type="#_x0000_t75" style="position:absolute;left:4017;top:2630;width:220;height:220">
              <v:imagedata r:id="rId108" o:title=""/>
            </v:shape>
            <v:shape id="docshape1167" o:spid="_x0000_s4153" type="#_x0000_t75" style="position:absolute;left:6127;top:3431;width:220;height:220">
              <v:imagedata r:id="rId107" o:title=""/>
            </v:shape>
            <v:shape id="docshape1168" o:spid="_x0000_s4152" type="#_x0000_t75" style="position:absolute;left:7246;top:3982;width:220;height:220">
              <v:imagedata r:id="rId132" o:title=""/>
            </v:shape>
            <v:shape id="docshape1169" o:spid="_x0000_s4151" type="#_x0000_t75" style="position:absolute;left:9056;top:6599;width:220;height:220">
              <v:imagedata r:id="rId133" o:title=""/>
            </v:shape>
            <v:shape id="docshape1170" o:spid="_x0000_s4150" type="#_x0000_t75" style="position:absolute;left:7287;top:5443;width:220;height:220">
              <v:imagedata r:id="rId134" o:title=""/>
            </v:shape>
            <v:shape id="docshape1171" o:spid="_x0000_s4149" type="#_x0000_t75" style="position:absolute;left:7601;top:5338;width:220;height:220">
              <v:imagedata r:id="rId135" o:title=""/>
            </v:shape>
            <v:shape id="docshape1172" o:spid="_x0000_s4148" type="#_x0000_t75" style="position:absolute;left:7015;top:5790;width:220;height:220">
              <v:imagedata r:id="rId136" o:title=""/>
            </v:shape>
            <v:shape id="docshape1173" o:spid="_x0000_s4147" type="#_x0000_t75" style="position:absolute;left:7687;top:4276;width:220;height:220">
              <v:imagedata r:id="rId107" o:title=""/>
            </v:shape>
            <v:shape id="docshape1174" o:spid="_x0000_s4146" type="#_x0000_t75" style="position:absolute;left:11018;top:6089;width:220;height:220">
              <v:imagedata r:id="rId137" o:title=""/>
            </v:shape>
            <v:shape id="docshape1175" o:spid="_x0000_s4145" type="#_x0000_t75" style="position:absolute;left:11018;top:5393;width:220;height:220">
              <v:imagedata r:id="rId138" o:title=""/>
            </v:shape>
            <v:shape id="docshape1176" o:spid="_x0000_s4144" type="#_x0000_t75" style="position:absolute;left:11018;top:89;width:220;height:220">
              <v:imagedata r:id="rId139" o:title=""/>
            </v:shape>
            <v:shape id="docshape1177" o:spid="_x0000_s4143" type="#_x0000_t75" style="position:absolute;left:11018;top:401;width:220;height:220">
              <v:imagedata r:id="rId140" o:title=""/>
            </v:shape>
            <v:shape id="docshape1178" o:spid="_x0000_s4142" type="#_x0000_t75" style="position:absolute;left:11018;top:1289;width:220;height:220">
              <v:imagedata r:id="rId141" o:title=""/>
            </v:shape>
            <v:shape id="docshape1179" o:spid="_x0000_s4141" type="#_x0000_t75" style="position:absolute;left:11018;top:1793;width:220;height:220">
              <v:imagedata r:id="rId142" o:title=""/>
            </v:shape>
            <v:shape id="docshape1180" o:spid="_x0000_s4140" type="#_x0000_t75" style="position:absolute;left:11018;top:3189;width:220;height:221">
              <v:imagedata r:id="rId143" o:title=""/>
            </v:shape>
            <v:shape id="docshape1181" o:spid="_x0000_s4139" type="#_x0000_t75" style="position:absolute;left:11018;top:3880;width:220;height:220">
              <v:imagedata r:id="rId144" o:title=""/>
            </v:shape>
            <v:shape id="docshape1182" o:spid="_x0000_s4138" type="#_x0000_t75" style="position:absolute;left:11018;top:4383;width:220;height:220">
              <v:imagedata r:id="rId144" o:title=""/>
            </v:shape>
            <v:shape id="docshape1183" o:spid="_x0000_s4137" type="#_x0000_t75" style="position:absolute;left:11018;top:5080;width:220;height:220">
              <v:imagedata r:id="rId144" o:title=""/>
            </v:shape>
            <v:shape id="docshape1184" o:spid="_x0000_s4136" type="#_x0000_t75" style="position:absolute;left:11018;top:2491;width:220;height:220">
              <v:imagedata r:id="rId107" o:title=""/>
            </v:shape>
            <w10:wrap anchorx="page"/>
          </v:group>
        </w:pict>
      </w:r>
      <w:bookmarkStart w:id="169" w:name="_bookmark121"/>
      <w:bookmarkEnd w:id="169"/>
      <w:r w:rsidR="00F22F94">
        <w:rPr>
          <w:b/>
          <w:sz w:val="18"/>
        </w:rPr>
        <w:t>Figure</w:t>
      </w:r>
      <w:r w:rsidR="00F22F94">
        <w:rPr>
          <w:b/>
          <w:spacing w:val="-6"/>
          <w:sz w:val="18"/>
        </w:rPr>
        <w:t xml:space="preserve"> </w:t>
      </w:r>
      <w:r w:rsidR="00F22F94">
        <w:rPr>
          <w:b/>
          <w:sz w:val="18"/>
        </w:rPr>
        <w:t>6.4</w:t>
      </w:r>
      <w:r w:rsidR="00F22F94">
        <w:rPr>
          <w:b/>
          <w:spacing w:val="40"/>
          <w:sz w:val="18"/>
        </w:rPr>
        <w:t xml:space="preserve"> </w:t>
      </w:r>
      <w:r w:rsidR="00F22F94">
        <w:rPr>
          <w:b/>
          <w:sz w:val="18"/>
        </w:rPr>
        <w:t>WestConnex</w:t>
      </w:r>
      <w:r w:rsidR="00F22F94">
        <w:rPr>
          <w:b/>
          <w:spacing w:val="-6"/>
          <w:sz w:val="18"/>
        </w:rPr>
        <w:t xml:space="preserve"> </w:t>
      </w:r>
      <w:r w:rsidR="00F22F94">
        <w:rPr>
          <w:b/>
          <w:sz w:val="18"/>
        </w:rPr>
        <w:t>Reference</w:t>
      </w:r>
      <w:r w:rsidR="00F22F94">
        <w:rPr>
          <w:b/>
          <w:spacing w:val="-5"/>
          <w:sz w:val="18"/>
        </w:rPr>
        <w:t xml:space="preserve"> </w:t>
      </w:r>
      <w:r w:rsidR="00F22F94">
        <w:rPr>
          <w:b/>
          <w:spacing w:val="-2"/>
          <w:sz w:val="18"/>
        </w:rPr>
        <w:t>Scheme</w:t>
      </w: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spacing w:before="6"/>
        <w:rPr>
          <w:b/>
          <w:sz w:val="26"/>
        </w:rPr>
      </w:pPr>
    </w:p>
    <w:p w:rsidR="002C1123" w:rsidRDefault="002060EF">
      <w:pPr>
        <w:ind w:left="1523" w:right="2250"/>
        <w:jc w:val="center"/>
        <w:rPr>
          <w:sz w:val="12"/>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134" type="#_x0000_t136" style="position:absolute;left:0;text-align:left;margin-left:110.95pt;margin-top:7.7pt;width:2.7pt;height:6pt;rotation:3;z-index:251302912;mso-position-horizontal-relative:page" fillcolor="black" stroked="f">
            <o:extrusion v:ext="view" autorotationcenter="t"/>
            <v:textpath style="font-family:&quot;Arial&quot;;font-size:6pt;v-text-kern:t;mso-text-shadow:auto" string="u"/>
            <w10:wrap anchorx="page"/>
          </v:shape>
        </w:pict>
      </w:r>
      <w:r>
        <w:pict>
          <v:shape id="_x0000_s4133" type="#_x0000_t136" style="position:absolute;left:0;text-align:left;margin-left:113.6pt;margin-top:8.15pt;width:4.1pt;height:6pt;rotation:8;z-index:251305984;mso-position-horizontal-relative:page" fillcolor="black" stroked="f">
            <o:extrusion v:ext="view" autorotationcenter="t"/>
            <v:textpath style="font-family:&quot;Arial&quot;;font-size:6pt;v-text-kern:t;mso-text-shadow:auto" string="rc"/>
            <w10:wrap anchorx="page"/>
          </v:shape>
        </w:pict>
      </w:r>
      <w:r>
        <w:pict>
          <v:shape id="_x0000_s4132" type="#_x0000_t136" style="position:absolute;left:0;text-align:left;margin-left:117.65pt;margin-top:8.7pt;width:2.75pt;height:6pt;rotation:12;z-index:251307008;mso-position-horizontal-relative:page" fillcolor="black" stroked="f">
            <o:extrusion v:ext="view" autorotationcenter="t"/>
            <v:textpath style="font-family:&quot;Arial&quot;;font-size:6pt;v-text-kern:t;mso-text-shadow:auto" string="h"/>
            <w10:wrap anchorx="page"/>
          </v:shape>
        </w:pict>
      </w:r>
      <w:r>
        <w:pict>
          <v:shape id="_x0000_s4131" type="#_x0000_t136" style="position:absolute;left:0;text-align:left;margin-left:121.5pt;margin-top:9.9pt;width:4.4pt;height:6pt;rotation:14;z-index:251308032;mso-position-horizontal-relative:page" fillcolor="black" stroked="f">
            <o:extrusion v:ext="view" autorotationcenter="t"/>
            <v:textpath style="font-family:&quot;Arial&quot;;font-size:6pt;v-text-kern:t;mso-text-shadow:auto" string="St"/>
            <w10:wrap anchorx="page"/>
          </v:shape>
        </w:pict>
      </w:r>
      <w:r>
        <w:pict>
          <v:shape id="_x0000_s4130" type="#_x0000_t136" style="position:absolute;left:0;text-align:left;margin-left:125.95pt;margin-top:10.85pt;width:1.75pt;height:6pt;rotation:29;z-index:251313152;mso-position-horizontal-relative:page" fillcolor="black" stroked="f">
            <o:extrusion v:ext="view" autorotationcenter="t"/>
            <v:textpath style="font-family:&quot;Arial&quot;;font-size:6pt;v-text-kern:t;mso-text-shadow:auto" string="r"/>
            <w10:wrap anchorx="page"/>
          </v:shape>
        </w:pict>
      </w:r>
      <w:r>
        <w:pict>
          <v:shape id="_x0000_s4129" type="#_x0000_t136" style="position:absolute;left:0;text-align:left;margin-left:443.55pt;margin-top:12.75pt;width:3.25pt;height:6pt;rotation:36;z-index:251321344;mso-position-horizontal-relative:page" fillcolor="black" stroked="f">
            <o:extrusion v:ext="view" autorotationcenter="t"/>
            <v:textpath style="font-family:&quot;Arial&quot;;font-size:6pt;v-text-kern:t;mso-text-shadow:auto" string="G"/>
            <w10:wrap anchorx="page"/>
          </v:shape>
        </w:pict>
      </w:r>
      <w:r>
        <w:pict>
          <v:shape id="_x0000_s4128" type="#_x0000_t136" style="position:absolute;left:0;text-align:left;margin-left:446.1pt;margin-top:14.9pt;width:2.65pt;height:6pt;rotation:48;z-index:251322368;mso-position-horizontal-relative:page" fillcolor="black" stroked="f">
            <o:extrusion v:ext="view" autorotationcenter="t"/>
            <v:textpath style="font-family:&quot;Arial&quot;;font-size:6pt;v-text-kern:t;mso-text-shadow:auto" string="o"/>
            <w10:wrap anchorx="page"/>
          </v:shape>
        </w:pict>
      </w:r>
      <w:r>
        <w:pict>
          <v:shape id="_x0000_s4127" type="#_x0000_t136" style="position:absolute;left:0;text-align:left;margin-left:447.95pt;margin-top:16.65pt;width:1.75pt;height:6pt;rotation:54;z-index:251323392;mso-position-horizontal-relative:page" fillcolor="black" stroked="f">
            <o:extrusion v:ext="view" autorotationcenter="t"/>
            <v:textpath style="font-family:&quot;Arial&quot;;font-size:6pt;v-text-kern:t;mso-text-shadow:auto" string="r"/>
            <w10:wrap anchorx="page"/>
          </v:shape>
        </w:pict>
      </w:r>
      <w:r>
        <w:pict>
          <v:shape id="_x0000_s4126" type="#_x0000_t136" style="position:absolute;left:0;text-align:left;margin-left:127.5pt;margin-top:12.65pt;width:2.65pt;height:6pt;rotation:55;z-index:251325440;mso-position-horizontal-relative:page" fillcolor="black" stroked="f">
            <o:extrusion v:ext="view" autorotationcenter="t"/>
            <v:textpath style="font-family:&quot;Arial&quot;;font-size:6pt;v-text-kern:t;mso-text-shadow:auto" string="e"/>
            <w10:wrap anchorx="page"/>
          </v:shape>
        </w:pict>
      </w:r>
      <w:r>
        <w:pict>
          <v:shape id="_x0000_s4125" type="#_x0000_t136" style="position:absolute;left:0;text-align:left;margin-left:448.7pt;margin-top:18.5pt;width:2.6pt;height:6pt;rotation:60;z-index:251326464;mso-position-horizontal-relative:page" fillcolor="black" stroked="f">
            <o:extrusion v:ext="view" autorotationcenter="t"/>
            <v:textpath style="font-family:&quot;Arial&quot;;font-size:6pt;v-text-kern:t;mso-text-shadow:auto" string="e"/>
            <w10:wrap anchorx="page"/>
          </v:shape>
        </w:pict>
      </w:r>
      <w:r>
        <w:pict>
          <v:shape id="_x0000_s4124" type="#_x0000_t136" style="position:absolute;left:0;text-align:left;margin-left:128.55pt;margin-top:15.7pt;width:2.65pt;height:6pt;rotation:81;z-index:251328512;mso-position-horizontal-relative:page" fillcolor="black" stroked="f">
            <o:extrusion v:ext="view" autorotationcenter="t"/>
            <v:textpath style="font-family:&quot;Arial&quot;;font-size:6pt;v-text-kern:t;mso-text-shadow:auto" string="e"/>
            <w10:wrap anchorx="page"/>
          </v:shape>
        </w:pict>
      </w:r>
      <w:r>
        <w:pict>
          <v:shape id="_x0000_s4123" type="#_x0000_t136" style="position:absolute;left:0;text-align:left;margin-left:129.3pt;margin-top:17.7pt;width:1.6pt;height:6pt;rotation:84;z-index:251329536;mso-position-horizontal-relative:page" fillcolor="black" stroked="f">
            <o:extrusion v:ext="view" autorotationcenter="t"/>
            <v:textpath style="font-family:&quot;Arial&quot;;font-size:6pt;v-text-kern:t;mso-text-shadow:auto" string="t"/>
            <w10:wrap anchorx="page"/>
          </v:shape>
        </w:pict>
      </w:r>
      <w:r>
        <w:pict>
          <v:shape id="_x0000_s4122" type="#_x0000_t136" style="position:absolute;left:0;text-align:left;margin-left:130.8pt;margin-top:3.1pt;width:38.25pt;height:6pt;rotation:277;z-index:251350016;mso-position-horizontal-relative:page" fillcolor="black" stroked="f">
            <o:extrusion v:ext="view" autorotationcenter="t"/>
            <v:textpath style="font-family:&quot;Arial&quot;;font-size:6pt;v-text-kern:t;mso-text-shadow:auto" string="James Ruse Drive"/>
            <w10:wrap anchorx="page"/>
          </v:shape>
        </w:pict>
      </w:r>
      <w:r>
        <w:pict>
          <v:shape id="_x0000_s4121" type="#_x0000_t136" style="position:absolute;left:0;text-align:left;margin-left:104.95pt;margin-top:8.1pt;width:3.25pt;height:6pt;rotation:353;z-index:251374592;mso-position-horizontal-relative:page" fillcolor="black" stroked="f">
            <o:extrusion v:ext="view" autorotationcenter="t"/>
            <v:textpath style="font-family:&quot;Arial&quot;;font-size:6pt;v-text-kern:t;mso-text-shadow:auto" string="C"/>
            <w10:wrap anchorx="page"/>
          </v:shape>
        </w:pict>
      </w:r>
      <w:r>
        <w:pict>
          <v:shape id="_x0000_s4120" type="#_x0000_t136" style="position:absolute;left:0;text-align:left;margin-left:108.1pt;margin-top:7.75pt;width:2.7pt;height:6pt;rotation:355;z-index:251375616;mso-position-horizontal-relative:page" fillcolor="black" stroked="f">
            <o:extrusion v:ext="view" autorotationcenter="t"/>
            <v:textpath style="font-family:&quot;Arial&quot;;font-size:6pt;v-text-kern:t;mso-text-shadow:auto" string="h"/>
            <w10:wrap anchorx="page"/>
          </v:shape>
        </w:pict>
      </w:r>
      <w:r w:rsidR="00F22F94">
        <w:rPr>
          <w:spacing w:val="-2"/>
          <w:w w:val="90"/>
          <w:sz w:val="12"/>
        </w:rPr>
        <w:t>Parramatta</w:t>
      </w:r>
    </w:p>
    <w:p w:rsidR="002C1123" w:rsidRDefault="00F22F94">
      <w:pPr>
        <w:rPr>
          <w:sz w:val="14"/>
        </w:rPr>
      </w:pPr>
      <w:r>
        <w:br w:type="column"/>
      </w:r>
    </w:p>
    <w:p w:rsidR="002C1123" w:rsidRDefault="002C1123">
      <w:pPr>
        <w:pStyle w:val="BodyText"/>
        <w:rPr>
          <w:sz w:val="14"/>
        </w:rPr>
      </w:pPr>
    </w:p>
    <w:p w:rsidR="002C1123" w:rsidRDefault="002C1123">
      <w:pPr>
        <w:pStyle w:val="BodyText"/>
        <w:rPr>
          <w:sz w:val="14"/>
        </w:rPr>
      </w:pPr>
    </w:p>
    <w:p w:rsidR="002C1123" w:rsidRDefault="002C1123">
      <w:pPr>
        <w:pStyle w:val="BodyText"/>
        <w:rPr>
          <w:sz w:val="14"/>
        </w:rPr>
      </w:pPr>
    </w:p>
    <w:p w:rsidR="002C1123" w:rsidRDefault="002C1123">
      <w:pPr>
        <w:pStyle w:val="BodyText"/>
        <w:rPr>
          <w:sz w:val="14"/>
        </w:rPr>
      </w:pPr>
    </w:p>
    <w:p w:rsidR="002C1123" w:rsidRDefault="002C1123">
      <w:pPr>
        <w:pStyle w:val="BodyText"/>
        <w:rPr>
          <w:sz w:val="14"/>
        </w:rPr>
      </w:pPr>
    </w:p>
    <w:p w:rsidR="002C1123" w:rsidRDefault="002C1123">
      <w:pPr>
        <w:pStyle w:val="BodyText"/>
        <w:rPr>
          <w:sz w:val="14"/>
        </w:rPr>
      </w:pPr>
    </w:p>
    <w:p w:rsidR="002C1123" w:rsidRDefault="002C1123">
      <w:pPr>
        <w:pStyle w:val="BodyText"/>
        <w:rPr>
          <w:sz w:val="14"/>
        </w:rPr>
      </w:pPr>
    </w:p>
    <w:p w:rsidR="002C1123" w:rsidRDefault="002C1123">
      <w:pPr>
        <w:pStyle w:val="BodyText"/>
        <w:spacing w:before="2"/>
        <w:rPr>
          <w:sz w:val="19"/>
        </w:rPr>
      </w:pPr>
    </w:p>
    <w:p w:rsidR="002C1123" w:rsidRDefault="00F22F94">
      <w:pPr>
        <w:spacing w:before="1"/>
        <w:ind w:left="586"/>
        <w:rPr>
          <w:sz w:val="12"/>
        </w:rPr>
      </w:pPr>
      <w:r>
        <w:rPr>
          <w:w w:val="75"/>
          <w:sz w:val="12"/>
        </w:rPr>
        <w:t>St</w:t>
      </w:r>
      <w:r>
        <w:rPr>
          <w:spacing w:val="-4"/>
          <w:sz w:val="12"/>
        </w:rPr>
        <w:t xml:space="preserve"> </w:t>
      </w:r>
      <w:r>
        <w:rPr>
          <w:spacing w:val="-2"/>
          <w:w w:val="85"/>
          <w:sz w:val="12"/>
        </w:rPr>
        <w:t>Leonards</w:t>
      </w:r>
    </w:p>
    <w:p w:rsidR="002C1123" w:rsidRDefault="002C1123">
      <w:pPr>
        <w:pStyle w:val="BodyText"/>
        <w:rPr>
          <w:sz w:val="14"/>
        </w:rPr>
      </w:pPr>
    </w:p>
    <w:p w:rsidR="002C1123" w:rsidRDefault="002060EF">
      <w:pPr>
        <w:spacing w:before="81"/>
        <w:ind w:left="786"/>
        <w:rPr>
          <w:sz w:val="12"/>
        </w:rPr>
      </w:pPr>
      <w:r>
        <w:pict>
          <v:shape id="_x0000_s4119" type="#_x0000_t136" style="position:absolute;left:0;text-align:left;margin-left:246.15pt;margin-top:11.3pt;width:2.25pt;height:6pt;rotation:296;z-index:251363328;mso-position-horizontal-relative:page" fillcolor="black" stroked="f">
            <o:extrusion v:ext="view" autorotationcenter="t"/>
            <v:textpath style="font-family:&quot;Arial&quot;;font-size:6pt;v-text-kern:t;mso-text-shadow:auto" string="v"/>
            <w10:wrap anchorx="page"/>
          </v:shape>
        </w:pict>
      </w:r>
      <w:r w:rsidR="00F22F94">
        <w:rPr>
          <w:w w:val="75"/>
          <w:sz w:val="12"/>
        </w:rPr>
        <w:t>Crows</w:t>
      </w:r>
      <w:r w:rsidR="00F22F94">
        <w:rPr>
          <w:spacing w:val="1"/>
          <w:sz w:val="12"/>
        </w:rPr>
        <w:t xml:space="preserve"> </w:t>
      </w:r>
      <w:r w:rsidR="00F22F94">
        <w:rPr>
          <w:spacing w:val="-4"/>
          <w:w w:val="85"/>
          <w:sz w:val="12"/>
        </w:rPr>
        <w:t>Nest</w:t>
      </w:r>
    </w:p>
    <w:p w:rsidR="002C1123" w:rsidRDefault="00F22F94">
      <w:pPr>
        <w:rPr>
          <w:sz w:val="14"/>
        </w:rPr>
      </w:pPr>
      <w:r>
        <w:br w:type="column"/>
      </w:r>
    </w:p>
    <w:p w:rsidR="002C1123" w:rsidRDefault="002C1123">
      <w:pPr>
        <w:pStyle w:val="BodyText"/>
        <w:rPr>
          <w:sz w:val="14"/>
        </w:rPr>
      </w:pPr>
    </w:p>
    <w:p w:rsidR="002C1123" w:rsidRDefault="002C1123">
      <w:pPr>
        <w:pStyle w:val="BodyText"/>
        <w:rPr>
          <w:sz w:val="14"/>
        </w:rPr>
      </w:pPr>
    </w:p>
    <w:p w:rsidR="002C1123" w:rsidRDefault="002C1123">
      <w:pPr>
        <w:pStyle w:val="BodyText"/>
        <w:rPr>
          <w:sz w:val="14"/>
        </w:rPr>
      </w:pPr>
    </w:p>
    <w:p w:rsidR="002C1123" w:rsidRDefault="002C1123">
      <w:pPr>
        <w:pStyle w:val="BodyText"/>
        <w:rPr>
          <w:sz w:val="14"/>
        </w:rPr>
      </w:pPr>
    </w:p>
    <w:p w:rsidR="002C1123" w:rsidRDefault="002C1123">
      <w:pPr>
        <w:pStyle w:val="BodyText"/>
        <w:rPr>
          <w:sz w:val="14"/>
        </w:rPr>
      </w:pPr>
    </w:p>
    <w:p w:rsidR="002C1123" w:rsidRDefault="002C1123">
      <w:pPr>
        <w:pStyle w:val="BodyText"/>
        <w:rPr>
          <w:sz w:val="14"/>
        </w:rPr>
      </w:pPr>
    </w:p>
    <w:p w:rsidR="002C1123" w:rsidRDefault="002C1123">
      <w:pPr>
        <w:pStyle w:val="BodyText"/>
        <w:rPr>
          <w:sz w:val="14"/>
        </w:rPr>
      </w:pPr>
    </w:p>
    <w:p w:rsidR="002C1123" w:rsidRDefault="002C1123">
      <w:pPr>
        <w:pStyle w:val="BodyText"/>
        <w:rPr>
          <w:sz w:val="14"/>
        </w:rPr>
      </w:pPr>
    </w:p>
    <w:p w:rsidR="002C1123" w:rsidRDefault="002C1123">
      <w:pPr>
        <w:pStyle w:val="BodyText"/>
        <w:rPr>
          <w:sz w:val="14"/>
        </w:rPr>
      </w:pPr>
    </w:p>
    <w:p w:rsidR="002C1123" w:rsidRDefault="002C1123">
      <w:pPr>
        <w:pStyle w:val="BodyText"/>
        <w:rPr>
          <w:sz w:val="14"/>
        </w:rPr>
      </w:pPr>
    </w:p>
    <w:p w:rsidR="002C1123" w:rsidRDefault="002C1123">
      <w:pPr>
        <w:pStyle w:val="BodyText"/>
        <w:rPr>
          <w:sz w:val="14"/>
        </w:rPr>
      </w:pPr>
    </w:p>
    <w:p w:rsidR="002C1123" w:rsidRDefault="002C1123">
      <w:pPr>
        <w:pStyle w:val="BodyText"/>
        <w:spacing w:before="8"/>
        <w:rPr>
          <w:sz w:val="14"/>
        </w:rPr>
      </w:pPr>
    </w:p>
    <w:p w:rsidR="002C1123" w:rsidRDefault="002060EF">
      <w:pPr>
        <w:spacing w:line="42" w:lineRule="exact"/>
        <w:ind w:left="586"/>
        <w:rPr>
          <w:sz w:val="12"/>
        </w:rPr>
      </w:pPr>
      <w:r>
        <w:pict>
          <v:shape id="_x0000_s4118" type="#_x0000_t136" style="position:absolute;left:0;text-align:left;margin-left:445.25pt;margin-top:7.05pt;width:2.35pt;height:6pt;rotation:81;z-index:251327488;mso-position-horizontal-relative:page" fillcolor="black" stroked="f">
            <o:extrusion v:ext="view" autorotationcenter="t"/>
            <v:textpath style="font-family:&quot;Arial&quot;;font-size:6pt;v-text-kern:t;mso-text-shadow:auto" string="y"/>
            <w10:wrap anchorx="page"/>
          </v:shape>
        </w:pict>
      </w:r>
      <w:r>
        <w:pict>
          <v:shape id="_x0000_s4117" type="#_x0000_t136" style="position:absolute;left:0;text-align:left;margin-left:444.9pt;margin-top:4.55pt;width:2.65pt;height:6pt;rotation:88;z-index:251331584;mso-position-horizontal-relative:page" fillcolor="black" stroked="f">
            <o:extrusion v:ext="view" autorotationcenter="t"/>
            <v:textpath style="font-family:&quot;Arial&quot;;font-size:6pt;v-text-kern:t;mso-text-shadow:auto" string="a"/>
            <w10:wrap anchorx="page"/>
          </v:shape>
        </w:pict>
      </w:r>
      <w:r>
        <w:pict>
          <v:shape id="_x0000_s4116" type="#_x0000_t136" style="position:absolute;left:0;text-align:left;margin-left:449.3pt;margin-top:-15.9pt;width:3.2pt;height:6pt;rotation:93;z-index:251332608;mso-position-horizontal-relative:page" fillcolor="black" stroked="f">
            <o:extrusion v:ext="view" autorotationcenter="t"/>
            <v:textpath style="font-family:&quot;Arial&quot;;font-size:6pt;v-text-kern:t;mso-text-shadow:auto" string="H"/>
            <w10:wrap anchorx="page"/>
          </v:shape>
        </w:pict>
      </w:r>
      <w:r>
        <w:pict>
          <v:shape id="_x0000_s4115" type="#_x0000_t136" style="position:absolute;left:0;text-align:left;margin-left:444.55pt;margin-top:1.45pt;width:3.6pt;height:6pt;rotation:95;z-index:251333632;mso-position-horizontal-relative:page" fillcolor="black" stroked="f">
            <o:extrusion v:ext="view" autorotationcenter="t"/>
            <v:textpath style="font-family:&quot;Arial&quot;;font-size:6pt;v-text-kern:t;mso-text-shadow:auto" string="w"/>
            <w10:wrap anchorx="page"/>
          </v:shape>
        </w:pict>
      </w:r>
      <w:r>
        <w:pict>
          <v:shape id="_x0000_s4114" type="#_x0000_t136" style="position:absolute;left:0;text-align:left;margin-left:450.05pt;margin-top:-13.7pt;width:1.2pt;height:6pt;rotation:98;z-index:251334656;mso-position-horizontal-relative:page" fillcolor="black" stroked="f">
            <o:extrusion v:ext="view" autorotationcenter="t"/>
            <v:textpath style="font-family:&quot;Arial&quot;;font-size:6pt;v-text-kern:t;mso-text-shadow:auto" string="i"/>
            <w10:wrap anchorx="page"/>
          </v:shape>
        </w:pict>
      </w:r>
      <w:r>
        <w:pict>
          <v:shape id="_x0000_s4113" type="#_x0000_t136" style="position:absolute;left:0;text-align:left;margin-left:445.45pt;margin-top:-1.6pt;width:2.7pt;height:6pt;rotation:100;z-index:251335680;mso-position-horizontal-relative:page" fillcolor="black" stroked="f">
            <o:extrusion v:ext="view" autorotationcenter="t"/>
            <v:textpath style="font-family:&quot;Arial&quot;;font-size:6pt;v-text-kern:t;mso-text-shadow:auto" string="e"/>
            <w10:wrap anchorx="page"/>
          </v:shape>
        </w:pict>
      </w:r>
      <w:r>
        <w:pict>
          <v:shape id="_x0000_s4112" type="#_x0000_t136" style="position:absolute;left:0;text-align:left;margin-left:449.85pt;margin-top:-12.55pt;width:1.2pt;height:6pt;rotation:101;z-index:251336704;mso-position-horizontal-relative:page" fillcolor="black" stroked="f">
            <o:extrusion v:ext="view" autorotationcenter="t"/>
            <v:textpath style="font-family:&quot;Arial&quot;;font-size:6pt;v-text-kern:t;mso-text-shadow:auto" string="l"/>
            <w10:wrap anchorx="page"/>
          </v:shape>
        </w:pict>
      </w:r>
      <w:r>
        <w:pict>
          <v:shape id="_x0000_s4111" type="#_x0000_t136" style="position:absolute;left:0;text-align:left;margin-left:449.6pt;margin-top:-11.45pt;width:1.2pt;height:6pt;rotation:104;z-index:251337728;mso-position-horizontal-relative:page" fillcolor="black" stroked="f">
            <o:extrusion v:ext="view" autorotationcenter="t"/>
            <v:textpath style="font-family:&quot;Arial&quot;;font-size:6pt;v-text-kern:t;mso-text-shadow:auto" string="l"/>
            <w10:wrap anchorx="page"/>
          </v:shape>
        </w:pict>
      </w:r>
      <w:r>
        <w:pict>
          <v:shape id="_x0000_s4110" type="#_x0000_t136" style="position:absolute;left:0;text-align:left;margin-left:446.05pt;margin-top:-4.15pt;width:2.7pt;height:6pt;rotation:105;z-index:251338752;mso-position-horizontal-relative:page" fillcolor="black" stroked="f">
            <o:extrusion v:ext="view" autorotationcenter="t"/>
            <v:textpath style="font-family:&quot;Arial&quot;;font-size:6pt;v-text-kern:t;mso-text-shadow:auto" string="e"/>
            <w10:wrap anchorx="page"/>
          </v:shape>
        </w:pict>
      </w:r>
      <w:r>
        <w:pict>
          <v:shape id="_x0000_s4109" type="#_x0000_t136" style="position:absolute;left:0;text-align:left;margin-left:447.25pt;margin-top:-6.2pt;width:1.7pt;height:6pt;rotation:111;z-index:251339776;mso-position-horizontal-relative:page" fillcolor="black" stroked="f">
            <o:extrusion v:ext="view" autorotationcenter="t"/>
            <v:textpath style="font-family:&quot;Arial&quot;;font-size:6pt;v-text-kern:t;mso-text-shadow:auto" string="r"/>
            <w10:wrap anchorx="page"/>
          </v:shape>
        </w:pict>
      </w:r>
      <w:r>
        <w:pict>
          <v:shape id="_x0000_s4108" type="#_x0000_t136" style="position:absolute;left:0;text-align:left;margin-left:447.7pt;margin-top:-8.15pt;width:2.65pt;height:6pt;rotation:116;z-index:251340800;mso-position-horizontal-relative:page" fillcolor="black" stroked="f">
            <o:extrusion v:ext="view" autorotationcenter="t"/>
            <v:textpath style="font-family:&quot;Arial&quot;;font-size:6pt;v-text-kern:t;mso-text-shadow:auto" string="F"/>
            <w10:wrap anchorx="page"/>
          </v:shape>
        </w:pict>
      </w:r>
      <w:r>
        <w:pict>
          <v:shape id="_x0000_s4107" type="#_x0000_t136" style="position:absolute;left:0;text-align:left;margin-left:247.2pt;margin-top:-5.7pt;width:2.7pt;height:6pt;rotation:300;z-index:251367424;mso-position-horizontal-relative:page" fillcolor="black" stroked="f">
            <o:extrusion v:ext="view" autorotationcenter="t"/>
            <v:textpath style="font-family:&quot;Arial&quot;;font-size:6pt;v-text-kern:t;mso-text-shadow:auto" string="e"/>
            <w10:wrap anchorx="page"/>
          </v:shape>
        </w:pict>
      </w:r>
      <w:r w:rsidR="00F22F94">
        <w:rPr>
          <w:w w:val="75"/>
          <w:sz w:val="12"/>
        </w:rPr>
        <w:t>North</w:t>
      </w:r>
      <w:r w:rsidR="00F22F94">
        <w:rPr>
          <w:spacing w:val="3"/>
          <w:sz w:val="12"/>
        </w:rPr>
        <w:t xml:space="preserve"> </w:t>
      </w:r>
      <w:r w:rsidR="00F22F94">
        <w:rPr>
          <w:spacing w:val="-2"/>
          <w:w w:val="85"/>
          <w:sz w:val="12"/>
        </w:rPr>
        <w:t>Sydney</w:t>
      </w:r>
    </w:p>
    <w:p w:rsidR="002C1123" w:rsidRDefault="00F22F94">
      <w:pPr>
        <w:pStyle w:val="ListParagraph"/>
        <w:numPr>
          <w:ilvl w:val="0"/>
          <w:numId w:val="94"/>
        </w:numPr>
        <w:tabs>
          <w:tab w:val="left" w:pos="834"/>
        </w:tabs>
        <w:spacing w:before="98"/>
        <w:ind w:hanging="248"/>
        <w:jc w:val="left"/>
        <w:rPr>
          <w:sz w:val="16"/>
        </w:rPr>
      </w:pPr>
      <w:r>
        <w:br w:type="column"/>
      </w:r>
      <w:r>
        <w:rPr>
          <w:w w:val="75"/>
          <w:sz w:val="16"/>
        </w:rPr>
        <w:t>Reduced</w:t>
      </w:r>
      <w:r>
        <w:rPr>
          <w:spacing w:val="7"/>
          <w:sz w:val="16"/>
        </w:rPr>
        <w:t xml:space="preserve"> </w:t>
      </w:r>
      <w:r>
        <w:rPr>
          <w:w w:val="75"/>
          <w:sz w:val="16"/>
        </w:rPr>
        <w:t>congestion</w:t>
      </w:r>
      <w:r>
        <w:rPr>
          <w:spacing w:val="7"/>
          <w:sz w:val="16"/>
        </w:rPr>
        <w:t xml:space="preserve"> </w:t>
      </w:r>
      <w:r>
        <w:rPr>
          <w:w w:val="75"/>
          <w:sz w:val="16"/>
        </w:rPr>
        <w:t>on</w:t>
      </w:r>
      <w:r>
        <w:rPr>
          <w:spacing w:val="7"/>
          <w:sz w:val="16"/>
        </w:rPr>
        <w:t xml:space="preserve"> </w:t>
      </w:r>
      <w:r>
        <w:rPr>
          <w:w w:val="75"/>
          <w:sz w:val="16"/>
        </w:rPr>
        <w:t>Parramatta</w:t>
      </w:r>
      <w:r>
        <w:rPr>
          <w:spacing w:val="7"/>
          <w:sz w:val="16"/>
        </w:rPr>
        <w:t xml:space="preserve"> </w:t>
      </w:r>
      <w:r>
        <w:rPr>
          <w:w w:val="75"/>
          <w:sz w:val="16"/>
        </w:rPr>
        <w:t>Road</w:t>
      </w:r>
      <w:r>
        <w:rPr>
          <w:spacing w:val="8"/>
          <w:sz w:val="16"/>
        </w:rPr>
        <w:t xml:space="preserve"> </w:t>
      </w:r>
      <w:r>
        <w:rPr>
          <w:w w:val="75"/>
          <w:sz w:val="16"/>
        </w:rPr>
        <w:t>near</w:t>
      </w:r>
      <w:r>
        <w:rPr>
          <w:spacing w:val="7"/>
          <w:sz w:val="16"/>
        </w:rPr>
        <w:t xml:space="preserve"> </w:t>
      </w:r>
      <w:r>
        <w:rPr>
          <w:w w:val="75"/>
          <w:sz w:val="16"/>
        </w:rPr>
        <w:t>Granville</w:t>
      </w:r>
      <w:r>
        <w:rPr>
          <w:spacing w:val="7"/>
          <w:sz w:val="16"/>
        </w:rPr>
        <w:t xml:space="preserve"> </w:t>
      </w:r>
      <w:r>
        <w:rPr>
          <w:w w:val="75"/>
          <w:sz w:val="16"/>
        </w:rPr>
        <w:t>by</w:t>
      </w:r>
      <w:r>
        <w:rPr>
          <w:spacing w:val="7"/>
          <w:sz w:val="16"/>
        </w:rPr>
        <w:t xml:space="preserve"> </w:t>
      </w:r>
      <w:r>
        <w:rPr>
          <w:w w:val="75"/>
          <w:sz w:val="16"/>
        </w:rPr>
        <w:t>improving</w:t>
      </w:r>
      <w:r>
        <w:rPr>
          <w:spacing w:val="7"/>
          <w:sz w:val="16"/>
        </w:rPr>
        <w:t xml:space="preserve"> </w:t>
      </w:r>
      <w:r>
        <w:rPr>
          <w:spacing w:val="-5"/>
          <w:w w:val="75"/>
          <w:sz w:val="16"/>
        </w:rPr>
        <w:t>M4.</w:t>
      </w:r>
    </w:p>
    <w:p w:rsidR="002C1123" w:rsidRDefault="00F22F94">
      <w:pPr>
        <w:pStyle w:val="ListParagraph"/>
        <w:numPr>
          <w:ilvl w:val="0"/>
          <w:numId w:val="94"/>
        </w:numPr>
        <w:tabs>
          <w:tab w:val="left" w:pos="834"/>
        </w:tabs>
        <w:spacing w:before="128" w:line="249" w:lineRule="auto"/>
        <w:ind w:right="862" w:hanging="242"/>
        <w:jc w:val="left"/>
        <w:rPr>
          <w:sz w:val="16"/>
        </w:rPr>
      </w:pPr>
      <w:r>
        <w:rPr>
          <w:w w:val="80"/>
          <w:sz w:val="16"/>
        </w:rPr>
        <w:t>Widening</w:t>
      </w:r>
      <w:r>
        <w:rPr>
          <w:spacing w:val="-3"/>
          <w:w w:val="80"/>
          <w:sz w:val="16"/>
        </w:rPr>
        <w:t xml:space="preserve"> </w:t>
      </w:r>
      <w:r>
        <w:rPr>
          <w:w w:val="80"/>
          <w:sz w:val="16"/>
        </w:rPr>
        <w:t>of</w:t>
      </w:r>
      <w:r>
        <w:rPr>
          <w:spacing w:val="-2"/>
          <w:w w:val="80"/>
          <w:sz w:val="16"/>
        </w:rPr>
        <w:t xml:space="preserve"> </w:t>
      </w:r>
      <w:r>
        <w:rPr>
          <w:w w:val="80"/>
          <w:sz w:val="16"/>
        </w:rPr>
        <w:t>the</w:t>
      </w:r>
      <w:r>
        <w:rPr>
          <w:spacing w:val="-2"/>
          <w:w w:val="80"/>
          <w:sz w:val="16"/>
        </w:rPr>
        <w:t xml:space="preserve"> </w:t>
      </w:r>
      <w:r>
        <w:rPr>
          <w:w w:val="80"/>
          <w:sz w:val="16"/>
        </w:rPr>
        <w:t>existing</w:t>
      </w:r>
      <w:r>
        <w:rPr>
          <w:spacing w:val="-2"/>
          <w:w w:val="80"/>
          <w:sz w:val="16"/>
        </w:rPr>
        <w:t xml:space="preserve"> </w:t>
      </w:r>
      <w:r>
        <w:rPr>
          <w:w w:val="80"/>
          <w:sz w:val="16"/>
        </w:rPr>
        <w:t>M4</w:t>
      </w:r>
      <w:r>
        <w:rPr>
          <w:spacing w:val="-3"/>
          <w:w w:val="80"/>
          <w:sz w:val="16"/>
        </w:rPr>
        <w:t xml:space="preserve"> </w:t>
      </w:r>
      <w:r>
        <w:rPr>
          <w:w w:val="80"/>
          <w:sz w:val="16"/>
        </w:rPr>
        <w:t>to</w:t>
      </w:r>
      <w:r>
        <w:rPr>
          <w:spacing w:val="-2"/>
          <w:w w:val="80"/>
          <w:sz w:val="16"/>
        </w:rPr>
        <w:t xml:space="preserve"> </w:t>
      </w:r>
      <w:r>
        <w:rPr>
          <w:w w:val="80"/>
          <w:sz w:val="16"/>
        </w:rPr>
        <w:t>4</w:t>
      </w:r>
      <w:r>
        <w:rPr>
          <w:spacing w:val="-2"/>
          <w:w w:val="80"/>
          <w:sz w:val="16"/>
        </w:rPr>
        <w:t xml:space="preserve"> </w:t>
      </w:r>
      <w:r>
        <w:rPr>
          <w:w w:val="80"/>
          <w:sz w:val="16"/>
        </w:rPr>
        <w:t>lanes</w:t>
      </w:r>
      <w:r>
        <w:rPr>
          <w:spacing w:val="-2"/>
          <w:w w:val="80"/>
          <w:sz w:val="16"/>
        </w:rPr>
        <w:t xml:space="preserve"> </w:t>
      </w:r>
      <w:r>
        <w:rPr>
          <w:w w:val="80"/>
          <w:sz w:val="16"/>
        </w:rPr>
        <w:t>in</w:t>
      </w:r>
      <w:r>
        <w:rPr>
          <w:spacing w:val="-2"/>
          <w:w w:val="80"/>
          <w:sz w:val="16"/>
        </w:rPr>
        <w:t xml:space="preserve"> </w:t>
      </w:r>
      <w:r>
        <w:rPr>
          <w:w w:val="80"/>
          <w:sz w:val="16"/>
        </w:rPr>
        <w:t>each</w:t>
      </w:r>
      <w:r>
        <w:rPr>
          <w:spacing w:val="-3"/>
          <w:w w:val="80"/>
          <w:sz w:val="16"/>
        </w:rPr>
        <w:t xml:space="preserve"> </w:t>
      </w:r>
      <w:r>
        <w:rPr>
          <w:w w:val="80"/>
          <w:sz w:val="16"/>
        </w:rPr>
        <w:t>direction</w:t>
      </w:r>
      <w:r>
        <w:rPr>
          <w:spacing w:val="-2"/>
          <w:w w:val="80"/>
          <w:sz w:val="16"/>
        </w:rPr>
        <w:t xml:space="preserve"> </w:t>
      </w:r>
      <w:r>
        <w:rPr>
          <w:w w:val="80"/>
          <w:sz w:val="16"/>
        </w:rPr>
        <w:t>alleviates</w:t>
      </w:r>
      <w:r>
        <w:rPr>
          <w:spacing w:val="-2"/>
          <w:w w:val="80"/>
          <w:sz w:val="16"/>
        </w:rPr>
        <w:t xml:space="preserve"> </w:t>
      </w:r>
      <w:r>
        <w:rPr>
          <w:w w:val="80"/>
          <w:sz w:val="16"/>
        </w:rPr>
        <w:t>congestion</w:t>
      </w:r>
      <w:r>
        <w:rPr>
          <w:sz w:val="16"/>
        </w:rPr>
        <w:t xml:space="preserve"> </w:t>
      </w:r>
      <w:r>
        <w:rPr>
          <w:w w:val="80"/>
          <w:sz w:val="16"/>
        </w:rPr>
        <w:t>for cars and trucks especially at James Ruse Drive where the motorway</w:t>
      </w:r>
      <w:r>
        <w:rPr>
          <w:sz w:val="16"/>
        </w:rPr>
        <w:t xml:space="preserve"> </w:t>
      </w:r>
      <w:r>
        <w:rPr>
          <w:w w:val="80"/>
          <w:sz w:val="16"/>
        </w:rPr>
        <w:t>currently reduces from 3 to 2 lanes causing congestion in the morning and</w:t>
      </w:r>
      <w:r>
        <w:rPr>
          <w:sz w:val="16"/>
        </w:rPr>
        <w:t xml:space="preserve"> </w:t>
      </w:r>
      <w:r>
        <w:rPr>
          <w:w w:val="90"/>
          <w:sz w:val="16"/>
        </w:rPr>
        <w:t>afternoon</w:t>
      </w:r>
      <w:r>
        <w:rPr>
          <w:spacing w:val="-7"/>
          <w:w w:val="90"/>
          <w:sz w:val="16"/>
        </w:rPr>
        <w:t xml:space="preserve"> </w:t>
      </w:r>
      <w:r>
        <w:rPr>
          <w:w w:val="90"/>
          <w:sz w:val="16"/>
        </w:rPr>
        <w:t>peak</w:t>
      </w:r>
      <w:r>
        <w:rPr>
          <w:spacing w:val="-7"/>
          <w:w w:val="90"/>
          <w:sz w:val="16"/>
        </w:rPr>
        <w:t xml:space="preserve"> </w:t>
      </w:r>
      <w:r>
        <w:rPr>
          <w:w w:val="90"/>
          <w:sz w:val="16"/>
        </w:rPr>
        <w:t>periods.</w:t>
      </w:r>
    </w:p>
    <w:p w:rsidR="002C1123" w:rsidRDefault="00F22F94">
      <w:pPr>
        <w:pStyle w:val="ListParagraph"/>
        <w:numPr>
          <w:ilvl w:val="0"/>
          <w:numId w:val="94"/>
        </w:numPr>
        <w:tabs>
          <w:tab w:val="left" w:pos="834"/>
        </w:tabs>
        <w:spacing w:before="122" w:line="249" w:lineRule="auto"/>
        <w:ind w:right="908" w:hanging="242"/>
        <w:jc w:val="left"/>
        <w:rPr>
          <w:sz w:val="16"/>
        </w:rPr>
      </w:pPr>
      <w:r>
        <w:rPr>
          <w:w w:val="80"/>
          <w:sz w:val="16"/>
        </w:rPr>
        <w:t>A</w:t>
      </w:r>
      <w:r>
        <w:rPr>
          <w:spacing w:val="-3"/>
          <w:w w:val="80"/>
          <w:sz w:val="16"/>
        </w:rPr>
        <w:t xml:space="preserve"> </w:t>
      </w:r>
      <w:r>
        <w:rPr>
          <w:w w:val="80"/>
          <w:sz w:val="16"/>
        </w:rPr>
        <w:t>new</w:t>
      </w:r>
      <w:r>
        <w:rPr>
          <w:spacing w:val="-2"/>
          <w:w w:val="80"/>
          <w:sz w:val="16"/>
        </w:rPr>
        <w:t xml:space="preserve"> </w:t>
      </w:r>
      <w:r>
        <w:rPr>
          <w:w w:val="80"/>
          <w:sz w:val="16"/>
        </w:rPr>
        <w:t>M4</w:t>
      </w:r>
      <w:r>
        <w:rPr>
          <w:spacing w:val="-2"/>
          <w:w w:val="80"/>
          <w:sz w:val="16"/>
        </w:rPr>
        <w:t xml:space="preserve"> </w:t>
      </w:r>
      <w:r>
        <w:rPr>
          <w:w w:val="80"/>
          <w:sz w:val="16"/>
        </w:rPr>
        <w:t>extension</w:t>
      </w:r>
      <w:r>
        <w:rPr>
          <w:spacing w:val="-2"/>
          <w:w w:val="80"/>
          <w:sz w:val="16"/>
        </w:rPr>
        <w:t xml:space="preserve"> </w:t>
      </w:r>
      <w:r>
        <w:rPr>
          <w:w w:val="80"/>
          <w:sz w:val="16"/>
        </w:rPr>
        <w:t>completes</w:t>
      </w:r>
      <w:r>
        <w:rPr>
          <w:spacing w:val="-2"/>
          <w:w w:val="80"/>
          <w:sz w:val="16"/>
        </w:rPr>
        <w:t xml:space="preserve"> </w:t>
      </w:r>
      <w:r>
        <w:rPr>
          <w:w w:val="80"/>
          <w:sz w:val="16"/>
        </w:rPr>
        <w:t>the</w:t>
      </w:r>
      <w:r>
        <w:rPr>
          <w:spacing w:val="-3"/>
          <w:w w:val="80"/>
          <w:sz w:val="16"/>
        </w:rPr>
        <w:t xml:space="preserve"> </w:t>
      </w:r>
      <w:r>
        <w:rPr>
          <w:w w:val="80"/>
          <w:sz w:val="16"/>
        </w:rPr>
        <w:t>Motorway</w:t>
      </w:r>
      <w:r>
        <w:rPr>
          <w:spacing w:val="-2"/>
          <w:w w:val="80"/>
          <w:sz w:val="16"/>
        </w:rPr>
        <w:t xml:space="preserve"> </w:t>
      </w:r>
      <w:r>
        <w:rPr>
          <w:w w:val="80"/>
          <w:sz w:val="16"/>
        </w:rPr>
        <w:t>missing</w:t>
      </w:r>
      <w:r>
        <w:rPr>
          <w:spacing w:val="-2"/>
          <w:w w:val="80"/>
          <w:sz w:val="16"/>
        </w:rPr>
        <w:t xml:space="preserve"> </w:t>
      </w:r>
      <w:r>
        <w:rPr>
          <w:w w:val="80"/>
          <w:sz w:val="16"/>
        </w:rPr>
        <w:t>link</w:t>
      </w:r>
      <w:r>
        <w:rPr>
          <w:spacing w:val="-2"/>
          <w:w w:val="80"/>
          <w:sz w:val="16"/>
        </w:rPr>
        <w:t xml:space="preserve"> </w:t>
      </w:r>
      <w:r>
        <w:rPr>
          <w:w w:val="80"/>
          <w:sz w:val="16"/>
        </w:rPr>
        <w:t>east</w:t>
      </w:r>
      <w:r>
        <w:rPr>
          <w:spacing w:val="-2"/>
          <w:w w:val="80"/>
          <w:sz w:val="16"/>
        </w:rPr>
        <w:t xml:space="preserve"> </w:t>
      </w:r>
      <w:r>
        <w:rPr>
          <w:w w:val="80"/>
          <w:sz w:val="16"/>
        </w:rPr>
        <w:t>of</w:t>
      </w:r>
      <w:r>
        <w:rPr>
          <w:spacing w:val="-3"/>
          <w:w w:val="80"/>
          <w:sz w:val="16"/>
        </w:rPr>
        <w:t xml:space="preserve"> </w:t>
      </w:r>
      <w:r>
        <w:rPr>
          <w:w w:val="80"/>
          <w:sz w:val="16"/>
        </w:rPr>
        <w:t>Strathfield</w:t>
      </w:r>
      <w:r>
        <w:rPr>
          <w:sz w:val="16"/>
        </w:rPr>
        <w:t xml:space="preserve"> </w:t>
      </w:r>
      <w:r>
        <w:rPr>
          <w:w w:val="85"/>
          <w:sz w:val="16"/>
        </w:rPr>
        <w:t>and</w:t>
      </w:r>
      <w:r>
        <w:rPr>
          <w:spacing w:val="-2"/>
          <w:w w:val="85"/>
          <w:sz w:val="16"/>
        </w:rPr>
        <w:t xml:space="preserve"> </w:t>
      </w:r>
      <w:r>
        <w:rPr>
          <w:w w:val="85"/>
          <w:sz w:val="16"/>
        </w:rPr>
        <w:t>improves</w:t>
      </w:r>
      <w:r>
        <w:rPr>
          <w:spacing w:val="-2"/>
          <w:w w:val="85"/>
          <w:sz w:val="16"/>
        </w:rPr>
        <w:t xml:space="preserve"> </w:t>
      </w:r>
      <w:r>
        <w:rPr>
          <w:w w:val="85"/>
          <w:sz w:val="16"/>
        </w:rPr>
        <w:t>travel</w:t>
      </w:r>
      <w:r>
        <w:rPr>
          <w:spacing w:val="-2"/>
          <w:w w:val="85"/>
          <w:sz w:val="16"/>
        </w:rPr>
        <w:t xml:space="preserve"> </w:t>
      </w:r>
      <w:r>
        <w:rPr>
          <w:w w:val="85"/>
          <w:sz w:val="16"/>
        </w:rPr>
        <w:t>times</w:t>
      </w:r>
      <w:r>
        <w:rPr>
          <w:spacing w:val="-2"/>
          <w:w w:val="85"/>
          <w:sz w:val="16"/>
        </w:rPr>
        <w:t xml:space="preserve"> </w:t>
      </w:r>
      <w:r>
        <w:rPr>
          <w:w w:val="85"/>
          <w:sz w:val="16"/>
        </w:rPr>
        <w:t>for</w:t>
      </w:r>
      <w:r>
        <w:rPr>
          <w:spacing w:val="-2"/>
          <w:w w:val="85"/>
          <w:sz w:val="16"/>
        </w:rPr>
        <w:t xml:space="preserve"> </w:t>
      </w:r>
      <w:r>
        <w:rPr>
          <w:w w:val="85"/>
          <w:sz w:val="16"/>
        </w:rPr>
        <w:t>cars</w:t>
      </w:r>
      <w:r>
        <w:rPr>
          <w:spacing w:val="-2"/>
          <w:w w:val="85"/>
          <w:sz w:val="16"/>
        </w:rPr>
        <w:t xml:space="preserve"> </w:t>
      </w:r>
      <w:r>
        <w:rPr>
          <w:w w:val="85"/>
          <w:sz w:val="16"/>
        </w:rPr>
        <w:t>and</w:t>
      </w:r>
      <w:r>
        <w:rPr>
          <w:spacing w:val="-2"/>
          <w:w w:val="85"/>
          <w:sz w:val="16"/>
        </w:rPr>
        <w:t xml:space="preserve"> </w:t>
      </w:r>
      <w:r>
        <w:rPr>
          <w:w w:val="85"/>
          <w:sz w:val="16"/>
        </w:rPr>
        <w:t>trucks.</w:t>
      </w:r>
    </w:p>
    <w:p w:rsidR="002C1123" w:rsidRDefault="00F22F94">
      <w:pPr>
        <w:pStyle w:val="ListParagraph"/>
        <w:numPr>
          <w:ilvl w:val="0"/>
          <w:numId w:val="94"/>
        </w:numPr>
        <w:tabs>
          <w:tab w:val="left" w:pos="834"/>
        </w:tabs>
        <w:spacing w:before="118" w:line="249" w:lineRule="auto"/>
        <w:ind w:right="1204" w:hanging="248"/>
        <w:jc w:val="left"/>
        <w:rPr>
          <w:sz w:val="16"/>
        </w:rPr>
      </w:pPr>
      <w:r>
        <w:rPr>
          <w:spacing w:val="-2"/>
          <w:w w:val="80"/>
          <w:sz w:val="16"/>
        </w:rPr>
        <w:t>The</w:t>
      </w:r>
      <w:r>
        <w:rPr>
          <w:spacing w:val="-3"/>
          <w:sz w:val="16"/>
        </w:rPr>
        <w:t xml:space="preserve"> </w:t>
      </w:r>
      <w:r>
        <w:rPr>
          <w:spacing w:val="-2"/>
          <w:w w:val="80"/>
          <w:sz w:val="16"/>
        </w:rPr>
        <w:t>M4</w:t>
      </w:r>
      <w:r>
        <w:rPr>
          <w:spacing w:val="-3"/>
          <w:sz w:val="16"/>
        </w:rPr>
        <w:t xml:space="preserve"> </w:t>
      </w:r>
      <w:r>
        <w:rPr>
          <w:spacing w:val="-2"/>
          <w:w w:val="80"/>
          <w:sz w:val="16"/>
        </w:rPr>
        <w:t>Extension</w:t>
      </w:r>
      <w:r>
        <w:rPr>
          <w:spacing w:val="-3"/>
          <w:sz w:val="16"/>
        </w:rPr>
        <w:t xml:space="preserve"> </w:t>
      </w:r>
      <w:r>
        <w:rPr>
          <w:spacing w:val="-2"/>
          <w:w w:val="80"/>
          <w:sz w:val="16"/>
        </w:rPr>
        <w:t>caters</w:t>
      </w:r>
      <w:r>
        <w:rPr>
          <w:spacing w:val="-3"/>
          <w:sz w:val="16"/>
        </w:rPr>
        <w:t xml:space="preserve"> </w:t>
      </w:r>
      <w:r>
        <w:rPr>
          <w:spacing w:val="-2"/>
          <w:w w:val="80"/>
          <w:sz w:val="16"/>
        </w:rPr>
        <w:t>for</w:t>
      </w:r>
      <w:r>
        <w:rPr>
          <w:spacing w:val="-3"/>
          <w:sz w:val="16"/>
        </w:rPr>
        <w:t xml:space="preserve"> </w:t>
      </w:r>
      <w:r>
        <w:rPr>
          <w:spacing w:val="-2"/>
          <w:w w:val="80"/>
          <w:sz w:val="16"/>
        </w:rPr>
        <w:t>cars</w:t>
      </w:r>
      <w:r>
        <w:rPr>
          <w:spacing w:val="-3"/>
          <w:sz w:val="16"/>
        </w:rPr>
        <w:t xml:space="preserve"> </w:t>
      </w:r>
      <w:r>
        <w:rPr>
          <w:spacing w:val="-2"/>
          <w:w w:val="80"/>
          <w:sz w:val="16"/>
        </w:rPr>
        <w:t>and</w:t>
      </w:r>
      <w:r>
        <w:rPr>
          <w:spacing w:val="-3"/>
          <w:sz w:val="16"/>
        </w:rPr>
        <w:t xml:space="preserve"> </w:t>
      </w:r>
      <w:r>
        <w:rPr>
          <w:spacing w:val="-2"/>
          <w:w w:val="80"/>
          <w:sz w:val="16"/>
        </w:rPr>
        <w:t>trucks, allowing</w:t>
      </w:r>
      <w:r>
        <w:rPr>
          <w:spacing w:val="-3"/>
          <w:sz w:val="16"/>
        </w:rPr>
        <w:t xml:space="preserve"> </w:t>
      </w:r>
      <w:r>
        <w:rPr>
          <w:spacing w:val="-2"/>
          <w:w w:val="80"/>
          <w:sz w:val="16"/>
        </w:rPr>
        <w:t>Parramatta</w:t>
      </w:r>
      <w:r>
        <w:rPr>
          <w:spacing w:val="-3"/>
          <w:sz w:val="16"/>
        </w:rPr>
        <w:t xml:space="preserve"> </w:t>
      </w:r>
      <w:r>
        <w:rPr>
          <w:spacing w:val="-2"/>
          <w:w w:val="80"/>
          <w:sz w:val="16"/>
        </w:rPr>
        <w:t>Road</w:t>
      </w:r>
      <w:r>
        <w:rPr>
          <w:sz w:val="16"/>
        </w:rPr>
        <w:t xml:space="preserve"> </w:t>
      </w:r>
      <w:r>
        <w:rPr>
          <w:w w:val="80"/>
          <w:sz w:val="16"/>
        </w:rPr>
        <w:t>to cater for surface traffic and side road connections.</w:t>
      </w:r>
      <w:r>
        <w:rPr>
          <w:spacing w:val="-6"/>
          <w:w w:val="80"/>
          <w:sz w:val="16"/>
        </w:rPr>
        <w:t xml:space="preserve"> </w:t>
      </w:r>
      <w:r>
        <w:rPr>
          <w:w w:val="80"/>
          <w:sz w:val="16"/>
        </w:rPr>
        <w:t>This creates the</w:t>
      </w:r>
    </w:p>
    <w:p w:rsidR="002C1123" w:rsidRDefault="002C1123">
      <w:pPr>
        <w:spacing w:line="249" w:lineRule="auto"/>
        <w:rPr>
          <w:sz w:val="16"/>
        </w:rPr>
        <w:sectPr w:rsidR="002C1123">
          <w:type w:val="continuous"/>
          <w:pgSz w:w="16840" w:h="11910" w:orient="landscape"/>
          <w:pgMar w:top="560" w:right="280" w:bottom="280" w:left="500" w:header="0" w:footer="517" w:gutter="0"/>
          <w:cols w:num="4" w:space="720" w:equalWidth="0">
            <w:col w:w="4328" w:space="2058"/>
            <w:col w:w="1311" w:space="298"/>
            <w:col w:w="1191" w:space="811"/>
            <w:col w:w="6063"/>
          </w:cols>
        </w:sectPr>
      </w:pPr>
    </w:p>
    <w:p w:rsidR="002C1123" w:rsidRDefault="002060EF">
      <w:pPr>
        <w:spacing w:line="129" w:lineRule="exact"/>
        <w:jc w:val="right"/>
        <w:rPr>
          <w:b/>
          <w:sz w:val="14"/>
        </w:rPr>
      </w:pPr>
      <w:r>
        <w:pict>
          <v:shape id="_x0000_s4106" type="#_x0000_t136" style="position:absolute;left:0;text-align:left;margin-left:158.85pt;margin-top:6.55pt;width:4.2pt;height:6pt;rotation:14;z-index:251309056;mso-position-horizontal-relative:page" fillcolor="black" stroked="f">
            <o:extrusion v:ext="view" autorotationcenter="t"/>
            <v:textpath style="font-family:&quot;Arial&quot;;font-size:6pt;v-text-kern:t;mso-text-shadow:auto" string="m"/>
            <w10:wrap anchorx="page"/>
          </v:shape>
        </w:pict>
      </w:r>
      <w:r>
        <w:pict>
          <v:shape id="_x0000_s4105" type="#_x0000_t136" style="position:absolute;left:0;text-align:left;margin-left:162.8pt;margin-top:7.45pt;width:2.65pt;height:6pt;rotation:18;z-index:251310080;mso-position-horizontal-relative:page" fillcolor="black" stroked="f">
            <o:extrusion v:ext="view" autorotationcenter="t"/>
            <v:textpath style="font-family:&quot;Arial&quot;;font-size:6pt;v-text-kern:t;mso-text-shadow:auto" string="a"/>
            <w10:wrap anchorx="page"/>
          </v:shape>
        </w:pict>
      </w:r>
      <w:r>
        <w:pict>
          <v:shape id="_x0000_s4104" type="#_x0000_t136" style="position:absolute;left:0;text-align:left;margin-left:156.15pt;margin-top:5.4pt;width:2.6pt;height:6pt;rotation:25;z-index:251312128;mso-position-horizontal-relative:page" fillcolor="black" stroked="f">
            <o:extrusion v:ext="view" autorotationcenter="t"/>
            <v:textpath style="font-family:&quot;Arial&quot;;font-size:6pt;v-text-kern:t;mso-text-shadow:auto" string="a"/>
            <w10:wrap anchorx="page"/>
          </v:shape>
        </w:pict>
      </w:r>
      <w:r>
        <w:pict>
          <v:shape id="_x0000_s4103" type="#_x0000_t136" style="position:absolute;left:0;text-align:left;margin-left:154.6pt;margin-top:4.3pt;width:1.75pt;height:6pt;rotation:30;z-index:251314176;mso-position-horizontal-relative:page" fillcolor="black" stroked="f">
            <o:extrusion v:ext="view" autorotationcenter="t"/>
            <v:textpath style="font-family:&quot;Arial&quot;;font-size:6pt;v-text-kern:t;mso-text-shadow:auto" string="r"/>
            <w10:wrap anchorx="page"/>
          </v:shape>
        </w:pict>
      </w:r>
      <w:r>
        <w:pict>
          <v:shape id="_x0000_s4102" type="#_x0000_t136" style="position:absolute;left:0;text-align:left;margin-left:153.1pt;margin-top:3.45pt;width:1.75pt;height:6pt;rotation:31;z-index:251316224;mso-position-horizontal-relative:page" fillcolor="black" stroked="f">
            <o:extrusion v:ext="view" autorotationcenter="t"/>
            <v:textpath style="font-family:&quot;Arial&quot;;font-size:6pt;v-text-kern:t;mso-text-shadow:auto" string="r"/>
            <w10:wrap anchorx="page"/>
          </v:shape>
        </w:pict>
      </w:r>
      <w:r>
        <w:pict>
          <v:shape id="_x0000_s4101" type="#_x0000_t136" style="position:absolute;left:0;text-align:left;margin-left:150.85pt;margin-top:2.3pt;width:2.6pt;height:6pt;rotation:32;z-index:251318272;mso-position-horizontal-relative:page" fillcolor="black" stroked="f">
            <o:extrusion v:ext="view" autorotationcenter="t"/>
            <v:textpath style="font-family:&quot;Arial&quot;;font-size:6pt;v-text-kern:t;mso-text-shadow:auto" string="a"/>
            <w10:wrap anchorx="page"/>
          </v:shape>
        </w:pict>
      </w:r>
      <w:r>
        <w:pict>
          <v:shape id="_x0000_s4100" type="#_x0000_t136" style="position:absolute;left:0;text-align:left;margin-left:148.4pt;margin-top:.8pt;width:2.9pt;height:6pt;rotation:33;z-index:251320320;mso-position-horizontal-relative:page" fillcolor="black" stroked="f">
            <o:extrusion v:ext="view" autorotationcenter="t"/>
            <v:textpath style="font-family:&quot;Arial&quot;;font-size:6pt;v-text-kern:t;mso-text-shadow:auto" string="P"/>
            <w10:wrap anchorx="page"/>
          </v:shape>
        </w:pict>
      </w:r>
      <w:r>
        <w:pict>
          <v:shape id="_x0000_s4099" type="#_x0000_t136" style="position:absolute;left:0;text-align:left;margin-left:245.9pt;margin-top:-5.5pt;width:1.15pt;height:6pt;rotation:293;z-index:251361280;mso-position-horizontal-relative:page" fillcolor="black" stroked="f">
            <o:extrusion v:ext="view" autorotationcenter="t"/>
            <v:textpath style="font-family:&quot;Arial&quot;;font-size:6pt;v-text-kern:t;mso-text-shadow:auto" string="i"/>
            <w10:wrap anchorx="page"/>
          </v:shape>
        </w:pict>
      </w:r>
      <w:r w:rsidR="00F22F94">
        <w:rPr>
          <w:b/>
          <w:w w:val="99"/>
          <w:sz w:val="14"/>
        </w:rPr>
        <w:t>1</w:t>
      </w:r>
    </w:p>
    <w:p w:rsidR="002C1123" w:rsidRDefault="002060EF">
      <w:pPr>
        <w:spacing w:before="65" w:line="249" w:lineRule="auto"/>
        <w:ind w:left="2294" w:firstLine="59"/>
        <w:rPr>
          <w:sz w:val="12"/>
        </w:rPr>
      </w:pPr>
      <w:r>
        <w:pict>
          <v:shape id="_x0000_s4098" type="#_x0000_t136" style="position:absolute;left:0;text-align:left;margin-left:165.25pt;margin-top:1.7pt;width:1.5pt;height:6pt;rotation:25;z-index:251311104;mso-position-horizontal-relative:page" fillcolor="black" stroked="f">
            <o:extrusion v:ext="view" autorotationcenter="t"/>
            <v:textpath style="font-family:&quot;Arial&quot;;font-size:6pt;v-text-kern:t;mso-text-shadow:auto" string="t"/>
            <w10:wrap anchorx="page"/>
          </v:shape>
        </w:pict>
      </w:r>
      <w:r>
        <w:pict>
          <v:shape id="_x0000_s4097" type="#_x0000_t136" style="position:absolute;left:0;text-align:left;margin-left:166.55pt;margin-top:2.4pt;width:1.5pt;height:6pt;rotation:31;z-index:251315200;mso-position-horizontal-relative:page" fillcolor="black" stroked="f">
            <o:extrusion v:ext="view" autorotationcenter="t"/>
            <v:textpath style="font-family:&quot;Arial&quot;;font-size:6pt;v-text-kern:t;mso-text-shadow:auto" string="t"/>
            <w10:wrap anchorx="page"/>
          </v:shape>
        </w:pict>
      </w:r>
      <w:r>
        <w:pict>
          <v:shape id="_x0000_s4096" type="#_x0000_t136" style="position:absolute;left:0;text-align:left;margin-left:167.65pt;margin-top:3.45pt;width:2.65pt;height:6pt;rotation:32;z-index:251317248;mso-position-horizontal-relative:page" fillcolor="black" stroked="f">
            <o:extrusion v:ext="view" autorotationcenter="t"/>
            <v:textpath style="font-family:&quot;Arial&quot;;font-size:6pt;v-text-kern:t;mso-text-shadow:auto" string="a"/>
            <w10:wrap anchorx="page"/>
          </v:shape>
        </w:pict>
      </w:r>
      <w:r>
        <w:pict>
          <v:shape id="_x0000_s4095" type="#_x0000_t136" style="position:absolute;left:0;text-align:left;margin-left:170.3pt;margin-top:7.85pt;width:10.8pt;height:6pt;rotation:33;z-index:251319296;mso-position-horizontal-relative:page" fillcolor="black" stroked="f">
            <o:extrusion v:ext="view" autorotationcenter="t"/>
            <v:textpath style="font-family:&quot;Arial&quot;;font-size:6pt;v-text-kern:t;mso-text-shadow:auto" string="Road"/>
            <w10:wrap anchorx="page"/>
          </v:shape>
        </w:pict>
      </w:r>
      <w:r w:rsidR="00F22F94">
        <w:rPr>
          <w:spacing w:val="-2"/>
          <w:w w:val="85"/>
          <w:sz w:val="12"/>
        </w:rPr>
        <w:t>South</w:t>
      </w:r>
      <w:r w:rsidR="00F22F94">
        <w:rPr>
          <w:spacing w:val="40"/>
          <w:sz w:val="12"/>
        </w:rPr>
        <w:t xml:space="preserve"> </w:t>
      </w:r>
      <w:r w:rsidR="00F22F94">
        <w:rPr>
          <w:spacing w:val="-2"/>
          <w:w w:val="75"/>
          <w:sz w:val="12"/>
        </w:rPr>
        <w:t>Granville</w:t>
      </w:r>
    </w:p>
    <w:p w:rsidR="002C1123" w:rsidRDefault="002C1123">
      <w:pPr>
        <w:pStyle w:val="BodyText"/>
        <w:rPr>
          <w:sz w:val="14"/>
        </w:rPr>
      </w:pPr>
    </w:p>
    <w:p w:rsidR="002C1123" w:rsidRDefault="002C1123">
      <w:pPr>
        <w:pStyle w:val="BodyText"/>
        <w:spacing w:before="3"/>
        <w:rPr>
          <w:sz w:val="16"/>
        </w:rPr>
      </w:pPr>
    </w:p>
    <w:p w:rsidR="002C1123" w:rsidRDefault="00F22F94">
      <w:pPr>
        <w:ind w:right="125"/>
        <w:jc w:val="right"/>
        <w:rPr>
          <w:sz w:val="12"/>
        </w:rPr>
      </w:pPr>
      <w:r>
        <w:rPr>
          <w:spacing w:val="-2"/>
          <w:w w:val="90"/>
          <w:sz w:val="12"/>
        </w:rPr>
        <w:t>Auburn</w:t>
      </w:r>
    </w:p>
    <w:p w:rsidR="002C1123" w:rsidRDefault="00F22F94">
      <w:pPr>
        <w:tabs>
          <w:tab w:val="left" w:pos="1569"/>
        </w:tabs>
        <w:spacing w:line="208" w:lineRule="auto"/>
        <w:ind w:left="675"/>
        <w:rPr>
          <w:sz w:val="12"/>
        </w:rPr>
      </w:pPr>
      <w:r>
        <w:br w:type="column"/>
      </w:r>
      <w:r>
        <w:rPr>
          <w:spacing w:val="-2"/>
          <w:w w:val="90"/>
          <w:sz w:val="12"/>
        </w:rPr>
        <w:t>Newington</w:t>
      </w:r>
      <w:r>
        <w:rPr>
          <w:sz w:val="12"/>
        </w:rPr>
        <w:tab/>
      </w:r>
      <w:r>
        <w:rPr>
          <w:spacing w:val="-2"/>
          <w:w w:val="90"/>
          <w:position w:val="-3"/>
          <w:sz w:val="12"/>
        </w:rPr>
        <w:t>Rhodes</w:t>
      </w:r>
    </w:p>
    <w:p w:rsidR="002C1123" w:rsidRDefault="002C1123">
      <w:pPr>
        <w:pStyle w:val="BodyText"/>
        <w:spacing w:before="2"/>
        <w:rPr>
          <w:sz w:val="21"/>
        </w:rPr>
      </w:pPr>
    </w:p>
    <w:p w:rsidR="002C1123" w:rsidRDefault="002060EF">
      <w:pPr>
        <w:tabs>
          <w:tab w:val="left" w:pos="1840"/>
        </w:tabs>
        <w:ind w:left="635"/>
        <w:rPr>
          <w:sz w:val="12"/>
        </w:rPr>
      </w:pPr>
      <w:r>
        <w:pict>
          <v:shape id="_x0000_s4094" type="#_x0000_t136" style="position:absolute;left:0;text-align:left;margin-left:197.25pt;margin-top:-2.75pt;width:29.2pt;height:6pt;rotation:30;z-index:-251494400;mso-position-horizontal-relative:page" fillcolor="black" stroked="f">
            <o:extrusion v:ext="view" autorotationcenter="t"/>
            <v:textpath style="font-family:&quot;Arial&quot;;font-size:6pt;v-text-kern:t;mso-text-shadow:auto" string="M4 Motorway"/>
            <w10:wrap anchorx="page"/>
          </v:shape>
        </w:pict>
      </w:r>
      <w:r>
        <w:pict>
          <v:shape id="_x0000_s4093" type="#_x0000_t136" style="position:absolute;left:0;text-align:left;margin-left:256.55pt;margin-top:15.3pt;width:14.5pt;height:6pt;rotation:75;z-index:-251493376;mso-position-horizontal-relative:page" fillcolor="black" stroked="f">
            <o:extrusion v:ext="view" autorotationcenter="t"/>
            <v:textpath style="font-family:&quot;Arial&quot;;font-size:6pt;v-text-kern:t;mso-text-shadow:auto" string="rd Roa"/>
            <w10:wrap anchorx="page"/>
          </v:shape>
        </w:pict>
      </w:r>
      <w:r>
        <w:pict>
          <v:shape id="_x0000_s4092" type="#_x0000_t136" style="position:absolute;left:0;text-align:left;margin-left:253.8pt;margin-top:15.4pt;width:19.95pt;height:6pt;rotation:76;z-index:-251492352;mso-position-horizontal-relative:page" fillcolor="black" stroked="f">
            <o:extrusion v:ext="view" autorotationcenter="t"/>
            <v:textpath style="font-family:&quot;Arial&quot;;font-size:6pt;v-text-kern:t;mso-text-shadow:auto" string="o d"/>
            <w10:wrap anchorx="page"/>
          </v:shape>
        </w:pict>
      </w:r>
      <w:r>
        <w:pict>
          <v:shape id="_x0000_s4091" type="#_x0000_t136" style="position:absolute;left:0;text-align:left;margin-left:259.85pt;margin-top:4.5pt;width:2.45pt;height:6pt;rotation:78;z-index:-251491328;mso-position-horizontal-relative:page" fillcolor="black" stroked="f">
            <o:extrusion v:ext="view" autorotationcenter="t"/>
            <v:textpath style="font-family:&quot;Arial&quot;;font-size:6pt;v-text-kern:t;mso-text-shadow:auto" string="c"/>
            <w10:wrap anchorx="page"/>
          </v:shape>
        </w:pict>
      </w:r>
      <w:r>
        <w:pict>
          <v:shape id="_x0000_s4090" type="#_x0000_t136" style="position:absolute;left:0;text-align:left;margin-left:259.25pt;margin-top:2pt;width:2.8pt;height:6pt;rotation:80;z-index:-251490304;mso-position-horizontal-relative:page" fillcolor="black" stroked="f">
            <o:extrusion v:ext="view" autorotationcenter="t"/>
            <v:textpath style="font-family:&quot;Arial&quot;;font-size:6pt;v-text-kern:t;mso-text-shadow:auto" string="n"/>
            <w10:wrap anchorx="page"/>
          </v:shape>
        </w:pict>
      </w:r>
      <w:r>
        <w:pict>
          <v:shape id="_x0000_s4089" type="#_x0000_t136" style="position:absolute;left:0;text-align:left;margin-left:258.95pt;margin-top:-.7pt;width:2.65pt;height:6pt;rotation:82;z-index:-251489280;mso-position-horizontal-relative:page" fillcolor="black" stroked="f">
            <o:extrusion v:ext="view" autorotationcenter="t"/>
            <v:textpath style="font-family:&quot;Arial&quot;;font-size:6pt;v-text-kern:t;mso-text-shadow:auto" string="o"/>
            <w10:wrap anchorx="page"/>
          </v:shape>
        </w:pict>
      </w:r>
      <w:r>
        <w:pict>
          <v:shape id="_x0000_s4088" type="#_x0000_t136" style="position:absolute;left:0;text-align:left;margin-left:258.4pt;margin-top:-3.6pt;width:3.15pt;height:6pt;rotation:87;z-index:251330560;mso-position-horizontal-relative:page" fillcolor="black" stroked="f">
            <o:extrusion v:ext="view" autorotationcenter="t"/>
            <v:textpath style="font-family:&quot;Arial&quot;;font-size:6pt;v-text-kern:t;mso-text-shadow:auto" string="C"/>
            <w10:wrap anchorx="page"/>
          </v:shape>
        </w:pict>
      </w:r>
      <w:r>
        <w:pict>
          <v:shape id="_x0000_s4087" type="#_x0000_t136" style="position:absolute;left:0;text-align:left;margin-left:242.45pt;margin-top:-14pt;width:2.6pt;height:6pt;rotation:274;z-index:251347968;mso-position-horizontal-relative:page" fillcolor="black" stroked="f">
            <o:extrusion v:ext="view" autorotationcenter="t"/>
            <v:textpath style="font-family:&quot;Arial&quot;;font-size:6pt;v-text-kern:t;mso-text-shadow:auto" string="a"/>
            <w10:wrap anchorx="page"/>
          </v:shape>
        </w:pict>
      </w:r>
      <w:r>
        <w:pict>
          <v:shape id="_x0000_s4086" type="#_x0000_t136" style="position:absolute;left:0;text-align:left;margin-left:242pt;margin-top:-11pt;width:3.15pt;height:6pt;rotation:275;z-index:251348992;mso-position-horizontal-relative:page" fillcolor="black" stroked="f">
            <o:extrusion v:ext="view" autorotationcenter="t"/>
            <v:textpath style="font-family:&quot;Arial&quot;;font-size:6pt;v-text-kern:t;mso-text-shadow:auto" string="B"/>
            <w10:wrap anchorx="page"/>
          </v:shape>
        </w:pict>
      </w:r>
      <w:r>
        <w:pict>
          <v:shape id="_x0000_s4085" type="#_x0000_t136" style="position:absolute;left:0;text-align:left;margin-left:241.8pt;margin-top:-6.5pt;width:2.7pt;height:6pt;rotation:277;z-index:251351040;mso-position-horizontal-relative:page" fillcolor="black" stroked="f">
            <o:extrusion v:ext="view" autorotationcenter="t"/>
            <v:textpath style="font-family:&quot;Arial&quot;;font-size:6pt;v-text-kern:t;mso-text-shadow:auto" string="h"/>
            <w10:wrap anchorx="page"/>
          </v:shape>
        </w:pict>
      </w:r>
      <w:r>
        <w:pict>
          <v:shape id="_x0000_s4084" type="#_x0000_t136" style="position:absolute;left:0;text-align:left;margin-left:241.6pt;margin-top:-3.9pt;width:2.35pt;height:6pt;rotation:278;z-index:251353088;mso-position-horizontal-relative:page" fillcolor="black" stroked="f">
            <o:extrusion v:ext="view" autorotationcenter="t"/>
            <v:textpath style="font-family:&quot;Arial&quot;;font-size:6pt;v-text-kern:t;mso-text-shadow:auto" string="s"/>
            <w10:wrap anchorx="page"/>
          </v:shape>
        </w:pict>
      </w:r>
      <w:r>
        <w:pict>
          <v:shape id="_x0000_s4083" type="#_x0000_t136" style="position:absolute;left:0;text-align:left;margin-left:242.9pt;margin-top:-16.75pt;width:2.25pt;height:6pt;rotation:278;z-index:-251488256;mso-position-horizontal-relative:page" fillcolor="black" stroked="f">
            <o:extrusion v:ext="view" autorotationcenter="t"/>
            <v:textpath style="font-family:&quot;Arial&quot;;font-size:6pt;v-text-kern:t;mso-text-shadow:auto" string="y"/>
            <w10:wrap anchorx="page"/>
          </v:shape>
        </w:pict>
      </w:r>
      <w:r>
        <w:pict>
          <v:shape id="_x0000_s4082" type="#_x0000_t136" style="position:absolute;left:0;text-align:left;margin-left:241.05pt;margin-top:-1.3pt;width:2.75pt;height:6pt;rotation:279;z-index:-251487232;mso-position-horizontal-relative:page" fillcolor="black" stroked="f">
            <o:extrusion v:ext="view" autorotationcenter="t"/>
            <v:textpath style="font-family:&quot;Arial&quot;;font-size:6pt;v-text-kern:t;mso-text-shadow:auto" string="u"/>
            <w10:wrap anchorx="page"/>
          </v:shape>
        </w:pict>
      </w:r>
      <w:r>
        <w:pict>
          <v:shape id="_x0000_s4081" type="#_x0000_t136" style="position:absolute;left:0;text-align:left;margin-left:243.35pt;margin-top:-21.45pt;width:3.3pt;height:6pt;rotation:286;z-index:-251486208;mso-position-horizontal-relative:page" fillcolor="black" stroked="f">
            <o:extrusion v:ext="view" autorotationcenter="t"/>
            <v:textpath style="font-family:&quot;Arial&quot;;font-size:6pt;v-text-kern:t;mso-text-shadow:auto" string="D"/>
            <w10:wrap anchorx="page"/>
          </v:shape>
        </w:pict>
      </w:r>
      <w:r>
        <w:pict>
          <v:shape id="_x0000_s4080" type="#_x0000_t136" style="position:absolute;left:0;text-align:left;margin-left:182.35pt;margin-top:-30.4pt;width:18.8pt;height:6pt;rotation:287;z-index:251359232;mso-position-horizontal-relative:page" fillcolor="black" stroked="f">
            <o:extrusion v:ext="view" autorotationcenter="t"/>
            <v:textpath style="font-family:&quot;Arial&quot;;font-size:6pt;v-text-kern:t;mso-text-shadow:auto" string="Hill Road"/>
            <w10:wrap anchorx="page"/>
          </v:shape>
        </w:pict>
      </w:r>
      <w:r>
        <w:pict>
          <v:shape id="_x0000_s4079" type="#_x0000_t136" style="position:absolute;left:0;text-align:left;margin-left:240.55pt;margin-top:1.4pt;width:2.75pt;height:6pt;rotation:288;z-index:-251485184;mso-position-horizontal-relative:page" fillcolor="black" stroked="f">
            <o:extrusion v:ext="view" autorotationcenter="t"/>
            <v:textpath style="font-family:&quot;Arial&quot;;font-size:6pt;v-text-kern:t;mso-text-shadow:auto" string="b"/>
            <w10:wrap anchorx="page"/>
          </v:shape>
        </w:pict>
      </w:r>
      <w:r>
        <w:pict>
          <v:shape id="_x0000_s4078" type="#_x0000_t136" style="position:absolute;left:0;text-align:left;margin-left:244.95pt;margin-top:-24.15pt;width:1.8pt;height:6pt;rotation:291;z-index:251360256;mso-position-horizontal-relative:page" fillcolor="black" stroked="f">
            <o:extrusion v:ext="view" autorotationcenter="t"/>
            <v:textpath style="font-family:&quot;Arial&quot;;font-size:6pt;v-text-kern:t;mso-text-shadow:auto" string="r"/>
            <w10:wrap anchorx="page"/>
          </v:shape>
        </w:pict>
      </w:r>
      <w:r>
        <w:pict>
          <v:shape id="_x0000_s4077" type="#_x0000_t136" style="position:absolute;left:0;text-align:left;margin-left:239.5pt;margin-top:3.75pt;width:2.6pt;height:6pt;rotation:302;z-index:-251484160;mso-position-horizontal-relative:page" fillcolor="black" stroked="f">
            <o:extrusion v:ext="view" autorotationcenter="t"/>
            <v:textpath style="font-family:&quot;Arial&quot;;font-size:6pt;v-text-kern:t;mso-text-shadow:auto" string="e"/>
            <w10:wrap anchorx="page"/>
          </v:shape>
        </w:pict>
      </w:r>
      <w:r>
        <w:pict>
          <v:shape id="_x0000_s4076" type="#_x0000_t136" style="position:absolute;left:0;text-align:left;margin-left:236.7pt;margin-top:6.4pt;width:4.2pt;height:6pt;rotation:313;z-index:-251483136;mso-position-horizontal-relative:page" fillcolor="black" stroked="f">
            <o:extrusion v:ext="view" autorotationcenter="t"/>
            <v:textpath style="font-family:&quot;Arial&quot;;font-size:6pt;v-text-kern:t;mso-text-shadow:auto" string="m"/>
            <w10:wrap anchorx="page"/>
          </v:shape>
        </w:pict>
      </w:r>
      <w:r>
        <w:pict>
          <v:shape id="_x0000_s4075" type="#_x0000_t136" style="position:absolute;left:0;text-align:left;margin-left:338.55pt;margin-top:9.55pt;width:10.95pt;height:6pt;rotation:319;z-index:251370496;mso-position-horizontal-relative:page" fillcolor="black" stroked="f">
            <o:extrusion v:ext="view" autorotationcenter="t"/>
            <v:textpath style="font-family:&quot;Arial&quot;;font-size:6pt;v-text-kern:t;mso-text-shadow:auto" string="Road"/>
            <w10:wrap anchorx="page"/>
          </v:shape>
        </w:pict>
      </w:r>
      <w:r>
        <w:pict>
          <v:shape id="_x0000_s4074" type="#_x0000_t136" style="position:absolute;left:0;text-align:left;margin-left:235pt;margin-top:8.65pt;width:2.65pt;height:6pt;rotation:324;z-index:-251482112;mso-position-horizontal-relative:page" fillcolor="black" stroked="f">
            <o:extrusion v:ext="view" autorotationcenter="t"/>
            <v:textpath style="font-family:&quot;Arial&quot;;font-size:6pt;v-text-kern:t;mso-text-shadow:auto" string="o"/>
            <w10:wrap anchorx="page"/>
          </v:shape>
        </w:pict>
      </w:r>
      <w:r>
        <w:pict>
          <v:shape id="_x0000_s4073" type="#_x0000_t136" style="position:absolute;left:0;text-align:left;margin-left:232.15pt;margin-top:10pt;width:3.2pt;height:6pt;rotation:336;z-index:251373568;mso-position-horizontal-relative:page" fillcolor="black" stroked="f">
            <o:extrusion v:ext="view" autorotationcenter="t"/>
            <v:textpath style="font-family:&quot;Arial&quot;;font-size:6pt;v-text-kern:t;mso-text-shadow:auto" string="H"/>
            <w10:wrap anchorx="page"/>
          </v:shape>
        </w:pict>
      </w:r>
      <w:r w:rsidR="00F22F94">
        <w:rPr>
          <w:b/>
          <w:spacing w:val="-10"/>
          <w:w w:val="95"/>
          <w:position w:val="-8"/>
          <w:sz w:val="14"/>
        </w:rPr>
        <w:t>2</w:t>
      </w:r>
      <w:r w:rsidR="00F22F94">
        <w:rPr>
          <w:b/>
          <w:position w:val="-8"/>
          <w:sz w:val="14"/>
        </w:rPr>
        <w:tab/>
      </w:r>
      <w:r w:rsidR="00F22F94">
        <w:rPr>
          <w:spacing w:val="-2"/>
          <w:w w:val="95"/>
          <w:sz w:val="12"/>
        </w:rPr>
        <w:t>Concord</w:t>
      </w:r>
    </w:p>
    <w:p w:rsidR="002C1123" w:rsidRDefault="002060EF">
      <w:pPr>
        <w:spacing w:before="150" w:line="128" w:lineRule="exact"/>
        <w:ind w:left="231"/>
        <w:rPr>
          <w:sz w:val="12"/>
        </w:rPr>
      </w:pPr>
      <w:r>
        <w:pict>
          <v:shape id="_x0000_s4072" type="#_x0000_t136" style="position:absolute;left:0;text-align:left;margin-left:333.6pt;margin-top:4.4pt;width:5.9pt;height:6pt;rotation:320;z-index:251371520;mso-position-horizontal-relative:page" fillcolor="black" stroked="f">
            <o:extrusion v:ext="view" autorotationcenter="t"/>
            <v:textpath style="font-family:&quot;Arial&quot;;font-size:6pt;v-text-kern:t;mso-text-shadow:auto" string="rth"/>
            <w10:wrap anchorx="page"/>
          </v:shape>
        </w:pict>
      </w:r>
      <w:r>
        <w:pict>
          <v:shape id="_x0000_s4071" type="#_x0000_t136" style="position:absolute;left:0;text-align:left;margin-left:332pt;margin-top:7.15pt;width:2.6pt;height:6pt;rotation:322;z-index:251372544;mso-position-horizontal-relative:page" fillcolor="black" stroked="f">
            <o:extrusion v:ext="view" autorotationcenter="t"/>
            <v:textpath style="font-family:&quot;Arial&quot;;font-size:6pt;v-text-kern:t;mso-text-shadow:auto" string="o"/>
            <w10:wrap anchorx="page"/>
          </v:shape>
        </w:pict>
      </w:r>
      <w:r>
        <w:pict>
          <v:shape id="_x0000_s4070" type="#_x0000_t136" style="position:absolute;left:0;text-align:left;margin-left:316.3pt;margin-top:10.8pt;width:16.5pt;height:6pt;rotation:338;z-index:-251481088;mso-position-horizontal-relative:page" fillcolor="black" stroked="f">
            <o:extrusion v:ext="view" autorotationcenter="t"/>
            <v:textpath style="font-family:&quot;Arial&quot;;font-size:6pt;v-text-kern:t;mso-text-shadow:auto" string="Great N"/>
            <w10:wrap anchorx="page"/>
          </v:shape>
        </w:pict>
      </w:r>
      <w:r w:rsidR="00F22F94">
        <w:rPr>
          <w:spacing w:val="-2"/>
          <w:w w:val="90"/>
          <w:sz w:val="12"/>
        </w:rPr>
        <w:t>Lidcombe</w:t>
      </w:r>
    </w:p>
    <w:p w:rsidR="002C1123" w:rsidRDefault="002060EF">
      <w:pPr>
        <w:tabs>
          <w:tab w:val="left" w:pos="2963"/>
        </w:tabs>
        <w:spacing w:before="3" w:line="110" w:lineRule="auto"/>
        <w:ind w:left="1976"/>
        <w:rPr>
          <w:sz w:val="12"/>
        </w:rPr>
      </w:pPr>
      <w:r>
        <w:pict>
          <v:shape id="_x0000_s4069" type="#_x0000_t136" style="position:absolute;left:0;text-align:left;margin-left:271.8pt;margin-top:9.2pt;width:35.75pt;height:6pt;rotation:6;z-index:251303936;mso-position-horizontal-relative:page" fillcolor="black" stroked="f">
            <o:extrusion v:ext="view" autorotationcenter="t"/>
            <v:textpath style="font-family:&quot;Arial&quot;;font-size:6pt;v-text-kern:t;mso-text-shadow:auto" string="Parramatta Road"/>
            <w10:wrap anchorx="page"/>
          </v:shape>
        </w:pict>
      </w:r>
      <w:r w:rsidR="00F22F94">
        <w:rPr>
          <w:w w:val="75"/>
          <w:sz w:val="12"/>
        </w:rPr>
        <w:t>Canada</w:t>
      </w:r>
      <w:r w:rsidR="00F22F94">
        <w:rPr>
          <w:spacing w:val="-1"/>
          <w:sz w:val="12"/>
        </w:rPr>
        <w:t xml:space="preserve"> </w:t>
      </w:r>
      <w:r w:rsidR="00F22F94">
        <w:rPr>
          <w:spacing w:val="-5"/>
          <w:w w:val="85"/>
          <w:sz w:val="12"/>
        </w:rPr>
        <w:t>Bay</w:t>
      </w:r>
      <w:r w:rsidR="00F22F94">
        <w:rPr>
          <w:sz w:val="12"/>
        </w:rPr>
        <w:tab/>
      </w:r>
      <w:r w:rsidR="00F22F94">
        <w:rPr>
          <w:w w:val="75"/>
          <w:position w:val="-8"/>
          <w:sz w:val="12"/>
        </w:rPr>
        <w:t>Five</w:t>
      </w:r>
      <w:r w:rsidR="00F22F94">
        <w:rPr>
          <w:spacing w:val="-3"/>
          <w:w w:val="85"/>
          <w:position w:val="-8"/>
          <w:sz w:val="12"/>
        </w:rPr>
        <w:t xml:space="preserve"> </w:t>
      </w:r>
      <w:r w:rsidR="00F22F94">
        <w:rPr>
          <w:spacing w:val="-8"/>
          <w:w w:val="85"/>
          <w:position w:val="-8"/>
          <w:sz w:val="12"/>
        </w:rPr>
        <w:t>Dock</w:t>
      </w:r>
    </w:p>
    <w:p w:rsidR="002C1123" w:rsidRDefault="00F22F94">
      <w:pPr>
        <w:rPr>
          <w:sz w:val="14"/>
        </w:rPr>
      </w:pPr>
      <w:r>
        <w:br w:type="column"/>
      </w:r>
    </w:p>
    <w:p w:rsidR="002C1123" w:rsidRDefault="002C1123">
      <w:pPr>
        <w:pStyle w:val="BodyText"/>
        <w:rPr>
          <w:sz w:val="14"/>
        </w:rPr>
      </w:pPr>
    </w:p>
    <w:p w:rsidR="002C1123" w:rsidRDefault="002C1123">
      <w:pPr>
        <w:pStyle w:val="BodyText"/>
        <w:rPr>
          <w:sz w:val="14"/>
        </w:rPr>
      </w:pPr>
    </w:p>
    <w:p w:rsidR="002C1123" w:rsidRDefault="002C1123">
      <w:pPr>
        <w:pStyle w:val="BodyText"/>
        <w:rPr>
          <w:sz w:val="14"/>
        </w:rPr>
      </w:pPr>
    </w:p>
    <w:p w:rsidR="002C1123" w:rsidRDefault="00F22F94">
      <w:pPr>
        <w:spacing w:before="105"/>
        <w:jc w:val="right"/>
        <w:rPr>
          <w:sz w:val="12"/>
        </w:rPr>
      </w:pPr>
      <w:r>
        <w:rPr>
          <w:spacing w:val="-2"/>
          <w:w w:val="85"/>
          <w:sz w:val="12"/>
        </w:rPr>
        <w:t>Sydney</w:t>
      </w:r>
    </w:p>
    <w:p w:rsidR="002C1123" w:rsidRDefault="00F22F94">
      <w:pPr>
        <w:spacing w:before="5"/>
        <w:ind w:left="1834"/>
        <w:rPr>
          <w:sz w:val="16"/>
        </w:rPr>
      </w:pPr>
      <w:r>
        <w:br w:type="column"/>
      </w:r>
      <w:r>
        <w:rPr>
          <w:w w:val="75"/>
          <w:sz w:val="16"/>
        </w:rPr>
        <w:t>opportunity</w:t>
      </w:r>
      <w:r>
        <w:rPr>
          <w:spacing w:val="10"/>
          <w:sz w:val="16"/>
        </w:rPr>
        <w:t xml:space="preserve"> </w:t>
      </w:r>
      <w:r>
        <w:rPr>
          <w:w w:val="75"/>
          <w:sz w:val="16"/>
        </w:rPr>
        <w:t>for</w:t>
      </w:r>
      <w:r>
        <w:rPr>
          <w:spacing w:val="11"/>
          <w:sz w:val="16"/>
        </w:rPr>
        <w:t xml:space="preserve"> </w:t>
      </w:r>
      <w:r>
        <w:rPr>
          <w:w w:val="75"/>
          <w:sz w:val="16"/>
        </w:rPr>
        <w:t>urban</w:t>
      </w:r>
      <w:r>
        <w:rPr>
          <w:spacing w:val="11"/>
          <w:sz w:val="16"/>
        </w:rPr>
        <w:t xml:space="preserve"> </w:t>
      </w:r>
      <w:r>
        <w:rPr>
          <w:w w:val="75"/>
          <w:sz w:val="16"/>
        </w:rPr>
        <w:t>renewal</w:t>
      </w:r>
      <w:r>
        <w:rPr>
          <w:spacing w:val="11"/>
          <w:sz w:val="16"/>
        </w:rPr>
        <w:t xml:space="preserve"> </w:t>
      </w:r>
      <w:r>
        <w:rPr>
          <w:w w:val="75"/>
          <w:sz w:val="16"/>
        </w:rPr>
        <w:t>along</w:t>
      </w:r>
      <w:r>
        <w:rPr>
          <w:spacing w:val="11"/>
          <w:sz w:val="16"/>
        </w:rPr>
        <w:t xml:space="preserve"> </w:t>
      </w:r>
      <w:r>
        <w:rPr>
          <w:w w:val="75"/>
          <w:sz w:val="16"/>
        </w:rPr>
        <w:t>this</w:t>
      </w:r>
      <w:r>
        <w:rPr>
          <w:spacing w:val="11"/>
          <w:sz w:val="16"/>
        </w:rPr>
        <w:t xml:space="preserve"> </w:t>
      </w:r>
      <w:r>
        <w:rPr>
          <w:w w:val="75"/>
          <w:sz w:val="16"/>
        </w:rPr>
        <w:t>section</w:t>
      </w:r>
      <w:r>
        <w:rPr>
          <w:spacing w:val="11"/>
          <w:sz w:val="16"/>
        </w:rPr>
        <w:t xml:space="preserve"> </w:t>
      </w:r>
      <w:r>
        <w:rPr>
          <w:w w:val="75"/>
          <w:sz w:val="16"/>
        </w:rPr>
        <w:t>of</w:t>
      </w:r>
      <w:r>
        <w:rPr>
          <w:spacing w:val="11"/>
          <w:sz w:val="16"/>
        </w:rPr>
        <w:t xml:space="preserve"> </w:t>
      </w:r>
      <w:r>
        <w:rPr>
          <w:w w:val="75"/>
          <w:sz w:val="16"/>
        </w:rPr>
        <w:t>Parramatta</w:t>
      </w:r>
      <w:r>
        <w:rPr>
          <w:spacing w:val="11"/>
          <w:sz w:val="16"/>
        </w:rPr>
        <w:t xml:space="preserve"> </w:t>
      </w:r>
      <w:r>
        <w:rPr>
          <w:spacing w:val="-2"/>
          <w:w w:val="75"/>
          <w:sz w:val="16"/>
        </w:rPr>
        <w:t>Road.</w:t>
      </w:r>
    </w:p>
    <w:p w:rsidR="002C1123" w:rsidRDefault="00F22F94">
      <w:pPr>
        <w:pStyle w:val="ListParagraph"/>
        <w:numPr>
          <w:ilvl w:val="0"/>
          <w:numId w:val="94"/>
        </w:numPr>
        <w:tabs>
          <w:tab w:val="left" w:pos="1835"/>
        </w:tabs>
        <w:spacing w:before="131" w:line="247" w:lineRule="auto"/>
        <w:ind w:left="1834" w:right="1052" w:hanging="242"/>
        <w:jc w:val="left"/>
        <w:rPr>
          <w:sz w:val="16"/>
        </w:rPr>
      </w:pPr>
      <w:r>
        <w:rPr>
          <w:spacing w:val="-2"/>
          <w:w w:val="80"/>
          <w:sz w:val="16"/>
        </w:rPr>
        <w:t>The</w:t>
      </w:r>
      <w:r>
        <w:rPr>
          <w:spacing w:val="-5"/>
          <w:sz w:val="16"/>
        </w:rPr>
        <w:t xml:space="preserve"> </w:t>
      </w:r>
      <w:r>
        <w:rPr>
          <w:spacing w:val="-2"/>
          <w:w w:val="80"/>
          <w:sz w:val="16"/>
        </w:rPr>
        <w:t>new</w:t>
      </w:r>
      <w:r>
        <w:rPr>
          <w:spacing w:val="-5"/>
          <w:sz w:val="16"/>
        </w:rPr>
        <w:t xml:space="preserve"> </w:t>
      </w:r>
      <w:r>
        <w:rPr>
          <w:spacing w:val="-2"/>
          <w:w w:val="80"/>
          <w:sz w:val="16"/>
        </w:rPr>
        <w:t>tunnel</w:t>
      </w:r>
      <w:r>
        <w:rPr>
          <w:spacing w:val="-5"/>
          <w:sz w:val="16"/>
        </w:rPr>
        <w:t xml:space="preserve"> </w:t>
      </w:r>
      <w:r>
        <w:rPr>
          <w:spacing w:val="-2"/>
          <w:w w:val="80"/>
          <w:sz w:val="16"/>
        </w:rPr>
        <w:t>from</w:t>
      </w:r>
      <w:r>
        <w:rPr>
          <w:spacing w:val="-5"/>
          <w:sz w:val="16"/>
        </w:rPr>
        <w:t xml:space="preserve"> </w:t>
      </w:r>
      <w:r>
        <w:rPr>
          <w:spacing w:val="-2"/>
          <w:w w:val="80"/>
          <w:sz w:val="16"/>
        </w:rPr>
        <w:t>the</w:t>
      </w:r>
      <w:r>
        <w:rPr>
          <w:spacing w:val="-5"/>
          <w:sz w:val="16"/>
        </w:rPr>
        <w:t xml:space="preserve"> </w:t>
      </w:r>
      <w:r>
        <w:rPr>
          <w:spacing w:val="-2"/>
          <w:w w:val="80"/>
          <w:sz w:val="16"/>
        </w:rPr>
        <w:t>St</w:t>
      </w:r>
      <w:r>
        <w:rPr>
          <w:spacing w:val="-5"/>
          <w:sz w:val="16"/>
        </w:rPr>
        <w:t xml:space="preserve"> </w:t>
      </w:r>
      <w:r>
        <w:rPr>
          <w:spacing w:val="-2"/>
          <w:w w:val="80"/>
          <w:sz w:val="16"/>
        </w:rPr>
        <w:t>Peters</w:t>
      </w:r>
      <w:r>
        <w:rPr>
          <w:spacing w:val="-5"/>
          <w:sz w:val="16"/>
        </w:rPr>
        <w:t xml:space="preserve"> </w:t>
      </w:r>
      <w:r>
        <w:rPr>
          <w:spacing w:val="-2"/>
          <w:w w:val="80"/>
          <w:sz w:val="16"/>
        </w:rPr>
        <w:t>area</w:t>
      </w:r>
      <w:r>
        <w:rPr>
          <w:spacing w:val="-5"/>
          <w:sz w:val="16"/>
        </w:rPr>
        <w:t xml:space="preserve"> </w:t>
      </w:r>
      <w:r>
        <w:rPr>
          <w:spacing w:val="-2"/>
          <w:w w:val="80"/>
          <w:sz w:val="16"/>
        </w:rPr>
        <w:t>to</w:t>
      </w:r>
      <w:r>
        <w:rPr>
          <w:spacing w:val="-5"/>
          <w:sz w:val="16"/>
        </w:rPr>
        <w:t xml:space="preserve"> </w:t>
      </w:r>
      <w:r>
        <w:rPr>
          <w:spacing w:val="-2"/>
          <w:w w:val="80"/>
          <w:sz w:val="16"/>
        </w:rPr>
        <w:t>the</w:t>
      </w:r>
      <w:r>
        <w:rPr>
          <w:spacing w:val="-5"/>
          <w:sz w:val="16"/>
        </w:rPr>
        <w:t xml:space="preserve"> </w:t>
      </w:r>
      <w:r>
        <w:rPr>
          <w:spacing w:val="-2"/>
          <w:w w:val="80"/>
          <w:sz w:val="16"/>
        </w:rPr>
        <w:t>Camperdown</w:t>
      </w:r>
      <w:r>
        <w:rPr>
          <w:spacing w:val="-5"/>
          <w:sz w:val="16"/>
        </w:rPr>
        <w:t xml:space="preserve"> </w:t>
      </w:r>
      <w:r>
        <w:rPr>
          <w:spacing w:val="-2"/>
          <w:w w:val="80"/>
          <w:sz w:val="16"/>
        </w:rPr>
        <w:t>area</w:t>
      </w:r>
      <w:r>
        <w:rPr>
          <w:spacing w:val="-5"/>
          <w:sz w:val="16"/>
        </w:rPr>
        <w:t xml:space="preserve"> </w:t>
      </w:r>
      <w:r>
        <w:rPr>
          <w:spacing w:val="-2"/>
          <w:w w:val="80"/>
          <w:sz w:val="16"/>
        </w:rPr>
        <w:t>provides</w:t>
      </w:r>
      <w:r>
        <w:rPr>
          <w:sz w:val="16"/>
        </w:rPr>
        <w:t xml:space="preserve"> </w:t>
      </w:r>
      <w:r>
        <w:rPr>
          <w:w w:val="80"/>
          <w:sz w:val="16"/>
        </w:rPr>
        <w:t>a motorway for vehicles accessing the international gateways</w:t>
      </w:r>
    </w:p>
    <w:p w:rsidR="002C1123" w:rsidRDefault="00F22F94">
      <w:pPr>
        <w:spacing w:before="2"/>
        <w:ind w:left="1834"/>
        <w:rPr>
          <w:sz w:val="16"/>
        </w:rPr>
      </w:pPr>
      <w:r>
        <w:rPr>
          <w:w w:val="80"/>
          <w:sz w:val="16"/>
        </w:rPr>
        <w:t>of</w:t>
      </w:r>
      <w:r>
        <w:rPr>
          <w:spacing w:val="-5"/>
          <w:w w:val="80"/>
          <w:sz w:val="16"/>
        </w:rPr>
        <w:t xml:space="preserve"> </w:t>
      </w:r>
      <w:r>
        <w:rPr>
          <w:w w:val="80"/>
          <w:sz w:val="16"/>
        </w:rPr>
        <w:t>the</w:t>
      </w:r>
      <w:r>
        <w:rPr>
          <w:spacing w:val="-2"/>
          <w:w w:val="80"/>
          <w:sz w:val="16"/>
        </w:rPr>
        <w:t xml:space="preserve"> </w:t>
      </w:r>
      <w:r>
        <w:rPr>
          <w:w w:val="80"/>
          <w:sz w:val="16"/>
        </w:rPr>
        <w:t>Port</w:t>
      </w:r>
      <w:r>
        <w:rPr>
          <w:spacing w:val="-2"/>
          <w:w w:val="80"/>
          <w:sz w:val="16"/>
        </w:rPr>
        <w:t xml:space="preserve"> </w:t>
      </w:r>
      <w:r>
        <w:rPr>
          <w:w w:val="80"/>
          <w:sz w:val="16"/>
        </w:rPr>
        <w:t>and</w:t>
      </w:r>
      <w:r>
        <w:rPr>
          <w:spacing w:val="-3"/>
          <w:w w:val="80"/>
          <w:sz w:val="16"/>
        </w:rPr>
        <w:t xml:space="preserve"> </w:t>
      </w:r>
      <w:r>
        <w:rPr>
          <w:w w:val="80"/>
          <w:sz w:val="16"/>
        </w:rPr>
        <w:t>Airport</w:t>
      </w:r>
      <w:r>
        <w:rPr>
          <w:spacing w:val="-2"/>
          <w:w w:val="80"/>
          <w:sz w:val="16"/>
        </w:rPr>
        <w:t xml:space="preserve"> </w:t>
      </w:r>
      <w:r>
        <w:rPr>
          <w:w w:val="80"/>
          <w:sz w:val="16"/>
        </w:rPr>
        <w:t>and</w:t>
      </w:r>
      <w:r>
        <w:rPr>
          <w:spacing w:val="-3"/>
          <w:w w:val="80"/>
          <w:sz w:val="16"/>
        </w:rPr>
        <w:t xml:space="preserve"> </w:t>
      </w:r>
      <w:r>
        <w:rPr>
          <w:w w:val="80"/>
          <w:sz w:val="16"/>
        </w:rPr>
        <w:t>removes</w:t>
      </w:r>
      <w:r>
        <w:rPr>
          <w:spacing w:val="-1"/>
          <w:w w:val="80"/>
          <w:sz w:val="16"/>
        </w:rPr>
        <w:t xml:space="preserve"> </w:t>
      </w:r>
      <w:r>
        <w:rPr>
          <w:w w:val="80"/>
          <w:sz w:val="16"/>
        </w:rPr>
        <w:t>through</w:t>
      </w:r>
      <w:r>
        <w:rPr>
          <w:spacing w:val="-2"/>
          <w:w w:val="80"/>
          <w:sz w:val="16"/>
        </w:rPr>
        <w:t xml:space="preserve"> </w:t>
      </w:r>
      <w:r>
        <w:rPr>
          <w:w w:val="80"/>
          <w:sz w:val="16"/>
        </w:rPr>
        <w:t>trucks</w:t>
      </w:r>
      <w:r>
        <w:rPr>
          <w:spacing w:val="-1"/>
          <w:w w:val="80"/>
          <w:sz w:val="16"/>
        </w:rPr>
        <w:t xml:space="preserve"> </w:t>
      </w:r>
      <w:r>
        <w:rPr>
          <w:w w:val="80"/>
          <w:sz w:val="16"/>
        </w:rPr>
        <w:t>from</w:t>
      </w:r>
      <w:r>
        <w:rPr>
          <w:spacing w:val="-2"/>
          <w:w w:val="80"/>
          <w:sz w:val="16"/>
        </w:rPr>
        <w:t xml:space="preserve"> </w:t>
      </w:r>
      <w:r>
        <w:rPr>
          <w:w w:val="80"/>
          <w:sz w:val="16"/>
        </w:rPr>
        <w:t>surface</w:t>
      </w:r>
      <w:r>
        <w:rPr>
          <w:spacing w:val="-1"/>
          <w:w w:val="80"/>
          <w:sz w:val="16"/>
        </w:rPr>
        <w:t xml:space="preserve"> </w:t>
      </w:r>
      <w:r>
        <w:rPr>
          <w:spacing w:val="-2"/>
          <w:w w:val="80"/>
          <w:sz w:val="16"/>
        </w:rPr>
        <w:t>roads.</w:t>
      </w:r>
    </w:p>
    <w:p w:rsidR="002C1123" w:rsidRDefault="00F22F94">
      <w:pPr>
        <w:pStyle w:val="ListParagraph"/>
        <w:numPr>
          <w:ilvl w:val="0"/>
          <w:numId w:val="94"/>
        </w:numPr>
        <w:tabs>
          <w:tab w:val="left" w:pos="1835"/>
        </w:tabs>
        <w:spacing w:before="133" w:line="53" w:lineRule="exact"/>
        <w:ind w:left="1834" w:hanging="243"/>
        <w:jc w:val="left"/>
        <w:rPr>
          <w:sz w:val="16"/>
        </w:rPr>
      </w:pPr>
      <w:r>
        <w:rPr>
          <w:w w:val="75"/>
          <w:sz w:val="16"/>
        </w:rPr>
        <w:t>WestConnex</w:t>
      </w:r>
      <w:r>
        <w:rPr>
          <w:spacing w:val="6"/>
          <w:sz w:val="16"/>
        </w:rPr>
        <w:t xml:space="preserve"> </w:t>
      </w:r>
      <w:r>
        <w:rPr>
          <w:w w:val="75"/>
          <w:sz w:val="16"/>
        </w:rPr>
        <w:t>gives</w:t>
      </w:r>
      <w:r>
        <w:rPr>
          <w:spacing w:val="6"/>
          <w:sz w:val="16"/>
        </w:rPr>
        <w:t xml:space="preserve"> </w:t>
      </w:r>
      <w:r>
        <w:rPr>
          <w:w w:val="75"/>
          <w:sz w:val="16"/>
        </w:rPr>
        <w:t>improved</w:t>
      </w:r>
      <w:r>
        <w:rPr>
          <w:spacing w:val="6"/>
          <w:sz w:val="16"/>
        </w:rPr>
        <w:t xml:space="preserve"> </w:t>
      </w:r>
      <w:r>
        <w:rPr>
          <w:w w:val="75"/>
          <w:sz w:val="16"/>
        </w:rPr>
        <w:t>access</w:t>
      </w:r>
      <w:r>
        <w:rPr>
          <w:spacing w:val="7"/>
          <w:sz w:val="16"/>
        </w:rPr>
        <w:t xml:space="preserve"> </w:t>
      </w:r>
      <w:r>
        <w:rPr>
          <w:w w:val="75"/>
          <w:sz w:val="16"/>
        </w:rPr>
        <w:t>to</w:t>
      </w:r>
      <w:r>
        <w:rPr>
          <w:spacing w:val="6"/>
          <w:sz w:val="16"/>
        </w:rPr>
        <w:t xml:space="preserve"> </w:t>
      </w:r>
      <w:r>
        <w:rPr>
          <w:w w:val="75"/>
          <w:sz w:val="16"/>
        </w:rPr>
        <w:t>the</w:t>
      </w:r>
      <w:r>
        <w:rPr>
          <w:spacing w:val="6"/>
          <w:sz w:val="16"/>
        </w:rPr>
        <w:t xml:space="preserve"> </w:t>
      </w:r>
      <w:r>
        <w:rPr>
          <w:w w:val="75"/>
          <w:sz w:val="16"/>
        </w:rPr>
        <w:t>major</w:t>
      </w:r>
      <w:r>
        <w:rPr>
          <w:spacing w:val="6"/>
          <w:sz w:val="16"/>
        </w:rPr>
        <w:t xml:space="preserve"> </w:t>
      </w:r>
      <w:r>
        <w:rPr>
          <w:spacing w:val="-2"/>
          <w:w w:val="75"/>
          <w:sz w:val="16"/>
        </w:rPr>
        <w:t>international</w:t>
      </w:r>
    </w:p>
    <w:p w:rsidR="002C1123" w:rsidRDefault="002C1123">
      <w:pPr>
        <w:spacing w:line="53" w:lineRule="exact"/>
        <w:rPr>
          <w:sz w:val="16"/>
        </w:rPr>
        <w:sectPr w:rsidR="002C1123">
          <w:type w:val="continuous"/>
          <w:pgSz w:w="16840" w:h="11910" w:orient="landscape"/>
          <w:pgMar w:top="560" w:right="280" w:bottom="280" w:left="500" w:header="0" w:footer="517" w:gutter="0"/>
          <w:cols w:num="4" w:space="720" w:equalWidth="0">
            <w:col w:w="2914" w:space="40"/>
            <w:col w:w="3374" w:space="39"/>
            <w:col w:w="2590" w:space="40"/>
            <w:col w:w="7063"/>
          </w:cols>
        </w:sectPr>
      </w:pPr>
    </w:p>
    <w:p w:rsidR="002C1123" w:rsidRDefault="002C1123">
      <w:pPr>
        <w:pStyle w:val="BodyText"/>
        <w:rPr>
          <w:sz w:val="14"/>
        </w:rPr>
      </w:pPr>
    </w:p>
    <w:p w:rsidR="002C1123" w:rsidRDefault="002C1123">
      <w:pPr>
        <w:pStyle w:val="BodyText"/>
        <w:rPr>
          <w:sz w:val="14"/>
        </w:rPr>
      </w:pPr>
    </w:p>
    <w:p w:rsidR="002C1123" w:rsidRDefault="002C1123">
      <w:pPr>
        <w:pStyle w:val="BodyText"/>
        <w:spacing w:before="11"/>
        <w:rPr>
          <w:sz w:val="14"/>
        </w:rPr>
      </w:pPr>
    </w:p>
    <w:p w:rsidR="002C1123" w:rsidRDefault="002060EF">
      <w:pPr>
        <w:jc w:val="right"/>
        <w:rPr>
          <w:sz w:val="12"/>
        </w:rPr>
      </w:pPr>
      <w:r>
        <w:pict>
          <v:shape id="_x0000_s4068" type="#_x0000_t136" style="position:absolute;left:0;text-align:left;margin-left:79.7pt;margin-top:-15.5pt;width:32.35pt;height:6pt;rotation:300;z-index:251366400;mso-position-horizontal-relative:page" fillcolor="black" stroked="f">
            <o:extrusion v:ext="view" autorotationcenter="t"/>
            <v:textpath style="font-family:&quot;Arial&quot;;font-size:6pt;v-text-kern:t;mso-text-shadow:auto" string="Woodville Road"/>
            <w10:wrap anchorx="page"/>
          </v:shape>
        </w:pict>
      </w:r>
      <w:r w:rsidR="00F22F94">
        <w:rPr>
          <w:spacing w:val="-2"/>
          <w:w w:val="90"/>
          <w:sz w:val="12"/>
        </w:rPr>
        <w:t>Chullora</w:t>
      </w:r>
    </w:p>
    <w:p w:rsidR="002C1123" w:rsidRDefault="00F22F94">
      <w:pPr>
        <w:spacing w:line="364" w:lineRule="auto"/>
        <w:ind w:left="510" w:hanging="132"/>
        <w:rPr>
          <w:sz w:val="12"/>
        </w:rPr>
      </w:pPr>
      <w:r>
        <w:br w:type="column"/>
      </w:r>
      <w:r>
        <w:rPr>
          <w:spacing w:val="-2"/>
          <w:w w:val="90"/>
          <w:sz w:val="12"/>
        </w:rPr>
        <w:t>Homebush</w:t>
      </w:r>
      <w:r>
        <w:rPr>
          <w:spacing w:val="40"/>
          <w:sz w:val="12"/>
        </w:rPr>
        <w:t xml:space="preserve"> </w:t>
      </w:r>
      <w:r>
        <w:rPr>
          <w:spacing w:val="-2"/>
          <w:w w:val="75"/>
          <w:sz w:val="12"/>
        </w:rPr>
        <w:t>Strathfield</w:t>
      </w:r>
    </w:p>
    <w:p w:rsidR="002C1123" w:rsidRDefault="00F22F94">
      <w:pPr>
        <w:spacing w:before="205"/>
        <w:ind w:left="576"/>
        <w:rPr>
          <w:b/>
          <w:sz w:val="14"/>
        </w:rPr>
      </w:pPr>
      <w:r>
        <w:br w:type="column"/>
      </w:r>
      <w:r>
        <w:rPr>
          <w:w w:val="85"/>
          <w:sz w:val="12"/>
        </w:rPr>
        <w:t>Croydon</w:t>
      </w:r>
      <w:r>
        <w:rPr>
          <w:spacing w:val="77"/>
          <w:w w:val="150"/>
          <w:sz w:val="12"/>
        </w:rPr>
        <w:t xml:space="preserve"> </w:t>
      </w:r>
      <w:r>
        <w:rPr>
          <w:b/>
          <w:spacing w:val="-10"/>
          <w:w w:val="95"/>
          <w:position w:val="8"/>
          <w:sz w:val="14"/>
        </w:rPr>
        <w:t>3</w:t>
      </w:r>
    </w:p>
    <w:p w:rsidR="002C1123" w:rsidRDefault="00F22F94">
      <w:pPr>
        <w:spacing w:before="59"/>
        <w:ind w:left="234"/>
        <w:rPr>
          <w:sz w:val="12"/>
        </w:rPr>
      </w:pPr>
      <w:r>
        <w:rPr>
          <w:spacing w:val="-2"/>
          <w:w w:val="90"/>
          <w:sz w:val="12"/>
        </w:rPr>
        <w:t>Burwood</w:t>
      </w:r>
    </w:p>
    <w:p w:rsidR="002C1123" w:rsidRDefault="00F22F94">
      <w:pPr>
        <w:rPr>
          <w:sz w:val="14"/>
        </w:rPr>
      </w:pPr>
      <w:r>
        <w:br w:type="column"/>
      </w:r>
    </w:p>
    <w:p w:rsidR="002C1123" w:rsidRDefault="002C1123">
      <w:pPr>
        <w:pStyle w:val="BodyText"/>
        <w:rPr>
          <w:sz w:val="14"/>
        </w:rPr>
      </w:pPr>
    </w:p>
    <w:p w:rsidR="002C1123" w:rsidRDefault="00F22F94">
      <w:pPr>
        <w:spacing w:before="88" w:line="135" w:lineRule="exact"/>
        <w:ind w:left="711"/>
        <w:rPr>
          <w:sz w:val="12"/>
        </w:rPr>
      </w:pPr>
      <w:r>
        <w:rPr>
          <w:spacing w:val="-2"/>
          <w:w w:val="90"/>
          <w:sz w:val="12"/>
        </w:rPr>
        <w:t>Leichhardt</w:t>
      </w:r>
    </w:p>
    <w:p w:rsidR="002C1123" w:rsidRDefault="00F22F94">
      <w:pPr>
        <w:spacing w:line="95" w:lineRule="exact"/>
        <w:ind w:left="648"/>
        <w:rPr>
          <w:sz w:val="12"/>
        </w:rPr>
      </w:pPr>
      <w:r>
        <w:rPr>
          <w:w w:val="80"/>
          <w:sz w:val="12"/>
        </w:rPr>
        <w:t>Taverners</w:t>
      </w:r>
      <w:r>
        <w:rPr>
          <w:spacing w:val="-2"/>
          <w:w w:val="80"/>
          <w:sz w:val="12"/>
        </w:rPr>
        <w:t xml:space="preserve"> </w:t>
      </w:r>
      <w:r>
        <w:rPr>
          <w:w w:val="80"/>
          <w:sz w:val="12"/>
        </w:rPr>
        <w:t>Hill</w:t>
      </w:r>
      <w:r>
        <w:rPr>
          <w:spacing w:val="38"/>
          <w:sz w:val="12"/>
        </w:rPr>
        <w:t xml:space="preserve"> </w:t>
      </w:r>
      <w:r>
        <w:rPr>
          <w:spacing w:val="-2"/>
          <w:w w:val="80"/>
          <w:position w:val="1"/>
          <w:sz w:val="12"/>
        </w:rPr>
        <w:t>Camperdown</w:t>
      </w:r>
    </w:p>
    <w:p w:rsidR="002C1123" w:rsidRDefault="00F22F94">
      <w:pPr>
        <w:spacing w:before="134" w:line="249" w:lineRule="auto"/>
        <w:ind w:left="3099" w:right="1635"/>
        <w:rPr>
          <w:sz w:val="16"/>
        </w:rPr>
      </w:pPr>
      <w:r>
        <w:br w:type="column"/>
      </w:r>
      <w:r>
        <w:rPr>
          <w:spacing w:val="-2"/>
          <w:w w:val="80"/>
          <w:sz w:val="16"/>
        </w:rPr>
        <w:t>gateway</w:t>
      </w:r>
      <w:r>
        <w:rPr>
          <w:spacing w:val="-3"/>
          <w:sz w:val="16"/>
        </w:rPr>
        <w:t xml:space="preserve"> </w:t>
      </w:r>
      <w:r>
        <w:rPr>
          <w:spacing w:val="-2"/>
          <w:w w:val="80"/>
          <w:sz w:val="16"/>
        </w:rPr>
        <w:t>of</w:t>
      </w:r>
      <w:r>
        <w:rPr>
          <w:spacing w:val="-3"/>
          <w:sz w:val="16"/>
        </w:rPr>
        <w:t xml:space="preserve"> </w:t>
      </w:r>
      <w:r>
        <w:rPr>
          <w:spacing w:val="-2"/>
          <w:w w:val="80"/>
          <w:sz w:val="16"/>
        </w:rPr>
        <w:t>Port</w:t>
      </w:r>
      <w:r>
        <w:rPr>
          <w:spacing w:val="-3"/>
          <w:sz w:val="16"/>
        </w:rPr>
        <w:t xml:space="preserve"> </w:t>
      </w:r>
      <w:r>
        <w:rPr>
          <w:spacing w:val="-2"/>
          <w:w w:val="80"/>
          <w:sz w:val="16"/>
        </w:rPr>
        <w:t>Botany;</w:t>
      </w:r>
      <w:r>
        <w:rPr>
          <w:spacing w:val="-3"/>
          <w:sz w:val="16"/>
        </w:rPr>
        <w:t xml:space="preserve"> </w:t>
      </w:r>
      <w:r>
        <w:rPr>
          <w:spacing w:val="-2"/>
          <w:w w:val="80"/>
          <w:sz w:val="16"/>
        </w:rPr>
        <w:t>and</w:t>
      </w:r>
      <w:r>
        <w:rPr>
          <w:spacing w:val="-3"/>
          <w:sz w:val="16"/>
        </w:rPr>
        <w:t xml:space="preserve"> </w:t>
      </w:r>
      <w:r>
        <w:rPr>
          <w:spacing w:val="-2"/>
          <w:w w:val="80"/>
          <w:sz w:val="16"/>
        </w:rPr>
        <w:t>increases</w:t>
      </w:r>
      <w:r>
        <w:rPr>
          <w:spacing w:val="-3"/>
          <w:sz w:val="16"/>
        </w:rPr>
        <w:t xml:space="preserve"> </w:t>
      </w:r>
      <w:r>
        <w:rPr>
          <w:spacing w:val="-2"/>
          <w:w w:val="80"/>
          <w:sz w:val="16"/>
        </w:rPr>
        <w:t>the</w:t>
      </w:r>
      <w:r>
        <w:rPr>
          <w:spacing w:val="-3"/>
          <w:sz w:val="16"/>
        </w:rPr>
        <w:t xml:space="preserve"> </w:t>
      </w:r>
      <w:r>
        <w:rPr>
          <w:spacing w:val="-2"/>
          <w:w w:val="80"/>
          <w:sz w:val="16"/>
        </w:rPr>
        <w:t>economic</w:t>
      </w:r>
      <w:r>
        <w:rPr>
          <w:spacing w:val="-3"/>
          <w:sz w:val="16"/>
        </w:rPr>
        <w:t xml:space="preserve"> </w:t>
      </w:r>
      <w:r>
        <w:rPr>
          <w:spacing w:val="-2"/>
          <w:w w:val="80"/>
          <w:sz w:val="16"/>
        </w:rPr>
        <w:t>efficiency</w:t>
      </w:r>
      <w:r>
        <w:rPr>
          <w:sz w:val="16"/>
        </w:rPr>
        <w:t xml:space="preserve"> </w:t>
      </w:r>
      <w:r>
        <w:rPr>
          <w:spacing w:val="-2"/>
          <w:w w:val="90"/>
          <w:sz w:val="16"/>
        </w:rPr>
        <w:t>of</w:t>
      </w:r>
      <w:r>
        <w:rPr>
          <w:spacing w:val="-5"/>
          <w:w w:val="90"/>
          <w:sz w:val="16"/>
        </w:rPr>
        <w:t xml:space="preserve"> </w:t>
      </w:r>
      <w:r>
        <w:rPr>
          <w:spacing w:val="-2"/>
          <w:w w:val="90"/>
          <w:sz w:val="16"/>
        </w:rPr>
        <w:t>this</w:t>
      </w:r>
      <w:r>
        <w:rPr>
          <w:spacing w:val="-5"/>
          <w:w w:val="90"/>
          <w:sz w:val="16"/>
        </w:rPr>
        <w:t xml:space="preserve"> </w:t>
      </w:r>
      <w:r>
        <w:rPr>
          <w:spacing w:val="-2"/>
          <w:w w:val="90"/>
          <w:sz w:val="16"/>
        </w:rPr>
        <w:t>international</w:t>
      </w:r>
      <w:r>
        <w:rPr>
          <w:spacing w:val="-4"/>
          <w:w w:val="90"/>
          <w:sz w:val="16"/>
        </w:rPr>
        <w:t xml:space="preserve"> </w:t>
      </w:r>
      <w:r>
        <w:rPr>
          <w:spacing w:val="-2"/>
          <w:w w:val="90"/>
          <w:sz w:val="16"/>
        </w:rPr>
        <w:t>gateway.</w:t>
      </w:r>
    </w:p>
    <w:p w:rsidR="002C1123" w:rsidRDefault="002C1123">
      <w:pPr>
        <w:spacing w:line="249" w:lineRule="auto"/>
        <w:rPr>
          <w:sz w:val="16"/>
        </w:rPr>
        <w:sectPr w:rsidR="002C1123">
          <w:type w:val="continuous"/>
          <w:pgSz w:w="16840" w:h="11910" w:orient="landscape"/>
          <w:pgMar w:top="560" w:right="280" w:bottom="280" w:left="500" w:header="0" w:footer="517" w:gutter="0"/>
          <w:cols w:num="5" w:space="720" w:equalWidth="0">
            <w:col w:w="3583" w:space="40"/>
            <w:col w:w="942" w:space="39"/>
            <w:col w:w="1173" w:space="40"/>
            <w:col w:w="1875" w:space="39"/>
            <w:col w:w="8329"/>
          </w:cols>
        </w:sectPr>
      </w:pPr>
    </w:p>
    <w:p w:rsidR="002C1123" w:rsidRDefault="00F22F94">
      <w:pPr>
        <w:spacing w:before="42"/>
        <w:jc w:val="right"/>
        <w:rPr>
          <w:sz w:val="12"/>
        </w:rPr>
      </w:pPr>
      <w:r>
        <w:rPr>
          <w:spacing w:val="-2"/>
          <w:w w:val="85"/>
          <w:sz w:val="12"/>
        </w:rPr>
        <w:t>Enfield</w:t>
      </w:r>
    </w:p>
    <w:p w:rsidR="002C1123" w:rsidRDefault="00F22F94">
      <w:pPr>
        <w:rPr>
          <w:sz w:val="14"/>
        </w:rPr>
      </w:pPr>
      <w:r>
        <w:br w:type="column"/>
      </w:r>
    </w:p>
    <w:p w:rsidR="002C1123" w:rsidRDefault="002C1123">
      <w:pPr>
        <w:pStyle w:val="BodyText"/>
        <w:spacing w:before="2"/>
        <w:rPr>
          <w:sz w:val="12"/>
        </w:rPr>
      </w:pPr>
    </w:p>
    <w:p w:rsidR="002C1123" w:rsidRDefault="00F22F94">
      <w:pPr>
        <w:ind w:left="296"/>
        <w:rPr>
          <w:sz w:val="12"/>
        </w:rPr>
      </w:pPr>
      <w:r>
        <w:rPr>
          <w:w w:val="75"/>
          <w:sz w:val="12"/>
        </w:rPr>
        <w:t>Croydon</w:t>
      </w:r>
      <w:r>
        <w:rPr>
          <w:spacing w:val="-1"/>
          <w:sz w:val="12"/>
        </w:rPr>
        <w:t xml:space="preserve"> </w:t>
      </w:r>
      <w:r>
        <w:rPr>
          <w:spacing w:val="-7"/>
          <w:w w:val="85"/>
          <w:sz w:val="12"/>
        </w:rPr>
        <w:t>Park</w:t>
      </w:r>
    </w:p>
    <w:p w:rsidR="002C1123" w:rsidRDefault="00F22F94">
      <w:pPr>
        <w:rPr>
          <w:sz w:val="14"/>
        </w:rPr>
      </w:pPr>
      <w:r>
        <w:br w:type="column"/>
      </w:r>
    </w:p>
    <w:p w:rsidR="002C1123" w:rsidRDefault="00F22F94">
      <w:pPr>
        <w:spacing w:before="114"/>
        <w:ind w:left="236"/>
        <w:rPr>
          <w:sz w:val="12"/>
        </w:rPr>
      </w:pPr>
      <w:r>
        <w:rPr>
          <w:w w:val="75"/>
          <w:sz w:val="12"/>
        </w:rPr>
        <w:t>Summer</w:t>
      </w:r>
      <w:r>
        <w:rPr>
          <w:spacing w:val="13"/>
          <w:sz w:val="12"/>
        </w:rPr>
        <w:t xml:space="preserve"> </w:t>
      </w:r>
      <w:r>
        <w:rPr>
          <w:spacing w:val="-9"/>
          <w:w w:val="90"/>
          <w:sz w:val="12"/>
        </w:rPr>
        <w:t>Hill</w:t>
      </w:r>
    </w:p>
    <w:p w:rsidR="002C1123" w:rsidRDefault="00F22F94">
      <w:pPr>
        <w:spacing w:before="117"/>
        <w:jc w:val="right"/>
        <w:rPr>
          <w:b/>
          <w:sz w:val="14"/>
        </w:rPr>
      </w:pPr>
      <w:r>
        <w:br w:type="column"/>
      </w:r>
      <w:r>
        <w:rPr>
          <w:b/>
          <w:spacing w:val="-10"/>
          <w:sz w:val="14"/>
        </w:rPr>
        <w:t>4</w:t>
      </w:r>
    </w:p>
    <w:p w:rsidR="002C1123" w:rsidRDefault="00F22F94">
      <w:pPr>
        <w:spacing w:before="132" w:line="94" w:lineRule="exact"/>
        <w:ind w:left="149"/>
        <w:rPr>
          <w:sz w:val="12"/>
        </w:rPr>
      </w:pPr>
      <w:r>
        <w:rPr>
          <w:spacing w:val="-2"/>
          <w:w w:val="90"/>
          <w:sz w:val="12"/>
        </w:rPr>
        <w:t>Lewisham</w:t>
      </w:r>
    </w:p>
    <w:p w:rsidR="002C1123" w:rsidRDefault="00F22F94">
      <w:pPr>
        <w:spacing w:before="35"/>
        <w:ind w:left="487"/>
        <w:rPr>
          <w:sz w:val="12"/>
        </w:rPr>
      </w:pPr>
      <w:r>
        <w:br w:type="column"/>
      </w:r>
      <w:r>
        <w:rPr>
          <w:spacing w:val="-2"/>
          <w:w w:val="75"/>
          <w:sz w:val="12"/>
        </w:rPr>
        <w:t>Ultimo</w:t>
      </w:r>
    </w:p>
    <w:p w:rsidR="002C1123" w:rsidRDefault="002C1123">
      <w:pPr>
        <w:pStyle w:val="BodyText"/>
        <w:spacing w:before="9"/>
      </w:pPr>
    </w:p>
    <w:p w:rsidR="002C1123" w:rsidRDefault="00F22F94">
      <w:pPr>
        <w:spacing w:line="91" w:lineRule="exact"/>
        <w:ind w:right="17"/>
        <w:jc w:val="center"/>
        <w:rPr>
          <w:b/>
          <w:sz w:val="14"/>
        </w:rPr>
      </w:pPr>
      <w:r>
        <w:rPr>
          <w:b/>
          <w:w w:val="99"/>
          <w:sz w:val="14"/>
        </w:rPr>
        <w:t>5</w:t>
      </w:r>
    </w:p>
    <w:p w:rsidR="002C1123" w:rsidRDefault="00F22F94">
      <w:pPr>
        <w:spacing w:before="10"/>
        <w:rPr>
          <w:b/>
          <w:sz w:val="19"/>
        </w:rPr>
      </w:pPr>
      <w:r>
        <w:br w:type="column"/>
      </w:r>
    </w:p>
    <w:p w:rsidR="002C1123" w:rsidRDefault="00F22F94">
      <w:pPr>
        <w:spacing w:line="249" w:lineRule="auto"/>
        <w:ind w:left="1820" w:right="-1" w:firstLine="60"/>
        <w:rPr>
          <w:sz w:val="12"/>
        </w:rPr>
      </w:pPr>
      <w:r>
        <w:rPr>
          <w:spacing w:val="-2"/>
          <w:w w:val="90"/>
          <w:sz w:val="12"/>
        </w:rPr>
        <w:t>Bondi</w:t>
      </w:r>
      <w:r>
        <w:rPr>
          <w:spacing w:val="40"/>
          <w:sz w:val="12"/>
        </w:rPr>
        <w:t xml:space="preserve"> </w:t>
      </w:r>
      <w:r>
        <w:rPr>
          <w:spacing w:val="-2"/>
          <w:w w:val="80"/>
          <w:sz w:val="12"/>
        </w:rPr>
        <w:t>Junction</w:t>
      </w:r>
    </w:p>
    <w:p w:rsidR="002C1123" w:rsidRDefault="00F22F94">
      <w:pPr>
        <w:pStyle w:val="ListParagraph"/>
        <w:numPr>
          <w:ilvl w:val="0"/>
          <w:numId w:val="94"/>
        </w:numPr>
        <w:tabs>
          <w:tab w:val="left" w:pos="887"/>
        </w:tabs>
        <w:spacing w:line="249" w:lineRule="auto"/>
        <w:ind w:left="886" w:right="949" w:hanging="242"/>
        <w:jc w:val="left"/>
        <w:rPr>
          <w:sz w:val="16"/>
        </w:rPr>
      </w:pPr>
      <w:r>
        <w:br w:type="column"/>
      </w:r>
      <w:r>
        <w:rPr>
          <w:w w:val="80"/>
          <w:sz w:val="16"/>
        </w:rPr>
        <w:t>Traffic</w:t>
      </w:r>
      <w:r>
        <w:rPr>
          <w:spacing w:val="-3"/>
          <w:w w:val="80"/>
          <w:sz w:val="16"/>
        </w:rPr>
        <w:t xml:space="preserve"> </w:t>
      </w:r>
      <w:r>
        <w:rPr>
          <w:w w:val="80"/>
          <w:sz w:val="16"/>
        </w:rPr>
        <w:t>has</w:t>
      </w:r>
      <w:r>
        <w:rPr>
          <w:spacing w:val="-2"/>
          <w:w w:val="80"/>
          <w:sz w:val="16"/>
        </w:rPr>
        <w:t xml:space="preserve"> </w:t>
      </w:r>
      <w:r>
        <w:rPr>
          <w:w w:val="80"/>
          <w:sz w:val="16"/>
        </w:rPr>
        <w:t>better</w:t>
      </w:r>
      <w:r>
        <w:rPr>
          <w:spacing w:val="-2"/>
          <w:w w:val="80"/>
          <w:sz w:val="16"/>
        </w:rPr>
        <w:t xml:space="preserve"> </w:t>
      </w:r>
      <w:r>
        <w:rPr>
          <w:w w:val="80"/>
          <w:sz w:val="16"/>
        </w:rPr>
        <w:t>choices</w:t>
      </w:r>
      <w:r>
        <w:rPr>
          <w:spacing w:val="-2"/>
          <w:w w:val="80"/>
          <w:sz w:val="16"/>
        </w:rPr>
        <w:t xml:space="preserve"> </w:t>
      </w:r>
      <w:r>
        <w:rPr>
          <w:w w:val="80"/>
          <w:sz w:val="16"/>
        </w:rPr>
        <w:t>to</w:t>
      </w:r>
      <w:r>
        <w:rPr>
          <w:spacing w:val="-3"/>
          <w:w w:val="80"/>
          <w:sz w:val="16"/>
        </w:rPr>
        <w:t xml:space="preserve"> </w:t>
      </w:r>
      <w:r>
        <w:rPr>
          <w:w w:val="80"/>
          <w:sz w:val="16"/>
        </w:rPr>
        <w:t>travel</w:t>
      </w:r>
      <w:r>
        <w:rPr>
          <w:spacing w:val="-2"/>
          <w:w w:val="80"/>
          <w:sz w:val="16"/>
        </w:rPr>
        <w:t xml:space="preserve"> </w:t>
      </w:r>
      <w:r>
        <w:rPr>
          <w:w w:val="80"/>
          <w:sz w:val="16"/>
        </w:rPr>
        <w:t>north</w:t>
      </w:r>
      <w:r>
        <w:rPr>
          <w:spacing w:val="-2"/>
          <w:w w:val="80"/>
          <w:sz w:val="16"/>
        </w:rPr>
        <w:t xml:space="preserve"> </w:t>
      </w:r>
      <w:r>
        <w:rPr>
          <w:w w:val="80"/>
          <w:sz w:val="16"/>
        </w:rPr>
        <w:t>of</w:t>
      </w:r>
      <w:r>
        <w:rPr>
          <w:spacing w:val="-2"/>
          <w:w w:val="80"/>
          <w:sz w:val="16"/>
        </w:rPr>
        <w:t xml:space="preserve"> </w:t>
      </w:r>
      <w:r>
        <w:rPr>
          <w:w w:val="80"/>
          <w:sz w:val="16"/>
        </w:rPr>
        <w:t>or</w:t>
      </w:r>
      <w:r>
        <w:rPr>
          <w:spacing w:val="-2"/>
          <w:w w:val="80"/>
          <w:sz w:val="16"/>
        </w:rPr>
        <w:t xml:space="preserve"> </w:t>
      </w:r>
      <w:r>
        <w:rPr>
          <w:w w:val="80"/>
          <w:sz w:val="16"/>
        </w:rPr>
        <w:t>south</w:t>
      </w:r>
      <w:r>
        <w:rPr>
          <w:spacing w:val="-2"/>
          <w:w w:val="80"/>
          <w:sz w:val="16"/>
        </w:rPr>
        <w:t xml:space="preserve"> </w:t>
      </w:r>
      <w:r>
        <w:rPr>
          <w:w w:val="80"/>
          <w:sz w:val="16"/>
        </w:rPr>
        <w:t>of</w:t>
      </w:r>
      <w:r>
        <w:rPr>
          <w:spacing w:val="-2"/>
          <w:w w:val="80"/>
          <w:sz w:val="16"/>
        </w:rPr>
        <w:t xml:space="preserve"> </w:t>
      </w:r>
      <w:r>
        <w:rPr>
          <w:w w:val="80"/>
          <w:sz w:val="16"/>
        </w:rPr>
        <w:t>the</w:t>
      </w:r>
      <w:r>
        <w:rPr>
          <w:spacing w:val="-2"/>
          <w:w w:val="80"/>
          <w:sz w:val="16"/>
        </w:rPr>
        <w:t xml:space="preserve"> </w:t>
      </w:r>
      <w:r>
        <w:rPr>
          <w:w w:val="80"/>
          <w:sz w:val="16"/>
        </w:rPr>
        <w:t>airport,</w:t>
      </w:r>
      <w:r>
        <w:rPr>
          <w:spacing w:val="-3"/>
          <w:w w:val="80"/>
          <w:sz w:val="16"/>
        </w:rPr>
        <w:t xml:space="preserve"> </w:t>
      </w:r>
      <w:r>
        <w:rPr>
          <w:w w:val="80"/>
          <w:sz w:val="16"/>
        </w:rPr>
        <w:t>improving</w:t>
      </w:r>
      <w:r>
        <w:rPr>
          <w:sz w:val="16"/>
        </w:rPr>
        <w:t xml:space="preserve"> </w:t>
      </w:r>
      <w:r>
        <w:rPr>
          <w:w w:val="90"/>
          <w:sz w:val="16"/>
        </w:rPr>
        <w:t>traffic</w:t>
      </w:r>
      <w:r>
        <w:rPr>
          <w:spacing w:val="-1"/>
          <w:w w:val="90"/>
          <w:sz w:val="16"/>
        </w:rPr>
        <w:t xml:space="preserve"> </w:t>
      </w:r>
      <w:r>
        <w:rPr>
          <w:w w:val="90"/>
          <w:sz w:val="16"/>
        </w:rPr>
        <w:t>flow</w:t>
      </w:r>
      <w:r>
        <w:rPr>
          <w:spacing w:val="-1"/>
          <w:w w:val="90"/>
          <w:sz w:val="16"/>
        </w:rPr>
        <w:t xml:space="preserve"> </w:t>
      </w:r>
      <w:r>
        <w:rPr>
          <w:w w:val="90"/>
          <w:sz w:val="16"/>
        </w:rPr>
        <w:t>generally.</w:t>
      </w:r>
    </w:p>
    <w:p w:rsidR="002C1123" w:rsidRDefault="002C1123">
      <w:pPr>
        <w:spacing w:line="249" w:lineRule="auto"/>
        <w:rPr>
          <w:sz w:val="16"/>
        </w:rPr>
        <w:sectPr w:rsidR="002C1123">
          <w:type w:val="continuous"/>
          <w:pgSz w:w="16840" w:h="11910" w:orient="landscape"/>
          <w:pgMar w:top="560" w:right="280" w:bottom="280" w:left="500" w:header="0" w:footer="517" w:gutter="0"/>
          <w:cols w:num="7" w:space="720" w:equalWidth="0">
            <w:col w:w="4422" w:space="40"/>
            <w:col w:w="866" w:space="39"/>
            <w:col w:w="754" w:space="39"/>
            <w:col w:w="730" w:space="40"/>
            <w:col w:w="754" w:space="40"/>
            <w:col w:w="2181" w:space="39"/>
            <w:col w:w="6116"/>
          </w:cols>
        </w:sectPr>
      </w:pPr>
    </w:p>
    <w:p w:rsidR="002C1123" w:rsidRDefault="002C1123">
      <w:pPr>
        <w:pStyle w:val="BodyText"/>
        <w:rPr>
          <w:sz w:val="14"/>
        </w:rPr>
      </w:pPr>
    </w:p>
    <w:p w:rsidR="002C1123" w:rsidRDefault="002C1123">
      <w:pPr>
        <w:pStyle w:val="BodyText"/>
        <w:rPr>
          <w:sz w:val="14"/>
        </w:rPr>
      </w:pPr>
    </w:p>
    <w:p w:rsidR="002C1123" w:rsidRDefault="002C1123">
      <w:pPr>
        <w:pStyle w:val="BodyText"/>
        <w:rPr>
          <w:sz w:val="14"/>
        </w:rPr>
      </w:pPr>
    </w:p>
    <w:p w:rsidR="002C1123" w:rsidRDefault="002C1123">
      <w:pPr>
        <w:pStyle w:val="BodyText"/>
        <w:rPr>
          <w:sz w:val="14"/>
        </w:rPr>
      </w:pPr>
    </w:p>
    <w:p w:rsidR="002C1123" w:rsidRDefault="002C1123">
      <w:pPr>
        <w:pStyle w:val="BodyText"/>
        <w:rPr>
          <w:sz w:val="14"/>
        </w:rPr>
      </w:pPr>
    </w:p>
    <w:p w:rsidR="002C1123" w:rsidRDefault="002C1123">
      <w:pPr>
        <w:pStyle w:val="BodyText"/>
        <w:rPr>
          <w:sz w:val="14"/>
        </w:rPr>
      </w:pPr>
    </w:p>
    <w:p w:rsidR="002C1123" w:rsidRDefault="002C1123">
      <w:pPr>
        <w:pStyle w:val="BodyText"/>
        <w:rPr>
          <w:sz w:val="14"/>
        </w:rPr>
      </w:pPr>
    </w:p>
    <w:p w:rsidR="002C1123" w:rsidRDefault="002C1123">
      <w:pPr>
        <w:pStyle w:val="BodyText"/>
        <w:spacing w:before="5"/>
        <w:rPr>
          <w:sz w:val="16"/>
        </w:rPr>
      </w:pPr>
    </w:p>
    <w:p w:rsidR="002C1123" w:rsidRDefault="002060EF">
      <w:pPr>
        <w:ind w:left="2242" w:right="1"/>
        <w:jc w:val="center"/>
        <w:rPr>
          <w:sz w:val="12"/>
        </w:rPr>
      </w:pPr>
      <w:r>
        <w:pict>
          <v:shape id="_x0000_s4067" type="#_x0000_t136" style="position:absolute;left:0;text-align:left;margin-left:443.85pt;margin-top:-10.1pt;width:1.55pt;height:6pt;rotation:298;z-index:251364352;mso-position-horizontal-relative:page" fillcolor="black" stroked="f">
            <o:extrusion v:ext="view" autorotationcenter="t"/>
            <v:textpath style="font-family:&quot;Arial&quot;;font-size:6pt;v-text-kern:t;mso-text-shadow:auto" string="t"/>
            <w10:wrap anchorx="page"/>
          </v:shape>
        </w:pict>
      </w:r>
      <w:r>
        <w:pict>
          <v:shape id="_x0000_s4066" type="#_x0000_t136" style="position:absolute;left:0;text-align:left;margin-left:442.3pt;margin-top:-8.35pt;width:2.7pt;height:6pt;rotation:299;z-index:251365376;mso-position-horizontal-relative:page" fillcolor="black" stroked="f">
            <o:extrusion v:ext="view" autorotationcenter="t"/>
            <v:textpath style="font-family:&quot;Arial&quot;;font-size:6pt;v-text-kern:t;mso-text-shadow:auto" string="u"/>
            <w10:wrap anchorx="page"/>
          </v:shape>
        </w:pict>
      </w:r>
      <w:r>
        <w:pict>
          <v:shape id="_x0000_s4065" type="#_x0000_t136" style="position:absolute;left:0;text-align:left;margin-left:441.1pt;margin-top:-6.1pt;width:2.6pt;height:6pt;rotation:300;z-index:251368448;mso-position-horizontal-relative:page" fillcolor="black" stroked="f">
            <o:extrusion v:ext="view" autorotationcenter="t"/>
            <v:textpath style="font-family:&quot;Arial&quot;;font-size:6pt;v-text-kern:t;mso-text-shadow:auto" string="o"/>
            <w10:wrap anchorx="page"/>
          </v:shape>
        </w:pict>
      </w:r>
      <w:r w:rsidR="00F22F94">
        <w:rPr>
          <w:spacing w:val="-2"/>
          <w:w w:val="75"/>
          <w:sz w:val="12"/>
        </w:rPr>
        <w:t>Bankstown</w:t>
      </w:r>
    </w:p>
    <w:p w:rsidR="002C1123" w:rsidRDefault="002C1123">
      <w:pPr>
        <w:pStyle w:val="BodyText"/>
        <w:spacing w:before="1"/>
        <w:rPr>
          <w:sz w:val="13"/>
        </w:rPr>
      </w:pPr>
    </w:p>
    <w:p w:rsidR="002C1123" w:rsidRDefault="00F22F94">
      <w:pPr>
        <w:ind w:left="2247" w:right="1"/>
        <w:jc w:val="center"/>
        <w:rPr>
          <w:b/>
          <w:sz w:val="14"/>
        </w:rPr>
      </w:pPr>
      <w:r>
        <w:rPr>
          <w:b/>
          <w:spacing w:val="-5"/>
          <w:sz w:val="14"/>
        </w:rPr>
        <w:t>11</w:t>
      </w:r>
    </w:p>
    <w:p w:rsidR="002C1123" w:rsidRDefault="00F22F94">
      <w:pPr>
        <w:rPr>
          <w:b/>
          <w:sz w:val="14"/>
        </w:rPr>
      </w:pPr>
      <w:r>
        <w:br w:type="column"/>
      </w:r>
    </w:p>
    <w:p w:rsidR="002C1123" w:rsidRDefault="002C1123">
      <w:pPr>
        <w:pStyle w:val="BodyText"/>
        <w:rPr>
          <w:b/>
          <w:sz w:val="14"/>
        </w:rPr>
      </w:pPr>
    </w:p>
    <w:p w:rsidR="002C1123" w:rsidRDefault="002C1123">
      <w:pPr>
        <w:pStyle w:val="BodyText"/>
        <w:rPr>
          <w:b/>
          <w:sz w:val="14"/>
        </w:rPr>
      </w:pPr>
    </w:p>
    <w:p w:rsidR="002C1123" w:rsidRDefault="002C1123">
      <w:pPr>
        <w:pStyle w:val="BodyText"/>
        <w:rPr>
          <w:b/>
          <w:sz w:val="14"/>
        </w:rPr>
      </w:pPr>
    </w:p>
    <w:p w:rsidR="002C1123" w:rsidRDefault="002C1123">
      <w:pPr>
        <w:pStyle w:val="BodyText"/>
        <w:rPr>
          <w:b/>
          <w:sz w:val="14"/>
        </w:rPr>
      </w:pPr>
    </w:p>
    <w:p w:rsidR="002C1123" w:rsidRDefault="002C1123">
      <w:pPr>
        <w:pStyle w:val="BodyText"/>
        <w:rPr>
          <w:b/>
          <w:sz w:val="14"/>
        </w:rPr>
      </w:pPr>
    </w:p>
    <w:p w:rsidR="002C1123" w:rsidRDefault="002C1123">
      <w:pPr>
        <w:pStyle w:val="BodyText"/>
        <w:spacing w:before="3"/>
        <w:rPr>
          <w:b/>
          <w:sz w:val="18"/>
        </w:rPr>
      </w:pPr>
    </w:p>
    <w:p w:rsidR="002C1123" w:rsidRDefault="002060EF">
      <w:pPr>
        <w:ind w:left="649"/>
        <w:rPr>
          <w:sz w:val="12"/>
        </w:rPr>
      </w:pPr>
      <w:r>
        <w:pict>
          <v:shape id="_x0000_s4064" type="#_x0000_t136" style="position:absolute;left:0;text-align:left;margin-left:442.5pt;margin-top:-11.95pt;width:2.75pt;height:6pt;rotation:227;z-index:251341824;mso-position-horizontal-relative:page" fillcolor="black" stroked="f">
            <o:extrusion v:ext="view" autorotationcenter="t"/>
            <v:textpath style="font-family:&quot;Arial&quot;;font-size:6pt;v-text-kern:t;mso-text-shadow:auto" string="n"/>
            <w10:wrap anchorx="page"/>
          </v:shape>
        </w:pict>
      </w:r>
      <w:r>
        <w:pict>
          <v:shape id="_x0000_s4063" type="#_x0000_t136" style="position:absolute;left:0;text-align:left;margin-left:444.4pt;margin-top:-10.05pt;width:1.75pt;height:6pt;rotation:245;z-index:251343872;mso-position-horizontal-relative:page" fillcolor="black" stroked="f">
            <o:extrusion v:ext="view" autorotationcenter="t"/>
            <v:textpath style="font-family:&quot;Arial&quot;;font-size:6pt;v-text-kern:t;mso-text-shadow:auto" string="r"/>
            <w10:wrap anchorx="page"/>
          </v:shape>
        </w:pict>
      </w:r>
      <w:r>
        <w:pict>
          <v:shape id="_x0000_s4062" type="#_x0000_t136" style="position:absolute;left:0;text-align:left;margin-left:444.65pt;margin-top:-7.9pt;width:2.6pt;height:6pt;rotation:261;z-index:251345920;mso-position-horizontal-relative:page" fillcolor="black" stroked="f">
            <o:extrusion v:ext="view" autorotationcenter="t"/>
            <v:textpath style="font-family:&quot;Arial&quot;;font-size:6pt;v-text-kern:t;mso-text-shadow:auto" string="e"/>
            <w10:wrap anchorx="page"/>
          </v:shape>
        </w:pict>
      </w:r>
      <w:r>
        <w:pict>
          <v:shape id="_x0000_s4061" type="#_x0000_t136" style="position:absolute;left:0;text-align:left;margin-left:444.2pt;margin-top:-5pt;width:2.7pt;height:6pt;rotation:295;z-index:251362304;mso-position-horizontal-relative:page" fillcolor="black" stroked="f">
            <o:extrusion v:ext="view" autorotationcenter="t"/>
            <v:textpath style="font-family:&quot;Arial&quot;;font-size:6pt;v-text-kern:t;mso-text-shadow:auto" string="h"/>
            <w10:wrap anchorx="page"/>
          </v:shape>
        </w:pict>
      </w:r>
      <w:r w:rsidR="00F22F94">
        <w:rPr>
          <w:spacing w:val="-2"/>
          <w:w w:val="90"/>
          <w:sz w:val="12"/>
        </w:rPr>
        <w:t>Punchbowl</w:t>
      </w:r>
    </w:p>
    <w:p w:rsidR="002C1123" w:rsidRDefault="002060EF">
      <w:pPr>
        <w:spacing w:before="100"/>
        <w:ind w:left="938"/>
        <w:rPr>
          <w:sz w:val="12"/>
        </w:rPr>
      </w:pPr>
      <w:r>
        <w:pict>
          <v:shape id="_x0000_s4060" type="#_x0000_t136" style="position:absolute;left:0;text-align:left;margin-left:183.55pt;margin-top:12.35pt;width:29.2pt;height:6pt;rotation:7;z-index:251304960;mso-position-horizontal-relative:page" fillcolor="black" stroked="f">
            <o:extrusion v:ext="view" autorotationcenter="t"/>
            <v:textpath style="font-family:&quot;Arial&quot;;font-size:6pt;v-text-kern:t;mso-text-shadow:auto" string="M5 Motorway"/>
            <w10:wrap anchorx="page"/>
          </v:shape>
        </w:pict>
      </w:r>
      <w:r>
        <w:pict>
          <v:shape id="_x0000_s4059" type="#_x0000_t136" style="position:absolute;left:0;text-align:left;margin-left:160.5pt;margin-top:6.6pt;width:28.5pt;height:6pt;rotation:282;z-index:251358208;mso-position-horizontal-relative:page" fillcolor="black" stroked="f">
            <o:extrusion v:ext="view" autorotationcenter="t"/>
            <v:textpath style="font-family:&quot;Arial&quot;;font-size:6pt;v-text-kern:t;mso-text-shadow:auto" string="Fairford Road"/>
            <w10:wrap anchorx="page"/>
          </v:shape>
        </w:pict>
      </w:r>
      <w:r w:rsidR="00F22F94">
        <w:rPr>
          <w:spacing w:val="-2"/>
          <w:w w:val="85"/>
          <w:sz w:val="12"/>
        </w:rPr>
        <w:t>Roselands</w:t>
      </w:r>
    </w:p>
    <w:p w:rsidR="002C1123" w:rsidRDefault="002C1123">
      <w:pPr>
        <w:pStyle w:val="BodyText"/>
        <w:rPr>
          <w:sz w:val="14"/>
        </w:rPr>
      </w:pPr>
    </w:p>
    <w:p w:rsidR="002C1123" w:rsidRDefault="002C1123">
      <w:pPr>
        <w:pStyle w:val="BodyText"/>
        <w:rPr>
          <w:sz w:val="14"/>
        </w:rPr>
      </w:pPr>
    </w:p>
    <w:p w:rsidR="002C1123" w:rsidRDefault="002C1123">
      <w:pPr>
        <w:pStyle w:val="BodyText"/>
        <w:spacing w:before="8"/>
        <w:rPr>
          <w:sz w:val="13"/>
        </w:rPr>
      </w:pPr>
    </w:p>
    <w:p w:rsidR="002C1123" w:rsidRDefault="00F22F94">
      <w:pPr>
        <w:jc w:val="right"/>
        <w:rPr>
          <w:sz w:val="12"/>
        </w:rPr>
      </w:pPr>
      <w:r>
        <w:rPr>
          <w:spacing w:val="-2"/>
          <w:w w:val="85"/>
          <w:sz w:val="12"/>
        </w:rPr>
        <w:t>Riverwood</w:t>
      </w:r>
    </w:p>
    <w:p w:rsidR="002C1123" w:rsidRDefault="00F22F94">
      <w:pPr>
        <w:rPr>
          <w:sz w:val="14"/>
        </w:rPr>
      </w:pPr>
      <w:r>
        <w:br w:type="column"/>
      </w:r>
    </w:p>
    <w:p w:rsidR="002C1123" w:rsidRDefault="002C1123">
      <w:pPr>
        <w:pStyle w:val="BodyText"/>
        <w:rPr>
          <w:sz w:val="14"/>
        </w:rPr>
      </w:pPr>
    </w:p>
    <w:p w:rsidR="002C1123" w:rsidRDefault="002C1123">
      <w:pPr>
        <w:pStyle w:val="BodyText"/>
        <w:rPr>
          <w:sz w:val="14"/>
        </w:rPr>
      </w:pPr>
    </w:p>
    <w:p w:rsidR="002C1123" w:rsidRDefault="002C1123">
      <w:pPr>
        <w:pStyle w:val="BodyText"/>
        <w:rPr>
          <w:sz w:val="14"/>
        </w:rPr>
      </w:pPr>
    </w:p>
    <w:p w:rsidR="002C1123" w:rsidRDefault="002C1123">
      <w:pPr>
        <w:pStyle w:val="BodyText"/>
        <w:rPr>
          <w:sz w:val="14"/>
        </w:rPr>
      </w:pPr>
    </w:p>
    <w:p w:rsidR="002C1123" w:rsidRDefault="002C1123">
      <w:pPr>
        <w:pStyle w:val="BodyText"/>
        <w:rPr>
          <w:sz w:val="14"/>
        </w:rPr>
      </w:pPr>
    </w:p>
    <w:p w:rsidR="002C1123" w:rsidRDefault="002C1123">
      <w:pPr>
        <w:pStyle w:val="BodyText"/>
        <w:rPr>
          <w:sz w:val="14"/>
        </w:rPr>
      </w:pPr>
    </w:p>
    <w:p w:rsidR="002C1123" w:rsidRDefault="002C1123">
      <w:pPr>
        <w:pStyle w:val="BodyText"/>
        <w:rPr>
          <w:sz w:val="14"/>
        </w:rPr>
      </w:pPr>
    </w:p>
    <w:p w:rsidR="002C1123" w:rsidRDefault="002C1123">
      <w:pPr>
        <w:pStyle w:val="BodyText"/>
        <w:rPr>
          <w:sz w:val="14"/>
        </w:rPr>
      </w:pPr>
    </w:p>
    <w:p w:rsidR="002C1123" w:rsidRDefault="002C1123">
      <w:pPr>
        <w:pStyle w:val="BodyText"/>
        <w:rPr>
          <w:sz w:val="14"/>
        </w:rPr>
      </w:pPr>
    </w:p>
    <w:p w:rsidR="002C1123" w:rsidRDefault="002C1123">
      <w:pPr>
        <w:pStyle w:val="BodyText"/>
        <w:rPr>
          <w:sz w:val="14"/>
        </w:rPr>
      </w:pPr>
    </w:p>
    <w:p w:rsidR="002C1123" w:rsidRDefault="002060EF">
      <w:pPr>
        <w:spacing w:before="121" w:line="249" w:lineRule="auto"/>
        <w:ind w:left="367" w:hanging="66"/>
        <w:rPr>
          <w:sz w:val="12"/>
        </w:rPr>
      </w:pPr>
      <w:r>
        <w:pict>
          <v:shape id="_x0000_s4058" type="#_x0000_t136" style="position:absolute;left:0;text-align:left;margin-left:255.15pt;margin-top:40.75pt;width:40.6pt;height:6pt;rotation:54;z-index:251324416;mso-position-horizontal-relative:page" fillcolor="black" stroked="f">
            <o:extrusion v:ext="view" autorotationcenter="t"/>
            <v:textpath style="font-family:&quot;Arial&quot;;font-size:6pt;v-text-kern:t;mso-text-shadow:auto" string="King Georges Road"/>
            <w10:wrap anchorx="page"/>
          </v:shape>
        </w:pict>
      </w:r>
      <w:r>
        <w:pict>
          <v:shape id="_x0000_s4057" type="#_x0000_t136" style="position:absolute;left:0;text-align:left;margin-left:439.55pt;margin-top:-26.5pt;width:3pt;height:6pt;rotation:302;z-index:251369472;mso-position-horizontal-relative:page" fillcolor="black" stroked="f">
            <o:extrusion v:ext="view" autorotationcenter="t"/>
            <v:textpath style="font-family:&quot;Arial&quot;;font-size:6pt;v-text-kern:t;mso-text-shadow:auto" string="S"/>
            <w10:wrap anchorx="page"/>
          </v:shape>
        </w:pict>
      </w:r>
      <w:r w:rsidR="00F22F94">
        <w:rPr>
          <w:spacing w:val="-2"/>
          <w:w w:val="75"/>
          <w:sz w:val="12"/>
        </w:rPr>
        <w:t>Beverly</w:t>
      </w:r>
      <w:r w:rsidR="00F22F94">
        <w:rPr>
          <w:spacing w:val="40"/>
          <w:sz w:val="12"/>
        </w:rPr>
        <w:t xml:space="preserve"> </w:t>
      </w:r>
      <w:r w:rsidR="00F22F94">
        <w:rPr>
          <w:spacing w:val="-2"/>
          <w:w w:val="85"/>
          <w:sz w:val="12"/>
        </w:rPr>
        <w:t>Hills</w:t>
      </w:r>
    </w:p>
    <w:p w:rsidR="002C1123" w:rsidRDefault="00F22F94">
      <w:pPr>
        <w:rPr>
          <w:sz w:val="14"/>
        </w:rPr>
      </w:pPr>
      <w:r>
        <w:br w:type="column"/>
      </w:r>
    </w:p>
    <w:p w:rsidR="002C1123" w:rsidRDefault="002C1123">
      <w:pPr>
        <w:pStyle w:val="BodyText"/>
        <w:rPr>
          <w:sz w:val="14"/>
        </w:rPr>
      </w:pPr>
    </w:p>
    <w:p w:rsidR="002C1123" w:rsidRDefault="002C1123">
      <w:pPr>
        <w:pStyle w:val="BodyText"/>
        <w:rPr>
          <w:sz w:val="14"/>
        </w:rPr>
      </w:pPr>
    </w:p>
    <w:p w:rsidR="002C1123" w:rsidRDefault="002060EF">
      <w:pPr>
        <w:spacing w:before="105"/>
        <w:ind w:right="71"/>
        <w:jc w:val="right"/>
        <w:rPr>
          <w:sz w:val="12"/>
        </w:rPr>
      </w:pPr>
      <w:r>
        <w:pict>
          <v:shape id="_x0000_s4056" type="#_x0000_t136" style="position:absolute;left:0;text-align:left;margin-left:439.65pt;margin-top:-1.4pt;width:4.9pt;height:6pt;rotation:280;z-index:251357184;mso-position-horizontal-relative:page" fillcolor="black" stroked="f">
            <o:extrusion v:ext="view" autorotationcenter="t"/>
            <v:textpath style="font-family:&quot;Arial&quot;;font-size:6pt;v-text-kern:t;mso-text-shadow:auto" string="ve"/>
            <w10:wrap anchorx="page"/>
          </v:shape>
        </w:pict>
      </w:r>
      <w:r w:rsidR="00F22F94">
        <w:rPr>
          <w:spacing w:val="-2"/>
          <w:w w:val="85"/>
          <w:sz w:val="12"/>
        </w:rPr>
        <w:t>Campsie</w:t>
      </w:r>
    </w:p>
    <w:p w:rsidR="002C1123" w:rsidRDefault="002C1123">
      <w:pPr>
        <w:pStyle w:val="BodyText"/>
        <w:rPr>
          <w:sz w:val="14"/>
        </w:rPr>
      </w:pPr>
    </w:p>
    <w:p w:rsidR="002C1123" w:rsidRDefault="002C1123">
      <w:pPr>
        <w:pStyle w:val="BodyText"/>
        <w:rPr>
          <w:sz w:val="14"/>
        </w:rPr>
      </w:pPr>
    </w:p>
    <w:p w:rsidR="002C1123" w:rsidRDefault="002C1123">
      <w:pPr>
        <w:pStyle w:val="BodyText"/>
        <w:rPr>
          <w:sz w:val="14"/>
        </w:rPr>
      </w:pPr>
    </w:p>
    <w:p w:rsidR="002C1123" w:rsidRDefault="002C1123">
      <w:pPr>
        <w:pStyle w:val="BodyText"/>
        <w:rPr>
          <w:sz w:val="14"/>
        </w:rPr>
      </w:pPr>
    </w:p>
    <w:p w:rsidR="002C1123" w:rsidRDefault="002C1123">
      <w:pPr>
        <w:pStyle w:val="BodyText"/>
        <w:rPr>
          <w:sz w:val="14"/>
        </w:rPr>
      </w:pPr>
    </w:p>
    <w:p w:rsidR="002C1123" w:rsidRDefault="002C1123">
      <w:pPr>
        <w:pStyle w:val="BodyText"/>
        <w:spacing w:before="8"/>
      </w:pPr>
    </w:p>
    <w:p w:rsidR="002C1123" w:rsidRDefault="00F22F94">
      <w:pPr>
        <w:spacing w:before="1"/>
        <w:jc w:val="right"/>
        <w:rPr>
          <w:sz w:val="12"/>
        </w:rPr>
      </w:pPr>
      <w:r>
        <w:rPr>
          <w:spacing w:val="-2"/>
          <w:w w:val="85"/>
          <w:sz w:val="12"/>
        </w:rPr>
        <w:t>Bexley</w:t>
      </w:r>
    </w:p>
    <w:p w:rsidR="002C1123" w:rsidRDefault="00F22F94">
      <w:pPr>
        <w:rPr>
          <w:sz w:val="14"/>
        </w:rPr>
      </w:pPr>
      <w:r>
        <w:br w:type="column"/>
      </w:r>
    </w:p>
    <w:p w:rsidR="002C1123" w:rsidRDefault="002C1123">
      <w:pPr>
        <w:pStyle w:val="BodyText"/>
        <w:rPr>
          <w:sz w:val="14"/>
        </w:rPr>
      </w:pPr>
    </w:p>
    <w:p w:rsidR="002C1123" w:rsidRDefault="002C1123">
      <w:pPr>
        <w:pStyle w:val="BodyText"/>
        <w:rPr>
          <w:sz w:val="14"/>
        </w:rPr>
      </w:pPr>
    </w:p>
    <w:p w:rsidR="002C1123" w:rsidRDefault="002C1123">
      <w:pPr>
        <w:pStyle w:val="BodyText"/>
        <w:rPr>
          <w:sz w:val="14"/>
        </w:rPr>
      </w:pPr>
    </w:p>
    <w:p w:rsidR="002C1123" w:rsidRDefault="002C1123">
      <w:pPr>
        <w:pStyle w:val="BodyText"/>
        <w:rPr>
          <w:sz w:val="14"/>
        </w:rPr>
      </w:pPr>
    </w:p>
    <w:p w:rsidR="002C1123" w:rsidRDefault="002C1123">
      <w:pPr>
        <w:pStyle w:val="BodyText"/>
        <w:spacing w:before="2"/>
        <w:rPr>
          <w:sz w:val="17"/>
        </w:rPr>
      </w:pPr>
    </w:p>
    <w:p w:rsidR="002C1123" w:rsidRDefault="002060EF">
      <w:pPr>
        <w:ind w:left="35"/>
        <w:rPr>
          <w:sz w:val="12"/>
        </w:rPr>
      </w:pPr>
      <w:r>
        <w:pict>
          <v:shape id="_x0000_s4055" type="#_x0000_t136" style="position:absolute;left:0;text-align:left;margin-left:439.45pt;margin-top:-6.9pt;width:3.25pt;height:6pt;rotation:245;z-index:251342848;mso-position-horizontal-relative:page" fillcolor="black" stroked="f">
            <o:extrusion v:ext="view" autorotationcenter="t"/>
            <v:textpath style="font-family:&quot;Arial&quot;;font-size:6pt;v-text-kern:t;mso-text-shadow:auto" string="C"/>
            <w10:wrap anchorx="page"/>
          </v:shape>
        </w:pict>
      </w:r>
      <w:r>
        <w:pict>
          <v:shape id="_x0000_s4054" type="#_x0000_t136" style="position:absolute;left:0;text-align:left;margin-left:439.3pt;margin-top:-9.35pt;width:1.8pt;height:6pt;rotation:260;z-index:251344896;mso-position-horizontal-relative:page" fillcolor="black" stroked="f">
            <o:extrusion v:ext="view" autorotationcenter="t"/>
            <v:textpath style="font-family:&quot;Arial&quot;;font-size:6pt;v-text-kern:t;mso-text-shadow:auto" string="r"/>
            <w10:wrap anchorx="page"/>
          </v:shape>
        </w:pict>
      </w:r>
      <w:r>
        <w:pict>
          <v:shape id="docshape1185" o:spid="_x0000_s4053" type="#_x0000_t202" style="position:absolute;left:0;text-align:left;margin-left:435.35pt;margin-top:-10.95pt;width:8.85pt;height:4.65pt;z-index:251346944;mso-position-horizontal-relative:page" filled="f" stroked="f">
            <v:textbox style="layout-flow:vertical;mso-layout-flow-alt:bottom-to-top" inset="0,0,0,0">
              <w:txbxContent>
                <w:p w:rsidR="00F22F94" w:rsidRDefault="00F22F94">
                  <w:pPr>
                    <w:spacing w:before="18"/>
                    <w:ind w:left="20"/>
                    <w:rPr>
                      <w:sz w:val="12"/>
                    </w:rPr>
                  </w:pPr>
                  <w:r>
                    <w:rPr>
                      <w:w w:val="76"/>
                      <w:sz w:val="12"/>
                    </w:rPr>
                    <w:t>o</w:t>
                  </w:r>
                </w:p>
              </w:txbxContent>
            </v:textbox>
            <w10:wrap anchorx="page"/>
          </v:shape>
        </w:pict>
      </w:r>
      <w:r>
        <w:pict>
          <v:shape id="_x0000_s4052" type="#_x0000_t136" style="position:absolute;left:0;text-align:left;margin-left:438.95pt;margin-top:-14.15pt;width:2.45pt;height:6pt;rotation:277;z-index:251352064;mso-position-horizontal-relative:page" fillcolor="black" stroked="f">
            <o:extrusion v:ext="view" autorotationcenter="t"/>
            <v:textpath style="font-family:&quot;Arial&quot;;font-size:6pt;v-text-kern:t;mso-text-shadow:auto" string="s"/>
            <w10:wrap anchorx="page"/>
          </v:shape>
        </w:pict>
      </w:r>
      <w:r>
        <w:pict>
          <v:shape id="_x0000_s4051" type="#_x0000_t136" style="position:absolute;left:0;text-align:left;margin-left:439.25pt;margin-top:-16.5pt;width:2.4pt;height:6pt;rotation:278;z-index:251354112;mso-position-horizontal-relative:page" fillcolor="black" stroked="f">
            <o:extrusion v:ext="view" autorotationcenter="t"/>
            <v:textpath style="font-family:&quot;Arial&quot;;font-size:6pt;v-text-kern:t;mso-text-shadow:auto" string="s"/>
            <w10:wrap anchorx="page"/>
          </v:shape>
        </w:pict>
      </w:r>
      <w:r>
        <w:pict>
          <v:shape id="_x0000_s4050" type="#_x0000_t136" style="position:absolute;left:0;text-align:left;margin-left:438.25pt;margin-top:-22.05pt;width:6.05pt;height:6pt;rotation:279;z-index:251355136;mso-position-horizontal-relative:page" fillcolor="black" stroked="f">
            <o:extrusion v:ext="view" autorotationcenter="t"/>
            <v:textpath style="font-family:&quot;Arial&quot;;font-size:6pt;v-text-kern:t;mso-text-shadow:auto" string="Dri"/>
            <w10:wrap anchorx="page"/>
          </v:shape>
        </w:pict>
      </w:r>
      <w:r w:rsidR="00F22F94">
        <w:rPr>
          <w:spacing w:val="-2"/>
          <w:w w:val="85"/>
          <w:sz w:val="12"/>
        </w:rPr>
        <w:t>Earlwood</w:t>
      </w:r>
    </w:p>
    <w:p w:rsidR="002C1123" w:rsidRDefault="002C1123">
      <w:pPr>
        <w:pStyle w:val="BodyText"/>
        <w:spacing w:before="7"/>
        <w:rPr>
          <w:sz w:val="18"/>
        </w:rPr>
      </w:pPr>
    </w:p>
    <w:p w:rsidR="002C1123" w:rsidRDefault="00F22F94">
      <w:pPr>
        <w:spacing w:line="146" w:lineRule="exact"/>
        <w:ind w:left="169"/>
        <w:rPr>
          <w:b/>
          <w:sz w:val="14"/>
        </w:rPr>
      </w:pPr>
      <w:r>
        <w:rPr>
          <w:b/>
          <w:spacing w:val="-5"/>
          <w:sz w:val="14"/>
        </w:rPr>
        <w:t>10</w:t>
      </w:r>
    </w:p>
    <w:p w:rsidR="002C1123" w:rsidRDefault="00F22F94">
      <w:pPr>
        <w:spacing w:line="123" w:lineRule="exact"/>
        <w:ind w:left="330"/>
        <w:rPr>
          <w:sz w:val="12"/>
        </w:rPr>
      </w:pPr>
      <w:r>
        <w:rPr>
          <w:spacing w:val="-2"/>
          <w:w w:val="80"/>
          <w:sz w:val="12"/>
        </w:rPr>
        <w:t>Arncliffe</w:t>
      </w:r>
    </w:p>
    <w:p w:rsidR="002C1123" w:rsidRDefault="002C1123">
      <w:pPr>
        <w:pStyle w:val="BodyText"/>
        <w:rPr>
          <w:sz w:val="14"/>
        </w:rPr>
      </w:pPr>
    </w:p>
    <w:p w:rsidR="002C1123" w:rsidRDefault="002C1123">
      <w:pPr>
        <w:pStyle w:val="BodyText"/>
        <w:rPr>
          <w:sz w:val="14"/>
        </w:rPr>
      </w:pPr>
    </w:p>
    <w:p w:rsidR="002C1123" w:rsidRDefault="002C1123">
      <w:pPr>
        <w:pStyle w:val="BodyText"/>
        <w:rPr>
          <w:sz w:val="14"/>
        </w:rPr>
      </w:pPr>
    </w:p>
    <w:p w:rsidR="002C1123" w:rsidRDefault="002C1123">
      <w:pPr>
        <w:pStyle w:val="BodyText"/>
        <w:rPr>
          <w:sz w:val="14"/>
        </w:rPr>
      </w:pPr>
    </w:p>
    <w:p w:rsidR="002C1123" w:rsidRDefault="002C1123">
      <w:pPr>
        <w:pStyle w:val="BodyText"/>
        <w:spacing w:before="7"/>
        <w:rPr>
          <w:sz w:val="13"/>
        </w:rPr>
      </w:pPr>
    </w:p>
    <w:p w:rsidR="002C1123" w:rsidRDefault="00F22F94">
      <w:pPr>
        <w:ind w:left="42"/>
        <w:rPr>
          <w:sz w:val="12"/>
        </w:rPr>
      </w:pPr>
      <w:r>
        <w:rPr>
          <w:spacing w:val="-2"/>
          <w:w w:val="85"/>
          <w:sz w:val="12"/>
        </w:rPr>
        <w:t>Kogarah</w:t>
      </w:r>
    </w:p>
    <w:p w:rsidR="002C1123" w:rsidRDefault="002C1123">
      <w:pPr>
        <w:pStyle w:val="BodyText"/>
        <w:rPr>
          <w:sz w:val="14"/>
        </w:rPr>
      </w:pPr>
    </w:p>
    <w:p w:rsidR="002C1123" w:rsidRDefault="002C1123">
      <w:pPr>
        <w:pStyle w:val="BodyText"/>
        <w:rPr>
          <w:sz w:val="18"/>
        </w:rPr>
      </w:pPr>
    </w:p>
    <w:p w:rsidR="002C1123" w:rsidRDefault="00F22F94">
      <w:pPr>
        <w:spacing w:before="1"/>
        <w:ind w:left="-13"/>
        <w:rPr>
          <w:sz w:val="12"/>
        </w:rPr>
      </w:pPr>
      <w:r>
        <w:rPr>
          <w:spacing w:val="-2"/>
          <w:w w:val="90"/>
          <w:sz w:val="12"/>
        </w:rPr>
        <w:t>Hurstville</w:t>
      </w:r>
    </w:p>
    <w:p w:rsidR="002C1123" w:rsidRDefault="00F22F94">
      <w:pPr>
        <w:spacing w:before="63" w:line="328" w:lineRule="auto"/>
        <w:ind w:left="295" w:firstLine="301"/>
        <w:rPr>
          <w:sz w:val="12"/>
        </w:rPr>
      </w:pPr>
      <w:r>
        <w:br w:type="column"/>
      </w:r>
      <w:r>
        <w:rPr>
          <w:spacing w:val="-2"/>
          <w:w w:val="75"/>
          <w:sz w:val="12"/>
        </w:rPr>
        <w:t>Waterloo</w:t>
      </w:r>
      <w:r>
        <w:rPr>
          <w:spacing w:val="40"/>
          <w:sz w:val="12"/>
        </w:rPr>
        <w:t xml:space="preserve"> </w:t>
      </w:r>
      <w:r>
        <w:rPr>
          <w:spacing w:val="-2"/>
          <w:w w:val="90"/>
          <w:sz w:val="12"/>
        </w:rPr>
        <w:t>Marrickville</w:t>
      </w:r>
    </w:p>
    <w:p w:rsidR="002C1123" w:rsidRDefault="00F22F94">
      <w:pPr>
        <w:spacing w:line="112" w:lineRule="exact"/>
        <w:ind w:left="481"/>
        <w:rPr>
          <w:sz w:val="12"/>
        </w:rPr>
      </w:pPr>
      <w:r>
        <w:rPr>
          <w:w w:val="75"/>
          <w:sz w:val="12"/>
        </w:rPr>
        <w:t>St</w:t>
      </w:r>
      <w:r>
        <w:rPr>
          <w:spacing w:val="-4"/>
          <w:sz w:val="12"/>
        </w:rPr>
        <w:t xml:space="preserve"> </w:t>
      </w:r>
      <w:r>
        <w:rPr>
          <w:spacing w:val="-2"/>
          <w:w w:val="85"/>
          <w:sz w:val="12"/>
        </w:rPr>
        <w:t>Peters</w:t>
      </w:r>
    </w:p>
    <w:p w:rsidR="002C1123" w:rsidRDefault="002C1123">
      <w:pPr>
        <w:pStyle w:val="BodyText"/>
        <w:rPr>
          <w:sz w:val="14"/>
        </w:rPr>
      </w:pPr>
    </w:p>
    <w:p w:rsidR="002C1123" w:rsidRDefault="00F22F94">
      <w:pPr>
        <w:spacing w:before="91"/>
        <w:ind w:left="141"/>
        <w:rPr>
          <w:sz w:val="12"/>
        </w:rPr>
      </w:pPr>
      <w:r>
        <w:rPr>
          <w:spacing w:val="-2"/>
          <w:w w:val="90"/>
          <w:sz w:val="12"/>
        </w:rPr>
        <w:t>Tempe</w:t>
      </w:r>
    </w:p>
    <w:p w:rsidR="002C1123" w:rsidRDefault="002060EF">
      <w:pPr>
        <w:tabs>
          <w:tab w:val="left" w:pos="880"/>
        </w:tabs>
        <w:spacing w:before="15"/>
        <w:ind w:left="566"/>
        <w:rPr>
          <w:b/>
          <w:sz w:val="14"/>
        </w:rPr>
      </w:pPr>
      <w:r>
        <w:pict>
          <v:shape id="_x0000_s4049" type="#_x0000_t136" style="position:absolute;left:0;text-align:left;margin-left:328.95pt;margin-top:14.25pt;width:17.55pt;height:6pt;rotation:2;z-index:251301888;mso-position-horizontal-relative:page" fillcolor="black" stroked="f">
            <o:extrusion v:ext="view" autorotationcenter="t"/>
            <v:textpath style="font-family:&quot;Arial&quot;;font-size:6pt;v-text-kern:t;mso-text-shadow:auto" string="M5 East"/>
            <w10:wrap anchorx="page"/>
          </v:shape>
        </w:pict>
      </w:r>
      <w:r w:rsidR="00F22F94">
        <w:rPr>
          <w:b/>
          <w:spacing w:val="-10"/>
          <w:position w:val="-10"/>
          <w:sz w:val="14"/>
        </w:rPr>
        <w:t>7</w:t>
      </w:r>
      <w:r w:rsidR="00F22F94">
        <w:rPr>
          <w:b/>
          <w:position w:val="-10"/>
          <w:sz w:val="14"/>
        </w:rPr>
        <w:tab/>
      </w:r>
      <w:r w:rsidR="00F22F94">
        <w:rPr>
          <w:b/>
          <w:spacing w:val="-10"/>
          <w:sz w:val="14"/>
        </w:rPr>
        <w:t>8</w:t>
      </w:r>
    </w:p>
    <w:p w:rsidR="002C1123" w:rsidRDefault="00F22F94">
      <w:pPr>
        <w:spacing w:before="181"/>
        <w:ind w:left="294"/>
        <w:rPr>
          <w:b/>
          <w:sz w:val="14"/>
        </w:rPr>
      </w:pPr>
      <w:r>
        <w:rPr>
          <w:b/>
          <w:w w:val="99"/>
          <w:sz w:val="14"/>
        </w:rPr>
        <w:t>9</w:t>
      </w:r>
    </w:p>
    <w:p w:rsidR="002C1123" w:rsidRDefault="00F22F94">
      <w:pPr>
        <w:rPr>
          <w:b/>
          <w:sz w:val="14"/>
        </w:rPr>
      </w:pPr>
      <w:r>
        <w:br w:type="column"/>
      </w:r>
    </w:p>
    <w:p w:rsidR="002C1123" w:rsidRDefault="002C1123">
      <w:pPr>
        <w:pStyle w:val="BodyText"/>
        <w:spacing w:before="4"/>
        <w:rPr>
          <w:b/>
          <w:sz w:val="15"/>
        </w:rPr>
      </w:pPr>
    </w:p>
    <w:p w:rsidR="002C1123" w:rsidRDefault="002060EF">
      <w:pPr>
        <w:spacing w:before="1"/>
        <w:ind w:left="217"/>
        <w:rPr>
          <w:sz w:val="12"/>
        </w:rPr>
      </w:pPr>
      <w:r>
        <w:pict>
          <v:shape id="_x0000_s4048" type="#_x0000_t136" style="position:absolute;left:0;text-align:left;margin-left:426.8pt;margin-top:-23pt;width:39.3pt;height:6pt;rotation:280;z-index:251356160;mso-position-horizontal-relative:page" fillcolor="black" stroked="f">
            <o:extrusion v:ext="view" autorotationcenter="t"/>
            <v:textpath style="font-family:&quot;Arial&quot;;font-size:6pt;v-text-kern:t;mso-text-shadow:auto" string="Eastern Distributor"/>
            <w10:wrap anchorx="page"/>
          </v:shape>
        </w:pict>
      </w:r>
      <w:r w:rsidR="00F22F94">
        <w:rPr>
          <w:spacing w:val="-2"/>
          <w:w w:val="85"/>
          <w:sz w:val="12"/>
        </w:rPr>
        <w:t>Alexandria</w:t>
      </w:r>
    </w:p>
    <w:p w:rsidR="002C1123" w:rsidRDefault="002C1123">
      <w:pPr>
        <w:pStyle w:val="BodyText"/>
        <w:rPr>
          <w:sz w:val="14"/>
        </w:rPr>
      </w:pPr>
    </w:p>
    <w:p w:rsidR="002C1123" w:rsidRDefault="002C1123">
      <w:pPr>
        <w:pStyle w:val="BodyText"/>
        <w:rPr>
          <w:sz w:val="14"/>
        </w:rPr>
      </w:pPr>
    </w:p>
    <w:p w:rsidR="002C1123" w:rsidRDefault="002C1123">
      <w:pPr>
        <w:pStyle w:val="BodyText"/>
        <w:spacing w:before="11"/>
        <w:rPr>
          <w:sz w:val="18"/>
        </w:rPr>
      </w:pPr>
    </w:p>
    <w:p w:rsidR="002C1123" w:rsidRDefault="00F22F94">
      <w:pPr>
        <w:ind w:left="488"/>
        <w:rPr>
          <w:sz w:val="12"/>
        </w:rPr>
      </w:pPr>
      <w:r>
        <w:rPr>
          <w:spacing w:val="-2"/>
          <w:w w:val="90"/>
          <w:sz w:val="12"/>
        </w:rPr>
        <w:t>Mascot</w:t>
      </w:r>
    </w:p>
    <w:p w:rsidR="002C1123" w:rsidRDefault="002C1123">
      <w:pPr>
        <w:pStyle w:val="BodyText"/>
        <w:rPr>
          <w:sz w:val="14"/>
        </w:rPr>
      </w:pPr>
    </w:p>
    <w:p w:rsidR="002C1123" w:rsidRDefault="002C1123">
      <w:pPr>
        <w:pStyle w:val="BodyText"/>
        <w:rPr>
          <w:sz w:val="14"/>
        </w:rPr>
      </w:pPr>
    </w:p>
    <w:p w:rsidR="002C1123" w:rsidRDefault="002C1123">
      <w:pPr>
        <w:pStyle w:val="BodyText"/>
        <w:spacing w:before="7"/>
      </w:pPr>
    </w:p>
    <w:p w:rsidR="002C1123" w:rsidRDefault="00F22F94">
      <w:pPr>
        <w:ind w:left="549"/>
        <w:rPr>
          <w:sz w:val="12"/>
        </w:rPr>
      </w:pPr>
      <w:r>
        <w:rPr>
          <w:spacing w:val="-2"/>
          <w:w w:val="75"/>
          <w:sz w:val="12"/>
        </w:rPr>
        <w:t>Botany</w:t>
      </w:r>
    </w:p>
    <w:p w:rsidR="002C1123" w:rsidRDefault="002C1123">
      <w:pPr>
        <w:pStyle w:val="BodyText"/>
        <w:spacing w:before="7"/>
        <w:rPr>
          <w:sz w:val="18"/>
        </w:rPr>
      </w:pPr>
    </w:p>
    <w:p w:rsidR="002C1123" w:rsidRDefault="00F22F94">
      <w:pPr>
        <w:spacing w:line="249" w:lineRule="auto"/>
        <w:ind w:left="154" w:right="160" w:hanging="12"/>
        <w:rPr>
          <w:sz w:val="12"/>
        </w:rPr>
      </w:pPr>
      <w:r>
        <w:rPr>
          <w:spacing w:val="-2"/>
          <w:w w:val="75"/>
          <w:sz w:val="12"/>
        </w:rPr>
        <w:t>Sydney</w:t>
      </w:r>
      <w:r>
        <w:rPr>
          <w:spacing w:val="40"/>
          <w:sz w:val="12"/>
        </w:rPr>
        <w:t xml:space="preserve"> </w:t>
      </w:r>
      <w:r>
        <w:rPr>
          <w:spacing w:val="-2"/>
          <w:w w:val="80"/>
          <w:sz w:val="12"/>
        </w:rPr>
        <w:t>Airport</w:t>
      </w:r>
    </w:p>
    <w:p w:rsidR="002C1123" w:rsidRDefault="00F22F94">
      <w:pPr>
        <w:rPr>
          <w:sz w:val="16"/>
        </w:rPr>
      </w:pPr>
      <w:r>
        <w:br w:type="column"/>
      </w:r>
    </w:p>
    <w:p w:rsidR="002C1123" w:rsidRDefault="002C1123">
      <w:pPr>
        <w:pStyle w:val="BodyText"/>
        <w:rPr>
          <w:sz w:val="16"/>
        </w:rPr>
      </w:pPr>
    </w:p>
    <w:p w:rsidR="002C1123" w:rsidRDefault="002C1123">
      <w:pPr>
        <w:pStyle w:val="BodyText"/>
        <w:rPr>
          <w:sz w:val="16"/>
        </w:rPr>
      </w:pPr>
    </w:p>
    <w:p w:rsidR="002C1123" w:rsidRDefault="002C1123">
      <w:pPr>
        <w:pStyle w:val="BodyText"/>
        <w:rPr>
          <w:sz w:val="16"/>
        </w:rPr>
      </w:pPr>
    </w:p>
    <w:p w:rsidR="002C1123" w:rsidRDefault="002C1123">
      <w:pPr>
        <w:pStyle w:val="BodyText"/>
        <w:rPr>
          <w:sz w:val="16"/>
        </w:rPr>
      </w:pPr>
    </w:p>
    <w:p w:rsidR="002C1123" w:rsidRDefault="002C1123">
      <w:pPr>
        <w:pStyle w:val="BodyText"/>
        <w:rPr>
          <w:sz w:val="16"/>
        </w:rPr>
      </w:pPr>
    </w:p>
    <w:p w:rsidR="002C1123" w:rsidRDefault="002C1123">
      <w:pPr>
        <w:pStyle w:val="BodyText"/>
        <w:rPr>
          <w:sz w:val="16"/>
        </w:rPr>
      </w:pPr>
    </w:p>
    <w:p w:rsidR="002C1123" w:rsidRDefault="002C1123">
      <w:pPr>
        <w:pStyle w:val="BodyText"/>
        <w:rPr>
          <w:sz w:val="16"/>
        </w:rPr>
      </w:pPr>
    </w:p>
    <w:p w:rsidR="002C1123" w:rsidRDefault="002C1123">
      <w:pPr>
        <w:pStyle w:val="BodyText"/>
        <w:rPr>
          <w:sz w:val="16"/>
        </w:rPr>
      </w:pPr>
    </w:p>
    <w:p w:rsidR="002C1123" w:rsidRDefault="002C1123">
      <w:pPr>
        <w:pStyle w:val="BodyText"/>
        <w:rPr>
          <w:sz w:val="16"/>
        </w:rPr>
      </w:pPr>
    </w:p>
    <w:p w:rsidR="002C1123" w:rsidRDefault="002C1123">
      <w:pPr>
        <w:pStyle w:val="BodyText"/>
        <w:rPr>
          <w:sz w:val="16"/>
        </w:rPr>
      </w:pPr>
    </w:p>
    <w:p w:rsidR="002C1123" w:rsidRDefault="002C1123">
      <w:pPr>
        <w:pStyle w:val="BodyText"/>
        <w:rPr>
          <w:sz w:val="17"/>
        </w:rPr>
      </w:pPr>
    </w:p>
    <w:p w:rsidR="002C1123" w:rsidRDefault="00F22F94">
      <w:pPr>
        <w:ind w:left="357"/>
        <w:jc w:val="center"/>
        <w:rPr>
          <w:b/>
          <w:sz w:val="14"/>
        </w:rPr>
      </w:pPr>
      <w:r>
        <w:rPr>
          <w:b/>
          <w:w w:val="99"/>
          <w:sz w:val="14"/>
        </w:rPr>
        <w:t>6</w:t>
      </w:r>
    </w:p>
    <w:p w:rsidR="002C1123" w:rsidRDefault="002C1123">
      <w:pPr>
        <w:pStyle w:val="BodyText"/>
        <w:spacing w:before="9"/>
        <w:rPr>
          <w:b/>
          <w:sz w:val="22"/>
        </w:rPr>
      </w:pPr>
    </w:p>
    <w:p w:rsidR="002C1123" w:rsidRDefault="00F22F94">
      <w:pPr>
        <w:spacing w:line="249" w:lineRule="auto"/>
        <w:ind w:left="323"/>
        <w:jc w:val="center"/>
        <w:rPr>
          <w:sz w:val="12"/>
        </w:rPr>
      </w:pPr>
      <w:r>
        <w:rPr>
          <w:spacing w:val="-4"/>
          <w:w w:val="85"/>
          <w:sz w:val="12"/>
        </w:rPr>
        <w:t>Port</w:t>
      </w:r>
      <w:r>
        <w:rPr>
          <w:spacing w:val="40"/>
          <w:sz w:val="12"/>
        </w:rPr>
        <w:t xml:space="preserve"> </w:t>
      </w:r>
      <w:r>
        <w:rPr>
          <w:spacing w:val="-2"/>
          <w:w w:val="75"/>
          <w:sz w:val="12"/>
        </w:rPr>
        <w:t>Botany</w:t>
      </w:r>
    </w:p>
    <w:p w:rsidR="002C1123" w:rsidRDefault="00F22F94">
      <w:pPr>
        <w:pStyle w:val="ListParagraph"/>
        <w:numPr>
          <w:ilvl w:val="0"/>
          <w:numId w:val="94"/>
        </w:numPr>
        <w:tabs>
          <w:tab w:val="left" w:pos="1997"/>
        </w:tabs>
        <w:spacing w:line="171" w:lineRule="exact"/>
        <w:ind w:left="1996" w:hanging="242"/>
        <w:jc w:val="left"/>
        <w:rPr>
          <w:sz w:val="16"/>
        </w:rPr>
      </w:pPr>
      <w:r>
        <w:br w:type="column"/>
      </w:r>
      <w:r>
        <w:rPr>
          <w:w w:val="75"/>
          <w:sz w:val="16"/>
        </w:rPr>
        <w:t>WestConnex</w:t>
      </w:r>
      <w:r>
        <w:rPr>
          <w:spacing w:val="6"/>
          <w:sz w:val="16"/>
        </w:rPr>
        <w:t xml:space="preserve"> </w:t>
      </w:r>
      <w:r>
        <w:rPr>
          <w:w w:val="75"/>
          <w:sz w:val="16"/>
        </w:rPr>
        <w:t>gives</w:t>
      </w:r>
      <w:r>
        <w:rPr>
          <w:spacing w:val="6"/>
          <w:sz w:val="16"/>
        </w:rPr>
        <w:t xml:space="preserve"> </w:t>
      </w:r>
      <w:r>
        <w:rPr>
          <w:w w:val="75"/>
          <w:sz w:val="16"/>
        </w:rPr>
        <w:t>improved</w:t>
      </w:r>
      <w:r>
        <w:rPr>
          <w:spacing w:val="6"/>
          <w:sz w:val="16"/>
        </w:rPr>
        <w:t xml:space="preserve"> </w:t>
      </w:r>
      <w:r>
        <w:rPr>
          <w:w w:val="75"/>
          <w:sz w:val="16"/>
        </w:rPr>
        <w:t>access</w:t>
      </w:r>
      <w:r>
        <w:rPr>
          <w:spacing w:val="7"/>
          <w:sz w:val="16"/>
        </w:rPr>
        <w:t xml:space="preserve"> </w:t>
      </w:r>
      <w:r>
        <w:rPr>
          <w:w w:val="75"/>
          <w:sz w:val="16"/>
        </w:rPr>
        <w:t>to</w:t>
      </w:r>
      <w:r>
        <w:rPr>
          <w:spacing w:val="6"/>
          <w:sz w:val="16"/>
        </w:rPr>
        <w:t xml:space="preserve"> </w:t>
      </w:r>
      <w:r>
        <w:rPr>
          <w:w w:val="75"/>
          <w:sz w:val="16"/>
        </w:rPr>
        <w:t>the</w:t>
      </w:r>
      <w:r>
        <w:rPr>
          <w:spacing w:val="6"/>
          <w:sz w:val="16"/>
        </w:rPr>
        <w:t xml:space="preserve"> </w:t>
      </w:r>
      <w:r>
        <w:rPr>
          <w:w w:val="75"/>
          <w:sz w:val="16"/>
        </w:rPr>
        <w:t>major</w:t>
      </w:r>
      <w:r>
        <w:rPr>
          <w:spacing w:val="6"/>
          <w:sz w:val="16"/>
        </w:rPr>
        <w:t xml:space="preserve"> </w:t>
      </w:r>
      <w:r>
        <w:rPr>
          <w:spacing w:val="-2"/>
          <w:w w:val="75"/>
          <w:sz w:val="16"/>
        </w:rPr>
        <w:t>international</w:t>
      </w:r>
    </w:p>
    <w:p w:rsidR="002C1123" w:rsidRDefault="00F22F94">
      <w:pPr>
        <w:spacing w:before="8" w:line="249" w:lineRule="auto"/>
        <w:ind w:left="1996" w:right="1132"/>
        <w:rPr>
          <w:sz w:val="16"/>
        </w:rPr>
      </w:pPr>
      <w:r>
        <w:rPr>
          <w:spacing w:val="-2"/>
          <w:w w:val="80"/>
          <w:sz w:val="16"/>
        </w:rPr>
        <w:t>gateway</w:t>
      </w:r>
      <w:r>
        <w:rPr>
          <w:spacing w:val="-1"/>
          <w:sz w:val="16"/>
        </w:rPr>
        <w:t xml:space="preserve"> </w:t>
      </w:r>
      <w:r>
        <w:rPr>
          <w:spacing w:val="-2"/>
          <w:w w:val="80"/>
          <w:sz w:val="16"/>
        </w:rPr>
        <w:t>of</w:t>
      </w:r>
      <w:r>
        <w:rPr>
          <w:spacing w:val="-1"/>
          <w:sz w:val="16"/>
        </w:rPr>
        <w:t xml:space="preserve"> </w:t>
      </w:r>
      <w:r>
        <w:rPr>
          <w:spacing w:val="-2"/>
          <w:w w:val="80"/>
          <w:sz w:val="16"/>
        </w:rPr>
        <w:t>Sydney Airport</w:t>
      </w:r>
      <w:r>
        <w:rPr>
          <w:spacing w:val="-1"/>
          <w:sz w:val="16"/>
        </w:rPr>
        <w:t xml:space="preserve"> </w:t>
      </w:r>
      <w:r>
        <w:rPr>
          <w:spacing w:val="-2"/>
          <w:w w:val="80"/>
          <w:sz w:val="16"/>
        </w:rPr>
        <w:t>giving</w:t>
      </w:r>
      <w:r>
        <w:rPr>
          <w:spacing w:val="-1"/>
          <w:sz w:val="16"/>
        </w:rPr>
        <w:t xml:space="preserve"> </w:t>
      </w:r>
      <w:r>
        <w:rPr>
          <w:spacing w:val="-2"/>
          <w:w w:val="80"/>
          <w:sz w:val="16"/>
        </w:rPr>
        <w:t>better</w:t>
      </w:r>
      <w:r>
        <w:rPr>
          <w:spacing w:val="-1"/>
          <w:sz w:val="16"/>
        </w:rPr>
        <w:t xml:space="preserve"> </w:t>
      </w:r>
      <w:r>
        <w:rPr>
          <w:spacing w:val="-2"/>
          <w:w w:val="80"/>
          <w:sz w:val="16"/>
        </w:rPr>
        <w:t>road</w:t>
      </w:r>
      <w:r>
        <w:rPr>
          <w:spacing w:val="-1"/>
          <w:sz w:val="16"/>
        </w:rPr>
        <w:t xml:space="preserve"> </w:t>
      </w:r>
      <w:r>
        <w:rPr>
          <w:spacing w:val="-2"/>
          <w:w w:val="80"/>
          <w:sz w:val="16"/>
        </w:rPr>
        <w:t>travel</w:t>
      </w:r>
      <w:r>
        <w:rPr>
          <w:spacing w:val="-1"/>
          <w:sz w:val="16"/>
        </w:rPr>
        <w:t xml:space="preserve"> </w:t>
      </w:r>
      <w:r>
        <w:rPr>
          <w:spacing w:val="-2"/>
          <w:w w:val="80"/>
          <w:sz w:val="16"/>
        </w:rPr>
        <w:t>reliability, particularly</w:t>
      </w:r>
      <w:r>
        <w:rPr>
          <w:sz w:val="16"/>
        </w:rPr>
        <w:t xml:space="preserve"> </w:t>
      </w:r>
      <w:r>
        <w:rPr>
          <w:w w:val="90"/>
          <w:sz w:val="16"/>
        </w:rPr>
        <w:t>in peak periods.</w:t>
      </w:r>
    </w:p>
    <w:p w:rsidR="002C1123" w:rsidRDefault="00F22F94">
      <w:pPr>
        <w:pStyle w:val="ListParagraph"/>
        <w:numPr>
          <w:ilvl w:val="0"/>
          <w:numId w:val="94"/>
        </w:numPr>
        <w:tabs>
          <w:tab w:val="left" w:pos="1997"/>
        </w:tabs>
        <w:spacing w:before="121"/>
        <w:ind w:left="1996" w:hanging="242"/>
        <w:jc w:val="left"/>
        <w:rPr>
          <w:sz w:val="16"/>
        </w:rPr>
      </w:pPr>
      <w:r>
        <w:rPr>
          <w:w w:val="75"/>
          <w:sz w:val="16"/>
        </w:rPr>
        <w:t>Improved</w:t>
      </w:r>
      <w:r>
        <w:rPr>
          <w:spacing w:val="11"/>
          <w:sz w:val="16"/>
        </w:rPr>
        <w:t xml:space="preserve"> </w:t>
      </w:r>
      <w:r>
        <w:rPr>
          <w:w w:val="75"/>
          <w:sz w:val="16"/>
        </w:rPr>
        <w:t>connections</w:t>
      </w:r>
      <w:r>
        <w:rPr>
          <w:spacing w:val="12"/>
          <w:sz w:val="16"/>
        </w:rPr>
        <w:t xml:space="preserve"> </w:t>
      </w:r>
      <w:r>
        <w:rPr>
          <w:w w:val="75"/>
          <w:sz w:val="16"/>
        </w:rPr>
        <w:t>between</w:t>
      </w:r>
      <w:r>
        <w:rPr>
          <w:spacing w:val="11"/>
          <w:sz w:val="16"/>
        </w:rPr>
        <w:t xml:space="preserve"> </w:t>
      </w:r>
      <w:r>
        <w:rPr>
          <w:w w:val="75"/>
          <w:sz w:val="16"/>
        </w:rPr>
        <w:t>Marsh</w:t>
      </w:r>
      <w:r>
        <w:rPr>
          <w:spacing w:val="12"/>
          <w:sz w:val="16"/>
        </w:rPr>
        <w:t xml:space="preserve"> </w:t>
      </w:r>
      <w:r>
        <w:rPr>
          <w:w w:val="75"/>
          <w:sz w:val="16"/>
        </w:rPr>
        <w:t>Street</w:t>
      </w:r>
      <w:r>
        <w:rPr>
          <w:spacing w:val="11"/>
          <w:sz w:val="16"/>
        </w:rPr>
        <w:t xml:space="preserve"> </w:t>
      </w:r>
      <w:r>
        <w:rPr>
          <w:w w:val="75"/>
          <w:sz w:val="16"/>
        </w:rPr>
        <w:t>and</w:t>
      </w:r>
      <w:r>
        <w:rPr>
          <w:spacing w:val="12"/>
          <w:sz w:val="16"/>
        </w:rPr>
        <w:t xml:space="preserve"> </w:t>
      </w:r>
      <w:r>
        <w:rPr>
          <w:w w:val="75"/>
          <w:sz w:val="16"/>
        </w:rPr>
        <w:t>the</w:t>
      </w:r>
      <w:r>
        <w:rPr>
          <w:spacing w:val="11"/>
          <w:sz w:val="16"/>
        </w:rPr>
        <w:t xml:space="preserve"> </w:t>
      </w:r>
      <w:r>
        <w:rPr>
          <w:w w:val="75"/>
          <w:sz w:val="16"/>
        </w:rPr>
        <w:t>M5</w:t>
      </w:r>
      <w:r>
        <w:rPr>
          <w:spacing w:val="12"/>
          <w:sz w:val="16"/>
        </w:rPr>
        <w:t xml:space="preserve"> </w:t>
      </w:r>
      <w:r>
        <w:rPr>
          <w:spacing w:val="-2"/>
          <w:w w:val="75"/>
          <w:sz w:val="16"/>
        </w:rPr>
        <w:t>East.</w:t>
      </w:r>
    </w:p>
    <w:p w:rsidR="002C1123" w:rsidRDefault="00F22F94">
      <w:pPr>
        <w:pStyle w:val="ListParagraph"/>
        <w:numPr>
          <w:ilvl w:val="0"/>
          <w:numId w:val="94"/>
        </w:numPr>
        <w:tabs>
          <w:tab w:val="left" w:pos="1997"/>
        </w:tabs>
        <w:spacing w:before="128" w:line="249" w:lineRule="auto"/>
        <w:ind w:left="1996" w:right="1154" w:hanging="278"/>
        <w:jc w:val="left"/>
        <w:rPr>
          <w:sz w:val="16"/>
        </w:rPr>
      </w:pPr>
      <w:r>
        <w:rPr>
          <w:w w:val="80"/>
          <w:sz w:val="16"/>
        </w:rPr>
        <w:t>The</w:t>
      </w:r>
      <w:r>
        <w:rPr>
          <w:spacing w:val="-3"/>
          <w:w w:val="80"/>
          <w:sz w:val="16"/>
        </w:rPr>
        <w:t xml:space="preserve"> </w:t>
      </w:r>
      <w:r>
        <w:rPr>
          <w:w w:val="80"/>
          <w:sz w:val="16"/>
        </w:rPr>
        <w:t>M5</w:t>
      </w:r>
      <w:r>
        <w:rPr>
          <w:spacing w:val="-2"/>
          <w:w w:val="80"/>
          <w:sz w:val="16"/>
        </w:rPr>
        <w:t xml:space="preserve"> </w:t>
      </w:r>
      <w:r>
        <w:rPr>
          <w:w w:val="80"/>
          <w:sz w:val="16"/>
        </w:rPr>
        <w:t>East</w:t>
      </w:r>
      <w:r>
        <w:rPr>
          <w:spacing w:val="-2"/>
          <w:w w:val="80"/>
          <w:sz w:val="16"/>
        </w:rPr>
        <w:t xml:space="preserve"> </w:t>
      </w:r>
      <w:r>
        <w:rPr>
          <w:w w:val="80"/>
          <w:sz w:val="16"/>
        </w:rPr>
        <w:t>widened</w:t>
      </w:r>
      <w:r>
        <w:rPr>
          <w:spacing w:val="-2"/>
          <w:w w:val="80"/>
          <w:sz w:val="16"/>
        </w:rPr>
        <w:t xml:space="preserve"> </w:t>
      </w:r>
      <w:r>
        <w:rPr>
          <w:w w:val="80"/>
          <w:sz w:val="16"/>
        </w:rPr>
        <w:t>to</w:t>
      </w:r>
      <w:r>
        <w:rPr>
          <w:spacing w:val="-3"/>
          <w:w w:val="80"/>
          <w:sz w:val="16"/>
        </w:rPr>
        <w:t xml:space="preserve"> </w:t>
      </w:r>
      <w:r>
        <w:rPr>
          <w:w w:val="80"/>
          <w:sz w:val="16"/>
        </w:rPr>
        <w:t>four</w:t>
      </w:r>
      <w:r>
        <w:rPr>
          <w:spacing w:val="-2"/>
          <w:w w:val="80"/>
          <w:sz w:val="16"/>
        </w:rPr>
        <w:t xml:space="preserve"> </w:t>
      </w:r>
      <w:r>
        <w:rPr>
          <w:w w:val="80"/>
          <w:sz w:val="16"/>
        </w:rPr>
        <w:t>lanes</w:t>
      </w:r>
      <w:r>
        <w:rPr>
          <w:spacing w:val="-2"/>
          <w:w w:val="80"/>
          <w:sz w:val="16"/>
        </w:rPr>
        <w:t xml:space="preserve"> </w:t>
      </w:r>
      <w:r>
        <w:rPr>
          <w:w w:val="80"/>
          <w:sz w:val="16"/>
        </w:rPr>
        <w:t>in</w:t>
      </w:r>
      <w:r>
        <w:rPr>
          <w:spacing w:val="-2"/>
          <w:w w:val="80"/>
          <w:sz w:val="16"/>
        </w:rPr>
        <w:t xml:space="preserve"> </w:t>
      </w:r>
      <w:r>
        <w:rPr>
          <w:w w:val="80"/>
          <w:sz w:val="16"/>
        </w:rPr>
        <w:t>each</w:t>
      </w:r>
      <w:r>
        <w:rPr>
          <w:spacing w:val="-2"/>
          <w:w w:val="80"/>
          <w:sz w:val="16"/>
        </w:rPr>
        <w:t xml:space="preserve"> </w:t>
      </w:r>
      <w:r>
        <w:rPr>
          <w:w w:val="80"/>
          <w:sz w:val="16"/>
        </w:rPr>
        <w:t>direction.</w:t>
      </w:r>
      <w:r>
        <w:rPr>
          <w:spacing w:val="-10"/>
          <w:w w:val="80"/>
          <w:sz w:val="16"/>
        </w:rPr>
        <w:t xml:space="preserve"> </w:t>
      </w:r>
      <w:r>
        <w:rPr>
          <w:w w:val="80"/>
          <w:sz w:val="16"/>
        </w:rPr>
        <w:t>This</w:t>
      </w:r>
      <w:r>
        <w:rPr>
          <w:spacing w:val="-2"/>
          <w:w w:val="80"/>
          <w:sz w:val="16"/>
        </w:rPr>
        <w:t xml:space="preserve"> </w:t>
      </w:r>
      <w:r>
        <w:rPr>
          <w:w w:val="80"/>
          <w:sz w:val="16"/>
        </w:rPr>
        <w:t>provides</w:t>
      </w:r>
      <w:r>
        <w:rPr>
          <w:spacing w:val="-2"/>
          <w:w w:val="80"/>
          <w:sz w:val="16"/>
        </w:rPr>
        <w:t xml:space="preserve"> </w:t>
      </w:r>
      <w:r>
        <w:rPr>
          <w:w w:val="80"/>
          <w:sz w:val="16"/>
        </w:rPr>
        <w:t>extra</w:t>
      </w:r>
      <w:r>
        <w:rPr>
          <w:sz w:val="16"/>
        </w:rPr>
        <w:t xml:space="preserve"> </w:t>
      </w:r>
      <w:r>
        <w:rPr>
          <w:w w:val="80"/>
          <w:sz w:val="16"/>
        </w:rPr>
        <w:t>capacity in both directions for cars and trucks and alleviates extended</w:t>
      </w:r>
      <w:r>
        <w:rPr>
          <w:sz w:val="16"/>
        </w:rPr>
        <w:t xml:space="preserve"> </w:t>
      </w:r>
      <w:r>
        <w:rPr>
          <w:w w:val="85"/>
          <w:sz w:val="16"/>
        </w:rPr>
        <w:t>congestion</w:t>
      </w:r>
      <w:r>
        <w:rPr>
          <w:spacing w:val="-5"/>
          <w:w w:val="85"/>
          <w:sz w:val="16"/>
        </w:rPr>
        <w:t xml:space="preserve"> </w:t>
      </w:r>
      <w:r>
        <w:rPr>
          <w:w w:val="85"/>
          <w:sz w:val="16"/>
        </w:rPr>
        <w:t>currently</w:t>
      </w:r>
      <w:r>
        <w:rPr>
          <w:spacing w:val="-4"/>
          <w:w w:val="85"/>
          <w:sz w:val="16"/>
        </w:rPr>
        <w:t xml:space="preserve"> </w:t>
      </w:r>
      <w:r>
        <w:rPr>
          <w:w w:val="85"/>
          <w:sz w:val="16"/>
        </w:rPr>
        <w:t>experienced</w:t>
      </w:r>
      <w:r>
        <w:rPr>
          <w:spacing w:val="-5"/>
          <w:w w:val="85"/>
          <w:sz w:val="16"/>
        </w:rPr>
        <w:t xml:space="preserve"> </w:t>
      </w:r>
      <w:r>
        <w:rPr>
          <w:w w:val="85"/>
          <w:sz w:val="16"/>
        </w:rPr>
        <w:t>in</w:t>
      </w:r>
      <w:r>
        <w:rPr>
          <w:spacing w:val="-4"/>
          <w:w w:val="85"/>
          <w:sz w:val="16"/>
        </w:rPr>
        <w:t xml:space="preserve"> </w:t>
      </w:r>
      <w:r>
        <w:rPr>
          <w:w w:val="85"/>
          <w:sz w:val="16"/>
        </w:rPr>
        <w:t>both</w:t>
      </w:r>
      <w:r>
        <w:rPr>
          <w:spacing w:val="-5"/>
          <w:w w:val="85"/>
          <w:sz w:val="16"/>
        </w:rPr>
        <w:t xml:space="preserve"> </w:t>
      </w:r>
      <w:r>
        <w:rPr>
          <w:w w:val="85"/>
          <w:sz w:val="16"/>
        </w:rPr>
        <w:t>directions.</w:t>
      </w:r>
    </w:p>
    <w:p w:rsidR="002C1123" w:rsidRDefault="00F22F94">
      <w:pPr>
        <w:pStyle w:val="ListParagraph"/>
        <w:numPr>
          <w:ilvl w:val="0"/>
          <w:numId w:val="94"/>
        </w:numPr>
        <w:tabs>
          <w:tab w:val="left" w:pos="1997"/>
        </w:tabs>
        <w:spacing w:before="122" w:line="249" w:lineRule="auto"/>
        <w:ind w:left="1996" w:right="1039" w:hanging="272"/>
        <w:jc w:val="left"/>
        <w:rPr>
          <w:sz w:val="16"/>
        </w:rPr>
      </w:pPr>
      <w:r>
        <w:rPr>
          <w:w w:val="80"/>
          <w:sz w:val="16"/>
        </w:rPr>
        <w:t>An</w:t>
      </w:r>
      <w:r>
        <w:rPr>
          <w:spacing w:val="-5"/>
          <w:w w:val="80"/>
          <w:sz w:val="16"/>
        </w:rPr>
        <w:t xml:space="preserve"> </w:t>
      </w:r>
      <w:r>
        <w:rPr>
          <w:w w:val="80"/>
          <w:sz w:val="16"/>
        </w:rPr>
        <w:t>upgraded</w:t>
      </w:r>
      <w:r>
        <w:rPr>
          <w:spacing w:val="-2"/>
          <w:w w:val="80"/>
          <w:sz w:val="16"/>
        </w:rPr>
        <w:t xml:space="preserve"> </w:t>
      </w:r>
      <w:r>
        <w:rPr>
          <w:w w:val="80"/>
          <w:sz w:val="16"/>
        </w:rPr>
        <w:t>M5</w:t>
      </w:r>
      <w:r>
        <w:rPr>
          <w:spacing w:val="-2"/>
          <w:w w:val="80"/>
          <w:sz w:val="16"/>
        </w:rPr>
        <w:t xml:space="preserve"> </w:t>
      </w:r>
      <w:r>
        <w:rPr>
          <w:w w:val="80"/>
          <w:sz w:val="16"/>
        </w:rPr>
        <w:t>improves</w:t>
      </w:r>
      <w:r>
        <w:rPr>
          <w:spacing w:val="-2"/>
          <w:w w:val="80"/>
          <w:sz w:val="16"/>
        </w:rPr>
        <w:t xml:space="preserve"> </w:t>
      </w:r>
      <w:r>
        <w:rPr>
          <w:w w:val="80"/>
          <w:sz w:val="16"/>
        </w:rPr>
        <w:t>industrial</w:t>
      </w:r>
      <w:r>
        <w:rPr>
          <w:spacing w:val="-3"/>
          <w:w w:val="80"/>
          <w:sz w:val="16"/>
        </w:rPr>
        <w:t xml:space="preserve"> </w:t>
      </w:r>
      <w:r>
        <w:rPr>
          <w:w w:val="80"/>
          <w:sz w:val="16"/>
        </w:rPr>
        <w:t>access</w:t>
      </w:r>
      <w:r>
        <w:rPr>
          <w:spacing w:val="-2"/>
          <w:w w:val="80"/>
          <w:sz w:val="16"/>
        </w:rPr>
        <w:t xml:space="preserve"> </w:t>
      </w:r>
      <w:r>
        <w:rPr>
          <w:w w:val="80"/>
          <w:sz w:val="16"/>
        </w:rPr>
        <w:t>and</w:t>
      </w:r>
      <w:r>
        <w:rPr>
          <w:spacing w:val="-2"/>
          <w:w w:val="80"/>
          <w:sz w:val="16"/>
        </w:rPr>
        <w:t xml:space="preserve"> </w:t>
      </w:r>
      <w:r>
        <w:rPr>
          <w:w w:val="80"/>
          <w:sz w:val="16"/>
        </w:rPr>
        <w:t>business</w:t>
      </w:r>
      <w:r>
        <w:rPr>
          <w:spacing w:val="-2"/>
          <w:w w:val="80"/>
          <w:sz w:val="16"/>
        </w:rPr>
        <w:t xml:space="preserve"> </w:t>
      </w:r>
      <w:r>
        <w:rPr>
          <w:w w:val="80"/>
          <w:sz w:val="16"/>
        </w:rPr>
        <w:t>efficiency</w:t>
      </w:r>
      <w:r>
        <w:rPr>
          <w:spacing w:val="-2"/>
          <w:w w:val="80"/>
          <w:sz w:val="16"/>
        </w:rPr>
        <w:t xml:space="preserve"> </w:t>
      </w:r>
      <w:r>
        <w:rPr>
          <w:w w:val="80"/>
          <w:sz w:val="16"/>
        </w:rPr>
        <w:t>along</w:t>
      </w:r>
      <w:r>
        <w:rPr>
          <w:sz w:val="16"/>
        </w:rPr>
        <w:t xml:space="preserve"> </w:t>
      </w:r>
      <w:r>
        <w:rPr>
          <w:w w:val="90"/>
          <w:sz w:val="16"/>
        </w:rPr>
        <w:t>the full M5 corridor.</w:t>
      </w:r>
    </w:p>
    <w:p w:rsidR="002C1123" w:rsidRDefault="002C1123">
      <w:pPr>
        <w:spacing w:line="249" w:lineRule="auto"/>
        <w:rPr>
          <w:sz w:val="16"/>
        </w:rPr>
        <w:sectPr w:rsidR="002C1123">
          <w:type w:val="continuous"/>
          <w:pgSz w:w="16840" w:h="11910" w:orient="landscape"/>
          <w:pgMar w:top="560" w:right="280" w:bottom="280" w:left="500" w:header="0" w:footer="517" w:gutter="0"/>
          <w:cols w:num="9" w:space="720" w:equalWidth="0">
            <w:col w:w="2707" w:space="40"/>
            <w:col w:w="1478" w:space="39"/>
            <w:col w:w="609" w:space="39"/>
            <w:col w:w="621" w:space="40"/>
            <w:col w:w="679" w:space="40"/>
            <w:col w:w="971" w:space="39"/>
            <w:col w:w="839" w:space="40"/>
            <w:col w:w="613" w:space="39"/>
            <w:col w:w="7227"/>
          </w:cols>
        </w:sectPr>
      </w:pPr>
    </w:p>
    <w:p w:rsidR="002C1123" w:rsidRDefault="00F22F94">
      <w:pPr>
        <w:spacing w:before="121"/>
        <w:ind w:right="676"/>
        <w:jc w:val="center"/>
        <w:rPr>
          <w:sz w:val="12"/>
        </w:rPr>
      </w:pPr>
      <w:r>
        <w:rPr>
          <w:w w:val="75"/>
          <w:sz w:val="12"/>
        </w:rPr>
        <w:t>Botany</w:t>
      </w:r>
      <w:r>
        <w:rPr>
          <w:spacing w:val="2"/>
          <w:sz w:val="12"/>
        </w:rPr>
        <w:t xml:space="preserve"> </w:t>
      </w:r>
      <w:r>
        <w:rPr>
          <w:spacing w:val="-5"/>
          <w:w w:val="85"/>
          <w:sz w:val="12"/>
        </w:rPr>
        <w:t>Bay</w:t>
      </w:r>
    </w:p>
    <w:p w:rsidR="002C1123" w:rsidRDefault="002C1123">
      <w:pPr>
        <w:jc w:val="center"/>
        <w:rPr>
          <w:sz w:val="12"/>
        </w:rPr>
        <w:sectPr w:rsidR="002C1123">
          <w:type w:val="continuous"/>
          <w:pgSz w:w="16840" w:h="11910" w:orient="landscape"/>
          <w:pgMar w:top="560" w:right="280" w:bottom="280" w:left="500" w:header="0" w:footer="517"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3"/>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Heading6"/>
        <w:numPr>
          <w:ilvl w:val="2"/>
          <w:numId w:val="97"/>
        </w:numPr>
        <w:tabs>
          <w:tab w:val="left" w:pos="979"/>
        </w:tabs>
        <w:ind w:hanging="487"/>
        <w:jc w:val="left"/>
      </w:pPr>
      <w:bookmarkStart w:id="170" w:name="_bookmark122"/>
      <w:bookmarkEnd w:id="170"/>
      <w:r>
        <w:rPr>
          <w:color w:val="00AEEF"/>
          <w:spacing w:val="-2"/>
        </w:rPr>
        <w:t>Project</w:t>
      </w:r>
      <w:r>
        <w:rPr>
          <w:color w:val="00AEEF"/>
          <w:spacing w:val="-5"/>
        </w:rPr>
        <w:t xml:space="preserve"> </w:t>
      </w:r>
      <w:r>
        <w:rPr>
          <w:color w:val="00AEEF"/>
          <w:spacing w:val="-2"/>
        </w:rPr>
        <w:t>Benefits</w:t>
      </w:r>
    </w:p>
    <w:p w:rsidR="002C1123" w:rsidRDefault="002060EF">
      <w:pPr>
        <w:pStyle w:val="BodyText"/>
        <w:spacing w:before="95" w:line="228" w:lineRule="exact"/>
        <w:ind w:left="492"/>
      </w:pPr>
      <w:r>
        <w:pict>
          <v:shape id="docshape1186" o:spid="_x0000_s4047" type="#_x0000_t202" style="position:absolute;left:0;text-align:left;margin-left:300.95pt;margin-top:27.25pt;width:491.4pt;height:103.3pt;z-index:251376640;mso-position-horizontal-relative:page" filled="f" stroked="f">
            <v:textbox inset="0,0,0,0">
              <w:txbxContent>
                <w:tbl>
                  <w:tblPr>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288"/>
                    <w:gridCol w:w="1927"/>
                    <w:gridCol w:w="2664"/>
                    <w:gridCol w:w="1927"/>
                  </w:tblGrid>
                  <w:tr w:rsidR="00F22F94">
                    <w:trPr>
                      <w:trHeight w:val="321"/>
                    </w:trPr>
                    <w:tc>
                      <w:tcPr>
                        <w:tcW w:w="3288" w:type="dxa"/>
                        <w:shd w:val="clear" w:color="auto" w:fill="C9C8C9"/>
                      </w:tcPr>
                      <w:p w:rsidR="00F22F94" w:rsidRDefault="00F22F94">
                        <w:pPr>
                          <w:pStyle w:val="TableParagraph"/>
                          <w:rPr>
                            <w:sz w:val="16"/>
                          </w:rPr>
                        </w:pPr>
                        <w:r>
                          <w:rPr>
                            <w:sz w:val="16"/>
                          </w:rPr>
                          <w:t>Parramatta and Sydney</w:t>
                        </w:r>
                        <w:r>
                          <w:rPr>
                            <w:spacing w:val="1"/>
                            <w:sz w:val="16"/>
                          </w:rPr>
                          <w:t xml:space="preserve"> </w:t>
                        </w:r>
                        <w:r>
                          <w:rPr>
                            <w:spacing w:val="-2"/>
                            <w:sz w:val="16"/>
                          </w:rPr>
                          <w:t>Airport</w:t>
                        </w:r>
                      </w:p>
                    </w:tc>
                    <w:tc>
                      <w:tcPr>
                        <w:tcW w:w="1927" w:type="dxa"/>
                        <w:shd w:val="clear" w:color="auto" w:fill="E1E0E1"/>
                      </w:tcPr>
                      <w:p w:rsidR="00F22F94" w:rsidRDefault="00F22F94">
                        <w:pPr>
                          <w:pStyle w:val="TableParagraph"/>
                          <w:rPr>
                            <w:sz w:val="16"/>
                          </w:rPr>
                        </w:pPr>
                        <w:r>
                          <w:rPr>
                            <w:w w:val="95"/>
                            <w:sz w:val="16"/>
                          </w:rPr>
                          <w:t>via</w:t>
                        </w:r>
                        <w:r>
                          <w:rPr>
                            <w:spacing w:val="-2"/>
                            <w:w w:val="95"/>
                            <w:sz w:val="16"/>
                          </w:rPr>
                          <w:t xml:space="preserve"> </w:t>
                        </w:r>
                        <w:r>
                          <w:rPr>
                            <w:w w:val="95"/>
                            <w:sz w:val="16"/>
                          </w:rPr>
                          <w:t>City</w:t>
                        </w:r>
                        <w:r>
                          <w:rPr>
                            <w:spacing w:val="-1"/>
                            <w:w w:val="95"/>
                            <w:sz w:val="16"/>
                          </w:rPr>
                          <w:t xml:space="preserve"> </w:t>
                        </w:r>
                        <w:r>
                          <w:rPr>
                            <w:w w:val="95"/>
                            <w:sz w:val="16"/>
                          </w:rPr>
                          <w:t>Rd,</w:t>
                        </w:r>
                        <w:r>
                          <w:rPr>
                            <w:spacing w:val="-2"/>
                            <w:w w:val="95"/>
                            <w:sz w:val="16"/>
                          </w:rPr>
                          <w:t xml:space="preserve"> </w:t>
                        </w:r>
                        <w:r>
                          <w:rPr>
                            <w:w w:val="95"/>
                            <w:sz w:val="16"/>
                          </w:rPr>
                          <w:t>Regent</w:t>
                        </w:r>
                        <w:r>
                          <w:rPr>
                            <w:spacing w:val="-1"/>
                            <w:w w:val="95"/>
                            <w:sz w:val="16"/>
                          </w:rPr>
                          <w:t xml:space="preserve"> </w:t>
                        </w:r>
                        <w:r>
                          <w:rPr>
                            <w:spacing w:val="-5"/>
                            <w:w w:val="95"/>
                            <w:sz w:val="16"/>
                          </w:rPr>
                          <w:t>St</w:t>
                        </w:r>
                      </w:p>
                    </w:tc>
                    <w:tc>
                      <w:tcPr>
                        <w:tcW w:w="2664" w:type="dxa"/>
                        <w:shd w:val="clear" w:color="auto" w:fill="E1E0E1"/>
                      </w:tcPr>
                      <w:p w:rsidR="00F22F94" w:rsidRDefault="00F22F94">
                        <w:pPr>
                          <w:pStyle w:val="TableParagraph"/>
                          <w:ind w:left="114"/>
                          <w:rPr>
                            <w:sz w:val="16"/>
                          </w:rPr>
                        </w:pPr>
                        <w:r>
                          <w:rPr>
                            <w:spacing w:val="-5"/>
                            <w:sz w:val="16"/>
                          </w:rPr>
                          <w:t>35</w:t>
                        </w:r>
                      </w:p>
                    </w:tc>
                    <w:tc>
                      <w:tcPr>
                        <w:tcW w:w="1927" w:type="dxa"/>
                        <w:shd w:val="clear" w:color="auto" w:fill="E1E0E1"/>
                      </w:tcPr>
                      <w:p w:rsidR="00F22F94" w:rsidRDefault="00F22F94">
                        <w:pPr>
                          <w:pStyle w:val="TableParagraph"/>
                          <w:ind w:left="114"/>
                          <w:rPr>
                            <w:sz w:val="16"/>
                          </w:rPr>
                        </w:pPr>
                        <w:r>
                          <w:rPr>
                            <w:spacing w:val="-5"/>
                            <w:sz w:val="16"/>
                          </w:rPr>
                          <w:t>52</w:t>
                        </w:r>
                      </w:p>
                    </w:tc>
                  </w:tr>
                  <w:tr w:rsidR="00F22F94">
                    <w:trPr>
                      <w:trHeight w:val="321"/>
                    </w:trPr>
                    <w:tc>
                      <w:tcPr>
                        <w:tcW w:w="3288" w:type="dxa"/>
                        <w:shd w:val="clear" w:color="auto" w:fill="C9C8C9"/>
                      </w:tcPr>
                      <w:p w:rsidR="00F22F94" w:rsidRDefault="00F22F94">
                        <w:pPr>
                          <w:pStyle w:val="TableParagraph"/>
                          <w:rPr>
                            <w:sz w:val="16"/>
                          </w:rPr>
                        </w:pPr>
                        <w:r>
                          <w:rPr>
                            <w:sz w:val="16"/>
                          </w:rPr>
                          <w:t>Parramatta and Sydney</w:t>
                        </w:r>
                        <w:r>
                          <w:rPr>
                            <w:spacing w:val="1"/>
                            <w:sz w:val="16"/>
                          </w:rPr>
                          <w:t xml:space="preserve"> </w:t>
                        </w:r>
                        <w:r>
                          <w:rPr>
                            <w:spacing w:val="-2"/>
                            <w:sz w:val="16"/>
                          </w:rPr>
                          <w:t>Airport</w:t>
                        </w:r>
                      </w:p>
                    </w:tc>
                    <w:tc>
                      <w:tcPr>
                        <w:tcW w:w="1927" w:type="dxa"/>
                        <w:shd w:val="clear" w:color="auto" w:fill="E1E0E1"/>
                      </w:tcPr>
                      <w:p w:rsidR="00F22F94" w:rsidRDefault="00F22F94">
                        <w:pPr>
                          <w:pStyle w:val="TableParagraph"/>
                          <w:rPr>
                            <w:sz w:val="16"/>
                          </w:rPr>
                        </w:pPr>
                        <w:r>
                          <w:rPr>
                            <w:w w:val="95"/>
                            <w:sz w:val="16"/>
                          </w:rPr>
                          <w:t>via</w:t>
                        </w:r>
                        <w:r>
                          <w:rPr>
                            <w:spacing w:val="-2"/>
                            <w:w w:val="95"/>
                            <w:sz w:val="16"/>
                          </w:rPr>
                          <w:t xml:space="preserve"> </w:t>
                        </w:r>
                        <w:r>
                          <w:rPr>
                            <w:w w:val="95"/>
                            <w:sz w:val="16"/>
                          </w:rPr>
                          <w:t>Sydenham</w:t>
                        </w:r>
                        <w:r>
                          <w:rPr>
                            <w:spacing w:val="-2"/>
                            <w:w w:val="95"/>
                            <w:sz w:val="16"/>
                          </w:rPr>
                          <w:t xml:space="preserve"> </w:t>
                        </w:r>
                        <w:r>
                          <w:rPr>
                            <w:spacing w:val="-5"/>
                            <w:w w:val="95"/>
                            <w:sz w:val="16"/>
                          </w:rPr>
                          <w:t>Rd</w:t>
                        </w:r>
                      </w:p>
                    </w:tc>
                    <w:tc>
                      <w:tcPr>
                        <w:tcW w:w="2664" w:type="dxa"/>
                        <w:shd w:val="clear" w:color="auto" w:fill="E1E0E1"/>
                      </w:tcPr>
                      <w:p w:rsidR="00F22F94" w:rsidRDefault="00F22F94">
                        <w:pPr>
                          <w:pStyle w:val="TableParagraph"/>
                          <w:ind w:left="114"/>
                          <w:rPr>
                            <w:sz w:val="16"/>
                          </w:rPr>
                        </w:pPr>
                        <w:r>
                          <w:rPr>
                            <w:spacing w:val="-5"/>
                            <w:sz w:val="16"/>
                          </w:rPr>
                          <w:t>30</w:t>
                        </w:r>
                      </w:p>
                    </w:tc>
                    <w:tc>
                      <w:tcPr>
                        <w:tcW w:w="1927" w:type="dxa"/>
                        <w:shd w:val="clear" w:color="auto" w:fill="E1E0E1"/>
                      </w:tcPr>
                      <w:p w:rsidR="00F22F94" w:rsidRDefault="00F22F94">
                        <w:pPr>
                          <w:pStyle w:val="TableParagraph"/>
                          <w:ind w:left="114"/>
                          <w:rPr>
                            <w:sz w:val="16"/>
                          </w:rPr>
                        </w:pPr>
                        <w:r>
                          <w:rPr>
                            <w:spacing w:val="-5"/>
                            <w:sz w:val="16"/>
                          </w:rPr>
                          <w:t>44</w:t>
                        </w:r>
                      </w:p>
                    </w:tc>
                  </w:tr>
                  <w:tr w:rsidR="00F22F94">
                    <w:trPr>
                      <w:trHeight w:val="321"/>
                    </w:trPr>
                    <w:tc>
                      <w:tcPr>
                        <w:tcW w:w="3288" w:type="dxa"/>
                        <w:shd w:val="clear" w:color="auto" w:fill="C9C8C9"/>
                      </w:tcPr>
                      <w:p w:rsidR="00F22F94" w:rsidRDefault="00F22F94">
                        <w:pPr>
                          <w:pStyle w:val="TableParagraph"/>
                          <w:rPr>
                            <w:sz w:val="16"/>
                          </w:rPr>
                        </w:pPr>
                        <w:r>
                          <w:rPr>
                            <w:sz w:val="16"/>
                          </w:rPr>
                          <w:t>Eastern</w:t>
                        </w:r>
                        <w:r>
                          <w:rPr>
                            <w:spacing w:val="-1"/>
                            <w:sz w:val="16"/>
                          </w:rPr>
                          <w:t xml:space="preserve"> </w:t>
                        </w:r>
                        <w:r>
                          <w:rPr>
                            <w:sz w:val="16"/>
                          </w:rPr>
                          <w:t>Creek</w:t>
                        </w:r>
                        <w:r>
                          <w:rPr>
                            <w:spacing w:val="-1"/>
                            <w:sz w:val="16"/>
                          </w:rPr>
                          <w:t xml:space="preserve"> </w:t>
                        </w:r>
                        <w:r>
                          <w:rPr>
                            <w:sz w:val="16"/>
                          </w:rPr>
                          <w:t>and</w:t>
                        </w:r>
                        <w:r>
                          <w:rPr>
                            <w:spacing w:val="-1"/>
                            <w:sz w:val="16"/>
                          </w:rPr>
                          <w:t xml:space="preserve"> </w:t>
                        </w:r>
                        <w:r>
                          <w:rPr>
                            <w:sz w:val="16"/>
                          </w:rPr>
                          <w:t>Port</w:t>
                        </w:r>
                        <w:r>
                          <w:rPr>
                            <w:spacing w:val="-1"/>
                            <w:sz w:val="16"/>
                          </w:rPr>
                          <w:t xml:space="preserve"> </w:t>
                        </w:r>
                        <w:r>
                          <w:rPr>
                            <w:spacing w:val="-2"/>
                            <w:sz w:val="16"/>
                          </w:rPr>
                          <w:t>Botany</w:t>
                        </w:r>
                      </w:p>
                    </w:tc>
                    <w:tc>
                      <w:tcPr>
                        <w:tcW w:w="1927" w:type="dxa"/>
                        <w:shd w:val="clear" w:color="auto" w:fill="E1E0E1"/>
                      </w:tcPr>
                      <w:p w:rsidR="00F22F94" w:rsidRDefault="00F22F94">
                        <w:pPr>
                          <w:pStyle w:val="TableParagraph"/>
                          <w:rPr>
                            <w:sz w:val="16"/>
                          </w:rPr>
                        </w:pPr>
                        <w:r>
                          <w:rPr>
                            <w:w w:val="95"/>
                            <w:sz w:val="16"/>
                          </w:rPr>
                          <w:t>via</w:t>
                        </w:r>
                        <w:r>
                          <w:rPr>
                            <w:spacing w:val="-2"/>
                            <w:w w:val="95"/>
                            <w:sz w:val="16"/>
                          </w:rPr>
                          <w:t xml:space="preserve"> </w:t>
                        </w:r>
                        <w:r>
                          <w:rPr>
                            <w:w w:val="95"/>
                            <w:sz w:val="16"/>
                          </w:rPr>
                          <w:t>Sydenham</w:t>
                        </w:r>
                        <w:r>
                          <w:rPr>
                            <w:spacing w:val="-2"/>
                            <w:w w:val="95"/>
                            <w:sz w:val="16"/>
                          </w:rPr>
                          <w:t xml:space="preserve"> </w:t>
                        </w:r>
                        <w:r>
                          <w:rPr>
                            <w:spacing w:val="-5"/>
                            <w:w w:val="95"/>
                            <w:sz w:val="16"/>
                          </w:rPr>
                          <w:t>Rd</w:t>
                        </w:r>
                      </w:p>
                    </w:tc>
                    <w:tc>
                      <w:tcPr>
                        <w:tcW w:w="2664" w:type="dxa"/>
                        <w:shd w:val="clear" w:color="auto" w:fill="E1E0E1"/>
                      </w:tcPr>
                      <w:p w:rsidR="00F22F94" w:rsidRDefault="00F22F94">
                        <w:pPr>
                          <w:pStyle w:val="TableParagraph"/>
                          <w:ind w:left="114"/>
                          <w:rPr>
                            <w:sz w:val="16"/>
                          </w:rPr>
                        </w:pPr>
                        <w:r>
                          <w:rPr>
                            <w:spacing w:val="-5"/>
                            <w:sz w:val="16"/>
                          </w:rPr>
                          <w:t>30</w:t>
                        </w:r>
                      </w:p>
                    </w:tc>
                    <w:tc>
                      <w:tcPr>
                        <w:tcW w:w="1927" w:type="dxa"/>
                        <w:shd w:val="clear" w:color="auto" w:fill="E1E0E1"/>
                      </w:tcPr>
                      <w:p w:rsidR="00F22F94" w:rsidRDefault="00F22F94">
                        <w:pPr>
                          <w:pStyle w:val="TableParagraph"/>
                          <w:ind w:left="114"/>
                          <w:rPr>
                            <w:sz w:val="16"/>
                          </w:rPr>
                        </w:pPr>
                        <w:r>
                          <w:rPr>
                            <w:spacing w:val="-5"/>
                            <w:sz w:val="16"/>
                          </w:rPr>
                          <w:t>44</w:t>
                        </w:r>
                      </w:p>
                    </w:tc>
                  </w:tr>
                  <w:tr w:rsidR="00F22F94">
                    <w:trPr>
                      <w:trHeight w:val="321"/>
                    </w:trPr>
                    <w:tc>
                      <w:tcPr>
                        <w:tcW w:w="3288" w:type="dxa"/>
                        <w:shd w:val="clear" w:color="auto" w:fill="C9C8C9"/>
                      </w:tcPr>
                      <w:p w:rsidR="00F22F94" w:rsidRDefault="00F22F94">
                        <w:pPr>
                          <w:pStyle w:val="TableParagraph"/>
                          <w:rPr>
                            <w:sz w:val="16"/>
                          </w:rPr>
                        </w:pPr>
                        <w:r>
                          <w:rPr>
                            <w:sz w:val="16"/>
                          </w:rPr>
                          <w:t>Flemington</w:t>
                        </w:r>
                        <w:r>
                          <w:rPr>
                            <w:spacing w:val="5"/>
                            <w:sz w:val="16"/>
                          </w:rPr>
                          <w:t xml:space="preserve"> </w:t>
                        </w:r>
                        <w:r>
                          <w:rPr>
                            <w:sz w:val="16"/>
                          </w:rPr>
                          <w:t>to</w:t>
                        </w:r>
                        <w:r>
                          <w:rPr>
                            <w:spacing w:val="5"/>
                            <w:sz w:val="16"/>
                          </w:rPr>
                          <w:t xml:space="preserve"> </w:t>
                        </w:r>
                        <w:r>
                          <w:rPr>
                            <w:sz w:val="16"/>
                          </w:rPr>
                          <w:t>Sydney</w:t>
                        </w:r>
                        <w:r>
                          <w:rPr>
                            <w:spacing w:val="5"/>
                            <w:sz w:val="16"/>
                          </w:rPr>
                          <w:t xml:space="preserve"> </w:t>
                        </w:r>
                        <w:r>
                          <w:rPr>
                            <w:spacing w:val="-2"/>
                            <w:sz w:val="16"/>
                          </w:rPr>
                          <w:t>Airport</w:t>
                        </w:r>
                      </w:p>
                    </w:tc>
                    <w:tc>
                      <w:tcPr>
                        <w:tcW w:w="1927" w:type="dxa"/>
                        <w:shd w:val="clear" w:color="auto" w:fill="E1E0E1"/>
                      </w:tcPr>
                      <w:p w:rsidR="00F22F94" w:rsidRDefault="00F22F94">
                        <w:pPr>
                          <w:pStyle w:val="TableParagraph"/>
                          <w:rPr>
                            <w:sz w:val="16"/>
                          </w:rPr>
                        </w:pPr>
                        <w:r>
                          <w:rPr>
                            <w:w w:val="90"/>
                            <w:sz w:val="16"/>
                          </w:rPr>
                          <w:t>via</w:t>
                        </w:r>
                        <w:r>
                          <w:rPr>
                            <w:spacing w:val="-2"/>
                            <w:sz w:val="16"/>
                          </w:rPr>
                          <w:t xml:space="preserve"> KGR/M5</w:t>
                        </w:r>
                      </w:p>
                    </w:tc>
                    <w:tc>
                      <w:tcPr>
                        <w:tcW w:w="2664" w:type="dxa"/>
                        <w:shd w:val="clear" w:color="auto" w:fill="E1E0E1"/>
                      </w:tcPr>
                      <w:p w:rsidR="00F22F94" w:rsidRDefault="00F22F94">
                        <w:pPr>
                          <w:pStyle w:val="TableParagraph"/>
                          <w:ind w:left="114"/>
                          <w:rPr>
                            <w:sz w:val="16"/>
                          </w:rPr>
                        </w:pPr>
                        <w:r>
                          <w:rPr>
                            <w:spacing w:val="-5"/>
                            <w:sz w:val="16"/>
                          </w:rPr>
                          <w:t>15</w:t>
                        </w:r>
                      </w:p>
                    </w:tc>
                    <w:tc>
                      <w:tcPr>
                        <w:tcW w:w="1927" w:type="dxa"/>
                        <w:shd w:val="clear" w:color="auto" w:fill="E1E0E1"/>
                      </w:tcPr>
                      <w:p w:rsidR="00F22F94" w:rsidRDefault="00F22F94">
                        <w:pPr>
                          <w:pStyle w:val="TableParagraph"/>
                          <w:ind w:left="114"/>
                          <w:rPr>
                            <w:sz w:val="16"/>
                          </w:rPr>
                        </w:pPr>
                        <w:r>
                          <w:rPr>
                            <w:w w:val="99"/>
                            <w:sz w:val="16"/>
                          </w:rPr>
                          <w:t>0</w:t>
                        </w:r>
                      </w:p>
                    </w:tc>
                  </w:tr>
                  <w:tr w:rsidR="00F22F94">
                    <w:trPr>
                      <w:trHeight w:val="321"/>
                    </w:trPr>
                    <w:tc>
                      <w:tcPr>
                        <w:tcW w:w="3288" w:type="dxa"/>
                        <w:shd w:val="clear" w:color="auto" w:fill="C9C8C9"/>
                      </w:tcPr>
                      <w:p w:rsidR="00F22F94" w:rsidRDefault="00F22F94">
                        <w:pPr>
                          <w:pStyle w:val="TableParagraph"/>
                          <w:rPr>
                            <w:sz w:val="16"/>
                          </w:rPr>
                        </w:pPr>
                        <w:r>
                          <w:rPr>
                            <w:spacing w:val="-2"/>
                            <w:w w:val="105"/>
                            <w:sz w:val="16"/>
                          </w:rPr>
                          <w:t>Revesby</w:t>
                        </w:r>
                        <w:r>
                          <w:rPr>
                            <w:spacing w:val="-7"/>
                            <w:w w:val="105"/>
                            <w:sz w:val="16"/>
                          </w:rPr>
                          <w:t xml:space="preserve"> </w:t>
                        </w:r>
                        <w:r>
                          <w:rPr>
                            <w:spacing w:val="-2"/>
                            <w:w w:val="105"/>
                            <w:sz w:val="16"/>
                          </w:rPr>
                          <w:t>to</w:t>
                        </w:r>
                        <w:r>
                          <w:rPr>
                            <w:spacing w:val="-7"/>
                            <w:w w:val="105"/>
                            <w:sz w:val="16"/>
                          </w:rPr>
                          <w:t xml:space="preserve"> </w:t>
                        </w:r>
                        <w:r>
                          <w:rPr>
                            <w:spacing w:val="-2"/>
                            <w:w w:val="105"/>
                            <w:sz w:val="16"/>
                          </w:rPr>
                          <w:t>Port</w:t>
                        </w:r>
                        <w:r>
                          <w:rPr>
                            <w:spacing w:val="-7"/>
                            <w:w w:val="105"/>
                            <w:sz w:val="16"/>
                          </w:rPr>
                          <w:t xml:space="preserve"> </w:t>
                        </w:r>
                        <w:r>
                          <w:rPr>
                            <w:spacing w:val="-2"/>
                            <w:w w:val="105"/>
                            <w:sz w:val="16"/>
                          </w:rPr>
                          <w:t>Botany</w:t>
                        </w:r>
                      </w:p>
                    </w:tc>
                    <w:tc>
                      <w:tcPr>
                        <w:tcW w:w="1927" w:type="dxa"/>
                        <w:shd w:val="clear" w:color="auto" w:fill="E1E0E1"/>
                      </w:tcPr>
                      <w:p w:rsidR="00F22F94" w:rsidRDefault="00F22F94">
                        <w:pPr>
                          <w:pStyle w:val="TableParagraph"/>
                          <w:rPr>
                            <w:sz w:val="16"/>
                          </w:rPr>
                        </w:pPr>
                        <w:r>
                          <w:rPr>
                            <w:w w:val="95"/>
                            <w:sz w:val="16"/>
                          </w:rPr>
                          <w:t>via</w:t>
                        </w:r>
                        <w:r>
                          <w:rPr>
                            <w:spacing w:val="-4"/>
                            <w:w w:val="95"/>
                            <w:sz w:val="16"/>
                          </w:rPr>
                          <w:t xml:space="preserve"> </w:t>
                        </w:r>
                        <w:r>
                          <w:rPr>
                            <w:w w:val="95"/>
                            <w:sz w:val="16"/>
                          </w:rPr>
                          <w:t>General</w:t>
                        </w:r>
                        <w:r>
                          <w:rPr>
                            <w:spacing w:val="-4"/>
                            <w:w w:val="95"/>
                            <w:sz w:val="16"/>
                          </w:rPr>
                          <w:t xml:space="preserve"> </w:t>
                        </w:r>
                        <w:r>
                          <w:rPr>
                            <w:w w:val="95"/>
                            <w:sz w:val="16"/>
                          </w:rPr>
                          <w:t>Holmes</w:t>
                        </w:r>
                        <w:r>
                          <w:rPr>
                            <w:spacing w:val="-4"/>
                            <w:w w:val="95"/>
                            <w:sz w:val="16"/>
                          </w:rPr>
                          <w:t xml:space="preserve"> </w:t>
                        </w:r>
                        <w:r>
                          <w:rPr>
                            <w:spacing w:val="-5"/>
                            <w:w w:val="95"/>
                            <w:sz w:val="16"/>
                          </w:rPr>
                          <w:t>Dr</w:t>
                        </w:r>
                      </w:p>
                    </w:tc>
                    <w:tc>
                      <w:tcPr>
                        <w:tcW w:w="2664" w:type="dxa"/>
                        <w:shd w:val="clear" w:color="auto" w:fill="E1E0E1"/>
                      </w:tcPr>
                      <w:p w:rsidR="00F22F94" w:rsidRDefault="00F22F94">
                        <w:pPr>
                          <w:pStyle w:val="TableParagraph"/>
                          <w:ind w:left="114"/>
                          <w:rPr>
                            <w:sz w:val="16"/>
                          </w:rPr>
                        </w:pPr>
                        <w:r>
                          <w:rPr>
                            <w:spacing w:val="-5"/>
                            <w:sz w:val="16"/>
                          </w:rPr>
                          <w:t>15</w:t>
                        </w:r>
                      </w:p>
                    </w:tc>
                    <w:tc>
                      <w:tcPr>
                        <w:tcW w:w="1927" w:type="dxa"/>
                        <w:shd w:val="clear" w:color="auto" w:fill="E1E0E1"/>
                      </w:tcPr>
                      <w:p w:rsidR="00F22F94" w:rsidRDefault="00F22F94">
                        <w:pPr>
                          <w:pStyle w:val="TableParagraph"/>
                          <w:ind w:left="114"/>
                          <w:rPr>
                            <w:sz w:val="16"/>
                          </w:rPr>
                        </w:pPr>
                        <w:r>
                          <w:rPr>
                            <w:w w:val="99"/>
                            <w:sz w:val="16"/>
                          </w:rPr>
                          <w:t>0</w:t>
                        </w:r>
                      </w:p>
                    </w:tc>
                  </w:tr>
                  <w:tr w:rsidR="00F22F94">
                    <w:trPr>
                      <w:trHeight w:val="321"/>
                    </w:trPr>
                    <w:tc>
                      <w:tcPr>
                        <w:tcW w:w="3288" w:type="dxa"/>
                        <w:shd w:val="clear" w:color="auto" w:fill="C9C8C9"/>
                      </w:tcPr>
                      <w:p w:rsidR="00F22F94" w:rsidRDefault="00F22F94">
                        <w:pPr>
                          <w:pStyle w:val="TableParagraph"/>
                          <w:rPr>
                            <w:sz w:val="16"/>
                          </w:rPr>
                        </w:pPr>
                        <w:r>
                          <w:rPr>
                            <w:spacing w:val="-2"/>
                            <w:w w:val="105"/>
                            <w:sz w:val="16"/>
                          </w:rPr>
                          <w:t>Liverpool</w:t>
                        </w:r>
                        <w:r>
                          <w:rPr>
                            <w:spacing w:val="-7"/>
                            <w:w w:val="105"/>
                            <w:sz w:val="16"/>
                          </w:rPr>
                          <w:t xml:space="preserve"> </w:t>
                        </w:r>
                        <w:r>
                          <w:rPr>
                            <w:spacing w:val="-2"/>
                            <w:w w:val="105"/>
                            <w:sz w:val="16"/>
                          </w:rPr>
                          <w:t>to</w:t>
                        </w:r>
                        <w:r>
                          <w:rPr>
                            <w:spacing w:val="-7"/>
                            <w:w w:val="105"/>
                            <w:sz w:val="16"/>
                          </w:rPr>
                          <w:t xml:space="preserve"> </w:t>
                        </w:r>
                        <w:r>
                          <w:rPr>
                            <w:spacing w:val="-2"/>
                            <w:w w:val="105"/>
                            <w:sz w:val="16"/>
                          </w:rPr>
                          <w:t>Sydney</w:t>
                        </w:r>
                        <w:r>
                          <w:rPr>
                            <w:spacing w:val="-7"/>
                            <w:w w:val="105"/>
                            <w:sz w:val="16"/>
                          </w:rPr>
                          <w:t xml:space="preserve"> </w:t>
                        </w:r>
                        <w:r>
                          <w:rPr>
                            <w:spacing w:val="-2"/>
                            <w:w w:val="105"/>
                            <w:sz w:val="16"/>
                          </w:rPr>
                          <w:t>Airport</w:t>
                        </w:r>
                      </w:p>
                    </w:tc>
                    <w:tc>
                      <w:tcPr>
                        <w:tcW w:w="1927" w:type="dxa"/>
                        <w:shd w:val="clear" w:color="auto" w:fill="E1E0E1"/>
                      </w:tcPr>
                      <w:p w:rsidR="00F22F94" w:rsidRDefault="00F22F94">
                        <w:pPr>
                          <w:pStyle w:val="TableParagraph"/>
                          <w:rPr>
                            <w:sz w:val="16"/>
                          </w:rPr>
                        </w:pPr>
                        <w:r>
                          <w:rPr>
                            <w:w w:val="95"/>
                            <w:sz w:val="16"/>
                          </w:rPr>
                          <w:t>via</w:t>
                        </w:r>
                        <w:r>
                          <w:rPr>
                            <w:spacing w:val="-1"/>
                            <w:w w:val="95"/>
                            <w:sz w:val="16"/>
                          </w:rPr>
                          <w:t xml:space="preserve"> </w:t>
                        </w:r>
                        <w:r>
                          <w:rPr>
                            <w:w w:val="95"/>
                            <w:sz w:val="16"/>
                          </w:rPr>
                          <w:t>Marsh</w:t>
                        </w:r>
                        <w:r>
                          <w:rPr>
                            <w:spacing w:val="-3"/>
                            <w:sz w:val="16"/>
                          </w:rPr>
                          <w:t xml:space="preserve"> </w:t>
                        </w:r>
                        <w:r>
                          <w:rPr>
                            <w:spacing w:val="-5"/>
                            <w:w w:val="95"/>
                            <w:sz w:val="16"/>
                          </w:rPr>
                          <w:t>St</w:t>
                        </w:r>
                      </w:p>
                    </w:tc>
                    <w:tc>
                      <w:tcPr>
                        <w:tcW w:w="2664" w:type="dxa"/>
                        <w:shd w:val="clear" w:color="auto" w:fill="E1E0E1"/>
                      </w:tcPr>
                      <w:p w:rsidR="00F22F94" w:rsidRDefault="00F22F94">
                        <w:pPr>
                          <w:pStyle w:val="TableParagraph"/>
                          <w:ind w:left="114"/>
                          <w:rPr>
                            <w:sz w:val="16"/>
                          </w:rPr>
                        </w:pPr>
                        <w:r>
                          <w:rPr>
                            <w:spacing w:val="-5"/>
                            <w:sz w:val="16"/>
                          </w:rPr>
                          <w:t>15</w:t>
                        </w:r>
                      </w:p>
                    </w:tc>
                    <w:tc>
                      <w:tcPr>
                        <w:tcW w:w="1927" w:type="dxa"/>
                        <w:shd w:val="clear" w:color="auto" w:fill="E1E0E1"/>
                      </w:tcPr>
                      <w:p w:rsidR="00F22F94" w:rsidRDefault="00F22F94">
                        <w:pPr>
                          <w:pStyle w:val="TableParagraph"/>
                          <w:ind w:left="114"/>
                          <w:rPr>
                            <w:sz w:val="16"/>
                          </w:rPr>
                        </w:pPr>
                        <w:r>
                          <w:rPr>
                            <w:w w:val="99"/>
                            <w:sz w:val="16"/>
                          </w:rPr>
                          <w:t>0</w:t>
                        </w:r>
                      </w:p>
                    </w:tc>
                  </w:tr>
                </w:tbl>
                <w:p w:rsidR="00F22F94" w:rsidRDefault="00F22F94">
                  <w:pPr>
                    <w:pStyle w:val="BodyText"/>
                  </w:pPr>
                </w:p>
              </w:txbxContent>
            </v:textbox>
            <w10:wrap anchorx="page"/>
          </v:shape>
        </w:pict>
      </w:r>
      <w:r w:rsidR="00F22F94">
        <w:rPr>
          <w:w w:val="95"/>
        </w:rPr>
        <w:t>WestConnex</w:t>
      </w:r>
      <w:r w:rsidR="00F22F94">
        <w:rPr>
          <w:spacing w:val="-6"/>
          <w:w w:val="95"/>
        </w:rPr>
        <w:t xml:space="preserve"> </w:t>
      </w:r>
      <w:r w:rsidR="00F22F94">
        <w:rPr>
          <w:w w:val="95"/>
        </w:rPr>
        <w:t>is</w:t>
      </w:r>
      <w:r w:rsidR="00F22F94">
        <w:rPr>
          <w:spacing w:val="-5"/>
          <w:w w:val="95"/>
        </w:rPr>
        <w:t xml:space="preserve"> </w:t>
      </w:r>
      <w:r w:rsidR="00F22F94">
        <w:rPr>
          <w:w w:val="95"/>
        </w:rPr>
        <w:t>intended</w:t>
      </w:r>
      <w:r w:rsidR="00F22F94">
        <w:rPr>
          <w:spacing w:val="-6"/>
          <w:w w:val="95"/>
        </w:rPr>
        <w:t xml:space="preserve"> </w:t>
      </w:r>
      <w:r w:rsidR="00F22F94">
        <w:rPr>
          <w:w w:val="95"/>
        </w:rPr>
        <w:t>to</w:t>
      </w:r>
      <w:r w:rsidR="00F22F94">
        <w:rPr>
          <w:spacing w:val="-5"/>
          <w:w w:val="95"/>
        </w:rPr>
        <w:t xml:space="preserve"> </w:t>
      </w:r>
      <w:r w:rsidR="00F22F94">
        <w:rPr>
          <w:w w:val="95"/>
        </w:rPr>
        <w:t>be</w:t>
      </w:r>
      <w:r w:rsidR="00F22F94">
        <w:rPr>
          <w:spacing w:val="-6"/>
          <w:w w:val="95"/>
        </w:rPr>
        <w:t xml:space="preserve"> </w:t>
      </w:r>
      <w:r w:rsidR="00F22F94">
        <w:rPr>
          <w:w w:val="95"/>
        </w:rPr>
        <w:t>more</w:t>
      </w:r>
      <w:r w:rsidR="00F22F94">
        <w:rPr>
          <w:spacing w:val="-5"/>
          <w:w w:val="95"/>
        </w:rPr>
        <w:t xml:space="preserve"> </w:t>
      </w:r>
      <w:r w:rsidR="00F22F94">
        <w:rPr>
          <w:w w:val="95"/>
        </w:rPr>
        <w:t>than</w:t>
      </w:r>
      <w:r w:rsidR="00F22F94">
        <w:rPr>
          <w:spacing w:val="-6"/>
          <w:w w:val="95"/>
        </w:rPr>
        <w:t xml:space="preserve"> </w:t>
      </w:r>
      <w:r w:rsidR="00F22F94">
        <w:rPr>
          <w:w w:val="95"/>
        </w:rPr>
        <w:t>a</w:t>
      </w:r>
      <w:r w:rsidR="00F22F94">
        <w:rPr>
          <w:spacing w:val="-5"/>
          <w:w w:val="95"/>
        </w:rPr>
        <w:t xml:space="preserve"> </w:t>
      </w:r>
      <w:r w:rsidR="00F22F94">
        <w:rPr>
          <w:spacing w:val="-2"/>
          <w:w w:val="95"/>
        </w:rPr>
        <w:t>motorway.</w:t>
      </w:r>
    </w:p>
    <w:p w:rsidR="002C1123" w:rsidRDefault="00F22F94">
      <w:pPr>
        <w:spacing w:before="112"/>
        <w:ind w:left="476"/>
        <w:rPr>
          <w:b/>
          <w:sz w:val="18"/>
        </w:rPr>
      </w:pPr>
      <w:r>
        <w:br w:type="column"/>
      </w:r>
      <w:r>
        <w:rPr>
          <w:b/>
          <w:w w:val="95"/>
          <w:sz w:val="18"/>
        </w:rPr>
        <w:t>Table</w:t>
      </w:r>
      <w:r>
        <w:rPr>
          <w:b/>
          <w:spacing w:val="1"/>
          <w:sz w:val="18"/>
        </w:rPr>
        <w:t xml:space="preserve"> </w:t>
      </w:r>
      <w:r>
        <w:rPr>
          <w:b/>
          <w:w w:val="95"/>
          <w:sz w:val="18"/>
        </w:rPr>
        <w:t>6.6</w:t>
      </w:r>
      <w:r>
        <w:rPr>
          <w:b/>
          <w:spacing w:val="56"/>
          <w:sz w:val="18"/>
        </w:rPr>
        <w:t xml:space="preserve"> </w:t>
      </w:r>
      <w:r>
        <w:rPr>
          <w:b/>
          <w:w w:val="95"/>
          <w:sz w:val="18"/>
        </w:rPr>
        <w:t>Travel</w:t>
      </w:r>
      <w:r>
        <w:rPr>
          <w:b/>
          <w:spacing w:val="1"/>
          <w:sz w:val="18"/>
        </w:rPr>
        <w:t xml:space="preserve"> </w:t>
      </w:r>
      <w:r>
        <w:rPr>
          <w:b/>
          <w:w w:val="95"/>
          <w:sz w:val="18"/>
        </w:rPr>
        <w:t>time</w:t>
      </w:r>
      <w:r>
        <w:rPr>
          <w:b/>
          <w:spacing w:val="2"/>
          <w:sz w:val="18"/>
        </w:rPr>
        <w:t xml:space="preserve"> </w:t>
      </w:r>
      <w:r>
        <w:rPr>
          <w:b/>
          <w:w w:val="95"/>
          <w:sz w:val="18"/>
        </w:rPr>
        <w:t>savings</w:t>
      </w:r>
      <w:r>
        <w:rPr>
          <w:b/>
          <w:spacing w:val="1"/>
          <w:sz w:val="18"/>
        </w:rPr>
        <w:t xml:space="preserve"> </w:t>
      </w:r>
      <w:r>
        <w:rPr>
          <w:b/>
          <w:w w:val="95"/>
          <w:sz w:val="18"/>
        </w:rPr>
        <w:t>with</w:t>
      </w:r>
      <w:r>
        <w:rPr>
          <w:b/>
          <w:spacing w:val="1"/>
          <w:sz w:val="18"/>
        </w:rPr>
        <w:t xml:space="preserve"> </w:t>
      </w:r>
      <w:r>
        <w:rPr>
          <w:b/>
          <w:w w:val="95"/>
          <w:sz w:val="18"/>
        </w:rPr>
        <w:t>WestConnex</w:t>
      </w:r>
      <w:r>
        <w:rPr>
          <w:b/>
          <w:spacing w:val="2"/>
          <w:sz w:val="18"/>
        </w:rPr>
        <w:t xml:space="preserve"> </w:t>
      </w:r>
      <w:r>
        <w:rPr>
          <w:b/>
          <w:w w:val="95"/>
          <w:sz w:val="18"/>
        </w:rPr>
        <w:t>in</w:t>
      </w:r>
      <w:r>
        <w:rPr>
          <w:b/>
          <w:spacing w:val="1"/>
          <w:sz w:val="18"/>
        </w:rPr>
        <w:t xml:space="preserve"> </w:t>
      </w:r>
      <w:r>
        <w:rPr>
          <w:b/>
          <w:w w:val="95"/>
          <w:sz w:val="18"/>
        </w:rPr>
        <w:t>2021</w:t>
      </w:r>
      <w:r>
        <w:rPr>
          <w:b/>
          <w:spacing w:val="1"/>
          <w:sz w:val="18"/>
        </w:rPr>
        <w:t xml:space="preserve"> </w:t>
      </w:r>
      <w:r>
        <w:rPr>
          <w:b/>
          <w:w w:val="95"/>
          <w:sz w:val="18"/>
        </w:rPr>
        <w:t>compared</w:t>
      </w:r>
      <w:r>
        <w:rPr>
          <w:b/>
          <w:spacing w:val="2"/>
          <w:sz w:val="18"/>
        </w:rPr>
        <w:t xml:space="preserve"> </w:t>
      </w:r>
      <w:r>
        <w:rPr>
          <w:b/>
          <w:w w:val="95"/>
          <w:sz w:val="18"/>
        </w:rPr>
        <w:t>to</w:t>
      </w:r>
      <w:r>
        <w:rPr>
          <w:b/>
          <w:spacing w:val="1"/>
          <w:sz w:val="18"/>
        </w:rPr>
        <w:t xml:space="preserve"> </w:t>
      </w:r>
      <w:r>
        <w:rPr>
          <w:b/>
          <w:w w:val="95"/>
          <w:sz w:val="18"/>
        </w:rPr>
        <w:t>travel</w:t>
      </w:r>
      <w:r>
        <w:rPr>
          <w:b/>
          <w:spacing w:val="1"/>
          <w:sz w:val="18"/>
        </w:rPr>
        <w:t xml:space="preserve"> </w:t>
      </w:r>
      <w:r>
        <w:rPr>
          <w:b/>
          <w:w w:val="95"/>
          <w:sz w:val="18"/>
        </w:rPr>
        <w:t>via</w:t>
      </w:r>
      <w:r>
        <w:rPr>
          <w:b/>
          <w:spacing w:val="2"/>
          <w:sz w:val="18"/>
        </w:rPr>
        <w:t xml:space="preserve"> </w:t>
      </w:r>
      <w:r>
        <w:rPr>
          <w:b/>
          <w:w w:val="95"/>
          <w:sz w:val="18"/>
        </w:rPr>
        <w:t>existing</w:t>
      </w:r>
      <w:r>
        <w:rPr>
          <w:b/>
          <w:spacing w:val="1"/>
          <w:sz w:val="18"/>
        </w:rPr>
        <w:t xml:space="preserve"> </w:t>
      </w:r>
      <w:r>
        <w:rPr>
          <w:b/>
          <w:spacing w:val="-2"/>
          <w:w w:val="95"/>
          <w:sz w:val="18"/>
        </w:rPr>
        <w:t>routes</w:t>
      </w:r>
    </w:p>
    <w:p w:rsidR="002C1123" w:rsidRDefault="00F22F94">
      <w:pPr>
        <w:spacing w:before="149" w:line="193" w:lineRule="exact"/>
        <w:ind w:right="86"/>
        <w:jc w:val="right"/>
        <w:rPr>
          <w:b/>
          <w:sz w:val="18"/>
        </w:rPr>
      </w:pPr>
      <w:r>
        <w:rPr>
          <w:b/>
          <w:color w:val="2E3092"/>
          <w:sz w:val="18"/>
        </w:rPr>
        <w:t>Estimated</w:t>
      </w:r>
      <w:r>
        <w:rPr>
          <w:b/>
          <w:color w:val="2E3092"/>
          <w:spacing w:val="-12"/>
          <w:sz w:val="18"/>
        </w:rPr>
        <w:t xml:space="preserve"> </w:t>
      </w:r>
      <w:r>
        <w:rPr>
          <w:b/>
          <w:color w:val="2E3092"/>
          <w:sz w:val="18"/>
        </w:rPr>
        <w:t>time</w:t>
      </w:r>
      <w:r>
        <w:rPr>
          <w:b/>
          <w:color w:val="2E3092"/>
          <w:spacing w:val="-12"/>
          <w:sz w:val="18"/>
        </w:rPr>
        <w:t xml:space="preserve"> </w:t>
      </w:r>
      <w:r>
        <w:rPr>
          <w:b/>
          <w:color w:val="2E3092"/>
          <w:sz w:val="18"/>
        </w:rPr>
        <w:t>saving</w:t>
      </w:r>
      <w:r>
        <w:rPr>
          <w:b/>
          <w:color w:val="2E3092"/>
          <w:spacing w:val="-12"/>
          <w:sz w:val="18"/>
        </w:rPr>
        <w:t xml:space="preserve"> </w:t>
      </w:r>
      <w:r>
        <w:rPr>
          <w:b/>
          <w:color w:val="2E3092"/>
          <w:spacing w:val="-4"/>
          <w:sz w:val="18"/>
        </w:rPr>
        <w:t>using</w:t>
      </w:r>
    </w:p>
    <w:p w:rsidR="002C1123" w:rsidRDefault="00F22F94">
      <w:pPr>
        <w:rPr>
          <w:b/>
          <w:sz w:val="20"/>
        </w:rPr>
      </w:pPr>
      <w:r>
        <w:br w:type="column"/>
      </w:r>
    </w:p>
    <w:p w:rsidR="002C1123" w:rsidRDefault="002C1123">
      <w:pPr>
        <w:pStyle w:val="BodyText"/>
        <w:spacing w:before="7"/>
        <w:rPr>
          <w:b/>
        </w:rPr>
      </w:pPr>
    </w:p>
    <w:p w:rsidR="002C1123" w:rsidRDefault="00F22F94">
      <w:pPr>
        <w:spacing w:before="1" w:line="193" w:lineRule="exact"/>
        <w:ind w:left="145"/>
        <w:rPr>
          <w:b/>
          <w:sz w:val="18"/>
        </w:rPr>
      </w:pPr>
      <w:r>
        <w:rPr>
          <w:b/>
          <w:color w:val="2E3092"/>
          <w:spacing w:val="-4"/>
          <w:sz w:val="18"/>
        </w:rPr>
        <w:t>Traffic</w:t>
      </w:r>
      <w:r>
        <w:rPr>
          <w:b/>
          <w:color w:val="2E3092"/>
          <w:spacing w:val="3"/>
          <w:sz w:val="18"/>
        </w:rPr>
        <w:t xml:space="preserve"> </w:t>
      </w:r>
      <w:r>
        <w:rPr>
          <w:b/>
          <w:color w:val="2E3092"/>
          <w:spacing w:val="-2"/>
          <w:sz w:val="18"/>
        </w:rPr>
        <w:t>signals</w:t>
      </w:r>
    </w:p>
    <w:p w:rsidR="002C1123" w:rsidRDefault="002C1123">
      <w:pPr>
        <w:spacing w:line="193" w:lineRule="exact"/>
        <w:rPr>
          <w:sz w:val="18"/>
        </w:rPr>
        <w:sectPr w:rsidR="002C1123">
          <w:type w:val="continuous"/>
          <w:pgSz w:w="16840" w:h="11910" w:orient="landscape"/>
          <w:pgMar w:top="560" w:right="280" w:bottom="280" w:left="500" w:header="0" w:footer="517" w:gutter="0"/>
          <w:cols w:num="3" w:space="720" w:equalWidth="0">
            <w:col w:w="5023" w:space="40"/>
            <w:col w:w="8276" w:space="39"/>
            <w:col w:w="2682"/>
          </w:cols>
        </w:sectPr>
      </w:pPr>
    </w:p>
    <w:p w:rsidR="002C1123" w:rsidRDefault="00F22F94">
      <w:pPr>
        <w:pStyle w:val="BodyText"/>
        <w:spacing w:before="12" w:line="249" w:lineRule="auto"/>
        <w:ind w:left="492"/>
      </w:pPr>
      <w:r>
        <w:rPr>
          <w:w w:val="95"/>
        </w:rPr>
        <w:t>It</w:t>
      </w:r>
      <w:r>
        <w:rPr>
          <w:spacing w:val="-2"/>
          <w:w w:val="95"/>
        </w:rPr>
        <w:t xml:space="preserve"> </w:t>
      </w:r>
      <w:r>
        <w:rPr>
          <w:w w:val="95"/>
        </w:rPr>
        <w:t>is</w:t>
      </w:r>
      <w:r>
        <w:rPr>
          <w:spacing w:val="-2"/>
          <w:w w:val="95"/>
        </w:rPr>
        <w:t xml:space="preserve"> </w:t>
      </w:r>
      <w:r>
        <w:rPr>
          <w:w w:val="95"/>
        </w:rPr>
        <w:t>a</w:t>
      </w:r>
      <w:r>
        <w:rPr>
          <w:spacing w:val="-2"/>
          <w:w w:val="95"/>
        </w:rPr>
        <w:t xml:space="preserve"> </w:t>
      </w:r>
      <w:r>
        <w:rPr>
          <w:w w:val="95"/>
        </w:rPr>
        <w:t>scheme</w:t>
      </w:r>
      <w:r>
        <w:rPr>
          <w:spacing w:val="-2"/>
          <w:w w:val="95"/>
        </w:rPr>
        <w:t xml:space="preserve"> </w:t>
      </w:r>
      <w:r>
        <w:rPr>
          <w:w w:val="95"/>
        </w:rPr>
        <w:t>designed</w:t>
      </w:r>
      <w:r>
        <w:rPr>
          <w:spacing w:val="-2"/>
          <w:w w:val="95"/>
        </w:rPr>
        <w:t xml:space="preserve"> </w:t>
      </w:r>
      <w:r>
        <w:rPr>
          <w:w w:val="95"/>
        </w:rPr>
        <w:t>to</w:t>
      </w:r>
      <w:r>
        <w:rPr>
          <w:spacing w:val="-2"/>
          <w:w w:val="95"/>
        </w:rPr>
        <w:t xml:space="preserve"> </w:t>
      </w:r>
      <w:r>
        <w:rPr>
          <w:w w:val="95"/>
        </w:rPr>
        <w:t>act</w:t>
      </w:r>
      <w:r>
        <w:rPr>
          <w:spacing w:val="-2"/>
          <w:w w:val="95"/>
        </w:rPr>
        <w:t xml:space="preserve"> </w:t>
      </w:r>
      <w:r>
        <w:rPr>
          <w:w w:val="95"/>
        </w:rPr>
        <w:t>as</w:t>
      </w:r>
      <w:r>
        <w:rPr>
          <w:spacing w:val="-2"/>
          <w:w w:val="95"/>
        </w:rPr>
        <w:t xml:space="preserve"> </w:t>
      </w:r>
      <w:r>
        <w:rPr>
          <w:w w:val="95"/>
        </w:rPr>
        <w:t>a</w:t>
      </w:r>
      <w:r>
        <w:rPr>
          <w:spacing w:val="-2"/>
          <w:w w:val="95"/>
        </w:rPr>
        <w:t xml:space="preserve"> </w:t>
      </w:r>
      <w:r>
        <w:rPr>
          <w:w w:val="95"/>
        </w:rPr>
        <w:t>catalyst</w:t>
      </w:r>
      <w:r>
        <w:rPr>
          <w:spacing w:val="-2"/>
          <w:w w:val="95"/>
        </w:rPr>
        <w:t xml:space="preserve"> </w:t>
      </w:r>
      <w:r>
        <w:rPr>
          <w:w w:val="95"/>
        </w:rPr>
        <w:t>to</w:t>
      </w:r>
      <w:r>
        <w:rPr>
          <w:spacing w:val="-2"/>
          <w:w w:val="95"/>
        </w:rPr>
        <w:t xml:space="preserve"> </w:t>
      </w:r>
      <w:r>
        <w:rPr>
          <w:w w:val="95"/>
        </w:rPr>
        <w:t>renew</w:t>
      </w:r>
      <w:r>
        <w:rPr>
          <w:spacing w:val="-2"/>
          <w:w w:val="95"/>
        </w:rPr>
        <w:t xml:space="preserve"> </w:t>
      </w:r>
      <w:r>
        <w:rPr>
          <w:w w:val="95"/>
        </w:rPr>
        <w:t xml:space="preserve">and </w:t>
      </w:r>
      <w:r>
        <w:t>transform</w:t>
      </w:r>
      <w:r>
        <w:rPr>
          <w:spacing w:val="-10"/>
        </w:rPr>
        <w:t xml:space="preserve"> </w:t>
      </w:r>
      <w:r>
        <w:t>the</w:t>
      </w:r>
      <w:r>
        <w:rPr>
          <w:spacing w:val="-10"/>
        </w:rPr>
        <w:t xml:space="preserve"> </w:t>
      </w:r>
      <w:r>
        <w:t>parts</w:t>
      </w:r>
      <w:r>
        <w:rPr>
          <w:spacing w:val="-10"/>
        </w:rPr>
        <w:t xml:space="preserve"> </w:t>
      </w:r>
      <w:r>
        <w:t>of</w:t>
      </w:r>
      <w:r>
        <w:rPr>
          <w:spacing w:val="-10"/>
        </w:rPr>
        <w:t xml:space="preserve"> </w:t>
      </w:r>
      <w:r>
        <w:t>Sydney</w:t>
      </w:r>
      <w:r>
        <w:rPr>
          <w:spacing w:val="-10"/>
        </w:rPr>
        <w:t xml:space="preserve"> </w:t>
      </w:r>
      <w:r>
        <w:t>through</w:t>
      </w:r>
      <w:r>
        <w:rPr>
          <w:spacing w:val="-10"/>
        </w:rPr>
        <w:t xml:space="preserve"> </w:t>
      </w:r>
      <w:r>
        <w:t>which</w:t>
      </w:r>
      <w:r>
        <w:rPr>
          <w:spacing w:val="-10"/>
        </w:rPr>
        <w:t xml:space="preserve"> </w:t>
      </w:r>
      <w:r>
        <w:t>it</w:t>
      </w:r>
      <w:r>
        <w:rPr>
          <w:spacing w:val="-10"/>
        </w:rPr>
        <w:t xml:space="preserve"> </w:t>
      </w:r>
      <w:r>
        <w:t xml:space="preserve">passes. </w:t>
      </w:r>
      <w:r>
        <w:rPr>
          <w:w w:val="95"/>
        </w:rPr>
        <w:t>WestConnex</w:t>
      </w:r>
      <w:r>
        <w:rPr>
          <w:spacing w:val="-8"/>
          <w:w w:val="95"/>
        </w:rPr>
        <w:t xml:space="preserve"> </w:t>
      </w:r>
      <w:r>
        <w:rPr>
          <w:w w:val="95"/>
        </w:rPr>
        <w:t>is</w:t>
      </w:r>
      <w:r>
        <w:rPr>
          <w:spacing w:val="-8"/>
          <w:w w:val="95"/>
        </w:rPr>
        <w:t xml:space="preserve"> </w:t>
      </w:r>
      <w:r>
        <w:rPr>
          <w:w w:val="95"/>
        </w:rPr>
        <w:t>intended</w:t>
      </w:r>
      <w:r>
        <w:rPr>
          <w:spacing w:val="-8"/>
          <w:w w:val="95"/>
        </w:rPr>
        <w:t xml:space="preserve"> </w:t>
      </w:r>
      <w:r>
        <w:rPr>
          <w:w w:val="95"/>
        </w:rPr>
        <w:t>to</w:t>
      </w:r>
      <w:r>
        <w:rPr>
          <w:spacing w:val="-8"/>
          <w:w w:val="95"/>
        </w:rPr>
        <w:t xml:space="preserve"> </w:t>
      </w:r>
      <w:r>
        <w:rPr>
          <w:w w:val="95"/>
        </w:rPr>
        <w:t>develop</w:t>
      </w:r>
      <w:r>
        <w:rPr>
          <w:spacing w:val="-8"/>
          <w:w w:val="95"/>
        </w:rPr>
        <w:t xml:space="preserve"> </w:t>
      </w:r>
      <w:r>
        <w:rPr>
          <w:w w:val="95"/>
        </w:rPr>
        <w:t>as</w:t>
      </w:r>
      <w:r>
        <w:rPr>
          <w:spacing w:val="-8"/>
          <w:w w:val="95"/>
        </w:rPr>
        <w:t xml:space="preserve"> </w:t>
      </w:r>
      <w:r>
        <w:rPr>
          <w:w w:val="95"/>
        </w:rPr>
        <w:t>an</w:t>
      </w:r>
      <w:r>
        <w:rPr>
          <w:spacing w:val="-8"/>
          <w:w w:val="95"/>
        </w:rPr>
        <w:t xml:space="preserve"> </w:t>
      </w:r>
      <w:r>
        <w:rPr>
          <w:w w:val="95"/>
        </w:rPr>
        <w:t>integrated</w:t>
      </w:r>
      <w:r>
        <w:rPr>
          <w:spacing w:val="-8"/>
          <w:w w:val="95"/>
        </w:rPr>
        <w:t xml:space="preserve"> </w:t>
      </w:r>
      <w:r>
        <w:rPr>
          <w:w w:val="95"/>
        </w:rPr>
        <w:t xml:space="preserve">land </w:t>
      </w:r>
      <w:r>
        <w:t>use</w:t>
      </w:r>
      <w:r>
        <w:rPr>
          <w:spacing w:val="-14"/>
        </w:rPr>
        <w:t xml:space="preserve"> </w:t>
      </w:r>
      <w:r>
        <w:t>and</w:t>
      </w:r>
      <w:r>
        <w:rPr>
          <w:spacing w:val="-14"/>
        </w:rPr>
        <w:t xml:space="preserve"> </w:t>
      </w:r>
      <w:r>
        <w:t>transport</w:t>
      </w:r>
      <w:r>
        <w:rPr>
          <w:spacing w:val="-14"/>
        </w:rPr>
        <w:t xml:space="preserve"> </w:t>
      </w:r>
      <w:r>
        <w:t>scheme</w:t>
      </w:r>
      <w:r>
        <w:rPr>
          <w:spacing w:val="-14"/>
        </w:rPr>
        <w:t xml:space="preserve"> </w:t>
      </w:r>
      <w:r>
        <w:t>delivering</w:t>
      </w:r>
      <w:r>
        <w:rPr>
          <w:spacing w:val="-14"/>
        </w:rPr>
        <w:t xml:space="preserve"> </w:t>
      </w:r>
      <w:r>
        <w:t>on</w:t>
      </w:r>
      <w:r>
        <w:rPr>
          <w:spacing w:val="-14"/>
        </w:rPr>
        <w:t xml:space="preserve"> </w:t>
      </w:r>
      <w:r>
        <w:t>road</w:t>
      </w:r>
      <w:r>
        <w:rPr>
          <w:spacing w:val="-14"/>
        </w:rPr>
        <w:t xml:space="preserve"> </w:t>
      </w:r>
      <w:r>
        <w:t>transport, urban renewal and public transport outcomes.</w:t>
      </w:r>
    </w:p>
    <w:p w:rsidR="002C1123" w:rsidRDefault="00F22F94">
      <w:pPr>
        <w:pStyle w:val="Heading6"/>
        <w:spacing w:before="145"/>
        <w:ind w:left="492"/>
      </w:pPr>
      <w:r>
        <w:t>Key</w:t>
      </w:r>
      <w:r>
        <w:rPr>
          <w:spacing w:val="-11"/>
        </w:rPr>
        <w:t xml:space="preserve"> </w:t>
      </w:r>
      <w:r>
        <w:t>benefits</w:t>
      </w:r>
      <w:r>
        <w:rPr>
          <w:spacing w:val="-10"/>
        </w:rPr>
        <w:t xml:space="preserve"> </w:t>
      </w:r>
      <w:r>
        <w:rPr>
          <w:spacing w:val="-2"/>
        </w:rPr>
        <w:t>include:</w:t>
      </w:r>
    </w:p>
    <w:p w:rsidR="002C1123" w:rsidRDefault="00F22F94">
      <w:pPr>
        <w:pStyle w:val="ListParagraph"/>
        <w:numPr>
          <w:ilvl w:val="0"/>
          <w:numId w:val="93"/>
        </w:numPr>
        <w:tabs>
          <w:tab w:val="left" w:pos="776"/>
        </w:tabs>
        <w:spacing w:before="140" w:line="249" w:lineRule="auto"/>
        <w:ind w:right="153"/>
        <w:rPr>
          <w:sz w:val="20"/>
        </w:rPr>
      </w:pPr>
      <w:r>
        <w:rPr>
          <w:w w:val="95"/>
          <w:sz w:val="20"/>
        </w:rPr>
        <w:t>Relieving</w:t>
      </w:r>
      <w:r>
        <w:rPr>
          <w:spacing w:val="-4"/>
          <w:w w:val="95"/>
          <w:sz w:val="20"/>
        </w:rPr>
        <w:t xml:space="preserve"> </w:t>
      </w:r>
      <w:r>
        <w:rPr>
          <w:w w:val="95"/>
          <w:sz w:val="20"/>
        </w:rPr>
        <w:t>congestion</w:t>
      </w:r>
      <w:r>
        <w:rPr>
          <w:spacing w:val="-4"/>
          <w:w w:val="95"/>
          <w:sz w:val="20"/>
        </w:rPr>
        <w:t xml:space="preserve"> </w:t>
      </w:r>
      <w:r>
        <w:rPr>
          <w:w w:val="95"/>
          <w:sz w:val="20"/>
        </w:rPr>
        <w:t>on</w:t>
      </w:r>
      <w:r>
        <w:rPr>
          <w:spacing w:val="-4"/>
          <w:w w:val="95"/>
          <w:sz w:val="20"/>
        </w:rPr>
        <w:t xml:space="preserve"> </w:t>
      </w:r>
      <w:r>
        <w:rPr>
          <w:w w:val="95"/>
          <w:sz w:val="20"/>
        </w:rPr>
        <w:t>the</w:t>
      </w:r>
      <w:r>
        <w:rPr>
          <w:spacing w:val="-4"/>
          <w:w w:val="95"/>
          <w:sz w:val="20"/>
        </w:rPr>
        <w:t xml:space="preserve"> </w:t>
      </w:r>
      <w:r>
        <w:rPr>
          <w:w w:val="95"/>
          <w:sz w:val="20"/>
        </w:rPr>
        <w:t>existing</w:t>
      </w:r>
      <w:r>
        <w:rPr>
          <w:spacing w:val="-4"/>
          <w:w w:val="95"/>
          <w:sz w:val="20"/>
        </w:rPr>
        <w:t xml:space="preserve"> </w:t>
      </w:r>
      <w:r>
        <w:rPr>
          <w:w w:val="95"/>
          <w:sz w:val="20"/>
        </w:rPr>
        <w:t xml:space="preserve">M4/Parramatta </w:t>
      </w:r>
      <w:r>
        <w:rPr>
          <w:sz w:val="20"/>
        </w:rPr>
        <w:t>Road and M5 East</w:t>
      </w:r>
    </w:p>
    <w:p w:rsidR="002C1123" w:rsidRDefault="00F22F94">
      <w:pPr>
        <w:pStyle w:val="ListParagraph"/>
        <w:numPr>
          <w:ilvl w:val="0"/>
          <w:numId w:val="93"/>
        </w:numPr>
        <w:tabs>
          <w:tab w:val="left" w:pos="776"/>
        </w:tabs>
        <w:spacing w:before="102"/>
        <w:rPr>
          <w:sz w:val="20"/>
        </w:rPr>
      </w:pPr>
      <w:r>
        <w:rPr>
          <w:w w:val="95"/>
          <w:sz w:val="20"/>
        </w:rPr>
        <w:t>Supporting</w:t>
      </w:r>
      <w:r>
        <w:rPr>
          <w:spacing w:val="2"/>
          <w:sz w:val="20"/>
        </w:rPr>
        <w:t xml:space="preserve"> </w:t>
      </w:r>
      <w:r>
        <w:rPr>
          <w:w w:val="95"/>
          <w:sz w:val="20"/>
        </w:rPr>
        <w:t>freight</w:t>
      </w:r>
      <w:r>
        <w:rPr>
          <w:spacing w:val="3"/>
          <w:sz w:val="20"/>
        </w:rPr>
        <w:t xml:space="preserve"> </w:t>
      </w:r>
      <w:r>
        <w:rPr>
          <w:w w:val="95"/>
          <w:sz w:val="20"/>
        </w:rPr>
        <w:t>movements</w:t>
      </w:r>
      <w:r>
        <w:rPr>
          <w:spacing w:val="3"/>
          <w:sz w:val="20"/>
        </w:rPr>
        <w:t xml:space="preserve"> </w:t>
      </w:r>
      <w:r>
        <w:rPr>
          <w:w w:val="95"/>
          <w:sz w:val="20"/>
        </w:rPr>
        <w:t>between</w:t>
      </w:r>
      <w:r>
        <w:rPr>
          <w:spacing w:val="3"/>
          <w:sz w:val="20"/>
        </w:rPr>
        <w:t xml:space="preserve"> </w:t>
      </w:r>
      <w:r>
        <w:rPr>
          <w:spacing w:val="-2"/>
          <w:w w:val="95"/>
          <w:sz w:val="20"/>
        </w:rPr>
        <w:t>Sydney’s</w:t>
      </w:r>
    </w:p>
    <w:p w:rsidR="002C1123" w:rsidRDefault="00F22F94">
      <w:pPr>
        <w:tabs>
          <w:tab w:val="left" w:pos="3598"/>
        </w:tabs>
        <w:spacing w:before="6"/>
        <w:ind w:left="310"/>
        <w:rPr>
          <w:b/>
          <w:sz w:val="18"/>
        </w:rPr>
      </w:pPr>
      <w:r>
        <w:br w:type="column"/>
      </w:r>
      <w:r>
        <w:rPr>
          <w:b/>
          <w:color w:val="2E3092"/>
          <w:spacing w:val="-2"/>
          <w:sz w:val="18"/>
        </w:rPr>
        <w:t>Between</w:t>
      </w:r>
      <w:r>
        <w:rPr>
          <w:b/>
          <w:color w:val="2E3092"/>
          <w:sz w:val="18"/>
        </w:rPr>
        <w:tab/>
      </w:r>
      <w:r>
        <w:rPr>
          <w:b/>
          <w:color w:val="2E3092"/>
          <w:w w:val="95"/>
          <w:sz w:val="18"/>
        </w:rPr>
        <w:t>Existing</w:t>
      </w:r>
      <w:r>
        <w:rPr>
          <w:b/>
          <w:color w:val="2E3092"/>
          <w:spacing w:val="5"/>
          <w:sz w:val="18"/>
        </w:rPr>
        <w:t xml:space="preserve"> </w:t>
      </w:r>
      <w:r>
        <w:rPr>
          <w:b/>
          <w:color w:val="2E3092"/>
          <w:spacing w:val="-2"/>
          <w:sz w:val="18"/>
        </w:rPr>
        <w:t>route</w:t>
      </w:r>
    </w:p>
    <w:p w:rsidR="002C1123" w:rsidRDefault="00F22F94">
      <w:pPr>
        <w:spacing w:before="6"/>
        <w:ind w:left="492"/>
        <w:rPr>
          <w:b/>
          <w:sz w:val="18"/>
        </w:rPr>
      </w:pPr>
      <w:r>
        <w:br w:type="column"/>
      </w:r>
      <w:r>
        <w:rPr>
          <w:b/>
          <w:color w:val="2E3092"/>
          <w:w w:val="95"/>
          <w:sz w:val="18"/>
        </w:rPr>
        <w:t>WestConnex</w:t>
      </w:r>
      <w:r>
        <w:rPr>
          <w:b/>
          <w:color w:val="2E3092"/>
          <w:spacing w:val="26"/>
          <w:sz w:val="18"/>
        </w:rPr>
        <w:t xml:space="preserve"> </w:t>
      </w:r>
      <w:r>
        <w:rPr>
          <w:b/>
          <w:color w:val="2E3092"/>
          <w:spacing w:val="-2"/>
          <w:sz w:val="18"/>
        </w:rPr>
        <w:t>(minutes)</w:t>
      </w:r>
    </w:p>
    <w:p w:rsidR="002C1123" w:rsidRDefault="00F22F94">
      <w:pPr>
        <w:spacing w:before="6"/>
        <w:ind w:left="492"/>
        <w:rPr>
          <w:b/>
          <w:sz w:val="18"/>
        </w:rPr>
      </w:pPr>
      <w:r>
        <w:br w:type="column"/>
      </w:r>
      <w:r>
        <w:rPr>
          <w:b/>
          <w:color w:val="2E3092"/>
          <w:spacing w:val="-2"/>
          <w:sz w:val="18"/>
        </w:rPr>
        <w:t>Avoided</w:t>
      </w:r>
    </w:p>
    <w:p w:rsidR="002C1123" w:rsidRDefault="002C1123">
      <w:pPr>
        <w:rPr>
          <w:sz w:val="18"/>
        </w:rPr>
        <w:sectPr w:rsidR="002C1123">
          <w:type w:val="continuous"/>
          <w:pgSz w:w="16840" w:h="11910" w:orient="landscape"/>
          <w:pgMar w:top="560" w:right="280" w:bottom="280" w:left="500" w:header="0" w:footer="517" w:gutter="0"/>
          <w:cols w:num="4" w:space="720" w:equalWidth="0">
            <w:col w:w="5292" w:space="40"/>
            <w:col w:w="4810" w:space="224"/>
            <w:col w:w="2441" w:space="224"/>
            <w:col w:w="3029"/>
          </w:cols>
        </w:sectPr>
      </w:pPr>
    </w:p>
    <w:p w:rsidR="002C1123" w:rsidRDefault="00F22F94">
      <w:pPr>
        <w:pStyle w:val="BodyText"/>
        <w:spacing w:before="10" w:line="249" w:lineRule="auto"/>
        <w:ind w:left="775"/>
      </w:pPr>
      <w:r>
        <w:rPr>
          <w:w w:val="95"/>
        </w:rPr>
        <w:t>Gateways</w:t>
      </w:r>
      <w:r>
        <w:rPr>
          <w:spacing w:val="-8"/>
          <w:w w:val="95"/>
        </w:rPr>
        <w:t xml:space="preserve"> </w:t>
      </w:r>
      <w:r>
        <w:rPr>
          <w:w w:val="95"/>
        </w:rPr>
        <w:t>and</w:t>
      </w:r>
      <w:r>
        <w:rPr>
          <w:spacing w:val="-8"/>
          <w:w w:val="95"/>
        </w:rPr>
        <w:t xml:space="preserve"> </w:t>
      </w:r>
      <w:r>
        <w:rPr>
          <w:w w:val="95"/>
        </w:rPr>
        <w:t>the</w:t>
      </w:r>
      <w:r>
        <w:rPr>
          <w:spacing w:val="-8"/>
          <w:w w:val="95"/>
        </w:rPr>
        <w:t xml:space="preserve"> </w:t>
      </w:r>
      <w:r>
        <w:rPr>
          <w:w w:val="95"/>
        </w:rPr>
        <w:t>logistics</w:t>
      </w:r>
      <w:r>
        <w:rPr>
          <w:spacing w:val="-8"/>
          <w:w w:val="95"/>
        </w:rPr>
        <w:t xml:space="preserve"> </w:t>
      </w:r>
      <w:r>
        <w:rPr>
          <w:w w:val="95"/>
        </w:rPr>
        <w:t>hubs</w:t>
      </w:r>
      <w:r>
        <w:rPr>
          <w:spacing w:val="-8"/>
          <w:w w:val="95"/>
        </w:rPr>
        <w:t xml:space="preserve"> </w:t>
      </w:r>
      <w:r>
        <w:rPr>
          <w:w w:val="95"/>
        </w:rPr>
        <w:t>in</w:t>
      </w:r>
      <w:r>
        <w:rPr>
          <w:spacing w:val="-8"/>
          <w:w w:val="95"/>
        </w:rPr>
        <w:t xml:space="preserve"> </w:t>
      </w:r>
      <w:r>
        <w:rPr>
          <w:w w:val="95"/>
        </w:rPr>
        <w:t>Western</w:t>
      </w:r>
      <w:r>
        <w:rPr>
          <w:spacing w:val="-8"/>
          <w:w w:val="95"/>
        </w:rPr>
        <w:t xml:space="preserve"> </w:t>
      </w:r>
      <w:r>
        <w:rPr>
          <w:w w:val="95"/>
        </w:rPr>
        <w:t xml:space="preserve">and </w:t>
      </w:r>
      <w:r>
        <w:t>South Western Sydney</w:t>
      </w:r>
    </w:p>
    <w:p w:rsidR="002C1123" w:rsidRDefault="00F22F94">
      <w:pPr>
        <w:pStyle w:val="ListParagraph"/>
        <w:numPr>
          <w:ilvl w:val="0"/>
          <w:numId w:val="93"/>
        </w:numPr>
        <w:tabs>
          <w:tab w:val="left" w:pos="776"/>
        </w:tabs>
        <w:spacing w:before="102"/>
        <w:rPr>
          <w:sz w:val="20"/>
        </w:rPr>
      </w:pPr>
      <w:r>
        <w:rPr>
          <w:w w:val="95"/>
          <w:sz w:val="20"/>
        </w:rPr>
        <w:t>Supporting</w:t>
      </w:r>
      <w:r>
        <w:rPr>
          <w:spacing w:val="-2"/>
          <w:sz w:val="20"/>
        </w:rPr>
        <w:t xml:space="preserve"> </w:t>
      </w:r>
      <w:r>
        <w:rPr>
          <w:w w:val="95"/>
          <w:sz w:val="20"/>
        </w:rPr>
        <w:t>people</w:t>
      </w:r>
      <w:r>
        <w:rPr>
          <w:spacing w:val="-2"/>
          <w:sz w:val="20"/>
        </w:rPr>
        <w:t xml:space="preserve"> </w:t>
      </w:r>
      <w:r>
        <w:rPr>
          <w:w w:val="95"/>
          <w:sz w:val="20"/>
        </w:rPr>
        <w:t>movements</w:t>
      </w:r>
      <w:r>
        <w:rPr>
          <w:spacing w:val="-1"/>
          <w:sz w:val="20"/>
        </w:rPr>
        <w:t xml:space="preserve"> </w:t>
      </w:r>
      <w:r>
        <w:rPr>
          <w:w w:val="95"/>
          <w:sz w:val="20"/>
        </w:rPr>
        <w:t>to</w:t>
      </w:r>
      <w:r>
        <w:rPr>
          <w:spacing w:val="-2"/>
          <w:sz w:val="20"/>
        </w:rPr>
        <w:t xml:space="preserve"> </w:t>
      </w:r>
      <w:r>
        <w:rPr>
          <w:w w:val="95"/>
          <w:sz w:val="20"/>
        </w:rPr>
        <w:t>Sydney</w:t>
      </w:r>
      <w:r>
        <w:rPr>
          <w:spacing w:val="-1"/>
          <w:sz w:val="20"/>
        </w:rPr>
        <w:t xml:space="preserve"> </w:t>
      </w:r>
      <w:r>
        <w:rPr>
          <w:spacing w:val="-2"/>
          <w:w w:val="95"/>
          <w:sz w:val="20"/>
        </w:rPr>
        <w:t>Airport</w:t>
      </w:r>
    </w:p>
    <w:p w:rsidR="002C1123" w:rsidRDefault="00F22F94">
      <w:pPr>
        <w:pStyle w:val="ListParagraph"/>
        <w:numPr>
          <w:ilvl w:val="0"/>
          <w:numId w:val="93"/>
        </w:numPr>
        <w:tabs>
          <w:tab w:val="left" w:pos="776"/>
        </w:tabs>
        <w:spacing w:before="111" w:line="249" w:lineRule="auto"/>
        <w:ind w:right="36"/>
        <w:rPr>
          <w:sz w:val="20"/>
        </w:rPr>
      </w:pPr>
      <w:r>
        <w:rPr>
          <w:w w:val="95"/>
          <w:sz w:val="20"/>
        </w:rPr>
        <w:t>Acting</w:t>
      </w:r>
      <w:r>
        <w:rPr>
          <w:spacing w:val="-8"/>
          <w:w w:val="95"/>
          <w:sz w:val="20"/>
        </w:rPr>
        <w:t xml:space="preserve"> </w:t>
      </w:r>
      <w:r>
        <w:rPr>
          <w:w w:val="95"/>
          <w:sz w:val="20"/>
        </w:rPr>
        <w:t>as</w:t>
      </w:r>
      <w:r>
        <w:rPr>
          <w:spacing w:val="-8"/>
          <w:w w:val="95"/>
          <w:sz w:val="20"/>
        </w:rPr>
        <w:t xml:space="preserve"> </w:t>
      </w:r>
      <w:r>
        <w:rPr>
          <w:w w:val="95"/>
          <w:sz w:val="20"/>
        </w:rPr>
        <w:t>a</w:t>
      </w:r>
      <w:r>
        <w:rPr>
          <w:spacing w:val="-8"/>
          <w:w w:val="95"/>
          <w:sz w:val="20"/>
        </w:rPr>
        <w:t xml:space="preserve"> </w:t>
      </w:r>
      <w:r>
        <w:rPr>
          <w:w w:val="95"/>
          <w:sz w:val="20"/>
        </w:rPr>
        <w:t>catalyst</w:t>
      </w:r>
      <w:r>
        <w:rPr>
          <w:spacing w:val="-8"/>
          <w:w w:val="95"/>
          <w:sz w:val="20"/>
        </w:rPr>
        <w:t xml:space="preserve"> </w:t>
      </w:r>
      <w:r>
        <w:rPr>
          <w:w w:val="95"/>
          <w:sz w:val="20"/>
        </w:rPr>
        <w:t>for</w:t>
      </w:r>
      <w:r>
        <w:rPr>
          <w:spacing w:val="-8"/>
          <w:w w:val="95"/>
          <w:sz w:val="20"/>
        </w:rPr>
        <w:t xml:space="preserve"> </w:t>
      </w:r>
      <w:r>
        <w:rPr>
          <w:w w:val="95"/>
          <w:sz w:val="20"/>
        </w:rPr>
        <w:t>urban</w:t>
      </w:r>
      <w:r>
        <w:rPr>
          <w:spacing w:val="-8"/>
          <w:w w:val="95"/>
          <w:sz w:val="20"/>
        </w:rPr>
        <w:t xml:space="preserve"> </w:t>
      </w:r>
      <w:r>
        <w:rPr>
          <w:w w:val="95"/>
          <w:sz w:val="20"/>
        </w:rPr>
        <w:t>regeneration</w:t>
      </w:r>
      <w:r>
        <w:rPr>
          <w:spacing w:val="-8"/>
          <w:w w:val="95"/>
          <w:sz w:val="20"/>
        </w:rPr>
        <w:t xml:space="preserve"> </w:t>
      </w:r>
      <w:r>
        <w:rPr>
          <w:w w:val="95"/>
          <w:sz w:val="20"/>
        </w:rPr>
        <w:t>along</w:t>
      </w:r>
      <w:r>
        <w:rPr>
          <w:spacing w:val="-8"/>
          <w:w w:val="95"/>
          <w:sz w:val="20"/>
        </w:rPr>
        <w:t xml:space="preserve"> </w:t>
      </w:r>
      <w:r>
        <w:rPr>
          <w:w w:val="95"/>
          <w:sz w:val="20"/>
        </w:rPr>
        <w:t xml:space="preserve">key </w:t>
      </w:r>
      <w:r>
        <w:rPr>
          <w:sz w:val="20"/>
        </w:rPr>
        <w:t>corridors, particularly Parramatta Road</w:t>
      </w:r>
    </w:p>
    <w:p w:rsidR="002C1123" w:rsidRDefault="00F22F94">
      <w:pPr>
        <w:pStyle w:val="ListParagraph"/>
        <w:numPr>
          <w:ilvl w:val="0"/>
          <w:numId w:val="93"/>
        </w:numPr>
        <w:tabs>
          <w:tab w:val="left" w:pos="776"/>
        </w:tabs>
        <w:spacing w:before="102" w:line="249" w:lineRule="auto"/>
        <w:ind w:right="63"/>
        <w:rPr>
          <w:sz w:val="20"/>
        </w:rPr>
      </w:pPr>
      <w:r>
        <w:rPr>
          <w:w w:val="95"/>
          <w:sz w:val="20"/>
        </w:rPr>
        <w:t>Enhancing</w:t>
      </w:r>
      <w:r>
        <w:rPr>
          <w:spacing w:val="-1"/>
          <w:w w:val="95"/>
          <w:sz w:val="20"/>
        </w:rPr>
        <w:t xml:space="preserve"> </w:t>
      </w:r>
      <w:r>
        <w:rPr>
          <w:w w:val="95"/>
          <w:sz w:val="20"/>
        </w:rPr>
        <w:t>orbital</w:t>
      </w:r>
      <w:r>
        <w:rPr>
          <w:spacing w:val="-1"/>
          <w:w w:val="95"/>
          <w:sz w:val="20"/>
        </w:rPr>
        <w:t xml:space="preserve"> </w:t>
      </w:r>
      <w:r>
        <w:rPr>
          <w:w w:val="95"/>
          <w:sz w:val="20"/>
        </w:rPr>
        <w:t>road</w:t>
      </w:r>
      <w:r>
        <w:rPr>
          <w:spacing w:val="-1"/>
          <w:w w:val="95"/>
          <w:sz w:val="20"/>
        </w:rPr>
        <w:t xml:space="preserve"> </w:t>
      </w:r>
      <w:r>
        <w:rPr>
          <w:w w:val="95"/>
          <w:sz w:val="20"/>
        </w:rPr>
        <w:t>connectivity</w:t>
      </w:r>
      <w:r>
        <w:rPr>
          <w:spacing w:val="-1"/>
          <w:w w:val="95"/>
          <w:sz w:val="20"/>
        </w:rPr>
        <w:t xml:space="preserve"> </w:t>
      </w:r>
      <w:r>
        <w:rPr>
          <w:w w:val="95"/>
          <w:sz w:val="20"/>
        </w:rPr>
        <w:t>South</w:t>
      </w:r>
      <w:r>
        <w:rPr>
          <w:spacing w:val="-1"/>
          <w:w w:val="95"/>
          <w:sz w:val="20"/>
        </w:rPr>
        <w:t xml:space="preserve"> </w:t>
      </w:r>
      <w:r>
        <w:rPr>
          <w:w w:val="95"/>
          <w:sz w:val="20"/>
        </w:rPr>
        <w:t>and</w:t>
      </w:r>
      <w:r>
        <w:rPr>
          <w:spacing w:val="-1"/>
          <w:w w:val="95"/>
          <w:sz w:val="20"/>
        </w:rPr>
        <w:t xml:space="preserve"> </w:t>
      </w:r>
      <w:r>
        <w:rPr>
          <w:w w:val="95"/>
          <w:sz w:val="20"/>
        </w:rPr>
        <w:t xml:space="preserve">West </w:t>
      </w:r>
      <w:r>
        <w:rPr>
          <w:sz w:val="20"/>
        </w:rPr>
        <w:t>of the CBD</w:t>
      </w:r>
    </w:p>
    <w:p w:rsidR="002C1123" w:rsidRDefault="00F22F94">
      <w:pPr>
        <w:pStyle w:val="ListParagraph"/>
        <w:numPr>
          <w:ilvl w:val="0"/>
          <w:numId w:val="93"/>
        </w:numPr>
        <w:tabs>
          <w:tab w:val="left" w:pos="776"/>
        </w:tabs>
        <w:spacing w:before="102" w:line="249" w:lineRule="auto"/>
        <w:ind w:right="662"/>
        <w:rPr>
          <w:sz w:val="20"/>
        </w:rPr>
      </w:pPr>
      <w:r>
        <w:rPr>
          <w:w w:val="95"/>
          <w:sz w:val="20"/>
        </w:rPr>
        <w:t>Facilitating</w:t>
      </w:r>
      <w:r>
        <w:rPr>
          <w:spacing w:val="-3"/>
          <w:w w:val="95"/>
          <w:sz w:val="20"/>
        </w:rPr>
        <w:t xml:space="preserve"> </w:t>
      </w:r>
      <w:r>
        <w:rPr>
          <w:w w:val="95"/>
          <w:sz w:val="20"/>
        </w:rPr>
        <w:t>improvements</w:t>
      </w:r>
      <w:r>
        <w:rPr>
          <w:spacing w:val="-3"/>
          <w:w w:val="95"/>
          <w:sz w:val="20"/>
        </w:rPr>
        <w:t xml:space="preserve"> </w:t>
      </w:r>
      <w:r>
        <w:rPr>
          <w:w w:val="95"/>
          <w:sz w:val="20"/>
        </w:rPr>
        <w:t>in</w:t>
      </w:r>
      <w:r>
        <w:rPr>
          <w:spacing w:val="-3"/>
          <w:w w:val="95"/>
          <w:sz w:val="20"/>
        </w:rPr>
        <w:t xml:space="preserve"> </w:t>
      </w:r>
      <w:r>
        <w:rPr>
          <w:w w:val="95"/>
          <w:sz w:val="20"/>
        </w:rPr>
        <w:t>public</w:t>
      </w:r>
      <w:r>
        <w:rPr>
          <w:spacing w:val="-3"/>
          <w:w w:val="95"/>
          <w:sz w:val="20"/>
        </w:rPr>
        <w:t xml:space="preserve"> </w:t>
      </w:r>
      <w:r>
        <w:rPr>
          <w:w w:val="95"/>
          <w:sz w:val="20"/>
        </w:rPr>
        <w:t>transport, particularly on the Parramatta Road corridor</w:t>
      </w:r>
    </w:p>
    <w:p w:rsidR="002C1123" w:rsidRDefault="00F22F94">
      <w:pPr>
        <w:pStyle w:val="BodyText"/>
        <w:spacing w:before="115" w:line="249" w:lineRule="auto"/>
        <w:ind w:left="492"/>
      </w:pPr>
      <w:r>
        <w:rPr>
          <w:spacing w:val="-2"/>
        </w:rPr>
        <w:t>Forecast</w:t>
      </w:r>
      <w:r>
        <w:rPr>
          <w:spacing w:val="-8"/>
        </w:rPr>
        <w:t xml:space="preserve"> </w:t>
      </w:r>
      <w:r>
        <w:rPr>
          <w:spacing w:val="-2"/>
        </w:rPr>
        <w:t>travel</w:t>
      </w:r>
      <w:r>
        <w:rPr>
          <w:spacing w:val="-8"/>
        </w:rPr>
        <w:t xml:space="preserve"> </w:t>
      </w:r>
      <w:r>
        <w:rPr>
          <w:spacing w:val="-2"/>
        </w:rPr>
        <w:t>time</w:t>
      </w:r>
      <w:r>
        <w:rPr>
          <w:spacing w:val="-8"/>
        </w:rPr>
        <w:t xml:space="preserve"> </w:t>
      </w:r>
      <w:r>
        <w:rPr>
          <w:spacing w:val="-2"/>
        </w:rPr>
        <w:t>savings</w:t>
      </w:r>
      <w:r>
        <w:rPr>
          <w:spacing w:val="-8"/>
        </w:rPr>
        <w:t xml:space="preserve"> </w:t>
      </w:r>
      <w:r>
        <w:rPr>
          <w:spacing w:val="-2"/>
        </w:rPr>
        <w:t>and</w:t>
      </w:r>
      <w:r>
        <w:rPr>
          <w:spacing w:val="-8"/>
        </w:rPr>
        <w:t xml:space="preserve"> </w:t>
      </w:r>
      <w:r>
        <w:rPr>
          <w:spacing w:val="-2"/>
        </w:rPr>
        <w:t>numbers</w:t>
      </w:r>
      <w:r>
        <w:rPr>
          <w:spacing w:val="-8"/>
        </w:rPr>
        <w:t xml:space="preserve"> </w:t>
      </w:r>
      <w:r>
        <w:rPr>
          <w:spacing w:val="-2"/>
        </w:rPr>
        <w:t>of</w:t>
      </w:r>
      <w:r>
        <w:rPr>
          <w:spacing w:val="-8"/>
        </w:rPr>
        <w:t xml:space="preserve"> </w:t>
      </w:r>
      <w:r>
        <w:rPr>
          <w:spacing w:val="-2"/>
        </w:rPr>
        <w:t xml:space="preserve">traffic </w:t>
      </w:r>
      <w:r>
        <w:rPr>
          <w:w w:val="95"/>
        </w:rPr>
        <w:t>signals</w:t>
      </w:r>
      <w:r>
        <w:rPr>
          <w:spacing w:val="-5"/>
          <w:w w:val="95"/>
        </w:rPr>
        <w:t xml:space="preserve"> </w:t>
      </w:r>
      <w:r>
        <w:rPr>
          <w:w w:val="95"/>
        </w:rPr>
        <w:t>avoided</w:t>
      </w:r>
      <w:r>
        <w:rPr>
          <w:spacing w:val="-5"/>
          <w:w w:val="95"/>
        </w:rPr>
        <w:t xml:space="preserve"> </w:t>
      </w:r>
      <w:r>
        <w:rPr>
          <w:w w:val="95"/>
        </w:rPr>
        <w:t>once</w:t>
      </w:r>
      <w:r>
        <w:rPr>
          <w:spacing w:val="-5"/>
          <w:w w:val="95"/>
        </w:rPr>
        <w:t xml:space="preserve"> </w:t>
      </w:r>
      <w:r>
        <w:rPr>
          <w:w w:val="95"/>
        </w:rPr>
        <w:t>WestConnex</w:t>
      </w:r>
      <w:r>
        <w:rPr>
          <w:spacing w:val="-5"/>
          <w:w w:val="95"/>
        </w:rPr>
        <w:t xml:space="preserve"> </w:t>
      </w:r>
      <w:r>
        <w:rPr>
          <w:w w:val="95"/>
        </w:rPr>
        <w:t>is</w:t>
      </w:r>
      <w:r>
        <w:rPr>
          <w:spacing w:val="-5"/>
          <w:w w:val="95"/>
        </w:rPr>
        <w:t xml:space="preserve"> </w:t>
      </w:r>
      <w:r>
        <w:rPr>
          <w:w w:val="95"/>
        </w:rPr>
        <w:t>completed</w:t>
      </w:r>
      <w:r>
        <w:rPr>
          <w:spacing w:val="-5"/>
          <w:w w:val="95"/>
        </w:rPr>
        <w:t xml:space="preserve"> </w:t>
      </w:r>
      <w:r>
        <w:rPr>
          <w:w w:val="95"/>
        </w:rPr>
        <w:t xml:space="preserve">are </w:t>
      </w:r>
      <w:r>
        <w:t>summarised in Table 6.6.</w:t>
      </w:r>
    </w:p>
    <w:p w:rsidR="002C1123" w:rsidRDefault="00F22F94">
      <w:pPr>
        <w:pStyle w:val="BodyText"/>
        <w:spacing w:before="144" w:line="249" w:lineRule="auto"/>
        <w:ind w:left="492"/>
      </w:pPr>
      <w:r>
        <w:t>The</w:t>
      </w:r>
      <w:r>
        <w:rPr>
          <w:spacing w:val="-13"/>
        </w:rPr>
        <w:t xml:space="preserve"> </w:t>
      </w:r>
      <w:r>
        <w:t>strategic</w:t>
      </w:r>
      <w:r>
        <w:rPr>
          <w:spacing w:val="-13"/>
        </w:rPr>
        <w:t xml:space="preserve"> </w:t>
      </w:r>
      <w:r>
        <w:t>benefit-cost</w:t>
      </w:r>
      <w:r>
        <w:rPr>
          <w:spacing w:val="-13"/>
        </w:rPr>
        <w:t xml:space="preserve"> </w:t>
      </w:r>
      <w:r>
        <w:t>ratio</w:t>
      </w:r>
      <w:r>
        <w:rPr>
          <w:spacing w:val="-13"/>
        </w:rPr>
        <w:t xml:space="preserve"> </w:t>
      </w:r>
      <w:r>
        <w:t>for</w:t>
      </w:r>
      <w:r>
        <w:rPr>
          <w:spacing w:val="-13"/>
        </w:rPr>
        <w:t xml:space="preserve"> </w:t>
      </w:r>
      <w:r>
        <w:t>the</w:t>
      </w:r>
      <w:r>
        <w:rPr>
          <w:spacing w:val="-13"/>
        </w:rPr>
        <w:t xml:space="preserve"> </w:t>
      </w:r>
      <w:r>
        <w:t>WestConnex project</w:t>
      </w:r>
      <w:r>
        <w:rPr>
          <w:spacing w:val="-14"/>
        </w:rPr>
        <w:t xml:space="preserve"> </w:t>
      </w:r>
      <w:r>
        <w:t>has</w:t>
      </w:r>
      <w:r>
        <w:rPr>
          <w:spacing w:val="-14"/>
        </w:rPr>
        <w:t xml:space="preserve"> </w:t>
      </w:r>
      <w:r>
        <w:t>been</w:t>
      </w:r>
      <w:r>
        <w:rPr>
          <w:spacing w:val="-14"/>
        </w:rPr>
        <w:t xml:space="preserve"> </w:t>
      </w:r>
      <w:r>
        <w:t>assessed</w:t>
      </w:r>
      <w:r>
        <w:rPr>
          <w:spacing w:val="-14"/>
        </w:rPr>
        <w:t xml:space="preserve"> </w:t>
      </w:r>
      <w:r>
        <w:t>at</w:t>
      </w:r>
      <w:r>
        <w:rPr>
          <w:spacing w:val="-14"/>
        </w:rPr>
        <w:t xml:space="preserve"> </w:t>
      </w:r>
      <w:r>
        <w:t>more</w:t>
      </w:r>
      <w:r>
        <w:rPr>
          <w:spacing w:val="-13"/>
        </w:rPr>
        <w:t xml:space="preserve"> </w:t>
      </w:r>
      <w:r>
        <w:t>than</w:t>
      </w:r>
      <w:r>
        <w:rPr>
          <w:spacing w:val="-14"/>
        </w:rPr>
        <w:t xml:space="preserve"> </w:t>
      </w:r>
      <w:r>
        <w:t>1.5.</w:t>
      </w:r>
      <w:r>
        <w:rPr>
          <w:spacing w:val="-14"/>
        </w:rPr>
        <w:t xml:space="preserve"> </w:t>
      </w:r>
      <w:r>
        <w:t>This</w:t>
      </w:r>
      <w:r>
        <w:rPr>
          <w:spacing w:val="-14"/>
        </w:rPr>
        <w:t xml:space="preserve"> </w:t>
      </w:r>
      <w:r>
        <w:t>is</w:t>
      </w:r>
      <w:r>
        <w:rPr>
          <w:spacing w:val="-14"/>
        </w:rPr>
        <w:t xml:space="preserve"> </w:t>
      </w:r>
      <w:r>
        <w:t>a traffic</w:t>
      </w:r>
      <w:r>
        <w:rPr>
          <w:spacing w:val="-11"/>
        </w:rPr>
        <w:t xml:space="preserve"> </w:t>
      </w:r>
      <w:r>
        <w:t>benefit-cost</w:t>
      </w:r>
      <w:r>
        <w:rPr>
          <w:spacing w:val="-11"/>
        </w:rPr>
        <w:t xml:space="preserve"> </w:t>
      </w:r>
      <w:r>
        <w:t>ratio</w:t>
      </w:r>
      <w:r>
        <w:rPr>
          <w:spacing w:val="-11"/>
        </w:rPr>
        <w:t xml:space="preserve"> </w:t>
      </w:r>
      <w:r>
        <w:t>that</w:t>
      </w:r>
      <w:r>
        <w:rPr>
          <w:spacing w:val="-11"/>
        </w:rPr>
        <w:t xml:space="preserve"> </w:t>
      </w:r>
      <w:r>
        <w:t>excludes</w:t>
      </w:r>
      <w:r>
        <w:rPr>
          <w:spacing w:val="-11"/>
        </w:rPr>
        <w:t xml:space="preserve"> </w:t>
      </w:r>
      <w:r>
        <w:t>consideration</w:t>
      </w:r>
      <w:r>
        <w:rPr>
          <w:spacing w:val="-11"/>
        </w:rPr>
        <w:t xml:space="preserve"> </w:t>
      </w:r>
      <w:r>
        <w:t xml:space="preserve">of </w:t>
      </w:r>
      <w:r>
        <w:rPr>
          <w:w w:val="95"/>
        </w:rPr>
        <w:t>wider</w:t>
      </w:r>
      <w:r>
        <w:rPr>
          <w:spacing w:val="-8"/>
          <w:w w:val="95"/>
        </w:rPr>
        <w:t xml:space="preserve"> </w:t>
      </w:r>
      <w:r>
        <w:rPr>
          <w:w w:val="95"/>
        </w:rPr>
        <w:t>benefits</w:t>
      </w:r>
      <w:r>
        <w:rPr>
          <w:spacing w:val="-8"/>
          <w:w w:val="95"/>
        </w:rPr>
        <w:t xml:space="preserve"> </w:t>
      </w:r>
      <w:r>
        <w:rPr>
          <w:w w:val="95"/>
        </w:rPr>
        <w:t>such</w:t>
      </w:r>
      <w:r>
        <w:rPr>
          <w:spacing w:val="-8"/>
          <w:w w:val="95"/>
        </w:rPr>
        <w:t xml:space="preserve"> </w:t>
      </w:r>
      <w:r>
        <w:rPr>
          <w:w w:val="95"/>
        </w:rPr>
        <w:t>as</w:t>
      </w:r>
      <w:r>
        <w:rPr>
          <w:spacing w:val="-8"/>
          <w:w w:val="95"/>
        </w:rPr>
        <w:t xml:space="preserve"> </w:t>
      </w:r>
      <w:r>
        <w:rPr>
          <w:w w:val="95"/>
        </w:rPr>
        <w:t>urban</w:t>
      </w:r>
      <w:r>
        <w:rPr>
          <w:spacing w:val="-8"/>
          <w:w w:val="95"/>
        </w:rPr>
        <w:t xml:space="preserve"> </w:t>
      </w:r>
      <w:r>
        <w:rPr>
          <w:w w:val="95"/>
        </w:rPr>
        <w:t>regeneration.</w:t>
      </w:r>
      <w:r>
        <w:rPr>
          <w:spacing w:val="-8"/>
          <w:w w:val="95"/>
        </w:rPr>
        <w:t xml:space="preserve"> </w:t>
      </w:r>
      <w:r>
        <w:rPr>
          <w:w w:val="95"/>
        </w:rPr>
        <w:t>This</w:t>
      </w:r>
      <w:r>
        <w:rPr>
          <w:spacing w:val="-8"/>
          <w:w w:val="95"/>
        </w:rPr>
        <w:t xml:space="preserve"> </w:t>
      </w:r>
      <w:r>
        <w:rPr>
          <w:w w:val="95"/>
        </w:rPr>
        <w:t>is</w:t>
      </w:r>
      <w:r>
        <w:rPr>
          <w:spacing w:val="-8"/>
          <w:w w:val="95"/>
        </w:rPr>
        <w:t xml:space="preserve"> </w:t>
      </w:r>
      <w:r>
        <w:rPr>
          <w:w w:val="95"/>
        </w:rPr>
        <w:t>a</w:t>
      </w:r>
      <w:r>
        <w:rPr>
          <w:spacing w:val="-8"/>
          <w:w w:val="95"/>
        </w:rPr>
        <w:t xml:space="preserve"> </w:t>
      </w:r>
      <w:r>
        <w:rPr>
          <w:w w:val="95"/>
        </w:rPr>
        <w:t>high return</w:t>
      </w:r>
      <w:r>
        <w:rPr>
          <w:spacing w:val="-2"/>
          <w:w w:val="95"/>
        </w:rPr>
        <w:t xml:space="preserve"> </w:t>
      </w:r>
      <w:r>
        <w:rPr>
          <w:w w:val="95"/>
        </w:rPr>
        <w:t>for</w:t>
      </w:r>
      <w:r>
        <w:rPr>
          <w:spacing w:val="-2"/>
          <w:w w:val="95"/>
        </w:rPr>
        <w:t xml:space="preserve"> </w:t>
      </w:r>
      <w:r>
        <w:rPr>
          <w:w w:val="95"/>
        </w:rPr>
        <w:t>a</w:t>
      </w:r>
      <w:r>
        <w:rPr>
          <w:spacing w:val="-2"/>
          <w:w w:val="95"/>
        </w:rPr>
        <w:t xml:space="preserve"> </w:t>
      </w:r>
      <w:r>
        <w:rPr>
          <w:w w:val="95"/>
        </w:rPr>
        <w:t>major</w:t>
      </w:r>
      <w:r>
        <w:rPr>
          <w:spacing w:val="-2"/>
          <w:w w:val="95"/>
        </w:rPr>
        <w:t xml:space="preserve"> </w:t>
      </w:r>
      <w:r>
        <w:rPr>
          <w:w w:val="95"/>
        </w:rPr>
        <w:t>transport</w:t>
      </w:r>
      <w:r>
        <w:rPr>
          <w:spacing w:val="-2"/>
          <w:w w:val="95"/>
        </w:rPr>
        <w:t xml:space="preserve"> </w:t>
      </w:r>
      <w:r>
        <w:rPr>
          <w:w w:val="95"/>
        </w:rPr>
        <w:t>investment</w:t>
      </w:r>
      <w:r>
        <w:rPr>
          <w:spacing w:val="-2"/>
          <w:w w:val="95"/>
        </w:rPr>
        <w:t xml:space="preserve"> </w:t>
      </w:r>
      <w:r>
        <w:rPr>
          <w:w w:val="95"/>
        </w:rPr>
        <w:t>in</w:t>
      </w:r>
      <w:r>
        <w:rPr>
          <w:spacing w:val="-2"/>
          <w:w w:val="95"/>
        </w:rPr>
        <w:t xml:space="preserve"> </w:t>
      </w:r>
      <w:r>
        <w:rPr>
          <w:w w:val="95"/>
        </w:rPr>
        <w:t>an</w:t>
      </w:r>
      <w:r>
        <w:rPr>
          <w:spacing w:val="-2"/>
          <w:w w:val="95"/>
        </w:rPr>
        <w:t xml:space="preserve"> </w:t>
      </w:r>
      <w:r>
        <w:rPr>
          <w:w w:val="95"/>
        </w:rPr>
        <w:t>inner</w:t>
      </w:r>
      <w:r>
        <w:rPr>
          <w:spacing w:val="-2"/>
          <w:w w:val="95"/>
        </w:rPr>
        <w:t xml:space="preserve"> </w:t>
      </w:r>
      <w:r>
        <w:rPr>
          <w:w w:val="95"/>
        </w:rPr>
        <w:t xml:space="preserve">urban </w:t>
      </w:r>
      <w:r>
        <w:rPr>
          <w:spacing w:val="-2"/>
        </w:rPr>
        <w:t>environment.</w:t>
      </w:r>
      <w:r>
        <w:rPr>
          <w:spacing w:val="-6"/>
        </w:rPr>
        <w:t xml:space="preserve"> </w:t>
      </w:r>
      <w:r>
        <w:rPr>
          <w:spacing w:val="-2"/>
        </w:rPr>
        <w:t>It</w:t>
      </w:r>
      <w:r>
        <w:rPr>
          <w:spacing w:val="-6"/>
        </w:rPr>
        <w:t xml:space="preserve"> </w:t>
      </w:r>
      <w:r>
        <w:rPr>
          <w:spacing w:val="-2"/>
        </w:rPr>
        <w:t>reflects</w:t>
      </w:r>
      <w:r>
        <w:rPr>
          <w:spacing w:val="-6"/>
        </w:rPr>
        <w:t xml:space="preserve"> </w:t>
      </w:r>
      <w:r>
        <w:rPr>
          <w:spacing w:val="-2"/>
        </w:rPr>
        <w:t>the</w:t>
      </w:r>
      <w:r>
        <w:rPr>
          <w:spacing w:val="-6"/>
        </w:rPr>
        <w:t xml:space="preserve"> </w:t>
      </w:r>
      <w:r>
        <w:rPr>
          <w:spacing w:val="-2"/>
        </w:rPr>
        <w:t>high</w:t>
      </w:r>
      <w:r>
        <w:rPr>
          <w:spacing w:val="-6"/>
        </w:rPr>
        <w:t xml:space="preserve"> </w:t>
      </w:r>
      <w:r>
        <w:rPr>
          <w:spacing w:val="-2"/>
        </w:rPr>
        <w:t>levels</w:t>
      </w:r>
      <w:r>
        <w:rPr>
          <w:spacing w:val="-6"/>
        </w:rPr>
        <w:t xml:space="preserve"> </w:t>
      </w:r>
      <w:r>
        <w:rPr>
          <w:spacing w:val="-2"/>
        </w:rPr>
        <w:t>of</w:t>
      </w:r>
      <w:r>
        <w:rPr>
          <w:spacing w:val="-6"/>
        </w:rPr>
        <w:t xml:space="preserve"> </w:t>
      </w:r>
      <w:r>
        <w:rPr>
          <w:spacing w:val="-2"/>
        </w:rPr>
        <w:t>existing</w:t>
      </w:r>
    </w:p>
    <w:p w:rsidR="002C1123" w:rsidRDefault="00F22F94">
      <w:pPr>
        <w:pStyle w:val="BodyText"/>
        <w:spacing w:before="122" w:line="249" w:lineRule="auto"/>
        <w:ind w:left="254"/>
      </w:pPr>
      <w:r>
        <w:br w:type="column"/>
      </w:r>
      <w:r>
        <w:rPr>
          <w:w w:val="95"/>
        </w:rPr>
        <w:t>utilisation</w:t>
      </w:r>
      <w:r>
        <w:rPr>
          <w:spacing w:val="-8"/>
          <w:w w:val="95"/>
        </w:rPr>
        <w:t xml:space="preserve"> </w:t>
      </w:r>
      <w:r>
        <w:rPr>
          <w:w w:val="95"/>
        </w:rPr>
        <w:t>of</w:t>
      </w:r>
      <w:r>
        <w:rPr>
          <w:spacing w:val="-8"/>
          <w:w w:val="95"/>
        </w:rPr>
        <w:t xml:space="preserve"> </w:t>
      </w:r>
      <w:r>
        <w:rPr>
          <w:w w:val="95"/>
        </w:rPr>
        <w:t>these</w:t>
      </w:r>
      <w:r>
        <w:rPr>
          <w:spacing w:val="-8"/>
          <w:w w:val="95"/>
        </w:rPr>
        <w:t xml:space="preserve"> </w:t>
      </w:r>
      <w:r>
        <w:rPr>
          <w:w w:val="95"/>
        </w:rPr>
        <w:t>roads</w:t>
      </w:r>
      <w:r>
        <w:rPr>
          <w:spacing w:val="-8"/>
          <w:w w:val="95"/>
        </w:rPr>
        <w:t xml:space="preserve"> </w:t>
      </w:r>
      <w:r>
        <w:rPr>
          <w:w w:val="95"/>
        </w:rPr>
        <w:t>and</w:t>
      </w:r>
      <w:r>
        <w:rPr>
          <w:spacing w:val="-8"/>
          <w:w w:val="95"/>
        </w:rPr>
        <w:t xml:space="preserve"> </w:t>
      </w:r>
      <w:r>
        <w:rPr>
          <w:w w:val="95"/>
        </w:rPr>
        <w:t>the</w:t>
      </w:r>
      <w:r>
        <w:rPr>
          <w:spacing w:val="-8"/>
          <w:w w:val="95"/>
        </w:rPr>
        <w:t xml:space="preserve"> </w:t>
      </w:r>
      <w:r>
        <w:rPr>
          <w:w w:val="95"/>
        </w:rPr>
        <w:t>significant</w:t>
      </w:r>
      <w:r>
        <w:rPr>
          <w:spacing w:val="-8"/>
          <w:w w:val="95"/>
        </w:rPr>
        <w:t xml:space="preserve"> </w:t>
      </w:r>
      <w:r>
        <w:rPr>
          <w:w w:val="95"/>
        </w:rPr>
        <w:t>journey</w:t>
      </w:r>
      <w:r>
        <w:rPr>
          <w:spacing w:val="-8"/>
          <w:w w:val="95"/>
        </w:rPr>
        <w:t xml:space="preserve"> </w:t>
      </w:r>
      <w:r>
        <w:rPr>
          <w:w w:val="95"/>
        </w:rPr>
        <w:t xml:space="preserve">time </w:t>
      </w:r>
      <w:r>
        <w:t>savings</w:t>
      </w:r>
      <w:r>
        <w:rPr>
          <w:spacing w:val="-6"/>
        </w:rPr>
        <w:t xml:space="preserve"> </w:t>
      </w:r>
      <w:r>
        <w:t>that</w:t>
      </w:r>
      <w:r>
        <w:rPr>
          <w:spacing w:val="-6"/>
        </w:rPr>
        <w:t xml:space="preserve"> </w:t>
      </w:r>
      <w:r>
        <w:t>WestConnex</w:t>
      </w:r>
      <w:r>
        <w:rPr>
          <w:spacing w:val="-6"/>
        </w:rPr>
        <w:t xml:space="preserve"> </w:t>
      </w:r>
      <w:r>
        <w:t>would</w:t>
      </w:r>
      <w:r>
        <w:rPr>
          <w:spacing w:val="-6"/>
        </w:rPr>
        <w:t xml:space="preserve"> </w:t>
      </w:r>
      <w:r>
        <w:t>offer.</w:t>
      </w:r>
    </w:p>
    <w:p w:rsidR="002C1123" w:rsidRDefault="00F22F94">
      <w:pPr>
        <w:pStyle w:val="Heading6"/>
        <w:numPr>
          <w:ilvl w:val="2"/>
          <w:numId w:val="97"/>
        </w:numPr>
        <w:tabs>
          <w:tab w:val="left" w:pos="741"/>
        </w:tabs>
        <w:spacing w:before="144"/>
        <w:ind w:left="740" w:hanging="487"/>
        <w:jc w:val="left"/>
      </w:pPr>
      <w:r>
        <w:rPr>
          <w:color w:val="00AEEF"/>
          <w:w w:val="95"/>
        </w:rPr>
        <w:t>Design</w:t>
      </w:r>
      <w:r>
        <w:rPr>
          <w:color w:val="00AEEF"/>
          <w:spacing w:val="6"/>
        </w:rPr>
        <w:t xml:space="preserve"> </w:t>
      </w:r>
      <w:r>
        <w:rPr>
          <w:color w:val="00AEEF"/>
          <w:spacing w:val="-2"/>
        </w:rPr>
        <w:t>Considerations</w:t>
      </w:r>
    </w:p>
    <w:p w:rsidR="002C1123" w:rsidRDefault="00F22F94">
      <w:pPr>
        <w:pStyle w:val="BodyText"/>
        <w:spacing w:before="95" w:line="249" w:lineRule="auto"/>
        <w:ind w:left="254"/>
      </w:pPr>
      <w:r>
        <w:rPr>
          <w:w w:val="95"/>
        </w:rPr>
        <w:t>Infrastructure</w:t>
      </w:r>
      <w:r>
        <w:rPr>
          <w:spacing w:val="-7"/>
          <w:w w:val="95"/>
        </w:rPr>
        <w:t xml:space="preserve"> </w:t>
      </w:r>
      <w:r>
        <w:rPr>
          <w:w w:val="95"/>
        </w:rPr>
        <w:t>NSW,</w:t>
      </w:r>
      <w:r>
        <w:rPr>
          <w:spacing w:val="-7"/>
          <w:w w:val="95"/>
        </w:rPr>
        <w:t xml:space="preserve"> </w:t>
      </w:r>
      <w:r>
        <w:rPr>
          <w:w w:val="95"/>
        </w:rPr>
        <w:t>RMS</w:t>
      </w:r>
      <w:r>
        <w:rPr>
          <w:spacing w:val="-7"/>
          <w:w w:val="95"/>
        </w:rPr>
        <w:t xml:space="preserve"> </w:t>
      </w:r>
      <w:r>
        <w:rPr>
          <w:w w:val="95"/>
        </w:rPr>
        <w:t>and</w:t>
      </w:r>
      <w:r>
        <w:rPr>
          <w:spacing w:val="-7"/>
          <w:w w:val="95"/>
        </w:rPr>
        <w:t xml:space="preserve"> </w:t>
      </w:r>
      <w:r>
        <w:rPr>
          <w:w w:val="95"/>
        </w:rPr>
        <w:t>Transport</w:t>
      </w:r>
      <w:r>
        <w:rPr>
          <w:spacing w:val="-7"/>
          <w:w w:val="95"/>
        </w:rPr>
        <w:t xml:space="preserve"> </w:t>
      </w:r>
      <w:r>
        <w:rPr>
          <w:w w:val="95"/>
        </w:rPr>
        <w:t>for</w:t>
      </w:r>
      <w:r>
        <w:rPr>
          <w:spacing w:val="-7"/>
          <w:w w:val="95"/>
        </w:rPr>
        <w:t xml:space="preserve"> </w:t>
      </w:r>
      <w:r>
        <w:rPr>
          <w:w w:val="95"/>
        </w:rPr>
        <w:t>NSW</w:t>
      </w:r>
      <w:r>
        <w:rPr>
          <w:spacing w:val="-7"/>
          <w:w w:val="95"/>
        </w:rPr>
        <w:t xml:space="preserve"> </w:t>
      </w:r>
      <w:r>
        <w:rPr>
          <w:w w:val="95"/>
        </w:rPr>
        <w:t xml:space="preserve">have </w:t>
      </w:r>
      <w:r>
        <w:rPr>
          <w:w w:val="90"/>
        </w:rPr>
        <w:t xml:space="preserve">identified opportunities for improving value for money and tailoring WestConnex more effectively to user needs than </w:t>
      </w:r>
      <w:r>
        <w:t>previous</w:t>
      </w:r>
      <w:r>
        <w:rPr>
          <w:spacing w:val="-7"/>
        </w:rPr>
        <w:t xml:space="preserve"> </w:t>
      </w:r>
      <w:r>
        <w:t>proposals</w:t>
      </w:r>
      <w:r>
        <w:rPr>
          <w:spacing w:val="-7"/>
        </w:rPr>
        <w:t xml:space="preserve"> </w:t>
      </w:r>
      <w:r>
        <w:t>through:</w:t>
      </w:r>
    </w:p>
    <w:p w:rsidR="002C1123" w:rsidRDefault="00F22F94">
      <w:pPr>
        <w:pStyle w:val="ListParagraph"/>
        <w:numPr>
          <w:ilvl w:val="3"/>
          <w:numId w:val="97"/>
        </w:numPr>
        <w:tabs>
          <w:tab w:val="left" w:pos="538"/>
        </w:tabs>
        <w:spacing w:before="104" w:line="249" w:lineRule="auto"/>
        <w:ind w:left="537"/>
        <w:rPr>
          <w:sz w:val="20"/>
        </w:rPr>
      </w:pPr>
      <w:r>
        <w:rPr>
          <w:sz w:val="20"/>
        </w:rPr>
        <w:t>reducing</w:t>
      </w:r>
      <w:r>
        <w:rPr>
          <w:spacing w:val="-7"/>
          <w:sz w:val="20"/>
        </w:rPr>
        <w:t xml:space="preserve"> </w:t>
      </w:r>
      <w:r>
        <w:rPr>
          <w:sz w:val="20"/>
        </w:rPr>
        <w:t>the</w:t>
      </w:r>
      <w:r>
        <w:rPr>
          <w:spacing w:val="-7"/>
          <w:sz w:val="20"/>
        </w:rPr>
        <w:t xml:space="preserve"> </w:t>
      </w:r>
      <w:r>
        <w:rPr>
          <w:sz w:val="20"/>
        </w:rPr>
        <w:t>amount</w:t>
      </w:r>
      <w:r>
        <w:rPr>
          <w:spacing w:val="-7"/>
          <w:sz w:val="20"/>
        </w:rPr>
        <w:t xml:space="preserve"> </w:t>
      </w:r>
      <w:r>
        <w:rPr>
          <w:sz w:val="20"/>
        </w:rPr>
        <w:t>of</w:t>
      </w:r>
      <w:r>
        <w:rPr>
          <w:spacing w:val="-7"/>
          <w:sz w:val="20"/>
        </w:rPr>
        <w:t xml:space="preserve"> </w:t>
      </w:r>
      <w:r>
        <w:rPr>
          <w:sz w:val="20"/>
        </w:rPr>
        <w:t>deep</w:t>
      </w:r>
      <w:r>
        <w:rPr>
          <w:spacing w:val="-7"/>
          <w:sz w:val="20"/>
        </w:rPr>
        <w:t xml:space="preserve"> </w:t>
      </w:r>
      <w:r>
        <w:rPr>
          <w:sz w:val="20"/>
        </w:rPr>
        <w:t>tunnelling,</w:t>
      </w:r>
      <w:r>
        <w:rPr>
          <w:spacing w:val="-7"/>
          <w:sz w:val="20"/>
        </w:rPr>
        <w:t xml:space="preserve"> </w:t>
      </w:r>
      <w:r>
        <w:rPr>
          <w:sz w:val="20"/>
        </w:rPr>
        <w:t>which</w:t>
      </w:r>
      <w:r>
        <w:rPr>
          <w:spacing w:val="-7"/>
          <w:sz w:val="20"/>
        </w:rPr>
        <w:t xml:space="preserve"> </w:t>
      </w:r>
      <w:r>
        <w:rPr>
          <w:sz w:val="20"/>
        </w:rPr>
        <w:t xml:space="preserve">is </w:t>
      </w:r>
      <w:r>
        <w:rPr>
          <w:w w:val="95"/>
          <w:sz w:val="20"/>
        </w:rPr>
        <w:t xml:space="preserve">expensive and reduces opportunities for connectivity </w:t>
      </w:r>
      <w:r>
        <w:rPr>
          <w:sz w:val="20"/>
        </w:rPr>
        <w:t>with</w:t>
      </w:r>
      <w:r>
        <w:rPr>
          <w:spacing w:val="-13"/>
          <w:sz w:val="20"/>
        </w:rPr>
        <w:t xml:space="preserve"> </w:t>
      </w:r>
      <w:r>
        <w:rPr>
          <w:sz w:val="20"/>
        </w:rPr>
        <w:t>the</w:t>
      </w:r>
      <w:r>
        <w:rPr>
          <w:spacing w:val="-13"/>
          <w:sz w:val="20"/>
        </w:rPr>
        <w:t xml:space="preserve"> </w:t>
      </w:r>
      <w:r>
        <w:rPr>
          <w:sz w:val="20"/>
        </w:rPr>
        <w:t>legacy</w:t>
      </w:r>
      <w:r>
        <w:rPr>
          <w:spacing w:val="-13"/>
          <w:sz w:val="20"/>
        </w:rPr>
        <w:t xml:space="preserve"> </w:t>
      </w:r>
      <w:r>
        <w:rPr>
          <w:sz w:val="20"/>
        </w:rPr>
        <w:t>road</w:t>
      </w:r>
      <w:r>
        <w:rPr>
          <w:spacing w:val="-13"/>
          <w:sz w:val="20"/>
        </w:rPr>
        <w:t xml:space="preserve"> </w:t>
      </w:r>
      <w:r>
        <w:rPr>
          <w:sz w:val="20"/>
        </w:rPr>
        <w:t>network.</w:t>
      </w:r>
      <w:r>
        <w:rPr>
          <w:spacing w:val="-13"/>
          <w:sz w:val="20"/>
        </w:rPr>
        <w:t xml:space="preserve"> </w:t>
      </w:r>
      <w:r>
        <w:rPr>
          <w:sz w:val="20"/>
        </w:rPr>
        <w:t>The</w:t>
      </w:r>
      <w:r>
        <w:rPr>
          <w:spacing w:val="-13"/>
          <w:sz w:val="20"/>
        </w:rPr>
        <w:t xml:space="preserve"> </w:t>
      </w:r>
      <w:r>
        <w:rPr>
          <w:sz w:val="20"/>
        </w:rPr>
        <w:t>proposed</w:t>
      </w:r>
      <w:r>
        <w:rPr>
          <w:spacing w:val="-13"/>
          <w:sz w:val="20"/>
        </w:rPr>
        <w:t xml:space="preserve"> </w:t>
      </w:r>
      <w:r>
        <w:rPr>
          <w:sz w:val="20"/>
        </w:rPr>
        <w:t xml:space="preserve">design </w:t>
      </w:r>
      <w:r>
        <w:rPr>
          <w:w w:val="95"/>
          <w:sz w:val="20"/>
        </w:rPr>
        <w:t>includes</w:t>
      </w:r>
      <w:r>
        <w:rPr>
          <w:spacing w:val="-3"/>
          <w:w w:val="95"/>
          <w:sz w:val="20"/>
        </w:rPr>
        <w:t xml:space="preserve"> </w:t>
      </w:r>
      <w:r>
        <w:rPr>
          <w:w w:val="95"/>
          <w:sz w:val="20"/>
        </w:rPr>
        <w:t>elements</w:t>
      </w:r>
      <w:r>
        <w:rPr>
          <w:spacing w:val="-3"/>
          <w:w w:val="95"/>
          <w:sz w:val="20"/>
        </w:rPr>
        <w:t xml:space="preserve"> </w:t>
      </w:r>
      <w:r>
        <w:rPr>
          <w:w w:val="95"/>
          <w:sz w:val="20"/>
        </w:rPr>
        <w:t>of</w:t>
      </w:r>
      <w:r>
        <w:rPr>
          <w:spacing w:val="-3"/>
          <w:w w:val="95"/>
          <w:sz w:val="20"/>
        </w:rPr>
        <w:t xml:space="preserve"> </w:t>
      </w:r>
      <w:r>
        <w:rPr>
          <w:w w:val="95"/>
          <w:sz w:val="20"/>
        </w:rPr>
        <w:t>slotting</w:t>
      </w:r>
      <w:r>
        <w:rPr>
          <w:spacing w:val="-3"/>
          <w:w w:val="95"/>
          <w:sz w:val="20"/>
        </w:rPr>
        <w:t xml:space="preserve"> </w:t>
      </w:r>
      <w:r>
        <w:rPr>
          <w:w w:val="95"/>
          <w:sz w:val="20"/>
        </w:rPr>
        <w:t>and</w:t>
      </w:r>
      <w:r>
        <w:rPr>
          <w:spacing w:val="-3"/>
          <w:w w:val="95"/>
          <w:sz w:val="20"/>
        </w:rPr>
        <w:t xml:space="preserve"> </w:t>
      </w:r>
      <w:r>
        <w:rPr>
          <w:w w:val="95"/>
          <w:sz w:val="20"/>
        </w:rPr>
        <w:t>surface</w:t>
      </w:r>
      <w:r>
        <w:rPr>
          <w:spacing w:val="-3"/>
          <w:w w:val="95"/>
          <w:sz w:val="20"/>
        </w:rPr>
        <w:t xml:space="preserve"> </w:t>
      </w:r>
      <w:r>
        <w:rPr>
          <w:w w:val="95"/>
          <w:sz w:val="20"/>
        </w:rPr>
        <w:t>grade</w:t>
      </w:r>
      <w:r>
        <w:rPr>
          <w:spacing w:val="-3"/>
          <w:w w:val="95"/>
          <w:sz w:val="20"/>
        </w:rPr>
        <w:t xml:space="preserve"> </w:t>
      </w:r>
      <w:r>
        <w:rPr>
          <w:w w:val="95"/>
          <w:sz w:val="20"/>
        </w:rPr>
        <w:t xml:space="preserve">road, </w:t>
      </w:r>
      <w:r>
        <w:rPr>
          <w:sz w:val="20"/>
        </w:rPr>
        <w:t>as well as shorter tunnels.</w:t>
      </w:r>
    </w:p>
    <w:p w:rsidR="002C1123" w:rsidRDefault="00F22F94">
      <w:pPr>
        <w:pStyle w:val="ListParagraph"/>
        <w:numPr>
          <w:ilvl w:val="3"/>
          <w:numId w:val="97"/>
        </w:numPr>
        <w:tabs>
          <w:tab w:val="left" w:pos="538"/>
        </w:tabs>
        <w:spacing w:before="105" w:line="249" w:lineRule="auto"/>
        <w:ind w:left="537" w:right="216"/>
        <w:rPr>
          <w:sz w:val="20"/>
        </w:rPr>
      </w:pPr>
      <w:r>
        <w:rPr>
          <w:sz w:val="20"/>
        </w:rPr>
        <w:t>optimising</w:t>
      </w:r>
      <w:r>
        <w:rPr>
          <w:spacing w:val="-14"/>
          <w:sz w:val="20"/>
        </w:rPr>
        <w:t xml:space="preserve"> </w:t>
      </w:r>
      <w:r>
        <w:rPr>
          <w:sz w:val="20"/>
        </w:rPr>
        <w:t>connection</w:t>
      </w:r>
      <w:r>
        <w:rPr>
          <w:spacing w:val="-14"/>
          <w:sz w:val="20"/>
        </w:rPr>
        <w:t xml:space="preserve"> </w:t>
      </w:r>
      <w:r>
        <w:rPr>
          <w:sz w:val="20"/>
        </w:rPr>
        <w:t>points</w:t>
      </w:r>
      <w:r>
        <w:rPr>
          <w:spacing w:val="-14"/>
          <w:sz w:val="20"/>
        </w:rPr>
        <w:t xml:space="preserve"> </w:t>
      </w:r>
      <w:r>
        <w:rPr>
          <w:sz w:val="20"/>
        </w:rPr>
        <w:t>to</w:t>
      </w:r>
      <w:r>
        <w:rPr>
          <w:spacing w:val="-14"/>
          <w:sz w:val="20"/>
        </w:rPr>
        <w:t xml:space="preserve"> </w:t>
      </w:r>
      <w:r>
        <w:rPr>
          <w:sz w:val="20"/>
        </w:rPr>
        <w:t>address</w:t>
      </w:r>
      <w:r>
        <w:rPr>
          <w:spacing w:val="-14"/>
          <w:sz w:val="20"/>
        </w:rPr>
        <w:t xml:space="preserve"> </w:t>
      </w:r>
      <w:r>
        <w:rPr>
          <w:sz w:val="20"/>
        </w:rPr>
        <w:t>as</w:t>
      </w:r>
      <w:r>
        <w:rPr>
          <w:spacing w:val="-14"/>
          <w:sz w:val="20"/>
        </w:rPr>
        <w:t xml:space="preserve"> </w:t>
      </w:r>
      <w:r>
        <w:rPr>
          <w:sz w:val="20"/>
        </w:rPr>
        <w:t xml:space="preserve">much </w:t>
      </w:r>
      <w:r>
        <w:rPr>
          <w:w w:val="95"/>
          <w:sz w:val="20"/>
        </w:rPr>
        <w:t>potential</w:t>
      </w:r>
      <w:r>
        <w:rPr>
          <w:spacing w:val="-1"/>
          <w:w w:val="95"/>
          <w:sz w:val="20"/>
        </w:rPr>
        <w:t xml:space="preserve"> </w:t>
      </w:r>
      <w:r>
        <w:rPr>
          <w:w w:val="95"/>
          <w:sz w:val="20"/>
        </w:rPr>
        <w:t>demand</w:t>
      </w:r>
      <w:r>
        <w:rPr>
          <w:spacing w:val="-1"/>
          <w:w w:val="95"/>
          <w:sz w:val="20"/>
        </w:rPr>
        <w:t xml:space="preserve"> </w:t>
      </w:r>
      <w:r>
        <w:rPr>
          <w:w w:val="95"/>
          <w:sz w:val="20"/>
        </w:rPr>
        <w:t>as</w:t>
      </w:r>
      <w:r>
        <w:rPr>
          <w:spacing w:val="-1"/>
          <w:w w:val="95"/>
          <w:sz w:val="20"/>
        </w:rPr>
        <w:t xml:space="preserve"> </w:t>
      </w:r>
      <w:r>
        <w:rPr>
          <w:w w:val="95"/>
          <w:sz w:val="20"/>
        </w:rPr>
        <w:t>possible,</w:t>
      </w:r>
      <w:r>
        <w:rPr>
          <w:spacing w:val="-1"/>
          <w:w w:val="95"/>
          <w:sz w:val="20"/>
        </w:rPr>
        <w:t xml:space="preserve"> </w:t>
      </w:r>
      <w:r>
        <w:rPr>
          <w:w w:val="95"/>
          <w:sz w:val="20"/>
        </w:rPr>
        <w:t>and</w:t>
      </w:r>
      <w:r>
        <w:rPr>
          <w:spacing w:val="-1"/>
          <w:w w:val="95"/>
          <w:sz w:val="20"/>
        </w:rPr>
        <w:t xml:space="preserve"> </w:t>
      </w:r>
      <w:r>
        <w:rPr>
          <w:w w:val="95"/>
          <w:sz w:val="20"/>
        </w:rPr>
        <w:t>distribute</w:t>
      </w:r>
      <w:r>
        <w:rPr>
          <w:spacing w:val="-1"/>
          <w:w w:val="95"/>
          <w:sz w:val="20"/>
        </w:rPr>
        <w:t xml:space="preserve"> </w:t>
      </w:r>
      <w:r>
        <w:rPr>
          <w:w w:val="95"/>
          <w:sz w:val="20"/>
        </w:rPr>
        <w:t xml:space="preserve">traffic </w:t>
      </w:r>
      <w:r>
        <w:rPr>
          <w:sz w:val="20"/>
        </w:rPr>
        <w:t>efficiently</w:t>
      </w:r>
      <w:r>
        <w:rPr>
          <w:spacing w:val="-5"/>
          <w:sz w:val="20"/>
        </w:rPr>
        <w:t xml:space="preserve"> </w:t>
      </w:r>
      <w:r>
        <w:rPr>
          <w:sz w:val="20"/>
        </w:rPr>
        <w:t>across</w:t>
      </w:r>
      <w:r>
        <w:rPr>
          <w:spacing w:val="-5"/>
          <w:sz w:val="20"/>
        </w:rPr>
        <w:t xml:space="preserve"> </w:t>
      </w:r>
      <w:r>
        <w:rPr>
          <w:sz w:val="20"/>
        </w:rPr>
        <w:t>the</w:t>
      </w:r>
      <w:r>
        <w:rPr>
          <w:spacing w:val="-5"/>
          <w:sz w:val="20"/>
        </w:rPr>
        <w:t xml:space="preserve"> </w:t>
      </w:r>
      <w:r>
        <w:rPr>
          <w:sz w:val="20"/>
        </w:rPr>
        <w:t>legacy</w:t>
      </w:r>
      <w:r>
        <w:rPr>
          <w:spacing w:val="-5"/>
          <w:sz w:val="20"/>
        </w:rPr>
        <w:t xml:space="preserve"> </w:t>
      </w:r>
      <w:r>
        <w:rPr>
          <w:sz w:val="20"/>
        </w:rPr>
        <w:t>road</w:t>
      </w:r>
      <w:r>
        <w:rPr>
          <w:spacing w:val="-5"/>
          <w:sz w:val="20"/>
        </w:rPr>
        <w:t xml:space="preserve"> </w:t>
      </w:r>
      <w:r>
        <w:rPr>
          <w:sz w:val="20"/>
        </w:rPr>
        <w:t>network.</w:t>
      </w:r>
    </w:p>
    <w:p w:rsidR="002C1123" w:rsidRDefault="00F22F94">
      <w:pPr>
        <w:pStyle w:val="ListParagraph"/>
        <w:numPr>
          <w:ilvl w:val="3"/>
          <w:numId w:val="97"/>
        </w:numPr>
        <w:tabs>
          <w:tab w:val="left" w:pos="538"/>
        </w:tabs>
        <w:spacing w:before="102" w:line="249" w:lineRule="auto"/>
        <w:ind w:left="537" w:right="341"/>
        <w:rPr>
          <w:sz w:val="20"/>
        </w:rPr>
      </w:pPr>
      <w:r>
        <w:rPr>
          <w:w w:val="95"/>
          <w:sz w:val="20"/>
        </w:rPr>
        <w:t xml:space="preserve">improving the proposed road configuration to the </w:t>
      </w:r>
      <w:r>
        <w:rPr>
          <w:sz w:val="20"/>
        </w:rPr>
        <w:t>North of Sydney Airport.</w:t>
      </w:r>
    </w:p>
    <w:p w:rsidR="002C1123" w:rsidRDefault="00F22F94">
      <w:pPr>
        <w:pStyle w:val="BodyText"/>
        <w:spacing w:before="150" w:line="249" w:lineRule="auto"/>
        <w:ind w:left="227" w:right="736"/>
      </w:pPr>
      <w:r>
        <w:br w:type="column"/>
      </w:r>
      <w:r>
        <w:t>Consideration</w:t>
      </w:r>
      <w:r>
        <w:rPr>
          <w:spacing w:val="-11"/>
        </w:rPr>
        <w:t xml:space="preserve"> </w:t>
      </w:r>
      <w:r>
        <w:t>has</w:t>
      </w:r>
      <w:r>
        <w:rPr>
          <w:spacing w:val="-11"/>
        </w:rPr>
        <w:t xml:space="preserve"> </w:t>
      </w:r>
      <w:r>
        <w:t>also</w:t>
      </w:r>
      <w:r>
        <w:rPr>
          <w:spacing w:val="-11"/>
        </w:rPr>
        <w:t xml:space="preserve"> </w:t>
      </w:r>
      <w:r>
        <w:t>been</w:t>
      </w:r>
      <w:r>
        <w:rPr>
          <w:spacing w:val="-11"/>
        </w:rPr>
        <w:t xml:space="preserve"> </w:t>
      </w:r>
      <w:r>
        <w:t>given</w:t>
      </w:r>
      <w:r>
        <w:rPr>
          <w:spacing w:val="-11"/>
        </w:rPr>
        <w:t xml:space="preserve"> </w:t>
      </w:r>
      <w:r>
        <w:t>to</w:t>
      </w:r>
      <w:r>
        <w:rPr>
          <w:spacing w:val="-11"/>
        </w:rPr>
        <w:t xml:space="preserve"> </w:t>
      </w:r>
      <w:r>
        <w:t>the</w:t>
      </w:r>
      <w:r>
        <w:rPr>
          <w:spacing w:val="-11"/>
        </w:rPr>
        <w:t xml:space="preserve"> </w:t>
      </w:r>
      <w:r>
        <w:t>urban regeneration</w:t>
      </w:r>
      <w:r>
        <w:rPr>
          <w:spacing w:val="-10"/>
        </w:rPr>
        <w:t xml:space="preserve"> </w:t>
      </w:r>
      <w:r>
        <w:t>potential</w:t>
      </w:r>
      <w:r>
        <w:rPr>
          <w:spacing w:val="-10"/>
        </w:rPr>
        <w:t xml:space="preserve"> </w:t>
      </w:r>
      <w:r>
        <w:t>provided</w:t>
      </w:r>
      <w:r>
        <w:rPr>
          <w:spacing w:val="-10"/>
        </w:rPr>
        <w:t xml:space="preserve"> </w:t>
      </w:r>
      <w:r>
        <w:t>by</w:t>
      </w:r>
      <w:r>
        <w:rPr>
          <w:spacing w:val="-10"/>
        </w:rPr>
        <w:t xml:space="preserve"> </w:t>
      </w:r>
      <w:r>
        <w:t>the</w:t>
      </w:r>
      <w:r>
        <w:rPr>
          <w:spacing w:val="-10"/>
        </w:rPr>
        <w:t xml:space="preserve"> </w:t>
      </w:r>
      <w:r>
        <w:t xml:space="preserve">scheme, </w:t>
      </w:r>
      <w:r>
        <w:rPr>
          <w:w w:val="95"/>
        </w:rPr>
        <w:t>particularly</w:t>
      </w:r>
      <w:r>
        <w:rPr>
          <w:spacing w:val="-9"/>
          <w:w w:val="95"/>
        </w:rPr>
        <w:t xml:space="preserve"> </w:t>
      </w:r>
      <w:r>
        <w:rPr>
          <w:w w:val="95"/>
        </w:rPr>
        <w:t>along</w:t>
      </w:r>
      <w:r>
        <w:rPr>
          <w:spacing w:val="-9"/>
          <w:w w:val="95"/>
        </w:rPr>
        <w:t xml:space="preserve"> </w:t>
      </w:r>
      <w:r>
        <w:rPr>
          <w:w w:val="95"/>
        </w:rPr>
        <w:t>Parramatta</w:t>
      </w:r>
      <w:r>
        <w:rPr>
          <w:spacing w:val="-9"/>
          <w:w w:val="95"/>
        </w:rPr>
        <w:t xml:space="preserve"> </w:t>
      </w:r>
      <w:r>
        <w:rPr>
          <w:w w:val="95"/>
        </w:rPr>
        <w:t>Road.</w:t>
      </w:r>
      <w:r>
        <w:rPr>
          <w:spacing w:val="-9"/>
          <w:w w:val="95"/>
        </w:rPr>
        <w:t xml:space="preserve"> </w:t>
      </w:r>
      <w:r>
        <w:rPr>
          <w:w w:val="95"/>
        </w:rPr>
        <w:t>This</w:t>
      </w:r>
      <w:r>
        <w:rPr>
          <w:spacing w:val="-9"/>
          <w:w w:val="95"/>
        </w:rPr>
        <w:t xml:space="preserve"> </w:t>
      </w:r>
      <w:r>
        <w:rPr>
          <w:w w:val="95"/>
        </w:rPr>
        <w:t>is</w:t>
      </w:r>
      <w:r>
        <w:rPr>
          <w:spacing w:val="-9"/>
          <w:w w:val="95"/>
        </w:rPr>
        <w:t xml:space="preserve"> </w:t>
      </w:r>
      <w:r>
        <w:rPr>
          <w:w w:val="95"/>
        </w:rPr>
        <w:t>a</w:t>
      </w:r>
      <w:r>
        <w:rPr>
          <w:spacing w:val="-9"/>
          <w:w w:val="95"/>
        </w:rPr>
        <w:t xml:space="preserve"> </w:t>
      </w:r>
      <w:r>
        <w:rPr>
          <w:w w:val="95"/>
        </w:rPr>
        <w:t xml:space="preserve">significant opportunity for rejuvenation of a tired corridor that has </w:t>
      </w:r>
      <w:r>
        <w:t>the</w:t>
      </w:r>
      <w:r>
        <w:rPr>
          <w:spacing w:val="-9"/>
        </w:rPr>
        <w:t xml:space="preserve"> </w:t>
      </w:r>
      <w:r>
        <w:t>potential</w:t>
      </w:r>
      <w:r>
        <w:rPr>
          <w:spacing w:val="-9"/>
        </w:rPr>
        <w:t xml:space="preserve"> </w:t>
      </w:r>
      <w:r>
        <w:t>to</w:t>
      </w:r>
      <w:r>
        <w:rPr>
          <w:spacing w:val="-9"/>
        </w:rPr>
        <w:t xml:space="preserve"> </w:t>
      </w:r>
      <w:r>
        <w:t>play</w:t>
      </w:r>
      <w:r>
        <w:rPr>
          <w:spacing w:val="-9"/>
        </w:rPr>
        <w:t xml:space="preserve"> </w:t>
      </w:r>
      <w:r>
        <w:t>an</w:t>
      </w:r>
      <w:r>
        <w:rPr>
          <w:spacing w:val="-9"/>
        </w:rPr>
        <w:t xml:space="preserve"> </w:t>
      </w:r>
      <w:r>
        <w:t>important</w:t>
      </w:r>
      <w:r>
        <w:rPr>
          <w:spacing w:val="-9"/>
        </w:rPr>
        <w:t xml:space="preserve"> </w:t>
      </w:r>
      <w:r>
        <w:t>economic</w:t>
      </w:r>
      <w:r>
        <w:rPr>
          <w:spacing w:val="-9"/>
        </w:rPr>
        <w:t xml:space="preserve"> </w:t>
      </w:r>
      <w:r>
        <w:t>role</w:t>
      </w:r>
      <w:r>
        <w:rPr>
          <w:spacing w:val="-9"/>
        </w:rPr>
        <w:t xml:space="preserve"> </w:t>
      </w:r>
      <w:r>
        <w:t>in Sydney’s</w:t>
      </w:r>
      <w:r>
        <w:rPr>
          <w:spacing w:val="-11"/>
        </w:rPr>
        <w:t xml:space="preserve"> </w:t>
      </w:r>
      <w:r>
        <w:t>future.</w:t>
      </w:r>
    </w:p>
    <w:p w:rsidR="002C1123" w:rsidRDefault="00F22F94">
      <w:pPr>
        <w:pStyle w:val="BodyText"/>
        <w:spacing w:before="146" w:line="249" w:lineRule="auto"/>
        <w:ind w:left="227" w:right="818"/>
      </w:pPr>
      <w:r>
        <w:rPr>
          <w:w w:val="95"/>
        </w:rPr>
        <w:t>Ultimately,</w:t>
      </w:r>
      <w:r>
        <w:rPr>
          <w:spacing w:val="-4"/>
          <w:w w:val="95"/>
        </w:rPr>
        <w:t xml:space="preserve"> </w:t>
      </w:r>
      <w:r>
        <w:rPr>
          <w:w w:val="95"/>
        </w:rPr>
        <w:t>should</w:t>
      </w:r>
      <w:r>
        <w:rPr>
          <w:spacing w:val="-4"/>
          <w:w w:val="95"/>
        </w:rPr>
        <w:t xml:space="preserve"> </w:t>
      </w:r>
      <w:r>
        <w:rPr>
          <w:w w:val="95"/>
        </w:rPr>
        <w:t>the</w:t>
      </w:r>
      <w:r>
        <w:rPr>
          <w:spacing w:val="-4"/>
          <w:w w:val="95"/>
        </w:rPr>
        <w:t xml:space="preserve"> </w:t>
      </w:r>
      <w:r>
        <w:rPr>
          <w:w w:val="95"/>
        </w:rPr>
        <w:t>Government</w:t>
      </w:r>
      <w:r>
        <w:rPr>
          <w:spacing w:val="-4"/>
          <w:w w:val="95"/>
        </w:rPr>
        <w:t xml:space="preserve"> </w:t>
      </w:r>
      <w:r>
        <w:rPr>
          <w:w w:val="95"/>
        </w:rPr>
        <w:t>adopt</w:t>
      </w:r>
      <w:r>
        <w:rPr>
          <w:spacing w:val="-4"/>
          <w:w w:val="95"/>
        </w:rPr>
        <w:t xml:space="preserve"> </w:t>
      </w:r>
      <w:r>
        <w:rPr>
          <w:w w:val="95"/>
        </w:rPr>
        <w:t xml:space="preserve">WestConnex, </w:t>
      </w:r>
      <w:r>
        <w:t>it</w:t>
      </w:r>
      <w:r>
        <w:rPr>
          <w:spacing w:val="-12"/>
        </w:rPr>
        <w:t xml:space="preserve"> </w:t>
      </w:r>
      <w:r>
        <w:t>is</w:t>
      </w:r>
      <w:r>
        <w:rPr>
          <w:spacing w:val="-12"/>
        </w:rPr>
        <w:t xml:space="preserve"> </w:t>
      </w:r>
      <w:r>
        <w:t>important</w:t>
      </w:r>
      <w:r>
        <w:rPr>
          <w:spacing w:val="-12"/>
        </w:rPr>
        <w:t xml:space="preserve"> </w:t>
      </w:r>
      <w:r>
        <w:t>that</w:t>
      </w:r>
      <w:r>
        <w:rPr>
          <w:spacing w:val="-12"/>
        </w:rPr>
        <w:t xml:space="preserve"> </w:t>
      </w:r>
      <w:r>
        <w:t>its</w:t>
      </w:r>
      <w:r>
        <w:rPr>
          <w:spacing w:val="-12"/>
        </w:rPr>
        <w:t xml:space="preserve"> </w:t>
      </w:r>
      <w:r>
        <w:t>procurement</w:t>
      </w:r>
      <w:r>
        <w:rPr>
          <w:spacing w:val="-12"/>
        </w:rPr>
        <w:t xml:space="preserve"> </w:t>
      </w:r>
      <w:r>
        <w:t>seeks</w:t>
      </w:r>
      <w:r>
        <w:rPr>
          <w:spacing w:val="-12"/>
        </w:rPr>
        <w:t xml:space="preserve"> </w:t>
      </w:r>
      <w:r>
        <w:t>to</w:t>
      </w:r>
      <w:r>
        <w:rPr>
          <w:spacing w:val="-12"/>
        </w:rPr>
        <w:t xml:space="preserve"> </w:t>
      </w:r>
      <w:r>
        <w:t>maximise the</w:t>
      </w:r>
      <w:r>
        <w:rPr>
          <w:spacing w:val="-14"/>
        </w:rPr>
        <w:t xml:space="preserve"> </w:t>
      </w:r>
      <w:r>
        <w:t>potential</w:t>
      </w:r>
      <w:r>
        <w:rPr>
          <w:spacing w:val="-14"/>
        </w:rPr>
        <w:t xml:space="preserve"> </w:t>
      </w:r>
      <w:r>
        <w:t>for</w:t>
      </w:r>
      <w:r>
        <w:rPr>
          <w:spacing w:val="-13"/>
        </w:rPr>
        <w:t xml:space="preserve"> </w:t>
      </w:r>
      <w:r>
        <w:t>innovation.</w:t>
      </w:r>
      <w:r>
        <w:rPr>
          <w:spacing w:val="-14"/>
        </w:rPr>
        <w:t xml:space="preserve"> </w:t>
      </w:r>
      <w:r>
        <w:t>As</w:t>
      </w:r>
      <w:r>
        <w:rPr>
          <w:spacing w:val="-14"/>
        </w:rPr>
        <w:t xml:space="preserve"> </w:t>
      </w:r>
      <w:r>
        <w:t>discussed</w:t>
      </w:r>
      <w:r>
        <w:rPr>
          <w:spacing w:val="-13"/>
        </w:rPr>
        <w:t xml:space="preserve"> </w:t>
      </w:r>
      <w:r>
        <w:t>in</w:t>
      </w:r>
      <w:r>
        <w:rPr>
          <w:spacing w:val="-14"/>
        </w:rPr>
        <w:t xml:space="preserve"> </w:t>
      </w:r>
      <w:r>
        <w:t>Section</w:t>
      </w:r>
    </w:p>
    <w:p w:rsidR="002C1123" w:rsidRDefault="00F22F94">
      <w:pPr>
        <w:pStyle w:val="BodyText"/>
        <w:spacing w:before="3" w:line="249" w:lineRule="auto"/>
        <w:ind w:left="227" w:right="818"/>
      </w:pPr>
      <w:r>
        <w:rPr>
          <w:w w:val="95"/>
        </w:rPr>
        <w:t>16,</w:t>
      </w:r>
      <w:r>
        <w:rPr>
          <w:spacing w:val="-7"/>
          <w:w w:val="95"/>
        </w:rPr>
        <w:t xml:space="preserve"> </w:t>
      </w:r>
      <w:r>
        <w:rPr>
          <w:w w:val="95"/>
        </w:rPr>
        <w:t>rather</w:t>
      </w:r>
      <w:r>
        <w:rPr>
          <w:spacing w:val="-7"/>
          <w:w w:val="95"/>
        </w:rPr>
        <w:t xml:space="preserve"> </w:t>
      </w:r>
      <w:r>
        <w:rPr>
          <w:w w:val="95"/>
        </w:rPr>
        <w:t>than</w:t>
      </w:r>
      <w:r>
        <w:rPr>
          <w:spacing w:val="-7"/>
          <w:w w:val="95"/>
        </w:rPr>
        <w:t xml:space="preserve"> </w:t>
      </w:r>
      <w:r>
        <w:rPr>
          <w:w w:val="95"/>
        </w:rPr>
        <w:t>seeking</w:t>
      </w:r>
      <w:r>
        <w:rPr>
          <w:spacing w:val="-7"/>
          <w:w w:val="95"/>
        </w:rPr>
        <w:t xml:space="preserve"> </w:t>
      </w:r>
      <w:r>
        <w:rPr>
          <w:w w:val="95"/>
        </w:rPr>
        <w:t>to</w:t>
      </w:r>
      <w:r>
        <w:rPr>
          <w:spacing w:val="-7"/>
          <w:w w:val="95"/>
        </w:rPr>
        <w:t xml:space="preserve"> </w:t>
      </w:r>
      <w:r>
        <w:rPr>
          <w:w w:val="95"/>
        </w:rPr>
        <w:t>specify</w:t>
      </w:r>
      <w:r>
        <w:rPr>
          <w:spacing w:val="-7"/>
          <w:w w:val="95"/>
        </w:rPr>
        <w:t xml:space="preserve"> </w:t>
      </w:r>
      <w:r>
        <w:rPr>
          <w:w w:val="95"/>
        </w:rPr>
        <w:t>in</w:t>
      </w:r>
      <w:r>
        <w:rPr>
          <w:spacing w:val="-7"/>
          <w:w w:val="95"/>
        </w:rPr>
        <w:t xml:space="preserve"> </w:t>
      </w:r>
      <w:r>
        <w:rPr>
          <w:w w:val="95"/>
        </w:rPr>
        <w:t>detail</w:t>
      </w:r>
      <w:r>
        <w:rPr>
          <w:spacing w:val="-7"/>
          <w:w w:val="95"/>
        </w:rPr>
        <w:t xml:space="preserve"> </w:t>
      </w:r>
      <w:r>
        <w:rPr>
          <w:w w:val="95"/>
        </w:rPr>
        <w:t>every</w:t>
      </w:r>
      <w:r>
        <w:rPr>
          <w:spacing w:val="-7"/>
          <w:w w:val="95"/>
        </w:rPr>
        <w:t xml:space="preserve"> </w:t>
      </w:r>
      <w:r>
        <w:rPr>
          <w:w w:val="95"/>
        </w:rPr>
        <w:t xml:space="preserve">aspect </w:t>
      </w:r>
      <w:r>
        <w:t>of</w:t>
      </w:r>
      <w:r>
        <w:rPr>
          <w:spacing w:val="-11"/>
        </w:rPr>
        <w:t xml:space="preserve"> </w:t>
      </w:r>
      <w:r>
        <w:t>the</w:t>
      </w:r>
      <w:r>
        <w:rPr>
          <w:spacing w:val="-11"/>
        </w:rPr>
        <w:t xml:space="preserve"> </w:t>
      </w:r>
      <w:r>
        <w:t>WestConnex</w:t>
      </w:r>
      <w:r>
        <w:rPr>
          <w:spacing w:val="-11"/>
        </w:rPr>
        <w:t xml:space="preserve"> </w:t>
      </w:r>
      <w:r>
        <w:t>scheme,</w:t>
      </w:r>
      <w:r>
        <w:rPr>
          <w:spacing w:val="-11"/>
        </w:rPr>
        <w:t xml:space="preserve"> </w:t>
      </w:r>
      <w:r>
        <w:t>it</w:t>
      </w:r>
      <w:r>
        <w:rPr>
          <w:spacing w:val="-11"/>
        </w:rPr>
        <w:t xml:space="preserve"> </w:t>
      </w:r>
      <w:r>
        <w:t>would</w:t>
      </w:r>
      <w:r>
        <w:rPr>
          <w:spacing w:val="-11"/>
        </w:rPr>
        <w:t xml:space="preserve"> </w:t>
      </w:r>
      <w:r>
        <w:t>be</w:t>
      </w:r>
      <w:r>
        <w:rPr>
          <w:spacing w:val="-11"/>
        </w:rPr>
        <w:t xml:space="preserve"> </w:t>
      </w:r>
      <w:r>
        <w:t>preferable</w:t>
      </w:r>
    </w:p>
    <w:p w:rsidR="002C1123" w:rsidRDefault="00F22F94">
      <w:pPr>
        <w:pStyle w:val="BodyText"/>
        <w:spacing w:before="1" w:line="249" w:lineRule="auto"/>
        <w:ind w:left="227" w:right="1144"/>
      </w:pPr>
      <w:r>
        <w:rPr>
          <w:spacing w:val="-2"/>
        </w:rPr>
        <w:t>for</w:t>
      </w:r>
      <w:r>
        <w:rPr>
          <w:spacing w:val="-10"/>
        </w:rPr>
        <w:t xml:space="preserve"> </w:t>
      </w:r>
      <w:r>
        <w:rPr>
          <w:spacing w:val="-2"/>
        </w:rPr>
        <w:t>Government</w:t>
      </w:r>
      <w:r>
        <w:rPr>
          <w:spacing w:val="-10"/>
        </w:rPr>
        <w:t xml:space="preserve"> </w:t>
      </w:r>
      <w:r>
        <w:rPr>
          <w:spacing w:val="-2"/>
        </w:rPr>
        <w:t>to</w:t>
      </w:r>
      <w:r>
        <w:rPr>
          <w:spacing w:val="-10"/>
        </w:rPr>
        <w:t xml:space="preserve"> </w:t>
      </w:r>
      <w:r>
        <w:rPr>
          <w:spacing w:val="-2"/>
        </w:rPr>
        <w:t>provide</w:t>
      </w:r>
      <w:r>
        <w:rPr>
          <w:spacing w:val="-10"/>
        </w:rPr>
        <w:t xml:space="preserve"> </w:t>
      </w:r>
      <w:r>
        <w:rPr>
          <w:spacing w:val="-2"/>
        </w:rPr>
        <w:t>the</w:t>
      </w:r>
      <w:r>
        <w:rPr>
          <w:spacing w:val="-10"/>
        </w:rPr>
        <w:t xml:space="preserve"> </w:t>
      </w:r>
      <w:r>
        <w:rPr>
          <w:spacing w:val="-2"/>
        </w:rPr>
        <w:t>private</w:t>
      </w:r>
      <w:r>
        <w:rPr>
          <w:spacing w:val="-10"/>
        </w:rPr>
        <w:t xml:space="preserve"> </w:t>
      </w:r>
      <w:r>
        <w:rPr>
          <w:spacing w:val="-2"/>
        </w:rPr>
        <w:t>sector</w:t>
      </w:r>
      <w:r>
        <w:rPr>
          <w:spacing w:val="-10"/>
        </w:rPr>
        <w:t xml:space="preserve"> </w:t>
      </w:r>
      <w:r>
        <w:rPr>
          <w:spacing w:val="-2"/>
        </w:rPr>
        <w:t>with</w:t>
      </w:r>
      <w:r>
        <w:rPr>
          <w:spacing w:val="-10"/>
        </w:rPr>
        <w:t xml:space="preserve"> </w:t>
      </w:r>
      <w:r>
        <w:rPr>
          <w:spacing w:val="-2"/>
        </w:rPr>
        <w:t xml:space="preserve">a </w:t>
      </w:r>
      <w:r>
        <w:rPr>
          <w:w w:val="95"/>
        </w:rPr>
        <w:t xml:space="preserve">high-level output specification based upon the work </w:t>
      </w:r>
      <w:r>
        <w:t>developed</w:t>
      </w:r>
      <w:r>
        <w:rPr>
          <w:spacing w:val="-2"/>
        </w:rPr>
        <w:t xml:space="preserve"> </w:t>
      </w:r>
      <w:r>
        <w:t>for</w:t>
      </w:r>
      <w:r>
        <w:rPr>
          <w:spacing w:val="-2"/>
        </w:rPr>
        <w:t xml:space="preserve"> </w:t>
      </w:r>
      <w:r>
        <w:t>the</w:t>
      </w:r>
      <w:r>
        <w:rPr>
          <w:spacing w:val="-2"/>
        </w:rPr>
        <w:t xml:space="preserve"> </w:t>
      </w:r>
      <w:r>
        <w:t>reference</w:t>
      </w:r>
      <w:r>
        <w:rPr>
          <w:spacing w:val="-2"/>
        </w:rPr>
        <w:t xml:space="preserve"> </w:t>
      </w:r>
      <w:r>
        <w:t>scheme.</w:t>
      </w:r>
    </w:p>
    <w:p w:rsidR="002C1123" w:rsidRDefault="00F22F94">
      <w:pPr>
        <w:pStyle w:val="BodyText"/>
        <w:spacing w:before="145" w:line="249" w:lineRule="auto"/>
        <w:ind w:left="227" w:right="736"/>
      </w:pPr>
      <w:r>
        <w:rPr>
          <w:w w:val="95"/>
        </w:rPr>
        <w:t>This</w:t>
      </w:r>
      <w:r>
        <w:rPr>
          <w:spacing w:val="-2"/>
          <w:w w:val="95"/>
        </w:rPr>
        <w:t xml:space="preserve"> </w:t>
      </w:r>
      <w:r>
        <w:rPr>
          <w:w w:val="95"/>
        </w:rPr>
        <w:t>approach</w:t>
      </w:r>
      <w:r>
        <w:rPr>
          <w:spacing w:val="-2"/>
          <w:w w:val="95"/>
        </w:rPr>
        <w:t xml:space="preserve"> </w:t>
      </w:r>
      <w:r>
        <w:rPr>
          <w:w w:val="95"/>
        </w:rPr>
        <w:t>would</w:t>
      </w:r>
      <w:r>
        <w:rPr>
          <w:spacing w:val="-2"/>
          <w:w w:val="95"/>
        </w:rPr>
        <w:t xml:space="preserve"> </w:t>
      </w:r>
      <w:r>
        <w:rPr>
          <w:w w:val="95"/>
        </w:rPr>
        <w:t>only</w:t>
      </w:r>
      <w:r>
        <w:rPr>
          <w:spacing w:val="-2"/>
          <w:w w:val="95"/>
        </w:rPr>
        <w:t xml:space="preserve"> </w:t>
      </w:r>
      <w:r>
        <w:rPr>
          <w:w w:val="95"/>
        </w:rPr>
        <w:t>set</w:t>
      </w:r>
      <w:r>
        <w:rPr>
          <w:spacing w:val="-2"/>
          <w:w w:val="95"/>
        </w:rPr>
        <w:t xml:space="preserve"> </w:t>
      </w:r>
      <w:r>
        <w:rPr>
          <w:w w:val="95"/>
        </w:rPr>
        <w:t>out</w:t>
      </w:r>
      <w:r>
        <w:rPr>
          <w:spacing w:val="-2"/>
          <w:w w:val="95"/>
        </w:rPr>
        <w:t xml:space="preserve"> </w:t>
      </w:r>
      <w:r>
        <w:rPr>
          <w:w w:val="95"/>
        </w:rPr>
        <w:t>those</w:t>
      </w:r>
      <w:r>
        <w:rPr>
          <w:spacing w:val="-2"/>
          <w:w w:val="95"/>
        </w:rPr>
        <w:t xml:space="preserve"> </w:t>
      </w:r>
      <w:r>
        <w:rPr>
          <w:w w:val="95"/>
        </w:rPr>
        <w:t>aspects</w:t>
      </w:r>
      <w:r>
        <w:rPr>
          <w:spacing w:val="-2"/>
          <w:w w:val="95"/>
        </w:rPr>
        <w:t xml:space="preserve"> </w:t>
      </w:r>
      <w:r>
        <w:rPr>
          <w:w w:val="95"/>
        </w:rPr>
        <w:t>that</w:t>
      </w:r>
      <w:r>
        <w:rPr>
          <w:spacing w:val="-2"/>
          <w:w w:val="95"/>
        </w:rPr>
        <w:t xml:space="preserve"> </w:t>
      </w:r>
      <w:r>
        <w:rPr>
          <w:w w:val="95"/>
        </w:rPr>
        <w:t xml:space="preserve">are </w:t>
      </w:r>
      <w:r>
        <w:t>essential</w:t>
      </w:r>
      <w:r>
        <w:rPr>
          <w:spacing w:val="-14"/>
        </w:rPr>
        <w:t xml:space="preserve"> </w:t>
      </w:r>
      <w:r>
        <w:t>to</w:t>
      </w:r>
      <w:r>
        <w:rPr>
          <w:spacing w:val="-14"/>
        </w:rPr>
        <w:t xml:space="preserve"> </w:t>
      </w:r>
      <w:r>
        <w:t>meeting</w:t>
      </w:r>
      <w:r>
        <w:rPr>
          <w:spacing w:val="-14"/>
        </w:rPr>
        <w:t xml:space="preserve"> </w:t>
      </w:r>
      <w:r>
        <w:t>the</w:t>
      </w:r>
      <w:r>
        <w:rPr>
          <w:spacing w:val="-14"/>
        </w:rPr>
        <w:t xml:space="preserve"> </w:t>
      </w:r>
      <w:r>
        <w:t>scheme’s</w:t>
      </w:r>
      <w:r>
        <w:rPr>
          <w:spacing w:val="-14"/>
        </w:rPr>
        <w:t xml:space="preserve"> </w:t>
      </w:r>
      <w:r>
        <w:t>objectives,</w:t>
      </w:r>
      <w:r>
        <w:rPr>
          <w:spacing w:val="-14"/>
        </w:rPr>
        <w:t xml:space="preserve"> </w:t>
      </w:r>
      <w:r>
        <w:t>but</w:t>
      </w:r>
      <w:r>
        <w:rPr>
          <w:spacing w:val="-14"/>
        </w:rPr>
        <w:t xml:space="preserve"> </w:t>
      </w:r>
      <w:r>
        <w:t xml:space="preserve">offer </w:t>
      </w:r>
      <w:r>
        <w:rPr>
          <w:spacing w:val="-2"/>
        </w:rPr>
        <w:t>flexibility</w:t>
      </w:r>
      <w:r>
        <w:rPr>
          <w:spacing w:val="-5"/>
        </w:rPr>
        <w:t xml:space="preserve"> </w:t>
      </w:r>
      <w:r>
        <w:rPr>
          <w:spacing w:val="-2"/>
        </w:rPr>
        <w:t>for</w:t>
      </w:r>
      <w:r>
        <w:rPr>
          <w:spacing w:val="-5"/>
        </w:rPr>
        <w:t xml:space="preserve"> </w:t>
      </w:r>
      <w:r>
        <w:rPr>
          <w:spacing w:val="-2"/>
        </w:rPr>
        <w:t>private</w:t>
      </w:r>
      <w:r>
        <w:rPr>
          <w:spacing w:val="-5"/>
        </w:rPr>
        <w:t xml:space="preserve"> </w:t>
      </w:r>
      <w:r>
        <w:rPr>
          <w:spacing w:val="-2"/>
        </w:rPr>
        <w:t>sector</w:t>
      </w:r>
      <w:r>
        <w:rPr>
          <w:spacing w:val="-5"/>
        </w:rPr>
        <w:t xml:space="preserve"> </w:t>
      </w:r>
      <w:r>
        <w:rPr>
          <w:spacing w:val="-2"/>
        </w:rPr>
        <w:t>creativity</w:t>
      </w:r>
      <w:r>
        <w:rPr>
          <w:spacing w:val="-5"/>
        </w:rPr>
        <w:t xml:space="preserve"> </w:t>
      </w:r>
      <w:r>
        <w:rPr>
          <w:spacing w:val="-2"/>
        </w:rPr>
        <w:t>and</w:t>
      </w:r>
      <w:r>
        <w:rPr>
          <w:spacing w:val="-5"/>
        </w:rPr>
        <w:t xml:space="preserve"> </w:t>
      </w:r>
      <w:r>
        <w:rPr>
          <w:spacing w:val="-2"/>
        </w:rPr>
        <w:t>innovation</w:t>
      </w:r>
      <w:r>
        <w:rPr>
          <w:spacing w:val="-5"/>
        </w:rPr>
        <w:t xml:space="preserve"> </w:t>
      </w:r>
      <w:r>
        <w:rPr>
          <w:spacing w:val="-2"/>
        </w:rPr>
        <w:t xml:space="preserve">in </w:t>
      </w:r>
      <w:r>
        <w:t>how these elements are provided.</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225" w:space="40"/>
            <w:col w:w="5014" w:space="39"/>
            <w:col w:w="5742"/>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7"/>
        </w:rPr>
      </w:pPr>
    </w:p>
    <w:p w:rsidR="002C1123" w:rsidRDefault="002060EF">
      <w:pPr>
        <w:pStyle w:val="Heading5"/>
        <w:ind w:left="495" w:firstLine="0"/>
      </w:pPr>
      <w:r>
        <w:pict>
          <v:group id="docshapegroup1187" o:spid="_x0000_s4043" style="position:absolute;left:0;text-align:left;margin-left:38.45pt;margin-top:-2.65pt;width:765pt;height:422.4pt;z-index:-251480064;mso-position-horizontal-relative:page" coordorigin="769,-53" coordsize="15300,8448">
            <v:rect id="docshape1188" o:spid="_x0000_s4046" style="position:absolute;left:768;top:-54;width:15300;height:8448" fillcolor="#e1e0e1" stroked="f"/>
            <v:rect id="docshape1189" o:spid="_x0000_s4045" style="position:absolute;left:6013;top:173;width:9830;height:7994" stroked="f"/>
            <v:shape id="docshape1190" o:spid="_x0000_s4044" type="#_x0000_t75" style="position:absolute;left:6013;top:528;width:9830;height:7284">
              <v:imagedata r:id="rId145" o:title=""/>
            </v:shape>
            <w10:wrap anchorx="page"/>
          </v:group>
        </w:pict>
      </w:r>
      <w:bookmarkStart w:id="171" w:name="_bookmark123"/>
      <w:bookmarkEnd w:id="171"/>
      <w:r w:rsidR="00F22F94">
        <w:rPr>
          <w:color w:val="00AEEF"/>
          <w:spacing w:val="-4"/>
        </w:rPr>
        <w:t>Redeveloping</w:t>
      </w:r>
      <w:r w:rsidR="00F22F94">
        <w:rPr>
          <w:color w:val="00AEEF"/>
          <w:spacing w:val="-10"/>
        </w:rPr>
        <w:t xml:space="preserve"> </w:t>
      </w:r>
      <w:r w:rsidR="00F22F94">
        <w:rPr>
          <w:color w:val="00AEEF"/>
          <w:spacing w:val="-4"/>
        </w:rPr>
        <w:t>Parramatta</w:t>
      </w:r>
      <w:r w:rsidR="00F22F94">
        <w:rPr>
          <w:color w:val="00AEEF"/>
          <w:spacing w:val="-10"/>
        </w:rPr>
        <w:t xml:space="preserve"> </w:t>
      </w:r>
      <w:r w:rsidR="00F22F94">
        <w:rPr>
          <w:color w:val="00AEEF"/>
          <w:spacing w:val="-4"/>
        </w:rPr>
        <w:t>Road</w:t>
      </w:r>
    </w:p>
    <w:p w:rsidR="002C1123" w:rsidRDefault="00F22F94">
      <w:pPr>
        <w:pStyle w:val="Heading6"/>
        <w:spacing w:before="135" w:line="249" w:lineRule="auto"/>
        <w:ind w:left="495" w:right="10823"/>
      </w:pPr>
      <w:r>
        <w:t>Parramatta</w:t>
      </w:r>
      <w:r>
        <w:rPr>
          <w:spacing w:val="-7"/>
        </w:rPr>
        <w:t xml:space="preserve"> </w:t>
      </w:r>
      <w:r>
        <w:t>Road</w:t>
      </w:r>
      <w:r>
        <w:rPr>
          <w:spacing w:val="-7"/>
        </w:rPr>
        <w:t xml:space="preserve"> </w:t>
      </w:r>
      <w:r>
        <w:t>is</w:t>
      </w:r>
      <w:r>
        <w:rPr>
          <w:spacing w:val="-7"/>
        </w:rPr>
        <w:t xml:space="preserve"> </w:t>
      </w:r>
      <w:r>
        <w:t>Australia’s</w:t>
      </w:r>
      <w:r>
        <w:rPr>
          <w:spacing w:val="-7"/>
        </w:rPr>
        <w:t xml:space="preserve"> </w:t>
      </w:r>
      <w:r>
        <w:t>oldest</w:t>
      </w:r>
      <w:r>
        <w:rPr>
          <w:spacing w:val="-7"/>
        </w:rPr>
        <w:t xml:space="preserve"> </w:t>
      </w:r>
      <w:r>
        <w:t xml:space="preserve">transport </w:t>
      </w:r>
      <w:r>
        <w:rPr>
          <w:spacing w:val="-4"/>
        </w:rPr>
        <w:t>artery:</w:t>
      </w:r>
      <w:r>
        <w:rPr>
          <w:spacing w:val="-7"/>
        </w:rPr>
        <w:t xml:space="preserve"> </w:t>
      </w:r>
      <w:r>
        <w:rPr>
          <w:spacing w:val="-4"/>
        </w:rPr>
        <w:t>"Every</w:t>
      </w:r>
      <w:r>
        <w:rPr>
          <w:spacing w:val="-7"/>
        </w:rPr>
        <w:t xml:space="preserve"> </w:t>
      </w:r>
      <w:r>
        <w:rPr>
          <w:spacing w:val="-4"/>
        </w:rPr>
        <w:t>chapter</w:t>
      </w:r>
      <w:r>
        <w:rPr>
          <w:spacing w:val="-7"/>
        </w:rPr>
        <w:t xml:space="preserve"> </w:t>
      </w:r>
      <w:r>
        <w:rPr>
          <w:spacing w:val="-4"/>
        </w:rPr>
        <w:t>of</w:t>
      </w:r>
      <w:r>
        <w:rPr>
          <w:spacing w:val="-7"/>
        </w:rPr>
        <w:t xml:space="preserve"> </w:t>
      </w:r>
      <w:r>
        <w:rPr>
          <w:spacing w:val="-4"/>
        </w:rPr>
        <w:t>Sydney’s</w:t>
      </w:r>
      <w:r>
        <w:rPr>
          <w:spacing w:val="-7"/>
        </w:rPr>
        <w:t xml:space="preserve"> </w:t>
      </w:r>
      <w:r>
        <w:rPr>
          <w:spacing w:val="-4"/>
        </w:rPr>
        <w:t>history</w:t>
      </w:r>
      <w:r>
        <w:rPr>
          <w:spacing w:val="-7"/>
        </w:rPr>
        <w:t xml:space="preserve"> </w:t>
      </w:r>
      <w:r>
        <w:rPr>
          <w:spacing w:val="-4"/>
        </w:rPr>
        <w:t>has</w:t>
      </w:r>
      <w:r>
        <w:rPr>
          <w:spacing w:val="-7"/>
        </w:rPr>
        <w:t xml:space="preserve"> </w:t>
      </w:r>
      <w:r>
        <w:rPr>
          <w:spacing w:val="-4"/>
        </w:rPr>
        <w:t xml:space="preserve">been </w:t>
      </w:r>
      <w:r>
        <w:t>written on Parramatta Road.” It was constructed late</w:t>
      </w:r>
      <w:r>
        <w:rPr>
          <w:spacing w:val="-5"/>
        </w:rPr>
        <w:t xml:space="preserve"> </w:t>
      </w:r>
      <w:r>
        <w:t>in</w:t>
      </w:r>
      <w:r>
        <w:rPr>
          <w:spacing w:val="-5"/>
        </w:rPr>
        <w:t xml:space="preserve"> </w:t>
      </w:r>
      <w:r>
        <w:t>the</w:t>
      </w:r>
      <w:r>
        <w:rPr>
          <w:spacing w:val="-5"/>
        </w:rPr>
        <w:t xml:space="preserve"> </w:t>
      </w:r>
      <w:r>
        <w:t>eighteenth</w:t>
      </w:r>
      <w:r>
        <w:rPr>
          <w:spacing w:val="-5"/>
        </w:rPr>
        <w:t xml:space="preserve"> </w:t>
      </w:r>
      <w:r>
        <w:t>century</w:t>
      </w:r>
      <w:r>
        <w:rPr>
          <w:spacing w:val="-5"/>
        </w:rPr>
        <w:t xml:space="preserve"> </w:t>
      </w:r>
      <w:r>
        <w:t>and</w:t>
      </w:r>
      <w:r>
        <w:rPr>
          <w:spacing w:val="-5"/>
        </w:rPr>
        <w:t xml:space="preserve"> </w:t>
      </w:r>
      <w:r>
        <w:t>upgraded</w:t>
      </w:r>
      <w:r>
        <w:rPr>
          <w:spacing w:val="-5"/>
        </w:rPr>
        <w:t xml:space="preserve"> </w:t>
      </w:r>
      <w:r>
        <w:t>to</w:t>
      </w:r>
      <w:r>
        <w:rPr>
          <w:spacing w:val="-5"/>
        </w:rPr>
        <w:t xml:space="preserve"> </w:t>
      </w:r>
      <w:r>
        <w:t>its present</w:t>
      </w:r>
      <w:r>
        <w:rPr>
          <w:spacing w:val="-4"/>
        </w:rPr>
        <w:t xml:space="preserve"> </w:t>
      </w:r>
      <w:r>
        <w:t>form</w:t>
      </w:r>
      <w:r>
        <w:rPr>
          <w:spacing w:val="-4"/>
        </w:rPr>
        <w:t xml:space="preserve"> </w:t>
      </w:r>
      <w:r>
        <w:t>during</w:t>
      </w:r>
      <w:r>
        <w:rPr>
          <w:spacing w:val="-4"/>
        </w:rPr>
        <w:t xml:space="preserve"> </w:t>
      </w:r>
      <w:r>
        <w:t>the</w:t>
      </w:r>
      <w:r>
        <w:rPr>
          <w:spacing w:val="-4"/>
        </w:rPr>
        <w:t xml:space="preserve"> </w:t>
      </w:r>
      <w:r>
        <w:t>Great</w:t>
      </w:r>
      <w:r>
        <w:rPr>
          <w:spacing w:val="-4"/>
        </w:rPr>
        <w:t xml:space="preserve"> </w:t>
      </w:r>
      <w:r>
        <w:t>Depression.</w:t>
      </w:r>
      <w:r>
        <w:rPr>
          <w:spacing w:val="-4"/>
        </w:rPr>
        <w:t xml:space="preserve"> </w:t>
      </w:r>
      <w:r>
        <w:t>It</w:t>
      </w:r>
      <w:r>
        <w:rPr>
          <w:spacing w:val="-4"/>
        </w:rPr>
        <w:t xml:space="preserve"> </w:t>
      </w:r>
      <w:r>
        <w:t xml:space="preserve">was </w:t>
      </w:r>
      <w:r>
        <w:rPr>
          <w:spacing w:val="-4"/>
        </w:rPr>
        <w:t>not</w:t>
      </w:r>
      <w:r>
        <w:rPr>
          <w:spacing w:val="-7"/>
        </w:rPr>
        <w:t xml:space="preserve"> </w:t>
      </w:r>
      <w:r>
        <w:rPr>
          <w:spacing w:val="-4"/>
        </w:rPr>
        <w:t>built</w:t>
      </w:r>
      <w:r>
        <w:rPr>
          <w:spacing w:val="-7"/>
        </w:rPr>
        <w:t xml:space="preserve"> </w:t>
      </w:r>
      <w:r>
        <w:rPr>
          <w:spacing w:val="-4"/>
        </w:rPr>
        <w:t>to</w:t>
      </w:r>
      <w:r>
        <w:rPr>
          <w:spacing w:val="-7"/>
        </w:rPr>
        <w:t xml:space="preserve"> </w:t>
      </w:r>
      <w:r>
        <w:rPr>
          <w:spacing w:val="-4"/>
        </w:rPr>
        <w:t>be</w:t>
      </w:r>
      <w:r>
        <w:rPr>
          <w:spacing w:val="-7"/>
        </w:rPr>
        <w:t xml:space="preserve"> </w:t>
      </w:r>
      <w:r>
        <w:rPr>
          <w:spacing w:val="-4"/>
        </w:rPr>
        <w:t>the</w:t>
      </w:r>
      <w:r>
        <w:rPr>
          <w:spacing w:val="-7"/>
        </w:rPr>
        <w:t xml:space="preserve"> </w:t>
      </w:r>
      <w:r>
        <w:rPr>
          <w:spacing w:val="-4"/>
        </w:rPr>
        <w:t>primary</w:t>
      </w:r>
      <w:r>
        <w:rPr>
          <w:spacing w:val="-7"/>
        </w:rPr>
        <w:t xml:space="preserve"> </w:t>
      </w:r>
      <w:r>
        <w:rPr>
          <w:spacing w:val="-4"/>
        </w:rPr>
        <w:t>East-West</w:t>
      </w:r>
      <w:r>
        <w:rPr>
          <w:spacing w:val="-7"/>
        </w:rPr>
        <w:t xml:space="preserve"> </w:t>
      </w:r>
      <w:r>
        <w:rPr>
          <w:spacing w:val="-4"/>
        </w:rPr>
        <w:t>route</w:t>
      </w:r>
      <w:r>
        <w:rPr>
          <w:spacing w:val="-7"/>
        </w:rPr>
        <w:t xml:space="preserve"> </w:t>
      </w:r>
      <w:r>
        <w:rPr>
          <w:spacing w:val="-4"/>
        </w:rPr>
        <w:t>for</w:t>
      </w:r>
      <w:r>
        <w:rPr>
          <w:spacing w:val="-7"/>
        </w:rPr>
        <w:t xml:space="preserve"> </w:t>
      </w:r>
      <w:r>
        <w:rPr>
          <w:spacing w:val="-4"/>
        </w:rPr>
        <w:t>a</w:t>
      </w:r>
      <w:r>
        <w:rPr>
          <w:spacing w:val="-7"/>
        </w:rPr>
        <w:t xml:space="preserve"> </w:t>
      </w:r>
      <w:r>
        <w:rPr>
          <w:spacing w:val="-4"/>
        </w:rPr>
        <w:t>city of</w:t>
      </w:r>
      <w:r>
        <w:rPr>
          <w:spacing w:val="-10"/>
        </w:rPr>
        <w:t xml:space="preserve"> </w:t>
      </w:r>
      <w:r>
        <w:rPr>
          <w:spacing w:val="-4"/>
        </w:rPr>
        <w:t>over</w:t>
      </w:r>
      <w:r>
        <w:rPr>
          <w:spacing w:val="-10"/>
        </w:rPr>
        <w:t xml:space="preserve"> </w:t>
      </w:r>
      <w:r>
        <w:rPr>
          <w:spacing w:val="-4"/>
        </w:rPr>
        <w:t>four</w:t>
      </w:r>
      <w:r>
        <w:rPr>
          <w:spacing w:val="-10"/>
        </w:rPr>
        <w:t xml:space="preserve"> </w:t>
      </w:r>
      <w:r>
        <w:rPr>
          <w:spacing w:val="-4"/>
        </w:rPr>
        <w:t>million</w:t>
      </w:r>
      <w:r>
        <w:rPr>
          <w:spacing w:val="-10"/>
        </w:rPr>
        <w:t xml:space="preserve"> </w:t>
      </w:r>
      <w:r>
        <w:rPr>
          <w:spacing w:val="-4"/>
        </w:rPr>
        <w:t>people.</w:t>
      </w:r>
      <w:r>
        <w:rPr>
          <w:spacing w:val="-10"/>
        </w:rPr>
        <w:t xml:space="preserve"> </w:t>
      </w:r>
      <w:r>
        <w:rPr>
          <w:spacing w:val="-4"/>
        </w:rPr>
        <w:t>The</w:t>
      </w:r>
      <w:r>
        <w:rPr>
          <w:spacing w:val="-10"/>
        </w:rPr>
        <w:t xml:space="preserve"> </w:t>
      </w:r>
      <w:r>
        <w:rPr>
          <w:spacing w:val="-4"/>
        </w:rPr>
        <w:t>result</w:t>
      </w:r>
      <w:r>
        <w:rPr>
          <w:spacing w:val="-10"/>
        </w:rPr>
        <w:t xml:space="preserve"> </w:t>
      </w:r>
      <w:r>
        <w:rPr>
          <w:spacing w:val="-4"/>
        </w:rPr>
        <w:t>is</w:t>
      </w:r>
      <w:r>
        <w:rPr>
          <w:spacing w:val="-10"/>
        </w:rPr>
        <w:t xml:space="preserve"> </w:t>
      </w:r>
      <w:r>
        <w:rPr>
          <w:spacing w:val="-4"/>
        </w:rPr>
        <w:t xml:space="preserve">predictable: </w:t>
      </w:r>
      <w:r>
        <w:t>congestion,</w:t>
      </w:r>
      <w:r>
        <w:rPr>
          <w:spacing w:val="-12"/>
        </w:rPr>
        <w:t xml:space="preserve"> </w:t>
      </w:r>
      <w:r>
        <w:t>a</w:t>
      </w:r>
      <w:r>
        <w:rPr>
          <w:spacing w:val="-12"/>
        </w:rPr>
        <w:t xml:space="preserve"> </w:t>
      </w:r>
      <w:r>
        <w:t>poor</w:t>
      </w:r>
      <w:r>
        <w:rPr>
          <w:spacing w:val="-12"/>
        </w:rPr>
        <w:t xml:space="preserve"> </w:t>
      </w:r>
      <w:r>
        <w:t>safety</w:t>
      </w:r>
      <w:r>
        <w:rPr>
          <w:spacing w:val="-12"/>
        </w:rPr>
        <w:t xml:space="preserve"> </w:t>
      </w:r>
      <w:r>
        <w:t>record</w:t>
      </w:r>
      <w:r>
        <w:rPr>
          <w:spacing w:val="-12"/>
        </w:rPr>
        <w:t xml:space="preserve"> </w:t>
      </w:r>
      <w:r>
        <w:t>and</w:t>
      </w:r>
      <w:r>
        <w:rPr>
          <w:spacing w:val="-12"/>
        </w:rPr>
        <w:t xml:space="preserve"> </w:t>
      </w:r>
      <w:r>
        <w:t>urban</w:t>
      </w:r>
      <w:r>
        <w:rPr>
          <w:spacing w:val="-12"/>
        </w:rPr>
        <w:t xml:space="preserve"> </w:t>
      </w:r>
      <w:r>
        <w:t>blight.</w:t>
      </w:r>
    </w:p>
    <w:p w:rsidR="002C1123" w:rsidRDefault="00F22F94">
      <w:pPr>
        <w:pStyle w:val="BodyText"/>
        <w:spacing w:before="148" w:line="249" w:lineRule="auto"/>
        <w:ind w:left="495" w:right="10835"/>
      </w:pPr>
      <w:r>
        <w:t>One</w:t>
      </w:r>
      <w:r>
        <w:rPr>
          <w:spacing w:val="-11"/>
        </w:rPr>
        <w:t xml:space="preserve"> </w:t>
      </w:r>
      <w:r>
        <w:t>of</w:t>
      </w:r>
      <w:r>
        <w:rPr>
          <w:spacing w:val="-11"/>
        </w:rPr>
        <w:t xml:space="preserve"> </w:t>
      </w:r>
      <w:r>
        <w:t>the</w:t>
      </w:r>
      <w:r>
        <w:rPr>
          <w:spacing w:val="-11"/>
        </w:rPr>
        <w:t xml:space="preserve"> </w:t>
      </w:r>
      <w:r>
        <w:t>aims</w:t>
      </w:r>
      <w:r>
        <w:rPr>
          <w:spacing w:val="-11"/>
        </w:rPr>
        <w:t xml:space="preserve"> </w:t>
      </w:r>
      <w:r>
        <w:t>of</w:t>
      </w:r>
      <w:r>
        <w:rPr>
          <w:spacing w:val="-11"/>
        </w:rPr>
        <w:t xml:space="preserve"> </w:t>
      </w:r>
      <w:r>
        <w:t>the</w:t>
      </w:r>
      <w:r>
        <w:rPr>
          <w:spacing w:val="-11"/>
        </w:rPr>
        <w:t xml:space="preserve"> </w:t>
      </w:r>
      <w:r>
        <w:t>WestConnex</w:t>
      </w:r>
      <w:r>
        <w:rPr>
          <w:spacing w:val="-11"/>
        </w:rPr>
        <w:t xml:space="preserve"> </w:t>
      </w:r>
      <w:r>
        <w:t>program</w:t>
      </w:r>
      <w:r>
        <w:rPr>
          <w:spacing w:val="-12"/>
        </w:rPr>
        <w:t xml:space="preserve"> </w:t>
      </w:r>
      <w:r>
        <w:t>is</w:t>
      </w:r>
      <w:r>
        <w:rPr>
          <w:spacing w:val="-11"/>
        </w:rPr>
        <w:t xml:space="preserve"> </w:t>
      </w:r>
      <w:r>
        <w:t>to support</w:t>
      </w:r>
      <w:r>
        <w:rPr>
          <w:spacing w:val="-8"/>
        </w:rPr>
        <w:t xml:space="preserve"> </w:t>
      </w:r>
      <w:r>
        <w:t>the</w:t>
      </w:r>
      <w:r>
        <w:rPr>
          <w:spacing w:val="-8"/>
        </w:rPr>
        <w:t xml:space="preserve"> </w:t>
      </w:r>
      <w:r>
        <w:t>regeneration</w:t>
      </w:r>
      <w:r>
        <w:rPr>
          <w:spacing w:val="-8"/>
        </w:rPr>
        <w:t xml:space="preserve"> </w:t>
      </w:r>
      <w:r>
        <w:t>of</w:t>
      </w:r>
      <w:r>
        <w:rPr>
          <w:spacing w:val="-8"/>
        </w:rPr>
        <w:t xml:space="preserve"> </w:t>
      </w:r>
      <w:r>
        <w:t>the</w:t>
      </w:r>
      <w:r>
        <w:rPr>
          <w:spacing w:val="-8"/>
        </w:rPr>
        <w:t xml:space="preserve"> </w:t>
      </w:r>
      <w:r>
        <w:t>Parramatta</w:t>
      </w:r>
      <w:r>
        <w:rPr>
          <w:spacing w:val="-8"/>
        </w:rPr>
        <w:t xml:space="preserve"> </w:t>
      </w:r>
      <w:r>
        <w:t>Road corridor.</w:t>
      </w:r>
      <w:r>
        <w:rPr>
          <w:spacing w:val="-14"/>
        </w:rPr>
        <w:t xml:space="preserve"> </w:t>
      </w:r>
      <w:r>
        <w:t>Infrastructure</w:t>
      </w:r>
      <w:r>
        <w:rPr>
          <w:spacing w:val="-14"/>
        </w:rPr>
        <w:t xml:space="preserve"> </w:t>
      </w:r>
      <w:r>
        <w:t>NSW</w:t>
      </w:r>
      <w:r>
        <w:rPr>
          <w:spacing w:val="-14"/>
        </w:rPr>
        <w:t xml:space="preserve"> </w:t>
      </w:r>
      <w:r>
        <w:t>believes</w:t>
      </w:r>
      <w:r>
        <w:rPr>
          <w:spacing w:val="-14"/>
        </w:rPr>
        <w:t xml:space="preserve"> </w:t>
      </w:r>
      <w:r>
        <w:t>that</w:t>
      </w:r>
      <w:r>
        <w:rPr>
          <w:spacing w:val="-14"/>
        </w:rPr>
        <w:t xml:space="preserve"> </w:t>
      </w:r>
      <w:r>
        <w:t>a</w:t>
      </w:r>
      <w:r>
        <w:rPr>
          <w:spacing w:val="-14"/>
        </w:rPr>
        <w:t xml:space="preserve"> </w:t>
      </w:r>
      <w:r>
        <w:t xml:space="preserve">slotted </w:t>
      </w:r>
      <w:r>
        <w:rPr>
          <w:w w:val="95"/>
        </w:rPr>
        <w:t xml:space="preserve">road concept would enable this more than a tunnelling </w:t>
      </w:r>
      <w:r>
        <w:t>approach.</w:t>
      </w:r>
      <w:r>
        <w:rPr>
          <w:spacing w:val="-3"/>
        </w:rPr>
        <w:t xml:space="preserve"> </w:t>
      </w:r>
      <w:r>
        <w:t>The</w:t>
      </w:r>
      <w:r>
        <w:rPr>
          <w:spacing w:val="-3"/>
        </w:rPr>
        <w:t xml:space="preserve"> </w:t>
      </w:r>
      <w:r>
        <w:t>slotted</w:t>
      </w:r>
      <w:r>
        <w:rPr>
          <w:spacing w:val="-3"/>
        </w:rPr>
        <w:t xml:space="preserve"> </w:t>
      </w:r>
      <w:r>
        <w:t>concept</w:t>
      </w:r>
      <w:r>
        <w:rPr>
          <w:spacing w:val="-3"/>
        </w:rPr>
        <w:t xml:space="preserve"> </w:t>
      </w:r>
      <w:r>
        <w:t>sinks</w:t>
      </w:r>
      <w:r>
        <w:rPr>
          <w:spacing w:val="-3"/>
        </w:rPr>
        <w:t xml:space="preserve"> </w:t>
      </w:r>
      <w:r>
        <w:t>the</w:t>
      </w:r>
      <w:r>
        <w:rPr>
          <w:spacing w:val="-3"/>
        </w:rPr>
        <w:t xml:space="preserve"> </w:t>
      </w:r>
      <w:r>
        <w:t xml:space="preserve">motorway </w:t>
      </w:r>
      <w:r>
        <w:rPr>
          <w:w w:val="95"/>
        </w:rPr>
        <w:t>below</w:t>
      </w:r>
      <w:r>
        <w:rPr>
          <w:spacing w:val="-4"/>
          <w:w w:val="95"/>
        </w:rPr>
        <w:t xml:space="preserve"> </w:t>
      </w:r>
      <w:r>
        <w:rPr>
          <w:w w:val="95"/>
        </w:rPr>
        <w:t>surface</w:t>
      </w:r>
      <w:r>
        <w:rPr>
          <w:spacing w:val="-4"/>
          <w:w w:val="95"/>
        </w:rPr>
        <w:t xml:space="preserve"> </w:t>
      </w:r>
      <w:r>
        <w:rPr>
          <w:w w:val="95"/>
        </w:rPr>
        <w:t>level</w:t>
      </w:r>
      <w:r>
        <w:rPr>
          <w:spacing w:val="-4"/>
          <w:w w:val="95"/>
        </w:rPr>
        <w:t xml:space="preserve"> </w:t>
      </w:r>
      <w:r>
        <w:rPr>
          <w:w w:val="95"/>
        </w:rPr>
        <w:t>while</w:t>
      </w:r>
      <w:r>
        <w:rPr>
          <w:spacing w:val="-4"/>
          <w:w w:val="95"/>
        </w:rPr>
        <w:t xml:space="preserve"> </w:t>
      </w:r>
      <w:r>
        <w:rPr>
          <w:w w:val="95"/>
        </w:rPr>
        <w:t>constructing</w:t>
      </w:r>
      <w:r>
        <w:rPr>
          <w:spacing w:val="-4"/>
          <w:w w:val="95"/>
        </w:rPr>
        <w:t xml:space="preserve"> </w:t>
      </w:r>
      <w:r>
        <w:rPr>
          <w:w w:val="95"/>
        </w:rPr>
        <w:t>a</w:t>
      </w:r>
      <w:r>
        <w:rPr>
          <w:spacing w:val="-4"/>
          <w:w w:val="95"/>
        </w:rPr>
        <w:t xml:space="preserve"> </w:t>
      </w:r>
      <w:r>
        <w:rPr>
          <w:w w:val="95"/>
        </w:rPr>
        <w:t>new</w:t>
      </w:r>
      <w:r>
        <w:rPr>
          <w:spacing w:val="-4"/>
          <w:w w:val="95"/>
        </w:rPr>
        <w:t xml:space="preserve"> </w:t>
      </w:r>
      <w:r>
        <w:rPr>
          <w:w w:val="95"/>
        </w:rPr>
        <w:t>local</w:t>
      </w:r>
      <w:r>
        <w:rPr>
          <w:spacing w:val="-4"/>
          <w:w w:val="95"/>
        </w:rPr>
        <w:t xml:space="preserve"> </w:t>
      </w:r>
      <w:r>
        <w:rPr>
          <w:w w:val="95"/>
        </w:rPr>
        <w:t xml:space="preserve">road </w:t>
      </w:r>
      <w:r>
        <w:t>at surface level.</w:t>
      </w:r>
    </w:p>
    <w:p w:rsidR="002C1123" w:rsidRDefault="00F22F94">
      <w:pPr>
        <w:pStyle w:val="BodyText"/>
        <w:spacing w:before="147" w:line="249" w:lineRule="auto"/>
        <w:ind w:left="495" w:right="10797"/>
      </w:pPr>
      <w:r>
        <w:rPr>
          <w:w w:val="95"/>
        </w:rPr>
        <w:t>Depressing the motorway reduces surface impacts such as</w:t>
      </w:r>
      <w:r>
        <w:rPr>
          <w:spacing w:val="-9"/>
          <w:w w:val="95"/>
        </w:rPr>
        <w:t xml:space="preserve"> </w:t>
      </w:r>
      <w:r>
        <w:rPr>
          <w:w w:val="95"/>
        </w:rPr>
        <w:t>noise</w:t>
      </w:r>
      <w:r>
        <w:rPr>
          <w:spacing w:val="-9"/>
          <w:w w:val="95"/>
        </w:rPr>
        <w:t xml:space="preserve"> </w:t>
      </w:r>
      <w:r>
        <w:rPr>
          <w:w w:val="95"/>
        </w:rPr>
        <w:t>and</w:t>
      </w:r>
      <w:r>
        <w:rPr>
          <w:spacing w:val="-9"/>
          <w:w w:val="95"/>
        </w:rPr>
        <w:t xml:space="preserve"> </w:t>
      </w:r>
      <w:r>
        <w:rPr>
          <w:w w:val="95"/>
        </w:rPr>
        <w:t>pollution,</w:t>
      </w:r>
      <w:r>
        <w:rPr>
          <w:spacing w:val="-9"/>
          <w:w w:val="95"/>
        </w:rPr>
        <w:t xml:space="preserve"> </w:t>
      </w:r>
      <w:r>
        <w:rPr>
          <w:w w:val="95"/>
        </w:rPr>
        <w:t>but</w:t>
      </w:r>
      <w:r>
        <w:rPr>
          <w:spacing w:val="-9"/>
          <w:w w:val="95"/>
        </w:rPr>
        <w:t xml:space="preserve"> </w:t>
      </w:r>
      <w:r>
        <w:rPr>
          <w:w w:val="95"/>
        </w:rPr>
        <w:t>allows</w:t>
      </w:r>
      <w:r>
        <w:rPr>
          <w:spacing w:val="-9"/>
          <w:w w:val="95"/>
        </w:rPr>
        <w:t xml:space="preserve"> </w:t>
      </w:r>
      <w:r>
        <w:rPr>
          <w:w w:val="95"/>
        </w:rPr>
        <w:t>traffic</w:t>
      </w:r>
      <w:r>
        <w:rPr>
          <w:spacing w:val="-9"/>
          <w:w w:val="95"/>
        </w:rPr>
        <w:t xml:space="preserve"> </w:t>
      </w:r>
      <w:r>
        <w:rPr>
          <w:w w:val="95"/>
        </w:rPr>
        <w:t>from</w:t>
      </w:r>
      <w:r>
        <w:rPr>
          <w:spacing w:val="-9"/>
          <w:w w:val="95"/>
        </w:rPr>
        <w:t xml:space="preserve"> </w:t>
      </w:r>
      <w:r>
        <w:rPr>
          <w:w w:val="95"/>
        </w:rPr>
        <w:t>surrounding suburbs</w:t>
      </w:r>
      <w:r>
        <w:rPr>
          <w:spacing w:val="-5"/>
          <w:w w:val="95"/>
        </w:rPr>
        <w:t xml:space="preserve"> </w:t>
      </w:r>
      <w:r>
        <w:rPr>
          <w:w w:val="95"/>
        </w:rPr>
        <w:t>to</w:t>
      </w:r>
      <w:r>
        <w:rPr>
          <w:spacing w:val="-5"/>
          <w:w w:val="95"/>
        </w:rPr>
        <w:t xml:space="preserve"> </w:t>
      </w:r>
      <w:r>
        <w:rPr>
          <w:w w:val="95"/>
        </w:rPr>
        <w:t>readily</w:t>
      </w:r>
      <w:r>
        <w:rPr>
          <w:spacing w:val="-5"/>
          <w:w w:val="95"/>
        </w:rPr>
        <w:t xml:space="preserve"> </w:t>
      </w:r>
      <w:r>
        <w:rPr>
          <w:w w:val="95"/>
        </w:rPr>
        <w:t>access</w:t>
      </w:r>
      <w:r>
        <w:rPr>
          <w:spacing w:val="-5"/>
          <w:w w:val="95"/>
        </w:rPr>
        <w:t xml:space="preserve"> </w:t>
      </w:r>
      <w:r>
        <w:rPr>
          <w:w w:val="95"/>
        </w:rPr>
        <w:t>the</w:t>
      </w:r>
      <w:r>
        <w:rPr>
          <w:spacing w:val="-5"/>
          <w:w w:val="95"/>
        </w:rPr>
        <w:t xml:space="preserve"> </w:t>
      </w:r>
      <w:r>
        <w:rPr>
          <w:w w:val="95"/>
        </w:rPr>
        <w:t>motorway.</w:t>
      </w:r>
      <w:r>
        <w:rPr>
          <w:spacing w:val="-5"/>
          <w:w w:val="95"/>
        </w:rPr>
        <w:t xml:space="preserve"> </w:t>
      </w:r>
      <w:r>
        <w:rPr>
          <w:w w:val="95"/>
        </w:rPr>
        <w:t>Capacity</w:t>
      </w:r>
      <w:r>
        <w:rPr>
          <w:spacing w:val="-5"/>
          <w:w w:val="95"/>
        </w:rPr>
        <w:t xml:space="preserve"> </w:t>
      </w:r>
      <w:r>
        <w:rPr>
          <w:w w:val="95"/>
        </w:rPr>
        <w:t>on</w:t>
      </w:r>
      <w:r>
        <w:rPr>
          <w:spacing w:val="-5"/>
          <w:w w:val="95"/>
        </w:rPr>
        <w:t xml:space="preserve"> </w:t>
      </w:r>
      <w:r>
        <w:rPr>
          <w:w w:val="95"/>
        </w:rPr>
        <w:t xml:space="preserve">the </w:t>
      </w:r>
      <w:r>
        <w:rPr>
          <w:spacing w:val="-2"/>
        </w:rPr>
        <w:t>surface-level</w:t>
      </w:r>
      <w:r>
        <w:rPr>
          <w:spacing w:val="-8"/>
        </w:rPr>
        <w:t xml:space="preserve"> </w:t>
      </w:r>
      <w:r>
        <w:rPr>
          <w:spacing w:val="-2"/>
        </w:rPr>
        <w:t>local</w:t>
      </w:r>
      <w:r>
        <w:rPr>
          <w:spacing w:val="-8"/>
        </w:rPr>
        <w:t xml:space="preserve"> </w:t>
      </w:r>
      <w:r>
        <w:rPr>
          <w:spacing w:val="-2"/>
        </w:rPr>
        <w:t>road</w:t>
      </w:r>
      <w:r>
        <w:rPr>
          <w:spacing w:val="-8"/>
        </w:rPr>
        <w:t xml:space="preserve"> </w:t>
      </w:r>
      <w:r>
        <w:rPr>
          <w:spacing w:val="-2"/>
        </w:rPr>
        <w:t>is</w:t>
      </w:r>
      <w:r>
        <w:rPr>
          <w:spacing w:val="-8"/>
        </w:rPr>
        <w:t xml:space="preserve"> </w:t>
      </w:r>
      <w:r>
        <w:rPr>
          <w:spacing w:val="-2"/>
        </w:rPr>
        <w:t>managed</w:t>
      </w:r>
      <w:r>
        <w:rPr>
          <w:spacing w:val="-8"/>
        </w:rPr>
        <w:t xml:space="preserve"> </w:t>
      </w:r>
      <w:r>
        <w:rPr>
          <w:spacing w:val="-2"/>
        </w:rPr>
        <w:t>in</w:t>
      </w:r>
      <w:r>
        <w:rPr>
          <w:spacing w:val="-8"/>
        </w:rPr>
        <w:t xml:space="preserve"> </w:t>
      </w:r>
      <w:r>
        <w:rPr>
          <w:spacing w:val="-2"/>
        </w:rPr>
        <w:t>order</w:t>
      </w:r>
      <w:r>
        <w:rPr>
          <w:spacing w:val="-8"/>
        </w:rPr>
        <w:t xml:space="preserve"> </w:t>
      </w:r>
      <w:r>
        <w:rPr>
          <w:spacing w:val="-2"/>
        </w:rPr>
        <w:t>to</w:t>
      </w:r>
      <w:r>
        <w:rPr>
          <w:spacing w:val="-8"/>
        </w:rPr>
        <w:t xml:space="preserve"> </w:t>
      </w:r>
      <w:r>
        <w:rPr>
          <w:spacing w:val="-2"/>
        </w:rPr>
        <w:t xml:space="preserve">reduce </w:t>
      </w:r>
      <w:r>
        <w:t>through</w:t>
      </w:r>
      <w:r>
        <w:rPr>
          <w:spacing w:val="-14"/>
        </w:rPr>
        <w:t xml:space="preserve"> </w:t>
      </w:r>
      <w:r>
        <w:t>journeys</w:t>
      </w:r>
      <w:r>
        <w:rPr>
          <w:spacing w:val="-14"/>
        </w:rPr>
        <w:t xml:space="preserve"> </w:t>
      </w:r>
      <w:r>
        <w:t>made</w:t>
      </w:r>
      <w:r>
        <w:rPr>
          <w:spacing w:val="-14"/>
        </w:rPr>
        <w:t xml:space="preserve"> </w:t>
      </w:r>
      <w:r>
        <w:t>on</w:t>
      </w:r>
      <w:r>
        <w:rPr>
          <w:spacing w:val="-14"/>
        </w:rPr>
        <w:t xml:space="preserve"> </w:t>
      </w:r>
      <w:r>
        <w:t>the</w:t>
      </w:r>
      <w:r>
        <w:rPr>
          <w:spacing w:val="-14"/>
        </w:rPr>
        <w:t xml:space="preserve"> </w:t>
      </w:r>
      <w:r>
        <w:t>surface</w:t>
      </w:r>
      <w:r>
        <w:rPr>
          <w:spacing w:val="-14"/>
        </w:rPr>
        <w:t xml:space="preserve"> </w:t>
      </w:r>
      <w:r>
        <w:t>roads,</w:t>
      </w:r>
      <w:r>
        <w:rPr>
          <w:spacing w:val="-14"/>
        </w:rPr>
        <w:t xml:space="preserve"> </w:t>
      </w:r>
      <w:r>
        <w:t>support public</w:t>
      </w:r>
      <w:r>
        <w:rPr>
          <w:spacing w:val="-14"/>
        </w:rPr>
        <w:t xml:space="preserve"> </w:t>
      </w:r>
      <w:r>
        <w:t>transport</w:t>
      </w:r>
      <w:r>
        <w:rPr>
          <w:spacing w:val="-14"/>
        </w:rPr>
        <w:t xml:space="preserve"> </w:t>
      </w:r>
      <w:r>
        <w:t>and</w:t>
      </w:r>
      <w:r>
        <w:rPr>
          <w:spacing w:val="-14"/>
        </w:rPr>
        <w:t xml:space="preserve"> </w:t>
      </w:r>
      <w:r>
        <w:t>therefore</w:t>
      </w:r>
      <w:r>
        <w:rPr>
          <w:spacing w:val="-14"/>
        </w:rPr>
        <w:t xml:space="preserve"> </w:t>
      </w:r>
      <w:r>
        <w:t>enable</w:t>
      </w:r>
      <w:r>
        <w:rPr>
          <w:spacing w:val="-14"/>
        </w:rPr>
        <w:t xml:space="preserve"> </w:t>
      </w:r>
      <w:r>
        <w:t>redevelopment.</w:t>
      </w:r>
    </w:p>
    <w:p w:rsidR="002C1123" w:rsidRDefault="00F22F94">
      <w:pPr>
        <w:pStyle w:val="BodyText"/>
        <w:spacing w:before="5" w:line="249" w:lineRule="auto"/>
        <w:ind w:left="495" w:right="11295"/>
      </w:pPr>
      <w:r>
        <w:rPr>
          <w:w w:val="95"/>
        </w:rPr>
        <w:t>During</w:t>
      </w:r>
      <w:r>
        <w:rPr>
          <w:spacing w:val="-8"/>
          <w:w w:val="95"/>
        </w:rPr>
        <w:t xml:space="preserve"> </w:t>
      </w:r>
      <w:r>
        <w:rPr>
          <w:w w:val="95"/>
        </w:rPr>
        <w:t>construction,</w:t>
      </w:r>
      <w:r>
        <w:rPr>
          <w:spacing w:val="-8"/>
          <w:w w:val="95"/>
        </w:rPr>
        <w:t xml:space="preserve"> </w:t>
      </w:r>
      <w:r>
        <w:rPr>
          <w:w w:val="95"/>
        </w:rPr>
        <w:t>particular</w:t>
      </w:r>
      <w:r>
        <w:rPr>
          <w:spacing w:val="-8"/>
          <w:w w:val="95"/>
        </w:rPr>
        <w:t xml:space="preserve"> </w:t>
      </w:r>
      <w:r>
        <w:rPr>
          <w:w w:val="95"/>
        </w:rPr>
        <w:t>provision</w:t>
      </w:r>
      <w:r>
        <w:rPr>
          <w:spacing w:val="-8"/>
          <w:w w:val="95"/>
        </w:rPr>
        <w:t xml:space="preserve"> </w:t>
      </w:r>
      <w:r>
        <w:rPr>
          <w:w w:val="95"/>
        </w:rPr>
        <w:t>is</w:t>
      </w:r>
      <w:r>
        <w:rPr>
          <w:spacing w:val="-8"/>
          <w:w w:val="95"/>
        </w:rPr>
        <w:t xml:space="preserve"> </w:t>
      </w:r>
      <w:r>
        <w:rPr>
          <w:w w:val="95"/>
        </w:rPr>
        <w:t>made</w:t>
      </w:r>
      <w:r>
        <w:rPr>
          <w:spacing w:val="-8"/>
          <w:w w:val="95"/>
        </w:rPr>
        <w:t xml:space="preserve"> </w:t>
      </w:r>
      <w:r>
        <w:rPr>
          <w:w w:val="95"/>
        </w:rPr>
        <w:t xml:space="preserve">to </w:t>
      </w:r>
      <w:r>
        <w:t>ensure</w:t>
      </w:r>
      <w:r>
        <w:rPr>
          <w:spacing w:val="-14"/>
        </w:rPr>
        <w:t xml:space="preserve"> </w:t>
      </w:r>
      <w:r>
        <w:t>least</w:t>
      </w:r>
      <w:r>
        <w:rPr>
          <w:spacing w:val="-14"/>
        </w:rPr>
        <w:t xml:space="preserve"> </w:t>
      </w:r>
      <w:r>
        <w:t>disruption</w:t>
      </w:r>
      <w:r>
        <w:rPr>
          <w:spacing w:val="-14"/>
        </w:rPr>
        <w:t xml:space="preserve"> </w:t>
      </w:r>
      <w:r>
        <w:t>to</w:t>
      </w:r>
      <w:r>
        <w:rPr>
          <w:spacing w:val="-14"/>
        </w:rPr>
        <w:t xml:space="preserve"> </w:t>
      </w:r>
      <w:r>
        <w:t>local</w:t>
      </w:r>
      <w:r>
        <w:rPr>
          <w:spacing w:val="-14"/>
        </w:rPr>
        <w:t xml:space="preserve"> </w:t>
      </w:r>
      <w:r>
        <w:t>people</w:t>
      </w:r>
      <w:r>
        <w:rPr>
          <w:spacing w:val="-14"/>
        </w:rPr>
        <w:t xml:space="preserve"> </w:t>
      </w:r>
      <w:r>
        <w:t>and</w:t>
      </w:r>
      <w:r>
        <w:rPr>
          <w:spacing w:val="-14"/>
        </w:rPr>
        <w:t xml:space="preserve"> </w:t>
      </w:r>
      <w:r>
        <w:t>traffic.</w:t>
      </w:r>
    </w:p>
    <w:p w:rsidR="002C1123" w:rsidRDefault="00F22F94">
      <w:pPr>
        <w:pStyle w:val="BodyText"/>
        <w:spacing w:before="144" w:line="249" w:lineRule="auto"/>
        <w:ind w:left="495" w:right="10835"/>
      </w:pPr>
      <w:r>
        <w:rPr>
          <w:w w:val="95"/>
        </w:rPr>
        <w:t>This</w:t>
      </w:r>
      <w:r>
        <w:rPr>
          <w:spacing w:val="-5"/>
          <w:w w:val="95"/>
        </w:rPr>
        <w:t xml:space="preserve"> </w:t>
      </w:r>
      <w:r>
        <w:rPr>
          <w:w w:val="95"/>
        </w:rPr>
        <w:t>approach</w:t>
      </w:r>
      <w:r>
        <w:rPr>
          <w:spacing w:val="-5"/>
          <w:w w:val="95"/>
        </w:rPr>
        <w:t xml:space="preserve"> </w:t>
      </w:r>
      <w:r>
        <w:rPr>
          <w:w w:val="95"/>
        </w:rPr>
        <w:t>has</w:t>
      </w:r>
      <w:r>
        <w:rPr>
          <w:spacing w:val="-5"/>
          <w:w w:val="95"/>
        </w:rPr>
        <w:t xml:space="preserve"> </w:t>
      </w:r>
      <w:r>
        <w:rPr>
          <w:w w:val="95"/>
        </w:rPr>
        <w:t>been</w:t>
      </w:r>
      <w:r>
        <w:rPr>
          <w:spacing w:val="-5"/>
          <w:w w:val="95"/>
        </w:rPr>
        <w:t xml:space="preserve"> </w:t>
      </w:r>
      <w:r>
        <w:rPr>
          <w:w w:val="95"/>
        </w:rPr>
        <w:t>successfully</w:t>
      </w:r>
      <w:r>
        <w:rPr>
          <w:spacing w:val="-5"/>
          <w:w w:val="95"/>
        </w:rPr>
        <w:t xml:space="preserve"> </w:t>
      </w:r>
      <w:r>
        <w:rPr>
          <w:w w:val="95"/>
        </w:rPr>
        <w:t>applied</w:t>
      </w:r>
      <w:r>
        <w:rPr>
          <w:spacing w:val="-5"/>
          <w:w w:val="95"/>
        </w:rPr>
        <w:t xml:space="preserve"> </w:t>
      </w:r>
      <w:r>
        <w:rPr>
          <w:w w:val="95"/>
        </w:rPr>
        <w:t>in</w:t>
      </w:r>
      <w:r>
        <w:rPr>
          <w:spacing w:val="-5"/>
          <w:w w:val="95"/>
        </w:rPr>
        <w:t xml:space="preserve"> </w:t>
      </w:r>
      <w:r>
        <w:rPr>
          <w:w w:val="95"/>
        </w:rPr>
        <w:t xml:space="preserve">Sydney </w:t>
      </w:r>
      <w:r>
        <w:rPr>
          <w:spacing w:val="-2"/>
        </w:rPr>
        <w:t>along</w:t>
      </w:r>
      <w:r>
        <w:rPr>
          <w:spacing w:val="-9"/>
        </w:rPr>
        <w:t xml:space="preserve"> </w:t>
      </w:r>
      <w:r>
        <w:rPr>
          <w:spacing w:val="-2"/>
        </w:rPr>
        <w:t>parts</w:t>
      </w:r>
      <w:r>
        <w:rPr>
          <w:spacing w:val="-9"/>
        </w:rPr>
        <w:t xml:space="preserve"> </w:t>
      </w:r>
      <w:r>
        <w:rPr>
          <w:spacing w:val="-2"/>
        </w:rPr>
        <w:t>of</w:t>
      </w:r>
      <w:r>
        <w:rPr>
          <w:spacing w:val="-9"/>
        </w:rPr>
        <w:t xml:space="preserve"> </w:t>
      </w:r>
      <w:r>
        <w:rPr>
          <w:spacing w:val="-2"/>
        </w:rPr>
        <w:t>the</w:t>
      </w:r>
      <w:r>
        <w:rPr>
          <w:spacing w:val="-9"/>
        </w:rPr>
        <w:t xml:space="preserve"> </w:t>
      </w:r>
      <w:r>
        <w:rPr>
          <w:spacing w:val="-2"/>
        </w:rPr>
        <w:t>Eastern</w:t>
      </w:r>
      <w:r>
        <w:rPr>
          <w:spacing w:val="-9"/>
        </w:rPr>
        <w:t xml:space="preserve"> </w:t>
      </w:r>
      <w:r>
        <w:rPr>
          <w:spacing w:val="-2"/>
        </w:rPr>
        <w:t>Distributor.</w:t>
      </w:r>
      <w:r>
        <w:rPr>
          <w:spacing w:val="-9"/>
        </w:rPr>
        <w:t xml:space="preserve"> </w:t>
      </w:r>
      <w:r>
        <w:rPr>
          <w:spacing w:val="-2"/>
        </w:rPr>
        <w:t>The</w:t>
      </w:r>
      <w:r>
        <w:rPr>
          <w:spacing w:val="-9"/>
        </w:rPr>
        <w:t xml:space="preserve"> </w:t>
      </w:r>
      <w:r>
        <w:rPr>
          <w:spacing w:val="-2"/>
        </w:rPr>
        <w:t>approach</w:t>
      </w:r>
      <w:r>
        <w:rPr>
          <w:spacing w:val="-9"/>
        </w:rPr>
        <w:t xml:space="preserve"> </w:t>
      </w:r>
      <w:r>
        <w:rPr>
          <w:spacing w:val="-2"/>
        </w:rPr>
        <w:t xml:space="preserve">is </w:t>
      </w:r>
      <w:r>
        <w:rPr>
          <w:w w:val="95"/>
        </w:rPr>
        <w:t xml:space="preserve">used a number of European cities, including Barcelona </w:t>
      </w:r>
      <w:r>
        <w:t>and</w:t>
      </w:r>
      <w:r>
        <w:rPr>
          <w:spacing w:val="-11"/>
        </w:rPr>
        <w:t xml:space="preserve"> </w:t>
      </w:r>
      <w:r>
        <w:t>Paris.</w:t>
      </w:r>
    </w:p>
    <w:p w:rsidR="002C1123" w:rsidRDefault="00F22F94">
      <w:pPr>
        <w:pStyle w:val="BodyText"/>
        <w:spacing w:before="145" w:line="249" w:lineRule="auto"/>
        <w:ind w:left="495" w:right="11295"/>
      </w:pPr>
      <w:r>
        <w:rPr>
          <w:w w:val="95"/>
        </w:rPr>
        <w:t>A</w:t>
      </w:r>
      <w:r>
        <w:rPr>
          <w:spacing w:val="-3"/>
          <w:w w:val="95"/>
        </w:rPr>
        <w:t xml:space="preserve"> </w:t>
      </w:r>
      <w:r>
        <w:rPr>
          <w:w w:val="95"/>
        </w:rPr>
        <w:t>conceptual</w:t>
      </w:r>
      <w:r>
        <w:rPr>
          <w:spacing w:val="-3"/>
          <w:w w:val="95"/>
        </w:rPr>
        <w:t xml:space="preserve"> </w:t>
      </w:r>
      <w:r>
        <w:rPr>
          <w:w w:val="95"/>
        </w:rPr>
        <w:t>outline</w:t>
      </w:r>
      <w:r>
        <w:rPr>
          <w:spacing w:val="-3"/>
          <w:w w:val="95"/>
        </w:rPr>
        <w:t xml:space="preserve"> </w:t>
      </w:r>
      <w:r>
        <w:rPr>
          <w:w w:val="95"/>
        </w:rPr>
        <w:t>of</w:t>
      </w:r>
      <w:r>
        <w:rPr>
          <w:spacing w:val="-3"/>
          <w:w w:val="95"/>
        </w:rPr>
        <w:t xml:space="preserve"> </w:t>
      </w:r>
      <w:r>
        <w:rPr>
          <w:w w:val="95"/>
        </w:rPr>
        <w:t>this</w:t>
      </w:r>
      <w:r>
        <w:rPr>
          <w:spacing w:val="-3"/>
          <w:w w:val="95"/>
        </w:rPr>
        <w:t xml:space="preserve"> </w:t>
      </w:r>
      <w:r>
        <w:rPr>
          <w:w w:val="95"/>
        </w:rPr>
        <w:t>approach</w:t>
      </w:r>
      <w:r>
        <w:rPr>
          <w:spacing w:val="-3"/>
          <w:w w:val="95"/>
        </w:rPr>
        <w:t xml:space="preserve"> </w:t>
      </w:r>
      <w:r>
        <w:rPr>
          <w:w w:val="95"/>
        </w:rPr>
        <w:t>is</w:t>
      </w:r>
      <w:r>
        <w:rPr>
          <w:spacing w:val="-3"/>
          <w:w w:val="95"/>
        </w:rPr>
        <w:t xml:space="preserve"> </w:t>
      </w:r>
      <w:r>
        <w:rPr>
          <w:w w:val="95"/>
        </w:rPr>
        <w:t>shown</w:t>
      </w:r>
      <w:r>
        <w:rPr>
          <w:spacing w:val="-3"/>
          <w:w w:val="95"/>
        </w:rPr>
        <w:t xml:space="preserve"> </w:t>
      </w:r>
      <w:r>
        <w:rPr>
          <w:w w:val="95"/>
        </w:rPr>
        <w:t xml:space="preserve">on </w:t>
      </w:r>
      <w:r>
        <w:t>the</w:t>
      </w:r>
      <w:r>
        <w:rPr>
          <w:spacing w:val="-11"/>
        </w:rPr>
        <w:t xml:space="preserve"> </w:t>
      </w:r>
      <w:r>
        <w:t>right:</w:t>
      </w:r>
    </w:p>
    <w:p w:rsidR="002C1123" w:rsidRDefault="002C1123">
      <w:pPr>
        <w:spacing w:line="249" w:lineRule="auto"/>
        <w:sectPr w:rsidR="002C1123">
          <w:pgSz w:w="16840" w:h="11910" w:orient="landscape"/>
          <w:pgMar w:top="560" w:right="280" w:bottom="700" w:left="500" w:header="0" w:footer="517"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3"/>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Heading6"/>
        <w:numPr>
          <w:ilvl w:val="2"/>
          <w:numId w:val="97"/>
        </w:numPr>
        <w:tabs>
          <w:tab w:val="left" w:pos="967"/>
        </w:tabs>
        <w:ind w:left="966" w:hanging="475"/>
        <w:jc w:val="left"/>
      </w:pPr>
      <w:bookmarkStart w:id="172" w:name="6.7__Making_better_use_of_the_road_netwo"/>
      <w:bookmarkStart w:id="173" w:name="_bookmark125"/>
      <w:bookmarkStart w:id="174" w:name="_bookmark124"/>
      <w:bookmarkEnd w:id="172"/>
      <w:bookmarkEnd w:id="173"/>
      <w:bookmarkEnd w:id="174"/>
      <w:r>
        <w:rPr>
          <w:color w:val="00AEEF"/>
          <w:w w:val="95"/>
        </w:rPr>
        <w:t>Delivering</w:t>
      </w:r>
      <w:r>
        <w:rPr>
          <w:color w:val="00AEEF"/>
          <w:spacing w:val="-12"/>
          <w:w w:val="95"/>
        </w:rPr>
        <w:t xml:space="preserve"> </w:t>
      </w:r>
      <w:r>
        <w:rPr>
          <w:color w:val="00AEEF"/>
          <w:spacing w:val="-2"/>
        </w:rPr>
        <w:t>WestConnex</w:t>
      </w:r>
    </w:p>
    <w:p w:rsidR="002C1123" w:rsidRDefault="00F22F94">
      <w:pPr>
        <w:pStyle w:val="BodyText"/>
        <w:spacing w:before="152" w:line="249" w:lineRule="auto"/>
        <w:ind w:left="492" w:right="315"/>
        <w:jc w:val="both"/>
      </w:pPr>
      <w:r>
        <w:rPr>
          <w:w w:val="95"/>
        </w:rPr>
        <w:t>WestConnex</w:t>
      </w:r>
      <w:r>
        <w:rPr>
          <w:spacing w:val="-11"/>
          <w:w w:val="95"/>
        </w:rPr>
        <w:t xml:space="preserve"> </w:t>
      </w:r>
      <w:r>
        <w:rPr>
          <w:w w:val="95"/>
        </w:rPr>
        <w:t>is</w:t>
      </w:r>
      <w:r>
        <w:rPr>
          <w:spacing w:val="-11"/>
          <w:w w:val="95"/>
        </w:rPr>
        <w:t xml:space="preserve"> </w:t>
      </w:r>
      <w:r>
        <w:rPr>
          <w:w w:val="95"/>
        </w:rPr>
        <w:t>a</w:t>
      </w:r>
      <w:r>
        <w:rPr>
          <w:spacing w:val="-11"/>
          <w:w w:val="95"/>
        </w:rPr>
        <w:t xml:space="preserve"> </w:t>
      </w:r>
      <w:r>
        <w:rPr>
          <w:w w:val="95"/>
        </w:rPr>
        <w:t>single</w:t>
      </w:r>
      <w:r>
        <w:rPr>
          <w:spacing w:val="-11"/>
          <w:w w:val="95"/>
        </w:rPr>
        <w:t xml:space="preserve"> </w:t>
      </w:r>
      <w:r>
        <w:rPr>
          <w:w w:val="95"/>
        </w:rPr>
        <w:t>integrated</w:t>
      </w:r>
      <w:r>
        <w:rPr>
          <w:spacing w:val="-11"/>
          <w:w w:val="95"/>
        </w:rPr>
        <w:t xml:space="preserve"> </w:t>
      </w:r>
      <w:r>
        <w:rPr>
          <w:w w:val="95"/>
        </w:rPr>
        <w:t>scheme.</w:t>
      </w:r>
      <w:r>
        <w:rPr>
          <w:spacing w:val="-11"/>
          <w:w w:val="95"/>
        </w:rPr>
        <w:t xml:space="preserve"> </w:t>
      </w:r>
      <w:r>
        <w:rPr>
          <w:w w:val="95"/>
        </w:rPr>
        <w:t>However, it</w:t>
      </w:r>
      <w:r>
        <w:rPr>
          <w:spacing w:val="-2"/>
          <w:w w:val="95"/>
        </w:rPr>
        <w:t xml:space="preserve"> </w:t>
      </w:r>
      <w:r>
        <w:rPr>
          <w:w w:val="95"/>
        </w:rPr>
        <w:t>is</w:t>
      </w:r>
      <w:r>
        <w:rPr>
          <w:spacing w:val="-2"/>
          <w:w w:val="95"/>
        </w:rPr>
        <w:t xml:space="preserve"> </w:t>
      </w:r>
      <w:r>
        <w:rPr>
          <w:w w:val="95"/>
        </w:rPr>
        <w:t>expected</w:t>
      </w:r>
      <w:r>
        <w:rPr>
          <w:spacing w:val="-2"/>
          <w:w w:val="95"/>
        </w:rPr>
        <w:t xml:space="preserve"> </w:t>
      </w:r>
      <w:r>
        <w:rPr>
          <w:w w:val="95"/>
        </w:rPr>
        <w:t>that</w:t>
      </w:r>
      <w:r>
        <w:rPr>
          <w:spacing w:val="-2"/>
          <w:w w:val="95"/>
        </w:rPr>
        <w:t xml:space="preserve"> </w:t>
      </w:r>
      <w:r>
        <w:rPr>
          <w:w w:val="95"/>
        </w:rPr>
        <w:t>WestConnex</w:t>
      </w:r>
      <w:r>
        <w:rPr>
          <w:spacing w:val="-2"/>
          <w:w w:val="95"/>
        </w:rPr>
        <w:t xml:space="preserve"> </w:t>
      </w:r>
      <w:r>
        <w:rPr>
          <w:w w:val="95"/>
        </w:rPr>
        <w:t>would</w:t>
      </w:r>
      <w:r>
        <w:rPr>
          <w:spacing w:val="-2"/>
          <w:w w:val="95"/>
        </w:rPr>
        <w:t xml:space="preserve"> </w:t>
      </w:r>
      <w:r>
        <w:rPr>
          <w:w w:val="95"/>
        </w:rPr>
        <w:t>be</w:t>
      </w:r>
      <w:r>
        <w:rPr>
          <w:spacing w:val="-2"/>
          <w:w w:val="95"/>
        </w:rPr>
        <w:t xml:space="preserve"> </w:t>
      </w:r>
      <w:r>
        <w:rPr>
          <w:w w:val="95"/>
        </w:rPr>
        <w:t>delivered</w:t>
      </w:r>
      <w:r>
        <w:rPr>
          <w:spacing w:val="-2"/>
          <w:w w:val="95"/>
        </w:rPr>
        <w:t xml:space="preserve"> </w:t>
      </w:r>
      <w:r>
        <w:rPr>
          <w:w w:val="95"/>
        </w:rPr>
        <w:t xml:space="preserve">in </w:t>
      </w:r>
      <w:r>
        <w:t>two</w:t>
      </w:r>
      <w:r>
        <w:rPr>
          <w:spacing w:val="-3"/>
        </w:rPr>
        <w:t xml:space="preserve"> </w:t>
      </w:r>
      <w:r>
        <w:t>stages</w:t>
      </w:r>
      <w:r>
        <w:rPr>
          <w:spacing w:val="-3"/>
        </w:rPr>
        <w:t xml:space="preserve"> </w:t>
      </w:r>
      <w:r>
        <w:t>if</w:t>
      </w:r>
      <w:r>
        <w:rPr>
          <w:spacing w:val="-3"/>
        </w:rPr>
        <w:t xml:space="preserve"> </w:t>
      </w:r>
      <w:r>
        <w:t>adopted</w:t>
      </w:r>
      <w:r>
        <w:rPr>
          <w:spacing w:val="-3"/>
        </w:rPr>
        <w:t xml:space="preserve"> </w:t>
      </w:r>
      <w:r>
        <w:t>by</w:t>
      </w:r>
      <w:r>
        <w:rPr>
          <w:spacing w:val="-3"/>
        </w:rPr>
        <w:t xml:space="preserve"> </w:t>
      </w:r>
      <w:r>
        <w:t>the</w:t>
      </w:r>
      <w:r>
        <w:rPr>
          <w:spacing w:val="-3"/>
        </w:rPr>
        <w:t xml:space="preserve"> </w:t>
      </w:r>
      <w:r>
        <w:t>Government:</w:t>
      </w:r>
    </w:p>
    <w:p w:rsidR="002C1123" w:rsidRDefault="00F22F94">
      <w:pPr>
        <w:pStyle w:val="ListParagraph"/>
        <w:numPr>
          <w:ilvl w:val="3"/>
          <w:numId w:val="97"/>
        </w:numPr>
        <w:tabs>
          <w:tab w:val="left" w:pos="776"/>
        </w:tabs>
        <w:spacing w:before="131" w:line="249" w:lineRule="auto"/>
        <w:ind w:right="107"/>
        <w:rPr>
          <w:sz w:val="20"/>
        </w:rPr>
      </w:pPr>
      <w:r>
        <w:rPr>
          <w:sz w:val="20"/>
        </w:rPr>
        <w:t>A</w:t>
      </w:r>
      <w:r>
        <w:rPr>
          <w:spacing w:val="-8"/>
          <w:sz w:val="20"/>
        </w:rPr>
        <w:t xml:space="preserve"> </w:t>
      </w:r>
      <w:r>
        <w:rPr>
          <w:sz w:val="20"/>
        </w:rPr>
        <w:t>Northern</w:t>
      </w:r>
      <w:r>
        <w:rPr>
          <w:spacing w:val="-8"/>
          <w:sz w:val="20"/>
        </w:rPr>
        <w:t xml:space="preserve"> </w:t>
      </w:r>
      <w:r>
        <w:rPr>
          <w:sz w:val="20"/>
        </w:rPr>
        <w:t>Sector,</w:t>
      </w:r>
      <w:r>
        <w:rPr>
          <w:spacing w:val="-8"/>
          <w:sz w:val="20"/>
        </w:rPr>
        <w:t xml:space="preserve"> </w:t>
      </w:r>
      <w:r>
        <w:rPr>
          <w:sz w:val="20"/>
        </w:rPr>
        <w:t>comprising</w:t>
      </w:r>
      <w:r>
        <w:rPr>
          <w:spacing w:val="-8"/>
          <w:sz w:val="20"/>
        </w:rPr>
        <w:t xml:space="preserve"> </w:t>
      </w:r>
      <w:r>
        <w:rPr>
          <w:sz w:val="20"/>
        </w:rPr>
        <w:t>the</w:t>
      </w:r>
      <w:r>
        <w:rPr>
          <w:spacing w:val="-8"/>
          <w:sz w:val="20"/>
        </w:rPr>
        <w:t xml:space="preserve"> </w:t>
      </w:r>
      <w:r>
        <w:rPr>
          <w:sz w:val="20"/>
        </w:rPr>
        <w:t>M4</w:t>
      </w:r>
      <w:r>
        <w:rPr>
          <w:spacing w:val="-8"/>
          <w:sz w:val="20"/>
        </w:rPr>
        <w:t xml:space="preserve"> </w:t>
      </w:r>
      <w:r>
        <w:rPr>
          <w:sz w:val="20"/>
        </w:rPr>
        <w:t xml:space="preserve">Extension, </w:t>
      </w:r>
      <w:r>
        <w:rPr>
          <w:w w:val="95"/>
          <w:sz w:val="20"/>
        </w:rPr>
        <w:t>upgrades</w:t>
      </w:r>
      <w:r>
        <w:rPr>
          <w:spacing w:val="-2"/>
          <w:w w:val="95"/>
          <w:sz w:val="20"/>
        </w:rPr>
        <w:t xml:space="preserve"> </w:t>
      </w:r>
      <w:r>
        <w:rPr>
          <w:w w:val="95"/>
          <w:sz w:val="20"/>
        </w:rPr>
        <w:t>to</w:t>
      </w:r>
      <w:r>
        <w:rPr>
          <w:spacing w:val="-2"/>
          <w:w w:val="95"/>
          <w:sz w:val="20"/>
        </w:rPr>
        <w:t xml:space="preserve"> </w:t>
      </w:r>
      <w:r>
        <w:rPr>
          <w:w w:val="95"/>
          <w:sz w:val="20"/>
        </w:rPr>
        <w:t>the</w:t>
      </w:r>
      <w:r>
        <w:rPr>
          <w:spacing w:val="-2"/>
          <w:w w:val="95"/>
          <w:sz w:val="20"/>
        </w:rPr>
        <w:t xml:space="preserve"> </w:t>
      </w:r>
      <w:r>
        <w:rPr>
          <w:w w:val="95"/>
          <w:sz w:val="20"/>
        </w:rPr>
        <w:t>existing</w:t>
      </w:r>
      <w:r>
        <w:rPr>
          <w:spacing w:val="-2"/>
          <w:w w:val="95"/>
          <w:sz w:val="20"/>
        </w:rPr>
        <w:t xml:space="preserve"> </w:t>
      </w:r>
      <w:r>
        <w:rPr>
          <w:w w:val="95"/>
          <w:sz w:val="20"/>
        </w:rPr>
        <w:t>M4</w:t>
      </w:r>
      <w:r>
        <w:rPr>
          <w:spacing w:val="-2"/>
          <w:w w:val="95"/>
          <w:sz w:val="20"/>
        </w:rPr>
        <w:t xml:space="preserve"> </w:t>
      </w:r>
      <w:r>
        <w:rPr>
          <w:w w:val="95"/>
          <w:sz w:val="20"/>
        </w:rPr>
        <w:t>between</w:t>
      </w:r>
      <w:r>
        <w:rPr>
          <w:spacing w:val="-2"/>
          <w:w w:val="95"/>
          <w:sz w:val="20"/>
        </w:rPr>
        <w:t xml:space="preserve"> </w:t>
      </w:r>
      <w:r>
        <w:rPr>
          <w:w w:val="95"/>
          <w:sz w:val="20"/>
        </w:rPr>
        <w:t>Strathfield</w:t>
      </w:r>
      <w:r>
        <w:rPr>
          <w:spacing w:val="-2"/>
          <w:w w:val="95"/>
          <w:sz w:val="20"/>
        </w:rPr>
        <w:t xml:space="preserve"> </w:t>
      </w:r>
      <w:r>
        <w:rPr>
          <w:w w:val="95"/>
          <w:sz w:val="20"/>
        </w:rPr>
        <w:t>and Parramatta,</w:t>
      </w:r>
      <w:r>
        <w:rPr>
          <w:spacing w:val="-5"/>
          <w:w w:val="95"/>
          <w:sz w:val="20"/>
        </w:rPr>
        <w:t xml:space="preserve"> </w:t>
      </w:r>
      <w:r>
        <w:rPr>
          <w:w w:val="95"/>
          <w:sz w:val="20"/>
        </w:rPr>
        <w:t>and</w:t>
      </w:r>
      <w:r>
        <w:rPr>
          <w:spacing w:val="-5"/>
          <w:w w:val="95"/>
          <w:sz w:val="20"/>
        </w:rPr>
        <w:t xml:space="preserve"> </w:t>
      </w:r>
      <w:r>
        <w:rPr>
          <w:w w:val="95"/>
          <w:sz w:val="20"/>
        </w:rPr>
        <w:t>a</w:t>
      </w:r>
      <w:r>
        <w:rPr>
          <w:spacing w:val="-5"/>
          <w:w w:val="95"/>
          <w:sz w:val="20"/>
        </w:rPr>
        <w:t xml:space="preserve"> </w:t>
      </w:r>
      <w:r>
        <w:rPr>
          <w:w w:val="95"/>
          <w:sz w:val="20"/>
        </w:rPr>
        <w:t>tunnel</w:t>
      </w:r>
      <w:r>
        <w:rPr>
          <w:spacing w:val="-5"/>
          <w:w w:val="95"/>
          <w:sz w:val="20"/>
        </w:rPr>
        <w:t xml:space="preserve"> </w:t>
      </w:r>
      <w:r>
        <w:rPr>
          <w:w w:val="95"/>
          <w:sz w:val="20"/>
        </w:rPr>
        <w:t>between</w:t>
      </w:r>
      <w:r>
        <w:rPr>
          <w:spacing w:val="-5"/>
          <w:w w:val="95"/>
          <w:sz w:val="20"/>
        </w:rPr>
        <w:t xml:space="preserve"> </w:t>
      </w:r>
      <w:r>
        <w:rPr>
          <w:w w:val="95"/>
          <w:sz w:val="20"/>
        </w:rPr>
        <w:t>the</w:t>
      </w:r>
      <w:r>
        <w:rPr>
          <w:spacing w:val="-5"/>
          <w:w w:val="95"/>
          <w:sz w:val="20"/>
        </w:rPr>
        <w:t xml:space="preserve"> </w:t>
      </w:r>
      <w:r>
        <w:rPr>
          <w:w w:val="95"/>
          <w:sz w:val="20"/>
        </w:rPr>
        <w:t>Taverners</w:t>
      </w:r>
      <w:r>
        <w:rPr>
          <w:spacing w:val="-5"/>
          <w:w w:val="95"/>
          <w:sz w:val="20"/>
        </w:rPr>
        <w:t xml:space="preserve"> </w:t>
      </w:r>
      <w:r>
        <w:rPr>
          <w:w w:val="95"/>
          <w:sz w:val="20"/>
        </w:rPr>
        <w:t xml:space="preserve">Hill </w:t>
      </w:r>
      <w:r>
        <w:rPr>
          <w:sz w:val="20"/>
        </w:rPr>
        <w:t>area</w:t>
      </w:r>
      <w:r>
        <w:rPr>
          <w:spacing w:val="-14"/>
          <w:sz w:val="20"/>
        </w:rPr>
        <w:t xml:space="preserve"> </w:t>
      </w:r>
      <w:r>
        <w:rPr>
          <w:sz w:val="20"/>
        </w:rPr>
        <w:t>in</w:t>
      </w:r>
      <w:r>
        <w:rPr>
          <w:spacing w:val="-14"/>
          <w:sz w:val="20"/>
        </w:rPr>
        <w:t xml:space="preserve"> </w:t>
      </w:r>
      <w:r>
        <w:rPr>
          <w:sz w:val="20"/>
        </w:rPr>
        <w:t>Petersham</w:t>
      </w:r>
      <w:r>
        <w:rPr>
          <w:spacing w:val="-14"/>
          <w:sz w:val="20"/>
        </w:rPr>
        <w:t xml:space="preserve"> </w:t>
      </w:r>
      <w:r>
        <w:rPr>
          <w:sz w:val="20"/>
        </w:rPr>
        <w:t>and</w:t>
      </w:r>
      <w:r>
        <w:rPr>
          <w:spacing w:val="-14"/>
          <w:sz w:val="20"/>
        </w:rPr>
        <w:t xml:space="preserve"> </w:t>
      </w:r>
      <w:r>
        <w:rPr>
          <w:sz w:val="20"/>
        </w:rPr>
        <w:t>the</w:t>
      </w:r>
      <w:r>
        <w:rPr>
          <w:spacing w:val="-14"/>
          <w:sz w:val="20"/>
        </w:rPr>
        <w:t xml:space="preserve"> </w:t>
      </w:r>
      <w:r>
        <w:rPr>
          <w:sz w:val="20"/>
        </w:rPr>
        <w:t>St</w:t>
      </w:r>
      <w:r>
        <w:rPr>
          <w:spacing w:val="-14"/>
          <w:sz w:val="20"/>
        </w:rPr>
        <w:t xml:space="preserve"> </w:t>
      </w:r>
      <w:r>
        <w:rPr>
          <w:sz w:val="20"/>
        </w:rPr>
        <w:t>Peters</w:t>
      </w:r>
      <w:r>
        <w:rPr>
          <w:spacing w:val="-14"/>
          <w:sz w:val="20"/>
        </w:rPr>
        <w:t xml:space="preserve"> </w:t>
      </w:r>
      <w:r>
        <w:rPr>
          <w:sz w:val="20"/>
        </w:rPr>
        <w:t>area.</w:t>
      </w:r>
      <w:r>
        <w:rPr>
          <w:spacing w:val="-14"/>
          <w:sz w:val="20"/>
        </w:rPr>
        <w:t xml:space="preserve"> </w:t>
      </w:r>
      <w:r>
        <w:rPr>
          <w:sz w:val="20"/>
        </w:rPr>
        <w:t>This</w:t>
      </w:r>
      <w:r>
        <w:rPr>
          <w:spacing w:val="-14"/>
          <w:sz w:val="20"/>
        </w:rPr>
        <w:t xml:space="preserve"> </w:t>
      </w:r>
      <w:r>
        <w:rPr>
          <w:sz w:val="20"/>
        </w:rPr>
        <w:t>is shown</w:t>
      </w:r>
      <w:r>
        <w:rPr>
          <w:spacing w:val="-5"/>
          <w:sz w:val="20"/>
        </w:rPr>
        <w:t xml:space="preserve"> </w:t>
      </w:r>
      <w:r>
        <w:rPr>
          <w:sz w:val="20"/>
        </w:rPr>
        <w:t>in</w:t>
      </w:r>
      <w:r>
        <w:rPr>
          <w:spacing w:val="-5"/>
          <w:sz w:val="20"/>
        </w:rPr>
        <w:t xml:space="preserve"> </w:t>
      </w:r>
      <w:r>
        <w:rPr>
          <w:sz w:val="20"/>
        </w:rPr>
        <w:t>dark</w:t>
      </w:r>
      <w:r>
        <w:rPr>
          <w:spacing w:val="-5"/>
          <w:sz w:val="20"/>
        </w:rPr>
        <w:t xml:space="preserve"> </w:t>
      </w:r>
      <w:r>
        <w:rPr>
          <w:sz w:val="20"/>
        </w:rPr>
        <w:t>blue</w:t>
      </w:r>
      <w:r>
        <w:rPr>
          <w:spacing w:val="-5"/>
          <w:sz w:val="20"/>
        </w:rPr>
        <w:t xml:space="preserve"> </w:t>
      </w:r>
      <w:r>
        <w:rPr>
          <w:sz w:val="20"/>
        </w:rPr>
        <w:t>in</w:t>
      </w:r>
      <w:r>
        <w:rPr>
          <w:spacing w:val="-5"/>
          <w:sz w:val="20"/>
        </w:rPr>
        <w:t xml:space="preserve"> </w:t>
      </w:r>
      <w:r>
        <w:rPr>
          <w:sz w:val="20"/>
        </w:rPr>
        <w:t>Figure</w:t>
      </w:r>
      <w:r>
        <w:rPr>
          <w:spacing w:val="-5"/>
          <w:sz w:val="20"/>
        </w:rPr>
        <w:t xml:space="preserve"> </w:t>
      </w:r>
      <w:r>
        <w:rPr>
          <w:sz w:val="20"/>
        </w:rPr>
        <w:t>6.4.</w:t>
      </w:r>
    </w:p>
    <w:p w:rsidR="002C1123" w:rsidRDefault="00F22F94">
      <w:pPr>
        <w:pStyle w:val="ListParagraph"/>
        <w:numPr>
          <w:ilvl w:val="3"/>
          <w:numId w:val="97"/>
        </w:numPr>
        <w:tabs>
          <w:tab w:val="left" w:pos="776"/>
        </w:tabs>
        <w:spacing w:before="133" w:line="249" w:lineRule="auto"/>
        <w:ind w:right="6"/>
        <w:rPr>
          <w:sz w:val="20"/>
        </w:rPr>
      </w:pPr>
      <w:r>
        <w:rPr>
          <w:spacing w:val="-2"/>
          <w:w w:val="95"/>
          <w:sz w:val="20"/>
        </w:rPr>
        <w:t>A</w:t>
      </w:r>
      <w:r>
        <w:rPr>
          <w:spacing w:val="-4"/>
          <w:w w:val="95"/>
          <w:sz w:val="20"/>
        </w:rPr>
        <w:t xml:space="preserve"> </w:t>
      </w:r>
      <w:r>
        <w:rPr>
          <w:spacing w:val="-2"/>
          <w:w w:val="95"/>
          <w:sz w:val="20"/>
        </w:rPr>
        <w:t>Southern</w:t>
      </w:r>
      <w:r>
        <w:rPr>
          <w:spacing w:val="-4"/>
          <w:w w:val="95"/>
          <w:sz w:val="20"/>
        </w:rPr>
        <w:t xml:space="preserve"> </w:t>
      </w:r>
      <w:r>
        <w:rPr>
          <w:spacing w:val="-2"/>
          <w:w w:val="95"/>
          <w:sz w:val="20"/>
        </w:rPr>
        <w:t>Sector,</w:t>
      </w:r>
      <w:r>
        <w:rPr>
          <w:spacing w:val="-4"/>
          <w:w w:val="95"/>
          <w:sz w:val="20"/>
        </w:rPr>
        <w:t xml:space="preserve"> </w:t>
      </w:r>
      <w:r>
        <w:rPr>
          <w:spacing w:val="-2"/>
          <w:w w:val="95"/>
          <w:sz w:val="20"/>
        </w:rPr>
        <w:t>comprising</w:t>
      </w:r>
      <w:r>
        <w:rPr>
          <w:spacing w:val="-4"/>
          <w:w w:val="95"/>
          <w:sz w:val="20"/>
        </w:rPr>
        <w:t xml:space="preserve"> </w:t>
      </w:r>
      <w:r>
        <w:rPr>
          <w:spacing w:val="-2"/>
          <w:w w:val="95"/>
          <w:sz w:val="20"/>
        </w:rPr>
        <w:t>the</w:t>
      </w:r>
      <w:r>
        <w:rPr>
          <w:spacing w:val="-4"/>
          <w:w w:val="95"/>
          <w:sz w:val="20"/>
        </w:rPr>
        <w:t xml:space="preserve"> </w:t>
      </w:r>
      <w:r>
        <w:rPr>
          <w:spacing w:val="-2"/>
          <w:w w:val="95"/>
          <w:sz w:val="20"/>
        </w:rPr>
        <w:t>M5</w:t>
      </w:r>
      <w:r>
        <w:rPr>
          <w:spacing w:val="-4"/>
          <w:w w:val="95"/>
          <w:sz w:val="20"/>
        </w:rPr>
        <w:t xml:space="preserve"> </w:t>
      </w:r>
      <w:r>
        <w:rPr>
          <w:spacing w:val="-2"/>
          <w:w w:val="95"/>
          <w:sz w:val="20"/>
        </w:rPr>
        <w:t>East</w:t>
      </w:r>
      <w:r>
        <w:rPr>
          <w:spacing w:val="-4"/>
          <w:w w:val="95"/>
          <w:sz w:val="20"/>
        </w:rPr>
        <w:t xml:space="preserve"> </w:t>
      </w:r>
      <w:r>
        <w:rPr>
          <w:spacing w:val="-2"/>
          <w:w w:val="95"/>
          <w:sz w:val="20"/>
        </w:rPr>
        <w:t xml:space="preserve">Expansion </w:t>
      </w:r>
      <w:r>
        <w:rPr>
          <w:sz w:val="20"/>
        </w:rPr>
        <w:t>and</w:t>
      </w:r>
      <w:r>
        <w:rPr>
          <w:spacing w:val="-14"/>
          <w:sz w:val="20"/>
        </w:rPr>
        <w:t xml:space="preserve"> </w:t>
      </w:r>
      <w:r>
        <w:rPr>
          <w:sz w:val="20"/>
        </w:rPr>
        <w:t>the</w:t>
      </w:r>
      <w:r>
        <w:rPr>
          <w:spacing w:val="-14"/>
          <w:sz w:val="20"/>
        </w:rPr>
        <w:t xml:space="preserve"> </w:t>
      </w:r>
      <w:r>
        <w:rPr>
          <w:sz w:val="20"/>
        </w:rPr>
        <w:t>new</w:t>
      </w:r>
      <w:r>
        <w:rPr>
          <w:spacing w:val="-14"/>
          <w:sz w:val="20"/>
        </w:rPr>
        <w:t xml:space="preserve"> </w:t>
      </w:r>
      <w:r>
        <w:rPr>
          <w:sz w:val="20"/>
        </w:rPr>
        <w:t>connections</w:t>
      </w:r>
      <w:r>
        <w:rPr>
          <w:spacing w:val="-14"/>
          <w:sz w:val="20"/>
        </w:rPr>
        <w:t xml:space="preserve"> </w:t>
      </w:r>
      <w:r>
        <w:rPr>
          <w:sz w:val="20"/>
        </w:rPr>
        <w:t>proposed</w:t>
      </w:r>
      <w:r>
        <w:rPr>
          <w:spacing w:val="-14"/>
          <w:sz w:val="20"/>
        </w:rPr>
        <w:t xml:space="preserve"> </w:t>
      </w:r>
      <w:r>
        <w:rPr>
          <w:sz w:val="20"/>
        </w:rPr>
        <w:t>around</w:t>
      </w:r>
      <w:r>
        <w:rPr>
          <w:spacing w:val="-14"/>
          <w:sz w:val="20"/>
        </w:rPr>
        <w:t xml:space="preserve"> </w:t>
      </w:r>
      <w:r>
        <w:rPr>
          <w:sz w:val="20"/>
        </w:rPr>
        <w:t xml:space="preserve">Sydney </w:t>
      </w:r>
      <w:r>
        <w:rPr>
          <w:spacing w:val="-2"/>
          <w:sz w:val="20"/>
        </w:rPr>
        <w:t>Airport,</w:t>
      </w:r>
      <w:r>
        <w:rPr>
          <w:spacing w:val="-9"/>
          <w:sz w:val="20"/>
        </w:rPr>
        <w:t xml:space="preserve"> </w:t>
      </w:r>
      <w:r>
        <w:rPr>
          <w:spacing w:val="-2"/>
          <w:sz w:val="20"/>
        </w:rPr>
        <w:t>shown</w:t>
      </w:r>
      <w:r>
        <w:rPr>
          <w:spacing w:val="-9"/>
          <w:sz w:val="20"/>
        </w:rPr>
        <w:t xml:space="preserve"> </w:t>
      </w:r>
      <w:r>
        <w:rPr>
          <w:spacing w:val="-2"/>
          <w:sz w:val="20"/>
        </w:rPr>
        <w:t>in</w:t>
      </w:r>
      <w:r>
        <w:rPr>
          <w:spacing w:val="-9"/>
          <w:sz w:val="20"/>
        </w:rPr>
        <w:t xml:space="preserve"> </w:t>
      </w:r>
      <w:r>
        <w:rPr>
          <w:spacing w:val="-2"/>
          <w:sz w:val="20"/>
        </w:rPr>
        <w:t>light</w:t>
      </w:r>
      <w:r>
        <w:rPr>
          <w:spacing w:val="-9"/>
          <w:sz w:val="20"/>
        </w:rPr>
        <w:t xml:space="preserve"> </w:t>
      </w:r>
      <w:r>
        <w:rPr>
          <w:spacing w:val="-2"/>
          <w:sz w:val="20"/>
        </w:rPr>
        <w:t>blue</w:t>
      </w:r>
      <w:r>
        <w:rPr>
          <w:spacing w:val="-9"/>
          <w:sz w:val="20"/>
        </w:rPr>
        <w:t xml:space="preserve"> </w:t>
      </w:r>
      <w:r>
        <w:rPr>
          <w:spacing w:val="-2"/>
          <w:sz w:val="20"/>
        </w:rPr>
        <w:t>in</w:t>
      </w:r>
      <w:r>
        <w:rPr>
          <w:spacing w:val="-9"/>
          <w:sz w:val="20"/>
        </w:rPr>
        <w:t xml:space="preserve"> </w:t>
      </w:r>
      <w:r>
        <w:rPr>
          <w:spacing w:val="-2"/>
          <w:sz w:val="20"/>
        </w:rPr>
        <w:t>Figure</w:t>
      </w:r>
      <w:r>
        <w:rPr>
          <w:spacing w:val="-9"/>
          <w:sz w:val="20"/>
        </w:rPr>
        <w:t xml:space="preserve"> </w:t>
      </w:r>
      <w:r>
        <w:rPr>
          <w:spacing w:val="-2"/>
          <w:sz w:val="20"/>
        </w:rPr>
        <w:t>6.4.</w:t>
      </w:r>
    </w:p>
    <w:p w:rsidR="002C1123" w:rsidRDefault="00F22F94">
      <w:pPr>
        <w:pStyle w:val="BodyText"/>
        <w:spacing w:before="144" w:line="249" w:lineRule="auto"/>
        <w:ind w:left="492" w:right="285"/>
      </w:pPr>
      <w:r>
        <w:t>The</w:t>
      </w:r>
      <w:r>
        <w:rPr>
          <w:spacing w:val="-14"/>
        </w:rPr>
        <w:t xml:space="preserve"> </w:t>
      </w:r>
      <w:r>
        <w:t>timetable</w:t>
      </w:r>
      <w:r>
        <w:rPr>
          <w:spacing w:val="-14"/>
        </w:rPr>
        <w:t xml:space="preserve"> </w:t>
      </w:r>
      <w:r>
        <w:t>for</w:t>
      </w:r>
      <w:r>
        <w:rPr>
          <w:spacing w:val="-14"/>
        </w:rPr>
        <w:t xml:space="preserve"> </w:t>
      </w:r>
      <w:r>
        <w:t>delivering</w:t>
      </w:r>
      <w:r>
        <w:rPr>
          <w:spacing w:val="-14"/>
        </w:rPr>
        <w:t xml:space="preserve"> </w:t>
      </w:r>
      <w:r>
        <w:t>these</w:t>
      </w:r>
      <w:r>
        <w:rPr>
          <w:spacing w:val="-14"/>
        </w:rPr>
        <w:t xml:space="preserve"> </w:t>
      </w:r>
      <w:r>
        <w:t>stages</w:t>
      </w:r>
      <w:r>
        <w:rPr>
          <w:spacing w:val="-14"/>
        </w:rPr>
        <w:t xml:space="preserve"> </w:t>
      </w:r>
      <w:r>
        <w:t>is</w:t>
      </w:r>
      <w:r>
        <w:rPr>
          <w:spacing w:val="-14"/>
        </w:rPr>
        <w:t xml:space="preserve"> </w:t>
      </w:r>
      <w:r>
        <w:t xml:space="preserve">still </w:t>
      </w:r>
      <w:r>
        <w:rPr>
          <w:w w:val="95"/>
        </w:rPr>
        <w:t>under</w:t>
      </w:r>
      <w:r>
        <w:rPr>
          <w:spacing w:val="-5"/>
          <w:w w:val="95"/>
        </w:rPr>
        <w:t xml:space="preserve"> </w:t>
      </w:r>
      <w:r>
        <w:rPr>
          <w:w w:val="95"/>
        </w:rPr>
        <w:t>consideration,</w:t>
      </w:r>
      <w:r>
        <w:rPr>
          <w:spacing w:val="-5"/>
          <w:w w:val="95"/>
        </w:rPr>
        <w:t xml:space="preserve"> </w:t>
      </w:r>
      <w:r>
        <w:rPr>
          <w:w w:val="95"/>
        </w:rPr>
        <w:t>although</w:t>
      </w:r>
      <w:r>
        <w:rPr>
          <w:spacing w:val="-5"/>
          <w:w w:val="95"/>
        </w:rPr>
        <w:t xml:space="preserve"> </w:t>
      </w:r>
      <w:r>
        <w:rPr>
          <w:w w:val="95"/>
        </w:rPr>
        <w:t>it</w:t>
      </w:r>
      <w:r>
        <w:rPr>
          <w:spacing w:val="-5"/>
          <w:w w:val="95"/>
        </w:rPr>
        <w:t xml:space="preserve"> </w:t>
      </w:r>
      <w:r>
        <w:rPr>
          <w:w w:val="95"/>
        </w:rPr>
        <w:t>is</w:t>
      </w:r>
      <w:r>
        <w:rPr>
          <w:spacing w:val="-5"/>
          <w:w w:val="95"/>
        </w:rPr>
        <w:t xml:space="preserve"> </w:t>
      </w:r>
      <w:r>
        <w:rPr>
          <w:w w:val="95"/>
        </w:rPr>
        <w:t>likely</w:t>
      </w:r>
      <w:r>
        <w:rPr>
          <w:spacing w:val="-5"/>
          <w:w w:val="95"/>
        </w:rPr>
        <w:t xml:space="preserve"> </w:t>
      </w:r>
      <w:r>
        <w:rPr>
          <w:w w:val="95"/>
        </w:rPr>
        <w:t>that</w:t>
      </w:r>
      <w:r>
        <w:rPr>
          <w:spacing w:val="-5"/>
          <w:w w:val="95"/>
        </w:rPr>
        <w:t xml:space="preserve"> </w:t>
      </w:r>
      <w:r>
        <w:rPr>
          <w:w w:val="95"/>
        </w:rPr>
        <w:t>much</w:t>
      </w:r>
    </w:p>
    <w:p w:rsidR="002C1123" w:rsidRDefault="00F22F94">
      <w:pPr>
        <w:pStyle w:val="BodyText"/>
        <w:spacing w:before="2" w:line="249" w:lineRule="auto"/>
        <w:ind w:left="492"/>
      </w:pPr>
      <w:r>
        <w:rPr>
          <w:w w:val="95"/>
        </w:rPr>
        <w:t xml:space="preserve">development and construction would occur in parallel. Infrastructure NSW proposes WestConnex should be </w:t>
      </w:r>
      <w:r>
        <w:t>completed within ten years.</w:t>
      </w:r>
    </w:p>
    <w:p w:rsidR="002C1123" w:rsidRDefault="00F22F94">
      <w:pPr>
        <w:pStyle w:val="BodyText"/>
        <w:spacing w:before="144" w:line="249" w:lineRule="auto"/>
        <w:ind w:left="492"/>
      </w:pPr>
      <w:r>
        <w:rPr>
          <w:w w:val="95"/>
        </w:rPr>
        <w:t>Analysis</w:t>
      </w:r>
      <w:r>
        <w:rPr>
          <w:spacing w:val="-6"/>
          <w:w w:val="95"/>
        </w:rPr>
        <w:t xml:space="preserve"> </w:t>
      </w:r>
      <w:r>
        <w:rPr>
          <w:w w:val="95"/>
        </w:rPr>
        <w:t>indicates</w:t>
      </w:r>
      <w:r>
        <w:rPr>
          <w:spacing w:val="-6"/>
          <w:w w:val="95"/>
        </w:rPr>
        <w:t xml:space="preserve"> </w:t>
      </w:r>
      <w:r>
        <w:rPr>
          <w:w w:val="95"/>
        </w:rPr>
        <w:t>that</w:t>
      </w:r>
      <w:r>
        <w:rPr>
          <w:spacing w:val="-6"/>
          <w:w w:val="95"/>
        </w:rPr>
        <w:t xml:space="preserve"> </w:t>
      </w:r>
      <w:r>
        <w:rPr>
          <w:w w:val="95"/>
        </w:rPr>
        <w:t>WestConnex</w:t>
      </w:r>
      <w:r>
        <w:rPr>
          <w:spacing w:val="-6"/>
          <w:w w:val="95"/>
        </w:rPr>
        <w:t xml:space="preserve"> </w:t>
      </w:r>
      <w:r>
        <w:rPr>
          <w:w w:val="95"/>
        </w:rPr>
        <w:t>could</w:t>
      </w:r>
      <w:r>
        <w:rPr>
          <w:spacing w:val="-6"/>
          <w:w w:val="95"/>
        </w:rPr>
        <w:t xml:space="preserve"> </w:t>
      </w:r>
      <w:r>
        <w:rPr>
          <w:w w:val="95"/>
        </w:rPr>
        <w:t>be</w:t>
      </w:r>
      <w:r>
        <w:rPr>
          <w:spacing w:val="-6"/>
          <w:w w:val="95"/>
        </w:rPr>
        <w:t xml:space="preserve"> </w:t>
      </w:r>
      <w:r>
        <w:rPr>
          <w:w w:val="95"/>
        </w:rPr>
        <w:t xml:space="preserve">primarily </w:t>
      </w:r>
      <w:r>
        <w:t>funded</w:t>
      </w:r>
      <w:r>
        <w:rPr>
          <w:spacing w:val="-2"/>
        </w:rPr>
        <w:t xml:space="preserve"> </w:t>
      </w:r>
      <w:r>
        <w:t>by</w:t>
      </w:r>
      <w:r>
        <w:rPr>
          <w:spacing w:val="-2"/>
        </w:rPr>
        <w:t xml:space="preserve"> </w:t>
      </w:r>
      <w:r>
        <w:t>user</w:t>
      </w:r>
      <w:r>
        <w:rPr>
          <w:spacing w:val="-2"/>
        </w:rPr>
        <w:t xml:space="preserve"> </w:t>
      </w:r>
      <w:r>
        <w:t>contributions</w:t>
      </w:r>
      <w:r>
        <w:rPr>
          <w:spacing w:val="-2"/>
        </w:rPr>
        <w:t xml:space="preserve"> </w:t>
      </w:r>
      <w:r>
        <w:t>supported</w:t>
      </w:r>
      <w:r>
        <w:rPr>
          <w:spacing w:val="-2"/>
        </w:rPr>
        <w:t xml:space="preserve"> </w:t>
      </w:r>
      <w:r>
        <w:t>by</w:t>
      </w:r>
      <w:r>
        <w:rPr>
          <w:spacing w:val="-2"/>
        </w:rPr>
        <w:t xml:space="preserve"> </w:t>
      </w:r>
      <w:r>
        <w:t>limited government</w:t>
      </w:r>
      <w:r>
        <w:rPr>
          <w:spacing w:val="-11"/>
        </w:rPr>
        <w:t xml:space="preserve"> </w:t>
      </w:r>
      <w:r>
        <w:t>support.</w:t>
      </w:r>
    </w:p>
    <w:p w:rsidR="002C1123" w:rsidRDefault="00F22F94">
      <w:pPr>
        <w:pStyle w:val="BodyText"/>
        <w:spacing w:before="144" w:line="249" w:lineRule="auto"/>
        <w:ind w:left="492"/>
      </w:pPr>
      <w:r>
        <w:t>The</w:t>
      </w:r>
      <w:r>
        <w:rPr>
          <w:spacing w:val="-13"/>
        </w:rPr>
        <w:t xml:space="preserve"> </w:t>
      </w:r>
      <w:r>
        <w:t>tolling</w:t>
      </w:r>
      <w:r>
        <w:rPr>
          <w:spacing w:val="-13"/>
        </w:rPr>
        <w:t xml:space="preserve"> </w:t>
      </w:r>
      <w:r>
        <w:t>arrangements</w:t>
      </w:r>
      <w:r>
        <w:rPr>
          <w:spacing w:val="-13"/>
        </w:rPr>
        <w:t xml:space="preserve"> </w:t>
      </w:r>
      <w:r>
        <w:t>for</w:t>
      </w:r>
      <w:r>
        <w:rPr>
          <w:spacing w:val="-13"/>
        </w:rPr>
        <w:t xml:space="preserve"> </w:t>
      </w:r>
      <w:r>
        <w:t>WestConnex</w:t>
      </w:r>
      <w:r>
        <w:rPr>
          <w:spacing w:val="-13"/>
        </w:rPr>
        <w:t xml:space="preserve"> </w:t>
      </w:r>
      <w:r>
        <w:t>would</w:t>
      </w:r>
      <w:r>
        <w:rPr>
          <w:spacing w:val="-13"/>
        </w:rPr>
        <w:t xml:space="preserve"> </w:t>
      </w:r>
      <w:r>
        <w:t>be based</w:t>
      </w:r>
      <w:r>
        <w:rPr>
          <w:spacing w:val="-11"/>
        </w:rPr>
        <w:t xml:space="preserve"> </w:t>
      </w:r>
      <w:r>
        <w:t>on</w:t>
      </w:r>
      <w:r>
        <w:rPr>
          <w:spacing w:val="-11"/>
        </w:rPr>
        <w:t xml:space="preserve"> </w:t>
      </w:r>
      <w:r>
        <w:t>experience</w:t>
      </w:r>
      <w:r>
        <w:rPr>
          <w:spacing w:val="-11"/>
        </w:rPr>
        <w:t xml:space="preserve"> </w:t>
      </w:r>
      <w:r>
        <w:t>on</w:t>
      </w:r>
      <w:r>
        <w:rPr>
          <w:spacing w:val="-11"/>
        </w:rPr>
        <w:t xml:space="preserve"> </w:t>
      </w:r>
      <w:r>
        <w:t>other</w:t>
      </w:r>
      <w:r>
        <w:rPr>
          <w:spacing w:val="-11"/>
        </w:rPr>
        <w:t xml:space="preserve"> </w:t>
      </w:r>
      <w:r>
        <w:t>roads,</w:t>
      </w:r>
      <w:r>
        <w:rPr>
          <w:spacing w:val="-11"/>
        </w:rPr>
        <w:t xml:space="preserve"> </w:t>
      </w:r>
      <w:r>
        <w:t>in</w:t>
      </w:r>
      <w:r>
        <w:rPr>
          <w:spacing w:val="-11"/>
        </w:rPr>
        <w:t xml:space="preserve"> </w:t>
      </w:r>
      <w:r>
        <w:t>particular</w:t>
      </w:r>
      <w:r>
        <w:rPr>
          <w:spacing w:val="-11"/>
        </w:rPr>
        <w:t xml:space="preserve"> </w:t>
      </w:r>
      <w:r>
        <w:t xml:space="preserve">the </w:t>
      </w:r>
      <w:r>
        <w:rPr>
          <w:spacing w:val="-2"/>
        </w:rPr>
        <w:t>M7.</w:t>
      </w:r>
      <w:r>
        <w:rPr>
          <w:spacing w:val="-10"/>
        </w:rPr>
        <w:t xml:space="preserve"> </w:t>
      </w:r>
      <w:r>
        <w:rPr>
          <w:spacing w:val="-2"/>
        </w:rPr>
        <w:t>It</w:t>
      </w:r>
      <w:r>
        <w:rPr>
          <w:spacing w:val="-10"/>
        </w:rPr>
        <w:t xml:space="preserve"> </w:t>
      </w:r>
      <w:r>
        <w:rPr>
          <w:spacing w:val="-2"/>
        </w:rPr>
        <w:t>is</w:t>
      </w:r>
      <w:r>
        <w:rPr>
          <w:spacing w:val="-10"/>
        </w:rPr>
        <w:t xml:space="preserve"> </w:t>
      </w:r>
      <w:r>
        <w:rPr>
          <w:spacing w:val="-2"/>
        </w:rPr>
        <w:t>proposed</w:t>
      </w:r>
      <w:r>
        <w:rPr>
          <w:spacing w:val="-10"/>
        </w:rPr>
        <w:t xml:space="preserve"> </w:t>
      </w:r>
      <w:r>
        <w:rPr>
          <w:spacing w:val="-2"/>
        </w:rPr>
        <w:t>that</w:t>
      </w:r>
      <w:r>
        <w:rPr>
          <w:spacing w:val="-10"/>
        </w:rPr>
        <w:t xml:space="preserve"> </w:t>
      </w:r>
      <w:r>
        <w:rPr>
          <w:spacing w:val="-2"/>
        </w:rPr>
        <w:t>WestConnex’s</w:t>
      </w:r>
      <w:r>
        <w:rPr>
          <w:spacing w:val="-10"/>
        </w:rPr>
        <w:t xml:space="preserve"> </w:t>
      </w:r>
      <w:r>
        <w:rPr>
          <w:spacing w:val="-2"/>
        </w:rPr>
        <w:t>tolls</w:t>
      </w:r>
      <w:r>
        <w:rPr>
          <w:spacing w:val="-10"/>
        </w:rPr>
        <w:t xml:space="preserve"> </w:t>
      </w:r>
      <w:r>
        <w:rPr>
          <w:spacing w:val="-2"/>
        </w:rPr>
        <w:t>will</w:t>
      </w:r>
      <w:r>
        <w:rPr>
          <w:spacing w:val="-10"/>
        </w:rPr>
        <w:t xml:space="preserve"> </w:t>
      </w:r>
      <w:r>
        <w:rPr>
          <w:spacing w:val="-2"/>
        </w:rPr>
        <w:t xml:space="preserve">comprise </w:t>
      </w:r>
      <w:r>
        <w:t>a</w:t>
      </w:r>
      <w:r>
        <w:rPr>
          <w:spacing w:val="-11"/>
        </w:rPr>
        <w:t xml:space="preserve"> </w:t>
      </w:r>
      <w:r>
        <w:t>distance-based</w:t>
      </w:r>
      <w:r>
        <w:rPr>
          <w:spacing w:val="-11"/>
        </w:rPr>
        <w:t xml:space="preserve"> </w:t>
      </w:r>
      <w:r>
        <w:t>charge,</w:t>
      </w:r>
      <w:r>
        <w:rPr>
          <w:spacing w:val="-11"/>
        </w:rPr>
        <w:t xml:space="preserve"> </w:t>
      </w:r>
      <w:r>
        <w:t>a</w:t>
      </w:r>
      <w:r>
        <w:rPr>
          <w:spacing w:val="-11"/>
        </w:rPr>
        <w:t xml:space="preserve"> </w:t>
      </w:r>
      <w:r>
        <w:t>flagfall</w:t>
      </w:r>
      <w:r>
        <w:rPr>
          <w:spacing w:val="-11"/>
        </w:rPr>
        <w:t xml:space="preserve"> </w:t>
      </w:r>
      <w:r>
        <w:t>charge</w:t>
      </w:r>
      <w:r>
        <w:rPr>
          <w:spacing w:val="-11"/>
        </w:rPr>
        <w:t xml:space="preserve"> </w:t>
      </w:r>
      <w:r>
        <w:t>and</w:t>
      </w:r>
      <w:r>
        <w:rPr>
          <w:spacing w:val="-11"/>
        </w:rPr>
        <w:t xml:space="preserve"> </w:t>
      </w:r>
      <w:r>
        <w:t xml:space="preserve">a </w:t>
      </w:r>
      <w:r>
        <w:rPr>
          <w:w w:val="95"/>
        </w:rPr>
        <w:t>maximum</w:t>
      </w:r>
      <w:r>
        <w:rPr>
          <w:spacing w:val="-4"/>
          <w:w w:val="95"/>
        </w:rPr>
        <w:t xml:space="preserve"> </w:t>
      </w:r>
      <w:r>
        <w:rPr>
          <w:w w:val="95"/>
        </w:rPr>
        <w:t>toll</w:t>
      </w:r>
      <w:r>
        <w:rPr>
          <w:spacing w:val="-3"/>
          <w:w w:val="95"/>
        </w:rPr>
        <w:t xml:space="preserve"> </w:t>
      </w:r>
      <w:r>
        <w:rPr>
          <w:w w:val="95"/>
        </w:rPr>
        <w:t>cap.</w:t>
      </w:r>
      <w:r>
        <w:rPr>
          <w:spacing w:val="-3"/>
          <w:w w:val="95"/>
        </w:rPr>
        <w:t xml:space="preserve"> </w:t>
      </w:r>
      <w:r>
        <w:rPr>
          <w:w w:val="95"/>
        </w:rPr>
        <w:t>The</w:t>
      </w:r>
      <w:r>
        <w:rPr>
          <w:spacing w:val="-3"/>
          <w:w w:val="95"/>
        </w:rPr>
        <w:t xml:space="preserve"> </w:t>
      </w:r>
      <w:r>
        <w:rPr>
          <w:w w:val="95"/>
        </w:rPr>
        <w:t>exact</w:t>
      </w:r>
      <w:r>
        <w:rPr>
          <w:spacing w:val="-3"/>
          <w:w w:val="95"/>
        </w:rPr>
        <w:t xml:space="preserve"> </w:t>
      </w:r>
      <w:r>
        <w:rPr>
          <w:w w:val="95"/>
        </w:rPr>
        <w:t>tolling</w:t>
      </w:r>
      <w:r>
        <w:rPr>
          <w:spacing w:val="-3"/>
          <w:w w:val="95"/>
        </w:rPr>
        <w:t xml:space="preserve"> </w:t>
      </w:r>
      <w:r>
        <w:rPr>
          <w:w w:val="95"/>
        </w:rPr>
        <w:t>mix</w:t>
      </w:r>
      <w:r>
        <w:rPr>
          <w:spacing w:val="-3"/>
          <w:w w:val="95"/>
        </w:rPr>
        <w:t xml:space="preserve"> </w:t>
      </w:r>
      <w:r>
        <w:rPr>
          <w:w w:val="95"/>
        </w:rPr>
        <w:t>would</w:t>
      </w:r>
      <w:r>
        <w:rPr>
          <w:spacing w:val="-3"/>
          <w:w w:val="95"/>
        </w:rPr>
        <w:t xml:space="preserve"> </w:t>
      </w:r>
      <w:r>
        <w:rPr>
          <w:w w:val="95"/>
        </w:rPr>
        <w:t>be</w:t>
      </w:r>
      <w:r>
        <w:rPr>
          <w:spacing w:val="-3"/>
          <w:w w:val="95"/>
        </w:rPr>
        <w:t xml:space="preserve"> </w:t>
      </w:r>
      <w:r>
        <w:rPr>
          <w:w w:val="95"/>
        </w:rPr>
        <w:t xml:space="preserve">subject </w:t>
      </w:r>
      <w:r>
        <w:t>to</w:t>
      </w:r>
      <w:r>
        <w:rPr>
          <w:spacing w:val="-14"/>
        </w:rPr>
        <w:t xml:space="preserve"> </w:t>
      </w:r>
      <w:r>
        <w:t>detailed</w:t>
      </w:r>
      <w:r>
        <w:rPr>
          <w:spacing w:val="-14"/>
        </w:rPr>
        <w:t xml:space="preserve"> </w:t>
      </w:r>
      <w:r>
        <w:t>development,</w:t>
      </w:r>
      <w:r>
        <w:rPr>
          <w:spacing w:val="-14"/>
        </w:rPr>
        <w:t xml:space="preserve"> </w:t>
      </w:r>
      <w:r>
        <w:t>should</w:t>
      </w:r>
      <w:r>
        <w:rPr>
          <w:spacing w:val="-14"/>
        </w:rPr>
        <w:t xml:space="preserve"> </w:t>
      </w:r>
      <w:r>
        <w:t>Government</w:t>
      </w:r>
      <w:r>
        <w:rPr>
          <w:spacing w:val="-14"/>
        </w:rPr>
        <w:t xml:space="preserve"> </w:t>
      </w:r>
      <w:r>
        <w:t>decide</w:t>
      </w:r>
      <w:r>
        <w:rPr>
          <w:spacing w:val="-14"/>
        </w:rPr>
        <w:t xml:space="preserve"> </w:t>
      </w:r>
      <w:r>
        <w:t xml:space="preserve">to </w:t>
      </w:r>
      <w:r>
        <w:rPr>
          <w:w w:val="95"/>
        </w:rPr>
        <w:t xml:space="preserve">progress WestConnex. Alternative funding mechanisms, </w:t>
      </w:r>
      <w:r>
        <w:t>which</w:t>
      </w:r>
      <w:r>
        <w:rPr>
          <w:spacing w:val="-14"/>
        </w:rPr>
        <w:t xml:space="preserve"> </w:t>
      </w:r>
      <w:r>
        <w:t>may</w:t>
      </w:r>
      <w:r>
        <w:rPr>
          <w:spacing w:val="-14"/>
        </w:rPr>
        <w:t xml:space="preserve"> </w:t>
      </w:r>
      <w:r>
        <w:t>include</w:t>
      </w:r>
      <w:r>
        <w:rPr>
          <w:spacing w:val="-14"/>
        </w:rPr>
        <w:t xml:space="preserve"> </w:t>
      </w:r>
      <w:r>
        <w:t>some</w:t>
      </w:r>
      <w:r>
        <w:rPr>
          <w:spacing w:val="-13"/>
        </w:rPr>
        <w:t xml:space="preserve"> </w:t>
      </w:r>
      <w:r>
        <w:t>degree</w:t>
      </w:r>
      <w:r>
        <w:rPr>
          <w:spacing w:val="-14"/>
        </w:rPr>
        <w:t xml:space="preserve"> </w:t>
      </w:r>
      <w:r>
        <w:t>of</w:t>
      </w:r>
      <w:r>
        <w:rPr>
          <w:spacing w:val="-14"/>
        </w:rPr>
        <w:t xml:space="preserve"> </w:t>
      </w:r>
      <w:r>
        <w:t>value</w:t>
      </w:r>
      <w:r>
        <w:rPr>
          <w:spacing w:val="-14"/>
        </w:rPr>
        <w:t xml:space="preserve"> </w:t>
      </w:r>
      <w:r>
        <w:t>capture,</w:t>
      </w:r>
      <w:r>
        <w:rPr>
          <w:spacing w:val="-13"/>
        </w:rPr>
        <w:t xml:space="preserve"> </w:t>
      </w:r>
      <w:r>
        <w:t xml:space="preserve">will </w:t>
      </w:r>
      <w:r>
        <w:rPr>
          <w:w w:val="95"/>
        </w:rPr>
        <w:t xml:space="preserve">also be taken into consideration, should the Government </w:t>
      </w:r>
      <w:r>
        <w:t>choose to proceed with the scheme.</w:t>
      </w:r>
    </w:p>
    <w:p w:rsidR="002C1123" w:rsidRDefault="00F22F94">
      <w:pPr>
        <w:pStyle w:val="BodyText"/>
        <w:spacing w:before="108" w:line="249" w:lineRule="auto"/>
        <w:ind w:left="187" w:right="266"/>
      </w:pPr>
      <w:r>
        <w:br w:type="column"/>
      </w:r>
      <w:r>
        <w:rPr>
          <w:w w:val="95"/>
        </w:rPr>
        <w:t>WestConnex would require loan financing to bridge the</w:t>
      </w:r>
      <w:r>
        <w:rPr>
          <w:spacing w:val="-4"/>
          <w:w w:val="95"/>
        </w:rPr>
        <w:t xml:space="preserve"> </w:t>
      </w:r>
      <w:r>
        <w:rPr>
          <w:w w:val="95"/>
        </w:rPr>
        <w:t>timing</w:t>
      </w:r>
      <w:r>
        <w:rPr>
          <w:spacing w:val="-4"/>
          <w:w w:val="95"/>
        </w:rPr>
        <w:t xml:space="preserve"> </w:t>
      </w:r>
      <w:r>
        <w:rPr>
          <w:w w:val="95"/>
        </w:rPr>
        <w:t>gap</w:t>
      </w:r>
      <w:r>
        <w:rPr>
          <w:spacing w:val="-4"/>
          <w:w w:val="95"/>
        </w:rPr>
        <w:t xml:space="preserve"> </w:t>
      </w:r>
      <w:r>
        <w:rPr>
          <w:w w:val="95"/>
        </w:rPr>
        <w:t>between</w:t>
      </w:r>
      <w:r>
        <w:rPr>
          <w:spacing w:val="-4"/>
          <w:w w:val="95"/>
        </w:rPr>
        <w:t xml:space="preserve"> </w:t>
      </w:r>
      <w:r>
        <w:rPr>
          <w:w w:val="95"/>
        </w:rPr>
        <w:t>capital</w:t>
      </w:r>
      <w:r>
        <w:rPr>
          <w:spacing w:val="-4"/>
          <w:w w:val="95"/>
        </w:rPr>
        <w:t xml:space="preserve"> </w:t>
      </w:r>
      <w:r>
        <w:rPr>
          <w:w w:val="95"/>
        </w:rPr>
        <w:t>expenditure</w:t>
      </w:r>
      <w:r>
        <w:rPr>
          <w:spacing w:val="-4"/>
          <w:w w:val="95"/>
        </w:rPr>
        <w:t xml:space="preserve"> </w:t>
      </w:r>
      <w:r>
        <w:rPr>
          <w:w w:val="95"/>
        </w:rPr>
        <w:t>and</w:t>
      </w:r>
      <w:r>
        <w:rPr>
          <w:spacing w:val="-4"/>
          <w:w w:val="95"/>
        </w:rPr>
        <w:t xml:space="preserve"> </w:t>
      </w:r>
      <w:r>
        <w:rPr>
          <w:w w:val="95"/>
        </w:rPr>
        <w:t>future toll</w:t>
      </w:r>
      <w:r>
        <w:rPr>
          <w:spacing w:val="-12"/>
          <w:w w:val="95"/>
        </w:rPr>
        <w:t xml:space="preserve"> </w:t>
      </w:r>
      <w:r>
        <w:rPr>
          <w:w w:val="95"/>
        </w:rPr>
        <w:t>revenues.</w:t>
      </w:r>
      <w:r>
        <w:rPr>
          <w:spacing w:val="-11"/>
          <w:w w:val="95"/>
        </w:rPr>
        <w:t xml:space="preserve"> </w:t>
      </w:r>
      <w:r>
        <w:rPr>
          <w:w w:val="95"/>
        </w:rPr>
        <w:t>An</w:t>
      </w:r>
      <w:r>
        <w:rPr>
          <w:spacing w:val="-11"/>
          <w:w w:val="95"/>
        </w:rPr>
        <w:t xml:space="preserve"> </w:t>
      </w:r>
      <w:r>
        <w:rPr>
          <w:w w:val="95"/>
        </w:rPr>
        <w:t>element</w:t>
      </w:r>
      <w:r>
        <w:rPr>
          <w:spacing w:val="-11"/>
          <w:w w:val="95"/>
        </w:rPr>
        <w:t xml:space="preserve"> </w:t>
      </w:r>
      <w:r>
        <w:rPr>
          <w:w w:val="95"/>
        </w:rPr>
        <w:t>of</w:t>
      </w:r>
      <w:r>
        <w:rPr>
          <w:spacing w:val="-12"/>
          <w:w w:val="95"/>
        </w:rPr>
        <w:t xml:space="preserve"> </w:t>
      </w:r>
      <w:r>
        <w:rPr>
          <w:w w:val="95"/>
        </w:rPr>
        <w:t>private</w:t>
      </w:r>
      <w:r>
        <w:rPr>
          <w:spacing w:val="-11"/>
          <w:w w:val="95"/>
        </w:rPr>
        <w:t xml:space="preserve"> </w:t>
      </w:r>
      <w:r>
        <w:rPr>
          <w:w w:val="95"/>
        </w:rPr>
        <w:t>financing</w:t>
      </w:r>
      <w:r>
        <w:rPr>
          <w:spacing w:val="-11"/>
          <w:w w:val="95"/>
        </w:rPr>
        <w:t xml:space="preserve"> </w:t>
      </w:r>
      <w:r>
        <w:rPr>
          <w:w w:val="95"/>
        </w:rPr>
        <w:t>would</w:t>
      </w:r>
      <w:r>
        <w:rPr>
          <w:spacing w:val="-11"/>
          <w:w w:val="95"/>
        </w:rPr>
        <w:t xml:space="preserve"> </w:t>
      </w:r>
      <w:r>
        <w:rPr>
          <w:w w:val="95"/>
        </w:rPr>
        <w:t>be adopted</w:t>
      </w:r>
      <w:r>
        <w:rPr>
          <w:spacing w:val="-12"/>
          <w:w w:val="95"/>
        </w:rPr>
        <w:t xml:space="preserve"> </w:t>
      </w:r>
      <w:r>
        <w:rPr>
          <w:w w:val="95"/>
        </w:rPr>
        <w:t>to</w:t>
      </w:r>
      <w:r>
        <w:rPr>
          <w:spacing w:val="-11"/>
          <w:w w:val="95"/>
        </w:rPr>
        <w:t xml:space="preserve"> </w:t>
      </w:r>
      <w:r>
        <w:rPr>
          <w:w w:val="95"/>
        </w:rPr>
        <w:t>manage</w:t>
      </w:r>
      <w:r>
        <w:rPr>
          <w:spacing w:val="-11"/>
          <w:w w:val="95"/>
        </w:rPr>
        <w:t xml:space="preserve"> </w:t>
      </w:r>
      <w:r>
        <w:rPr>
          <w:w w:val="95"/>
        </w:rPr>
        <w:t>project</w:t>
      </w:r>
      <w:r>
        <w:rPr>
          <w:spacing w:val="-11"/>
          <w:w w:val="95"/>
        </w:rPr>
        <w:t xml:space="preserve"> </w:t>
      </w:r>
      <w:r>
        <w:rPr>
          <w:w w:val="95"/>
        </w:rPr>
        <w:t>delivery</w:t>
      </w:r>
      <w:r>
        <w:rPr>
          <w:spacing w:val="-12"/>
          <w:w w:val="95"/>
        </w:rPr>
        <w:t xml:space="preserve"> </w:t>
      </w:r>
      <w:r>
        <w:rPr>
          <w:w w:val="95"/>
        </w:rPr>
        <w:t>risks,</w:t>
      </w:r>
      <w:r>
        <w:rPr>
          <w:spacing w:val="-11"/>
          <w:w w:val="95"/>
        </w:rPr>
        <w:t xml:space="preserve"> </w:t>
      </w:r>
      <w:r>
        <w:rPr>
          <w:w w:val="95"/>
        </w:rPr>
        <w:t>but</w:t>
      </w:r>
      <w:r>
        <w:rPr>
          <w:spacing w:val="-11"/>
          <w:w w:val="95"/>
        </w:rPr>
        <w:t xml:space="preserve"> </w:t>
      </w:r>
      <w:r>
        <w:rPr>
          <w:w w:val="95"/>
        </w:rPr>
        <w:t>given</w:t>
      </w:r>
      <w:r>
        <w:rPr>
          <w:spacing w:val="-11"/>
          <w:w w:val="95"/>
        </w:rPr>
        <w:t xml:space="preserve"> </w:t>
      </w:r>
      <w:r>
        <w:rPr>
          <w:w w:val="95"/>
        </w:rPr>
        <w:t>the</w:t>
      </w:r>
    </w:p>
    <w:p w:rsidR="002C1123" w:rsidRDefault="00F22F94">
      <w:pPr>
        <w:pStyle w:val="BodyText"/>
        <w:spacing w:before="3" w:line="249" w:lineRule="auto"/>
        <w:ind w:left="187"/>
      </w:pPr>
      <w:r>
        <w:rPr>
          <w:spacing w:val="-2"/>
          <w:w w:val="95"/>
        </w:rPr>
        <w:t>pricing</w:t>
      </w:r>
      <w:r>
        <w:rPr>
          <w:spacing w:val="-6"/>
          <w:w w:val="95"/>
        </w:rPr>
        <w:t xml:space="preserve"> </w:t>
      </w:r>
      <w:r>
        <w:rPr>
          <w:spacing w:val="-2"/>
          <w:w w:val="95"/>
        </w:rPr>
        <w:t>of</w:t>
      </w:r>
      <w:r>
        <w:rPr>
          <w:spacing w:val="-6"/>
          <w:w w:val="95"/>
        </w:rPr>
        <w:t xml:space="preserve"> </w:t>
      </w:r>
      <w:r>
        <w:rPr>
          <w:spacing w:val="-2"/>
          <w:w w:val="95"/>
        </w:rPr>
        <w:t>risk</w:t>
      </w:r>
      <w:r>
        <w:rPr>
          <w:spacing w:val="-6"/>
          <w:w w:val="95"/>
        </w:rPr>
        <w:t xml:space="preserve"> </w:t>
      </w:r>
      <w:r>
        <w:rPr>
          <w:spacing w:val="-2"/>
          <w:w w:val="95"/>
        </w:rPr>
        <w:t>in</w:t>
      </w:r>
      <w:r>
        <w:rPr>
          <w:spacing w:val="-6"/>
          <w:w w:val="95"/>
        </w:rPr>
        <w:t xml:space="preserve"> </w:t>
      </w:r>
      <w:r>
        <w:rPr>
          <w:spacing w:val="-2"/>
          <w:w w:val="95"/>
        </w:rPr>
        <w:t>the</w:t>
      </w:r>
      <w:r>
        <w:rPr>
          <w:spacing w:val="-6"/>
          <w:w w:val="95"/>
        </w:rPr>
        <w:t xml:space="preserve"> </w:t>
      </w:r>
      <w:r>
        <w:rPr>
          <w:spacing w:val="-2"/>
          <w:w w:val="95"/>
        </w:rPr>
        <w:t>current</w:t>
      </w:r>
      <w:r>
        <w:rPr>
          <w:spacing w:val="-6"/>
          <w:w w:val="95"/>
        </w:rPr>
        <w:t xml:space="preserve"> </w:t>
      </w:r>
      <w:r>
        <w:rPr>
          <w:spacing w:val="-2"/>
          <w:w w:val="95"/>
        </w:rPr>
        <w:t>financial</w:t>
      </w:r>
      <w:r>
        <w:rPr>
          <w:spacing w:val="-6"/>
          <w:w w:val="95"/>
        </w:rPr>
        <w:t xml:space="preserve"> </w:t>
      </w:r>
      <w:r>
        <w:rPr>
          <w:spacing w:val="-2"/>
          <w:w w:val="95"/>
        </w:rPr>
        <w:t>markets,</w:t>
      </w:r>
      <w:r>
        <w:rPr>
          <w:spacing w:val="-6"/>
          <w:w w:val="95"/>
        </w:rPr>
        <w:t xml:space="preserve"> </w:t>
      </w:r>
      <w:r>
        <w:rPr>
          <w:spacing w:val="-2"/>
          <w:w w:val="95"/>
        </w:rPr>
        <w:t xml:space="preserve">Government </w:t>
      </w:r>
      <w:r>
        <w:rPr>
          <w:w w:val="95"/>
        </w:rPr>
        <w:t>financing</w:t>
      </w:r>
      <w:r>
        <w:rPr>
          <w:spacing w:val="-8"/>
          <w:w w:val="95"/>
        </w:rPr>
        <w:t xml:space="preserve"> </w:t>
      </w:r>
      <w:r>
        <w:rPr>
          <w:w w:val="95"/>
        </w:rPr>
        <w:t>and</w:t>
      </w:r>
      <w:r>
        <w:rPr>
          <w:spacing w:val="-8"/>
          <w:w w:val="95"/>
        </w:rPr>
        <w:t xml:space="preserve"> </w:t>
      </w:r>
      <w:r>
        <w:rPr>
          <w:w w:val="95"/>
        </w:rPr>
        <w:t>risk</w:t>
      </w:r>
      <w:r>
        <w:rPr>
          <w:spacing w:val="-8"/>
          <w:w w:val="95"/>
        </w:rPr>
        <w:t xml:space="preserve"> </w:t>
      </w:r>
      <w:r>
        <w:rPr>
          <w:w w:val="95"/>
        </w:rPr>
        <w:t>sharing</w:t>
      </w:r>
      <w:r>
        <w:rPr>
          <w:spacing w:val="-8"/>
          <w:w w:val="95"/>
        </w:rPr>
        <w:t xml:space="preserve"> </w:t>
      </w:r>
      <w:r>
        <w:rPr>
          <w:w w:val="95"/>
        </w:rPr>
        <w:t>may</w:t>
      </w:r>
      <w:r>
        <w:rPr>
          <w:spacing w:val="-8"/>
          <w:w w:val="95"/>
        </w:rPr>
        <w:t xml:space="preserve"> </w:t>
      </w:r>
      <w:r>
        <w:rPr>
          <w:w w:val="95"/>
        </w:rPr>
        <w:t>also</w:t>
      </w:r>
      <w:r>
        <w:rPr>
          <w:spacing w:val="-8"/>
          <w:w w:val="95"/>
        </w:rPr>
        <w:t xml:space="preserve"> </w:t>
      </w:r>
      <w:r>
        <w:rPr>
          <w:w w:val="95"/>
        </w:rPr>
        <w:t>be</w:t>
      </w:r>
      <w:r>
        <w:rPr>
          <w:spacing w:val="-8"/>
          <w:w w:val="95"/>
        </w:rPr>
        <w:t xml:space="preserve"> </w:t>
      </w:r>
      <w:r>
        <w:rPr>
          <w:w w:val="95"/>
        </w:rPr>
        <w:t>required</w:t>
      </w:r>
      <w:r>
        <w:rPr>
          <w:spacing w:val="-8"/>
          <w:w w:val="95"/>
        </w:rPr>
        <w:t xml:space="preserve"> </w:t>
      </w:r>
      <w:r>
        <w:rPr>
          <w:w w:val="95"/>
        </w:rPr>
        <w:t>to</w:t>
      </w:r>
      <w:r>
        <w:rPr>
          <w:spacing w:val="-8"/>
          <w:w w:val="95"/>
        </w:rPr>
        <w:t xml:space="preserve"> </w:t>
      </w:r>
      <w:r>
        <w:rPr>
          <w:w w:val="95"/>
        </w:rPr>
        <w:t xml:space="preserve">ensure a value-for-money outcome. These financing issues are </w:t>
      </w:r>
      <w:r>
        <w:t>discussed</w:t>
      </w:r>
      <w:r>
        <w:rPr>
          <w:spacing w:val="-13"/>
        </w:rPr>
        <w:t xml:space="preserve"> </w:t>
      </w:r>
      <w:r>
        <w:t>in</w:t>
      </w:r>
      <w:r>
        <w:rPr>
          <w:spacing w:val="-13"/>
        </w:rPr>
        <w:t xml:space="preserve"> </w:t>
      </w:r>
      <w:r>
        <w:t>more</w:t>
      </w:r>
      <w:r>
        <w:rPr>
          <w:spacing w:val="-13"/>
        </w:rPr>
        <w:t xml:space="preserve"> </w:t>
      </w:r>
      <w:r>
        <w:t>depth</w:t>
      </w:r>
      <w:r>
        <w:rPr>
          <w:spacing w:val="-13"/>
        </w:rPr>
        <w:t xml:space="preserve"> </w:t>
      </w:r>
      <w:r>
        <w:t>in</w:t>
      </w:r>
      <w:r>
        <w:rPr>
          <w:spacing w:val="-13"/>
        </w:rPr>
        <w:t xml:space="preserve"> </w:t>
      </w:r>
      <w:r>
        <w:t>Section</w:t>
      </w:r>
      <w:r>
        <w:rPr>
          <w:spacing w:val="-13"/>
        </w:rPr>
        <w:t xml:space="preserve"> </w:t>
      </w:r>
      <w:r>
        <w:t>16.</w:t>
      </w:r>
    </w:p>
    <w:p w:rsidR="002C1123" w:rsidRDefault="00F22F94">
      <w:pPr>
        <w:pStyle w:val="Heading6"/>
        <w:numPr>
          <w:ilvl w:val="2"/>
          <w:numId w:val="97"/>
        </w:numPr>
        <w:tabs>
          <w:tab w:val="left" w:pos="674"/>
        </w:tabs>
        <w:spacing w:before="145"/>
        <w:ind w:left="673" w:hanging="487"/>
        <w:jc w:val="left"/>
      </w:pPr>
      <w:r>
        <w:rPr>
          <w:color w:val="00AEEF"/>
        </w:rPr>
        <w:t>Next</w:t>
      </w:r>
      <w:r>
        <w:rPr>
          <w:color w:val="00AEEF"/>
          <w:spacing w:val="-10"/>
        </w:rPr>
        <w:t xml:space="preserve"> </w:t>
      </w:r>
      <w:r>
        <w:rPr>
          <w:color w:val="00AEEF"/>
          <w:spacing w:val="-2"/>
        </w:rPr>
        <w:t>Steps</w:t>
      </w:r>
    </w:p>
    <w:p w:rsidR="002C1123" w:rsidRDefault="00F22F94">
      <w:pPr>
        <w:pStyle w:val="BodyText"/>
        <w:spacing w:before="95" w:line="249" w:lineRule="auto"/>
        <w:ind w:left="187" w:right="266"/>
      </w:pPr>
      <w:r>
        <w:rPr>
          <w:w w:val="95"/>
        </w:rPr>
        <w:t>The</w:t>
      </w:r>
      <w:r>
        <w:rPr>
          <w:spacing w:val="-4"/>
          <w:w w:val="95"/>
        </w:rPr>
        <w:t xml:space="preserve"> </w:t>
      </w:r>
      <w:r>
        <w:rPr>
          <w:w w:val="95"/>
        </w:rPr>
        <w:t>scale</w:t>
      </w:r>
      <w:r>
        <w:rPr>
          <w:spacing w:val="-4"/>
          <w:w w:val="95"/>
        </w:rPr>
        <w:t xml:space="preserve"> </w:t>
      </w:r>
      <w:r>
        <w:rPr>
          <w:w w:val="95"/>
        </w:rPr>
        <w:t>and</w:t>
      </w:r>
      <w:r>
        <w:rPr>
          <w:spacing w:val="-4"/>
          <w:w w:val="95"/>
        </w:rPr>
        <w:t xml:space="preserve"> </w:t>
      </w:r>
      <w:r>
        <w:rPr>
          <w:w w:val="95"/>
        </w:rPr>
        <w:t>complexity</w:t>
      </w:r>
      <w:r>
        <w:rPr>
          <w:spacing w:val="-4"/>
          <w:w w:val="95"/>
        </w:rPr>
        <w:t xml:space="preserve"> </w:t>
      </w:r>
      <w:r>
        <w:rPr>
          <w:w w:val="95"/>
        </w:rPr>
        <w:t>of</w:t>
      </w:r>
      <w:r>
        <w:rPr>
          <w:spacing w:val="-4"/>
          <w:w w:val="95"/>
        </w:rPr>
        <w:t xml:space="preserve"> </w:t>
      </w:r>
      <w:r>
        <w:rPr>
          <w:w w:val="95"/>
        </w:rPr>
        <w:t>the</w:t>
      </w:r>
      <w:r>
        <w:rPr>
          <w:spacing w:val="-4"/>
          <w:w w:val="95"/>
        </w:rPr>
        <w:t xml:space="preserve"> </w:t>
      </w:r>
      <w:r>
        <w:rPr>
          <w:w w:val="95"/>
        </w:rPr>
        <w:t>problems</w:t>
      </w:r>
      <w:r>
        <w:rPr>
          <w:spacing w:val="-4"/>
          <w:w w:val="95"/>
        </w:rPr>
        <w:t xml:space="preserve"> </w:t>
      </w:r>
      <w:r>
        <w:rPr>
          <w:w w:val="95"/>
        </w:rPr>
        <w:t>along</w:t>
      </w:r>
      <w:r>
        <w:rPr>
          <w:spacing w:val="-4"/>
          <w:w w:val="95"/>
        </w:rPr>
        <w:t xml:space="preserve"> </w:t>
      </w:r>
      <w:r>
        <w:rPr>
          <w:w w:val="95"/>
        </w:rPr>
        <w:t xml:space="preserve">the </w:t>
      </w:r>
      <w:r>
        <w:t>M5</w:t>
      </w:r>
      <w:r>
        <w:rPr>
          <w:spacing w:val="-6"/>
        </w:rPr>
        <w:t xml:space="preserve"> </w:t>
      </w:r>
      <w:r>
        <w:t>and</w:t>
      </w:r>
      <w:r>
        <w:rPr>
          <w:spacing w:val="-6"/>
        </w:rPr>
        <w:t xml:space="preserve"> </w:t>
      </w:r>
      <w:r>
        <w:t>M4</w:t>
      </w:r>
      <w:r>
        <w:rPr>
          <w:spacing w:val="-6"/>
        </w:rPr>
        <w:t xml:space="preserve"> </w:t>
      </w:r>
      <w:r>
        <w:t>corridors,</w:t>
      </w:r>
      <w:r>
        <w:rPr>
          <w:spacing w:val="-6"/>
        </w:rPr>
        <w:t xml:space="preserve"> </w:t>
      </w:r>
      <w:r>
        <w:t>and</w:t>
      </w:r>
      <w:r>
        <w:rPr>
          <w:spacing w:val="-6"/>
        </w:rPr>
        <w:t xml:space="preserve"> </w:t>
      </w:r>
      <w:r>
        <w:t>the</w:t>
      </w:r>
      <w:r>
        <w:rPr>
          <w:spacing w:val="-6"/>
        </w:rPr>
        <w:t xml:space="preserve"> </w:t>
      </w:r>
      <w:r>
        <w:t>latter’s</w:t>
      </w:r>
      <w:r>
        <w:rPr>
          <w:spacing w:val="-6"/>
        </w:rPr>
        <w:t xml:space="preserve"> </w:t>
      </w:r>
      <w:r>
        <w:t>inadequate connectivity</w:t>
      </w:r>
      <w:r>
        <w:rPr>
          <w:spacing w:val="-10"/>
        </w:rPr>
        <w:t xml:space="preserve"> </w:t>
      </w:r>
      <w:r>
        <w:t>to</w:t>
      </w:r>
      <w:r>
        <w:rPr>
          <w:spacing w:val="-10"/>
        </w:rPr>
        <w:t xml:space="preserve"> </w:t>
      </w:r>
      <w:r>
        <w:t>Sydney’s</w:t>
      </w:r>
      <w:r>
        <w:rPr>
          <w:spacing w:val="-10"/>
        </w:rPr>
        <w:t xml:space="preserve"> </w:t>
      </w:r>
      <w:r>
        <w:t>Gateways</w:t>
      </w:r>
      <w:r>
        <w:rPr>
          <w:spacing w:val="-10"/>
        </w:rPr>
        <w:t xml:space="preserve"> </w:t>
      </w:r>
      <w:r>
        <w:t>suggests</w:t>
      </w:r>
      <w:r>
        <w:rPr>
          <w:spacing w:val="-10"/>
        </w:rPr>
        <w:t xml:space="preserve"> </w:t>
      </w:r>
      <w:r>
        <w:t>a</w:t>
      </w:r>
    </w:p>
    <w:p w:rsidR="002C1123" w:rsidRDefault="00F22F94">
      <w:pPr>
        <w:pStyle w:val="BodyText"/>
        <w:spacing w:before="3" w:line="249" w:lineRule="auto"/>
        <w:ind w:left="187" w:right="61"/>
      </w:pPr>
      <w:r>
        <w:rPr>
          <w:w w:val="95"/>
        </w:rPr>
        <w:t>transformational</w:t>
      </w:r>
      <w:r>
        <w:rPr>
          <w:spacing w:val="-5"/>
          <w:w w:val="95"/>
        </w:rPr>
        <w:t xml:space="preserve"> </w:t>
      </w:r>
      <w:r>
        <w:rPr>
          <w:w w:val="95"/>
        </w:rPr>
        <w:t>solution</w:t>
      </w:r>
      <w:r>
        <w:rPr>
          <w:spacing w:val="-5"/>
          <w:w w:val="95"/>
        </w:rPr>
        <w:t xml:space="preserve"> </w:t>
      </w:r>
      <w:r>
        <w:rPr>
          <w:w w:val="95"/>
        </w:rPr>
        <w:t>is</w:t>
      </w:r>
      <w:r>
        <w:rPr>
          <w:spacing w:val="-5"/>
          <w:w w:val="95"/>
        </w:rPr>
        <w:t xml:space="preserve"> </w:t>
      </w:r>
      <w:r>
        <w:rPr>
          <w:w w:val="95"/>
        </w:rPr>
        <w:t>needed.</w:t>
      </w:r>
      <w:r>
        <w:rPr>
          <w:spacing w:val="-5"/>
          <w:w w:val="95"/>
        </w:rPr>
        <w:t xml:space="preserve"> </w:t>
      </w:r>
      <w:r>
        <w:rPr>
          <w:w w:val="95"/>
        </w:rPr>
        <w:t>The</w:t>
      </w:r>
      <w:r>
        <w:rPr>
          <w:spacing w:val="-5"/>
          <w:w w:val="95"/>
        </w:rPr>
        <w:t xml:space="preserve"> </w:t>
      </w:r>
      <w:r>
        <w:rPr>
          <w:w w:val="95"/>
        </w:rPr>
        <w:t>solution</w:t>
      </w:r>
      <w:r>
        <w:rPr>
          <w:spacing w:val="-5"/>
          <w:w w:val="95"/>
        </w:rPr>
        <w:t xml:space="preserve"> </w:t>
      </w:r>
      <w:r>
        <w:rPr>
          <w:w w:val="95"/>
        </w:rPr>
        <w:t xml:space="preserve">needs </w:t>
      </w:r>
      <w:r>
        <w:t>to</w:t>
      </w:r>
      <w:r>
        <w:rPr>
          <w:spacing w:val="-5"/>
        </w:rPr>
        <w:t xml:space="preserve"> </w:t>
      </w:r>
      <w:r>
        <w:t>fit</w:t>
      </w:r>
      <w:r>
        <w:rPr>
          <w:spacing w:val="-5"/>
        </w:rPr>
        <w:t xml:space="preserve"> </w:t>
      </w:r>
      <w:r>
        <w:t>within</w:t>
      </w:r>
      <w:r>
        <w:rPr>
          <w:spacing w:val="-5"/>
        </w:rPr>
        <w:t xml:space="preserve"> </w:t>
      </w:r>
      <w:r>
        <w:t>and</w:t>
      </w:r>
      <w:r>
        <w:rPr>
          <w:spacing w:val="-5"/>
        </w:rPr>
        <w:t xml:space="preserve"> </w:t>
      </w:r>
      <w:r>
        <w:t>connect</w:t>
      </w:r>
      <w:r>
        <w:rPr>
          <w:spacing w:val="-5"/>
        </w:rPr>
        <w:t xml:space="preserve"> </w:t>
      </w:r>
      <w:r>
        <w:t>with</w:t>
      </w:r>
      <w:r>
        <w:rPr>
          <w:spacing w:val="-5"/>
        </w:rPr>
        <w:t xml:space="preserve"> </w:t>
      </w:r>
      <w:r>
        <w:t>the</w:t>
      </w:r>
      <w:r>
        <w:rPr>
          <w:spacing w:val="-5"/>
        </w:rPr>
        <w:t xml:space="preserve"> </w:t>
      </w:r>
      <w:r>
        <w:t>existing</w:t>
      </w:r>
      <w:r>
        <w:rPr>
          <w:spacing w:val="-5"/>
        </w:rPr>
        <w:t xml:space="preserve"> </w:t>
      </w:r>
      <w:r>
        <w:t>transport network</w:t>
      </w:r>
      <w:r>
        <w:rPr>
          <w:spacing w:val="-7"/>
        </w:rPr>
        <w:t xml:space="preserve"> </w:t>
      </w:r>
      <w:r>
        <w:t>and</w:t>
      </w:r>
      <w:r>
        <w:rPr>
          <w:spacing w:val="-7"/>
        </w:rPr>
        <w:t xml:space="preserve"> </w:t>
      </w:r>
      <w:r>
        <w:t>must</w:t>
      </w:r>
      <w:r>
        <w:rPr>
          <w:spacing w:val="-7"/>
        </w:rPr>
        <w:t xml:space="preserve"> </w:t>
      </w:r>
      <w:r>
        <w:t>also</w:t>
      </w:r>
      <w:r>
        <w:rPr>
          <w:spacing w:val="-7"/>
        </w:rPr>
        <w:t xml:space="preserve"> </w:t>
      </w:r>
      <w:r>
        <w:t>enable</w:t>
      </w:r>
      <w:r>
        <w:rPr>
          <w:spacing w:val="-7"/>
        </w:rPr>
        <w:t xml:space="preserve"> </w:t>
      </w:r>
      <w:r>
        <w:t>urban</w:t>
      </w:r>
      <w:r>
        <w:rPr>
          <w:spacing w:val="-7"/>
        </w:rPr>
        <w:t xml:space="preserve"> </w:t>
      </w:r>
      <w:r>
        <w:t>renewal.</w:t>
      </w:r>
    </w:p>
    <w:p w:rsidR="002C1123" w:rsidRDefault="00F22F94">
      <w:pPr>
        <w:pStyle w:val="BodyText"/>
        <w:spacing w:before="144" w:line="249" w:lineRule="auto"/>
        <w:ind w:left="187" w:right="-10"/>
      </w:pPr>
      <w:r>
        <w:rPr>
          <w:w w:val="95"/>
        </w:rPr>
        <w:t>The</w:t>
      </w:r>
      <w:r>
        <w:rPr>
          <w:spacing w:val="-8"/>
          <w:w w:val="95"/>
        </w:rPr>
        <w:t xml:space="preserve"> </w:t>
      </w:r>
      <w:r>
        <w:rPr>
          <w:w w:val="95"/>
        </w:rPr>
        <w:t>feasibility</w:t>
      </w:r>
      <w:r>
        <w:rPr>
          <w:spacing w:val="-8"/>
          <w:w w:val="95"/>
        </w:rPr>
        <w:t xml:space="preserve"> </w:t>
      </w:r>
      <w:r>
        <w:rPr>
          <w:w w:val="95"/>
        </w:rPr>
        <w:t>study</w:t>
      </w:r>
      <w:r>
        <w:rPr>
          <w:spacing w:val="-8"/>
          <w:w w:val="95"/>
        </w:rPr>
        <w:t xml:space="preserve"> </w:t>
      </w:r>
      <w:r>
        <w:rPr>
          <w:w w:val="95"/>
        </w:rPr>
        <w:t>that</w:t>
      </w:r>
      <w:r>
        <w:rPr>
          <w:spacing w:val="-8"/>
          <w:w w:val="95"/>
        </w:rPr>
        <w:t xml:space="preserve"> </w:t>
      </w:r>
      <w:r>
        <w:rPr>
          <w:w w:val="95"/>
        </w:rPr>
        <w:t>Infrastructure</w:t>
      </w:r>
      <w:r>
        <w:rPr>
          <w:spacing w:val="-8"/>
          <w:w w:val="95"/>
        </w:rPr>
        <w:t xml:space="preserve"> </w:t>
      </w:r>
      <w:r>
        <w:rPr>
          <w:w w:val="95"/>
        </w:rPr>
        <w:t>NSW</w:t>
      </w:r>
      <w:r>
        <w:rPr>
          <w:spacing w:val="-8"/>
          <w:w w:val="95"/>
        </w:rPr>
        <w:t xml:space="preserve"> </w:t>
      </w:r>
      <w:r>
        <w:rPr>
          <w:w w:val="95"/>
        </w:rPr>
        <w:t>has</w:t>
      </w:r>
      <w:r>
        <w:rPr>
          <w:spacing w:val="-8"/>
          <w:w w:val="95"/>
        </w:rPr>
        <w:t xml:space="preserve"> </w:t>
      </w:r>
      <w:r>
        <w:rPr>
          <w:w w:val="95"/>
        </w:rPr>
        <w:t>led</w:t>
      </w:r>
      <w:r>
        <w:rPr>
          <w:spacing w:val="-8"/>
          <w:w w:val="95"/>
        </w:rPr>
        <w:t xml:space="preserve"> </w:t>
      </w:r>
      <w:r>
        <w:rPr>
          <w:w w:val="95"/>
        </w:rPr>
        <w:t xml:space="preserve">with </w:t>
      </w:r>
      <w:r>
        <w:t>Transport</w:t>
      </w:r>
      <w:r>
        <w:rPr>
          <w:spacing w:val="-14"/>
        </w:rPr>
        <w:t xml:space="preserve"> </w:t>
      </w:r>
      <w:r>
        <w:t>for</w:t>
      </w:r>
      <w:r>
        <w:rPr>
          <w:spacing w:val="-14"/>
        </w:rPr>
        <w:t xml:space="preserve"> </w:t>
      </w:r>
      <w:r>
        <w:t>NSW</w:t>
      </w:r>
      <w:r>
        <w:rPr>
          <w:spacing w:val="-14"/>
        </w:rPr>
        <w:t xml:space="preserve"> </w:t>
      </w:r>
      <w:r>
        <w:t>and</w:t>
      </w:r>
      <w:r>
        <w:rPr>
          <w:spacing w:val="-14"/>
        </w:rPr>
        <w:t xml:space="preserve"> </w:t>
      </w:r>
      <w:r>
        <w:t>RMS</w:t>
      </w:r>
      <w:r>
        <w:rPr>
          <w:spacing w:val="-14"/>
        </w:rPr>
        <w:t xml:space="preserve"> </w:t>
      </w:r>
      <w:r>
        <w:t>suggests</w:t>
      </w:r>
      <w:r>
        <w:rPr>
          <w:spacing w:val="-14"/>
        </w:rPr>
        <w:t xml:space="preserve"> </w:t>
      </w:r>
      <w:r>
        <w:t>WestConnex</w:t>
      </w:r>
      <w:r>
        <w:rPr>
          <w:spacing w:val="-14"/>
        </w:rPr>
        <w:t xml:space="preserve"> </w:t>
      </w:r>
      <w:r>
        <w:t>is the solution to these issues.</w:t>
      </w:r>
    </w:p>
    <w:p w:rsidR="002C1123" w:rsidRDefault="00F22F94">
      <w:pPr>
        <w:pStyle w:val="BodyText"/>
        <w:spacing w:before="144" w:line="249" w:lineRule="auto"/>
        <w:ind w:left="187" w:right="76"/>
      </w:pPr>
      <w:r>
        <w:t>WestConnex</w:t>
      </w:r>
      <w:r>
        <w:rPr>
          <w:spacing w:val="-9"/>
        </w:rPr>
        <w:t xml:space="preserve"> </w:t>
      </w:r>
      <w:r>
        <w:t>is</w:t>
      </w:r>
      <w:r>
        <w:rPr>
          <w:spacing w:val="-9"/>
        </w:rPr>
        <w:t xml:space="preserve"> </w:t>
      </w:r>
      <w:r>
        <w:t>a</w:t>
      </w:r>
      <w:r>
        <w:rPr>
          <w:spacing w:val="-9"/>
        </w:rPr>
        <w:t xml:space="preserve"> </w:t>
      </w:r>
      <w:r>
        <w:t>major</w:t>
      </w:r>
      <w:r>
        <w:rPr>
          <w:spacing w:val="-9"/>
        </w:rPr>
        <w:t xml:space="preserve"> </w:t>
      </w:r>
      <w:r>
        <w:t>undertaking</w:t>
      </w:r>
      <w:r>
        <w:rPr>
          <w:spacing w:val="-9"/>
        </w:rPr>
        <w:t xml:space="preserve"> </w:t>
      </w:r>
      <w:r>
        <w:t>but</w:t>
      </w:r>
      <w:r>
        <w:rPr>
          <w:spacing w:val="-9"/>
        </w:rPr>
        <w:t xml:space="preserve"> </w:t>
      </w:r>
      <w:r>
        <w:t>the</w:t>
      </w:r>
      <w:r>
        <w:rPr>
          <w:spacing w:val="-9"/>
        </w:rPr>
        <w:t xml:space="preserve"> </w:t>
      </w:r>
      <w:r>
        <w:t>price</w:t>
      </w:r>
      <w:r>
        <w:rPr>
          <w:spacing w:val="-9"/>
        </w:rPr>
        <w:t xml:space="preserve"> </w:t>
      </w:r>
      <w:r>
        <w:t xml:space="preserve">of </w:t>
      </w:r>
      <w:r>
        <w:rPr>
          <w:spacing w:val="-2"/>
        </w:rPr>
        <w:t>not</w:t>
      </w:r>
      <w:r>
        <w:rPr>
          <w:spacing w:val="-6"/>
        </w:rPr>
        <w:t xml:space="preserve"> </w:t>
      </w:r>
      <w:r>
        <w:rPr>
          <w:spacing w:val="-2"/>
        </w:rPr>
        <w:t>acting</w:t>
      </w:r>
      <w:r>
        <w:rPr>
          <w:spacing w:val="-6"/>
        </w:rPr>
        <w:t xml:space="preserve"> </w:t>
      </w:r>
      <w:r>
        <w:rPr>
          <w:spacing w:val="-2"/>
        </w:rPr>
        <w:t>is</w:t>
      </w:r>
      <w:r>
        <w:rPr>
          <w:spacing w:val="-6"/>
        </w:rPr>
        <w:t xml:space="preserve"> </w:t>
      </w:r>
      <w:r>
        <w:rPr>
          <w:spacing w:val="-2"/>
        </w:rPr>
        <w:t>greater.</w:t>
      </w:r>
      <w:r>
        <w:rPr>
          <w:spacing w:val="-6"/>
        </w:rPr>
        <w:t xml:space="preserve"> </w:t>
      </w:r>
      <w:r>
        <w:rPr>
          <w:spacing w:val="-2"/>
        </w:rPr>
        <w:t>Infrastructure</w:t>
      </w:r>
      <w:r>
        <w:rPr>
          <w:spacing w:val="-6"/>
        </w:rPr>
        <w:t xml:space="preserve"> </w:t>
      </w:r>
      <w:r>
        <w:rPr>
          <w:spacing w:val="-2"/>
        </w:rPr>
        <w:t>NSW’s</w:t>
      </w:r>
      <w:r>
        <w:rPr>
          <w:spacing w:val="-6"/>
        </w:rPr>
        <w:t xml:space="preserve"> </w:t>
      </w:r>
      <w:r>
        <w:rPr>
          <w:spacing w:val="-2"/>
        </w:rPr>
        <w:t xml:space="preserve">analysis </w:t>
      </w:r>
      <w:r>
        <w:rPr>
          <w:w w:val="95"/>
        </w:rPr>
        <w:t>shows</w:t>
      </w:r>
      <w:r>
        <w:rPr>
          <w:spacing w:val="-4"/>
          <w:w w:val="95"/>
        </w:rPr>
        <w:t xml:space="preserve"> </w:t>
      </w:r>
      <w:r>
        <w:rPr>
          <w:w w:val="95"/>
        </w:rPr>
        <w:t>that</w:t>
      </w:r>
      <w:r>
        <w:rPr>
          <w:spacing w:val="-4"/>
          <w:w w:val="95"/>
        </w:rPr>
        <w:t xml:space="preserve"> </w:t>
      </w:r>
      <w:r>
        <w:rPr>
          <w:w w:val="95"/>
        </w:rPr>
        <w:t>WestConnex</w:t>
      </w:r>
      <w:r>
        <w:rPr>
          <w:spacing w:val="-4"/>
          <w:w w:val="95"/>
        </w:rPr>
        <w:t xml:space="preserve"> </w:t>
      </w:r>
      <w:r>
        <w:rPr>
          <w:w w:val="95"/>
        </w:rPr>
        <w:t>could</w:t>
      </w:r>
      <w:r>
        <w:rPr>
          <w:spacing w:val="-4"/>
          <w:w w:val="95"/>
        </w:rPr>
        <w:t xml:space="preserve"> </w:t>
      </w:r>
      <w:r>
        <w:rPr>
          <w:w w:val="95"/>
        </w:rPr>
        <w:t>be</w:t>
      </w:r>
      <w:r>
        <w:rPr>
          <w:spacing w:val="-4"/>
          <w:w w:val="95"/>
        </w:rPr>
        <w:t xml:space="preserve"> </w:t>
      </w:r>
      <w:r>
        <w:rPr>
          <w:w w:val="95"/>
        </w:rPr>
        <w:t>delivered</w:t>
      </w:r>
      <w:r>
        <w:rPr>
          <w:spacing w:val="-4"/>
          <w:w w:val="95"/>
        </w:rPr>
        <w:t xml:space="preserve"> </w:t>
      </w:r>
      <w:r>
        <w:rPr>
          <w:w w:val="95"/>
        </w:rPr>
        <w:t>at</w:t>
      </w:r>
      <w:r>
        <w:rPr>
          <w:spacing w:val="-4"/>
          <w:w w:val="95"/>
        </w:rPr>
        <w:t xml:space="preserve"> </w:t>
      </w:r>
      <w:r>
        <w:rPr>
          <w:w w:val="95"/>
        </w:rPr>
        <w:t>a</w:t>
      </w:r>
      <w:r>
        <w:rPr>
          <w:spacing w:val="-4"/>
          <w:w w:val="95"/>
        </w:rPr>
        <w:t xml:space="preserve"> </w:t>
      </w:r>
      <w:r>
        <w:rPr>
          <w:w w:val="95"/>
        </w:rPr>
        <w:t xml:space="preserve">target </w:t>
      </w:r>
      <w:r>
        <w:t>cost</w:t>
      </w:r>
      <w:r>
        <w:rPr>
          <w:spacing w:val="-14"/>
        </w:rPr>
        <w:t xml:space="preserve"> </w:t>
      </w:r>
      <w:r>
        <w:t>of</w:t>
      </w:r>
      <w:r>
        <w:rPr>
          <w:spacing w:val="-14"/>
        </w:rPr>
        <w:t xml:space="preserve"> </w:t>
      </w:r>
      <w:r>
        <w:t>$10</w:t>
      </w:r>
      <w:r>
        <w:rPr>
          <w:spacing w:val="-14"/>
        </w:rPr>
        <w:t xml:space="preserve"> </w:t>
      </w:r>
      <w:r>
        <w:t>billion</w:t>
      </w:r>
      <w:r>
        <w:rPr>
          <w:spacing w:val="-14"/>
        </w:rPr>
        <w:t xml:space="preserve"> </w:t>
      </w:r>
      <w:r>
        <w:t>within</w:t>
      </w:r>
      <w:r>
        <w:rPr>
          <w:spacing w:val="-14"/>
        </w:rPr>
        <w:t xml:space="preserve"> </w:t>
      </w:r>
      <w:r>
        <w:t>ten</w:t>
      </w:r>
      <w:r>
        <w:rPr>
          <w:spacing w:val="-14"/>
        </w:rPr>
        <w:t xml:space="preserve"> </w:t>
      </w:r>
      <w:r>
        <w:t>years.</w:t>
      </w:r>
      <w:r>
        <w:rPr>
          <w:spacing w:val="-14"/>
        </w:rPr>
        <w:t xml:space="preserve"> </w:t>
      </w:r>
      <w:r>
        <w:t>Achieving</w:t>
      </w:r>
      <w:r>
        <w:rPr>
          <w:spacing w:val="-14"/>
        </w:rPr>
        <w:t xml:space="preserve"> </w:t>
      </w:r>
      <w:r>
        <w:t>this requires</w:t>
      </w:r>
      <w:r>
        <w:rPr>
          <w:spacing w:val="-9"/>
        </w:rPr>
        <w:t xml:space="preserve"> </w:t>
      </w:r>
      <w:r>
        <w:t>a</w:t>
      </w:r>
      <w:r>
        <w:rPr>
          <w:spacing w:val="-9"/>
        </w:rPr>
        <w:t xml:space="preserve"> </w:t>
      </w:r>
      <w:r>
        <w:t>new</w:t>
      </w:r>
      <w:r>
        <w:rPr>
          <w:spacing w:val="-9"/>
        </w:rPr>
        <w:t xml:space="preserve"> </w:t>
      </w:r>
      <w:r>
        <w:t>approach</w:t>
      </w:r>
      <w:r>
        <w:rPr>
          <w:spacing w:val="-9"/>
        </w:rPr>
        <w:t xml:space="preserve"> </w:t>
      </w:r>
      <w:r>
        <w:t>that</w:t>
      </w:r>
      <w:r>
        <w:rPr>
          <w:spacing w:val="-9"/>
        </w:rPr>
        <w:t xml:space="preserve"> </w:t>
      </w:r>
      <w:r>
        <w:t>learns</w:t>
      </w:r>
      <w:r>
        <w:rPr>
          <w:spacing w:val="-9"/>
        </w:rPr>
        <w:t xml:space="preserve"> </w:t>
      </w:r>
      <w:r>
        <w:t>from</w:t>
      </w:r>
      <w:r>
        <w:rPr>
          <w:spacing w:val="-10"/>
        </w:rPr>
        <w:t xml:space="preserve"> </w:t>
      </w:r>
      <w:r>
        <w:t>the</w:t>
      </w:r>
      <w:r>
        <w:rPr>
          <w:spacing w:val="-9"/>
        </w:rPr>
        <w:t xml:space="preserve"> </w:t>
      </w:r>
      <w:r>
        <w:t>best</w:t>
      </w:r>
    </w:p>
    <w:p w:rsidR="002C1123" w:rsidRDefault="00F22F94">
      <w:pPr>
        <w:pStyle w:val="BodyText"/>
        <w:spacing w:before="4" w:line="249" w:lineRule="auto"/>
        <w:ind w:left="187" w:right="76"/>
      </w:pPr>
      <w:r>
        <w:t>of</w:t>
      </w:r>
      <w:r>
        <w:rPr>
          <w:spacing w:val="-12"/>
        </w:rPr>
        <w:t xml:space="preserve"> </w:t>
      </w:r>
      <w:r>
        <w:t>international</w:t>
      </w:r>
      <w:r>
        <w:rPr>
          <w:spacing w:val="-12"/>
        </w:rPr>
        <w:t xml:space="preserve"> </w:t>
      </w:r>
      <w:r>
        <w:t>design,</w:t>
      </w:r>
      <w:r>
        <w:rPr>
          <w:spacing w:val="-12"/>
        </w:rPr>
        <w:t xml:space="preserve"> </w:t>
      </w:r>
      <w:r>
        <w:t>procurement</w:t>
      </w:r>
      <w:r>
        <w:rPr>
          <w:spacing w:val="-12"/>
        </w:rPr>
        <w:t xml:space="preserve"> </w:t>
      </w:r>
      <w:r>
        <w:t>and</w:t>
      </w:r>
      <w:r>
        <w:rPr>
          <w:spacing w:val="-12"/>
        </w:rPr>
        <w:t xml:space="preserve"> </w:t>
      </w:r>
      <w:r>
        <w:t xml:space="preserve">delivery </w:t>
      </w:r>
      <w:r>
        <w:rPr>
          <w:w w:val="95"/>
        </w:rPr>
        <w:t>experience,</w:t>
      </w:r>
      <w:r>
        <w:rPr>
          <w:spacing w:val="-2"/>
          <w:w w:val="95"/>
        </w:rPr>
        <w:t xml:space="preserve"> </w:t>
      </w:r>
      <w:r>
        <w:rPr>
          <w:w w:val="95"/>
        </w:rPr>
        <w:t>and</w:t>
      </w:r>
      <w:r>
        <w:rPr>
          <w:spacing w:val="-2"/>
          <w:w w:val="95"/>
        </w:rPr>
        <w:t xml:space="preserve"> </w:t>
      </w:r>
      <w:r>
        <w:rPr>
          <w:w w:val="95"/>
        </w:rPr>
        <w:t>a</w:t>
      </w:r>
      <w:r>
        <w:rPr>
          <w:spacing w:val="-2"/>
          <w:w w:val="95"/>
        </w:rPr>
        <w:t xml:space="preserve"> </w:t>
      </w:r>
      <w:r>
        <w:rPr>
          <w:w w:val="95"/>
        </w:rPr>
        <w:t>funding</w:t>
      </w:r>
      <w:r>
        <w:rPr>
          <w:spacing w:val="-2"/>
          <w:w w:val="95"/>
        </w:rPr>
        <w:t xml:space="preserve"> </w:t>
      </w:r>
      <w:r>
        <w:rPr>
          <w:w w:val="95"/>
        </w:rPr>
        <w:t>strategy</w:t>
      </w:r>
      <w:r>
        <w:rPr>
          <w:spacing w:val="-2"/>
          <w:w w:val="95"/>
        </w:rPr>
        <w:t xml:space="preserve"> </w:t>
      </w:r>
      <w:r>
        <w:rPr>
          <w:w w:val="95"/>
        </w:rPr>
        <w:t>that</w:t>
      </w:r>
      <w:r>
        <w:rPr>
          <w:spacing w:val="-2"/>
          <w:w w:val="95"/>
        </w:rPr>
        <w:t xml:space="preserve"> </w:t>
      </w:r>
      <w:r>
        <w:rPr>
          <w:w w:val="95"/>
        </w:rPr>
        <w:t xml:space="preserve">incorporates </w:t>
      </w:r>
      <w:r>
        <w:t>user</w:t>
      </w:r>
      <w:r>
        <w:rPr>
          <w:spacing w:val="-6"/>
        </w:rPr>
        <w:t xml:space="preserve"> </w:t>
      </w:r>
      <w:r>
        <w:t>funding,</w:t>
      </w:r>
      <w:r>
        <w:rPr>
          <w:spacing w:val="-6"/>
        </w:rPr>
        <w:t xml:space="preserve"> </w:t>
      </w:r>
      <w:r>
        <w:t>supported</w:t>
      </w:r>
      <w:r>
        <w:rPr>
          <w:spacing w:val="-6"/>
        </w:rPr>
        <w:t xml:space="preserve"> </w:t>
      </w:r>
      <w:r>
        <w:t>by</w:t>
      </w:r>
      <w:r>
        <w:rPr>
          <w:spacing w:val="-6"/>
        </w:rPr>
        <w:t xml:space="preserve"> </w:t>
      </w:r>
      <w:r>
        <w:t>limited</w:t>
      </w:r>
      <w:r>
        <w:rPr>
          <w:spacing w:val="-6"/>
        </w:rPr>
        <w:t xml:space="preserve"> </w:t>
      </w:r>
      <w:r>
        <w:t>and</w:t>
      </w:r>
      <w:r>
        <w:rPr>
          <w:spacing w:val="-6"/>
        </w:rPr>
        <w:t xml:space="preserve"> </w:t>
      </w:r>
      <w:r>
        <w:t>affordable Government</w:t>
      </w:r>
      <w:r>
        <w:rPr>
          <w:spacing w:val="-11"/>
        </w:rPr>
        <w:t xml:space="preserve"> </w:t>
      </w:r>
      <w:r>
        <w:t>support.</w:t>
      </w:r>
    </w:p>
    <w:p w:rsidR="002C1123" w:rsidRDefault="00F22F94">
      <w:pPr>
        <w:spacing w:before="2" w:after="24"/>
        <w:rPr>
          <w:sz w:val="11"/>
        </w:rPr>
      </w:pPr>
      <w:r>
        <w:br w:type="column"/>
      </w:r>
    </w:p>
    <w:p w:rsidR="002C1123" w:rsidRDefault="002060EF">
      <w:pPr>
        <w:pStyle w:val="BodyText"/>
        <w:ind w:left="186"/>
      </w:pPr>
      <w:r>
        <w:pict>
          <v:shape id="docshape1191" o:spid="_x0000_s5275" type="#_x0000_t202" style="width:239pt;height:81.35pt;mso-left-percent:-10001;mso-top-percent:-10001;mso-position-horizontal:absolute;mso-position-horizontal-relative:char;mso-position-vertical:absolute;mso-position-vertical-relative:line;mso-left-percent:-10001;mso-top-percent:-10001" fillcolor="#e1e0e1" stroked="f">
            <v:textbox inset="0,0,0,0">
              <w:txbxContent>
                <w:p w:rsidR="00F22F94" w:rsidRDefault="00F22F94">
                  <w:pPr>
                    <w:pStyle w:val="BodyText"/>
                    <w:spacing w:before="68" w:line="249" w:lineRule="auto"/>
                    <w:ind w:left="113"/>
                    <w:rPr>
                      <w:color w:val="000000"/>
                    </w:rPr>
                  </w:pPr>
                  <w:r>
                    <w:rPr>
                      <w:b/>
                      <w:color w:val="00AEEF"/>
                      <w:w w:val="95"/>
                    </w:rPr>
                    <w:t xml:space="preserve">Recommendation </w:t>
                  </w:r>
                  <w:r>
                    <w:rPr>
                      <w:color w:val="000000"/>
                      <w:w w:val="95"/>
                    </w:rPr>
                    <w:t xml:space="preserve">Infrastructure NSW recommends </w:t>
                  </w:r>
                  <w:r>
                    <w:rPr>
                      <w:color w:val="000000"/>
                    </w:rPr>
                    <w:t xml:space="preserve">that Government progress the development of WestConnex, an integrated toll-road scheme </w:t>
                  </w:r>
                  <w:r>
                    <w:rPr>
                      <w:color w:val="000000"/>
                      <w:w w:val="95"/>
                    </w:rPr>
                    <w:t>designed</w:t>
                  </w:r>
                  <w:r>
                    <w:rPr>
                      <w:color w:val="000000"/>
                      <w:spacing w:val="-4"/>
                      <w:w w:val="95"/>
                    </w:rPr>
                    <w:t xml:space="preserve"> </w:t>
                  </w:r>
                  <w:r>
                    <w:rPr>
                      <w:color w:val="000000"/>
                      <w:w w:val="95"/>
                    </w:rPr>
                    <w:t>to</w:t>
                  </w:r>
                  <w:r>
                    <w:rPr>
                      <w:color w:val="000000"/>
                      <w:spacing w:val="-4"/>
                      <w:w w:val="95"/>
                    </w:rPr>
                    <w:t xml:space="preserve"> </w:t>
                  </w:r>
                  <w:r>
                    <w:rPr>
                      <w:color w:val="000000"/>
                      <w:w w:val="95"/>
                    </w:rPr>
                    <w:t>innovatively</w:t>
                  </w:r>
                  <w:r>
                    <w:rPr>
                      <w:color w:val="000000"/>
                      <w:spacing w:val="-4"/>
                      <w:w w:val="95"/>
                    </w:rPr>
                    <w:t xml:space="preserve"> </w:t>
                  </w:r>
                  <w:r>
                    <w:rPr>
                      <w:color w:val="000000"/>
                      <w:w w:val="95"/>
                    </w:rPr>
                    <w:t>and</w:t>
                  </w:r>
                  <w:r>
                    <w:rPr>
                      <w:color w:val="000000"/>
                      <w:spacing w:val="-4"/>
                      <w:w w:val="95"/>
                    </w:rPr>
                    <w:t xml:space="preserve"> </w:t>
                  </w:r>
                  <w:r>
                    <w:rPr>
                      <w:color w:val="000000"/>
                      <w:w w:val="95"/>
                    </w:rPr>
                    <w:t>affordably</w:t>
                  </w:r>
                  <w:r>
                    <w:rPr>
                      <w:color w:val="000000"/>
                      <w:spacing w:val="-4"/>
                      <w:w w:val="95"/>
                    </w:rPr>
                    <w:t xml:space="preserve"> </w:t>
                  </w:r>
                  <w:r>
                    <w:rPr>
                      <w:color w:val="000000"/>
                      <w:w w:val="95"/>
                    </w:rPr>
                    <w:t>deliver</w:t>
                  </w:r>
                  <w:r>
                    <w:rPr>
                      <w:color w:val="000000"/>
                      <w:spacing w:val="-4"/>
                      <w:w w:val="95"/>
                    </w:rPr>
                    <w:t xml:space="preserve"> </w:t>
                  </w:r>
                  <w:r>
                    <w:rPr>
                      <w:color w:val="000000"/>
                      <w:w w:val="95"/>
                    </w:rPr>
                    <w:t>the</w:t>
                  </w:r>
                  <w:r>
                    <w:rPr>
                      <w:color w:val="000000"/>
                      <w:spacing w:val="-4"/>
                      <w:w w:val="95"/>
                    </w:rPr>
                    <w:t xml:space="preserve"> </w:t>
                  </w:r>
                  <w:r>
                    <w:rPr>
                      <w:color w:val="000000"/>
                      <w:w w:val="95"/>
                    </w:rPr>
                    <w:t xml:space="preserve">M4 Extension and M5 East Expansion projects within the </w:t>
                  </w:r>
                  <w:r>
                    <w:rPr>
                      <w:color w:val="000000"/>
                    </w:rPr>
                    <w:t>next ten years.</w:t>
                  </w:r>
                </w:p>
              </w:txbxContent>
            </v:textbox>
            <w10:anchorlock/>
          </v:shape>
        </w:pict>
      </w:r>
    </w:p>
    <w:p w:rsidR="002C1123" w:rsidRDefault="002C1123">
      <w:pPr>
        <w:pStyle w:val="BodyText"/>
        <w:spacing w:before="10"/>
        <w:rPr>
          <w:sz w:val="4"/>
        </w:rPr>
      </w:pPr>
    </w:p>
    <w:p w:rsidR="002C1123" w:rsidRDefault="002060EF">
      <w:pPr>
        <w:pStyle w:val="BodyText"/>
        <w:ind w:left="186"/>
      </w:pPr>
      <w:r>
        <w:pict>
          <v:shape id="docshape1192" o:spid="_x0000_s5274" type="#_x0000_t202" style="width:239pt;height:57.35pt;mso-left-percent:-10001;mso-top-percent:-10001;mso-position-horizontal:absolute;mso-position-horizontal-relative:char;mso-position-vertical:absolute;mso-position-vertical-relative:line;mso-left-percent:-10001;mso-top-percent:-10001" fillcolor="#e1e0e1" stroked="f">
            <v:textbox inset="0,0,0,0">
              <w:txbxContent>
                <w:p w:rsidR="00F22F94" w:rsidRDefault="00F22F94">
                  <w:pPr>
                    <w:pStyle w:val="BodyText"/>
                    <w:spacing w:before="68" w:line="249" w:lineRule="auto"/>
                    <w:ind w:left="113" w:right="115"/>
                    <w:rPr>
                      <w:color w:val="000000"/>
                    </w:rPr>
                  </w:pPr>
                  <w:r>
                    <w:rPr>
                      <w:b/>
                      <w:color w:val="00AEEF"/>
                      <w:w w:val="95"/>
                    </w:rPr>
                    <w:t xml:space="preserve">Recommendation </w:t>
                  </w:r>
                  <w:r>
                    <w:rPr>
                      <w:color w:val="000000"/>
                      <w:w w:val="95"/>
                    </w:rPr>
                    <w:t xml:space="preserve">Infrastructure NSW recommends </w:t>
                  </w:r>
                  <w:r>
                    <w:rPr>
                      <w:color w:val="000000"/>
                      <w:spacing w:val="-2"/>
                    </w:rPr>
                    <w:t>that</w:t>
                  </w:r>
                  <w:r>
                    <w:rPr>
                      <w:color w:val="000000"/>
                      <w:spacing w:val="-5"/>
                    </w:rPr>
                    <w:t xml:space="preserve"> </w:t>
                  </w:r>
                  <w:r>
                    <w:rPr>
                      <w:color w:val="000000"/>
                      <w:spacing w:val="-2"/>
                    </w:rPr>
                    <w:t>urban</w:t>
                  </w:r>
                  <w:r>
                    <w:rPr>
                      <w:color w:val="000000"/>
                      <w:spacing w:val="-6"/>
                    </w:rPr>
                    <w:t xml:space="preserve"> </w:t>
                  </w:r>
                  <w:r>
                    <w:rPr>
                      <w:color w:val="000000"/>
                      <w:spacing w:val="-2"/>
                    </w:rPr>
                    <w:t>renewal</w:t>
                  </w:r>
                  <w:r>
                    <w:rPr>
                      <w:color w:val="000000"/>
                      <w:spacing w:val="-5"/>
                    </w:rPr>
                    <w:t xml:space="preserve"> </w:t>
                  </w:r>
                  <w:r>
                    <w:rPr>
                      <w:color w:val="000000"/>
                      <w:spacing w:val="-2"/>
                    </w:rPr>
                    <w:t>–</w:t>
                  </w:r>
                  <w:r>
                    <w:rPr>
                      <w:color w:val="000000"/>
                      <w:spacing w:val="-6"/>
                    </w:rPr>
                    <w:t xml:space="preserve"> </w:t>
                  </w:r>
                  <w:r>
                    <w:rPr>
                      <w:color w:val="000000"/>
                      <w:spacing w:val="-2"/>
                    </w:rPr>
                    <w:t>in</w:t>
                  </w:r>
                  <w:r>
                    <w:rPr>
                      <w:color w:val="000000"/>
                      <w:spacing w:val="-5"/>
                    </w:rPr>
                    <w:t xml:space="preserve"> </w:t>
                  </w:r>
                  <w:r>
                    <w:rPr>
                      <w:color w:val="000000"/>
                      <w:spacing w:val="-2"/>
                    </w:rPr>
                    <w:t>particular,</w:t>
                  </w:r>
                  <w:r>
                    <w:rPr>
                      <w:color w:val="000000"/>
                      <w:spacing w:val="-6"/>
                    </w:rPr>
                    <w:t xml:space="preserve"> </w:t>
                  </w:r>
                  <w:r>
                    <w:rPr>
                      <w:color w:val="000000"/>
                      <w:spacing w:val="-2"/>
                    </w:rPr>
                    <w:t>the</w:t>
                  </w:r>
                  <w:r>
                    <w:rPr>
                      <w:color w:val="000000"/>
                      <w:spacing w:val="-5"/>
                    </w:rPr>
                    <w:t xml:space="preserve"> </w:t>
                  </w:r>
                  <w:r>
                    <w:rPr>
                      <w:color w:val="000000"/>
                      <w:spacing w:val="-2"/>
                    </w:rPr>
                    <w:t xml:space="preserve">transformation </w:t>
                  </w:r>
                  <w:r>
                    <w:rPr>
                      <w:color w:val="000000"/>
                      <w:w w:val="95"/>
                    </w:rPr>
                    <w:t>of</w:t>
                  </w:r>
                  <w:r>
                    <w:rPr>
                      <w:color w:val="000000"/>
                      <w:spacing w:val="-3"/>
                      <w:w w:val="95"/>
                    </w:rPr>
                    <w:t xml:space="preserve"> </w:t>
                  </w:r>
                  <w:r>
                    <w:rPr>
                      <w:color w:val="000000"/>
                      <w:w w:val="95"/>
                    </w:rPr>
                    <w:t>Parramatta</w:t>
                  </w:r>
                  <w:r>
                    <w:rPr>
                      <w:color w:val="000000"/>
                      <w:spacing w:val="-3"/>
                      <w:w w:val="95"/>
                    </w:rPr>
                    <w:t xml:space="preserve"> </w:t>
                  </w:r>
                  <w:r>
                    <w:rPr>
                      <w:color w:val="000000"/>
                      <w:w w:val="95"/>
                    </w:rPr>
                    <w:t>Road</w:t>
                  </w:r>
                  <w:r>
                    <w:rPr>
                      <w:color w:val="000000"/>
                      <w:spacing w:val="-3"/>
                      <w:w w:val="95"/>
                    </w:rPr>
                    <w:t xml:space="preserve"> </w:t>
                  </w:r>
                  <w:r>
                    <w:rPr>
                      <w:color w:val="000000"/>
                      <w:w w:val="95"/>
                    </w:rPr>
                    <w:t>–</w:t>
                  </w:r>
                  <w:r>
                    <w:rPr>
                      <w:color w:val="000000"/>
                      <w:spacing w:val="-3"/>
                      <w:w w:val="95"/>
                    </w:rPr>
                    <w:t xml:space="preserve"> </w:t>
                  </w:r>
                  <w:r>
                    <w:rPr>
                      <w:color w:val="000000"/>
                      <w:w w:val="95"/>
                    </w:rPr>
                    <w:t>should</w:t>
                  </w:r>
                  <w:r>
                    <w:rPr>
                      <w:color w:val="000000"/>
                      <w:spacing w:val="-3"/>
                      <w:w w:val="95"/>
                    </w:rPr>
                    <w:t xml:space="preserve"> </w:t>
                  </w:r>
                  <w:r>
                    <w:rPr>
                      <w:color w:val="000000"/>
                      <w:w w:val="95"/>
                    </w:rPr>
                    <w:t>be</w:t>
                  </w:r>
                  <w:r>
                    <w:rPr>
                      <w:color w:val="000000"/>
                      <w:spacing w:val="-3"/>
                      <w:w w:val="95"/>
                    </w:rPr>
                    <w:t xml:space="preserve"> </w:t>
                  </w:r>
                  <w:r>
                    <w:rPr>
                      <w:color w:val="000000"/>
                      <w:w w:val="95"/>
                    </w:rPr>
                    <w:t>placed</w:t>
                  </w:r>
                  <w:r>
                    <w:rPr>
                      <w:color w:val="000000"/>
                      <w:spacing w:val="-3"/>
                      <w:w w:val="95"/>
                    </w:rPr>
                    <w:t xml:space="preserve"> </w:t>
                  </w:r>
                  <w:r>
                    <w:rPr>
                      <w:color w:val="000000"/>
                      <w:w w:val="95"/>
                    </w:rPr>
                    <w:t>at</w:t>
                  </w:r>
                  <w:r>
                    <w:rPr>
                      <w:color w:val="000000"/>
                      <w:spacing w:val="-3"/>
                      <w:w w:val="95"/>
                    </w:rPr>
                    <w:t xml:space="preserve"> </w:t>
                  </w:r>
                  <w:r>
                    <w:rPr>
                      <w:color w:val="000000"/>
                      <w:w w:val="95"/>
                    </w:rPr>
                    <w:t>the</w:t>
                  </w:r>
                  <w:r>
                    <w:rPr>
                      <w:color w:val="000000"/>
                      <w:spacing w:val="-3"/>
                      <w:w w:val="95"/>
                    </w:rPr>
                    <w:t xml:space="preserve"> </w:t>
                  </w:r>
                  <w:r>
                    <w:rPr>
                      <w:color w:val="000000"/>
                      <w:w w:val="95"/>
                    </w:rPr>
                    <w:t>heart</w:t>
                  </w:r>
                  <w:r>
                    <w:rPr>
                      <w:color w:val="000000"/>
                      <w:spacing w:val="-3"/>
                      <w:w w:val="95"/>
                    </w:rPr>
                    <w:t xml:space="preserve"> </w:t>
                  </w:r>
                  <w:r>
                    <w:rPr>
                      <w:color w:val="000000"/>
                      <w:w w:val="95"/>
                    </w:rPr>
                    <w:t xml:space="preserve">of </w:t>
                  </w:r>
                  <w:r>
                    <w:rPr>
                      <w:color w:val="000000"/>
                    </w:rPr>
                    <w:t>the WestConnex scheme from the beginning.</w:t>
                  </w:r>
                </w:p>
              </w:txbxContent>
            </v:textbox>
            <w10:anchorlock/>
          </v:shape>
        </w:pict>
      </w:r>
    </w:p>
    <w:p w:rsidR="002C1123" w:rsidRDefault="00F22F94">
      <w:pPr>
        <w:pStyle w:val="Heading5"/>
        <w:numPr>
          <w:ilvl w:val="1"/>
          <w:numId w:val="97"/>
        </w:numPr>
        <w:tabs>
          <w:tab w:val="left" w:pos="636"/>
        </w:tabs>
        <w:spacing w:before="235" w:line="223" w:lineRule="auto"/>
        <w:ind w:left="635" w:right="1907"/>
        <w:jc w:val="left"/>
      </w:pPr>
      <w:r>
        <w:rPr>
          <w:color w:val="00AEEF"/>
        </w:rPr>
        <w:t>Making</w:t>
      </w:r>
      <w:r>
        <w:rPr>
          <w:color w:val="00AEEF"/>
          <w:spacing w:val="-20"/>
        </w:rPr>
        <w:t xml:space="preserve"> </w:t>
      </w:r>
      <w:r>
        <w:rPr>
          <w:color w:val="00AEEF"/>
        </w:rPr>
        <w:t>better</w:t>
      </w:r>
      <w:r>
        <w:rPr>
          <w:color w:val="00AEEF"/>
          <w:spacing w:val="-19"/>
        </w:rPr>
        <w:t xml:space="preserve"> </w:t>
      </w:r>
      <w:r>
        <w:rPr>
          <w:color w:val="00AEEF"/>
        </w:rPr>
        <w:t>use</w:t>
      </w:r>
      <w:r>
        <w:rPr>
          <w:color w:val="00AEEF"/>
          <w:spacing w:val="-20"/>
        </w:rPr>
        <w:t xml:space="preserve"> </w:t>
      </w:r>
      <w:r>
        <w:rPr>
          <w:color w:val="00AEEF"/>
        </w:rPr>
        <w:t>of</w:t>
      </w:r>
      <w:r>
        <w:rPr>
          <w:color w:val="00AEEF"/>
          <w:spacing w:val="-19"/>
        </w:rPr>
        <w:t xml:space="preserve"> </w:t>
      </w:r>
      <w:r>
        <w:rPr>
          <w:color w:val="00AEEF"/>
        </w:rPr>
        <w:t>the road network</w:t>
      </w:r>
    </w:p>
    <w:p w:rsidR="002C1123" w:rsidRDefault="00F22F94">
      <w:pPr>
        <w:pStyle w:val="BodyText"/>
        <w:spacing w:before="140" w:line="249" w:lineRule="auto"/>
        <w:ind w:left="186" w:right="1454"/>
        <w:jc w:val="both"/>
      </w:pPr>
      <w:r>
        <w:rPr>
          <w:w w:val="95"/>
        </w:rPr>
        <w:t>Improving</w:t>
      </w:r>
      <w:r>
        <w:rPr>
          <w:spacing w:val="-7"/>
          <w:w w:val="95"/>
        </w:rPr>
        <w:t xml:space="preserve"> </w:t>
      </w:r>
      <w:r>
        <w:rPr>
          <w:w w:val="95"/>
        </w:rPr>
        <w:t>asset</w:t>
      </w:r>
      <w:r>
        <w:rPr>
          <w:spacing w:val="-7"/>
          <w:w w:val="95"/>
        </w:rPr>
        <w:t xml:space="preserve"> </w:t>
      </w:r>
      <w:r>
        <w:rPr>
          <w:w w:val="95"/>
        </w:rPr>
        <w:t>utilisation</w:t>
      </w:r>
      <w:r>
        <w:rPr>
          <w:spacing w:val="-7"/>
          <w:w w:val="95"/>
        </w:rPr>
        <w:t xml:space="preserve"> </w:t>
      </w:r>
      <w:r>
        <w:rPr>
          <w:w w:val="95"/>
        </w:rPr>
        <w:t>needs</w:t>
      </w:r>
      <w:r>
        <w:rPr>
          <w:spacing w:val="-7"/>
          <w:w w:val="95"/>
        </w:rPr>
        <w:t xml:space="preserve"> </w:t>
      </w:r>
      <w:r>
        <w:rPr>
          <w:w w:val="95"/>
        </w:rPr>
        <w:t>to</w:t>
      </w:r>
      <w:r>
        <w:rPr>
          <w:spacing w:val="-7"/>
          <w:w w:val="95"/>
        </w:rPr>
        <w:t xml:space="preserve"> </w:t>
      </w:r>
      <w:r>
        <w:rPr>
          <w:w w:val="95"/>
        </w:rPr>
        <w:t>be</w:t>
      </w:r>
      <w:r>
        <w:rPr>
          <w:spacing w:val="-7"/>
          <w:w w:val="95"/>
        </w:rPr>
        <w:t xml:space="preserve"> </w:t>
      </w:r>
      <w:r>
        <w:rPr>
          <w:w w:val="95"/>
        </w:rPr>
        <w:t>central</w:t>
      </w:r>
      <w:r>
        <w:rPr>
          <w:spacing w:val="-7"/>
          <w:w w:val="95"/>
        </w:rPr>
        <w:t xml:space="preserve"> </w:t>
      </w:r>
      <w:r>
        <w:rPr>
          <w:w w:val="95"/>
        </w:rPr>
        <w:t>to the</w:t>
      </w:r>
      <w:r>
        <w:rPr>
          <w:spacing w:val="-5"/>
          <w:w w:val="95"/>
        </w:rPr>
        <w:t xml:space="preserve"> </w:t>
      </w:r>
      <w:r>
        <w:rPr>
          <w:w w:val="95"/>
        </w:rPr>
        <w:t>development</w:t>
      </w:r>
      <w:r>
        <w:rPr>
          <w:spacing w:val="-5"/>
          <w:w w:val="95"/>
        </w:rPr>
        <w:t xml:space="preserve"> </w:t>
      </w:r>
      <w:r>
        <w:rPr>
          <w:w w:val="95"/>
        </w:rPr>
        <w:t>of</w:t>
      </w:r>
      <w:r>
        <w:rPr>
          <w:spacing w:val="-5"/>
          <w:w w:val="95"/>
        </w:rPr>
        <w:t xml:space="preserve"> </w:t>
      </w:r>
      <w:r>
        <w:rPr>
          <w:w w:val="95"/>
        </w:rPr>
        <w:t>the</w:t>
      </w:r>
      <w:r>
        <w:rPr>
          <w:spacing w:val="-5"/>
          <w:w w:val="95"/>
        </w:rPr>
        <w:t xml:space="preserve"> </w:t>
      </w:r>
      <w:r>
        <w:rPr>
          <w:w w:val="95"/>
        </w:rPr>
        <w:t>SSRN,</w:t>
      </w:r>
      <w:r>
        <w:rPr>
          <w:spacing w:val="-5"/>
          <w:w w:val="95"/>
        </w:rPr>
        <w:t xml:space="preserve"> </w:t>
      </w:r>
      <w:r>
        <w:rPr>
          <w:w w:val="95"/>
        </w:rPr>
        <w:t>as</w:t>
      </w:r>
      <w:r>
        <w:rPr>
          <w:spacing w:val="-5"/>
          <w:w w:val="95"/>
        </w:rPr>
        <w:t xml:space="preserve"> </w:t>
      </w:r>
      <w:r>
        <w:rPr>
          <w:w w:val="95"/>
        </w:rPr>
        <w:t>with</w:t>
      </w:r>
      <w:r>
        <w:rPr>
          <w:spacing w:val="-5"/>
          <w:w w:val="95"/>
        </w:rPr>
        <w:t xml:space="preserve"> </w:t>
      </w:r>
      <w:r>
        <w:rPr>
          <w:w w:val="95"/>
        </w:rPr>
        <w:t>any</w:t>
      </w:r>
      <w:r>
        <w:rPr>
          <w:spacing w:val="-5"/>
          <w:w w:val="95"/>
        </w:rPr>
        <w:t xml:space="preserve"> </w:t>
      </w:r>
      <w:r>
        <w:rPr>
          <w:w w:val="95"/>
        </w:rPr>
        <w:t xml:space="preserve">other </w:t>
      </w:r>
      <w:r>
        <w:t>infrastructure</w:t>
      </w:r>
      <w:r>
        <w:rPr>
          <w:spacing w:val="-11"/>
        </w:rPr>
        <w:t xml:space="preserve"> </w:t>
      </w:r>
      <w:r>
        <w:t>network.</w:t>
      </w:r>
    </w:p>
    <w:p w:rsidR="002C1123" w:rsidRDefault="00F22F94">
      <w:pPr>
        <w:pStyle w:val="Heading6"/>
        <w:numPr>
          <w:ilvl w:val="2"/>
          <w:numId w:val="97"/>
        </w:numPr>
        <w:tabs>
          <w:tab w:val="left" w:pos="673"/>
        </w:tabs>
        <w:spacing w:before="144"/>
        <w:ind w:left="672" w:hanging="487"/>
        <w:jc w:val="left"/>
      </w:pPr>
      <w:r>
        <w:rPr>
          <w:color w:val="00AEEF"/>
        </w:rPr>
        <w:t>Managed</w:t>
      </w:r>
      <w:r>
        <w:rPr>
          <w:color w:val="00AEEF"/>
          <w:spacing w:val="-6"/>
        </w:rPr>
        <w:t xml:space="preserve"> </w:t>
      </w:r>
      <w:r>
        <w:rPr>
          <w:color w:val="00AEEF"/>
          <w:spacing w:val="-2"/>
        </w:rPr>
        <w:t>Motorways</w:t>
      </w:r>
    </w:p>
    <w:p w:rsidR="002C1123" w:rsidRDefault="00F22F94">
      <w:pPr>
        <w:pStyle w:val="BodyText"/>
        <w:spacing w:before="95" w:line="249" w:lineRule="auto"/>
        <w:ind w:left="186" w:right="739"/>
      </w:pPr>
      <w:r>
        <w:t>The</w:t>
      </w:r>
      <w:r>
        <w:rPr>
          <w:spacing w:val="-9"/>
        </w:rPr>
        <w:t xml:space="preserve"> </w:t>
      </w:r>
      <w:r>
        <w:t>managed</w:t>
      </w:r>
      <w:r>
        <w:rPr>
          <w:spacing w:val="-9"/>
        </w:rPr>
        <w:t xml:space="preserve"> </w:t>
      </w:r>
      <w:r>
        <w:t>motorways</w:t>
      </w:r>
      <w:r>
        <w:rPr>
          <w:spacing w:val="-9"/>
        </w:rPr>
        <w:t xml:space="preserve"> </w:t>
      </w:r>
      <w:r>
        <w:t>program</w:t>
      </w:r>
      <w:r>
        <w:rPr>
          <w:spacing w:val="-9"/>
        </w:rPr>
        <w:t xml:space="preserve"> </w:t>
      </w:r>
      <w:r>
        <w:t>is</w:t>
      </w:r>
      <w:r>
        <w:rPr>
          <w:spacing w:val="-9"/>
        </w:rPr>
        <w:t xml:space="preserve"> </w:t>
      </w:r>
      <w:r>
        <w:t>a</w:t>
      </w:r>
      <w:r>
        <w:rPr>
          <w:spacing w:val="-9"/>
        </w:rPr>
        <w:t xml:space="preserve"> </w:t>
      </w:r>
      <w:r>
        <w:t>collection</w:t>
      </w:r>
      <w:r>
        <w:rPr>
          <w:spacing w:val="-9"/>
        </w:rPr>
        <w:t xml:space="preserve"> </w:t>
      </w:r>
      <w:r>
        <w:t>of smart</w:t>
      </w:r>
      <w:r>
        <w:rPr>
          <w:spacing w:val="-8"/>
        </w:rPr>
        <w:t xml:space="preserve"> </w:t>
      </w:r>
      <w:r>
        <w:t>technology</w:t>
      </w:r>
      <w:r>
        <w:rPr>
          <w:spacing w:val="-8"/>
        </w:rPr>
        <w:t xml:space="preserve"> </w:t>
      </w:r>
      <w:r>
        <w:t>and</w:t>
      </w:r>
      <w:r>
        <w:rPr>
          <w:spacing w:val="-8"/>
        </w:rPr>
        <w:t xml:space="preserve"> </w:t>
      </w:r>
      <w:r>
        <w:t>infrastructure</w:t>
      </w:r>
      <w:r>
        <w:rPr>
          <w:spacing w:val="-8"/>
        </w:rPr>
        <w:t xml:space="preserve"> </w:t>
      </w:r>
      <w:r>
        <w:t>measures</w:t>
      </w:r>
      <w:r>
        <w:rPr>
          <w:spacing w:val="-8"/>
        </w:rPr>
        <w:t xml:space="preserve"> </w:t>
      </w:r>
      <w:r>
        <w:t>to</w:t>
      </w:r>
      <w:r>
        <w:rPr>
          <w:spacing w:val="-8"/>
        </w:rPr>
        <w:t xml:space="preserve"> </w:t>
      </w:r>
      <w:r>
        <w:t xml:space="preserve">get </w:t>
      </w:r>
      <w:r>
        <w:rPr>
          <w:w w:val="95"/>
        </w:rPr>
        <w:t>more</w:t>
      </w:r>
      <w:r>
        <w:rPr>
          <w:spacing w:val="-2"/>
          <w:w w:val="95"/>
        </w:rPr>
        <w:t xml:space="preserve"> </w:t>
      </w:r>
      <w:r>
        <w:rPr>
          <w:w w:val="95"/>
        </w:rPr>
        <w:t>efficiency</w:t>
      </w:r>
      <w:r>
        <w:rPr>
          <w:spacing w:val="-2"/>
          <w:w w:val="95"/>
        </w:rPr>
        <w:t xml:space="preserve"> </w:t>
      </w:r>
      <w:r>
        <w:rPr>
          <w:w w:val="95"/>
        </w:rPr>
        <w:t>out</w:t>
      </w:r>
      <w:r>
        <w:rPr>
          <w:spacing w:val="-2"/>
          <w:w w:val="95"/>
        </w:rPr>
        <w:t xml:space="preserve"> </w:t>
      </w:r>
      <w:r>
        <w:rPr>
          <w:w w:val="95"/>
        </w:rPr>
        <w:t>of</w:t>
      </w:r>
      <w:r>
        <w:rPr>
          <w:spacing w:val="-2"/>
          <w:w w:val="95"/>
        </w:rPr>
        <w:t xml:space="preserve"> </w:t>
      </w:r>
      <w:r>
        <w:rPr>
          <w:w w:val="95"/>
        </w:rPr>
        <w:t>the</w:t>
      </w:r>
      <w:r>
        <w:rPr>
          <w:spacing w:val="-2"/>
          <w:w w:val="95"/>
        </w:rPr>
        <w:t xml:space="preserve"> </w:t>
      </w:r>
      <w:r>
        <w:rPr>
          <w:w w:val="95"/>
        </w:rPr>
        <w:t>existing</w:t>
      </w:r>
      <w:r>
        <w:rPr>
          <w:spacing w:val="-2"/>
          <w:w w:val="95"/>
        </w:rPr>
        <w:t xml:space="preserve"> </w:t>
      </w:r>
      <w:r>
        <w:rPr>
          <w:w w:val="95"/>
        </w:rPr>
        <w:t>motorways.</w:t>
      </w:r>
      <w:r>
        <w:rPr>
          <w:spacing w:val="-2"/>
          <w:w w:val="95"/>
        </w:rPr>
        <w:t xml:space="preserve"> </w:t>
      </w:r>
      <w:r>
        <w:rPr>
          <w:w w:val="95"/>
        </w:rPr>
        <w:t xml:space="preserve">Managed </w:t>
      </w:r>
      <w:r>
        <w:t>Motorways</w:t>
      </w:r>
      <w:r>
        <w:rPr>
          <w:spacing w:val="-12"/>
        </w:rPr>
        <w:t xml:space="preserve"> </w:t>
      </w:r>
      <w:r>
        <w:t>increase</w:t>
      </w:r>
      <w:r>
        <w:rPr>
          <w:spacing w:val="-12"/>
        </w:rPr>
        <w:t xml:space="preserve"> </w:t>
      </w:r>
      <w:r>
        <w:t>the</w:t>
      </w:r>
      <w:r>
        <w:rPr>
          <w:spacing w:val="-12"/>
        </w:rPr>
        <w:t xml:space="preserve"> </w:t>
      </w:r>
      <w:r>
        <w:t>effective</w:t>
      </w:r>
      <w:r>
        <w:rPr>
          <w:spacing w:val="-12"/>
        </w:rPr>
        <w:t xml:space="preserve"> </w:t>
      </w:r>
      <w:r>
        <w:t>capacity</w:t>
      </w:r>
      <w:r>
        <w:rPr>
          <w:spacing w:val="-12"/>
        </w:rPr>
        <w:t xml:space="preserve"> </w:t>
      </w:r>
      <w:r>
        <w:t>of</w:t>
      </w:r>
      <w:r>
        <w:rPr>
          <w:spacing w:val="-12"/>
        </w:rPr>
        <w:t xml:space="preserve"> </w:t>
      </w:r>
      <w:r>
        <w:t>a</w:t>
      </w:r>
      <w:r>
        <w:rPr>
          <w:spacing w:val="-12"/>
        </w:rPr>
        <w:t xml:space="preserve"> </w:t>
      </w:r>
      <w:r>
        <w:t>road</w:t>
      </w:r>
      <w:r>
        <w:rPr>
          <w:spacing w:val="-12"/>
        </w:rPr>
        <w:t xml:space="preserve"> </w:t>
      </w:r>
      <w:r>
        <w:t>at lower</w:t>
      </w:r>
      <w:r>
        <w:rPr>
          <w:spacing w:val="-10"/>
        </w:rPr>
        <w:t xml:space="preserve"> </w:t>
      </w:r>
      <w:r>
        <w:t>cost</w:t>
      </w:r>
      <w:r>
        <w:rPr>
          <w:spacing w:val="-10"/>
        </w:rPr>
        <w:t xml:space="preserve"> </w:t>
      </w:r>
      <w:r>
        <w:t>than</w:t>
      </w:r>
      <w:r>
        <w:rPr>
          <w:spacing w:val="-10"/>
        </w:rPr>
        <w:t xml:space="preserve"> </w:t>
      </w:r>
      <w:r>
        <w:t>traditional</w:t>
      </w:r>
      <w:r>
        <w:rPr>
          <w:spacing w:val="-10"/>
        </w:rPr>
        <w:t xml:space="preserve"> </w:t>
      </w:r>
      <w:r>
        <w:t>road</w:t>
      </w:r>
      <w:r>
        <w:rPr>
          <w:spacing w:val="-10"/>
        </w:rPr>
        <w:t xml:space="preserve"> </w:t>
      </w:r>
      <w:r>
        <w:t>widening.</w:t>
      </w:r>
      <w:r>
        <w:rPr>
          <w:spacing w:val="-10"/>
        </w:rPr>
        <w:t xml:space="preserve"> </w:t>
      </w:r>
      <w:r>
        <w:t xml:space="preserve">Measures </w:t>
      </w:r>
      <w:r>
        <w:rPr>
          <w:w w:val="95"/>
        </w:rPr>
        <w:t>include</w:t>
      </w:r>
      <w:r>
        <w:rPr>
          <w:spacing w:val="-5"/>
          <w:w w:val="95"/>
        </w:rPr>
        <w:t xml:space="preserve"> </w:t>
      </w:r>
      <w:r>
        <w:rPr>
          <w:w w:val="95"/>
        </w:rPr>
        <w:t>ramp</w:t>
      </w:r>
      <w:r>
        <w:rPr>
          <w:spacing w:val="-5"/>
          <w:w w:val="95"/>
        </w:rPr>
        <w:t xml:space="preserve"> </w:t>
      </w:r>
      <w:r>
        <w:rPr>
          <w:w w:val="95"/>
        </w:rPr>
        <w:t>metering,</w:t>
      </w:r>
      <w:r>
        <w:rPr>
          <w:spacing w:val="-5"/>
          <w:w w:val="95"/>
        </w:rPr>
        <w:t xml:space="preserve"> </w:t>
      </w:r>
      <w:r>
        <w:rPr>
          <w:w w:val="95"/>
        </w:rPr>
        <w:t>variable</w:t>
      </w:r>
      <w:r>
        <w:rPr>
          <w:spacing w:val="-5"/>
          <w:w w:val="95"/>
        </w:rPr>
        <w:t xml:space="preserve"> </w:t>
      </w:r>
      <w:r>
        <w:rPr>
          <w:w w:val="95"/>
        </w:rPr>
        <w:t>speed</w:t>
      </w:r>
      <w:r>
        <w:rPr>
          <w:spacing w:val="-5"/>
          <w:w w:val="95"/>
        </w:rPr>
        <w:t xml:space="preserve"> </w:t>
      </w:r>
      <w:r>
        <w:rPr>
          <w:w w:val="95"/>
        </w:rPr>
        <w:t>limits,</w:t>
      </w:r>
      <w:r>
        <w:rPr>
          <w:spacing w:val="-5"/>
          <w:w w:val="95"/>
        </w:rPr>
        <w:t xml:space="preserve"> </w:t>
      </w:r>
      <w:r>
        <w:rPr>
          <w:w w:val="95"/>
        </w:rPr>
        <w:t>turning</w:t>
      </w:r>
      <w:r>
        <w:rPr>
          <w:spacing w:val="-5"/>
          <w:w w:val="95"/>
        </w:rPr>
        <w:t xml:space="preserve"> </w:t>
      </w:r>
      <w:r>
        <w:rPr>
          <w:w w:val="95"/>
        </w:rPr>
        <w:t xml:space="preserve">the </w:t>
      </w:r>
      <w:r>
        <w:t>unused</w:t>
      </w:r>
      <w:r>
        <w:rPr>
          <w:spacing w:val="-14"/>
        </w:rPr>
        <w:t xml:space="preserve"> </w:t>
      </w:r>
      <w:r>
        <w:t>shoulders</w:t>
      </w:r>
      <w:r>
        <w:rPr>
          <w:spacing w:val="-14"/>
        </w:rPr>
        <w:t xml:space="preserve"> </w:t>
      </w:r>
      <w:r>
        <w:t>into</w:t>
      </w:r>
      <w:r>
        <w:rPr>
          <w:spacing w:val="-14"/>
        </w:rPr>
        <w:t xml:space="preserve"> </w:t>
      </w:r>
      <w:r>
        <w:t>through</w:t>
      </w:r>
      <w:r>
        <w:rPr>
          <w:spacing w:val="-14"/>
        </w:rPr>
        <w:t xml:space="preserve"> </w:t>
      </w:r>
      <w:r>
        <w:t>lanes,</w:t>
      </w:r>
      <w:r>
        <w:rPr>
          <w:spacing w:val="-14"/>
        </w:rPr>
        <w:t xml:space="preserve"> </w:t>
      </w:r>
      <w:r>
        <w:t>enhanced</w:t>
      </w:r>
      <w:r>
        <w:rPr>
          <w:spacing w:val="-14"/>
        </w:rPr>
        <w:t xml:space="preserve"> </w:t>
      </w:r>
      <w:r>
        <w:t>driver information</w:t>
      </w:r>
      <w:r>
        <w:rPr>
          <w:spacing w:val="-7"/>
        </w:rPr>
        <w:t xml:space="preserve"> </w:t>
      </w:r>
      <w:r>
        <w:t>and</w:t>
      </w:r>
      <w:r>
        <w:rPr>
          <w:spacing w:val="-7"/>
        </w:rPr>
        <w:t xml:space="preserve"> </w:t>
      </w:r>
      <w:r>
        <w:t>accelerated</w:t>
      </w:r>
      <w:r>
        <w:rPr>
          <w:spacing w:val="-7"/>
        </w:rPr>
        <w:t xml:space="preserve"> </w:t>
      </w:r>
      <w:r>
        <w:t>obstruction</w:t>
      </w:r>
      <w:r>
        <w:rPr>
          <w:spacing w:val="-7"/>
        </w:rPr>
        <w:t xml:space="preserve"> </w:t>
      </w:r>
      <w:r>
        <w:t>clearance.</w:t>
      </w:r>
    </w:p>
    <w:p w:rsidR="002C1123" w:rsidRDefault="00F22F94">
      <w:pPr>
        <w:pStyle w:val="BodyText"/>
        <w:spacing w:before="149" w:line="249" w:lineRule="auto"/>
        <w:ind w:left="186" w:right="871"/>
      </w:pPr>
      <w:r>
        <w:t>In</w:t>
      </w:r>
      <w:r>
        <w:rPr>
          <w:spacing w:val="-14"/>
        </w:rPr>
        <w:t xml:space="preserve"> </w:t>
      </w:r>
      <w:r>
        <w:t>combining</w:t>
      </w:r>
      <w:r>
        <w:rPr>
          <w:spacing w:val="-13"/>
        </w:rPr>
        <w:t xml:space="preserve"> </w:t>
      </w:r>
      <w:r>
        <w:t>these</w:t>
      </w:r>
      <w:r>
        <w:rPr>
          <w:spacing w:val="-14"/>
        </w:rPr>
        <w:t xml:space="preserve"> </w:t>
      </w:r>
      <w:r>
        <w:t>measures,</w:t>
      </w:r>
      <w:r>
        <w:rPr>
          <w:spacing w:val="-13"/>
        </w:rPr>
        <w:t xml:space="preserve"> </w:t>
      </w:r>
      <w:r>
        <w:t>the</w:t>
      </w:r>
      <w:r>
        <w:rPr>
          <w:spacing w:val="-14"/>
        </w:rPr>
        <w:t xml:space="preserve"> </w:t>
      </w:r>
      <w:r>
        <w:t>flow</w:t>
      </w:r>
      <w:r>
        <w:rPr>
          <w:spacing w:val="-13"/>
        </w:rPr>
        <w:t xml:space="preserve"> </w:t>
      </w:r>
      <w:r>
        <w:t>of</w:t>
      </w:r>
      <w:r>
        <w:rPr>
          <w:spacing w:val="-14"/>
        </w:rPr>
        <w:t xml:space="preserve"> </w:t>
      </w:r>
      <w:r>
        <w:t xml:space="preserve">vehicles </w:t>
      </w:r>
      <w:r>
        <w:rPr>
          <w:w w:val="95"/>
        </w:rPr>
        <w:t>onto the motorways via on-ramps will be controlled to minimise</w:t>
      </w:r>
      <w:r>
        <w:rPr>
          <w:spacing w:val="-2"/>
          <w:w w:val="95"/>
        </w:rPr>
        <w:t xml:space="preserve"> </w:t>
      </w:r>
      <w:r>
        <w:rPr>
          <w:w w:val="95"/>
        </w:rPr>
        <w:t>disruption</w:t>
      </w:r>
      <w:r>
        <w:rPr>
          <w:spacing w:val="-2"/>
          <w:w w:val="95"/>
        </w:rPr>
        <w:t xml:space="preserve"> </w:t>
      </w:r>
      <w:r>
        <w:rPr>
          <w:w w:val="95"/>
        </w:rPr>
        <w:t>to</w:t>
      </w:r>
      <w:r>
        <w:rPr>
          <w:spacing w:val="-2"/>
          <w:w w:val="95"/>
        </w:rPr>
        <w:t xml:space="preserve"> </w:t>
      </w:r>
      <w:r>
        <w:rPr>
          <w:w w:val="95"/>
        </w:rPr>
        <w:t>through</w:t>
      </w:r>
      <w:r>
        <w:rPr>
          <w:spacing w:val="-2"/>
          <w:w w:val="95"/>
        </w:rPr>
        <w:t xml:space="preserve"> </w:t>
      </w:r>
      <w:r>
        <w:rPr>
          <w:w w:val="95"/>
        </w:rPr>
        <w:t>traffic,</w:t>
      </w:r>
      <w:r>
        <w:rPr>
          <w:spacing w:val="-2"/>
          <w:w w:val="95"/>
        </w:rPr>
        <w:t xml:space="preserve"> </w:t>
      </w:r>
      <w:r>
        <w:rPr>
          <w:w w:val="95"/>
        </w:rPr>
        <w:t>and</w:t>
      </w:r>
      <w:r>
        <w:rPr>
          <w:spacing w:val="-2"/>
          <w:w w:val="95"/>
        </w:rPr>
        <w:t xml:space="preserve"> </w:t>
      </w:r>
      <w:r>
        <w:rPr>
          <w:w w:val="95"/>
        </w:rPr>
        <w:t>speed</w:t>
      </w:r>
      <w:r>
        <w:rPr>
          <w:spacing w:val="-2"/>
          <w:w w:val="95"/>
        </w:rPr>
        <w:t xml:space="preserve"> </w:t>
      </w:r>
      <w:r>
        <w:rPr>
          <w:w w:val="95"/>
        </w:rPr>
        <w:t>limits</w:t>
      </w:r>
    </w:p>
    <w:p w:rsidR="002C1123" w:rsidRDefault="00F22F94">
      <w:pPr>
        <w:pStyle w:val="BodyText"/>
        <w:spacing w:before="2"/>
        <w:ind w:left="186"/>
      </w:pPr>
      <w:r>
        <w:rPr>
          <w:w w:val="95"/>
        </w:rPr>
        <w:t>will</w:t>
      </w:r>
      <w:r>
        <w:rPr>
          <w:spacing w:val="-7"/>
          <w:w w:val="95"/>
        </w:rPr>
        <w:t xml:space="preserve"> </w:t>
      </w:r>
      <w:r>
        <w:rPr>
          <w:w w:val="95"/>
        </w:rPr>
        <w:t>be</w:t>
      </w:r>
      <w:r>
        <w:rPr>
          <w:spacing w:val="-6"/>
          <w:w w:val="95"/>
        </w:rPr>
        <w:t xml:space="preserve"> </w:t>
      </w:r>
      <w:r>
        <w:rPr>
          <w:w w:val="95"/>
        </w:rPr>
        <w:t>electronically</w:t>
      </w:r>
      <w:r>
        <w:rPr>
          <w:spacing w:val="-7"/>
          <w:w w:val="95"/>
        </w:rPr>
        <w:t xml:space="preserve"> </w:t>
      </w:r>
      <w:r>
        <w:rPr>
          <w:w w:val="95"/>
        </w:rPr>
        <w:t>adjusted</w:t>
      </w:r>
      <w:r>
        <w:rPr>
          <w:spacing w:val="-6"/>
          <w:w w:val="95"/>
        </w:rPr>
        <w:t xml:space="preserve"> </w:t>
      </w:r>
      <w:r>
        <w:rPr>
          <w:w w:val="95"/>
        </w:rPr>
        <w:t>through</w:t>
      </w:r>
      <w:r>
        <w:rPr>
          <w:spacing w:val="-7"/>
          <w:w w:val="95"/>
        </w:rPr>
        <w:t xml:space="preserve"> </w:t>
      </w:r>
      <w:r>
        <w:rPr>
          <w:w w:val="95"/>
        </w:rPr>
        <w:t>the</w:t>
      </w:r>
      <w:r>
        <w:rPr>
          <w:spacing w:val="-6"/>
          <w:w w:val="95"/>
        </w:rPr>
        <w:t xml:space="preserve"> </w:t>
      </w:r>
      <w:r>
        <w:rPr>
          <w:w w:val="95"/>
        </w:rPr>
        <w:t>day</w:t>
      </w:r>
      <w:r>
        <w:rPr>
          <w:spacing w:val="-7"/>
          <w:w w:val="95"/>
        </w:rPr>
        <w:t xml:space="preserve"> </w:t>
      </w:r>
      <w:r>
        <w:rPr>
          <w:w w:val="95"/>
        </w:rPr>
        <w:t>to</w:t>
      </w:r>
      <w:r>
        <w:rPr>
          <w:spacing w:val="-6"/>
          <w:w w:val="95"/>
        </w:rPr>
        <w:t xml:space="preserve"> </w:t>
      </w:r>
      <w:r>
        <w:rPr>
          <w:spacing w:val="-2"/>
          <w:w w:val="95"/>
        </w:rPr>
        <w:t>optimise</w:t>
      </w:r>
    </w:p>
    <w:p w:rsidR="002C1123" w:rsidRDefault="002C1123">
      <w:pPr>
        <w:sectPr w:rsidR="002C1123">
          <w:type w:val="continuous"/>
          <w:pgSz w:w="16840" w:h="11910" w:orient="landscape"/>
          <w:pgMar w:top="560" w:right="280" w:bottom="280" w:left="500" w:header="0" w:footer="517" w:gutter="0"/>
          <w:cols w:num="3" w:space="720" w:equalWidth="0">
            <w:col w:w="5292" w:space="40"/>
            <w:col w:w="4988" w:space="39"/>
            <w:col w:w="5701"/>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7"/>
        </w:rPr>
      </w:pPr>
    </w:p>
    <w:p w:rsidR="002C1123" w:rsidRDefault="002C1123">
      <w:pPr>
        <w:rPr>
          <w:sz w:val="17"/>
        </w:rPr>
        <w:sectPr w:rsidR="002C1123">
          <w:pgSz w:w="16840" w:h="11910" w:orient="landscape"/>
          <w:pgMar w:top="560" w:right="280" w:bottom="700" w:left="500" w:header="0" w:footer="517" w:gutter="0"/>
          <w:cols w:space="720"/>
        </w:sectPr>
      </w:pPr>
    </w:p>
    <w:p w:rsidR="002C1123" w:rsidRDefault="00F22F94">
      <w:pPr>
        <w:pStyle w:val="BodyText"/>
        <w:spacing w:before="129" w:line="249" w:lineRule="auto"/>
        <w:ind w:left="492"/>
      </w:pPr>
      <w:bookmarkStart w:id="175" w:name="6.8__Roads_across_Metropolitan_Sydney"/>
      <w:bookmarkStart w:id="176" w:name="_bookmark127"/>
      <w:bookmarkStart w:id="177" w:name="_bookmark126"/>
      <w:bookmarkEnd w:id="175"/>
      <w:bookmarkEnd w:id="176"/>
      <w:bookmarkEnd w:id="177"/>
      <w:r>
        <w:t>motorway</w:t>
      </w:r>
      <w:r>
        <w:rPr>
          <w:spacing w:val="-10"/>
        </w:rPr>
        <w:t xml:space="preserve"> </w:t>
      </w:r>
      <w:r>
        <w:t>traffic</w:t>
      </w:r>
      <w:r>
        <w:rPr>
          <w:spacing w:val="-10"/>
        </w:rPr>
        <w:t xml:space="preserve"> </w:t>
      </w:r>
      <w:r>
        <w:t>flows.</w:t>
      </w:r>
      <w:r>
        <w:rPr>
          <w:spacing w:val="-10"/>
        </w:rPr>
        <w:t xml:space="preserve"> </w:t>
      </w:r>
      <w:r>
        <w:t>Using</w:t>
      </w:r>
      <w:r>
        <w:rPr>
          <w:spacing w:val="-10"/>
        </w:rPr>
        <w:t xml:space="preserve"> </w:t>
      </w:r>
      <w:r>
        <w:t>shoulders</w:t>
      </w:r>
      <w:r>
        <w:rPr>
          <w:spacing w:val="-10"/>
        </w:rPr>
        <w:t xml:space="preserve"> </w:t>
      </w:r>
      <w:r>
        <w:t>makes</w:t>
      </w:r>
      <w:r>
        <w:rPr>
          <w:spacing w:val="-10"/>
        </w:rPr>
        <w:t xml:space="preserve"> </w:t>
      </w:r>
      <w:r>
        <w:t>more through</w:t>
      </w:r>
      <w:r>
        <w:rPr>
          <w:spacing w:val="-14"/>
        </w:rPr>
        <w:t xml:space="preserve"> </w:t>
      </w:r>
      <w:r>
        <w:t>lanes</w:t>
      </w:r>
      <w:r>
        <w:rPr>
          <w:spacing w:val="-14"/>
        </w:rPr>
        <w:t xml:space="preserve"> </w:t>
      </w:r>
      <w:r>
        <w:t>available</w:t>
      </w:r>
      <w:r>
        <w:rPr>
          <w:spacing w:val="-14"/>
        </w:rPr>
        <w:t xml:space="preserve"> </w:t>
      </w:r>
      <w:r>
        <w:t>at</w:t>
      </w:r>
      <w:r>
        <w:rPr>
          <w:spacing w:val="-14"/>
        </w:rPr>
        <w:t xml:space="preserve"> </w:t>
      </w:r>
      <w:r>
        <w:t>low</w:t>
      </w:r>
      <w:r>
        <w:rPr>
          <w:spacing w:val="-14"/>
        </w:rPr>
        <w:t xml:space="preserve"> </w:t>
      </w:r>
      <w:r>
        <w:t>cost.</w:t>
      </w:r>
      <w:r>
        <w:rPr>
          <w:spacing w:val="-14"/>
        </w:rPr>
        <w:t xml:space="preserve"> </w:t>
      </w:r>
      <w:r>
        <w:t>Improved</w:t>
      </w:r>
      <w:r>
        <w:rPr>
          <w:spacing w:val="-14"/>
        </w:rPr>
        <w:t xml:space="preserve"> </w:t>
      </w:r>
      <w:r>
        <w:t xml:space="preserve">driver </w:t>
      </w:r>
      <w:r>
        <w:rPr>
          <w:w w:val="95"/>
        </w:rPr>
        <w:t>information</w:t>
      </w:r>
      <w:r>
        <w:rPr>
          <w:spacing w:val="-7"/>
          <w:w w:val="95"/>
        </w:rPr>
        <w:t xml:space="preserve"> </w:t>
      </w:r>
      <w:r>
        <w:rPr>
          <w:w w:val="95"/>
        </w:rPr>
        <w:t>can</w:t>
      </w:r>
      <w:r>
        <w:rPr>
          <w:spacing w:val="-7"/>
          <w:w w:val="95"/>
        </w:rPr>
        <w:t xml:space="preserve"> </w:t>
      </w:r>
      <w:r>
        <w:rPr>
          <w:w w:val="95"/>
        </w:rPr>
        <w:t>be</w:t>
      </w:r>
      <w:r>
        <w:rPr>
          <w:spacing w:val="-7"/>
          <w:w w:val="95"/>
        </w:rPr>
        <w:t xml:space="preserve"> </w:t>
      </w:r>
      <w:r>
        <w:rPr>
          <w:w w:val="95"/>
        </w:rPr>
        <w:t>provided</w:t>
      </w:r>
      <w:r>
        <w:rPr>
          <w:spacing w:val="-7"/>
          <w:w w:val="95"/>
        </w:rPr>
        <w:t xml:space="preserve"> </w:t>
      </w:r>
      <w:r>
        <w:rPr>
          <w:w w:val="95"/>
        </w:rPr>
        <w:t>via</w:t>
      </w:r>
      <w:r>
        <w:rPr>
          <w:spacing w:val="-7"/>
          <w:w w:val="95"/>
        </w:rPr>
        <w:t xml:space="preserve"> </w:t>
      </w:r>
      <w:r>
        <w:rPr>
          <w:w w:val="95"/>
        </w:rPr>
        <w:t>variable</w:t>
      </w:r>
      <w:r>
        <w:rPr>
          <w:spacing w:val="-7"/>
          <w:w w:val="95"/>
        </w:rPr>
        <w:t xml:space="preserve"> </w:t>
      </w:r>
      <w:r>
        <w:rPr>
          <w:w w:val="95"/>
        </w:rPr>
        <w:t>message</w:t>
      </w:r>
      <w:r>
        <w:rPr>
          <w:spacing w:val="-7"/>
          <w:w w:val="95"/>
        </w:rPr>
        <w:t xml:space="preserve"> </w:t>
      </w:r>
      <w:r>
        <w:rPr>
          <w:w w:val="95"/>
        </w:rPr>
        <w:t xml:space="preserve">signs </w:t>
      </w:r>
      <w:r>
        <w:rPr>
          <w:spacing w:val="-2"/>
        </w:rPr>
        <w:t>and</w:t>
      </w:r>
      <w:r>
        <w:rPr>
          <w:spacing w:val="-7"/>
        </w:rPr>
        <w:t xml:space="preserve"> </w:t>
      </w:r>
      <w:r>
        <w:rPr>
          <w:spacing w:val="-2"/>
        </w:rPr>
        <w:t>over-riding</w:t>
      </w:r>
      <w:r>
        <w:rPr>
          <w:spacing w:val="-7"/>
        </w:rPr>
        <w:t xml:space="preserve"> </w:t>
      </w:r>
      <w:r>
        <w:rPr>
          <w:spacing w:val="-2"/>
        </w:rPr>
        <w:t>of</w:t>
      </w:r>
      <w:r>
        <w:rPr>
          <w:spacing w:val="-7"/>
        </w:rPr>
        <w:t xml:space="preserve"> </w:t>
      </w:r>
      <w:r>
        <w:rPr>
          <w:spacing w:val="-2"/>
        </w:rPr>
        <w:t>car</w:t>
      </w:r>
      <w:r>
        <w:rPr>
          <w:spacing w:val="-7"/>
        </w:rPr>
        <w:t xml:space="preserve"> </w:t>
      </w:r>
      <w:r>
        <w:rPr>
          <w:spacing w:val="-2"/>
        </w:rPr>
        <w:t>radios,</w:t>
      </w:r>
      <w:r>
        <w:rPr>
          <w:spacing w:val="-7"/>
        </w:rPr>
        <w:t xml:space="preserve"> </w:t>
      </w:r>
      <w:r>
        <w:rPr>
          <w:spacing w:val="-2"/>
        </w:rPr>
        <w:t>enabling</w:t>
      </w:r>
      <w:r>
        <w:rPr>
          <w:spacing w:val="-7"/>
        </w:rPr>
        <w:t xml:space="preserve"> </w:t>
      </w:r>
      <w:r>
        <w:rPr>
          <w:spacing w:val="-2"/>
        </w:rPr>
        <w:t>drivers</w:t>
      </w:r>
      <w:r>
        <w:rPr>
          <w:spacing w:val="-7"/>
        </w:rPr>
        <w:t xml:space="preserve"> </w:t>
      </w:r>
      <w:r>
        <w:rPr>
          <w:spacing w:val="-2"/>
        </w:rPr>
        <w:t>to</w:t>
      </w:r>
      <w:r>
        <w:rPr>
          <w:spacing w:val="-7"/>
        </w:rPr>
        <w:t xml:space="preserve"> </w:t>
      </w:r>
      <w:r>
        <w:rPr>
          <w:spacing w:val="-2"/>
        </w:rPr>
        <w:t xml:space="preserve">make </w:t>
      </w:r>
      <w:r>
        <w:t>more</w:t>
      </w:r>
      <w:r>
        <w:rPr>
          <w:spacing w:val="-4"/>
        </w:rPr>
        <w:t xml:space="preserve"> </w:t>
      </w:r>
      <w:r>
        <w:t>informed</w:t>
      </w:r>
      <w:r>
        <w:rPr>
          <w:spacing w:val="-4"/>
        </w:rPr>
        <w:t xml:space="preserve"> </w:t>
      </w:r>
      <w:r>
        <w:t>decisions</w:t>
      </w:r>
      <w:r>
        <w:rPr>
          <w:spacing w:val="-4"/>
        </w:rPr>
        <w:t xml:space="preserve"> </w:t>
      </w:r>
      <w:r>
        <w:t>about</w:t>
      </w:r>
      <w:r>
        <w:rPr>
          <w:spacing w:val="-4"/>
        </w:rPr>
        <w:t xml:space="preserve"> </w:t>
      </w:r>
      <w:r>
        <w:t>choice</w:t>
      </w:r>
      <w:r>
        <w:rPr>
          <w:spacing w:val="-4"/>
        </w:rPr>
        <w:t xml:space="preserve"> </w:t>
      </w:r>
      <w:r>
        <w:t>of</w:t>
      </w:r>
      <w:r>
        <w:rPr>
          <w:spacing w:val="-4"/>
        </w:rPr>
        <w:t xml:space="preserve"> </w:t>
      </w:r>
      <w:r>
        <w:t>routes.</w:t>
      </w:r>
    </w:p>
    <w:p w:rsidR="002C1123" w:rsidRDefault="00F22F94">
      <w:pPr>
        <w:pStyle w:val="BodyText"/>
        <w:spacing w:before="146" w:line="249" w:lineRule="auto"/>
        <w:ind w:left="492" w:right="282"/>
        <w:jc w:val="both"/>
      </w:pPr>
      <w:r>
        <w:rPr>
          <w:w w:val="95"/>
        </w:rPr>
        <w:t>These measures have been effectively implemented in other countries, such as the United Kingdom (UK) and</w:t>
      </w:r>
      <w:r>
        <w:rPr>
          <w:spacing w:val="-9"/>
          <w:w w:val="95"/>
        </w:rPr>
        <w:t xml:space="preserve"> </w:t>
      </w:r>
      <w:r>
        <w:rPr>
          <w:w w:val="95"/>
        </w:rPr>
        <w:t>the</w:t>
      </w:r>
      <w:r>
        <w:rPr>
          <w:spacing w:val="-8"/>
          <w:w w:val="95"/>
        </w:rPr>
        <w:t xml:space="preserve"> </w:t>
      </w:r>
      <w:r>
        <w:rPr>
          <w:w w:val="95"/>
        </w:rPr>
        <w:t>Netherlands.</w:t>
      </w:r>
      <w:r>
        <w:rPr>
          <w:spacing w:val="-8"/>
          <w:w w:val="95"/>
        </w:rPr>
        <w:t xml:space="preserve"> </w:t>
      </w:r>
      <w:r>
        <w:rPr>
          <w:w w:val="95"/>
        </w:rPr>
        <w:t>Results</w:t>
      </w:r>
      <w:r>
        <w:rPr>
          <w:spacing w:val="-8"/>
          <w:w w:val="95"/>
        </w:rPr>
        <w:t xml:space="preserve"> </w:t>
      </w:r>
      <w:r>
        <w:rPr>
          <w:w w:val="95"/>
        </w:rPr>
        <w:t>from</w:t>
      </w:r>
      <w:r>
        <w:rPr>
          <w:spacing w:val="-9"/>
          <w:w w:val="95"/>
        </w:rPr>
        <w:t xml:space="preserve"> </w:t>
      </w:r>
      <w:r>
        <w:rPr>
          <w:w w:val="95"/>
        </w:rPr>
        <w:t>the</w:t>
      </w:r>
      <w:r>
        <w:rPr>
          <w:spacing w:val="-8"/>
          <w:w w:val="95"/>
        </w:rPr>
        <w:t xml:space="preserve"> </w:t>
      </w:r>
      <w:r>
        <w:rPr>
          <w:w w:val="95"/>
        </w:rPr>
        <w:t>UK</w:t>
      </w:r>
      <w:r>
        <w:rPr>
          <w:spacing w:val="-8"/>
          <w:w w:val="95"/>
        </w:rPr>
        <w:t xml:space="preserve"> </w:t>
      </w:r>
      <w:r>
        <w:rPr>
          <w:w w:val="95"/>
        </w:rPr>
        <w:t>have</w:t>
      </w:r>
      <w:r>
        <w:rPr>
          <w:spacing w:val="-8"/>
          <w:w w:val="95"/>
        </w:rPr>
        <w:t xml:space="preserve"> </w:t>
      </w:r>
      <w:r>
        <w:rPr>
          <w:spacing w:val="-4"/>
          <w:w w:val="95"/>
        </w:rPr>
        <w:t>been</w:t>
      </w:r>
    </w:p>
    <w:p w:rsidR="002C1123" w:rsidRDefault="00F22F94">
      <w:pPr>
        <w:pStyle w:val="BodyText"/>
        <w:spacing w:before="2" w:line="249" w:lineRule="auto"/>
        <w:ind w:left="492"/>
      </w:pPr>
      <w:r>
        <w:rPr>
          <w:w w:val="95"/>
        </w:rPr>
        <w:t>positive.</w:t>
      </w:r>
      <w:r>
        <w:rPr>
          <w:spacing w:val="-9"/>
          <w:w w:val="95"/>
        </w:rPr>
        <w:t xml:space="preserve"> </w:t>
      </w:r>
      <w:r>
        <w:rPr>
          <w:w w:val="95"/>
        </w:rPr>
        <w:t>Drivers</w:t>
      </w:r>
      <w:r>
        <w:rPr>
          <w:spacing w:val="-9"/>
          <w:w w:val="95"/>
        </w:rPr>
        <w:t xml:space="preserve"> </w:t>
      </w:r>
      <w:r>
        <w:rPr>
          <w:w w:val="95"/>
        </w:rPr>
        <w:t>experienced</w:t>
      </w:r>
      <w:r>
        <w:rPr>
          <w:spacing w:val="-9"/>
          <w:w w:val="95"/>
        </w:rPr>
        <w:t xml:space="preserve"> </w:t>
      </w:r>
      <w:r>
        <w:rPr>
          <w:w w:val="95"/>
        </w:rPr>
        <w:t>an</w:t>
      </w:r>
      <w:r>
        <w:rPr>
          <w:spacing w:val="-9"/>
          <w:w w:val="95"/>
        </w:rPr>
        <w:t xml:space="preserve"> </w:t>
      </w:r>
      <w:r>
        <w:rPr>
          <w:w w:val="95"/>
        </w:rPr>
        <w:t>improvement</w:t>
      </w:r>
      <w:r>
        <w:rPr>
          <w:spacing w:val="-9"/>
          <w:w w:val="95"/>
        </w:rPr>
        <w:t xml:space="preserve"> </w:t>
      </w:r>
      <w:r>
        <w:rPr>
          <w:w w:val="95"/>
        </w:rPr>
        <w:t>in</w:t>
      </w:r>
      <w:r>
        <w:rPr>
          <w:spacing w:val="-9"/>
          <w:w w:val="95"/>
        </w:rPr>
        <w:t xml:space="preserve"> </w:t>
      </w:r>
      <w:r>
        <w:rPr>
          <w:w w:val="95"/>
        </w:rPr>
        <w:t xml:space="preserve">journey </w:t>
      </w:r>
      <w:r>
        <w:t>times</w:t>
      </w:r>
      <w:r>
        <w:rPr>
          <w:spacing w:val="-9"/>
        </w:rPr>
        <w:t xml:space="preserve"> </w:t>
      </w:r>
      <w:r>
        <w:t>of</w:t>
      </w:r>
      <w:r>
        <w:rPr>
          <w:spacing w:val="-9"/>
        </w:rPr>
        <w:t xml:space="preserve"> </w:t>
      </w:r>
      <w:r>
        <w:t>up</w:t>
      </w:r>
      <w:r>
        <w:rPr>
          <w:spacing w:val="-9"/>
        </w:rPr>
        <w:t xml:space="preserve"> </w:t>
      </w:r>
      <w:r>
        <w:t>to</w:t>
      </w:r>
      <w:r>
        <w:rPr>
          <w:spacing w:val="-9"/>
        </w:rPr>
        <w:t xml:space="preserve"> </w:t>
      </w:r>
      <w:r>
        <w:t>25</w:t>
      </w:r>
      <w:r>
        <w:rPr>
          <w:spacing w:val="-9"/>
        </w:rPr>
        <w:t xml:space="preserve"> </w:t>
      </w:r>
      <w:r>
        <w:t>percent,</w:t>
      </w:r>
      <w:r>
        <w:rPr>
          <w:spacing w:val="-9"/>
        </w:rPr>
        <w:t xml:space="preserve"> </w:t>
      </w:r>
      <w:r>
        <w:t>and</w:t>
      </w:r>
      <w:r>
        <w:rPr>
          <w:spacing w:val="-9"/>
        </w:rPr>
        <w:t xml:space="preserve"> </w:t>
      </w:r>
      <w:r>
        <w:t>there</w:t>
      </w:r>
      <w:r>
        <w:rPr>
          <w:spacing w:val="-9"/>
        </w:rPr>
        <w:t xml:space="preserve"> </w:t>
      </w:r>
      <w:r>
        <w:t>was</w:t>
      </w:r>
      <w:r>
        <w:rPr>
          <w:spacing w:val="-9"/>
        </w:rPr>
        <w:t xml:space="preserve"> </w:t>
      </w:r>
      <w:r>
        <w:t>a</w:t>
      </w:r>
      <w:r>
        <w:rPr>
          <w:spacing w:val="-9"/>
        </w:rPr>
        <w:t xml:space="preserve"> </w:t>
      </w:r>
      <w:r>
        <w:t>55</w:t>
      </w:r>
      <w:r>
        <w:rPr>
          <w:spacing w:val="-9"/>
        </w:rPr>
        <w:t xml:space="preserve"> </w:t>
      </w:r>
      <w:r>
        <w:t>percent reduction in crashes</w:t>
      </w:r>
      <w:r>
        <w:rPr>
          <w:position w:val="7"/>
          <w:sz w:val="11"/>
        </w:rPr>
        <w:t>10</w:t>
      </w:r>
      <w:r>
        <w:t>.</w:t>
      </w:r>
    </w:p>
    <w:p w:rsidR="002C1123" w:rsidRDefault="002060EF">
      <w:pPr>
        <w:pStyle w:val="BodyText"/>
        <w:spacing w:before="144" w:line="249" w:lineRule="auto"/>
        <w:ind w:left="492"/>
      </w:pPr>
      <w:r>
        <w:pict>
          <v:shape id="docshape1193" o:spid="_x0000_s4040" type="#_x0000_t202" style="position:absolute;left:0;text-align:left;margin-left:49.6pt;margin-top:75.65pt;width:239pt;height:48.2pt;z-index:251377664;mso-position-horizontal-relative:page" fillcolor="#e1e0e1" stroked="f">
            <v:textbox inset="0,0,0,0">
              <w:txbxContent>
                <w:p w:rsidR="00F22F94" w:rsidRDefault="00F22F94">
                  <w:pPr>
                    <w:pStyle w:val="BodyText"/>
                    <w:spacing w:before="68" w:line="249" w:lineRule="auto"/>
                    <w:ind w:left="113"/>
                    <w:rPr>
                      <w:color w:val="000000"/>
                    </w:rPr>
                  </w:pPr>
                  <w:r>
                    <w:rPr>
                      <w:b/>
                      <w:color w:val="00AEEF"/>
                      <w:w w:val="95"/>
                    </w:rPr>
                    <w:t xml:space="preserve">Recommendation </w:t>
                  </w:r>
                  <w:r>
                    <w:rPr>
                      <w:color w:val="000000"/>
                      <w:w w:val="95"/>
                    </w:rPr>
                    <w:t xml:space="preserve">Infrastructure NSW recommends </w:t>
                  </w:r>
                  <w:r>
                    <w:rPr>
                      <w:color w:val="000000"/>
                    </w:rPr>
                    <w:t>the</w:t>
                  </w:r>
                  <w:r>
                    <w:rPr>
                      <w:color w:val="000000"/>
                      <w:spacing w:val="-3"/>
                    </w:rPr>
                    <w:t xml:space="preserve"> </w:t>
                  </w:r>
                  <w:r>
                    <w:rPr>
                      <w:color w:val="000000"/>
                    </w:rPr>
                    <w:t>roll-out</w:t>
                  </w:r>
                  <w:r>
                    <w:rPr>
                      <w:color w:val="000000"/>
                      <w:spacing w:val="-3"/>
                    </w:rPr>
                    <w:t xml:space="preserve"> </w:t>
                  </w:r>
                  <w:r>
                    <w:rPr>
                      <w:color w:val="000000"/>
                    </w:rPr>
                    <w:t>of</w:t>
                  </w:r>
                  <w:r>
                    <w:rPr>
                      <w:color w:val="000000"/>
                      <w:spacing w:val="-3"/>
                    </w:rPr>
                    <w:t xml:space="preserve"> </w:t>
                  </w:r>
                  <w:r>
                    <w:rPr>
                      <w:color w:val="000000"/>
                    </w:rPr>
                    <w:t>the</w:t>
                  </w:r>
                  <w:r>
                    <w:rPr>
                      <w:color w:val="000000"/>
                      <w:spacing w:val="-3"/>
                    </w:rPr>
                    <w:t xml:space="preserve"> </w:t>
                  </w:r>
                  <w:r>
                    <w:rPr>
                      <w:color w:val="000000"/>
                    </w:rPr>
                    <w:t>Managed</w:t>
                  </w:r>
                  <w:r>
                    <w:rPr>
                      <w:color w:val="000000"/>
                      <w:spacing w:val="-3"/>
                    </w:rPr>
                    <w:t xml:space="preserve"> </w:t>
                  </w:r>
                  <w:r>
                    <w:rPr>
                      <w:color w:val="000000"/>
                    </w:rPr>
                    <w:t>Motorways</w:t>
                  </w:r>
                  <w:r>
                    <w:rPr>
                      <w:color w:val="000000"/>
                      <w:spacing w:val="-3"/>
                    </w:rPr>
                    <w:t xml:space="preserve"> </w:t>
                  </w:r>
                  <w:r>
                    <w:rPr>
                      <w:color w:val="000000"/>
                    </w:rPr>
                    <w:t>program, subject</w:t>
                  </w:r>
                  <w:r>
                    <w:rPr>
                      <w:color w:val="000000"/>
                      <w:spacing w:val="-1"/>
                    </w:rPr>
                    <w:t xml:space="preserve"> </w:t>
                  </w:r>
                  <w:r>
                    <w:rPr>
                      <w:color w:val="000000"/>
                    </w:rPr>
                    <w:t>to</w:t>
                  </w:r>
                  <w:r>
                    <w:rPr>
                      <w:color w:val="000000"/>
                      <w:spacing w:val="-1"/>
                    </w:rPr>
                    <w:t xml:space="preserve"> </w:t>
                  </w:r>
                  <w:r>
                    <w:rPr>
                      <w:color w:val="000000"/>
                    </w:rPr>
                    <w:t>successful</w:t>
                  </w:r>
                  <w:r>
                    <w:rPr>
                      <w:color w:val="000000"/>
                      <w:spacing w:val="-1"/>
                    </w:rPr>
                    <w:t xml:space="preserve"> </w:t>
                  </w:r>
                  <w:r>
                    <w:rPr>
                      <w:color w:val="000000"/>
                    </w:rPr>
                    <w:t>trial</w:t>
                  </w:r>
                  <w:r>
                    <w:rPr>
                      <w:color w:val="000000"/>
                      <w:spacing w:val="-1"/>
                    </w:rPr>
                    <w:t xml:space="preserve"> </w:t>
                  </w:r>
                  <w:r>
                    <w:rPr>
                      <w:color w:val="000000"/>
                    </w:rPr>
                    <w:t>on</w:t>
                  </w:r>
                  <w:r>
                    <w:rPr>
                      <w:color w:val="000000"/>
                      <w:spacing w:val="-1"/>
                    </w:rPr>
                    <w:t xml:space="preserve"> </w:t>
                  </w:r>
                  <w:r>
                    <w:rPr>
                      <w:color w:val="000000"/>
                    </w:rPr>
                    <w:t>the</w:t>
                  </w:r>
                  <w:r>
                    <w:rPr>
                      <w:color w:val="000000"/>
                      <w:spacing w:val="-1"/>
                    </w:rPr>
                    <w:t xml:space="preserve"> </w:t>
                  </w:r>
                  <w:r>
                    <w:rPr>
                      <w:color w:val="000000"/>
                    </w:rPr>
                    <w:t>M4.</w:t>
                  </w:r>
                </w:p>
              </w:txbxContent>
            </v:textbox>
            <w10:wrap anchorx="page"/>
          </v:shape>
        </w:pict>
      </w:r>
      <w:r w:rsidR="00F22F94">
        <w:t>In</w:t>
      </w:r>
      <w:r w:rsidR="00F22F94">
        <w:rPr>
          <w:spacing w:val="-12"/>
        </w:rPr>
        <w:t xml:space="preserve"> </w:t>
      </w:r>
      <w:r w:rsidR="00F22F94">
        <w:t>NSW,</w:t>
      </w:r>
      <w:r w:rsidR="00F22F94">
        <w:rPr>
          <w:spacing w:val="-12"/>
        </w:rPr>
        <w:t xml:space="preserve"> </w:t>
      </w:r>
      <w:r w:rsidR="00F22F94">
        <w:t>a</w:t>
      </w:r>
      <w:r w:rsidR="00F22F94">
        <w:rPr>
          <w:spacing w:val="-12"/>
        </w:rPr>
        <w:t xml:space="preserve"> </w:t>
      </w:r>
      <w:r w:rsidR="00F22F94">
        <w:t>trial</w:t>
      </w:r>
      <w:r w:rsidR="00F22F94">
        <w:rPr>
          <w:spacing w:val="-12"/>
        </w:rPr>
        <w:t xml:space="preserve"> </w:t>
      </w:r>
      <w:r w:rsidR="00F22F94">
        <w:t>is</w:t>
      </w:r>
      <w:r w:rsidR="00F22F94">
        <w:rPr>
          <w:spacing w:val="-12"/>
        </w:rPr>
        <w:t xml:space="preserve"> </w:t>
      </w:r>
      <w:r w:rsidR="00F22F94">
        <w:t>proposed</w:t>
      </w:r>
      <w:r w:rsidR="00F22F94">
        <w:rPr>
          <w:spacing w:val="-12"/>
        </w:rPr>
        <w:t xml:space="preserve"> </w:t>
      </w:r>
      <w:r w:rsidR="00F22F94">
        <w:t>for</w:t>
      </w:r>
      <w:r w:rsidR="00F22F94">
        <w:rPr>
          <w:spacing w:val="-12"/>
        </w:rPr>
        <w:t xml:space="preserve"> </w:t>
      </w:r>
      <w:r w:rsidR="00F22F94">
        <w:t>the</w:t>
      </w:r>
      <w:r w:rsidR="00F22F94">
        <w:rPr>
          <w:spacing w:val="-12"/>
        </w:rPr>
        <w:t xml:space="preserve"> </w:t>
      </w:r>
      <w:r w:rsidR="00F22F94">
        <w:t>M4</w:t>
      </w:r>
      <w:r w:rsidR="00F22F94">
        <w:rPr>
          <w:spacing w:val="-12"/>
        </w:rPr>
        <w:t xml:space="preserve"> </w:t>
      </w:r>
      <w:r w:rsidR="00F22F94">
        <w:t xml:space="preserve">motorway. </w:t>
      </w:r>
      <w:r w:rsidR="00F22F94">
        <w:rPr>
          <w:w w:val="95"/>
        </w:rPr>
        <w:t xml:space="preserve">Infrastructure NSW supports the Managed Motorways </w:t>
      </w:r>
      <w:r w:rsidR="00F22F94">
        <w:t>concept,</w:t>
      </w:r>
      <w:r w:rsidR="00F22F94">
        <w:rPr>
          <w:spacing w:val="-4"/>
        </w:rPr>
        <w:t xml:space="preserve"> </w:t>
      </w:r>
      <w:r w:rsidR="00F22F94">
        <w:t>and,</w:t>
      </w:r>
      <w:r w:rsidR="00F22F94">
        <w:rPr>
          <w:spacing w:val="-4"/>
        </w:rPr>
        <w:t xml:space="preserve"> </w:t>
      </w:r>
      <w:r w:rsidR="00F22F94">
        <w:t>subject</w:t>
      </w:r>
      <w:r w:rsidR="00F22F94">
        <w:rPr>
          <w:spacing w:val="-4"/>
        </w:rPr>
        <w:t xml:space="preserve"> </w:t>
      </w:r>
      <w:r w:rsidR="00F22F94">
        <w:t>to</w:t>
      </w:r>
      <w:r w:rsidR="00F22F94">
        <w:rPr>
          <w:spacing w:val="-4"/>
        </w:rPr>
        <w:t xml:space="preserve"> </w:t>
      </w:r>
      <w:r w:rsidR="00F22F94">
        <w:t>its</w:t>
      </w:r>
      <w:r w:rsidR="00F22F94">
        <w:rPr>
          <w:spacing w:val="-4"/>
        </w:rPr>
        <w:t xml:space="preserve"> </w:t>
      </w:r>
      <w:r w:rsidR="00F22F94">
        <w:t>successful</w:t>
      </w:r>
      <w:r w:rsidR="00F22F94">
        <w:rPr>
          <w:spacing w:val="-4"/>
        </w:rPr>
        <w:t xml:space="preserve"> </w:t>
      </w:r>
      <w:r w:rsidR="00F22F94">
        <w:t>trial,</w:t>
      </w:r>
      <w:r w:rsidR="00F22F94">
        <w:rPr>
          <w:spacing w:val="-4"/>
        </w:rPr>
        <w:t xml:space="preserve"> </w:t>
      </w:r>
      <w:r w:rsidR="00F22F94">
        <w:t xml:space="preserve">would </w:t>
      </w:r>
      <w:r w:rsidR="00F22F94">
        <w:rPr>
          <w:w w:val="95"/>
        </w:rPr>
        <w:t xml:space="preserve">recommend it be implemented across other congested </w:t>
      </w:r>
      <w:r w:rsidR="00F22F94">
        <w:t>Sydney</w:t>
      </w:r>
      <w:r w:rsidR="00F22F94">
        <w:rPr>
          <w:spacing w:val="-11"/>
        </w:rPr>
        <w:t xml:space="preserve"> </w:t>
      </w:r>
      <w:r w:rsidR="00F22F94">
        <w:t>motorways.</w:t>
      </w: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spacing w:before="2"/>
        <w:rPr>
          <w:sz w:val="25"/>
        </w:rPr>
      </w:pPr>
    </w:p>
    <w:p w:rsidR="002C1123" w:rsidRDefault="00F22F94">
      <w:pPr>
        <w:pStyle w:val="Heading6"/>
        <w:numPr>
          <w:ilvl w:val="2"/>
          <w:numId w:val="97"/>
        </w:numPr>
        <w:tabs>
          <w:tab w:val="left" w:pos="979"/>
        </w:tabs>
        <w:spacing w:before="0"/>
        <w:ind w:hanging="487"/>
        <w:jc w:val="left"/>
      </w:pPr>
      <w:r>
        <w:rPr>
          <w:color w:val="00AEEF"/>
        </w:rPr>
        <w:t>Time-of-Day</w:t>
      </w:r>
      <w:r>
        <w:rPr>
          <w:color w:val="00AEEF"/>
          <w:spacing w:val="-13"/>
        </w:rPr>
        <w:t xml:space="preserve"> </w:t>
      </w:r>
      <w:r>
        <w:rPr>
          <w:color w:val="00AEEF"/>
        </w:rPr>
        <w:t>Road</w:t>
      </w:r>
      <w:r>
        <w:rPr>
          <w:color w:val="00AEEF"/>
          <w:spacing w:val="-13"/>
        </w:rPr>
        <w:t xml:space="preserve"> </w:t>
      </w:r>
      <w:r>
        <w:rPr>
          <w:color w:val="00AEEF"/>
          <w:spacing w:val="-2"/>
        </w:rPr>
        <w:t>Pricing</w:t>
      </w:r>
    </w:p>
    <w:p w:rsidR="002C1123" w:rsidRDefault="00F22F94">
      <w:pPr>
        <w:pStyle w:val="BodyText"/>
        <w:spacing w:before="95" w:line="249" w:lineRule="auto"/>
        <w:ind w:left="492" w:right="347"/>
      </w:pPr>
      <w:r>
        <w:rPr>
          <w:w w:val="95"/>
        </w:rPr>
        <w:t>Time-of-day</w:t>
      </w:r>
      <w:r>
        <w:rPr>
          <w:spacing w:val="-3"/>
          <w:w w:val="95"/>
        </w:rPr>
        <w:t xml:space="preserve"> </w:t>
      </w:r>
      <w:r>
        <w:rPr>
          <w:w w:val="95"/>
        </w:rPr>
        <w:t>road</w:t>
      </w:r>
      <w:r>
        <w:rPr>
          <w:spacing w:val="-3"/>
          <w:w w:val="95"/>
        </w:rPr>
        <w:t xml:space="preserve"> </w:t>
      </w:r>
      <w:r>
        <w:rPr>
          <w:w w:val="95"/>
        </w:rPr>
        <w:t>pricing</w:t>
      </w:r>
      <w:r>
        <w:rPr>
          <w:spacing w:val="-3"/>
          <w:w w:val="95"/>
        </w:rPr>
        <w:t xml:space="preserve"> </w:t>
      </w:r>
      <w:r>
        <w:rPr>
          <w:w w:val="95"/>
        </w:rPr>
        <w:t>offers</w:t>
      </w:r>
      <w:r>
        <w:rPr>
          <w:spacing w:val="-3"/>
          <w:w w:val="95"/>
        </w:rPr>
        <w:t xml:space="preserve"> </w:t>
      </w:r>
      <w:r>
        <w:rPr>
          <w:w w:val="95"/>
        </w:rPr>
        <w:t>a</w:t>
      </w:r>
      <w:r>
        <w:rPr>
          <w:spacing w:val="-3"/>
          <w:w w:val="95"/>
        </w:rPr>
        <w:t xml:space="preserve"> </w:t>
      </w:r>
      <w:r>
        <w:rPr>
          <w:w w:val="95"/>
        </w:rPr>
        <w:t>way</w:t>
      </w:r>
      <w:r>
        <w:rPr>
          <w:spacing w:val="-3"/>
          <w:w w:val="95"/>
        </w:rPr>
        <w:t xml:space="preserve"> </w:t>
      </w:r>
      <w:r>
        <w:rPr>
          <w:w w:val="95"/>
        </w:rPr>
        <w:t>to</w:t>
      </w:r>
      <w:r>
        <w:rPr>
          <w:spacing w:val="-3"/>
          <w:w w:val="95"/>
        </w:rPr>
        <w:t xml:space="preserve"> </w:t>
      </w:r>
      <w:r>
        <w:rPr>
          <w:w w:val="95"/>
        </w:rPr>
        <w:t xml:space="preserve">discourage </w:t>
      </w:r>
      <w:r>
        <w:t>traffic</w:t>
      </w:r>
      <w:r>
        <w:rPr>
          <w:spacing w:val="-4"/>
        </w:rPr>
        <w:t xml:space="preserve"> </w:t>
      </w:r>
      <w:r>
        <w:t>from</w:t>
      </w:r>
      <w:r>
        <w:rPr>
          <w:spacing w:val="-5"/>
        </w:rPr>
        <w:t xml:space="preserve"> </w:t>
      </w:r>
      <w:r>
        <w:t>particularly</w:t>
      </w:r>
      <w:r>
        <w:rPr>
          <w:spacing w:val="-4"/>
        </w:rPr>
        <w:t xml:space="preserve"> </w:t>
      </w:r>
      <w:r>
        <w:t>congested</w:t>
      </w:r>
      <w:r>
        <w:rPr>
          <w:spacing w:val="-4"/>
        </w:rPr>
        <w:t xml:space="preserve"> </w:t>
      </w:r>
      <w:r>
        <w:t>locations,</w:t>
      </w:r>
      <w:r>
        <w:rPr>
          <w:spacing w:val="-4"/>
        </w:rPr>
        <w:t xml:space="preserve"> </w:t>
      </w:r>
      <w:r>
        <w:t>and can</w:t>
      </w:r>
      <w:r>
        <w:rPr>
          <w:spacing w:val="-3"/>
        </w:rPr>
        <w:t xml:space="preserve"> </w:t>
      </w:r>
      <w:r>
        <w:t>also</w:t>
      </w:r>
      <w:r>
        <w:rPr>
          <w:spacing w:val="-3"/>
        </w:rPr>
        <w:t xml:space="preserve"> </w:t>
      </w:r>
      <w:r>
        <w:t>provide</w:t>
      </w:r>
      <w:r>
        <w:rPr>
          <w:spacing w:val="-3"/>
        </w:rPr>
        <w:t xml:space="preserve"> </w:t>
      </w:r>
      <w:r>
        <w:t>funds</w:t>
      </w:r>
      <w:r>
        <w:rPr>
          <w:spacing w:val="-3"/>
        </w:rPr>
        <w:t xml:space="preserve"> </w:t>
      </w:r>
      <w:r>
        <w:t>to</w:t>
      </w:r>
      <w:r>
        <w:rPr>
          <w:spacing w:val="-3"/>
        </w:rPr>
        <w:t xml:space="preserve"> </w:t>
      </w:r>
      <w:r>
        <w:t>support</w:t>
      </w:r>
      <w:r>
        <w:rPr>
          <w:spacing w:val="-3"/>
        </w:rPr>
        <w:t xml:space="preserve"> </w:t>
      </w:r>
      <w:r>
        <w:t>investment.</w:t>
      </w:r>
    </w:p>
    <w:p w:rsidR="002C1123" w:rsidRDefault="00F22F94">
      <w:pPr>
        <w:pStyle w:val="BodyText"/>
        <w:spacing w:before="2" w:line="249" w:lineRule="auto"/>
        <w:ind w:left="492" w:right="347"/>
      </w:pPr>
      <w:r>
        <w:rPr>
          <w:w w:val="95"/>
        </w:rPr>
        <w:t>Conceptually,</w:t>
      </w:r>
      <w:r>
        <w:rPr>
          <w:spacing w:val="-8"/>
          <w:w w:val="95"/>
        </w:rPr>
        <w:t xml:space="preserve"> </w:t>
      </w:r>
      <w:r>
        <w:rPr>
          <w:w w:val="95"/>
        </w:rPr>
        <w:t>variable</w:t>
      </w:r>
      <w:r>
        <w:rPr>
          <w:spacing w:val="-8"/>
          <w:w w:val="95"/>
        </w:rPr>
        <w:t xml:space="preserve"> </w:t>
      </w:r>
      <w:r>
        <w:rPr>
          <w:w w:val="95"/>
        </w:rPr>
        <w:t>road</w:t>
      </w:r>
      <w:r>
        <w:rPr>
          <w:spacing w:val="-8"/>
          <w:w w:val="95"/>
        </w:rPr>
        <w:t xml:space="preserve"> </w:t>
      </w:r>
      <w:r>
        <w:rPr>
          <w:w w:val="95"/>
        </w:rPr>
        <w:t>pricing</w:t>
      </w:r>
      <w:r>
        <w:rPr>
          <w:spacing w:val="-8"/>
          <w:w w:val="95"/>
        </w:rPr>
        <w:t xml:space="preserve"> </w:t>
      </w:r>
      <w:r>
        <w:rPr>
          <w:w w:val="95"/>
        </w:rPr>
        <w:t>is</w:t>
      </w:r>
      <w:r>
        <w:rPr>
          <w:spacing w:val="-8"/>
          <w:w w:val="95"/>
        </w:rPr>
        <w:t xml:space="preserve"> </w:t>
      </w:r>
      <w:r>
        <w:rPr>
          <w:w w:val="95"/>
        </w:rPr>
        <w:t>similar</w:t>
      </w:r>
      <w:r>
        <w:rPr>
          <w:spacing w:val="-8"/>
          <w:w w:val="95"/>
        </w:rPr>
        <w:t xml:space="preserve"> </w:t>
      </w:r>
      <w:r>
        <w:rPr>
          <w:w w:val="95"/>
        </w:rPr>
        <w:t>to</w:t>
      </w:r>
      <w:r>
        <w:rPr>
          <w:spacing w:val="-8"/>
          <w:w w:val="95"/>
        </w:rPr>
        <w:t xml:space="preserve"> </w:t>
      </w:r>
      <w:r>
        <w:rPr>
          <w:w w:val="95"/>
        </w:rPr>
        <w:t xml:space="preserve">the </w:t>
      </w:r>
      <w:r>
        <w:rPr>
          <w:spacing w:val="-2"/>
        </w:rPr>
        <w:t>demand</w:t>
      </w:r>
      <w:r>
        <w:rPr>
          <w:spacing w:val="-9"/>
        </w:rPr>
        <w:t xml:space="preserve"> </w:t>
      </w:r>
      <w:r>
        <w:rPr>
          <w:spacing w:val="-2"/>
        </w:rPr>
        <w:t>management</w:t>
      </w:r>
      <w:r>
        <w:rPr>
          <w:spacing w:val="-9"/>
        </w:rPr>
        <w:t xml:space="preserve"> </w:t>
      </w:r>
      <w:r>
        <w:rPr>
          <w:spacing w:val="-2"/>
        </w:rPr>
        <w:t>strategies</w:t>
      </w:r>
      <w:r>
        <w:rPr>
          <w:spacing w:val="-9"/>
        </w:rPr>
        <w:t xml:space="preserve"> </w:t>
      </w:r>
      <w:r>
        <w:rPr>
          <w:spacing w:val="-2"/>
        </w:rPr>
        <w:t>in</w:t>
      </w:r>
      <w:r>
        <w:rPr>
          <w:spacing w:val="-9"/>
        </w:rPr>
        <w:t xml:space="preserve"> </w:t>
      </w:r>
      <w:r>
        <w:rPr>
          <w:spacing w:val="-2"/>
        </w:rPr>
        <w:t>the</w:t>
      </w:r>
      <w:r>
        <w:rPr>
          <w:spacing w:val="-9"/>
        </w:rPr>
        <w:t xml:space="preserve"> </w:t>
      </w:r>
      <w:r>
        <w:rPr>
          <w:spacing w:val="-2"/>
        </w:rPr>
        <w:t>energy</w:t>
      </w:r>
      <w:r>
        <w:rPr>
          <w:spacing w:val="-9"/>
        </w:rPr>
        <w:t xml:space="preserve"> </w:t>
      </w:r>
      <w:r>
        <w:rPr>
          <w:spacing w:val="-2"/>
        </w:rPr>
        <w:t xml:space="preserve">or </w:t>
      </w:r>
      <w:r>
        <w:rPr>
          <w:w w:val="95"/>
        </w:rPr>
        <w:t>aviation</w:t>
      </w:r>
      <w:r>
        <w:rPr>
          <w:spacing w:val="-9"/>
          <w:w w:val="95"/>
        </w:rPr>
        <w:t xml:space="preserve"> </w:t>
      </w:r>
      <w:r>
        <w:rPr>
          <w:w w:val="95"/>
        </w:rPr>
        <w:t>industries.</w:t>
      </w:r>
      <w:r>
        <w:rPr>
          <w:spacing w:val="-9"/>
          <w:w w:val="95"/>
        </w:rPr>
        <w:t xml:space="preserve"> </w:t>
      </w:r>
      <w:r>
        <w:rPr>
          <w:w w:val="95"/>
        </w:rPr>
        <w:t>When</w:t>
      </w:r>
      <w:r>
        <w:rPr>
          <w:spacing w:val="-9"/>
          <w:w w:val="95"/>
        </w:rPr>
        <w:t xml:space="preserve"> </w:t>
      </w:r>
      <w:r>
        <w:rPr>
          <w:w w:val="95"/>
        </w:rPr>
        <w:t>demand</w:t>
      </w:r>
      <w:r>
        <w:rPr>
          <w:spacing w:val="-9"/>
          <w:w w:val="95"/>
        </w:rPr>
        <w:t xml:space="preserve"> </w:t>
      </w:r>
      <w:r>
        <w:rPr>
          <w:w w:val="95"/>
        </w:rPr>
        <w:t>is</w:t>
      </w:r>
      <w:r>
        <w:rPr>
          <w:spacing w:val="-9"/>
          <w:w w:val="95"/>
        </w:rPr>
        <w:t xml:space="preserve"> </w:t>
      </w:r>
      <w:r>
        <w:rPr>
          <w:w w:val="95"/>
        </w:rPr>
        <w:t>highest</w:t>
      </w:r>
      <w:r>
        <w:rPr>
          <w:spacing w:val="-9"/>
          <w:w w:val="95"/>
        </w:rPr>
        <w:t xml:space="preserve"> </w:t>
      </w:r>
      <w:r>
        <w:rPr>
          <w:w w:val="95"/>
        </w:rPr>
        <w:t xml:space="preserve">(such </w:t>
      </w:r>
      <w:r>
        <w:t>as</w:t>
      </w:r>
      <w:r>
        <w:rPr>
          <w:spacing w:val="-14"/>
        </w:rPr>
        <w:t xml:space="preserve"> </w:t>
      </w:r>
      <w:r>
        <w:t>at</w:t>
      </w:r>
      <w:r>
        <w:rPr>
          <w:spacing w:val="-14"/>
        </w:rPr>
        <w:t xml:space="preserve"> </w:t>
      </w:r>
      <w:r>
        <w:t>peak</w:t>
      </w:r>
      <w:r>
        <w:rPr>
          <w:spacing w:val="-14"/>
        </w:rPr>
        <w:t xml:space="preserve"> </w:t>
      </w:r>
      <w:r>
        <w:t>hours),</w:t>
      </w:r>
      <w:r>
        <w:rPr>
          <w:spacing w:val="-14"/>
        </w:rPr>
        <w:t xml:space="preserve"> </w:t>
      </w:r>
      <w:r>
        <w:t>customers</w:t>
      </w:r>
      <w:r>
        <w:rPr>
          <w:spacing w:val="-13"/>
        </w:rPr>
        <w:t xml:space="preserve"> </w:t>
      </w:r>
      <w:r>
        <w:t>pay</w:t>
      </w:r>
      <w:r>
        <w:rPr>
          <w:spacing w:val="-14"/>
        </w:rPr>
        <w:t xml:space="preserve"> </w:t>
      </w:r>
      <w:r>
        <w:t>more</w:t>
      </w:r>
      <w:r>
        <w:rPr>
          <w:spacing w:val="-14"/>
        </w:rPr>
        <w:t xml:space="preserve"> </w:t>
      </w:r>
      <w:r>
        <w:t>to</w:t>
      </w:r>
      <w:r>
        <w:rPr>
          <w:spacing w:val="-14"/>
        </w:rPr>
        <w:t xml:space="preserve"> </w:t>
      </w:r>
      <w:r>
        <w:t>travel, moderating</w:t>
      </w:r>
      <w:r>
        <w:rPr>
          <w:spacing w:val="-11"/>
        </w:rPr>
        <w:t xml:space="preserve"> </w:t>
      </w:r>
      <w:r>
        <w:t>demand.</w:t>
      </w:r>
    </w:p>
    <w:p w:rsidR="002C1123" w:rsidRDefault="002060EF">
      <w:pPr>
        <w:pStyle w:val="BodyText"/>
        <w:spacing w:before="6"/>
        <w:rPr>
          <w:sz w:val="28"/>
        </w:rPr>
      </w:pPr>
      <w:r>
        <w:pict>
          <v:shape id="docshape1194" o:spid="_x0000_s4039" style="position:absolute;margin-left:49.6pt;margin-top:17.65pt;width:1in;height:.1pt;z-index:-251388928;mso-wrap-distance-left:0;mso-wrap-distance-right:0;mso-position-horizontal-relative:page" coordorigin="992,353" coordsize="1440,0" path="m992,353r1440,e" filled="f" strokecolor="#9c9c9d" strokeweight=".5pt">
            <v:path arrowok="t"/>
            <w10:wrap type="topAndBottom" anchorx="page"/>
          </v:shape>
        </w:pict>
      </w:r>
    </w:p>
    <w:p w:rsidR="002C1123" w:rsidRDefault="00F22F94">
      <w:pPr>
        <w:pStyle w:val="ListParagraph"/>
        <w:numPr>
          <w:ilvl w:val="1"/>
          <w:numId w:val="95"/>
        </w:numPr>
        <w:tabs>
          <w:tab w:val="left" w:pos="691"/>
        </w:tabs>
        <w:spacing w:before="23"/>
        <w:ind w:left="690"/>
        <w:jc w:val="both"/>
        <w:rPr>
          <w:sz w:val="14"/>
        </w:rPr>
      </w:pPr>
      <w:r>
        <w:rPr>
          <w:w w:val="95"/>
          <w:sz w:val="14"/>
        </w:rPr>
        <w:t>Highways</w:t>
      </w:r>
      <w:r>
        <w:rPr>
          <w:spacing w:val="1"/>
          <w:sz w:val="14"/>
        </w:rPr>
        <w:t xml:space="preserve"> </w:t>
      </w:r>
      <w:r>
        <w:rPr>
          <w:w w:val="95"/>
          <w:sz w:val="14"/>
        </w:rPr>
        <w:t>Research</w:t>
      </w:r>
      <w:r>
        <w:rPr>
          <w:spacing w:val="2"/>
          <w:sz w:val="14"/>
        </w:rPr>
        <w:t xml:space="preserve"> </w:t>
      </w:r>
      <w:r>
        <w:rPr>
          <w:w w:val="95"/>
          <w:sz w:val="14"/>
        </w:rPr>
        <w:t>Group,</w:t>
      </w:r>
      <w:r>
        <w:rPr>
          <w:spacing w:val="2"/>
          <w:sz w:val="14"/>
        </w:rPr>
        <w:t xml:space="preserve"> </w:t>
      </w:r>
      <w:r>
        <w:rPr>
          <w:spacing w:val="-2"/>
          <w:w w:val="95"/>
          <w:sz w:val="14"/>
        </w:rPr>
        <w:t>2011.</w:t>
      </w:r>
    </w:p>
    <w:p w:rsidR="002C1123" w:rsidRDefault="00F22F94">
      <w:pPr>
        <w:pStyle w:val="BodyText"/>
        <w:spacing w:before="129" w:line="249" w:lineRule="auto"/>
        <w:ind w:left="267"/>
      </w:pPr>
      <w:r>
        <w:br w:type="column"/>
      </w:r>
      <w:r>
        <w:t>Singapore</w:t>
      </w:r>
      <w:r>
        <w:rPr>
          <w:spacing w:val="-11"/>
        </w:rPr>
        <w:t xml:space="preserve"> </w:t>
      </w:r>
      <w:r>
        <w:t>is</w:t>
      </w:r>
      <w:r>
        <w:rPr>
          <w:spacing w:val="-11"/>
        </w:rPr>
        <w:t xml:space="preserve"> </w:t>
      </w:r>
      <w:r>
        <w:t>the</w:t>
      </w:r>
      <w:r>
        <w:rPr>
          <w:spacing w:val="-11"/>
        </w:rPr>
        <w:t xml:space="preserve"> </w:t>
      </w:r>
      <w:r>
        <w:t>leading</w:t>
      </w:r>
      <w:r>
        <w:rPr>
          <w:spacing w:val="-11"/>
        </w:rPr>
        <w:t xml:space="preserve"> </w:t>
      </w:r>
      <w:r>
        <w:t>exponent</w:t>
      </w:r>
      <w:r>
        <w:rPr>
          <w:spacing w:val="-11"/>
        </w:rPr>
        <w:t xml:space="preserve"> </w:t>
      </w:r>
      <w:r>
        <w:t>of</w:t>
      </w:r>
      <w:r>
        <w:rPr>
          <w:spacing w:val="-11"/>
        </w:rPr>
        <w:t xml:space="preserve"> </w:t>
      </w:r>
      <w:r>
        <w:t>road</w:t>
      </w:r>
      <w:r>
        <w:rPr>
          <w:spacing w:val="-11"/>
        </w:rPr>
        <w:t xml:space="preserve"> </w:t>
      </w:r>
      <w:r>
        <w:t xml:space="preserve">congestion </w:t>
      </w:r>
      <w:r>
        <w:rPr>
          <w:w w:val="95"/>
        </w:rPr>
        <w:t>pricing.</w:t>
      </w:r>
      <w:r>
        <w:rPr>
          <w:spacing w:val="-9"/>
          <w:w w:val="95"/>
        </w:rPr>
        <w:t xml:space="preserve"> </w:t>
      </w:r>
      <w:r>
        <w:rPr>
          <w:w w:val="95"/>
        </w:rPr>
        <w:t>Since</w:t>
      </w:r>
      <w:r>
        <w:rPr>
          <w:spacing w:val="-9"/>
          <w:w w:val="95"/>
        </w:rPr>
        <w:t xml:space="preserve"> </w:t>
      </w:r>
      <w:r>
        <w:rPr>
          <w:w w:val="95"/>
        </w:rPr>
        <w:t>the</w:t>
      </w:r>
      <w:r>
        <w:rPr>
          <w:spacing w:val="-9"/>
          <w:w w:val="95"/>
        </w:rPr>
        <w:t xml:space="preserve"> </w:t>
      </w:r>
      <w:r>
        <w:rPr>
          <w:w w:val="95"/>
        </w:rPr>
        <w:t>1970s</w:t>
      </w:r>
      <w:r>
        <w:rPr>
          <w:spacing w:val="-9"/>
          <w:w w:val="95"/>
        </w:rPr>
        <w:t xml:space="preserve"> </w:t>
      </w:r>
      <w:r>
        <w:rPr>
          <w:w w:val="95"/>
        </w:rPr>
        <w:t>it</w:t>
      </w:r>
      <w:r>
        <w:rPr>
          <w:spacing w:val="-9"/>
          <w:w w:val="95"/>
        </w:rPr>
        <w:t xml:space="preserve"> </w:t>
      </w:r>
      <w:r>
        <w:rPr>
          <w:w w:val="95"/>
        </w:rPr>
        <w:t>has</w:t>
      </w:r>
      <w:r>
        <w:rPr>
          <w:spacing w:val="-9"/>
          <w:w w:val="95"/>
        </w:rPr>
        <w:t xml:space="preserve"> </w:t>
      </w:r>
      <w:r>
        <w:rPr>
          <w:w w:val="95"/>
        </w:rPr>
        <w:t>progressively</w:t>
      </w:r>
      <w:r>
        <w:rPr>
          <w:spacing w:val="-9"/>
          <w:w w:val="95"/>
        </w:rPr>
        <w:t xml:space="preserve"> </w:t>
      </w:r>
      <w:r>
        <w:rPr>
          <w:w w:val="95"/>
        </w:rPr>
        <w:t>rolled</w:t>
      </w:r>
      <w:r>
        <w:rPr>
          <w:spacing w:val="-9"/>
          <w:w w:val="95"/>
        </w:rPr>
        <w:t xml:space="preserve"> </w:t>
      </w:r>
      <w:r>
        <w:rPr>
          <w:w w:val="95"/>
        </w:rPr>
        <w:t>out</w:t>
      </w:r>
      <w:r>
        <w:rPr>
          <w:spacing w:val="-9"/>
          <w:w w:val="95"/>
        </w:rPr>
        <w:t xml:space="preserve"> </w:t>
      </w:r>
      <w:r>
        <w:rPr>
          <w:w w:val="95"/>
        </w:rPr>
        <w:t xml:space="preserve">an increasingly complex system, which has reduced traffic </w:t>
      </w:r>
      <w:r>
        <w:t>congestion</w:t>
      </w:r>
      <w:r>
        <w:rPr>
          <w:spacing w:val="-7"/>
        </w:rPr>
        <w:t xml:space="preserve"> </w:t>
      </w:r>
      <w:r>
        <w:t>during</w:t>
      </w:r>
      <w:r>
        <w:rPr>
          <w:spacing w:val="-7"/>
        </w:rPr>
        <w:t xml:space="preserve"> </w:t>
      </w:r>
      <w:r>
        <w:t>peak</w:t>
      </w:r>
      <w:r>
        <w:rPr>
          <w:spacing w:val="-7"/>
        </w:rPr>
        <w:t xml:space="preserve"> </w:t>
      </w:r>
      <w:r>
        <w:t>periods</w:t>
      </w:r>
      <w:r>
        <w:rPr>
          <w:spacing w:val="-7"/>
        </w:rPr>
        <w:t xml:space="preserve"> </w:t>
      </w:r>
      <w:r>
        <w:t>by</w:t>
      </w:r>
      <w:r>
        <w:rPr>
          <w:spacing w:val="-7"/>
        </w:rPr>
        <w:t xml:space="preserve"> </w:t>
      </w:r>
      <w:r>
        <w:t>15-20</w:t>
      </w:r>
      <w:r>
        <w:rPr>
          <w:spacing w:val="-7"/>
        </w:rPr>
        <w:t xml:space="preserve"> </w:t>
      </w:r>
      <w:r>
        <w:t>percent.</w:t>
      </w:r>
      <w:r>
        <w:rPr>
          <w:spacing w:val="-7"/>
        </w:rPr>
        <w:t xml:space="preserve"> </w:t>
      </w:r>
      <w:r>
        <w:t xml:space="preserve">In </w:t>
      </w:r>
      <w:r>
        <w:rPr>
          <w:spacing w:val="-2"/>
        </w:rPr>
        <w:t>Sydney,</w:t>
      </w:r>
      <w:r>
        <w:rPr>
          <w:spacing w:val="-8"/>
        </w:rPr>
        <w:t xml:space="preserve"> </w:t>
      </w:r>
      <w:r>
        <w:rPr>
          <w:spacing w:val="-2"/>
        </w:rPr>
        <w:t>a</w:t>
      </w:r>
      <w:r>
        <w:rPr>
          <w:spacing w:val="-8"/>
        </w:rPr>
        <w:t xml:space="preserve"> </w:t>
      </w:r>
      <w:r>
        <w:rPr>
          <w:spacing w:val="-2"/>
        </w:rPr>
        <w:t>form</w:t>
      </w:r>
      <w:r>
        <w:rPr>
          <w:spacing w:val="-9"/>
        </w:rPr>
        <w:t xml:space="preserve"> </w:t>
      </w:r>
      <w:r>
        <w:rPr>
          <w:spacing w:val="-2"/>
        </w:rPr>
        <w:t>of</w:t>
      </w:r>
      <w:r>
        <w:rPr>
          <w:spacing w:val="-8"/>
        </w:rPr>
        <w:t xml:space="preserve"> </w:t>
      </w:r>
      <w:r>
        <w:rPr>
          <w:spacing w:val="-2"/>
        </w:rPr>
        <w:t>time-of-day</w:t>
      </w:r>
      <w:r>
        <w:rPr>
          <w:spacing w:val="-8"/>
        </w:rPr>
        <w:t xml:space="preserve"> </w:t>
      </w:r>
      <w:r>
        <w:rPr>
          <w:spacing w:val="-2"/>
        </w:rPr>
        <w:t>pricing</w:t>
      </w:r>
      <w:r>
        <w:rPr>
          <w:spacing w:val="-8"/>
        </w:rPr>
        <w:t xml:space="preserve"> </w:t>
      </w:r>
      <w:r>
        <w:rPr>
          <w:spacing w:val="-2"/>
        </w:rPr>
        <w:t>has</w:t>
      </w:r>
      <w:r>
        <w:rPr>
          <w:spacing w:val="-8"/>
        </w:rPr>
        <w:t xml:space="preserve"> </w:t>
      </w:r>
      <w:r>
        <w:rPr>
          <w:spacing w:val="-2"/>
        </w:rPr>
        <w:t>been</w:t>
      </w:r>
      <w:r>
        <w:rPr>
          <w:spacing w:val="-8"/>
        </w:rPr>
        <w:t xml:space="preserve"> </w:t>
      </w:r>
      <w:r>
        <w:rPr>
          <w:spacing w:val="-2"/>
        </w:rPr>
        <w:t>in</w:t>
      </w:r>
      <w:r>
        <w:rPr>
          <w:spacing w:val="-8"/>
        </w:rPr>
        <w:t xml:space="preserve"> </w:t>
      </w:r>
      <w:r>
        <w:rPr>
          <w:spacing w:val="-2"/>
        </w:rPr>
        <w:t xml:space="preserve">place </w:t>
      </w:r>
      <w:r>
        <w:t>on the Harbour crossings since 2009.</w:t>
      </w:r>
    </w:p>
    <w:p w:rsidR="002C1123" w:rsidRDefault="00F22F94">
      <w:pPr>
        <w:pStyle w:val="BodyText"/>
        <w:spacing w:before="147" w:line="249" w:lineRule="auto"/>
        <w:ind w:left="267" w:right="340"/>
        <w:jc w:val="both"/>
      </w:pPr>
      <w:r>
        <w:rPr>
          <w:w w:val="95"/>
        </w:rPr>
        <w:t>Over</w:t>
      </w:r>
      <w:r>
        <w:rPr>
          <w:spacing w:val="-8"/>
          <w:w w:val="95"/>
        </w:rPr>
        <w:t xml:space="preserve"> </w:t>
      </w:r>
      <w:r>
        <w:rPr>
          <w:w w:val="95"/>
        </w:rPr>
        <w:t>the</w:t>
      </w:r>
      <w:r>
        <w:rPr>
          <w:spacing w:val="-8"/>
          <w:w w:val="95"/>
        </w:rPr>
        <w:t xml:space="preserve"> </w:t>
      </w:r>
      <w:r>
        <w:rPr>
          <w:w w:val="95"/>
        </w:rPr>
        <w:t>longer</w:t>
      </w:r>
      <w:r>
        <w:rPr>
          <w:spacing w:val="-8"/>
          <w:w w:val="95"/>
        </w:rPr>
        <w:t xml:space="preserve"> </w:t>
      </w:r>
      <w:r>
        <w:rPr>
          <w:w w:val="95"/>
        </w:rPr>
        <w:t>term,</w:t>
      </w:r>
      <w:r>
        <w:rPr>
          <w:spacing w:val="-8"/>
          <w:w w:val="95"/>
        </w:rPr>
        <w:t xml:space="preserve"> </w:t>
      </w:r>
      <w:r>
        <w:rPr>
          <w:w w:val="95"/>
        </w:rPr>
        <w:t>as</w:t>
      </w:r>
      <w:r>
        <w:rPr>
          <w:spacing w:val="-8"/>
          <w:w w:val="95"/>
        </w:rPr>
        <w:t xml:space="preserve"> </w:t>
      </w:r>
      <w:r>
        <w:rPr>
          <w:w w:val="95"/>
        </w:rPr>
        <w:t>Sydney</w:t>
      </w:r>
      <w:r>
        <w:rPr>
          <w:spacing w:val="-8"/>
          <w:w w:val="95"/>
        </w:rPr>
        <w:t xml:space="preserve"> </w:t>
      </w:r>
      <w:r>
        <w:rPr>
          <w:w w:val="95"/>
        </w:rPr>
        <w:t>grows</w:t>
      </w:r>
      <w:r>
        <w:rPr>
          <w:spacing w:val="-8"/>
          <w:w w:val="95"/>
        </w:rPr>
        <w:t xml:space="preserve"> </w:t>
      </w:r>
      <w:r>
        <w:rPr>
          <w:w w:val="95"/>
        </w:rPr>
        <w:t>to</w:t>
      </w:r>
      <w:r>
        <w:rPr>
          <w:spacing w:val="-8"/>
          <w:w w:val="95"/>
        </w:rPr>
        <w:t xml:space="preserve"> </w:t>
      </w:r>
      <w:r>
        <w:rPr>
          <w:w w:val="95"/>
        </w:rPr>
        <w:t>a</w:t>
      </w:r>
      <w:r>
        <w:rPr>
          <w:spacing w:val="-8"/>
          <w:w w:val="95"/>
        </w:rPr>
        <w:t xml:space="preserve"> </w:t>
      </w:r>
      <w:r>
        <w:rPr>
          <w:w w:val="95"/>
        </w:rPr>
        <w:t>city</w:t>
      </w:r>
      <w:r>
        <w:rPr>
          <w:spacing w:val="-8"/>
          <w:w w:val="95"/>
        </w:rPr>
        <w:t xml:space="preserve"> </w:t>
      </w:r>
      <w:r>
        <w:rPr>
          <w:w w:val="95"/>
        </w:rPr>
        <w:t>of</w:t>
      </w:r>
      <w:r>
        <w:rPr>
          <w:spacing w:val="-8"/>
          <w:w w:val="95"/>
        </w:rPr>
        <w:t xml:space="preserve"> </w:t>
      </w:r>
      <w:r>
        <w:rPr>
          <w:w w:val="95"/>
        </w:rPr>
        <w:t>six million</w:t>
      </w:r>
      <w:r>
        <w:rPr>
          <w:spacing w:val="-8"/>
          <w:w w:val="95"/>
        </w:rPr>
        <w:t xml:space="preserve"> </w:t>
      </w:r>
      <w:r>
        <w:rPr>
          <w:w w:val="95"/>
        </w:rPr>
        <w:t>people,</w:t>
      </w:r>
      <w:r>
        <w:rPr>
          <w:spacing w:val="-8"/>
          <w:w w:val="95"/>
        </w:rPr>
        <w:t xml:space="preserve"> </w:t>
      </w:r>
      <w:r>
        <w:rPr>
          <w:w w:val="95"/>
        </w:rPr>
        <w:t>road</w:t>
      </w:r>
      <w:r>
        <w:rPr>
          <w:spacing w:val="-8"/>
          <w:w w:val="95"/>
        </w:rPr>
        <w:t xml:space="preserve"> </w:t>
      </w:r>
      <w:r>
        <w:rPr>
          <w:w w:val="95"/>
        </w:rPr>
        <w:t>pricing</w:t>
      </w:r>
      <w:r>
        <w:rPr>
          <w:spacing w:val="-8"/>
          <w:w w:val="95"/>
        </w:rPr>
        <w:t xml:space="preserve"> </w:t>
      </w:r>
      <w:r>
        <w:rPr>
          <w:w w:val="95"/>
        </w:rPr>
        <w:t>may</w:t>
      </w:r>
      <w:r>
        <w:rPr>
          <w:spacing w:val="-8"/>
          <w:w w:val="95"/>
        </w:rPr>
        <w:t xml:space="preserve"> </w:t>
      </w:r>
      <w:r>
        <w:rPr>
          <w:w w:val="95"/>
        </w:rPr>
        <w:t>need</w:t>
      </w:r>
      <w:r>
        <w:rPr>
          <w:spacing w:val="-8"/>
          <w:w w:val="95"/>
        </w:rPr>
        <w:t xml:space="preserve"> </w:t>
      </w:r>
      <w:r>
        <w:rPr>
          <w:w w:val="95"/>
        </w:rPr>
        <w:t>to</w:t>
      </w:r>
      <w:r>
        <w:rPr>
          <w:spacing w:val="-8"/>
          <w:w w:val="95"/>
        </w:rPr>
        <w:t xml:space="preserve"> </w:t>
      </w:r>
      <w:r>
        <w:rPr>
          <w:w w:val="95"/>
        </w:rPr>
        <w:t>play</w:t>
      </w:r>
      <w:r>
        <w:rPr>
          <w:spacing w:val="-8"/>
          <w:w w:val="95"/>
        </w:rPr>
        <w:t xml:space="preserve"> </w:t>
      </w:r>
      <w:r>
        <w:rPr>
          <w:w w:val="95"/>
        </w:rPr>
        <w:t>a</w:t>
      </w:r>
      <w:r>
        <w:rPr>
          <w:spacing w:val="-8"/>
          <w:w w:val="95"/>
        </w:rPr>
        <w:t xml:space="preserve"> </w:t>
      </w:r>
      <w:r>
        <w:rPr>
          <w:w w:val="95"/>
        </w:rPr>
        <w:t>role</w:t>
      </w:r>
      <w:r>
        <w:rPr>
          <w:spacing w:val="-8"/>
          <w:w w:val="95"/>
        </w:rPr>
        <w:t xml:space="preserve"> </w:t>
      </w:r>
      <w:r>
        <w:rPr>
          <w:w w:val="95"/>
        </w:rPr>
        <w:t xml:space="preserve">in </w:t>
      </w:r>
      <w:r>
        <w:t>balancing</w:t>
      </w:r>
      <w:r>
        <w:rPr>
          <w:spacing w:val="-7"/>
        </w:rPr>
        <w:t xml:space="preserve"> </w:t>
      </w:r>
      <w:r>
        <w:t>supply</w:t>
      </w:r>
      <w:r>
        <w:rPr>
          <w:spacing w:val="-7"/>
        </w:rPr>
        <w:t xml:space="preserve"> </w:t>
      </w:r>
      <w:r>
        <w:t>and</w:t>
      </w:r>
      <w:r>
        <w:rPr>
          <w:spacing w:val="-7"/>
        </w:rPr>
        <w:t xml:space="preserve"> </w:t>
      </w:r>
      <w:r>
        <w:t>demand</w:t>
      </w:r>
      <w:r>
        <w:rPr>
          <w:spacing w:val="-7"/>
        </w:rPr>
        <w:t xml:space="preserve"> </w:t>
      </w:r>
      <w:r>
        <w:t>for</w:t>
      </w:r>
      <w:r>
        <w:rPr>
          <w:spacing w:val="-7"/>
        </w:rPr>
        <w:t xml:space="preserve"> </w:t>
      </w:r>
      <w:r>
        <w:t>road</w:t>
      </w:r>
      <w:r>
        <w:rPr>
          <w:spacing w:val="-7"/>
        </w:rPr>
        <w:t xml:space="preserve"> </w:t>
      </w:r>
      <w:r>
        <w:t>travel.</w:t>
      </w:r>
    </w:p>
    <w:p w:rsidR="002C1123" w:rsidRDefault="00F22F94">
      <w:pPr>
        <w:pStyle w:val="BodyText"/>
        <w:spacing w:before="144" w:line="249" w:lineRule="auto"/>
        <w:ind w:left="267"/>
      </w:pPr>
      <w:r>
        <w:t>Potential</w:t>
      </w:r>
      <w:r>
        <w:rPr>
          <w:spacing w:val="-14"/>
        </w:rPr>
        <w:t xml:space="preserve"> </w:t>
      </w:r>
      <w:r>
        <w:t>road</w:t>
      </w:r>
      <w:r>
        <w:rPr>
          <w:spacing w:val="-14"/>
        </w:rPr>
        <w:t xml:space="preserve"> </w:t>
      </w:r>
      <w:r>
        <w:t>pricing</w:t>
      </w:r>
      <w:r>
        <w:rPr>
          <w:spacing w:val="-14"/>
        </w:rPr>
        <w:t xml:space="preserve"> </w:t>
      </w:r>
      <w:r>
        <w:t>options</w:t>
      </w:r>
      <w:r>
        <w:rPr>
          <w:spacing w:val="-14"/>
        </w:rPr>
        <w:t xml:space="preserve"> </w:t>
      </w:r>
      <w:r>
        <w:t>for</w:t>
      </w:r>
      <w:r>
        <w:rPr>
          <w:spacing w:val="-14"/>
        </w:rPr>
        <w:t xml:space="preserve"> </w:t>
      </w:r>
      <w:r>
        <w:t>the</w:t>
      </w:r>
      <w:r>
        <w:rPr>
          <w:spacing w:val="-14"/>
        </w:rPr>
        <w:t xml:space="preserve"> </w:t>
      </w:r>
      <w:r>
        <w:t>longer-term</w:t>
      </w:r>
      <w:r>
        <w:rPr>
          <w:spacing w:val="-14"/>
        </w:rPr>
        <w:t xml:space="preserve"> </w:t>
      </w:r>
      <w:r>
        <w:t xml:space="preserve">are </w:t>
      </w:r>
      <w:r>
        <w:rPr>
          <w:w w:val="95"/>
        </w:rPr>
        <w:t xml:space="preserve">discussed in an independent experts report prepared for </w:t>
      </w:r>
      <w:r>
        <w:rPr>
          <w:spacing w:val="-2"/>
        </w:rPr>
        <w:t>Infrastructure</w:t>
      </w:r>
      <w:r>
        <w:rPr>
          <w:spacing w:val="-7"/>
        </w:rPr>
        <w:t xml:space="preserve"> </w:t>
      </w:r>
      <w:r>
        <w:rPr>
          <w:spacing w:val="-2"/>
        </w:rPr>
        <w:t>NSW</w:t>
      </w:r>
      <w:r>
        <w:rPr>
          <w:spacing w:val="-7"/>
        </w:rPr>
        <w:t xml:space="preserve"> </w:t>
      </w:r>
      <w:r>
        <w:rPr>
          <w:spacing w:val="-2"/>
        </w:rPr>
        <w:t>by</w:t>
      </w:r>
      <w:r>
        <w:rPr>
          <w:spacing w:val="-7"/>
        </w:rPr>
        <w:t xml:space="preserve"> </w:t>
      </w:r>
      <w:r>
        <w:rPr>
          <w:spacing w:val="-2"/>
        </w:rPr>
        <w:t>SMART</w:t>
      </w:r>
      <w:r>
        <w:rPr>
          <w:spacing w:val="-7"/>
        </w:rPr>
        <w:t xml:space="preserve"> </w:t>
      </w:r>
      <w:r>
        <w:rPr>
          <w:spacing w:val="-2"/>
        </w:rPr>
        <w:t>Infrastructure</w:t>
      </w:r>
      <w:r>
        <w:rPr>
          <w:spacing w:val="-7"/>
        </w:rPr>
        <w:t xml:space="preserve"> </w:t>
      </w:r>
      <w:r>
        <w:rPr>
          <w:spacing w:val="-2"/>
        </w:rPr>
        <w:t>and</w:t>
      </w:r>
      <w:r>
        <w:rPr>
          <w:spacing w:val="-7"/>
        </w:rPr>
        <w:t xml:space="preserve"> </w:t>
      </w:r>
      <w:r>
        <w:rPr>
          <w:spacing w:val="-2"/>
        </w:rPr>
        <w:t xml:space="preserve">ACIL </w:t>
      </w:r>
      <w:r>
        <w:rPr>
          <w:w w:val="95"/>
        </w:rPr>
        <w:t>Tasman.</w:t>
      </w:r>
      <w:r>
        <w:rPr>
          <w:spacing w:val="-11"/>
          <w:w w:val="95"/>
        </w:rPr>
        <w:t xml:space="preserve"> </w:t>
      </w:r>
      <w:r>
        <w:rPr>
          <w:w w:val="95"/>
        </w:rPr>
        <w:t>This</w:t>
      </w:r>
      <w:r>
        <w:rPr>
          <w:spacing w:val="-10"/>
          <w:w w:val="95"/>
        </w:rPr>
        <w:t xml:space="preserve"> </w:t>
      </w:r>
      <w:r>
        <w:rPr>
          <w:w w:val="95"/>
        </w:rPr>
        <w:t>report</w:t>
      </w:r>
      <w:r>
        <w:rPr>
          <w:spacing w:val="-10"/>
          <w:w w:val="95"/>
        </w:rPr>
        <w:t xml:space="preserve"> </w:t>
      </w:r>
      <w:r>
        <w:rPr>
          <w:w w:val="95"/>
        </w:rPr>
        <w:t>is</w:t>
      </w:r>
      <w:r>
        <w:rPr>
          <w:spacing w:val="-10"/>
          <w:w w:val="95"/>
        </w:rPr>
        <w:t xml:space="preserve"> </w:t>
      </w:r>
      <w:r>
        <w:rPr>
          <w:w w:val="95"/>
        </w:rPr>
        <w:t>on</w:t>
      </w:r>
      <w:r>
        <w:rPr>
          <w:spacing w:val="-10"/>
          <w:w w:val="95"/>
        </w:rPr>
        <w:t xml:space="preserve"> </w:t>
      </w:r>
      <w:r>
        <w:rPr>
          <w:w w:val="95"/>
        </w:rPr>
        <w:t>Infrastructure</w:t>
      </w:r>
      <w:r>
        <w:rPr>
          <w:spacing w:val="-10"/>
          <w:w w:val="95"/>
        </w:rPr>
        <w:t xml:space="preserve"> </w:t>
      </w:r>
      <w:r>
        <w:rPr>
          <w:w w:val="95"/>
        </w:rPr>
        <w:t>NSW’s</w:t>
      </w:r>
      <w:r>
        <w:rPr>
          <w:spacing w:val="-10"/>
          <w:w w:val="95"/>
        </w:rPr>
        <w:t xml:space="preserve"> </w:t>
      </w:r>
      <w:r>
        <w:rPr>
          <w:spacing w:val="-2"/>
          <w:w w:val="95"/>
        </w:rPr>
        <w:t>website</w:t>
      </w:r>
      <w:r>
        <w:rPr>
          <w:spacing w:val="-2"/>
          <w:w w:val="95"/>
          <w:position w:val="7"/>
          <w:sz w:val="11"/>
        </w:rPr>
        <w:t>11</w:t>
      </w:r>
      <w:r>
        <w:rPr>
          <w:spacing w:val="-2"/>
          <w:w w:val="95"/>
        </w:rPr>
        <w:t>.</w:t>
      </w:r>
    </w:p>
    <w:p w:rsidR="002C1123" w:rsidRDefault="00F22F94">
      <w:pPr>
        <w:pStyle w:val="BodyText"/>
        <w:spacing w:before="145" w:line="249" w:lineRule="auto"/>
        <w:ind w:left="267"/>
      </w:pPr>
      <w:r>
        <w:rPr>
          <w:w w:val="95"/>
        </w:rPr>
        <w:t>This</w:t>
      </w:r>
      <w:r>
        <w:rPr>
          <w:spacing w:val="-10"/>
          <w:w w:val="95"/>
        </w:rPr>
        <w:t xml:space="preserve"> </w:t>
      </w:r>
      <w:r>
        <w:rPr>
          <w:w w:val="95"/>
        </w:rPr>
        <w:t>analysis</w:t>
      </w:r>
      <w:r>
        <w:rPr>
          <w:spacing w:val="-10"/>
          <w:w w:val="95"/>
        </w:rPr>
        <w:t xml:space="preserve"> </w:t>
      </w:r>
      <w:r>
        <w:rPr>
          <w:w w:val="95"/>
        </w:rPr>
        <w:t>suggests</w:t>
      </w:r>
      <w:r>
        <w:rPr>
          <w:spacing w:val="-10"/>
          <w:w w:val="95"/>
        </w:rPr>
        <w:t xml:space="preserve"> </w:t>
      </w:r>
      <w:r>
        <w:rPr>
          <w:w w:val="95"/>
        </w:rPr>
        <w:t>that</w:t>
      </w:r>
      <w:r>
        <w:rPr>
          <w:spacing w:val="-10"/>
          <w:w w:val="95"/>
        </w:rPr>
        <w:t xml:space="preserve"> </w:t>
      </w:r>
      <w:r>
        <w:rPr>
          <w:w w:val="95"/>
        </w:rPr>
        <w:t>ultimately</w:t>
      </w:r>
      <w:r>
        <w:rPr>
          <w:spacing w:val="-10"/>
          <w:w w:val="95"/>
        </w:rPr>
        <w:t xml:space="preserve"> </w:t>
      </w:r>
      <w:r>
        <w:rPr>
          <w:w w:val="95"/>
        </w:rPr>
        <w:t>it</w:t>
      </w:r>
      <w:r>
        <w:rPr>
          <w:spacing w:val="-10"/>
          <w:w w:val="95"/>
        </w:rPr>
        <w:t xml:space="preserve"> </w:t>
      </w:r>
      <w:r>
        <w:rPr>
          <w:w w:val="95"/>
        </w:rPr>
        <w:t>may</w:t>
      </w:r>
      <w:r>
        <w:rPr>
          <w:spacing w:val="-10"/>
          <w:w w:val="95"/>
        </w:rPr>
        <w:t xml:space="preserve"> </w:t>
      </w:r>
      <w:r>
        <w:rPr>
          <w:w w:val="95"/>
        </w:rPr>
        <w:t>be</w:t>
      </w:r>
      <w:r>
        <w:rPr>
          <w:spacing w:val="-10"/>
          <w:w w:val="95"/>
        </w:rPr>
        <w:t xml:space="preserve"> </w:t>
      </w:r>
      <w:r>
        <w:rPr>
          <w:w w:val="95"/>
        </w:rPr>
        <w:t xml:space="preserve">desirable </w:t>
      </w:r>
      <w:r>
        <w:t>to</w:t>
      </w:r>
      <w:r>
        <w:rPr>
          <w:spacing w:val="-10"/>
        </w:rPr>
        <w:t xml:space="preserve"> </w:t>
      </w:r>
      <w:r>
        <w:t>implement</w:t>
      </w:r>
      <w:r>
        <w:rPr>
          <w:spacing w:val="-10"/>
        </w:rPr>
        <w:t xml:space="preserve"> </w:t>
      </w:r>
      <w:r>
        <w:t>a</w:t>
      </w:r>
      <w:r>
        <w:rPr>
          <w:spacing w:val="-10"/>
        </w:rPr>
        <w:t xml:space="preserve"> </w:t>
      </w:r>
      <w:r>
        <w:t>comprehensive</w:t>
      </w:r>
      <w:r>
        <w:rPr>
          <w:spacing w:val="-10"/>
        </w:rPr>
        <w:t xml:space="preserve"> </w:t>
      </w:r>
      <w:r>
        <w:t>system</w:t>
      </w:r>
      <w:r>
        <w:rPr>
          <w:spacing w:val="-10"/>
        </w:rPr>
        <w:t xml:space="preserve"> </w:t>
      </w:r>
      <w:r>
        <w:t>of</w:t>
      </w:r>
      <w:r>
        <w:rPr>
          <w:spacing w:val="-10"/>
        </w:rPr>
        <w:t xml:space="preserve"> </w:t>
      </w:r>
      <w:r>
        <w:t>congestion pricing</w:t>
      </w:r>
      <w:r>
        <w:rPr>
          <w:spacing w:val="-10"/>
        </w:rPr>
        <w:t xml:space="preserve"> </w:t>
      </w:r>
      <w:r>
        <w:t>on</w:t>
      </w:r>
      <w:r>
        <w:rPr>
          <w:spacing w:val="-10"/>
        </w:rPr>
        <w:t xml:space="preserve"> </w:t>
      </w:r>
      <w:r>
        <w:t>the</w:t>
      </w:r>
      <w:r>
        <w:rPr>
          <w:spacing w:val="-10"/>
        </w:rPr>
        <w:t xml:space="preserve"> </w:t>
      </w:r>
      <w:r>
        <w:t>SSRN,</w:t>
      </w:r>
      <w:r>
        <w:rPr>
          <w:spacing w:val="-10"/>
        </w:rPr>
        <w:t xml:space="preserve"> </w:t>
      </w:r>
      <w:r>
        <w:t>but</w:t>
      </w:r>
      <w:r>
        <w:rPr>
          <w:spacing w:val="-10"/>
        </w:rPr>
        <w:t xml:space="preserve"> </w:t>
      </w:r>
      <w:r>
        <w:t>such</w:t>
      </w:r>
      <w:r>
        <w:rPr>
          <w:spacing w:val="-10"/>
        </w:rPr>
        <w:t xml:space="preserve"> </w:t>
      </w:r>
      <w:r>
        <w:t>far-reaching</w:t>
      </w:r>
      <w:r>
        <w:rPr>
          <w:spacing w:val="-10"/>
        </w:rPr>
        <w:t xml:space="preserve"> </w:t>
      </w:r>
      <w:r>
        <w:t>changes cannot</w:t>
      </w:r>
      <w:r>
        <w:rPr>
          <w:spacing w:val="-9"/>
        </w:rPr>
        <w:t xml:space="preserve"> </w:t>
      </w:r>
      <w:r>
        <w:t>be</w:t>
      </w:r>
      <w:r>
        <w:rPr>
          <w:spacing w:val="-9"/>
        </w:rPr>
        <w:t xml:space="preserve"> </w:t>
      </w:r>
      <w:r>
        <w:t>pursued</w:t>
      </w:r>
      <w:r>
        <w:rPr>
          <w:spacing w:val="-9"/>
        </w:rPr>
        <w:t xml:space="preserve"> </w:t>
      </w:r>
      <w:r>
        <w:t>in</w:t>
      </w:r>
      <w:r>
        <w:rPr>
          <w:spacing w:val="-9"/>
        </w:rPr>
        <w:t xml:space="preserve"> </w:t>
      </w:r>
      <w:r>
        <w:t>isolation</w:t>
      </w:r>
      <w:r>
        <w:rPr>
          <w:spacing w:val="-9"/>
        </w:rPr>
        <w:t xml:space="preserve"> </w:t>
      </w:r>
      <w:r>
        <w:t>of</w:t>
      </w:r>
      <w:r>
        <w:rPr>
          <w:spacing w:val="-9"/>
        </w:rPr>
        <w:t xml:space="preserve"> </w:t>
      </w:r>
      <w:r>
        <w:t>other</w:t>
      </w:r>
      <w:r>
        <w:rPr>
          <w:spacing w:val="-9"/>
        </w:rPr>
        <w:t xml:space="preserve"> </w:t>
      </w:r>
      <w:r>
        <w:t>reforms.</w:t>
      </w:r>
    </w:p>
    <w:p w:rsidR="002C1123" w:rsidRDefault="00F22F94">
      <w:pPr>
        <w:pStyle w:val="BodyText"/>
        <w:spacing w:before="145" w:line="249" w:lineRule="auto"/>
        <w:ind w:left="267"/>
      </w:pPr>
      <w:r>
        <w:rPr>
          <w:w w:val="95"/>
        </w:rPr>
        <w:t>For</w:t>
      </w:r>
      <w:r>
        <w:rPr>
          <w:spacing w:val="-13"/>
          <w:w w:val="95"/>
        </w:rPr>
        <w:t xml:space="preserve"> </w:t>
      </w:r>
      <w:r>
        <w:rPr>
          <w:w w:val="95"/>
        </w:rPr>
        <w:t>example,</w:t>
      </w:r>
      <w:r>
        <w:rPr>
          <w:spacing w:val="-12"/>
          <w:w w:val="95"/>
        </w:rPr>
        <w:t xml:space="preserve"> </w:t>
      </w:r>
      <w:r>
        <w:rPr>
          <w:w w:val="95"/>
        </w:rPr>
        <w:t>existing</w:t>
      </w:r>
      <w:r>
        <w:rPr>
          <w:spacing w:val="-12"/>
          <w:w w:val="95"/>
        </w:rPr>
        <w:t xml:space="preserve"> </w:t>
      </w:r>
      <w:r>
        <w:rPr>
          <w:w w:val="95"/>
        </w:rPr>
        <w:t>road</w:t>
      </w:r>
      <w:r>
        <w:rPr>
          <w:spacing w:val="-12"/>
          <w:w w:val="95"/>
        </w:rPr>
        <w:t xml:space="preserve"> </w:t>
      </w:r>
      <w:r>
        <w:rPr>
          <w:w w:val="95"/>
        </w:rPr>
        <w:t>charges</w:t>
      </w:r>
      <w:r>
        <w:rPr>
          <w:spacing w:val="-13"/>
          <w:w w:val="95"/>
        </w:rPr>
        <w:t xml:space="preserve"> </w:t>
      </w:r>
      <w:r>
        <w:rPr>
          <w:w w:val="95"/>
        </w:rPr>
        <w:t>may</w:t>
      </w:r>
      <w:r>
        <w:rPr>
          <w:spacing w:val="-12"/>
          <w:w w:val="95"/>
        </w:rPr>
        <w:t xml:space="preserve"> </w:t>
      </w:r>
      <w:r>
        <w:rPr>
          <w:w w:val="95"/>
        </w:rPr>
        <w:t>need</w:t>
      </w:r>
      <w:r>
        <w:rPr>
          <w:spacing w:val="-12"/>
          <w:w w:val="95"/>
        </w:rPr>
        <w:t xml:space="preserve"> </w:t>
      </w:r>
      <w:r>
        <w:rPr>
          <w:w w:val="95"/>
        </w:rPr>
        <w:t>adjusting. The</w:t>
      </w:r>
      <w:r>
        <w:rPr>
          <w:spacing w:val="-13"/>
          <w:w w:val="95"/>
        </w:rPr>
        <w:t xml:space="preserve"> </w:t>
      </w:r>
      <w:r>
        <w:rPr>
          <w:w w:val="95"/>
        </w:rPr>
        <w:t>main</w:t>
      </w:r>
      <w:r>
        <w:rPr>
          <w:spacing w:val="-12"/>
          <w:w w:val="95"/>
        </w:rPr>
        <w:t xml:space="preserve"> </w:t>
      </w:r>
      <w:r>
        <w:rPr>
          <w:w w:val="95"/>
        </w:rPr>
        <w:t>existing</w:t>
      </w:r>
      <w:r>
        <w:rPr>
          <w:spacing w:val="-12"/>
          <w:w w:val="95"/>
        </w:rPr>
        <w:t xml:space="preserve"> </w:t>
      </w:r>
      <w:r>
        <w:rPr>
          <w:w w:val="95"/>
        </w:rPr>
        <w:t>road</w:t>
      </w:r>
      <w:r>
        <w:rPr>
          <w:spacing w:val="-12"/>
          <w:w w:val="95"/>
        </w:rPr>
        <w:t xml:space="preserve"> </w:t>
      </w:r>
      <w:r>
        <w:rPr>
          <w:w w:val="95"/>
        </w:rPr>
        <w:t>charges</w:t>
      </w:r>
      <w:r>
        <w:rPr>
          <w:spacing w:val="-13"/>
          <w:w w:val="95"/>
        </w:rPr>
        <w:t xml:space="preserve"> </w:t>
      </w:r>
      <w:r>
        <w:rPr>
          <w:w w:val="95"/>
        </w:rPr>
        <w:t>include</w:t>
      </w:r>
      <w:r>
        <w:rPr>
          <w:spacing w:val="-12"/>
          <w:w w:val="95"/>
        </w:rPr>
        <w:t xml:space="preserve"> </w:t>
      </w:r>
      <w:r>
        <w:rPr>
          <w:w w:val="95"/>
        </w:rPr>
        <w:t>fuel</w:t>
      </w:r>
      <w:r>
        <w:rPr>
          <w:spacing w:val="-12"/>
          <w:w w:val="95"/>
        </w:rPr>
        <w:t xml:space="preserve"> </w:t>
      </w:r>
      <w:r>
        <w:rPr>
          <w:w w:val="95"/>
        </w:rPr>
        <w:t xml:space="preserve">excise, </w:t>
      </w:r>
      <w:r>
        <w:rPr>
          <w:w w:val="90"/>
        </w:rPr>
        <w:t>registration</w:t>
      </w:r>
      <w:r>
        <w:rPr>
          <w:spacing w:val="-10"/>
          <w:w w:val="90"/>
        </w:rPr>
        <w:t xml:space="preserve"> </w:t>
      </w:r>
      <w:r>
        <w:rPr>
          <w:w w:val="90"/>
        </w:rPr>
        <w:t>fees,</w:t>
      </w:r>
      <w:r>
        <w:rPr>
          <w:spacing w:val="-9"/>
          <w:w w:val="90"/>
        </w:rPr>
        <w:t xml:space="preserve"> </w:t>
      </w:r>
      <w:r>
        <w:rPr>
          <w:w w:val="90"/>
        </w:rPr>
        <w:t>parking</w:t>
      </w:r>
      <w:r>
        <w:rPr>
          <w:spacing w:val="-10"/>
          <w:w w:val="90"/>
        </w:rPr>
        <w:t xml:space="preserve"> </w:t>
      </w:r>
      <w:r>
        <w:rPr>
          <w:w w:val="90"/>
        </w:rPr>
        <w:t>levies</w:t>
      </w:r>
      <w:r>
        <w:rPr>
          <w:spacing w:val="-9"/>
          <w:w w:val="90"/>
        </w:rPr>
        <w:t xml:space="preserve"> </w:t>
      </w:r>
      <w:r>
        <w:rPr>
          <w:w w:val="90"/>
        </w:rPr>
        <w:t>and</w:t>
      </w:r>
      <w:r>
        <w:rPr>
          <w:spacing w:val="-10"/>
          <w:w w:val="90"/>
        </w:rPr>
        <w:t xml:space="preserve"> </w:t>
      </w:r>
      <w:r>
        <w:rPr>
          <w:w w:val="90"/>
        </w:rPr>
        <w:t>vehicle</w:t>
      </w:r>
      <w:r>
        <w:rPr>
          <w:spacing w:val="-9"/>
          <w:w w:val="90"/>
        </w:rPr>
        <w:t xml:space="preserve"> </w:t>
      </w:r>
      <w:r>
        <w:rPr>
          <w:w w:val="90"/>
        </w:rPr>
        <w:t>taxes.</w:t>
      </w:r>
      <w:r>
        <w:rPr>
          <w:spacing w:val="-10"/>
          <w:w w:val="90"/>
        </w:rPr>
        <w:t xml:space="preserve"> </w:t>
      </w:r>
      <w:r>
        <w:rPr>
          <w:w w:val="90"/>
        </w:rPr>
        <w:t>These</w:t>
      </w:r>
      <w:r>
        <w:rPr>
          <w:spacing w:val="-9"/>
          <w:w w:val="90"/>
        </w:rPr>
        <w:t xml:space="preserve"> </w:t>
      </w:r>
      <w:r>
        <w:rPr>
          <w:w w:val="90"/>
        </w:rPr>
        <w:t xml:space="preserve">are levied by all tiers of government, and reforming them would </w:t>
      </w:r>
      <w:r>
        <w:rPr>
          <w:spacing w:val="-2"/>
          <w:w w:val="95"/>
        </w:rPr>
        <w:t xml:space="preserve">require inter-governmental agreement. New technological </w:t>
      </w:r>
      <w:r>
        <w:rPr>
          <w:w w:val="95"/>
        </w:rPr>
        <w:t>charging</w:t>
      </w:r>
      <w:r>
        <w:rPr>
          <w:spacing w:val="-12"/>
          <w:w w:val="95"/>
        </w:rPr>
        <w:t xml:space="preserve"> </w:t>
      </w:r>
      <w:r>
        <w:rPr>
          <w:w w:val="95"/>
        </w:rPr>
        <w:t>systems</w:t>
      </w:r>
      <w:r>
        <w:rPr>
          <w:spacing w:val="-12"/>
          <w:w w:val="95"/>
        </w:rPr>
        <w:t xml:space="preserve"> </w:t>
      </w:r>
      <w:r>
        <w:rPr>
          <w:w w:val="95"/>
        </w:rPr>
        <w:t>may</w:t>
      </w:r>
      <w:r>
        <w:rPr>
          <w:spacing w:val="-12"/>
          <w:w w:val="95"/>
        </w:rPr>
        <w:t xml:space="preserve"> </w:t>
      </w:r>
      <w:r>
        <w:rPr>
          <w:w w:val="95"/>
        </w:rPr>
        <w:t>need</w:t>
      </w:r>
      <w:r>
        <w:rPr>
          <w:spacing w:val="-12"/>
          <w:w w:val="95"/>
        </w:rPr>
        <w:t xml:space="preserve"> </w:t>
      </w:r>
      <w:r>
        <w:rPr>
          <w:w w:val="95"/>
        </w:rPr>
        <w:t>to</w:t>
      </w:r>
      <w:r>
        <w:rPr>
          <w:spacing w:val="-12"/>
          <w:w w:val="95"/>
        </w:rPr>
        <w:t xml:space="preserve"> </w:t>
      </w:r>
      <w:r>
        <w:rPr>
          <w:w w:val="95"/>
        </w:rPr>
        <w:t>be</w:t>
      </w:r>
      <w:r>
        <w:rPr>
          <w:spacing w:val="-12"/>
          <w:w w:val="95"/>
        </w:rPr>
        <w:t xml:space="preserve"> </w:t>
      </w:r>
      <w:r>
        <w:rPr>
          <w:w w:val="95"/>
        </w:rPr>
        <w:t>installed</w:t>
      </w:r>
      <w:r>
        <w:rPr>
          <w:spacing w:val="-12"/>
          <w:w w:val="95"/>
        </w:rPr>
        <w:t xml:space="preserve"> </w:t>
      </w:r>
      <w:r>
        <w:rPr>
          <w:w w:val="95"/>
        </w:rPr>
        <w:t>and</w:t>
      </w:r>
      <w:r>
        <w:rPr>
          <w:spacing w:val="-12"/>
          <w:w w:val="95"/>
        </w:rPr>
        <w:t xml:space="preserve"> </w:t>
      </w:r>
      <w:r>
        <w:rPr>
          <w:w w:val="95"/>
        </w:rPr>
        <w:t>operated.</w:t>
      </w:r>
    </w:p>
    <w:p w:rsidR="002C1123" w:rsidRDefault="00F22F94">
      <w:pPr>
        <w:pStyle w:val="BodyText"/>
        <w:spacing w:before="146" w:line="249" w:lineRule="auto"/>
        <w:ind w:left="267" w:right="54"/>
      </w:pPr>
      <w:r>
        <w:rPr>
          <w:w w:val="95"/>
        </w:rPr>
        <w:t xml:space="preserve">The complexities of delivering a comprehensive </w:t>
      </w:r>
      <w:r>
        <w:t>scheme,</w:t>
      </w:r>
      <w:r>
        <w:rPr>
          <w:spacing w:val="-14"/>
        </w:rPr>
        <w:t xml:space="preserve"> </w:t>
      </w:r>
      <w:r>
        <w:t>leads</w:t>
      </w:r>
      <w:r>
        <w:rPr>
          <w:spacing w:val="-14"/>
        </w:rPr>
        <w:t xml:space="preserve"> </w:t>
      </w:r>
      <w:r>
        <w:t>Infrastructure</w:t>
      </w:r>
      <w:r>
        <w:rPr>
          <w:spacing w:val="-14"/>
        </w:rPr>
        <w:t xml:space="preserve"> </w:t>
      </w:r>
      <w:r>
        <w:t>NSW</w:t>
      </w:r>
      <w:r>
        <w:rPr>
          <w:spacing w:val="-13"/>
        </w:rPr>
        <w:t xml:space="preserve"> </w:t>
      </w:r>
      <w:r>
        <w:t>to</w:t>
      </w:r>
      <w:r>
        <w:rPr>
          <w:spacing w:val="-14"/>
        </w:rPr>
        <w:t xml:space="preserve"> </w:t>
      </w:r>
      <w:r>
        <w:t>favour</w:t>
      </w:r>
      <w:r>
        <w:rPr>
          <w:spacing w:val="-14"/>
        </w:rPr>
        <w:t xml:space="preserve"> </w:t>
      </w:r>
      <w:r>
        <w:t xml:space="preserve">a </w:t>
      </w:r>
      <w:r>
        <w:rPr>
          <w:w w:val="95"/>
        </w:rPr>
        <w:t>graduated approach to time-of-day road pricing.</w:t>
      </w:r>
    </w:p>
    <w:p w:rsidR="002C1123" w:rsidRDefault="00F22F94">
      <w:pPr>
        <w:pStyle w:val="BodyText"/>
        <w:spacing w:before="3" w:line="249" w:lineRule="auto"/>
        <w:ind w:left="267"/>
      </w:pPr>
      <w:r>
        <w:t>At</w:t>
      </w:r>
      <w:r>
        <w:rPr>
          <w:spacing w:val="-14"/>
        </w:rPr>
        <w:t xml:space="preserve"> </w:t>
      </w:r>
      <w:r>
        <w:t>this</w:t>
      </w:r>
      <w:r>
        <w:rPr>
          <w:spacing w:val="-14"/>
        </w:rPr>
        <w:t xml:space="preserve"> </w:t>
      </w:r>
      <w:r>
        <w:t>stage,</w:t>
      </w:r>
      <w:r>
        <w:rPr>
          <w:spacing w:val="-14"/>
        </w:rPr>
        <w:t xml:space="preserve"> </w:t>
      </w:r>
      <w:r>
        <w:t>Infrastructure</w:t>
      </w:r>
      <w:r>
        <w:rPr>
          <w:spacing w:val="-14"/>
        </w:rPr>
        <w:t xml:space="preserve"> </w:t>
      </w:r>
      <w:r>
        <w:t>NSW</w:t>
      </w:r>
      <w:r>
        <w:rPr>
          <w:spacing w:val="-14"/>
        </w:rPr>
        <w:t xml:space="preserve"> </w:t>
      </w:r>
      <w:r>
        <w:t>does</w:t>
      </w:r>
      <w:r>
        <w:rPr>
          <w:spacing w:val="-14"/>
        </w:rPr>
        <w:t xml:space="preserve"> </w:t>
      </w:r>
      <w:r>
        <w:t>not</w:t>
      </w:r>
      <w:r>
        <w:rPr>
          <w:spacing w:val="-14"/>
        </w:rPr>
        <w:t xml:space="preserve"> </w:t>
      </w:r>
      <w:r>
        <w:t>make</w:t>
      </w:r>
      <w:r>
        <w:rPr>
          <w:spacing w:val="-14"/>
        </w:rPr>
        <w:t xml:space="preserve"> </w:t>
      </w:r>
      <w:r>
        <w:t xml:space="preserve">any </w:t>
      </w:r>
      <w:r>
        <w:rPr>
          <w:w w:val="95"/>
        </w:rPr>
        <w:t xml:space="preserve">recommendations in this regard, pending more detailed </w:t>
      </w:r>
      <w:r>
        <w:t>study of the issues.</w:t>
      </w:r>
    </w:p>
    <w:p w:rsidR="002C1123" w:rsidRDefault="002060EF">
      <w:pPr>
        <w:pStyle w:val="BodyText"/>
        <w:spacing w:before="2"/>
        <w:rPr>
          <w:sz w:val="22"/>
        </w:rPr>
      </w:pPr>
      <w:r>
        <w:pict>
          <v:shape id="docshape1195" o:spid="_x0000_s4038" style="position:absolute;margin-left:300.95pt;margin-top:13.95pt;width:1in;height:.1pt;z-index:-251387904;mso-wrap-distance-left:0;mso-wrap-distance-right:0;mso-position-horizontal-relative:page" coordorigin="6019,279" coordsize="1440,0" path="m6019,279r1440,e" filled="f" strokecolor="#9c9c9d" strokeweight=".5pt">
            <v:path arrowok="t"/>
            <w10:wrap type="topAndBottom" anchorx="page"/>
          </v:shape>
        </w:pict>
      </w:r>
    </w:p>
    <w:p w:rsidR="002C1123" w:rsidRDefault="00F22F94">
      <w:pPr>
        <w:pStyle w:val="ListParagraph"/>
        <w:numPr>
          <w:ilvl w:val="1"/>
          <w:numId w:val="95"/>
        </w:numPr>
        <w:tabs>
          <w:tab w:val="left" w:pos="466"/>
        </w:tabs>
        <w:spacing w:before="23"/>
        <w:ind w:left="465" w:right="486"/>
        <w:jc w:val="left"/>
        <w:rPr>
          <w:sz w:val="14"/>
        </w:rPr>
      </w:pPr>
      <w:r>
        <w:rPr>
          <w:w w:val="95"/>
          <w:sz w:val="14"/>
        </w:rPr>
        <w:t>SMART Infrastructure and ACIL Tasman 2012, Pricing Congestion in</w:t>
      </w:r>
      <w:r>
        <w:rPr>
          <w:spacing w:val="40"/>
          <w:sz w:val="14"/>
        </w:rPr>
        <w:t xml:space="preserve"> </w:t>
      </w:r>
      <w:r>
        <w:rPr>
          <w:sz w:val="14"/>
        </w:rPr>
        <w:t>Sydney: Discussion Paper.</w:t>
      </w:r>
    </w:p>
    <w:p w:rsidR="002C1123" w:rsidRDefault="00F22F94">
      <w:pPr>
        <w:pStyle w:val="Heading5"/>
        <w:numPr>
          <w:ilvl w:val="1"/>
          <w:numId w:val="97"/>
        </w:numPr>
        <w:tabs>
          <w:tab w:val="left" w:pos="626"/>
        </w:tabs>
        <w:ind w:left="625" w:hanging="432"/>
        <w:jc w:val="left"/>
      </w:pPr>
      <w:r>
        <w:rPr>
          <w:b w:val="0"/>
        </w:rPr>
        <w:br w:type="column"/>
      </w:r>
      <w:r>
        <w:rPr>
          <w:color w:val="00AEEF"/>
          <w:spacing w:val="-4"/>
          <w:w w:val="95"/>
        </w:rPr>
        <w:t>Roads</w:t>
      </w:r>
      <w:r>
        <w:rPr>
          <w:color w:val="00AEEF"/>
          <w:spacing w:val="-6"/>
        </w:rPr>
        <w:t xml:space="preserve"> </w:t>
      </w:r>
      <w:r>
        <w:rPr>
          <w:color w:val="00AEEF"/>
          <w:spacing w:val="-4"/>
          <w:w w:val="95"/>
        </w:rPr>
        <w:t>across</w:t>
      </w:r>
      <w:r>
        <w:rPr>
          <w:color w:val="00AEEF"/>
          <w:spacing w:val="-5"/>
        </w:rPr>
        <w:t xml:space="preserve"> </w:t>
      </w:r>
      <w:r>
        <w:rPr>
          <w:color w:val="00AEEF"/>
          <w:spacing w:val="-4"/>
          <w:w w:val="95"/>
        </w:rPr>
        <w:t>Metropolitan</w:t>
      </w:r>
      <w:r>
        <w:rPr>
          <w:color w:val="00AEEF"/>
          <w:spacing w:val="-5"/>
        </w:rPr>
        <w:t xml:space="preserve"> </w:t>
      </w:r>
      <w:r>
        <w:rPr>
          <w:color w:val="00AEEF"/>
          <w:spacing w:val="-4"/>
          <w:w w:val="95"/>
        </w:rPr>
        <w:t>Sydney</w:t>
      </w:r>
    </w:p>
    <w:p w:rsidR="002C1123" w:rsidRDefault="00F22F94">
      <w:pPr>
        <w:pStyle w:val="BodyText"/>
        <w:spacing w:before="135" w:line="249" w:lineRule="auto"/>
        <w:ind w:left="194" w:right="678"/>
      </w:pPr>
      <w:r>
        <w:t>The</w:t>
      </w:r>
      <w:r>
        <w:rPr>
          <w:spacing w:val="-13"/>
        </w:rPr>
        <w:t xml:space="preserve"> </w:t>
      </w:r>
      <w:r>
        <w:t>wider</w:t>
      </w:r>
      <w:r>
        <w:rPr>
          <w:spacing w:val="-13"/>
        </w:rPr>
        <w:t xml:space="preserve"> </w:t>
      </w:r>
      <w:r>
        <w:t>road</w:t>
      </w:r>
      <w:r>
        <w:rPr>
          <w:spacing w:val="-13"/>
        </w:rPr>
        <w:t xml:space="preserve"> </w:t>
      </w:r>
      <w:r>
        <w:t>network,</w:t>
      </w:r>
      <w:r>
        <w:rPr>
          <w:spacing w:val="-13"/>
        </w:rPr>
        <w:t xml:space="preserve"> </w:t>
      </w:r>
      <w:r>
        <w:t>including</w:t>
      </w:r>
      <w:r>
        <w:rPr>
          <w:spacing w:val="-13"/>
        </w:rPr>
        <w:t xml:space="preserve"> </w:t>
      </w:r>
      <w:r>
        <w:t>major</w:t>
      </w:r>
      <w:r>
        <w:rPr>
          <w:spacing w:val="-13"/>
        </w:rPr>
        <w:t xml:space="preserve"> </w:t>
      </w:r>
      <w:r>
        <w:t>arterials,</w:t>
      </w:r>
      <w:r>
        <w:rPr>
          <w:spacing w:val="-13"/>
        </w:rPr>
        <w:t xml:space="preserve"> </w:t>
      </w:r>
      <w:r>
        <w:t xml:space="preserve">will </w:t>
      </w:r>
      <w:r>
        <w:rPr>
          <w:w w:val="95"/>
        </w:rPr>
        <w:t xml:space="preserve">also require improvement. Infrastructure NSW supports </w:t>
      </w:r>
      <w:r>
        <w:rPr>
          <w:spacing w:val="-2"/>
        </w:rPr>
        <w:t>incremental</w:t>
      </w:r>
      <w:r>
        <w:rPr>
          <w:spacing w:val="-3"/>
        </w:rPr>
        <w:t xml:space="preserve"> </w:t>
      </w:r>
      <w:r>
        <w:rPr>
          <w:spacing w:val="-2"/>
        </w:rPr>
        <w:t>options</w:t>
      </w:r>
      <w:r>
        <w:rPr>
          <w:spacing w:val="-3"/>
        </w:rPr>
        <w:t xml:space="preserve"> </w:t>
      </w:r>
      <w:r>
        <w:rPr>
          <w:spacing w:val="-2"/>
        </w:rPr>
        <w:t>to</w:t>
      </w:r>
      <w:r>
        <w:rPr>
          <w:spacing w:val="-3"/>
        </w:rPr>
        <w:t xml:space="preserve"> </w:t>
      </w:r>
      <w:r>
        <w:rPr>
          <w:spacing w:val="-2"/>
        </w:rPr>
        <w:t>address</w:t>
      </w:r>
      <w:r>
        <w:rPr>
          <w:spacing w:val="-3"/>
        </w:rPr>
        <w:t xml:space="preserve"> </w:t>
      </w:r>
      <w:r>
        <w:rPr>
          <w:spacing w:val="-2"/>
        </w:rPr>
        <w:t>infrastructure</w:t>
      </w:r>
      <w:r>
        <w:rPr>
          <w:spacing w:val="-3"/>
        </w:rPr>
        <w:t xml:space="preserve"> </w:t>
      </w:r>
      <w:r>
        <w:rPr>
          <w:spacing w:val="-2"/>
        </w:rPr>
        <w:t xml:space="preserve">problems </w:t>
      </w:r>
      <w:r>
        <w:rPr>
          <w:w w:val="95"/>
        </w:rPr>
        <w:t>where</w:t>
      </w:r>
      <w:r>
        <w:rPr>
          <w:spacing w:val="-11"/>
          <w:w w:val="95"/>
        </w:rPr>
        <w:t xml:space="preserve"> </w:t>
      </w:r>
      <w:r>
        <w:rPr>
          <w:w w:val="95"/>
        </w:rPr>
        <w:t>available.</w:t>
      </w:r>
      <w:r>
        <w:rPr>
          <w:spacing w:val="-11"/>
          <w:w w:val="95"/>
        </w:rPr>
        <w:t xml:space="preserve"> </w:t>
      </w:r>
      <w:r>
        <w:rPr>
          <w:w w:val="95"/>
        </w:rPr>
        <w:t>Some</w:t>
      </w:r>
      <w:r>
        <w:rPr>
          <w:spacing w:val="-11"/>
          <w:w w:val="95"/>
        </w:rPr>
        <w:t xml:space="preserve"> </w:t>
      </w:r>
      <w:r>
        <w:rPr>
          <w:w w:val="95"/>
        </w:rPr>
        <w:t>of</w:t>
      </w:r>
      <w:r>
        <w:rPr>
          <w:spacing w:val="-11"/>
          <w:w w:val="95"/>
        </w:rPr>
        <w:t xml:space="preserve"> </w:t>
      </w:r>
      <w:r>
        <w:rPr>
          <w:w w:val="95"/>
        </w:rPr>
        <w:t>the</w:t>
      </w:r>
      <w:r>
        <w:rPr>
          <w:spacing w:val="-11"/>
          <w:w w:val="95"/>
        </w:rPr>
        <w:t xml:space="preserve"> </w:t>
      </w:r>
      <w:r>
        <w:rPr>
          <w:w w:val="95"/>
        </w:rPr>
        <w:t>highest</w:t>
      </w:r>
      <w:r>
        <w:rPr>
          <w:spacing w:val="-11"/>
          <w:w w:val="95"/>
        </w:rPr>
        <w:t xml:space="preserve"> </w:t>
      </w:r>
      <w:r>
        <w:rPr>
          <w:w w:val="95"/>
        </w:rPr>
        <w:t>value</w:t>
      </w:r>
      <w:r>
        <w:rPr>
          <w:spacing w:val="-11"/>
          <w:w w:val="95"/>
        </w:rPr>
        <w:t xml:space="preserve"> </w:t>
      </w:r>
      <w:r>
        <w:rPr>
          <w:w w:val="95"/>
        </w:rPr>
        <w:t xml:space="preserve">infrastructure investments come from pinch point relief that addresses </w:t>
      </w:r>
      <w:r>
        <w:t>road</w:t>
      </w:r>
      <w:r>
        <w:rPr>
          <w:spacing w:val="-7"/>
        </w:rPr>
        <w:t xml:space="preserve"> </w:t>
      </w:r>
      <w:r>
        <w:t>congestion</w:t>
      </w:r>
      <w:r>
        <w:rPr>
          <w:spacing w:val="-7"/>
        </w:rPr>
        <w:t xml:space="preserve"> </w:t>
      </w:r>
      <w:r>
        <w:t>‘hotspots’.</w:t>
      </w:r>
      <w:r>
        <w:rPr>
          <w:spacing w:val="-7"/>
        </w:rPr>
        <w:t xml:space="preserve"> </w:t>
      </w:r>
      <w:r>
        <w:t>This</w:t>
      </w:r>
      <w:r>
        <w:rPr>
          <w:spacing w:val="-7"/>
        </w:rPr>
        <w:t xml:space="preserve"> </w:t>
      </w:r>
      <w:r>
        <w:t>section</w:t>
      </w:r>
      <w:r>
        <w:rPr>
          <w:spacing w:val="-7"/>
        </w:rPr>
        <w:t xml:space="preserve"> </w:t>
      </w:r>
      <w:r>
        <w:t>highlights pressing</w:t>
      </w:r>
      <w:r>
        <w:rPr>
          <w:spacing w:val="-13"/>
        </w:rPr>
        <w:t xml:space="preserve"> </w:t>
      </w:r>
      <w:r>
        <w:t>areas</w:t>
      </w:r>
      <w:r>
        <w:rPr>
          <w:spacing w:val="-13"/>
        </w:rPr>
        <w:t xml:space="preserve"> </w:t>
      </w:r>
      <w:r>
        <w:t>for</w:t>
      </w:r>
      <w:r>
        <w:rPr>
          <w:spacing w:val="-13"/>
        </w:rPr>
        <w:t xml:space="preserve"> </w:t>
      </w:r>
      <w:r>
        <w:t>pinch</w:t>
      </w:r>
      <w:r>
        <w:rPr>
          <w:spacing w:val="-13"/>
        </w:rPr>
        <w:t xml:space="preserve"> </w:t>
      </w:r>
      <w:r>
        <w:t>point</w:t>
      </w:r>
      <w:r>
        <w:rPr>
          <w:spacing w:val="-13"/>
        </w:rPr>
        <w:t xml:space="preserve"> </w:t>
      </w:r>
      <w:r>
        <w:t>investment</w:t>
      </w:r>
      <w:r>
        <w:rPr>
          <w:spacing w:val="-13"/>
        </w:rPr>
        <w:t xml:space="preserve"> </w:t>
      </w:r>
      <w:r>
        <w:t>identified during</w:t>
      </w:r>
      <w:r>
        <w:rPr>
          <w:spacing w:val="-6"/>
        </w:rPr>
        <w:t xml:space="preserve"> </w:t>
      </w:r>
      <w:r>
        <w:t>the</w:t>
      </w:r>
      <w:r>
        <w:rPr>
          <w:spacing w:val="-6"/>
        </w:rPr>
        <w:t xml:space="preserve"> </w:t>
      </w:r>
      <w:r>
        <w:t>preparation</w:t>
      </w:r>
      <w:r>
        <w:rPr>
          <w:spacing w:val="-6"/>
        </w:rPr>
        <w:t xml:space="preserve"> </w:t>
      </w:r>
      <w:r>
        <w:t>of</w:t>
      </w:r>
      <w:r>
        <w:rPr>
          <w:spacing w:val="-6"/>
        </w:rPr>
        <w:t xml:space="preserve"> </w:t>
      </w:r>
      <w:r>
        <w:t>the</w:t>
      </w:r>
      <w:r>
        <w:rPr>
          <w:spacing w:val="-6"/>
        </w:rPr>
        <w:t xml:space="preserve"> </w:t>
      </w:r>
      <w:r>
        <w:t>Strategy.</w:t>
      </w:r>
    </w:p>
    <w:p w:rsidR="002C1123" w:rsidRDefault="00F22F94">
      <w:pPr>
        <w:pStyle w:val="Heading6"/>
        <w:numPr>
          <w:ilvl w:val="2"/>
          <w:numId w:val="97"/>
        </w:numPr>
        <w:tabs>
          <w:tab w:val="left" w:pos="681"/>
        </w:tabs>
        <w:spacing w:before="148"/>
        <w:ind w:left="680" w:hanging="487"/>
        <w:jc w:val="left"/>
      </w:pPr>
      <w:r>
        <w:rPr>
          <w:color w:val="00AEEF"/>
          <w:spacing w:val="-2"/>
        </w:rPr>
        <w:t>Parramatta</w:t>
      </w:r>
      <w:r>
        <w:rPr>
          <w:color w:val="00AEEF"/>
          <w:spacing w:val="-3"/>
        </w:rPr>
        <w:t xml:space="preserve"> </w:t>
      </w:r>
      <w:r>
        <w:rPr>
          <w:color w:val="00AEEF"/>
          <w:spacing w:val="-2"/>
        </w:rPr>
        <w:t>Ring</w:t>
      </w:r>
      <w:r>
        <w:rPr>
          <w:color w:val="00AEEF"/>
          <w:spacing w:val="-3"/>
        </w:rPr>
        <w:t xml:space="preserve"> </w:t>
      </w:r>
      <w:r>
        <w:rPr>
          <w:color w:val="00AEEF"/>
          <w:spacing w:val="-4"/>
        </w:rPr>
        <w:t>Road</w:t>
      </w:r>
    </w:p>
    <w:p w:rsidR="002C1123" w:rsidRDefault="00F22F94">
      <w:pPr>
        <w:pStyle w:val="BodyText"/>
        <w:spacing w:before="95" w:line="249" w:lineRule="auto"/>
        <w:ind w:left="194" w:right="678"/>
      </w:pPr>
      <w:r>
        <w:t>To</w:t>
      </w:r>
      <w:r>
        <w:rPr>
          <w:spacing w:val="-10"/>
        </w:rPr>
        <w:t xml:space="preserve"> </w:t>
      </w:r>
      <w:r>
        <w:t>address</w:t>
      </w:r>
      <w:r>
        <w:rPr>
          <w:spacing w:val="-10"/>
        </w:rPr>
        <w:t xml:space="preserve"> </w:t>
      </w:r>
      <w:r>
        <w:t>growing</w:t>
      </w:r>
      <w:r>
        <w:rPr>
          <w:spacing w:val="-10"/>
        </w:rPr>
        <w:t xml:space="preserve"> </w:t>
      </w:r>
      <w:r>
        <w:t>road</w:t>
      </w:r>
      <w:r>
        <w:rPr>
          <w:spacing w:val="-10"/>
        </w:rPr>
        <w:t xml:space="preserve"> </w:t>
      </w:r>
      <w:r>
        <w:t>congestion</w:t>
      </w:r>
      <w:r>
        <w:rPr>
          <w:spacing w:val="-10"/>
        </w:rPr>
        <w:t xml:space="preserve"> </w:t>
      </w:r>
      <w:r>
        <w:t>issues</w:t>
      </w:r>
      <w:r>
        <w:rPr>
          <w:spacing w:val="-10"/>
        </w:rPr>
        <w:t xml:space="preserve"> </w:t>
      </w:r>
      <w:r>
        <w:t>around Parramatta,</w:t>
      </w:r>
      <w:r>
        <w:rPr>
          <w:spacing w:val="-9"/>
        </w:rPr>
        <w:t xml:space="preserve"> </w:t>
      </w:r>
      <w:r>
        <w:t>Parramatta</w:t>
      </w:r>
      <w:r>
        <w:rPr>
          <w:spacing w:val="-9"/>
        </w:rPr>
        <w:t xml:space="preserve"> </w:t>
      </w:r>
      <w:r>
        <w:t>Council</w:t>
      </w:r>
      <w:r>
        <w:rPr>
          <w:spacing w:val="-9"/>
        </w:rPr>
        <w:t xml:space="preserve"> </w:t>
      </w:r>
      <w:r>
        <w:t>has</w:t>
      </w:r>
      <w:r>
        <w:rPr>
          <w:spacing w:val="-9"/>
        </w:rPr>
        <w:t xml:space="preserve"> </w:t>
      </w:r>
      <w:r>
        <w:t>proposed</w:t>
      </w:r>
      <w:r>
        <w:rPr>
          <w:spacing w:val="-9"/>
        </w:rPr>
        <w:t xml:space="preserve"> </w:t>
      </w:r>
      <w:r>
        <w:t>a</w:t>
      </w:r>
      <w:r>
        <w:rPr>
          <w:spacing w:val="-9"/>
        </w:rPr>
        <w:t xml:space="preserve"> </w:t>
      </w:r>
      <w:r>
        <w:t>‘ring road’</w:t>
      </w:r>
      <w:r>
        <w:rPr>
          <w:spacing w:val="-6"/>
        </w:rPr>
        <w:t xml:space="preserve"> </w:t>
      </w:r>
      <w:r>
        <w:t>concept,</w:t>
      </w:r>
      <w:r>
        <w:rPr>
          <w:spacing w:val="-6"/>
        </w:rPr>
        <w:t xml:space="preserve"> </w:t>
      </w:r>
      <w:r>
        <w:t>with</w:t>
      </w:r>
      <w:r>
        <w:rPr>
          <w:spacing w:val="-6"/>
        </w:rPr>
        <w:t xml:space="preserve"> </w:t>
      </w:r>
      <w:r>
        <w:t>an</w:t>
      </w:r>
      <w:r>
        <w:rPr>
          <w:spacing w:val="-6"/>
        </w:rPr>
        <w:t xml:space="preserve"> </w:t>
      </w:r>
      <w:r>
        <w:t>inner</w:t>
      </w:r>
      <w:r>
        <w:rPr>
          <w:spacing w:val="-6"/>
        </w:rPr>
        <w:t xml:space="preserve"> </w:t>
      </w:r>
      <w:r>
        <w:t>city</w:t>
      </w:r>
      <w:r>
        <w:rPr>
          <w:spacing w:val="-6"/>
        </w:rPr>
        <w:t xml:space="preserve"> </w:t>
      </w:r>
      <w:r>
        <w:t>ring</w:t>
      </w:r>
      <w:r>
        <w:rPr>
          <w:spacing w:val="-6"/>
        </w:rPr>
        <w:t xml:space="preserve"> </w:t>
      </w:r>
      <w:r>
        <w:t>road</w:t>
      </w:r>
      <w:r>
        <w:rPr>
          <w:spacing w:val="-6"/>
        </w:rPr>
        <w:t xml:space="preserve"> </w:t>
      </w:r>
      <w:r>
        <w:t>and</w:t>
      </w:r>
      <w:r>
        <w:rPr>
          <w:spacing w:val="-6"/>
        </w:rPr>
        <w:t xml:space="preserve"> </w:t>
      </w:r>
      <w:r>
        <w:t xml:space="preserve">outer </w:t>
      </w:r>
      <w:r>
        <w:rPr>
          <w:w w:val="95"/>
        </w:rPr>
        <w:t>regional</w:t>
      </w:r>
      <w:r>
        <w:rPr>
          <w:spacing w:val="-10"/>
          <w:w w:val="95"/>
        </w:rPr>
        <w:t xml:space="preserve"> </w:t>
      </w:r>
      <w:r>
        <w:rPr>
          <w:w w:val="95"/>
        </w:rPr>
        <w:t>ring</w:t>
      </w:r>
      <w:r>
        <w:rPr>
          <w:spacing w:val="-10"/>
          <w:w w:val="95"/>
        </w:rPr>
        <w:t xml:space="preserve"> </w:t>
      </w:r>
      <w:r>
        <w:rPr>
          <w:w w:val="95"/>
        </w:rPr>
        <w:t>road.</w:t>
      </w:r>
      <w:r>
        <w:rPr>
          <w:spacing w:val="-10"/>
          <w:w w:val="95"/>
        </w:rPr>
        <w:t xml:space="preserve"> </w:t>
      </w:r>
      <w:r>
        <w:rPr>
          <w:w w:val="95"/>
        </w:rPr>
        <w:t>These</w:t>
      </w:r>
      <w:r>
        <w:rPr>
          <w:spacing w:val="-10"/>
          <w:w w:val="95"/>
        </w:rPr>
        <w:t xml:space="preserve"> </w:t>
      </w:r>
      <w:r>
        <w:rPr>
          <w:w w:val="95"/>
        </w:rPr>
        <w:t>ring</w:t>
      </w:r>
      <w:r>
        <w:rPr>
          <w:spacing w:val="-10"/>
          <w:w w:val="95"/>
        </w:rPr>
        <w:t xml:space="preserve"> </w:t>
      </w:r>
      <w:r>
        <w:rPr>
          <w:w w:val="95"/>
        </w:rPr>
        <w:t>roads</w:t>
      </w:r>
      <w:r>
        <w:rPr>
          <w:spacing w:val="-10"/>
          <w:w w:val="95"/>
        </w:rPr>
        <w:t xml:space="preserve"> </w:t>
      </w:r>
      <w:r>
        <w:rPr>
          <w:w w:val="95"/>
        </w:rPr>
        <w:t>would</w:t>
      </w:r>
      <w:r>
        <w:rPr>
          <w:spacing w:val="-10"/>
          <w:w w:val="95"/>
        </w:rPr>
        <w:t xml:space="preserve"> </w:t>
      </w:r>
      <w:r>
        <w:rPr>
          <w:w w:val="95"/>
        </w:rPr>
        <w:t>utilise</w:t>
      </w:r>
      <w:r>
        <w:rPr>
          <w:spacing w:val="-10"/>
          <w:w w:val="95"/>
        </w:rPr>
        <w:t xml:space="preserve"> </w:t>
      </w:r>
      <w:r>
        <w:rPr>
          <w:w w:val="95"/>
        </w:rPr>
        <w:t xml:space="preserve">existing </w:t>
      </w:r>
      <w:r>
        <w:t>roads,</w:t>
      </w:r>
      <w:r>
        <w:rPr>
          <w:spacing w:val="-12"/>
        </w:rPr>
        <w:t xml:space="preserve"> </w:t>
      </w:r>
      <w:r>
        <w:t>but</w:t>
      </w:r>
      <w:r>
        <w:rPr>
          <w:spacing w:val="-12"/>
        </w:rPr>
        <w:t xml:space="preserve"> </w:t>
      </w:r>
      <w:r>
        <w:t>have</w:t>
      </w:r>
      <w:r>
        <w:rPr>
          <w:spacing w:val="-12"/>
        </w:rPr>
        <w:t xml:space="preserve"> </w:t>
      </w:r>
      <w:r>
        <w:t>improved</w:t>
      </w:r>
      <w:r>
        <w:rPr>
          <w:spacing w:val="-12"/>
        </w:rPr>
        <w:t xml:space="preserve"> </w:t>
      </w:r>
      <w:r>
        <w:t>flows</w:t>
      </w:r>
      <w:r>
        <w:rPr>
          <w:spacing w:val="-12"/>
        </w:rPr>
        <w:t xml:space="preserve"> </w:t>
      </w:r>
      <w:r>
        <w:t>through</w:t>
      </w:r>
      <w:r>
        <w:rPr>
          <w:spacing w:val="-12"/>
        </w:rPr>
        <w:t xml:space="preserve"> </w:t>
      </w:r>
      <w:r>
        <w:t>a</w:t>
      </w:r>
      <w:r>
        <w:rPr>
          <w:spacing w:val="-12"/>
        </w:rPr>
        <w:t xml:space="preserve"> </w:t>
      </w:r>
      <w:r>
        <w:t>series</w:t>
      </w:r>
      <w:r>
        <w:rPr>
          <w:spacing w:val="-12"/>
        </w:rPr>
        <w:t xml:space="preserve"> </w:t>
      </w:r>
      <w:r>
        <w:t>of upgrades at key locations.</w:t>
      </w:r>
    </w:p>
    <w:p w:rsidR="002C1123" w:rsidRDefault="00F22F94">
      <w:pPr>
        <w:pStyle w:val="BodyText"/>
        <w:spacing w:before="147" w:line="249" w:lineRule="auto"/>
        <w:ind w:left="194" w:right="887"/>
      </w:pPr>
      <w:r>
        <w:t>The</w:t>
      </w:r>
      <w:r>
        <w:rPr>
          <w:spacing w:val="-13"/>
        </w:rPr>
        <w:t xml:space="preserve"> </w:t>
      </w:r>
      <w:r>
        <w:t>many</w:t>
      </w:r>
      <w:r>
        <w:rPr>
          <w:spacing w:val="-13"/>
        </w:rPr>
        <w:t xml:space="preserve"> </w:t>
      </w:r>
      <w:r>
        <w:t>cross-regional</w:t>
      </w:r>
      <w:r>
        <w:rPr>
          <w:spacing w:val="-13"/>
        </w:rPr>
        <w:t xml:space="preserve"> </w:t>
      </w:r>
      <w:r>
        <w:t>trips</w:t>
      </w:r>
      <w:r>
        <w:rPr>
          <w:spacing w:val="-13"/>
        </w:rPr>
        <w:t xml:space="preserve"> </w:t>
      </w:r>
      <w:r>
        <w:t>in</w:t>
      </w:r>
      <w:r>
        <w:rPr>
          <w:spacing w:val="-13"/>
        </w:rPr>
        <w:t xml:space="preserve"> </w:t>
      </w:r>
      <w:r>
        <w:t>the</w:t>
      </w:r>
      <w:r>
        <w:rPr>
          <w:spacing w:val="-13"/>
        </w:rPr>
        <w:t xml:space="preserve"> </w:t>
      </w:r>
      <w:r>
        <w:t>area,</w:t>
      </w:r>
      <w:r>
        <w:rPr>
          <w:spacing w:val="-13"/>
        </w:rPr>
        <w:t xml:space="preserve"> </w:t>
      </w:r>
      <w:r>
        <w:t>and</w:t>
      </w:r>
      <w:r>
        <w:rPr>
          <w:spacing w:val="-13"/>
        </w:rPr>
        <w:t xml:space="preserve"> </w:t>
      </w:r>
      <w:r>
        <w:t xml:space="preserve">the continued growth expected within Parramatta </w:t>
      </w:r>
      <w:r>
        <w:rPr>
          <w:w w:val="95"/>
        </w:rPr>
        <w:t>suggest</w:t>
      </w:r>
      <w:r>
        <w:rPr>
          <w:spacing w:val="-1"/>
          <w:w w:val="95"/>
        </w:rPr>
        <w:t xml:space="preserve"> </w:t>
      </w:r>
      <w:r>
        <w:rPr>
          <w:w w:val="95"/>
        </w:rPr>
        <w:t>that</w:t>
      </w:r>
      <w:r>
        <w:rPr>
          <w:spacing w:val="-1"/>
          <w:w w:val="95"/>
        </w:rPr>
        <w:t xml:space="preserve"> </w:t>
      </w:r>
      <w:r>
        <w:rPr>
          <w:w w:val="95"/>
        </w:rPr>
        <w:t>investment</w:t>
      </w:r>
      <w:r>
        <w:rPr>
          <w:spacing w:val="-1"/>
          <w:w w:val="95"/>
        </w:rPr>
        <w:t xml:space="preserve"> </w:t>
      </w:r>
      <w:r>
        <w:rPr>
          <w:w w:val="95"/>
        </w:rPr>
        <w:t>to</w:t>
      </w:r>
      <w:r>
        <w:rPr>
          <w:spacing w:val="-1"/>
          <w:w w:val="95"/>
        </w:rPr>
        <w:t xml:space="preserve"> </w:t>
      </w:r>
      <w:r>
        <w:rPr>
          <w:w w:val="95"/>
        </w:rPr>
        <w:t>improve</w:t>
      </w:r>
      <w:r>
        <w:rPr>
          <w:spacing w:val="-1"/>
          <w:w w:val="95"/>
        </w:rPr>
        <w:t xml:space="preserve"> </w:t>
      </w:r>
      <w:r>
        <w:rPr>
          <w:w w:val="95"/>
        </w:rPr>
        <w:t>the</w:t>
      </w:r>
      <w:r>
        <w:rPr>
          <w:spacing w:val="-1"/>
          <w:w w:val="95"/>
        </w:rPr>
        <w:t xml:space="preserve"> </w:t>
      </w:r>
      <w:r>
        <w:rPr>
          <w:w w:val="95"/>
        </w:rPr>
        <w:t>connectivity</w:t>
      </w:r>
      <w:r>
        <w:rPr>
          <w:spacing w:val="-1"/>
          <w:w w:val="95"/>
        </w:rPr>
        <w:t xml:space="preserve"> </w:t>
      </w:r>
      <w:r>
        <w:rPr>
          <w:w w:val="95"/>
        </w:rPr>
        <w:t xml:space="preserve">of </w:t>
      </w:r>
      <w:r>
        <w:t>Parramatta</w:t>
      </w:r>
      <w:r>
        <w:rPr>
          <w:spacing w:val="-14"/>
        </w:rPr>
        <w:t xml:space="preserve"> </w:t>
      </w:r>
      <w:r>
        <w:t>and</w:t>
      </w:r>
      <w:r>
        <w:rPr>
          <w:spacing w:val="-14"/>
        </w:rPr>
        <w:t xml:space="preserve"> </w:t>
      </w:r>
      <w:r>
        <w:t>adjoining</w:t>
      </w:r>
      <w:r>
        <w:rPr>
          <w:spacing w:val="-14"/>
        </w:rPr>
        <w:t xml:space="preserve"> </w:t>
      </w:r>
      <w:r>
        <w:t>regions</w:t>
      </w:r>
      <w:r>
        <w:rPr>
          <w:spacing w:val="-14"/>
        </w:rPr>
        <w:t xml:space="preserve"> </w:t>
      </w:r>
      <w:r>
        <w:t>is</w:t>
      </w:r>
      <w:r>
        <w:rPr>
          <w:spacing w:val="-14"/>
        </w:rPr>
        <w:t xml:space="preserve"> </w:t>
      </w:r>
      <w:r>
        <w:t>of</w:t>
      </w:r>
      <w:r>
        <w:rPr>
          <w:spacing w:val="-14"/>
        </w:rPr>
        <w:t xml:space="preserve"> </w:t>
      </w:r>
      <w:r>
        <w:t>value.</w:t>
      </w:r>
    </w:p>
    <w:p w:rsidR="002C1123" w:rsidRDefault="00F22F94">
      <w:pPr>
        <w:pStyle w:val="BodyText"/>
        <w:spacing w:before="145" w:line="249" w:lineRule="auto"/>
        <w:ind w:left="194" w:right="678"/>
      </w:pPr>
      <w:r>
        <w:rPr>
          <w:w w:val="95"/>
        </w:rPr>
        <w:t>The</w:t>
      </w:r>
      <w:r>
        <w:rPr>
          <w:spacing w:val="-3"/>
          <w:w w:val="95"/>
        </w:rPr>
        <w:t xml:space="preserve"> </w:t>
      </w:r>
      <w:r>
        <w:rPr>
          <w:w w:val="95"/>
        </w:rPr>
        <w:t>proposed</w:t>
      </w:r>
      <w:r>
        <w:rPr>
          <w:spacing w:val="-3"/>
          <w:w w:val="95"/>
        </w:rPr>
        <w:t xml:space="preserve"> </w:t>
      </w:r>
      <w:r>
        <w:rPr>
          <w:w w:val="95"/>
        </w:rPr>
        <w:t>new</w:t>
      </w:r>
      <w:r>
        <w:rPr>
          <w:spacing w:val="-3"/>
          <w:w w:val="95"/>
        </w:rPr>
        <w:t xml:space="preserve"> </w:t>
      </w:r>
      <w:r>
        <w:rPr>
          <w:w w:val="95"/>
        </w:rPr>
        <w:t>road</w:t>
      </w:r>
      <w:r>
        <w:rPr>
          <w:spacing w:val="-3"/>
          <w:w w:val="95"/>
        </w:rPr>
        <w:t xml:space="preserve"> </w:t>
      </w:r>
      <w:r>
        <w:rPr>
          <w:w w:val="95"/>
        </w:rPr>
        <w:t>works</w:t>
      </w:r>
      <w:r>
        <w:rPr>
          <w:spacing w:val="-3"/>
          <w:w w:val="95"/>
        </w:rPr>
        <w:t xml:space="preserve"> </w:t>
      </w:r>
      <w:r>
        <w:rPr>
          <w:w w:val="95"/>
        </w:rPr>
        <w:t>would</w:t>
      </w:r>
      <w:r>
        <w:rPr>
          <w:spacing w:val="-3"/>
          <w:w w:val="95"/>
        </w:rPr>
        <w:t xml:space="preserve"> </w:t>
      </w:r>
      <w:r>
        <w:rPr>
          <w:w w:val="95"/>
        </w:rPr>
        <w:t>reduce</w:t>
      </w:r>
      <w:r>
        <w:rPr>
          <w:spacing w:val="-3"/>
          <w:w w:val="95"/>
        </w:rPr>
        <w:t xml:space="preserve"> </w:t>
      </w:r>
      <w:r>
        <w:rPr>
          <w:w w:val="95"/>
        </w:rPr>
        <w:t xml:space="preserve">intersection </w:t>
      </w:r>
      <w:r>
        <w:t>constraints</w:t>
      </w:r>
      <w:r>
        <w:rPr>
          <w:spacing w:val="-14"/>
        </w:rPr>
        <w:t xml:space="preserve"> </w:t>
      </w:r>
      <w:r>
        <w:t>and</w:t>
      </w:r>
      <w:r>
        <w:rPr>
          <w:spacing w:val="-14"/>
        </w:rPr>
        <w:t xml:space="preserve"> </w:t>
      </w:r>
      <w:r>
        <w:t>thus</w:t>
      </w:r>
      <w:r>
        <w:rPr>
          <w:spacing w:val="-14"/>
        </w:rPr>
        <w:t xml:space="preserve"> </w:t>
      </w:r>
      <w:r>
        <w:t>improve</w:t>
      </w:r>
      <w:r>
        <w:rPr>
          <w:spacing w:val="-14"/>
        </w:rPr>
        <w:t xml:space="preserve"> </w:t>
      </w:r>
      <w:r>
        <w:t>traffic</w:t>
      </w:r>
      <w:r>
        <w:rPr>
          <w:spacing w:val="-14"/>
        </w:rPr>
        <w:t xml:space="preserve"> </w:t>
      </w:r>
      <w:r>
        <w:t>flows</w:t>
      </w:r>
      <w:r>
        <w:rPr>
          <w:spacing w:val="-14"/>
        </w:rPr>
        <w:t xml:space="preserve"> </w:t>
      </w:r>
      <w:r>
        <w:t xml:space="preserve">around </w:t>
      </w:r>
      <w:r>
        <w:rPr>
          <w:spacing w:val="-2"/>
        </w:rPr>
        <w:t>Parramatta</w:t>
      </w:r>
      <w:r>
        <w:rPr>
          <w:spacing w:val="-9"/>
        </w:rPr>
        <w:t xml:space="preserve"> </w:t>
      </w:r>
      <w:r>
        <w:rPr>
          <w:spacing w:val="-2"/>
        </w:rPr>
        <w:t>for</w:t>
      </w:r>
      <w:r>
        <w:rPr>
          <w:spacing w:val="-9"/>
        </w:rPr>
        <w:t xml:space="preserve"> </w:t>
      </w:r>
      <w:r>
        <w:rPr>
          <w:spacing w:val="-2"/>
        </w:rPr>
        <w:t>private</w:t>
      </w:r>
      <w:r>
        <w:rPr>
          <w:spacing w:val="-9"/>
        </w:rPr>
        <w:t xml:space="preserve"> </w:t>
      </w:r>
      <w:r>
        <w:rPr>
          <w:spacing w:val="-2"/>
        </w:rPr>
        <w:t>vehicles</w:t>
      </w:r>
      <w:r>
        <w:rPr>
          <w:spacing w:val="-9"/>
        </w:rPr>
        <w:t xml:space="preserve"> </w:t>
      </w:r>
      <w:r>
        <w:rPr>
          <w:spacing w:val="-2"/>
        </w:rPr>
        <w:t>and</w:t>
      </w:r>
      <w:r>
        <w:rPr>
          <w:spacing w:val="-9"/>
        </w:rPr>
        <w:t xml:space="preserve"> </w:t>
      </w:r>
      <w:r>
        <w:rPr>
          <w:spacing w:val="-2"/>
        </w:rPr>
        <w:t>improve</w:t>
      </w:r>
      <w:r>
        <w:rPr>
          <w:spacing w:val="-9"/>
        </w:rPr>
        <w:t xml:space="preserve"> </w:t>
      </w:r>
      <w:r>
        <w:rPr>
          <w:spacing w:val="-2"/>
        </w:rPr>
        <w:t>access</w:t>
      </w:r>
    </w:p>
    <w:p w:rsidR="002C1123" w:rsidRDefault="00F22F94">
      <w:pPr>
        <w:pStyle w:val="BodyText"/>
        <w:spacing w:before="2" w:line="249" w:lineRule="auto"/>
        <w:ind w:left="194" w:right="994"/>
      </w:pPr>
      <w:r>
        <w:rPr>
          <w:w w:val="95"/>
        </w:rPr>
        <w:t>into Parramatta for buses. More efficient traffic flows at</w:t>
      </w:r>
      <w:r>
        <w:rPr>
          <w:spacing w:val="-8"/>
          <w:w w:val="95"/>
        </w:rPr>
        <w:t xml:space="preserve"> </w:t>
      </w:r>
      <w:r>
        <w:rPr>
          <w:w w:val="95"/>
        </w:rPr>
        <w:t>intersections</w:t>
      </w:r>
      <w:r>
        <w:rPr>
          <w:spacing w:val="-8"/>
          <w:w w:val="95"/>
        </w:rPr>
        <w:t xml:space="preserve"> </w:t>
      </w:r>
      <w:r>
        <w:rPr>
          <w:w w:val="95"/>
        </w:rPr>
        <w:t>around</w:t>
      </w:r>
      <w:r>
        <w:rPr>
          <w:spacing w:val="-8"/>
          <w:w w:val="95"/>
        </w:rPr>
        <w:t xml:space="preserve"> </w:t>
      </w:r>
      <w:r>
        <w:rPr>
          <w:w w:val="95"/>
        </w:rPr>
        <w:t>Parramatta</w:t>
      </w:r>
      <w:r>
        <w:rPr>
          <w:spacing w:val="-8"/>
          <w:w w:val="95"/>
        </w:rPr>
        <w:t xml:space="preserve"> </w:t>
      </w:r>
      <w:r>
        <w:rPr>
          <w:w w:val="95"/>
        </w:rPr>
        <w:t>could</w:t>
      </w:r>
      <w:r>
        <w:rPr>
          <w:spacing w:val="-8"/>
          <w:w w:val="95"/>
        </w:rPr>
        <w:t xml:space="preserve"> </w:t>
      </w:r>
      <w:r>
        <w:rPr>
          <w:w w:val="95"/>
        </w:rPr>
        <w:t>also</w:t>
      </w:r>
      <w:r>
        <w:rPr>
          <w:spacing w:val="-8"/>
          <w:w w:val="95"/>
        </w:rPr>
        <w:t xml:space="preserve"> </w:t>
      </w:r>
      <w:r>
        <w:rPr>
          <w:w w:val="95"/>
        </w:rPr>
        <w:t>reduce</w:t>
      </w:r>
    </w:p>
    <w:p w:rsidR="002C1123" w:rsidRDefault="00F22F94">
      <w:pPr>
        <w:pStyle w:val="BodyText"/>
        <w:spacing w:before="2" w:line="249" w:lineRule="auto"/>
        <w:ind w:left="194" w:right="536"/>
      </w:pPr>
      <w:r>
        <w:rPr>
          <w:w w:val="95"/>
        </w:rPr>
        <w:t>congestion</w:t>
      </w:r>
      <w:r>
        <w:rPr>
          <w:spacing w:val="-6"/>
          <w:w w:val="95"/>
        </w:rPr>
        <w:t xml:space="preserve"> </w:t>
      </w:r>
      <w:r>
        <w:rPr>
          <w:w w:val="95"/>
        </w:rPr>
        <w:t>for</w:t>
      </w:r>
      <w:r>
        <w:rPr>
          <w:spacing w:val="-6"/>
          <w:w w:val="95"/>
        </w:rPr>
        <w:t xml:space="preserve"> </w:t>
      </w:r>
      <w:r>
        <w:rPr>
          <w:w w:val="95"/>
        </w:rPr>
        <w:t>buses</w:t>
      </w:r>
      <w:r>
        <w:rPr>
          <w:spacing w:val="-6"/>
          <w:w w:val="95"/>
        </w:rPr>
        <w:t xml:space="preserve"> </w:t>
      </w:r>
      <w:r>
        <w:rPr>
          <w:w w:val="95"/>
        </w:rPr>
        <w:t>and</w:t>
      </w:r>
      <w:r>
        <w:rPr>
          <w:spacing w:val="-6"/>
          <w:w w:val="95"/>
        </w:rPr>
        <w:t xml:space="preserve"> </w:t>
      </w:r>
      <w:r>
        <w:rPr>
          <w:w w:val="95"/>
        </w:rPr>
        <w:t>vehicles</w:t>
      </w:r>
      <w:r>
        <w:rPr>
          <w:spacing w:val="-6"/>
          <w:w w:val="95"/>
        </w:rPr>
        <w:t xml:space="preserve"> </w:t>
      </w:r>
      <w:r>
        <w:rPr>
          <w:w w:val="95"/>
        </w:rPr>
        <w:t>seeking</w:t>
      </w:r>
      <w:r>
        <w:rPr>
          <w:spacing w:val="-6"/>
          <w:w w:val="95"/>
        </w:rPr>
        <w:t xml:space="preserve"> </w:t>
      </w:r>
      <w:r>
        <w:rPr>
          <w:w w:val="95"/>
        </w:rPr>
        <w:t>access</w:t>
      </w:r>
      <w:r>
        <w:rPr>
          <w:spacing w:val="-6"/>
          <w:w w:val="95"/>
        </w:rPr>
        <w:t xml:space="preserve"> </w:t>
      </w:r>
      <w:r>
        <w:rPr>
          <w:w w:val="95"/>
        </w:rPr>
        <w:t>to</w:t>
      </w:r>
      <w:r>
        <w:rPr>
          <w:spacing w:val="-6"/>
          <w:w w:val="95"/>
        </w:rPr>
        <w:t xml:space="preserve"> </w:t>
      </w:r>
      <w:r>
        <w:rPr>
          <w:w w:val="95"/>
        </w:rPr>
        <w:t xml:space="preserve">and </w:t>
      </w:r>
      <w:r>
        <w:t>from</w:t>
      </w:r>
      <w:r>
        <w:rPr>
          <w:spacing w:val="-14"/>
        </w:rPr>
        <w:t xml:space="preserve"> </w:t>
      </w:r>
      <w:r>
        <w:t>Parramatta</w:t>
      </w:r>
      <w:r>
        <w:rPr>
          <w:spacing w:val="-14"/>
        </w:rPr>
        <w:t xml:space="preserve"> </w:t>
      </w:r>
      <w:r>
        <w:t>centre.</w:t>
      </w:r>
      <w:r>
        <w:rPr>
          <w:spacing w:val="-14"/>
        </w:rPr>
        <w:t xml:space="preserve"> </w:t>
      </w:r>
      <w:r>
        <w:t>On</w:t>
      </w:r>
      <w:r>
        <w:rPr>
          <w:spacing w:val="-14"/>
        </w:rPr>
        <w:t xml:space="preserve"> </w:t>
      </w:r>
      <w:r>
        <w:t>the</w:t>
      </w:r>
      <w:r>
        <w:rPr>
          <w:spacing w:val="-14"/>
        </w:rPr>
        <w:t xml:space="preserve"> </w:t>
      </w:r>
      <w:r>
        <w:t>southern</w:t>
      </w:r>
      <w:r>
        <w:rPr>
          <w:spacing w:val="-14"/>
        </w:rPr>
        <w:t xml:space="preserve"> </w:t>
      </w:r>
      <w:r>
        <w:t>M4</w:t>
      </w:r>
      <w:r>
        <w:rPr>
          <w:spacing w:val="-14"/>
        </w:rPr>
        <w:t xml:space="preserve"> </w:t>
      </w:r>
      <w:r>
        <w:t>section</w:t>
      </w:r>
      <w:r>
        <w:rPr>
          <w:spacing w:val="-14"/>
        </w:rPr>
        <w:t xml:space="preserve"> </w:t>
      </w:r>
      <w:r>
        <w:t xml:space="preserve">of </w:t>
      </w:r>
      <w:r>
        <w:rPr>
          <w:w w:val="95"/>
        </w:rPr>
        <w:t>the regional ring road, a number of works could improve access</w:t>
      </w:r>
      <w:r>
        <w:rPr>
          <w:spacing w:val="-8"/>
          <w:w w:val="95"/>
        </w:rPr>
        <w:t xml:space="preserve"> </w:t>
      </w:r>
      <w:r>
        <w:rPr>
          <w:w w:val="95"/>
        </w:rPr>
        <w:t>and</w:t>
      </w:r>
      <w:r>
        <w:rPr>
          <w:spacing w:val="-8"/>
          <w:w w:val="95"/>
        </w:rPr>
        <w:t xml:space="preserve"> </w:t>
      </w:r>
      <w:r>
        <w:rPr>
          <w:w w:val="95"/>
        </w:rPr>
        <w:t>exit</w:t>
      </w:r>
      <w:r>
        <w:rPr>
          <w:spacing w:val="-8"/>
          <w:w w:val="95"/>
        </w:rPr>
        <w:t xml:space="preserve"> </w:t>
      </w:r>
      <w:r>
        <w:rPr>
          <w:w w:val="95"/>
        </w:rPr>
        <w:t>from</w:t>
      </w:r>
      <w:r>
        <w:rPr>
          <w:spacing w:val="-8"/>
          <w:w w:val="95"/>
        </w:rPr>
        <w:t xml:space="preserve"> </w:t>
      </w:r>
      <w:r>
        <w:rPr>
          <w:w w:val="95"/>
        </w:rPr>
        <w:t>the</w:t>
      </w:r>
      <w:r>
        <w:rPr>
          <w:spacing w:val="-8"/>
          <w:w w:val="95"/>
        </w:rPr>
        <w:t xml:space="preserve"> </w:t>
      </w:r>
      <w:r>
        <w:rPr>
          <w:w w:val="95"/>
        </w:rPr>
        <w:t>motorway.</w:t>
      </w:r>
      <w:r>
        <w:rPr>
          <w:spacing w:val="-8"/>
          <w:w w:val="95"/>
        </w:rPr>
        <w:t xml:space="preserve"> </w:t>
      </w:r>
      <w:r>
        <w:rPr>
          <w:w w:val="95"/>
        </w:rPr>
        <w:t>Some</w:t>
      </w:r>
      <w:r>
        <w:rPr>
          <w:spacing w:val="-8"/>
          <w:w w:val="95"/>
        </w:rPr>
        <w:t xml:space="preserve"> </w:t>
      </w:r>
      <w:r>
        <w:rPr>
          <w:w w:val="95"/>
        </w:rPr>
        <w:t>of</w:t>
      </w:r>
      <w:r>
        <w:rPr>
          <w:spacing w:val="-8"/>
          <w:w w:val="95"/>
        </w:rPr>
        <w:t xml:space="preserve"> </w:t>
      </w:r>
      <w:r>
        <w:rPr>
          <w:w w:val="95"/>
        </w:rPr>
        <w:t>these</w:t>
      </w:r>
      <w:r>
        <w:rPr>
          <w:spacing w:val="-8"/>
          <w:w w:val="95"/>
        </w:rPr>
        <w:t xml:space="preserve"> </w:t>
      </w:r>
      <w:r>
        <w:rPr>
          <w:w w:val="95"/>
        </w:rPr>
        <w:t xml:space="preserve">works </w:t>
      </w:r>
      <w:r>
        <w:t>could</w:t>
      </w:r>
      <w:r>
        <w:rPr>
          <w:spacing w:val="-8"/>
        </w:rPr>
        <w:t xml:space="preserve"> </w:t>
      </w:r>
      <w:r>
        <w:t>be</w:t>
      </w:r>
      <w:r>
        <w:rPr>
          <w:spacing w:val="-8"/>
        </w:rPr>
        <w:t xml:space="preserve"> </w:t>
      </w:r>
      <w:r>
        <w:t>part</w:t>
      </w:r>
      <w:r>
        <w:rPr>
          <w:spacing w:val="-8"/>
        </w:rPr>
        <w:t xml:space="preserve"> </w:t>
      </w:r>
      <w:r>
        <w:t>of</w:t>
      </w:r>
      <w:r>
        <w:rPr>
          <w:spacing w:val="-8"/>
        </w:rPr>
        <w:t xml:space="preserve"> </w:t>
      </w:r>
      <w:r>
        <w:t>the</w:t>
      </w:r>
      <w:r>
        <w:rPr>
          <w:spacing w:val="-8"/>
        </w:rPr>
        <w:t xml:space="preserve"> </w:t>
      </w:r>
      <w:r>
        <w:t>WestConnex</w:t>
      </w:r>
      <w:r>
        <w:rPr>
          <w:spacing w:val="-8"/>
        </w:rPr>
        <w:t xml:space="preserve"> </w:t>
      </w:r>
      <w:r>
        <w:t>proposal.</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212" w:space="40"/>
            <w:col w:w="5060" w:space="39"/>
            <w:col w:w="5709"/>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C1123">
      <w:pPr>
        <w:rPr>
          <w:sz w:val="19"/>
        </w:rPr>
        <w:sectPr w:rsidR="002C1123">
          <w:headerReference w:type="default" r:id="rId146"/>
          <w:footerReference w:type="default" r:id="rId147"/>
          <w:pgSz w:w="16840" w:h="11910" w:orient="landscape"/>
          <w:pgMar w:top="560" w:right="280" w:bottom="700" w:left="500" w:header="0" w:footer="517" w:gutter="0"/>
          <w:cols w:space="720"/>
        </w:sectPr>
      </w:pPr>
    </w:p>
    <w:p w:rsidR="002C1123" w:rsidRDefault="00F22F94">
      <w:pPr>
        <w:pStyle w:val="BodyText"/>
        <w:spacing w:before="106" w:line="249" w:lineRule="auto"/>
        <w:ind w:left="492"/>
      </w:pPr>
      <w:bookmarkStart w:id="178" w:name="_bookmark128"/>
      <w:bookmarkEnd w:id="178"/>
      <w:r>
        <w:rPr>
          <w:w w:val="95"/>
        </w:rPr>
        <w:t>A</w:t>
      </w:r>
      <w:r>
        <w:rPr>
          <w:spacing w:val="-1"/>
          <w:w w:val="95"/>
        </w:rPr>
        <w:t xml:space="preserve"> </w:t>
      </w:r>
      <w:r>
        <w:rPr>
          <w:w w:val="95"/>
        </w:rPr>
        <w:t>secondary</w:t>
      </w:r>
      <w:r>
        <w:rPr>
          <w:spacing w:val="-1"/>
          <w:w w:val="95"/>
        </w:rPr>
        <w:t xml:space="preserve"> </w:t>
      </w:r>
      <w:r>
        <w:rPr>
          <w:w w:val="95"/>
        </w:rPr>
        <w:t>benefit</w:t>
      </w:r>
      <w:r>
        <w:rPr>
          <w:spacing w:val="-1"/>
          <w:w w:val="95"/>
        </w:rPr>
        <w:t xml:space="preserve"> </w:t>
      </w:r>
      <w:r>
        <w:rPr>
          <w:w w:val="95"/>
        </w:rPr>
        <w:t>of</w:t>
      </w:r>
      <w:r>
        <w:rPr>
          <w:spacing w:val="-1"/>
          <w:w w:val="95"/>
        </w:rPr>
        <w:t xml:space="preserve"> </w:t>
      </w:r>
      <w:r>
        <w:rPr>
          <w:w w:val="95"/>
        </w:rPr>
        <w:t>the</w:t>
      </w:r>
      <w:r>
        <w:rPr>
          <w:spacing w:val="-1"/>
          <w:w w:val="95"/>
        </w:rPr>
        <w:t xml:space="preserve"> </w:t>
      </w:r>
      <w:r>
        <w:rPr>
          <w:w w:val="95"/>
        </w:rPr>
        <w:t>ring</w:t>
      </w:r>
      <w:r>
        <w:rPr>
          <w:spacing w:val="-1"/>
          <w:w w:val="95"/>
        </w:rPr>
        <w:t xml:space="preserve"> </w:t>
      </w:r>
      <w:r>
        <w:rPr>
          <w:w w:val="95"/>
        </w:rPr>
        <w:t>road</w:t>
      </w:r>
      <w:r>
        <w:rPr>
          <w:spacing w:val="-1"/>
          <w:w w:val="95"/>
        </w:rPr>
        <w:t xml:space="preserve"> </w:t>
      </w:r>
      <w:r>
        <w:rPr>
          <w:w w:val="95"/>
        </w:rPr>
        <w:t>would</w:t>
      </w:r>
      <w:r>
        <w:rPr>
          <w:spacing w:val="-1"/>
          <w:w w:val="95"/>
        </w:rPr>
        <w:t xml:space="preserve"> </w:t>
      </w:r>
      <w:r>
        <w:rPr>
          <w:w w:val="95"/>
        </w:rPr>
        <w:t>be</w:t>
      </w:r>
      <w:r>
        <w:rPr>
          <w:spacing w:val="-1"/>
          <w:w w:val="95"/>
        </w:rPr>
        <w:t xml:space="preserve"> </w:t>
      </w:r>
      <w:r>
        <w:rPr>
          <w:w w:val="95"/>
        </w:rPr>
        <w:t>to</w:t>
      </w:r>
      <w:r>
        <w:rPr>
          <w:spacing w:val="-1"/>
          <w:w w:val="95"/>
        </w:rPr>
        <w:t xml:space="preserve"> </w:t>
      </w:r>
      <w:r>
        <w:rPr>
          <w:w w:val="95"/>
        </w:rPr>
        <w:t xml:space="preserve">improve </w:t>
      </w:r>
      <w:r>
        <w:rPr>
          <w:w w:val="90"/>
        </w:rPr>
        <w:t xml:space="preserve">access between the centre of Parramatta and the Camellia </w:t>
      </w:r>
      <w:r>
        <w:t>and</w:t>
      </w:r>
      <w:r>
        <w:rPr>
          <w:spacing w:val="-14"/>
        </w:rPr>
        <w:t xml:space="preserve"> </w:t>
      </w:r>
      <w:r>
        <w:t>Rosehill</w:t>
      </w:r>
      <w:r>
        <w:rPr>
          <w:spacing w:val="-14"/>
        </w:rPr>
        <w:t xml:space="preserve"> </w:t>
      </w:r>
      <w:r>
        <w:t>employment</w:t>
      </w:r>
      <w:r>
        <w:rPr>
          <w:spacing w:val="-14"/>
        </w:rPr>
        <w:t xml:space="preserve"> </w:t>
      </w:r>
      <w:r>
        <w:t>and</w:t>
      </w:r>
      <w:r>
        <w:rPr>
          <w:spacing w:val="-14"/>
        </w:rPr>
        <w:t xml:space="preserve"> </w:t>
      </w:r>
      <w:r>
        <w:t>industrial</w:t>
      </w:r>
      <w:r>
        <w:rPr>
          <w:spacing w:val="-14"/>
        </w:rPr>
        <w:t xml:space="preserve"> </w:t>
      </w:r>
      <w:r>
        <w:t>lands.</w:t>
      </w:r>
      <w:r>
        <w:rPr>
          <w:spacing w:val="-14"/>
        </w:rPr>
        <w:t xml:space="preserve"> </w:t>
      </w:r>
      <w:r>
        <w:t xml:space="preserve">These </w:t>
      </w:r>
      <w:r>
        <w:rPr>
          <w:w w:val="95"/>
        </w:rPr>
        <w:t xml:space="preserve">employment lands, which have the opportunity of further </w:t>
      </w:r>
      <w:r>
        <w:t>development</w:t>
      </w:r>
      <w:r>
        <w:rPr>
          <w:spacing w:val="-14"/>
        </w:rPr>
        <w:t xml:space="preserve"> </w:t>
      </w:r>
      <w:r>
        <w:t>and</w:t>
      </w:r>
      <w:r>
        <w:rPr>
          <w:spacing w:val="-14"/>
        </w:rPr>
        <w:t xml:space="preserve"> </w:t>
      </w:r>
      <w:r>
        <w:t>value</w:t>
      </w:r>
      <w:r>
        <w:rPr>
          <w:spacing w:val="-14"/>
        </w:rPr>
        <w:t xml:space="preserve"> </w:t>
      </w:r>
      <w:r>
        <w:t>uplift</w:t>
      </w:r>
      <w:r>
        <w:rPr>
          <w:spacing w:val="-14"/>
        </w:rPr>
        <w:t xml:space="preserve"> </w:t>
      </w:r>
      <w:r>
        <w:t>with</w:t>
      </w:r>
      <w:r>
        <w:rPr>
          <w:spacing w:val="-14"/>
        </w:rPr>
        <w:t xml:space="preserve"> </w:t>
      </w:r>
      <w:r>
        <w:t>the</w:t>
      </w:r>
      <w:r>
        <w:rPr>
          <w:spacing w:val="-14"/>
        </w:rPr>
        <w:t xml:space="preserve"> </w:t>
      </w:r>
      <w:r>
        <w:t>exit</w:t>
      </w:r>
      <w:r>
        <w:rPr>
          <w:spacing w:val="-14"/>
        </w:rPr>
        <w:t xml:space="preserve"> </w:t>
      </w:r>
      <w:r>
        <w:t>of</w:t>
      </w:r>
      <w:r>
        <w:rPr>
          <w:spacing w:val="-13"/>
        </w:rPr>
        <w:t xml:space="preserve"> </w:t>
      </w:r>
      <w:r>
        <w:t>the</w:t>
      </w:r>
      <w:r>
        <w:rPr>
          <w:spacing w:val="-14"/>
        </w:rPr>
        <w:t xml:space="preserve"> </w:t>
      </w:r>
      <w:r>
        <w:t xml:space="preserve">Shell </w:t>
      </w:r>
      <w:r>
        <w:rPr>
          <w:w w:val="90"/>
        </w:rPr>
        <w:t>Refinery,</w:t>
      </w:r>
      <w:r>
        <w:rPr>
          <w:spacing w:val="-6"/>
          <w:w w:val="90"/>
        </w:rPr>
        <w:t xml:space="preserve"> </w:t>
      </w:r>
      <w:r>
        <w:rPr>
          <w:w w:val="90"/>
        </w:rPr>
        <w:t>currently</w:t>
      </w:r>
      <w:r>
        <w:rPr>
          <w:spacing w:val="-6"/>
          <w:w w:val="90"/>
        </w:rPr>
        <w:t xml:space="preserve"> </w:t>
      </w:r>
      <w:r>
        <w:rPr>
          <w:w w:val="90"/>
        </w:rPr>
        <w:t>have</w:t>
      </w:r>
      <w:r>
        <w:rPr>
          <w:spacing w:val="-6"/>
          <w:w w:val="90"/>
        </w:rPr>
        <w:t xml:space="preserve"> </w:t>
      </w:r>
      <w:r>
        <w:rPr>
          <w:w w:val="90"/>
        </w:rPr>
        <w:t>poor</w:t>
      </w:r>
      <w:r>
        <w:rPr>
          <w:spacing w:val="-6"/>
          <w:w w:val="90"/>
        </w:rPr>
        <w:t xml:space="preserve"> </w:t>
      </w:r>
      <w:r>
        <w:rPr>
          <w:w w:val="90"/>
        </w:rPr>
        <w:t>access</w:t>
      </w:r>
      <w:r>
        <w:rPr>
          <w:spacing w:val="-6"/>
          <w:w w:val="90"/>
        </w:rPr>
        <w:t xml:space="preserve"> </w:t>
      </w:r>
      <w:r>
        <w:rPr>
          <w:w w:val="90"/>
        </w:rPr>
        <w:t>to</w:t>
      </w:r>
      <w:r>
        <w:rPr>
          <w:spacing w:val="-6"/>
          <w:w w:val="90"/>
        </w:rPr>
        <w:t xml:space="preserve"> </w:t>
      </w:r>
      <w:r>
        <w:rPr>
          <w:w w:val="90"/>
        </w:rPr>
        <w:t>Parramatta’s</w:t>
      </w:r>
      <w:r>
        <w:rPr>
          <w:spacing w:val="-6"/>
          <w:w w:val="90"/>
        </w:rPr>
        <w:t xml:space="preserve"> </w:t>
      </w:r>
      <w:r>
        <w:rPr>
          <w:w w:val="90"/>
        </w:rPr>
        <w:t>centre.</w:t>
      </w:r>
    </w:p>
    <w:p w:rsidR="002C1123" w:rsidRDefault="00F22F94">
      <w:pPr>
        <w:pStyle w:val="BodyText"/>
        <w:spacing w:before="146" w:line="249" w:lineRule="auto"/>
        <w:ind w:left="492" w:right="285"/>
      </w:pPr>
      <w:r>
        <w:rPr>
          <w:w w:val="95"/>
        </w:rPr>
        <w:t>On</w:t>
      </w:r>
      <w:r>
        <w:rPr>
          <w:spacing w:val="-9"/>
          <w:w w:val="95"/>
        </w:rPr>
        <w:t xml:space="preserve"> </w:t>
      </w:r>
      <w:r>
        <w:rPr>
          <w:w w:val="95"/>
        </w:rPr>
        <w:t>face</w:t>
      </w:r>
      <w:r>
        <w:rPr>
          <w:spacing w:val="-9"/>
          <w:w w:val="95"/>
        </w:rPr>
        <w:t xml:space="preserve"> </w:t>
      </w:r>
      <w:r>
        <w:rPr>
          <w:w w:val="95"/>
        </w:rPr>
        <w:t>value,</w:t>
      </w:r>
      <w:r>
        <w:rPr>
          <w:spacing w:val="-9"/>
          <w:w w:val="95"/>
        </w:rPr>
        <w:t xml:space="preserve"> </w:t>
      </w:r>
      <w:r>
        <w:rPr>
          <w:w w:val="95"/>
        </w:rPr>
        <w:t>these</w:t>
      </w:r>
      <w:r>
        <w:rPr>
          <w:spacing w:val="-9"/>
          <w:w w:val="95"/>
        </w:rPr>
        <w:t xml:space="preserve"> </w:t>
      </w:r>
      <w:r>
        <w:rPr>
          <w:w w:val="95"/>
        </w:rPr>
        <w:t>proposals</w:t>
      </w:r>
      <w:r>
        <w:rPr>
          <w:spacing w:val="-9"/>
          <w:w w:val="95"/>
        </w:rPr>
        <w:t xml:space="preserve"> </w:t>
      </w:r>
      <w:r>
        <w:rPr>
          <w:w w:val="95"/>
        </w:rPr>
        <w:t>appear</w:t>
      </w:r>
      <w:r>
        <w:rPr>
          <w:spacing w:val="-9"/>
          <w:w w:val="95"/>
        </w:rPr>
        <w:t xml:space="preserve"> </w:t>
      </w:r>
      <w:r>
        <w:rPr>
          <w:w w:val="95"/>
        </w:rPr>
        <w:t>to</w:t>
      </w:r>
      <w:r>
        <w:rPr>
          <w:spacing w:val="-9"/>
          <w:w w:val="95"/>
        </w:rPr>
        <w:t xml:space="preserve"> </w:t>
      </w:r>
      <w:r>
        <w:rPr>
          <w:w w:val="95"/>
        </w:rPr>
        <w:t>have strategic</w:t>
      </w:r>
      <w:r>
        <w:rPr>
          <w:spacing w:val="-4"/>
          <w:w w:val="95"/>
        </w:rPr>
        <w:t xml:space="preserve"> </w:t>
      </w:r>
      <w:r>
        <w:rPr>
          <w:w w:val="95"/>
        </w:rPr>
        <w:t>logic</w:t>
      </w:r>
      <w:r>
        <w:rPr>
          <w:spacing w:val="-4"/>
          <w:w w:val="95"/>
        </w:rPr>
        <w:t xml:space="preserve"> </w:t>
      </w:r>
      <w:r>
        <w:rPr>
          <w:w w:val="95"/>
        </w:rPr>
        <w:t>both</w:t>
      </w:r>
      <w:r>
        <w:rPr>
          <w:spacing w:val="-4"/>
          <w:w w:val="95"/>
        </w:rPr>
        <w:t xml:space="preserve"> </w:t>
      </w:r>
      <w:r>
        <w:rPr>
          <w:w w:val="95"/>
        </w:rPr>
        <w:t>from</w:t>
      </w:r>
      <w:r>
        <w:rPr>
          <w:spacing w:val="-4"/>
          <w:w w:val="95"/>
        </w:rPr>
        <w:t xml:space="preserve"> </w:t>
      </w:r>
      <w:r>
        <w:rPr>
          <w:w w:val="95"/>
        </w:rPr>
        <w:t>a</w:t>
      </w:r>
      <w:r>
        <w:rPr>
          <w:spacing w:val="-4"/>
          <w:w w:val="95"/>
        </w:rPr>
        <w:t xml:space="preserve"> </w:t>
      </w:r>
      <w:r>
        <w:rPr>
          <w:w w:val="95"/>
        </w:rPr>
        <w:t>traffic</w:t>
      </w:r>
      <w:r>
        <w:rPr>
          <w:spacing w:val="-4"/>
          <w:w w:val="95"/>
        </w:rPr>
        <w:t xml:space="preserve"> </w:t>
      </w:r>
      <w:r>
        <w:rPr>
          <w:spacing w:val="-2"/>
          <w:w w:val="95"/>
        </w:rPr>
        <w:t>management</w:t>
      </w:r>
    </w:p>
    <w:p w:rsidR="002C1123" w:rsidRDefault="00F22F94">
      <w:pPr>
        <w:pStyle w:val="BodyText"/>
        <w:spacing w:before="2" w:line="249" w:lineRule="auto"/>
        <w:ind w:left="492" w:right="45"/>
      </w:pPr>
      <w:r>
        <w:rPr>
          <w:w w:val="95"/>
        </w:rPr>
        <w:t xml:space="preserve">perspective and the broader urban planning perspective </w:t>
      </w:r>
      <w:r>
        <w:t>of</w:t>
      </w:r>
      <w:r>
        <w:rPr>
          <w:spacing w:val="-6"/>
        </w:rPr>
        <w:t xml:space="preserve"> </w:t>
      </w:r>
      <w:r>
        <w:t>improving</w:t>
      </w:r>
      <w:r>
        <w:rPr>
          <w:spacing w:val="-6"/>
        </w:rPr>
        <w:t xml:space="preserve"> </w:t>
      </w:r>
      <w:r>
        <w:t>transport</w:t>
      </w:r>
      <w:r>
        <w:rPr>
          <w:spacing w:val="-6"/>
        </w:rPr>
        <w:t xml:space="preserve"> </w:t>
      </w:r>
      <w:r>
        <w:t>that</w:t>
      </w:r>
      <w:r>
        <w:rPr>
          <w:spacing w:val="-6"/>
        </w:rPr>
        <w:t xml:space="preserve"> </w:t>
      </w:r>
      <w:r>
        <w:t>will</w:t>
      </w:r>
      <w:r>
        <w:rPr>
          <w:spacing w:val="-6"/>
        </w:rPr>
        <w:t xml:space="preserve"> </w:t>
      </w:r>
      <w:r>
        <w:t>support</w:t>
      </w:r>
      <w:r>
        <w:rPr>
          <w:spacing w:val="-6"/>
        </w:rPr>
        <w:t xml:space="preserve"> </w:t>
      </w:r>
      <w:r>
        <w:t>Parramatta’s forecast</w:t>
      </w:r>
      <w:r>
        <w:rPr>
          <w:spacing w:val="-6"/>
        </w:rPr>
        <w:t xml:space="preserve"> </w:t>
      </w:r>
      <w:r>
        <w:t>employment</w:t>
      </w:r>
      <w:r>
        <w:rPr>
          <w:spacing w:val="-6"/>
        </w:rPr>
        <w:t xml:space="preserve"> </w:t>
      </w:r>
      <w:r>
        <w:t>growth.</w:t>
      </w:r>
      <w:r>
        <w:rPr>
          <w:spacing w:val="-6"/>
        </w:rPr>
        <w:t xml:space="preserve"> </w:t>
      </w:r>
      <w:r>
        <w:t>Infrastructure</w:t>
      </w:r>
      <w:r>
        <w:rPr>
          <w:spacing w:val="-6"/>
        </w:rPr>
        <w:t xml:space="preserve"> </w:t>
      </w:r>
      <w:r>
        <w:t xml:space="preserve">NSW </w:t>
      </w:r>
      <w:r>
        <w:rPr>
          <w:w w:val="95"/>
        </w:rPr>
        <w:t xml:space="preserve">recommends detailed assessment be undertaken of the </w:t>
      </w:r>
      <w:r>
        <w:t>proposed</w:t>
      </w:r>
      <w:r>
        <w:rPr>
          <w:spacing w:val="-14"/>
        </w:rPr>
        <w:t xml:space="preserve"> </w:t>
      </w:r>
      <w:r>
        <w:t>program</w:t>
      </w:r>
      <w:r>
        <w:rPr>
          <w:spacing w:val="-14"/>
        </w:rPr>
        <w:t xml:space="preserve"> </w:t>
      </w:r>
      <w:r>
        <w:t>with</w:t>
      </w:r>
      <w:r>
        <w:rPr>
          <w:spacing w:val="-14"/>
        </w:rPr>
        <w:t xml:space="preserve"> </w:t>
      </w:r>
      <w:r>
        <w:t>a</w:t>
      </w:r>
      <w:r>
        <w:rPr>
          <w:spacing w:val="-14"/>
        </w:rPr>
        <w:t xml:space="preserve"> </w:t>
      </w:r>
      <w:r>
        <w:t>view</w:t>
      </w:r>
      <w:r>
        <w:rPr>
          <w:spacing w:val="-14"/>
        </w:rPr>
        <w:t xml:space="preserve"> </w:t>
      </w:r>
      <w:r>
        <w:t>to</w:t>
      </w:r>
      <w:r>
        <w:rPr>
          <w:spacing w:val="-14"/>
        </w:rPr>
        <w:t xml:space="preserve"> </w:t>
      </w:r>
      <w:r>
        <w:t>its</w:t>
      </w:r>
      <w:r>
        <w:rPr>
          <w:spacing w:val="-14"/>
        </w:rPr>
        <w:t xml:space="preserve"> </w:t>
      </w:r>
      <w:r>
        <w:t>prioritisation</w:t>
      </w:r>
      <w:r>
        <w:rPr>
          <w:spacing w:val="-14"/>
        </w:rPr>
        <w:t xml:space="preserve"> </w:t>
      </w:r>
      <w:r>
        <w:t>within the next 10 years.</w:t>
      </w:r>
    </w:p>
    <w:p w:rsidR="002C1123" w:rsidRDefault="00F22F94">
      <w:pPr>
        <w:pStyle w:val="Heading6"/>
        <w:numPr>
          <w:ilvl w:val="2"/>
          <w:numId w:val="97"/>
        </w:numPr>
        <w:tabs>
          <w:tab w:val="left" w:pos="979"/>
        </w:tabs>
        <w:spacing w:before="147"/>
        <w:ind w:hanging="487"/>
        <w:jc w:val="left"/>
      </w:pPr>
      <w:r>
        <w:rPr>
          <w:color w:val="00AEEF"/>
          <w:spacing w:val="-4"/>
        </w:rPr>
        <w:t>Roads Serving the Growth Areas</w:t>
      </w:r>
    </w:p>
    <w:p w:rsidR="002C1123" w:rsidRDefault="00F22F94">
      <w:pPr>
        <w:pStyle w:val="BodyText"/>
        <w:spacing w:before="95" w:line="249" w:lineRule="auto"/>
        <w:ind w:left="492" w:right="129"/>
      </w:pPr>
      <w:r>
        <w:t>The</w:t>
      </w:r>
      <w:r>
        <w:rPr>
          <w:spacing w:val="-14"/>
        </w:rPr>
        <w:t xml:space="preserve"> </w:t>
      </w:r>
      <w:r>
        <w:t>construction</w:t>
      </w:r>
      <w:r>
        <w:rPr>
          <w:spacing w:val="-14"/>
        </w:rPr>
        <w:t xml:space="preserve"> </w:t>
      </w:r>
      <w:r>
        <w:t>of</w:t>
      </w:r>
      <w:r>
        <w:rPr>
          <w:spacing w:val="-14"/>
        </w:rPr>
        <w:t xml:space="preserve"> </w:t>
      </w:r>
      <w:r>
        <w:t>new</w:t>
      </w:r>
      <w:r>
        <w:rPr>
          <w:spacing w:val="-14"/>
        </w:rPr>
        <w:t xml:space="preserve"> </w:t>
      </w:r>
      <w:r>
        <w:t>dwellings</w:t>
      </w:r>
      <w:r>
        <w:rPr>
          <w:spacing w:val="-14"/>
        </w:rPr>
        <w:t xml:space="preserve"> </w:t>
      </w:r>
      <w:r>
        <w:t>in</w:t>
      </w:r>
      <w:r>
        <w:rPr>
          <w:spacing w:val="-14"/>
        </w:rPr>
        <w:t xml:space="preserve"> </w:t>
      </w:r>
      <w:r>
        <w:t>greenfield</w:t>
      </w:r>
      <w:r>
        <w:rPr>
          <w:spacing w:val="-14"/>
        </w:rPr>
        <w:t xml:space="preserve"> </w:t>
      </w:r>
      <w:r>
        <w:t>areas is</w:t>
      </w:r>
      <w:r>
        <w:rPr>
          <w:spacing w:val="-8"/>
        </w:rPr>
        <w:t xml:space="preserve"> </w:t>
      </w:r>
      <w:r>
        <w:t>focused</w:t>
      </w:r>
      <w:r>
        <w:rPr>
          <w:spacing w:val="-8"/>
        </w:rPr>
        <w:t xml:space="preserve"> </w:t>
      </w:r>
      <w:r>
        <w:t>on</w:t>
      </w:r>
      <w:r>
        <w:rPr>
          <w:spacing w:val="-8"/>
        </w:rPr>
        <w:t xml:space="preserve"> </w:t>
      </w:r>
      <w:r>
        <w:t>the</w:t>
      </w:r>
      <w:r>
        <w:rPr>
          <w:spacing w:val="-8"/>
        </w:rPr>
        <w:t xml:space="preserve"> </w:t>
      </w:r>
      <w:r>
        <w:t>North</w:t>
      </w:r>
      <w:r>
        <w:rPr>
          <w:spacing w:val="-8"/>
        </w:rPr>
        <w:t xml:space="preserve"> </w:t>
      </w:r>
      <w:r>
        <w:t>West</w:t>
      </w:r>
      <w:r>
        <w:rPr>
          <w:spacing w:val="-8"/>
        </w:rPr>
        <w:t xml:space="preserve"> </w:t>
      </w:r>
      <w:r>
        <w:t>Growth</w:t>
      </w:r>
      <w:r>
        <w:rPr>
          <w:spacing w:val="-8"/>
        </w:rPr>
        <w:t xml:space="preserve"> </w:t>
      </w:r>
      <w:r>
        <w:t>Centre,</w:t>
      </w:r>
      <w:r>
        <w:rPr>
          <w:spacing w:val="-8"/>
        </w:rPr>
        <w:t xml:space="preserve"> </w:t>
      </w:r>
      <w:r>
        <w:t xml:space="preserve">around </w:t>
      </w:r>
      <w:r>
        <w:rPr>
          <w:w w:val="95"/>
        </w:rPr>
        <w:t>Rouse</w:t>
      </w:r>
      <w:r>
        <w:rPr>
          <w:spacing w:val="-4"/>
          <w:w w:val="95"/>
        </w:rPr>
        <w:t xml:space="preserve"> </w:t>
      </w:r>
      <w:r>
        <w:rPr>
          <w:w w:val="95"/>
        </w:rPr>
        <w:t>Hill,</w:t>
      </w:r>
      <w:r>
        <w:rPr>
          <w:spacing w:val="-4"/>
          <w:w w:val="95"/>
        </w:rPr>
        <w:t xml:space="preserve"> </w:t>
      </w:r>
      <w:r>
        <w:rPr>
          <w:w w:val="95"/>
        </w:rPr>
        <w:t>and</w:t>
      </w:r>
      <w:r>
        <w:rPr>
          <w:spacing w:val="-4"/>
          <w:w w:val="95"/>
        </w:rPr>
        <w:t xml:space="preserve"> </w:t>
      </w:r>
      <w:r>
        <w:rPr>
          <w:w w:val="95"/>
        </w:rPr>
        <w:t>the</w:t>
      </w:r>
      <w:r>
        <w:rPr>
          <w:spacing w:val="-4"/>
          <w:w w:val="95"/>
        </w:rPr>
        <w:t xml:space="preserve"> </w:t>
      </w:r>
      <w:r>
        <w:rPr>
          <w:w w:val="95"/>
        </w:rPr>
        <w:t>South-West</w:t>
      </w:r>
      <w:r>
        <w:rPr>
          <w:spacing w:val="-4"/>
          <w:w w:val="95"/>
        </w:rPr>
        <w:t xml:space="preserve"> </w:t>
      </w:r>
      <w:r>
        <w:rPr>
          <w:w w:val="95"/>
        </w:rPr>
        <w:t>Growth</w:t>
      </w:r>
      <w:r>
        <w:rPr>
          <w:spacing w:val="-4"/>
          <w:w w:val="95"/>
        </w:rPr>
        <w:t xml:space="preserve"> </w:t>
      </w:r>
      <w:r>
        <w:rPr>
          <w:w w:val="95"/>
        </w:rPr>
        <w:t>Centre,</w:t>
      </w:r>
      <w:r>
        <w:rPr>
          <w:spacing w:val="-4"/>
          <w:w w:val="95"/>
        </w:rPr>
        <w:t xml:space="preserve"> </w:t>
      </w:r>
      <w:r>
        <w:rPr>
          <w:w w:val="95"/>
        </w:rPr>
        <w:t>around</w:t>
      </w:r>
    </w:p>
    <w:p w:rsidR="002C1123" w:rsidRDefault="00F22F94">
      <w:pPr>
        <w:pStyle w:val="BodyText"/>
        <w:spacing w:before="2" w:line="249" w:lineRule="auto"/>
        <w:ind w:left="492"/>
      </w:pPr>
      <w:r>
        <w:rPr>
          <w:w w:val="95"/>
        </w:rPr>
        <w:t>Leppington.</w:t>
      </w:r>
      <w:r>
        <w:rPr>
          <w:spacing w:val="-5"/>
          <w:w w:val="95"/>
        </w:rPr>
        <w:t xml:space="preserve"> </w:t>
      </w:r>
      <w:r>
        <w:rPr>
          <w:w w:val="95"/>
        </w:rPr>
        <w:t>When</w:t>
      </w:r>
      <w:r>
        <w:rPr>
          <w:spacing w:val="-5"/>
          <w:w w:val="95"/>
        </w:rPr>
        <w:t xml:space="preserve"> </w:t>
      </w:r>
      <w:r>
        <w:rPr>
          <w:w w:val="95"/>
        </w:rPr>
        <w:t>developed,</w:t>
      </w:r>
      <w:r>
        <w:rPr>
          <w:spacing w:val="-5"/>
          <w:w w:val="95"/>
        </w:rPr>
        <w:t xml:space="preserve"> </w:t>
      </w:r>
      <w:r>
        <w:rPr>
          <w:w w:val="95"/>
        </w:rPr>
        <w:t>these</w:t>
      </w:r>
      <w:r>
        <w:rPr>
          <w:spacing w:val="-5"/>
          <w:w w:val="95"/>
        </w:rPr>
        <w:t xml:space="preserve"> </w:t>
      </w:r>
      <w:r>
        <w:rPr>
          <w:w w:val="95"/>
        </w:rPr>
        <w:t>will</w:t>
      </w:r>
      <w:r>
        <w:rPr>
          <w:spacing w:val="-5"/>
          <w:w w:val="95"/>
        </w:rPr>
        <w:t xml:space="preserve"> </w:t>
      </w:r>
      <w:r>
        <w:rPr>
          <w:w w:val="95"/>
        </w:rPr>
        <w:t>contain</w:t>
      </w:r>
      <w:r>
        <w:rPr>
          <w:spacing w:val="-5"/>
          <w:w w:val="95"/>
        </w:rPr>
        <w:t xml:space="preserve"> </w:t>
      </w:r>
      <w:r>
        <w:rPr>
          <w:w w:val="95"/>
        </w:rPr>
        <w:t>a</w:t>
      </w:r>
      <w:r>
        <w:rPr>
          <w:spacing w:val="-5"/>
          <w:w w:val="95"/>
        </w:rPr>
        <w:t xml:space="preserve"> </w:t>
      </w:r>
      <w:r>
        <w:rPr>
          <w:w w:val="95"/>
        </w:rPr>
        <w:t xml:space="preserve">larger population than Canberra and form an integral part of a </w:t>
      </w:r>
      <w:r>
        <w:t>Greater</w:t>
      </w:r>
      <w:r>
        <w:rPr>
          <w:spacing w:val="-11"/>
        </w:rPr>
        <w:t xml:space="preserve"> </w:t>
      </w:r>
      <w:r>
        <w:t>Sydney.</w:t>
      </w:r>
    </w:p>
    <w:p w:rsidR="002C1123" w:rsidRDefault="00F22F94">
      <w:pPr>
        <w:pStyle w:val="BodyText"/>
        <w:spacing w:before="145"/>
        <w:ind w:left="492"/>
      </w:pPr>
      <w:r>
        <w:rPr>
          <w:w w:val="95"/>
        </w:rPr>
        <w:t>When</w:t>
      </w:r>
      <w:r>
        <w:rPr>
          <w:spacing w:val="-5"/>
          <w:w w:val="95"/>
        </w:rPr>
        <w:t xml:space="preserve"> </w:t>
      </w:r>
      <w:r>
        <w:rPr>
          <w:w w:val="95"/>
        </w:rPr>
        <w:t>completely</w:t>
      </w:r>
      <w:r>
        <w:rPr>
          <w:spacing w:val="-4"/>
          <w:w w:val="95"/>
        </w:rPr>
        <w:t xml:space="preserve"> </w:t>
      </w:r>
      <w:r>
        <w:rPr>
          <w:w w:val="95"/>
        </w:rPr>
        <w:t>developed</w:t>
      </w:r>
      <w:r>
        <w:rPr>
          <w:spacing w:val="-4"/>
          <w:w w:val="95"/>
        </w:rPr>
        <w:t xml:space="preserve"> </w:t>
      </w:r>
      <w:r>
        <w:rPr>
          <w:w w:val="95"/>
        </w:rPr>
        <w:t>over</w:t>
      </w:r>
      <w:r>
        <w:rPr>
          <w:spacing w:val="-4"/>
          <w:w w:val="95"/>
        </w:rPr>
        <w:t xml:space="preserve"> </w:t>
      </w:r>
      <w:r>
        <w:rPr>
          <w:w w:val="95"/>
        </w:rPr>
        <w:t>the</w:t>
      </w:r>
      <w:r>
        <w:rPr>
          <w:spacing w:val="-4"/>
          <w:w w:val="95"/>
        </w:rPr>
        <w:t xml:space="preserve"> </w:t>
      </w:r>
      <w:r>
        <w:rPr>
          <w:w w:val="95"/>
        </w:rPr>
        <w:t>next</w:t>
      </w:r>
      <w:r>
        <w:rPr>
          <w:spacing w:val="-4"/>
          <w:w w:val="95"/>
        </w:rPr>
        <w:t xml:space="preserve"> </w:t>
      </w:r>
      <w:r>
        <w:rPr>
          <w:w w:val="95"/>
        </w:rPr>
        <w:t>30</w:t>
      </w:r>
      <w:r>
        <w:rPr>
          <w:spacing w:val="-5"/>
          <w:w w:val="95"/>
        </w:rPr>
        <w:t xml:space="preserve"> to</w:t>
      </w:r>
    </w:p>
    <w:p w:rsidR="002C1123" w:rsidRDefault="00F22F94">
      <w:pPr>
        <w:pStyle w:val="BodyText"/>
        <w:spacing w:before="10" w:line="249" w:lineRule="auto"/>
        <w:ind w:left="492"/>
      </w:pPr>
      <w:r>
        <w:t>40</w:t>
      </w:r>
      <w:r>
        <w:rPr>
          <w:spacing w:val="-11"/>
        </w:rPr>
        <w:t xml:space="preserve"> </w:t>
      </w:r>
      <w:r>
        <w:t>years,</w:t>
      </w:r>
      <w:r>
        <w:rPr>
          <w:spacing w:val="-11"/>
        </w:rPr>
        <w:t xml:space="preserve"> </w:t>
      </w:r>
      <w:r>
        <w:t>the</w:t>
      </w:r>
      <w:r>
        <w:rPr>
          <w:spacing w:val="-11"/>
        </w:rPr>
        <w:t xml:space="preserve"> </w:t>
      </w:r>
      <w:r>
        <w:t>South-West</w:t>
      </w:r>
      <w:r>
        <w:rPr>
          <w:spacing w:val="-11"/>
        </w:rPr>
        <w:t xml:space="preserve"> </w:t>
      </w:r>
      <w:r>
        <w:t>Growth</w:t>
      </w:r>
      <w:r>
        <w:rPr>
          <w:spacing w:val="-11"/>
        </w:rPr>
        <w:t xml:space="preserve"> </w:t>
      </w:r>
      <w:r>
        <w:t>Centre</w:t>
      </w:r>
      <w:r>
        <w:rPr>
          <w:spacing w:val="-11"/>
        </w:rPr>
        <w:t xml:space="preserve"> </w:t>
      </w:r>
      <w:r>
        <w:t>will</w:t>
      </w:r>
      <w:r>
        <w:rPr>
          <w:spacing w:val="-11"/>
        </w:rPr>
        <w:t xml:space="preserve"> </w:t>
      </w:r>
      <w:r>
        <w:t xml:space="preserve">contain </w:t>
      </w:r>
      <w:r>
        <w:rPr>
          <w:w w:val="95"/>
        </w:rPr>
        <w:t>around</w:t>
      </w:r>
      <w:r>
        <w:rPr>
          <w:spacing w:val="-2"/>
          <w:w w:val="95"/>
        </w:rPr>
        <w:t xml:space="preserve"> </w:t>
      </w:r>
      <w:r>
        <w:rPr>
          <w:w w:val="95"/>
        </w:rPr>
        <w:t>300,000</w:t>
      </w:r>
      <w:r>
        <w:rPr>
          <w:spacing w:val="-5"/>
          <w:w w:val="95"/>
        </w:rPr>
        <w:t xml:space="preserve"> </w:t>
      </w:r>
      <w:r>
        <w:rPr>
          <w:w w:val="95"/>
        </w:rPr>
        <w:t>new</w:t>
      </w:r>
      <w:r>
        <w:rPr>
          <w:spacing w:val="-5"/>
          <w:w w:val="95"/>
        </w:rPr>
        <w:t xml:space="preserve"> </w:t>
      </w:r>
      <w:r>
        <w:rPr>
          <w:w w:val="95"/>
        </w:rPr>
        <w:t>residents</w:t>
      </w:r>
      <w:r>
        <w:rPr>
          <w:w w:val="95"/>
          <w:position w:val="7"/>
          <w:sz w:val="11"/>
        </w:rPr>
        <w:t>12</w:t>
      </w:r>
      <w:r>
        <w:rPr>
          <w:w w:val="95"/>
        </w:rPr>
        <w:t>.</w:t>
      </w:r>
      <w:r>
        <w:rPr>
          <w:spacing w:val="-5"/>
          <w:w w:val="95"/>
        </w:rPr>
        <w:t xml:space="preserve"> </w:t>
      </w:r>
      <w:r>
        <w:rPr>
          <w:w w:val="95"/>
        </w:rPr>
        <w:t>Such</w:t>
      </w:r>
      <w:r>
        <w:rPr>
          <w:spacing w:val="-5"/>
          <w:w w:val="95"/>
        </w:rPr>
        <w:t xml:space="preserve"> </w:t>
      </w:r>
      <w:r>
        <w:rPr>
          <w:w w:val="95"/>
        </w:rPr>
        <w:t>significant</w:t>
      </w:r>
      <w:r>
        <w:rPr>
          <w:spacing w:val="-5"/>
          <w:w w:val="95"/>
        </w:rPr>
        <w:t xml:space="preserve"> </w:t>
      </w:r>
      <w:r>
        <w:rPr>
          <w:w w:val="95"/>
        </w:rPr>
        <w:t xml:space="preserve">growth </w:t>
      </w:r>
      <w:r>
        <w:t>needs</w:t>
      </w:r>
      <w:r>
        <w:rPr>
          <w:spacing w:val="-16"/>
        </w:rPr>
        <w:t xml:space="preserve"> </w:t>
      </w:r>
      <w:r>
        <w:t>to</w:t>
      </w:r>
      <w:r>
        <w:rPr>
          <w:spacing w:val="-14"/>
        </w:rPr>
        <w:t xml:space="preserve"> </w:t>
      </w:r>
      <w:r>
        <w:t>be</w:t>
      </w:r>
      <w:r>
        <w:rPr>
          <w:spacing w:val="-14"/>
        </w:rPr>
        <w:t xml:space="preserve"> </w:t>
      </w:r>
      <w:r>
        <w:t>supported</w:t>
      </w:r>
      <w:r>
        <w:rPr>
          <w:spacing w:val="-14"/>
        </w:rPr>
        <w:t xml:space="preserve"> </w:t>
      </w:r>
      <w:r>
        <w:t>by</w:t>
      </w:r>
      <w:r>
        <w:rPr>
          <w:spacing w:val="-13"/>
        </w:rPr>
        <w:t xml:space="preserve"> </w:t>
      </w:r>
      <w:r>
        <w:t>new</w:t>
      </w:r>
      <w:r>
        <w:rPr>
          <w:spacing w:val="-14"/>
        </w:rPr>
        <w:t xml:space="preserve"> </w:t>
      </w:r>
      <w:r>
        <w:t>transport</w:t>
      </w:r>
      <w:r>
        <w:rPr>
          <w:spacing w:val="-14"/>
        </w:rPr>
        <w:t xml:space="preserve"> </w:t>
      </w:r>
      <w:r>
        <w:t>infrastructure.</w:t>
      </w:r>
    </w:p>
    <w:p w:rsidR="002C1123" w:rsidRDefault="00F22F94">
      <w:pPr>
        <w:pStyle w:val="BodyText"/>
        <w:spacing w:before="144" w:line="249" w:lineRule="auto"/>
        <w:ind w:left="492"/>
      </w:pPr>
      <w:r>
        <w:t>The</w:t>
      </w:r>
      <w:r>
        <w:rPr>
          <w:spacing w:val="-14"/>
        </w:rPr>
        <w:t xml:space="preserve"> </w:t>
      </w:r>
      <w:r>
        <w:t>South-West</w:t>
      </w:r>
      <w:r>
        <w:rPr>
          <w:spacing w:val="-14"/>
        </w:rPr>
        <w:t xml:space="preserve"> </w:t>
      </w:r>
      <w:r>
        <w:t>Rail</w:t>
      </w:r>
      <w:r>
        <w:rPr>
          <w:spacing w:val="-14"/>
        </w:rPr>
        <w:t xml:space="preserve"> </w:t>
      </w:r>
      <w:r>
        <w:t>Link</w:t>
      </w:r>
      <w:r>
        <w:rPr>
          <w:spacing w:val="-14"/>
        </w:rPr>
        <w:t xml:space="preserve"> </w:t>
      </w:r>
      <w:r>
        <w:t>will</w:t>
      </w:r>
      <w:r>
        <w:rPr>
          <w:spacing w:val="-14"/>
        </w:rPr>
        <w:t xml:space="preserve"> </w:t>
      </w:r>
      <w:r>
        <w:t>play</w:t>
      </w:r>
      <w:r>
        <w:rPr>
          <w:spacing w:val="-14"/>
        </w:rPr>
        <w:t xml:space="preserve"> </w:t>
      </w:r>
      <w:r>
        <w:t>an</w:t>
      </w:r>
      <w:r>
        <w:rPr>
          <w:spacing w:val="-14"/>
        </w:rPr>
        <w:t xml:space="preserve"> </w:t>
      </w:r>
      <w:r>
        <w:t>important</w:t>
      </w:r>
      <w:r>
        <w:rPr>
          <w:spacing w:val="-14"/>
        </w:rPr>
        <w:t xml:space="preserve"> </w:t>
      </w:r>
      <w:r>
        <w:t>role</w:t>
      </w:r>
      <w:r>
        <w:rPr>
          <w:spacing w:val="-14"/>
        </w:rPr>
        <w:t xml:space="preserve"> </w:t>
      </w:r>
      <w:r>
        <w:t xml:space="preserve">in </w:t>
      </w:r>
      <w:r>
        <w:rPr>
          <w:w w:val="95"/>
        </w:rPr>
        <w:t xml:space="preserve">connecting the Growth Centres to the Metropolitan Area. </w:t>
      </w:r>
      <w:r>
        <w:t>Road</w:t>
      </w:r>
      <w:r>
        <w:rPr>
          <w:spacing w:val="-12"/>
        </w:rPr>
        <w:t xml:space="preserve"> </w:t>
      </w:r>
      <w:r>
        <w:t>upgrades</w:t>
      </w:r>
      <w:r>
        <w:rPr>
          <w:spacing w:val="-12"/>
        </w:rPr>
        <w:t xml:space="preserve"> </w:t>
      </w:r>
      <w:r>
        <w:t>to</w:t>
      </w:r>
      <w:r>
        <w:rPr>
          <w:spacing w:val="-12"/>
        </w:rPr>
        <w:t xml:space="preserve"> </w:t>
      </w:r>
      <w:r>
        <w:t>serve</w:t>
      </w:r>
      <w:r>
        <w:rPr>
          <w:spacing w:val="-12"/>
        </w:rPr>
        <w:t xml:space="preserve"> </w:t>
      </w:r>
      <w:r>
        <w:t>such</w:t>
      </w:r>
      <w:r>
        <w:rPr>
          <w:spacing w:val="-12"/>
        </w:rPr>
        <w:t xml:space="preserve"> </w:t>
      </w:r>
      <w:r>
        <w:t>a</w:t>
      </w:r>
      <w:r>
        <w:rPr>
          <w:spacing w:val="-12"/>
        </w:rPr>
        <w:t xml:space="preserve"> </w:t>
      </w:r>
      <w:r>
        <w:t>large</w:t>
      </w:r>
      <w:r>
        <w:rPr>
          <w:spacing w:val="-12"/>
        </w:rPr>
        <w:t xml:space="preserve"> </w:t>
      </w:r>
      <w:r>
        <w:t>population</w:t>
      </w:r>
      <w:r>
        <w:rPr>
          <w:spacing w:val="-12"/>
        </w:rPr>
        <w:t xml:space="preserve"> </w:t>
      </w:r>
      <w:r>
        <w:t xml:space="preserve">are </w:t>
      </w:r>
      <w:r>
        <w:rPr>
          <w:w w:val="95"/>
        </w:rPr>
        <w:t xml:space="preserve">underway including the widening of Camden Valley Way </w:t>
      </w:r>
      <w:r>
        <w:t>and other roads.</w:t>
      </w:r>
    </w:p>
    <w:p w:rsidR="002C1123" w:rsidRDefault="00F22F94">
      <w:pPr>
        <w:pStyle w:val="BodyText"/>
        <w:spacing w:before="106" w:line="249" w:lineRule="auto"/>
        <w:ind w:left="187" w:right="5684"/>
      </w:pPr>
      <w:r>
        <w:br w:type="column"/>
      </w:r>
      <w:r>
        <w:rPr>
          <w:w w:val="95"/>
        </w:rPr>
        <w:t>At</w:t>
      </w:r>
      <w:r>
        <w:rPr>
          <w:spacing w:val="-9"/>
          <w:w w:val="95"/>
        </w:rPr>
        <w:t xml:space="preserve"> </w:t>
      </w:r>
      <w:r>
        <w:rPr>
          <w:w w:val="95"/>
        </w:rPr>
        <w:t>Rouse</w:t>
      </w:r>
      <w:r>
        <w:rPr>
          <w:spacing w:val="-9"/>
          <w:w w:val="95"/>
        </w:rPr>
        <w:t xml:space="preserve"> </w:t>
      </w:r>
      <w:r>
        <w:rPr>
          <w:w w:val="95"/>
        </w:rPr>
        <w:t>Hill,</w:t>
      </w:r>
      <w:r>
        <w:rPr>
          <w:spacing w:val="-9"/>
          <w:w w:val="95"/>
        </w:rPr>
        <w:t xml:space="preserve"> </w:t>
      </w:r>
      <w:r>
        <w:rPr>
          <w:w w:val="95"/>
        </w:rPr>
        <w:t>the</w:t>
      </w:r>
      <w:r>
        <w:rPr>
          <w:spacing w:val="-9"/>
          <w:w w:val="95"/>
        </w:rPr>
        <w:t xml:space="preserve"> </w:t>
      </w:r>
      <w:r>
        <w:rPr>
          <w:w w:val="95"/>
        </w:rPr>
        <w:t>major</w:t>
      </w:r>
      <w:r>
        <w:rPr>
          <w:spacing w:val="-9"/>
          <w:w w:val="95"/>
        </w:rPr>
        <w:t xml:space="preserve"> </w:t>
      </w:r>
      <w:r>
        <w:rPr>
          <w:w w:val="95"/>
        </w:rPr>
        <w:t>centre</w:t>
      </w:r>
      <w:r>
        <w:rPr>
          <w:spacing w:val="-9"/>
          <w:w w:val="95"/>
        </w:rPr>
        <w:t xml:space="preserve"> </w:t>
      </w:r>
      <w:r>
        <w:rPr>
          <w:w w:val="95"/>
        </w:rPr>
        <w:t>for</w:t>
      </w:r>
      <w:r>
        <w:rPr>
          <w:spacing w:val="-9"/>
          <w:w w:val="95"/>
        </w:rPr>
        <w:t xml:space="preserve"> </w:t>
      </w:r>
      <w:r>
        <w:rPr>
          <w:w w:val="95"/>
        </w:rPr>
        <w:t>the</w:t>
      </w:r>
      <w:r>
        <w:rPr>
          <w:spacing w:val="-9"/>
          <w:w w:val="95"/>
        </w:rPr>
        <w:t xml:space="preserve"> </w:t>
      </w:r>
      <w:r>
        <w:rPr>
          <w:w w:val="95"/>
        </w:rPr>
        <w:t>North</w:t>
      </w:r>
      <w:r>
        <w:rPr>
          <w:spacing w:val="-9"/>
          <w:w w:val="95"/>
        </w:rPr>
        <w:t xml:space="preserve"> </w:t>
      </w:r>
      <w:r>
        <w:rPr>
          <w:w w:val="95"/>
        </w:rPr>
        <w:t>West</w:t>
      </w:r>
      <w:r>
        <w:rPr>
          <w:spacing w:val="-9"/>
          <w:w w:val="95"/>
        </w:rPr>
        <w:t xml:space="preserve"> </w:t>
      </w:r>
      <w:r>
        <w:rPr>
          <w:w w:val="95"/>
        </w:rPr>
        <w:t xml:space="preserve">Centre, stage one of the town centre opened in 2008. When fully </w:t>
      </w:r>
      <w:r>
        <w:t>developed,</w:t>
      </w:r>
      <w:r>
        <w:rPr>
          <w:spacing w:val="-7"/>
        </w:rPr>
        <w:t xml:space="preserve"> </w:t>
      </w:r>
      <w:r>
        <w:t>the</w:t>
      </w:r>
      <w:r>
        <w:rPr>
          <w:spacing w:val="-7"/>
        </w:rPr>
        <w:t xml:space="preserve"> </w:t>
      </w:r>
      <w:r>
        <w:t>town</w:t>
      </w:r>
      <w:r>
        <w:rPr>
          <w:spacing w:val="-7"/>
        </w:rPr>
        <w:t xml:space="preserve"> </w:t>
      </w:r>
      <w:r>
        <w:t>centre</w:t>
      </w:r>
      <w:r>
        <w:rPr>
          <w:spacing w:val="-7"/>
        </w:rPr>
        <w:t xml:space="preserve"> </w:t>
      </w:r>
      <w:r>
        <w:t>will</w:t>
      </w:r>
      <w:r>
        <w:rPr>
          <w:spacing w:val="-7"/>
        </w:rPr>
        <w:t xml:space="preserve"> </w:t>
      </w:r>
      <w:r>
        <w:t>accommodate</w:t>
      </w:r>
      <w:r>
        <w:rPr>
          <w:spacing w:val="-7"/>
        </w:rPr>
        <w:t xml:space="preserve"> </w:t>
      </w:r>
      <w:r>
        <w:t>12,000 jobs</w:t>
      </w:r>
      <w:r>
        <w:rPr>
          <w:spacing w:val="-14"/>
        </w:rPr>
        <w:t xml:space="preserve"> </w:t>
      </w:r>
      <w:r>
        <w:t>and</w:t>
      </w:r>
      <w:r>
        <w:rPr>
          <w:spacing w:val="-14"/>
        </w:rPr>
        <w:t xml:space="preserve"> </w:t>
      </w:r>
      <w:r>
        <w:t>operate</w:t>
      </w:r>
      <w:r>
        <w:rPr>
          <w:spacing w:val="-14"/>
        </w:rPr>
        <w:t xml:space="preserve"> </w:t>
      </w:r>
      <w:r>
        <w:t>as</w:t>
      </w:r>
      <w:r>
        <w:rPr>
          <w:spacing w:val="-14"/>
        </w:rPr>
        <w:t xml:space="preserve"> </w:t>
      </w:r>
      <w:r>
        <w:t>the</w:t>
      </w:r>
      <w:r>
        <w:rPr>
          <w:spacing w:val="-13"/>
        </w:rPr>
        <w:t xml:space="preserve"> </w:t>
      </w:r>
      <w:r>
        <w:t>regional</w:t>
      </w:r>
      <w:r>
        <w:rPr>
          <w:spacing w:val="-14"/>
        </w:rPr>
        <w:t xml:space="preserve"> </w:t>
      </w:r>
      <w:r>
        <w:t>focus</w:t>
      </w:r>
      <w:r>
        <w:rPr>
          <w:spacing w:val="-14"/>
        </w:rPr>
        <w:t xml:space="preserve"> </w:t>
      </w:r>
      <w:r>
        <w:t>for</w:t>
      </w:r>
      <w:r>
        <w:rPr>
          <w:spacing w:val="-14"/>
        </w:rPr>
        <w:t xml:space="preserve"> </w:t>
      </w:r>
      <w:r>
        <w:t>people</w:t>
      </w:r>
      <w:r>
        <w:rPr>
          <w:spacing w:val="-14"/>
        </w:rPr>
        <w:t xml:space="preserve"> </w:t>
      </w:r>
      <w:r>
        <w:t>living and</w:t>
      </w:r>
      <w:r>
        <w:rPr>
          <w:spacing w:val="-4"/>
        </w:rPr>
        <w:t xml:space="preserve"> </w:t>
      </w:r>
      <w:r>
        <w:t>working</w:t>
      </w:r>
      <w:r>
        <w:rPr>
          <w:spacing w:val="-4"/>
        </w:rPr>
        <w:t xml:space="preserve"> </w:t>
      </w:r>
      <w:r>
        <w:t>in</w:t>
      </w:r>
      <w:r>
        <w:rPr>
          <w:spacing w:val="-4"/>
        </w:rPr>
        <w:t xml:space="preserve"> </w:t>
      </w:r>
      <w:r>
        <w:t>the</w:t>
      </w:r>
      <w:r>
        <w:rPr>
          <w:spacing w:val="-4"/>
        </w:rPr>
        <w:t xml:space="preserve"> </w:t>
      </w:r>
      <w:r>
        <w:t>North</w:t>
      </w:r>
      <w:r>
        <w:rPr>
          <w:spacing w:val="-4"/>
        </w:rPr>
        <w:t xml:space="preserve"> </w:t>
      </w:r>
      <w:r>
        <w:t>West</w:t>
      </w:r>
      <w:r>
        <w:rPr>
          <w:spacing w:val="-4"/>
        </w:rPr>
        <w:t xml:space="preserve"> </w:t>
      </w:r>
      <w:r>
        <w:t>Centre</w:t>
      </w:r>
      <w:r>
        <w:rPr>
          <w:position w:val="7"/>
          <w:sz w:val="11"/>
        </w:rPr>
        <w:t>13</w:t>
      </w:r>
      <w:r>
        <w:t>.</w:t>
      </w:r>
    </w:p>
    <w:p w:rsidR="002C1123" w:rsidRDefault="002060EF">
      <w:pPr>
        <w:pStyle w:val="BodyText"/>
        <w:spacing w:before="146" w:line="249" w:lineRule="auto"/>
        <w:ind w:left="187" w:right="5844"/>
      </w:pPr>
      <w:r>
        <w:pict>
          <v:shape id="docshape1207" o:spid="_x0000_s4037" type="#_x0000_t202" style="position:absolute;left:0;text-align:left;margin-left:552.3pt;margin-top:-57.55pt;width:239pt;height:48.2pt;z-index:251378688;mso-position-horizontal-relative:page" fillcolor="#e1e0e1" stroked="f">
            <v:textbox inset="0,0,0,0">
              <w:txbxContent>
                <w:p w:rsidR="00F22F94" w:rsidRDefault="00F22F94">
                  <w:pPr>
                    <w:pStyle w:val="BodyText"/>
                    <w:spacing w:before="68" w:line="249" w:lineRule="auto"/>
                    <w:ind w:left="113"/>
                    <w:rPr>
                      <w:color w:val="000000"/>
                    </w:rPr>
                  </w:pPr>
                  <w:r>
                    <w:rPr>
                      <w:b/>
                      <w:color w:val="00AEEF"/>
                      <w:w w:val="95"/>
                    </w:rPr>
                    <w:t xml:space="preserve">Recommendation </w:t>
                  </w:r>
                  <w:r>
                    <w:rPr>
                      <w:color w:val="000000"/>
                      <w:w w:val="95"/>
                    </w:rPr>
                    <w:t xml:space="preserve">Infrastructure NSW recommends </w:t>
                  </w:r>
                  <w:r>
                    <w:rPr>
                      <w:color w:val="000000"/>
                    </w:rPr>
                    <w:t>targeted</w:t>
                  </w:r>
                  <w:r>
                    <w:rPr>
                      <w:color w:val="000000"/>
                      <w:spacing w:val="-11"/>
                    </w:rPr>
                    <w:t xml:space="preserve"> </w:t>
                  </w:r>
                  <w:r>
                    <w:rPr>
                      <w:color w:val="000000"/>
                    </w:rPr>
                    <w:t>investments</w:t>
                  </w:r>
                  <w:r>
                    <w:rPr>
                      <w:color w:val="000000"/>
                      <w:spacing w:val="-11"/>
                    </w:rPr>
                    <w:t xml:space="preserve"> </w:t>
                  </w:r>
                  <w:r>
                    <w:rPr>
                      <w:color w:val="000000"/>
                    </w:rPr>
                    <w:t>around</w:t>
                  </w:r>
                  <w:r>
                    <w:rPr>
                      <w:color w:val="000000"/>
                      <w:spacing w:val="-11"/>
                    </w:rPr>
                    <w:t xml:space="preserve"> </w:t>
                  </w:r>
                  <w:r>
                    <w:rPr>
                      <w:color w:val="000000"/>
                    </w:rPr>
                    <w:t>Parramatta</w:t>
                  </w:r>
                  <w:r>
                    <w:rPr>
                      <w:color w:val="000000"/>
                      <w:spacing w:val="-11"/>
                    </w:rPr>
                    <w:t xml:space="preserve"> </w:t>
                  </w:r>
                  <w:r>
                    <w:rPr>
                      <w:color w:val="000000"/>
                    </w:rPr>
                    <w:t>and</w:t>
                  </w:r>
                  <w:r>
                    <w:rPr>
                      <w:color w:val="000000"/>
                      <w:spacing w:val="-11"/>
                    </w:rPr>
                    <w:t xml:space="preserve"> </w:t>
                  </w:r>
                  <w:r>
                    <w:rPr>
                      <w:color w:val="000000"/>
                    </w:rPr>
                    <w:t>other growing urban centres.</w:t>
                  </w:r>
                </w:p>
              </w:txbxContent>
            </v:textbox>
            <w10:wrap anchorx="page"/>
          </v:shape>
        </w:pict>
      </w:r>
      <w:r w:rsidR="00F22F94">
        <w:t>Over</w:t>
      </w:r>
      <w:r w:rsidR="00F22F94">
        <w:rPr>
          <w:spacing w:val="-13"/>
        </w:rPr>
        <w:t xml:space="preserve"> </w:t>
      </w:r>
      <w:r w:rsidR="00F22F94">
        <w:t>the</w:t>
      </w:r>
      <w:r w:rsidR="00F22F94">
        <w:rPr>
          <w:spacing w:val="-13"/>
        </w:rPr>
        <w:t xml:space="preserve"> </w:t>
      </w:r>
      <w:r w:rsidR="00F22F94">
        <w:t>medium</w:t>
      </w:r>
      <w:r w:rsidR="00F22F94">
        <w:rPr>
          <w:spacing w:val="-14"/>
        </w:rPr>
        <w:t xml:space="preserve"> </w:t>
      </w:r>
      <w:r w:rsidR="00F22F94">
        <w:t>term</w:t>
      </w:r>
      <w:r w:rsidR="00F22F94">
        <w:rPr>
          <w:spacing w:val="-14"/>
        </w:rPr>
        <w:t xml:space="preserve"> </w:t>
      </w:r>
      <w:r w:rsidR="00F22F94">
        <w:t>the</w:t>
      </w:r>
      <w:r w:rsidR="00F22F94">
        <w:rPr>
          <w:spacing w:val="-13"/>
        </w:rPr>
        <w:t xml:space="preserve"> </w:t>
      </w:r>
      <w:r w:rsidR="00F22F94">
        <w:t>North</w:t>
      </w:r>
      <w:r w:rsidR="00F22F94">
        <w:rPr>
          <w:spacing w:val="-13"/>
        </w:rPr>
        <w:t xml:space="preserve"> </w:t>
      </w:r>
      <w:r w:rsidR="00F22F94">
        <w:t>West</w:t>
      </w:r>
      <w:r w:rsidR="00F22F94">
        <w:rPr>
          <w:spacing w:val="-13"/>
        </w:rPr>
        <w:t xml:space="preserve"> </w:t>
      </w:r>
      <w:r w:rsidR="00F22F94">
        <w:t>Rail</w:t>
      </w:r>
      <w:r w:rsidR="00F22F94">
        <w:rPr>
          <w:spacing w:val="-13"/>
        </w:rPr>
        <w:t xml:space="preserve"> </w:t>
      </w:r>
      <w:r w:rsidR="00F22F94">
        <w:t>Link</w:t>
      </w:r>
      <w:r w:rsidR="00F22F94">
        <w:rPr>
          <w:spacing w:val="-13"/>
        </w:rPr>
        <w:t xml:space="preserve"> </w:t>
      </w:r>
      <w:r w:rsidR="00F22F94">
        <w:t>will connect</w:t>
      </w:r>
      <w:r w:rsidR="00F22F94">
        <w:rPr>
          <w:spacing w:val="-6"/>
        </w:rPr>
        <w:t xml:space="preserve"> </w:t>
      </w:r>
      <w:r w:rsidR="00F22F94">
        <w:t>to</w:t>
      </w:r>
      <w:r w:rsidR="00F22F94">
        <w:rPr>
          <w:spacing w:val="-6"/>
        </w:rPr>
        <w:t xml:space="preserve"> </w:t>
      </w:r>
      <w:r w:rsidR="00F22F94">
        <w:t>this</w:t>
      </w:r>
      <w:r w:rsidR="00F22F94">
        <w:rPr>
          <w:spacing w:val="-6"/>
        </w:rPr>
        <w:t xml:space="preserve"> </w:t>
      </w:r>
      <w:r w:rsidR="00F22F94">
        <w:t>Growth</w:t>
      </w:r>
      <w:r w:rsidR="00F22F94">
        <w:rPr>
          <w:spacing w:val="-6"/>
        </w:rPr>
        <w:t xml:space="preserve"> </w:t>
      </w:r>
      <w:r w:rsidR="00F22F94">
        <w:t>Centre.</w:t>
      </w:r>
      <w:r w:rsidR="00F22F94">
        <w:rPr>
          <w:spacing w:val="-6"/>
        </w:rPr>
        <w:t xml:space="preserve"> </w:t>
      </w:r>
      <w:r w:rsidR="00F22F94">
        <w:t>In</w:t>
      </w:r>
      <w:r w:rsidR="00F22F94">
        <w:rPr>
          <w:spacing w:val="-6"/>
        </w:rPr>
        <w:t xml:space="preserve"> </w:t>
      </w:r>
      <w:r w:rsidR="00F22F94">
        <w:t>the</w:t>
      </w:r>
      <w:r w:rsidR="00F22F94">
        <w:rPr>
          <w:spacing w:val="-6"/>
        </w:rPr>
        <w:t xml:space="preserve"> </w:t>
      </w:r>
      <w:r w:rsidR="00F22F94">
        <w:t>short</w:t>
      </w:r>
      <w:r w:rsidR="00F22F94">
        <w:rPr>
          <w:spacing w:val="-6"/>
        </w:rPr>
        <w:t xml:space="preserve"> </w:t>
      </w:r>
      <w:r w:rsidR="00F22F94">
        <w:t xml:space="preserve">term, </w:t>
      </w:r>
      <w:r w:rsidR="00F22F94">
        <w:rPr>
          <w:w w:val="95"/>
        </w:rPr>
        <w:t>works</w:t>
      </w:r>
      <w:r w:rsidR="00F22F94">
        <w:rPr>
          <w:spacing w:val="-1"/>
          <w:w w:val="95"/>
        </w:rPr>
        <w:t xml:space="preserve"> </w:t>
      </w:r>
      <w:r w:rsidR="00F22F94">
        <w:rPr>
          <w:w w:val="95"/>
        </w:rPr>
        <w:t>are</w:t>
      </w:r>
      <w:r w:rsidR="00F22F94">
        <w:rPr>
          <w:spacing w:val="-1"/>
          <w:w w:val="95"/>
        </w:rPr>
        <w:t xml:space="preserve"> </w:t>
      </w:r>
      <w:r w:rsidR="00F22F94">
        <w:rPr>
          <w:w w:val="95"/>
        </w:rPr>
        <w:t>identified</w:t>
      </w:r>
      <w:r w:rsidR="00F22F94">
        <w:rPr>
          <w:spacing w:val="-1"/>
          <w:w w:val="95"/>
        </w:rPr>
        <w:t xml:space="preserve"> </w:t>
      </w:r>
      <w:r w:rsidR="00F22F94">
        <w:rPr>
          <w:w w:val="95"/>
        </w:rPr>
        <w:t>for</w:t>
      </w:r>
      <w:r w:rsidR="00F22F94">
        <w:rPr>
          <w:spacing w:val="-1"/>
          <w:w w:val="95"/>
        </w:rPr>
        <w:t xml:space="preserve"> </w:t>
      </w:r>
      <w:r w:rsidR="00F22F94">
        <w:rPr>
          <w:w w:val="95"/>
        </w:rPr>
        <w:t>upgrading</w:t>
      </w:r>
      <w:r w:rsidR="00F22F94">
        <w:rPr>
          <w:spacing w:val="-1"/>
          <w:w w:val="95"/>
        </w:rPr>
        <w:t xml:space="preserve"> </w:t>
      </w:r>
      <w:r w:rsidR="00F22F94">
        <w:rPr>
          <w:w w:val="95"/>
        </w:rPr>
        <w:t>Richmond</w:t>
      </w:r>
      <w:r w:rsidR="00F22F94">
        <w:rPr>
          <w:spacing w:val="-1"/>
          <w:w w:val="95"/>
        </w:rPr>
        <w:t xml:space="preserve"> </w:t>
      </w:r>
      <w:r w:rsidR="00F22F94">
        <w:rPr>
          <w:w w:val="95"/>
        </w:rPr>
        <w:t>Road</w:t>
      </w:r>
      <w:r w:rsidR="00F22F94">
        <w:rPr>
          <w:spacing w:val="-1"/>
          <w:w w:val="95"/>
        </w:rPr>
        <w:t xml:space="preserve"> </w:t>
      </w:r>
      <w:r w:rsidR="00F22F94">
        <w:rPr>
          <w:w w:val="95"/>
        </w:rPr>
        <w:t>and</w:t>
      </w:r>
    </w:p>
    <w:p w:rsidR="002C1123" w:rsidRDefault="00F22F94">
      <w:pPr>
        <w:pStyle w:val="BodyText"/>
        <w:spacing w:before="2" w:line="249" w:lineRule="auto"/>
        <w:ind w:left="187" w:right="5684"/>
      </w:pPr>
      <w:r>
        <w:rPr>
          <w:w w:val="95"/>
        </w:rPr>
        <w:t>Schofields</w:t>
      </w:r>
      <w:r>
        <w:rPr>
          <w:spacing w:val="-5"/>
          <w:w w:val="95"/>
        </w:rPr>
        <w:t xml:space="preserve"> </w:t>
      </w:r>
      <w:r>
        <w:rPr>
          <w:w w:val="95"/>
        </w:rPr>
        <w:t>Road,</w:t>
      </w:r>
      <w:r>
        <w:rPr>
          <w:spacing w:val="-5"/>
          <w:w w:val="95"/>
        </w:rPr>
        <w:t xml:space="preserve"> </w:t>
      </w:r>
      <w:r>
        <w:rPr>
          <w:w w:val="95"/>
        </w:rPr>
        <w:t>however</w:t>
      </w:r>
      <w:r>
        <w:rPr>
          <w:spacing w:val="-5"/>
          <w:w w:val="95"/>
        </w:rPr>
        <w:t xml:space="preserve"> </w:t>
      </w:r>
      <w:r>
        <w:rPr>
          <w:w w:val="95"/>
        </w:rPr>
        <w:t>other</w:t>
      </w:r>
      <w:r>
        <w:rPr>
          <w:spacing w:val="-5"/>
          <w:w w:val="95"/>
        </w:rPr>
        <w:t xml:space="preserve"> </w:t>
      </w:r>
      <w:r>
        <w:rPr>
          <w:w w:val="95"/>
        </w:rPr>
        <w:t>road</w:t>
      </w:r>
      <w:r>
        <w:rPr>
          <w:spacing w:val="-5"/>
          <w:w w:val="95"/>
        </w:rPr>
        <w:t xml:space="preserve"> </w:t>
      </w:r>
      <w:r>
        <w:rPr>
          <w:w w:val="95"/>
        </w:rPr>
        <w:t>upgrades</w:t>
      </w:r>
      <w:r>
        <w:rPr>
          <w:spacing w:val="-5"/>
          <w:w w:val="95"/>
        </w:rPr>
        <w:t xml:space="preserve"> </w:t>
      </w:r>
      <w:r>
        <w:rPr>
          <w:w w:val="95"/>
        </w:rPr>
        <w:t>may</w:t>
      </w:r>
      <w:r>
        <w:rPr>
          <w:spacing w:val="-5"/>
          <w:w w:val="95"/>
        </w:rPr>
        <w:t xml:space="preserve"> </w:t>
      </w:r>
      <w:r>
        <w:rPr>
          <w:w w:val="95"/>
        </w:rPr>
        <w:t xml:space="preserve">also </w:t>
      </w:r>
      <w:r>
        <w:t>be</w:t>
      </w:r>
      <w:r>
        <w:rPr>
          <w:spacing w:val="-8"/>
        </w:rPr>
        <w:t xml:space="preserve"> </w:t>
      </w:r>
      <w:r>
        <w:t>required</w:t>
      </w:r>
      <w:r>
        <w:rPr>
          <w:spacing w:val="-8"/>
        </w:rPr>
        <w:t xml:space="preserve"> </w:t>
      </w:r>
      <w:r>
        <w:t>to</w:t>
      </w:r>
      <w:r>
        <w:rPr>
          <w:spacing w:val="-8"/>
        </w:rPr>
        <w:t xml:space="preserve"> </w:t>
      </w:r>
      <w:r>
        <w:t>serve</w:t>
      </w:r>
      <w:r>
        <w:rPr>
          <w:spacing w:val="-8"/>
        </w:rPr>
        <w:t xml:space="preserve"> </w:t>
      </w:r>
      <w:r>
        <w:t>bus</w:t>
      </w:r>
      <w:r>
        <w:rPr>
          <w:spacing w:val="-8"/>
        </w:rPr>
        <w:t xml:space="preserve"> </w:t>
      </w:r>
      <w:r>
        <w:t>priority</w:t>
      </w:r>
      <w:r>
        <w:rPr>
          <w:spacing w:val="-8"/>
        </w:rPr>
        <w:t xml:space="preserve"> </w:t>
      </w:r>
      <w:r>
        <w:t>and</w:t>
      </w:r>
      <w:r>
        <w:rPr>
          <w:spacing w:val="-8"/>
        </w:rPr>
        <w:t xml:space="preserve"> </w:t>
      </w:r>
      <w:r>
        <w:t>to</w:t>
      </w:r>
      <w:r>
        <w:rPr>
          <w:spacing w:val="-8"/>
        </w:rPr>
        <w:t xml:space="preserve"> </w:t>
      </w:r>
      <w:r>
        <w:t>support</w:t>
      </w:r>
      <w:r>
        <w:rPr>
          <w:spacing w:val="-8"/>
        </w:rPr>
        <w:t xml:space="preserve"> </w:t>
      </w:r>
      <w:r>
        <w:t>access to</w:t>
      </w:r>
      <w:r>
        <w:rPr>
          <w:spacing w:val="-14"/>
        </w:rPr>
        <w:t xml:space="preserve"> </w:t>
      </w:r>
      <w:r>
        <w:t>train</w:t>
      </w:r>
      <w:r>
        <w:rPr>
          <w:spacing w:val="-14"/>
        </w:rPr>
        <w:t xml:space="preserve"> </w:t>
      </w:r>
      <w:r>
        <w:t>stations,</w:t>
      </w:r>
      <w:r>
        <w:rPr>
          <w:spacing w:val="-14"/>
        </w:rPr>
        <w:t xml:space="preserve"> </w:t>
      </w:r>
      <w:r>
        <w:t>retail</w:t>
      </w:r>
      <w:r>
        <w:rPr>
          <w:spacing w:val="-14"/>
        </w:rPr>
        <w:t xml:space="preserve"> </w:t>
      </w:r>
      <w:r>
        <w:t>centres</w:t>
      </w:r>
      <w:r>
        <w:rPr>
          <w:spacing w:val="-14"/>
        </w:rPr>
        <w:t xml:space="preserve"> </w:t>
      </w:r>
      <w:r>
        <w:t>and</w:t>
      </w:r>
      <w:r>
        <w:rPr>
          <w:spacing w:val="-14"/>
        </w:rPr>
        <w:t xml:space="preserve"> </w:t>
      </w:r>
      <w:r>
        <w:t>employment</w:t>
      </w:r>
      <w:r>
        <w:rPr>
          <w:spacing w:val="-14"/>
        </w:rPr>
        <w:t xml:space="preserve"> </w:t>
      </w:r>
      <w:r>
        <w:t>areas.</w:t>
      </w:r>
    </w:p>
    <w:p w:rsidR="002C1123" w:rsidRDefault="00F22F94">
      <w:pPr>
        <w:pStyle w:val="Heading6"/>
        <w:numPr>
          <w:ilvl w:val="2"/>
          <w:numId w:val="97"/>
        </w:numPr>
        <w:tabs>
          <w:tab w:val="left" w:pos="674"/>
        </w:tabs>
        <w:spacing w:before="144"/>
        <w:ind w:left="673" w:hanging="487"/>
        <w:jc w:val="left"/>
      </w:pPr>
      <w:r>
        <w:rPr>
          <w:color w:val="00AEEF"/>
          <w:w w:val="95"/>
        </w:rPr>
        <w:t>Pinch</w:t>
      </w:r>
      <w:r>
        <w:rPr>
          <w:color w:val="00AEEF"/>
          <w:spacing w:val="-1"/>
        </w:rPr>
        <w:t xml:space="preserve"> </w:t>
      </w:r>
      <w:r>
        <w:rPr>
          <w:color w:val="00AEEF"/>
          <w:spacing w:val="-2"/>
          <w:w w:val="95"/>
        </w:rPr>
        <w:t>points</w:t>
      </w:r>
    </w:p>
    <w:p w:rsidR="002C1123" w:rsidRDefault="00F22F94">
      <w:pPr>
        <w:pStyle w:val="BodyText"/>
        <w:spacing w:before="95" w:line="249" w:lineRule="auto"/>
        <w:ind w:left="187" w:right="5684"/>
      </w:pPr>
      <w:r>
        <w:t>The</w:t>
      </w:r>
      <w:r>
        <w:rPr>
          <w:spacing w:val="-14"/>
        </w:rPr>
        <w:t xml:space="preserve"> </w:t>
      </w:r>
      <w:r>
        <w:t>NSW</w:t>
      </w:r>
      <w:r>
        <w:rPr>
          <w:spacing w:val="-14"/>
        </w:rPr>
        <w:t xml:space="preserve"> </w:t>
      </w:r>
      <w:r>
        <w:t>Government</w:t>
      </w:r>
      <w:r>
        <w:rPr>
          <w:spacing w:val="-14"/>
        </w:rPr>
        <w:t xml:space="preserve"> </w:t>
      </w:r>
      <w:r>
        <w:t>is</w:t>
      </w:r>
      <w:r>
        <w:rPr>
          <w:spacing w:val="-14"/>
        </w:rPr>
        <w:t xml:space="preserve"> </w:t>
      </w:r>
      <w:r>
        <w:t>continuing</w:t>
      </w:r>
      <w:r>
        <w:rPr>
          <w:spacing w:val="-14"/>
        </w:rPr>
        <w:t xml:space="preserve"> </w:t>
      </w:r>
      <w:r>
        <w:t>to</w:t>
      </w:r>
      <w:r>
        <w:rPr>
          <w:spacing w:val="-14"/>
        </w:rPr>
        <w:t xml:space="preserve"> </w:t>
      </w:r>
      <w:r>
        <w:t>investigate</w:t>
      </w:r>
      <w:r>
        <w:rPr>
          <w:spacing w:val="-14"/>
        </w:rPr>
        <w:t xml:space="preserve"> </w:t>
      </w:r>
      <w:r>
        <w:t>and implement</w:t>
      </w:r>
      <w:r>
        <w:rPr>
          <w:spacing w:val="-11"/>
        </w:rPr>
        <w:t xml:space="preserve"> </w:t>
      </w:r>
      <w:r>
        <w:t>measures</w:t>
      </w:r>
      <w:r>
        <w:rPr>
          <w:spacing w:val="-11"/>
        </w:rPr>
        <w:t xml:space="preserve"> </w:t>
      </w:r>
      <w:r>
        <w:t>to</w:t>
      </w:r>
      <w:r>
        <w:rPr>
          <w:spacing w:val="-11"/>
        </w:rPr>
        <w:t xml:space="preserve"> </w:t>
      </w:r>
      <w:r>
        <w:t>reduce</w:t>
      </w:r>
      <w:r>
        <w:rPr>
          <w:spacing w:val="-11"/>
        </w:rPr>
        <w:t xml:space="preserve"> </w:t>
      </w:r>
      <w:r>
        <w:t>delays</w:t>
      </w:r>
      <w:r>
        <w:rPr>
          <w:spacing w:val="-11"/>
        </w:rPr>
        <w:t xml:space="preserve"> </w:t>
      </w:r>
      <w:r>
        <w:t>and</w:t>
      </w:r>
      <w:r>
        <w:rPr>
          <w:spacing w:val="-11"/>
        </w:rPr>
        <w:t xml:space="preserve"> </w:t>
      </w:r>
      <w:r>
        <w:t>manage traffic</w:t>
      </w:r>
      <w:r>
        <w:rPr>
          <w:spacing w:val="-13"/>
        </w:rPr>
        <w:t xml:space="preserve"> </w:t>
      </w:r>
      <w:r>
        <w:t>on</w:t>
      </w:r>
      <w:r>
        <w:rPr>
          <w:spacing w:val="-13"/>
        </w:rPr>
        <w:t xml:space="preserve"> </w:t>
      </w:r>
      <w:r>
        <w:t>major</w:t>
      </w:r>
      <w:r>
        <w:rPr>
          <w:spacing w:val="-13"/>
        </w:rPr>
        <w:t xml:space="preserve"> </w:t>
      </w:r>
      <w:r>
        <w:t>arterial</w:t>
      </w:r>
      <w:r>
        <w:rPr>
          <w:spacing w:val="-13"/>
        </w:rPr>
        <w:t xml:space="preserve"> </w:t>
      </w:r>
      <w:r>
        <w:t>roads</w:t>
      </w:r>
      <w:r>
        <w:rPr>
          <w:spacing w:val="-13"/>
        </w:rPr>
        <w:t xml:space="preserve"> </w:t>
      </w:r>
      <w:r>
        <w:t>across</w:t>
      </w:r>
      <w:r>
        <w:rPr>
          <w:spacing w:val="-13"/>
        </w:rPr>
        <w:t xml:space="preserve"> </w:t>
      </w:r>
      <w:r>
        <w:t>Sydney</w:t>
      </w:r>
      <w:r>
        <w:rPr>
          <w:spacing w:val="-13"/>
        </w:rPr>
        <w:t xml:space="preserve"> </w:t>
      </w:r>
      <w:r>
        <w:t>at</w:t>
      </w:r>
      <w:r>
        <w:rPr>
          <w:spacing w:val="-13"/>
        </w:rPr>
        <w:t xml:space="preserve"> </w:t>
      </w:r>
      <w:r>
        <w:t xml:space="preserve">pinch </w:t>
      </w:r>
      <w:r>
        <w:rPr>
          <w:w w:val="95"/>
        </w:rPr>
        <w:t>points.</w:t>
      </w:r>
      <w:r>
        <w:rPr>
          <w:spacing w:val="-3"/>
          <w:w w:val="95"/>
        </w:rPr>
        <w:t xml:space="preserve"> </w:t>
      </w:r>
      <w:r>
        <w:rPr>
          <w:w w:val="95"/>
        </w:rPr>
        <w:t>This</w:t>
      </w:r>
      <w:r>
        <w:rPr>
          <w:spacing w:val="-3"/>
          <w:w w:val="95"/>
        </w:rPr>
        <w:t xml:space="preserve"> </w:t>
      </w:r>
      <w:r>
        <w:rPr>
          <w:w w:val="95"/>
        </w:rPr>
        <w:t>targets</w:t>
      </w:r>
      <w:r>
        <w:rPr>
          <w:spacing w:val="-3"/>
          <w:w w:val="95"/>
        </w:rPr>
        <w:t xml:space="preserve"> </w:t>
      </w:r>
      <w:r>
        <w:rPr>
          <w:w w:val="95"/>
        </w:rPr>
        <w:t>peak</w:t>
      </w:r>
      <w:r>
        <w:rPr>
          <w:spacing w:val="-3"/>
          <w:w w:val="95"/>
        </w:rPr>
        <w:t xml:space="preserve"> </w:t>
      </w:r>
      <w:r>
        <w:rPr>
          <w:w w:val="95"/>
        </w:rPr>
        <w:t>hour</w:t>
      </w:r>
      <w:r>
        <w:rPr>
          <w:spacing w:val="-3"/>
          <w:w w:val="95"/>
        </w:rPr>
        <w:t xml:space="preserve"> </w:t>
      </w:r>
      <w:r>
        <w:rPr>
          <w:w w:val="95"/>
        </w:rPr>
        <w:t>traffic</w:t>
      </w:r>
      <w:r>
        <w:rPr>
          <w:spacing w:val="-3"/>
          <w:w w:val="95"/>
        </w:rPr>
        <w:t xml:space="preserve"> </w:t>
      </w:r>
      <w:r>
        <w:rPr>
          <w:w w:val="95"/>
        </w:rPr>
        <w:t>hot</w:t>
      </w:r>
      <w:r>
        <w:rPr>
          <w:spacing w:val="-3"/>
          <w:w w:val="95"/>
        </w:rPr>
        <w:t xml:space="preserve"> </w:t>
      </w:r>
      <w:r>
        <w:rPr>
          <w:w w:val="95"/>
        </w:rPr>
        <w:t>spots</w:t>
      </w:r>
      <w:r>
        <w:rPr>
          <w:spacing w:val="-3"/>
          <w:w w:val="95"/>
        </w:rPr>
        <w:t xml:space="preserve"> </w:t>
      </w:r>
      <w:r>
        <w:rPr>
          <w:w w:val="95"/>
        </w:rPr>
        <w:t>to</w:t>
      </w:r>
      <w:r>
        <w:rPr>
          <w:spacing w:val="-3"/>
          <w:w w:val="95"/>
        </w:rPr>
        <w:t xml:space="preserve"> </w:t>
      </w:r>
      <w:r>
        <w:rPr>
          <w:w w:val="95"/>
        </w:rPr>
        <w:t xml:space="preserve">improve </w:t>
      </w:r>
      <w:r>
        <w:t>overall</w:t>
      </w:r>
      <w:r>
        <w:rPr>
          <w:spacing w:val="-10"/>
        </w:rPr>
        <w:t xml:space="preserve"> </w:t>
      </w:r>
      <w:r>
        <w:t>efficiency</w:t>
      </w:r>
      <w:r>
        <w:rPr>
          <w:spacing w:val="-10"/>
        </w:rPr>
        <w:t xml:space="preserve"> </w:t>
      </w:r>
      <w:r>
        <w:t>of</w:t>
      </w:r>
      <w:r>
        <w:rPr>
          <w:spacing w:val="-10"/>
        </w:rPr>
        <w:t xml:space="preserve"> </w:t>
      </w:r>
      <w:r>
        <w:t>the</w:t>
      </w:r>
      <w:r>
        <w:rPr>
          <w:spacing w:val="-10"/>
        </w:rPr>
        <w:t xml:space="preserve"> </w:t>
      </w:r>
      <w:r>
        <w:t>traffic</w:t>
      </w:r>
      <w:r>
        <w:rPr>
          <w:spacing w:val="-10"/>
        </w:rPr>
        <w:t xml:space="preserve"> </w:t>
      </w:r>
      <w:r>
        <w:t>stream.</w:t>
      </w:r>
    </w:p>
    <w:p w:rsidR="002C1123" w:rsidRDefault="00F22F94">
      <w:pPr>
        <w:pStyle w:val="BodyText"/>
        <w:spacing w:before="146" w:line="249" w:lineRule="auto"/>
        <w:ind w:left="187" w:right="5684"/>
      </w:pPr>
      <w:r>
        <w:t>Various</w:t>
      </w:r>
      <w:r>
        <w:rPr>
          <w:spacing w:val="-14"/>
        </w:rPr>
        <w:t xml:space="preserve"> </w:t>
      </w:r>
      <w:r>
        <w:t>targeted</w:t>
      </w:r>
      <w:r>
        <w:rPr>
          <w:spacing w:val="-14"/>
        </w:rPr>
        <w:t xml:space="preserve"> </w:t>
      </w:r>
      <w:r>
        <w:t>approaches</w:t>
      </w:r>
      <w:r>
        <w:rPr>
          <w:spacing w:val="-14"/>
        </w:rPr>
        <w:t xml:space="preserve"> </w:t>
      </w:r>
      <w:r>
        <w:t>are</w:t>
      </w:r>
      <w:r>
        <w:rPr>
          <w:spacing w:val="-14"/>
        </w:rPr>
        <w:t xml:space="preserve"> </w:t>
      </w:r>
      <w:r>
        <w:t>used.</w:t>
      </w:r>
      <w:r>
        <w:rPr>
          <w:spacing w:val="-14"/>
        </w:rPr>
        <w:t xml:space="preserve"> </w:t>
      </w:r>
      <w:r>
        <w:t>These</w:t>
      </w:r>
      <w:r>
        <w:rPr>
          <w:spacing w:val="-14"/>
        </w:rPr>
        <w:t xml:space="preserve"> </w:t>
      </w:r>
      <w:r>
        <w:t>include lengthening</w:t>
      </w:r>
      <w:r>
        <w:rPr>
          <w:spacing w:val="-6"/>
        </w:rPr>
        <w:t xml:space="preserve"> </w:t>
      </w:r>
      <w:r>
        <w:t>turn</w:t>
      </w:r>
      <w:r>
        <w:rPr>
          <w:spacing w:val="-6"/>
        </w:rPr>
        <w:t xml:space="preserve"> </w:t>
      </w:r>
      <w:r>
        <w:t>bays,</w:t>
      </w:r>
      <w:r>
        <w:rPr>
          <w:spacing w:val="-6"/>
        </w:rPr>
        <w:t xml:space="preserve"> </w:t>
      </w:r>
      <w:r>
        <w:t>adding</w:t>
      </w:r>
      <w:r>
        <w:rPr>
          <w:spacing w:val="-6"/>
        </w:rPr>
        <w:t xml:space="preserve"> </w:t>
      </w:r>
      <w:r>
        <w:t>short</w:t>
      </w:r>
      <w:r>
        <w:rPr>
          <w:spacing w:val="-6"/>
        </w:rPr>
        <w:t xml:space="preserve"> </w:t>
      </w:r>
      <w:r>
        <w:t>sections</w:t>
      </w:r>
      <w:r>
        <w:rPr>
          <w:spacing w:val="-6"/>
        </w:rPr>
        <w:t xml:space="preserve"> </w:t>
      </w:r>
      <w:r>
        <w:t xml:space="preserve">of </w:t>
      </w:r>
      <w:r>
        <w:rPr>
          <w:w w:val="95"/>
        </w:rPr>
        <w:t>additional</w:t>
      </w:r>
      <w:r>
        <w:rPr>
          <w:spacing w:val="-1"/>
          <w:w w:val="95"/>
        </w:rPr>
        <w:t xml:space="preserve"> </w:t>
      </w:r>
      <w:r>
        <w:rPr>
          <w:w w:val="95"/>
        </w:rPr>
        <w:t>lanes,</w:t>
      </w:r>
      <w:r>
        <w:rPr>
          <w:spacing w:val="-1"/>
          <w:w w:val="95"/>
        </w:rPr>
        <w:t xml:space="preserve"> </w:t>
      </w:r>
      <w:r>
        <w:rPr>
          <w:w w:val="95"/>
        </w:rPr>
        <w:t>widening</w:t>
      </w:r>
      <w:r>
        <w:rPr>
          <w:spacing w:val="-1"/>
          <w:w w:val="95"/>
        </w:rPr>
        <w:t xml:space="preserve"> </w:t>
      </w:r>
      <w:r>
        <w:rPr>
          <w:w w:val="95"/>
        </w:rPr>
        <w:t>intersections,</w:t>
      </w:r>
      <w:r>
        <w:rPr>
          <w:spacing w:val="-1"/>
          <w:w w:val="95"/>
        </w:rPr>
        <w:t xml:space="preserve"> </w:t>
      </w:r>
      <w:r>
        <w:rPr>
          <w:w w:val="95"/>
        </w:rPr>
        <w:t>upgrading</w:t>
      </w:r>
      <w:r>
        <w:rPr>
          <w:spacing w:val="-1"/>
          <w:w w:val="95"/>
        </w:rPr>
        <w:t xml:space="preserve"> </w:t>
      </w:r>
      <w:r>
        <w:rPr>
          <w:w w:val="95"/>
        </w:rPr>
        <w:t>traffic signal</w:t>
      </w:r>
      <w:r>
        <w:rPr>
          <w:spacing w:val="-9"/>
          <w:w w:val="95"/>
        </w:rPr>
        <w:t xml:space="preserve"> </w:t>
      </w:r>
      <w:r>
        <w:rPr>
          <w:w w:val="95"/>
        </w:rPr>
        <w:t>facilities,</w:t>
      </w:r>
      <w:r>
        <w:rPr>
          <w:spacing w:val="-9"/>
          <w:w w:val="95"/>
        </w:rPr>
        <w:t xml:space="preserve"> </w:t>
      </w:r>
      <w:r>
        <w:rPr>
          <w:w w:val="95"/>
        </w:rPr>
        <w:t>installing</w:t>
      </w:r>
      <w:r>
        <w:rPr>
          <w:spacing w:val="-9"/>
          <w:w w:val="95"/>
        </w:rPr>
        <w:t xml:space="preserve"> </w:t>
      </w:r>
      <w:r>
        <w:rPr>
          <w:w w:val="95"/>
        </w:rPr>
        <w:t>bus</w:t>
      </w:r>
      <w:r>
        <w:rPr>
          <w:spacing w:val="-9"/>
          <w:w w:val="95"/>
        </w:rPr>
        <w:t xml:space="preserve"> </w:t>
      </w:r>
      <w:r>
        <w:rPr>
          <w:w w:val="95"/>
        </w:rPr>
        <w:t>priority</w:t>
      </w:r>
      <w:r>
        <w:rPr>
          <w:spacing w:val="-9"/>
          <w:w w:val="95"/>
        </w:rPr>
        <w:t xml:space="preserve"> </w:t>
      </w:r>
      <w:r>
        <w:rPr>
          <w:w w:val="95"/>
        </w:rPr>
        <w:t>measures,</w:t>
      </w:r>
      <w:r>
        <w:rPr>
          <w:spacing w:val="-9"/>
          <w:w w:val="95"/>
        </w:rPr>
        <w:t xml:space="preserve"> </w:t>
      </w:r>
      <w:r>
        <w:rPr>
          <w:w w:val="95"/>
        </w:rPr>
        <w:t xml:space="preserve">providing </w:t>
      </w:r>
      <w:r>
        <w:t>more</w:t>
      </w:r>
      <w:r>
        <w:rPr>
          <w:spacing w:val="-14"/>
        </w:rPr>
        <w:t xml:space="preserve"> </w:t>
      </w:r>
      <w:r>
        <w:t>Variable</w:t>
      </w:r>
      <w:r>
        <w:rPr>
          <w:spacing w:val="-14"/>
        </w:rPr>
        <w:t xml:space="preserve"> </w:t>
      </w:r>
      <w:r>
        <w:t>Message</w:t>
      </w:r>
      <w:r>
        <w:rPr>
          <w:spacing w:val="-14"/>
        </w:rPr>
        <w:t xml:space="preserve"> </w:t>
      </w:r>
      <w:r>
        <w:t>Signs</w:t>
      </w:r>
      <w:r>
        <w:rPr>
          <w:spacing w:val="-14"/>
        </w:rPr>
        <w:t xml:space="preserve"> </w:t>
      </w:r>
      <w:r>
        <w:t>and</w:t>
      </w:r>
      <w:r>
        <w:rPr>
          <w:spacing w:val="-14"/>
        </w:rPr>
        <w:t xml:space="preserve"> </w:t>
      </w:r>
      <w:r>
        <w:t>installing</w:t>
      </w:r>
      <w:r>
        <w:rPr>
          <w:spacing w:val="-14"/>
        </w:rPr>
        <w:t xml:space="preserve"> </w:t>
      </w:r>
      <w:r>
        <w:t>more cameras for traffic supervision.</w:t>
      </w:r>
    </w:p>
    <w:p w:rsidR="002C1123" w:rsidRDefault="00F22F94">
      <w:pPr>
        <w:pStyle w:val="BodyText"/>
        <w:spacing w:before="147" w:line="249" w:lineRule="auto"/>
        <w:ind w:left="187" w:right="5684"/>
      </w:pPr>
      <w:r>
        <w:t>Pinch</w:t>
      </w:r>
      <w:r>
        <w:rPr>
          <w:spacing w:val="-11"/>
        </w:rPr>
        <w:t xml:space="preserve"> </w:t>
      </w:r>
      <w:r>
        <w:t>points</w:t>
      </w:r>
      <w:r>
        <w:rPr>
          <w:spacing w:val="-11"/>
        </w:rPr>
        <w:t xml:space="preserve"> </w:t>
      </w:r>
      <w:r>
        <w:t>of</w:t>
      </w:r>
      <w:r>
        <w:rPr>
          <w:spacing w:val="-11"/>
        </w:rPr>
        <w:t xml:space="preserve"> </w:t>
      </w:r>
      <w:r>
        <w:t>special</w:t>
      </w:r>
      <w:r>
        <w:rPr>
          <w:spacing w:val="-11"/>
        </w:rPr>
        <w:t xml:space="preserve"> </w:t>
      </w:r>
      <w:r>
        <w:t>concern</w:t>
      </w:r>
      <w:r>
        <w:rPr>
          <w:spacing w:val="-11"/>
        </w:rPr>
        <w:t xml:space="preserve"> </w:t>
      </w:r>
      <w:r>
        <w:t>are</w:t>
      </w:r>
      <w:r>
        <w:rPr>
          <w:spacing w:val="-11"/>
        </w:rPr>
        <w:t xml:space="preserve"> </w:t>
      </w:r>
      <w:r>
        <w:t>evident</w:t>
      </w:r>
      <w:r>
        <w:rPr>
          <w:spacing w:val="-11"/>
        </w:rPr>
        <w:t xml:space="preserve"> </w:t>
      </w:r>
      <w:r>
        <w:t>in</w:t>
      </w:r>
      <w:r>
        <w:rPr>
          <w:spacing w:val="-11"/>
        </w:rPr>
        <w:t xml:space="preserve"> </w:t>
      </w:r>
      <w:r>
        <w:t xml:space="preserve">the </w:t>
      </w:r>
      <w:r>
        <w:rPr>
          <w:w w:val="95"/>
        </w:rPr>
        <w:t xml:space="preserve">surrounds of Port Botany and Sydney Airport, discussed </w:t>
      </w:r>
      <w:r>
        <w:t>in</w:t>
      </w:r>
      <w:r>
        <w:rPr>
          <w:spacing w:val="-13"/>
        </w:rPr>
        <w:t xml:space="preserve"> </w:t>
      </w:r>
      <w:r>
        <w:t>Section</w:t>
      </w:r>
      <w:r>
        <w:rPr>
          <w:spacing w:val="-13"/>
        </w:rPr>
        <w:t xml:space="preserve"> </w:t>
      </w:r>
      <w:r>
        <w:t>9.</w:t>
      </w:r>
      <w:r>
        <w:rPr>
          <w:spacing w:val="-13"/>
        </w:rPr>
        <w:t xml:space="preserve"> </w:t>
      </w:r>
      <w:r>
        <w:t>Within</w:t>
      </w:r>
      <w:r>
        <w:rPr>
          <w:spacing w:val="-13"/>
        </w:rPr>
        <w:t xml:space="preserve"> </w:t>
      </w:r>
      <w:r>
        <w:t>the</w:t>
      </w:r>
      <w:r>
        <w:rPr>
          <w:spacing w:val="-13"/>
        </w:rPr>
        <w:t xml:space="preserve"> </w:t>
      </w:r>
      <w:r>
        <w:t>CBD,</w:t>
      </w:r>
      <w:r>
        <w:rPr>
          <w:spacing w:val="-13"/>
        </w:rPr>
        <w:t xml:space="preserve"> </w:t>
      </w:r>
      <w:r>
        <w:t>there</w:t>
      </w:r>
      <w:r>
        <w:rPr>
          <w:spacing w:val="-13"/>
        </w:rPr>
        <w:t xml:space="preserve"> </w:t>
      </w:r>
      <w:r>
        <w:t>are</w:t>
      </w:r>
      <w:r>
        <w:rPr>
          <w:spacing w:val="-13"/>
        </w:rPr>
        <w:t xml:space="preserve"> </w:t>
      </w:r>
      <w:r>
        <w:t>major</w:t>
      </w:r>
      <w:r>
        <w:rPr>
          <w:spacing w:val="-13"/>
        </w:rPr>
        <w:t xml:space="preserve"> </w:t>
      </w:r>
      <w:r>
        <w:t>pinch points,</w:t>
      </w:r>
      <w:r>
        <w:rPr>
          <w:spacing w:val="-9"/>
        </w:rPr>
        <w:t xml:space="preserve"> </w:t>
      </w:r>
      <w:r>
        <w:t>particularly</w:t>
      </w:r>
      <w:r>
        <w:rPr>
          <w:spacing w:val="-9"/>
        </w:rPr>
        <w:t xml:space="preserve"> </w:t>
      </w:r>
      <w:r>
        <w:t>for</w:t>
      </w:r>
      <w:r>
        <w:rPr>
          <w:spacing w:val="-9"/>
        </w:rPr>
        <w:t xml:space="preserve"> </w:t>
      </w:r>
      <w:r>
        <w:t>buses</w:t>
      </w:r>
      <w:r>
        <w:rPr>
          <w:spacing w:val="-9"/>
        </w:rPr>
        <w:t xml:space="preserve"> </w:t>
      </w:r>
      <w:r>
        <w:t>at</w:t>
      </w:r>
      <w:r>
        <w:rPr>
          <w:spacing w:val="-9"/>
        </w:rPr>
        <w:t xml:space="preserve"> </w:t>
      </w:r>
      <w:r>
        <w:t>key</w:t>
      </w:r>
      <w:r>
        <w:rPr>
          <w:spacing w:val="-9"/>
        </w:rPr>
        <w:t xml:space="preserve"> </w:t>
      </w:r>
      <w:r>
        <w:t>turn-around</w:t>
      </w:r>
      <w:r>
        <w:rPr>
          <w:spacing w:val="-9"/>
        </w:rPr>
        <w:t xml:space="preserve"> </w:t>
      </w:r>
      <w:r>
        <w:t>spots.</w:t>
      </w:r>
    </w:p>
    <w:p w:rsidR="002C1123" w:rsidRDefault="002C1123">
      <w:pPr>
        <w:spacing w:line="249" w:lineRule="auto"/>
        <w:sectPr w:rsidR="002C1123">
          <w:type w:val="continuous"/>
          <w:pgSz w:w="16840" w:h="11910" w:orient="landscape"/>
          <w:pgMar w:top="560" w:right="280" w:bottom="280" w:left="500" w:header="0" w:footer="517" w:gutter="0"/>
          <w:cols w:num="2" w:space="720" w:equalWidth="0">
            <w:col w:w="5292" w:space="40"/>
            <w:col w:w="10728"/>
          </w:cols>
        </w:sectPr>
      </w:pPr>
    </w:p>
    <w:p w:rsidR="002C1123" w:rsidRDefault="002C1123">
      <w:pPr>
        <w:pStyle w:val="BodyText"/>
        <w:spacing w:before="4"/>
        <w:rPr>
          <w:sz w:val="22"/>
        </w:rPr>
      </w:pPr>
    </w:p>
    <w:p w:rsidR="002C1123" w:rsidRDefault="002060EF">
      <w:pPr>
        <w:tabs>
          <w:tab w:val="left" w:pos="5518"/>
        </w:tabs>
        <w:spacing w:line="20" w:lineRule="exact"/>
        <w:ind w:left="492"/>
        <w:rPr>
          <w:sz w:val="2"/>
        </w:rPr>
      </w:pPr>
      <w:r>
        <w:rPr>
          <w:sz w:val="2"/>
        </w:rPr>
      </w:r>
      <w:r>
        <w:rPr>
          <w:sz w:val="2"/>
        </w:rPr>
        <w:pict>
          <v:group id="docshapegroup1208" o:spid="_x0000_s4035" style="width:1in;height:.5pt;mso-position-horizontal-relative:char;mso-position-vertical-relative:line" coordsize="1440,10">
            <v:line id="_x0000_s4036" style="position:absolute" from="0,5" to="1440,5" strokecolor="#9c9c9d" strokeweight=".5pt"/>
            <w10:anchorlock/>
          </v:group>
        </w:pict>
      </w:r>
      <w:r w:rsidR="00F22F94">
        <w:rPr>
          <w:sz w:val="2"/>
        </w:rPr>
        <w:tab/>
      </w:r>
      <w:r>
        <w:rPr>
          <w:sz w:val="2"/>
        </w:rPr>
      </w:r>
      <w:r>
        <w:rPr>
          <w:sz w:val="2"/>
        </w:rPr>
        <w:pict>
          <v:group id="docshapegroup1209" o:spid="_x0000_s4033" style="width:1in;height:.5pt;mso-position-horizontal-relative:char;mso-position-vertical-relative:line" coordsize="1440,10">
            <v:line id="_x0000_s4034" style="position:absolute" from="0,5" to="1440,5" strokecolor="#9c9c9d" strokeweight=".5pt"/>
            <w10:anchorlock/>
          </v:group>
        </w:pict>
      </w:r>
    </w:p>
    <w:p w:rsidR="002C1123" w:rsidRDefault="00F22F94">
      <w:pPr>
        <w:pStyle w:val="ListParagraph"/>
        <w:numPr>
          <w:ilvl w:val="1"/>
          <w:numId w:val="95"/>
        </w:numPr>
        <w:tabs>
          <w:tab w:val="left" w:pos="691"/>
          <w:tab w:val="left" w:pos="5518"/>
        </w:tabs>
        <w:spacing w:before="8"/>
        <w:ind w:left="690"/>
        <w:jc w:val="left"/>
        <w:rPr>
          <w:sz w:val="14"/>
        </w:rPr>
      </w:pPr>
      <w:r>
        <w:rPr>
          <w:w w:val="95"/>
          <w:sz w:val="14"/>
        </w:rPr>
        <w:t>NSW</w:t>
      </w:r>
      <w:r>
        <w:rPr>
          <w:sz w:val="14"/>
        </w:rPr>
        <w:t xml:space="preserve"> </w:t>
      </w:r>
      <w:r>
        <w:rPr>
          <w:w w:val="95"/>
          <w:sz w:val="14"/>
        </w:rPr>
        <w:t>Department</w:t>
      </w:r>
      <w:r>
        <w:rPr>
          <w:sz w:val="14"/>
        </w:rPr>
        <w:t xml:space="preserve"> </w:t>
      </w:r>
      <w:r>
        <w:rPr>
          <w:w w:val="95"/>
          <w:sz w:val="14"/>
        </w:rPr>
        <w:t>of</w:t>
      </w:r>
      <w:r>
        <w:rPr>
          <w:sz w:val="14"/>
        </w:rPr>
        <w:t xml:space="preserve"> </w:t>
      </w:r>
      <w:r>
        <w:rPr>
          <w:w w:val="95"/>
          <w:sz w:val="14"/>
        </w:rPr>
        <w:t>Planning</w:t>
      </w:r>
      <w:r>
        <w:rPr>
          <w:sz w:val="14"/>
        </w:rPr>
        <w:t xml:space="preserve"> </w:t>
      </w:r>
      <w:r>
        <w:rPr>
          <w:w w:val="95"/>
          <w:sz w:val="14"/>
        </w:rPr>
        <w:t>2010,</w:t>
      </w:r>
      <w:r>
        <w:rPr>
          <w:spacing w:val="1"/>
          <w:sz w:val="14"/>
        </w:rPr>
        <w:t xml:space="preserve"> </w:t>
      </w:r>
      <w:r>
        <w:rPr>
          <w:w w:val="95"/>
          <w:sz w:val="14"/>
        </w:rPr>
        <w:t>Metropolitan</w:t>
      </w:r>
      <w:r>
        <w:rPr>
          <w:sz w:val="14"/>
        </w:rPr>
        <w:t xml:space="preserve"> </w:t>
      </w:r>
      <w:r>
        <w:rPr>
          <w:w w:val="95"/>
          <w:sz w:val="14"/>
        </w:rPr>
        <w:t>Plan</w:t>
      </w:r>
      <w:r>
        <w:rPr>
          <w:sz w:val="14"/>
        </w:rPr>
        <w:t xml:space="preserve"> </w:t>
      </w:r>
      <w:r>
        <w:rPr>
          <w:w w:val="95"/>
          <w:sz w:val="14"/>
        </w:rPr>
        <w:t>for</w:t>
      </w:r>
      <w:r>
        <w:rPr>
          <w:sz w:val="14"/>
        </w:rPr>
        <w:t xml:space="preserve"> </w:t>
      </w:r>
      <w:r>
        <w:rPr>
          <w:w w:val="95"/>
          <w:sz w:val="14"/>
        </w:rPr>
        <w:t>Sydney</w:t>
      </w:r>
      <w:r>
        <w:rPr>
          <w:spacing w:val="1"/>
          <w:sz w:val="14"/>
        </w:rPr>
        <w:t xml:space="preserve"> </w:t>
      </w:r>
      <w:r>
        <w:rPr>
          <w:spacing w:val="-4"/>
          <w:w w:val="95"/>
          <w:sz w:val="14"/>
        </w:rPr>
        <w:t>2036.</w:t>
      </w:r>
      <w:r>
        <w:rPr>
          <w:sz w:val="14"/>
        </w:rPr>
        <w:tab/>
      </w:r>
      <w:r>
        <w:rPr>
          <w:w w:val="95"/>
          <w:sz w:val="14"/>
        </w:rPr>
        <w:t>13</w:t>
      </w:r>
      <w:r>
        <w:rPr>
          <w:spacing w:val="22"/>
          <w:sz w:val="14"/>
        </w:rPr>
        <w:t xml:space="preserve"> </w:t>
      </w:r>
      <w:r>
        <w:rPr>
          <w:w w:val="95"/>
          <w:sz w:val="14"/>
        </w:rPr>
        <w:t>NSW</w:t>
      </w:r>
      <w:r>
        <w:rPr>
          <w:spacing w:val="-1"/>
          <w:sz w:val="14"/>
        </w:rPr>
        <w:t xml:space="preserve"> </w:t>
      </w:r>
      <w:r>
        <w:rPr>
          <w:w w:val="95"/>
          <w:sz w:val="14"/>
        </w:rPr>
        <w:t>Department</w:t>
      </w:r>
      <w:r>
        <w:rPr>
          <w:spacing w:val="-1"/>
          <w:sz w:val="14"/>
        </w:rPr>
        <w:t xml:space="preserve"> </w:t>
      </w:r>
      <w:r>
        <w:rPr>
          <w:w w:val="95"/>
          <w:sz w:val="14"/>
        </w:rPr>
        <w:t>of</w:t>
      </w:r>
      <w:r>
        <w:rPr>
          <w:spacing w:val="-2"/>
          <w:sz w:val="14"/>
        </w:rPr>
        <w:t xml:space="preserve"> </w:t>
      </w:r>
      <w:r>
        <w:rPr>
          <w:w w:val="95"/>
          <w:sz w:val="14"/>
        </w:rPr>
        <w:t>Planning</w:t>
      </w:r>
      <w:r>
        <w:rPr>
          <w:spacing w:val="-1"/>
          <w:sz w:val="14"/>
        </w:rPr>
        <w:t xml:space="preserve"> </w:t>
      </w:r>
      <w:r>
        <w:rPr>
          <w:w w:val="95"/>
          <w:sz w:val="14"/>
        </w:rPr>
        <w:t>2010,</w:t>
      </w:r>
      <w:r>
        <w:rPr>
          <w:spacing w:val="-1"/>
          <w:sz w:val="14"/>
        </w:rPr>
        <w:t xml:space="preserve"> </w:t>
      </w:r>
      <w:r>
        <w:rPr>
          <w:w w:val="95"/>
          <w:sz w:val="14"/>
        </w:rPr>
        <w:t>Metropolitan</w:t>
      </w:r>
      <w:r>
        <w:rPr>
          <w:spacing w:val="-1"/>
          <w:sz w:val="14"/>
        </w:rPr>
        <w:t xml:space="preserve"> </w:t>
      </w:r>
      <w:r>
        <w:rPr>
          <w:w w:val="95"/>
          <w:sz w:val="14"/>
        </w:rPr>
        <w:t>Plan</w:t>
      </w:r>
      <w:r>
        <w:rPr>
          <w:spacing w:val="-2"/>
          <w:sz w:val="14"/>
        </w:rPr>
        <w:t xml:space="preserve"> </w:t>
      </w:r>
      <w:r>
        <w:rPr>
          <w:w w:val="95"/>
          <w:sz w:val="14"/>
        </w:rPr>
        <w:t>for</w:t>
      </w:r>
      <w:r>
        <w:rPr>
          <w:spacing w:val="-1"/>
          <w:sz w:val="14"/>
        </w:rPr>
        <w:t xml:space="preserve"> </w:t>
      </w:r>
      <w:r>
        <w:rPr>
          <w:w w:val="95"/>
          <w:sz w:val="14"/>
        </w:rPr>
        <w:t>Sydney</w:t>
      </w:r>
      <w:r>
        <w:rPr>
          <w:spacing w:val="-1"/>
          <w:sz w:val="14"/>
        </w:rPr>
        <w:t xml:space="preserve"> </w:t>
      </w:r>
      <w:r>
        <w:rPr>
          <w:spacing w:val="-4"/>
          <w:w w:val="95"/>
          <w:sz w:val="14"/>
        </w:rPr>
        <w:t>2036.</w:t>
      </w:r>
    </w:p>
    <w:p w:rsidR="002C1123" w:rsidRDefault="002C1123">
      <w:pPr>
        <w:rPr>
          <w:sz w:val="14"/>
        </w:rPr>
        <w:sectPr w:rsidR="002C1123">
          <w:type w:val="continuous"/>
          <w:pgSz w:w="16840" w:h="11910" w:orient="landscape"/>
          <w:pgMar w:top="560" w:right="280" w:bottom="280" w:left="500" w:header="0" w:footer="517"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7"/>
        </w:rPr>
      </w:pPr>
    </w:p>
    <w:p w:rsidR="002C1123" w:rsidRDefault="002C1123">
      <w:pPr>
        <w:rPr>
          <w:sz w:val="17"/>
        </w:rPr>
        <w:sectPr w:rsidR="002C1123">
          <w:pgSz w:w="16840" w:h="11910" w:orient="landscape"/>
          <w:pgMar w:top="560" w:right="280" w:bottom="700" w:left="500" w:header="0" w:footer="517" w:gutter="0"/>
          <w:cols w:space="720"/>
        </w:sectPr>
      </w:pPr>
    </w:p>
    <w:p w:rsidR="002C1123" w:rsidRDefault="00F22F94">
      <w:pPr>
        <w:pStyle w:val="Heading5"/>
        <w:numPr>
          <w:ilvl w:val="1"/>
          <w:numId w:val="97"/>
        </w:numPr>
        <w:tabs>
          <w:tab w:val="left" w:pos="942"/>
        </w:tabs>
        <w:ind w:left="941"/>
        <w:jc w:val="left"/>
      </w:pPr>
      <w:bookmarkStart w:id="179" w:name="6.9_Conclusions"/>
      <w:bookmarkStart w:id="180" w:name="_bookmark130"/>
      <w:bookmarkStart w:id="181" w:name="_bookmark129"/>
      <w:bookmarkEnd w:id="179"/>
      <w:bookmarkEnd w:id="180"/>
      <w:bookmarkEnd w:id="181"/>
      <w:r>
        <w:rPr>
          <w:color w:val="00AEEF"/>
          <w:spacing w:val="-2"/>
        </w:rPr>
        <w:t>Conclusions</w:t>
      </w:r>
    </w:p>
    <w:p w:rsidR="002C1123" w:rsidRDefault="00F22F94">
      <w:pPr>
        <w:pStyle w:val="BodyText"/>
        <w:spacing w:before="135" w:line="249" w:lineRule="auto"/>
        <w:ind w:left="492" w:right="3"/>
      </w:pPr>
      <w:r>
        <w:rPr>
          <w:w w:val="95"/>
        </w:rPr>
        <w:t>The</w:t>
      </w:r>
      <w:r>
        <w:rPr>
          <w:spacing w:val="-4"/>
          <w:w w:val="95"/>
        </w:rPr>
        <w:t xml:space="preserve"> </w:t>
      </w:r>
      <w:r>
        <w:rPr>
          <w:w w:val="95"/>
        </w:rPr>
        <w:t>case</w:t>
      </w:r>
      <w:r>
        <w:rPr>
          <w:spacing w:val="-4"/>
          <w:w w:val="95"/>
        </w:rPr>
        <w:t xml:space="preserve"> </w:t>
      </w:r>
      <w:r>
        <w:rPr>
          <w:w w:val="95"/>
        </w:rPr>
        <w:t>for</w:t>
      </w:r>
      <w:r>
        <w:rPr>
          <w:spacing w:val="-4"/>
          <w:w w:val="95"/>
        </w:rPr>
        <w:t xml:space="preserve"> </w:t>
      </w:r>
      <w:r>
        <w:rPr>
          <w:w w:val="95"/>
        </w:rPr>
        <w:t>new</w:t>
      </w:r>
      <w:r>
        <w:rPr>
          <w:spacing w:val="-4"/>
          <w:w w:val="95"/>
        </w:rPr>
        <w:t xml:space="preserve"> </w:t>
      </w:r>
      <w:r>
        <w:rPr>
          <w:w w:val="95"/>
        </w:rPr>
        <w:t>road</w:t>
      </w:r>
      <w:r>
        <w:rPr>
          <w:spacing w:val="-4"/>
          <w:w w:val="95"/>
        </w:rPr>
        <w:t xml:space="preserve"> </w:t>
      </w:r>
      <w:r>
        <w:rPr>
          <w:w w:val="95"/>
        </w:rPr>
        <w:t>investment</w:t>
      </w:r>
      <w:r>
        <w:rPr>
          <w:spacing w:val="-4"/>
          <w:w w:val="95"/>
        </w:rPr>
        <w:t xml:space="preserve"> </w:t>
      </w:r>
      <w:r>
        <w:rPr>
          <w:w w:val="95"/>
        </w:rPr>
        <w:t>on</w:t>
      </w:r>
      <w:r>
        <w:rPr>
          <w:spacing w:val="-4"/>
          <w:w w:val="95"/>
        </w:rPr>
        <w:t xml:space="preserve"> </w:t>
      </w:r>
      <w:r>
        <w:rPr>
          <w:w w:val="95"/>
        </w:rPr>
        <w:t>Sydney’s</w:t>
      </w:r>
      <w:r>
        <w:rPr>
          <w:spacing w:val="-4"/>
          <w:w w:val="95"/>
        </w:rPr>
        <w:t xml:space="preserve"> </w:t>
      </w:r>
      <w:r>
        <w:rPr>
          <w:w w:val="95"/>
        </w:rPr>
        <w:t xml:space="preserve">transport </w:t>
      </w:r>
      <w:r>
        <w:t>backbone</w:t>
      </w:r>
      <w:r>
        <w:rPr>
          <w:spacing w:val="-11"/>
        </w:rPr>
        <w:t xml:space="preserve"> </w:t>
      </w:r>
      <w:r>
        <w:t>–</w:t>
      </w:r>
      <w:r>
        <w:rPr>
          <w:spacing w:val="-11"/>
        </w:rPr>
        <w:t xml:space="preserve"> </w:t>
      </w:r>
      <w:r>
        <w:t>the</w:t>
      </w:r>
      <w:r>
        <w:rPr>
          <w:spacing w:val="-11"/>
        </w:rPr>
        <w:t xml:space="preserve"> </w:t>
      </w:r>
      <w:r>
        <w:t>Sydney</w:t>
      </w:r>
      <w:r>
        <w:rPr>
          <w:spacing w:val="-11"/>
        </w:rPr>
        <w:t xml:space="preserve"> </w:t>
      </w:r>
      <w:r>
        <w:t>Strategic</w:t>
      </w:r>
      <w:r>
        <w:rPr>
          <w:spacing w:val="-11"/>
        </w:rPr>
        <w:t xml:space="preserve"> </w:t>
      </w:r>
      <w:r>
        <w:t>Road</w:t>
      </w:r>
      <w:r>
        <w:rPr>
          <w:spacing w:val="-11"/>
        </w:rPr>
        <w:t xml:space="preserve"> </w:t>
      </w:r>
      <w:r>
        <w:t>Network</w:t>
      </w:r>
      <w:r>
        <w:rPr>
          <w:spacing w:val="-11"/>
        </w:rPr>
        <w:t xml:space="preserve"> </w:t>
      </w:r>
      <w:r>
        <w:t>–</w:t>
      </w:r>
      <w:r>
        <w:rPr>
          <w:spacing w:val="-11"/>
        </w:rPr>
        <w:t xml:space="preserve"> </w:t>
      </w:r>
      <w:r>
        <w:t>is strong. Other transport modes cannot accommodate</w:t>
      </w:r>
    </w:p>
    <w:p w:rsidR="002C1123" w:rsidRDefault="00F22F94">
      <w:pPr>
        <w:pStyle w:val="BodyText"/>
        <w:spacing w:before="2" w:line="249" w:lineRule="auto"/>
        <w:ind w:left="492" w:right="3"/>
      </w:pPr>
      <w:r>
        <w:rPr>
          <w:w w:val="95"/>
        </w:rPr>
        <w:t>all</w:t>
      </w:r>
      <w:r>
        <w:rPr>
          <w:spacing w:val="-2"/>
          <w:w w:val="95"/>
        </w:rPr>
        <w:t xml:space="preserve"> </w:t>
      </w:r>
      <w:r>
        <w:rPr>
          <w:w w:val="95"/>
        </w:rPr>
        <w:t>of</w:t>
      </w:r>
      <w:r>
        <w:rPr>
          <w:spacing w:val="-2"/>
          <w:w w:val="95"/>
        </w:rPr>
        <w:t xml:space="preserve"> </w:t>
      </w:r>
      <w:r>
        <w:rPr>
          <w:w w:val="95"/>
        </w:rPr>
        <w:t>the</w:t>
      </w:r>
      <w:r>
        <w:rPr>
          <w:spacing w:val="-2"/>
          <w:w w:val="95"/>
        </w:rPr>
        <w:t xml:space="preserve"> </w:t>
      </w:r>
      <w:r>
        <w:rPr>
          <w:w w:val="95"/>
        </w:rPr>
        <w:t>forecast</w:t>
      </w:r>
      <w:r>
        <w:rPr>
          <w:spacing w:val="-2"/>
          <w:w w:val="95"/>
        </w:rPr>
        <w:t xml:space="preserve"> </w:t>
      </w:r>
      <w:r>
        <w:rPr>
          <w:w w:val="95"/>
        </w:rPr>
        <w:t>growth</w:t>
      </w:r>
      <w:r>
        <w:rPr>
          <w:spacing w:val="-2"/>
          <w:w w:val="95"/>
        </w:rPr>
        <w:t xml:space="preserve"> </w:t>
      </w:r>
      <w:r>
        <w:rPr>
          <w:w w:val="95"/>
        </w:rPr>
        <w:t>in</w:t>
      </w:r>
      <w:r>
        <w:rPr>
          <w:spacing w:val="-2"/>
          <w:w w:val="95"/>
        </w:rPr>
        <w:t xml:space="preserve"> </w:t>
      </w:r>
      <w:r>
        <w:rPr>
          <w:w w:val="95"/>
        </w:rPr>
        <w:t>demand.</w:t>
      </w:r>
      <w:r>
        <w:rPr>
          <w:spacing w:val="-2"/>
          <w:w w:val="95"/>
        </w:rPr>
        <w:t xml:space="preserve"> </w:t>
      </w:r>
      <w:r>
        <w:rPr>
          <w:w w:val="95"/>
        </w:rPr>
        <w:t>Options</w:t>
      </w:r>
      <w:r>
        <w:rPr>
          <w:spacing w:val="-2"/>
          <w:w w:val="95"/>
        </w:rPr>
        <w:t xml:space="preserve"> </w:t>
      </w:r>
      <w:r>
        <w:rPr>
          <w:w w:val="95"/>
        </w:rPr>
        <w:t>to</w:t>
      </w:r>
      <w:r>
        <w:rPr>
          <w:spacing w:val="-2"/>
          <w:w w:val="95"/>
        </w:rPr>
        <w:t xml:space="preserve"> </w:t>
      </w:r>
      <w:r>
        <w:rPr>
          <w:w w:val="95"/>
        </w:rPr>
        <w:t xml:space="preserve">better </w:t>
      </w:r>
      <w:r>
        <w:t>manage</w:t>
      </w:r>
      <w:r>
        <w:rPr>
          <w:spacing w:val="-14"/>
        </w:rPr>
        <w:t xml:space="preserve"> </w:t>
      </w:r>
      <w:r>
        <w:t>existing</w:t>
      </w:r>
      <w:r>
        <w:rPr>
          <w:spacing w:val="-14"/>
        </w:rPr>
        <w:t xml:space="preserve"> </w:t>
      </w:r>
      <w:r>
        <w:t>road</w:t>
      </w:r>
      <w:r>
        <w:rPr>
          <w:spacing w:val="-14"/>
        </w:rPr>
        <w:t xml:space="preserve"> </w:t>
      </w:r>
      <w:r>
        <w:t>space</w:t>
      </w:r>
      <w:r>
        <w:rPr>
          <w:spacing w:val="-14"/>
        </w:rPr>
        <w:t xml:space="preserve"> </w:t>
      </w:r>
      <w:r>
        <w:t>–</w:t>
      </w:r>
      <w:r>
        <w:rPr>
          <w:spacing w:val="-14"/>
        </w:rPr>
        <w:t xml:space="preserve"> </w:t>
      </w:r>
      <w:r>
        <w:t>while</w:t>
      </w:r>
      <w:r>
        <w:rPr>
          <w:spacing w:val="-14"/>
        </w:rPr>
        <w:t xml:space="preserve"> </w:t>
      </w:r>
      <w:r>
        <w:t>supported</w:t>
      </w:r>
      <w:r>
        <w:rPr>
          <w:spacing w:val="-14"/>
        </w:rPr>
        <w:t xml:space="preserve"> </w:t>
      </w:r>
      <w:r>
        <w:t>–</w:t>
      </w:r>
      <w:r>
        <w:rPr>
          <w:spacing w:val="-14"/>
        </w:rPr>
        <w:t xml:space="preserve"> </w:t>
      </w:r>
      <w:r>
        <w:t xml:space="preserve">are </w:t>
      </w:r>
      <w:r>
        <w:rPr>
          <w:w w:val="95"/>
        </w:rPr>
        <w:t>not sufficient. Without intervention, journey times and</w:t>
      </w:r>
    </w:p>
    <w:p w:rsidR="002C1123" w:rsidRDefault="00F22F94">
      <w:pPr>
        <w:pStyle w:val="BodyText"/>
        <w:spacing w:before="3" w:line="249" w:lineRule="auto"/>
        <w:ind w:left="492"/>
      </w:pPr>
      <w:r>
        <w:rPr>
          <w:w w:val="95"/>
        </w:rPr>
        <w:t xml:space="preserve">congestion will worsen – impacting on the productivity of </w:t>
      </w:r>
      <w:r>
        <w:t>the</w:t>
      </w:r>
      <w:r>
        <w:rPr>
          <w:spacing w:val="-14"/>
        </w:rPr>
        <w:t xml:space="preserve"> </w:t>
      </w:r>
      <w:r>
        <w:t>NSW</w:t>
      </w:r>
      <w:r>
        <w:rPr>
          <w:spacing w:val="-14"/>
        </w:rPr>
        <w:t xml:space="preserve"> </w:t>
      </w:r>
      <w:r>
        <w:t>economy</w:t>
      </w:r>
      <w:r>
        <w:rPr>
          <w:spacing w:val="-14"/>
        </w:rPr>
        <w:t xml:space="preserve"> </w:t>
      </w:r>
      <w:r>
        <w:t>and</w:t>
      </w:r>
      <w:r>
        <w:rPr>
          <w:spacing w:val="-14"/>
        </w:rPr>
        <w:t xml:space="preserve"> </w:t>
      </w:r>
      <w:r>
        <w:t>Sydneysiders’</w:t>
      </w:r>
      <w:r>
        <w:rPr>
          <w:spacing w:val="-14"/>
        </w:rPr>
        <w:t xml:space="preserve"> </w:t>
      </w:r>
      <w:r>
        <w:t>quality</w:t>
      </w:r>
      <w:r>
        <w:rPr>
          <w:spacing w:val="-14"/>
        </w:rPr>
        <w:t xml:space="preserve"> </w:t>
      </w:r>
      <w:r>
        <w:t>of</w:t>
      </w:r>
      <w:r>
        <w:rPr>
          <w:spacing w:val="-14"/>
        </w:rPr>
        <w:t xml:space="preserve"> </w:t>
      </w:r>
      <w:r>
        <w:t>life.</w:t>
      </w:r>
    </w:p>
    <w:p w:rsidR="002C1123" w:rsidRDefault="00F22F94">
      <w:pPr>
        <w:pStyle w:val="BodyText"/>
        <w:spacing w:before="143" w:line="249" w:lineRule="auto"/>
        <w:ind w:left="492" w:right="3"/>
      </w:pPr>
      <w:r>
        <w:rPr>
          <w:w w:val="95"/>
        </w:rPr>
        <w:t>Infrastructure NSW has identified in outline a scheme – WestConnex</w:t>
      </w:r>
      <w:r>
        <w:rPr>
          <w:spacing w:val="-1"/>
          <w:w w:val="95"/>
        </w:rPr>
        <w:t xml:space="preserve"> </w:t>
      </w:r>
      <w:r>
        <w:rPr>
          <w:w w:val="95"/>
        </w:rPr>
        <w:t>–</w:t>
      </w:r>
      <w:r>
        <w:rPr>
          <w:spacing w:val="-1"/>
          <w:w w:val="95"/>
        </w:rPr>
        <w:t xml:space="preserve"> </w:t>
      </w:r>
      <w:r>
        <w:rPr>
          <w:w w:val="95"/>
        </w:rPr>
        <w:t>that</w:t>
      </w:r>
      <w:r>
        <w:rPr>
          <w:spacing w:val="-1"/>
          <w:w w:val="95"/>
        </w:rPr>
        <w:t xml:space="preserve"> </w:t>
      </w:r>
      <w:r>
        <w:rPr>
          <w:w w:val="95"/>
        </w:rPr>
        <w:t>can</w:t>
      </w:r>
      <w:r>
        <w:rPr>
          <w:spacing w:val="-1"/>
          <w:w w:val="95"/>
        </w:rPr>
        <w:t xml:space="preserve"> </w:t>
      </w:r>
      <w:r>
        <w:rPr>
          <w:w w:val="95"/>
        </w:rPr>
        <w:t>help</w:t>
      </w:r>
      <w:r>
        <w:rPr>
          <w:spacing w:val="-1"/>
          <w:w w:val="95"/>
        </w:rPr>
        <w:t xml:space="preserve"> </w:t>
      </w:r>
      <w:r>
        <w:rPr>
          <w:w w:val="95"/>
        </w:rPr>
        <w:t>support</w:t>
      </w:r>
      <w:r>
        <w:rPr>
          <w:spacing w:val="-1"/>
          <w:w w:val="95"/>
        </w:rPr>
        <w:t xml:space="preserve"> </w:t>
      </w:r>
      <w:r>
        <w:rPr>
          <w:w w:val="95"/>
        </w:rPr>
        <w:t>freight</w:t>
      </w:r>
      <w:r>
        <w:rPr>
          <w:spacing w:val="-1"/>
          <w:w w:val="95"/>
        </w:rPr>
        <w:t xml:space="preserve"> </w:t>
      </w:r>
      <w:r>
        <w:rPr>
          <w:w w:val="95"/>
        </w:rPr>
        <w:t>and</w:t>
      </w:r>
      <w:r>
        <w:rPr>
          <w:spacing w:val="-1"/>
          <w:w w:val="95"/>
        </w:rPr>
        <w:t xml:space="preserve"> </w:t>
      </w:r>
      <w:r>
        <w:rPr>
          <w:w w:val="95"/>
        </w:rPr>
        <w:t xml:space="preserve">people </w:t>
      </w:r>
      <w:r>
        <w:t>movements</w:t>
      </w:r>
      <w:r>
        <w:rPr>
          <w:spacing w:val="-7"/>
        </w:rPr>
        <w:t xml:space="preserve"> </w:t>
      </w:r>
      <w:r>
        <w:t>across</w:t>
      </w:r>
      <w:r>
        <w:rPr>
          <w:spacing w:val="-7"/>
        </w:rPr>
        <w:t xml:space="preserve"> </w:t>
      </w:r>
      <w:r>
        <w:t>the</w:t>
      </w:r>
      <w:r>
        <w:rPr>
          <w:spacing w:val="-7"/>
        </w:rPr>
        <w:t xml:space="preserve"> </w:t>
      </w:r>
      <w:r>
        <w:t>city,</w:t>
      </w:r>
      <w:r>
        <w:rPr>
          <w:spacing w:val="-7"/>
        </w:rPr>
        <w:t xml:space="preserve"> </w:t>
      </w:r>
      <w:r>
        <w:t>and</w:t>
      </w:r>
      <w:r>
        <w:rPr>
          <w:spacing w:val="-7"/>
        </w:rPr>
        <w:t xml:space="preserve"> </w:t>
      </w:r>
      <w:r>
        <w:t>support</w:t>
      </w:r>
      <w:r>
        <w:rPr>
          <w:spacing w:val="-7"/>
        </w:rPr>
        <w:t xml:space="preserve"> </w:t>
      </w:r>
      <w:r>
        <w:t>major</w:t>
      </w:r>
      <w:r>
        <w:rPr>
          <w:spacing w:val="-7"/>
        </w:rPr>
        <w:t xml:space="preserve"> </w:t>
      </w:r>
      <w:r>
        <w:t xml:space="preserve">urban </w:t>
      </w:r>
      <w:r>
        <w:rPr>
          <w:w w:val="95"/>
        </w:rPr>
        <w:t xml:space="preserve">redevelopment. Infrastructure NSW believes that, while </w:t>
      </w:r>
      <w:r>
        <w:t>ambitious,</w:t>
      </w:r>
      <w:r>
        <w:rPr>
          <w:spacing w:val="-14"/>
        </w:rPr>
        <w:t xml:space="preserve"> </w:t>
      </w:r>
      <w:r>
        <w:t>WestConnex</w:t>
      </w:r>
      <w:r>
        <w:rPr>
          <w:spacing w:val="-14"/>
        </w:rPr>
        <w:t xml:space="preserve"> </w:t>
      </w:r>
      <w:r>
        <w:t>can</w:t>
      </w:r>
      <w:r>
        <w:rPr>
          <w:spacing w:val="-14"/>
        </w:rPr>
        <w:t xml:space="preserve"> </w:t>
      </w:r>
      <w:r>
        <w:t>be</w:t>
      </w:r>
      <w:r>
        <w:rPr>
          <w:spacing w:val="-14"/>
        </w:rPr>
        <w:t xml:space="preserve"> </w:t>
      </w:r>
      <w:r>
        <w:t>delivered</w:t>
      </w:r>
      <w:r>
        <w:rPr>
          <w:spacing w:val="-14"/>
        </w:rPr>
        <w:t xml:space="preserve"> </w:t>
      </w:r>
      <w:r>
        <w:t>in</w:t>
      </w:r>
      <w:r>
        <w:rPr>
          <w:spacing w:val="-14"/>
        </w:rPr>
        <w:t xml:space="preserve"> </w:t>
      </w:r>
      <w:r>
        <w:t>ten</w:t>
      </w:r>
      <w:r>
        <w:rPr>
          <w:spacing w:val="-14"/>
        </w:rPr>
        <w:t xml:space="preserve"> </w:t>
      </w:r>
      <w:r>
        <w:t>years with sufficient will.</w:t>
      </w:r>
    </w:p>
    <w:p w:rsidR="002C1123" w:rsidRDefault="00F22F94">
      <w:pPr>
        <w:pStyle w:val="BodyText"/>
        <w:spacing w:before="147" w:line="249" w:lineRule="auto"/>
        <w:ind w:left="492" w:right="3"/>
      </w:pPr>
      <w:r>
        <w:rPr>
          <w:w w:val="95"/>
        </w:rPr>
        <w:t>The</w:t>
      </w:r>
      <w:r>
        <w:rPr>
          <w:spacing w:val="-6"/>
          <w:w w:val="95"/>
        </w:rPr>
        <w:t xml:space="preserve"> </w:t>
      </w:r>
      <w:r>
        <w:rPr>
          <w:w w:val="95"/>
        </w:rPr>
        <w:t>delivery</w:t>
      </w:r>
      <w:r>
        <w:rPr>
          <w:spacing w:val="-6"/>
          <w:w w:val="95"/>
        </w:rPr>
        <w:t xml:space="preserve"> </w:t>
      </w:r>
      <w:r>
        <w:rPr>
          <w:w w:val="95"/>
        </w:rPr>
        <w:t>structures</w:t>
      </w:r>
      <w:r>
        <w:rPr>
          <w:spacing w:val="-6"/>
          <w:w w:val="95"/>
        </w:rPr>
        <w:t xml:space="preserve"> </w:t>
      </w:r>
      <w:r>
        <w:rPr>
          <w:w w:val="95"/>
        </w:rPr>
        <w:t>of</w:t>
      </w:r>
      <w:r>
        <w:rPr>
          <w:spacing w:val="-6"/>
          <w:w w:val="95"/>
        </w:rPr>
        <w:t xml:space="preserve"> </w:t>
      </w:r>
      <w:r>
        <w:rPr>
          <w:w w:val="95"/>
        </w:rPr>
        <w:t>the</w:t>
      </w:r>
      <w:r>
        <w:rPr>
          <w:spacing w:val="-6"/>
          <w:w w:val="95"/>
        </w:rPr>
        <w:t xml:space="preserve"> </w:t>
      </w:r>
      <w:r>
        <w:rPr>
          <w:w w:val="95"/>
        </w:rPr>
        <w:t>past</w:t>
      </w:r>
      <w:r>
        <w:rPr>
          <w:spacing w:val="-6"/>
          <w:w w:val="95"/>
        </w:rPr>
        <w:t xml:space="preserve"> </w:t>
      </w:r>
      <w:r>
        <w:rPr>
          <w:w w:val="95"/>
        </w:rPr>
        <w:t>need</w:t>
      </w:r>
      <w:r>
        <w:rPr>
          <w:spacing w:val="-6"/>
          <w:w w:val="95"/>
        </w:rPr>
        <w:t xml:space="preserve"> </w:t>
      </w:r>
      <w:r>
        <w:rPr>
          <w:w w:val="95"/>
        </w:rPr>
        <w:t>to</w:t>
      </w:r>
      <w:r>
        <w:rPr>
          <w:spacing w:val="-6"/>
          <w:w w:val="95"/>
        </w:rPr>
        <w:t xml:space="preserve"> </w:t>
      </w:r>
      <w:r>
        <w:rPr>
          <w:w w:val="95"/>
        </w:rPr>
        <w:t>be</w:t>
      </w:r>
      <w:r>
        <w:rPr>
          <w:spacing w:val="-6"/>
          <w:w w:val="95"/>
        </w:rPr>
        <w:t xml:space="preserve"> </w:t>
      </w:r>
      <w:r>
        <w:rPr>
          <w:w w:val="95"/>
        </w:rPr>
        <w:t>refreshed for WestConnex. Greater private sector involvement at the design phase, a new approach to procurement and delivery, combined with a revised tolling approach and limited Government financial support, will be needed to make</w:t>
      </w:r>
      <w:r>
        <w:rPr>
          <w:spacing w:val="-6"/>
          <w:w w:val="95"/>
        </w:rPr>
        <w:t xml:space="preserve"> </w:t>
      </w:r>
      <w:r>
        <w:rPr>
          <w:w w:val="95"/>
        </w:rPr>
        <w:t>this</w:t>
      </w:r>
      <w:r>
        <w:rPr>
          <w:spacing w:val="-6"/>
          <w:w w:val="95"/>
        </w:rPr>
        <w:t xml:space="preserve"> </w:t>
      </w:r>
      <w:r>
        <w:rPr>
          <w:w w:val="95"/>
        </w:rPr>
        <w:t>program</w:t>
      </w:r>
      <w:r>
        <w:rPr>
          <w:spacing w:val="-7"/>
          <w:w w:val="95"/>
        </w:rPr>
        <w:t xml:space="preserve"> </w:t>
      </w:r>
      <w:r>
        <w:rPr>
          <w:w w:val="95"/>
        </w:rPr>
        <w:t>viable.</w:t>
      </w:r>
      <w:r>
        <w:rPr>
          <w:spacing w:val="-6"/>
          <w:w w:val="95"/>
        </w:rPr>
        <w:t xml:space="preserve"> </w:t>
      </w:r>
      <w:r>
        <w:rPr>
          <w:w w:val="95"/>
        </w:rPr>
        <w:t>These</w:t>
      </w:r>
      <w:r>
        <w:rPr>
          <w:spacing w:val="-6"/>
          <w:w w:val="95"/>
        </w:rPr>
        <w:t xml:space="preserve"> </w:t>
      </w:r>
      <w:r>
        <w:rPr>
          <w:w w:val="95"/>
        </w:rPr>
        <w:t>issues</w:t>
      </w:r>
      <w:r>
        <w:rPr>
          <w:spacing w:val="-6"/>
          <w:w w:val="95"/>
        </w:rPr>
        <w:t xml:space="preserve"> </w:t>
      </w:r>
      <w:r>
        <w:rPr>
          <w:w w:val="95"/>
        </w:rPr>
        <w:t>are</w:t>
      </w:r>
      <w:r>
        <w:rPr>
          <w:spacing w:val="-6"/>
          <w:w w:val="95"/>
        </w:rPr>
        <w:t xml:space="preserve"> </w:t>
      </w:r>
      <w:r>
        <w:rPr>
          <w:w w:val="95"/>
        </w:rPr>
        <w:t xml:space="preserve">considered </w:t>
      </w:r>
      <w:r>
        <w:t>further in Section 16.</w:t>
      </w:r>
    </w:p>
    <w:p w:rsidR="002C1123" w:rsidRDefault="00F22F94">
      <w:pPr>
        <w:pStyle w:val="BodyText"/>
        <w:spacing w:before="147" w:line="249" w:lineRule="auto"/>
        <w:ind w:left="492" w:right="206"/>
      </w:pPr>
      <w:r>
        <w:t>Other</w:t>
      </w:r>
      <w:r>
        <w:rPr>
          <w:spacing w:val="-13"/>
        </w:rPr>
        <w:t xml:space="preserve"> </w:t>
      </w:r>
      <w:r>
        <w:t>investments</w:t>
      </w:r>
      <w:r>
        <w:rPr>
          <w:spacing w:val="-13"/>
        </w:rPr>
        <w:t xml:space="preserve"> </w:t>
      </w:r>
      <w:r>
        <w:t>in</w:t>
      </w:r>
      <w:r>
        <w:rPr>
          <w:spacing w:val="-13"/>
        </w:rPr>
        <w:t xml:space="preserve"> </w:t>
      </w:r>
      <w:r>
        <w:t>the</w:t>
      </w:r>
      <w:r>
        <w:rPr>
          <w:spacing w:val="-13"/>
        </w:rPr>
        <w:t xml:space="preserve"> </w:t>
      </w:r>
      <w:r>
        <w:t>SSRN</w:t>
      </w:r>
      <w:r>
        <w:rPr>
          <w:spacing w:val="-13"/>
        </w:rPr>
        <w:t xml:space="preserve"> </w:t>
      </w:r>
      <w:r>
        <w:t>such</w:t>
      </w:r>
      <w:r>
        <w:rPr>
          <w:spacing w:val="-13"/>
        </w:rPr>
        <w:t xml:space="preserve"> </w:t>
      </w:r>
      <w:r>
        <w:t>as</w:t>
      </w:r>
      <w:r>
        <w:rPr>
          <w:spacing w:val="-13"/>
        </w:rPr>
        <w:t xml:space="preserve"> </w:t>
      </w:r>
      <w:r>
        <w:t>F3-M2</w:t>
      </w:r>
      <w:r>
        <w:rPr>
          <w:spacing w:val="-13"/>
        </w:rPr>
        <w:t xml:space="preserve"> </w:t>
      </w:r>
      <w:r>
        <w:t>and the</w:t>
      </w:r>
      <w:r>
        <w:rPr>
          <w:spacing w:val="-14"/>
        </w:rPr>
        <w:t xml:space="preserve"> </w:t>
      </w:r>
      <w:r>
        <w:t>F6</w:t>
      </w:r>
      <w:r>
        <w:rPr>
          <w:spacing w:val="-14"/>
        </w:rPr>
        <w:t xml:space="preserve"> </w:t>
      </w:r>
      <w:r>
        <w:t>Extension</w:t>
      </w:r>
      <w:r>
        <w:rPr>
          <w:spacing w:val="-14"/>
        </w:rPr>
        <w:t xml:space="preserve"> </w:t>
      </w:r>
      <w:r>
        <w:t>are</w:t>
      </w:r>
      <w:r>
        <w:rPr>
          <w:spacing w:val="-14"/>
        </w:rPr>
        <w:t xml:space="preserve"> </w:t>
      </w:r>
      <w:r>
        <w:t>desirable,</w:t>
      </w:r>
      <w:r>
        <w:rPr>
          <w:spacing w:val="-14"/>
        </w:rPr>
        <w:t xml:space="preserve"> </w:t>
      </w:r>
      <w:r>
        <w:t>but</w:t>
      </w:r>
      <w:r>
        <w:rPr>
          <w:spacing w:val="-14"/>
        </w:rPr>
        <w:t xml:space="preserve"> </w:t>
      </w:r>
      <w:r>
        <w:t>are</w:t>
      </w:r>
      <w:r>
        <w:rPr>
          <w:spacing w:val="-14"/>
        </w:rPr>
        <w:t xml:space="preserve"> </w:t>
      </w:r>
      <w:r>
        <w:t>of</w:t>
      </w:r>
      <w:r>
        <w:rPr>
          <w:spacing w:val="-13"/>
        </w:rPr>
        <w:t xml:space="preserve"> </w:t>
      </w:r>
      <w:r>
        <w:t xml:space="preserve">lower </w:t>
      </w:r>
      <w:r>
        <w:rPr>
          <w:spacing w:val="-2"/>
        </w:rPr>
        <w:t>relative</w:t>
      </w:r>
      <w:r>
        <w:rPr>
          <w:spacing w:val="-7"/>
        </w:rPr>
        <w:t xml:space="preserve"> </w:t>
      </w:r>
      <w:r>
        <w:rPr>
          <w:spacing w:val="-2"/>
        </w:rPr>
        <w:t>priority</w:t>
      </w:r>
      <w:r>
        <w:rPr>
          <w:spacing w:val="-7"/>
        </w:rPr>
        <w:t xml:space="preserve"> </w:t>
      </w:r>
      <w:r>
        <w:rPr>
          <w:spacing w:val="-2"/>
        </w:rPr>
        <w:t>than</w:t>
      </w:r>
      <w:r>
        <w:rPr>
          <w:spacing w:val="-7"/>
        </w:rPr>
        <w:t xml:space="preserve"> </w:t>
      </w:r>
      <w:r>
        <w:rPr>
          <w:spacing w:val="-2"/>
        </w:rPr>
        <w:t>WestConnex</w:t>
      </w:r>
      <w:r>
        <w:rPr>
          <w:spacing w:val="-7"/>
        </w:rPr>
        <w:t xml:space="preserve"> </w:t>
      </w:r>
      <w:r>
        <w:rPr>
          <w:spacing w:val="-2"/>
        </w:rPr>
        <w:t>from</w:t>
      </w:r>
      <w:r>
        <w:rPr>
          <w:spacing w:val="-7"/>
        </w:rPr>
        <w:t xml:space="preserve"> </w:t>
      </w:r>
      <w:r>
        <w:rPr>
          <w:spacing w:val="-2"/>
        </w:rPr>
        <w:t>an</w:t>
      </w:r>
      <w:r>
        <w:rPr>
          <w:spacing w:val="-7"/>
        </w:rPr>
        <w:t xml:space="preserve"> </w:t>
      </w:r>
      <w:r>
        <w:rPr>
          <w:spacing w:val="-2"/>
        </w:rPr>
        <w:t xml:space="preserve">economic </w:t>
      </w:r>
      <w:r>
        <w:rPr>
          <w:w w:val="95"/>
        </w:rPr>
        <w:t>perspective. It is possible that the private sector may be</w:t>
      </w:r>
      <w:r>
        <w:rPr>
          <w:spacing w:val="-7"/>
          <w:w w:val="95"/>
        </w:rPr>
        <w:t xml:space="preserve"> </w:t>
      </w:r>
      <w:r>
        <w:rPr>
          <w:w w:val="95"/>
        </w:rPr>
        <w:t>able</w:t>
      </w:r>
      <w:r>
        <w:rPr>
          <w:spacing w:val="-7"/>
          <w:w w:val="95"/>
        </w:rPr>
        <w:t xml:space="preserve"> </w:t>
      </w:r>
      <w:r>
        <w:rPr>
          <w:w w:val="95"/>
        </w:rPr>
        <w:t>to</w:t>
      </w:r>
      <w:r>
        <w:rPr>
          <w:spacing w:val="-7"/>
          <w:w w:val="95"/>
        </w:rPr>
        <w:t xml:space="preserve"> </w:t>
      </w:r>
      <w:r>
        <w:rPr>
          <w:w w:val="95"/>
        </w:rPr>
        <w:t>offer</w:t>
      </w:r>
      <w:r>
        <w:rPr>
          <w:spacing w:val="-7"/>
          <w:w w:val="95"/>
        </w:rPr>
        <w:t xml:space="preserve"> </w:t>
      </w:r>
      <w:r>
        <w:rPr>
          <w:w w:val="95"/>
        </w:rPr>
        <w:t>proposals</w:t>
      </w:r>
      <w:r>
        <w:rPr>
          <w:spacing w:val="-7"/>
          <w:w w:val="95"/>
        </w:rPr>
        <w:t xml:space="preserve"> </w:t>
      </w:r>
      <w:r>
        <w:rPr>
          <w:w w:val="95"/>
        </w:rPr>
        <w:t>to</w:t>
      </w:r>
      <w:r>
        <w:rPr>
          <w:spacing w:val="-7"/>
          <w:w w:val="95"/>
        </w:rPr>
        <w:t xml:space="preserve"> </w:t>
      </w:r>
      <w:r>
        <w:rPr>
          <w:w w:val="95"/>
        </w:rPr>
        <w:t>accelerate</w:t>
      </w:r>
      <w:r>
        <w:rPr>
          <w:spacing w:val="-7"/>
          <w:w w:val="95"/>
        </w:rPr>
        <w:t xml:space="preserve"> </w:t>
      </w:r>
      <w:r>
        <w:rPr>
          <w:w w:val="95"/>
        </w:rPr>
        <w:t>the</w:t>
      </w:r>
      <w:r>
        <w:rPr>
          <w:spacing w:val="-7"/>
          <w:w w:val="95"/>
        </w:rPr>
        <w:t xml:space="preserve"> </w:t>
      </w:r>
      <w:r>
        <w:rPr>
          <w:w w:val="95"/>
        </w:rPr>
        <w:t>delivery</w:t>
      </w:r>
      <w:r>
        <w:rPr>
          <w:spacing w:val="-7"/>
          <w:w w:val="95"/>
        </w:rPr>
        <w:t xml:space="preserve"> </w:t>
      </w:r>
      <w:r>
        <w:rPr>
          <w:w w:val="95"/>
        </w:rPr>
        <w:t xml:space="preserve">of </w:t>
      </w:r>
      <w:r>
        <w:t>these</w:t>
      </w:r>
      <w:r>
        <w:rPr>
          <w:spacing w:val="-8"/>
        </w:rPr>
        <w:t xml:space="preserve"> </w:t>
      </w:r>
      <w:r>
        <w:t>schemes,</w:t>
      </w:r>
      <w:r>
        <w:rPr>
          <w:spacing w:val="-8"/>
        </w:rPr>
        <w:t xml:space="preserve"> </w:t>
      </w:r>
      <w:r>
        <w:t>if</w:t>
      </w:r>
      <w:r>
        <w:rPr>
          <w:spacing w:val="-8"/>
        </w:rPr>
        <w:t xml:space="preserve"> </w:t>
      </w:r>
      <w:r>
        <w:t>construction</w:t>
      </w:r>
      <w:r>
        <w:rPr>
          <w:spacing w:val="-8"/>
        </w:rPr>
        <w:t xml:space="preserve"> </w:t>
      </w:r>
      <w:r>
        <w:t>costs</w:t>
      </w:r>
      <w:r>
        <w:rPr>
          <w:spacing w:val="-8"/>
        </w:rPr>
        <w:t xml:space="preserve"> </w:t>
      </w:r>
      <w:r>
        <w:t>can</w:t>
      </w:r>
      <w:r>
        <w:rPr>
          <w:spacing w:val="-8"/>
        </w:rPr>
        <w:t xml:space="preserve"> </w:t>
      </w:r>
      <w:r>
        <w:t>be</w:t>
      </w:r>
      <w:r>
        <w:rPr>
          <w:spacing w:val="-8"/>
        </w:rPr>
        <w:t xml:space="preserve"> </w:t>
      </w:r>
      <w:r>
        <w:t>kept</w:t>
      </w:r>
      <w:r>
        <w:rPr>
          <w:spacing w:val="-8"/>
        </w:rPr>
        <w:t xml:space="preserve"> </w:t>
      </w:r>
      <w:r>
        <w:t>to reasonable</w:t>
      </w:r>
      <w:r>
        <w:rPr>
          <w:spacing w:val="-11"/>
        </w:rPr>
        <w:t xml:space="preserve"> </w:t>
      </w:r>
      <w:r>
        <w:t>levels.</w:t>
      </w:r>
    </w:p>
    <w:p w:rsidR="002C1123" w:rsidRDefault="00F22F94">
      <w:pPr>
        <w:rPr>
          <w:sz w:val="24"/>
        </w:rPr>
      </w:pPr>
      <w:r>
        <w:br w:type="column"/>
      </w:r>
    </w:p>
    <w:p w:rsidR="002C1123" w:rsidRDefault="002C1123">
      <w:pPr>
        <w:pStyle w:val="BodyText"/>
        <w:spacing w:before="4"/>
        <w:rPr>
          <w:sz w:val="25"/>
        </w:rPr>
      </w:pPr>
    </w:p>
    <w:p w:rsidR="002C1123" w:rsidRDefault="00F22F94">
      <w:pPr>
        <w:pStyle w:val="BodyText"/>
        <w:spacing w:line="249" w:lineRule="auto"/>
        <w:ind w:left="215" w:right="6097"/>
      </w:pPr>
      <w:r>
        <w:t>Outside</w:t>
      </w:r>
      <w:r>
        <w:rPr>
          <w:spacing w:val="-9"/>
        </w:rPr>
        <w:t xml:space="preserve"> </w:t>
      </w:r>
      <w:r>
        <w:t>of</w:t>
      </w:r>
      <w:r>
        <w:rPr>
          <w:spacing w:val="-9"/>
        </w:rPr>
        <w:t xml:space="preserve"> </w:t>
      </w:r>
      <w:r>
        <w:t>the</w:t>
      </w:r>
      <w:r>
        <w:rPr>
          <w:spacing w:val="-9"/>
        </w:rPr>
        <w:t xml:space="preserve"> </w:t>
      </w:r>
      <w:r>
        <w:t>Sydney</w:t>
      </w:r>
      <w:r>
        <w:rPr>
          <w:spacing w:val="-9"/>
        </w:rPr>
        <w:t xml:space="preserve"> </w:t>
      </w:r>
      <w:r>
        <w:t>Strategic</w:t>
      </w:r>
      <w:r>
        <w:rPr>
          <w:spacing w:val="-9"/>
        </w:rPr>
        <w:t xml:space="preserve"> </w:t>
      </w:r>
      <w:r>
        <w:t>Road</w:t>
      </w:r>
      <w:r>
        <w:rPr>
          <w:spacing w:val="-9"/>
        </w:rPr>
        <w:t xml:space="preserve"> </w:t>
      </w:r>
      <w:r>
        <w:t>Network, investment</w:t>
      </w:r>
      <w:r>
        <w:rPr>
          <w:spacing w:val="-2"/>
        </w:rPr>
        <w:t xml:space="preserve"> </w:t>
      </w:r>
      <w:r>
        <w:t>is</w:t>
      </w:r>
      <w:r>
        <w:rPr>
          <w:spacing w:val="-2"/>
        </w:rPr>
        <w:t xml:space="preserve"> </w:t>
      </w:r>
      <w:r>
        <w:t>needed</w:t>
      </w:r>
      <w:r>
        <w:rPr>
          <w:spacing w:val="-2"/>
        </w:rPr>
        <w:t xml:space="preserve"> </w:t>
      </w:r>
      <w:r>
        <w:t>to</w:t>
      </w:r>
      <w:r>
        <w:rPr>
          <w:spacing w:val="-2"/>
        </w:rPr>
        <w:t xml:space="preserve"> </w:t>
      </w:r>
      <w:r>
        <w:t>unblock</w:t>
      </w:r>
      <w:r>
        <w:rPr>
          <w:spacing w:val="-2"/>
        </w:rPr>
        <w:t xml:space="preserve"> </w:t>
      </w:r>
      <w:r>
        <w:t>the</w:t>
      </w:r>
      <w:r>
        <w:rPr>
          <w:spacing w:val="-2"/>
        </w:rPr>
        <w:t xml:space="preserve"> </w:t>
      </w:r>
      <w:r>
        <w:t xml:space="preserve">most </w:t>
      </w:r>
      <w:r>
        <w:rPr>
          <w:w w:val="95"/>
        </w:rPr>
        <w:t xml:space="preserve">congested spots and provide access to important </w:t>
      </w:r>
      <w:r>
        <w:t>and growing centres.</w:t>
      </w:r>
    </w:p>
    <w:p w:rsidR="002C1123" w:rsidRDefault="00F22F94">
      <w:pPr>
        <w:pStyle w:val="Heading6"/>
        <w:numPr>
          <w:ilvl w:val="2"/>
          <w:numId w:val="97"/>
        </w:numPr>
        <w:tabs>
          <w:tab w:val="left" w:pos="702"/>
        </w:tabs>
        <w:spacing w:before="145"/>
        <w:ind w:left="701" w:hanging="487"/>
        <w:jc w:val="left"/>
      </w:pPr>
      <w:r>
        <w:rPr>
          <w:color w:val="00AEEF"/>
          <w:spacing w:val="-2"/>
        </w:rPr>
        <w:t>Recommended</w:t>
      </w:r>
      <w:r>
        <w:rPr>
          <w:color w:val="00AEEF"/>
          <w:spacing w:val="1"/>
        </w:rPr>
        <w:t xml:space="preserve"> </w:t>
      </w:r>
      <w:r>
        <w:rPr>
          <w:color w:val="00AEEF"/>
          <w:spacing w:val="-2"/>
        </w:rPr>
        <w:t>Actions</w:t>
      </w:r>
    </w:p>
    <w:p w:rsidR="002C1123" w:rsidRDefault="002060EF">
      <w:pPr>
        <w:tabs>
          <w:tab w:val="left" w:pos="4315"/>
          <w:tab w:val="left" w:pos="5336"/>
          <w:tab w:val="left" w:pos="6607"/>
        </w:tabs>
        <w:spacing w:before="196"/>
        <w:ind w:left="985"/>
        <w:rPr>
          <w:b/>
          <w:sz w:val="18"/>
        </w:rPr>
      </w:pPr>
      <w:r>
        <w:pict>
          <v:shape id="docshape1210" o:spid="_x0000_s4032" type="#_x0000_t202" style="position:absolute;left:0;text-align:left;margin-left:300.95pt;margin-top:20.6pt;width:491.35pt;height:277.65pt;z-index:251379712;mso-position-horizontal-relative:page" filled="f" stroked="f">
            <v:textbox inset="0,0,0,0">
              <w:txbxContent>
                <w:tbl>
                  <w:tblPr>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47"/>
                    <w:gridCol w:w="3331"/>
                    <w:gridCol w:w="1021"/>
                    <w:gridCol w:w="1271"/>
                    <w:gridCol w:w="3538"/>
                  </w:tblGrid>
                  <w:tr w:rsidR="00F22F94">
                    <w:trPr>
                      <w:trHeight w:val="345"/>
                    </w:trPr>
                    <w:tc>
                      <w:tcPr>
                        <w:tcW w:w="647" w:type="dxa"/>
                        <w:tcBorders>
                          <w:top w:val="nil"/>
                        </w:tcBorders>
                        <w:shd w:val="clear" w:color="auto" w:fill="C9C8C9"/>
                      </w:tcPr>
                      <w:p w:rsidR="00F22F94" w:rsidRDefault="00F22F94">
                        <w:pPr>
                          <w:pStyle w:val="TableParagraph"/>
                          <w:spacing w:before="0"/>
                          <w:ind w:left="0"/>
                          <w:rPr>
                            <w:rFonts w:ascii="Times New Roman"/>
                            <w:sz w:val="18"/>
                          </w:rPr>
                        </w:pPr>
                      </w:p>
                    </w:tc>
                    <w:tc>
                      <w:tcPr>
                        <w:tcW w:w="3331" w:type="dxa"/>
                        <w:tcBorders>
                          <w:top w:val="nil"/>
                        </w:tcBorders>
                        <w:shd w:val="clear" w:color="auto" w:fill="C9C8C9"/>
                      </w:tcPr>
                      <w:p w:rsidR="00F22F94" w:rsidRDefault="00F22F94">
                        <w:pPr>
                          <w:pStyle w:val="TableParagraph"/>
                          <w:spacing w:before="73"/>
                          <w:ind w:left="112"/>
                          <w:rPr>
                            <w:b/>
                            <w:sz w:val="18"/>
                          </w:rPr>
                        </w:pPr>
                        <w:r>
                          <w:rPr>
                            <w:b/>
                            <w:sz w:val="18"/>
                          </w:rPr>
                          <w:t>Section</w:t>
                        </w:r>
                        <w:r>
                          <w:rPr>
                            <w:b/>
                            <w:spacing w:val="-8"/>
                            <w:sz w:val="18"/>
                          </w:rPr>
                          <w:t xml:space="preserve"> </w:t>
                        </w:r>
                        <w:r>
                          <w:rPr>
                            <w:b/>
                            <w:sz w:val="18"/>
                          </w:rPr>
                          <w:t>6</w:t>
                        </w:r>
                        <w:r>
                          <w:rPr>
                            <w:b/>
                            <w:spacing w:val="-8"/>
                            <w:sz w:val="18"/>
                          </w:rPr>
                          <w:t xml:space="preserve"> </w:t>
                        </w:r>
                        <w:r>
                          <w:rPr>
                            <w:b/>
                            <w:sz w:val="18"/>
                          </w:rPr>
                          <w:t>Urban</w:t>
                        </w:r>
                        <w:r>
                          <w:rPr>
                            <w:b/>
                            <w:spacing w:val="-8"/>
                            <w:sz w:val="18"/>
                          </w:rPr>
                          <w:t xml:space="preserve"> </w:t>
                        </w:r>
                        <w:r>
                          <w:rPr>
                            <w:b/>
                            <w:spacing w:val="-2"/>
                            <w:sz w:val="18"/>
                          </w:rPr>
                          <w:t>Roads</w:t>
                        </w:r>
                      </w:p>
                    </w:tc>
                    <w:tc>
                      <w:tcPr>
                        <w:tcW w:w="1021" w:type="dxa"/>
                        <w:tcBorders>
                          <w:top w:val="nil"/>
                        </w:tcBorders>
                        <w:shd w:val="clear" w:color="auto" w:fill="C9C8C9"/>
                      </w:tcPr>
                      <w:p w:rsidR="00F22F94" w:rsidRDefault="00F22F94">
                        <w:pPr>
                          <w:pStyle w:val="TableParagraph"/>
                          <w:spacing w:before="0"/>
                          <w:ind w:left="0"/>
                          <w:rPr>
                            <w:rFonts w:ascii="Times New Roman"/>
                            <w:sz w:val="18"/>
                          </w:rPr>
                        </w:pPr>
                      </w:p>
                    </w:tc>
                    <w:tc>
                      <w:tcPr>
                        <w:tcW w:w="1271" w:type="dxa"/>
                        <w:tcBorders>
                          <w:top w:val="nil"/>
                        </w:tcBorders>
                        <w:shd w:val="clear" w:color="auto" w:fill="C9C8C9"/>
                      </w:tcPr>
                      <w:p w:rsidR="00F22F94" w:rsidRDefault="00F22F94">
                        <w:pPr>
                          <w:pStyle w:val="TableParagraph"/>
                          <w:spacing w:before="0"/>
                          <w:ind w:left="0"/>
                          <w:rPr>
                            <w:rFonts w:ascii="Times New Roman"/>
                            <w:sz w:val="18"/>
                          </w:rPr>
                        </w:pPr>
                      </w:p>
                    </w:tc>
                    <w:tc>
                      <w:tcPr>
                        <w:tcW w:w="3538" w:type="dxa"/>
                        <w:tcBorders>
                          <w:top w:val="nil"/>
                        </w:tcBorders>
                        <w:shd w:val="clear" w:color="auto" w:fill="C9C8C9"/>
                      </w:tcPr>
                      <w:p w:rsidR="00F22F94" w:rsidRDefault="00F22F94">
                        <w:pPr>
                          <w:pStyle w:val="TableParagraph"/>
                          <w:spacing w:before="0"/>
                          <w:ind w:left="0"/>
                          <w:rPr>
                            <w:rFonts w:ascii="Times New Roman"/>
                            <w:sz w:val="18"/>
                          </w:rPr>
                        </w:pPr>
                      </w:p>
                    </w:tc>
                  </w:tr>
                  <w:tr w:rsidR="00F22F94">
                    <w:trPr>
                      <w:trHeight w:val="681"/>
                    </w:trPr>
                    <w:tc>
                      <w:tcPr>
                        <w:tcW w:w="647" w:type="dxa"/>
                        <w:shd w:val="clear" w:color="auto" w:fill="E1E0E1"/>
                      </w:tcPr>
                      <w:p w:rsidR="00F22F94" w:rsidRDefault="00F22F94">
                        <w:pPr>
                          <w:pStyle w:val="TableParagraph"/>
                          <w:rPr>
                            <w:sz w:val="16"/>
                          </w:rPr>
                        </w:pPr>
                        <w:r>
                          <w:rPr>
                            <w:w w:val="99"/>
                            <w:sz w:val="16"/>
                          </w:rPr>
                          <w:t>1</w:t>
                        </w:r>
                      </w:p>
                    </w:tc>
                    <w:tc>
                      <w:tcPr>
                        <w:tcW w:w="3331" w:type="dxa"/>
                        <w:shd w:val="clear" w:color="auto" w:fill="E1E0E1"/>
                      </w:tcPr>
                      <w:p w:rsidR="00F22F94" w:rsidRDefault="00F22F94">
                        <w:pPr>
                          <w:pStyle w:val="TableParagraph"/>
                          <w:spacing w:line="261" w:lineRule="auto"/>
                          <w:ind w:right="496"/>
                          <w:rPr>
                            <w:sz w:val="16"/>
                          </w:rPr>
                        </w:pPr>
                        <w:r>
                          <w:rPr>
                            <w:spacing w:val="-2"/>
                            <w:w w:val="105"/>
                            <w:sz w:val="16"/>
                          </w:rPr>
                          <w:t>WestConnex</w:t>
                        </w:r>
                        <w:r>
                          <w:rPr>
                            <w:spacing w:val="-10"/>
                            <w:w w:val="105"/>
                            <w:sz w:val="16"/>
                          </w:rPr>
                          <w:t xml:space="preserve"> </w:t>
                        </w:r>
                        <w:r>
                          <w:rPr>
                            <w:spacing w:val="-2"/>
                            <w:w w:val="105"/>
                            <w:sz w:val="16"/>
                          </w:rPr>
                          <w:t>planning</w:t>
                        </w:r>
                        <w:r>
                          <w:rPr>
                            <w:spacing w:val="-10"/>
                            <w:w w:val="105"/>
                            <w:sz w:val="16"/>
                          </w:rPr>
                          <w:t xml:space="preserve"> </w:t>
                        </w:r>
                        <w:r>
                          <w:rPr>
                            <w:spacing w:val="-2"/>
                            <w:w w:val="105"/>
                            <w:sz w:val="16"/>
                          </w:rPr>
                          <w:t>and</w:t>
                        </w:r>
                        <w:r>
                          <w:rPr>
                            <w:spacing w:val="-9"/>
                            <w:w w:val="105"/>
                            <w:sz w:val="16"/>
                          </w:rPr>
                          <w:t xml:space="preserve"> </w:t>
                        </w:r>
                        <w:r>
                          <w:rPr>
                            <w:spacing w:val="-2"/>
                            <w:w w:val="105"/>
                            <w:sz w:val="16"/>
                          </w:rPr>
                          <w:t>delivery</w:t>
                        </w:r>
                        <w:r>
                          <w:rPr>
                            <w:spacing w:val="-10"/>
                            <w:w w:val="105"/>
                            <w:sz w:val="16"/>
                          </w:rPr>
                          <w:t xml:space="preserve"> </w:t>
                        </w:r>
                        <w:r>
                          <w:rPr>
                            <w:spacing w:val="-2"/>
                            <w:w w:val="105"/>
                            <w:sz w:val="16"/>
                          </w:rPr>
                          <w:t xml:space="preserve">of </w:t>
                        </w:r>
                        <w:r>
                          <w:rPr>
                            <w:w w:val="105"/>
                            <w:sz w:val="16"/>
                          </w:rPr>
                          <w:t>initial</w:t>
                        </w:r>
                        <w:r>
                          <w:rPr>
                            <w:spacing w:val="-6"/>
                            <w:w w:val="105"/>
                            <w:sz w:val="16"/>
                          </w:rPr>
                          <w:t xml:space="preserve"> </w:t>
                        </w:r>
                        <w:r>
                          <w:rPr>
                            <w:w w:val="105"/>
                            <w:sz w:val="16"/>
                          </w:rPr>
                          <w:t>phases</w:t>
                        </w:r>
                      </w:p>
                    </w:tc>
                    <w:tc>
                      <w:tcPr>
                        <w:tcW w:w="1021" w:type="dxa"/>
                        <w:shd w:val="clear" w:color="auto" w:fill="E1E0E1"/>
                      </w:tcPr>
                      <w:p w:rsidR="00F22F94" w:rsidRDefault="00F22F94">
                        <w:pPr>
                          <w:pStyle w:val="TableParagraph"/>
                          <w:ind w:left="112"/>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271" w:type="dxa"/>
                        <w:shd w:val="clear" w:color="auto" w:fill="E1E0E1"/>
                      </w:tcPr>
                      <w:p w:rsidR="00F22F94" w:rsidRDefault="00F22F94">
                        <w:pPr>
                          <w:pStyle w:val="TableParagraph"/>
                          <w:ind w:left="112"/>
                          <w:rPr>
                            <w:sz w:val="16"/>
                          </w:rPr>
                        </w:pPr>
                        <w:r>
                          <w:rPr>
                            <w:w w:val="95"/>
                            <w:sz w:val="16"/>
                          </w:rPr>
                          <w:t>Major</w:t>
                        </w:r>
                        <w:r>
                          <w:rPr>
                            <w:spacing w:val="-2"/>
                            <w:sz w:val="16"/>
                          </w:rPr>
                          <w:t xml:space="preserve"> </w:t>
                        </w:r>
                        <w:r>
                          <w:rPr>
                            <w:spacing w:val="-2"/>
                            <w:w w:val="95"/>
                            <w:sz w:val="16"/>
                          </w:rPr>
                          <w:t>project</w:t>
                        </w:r>
                      </w:p>
                    </w:tc>
                    <w:tc>
                      <w:tcPr>
                        <w:tcW w:w="3538" w:type="dxa"/>
                        <w:shd w:val="clear" w:color="auto" w:fill="E1E0E1"/>
                      </w:tcPr>
                      <w:p w:rsidR="00F22F94" w:rsidRDefault="00F22F94">
                        <w:pPr>
                          <w:pStyle w:val="TableParagraph"/>
                          <w:spacing w:before="70" w:line="235" w:lineRule="auto"/>
                          <w:ind w:left="112" w:right="214"/>
                          <w:rPr>
                            <w:sz w:val="16"/>
                          </w:rPr>
                        </w:pPr>
                        <w:r>
                          <w:rPr>
                            <w:sz w:val="16"/>
                          </w:rPr>
                          <w:t>Target</w:t>
                        </w:r>
                        <w:r>
                          <w:rPr>
                            <w:spacing w:val="-1"/>
                            <w:sz w:val="16"/>
                          </w:rPr>
                          <w:t xml:space="preserve"> </w:t>
                        </w:r>
                        <w:r>
                          <w:rPr>
                            <w:sz w:val="16"/>
                          </w:rPr>
                          <w:t>estimate</w:t>
                        </w:r>
                        <w:r>
                          <w:rPr>
                            <w:spacing w:val="-2"/>
                            <w:sz w:val="16"/>
                          </w:rPr>
                          <w:t xml:space="preserve"> </w:t>
                        </w:r>
                        <w:r>
                          <w:rPr>
                            <w:sz w:val="16"/>
                          </w:rPr>
                          <w:t>of</w:t>
                        </w:r>
                        <w:r>
                          <w:rPr>
                            <w:spacing w:val="-1"/>
                            <w:sz w:val="16"/>
                          </w:rPr>
                          <w:t xml:space="preserve"> </w:t>
                        </w:r>
                        <w:r>
                          <w:rPr>
                            <w:sz w:val="16"/>
                          </w:rPr>
                          <w:t>$10</w:t>
                        </w:r>
                        <w:r>
                          <w:rPr>
                            <w:spacing w:val="-2"/>
                            <w:sz w:val="16"/>
                          </w:rPr>
                          <w:t xml:space="preserve"> </w:t>
                        </w:r>
                        <w:r>
                          <w:rPr>
                            <w:sz w:val="16"/>
                          </w:rPr>
                          <w:t>billion.</w:t>
                        </w:r>
                        <w:r>
                          <w:rPr>
                            <w:spacing w:val="-1"/>
                            <w:sz w:val="16"/>
                          </w:rPr>
                          <w:t xml:space="preserve"> </w:t>
                        </w:r>
                        <w:r>
                          <w:rPr>
                            <w:sz w:val="16"/>
                          </w:rPr>
                          <w:t xml:space="preserve">Modelling </w:t>
                        </w:r>
                        <w:r>
                          <w:rPr>
                            <w:w w:val="95"/>
                            <w:sz w:val="16"/>
                          </w:rPr>
                          <w:t>indicates a government funding requirement of</w:t>
                        </w:r>
                      </w:p>
                      <w:p w:rsidR="00F22F94" w:rsidRDefault="00F22F94">
                        <w:pPr>
                          <w:pStyle w:val="TableParagraph"/>
                          <w:spacing w:before="0" w:line="180" w:lineRule="exact"/>
                          <w:ind w:left="112"/>
                          <w:rPr>
                            <w:sz w:val="16"/>
                          </w:rPr>
                        </w:pPr>
                        <w:r>
                          <w:rPr>
                            <w:spacing w:val="-2"/>
                            <w:sz w:val="16"/>
                          </w:rPr>
                          <w:t>$2.5</w:t>
                        </w:r>
                        <w:r>
                          <w:rPr>
                            <w:spacing w:val="-8"/>
                            <w:sz w:val="16"/>
                          </w:rPr>
                          <w:t xml:space="preserve"> </w:t>
                        </w:r>
                        <w:r>
                          <w:rPr>
                            <w:spacing w:val="-2"/>
                            <w:sz w:val="16"/>
                          </w:rPr>
                          <w:t>billion.</w:t>
                        </w:r>
                      </w:p>
                    </w:tc>
                  </w:tr>
                  <w:tr w:rsidR="00F22F94">
                    <w:trPr>
                      <w:trHeight w:val="521"/>
                    </w:trPr>
                    <w:tc>
                      <w:tcPr>
                        <w:tcW w:w="647" w:type="dxa"/>
                        <w:shd w:val="clear" w:color="auto" w:fill="E1E0E1"/>
                      </w:tcPr>
                      <w:p w:rsidR="00F22F94" w:rsidRDefault="00F22F94">
                        <w:pPr>
                          <w:pStyle w:val="TableParagraph"/>
                          <w:rPr>
                            <w:sz w:val="16"/>
                          </w:rPr>
                        </w:pPr>
                        <w:r>
                          <w:rPr>
                            <w:w w:val="99"/>
                            <w:sz w:val="16"/>
                          </w:rPr>
                          <w:t>2</w:t>
                        </w:r>
                      </w:p>
                    </w:tc>
                    <w:tc>
                      <w:tcPr>
                        <w:tcW w:w="3331" w:type="dxa"/>
                        <w:shd w:val="clear" w:color="auto" w:fill="E1E0E1"/>
                      </w:tcPr>
                      <w:p w:rsidR="00F22F94" w:rsidRDefault="00F22F94">
                        <w:pPr>
                          <w:pStyle w:val="TableParagraph"/>
                          <w:spacing w:line="261" w:lineRule="auto"/>
                          <w:ind w:right="9"/>
                          <w:rPr>
                            <w:sz w:val="16"/>
                          </w:rPr>
                        </w:pPr>
                        <w:r>
                          <w:rPr>
                            <w:spacing w:val="-2"/>
                            <w:w w:val="105"/>
                            <w:sz w:val="16"/>
                          </w:rPr>
                          <w:t>Pinch</w:t>
                        </w:r>
                        <w:r>
                          <w:rPr>
                            <w:spacing w:val="-10"/>
                            <w:w w:val="105"/>
                            <w:sz w:val="16"/>
                          </w:rPr>
                          <w:t xml:space="preserve"> </w:t>
                        </w:r>
                        <w:r>
                          <w:rPr>
                            <w:spacing w:val="-2"/>
                            <w:w w:val="105"/>
                            <w:sz w:val="16"/>
                          </w:rPr>
                          <w:t>points</w:t>
                        </w:r>
                        <w:r>
                          <w:rPr>
                            <w:spacing w:val="-10"/>
                            <w:w w:val="105"/>
                            <w:sz w:val="16"/>
                          </w:rPr>
                          <w:t xml:space="preserve"> </w:t>
                        </w:r>
                        <w:r>
                          <w:rPr>
                            <w:spacing w:val="-2"/>
                            <w:w w:val="105"/>
                            <w:sz w:val="16"/>
                          </w:rPr>
                          <w:t>program</w:t>
                        </w:r>
                        <w:r>
                          <w:rPr>
                            <w:spacing w:val="-9"/>
                            <w:w w:val="105"/>
                            <w:sz w:val="16"/>
                          </w:rPr>
                          <w:t xml:space="preserve"> </w:t>
                        </w:r>
                        <w:r>
                          <w:rPr>
                            <w:spacing w:val="-2"/>
                            <w:w w:val="105"/>
                            <w:sz w:val="16"/>
                          </w:rPr>
                          <w:t>around</w:t>
                        </w:r>
                        <w:r>
                          <w:rPr>
                            <w:spacing w:val="-10"/>
                            <w:w w:val="105"/>
                            <w:sz w:val="16"/>
                          </w:rPr>
                          <w:t xml:space="preserve"> </w:t>
                        </w:r>
                        <w:r>
                          <w:rPr>
                            <w:spacing w:val="-2"/>
                            <w:w w:val="105"/>
                            <w:sz w:val="16"/>
                          </w:rPr>
                          <w:t xml:space="preserve">Parramatta </w:t>
                        </w:r>
                        <w:r>
                          <w:rPr>
                            <w:w w:val="105"/>
                            <w:sz w:val="16"/>
                          </w:rPr>
                          <w:t>and other growing centres</w:t>
                        </w:r>
                      </w:p>
                    </w:tc>
                    <w:tc>
                      <w:tcPr>
                        <w:tcW w:w="1021" w:type="dxa"/>
                        <w:shd w:val="clear" w:color="auto" w:fill="E1E0E1"/>
                      </w:tcPr>
                      <w:p w:rsidR="00F22F94" w:rsidRDefault="00F22F94">
                        <w:pPr>
                          <w:pStyle w:val="TableParagraph"/>
                          <w:ind w:left="112"/>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271" w:type="dxa"/>
                        <w:shd w:val="clear" w:color="auto" w:fill="E1E0E1"/>
                      </w:tcPr>
                      <w:p w:rsidR="00F22F94" w:rsidRDefault="00F22F94">
                        <w:pPr>
                          <w:pStyle w:val="TableParagraph"/>
                          <w:ind w:left="112"/>
                          <w:rPr>
                            <w:sz w:val="16"/>
                          </w:rPr>
                        </w:pPr>
                        <w:r>
                          <w:rPr>
                            <w:spacing w:val="-2"/>
                            <w:sz w:val="16"/>
                          </w:rPr>
                          <w:t>Program</w:t>
                        </w:r>
                      </w:p>
                    </w:tc>
                    <w:tc>
                      <w:tcPr>
                        <w:tcW w:w="3538" w:type="dxa"/>
                        <w:shd w:val="clear" w:color="auto" w:fill="E1E0E1"/>
                      </w:tcPr>
                      <w:p w:rsidR="00F22F94" w:rsidRDefault="00F22F94">
                        <w:pPr>
                          <w:pStyle w:val="TableParagraph"/>
                          <w:ind w:left="112"/>
                          <w:rPr>
                            <w:sz w:val="16"/>
                          </w:rPr>
                        </w:pPr>
                        <w:r>
                          <w:rPr>
                            <w:sz w:val="16"/>
                          </w:rPr>
                          <w:t>Scoping</w:t>
                        </w:r>
                        <w:r>
                          <w:rPr>
                            <w:spacing w:val="-11"/>
                            <w:sz w:val="16"/>
                          </w:rPr>
                          <w:t xml:space="preserve"> </w:t>
                        </w:r>
                        <w:r>
                          <w:rPr>
                            <w:sz w:val="16"/>
                          </w:rPr>
                          <w:t>of</w:t>
                        </w:r>
                        <w:r>
                          <w:rPr>
                            <w:spacing w:val="-10"/>
                            <w:sz w:val="16"/>
                          </w:rPr>
                          <w:t xml:space="preserve"> </w:t>
                        </w:r>
                        <w:r>
                          <w:rPr>
                            <w:sz w:val="16"/>
                          </w:rPr>
                          <w:t>$300</w:t>
                        </w:r>
                        <w:r>
                          <w:rPr>
                            <w:spacing w:val="-10"/>
                            <w:sz w:val="16"/>
                          </w:rPr>
                          <w:t xml:space="preserve"> </w:t>
                        </w:r>
                        <w:r>
                          <w:rPr>
                            <w:spacing w:val="-2"/>
                            <w:sz w:val="16"/>
                          </w:rPr>
                          <w:t>million</w:t>
                        </w:r>
                      </w:p>
                    </w:tc>
                  </w:tr>
                  <w:tr w:rsidR="00F22F94">
                    <w:trPr>
                      <w:trHeight w:val="681"/>
                    </w:trPr>
                    <w:tc>
                      <w:tcPr>
                        <w:tcW w:w="647" w:type="dxa"/>
                        <w:shd w:val="clear" w:color="auto" w:fill="E1E0E1"/>
                      </w:tcPr>
                      <w:p w:rsidR="00F22F94" w:rsidRDefault="00F22F94">
                        <w:pPr>
                          <w:pStyle w:val="TableParagraph"/>
                          <w:rPr>
                            <w:sz w:val="16"/>
                          </w:rPr>
                        </w:pPr>
                        <w:r>
                          <w:rPr>
                            <w:w w:val="99"/>
                            <w:sz w:val="16"/>
                          </w:rPr>
                          <w:t>3</w:t>
                        </w:r>
                      </w:p>
                    </w:tc>
                    <w:tc>
                      <w:tcPr>
                        <w:tcW w:w="3331" w:type="dxa"/>
                        <w:shd w:val="clear" w:color="auto" w:fill="E1E0E1"/>
                      </w:tcPr>
                      <w:p w:rsidR="00F22F94" w:rsidRDefault="00F22F94">
                        <w:pPr>
                          <w:pStyle w:val="TableParagraph"/>
                          <w:spacing w:line="261" w:lineRule="auto"/>
                          <w:rPr>
                            <w:sz w:val="16"/>
                          </w:rPr>
                        </w:pPr>
                        <w:r>
                          <w:rPr>
                            <w:spacing w:val="-2"/>
                            <w:w w:val="105"/>
                            <w:sz w:val="16"/>
                          </w:rPr>
                          <w:t>Identify</w:t>
                        </w:r>
                        <w:r>
                          <w:rPr>
                            <w:spacing w:val="-8"/>
                            <w:w w:val="105"/>
                            <w:sz w:val="16"/>
                          </w:rPr>
                          <w:t xml:space="preserve"> </w:t>
                        </w:r>
                        <w:r>
                          <w:rPr>
                            <w:spacing w:val="-2"/>
                            <w:w w:val="105"/>
                            <w:sz w:val="16"/>
                          </w:rPr>
                          <w:t>and</w:t>
                        </w:r>
                        <w:r>
                          <w:rPr>
                            <w:spacing w:val="-8"/>
                            <w:w w:val="105"/>
                            <w:sz w:val="16"/>
                          </w:rPr>
                          <w:t xml:space="preserve"> </w:t>
                        </w:r>
                        <w:r>
                          <w:rPr>
                            <w:spacing w:val="-2"/>
                            <w:w w:val="105"/>
                            <w:sz w:val="16"/>
                          </w:rPr>
                          <w:t>preserve</w:t>
                        </w:r>
                        <w:r>
                          <w:rPr>
                            <w:spacing w:val="-8"/>
                            <w:w w:val="105"/>
                            <w:sz w:val="16"/>
                          </w:rPr>
                          <w:t xml:space="preserve"> </w:t>
                        </w:r>
                        <w:r>
                          <w:rPr>
                            <w:spacing w:val="-2"/>
                            <w:w w:val="105"/>
                            <w:sz w:val="16"/>
                          </w:rPr>
                          <w:t>corridor</w:t>
                        </w:r>
                        <w:r>
                          <w:rPr>
                            <w:spacing w:val="-8"/>
                            <w:w w:val="105"/>
                            <w:sz w:val="16"/>
                          </w:rPr>
                          <w:t xml:space="preserve"> </w:t>
                        </w:r>
                        <w:r>
                          <w:rPr>
                            <w:spacing w:val="-2"/>
                            <w:w w:val="105"/>
                            <w:sz w:val="16"/>
                          </w:rPr>
                          <w:t>for</w:t>
                        </w:r>
                        <w:r>
                          <w:rPr>
                            <w:spacing w:val="-8"/>
                            <w:w w:val="105"/>
                            <w:sz w:val="16"/>
                          </w:rPr>
                          <w:t xml:space="preserve"> </w:t>
                        </w:r>
                        <w:r>
                          <w:rPr>
                            <w:spacing w:val="-2"/>
                            <w:w w:val="105"/>
                            <w:sz w:val="16"/>
                          </w:rPr>
                          <w:t xml:space="preserve">Outer </w:t>
                        </w:r>
                        <w:r>
                          <w:rPr>
                            <w:w w:val="105"/>
                            <w:sz w:val="16"/>
                          </w:rPr>
                          <w:t>Western Sydney Orbital</w:t>
                        </w:r>
                      </w:p>
                    </w:tc>
                    <w:tc>
                      <w:tcPr>
                        <w:tcW w:w="1021" w:type="dxa"/>
                        <w:shd w:val="clear" w:color="auto" w:fill="E1E0E1"/>
                      </w:tcPr>
                      <w:p w:rsidR="00F22F94" w:rsidRDefault="00F22F94">
                        <w:pPr>
                          <w:pStyle w:val="TableParagraph"/>
                          <w:ind w:left="112"/>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271" w:type="dxa"/>
                        <w:shd w:val="clear" w:color="auto" w:fill="E1E0E1"/>
                      </w:tcPr>
                      <w:p w:rsidR="00F22F94" w:rsidRDefault="00F22F94">
                        <w:pPr>
                          <w:pStyle w:val="TableParagraph"/>
                          <w:ind w:left="112"/>
                          <w:rPr>
                            <w:sz w:val="16"/>
                          </w:rPr>
                        </w:pPr>
                        <w:r>
                          <w:rPr>
                            <w:spacing w:val="-2"/>
                            <w:sz w:val="16"/>
                          </w:rPr>
                          <w:t>Corridor</w:t>
                        </w:r>
                      </w:p>
                    </w:tc>
                    <w:tc>
                      <w:tcPr>
                        <w:tcW w:w="3538" w:type="dxa"/>
                        <w:shd w:val="clear" w:color="auto" w:fill="E1E0E1"/>
                      </w:tcPr>
                      <w:p w:rsidR="00F22F94" w:rsidRDefault="00F22F94">
                        <w:pPr>
                          <w:pStyle w:val="TableParagraph"/>
                          <w:spacing w:before="70" w:line="235" w:lineRule="auto"/>
                          <w:ind w:left="112" w:right="214"/>
                          <w:rPr>
                            <w:sz w:val="16"/>
                          </w:rPr>
                        </w:pPr>
                        <w:r>
                          <w:rPr>
                            <w:sz w:val="16"/>
                          </w:rPr>
                          <w:t>Cost</w:t>
                        </w:r>
                        <w:r>
                          <w:rPr>
                            <w:spacing w:val="-12"/>
                            <w:sz w:val="16"/>
                          </w:rPr>
                          <w:t xml:space="preserve"> </w:t>
                        </w:r>
                        <w:r>
                          <w:rPr>
                            <w:sz w:val="16"/>
                          </w:rPr>
                          <w:t>of</w:t>
                        </w:r>
                        <w:r>
                          <w:rPr>
                            <w:spacing w:val="-11"/>
                            <w:sz w:val="16"/>
                          </w:rPr>
                          <w:t xml:space="preserve"> </w:t>
                        </w:r>
                        <w:r>
                          <w:rPr>
                            <w:sz w:val="16"/>
                          </w:rPr>
                          <w:t>corridor</w:t>
                        </w:r>
                        <w:r>
                          <w:rPr>
                            <w:spacing w:val="-11"/>
                            <w:sz w:val="16"/>
                          </w:rPr>
                          <w:t xml:space="preserve"> </w:t>
                        </w:r>
                        <w:r>
                          <w:rPr>
                            <w:sz w:val="16"/>
                          </w:rPr>
                          <w:t>preservation</w:t>
                        </w:r>
                        <w:r>
                          <w:rPr>
                            <w:spacing w:val="-11"/>
                            <w:sz w:val="16"/>
                          </w:rPr>
                          <w:t xml:space="preserve"> </w:t>
                        </w:r>
                        <w:r>
                          <w:rPr>
                            <w:sz w:val="16"/>
                          </w:rPr>
                          <w:t>is</w:t>
                        </w:r>
                        <w:r>
                          <w:rPr>
                            <w:spacing w:val="-11"/>
                            <w:sz w:val="16"/>
                          </w:rPr>
                          <w:t xml:space="preserve"> </w:t>
                        </w:r>
                        <w:r>
                          <w:rPr>
                            <w:sz w:val="16"/>
                          </w:rPr>
                          <w:t>not</w:t>
                        </w:r>
                        <w:r>
                          <w:rPr>
                            <w:spacing w:val="-11"/>
                            <w:sz w:val="16"/>
                          </w:rPr>
                          <w:t xml:space="preserve"> </w:t>
                        </w:r>
                        <w:r>
                          <w:rPr>
                            <w:sz w:val="16"/>
                          </w:rPr>
                          <w:t xml:space="preserve">material. </w:t>
                        </w:r>
                        <w:r>
                          <w:rPr>
                            <w:w w:val="95"/>
                            <w:sz w:val="16"/>
                          </w:rPr>
                          <w:t xml:space="preserve">No assessment of land acquisition costs has </w:t>
                        </w:r>
                        <w:r>
                          <w:rPr>
                            <w:sz w:val="16"/>
                          </w:rPr>
                          <w:t>been</w:t>
                        </w:r>
                        <w:r>
                          <w:rPr>
                            <w:spacing w:val="-4"/>
                            <w:sz w:val="16"/>
                          </w:rPr>
                          <w:t xml:space="preserve"> </w:t>
                        </w:r>
                        <w:r>
                          <w:rPr>
                            <w:sz w:val="16"/>
                          </w:rPr>
                          <w:t>made.</w:t>
                        </w:r>
                      </w:p>
                    </w:tc>
                  </w:tr>
                  <w:tr w:rsidR="00F22F94">
                    <w:trPr>
                      <w:trHeight w:val="501"/>
                    </w:trPr>
                    <w:tc>
                      <w:tcPr>
                        <w:tcW w:w="647" w:type="dxa"/>
                        <w:shd w:val="clear" w:color="auto" w:fill="E1E0E1"/>
                      </w:tcPr>
                      <w:p w:rsidR="00F22F94" w:rsidRDefault="00F22F94">
                        <w:pPr>
                          <w:pStyle w:val="TableParagraph"/>
                          <w:rPr>
                            <w:sz w:val="16"/>
                          </w:rPr>
                        </w:pPr>
                        <w:r>
                          <w:rPr>
                            <w:w w:val="99"/>
                            <w:sz w:val="16"/>
                          </w:rPr>
                          <w:t>4</w:t>
                        </w:r>
                      </w:p>
                    </w:tc>
                    <w:tc>
                      <w:tcPr>
                        <w:tcW w:w="3331" w:type="dxa"/>
                        <w:shd w:val="clear" w:color="auto" w:fill="E1E0E1"/>
                      </w:tcPr>
                      <w:p w:rsidR="00F22F94" w:rsidRDefault="00F22F94">
                        <w:pPr>
                          <w:pStyle w:val="TableParagraph"/>
                          <w:rPr>
                            <w:sz w:val="16"/>
                          </w:rPr>
                        </w:pPr>
                        <w:r>
                          <w:rPr>
                            <w:spacing w:val="-2"/>
                            <w:w w:val="105"/>
                            <w:sz w:val="16"/>
                          </w:rPr>
                          <w:t>Construct</w:t>
                        </w:r>
                        <w:r>
                          <w:rPr>
                            <w:spacing w:val="-3"/>
                            <w:w w:val="105"/>
                            <w:sz w:val="16"/>
                          </w:rPr>
                          <w:t xml:space="preserve"> </w:t>
                        </w:r>
                        <w:r>
                          <w:rPr>
                            <w:spacing w:val="-2"/>
                            <w:w w:val="105"/>
                            <w:sz w:val="16"/>
                          </w:rPr>
                          <w:t>F3-</w:t>
                        </w:r>
                        <w:r>
                          <w:rPr>
                            <w:spacing w:val="-5"/>
                            <w:w w:val="105"/>
                            <w:sz w:val="16"/>
                          </w:rPr>
                          <w:t>M2</w:t>
                        </w:r>
                      </w:p>
                    </w:tc>
                    <w:tc>
                      <w:tcPr>
                        <w:tcW w:w="1021" w:type="dxa"/>
                        <w:shd w:val="clear" w:color="auto" w:fill="E1E0E1"/>
                      </w:tcPr>
                      <w:p w:rsidR="00F22F94" w:rsidRDefault="00F22F94">
                        <w:pPr>
                          <w:pStyle w:val="TableParagraph"/>
                          <w:ind w:left="112"/>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271" w:type="dxa"/>
                        <w:shd w:val="clear" w:color="auto" w:fill="E1E0E1"/>
                      </w:tcPr>
                      <w:p w:rsidR="00F22F94" w:rsidRDefault="00F22F94">
                        <w:pPr>
                          <w:pStyle w:val="TableParagraph"/>
                          <w:ind w:left="112"/>
                          <w:rPr>
                            <w:sz w:val="16"/>
                          </w:rPr>
                        </w:pPr>
                        <w:r>
                          <w:rPr>
                            <w:w w:val="95"/>
                            <w:sz w:val="16"/>
                          </w:rPr>
                          <w:t>Major</w:t>
                        </w:r>
                        <w:r>
                          <w:rPr>
                            <w:spacing w:val="-2"/>
                            <w:sz w:val="16"/>
                          </w:rPr>
                          <w:t xml:space="preserve"> </w:t>
                        </w:r>
                        <w:r>
                          <w:rPr>
                            <w:spacing w:val="-2"/>
                            <w:w w:val="95"/>
                            <w:sz w:val="16"/>
                          </w:rPr>
                          <w:t>project</w:t>
                        </w:r>
                      </w:p>
                    </w:tc>
                    <w:tc>
                      <w:tcPr>
                        <w:tcW w:w="3538" w:type="dxa"/>
                        <w:shd w:val="clear" w:color="auto" w:fill="E1E0E1"/>
                      </w:tcPr>
                      <w:p w:rsidR="00F22F94" w:rsidRDefault="00F22F94">
                        <w:pPr>
                          <w:pStyle w:val="TableParagraph"/>
                          <w:spacing w:before="70" w:line="235" w:lineRule="auto"/>
                          <w:ind w:left="112" w:right="214"/>
                          <w:rPr>
                            <w:sz w:val="16"/>
                          </w:rPr>
                        </w:pPr>
                        <w:r>
                          <w:rPr>
                            <w:w w:val="95"/>
                            <w:sz w:val="16"/>
                          </w:rPr>
                          <w:t xml:space="preserve">Proposal assumes private sector solution via </w:t>
                        </w:r>
                        <w:r>
                          <w:rPr>
                            <w:sz w:val="16"/>
                          </w:rPr>
                          <w:t>current unsolicited proposal.</w:t>
                        </w:r>
                      </w:p>
                    </w:tc>
                  </w:tr>
                  <w:tr w:rsidR="00F22F94">
                    <w:trPr>
                      <w:trHeight w:val="721"/>
                    </w:trPr>
                    <w:tc>
                      <w:tcPr>
                        <w:tcW w:w="647" w:type="dxa"/>
                        <w:shd w:val="clear" w:color="auto" w:fill="C9C8C9"/>
                      </w:tcPr>
                      <w:p w:rsidR="00F22F94" w:rsidRDefault="00F22F94">
                        <w:pPr>
                          <w:pStyle w:val="TableParagraph"/>
                          <w:rPr>
                            <w:sz w:val="16"/>
                          </w:rPr>
                        </w:pPr>
                        <w:r>
                          <w:rPr>
                            <w:w w:val="99"/>
                            <w:sz w:val="16"/>
                          </w:rPr>
                          <w:t>5</w:t>
                        </w:r>
                      </w:p>
                    </w:tc>
                    <w:tc>
                      <w:tcPr>
                        <w:tcW w:w="3331" w:type="dxa"/>
                        <w:shd w:val="clear" w:color="auto" w:fill="C9C8C9"/>
                      </w:tcPr>
                      <w:p w:rsidR="00F22F94" w:rsidRDefault="00F22F94">
                        <w:pPr>
                          <w:pStyle w:val="TableParagraph"/>
                          <w:spacing w:line="261" w:lineRule="auto"/>
                          <w:ind w:right="496"/>
                          <w:rPr>
                            <w:sz w:val="16"/>
                          </w:rPr>
                        </w:pPr>
                        <w:r>
                          <w:rPr>
                            <w:w w:val="105"/>
                            <w:sz w:val="16"/>
                          </w:rPr>
                          <w:t>WestConnex</w:t>
                        </w:r>
                        <w:r>
                          <w:rPr>
                            <w:spacing w:val="-7"/>
                            <w:w w:val="105"/>
                            <w:sz w:val="16"/>
                          </w:rPr>
                          <w:t xml:space="preserve"> </w:t>
                        </w:r>
                        <w:r>
                          <w:rPr>
                            <w:w w:val="105"/>
                            <w:sz w:val="16"/>
                          </w:rPr>
                          <w:t>project</w:t>
                        </w:r>
                        <w:r>
                          <w:rPr>
                            <w:spacing w:val="-7"/>
                            <w:w w:val="105"/>
                            <w:sz w:val="16"/>
                          </w:rPr>
                          <w:t xml:space="preserve"> </w:t>
                        </w:r>
                        <w:r>
                          <w:rPr>
                            <w:w w:val="105"/>
                            <w:sz w:val="16"/>
                          </w:rPr>
                          <w:t xml:space="preserve">completion </w:t>
                        </w:r>
                        <w:r>
                          <w:rPr>
                            <w:spacing w:val="-4"/>
                            <w:w w:val="105"/>
                            <w:sz w:val="16"/>
                          </w:rPr>
                          <w:t xml:space="preserve">Includes: Parramatta Road urban </w:t>
                        </w:r>
                        <w:r>
                          <w:rPr>
                            <w:spacing w:val="-2"/>
                            <w:w w:val="105"/>
                            <w:sz w:val="16"/>
                          </w:rPr>
                          <w:t>regeneration</w:t>
                        </w:r>
                      </w:p>
                    </w:tc>
                    <w:tc>
                      <w:tcPr>
                        <w:tcW w:w="1021" w:type="dxa"/>
                        <w:shd w:val="clear" w:color="auto" w:fill="C9C8C9"/>
                      </w:tcPr>
                      <w:p w:rsidR="00F22F94" w:rsidRDefault="00F22F94">
                        <w:pPr>
                          <w:pStyle w:val="TableParagraph"/>
                          <w:ind w:left="112"/>
                          <w:rPr>
                            <w:sz w:val="16"/>
                          </w:rPr>
                        </w:pPr>
                        <w:r>
                          <w:rPr>
                            <w:sz w:val="16"/>
                          </w:rPr>
                          <w:t>5</w:t>
                        </w:r>
                        <w:r>
                          <w:rPr>
                            <w:spacing w:val="-10"/>
                            <w:sz w:val="16"/>
                          </w:rPr>
                          <w:t xml:space="preserve"> </w:t>
                        </w:r>
                        <w:r>
                          <w:rPr>
                            <w:sz w:val="16"/>
                          </w:rPr>
                          <w:t>–</w:t>
                        </w:r>
                        <w:r>
                          <w:rPr>
                            <w:spacing w:val="-9"/>
                            <w:sz w:val="16"/>
                          </w:rPr>
                          <w:t xml:space="preserve"> </w:t>
                        </w:r>
                        <w:r>
                          <w:rPr>
                            <w:spacing w:val="-5"/>
                            <w:sz w:val="16"/>
                          </w:rPr>
                          <w:t>10</w:t>
                        </w:r>
                      </w:p>
                    </w:tc>
                    <w:tc>
                      <w:tcPr>
                        <w:tcW w:w="1271" w:type="dxa"/>
                        <w:shd w:val="clear" w:color="auto" w:fill="C9C8C9"/>
                      </w:tcPr>
                      <w:p w:rsidR="00F22F94" w:rsidRDefault="00F22F94">
                        <w:pPr>
                          <w:pStyle w:val="TableParagraph"/>
                          <w:ind w:left="112"/>
                          <w:rPr>
                            <w:sz w:val="16"/>
                          </w:rPr>
                        </w:pPr>
                        <w:r>
                          <w:rPr>
                            <w:w w:val="95"/>
                            <w:sz w:val="16"/>
                          </w:rPr>
                          <w:t>Major</w:t>
                        </w:r>
                        <w:r>
                          <w:rPr>
                            <w:spacing w:val="-2"/>
                            <w:sz w:val="16"/>
                          </w:rPr>
                          <w:t xml:space="preserve"> </w:t>
                        </w:r>
                        <w:r>
                          <w:rPr>
                            <w:spacing w:val="-2"/>
                            <w:w w:val="95"/>
                            <w:sz w:val="16"/>
                          </w:rPr>
                          <w:t>project</w:t>
                        </w:r>
                      </w:p>
                    </w:tc>
                    <w:tc>
                      <w:tcPr>
                        <w:tcW w:w="3538" w:type="dxa"/>
                        <w:shd w:val="clear" w:color="auto" w:fill="C9C8C9"/>
                      </w:tcPr>
                      <w:p w:rsidR="00F22F94" w:rsidRDefault="00F22F94">
                        <w:pPr>
                          <w:pStyle w:val="TableParagraph"/>
                          <w:spacing w:before="70" w:line="235" w:lineRule="auto"/>
                          <w:ind w:left="112" w:right="126"/>
                          <w:rPr>
                            <w:sz w:val="16"/>
                          </w:rPr>
                        </w:pPr>
                        <w:r>
                          <w:rPr>
                            <w:sz w:val="16"/>
                          </w:rPr>
                          <w:t xml:space="preserve">Target capital cost included above. </w:t>
                        </w:r>
                        <w:r>
                          <w:rPr>
                            <w:w w:val="95"/>
                            <w:sz w:val="16"/>
                          </w:rPr>
                          <w:t xml:space="preserve">Regeneration will be through private investment </w:t>
                        </w:r>
                        <w:r>
                          <w:rPr>
                            <w:sz w:val="16"/>
                          </w:rPr>
                          <w:t>– assume no net cost to Government.</w:t>
                        </w:r>
                      </w:p>
                    </w:tc>
                  </w:tr>
                  <w:tr w:rsidR="00F22F94">
                    <w:trPr>
                      <w:trHeight w:val="521"/>
                    </w:trPr>
                    <w:tc>
                      <w:tcPr>
                        <w:tcW w:w="647" w:type="dxa"/>
                        <w:shd w:val="clear" w:color="auto" w:fill="C9C8C9"/>
                      </w:tcPr>
                      <w:p w:rsidR="00F22F94" w:rsidRDefault="00F22F94">
                        <w:pPr>
                          <w:pStyle w:val="TableParagraph"/>
                          <w:rPr>
                            <w:sz w:val="16"/>
                          </w:rPr>
                        </w:pPr>
                        <w:r>
                          <w:rPr>
                            <w:w w:val="99"/>
                            <w:sz w:val="16"/>
                          </w:rPr>
                          <w:t>6</w:t>
                        </w:r>
                      </w:p>
                    </w:tc>
                    <w:tc>
                      <w:tcPr>
                        <w:tcW w:w="3331" w:type="dxa"/>
                        <w:shd w:val="clear" w:color="auto" w:fill="C9C8C9"/>
                      </w:tcPr>
                      <w:p w:rsidR="00F22F94" w:rsidRDefault="00F22F94">
                        <w:pPr>
                          <w:pStyle w:val="TableParagraph"/>
                          <w:spacing w:line="261" w:lineRule="auto"/>
                          <w:rPr>
                            <w:sz w:val="16"/>
                          </w:rPr>
                        </w:pPr>
                        <w:r>
                          <w:rPr>
                            <w:spacing w:val="-2"/>
                            <w:w w:val="105"/>
                            <w:sz w:val="16"/>
                          </w:rPr>
                          <w:t>Roll-out</w:t>
                        </w:r>
                        <w:r>
                          <w:rPr>
                            <w:spacing w:val="-6"/>
                            <w:w w:val="105"/>
                            <w:sz w:val="16"/>
                          </w:rPr>
                          <w:t xml:space="preserve"> </w:t>
                        </w:r>
                        <w:r>
                          <w:rPr>
                            <w:spacing w:val="-2"/>
                            <w:w w:val="105"/>
                            <w:sz w:val="16"/>
                          </w:rPr>
                          <w:t>Managed</w:t>
                        </w:r>
                        <w:r>
                          <w:rPr>
                            <w:spacing w:val="-6"/>
                            <w:w w:val="105"/>
                            <w:sz w:val="16"/>
                          </w:rPr>
                          <w:t xml:space="preserve"> </w:t>
                        </w:r>
                        <w:r>
                          <w:rPr>
                            <w:spacing w:val="-2"/>
                            <w:w w:val="105"/>
                            <w:sz w:val="16"/>
                          </w:rPr>
                          <w:t>Motorways</w:t>
                        </w:r>
                        <w:r>
                          <w:rPr>
                            <w:spacing w:val="-6"/>
                            <w:w w:val="105"/>
                            <w:sz w:val="16"/>
                          </w:rPr>
                          <w:t xml:space="preserve"> </w:t>
                        </w:r>
                        <w:r>
                          <w:rPr>
                            <w:spacing w:val="-2"/>
                            <w:w w:val="105"/>
                            <w:sz w:val="16"/>
                          </w:rPr>
                          <w:t>program</w:t>
                        </w:r>
                        <w:r>
                          <w:rPr>
                            <w:spacing w:val="-6"/>
                            <w:w w:val="105"/>
                            <w:sz w:val="16"/>
                          </w:rPr>
                          <w:t xml:space="preserve"> </w:t>
                        </w:r>
                        <w:r>
                          <w:rPr>
                            <w:spacing w:val="-2"/>
                            <w:w w:val="105"/>
                            <w:sz w:val="16"/>
                          </w:rPr>
                          <w:t xml:space="preserve">to </w:t>
                        </w:r>
                        <w:r>
                          <w:rPr>
                            <w:w w:val="105"/>
                            <w:sz w:val="16"/>
                          </w:rPr>
                          <w:t>increase effective capacity</w:t>
                        </w:r>
                      </w:p>
                    </w:tc>
                    <w:tc>
                      <w:tcPr>
                        <w:tcW w:w="1021" w:type="dxa"/>
                        <w:shd w:val="clear" w:color="auto" w:fill="C9C8C9"/>
                      </w:tcPr>
                      <w:p w:rsidR="00F22F94" w:rsidRDefault="00F22F94">
                        <w:pPr>
                          <w:pStyle w:val="TableParagraph"/>
                          <w:ind w:left="112"/>
                          <w:rPr>
                            <w:sz w:val="16"/>
                          </w:rPr>
                        </w:pPr>
                        <w:r>
                          <w:rPr>
                            <w:sz w:val="16"/>
                          </w:rPr>
                          <w:t>5</w:t>
                        </w:r>
                        <w:r>
                          <w:rPr>
                            <w:spacing w:val="-10"/>
                            <w:sz w:val="16"/>
                          </w:rPr>
                          <w:t xml:space="preserve"> </w:t>
                        </w:r>
                        <w:r>
                          <w:rPr>
                            <w:sz w:val="16"/>
                          </w:rPr>
                          <w:t>–</w:t>
                        </w:r>
                        <w:r>
                          <w:rPr>
                            <w:spacing w:val="-9"/>
                            <w:sz w:val="16"/>
                          </w:rPr>
                          <w:t xml:space="preserve"> </w:t>
                        </w:r>
                        <w:r>
                          <w:rPr>
                            <w:spacing w:val="-5"/>
                            <w:sz w:val="16"/>
                          </w:rPr>
                          <w:t>10</w:t>
                        </w:r>
                      </w:p>
                    </w:tc>
                    <w:tc>
                      <w:tcPr>
                        <w:tcW w:w="1271" w:type="dxa"/>
                        <w:shd w:val="clear" w:color="auto" w:fill="C9C8C9"/>
                      </w:tcPr>
                      <w:p w:rsidR="00F22F94" w:rsidRDefault="00F22F94">
                        <w:pPr>
                          <w:pStyle w:val="TableParagraph"/>
                          <w:spacing w:before="70" w:line="235" w:lineRule="auto"/>
                          <w:ind w:left="112" w:right="157"/>
                          <w:rPr>
                            <w:sz w:val="16"/>
                          </w:rPr>
                        </w:pPr>
                        <w:r>
                          <w:rPr>
                            <w:spacing w:val="-2"/>
                            <w:sz w:val="16"/>
                          </w:rPr>
                          <w:t xml:space="preserve">Asset </w:t>
                        </w:r>
                        <w:r>
                          <w:rPr>
                            <w:spacing w:val="-2"/>
                            <w:w w:val="95"/>
                            <w:sz w:val="16"/>
                          </w:rPr>
                          <w:t>utilization</w:t>
                        </w:r>
                      </w:p>
                    </w:tc>
                    <w:tc>
                      <w:tcPr>
                        <w:tcW w:w="3538" w:type="dxa"/>
                        <w:shd w:val="clear" w:color="auto" w:fill="C9C8C9"/>
                      </w:tcPr>
                      <w:p w:rsidR="00F22F94" w:rsidRDefault="00F22F94">
                        <w:pPr>
                          <w:pStyle w:val="TableParagraph"/>
                          <w:ind w:left="112"/>
                          <w:rPr>
                            <w:sz w:val="16"/>
                          </w:rPr>
                        </w:pPr>
                        <w:r>
                          <w:rPr>
                            <w:sz w:val="16"/>
                          </w:rPr>
                          <w:t>Scoping</w:t>
                        </w:r>
                        <w:r>
                          <w:rPr>
                            <w:spacing w:val="-11"/>
                            <w:sz w:val="16"/>
                          </w:rPr>
                          <w:t xml:space="preserve"> </w:t>
                        </w:r>
                        <w:r>
                          <w:rPr>
                            <w:sz w:val="16"/>
                          </w:rPr>
                          <w:t>of</w:t>
                        </w:r>
                        <w:r>
                          <w:rPr>
                            <w:spacing w:val="-10"/>
                            <w:sz w:val="16"/>
                          </w:rPr>
                          <w:t xml:space="preserve"> </w:t>
                        </w:r>
                        <w:r>
                          <w:rPr>
                            <w:sz w:val="16"/>
                          </w:rPr>
                          <w:t>$300</w:t>
                        </w:r>
                        <w:r>
                          <w:rPr>
                            <w:spacing w:val="-10"/>
                            <w:sz w:val="16"/>
                          </w:rPr>
                          <w:t xml:space="preserve"> </w:t>
                        </w:r>
                        <w:r>
                          <w:rPr>
                            <w:spacing w:val="-2"/>
                            <w:sz w:val="16"/>
                          </w:rPr>
                          <w:t>million</w:t>
                        </w:r>
                      </w:p>
                    </w:tc>
                  </w:tr>
                  <w:tr w:rsidR="00F22F94">
                    <w:trPr>
                      <w:trHeight w:val="721"/>
                    </w:trPr>
                    <w:tc>
                      <w:tcPr>
                        <w:tcW w:w="647" w:type="dxa"/>
                        <w:shd w:val="clear" w:color="auto" w:fill="E1E0E1"/>
                      </w:tcPr>
                      <w:p w:rsidR="00F22F94" w:rsidRDefault="00F22F94">
                        <w:pPr>
                          <w:pStyle w:val="TableParagraph"/>
                          <w:rPr>
                            <w:sz w:val="16"/>
                          </w:rPr>
                        </w:pPr>
                        <w:r>
                          <w:rPr>
                            <w:w w:val="99"/>
                            <w:sz w:val="16"/>
                          </w:rPr>
                          <w:t>7</w:t>
                        </w:r>
                      </w:p>
                    </w:tc>
                    <w:tc>
                      <w:tcPr>
                        <w:tcW w:w="3331" w:type="dxa"/>
                        <w:shd w:val="clear" w:color="auto" w:fill="E1E0E1"/>
                      </w:tcPr>
                      <w:p w:rsidR="00F22F94" w:rsidRDefault="00F22F94">
                        <w:pPr>
                          <w:pStyle w:val="TableParagraph"/>
                          <w:spacing w:line="261" w:lineRule="auto"/>
                          <w:ind w:right="325"/>
                          <w:rPr>
                            <w:sz w:val="16"/>
                          </w:rPr>
                        </w:pPr>
                        <w:r>
                          <w:rPr>
                            <w:w w:val="105"/>
                            <w:sz w:val="16"/>
                          </w:rPr>
                          <w:t xml:space="preserve">Identify and preserve corridor for new </w:t>
                        </w:r>
                        <w:r>
                          <w:rPr>
                            <w:spacing w:val="-2"/>
                            <w:w w:val="105"/>
                            <w:sz w:val="16"/>
                          </w:rPr>
                          <w:t>sub-surface</w:t>
                        </w:r>
                        <w:r>
                          <w:rPr>
                            <w:spacing w:val="-7"/>
                            <w:w w:val="105"/>
                            <w:sz w:val="16"/>
                          </w:rPr>
                          <w:t xml:space="preserve"> </w:t>
                        </w:r>
                        <w:r>
                          <w:rPr>
                            <w:spacing w:val="-2"/>
                            <w:w w:val="105"/>
                            <w:sz w:val="16"/>
                          </w:rPr>
                          <w:t>motorway</w:t>
                        </w:r>
                        <w:r>
                          <w:rPr>
                            <w:spacing w:val="-7"/>
                            <w:w w:val="105"/>
                            <w:sz w:val="16"/>
                          </w:rPr>
                          <w:t xml:space="preserve"> </w:t>
                        </w:r>
                        <w:r>
                          <w:rPr>
                            <w:spacing w:val="-2"/>
                            <w:w w:val="105"/>
                            <w:sz w:val="16"/>
                          </w:rPr>
                          <w:t>links</w:t>
                        </w:r>
                        <w:r>
                          <w:rPr>
                            <w:spacing w:val="-7"/>
                            <w:w w:val="105"/>
                            <w:sz w:val="16"/>
                          </w:rPr>
                          <w:t xml:space="preserve"> </w:t>
                        </w:r>
                        <w:r>
                          <w:rPr>
                            <w:spacing w:val="-2"/>
                            <w:w w:val="105"/>
                            <w:sz w:val="16"/>
                          </w:rPr>
                          <w:t>West</w:t>
                        </w:r>
                        <w:r>
                          <w:rPr>
                            <w:spacing w:val="-7"/>
                            <w:w w:val="105"/>
                            <w:sz w:val="16"/>
                          </w:rPr>
                          <w:t xml:space="preserve"> </w:t>
                        </w:r>
                        <w:r>
                          <w:rPr>
                            <w:spacing w:val="-2"/>
                            <w:w w:val="105"/>
                            <w:sz w:val="16"/>
                          </w:rPr>
                          <w:t>of</w:t>
                        </w:r>
                        <w:r>
                          <w:rPr>
                            <w:spacing w:val="-7"/>
                            <w:w w:val="105"/>
                            <w:sz w:val="16"/>
                          </w:rPr>
                          <w:t xml:space="preserve"> </w:t>
                        </w:r>
                        <w:r>
                          <w:rPr>
                            <w:spacing w:val="-2"/>
                            <w:w w:val="105"/>
                            <w:sz w:val="16"/>
                          </w:rPr>
                          <w:t xml:space="preserve">the </w:t>
                        </w:r>
                        <w:r>
                          <w:rPr>
                            <w:w w:val="105"/>
                            <w:sz w:val="16"/>
                          </w:rPr>
                          <w:t>CBD</w:t>
                        </w:r>
                        <w:r>
                          <w:rPr>
                            <w:spacing w:val="-1"/>
                            <w:w w:val="105"/>
                            <w:sz w:val="16"/>
                          </w:rPr>
                          <w:t xml:space="preserve"> </w:t>
                        </w:r>
                        <w:r>
                          <w:rPr>
                            <w:w w:val="105"/>
                            <w:sz w:val="16"/>
                          </w:rPr>
                          <w:t>(Airport</w:t>
                        </w:r>
                        <w:r>
                          <w:rPr>
                            <w:spacing w:val="-1"/>
                            <w:w w:val="105"/>
                            <w:sz w:val="16"/>
                          </w:rPr>
                          <w:t xml:space="preserve"> </w:t>
                        </w:r>
                        <w:r>
                          <w:rPr>
                            <w:w w:val="105"/>
                            <w:sz w:val="16"/>
                          </w:rPr>
                          <w:t>–</w:t>
                        </w:r>
                        <w:r>
                          <w:rPr>
                            <w:spacing w:val="-1"/>
                            <w:w w:val="105"/>
                            <w:sz w:val="16"/>
                          </w:rPr>
                          <w:t xml:space="preserve"> </w:t>
                        </w:r>
                        <w:r>
                          <w:rPr>
                            <w:w w:val="105"/>
                            <w:sz w:val="16"/>
                          </w:rPr>
                          <w:t>Gladesville</w:t>
                        </w:r>
                        <w:r>
                          <w:rPr>
                            <w:spacing w:val="-1"/>
                            <w:w w:val="105"/>
                            <w:sz w:val="16"/>
                          </w:rPr>
                          <w:t xml:space="preserve"> </w:t>
                        </w:r>
                        <w:r>
                          <w:rPr>
                            <w:w w:val="105"/>
                            <w:sz w:val="16"/>
                          </w:rPr>
                          <w:t>–</w:t>
                        </w:r>
                        <w:r>
                          <w:rPr>
                            <w:spacing w:val="-1"/>
                            <w:w w:val="105"/>
                            <w:sz w:val="16"/>
                          </w:rPr>
                          <w:t xml:space="preserve"> </w:t>
                        </w:r>
                        <w:r>
                          <w:rPr>
                            <w:w w:val="105"/>
                            <w:sz w:val="16"/>
                          </w:rPr>
                          <w:t>M2)</w:t>
                        </w:r>
                      </w:p>
                    </w:tc>
                    <w:tc>
                      <w:tcPr>
                        <w:tcW w:w="1021" w:type="dxa"/>
                        <w:shd w:val="clear" w:color="auto" w:fill="E1E0E1"/>
                      </w:tcPr>
                      <w:p w:rsidR="00F22F94" w:rsidRDefault="00F22F94">
                        <w:pPr>
                          <w:pStyle w:val="TableParagraph"/>
                          <w:ind w:left="112"/>
                          <w:rPr>
                            <w:sz w:val="16"/>
                          </w:rPr>
                        </w:pPr>
                        <w:r>
                          <w:rPr>
                            <w:w w:val="95"/>
                            <w:sz w:val="16"/>
                          </w:rPr>
                          <w:t>10</w:t>
                        </w:r>
                        <w:r>
                          <w:rPr>
                            <w:spacing w:val="-6"/>
                            <w:w w:val="95"/>
                            <w:sz w:val="16"/>
                          </w:rPr>
                          <w:t xml:space="preserve"> </w:t>
                        </w:r>
                        <w:r>
                          <w:rPr>
                            <w:w w:val="95"/>
                            <w:sz w:val="16"/>
                          </w:rPr>
                          <w:t>–</w:t>
                        </w:r>
                        <w:r>
                          <w:rPr>
                            <w:spacing w:val="-5"/>
                            <w:w w:val="95"/>
                            <w:sz w:val="16"/>
                          </w:rPr>
                          <w:t xml:space="preserve"> 20</w:t>
                        </w:r>
                      </w:p>
                    </w:tc>
                    <w:tc>
                      <w:tcPr>
                        <w:tcW w:w="1271" w:type="dxa"/>
                        <w:shd w:val="clear" w:color="auto" w:fill="E1E0E1"/>
                      </w:tcPr>
                      <w:p w:rsidR="00F22F94" w:rsidRDefault="00F22F94">
                        <w:pPr>
                          <w:pStyle w:val="TableParagraph"/>
                          <w:ind w:left="112"/>
                          <w:rPr>
                            <w:sz w:val="16"/>
                          </w:rPr>
                        </w:pPr>
                        <w:r>
                          <w:rPr>
                            <w:spacing w:val="-2"/>
                            <w:sz w:val="16"/>
                          </w:rPr>
                          <w:t>Corridor</w:t>
                        </w:r>
                      </w:p>
                    </w:tc>
                    <w:tc>
                      <w:tcPr>
                        <w:tcW w:w="3538" w:type="dxa"/>
                        <w:shd w:val="clear" w:color="auto" w:fill="E1E0E1"/>
                      </w:tcPr>
                      <w:p w:rsidR="00F22F94" w:rsidRDefault="00F22F94">
                        <w:pPr>
                          <w:pStyle w:val="TableParagraph"/>
                          <w:spacing w:before="70" w:line="235" w:lineRule="auto"/>
                          <w:ind w:left="112" w:right="214"/>
                          <w:rPr>
                            <w:sz w:val="16"/>
                          </w:rPr>
                        </w:pPr>
                        <w:r>
                          <w:rPr>
                            <w:sz w:val="16"/>
                          </w:rPr>
                          <w:t>Cost</w:t>
                        </w:r>
                        <w:r>
                          <w:rPr>
                            <w:spacing w:val="-12"/>
                            <w:sz w:val="16"/>
                          </w:rPr>
                          <w:t xml:space="preserve"> </w:t>
                        </w:r>
                        <w:r>
                          <w:rPr>
                            <w:sz w:val="16"/>
                          </w:rPr>
                          <w:t>of</w:t>
                        </w:r>
                        <w:r>
                          <w:rPr>
                            <w:spacing w:val="-11"/>
                            <w:sz w:val="16"/>
                          </w:rPr>
                          <w:t xml:space="preserve"> </w:t>
                        </w:r>
                        <w:r>
                          <w:rPr>
                            <w:sz w:val="16"/>
                          </w:rPr>
                          <w:t>corridor</w:t>
                        </w:r>
                        <w:r>
                          <w:rPr>
                            <w:spacing w:val="-11"/>
                            <w:sz w:val="16"/>
                          </w:rPr>
                          <w:t xml:space="preserve"> </w:t>
                        </w:r>
                        <w:r>
                          <w:rPr>
                            <w:sz w:val="16"/>
                          </w:rPr>
                          <w:t>preservation</w:t>
                        </w:r>
                        <w:r>
                          <w:rPr>
                            <w:spacing w:val="-11"/>
                            <w:sz w:val="16"/>
                          </w:rPr>
                          <w:t xml:space="preserve"> </w:t>
                        </w:r>
                        <w:r>
                          <w:rPr>
                            <w:sz w:val="16"/>
                          </w:rPr>
                          <w:t>is</w:t>
                        </w:r>
                        <w:r>
                          <w:rPr>
                            <w:spacing w:val="-11"/>
                            <w:sz w:val="16"/>
                          </w:rPr>
                          <w:t xml:space="preserve"> </w:t>
                        </w:r>
                        <w:r>
                          <w:rPr>
                            <w:sz w:val="16"/>
                          </w:rPr>
                          <w:t>not</w:t>
                        </w:r>
                        <w:r>
                          <w:rPr>
                            <w:spacing w:val="-11"/>
                            <w:sz w:val="16"/>
                          </w:rPr>
                          <w:t xml:space="preserve"> </w:t>
                        </w:r>
                        <w:r>
                          <w:rPr>
                            <w:sz w:val="16"/>
                          </w:rPr>
                          <w:t xml:space="preserve">material. </w:t>
                        </w:r>
                        <w:r>
                          <w:rPr>
                            <w:w w:val="95"/>
                            <w:sz w:val="16"/>
                          </w:rPr>
                          <w:t xml:space="preserve">No assessment of land acquisition costs has </w:t>
                        </w:r>
                        <w:r>
                          <w:rPr>
                            <w:sz w:val="16"/>
                          </w:rPr>
                          <w:t>been</w:t>
                        </w:r>
                        <w:r>
                          <w:rPr>
                            <w:spacing w:val="-4"/>
                            <w:sz w:val="16"/>
                          </w:rPr>
                          <w:t xml:space="preserve"> </w:t>
                        </w:r>
                        <w:r>
                          <w:rPr>
                            <w:sz w:val="16"/>
                          </w:rPr>
                          <w:t>made.</w:t>
                        </w:r>
                      </w:p>
                    </w:tc>
                  </w:tr>
                  <w:tr w:rsidR="00F22F94">
                    <w:trPr>
                      <w:trHeight w:val="681"/>
                    </w:trPr>
                    <w:tc>
                      <w:tcPr>
                        <w:tcW w:w="647" w:type="dxa"/>
                        <w:shd w:val="clear" w:color="auto" w:fill="E1E0E1"/>
                      </w:tcPr>
                      <w:p w:rsidR="00F22F94" w:rsidRDefault="00F22F94">
                        <w:pPr>
                          <w:pStyle w:val="TableParagraph"/>
                          <w:rPr>
                            <w:sz w:val="16"/>
                          </w:rPr>
                        </w:pPr>
                        <w:r>
                          <w:rPr>
                            <w:w w:val="99"/>
                            <w:sz w:val="16"/>
                          </w:rPr>
                          <w:t>8</w:t>
                        </w:r>
                      </w:p>
                    </w:tc>
                    <w:tc>
                      <w:tcPr>
                        <w:tcW w:w="3331" w:type="dxa"/>
                        <w:shd w:val="clear" w:color="auto" w:fill="E1E0E1"/>
                      </w:tcPr>
                      <w:p w:rsidR="00F22F94" w:rsidRDefault="00F22F94">
                        <w:pPr>
                          <w:pStyle w:val="TableParagraph"/>
                          <w:rPr>
                            <w:sz w:val="16"/>
                          </w:rPr>
                        </w:pPr>
                        <w:r>
                          <w:rPr>
                            <w:spacing w:val="-2"/>
                            <w:w w:val="105"/>
                            <w:sz w:val="16"/>
                          </w:rPr>
                          <w:t>Construct</w:t>
                        </w:r>
                        <w:r>
                          <w:rPr>
                            <w:spacing w:val="-8"/>
                            <w:w w:val="105"/>
                            <w:sz w:val="16"/>
                          </w:rPr>
                          <w:t xml:space="preserve"> </w:t>
                        </w:r>
                        <w:r>
                          <w:rPr>
                            <w:spacing w:val="-2"/>
                            <w:w w:val="105"/>
                            <w:sz w:val="16"/>
                          </w:rPr>
                          <w:t>F6</w:t>
                        </w:r>
                        <w:r>
                          <w:rPr>
                            <w:spacing w:val="-7"/>
                            <w:w w:val="105"/>
                            <w:sz w:val="16"/>
                          </w:rPr>
                          <w:t xml:space="preserve"> </w:t>
                        </w:r>
                        <w:r>
                          <w:rPr>
                            <w:spacing w:val="-2"/>
                            <w:w w:val="105"/>
                            <w:sz w:val="16"/>
                          </w:rPr>
                          <w:t>Extension</w:t>
                        </w:r>
                      </w:p>
                    </w:tc>
                    <w:tc>
                      <w:tcPr>
                        <w:tcW w:w="1021" w:type="dxa"/>
                        <w:shd w:val="clear" w:color="auto" w:fill="E1E0E1"/>
                      </w:tcPr>
                      <w:p w:rsidR="00F22F94" w:rsidRDefault="00F22F94">
                        <w:pPr>
                          <w:pStyle w:val="TableParagraph"/>
                          <w:ind w:left="112"/>
                          <w:rPr>
                            <w:sz w:val="16"/>
                          </w:rPr>
                        </w:pPr>
                        <w:r>
                          <w:rPr>
                            <w:w w:val="95"/>
                            <w:sz w:val="16"/>
                          </w:rPr>
                          <w:t>10</w:t>
                        </w:r>
                        <w:r>
                          <w:rPr>
                            <w:spacing w:val="-6"/>
                            <w:w w:val="95"/>
                            <w:sz w:val="16"/>
                          </w:rPr>
                          <w:t xml:space="preserve"> </w:t>
                        </w:r>
                        <w:r>
                          <w:rPr>
                            <w:w w:val="95"/>
                            <w:sz w:val="16"/>
                          </w:rPr>
                          <w:t>–</w:t>
                        </w:r>
                        <w:r>
                          <w:rPr>
                            <w:spacing w:val="-5"/>
                            <w:w w:val="95"/>
                            <w:sz w:val="16"/>
                          </w:rPr>
                          <w:t xml:space="preserve"> 20</w:t>
                        </w:r>
                      </w:p>
                    </w:tc>
                    <w:tc>
                      <w:tcPr>
                        <w:tcW w:w="1271" w:type="dxa"/>
                        <w:shd w:val="clear" w:color="auto" w:fill="E1E0E1"/>
                      </w:tcPr>
                      <w:p w:rsidR="00F22F94" w:rsidRDefault="00F22F94">
                        <w:pPr>
                          <w:pStyle w:val="TableParagraph"/>
                          <w:ind w:left="112"/>
                          <w:rPr>
                            <w:sz w:val="16"/>
                          </w:rPr>
                        </w:pPr>
                        <w:r>
                          <w:rPr>
                            <w:w w:val="95"/>
                            <w:sz w:val="16"/>
                          </w:rPr>
                          <w:t>Major</w:t>
                        </w:r>
                        <w:r>
                          <w:rPr>
                            <w:spacing w:val="-2"/>
                            <w:sz w:val="16"/>
                          </w:rPr>
                          <w:t xml:space="preserve"> </w:t>
                        </w:r>
                        <w:r>
                          <w:rPr>
                            <w:spacing w:val="-2"/>
                            <w:w w:val="95"/>
                            <w:sz w:val="16"/>
                          </w:rPr>
                          <w:t>project</w:t>
                        </w:r>
                      </w:p>
                    </w:tc>
                    <w:tc>
                      <w:tcPr>
                        <w:tcW w:w="3538" w:type="dxa"/>
                        <w:shd w:val="clear" w:color="auto" w:fill="E1E0E1"/>
                      </w:tcPr>
                      <w:p w:rsidR="00F22F94" w:rsidRDefault="00F22F94">
                        <w:pPr>
                          <w:pStyle w:val="TableParagraph"/>
                          <w:spacing w:before="70" w:line="235" w:lineRule="auto"/>
                          <w:ind w:left="112" w:right="214"/>
                          <w:rPr>
                            <w:sz w:val="16"/>
                          </w:rPr>
                        </w:pPr>
                        <w:r>
                          <w:rPr>
                            <w:w w:val="95"/>
                            <w:sz w:val="16"/>
                          </w:rPr>
                          <w:t xml:space="preserve">Scoping of $3 billion assumes use of existing </w:t>
                        </w:r>
                        <w:r>
                          <w:rPr>
                            <w:sz w:val="16"/>
                          </w:rPr>
                          <w:t>F6</w:t>
                        </w:r>
                        <w:r>
                          <w:rPr>
                            <w:spacing w:val="-10"/>
                            <w:sz w:val="16"/>
                          </w:rPr>
                          <w:t xml:space="preserve"> </w:t>
                        </w:r>
                        <w:r>
                          <w:rPr>
                            <w:sz w:val="16"/>
                          </w:rPr>
                          <w:t>transit</w:t>
                        </w:r>
                        <w:r>
                          <w:rPr>
                            <w:spacing w:val="-10"/>
                            <w:sz w:val="16"/>
                          </w:rPr>
                          <w:t xml:space="preserve"> </w:t>
                        </w:r>
                        <w:r>
                          <w:rPr>
                            <w:sz w:val="16"/>
                          </w:rPr>
                          <w:t>corridor</w:t>
                        </w:r>
                        <w:r>
                          <w:rPr>
                            <w:spacing w:val="-10"/>
                            <w:sz w:val="16"/>
                          </w:rPr>
                          <w:t xml:space="preserve"> </w:t>
                        </w:r>
                        <w:r>
                          <w:rPr>
                            <w:sz w:val="16"/>
                          </w:rPr>
                          <w:t>and</w:t>
                        </w:r>
                        <w:r>
                          <w:rPr>
                            <w:spacing w:val="-10"/>
                            <w:sz w:val="16"/>
                          </w:rPr>
                          <w:t xml:space="preserve"> </w:t>
                        </w:r>
                        <w:r>
                          <w:rPr>
                            <w:sz w:val="16"/>
                          </w:rPr>
                          <w:t>surface</w:t>
                        </w:r>
                        <w:r>
                          <w:rPr>
                            <w:spacing w:val="-10"/>
                            <w:sz w:val="16"/>
                          </w:rPr>
                          <w:t xml:space="preserve"> </w:t>
                        </w:r>
                        <w:r>
                          <w:rPr>
                            <w:sz w:val="16"/>
                          </w:rPr>
                          <w:t>construction. Assumption of two thirds user funding.</w:t>
                        </w:r>
                      </w:p>
                    </w:tc>
                  </w:tr>
                </w:tbl>
                <w:p w:rsidR="00F22F94" w:rsidRDefault="00F22F94">
                  <w:pPr>
                    <w:pStyle w:val="BodyText"/>
                  </w:pPr>
                </w:p>
              </w:txbxContent>
            </v:textbox>
            <w10:wrap anchorx="page"/>
          </v:shape>
        </w:pict>
      </w:r>
      <w:r w:rsidR="00F22F94">
        <w:rPr>
          <w:b/>
          <w:color w:val="2E3092"/>
          <w:spacing w:val="-2"/>
          <w:sz w:val="18"/>
        </w:rPr>
        <w:t>Recommendations</w:t>
      </w:r>
      <w:r w:rsidR="00F22F94">
        <w:rPr>
          <w:b/>
          <w:color w:val="2E3092"/>
          <w:sz w:val="18"/>
        </w:rPr>
        <w:tab/>
      </w:r>
      <w:r w:rsidR="00F22F94">
        <w:rPr>
          <w:b/>
          <w:color w:val="2E3092"/>
          <w:spacing w:val="-2"/>
          <w:sz w:val="18"/>
        </w:rPr>
        <w:t>Years</w:t>
      </w:r>
      <w:r w:rsidR="00F22F94">
        <w:rPr>
          <w:b/>
          <w:color w:val="2E3092"/>
          <w:sz w:val="18"/>
        </w:rPr>
        <w:tab/>
      </w:r>
      <w:r w:rsidR="00F22F94">
        <w:rPr>
          <w:b/>
          <w:color w:val="2E3092"/>
          <w:spacing w:val="-4"/>
          <w:sz w:val="18"/>
        </w:rPr>
        <w:t>Type</w:t>
      </w:r>
      <w:r w:rsidR="00F22F94">
        <w:rPr>
          <w:b/>
          <w:color w:val="2E3092"/>
          <w:sz w:val="18"/>
        </w:rPr>
        <w:tab/>
      </w:r>
      <w:r w:rsidR="00F22F94">
        <w:rPr>
          <w:b/>
          <w:color w:val="2E3092"/>
          <w:spacing w:val="-2"/>
          <w:sz w:val="18"/>
        </w:rPr>
        <w:t>Cost</w:t>
      </w:r>
      <w:r w:rsidR="00F22F94">
        <w:rPr>
          <w:b/>
          <w:color w:val="2E3092"/>
          <w:spacing w:val="-4"/>
          <w:sz w:val="18"/>
        </w:rPr>
        <w:t xml:space="preserve"> </w:t>
      </w:r>
      <w:r w:rsidR="00F22F94">
        <w:rPr>
          <w:b/>
          <w:color w:val="2E3092"/>
          <w:spacing w:val="-2"/>
          <w:sz w:val="18"/>
        </w:rPr>
        <w:t>and</w:t>
      </w:r>
      <w:r w:rsidR="00F22F94">
        <w:rPr>
          <w:b/>
          <w:color w:val="2E3092"/>
          <w:spacing w:val="-3"/>
          <w:sz w:val="18"/>
        </w:rPr>
        <w:t xml:space="preserve"> </w:t>
      </w:r>
      <w:r w:rsidR="00F22F94">
        <w:rPr>
          <w:b/>
          <w:color w:val="2E3092"/>
          <w:spacing w:val="-2"/>
          <w:sz w:val="18"/>
        </w:rPr>
        <w:t>Funding</w:t>
      </w:r>
      <w:r w:rsidR="00F22F94">
        <w:rPr>
          <w:b/>
          <w:color w:val="2E3092"/>
          <w:spacing w:val="-4"/>
          <w:sz w:val="18"/>
        </w:rPr>
        <w:t xml:space="preserve"> </w:t>
      </w:r>
      <w:r w:rsidR="00F22F94">
        <w:rPr>
          <w:b/>
          <w:color w:val="2E3092"/>
          <w:spacing w:val="-2"/>
          <w:sz w:val="18"/>
        </w:rPr>
        <w:t>Implications</w:t>
      </w:r>
    </w:p>
    <w:p w:rsidR="002C1123" w:rsidRDefault="002C1123">
      <w:pPr>
        <w:rPr>
          <w:sz w:val="18"/>
        </w:rPr>
        <w:sectPr w:rsidR="002C1123">
          <w:type w:val="continuous"/>
          <w:pgSz w:w="16840" w:h="11910" w:orient="landscape"/>
          <w:pgMar w:top="560" w:right="280" w:bottom="280" w:left="500" w:header="0" w:footer="517" w:gutter="0"/>
          <w:cols w:num="2" w:space="720" w:equalWidth="0">
            <w:col w:w="5264" w:space="40"/>
            <w:col w:w="10756"/>
          </w:cols>
        </w:sectPr>
      </w:pPr>
    </w:p>
    <w:p w:rsidR="002C1123" w:rsidRDefault="002C1123">
      <w:pPr>
        <w:pStyle w:val="BodyText"/>
        <w:rPr>
          <w:b/>
        </w:rPr>
      </w:pPr>
    </w:p>
    <w:p w:rsidR="002C1123" w:rsidRDefault="002C1123">
      <w:pPr>
        <w:sectPr w:rsidR="002C1123">
          <w:headerReference w:type="default" r:id="rId148"/>
          <w:footerReference w:type="default" r:id="rId149"/>
          <w:pgSz w:w="16840" w:h="11910" w:orient="landscape"/>
          <w:pgMar w:top="560" w:right="280" w:bottom="700" w:left="500" w:header="0" w:footer="517" w:gutter="0"/>
          <w:cols w:space="720"/>
        </w:sectPr>
      </w:pPr>
    </w:p>
    <w:p w:rsidR="002C1123" w:rsidRDefault="002060EF">
      <w:pPr>
        <w:pStyle w:val="Heading1"/>
      </w:pPr>
      <w:r>
        <w:pict>
          <v:rect id="docshape1222" o:spid="_x0000_s4031" style="position:absolute;left:0;text-align:left;margin-left:38.25pt;margin-top:80.8pt;width:502.7pt;height:422.35pt;z-index:-251479040;mso-position-horizontal-relative:page" fillcolor="#e1e0e1" stroked="f">
            <w10:wrap anchorx="page"/>
          </v:rect>
        </w:pict>
      </w:r>
      <w:bookmarkStart w:id="182" w:name="7.0_Bus_and_light_rail_in_Sydney_"/>
      <w:bookmarkStart w:id="183" w:name="7.1_Snapshot"/>
      <w:bookmarkStart w:id="184" w:name="_bookmark132"/>
      <w:bookmarkStart w:id="185" w:name="_bookmark131"/>
      <w:bookmarkEnd w:id="182"/>
      <w:bookmarkEnd w:id="183"/>
      <w:bookmarkEnd w:id="184"/>
      <w:bookmarkEnd w:id="185"/>
      <w:r w:rsidR="00F22F94">
        <w:rPr>
          <w:color w:val="2E3092"/>
          <w:spacing w:val="-2"/>
          <w:w w:val="55"/>
        </w:rPr>
        <w:t>7.0</w:t>
      </w:r>
      <w:r w:rsidR="00F22F94">
        <w:rPr>
          <w:color w:val="2E3092"/>
          <w:spacing w:val="-20"/>
          <w:w w:val="55"/>
        </w:rPr>
        <w:t xml:space="preserve"> </w:t>
      </w:r>
      <w:r w:rsidR="00F22F94">
        <w:rPr>
          <w:color w:val="00AEEF"/>
          <w:spacing w:val="-2"/>
          <w:w w:val="55"/>
        </w:rPr>
        <w:t>Bus</w:t>
      </w:r>
      <w:r w:rsidR="00F22F94">
        <w:rPr>
          <w:color w:val="00AEEF"/>
          <w:spacing w:val="-24"/>
          <w:w w:val="55"/>
        </w:rPr>
        <w:t xml:space="preserve"> </w:t>
      </w:r>
      <w:r w:rsidR="00F22F94">
        <w:rPr>
          <w:color w:val="00AEEF"/>
          <w:spacing w:val="-2"/>
          <w:w w:val="55"/>
        </w:rPr>
        <w:t>and</w:t>
      </w:r>
      <w:r w:rsidR="00F22F94">
        <w:rPr>
          <w:color w:val="00AEEF"/>
          <w:spacing w:val="-24"/>
          <w:w w:val="55"/>
        </w:rPr>
        <w:t xml:space="preserve"> </w:t>
      </w:r>
      <w:r w:rsidR="00F22F94">
        <w:rPr>
          <w:color w:val="00AEEF"/>
          <w:spacing w:val="-2"/>
          <w:w w:val="55"/>
        </w:rPr>
        <w:t>light</w:t>
      </w:r>
      <w:r w:rsidR="00F22F94">
        <w:rPr>
          <w:color w:val="00AEEF"/>
          <w:spacing w:val="-24"/>
          <w:w w:val="55"/>
        </w:rPr>
        <w:t xml:space="preserve"> </w:t>
      </w:r>
      <w:r w:rsidR="00F22F94">
        <w:rPr>
          <w:color w:val="00AEEF"/>
          <w:spacing w:val="-2"/>
          <w:w w:val="55"/>
        </w:rPr>
        <w:t>rail</w:t>
      </w:r>
      <w:r w:rsidR="00F22F94">
        <w:rPr>
          <w:color w:val="00AEEF"/>
          <w:spacing w:val="-24"/>
          <w:w w:val="55"/>
        </w:rPr>
        <w:t xml:space="preserve"> </w:t>
      </w:r>
      <w:r w:rsidR="00F22F94">
        <w:rPr>
          <w:color w:val="00AEEF"/>
          <w:spacing w:val="-2"/>
          <w:w w:val="55"/>
        </w:rPr>
        <w:t>in</w:t>
      </w:r>
      <w:r w:rsidR="00F22F94">
        <w:rPr>
          <w:color w:val="00AEEF"/>
          <w:spacing w:val="-24"/>
          <w:w w:val="55"/>
        </w:rPr>
        <w:t xml:space="preserve"> </w:t>
      </w:r>
      <w:r w:rsidR="00F22F94">
        <w:rPr>
          <w:color w:val="00AEEF"/>
          <w:spacing w:val="-2"/>
          <w:w w:val="55"/>
        </w:rPr>
        <w:t>Sydney</w:t>
      </w:r>
    </w:p>
    <w:p w:rsidR="002C1123" w:rsidRDefault="00F22F94">
      <w:pPr>
        <w:pStyle w:val="Heading5"/>
        <w:spacing w:before="210"/>
        <w:ind w:left="492" w:firstLine="0"/>
      </w:pPr>
      <w:r>
        <w:rPr>
          <w:color w:val="00AEEF"/>
          <w:spacing w:val="-2"/>
        </w:rPr>
        <w:t>Summary</w:t>
      </w:r>
    </w:p>
    <w:p w:rsidR="002C1123" w:rsidRDefault="00F22F94">
      <w:pPr>
        <w:rPr>
          <w:b/>
          <w:sz w:val="32"/>
        </w:rPr>
      </w:pPr>
      <w:r>
        <w:br w:type="column"/>
      </w:r>
    </w:p>
    <w:p w:rsidR="002C1123" w:rsidRDefault="002C1123">
      <w:pPr>
        <w:pStyle w:val="BodyText"/>
        <w:rPr>
          <w:b/>
          <w:sz w:val="32"/>
        </w:rPr>
      </w:pPr>
    </w:p>
    <w:p w:rsidR="002C1123" w:rsidRDefault="002C1123">
      <w:pPr>
        <w:pStyle w:val="BodyText"/>
        <w:rPr>
          <w:b/>
          <w:sz w:val="32"/>
        </w:rPr>
      </w:pPr>
    </w:p>
    <w:p w:rsidR="002C1123" w:rsidRDefault="002C1123">
      <w:pPr>
        <w:pStyle w:val="BodyText"/>
        <w:rPr>
          <w:b/>
          <w:sz w:val="32"/>
        </w:rPr>
      </w:pPr>
    </w:p>
    <w:p w:rsidR="002C1123" w:rsidRDefault="002C1123">
      <w:pPr>
        <w:pStyle w:val="BodyText"/>
        <w:spacing w:before="9"/>
        <w:rPr>
          <w:b/>
          <w:sz w:val="26"/>
        </w:rPr>
      </w:pPr>
    </w:p>
    <w:p w:rsidR="002C1123" w:rsidRDefault="00F22F94">
      <w:pPr>
        <w:pStyle w:val="Heading5"/>
        <w:numPr>
          <w:ilvl w:val="1"/>
          <w:numId w:val="92"/>
        </w:numPr>
        <w:tabs>
          <w:tab w:val="left" w:pos="942"/>
        </w:tabs>
        <w:spacing w:before="1"/>
        <w:jc w:val="left"/>
      </w:pPr>
      <w:r>
        <w:rPr>
          <w:color w:val="00AEEF"/>
          <w:spacing w:val="-2"/>
        </w:rPr>
        <w:t>Snapshot</w:t>
      </w:r>
    </w:p>
    <w:p w:rsidR="002C1123" w:rsidRDefault="002C1123">
      <w:pPr>
        <w:sectPr w:rsidR="002C1123">
          <w:type w:val="continuous"/>
          <w:pgSz w:w="16840" w:h="11910" w:orient="landscape"/>
          <w:pgMar w:top="560" w:right="280" w:bottom="280" w:left="500" w:header="0" w:footer="517" w:gutter="0"/>
          <w:cols w:num="2" w:space="720" w:equalWidth="0">
            <w:col w:w="8989" w:space="1065"/>
            <w:col w:w="6006"/>
          </w:cols>
        </w:sectPr>
      </w:pPr>
    </w:p>
    <w:p w:rsidR="002C1123" w:rsidRDefault="00F22F94">
      <w:pPr>
        <w:pStyle w:val="ListParagraph"/>
        <w:numPr>
          <w:ilvl w:val="0"/>
          <w:numId w:val="89"/>
        </w:numPr>
        <w:tabs>
          <w:tab w:val="left" w:pos="776"/>
        </w:tabs>
        <w:spacing w:before="122" w:line="249" w:lineRule="auto"/>
        <w:ind w:right="133"/>
        <w:rPr>
          <w:sz w:val="20"/>
        </w:rPr>
      </w:pPr>
      <w:r>
        <w:rPr>
          <w:sz w:val="20"/>
        </w:rPr>
        <w:t>Buses</w:t>
      </w:r>
      <w:r>
        <w:rPr>
          <w:spacing w:val="-8"/>
          <w:sz w:val="20"/>
        </w:rPr>
        <w:t xml:space="preserve"> </w:t>
      </w:r>
      <w:r>
        <w:rPr>
          <w:sz w:val="20"/>
        </w:rPr>
        <w:t>and</w:t>
      </w:r>
      <w:r>
        <w:rPr>
          <w:spacing w:val="-8"/>
          <w:sz w:val="20"/>
        </w:rPr>
        <w:t xml:space="preserve"> </w:t>
      </w:r>
      <w:r>
        <w:rPr>
          <w:sz w:val="20"/>
        </w:rPr>
        <w:t>light</w:t>
      </w:r>
      <w:r>
        <w:rPr>
          <w:spacing w:val="-8"/>
          <w:sz w:val="20"/>
        </w:rPr>
        <w:t xml:space="preserve"> </w:t>
      </w:r>
      <w:r>
        <w:rPr>
          <w:sz w:val="20"/>
        </w:rPr>
        <w:t>rail</w:t>
      </w:r>
      <w:r>
        <w:rPr>
          <w:spacing w:val="-8"/>
          <w:sz w:val="20"/>
        </w:rPr>
        <w:t xml:space="preserve"> </w:t>
      </w:r>
      <w:r>
        <w:rPr>
          <w:sz w:val="20"/>
        </w:rPr>
        <w:t>provide</w:t>
      </w:r>
      <w:r>
        <w:rPr>
          <w:spacing w:val="-8"/>
          <w:sz w:val="20"/>
        </w:rPr>
        <w:t xml:space="preserve"> </w:t>
      </w:r>
      <w:r>
        <w:rPr>
          <w:sz w:val="20"/>
        </w:rPr>
        <w:t>accessible</w:t>
      </w:r>
      <w:r>
        <w:rPr>
          <w:spacing w:val="-8"/>
          <w:sz w:val="20"/>
        </w:rPr>
        <w:t xml:space="preserve"> </w:t>
      </w:r>
      <w:r>
        <w:rPr>
          <w:sz w:val="20"/>
        </w:rPr>
        <w:t xml:space="preserve">public </w:t>
      </w:r>
      <w:r>
        <w:rPr>
          <w:w w:val="95"/>
          <w:sz w:val="20"/>
        </w:rPr>
        <w:t xml:space="preserve">transport on transit corridors where traffic flows do </w:t>
      </w:r>
      <w:r>
        <w:rPr>
          <w:sz w:val="20"/>
        </w:rPr>
        <w:t>not support a heavy rail line.</w:t>
      </w:r>
    </w:p>
    <w:p w:rsidR="002C1123" w:rsidRDefault="00F22F94">
      <w:pPr>
        <w:pStyle w:val="ListParagraph"/>
        <w:numPr>
          <w:ilvl w:val="0"/>
          <w:numId w:val="89"/>
        </w:numPr>
        <w:tabs>
          <w:tab w:val="left" w:pos="776"/>
        </w:tabs>
        <w:spacing w:before="131" w:line="249" w:lineRule="auto"/>
        <w:ind w:right="152"/>
        <w:rPr>
          <w:sz w:val="20"/>
        </w:rPr>
      </w:pPr>
      <w:r>
        <w:rPr>
          <w:w w:val="95"/>
          <w:sz w:val="20"/>
        </w:rPr>
        <w:t>The principal issue facing bus services in Sydney is</w:t>
      </w:r>
      <w:r>
        <w:rPr>
          <w:spacing w:val="-10"/>
          <w:w w:val="95"/>
          <w:sz w:val="20"/>
        </w:rPr>
        <w:t xml:space="preserve"> </w:t>
      </w:r>
      <w:r>
        <w:rPr>
          <w:w w:val="95"/>
          <w:sz w:val="20"/>
        </w:rPr>
        <w:t>congestion</w:t>
      </w:r>
      <w:r>
        <w:rPr>
          <w:spacing w:val="-13"/>
          <w:w w:val="95"/>
          <w:sz w:val="20"/>
        </w:rPr>
        <w:t xml:space="preserve"> </w:t>
      </w:r>
      <w:r>
        <w:rPr>
          <w:w w:val="95"/>
          <w:sz w:val="20"/>
        </w:rPr>
        <w:t>in</w:t>
      </w:r>
      <w:r>
        <w:rPr>
          <w:spacing w:val="-13"/>
          <w:w w:val="95"/>
          <w:sz w:val="20"/>
        </w:rPr>
        <w:t xml:space="preserve"> </w:t>
      </w:r>
      <w:r>
        <w:rPr>
          <w:w w:val="95"/>
          <w:sz w:val="20"/>
        </w:rPr>
        <w:t>the</w:t>
      </w:r>
      <w:r>
        <w:rPr>
          <w:spacing w:val="-13"/>
          <w:w w:val="95"/>
          <w:sz w:val="20"/>
        </w:rPr>
        <w:t xml:space="preserve"> </w:t>
      </w:r>
      <w:r>
        <w:rPr>
          <w:w w:val="95"/>
          <w:sz w:val="20"/>
        </w:rPr>
        <w:t>CBD,</w:t>
      </w:r>
      <w:r>
        <w:rPr>
          <w:spacing w:val="-13"/>
          <w:w w:val="95"/>
          <w:sz w:val="20"/>
        </w:rPr>
        <w:t xml:space="preserve"> </w:t>
      </w:r>
      <w:r>
        <w:rPr>
          <w:w w:val="95"/>
          <w:sz w:val="20"/>
        </w:rPr>
        <w:t>which</w:t>
      </w:r>
      <w:r>
        <w:rPr>
          <w:spacing w:val="-13"/>
          <w:w w:val="95"/>
          <w:sz w:val="20"/>
        </w:rPr>
        <w:t xml:space="preserve"> </w:t>
      </w:r>
      <w:r>
        <w:rPr>
          <w:w w:val="95"/>
          <w:sz w:val="20"/>
        </w:rPr>
        <w:t>makes</w:t>
      </w:r>
      <w:r>
        <w:rPr>
          <w:spacing w:val="-13"/>
          <w:w w:val="95"/>
          <w:sz w:val="20"/>
        </w:rPr>
        <w:t xml:space="preserve"> </w:t>
      </w:r>
      <w:r>
        <w:rPr>
          <w:w w:val="95"/>
          <w:sz w:val="20"/>
        </w:rPr>
        <w:t>travel</w:t>
      </w:r>
      <w:r>
        <w:rPr>
          <w:spacing w:val="-13"/>
          <w:w w:val="95"/>
          <w:sz w:val="20"/>
        </w:rPr>
        <w:t xml:space="preserve"> </w:t>
      </w:r>
      <w:r>
        <w:rPr>
          <w:w w:val="95"/>
          <w:sz w:val="20"/>
        </w:rPr>
        <w:t>times slow</w:t>
      </w:r>
      <w:r>
        <w:rPr>
          <w:spacing w:val="-8"/>
          <w:w w:val="95"/>
          <w:sz w:val="20"/>
        </w:rPr>
        <w:t xml:space="preserve"> </w:t>
      </w:r>
      <w:r>
        <w:rPr>
          <w:w w:val="95"/>
          <w:sz w:val="20"/>
        </w:rPr>
        <w:t>and</w:t>
      </w:r>
      <w:r>
        <w:rPr>
          <w:spacing w:val="-4"/>
          <w:w w:val="95"/>
          <w:sz w:val="20"/>
        </w:rPr>
        <w:t xml:space="preserve"> </w:t>
      </w:r>
      <w:r>
        <w:rPr>
          <w:w w:val="95"/>
          <w:sz w:val="20"/>
        </w:rPr>
        <w:t>unreliable,</w:t>
      </w:r>
      <w:r>
        <w:rPr>
          <w:spacing w:val="-4"/>
          <w:w w:val="95"/>
          <w:sz w:val="20"/>
        </w:rPr>
        <w:t xml:space="preserve"> </w:t>
      </w:r>
      <w:r>
        <w:rPr>
          <w:w w:val="95"/>
          <w:sz w:val="20"/>
        </w:rPr>
        <w:t>and</w:t>
      </w:r>
      <w:r>
        <w:rPr>
          <w:spacing w:val="-4"/>
          <w:w w:val="95"/>
          <w:sz w:val="20"/>
        </w:rPr>
        <w:t xml:space="preserve"> </w:t>
      </w:r>
      <w:r>
        <w:rPr>
          <w:w w:val="95"/>
          <w:sz w:val="20"/>
        </w:rPr>
        <w:t>detracts</w:t>
      </w:r>
      <w:r>
        <w:rPr>
          <w:spacing w:val="-4"/>
          <w:w w:val="95"/>
          <w:sz w:val="20"/>
        </w:rPr>
        <w:t xml:space="preserve"> </w:t>
      </w:r>
      <w:r>
        <w:rPr>
          <w:w w:val="95"/>
          <w:sz w:val="20"/>
        </w:rPr>
        <w:t>from</w:t>
      </w:r>
      <w:r>
        <w:rPr>
          <w:spacing w:val="-5"/>
          <w:w w:val="95"/>
          <w:sz w:val="20"/>
        </w:rPr>
        <w:t xml:space="preserve"> </w:t>
      </w:r>
      <w:r>
        <w:rPr>
          <w:w w:val="95"/>
          <w:sz w:val="20"/>
        </w:rPr>
        <w:t>the</w:t>
      </w:r>
      <w:r>
        <w:rPr>
          <w:spacing w:val="-4"/>
          <w:w w:val="95"/>
          <w:sz w:val="20"/>
        </w:rPr>
        <w:t xml:space="preserve"> </w:t>
      </w:r>
      <w:r>
        <w:rPr>
          <w:w w:val="95"/>
          <w:sz w:val="20"/>
        </w:rPr>
        <w:t>amenity of the city streets. Congestion is particularly acute on the north-south</w:t>
      </w:r>
      <w:r>
        <w:rPr>
          <w:spacing w:val="-3"/>
          <w:w w:val="95"/>
          <w:sz w:val="20"/>
        </w:rPr>
        <w:t xml:space="preserve"> </w:t>
      </w:r>
      <w:r>
        <w:rPr>
          <w:w w:val="95"/>
          <w:sz w:val="20"/>
        </w:rPr>
        <w:t>spine</w:t>
      </w:r>
      <w:r>
        <w:rPr>
          <w:spacing w:val="-3"/>
          <w:w w:val="95"/>
          <w:sz w:val="20"/>
        </w:rPr>
        <w:t xml:space="preserve"> </w:t>
      </w:r>
      <w:r>
        <w:rPr>
          <w:w w:val="95"/>
          <w:sz w:val="20"/>
        </w:rPr>
        <w:t>from</w:t>
      </w:r>
      <w:r>
        <w:rPr>
          <w:spacing w:val="-3"/>
          <w:w w:val="95"/>
          <w:sz w:val="20"/>
        </w:rPr>
        <w:t xml:space="preserve"> </w:t>
      </w:r>
      <w:r>
        <w:rPr>
          <w:w w:val="95"/>
          <w:sz w:val="20"/>
        </w:rPr>
        <w:t>the</w:t>
      </w:r>
      <w:r>
        <w:rPr>
          <w:spacing w:val="-3"/>
          <w:w w:val="95"/>
          <w:sz w:val="20"/>
        </w:rPr>
        <w:t xml:space="preserve"> </w:t>
      </w:r>
      <w:r>
        <w:rPr>
          <w:w w:val="95"/>
          <w:sz w:val="20"/>
        </w:rPr>
        <w:t>Sydney</w:t>
      </w:r>
      <w:r>
        <w:rPr>
          <w:spacing w:val="-3"/>
          <w:w w:val="95"/>
          <w:sz w:val="20"/>
        </w:rPr>
        <w:t xml:space="preserve"> </w:t>
      </w:r>
      <w:r>
        <w:rPr>
          <w:w w:val="95"/>
          <w:sz w:val="20"/>
        </w:rPr>
        <w:t xml:space="preserve">Harbour </w:t>
      </w:r>
      <w:r>
        <w:rPr>
          <w:sz w:val="20"/>
        </w:rPr>
        <w:t>Bridge to the QVB.</w:t>
      </w:r>
    </w:p>
    <w:p w:rsidR="002C1123" w:rsidRDefault="00F22F94">
      <w:pPr>
        <w:pStyle w:val="ListParagraph"/>
        <w:numPr>
          <w:ilvl w:val="0"/>
          <w:numId w:val="89"/>
        </w:numPr>
        <w:tabs>
          <w:tab w:val="left" w:pos="776"/>
        </w:tabs>
        <w:spacing w:before="134" w:line="249" w:lineRule="auto"/>
        <w:rPr>
          <w:sz w:val="20"/>
        </w:rPr>
      </w:pPr>
      <w:r>
        <w:rPr>
          <w:sz w:val="20"/>
        </w:rPr>
        <w:t>The</w:t>
      </w:r>
      <w:r>
        <w:rPr>
          <w:spacing w:val="-14"/>
          <w:sz w:val="20"/>
        </w:rPr>
        <w:t xml:space="preserve"> </w:t>
      </w:r>
      <w:r>
        <w:rPr>
          <w:sz w:val="20"/>
        </w:rPr>
        <w:t>Draft</w:t>
      </w:r>
      <w:r>
        <w:rPr>
          <w:spacing w:val="-14"/>
          <w:sz w:val="20"/>
        </w:rPr>
        <w:t xml:space="preserve"> </w:t>
      </w:r>
      <w:r>
        <w:rPr>
          <w:sz w:val="20"/>
        </w:rPr>
        <w:t>Long</w:t>
      </w:r>
      <w:r>
        <w:rPr>
          <w:spacing w:val="-14"/>
          <w:sz w:val="20"/>
        </w:rPr>
        <w:t xml:space="preserve"> </w:t>
      </w:r>
      <w:r>
        <w:rPr>
          <w:sz w:val="20"/>
        </w:rPr>
        <w:t>Term</w:t>
      </w:r>
      <w:r>
        <w:rPr>
          <w:spacing w:val="-14"/>
          <w:sz w:val="20"/>
        </w:rPr>
        <w:t xml:space="preserve"> </w:t>
      </w:r>
      <w:r>
        <w:rPr>
          <w:sz w:val="20"/>
        </w:rPr>
        <w:t>Transport</w:t>
      </w:r>
      <w:r>
        <w:rPr>
          <w:spacing w:val="-14"/>
          <w:sz w:val="20"/>
        </w:rPr>
        <w:t xml:space="preserve"> </w:t>
      </w:r>
      <w:r>
        <w:rPr>
          <w:sz w:val="20"/>
        </w:rPr>
        <w:t>Master</w:t>
      </w:r>
      <w:r>
        <w:rPr>
          <w:spacing w:val="-14"/>
          <w:sz w:val="20"/>
        </w:rPr>
        <w:t xml:space="preserve"> </w:t>
      </w:r>
      <w:r>
        <w:rPr>
          <w:sz w:val="20"/>
        </w:rPr>
        <w:t xml:space="preserve">Plan </w:t>
      </w:r>
      <w:r>
        <w:rPr>
          <w:w w:val="95"/>
          <w:sz w:val="20"/>
        </w:rPr>
        <w:t xml:space="preserve">proposes terminating local buses at the edge of the </w:t>
      </w:r>
      <w:r>
        <w:rPr>
          <w:sz w:val="20"/>
        </w:rPr>
        <w:t>CBD,</w:t>
      </w:r>
      <w:r>
        <w:rPr>
          <w:spacing w:val="-11"/>
          <w:sz w:val="20"/>
        </w:rPr>
        <w:t xml:space="preserve"> </w:t>
      </w:r>
      <w:r>
        <w:rPr>
          <w:sz w:val="20"/>
        </w:rPr>
        <w:t>and</w:t>
      </w:r>
      <w:r>
        <w:rPr>
          <w:spacing w:val="-11"/>
          <w:sz w:val="20"/>
        </w:rPr>
        <w:t xml:space="preserve"> </w:t>
      </w:r>
      <w:r>
        <w:rPr>
          <w:sz w:val="20"/>
        </w:rPr>
        <w:t>potentially</w:t>
      </w:r>
      <w:r>
        <w:rPr>
          <w:spacing w:val="-11"/>
          <w:sz w:val="20"/>
        </w:rPr>
        <w:t xml:space="preserve"> </w:t>
      </w:r>
      <w:r>
        <w:rPr>
          <w:sz w:val="20"/>
        </w:rPr>
        <w:t>constructing</w:t>
      </w:r>
      <w:r>
        <w:rPr>
          <w:spacing w:val="-11"/>
          <w:sz w:val="20"/>
        </w:rPr>
        <w:t xml:space="preserve"> </w:t>
      </w:r>
      <w:r>
        <w:rPr>
          <w:sz w:val="20"/>
        </w:rPr>
        <w:t>light</w:t>
      </w:r>
      <w:r>
        <w:rPr>
          <w:spacing w:val="-11"/>
          <w:sz w:val="20"/>
        </w:rPr>
        <w:t xml:space="preserve"> </w:t>
      </w:r>
      <w:r>
        <w:rPr>
          <w:sz w:val="20"/>
        </w:rPr>
        <w:t>rail</w:t>
      </w:r>
      <w:r>
        <w:rPr>
          <w:spacing w:val="-11"/>
          <w:sz w:val="20"/>
        </w:rPr>
        <w:t xml:space="preserve"> </w:t>
      </w:r>
      <w:r>
        <w:rPr>
          <w:sz w:val="20"/>
        </w:rPr>
        <w:t>along George</w:t>
      </w:r>
      <w:r>
        <w:rPr>
          <w:spacing w:val="-13"/>
          <w:sz w:val="20"/>
        </w:rPr>
        <w:t xml:space="preserve"> </w:t>
      </w:r>
      <w:r>
        <w:rPr>
          <w:sz w:val="20"/>
        </w:rPr>
        <w:t>Street.</w:t>
      </w:r>
      <w:r>
        <w:rPr>
          <w:spacing w:val="-13"/>
          <w:sz w:val="20"/>
        </w:rPr>
        <w:t xml:space="preserve"> </w:t>
      </w:r>
      <w:r>
        <w:rPr>
          <w:sz w:val="20"/>
        </w:rPr>
        <w:t>This</w:t>
      </w:r>
      <w:r>
        <w:rPr>
          <w:spacing w:val="-13"/>
          <w:sz w:val="20"/>
        </w:rPr>
        <w:t xml:space="preserve"> </w:t>
      </w:r>
      <w:r>
        <w:rPr>
          <w:sz w:val="20"/>
        </w:rPr>
        <w:t>would</w:t>
      </w:r>
      <w:r>
        <w:rPr>
          <w:spacing w:val="-13"/>
          <w:sz w:val="20"/>
        </w:rPr>
        <w:t xml:space="preserve"> </w:t>
      </w:r>
      <w:r>
        <w:rPr>
          <w:sz w:val="20"/>
        </w:rPr>
        <w:t>allow</w:t>
      </w:r>
      <w:r>
        <w:rPr>
          <w:spacing w:val="-13"/>
          <w:sz w:val="20"/>
        </w:rPr>
        <w:t xml:space="preserve"> </w:t>
      </w:r>
      <w:r>
        <w:rPr>
          <w:sz w:val="20"/>
        </w:rPr>
        <w:t>the</w:t>
      </w:r>
      <w:r>
        <w:rPr>
          <w:spacing w:val="-13"/>
          <w:sz w:val="20"/>
        </w:rPr>
        <w:t xml:space="preserve"> </w:t>
      </w:r>
      <w:r>
        <w:rPr>
          <w:sz w:val="20"/>
        </w:rPr>
        <w:t>shared</w:t>
      </w:r>
      <w:r>
        <w:rPr>
          <w:spacing w:val="-13"/>
          <w:sz w:val="20"/>
        </w:rPr>
        <w:t xml:space="preserve"> </w:t>
      </w:r>
      <w:r>
        <w:rPr>
          <w:sz w:val="20"/>
        </w:rPr>
        <w:t>use</w:t>
      </w:r>
      <w:r>
        <w:rPr>
          <w:spacing w:val="-13"/>
          <w:sz w:val="20"/>
        </w:rPr>
        <w:t xml:space="preserve"> </w:t>
      </w:r>
      <w:r>
        <w:rPr>
          <w:sz w:val="20"/>
        </w:rPr>
        <w:t xml:space="preserve">of </w:t>
      </w:r>
      <w:r>
        <w:rPr>
          <w:w w:val="95"/>
          <w:sz w:val="20"/>
        </w:rPr>
        <w:t>parts</w:t>
      </w:r>
      <w:r>
        <w:rPr>
          <w:spacing w:val="-1"/>
          <w:w w:val="95"/>
          <w:sz w:val="20"/>
        </w:rPr>
        <w:t xml:space="preserve"> </w:t>
      </w:r>
      <w:r>
        <w:rPr>
          <w:w w:val="95"/>
          <w:sz w:val="20"/>
        </w:rPr>
        <w:t>of</w:t>
      </w:r>
      <w:r>
        <w:rPr>
          <w:spacing w:val="-1"/>
          <w:w w:val="95"/>
          <w:sz w:val="20"/>
        </w:rPr>
        <w:t xml:space="preserve"> </w:t>
      </w:r>
      <w:r>
        <w:rPr>
          <w:w w:val="95"/>
          <w:sz w:val="20"/>
        </w:rPr>
        <w:t>George</w:t>
      </w:r>
      <w:r>
        <w:rPr>
          <w:spacing w:val="-1"/>
          <w:w w:val="95"/>
          <w:sz w:val="20"/>
        </w:rPr>
        <w:t xml:space="preserve"> </w:t>
      </w:r>
      <w:r>
        <w:rPr>
          <w:w w:val="95"/>
          <w:sz w:val="20"/>
        </w:rPr>
        <w:t>Street.</w:t>
      </w:r>
      <w:r>
        <w:rPr>
          <w:spacing w:val="-1"/>
          <w:w w:val="95"/>
          <w:sz w:val="20"/>
        </w:rPr>
        <w:t xml:space="preserve"> </w:t>
      </w:r>
      <w:r>
        <w:rPr>
          <w:w w:val="95"/>
          <w:sz w:val="20"/>
        </w:rPr>
        <w:t>Bus</w:t>
      </w:r>
      <w:r>
        <w:rPr>
          <w:spacing w:val="-1"/>
          <w:w w:val="95"/>
          <w:sz w:val="20"/>
        </w:rPr>
        <w:t xml:space="preserve"> </w:t>
      </w:r>
      <w:r>
        <w:rPr>
          <w:w w:val="95"/>
          <w:sz w:val="20"/>
        </w:rPr>
        <w:t>passengers</w:t>
      </w:r>
      <w:r>
        <w:rPr>
          <w:spacing w:val="-1"/>
          <w:w w:val="95"/>
          <w:sz w:val="20"/>
        </w:rPr>
        <w:t xml:space="preserve"> </w:t>
      </w:r>
      <w:r>
        <w:rPr>
          <w:w w:val="95"/>
          <w:sz w:val="20"/>
        </w:rPr>
        <w:t>would</w:t>
      </w:r>
      <w:r>
        <w:rPr>
          <w:spacing w:val="-1"/>
          <w:w w:val="95"/>
          <w:sz w:val="20"/>
        </w:rPr>
        <w:t xml:space="preserve"> </w:t>
      </w:r>
      <w:r>
        <w:rPr>
          <w:w w:val="95"/>
          <w:sz w:val="20"/>
        </w:rPr>
        <w:t xml:space="preserve">need </w:t>
      </w:r>
      <w:r>
        <w:rPr>
          <w:spacing w:val="-2"/>
          <w:sz w:val="20"/>
        </w:rPr>
        <w:t>to</w:t>
      </w:r>
      <w:r>
        <w:rPr>
          <w:spacing w:val="-9"/>
          <w:sz w:val="20"/>
        </w:rPr>
        <w:t xml:space="preserve"> </w:t>
      </w:r>
      <w:r>
        <w:rPr>
          <w:spacing w:val="-2"/>
          <w:sz w:val="20"/>
        </w:rPr>
        <w:t>transfer</w:t>
      </w:r>
      <w:r>
        <w:rPr>
          <w:spacing w:val="-9"/>
          <w:sz w:val="20"/>
        </w:rPr>
        <w:t xml:space="preserve"> </w:t>
      </w:r>
      <w:r>
        <w:rPr>
          <w:spacing w:val="-2"/>
          <w:sz w:val="20"/>
        </w:rPr>
        <w:t>to</w:t>
      </w:r>
      <w:r>
        <w:rPr>
          <w:spacing w:val="-9"/>
          <w:sz w:val="20"/>
        </w:rPr>
        <w:t xml:space="preserve"> </w:t>
      </w:r>
      <w:r>
        <w:rPr>
          <w:spacing w:val="-2"/>
          <w:sz w:val="20"/>
        </w:rPr>
        <w:t>light</w:t>
      </w:r>
      <w:r>
        <w:rPr>
          <w:spacing w:val="-9"/>
          <w:sz w:val="20"/>
        </w:rPr>
        <w:t xml:space="preserve"> </w:t>
      </w:r>
      <w:r>
        <w:rPr>
          <w:spacing w:val="-2"/>
          <w:sz w:val="20"/>
        </w:rPr>
        <w:t>rail</w:t>
      </w:r>
      <w:r>
        <w:rPr>
          <w:spacing w:val="-9"/>
          <w:sz w:val="20"/>
        </w:rPr>
        <w:t xml:space="preserve"> </w:t>
      </w:r>
      <w:r>
        <w:rPr>
          <w:spacing w:val="-2"/>
          <w:sz w:val="20"/>
        </w:rPr>
        <w:t>or</w:t>
      </w:r>
      <w:r>
        <w:rPr>
          <w:spacing w:val="-9"/>
          <w:sz w:val="20"/>
        </w:rPr>
        <w:t xml:space="preserve"> </w:t>
      </w:r>
      <w:r>
        <w:rPr>
          <w:spacing w:val="-2"/>
          <w:sz w:val="20"/>
        </w:rPr>
        <w:t>existing</w:t>
      </w:r>
      <w:r>
        <w:rPr>
          <w:spacing w:val="-9"/>
          <w:sz w:val="20"/>
        </w:rPr>
        <w:t xml:space="preserve"> </w:t>
      </w:r>
      <w:r>
        <w:rPr>
          <w:spacing w:val="-2"/>
          <w:sz w:val="20"/>
        </w:rPr>
        <w:t>trains,</w:t>
      </w:r>
      <w:r>
        <w:rPr>
          <w:spacing w:val="-9"/>
          <w:sz w:val="20"/>
        </w:rPr>
        <w:t xml:space="preserve"> </w:t>
      </w:r>
      <w:r>
        <w:rPr>
          <w:spacing w:val="-2"/>
          <w:sz w:val="20"/>
        </w:rPr>
        <w:t>or</w:t>
      </w:r>
      <w:r>
        <w:rPr>
          <w:spacing w:val="-9"/>
          <w:sz w:val="20"/>
        </w:rPr>
        <w:t xml:space="preserve"> </w:t>
      </w:r>
      <w:r>
        <w:rPr>
          <w:spacing w:val="-2"/>
          <w:sz w:val="20"/>
        </w:rPr>
        <w:t>else</w:t>
      </w:r>
      <w:r>
        <w:rPr>
          <w:spacing w:val="-9"/>
          <w:sz w:val="20"/>
        </w:rPr>
        <w:t xml:space="preserve"> </w:t>
      </w:r>
      <w:r>
        <w:rPr>
          <w:spacing w:val="-2"/>
          <w:sz w:val="20"/>
        </w:rPr>
        <w:t xml:space="preserve">walk </w:t>
      </w:r>
      <w:r>
        <w:rPr>
          <w:sz w:val="20"/>
        </w:rPr>
        <w:t>to their final destination.</w:t>
      </w:r>
    </w:p>
    <w:p w:rsidR="002C1123" w:rsidRDefault="00F22F94">
      <w:pPr>
        <w:pStyle w:val="ListParagraph"/>
        <w:numPr>
          <w:ilvl w:val="0"/>
          <w:numId w:val="89"/>
        </w:numPr>
        <w:tabs>
          <w:tab w:val="left" w:pos="776"/>
        </w:tabs>
        <w:spacing w:before="134" w:line="249" w:lineRule="auto"/>
        <w:ind w:right="584"/>
        <w:rPr>
          <w:sz w:val="20"/>
        </w:rPr>
      </w:pPr>
      <w:r>
        <w:rPr>
          <w:w w:val="95"/>
          <w:sz w:val="20"/>
        </w:rPr>
        <w:t>CBD</w:t>
      </w:r>
      <w:r>
        <w:rPr>
          <w:spacing w:val="-3"/>
          <w:w w:val="95"/>
          <w:sz w:val="20"/>
        </w:rPr>
        <w:t xml:space="preserve"> </w:t>
      </w:r>
      <w:r>
        <w:rPr>
          <w:w w:val="95"/>
          <w:sz w:val="20"/>
        </w:rPr>
        <w:t>light</w:t>
      </w:r>
      <w:r>
        <w:rPr>
          <w:spacing w:val="-3"/>
          <w:w w:val="95"/>
          <w:sz w:val="20"/>
        </w:rPr>
        <w:t xml:space="preserve"> </w:t>
      </w:r>
      <w:r>
        <w:rPr>
          <w:w w:val="95"/>
          <w:sz w:val="20"/>
        </w:rPr>
        <w:t>rail</w:t>
      </w:r>
      <w:r>
        <w:rPr>
          <w:spacing w:val="-3"/>
          <w:w w:val="95"/>
          <w:sz w:val="20"/>
        </w:rPr>
        <w:t xml:space="preserve"> </w:t>
      </w:r>
      <w:r>
        <w:rPr>
          <w:w w:val="95"/>
          <w:sz w:val="20"/>
        </w:rPr>
        <w:t>may</w:t>
      </w:r>
      <w:r>
        <w:rPr>
          <w:spacing w:val="-3"/>
          <w:w w:val="95"/>
          <w:sz w:val="20"/>
        </w:rPr>
        <w:t xml:space="preserve"> </w:t>
      </w:r>
      <w:r>
        <w:rPr>
          <w:w w:val="95"/>
          <w:sz w:val="20"/>
        </w:rPr>
        <w:t>not</w:t>
      </w:r>
      <w:r>
        <w:rPr>
          <w:spacing w:val="-3"/>
          <w:w w:val="95"/>
          <w:sz w:val="20"/>
        </w:rPr>
        <w:t xml:space="preserve"> </w:t>
      </w:r>
      <w:r>
        <w:rPr>
          <w:w w:val="95"/>
          <w:sz w:val="20"/>
        </w:rPr>
        <w:t>provide</w:t>
      </w:r>
      <w:r>
        <w:rPr>
          <w:spacing w:val="-3"/>
          <w:w w:val="95"/>
          <w:sz w:val="20"/>
        </w:rPr>
        <w:t xml:space="preserve"> </w:t>
      </w:r>
      <w:r>
        <w:rPr>
          <w:w w:val="95"/>
          <w:sz w:val="20"/>
        </w:rPr>
        <w:t>transit</w:t>
      </w:r>
      <w:r>
        <w:rPr>
          <w:spacing w:val="-3"/>
          <w:w w:val="95"/>
          <w:sz w:val="20"/>
        </w:rPr>
        <w:t xml:space="preserve"> </w:t>
      </w:r>
      <w:r>
        <w:rPr>
          <w:w w:val="95"/>
          <w:sz w:val="20"/>
        </w:rPr>
        <w:t>benefits for</w:t>
      </w:r>
      <w:r>
        <w:rPr>
          <w:spacing w:val="-5"/>
          <w:w w:val="95"/>
          <w:sz w:val="20"/>
        </w:rPr>
        <w:t xml:space="preserve"> </w:t>
      </w:r>
      <w:r>
        <w:rPr>
          <w:w w:val="95"/>
          <w:sz w:val="20"/>
        </w:rPr>
        <w:t>some</w:t>
      </w:r>
      <w:r>
        <w:rPr>
          <w:spacing w:val="-5"/>
          <w:w w:val="95"/>
          <w:sz w:val="20"/>
        </w:rPr>
        <w:t xml:space="preserve"> </w:t>
      </w:r>
      <w:r>
        <w:rPr>
          <w:w w:val="95"/>
          <w:sz w:val="20"/>
        </w:rPr>
        <w:t>existing</w:t>
      </w:r>
      <w:r>
        <w:rPr>
          <w:spacing w:val="-5"/>
          <w:w w:val="95"/>
          <w:sz w:val="20"/>
        </w:rPr>
        <w:t xml:space="preserve"> </w:t>
      </w:r>
      <w:r>
        <w:rPr>
          <w:w w:val="95"/>
          <w:sz w:val="20"/>
        </w:rPr>
        <w:t>bus</w:t>
      </w:r>
      <w:r>
        <w:rPr>
          <w:spacing w:val="-5"/>
          <w:w w:val="95"/>
          <w:sz w:val="20"/>
        </w:rPr>
        <w:t xml:space="preserve"> </w:t>
      </w:r>
      <w:r>
        <w:rPr>
          <w:w w:val="95"/>
          <w:sz w:val="20"/>
        </w:rPr>
        <w:t>passengers</w:t>
      </w:r>
      <w:r>
        <w:rPr>
          <w:spacing w:val="-5"/>
          <w:w w:val="95"/>
          <w:sz w:val="20"/>
        </w:rPr>
        <w:t xml:space="preserve"> </w:t>
      </w:r>
      <w:r>
        <w:rPr>
          <w:w w:val="95"/>
          <w:sz w:val="20"/>
        </w:rPr>
        <w:t>who</w:t>
      </w:r>
      <w:r>
        <w:rPr>
          <w:spacing w:val="-5"/>
          <w:w w:val="95"/>
          <w:sz w:val="20"/>
        </w:rPr>
        <w:t xml:space="preserve"> </w:t>
      </w:r>
      <w:r>
        <w:rPr>
          <w:w w:val="95"/>
          <w:sz w:val="20"/>
        </w:rPr>
        <w:t>will</w:t>
      </w:r>
      <w:r>
        <w:rPr>
          <w:spacing w:val="-5"/>
          <w:w w:val="95"/>
          <w:sz w:val="20"/>
        </w:rPr>
        <w:t xml:space="preserve"> </w:t>
      </w:r>
      <w:r>
        <w:rPr>
          <w:w w:val="95"/>
          <w:sz w:val="20"/>
        </w:rPr>
        <w:t>be</w:t>
      </w:r>
    </w:p>
    <w:p w:rsidR="002C1123" w:rsidRDefault="00F22F94">
      <w:pPr>
        <w:pStyle w:val="BodyText"/>
        <w:spacing w:before="2" w:line="249" w:lineRule="auto"/>
        <w:ind w:left="775" w:right="81"/>
      </w:pPr>
      <w:r>
        <w:rPr>
          <w:w w:val="95"/>
        </w:rPr>
        <w:t>required</w:t>
      </w:r>
      <w:r>
        <w:rPr>
          <w:spacing w:val="-5"/>
          <w:w w:val="95"/>
        </w:rPr>
        <w:t xml:space="preserve"> </w:t>
      </w:r>
      <w:r>
        <w:rPr>
          <w:w w:val="95"/>
        </w:rPr>
        <w:t>to</w:t>
      </w:r>
      <w:r>
        <w:rPr>
          <w:spacing w:val="-5"/>
          <w:w w:val="95"/>
        </w:rPr>
        <w:t xml:space="preserve"> </w:t>
      </w:r>
      <w:r>
        <w:rPr>
          <w:w w:val="95"/>
        </w:rPr>
        <w:t>interchange</w:t>
      </w:r>
      <w:r>
        <w:rPr>
          <w:spacing w:val="-5"/>
          <w:w w:val="95"/>
        </w:rPr>
        <w:t xml:space="preserve"> </w:t>
      </w:r>
      <w:r>
        <w:rPr>
          <w:w w:val="95"/>
        </w:rPr>
        <w:t>or</w:t>
      </w:r>
      <w:r>
        <w:rPr>
          <w:spacing w:val="-5"/>
          <w:w w:val="95"/>
        </w:rPr>
        <w:t xml:space="preserve"> </w:t>
      </w:r>
      <w:r>
        <w:rPr>
          <w:w w:val="95"/>
        </w:rPr>
        <w:t>walk</w:t>
      </w:r>
      <w:r>
        <w:rPr>
          <w:spacing w:val="-5"/>
          <w:w w:val="95"/>
        </w:rPr>
        <w:t xml:space="preserve"> </w:t>
      </w:r>
      <w:r>
        <w:rPr>
          <w:w w:val="95"/>
        </w:rPr>
        <w:t>a</w:t>
      </w:r>
      <w:r>
        <w:rPr>
          <w:spacing w:val="-5"/>
          <w:w w:val="95"/>
        </w:rPr>
        <w:t xml:space="preserve"> </w:t>
      </w:r>
      <w:r>
        <w:rPr>
          <w:w w:val="95"/>
        </w:rPr>
        <w:t>longer</w:t>
      </w:r>
      <w:r>
        <w:rPr>
          <w:spacing w:val="-5"/>
          <w:w w:val="95"/>
        </w:rPr>
        <w:t xml:space="preserve"> </w:t>
      </w:r>
      <w:r>
        <w:rPr>
          <w:w w:val="95"/>
        </w:rPr>
        <w:t xml:space="preserve">distance. </w:t>
      </w:r>
      <w:r>
        <w:t>Additionally,</w:t>
      </w:r>
      <w:r>
        <w:rPr>
          <w:spacing w:val="-14"/>
        </w:rPr>
        <w:t xml:space="preserve"> </w:t>
      </w:r>
      <w:r>
        <w:t>the</w:t>
      </w:r>
      <w:r>
        <w:rPr>
          <w:spacing w:val="-14"/>
        </w:rPr>
        <w:t xml:space="preserve"> </w:t>
      </w:r>
      <w:r>
        <w:t>narrowness</w:t>
      </w:r>
      <w:r>
        <w:rPr>
          <w:spacing w:val="-14"/>
        </w:rPr>
        <w:t xml:space="preserve"> </w:t>
      </w:r>
      <w:r>
        <w:t>of</w:t>
      </w:r>
      <w:r>
        <w:rPr>
          <w:spacing w:val="-14"/>
        </w:rPr>
        <w:t xml:space="preserve"> </w:t>
      </w:r>
      <w:r>
        <w:t>George</w:t>
      </w:r>
      <w:r>
        <w:rPr>
          <w:spacing w:val="-13"/>
        </w:rPr>
        <w:t xml:space="preserve"> </w:t>
      </w:r>
      <w:r>
        <w:t>Street may</w:t>
      </w:r>
      <w:r>
        <w:rPr>
          <w:spacing w:val="-11"/>
        </w:rPr>
        <w:t xml:space="preserve"> </w:t>
      </w:r>
      <w:r>
        <w:t>mean</w:t>
      </w:r>
      <w:r>
        <w:rPr>
          <w:spacing w:val="-11"/>
        </w:rPr>
        <w:t xml:space="preserve"> </w:t>
      </w:r>
      <w:r>
        <w:t>that</w:t>
      </w:r>
      <w:r>
        <w:rPr>
          <w:spacing w:val="-11"/>
        </w:rPr>
        <w:t xml:space="preserve"> </w:t>
      </w:r>
      <w:r>
        <w:t>a</w:t>
      </w:r>
      <w:r>
        <w:rPr>
          <w:spacing w:val="-11"/>
        </w:rPr>
        <w:t xml:space="preserve"> </w:t>
      </w:r>
      <w:r>
        <w:t>high</w:t>
      </w:r>
      <w:r>
        <w:rPr>
          <w:spacing w:val="-11"/>
        </w:rPr>
        <w:t xml:space="preserve"> </w:t>
      </w:r>
      <w:r>
        <w:t>capacity</w:t>
      </w:r>
      <w:r>
        <w:rPr>
          <w:spacing w:val="-11"/>
        </w:rPr>
        <w:t xml:space="preserve"> </w:t>
      </w:r>
      <w:r>
        <w:t>light</w:t>
      </w:r>
      <w:r>
        <w:rPr>
          <w:spacing w:val="-11"/>
        </w:rPr>
        <w:t xml:space="preserve"> </w:t>
      </w:r>
      <w:r>
        <w:t>rail</w:t>
      </w:r>
      <w:r>
        <w:rPr>
          <w:spacing w:val="-11"/>
        </w:rPr>
        <w:t xml:space="preserve"> </w:t>
      </w:r>
      <w:r>
        <w:t>service</w:t>
      </w:r>
    </w:p>
    <w:p w:rsidR="002C1123" w:rsidRDefault="00F22F94">
      <w:pPr>
        <w:pStyle w:val="BodyText"/>
        <w:spacing w:before="2" w:line="249" w:lineRule="auto"/>
        <w:ind w:left="775" w:right="81"/>
      </w:pPr>
      <w:r>
        <w:rPr>
          <w:w w:val="95"/>
        </w:rPr>
        <w:t>is</w:t>
      </w:r>
      <w:r>
        <w:rPr>
          <w:spacing w:val="-9"/>
          <w:w w:val="95"/>
        </w:rPr>
        <w:t xml:space="preserve"> </w:t>
      </w:r>
      <w:r>
        <w:rPr>
          <w:w w:val="95"/>
        </w:rPr>
        <w:t>fundamentally</w:t>
      </w:r>
      <w:r>
        <w:rPr>
          <w:spacing w:val="-9"/>
          <w:w w:val="95"/>
        </w:rPr>
        <w:t xml:space="preserve"> </w:t>
      </w:r>
      <w:r>
        <w:rPr>
          <w:w w:val="95"/>
        </w:rPr>
        <w:t>incompatible</w:t>
      </w:r>
      <w:r>
        <w:rPr>
          <w:spacing w:val="-12"/>
          <w:w w:val="95"/>
        </w:rPr>
        <w:t xml:space="preserve"> </w:t>
      </w:r>
      <w:r>
        <w:rPr>
          <w:w w:val="95"/>
        </w:rPr>
        <w:t>with</w:t>
      </w:r>
      <w:r>
        <w:rPr>
          <w:spacing w:val="-12"/>
          <w:w w:val="95"/>
        </w:rPr>
        <w:t xml:space="preserve"> </w:t>
      </w:r>
      <w:r>
        <w:rPr>
          <w:w w:val="95"/>
        </w:rPr>
        <w:t>a</w:t>
      </w:r>
      <w:r>
        <w:rPr>
          <w:spacing w:val="-12"/>
          <w:w w:val="95"/>
        </w:rPr>
        <w:t xml:space="preserve"> </w:t>
      </w:r>
      <w:r>
        <w:rPr>
          <w:w w:val="95"/>
        </w:rPr>
        <w:t>high</w:t>
      </w:r>
      <w:r>
        <w:rPr>
          <w:spacing w:val="-12"/>
          <w:w w:val="95"/>
        </w:rPr>
        <w:t xml:space="preserve"> </w:t>
      </w:r>
      <w:r>
        <w:rPr>
          <w:w w:val="95"/>
        </w:rPr>
        <w:t xml:space="preserve">quality </w:t>
      </w:r>
      <w:r>
        <w:t>pedestrian</w:t>
      </w:r>
      <w:r>
        <w:rPr>
          <w:spacing w:val="-16"/>
        </w:rPr>
        <w:t xml:space="preserve"> </w:t>
      </w:r>
      <w:r>
        <w:t>boulevard</w:t>
      </w:r>
      <w:r>
        <w:rPr>
          <w:spacing w:val="-16"/>
        </w:rPr>
        <w:t xml:space="preserve"> </w:t>
      </w:r>
      <w:r>
        <w:t>along</w:t>
      </w:r>
      <w:r>
        <w:rPr>
          <w:spacing w:val="-16"/>
        </w:rPr>
        <w:t xml:space="preserve"> </w:t>
      </w:r>
      <w:r>
        <w:t>this</w:t>
      </w:r>
      <w:r>
        <w:rPr>
          <w:spacing w:val="-16"/>
        </w:rPr>
        <w:t xml:space="preserve"> </w:t>
      </w:r>
      <w:r>
        <w:t>corridor.</w:t>
      </w:r>
    </w:p>
    <w:p w:rsidR="002C1123" w:rsidRDefault="00F22F94">
      <w:pPr>
        <w:pStyle w:val="ListParagraph"/>
        <w:numPr>
          <w:ilvl w:val="0"/>
          <w:numId w:val="91"/>
        </w:numPr>
        <w:tabs>
          <w:tab w:val="left" w:pos="497"/>
        </w:tabs>
        <w:spacing w:before="122" w:line="249" w:lineRule="auto"/>
        <w:ind w:left="496" w:right="115"/>
        <w:rPr>
          <w:sz w:val="20"/>
        </w:rPr>
      </w:pPr>
      <w:r>
        <w:br w:type="column"/>
      </w:r>
      <w:r>
        <w:rPr>
          <w:w w:val="95"/>
          <w:sz w:val="20"/>
        </w:rPr>
        <w:t xml:space="preserve">Infrastructure NSW recommends the development </w:t>
      </w:r>
      <w:r>
        <w:rPr>
          <w:sz w:val="20"/>
        </w:rPr>
        <w:t>of</w:t>
      </w:r>
      <w:r>
        <w:rPr>
          <w:spacing w:val="-14"/>
          <w:sz w:val="20"/>
        </w:rPr>
        <w:t xml:space="preserve"> </w:t>
      </w:r>
      <w:r>
        <w:rPr>
          <w:sz w:val="20"/>
        </w:rPr>
        <w:t>an</w:t>
      </w:r>
      <w:r>
        <w:rPr>
          <w:spacing w:val="-14"/>
          <w:sz w:val="20"/>
        </w:rPr>
        <w:t xml:space="preserve"> </w:t>
      </w:r>
      <w:r>
        <w:rPr>
          <w:sz w:val="20"/>
        </w:rPr>
        <w:t>alternative</w:t>
      </w:r>
      <w:r>
        <w:rPr>
          <w:spacing w:val="-14"/>
          <w:sz w:val="20"/>
        </w:rPr>
        <w:t xml:space="preserve"> </w:t>
      </w:r>
      <w:r>
        <w:rPr>
          <w:sz w:val="20"/>
        </w:rPr>
        <w:t>to</w:t>
      </w:r>
      <w:r>
        <w:rPr>
          <w:spacing w:val="-14"/>
          <w:sz w:val="20"/>
        </w:rPr>
        <w:t xml:space="preserve"> </w:t>
      </w:r>
      <w:r>
        <w:rPr>
          <w:sz w:val="20"/>
        </w:rPr>
        <w:t>light</w:t>
      </w:r>
      <w:r>
        <w:rPr>
          <w:spacing w:val="-14"/>
          <w:sz w:val="20"/>
        </w:rPr>
        <w:t xml:space="preserve"> </w:t>
      </w:r>
      <w:r>
        <w:rPr>
          <w:sz w:val="20"/>
        </w:rPr>
        <w:t>rail</w:t>
      </w:r>
      <w:r>
        <w:rPr>
          <w:spacing w:val="-14"/>
          <w:sz w:val="20"/>
        </w:rPr>
        <w:t xml:space="preserve"> </w:t>
      </w:r>
      <w:r>
        <w:rPr>
          <w:sz w:val="20"/>
        </w:rPr>
        <w:t>along</w:t>
      </w:r>
      <w:r>
        <w:rPr>
          <w:spacing w:val="-14"/>
          <w:sz w:val="20"/>
        </w:rPr>
        <w:t xml:space="preserve"> </w:t>
      </w:r>
      <w:r>
        <w:rPr>
          <w:sz w:val="20"/>
        </w:rPr>
        <w:t>George</w:t>
      </w:r>
      <w:r>
        <w:rPr>
          <w:spacing w:val="-14"/>
          <w:sz w:val="20"/>
        </w:rPr>
        <w:t xml:space="preserve"> </w:t>
      </w:r>
      <w:r>
        <w:rPr>
          <w:sz w:val="20"/>
        </w:rPr>
        <w:t>Street:</w:t>
      </w:r>
    </w:p>
    <w:p w:rsidR="002C1123" w:rsidRDefault="00F22F94">
      <w:pPr>
        <w:pStyle w:val="BodyText"/>
        <w:spacing w:before="1" w:line="249" w:lineRule="auto"/>
        <w:ind w:left="496"/>
      </w:pPr>
      <w:r>
        <w:t>a</w:t>
      </w:r>
      <w:r>
        <w:rPr>
          <w:spacing w:val="-14"/>
        </w:rPr>
        <w:t xml:space="preserve"> </w:t>
      </w:r>
      <w:r>
        <w:t>Bus</w:t>
      </w:r>
      <w:r>
        <w:rPr>
          <w:spacing w:val="-14"/>
        </w:rPr>
        <w:t xml:space="preserve"> </w:t>
      </w:r>
      <w:r>
        <w:t>Rapid</w:t>
      </w:r>
      <w:r>
        <w:rPr>
          <w:spacing w:val="-14"/>
        </w:rPr>
        <w:t xml:space="preserve"> </w:t>
      </w:r>
      <w:r>
        <w:t>Transit</w:t>
      </w:r>
      <w:r>
        <w:rPr>
          <w:spacing w:val="-14"/>
        </w:rPr>
        <w:t xml:space="preserve"> </w:t>
      </w:r>
      <w:r>
        <w:t>(‘CBD</w:t>
      </w:r>
      <w:r>
        <w:rPr>
          <w:spacing w:val="-14"/>
        </w:rPr>
        <w:t xml:space="preserve"> </w:t>
      </w:r>
      <w:r>
        <w:t>BRT’)</w:t>
      </w:r>
      <w:r>
        <w:rPr>
          <w:spacing w:val="-14"/>
        </w:rPr>
        <w:t xml:space="preserve"> </w:t>
      </w:r>
      <w:r>
        <w:t>tunnel</w:t>
      </w:r>
      <w:r>
        <w:rPr>
          <w:spacing w:val="-14"/>
        </w:rPr>
        <w:t xml:space="preserve"> </w:t>
      </w:r>
      <w:r>
        <w:t>from</w:t>
      </w:r>
      <w:r>
        <w:rPr>
          <w:spacing w:val="-14"/>
        </w:rPr>
        <w:t xml:space="preserve"> </w:t>
      </w:r>
      <w:r>
        <w:t>the Sydney</w:t>
      </w:r>
      <w:r>
        <w:rPr>
          <w:spacing w:val="-13"/>
        </w:rPr>
        <w:t xml:space="preserve"> </w:t>
      </w:r>
      <w:r>
        <w:t>Harbour</w:t>
      </w:r>
      <w:r>
        <w:rPr>
          <w:spacing w:val="-13"/>
        </w:rPr>
        <w:t xml:space="preserve"> </w:t>
      </w:r>
      <w:r>
        <w:t>Bridge</w:t>
      </w:r>
      <w:r>
        <w:rPr>
          <w:spacing w:val="-13"/>
        </w:rPr>
        <w:t xml:space="preserve"> </w:t>
      </w:r>
      <w:r>
        <w:t>to</w:t>
      </w:r>
      <w:r>
        <w:rPr>
          <w:spacing w:val="-13"/>
        </w:rPr>
        <w:t xml:space="preserve"> </w:t>
      </w:r>
      <w:r>
        <w:t>the</w:t>
      </w:r>
      <w:r>
        <w:rPr>
          <w:spacing w:val="-13"/>
        </w:rPr>
        <w:t xml:space="preserve"> </w:t>
      </w:r>
      <w:r>
        <w:t>Town</w:t>
      </w:r>
      <w:r>
        <w:rPr>
          <w:spacing w:val="-13"/>
        </w:rPr>
        <w:t xml:space="preserve"> </w:t>
      </w:r>
      <w:r>
        <w:t>Hall</w:t>
      </w:r>
      <w:r>
        <w:rPr>
          <w:spacing w:val="-13"/>
        </w:rPr>
        <w:t xml:space="preserve"> </w:t>
      </w:r>
      <w:r>
        <w:t xml:space="preserve">area, </w:t>
      </w:r>
      <w:r>
        <w:rPr>
          <w:w w:val="95"/>
        </w:rPr>
        <w:t>modelled</w:t>
      </w:r>
      <w:r>
        <w:rPr>
          <w:spacing w:val="-1"/>
          <w:w w:val="95"/>
        </w:rPr>
        <w:t xml:space="preserve"> </w:t>
      </w:r>
      <w:r>
        <w:rPr>
          <w:w w:val="95"/>
        </w:rPr>
        <w:t>on</w:t>
      </w:r>
      <w:r>
        <w:rPr>
          <w:spacing w:val="-1"/>
          <w:w w:val="95"/>
        </w:rPr>
        <w:t xml:space="preserve"> </w:t>
      </w:r>
      <w:r>
        <w:rPr>
          <w:w w:val="95"/>
        </w:rPr>
        <w:t>the</w:t>
      </w:r>
      <w:r>
        <w:rPr>
          <w:spacing w:val="-1"/>
          <w:w w:val="95"/>
        </w:rPr>
        <w:t xml:space="preserve"> </w:t>
      </w:r>
      <w:r>
        <w:rPr>
          <w:w w:val="95"/>
        </w:rPr>
        <w:t>underground</w:t>
      </w:r>
      <w:r>
        <w:rPr>
          <w:spacing w:val="-1"/>
          <w:w w:val="95"/>
        </w:rPr>
        <w:t xml:space="preserve"> </w:t>
      </w:r>
      <w:r>
        <w:rPr>
          <w:w w:val="95"/>
        </w:rPr>
        <w:t>busway</w:t>
      </w:r>
      <w:r>
        <w:rPr>
          <w:spacing w:val="-1"/>
          <w:w w:val="95"/>
        </w:rPr>
        <w:t xml:space="preserve"> </w:t>
      </w:r>
      <w:r>
        <w:rPr>
          <w:w w:val="95"/>
        </w:rPr>
        <w:t>that</w:t>
      </w:r>
      <w:r>
        <w:rPr>
          <w:spacing w:val="-1"/>
          <w:w w:val="95"/>
        </w:rPr>
        <w:t xml:space="preserve"> </w:t>
      </w:r>
      <w:r>
        <w:rPr>
          <w:w w:val="95"/>
        </w:rPr>
        <w:t xml:space="preserve">already </w:t>
      </w:r>
      <w:r>
        <w:t>operates</w:t>
      </w:r>
      <w:r>
        <w:rPr>
          <w:spacing w:val="-14"/>
        </w:rPr>
        <w:t xml:space="preserve"> </w:t>
      </w:r>
      <w:r>
        <w:t>in</w:t>
      </w:r>
      <w:r>
        <w:rPr>
          <w:spacing w:val="-14"/>
        </w:rPr>
        <w:t xml:space="preserve"> </w:t>
      </w:r>
      <w:r>
        <w:t>Brisbane.</w:t>
      </w:r>
      <w:r>
        <w:rPr>
          <w:spacing w:val="-14"/>
        </w:rPr>
        <w:t xml:space="preserve"> </w:t>
      </w:r>
      <w:r>
        <w:t>Wynyard</w:t>
      </w:r>
      <w:r>
        <w:rPr>
          <w:spacing w:val="-14"/>
        </w:rPr>
        <w:t xml:space="preserve"> </w:t>
      </w:r>
      <w:r>
        <w:t>and</w:t>
      </w:r>
      <w:r>
        <w:rPr>
          <w:spacing w:val="-14"/>
        </w:rPr>
        <w:t xml:space="preserve"> </w:t>
      </w:r>
      <w:r>
        <w:t>Town</w:t>
      </w:r>
      <w:r>
        <w:rPr>
          <w:spacing w:val="-14"/>
        </w:rPr>
        <w:t xml:space="preserve"> </w:t>
      </w:r>
      <w:r>
        <w:t>Hall Stations</w:t>
      </w:r>
      <w:r>
        <w:rPr>
          <w:spacing w:val="-5"/>
        </w:rPr>
        <w:t xml:space="preserve"> </w:t>
      </w:r>
      <w:r>
        <w:t>would</w:t>
      </w:r>
      <w:r>
        <w:rPr>
          <w:spacing w:val="-5"/>
        </w:rPr>
        <w:t xml:space="preserve"> </w:t>
      </w:r>
      <w:r>
        <w:t>need</w:t>
      </w:r>
      <w:r>
        <w:rPr>
          <w:spacing w:val="-5"/>
        </w:rPr>
        <w:t xml:space="preserve"> </w:t>
      </w:r>
      <w:r>
        <w:t>to</w:t>
      </w:r>
      <w:r>
        <w:rPr>
          <w:spacing w:val="-5"/>
        </w:rPr>
        <w:t xml:space="preserve"> </w:t>
      </w:r>
      <w:r>
        <w:t>be</w:t>
      </w:r>
      <w:r>
        <w:rPr>
          <w:spacing w:val="-5"/>
        </w:rPr>
        <w:t xml:space="preserve"> </w:t>
      </w:r>
      <w:r>
        <w:t>reconstructed</w:t>
      </w:r>
      <w:r>
        <w:rPr>
          <w:spacing w:val="-5"/>
        </w:rPr>
        <w:t xml:space="preserve"> </w:t>
      </w:r>
      <w:r>
        <w:t>as</w:t>
      </w:r>
      <w:r>
        <w:rPr>
          <w:spacing w:val="-5"/>
        </w:rPr>
        <w:t xml:space="preserve"> </w:t>
      </w:r>
      <w:r>
        <w:t xml:space="preserve">rail/ </w:t>
      </w:r>
      <w:r>
        <w:rPr>
          <w:w w:val="95"/>
        </w:rPr>
        <w:t xml:space="preserve">bus transport interchanges, and the central part of </w:t>
      </w:r>
      <w:r>
        <w:t>George</w:t>
      </w:r>
      <w:r>
        <w:rPr>
          <w:spacing w:val="-8"/>
        </w:rPr>
        <w:t xml:space="preserve"> </w:t>
      </w:r>
      <w:r>
        <w:t>Street</w:t>
      </w:r>
      <w:r>
        <w:rPr>
          <w:spacing w:val="-8"/>
        </w:rPr>
        <w:t xml:space="preserve"> </w:t>
      </w:r>
      <w:r>
        <w:t>would</w:t>
      </w:r>
      <w:r>
        <w:rPr>
          <w:spacing w:val="-8"/>
        </w:rPr>
        <w:t xml:space="preserve"> </w:t>
      </w:r>
      <w:r>
        <w:t>be</w:t>
      </w:r>
      <w:r>
        <w:rPr>
          <w:spacing w:val="-8"/>
        </w:rPr>
        <w:t xml:space="preserve"> </w:t>
      </w:r>
      <w:r>
        <w:t>fully</w:t>
      </w:r>
      <w:r>
        <w:rPr>
          <w:spacing w:val="-8"/>
        </w:rPr>
        <w:t xml:space="preserve"> </w:t>
      </w:r>
      <w:r>
        <w:t>pedestrianised.</w:t>
      </w:r>
    </w:p>
    <w:p w:rsidR="002C1123" w:rsidRDefault="00F22F94">
      <w:pPr>
        <w:pStyle w:val="ListParagraph"/>
        <w:numPr>
          <w:ilvl w:val="0"/>
          <w:numId w:val="91"/>
        </w:numPr>
        <w:tabs>
          <w:tab w:val="left" w:pos="497"/>
        </w:tabs>
        <w:spacing w:before="135" w:line="249" w:lineRule="auto"/>
        <w:ind w:left="496" w:right="90"/>
        <w:rPr>
          <w:sz w:val="20"/>
        </w:rPr>
      </w:pPr>
      <w:r>
        <w:rPr>
          <w:w w:val="95"/>
          <w:sz w:val="20"/>
        </w:rPr>
        <w:t>The CBD BRT would offer bus passengers shorter and</w:t>
      </w:r>
      <w:r>
        <w:rPr>
          <w:spacing w:val="-5"/>
          <w:w w:val="95"/>
          <w:sz w:val="20"/>
        </w:rPr>
        <w:t xml:space="preserve"> </w:t>
      </w:r>
      <w:r>
        <w:rPr>
          <w:w w:val="95"/>
          <w:sz w:val="20"/>
        </w:rPr>
        <w:t>more</w:t>
      </w:r>
      <w:r>
        <w:rPr>
          <w:spacing w:val="-5"/>
          <w:w w:val="95"/>
          <w:sz w:val="20"/>
        </w:rPr>
        <w:t xml:space="preserve"> </w:t>
      </w:r>
      <w:r>
        <w:rPr>
          <w:w w:val="95"/>
          <w:sz w:val="20"/>
        </w:rPr>
        <w:t>reliable</w:t>
      </w:r>
      <w:r>
        <w:rPr>
          <w:spacing w:val="-5"/>
          <w:w w:val="95"/>
          <w:sz w:val="20"/>
        </w:rPr>
        <w:t xml:space="preserve"> </w:t>
      </w:r>
      <w:r>
        <w:rPr>
          <w:w w:val="95"/>
          <w:sz w:val="20"/>
        </w:rPr>
        <w:t>journey</w:t>
      </w:r>
      <w:r>
        <w:rPr>
          <w:spacing w:val="-5"/>
          <w:w w:val="95"/>
          <w:sz w:val="20"/>
        </w:rPr>
        <w:t xml:space="preserve"> </w:t>
      </w:r>
      <w:r>
        <w:rPr>
          <w:w w:val="95"/>
          <w:sz w:val="20"/>
        </w:rPr>
        <w:t>times,</w:t>
      </w:r>
      <w:r>
        <w:rPr>
          <w:spacing w:val="-5"/>
          <w:w w:val="95"/>
          <w:sz w:val="20"/>
        </w:rPr>
        <w:t xml:space="preserve"> </w:t>
      </w:r>
      <w:r>
        <w:rPr>
          <w:w w:val="95"/>
          <w:sz w:val="20"/>
        </w:rPr>
        <w:t xml:space="preserve">weather-protected </w:t>
      </w:r>
      <w:r>
        <w:rPr>
          <w:sz w:val="20"/>
        </w:rPr>
        <w:t>access</w:t>
      </w:r>
      <w:r>
        <w:rPr>
          <w:spacing w:val="-12"/>
          <w:sz w:val="20"/>
        </w:rPr>
        <w:t xml:space="preserve"> </w:t>
      </w:r>
      <w:r>
        <w:rPr>
          <w:sz w:val="20"/>
        </w:rPr>
        <w:t>to</w:t>
      </w:r>
      <w:r>
        <w:rPr>
          <w:spacing w:val="-12"/>
          <w:sz w:val="20"/>
        </w:rPr>
        <w:t xml:space="preserve"> </w:t>
      </w:r>
      <w:r>
        <w:rPr>
          <w:sz w:val="20"/>
        </w:rPr>
        <w:t>their</w:t>
      </w:r>
      <w:r>
        <w:rPr>
          <w:spacing w:val="-12"/>
          <w:sz w:val="20"/>
        </w:rPr>
        <w:t xml:space="preserve"> </w:t>
      </w:r>
      <w:r>
        <w:rPr>
          <w:sz w:val="20"/>
        </w:rPr>
        <w:t>services</w:t>
      </w:r>
      <w:r>
        <w:rPr>
          <w:spacing w:val="-12"/>
          <w:sz w:val="20"/>
        </w:rPr>
        <w:t xml:space="preserve"> </w:t>
      </w:r>
      <w:r>
        <w:rPr>
          <w:sz w:val="20"/>
        </w:rPr>
        <w:t>and</w:t>
      </w:r>
      <w:r>
        <w:rPr>
          <w:spacing w:val="-12"/>
          <w:sz w:val="20"/>
        </w:rPr>
        <w:t xml:space="preserve"> </w:t>
      </w:r>
      <w:r>
        <w:rPr>
          <w:sz w:val="20"/>
        </w:rPr>
        <w:t>direct</w:t>
      </w:r>
      <w:r>
        <w:rPr>
          <w:spacing w:val="-12"/>
          <w:sz w:val="20"/>
        </w:rPr>
        <w:t xml:space="preserve"> </w:t>
      </w:r>
      <w:r>
        <w:rPr>
          <w:sz w:val="20"/>
        </w:rPr>
        <w:t>access</w:t>
      </w:r>
      <w:r>
        <w:rPr>
          <w:spacing w:val="-12"/>
          <w:sz w:val="20"/>
        </w:rPr>
        <w:t xml:space="preserve"> </w:t>
      </w:r>
      <w:r>
        <w:rPr>
          <w:sz w:val="20"/>
        </w:rPr>
        <w:t>to</w:t>
      </w:r>
      <w:r>
        <w:rPr>
          <w:spacing w:val="-12"/>
          <w:sz w:val="20"/>
        </w:rPr>
        <w:t xml:space="preserve"> </w:t>
      </w:r>
      <w:r>
        <w:rPr>
          <w:sz w:val="20"/>
        </w:rPr>
        <w:t>their destination</w:t>
      </w:r>
      <w:r>
        <w:rPr>
          <w:spacing w:val="-4"/>
          <w:sz w:val="20"/>
        </w:rPr>
        <w:t xml:space="preserve"> </w:t>
      </w:r>
      <w:r>
        <w:rPr>
          <w:sz w:val="20"/>
        </w:rPr>
        <w:t>without</w:t>
      </w:r>
      <w:r>
        <w:rPr>
          <w:spacing w:val="-4"/>
          <w:sz w:val="20"/>
        </w:rPr>
        <w:t xml:space="preserve"> </w:t>
      </w:r>
      <w:r>
        <w:rPr>
          <w:sz w:val="20"/>
        </w:rPr>
        <w:t>having</w:t>
      </w:r>
      <w:r>
        <w:rPr>
          <w:spacing w:val="-4"/>
          <w:sz w:val="20"/>
        </w:rPr>
        <w:t xml:space="preserve"> </w:t>
      </w:r>
      <w:r>
        <w:rPr>
          <w:sz w:val="20"/>
        </w:rPr>
        <w:t>to</w:t>
      </w:r>
      <w:r>
        <w:rPr>
          <w:spacing w:val="-4"/>
          <w:sz w:val="20"/>
        </w:rPr>
        <w:t xml:space="preserve"> </w:t>
      </w:r>
      <w:r>
        <w:rPr>
          <w:sz w:val="20"/>
        </w:rPr>
        <w:t>interchange.</w:t>
      </w:r>
    </w:p>
    <w:p w:rsidR="002C1123" w:rsidRDefault="00F22F94">
      <w:pPr>
        <w:pStyle w:val="ListParagraph"/>
        <w:numPr>
          <w:ilvl w:val="0"/>
          <w:numId w:val="91"/>
        </w:numPr>
        <w:tabs>
          <w:tab w:val="left" w:pos="497"/>
        </w:tabs>
        <w:spacing w:before="132" w:line="249" w:lineRule="auto"/>
        <w:ind w:left="496" w:right="124"/>
        <w:rPr>
          <w:sz w:val="20"/>
        </w:rPr>
      </w:pPr>
      <w:r>
        <w:rPr>
          <w:sz w:val="20"/>
        </w:rPr>
        <w:t>Outside</w:t>
      </w:r>
      <w:r>
        <w:rPr>
          <w:spacing w:val="-6"/>
          <w:sz w:val="20"/>
        </w:rPr>
        <w:t xml:space="preserve"> </w:t>
      </w:r>
      <w:r>
        <w:rPr>
          <w:sz w:val="20"/>
        </w:rPr>
        <w:t>the</w:t>
      </w:r>
      <w:r>
        <w:rPr>
          <w:spacing w:val="-7"/>
          <w:sz w:val="20"/>
        </w:rPr>
        <w:t xml:space="preserve"> </w:t>
      </w:r>
      <w:r>
        <w:rPr>
          <w:sz w:val="20"/>
        </w:rPr>
        <w:t>CBD,</w:t>
      </w:r>
      <w:r>
        <w:rPr>
          <w:spacing w:val="-6"/>
          <w:sz w:val="20"/>
        </w:rPr>
        <w:t xml:space="preserve"> </w:t>
      </w:r>
      <w:r>
        <w:rPr>
          <w:sz w:val="20"/>
        </w:rPr>
        <w:t>Infrastructure</w:t>
      </w:r>
      <w:r>
        <w:rPr>
          <w:spacing w:val="-7"/>
          <w:sz w:val="20"/>
        </w:rPr>
        <w:t xml:space="preserve"> </w:t>
      </w:r>
      <w:r>
        <w:rPr>
          <w:sz w:val="20"/>
        </w:rPr>
        <w:t>NSW</w:t>
      </w:r>
      <w:r>
        <w:rPr>
          <w:spacing w:val="-6"/>
          <w:sz w:val="20"/>
        </w:rPr>
        <w:t xml:space="preserve"> </w:t>
      </w:r>
      <w:r>
        <w:rPr>
          <w:sz w:val="20"/>
        </w:rPr>
        <w:t xml:space="preserve">supports </w:t>
      </w:r>
      <w:r>
        <w:rPr>
          <w:w w:val="95"/>
          <w:sz w:val="20"/>
        </w:rPr>
        <w:t xml:space="preserve">the construction of light rail from Central Station to </w:t>
      </w:r>
      <w:r>
        <w:rPr>
          <w:sz w:val="20"/>
        </w:rPr>
        <w:t>Moore</w:t>
      </w:r>
      <w:r>
        <w:rPr>
          <w:spacing w:val="-14"/>
          <w:sz w:val="20"/>
        </w:rPr>
        <w:t xml:space="preserve"> </w:t>
      </w:r>
      <w:r>
        <w:rPr>
          <w:sz w:val="20"/>
        </w:rPr>
        <w:t>Park</w:t>
      </w:r>
      <w:r>
        <w:rPr>
          <w:spacing w:val="-14"/>
          <w:sz w:val="20"/>
        </w:rPr>
        <w:t xml:space="preserve"> </w:t>
      </w:r>
      <w:r>
        <w:rPr>
          <w:sz w:val="20"/>
        </w:rPr>
        <w:t>and</w:t>
      </w:r>
      <w:r>
        <w:rPr>
          <w:spacing w:val="-14"/>
          <w:sz w:val="20"/>
        </w:rPr>
        <w:t xml:space="preserve"> </w:t>
      </w:r>
      <w:r>
        <w:rPr>
          <w:sz w:val="20"/>
        </w:rPr>
        <w:t>the</w:t>
      </w:r>
      <w:r>
        <w:rPr>
          <w:spacing w:val="-14"/>
          <w:sz w:val="20"/>
        </w:rPr>
        <w:t xml:space="preserve"> </w:t>
      </w:r>
      <w:r>
        <w:rPr>
          <w:sz w:val="20"/>
        </w:rPr>
        <w:t>University</w:t>
      </w:r>
      <w:r>
        <w:rPr>
          <w:spacing w:val="-14"/>
          <w:sz w:val="20"/>
        </w:rPr>
        <w:t xml:space="preserve"> </w:t>
      </w:r>
      <w:r>
        <w:rPr>
          <w:sz w:val="20"/>
        </w:rPr>
        <w:t>of</w:t>
      </w:r>
      <w:r>
        <w:rPr>
          <w:spacing w:val="-14"/>
          <w:sz w:val="20"/>
        </w:rPr>
        <w:t xml:space="preserve"> </w:t>
      </w:r>
      <w:r>
        <w:rPr>
          <w:sz w:val="20"/>
        </w:rPr>
        <w:t>NSW</w:t>
      </w:r>
      <w:r>
        <w:rPr>
          <w:spacing w:val="-14"/>
          <w:sz w:val="20"/>
        </w:rPr>
        <w:t xml:space="preserve"> </w:t>
      </w:r>
      <w:r>
        <w:rPr>
          <w:sz w:val="20"/>
        </w:rPr>
        <w:t>via</w:t>
      </w:r>
      <w:r>
        <w:rPr>
          <w:spacing w:val="-14"/>
          <w:sz w:val="20"/>
        </w:rPr>
        <w:t xml:space="preserve"> </w:t>
      </w:r>
      <w:r>
        <w:rPr>
          <w:sz w:val="20"/>
        </w:rPr>
        <w:t xml:space="preserve">Anzac </w:t>
      </w:r>
      <w:r>
        <w:rPr>
          <w:w w:val="95"/>
          <w:sz w:val="20"/>
        </w:rPr>
        <w:t xml:space="preserve">Parade. This development will improve the quality of transport to these important activity centres and </w:t>
      </w:r>
      <w:r>
        <w:rPr>
          <w:sz w:val="20"/>
        </w:rPr>
        <w:t>take</w:t>
      </w:r>
      <w:r>
        <w:rPr>
          <w:spacing w:val="-8"/>
          <w:sz w:val="20"/>
        </w:rPr>
        <w:t xml:space="preserve"> </w:t>
      </w:r>
      <w:r>
        <w:rPr>
          <w:sz w:val="20"/>
        </w:rPr>
        <w:t>advantage</w:t>
      </w:r>
      <w:r>
        <w:rPr>
          <w:spacing w:val="-8"/>
          <w:sz w:val="20"/>
        </w:rPr>
        <w:t xml:space="preserve"> </w:t>
      </w:r>
      <w:r>
        <w:rPr>
          <w:sz w:val="20"/>
        </w:rPr>
        <w:t>of</w:t>
      </w:r>
      <w:r>
        <w:rPr>
          <w:spacing w:val="-8"/>
          <w:sz w:val="20"/>
        </w:rPr>
        <w:t xml:space="preserve"> </w:t>
      </w:r>
      <w:r>
        <w:rPr>
          <w:sz w:val="20"/>
        </w:rPr>
        <w:t>a</w:t>
      </w:r>
      <w:r>
        <w:rPr>
          <w:spacing w:val="-8"/>
          <w:sz w:val="20"/>
        </w:rPr>
        <w:t xml:space="preserve"> </w:t>
      </w:r>
      <w:r>
        <w:rPr>
          <w:sz w:val="20"/>
        </w:rPr>
        <w:t>route</w:t>
      </w:r>
      <w:r>
        <w:rPr>
          <w:spacing w:val="-8"/>
          <w:sz w:val="20"/>
        </w:rPr>
        <w:t xml:space="preserve"> </w:t>
      </w:r>
      <w:r>
        <w:rPr>
          <w:sz w:val="20"/>
        </w:rPr>
        <w:t>that</w:t>
      </w:r>
      <w:r>
        <w:rPr>
          <w:spacing w:val="-8"/>
          <w:sz w:val="20"/>
        </w:rPr>
        <w:t xml:space="preserve"> </w:t>
      </w:r>
      <w:r>
        <w:rPr>
          <w:sz w:val="20"/>
        </w:rPr>
        <w:t>was</w:t>
      </w:r>
      <w:r>
        <w:rPr>
          <w:spacing w:val="-8"/>
          <w:sz w:val="20"/>
        </w:rPr>
        <w:t xml:space="preserve"> </w:t>
      </w:r>
      <w:r>
        <w:rPr>
          <w:sz w:val="20"/>
        </w:rPr>
        <w:t>purpose-built for</w:t>
      </w:r>
      <w:r>
        <w:rPr>
          <w:spacing w:val="-14"/>
          <w:sz w:val="20"/>
        </w:rPr>
        <w:t xml:space="preserve"> </w:t>
      </w:r>
      <w:r>
        <w:rPr>
          <w:sz w:val="20"/>
        </w:rPr>
        <w:t>trams.</w:t>
      </w:r>
      <w:r>
        <w:rPr>
          <w:spacing w:val="-14"/>
          <w:sz w:val="20"/>
        </w:rPr>
        <w:t xml:space="preserve"> </w:t>
      </w:r>
      <w:r>
        <w:rPr>
          <w:sz w:val="20"/>
        </w:rPr>
        <w:t>However</w:t>
      </w:r>
      <w:r>
        <w:rPr>
          <w:spacing w:val="-14"/>
          <w:sz w:val="20"/>
        </w:rPr>
        <w:t xml:space="preserve"> </w:t>
      </w:r>
      <w:r>
        <w:rPr>
          <w:sz w:val="20"/>
        </w:rPr>
        <w:t>in</w:t>
      </w:r>
      <w:r>
        <w:rPr>
          <w:spacing w:val="-14"/>
          <w:sz w:val="20"/>
        </w:rPr>
        <w:t xml:space="preserve"> </w:t>
      </w:r>
      <w:r>
        <w:rPr>
          <w:sz w:val="20"/>
        </w:rPr>
        <w:t>order</w:t>
      </w:r>
      <w:r>
        <w:rPr>
          <w:spacing w:val="-14"/>
          <w:sz w:val="20"/>
        </w:rPr>
        <w:t xml:space="preserve"> </w:t>
      </w:r>
      <w:r>
        <w:rPr>
          <w:sz w:val="20"/>
        </w:rPr>
        <w:t>to</w:t>
      </w:r>
      <w:r>
        <w:rPr>
          <w:spacing w:val="-14"/>
          <w:sz w:val="20"/>
        </w:rPr>
        <w:t xml:space="preserve"> </w:t>
      </w:r>
      <w:r>
        <w:rPr>
          <w:sz w:val="20"/>
        </w:rPr>
        <w:t>deliver</w:t>
      </w:r>
      <w:r>
        <w:rPr>
          <w:spacing w:val="-14"/>
          <w:sz w:val="20"/>
        </w:rPr>
        <w:t xml:space="preserve"> </w:t>
      </w:r>
      <w:r>
        <w:rPr>
          <w:sz w:val="20"/>
        </w:rPr>
        <w:t>value</w:t>
      </w:r>
      <w:r>
        <w:rPr>
          <w:spacing w:val="-14"/>
          <w:sz w:val="20"/>
        </w:rPr>
        <w:t xml:space="preserve"> </w:t>
      </w:r>
      <w:r>
        <w:rPr>
          <w:sz w:val="20"/>
        </w:rPr>
        <w:t>for money,</w:t>
      </w:r>
      <w:r>
        <w:rPr>
          <w:spacing w:val="-9"/>
          <w:sz w:val="20"/>
        </w:rPr>
        <w:t xml:space="preserve"> </w:t>
      </w:r>
      <w:r>
        <w:rPr>
          <w:sz w:val="20"/>
        </w:rPr>
        <w:t>the</w:t>
      </w:r>
      <w:r>
        <w:rPr>
          <w:spacing w:val="-9"/>
          <w:sz w:val="20"/>
        </w:rPr>
        <w:t xml:space="preserve"> </w:t>
      </w:r>
      <w:r>
        <w:rPr>
          <w:sz w:val="20"/>
        </w:rPr>
        <w:t>scope</w:t>
      </w:r>
      <w:r>
        <w:rPr>
          <w:spacing w:val="-9"/>
          <w:sz w:val="20"/>
        </w:rPr>
        <w:t xml:space="preserve"> </w:t>
      </w:r>
      <w:r>
        <w:rPr>
          <w:sz w:val="20"/>
        </w:rPr>
        <w:t>of</w:t>
      </w:r>
      <w:r>
        <w:rPr>
          <w:spacing w:val="-9"/>
          <w:sz w:val="20"/>
        </w:rPr>
        <w:t xml:space="preserve"> </w:t>
      </w:r>
      <w:r>
        <w:rPr>
          <w:sz w:val="20"/>
        </w:rPr>
        <w:t>this</w:t>
      </w:r>
      <w:r>
        <w:rPr>
          <w:spacing w:val="-9"/>
          <w:sz w:val="20"/>
        </w:rPr>
        <w:t xml:space="preserve"> </w:t>
      </w:r>
      <w:r>
        <w:rPr>
          <w:sz w:val="20"/>
        </w:rPr>
        <w:t>project</w:t>
      </w:r>
      <w:r>
        <w:rPr>
          <w:spacing w:val="-9"/>
          <w:sz w:val="20"/>
        </w:rPr>
        <w:t xml:space="preserve"> </w:t>
      </w:r>
      <w:r>
        <w:rPr>
          <w:sz w:val="20"/>
        </w:rPr>
        <w:t>will</w:t>
      </w:r>
      <w:r>
        <w:rPr>
          <w:spacing w:val="-9"/>
          <w:sz w:val="20"/>
        </w:rPr>
        <w:t xml:space="preserve"> </w:t>
      </w:r>
      <w:r>
        <w:rPr>
          <w:sz w:val="20"/>
        </w:rPr>
        <w:t>need</w:t>
      </w:r>
      <w:r>
        <w:rPr>
          <w:spacing w:val="-9"/>
          <w:sz w:val="20"/>
        </w:rPr>
        <w:t xml:space="preserve"> </w:t>
      </w:r>
      <w:r>
        <w:rPr>
          <w:sz w:val="20"/>
        </w:rPr>
        <w:t>to</w:t>
      </w:r>
      <w:r>
        <w:rPr>
          <w:spacing w:val="-9"/>
          <w:sz w:val="20"/>
        </w:rPr>
        <w:t xml:space="preserve"> </w:t>
      </w:r>
      <w:r>
        <w:rPr>
          <w:sz w:val="20"/>
        </w:rPr>
        <w:t>be carefully</w:t>
      </w:r>
      <w:r>
        <w:rPr>
          <w:spacing w:val="-11"/>
          <w:sz w:val="20"/>
        </w:rPr>
        <w:t xml:space="preserve"> </w:t>
      </w:r>
      <w:r>
        <w:rPr>
          <w:sz w:val="20"/>
        </w:rPr>
        <w:t>controlled.</w:t>
      </w:r>
    </w:p>
    <w:p w:rsidR="002C1123" w:rsidRDefault="00F22F94">
      <w:pPr>
        <w:pStyle w:val="ListParagraph"/>
        <w:numPr>
          <w:ilvl w:val="0"/>
          <w:numId w:val="91"/>
        </w:numPr>
        <w:tabs>
          <w:tab w:val="left" w:pos="497"/>
        </w:tabs>
        <w:spacing w:before="137" w:line="249" w:lineRule="auto"/>
        <w:ind w:left="496"/>
        <w:rPr>
          <w:sz w:val="20"/>
        </w:rPr>
      </w:pPr>
      <w:r>
        <w:rPr>
          <w:sz w:val="20"/>
        </w:rPr>
        <w:t>Infrastructure</w:t>
      </w:r>
      <w:r>
        <w:rPr>
          <w:spacing w:val="-5"/>
          <w:sz w:val="20"/>
        </w:rPr>
        <w:t xml:space="preserve"> </w:t>
      </w:r>
      <w:r>
        <w:rPr>
          <w:sz w:val="20"/>
        </w:rPr>
        <w:t>NSW</w:t>
      </w:r>
      <w:r>
        <w:rPr>
          <w:spacing w:val="-5"/>
          <w:sz w:val="20"/>
        </w:rPr>
        <w:t xml:space="preserve"> </w:t>
      </w:r>
      <w:r>
        <w:rPr>
          <w:sz w:val="20"/>
        </w:rPr>
        <w:t>recommends</w:t>
      </w:r>
      <w:r>
        <w:rPr>
          <w:spacing w:val="-5"/>
          <w:sz w:val="20"/>
        </w:rPr>
        <w:t xml:space="preserve"> </w:t>
      </w:r>
      <w:r>
        <w:rPr>
          <w:sz w:val="20"/>
        </w:rPr>
        <w:t>incremental investment</w:t>
      </w:r>
      <w:r>
        <w:rPr>
          <w:spacing w:val="-7"/>
          <w:sz w:val="20"/>
        </w:rPr>
        <w:t xml:space="preserve"> </w:t>
      </w:r>
      <w:r>
        <w:rPr>
          <w:sz w:val="20"/>
        </w:rPr>
        <w:t>in</w:t>
      </w:r>
      <w:r>
        <w:rPr>
          <w:spacing w:val="-7"/>
          <w:sz w:val="20"/>
        </w:rPr>
        <w:t xml:space="preserve"> </w:t>
      </w:r>
      <w:r>
        <w:rPr>
          <w:sz w:val="20"/>
        </w:rPr>
        <w:t>bus</w:t>
      </w:r>
      <w:r>
        <w:rPr>
          <w:spacing w:val="-7"/>
          <w:sz w:val="20"/>
        </w:rPr>
        <w:t xml:space="preserve"> </w:t>
      </w:r>
      <w:r>
        <w:rPr>
          <w:sz w:val="20"/>
        </w:rPr>
        <w:t>corridors</w:t>
      </w:r>
      <w:r>
        <w:rPr>
          <w:spacing w:val="-7"/>
          <w:sz w:val="20"/>
        </w:rPr>
        <w:t xml:space="preserve"> </w:t>
      </w:r>
      <w:r>
        <w:rPr>
          <w:sz w:val="20"/>
        </w:rPr>
        <w:t>across</w:t>
      </w:r>
      <w:r>
        <w:rPr>
          <w:spacing w:val="-7"/>
          <w:sz w:val="20"/>
        </w:rPr>
        <w:t xml:space="preserve"> </w:t>
      </w:r>
      <w:r>
        <w:rPr>
          <w:sz w:val="20"/>
        </w:rPr>
        <w:t>Sydney</w:t>
      </w:r>
      <w:r>
        <w:rPr>
          <w:spacing w:val="-7"/>
          <w:sz w:val="20"/>
        </w:rPr>
        <w:t xml:space="preserve"> </w:t>
      </w:r>
      <w:r>
        <w:rPr>
          <w:sz w:val="20"/>
        </w:rPr>
        <w:t>to improve</w:t>
      </w:r>
      <w:r>
        <w:rPr>
          <w:spacing w:val="-12"/>
          <w:sz w:val="20"/>
        </w:rPr>
        <w:t xml:space="preserve"> </w:t>
      </w:r>
      <w:r>
        <w:rPr>
          <w:sz w:val="20"/>
        </w:rPr>
        <w:t>travel</w:t>
      </w:r>
      <w:r>
        <w:rPr>
          <w:spacing w:val="-12"/>
          <w:sz w:val="20"/>
        </w:rPr>
        <w:t xml:space="preserve"> </w:t>
      </w:r>
      <w:r>
        <w:rPr>
          <w:sz w:val="20"/>
        </w:rPr>
        <w:t>times</w:t>
      </w:r>
      <w:r>
        <w:rPr>
          <w:spacing w:val="-12"/>
          <w:sz w:val="20"/>
        </w:rPr>
        <w:t xml:space="preserve"> </w:t>
      </w:r>
      <w:r>
        <w:rPr>
          <w:sz w:val="20"/>
        </w:rPr>
        <w:t>on</w:t>
      </w:r>
      <w:r>
        <w:rPr>
          <w:spacing w:val="-12"/>
          <w:sz w:val="20"/>
        </w:rPr>
        <w:t xml:space="preserve"> </w:t>
      </w:r>
      <w:r>
        <w:rPr>
          <w:sz w:val="20"/>
        </w:rPr>
        <w:t>key</w:t>
      </w:r>
      <w:r>
        <w:rPr>
          <w:spacing w:val="-12"/>
          <w:sz w:val="20"/>
        </w:rPr>
        <w:t xml:space="preserve"> </w:t>
      </w:r>
      <w:r>
        <w:rPr>
          <w:sz w:val="20"/>
        </w:rPr>
        <w:t>corridors</w:t>
      </w:r>
      <w:r>
        <w:rPr>
          <w:spacing w:val="-12"/>
          <w:sz w:val="20"/>
        </w:rPr>
        <w:t xml:space="preserve"> </w:t>
      </w:r>
      <w:r>
        <w:rPr>
          <w:sz w:val="20"/>
        </w:rPr>
        <w:t>such</w:t>
      </w:r>
      <w:r>
        <w:rPr>
          <w:spacing w:val="-12"/>
          <w:sz w:val="20"/>
        </w:rPr>
        <w:t xml:space="preserve"> </w:t>
      </w:r>
      <w:r>
        <w:rPr>
          <w:sz w:val="20"/>
        </w:rPr>
        <w:t>as</w:t>
      </w:r>
      <w:r>
        <w:rPr>
          <w:spacing w:val="-12"/>
          <w:sz w:val="20"/>
        </w:rPr>
        <w:t xml:space="preserve"> </w:t>
      </w:r>
      <w:r>
        <w:rPr>
          <w:sz w:val="20"/>
        </w:rPr>
        <w:t>the Northern</w:t>
      </w:r>
      <w:r>
        <w:rPr>
          <w:spacing w:val="-14"/>
          <w:sz w:val="20"/>
        </w:rPr>
        <w:t xml:space="preserve"> </w:t>
      </w:r>
      <w:r>
        <w:rPr>
          <w:sz w:val="20"/>
        </w:rPr>
        <w:t>Beaches</w:t>
      </w:r>
      <w:r>
        <w:rPr>
          <w:spacing w:val="-14"/>
          <w:sz w:val="20"/>
        </w:rPr>
        <w:t xml:space="preserve"> </w:t>
      </w:r>
      <w:r>
        <w:rPr>
          <w:sz w:val="20"/>
        </w:rPr>
        <w:t>and</w:t>
      </w:r>
      <w:r>
        <w:rPr>
          <w:spacing w:val="-14"/>
          <w:sz w:val="20"/>
        </w:rPr>
        <w:t xml:space="preserve"> </w:t>
      </w:r>
      <w:r>
        <w:rPr>
          <w:sz w:val="20"/>
        </w:rPr>
        <w:t>Victoria</w:t>
      </w:r>
      <w:r>
        <w:rPr>
          <w:spacing w:val="-14"/>
          <w:sz w:val="20"/>
        </w:rPr>
        <w:t xml:space="preserve"> </w:t>
      </w:r>
      <w:r>
        <w:rPr>
          <w:sz w:val="20"/>
        </w:rPr>
        <w:t>Road.</w:t>
      </w:r>
      <w:r>
        <w:rPr>
          <w:spacing w:val="-14"/>
          <w:sz w:val="20"/>
        </w:rPr>
        <w:t xml:space="preserve"> </w:t>
      </w:r>
      <w:r>
        <w:rPr>
          <w:sz w:val="20"/>
        </w:rPr>
        <w:t>In</w:t>
      </w:r>
      <w:r>
        <w:rPr>
          <w:spacing w:val="-14"/>
          <w:sz w:val="20"/>
        </w:rPr>
        <w:t xml:space="preserve"> </w:t>
      </w:r>
      <w:r>
        <w:rPr>
          <w:sz w:val="20"/>
        </w:rPr>
        <w:t>the</w:t>
      </w:r>
      <w:r>
        <w:rPr>
          <w:spacing w:val="-14"/>
          <w:sz w:val="20"/>
        </w:rPr>
        <w:t xml:space="preserve"> </w:t>
      </w:r>
      <w:r>
        <w:rPr>
          <w:sz w:val="20"/>
        </w:rPr>
        <w:t xml:space="preserve">longer </w:t>
      </w:r>
      <w:r>
        <w:rPr>
          <w:w w:val="95"/>
          <w:sz w:val="20"/>
        </w:rPr>
        <w:t>term,</w:t>
      </w:r>
      <w:r>
        <w:rPr>
          <w:spacing w:val="-5"/>
          <w:w w:val="95"/>
          <w:sz w:val="20"/>
        </w:rPr>
        <w:t xml:space="preserve"> </w:t>
      </w:r>
      <w:r>
        <w:rPr>
          <w:w w:val="95"/>
          <w:sz w:val="20"/>
        </w:rPr>
        <w:t>a</w:t>
      </w:r>
      <w:r>
        <w:rPr>
          <w:spacing w:val="-5"/>
          <w:w w:val="95"/>
          <w:sz w:val="20"/>
        </w:rPr>
        <w:t xml:space="preserve"> </w:t>
      </w:r>
      <w:r>
        <w:rPr>
          <w:w w:val="95"/>
          <w:sz w:val="20"/>
        </w:rPr>
        <w:t>transit</w:t>
      </w:r>
      <w:r>
        <w:rPr>
          <w:spacing w:val="-5"/>
          <w:w w:val="95"/>
          <w:sz w:val="20"/>
        </w:rPr>
        <w:t xml:space="preserve"> </w:t>
      </w:r>
      <w:r>
        <w:rPr>
          <w:w w:val="95"/>
          <w:sz w:val="20"/>
        </w:rPr>
        <w:t>way</w:t>
      </w:r>
      <w:r>
        <w:rPr>
          <w:spacing w:val="-5"/>
          <w:w w:val="95"/>
          <w:sz w:val="20"/>
        </w:rPr>
        <w:t xml:space="preserve"> </w:t>
      </w:r>
      <w:r>
        <w:rPr>
          <w:w w:val="95"/>
          <w:sz w:val="20"/>
        </w:rPr>
        <w:t>(bus</w:t>
      </w:r>
      <w:r>
        <w:rPr>
          <w:spacing w:val="-5"/>
          <w:w w:val="95"/>
          <w:sz w:val="20"/>
        </w:rPr>
        <w:t xml:space="preserve"> </w:t>
      </w:r>
      <w:r>
        <w:rPr>
          <w:w w:val="95"/>
          <w:sz w:val="20"/>
        </w:rPr>
        <w:t>or</w:t>
      </w:r>
      <w:r>
        <w:rPr>
          <w:spacing w:val="-5"/>
          <w:w w:val="95"/>
          <w:sz w:val="20"/>
        </w:rPr>
        <w:t xml:space="preserve"> </w:t>
      </w:r>
      <w:r>
        <w:rPr>
          <w:w w:val="95"/>
          <w:sz w:val="20"/>
        </w:rPr>
        <w:t>light</w:t>
      </w:r>
      <w:r>
        <w:rPr>
          <w:spacing w:val="-5"/>
          <w:w w:val="95"/>
          <w:sz w:val="20"/>
        </w:rPr>
        <w:t xml:space="preserve"> </w:t>
      </w:r>
      <w:r>
        <w:rPr>
          <w:w w:val="95"/>
          <w:sz w:val="20"/>
        </w:rPr>
        <w:t>rail)</w:t>
      </w:r>
      <w:r>
        <w:rPr>
          <w:spacing w:val="-5"/>
          <w:w w:val="95"/>
          <w:sz w:val="20"/>
        </w:rPr>
        <w:t xml:space="preserve"> </w:t>
      </w:r>
      <w:r>
        <w:rPr>
          <w:w w:val="95"/>
          <w:sz w:val="20"/>
        </w:rPr>
        <w:t>from</w:t>
      </w:r>
      <w:r>
        <w:rPr>
          <w:spacing w:val="-5"/>
          <w:w w:val="95"/>
          <w:sz w:val="20"/>
        </w:rPr>
        <w:t xml:space="preserve"> </w:t>
      </w:r>
      <w:r>
        <w:rPr>
          <w:w w:val="95"/>
          <w:sz w:val="20"/>
        </w:rPr>
        <w:t xml:space="preserve">Parramatta to Epping or Macquarie Park is proposed to support </w:t>
      </w:r>
      <w:r>
        <w:rPr>
          <w:sz w:val="20"/>
        </w:rPr>
        <w:t>growth in these centres.</w:t>
      </w:r>
    </w:p>
    <w:p w:rsidR="002C1123" w:rsidRDefault="00F22F94">
      <w:pPr>
        <w:pStyle w:val="ListParagraph"/>
        <w:numPr>
          <w:ilvl w:val="1"/>
          <w:numId w:val="91"/>
        </w:numPr>
        <w:tabs>
          <w:tab w:val="left" w:pos="679"/>
        </w:tabs>
        <w:spacing w:before="122" w:line="249" w:lineRule="auto"/>
        <w:ind w:right="715"/>
        <w:rPr>
          <w:sz w:val="20"/>
        </w:rPr>
      </w:pPr>
      <w:r>
        <w:br w:type="column"/>
      </w:r>
      <w:r>
        <w:rPr>
          <w:sz w:val="20"/>
        </w:rPr>
        <w:t>Buses</w:t>
      </w:r>
      <w:r>
        <w:rPr>
          <w:spacing w:val="-12"/>
          <w:sz w:val="20"/>
        </w:rPr>
        <w:t xml:space="preserve"> </w:t>
      </w:r>
      <w:r>
        <w:rPr>
          <w:sz w:val="20"/>
        </w:rPr>
        <w:t>carry</w:t>
      </w:r>
      <w:r>
        <w:rPr>
          <w:spacing w:val="-12"/>
          <w:sz w:val="20"/>
        </w:rPr>
        <w:t xml:space="preserve"> </w:t>
      </w:r>
      <w:r>
        <w:rPr>
          <w:sz w:val="20"/>
        </w:rPr>
        <w:t>around</w:t>
      </w:r>
      <w:r>
        <w:rPr>
          <w:spacing w:val="-12"/>
          <w:sz w:val="20"/>
        </w:rPr>
        <w:t xml:space="preserve"> </w:t>
      </w:r>
      <w:r>
        <w:rPr>
          <w:sz w:val="20"/>
        </w:rPr>
        <w:t>one</w:t>
      </w:r>
      <w:r>
        <w:rPr>
          <w:spacing w:val="-12"/>
          <w:sz w:val="20"/>
        </w:rPr>
        <w:t xml:space="preserve"> </w:t>
      </w:r>
      <w:r>
        <w:rPr>
          <w:sz w:val="20"/>
        </w:rPr>
        <w:t>million</w:t>
      </w:r>
      <w:r>
        <w:rPr>
          <w:spacing w:val="-12"/>
          <w:sz w:val="20"/>
        </w:rPr>
        <w:t xml:space="preserve"> </w:t>
      </w:r>
      <w:r>
        <w:rPr>
          <w:sz w:val="20"/>
        </w:rPr>
        <w:t>passengers</w:t>
      </w:r>
      <w:r>
        <w:rPr>
          <w:spacing w:val="-12"/>
          <w:sz w:val="20"/>
        </w:rPr>
        <w:t xml:space="preserve"> </w:t>
      </w:r>
      <w:r>
        <w:rPr>
          <w:sz w:val="20"/>
        </w:rPr>
        <w:t>per</w:t>
      </w:r>
      <w:r>
        <w:rPr>
          <w:spacing w:val="-12"/>
          <w:sz w:val="20"/>
        </w:rPr>
        <w:t xml:space="preserve"> </w:t>
      </w:r>
      <w:r>
        <w:rPr>
          <w:sz w:val="20"/>
        </w:rPr>
        <w:t xml:space="preserve">day </w:t>
      </w:r>
      <w:r>
        <w:rPr>
          <w:w w:val="95"/>
          <w:sz w:val="20"/>
        </w:rPr>
        <w:t>in</w:t>
      </w:r>
      <w:r>
        <w:rPr>
          <w:spacing w:val="-2"/>
          <w:w w:val="95"/>
          <w:sz w:val="20"/>
        </w:rPr>
        <w:t xml:space="preserve"> </w:t>
      </w:r>
      <w:r>
        <w:rPr>
          <w:w w:val="95"/>
          <w:sz w:val="20"/>
        </w:rPr>
        <w:t>metropolitan</w:t>
      </w:r>
      <w:r>
        <w:rPr>
          <w:spacing w:val="-2"/>
          <w:w w:val="95"/>
          <w:sz w:val="20"/>
        </w:rPr>
        <w:t xml:space="preserve"> </w:t>
      </w:r>
      <w:r>
        <w:rPr>
          <w:w w:val="95"/>
          <w:sz w:val="20"/>
        </w:rPr>
        <w:t>Sydney</w:t>
      </w:r>
      <w:r>
        <w:rPr>
          <w:spacing w:val="-2"/>
          <w:w w:val="95"/>
          <w:sz w:val="20"/>
        </w:rPr>
        <w:t xml:space="preserve"> </w:t>
      </w:r>
      <w:r>
        <w:rPr>
          <w:w w:val="95"/>
          <w:sz w:val="20"/>
        </w:rPr>
        <w:t>and</w:t>
      </w:r>
      <w:r>
        <w:rPr>
          <w:spacing w:val="-2"/>
          <w:w w:val="95"/>
          <w:sz w:val="20"/>
        </w:rPr>
        <w:t xml:space="preserve"> </w:t>
      </w:r>
      <w:r>
        <w:rPr>
          <w:w w:val="95"/>
          <w:sz w:val="20"/>
        </w:rPr>
        <w:t>perform</w:t>
      </w:r>
      <w:r>
        <w:rPr>
          <w:spacing w:val="-3"/>
          <w:w w:val="95"/>
          <w:sz w:val="20"/>
        </w:rPr>
        <w:t xml:space="preserve"> </w:t>
      </w:r>
      <w:r>
        <w:rPr>
          <w:w w:val="95"/>
          <w:sz w:val="20"/>
        </w:rPr>
        <w:t>28</w:t>
      </w:r>
      <w:r>
        <w:rPr>
          <w:spacing w:val="-2"/>
          <w:w w:val="95"/>
          <w:sz w:val="20"/>
        </w:rPr>
        <w:t xml:space="preserve"> </w:t>
      </w:r>
      <w:r>
        <w:rPr>
          <w:w w:val="95"/>
          <w:sz w:val="20"/>
        </w:rPr>
        <w:t>percent</w:t>
      </w:r>
      <w:r>
        <w:rPr>
          <w:spacing w:val="-2"/>
          <w:w w:val="95"/>
          <w:sz w:val="20"/>
        </w:rPr>
        <w:t xml:space="preserve"> </w:t>
      </w:r>
      <w:r>
        <w:rPr>
          <w:w w:val="95"/>
          <w:sz w:val="20"/>
        </w:rPr>
        <w:t>of</w:t>
      </w:r>
      <w:r>
        <w:rPr>
          <w:spacing w:val="-2"/>
          <w:w w:val="95"/>
          <w:sz w:val="20"/>
        </w:rPr>
        <w:t xml:space="preserve"> </w:t>
      </w:r>
      <w:r>
        <w:rPr>
          <w:w w:val="95"/>
          <w:sz w:val="20"/>
        </w:rPr>
        <w:t xml:space="preserve">the </w:t>
      </w:r>
      <w:r>
        <w:rPr>
          <w:sz w:val="20"/>
        </w:rPr>
        <w:t>total commuter task</w:t>
      </w:r>
      <w:r>
        <w:rPr>
          <w:position w:val="7"/>
          <w:sz w:val="11"/>
        </w:rPr>
        <w:t>1</w:t>
      </w:r>
      <w:r>
        <w:rPr>
          <w:spacing w:val="31"/>
          <w:position w:val="7"/>
          <w:sz w:val="11"/>
        </w:rPr>
        <w:t xml:space="preserve"> </w:t>
      </w:r>
      <w:r>
        <w:rPr>
          <w:sz w:val="20"/>
        </w:rPr>
        <w:t>to the CBD.</w:t>
      </w:r>
    </w:p>
    <w:p w:rsidR="002C1123" w:rsidRDefault="00F22F94">
      <w:pPr>
        <w:pStyle w:val="ListParagraph"/>
        <w:numPr>
          <w:ilvl w:val="1"/>
          <w:numId w:val="91"/>
        </w:numPr>
        <w:tabs>
          <w:tab w:val="left" w:pos="679"/>
        </w:tabs>
        <w:spacing w:before="131" w:line="249" w:lineRule="auto"/>
        <w:ind w:right="1020"/>
        <w:rPr>
          <w:sz w:val="20"/>
        </w:rPr>
      </w:pPr>
      <w:r>
        <w:rPr>
          <w:w w:val="95"/>
          <w:sz w:val="20"/>
        </w:rPr>
        <w:t>For</w:t>
      </w:r>
      <w:r>
        <w:rPr>
          <w:spacing w:val="-10"/>
          <w:w w:val="95"/>
          <w:sz w:val="20"/>
        </w:rPr>
        <w:t xml:space="preserve"> </w:t>
      </w:r>
      <w:r>
        <w:rPr>
          <w:w w:val="95"/>
          <w:sz w:val="20"/>
        </w:rPr>
        <w:t>areas</w:t>
      </w:r>
      <w:r>
        <w:rPr>
          <w:spacing w:val="-10"/>
          <w:w w:val="95"/>
          <w:sz w:val="20"/>
        </w:rPr>
        <w:t xml:space="preserve"> </w:t>
      </w:r>
      <w:r>
        <w:rPr>
          <w:w w:val="95"/>
          <w:sz w:val="20"/>
        </w:rPr>
        <w:t>not</w:t>
      </w:r>
      <w:r>
        <w:rPr>
          <w:spacing w:val="-10"/>
          <w:w w:val="95"/>
          <w:sz w:val="20"/>
        </w:rPr>
        <w:t xml:space="preserve"> </w:t>
      </w:r>
      <w:r>
        <w:rPr>
          <w:w w:val="95"/>
          <w:sz w:val="20"/>
        </w:rPr>
        <w:t>served</w:t>
      </w:r>
      <w:r>
        <w:rPr>
          <w:spacing w:val="-10"/>
          <w:w w:val="95"/>
          <w:sz w:val="20"/>
        </w:rPr>
        <w:t xml:space="preserve"> </w:t>
      </w:r>
      <w:r>
        <w:rPr>
          <w:w w:val="95"/>
          <w:sz w:val="20"/>
        </w:rPr>
        <w:t>by</w:t>
      </w:r>
      <w:r>
        <w:rPr>
          <w:spacing w:val="-10"/>
          <w:w w:val="95"/>
          <w:sz w:val="20"/>
        </w:rPr>
        <w:t xml:space="preserve"> </w:t>
      </w:r>
      <w:r>
        <w:rPr>
          <w:w w:val="95"/>
          <w:sz w:val="20"/>
        </w:rPr>
        <w:t>rail,</w:t>
      </w:r>
      <w:r>
        <w:rPr>
          <w:spacing w:val="-10"/>
          <w:w w:val="95"/>
          <w:sz w:val="20"/>
        </w:rPr>
        <w:t xml:space="preserve"> </w:t>
      </w:r>
      <w:r>
        <w:rPr>
          <w:w w:val="95"/>
          <w:sz w:val="20"/>
        </w:rPr>
        <w:t>buses</w:t>
      </w:r>
      <w:r>
        <w:rPr>
          <w:spacing w:val="-10"/>
          <w:w w:val="95"/>
          <w:sz w:val="20"/>
        </w:rPr>
        <w:t xml:space="preserve"> </w:t>
      </w:r>
      <w:r>
        <w:rPr>
          <w:w w:val="95"/>
          <w:sz w:val="20"/>
        </w:rPr>
        <w:t>are</w:t>
      </w:r>
      <w:r>
        <w:rPr>
          <w:spacing w:val="-10"/>
          <w:w w:val="95"/>
          <w:sz w:val="20"/>
        </w:rPr>
        <w:t xml:space="preserve"> </w:t>
      </w:r>
      <w:r>
        <w:rPr>
          <w:w w:val="95"/>
          <w:sz w:val="20"/>
        </w:rPr>
        <w:t>the</w:t>
      </w:r>
      <w:r>
        <w:rPr>
          <w:spacing w:val="-10"/>
          <w:w w:val="95"/>
          <w:sz w:val="20"/>
        </w:rPr>
        <w:t xml:space="preserve"> </w:t>
      </w:r>
      <w:r>
        <w:rPr>
          <w:w w:val="95"/>
          <w:sz w:val="20"/>
        </w:rPr>
        <w:t xml:space="preserve">primary </w:t>
      </w:r>
      <w:r>
        <w:rPr>
          <w:sz w:val="20"/>
        </w:rPr>
        <w:t>form of public transport.</w:t>
      </w:r>
    </w:p>
    <w:p w:rsidR="002C1123" w:rsidRDefault="00F22F94">
      <w:pPr>
        <w:pStyle w:val="ListParagraph"/>
        <w:numPr>
          <w:ilvl w:val="1"/>
          <w:numId w:val="91"/>
        </w:numPr>
        <w:tabs>
          <w:tab w:val="left" w:pos="679"/>
        </w:tabs>
        <w:spacing w:before="131" w:line="249" w:lineRule="auto"/>
        <w:ind w:right="710"/>
        <w:rPr>
          <w:sz w:val="20"/>
        </w:rPr>
      </w:pPr>
      <w:r>
        <w:rPr>
          <w:sz w:val="20"/>
        </w:rPr>
        <w:t>In</w:t>
      </w:r>
      <w:r>
        <w:rPr>
          <w:spacing w:val="-5"/>
          <w:sz w:val="20"/>
        </w:rPr>
        <w:t xml:space="preserve"> </w:t>
      </w:r>
      <w:r>
        <w:rPr>
          <w:sz w:val="20"/>
        </w:rPr>
        <w:t>the</w:t>
      </w:r>
      <w:r>
        <w:rPr>
          <w:spacing w:val="-5"/>
          <w:sz w:val="20"/>
        </w:rPr>
        <w:t xml:space="preserve"> </w:t>
      </w:r>
      <w:r>
        <w:rPr>
          <w:sz w:val="20"/>
        </w:rPr>
        <w:t>two</w:t>
      </w:r>
      <w:r>
        <w:rPr>
          <w:spacing w:val="-5"/>
          <w:sz w:val="20"/>
        </w:rPr>
        <w:t xml:space="preserve"> </w:t>
      </w:r>
      <w:r>
        <w:rPr>
          <w:sz w:val="20"/>
        </w:rPr>
        <w:t>hour</w:t>
      </w:r>
      <w:r>
        <w:rPr>
          <w:spacing w:val="-5"/>
          <w:sz w:val="20"/>
        </w:rPr>
        <w:t xml:space="preserve"> </w:t>
      </w:r>
      <w:r>
        <w:rPr>
          <w:sz w:val="20"/>
        </w:rPr>
        <w:t>morning</w:t>
      </w:r>
      <w:r>
        <w:rPr>
          <w:spacing w:val="-5"/>
          <w:sz w:val="20"/>
        </w:rPr>
        <w:t xml:space="preserve"> </w:t>
      </w:r>
      <w:r>
        <w:rPr>
          <w:sz w:val="20"/>
        </w:rPr>
        <w:t>peak,</w:t>
      </w:r>
      <w:r>
        <w:rPr>
          <w:spacing w:val="-5"/>
          <w:sz w:val="20"/>
        </w:rPr>
        <w:t xml:space="preserve"> </w:t>
      </w:r>
      <w:r>
        <w:rPr>
          <w:sz w:val="20"/>
        </w:rPr>
        <w:t>buses</w:t>
      </w:r>
      <w:r>
        <w:rPr>
          <w:spacing w:val="-5"/>
          <w:sz w:val="20"/>
        </w:rPr>
        <w:t xml:space="preserve"> </w:t>
      </w:r>
      <w:r>
        <w:rPr>
          <w:sz w:val="20"/>
        </w:rPr>
        <w:t>carry</w:t>
      </w:r>
      <w:r>
        <w:rPr>
          <w:spacing w:val="-5"/>
          <w:sz w:val="20"/>
        </w:rPr>
        <w:t xml:space="preserve"> </w:t>
      </w:r>
      <w:r>
        <w:rPr>
          <w:sz w:val="20"/>
        </w:rPr>
        <w:t xml:space="preserve">more </w:t>
      </w:r>
      <w:r>
        <w:rPr>
          <w:w w:val="95"/>
          <w:sz w:val="20"/>
        </w:rPr>
        <w:t>people</w:t>
      </w:r>
      <w:r>
        <w:rPr>
          <w:spacing w:val="-6"/>
          <w:w w:val="95"/>
          <w:sz w:val="20"/>
        </w:rPr>
        <w:t xml:space="preserve"> </w:t>
      </w:r>
      <w:r>
        <w:rPr>
          <w:w w:val="95"/>
          <w:sz w:val="20"/>
        </w:rPr>
        <w:t>over</w:t>
      </w:r>
      <w:r>
        <w:rPr>
          <w:spacing w:val="-6"/>
          <w:w w:val="95"/>
          <w:sz w:val="20"/>
        </w:rPr>
        <w:t xml:space="preserve"> </w:t>
      </w:r>
      <w:r>
        <w:rPr>
          <w:w w:val="95"/>
          <w:sz w:val="20"/>
        </w:rPr>
        <w:t>the</w:t>
      </w:r>
      <w:r>
        <w:rPr>
          <w:spacing w:val="-6"/>
          <w:w w:val="95"/>
          <w:sz w:val="20"/>
        </w:rPr>
        <w:t xml:space="preserve"> </w:t>
      </w:r>
      <w:r>
        <w:rPr>
          <w:w w:val="95"/>
          <w:sz w:val="20"/>
        </w:rPr>
        <w:t>Sydney</w:t>
      </w:r>
      <w:r>
        <w:rPr>
          <w:spacing w:val="-6"/>
          <w:w w:val="95"/>
          <w:sz w:val="20"/>
        </w:rPr>
        <w:t xml:space="preserve"> </w:t>
      </w:r>
      <w:r>
        <w:rPr>
          <w:w w:val="95"/>
          <w:sz w:val="20"/>
        </w:rPr>
        <w:t>Harbour</w:t>
      </w:r>
      <w:r>
        <w:rPr>
          <w:spacing w:val="-6"/>
          <w:w w:val="95"/>
          <w:sz w:val="20"/>
        </w:rPr>
        <w:t xml:space="preserve"> </w:t>
      </w:r>
      <w:r>
        <w:rPr>
          <w:w w:val="95"/>
          <w:sz w:val="20"/>
        </w:rPr>
        <w:t>Bridge</w:t>
      </w:r>
      <w:r>
        <w:rPr>
          <w:spacing w:val="-6"/>
          <w:w w:val="95"/>
          <w:sz w:val="20"/>
        </w:rPr>
        <w:t xml:space="preserve"> </w:t>
      </w:r>
      <w:r>
        <w:rPr>
          <w:w w:val="95"/>
          <w:sz w:val="20"/>
        </w:rPr>
        <w:t>into</w:t>
      </w:r>
      <w:r>
        <w:rPr>
          <w:spacing w:val="-6"/>
          <w:w w:val="95"/>
          <w:sz w:val="20"/>
        </w:rPr>
        <w:t xml:space="preserve"> </w:t>
      </w:r>
      <w:r>
        <w:rPr>
          <w:w w:val="95"/>
          <w:sz w:val="20"/>
        </w:rPr>
        <w:t xml:space="preserve">Sydney’s </w:t>
      </w:r>
      <w:r>
        <w:rPr>
          <w:sz w:val="20"/>
        </w:rPr>
        <w:t>CBD</w:t>
      </w:r>
      <w:r>
        <w:rPr>
          <w:spacing w:val="-14"/>
          <w:sz w:val="20"/>
        </w:rPr>
        <w:t xml:space="preserve"> </w:t>
      </w:r>
      <w:r>
        <w:rPr>
          <w:sz w:val="20"/>
        </w:rPr>
        <w:t>than</w:t>
      </w:r>
      <w:r>
        <w:rPr>
          <w:spacing w:val="-14"/>
          <w:sz w:val="20"/>
        </w:rPr>
        <w:t xml:space="preserve"> </w:t>
      </w:r>
      <w:r>
        <w:rPr>
          <w:sz w:val="20"/>
        </w:rPr>
        <w:t>those</w:t>
      </w:r>
      <w:r>
        <w:rPr>
          <w:spacing w:val="-14"/>
          <w:sz w:val="20"/>
        </w:rPr>
        <w:t xml:space="preserve"> </w:t>
      </w:r>
      <w:r>
        <w:rPr>
          <w:sz w:val="20"/>
        </w:rPr>
        <w:t>travelling</w:t>
      </w:r>
      <w:r>
        <w:rPr>
          <w:spacing w:val="-14"/>
          <w:sz w:val="20"/>
        </w:rPr>
        <w:t xml:space="preserve"> </w:t>
      </w:r>
      <w:r>
        <w:rPr>
          <w:sz w:val="20"/>
        </w:rPr>
        <w:t>over</w:t>
      </w:r>
      <w:r>
        <w:rPr>
          <w:spacing w:val="-14"/>
          <w:sz w:val="20"/>
        </w:rPr>
        <w:t xml:space="preserve"> </w:t>
      </w:r>
      <w:r>
        <w:rPr>
          <w:sz w:val="20"/>
        </w:rPr>
        <w:t>the</w:t>
      </w:r>
      <w:r>
        <w:rPr>
          <w:spacing w:val="-14"/>
          <w:sz w:val="20"/>
        </w:rPr>
        <w:t xml:space="preserve"> </w:t>
      </w:r>
      <w:r>
        <w:rPr>
          <w:sz w:val="20"/>
        </w:rPr>
        <w:t>Bridge</w:t>
      </w:r>
      <w:r>
        <w:rPr>
          <w:spacing w:val="-14"/>
          <w:sz w:val="20"/>
        </w:rPr>
        <w:t xml:space="preserve"> </w:t>
      </w:r>
      <w:r>
        <w:rPr>
          <w:sz w:val="20"/>
        </w:rPr>
        <w:t>by</w:t>
      </w:r>
      <w:r>
        <w:rPr>
          <w:spacing w:val="-14"/>
          <w:sz w:val="20"/>
        </w:rPr>
        <w:t xml:space="preserve"> </w:t>
      </w:r>
      <w:r>
        <w:rPr>
          <w:sz w:val="20"/>
        </w:rPr>
        <w:t>train</w:t>
      </w:r>
      <w:r>
        <w:rPr>
          <w:position w:val="7"/>
          <w:sz w:val="11"/>
        </w:rPr>
        <w:t>2</w:t>
      </w:r>
      <w:r>
        <w:rPr>
          <w:sz w:val="20"/>
        </w:rPr>
        <w:t>.</w:t>
      </w:r>
    </w:p>
    <w:p w:rsidR="002C1123" w:rsidRDefault="00F22F94">
      <w:pPr>
        <w:pStyle w:val="ListParagraph"/>
        <w:numPr>
          <w:ilvl w:val="1"/>
          <w:numId w:val="91"/>
        </w:numPr>
        <w:tabs>
          <w:tab w:val="left" w:pos="679"/>
        </w:tabs>
        <w:spacing w:before="131" w:line="249" w:lineRule="auto"/>
        <w:ind w:right="778"/>
        <w:rPr>
          <w:sz w:val="20"/>
        </w:rPr>
      </w:pPr>
      <w:r>
        <w:rPr>
          <w:sz w:val="20"/>
        </w:rPr>
        <w:t>In</w:t>
      </w:r>
      <w:r>
        <w:rPr>
          <w:spacing w:val="-8"/>
          <w:sz w:val="20"/>
        </w:rPr>
        <w:t xml:space="preserve"> </w:t>
      </w:r>
      <w:r>
        <w:rPr>
          <w:sz w:val="20"/>
        </w:rPr>
        <w:t>the</w:t>
      </w:r>
      <w:r>
        <w:rPr>
          <w:spacing w:val="-8"/>
          <w:sz w:val="20"/>
        </w:rPr>
        <w:t xml:space="preserve"> </w:t>
      </w:r>
      <w:r>
        <w:rPr>
          <w:sz w:val="20"/>
        </w:rPr>
        <w:t>absence</w:t>
      </w:r>
      <w:r>
        <w:rPr>
          <w:spacing w:val="-8"/>
          <w:sz w:val="20"/>
        </w:rPr>
        <w:t xml:space="preserve"> </w:t>
      </w:r>
      <w:r>
        <w:rPr>
          <w:sz w:val="20"/>
        </w:rPr>
        <w:t>of</w:t>
      </w:r>
      <w:r>
        <w:rPr>
          <w:spacing w:val="-8"/>
          <w:sz w:val="20"/>
        </w:rPr>
        <w:t xml:space="preserve"> </w:t>
      </w:r>
      <w:r>
        <w:rPr>
          <w:sz w:val="20"/>
        </w:rPr>
        <w:t>significant</w:t>
      </w:r>
      <w:r>
        <w:rPr>
          <w:spacing w:val="-8"/>
          <w:sz w:val="20"/>
        </w:rPr>
        <w:t xml:space="preserve"> </w:t>
      </w:r>
      <w:r>
        <w:rPr>
          <w:sz w:val="20"/>
        </w:rPr>
        <w:t>local</w:t>
      </w:r>
      <w:r>
        <w:rPr>
          <w:spacing w:val="-8"/>
          <w:sz w:val="20"/>
        </w:rPr>
        <w:t xml:space="preserve"> </w:t>
      </w:r>
      <w:r>
        <w:rPr>
          <w:sz w:val="20"/>
        </w:rPr>
        <w:t xml:space="preserve">population </w:t>
      </w:r>
      <w:r>
        <w:rPr>
          <w:w w:val="95"/>
          <w:sz w:val="20"/>
        </w:rPr>
        <w:t>increases,</w:t>
      </w:r>
      <w:r>
        <w:rPr>
          <w:spacing w:val="-2"/>
          <w:w w:val="95"/>
          <w:sz w:val="20"/>
        </w:rPr>
        <w:t xml:space="preserve"> </w:t>
      </w:r>
      <w:r>
        <w:rPr>
          <w:w w:val="95"/>
          <w:sz w:val="20"/>
        </w:rPr>
        <w:t>demand</w:t>
      </w:r>
      <w:r>
        <w:rPr>
          <w:spacing w:val="-2"/>
          <w:w w:val="95"/>
          <w:sz w:val="20"/>
        </w:rPr>
        <w:t xml:space="preserve"> </w:t>
      </w:r>
      <w:r>
        <w:rPr>
          <w:w w:val="95"/>
          <w:sz w:val="20"/>
        </w:rPr>
        <w:t>on</w:t>
      </w:r>
      <w:r>
        <w:rPr>
          <w:spacing w:val="-2"/>
          <w:w w:val="95"/>
          <w:sz w:val="20"/>
        </w:rPr>
        <w:t xml:space="preserve"> </w:t>
      </w:r>
      <w:r>
        <w:rPr>
          <w:w w:val="95"/>
          <w:sz w:val="20"/>
        </w:rPr>
        <w:t>Sydney’s</w:t>
      </w:r>
      <w:r>
        <w:rPr>
          <w:spacing w:val="-2"/>
          <w:w w:val="95"/>
          <w:sz w:val="20"/>
        </w:rPr>
        <w:t xml:space="preserve"> </w:t>
      </w:r>
      <w:r>
        <w:rPr>
          <w:w w:val="95"/>
          <w:sz w:val="20"/>
        </w:rPr>
        <w:t>bus</w:t>
      </w:r>
      <w:r>
        <w:rPr>
          <w:spacing w:val="-2"/>
          <w:w w:val="95"/>
          <w:sz w:val="20"/>
        </w:rPr>
        <w:t xml:space="preserve"> </w:t>
      </w:r>
      <w:r>
        <w:rPr>
          <w:w w:val="95"/>
          <w:sz w:val="20"/>
        </w:rPr>
        <w:t>corridors</w:t>
      </w:r>
      <w:r>
        <w:rPr>
          <w:spacing w:val="-2"/>
          <w:w w:val="95"/>
          <w:sz w:val="20"/>
        </w:rPr>
        <w:t xml:space="preserve"> </w:t>
      </w:r>
      <w:r>
        <w:rPr>
          <w:w w:val="95"/>
          <w:sz w:val="20"/>
        </w:rPr>
        <w:t>will</w:t>
      </w:r>
      <w:r>
        <w:rPr>
          <w:spacing w:val="-2"/>
          <w:w w:val="95"/>
          <w:sz w:val="20"/>
        </w:rPr>
        <w:t xml:space="preserve"> </w:t>
      </w:r>
      <w:r>
        <w:rPr>
          <w:w w:val="95"/>
          <w:sz w:val="20"/>
        </w:rPr>
        <w:t>be insufficient</w:t>
      </w:r>
      <w:r>
        <w:rPr>
          <w:spacing w:val="-2"/>
          <w:w w:val="95"/>
          <w:sz w:val="20"/>
        </w:rPr>
        <w:t xml:space="preserve"> </w:t>
      </w:r>
      <w:r>
        <w:rPr>
          <w:w w:val="95"/>
          <w:sz w:val="20"/>
        </w:rPr>
        <w:t>to</w:t>
      </w:r>
      <w:r>
        <w:rPr>
          <w:spacing w:val="-2"/>
          <w:w w:val="95"/>
          <w:sz w:val="20"/>
        </w:rPr>
        <w:t xml:space="preserve"> </w:t>
      </w:r>
      <w:r>
        <w:rPr>
          <w:w w:val="95"/>
          <w:sz w:val="20"/>
        </w:rPr>
        <w:t>justify</w:t>
      </w:r>
      <w:r>
        <w:rPr>
          <w:spacing w:val="-2"/>
          <w:w w:val="95"/>
          <w:sz w:val="20"/>
        </w:rPr>
        <w:t xml:space="preserve"> </w:t>
      </w:r>
      <w:r>
        <w:rPr>
          <w:w w:val="95"/>
          <w:sz w:val="20"/>
        </w:rPr>
        <w:t>new</w:t>
      </w:r>
      <w:r>
        <w:rPr>
          <w:spacing w:val="-2"/>
          <w:w w:val="95"/>
          <w:sz w:val="20"/>
        </w:rPr>
        <w:t xml:space="preserve"> </w:t>
      </w:r>
      <w:r>
        <w:rPr>
          <w:w w:val="95"/>
          <w:sz w:val="20"/>
        </w:rPr>
        <w:t>heavy</w:t>
      </w:r>
      <w:r>
        <w:rPr>
          <w:spacing w:val="-2"/>
          <w:w w:val="95"/>
          <w:sz w:val="20"/>
        </w:rPr>
        <w:t xml:space="preserve"> </w:t>
      </w:r>
      <w:r>
        <w:rPr>
          <w:w w:val="95"/>
          <w:sz w:val="20"/>
        </w:rPr>
        <w:t>rail</w:t>
      </w:r>
      <w:r>
        <w:rPr>
          <w:spacing w:val="-2"/>
          <w:w w:val="95"/>
          <w:sz w:val="20"/>
        </w:rPr>
        <w:t xml:space="preserve"> </w:t>
      </w:r>
      <w:r>
        <w:rPr>
          <w:w w:val="95"/>
          <w:sz w:val="20"/>
        </w:rPr>
        <w:t>or</w:t>
      </w:r>
      <w:r>
        <w:rPr>
          <w:spacing w:val="-2"/>
          <w:w w:val="95"/>
          <w:sz w:val="20"/>
        </w:rPr>
        <w:t xml:space="preserve"> </w:t>
      </w:r>
      <w:r>
        <w:rPr>
          <w:w w:val="95"/>
          <w:sz w:val="20"/>
        </w:rPr>
        <w:t>metro</w:t>
      </w:r>
      <w:r>
        <w:rPr>
          <w:spacing w:val="-2"/>
          <w:w w:val="95"/>
          <w:sz w:val="20"/>
        </w:rPr>
        <w:t xml:space="preserve"> </w:t>
      </w:r>
      <w:r>
        <w:rPr>
          <w:w w:val="95"/>
          <w:sz w:val="20"/>
        </w:rPr>
        <w:t>style</w:t>
      </w:r>
      <w:r>
        <w:rPr>
          <w:spacing w:val="-2"/>
          <w:w w:val="95"/>
          <w:sz w:val="20"/>
        </w:rPr>
        <w:t xml:space="preserve"> </w:t>
      </w:r>
      <w:r>
        <w:rPr>
          <w:w w:val="95"/>
          <w:sz w:val="20"/>
        </w:rPr>
        <w:t xml:space="preserve">rail </w:t>
      </w:r>
      <w:r>
        <w:rPr>
          <w:sz w:val="20"/>
        </w:rPr>
        <w:t>on</w:t>
      </w:r>
      <w:r>
        <w:rPr>
          <w:spacing w:val="-7"/>
          <w:sz w:val="20"/>
        </w:rPr>
        <w:t xml:space="preserve"> </w:t>
      </w:r>
      <w:r>
        <w:rPr>
          <w:sz w:val="20"/>
        </w:rPr>
        <w:t>these</w:t>
      </w:r>
      <w:r>
        <w:rPr>
          <w:spacing w:val="-7"/>
          <w:sz w:val="20"/>
        </w:rPr>
        <w:t xml:space="preserve"> </w:t>
      </w:r>
      <w:r>
        <w:rPr>
          <w:sz w:val="20"/>
        </w:rPr>
        <w:t>corridors</w:t>
      </w:r>
      <w:r>
        <w:rPr>
          <w:spacing w:val="-7"/>
          <w:sz w:val="20"/>
        </w:rPr>
        <w:t xml:space="preserve"> </w:t>
      </w:r>
      <w:r>
        <w:rPr>
          <w:sz w:val="20"/>
        </w:rPr>
        <w:t>over</w:t>
      </w:r>
      <w:r>
        <w:rPr>
          <w:spacing w:val="-7"/>
          <w:sz w:val="20"/>
        </w:rPr>
        <w:t xml:space="preserve"> </w:t>
      </w:r>
      <w:r>
        <w:rPr>
          <w:sz w:val="20"/>
        </w:rPr>
        <w:t>the</w:t>
      </w:r>
      <w:r>
        <w:rPr>
          <w:spacing w:val="-7"/>
          <w:sz w:val="20"/>
        </w:rPr>
        <w:t xml:space="preserve"> </w:t>
      </w:r>
      <w:r>
        <w:rPr>
          <w:sz w:val="20"/>
        </w:rPr>
        <w:t>next</w:t>
      </w:r>
      <w:r>
        <w:rPr>
          <w:spacing w:val="-7"/>
          <w:sz w:val="20"/>
        </w:rPr>
        <w:t xml:space="preserve"> </w:t>
      </w:r>
      <w:r>
        <w:rPr>
          <w:sz w:val="20"/>
        </w:rPr>
        <w:t>20</w:t>
      </w:r>
      <w:r>
        <w:rPr>
          <w:spacing w:val="-7"/>
          <w:sz w:val="20"/>
        </w:rPr>
        <w:t xml:space="preserve"> </w:t>
      </w:r>
      <w:r>
        <w:rPr>
          <w:sz w:val="20"/>
        </w:rPr>
        <w:t>years.</w:t>
      </w:r>
    </w:p>
    <w:p w:rsidR="002C1123" w:rsidRDefault="00F22F94">
      <w:pPr>
        <w:pStyle w:val="ListParagraph"/>
        <w:numPr>
          <w:ilvl w:val="1"/>
          <w:numId w:val="91"/>
        </w:numPr>
        <w:tabs>
          <w:tab w:val="left" w:pos="679"/>
        </w:tabs>
        <w:spacing w:before="132" w:line="249" w:lineRule="auto"/>
        <w:ind w:right="828"/>
        <w:rPr>
          <w:sz w:val="20"/>
        </w:rPr>
      </w:pPr>
      <w:r>
        <w:rPr>
          <w:w w:val="95"/>
          <w:sz w:val="20"/>
        </w:rPr>
        <w:t>Sydney</w:t>
      </w:r>
      <w:r>
        <w:rPr>
          <w:spacing w:val="-5"/>
          <w:w w:val="95"/>
          <w:sz w:val="20"/>
        </w:rPr>
        <w:t xml:space="preserve"> </w:t>
      </w:r>
      <w:r>
        <w:rPr>
          <w:w w:val="95"/>
          <w:sz w:val="20"/>
        </w:rPr>
        <w:t>is</w:t>
      </w:r>
      <w:r>
        <w:rPr>
          <w:spacing w:val="-5"/>
          <w:w w:val="95"/>
          <w:sz w:val="20"/>
        </w:rPr>
        <w:t xml:space="preserve"> </w:t>
      </w:r>
      <w:r>
        <w:rPr>
          <w:w w:val="95"/>
          <w:sz w:val="20"/>
        </w:rPr>
        <w:t>a</w:t>
      </w:r>
      <w:r>
        <w:rPr>
          <w:spacing w:val="-5"/>
          <w:w w:val="95"/>
          <w:sz w:val="20"/>
        </w:rPr>
        <w:t xml:space="preserve"> </w:t>
      </w:r>
      <w:r>
        <w:rPr>
          <w:w w:val="95"/>
          <w:sz w:val="20"/>
        </w:rPr>
        <w:t>low</w:t>
      </w:r>
      <w:r>
        <w:rPr>
          <w:spacing w:val="-5"/>
          <w:w w:val="95"/>
          <w:sz w:val="20"/>
        </w:rPr>
        <w:t xml:space="preserve"> </w:t>
      </w:r>
      <w:r>
        <w:rPr>
          <w:w w:val="95"/>
          <w:sz w:val="20"/>
        </w:rPr>
        <w:t>density</w:t>
      </w:r>
      <w:r>
        <w:rPr>
          <w:spacing w:val="-5"/>
          <w:w w:val="95"/>
          <w:sz w:val="20"/>
        </w:rPr>
        <w:t xml:space="preserve"> </w:t>
      </w:r>
      <w:r>
        <w:rPr>
          <w:w w:val="95"/>
          <w:sz w:val="20"/>
        </w:rPr>
        <w:t>city,</w:t>
      </w:r>
      <w:r>
        <w:rPr>
          <w:spacing w:val="-5"/>
          <w:w w:val="95"/>
          <w:sz w:val="20"/>
        </w:rPr>
        <w:t xml:space="preserve"> </w:t>
      </w:r>
      <w:r>
        <w:rPr>
          <w:w w:val="95"/>
          <w:sz w:val="20"/>
        </w:rPr>
        <w:t>and</w:t>
      </w:r>
      <w:r>
        <w:rPr>
          <w:spacing w:val="-5"/>
          <w:w w:val="95"/>
          <w:sz w:val="20"/>
        </w:rPr>
        <w:t xml:space="preserve"> </w:t>
      </w:r>
      <w:r>
        <w:rPr>
          <w:w w:val="95"/>
          <w:sz w:val="20"/>
        </w:rPr>
        <w:t>though</w:t>
      </w:r>
      <w:r>
        <w:rPr>
          <w:spacing w:val="-5"/>
          <w:w w:val="95"/>
          <w:sz w:val="20"/>
        </w:rPr>
        <w:t xml:space="preserve"> </w:t>
      </w:r>
      <w:r>
        <w:rPr>
          <w:w w:val="95"/>
          <w:sz w:val="20"/>
        </w:rPr>
        <w:t>growing,</w:t>
      </w:r>
      <w:r>
        <w:rPr>
          <w:spacing w:val="-5"/>
          <w:w w:val="95"/>
          <w:sz w:val="20"/>
        </w:rPr>
        <w:t xml:space="preserve"> </w:t>
      </w:r>
      <w:r>
        <w:rPr>
          <w:w w:val="95"/>
          <w:sz w:val="20"/>
        </w:rPr>
        <w:t>on past</w:t>
      </w:r>
      <w:r>
        <w:rPr>
          <w:spacing w:val="-2"/>
          <w:w w:val="95"/>
          <w:sz w:val="20"/>
        </w:rPr>
        <w:t xml:space="preserve"> </w:t>
      </w:r>
      <w:r>
        <w:rPr>
          <w:w w:val="95"/>
          <w:sz w:val="20"/>
        </w:rPr>
        <w:t>trends,</w:t>
      </w:r>
      <w:r>
        <w:rPr>
          <w:spacing w:val="-3"/>
          <w:w w:val="95"/>
          <w:sz w:val="20"/>
        </w:rPr>
        <w:t xml:space="preserve"> </w:t>
      </w:r>
      <w:r>
        <w:rPr>
          <w:w w:val="95"/>
          <w:sz w:val="20"/>
        </w:rPr>
        <w:t>it</w:t>
      </w:r>
      <w:r>
        <w:rPr>
          <w:spacing w:val="-2"/>
          <w:w w:val="95"/>
          <w:sz w:val="20"/>
        </w:rPr>
        <w:t xml:space="preserve"> </w:t>
      </w:r>
      <w:r>
        <w:rPr>
          <w:w w:val="95"/>
          <w:sz w:val="20"/>
        </w:rPr>
        <w:t>would</w:t>
      </w:r>
      <w:r>
        <w:rPr>
          <w:spacing w:val="-3"/>
          <w:w w:val="95"/>
          <w:sz w:val="20"/>
        </w:rPr>
        <w:t xml:space="preserve"> </w:t>
      </w:r>
      <w:r>
        <w:rPr>
          <w:w w:val="95"/>
          <w:sz w:val="20"/>
        </w:rPr>
        <w:t>take</w:t>
      </w:r>
      <w:r>
        <w:rPr>
          <w:spacing w:val="-2"/>
          <w:w w:val="95"/>
          <w:sz w:val="20"/>
        </w:rPr>
        <w:t xml:space="preserve"> </w:t>
      </w:r>
      <w:r>
        <w:rPr>
          <w:w w:val="95"/>
          <w:sz w:val="20"/>
        </w:rPr>
        <w:t>75</w:t>
      </w:r>
      <w:r>
        <w:rPr>
          <w:spacing w:val="-3"/>
          <w:w w:val="95"/>
          <w:sz w:val="20"/>
        </w:rPr>
        <w:t xml:space="preserve"> </w:t>
      </w:r>
      <w:r>
        <w:rPr>
          <w:w w:val="95"/>
          <w:sz w:val="20"/>
        </w:rPr>
        <w:t>years</w:t>
      </w:r>
      <w:r>
        <w:rPr>
          <w:spacing w:val="-2"/>
          <w:w w:val="95"/>
          <w:sz w:val="20"/>
        </w:rPr>
        <w:t xml:space="preserve"> </w:t>
      </w:r>
      <w:r>
        <w:rPr>
          <w:w w:val="95"/>
          <w:sz w:val="20"/>
        </w:rPr>
        <w:t>of</w:t>
      </w:r>
      <w:r>
        <w:rPr>
          <w:spacing w:val="-3"/>
          <w:w w:val="95"/>
          <w:sz w:val="20"/>
        </w:rPr>
        <w:t xml:space="preserve"> </w:t>
      </w:r>
      <w:r>
        <w:rPr>
          <w:w w:val="95"/>
          <w:sz w:val="20"/>
        </w:rPr>
        <w:t>such</w:t>
      </w:r>
      <w:r>
        <w:rPr>
          <w:spacing w:val="-2"/>
          <w:w w:val="95"/>
          <w:sz w:val="20"/>
        </w:rPr>
        <w:t xml:space="preserve"> </w:t>
      </w:r>
      <w:r>
        <w:rPr>
          <w:w w:val="95"/>
          <w:sz w:val="20"/>
        </w:rPr>
        <w:t>growth</w:t>
      </w:r>
      <w:r>
        <w:rPr>
          <w:spacing w:val="-3"/>
          <w:w w:val="95"/>
          <w:sz w:val="20"/>
        </w:rPr>
        <w:t xml:space="preserve"> </w:t>
      </w:r>
      <w:r>
        <w:rPr>
          <w:w w:val="95"/>
          <w:sz w:val="20"/>
        </w:rPr>
        <w:t>to achieve</w:t>
      </w:r>
      <w:r>
        <w:rPr>
          <w:spacing w:val="-4"/>
          <w:w w:val="95"/>
          <w:sz w:val="20"/>
        </w:rPr>
        <w:t xml:space="preserve"> </w:t>
      </w:r>
      <w:r>
        <w:rPr>
          <w:w w:val="95"/>
          <w:sz w:val="20"/>
        </w:rPr>
        <w:t>a</w:t>
      </w:r>
      <w:r>
        <w:rPr>
          <w:spacing w:val="-4"/>
          <w:w w:val="95"/>
          <w:sz w:val="20"/>
        </w:rPr>
        <w:t xml:space="preserve"> </w:t>
      </w:r>
      <w:r>
        <w:rPr>
          <w:w w:val="95"/>
          <w:sz w:val="20"/>
        </w:rPr>
        <w:t>density</w:t>
      </w:r>
      <w:r>
        <w:rPr>
          <w:spacing w:val="-4"/>
          <w:w w:val="95"/>
          <w:sz w:val="20"/>
        </w:rPr>
        <w:t xml:space="preserve"> </w:t>
      </w:r>
      <w:r>
        <w:rPr>
          <w:w w:val="95"/>
          <w:sz w:val="20"/>
        </w:rPr>
        <w:t>similar</w:t>
      </w:r>
      <w:r>
        <w:rPr>
          <w:spacing w:val="-4"/>
          <w:w w:val="95"/>
          <w:sz w:val="20"/>
        </w:rPr>
        <w:t xml:space="preserve"> </w:t>
      </w:r>
      <w:r>
        <w:rPr>
          <w:w w:val="95"/>
          <w:sz w:val="20"/>
        </w:rPr>
        <w:t>to</w:t>
      </w:r>
      <w:r>
        <w:rPr>
          <w:spacing w:val="-4"/>
          <w:w w:val="95"/>
          <w:sz w:val="20"/>
        </w:rPr>
        <w:t xml:space="preserve"> </w:t>
      </w:r>
      <w:r>
        <w:rPr>
          <w:w w:val="95"/>
          <w:sz w:val="20"/>
        </w:rPr>
        <w:t>Paris</w:t>
      </w:r>
      <w:r>
        <w:rPr>
          <w:spacing w:val="-4"/>
          <w:w w:val="95"/>
          <w:sz w:val="20"/>
        </w:rPr>
        <w:t xml:space="preserve"> </w:t>
      </w:r>
      <w:r>
        <w:rPr>
          <w:w w:val="95"/>
          <w:sz w:val="20"/>
        </w:rPr>
        <w:t>and</w:t>
      </w:r>
      <w:r>
        <w:rPr>
          <w:spacing w:val="-4"/>
          <w:w w:val="95"/>
          <w:sz w:val="20"/>
        </w:rPr>
        <w:t xml:space="preserve"> </w:t>
      </w:r>
      <w:r>
        <w:rPr>
          <w:w w:val="95"/>
          <w:sz w:val="20"/>
        </w:rPr>
        <w:t>1,000</w:t>
      </w:r>
      <w:r>
        <w:rPr>
          <w:spacing w:val="-4"/>
          <w:w w:val="95"/>
          <w:sz w:val="20"/>
        </w:rPr>
        <w:t xml:space="preserve"> </w:t>
      </w:r>
      <w:r>
        <w:rPr>
          <w:w w:val="95"/>
          <w:sz w:val="20"/>
        </w:rPr>
        <w:t>years</w:t>
      </w:r>
      <w:r>
        <w:rPr>
          <w:spacing w:val="-4"/>
          <w:w w:val="95"/>
          <w:sz w:val="20"/>
        </w:rPr>
        <w:t xml:space="preserve"> </w:t>
      </w:r>
      <w:r>
        <w:rPr>
          <w:w w:val="95"/>
          <w:sz w:val="20"/>
        </w:rPr>
        <w:t xml:space="preserve">to </w:t>
      </w:r>
      <w:r>
        <w:rPr>
          <w:sz w:val="20"/>
        </w:rPr>
        <w:t>reach the density of Hong Kong</w:t>
      </w:r>
      <w:r>
        <w:rPr>
          <w:position w:val="7"/>
          <w:sz w:val="11"/>
        </w:rPr>
        <w:t>3</w:t>
      </w:r>
      <w:r>
        <w:rPr>
          <w:sz w:val="20"/>
        </w:rPr>
        <w:t>.</w:t>
      </w:r>
    </w:p>
    <w:p w:rsidR="002C1123" w:rsidRDefault="00F22F94">
      <w:pPr>
        <w:pStyle w:val="ListParagraph"/>
        <w:numPr>
          <w:ilvl w:val="1"/>
          <w:numId w:val="91"/>
        </w:numPr>
        <w:tabs>
          <w:tab w:val="left" w:pos="679"/>
        </w:tabs>
        <w:spacing w:before="132" w:line="249" w:lineRule="auto"/>
        <w:ind w:right="994"/>
        <w:rPr>
          <w:sz w:val="20"/>
        </w:rPr>
      </w:pPr>
      <w:r>
        <w:rPr>
          <w:sz w:val="20"/>
        </w:rPr>
        <w:t>Buses</w:t>
      </w:r>
      <w:r>
        <w:rPr>
          <w:spacing w:val="-14"/>
          <w:sz w:val="20"/>
        </w:rPr>
        <w:t xml:space="preserve"> </w:t>
      </w:r>
      <w:r>
        <w:rPr>
          <w:sz w:val="20"/>
        </w:rPr>
        <w:t>therefore</w:t>
      </w:r>
      <w:r>
        <w:rPr>
          <w:spacing w:val="-14"/>
          <w:sz w:val="20"/>
        </w:rPr>
        <w:t xml:space="preserve"> </w:t>
      </w:r>
      <w:r>
        <w:rPr>
          <w:sz w:val="20"/>
        </w:rPr>
        <w:t>will</w:t>
      </w:r>
      <w:r>
        <w:rPr>
          <w:spacing w:val="-14"/>
          <w:sz w:val="20"/>
        </w:rPr>
        <w:t xml:space="preserve"> </w:t>
      </w:r>
      <w:r>
        <w:rPr>
          <w:sz w:val="20"/>
        </w:rPr>
        <w:t>remain</w:t>
      </w:r>
      <w:r>
        <w:rPr>
          <w:spacing w:val="-14"/>
          <w:sz w:val="20"/>
        </w:rPr>
        <w:t xml:space="preserve"> </w:t>
      </w:r>
      <w:r>
        <w:rPr>
          <w:sz w:val="20"/>
        </w:rPr>
        <w:t>the</w:t>
      </w:r>
      <w:r>
        <w:rPr>
          <w:spacing w:val="-14"/>
          <w:sz w:val="20"/>
        </w:rPr>
        <w:t xml:space="preserve"> </w:t>
      </w:r>
      <w:r>
        <w:rPr>
          <w:sz w:val="20"/>
        </w:rPr>
        <w:t>most</w:t>
      </w:r>
      <w:r>
        <w:rPr>
          <w:spacing w:val="-14"/>
          <w:sz w:val="20"/>
        </w:rPr>
        <w:t xml:space="preserve"> </w:t>
      </w:r>
      <w:r>
        <w:rPr>
          <w:sz w:val="20"/>
        </w:rPr>
        <w:t xml:space="preserve">appropriate </w:t>
      </w:r>
      <w:r>
        <w:rPr>
          <w:w w:val="95"/>
          <w:sz w:val="20"/>
        </w:rPr>
        <w:t>public</w:t>
      </w:r>
      <w:r>
        <w:rPr>
          <w:spacing w:val="-1"/>
          <w:w w:val="95"/>
          <w:sz w:val="20"/>
        </w:rPr>
        <w:t xml:space="preserve"> </w:t>
      </w:r>
      <w:r>
        <w:rPr>
          <w:w w:val="95"/>
          <w:sz w:val="20"/>
        </w:rPr>
        <w:t>transport</w:t>
      </w:r>
      <w:r>
        <w:rPr>
          <w:spacing w:val="-1"/>
          <w:w w:val="95"/>
          <w:sz w:val="20"/>
        </w:rPr>
        <w:t xml:space="preserve"> </w:t>
      </w:r>
      <w:r>
        <w:rPr>
          <w:w w:val="95"/>
          <w:sz w:val="20"/>
        </w:rPr>
        <w:t>mode</w:t>
      </w:r>
      <w:r>
        <w:rPr>
          <w:spacing w:val="-1"/>
          <w:w w:val="95"/>
          <w:sz w:val="20"/>
        </w:rPr>
        <w:t xml:space="preserve"> </w:t>
      </w:r>
      <w:r>
        <w:rPr>
          <w:w w:val="95"/>
          <w:sz w:val="20"/>
        </w:rPr>
        <w:t>for</w:t>
      </w:r>
      <w:r>
        <w:rPr>
          <w:spacing w:val="-1"/>
          <w:w w:val="95"/>
          <w:sz w:val="20"/>
        </w:rPr>
        <w:t xml:space="preserve"> </w:t>
      </w:r>
      <w:r>
        <w:rPr>
          <w:w w:val="95"/>
          <w:sz w:val="20"/>
        </w:rPr>
        <w:t>most</w:t>
      </w:r>
      <w:r>
        <w:rPr>
          <w:spacing w:val="-1"/>
          <w:w w:val="95"/>
          <w:sz w:val="20"/>
        </w:rPr>
        <w:t xml:space="preserve"> </w:t>
      </w:r>
      <w:r>
        <w:rPr>
          <w:w w:val="95"/>
          <w:sz w:val="20"/>
        </w:rPr>
        <w:t>of</w:t>
      </w:r>
      <w:r>
        <w:rPr>
          <w:spacing w:val="-1"/>
          <w:w w:val="95"/>
          <w:sz w:val="20"/>
        </w:rPr>
        <w:t xml:space="preserve"> </w:t>
      </w:r>
      <w:r>
        <w:rPr>
          <w:w w:val="95"/>
          <w:sz w:val="20"/>
        </w:rPr>
        <w:t>Sydney</w:t>
      </w:r>
      <w:r>
        <w:rPr>
          <w:spacing w:val="-1"/>
          <w:w w:val="95"/>
          <w:sz w:val="20"/>
        </w:rPr>
        <w:t xml:space="preserve"> </w:t>
      </w:r>
      <w:r>
        <w:rPr>
          <w:w w:val="95"/>
          <w:sz w:val="20"/>
        </w:rPr>
        <w:t>over</w:t>
      </w:r>
      <w:r>
        <w:rPr>
          <w:spacing w:val="-1"/>
          <w:w w:val="95"/>
          <w:sz w:val="20"/>
        </w:rPr>
        <w:t xml:space="preserve"> </w:t>
      </w:r>
      <w:r>
        <w:rPr>
          <w:w w:val="95"/>
          <w:sz w:val="20"/>
        </w:rPr>
        <w:t xml:space="preserve">the </w:t>
      </w:r>
      <w:r>
        <w:rPr>
          <w:sz w:val="20"/>
        </w:rPr>
        <w:t>next two decades.</w:t>
      </w: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060EF">
      <w:pPr>
        <w:pStyle w:val="BodyText"/>
        <w:rPr>
          <w:sz w:val="17"/>
        </w:rPr>
      </w:pPr>
      <w:r>
        <w:pict>
          <v:shape id="docshape1223" o:spid="_x0000_s4030" style="position:absolute;margin-left:552.3pt;margin-top:11pt;width:1in;height:.1pt;z-index:-251386880;mso-wrap-distance-left:0;mso-wrap-distance-right:0;mso-position-horizontal-relative:page" coordorigin="11046,220" coordsize="1440,0" path="m11046,220r1440,e" filled="f" strokecolor="#9c9c9d" strokeweight=".5pt">
            <v:path arrowok="t"/>
            <w10:wrap type="topAndBottom" anchorx="page"/>
          </v:shape>
        </w:pict>
      </w:r>
    </w:p>
    <w:p w:rsidR="002C1123" w:rsidRDefault="00F22F94">
      <w:pPr>
        <w:pStyle w:val="ListParagraph"/>
        <w:numPr>
          <w:ilvl w:val="0"/>
          <w:numId w:val="90"/>
        </w:numPr>
        <w:tabs>
          <w:tab w:val="left" w:pos="594"/>
        </w:tabs>
        <w:spacing w:before="23" w:line="161" w:lineRule="exact"/>
        <w:ind w:hanging="200"/>
        <w:jc w:val="left"/>
        <w:rPr>
          <w:sz w:val="14"/>
        </w:rPr>
      </w:pPr>
      <w:r>
        <w:rPr>
          <w:w w:val="95"/>
          <w:sz w:val="14"/>
        </w:rPr>
        <w:t>NSW</w:t>
      </w:r>
      <w:r>
        <w:rPr>
          <w:sz w:val="14"/>
        </w:rPr>
        <w:t xml:space="preserve"> </w:t>
      </w:r>
      <w:r>
        <w:rPr>
          <w:w w:val="95"/>
          <w:sz w:val="14"/>
        </w:rPr>
        <w:t>Bureau</w:t>
      </w:r>
      <w:r>
        <w:rPr>
          <w:spacing w:val="1"/>
          <w:sz w:val="14"/>
        </w:rPr>
        <w:t xml:space="preserve"> </w:t>
      </w:r>
      <w:r>
        <w:rPr>
          <w:w w:val="95"/>
          <w:sz w:val="14"/>
        </w:rPr>
        <w:t>of</w:t>
      </w:r>
      <w:r>
        <w:rPr>
          <w:spacing w:val="1"/>
          <w:sz w:val="14"/>
        </w:rPr>
        <w:t xml:space="preserve"> </w:t>
      </w:r>
      <w:r>
        <w:rPr>
          <w:w w:val="95"/>
          <w:sz w:val="14"/>
        </w:rPr>
        <w:t>Transport</w:t>
      </w:r>
      <w:r>
        <w:rPr>
          <w:spacing w:val="1"/>
          <w:sz w:val="14"/>
        </w:rPr>
        <w:t xml:space="preserve"> </w:t>
      </w:r>
      <w:r>
        <w:rPr>
          <w:w w:val="95"/>
          <w:sz w:val="14"/>
        </w:rPr>
        <w:t>Statistics,</w:t>
      </w:r>
      <w:r>
        <w:rPr>
          <w:spacing w:val="1"/>
          <w:sz w:val="14"/>
        </w:rPr>
        <w:t xml:space="preserve"> </w:t>
      </w:r>
      <w:r>
        <w:rPr>
          <w:spacing w:val="-2"/>
          <w:w w:val="95"/>
          <w:sz w:val="14"/>
        </w:rPr>
        <w:t>2011.</w:t>
      </w:r>
    </w:p>
    <w:p w:rsidR="002C1123" w:rsidRDefault="00F22F94">
      <w:pPr>
        <w:pStyle w:val="ListParagraph"/>
        <w:numPr>
          <w:ilvl w:val="0"/>
          <w:numId w:val="90"/>
        </w:numPr>
        <w:tabs>
          <w:tab w:val="left" w:pos="594"/>
        </w:tabs>
        <w:ind w:right="797"/>
        <w:jc w:val="left"/>
        <w:rPr>
          <w:sz w:val="14"/>
        </w:rPr>
      </w:pPr>
      <w:r>
        <w:rPr>
          <w:w w:val="95"/>
          <w:sz w:val="14"/>
        </w:rPr>
        <w:t>Parsons Brinckerhoff 2011, Sydney City Centre Access Study, prepared for</w:t>
      </w:r>
      <w:r>
        <w:rPr>
          <w:spacing w:val="40"/>
          <w:sz w:val="14"/>
        </w:rPr>
        <w:t xml:space="preserve"> </w:t>
      </w:r>
      <w:r>
        <w:rPr>
          <w:sz w:val="14"/>
        </w:rPr>
        <w:t>Transport for NSW.</w:t>
      </w:r>
    </w:p>
    <w:p w:rsidR="002C1123" w:rsidRDefault="00F22F94">
      <w:pPr>
        <w:pStyle w:val="ListParagraph"/>
        <w:numPr>
          <w:ilvl w:val="0"/>
          <w:numId w:val="90"/>
        </w:numPr>
        <w:tabs>
          <w:tab w:val="left" w:pos="594"/>
        </w:tabs>
        <w:ind w:right="796"/>
        <w:jc w:val="left"/>
        <w:rPr>
          <w:sz w:val="14"/>
        </w:rPr>
      </w:pPr>
      <w:r>
        <w:rPr>
          <w:sz w:val="14"/>
        </w:rPr>
        <w:t>Centre</w:t>
      </w:r>
      <w:r>
        <w:rPr>
          <w:spacing w:val="-8"/>
          <w:sz w:val="14"/>
        </w:rPr>
        <w:t xml:space="preserve"> </w:t>
      </w:r>
      <w:r>
        <w:rPr>
          <w:sz w:val="14"/>
        </w:rPr>
        <w:t>for</w:t>
      </w:r>
      <w:r>
        <w:rPr>
          <w:spacing w:val="-8"/>
          <w:sz w:val="14"/>
        </w:rPr>
        <w:t xml:space="preserve"> </w:t>
      </w:r>
      <w:r>
        <w:rPr>
          <w:sz w:val="14"/>
        </w:rPr>
        <w:t>International</w:t>
      </w:r>
      <w:r>
        <w:rPr>
          <w:spacing w:val="-8"/>
          <w:sz w:val="14"/>
        </w:rPr>
        <w:t xml:space="preserve"> </w:t>
      </w:r>
      <w:r>
        <w:rPr>
          <w:sz w:val="14"/>
        </w:rPr>
        <w:t>Economics</w:t>
      </w:r>
      <w:r>
        <w:rPr>
          <w:spacing w:val="-8"/>
          <w:sz w:val="14"/>
        </w:rPr>
        <w:t xml:space="preserve"> </w:t>
      </w:r>
      <w:r>
        <w:rPr>
          <w:sz w:val="14"/>
        </w:rPr>
        <w:t>2012,</w:t>
      </w:r>
      <w:r>
        <w:rPr>
          <w:spacing w:val="-8"/>
          <w:sz w:val="14"/>
        </w:rPr>
        <w:t xml:space="preserve"> </w:t>
      </w:r>
      <w:r>
        <w:rPr>
          <w:sz w:val="14"/>
        </w:rPr>
        <w:t>Cost</w:t>
      </w:r>
      <w:r>
        <w:rPr>
          <w:spacing w:val="-8"/>
          <w:sz w:val="14"/>
        </w:rPr>
        <w:t xml:space="preserve"> </w:t>
      </w:r>
      <w:r>
        <w:rPr>
          <w:sz w:val="14"/>
        </w:rPr>
        <w:t>and</w:t>
      </w:r>
      <w:r>
        <w:rPr>
          <w:spacing w:val="-8"/>
          <w:sz w:val="14"/>
        </w:rPr>
        <w:t xml:space="preserve"> </w:t>
      </w:r>
      <w:r>
        <w:rPr>
          <w:sz w:val="14"/>
        </w:rPr>
        <w:t>Benefits</w:t>
      </w:r>
      <w:r>
        <w:rPr>
          <w:spacing w:val="-8"/>
          <w:sz w:val="14"/>
        </w:rPr>
        <w:t xml:space="preserve"> </w:t>
      </w:r>
      <w:r>
        <w:rPr>
          <w:sz w:val="14"/>
        </w:rPr>
        <w:t>of</w:t>
      </w:r>
      <w:r>
        <w:rPr>
          <w:spacing w:val="-8"/>
          <w:sz w:val="14"/>
        </w:rPr>
        <w:t xml:space="preserve"> </w:t>
      </w:r>
      <w:r>
        <w:rPr>
          <w:sz w:val="14"/>
        </w:rPr>
        <w:t>Alternative</w:t>
      </w:r>
      <w:r>
        <w:rPr>
          <w:spacing w:val="40"/>
          <w:sz w:val="14"/>
        </w:rPr>
        <w:t xml:space="preserve"> </w:t>
      </w:r>
      <w:r>
        <w:rPr>
          <w:w w:val="95"/>
          <w:sz w:val="14"/>
        </w:rPr>
        <w:t>Strategies for Sydney’s Growth, prepared for NSW Department of Planning</w:t>
      </w:r>
      <w:r>
        <w:rPr>
          <w:spacing w:val="40"/>
          <w:sz w:val="14"/>
        </w:rPr>
        <w:t xml:space="preserve"> </w:t>
      </w:r>
      <w:r>
        <w:rPr>
          <w:sz w:val="14"/>
        </w:rPr>
        <w:t>and</w:t>
      </w:r>
      <w:r>
        <w:rPr>
          <w:spacing w:val="-10"/>
          <w:sz w:val="14"/>
        </w:rPr>
        <w:t xml:space="preserve"> </w:t>
      </w:r>
      <w:r>
        <w:rPr>
          <w:sz w:val="14"/>
        </w:rPr>
        <w:t>Infrastructure.</w:t>
      </w:r>
    </w:p>
    <w:p w:rsidR="002C1123" w:rsidRDefault="002C1123">
      <w:pPr>
        <w:rPr>
          <w:sz w:val="14"/>
        </w:rPr>
        <w:sectPr w:rsidR="002C1123">
          <w:type w:val="continuous"/>
          <w:pgSz w:w="16840" w:h="11910" w:orient="landscape"/>
          <w:pgMar w:top="560" w:right="280" w:bottom="280" w:left="500" w:header="0" w:footer="517" w:gutter="0"/>
          <w:cols w:num="3" w:space="720" w:equalWidth="0">
            <w:col w:w="5181" w:space="40"/>
            <w:col w:w="4891" w:space="39"/>
            <w:col w:w="5909"/>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7"/>
        </w:rPr>
      </w:pPr>
    </w:p>
    <w:p w:rsidR="002C1123" w:rsidRDefault="002C1123">
      <w:pPr>
        <w:rPr>
          <w:sz w:val="17"/>
        </w:rPr>
        <w:sectPr w:rsidR="002C1123">
          <w:pgSz w:w="16840" w:h="11910" w:orient="landscape"/>
          <w:pgMar w:top="560" w:right="280" w:bottom="700" w:left="500" w:header="0" w:footer="517" w:gutter="0"/>
          <w:cols w:space="720"/>
        </w:sectPr>
      </w:pPr>
    </w:p>
    <w:p w:rsidR="002C1123" w:rsidRDefault="00F22F94">
      <w:pPr>
        <w:pStyle w:val="Heading5"/>
        <w:numPr>
          <w:ilvl w:val="1"/>
          <w:numId w:val="92"/>
        </w:numPr>
        <w:tabs>
          <w:tab w:val="left" w:pos="942"/>
        </w:tabs>
        <w:jc w:val="left"/>
      </w:pPr>
      <w:bookmarkStart w:id="186" w:name="7.2_Scope_"/>
      <w:bookmarkStart w:id="187" w:name="7.3_Buses_and_light_rail_compared"/>
      <w:bookmarkStart w:id="188" w:name="_bookmark134"/>
      <w:bookmarkStart w:id="189" w:name="_bookmark133"/>
      <w:bookmarkEnd w:id="186"/>
      <w:bookmarkEnd w:id="187"/>
      <w:bookmarkEnd w:id="188"/>
      <w:bookmarkEnd w:id="189"/>
      <w:r>
        <w:rPr>
          <w:color w:val="00AEEF"/>
          <w:spacing w:val="-2"/>
        </w:rPr>
        <w:t>Scope</w:t>
      </w:r>
    </w:p>
    <w:p w:rsidR="002C1123" w:rsidRDefault="00F22F94">
      <w:pPr>
        <w:pStyle w:val="BodyText"/>
        <w:spacing w:before="135" w:line="249" w:lineRule="auto"/>
        <w:ind w:left="492" w:right="28"/>
      </w:pPr>
      <w:r>
        <w:rPr>
          <w:w w:val="95"/>
        </w:rPr>
        <w:t>This</w:t>
      </w:r>
      <w:r>
        <w:rPr>
          <w:spacing w:val="-7"/>
          <w:w w:val="95"/>
        </w:rPr>
        <w:t xml:space="preserve"> </w:t>
      </w:r>
      <w:r>
        <w:rPr>
          <w:w w:val="95"/>
        </w:rPr>
        <w:t>Section</w:t>
      </w:r>
      <w:r>
        <w:rPr>
          <w:spacing w:val="-7"/>
          <w:w w:val="95"/>
        </w:rPr>
        <w:t xml:space="preserve"> </w:t>
      </w:r>
      <w:r>
        <w:rPr>
          <w:w w:val="95"/>
        </w:rPr>
        <w:t>sets</w:t>
      </w:r>
      <w:r>
        <w:rPr>
          <w:spacing w:val="-7"/>
          <w:w w:val="95"/>
        </w:rPr>
        <w:t xml:space="preserve"> </w:t>
      </w:r>
      <w:r>
        <w:rPr>
          <w:w w:val="95"/>
        </w:rPr>
        <w:t>out</w:t>
      </w:r>
      <w:r>
        <w:rPr>
          <w:spacing w:val="-7"/>
          <w:w w:val="95"/>
        </w:rPr>
        <w:t xml:space="preserve"> </w:t>
      </w:r>
      <w:r>
        <w:rPr>
          <w:w w:val="95"/>
        </w:rPr>
        <w:t>a</w:t>
      </w:r>
      <w:r>
        <w:rPr>
          <w:spacing w:val="-7"/>
          <w:w w:val="95"/>
        </w:rPr>
        <w:t xml:space="preserve"> </w:t>
      </w:r>
      <w:r>
        <w:rPr>
          <w:w w:val="95"/>
        </w:rPr>
        <w:t>strategy</w:t>
      </w:r>
      <w:r>
        <w:rPr>
          <w:spacing w:val="-7"/>
          <w:w w:val="95"/>
        </w:rPr>
        <w:t xml:space="preserve"> </w:t>
      </w:r>
      <w:r>
        <w:rPr>
          <w:w w:val="95"/>
        </w:rPr>
        <w:t>for</w:t>
      </w:r>
      <w:r>
        <w:rPr>
          <w:spacing w:val="-7"/>
          <w:w w:val="95"/>
        </w:rPr>
        <w:t xml:space="preserve"> </w:t>
      </w:r>
      <w:r>
        <w:rPr>
          <w:w w:val="95"/>
        </w:rPr>
        <w:t>improving</w:t>
      </w:r>
      <w:r>
        <w:rPr>
          <w:spacing w:val="-7"/>
          <w:w w:val="95"/>
        </w:rPr>
        <w:t xml:space="preserve"> </w:t>
      </w:r>
      <w:r>
        <w:rPr>
          <w:w w:val="95"/>
        </w:rPr>
        <w:t xml:space="preserve">Sydney’s </w:t>
      </w:r>
      <w:r>
        <w:t>bus</w:t>
      </w:r>
      <w:r>
        <w:rPr>
          <w:spacing w:val="-14"/>
        </w:rPr>
        <w:t xml:space="preserve"> </w:t>
      </w:r>
      <w:r>
        <w:t>services</w:t>
      </w:r>
      <w:r>
        <w:rPr>
          <w:spacing w:val="-14"/>
        </w:rPr>
        <w:t xml:space="preserve"> </w:t>
      </w:r>
      <w:r>
        <w:t>and</w:t>
      </w:r>
      <w:r>
        <w:rPr>
          <w:spacing w:val="-14"/>
        </w:rPr>
        <w:t xml:space="preserve"> </w:t>
      </w:r>
      <w:r>
        <w:t>considers</w:t>
      </w:r>
      <w:r>
        <w:rPr>
          <w:spacing w:val="-14"/>
        </w:rPr>
        <w:t xml:space="preserve"> </w:t>
      </w:r>
      <w:r>
        <w:t>the</w:t>
      </w:r>
      <w:r>
        <w:rPr>
          <w:spacing w:val="-14"/>
        </w:rPr>
        <w:t xml:space="preserve"> </w:t>
      </w:r>
      <w:r>
        <w:t>rationale</w:t>
      </w:r>
      <w:r>
        <w:rPr>
          <w:spacing w:val="-14"/>
        </w:rPr>
        <w:t xml:space="preserve"> </w:t>
      </w:r>
      <w:r>
        <w:t>for</w:t>
      </w:r>
      <w:r>
        <w:rPr>
          <w:spacing w:val="-14"/>
        </w:rPr>
        <w:t xml:space="preserve"> </w:t>
      </w:r>
      <w:r>
        <w:t xml:space="preserve">potential </w:t>
      </w:r>
      <w:r>
        <w:rPr>
          <w:spacing w:val="-2"/>
        </w:rPr>
        <w:t>Bus</w:t>
      </w:r>
      <w:r>
        <w:rPr>
          <w:spacing w:val="-10"/>
        </w:rPr>
        <w:t xml:space="preserve"> </w:t>
      </w:r>
      <w:r>
        <w:rPr>
          <w:spacing w:val="-2"/>
        </w:rPr>
        <w:t>Rapid</w:t>
      </w:r>
      <w:r>
        <w:rPr>
          <w:spacing w:val="-10"/>
        </w:rPr>
        <w:t xml:space="preserve"> </w:t>
      </w:r>
      <w:r>
        <w:rPr>
          <w:spacing w:val="-2"/>
        </w:rPr>
        <w:t>Transit</w:t>
      </w:r>
      <w:r>
        <w:rPr>
          <w:spacing w:val="-10"/>
        </w:rPr>
        <w:t xml:space="preserve"> </w:t>
      </w:r>
      <w:r>
        <w:rPr>
          <w:spacing w:val="-2"/>
        </w:rPr>
        <w:t>(BRT)</w:t>
      </w:r>
      <w:r>
        <w:rPr>
          <w:spacing w:val="-10"/>
        </w:rPr>
        <w:t xml:space="preserve"> </w:t>
      </w:r>
      <w:r>
        <w:rPr>
          <w:spacing w:val="-2"/>
        </w:rPr>
        <w:t>or</w:t>
      </w:r>
      <w:r>
        <w:rPr>
          <w:spacing w:val="-10"/>
        </w:rPr>
        <w:t xml:space="preserve"> </w:t>
      </w:r>
      <w:r>
        <w:rPr>
          <w:spacing w:val="-2"/>
        </w:rPr>
        <w:t>light</w:t>
      </w:r>
      <w:r>
        <w:rPr>
          <w:spacing w:val="-10"/>
        </w:rPr>
        <w:t xml:space="preserve"> </w:t>
      </w:r>
      <w:r>
        <w:rPr>
          <w:spacing w:val="-2"/>
        </w:rPr>
        <w:t>rail</w:t>
      </w:r>
      <w:r>
        <w:rPr>
          <w:spacing w:val="-10"/>
        </w:rPr>
        <w:t xml:space="preserve"> </w:t>
      </w:r>
      <w:r>
        <w:rPr>
          <w:spacing w:val="-2"/>
        </w:rPr>
        <w:t xml:space="preserve">infrastructure </w:t>
      </w:r>
      <w:r>
        <w:rPr>
          <w:w w:val="95"/>
        </w:rPr>
        <w:t xml:space="preserve">investments on some of these corridors. The Strategy </w:t>
      </w:r>
      <w:r>
        <w:t>focusses</w:t>
      </w:r>
      <w:r>
        <w:rPr>
          <w:spacing w:val="-9"/>
        </w:rPr>
        <w:t xml:space="preserve"> </w:t>
      </w:r>
      <w:r>
        <w:t>on</w:t>
      </w:r>
      <w:r>
        <w:rPr>
          <w:spacing w:val="-9"/>
        </w:rPr>
        <w:t xml:space="preserve"> </w:t>
      </w:r>
      <w:r>
        <w:t>the</w:t>
      </w:r>
      <w:r>
        <w:rPr>
          <w:spacing w:val="-9"/>
        </w:rPr>
        <w:t xml:space="preserve"> </w:t>
      </w:r>
      <w:r>
        <w:t>CBD</w:t>
      </w:r>
      <w:r>
        <w:rPr>
          <w:spacing w:val="-9"/>
        </w:rPr>
        <w:t xml:space="preserve"> </w:t>
      </w:r>
      <w:r>
        <w:t>and</w:t>
      </w:r>
      <w:r>
        <w:rPr>
          <w:spacing w:val="-9"/>
        </w:rPr>
        <w:t xml:space="preserve"> </w:t>
      </w:r>
      <w:r>
        <w:t>a</w:t>
      </w:r>
      <w:r>
        <w:rPr>
          <w:spacing w:val="-9"/>
        </w:rPr>
        <w:t xml:space="preserve"> </w:t>
      </w:r>
      <w:r>
        <w:t>number</w:t>
      </w:r>
      <w:r>
        <w:rPr>
          <w:spacing w:val="-9"/>
        </w:rPr>
        <w:t xml:space="preserve"> </w:t>
      </w:r>
      <w:r>
        <w:t>of</w:t>
      </w:r>
      <w:r>
        <w:rPr>
          <w:spacing w:val="-9"/>
        </w:rPr>
        <w:t xml:space="preserve"> </w:t>
      </w:r>
      <w:r>
        <w:t>other</w:t>
      </w:r>
      <w:r>
        <w:rPr>
          <w:spacing w:val="-9"/>
        </w:rPr>
        <w:t xml:space="preserve"> </w:t>
      </w:r>
      <w:r>
        <w:t>key corridors</w:t>
      </w:r>
      <w:r>
        <w:rPr>
          <w:spacing w:val="-10"/>
        </w:rPr>
        <w:t xml:space="preserve"> </w:t>
      </w:r>
      <w:r>
        <w:t>where</w:t>
      </w:r>
      <w:r>
        <w:rPr>
          <w:spacing w:val="-10"/>
        </w:rPr>
        <w:t xml:space="preserve"> </w:t>
      </w:r>
      <w:r>
        <w:t>demand</w:t>
      </w:r>
      <w:r>
        <w:rPr>
          <w:spacing w:val="-10"/>
        </w:rPr>
        <w:t xml:space="preserve"> </w:t>
      </w:r>
      <w:r>
        <w:t>levels</w:t>
      </w:r>
      <w:r>
        <w:rPr>
          <w:spacing w:val="-10"/>
        </w:rPr>
        <w:t xml:space="preserve"> </w:t>
      </w:r>
      <w:r>
        <w:t>are</w:t>
      </w:r>
      <w:r>
        <w:rPr>
          <w:spacing w:val="-10"/>
        </w:rPr>
        <w:t xml:space="preserve"> </w:t>
      </w:r>
      <w:r>
        <w:t>high</w:t>
      </w:r>
      <w:r>
        <w:rPr>
          <w:spacing w:val="-10"/>
        </w:rPr>
        <w:t xml:space="preserve"> </w:t>
      </w:r>
      <w:r>
        <w:t>enough</w:t>
      </w:r>
      <w:r>
        <w:rPr>
          <w:spacing w:val="-10"/>
        </w:rPr>
        <w:t xml:space="preserve"> </w:t>
      </w:r>
      <w:r>
        <w:t xml:space="preserve">to </w:t>
      </w:r>
      <w:r>
        <w:rPr>
          <w:w w:val="95"/>
        </w:rPr>
        <w:t>potentially justify major investment. It also outlines the broader</w:t>
      </w:r>
      <w:r>
        <w:rPr>
          <w:spacing w:val="-4"/>
          <w:w w:val="95"/>
        </w:rPr>
        <w:t xml:space="preserve"> </w:t>
      </w:r>
      <w:r>
        <w:rPr>
          <w:w w:val="95"/>
        </w:rPr>
        <w:t>strategy</w:t>
      </w:r>
      <w:r>
        <w:rPr>
          <w:spacing w:val="-4"/>
          <w:w w:val="95"/>
        </w:rPr>
        <w:t xml:space="preserve"> </w:t>
      </w:r>
      <w:r>
        <w:rPr>
          <w:w w:val="95"/>
        </w:rPr>
        <w:t>for</w:t>
      </w:r>
      <w:r>
        <w:rPr>
          <w:spacing w:val="-4"/>
          <w:w w:val="95"/>
        </w:rPr>
        <w:t xml:space="preserve"> </w:t>
      </w:r>
      <w:r>
        <w:rPr>
          <w:w w:val="95"/>
        </w:rPr>
        <w:t>incremental</w:t>
      </w:r>
      <w:r>
        <w:rPr>
          <w:spacing w:val="-4"/>
          <w:w w:val="95"/>
        </w:rPr>
        <w:t xml:space="preserve"> </w:t>
      </w:r>
      <w:r>
        <w:rPr>
          <w:w w:val="95"/>
        </w:rPr>
        <w:t>investment</w:t>
      </w:r>
      <w:r>
        <w:rPr>
          <w:spacing w:val="-4"/>
          <w:w w:val="95"/>
        </w:rPr>
        <w:t xml:space="preserve"> </w:t>
      </w:r>
      <w:r>
        <w:rPr>
          <w:w w:val="95"/>
        </w:rPr>
        <w:t>across</w:t>
      </w:r>
      <w:r>
        <w:rPr>
          <w:spacing w:val="-4"/>
          <w:w w:val="95"/>
        </w:rPr>
        <w:t xml:space="preserve"> </w:t>
      </w:r>
      <w:r>
        <w:rPr>
          <w:w w:val="95"/>
        </w:rPr>
        <w:t xml:space="preserve">the </w:t>
      </w:r>
      <w:r>
        <w:t>wider metropolitan bus network.</w:t>
      </w:r>
    </w:p>
    <w:p w:rsidR="002C1123" w:rsidRDefault="00F22F94">
      <w:pPr>
        <w:pStyle w:val="BodyText"/>
        <w:spacing w:before="149" w:line="249" w:lineRule="auto"/>
        <w:ind w:left="492"/>
      </w:pPr>
      <w:r>
        <w:t>The</w:t>
      </w:r>
      <w:r>
        <w:rPr>
          <w:spacing w:val="-14"/>
        </w:rPr>
        <w:t xml:space="preserve"> </w:t>
      </w:r>
      <w:r>
        <w:t>goal</w:t>
      </w:r>
      <w:r>
        <w:rPr>
          <w:spacing w:val="-14"/>
        </w:rPr>
        <w:t xml:space="preserve"> </w:t>
      </w:r>
      <w:r>
        <w:t>to</w:t>
      </w:r>
      <w:r>
        <w:rPr>
          <w:spacing w:val="-14"/>
        </w:rPr>
        <w:t xml:space="preserve"> </w:t>
      </w:r>
      <w:r>
        <w:t>make</w:t>
      </w:r>
      <w:r>
        <w:rPr>
          <w:spacing w:val="-14"/>
        </w:rPr>
        <w:t xml:space="preserve"> </w:t>
      </w:r>
      <w:r>
        <w:t>NSW</w:t>
      </w:r>
      <w:r>
        <w:rPr>
          <w:spacing w:val="-14"/>
        </w:rPr>
        <w:t xml:space="preserve"> </w:t>
      </w:r>
      <w:r>
        <w:t>Number</w:t>
      </w:r>
      <w:r>
        <w:rPr>
          <w:spacing w:val="-14"/>
        </w:rPr>
        <w:t xml:space="preserve"> </w:t>
      </w:r>
      <w:r>
        <w:t>One</w:t>
      </w:r>
      <w:r>
        <w:rPr>
          <w:spacing w:val="-14"/>
        </w:rPr>
        <w:t xml:space="preserve"> </w:t>
      </w:r>
      <w:r>
        <w:t>again</w:t>
      </w:r>
      <w:r>
        <w:rPr>
          <w:spacing w:val="-14"/>
        </w:rPr>
        <w:t xml:space="preserve"> </w:t>
      </w:r>
      <w:r>
        <w:t>requires</w:t>
      </w:r>
      <w:r>
        <w:rPr>
          <w:spacing w:val="-14"/>
        </w:rPr>
        <w:t xml:space="preserve"> </w:t>
      </w:r>
      <w:r>
        <w:t xml:space="preserve">a </w:t>
      </w:r>
      <w:r>
        <w:rPr>
          <w:spacing w:val="-2"/>
        </w:rPr>
        <w:t>globally</w:t>
      </w:r>
      <w:r>
        <w:rPr>
          <w:spacing w:val="-7"/>
        </w:rPr>
        <w:t xml:space="preserve"> </w:t>
      </w:r>
      <w:r>
        <w:rPr>
          <w:spacing w:val="-2"/>
        </w:rPr>
        <w:t>competitive</w:t>
      </w:r>
      <w:r>
        <w:rPr>
          <w:spacing w:val="-7"/>
        </w:rPr>
        <w:t xml:space="preserve"> </w:t>
      </w:r>
      <w:r>
        <w:rPr>
          <w:spacing w:val="-2"/>
        </w:rPr>
        <w:t>Sydney</w:t>
      </w:r>
      <w:r>
        <w:rPr>
          <w:spacing w:val="-7"/>
        </w:rPr>
        <w:t xml:space="preserve"> </w:t>
      </w:r>
      <w:r>
        <w:rPr>
          <w:spacing w:val="-2"/>
        </w:rPr>
        <w:t>with</w:t>
      </w:r>
      <w:r>
        <w:rPr>
          <w:spacing w:val="-7"/>
        </w:rPr>
        <w:t xml:space="preserve"> </w:t>
      </w:r>
      <w:r>
        <w:rPr>
          <w:spacing w:val="-2"/>
        </w:rPr>
        <w:t>an</w:t>
      </w:r>
      <w:r>
        <w:rPr>
          <w:spacing w:val="-7"/>
        </w:rPr>
        <w:t xml:space="preserve"> </w:t>
      </w:r>
      <w:r>
        <w:rPr>
          <w:spacing w:val="-2"/>
        </w:rPr>
        <w:t>urban</w:t>
      </w:r>
      <w:r>
        <w:rPr>
          <w:spacing w:val="-7"/>
        </w:rPr>
        <w:t xml:space="preserve"> </w:t>
      </w:r>
      <w:r>
        <w:rPr>
          <w:spacing w:val="-2"/>
        </w:rPr>
        <w:t xml:space="preserve">environment </w:t>
      </w:r>
      <w:r>
        <w:t>conducive</w:t>
      </w:r>
      <w:r>
        <w:rPr>
          <w:spacing w:val="-6"/>
        </w:rPr>
        <w:t xml:space="preserve"> </w:t>
      </w:r>
      <w:r>
        <w:t>to</w:t>
      </w:r>
      <w:r>
        <w:rPr>
          <w:spacing w:val="-7"/>
        </w:rPr>
        <w:t xml:space="preserve"> </w:t>
      </w:r>
      <w:r>
        <w:t>meeting</w:t>
      </w:r>
      <w:r>
        <w:rPr>
          <w:spacing w:val="-6"/>
        </w:rPr>
        <w:t xml:space="preserve"> </w:t>
      </w:r>
      <w:r>
        <w:t>and</w:t>
      </w:r>
      <w:r>
        <w:rPr>
          <w:spacing w:val="-7"/>
        </w:rPr>
        <w:t xml:space="preserve"> </w:t>
      </w:r>
      <w:r>
        <w:t>doing</w:t>
      </w:r>
      <w:r>
        <w:rPr>
          <w:spacing w:val="-6"/>
        </w:rPr>
        <w:t xml:space="preserve"> </w:t>
      </w:r>
      <w:r>
        <w:t>business,</w:t>
      </w:r>
      <w:r>
        <w:rPr>
          <w:spacing w:val="-7"/>
        </w:rPr>
        <w:t xml:space="preserve"> </w:t>
      </w:r>
      <w:r>
        <w:t xml:space="preserve">walking, </w:t>
      </w:r>
      <w:r>
        <w:rPr>
          <w:w w:val="95"/>
        </w:rPr>
        <w:t>talking,</w:t>
      </w:r>
      <w:r>
        <w:rPr>
          <w:spacing w:val="-1"/>
          <w:w w:val="95"/>
        </w:rPr>
        <w:t xml:space="preserve"> </w:t>
      </w:r>
      <w:r>
        <w:rPr>
          <w:w w:val="95"/>
        </w:rPr>
        <w:t>shopping</w:t>
      </w:r>
      <w:r>
        <w:rPr>
          <w:spacing w:val="-1"/>
          <w:w w:val="95"/>
        </w:rPr>
        <w:t xml:space="preserve"> </w:t>
      </w:r>
      <w:r>
        <w:rPr>
          <w:w w:val="95"/>
        </w:rPr>
        <w:t>and</w:t>
      </w:r>
      <w:r>
        <w:rPr>
          <w:spacing w:val="-1"/>
          <w:w w:val="95"/>
        </w:rPr>
        <w:t xml:space="preserve"> </w:t>
      </w:r>
      <w:r>
        <w:rPr>
          <w:w w:val="95"/>
        </w:rPr>
        <w:t>access</w:t>
      </w:r>
      <w:r>
        <w:rPr>
          <w:spacing w:val="-1"/>
          <w:w w:val="95"/>
        </w:rPr>
        <w:t xml:space="preserve"> </w:t>
      </w:r>
      <w:r>
        <w:rPr>
          <w:w w:val="95"/>
        </w:rPr>
        <w:t>to</w:t>
      </w:r>
      <w:r>
        <w:rPr>
          <w:spacing w:val="-1"/>
          <w:w w:val="95"/>
        </w:rPr>
        <w:t xml:space="preserve"> </w:t>
      </w:r>
      <w:r>
        <w:rPr>
          <w:w w:val="95"/>
        </w:rPr>
        <w:t>retail</w:t>
      </w:r>
      <w:r>
        <w:rPr>
          <w:spacing w:val="-1"/>
          <w:w w:val="95"/>
        </w:rPr>
        <w:t xml:space="preserve"> </w:t>
      </w:r>
      <w:r>
        <w:rPr>
          <w:w w:val="95"/>
        </w:rPr>
        <w:t>and</w:t>
      </w:r>
      <w:r>
        <w:rPr>
          <w:spacing w:val="-1"/>
          <w:w w:val="95"/>
        </w:rPr>
        <w:t xml:space="preserve"> </w:t>
      </w:r>
      <w:r>
        <w:rPr>
          <w:w w:val="95"/>
        </w:rPr>
        <w:t xml:space="preserve">entertainment. </w:t>
      </w:r>
      <w:r>
        <w:t>Current</w:t>
      </w:r>
      <w:r>
        <w:rPr>
          <w:spacing w:val="-9"/>
        </w:rPr>
        <w:t xml:space="preserve"> </w:t>
      </w:r>
      <w:r>
        <w:t>bus</w:t>
      </w:r>
      <w:r>
        <w:rPr>
          <w:spacing w:val="-9"/>
        </w:rPr>
        <w:t xml:space="preserve"> </w:t>
      </w:r>
      <w:r>
        <w:t>services</w:t>
      </w:r>
      <w:r>
        <w:rPr>
          <w:spacing w:val="-9"/>
        </w:rPr>
        <w:t xml:space="preserve"> </w:t>
      </w:r>
      <w:r>
        <w:t>detract</w:t>
      </w:r>
      <w:r>
        <w:rPr>
          <w:spacing w:val="-9"/>
        </w:rPr>
        <w:t xml:space="preserve"> </w:t>
      </w:r>
      <w:r>
        <w:t>from</w:t>
      </w:r>
      <w:r>
        <w:rPr>
          <w:spacing w:val="-9"/>
        </w:rPr>
        <w:t xml:space="preserve"> </w:t>
      </w:r>
      <w:r>
        <w:t>the</w:t>
      </w:r>
      <w:r>
        <w:rPr>
          <w:spacing w:val="-9"/>
        </w:rPr>
        <w:t xml:space="preserve"> </w:t>
      </w:r>
      <w:r>
        <w:t>amenity</w:t>
      </w:r>
      <w:r>
        <w:rPr>
          <w:spacing w:val="-9"/>
        </w:rPr>
        <w:t xml:space="preserve"> </w:t>
      </w:r>
      <w:r>
        <w:t>of</w:t>
      </w:r>
      <w:r>
        <w:rPr>
          <w:spacing w:val="-9"/>
        </w:rPr>
        <w:t xml:space="preserve"> </w:t>
      </w:r>
      <w:r>
        <w:t xml:space="preserve">the </w:t>
      </w:r>
      <w:r>
        <w:rPr>
          <w:w w:val="95"/>
        </w:rPr>
        <w:t xml:space="preserve">CBD and have negative impacts in terms of congestion, </w:t>
      </w:r>
      <w:r>
        <w:t>noise</w:t>
      </w:r>
      <w:r>
        <w:rPr>
          <w:spacing w:val="-13"/>
        </w:rPr>
        <w:t xml:space="preserve"> </w:t>
      </w:r>
      <w:r>
        <w:t>and</w:t>
      </w:r>
      <w:r>
        <w:rPr>
          <w:spacing w:val="-13"/>
        </w:rPr>
        <w:t xml:space="preserve"> </w:t>
      </w:r>
      <w:r>
        <w:t>pollution.</w:t>
      </w:r>
      <w:r>
        <w:rPr>
          <w:spacing w:val="-13"/>
        </w:rPr>
        <w:t xml:space="preserve"> </w:t>
      </w:r>
      <w:r>
        <w:t>Reducing</w:t>
      </w:r>
      <w:r>
        <w:rPr>
          <w:spacing w:val="-13"/>
        </w:rPr>
        <w:t xml:space="preserve"> </w:t>
      </w:r>
      <w:r>
        <w:t>CBD</w:t>
      </w:r>
      <w:r>
        <w:rPr>
          <w:spacing w:val="-13"/>
        </w:rPr>
        <w:t xml:space="preserve"> </w:t>
      </w:r>
      <w:r>
        <w:t>bus</w:t>
      </w:r>
      <w:r>
        <w:rPr>
          <w:spacing w:val="-13"/>
        </w:rPr>
        <w:t xml:space="preserve"> </w:t>
      </w:r>
      <w:r>
        <w:t>congestion</w:t>
      </w:r>
      <w:r>
        <w:rPr>
          <w:spacing w:val="-13"/>
        </w:rPr>
        <w:t xml:space="preserve"> </w:t>
      </w:r>
      <w:r>
        <w:t>will greatly</w:t>
      </w:r>
      <w:r>
        <w:rPr>
          <w:spacing w:val="-10"/>
        </w:rPr>
        <w:t xml:space="preserve"> </w:t>
      </w:r>
      <w:r>
        <w:t>improve</w:t>
      </w:r>
      <w:r>
        <w:rPr>
          <w:spacing w:val="-10"/>
        </w:rPr>
        <w:t xml:space="preserve"> </w:t>
      </w:r>
      <w:r>
        <w:t>urban</w:t>
      </w:r>
      <w:r>
        <w:rPr>
          <w:spacing w:val="-10"/>
        </w:rPr>
        <w:t xml:space="preserve"> </w:t>
      </w:r>
      <w:r>
        <w:t>amenity</w:t>
      </w:r>
      <w:r>
        <w:rPr>
          <w:spacing w:val="-10"/>
        </w:rPr>
        <w:t xml:space="preserve"> </w:t>
      </w:r>
      <w:r>
        <w:t>in</w:t>
      </w:r>
      <w:r>
        <w:rPr>
          <w:spacing w:val="-10"/>
        </w:rPr>
        <w:t xml:space="preserve"> </w:t>
      </w:r>
      <w:r>
        <w:t>the</w:t>
      </w:r>
      <w:r>
        <w:rPr>
          <w:spacing w:val="-10"/>
        </w:rPr>
        <w:t xml:space="preserve"> </w:t>
      </w:r>
      <w:r>
        <w:t>CBD.</w:t>
      </w:r>
    </w:p>
    <w:p w:rsidR="002C1123" w:rsidRDefault="002C1123">
      <w:pPr>
        <w:pStyle w:val="BodyText"/>
        <w:spacing w:before="10"/>
        <w:rPr>
          <w:sz w:val="23"/>
        </w:rPr>
      </w:pPr>
    </w:p>
    <w:p w:rsidR="002C1123" w:rsidRDefault="00F22F94">
      <w:pPr>
        <w:pStyle w:val="Heading5"/>
        <w:numPr>
          <w:ilvl w:val="1"/>
          <w:numId w:val="92"/>
        </w:numPr>
        <w:tabs>
          <w:tab w:val="left" w:pos="942"/>
        </w:tabs>
        <w:spacing w:before="0"/>
        <w:jc w:val="left"/>
      </w:pPr>
      <w:r>
        <w:rPr>
          <w:color w:val="00AEEF"/>
          <w:w w:val="95"/>
        </w:rPr>
        <w:t>Buses</w:t>
      </w:r>
      <w:r>
        <w:rPr>
          <w:color w:val="00AEEF"/>
          <w:spacing w:val="-4"/>
          <w:w w:val="95"/>
        </w:rPr>
        <w:t xml:space="preserve"> </w:t>
      </w:r>
      <w:r>
        <w:rPr>
          <w:color w:val="00AEEF"/>
          <w:w w:val="95"/>
        </w:rPr>
        <w:t>and</w:t>
      </w:r>
      <w:r>
        <w:rPr>
          <w:color w:val="00AEEF"/>
          <w:spacing w:val="-1"/>
          <w:w w:val="95"/>
        </w:rPr>
        <w:t xml:space="preserve"> </w:t>
      </w:r>
      <w:r>
        <w:rPr>
          <w:color w:val="00AEEF"/>
          <w:w w:val="95"/>
        </w:rPr>
        <w:t>light</w:t>
      </w:r>
      <w:r>
        <w:rPr>
          <w:color w:val="00AEEF"/>
          <w:spacing w:val="-1"/>
          <w:w w:val="95"/>
        </w:rPr>
        <w:t xml:space="preserve"> </w:t>
      </w:r>
      <w:r>
        <w:rPr>
          <w:color w:val="00AEEF"/>
          <w:w w:val="95"/>
        </w:rPr>
        <w:t>rail</w:t>
      </w:r>
      <w:r>
        <w:rPr>
          <w:color w:val="00AEEF"/>
          <w:spacing w:val="-1"/>
          <w:w w:val="95"/>
        </w:rPr>
        <w:t xml:space="preserve"> </w:t>
      </w:r>
      <w:r>
        <w:rPr>
          <w:color w:val="00AEEF"/>
          <w:spacing w:val="-2"/>
          <w:w w:val="95"/>
        </w:rPr>
        <w:t>compared</w:t>
      </w:r>
    </w:p>
    <w:p w:rsidR="002C1123" w:rsidRDefault="00F22F94">
      <w:pPr>
        <w:pStyle w:val="BodyText"/>
        <w:spacing w:before="135" w:line="249" w:lineRule="auto"/>
        <w:ind w:left="492" w:right="28"/>
      </w:pPr>
      <w:r>
        <w:rPr>
          <w:spacing w:val="-2"/>
        </w:rPr>
        <w:t>While</w:t>
      </w:r>
      <w:r>
        <w:rPr>
          <w:spacing w:val="-6"/>
        </w:rPr>
        <w:t xml:space="preserve"> </w:t>
      </w:r>
      <w:r>
        <w:rPr>
          <w:spacing w:val="-2"/>
        </w:rPr>
        <w:t>from</w:t>
      </w:r>
      <w:r>
        <w:rPr>
          <w:spacing w:val="-7"/>
        </w:rPr>
        <w:t xml:space="preserve"> </w:t>
      </w:r>
      <w:r>
        <w:rPr>
          <w:spacing w:val="-2"/>
        </w:rPr>
        <w:t>a</w:t>
      </w:r>
      <w:r>
        <w:rPr>
          <w:spacing w:val="-6"/>
        </w:rPr>
        <w:t xml:space="preserve"> </w:t>
      </w:r>
      <w:r>
        <w:rPr>
          <w:spacing w:val="-2"/>
        </w:rPr>
        <w:t>technical</w:t>
      </w:r>
      <w:r>
        <w:rPr>
          <w:spacing w:val="-6"/>
        </w:rPr>
        <w:t xml:space="preserve"> </w:t>
      </w:r>
      <w:r>
        <w:rPr>
          <w:spacing w:val="-2"/>
        </w:rPr>
        <w:t>perspective,</w:t>
      </w:r>
      <w:r>
        <w:rPr>
          <w:spacing w:val="-6"/>
        </w:rPr>
        <w:t xml:space="preserve"> </w:t>
      </w:r>
      <w:r>
        <w:rPr>
          <w:spacing w:val="-2"/>
        </w:rPr>
        <w:t>buses</w:t>
      </w:r>
      <w:r>
        <w:rPr>
          <w:spacing w:val="-6"/>
        </w:rPr>
        <w:t xml:space="preserve"> </w:t>
      </w:r>
      <w:r>
        <w:rPr>
          <w:spacing w:val="-2"/>
        </w:rPr>
        <w:t>and</w:t>
      </w:r>
      <w:r>
        <w:rPr>
          <w:spacing w:val="-6"/>
        </w:rPr>
        <w:t xml:space="preserve"> </w:t>
      </w:r>
      <w:r>
        <w:rPr>
          <w:spacing w:val="-2"/>
        </w:rPr>
        <w:t>light</w:t>
      </w:r>
      <w:r>
        <w:rPr>
          <w:spacing w:val="-6"/>
        </w:rPr>
        <w:t xml:space="preserve"> </w:t>
      </w:r>
      <w:r>
        <w:rPr>
          <w:spacing w:val="-2"/>
        </w:rPr>
        <w:t xml:space="preserve">rail </w:t>
      </w:r>
      <w:r>
        <w:rPr>
          <w:w w:val="95"/>
        </w:rPr>
        <w:t>are</w:t>
      </w:r>
      <w:r>
        <w:rPr>
          <w:spacing w:val="-3"/>
          <w:w w:val="95"/>
        </w:rPr>
        <w:t xml:space="preserve"> </w:t>
      </w:r>
      <w:r>
        <w:rPr>
          <w:w w:val="95"/>
        </w:rPr>
        <w:t>very</w:t>
      </w:r>
      <w:r>
        <w:rPr>
          <w:spacing w:val="-3"/>
          <w:w w:val="95"/>
        </w:rPr>
        <w:t xml:space="preserve"> </w:t>
      </w:r>
      <w:r>
        <w:rPr>
          <w:w w:val="95"/>
        </w:rPr>
        <w:t>different,</w:t>
      </w:r>
      <w:r>
        <w:rPr>
          <w:spacing w:val="-3"/>
          <w:w w:val="95"/>
        </w:rPr>
        <w:t xml:space="preserve"> </w:t>
      </w:r>
      <w:r>
        <w:rPr>
          <w:w w:val="95"/>
        </w:rPr>
        <w:t>from</w:t>
      </w:r>
      <w:r>
        <w:rPr>
          <w:spacing w:val="-3"/>
          <w:w w:val="95"/>
        </w:rPr>
        <w:t xml:space="preserve"> </w:t>
      </w:r>
      <w:r>
        <w:rPr>
          <w:w w:val="95"/>
        </w:rPr>
        <w:t>a</w:t>
      </w:r>
      <w:r>
        <w:rPr>
          <w:spacing w:val="-3"/>
          <w:w w:val="95"/>
        </w:rPr>
        <w:t xml:space="preserve"> </w:t>
      </w:r>
      <w:r>
        <w:rPr>
          <w:w w:val="95"/>
        </w:rPr>
        <w:t>transport</w:t>
      </w:r>
      <w:r>
        <w:rPr>
          <w:spacing w:val="-3"/>
          <w:w w:val="95"/>
        </w:rPr>
        <w:t xml:space="preserve"> </w:t>
      </w:r>
      <w:r>
        <w:rPr>
          <w:w w:val="95"/>
        </w:rPr>
        <w:t>perspective</w:t>
      </w:r>
      <w:r>
        <w:rPr>
          <w:spacing w:val="-3"/>
          <w:w w:val="95"/>
        </w:rPr>
        <w:t xml:space="preserve"> </w:t>
      </w:r>
      <w:r>
        <w:rPr>
          <w:w w:val="95"/>
        </w:rPr>
        <w:t>they</w:t>
      </w:r>
      <w:r>
        <w:rPr>
          <w:spacing w:val="-3"/>
          <w:w w:val="95"/>
        </w:rPr>
        <w:t xml:space="preserve"> </w:t>
      </w:r>
      <w:r>
        <w:rPr>
          <w:w w:val="95"/>
        </w:rPr>
        <w:t xml:space="preserve">fulfil </w:t>
      </w:r>
      <w:r>
        <w:t>a</w:t>
      </w:r>
      <w:r>
        <w:rPr>
          <w:spacing w:val="-14"/>
        </w:rPr>
        <w:t xml:space="preserve"> </w:t>
      </w:r>
      <w:r>
        <w:t>similar</w:t>
      </w:r>
      <w:r>
        <w:rPr>
          <w:spacing w:val="-14"/>
        </w:rPr>
        <w:t xml:space="preserve"> </w:t>
      </w:r>
      <w:r>
        <w:t>role.</w:t>
      </w:r>
      <w:r>
        <w:rPr>
          <w:spacing w:val="-14"/>
        </w:rPr>
        <w:t xml:space="preserve"> </w:t>
      </w:r>
      <w:r>
        <w:t>Both</w:t>
      </w:r>
      <w:r>
        <w:rPr>
          <w:spacing w:val="-14"/>
        </w:rPr>
        <w:t xml:space="preserve"> </w:t>
      </w:r>
      <w:r>
        <w:t>provide</w:t>
      </w:r>
      <w:r>
        <w:rPr>
          <w:spacing w:val="-14"/>
        </w:rPr>
        <w:t xml:space="preserve"> </w:t>
      </w:r>
      <w:r>
        <w:t>generally</w:t>
      </w:r>
      <w:r>
        <w:rPr>
          <w:spacing w:val="-14"/>
        </w:rPr>
        <w:t xml:space="preserve"> </w:t>
      </w:r>
      <w:r>
        <w:t>on-street</w:t>
      </w:r>
      <w:r>
        <w:rPr>
          <w:spacing w:val="-14"/>
        </w:rPr>
        <w:t xml:space="preserve"> </w:t>
      </w:r>
      <w:r>
        <w:t xml:space="preserve">public </w:t>
      </w:r>
      <w:r>
        <w:rPr>
          <w:w w:val="95"/>
        </w:rPr>
        <w:t xml:space="preserve">transport services with more frequent stopping patterns </w:t>
      </w:r>
      <w:r>
        <w:t>and</w:t>
      </w:r>
      <w:r>
        <w:rPr>
          <w:spacing w:val="-10"/>
        </w:rPr>
        <w:t xml:space="preserve"> </w:t>
      </w:r>
      <w:r>
        <w:t>lower</w:t>
      </w:r>
      <w:r>
        <w:rPr>
          <w:spacing w:val="-10"/>
        </w:rPr>
        <w:t xml:space="preserve"> </w:t>
      </w:r>
      <w:r>
        <w:t>speeds</w:t>
      </w:r>
      <w:r>
        <w:rPr>
          <w:spacing w:val="-10"/>
        </w:rPr>
        <w:t xml:space="preserve"> </w:t>
      </w:r>
      <w:r>
        <w:t>than</w:t>
      </w:r>
      <w:r>
        <w:rPr>
          <w:spacing w:val="-10"/>
        </w:rPr>
        <w:t xml:space="preserve"> </w:t>
      </w:r>
      <w:r>
        <w:t>heavy</w:t>
      </w:r>
      <w:r>
        <w:rPr>
          <w:spacing w:val="-10"/>
        </w:rPr>
        <w:t xml:space="preserve"> </w:t>
      </w:r>
      <w:r>
        <w:t>rail</w:t>
      </w:r>
      <w:r>
        <w:rPr>
          <w:spacing w:val="-10"/>
        </w:rPr>
        <w:t xml:space="preserve"> </w:t>
      </w:r>
      <w:r>
        <w:t>options.</w:t>
      </w:r>
      <w:r>
        <w:rPr>
          <w:spacing w:val="-10"/>
        </w:rPr>
        <w:t xml:space="preserve"> </w:t>
      </w:r>
      <w:r>
        <w:t>Both</w:t>
      </w:r>
      <w:r>
        <w:rPr>
          <w:spacing w:val="-10"/>
        </w:rPr>
        <w:t xml:space="preserve"> </w:t>
      </w:r>
      <w:r>
        <w:t>bus</w:t>
      </w:r>
    </w:p>
    <w:p w:rsidR="002C1123" w:rsidRDefault="00F22F94">
      <w:pPr>
        <w:pStyle w:val="BodyText"/>
        <w:spacing w:before="4" w:line="249" w:lineRule="auto"/>
        <w:ind w:left="492" w:right="28"/>
      </w:pPr>
      <w:r>
        <w:rPr>
          <w:w w:val="95"/>
        </w:rPr>
        <w:t>and</w:t>
      </w:r>
      <w:r>
        <w:rPr>
          <w:spacing w:val="-7"/>
          <w:w w:val="95"/>
        </w:rPr>
        <w:t xml:space="preserve"> </w:t>
      </w:r>
      <w:r>
        <w:rPr>
          <w:w w:val="95"/>
        </w:rPr>
        <w:t>light</w:t>
      </w:r>
      <w:r>
        <w:rPr>
          <w:spacing w:val="-7"/>
          <w:w w:val="95"/>
        </w:rPr>
        <w:t xml:space="preserve"> </w:t>
      </w:r>
      <w:r>
        <w:rPr>
          <w:w w:val="95"/>
        </w:rPr>
        <w:t>rail</w:t>
      </w:r>
      <w:r>
        <w:rPr>
          <w:spacing w:val="-7"/>
          <w:w w:val="95"/>
        </w:rPr>
        <w:t xml:space="preserve"> </w:t>
      </w:r>
      <w:r>
        <w:rPr>
          <w:w w:val="95"/>
        </w:rPr>
        <w:t>can</w:t>
      </w:r>
      <w:r>
        <w:rPr>
          <w:spacing w:val="-7"/>
          <w:w w:val="95"/>
        </w:rPr>
        <w:t xml:space="preserve"> </w:t>
      </w:r>
      <w:r>
        <w:rPr>
          <w:w w:val="95"/>
        </w:rPr>
        <w:t>be</w:t>
      </w:r>
      <w:r>
        <w:rPr>
          <w:spacing w:val="-7"/>
          <w:w w:val="95"/>
        </w:rPr>
        <w:t xml:space="preserve"> </w:t>
      </w:r>
      <w:r>
        <w:rPr>
          <w:w w:val="95"/>
        </w:rPr>
        <w:t>segregated</w:t>
      </w:r>
      <w:r>
        <w:rPr>
          <w:spacing w:val="-7"/>
          <w:w w:val="95"/>
        </w:rPr>
        <w:t xml:space="preserve"> </w:t>
      </w:r>
      <w:r>
        <w:rPr>
          <w:w w:val="95"/>
        </w:rPr>
        <w:t>from</w:t>
      </w:r>
      <w:r>
        <w:rPr>
          <w:spacing w:val="-7"/>
          <w:w w:val="95"/>
        </w:rPr>
        <w:t xml:space="preserve"> </w:t>
      </w:r>
      <w:r>
        <w:rPr>
          <w:w w:val="95"/>
        </w:rPr>
        <w:t>existing</w:t>
      </w:r>
      <w:r>
        <w:rPr>
          <w:spacing w:val="-7"/>
          <w:w w:val="95"/>
        </w:rPr>
        <w:t xml:space="preserve"> </w:t>
      </w:r>
      <w:r>
        <w:rPr>
          <w:w w:val="95"/>
        </w:rPr>
        <w:t>traffic</w:t>
      </w:r>
      <w:r>
        <w:rPr>
          <w:spacing w:val="-7"/>
          <w:w w:val="95"/>
        </w:rPr>
        <w:t xml:space="preserve"> </w:t>
      </w:r>
      <w:r>
        <w:rPr>
          <w:w w:val="95"/>
        </w:rPr>
        <w:t xml:space="preserve">to </w:t>
      </w:r>
      <w:r>
        <w:t>increase</w:t>
      </w:r>
      <w:r>
        <w:rPr>
          <w:spacing w:val="-12"/>
        </w:rPr>
        <w:t xml:space="preserve"> </w:t>
      </w:r>
      <w:r>
        <w:t>journey</w:t>
      </w:r>
      <w:r>
        <w:rPr>
          <w:spacing w:val="-12"/>
        </w:rPr>
        <w:t xml:space="preserve"> </w:t>
      </w:r>
      <w:r>
        <w:t>speed</w:t>
      </w:r>
      <w:r>
        <w:rPr>
          <w:spacing w:val="-12"/>
        </w:rPr>
        <w:t xml:space="preserve"> </w:t>
      </w:r>
      <w:r>
        <w:t>and</w:t>
      </w:r>
      <w:r>
        <w:rPr>
          <w:spacing w:val="-12"/>
        </w:rPr>
        <w:t xml:space="preserve"> </w:t>
      </w:r>
      <w:r>
        <w:t>reliability.</w:t>
      </w:r>
    </w:p>
    <w:p w:rsidR="002C1123" w:rsidRDefault="00F22F94">
      <w:pPr>
        <w:pStyle w:val="BodyText"/>
        <w:spacing w:before="144" w:line="249" w:lineRule="auto"/>
        <w:ind w:left="492" w:right="619"/>
      </w:pPr>
      <w:r>
        <w:t>The</w:t>
      </w:r>
      <w:r>
        <w:rPr>
          <w:spacing w:val="-14"/>
        </w:rPr>
        <w:t xml:space="preserve"> </w:t>
      </w:r>
      <w:r>
        <w:t>concept</w:t>
      </w:r>
      <w:r>
        <w:rPr>
          <w:spacing w:val="-14"/>
        </w:rPr>
        <w:t xml:space="preserve"> </w:t>
      </w:r>
      <w:r>
        <w:t>of</w:t>
      </w:r>
      <w:r>
        <w:rPr>
          <w:spacing w:val="-14"/>
        </w:rPr>
        <w:t xml:space="preserve"> </w:t>
      </w:r>
      <w:r>
        <w:t>expanding</w:t>
      </w:r>
      <w:r>
        <w:rPr>
          <w:spacing w:val="-14"/>
        </w:rPr>
        <w:t xml:space="preserve"> </w:t>
      </w:r>
      <w:r>
        <w:t>light</w:t>
      </w:r>
      <w:r>
        <w:rPr>
          <w:spacing w:val="-14"/>
        </w:rPr>
        <w:t xml:space="preserve"> </w:t>
      </w:r>
      <w:r>
        <w:t>rail,</w:t>
      </w:r>
      <w:r>
        <w:rPr>
          <w:spacing w:val="-14"/>
        </w:rPr>
        <w:t xml:space="preserve"> </w:t>
      </w:r>
      <w:r>
        <w:t xml:space="preserve">particularly </w:t>
      </w:r>
      <w:r>
        <w:rPr>
          <w:w w:val="95"/>
        </w:rPr>
        <w:t>in</w:t>
      </w:r>
      <w:r>
        <w:rPr>
          <w:spacing w:val="-4"/>
          <w:w w:val="95"/>
        </w:rPr>
        <w:t xml:space="preserve"> </w:t>
      </w:r>
      <w:r>
        <w:rPr>
          <w:w w:val="95"/>
        </w:rPr>
        <w:t>the</w:t>
      </w:r>
      <w:r>
        <w:rPr>
          <w:spacing w:val="-4"/>
          <w:w w:val="95"/>
        </w:rPr>
        <w:t xml:space="preserve"> </w:t>
      </w:r>
      <w:r>
        <w:rPr>
          <w:w w:val="95"/>
        </w:rPr>
        <w:t>CBD,</w:t>
      </w:r>
      <w:r>
        <w:rPr>
          <w:spacing w:val="-4"/>
          <w:w w:val="95"/>
        </w:rPr>
        <w:t xml:space="preserve"> </w:t>
      </w:r>
      <w:r>
        <w:rPr>
          <w:w w:val="95"/>
        </w:rPr>
        <w:t>has</w:t>
      </w:r>
      <w:r>
        <w:rPr>
          <w:spacing w:val="-4"/>
          <w:w w:val="95"/>
        </w:rPr>
        <w:t xml:space="preserve"> </w:t>
      </w:r>
      <w:r>
        <w:rPr>
          <w:w w:val="95"/>
        </w:rPr>
        <w:t>been</w:t>
      </w:r>
      <w:r>
        <w:rPr>
          <w:spacing w:val="-4"/>
          <w:w w:val="95"/>
        </w:rPr>
        <w:t xml:space="preserve"> </w:t>
      </w:r>
      <w:r>
        <w:rPr>
          <w:w w:val="95"/>
        </w:rPr>
        <w:t>the</w:t>
      </w:r>
      <w:r>
        <w:rPr>
          <w:spacing w:val="-4"/>
          <w:w w:val="95"/>
        </w:rPr>
        <w:t xml:space="preserve"> </w:t>
      </w:r>
      <w:r>
        <w:rPr>
          <w:w w:val="95"/>
        </w:rPr>
        <w:t>subject</w:t>
      </w:r>
      <w:r>
        <w:rPr>
          <w:spacing w:val="-4"/>
          <w:w w:val="95"/>
        </w:rPr>
        <w:t xml:space="preserve"> </w:t>
      </w:r>
      <w:r>
        <w:rPr>
          <w:w w:val="95"/>
        </w:rPr>
        <w:t>of</w:t>
      </w:r>
      <w:r>
        <w:rPr>
          <w:spacing w:val="-4"/>
          <w:w w:val="95"/>
        </w:rPr>
        <w:t xml:space="preserve"> </w:t>
      </w:r>
      <w:r>
        <w:rPr>
          <w:w w:val="95"/>
        </w:rPr>
        <w:t>much</w:t>
      </w:r>
      <w:r>
        <w:rPr>
          <w:spacing w:val="-4"/>
          <w:w w:val="95"/>
        </w:rPr>
        <w:t xml:space="preserve"> </w:t>
      </w:r>
      <w:r>
        <w:rPr>
          <w:w w:val="95"/>
        </w:rPr>
        <w:t>public</w:t>
      </w:r>
    </w:p>
    <w:p w:rsidR="002C1123" w:rsidRDefault="00F22F94">
      <w:pPr>
        <w:pStyle w:val="BodyText"/>
        <w:spacing w:before="1" w:line="249" w:lineRule="auto"/>
        <w:ind w:left="492" w:right="28"/>
      </w:pPr>
      <w:r>
        <w:rPr>
          <w:w w:val="95"/>
        </w:rPr>
        <w:t>discussion. Modern light rail systems have an upmarket European</w:t>
      </w:r>
      <w:r>
        <w:rPr>
          <w:spacing w:val="-5"/>
          <w:w w:val="95"/>
        </w:rPr>
        <w:t xml:space="preserve"> </w:t>
      </w:r>
      <w:r>
        <w:rPr>
          <w:w w:val="95"/>
        </w:rPr>
        <w:t>style,</w:t>
      </w:r>
      <w:r>
        <w:rPr>
          <w:spacing w:val="-5"/>
          <w:w w:val="95"/>
        </w:rPr>
        <w:t xml:space="preserve"> </w:t>
      </w:r>
      <w:r>
        <w:rPr>
          <w:w w:val="95"/>
        </w:rPr>
        <w:t>provide</w:t>
      </w:r>
      <w:r>
        <w:rPr>
          <w:spacing w:val="-5"/>
          <w:w w:val="95"/>
        </w:rPr>
        <w:t xml:space="preserve"> </w:t>
      </w:r>
      <w:r>
        <w:rPr>
          <w:w w:val="95"/>
        </w:rPr>
        <w:t>a</w:t>
      </w:r>
      <w:r>
        <w:rPr>
          <w:spacing w:val="-5"/>
          <w:w w:val="95"/>
        </w:rPr>
        <w:t xml:space="preserve"> </w:t>
      </w:r>
      <w:r>
        <w:rPr>
          <w:w w:val="95"/>
        </w:rPr>
        <w:t>smoother</w:t>
      </w:r>
      <w:r>
        <w:rPr>
          <w:spacing w:val="-5"/>
          <w:w w:val="95"/>
        </w:rPr>
        <w:t xml:space="preserve"> </w:t>
      </w:r>
      <w:r>
        <w:rPr>
          <w:w w:val="95"/>
        </w:rPr>
        <w:t>ride</w:t>
      </w:r>
      <w:r>
        <w:rPr>
          <w:spacing w:val="-5"/>
          <w:w w:val="95"/>
        </w:rPr>
        <w:t xml:space="preserve"> </w:t>
      </w:r>
      <w:r>
        <w:rPr>
          <w:w w:val="95"/>
        </w:rPr>
        <w:t>for</w:t>
      </w:r>
      <w:r>
        <w:rPr>
          <w:spacing w:val="-5"/>
          <w:w w:val="95"/>
        </w:rPr>
        <w:t xml:space="preserve"> </w:t>
      </w:r>
      <w:r>
        <w:rPr>
          <w:w w:val="95"/>
        </w:rPr>
        <w:t>passengers,</w:t>
      </w:r>
    </w:p>
    <w:p w:rsidR="002C1123" w:rsidRDefault="00F22F94">
      <w:pPr>
        <w:pStyle w:val="BodyText"/>
        <w:spacing w:before="129" w:line="249" w:lineRule="auto"/>
        <w:ind w:left="199" w:right="5756"/>
      </w:pPr>
      <w:r>
        <w:br w:type="column"/>
      </w:r>
      <w:r>
        <w:rPr>
          <w:w w:val="95"/>
        </w:rPr>
        <w:t>and</w:t>
      </w:r>
      <w:r>
        <w:rPr>
          <w:spacing w:val="-2"/>
          <w:w w:val="95"/>
        </w:rPr>
        <w:t xml:space="preserve"> </w:t>
      </w:r>
      <w:r>
        <w:rPr>
          <w:w w:val="95"/>
        </w:rPr>
        <w:t>offer</w:t>
      </w:r>
      <w:r>
        <w:rPr>
          <w:spacing w:val="-2"/>
          <w:w w:val="95"/>
        </w:rPr>
        <w:t xml:space="preserve"> </w:t>
      </w:r>
      <w:r>
        <w:rPr>
          <w:w w:val="95"/>
        </w:rPr>
        <w:t>improved</w:t>
      </w:r>
      <w:r>
        <w:rPr>
          <w:spacing w:val="-2"/>
          <w:w w:val="95"/>
        </w:rPr>
        <w:t xml:space="preserve"> </w:t>
      </w:r>
      <w:r>
        <w:rPr>
          <w:w w:val="95"/>
        </w:rPr>
        <w:t>urban</w:t>
      </w:r>
      <w:r>
        <w:rPr>
          <w:spacing w:val="-2"/>
          <w:w w:val="95"/>
        </w:rPr>
        <w:t xml:space="preserve"> </w:t>
      </w:r>
      <w:r>
        <w:rPr>
          <w:w w:val="95"/>
        </w:rPr>
        <w:t>amenity</w:t>
      </w:r>
      <w:r>
        <w:rPr>
          <w:spacing w:val="-2"/>
          <w:w w:val="95"/>
        </w:rPr>
        <w:t xml:space="preserve"> </w:t>
      </w:r>
      <w:r>
        <w:rPr>
          <w:w w:val="95"/>
        </w:rPr>
        <w:t>(without</w:t>
      </w:r>
      <w:r>
        <w:rPr>
          <w:spacing w:val="-2"/>
          <w:w w:val="95"/>
        </w:rPr>
        <w:t xml:space="preserve"> </w:t>
      </w:r>
      <w:r>
        <w:rPr>
          <w:w w:val="95"/>
        </w:rPr>
        <w:t>the</w:t>
      </w:r>
      <w:r>
        <w:rPr>
          <w:spacing w:val="-2"/>
          <w:w w:val="95"/>
        </w:rPr>
        <w:t xml:space="preserve"> </w:t>
      </w:r>
      <w:r>
        <w:rPr>
          <w:w w:val="95"/>
        </w:rPr>
        <w:t xml:space="preserve">pollution </w:t>
      </w:r>
      <w:r>
        <w:t>and</w:t>
      </w:r>
      <w:r>
        <w:rPr>
          <w:spacing w:val="-1"/>
        </w:rPr>
        <w:t xml:space="preserve"> </w:t>
      </w:r>
      <w:r>
        <w:t>noise</w:t>
      </w:r>
      <w:r>
        <w:rPr>
          <w:spacing w:val="-1"/>
        </w:rPr>
        <w:t xml:space="preserve"> </w:t>
      </w:r>
      <w:r>
        <w:t>of</w:t>
      </w:r>
      <w:r>
        <w:rPr>
          <w:spacing w:val="-1"/>
        </w:rPr>
        <w:t xml:space="preserve"> </w:t>
      </w:r>
      <w:r>
        <w:t>diesel</w:t>
      </w:r>
      <w:r>
        <w:rPr>
          <w:spacing w:val="-1"/>
        </w:rPr>
        <w:t xml:space="preserve"> </w:t>
      </w:r>
      <w:r>
        <w:t>buses).</w:t>
      </w:r>
    </w:p>
    <w:p w:rsidR="002C1123" w:rsidRDefault="00F22F94">
      <w:pPr>
        <w:pStyle w:val="BodyText"/>
        <w:spacing w:before="143" w:line="249" w:lineRule="auto"/>
        <w:ind w:left="199" w:right="5922"/>
      </w:pPr>
      <w:r>
        <w:rPr>
          <w:w w:val="95"/>
        </w:rPr>
        <w:t>Light</w:t>
      </w:r>
      <w:r>
        <w:rPr>
          <w:spacing w:val="-12"/>
          <w:w w:val="95"/>
        </w:rPr>
        <w:t xml:space="preserve"> </w:t>
      </w:r>
      <w:r>
        <w:rPr>
          <w:w w:val="95"/>
        </w:rPr>
        <w:t>rail</w:t>
      </w:r>
      <w:r>
        <w:rPr>
          <w:spacing w:val="-11"/>
          <w:w w:val="95"/>
        </w:rPr>
        <w:t xml:space="preserve"> </w:t>
      </w:r>
      <w:r>
        <w:rPr>
          <w:w w:val="95"/>
        </w:rPr>
        <w:t>is</w:t>
      </w:r>
      <w:r>
        <w:rPr>
          <w:spacing w:val="-11"/>
          <w:w w:val="95"/>
        </w:rPr>
        <w:t xml:space="preserve"> </w:t>
      </w:r>
      <w:r>
        <w:rPr>
          <w:w w:val="95"/>
        </w:rPr>
        <w:t>however,</w:t>
      </w:r>
      <w:r>
        <w:rPr>
          <w:spacing w:val="-11"/>
          <w:w w:val="95"/>
        </w:rPr>
        <w:t xml:space="preserve"> </w:t>
      </w:r>
      <w:r>
        <w:rPr>
          <w:w w:val="95"/>
        </w:rPr>
        <w:t>significantly</w:t>
      </w:r>
      <w:r>
        <w:rPr>
          <w:spacing w:val="-11"/>
          <w:w w:val="95"/>
        </w:rPr>
        <w:t xml:space="preserve"> </w:t>
      </w:r>
      <w:r>
        <w:rPr>
          <w:w w:val="95"/>
        </w:rPr>
        <w:t>more</w:t>
      </w:r>
      <w:r>
        <w:rPr>
          <w:spacing w:val="-11"/>
          <w:w w:val="95"/>
        </w:rPr>
        <w:t xml:space="preserve"> </w:t>
      </w:r>
      <w:r>
        <w:rPr>
          <w:w w:val="95"/>
        </w:rPr>
        <w:t>expensive</w:t>
      </w:r>
      <w:r>
        <w:rPr>
          <w:spacing w:val="-11"/>
          <w:w w:val="95"/>
        </w:rPr>
        <w:t xml:space="preserve"> </w:t>
      </w:r>
      <w:r>
        <w:rPr>
          <w:w w:val="95"/>
        </w:rPr>
        <w:t xml:space="preserve">than </w:t>
      </w:r>
      <w:r>
        <w:t>bus</w:t>
      </w:r>
      <w:r>
        <w:rPr>
          <w:spacing w:val="-14"/>
        </w:rPr>
        <w:t xml:space="preserve"> </w:t>
      </w:r>
      <w:r>
        <w:t>services,</w:t>
      </w:r>
      <w:r>
        <w:rPr>
          <w:spacing w:val="-14"/>
        </w:rPr>
        <w:t xml:space="preserve"> </w:t>
      </w:r>
      <w:r>
        <w:t>has</w:t>
      </w:r>
      <w:r>
        <w:rPr>
          <w:spacing w:val="-14"/>
        </w:rPr>
        <w:t xml:space="preserve"> </w:t>
      </w:r>
      <w:r>
        <w:t>no</w:t>
      </w:r>
      <w:r>
        <w:rPr>
          <w:spacing w:val="-14"/>
        </w:rPr>
        <w:t xml:space="preserve"> </w:t>
      </w:r>
      <w:r>
        <w:t>material</w:t>
      </w:r>
      <w:r>
        <w:rPr>
          <w:spacing w:val="-14"/>
        </w:rPr>
        <w:t xml:space="preserve"> </w:t>
      </w:r>
      <w:r>
        <w:t>speed</w:t>
      </w:r>
      <w:r>
        <w:rPr>
          <w:spacing w:val="-14"/>
        </w:rPr>
        <w:t xml:space="preserve"> </w:t>
      </w:r>
      <w:r>
        <w:t>benefits,</w:t>
      </w:r>
      <w:r>
        <w:rPr>
          <w:spacing w:val="-14"/>
        </w:rPr>
        <w:t xml:space="preserve"> </w:t>
      </w:r>
      <w:r>
        <w:t>is</w:t>
      </w:r>
      <w:r>
        <w:rPr>
          <w:spacing w:val="-14"/>
        </w:rPr>
        <w:t xml:space="preserve"> </w:t>
      </w:r>
      <w:r>
        <w:t xml:space="preserve">less </w:t>
      </w:r>
      <w:r>
        <w:rPr>
          <w:w w:val="95"/>
        </w:rPr>
        <w:t>flexible</w:t>
      </w:r>
      <w:r>
        <w:rPr>
          <w:spacing w:val="-8"/>
          <w:w w:val="95"/>
        </w:rPr>
        <w:t xml:space="preserve"> </w:t>
      </w:r>
      <w:r>
        <w:rPr>
          <w:w w:val="95"/>
        </w:rPr>
        <w:t>in</w:t>
      </w:r>
      <w:r>
        <w:rPr>
          <w:spacing w:val="-8"/>
          <w:w w:val="95"/>
        </w:rPr>
        <w:t xml:space="preserve"> </w:t>
      </w:r>
      <w:r>
        <w:rPr>
          <w:w w:val="95"/>
        </w:rPr>
        <w:t>traffic</w:t>
      </w:r>
      <w:r>
        <w:rPr>
          <w:spacing w:val="-8"/>
          <w:w w:val="95"/>
        </w:rPr>
        <w:t xml:space="preserve"> </w:t>
      </w:r>
      <w:r>
        <w:rPr>
          <w:w w:val="95"/>
        </w:rPr>
        <w:t>and</w:t>
      </w:r>
      <w:r>
        <w:rPr>
          <w:spacing w:val="-8"/>
          <w:w w:val="95"/>
        </w:rPr>
        <w:t xml:space="preserve"> </w:t>
      </w:r>
      <w:r>
        <w:rPr>
          <w:w w:val="95"/>
        </w:rPr>
        <w:t>if</w:t>
      </w:r>
      <w:r>
        <w:rPr>
          <w:spacing w:val="-8"/>
          <w:w w:val="95"/>
        </w:rPr>
        <w:t xml:space="preserve"> </w:t>
      </w:r>
      <w:r>
        <w:rPr>
          <w:w w:val="95"/>
        </w:rPr>
        <w:t>service</w:t>
      </w:r>
      <w:r>
        <w:rPr>
          <w:spacing w:val="-8"/>
          <w:w w:val="95"/>
        </w:rPr>
        <w:t xml:space="preserve"> </w:t>
      </w:r>
      <w:r>
        <w:rPr>
          <w:w w:val="95"/>
        </w:rPr>
        <w:t>reforms</w:t>
      </w:r>
      <w:r>
        <w:rPr>
          <w:spacing w:val="-8"/>
          <w:w w:val="95"/>
        </w:rPr>
        <w:t xml:space="preserve"> </w:t>
      </w:r>
      <w:r>
        <w:rPr>
          <w:w w:val="95"/>
        </w:rPr>
        <w:t>to</w:t>
      </w:r>
      <w:r>
        <w:rPr>
          <w:spacing w:val="-8"/>
          <w:w w:val="95"/>
        </w:rPr>
        <w:t xml:space="preserve"> </w:t>
      </w:r>
      <w:r>
        <w:rPr>
          <w:w w:val="95"/>
        </w:rPr>
        <w:t>the</w:t>
      </w:r>
      <w:r>
        <w:rPr>
          <w:spacing w:val="-8"/>
          <w:w w:val="95"/>
        </w:rPr>
        <w:t xml:space="preserve"> </w:t>
      </w:r>
      <w:r>
        <w:rPr>
          <w:w w:val="95"/>
        </w:rPr>
        <w:t xml:space="preserve">operation of CBD bus services are implemented, does not offer </w:t>
      </w:r>
      <w:r>
        <w:t>significantly greater capacity.</w:t>
      </w:r>
    </w:p>
    <w:p w:rsidR="002C1123" w:rsidRDefault="00F22F94">
      <w:pPr>
        <w:pStyle w:val="BodyText"/>
        <w:spacing w:before="146" w:line="249" w:lineRule="auto"/>
        <w:ind w:left="199" w:right="5756"/>
      </w:pPr>
      <w:r>
        <w:rPr>
          <w:w w:val="95"/>
        </w:rPr>
        <w:t>As</w:t>
      </w:r>
      <w:r>
        <w:rPr>
          <w:spacing w:val="-1"/>
          <w:w w:val="95"/>
        </w:rPr>
        <w:t xml:space="preserve"> </w:t>
      </w:r>
      <w:r>
        <w:rPr>
          <w:w w:val="95"/>
        </w:rPr>
        <w:t>an</w:t>
      </w:r>
      <w:r>
        <w:rPr>
          <w:spacing w:val="-1"/>
          <w:w w:val="95"/>
        </w:rPr>
        <w:t xml:space="preserve"> </w:t>
      </w:r>
      <w:r>
        <w:rPr>
          <w:w w:val="95"/>
        </w:rPr>
        <w:t>example,</w:t>
      </w:r>
      <w:r>
        <w:rPr>
          <w:spacing w:val="-1"/>
          <w:w w:val="95"/>
        </w:rPr>
        <w:t xml:space="preserve"> </w:t>
      </w:r>
      <w:r>
        <w:rPr>
          <w:w w:val="95"/>
        </w:rPr>
        <w:t>light</w:t>
      </w:r>
      <w:r>
        <w:rPr>
          <w:spacing w:val="-1"/>
          <w:w w:val="95"/>
        </w:rPr>
        <w:t xml:space="preserve"> </w:t>
      </w:r>
      <w:r>
        <w:rPr>
          <w:w w:val="95"/>
        </w:rPr>
        <w:t>rail</w:t>
      </w:r>
      <w:r>
        <w:rPr>
          <w:spacing w:val="-1"/>
          <w:w w:val="95"/>
        </w:rPr>
        <w:t xml:space="preserve"> </w:t>
      </w:r>
      <w:r>
        <w:rPr>
          <w:w w:val="95"/>
        </w:rPr>
        <w:t>vehicles</w:t>
      </w:r>
      <w:r>
        <w:rPr>
          <w:spacing w:val="-1"/>
          <w:w w:val="95"/>
        </w:rPr>
        <w:t xml:space="preserve"> </w:t>
      </w:r>
      <w:r>
        <w:rPr>
          <w:w w:val="95"/>
        </w:rPr>
        <w:t>of</w:t>
      </w:r>
      <w:r>
        <w:rPr>
          <w:spacing w:val="-1"/>
          <w:w w:val="95"/>
        </w:rPr>
        <w:t xml:space="preserve"> </w:t>
      </w:r>
      <w:r>
        <w:rPr>
          <w:w w:val="95"/>
        </w:rPr>
        <w:t>45</w:t>
      </w:r>
      <w:r>
        <w:rPr>
          <w:spacing w:val="-1"/>
          <w:w w:val="95"/>
        </w:rPr>
        <w:t xml:space="preserve"> </w:t>
      </w:r>
      <w:r>
        <w:rPr>
          <w:w w:val="95"/>
        </w:rPr>
        <w:t>metres</w:t>
      </w:r>
      <w:r>
        <w:rPr>
          <w:spacing w:val="-1"/>
          <w:w w:val="95"/>
        </w:rPr>
        <w:t xml:space="preserve"> </w:t>
      </w:r>
      <w:r>
        <w:rPr>
          <w:w w:val="95"/>
        </w:rPr>
        <w:t>in</w:t>
      </w:r>
      <w:r>
        <w:rPr>
          <w:spacing w:val="-1"/>
          <w:w w:val="95"/>
        </w:rPr>
        <w:t xml:space="preserve"> </w:t>
      </w:r>
      <w:r>
        <w:rPr>
          <w:w w:val="95"/>
        </w:rPr>
        <w:t xml:space="preserve">length </w:t>
      </w:r>
      <w:r>
        <w:t>have</w:t>
      </w:r>
      <w:r>
        <w:rPr>
          <w:spacing w:val="-11"/>
        </w:rPr>
        <w:t xml:space="preserve"> </w:t>
      </w:r>
      <w:r>
        <w:t>a</w:t>
      </w:r>
      <w:r>
        <w:rPr>
          <w:spacing w:val="-11"/>
        </w:rPr>
        <w:t xml:space="preserve"> </w:t>
      </w:r>
      <w:r>
        <w:t>greater</w:t>
      </w:r>
      <w:r>
        <w:rPr>
          <w:spacing w:val="-11"/>
        </w:rPr>
        <w:t xml:space="preserve"> </w:t>
      </w:r>
      <w:r>
        <w:t>capacity</w:t>
      </w:r>
      <w:r>
        <w:rPr>
          <w:spacing w:val="-11"/>
        </w:rPr>
        <w:t xml:space="preserve"> </w:t>
      </w:r>
      <w:r>
        <w:t>than</w:t>
      </w:r>
      <w:r>
        <w:rPr>
          <w:spacing w:val="-11"/>
        </w:rPr>
        <w:t xml:space="preserve"> </w:t>
      </w:r>
      <w:r>
        <w:t>a</w:t>
      </w:r>
      <w:r>
        <w:rPr>
          <w:spacing w:val="-11"/>
        </w:rPr>
        <w:t xml:space="preserve"> </w:t>
      </w:r>
      <w:r>
        <w:t>high</w:t>
      </w:r>
      <w:r>
        <w:rPr>
          <w:spacing w:val="-11"/>
        </w:rPr>
        <w:t xml:space="preserve"> </w:t>
      </w:r>
      <w:r>
        <w:t>capacity</w:t>
      </w:r>
      <w:r>
        <w:rPr>
          <w:spacing w:val="-11"/>
        </w:rPr>
        <w:t xml:space="preserve"> </w:t>
      </w:r>
      <w:r>
        <w:t xml:space="preserve">bus, </w:t>
      </w:r>
      <w:r>
        <w:rPr>
          <w:w w:val="95"/>
        </w:rPr>
        <w:t>however</w:t>
      </w:r>
      <w:r>
        <w:rPr>
          <w:spacing w:val="-4"/>
          <w:w w:val="95"/>
        </w:rPr>
        <w:t xml:space="preserve"> </w:t>
      </w:r>
      <w:r>
        <w:rPr>
          <w:w w:val="95"/>
        </w:rPr>
        <w:t>high</w:t>
      </w:r>
      <w:r>
        <w:rPr>
          <w:spacing w:val="-4"/>
          <w:w w:val="95"/>
        </w:rPr>
        <w:t xml:space="preserve"> </w:t>
      </w:r>
      <w:r>
        <w:rPr>
          <w:w w:val="95"/>
        </w:rPr>
        <w:t>capacity</w:t>
      </w:r>
      <w:r>
        <w:rPr>
          <w:spacing w:val="-4"/>
          <w:w w:val="95"/>
        </w:rPr>
        <w:t xml:space="preserve"> </w:t>
      </w:r>
      <w:r>
        <w:rPr>
          <w:w w:val="95"/>
        </w:rPr>
        <w:t>buses</w:t>
      </w:r>
      <w:r>
        <w:rPr>
          <w:spacing w:val="-4"/>
          <w:w w:val="95"/>
        </w:rPr>
        <w:t xml:space="preserve"> </w:t>
      </w:r>
      <w:r>
        <w:rPr>
          <w:w w:val="95"/>
        </w:rPr>
        <w:t>can</w:t>
      </w:r>
      <w:r>
        <w:rPr>
          <w:spacing w:val="-4"/>
          <w:w w:val="95"/>
        </w:rPr>
        <w:t xml:space="preserve"> </w:t>
      </w:r>
      <w:r>
        <w:rPr>
          <w:w w:val="95"/>
        </w:rPr>
        <w:t>be</w:t>
      </w:r>
      <w:r>
        <w:rPr>
          <w:spacing w:val="-4"/>
          <w:w w:val="95"/>
        </w:rPr>
        <w:t xml:space="preserve"> </w:t>
      </w:r>
      <w:r>
        <w:rPr>
          <w:w w:val="95"/>
        </w:rPr>
        <w:t>run</w:t>
      </w:r>
      <w:r>
        <w:rPr>
          <w:spacing w:val="-4"/>
          <w:w w:val="95"/>
        </w:rPr>
        <w:t xml:space="preserve"> </w:t>
      </w:r>
      <w:r>
        <w:rPr>
          <w:w w:val="95"/>
        </w:rPr>
        <w:t>more</w:t>
      </w:r>
      <w:r>
        <w:rPr>
          <w:spacing w:val="-4"/>
          <w:w w:val="95"/>
        </w:rPr>
        <w:t xml:space="preserve"> </w:t>
      </w:r>
      <w:r>
        <w:rPr>
          <w:w w:val="95"/>
        </w:rPr>
        <w:t xml:space="preserve">regularly </w:t>
      </w:r>
      <w:r>
        <w:t>than light rail to meet demand.</w:t>
      </w:r>
    </w:p>
    <w:p w:rsidR="002C1123" w:rsidRDefault="00F22F94">
      <w:pPr>
        <w:pStyle w:val="BodyText"/>
        <w:spacing w:before="145" w:line="249" w:lineRule="auto"/>
        <w:ind w:left="199" w:right="5802"/>
      </w:pPr>
      <w:r>
        <w:rPr>
          <w:w w:val="95"/>
        </w:rPr>
        <w:t xml:space="preserve">Cost and delivery challenges mean light rail will only be </w:t>
      </w:r>
      <w:r>
        <w:t>a</w:t>
      </w:r>
      <w:r>
        <w:rPr>
          <w:spacing w:val="-14"/>
        </w:rPr>
        <w:t xml:space="preserve"> </w:t>
      </w:r>
      <w:r>
        <w:t>viable</w:t>
      </w:r>
      <w:r>
        <w:rPr>
          <w:spacing w:val="-14"/>
        </w:rPr>
        <w:t xml:space="preserve"> </w:t>
      </w:r>
      <w:r>
        <w:t>option</w:t>
      </w:r>
      <w:r>
        <w:rPr>
          <w:spacing w:val="-14"/>
        </w:rPr>
        <w:t xml:space="preserve"> </w:t>
      </w:r>
      <w:r>
        <w:t>over</w:t>
      </w:r>
      <w:r>
        <w:rPr>
          <w:spacing w:val="-14"/>
        </w:rPr>
        <w:t xml:space="preserve"> </w:t>
      </w:r>
      <w:r>
        <w:t>the</w:t>
      </w:r>
      <w:r>
        <w:rPr>
          <w:spacing w:val="-14"/>
        </w:rPr>
        <w:t xml:space="preserve"> </w:t>
      </w:r>
      <w:r>
        <w:t>next</w:t>
      </w:r>
      <w:r>
        <w:rPr>
          <w:spacing w:val="-14"/>
        </w:rPr>
        <w:t xml:space="preserve"> </w:t>
      </w:r>
      <w:r>
        <w:t>twenty</w:t>
      </w:r>
      <w:r>
        <w:rPr>
          <w:spacing w:val="-14"/>
        </w:rPr>
        <w:t xml:space="preserve"> </w:t>
      </w:r>
      <w:r>
        <w:t>years</w:t>
      </w:r>
      <w:r>
        <w:rPr>
          <w:spacing w:val="-14"/>
        </w:rPr>
        <w:t xml:space="preserve"> </w:t>
      </w:r>
      <w:r>
        <w:t>in</w:t>
      </w:r>
      <w:r>
        <w:rPr>
          <w:spacing w:val="-14"/>
        </w:rPr>
        <w:t xml:space="preserve"> </w:t>
      </w:r>
      <w:r>
        <w:t xml:space="preserve">Sydney </w:t>
      </w:r>
      <w:r>
        <w:rPr>
          <w:w w:val="95"/>
        </w:rPr>
        <w:t>compared</w:t>
      </w:r>
      <w:r>
        <w:rPr>
          <w:spacing w:val="-1"/>
          <w:w w:val="95"/>
        </w:rPr>
        <w:t xml:space="preserve"> </w:t>
      </w:r>
      <w:r>
        <w:rPr>
          <w:w w:val="95"/>
        </w:rPr>
        <w:t>to</w:t>
      </w:r>
      <w:r>
        <w:rPr>
          <w:spacing w:val="-1"/>
          <w:w w:val="95"/>
        </w:rPr>
        <w:t xml:space="preserve"> </w:t>
      </w:r>
      <w:r>
        <w:rPr>
          <w:w w:val="95"/>
        </w:rPr>
        <w:t>buses</w:t>
      </w:r>
      <w:r>
        <w:rPr>
          <w:spacing w:val="-1"/>
          <w:w w:val="95"/>
        </w:rPr>
        <w:t xml:space="preserve"> </w:t>
      </w:r>
      <w:r>
        <w:rPr>
          <w:w w:val="95"/>
        </w:rPr>
        <w:t>on</w:t>
      </w:r>
      <w:r>
        <w:rPr>
          <w:spacing w:val="-1"/>
          <w:w w:val="95"/>
        </w:rPr>
        <w:t xml:space="preserve"> </w:t>
      </w:r>
      <w:r>
        <w:rPr>
          <w:w w:val="95"/>
        </w:rPr>
        <w:t>a</w:t>
      </w:r>
      <w:r>
        <w:rPr>
          <w:spacing w:val="-1"/>
          <w:w w:val="95"/>
        </w:rPr>
        <w:t xml:space="preserve"> </w:t>
      </w:r>
      <w:r>
        <w:rPr>
          <w:w w:val="95"/>
        </w:rPr>
        <w:t>very</w:t>
      </w:r>
      <w:r>
        <w:rPr>
          <w:spacing w:val="-1"/>
          <w:w w:val="95"/>
        </w:rPr>
        <w:t xml:space="preserve"> </w:t>
      </w:r>
      <w:r>
        <w:rPr>
          <w:w w:val="95"/>
        </w:rPr>
        <w:t>small</w:t>
      </w:r>
      <w:r>
        <w:rPr>
          <w:spacing w:val="-1"/>
          <w:w w:val="95"/>
        </w:rPr>
        <w:t xml:space="preserve"> </w:t>
      </w:r>
      <w:r>
        <w:rPr>
          <w:w w:val="95"/>
        </w:rPr>
        <w:t>number</w:t>
      </w:r>
      <w:r>
        <w:rPr>
          <w:spacing w:val="-1"/>
          <w:w w:val="95"/>
        </w:rPr>
        <w:t xml:space="preserve"> </w:t>
      </w:r>
      <w:r>
        <w:rPr>
          <w:w w:val="95"/>
        </w:rPr>
        <w:t>of</w:t>
      </w:r>
      <w:r>
        <w:rPr>
          <w:spacing w:val="-1"/>
          <w:w w:val="95"/>
        </w:rPr>
        <w:t xml:space="preserve"> </w:t>
      </w:r>
      <w:r>
        <w:rPr>
          <w:w w:val="95"/>
        </w:rPr>
        <w:t>corridors.</w:t>
      </w:r>
    </w:p>
    <w:p w:rsidR="002C1123" w:rsidRDefault="002C1123">
      <w:pPr>
        <w:spacing w:line="249" w:lineRule="auto"/>
        <w:sectPr w:rsidR="002C1123">
          <w:type w:val="continuous"/>
          <w:pgSz w:w="16840" w:h="11910" w:orient="landscape"/>
          <w:pgMar w:top="560" w:right="280" w:bottom="280" w:left="500" w:header="0" w:footer="517" w:gutter="0"/>
          <w:cols w:num="2" w:space="720" w:equalWidth="0">
            <w:col w:w="5280" w:space="40"/>
            <w:col w:w="10740"/>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7"/>
        </w:rPr>
      </w:pPr>
    </w:p>
    <w:p w:rsidR="002C1123" w:rsidRDefault="002060EF">
      <w:pPr>
        <w:pStyle w:val="Heading5"/>
        <w:numPr>
          <w:ilvl w:val="1"/>
          <w:numId w:val="92"/>
        </w:numPr>
        <w:tabs>
          <w:tab w:val="left" w:pos="942"/>
        </w:tabs>
        <w:spacing w:before="129" w:line="223" w:lineRule="auto"/>
        <w:ind w:right="12106"/>
        <w:jc w:val="left"/>
      </w:pPr>
      <w:r>
        <w:pict>
          <v:group id="docshapegroup1224" o:spid="_x0000_s3987" style="position:absolute;left:0;text-align:left;margin-left:300.95pt;margin-top:9.55pt;width:491.35pt;height:410.85pt;z-index:251380736;mso-position-horizontal-relative:page" coordorigin="6019,191" coordsize="9827,8217">
            <v:shape id="docshape1225" o:spid="_x0000_s4029" type="#_x0000_t75" style="position:absolute;left:6018;top:190;width:9827;height:8217">
              <v:imagedata r:id="rId150" o:title=""/>
            </v:shape>
            <v:shape id="docshape1226" o:spid="_x0000_s4028" type="#_x0000_t75" style="position:absolute;left:11154;top:4016;width:48;height:128">
              <v:imagedata r:id="rId151" o:title=""/>
            </v:shape>
            <v:shape id="docshape1227" o:spid="_x0000_s4027" type="#_x0000_t202" style="position:absolute;left:6132;top:298;width:3047;height:431" filled="f" stroked="f">
              <v:textbox inset="0,0,0,0">
                <w:txbxContent>
                  <w:p w:rsidR="00F22F94" w:rsidRDefault="00F22F94">
                    <w:pPr>
                      <w:spacing w:before="2" w:line="249" w:lineRule="auto"/>
                      <w:rPr>
                        <w:b/>
                        <w:sz w:val="18"/>
                      </w:rPr>
                    </w:pPr>
                    <w:r>
                      <w:rPr>
                        <w:b/>
                        <w:sz w:val="18"/>
                      </w:rPr>
                      <w:t>Figure</w:t>
                    </w:r>
                    <w:r>
                      <w:rPr>
                        <w:b/>
                        <w:spacing w:val="-6"/>
                        <w:sz w:val="18"/>
                      </w:rPr>
                      <w:t xml:space="preserve"> </w:t>
                    </w:r>
                    <w:r>
                      <w:rPr>
                        <w:b/>
                        <w:sz w:val="18"/>
                      </w:rPr>
                      <w:t>7.1</w:t>
                    </w:r>
                    <w:r>
                      <w:rPr>
                        <w:b/>
                        <w:spacing w:val="38"/>
                        <w:sz w:val="18"/>
                      </w:rPr>
                      <w:t xml:space="preserve"> </w:t>
                    </w:r>
                    <w:r>
                      <w:rPr>
                        <w:b/>
                        <w:sz w:val="18"/>
                      </w:rPr>
                      <w:t>Peak</w:t>
                    </w:r>
                    <w:r>
                      <w:rPr>
                        <w:b/>
                        <w:spacing w:val="-6"/>
                        <w:sz w:val="18"/>
                      </w:rPr>
                      <w:t xml:space="preserve"> </w:t>
                    </w:r>
                    <w:r>
                      <w:rPr>
                        <w:b/>
                        <w:sz w:val="18"/>
                      </w:rPr>
                      <w:t>2</w:t>
                    </w:r>
                    <w:r>
                      <w:rPr>
                        <w:b/>
                        <w:spacing w:val="-6"/>
                        <w:sz w:val="18"/>
                      </w:rPr>
                      <w:t xml:space="preserve"> </w:t>
                    </w:r>
                    <w:r>
                      <w:rPr>
                        <w:b/>
                        <w:sz w:val="18"/>
                      </w:rPr>
                      <w:t>hour</w:t>
                    </w:r>
                    <w:r>
                      <w:rPr>
                        <w:b/>
                        <w:spacing w:val="-6"/>
                        <w:sz w:val="18"/>
                      </w:rPr>
                      <w:t xml:space="preserve"> </w:t>
                    </w:r>
                    <w:r>
                      <w:rPr>
                        <w:b/>
                        <w:sz w:val="18"/>
                      </w:rPr>
                      <w:t>traffic</w:t>
                    </w:r>
                    <w:r>
                      <w:rPr>
                        <w:b/>
                        <w:spacing w:val="-7"/>
                        <w:sz w:val="18"/>
                      </w:rPr>
                      <w:t xml:space="preserve"> </w:t>
                    </w:r>
                    <w:r>
                      <w:rPr>
                        <w:b/>
                        <w:sz w:val="18"/>
                      </w:rPr>
                      <w:t>flows into the CBD</w:t>
                    </w:r>
                  </w:p>
                </w:txbxContent>
              </v:textbox>
            </v:shape>
            <v:shape id="docshape1228" o:spid="_x0000_s4026" type="#_x0000_t202" style="position:absolute;left:10009;top:371;width:234;height:181" filled="f" stroked="f">
              <v:textbox inset="0,0,0,0">
                <w:txbxContent>
                  <w:p w:rsidR="00F22F94" w:rsidRDefault="00F22F94">
                    <w:pPr>
                      <w:spacing w:line="181" w:lineRule="exact"/>
                      <w:rPr>
                        <w:sz w:val="16"/>
                      </w:rPr>
                    </w:pPr>
                    <w:r>
                      <w:rPr>
                        <w:spacing w:val="-5"/>
                        <w:w w:val="80"/>
                        <w:sz w:val="16"/>
                      </w:rPr>
                      <w:t>Bus</w:t>
                    </w:r>
                  </w:p>
                </w:txbxContent>
              </v:textbox>
            </v:shape>
            <v:shape id="docshape1229" o:spid="_x0000_s4025" type="#_x0000_t202" style="position:absolute;left:11398;top:371;width:228;height:181" filled="f" stroked="f">
              <v:textbox inset="0,0,0,0">
                <w:txbxContent>
                  <w:p w:rsidR="00F22F94" w:rsidRDefault="00F22F94">
                    <w:pPr>
                      <w:spacing w:line="181" w:lineRule="exact"/>
                      <w:rPr>
                        <w:sz w:val="16"/>
                      </w:rPr>
                    </w:pPr>
                    <w:r>
                      <w:rPr>
                        <w:spacing w:val="-4"/>
                        <w:w w:val="80"/>
                        <w:sz w:val="16"/>
                      </w:rPr>
                      <w:t>Rail</w:t>
                    </w:r>
                  </w:p>
                </w:txbxContent>
              </v:textbox>
            </v:shape>
            <v:shape id="docshape1230" o:spid="_x0000_s4024" type="#_x0000_t202" style="position:absolute;left:12872;top:967;width:305;height:181" filled="f" stroked="f">
              <v:textbox inset="0,0,0,0">
                <w:txbxContent>
                  <w:p w:rsidR="00F22F94" w:rsidRDefault="00F22F94">
                    <w:pPr>
                      <w:spacing w:line="181" w:lineRule="exact"/>
                      <w:rPr>
                        <w:sz w:val="16"/>
                      </w:rPr>
                    </w:pPr>
                    <w:r>
                      <w:rPr>
                        <w:spacing w:val="-4"/>
                        <w:w w:val="80"/>
                        <w:sz w:val="16"/>
                      </w:rPr>
                      <w:t>Ferry</w:t>
                    </w:r>
                  </w:p>
                </w:txbxContent>
              </v:textbox>
            </v:shape>
            <v:shape id="docshape1231" o:spid="_x0000_s4023" type="#_x0000_t202" style="position:absolute;left:11075;top:1703;width:174;height:184" filled="f" stroked="f">
              <v:textbox inset="0,0,0,0">
                <w:txbxContent>
                  <w:p w:rsidR="00F22F94" w:rsidRDefault="00F22F94">
                    <w:pPr>
                      <w:spacing w:line="183" w:lineRule="exact"/>
                      <w:rPr>
                        <w:sz w:val="16"/>
                      </w:rPr>
                    </w:pPr>
                    <w:r>
                      <w:rPr>
                        <w:spacing w:val="-5"/>
                        <w:w w:val="95"/>
                        <w:sz w:val="16"/>
                      </w:rPr>
                      <w:t>20</w:t>
                    </w:r>
                  </w:p>
                </w:txbxContent>
              </v:textbox>
            </v:shape>
            <v:shape id="docshape1232" o:spid="_x0000_s4022" type="#_x0000_t202" style="position:absolute;left:12378;top:1703;width:174;height:184" filled="f" stroked="f">
              <v:textbox inset="0,0,0,0">
                <w:txbxContent>
                  <w:p w:rsidR="00F22F94" w:rsidRDefault="00F22F94">
                    <w:pPr>
                      <w:spacing w:line="183" w:lineRule="exact"/>
                      <w:rPr>
                        <w:sz w:val="16"/>
                      </w:rPr>
                    </w:pPr>
                    <w:r>
                      <w:rPr>
                        <w:spacing w:val="-5"/>
                        <w:w w:val="95"/>
                        <w:sz w:val="16"/>
                      </w:rPr>
                      <w:t>18</w:t>
                    </w:r>
                  </w:p>
                </w:txbxContent>
              </v:textbox>
            </v:shape>
            <v:shape id="docshape1233" o:spid="_x0000_s4021" type="#_x0000_t202" style="position:absolute;left:13419;top:1703;width:97;height:184" filled="f" stroked="f">
              <v:textbox inset="0,0,0,0">
                <w:txbxContent>
                  <w:p w:rsidR="00F22F94" w:rsidRDefault="00F22F94">
                    <w:pPr>
                      <w:spacing w:line="183" w:lineRule="exact"/>
                      <w:rPr>
                        <w:sz w:val="16"/>
                      </w:rPr>
                    </w:pPr>
                    <w:r>
                      <w:rPr>
                        <w:w w:val="86"/>
                        <w:sz w:val="16"/>
                      </w:rPr>
                      <w:t>6</w:t>
                    </w:r>
                  </w:p>
                </w:txbxContent>
              </v:textbox>
            </v:shape>
            <v:shape id="docshape1234" o:spid="_x0000_s4020" type="#_x0000_t202" style="position:absolute;left:7905;top:2596;width:1190;height:181" filled="f" stroked="f">
              <v:textbox inset="0,0,0,0">
                <w:txbxContent>
                  <w:p w:rsidR="00F22F94" w:rsidRDefault="00F22F94">
                    <w:pPr>
                      <w:spacing w:line="181" w:lineRule="exact"/>
                      <w:rPr>
                        <w:sz w:val="16"/>
                      </w:rPr>
                    </w:pPr>
                    <w:r>
                      <w:rPr>
                        <w:w w:val="75"/>
                        <w:sz w:val="16"/>
                      </w:rPr>
                      <w:t>Light</w:t>
                    </w:r>
                    <w:r>
                      <w:rPr>
                        <w:spacing w:val="1"/>
                        <w:sz w:val="16"/>
                      </w:rPr>
                      <w:t xml:space="preserve"> </w:t>
                    </w:r>
                    <w:r>
                      <w:rPr>
                        <w:w w:val="75"/>
                        <w:sz w:val="16"/>
                      </w:rPr>
                      <w:t>Rail</w:t>
                    </w:r>
                    <w:r>
                      <w:rPr>
                        <w:spacing w:val="1"/>
                        <w:sz w:val="16"/>
                      </w:rPr>
                      <w:t xml:space="preserve"> </w:t>
                    </w:r>
                    <w:r>
                      <w:rPr>
                        <w:w w:val="75"/>
                        <w:sz w:val="16"/>
                      </w:rPr>
                      <w:t>Inner</w:t>
                    </w:r>
                    <w:r>
                      <w:rPr>
                        <w:spacing w:val="1"/>
                        <w:sz w:val="16"/>
                      </w:rPr>
                      <w:t xml:space="preserve"> </w:t>
                    </w:r>
                    <w:r>
                      <w:rPr>
                        <w:spacing w:val="-4"/>
                        <w:w w:val="75"/>
                        <w:sz w:val="16"/>
                      </w:rPr>
                      <w:t>West</w:t>
                    </w:r>
                  </w:p>
                </w:txbxContent>
              </v:textbox>
            </v:shape>
            <v:shape id="docshape1235" o:spid="_x0000_s4019" type="#_x0000_t202" style="position:absolute;left:9451;top:2538;width:97;height:184" filled="f" stroked="f">
              <v:textbox inset="0,0,0,0">
                <w:txbxContent>
                  <w:p w:rsidR="00F22F94" w:rsidRDefault="00F22F94">
                    <w:pPr>
                      <w:spacing w:line="183" w:lineRule="exact"/>
                      <w:rPr>
                        <w:sz w:val="16"/>
                      </w:rPr>
                    </w:pPr>
                    <w:r>
                      <w:rPr>
                        <w:w w:val="86"/>
                        <w:sz w:val="16"/>
                      </w:rPr>
                      <w:t>2</w:t>
                    </w:r>
                  </w:p>
                </w:txbxContent>
              </v:textbox>
            </v:shape>
            <v:shape id="docshape1236" o:spid="_x0000_s4018" type="#_x0000_t202" style="position:absolute;left:11454;top:2400;width:370;height:311" filled="f" stroked="f">
              <v:textbox inset="0,0,0,0">
                <w:txbxContent>
                  <w:p w:rsidR="00F22F94" w:rsidRDefault="00F22F94">
                    <w:pPr>
                      <w:spacing w:before="8" w:line="223" w:lineRule="auto"/>
                      <w:ind w:left="45" w:hanging="46"/>
                      <w:rPr>
                        <w:sz w:val="14"/>
                      </w:rPr>
                    </w:pPr>
                    <w:r>
                      <w:rPr>
                        <w:spacing w:val="-2"/>
                        <w:w w:val="80"/>
                        <w:sz w:val="14"/>
                      </w:rPr>
                      <w:t>Dawes</w:t>
                    </w:r>
                    <w:r>
                      <w:rPr>
                        <w:spacing w:val="40"/>
                        <w:sz w:val="14"/>
                      </w:rPr>
                      <w:t xml:space="preserve"> </w:t>
                    </w:r>
                    <w:r>
                      <w:rPr>
                        <w:spacing w:val="-2"/>
                        <w:w w:val="90"/>
                        <w:sz w:val="14"/>
                      </w:rPr>
                      <w:t>Point</w:t>
                    </w:r>
                  </w:p>
                </w:txbxContent>
              </v:textbox>
            </v:shape>
            <v:shape id="docshape1237" o:spid="_x0000_s4017" type="#_x0000_t202" style="position:absolute;left:10668;top:2887;width:365;height:311" filled="f" stroked="f">
              <v:textbox inset="0,0,0,0">
                <w:txbxContent>
                  <w:p w:rsidR="00F22F94" w:rsidRDefault="00F22F94">
                    <w:pPr>
                      <w:spacing w:before="8" w:line="223" w:lineRule="auto"/>
                      <w:ind w:left="42" w:right="16" w:hanging="43"/>
                      <w:rPr>
                        <w:sz w:val="14"/>
                      </w:rPr>
                    </w:pPr>
                    <w:r>
                      <w:rPr>
                        <w:spacing w:val="-2"/>
                        <w:w w:val="85"/>
                        <w:sz w:val="14"/>
                      </w:rPr>
                      <w:t>Millers</w:t>
                    </w:r>
                    <w:r>
                      <w:rPr>
                        <w:spacing w:val="40"/>
                        <w:sz w:val="14"/>
                      </w:rPr>
                      <w:t xml:space="preserve"> </w:t>
                    </w:r>
                    <w:r>
                      <w:rPr>
                        <w:spacing w:val="-4"/>
                        <w:w w:val="95"/>
                        <w:sz w:val="14"/>
                      </w:rPr>
                      <w:t>Point</w:t>
                    </w:r>
                  </w:p>
                </w:txbxContent>
              </v:textbox>
            </v:shape>
            <v:shape id="docshape1238" o:spid="_x0000_s4016" type="#_x0000_t202" style="position:absolute;left:7318;top:3390;width:1492;height:181" filled="f" stroked="f">
              <v:textbox inset="0,0,0,0">
                <w:txbxContent>
                  <w:p w:rsidR="00F22F94" w:rsidRDefault="00F22F94">
                    <w:pPr>
                      <w:spacing w:line="181" w:lineRule="exact"/>
                      <w:rPr>
                        <w:sz w:val="16"/>
                      </w:rPr>
                    </w:pPr>
                    <w:r>
                      <w:rPr>
                        <w:w w:val="75"/>
                        <w:sz w:val="16"/>
                      </w:rPr>
                      <w:t>Buses</w:t>
                    </w:r>
                    <w:r>
                      <w:rPr>
                        <w:spacing w:val="6"/>
                        <w:sz w:val="16"/>
                      </w:rPr>
                      <w:t xml:space="preserve"> </w:t>
                    </w:r>
                    <w:r>
                      <w:rPr>
                        <w:w w:val="75"/>
                        <w:sz w:val="16"/>
                      </w:rPr>
                      <w:t>Western</w:t>
                    </w:r>
                    <w:r>
                      <w:rPr>
                        <w:spacing w:val="6"/>
                        <w:sz w:val="16"/>
                      </w:rPr>
                      <w:t xml:space="preserve"> </w:t>
                    </w:r>
                    <w:r>
                      <w:rPr>
                        <w:spacing w:val="-2"/>
                        <w:w w:val="75"/>
                        <w:sz w:val="16"/>
                      </w:rPr>
                      <w:t>Distributor</w:t>
                    </w:r>
                  </w:p>
                </w:txbxContent>
              </v:textbox>
            </v:shape>
            <v:shape id="docshape1239" o:spid="_x0000_s4015" type="#_x0000_t202" style="position:absolute;left:9451;top:3332;width:97;height:184" filled="f" stroked="f">
              <v:textbox inset="0,0,0,0">
                <w:txbxContent>
                  <w:p w:rsidR="00F22F94" w:rsidRDefault="00F22F94">
                    <w:pPr>
                      <w:spacing w:line="183" w:lineRule="exact"/>
                      <w:rPr>
                        <w:sz w:val="16"/>
                      </w:rPr>
                    </w:pPr>
                    <w:r>
                      <w:rPr>
                        <w:w w:val="86"/>
                        <w:sz w:val="16"/>
                      </w:rPr>
                      <w:t>6</w:t>
                    </w:r>
                  </w:p>
                </w:txbxContent>
              </v:textbox>
            </v:shape>
            <v:shape id="docshape1240" o:spid="_x0000_s4014" type="#_x0000_t202" style="position:absolute;left:11074;top:2940;width:1114;height:679" filled="f" stroked="f">
              <v:textbox inset="0,0,0,0">
                <w:txbxContent>
                  <w:p w:rsidR="00F22F94" w:rsidRDefault="00F22F94">
                    <w:pPr>
                      <w:spacing w:line="160" w:lineRule="exact"/>
                      <w:ind w:left="381"/>
                      <w:rPr>
                        <w:sz w:val="14"/>
                      </w:rPr>
                    </w:pPr>
                    <w:r>
                      <w:rPr>
                        <w:w w:val="80"/>
                        <w:sz w:val="14"/>
                      </w:rPr>
                      <w:t>The</w:t>
                    </w:r>
                    <w:r>
                      <w:rPr>
                        <w:spacing w:val="-1"/>
                        <w:w w:val="80"/>
                        <w:sz w:val="14"/>
                      </w:rPr>
                      <w:t xml:space="preserve"> </w:t>
                    </w:r>
                    <w:r>
                      <w:rPr>
                        <w:spacing w:val="-2"/>
                        <w:w w:val="90"/>
                        <w:sz w:val="14"/>
                      </w:rPr>
                      <w:t>Rocks</w:t>
                    </w:r>
                  </w:p>
                  <w:p w:rsidR="00F22F94" w:rsidRDefault="00F22F94">
                    <w:pPr>
                      <w:spacing w:before="82"/>
                      <w:rPr>
                        <w:sz w:val="16"/>
                      </w:rPr>
                    </w:pPr>
                    <w:r>
                      <w:rPr>
                        <w:color w:val="FFFFFF"/>
                        <w:spacing w:val="-2"/>
                        <w:w w:val="95"/>
                        <w:sz w:val="16"/>
                      </w:rPr>
                      <w:t>38,000</w:t>
                    </w:r>
                  </w:p>
                  <w:p w:rsidR="00F22F94" w:rsidRDefault="00F22F94">
                    <w:pPr>
                      <w:spacing w:before="114"/>
                      <w:ind w:left="498"/>
                      <w:rPr>
                        <w:sz w:val="12"/>
                      </w:rPr>
                    </w:pPr>
                    <w:r>
                      <w:rPr>
                        <w:color w:val="737577"/>
                        <w:w w:val="80"/>
                        <w:sz w:val="12"/>
                      </w:rPr>
                      <w:t>Circular</w:t>
                    </w:r>
                    <w:r>
                      <w:rPr>
                        <w:color w:val="737577"/>
                        <w:spacing w:val="3"/>
                        <w:sz w:val="12"/>
                      </w:rPr>
                      <w:t xml:space="preserve"> </w:t>
                    </w:r>
                    <w:r>
                      <w:rPr>
                        <w:color w:val="737577"/>
                        <w:spacing w:val="-4"/>
                        <w:w w:val="85"/>
                        <w:sz w:val="12"/>
                      </w:rPr>
                      <w:t>Quay</w:t>
                    </w:r>
                  </w:p>
                </w:txbxContent>
              </v:textbox>
            </v:shape>
            <v:shape id="docshape1241" o:spid="_x0000_s4013" type="#_x0000_t202" style="position:absolute;left:14022;top:3457;width:1073;height:371" filled="f" stroked="f">
              <v:textbox inset="0,0,0,0">
                <w:txbxContent>
                  <w:p w:rsidR="00F22F94" w:rsidRDefault="00F22F94">
                    <w:pPr>
                      <w:spacing w:line="155" w:lineRule="exact"/>
                      <w:ind w:left="246"/>
                      <w:rPr>
                        <w:sz w:val="16"/>
                      </w:rPr>
                    </w:pPr>
                    <w:r>
                      <w:rPr>
                        <w:w w:val="75"/>
                        <w:sz w:val="16"/>
                      </w:rPr>
                      <w:t>Buses</w:t>
                    </w:r>
                    <w:r>
                      <w:rPr>
                        <w:spacing w:val="1"/>
                        <w:sz w:val="16"/>
                      </w:rPr>
                      <w:t xml:space="preserve"> </w:t>
                    </w:r>
                    <w:r>
                      <w:rPr>
                        <w:spacing w:val="-2"/>
                        <w:w w:val="80"/>
                        <w:sz w:val="16"/>
                      </w:rPr>
                      <w:t>Eastern</w:t>
                    </w:r>
                  </w:p>
                  <w:p w:rsidR="00F22F94" w:rsidRDefault="00F22F94">
                    <w:pPr>
                      <w:spacing w:line="216" w:lineRule="exact"/>
                      <w:rPr>
                        <w:sz w:val="16"/>
                      </w:rPr>
                    </w:pPr>
                    <w:r>
                      <w:rPr>
                        <w:w w:val="95"/>
                        <w:position w:val="6"/>
                        <w:sz w:val="16"/>
                      </w:rPr>
                      <w:t>3</w:t>
                    </w:r>
                    <w:r>
                      <w:rPr>
                        <w:spacing w:val="36"/>
                        <w:position w:val="6"/>
                        <w:sz w:val="16"/>
                      </w:rPr>
                      <w:t xml:space="preserve">  </w:t>
                    </w:r>
                    <w:r>
                      <w:rPr>
                        <w:spacing w:val="-2"/>
                        <w:w w:val="95"/>
                        <w:sz w:val="16"/>
                      </w:rPr>
                      <w:t>Distributer</w:t>
                    </w:r>
                  </w:p>
                </w:txbxContent>
              </v:textbox>
            </v:shape>
            <v:shape id="docshape1242" o:spid="_x0000_s4012" type="#_x0000_t202" style="position:absolute;left:7684;top:4353;width:956;height:181" filled="f" stroked="f">
              <v:textbox inset="0,0,0,0">
                <w:txbxContent>
                  <w:p w:rsidR="00F22F94" w:rsidRDefault="00F22F94">
                    <w:pPr>
                      <w:spacing w:line="181" w:lineRule="exact"/>
                      <w:rPr>
                        <w:sz w:val="16"/>
                      </w:rPr>
                    </w:pPr>
                    <w:r>
                      <w:rPr>
                        <w:w w:val="75"/>
                        <w:sz w:val="16"/>
                      </w:rPr>
                      <w:t>Buses</w:t>
                    </w:r>
                    <w:r>
                      <w:rPr>
                        <w:spacing w:val="1"/>
                        <w:sz w:val="16"/>
                      </w:rPr>
                      <w:t xml:space="preserve"> </w:t>
                    </w:r>
                    <w:r>
                      <w:rPr>
                        <w:spacing w:val="-2"/>
                        <w:w w:val="80"/>
                        <w:sz w:val="16"/>
                      </w:rPr>
                      <w:t>Broadway</w:t>
                    </w:r>
                  </w:p>
                </w:txbxContent>
              </v:textbox>
            </v:shape>
            <v:shape id="docshape1243" o:spid="_x0000_s4011" type="#_x0000_t202" style="position:absolute;left:9451;top:4296;width:97;height:184" filled="f" stroked="f">
              <v:textbox inset="0,0,0,0">
                <w:txbxContent>
                  <w:p w:rsidR="00F22F94" w:rsidRDefault="00F22F94">
                    <w:pPr>
                      <w:spacing w:line="183" w:lineRule="exact"/>
                      <w:rPr>
                        <w:sz w:val="16"/>
                      </w:rPr>
                    </w:pPr>
                    <w:r>
                      <w:rPr>
                        <w:w w:val="86"/>
                        <w:sz w:val="16"/>
                      </w:rPr>
                      <w:t>9</w:t>
                    </w:r>
                  </w:p>
                </w:txbxContent>
              </v:textbox>
            </v:shape>
            <v:shape id="docshape1244" o:spid="_x0000_s4010" type="#_x0000_t202" style="position:absolute;left:11065;top:4309;width:404;height:138" filled="f" stroked="f">
              <v:textbox inset="0,0,0,0">
                <w:txbxContent>
                  <w:p w:rsidR="00F22F94" w:rsidRDefault="00F22F94">
                    <w:pPr>
                      <w:spacing w:line="137" w:lineRule="exact"/>
                      <w:rPr>
                        <w:sz w:val="12"/>
                      </w:rPr>
                    </w:pPr>
                    <w:r>
                      <w:rPr>
                        <w:color w:val="737577"/>
                        <w:spacing w:val="-2"/>
                        <w:w w:val="85"/>
                        <w:sz w:val="12"/>
                      </w:rPr>
                      <w:t>Wynyard</w:t>
                    </w:r>
                  </w:p>
                </w:txbxContent>
              </v:textbox>
            </v:shape>
            <v:shape id="docshape1245" o:spid="_x0000_s4009" type="#_x0000_t202" style="position:absolute;left:11790;top:4454;width:574;height:138" filled="f" stroked="f">
              <v:textbox inset="0,0,0,0">
                <w:txbxContent>
                  <w:p w:rsidR="00F22F94" w:rsidRDefault="00F22F94">
                    <w:pPr>
                      <w:spacing w:line="137" w:lineRule="exact"/>
                      <w:rPr>
                        <w:sz w:val="12"/>
                      </w:rPr>
                    </w:pPr>
                    <w:r>
                      <w:rPr>
                        <w:color w:val="737577"/>
                        <w:w w:val="85"/>
                        <w:sz w:val="12"/>
                      </w:rPr>
                      <w:t>Martin</w:t>
                    </w:r>
                    <w:r>
                      <w:rPr>
                        <w:color w:val="737577"/>
                        <w:spacing w:val="-5"/>
                        <w:sz w:val="12"/>
                      </w:rPr>
                      <w:t xml:space="preserve"> </w:t>
                    </w:r>
                    <w:r>
                      <w:rPr>
                        <w:color w:val="737577"/>
                        <w:spacing w:val="-2"/>
                        <w:w w:val="85"/>
                        <w:sz w:val="12"/>
                      </w:rPr>
                      <w:t>Place</w:t>
                    </w:r>
                  </w:p>
                </w:txbxContent>
              </v:textbox>
            </v:shape>
            <v:shape id="docshape1246" o:spid="_x0000_s4008" type="#_x0000_t202" style="position:absolute;left:14324;top:4493;width:97;height:184" filled="f" stroked="f">
              <v:textbox inset="0,0,0,0">
                <w:txbxContent>
                  <w:p w:rsidR="00F22F94" w:rsidRDefault="00F22F94">
                    <w:pPr>
                      <w:spacing w:line="183" w:lineRule="exact"/>
                      <w:rPr>
                        <w:sz w:val="16"/>
                      </w:rPr>
                    </w:pPr>
                    <w:r>
                      <w:rPr>
                        <w:w w:val="86"/>
                        <w:sz w:val="16"/>
                      </w:rPr>
                      <w:t>8</w:t>
                    </w:r>
                  </w:p>
                </w:txbxContent>
              </v:textbox>
            </v:shape>
            <v:shape id="docshape1247" o:spid="_x0000_s4007" type="#_x0000_t202" style="position:absolute;left:14571;top:4550;width:228;height:181" filled="f" stroked="f">
              <v:textbox inset="0,0,0,0">
                <w:txbxContent>
                  <w:p w:rsidR="00F22F94" w:rsidRDefault="00F22F94">
                    <w:pPr>
                      <w:spacing w:line="181" w:lineRule="exact"/>
                      <w:rPr>
                        <w:sz w:val="16"/>
                      </w:rPr>
                    </w:pPr>
                    <w:r>
                      <w:rPr>
                        <w:spacing w:val="-4"/>
                        <w:w w:val="80"/>
                        <w:sz w:val="16"/>
                      </w:rPr>
                      <w:t>Rail</w:t>
                    </w:r>
                  </w:p>
                </w:txbxContent>
              </v:textbox>
            </v:shape>
            <v:shape id="docshape1248" o:spid="_x0000_s4006" type="#_x0000_t202" style="position:absolute;left:11859;top:4862;width:434;height:138" filled="f" stroked="f">
              <v:textbox inset="0,0,0,0">
                <w:txbxContent>
                  <w:p w:rsidR="00F22F94" w:rsidRDefault="00F22F94">
                    <w:pPr>
                      <w:spacing w:line="137" w:lineRule="exact"/>
                      <w:rPr>
                        <w:sz w:val="12"/>
                      </w:rPr>
                    </w:pPr>
                    <w:r>
                      <w:rPr>
                        <w:color w:val="737577"/>
                        <w:w w:val="80"/>
                        <w:sz w:val="12"/>
                      </w:rPr>
                      <w:t>St</w:t>
                    </w:r>
                    <w:r>
                      <w:rPr>
                        <w:color w:val="737577"/>
                        <w:spacing w:val="-5"/>
                        <w:sz w:val="12"/>
                      </w:rPr>
                      <w:t xml:space="preserve"> </w:t>
                    </w:r>
                    <w:r>
                      <w:rPr>
                        <w:color w:val="737577"/>
                        <w:spacing w:val="-2"/>
                        <w:w w:val="85"/>
                        <w:sz w:val="12"/>
                      </w:rPr>
                      <w:t>James</w:t>
                    </w:r>
                  </w:p>
                </w:txbxContent>
              </v:textbox>
            </v:shape>
            <v:shape id="docshape1249" o:spid="_x0000_s4005" type="#_x0000_t202" style="position:absolute;left:13936;top:5007;width:97;height:184" filled="f" stroked="f">
              <v:textbox inset="0,0,0,0">
                <w:txbxContent>
                  <w:p w:rsidR="00F22F94" w:rsidRDefault="00F22F94">
                    <w:pPr>
                      <w:spacing w:line="183" w:lineRule="exact"/>
                      <w:rPr>
                        <w:sz w:val="16"/>
                      </w:rPr>
                    </w:pPr>
                    <w:r>
                      <w:rPr>
                        <w:w w:val="86"/>
                        <w:sz w:val="16"/>
                      </w:rPr>
                      <w:t>2</w:t>
                    </w:r>
                  </w:p>
                </w:txbxContent>
              </v:textbox>
            </v:shape>
            <v:shape id="docshape1250" o:spid="_x0000_s4004" type="#_x0000_t202" style="position:absolute;left:14186;top:5070;width:1187;height:181" filled="f" stroked="f">
              <v:textbox inset="0,0,0,0">
                <w:txbxContent>
                  <w:p w:rsidR="00F22F94" w:rsidRDefault="00F22F94">
                    <w:pPr>
                      <w:spacing w:line="181" w:lineRule="exact"/>
                      <w:rPr>
                        <w:sz w:val="16"/>
                      </w:rPr>
                    </w:pPr>
                    <w:r>
                      <w:rPr>
                        <w:w w:val="75"/>
                        <w:sz w:val="16"/>
                      </w:rPr>
                      <w:t>Buses</w:t>
                    </w:r>
                    <w:r>
                      <w:rPr>
                        <w:spacing w:val="7"/>
                        <w:sz w:val="16"/>
                      </w:rPr>
                      <w:t xml:space="preserve"> </w:t>
                    </w:r>
                    <w:r>
                      <w:rPr>
                        <w:w w:val="75"/>
                        <w:sz w:val="16"/>
                      </w:rPr>
                      <w:t>William</w:t>
                    </w:r>
                    <w:r>
                      <w:rPr>
                        <w:spacing w:val="8"/>
                        <w:sz w:val="16"/>
                      </w:rPr>
                      <w:t xml:space="preserve"> </w:t>
                    </w:r>
                    <w:r>
                      <w:rPr>
                        <w:spacing w:val="-2"/>
                        <w:w w:val="75"/>
                        <w:sz w:val="16"/>
                      </w:rPr>
                      <w:t>Street</w:t>
                    </w:r>
                  </w:p>
                </w:txbxContent>
              </v:textbox>
            </v:shape>
            <v:shape id="docshape1251" o:spid="_x0000_s4003" type="#_x0000_t202" style="position:absolute;left:11788;top:5247;width:396;height:161" filled="f" stroked="f">
              <v:textbox inset="0,0,0,0">
                <w:txbxContent>
                  <w:p w:rsidR="00F22F94" w:rsidRDefault="00F22F94">
                    <w:pPr>
                      <w:spacing w:line="160" w:lineRule="exact"/>
                      <w:rPr>
                        <w:sz w:val="14"/>
                      </w:rPr>
                    </w:pPr>
                    <w:r>
                      <w:rPr>
                        <w:spacing w:val="-2"/>
                        <w:w w:val="80"/>
                        <w:sz w:val="14"/>
                      </w:rPr>
                      <w:t>Sydney</w:t>
                    </w:r>
                  </w:p>
                </w:txbxContent>
              </v:textbox>
            </v:shape>
            <v:shape id="docshape1252" o:spid="_x0000_s4002" type="#_x0000_t202" style="position:absolute;left:10956;top:5470;width:458;height:138" filled="f" stroked="f">
              <v:textbox inset="0,0,0,0">
                <w:txbxContent>
                  <w:p w:rsidR="00F22F94" w:rsidRDefault="00F22F94">
                    <w:pPr>
                      <w:spacing w:line="137" w:lineRule="exact"/>
                      <w:rPr>
                        <w:sz w:val="12"/>
                      </w:rPr>
                    </w:pPr>
                    <w:r>
                      <w:rPr>
                        <w:color w:val="737577"/>
                        <w:w w:val="80"/>
                        <w:sz w:val="12"/>
                      </w:rPr>
                      <w:t>Town</w:t>
                    </w:r>
                    <w:r>
                      <w:rPr>
                        <w:color w:val="737577"/>
                        <w:sz w:val="12"/>
                      </w:rPr>
                      <w:t xml:space="preserve"> </w:t>
                    </w:r>
                    <w:r>
                      <w:rPr>
                        <w:color w:val="737577"/>
                        <w:spacing w:val="-4"/>
                        <w:w w:val="85"/>
                        <w:sz w:val="12"/>
                      </w:rPr>
                      <w:t>Hall</w:t>
                    </w:r>
                  </w:p>
                </w:txbxContent>
              </v:textbox>
            </v:shape>
            <v:shape id="docshape1253" o:spid="_x0000_s4001" type="#_x0000_t202" style="position:absolute;left:11729;top:5611;width:924;height:311" filled="f" stroked="f">
              <v:textbox inset="0,0,0,0">
                <w:txbxContent>
                  <w:p w:rsidR="00F22F94" w:rsidRDefault="00F22F94">
                    <w:pPr>
                      <w:spacing w:line="139" w:lineRule="exact"/>
                      <w:ind w:left="605"/>
                      <w:rPr>
                        <w:sz w:val="14"/>
                      </w:rPr>
                    </w:pPr>
                    <w:r>
                      <w:rPr>
                        <w:spacing w:val="-4"/>
                        <w:w w:val="90"/>
                        <w:sz w:val="14"/>
                      </w:rPr>
                      <w:t>East</w:t>
                    </w:r>
                  </w:p>
                  <w:p w:rsidR="00F22F94" w:rsidRDefault="00F22F94">
                    <w:pPr>
                      <w:spacing w:before="3" w:line="165" w:lineRule="auto"/>
                      <w:rPr>
                        <w:sz w:val="14"/>
                      </w:rPr>
                    </w:pPr>
                    <w:r>
                      <w:rPr>
                        <w:color w:val="737577"/>
                        <w:w w:val="90"/>
                        <w:sz w:val="12"/>
                      </w:rPr>
                      <w:t>Museum</w:t>
                    </w:r>
                    <w:r>
                      <w:rPr>
                        <w:color w:val="737577"/>
                        <w:spacing w:val="77"/>
                        <w:sz w:val="12"/>
                      </w:rPr>
                      <w:t xml:space="preserve"> </w:t>
                    </w:r>
                    <w:r>
                      <w:rPr>
                        <w:spacing w:val="-2"/>
                        <w:w w:val="85"/>
                        <w:position w:val="-4"/>
                        <w:sz w:val="14"/>
                      </w:rPr>
                      <w:t>Sydney</w:t>
                    </w:r>
                  </w:p>
                </w:txbxContent>
              </v:textbox>
            </v:shape>
            <v:shape id="docshape1254" o:spid="_x0000_s4000" type="#_x0000_t202" style="position:absolute;left:14220;top:5801;width:97;height:184" filled="f" stroked="f">
              <v:textbox inset="0,0,0,0">
                <w:txbxContent>
                  <w:p w:rsidR="00F22F94" w:rsidRDefault="00F22F94">
                    <w:pPr>
                      <w:spacing w:line="183" w:lineRule="exact"/>
                      <w:rPr>
                        <w:sz w:val="16"/>
                      </w:rPr>
                    </w:pPr>
                    <w:r>
                      <w:rPr>
                        <w:w w:val="86"/>
                        <w:sz w:val="16"/>
                      </w:rPr>
                      <w:t>6</w:t>
                    </w:r>
                  </w:p>
                </w:txbxContent>
              </v:textbox>
            </v:shape>
            <v:shape id="docshape1255" o:spid="_x0000_s3999" type="#_x0000_t202" style="position:absolute;left:14469;top:5864;width:1146;height:181" filled="f" stroked="f">
              <v:textbox inset="0,0,0,0">
                <w:txbxContent>
                  <w:p w:rsidR="00F22F94" w:rsidRDefault="00F22F94">
                    <w:pPr>
                      <w:spacing w:line="181" w:lineRule="exact"/>
                      <w:rPr>
                        <w:sz w:val="16"/>
                      </w:rPr>
                    </w:pPr>
                    <w:r>
                      <w:rPr>
                        <w:w w:val="75"/>
                        <w:sz w:val="16"/>
                      </w:rPr>
                      <w:t>Buses</w:t>
                    </w:r>
                    <w:r>
                      <w:rPr>
                        <w:spacing w:val="2"/>
                        <w:sz w:val="16"/>
                      </w:rPr>
                      <w:t xml:space="preserve"> </w:t>
                    </w:r>
                    <w:r>
                      <w:rPr>
                        <w:w w:val="75"/>
                        <w:sz w:val="16"/>
                      </w:rPr>
                      <w:t>Oxford</w:t>
                    </w:r>
                    <w:r>
                      <w:rPr>
                        <w:spacing w:val="2"/>
                        <w:sz w:val="16"/>
                      </w:rPr>
                      <w:t xml:space="preserve"> </w:t>
                    </w:r>
                    <w:r>
                      <w:rPr>
                        <w:spacing w:val="-2"/>
                        <w:w w:val="75"/>
                        <w:sz w:val="16"/>
                      </w:rPr>
                      <w:t>Street</w:t>
                    </w:r>
                  </w:p>
                </w:txbxContent>
              </v:textbox>
            </v:shape>
            <v:shape id="docshape1256" o:spid="_x0000_s3998" type="#_x0000_t202" style="position:absolute;left:9958;top:6265;width:350;height:161" filled="f" stroked="f">
              <v:textbox inset="0,0,0,0">
                <w:txbxContent>
                  <w:p w:rsidR="00F22F94" w:rsidRDefault="00F22F94">
                    <w:pPr>
                      <w:spacing w:line="160" w:lineRule="exact"/>
                      <w:rPr>
                        <w:sz w:val="14"/>
                      </w:rPr>
                    </w:pPr>
                    <w:r>
                      <w:rPr>
                        <w:spacing w:val="-2"/>
                        <w:w w:val="85"/>
                        <w:sz w:val="14"/>
                      </w:rPr>
                      <w:t>Ultimo</w:t>
                    </w:r>
                  </w:p>
                </w:txbxContent>
              </v:textbox>
            </v:shape>
            <v:shape id="docshape1257" o:spid="_x0000_s3997" type="#_x0000_t202" style="position:absolute;left:14022;top:6269;width:1173;height:371" filled="f" stroked="f">
              <v:textbox inset="0,0,0,0">
                <w:txbxContent>
                  <w:p w:rsidR="00F22F94" w:rsidRDefault="00F22F94">
                    <w:pPr>
                      <w:spacing w:line="155" w:lineRule="exact"/>
                      <w:ind w:left="249"/>
                      <w:rPr>
                        <w:sz w:val="16"/>
                      </w:rPr>
                    </w:pPr>
                    <w:r>
                      <w:rPr>
                        <w:w w:val="75"/>
                        <w:sz w:val="16"/>
                      </w:rPr>
                      <w:t>Buses</w:t>
                    </w:r>
                    <w:r>
                      <w:rPr>
                        <w:spacing w:val="1"/>
                        <w:sz w:val="16"/>
                      </w:rPr>
                      <w:t xml:space="preserve"> </w:t>
                    </w:r>
                    <w:r>
                      <w:rPr>
                        <w:spacing w:val="-2"/>
                        <w:w w:val="80"/>
                        <w:sz w:val="16"/>
                      </w:rPr>
                      <w:t>Foveaux/</w:t>
                    </w:r>
                  </w:p>
                  <w:p w:rsidR="00F22F94" w:rsidRDefault="00F22F94">
                    <w:pPr>
                      <w:spacing w:line="216" w:lineRule="exact"/>
                      <w:rPr>
                        <w:sz w:val="16"/>
                      </w:rPr>
                    </w:pPr>
                    <w:r>
                      <w:rPr>
                        <w:w w:val="85"/>
                        <w:position w:val="6"/>
                        <w:sz w:val="16"/>
                      </w:rPr>
                      <w:t>3</w:t>
                    </w:r>
                    <w:r>
                      <w:rPr>
                        <w:spacing w:val="62"/>
                        <w:w w:val="150"/>
                        <w:position w:val="6"/>
                        <w:sz w:val="16"/>
                      </w:rPr>
                      <w:t xml:space="preserve"> </w:t>
                    </w:r>
                    <w:r>
                      <w:rPr>
                        <w:w w:val="85"/>
                        <w:sz w:val="16"/>
                      </w:rPr>
                      <w:t>Campbell</w:t>
                    </w:r>
                    <w:r>
                      <w:rPr>
                        <w:spacing w:val="-4"/>
                        <w:w w:val="85"/>
                        <w:sz w:val="16"/>
                      </w:rPr>
                      <w:t xml:space="preserve"> </w:t>
                    </w:r>
                    <w:r>
                      <w:rPr>
                        <w:spacing w:val="-2"/>
                        <w:w w:val="80"/>
                        <w:sz w:val="16"/>
                      </w:rPr>
                      <w:t>Street</w:t>
                    </w:r>
                  </w:p>
                </w:txbxContent>
              </v:textbox>
            </v:shape>
            <v:shape id="docshape1258" o:spid="_x0000_s3996" type="#_x0000_t202" style="position:absolute;left:6267;top:7105;width:604;height:181" filled="f" stroked="f">
              <v:textbox inset="0,0,0,0">
                <w:txbxContent>
                  <w:p w:rsidR="00F22F94" w:rsidRDefault="00F22F94">
                    <w:pPr>
                      <w:spacing w:line="181" w:lineRule="exact"/>
                      <w:rPr>
                        <w:sz w:val="16"/>
                      </w:rPr>
                    </w:pPr>
                    <w:r>
                      <w:rPr>
                        <w:w w:val="70"/>
                        <w:sz w:val="16"/>
                      </w:rPr>
                      <w:t>Heavy</w:t>
                    </w:r>
                    <w:r>
                      <w:rPr>
                        <w:spacing w:val="11"/>
                        <w:sz w:val="16"/>
                      </w:rPr>
                      <w:t xml:space="preserve"> </w:t>
                    </w:r>
                    <w:r>
                      <w:rPr>
                        <w:spacing w:val="-4"/>
                        <w:w w:val="80"/>
                        <w:sz w:val="16"/>
                      </w:rPr>
                      <w:t>Rail</w:t>
                    </w:r>
                  </w:p>
                </w:txbxContent>
              </v:textbox>
            </v:shape>
            <v:shape id="docshape1259" o:spid="_x0000_s3995" type="#_x0000_t202" style="position:absolute;left:9374;top:7046;width:174;height:184" filled="f" stroked="f">
              <v:textbox inset="0,0,0,0">
                <w:txbxContent>
                  <w:p w:rsidR="00F22F94" w:rsidRDefault="00F22F94">
                    <w:pPr>
                      <w:spacing w:line="183" w:lineRule="exact"/>
                      <w:rPr>
                        <w:sz w:val="16"/>
                      </w:rPr>
                    </w:pPr>
                    <w:r>
                      <w:rPr>
                        <w:spacing w:val="-5"/>
                        <w:w w:val="95"/>
                        <w:sz w:val="16"/>
                      </w:rPr>
                      <w:t>87</w:t>
                    </w:r>
                  </w:p>
                </w:txbxContent>
              </v:textbox>
            </v:shape>
            <v:shape id="docshape1260" o:spid="_x0000_s3994" type="#_x0000_t202" style="position:absolute;left:10869;top:6808;width:710;height:354" filled="f" stroked="f">
              <v:textbox inset="0,0,0,0">
                <w:txbxContent>
                  <w:p w:rsidR="00F22F94" w:rsidRDefault="00F22F94">
                    <w:pPr>
                      <w:spacing w:line="183" w:lineRule="exact"/>
                      <w:ind w:left="267"/>
                      <w:rPr>
                        <w:sz w:val="16"/>
                      </w:rPr>
                    </w:pPr>
                    <w:r>
                      <w:rPr>
                        <w:color w:val="FFFFFF"/>
                        <w:spacing w:val="-2"/>
                        <w:w w:val="90"/>
                        <w:sz w:val="16"/>
                      </w:rPr>
                      <w:t>12,000</w:t>
                    </w:r>
                  </w:p>
                  <w:p w:rsidR="00F22F94" w:rsidRDefault="00F22F94">
                    <w:pPr>
                      <w:spacing w:before="32"/>
                      <w:rPr>
                        <w:sz w:val="12"/>
                      </w:rPr>
                    </w:pPr>
                    <w:r>
                      <w:rPr>
                        <w:color w:val="737577"/>
                        <w:spacing w:val="-2"/>
                        <w:w w:val="90"/>
                        <w:sz w:val="12"/>
                      </w:rPr>
                      <w:t>Central</w:t>
                    </w:r>
                  </w:p>
                </w:txbxContent>
              </v:textbox>
            </v:shape>
            <v:shape id="docshape1261" o:spid="_x0000_s3993" type="#_x0000_t202" style="position:absolute;left:12047;top:6965;width:546;height:161" filled="f" stroked="f">
              <v:textbox inset="0,0,0,0">
                <w:txbxContent>
                  <w:p w:rsidR="00F22F94" w:rsidRDefault="00F22F94">
                    <w:pPr>
                      <w:spacing w:line="160" w:lineRule="exact"/>
                      <w:rPr>
                        <w:sz w:val="14"/>
                      </w:rPr>
                    </w:pPr>
                    <w:r>
                      <w:rPr>
                        <w:w w:val="80"/>
                        <w:sz w:val="14"/>
                      </w:rPr>
                      <w:t>Surry</w:t>
                    </w:r>
                    <w:r>
                      <w:rPr>
                        <w:sz w:val="14"/>
                      </w:rPr>
                      <w:t xml:space="preserve"> </w:t>
                    </w:r>
                    <w:r>
                      <w:rPr>
                        <w:spacing w:val="-2"/>
                        <w:w w:val="90"/>
                        <w:sz w:val="14"/>
                      </w:rPr>
                      <w:t>Hills</w:t>
                    </w:r>
                  </w:p>
                </w:txbxContent>
              </v:textbox>
            </v:shape>
            <v:shape id="docshape1262" o:spid="_x0000_s3992" type="#_x0000_t202" style="position:absolute;left:10579;top:7789;width:234;height:181" filled="f" stroked="f">
              <v:textbox inset="0,0,0,0">
                <w:txbxContent>
                  <w:p w:rsidR="00F22F94" w:rsidRDefault="00F22F94">
                    <w:pPr>
                      <w:spacing w:line="181" w:lineRule="exact"/>
                      <w:rPr>
                        <w:sz w:val="16"/>
                      </w:rPr>
                    </w:pPr>
                    <w:r>
                      <w:rPr>
                        <w:spacing w:val="-5"/>
                        <w:w w:val="80"/>
                        <w:sz w:val="16"/>
                      </w:rPr>
                      <w:t>Bus</w:t>
                    </w:r>
                  </w:p>
                </w:txbxContent>
              </v:textbox>
            </v:shape>
            <v:shape id="docshape1263" o:spid="_x0000_s3991" type="#_x0000_t202" style="position:absolute;left:11254;top:7732;width:97;height:184" filled="f" stroked="f">
              <v:textbox inset="0,0,0,0">
                <w:txbxContent>
                  <w:p w:rsidR="00F22F94" w:rsidRDefault="00F22F94">
                    <w:pPr>
                      <w:spacing w:line="183" w:lineRule="exact"/>
                      <w:rPr>
                        <w:sz w:val="16"/>
                      </w:rPr>
                    </w:pPr>
                    <w:r>
                      <w:rPr>
                        <w:w w:val="86"/>
                        <w:sz w:val="16"/>
                      </w:rPr>
                      <w:t>3</w:t>
                    </w:r>
                  </w:p>
                </w:txbxContent>
              </v:textbox>
            </v:shape>
            <v:shape id="docshape1264" o:spid="_x0000_s3990" type="#_x0000_t202" style="position:absolute;left:6132;top:7996;width:1823;height:326" filled="f" stroked="f">
              <v:textbox inset="0,0,0,0">
                <w:txbxContent>
                  <w:p w:rsidR="00F22F94" w:rsidRDefault="00F22F94">
                    <w:pPr>
                      <w:spacing w:before="3"/>
                      <w:rPr>
                        <w:sz w:val="14"/>
                      </w:rPr>
                    </w:pPr>
                    <w:r>
                      <w:rPr>
                        <w:w w:val="95"/>
                        <w:sz w:val="14"/>
                      </w:rPr>
                      <w:t>Source:</w:t>
                    </w:r>
                    <w:r>
                      <w:rPr>
                        <w:spacing w:val="-1"/>
                        <w:w w:val="95"/>
                        <w:sz w:val="14"/>
                      </w:rPr>
                      <w:t xml:space="preserve"> </w:t>
                    </w:r>
                    <w:r>
                      <w:rPr>
                        <w:w w:val="95"/>
                        <w:sz w:val="14"/>
                      </w:rPr>
                      <w:t>Parsons</w:t>
                    </w:r>
                    <w:r>
                      <w:rPr>
                        <w:spacing w:val="-1"/>
                        <w:w w:val="95"/>
                        <w:sz w:val="14"/>
                      </w:rPr>
                      <w:t xml:space="preserve"> </w:t>
                    </w:r>
                    <w:r>
                      <w:rPr>
                        <w:w w:val="95"/>
                        <w:sz w:val="14"/>
                      </w:rPr>
                      <w:t>Brinckerhoff.</w:t>
                    </w:r>
                    <w:r>
                      <w:rPr>
                        <w:spacing w:val="40"/>
                        <w:sz w:val="14"/>
                      </w:rPr>
                      <w:t xml:space="preserve"> </w:t>
                    </w:r>
                    <w:r>
                      <w:rPr>
                        <w:w w:val="95"/>
                        <w:sz w:val="14"/>
                      </w:rPr>
                      <w:t>Note:</w:t>
                    </w:r>
                    <w:r>
                      <w:rPr>
                        <w:spacing w:val="-1"/>
                        <w:w w:val="95"/>
                        <w:sz w:val="14"/>
                      </w:rPr>
                      <w:t xml:space="preserve"> </w:t>
                    </w:r>
                    <w:r>
                      <w:rPr>
                        <w:w w:val="95"/>
                        <w:sz w:val="14"/>
                      </w:rPr>
                      <w:t>All</w:t>
                    </w:r>
                    <w:r>
                      <w:rPr>
                        <w:spacing w:val="-1"/>
                        <w:w w:val="95"/>
                        <w:sz w:val="14"/>
                      </w:rPr>
                      <w:t xml:space="preserve"> </w:t>
                    </w:r>
                    <w:r>
                      <w:rPr>
                        <w:w w:val="95"/>
                        <w:sz w:val="14"/>
                      </w:rPr>
                      <w:t>values</w:t>
                    </w:r>
                    <w:r>
                      <w:rPr>
                        <w:spacing w:val="-1"/>
                        <w:w w:val="95"/>
                        <w:sz w:val="14"/>
                      </w:rPr>
                      <w:t xml:space="preserve"> </w:t>
                    </w:r>
                    <w:r>
                      <w:rPr>
                        <w:w w:val="95"/>
                        <w:sz w:val="14"/>
                      </w:rPr>
                      <w:t>are</w:t>
                    </w:r>
                    <w:r>
                      <w:rPr>
                        <w:spacing w:val="-1"/>
                        <w:w w:val="95"/>
                        <w:sz w:val="14"/>
                      </w:rPr>
                      <w:t xml:space="preserve"> </w:t>
                    </w:r>
                    <w:r>
                      <w:rPr>
                        <w:w w:val="95"/>
                        <w:sz w:val="14"/>
                      </w:rPr>
                      <w:t>in</w:t>
                    </w:r>
                    <w:r>
                      <w:rPr>
                        <w:spacing w:val="-1"/>
                        <w:w w:val="95"/>
                        <w:sz w:val="14"/>
                      </w:rPr>
                      <w:t xml:space="preserve"> </w:t>
                    </w:r>
                    <w:r>
                      <w:rPr>
                        <w:spacing w:val="-2"/>
                        <w:w w:val="95"/>
                        <w:sz w:val="14"/>
                      </w:rPr>
                      <w:t>‘000’s.</w:t>
                    </w:r>
                  </w:p>
                </w:txbxContent>
              </v:textbox>
            </v:shape>
            <v:shape id="docshape1265" o:spid="_x0000_s3989" type="#_x0000_t202" style="position:absolute;left:12218;top:8100;width:97;height:184" filled="f" stroked="f">
              <v:textbox inset="0,0,0,0">
                <w:txbxContent>
                  <w:p w:rsidR="00F22F94" w:rsidRDefault="00F22F94">
                    <w:pPr>
                      <w:spacing w:line="183" w:lineRule="exact"/>
                      <w:rPr>
                        <w:sz w:val="16"/>
                      </w:rPr>
                    </w:pPr>
                    <w:r>
                      <w:rPr>
                        <w:w w:val="86"/>
                        <w:sz w:val="16"/>
                      </w:rPr>
                      <w:t>9</w:t>
                    </w:r>
                  </w:p>
                </w:txbxContent>
              </v:textbox>
            </v:shape>
            <v:shape id="docshape1266" o:spid="_x0000_s3988" type="#_x0000_t202" style="position:absolute;left:12472;top:8149;width:1216;height:181" filled="f" stroked="f">
              <v:textbox inset="0,0,0,0">
                <w:txbxContent>
                  <w:p w:rsidR="00F22F94" w:rsidRDefault="00F22F94">
                    <w:pPr>
                      <w:spacing w:line="181" w:lineRule="exact"/>
                      <w:rPr>
                        <w:sz w:val="16"/>
                      </w:rPr>
                    </w:pPr>
                    <w:r>
                      <w:rPr>
                        <w:w w:val="75"/>
                        <w:sz w:val="16"/>
                      </w:rPr>
                      <w:t>Rail</w:t>
                    </w:r>
                    <w:r>
                      <w:rPr>
                        <w:spacing w:val="1"/>
                        <w:sz w:val="16"/>
                      </w:rPr>
                      <w:t xml:space="preserve"> </w:t>
                    </w:r>
                    <w:r>
                      <w:rPr>
                        <w:w w:val="75"/>
                        <w:sz w:val="16"/>
                      </w:rPr>
                      <w:t>(Airport</w:t>
                    </w:r>
                    <w:r>
                      <w:rPr>
                        <w:spacing w:val="2"/>
                        <w:sz w:val="16"/>
                      </w:rPr>
                      <w:t xml:space="preserve"> </w:t>
                    </w:r>
                    <w:r>
                      <w:rPr>
                        <w:w w:val="75"/>
                        <w:sz w:val="16"/>
                      </w:rPr>
                      <w:t>line</w:t>
                    </w:r>
                    <w:r>
                      <w:rPr>
                        <w:spacing w:val="1"/>
                        <w:sz w:val="16"/>
                      </w:rPr>
                      <w:t xml:space="preserve"> </w:t>
                    </w:r>
                    <w:r>
                      <w:rPr>
                        <w:spacing w:val="-2"/>
                        <w:w w:val="75"/>
                        <w:sz w:val="16"/>
                      </w:rPr>
                      <w:t>only)</w:t>
                    </w:r>
                  </w:p>
                </w:txbxContent>
              </v:textbox>
            </v:shape>
            <w10:wrap anchorx="page"/>
          </v:group>
        </w:pict>
      </w:r>
      <w:bookmarkStart w:id="190" w:name="7.4__Bus_and_light_rail_within_Sydney’s_"/>
      <w:bookmarkStart w:id="191" w:name="_bookmark136"/>
      <w:bookmarkStart w:id="192" w:name="_bookmark135"/>
      <w:bookmarkEnd w:id="190"/>
      <w:bookmarkEnd w:id="191"/>
      <w:bookmarkEnd w:id="192"/>
      <w:r w:rsidR="00F22F94">
        <w:rPr>
          <w:color w:val="00AEEF"/>
          <w:spacing w:val="-6"/>
        </w:rPr>
        <w:t>Bus</w:t>
      </w:r>
      <w:r w:rsidR="00F22F94">
        <w:rPr>
          <w:color w:val="00AEEF"/>
          <w:spacing w:val="-14"/>
        </w:rPr>
        <w:t xml:space="preserve"> </w:t>
      </w:r>
      <w:r w:rsidR="00F22F94">
        <w:rPr>
          <w:color w:val="00AEEF"/>
          <w:spacing w:val="-6"/>
        </w:rPr>
        <w:t>and</w:t>
      </w:r>
      <w:r w:rsidR="00F22F94">
        <w:rPr>
          <w:color w:val="00AEEF"/>
          <w:spacing w:val="-13"/>
        </w:rPr>
        <w:t xml:space="preserve"> </w:t>
      </w:r>
      <w:r w:rsidR="00F22F94">
        <w:rPr>
          <w:color w:val="00AEEF"/>
          <w:spacing w:val="-6"/>
        </w:rPr>
        <w:t>light</w:t>
      </w:r>
      <w:r w:rsidR="00F22F94">
        <w:rPr>
          <w:color w:val="00AEEF"/>
          <w:spacing w:val="-14"/>
        </w:rPr>
        <w:t xml:space="preserve"> </w:t>
      </w:r>
      <w:r w:rsidR="00F22F94">
        <w:rPr>
          <w:color w:val="00AEEF"/>
          <w:spacing w:val="-6"/>
        </w:rPr>
        <w:t>rail</w:t>
      </w:r>
      <w:r w:rsidR="00F22F94">
        <w:rPr>
          <w:color w:val="00AEEF"/>
          <w:spacing w:val="-13"/>
        </w:rPr>
        <w:t xml:space="preserve"> </w:t>
      </w:r>
      <w:r w:rsidR="00F22F94">
        <w:rPr>
          <w:color w:val="00AEEF"/>
          <w:spacing w:val="-6"/>
        </w:rPr>
        <w:t xml:space="preserve">within </w:t>
      </w:r>
      <w:r w:rsidR="00F22F94">
        <w:rPr>
          <w:color w:val="00AEEF"/>
        </w:rPr>
        <w:t>Sydney’s CBD</w:t>
      </w:r>
    </w:p>
    <w:p w:rsidR="002C1123" w:rsidRDefault="00F22F94">
      <w:pPr>
        <w:pStyle w:val="Heading6"/>
        <w:numPr>
          <w:ilvl w:val="2"/>
          <w:numId w:val="92"/>
        </w:numPr>
        <w:tabs>
          <w:tab w:val="left" w:pos="979"/>
        </w:tabs>
        <w:spacing w:before="140"/>
        <w:ind w:left="978" w:hanging="487"/>
        <w:jc w:val="left"/>
        <w:rPr>
          <w:color w:val="00AEEF"/>
        </w:rPr>
      </w:pPr>
      <w:r>
        <w:rPr>
          <w:color w:val="00AEEF"/>
          <w:spacing w:val="-2"/>
        </w:rPr>
        <w:t>CBD</w:t>
      </w:r>
      <w:r>
        <w:rPr>
          <w:color w:val="00AEEF"/>
          <w:spacing w:val="-7"/>
        </w:rPr>
        <w:t xml:space="preserve"> </w:t>
      </w:r>
      <w:r>
        <w:rPr>
          <w:color w:val="00AEEF"/>
          <w:spacing w:val="-2"/>
        </w:rPr>
        <w:t>Bus</w:t>
      </w:r>
      <w:r>
        <w:rPr>
          <w:color w:val="00AEEF"/>
          <w:spacing w:val="-7"/>
        </w:rPr>
        <w:t xml:space="preserve"> </w:t>
      </w:r>
      <w:r>
        <w:rPr>
          <w:color w:val="00AEEF"/>
          <w:spacing w:val="-2"/>
        </w:rPr>
        <w:t>Demand</w:t>
      </w:r>
      <w:r>
        <w:rPr>
          <w:color w:val="00AEEF"/>
          <w:spacing w:val="-6"/>
        </w:rPr>
        <w:t xml:space="preserve"> </w:t>
      </w:r>
      <w:r>
        <w:rPr>
          <w:color w:val="00AEEF"/>
          <w:spacing w:val="-2"/>
        </w:rPr>
        <w:t>and</w:t>
      </w:r>
      <w:r>
        <w:rPr>
          <w:color w:val="00AEEF"/>
          <w:spacing w:val="-7"/>
        </w:rPr>
        <w:t xml:space="preserve"> </w:t>
      </w:r>
      <w:r>
        <w:rPr>
          <w:color w:val="00AEEF"/>
          <w:spacing w:val="-2"/>
        </w:rPr>
        <w:t>Congestion</w:t>
      </w:r>
    </w:p>
    <w:p w:rsidR="002C1123" w:rsidRDefault="00F22F94">
      <w:pPr>
        <w:pStyle w:val="BodyText"/>
        <w:spacing w:before="95" w:line="249" w:lineRule="auto"/>
        <w:ind w:left="492" w:right="10835"/>
      </w:pPr>
      <w:r>
        <w:t>Sydney’s</w:t>
      </w:r>
      <w:r>
        <w:rPr>
          <w:spacing w:val="-14"/>
        </w:rPr>
        <w:t xml:space="preserve"> </w:t>
      </w:r>
      <w:r>
        <w:t>bus</w:t>
      </w:r>
      <w:r>
        <w:rPr>
          <w:spacing w:val="-14"/>
        </w:rPr>
        <w:t xml:space="preserve"> </w:t>
      </w:r>
      <w:r>
        <w:t>service</w:t>
      </w:r>
      <w:r>
        <w:rPr>
          <w:spacing w:val="-14"/>
        </w:rPr>
        <w:t xml:space="preserve"> </w:t>
      </w:r>
      <w:r>
        <w:t>patterns</w:t>
      </w:r>
      <w:r>
        <w:rPr>
          <w:spacing w:val="-14"/>
        </w:rPr>
        <w:t xml:space="preserve"> </w:t>
      </w:r>
      <w:r>
        <w:t>have</w:t>
      </w:r>
      <w:r>
        <w:rPr>
          <w:spacing w:val="-14"/>
        </w:rPr>
        <w:t xml:space="preserve"> </w:t>
      </w:r>
      <w:r>
        <w:t>seen</w:t>
      </w:r>
      <w:r>
        <w:rPr>
          <w:spacing w:val="-14"/>
        </w:rPr>
        <w:t xml:space="preserve"> </w:t>
      </w:r>
      <w:r>
        <w:t>little</w:t>
      </w:r>
      <w:r>
        <w:rPr>
          <w:spacing w:val="-14"/>
        </w:rPr>
        <w:t xml:space="preserve"> </w:t>
      </w:r>
      <w:r>
        <w:t xml:space="preserve">change </w:t>
      </w:r>
      <w:r>
        <w:rPr>
          <w:w w:val="95"/>
        </w:rPr>
        <w:t xml:space="preserve">over the decades. Today’s bus services are remarkably </w:t>
      </w:r>
      <w:r>
        <w:t>consistent</w:t>
      </w:r>
      <w:r>
        <w:rPr>
          <w:spacing w:val="-9"/>
        </w:rPr>
        <w:t xml:space="preserve"> </w:t>
      </w:r>
      <w:r>
        <w:t>with</w:t>
      </w:r>
      <w:r>
        <w:rPr>
          <w:spacing w:val="-9"/>
        </w:rPr>
        <w:t xml:space="preserve"> </w:t>
      </w:r>
      <w:r>
        <w:t>the</w:t>
      </w:r>
      <w:r>
        <w:rPr>
          <w:spacing w:val="-9"/>
        </w:rPr>
        <w:t xml:space="preserve"> </w:t>
      </w:r>
      <w:r>
        <w:t>tram</w:t>
      </w:r>
      <w:r>
        <w:rPr>
          <w:spacing w:val="-10"/>
        </w:rPr>
        <w:t xml:space="preserve"> </w:t>
      </w:r>
      <w:r>
        <w:t>routes</w:t>
      </w:r>
      <w:r>
        <w:rPr>
          <w:spacing w:val="-9"/>
        </w:rPr>
        <w:t xml:space="preserve"> </w:t>
      </w:r>
      <w:r>
        <w:t>of</w:t>
      </w:r>
      <w:r>
        <w:rPr>
          <w:spacing w:val="-9"/>
        </w:rPr>
        <w:t xml:space="preserve"> </w:t>
      </w:r>
      <w:r>
        <w:t>the</w:t>
      </w:r>
      <w:r>
        <w:rPr>
          <w:spacing w:val="-9"/>
        </w:rPr>
        <w:t xml:space="preserve"> </w:t>
      </w:r>
      <w:r>
        <w:t>1950s,</w:t>
      </w:r>
      <w:r>
        <w:rPr>
          <w:spacing w:val="-9"/>
        </w:rPr>
        <w:t xml:space="preserve"> </w:t>
      </w:r>
      <w:r>
        <w:t xml:space="preserve">despite </w:t>
      </w:r>
      <w:r>
        <w:rPr>
          <w:w w:val="95"/>
        </w:rPr>
        <w:t xml:space="preserve">significant changes to land use and employment growth </w:t>
      </w:r>
      <w:r>
        <w:t>in the CBD since that date.</w:t>
      </w:r>
    </w:p>
    <w:p w:rsidR="002C1123" w:rsidRDefault="00F22F94">
      <w:pPr>
        <w:pStyle w:val="BodyText"/>
        <w:spacing w:before="146" w:line="249" w:lineRule="auto"/>
        <w:ind w:left="492" w:right="11066"/>
      </w:pPr>
      <w:r>
        <w:t>Buses</w:t>
      </w:r>
      <w:r>
        <w:rPr>
          <w:spacing w:val="-7"/>
        </w:rPr>
        <w:t xml:space="preserve"> </w:t>
      </w:r>
      <w:r>
        <w:t>perform</w:t>
      </w:r>
      <w:r>
        <w:rPr>
          <w:spacing w:val="-8"/>
        </w:rPr>
        <w:t xml:space="preserve"> </w:t>
      </w:r>
      <w:r>
        <w:t>a</w:t>
      </w:r>
      <w:r>
        <w:rPr>
          <w:spacing w:val="-7"/>
        </w:rPr>
        <w:t xml:space="preserve"> </w:t>
      </w:r>
      <w:r>
        <w:t>critical</w:t>
      </w:r>
      <w:r>
        <w:rPr>
          <w:spacing w:val="-7"/>
        </w:rPr>
        <w:t xml:space="preserve"> </w:t>
      </w:r>
      <w:r>
        <w:t>role</w:t>
      </w:r>
      <w:r>
        <w:rPr>
          <w:spacing w:val="-7"/>
        </w:rPr>
        <w:t xml:space="preserve"> </w:t>
      </w:r>
      <w:r>
        <w:t>taking</w:t>
      </w:r>
      <w:r>
        <w:rPr>
          <w:spacing w:val="-7"/>
        </w:rPr>
        <w:t xml:space="preserve"> </w:t>
      </w:r>
      <w:r>
        <w:t>people</w:t>
      </w:r>
      <w:r>
        <w:rPr>
          <w:spacing w:val="-7"/>
        </w:rPr>
        <w:t xml:space="preserve"> </w:t>
      </w:r>
      <w:r>
        <w:t>to</w:t>
      </w:r>
      <w:r>
        <w:rPr>
          <w:spacing w:val="-7"/>
        </w:rPr>
        <w:t xml:space="preserve"> </w:t>
      </w:r>
      <w:r>
        <w:t xml:space="preserve">and </w:t>
      </w:r>
      <w:r>
        <w:rPr>
          <w:w w:val="95"/>
        </w:rPr>
        <w:t>from</w:t>
      </w:r>
      <w:r>
        <w:rPr>
          <w:spacing w:val="-5"/>
          <w:w w:val="95"/>
        </w:rPr>
        <w:t xml:space="preserve"> </w:t>
      </w:r>
      <w:r>
        <w:rPr>
          <w:w w:val="95"/>
        </w:rPr>
        <w:t>work</w:t>
      </w:r>
      <w:r>
        <w:rPr>
          <w:spacing w:val="-4"/>
          <w:w w:val="95"/>
        </w:rPr>
        <w:t xml:space="preserve"> </w:t>
      </w:r>
      <w:r>
        <w:rPr>
          <w:w w:val="95"/>
        </w:rPr>
        <w:t>in</w:t>
      </w:r>
      <w:r>
        <w:rPr>
          <w:spacing w:val="-4"/>
          <w:w w:val="95"/>
        </w:rPr>
        <w:t xml:space="preserve"> </w:t>
      </w:r>
      <w:r>
        <w:rPr>
          <w:w w:val="95"/>
        </w:rPr>
        <w:t>the</w:t>
      </w:r>
      <w:r>
        <w:rPr>
          <w:spacing w:val="-4"/>
          <w:w w:val="95"/>
        </w:rPr>
        <w:t xml:space="preserve"> </w:t>
      </w:r>
      <w:r>
        <w:rPr>
          <w:w w:val="95"/>
        </w:rPr>
        <w:t>CBD,</w:t>
      </w:r>
      <w:r>
        <w:rPr>
          <w:spacing w:val="-4"/>
          <w:w w:val="95"/>
        </w:rPr>
        <w:t xml:space="preserve"> </w:t>
      </w:r>
      <w:r>
        <w:rPr>
          <w:w w:val="95"/>
        </w:rPr>
        <w:t>especially</w:t>
      </w:r>
      <w:r>
        <w:rPr>
          <w:spacing w:val="-4"/>
          <w:w w:val="95"/>
        </w:rPr>
        <w:t xml:space="preserve"> </w:t>
      </w:r>
      <w:r>
        <w:rPr>
          <w:w w:val="95"/>
        </w:rPr>
        <w:t>from</w:t>
      </w:r>
      <w:r>
        <w:rPr>
          <w:spacing w:val="-5"/>
          <w:w w:val="95"/>
        </w:rPr>
        <w:t xml:space="preserve"> </w:t>
      </w:r>
      <w:r>
        <w:rPr>
          <w:w w:val="95"/>
        </w:rPr>
        <w:t>inner</w:t>
      </w:r>
      <w:r>
        <w:rPr>
          <w:spacing w:val="-4"/>
          <w:w w:val="95"/>
        </w:rPr>
        <w:t xml:space="preserve"> </w:t>
      </w:r>
      <w:r>
        <w:rPr>
          <w:w w:val="95"/>
        </w:rPr>
        <w:t>suburbs.</w:t>
      </w:r>
    </w:p>
    <w:p w:rsidR="002C1123" w:rsidRDefault="00F22F94">
      <w:pPr>
        <w:pStyle w:val="BodyText"/>
        <w:spacing w:before="1" w:line="249" w:lineRule="auto"/>
        <w:ind w:left="492" w:right="10835"/>
      </w:pPr>
      <w:r>
        <w:rPr>
          <w:w w:val="95"/>
        </w:rPr>
        <w:t xml:space="preserve">The morning peak two-hour passenger flows on buses </w:t>
      </w:r>
      <w:r>
        <w:t>and</w:t>
      </w:r>
      <w:r>
        <w:rPr>
          <w:spacing w:val="-14"/>
        </w:rPr>
        <w:t xml:space="preserve"> </w:t>
      </w:r>
      <w:r>
        <w:t>other</w:t>
      </w:r>
      <w:r>
        <w:rPr>
          <w:spacing w:val="-14"/>
        </w:rPr>
        <w:t xml:space="preserve"> </w:t>
      </w:r>
      <w:r>
        <w:t>modes</w:t>
      </w:r>
      <w:r>
        <w:rPr>
          <w:spacing w:val="-14"/>
        </w:rPr>
        <w:t xml:space="preserve"> </w:t>
      </w:r>
      <w:r>
        <w:t>are</w:t>
      </w:r>
      <w:r>
        <w:rPr>
          <w:spacing w:val="-14"/>
        </w:rPr>
        <w:t xml:space="preserve"> </w:t>
      </w:r>
      <w:r>
        <w:t>summarised</w:t>
      </w:r>
      <w:r>
        <w:rPr>
          <w:spacing w:val="-14"/>
        </w:rPr>
        <w:t xml:space="preserve"> </w:t>
      </w:r>
      <w:r>
        <w:t>in</w:t>
      </w:r>
      <w:r>
        <w:rPr>
          <w:spacing w:val="-14"/>
        </w:rPr>
        <w:t xml:space="preserve"> </w:t>
      </w:r>
      <w:r>
        <w:t>Figure</w:t>
      </w:r>
      <w:r>
        <w:rPr>
          <w:spacing w:val="-14"/>
        </w:rPr>
        <w:t xml:space="preserve"> </w:t>
      </w:r>
      <w:r>
        <w:t>7.1</w:t>
      </w:r>
      <w:r>
        <w:rPr>
          <w:position w:val="7"/>
          <w:sz w:val="11"/>
        </w:rPr>
        <w:t>4</w:t>
      </w:r>
      <w:r>
        <w:t>.</w:t>
      </w:r>
    </w:p>
    <w:p w:rsidR="002C1123" w:rsidRDefault="00F22F94">
      <w:pPr>
        <w:pStyle w:val="BodyText"/>
        <w:spacing w:before="144" w:line="249" w:lineRule="auto"/>
        <w:ind w:left="492" w:right="10891"/>
      </w:pPr>
      <w:r>
        <w:rPr>
          <w:w w:val="90"/>
        </w:rPr>
        <w:t>As</w:t>
      </w:r>
      <w:r>
        <w:rPr>
          <w:spacing w:val="-10"/>
          <w:w w:val="90"/>
        </w:rPr>
        <w:t xml:space="preserve"> </w:t>
      </w:r>
      <w:r>
        <w:rPr>
          <w:w w:val="90"/>
        </w:rPr>
        <w:t>shown</w:t>
      </w:r>
      <w:r>
        <w:rPr>
          <w:spacing w:val="-9"/>
          <w:w w:val="90"/>
        </w:rPr>
        <w:t xml:space="preserve"> </w:t>
      </w:r>
      <w:r>
        <w:rPr>
          <w:w w:val="90"/>
        </w:rPr>
        <w:t>in</w:t>
      </w:r>
      <w:r>
        <w:rPr>
          <w:spacing w:val="-10"/>
          <w:w w:val="90"/>
        </w:rPr>
        <w:t xml:space="preserve"> </w:t>
      </w:r>
      <w:r>
        <w:rPr>
          <w:w w:val="90"/>
        </w:rPr>
        <w:t>Figure</w:t>
      </w:r>
      <w:r>
        <w:rPr>
          <w:spacing w:val="-9"/>
          <w:w w:val="90"/>
        </w:rPr>
        <w:t xml:space="preserve"> </w:t>
      </w:r>
      <w:r>
        <w:rPr>
          <w:w w:val="90"/>
        </w:rPr>
        <w:t>7.1,</w:t>
      </w:r>
      <w:r>
        <w:rPr>
          <w:spacing w:val="-9"/>
          <w:w w:val="90"/>
        </w:rPr>
        <w:t xml:space="preserve"> </w:t>
      </w:r>
      <w:r>
        <w:rPr>
          <w:w w:val="90"/>
        </w:rPr>
        <w:t>the</w:t>
      </w:r>
      <w:r>
        <w:rPr>
          <w:spacing w:val="-10"/>
          <w:w w:val="90"/>
        </w:rPr>
        <w:t xml:space="preserve"> </w:t>
      </w:r>
      <w:r>
        <w:rPr>
          <w:w w:val="90"/>
        </w:rPr>
        <w:t>largest</w:t>
      </w:r>
      <w:r>
        <w:rPr>
          <w:spacing w:val="-9"/>
          <w:w w:val="90"/>
        </w:rPr>
        <w:t xml:space="preserve"> </w:t>
      </w:r>
      <w:r>
        <w:rPr>
          <w:w w:val="90"/>
        </w:rPr>
        <w:t>flows,</w:t>
      </w:r>
      <w:r>
        <w:rPr>
          <w:spacing w:val="-10"/>
          <w:w w:val="90"/>
        </w:rPr>
        <w:t xml:space="preserve"> </w:t>
      </w:r>
      <w:r>
        <w:rPr>
          <w:w w:val="90"/>
        </w:rPr>
        <w:t xml:space="preserve">(approximately </w:t>
      </w:r>
      <w:r>
        <w:rPr>
          <w:w w:val="95"/>
        </w:rPr>
        <w:t xml:space="preserve">two thirds of total CBD morning peak two-hour bus </w:t>
      </w:r>
      <w:r>
        <w:t>patronage),</w:t>
      </w:r>
      <w:r>
        <w:rPr>
          <w:spacing w:val="-15"/>
        </w:rPr>
        <w:t xml:space="preserve"> </w:t>
      </w:r>
      <w:r>
        <w:t>are</w:t>
      </w:r>
      <w:r>
        <w:rPr>
          <w:spacing w:val="-15"/>
        </w:rPr>
        <w:t xml:space="preserve"> </w:t>
      </w:r>
      <w:r>
        <w:t>from:</w:t>
      </w:r>
    </w:p>
    <w:p w:rsidR="002C1123" w:rsidRDefault="002060EF">
      <w:pPr>
        <w:pStyle w:val="ListParagraph"/>
        <w:numPr>
          <w:ilvl w:val="3"/>
          <w:numId w:val="92"/>
        </w:numPr>
        <w:tabs>
          <w:tab w:val="left" w:pos="776"/>
        </w:tabs>
        <w:spacing w:before="131" w:line="249" w:lineRule="auto"/>
        <w:ind w:right="10935" w:hanging="284"/>
        <w:rPr>
          <w:sz w:val="20"/>
        </w:rPr>
      </w:pPr>
      <w:r>
        <w:pict>
          <v:shape id="docshape1267" o:spid="_x0000_s3986" type="#_x0000_t202" style="position:absolute;left:0;text-align:left;margin-left:522.75pt;margin-top:59.55pt;width:11.2pt;height:27pt;z-index:251381760;mso-position-horizontal-relative:page" filled="f" stroked="f">
            <v:textbox style="layout-flow:vertical" inset="0,0,0,0">
              <w:txbxContent>
                <w:p w:rsidR="00F22F94" w:rsidRDefault="00F22F94">
                  <w:pPr>
                    <w:spacing w:before="19"/>
                    <w:ind w:left="20"/>
                    <w:rPr>
                      <w:sz w:val="16"/>
                    </w:rPr>
                  </w:pPr>
                  <w:r>
                    <w:rPr>
                      <w:color w:val="FFFFFF"/>
                      <w:spacing w:val="-2"/>
                      <w:w w:val="85"/>
                      <w:sz w:val="16"/>
                    </w:rPr>
                    <w:t>104,000</w:t>
                  </w:r>
                </w:p>
              </w:txbxContent>
            </v:textbox>
            <w10:wrap anchorx="page"/>
          </v:shape>
        </w:pict>
      </w:r>
      <w:r>
        <w:pict>
          <v:shape id="docshape1268" o:spid="_x0000_s3985" type="#_x0000_t202" style="position:absolute;left:0;text-align:left;margin-left:637.55pt;margin-top:66.1pt;width:11.2pt;height:23.15pt;z-index:251382784;mso-position-horizontal-relative:page" filled="f" stroked="f">
            <v:textbox style="layout-flow:vertical;mso-layout-flow-alt:bottom-to-top" inset="0,0,0,0">
              <w:txbxContent>
                <w:p w:rsidR="00F22F94" w:rsidRDefault="00F22F94">
                  <w:pPr>
                    <w:spacing w:before="19"/>
                    <w:ind w:left="20"/>
                    <w:rPr>
                      <w:sz w:val="16"/>
                    </w:rPr>
                  </w:pPr>
                  <w:r>
                    <w:rPr>
                      <w:color w:val="FFFFFF"/>
                      <w:spacing w:val="-2"/>
                      <w:w w:val="90"/>
                      <w:sz w:val="16"/>
                    </w:rPr>
                    <w:t>22,000</w:t>
                  </w:r>
                </w:p>
              </w:txbxContent>
            </v:textbox>
            <w10:wrap anchorx="page"/>
          </v:shape>
        </w:pict>
      </w:r>
      <w:r w:rsidR="00F22F94">
        <w:rPr>
          <w:sz w:val="20"/>
        </w:rPr>
        <w:t>the</w:t>
      </w:r>
      <w:r w:rsidR="00F22F94">
        <w:rPr>
          <w:spacing w:val="-8"/>
          <w:sz w:val="20"/>
        </w:rPr>
        <w:t xml:space="preserve"> </w:t>
      </w:r>
      <w:r w:rsidR="00F22F94">
        <w:rPr>
          <w:sz w:val="20"/>
        </w:rPr>
        <w:t>Sydney</w:t>
      </w:r>
      <w:r w:rsidR="00F22F94">
        <w:rPr>
          <w:spacing w:val="-8"/>
          <w:sz w:val="20"/>
        </w:rPr>
        <w:t xml:space="preserve"> </w:t>
      </w:r>
      <w:r w:rsidR="00F22F94">
        <w:rPr>
          <w:sz w:val="20"/>
        </w:rPr>
        <w:t>Harbour</w:t>
      </w:r>
      <w:r w:rsidR="00F22F94">
        <w:rPr>
          <w:spacing w:val="-8"/>
          <w:sz w:val="20"/>
        </w:rPr>
        <w:t xml:space="preserve"> </w:t>
      </w:r>
      <w:r w:rsidR="00F22F94">
        <w:rPr>
          <w:sz w:val="20"/>
        </w:rPr>
        <w:t>Bridge,</w:t>
      </w:r>
      <w:r w:rsidR="00F22F94">
        <w:rPr>
          <w:spacing w:val="-8"/>
          <w:sz w:val="20"/>
        </w:rPr>
        <w:t xml:space="preserve"> </w:t>
      </w:r>
      <w:r w:rsidR="00F22F94">
        <w:rPr>
          <w:sz w:val="20"/>
        </w:rPr>
        <w:t>which</w:t>
      </w:r>
      <w:r w:rsidR="00F22F94">
        <w:rPr>
          <w:spacing w:val="-8"/>
          <w:sz w:val="20"/>
        </w:rPr>
        <w:t xml:space="preserve"> </w:t>
      </w:r>
      <w:r w:rsidR="00F22F94">
        <w:rPr>
          <w:sz w:val="20"/>
        </w:rPr>
        <w:t>brings</w:t>
      </w:r>
      <w:r w:rsidR="00F22F94">
        <w:rPr>
          <w:spacing w:val="-8"/>
          <w:sz w:val="20"/>
        </w:rPr>
        <w:t xml:space="preserve"> </w:t>
      </w:r>
      <w:r w:rsidR="00F22F94">
        <w:rPr>
          <w:sz w:val="20"/>
        </w:rPr>
        <w:t>in</w:t>
      </w:r>
      <w:r w:rsidR="00F22F94">
        <w:rPr>
          <w:spacing w:val="-8"/>
          <w:sz w:val="20"/>
        </w:rPr>
        <w:t xml:space="preserve"> </w:t>
      </w:r>
      <w:r w:rsidR="00F22F94">
        <w:rPr>
          <w:sz w:val="20"/>
        </w:rPr>
        <w:t xml:space="preserve">more </w:t>
      </w:r>
      <w:r w:rsidR="00F22F94">
        <w:rPr>
          <w:w w:val="95"/>
          <w:sz w:val="20"/>
        </w:rPr>
        <w:t>bus</w:t>
      </w:r>
      <w:r w:rsidR="00F22F94">
        <w:rPr>
          <w:spacing w:val="-7"/>
          <w:w w:val="95"/>
          <w:sz w:val="20"/>
        </w:rPr>
        <w:t xml:space="preserve"> </w:t>
      </w:r>
      <w:r w:rsidR="00F22F94">
        <w:rPr>
          <w:w w:val="95"/>
          <w:sz w:val="20"/>
        </w:rPr>
        <w:t>passengers</w:t>
      </w:r>
      <w:r w:rsidR="00F22F94">
        <w:rPr>
          <w:spacing w:val="-7"/>
          <w:w w:val="95"/>
          <w:sz w:val="20"/>
        </w:rPr>
        <w:t xml:space="preserve"> </w:t>
      </w:r>
      <w:r w:rsidR="00F22F94">
        <w:rPr>
          <w:w w:val="95"/>
          <w:sz w:val="20"/>
        </w:rPr>
        <w:t>than</w:t>
      </w:r>
      <w:r w:rsidR="00F22F94">
        <w:rPr>
          <w:spacing w:val="-7"/>
          <w:w w:val="95"/>
          <w:sz w:val="20"/>
        </w:rPr>
        <w:t xml:space="preserve"> </w:t>
      </w:r>
      <w:r w:rsidR="00F22F94">
        <w:rPr>
          <w:w w:val="95"/>
          <w:sz w:val="20"/>
        </w:rPr>
        <w:t>passengers</w:t>
      </w:r>
      <w:r w:rsidR="00F22F94">
        <w:rPr>
          <w:spacing w:val="-7"/>
          <w:w w:val="95"/>
          <w:sz w:val="20"/>
        </w:rPr>
        <w:t xml:space="preserve"> </w:t>
      </w:r>
      <w:r w:rsidR="00F22F94">
        <w:rPr>
          <w:w w:val="95"/>
          <w:sz w:val="20"/>
        </w:rPr>
        <w:t>travelling</w:t>
      </w:r>
      <w:r w:rsidR="00F22F94">
        <w:rPr>
          <w:spacing w:val="-7"/>
          <w:w w:val="95"/>
          <w:sz w:val="20"/>
        </w:rPr>
        <w:t xml:space="preserve"> </w:t>
      </w:r>
      <w:r w:rsidR="00F22F94">
        <w:rPr>
          <w:w w:val="95"/>
          <w:sz w:val="20"/>
        </w:rPr>
        <w:t>over</w:t>
      </w:r>
      <w:r w:rsidR="00F22F94">
        <w:rPr>
          <w:spacing w:val="-7"/>
          <w:w w:val="95"/>
          <w:sz w:val="20"/>
        </w:rPr>
        <w:t xml:space="preserve"> </w:t>
      </w:r>
      <w:r w:rsidR="00F22F94">
        <w:rPr>
          <w:w w:val="95"/>
          <w:sz w:val="20"/>
        </w:rPr>
        <w:t xml:space="preserve">the Bridge on trains, and includes commuters from the </w:t>
      </w:r>
      <w:r w:rsidR="00F22F94">
        <w:rPr>
          <w:sz w:val="20"/>
        </w:rPr>
        <w:t>North</w:t>
      </w:r>
      <w:r w:rsidR="00F22F94">
        <w:rPr>
          <w:spacing w:val="-9"/>
          <w:sz w:val="20"/>
        </w:rPr>
        <w:t xml:space="preserve"> </w:t>
      </w:r>
      <w:r w:rsidR="00F22F94">
        <w:rPr>
          <w:sz w:val="20"/>
        </w:rPr>
        <w:t>West</w:t>
      </w:r>
      <w:r w:rsidR="00F22F94">
        <w:rPr>
          <w:spacing w:val="-9"/>
          <w:sz w:val="20"/>
        </w:rPr>
        <w:t xml:space="preserve"> </w:t>
      </w:r>
      <w:r w:rsidR="00F22F94">
        <w:rPr>
          <w:sz w:val="20"/>
        </w:rPr>
        <w:t>and</w:t>
      </w:r>
      <w:r w:rsidR="00F22F94">
        <w:rPr>
          <w:spacing w:val="-9"/>
          <w:sz w:val="20"/>
        </w:rPr>
        <w:t xml:space="preserve"> </w:t>
      </w:r>
      <w:r w:rsidR="00F22F94">
        <w:rPr>
          <w:sz w:val="20"/>
        </w:rPr>
        <w:t>the</w:t>
      </w:r>
      <w:r w:rsidR="00F22F94">
        <w:rPr>
          <w:spacing w:val="-9"/>
          <w:sz w:val="20"/>
        </w:rPr>
        <w:t xml:space="preserve"> </w:t>
      </w:r>
      <w:r w:rsidR="00F22F94">
        <w:rPr>
          <w:sz w:val="20"/>
        </w:rPr>
        <w:t>Northern</w:t>
      </w:r>
      <w:r w:rsidR="00F22F94">
        <w:rPr>
          <w:spacing w:val="-9"/>
          <w:sz w:val="20"/>
        </w:rPr>
        <w:t xml:space="preserve"> </w:t>
      </w:r>
      <w:r w:rsidR="00F22F94">
        <w:rPr>
          <w:sz w:val="20"/>
        </w:rPr>
        <w:t>Beaches,</w:t>
      </w:r>
      <w:r w:rsidR="00F22F94">
        <w:rPr>
          <w:spacing w:val="-9"/>
          <w:sz w:val="20"/>
        </w:rPr>
        <w:t xml:space="preserve"> </w:t>
      </w:r>
      <w:r w:rsidR="00F22F94">
        <w:rPr>
          <w:sz w:val="20"/>
        </w:rPr>
        <w:t>as</w:t>
      </w:r>
      <w:r w:rsidR="00F22F94">
        <w:rPr>
          <w:spacing w:val="-9"/>
          <w:sz w:val="20"/>
        </w:rPr>
        <w:t xml:space="preserve"> </w:t>
      </w:r>
      <w:r w:rsidR="00F22F94">
        <w:rPr>
          <w:sz w:val="20"/>
        </w:rPr>
        <w:t>well</w:t>
      </w:r>
      <w:r w:rsidR="00F22F94">
        <w:rPr>
          <w:spacing w:val="-9"/>
          <w:sz w:val="20"/>
        </w:rPr>
        <w:t xml:space="preserve"> </w:t>
      </w:r>
      <w:r w:rsidR="00F22F94">
        <w:rPr>
          <w:sz w:val="20"/>
        </w:rPr>
        <w:t>as inner</w:t>
      </w:r>
      <w:r w:rsidR="00F22F94">
        <w:rPr>
          <w:spacing w:val="-11"/>
          <w:sz w:val="20"/>
        </w:rPr>
        <w:t xml:space="preserve"> </w:t>
      </w:r>
      <w:r w:rsidR="00F22F94">
        <w:rPr>
          <w:sz w:val="20"/>
        </w:rPr>
        <w:t>suburbs.</w:t>
      </w:r>
    </w:p>
    <w:p w:rsidR="002C1123" w:rsidRDefault="00F22F94">
      <w:pPr>
        <w:pStyle w:val="ListParagraph"/>
        <w:numPr>
          <w:ilvl w:val="3"/>
          <w:numId w:val="92"/>
        </w:numPr>
        <w:tabs>
          <w:tab w:val="left" w:pos="776"/>
        </w:tabs>
        <w:spacing w:before="133"/>
        <w:ind w:hanging="284"/>
        <w:rPr>
          <w:sz w:val="20"/>
        </w:rPr>
      </w:pPr>
      <w:r>
        <w:rPr>
          <w:w w:val="95"/>
          <w:sz w:val="20"/>
        </w:rPr>
        <w:t>the</w:t>
      </w:r>
      <w:r>
        <w:rPr>
          <w:spacing w:val="-7"/>
          <w:w w:val="95"/>
          <w:sz w:val="20"/>
        </w:rPr>
        <w:t xml:space="preserve"> </w:t>
      </w:r>
      <w:r>
        <w:rPr>
          <w:w w:val="95"/>
          <w:sz w:val="20"/>
        </w:rPr>
        <w:t>Inner</w:t>
      </w:r>
      <w:r>
        <w:rPr>
          <w:spacing w:val="-6"/>
          <w:w w:val="95"/>
          <w:sz w:val="20"/>
        </w:rPr>
        <w:t xml:space="preserve"> </w:t>
      </w:r>
      <w:r>
        <w:rPr>
          <w:w w:val="95"/>
          <w:sz w:val="20"/>
        </w:rPr>
        <w:t>West,</w:t>
      </w:r>
      <w:r>
        <w:rPr>
          <w:spacing w:val="-7"/>
          <w:w w:val="95"/>
          <w:sz w:val="20"/>
        </w:rPr>
        <w:t xml:space="preserve"> </w:t>
      </w:r>
      <w:r>
        <w:rPr>
          <w:w w:val="95"/>
          <w:sz w:val="20"/>
        </w:rPr>
        <w:t>from</w:t>
      </w:r>
      <w:r>
        <w:rPr>
          <w:spacing w:val="-7"/>
          <w:w w:val="95"/>
          <w:sz w:val="20"/>
        </w:rPr>
        <w:t xml:space="preserve"> </w:t>
      </w:r>
      <w:r>
        <w:rPr>
          <w:w w:val="95"/>
          <w:sz w:val="20"/>
        </w:rPr>
        <w:t>where</w:t>
      </w:r>
      <w:r>
        <w:rPr>
          <w:spacing w:val="-6"/>
          <w:w w:val="95"/>
          <w:sz w:val="20"/>
        </w:rPr>
        <w:t xml:space="preserve"> </w:t>
      </w:r>
      <w:r>
        <w:rPr>
          <w:w w:val="95"/>
          <w:sz w:val="20"/>
        </w:rPr>
        <w:t>Broadway</w:t>
      </w:r>
      <w:r>
        <w:rPr>
          <w:spacing w:val="-7"/>
          <w:w w:val="95"/>
          <w:sz w:val="20"/>
        </w:rPr>
        <w:t xml:space="preserve"> </w:t>
      </w:r>
      <w:r>
        <w:rPr>
          <w:spacing w:val="-5"/>
          <w:w w:val="95"/>
          <w:sz w:val="20"/>
        </w:rPr>
        <w:t>and</w:t>
      </w:r>
    </w:p>
    <w:p w:rsidR="002C1123" w:rsidRDefault="00F22F94">
      <w:pPr>
        <w:pStyle w:val="BodyText"/>
        <w:spacing w:before="10" w:line="249" w:lineRule="auto"/>
        <w:ind w:left="775" w:right="10730"/>
      </w:pPr>
      <w:r>
        <w:rPr>
          <w:w w:val="95"/>
        </w:rPr>
        <w:t>Western</w:t>
      </w:r>
      <w:r>
        <w:rPr>
          <w:spacing w:val="-8"/>
          <w:w w:val="95"/>
        </w:rPr>
        <w:t xml:space="preserve"> </w:t>
      </w:r>
      <w:r>
        <w:rPr>
          <w:w w:val="95"/>
        </w:rPr>
        <w:t>Distributor</w:t>
      </w:r>
      <w:r>
        <w:rPr>
          <w:spacing w:val="-8"/>
          <w:w w:val="95"/>
        </w:rPr>
        <w:t xml:space="preserve"> </w:t>
      </w:r>
      <w:r>
        <w:rPr>
          <w:w w:val="95"/>
        </w:rPr>
        <w:t>(Victoria</w:t>
      </w:r>
      <w:r>
        <w:rPr>
          <w:spacing w:val="-8"/>
          <w:w w:val="95"/>
        </w:rPr>
        <w:t xml:space="preserve"> </w:t>
      </w:r>
      <w:r>
        <w:rPr>
          <w:w w:val="95"/>
        </w:rPr>
        <w:t>Road)</w:t>
      </w:r>
      <w:r>
        <w:rPr>
          <w:spacing w:val="-8"/>
          <w:w w:val="95"/>
        </w:rPr>
        <w:t xml:space="preserve"> </w:t>
      </w:r>
      <w:r>
        <w:rPr>
          <w:w w:val="95"/>
        </w:rPr>
        <w:t>services</w:t>
      </w:r>
      <w:r>
        <w:rPr>
          <w:spacing w:val="-8"/>
          <w:w w:val="95"/>
        </w:rPr>
        <w:t xml:space="preserve"> </w:t>
      </w:r>
      <w:r>
        <w:rPr>
          <w:w w:val="95"/>
        </w:rPr>
        <w:t xml:space="preserve">combine </w:t>
      </w:r>
      <w:r>
        <w:t>on George Street.</w:t>
      </w:r>
    </w:p>
    <w:p w:rsidR="002C1123" w:rsidRDefault="00F22F94">
      <w:pPr>
        <w:pStyle w:val="BodyText"/>
        <w:spacing w:before="144" w:line="249" w:lineRule="auto"/>
        <w:ind w:left="492" w:right="10835"/>
      </w:pPr>
      <w:r>
        <w:rPr>
          <w:w w:val="95"/>
        </w:rPr>
        <w:t>The</w:t>
      </w:r>
      <w:r>
        <w:rPr>
          <w:spacing w:val="-3"/>
          <w:w w:val="95"/>
        </w:rPr>
        <w:t xml:space="preserve"> </w:t>
      </w:r>
      <w:r>
        <w:rPr>
          <w:w w:val="95"/>
        </w:rPr>
        <w:t>biggest</w:t>
      </w:r>
      <w:r>
        <w:rPr>
          <w:spacing w:val="-3"/>
          <w:w w:val="95"/>
        </w:rPr>
        <w:t xml:space="preserve"> </w:t>
      </w:r>
      <w:r>
        <w:rPr>
          <w:w w:val="95"/>
        </w:rPr>
        <w:t>issue</w:t>
      </w:r>
      <w:r>
        <w:rPr>
          <w:spacing w:val="-3"/>
          <w:w w:val="95"/>
        </w:rPr>
        <w:t xml:space="preserve"> </w:t>
      </w:r>
      <w:r>
        <w:rPr>
          <w:w w:val="95"/>
        </w:rPr>
        <w:t>with</w:t>
      </w:r>
      <w:r>
        <w:rPr>
          <w:spacing w:val="-3"/>
          <w:w w:val="95"/>
        </w:rPr>
        <w:t xml:space="preserve"> </w:t>
      </w:r>
      <w:r>
        <w:rPr>
          <w:w w:val="95"/>
        </w:rPr>
        <w:t>these</w:t>
      </w:r>
      <w:r>
        <w:rPr>
          <w:spacing w:val="-3"/>
          <w:w w:val="95"/>
        </w:rPr>
        <w:t xml:space="preserve"> </w:t>
      </w:r>
      <w:r>
        <w:rPr>
          <w:w w:val="95"/>
        </w:rPr>
        <w:t>services</w:t>
      </w:r>
      <w:r>
        <w:rPr>
          <w:spacing w:val="-3"/>
          <w:w w:val="95"/>
        </w:rPr>
        <w:t xml:space="preserve"> </w:t>
      </w:r>
      <w:r>
        <w:rPr>
          <w:w w:val="95"/>
        </w:rPr>
        <w:t>is</w:t>
      </w:r>
      <w:r>
        <w:rPr>
          <w:spacing w:val="-3"/>
          <w:w w:val="95"/>
        </w:rPr>
        <w:t xml:space="preserve"> </w:t>
      </w:r>
      <w:r>
        <w:rPr>
          <w:w w:val="95"/>
        </w:rPr>
        <w:t>congestion</w:t>
      </w:r>
      <w:r>
        <w:rPr>
          <w:spacing w:val="-3"/>
          <w:w w:val="95"/>
        </w:rPr>
        <w:t xml:space="preserve"> </w:t>
      </w:r>
      <w:r>
        <w:rPr>
          <w:w w:val="95"/>
        </w:rPr>
        <w:t xml:space="preserve">and </w:t>
      </w:r>
      <w:r>
        <w:t>unreliability</w:t>
      </w:r>
      <w:r>
        <w:rPr>
          <w:spacing w:val="-14"/>
        </w:rPr>
        <w:t xml:space="preserve"> </w:t>
      </w:r>
      <w:r>
        <w:t>on</w:t>
      </w:r>
      <w:r>
        <w:rPr>
          <w:spacing w:val="-14"/>
        </w:rPr>
        <w:t xml:space="preserve"> </w:t>
      </w:r>
      <w:r>
        <w:t>entering</w:t>
      </w:r>
      <w:r>
        <w:rPr>
          <w:spacing w:val="-14"/>
        </w:rPr>
        <w:t xml:space="preserve"> </w:t>
      </w:r>
      <w:r>
        <w:t>the</w:t>
      </w:r>
      <w:r>
        <w:rPr>
          <w:spacing w:val="-14"/>
        </w:rPr>
        <w:t xml:space="preserve"> </w:t>
      </w:r>
      <w:r>
        <w:t>CBD.</w:t>
      </w:r>
      <w:r>
        <w:rPr>
          <w:spacing w:val="-14"/>
        </w:rPr>
        <w:t xml:space="preserve"> </w:t>
      </w:r>
      <w:r>
        <w:t>Extended</w:t>
      </w:r>
      <w:r>
        <w:rPr>
          <w:spacing w:val="-14"/>
        </w:rPr>
        <w:t xml:space="preserve"> </w:t>
      </w:r>
      <w:r>
        <w:t>peak</w:t>
      </w:r>
      <w:r>
        <w:rPr>
          <w:spacing w:val="-14"/>
        </w:rPr>
        <w:t xml:space="preserve"> </w:t>
      </w:r>
      <w:r>
        <w:t>hour delays</w:t>
      </w:r>
      <w:r>
        <w:rPr>
          <w:spacing w:val="-11"/>
        </w:rPr>
        <w:t xml:space="preserve"> </w:t>
      </w:r>
      <w:r>
        <w:t>are</w:t>
      </w:r>
      <w:r>
        <w:rPr>
          <w:spacing w:val="-11"/>
        </w:rPr>
        <w:t xml:space="preserve"> </w:t>
      </w:r>
      <w:r>
        <w:t>the</w:t>
      </w:r>
      <w:r>
        <w:rPr>
          <w:spacing w:val="-11"/>
        </w:rPr>
        <w:t xml:space="preserve"> </w:t>
      </w:r>
      <w:r>
        <w:t>norm</w:t>
      </w:r>
      <w:r>
        <w:rPr>
          <w:spacing w:val="-12"/>
        </w:rPr>
        <w:t xml:space="preserve"> </w:t>
      </w:r>
      <w:r>
        <w:t>between</w:t>
      </w:r>
      <w:r>
        <w:rPr>
          <w:spacing w:val="-11"/>
        </w:rPr>
        <w:t xml:space="preserve"> </w:t>
      </w:r>
      <w:r>
        <w:t>the</w:t>
      </w:r>
      <w:r>
        <w:rPr>
          <w:spacing w:val="-11"/>
        </w:rPr>
        <w:t xml:space="preserve"> </w:t>
      </w:r>
      <w:r>
        <w:t>Sydney</w:t>
      </w:r>
      <w:r>
        <w:rPr>
          <w:spacing w:val="-11"/>
        </w:rPr>
        <w:t xml:space="preserve"> </w:t>
      </w:r>
      <w:r>
        <w:t>Harbour Bridge</w:t>
      </w:r>
      <w:r>
        <w:rPr>
          <w:spacing w:val="-11"/>
        </w:rPr>
        <w:t xml:space="preserve"> </w:t>
      </w:r>
      <w:r>
        <w:t>and</w:t>
      </w:r>
      <w:r>
        <w:rPr>
          <w:spacing w:val="-11"/>
        </w:rPr>
        <w:t xml:space="preserve"> </w:t>
      </w:r>
      <w:r>
        <w:t>Wynyard</w:t>
      </w:r>
      <w:r>
        <w:rPr>
          <w:spacing w:val="-11"/>
        </w:rPr>
        <w:t xml:space="preserve"> </w:t>
      </w:r>
      <w:r>
        <w:t>and</w:t>
      </w:r>
      <w:r>
        <w:rPr>
          <w:spacing w:val="-11"/>
        </w:rPr>
        <w:t xml:space="preserve"> </w:t>
      </w:r>
      <w:r>
        <w:t>between</w:t>
      </w:r>
      <w:r>
        <w:rPr>
          <w:spacing w:val="-11"/>
        </w:rPr>
        <w:t xml:space="preserve"> </w:t>
      </w:r>
      <w:r>
        <w:t>Town</w:t>
      </w:r>
      <w:r>
        <w:rPr>
          <w:spacing w:val="-11"/>
        </w:rPr>
        <w:t xml:space="preserve"> </w:t>
      </w:r>
      <w:r>
        <w:t>Hall</w:t>
      </w:r>
      <w:r>
        <w:rPr>
          <w:spacing w:val="-11"/>
        </w:rPr>
        <w:t xml:space="preserve"> </w:t>
      </w:r>
      <w:r>
        <w:t xml:space="preserve">and </w:t>
      </w:r>
      <w:r>
        <w:rPr>
          <w:spacing w:val="-2"/>
        </w:rPr>
        <w:t>Wynyard.</w:t>
      </w:r>
    </w:p>
    <w:p w:rsidR="002C1123" w:rsidRDefault="002060EF">
      <w:pPr>
        <w:pStyle w:val="BodyText"/>
        <w:spacing w:before="3"/>
        <w:rPr>
          <w:sz w:val="13"/>
        </w:rPr>
      </w:pPr>
      <w:r>
        <w:pict>
          <v:shape id="docshape1269" o:spid="_x0000_s3984" style="position:absolute;margin-left:49.6pt;margin-top:8.85pt;width:1in;height:.1pt;z-index:-251385856;mso-wrap-distance-left:0;mso-wrap-distance-right:0;mso-position-horizontal-relative:page" coordorigin="992,177" coordsize="1440,0" path="m992,177r1440,e" filled="f" strokecolor="#9c9c9d" strokeweight=".5pt">
            <v:path arrowok="t"/>
            <w10:wrap type="topAndBottom" anchorx="page"/>
          </v:shape>
        </w:pict>
      </w:r>
    </w:p>
    <w:p w:rsidR="002C1123" w:rsidRDefault="00F22F94">
      <w:pPr>
        <w:pStyle w:val="ListParagraph"/>
        <w:numPr>
          <w:ilvl w:val="0"/>
          <w:numId w:val="90"/>
        </w:numPr>
        <w:tabs>
          <w:tab w:val="left" w:pos="691"/>
        </w:tabs>
        <w:spacing w:before="23"/>
        <w:ind w:left="690" w:right="10852"/>
        <w:jc w:val="left"/>
        <w:rPr>
          <w:sz w:val="14"/>
        </w:rPr>
      </w:pPr>
      <w:r>
        <w:rPr>
          <w:w w:val="95"/>
          <w:sz w:val="14"/>
        </w:rPr>
        <w:t>Parsons Brinckerhoff 2011, Sydney City Centre Access Study, prepared for</w:t>
      </w:r>
      <w:r>
        <w:rPr>
          <w:spacing w:val="40"/>
          <w:sz w:val="14"/>
        </w:rPr>
        <w:t xml:space="preserve"> </w:t>
      </w:r>
      <w:r>
        <w:rPr>
          <w:sz w:val="14"/>
        </w:rPr>
        <w:t>Transport for NSW.</w:t>
      </w:r>
    </w:p>
    <w:p w:rsidR="002C1123" w:rsidRDefault="002C1123">
      <w:pPr>
        <w:rPr>
          <w:sz w:val="14"/>
        </w:rPr>
        <w:sectPr w:rsidR="002C1123">
          <w:pgSz w:w="16840" w:h="11910" w:orient="landscape"/>
          <w:pgMar w:top="560" w:right="280" w:bottom="700" w:left="500" w:header="0" w:footer="517"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3"/>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BodyText"/>
        <w:spacing w:before="108" w:line="249" w:lineRule="auto"/>
        <w:ind w:left="492"/>
      </w:pPr>
      <w:bookmarkStart w:id="193" w:name="_bookmark137"/>
      <w:bookmarkEnd w:id="193"/>
      <w:r>
        <w:t>As</w:t>
      </w:r>
      <w:r>
        <w:rPr>
          <w:spacing w:val="-12"/>
        </w:rPr>
        <w:t xml:space="preserve"> </w:t>
      </w:r>
      <w:r>
        <w:t>CBD</w:t>
      </w:r>
      <w:r>
        <w:rPr>
          <w:spacing w:val="-12"/>
        </w:rPr>
        <w:t xml:space="preserve"> </w:t>
      </w:r>
      <w:r>
        <w:t>employment</w:t>
      </w:r>
      <w:r>
        <w:rPr>
          <w:spacing w:val="-12"/>
        </w:rPr>
        <w:t xml:space="preserve"> </w:t>
      </w:r>
      <w:r>
        <w:t>continues</w:t>
      </w:r>
      <w:r>
        <w:rPr>
          <w:spacing w:val="-12"/>
        </w:rPr>
        <w:t xml:space="preserve"> </w:t>
      </w:r>
      <w:r>
        <w:t>to</w:t>
      </w:r>
      <w:r>
        <w:rPr>
          <w:spacing w:val="-12"/>
        </w:rPr>
        <w:t xml:space="preserve"> </w:t>
      </w:r>
      <w:r>
        <w:t>grow</w:t>
      </w:r>
      <w:r>
        <w:rPr>
          <w:spacing w:val="-12"/>
        </w:rPr>
        <w:t xml:space="preserve"> </w:t>
      </w:r>
      <w:r>
        <w:t>(as</w:t>
      </w:r>
      <w:r>
        <w:rPr>
          <w:spacing w:val="-12"/>
        </w:rPr>
        <w:t xml:space="preserve"> </w:t>
      </w:r>
      <w:r>
        <w:t>it</w:t>
      </w:r>
      <w:r>
        <w:rPr>
          <w:spacing w:val="-12"/>
        </w:rPr>
        <w:t xml:space="preserve"> </w:t>
      </w:r>
      <w:r>
        <w:t>will</w:t>
      </w:r>
      <w:r>
        <w:rPr>
          <w:spacing w:val="-12"/>
        </w:rPr>
        <w:t xml:space="preserve"> </w:t>
      </w:r>
      <w:r>
        <w:t xml:space="preserve">with </w:t>
      </w:r>
      <w:r>
        <w:rPr>
          <w:w w:val="95"/>
        </w:rPr>
        <w:t>the</w:t>
      </w:r>
      <w:r>
        <w:rPr>
          <w:spacing w:val="-5"/>
          <w:w w:val="95"/>
        </w:rPr>
        <w:t xml:space="preserve"> </w:t>
      </w:r>
      <w:r>
        <w:rPr>
          <w:w w:val="95"/>
        </w:rPr>
        <w:t>forecast</w:t>
      </w:r>
      <w:r>
        <w:rPr>
          <w:spacing w:val="-5"/>
          <w:w w:val="95"/>
        </w:rPr>
        <w:t xml:space="preserve"> </w:t>
      </w:r>
      <w:r>
        <w:rPr>
          <w:w w:val="95"/>
        </w:rPr>
        <w:t>growth</w:t>
      </w:r>
      <w:r>
        <w:rPr>
          <w:spacing w:val="-5"/>
          <w:w w:val="95"/>
        </w:rPr>
        <w:t xml:space="preserve"> </w:t>
      </w:r>
      <w:r>
        <w:rPr>
          <w:w w:val="95"/>
        </w:rPr>
        <w:t>in</w:t>
      </w:r>
      <w:r>
        <w:rPr>
          <w:spacing w:val="-5"/>
          <w:w w:val="95"/>
        </w:rPr>
        <w:t xml:space="preserve"> </w:t>
      </w:r>
      <w:r>
        <w:rPr>
          <w:w w:val="95"/>
        </w:rPr>
        <w:t>Barangaroo)</w:t>
      </w:r>
      <w:r>
        <w:rPr>
          <w:spacing w:val="-5"/>
          <w:w w:val="95"/>
        </w:rPr>
        <w:t xml:space="preserve"> </w:t>
      </w:r>
      <w:r>
        <w:rPr>
          <w:w w:val="95"/>
        </w:rPr>
        <w:t>the</w:t>
      </w:r>
      <w:r>
        <w:rPr>
          <w:spacing w:val="-5"/>
          <w:w w:val="95"/>
        </w:rPr>
        <w:t xml:space="preserve"> </w:t>
      </w:r>
      <w:r>
        <w:rPr>
          <w:w w:val="95"/>
        </w:rPr>
        <w:t>demand</w:t>
      </w:r>
      <w:r>
        <w:rPr>
          <w:spacing w:val="-5"/>
          <w:w w:val="95"/>
        </w:rPr>
        <w:t xml:space="preserve"> </w:t>
      </w:r>
      <w:r>
        <w:rPr>
          <w:w w:val="95"/>
        </w:rPr>
        <w:t>for</w:t>
      </w:r>
      <w:r>
        <w:rPr>
          <w:spacing w:val="-5"/>
          <w:w w:val="95"/>
        </w:rPr>
        <w:t xml:space="preserve"> </w:t>
      </w:r>
      <w:r>
        <w:rPr>
          <w:w w:val="95"/>
        </w:rPr>
        <w:t xml:space="preserve">travel </w:t>
      </w:r>
      <w:r>
        <w:t>through</w:t>
      </w:r>
      <w:r>
        <w:rPr>
          <w:spacing w:val="-13"/>
        </w:rPr>
        <w:t xml:space="preserve"> </w:t>
      </w:r>
      <w:r>
        <w:t>and</w:t>
      </w:r>
      <w:r>
        <w:rPr>
          <w:spacing w:val="-13"/>
        </w:rPr>
        <w:t xml:space="preserve"> </w:t>
      </w:r>
      <w:r>
        <w:t>within</w:t>
      </w:r>
      <w:r>
        <w:rPr>
          <w:spacing w:val="-13"/>
        </w:rPr>
        <w:t xml:space="preserve"> </w:t>
      </w:r>
      <w:r>
        <w:t>the</w:t>
      </w:r>
      <w:r>
        <w:rPr>
          <w:spacing w:val="-13"/>
        </w:rPr>
        <w:t xml:space="preserve"> </w:t>
      </w:r>
      <w:r>
        <w:t>CBD</w:t>
      </w:r>
      <w:r>
        <w:rPr>
          <w:spacing w:val="-13"/>
        </w:rPr>
        <w:t xml:space="preserve"> </w:t>
      </w:r>
      <w:r>
        <w:t>will</w:t>
      </w:r>
      <w:r>
        <w:rPr>
          <w:spacing w:val="-13"/>
        </w:rPr>
        <w:t xml:space="preserve"> </w:t>
      </w:r>
      <w:r>
        <w:t>increase,</w:t>
      </w:r>
      <w:r>
        <w:rPr>
          <w:spacing w:val="-13"/>
        </w:rPr>
        <w:t xml:space="preserve"> </w:t>
      </w:r>
      <w:r>
        <w:t>leading</w:t>
      </w:r>
      <w:r>
        <w:rPr>
          <w:spacing w:val="-13"/>
        </w:rPr>
        <w:t xml:space="preserve"> </w:t>
      </w:r>
      <w:r>
        <w:t>to increased</w:t>
      </w:r>
      <w:r>
        <w:rPr>
          <w:spacing w:val="-14"/>
        </w:rPr>
        <w:t xml:space="preserve"> </w:t>
      </w:r>
      <w:r>
        <w:t>vehicular</w:t>
      </w:r>
      <w:r>
        <w:rPr>
          <w:spacing w:val="-14"/>
        </w:rPr>
        <w:t xml:space="preserve"> </w:t>
      </w:r>
      <w:r>
        <w:t>congestion,</w:t>
      </w:r>
      <w:r>
        <w:rPr>
          <w:spacing w:val="-14"/>
        </w:rPr>
        <w:t xml:space="preserve"> </w:t>
      </w:r>
      <w:r>
        <w:t>and</w:t>
      </w:r>
      <w:r>
        <w:rPr>
          <w:spacing w:val="-14"/>
        </w:rPr>
        <w:t xml:space="preserve"> </w:t>
      </w:r>
      <w:r>
        <w:t>further</w:t>
      </w:r>
      <w:r>
        <w:rPr>
          <w:spacing w:val="-14"/>
        </w:rPr>
        <w:t xml:space="preserve"> </w:t>
      </w:r>
      <w:r>
        <w:t>impacts</w:t>
      </w:r>
      <w:r>
        <w:rPr>
          <w:spacing w:val="-14"/>
        </w:rPr>
        <w:t xml:space="preserve"> </w:t>
      </w:r>
      <w:r>
        <w:t>on the amenity of the city centre.</w:t>
      </w:r>
    </w:p>
    <w:p w:rsidR="002C1123" w:rsidRDefault="00F22F94">
      <w:pPr>
        <w:pStyle w:val="BodyText"/>
        <w:spacing w:before="146" w:line="249" w:lineRule="auto"/>
        <w:ind w:left="492" w:right="106"/>
      </w:pPr>
      <w:r>
        <w:rPr>
          <w:w w:val="95"/>
        </w:rPr>
        <w:t>The</w:t>
      </w:r>
      <w:r>
        <w:rPr>
          <w:spacing w:val="-7"/>
          <w:w w:val="95"/>
        </w:rPr>
        <w:t xml:space="preserve"> </w:t>
      </w:r>
      <w:r>
        <w:rPr>
          <w:w w:val="95"/>
        </w:rPr>
        <w:t>introduction</w:t>
      </w:r>
      <w:r>
        <w:rPr>
          <w:spacing w:val="-7"/>
          <w:w w:val="95"/>
        </w:rPr>
        <w:t xml:space="preserve"> </w:t>
      </w:r>
      <w:r>
        <w:rPr>
          <w:w w:val="95"/>
        </w:rPr>
        <w:t>of</w:t>
      </w:r>
      <w:r>
        <w:rPr>
          <w:spacing w:val="-7"/>
          <w:w w:val="95"/>
        </w:rPr>
        <w:t xml:space="preserve"> </w:t>
      </w:r>
      <w:r>
        <w:rPr>
          <w:w w:val="95"/>
        </w:rPr>
        <w:t>the</w:t>
      </w:r>
      <w:r>
        <w:rPr>
          <w:spacing w:val="-7"/>
          <w:w w:val="95"/>
        </w:rPr>
        <w:t xml:space="preserve"> </w:t>
      </w:r>
      <w:r>
        <w:rPr>
          <w:w w:val="95"/>
        </w:rPr>
        <w:t>North</w:t>
      </w:r>
      <w:r>
        <w:rPr>
          <w:spacing w:val="-7"/>
          <w:w w:val="95"/>
        </w:rPr>
        <w:t xml:space="preserve"> </w:t>
      </w:r>
      <w:r>
        <w:rPr>
          <w:w w:val="95"/>
        </w:rPr>
        <w:t>West</w:t>
      </w:r>
      <w:r>
        <w:rPr>
          <w:spacing w:val="-7"/>
          <w:w w:val="95"/>
        </w:rPr>
        <w:t xml:space="preserve"> </w:t>
      </w:r>
      <w:r>
        <w:rPr>
          <w:w w:val="95"/>
        </w:rPr>
        <w:t>Rail</w:t>
      </w:r>
      <w:r>
        <w:rPr>
          <w:spacing w:val="-7"/>
          <w:w w:val="95"/>
        </w:rPr>
        <w:t xml:space="preserve"> </w:t>
      </w:r>
      <w:r>
        <w:rPr>
          <w:w w:val="95"/>
        </w:rPr>
        <w:t>Link</w:t>
      </w:r>
      <w:r>
        <w:rPr>
          <w:spacing w:val="-7"/>
          <w:w w:val="95"/>
        </w:rPr>
        <w:t xml:space="preserve"> </w:t>
      </w:r>
      <w:r>
        <w:rPr>
          <w:w w:val="95"/>
        </w:rPr>
        <w:t>is</w:t>
      </w:r>
      <w:r>
        <w:rPr>
          <w:spacing w:val="-7"/>
          <w:w w:val="95"/>
        </w:rPr>
        <w:t xml:space="preserve"> </w:t>
      </w:r>
      <w:r>
        <w:rPr>
          <w:w w:val="95"/>
        </w:rPr>
        <w:t xml:space="preserve">forecast </w:t>
      </w:r>
      <w:r>
        <w:t>to</w:t>
      </w:r>
      <w:r>
        <w:rPr>
          <w:spacing w:val="-5"/>
        </w:rPr>
        <w:t xml:space="preserve"> </w:t>
      </w:r>
      <w:r>
        <w:t>reduce</w:t>
      </w:r>
      <w:r>
        <w:rPr>
          <w:spacing w:val="-5"/>
        </w:rPr>
        <w:t xml:space="preserve"> </w:t>
      </w:r>
      <w:r>
        <w:t>bus</w:t>
      </w:r>
      <w:r>
        <w:rPr>
          <w:spacing w:val="-5"/>
        </w:rPr>
        <w:t xml:space="preserve"> </w:t>
      </w:r>
      <w:r>
        <w:t>flows</w:t>
      </w:r>
      <w:r>
        <w:rPr>
          <w:spacing w:val="-5"/>
        </w:rPr>
        <w:t xml:space="preserve"> </w:t>
      </w:r>
      <w:r>
        <w:t>from</w:t>
      </w:r>
      <w:r>
        <w:rPr>
          <w:spacing w:val="-6"/>
        </w:rPr>
        <w:t xml:space="preserve"> </w:t>
      </w:r>
      <w:r>
        <w:t>the</w:t>
      </w:r>
      <w:r>
        <w:rPr>
          <w:spacing w:val="-5"/>
        </w:rPr>
        <w:t xml:space="preserve"> </w:t>
      </w:r>
      <w:r>
        <w:t>North</w:t>
      </w:r>
      <w:r>
        <w:rPr>
          <w:spacing w:val="-5"/>
        </w:rPr>
        <w:t xml:space="preserve"> </w:t>
      </w:r>
      <w:r>
        <w:t>only</w:t>
      </w:r>
      <w:r>
        <w:rPr>
          <w:spacing w:val="-5"/>
        </w:rPr>
        <w:t xml:space="preserve"> </w:t>
      </w:r>
      <w:r>
        <w:t>by</w:t>
      </w:r>
      <w:r>
        <w:rPr>
          <w:spacing w:val="-5"/>
        </w:rPr>
        <w:t xml:space="preserve"> </w:t>
      </w:r>
      <w:r>
        <w:t>about</w:t>
      </w:r>
    </w:p>
    <w:p w:rsidR="002C1123" w:rsidRDefault="00F22F94">
      <w:pPr>
        <w:pStyle w:val="BodyText"/>
        <w:spacing w:before="1"/>
        <w:ind w:left="492"/>
      </w:pPr>
      <w:r>
        <w:rPr>
          <w:w w:val="95"/>
        </w:rPr>
        <w:t>14</w:t>
      </w:r>
      <w:r>
        <w:rPr>
          <w:spacing w:val="-5"/>
          <w:w w:val="95"/>
        </w:rPr>
        <w:t xml:space="preserve"> </w:t>
      </w:r>
      <w:r>
        <w:rPr>
          <w:w w:val="95"/>
        </w:rPr>
        <w:t>percent</w:t>
      </w:r>
      <w:r>
        <w:rPr>
          <w:spacing w:val="-4"/>
          <w:w w:val="95"/>
        </w:rPr>
        <w:t xml:space="preserve"> </w:t>
      </w:r>
      <w:r>
        <w:rPr>
          <w:w w:val="95"/>
        </w:rPr>
        <w:t>in</w:t>
      </w:r>
      <w:r>
        <w:rPr>
          <w:spacing w:val="-4"/>
          <w:w w:val="95"/>
        </w:rPr>
        <w:t xml:space="preserve"> </w:t>
      </w:r>
      <w:r>
        <w:rPr>
          <w:w w:val="95"/>
        </w:rPr>
        <w:t>the</w:t>
      </w:r>
      <w:r>
        <w:rPr>
          <w:spacing w:val="-5"/>
          <w:w w:val="95"/>
        </w:rPr>
        <w:t xml:space="preserve"> </w:t>
      </w:r>
      <w:r>
        <w:rPr>
          <w:w w:val="95"/>
        </w:rPr>
        <w:t>period</w:t>
      </w:r>
      <w:r>
        <w:rPr>
          <w:spacing w:val="-4"/>
          <w:w w:val="95"/>
        </w:rPr>
        <w:t xml:space="preserve"> </w:t>
      </w:r>
      <w:r>
        <w:rPr>
          <w:w w:val="95"/>
        </w:rPr>
        <w:t>up</w:t>
      </w:r>
      <w:r>
        <w:rPr>
          <w:spacing w:val="-4"/>
          <w:w w:val="95"/>
        </w:rPr>
        <w:t xml:space="preserve"> </w:t>
      </w:r>
      <w:r>
        <w:rPr>
          <w:w w:val="95"/>
        </w:rPr>
        <w:t>to</w:t>
      </w:r>
      <w:r>
        <w:rPr>
          <w:spacing w:val="-5"/>
          <w:w w:val="95"/>
        </w:rPr>
        <w:t xml:space="preserve"> </w:t>
      </w:r>
      <w:r>
        <w:rPr>
          <w:spacing w:val="-2"/>
          <w:w w:val="95"/>
        </w:rPr>
        <w:t>2036</w:t>
      </w:r>
      <w:r>
        <w:rPr>
          <w:spacing w:val="-2"/>
          <w:w w:val="95"/>
          <w:position w:val="7"/>
          <w:sz w:val="11"/>
        </w:rPr>
        <w:t>5</w:t>
      </w:r>
      <w:r>
        <w:rPr>
          <w:spacing w:val="-2"/>
          <w:w w:val="95"/>
        </w:rPr>
        <w:t>.</w:t>
      </w:r>
    </w:p>
    <w:p w:rsidR="002C1123" w:rsidRDefault="00F22F94">
      <w:pPr>
        <w:pStyle w:val="BodyText"/>
        <w:spacing w:before="152" w:line="249" w:lineRule="auto"/>
        <w:ind w:left="492"/>
      </w:pPr>
      <w:r>
        <w:rPr>
          <w:w w:val="95"/>
        </w:rPr>
        <w:t xml:space="preserve">Options to improve CBD bus congestion therefore must </w:t>
      </w:r>
      <w:r>
        <w:t>be a priority.</w:t>
      </w:r>
    </w:p>
    <w:p w:rsidR="002C1123" w:rsidRDefault="00F22F94">
      <w:pPr>
        <w:pStyle w:val="Heading6"/>
        <w:numPr>
          <w:ilvl w:val="2"/>
          <w:numId w:val="92"/>
        </w:numPr>
        <w:tabs>
          <w:tab w:val="left" w:pos="979"/>
        </w:tabs>
        <w:spacing w:before="144" w:line="249" w:lineRule="auto"/>
        <w:ind w:left="978" w:right="350"/>
        <w:jc w:val="left"/>
        <w:rPr>
          <w:color w:val="00AEEF"/>
        </w:rPr>
      </w:pPr>
      <w:r>
        <w:rPr>
          <w:color w:val="00AEEF"/>
          <w:spacing w:val="-2"/>
        </w:rPr>
        <w:t>Short-term</w:t>
      </w:r>
      <w:r>
        <w:rPr>
          <w:color w:val="00AEEF"/>
          <w:spacing w:val="-7"/>
        </w:rPr>
        <w:t xml:space="preserve"> </w:t>
      </w:r>
      <w:r>
        <w:rPr>
          <w:color w:val="00AEEF"/>
          <w:spacing w:val="-2"/>
        </w:rPr>
        <w:t>service</w:t>
      </w:r>
      <w:r>
        <w:rPr>
          <w:color w:val="00AEEF"/>
          <w:spacing w:val="-7"/>
        </w:rPr>
        <w:t xml:space="preserve"> </w:t>
      </w:r>
      <w:r>
        <w:rPr>
          <w:color w:val="00AEEF"/>
          <w:spacing w:val="-2"/>
        </w:rPr>
        <w:t>reforms</w:t>
      </w:r>
      <w:r>
        <w:rPr>
          <w:color w:val="00AEEF"/>
          <w:spacing w:val="-7"/>
        </w:rPr>
        <w:t xml:space="preserve"> </w:t>
      </w:r>
      <w:r>
        <w:rPr>
          <w:color w:val="00AEEF"/>
          <w:spacing w:val="-2"/>
        </w:rPr>
        <w:t>to</w:t>
      </w:r>
      <w:r>
        <w:rPr>
          <w:color w:val="00AEEF"/>
          <w:spacing w:val="-7"/>
        </w:rPr>
        <w:t xml:space="preserve"> </w:t>
      </w:r>
      <w:r>
        <w:rPr>
          <w:color w:val="00AEEF"/>
          <w:spacing w:val="-2"/>
        </w:rPr>
        <w:t>reduce</w:t>
      </w:r>
      <w:r>
        <w:rPr>
          <w:color w:val="00AEEF"/>
          <w:spacing w:val="-7"/>
        </w:rPr>
        <w:t xml:space="preserve"> </w:t>
      </w:r>
      <w:r>
        <w:rPr>
          <w:color w:val="00AEEF"/>
          <w:spacing w:val="-2"/>
        </w:rPr>
        <w:t xml:space="preserve">CBD </w:t>
      </w:r>
      <w:r>
        <w:rPr>
          <w:color w:val="00AEEF"/>
        </w:rPr>
        <w:t>bus congestion</w:t>
      </w:r>
    </w:p>
    <w:p w:rsidR="002C1123" w:rsidRDefault="00F22F94">
      <w:pPr>
        <w:spacing w:before="86"/>
        <w:ind w:left="492"/>
        <w:rPr>
          <w:b/>
          <w:sz w:val="20"/>
        </w:rPr>
      </w:pPr>
      <w:r>
        <w:rPr>
          <w:b/>
          <w:sz w:val="20"/>
        </w:rPr>
        <w:t>NSW</w:t>
      </w:r>
      <w:r>
        <w:rPr>
          <w:b/>
          <w:spacing w:val="-11"/>
          <w:sz w:val="20"/>
        </w:rPr>
        <w:t xml:space="preserve"> </w:t>
      </w:r>
      <w:r>
        <w:rPr>
          <w:b/>
          <w:sz w:val="20"/>
        </w:rPr>
        <w:t>Draft</w:t>
      </w:r>
      <w:r>
        <w:rPr>
          <w:b/>
          <w:spacing w:val="-11"/>
          <w:sz w:val="20"/>
        </w:rPr>
        <w:t xml:space="preserve"> </w:t>
      </w:r>
      <w:r>
        <w:rPr>
          <w:b/>
          <w:sz w:val="20"/>
        </w:rPr>
        <w:t>Long</w:t>
      </w:r>
      <w:r>
        <w:rPr>
          <w:b/>
          <w:spacing w:val="-11"/>
          <w:sz w:val="20"/>
        </w:rPr>
        <w:t xml:space="preserve"> </w:t>
      </w:r>
      <w:r>
        <w:rPr>
          <w:b/>
          <w:sz w:val="20"/>
        </w:rPr>
        <w:t>Term</w:t>
      </w:r>
      <w:r>
        <w:rPr>
          <w:b/>
          <w:spacing w:val="-11"/>
          <w:sz w:val="20"/>
        </w:rPr>
        <w:t xml:space="preserve"> </w:t>
      </w:r>
      <w:r>
        <w:rPr>
          <w:b/>
          <w:sz w:val="20"/>
        </w:rPr>
        <w:t>Transport</w:t>
      </w:r>
      <w:r>
        <w:rPr>
          <w:b/>
          <w:spacing w:val="-11"/>
          <w:sz w:val="20"/>
        </w:rPr>
        <w:t xml:space="preserve"> </w:t>
      </w:r>
      <w:r>
        <w:rPr>
          <w:b/>
          <w:sz w:val="20"/>
        </w:rPr>
        <w:t>Master</w:t>
      </w:r>
      <w:r>
        <w:rPr>
          <w:b/>
          <w:spacing w:val="-11"/>
          <w:sz w:val="20"/>
        </w:rPr>
        <w:t xml:space="preserve"> </w:t>
      </w:r>
      <w:r>
        <w:rPr>
          <w:b/>
          <w:spacing w:val="-4"/>
          <w:sz w:val="20"/>
        </w:rPr>
        <w:t>Plan</w:t>
      </w:r>
    </w:p>
    <w:p w:rsidR="002C1123" w:rsidRDefault="00F22F94">
      <w:pPr>
        <w:pStyle w:val="BodyText"/>
        <w:spacing w:before="10" w:line="249" w:lineRule="auto"/>
        <w:ind w:left="492"/>
      </w:pPr>
      <w:r>
        <w:rPr>
          <w:w w:val="95"/>
        </w:rPr>
        <w:t>The</w:t>
      </w:r>
      <w:r>
        <w:rPr>
          <w:spacing w:val="-6"/>
          <w:w w:val="95"/>
        </w:rPr>
        <w:t xml:space="preserve"> </w:t>
      </w:r>
      <w:r>
        <w:rPr>
          <w:w w:val="95"/>
        </w:rPr>
        <w:t>Draft</w:t>
      </w:r>
      <w:r>
        <w:rPr>
          <w:spacing w:val="-6"/>
          <w:w w:val="95"/>
        </w:rPr>
        <w:t xml:space="preserve"> </w:t>
      </w:r>
      <w:r>
        <w:rPr>
          <w:w w:val="95"/>
        </w:rPr>
        <w:t>Transport</w:t>
      </w:r>
      <w:r>
        <w:rPr>
          <w:spacing w:val="-6"/>
          <w:w w:val="95"/>
        </w:rPr>
        <w:t xml:space="preserve"> </w:t>
      </w:r>
      <w:r>
        <w:rPr>
          <w:w w:val="95"/>
        </w:rPr>
        <w:t>Master</w:t>
      </w:r>
      <w:r>
        <w:rPr>
          <w:spacing w:val="-6"/>
          <w:w w:val="95"/>
        </w:rPr>
        <w:t xml:space="preserve"> </w:t>
      </w:r>
      <w:r>
        <w:rPr>
          <w:w w:val="95"/>
        </w:rPr>
        <w:t>Plan</w:t>
      </w:r>
      <w:r>
        <w:rPr>
          <w:spacing w:val="-6"/>
          <w:w w:val="95"/>
        </w:rPr>
        <w:t xml:space="preserve"> </w:t>
      </w:r>
      <w:r>
        <w:rPr>
          <w:w w:val="95"/>
        </w:rPr>
        <w:t>proposes</w:t>
      </w:r>
      <w:r>
        <w:rPr>
          <w:spacing w:val="-6"/>
          <w:w w:val="95"/>
        </w:rPr>
        <w:t xml:space="preserve"> </w:t>
      </w:r>
      <w:r>
        <w:rPr>
          <w:w w:val="95"/>
        </w:rPr>
        <w:t>major</w:t>
      </w:r>
      <w:r>
        <w:rPr>
          <w:spacing w:val="-6"/>
          <w:w w:val="95"/>
        </w:rPr>
        <w:t xml:space="preserve"> </w:t>
      </w:r>
      <w:r>
        <w:rPr>
          <w:w w:val="95"/>
        </w:rPr>
        <w:t xml:space="preserve">reforms </w:t>
      </w:r>
      <w:r>
        <w:t>to Sydney’s bus network.</w:t>
      </w:r>
    </w:p>
    <w:p w:rsidR="002C1123" w:rsidRDefault="00F22F94">
      <w:pPr>
        <w:pStyle w:val="BodyText"/>
        <w:spacing w:before="144" w:line="249" w:lineRule="auto"/>
        <w:ind w:left="492"/>
      </w:pPr>
      <w:r>
        <w:rPr>
          <w:w w:val="95"/>
        </w:rPr>
        <w:t xml:space="preserve">Changes proposed for the CBD include implementation </w:t>
      </w:r>
      <w:r>
        <w:t>of</w:t>
      </w:r>
      <w:r>
        <w:rPr>
          <w:spacing w:val="-3"/>
        </w:rPr>
        <w:t xml:space="preserve"> </w:t>
      </w:r>
      <w:r>
        <w:t>through-routing</w:t>
      </w:r>
      <w:r>
        <w:rPr>
          <w:spacing w:val="-3"/>
        </w:rPr>
        <w:t xml:space="preserve"> </w:t>
      </w:r>
      <w:r>
        <w:t>and/or</w:t>
      </w:r>
      <w:r>
        <w:rPr>
          <w:spacing w:val="-3"/>
        </w:rPr>
        <w:t xml:space="preserve"> </w:t>
      </w:r>
      <w:r>
        <w:t>‘near-side’</w:t>
      </w:r>
      <w:r>
        <w:rPr>
          <w:spacing w:val="-3"/>
        </w:rPr>
        <w:t xml:space="preserve"> </w:t>
      </w:r>
      <w:r>
        <w:t>termination</w:t>
      </w:r>
    </w:p>
    <w:p w:rsidR="002C1123" w:rsidRDefault="00F22F94">
      <w:pPr>
        <w:pStyle w:val="BodyText"/>
        <w:spacing w:before="1" w:line="249" w:lineRule="auto"/>
        <w:ind w:left="492"/>
      </w:pPr>
      <w:r>
        <w:t>of</w:t>
      </w:r>
      <w:r>
        <w:rPr>
          <w:spacing w:val="-8"/>
        </w:rPr>
        <w:t xml:space="preserve"> </w:t>
      </w:r>
      <w:r>
        <w:t>some</w:t>
      </w:r>
      <w:r>
        <w:rPr>
          <w:spacing w:val="-8"/>
        </w:rPr>
        <w:t xml:space="preserve"> </w:t>
      </w:r>
      <w:r>
        <w:t>bus</w:t>
      </w:r>
      <w:r>
        <w:rPr>
          <w:spacing w:val="-8"/>
        </w:rPr>
        <w:t xml:space="preserve"> </w:t>
      </w:r>
      <w:r>
        <w:t>services,</w:t>
      </w:r>
      <w:r>
        <w:rPr>
          <w:spacing w:val="-8"/>
        </w:rPr>
        <w:t xml:space="preserve"> </w:t>
      </w:r>
      <w:r>
        <w:t>rather</w:t>
      </w:r>
      <w:r>
        <w:rPr>
          <w:spacing w:val="-8"/>
        </w:rPr>
        <w:t xml:space="preserve"> </w:t>
      </w:r>
      <w:r>
        <w:t>than</w:t>
      </w:r>
      <w:r>
        <w:rPr>
          <w:spacing w:val="-8"/>
        </w:rPr>
        <w:t xml:space="preserve"> </w:t>
      </w:r>
      <w:r>
        <w:t>current</w:t>
      </w:r>
      <w:r>
        <w:rPr>
          <w:spacing w:val="-8"/>
        </w:rPr>
        <w:t xml:space="preserve"> </w:t>
      </w:r>
      <w:r>
        <w:t>‘far</w:t>
      </w:r>
      <w:r>
        <w:rPr>
          <w:spacing w:val="-8"/>
        </w:rPr>
        <w:t xml:space="preserve"> </w:t>
      </w:r>
      <w:r>
        <w:t xml:space="preserve">side’ </w:t>
      </w:r>
      <w:r>
        <w:rPr>
          <w:w w:val="95"/>
        </w:rPr>
        <w:t>termination</w:t>
      </w:r>
      <w:r>
        <w:rPr>
          <w:spacing w:val="-10"/>
          <w:w w:val="95"/>
        </w:rPr>
        <w:t xml:space="preserve"> </w:t>
      </w:r>
      <w:r>
        <w:rPr>
          <w:w w:val="95"/>
        </w:rPr>
        <w:t>(i.e.</w:t>
      </w:r>
      <w:r>
        <w:rPr>
          <w:spacing w:val="-10"/>
          <w:w w:val="95"/>
        </w:rPr>
        <w:t xml:space="preserve"> </w:t>
      </w:r>
      <w:r>
        <w:rPr>
          <w:w w:val="95"/>
        </w:rPr>
        <w:t>buses</w:t>
      </w:r>
      <w:r>
        <w:rPr>
          <w:spacing w:val="-10"/>
          <w:w w:val="95"/>
        </w:rPr>
        <w:t xml:space="preserve"> </w:t>
      </w:r>
      <w:r>
        <w:rPr>
          <w:w w:val="95"/>
        </w:rPr>
        <w:t>travelling</w:t>
      </w:r>
      <w:r>
        <w:rPr>
          <w:spacing w:val="-10"/>
          <w:w w:val="95"/>
        </w:rPr>
        <w:t xml:space="preserve"> </w:t>
      </w:r>
      <w:r>
        <w:rPr>
          <w:w w:val="95"/>
        </w:rPr>
        <w:t>right</w:t>
      </w:r>
      <w:r>
        <w:rPr>
          <w:spacing w:val="-10"/>
          <w:w w:val="95"/>
        </w:rPr>
        <w:t xml:space="preserve"> </w:t>
      </w:r>
      <w:r>
        <w:rPr>
          <w:w w:val="95"/>
        </w:rPr>
        <w:t>through</w:t>
      </w:r>
      <w:r>
        <w:rPr>
          <w:spacing w:val="-10"/>
          <w:w w:val="95"/>
        </w:rPr>
        <w:t xml:space="preserve"> </w:t>
      </w:r>
      <w:r>
        <w:rPr>
          <w:w w:val="95"/>
        </w:rPr>
        <w:t>the</w:t>
      </w:r>
      <w:r>
        <w:rPr>
          <w:spacing w:val="-10"/>
          <w:w w:val="95"/>
        </w:rPr>
        <w:t xml:space="preserve"> </w:t>
      </w:r>
      <w:r>
        <w:rPr>
          <w:w w:val="95"/>
        </w:rPr>
        <w:t>CBD</w:t>
      </w:r>
      <w:r>
        <w:rPr>
          <w:spacing w:val="-10"/>
          <w:w w:val="95"/>
        </w:rPr>
        <w:t xml:space="preserve"> </w:t>
      </w:r>
      <w:r>
        <w:rPr>
          <w:w w:val="95"/>
        </w:rPr>
        <w:t xml:space="preserve">to </w:t>
      </w:r>
      <w:r>
        <w:t>Circular</w:t>
      </w:r>
      <w:r>
        <w:rPr>
          <w:spacing w:val="-11"/>
        </w:rPr>
        <w:t xml:space="preserve"> </w:t>
      </w:r>
      <w:r>
        <w:t>Quay).</w:t>
      </w:r>
    </w:p>
    <w:p w:rsidR="002C1123" w:rsidRDefault="00F22F94">
      <w:pPr>
        <w:pStyle w:val="BodyText"/>
        <w:spacing w:before="145" w:line="249" w:lineRule="auto"/>
        <w:ind w:left="492" w:right="237"/>
        <w:jc w:val="both"/>
      </w:pPr>
      <w:r>
        <w:t>Infrastructure</w:t>
      </w:r>
      <w:r>
        <w:rPr>
          <w:spacing w:val="-9"/>
        </w:rPr>
        <w:t xml:space="preserve"> </w:t>
      </w:r>
      <w:r>
        <w:t>NSW</w:t>
      </w:r>
      <w:r>
        <w:rPr>
          <w:spacing w:val="-9"/>
        </w:rPr>
        <w:t xml:space="preserve"> </w:t>
      </w:r>
      <w:r>
        <w:t>supports</w:t>
      </w:r>
      <w:r>
        <w:rPr>
          <w:spacing w:val="-9"/>
        </w:rPr>
        <w:t xml:space="preserve"> </w:t>
      </w:r>
      <w:r>
        <w:t>the</w:t>
      </w:r>
      <w:r>
        <w:rPr>
          <w:spacing w:val="-9"/>
        </w:rPr>
        <w:t xml:space="preserve"> </w:t>
      </w:r>
      <w:r>
        <w:t>general</w:t>
      </w:r>
      <w:r>
        <w:rPr>
          <w:spacing w:val="-9"/>
        </w:rPr>
        <w:t xml:space="preserve"> </w:t>
      </w:r>
      <w:r>
        <w:t>concept</w:t>
      </w:r>
      <w:r>
        <w:rPr>
          <w:spacing w:val="-9"/>
        </w:rPr>
        <w:t xml:space="preserve"> </w:t>
      </w:r>
      <w:r>
        <w:t>of bus</w:t>
      </w:r>
      <w:r>
        <w:rPr>
          <w:spacing w:val="-14"/>
        </w:rPr>
        <w:t xml:space="preserve"> </w:t>
      </w:r>
      <w:r>
        <w:t>re-routing</w:t>
      </w:r>
      <w:r>
        <w:rPr>
          <w:spacing w:val="-14"/>
        </w:rPr>
        <w:t xml:space="preserve"> </w:t>
      </w:r>
      <w:r>
        <w:t>to</w:t>
      </w:r>
      <w:r>
        <w:rPr>
          <w:spacing w:val="-14"/>
        </w:rPr>
        <w:t xml:space="preserve"> </w:t>
      </w:r>
      <w:r>
        <w:t>address</w:t>
      </w:r>
      <w:r>
        <w:rPr>
          <w:spacing w:val="-14"/>
        </w:rPr>
        <w:t xml:space="preserve"> </w:t>
      </w:r>
      <w:r>
        <w:t>congestion.</w:t>
      </w:r>
      <w:r>
        <w:rPr>
          <w:spacing w:val="-14"/>
        </w:rPr>
        <w:t xml:space="preserve"> </w:t>
      </w:r>
      <w:r>
        <w:t>The</w:t>
      </w:r>
      <w:r>
        <w:rPr>
          <w:spacing w:val="-14"/>
        </w:rPr>
        <w:t xml:space="preserve"> </w:t>
      </w:r>
      <w:r>
        <w:t xml:space="preserve">proposed </w:t>
      </w:r>
      <w:r>
        <w:rPr>
          <w:w w:val="95"/>
        </w:rPr>
        <w:t>approach</w:t>
      </w:r>
      <w:r>
        <w:rPr>
          <w:spacing w:val="-2"/>
        </w:rPr>
        <w:t xml:space="preserve"> </w:t>
      </w:r>
      <w:r>
        <w:rPr>
          <w:w w:val="95"/>
        </w:rPr>
        <w:t>would</w:t>
      </w:r>
      <w:r>
        <w:rPr>
          <w:spacing w:val="-1"/>
        </w:rPr>
        <w:t xml:space="preserve"> </w:t>
      </w:r>
      <w:r>
        <w:rPr>
          <w:w w:val="95"/>
        </w:rPr>
        <w:t>reduce</w:t>
      </w:r>
      <w:r>
        <w:rPr>
          <w:spacing w:val="-2"/>
        </w:rPr>
        <w:t xml:space="preserve"> </w:t>
      </w:r>
      <w:r>
        <w:rPr>
          <w:w w:val="95"/>
        </w:rPr>
        <w:t>the</w:t>
      </w:r>
      <w:r>
        <w:rPr>
          <w:spacing w:val="-1"/>
        </w:rPr>
        <w:t xml:space="preserve"> </w:t>
      </w:r>
      <w:r>
        <w:rPr>
          <w:w w:val="95"/>
        </w:rPr>
        <w:t>number</w:t>
      </w:r>
      <w:r>
        <w:rPr>
          <w:spacing w:val="-2"/>
        </w:rPr>
        <w:t xml:space="preserve"> </w:t>
      </w:r>
      <w:r>
        <w:rPr>
          <w:w w:val="95"/>
        </w:rPr>
        <w:t>of</w:t>
      </w:r>
      <w:r>
        <w:rPr>
          <w:spacing w:val="-1"/>
        </w:rPr>
        <w:t xml:space="preserve"> </w:t>
      </w:r>
      <w:r>
        <w:rPr>
          <w:w w:val="95"/>
        </w:rPr>
        <w:t>buses</w:t>
      </w:r>
      <w:r>
        <w:rPr>
          <w:spacing w:val="-2"/>
        </w:rPr>
        <w:t xml:space="preserve"> </w:t>
      </w:r>
      <w:r>
        <w:rPr>
          <w:w w:val="95"/>
        </w:rPr>
        <w:t>going</w:t>
      </w:r>
      <w:r>
        <w:rPr>
          <w:spacing w:val="-1"/>
        </w:rPr>
        <w:t xml:space="preserve"> </w:t>
      </w:r>
      <w:r>
        <w:rPr>
          <w:spacing w:val="-5"/>
          <w:w w:val="95"/>
        </w:rPr>
        <w:t>to</w:t>
      </w:r>
    </w:p>
    <w:p w:rsidR="002C1123" w:rsidRDefault="00F22F94">
      <w:pPr>
        <w:pStyle w:val="BodyText"/>
        <w:spacing w:before="2" w:line="249" w:lineRule="auto"/>
        <w:ind w:left="492" w:right="24"/>
        <w:jc w:val="both"/>
      </w:pPr>
      <w:r>
        <w:rPr>
          <w:w w:val="95"/>
        </w:rPr>
        <w:t>Circular</w:t>
      </w:r>
      <w:r>
        <w:rPr>
          <w:spacing w:val="-9"/>
          <w:w w:val="95"/>
        </w:rPr>
        <w:t xml:space="preserve"> </w:t>
      </w:r>
      <w:r>
        <w:rPr>
          <w:w w:val="95"/>
        </w:rPr>
        <w:t>Quay,</w:t>
      </w:r>
      <w:r>
        <w:rPr>
          <w:spacing w:val="-9"/>
          <w:w w:val="95"/>
        </w:rPr>
        <w:t xml:space="preserve"> </w:t>
      </w:r>
      <w:r>
        <w:rPr>
          <w:w w:val="95"/>
        </w:rPr>
        <w:t>leaving</w:t>
      </w:r>
      <w:r>
        <w:rPr>
          <w:spacing w:val="-9"/>
          <w:w w:val="95"/>
        </w:rPr>
        <w:t xml:space="preserve"> </w:t>
      </w:r>
      <w:r>
        <w:rPr>
          <w:w w:val="95"/>
        </w:rPr>
        <w:t>a</w:t>
      </w:r>
      <w:r>
        <w:rPr>
          <w:spacing w:val="-9"/>
          <w:w w:val="95"/>
        </w:rPr>
        <w:t xml:space="preserve"> </w:t>
      </w:r>
      <w:r>
        <w:rPr>
          <w:w w:val="95"/>
        </w:rPr>
        <w:t>lower</w:t>
      </w:r>
      <w:r>
        <w:rPr>
          <w:spacing w:val="-9"/>
          <w:w w:val="95"/>
        </w:rPr>
        <w:t xml:space="preserve"> </w:t>
      </w:r>
      <w:r>
        <w:rPr>
          <w:w w:val="95"/>
        </w:rPr>
        <w:t>capacity</w:t>
      </w:r>
      <w:r>
        <w:rPr>
          <w:spacing w:val="-9"/>
          <w:w w:val="95"/>
        </w:rPr>
        <w:t xml:space="preserve"> </w:t>
      </w:r>
      <w:r>
        <w:rPr>
          <w:w w:val="95"/>
        </w:rPr>
        <w:t>but</w:t>
      </w:r>
      <w:r>
        <w:rPr>
          <w:spacing w:val="-9"/>
          <w:w w:val="95"/>
        </w:rPr>
        <w:t xml:space="preserve"> </w:t>
      </w:r>
      <w:r>
        <w:rPr>
          <w:w w:val="95"/>
        </w:rPr>
        <w:t>better</w:t>
      </w:r>
      <w:r>
        <w:rPr>
          <w:spacing w:val="-9"/>
          <w:w w:val="95"/>
        </w:rPr>
        <w:t xml:space="preserve"> </w:t>
      </w:r>
      <w:r>
        <w:rPr>
          <w:w w:val="95"/>
        </w:rPr>
        <w:t xml:space="preserve">utilised </w:t>
      </w:r>
      <w:r>
        <w:t>and</w:t>
      </w:r>
      <w:r>
        <w:rPr>
          <w:spacing w:val="-9"/>
        </w:rPr>
        <w:t xml:space="preserve"> </w:t>
      </w:r>
      <w:r>
        <w:t>less</w:t>
      </w:r>
      <w:r>
        <w:rPr>
          <w:spacing w:val="-9"/>
        </w:rPr>
        <w:t xml:space="preserve"> </w:t>
      </w:r>
      <w:r>
        <w:t>congested</w:t>
      </w:r>
      <w:r>
        <w:rPr>
          <w:spacing w:val="-9"/>
        </w:rPr>
        <w:t xml:space="preserve"> </w:t>
      </w:r>
      <w:r>
        <w:t>service</w:t>
      </w:r>
      <w:r>
        <w:rPr>
          <w:spacing w:val="-9"/>
        </w:rPr>
        <w:t xml:space="preserve"> </w:t>
      </w:r>
      <w:r>
        <w:t>on</w:t>
      </w:r>
      <w:r>
        <w:rPr>
          <w:spacing w:val="-9"/>
        </w:rPr>
        <w:t xml:space="preserve"> </w:t>
      </w:r>
      <w:r>
        <w:t>George</w:t>
      </w:r>
      <w:r>
        <w:rPr>
          <w:spacing w:val="-9"/>
        </w:rPr>
        <w:t xml:space="preserve"> </w:t>
      </w:r>
      <w:r>
        <w:t>Street</w:t>
      </w:r>
      <w:r>
        <w:rPr>
          <w:spacing w:val="-9"/>
        </w:rPr>
        <w:t xml:space="preserve"> </w:t>
      </w:r>
      <w:r>
        <w:t>and</w:t>
      </w:r>
    </w:p>
    <w:p w:rsidR="002C1123" w:rsidRDefault="00F22F94">
      <w:pPr>
        <w:pStyle w:val="BodyText"/>
        <w:spacing w:before="2" w:line="249" w:lineRule="auto"/>
        <w:ind w:left="492" w:right="139"/>
        <w:jc w:val="both"/>
      </w:pPr>
      <w:r>
        <w:rPr>
          <w:w w:val="95"/>
        </w:rPr>
        <w:t>other</w:t>
      </w:r>
      <w:r>
        <w:rPr>
          <w:spacing w:val="-3"/>
          <w:w w:val="95"/>
        </w:rPr>
        <w:t xml:space="preserve"> </w:t>
      </w:r>
      <w:r>
        <w:rPr>
          <w:w w:val="95"/>
        </w:rPr>
        <w:t>congested</w:t>
      </w:r>
      <w:r>
        <w:rPr>
          <w:spacing w:val="-3"/>
          <w:w w:val="95"/>
        </w:rPr>
        <w:t xml:space="preserve"> </w:t>
      </w:r>
      <w:r>
        <w:rPr>
          <w:w w:val="95"/>
        </w:rPr>
        <w:t>corridors.</w:t>
      </w:r>
      <w:r>
        <w:rPr>
          <w:spacing w:val="-3"/>
          <w:w w:val="95"/>
        </w:rPr>
        <w:t xml:space="preserve"> </w:t>
      </w:r>
      <w:r>
        <w:rPr>
          <w:w w:val="95"/>
        </w:rPr>
        <w:t>This</w:t>
      </w:r>
      <w:r>
        <w:rPr>
          <w:spacing w:val="-3"/>
          <w:w w:val="95"/>
        </w:rPr>
        <w:t xml:space="preserve"> </w:t>
      </w:r>
      <w:r>
        <w:rPr>
          <w:w w:val="95"/>
        </w:rPr>
        <w:t>is</w:t>
      </w:r>
      <w:r>
        <w:rPr>
          <w:spacing w:val="-3"/>
          <w:w w:val="95"/>
        </w:rPr>
        <w:t xml:space="preserve"> </w:t>
      </w:r>
      <w:r>
        <w:rPr>
          <w:w w:val="95"/>
        </w:rPr>
        <w:t>essentially</w:t>
      </w:r>
      <w:r>
        <w:rPr>
          <w:spacing w:val="-3"/>
          <w:w w:val="95"/>
        </w:rPr>
        <w:t xml:space="preserve"> </w:t>
      </w:r>
      <w:r>
        <w:rPr>
          <w:w w:val="95"/>
        </w:rPr>
        <w:t>a</w:t>
      </w:r>
      <w:r>
        <w:rPr>
          <w:spacing w:val="-3"/>
          <w:w w:val="95"/>
        </w:rPr>
        <w:t xml:space="preserve"> </w:t>
      </w:r>
      <w:r>
        <w:rPr>
          <w:w w:val="95"/>
        </w:rPr>
        <w:t xml:space="preserve">network </w:t>
      </w:r>
      <w:r>
        <w:t>design</w:t>
      </w:r>
      <w:r>
        <w:rPr>
          <w:spacing w:val="-11"/>
        </w:rPr>
        <w:t xml:space="preserve"> </w:t>
      </w:r>
      <w:r>
        <w:t>solution.</w:t>
      </w:r>
    </w:p>
    <w:p w:rsidR="002C1123" w:rsidRDefault="002C1123">
      <w:pPr>
        <w:pStyle w:val="BodyText"/>
      </w:pPr>
    </w:p>
    <w:p w:rsidR="002C1123" w:rsidRDefault="002C1123">
      <w:pPr>
        <w:pStyle w:val="BodyText"/>
      </w:pPr>
    </w:p>
    <w:p w:rsidR="002C1123" w:rsidRDefault="002060EF">
      <w:pPr>
        <w:pStyle w:val="BodyText"/>
        <w:spacing w:before="4"/>
        <w:rPr>
          <w:sz w:val="16"/>
        </w:rPr>
      </w:pPr>
      <w:r>
        <w:pict>
          <v:shape id="docshape1270" o:spid="_x0000_s3983" style="position:absolute;margin-left:49.6pt;margin-top:10.65pt;width:1in;height:.1pt;z-index:-251384832;mso-wrap-distance-left:0;mso-wrap-distance-right:0;mso-position-horizontal-relative:page" coordorigin="992,213" coordsize="1440,0" path="m992,213r1440,e" filled="f" strokecolor="#9c9c9d" strokeweight=".5pt">
            <v:path arrowok="t"/>
            <w10:wrap type="topAndBottom" anchorx="page"/>
          </v:shape>
        </w:pict>
      </w:r>
    </w:p>
    <w:p w:rsidR="002C1123" w:rsidRDefault="00F22F94">
      <w:pPr>
        <w:pStyle w:val="ListParagraph"/>
        <w:numPr>
          <w:ilvl w:val="0"/>
          <w:numId w:val="90"/>
        </w:numPr>
        <w:tabs>
          <w:tab w:val="left" w:pos="691"/>
        </w:tabs>
        <w:spacing w:before="23"/>
        <w:ind w:left="690" w:right="69"/>
        <w:jc w:val="left"/>
        <w:rPr>
          <w:sz w:val="14"/>
        </w:rPr>
      </w:pPr>
      <w:r>
        <w:rPr>
          <w:w w:val="95"/>
          <w:sz w:val="14"/>
        </w:rPr>
        <w:t>Parsons Brinckerhoff 2011, Sydney City Centre Access Study, prepared for</w:t>
      </w:r>
      <w:r>
        <w:rPr>
          <w:spacing w:val="40"/>
          <w:sz w:val="14"/>
        </w:rPr>
        <w:t xml:space="preserve"> </w:t>
      </w:r>
      <w:r>
        <w:rPr>
          <w:sz w:val="14"/>
        </w:rPr>
        <w:t>Transport for NSW.</w:t>
      </w:r>
    </w:p>
    <w:p w:rsidR="002C1123" w:rsidRDefault="00F22F94">
      <w:pPr>
        <w:spacing w:before="2" w:after="24"/>
        <w:rPr>
          <w:sz w:val="11"/>
        </w:rPr>
      </w:pPr>
      <w:r>
        <w:br w:type="column"/>
      </w:r>
    </w:p>
    <w:p w:rsidR="002C1123" w:rsidRDefault="002060EF">
      <w:pPr>
        <w:pStyle w:val="BodyText"/>
        <w:ind w:left="202" w:right="-29"/>
      </w:pPr>
      <w:r>
        <w:pict>
          <v:shape id="docshape1271" o:spid="_x0000_s5273" type="#_x0000_t202" style="width:239pt;height:69.35pt;mso-left-percent:-10001;mso-top-percent:-10001;mso-position-horizontal:absolute;mso-position-horizontal-relative:char;mso-position-vertical:absolute;mso-position-vertical-relative:line;mso-left-percent:-10001;mso-top-percent:-10001" fillcolor="#e1e0e1" stroked="f">
            <v:textbox inset="0,0,0,0">
              <w:txbxContent>
                <w:p w:rsidR="00F22F94" w:rsidRDefault="00F22F94">
                  <w:pPr>
                    <w:pStyle w:val="BodyText"/>
                    <w:spacing w:before="68" w:line="249" w:lineRule="auto"/>
                    <w:ind w:left="113" w:right="115"/>
                    <w:rPr>
                      <w:color w:val="000000"/>
                    </w:rPr>
                  </w:pPr>
                  <w:r>
                    <w:rPr>
                      <w:b/>
                      <w:color w:val="00AEEF"/>
                    </w:rPr>
                    <w:t>Recommendation</w:t>
                  </w:r>
                  <w:r>
                    <w:rPr>
                      <w:b/>
                      <w:color w:val="00AEEF"/>
                      <w:spacing w:val="40"/>
                    </w:rPr>
                    <w:t xml:space="preserve"> </w:t>
                  </w:r>
                  <w:r>
                    <w:rPr>
                      <w:color w:val="000000"/>
                    </w:rPr>
                    <w:t xml:space="preserve">Infrastructure NSW </w:t>
                  </w:r>
                  <w:r>
                    <w:rPr>
                      <w:color w:val="000000"/>
                      <w:w w:val="95"/>
                    </w:rPr>
                    <w:t>recommends</w:t>
                  </w:r>
                  <w:r>
                    <w:rPr>
                      <w:color w:val="000000"/>
                      <w:spacing w:val="-2"/>
                      <w:w w:val="95"/>
                    </w:rPr>
                    <w:t xml:space="preserve"> </w:t>
                  </w:r>
                  <w:r>
                    <w:rPr>
                      <w:color w:val="000000"/>
                      <w:w w:val="95"/>
                    </w:rPr>
                    <w:t>immediate</w:t>
                  </w:r>
                  <w:r>
                    <w:rPr>
                      <w:color w:val="000000"/>
                      <w:spacing w:val="-2"/>
                      <w:w w:val="95"/>
                    </w:rPr>
                    <w:t xml:space="preserve"> </w:t>
                  </w:r>
                  <w:r>
                    <w:rPr>
                      <w:color w:val="000000"/>
                      <w:w w:val="95"/>
                    </w:rPr>
                    <w:t>review</w:t>
                  </w:r>
                  <w:r>
                    <w:rPr>
                      <w:color w:val="000000"/>
                      <w:spacing w:val="-2"/>
                      <w:w w:val="95"/>
                    </w:rPr>
                    <w:t xml:space="preserve"> </w:t>
                  </w:r>
                  <w:r>
                    <w:rPr>
                      <w:color w:val="000000"/>
                      <w:w w:val="95"/>
                    </w:rPr>
                    <w:t>of</w:t>
                  </w:r>
                  <w:r>
                    <w:rPr>
                      <w:color w:val="000000"/>
                      <w:spacing w:val="-2"/>
                      <w:w w:val="95"/>
                    </w:rPr>
                    <w:t xml:space="preserve"> </w:t>
                  </w:r>
                  <w:r>
                    <w:rPr>
                      <w:color w:val="000000"/>
                      <w:w w:val="95"/>
                    </w:rPr>
                    <w:t>CBD</w:t>
                  </w:r>
                  <w:r>
                    <w:rPr>
                      <w:color w:val="000000"/>
                      <w:spacing w:val="-2"/>
                      <w:w w:val="95"/>
                    </w:rPr>
                    <w:t xml:space="preserve"> </w:t>
                  </w:r>
                  <w:r>
                    <w:rPr>
                      <w:color w:val="000000"/>
                      <w:w w:val="95"/>
                    </w:rPr>
                    <w:t>bus</w:t>
                  </w:r>
                  <w:r>
                    <w:rPr>
                      <w:color w:val="000000"/>
                      <w:spacing w:val="-2"/>
                      <w:w w:val="95"/>
                    </w:rPr>
                    <w:t xml:space="preserve"> </w:t>
                  </w:r>
                  <w:r>
                    <w:rPr>
                      <w:color w:val="000000"/>
                      <w:w w:val="95"/>
                    </w:rPr>
                    <w:t xml:space="preserve">routes, </w:t>
                  </w:r>
                  <w:r>
                    <w:rPr>
                      <w:color w:val="000000"/>
                    </w:rPr>
                    <w:t>particularly through increased use of ‘through- routing’, in order to reduce the number of buses contributing to congestion in the CBD.</w:t>
                  </w:r>
                </w:p>
              </w:txbxContent>
            </v:textbox>
            <w10:anchorlock/>
          </v:shape>
        </w:pict>
      </w:r>
    </w:p>
    <w:p w:rsidR="002C1123" w:rsidRDefault="00F22F94">
      <w:pPr>
        <w:pStyle w:val="Heading6"/>
        <w:numPr>
          <w:ilvl w:val="2"/>
          <w:numId w:val="92"/>
        </w:numPr>
        <w:tabs>
          <w:tab w:val="left" w:pos="689"/>
        </w:tabs>
        <w:spacing w:before="175"/>
        <w:ind w:left="688" w:hanging="487"/>
        <w:jc w:val="left"/>
        <w:rPr>
          <w:color w:val="00AEEF"/>
        </w:rPr>
      </w:pPr>
      <w:r>
        <w:rPr>
          <w:color w:val="00AEEF"/>
          <w:spacing w:val="-4"/>
        </w:rPr>
        <w:t>Longer</w:t>
      </w:r>
      <w:r>
        <w:rPr>
          <w:color w:val="00AEEF"/>
          <w:spacing w:val="-10"/>
        </w:rPr>
        <w:t xml:space="preserve"> </w:t>
      </w:r>
      <w:r>
        <w:rPr>
          <w:color w:val="00AEEF"/>
          <w:spacing w:val="-4"/>
        </w:rPr>
        <w:t>Term</w:t>
      </w:r>
      <w:r>
        <w:rPr>
          <w:color w:val="00AEEF"/>
          <w:spacing w:val="-10"/>
        </w:rPr>
        <w:t xml:space="preserve"> </w:t>
      </w:r>
      <w:r>
        <w:rPr>
          <w:color w:val="00AEEF"/>
          <w:spacing w:val="-4"/>
        </w:rPr>
        <w:t>Options</w:t>
      </w:r>
    </w:p>
    <w:p w:rsidR="002C1123" w:rsidRDefault="00F22F94">
      <w:pPr>
        <w:pStyle w:val="BodyText"/>
        <w:spacing w:before="95" w:line="249" w:lineRule="auto"/>
        <w:ind w:left="202" w:right="15"/>
      </w:pPr>
      <w:r>
        <w:t>Over</w:t>
      </w:r>
      <w:r>
        <w:rPr>
          <w:spacing w:val="-12"/>
        </w:rPr>
        <w:t xml:space="preserve"> </w:t>
      </w:r>
      <w:r>
        <w:t>the</w:t>
      </w:r>
      <w:r>
        <w:rPr>
          <w:spacing w:val="-12"/>
        </w:rPr>
        <w:t xml:space="preserve"> </w:t>
      </w:r>
      <w:r>
        <w:t>longer-term,</w:t>
      </w:r>
      <w:r>
        <w:rPr>
          <w:spacing w:val="-12"/>
        </w:rPr>
        <w:t xml:space="preserve"> </w:t>
      </w:r>
      <w:r>
        <w:t>as</w:t>
      </w:r>
      <w:r>
        <w:rPr>
          <w:spacing w:val="-12"/>
        </w:rPr>
        <w:t xml:space="preserve"> </w:t>
      </w:r>
      <w:r>
        <w:t>employment</w:t>
      </w:r>
      <w:r>
        <w:rPr>
          <w:spacing w:val="-12"/>
        </w:rPr>
        <w:t xml:space="preserve"> </w:t>
      </w:r>
      <w:r>
        <w:t>in</w:t>
      </w:r>
      <w:r>
        <w:rPr>
          <w:spacing w:val="-12"/>
        </w:rPr>
        <w:t xml:space="preserve"> </w:t>
      </w:r>
      <w:r>
        <w:t>the</w:t>
      </w:r>
      <w:r>
        <w:rPr>
          <w:spacing w:val="-12"/>
        </w:rPr>
        <w:t xml:space="preserve"> </w:t>
      </w:r>
      <w:r>
        <w:t xml:space="preserve">CBD </w:t>
      </w:r>
      <w:r>
        <w:rPr>
          <w:w w:val="95"/>
        </w:rPr>
        <w:t>grows,</w:t>
      </w:r>
      <w:r>
        <w:rPr>
          <w:spacing w:val="-7"/>
          <w:w w:val="95"/>
        </w:rPr>
        <w:t xml:space="preserve"> </w:t>
      </w:r>
      <w:r>
        <w:rPr>
          <w:w w:val="95"/>
        </w:rPr>
        <w:t>investment</w:t>
      </w:r>
      <w:r>
        <w:rPr>
          <w:spacing w:val="-7"/>
          <w:w w:val="95"/>
        </w:rPr>
        <w:t xml:space="preserve"> </w:t>
      </w:r>
      <w:r>
        <w:rPr>
          <w:w w:val="95"/>
        </w:rPr>
        <w:t>in</w:t>
      </w:r>
      <w:r>
        <w:rPr>
          <w:spacing w:val="-7"/>
          <w:w w:val="95"/>
        </w:rPr>
        <w:t xml:space="preserve"> </w:t>
      </w:r>
      <w:r>
        <w:rPr>
          <w:w w:val="95"/>
        </w:rPr>
        <w:t>substantial</w:t>
      </w:r>
      <w:r>
        <w:rPr>
          <w:spacing w:val="-7"/>
          <w:w w:val="95"/>
        </w:rPr>
        <w:t xml:space="preserve"> </w:t>
      </w:r>
      <w:r>
        <w:rPr>
          <w:w w:val="95"/>
        </w:rPr>
        <w:t>fixed</w:t>
      </w:r>
      <w:r>
        <w:rPr>
          <w:spacing w:val="-7"/>
          <w:w w:val="95"/>
        </w:rPr>
        <w:t xml:space="preserve"> </w:t>
      </w:r>
      <w:r>
        <w:rPr>
          <w:w w:val="95"/>
        </w:rPr>
        <w:t>infrastructure</w:t>
      </w:r>
      <w:r>
        <w:rPr>
          <w:spacing w:val="-7"/>
          <w:w w:val="95"/>
        </w:rPr>
        <w:t xml:space="preserve"> </w:t>
      </w:r>
      <w:r>
        <w:rPr>
          <w:w w:val="95"/>
        </w:rPr>
        <w:t xml:space="preserve">will </w:t>
      </w:r>
      <w:r>
        <w:t>be</w:t>
      </w:r>
      <w:r>
        <w:rPr>
          <w:spacing w:val="-11"/>
        </w:rPr>
        <w:t xml:space="preserve"> </w:t>
      </w:r>
      <w:r>
        <w:t>required.</w:t>
      </w:r>
    </w:p>
    <w:p w:rsidR="002C1123" w:rsidRDefault="00F22F94">
      <w:pPr>
        <w:pStyle w:val="BodyText"/>
        <w:spacing w:before="144" w:line="249" w:lineRule="auto"/>
        <w:ind w:left="202"/>
      </w:pPr>
      <w:r>
        <w:t>Two</w:t>
      </w:r>
      <w:r>
        <w:rPr>
          <w:spacing w:val="-14"/>
        </w:rPr>
        <w:t xml:space="preserve"> </w:t>
      </w:r>
      <w:r>
        <w:t>potential</w:t>
      </w:r>
      <w:r>
        <w:rPr>
          <w:spacing w:val="-14"/>
        </w:rPr>
        <w:t xml:space="preserve"> </w:t>
      </w:r>
      <w:r>
        <w:t>infrastructure</w:t>
      </w:r>
      <w:r>
        <w:rPr>
          <w:spacing w:val="-14"/>
        </w:rPr>
        <w:t xml:space="preserve"> </w:t>
      </w:r>
      <w:r>
        <w:t>options</w:t>
      </w:r>
      <w:r>
        <w:rPr>
          <w:spacing w:val="-14"/>
        </w:rPr>
        <w:t xml:space="preserve"> </w:t>
      </w:r>
      <w:r>
        <w:t>have</w:t>
      </w:r>
      <w:r>
        <w:rPr>
          <w:spacing w:val="-14"/>
        </w:rPr>
        <w:t xml:space="preserve"> </w:t>
      </w:r>
      <w:r>
        <w:t xml:space="preserve">been </w:t>
      </w:r>
      <w:r>
        <w:rPr>
          <w:w w:val="95"/>
        </w:rPr>
        <w:t>suggested</w:t>
      </w:r>
      <w:r>
        <w:rPr>
          <w:spacing w:val="-1"/>
          <w:w w:val="95"/>
        </w:rPr>
        <w:t xml:space="preserve"> </w:t>
      </w:r>
      <w:r>
        <w:rPr>
          <w:w w:val="95"/>
        </w:rPr>
        <w:t>to</w:t>
      </w:r>
      <w:r>
        <w:rPr>
          <w:spacing w:val="-1"/>
          <w:w w:val="95"/>
        </w:rPr>
        <w:t xml:space="preserve"> </w:t>
      </w:r>
      <w:r>
        <w:rPr>
          <w:w w:val="95"/>
        </w:rPr>
        <w:t>relieve</w:t>
      </w:r>
      <w:r>
        <w:rPr>
          <w:spacing w:val="-1"/>
          <w:w w:val="95"/>
        </w:rPr>
        <w:t xml:space="preserve"> </w:t>
      </w:r>
      <w:r>
        <w:rPr>
          <w:w w:val="95"/>
        </w:rPr>
        <w:t>bus</w:t>
      </w:r>
      <w:r>
        <w:rPr>
          <w:spacing w:val="-1"/>
          <w:w w:val="95"/>
        </w:rPr>
        <w:t xml:space="preserve"> </w:t>
      </w:r>
      <w:r>
        <w:rPr>
          <w:w w:val="95"/>
        </w:rPr>
        <w:t>congestion</w:t>
      </w:r>
      <w:r>
        <w:rPr>
          <w:spacing w:val="-1"/>
          <w:w w:val="95"/>
        </w:rPr>
        <w:t xml:space="preserve"> </w:t>
      </w:r>
      <w:r>
        <w:rPr>
          <w:w w:val="95"/>
        </w:rPr>
        <w:t>and</w:t>
      </w:r>
      <w:r>
        <w:rPr>
          <w:spacing w:val="-1"/>
          <w:w w:val="95"/>
        </w:rPr>
        <w:t xml:space="preserve"> </w:t>
      </w:r>
      <w:r>
        <w:rPr>
          <w:w w:val="95"/>
        </w:rPr>
        <w:t>provide</w:t>
      </w:r>
      <w:r>
        <w:rPr>
          <w:spacing w:val="-1"/>
          <w:w w:val="95"/>
        </w:rPr>
        <w:t xml:space="preserve"> </w:t>
      </w:r>
      <w:r>
        <w:rPr>
          <w:w w:val="95"/>
        </w:rPr>
        <w:t xml:space="preserve">better </w:t>
      </w:r>
      <w:r>
        <w:t>amenity for the CBD.</w:t>
      </w:r>
    </w:p>
    <w:p w:rsidR="002C1123" w:rsidRDefault="00F22F94">
      <w:pPr>
        <w:pStyle w:val="ListParagraph"/>
        <w:numPr>
          <w:ilvl w:val="3"/>
          <w:numId w:val="92"/>
        </w:numPr>
        <w:tabs>
          <w:tab w:val="left" w:pos="487"/>
        </w:tabs>
        <w:spacing w:before="132" w:line="249" w:lineRule="auto"/>
        <w:ind w:left="486" w:right="258" w:hanging="284"/>
        <w:rPr>
          <w:sz w:val="20"/>
        </w:rPr>
      </w:pPr>
      <w:r>
        <w:rPr>
          <w:sz w:val="20"/>
        </w:rPr>
        <w:t>The</w:t>
      </w:r>
      <w:r>
        <w:rPr>
          <w:spacing w:val="-14"/>
          <w:sz w:val="20"/>
        </w:rPr>
        <w:t xml:space="preserve"> </w:t>
      </w:r>
      <w:r>
        <w:rPr>
          <w:sz w:val="20"/>
        </w:rPr>
        <w:t>City</w:t>
      </w:r>
      <w:r>
        <w:rPr>
          <w:spacing w:val="-14"/>
          <w:sz w:val="20"/>
        </w:rPr>
        <w:t xml:space="preserve"> </w:t>
      </w:r>
      <w:r>
        <w:rPr>
          <w:sz w:val="20"/>
        </w:rPr>
        <w:t>of</w:t>
      </w:r>
      <w:r>
        <w:rPr>
          <w:spacing w:val="-14"/>
          <w:sz w:val="20"/>
        </w:rPr>
        <w:t xml:space="preserve"> </w:t>
      </w:r>
      <w:r>
        <w:rPr>
          <w:sz w:val="20"/>
        </w:rPr>
        <w:t>Sydney</w:t>
      </w:r>
      <w:r>
        <w:rPr>
          <w:spacing w:val="-14"/>
          <w:sz w:val="20"/>
        </w:rPr>
        <w:t xml:space="preserve"> </w:t>
      </w:r>
      <w:r>
        <w:rPr>
          <w:sz w:val="20"/>
        </w:rPr>
        <w:t>has</w:t>
      </w:r>
      <w:r>
        <w:rPr>
          <w:spacing w:val="-14"/>
          <w:sz w:val="20"/>
        </w:rPr>
        <w:t xml:space="preserve"> </w:t>
      </w:r>
      <w:r>
        <w:rPr>
          <w:sz w:val="20"/>
        </w:rPr>
        <w:t>proposed</w:t>
      </w:r>
      <w:r>
        <w:rPr>
          <w:spacing w:val="-14"/>
          <w:sz w:val="20"/>
        </w:rPr>
        <w:t xml:space="preserve"> </w:t>
      </w:r>
      <w:r>
        <w:rPr>
          <w:sz w:val="20"/>
        </w:rPr>
        <w:t>a</w:t>
      </w:r>
      <w:r>
        <w:rPr>
          <w:spacing w:val="-14"/>
          <w:sz w:val="20"/>
        </w:rPr>
        <w:t xml:space="preserve"> </w:t>
      </w:r>
      <w:r>
        <w:rPr>
          <w:sz w:val="20"/>
        </w:rPr>
        <w:t>CBD</w:t>
      </w:r>
      <w:r>
        <w:rPr>
          <w:spacing w:val="-14"/>
          <w:sz w:val="20"/>
        </w:rPr>
        <w:t xml:space="preserve"> </w:t>
      </w:r>
      <w:r>
        <w:rPr>
          <w:sz w:val="20"/>
        </w:rPr>
        <w:t>light</w:t>
      </w:r>
      <w:r>
        <w:rPr>
          <w:spacing w:val="-14"/>
          <w:sz w:val="20"/>
        </w:rPr>
        <w:t xml:space="preserve"> </w:t>
      </w:r>
      <w:r>
        <w:rPr>
          <w:sz w:val="20"/>
        </w:rPr>
        <w:t>rail route</w:t>
      </w:r>
      <w:r>
        <w:rPr>
          <w:spacing w:val="-14"/>
          <w:sz w:val="20"/>
        </w:rPr>
        <w:t xml:space="preserve"> </w:t>
      </w:r>
      <w:r>
        <w:rPr>
          <w:sz w:val="20"/>
        </w:rPr>
        <w:t>along</w:t>
      </w:r>
      <w:r>
        <w:rPr>
          <w:spacing w:val="-14"/>
          <w:sz w:val="20"/>
        </w:rPr>
        <w:t xml:space="preserve"> </w:t>
      </w:r>
      <w:r>
        <w:rPr>
          <w:sz w:val="20"/>
        </w:rPr>
        <w:t>George</w:t>
      </w:r>
      <w:r>
        <w:rPr>
          <w:spacing w:val="-14"/>
          <w:sz w:val="20"/>
        </w:rPr>
        <w:t xml:space="preserve"> </w:t>
      </w:r>
      <w:r>
        <w:rPr>
          <w:sz w:val="20"/>
        </w:rPr>
        <w:t>Street.</w:t>
      </w:r>
      <w:r>
        <w:rPr>
          <w:spacing w:val="-14"/>
          <w:sz w:val="20"/>
        </w:rPr>
        <w:t xml:space="preserve"> </w:t>
      </w:r>
      <w:r>
        <w:rPr>
          <w:sz w:val="20"/>
        </w:rPr>
        <w:t>Transport</w:t>
      </w:r>
      <w:r>
        <w:rPr>
          <w:spacing w:val="-14"/>
          <w:sz w:val="20"/>
        </w:rPr>
        <w:t xml:space="preserve"> </w:t>
      </w:r>
      <w:r>
        <w:rPr>
          <w:sz w:val="20"/>
        </w:rPr>
        <w:t>for</w:t>
      </w:r>
      <w:r>
        <w:rPr>
          <w:spacing w:val="-14"/>
          <w:sz w:val="20"/>
        </w:rPr>
        <w:t xml:space="preserve"> </w:t>
      </w:r>
      <w:r>
        <w:rPr>
          <w:sz w:val="20"/>
        </w:rPr>
        <w:t>NSW</w:t>
      </w:r>
      <w:r>
        <w:rPr>
          <w:spacing w:val="-14"/>
          <w:sz w:val="20"/>
        </w:rPr>
        <w:t xml:space="preserve"> </w:t>
      </w:r>
      <w:r>
        <w:rPr>
          <w:sz w:val="20"/>
        </w:rPr>
        <w:t xml:space="preserve">is </w:t>
      </w:r>
      <w:r>
        <w:rPr>
          <w:w w:val="95"/>
          <w:sz w:val="20"/>
        </w:rPr>
        <w:t>assessing</w:t>
      </w:r>
      <w:r>
        <w:rPr>
          <w:spacing w:val="-2"/>
          <w:w w:val="95"/>
          <w:sz w:val="20"/>
        </w:rPr>
        <w:t xml:space="preserve"> </w:t>
      </w:r>
      <w:r>
        <w:rPr>
          <w:w w:val="95"/>
          <w:sz w:val="20"/>
        </w:rPr>
        <w:t>the</w:t>
      </w:r>
      <w:r>
        <w:rPr>
          <w:spacing w:val="-2"/>
          <w:w w:val="95"/>
          <w:sz w:val="20"/>
        </w:rPr>
        <w:t xml:space="preserve"> </w:t>
      </w:r>
      <w:r>
        <w:rPr>
          <w:w w:val="95"/>
          <w:sz w:val="20"/>
        </w:rPr>
        <w:t>feasibility</w:t>
      </w:r>
      <w:r>
        <w:rPr>
          <w:spacing w:val="-2"/>
          <w:w w:val="95"/>
          <w:sz w:val="20"/>
        </w:rPr>
        <w:t xml:space="preserve"> </w:t>
      </w:r>
      <w:r>
        <w:rPr>
          <w:w w:val="95"/>
          <w:sz w:val="20"/>
        </w:rPr>
        <w:t>of</w:t>
      </w:r>
      <w:r>
        <w:rPr>
          <w:spacing w:val="-2"/>
          <w:w w:val="95"/>
          <w:sz w:val="20"/>
        </w:rPr>
        <w:t xml:space="preserve"> </w:t>
      </w:r>
      <w:r>
        <w:rPr>
          <w:w w:val="95"/>
          <w:sz w:val="20"/>
        </w:rPr>
        <w:t>this</w:t>
      </w:r>
      <w:r>
        <w:rPr>
          <w:spacing w:val="-2"/>
          <w:w w:val="95"/>
          <w:sz w:val="20"/>
        </w:rPr>
        <w:t xml:space="preserve"> </w:t>
      </w:r>
      <w:r>
        <w:rPr>
          <w:w w:val="95"/>
          <w:sz w:val="20"/>
        </w:rPr>
        <w:t>option</w:t>
      </w:r>
      <w:r>
        <w:rPr>
          <w:spacing w:val="-2"/>
          <w:w w:val="95"/>
          <w:sz w:val="20"/>
        </w:rPr>
        <w:t xml:space="preserve"> </w:t>
      </w:r>
      <w:r>
        <w:rPr>
          <w:w w:val="95"/>
          <w:sz w:val="20"/>
        </w:rPr>
        <w:t>as</w:t>
      </w:r>
      <w:r>
        <w:rPr>
          <w:spacing w:val="-2"/>
          <w:w w:val="95"/>
          <w:sz w:val="20"/>
        </w:rPr>
        <w:t xml:space="preserve"> </w:t>
      </w:r>
      <w:r>
        <w:rPr>
          <w:w w:val="95"/>
          <w:sz w:val="20"/>
        </w:rPr>
        <w:t>part</w:t>
      </w:r>
      <w:r>
        <w:rPr>
          <w:spacing w:val="-2"/>
          <w:w w:val="95"/>
          <w:sz w:val="20"/>
        </w:rPr>
        <w:t xml:space="preserve"> </w:t>
      </w:r>
      <w:r>
        <w:rPr>
          <w:w w:val="95"/>
          <w:sz w:val="20"/>
        </w:rPr>
        <w:t>of</w:t>
      </w:r>
      <w:r>
        <w:rPr>
          <w:spacing w:val="-2"/>
          <w:w w:val="95"/>
          <w:sz w:val="20"/>
        </w:rPr>
        <w:t xml:space="preserve"> </w:t>
      </w:r>
      <w:r>
        <w:rPr>
          <w:w w:val="95"/>
          <w:sz w:val="20"/>
        </w:rPr>
        <w:t xml:space="preserve">an </w:t>
      </w:r>
      <w:r>
        <w:rPr>
          <w:sz w:val="20"/>
        </w:rPr>
        <w:t>expansion</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existing</w:t>
      </w:r>
      <w:r>
        <w:rPr>
          <w:spacing w:val="-14"/>
          <w:sz w:val="20"/>
        </w:rPr>
        <w:t xml:space="preserve"> </w:t>
      </w:r>
      <w:r>
        <w:rPr>
          <w:sz w:val="20"/>
        </w:rPr>
        <w:t>light</w:t>
      </w:r>
      <w:r>
        <w:rPr>
          <w:spacing w:val="-14"/>
          <w:sz w:val="20"/>
        </w:rPr>
        <w:t xml:space="preserve"> </w:t>
      </w:r>
      <w:r>
        <w:rPr>
          <w:sz w:val="20"/>
        </w:rPr>
        <w:t>rail</w:t>
      </w:r>
      <w:r>
        <w:rPr>
          <w:spacing w:val="-14"/>
          <w:sz w:val="20"/>
        </w:rPr>
        <w:t xml:space="preserve"> </w:t>
      </w:r>
      <w:r>
        <w:rPr>
          <w:sz w:val="20"/>
        </w:rPr>
        <w:t>network.</w:t>
      </w:r>
      <w:r>
        <w:rPr>
          <w:spacing w:val="-13"/>
          <w:sz w:val="20"/>
        </w:rPr>
        <w:t xml:space="preserve"> </w:t>
      </w:r>
      <w:r>
        <w:rPr>
          <w:sz w:val="20"/>
        </w:rPr>
        <w:t xml:space="preserve">This </w:t>
      </w:r>
      <w:r>
        <w:rPr>
          <w:w w:val="95"/>
          <w:sz w:val="20"/>
        </w:rPr>
        <w:t xml:space="preserve">scheme is intended to act as a north-south “transit </w:t>
      </w:r>
      <w:r>
        <w:rPr>
          <w:sz w:val="20"/>
        </w:rPr>
        <w:t>spine”</w:t>
      </w:r>
      <w:r>
        <w:rPr>
          <w:spacing w:val="-3"/>
          <w:sz w:val="20"/>
        </w:rPr>
        <w:t xml:space="preserve"> </w:t>
      </w:r>
      <w:r>
        <w:rPr>
          <w:sz w:val="20"/>
        </w:rPr>
        <w:t>for</w:t>
      </w:r>
      <w:r>
        <w:rPr>
          <w:spacing w:val="-3"/>
          <w:sz w:val="20"/>
        </w:rPr>
        <w:t xml:space="preserve"> </w:t>
      </w:r>
      <w:r>
        <w:rPr>
          <w:sz w:val="20"/>
        </w:rPr>
        <w:t>journeys</w:t>
      </w:r>
      <w:r>
        <w:rPr>
          <w:spacing w:val="-3"/>
          <w:sz w:val="20"/>
        </w:rPr>
        <w:t xml:space="preserve"> </w:t>
      </w:r>
      <w:r>
        <w:rPr>
          <w:sz w:val="20"/>
        </w:rPr>
        <w:t>within</w:t>
      </w:r>
      <w:r>
        <w:rPr>
          <w:spacing w:val="-3"/>
          <w:sz w:val="20"/>
        </w:rPr>
        <w:t xml:space="preserve"> </w:t>
      </w:r>
      <w:r>
        <w:rPr>
          <w:sz w:val="20"/>
        </w:rPr>
        <w:t>the</w:t>
      </w:r>
      <w:r>
        <w:rPr>
          <w:spacing w:val="-3"/>
          <w:sz w:val="20"/>
        </w:rPr>
        <w:t xml:space="preserve"> </w:t>
      </w:r>
      <w:r>
        <w:rPr>
          <w:sz w:val="20"/>
        </w:rPr>
        <w:t>CBD.</w:t>
      </w:r>
    </w:p>
    <w:p w:rsidR="002C1123" w:rsidRDefault="00F22F94">
      <w:pPr>
        <w:pStyle w:val="ListParagraph"/>
        <w:numPr>
          <w:ilvl w:val="3"/>
          <w:numId w:val="92"/>
        </w:numPr>
        <w:tabs>
          <w:tab w:val="left" w:pos="487"/>
        </w:tabs>
        <w:spacing w:before="134" w:line="249" w:lineRule="auto"/>
        <w:ind w:left="486" w:hanging="284"/>
        <w:rPr>
          <w:sz w:val="20"/>
        </w:rPr>
      </w:pPr>
      <w:r>
        <w:rPr>
          <w:w w:val="95"/>
          <w:sz w:val="20"/>
        </w:rPr>
        <w:t>A</w:t>
      </w:r>
      <w:r>
        <w:rPr>
          <w:spacing w:val="-6"/>
          <w:w w:val="95"/>
          <w:sz w:val="20"/>
        </w:rPr>
        <w:t xml:space="preserve"> </w:t>
      </w:r>
      <w:r>
        <w:rPr>
          <w:w w:val="95"/>
          <w:sz w:val="20"/>
        </w:rPr>
        <w:t>sub</w:t>
      </w:r>
      <w:r>
        <w:rPr>
          <w:spacing w:val="-6"/>
          <w:w w:val="95"/>
          <w:sz w:val="20"/>
        </w:rPr>
        <w:t xml:space="preserve"> </w:t>
      </w:r>
      <w:r>
        <w:rPr>
          <w:w w:val="95"/>
          <w:sz w:val="20"/>
        </w:rPr>
        <w:t>surface</w:t>
      </w:r>
      <w:r>
        <w:rPr>
          <w:spacing w:val="-6"/>
          <w:w w:val="95"/>
          <w:sz w:val="20"/>
        </w:rPr>
        <w:t xml:space="preserve"> </w:t>
      </w:r>
      <w:r>
        <w:rPr>
          <w:w w:val="95"/>
          <w:sz w:val="20"/>
        </w:rPr>
        <w:t>CBD</w:t>
      </w:r>
      <w:r>
        <w:rPr>
          <w:spacing w:val="-6"/>
          <w:w w:val="95"/>
          <w:sz w:val="20"/>
        </w:rPr>
        <w:t xml:space="preserve"> </w:t>
      </w:r>
      <w:r>
        <w:rPr>
          <w:w w:val="95"/>
          <w:sz w:val="20"/>
        </w:rPr>
        <w:t>Bus</w:t>
      </w:r>
      <w:r>
        <w:rPr>
          <w:spacing w:val="-6"/>
          <w:w w:val="95"/>
          <w:sz w:val="20"/>
        </w:rPr>
        <w:t xml:space="preserve"> </w:t>
      </w:r>
      <w:r>
        <w:rPr>
          <w:w w:val="95"/>
          <w:sz w:val="20"/>
        </w:rPr>
        <w:t>Rapid</w:t>
      </w:r>
      <w:r>
        <w:rPr>
          <w:spacing w:val="-6"/>
          <w:w w:val="95"/>
          <w:sz w:val="20"/>
        </w:rPr>
        <w:t xml:space="preserve"> </w:t>
      </w:r>
      <w:r>
        <w:rPr>
          <w:w w:val="95"/>
          <w:sz w:val="20"/>
        </w:rPr>
        <w:t>Transit</w:t>
      </w:r>
      <w:r>
        <w:rPr>
          <w:spacing w:val="-6"/>
          <w:w w:val="95"/>
          <w:sz w:val="20"/>
        </w:rPr>
        <w:t xml:space="preserve"> </w:t>
      </w:r>
      <w:r>
        <w:rPr>
          <w:w w:val="95"/>
          <w:sz w:val="20"/>
        </w:rPr>
        <w:t>system</w:t>
      </w:r>
      <w:r>
        <w:rPr>
          <w:spacing w:val="-6"/>
          <w:w w:val="95"/>
          <w:sz w:val="20"/>
        </w:rPr>
        <w:t xml:space="preserve"> </w:t>
      </w:r>
      <w:r>
        <w:rPr>
          <w:w w:val="95"/>
          <w:sz w:val="20"/>
        </w:rPr>
        <w:t>utilising in part the historic tram tunnels that run from the Harbour Bridge to Wynyard, which could increase commuter capacity whilst substantially removing buses from surface streets (including Harbour Bridge services</w:t>
      </w:r>
      <w:r>
        <w:rPr>
          <w:spacing w:val="-3"/>
          <w:w w:val="95"/>
          <w:sz w:val="20"/>
        </w:rPr>
        <w:t xml:space="preserve"> </w:t>
      </w:r>
      <w:r>
        <w:rPr>
          <w:w w:val="95"/>
          <w:sz w:val="20"/>
        </w:rPr>
        <w:t>as</w:t>
      </w:r>
      <w:r>
        <w:rPr>
          <w:spacing w:val="-3"/>
          <w:w w:val="95"/>
          <w:sz w:val="20"/>
        </w:rPr>
        <w:t xml:space="preserve"> </w:t>
      </w:r>
      <w:r>
        <w:rPr>
          <w:w w:val="95"/>
          <w:sz w:val="20"/>
        </w:rPr>
        <w:t>well</w:t>
      </w:r>
      <w:r>
        <w:rPr>
          <w:spacing w:val="-3"/>
          <w:w w:val="95"/>
          <w:sz w:val="20"/>
        </w:rPr>
        <w:t xml:space="preserve"> </w:t>
      </w:r>
      <w:r>
        <w:rPr>
          <w:w w:val="95"/>
          <w:sz w:val="20"/>
        </w:rPr>
        <w:t>as</w:t>
      </w:r>
      <w:r>
        <w:rPr>
          <w:spacing w:val="-3"/>
          <w:w w:val="95"/>
          <w:sz w:val="20"/>
        </w:rPr>
        <w:t xml:space="preserve"> </w:t>
      </w:r>
      <w:r>
        <w:rPr>
          <w:w w:val="95"/>
          <w:sz w:val="20"/>
        </w:rPr>
        <w:t>those</w:t>
      </w:r>
      <w:r>
        <w:rPr>
          <w:spacing w:val="-3"/>
          <w:w w:val="95"/>
          <w:sz w:val="20"/>
        </w:rPr>
        <w:t xml:space="preserve"> </w:t>
      </w:r>
      <w:r>
        <w:rPr>
          <w:w w:val="95"/>
          <w:sz w:val="20"/>
        </w:rPr>
        <w:t>on</w:t>
      </w:r>
      <w:r>
        <w:rPr>
          <w:spacing w:val="-3"/>
          <w:w w:val="95"/>
          <w:sz w:val="20"/>
        </w:rPr>
        <w:t xml:space="preserve"> </w:t>
      </w:r>
      <w:r>
        <w:rPr>
          <w:w w:val="95"/>
          <w:sz w:val="20"/>
        </w:rPr>
        <w:t>George</w:t>
      </w:r>
      <w:r>
        <w:rPr>
          <w:spacing w:val="-3"/>
          <w:w w:val="95"/>
          <w:sz w:val="20"/>
        </w:rPr>
        <w:t xml:space="preserve"> </w:t>
      </w:r>
      <w:r>
        <w:rPr>
          <w:w w:val="95"/>
          <w:sz w:val="20"/>
        </w:rPr>
        <w:t>Street)</w:t>
      </w:r>
      <w:r>
        <w:rPr>
          <w:spacing w:val="-3"/>
          <w:w w:val="95"/>
          <w:sz w:val="20"/>
        </w:rPr>
        <w:t xml:space="preserve"> </w:t>
      </w:r>
      <w:r>
        <w:rPr>
          <w:w w:val="95"/>
          <w:sz w:val="20"/>
        </w:rPr>
        <w:t xml:space="preserve">and </w:t>
      </w:r>
      <w:r>
        <w:rPr>
          <w:w w:val="90"/>
          <w:sz w:val="20"/>
        </w:rPr>
        <w:t>allowing full pedestrianisation of parts of George Street.</w:t>
      </w:r>
    </w:p>
    <w:p w:rsidR="002C1123" w:rsidRDefault="00F22F94">
      <w:pPr>
        <w:pStyle w:val="BodyText"/>
        <w:spacing w:before="147" w:line="249" w:lineRule="auto"/>
        <w:ind w:left="202"/>
      </w:pPr>
      <w:r>
        <w:rPr>
          <w:w w:val="95"/>
        </w:rPr>
        <w:t>Infrastructure</w:t>
      </w:r>
      <w:r>
        <w:rPr>
          <w:spacing w:val="-7"/>
          <w:w w:val="95"/>
        </w:rPr>
        <w:t xml:space="preserve"> </w:t>
      </w:r>
      <w:r>
        <w:rPr>
          <w:w w:val="95"/>
        </w:rPr>
        <w:t>NSW</w:t>
      </w:r>
      <w:r>
        <w:rPr>
          <w:spacing w:val="-7"/>
          <w:w w:val="95"/>
        </w:rPr>
        <w:t xml:space="preserve"> </w:t>
      </w:r>
      <w:r>
        <w:rPr>
          <w:w w:val="95"/>
        </w:rPr>
        <w:t>has</w:t>
      </w:r>
      <w:r>
        <w:rPr>
          <w:spacing w:val="-7"/>
          <w:w w:val="95"/>
        </w:rPr>
        <w:t xml:space="preserve"> </w:t>
      </w:r>
      <w:r>
        <w:rPr>
          <w:w w:val="95"/>
        </w:rPr>
        <w:t>assessed</w:t>
      </w:r>
      <w:r>
        <w:rPr>
          <w:spacing w:val="-7"/>
          <w:w w:val="95"/>
        </w:rPr>
        <w:t xml:space="preserve"> </w:t>
      </w:r>
      <w:r>
        <w:rPr>
          <w:w w:val="95"/>
        </w:rPr>
        <w:t>these</w:t>
      </w:r>
      <w:r>
        <w:rPr>
          <w:spacing w:val="-7"/>
          <w:w w:val="95"/>
        </w:rPr>
        <w:t xml:space="preserve"> </w:t>
      </w:r>
      <w:r>
        <w:rPr>
          <w:w w:val="95"/>
        </w:rPr>
        <w:t>longer</w:t>
      </w:r>
      <w:r>
        <w:rPr>
          <w:spacing w:val="-7"/>
          <w:w w:val="95"/>
        </w:rPr>
        <w:t xml:space="preserve"> </w:t>
      </w:r>
      <w:r>
        <w:rPr>
          <w:w w:val="95"/>
        </w:rPr>
        <w:t xml:space="preserve">term </w:t>
      </w:r>
      <w:r>
        <w:t>options in more detail below.</w:t>
      </w:r>
    </w:p>
    <w:p w:rsidR="002C1123" w:rsidRDefault="00F22F94">
      <w:pPr>
        <w:pStyle w:val="Heading6"/>
        <w:numPr>
          <w:ilvl w:val="2"/>
          <w:numId w:val="92"/>
        </w:numPr>
        <w:tabs>
          <w:tab w:val="left" w:pos="674"/>
        </w:tabs>
        <w:ind w:left="673" w:hanging="487"/>
        <w:jc w:val="left"/>
        <w:rPr>
          <w:color w:val="00AEEF"/>
        </w:rPr>
      </w:pPr>
      <w:r>
        <w:rPr>
          <w:b w:val="0"/>
        </w:rPr>
        <w:br w:type="column"/>
      </w:r>
      <w:r>
        <w:rPr>
          <w:color w:val="00AEEF"/>
          <w:spacing w:val="-2"/>
        </w:rPr>
        <w:t>Light</w:t>
      </w:r>
      <w:r>
        <w:rPr>
          <w:color w:val="00AEEF"/>
          <w:spacing w:val="-12"/>
        </w:rPr>
        <w:t xml:space="preserve"> </w:t>
      </w:r>
      <w:r>
        <w:rPr>
          <w:color w:val="00AEEF"/>
          <w:spacing w:val="-2"/>
        </w:rPr>
        <w:t>Rail</w:t>
      </w:r>
      <w:r>
        <w:rPr>
          <w:color w:val="00AEEF"/>
          <w:spacing w:val="-11"/>
        </w:rPr>
        <w:t xml:space="preserve"> </w:t>
      </w:r>
      <w:r>
        <w:rPr>
          <w:color w:val="00AEEF"/>
          <w:spacing w:val="-2"/>
        </w:rPr>
        <w:t>in</w:t>
      </w:r>
      <w:r>
        <w:rPr>
          <w:color w:val="00AEEF"/>
          <w:spacing w:val="-11"/>
        </w:rPr>
        <w:t xml:space="preserve"> </w:t>
      </w:r>
      <w:r>
        <w:rPr>
          <w:color w:val="00AEEF"/>
          <w:spacing w:val="-2"/>
        </w:rPr>
        <w:t>the</w:t>
      </w:r>
      <w:r>
        <w:rPr>
          <w:color w:val="00AEEF"/>
          <w:spacing w:val="-11"/>
        </w:rPr>
        <w:t xml:space="preserve"> </w:t>
      </w:r>
      <w:r>
        <w:rPr>
          <w:color w:val="00AEEF"/>
          <w:spacing w:val="-5"/>
        </w:rPr>
        <w:t>CBD</w:t>
      </w:r>
    </w:p>
    <w:p w:rsidR="002C1123" w:rsidRDefault="00F22F94">
      <w:pPr>
        <w:spacing w:before="95"/>
        <w:ind w:left="187"/>
        <w:rPr>
          <w:b/>
          <w:sz w:val="20"/>
        </w:rPr>
      </w:pPr>
      <w:r>
        <w:rPr>
          <w:b/>
          <w:sz w:val="20"/>
        </w:rPr>
        <w:t>Competing</w:t>
      </w:r>
      <w:r>
        <w:rPr>
          <w:b/>
          <w:spacing w:val="-11"/>
          <w:sz w:val="20"/>
        </w:rPr>
        <w:t xml:space="preserve"> </w:t>
      </w:r>
      <w:r>
        <w:rPr>
          <w:b/>
          <w:sz w:val="20"/>
        </w:rPr>
        <w:t>objectives</w:t>
      </w:r>
      <w:r>
        <w:rPr>
          <w:b/>
          <w:spacing w:val="-11"/>
          <w:sz w:val="20"/>
        </w:rPr>
        <w:t xml:space="preserve"> </w:t>
      </w:r>
      <w:r>
        <w:rPr>
          <w:b/>
          <w:sz w:val="20"/>
        </w:rPr>
        <w:t>for</w:t>
      </w:r>
      <w:r>
        <w:rPr>
          <w:b/>
          <w:spacing w:val="-10"/>
          <w:sz w:val="20"/>
        </w:rPr>
        <w:t xml:space="preserve"> </w:t>
      </w:r>
      <w:r>
        <w:rPr>
          <w:b/>
          <w:sz w:val="20"/>
        </w:rPr>
        <w:t>CBD</w:t>
      </w:r>
      <w:r>
        <w:rPr>
          <w:b/>
          <w:spacing w:val="-11"/>
          <w:sz w:val="20"/>
        </w:rPr>
        <w:t xml:space="preserve"> </w:t>
      </w:r>
      <w:r>
        <w:rPr>
          <w:b/>
          <w:sz w:val="20"/>
        </w:rPr>
        <w:t>light</w:t>
      </w:r>
      <w:r>
        <w:rPr>
          <w:b/>
          <w:spacing w:val="-11"/>
          <w:sz w:val="20"/>
        </w:rPr>
        <w:t xml:space="preserve"> </w:t>
      </w:r>
      <w:r>
        <w:rPr>
          <w:b/>
          <w:spacing w:val="-4"/>
          <w:sz w:val="20"/>
        </w:rPr>
        <w:t>rail</w:t>
      </w:r>
    </w:p>
    <w:p w:rsidR="002C1123" w:rsidRDefault="00F22F94">
      <w:pPr>
        <w:pStyle w:val="BodyText"/>
        <w:spacing w:before="10" w:line="249" w:lineRule="auto"/>
        <w:ind w:left="187" w:right="769"/>
      </w:pPr>
      <w:r>
        <w:rPr>
          <w:w w:val="95"/>
        </w:rPr>
        <w:t>As</w:t>
      </w:r>
      <w:r>
        <w:rPr>
          <w:spacing w:val="-5"/>
          <w:w w:val="95"/>
        </w:rPr>
        <w:t xml:space="preserve"> </w:t>
      </w:r>
      <w:r>
        <w:rPr>
          <w:w w:val="95"/>
        </w:rPr>
        <w:t>mentioned,</w:t>
      </w:r>
      <w:r>
        <w:rPr>
          <w:spacing w:val="-5"/>
          <w:w w:val="95"/>
        </w:rPr>
        <w:t xml:space="preserve"> </w:t>
      </w:r>
      <w:r>
        <w:rPr>
          <w:w w:val="95"/>
        </w:rPr>
        <w:t>both</w:t>
      </w:r>
      <w:r>
        <w:rPr>
          <w:spacing w:val="-5"/>
          <w:w w:val="95"/>
        </w:rPr>
        <w:t xml:space="preserve"> </w:t>
      </w:r>
      <w:r>
        <w:rPr>
          <w:w w:val="95"/>
        </w:rPr>
        <w:t>the</w:t>
      </w:r>
      <w:r>
        <w:rPr>
          <w:spacing w:val="-5"/>
          <w:w w:val="95"/>
        </w:rPr>
        <w:t xml:space="preserve"> </w:t>
      </w:r>
      <w:r>
        <w:rPr>
          <w:w w:val="95"/>
        </w:rPr>
        <w:t>City</w:t>
      </w:r>
      <w:r>
        <w:rPr>
          <w:spacing w:val="-5"/>
          <w:w w:val="95"/>
        </w:rPr>
        <w:t xml:space="preserve"> </w:t>
      </w:r>
      <w:r>
        <w:rPr>
          <w:w w:val="95"/>
        </w:rPr>
        <w:t>of</w:t>
      </w:r>
      <w:r>
        <w:rPr>
          <w:spacing w:val="-5"/>
          <w:w w:val="95"/>
        </w:rPr>
        <w:t xml:space="preserve"> </w:t>
      </w:r>
      <w:r>
        <w:rPr>
          <w:w w:val="95"/>
        </w:rPr>
        <w:t>Sydney</w:t>
      </w:r>
      <w:r>
        <w:rPr>
          <w:spacing w:val="-5"/>
          <w:w w:val="95"/>
        </w:rPr>
        <w:t xml:space="preserve"> </w:t>
      </w:r>
      <w:r>
        <w:rPr>
          <w:w w:val="95"/>
        </w:rPr>
        <w:t>and</w:t>
      </w:r>
      <w:r>
        <w:rPr>
          <w:spacing w:val="-5"/>
          <w:w w:val="95"/>
        </w:rPr>
        <w:t xml:space="preserve"> </w:t>
      </w:r>
      <w:r>
        <w:rPr>
          <w:w w:val="95"/>
        </w:rPr>
        <w:t>Transport</w:t>
      </w:r>
      <w:r>
        <w:rPr>
          <w:spacing w:val="-5"/>
          <w:w w:val="95"/>
        </w:rPr>
        <w:t xml:space="preserve"> </w:t>
      </w:r>
      <w:r>
        <w:rPr>
          <w:w w:val="95"/>
        </w:rPr>
        <w:t xml:space="preserve">for </w:t>
      </w:r>
      <w:r>
        <w:t>NSW</w:t>
      </w:r>
      <w:r>
        <w:rPr>
          <w:spacing w:val="-14"/>
        </w:rPr>
        <w:t xml:space="preserve"> </w:t>
      </w:r>
      <w:r>
        <w:t>have</w:t>
      </w:r>
      <w:r>
        <w:rPr>
          <w:spacing w:val="-14"/>
        </w:rPr>
        <w:t xml:space="preserve"> </w:t>
      </w:r>
      <w:r>
        <w:t>proposals</w:t>
      </w:r>
      <w:r>
        <w:rPr>
          <w:spacing w:val="-14"/>
        </w:rPr>
        <w:t xml:space="preserve"> </w:t>
      </w:r>
      <w:r>
        <w:t>for</w:t>
      </w:r>
      <w:r>
        <w:rPr>
          <w:spacing w:val="-14"/>
        </w:rPr>
        <w:t xml:space="preserve"> </w:t>
      </w:r>
      <w:r>
        <w:t>light</w:t>
      </w:r>
      <w:r>
        <w:rPr>
          <w:spacing w:val="-14"/>
        </w:rPr>
        <w:t xml:space="preserve"> </w:t>
      </w:r>
      <w:r>
        <w:t>rail</w:t>
      </w:r>
      <w:r>
        <w:rPr>
          <w:spacing w:val="-14"/>
        </w:rPr>
        <w:t xml:space="preserve"> </w:t>
      </w:r>
      <w:r>
        <w:t>along</w:t>
      </w:r>
      <w:r>
        <w:rPr>
          <w:spacing w:val="-14"/>
        </w:rPr>
        <w:t xml:space="preserve"> </w:t>
      </w:r>
      <w:r>
        <w:t>George</w:t>
      </w:r>
      <w:r>
        <w:rPr>
          <w:spacing w:val="-14"/>
        </w:rPr>
        <w:t xml:space="preserve"> </w:t>
      </w:r>
      <w:r>
        <w:t>Street.</w:t>
      </w:r>
    </w:p>
    <w:p w:rsidR="002C1123" w:rsidRDefault="00F22F94">
      <w:pPr>
        <w:pStyle w:val="BodyText"/>
        <w:spacing w:before="143" w:line="249" w:lineRule="auto"/>
        <w:ind w:left="187" w:right="701"/>
      </w:pPr>
      <w:r>
        <w:rPr>
          <w:w w:val="95"/>
        </w:rPr>
        <w:t>The</w:t>
      </w:r>
      <w:r>
        <w:rPr>
          <w:spacing w:val="-5"/>
          <w:w w:val="95"/>
        </w:rPr>
        <w:t xml:space="preserve"> </w:t>
      </w:r>
      <w:r>
        <w:rPr>
          <w:w w:val="95"/>
        </w:rPr>
        <w:t>material</w:t>
      </w:r>
      <w:r>
        <w:rPr>
          <w:spacing w:val="-5"/>
          <w:w w:val="95"/>
        </w:rPr>
        <w:t xml:space="preserve"> </w:t>
      </w:r>
      <w:r>
        <w:rPr>
          <w:w w:val="95"/>
        </w:rPr>
        <w:t>reviewed</w:t>
      </w:r>
      <w:r>
        <w:rPr>
          <w:spacing w:val="-5"/>
          <w:w w:val="95"/>
        </w:rPr>
        <w:t xml:space="preserve"> </w:t>
      </w:r>
      <w:r>
        <w:rPr>
          <w:w w:val="95"/>
        </w:rPr>
        <w:t>by</w:t>
      </w:r>
      <w:r>
        <w:rPr>
          <w:spacing w:val="-5"/>
          <w:w w:val="95"/>
        </w:rPr>
        <w:t xml:space="preserve"> </w:t>
      </w:r>
      <w:r>
        <w:rPr>
          <w:w w:val="95"/>
        </w:rPr>
        <w:t>Infrastructure</w:t>
      </w:r>
      <w:r>
        <w:rPr>
          <w:spacing w:val="-5"/>
          <w:w w:val="95"/>
        </w:rPr>
        <w:t xml:space="preserve"> </w:t>
      </w:r>
      <w:r>
        <w:rPr>
          <w:w w:val="95"/>
        </w:rPr>
        <w:t>NSW</w:t>
      </w:r>
      <w:r>
        <w:rPr>
          <w:spacing w:val="-5"/>
          <w:w w:val="95"/>
        </w:rPr>
        <w:t xml:space="preserve"> </w:t>
      </w:r>
      <w:r>
        <w:rPr>
          <w:w w:val="95"/>
        </w:rPr>
        <w:t>indicates</w:t>
      </w:r>
      <w:r>
        <w:rPr>
          <w:spacing w:val="-5"/>
          <w:w w:val="95"/>
        </w:rPr>
        <w:t xml:space="preserve"> </w:t>
      </w:r>
      <w:r>
        <w:rPr>
          <w:w w:val="95"/>
        </w:rPr>
        <w:t>a need</w:t>
      </w:r>
      <w:r>
        <w:rPr>
          <w:spacing w:val="-4"/>
          <w:w w:val="95"/>
        </w:rPr>
        <w:t xml:space="preserve"> </w:t>
      </w:r>
      <w:r>
        <w:rPr>
          <w:w w:val="95"/>
        </w:rPr>
        <w:t>for</w:t>
      </w:r>
      <w:r>
        <w:rPr>
          <w:spacing w:val="-4"/>
          <w:w w:val="95"/>
        </w:rPr>
        <w:t xml:space="preserve"> </w:t>
      </w:r>
      <w:r>
        <w:rPr>
          <w:w w:val="95"/>
        </w:rPr>
        <w:t>greater</w:t>
      </w:r>
      <w:r>
        <w:rPr>
          <w:spacing w:val="-4"/>
          <w:w w:val="95"/>
        </w:rPr>
        <w:t xml:space="preserve"> </w:t>
      </w:r>
      <w:r>
        <w:rPr>
          <w:w w:val="95"/>
        </w:rPr>
        <w:t>clarity</w:t>
      </w:r>
      <w:r>
        <w:rPr>
          <w:spacing w:val="-4"/>
          <w:w w:val="95"/>
        </w:rPr>
        <w:t xml:space="preserve"> </w:t>
      </w:r>
      <w:r>
        <w:rPr>
          <w:w w:val="95"/>
        </w:rPr>
        <w:t>around</w:t>
      </w:r>
      <w:r>
        <w:rPr>
          <w:spacing w:val="-4"/>
          <w:w w:val="95"/>
        </w:rPr>
        <w:t xml:space="preserve"> </w:t>
      </w:r>
      <w:r>
        <w:rPr>
          <w:w w:val="95"/>
        </w:rPr>
        <w:t>the</w:t>
      </w:r>
      <w:r>
        <w:rPr>
          <w:spacing w:val="-4"/>
          <w:w w:val="95"/>
        </w:rPr>
        <w:t xml:space="preserve"> </w:t>
      </w:r>
      <w:r>
        <w:rPr>
          <w:w w:val="95"/>
        </w:rPr>
        <w:t>reason</w:t>
      </w:r>
      <w:r>
        <w:rPr>
          <w:spacing w:val="-4"/>
          <w:w w:val="95"/>
        </w:rPr>
        <w:t xml:space="preserve"> </w:t>
      </w:r>
      <w:r>
        <w:rPr>
          <w:w w:val="95"/>
        </w:rPr>
        <w:t>for</w:t>
      </w:r>
      <w:r>
        <w:rPr>
          <w:spacing w:val="-4"/>
          <w:w w:val="95"/>
        </w:rPr>
        <w:t xml:space="preserve"> </w:t>
      </w:r>
      <w:r>
        <w:rPr>
          <w:w w:val="95"/>
        </w:rPr>
        <w:t xml:space="preserve">introducing </w:t>
      </w:r>
      <w:r>
        <w:t>light</w:t>
      </w:r>
      <w:r>
        <w:rPr>
          <w:spacing w:val="-14"/>
        </w:rPr>
        <w:t xml:space="preserve"> </w:t>
      </w:r>
      <w:r>
        <w:t>rail</w:t>
      </w:r>
      <w:r>
        <w:rPr>
          <w:spacing w:val="-14"/>
        </w:rPr>
        <w:t xml:space="preserve"> </w:t>
      </w:r>
      <w:r>
        <w:t>into</w:t>
      </w:r>
      <w:r>
        <w:rPr>
          <w:spacing w:val="-14"/>
        </w:rPr>
        <w:t xml:space="preserve"> </w:t>
      </w:r>
      <w:r>
        <w:t>the</w:t>
      </w:r>
      <w:r>
        <w:rPr>
          <w:spacing w:val="-14"/>
        </w:rPr>
        <w:t xml:space="preserve"> </w:t>
      </w:r>
      <w:r>
        <w:t>CBD.</w:t>
      </w:r>
      <w:r>
        <w:rPr>
          <w:spacing w:val="-14"/>
        </w:rPr>
        <w:t xml:space="preserve"> </w:t>
      </w:r>
      <w:r>
        <w:t>The</w:t>
      </w:r>
      <w:r>
        <w:rPr>
          <w:spacing w:val="-14"/>
        </w:rPr>
        <w:t xml:space="preserve"> </w:t>
      </w:r>
      <w:r>
        <w:t>question</w:t>
      </w:r>
      <w:r>
        <w:rPr>
          <w:spacing w:val="-13"/>
        </w:rPr>
        <w:t xml:space="preserve"> </w:t>
      </w:r>
      <w:r>
        <w:t>is</w:t>
      </w:r>
      <w:r>
        <w:rPr>
          <w:spacing w:val="-14"/>
        </w:rPr>
        <w:t xml:space="preserve"> </w:t>
      </w:r>
      <w:r>
        <w:t>whether</w:t>
      </w:r>
      <w:r>
        <w:rPr>
          <w:spacing w:val="-14"/>
        </w:rPr>
        <w:t xml:space="preserve"> </w:t>
      </w:r>
      <w:r>
        <w:t xml:space="preserve">the </w:t>
      </w:r>
      <w:r>
        <w:rPr>
          <w:w w:val="95"/>
        </w:rPr>
        <w:t>primary objective is to augment mass transit capacity or to</w:t>
      </w:r>
      <w:r>
        <w:rPr>
          <w:spacing w:val="-3"/>
          <w:w w:val="95"/>
        </w:rPr>
        <w:t xml:space="preserve"> </w:t>
      </w:r>
      <w:r>
        <w:rPr>
          <w:w w:val="95"/>
        </w:rPr>
        <w:t>improve</w:t>
      </w:r>
      <w:r>
        <w:rPr>
          <w:spacing w:val="-3"/>
          <w:w w:val="95"/>
        </w:rPr>
        <w:t xml:space="preserve"> </w:t>
      </w:r>
      <w:r>
        <w:rPr>
          <w:w w:val="95"/>
        </w:rPr>
        <w:t>urban</w:t>
      </w:r>
      <w:r>
        <w:rPr>
          <w:spacing w:val="-3"/>
          <w:w w:val="95"/>
        </w:rPr>
        <w:t xml:space="preserve"> </w:t>
      </w:r>
      <w:r>
        <w:rPr>
          <w:w w:val="95"/>
        </w:rPr>
        <w:t>amenity,</w:t>
      </w:r>
      <w:r>
        <w:rPr>
          <w:spacing w:val="-3"/>
          <w:w w:val="95"/>
        </w:rPr>
        <w:t xml:space="preserve"> </w:t>
      </w:r>
      <w:r>
        <w:rPr>
          <w:w w:val="95"/>
        </w:rPr>
        <w:t>or</w:t>
      </w:r>
      <w:r>
        <w:rPr>
          <w:spacing w:val="-3"/>
          <w:w w:val="95"/>
        </w:rPr>
        <w:t xml:space="preserve"> </w:t>
      </w:r>
      <w:r>
        <w:rPr>
          <w:w w:val="95"/>
        </w:rPr>
        <w:t>both.</w:t>
      </w:r>
      <w:r>
        <w:rPr>
          <w:spacing w:val="-3"/>
          <w:w w:val="95"/>
        </w:rPr>
        <w:t xml:space="preserve"> </w:t>
      </w:r>
      <w:r>
        <w:rPr>
          <w:w w:val="95"/>
        </w:rPr>
        <w:t>Potentially,</w:t>
      </w:r>
      <w:r>
        <w:rPr>
          <w:spacing w:val="-3"/>
          <w:w w:val="95"/>
        </w:rPr>
        <w:t xml:space="preserve"> </w:t>
      </w:r>
      <w:r>
        <w:rPr>
          <w:w w:val="95"/>
        </w:rPr>
        <w:t>these</w:t>
      </w:r>
      <w:r>
        <w:rPr>
          <w:spacing w:val="-3"/>
          <w:w w:val="95"/>
        </w:rPr>
        <w:t xml:space="preserve"> </w:t>
      </w:r>
      <w:r>
        <w:rPr>
          <w:w w:val="95"/>
        </w:rPr>
        <w:t xml:space="preserve">two </w:t>
      </w:r>
      <w:r>
        <w:t>objectives appear to conflict.</w:t>
      </w:r>
    </w:p>
    <w:p w:rsidR="002C1123" w:rsidRDefault="00F22F94">
      <w:pPr>
        <w:pStyle w:val="BodyText"/>
        <w:spacing w:before="147" w:line="249" w:lineRule="auto"/>
        <w:ind w:left="187" w:right="769"/>
      </w:pPr>
      <w:r>
        <w:t>A</w:t>
      </w:r>
      <w:r>
        <w:rPr>
          <w:spacing w:val="-7"/>
        </w:rPr>
        <w:t xml:space="preserve"> </w:t>
      </w:r>
      <w:r>
        <w:t>mass</w:t>
      </w:r>
      <w:r>
        <w:rPr>
          <w:spacing w:val="-7"/>
        </w:rPr>
        <w:t xml:space="preserve"> </w:t>
      </w:r>
      <w:r>
        <w:t>transit</w:t>
      </w:r>
      <w:r>
        <w:rPr>
          <w:spacing w:val="-7"/>
        </w:rPr>
        <w:t xml:space="preserve"> </w:t>
      </w:r>
      <w:r>
        <w:t>system,</w:t>
      </w:r>
      <w:r>
        <w:rPr>
          <w:spacing w:val="-7"/>
        </w:rPr>
        <w:t xml:space="preserve"> </w:t>
      </w:r>
      <w:r>
        <w:t>designed</w:t>
      </w:r>
      <w:r>
        <w:rPr>
          <w:spacing w:val="-7"/>
        </w:rPr>
        <w:t xml:space="preserve"> </w:t>
      </w:r>
      <w:r>
        <w:t>to</w:t>
      </w:r>
      <w:r>
        <w:rPr>
          <w:spacing w:val="-7"/>
        </w:rPr>
        <w:t xml:space="preserve"> </w:t>
      </w:r>
      <w:r>
        <w:t>meet</w:t>
      </w:r>
      <w:r>
        <w:rPr>
          <w:spacing w:val="-7"/>
        </w:rPr>
        <w:t xml:space="preserve"> </w:t>
      </w:r>
      <w:r>
        <w:t>peak commuter</w:t>
      </w:r>
      <w:r>
        <w:rPr>
          <w:spacing w:val="-5"/>
        </w:rPr>
        <w:t xml:space="preserve"> </w:t>
      </w:r>
      <w:r>
        <w:t>demand,</w:t>
      </w:r>
      <w:r>
        <w:rPr>
          <w:spacing w:val="-5"/>
        </w:rPr>
        <w:t xml:space="preserve"> </w:t>
      </w:r>
      <w:r>
        <w:t>requires</w:t>
      </w:r>
      <w:r>
        <w:rPr>
          <w:spacing w:val="-5"/>
        </w:rPr>
        <w:t xml:space="preserve"> </w:t>
      </w:r>
      <w:r>
        <w:t>frequent,</w:t>
      </w:r>
      <w:r>
        <w:rPr>
          <w:spacing w:val="-5"/>
        </w:rPr>
        <w:t xml:space="preserve"> </w:t>
      </w:r>
      <w:r>
        <w:t>high</w:t>
      </w:r>
      <w:r>
        <w:rPr>
          <w:spacing w:val="-5"/>
        </w:rPr>
        <w:t xml:space="preserve"> </w:t>
      </w:r>
      <w:r>
        <w:t>capacity services</w:t>
      </w:r>
      <w:r>
        <w:rPr>
          <w:spacing w:val="-7"/>
        </w:rPr>
        <w:t xml:space="preserve"> </w:t>
      </w:r>
      <w:r>
        <w:t>on</w:t>
      </w:r>
      <w:r>
        <w:rPr>
          <w:spacing w:val="-7"/>
        </w:rPr>
        <w:t xml:space="preserve"> </w:t>
      </w:r>
      <w:r>
        <w:t>a</w:t>
      </w:r>
      <w:r>
        <w:rPr>
          <w:spacing w:val="-7"/>
        </w:rPr>
        <w:t xml:space="preserve"> </w:t>
      </w:r>
      <w:r>
        <w:t>dedicated</w:t>
      </w:r>
      <w:r>
        <w:rPr>
          <w:spacing w:val="-7"/>
        </w:rPr>
        <w:t xml:space="preserve"> </w:t>
      </w:r>
      <w:r>
        <w:t>alignment</w:t>
      </w:r>
      <w:r>
        <w:rPr>
          <w:spacing w:val="-7"/>
        </w:rPr>
        <w:t xml:space="preserve"> </w:t>
      </w:r>
      <w:r>
        <w:t>away</w:t>
      </w:r>
      <w:r>
        <w:rPr>
          <w:spacing w:val="-7"/>
        </w:rPr>
        <w:t xml:space="preserve"> </w:t>
      </w:r>
      <w:r>
        <w:t xml:space="preserve">from </w:t>
      </w:r>
      <w:r>
        <w:rPr>
          <w:w w:val="95"/>
        </w:rPr>
        <w:t>pedestrians</w:t>
      </w:r>
      <w:r>
        <w:rPr>
          <w:spacing w:val="-11"/>
          <w:w w:val="95"/>
        </w:rPr>
        <w:t xml:space="preserve"> </w:t>
      </w:r>
      <w:r>
        <w:rPr>
          <w:w w:val="95"/>
        </w:rPr>
        <w:t>(for</w:t>
      </w:r>
      <w:r>
        <w:rPr>
          <w:spacing w:val="-11"/>
          <w:w w:val="95"/>
        </w:rPr>
        <w:t xml:space="preserve"> </w:t>
      </w:r>
      <w:r>
        <w:rPr>
          <w:w w:val="95"/>
        </w:rPr>
        <w:t>example,</w:t>
      </w:r>
      <w:r>
        <w:rPr>
          <w:spacing w:val="-11"/>
          <w:w w:val="95"/>
        </w:rPr>
        <w:t xml:space="preserve"> </w:t>
      </w:r>
      <w:r>
        <w:rPr>
          <w:w w:val="95"/>
        </w:rPr>
        <w:t>St</w:t>
      </w:r>
      <w:r>
        <w:rPr>
          <w:spacing w:val="-11"/>
          <w:w w:val="95"/>
        </w:rPr>
        <w:t xml:space="preserve"> </w:t>
      </w:r>
      <w:r>
        <w:rPr>
          <w:w w:val="95"/>
        </w:rPr>
        <w:t>Kilda</w:t>
      </w:r>
      <w:r>
        <w:rPr>
          <w:spacing w:val="-11"/>
          <w:w w:val="95"/>
        </w:rPr>
        <w:t xml:space="preserve"> </w:t>
      </w:r>
      <w:r>
        <w:rPr>
          <w:w w:val="95"/>
        </w:rPr>
        <w:t>Road</w:t>
      </w:r>
      <w:r>
        <w:rPr>
          <w:spacing w:val="-11"/>
          <w:w w:val="95"/>
        </w:rPr>
        <w:t xml:space="preserve"> </w:t>
      </w:r>
      <w:r>
        <w:rPr>
          <w:w w:val="95"/>
        </w:rPr>
        <w:t>in</w:t>
      </w:r>
      <w:r>
        <w:rPr>
          <w:spacing w:val="-11"/>
          <w:w w:val="95"/>
        </w:rPr>
        <w:t xml:space="preserve"> </w:t>
      </w:r>
      <w:r>
        <w:rPr>
          <w:w w:val="95"/>
        </w:rPr>
        <w:t xml:space="preserve">Melbourne). </w:t>
      </w:r>
      <w:r>
        <w:t>Conversely</w:t>
      </w:r>
      <w:r>
        <w:rPr>
          <w:spacing w:val="-14"/>
        </w:rPr>
        <w:t xml:space="preserve"> </w:t>
      </w:r>
      <w:r>
        <w:t>an</w:t>
      </w:r>
      <w:r>
        <w:rPr>
          <w:spacing w:val="-14"/>
        </w:rPr>
        <w:t xml:space="preserve"> </w:t>
      </w:r>
      <w:r>
        <w:t>urban</w:t>
      </w:r>
      <w:r>
        <w:rPr>
          <w:spacing w:val="-14"/>
        </w:rPr>
        <w:t xml:space="preserve"> </w:t>
      </w:r>
      <w:r>
        <w:t>amenity</w:t>
      </w:r>
      <w:r>
        <w:rPr>
          <w:spacing w:val="-14"/>
        </w:rPr>
        <w:t xml:space="preserve"> </w:t>
      </w:r>
      <w:r>
        <w:t>solution</w:t>
      </w:r>
      <w:r>
        <w:rPr>
          <w:spacing w:val="-14"/>
        </w:rPr>
        <w:t xml:space="preserve"> </w:t>
      </w:r>
      <w:r>
        <w:t>will</w:t>
      </w:r>
      <w:r>
        <w:rPr>
          <w:spacing w:val="-14"/>
        </w:rPr>
        <w:t xml:space="preserve"> </w:t>
      </w:r>
      <w:r>
        <w:t>be</w:t>
      </w:r>
      <w:r>
        <w:rPr>
          <w:spacing w:val="-14"/>
        </w:rPr>
        <w:t xml:space="preserve"> </w:t>
      </w:r>
      <w:r>
        <w:t>less intensive</w:t>
      </w:r>
      <w:r>
        <w:rPr>
          <w:spacing w:val="-3"/>
        </w:rPr>
        <w:t xml:space="preserve"> </w:t>
      </w:r>
      <w:r>
        <w:t>but</w:t>
      </w:r>
      <w:r>
        <w:rPr>
          <w:spacing w:val="-3"/>
        </w:rPr>
        <w:t xml:space="preserve"> </w:t>
      </w:r>
      <w:r>
        <w:t>provide</w:t>
      </w:r>
      <w:r>
        <w:rPr>
          <w:spacing w:val="-3"/>
        </w:rPr>
        <w:t xml:space="preserve"> </w:t>
      </w:r>
      <w:r>
        <w:t>less</w:t>
      </w:r>
      <w:r>
        <w:rPr>
          <w:spacing w:val="-3"/>
        </w:rPr>
        <w:t xml:space="preserve"> </w:t>
      </w:r>
      <w:r>
        <w:t>capacity.</w:t>
      </w:r>
    </w:p>
    <w:p w:rsidR="002C1123" w:rsidRDefault="00F22F94">
      <w:pPr>
        <w:pStyle w:val="BodyText"/>
        <w:spacing w:before="147" w:line="249" w:lineRule="auto"/>
        <w:ind w:left="187" w:right="701"/>
      </w:pPr>
      <w:r>
        <w:t>Material</w:t>
      </w:r>
      <w:r>
        <w:rPr>
          <w:spacing w:val="-11"/>
        </w:rPr>
        <w:t xml:space="preserve"> </w:t>
      </w:r>
      <w:r>
        <w:t>produced</w:t>
      </w:r>
      <w:r>
        <w:rPr>
          <w:spacing w:val="-11"/>
        </w:rPr>
        <w:t xml:space="preserve"> </w:t>
      </w:r>
      <w:r>
        <w:t>by</w:t>
      </w:r>
      <w:r>
        <w:rPr>
          <w:spacing w:val="-11"/>
        </w:rPr>
        <w:t xml:space="preserve"> </w:t>
      </w:r>
      <w:r>
        <w:t>the</w:t>
      </w:r>
      <w:r>
        <w:rPr>
          <w:spacing w:val="-11"/>
        </w:rPr>
        <w:t xml:space="preserve"> </w:t>
      </w:r>
      <w:r>
        <w:t>City</w:t>
      </w:r>
      <w:r>
        <w:rPr>
          <w:spacing w:val="-11"/>
        </w:rPr>
        <w:t xml:space="preserve"> </w:t>
      </w:r>
      <w:r>
        <w:t>of</w:t>
      </w:r>
      <w:r>
        <w:rPr>
          <w:spacing w:val="-11"/>
        </w:rPr>
        <w:t xml:space="preserve"> </w:t>
      </w:r>
      <w:r>
        <w:t>Sydney</w:t>
      </w:r>
      <w:r>
        <w:rPr>
          <w:spacing w:val="-11"/>
        </w:rPr>
        <w:t xml:space="preserve"> </w:t>
      </w:r>
      <w:r>
        <w:t>clearly indicates</w:t>
      </w:r>
      <w:r>
        <w:rPr>
          <w:spacing w:val="-14"/>
        </w:rPr>
        <w:t xml:space="preserve"> </w:t>
      </w:r>
      <w:r>
        <w:t>a</w:t>
      </w:r>
      <w:r>
        <w:rPr>
          <w:spacing w:val="-14"/>
        </w:rPr>
        <w:t xml:space="preserve"> </w:t>
      </w:r>
      <w:r>
        <w:t>vision</w:t>
      </w:r>
      <w:r>
        <w:rPr>
          <w:spacing w:val="-14"/>
        </w:rPr>
        <w:t xml:space="preserve"> </w:t>
      </w:r>
      <w:r>
        <w:t>for</w:t>
      </w:r>
      <w:r>
        <w:rPr>
          <w:spacing w:val="-14"/>
        </w:rPr>
        <w:t xml:space="preserve"> </w:t>
      </w:r>
      <w:r>
        <w:t>improved</w:t>
      </w:r>
      <w:r>
        <w:rPr>
          <w:spacing w:val="-14"/>
        </w:rPr>
        <w:t xml:space="preserve"> </w:t>
      </w:r>
      <w:r>
        <w:t>urban</w:t>
      </w:r>
      <w:r>
        <w:rPr>
          <w:spacing w:val="-14"/>
        </w:rPr>
        <w:t xml:space="preserve"> </w:t>
      </w:r>
      <w:r>
        <w:t>amenity,</w:t>
      </w:r>
      <w:r>
        <w:rPr>
          <w:spacing w:val="-14"/>
        </w:rPr>
        <w:t xml:space="preserve"> </w:t>
      </w:r>
      <w:r>
        <w:t>with</w:t>
      </w:r>
      <w:r>
        <w:rPr>
          <w:spacing w:val="-14"/>
        </w:rPr>
        <w:t xml:space="preserve"> </w:t>
      </w:r>
      <w:r>
        <w:t xml:space="preserve">a </w:t>
      </w:r>
      <w:r>
        <w:rPr>
          <w:w w:val="95"/>
        </w:rPr>
        <w:t>pedestrianised</w:t>
      </w:r>
      <w:r>
        <w:rPr>
          <w:spacing w:val="-3"/>
          <w:w w:val="95"/>
        </w:rPr>
        <w:t xml:space="preserve"> </w:t>
      </w:r>
      <w:r>
        <w:rPr>
          <w:w w:val="95"/>
        </w:rPr>
        <w:t>George</w:t>
      </w:r>
      <w:r>
        <w:rPr>
          <w:spacing w:val="-3"/>
          <w:w w:val="95"/>
        </w:rPr>
        <w:t xml:space="preserve"> </w:t>
      </w:r>
      <w:r>
        <w:rPr>
          <w:w w:val="95"/>
        </w:rPr>
        <w:t>Street.</w:t>
      </w:r>
      <w:r>
        <w:rPr>
          <w:spacing w:val="-3"/>
          <w:w w:val="95"/>
        </w:rPr>
        <w:t xml:space="preserve"> </w:t>
      </w:r>
      <w:r>
        <w:rPr>
          <w:w w:val="95"/>
        </w:rPr>
        <w:t>However,</w:t>
      </w:r>
      <w:r>
        <w:rPr>
          <w:spacing w:val="-3"/>
          <w:w w:val="95"/>
        </w:rPr>
        <w:t xml:space="preserve"> </w:t>
      </w:r>
      <w:r>
        <w:rPr>
          <w:w w:val="95"/>
        </w:rPr>
        <w:t>given</w:t>
      </w:r>
      <w:r>
        <w:rPr>
          <w:spacing w:val="-3"/>
          <w:w w:val="95"/>
        </w:rPr>
        <w:t xml:space="preserve"> </w:t>
      </w:r>
      <w:r>
        <w:rPr>
          <w:w w:val="95"/>
        </w:rPr>
        <w:t>George Street’s</w:t>
      </w:r>
      <w:r>
        <w:rPr>
          <w:spacing w:val="-3"/>
          <w:w w:val="95"/>
        </w:rPr>
        <w:t xml:space="preserve"> </w:t>
      </w:r>
      <w:r>
        <w:rPr>
          <w:w w:val="95"/>
        </w:rPr>
        <w:t>high</w:t>
      </w:r>
      <w:r>
        <w:rPr>
          <w:spacing w:val="-3"/>
          <w:w w:val="95"/>
        </w:rPr>
        <w:t xml:space="preserve"> </w:t>
      </w:r>
      <w:r>
        <w:rPr>
          <w:w w:val="95"/>
        </w:rPr>
        <w:t>pedestrian</w:t>
      </w:r>
      <w:r>
        <w:rPr>
          <w:spacing w:val="-3"/>
          <w:w w:val="95"/>
        </w:rPr>
        <w:t xml:space="preserve"> </w:t>
      </w:r>
      <w:r>
        <w:rPr>
          <w:w w:val="95"/>
        </w:rPr>
        <w:t>volumes</w:t>
      </w:r>
      <w:r>
        <w:rPr>
          <w:spacing w:val="-3"/>
          <w:w w:val="95"/>
        </w:rPr>
        <w:t xml:space="preserve"> </w:t>
      </w:r>
      <w:r>
        <w:rPr>
          <w:w w:val="95"/>
        </w:rPr>
        <w:t>(comparable</w:t>
      </w:r>
      <w:r>
        <w:rPr>
          <w:spacing w:val="-3"/>
          <w:w w:val="95"/>
        </w:rPr>
        <w:t xml:space="preserve"> </w:t>
      </w:r>
      <w:r>
        <w:rPr>
          <w:w w:val="95"/>
        </w:rPr>
        <w:t>with</w:t>
      </w:r>
      <w:r>
        <w:rPr>
          <w:spacing w:val="-3"/>
          <w:w w:val="95"/>
        </w:rPr>
        <w:t xml:space="preserve"> </w:t>
      </w:r>
      <w:r>
        <w:rPr>
          <w:w w:val="95"/>
        </w:rPr>
        <w:t xml:space="preserve">Pitt </w:t>
      </w:r>
      <w:r>
        <w:t>Street</w:t>
      </w:r>
      <w:r>
        <w:rPr>
          <w:spacing w:val="-14"/>
        </w:rPr>
        <w:t xml:space="preserve"> </w:t>
      </w:r>
      <w:r>
        <w:t>and</w:t>
      </w:r>
      <w:r>
        <w:rPr>
          <w:spacing w:val="-14"/>
        </w:rPr>
        <w:t xml:space="preserve"> </w:t>
      </w:r>
      <w:r>
        <w:t>Martin</w:t>
      </w:r>
      <w:r>
        <w:rPr>
          <w:spacing w:val="-14"/>
        </w:rPr>
        <w:t xml:space="preserve"> </w:t>
      </w:r>
      <w:r>
        <w:t>Place)</w:t>
      </w:r>
      <w:r>
        <w:rPr>
          <w:spacing w:val="-14"/>
        </w:rPr>
        <w:t xml:space="preserve"> </w:t>
      </w:r>
      <w:r>
        <w:t>and</w:t>
      </w:r>
      <w:r>
        <w:rPr>
          <w:spacing w:val="-14"/>
        </w:rPr>
        <w:t xml:space="preserve"> </w:t>
      </w:r>
      <w:r>
        <w:t>relatively</w:t>
      </w:r>
      <w:r>
        <w:rPr>
          <w:spacing w:val="-14"/>
        </w:rPr>
        <w:t xml:space="preserve"> </w:t>
      </w:r>
      <w:r>
        <w:t>narrow</w:t>
      </w:r>
      <w:r>
        <w:rPr>
          <w:spacing w:val="-14"/>
        </w:rPr>
        <w:t xml:space="preserve"> </w:t>
      </w:r>
      <w:r>
        <w:t xml:space="preserve">width, </w:t>
      </w:r>
      <w:r>
        <w:rPr>
          <w:w w:val="95"/>
        </w:rPr>
        <w:t>this</w:t>
      </w:r>
      <w:r>
        <w:rPr>
          <w:spacing w:val="-3"/>
          <w:w w:val="95"/>
        </w:rPr>
        <w:t xml:space="preserve"> </w:t>
      </w:r>
      <w:r>
        <w:rPr>
          <w:w w:val="95"/>
        </w:rPr>
        <w:t>arrangement</w:t>
      </w:r>
      <w:r>
        <w:rPr>
          <w:spacing w:val="-3"/>
          <w:w w:val="95"/>
        </w:rPr>
        <w:t xml:space="preserve"> </w:t>
      </w:r>
      <w:r>
        <w:rPr>
          <w:w w:val="95"/>
        </w:rPr>
        <w:t>will</w:t>
      </w:r>
      <w:r>
        <w:rPr>
          <w:spacing w:val="-3"/>
          <w:w w:val="95"/>
        </w:rPr>
        <w:t xml:space="preserve"> </w:t>
      </w:r>
      <w:r>
        <w:rPr>
          <w:w w:val="95"/>
        </w:rPr>
        <w:t>require</w:t>
      </w:r>
      <w:r>
        <w:rPr>
          <w:spacing w:val="-3"/>
          <w:w w:val="95"/>
        </w:rPr>
        <w:t xml:space="preserve"> </w:t>
      </w:r>
      <w:r>
        <w:rPr>
          <w:w w:val="95"/>
        </w:rPr>
        <w:t>light</w:t>
      </w:r>
      <w:r>
        <w:rPr>
          <w:spacing w:val="-3"/>
          <w:w w:val="95"/>
        </w:rPr>
        <w:t xml:space="preserve"> </w:t>
      </w:r>
      <w:r>
        <w:rPr>
          <w:w w:val="95"/>
        </w:rPr>
        <w:t>rail</w:t>
      </w:r>
      <w:r>
        <w:rPr>
          <w:spacing w:val="-3"/>
          <w:w w:val="95"/>
        </w:rPr>
        <w:t xml:space="preserve"> </w:t>
      </w:r>
      <w:r>
        <w:rPr>
          <w:w w:val="95"/>
        </w:rPr>
        <w:t>to</w:t>
      </w:r>
      <w:r>
        <w:rPr>
          <w:spacing w:val="-3"/>
          <w:w w:val="95"/>
        </w:rPr>
        <w:t xml:space="preserve"> </w:t>
      </w:r>
      <w:r>
        <w:rPr>
          <w:w w:val="95"/>
        </w:rPr>
        <w:t>proceed</w:t>
      </w:r>
      <w:r>
        <w:rPr>
          <w:spacing w:val="-3"/>
          <w:w w:val="95"/>
        </w:rPr>
        <w:t xml:space="preserve"> </w:t>
      </w:r>
      <w:r>
        <w:rPr>
          <w:w w:val="95"/>
        </w:rPr>
        <w:t>at</w:t>
      </w:r>
      <w:r>
        <w:rPr>
          <w:spacing w:val="-3"/>
          <w:w w:val="95"/>
        </w:rPr>
        <w:t xml:space="preserve"> </w:t>
      </w:r>
      <w:r>
        <w:rPr>
          <w:w w:val="95"/>
        </w:rPr>
        <w:t>low</w:t>
      </w:r>
    </w:p>
    <w:p w:rsidR="002C1123" w:rsidRDefault="00F22F94">
      <w:pPr>
        <w:pStyle w:val="BodyText"/>
        <w:spacing w:before="5" w:line="249" w:lineRule="auto"/>
        <w:ind w:left="187" w:right="769"/>
      </w:pPr>
      <w:r>
        <w:rPr>
          <w:w w:val="95"/>
        </w:rPr>
        <w:t>speeds</w:t>
      </w:r>
      <w:r>
        <w:rPr>
          <w:spacing w:val="-4"/>
          <w:w w:val="95"/>
        </w:rPr>
        <w:t xml:space="preserve"> </w:t>
      </w:r>
      <w:r>
        <w:rPr>
          <w:w w:val="95"/>
        </w:rPr>
        <w:t>for</w:t>
      </w:r>
      <w:r>
        <w:rPr>
          <w:spacing w:val="-4"/>
          <w:w w:val="95"/>
        </w:rPr>
        <w:t xml:space="preserve"> </w:t>
      </w:r>
      <w:r>
        <w:rPr>
          <w:w w:val="95"/>
        </w:rPr>
        <w:t>safety</w:t>
      </w:r>
      <w:r>
        <w:rPr>
          <w:spacing w:val="-4"/>
          <w:w w:val="95"/>
        </w:rPr>
        <w:t xml:space="preserve"> </w:t>
      </w:r>
      <w:r>
        <w:rPr>
          <w:w w:val="95"/>
        </w:rPr>
        <w:t>reasons.</w:t>
      </w:r>
      <w:r>
        <w:rPr>
          <w:spacing w:val="-4"/>
          <w:w w:val="95"/>
        </w:rPr>
        <w:t xml:space="preserve"> </w:t>
      </w:r>
      <w:r>
        <w:rPr>
          <w:w w:val="95"/>
        </w:rPr>
        <w:t>Such</w:t>
      </w:r>
      <w:r>
        <w:rPr>
          <w:spacing w:val="-4"/>
          <w:w w:val="95"/>
        </w:rPr>
        <w:t xml:space="preserve"> </w:t>
      </w:r>
      <w:r>
        <w:rPr>
          <w:w w:val="95"/>
        </w:rPr>
        <w:t>an</w:t>
      </w:r>
      <w:r>
        <w:rPr>
          <w:spacing w:val="-4"/>
          <w:w w:val="95"/>
        </w:rPr>
        <w:t xml:space="preserve"> </w:t>
      </w:r>
      <w:r>
        <w:rPr>
          <w:w w:val="95"/>
        </w:rPr>
        <w:t>arrangement</w:t>
      </w:r>
      <w:r>
        <w:rPr>
          <w:spacing w:val="-4"/>
          <w:w w:val="95"/>
        </w:rPr>
        <w:t xml:space="preserve"> </w:t>
      </w:r>
      <w:r>
        <w:rPr>
          <w:w w:val="95"/>
        </w:rPr>
        <w:t xml:space="preserve">seems </w:t>
      </w:r>
      <w:r>
        <w:t>incompatible</w:t>
      </w:r>
      <w:r>
        <w:rPr>
          <w:spacing w:val="-6"/>
        </w:rPr>
        <w:t xml:space="preserve"> </w:t>
      </w:r>
      <w:r>
        <w:t>with</w:t>
      </w:r>
      <w:r>
        <w:rPr>
          <w:spacing w:val="-6"/>
        </w:rPr>
        <w:t xml:space="preserve"> </w:t>
      </w:r>
      <w:r>
        <w:t>a</w:t>
      </w:r>
      <w:r>
        <w:rPr>
          <w:spacing w:val="-6"/>
        </w:rPr>
        <w:t xml:space="preserve"> </w:t>
      </w:r>
      <w:r>
        <w:t>mass</w:t>
      </w:r>
      <w:r>
        <w:rPr>
          <w:spacing w:val="-6"/>
        </w:rPr>
        <w:t xml:space="preserve"> </w:t>
      </w:r>
      <w:r>
        <w:t>transit</w:t>
      </w:r>
      <w:r>
        <w:rPr>
          <w:spacing w:val="-6"/>
        </w:rPr>
        <w:t xml:space="preserve"> </w:t>
      </w:r>
      <w:r>
        <w:t>commuter</w:t>
      </w:r>
      <w:r>
        <w:rPr>
          <w:spacing w:val="-6"/>
        </w:rPr>
        <w:t xml:space="preserve"> </w:t>
      </w:r>
      <w:r>
        <w:t>task</w:t>
      </w:r>
      <w:r>
        <w:rPr>
          <w:spacing w:val="-6"/>
        </w:rPr>
        <w:t xml:space="preserve"> </w:t>
      </w:r>
      <w:r>
        <w:t>and unlikely</w:t>
      </w:r>
      <w:r>
        <w:rPr>
          <w:spacing w:val="-14"/>
        </w:rPr>
        <w:t xml:space="preserve"> </w:t>
      </w:r>
      <w:r>
        <w:t>to</w:t>
      </w:r>
      <w:r>
        <w:rPr>
          <w:spacing w:val="-14"/>
        </w:rPr>
        <w:t xml:space="preserve"> </w:t>
      </w:r>
      <w:r>
        <w:t>provide</w:t>
      </w:r>
      <w:r>
        <w:rPr>
          <w:spacing w:val="-14"/>
        </w:rPr>
        <w:t xml:space="preserve"> </w:t>
      </w:r>
      <w:r>
        <w:t>an</w:t>
      </w:r>
      <w:r>
        <w:rPr>
          <w:spacing w:val="-14"/>
        </w:rPr>
        <w:t xml:space="preserve"> </w:t>
      </w:r>
      <w:r>
        <w:t>adequate</w:t>
      </w:r>
      <w:r>
        <w:rPr>
          <w:spacing w:val="-14"/>
        </w:rPr>
        <w:t xml:space="preserve"> </w:t>
      </w:r>
      <w:r>
        <w:t>substitute</w:t>
      </w:r>
      <w:r>
        <w:rPr>
          <w:spacing w:val="-14"/>
        </w:rPr>
        <w:t xml:space="preserve"> </w:t>
      </w:r>
      <w:r>
        <w:t>for</w:t>
      </w:r>
      <w:r>
        <w:rPr>
          <w:spacing w:val="-14"/>
        </w:rPr>
        <w:t xml:space="preserve"> </w:t>
      </w:r>
      <w:r>
        <w:t>existing bus</w:t>
      </w:r>
      <w:r>
        <w:rPr>
          <w:spacing w:val="-11"/>
        </w:rPr>
        <w:t xml:space="preserve"> </w:t>
      </w:r>
      <w:r>
        <w:t>services.</w:t>
      </w:r>
    </w:p>
    <w:p w:rsidR="002C1123" w:rsidRDefault="00F22F94">
      <w:pPr>
        <w:pStyle w:val="BodyText"/>
        <w:spacing w:before="145" w:line="249" w:lineRule="auto"/>
        <w:ind w:left="187" w:right="701"/>
      </w:pPr>
      <w:r>
        <w:t>Transport</w:t>
      </w:r>
      <w:r>
        <w:rPr>
          <w:spacing w:val="-14"/>
        </w:rPr>
        <w:t xml:space="preserve"> </w:t>
      </w:r>
      <w:r>
        <w:t>for</w:t>
      </w:r>
      <w:r>
        <w:rPr>
          <w:spacing w:val="-14"/>
        </w:rPr>
        <w:t xml:space="preserve"> </w:t>
      </w:r>
      <w:r>
        <w:t>NSW</w:t>
      </w:r>
      <w:r>
        <w:rPr>
          <w:spacing w:val="-14"/>
        </w:rPr>
        <w:t xml:space="preserve"> </w:t>
      </w:r>
      <w:r>
        <w:t>is</w:t>
      </w:r>
      <w:r>
        <w:rPr>
          <w:spacing w:val="-14"/>
        </w:rPr>
        <w:t xml:space="preserve"> </w:t>
      </w:r>
      <w:r>
        <w:t>proposing</w:t>
      </w:r>
      <w:r>
        <w:rPr>
          <w:spacing w:val="-14"/>
        </w:rPr>
        <w:t xml:space="preserve"> </w:t>
      </w:r>
      <w:r>
        <w:t>a</w:t>
      </w:r>
      <w:r>
        <w:rPr>
          <w:spacing w:val="-14"/>
        </w:rPr>
        <w:t xml:space="preserve"> </w:t>
      </w:r>
      <w:r>
        <w:t>light</w:t>
      </w:r>
      <w:r>
        <w:rPr>
          <w:spacing w:val="-14"/>
        </w:rPr>
        <w:t xml:space="preserve"> </w:t>
      </w:r>
      <w:r>
        <w:t>rail</w:t>
      </w:r>
      <w:r>
        <w:rPr>
          <w:spacing w:val="-14"/>
        </w:rPr>
        <w:t xml:space="preserve"> </w:t>
      </w:r>
      <w:r>
        <w:t>service, which</w:t>
      </w:r>
      <w:r>
        <w:rPr>
          <w:spacing w:val="-10"/>
        </w:rPr>
        <w:t xml:space="preserve"> </w:t>
      </w:r>
      <w:r>
        <w:t>would</w:t>
      </w:r>
      <w:r>
        <w:rPr>
          <w:spacing w:val="-10"/>
        </w:rPr>
        <w:t xml:space="preserve"> </w:t>
      </w:r>
      <w:r>
        <w:t>operate</w:t>
      </w:r>
      <w:r>
        <w:rPr>
          <w:spacing w:val="-10"/>
        </w:rPr>
        <w:t xml:space="preserve"> </w:t>
      </w:r>
      <w:r>
        <w:t>every</w:t>
      </w:r>
      <w:r>
        <w:rPr>
          <w:spacing w:val="-10"/>
        </w:rPr>
        <w:t xml:space="preserve"> </w:t>
      </w:r>
      <w:r>
        <w:t>two</w:t>
      </w:r>
      <w:r>
        <w:rPr>
          <w:spacing w:val="-10"/>
        </w:rPr>
        <w:t xml:space="preserve"> </w:t>
      </w:r>
      <w:r>
        <w:t>to</w:t>
      </w:r>
      <w:r>
        <w:rPr>
          <w:spacing w:val="-10"/>
        </w:rPr>
        <w:t xml:space="preserve"> </w:t>
      </w:r>
      <w:r>
        <w:t>three</w:t>
      </w:r>
      <w:r>
        <w:rPr>
          <w:spacing w:val="-10"/>
        </w:rPr>
        <w:t xml:space="preserve"> </w:t>
      </w:r>
      <w:r>
        <w:t>minutes</w:t>
      </w:r>
      <w:r>
        <w:rPr>
          <w:spacing w:val="-10"/>
        </w:rPr>
        <w:t xml:space="preserve"> </w:t>
      </w:r>
      <w:r>
        <w:t>in</w:t>
      </w:r>
      <w:r>
        <w:rPr>
          <w:spacing w:val="-10"/>
        </w:rPr>
        <w:t xml:space="preserve"> </w:t>
      </w:r>
      <w:r>
        <w:t>the peak,</w:t>
      </w:r>
      <w:r>
        <w:rPr>
          <w:spacing w:val="-6"/>
        </w:rPr>
        <w:t xml:space="preserve"> </w:t>
      </w:r>
      <w:r>
        <w:t>with</w:t>
      </w:r>
      <w:r>
        <w:rPr>
          <w:spacing w:val="-6"/>
        </w:rPr>
        <w:t xml:space="preserve"> </w:t>
      </w:r>
      <w:r>
        <w:t>regular</w:t>
      </w:r>
      <w:r>
        <w:rPr>
          <w:spacing w:val="-6"/>
        </w:rPr>
        <w:t xml:space="preserve"> </w:t>
      </w:r>
      <w:r>
        <w:t>‘turn</w:t>
      </w:r>
      <w:r>
        <w:rPr>
          <w:spacing w:val="-6"/>
        </w:rPr>
        <w:t xml:space="preserve"> </w:t>
      </w:r>
      <w:r>
        <w:t>up</w:t>
      </w:r>
      <w:r>
        <w:rPr>
          <w:spacing w:val="-6"/>
        </w:rPr>
        <w:t xml:space="preserve"> </w:t>
      </w:r>
      <w:r>
        <w:t>and</w:t>
      </w:r>
      <w:r>
        <w:rPr>
          <w:spacing w:val="-6"/>
        </w:rPr>
        <w:t xml:space="preserve"> </w:t>
      </w:r>
      <w:r>
        <w:t>go’</w:t>
      </w:r>
      <w:r>
        <w:rPr>
          <w:spacing w:val="-6"/>
        </w:rPr>
        <w:t xml:space="preserve"> </w:t>
      </w:r>
      <w:r>
        <w:t>services</w:t>
      </w:r>
      <w:r>
        <w:rPr>
          <w:spacing w:val="-6"/>
        </w:rPr>
        <w:t xml:space="preserve"> </w:t>
      </w:r>
      <w:r>
        <w:t xml:space="preserve">operating </w:t>
      </w:r>
      <w:r>
        <w:rPr>
          <w:w w:val="95"/>
        </w:rPr>
        <w:t>across</w:t>
      </w:r>
      <w:r>
        <w:rPr>
          <w:spacing w:val="-8"/>
          <w:w w:val="95"/>
        </w:rPr>
        <w:t xml:space="preserve"> </w:t>
      </w:r>
      <w:r>
        <w:rPr>
          <w:w w:val="95"/>
        </w:rPr>
        <w:t>the</w:t>
      </w:r>
      <w:r>
        <w:rPr>
          <w:spacing w:val="-8"/>
          <w:w w:val="95"/>
        </w:rPr>
        <w:t xml:space="preserve"> </w:t>
      </w:r>
      <w:r>
        <w:rPr>
          <w:w w:val="95"/>
        </w:rPr>
        <w:t>day,</w:t>
      </w:r>
      <w:r>
        <w:rPr>
          <w:spacing w:val="-8"/>
          <w:w w:val="95"/>
        </w:rPr>
        <w:t xml:space="preserve"> </w:t>
      </w:r>
      <w:r>
        <w:rPr>
          <w:w w:val="95"/>
        </w:rPr>
        <w:t>evening</w:t>
      </w:r>
      <w:r>
        <w:rPr>
          <w:spacing w:val="-8"/>
          <w:w w:val="95"/>
        </w:rPr>
        <w:t xml:space="preserve"> </w:t>
      </w:r>
      <w:r>
        <w:rPr>
          <w:w w:val="95"/>
        </w:rPr>
        <w:t>and</w:t>
      </w:r>
      <w:r>
        <w:rPr>
          <w:spacing w:val="-8"/>
          <w:w w:val="95"/>
        </w:rPr>
        <w:t xml:space="preserve"> </w:t>
      </w:r>
      <w:r>
        <w:rPr>
          <w:w w:val="95"/>
        </w:rPr>
        <w:t>weekends.</w:t>
      </w:r>
      <w:r>
        <w:rPr>
          <w:spacing w:val="-8"/>
          <w:w w:val="95"/>
        </w:rPr>
        <w:t xml:space="preserve"> </w:t>
      </w:r>
      <w:r>
        <w:rPr>
          <w:w w:val="95"/>
        </w:rPr>
        <w:t>In</w:t>
      </w:r>
      <w:r>
        <w:rPr>
          <w:spacing w:val="-8"/>
          <w:w w:val="95"/>
        </w:rPr>
        <w:t xml:space="preserve"> </w:t>
      </w:r>
      <w:r>
        <w:rPr>
          <w:w w:val="95"/>
        </w:rPr>
        <w:t>the</w:t>
      </w:r>
      <w:r>
        <w:rPr>
          <w:spacing w:val="-8"/>
          <w:w w:val="95"/>
        </w:rPr>
        <w:t xml:space="preserve"> </w:t>
      </w:r>
      <w:r>
        <w:rPr>
          <w:w w:val="95"/>
        </w:rPr>
        <w:t>long</w:t>
      </w:r>
      <w:r>
        <w:rPr>
          <w:spacing w:val="-8"/>
          <w:w w:val="95"/>
        </w:rPr>
        <w:t xml:space="preserve"> </w:t>
      </w:r>
      <w:r>
        <w:rPr>
          <w:w w:val="95"/>
        </w:rPr>
        <w:t xml:space="preserve">term, </w:t>
      </w:r>
      <w:r>
        <w:rPr>
          <w:spacing w:val="-2"/>
        </w:rPr>
        <w:t>Transport</w:t>
      </w:r>
      <w:r>
        <w:rPr>
          <w:spacing w:val="-8"/>
        </w:rPr>
        <w:t xml:space="preserve"> </w:t>
      </w:r>
      <w:r>
        <w:rPr>
          <w:spacing w:val="-2"/>
        </w:rPr>
        <w:t>for</w:t>
      </w:r>
      <w:r>
        <w:rPr>
          <w:spacing w:val="-8"/>
        </w:rPr>
        <w:t xml:space="preserve"> </w:t>
      </w:r>
      <w:r>
        <w:rPr>
          <w:spacing w:val="-2"/>
        </w:rPr>
        <w:t>NSW</w:t>
      </w:r>
      <w:r>
        <w:rPr>
          <w:spacing w:val="-8"/>
        </w:rPr>
        <w:t xml:space="preserve"> </w:t>
      </w:r>
      <w:r>
        <w:rPr>
          <w:spacing w:val="-2"/>
        </w:rPr>
        <w:t>believes</w:t>
      </w:r>
      <w:r>
        <w:rPr>
          <w:spacing w:val="-8"/>
        </w:rPr>
        <w:t xml:space="preserve"> </w:t>
      </w:r>
      <w:r>
        <w:rPr>
          <w:spacing w:val="-2"/>
        </w:rPr>
        <w:t>the</w:t>
      </w:r>
      <w:r>
        <w:rPr>
          <w:spacing w:val="-8"/>
        </w:rPr>
        <w:t xml:space="preserve"> </w:t>
      </w:r>
      <w:r>
        <w:rPr>
          <w:spacing w:val="-2"/>
        </w:rPr>
        <w:t>new</w:t>
      </w:r>
      <w:r>
        <w:rPr>
          <w:spacing w:val="-8"/>
        </w:rPr>
        <w:t xml:space="preserve"> </w:t>
      </w:r>
      <w:r>
        <w:rPr>
          <w:spacing w:val="-2"/>
        </w:rPr>
        <w:t>light</w:t>
      </w:r>
      <w:r>
        <w:rPr>
          <w:spacing w:val="-8"/>
        </w:rPr>
        <w:t xml:space="preserve"> </w:t>
      </w:r>
      <w:r>
        <w:rPr>
          <w:spacing w:val="-2"/>
        </w:rPr>
        <w:t>rail</w:t>
      </w:r>
      <w:r>
        <w:rPr>
          <w:spacing w:val="-8"/>
        </w:rPr>
        <w:t xml:space="preserve"> </w:t>
      </w:r>
      <w:r>
        <w:rPr>
          <w:spacing w:val="-2"/>
        </w:rPr>
        <w:t>service</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276" w:space="40"/>
            <w:col w:w="5003" w:space="39"/>
            <w:col w:w="5702"/>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BodyText"/>
        <w:spacing w:before="106" w:line="249" w:lineRule="auto"/>
        <w:ind w:left="492" w:right="321"/>
      </w:pPr>
      <w:bookmarkStart w:id="194" w:name="_bookmark138"/>
      <w:bookmarkEnd w:id="194"/>
      <w:r>
        <w:t>could</w:t>
      </w:r>
      <w:r>
        <w:rPr>
          <w:spacing w:val="-14"/>
        </w:rPr>
        <w:t xml:space="preserve"> </w:t>
      </w:r>
      <w:r>
        <w:t>carry</w:t>
      </w:r>
      <w:r>
        <w:rPr>
          <w:spacing w:val="-14"/>
        </w:rPr>
        <w:t xml:space="preserve"> </w:t>
      </w:r>
      <w:r>
        <w:t>up</w:t>
      </w:r>
      <w:r>
        <w:rPr>
          <w:spacing w:val="-14"/>
        </w:rPr>
        <w:t xml:space="preserve"> </w:t>
      </w:r>
      <w:r>
        <w:t>to</w:t>
      </w:r>
      <w:r>
        <w:rPr>
          <w:spacing w:val="-14"/>
        </w:rPr>
        <w:t xml:space="preserve"> </w:t>
      </w:r>
      <w:r>
        <w:t>12,500</w:t>
      </w:r>
      <w:r>
        <w:rPr>
          <w:spacing w:val="-14"/>
        </w:rPr>
        <w:t xml:space="preserve"> </w:t>
      </w:r>
      <w:r>
        <w:t>passengers</w:t>
      </w:r>
      <w:r>
        <w:rPr>
          <w:spacing w:val="-14"/>
        </w:rPr>
        <w:t xml:space="preserve"> </w:t>
      </w:r>
      <w:r>
        <w:t>in</w:t>
      </w:r>
      <w:r>
        <w:rPr>
          <w:spacing w:val="-14"/>
        </w:rPr>
        <w:t xml:space="preserve"> </w:t>
      </w:r>
      <w:r>
        <w:t>the</w:t>
      </w:r>
      <w:r>
        <w:rPr>
          <w:spacing w:val="-14"/>
        </w:rPr>
        <w:t xml:space="preserve"> </w:t>
      </w:r>
      <w:r>
        <w:t xml:space="preserve">morning </w:t>
      </w:r>
      <w:r>
        <w:rPr>
          <w:w w:val="95"/>
        </w:rPr>
        <w:t>peak</w:t>
      </w:r>
      <w:r>
        <w:rPr>
          <w:spacing w:val="-10"/>
          <w:w w:val="95"/>
        </w:rPr>
        <w:t xml:space="preserve"> </w:t>
      </w:r>
      <w:r>
        <w:rPr>
          <w:w w:val="95"/>
        </w:rPr>
        <w:t>hour.</w:t>
      </w:r>
      <w:r>
        <w:rPr>
          <w:spacing w:val="-10"/>
          <w:w w:val="95"/>
        </w:rPr>
        <w:t xml:space="preserve"> </w:t>
      </w:r>
      <w:r>
        <w:rPr>
          <w:w w:val="95"/>
        </w:rPr>
        <w:t>The</w:t>
      </w:r>
      <w:r>
        <w:rPr>
          <w:spacing w:val="-10"/>
          <w:w w:val="95"/>
        </w:rPr>
        <w:t xml:space="preserve"> </w:t>
      </w:r>
      <w:r>
        <w:rPr>
          <w:w w:val="95"/>
        </w:rPr>
        <w:t>proposal</w:t>
      </w:r>
      <w:r>
        <w:rPr>
          <w:spacing w:val="-10"/>
          <w:w w:val="95"/>
        </w:rPr>
        <w:t xml:space="preserve"> </w:t>
      </w:r>
      <w:r>
        <w:rPr>
          <w:w w:val="95"/>
        </w:rPr>
        <w:t>is</w:t>
      </w:r>
      <w:r>
        <w:rPr>
          <w:spacing w:val="-10"/>
          <w:w w:val="95"/>
        </w:rPr>
        <w:t xml:space="preserve"> </w:t>
      </w:r>
      <w:r>
        <w:rPr>
          <w:w w:val="95"/>
        </w:rPr>
        <w:t>for</w:t>
      </w:r>
      <w:r>
        <w:rPr>
          <w:spacing w:val="-10"/>
          <w:w w:val="95"/>
        </w:rPr>
        <w:t xml:space="preserve"> </w:t>
      </w:r>
      <w:r>
        <w:rPr>
          <w:w w:val="95"/>
        </w:rPr>
        <w:t>light</w:t>
      </w:r>
      <w:r>
        <w:rPr>
          <w:spacing w:val="-10"/>
          <w:w w:val="95"/>
        </w:rPr>
        <w:t xml:space="preserve"> </w:t>
      </w:r>
      <w:r>
        <w:rPr>
          <w:w w:val="95"/>
        </w:rPr>
        <w:t>rail</w:t>
      </w:r>
      <w:r>
        <w:rPr>
          <w:spacing w:val="-10"/>
          <w:w w:val="95"/>
        </w:rPr>
        <w:t xml:space="preserve"> </w:t>
      </w:r>
      <w:r>
        <w:rPr>
          <w:w w:val="95"/>
        </w:rPr>
        <w:t>vehicles</w:t>
      </w:r>
      <w:r>
        <w:rPr>
          <w:spacing w:val="-10"/>
          <w:w w:val="95"/>
        </w:rPr>
        <w:t xml:space="preserve"> </w:t>
      </w:r>
      <w:r>
        <w:rPr>
          <w:w w:val="95"/>
        </w:rPr>
        <w:t xml:space="preserve">which </w:t>
      </w:r>
      <w:r>
        <w:t>are</w:t>
      </w:r>
      <w:r>
        <w:rPr>
          <w:spacing w:val="-7"/>
        </w:rPr>
        <w:t xml:space="preserve"> </w:t>
      </w:r>
      <w:r>
        <w:t>45</w:t>
      </w:r>
      <w:r>
        <w:rPr>
          <w:spacing w:val="-7"/>
        </w:rPr>
        <w:t xml:space="preserve"> </w:t>
      </w:r>
      <w:r>
        <w:t>metres</w:t>
      </w:r>
      <w:r>
        <w:rPr>
          <w:spacing w:val="-7"/>
        </w:rPr>
        <w:t xml:space="preserve"> </w:t>
      </w:r>
      <w:r>
        <w:t>long</w:t>
      </w:r>
      <w:r>
        <w:rPr>
          <w:spacing w:val="-7"/>
        </w:rPr>
        <w:t xml:space="preserve"> </w:t>
      </w:r>
      <w:r>
        <w:t>and</w:t>
      </w:r>
      <w:r>
        <w:rPr>
          <w:spacing w:val="-7"/>
        </w:rPr>
        <w:t xml:space="preserve"> </w:t>
      </w:r>
      <w:r>
        <w:t>capable</w:t>
      </w:r>
      <w:r>
        <w:rPr>
          <w:spacing w:val="-7"/>
        </w:rPr>
        <w:t xml:space="preserve"> </w:t>
      </w:r>
      <w:r>
        <w:t>of</w:t>
      </w:r>
      <w:r>
        <w:rPr>
          <w:spacing w:val="-7"/>
        </w:rPr>
        <w:t xml:space="preserve"> </w:t>
      </w:r>
      <w:r>
        <w:t>carrying</w:t>
      </w:r>
      <w:r>
        <w:rPr>
          <w:spacing w:val="-7"/>
        </w:rPr>
        <w:t xml:space="preserve"> </w:t>
      </w:r>
      <w:r>
        <w:t>up</w:t>
      </w:r>
      <w:r>
        <w:rPr>
          <w:spacing w:val="-7"/>
        </w:rPr>
        <w:t xml:space="preserve"> </w:t>
      </w:r>
      <w:r>
        <w:t>to 300</w:t>
      </w:r>
      <w:r>
        <w:rPr>
          <w:spacing w:val="-13"/>
        </w:rPr>
        <w:t xml:space="preserve"> </w:t>
      </w:r>
      <w:r>
        <w:t>passengers</w:t>
      </w:r>
      <w:r>
        <w:rPr>
          <w:spacing w:val="-13"/>
        </w:rPr>
        <w:t xml:space="preserve"> </w:t>
      </w:r>
      <w:r>
        <w:t>(100</w:t>
      </w:r>
      <w:r>
        <w:rPr>
          <w:spacing w:val="-13"/>
        </w:rPr>
        <w:t xml:space="preserve"> </w:t>
      </w:r>
      <w:r>
        <w:t>seated</w:t>
      </w:r>
      <w:r>
        <w:rPr>
          <w:spacing w:val="-13"/>
        </w:rPr>
        <w:t xml:space="preserve"> </w:t>
      </w:r>
      <w:r>
        <w:t>and</w:t>
      </w:r>
      <w:r>
        <w:rPr>
          <w:spacing w:val="-13"/>
        </w:rPr>
        <w:t xml:space="preserve"> </w:t>
      </w:r>
      <w:r>
        <w:t>200</w:t>
      </w:r>
      <w:r>
        <w:rPr>
          <w:spacing w:val="-13"/>
        </w:rPr>
        <w:t xml:space="preserve"> </w:t>
      </w:r>
      <w:r>
        <w:t>standing)</w:t>
      </w:r>
      <w:r>
        <w:rPr>
          <w:position w:val="7"/>
          <w:sz w:val="11"/>
        </w:rPr>
        <w:t>6</w:t>
      </w:r>
      <w:r>
        <w:t>.</w:t>
      </w:r>
    </w:p>
    <w:p w:rsidR="002C1123" w:rsidRDefault="00F22F94">
      <w:pPr>
        <w:pStyle w:val="BodyText"/>
        <w:spacing w:before="145" w:line="249" w:lineRule="auto"/>
        <w:ind w:left="492"/>
      </w:pPr>
      <w:r>
        <w:t>45</w:t>
      </w:r>
      <w:r>
        <w:rPr>
          <w:spacing w:val="-14"/>
        </w:rPr>
        <w:t xml:space="preserve"> </w:t>
      </w:r>
      <w:r>
        <w:t>metre</w:t>
      </w:r>
      <w:r>
        <w:rPr>
          <w:spacing w:val="-14"/>
        </w:rPr>
        <w:t xml:space="preserve"> </w:t>
      </w:r>
      <w:r>
        <w:t>long</w:t>
      </w:r>
      <w:r>
        <w:rPr>
          <w:spacing w:val="-14"/>
        </w:rPr>
        <w:t xml:space="preserve"> </w:t>
      </w:r>
      <w:r>
        <w:t>light</w:t>
      </w:r>
      <w:r>
        <w:rPr>
          <w:spacing w:val="-14"/>
        </w:rPr>
        <w:t xml:space="preserve"> </w:t>
      </w:r>
      <w:r>
        <w:t>rail</w:t>
      </w:r>
      <w:r>
        <w:rPr>
          <w:spacing w:val="-14"/>
        </w:rPr>
        <w:t xml:space="preserve"> </w:t>
      </w:r>
      <w:r>
        <w:t>vehicles</w:t>
      </w:r>
      <w:r>
        <w:rPr>
          <w:spacing w:val="-14"/>
        </w:rPr>
        <w:t xml:space="preserve"> </w:t>
      </w:r>
      <w:r>
        <w:t>running</w:t>
      </w:r>
      <w:r>
        <w:rPr>
          <w:spacing w:val="-13"/>
        </w:rPr>
        <w:t xml:space="preserve"> </w:t>
      </w:r>
      <w:r>
        <w:t>every</w:t>
      </w:r>
      <w:r>
        <w:rPr>
          <w:spacing w:val="-14"/>
        </w:rPr>
        <w:t xml:space="preserve"> </w:t>
      </w:r>
      <w:r>
        <w:t>two minutes</w:t>
      </w:r>
      <w:r>
        <w:rPr>
          <w:spacing w:val="-13"/>
        </w:rPr>
        <w:t xml:space="preserve"> </w:t>
      </w:r>
      <w:r>
        <w:t>with</w:t>
      </w:r>
      <w:r>
        <w:rPr>
          <w:spacing w:val="-13"/>
        </w:rPr>
        <w:t xml:space="preserve"> </w:t>
      </w:r>
      <w:r>
        <w:t>a</w:t>
      </w:r>
      <w:r>
        <w:rPr>
          <w:spacing w:val="-13"/>
        </w:rPr>
        <w:t xml:space="preserve"> </w:t>
      </w:r>
      <w:r>
        <w:t>capacity</w:t>
      </w:r>
      <w:r>
        <w:rPr>
          <w:spacing w:val="-13"/>
        </w:rPr>
        <w:t xml:space="preserve"> </w:t>
      </w:r>
      <w:r>
        <w:t>of</w:t>
      </w:r>
      <w:r>
        <w:rPr>
          <w:spacing w:val="-13"/>
        </w:rPr>
        <w:t xml:space="preserve"> </w:t>
      </w:r>
      <w:r>
        <w:t>300</w:t>
      </w:r>
      <w:r>
        <w:rPr>
          <w:spacing w:val="-13"/>
        </w:rPr>
        <w:t xml:space="preserve"> </w:t>
      </w:r>
      <w:r>
        <w:t>passengers</w:t>
      </w:r>
      <w:r>
        <w:rPr>
          <w:spacing w:val="-13"/>
        </w:rPr>
        <w:t xml:space="preserve"> </w:t>
      </w:r>
      <w:r>
        <w:t>would</w:t>
      </w:r>
      <w:r>
        <w:rPr>
          <w:spacing w:val="-13"/>
        </w:rPr>
        <w:t xml:space="preserve"> </w:t>
      </w:r>
      <w:r>
        <w:t xml:space="preserve">carry </w:t>
      </w:r>
      <w:r>
        <w:rPr>
          <w:spacing w:val="-2"/>
        </w:rPr>
        <w:t>only</w:t>
      </w:r>
      <w:r>
        <w:rPr>
          <w:spacing w:val="-6"/>
        </w:rPr>
        <w:t xml:space="preserve"> </w:t>
      </w:r>
      <w:r>
        <w:rPr>
          <w:spacing w:val="-2"/>
        </w:rPr>
        <w:t>9,000</w:t>
      </w:r>
      <w:r>
        <w:rPr>
          <w:spacing w:val="-6"/>
        </w:rPr>
        <w:t xml:space="preserve"> </w:t>
      </w:r>
      <w:r>
        <w:rPr>
          <w:spacing w:val="-2"/>
        </w:rPr>
        <w:t>passengers</w:t>
      </w:r>
      <w:r>
        <w:rPr>
          <w:spacing w:val="-6"/>
        </w:rPr>
        <w:t xml:space="preserve"> </w:t>
      </w:r>
      <w:r>
        <w:rPr>
          <w:spacing w:val="-2"/>
        </w:rPr>
        <w:t>per</w:t>
      </w:r>
      <w:r>
        <w:rPr>
          <w:spacing w:val="-6"/>
        </w:rPr>
        <w:t xml:space="preserve"> </w:t>
      </w:r>
      <w:r>
        <w:rPr>
          <w:spacing w:val="-2"/>
        </w:rPr>
        <w:t>hour.</w:t>
      </w:r>
      <w:r>
        <w:rPr>
          <w:spacing w:val="-6"/>
        </w:rPr>
        <w:t xml:space="preserve"> </w:t>
      </w:r>
      <w:r>
        <w:rPr>
          <w:spacing w:val="-2"/>
        </w:rPr>
        <w:t>Higher</w:t>
      </w:r>
      <w:r>
        <w:rPr>
          <w:spacing w:val="-6"/>
        </w:rPr>
        <w:t xml:space="preserve"> </w:t>
      </w:r>
      <w:r>
        <w:rPr>
          <w:spacing w:val="-2"/>
        </w:rPr>
        <w:t>capacity</w:t>
      </w:r>
      <w:r>
        <w:rPr>
          <w:spacing w:val="-6"/>
        </w:rPr>
        <w:t xml:space="preserve"> </w:t>
      </w:r>
      <w:r>
        <w:rPr>
          <w:spacing w:val="-2"/>
        </w:rPr>
        <w:t xml:space="preserve">would </w:t>
      </w:r>
      <w:r>
        <w:rPr>
          <w:w w:val="95"/>
        </w:rPr>
        <w:t>require</w:t>
      </w:r>
      <w:r>
        <w:rPr>
          <w:spacing w:val="-4"/>
          <w:w w:val="95"/>
        </w:rPr>
        <w:t xml:space="preserve"> </w:t>
      </w:r>
      <w:r>
        <w:rPr>
          <w:w w:val="95"/>
        </w:rPr>
        <w:t>longer</w:t>
      </w:r>
      <w:r>
        <w:rPr>
          <w:spacing w:val="-4"/>
          <w:w w:val="95"/>
        </w:rPr>
        <w:t xml:space="preserve"> </w:t>
      </w:r>
      <w:r>
        <w:rPr>
          <w:w w:val="95"/>
        </w:rPr>
        <w:t>or</w:t>
      </w:r>
      <w:r>
        <w:rPr>
          <w:spacing w:val="-4"/>
          <w:w w:val="95"/>
        </w:rPr>
        <w:t xml:space="preserve"> </w:t>
      </w:r>
      <w:r>
        <w:rPr>
          <w:w w:val="95"/>
        </w:rPr>
        <w:t>more</w:t>
      </w:r>
      <w:r>
        <w:rPr>
          <w:spacing w:val="-4"/>
          <w:w w:val="95"/>
        </w:rPr>
        <w:t xml:space="preserve"> </w:t>
      </w:r>
      <w:r>
        <w:rPr>
          <w:w w:val="95"/>
        </w:rPr>
        <w:t>frequent</w:t>
      </w:r>
      <w:r>
        <w:rPr>
          <w:spacing w:val="-4"/>
          <w:w w:val="95"/>
        </w:rPr>
        <w:t xml:space="preserve"> </w:t>
      </w:r>
      <w:r>
        <w:rPr>
          <w:w w:val="95"/>
        </w:rPr>
        <w:t>vehicles,</w:t>
      </w:r>
      <w:r>
        <w:rPr>
          <w:spacing w:val="-4"/>
          <w:w w:val="95"/>
        </w:rPr>
        <w:t xml:space="preserve"> </w:t>
      </w:r>
      <w:r>
        <w:rPr>
          <w:w w:val="95"/>
        </w:rPr>
        <w:t>which</w:t>
      </w:r>
      <w:r>
        <w:rPr>
          <w:spacing w:val="-4"/>
          <w:w w:val="95"/>
        </w:rPr>
        <w:t xml:space="preserve"> </w:t>
      </w:r>
      <w:r>
        <w:rPr>
          <w:w w:val="95"/>
        </w:rPr>
        <w:t>would</w:t>
      </w:r>
      <w:r>
        <w:rPr>
          <w:spacing w:val="-4"/>
          <w:w w:val="95"/>
        </w:rPr>
        <w:t xml:space="preserve"> </w:t>
      </w:r>
      <w:r>
        <w:rPr>
          <w:w w:val="95"/>
        </w:rPr>
        <w:t xml:space="preserve">be </w:t>
      </w:r>
      <w:r>
        <w:t>more</w:t>
      </w:r>
      <w:r>
        <w:rPr>
          <w:spacing w:val="-8"/>
        </w:rPr>
        <w:t xml:space="preserve"> </w:t>
      </w:r>
      <w:r>
        <w:t>intrusive</w:t>
      </w:r>
      <w:r>
        <w:rPr>
          <w:spacing w:val="-8"/>
        </w:rPr>
        <w:t xml:space="preserve"> </w:t>
      </w:r>
      <w:r>
        <w:t>for</w:t>
      </w:r>
      <w:r>
        <w:rPr>
          <w:spacing w:val="-8"/>
        </w:rPr>
        <w:t xml:space="preserve"> </w:t>
      </w:r>
      <w:r>
        <w:t>other</w:t>
      </w:r>
      <w:r>
        <w:rPr>
          <w:spacing w:val="-8"/>
        </w:rPr>
        <w:t xml:space="preserve"> </w:t>
      </w:r>
      <w:r>
        <w:t>CBD</w:t>
      </w:r>
      <w:r>
        <w:rPr>
          <w:spacing w:val="-8"/>
        </w:rPr>
        <w:t xml:space="preserve"> </w:t>
      </w:r>
      <w:r>
        <w:t>users</w:t>
      </w:r>
      <w:r>
        <w:rPr>
          <w:position w:val="7"/>
          <w:sz w:val="11"/>
        </w:rPr>
        <w:t>7</w:t>
      </w:r>
      <w:r>
        <w:t>.</w:t>
      </w:r>
    </w:p>
    <w:p w:rsidR="002C1123" w:rsidRDefault="00F22F94">
      <w:pPr>
        <w:pStyle w:val="BodyText"/>
        <w:spacing w:before="146" w:line="249" w:lineRule="auto"/>
        <w:ind w:left="492"/>
      </w:pPr>
      <w:r>
        <w:t>Infrastructure</w:t>
      </w:r>
      <w:r>
        <w:rPr>
          <w:spacing w:val="-14"/>
        </w:rPr>
        <w:t xml:space="preserve"> </w:t>
      </w:r>
      <w:r>
        <w:t>NSW</w:t>
      </w:r>
      <w:r>
        <w:rPr>
          <w:spacing w:val="-14"/>
        </w:rPr>
        <w:t xml:space="preserve"> </w:t>
      </w:r>
      <w:r>
        <w:t>has</w:t>
      </w:r>
      <w:r>
        <w:rPr>
          <w:spacing w:val="-14"/>
        </w:rPr>
        <w:t xml:space="preserve"> </w:t>
      </w:r>
      <w:r>
        <w:t>reviewed</w:t>
      </w:r>
      <w:r>
        <w:rPr>
          <w:spacing w:val="-14"/>
        </w:rPr>
        <w:t xml:space="preserve"> </w:t>
      </w:r>
      <w:r>
        <w:t>NSW</w:t>
      </w:r>
      <w:r>
        <w:rPr>
          <w:spacing w:val="-14"/>
        </w:rPr>
        <w:t xml:space="preserve"> </w:t>
      </w:r>
      <w:r>
        <w:t>Bureau</w:t>
      </w:r>
      <w:r>
        <w:rPr>
          <w:spacing w:val="-14"/>
        </w:rPr>
        <w:t xml:space="preserve"> </w:t>
      </w:r>
      <w:r>
        <w:t xml:space="preserve">of </w:t>
      </w:r>
      <w:r>
        <w:rPr>
          <w:w w:val="95"/>
        </w:rPr>
        <w:t>Transport</w:t>
      </w:r>
      <w:r>
        <w:rPr>
          <w:spacing w:val="-4"/>
          <w:w w:val="95"/>
        </w:rPr>
        <w:t xml:space="preserve"> </w:t>
      </w:r>
      <w:r>
        <w:rPr>
          <w:w w:val="95"/>
        </w:rPr>
        <w:t>Statistics</w:t>
      </w:r>
      <w:r>
        <w:rPr>
          <w:spacing w:val="-4"/>
          <w:w w:val="95"/>
        </w:rPr>
        <w:t xml:space="preserve"> </w:t>
      </w:r>
      <w:r>
        <w:rPr>
          <w:w w:val="95"/>
        </w:rPr>
        <w:t>data</w:t>
      </w:r>
      <w:r>
        <w:rPr>
          <w:spacing w:val="-4"/>
          <w:w w:val="95"/>
        </w:rPr>
        <w:t xml:space="preserve"> </w:t>
      </w:r>
      <w:r>
        <w:rPr>
          <w:w w:val="95"/>
        </w:rPr>
        <w:t>which</w:t>
      </w:r>
      <w:r>
        <w:rPr>
          <w:spacing w:val="-4"/>
          <w:w w:val="95"/>
        </w:rPr>
        <w:t xml:space="preserve"> </w:t>
      </w:r>
      <w:r>
        <w:rPr>
          <w:w w:val="95"/>
        </w:rPr>
        <w:t>indicates</w:t>
      </w:r>
      <w:r>
        <w:rPr>
          <w:spacing w:val="-4"/>
          <w:w w:val="95"/>
        </w:rPr>
        <w:t xml:space="preserve"> </w:t>
      </w:r>
      <w:r>
        <w:rPr>
          <w:w w:val="95"/>
        </w:rPr>
        <w:t>that</w:t>
      </w:r>
      <w:r>
        <w:rPr>
          <w:spacing w:val="-4"/>
          <w:w w:val="95"/>
        </w:rPr>
        <w:t xml:space="preserve"> </w:t>
      </w:r>
      <w:r>
        <w:rPr>
          <w:w w:val="95"/>
        </w:rPr>
        <w:t>the</w:t>
      </w:r>
      <w:r>
        <w:rPr>
          <w:spacing w:val="-4"/>
          <w:w w:val="95"/>
        </w:rPr>
        <w:t xml:space="preserve"> </w:t>
      </w:r>
      <w:r>
        <w:rPr>
          <w:w w:val="95"/>
        </w:rPr>
        <w:t xml:space="preserve">existing </w:t>
      </w:r>
      <w:r>
        <w:t>combined</w:t>
      </w:r>
      <w:r>
        <w:rPr>
          <w:spacing w:val="-5"/>
        </w:rPr>
        <w:t xml:space="preserve"> </w:t>
      </w:r>
      <w:r>
        <w:t>peak</w:t>
      </w:r>
      <w:r>
        <w:rPr>
          <w:spacing w:val="-5"/>
        </w:rPr>
        <w:t xml:space="preserve"> </w:t>
      </w:r>
      <w:r>
        <w:t>hour</w:t>
      </w:r>
      <w:r>
        <w:rPr>
          <w:spacing w:val="-5"/>
        </w:rPr>
        <w:t xml:space="preserve"> </w:t>
      </w:r>
      <w:r>
        <w:t>demand</w:t>
      </w:r>
      <w:r>
        <w:rPr>
          <w:spacing w:val="-5"/>
        </w:rPr>
        <w:t xml:space="preserve"> </w:t>
      </w:r>
      <w:r>
        <w:t>on</w:t>
      </w:r>
      <w:r>
        <w:rPr>
          <w:spacing w:val="-5"/>
        </w:rPr>
        <w:t xml:space="preserve"> </w:t>
      </w:r>
      <w:r>
        <w:t>Anzac</w:t>
      </w:r>
      <w:r>
        <w:rPr>
          <w:spacing w:val="-5"/>
        </w:rPr>
        <w:t xml:space="preserve"> </w:t>
      </w:r>
      <w:r>
        <w:t>Parade</w:t>
      </w:r>
      <w:r>
        <w:rPr>
          <w:spacing w:val="-5"/>
        </w:rPr>
        <w:t xml:space="preserve"> </w:t>
      </w:r>
      <w:r>
        <w:t>and Broadway</w:t>
      </w:r>
      <w:r>
        <w:rPr>
          <w:spacing w:val="-8"/>
        </w:rPr>
        <w:t xml:space="preserve"> </w:t>
      </w:r>
      <w:r>
        <w:t>bus</w:t>
      </w:r>
      <w:r>
        <w:rPr>
          <w:spacing w:val="-8"/>
        </w:rPr>
        <w:t xml:space="preserve"> </w:t>
      </w:r>
      <w:r>
        <w:t>services</w:t>
      </w:r>
      <w:r>
        <w:rPr>
          <w:spacing w:val="-8"/>
        </w:rPr>
        <w:t xml:space="preserve"> </w:t>
      </w:r>
      <w:r>
        <w:t>is</w:t>
      </w:r>
      <w:r>
        <w:rPr>
          <w:spacing w:val="-8"/>
        </w:rPr>
        <w:t xml:space="preserve"> </w:t>
      </w:r>
      <w:r>
        <w:t>about</w:t>
      </w:r>
      <w:r>
        <w:rPr>
          <w:spacing w:val="-8"/>
        </w:rPr>
        <w:t xml:space="preserve"> </w:t>
      </w:r>
      <w:r>
        <w:t>9,000</w:t>
      </w:r>
      <w:r>
        <w:rPr>
          <w:position w:val="7"/>
          <w:sz w:val="11"/>
        </w:rPr>
        <w:t>8</w:t>
      </w:r>
      <w:r>
        <w:t>.</w:t>
      </w:r>
      <w:r>
        <w:rPr>
          <w:spacing w:val="-8"/>
        </w:rPr>
        <w:t xml:space="preserve"> </w:t>
      </w:r>
      <w:r>
        <w:t>This</w:t>
      </w:r>
      <w:r>
        <w:rPr>
          <w:spacing w:val="-8"/>
        </w:rPr>
        <w:t xml:space="preserve"> </w:t>
      </w:r>
      <w:r>
        <w:t>implies there</w:t>
      </w:r>
      <w:r>
        <w:rPr>
          <w:spacing w:val="-10"/>
        </w:rPr>
        <w:t xml:space="preserve"> </w:t>
      </w:r>
      <w:r>
        <w:t>would</w:t>
      </w:r>
      <w:r>
        <w:rPr>
          <w:spacing w:val="-10"/>
        </w:rPr>
        <w:t xml:space="preserve"> </w:t>
      </w:r>
      <w:r>
        <w:t>be</w:t>
      </w:r>
      <w:r>
        <w:rPr>
          <w:spacing w:val="-10"/>
        </w:rPr>
        <w:t xml:space="preserve"> </w:t>
      </w:r>
      <w:r>
        <w:t>little</w:t>
      </w:r>
      <w:r>
        <w:rPr>
          <w:spacing w:val="-10"/>
        </w:rPr>
        <w:t xml:space="preserve"> </w:t>
      </w:r>
      <w:r>
        <w:t>or</w:t>
      </w:r>
      <w:r>
        <w:rPr>
          <w:spacing w:val="-10"/>
        </w:rPr>
        <w:t xml:space="preserve"> </w:t>
      </w:r>
      <w:r>
        <w:t>no</w:t>
      </w:r>
      <w:r>
        <w:rPr>
          <w:spacing w:val="-10"/>
        </w:rPr>
        <w:t xml:space="preserve"> </w:t>
      </w:r>
      <w:r>
        <w:t>spare</w:t>
      </w:r>
      <w:r>
        <w:rPr>
          <w:spacing w:val="-10"/>
        </w:rPr>
        <w:t xml:space="preserve"> </w:t>
      </w:r>
      <w:r>
        <w:t>capacity</w:t>
      </w:r>
      <w:r>
        <w:rPr>
          <w:spacing w:val="-10"/>
        </w:rPr>
        <w:t xml:space="preserve"> </w:t>
      </w:r>
      <w:r>
        <w:t>in</w:t>
      </w:r>
      <w:r>
        <w:rPr>
          <w:spacing w:val="-10"/>
        </w:rPr>
        <w:t xml:space="preserve"> </w:t>
      </w:r>
      <w:r>
        <w:t>the</w:t>
      </w:r>
      <w:r>
        <w:rPr>
          <w:spacing w:val="-10"/>
        </w:rPr>
        <w:t xml:space="preserve"> </w:t>
      </w:r>
      <w:r>
        <w:t>current light</w:t>
      </w:r>
      <w:r>
        <w:rPr>
          <w:spacing w:val="-7"/>
        </w:rPr>
        <w:t xml:space="preserve"> </w:t>
      </w:r>
      <w:r>
        <w:t>rail</w:t>
      </w:r>
      <w:r>
        <w:rPr>
          <w:spacing w:val="-7"/>
        </w:rPr>
        <w:t xml:space="preserve"> </w:t>
      </w:r>
      <w:r>
        <w:t>proposal</w:t>
      </w:r>
      <w:r>
        <w:rPr>
          <w:spacing w:val="-7"/>
        </w:rPr>
        <w:t xml:space="preserve"> </w:t>
      </w:r>
      <w:r>
        <w:t>for</w:t>
      </w:r>
      <w:r>
        <w:rPr>
          <w:spacing w:val="-7"/>
        </w:rPr>
        <w:t xml:space="preserve"> </w:t>
      </w:r>
      <w:r>
        <w:t>future</w:t>
      </w:r>
      <w:r>
        <w:rPr>
          <w:spacing w:val="-7"/>
        </w:rPr>
        <w:t xml:space="preserve"> </w:t>
      </w:r>
      <w:r>
        <w:t>demand</w:t>
      </w:r>
      <w:r>
        <w:rPr>
          <w:spacing w:val="-7"/>
        </w:rPr>
        <w:t xml:space="preserve"> </w:t>
      </w:r>
      <w:r>
        <w:t>growth.</w:t>
      </w:r>
      <w:r>
        <w:rPr>
          <w:spacing w:val="-7"/>
        </w:rPr>
        <w:t xml:space="preserve"> </w:t>
      </w:r>
      <w:r>
        <w:t>Light</w:t>
      </w:r>
    </w:p>
    <w:p w:rsidR="002C1123" w:rsidRDefault="00F22F94">
      <w:pPr>
        <w:pStyle w:val="BodyText"/>
        <w:spacing w:before="5" w:line="249" w:lineRule="auto"/>
        <w:ind w:left="492" w:right="28"/>
      </w:pPr>
      <w:r>
        <w:rPr>
          <w:w w:val="95"/>
        </w:rPr>
        <w:t>rail</w:t>
      </w:r>
      <w:r>
        <w:rPr>
          <w:spacing w:val="-8"/>
          <w:w w:val="95"/>
        </w:rPr>
        <w:t xml:space="preserve"> </w:t>
      </w:r>
      <w:r>
        <w:rPr>
          <w:w w:val="95"/>
        </w:rPr>
        <w:t>vehicles</w:t>
      </w:r>
      <w:r>
        <w:rPr>
          <w:spacing w:val="-8"/>
          <w:w w:val="95"/>
        </w:rPr>
        <w:t xml:space="preserve"> </w:t>
      </w:r>
      <w:r>
        <w:rPr>
          <w:w w:val="95"/>
        </w:rPr>
        <w:t>would</w:t>
      </w:r>
      <w:r>
        <w:rPr>
          <w:spacing w:val="-8"/>
          <w:w w:val="95"/>
        </w:rPr>
        <w:t xml:space="preserve"> </w:t>
      </w:r>
      <w:r>
        <w:rPr>
          <w:w w:val="95"/>
        </w:rPr>
        <w:t>be</w:t>
      </w:r>
      <w:r>
        <w:rPr>
          <w:spacing w:val="-8"/>
          <w:w w:val="95"/>
        </w:rPr>
        <w:t xml:space="preserve"> </w:t>
      </w:r>
      <w:r>
        <w:rPr>
          <w:w w:val="95"/>
        </w:rPr>
        <w:t>fully</w:t>
      </w:r>
      <w:r>
        <w:rPr>
          <w:spacing w:val="-8"/>
          <w:w w:val="95"/>
        </w:rPr>
        <w:t xml:space="preserve"> </w:t>
      </w:r>
      <w:r>
        <w:rPr>
          <w:w w:val="95"/>
        </w:rPr>
        <w:t>utilised,</w:t>
      </w:r>
      <w:r>
        <w:rPr>
          <w:spacing w:val="-8"/>
          <w:w w:val="95"/>
        </w:rPr>
        <w:t xml:space="preserve"> </w:t>
      </w:r>
      <w:r>
        <w:rPr>
          <w:w w:val="95"/>
        </w:rPr>
        <w:t>with</w:t>
      </w:r>
      <w:r>
        <w:rPr>
          <w:spacing w:val="-8"/>
          <w:w w:val="95"/>
        </w:rPr>
        <w:t xml:space="preserve"> </w:t>
      </w:r>
      <w:r>
        <w:rPr>
          <w:w w:val="95"/>
        </w:rPr>
        <w:t>two</w:t>
      </w:r>
      <w:r>
        <w:rPr>
          <w:spacing w:val="-8"/>
          <w:w w:val="95"/>
        </w:rPr>
        <w:t xml:space="preserve"> </w:t>
      </w:r>
      <w:r>
        <w:rPr>
          <w:w w:val="95"/>
        </w:rPr>
        <w:t>thirds</w:t>
      </w:r>
      <w:r>
        <w:rPr>
          <w:spacing w:val="-8"/>
          <w:w w:val="95"/>
        </w:rPr>
        <w:t xml:space="preserve"> </w:t>
      </w:r>
      <w:r>
        <w:rPr>
          <w:w w:val="95"/>
        </w:rPr>
        <w:t xml:space="preserve">of </w:t>
      </w:r>
      <w:r>
        <w:t>passengers</w:t>
      </w:r>
      <w:r>
        <w:rPr>
          <w:spacing w:val="-11"/>
        </w:rPr>
        <w:t xml:space="preserve"> </w:t>
      </w:r>
      <w:r>
        <w:t>standing.</w:t>
      </w:r>
    </w:p>
    <w:p w:rsidR="002C1123" w:rsidRDefault="00F22F94">
      <w:pPr>
        <w:pStyle w:val="BodyText"/>
        <w:spacing w:before="143" w:line="249" w:lineRule="auto"/>
        <w:ind w:left="492" w:right="321"/>
      </w:pPr>
      <w:r>
        <w:rPr>
          <w:w w:val="95"/>
        </w:rPr>
        <w:t>Additionally, to provide a highly reliable mass transit service would require very high levels of intersection priority</w:t>
      </w:r>
      <w:r>
        <w:rPr>
          <w:spacing w:val="-5"/>
          <w:w w:val="95"/>
        </w:rPr>
        <w:t xml:space="preserve"> </w:t>
      </w:r>
      <w:r>
        <w:rPr>
          <w:w w:val="95"/>
        </w:rPr>
        <w:t>(with</w:t>
      </w:r>
      <w:r>
        <w:rPr>
          <w:spacing w:val="-5"/>
          <w:w w:val="95"/>
        </w:rPr>
        <w:t xml:space="preserve"> </w:t>
      </w:r>
      <w:r>
        <w:rPr>
          <w:w w:val="95"/>
        </w:rPr>
        <w:t>adverse</w:t>
      </w:r>
      <w:r>
        <w:rPr>
          <w:spacing w:val="-5"/>
          <w:w w:val="95"/>
        </w:rPr>
        <w:t xml:space="preserve"> </w:t>
      </w:r>
      <w:r>
        <w:rPr>
          <w:w w:val="95"/>
        </w:rPr>
        <w:t>implications</w:t>
      </w:r>
      <w:r>
        <w:rPr>
          <w:spacing w:val="-5"/>
          <w:w w:val="95"/>
        </w:rPr>
        <w:t xml:space="preserve"> </w:t>
      </w:r>
      <w:r>
        <w:rPr>
          <w:w w:val="95"/>
        </w:rPr>
        <w:t>for</w:t>
      </w:r>
      <w:r>
        <w:rPr>
          <w:spacing w:val="-5"/>
          <w:w w:val="95"/>
        </w:rPr>
        <w:t xml:space="preserve"> </w:t>
      </w:r>
      <w:r>
        <w:rPr>
          <w:w w:val="95"/>
        </w:rPr>
        <w:t>east-west</w:t>
      </w:r>
      <w:r>
        <w:rPr>
          <w:spacing w:val="-5"/>
          <w:w w:val="95"/>
        </w:rPr>
        <w:t xml:space="preserve"> </w:t>
      </w:r>
      <w:r>
        <w:rPr>
          <w:w w:val="95"/>
        </w:rPr>
        <w:t xml:space="preserve">traffic </w:t>
      </w:r>
      <w:r>
        <w:t>flows</w:t>
      </w:r>
      <w:r>
        <w:rPr>
          <w:spacing w:val="-12"/>
        </w:rPr>
        <w:t xml:space="preserve"> </w:t>
      </w:r>
      <w:r>
        <w:t>and</w:t>
      </w:r>
      <w:r>
        <w:rPr>
          <w:spacing w:val="-12"/>
        </w:rPr>
        <w:t xml:space="preserve"> </w:t>
      </w:r>
      <w:r>
        <w:t>pedestrian</w:t>
      </w:r>
      <w:r>
        <w:rPr>
          <w:spacing w:val="-12"/>
        </w:rPr>
        <w:t xml:space="preserve"> </w:t>
      </w:r>
      <w:r>
        <w:t>movement),</w:t>
      </w:r>
      <w:r>
        <w:rPr>
          <w:spacing w:val="-12"/>
        </w:rPr>
        <w:t xml:space="preserve"> </w:t>
      </w:r>
      <w:r>
        <w:t>and</w:t>
      </w:r>
      <w:r>
        <w:rPr>
          <w:spacing w:val="-12"/>
        </w:rPr>
        <w:t xml:space="preserve"> </w:t>
      </w:r>
      <w:r>
        <w:t>substantial infrastructure</w:t>
      </w:r>
      <w:r>
        <w:rPr>
          <w:spacing w:val="-14"/>
        </w:rPr>
        <w:t xml:space="preserve"> </w:t>
      </w:r>
      <w:r>
        <w:t>(e.g.</w:t>
      </w:r>
      <w:r>
        <w:rPr>
          <w:spacing w:val="-14"/>
        </w:rPr>
        <w:t xml:space="preserve"> </w:t>
      </w:r>
      <w:r>
        <w:t>pedestrians</w:t>
      </w:r>
      <w:r>
        <w:rPr>
          <w:spacing w:val="-14"/>
        </w:rPr>
        <w:t xml:space="preserve"> </w:t>
      </w:r>
      <w:r>
        <w:t>barriers</w:t>
      </w:r>
      <w:r>
        <w:rPr>
          <w:spacing w:val="-14"/>
        </w:rPr>
        <w:t xml:space="preserve"> </w:t>
      </w:r>
      <w:r>
        <w:t>and extended</w:t>
      </w:r>
      <w:r>
        <w:rPr>
          <w:spacing w:val="-9"/>
        </w:rPr>
        <w:t xml:space="preserve"> </w:t>
      </w:r>
      <w:r>
        <w:t>boarding</w:t>
      </w:r>
      <w:r>
        <w:rPr>
          <w:spacing w:val="-9"/>
        </w:rPr>
        <w:t xml:space="preserve"> </w:t>
      </w:r>
      <w:r>
        <w:t>platforms).</w:t>
      </w:r>
      <w:r>
        <w:rPr>
          <w:spacing w:val="-9"/>
        </w:rPr>
        <w:t xml:space="preserve"> </w:t>
      </w:r>
      <w:r>
        <w:t>This</w:t>
      </w:r>
      <w:r>
        <w:rPr>
          <w:spacing w:val="-9"/>
        </w:rPr>
        <w:t xml:space="preserve"> </w:t>
      </w:r>
      <w:r>
        <w:t>would</w:t>
      </w:r>
      <w:r>
        <w:rPr>
          <w:spacing w:val="-9"/>
        </w:rPr>
        <w:t xml:space="preserve"> </w:t>
      </w:r>
      <w:r>
        <w:t>be</w:t>
      </w:r>
      <w:r>
        <w:rPr>
          <w:spacing w:val="-9"/>
        </w:rPr>
        <w:t xml:space="preserve"> </w:t>
      </w:r>
      <w:r>
        <w:t>an extremely</w:t>
      </w:r>
      <w:r>
        <w:rPr>
          <w:spacing w:val="-11"/>
        </w:rPr>
        <w:t xml:space="preserve"> </w:t>
      </w:r>
      <w:r>
        <w:t>intensive</w:t>
      </w:r>
      <w:r>
        <w:rPr>
          <w:spacing w:val="-11"/>
        </w:rPr>
        <w:t xml:space="preserve"> </w:t>
      </w:r>
      <w:r>
        <w:t>transport</w:t>
      </w:r>
      <w:r>
        <w:rPr>
          <w:spacing w:val="-11"/>
        </w:rPr>
        <w:t xml:space="preserve"> </w:t>
      </w:r>
      <w:r>
        <w:t>operation</w:t>
      </w:r>
      <w:r>
        <w:rPr>
          <w:spacing w:val="-11"/>
        </w:rPr>
        <w:t xml:space="preserve"> </w:t>
      </w:r>
      <w:r>
        <w:t>in</w:t>
      </w:r>
      <w:r>
        <w:rPr>
          <w:spacing w:val="-11"/>
        </w:rPr>
        <w:t xml:space="preserve"> </w:t>
      </w:r>
      <w:r>
        <w:t>the George Street environment.</w:t>
      </w:r>
    </w:p>
    <w:p w:rsidR="002C1123" w:rsidRDefault="00F22F94">
      <w:pPr>
        <w:pStyle w:val="BodyText"/>
        <w:spacing w:before="148" w:line="249" w:lineRule="auto"/>
        <w:ind w:left="492" w:right="425"/>
        <w:jc w:val="both"/>
      </w:pPr>
      <w:r>
        <w:rPr>
          <w:w w:val="95"/>
        </w:rPr>
        <w:t>Whether physically segregated from pedestrians or not,</w:t>
      </w:r>
      <w:r>
        <w:rPr>
          <w:spacing w:val="-8"/>
          <w:w w:val="95"/>
        </w:rPr>
        <w:t xml:space="preserve"> </w:t>
      </w:r>
      <w:r>
        <w:rPr>
          <w:w w:val="95"/>
        </w:rPr>
        <w:t>a</w:t>
      </w:r>
      <w:r>
        <w:rPr>
          <w:spacing w:val="-6"/>
          <w:w w:val="95"/>
        </w:rPr>
        <w:t xml:space="preserve"> </w:t>
      </w:r>
      <w:r>
        <w:rPr>
          <w:w w:val="95"/>
        </w:rPr>
        <w:t>light</w:t>
      </w:r>
      <w:r>
        <w:rPr>
          <w:spacing w:val="-6"/>
          <w:w w:val="95"/>
        </w:rPr>
        <w:t xml:space="preserve"> </w:t>
      </w:r>
      <w:r>
        <w:rPr>
          <w:w w:val="95"/>
        </w:rPr>
        <w:t>rail</w:t>
      </w:r>
      <w:r>
        <w:rPr>
          <w:spacing w:val="-6"/>
          <w:w w:val="95"/>
        </w:rPr>
        <w:t xml:space="preserve"> </w:t>
      </w:r>
      <w:r>
        <w:rPr>
          <w:w w:val="95"/>
        </w:rPr>
        <w:t>service</w:t>
      </w:r>
      <w:r>
        <w:rPr>
          <w:spacing w:val="-6"/>
          <w:w w:val="95"/>
        </w:rPr>
        <w:t xml:space="preserve"> </w:t>
      </w:r>
      <w:r>
        <w:rPr>
          <w:w w:val="95"/>
        </w:rPr>
        <w:t>of</w:t>
      </w:r>
      <w:r>
        <w:rPr>
          <w:spacing w:val="-6"/>
          <w:w w:val="95"/>
        </w:rPr>
        <w:t xml:space="preserve"> </w:t>
      </w:r>
      <w:r>
        <w:rPr>
          <w:w w:val="95"/>
        </w:rPr>
        <w:t>the</w:t>
      </w:r>
      <w:r>
        <w:rPr>
          <w:spacing w:val="-6"/>
          <w:w w:val="95"/>
        </w:rPr>
        <w:t xml:space="preserve"> </w:t>
      </w:r>
      <w:r>
        <w:rPr>
          <w:w w:val="95"/>
        </w:rPr>
        <w:t>required</w:t>
      </w:r>
      <w:r>
        <w:rPr>
          <w:spacing w:val="-6"/>
          <w:w w:val="95"/>
        </w:rPr>
        <w:t xml:space="preserve"> </w:t>
      </w:r>
      <w:r>
        <w:rPr>
          <w:w w:val="95"/>
        </w:rPr>
        <w:t>capacity</w:t>
      </w:r>
      <w:r>
        <w:rPr>
          <w:spacing w:val="-6"/>
          <w:w w:val="95"/>
        </w:rPr>
        <w:t xml:space="preserve"> </w:t>
      </w:r>
      <w:r>
        <w:rPr>
          <w:w w:val="95"/>
        </w:rPr>
        <w:t>to</w:t>
      </w:r>
      <w:r>
        <w:rPr>
          <w:spacing w:val="-6"/>
          <w:w w:val="95"/>
        </w:rPr>
        <w:t xml:space="preserve"> </w:t>
      </w:r>
      <w:r>
        <w:rPr>
          <w:w w:val="95"/>
        </w:rPr>
        <w:t>act as</w:t>
      </w:r>
      <w:r>
        <w:rPr>
          <w:spacing w:val="-6"/>
          <w:w w:val="95"/>
        </w:rPr>
        <w:t xml:space="preserve"> </w:t>
      </w:r>
      <w:r>
        <w:rPr>
          <w:w w:val="95"/>
        </w:rPr>
        <w:t>an</w:t>
      </w:r>
      <w:r>
        <w:rPr>
          <w:spacing w:val="-5"/>
          <w:w w:val="95"/>
        </w:rPr>
        <w:t xml:space="preserve"> </w:t>
      </w:r>
      <w:r>
        <w:rPr>
          <w:w w:val="95"/>
        </w:rPr>
        <w:t>effective</w:t>
      </w:r>
      <w:r>
        <w:rPr>
          <w:spacing w:val="-6"/>
          <w:w w:val="95"/>
        </w:rPr>
        <w:t xml:space="preserve"> </w:t>
      </w:r>
      <w:r>
        <w:rPr>
          <w:w w:val="95"/>
        </w:rPr>
        <w:t>mass</w:t>
      </w:r>
      <w:r>
        <w:rPr>
          <w:spacing w:val="-5"/>
          <w:w w:val="95"/>
        </w:rPr>
        <w:t xml:space="preserve"> </w:t>
      </w:r>
      <w:r>
        <w:rPr>
          <w:w w:val="95"/>
        </w:rPr>
        <w:t>transit</w:t>
      </w:r>
      <w:r>
        <w:rPr>
          <w:spacing w:val="-5"/>
          <w:w w:val="95"/>
        </w:rPr>
        <w:t xml:space="preserve"> </w:t>
      </w:r>
      <w:r>
        <w:rPr>
          <w:w w:val="95"/>
        </w:rPr>
        <w:t>system</w:t>
      </w:r>
      <w:r>
        <w:rPr>
          <w:spacing w:val="-6"/>
          <w:w w:val="95"/>
        </w:rPr>
        <w:t xml:space="preserve"> </w:t>
      </w:r>
      <w:r>
        <w:rPr>
          <w:w w:val="95"/>
        </w:rPr>
        <w:t>would</w:t>
      </w:r>
      <w:r>
        <w:rPr>
          <w:spacing w:val="-5"/>
          <w:w w:val="95"/>
        </w:rPr>
        <w:t xml:space="preserve"> </w:t>
      </w:r>
      <w:r>
        <w:rPr>
          <w:w w:val="95"/>
        </w:rPr>
        <w:t>appear</w:t>
      </w:r>
      <w:r>
        <w:rPr>
          <w:spacing w:val="-6"/>
          <w:w w:val="95"/>
        </w:rPr>
        <w:t xml:space="preserve"> </w:t>
      </w:r>
      <w:r>
        <w:rPr>
          <w:spacing w:val="-5"/>
          <w:w w:val="95"/>
        </w:rPr>
        <w:t>to</w:t>
      </w:r>
    </w:p>
    <w:p w:rsidR="002C1123" w:rsidRDefault="00F22F94">
      <w:pPr>
        <w:pStyle w:val="BodyText"/>
        <w:spacing w:before="106" w:line="249" w:lineRule="auto"/>
        <w:ind w:left="199" w:right="403"/>
      </w:pPr>
      <w:r>
        <w:br w:type="column"/>
      </w:r>
      <w:r>
        <w:rPr>
          <w:w w:val="95"/>
        </w:rPr>
        <w:t>leave</w:t>
      </w:r>
      <w:r>
        <w:rPr>
          <w:spacing w:val="-10"/>
          <w:w w:val="95"/>
        </w:rPr>
        <w:t xml:space="preserve"> </w:t>
      </w:r>
      <w:r>
        <w:rPr>
          <w:w w:val="95"/>
        </w:rPr>
        <w:t>George</w:t>
      </w:r>
      <w:r>
        <w:rPr>
          <w:spacing w:val="-10"/>
          <w:w w:val="95"/>
        </w:rPr>
        <w:t xml:space="preserve"> </w:t>
      </w:r>
      <w:r>
        <w:rPr>
          <w:w w:val="95"/>
        </w:rPr>
        <w:t>Street</w:t>
      </w:r>
      <w:r>
        <w:rPr>
          <w:spacing w:val="-10"/>
          <w:w w:val="95"/>
        </w:rPr>
        <w:t xml:space="preserve"> </w:t>
      </w:r>
      <w:r>
        <w:rPr>
          <w:w w:val="95"/>
        </w:rPr>
        <w:t>even</w:t>
      </w:r>
      <w:r>
        <w:rPr>
          <w:spacing w:val="-10"/>
          <w:w w:val="95"/>
        </w:rPr>
        <w:t xml:space="preserve"> </w:t>
      </w:r>
      <w:r>
        <w:rPr>
          <w:w w:val="95"/>
        </w:rPr>
        <w:t>less</w:t>
      </w:r>
      <w:r>
        <w:rPr>
          <w:spacing w:val="-10"/>
          <w:w w:val="95"/>
        </w:rPr>
        <w:t xml:space="preserve"> </w:t>
      </w:r>
      <w:r>
        <w:rPr>
          <w:w w:val="95"/>
        </w:rPr>
        <w:t>open</w:t>
      </w:r>
      <w:r>
        <w:rPr>
          <w:spacing w:val="-10"/>
          <w:w w:val="95"/>
        </w:rPr>
        <w:t xml:space="preserve"> </w:t>
      </w:r>
      <w:r>
        <w:rPr>
          <w:w w:val="95"/>
        </w:rPr>
        <w:t>to</w:t>
      </w:r>
      <w:r>
        <w:rPr>
          <w:spacing w:val="-10"/>
          <w:w w:val="95"/>
        </w:rPr>
        <w:t xml:space="preserve"> </w:t>
      </w:r>
      <w:r>
        <w:rPr>
          <w:w w:val="95"/>
        </w:rPr>
        <w:t xml:space="preserve">pedestrians </w:t>
      </w:r>
      <w:r>
        <w:t>than at present.</w:t>
      </w:r>
    </w:p>
    <w:p w:rsidR="002C1123" w:rsidRDefault="00F22F94">
      <w:pPr>
        <w:pStyle w:val="Heading6"/>
        <w:spacing w:before="143"/>
        <w:ind w:left="199"/>
      </w:pPr>
      <w:r>
        <w:rPr>
          <w:spacing w:val="-2"/>
        </w:rPr>
        <w:t>Disruption</w:t>
      </w:r>
    </w:p>
    <w:p w:rsidR="002C1123" w:rsidRDefault="00F22F94">
      <w:pPr>
        <w:pStyle w:val="BodyText"/>
        <w:spacing w:before="10" w:line="249" w:lineRule="auto"/>
        <w:ind w:left="199" w:right="403"/>
      </w:pPr>
      <w:r>
        <w:rPr>
          <w:w w:val="95"/>
        </w:rPr>
        <w:t>Delivering</w:t>
      </w:r>
      <w:r>
        <w:rPr>
          <w:spacing w:val="-12"/>
          <w:w w:val="95"/>
        </w:rPr>
        <w:t xml:space="preserve"> </w:t>
      </w:r>
      <w:r>
        <w:rPr>
          <w:w w:val="95"/>
        </w:rPr>
        <w:t>light</w:t>
      </w:r>
      <w:r>
        <w:rPr>
          <w:spacing w:val="-11"/>
          <w:w w:val="95"/>
        </w:rPr>
        <w:t xml:space="preserve"> </w:t>
      </w:r>
      <w:r>
        <w:rPr>
          <w:w w:val="95"/>
        </w:rPr>
        <w:t>rail</w:t>
      </w:r>
      <w:r>
        <w:rPr>
          <w:spacing w:val="-11"/>
          <w:w w:val="95"/>
        </w:rPr>
        <w:t xml:space="preserve"> </w:t>
      </w:r>
      <w:r>
        <w:rPr>
          <w:w w:val="95"/>
        </w:rPr>
        <w:t>into</w:t>
      </w:r>
      <w:r>
        <w:rPr>
          <w:spacing w:val="-11"/>
          <w:w w:val="95"/>
        </w:rPr>
        <w:t xml:space="preserve"> </w:t>
      </w:r>
      <w:r>
        <w:rPr>
          <w:w w:val="95"/>
        </w:rPr>
        <w:t>Sydney’s</w:t>
      </w:r>
      <w:r>
        <w:rPr>
          <w:spacing w:val="-11"/>
          <w:w w:val="95"/>
        </w:rPr>
        <w:t xml:space="preserve"> </w:t>
      </w:r>
      <w:r>
        <w:rPr>
          <w:w w:val="95"/>
        </w:rPr>
        <w:t>CBD</w:t>
      </w:r>
      <w:r>
        <w:rPr>
          <w:spacing w:val="-11"/>
          <w:w w:val="95"/>
        </w:rPr>
        <w:t xml:space="preserve"> </w:t>
      </w:r>
      <w:r>
        <w:rPr>
          <w:w w:val="95"/>
        </w:rPr>
        <w:t>is</w:t>
      </w:r>
      <w:r>
        <w:rPr>
          <w:spacing w:val="-11"/>
          <w:w w:val="95"/>
        </w:rPr>
        <w:t xml:space="preserve"> </w:t>
      </w:r>
      <w:r>
        <w:rPr>
          <w:w w:val="95"/>
        </w:rPr>
        <w:t>a</w:t>
      </w:r>
      <w:r>
        <w:rPr>
          <w:spacing w:val="-11"/>
          <w:w w:val="95"/>
        </w:rPr>
        <w:t xml:space="preserve"> </w:t>
      </w:r>
      <w:r>
        <w:rPr>
          <w:w w:val="95"/>
        </w:rPr>
        <w:t xml:space="preserve">significant </w:t>
      </w:r>
      <w:r>
        <w:t>construction</w:t>
      </w:r>
      <w:r>
        <w:rPr>
          <w:spacing w:val="-1"/>
        </w:rPr>
        <w:t xml:space="preserve"> </w:t>
      </w:r>
      <w:r>
        <w:t>project</w:t>
      </w:r>
      <w:r>
        <w:rPr>
          <w:spacing w:val="-1"/>
        </w:rPr>
        <w:t xml:space="preserve"> </w:t>
      </w:r>
      <w:r>
        <w:t>and</w:t>
      </w:r>
      <w:r>
        <w:rPr>
          <w:spacing w:val="-1"/>
        </w:rPr>
        <w:t xml:space="preserve"> </w:t>
      </w:r>
      <w:r>
        <w:t>would</w:t>
      </w:r>
      <w:r>
        <w:rPr>
          <w:spacing w:val="-1"/>
        </w:rPr>
        <w:t xml:space="preserve"> </w:t>
      </w:r>
      <w:r>
        <w:t>cause</w:t>
      </w:r>
      <w:r>
        <w:rPr>
          <w:spacing w:val="-1"/>
        </w:rPr>
        <w:t xml:space="preserve"> </w:t>
      </w:r>
      <w:r>
        <w:t>substantial disruption</w:t>
      </w:r>
      <w:r>
        <w:rPr>
          <w:spacing w:val="-14"/>
        </w:rPr>
        <w:t xml:space="preserve"> </w:t>
      </w:r>
      <w:r>
        <w:t>for</w:t>
      </w:r>
      <w:r>
        <w:rPr>
          <w:spacing w:val="-14"/>
        </w:rPr>
        <w:t xml:space="preserve"> </w:t>
      </w:r>
      <w:r>
        <w:t>several</w:t>
      </w:r>
      <w:r>
        <w:rPr>
          <w:spacing w:val="-14"/>
        </w:rPr>
        <w:t xml:space="preserve"> </w:t>
      </w:r>
      <w:r>
        <w:t>years.</w:t>
      </w:r>
      <w:r>
        <w:rPr>
          <w:spacing w:val="-14"/>
        </w:rPr>
        <w:t xml:space="preserve"> </w:t>
      </w:r>
      <w:r>
        <w:t>In</w:t>
      </w:r>
      <w:r>
        <w:rPr>
          <w:spacing w:val="-14"/>
        </w:rPr>
        <w:t xml:space="preserve"> </w:t>
      </w:r>
      <w:r>
        <w:t>particular,</w:t>
      </w:r>
      <w:r>
        <w:rPr>
          <w:spacing w:val="-14"/>
        </w:rPr>
        <w:t xml:space="preserve"> </w:t>
      </w:r>
      <w:r>
        <w:t>the</w:t>
      </w:r>
    </w:p>
    <w:p w:rsidR="002C1123" w:rsidRDefault="00F22F94">
      <w:pPr>
        <w:pStyle w:val="BodyText"/>
        <w:spacing w:before="3" w:line="249" w:lineRule="auto"/>
        <w:ind w:left="199"/>
      </w:pPr>
      <w:r>
        <w:t>need</w:t>
      </w:r>
      <w:r>
        <w:rPr>
          <w:spacing w:val="-11"/>
        </w:rPr>
        <w:t xml:space="preserve"> </w:t>
      </w:r>
      <w:r>
        <w:t>to</w:t>
      </w:r>
      <w:r>
        <w:rPr>
          <w:spacing w:val="-11"/>
        </w:rPr>
        <w:t xml:space="preserve"> </w:t>
      </w:r>
      <w:r>
        <w:t>move</w:t>
      </w:r>
      <w:r>
        <w:rPr>
          <w:spacing w:val="-11"/>
        </w:rPr>
        <w:t xml:space="preserve"> </w:t>
      </w:r>
      <w:r>
        <w:t>utility</w:t>
      </w:r>
      <w:r>
        <w:rPr>
          <w:spacing w:val="-11"/>
        </w:rPr>
        <w:t xml:space="preserve"> </w:t>
      </w:r>
      <w:r>
        <w:t>services,</w:t>
      </w:r>
      <w:r>
        <w:rPr>
          <w:spacing w:val="-11"/>
        </w:rPr>
        <w:t xml:space="preserve"> </w:t>
      </w:r>
      <w:r>
        <w:t>e.g.</w:t>
      </w:r>
      <w:r>
        <w:rPr>
          <w:spacing w:val="-11"/>
        </w:rPr>
        <w:t xml:space="preserve"> </w:t>
      </w:r>
      <w:r>
        <w:t>electricity</w:t>
      </w:r>
      <w:r>
        <w:rPr>
          <w:spacing w:val="-11"/>
        </w:rPr>
        <w:t xml:space="preserve"> </w:t>
      </w:r>
      <w:r>
        <w:t>and telecommunications</w:t>
      </w:r>
      <w:r>
        <w:rPr>
          <w:spacing w:val="-10"/>
        </w:rPr>
        <w:t xml:space="preserve"> </w:t>
      </w:r>
      <w:r>
        <w:t>services</w:t>
      </w:r>
      <w:r>
        <w:rPr>
          <w:spacing w:val="-10"/>
        </w:rPr>
        <w:t xml:space="preserve"> </w:t>
      </w:r>
      <w:r>
        <w:t>currently</w:t>
      </w:r>
      <w:r>
        <w:rPr>
          <w:spacing w:val="-10"/>
        </w:rPr>
        <w:t xml:space="preserve"> </w:t>
      </w:r>
      <w:r>
        <w:t>below</w:t>
      </w:r>
      <w:r>
        <w:rPr>
          <w:spacing w:val="-10"/>
        </w:rPr>
        <w:t xml:space="preserve"> </w:t>
      </w:r>
      <w:r>
        <w:t>George Street</w:t>
      </w:r>
      <w:r>
        <w:rPr>
          <w:spacing w:val="-11"/>
        </w:rPr>
        <w:t xml:space="preserve"> </w:t>
      </w:r>
      <w:r>
        <w:t>could</w:t>
      </w:r>
      <w:r>
        <w:rPr>
          <w:spacing w:val="-11"/>
        </w:rPr>
        <w:t xml:space="preserve"> </w:t>
      </w:r>
      <w:r>
        <w:t>impose</w:t>
      </w:r>
      <w:r>
        <w:rPr>
          <w:spacing w:val="-11"/>
        </w:rPr>
        <w:t xml:space="preserve"> </w:t>
      </w:r>
      <w:r>
        <w:t>significant</w:t>
      </w:r>
      <w:r>
        <w:rPr>
          <w:spacing w:val="-11"/>
        </w:rPr>
        <w:t xml:space="preserve"> </w:t>
      </w:r>
      <w:r>
        <w:t>costs</w:t>
      </w:r>
      <w:r>
        <w:rPr>
          <w:spacing w:val="-11"/>
        </w:rPr>
        <w:t xml:space="preserve"> </w:t>
      </w:r>
      <w:r>
        <w:t>and</w:t>
      </w:r>
      <w:r>
        <w:rPr>
          <w:spacing w:val="-11"/>
        </w:rPr>
        <w:t xml:space="preserve"> </w:t>
      </w:r>
      <w:r>
        <w:t>delays.</w:t>
      </w:r>
      <w:r>
        <w:rPr>
          <w:spacing w:val="-11"/>
        </w:rPr>
        <w:t xml:space="preserve"> </w:t>
      </w:r>
      <w:r>
        <w:t xml:space="preserve">The </w:t>
      </w:r>
      <w:r>
        <w:rPr>
          <w:w w:val="95"/>
        </w:rPr>
        <w:t>impacts</w:t>
      </w:r>
      <w:r>
        <w:rPr>
          <w:spacing w:val="-10"/>
          <w:w w:val="95"/>
        </w:rPr>
        <w:t xml:space="preserve"> </w:t>
      </w:r>
      <w:r>
        <w:rPr>
          <w:w w:val="95"/>
        </w:rPr>
        <w:t>on</w:t>
      </w:r>
      <w:r>
        <w:rPr>
          <w:spacing w:val="-10"/>
          <w:w w:val="95"/>
        </w:rPr>
        <w:t xml:space="preserve"> </w:t>
      </w:r>
      <w:r>
        <w:rPr>
          <w:w w:val="95"/>
        </w:rPr>
        <w:t>retail</w:t>
      </w:r>
      <w:r>
        <w:rPr>
          <w:spacing w:val="-10"/>
          <w:w w:val="95"/>
        </w:rPr>
        <w:t xml:space="preserve"> </w:t>
      </w:r>
      <w:r>
        <w:rPr>
          <w:w w:val="95"/>
        </w:rPr>
        <w:t>business</w:t>
      </w:r>
      <w:r>
        <w:rPr>
          <w:spacing w:val="-10"/>
          <w:w w:val="95"/>
        </w:rPr>
        <w:t xml:space="preserve"> </w:t>
      </w:r>
      <w:r>
        <w:rPr>
          <w:w w:val="95"/>
        </w:rPr>
        <w:t>are</w:t>
      </w:r>
      <w:r>
        <w:rPr>
          <w:spacing w:val="-10"/>
          <w:w w:val="95"/>
        </w:rPr>
        <w:t xml:space="preserve"> </w:t>
      </w:r>
      <w:r>
        <w:rPr>
          <w:w w:val="95"/>
        </w:rPr>
        <w:t>also</w:t>
      </w:r>
      <w:r>
        <w:rPr>
          <w:spacing w:val="-10"/>
          <w:w w:val="95"/>
        </w:rPr>
        <w:t xml:space="preserve"> </w:t>
      </w:r>
      <w:r>
        <w:rPr>
          <w:w w:val="95"/>
        </w:rPr>
        <w:t>likely</w:t>
      </w:r>
      <w:r>
        <w:rPr>
          <w:spacing w:val="-10"/>
          <w:w w:val="95"/>
        </w:rPr>
        <w:t xml:space="preserve"> </w:t>
      </w:r>
      <w:r>
        <w:rPr>
          <w:w w:val="95"/>
        </w:rPr>
        <w:t>to</w:t>
      </w:r>
      <w:r>
        <w:rPr>
          <w:spacing w:val="-10"/>
          <w:w w:val="95"/>
        </w:rPr>
        <w:t xml:space="preserve"> </w:t>
      </w:r>
      <w:r>
        <w:rPr>
          <w:w w:val="95"/>
        </w:rPr>
        <w:t>be</w:t>
      </w:r>
      <w:r>
        <w:rPr>
          <w:spacing w:val="-10"/>
          <w:w w:val="95"/>
        </w:rPr>
        <w:t xml:space="preserve"> </w:t>
      </w:r>
      <w:r>
        <w:rPr>
          <w:w w:val="95"/>
        </w:rPr>
        <w:t>significant.</w:t>
      </w:r>
    </w:p>
    <w:p w:rsidR="002C1123" w:rsidRDefault="00F22F94">
      <w:pPr>
        <w:pStyle w:val="BodyText"/>
        <w:spacing w:before="145" w:line="249" w:lineRule="auto"/>
        <w:ind w:left="199" w:right="27"/>
      </w:pPr>
      <w:r>
        <w:t>Given</w:t>
      </w:r>
      <w:r>
        <w:rPr>
          <w:spacing w:val="-14"/>
        </w:rPr>
        <w:t xml:space="preserve"> </w:t>
      </w:r>
      <w:r>
        <w:t>the</w:t>
      </w:r>
      <w:r>
        <w:rPr>
          <w:spacing w:val="-14"/>
        </w:rPr>
        <w:t xml:space="preserve"> </w:t>
      </w:r>
      <w:r>
        <w:t>critical</w:t>
      </w:r>
      <w:r>
        <w:rPr>
          <w:spacing w:val="-14"/>
        </w:rPr>
        <w:t xml:space="preserve"> </w:t>
      </w:r>
      <w:r>
        <w:t>economic</w:t>
      </w:r>
      <w:r>
        <w:rPr>
          <w:spacing w:val="-14"/>
        </w:rPr>
        <w:t xml:space="preserve"> </w:t>
      </w:r>
      <w:r>
        <w:t>importance</w:t>
      </w:r>
      <w:r>
        <w:rPr>
          <w:spacing w:val="-14"/>
        </w:rPr>
        <w:t xml:space="preserve"> </w:t>
      </w:r>
      <w:r>
        <w:t>of</w:t>
      </w:r>
      <w:r>
        <w:rPr>
          <w:spacing w:val="-14"/>
        </w:rPr>
        <w:t xml:space="preserve"> </w:t>
      </w:r>
      <w:r>
        <w:t>maintaining a</w:t>
      </w:r>
      <w:r>
        <w:rPr>
          <w:spacing w:val="-11"/>
        </w:rPr>
        <w:t xml:space="preserve"> </w:t>
      </w:r>
      <w:r>
        <w:t>functional</w:t>
      </w:r>
      <w:r>
        <w:rPr>
          <w:spacing w:val="-11"/>
        </w:rPr>
        <w:t xml:space="preserve"> </w:t>
      </w:r>
      <w:r>
        <w:t>CBD,</w:t>
      </w:r>
      <w:r>
        <w:rPr>
          <w:spacing w:val="-11"/>
        </w:rPr>
        <w:t xml:space="preserve"> </w:t>
      </w:r>
      <w:r>
        <w:t>Infrastructure</w:t>
      </w:r>
      <w:r>
        <w:rPr>
          <w:spacing w:val="-11"/>
        </w:rPr>
        <w:t xml:space="preserve"> </w:t>
      </w:r>
      <w:r>
        <w:t>NSW</w:t>
      </w:r>
      <w:r>
        <w:rPr>
          <w:spacing w:val="-11"/>
        </w:rPr>
        <w:t xml:space="preserve"> </w:t>
      </w:r>
      <w:r>
        <w:t>recommends that</w:t>
      </w:r>
      <w:r>
        <w:rPr>
          <w:spacing w:val="-8"/>
        </w:rPr>
        <w:t xml:space="preserve"> </w:t>
      </w:r>
      <w:r>
        <w:t>priority</w:t>
      </w:r>
      <w:r>
        <w:rPr>
          <w:spacing w:val="-8"/>
        </w:rPr>
        <w:t xml:space="preserve"> </w:t>
      </w:r>
      <w:r>
        <w:t>be</w:t>
      </w:r>
      <w:r>
        <w:rPr>
          <w:spacing w:val="-8"/>
        </w:rPr>
        <w:t xml:space="preserve"> </w:t>
      </w:r>
      <w:r>
        <w:t>given</w:t>
      </w:r>
      <w:r>
        <w:rPr>
          <w:spacing w:val="-8"/>
        </w:rPr>
        <w:t xml:space="preserve"> </w:t>
      </w:r>
      <w:r>
        <w:t>to</w:t>
      </w:r>
      <w:r>
        <w:rPr>
          <w:spacing w:val="-8"/>
        </w:rPr>
        <w:t xml:space="preserve"> </w:t>
      </w:r>
      <w:r>
        <w:t>implementing</w:t>
      </w:r>
      <w:r>
        <w:rPr>
          <w:spacing w:val="-8"/>
        </w:rPr>
        <w:t xml:space="preserve"> </w:t>
      </w:r>
      <w:r>
        <w:t>the</w:t>
      </w:r>
      <w:r>
        <w:rPr>
          <w:spacing w:val="-8"/>
        </w:rPr>
        <w:t xml:space="preserve"> </w:t>
      </w:r>
      <w:r>
        <w:t>short</w:t>
      </w:r>
      <w:r>
        <w:rPr>
          <w:spacing w:val="-8"/>
        </w:rPr>
        <w:t xml:space="preserve"> </w:t>
      </w:r>
      <w:r>
        <w:t>term bus</w:t>
      </w:r>
      <w:r>
        <w:rPr>
          <w:spacing w:val="-11"/>
        </w:rPr>
        <w:t xml:space="preserve"> </w:t>
      </w:r>
      <w:r>
        <w:t>service</w:t>
      </w:r>
      <w:r>
        <w:rPr>
          <w:spacing w:val="-11"/>
        </w:rPr>
        <w:t xml:space="preserve"> </w:t>
      </w:r>
      <w:r>
        <w:t>reforms</w:t>
      </w:r>
      <w:r>
        <w:rPr>
          <w:spacing w:val="-11"/>
        </w:rPr>
        <w:t xml:space="preserve"> </w:t>
      </w:r>
      <w:r>
        <w:t>to</w:t>
      </w:r>
      <w:r>
        <w:rPr>
          <w:spacing w:val="-11"/>
        </w:rPr>
        <w:t xml:space="preserve"> </w:t>
      </w:r>
      <w:r>
        <w:t>relieve</w:t>
      </w:r>
      <w:r>
        <w:rPr>
          <w:spacing w:val="-11"/>
        </w:rPr>
        <w:t xml:space="preserve"> </w:t>
      </w:r>
      <w:r>
        <w:t>CBD</w:t>
      </w:r>
      <w:r>
        <w:rPr>
          <w:spacing w:val="-11"/>
        </w:rPr>
        <w:t xml:space="preserve"> </w:t>
      </w:r>
      <w:r>
        <w:t>bus</w:t>
      </w:r>
      <w:r>
        <w:rPr>
          <w:spacing w:val="-11"/>
        </w:rPr>
        <w:t xml:space="preserve"> </w:t>
      </w:r>
      <w:r>
        <w:t xml:space="preserve">congestion </w:t>
      </w:r>
      <w:r>
        <w:rPr>
          <w:w w:val="95"/>
        </w:rPr>
        <w:t xml:space="preserve">described above and that consideration be given to the concept of a CBD bus rapid transit system as proposed </w:t>
      </w:r>
      <w:r>
        <w:t>below</w:t>
      </w:r>
      <w:r>
        <w:rPr>
          <w:spacing w:val="-7"/>
        </w:rPr>
        <w:t xml:space="preserve"> </w:t>
      </w:r>
      <w:r>
        <w:t>before</w:t>
      </w:r>
      <w:r>
        <w:rPr>
          <w:spacing w:val="-7"/>
        </w:rPr>
        <w:t xml:space="preserve"> </w:t>
      </w:r>
      <w:r>
        <w:t>any</w:t>
      </w:r>
      <w:r>
        <w:rPr>
          <w:spacing w:val="-7"/>
        </w:rPr>
        <w:t xml:space="preserve"> </w:t>
      </w:r>
      <w:r>
        <w:t>commitment</w:t>
      </w:r>
      <w:r>
        <w:rPr>
          <w:spacing w:val="-7"/>
        </w:rPr>
        <w:t xml:space="preserve"> </w:t>
      </w:r>
      <w:r>
        <w:t>is</w:t>
      </w:r>
      <w:r>
        <w:rPr>
          <w:spacing w:val="-7"/>
        </w:rPr>
        <w:t xml:space="preserve"> </w:t>
      </w:r>
      <w:r>
        <w:t>made</w:t>
      </w:r>
      <w:r>
        <w:rPr>
          <w:spacing w:val="-7"/>
        </w:rPr>
        <w:t xml:space="preserve"> </w:t>
      </w:r>
      <w:r>
        <w:t>to</w:t>
      </w:r>
      <w:r>
        <w:rPr>
          <w:spacing w:val="-7"/>
        </w:rPr>
        <w:t xml:space="preserve"> </w:t>
      </w:r>
      <w:r>
        <w:t>introducing light rail into the CBD.</w:t>
      </w:r>
    </w:p>
    <w:p w:rsidR="002C1123" w:rsidRDefault="00F22F94">
      <w:pPr>
        <w:pStyle w:val="BodyText"/>
        <w:spacing w:before="148" w:line="249" w:lineRule="auto"/>
        <w:ind w:left="199" w:right="27"/>
      </w:pPr>
      <w:r>
        <w:t>Sydney’s</w:t>
      </w:r>
      <w:r>
        <w:rPr>
          <w:spacing w:val="-14"/>
        </w:rPr>
        <w:t xml:space="preserve"> </w:t>
      </w:r>
      <w:r>
        <w:t>CBD</w:t>
      </w:r>
      <w:r>
        <w:rPr>
          <w:spacing w:val="-14"/>
        </w:rPr>
        <w:t xml:space="preserve"> </w:t>
      </w:r>
      <w:r>
        <w:t>is</w:t>
      </w:r>
      <w:r>
        <w:rPr>
          <w:spacing w:val="-14"/>
        </w:rPr>
        <w:t xml:space="preserve"> </w:t>
      </w:r>
      <w:r>
        <w:t>extremely</w:t>
      </w:r>
      <w:r>
        <w:rPr>
          <w:spacing w:val="-14"/>
        </w:rPr>
        <w:t xml:space="preserve"> </w:t>
      </w:r>
      <w:r>
        <w:t>congested.</w:t>
      </w:r>
      <w:r>
        <w:rPr>
          <w:spacing w:val="-13"/>
        </w:rPr>
        <w:t xml:space="preserve"> </w:t>
      </w:r>
      <w:r>
        <w:t>Solutions</w:t>
      </w:r>
      <w:r>
        <w:rPr>
          <w:spacing w:val="-14"/>
        </w:rPr>
        <w:t xml:space="preserve"> </w:t>
      </w:r>
      <w:r>
        <w:t xml:space="preserve">that </w:t>
      </w:r>
      <w:r>
        <w:rPr>
          <w:w w:val="95"/>
        </w:rPr>
        <w:t>work</w:t>
      </w:r>
      <w:r>
        <w:rPr>
          <w:spacing w:val="-2"/>
          <w:w w:val="95"/>
        </w:rPr>
        <w:t xml:space="preserve"> </w:t>
      </w:r>
      <w:r>
        <w:rPr>
          <w:w w:val="95"/>
        </w:rPr>
        <w:t>in</w:t>
      </w:r>
      <w:r>
        <w:rPr>
          <w:spacing w:val="-2"/>
          <w:w w:val="95"/>
        </w:rPr>
        <w:t xml:space="preserve"> </w:t>
      </w:r>
      <w:r>
        <w:rPr>
          <w:w w:val="95"/>
        </w:rPr>
        <w:t>low</w:t>
      </w:r>
      <w:r>
        <w:rPr>
          <w:spacing w:val="-2"/>
          <w:w w:val="95"/>
        </w:rPr>
        <w:t xml:space="preserve"> </w:t>
      </w:r>
      <w:r>
        <w:rPr>
          <w:w w:val="95"/>
        </w:rPr>
        <w:t>density</w:t>
      </w:r>
      <w:r>
        <w:rPr>
          <w:spacing w:val="-2"/>
          <w:w w:val="95"/>
        </w:rPr>
        <w:t xml:space="preserve"> </w:t>
      </w:r>
      <w:r>
        <w:rPr>
          <w:w w:val="95"/>
        </w:rPr>
        <w:t>CBDs</w:t>
      </w:r>
      <w:r>
        <w:rPr>
          <w:spacing w:val="-2"/>
          <w:w w:val="95"/>
        </w:rPr>
        <w:t xml:space="preserve"> </w:t>
      </w:r>
      <w:r>
        <w:rPr>
          <w:w w:val="95"/>
        </w:rPr>
        <w:t>such</w:t>
      </w:r>
      <w:r>
        <w:rPr>
          <w:spacing w:val="-2"/>
          <w:w w:val="95"/>
        </w:rPr>
        <w:t xml:space="preserve"> </w:t>
      </w:r>
      <w:r>
        <w:rPr>
          <w:w w:val="95"/>
        </w:rPr>
        <w:t>as</w:t>
      </w:r>
      <w:r>
        <w:rPr>
          <w:spacing w:val="-2"/>
          <w:w w:val="95"/>
        </w:rPr>
        <w:t xml:space="preserve"> </w:t>
      </w:r>
      <w:r>
        <w:rPr>
          <w:w w:val="95"/>
        </w:rPr>
        <w:t>Dublin</w:t>
      </w:r>
      <w:r>
        <w:rPr>
          <w:spacing w:val="-2"/>
          <w:w w:val="95"/>
        </w:rPr>
        <w:t xml:space="preserve"> </w:t>
      </w:r>
      <w:r>
        <w:rPr>
          <w:w w:val="95"/>
        </w:rPr>
        <w:t>or</w:t>
      </w:r>
      <w:r>
        <w:rPr>
          <w:spacing w:val="-2"/>
          <w:w w:val="95"/>
        </w:rPr>
        <w:t xml:space="preserve"> </w:t>
      </w:r>
      <w:r>
        <w:rPr>
          <w:w w:val="95"/>
        </w:rPr>
        <w:t>Amsterdam are</w:t>
      </w:r>
      <w:r>
        <w:rPr>
          <w:spacing w:val="-10"/>
          <w:w w:val="95"/>
        </w:rPr>
        <w:t xml:space="preserve"> </w:t>
      </w:r>
      <w:r>
        <w:rPr>
          <w:w w:val="95"/>
        </w:rPr>
        <w:t>unlikely</w:t>
      </w:r>
      <w:r>
        <w:rPr>
          <w:spacing w:val="-10"/>
          <w:w w:val="95"/>
        </w:rPr>
        <w:t xml:space="preserve"> </w:t>
      </w:r>
      <w:r>
        <w:rPr>
          <w:w w:val="95"/>
        </w:rPr>
        <w:t>to</w:t>
      </w:r>
      <w:r>
        <w:rPr>
          <w:spacing w:val="-10"/>
          <w:w w:val="95"/>
        </w:rPr>
        <w:t xml:space="preserve"> </w:t>
      </w:r>
      <w:r>
        <w:rPr>
          <w:w w:val="95"/>
        </w:rPr>
        <w:t>work</w:t>
      </w:r>
      <w:r>
        <w:rPr>
          <w:spacing w:val="-10"/>
          <w:w w:val="95"/>
        </w:rPr>
        <w:t xml:space="preserve"> </w:t>
      </w:r>
      <w:r>
        <w:rPr>
          <w:w w:val="95"/>
        </w:rPr>
        <w:t>here.</w:t>
      </w:r>
      <w:r>
        <w:rPr>
          <w:spacing w:val="-10"/>
          <w:w w:val="95"/>
        </w:rPr>
        <w:t xml:space="preserve"> </w:t>
      </w:r>
      <w:r>
        <w:rPr>
          <w:w w:val="95"/>
        </w:rPr>
        <w:t>Delivering</w:t>
      </w:r>
      <w:r>
        <w:rPr>
          <w:spacing w:val="-10"/>
          <w:w w:val="95"/>
        </w:rPr>
        <w:t xml:space="preserve"> </w:t>
      </w:r>
      <w:r>
        <w:rPr>
          <w:w w:val="95"/>
        </w:rPr>
        <w:t>light</w:t>
      </w:r>
      <w:r>
        <w:rPr>
          <w:spacing w:val="-10"/>
          <w:w w:val="95"/>
        </w:rPr>
        <w:t xml:space="preserve"> </w:t>
      </w:r>
      <w:r>
        <w:rPr>
          <w:w w:val="95"/>
        </w:rPr>
        <w:t>rail</w:t>
      </w:r>
      <w:r>
        <w:rPr>
          <w:spacing w:val="-10"/>
          <w:w w:val="95"/>
        </w:rPr>
        <w:t xml:space="preserve"> </w:t>
      </w:r>
      <w:r>
        <w:rPr>
          <w:w w:val="95"/>
        </w:rPr>
        <w:t>to</w:t>
      </w:r>
      <w:r>
        <w:rPr>
          <w:spacing w:val="-10"/>
          <w:w w:val="95"/>
        </w:rPr>
        <w:t xml:space="preserve"> </w:t>
      </w:r>
      <w:r>
        <w:rPr>
          <w:w w:val="95"/>
        </w:rPr>
        <w:t xml:space="preserve">Sydney’s CBD is not impossible, but as other cities have learned </w:t>
      </w:r>
      <w:r>
        <w:t>to</w:t>
      </w:r>
      <w:r>
        <w:rPr>
          <w:spacing w:val="-14"/>
        </w:rPr>
        <w:t xml:space="preserve"> </w:t>
      </w:r>
      <w:r>
        <w:t>their</w:t>
      </w:r>
      <w:r>
        <w:rPr>
          <w:spacing w:val="-14"/>
        </w:rPr>
        <w:t xml:space="preserve"> </w:t>
      </w:r>
      <w:r>
        <w:t>cost,</w:t>
      </w:r>
      <w:r>
        <w:rPr>
          <w:spacing w:val="-14"/>
        </w:rPr>
        <w:t xml:space="preserve"> </w:t>
      </w:r>
      <w:r>
        <w:t>an</w:t>
      </w:r>
      <w:r>
        <w:rPr>
          <w:spacing w:val="-14"/>
        </w:rPr>
        <w:t xml:space="preserve"> </w:t>
      </w:r>
      <w:r>
        <w:t>ill-considered</w:t>
      </w:r>
      <w:r>
        <w:rPr>
          <w:spacing w:val="-14"/>
        </w:rPr>
        <w:t xml:space="preserve"> </w:t>
      </w:r>
      <w:r>
        <w:t>light</w:t>
      </w:r>
      <w:r>
        <w:rPr>
          <w:spacing w:val="-14"/>
        </w:rPr>
        <w:t xml:space="preserve"> </w:t>
      </w:r>
      <w:r>
        <w:t>rail</w:t>
      </w:r>
      <w:r>
        <w:rPr>
          <w:spacing w:val="-14"/>
        </w:rPr>
        <w:t xml:space="preserve"> </w:t>
      </w:r>
      <w:r>
        <w:t>plan</w:t>
      </w:r>
      <w:r>
        <w:rPr>
          <w:spacing w:val="-14"/>
        </w:rPr>
        <w:t xml:space="preserve"> </w:t>
      </w:r>
      <w:r>
        <w:t>can</w:t>
      </w:r>
      <w:r>
        <w:rPr>
          <w:spacing w:val="-14"/>
        </w:rPr>
        <w:t xml:space="preserve"> </w:t>
      </w:r>
      <w:r>
        <w:t>lead</w:t>
      </w:r>
      <w:r>
        <w:rPr>
          <w:spacing w:val="-13"/>
        </w:rPr>
        <w:t xml:space="preserve"> </w:t>
      </w:r>
      <w:r>
        <w:t xml:space="preserve">to </w:t>
      </w:r>
      <w:r>
        <w:rPr>
          <w:spacing w:val="-2"/>
        </w:rPr>
        <w:t>years</w:t>
      </w:r>
      <w:r>
        <w:rPr>
          <w:spacing w:val="-6"/>
        </w:rPr>
        <w:t xml:space="preserve"> </w:t>
      </w:r>
      <w:r>
        <w:rPr>
          <w:spacing w:val="-2"/>
        </w:rPr>
        <w:t>of</w:t>
      </w:r>
      <w:r>
        <w:rPr>
          <w:spacing w:val="-6"/>
        </w:rPr>
        <w:t xml:space="preserve"> </w:t>
      </w:r>
      <w:r>
        <w:rPr>
          <w:spacing w:val="-2"/>
        </w:rPr>
        <w:t>disruption</w:t>
      </w:r>
      <w:r>
        <w:rPr>
          <w:spacing w:val="-6"/>
        </w:rPr>
        <w:t xml:space="preserve"> </w:t>
      </w:r>
      <w:r>
        <w:rPr>
          <w:spacing w:val="-2"/>
        </w:rPr>
        <w:t>and</w:t>
      </w:r>
      <w:r>
        <w:rPr>
          <w:spacing w:val="-6"/>
        </w:rPr>
        <w:t xml:space="preserve"> </w:t>
      </w:r>
      <w:r>
        <w:rPr>
          <w:spacing w:val="-2"/>
        </w:rPr>
        <w:t>financial</w:t>
      </w:r>
      <w:r>
        <w:rPr>
          <w:spacing w:val="-6"/>
        </w:rPr>
        <w:t xml:space="preserve"> </w:t>
      </w:r>
      <w:r>
        <w:rPr>
          <w:spacing w:val="-2"/>
        </w:rPr>
        <w:t>disaster,</w:t>
      </w:r>
      <w:r>
        <w:rPr>
          <w:spacing w:val="-6"/>
        </w:rPr>
        <w:t xml:space="preserve"> </w:t>
      </w:r>
      <w:r>
        <w:rPr>
          <w:spacing w:val="-2"/>
        </w:rPr>
        <w:t>for</w:t>
      </w:r>
      <w:r>
        <w:rPr>
          <w:spacing w:val="-6"/>
        </w:rPr>
        <w:t xml:space="preserve"> </w:t>
      </w:r>
      <w:r>
        <w:rPr>
          <w:spacing w:val="-2"/>
        </w:rPr>
        <w:t>example:</w:t>
      </w:r>
    </w:p>
    <w:p w:rsidR="002C1123" w:rsidRDefault="00F22F94">
      <w:pPr>
        <w:pStyle w:val="ListParagraph"/>
        <w:numPr>
          <w:ilvl w:val="0"/>
          <w:numId w:val="88"/>
        </w:numPr>
        <w:tabs>
          <w:tab w:val="left" w:pos="502"/>
        </w:tabs>
        <w:spacing w:before="94" w:line="249" w:lineRule="auto"/>
        <w:ind w:right="724"/>
        <w:rPr>
          <w:sz w:val="20"/>
        </w:rPr>
      </w:pPr>
      <w:r>
        <w:br w:type="column"/>
      </w:r>
      <w:r>
        <w:rPr>
          <w:sz w:val="20"/>
        </w:rPr>
        <w:t>In</w:t>
      </w:r>
      <w:r>
        <w:rPr>
          <w:spacing w:val="-12"/>
          <w:sz w:val="20"/>
        </w:rPr>
        <w:t xml:space="preserve"> </w:t>
      </w:r>
      <w:r>
        <w:rPr>
          <w:sz w:val="20"/>
        </w:rPr>
        <w:t>2008</w:t>
      </w:r>
      <w:r>
        <w:rPr>
          <w:spacing w:val="-12"/>
          <w:sz w:val="20"/>
        </w:rPr>
        <w:t xml:space="preserve"> </w:t>
      </w:r>
      <w:r>
        <w:rPr>
          <w:sz w:val="20"/>
        </w:rPr>
        <w:t>the</w:t>
      </w:r>
      <w:r>
        <w:rPr>
          <w:spacing w:val="-12"/>
          <w:sz w:val="20"/>
        </w:rPr>
        <w:t xml:space="preserve"> </w:t>
      </w:r>
      <w:r>
        <w:rPr>
          <w:sz w:val="20"/>
        </w:rPr>
        <w:t>City</w:t>
      </w:r>
      <w:r>
        <w:rPr>
          <w:spacing w:val="-12"/>
          <w:sz w:val="20"/>
        </w:rPr>
        <w:t xml:space="preserve"> </w:t>
      </w:r>
      <w:r>
        <w:rPr>
          <w:sz w:val="20"/>
        </w:rPr>
        <w:t>of</w:t>
      </w:r>
      <w:r>
        <w:rPr>
          <w:spacing w:val="-12"/>
          <w:sz w:val="20"/>
        </w:rPr>
        <w:t xml:space="preserve"> </w:t>
      </w:r>
      <w:r>
        <w:rPr>
          <w:sz w:val="20"/>
        </w:rPr>
        <w:t>Edinburgh</w:t>
      </w:r>
      <w:r>
        <w:rPr>
          <w:spacing w:val="-12"/>
          <w:sz w:val="20"/>
        </w:rPr>
        <w:t xml:space="preserve"> </w:t>
      </w:r>
      <w:r>
        <w:rPr>
          <w:sz w:val="20"/>
        </w:rPr>
        <w:t>began</w:t>
      </w:r>
      <w:r>
        <w:rPr>
          <w:spacing w:val="-12"/>
          <w:sz w:val="20"/>
        </w:rPr>
        <w:t xml:space="preserve"> </w:t>
      </w:r>
      <w:r>
        <w:rPr>
          <w:sz w:val="20"/>
        </w:rPr>
        <w:t>construction</w:t>
      </w:r>
      <w:r>
        <w:rPr>
          <w:spacing w:val="-12"/>
          <w:sz w:val="20"/>
        </w:rPr>
        <w:t xml:space="preserve"> </w:t>
      </w:r>
      <w:r>
        <w:rPr>
          <w:sz w:val="20"/>
        </w:rPr>
        <w:t xml:space="preserve">of </w:t>
      </w:r>
      <w:r>
        <w:rPr>
          <w:spacing w:val="-2"/>
          <w:sz w:val="20"/>
        </w:rPr>
        <w:t>light</w:t>
      </w:r>
      <w:r>
        <w:rPr>
          <w:spacing w:val="-8"/>
          <w:sz w:val="20"/>
        </w:rPr>
        <w:t xml:space="preserve"> </w:t>
      </w:r>
      <w:r>
        <w:rPr>
          <w:spacing w:val="-2"/>
          <w:sz w:val="20"/>
        </w:rPr>
        <w:t>rail,</w:t>
      </w:r>
      <w:r>
        <w:rPr>
          <w:spacing w:val="-8"/>
          <w:sz w:val="20"/>
        </w:rPr>
        <w:t xml:space="preserve"> </w:t>
      </w:r>
      <w:r>
        <w:rPr>
          <w:spacing w:val="-2"/>
          <w:sz w:val="20"/>
        </w:rPr>
        <w:t>with</w:t>
      </w:r>
      <w:r>
        <w:rPr>
          <w:spacing w:val="-8"/>
          <w:sz w:val="20"/>
        </w:rPr>
        <w:t xml:space="preserve"> </w:t>
      </w:r>
      <w:r>
        <w:rPr>
          <w:spacing w:val="-2"/>
          <w:sz w:val="20"/>
        </w:rPr>
        <w:t>a</w:t>
      </w:r>
      <w:r>
        <w:rPr>
          <w:spacing w:val="-8"/>
          <w:sz w:val="20"/>
        </w:rPr>
        <w:t xml:space="preserve"> </w:t>
      </w:r>
      <w:r>
        <w:rPr>
          <w:spacing w:val="-2"/>
          <w:sz w:val="20"/>
        </w:rPr>
        <w:t>target</w:t>
      </w:r>
      <w:r>
        <w:rPr>
          <w:spacing w:val="-8"/>
          <w:sz w:val="20"/>
        </w:rPr>
        <w:t xml:space="preserve"> </w:t>
      </w:r>
      <w:r>
        <w:rPr>
          <w:spacing w:val="-2"/>
          <w:sz w:val="20"/>
        </w:rPr>
        <w:t>completion</w:t>
      </w:r>
      <w:r>
        <w:rPr>
          <w:spacing w:val="-8"/>
          <w:sz w:val="20"/>
        </w:rPr>
        <w:t xml:space="preserve"> </w:t>
      </w:r>
      <w:r>
        <w:rPr>
          <w:spacing w:val="-2"/>
          <w:sz w:val="20"/>
        </w:rPr>
        <w:t>date</w:t>
      </w:r>
      <w:r>
        <w:rPr>
          <w:spacing w:val="-8"/>
          <w:sz w:val="20"/>
        </w:rPr>
        <w:t xml:space="preserve"> </w:t>
      </w:r>
      <w:r>
        <w:rPr>
          <w:spacing w:val="-2"/>
          <w:sz w:val="20"/>
        </w:rPr>
        <w:t>of</w:t>
      </w:r>
      <w:r>
        <w:rPr>
          <w:spacing w:val="-8"/>
          <w:sz w:val="20"/>
        </w:rPr>
        <w:t xml:space="preserve"> </w:t>
      </w:r>
      <w:r>
        <w:rPr>
          <w:spacing w:val="-2"/>
          <w:sz w:val="20"/>
        </w:rPr>
        <w:t>early</w:t>
      </w:r>
      <w:r>
        <w:rPr>
          <w:spacing w:val="-8"/>
          <w:sz w:val="20"/>
        </w:rPr>
        <w:t xml:space="preserve"> </w:t>
      </w:r>
      <w:r>
        <w:rPr>
          <w:spacing w:val="-2"/>
          <w:sz w:val="20"/>
        </w:rPr>
        <w:t xml:space="preserve">2011. </w:t>
      </w:r>
      <w:r>
        <w:rPr>
          <w:sz w:val="20"/>
        </w:rPr>
        <w:t>The</w:t>
      </w:r>
      <w:r>
        <w:rPr>
          <w:spacing w:val="-14"/>
          <w:sz w:val="20"/>
        </w:rPr>
        <w:t xml:space="preserve"> </w:t>
      </w:r>
      <w:r>
        <w:rPr>
          <w:sz w:val="20"/>
        </w:rPr>
        <w:t>latest</w:t>
      </w:r>
      <w:r>
        <w:rPr>
          <w:spacing w:val="-14"/>
          <w:sz w:val="20"/>
        </w:rPr>
        <w:t xml:space="preserve"> </w:t>
      </w:r>
      <w:r>
        <w:rPr>
          <w:sz w:val="20"/>
        </w:rPr>
        <w:t>completion</w:t>
      </w:r>
      <w:r>
        <w:rPr>
          <w:spacing w:val="-14"/>
          <w:sz w:val="20"/>
        </w:rPr>
        <w:t xml:space="preserve"> </w:t>
      </w:r>
      <w:r>
        <w:rPr>
          <w:sz w:val="20"/>
        </w:rPr>
        <w:t>date</w:t>
      </w:r>
      <w:r>
        <w:rPr>
          <w:spacing w:val="-14"/>
          <w:sz w:val="20"/>
        </w:rPr>
        <w:t xml:space="preserve"> </w:t>
      </w:r>
      <w:r>
        <w:rPr>
          <w:sz w:val="20"/>
        </w:rPr>
        <w:t>is</w:t>
      </w:r>
      <w:r>
        <w:rPr>
          <w:spacing w:val="-14"/>
          <w:sz w:val="20"/>
        </w:rPr>
        <w:t xml:space="preserve"> </w:t>
      </w:r>
      <w:r>
        <w:rPr>
          <w:sz w:val="20"/>
        </w:rPr>
        <w:t>now</w:t>
      </w:r>
      <w:r>
        <w:rPr>
          <w:spacing w:val="-14"/>
          <w:sz w:val="20"/>
        </w:rPr>
        <w:t xml:space="preserve"> </w:t>
      </w:r>
      <w:r>
        <w:rPr>
          <w:sz w:val="20"/>
        </w:rPr>
        <w:t>forecast</w:t>
      </w:r>
      <w:r>
        <w:rPr>
          <w:spacing w:val="-14"/>
          <w:sz w:val="20"/>
        </w:rPr>
        <w:t xml:space="preserve"> </w:t>
      </w:r>
      <w:r>
        <w:rPr>
          <w:sz w:val="20"/>
        </w:rPr>
        <w:t>for</w:t>
      </w:r>
      <w:r>
        <w:rPr>
          <w:spacing w:val="-14"/>
          <w:sz w:val="20"/>
        </w:rPr>
        <w:t xml:space="preserve"> </w:t>
      </w:r>
      <w:r>
        <w:rPr>
          <w:sz w:val="20"/>
        </w:rPr>
        <w:t xml:space="preserve">2014, </w:t>
      </w:r>
      <w:r>
        <w:rPr>
          <w:w w:val="95"/>
          <w:sz w:val="20"/>
        </w:rPr>
        <w:t>with</w:t>
      </w:r>
      <w:r>
        <w:rPr>
          <w:spacing w:val="-6"/>
          <w:w w:val="95"/>
          <w:sz w:val="20"/>
        </w:rPr>
        <w:t xml:space="preserve"> </w:t>
      </w:r>
      <w:r>
        <w:rPr>
          <w:w w:val="95"/>
          <w:sz w:val="20"/>
        </w:rPr>
        <w:t>project</w:t>
      </w:r>
      <w:r>
        <w:rPr>
          <w:spacing w:val="-6"/>
          <w:w w:val="95"/>
          <w:sz w:val="20"/>
        </w:rPr>
        <w:t xml:space="preserve"> </w:t>
      </w:r>
      <w:r>
        <w:rPr>
          <w:w w:val="95"/>
          <w:sz w:val="20"/>
        </w:rPr>
        <w:t>costs,</w:t>
      </w:r>
      <w:r>
        <w:rPr>
          <w:spacing w:val="-6"/>
          <w:w w:val="95"/>
          <w:sz w:val="20"/>
        </w:rPr>
        <w:t xml:space="preserve"> </w:t>
      </w:r>
      <w:r>
        <w:rPr>
          <w:w w:val="95"/>
          <w:sz w:val="20"/>
        </w:rPr>
        <w:t>at</w:t>
      </w:r>
      <w:r>
        <w:rPr>
          <w:spacing w:val="-6"/>
          <w:w w:val="95"/>
          <w:sz w:val="20"/>
        </w:rPr>
        <w:t xml:space="preserve"> </w:t>
      </w:r>
      <w:r>
        <w:rPr>
          <w:w w:val="95"/>
          <w:sz w:val="20"/>
        </w:rPr>
        <w:t>over</w:t>
      </w:r>
      <w:r>
        <w:rPr>
          <w:spacing w:val="-6"/>
          <w:w w:val="95"/>
          <w:sz w:val="20"/>
        </w:rPr>
        <w:t xml:space="preserve"> </w:t>
      </w:r>
      <w:r>
        <w:rPr>
          <w:w w:val="95"/>
          <w:sz w:val="20"/>
        </w:rPr>
        <w:t>$1</w:t>
      </w:r>
      <w:r>
        <w:rPr>
          <w:spacing w:val="-6"/>
          <w:w w:val="95"/>
          <w:sz w:val="20"/>
        </w:rPr>
        <w:t xml:space="preserve"> </w:t>
      </w:r>
      <w:r>
        <w:rPr>
          <w:w w:val="95"/>
          <w:sz w:val="20"/>
        </w:rPr>
        <w:t>billion,</w:t>
      </w:r>
      <w:r>
        <w:rPr>
          <w:spacing w:val="-6"/>
          <w:w w:val="95"/>
          <w:sz w:val="20"/>
        </w:rPr>
        <w:t xml:space="preserve"> </w:t>
      </w:r>
      <w:r>
        <w:rPr>
          <w:w w:val="95"/>
          <w:sz w:val="20"/>
        </w:rPr>
        <w:t>at</w:t>
      </w:r>
      <w:r>
        <w:rPr>
          <w:spacing w:val="-6"/>
          <w:w w:val="95"/>
          <w:sz w:val="20"/>
        </w:rPr>
        <w:t xml:space="preserve"> </w:t>
      </w:r>
      <w:r>
        <w:rPr>
          <w:w w:val="95"/>
          <w:sz w:val="20"/>
        </w:rPr>
        <w:t>three</w:t>
      </w:r>
      <w:r>
        <w:rPr>
          <w:spacing w:val="-6"/>
          <w:w w:val="95"/>
          <w:sz w:val="20"/>
        </w:rPr>
        <w:t xml:space="preserve"> </w:t>
      </w:r>
      <w:r>
        <w:rPr>
          <w:w w:val="95"/>
          <w:sz w:val="20"/>
        </w:rPr>
        <w:t>times</w:t>
      </w:r>
      <w:r>
        <w:rPr>
          <w:spacing w:val="-6"/>
          <w:w w:val="95"/>
          <w:sz w:val="20"/>
        </w:rPr>
        <w:t xml:space="preserve"> </w:t>
      </w:r>
      <w:r>
        <w:rPr>
          <w:w w:val="95"/>
          <w:sz w:val="20"/>
        </w:rPr>
        <w:t xml:space="preserve">the </w:t>
      </w:r>
      <w:r>
        <w:rPr>
          <w:sz w:val="20"/>
        </w:rPr>
        <w:t>original</w:t>
      </w:r>
      <w:r>
        <w:rPr>
          <w:spacing w:val="-11"/>
          <w:sz w:val="20"/>
        </w:rPr>
        <w:t xml:space="preserve"> </w:t>
      </w:r>
      <w:r>
        <w:rPr>
          <w:sz w:val="20"/>
        </w:rPr>
        <w:t>estimate</w:t>
      </w:r>
      <w:r>
        <w:rPr>
          <w:position w:val="7"/>
          <w:sz w:val="11"/>
        </w:rPr>
        <w:t>9</w:t>
      </w:r>
      <w:r>
        <w:rPr>
          <w:sz w:val="20"/>
        </w:rPr>
        <w:t>.</w:t>
      </w:r>
    </w:p>
    <w:p w:rsidR="002C1123" w:rsidRDefault="00F22F94">
      <w:pPr>
        <w:pStyle w:val="ListParagraph"/>
        <w:numPr>
          <w:ilvl w:val="0"/>
          <w:numId w:val="88"/>
        </w:numPr>
        <w:tabs>
          <w:tab w:val="left" w:pos="502"/>
        </w:tabs>
        <w:spacing w:before="132" w:line="249" w:lineRule="auto"/>
        <w:ind w:right="862"/>
        <w:rPr>
          <w:sz w:val="20"/>
        </w:rPr>
      </w:pPr>
      <w:r>
        <w:rPr>
          <w:spacing w:val="-2"/>
          <w:sz w:val="20"/>
        </w:rPr>
        <w:t>Jerusalem</w:t>
      </w:r>
      <w:r>
        <w:rPr>
          <w:spacing w:val="-6"/>
          <w:sz w:val="20"/>
        </w:rPr>
        <w:t xml:space="preserve"> </w:t>
      </w:r>
      <w:r>
        <w:rPr>
          <w:spacing w:val="-2"/>
          <w:sz w:val="20"/>
        </w:rPr>
        <w:t>started</w:t>
      </w:r>
      <w:r>
        <w:rPr>
          <w:spacing w:val="-6"/>
          <w:sz w:val="20"/>
        </w:rPr>
        <w:t xml:space="preserve"> </w:t>
      </w:r>
      <w:r>
        <w:rPr>
          <w:spacing w:val="-2"/>
          <w:sz w:val="20"/>
        </w:rPr>
        <w:t>construction</w:t>
      </w:r>
      <w:r>
        <w:rPr>
          <w:spacing w:val="-6"/>
          <w:sz w:val="20"/>
        </w:rPr>
        <w:t xml:space="preserve"> </w:t>
      </w:r>
      <w:r>
        <w:rPr>
          <w:spacing w:val="-2"/>
          <w:sz w:val="20"/>
        </w:rPr>
        <w:t>of</w:t>
      </w:r>
      <w:r>
        <w:rPr>
          <w:spacing w:val="-6"/>
          <w:sz w:val="20"/>
        </w:rPr>
        <w:t xml:space="preserve"> </w:t>
      </w:r>
      <w:r>
        <w:rPr>
          <w:spacing w:val="-2"/>
          <w:sz w:val="20"/>
        </w:rPr>
        <w:t>light</w:t>
      </w:r>
      <w:r>
        <w:rPr>
          <w:spacing w:val="-6"/>
          <w:sz w:val="20"/>
        </w:rPr>
        <w:t xml:space="preserve"> </w:t>
      </w:r>
      <w:r>
        <w:rPr>
          <w:spacing w:val="-2"/>
          <w:sz w:val="20"/>
        </w:rPr>
        <w:t>rail</w:t>
      </w:r>
      <w:r>
        <w:rPr>
          <w:spacing w:val="-6"/>
          <w:sz w:val="20"/>
        </w:rPr>
        <w:t xml:space="preserve"> </w:t>
      </w:r>
      <w:r>
        <w:rPr>
          <w:spacing w:val="-2"/>
          <w:sz w:val="20"/>
        </w:rPr>
        <w:t>in</w:t>
      </w:r>
      <w:r>
        <w:rPr>
          <w:spacing w:val="-6"/>
          <w:sz w:val="20"/>
        </w:rPr>
        <w:t xml:space="preserve"> </w:t>
      </w:r>
      <w:r>
        <w:rPr>
          <w:spacing w:val="-2"/>
          <w:sz w:val="20"/>
        </w:rPr>
        <w:t xml:space="preserve">2002. </w:t>
      </w:r>
      <w:r>
        <w:rPr>
          <w:sz w:val="20"/>
        </w:rPr>
        <w:t>With</w:t>
      </w:r>
      <w:r>
        <w:rPr>
          <w:spacing w:val="-8"/>
          <w:sz w:val="20"/>
        </w:rPr>
        <w:t xml:space="preserve"> </w:t>
      </w:r>
      <w:r>
        <w:rPr>
          <w:sz w:val="20"/>
        </w:rPr>
        <w:t>repeated</w:t>
      </w:r>
      <w:r>
        <w:rPr>
          <w:spacing w:val="-8"/>
          <w:sz w:val="20"/>
        </w:rPr>
        <w:t xml:space="preserve"> </w:t>
      </w:r>
      <w:r>
        <w:rPr>
          <w:sz w:val="20"/>
        </w:rPr>
        <w:t>delays</w:t>
      </w:r>
      <w:r>
        <w:rPr>
          <w:spacing w:val="-8"/>
          <w:sz w:val="20"/>
        </w:rPr>
        <w:t xml:space="preserve"> </w:t>
      </w:r>
      <w:r>
        <w:rPr>
          <w:sz w:val="20"/>
        </w:rPr>
        <w:t>and</w:t>
      </w:r>
      <w:r>
        <w:rPr>
          <w:spacing w:val="-8"/>
          <w:sz w:val="20"/>
        </w:rPr>
        <w:t xml:space="preserve"> </w:t>
      </w:r>
      <w:r>
        <w:rPr>
          <w:sz w:val="20"/>
        </w:rPr>
        <w:t>a</w:t>
      </w:r>
      <w:r>
        <w:rPr>
          <w:spacing w:val="-8"/>
          <w:sz w:val="20"/>
        </w:rPr>
        <w:t xml:space="preserve"> </w:t>
      </w:r>
      <w:r>
        <w:rPr>
          <w:sz w:val="20"/>
        </w:rPr>
        <w:t>doubling</w:t>
      </w:r>
      <w:r>
        <w:rPr>
          <w:spacing w:val="-8"/>
          <w:sz w:val="20"/>
        </w:rPr>
        <w:t xml:space="preserve"> </w:t>
      </w:r>
      <w:r>
        <w:rPr>
          <w:sz w:val="20"/>
        </w:rPr>
        <w:t>of</w:t>
      </w:r>
      <w:r>
        <w:rPr>
          <w:spacing w:val="-8"/>
          <w:sz w:val="20"/>
        </w:rPr>
        <w:t xml:space="preserve"> </w:t>
      </w:r>
      <w:r>
        <w:rPr>
          <w:sz w:val="20"/>
        </w:rPr>
        <w:t>costs</w:t>
      </w:r>
      <w:r>
        <w:rPr>
          <w:spacing w:val="-8"/>
          <w:sz w:val="20"/>
        </w:rPr>
        <w:t xml:space="preserve"> </w:t>
      </w:r>
      <w:r>
        <w:rPr>
          <w:sz w:val="20"/>
        </w:rPr>
        <w:t xml:space="preserve">to </w:t>
      </w:r>
      <w:r>
        <w:rPr>
          <w:w w:val="95"/>
          <w:sz w:val="20"/>
        </w:rPr>
        <w:t>US$1</w:t>
      </w:r>
      <w:r>
        <w:rPr>
          <w:spacing w:val="-10"/>
          <w:w w:val="95"/>
          <w:sz w:val="20"/>
        </w:rPr>
        <w:t xml:space="preserve"> </w:t>
      </w:r>
      <w:r>
        <w:rPr>
          <w:w w:val="95"/>
          <w:sz w:val="20"/>
        </w:rPr>
        <w:t>billion,</w:t>
      </w:r>
      <w:r>
        <w:rPr>
          <w:spacing w:val="-10"/>
          <w:w w:val="95"/>
          <w:sz w:val="20"/>
        </w:rPr>
        <w:t xml:space="preserve"> </w:t>
      </w:r>
      <w:r>
        <w:rPr>
          <w:w w:val="95"/>
          <w:sz w:val="20"/>
        </w:rPr>
        <w:t>it</w:t>
      </w:r>
      <w:r>
        <w:rPr>
          <w:spacing w:val="-10"/>
          <w:w w:val="95"/>
          <w:sz w:val="20"/>
        </w:rPr>
        <w:t xml:space="preserve"> </w:t>
      </w:r>
      <w:r>
        <w:rPr>
          <w:w w:val="95"/>
          <w:sz w:val="20"/>
        </w:rPr>
        <w:t>took</w:t>
      </w:r>
      <w:r>
        <w:rPr>
          <w:spacing w:val="-10"/>
          <w:w w:val="95"/>
          <w:sz w:val="20"/>
        </w:rPr>
        <w:t xml:space="preserve"> </w:t>
      </w:r>
      <w:r>
        <w:rPr>
          <w:w w:val="95"/>
          <w:sz w:val="20"/>
        </w:rPr>
        <w:t>nine</w:t>
      </w:r>
      <w:r>
        <w:rPr>
          <w:spacing w:val="-10"/>
          <w:w w:val="95"/>
          <w:sz w:val="20"/>
        </w:rPr>
        <w:t xml:space="preserve"> </w:t>
      </w:r>
      <w:r>
        <w:rPr>
          <w:w w:val="95"/>
          <w:sz w:val="20"/>
        </w:rPr>
        <w:t>years</w:t>
      </w:r>
      <w:r>
        <w:rPr>
          <w:spacing w:val="-10"/>
          <w:w w:val="95"/>
          <w:sz w:val="20"/>
        </w:rPr>
        <w:t xml:space="preserve"> </w:t>
      </w:r>
      <w:r>
        <w:rPr>
          <w:w w:val="95"/>
          <w:sz w:val="20"/>
        </w:rPr>
        <w:t>before</w:t>
      </w:r>
      <w:r>
        <w:rPr>
          <w:spacing w:val="-10"/>
          <w:w w:val="95"/>
          <w:sz w:val="20"/>
        </w:rPr>
        <w:t xml:space="preserve"> </w:t>
      </w:r>
      <w:r>
        <w:rPr>
          <w:w w:val="95"/>
          <w:sz w:val="20"/>
        </w:rPr>
        <w:t>it</w:t>
      </w:r>
      <w:r>
        <w:rPr>
          <w:spacing w:val="-10"/>
          <w:w w:val="95"/>
          <w:sz w:val="20"/>
        </w:rPr>
        <w:t xml:space="preserve"> </w:t>
      </w:r>
      <w:r>
        <w:rPr>
          <w:w w:val="95"/>
          <w:sz w:val="20"/>
        </w:rPr>
        <w:t>became</w:t>
      </w:r>
      <w:r>
        <w:rPr>
          <w:spacing w:val="-10"/>
          <w:w w:val="95"/>
          <w:sz w:val="20"/>
        </w:rPr>
        <w:t xml:space="preserve"> </w:t>
      </w:r>
      <w:r>
        <w:rPr>
          <w:w w:val="95"/>
          <w:sz w:val="20"/>
        </w:rPr>
        <w:t xml:space="preserve">fully </w:t>
      </w:r>
      <w:r>
        <w:rPr>
          <w:sz w:val="20"/>
        </w:rPr>
        <w:t>operative</w:t>
      </w:r>
      <w:r>
        <w:rPr>
          <w:spacing w:val="-1"/>
          <w:sz w:val="20"/>
        </w:rPr>
        <w:t xml:space="preserve"> </w:t>
      </w:r>
      <w:r>
        <w:rPr>
          <w:sz w:val="20"/>
        </w:rPr>
        <w:t>in</w:t>
      </w:r>
      <w:r>
        <w:rPr>
          <w:spacing w:val="-1"/>
          <w:sz w:val="20"/>
        </w:rPr>
        <w:t xml:space="preserve"> </w:t>
      </w:r>
      <w:r>
        <w:rPr>
          <w:sz w:val="20"/>
        </w:rPr>
        <w:t>December</w:t>
      </w:r>
      <w:r>
        <w:rPr>
          <w:spacing w:val="-1"/>
          <w:sz w:val="20"/>
        </w:rPr>
        <w:t xml:space="preserve"> </w:t>
      </w:r>
      <w:r>
        <w:rPr>
          <w:sz w:val="20"/>
        </w:rPr>
        <w:t>2011.</w:t>
      </w:r>
    </w:p>
    <w:p w:rsidR="002C1123" w:rsidRDefault="002060EF">
      <w:pPr>
        <w:pStyle w:val="BodyText"/>
        <w:spacing w:before="10"/>
        <w:rPr>
          <w:sz w:val="12"/>
        </w:rPr>
      </w:pPr>
      <w:r>
        <w:pict>
          <v:shape id="docshape1272" o:spid="_x0000_s3981" type="#_x0000_t202" style="position:absolute;margin-left:552.3pt;margin-top:8.65pt;width:239pt;height:69.35pt;z-index:-251383808;mso-wrap-distance-left:0;mso-wrap-distance-right:0;mso-position-horizontal-relative:page" fillcolor="#e1e0e1" stroked="f">
            <v:textbox inset="0,0,0,0">
              <w:txbxContent>
                <w:p w:rsidR="00F22F94" w:rsidRDefault="00F22F94">
                  <w:pPr>
                    <w:pStyle w:val="BodyText"/>
                    <w:spacing w:before="68" w:line="249" w:lineRule="auto"/>
                    <w:ind w:left="113" w:right="115"/>
                    <w:rPr>
                      <w:color w:val="000000"/>
                    </w:rPr>
                  </w:pPr>
                  <w:r>
                    <w:rPr>
                      <w:b/>
                      <w:color w:val="00AEEF"/>
                    </w:rPr>
                    <w:t>Recommendation</w:t>
                  </w:r>
                  <w:r>
                    <w:rPr>
                      <w:b/>
                      <w:color w:val="00AEEF"/>
                      <w:spacing w:val="40"/>
                    </w:rPr>
                    <w:t xml:space="preserve"> </w:t>
                  </w:r>
                  <w:r>
                    <w:rPr>
                      <w:color w:val="000000"/>
                    </w:rPr>
                    <w:t>Given the critical economic importance</w:t>
                  </w:r>
                  <w:r>
                    <w:rPr>
                      <w:color w:val="000000"/>
                      <w:spacing w:val="-5"/>
                    </w:rPr>
                    <w:t xml:space="preserve"> </w:t>
                  </w:r>
                  <w:r>
                    <w:rPr>
                      <w:color w:val="000000"/>
                    </w:rPr>
                    <w:t>of</w:t>
                  </w:r>
                  <w:r>
                    <w:rPr>
                      <w:color w:val="000000"/>
                      <w:spacing w:val="-5"/>
                    </w:rPr>
                    <w:t xml:space="preserve"> </w:t>
                  </w:r>
                  <w:r>
                    <w:rPr>
                      <w:color w:val="000000"/>
                    </w:rPr>
                    <w:t>maintaining</w:t>
                  </w:r>
                  <w:r>
                    <w:rPr>
                      <w:color w:val="000000"/>
                      <w:spacing w:val="-5"/>
                    </w:rPr>
                    <w:t xml:space="preserve"> </w:t>
                  </w:r>
                  <w:r>
                    <w:rPr>
                      <w:color w:val="000000"/>
                    </w:rPr>
                    <w:t>a</w:t>
                  </w:r>
                  <w:r>
                    <w:rPr>
                      <w:color w:val="000000"/>
                      <w:spacing w:val="-5"/>
                    </w:rPr>
                    <w:t xml:space="preserve"> </w:t>
                  </w:r>
                  <w:r>
                    <w:rPr>
                      <w:color w:val="000000"/>
                    </w:rPr>
                    <w:t>functional</w:t>
                  </w:r>
                  <w:r>
                    <w:rPr>
                      <w:color w:val="000000"/>
                      <w:spacing w:val="-5"/>
                    </w:rPr>
                    <w:t xml:space="preserve"> </w:t>
                  </w:r>
                  <w:r>
                    <w:rPr>
                      <w:color w:val="000000"/>
                    </w:rPr>
                    <w:t xml:space="preserve">CBD, </w:t>
                  </w:r>
                  <w:r>
                    <w:rPr>
                      <w:color w:val="000000"/>
                      <w:w w:val="95"/>
                    </w:rPr>
                    <w:t xml:space="preserve">Infrastructure NSW recommends that other solutions </w:t>
                  </w:r>
                  <w:r>
                    <w:rPr>
                      <w:color w:val="000000"/>
                    </w:rPr>
                    <w:t>to bus congestion and capacity be implemented before</w:t>
                  </w:r>
                  <w:r>
                    <w:rPr>
                      <w:color w:val="000000"/>
                      <w:spacing w:val="-11"/>
                    </w:rPr>
                    <w:t xml:space="preserve"> </w:t>
                  </w:r>
                  <w:r>
                    <w:rPr>
                      <w:color w:val="000000"/>
                    </w:rPr>
                    <w:t>any</w:t>
                  </w:r>
                  <w:r>
                    <w:rPr>
                      <w:color w:val="000000"/>
                      <w:spacing w:val="-11"/>
                    </w:rPr>
                    <w:t xml:space="preserve"> </w:t>
                  </w:r>
                  <w:r>
                    <w:rPr>
                      <w:color w:val="000000"/>
                    </w:rPr>
                    <w:t>commitment</w:t>
                  </w:r>
                  <w:r>
                    <w:rPr>
                      <w:color w:val="000000"/>
                      <w:spacing w:val="-11"/>
                    </w:rPr>
                    <w:t xml:space="preserve"> </w:t>
                  </w:r>
                  <w:r>
                    <w:rPr>
                      <w:color w:val="000000"/>
                    </w:rPr>
                    <w:t>is</w:t>
                  </w:r>
                  <w:r>
                    <w:rPr>
                      <w:color w:val="000000"/>
                      <w:spacing w:val="-11"/>
                    </w:rPr>
                    <w:t xml:space="preserve"> </w:t>
                  </w:r>
                  <w:r>
                    <w:rPr>
                      <w:color w:val="000000"/>
                    </w:rPr>
                    <w:t>made</w:t>
                  </w:r>
                  <w:r>
                    <w:rPr>
                      <w:color w:val="000000"/>
                      <w:spacing w:val="-11"/>
                    </w:rPr>
                    <w:t xml:space="preserve"> </w:t>
                  </w:r>
                  <w:r>
                    <w:rPr>
                      <w:color w:val="000000"/>
                    </w:rPr>
                    <w:t>to</w:t>
                  </w:r>
                  <w:r>
                    <w:rPr>
                      <w:color w:val="000000"/>
                      <w:spacing w:val="-11"/>
                    </w:rPr>
                    <w:t xml:space="preserve"> </w:t>
                  </w:r>
                  <w:r>
                    <w:rPr>
                      <w:color w:val="000000"/>
                    </w:rPr>
                    <w:t>CBD</w:t>
                  </w:r>
                  <w:r>
                    <w:rPr>
                      <w:color w:val="000000"/>
                      <w:spacing w:val="-11"/>
                    </w:rPr>
                    <w:t xml:space="preserve"> </w:t>
                  </w:r>
                  <w:r>
                    <w:rPr>
                      <w:color w:val="000000"/>
                    </w:rPr>
                    <w:t>light</w:t>
                  </w:r>
                  <w:r>
                    <w:rPr>
                      <w:color w:val="000000"/>
                      <w:spacing w:val="-11"/>
                    </w:rPr>
                    <w:t xml:space="preserve"> </w:t>
                  </w:r>
                  <w:r>
                    <w:rPr>
                      <w:color w:val="000000"/>
                    </w:rPr>
                    <w:t>rail.</w:t>
                  </w:r>
                </w:p>
              </w:txbxContent>
            </v:textbox>
            <w10:wrap type="topAndBottom" anchorx="page"/>
          </v:shape>
        </w:pict>
      </w:r>
    </w:p>
    <w:p w:rsidR="002C1123" w:rsidRDefault="002C1123">
      <w:pPr>
        <w:pStyle w:val="BodyText"/>
        <w:spacing w:before="2"/>
        <w:rPr>
          <w:sz w:val="22"/>
        </w:rPr>
      </w:pPr>
    </w:p>
    <w:p w:rsidR="002C1123" w:rsidRDefault="00F22F94">
      <w:pPr>
        <w:pStyle w:val="Heading6"/>
        <w:numPr>
          <w:ilvl w:val="2"/>
          <w:numId w:val="92"/>
        </w:numPr>
        <w:tabs>
          <w:tab w:val="left" w:pos="705"/>
        </w:tabs>
        <w:spacing w:before="1" w:line="249" w:lineRule="auto"/>
        <w:ind w:left="704" w:right="1538"/>
        <w:jc w:val="left"/>
        <w:rPr>
          <w:color w:val="00AEEF"/>
        </w:rPr>
      </w:pPr>
      <w:r>
        <w:rPr>
          <w:color w:val="00AEEF"/>
          <w:spacing w:val="-2"/>
        </w:rPr>
        <w:t>CBD</w:t>
      </w:r>
      <w:r>
        <w:rPr>
          <w:color w:val="00AEEF"/>
          <w:spacing w:val="-12"/>
        </w:rPr>
        <w:t xml:space="preserve"> </w:t>
      </w:r>
      <w:r>
        <w:rPr>
          <w:color w:val="00AEEF"/>
          <w:spacing w:val="-2"/>
        </w:rPr>
        <w:t>Bus</w:t>
      </w:r>
      <w:r>
        <w:rPr>
          <w:color w:val="00AEEF"/>
          <w:spacing w:val="-12"/>
        </w:rPr>
        <w:t xml:space="preserve"> </w:t>
      </w:r>
      <w:r>
        <w:rPr>
          <w:color w:val="00AEEF"/>
          <w:spacing w:val="-2"/>
        </w:rPr>
        <w:t>Rapid</w:t>
      </w:r>
      <w:r>
        <w:rPr>
          <w:color w:val="00AEEF"/>
          <w:spacing w:val="-12"/>
        </w:rPr>
        <w:t xml:space="preserve"> </w:t>
      </w:r>
      <w:r>
        <w:rPr>
          <w:color w:val="00AEEF"/>
          <w:spacing w:val="-2"/>
        </w:rPr>
        <w:t>Transit</w:t>
      </w:r>
      <w:r>
        <w:rPr>
          <w:color w:val="00AEEF"/>
          <w:spacing w:val="-12"/>
        </w:rPr>
        <w:t xml:space="preserve"> </w:t>
      </w:r>
      <w:r>
        <w:rPr>
          <w:color w:val="00AEEF"/>
          <w:spacing w:val="-2"/>
        </w:rPr>
        <w:t>and</w:t>
      </w:r>
      <w:r>
        <w:rPr>
          <w:color w:val="00AEEF"/>
          <w:spacing w:val="-12"/>
        </w:rPr>
        <w:t xml:space="preserve"> </w:t>
      </w:r>
      <w:r>
        <w:rPr>
          <w:color w:val="00AEEF"/>
          <w:spacing w:val="-2"/>
        </w:rPr>
        <w:t xml:space="preserve">Upgrades </w:t>
      </w:r>
      <w:r>
        <w:rPr>
          <w:color w:val="00AEEF"/>
        </w:rPr>
        <w:t>to CBD Interchanges</w:t>
      </w:r>
    </w:p>
    <w:p w:rsidR="002C1123" w:rsidRDefault="00F22F94">
      <w:pPr>
        <w:spacing w:before="86"/>
        <w:ind w:left="218"/>
        <w:rPr>
          <w:b/>
          <w:sz w:val="20"/>
        </w:rPr>
      </w:pPr>
      <w:r>
        <w:rPr>
          <w:b/>
          <w:sz w:val="20"/>
        </w:rPr>
        <w:t>The</w:t>
      </w:r>
      <w:r>
        <w:rPr>
          <w:b/>
          <w:spacing w:val="-4"/>
          <w:sz w:val="20"/>
        </w:rPr>
        <w:t xml:space="preserve"> </w:t>
      </w:r>
      <w:r>
        <w:rPr>
          <w:b/>
          <w:spacing w:val="-2"/>
          <w:sz w:val="20"/>
        </w:rPr>
        <w:t>Concept</w:t>
      </w:r>
    </w:p>
    <w:p w:rsidR="002C1123" w:rsidRDefault="00F22F94">
      <w:pPr>
        <w:pStyle w:val="BodyText"/>
        <w:spacing w:before="10" w:line="249" w:lineRule="auto"/>
        <w:ind w:left="218" w:right="674"/>
      </w:pPr>
      <w:r>
        <w:rPr>
          <w:w w:val="95"/>
        </w:rPr>
        <w:t>Given</w:t>
      </w:r>
      <w:r>
        <w:rPr>
          <w:spacing w:val="-9"/>
          <w:w w:val="95"/>
        </w:rPr>
        <w:t xml:space="preserve"> </w:t>
      </w:r>
      <w:r>
        <w:rPr>
          <w:w w:val="95"/>
        </w:rPr>
        <w:t>the</w:t>
      </w:r>
      <w:r>
        <w:rPr>
          <w:spacing w:val="-9"/>
          <w:w w:val="95"/>
        </w:rPr>
        <w:t xml:space="preserve"> </w:t>
      </w:r>
      <w:r>
        <w:rPr>
          <w:w w:val="95"/>
        </w:rPr>
        <w:t>potential</w:t>
      </w:r>
      <w:r>
        <w:rPr>
          <w:spacing w:val="-9"/>
          <w:w w:val="95"/>
        </w:rPr>
        <w:t xml:space="preserve"> </w:t>
      </w:r>
      <w:r>
        <w:rPr>
          <w:w w:val="95"/>
        </w:rPr>
        <w:t>limitations</w:t>
      </w:r>
      <w:r>
        <w:rPr>
          <w:spacing w:val="-9"/>
          <w:w w:val="95"/>
        </w:rPr>
        <w:t xml:space="preserve"> </w:t>
      </w:r>
      <w:r>
        <w:rPr>
          <w:w w:val="95"/>
        </w:rPr>
        <w:t>of</w:t>
      </w:r>
      <w:r>
        <w:rPr>
          <w:spacing w:val="-9"/>
          <w:w w:val="95"/>
        </w:rPr>
        <w:t xml:space="preserve"> </w:t>
      </w:r>
      <w:r>
        <w:rPr>
          <w:w w:val="95"/>
        </w:rPr>
        <w:t>light</w:t>
      </w:r>
      <w:r>
        <w:rPr>
          <w:spacing w:val="-9"/>
          <w:w w:val="95"/>
        </w:rPr>
        <w:t xml:space="preserve"> </w:t>
      </w:r>
      <w:r>
        <w:rPr>
          <w:w w:val="95"/>
        </w:rPr>
        <w:t>rail</w:t>
      </w:r>
      <w:r>
        <w:rPr>
          <w:spacing w:val="-9"/>
          <w:w w:val="95"/>
        </w:rPr>
        <w:t xml:space="preserve"> </w:t>
      </w:r>
      <w:r>
        <w:rPr>
          <w:w w:val="95"/>
        </w:rPr>
        <w:t>as</w:t>
      </w:r>
      <w:r>
        <w:rPr>
          <w:spacing w:val="-9"/>
          <w:w w:val="95"/>
        </w:rPr>
        <w:t xml:space="preserve"> </w:t>
      </w:r>
      <w:r>
        <w:rPr>
          <w:w w:val="95"/>
        </w:rPr>
        <w:t>a</w:t>
      </w:r>
      <w:r>
        <w:rPr>
          <w:spacing w:val="-9"/>
          <w:w w:val="95"/>
        </w:rPr>
        <w:t xml:space="preserve"> </w:t>
      </w:r>
      <w:r>
        <w:rPr>
          <w:w w:val="95"/>
        </w:rPr>
        <w:t>solution</w:t>
      </w:r>
      <w:r>
        <w:rPr>
          <w:spacing w:val="-9"/>
          <w:w w:val="95"/>
        </w:rPr>
        <w:t xml:space="preserve"> </w:t>
      </w:r>
      <w:r>
        <w:rPr>
          <w:w w:val="95"/>
        </w:rPr>
        <w:t>to both urban amenity and mass transit objectives in the CBD, Infrastructure NSW has considered the option of providing more substantial and long-term improvements through</w:t>
      </w:r>
      <w:r>
        <w:rPr>
          <w:spacing w:val="-1"/>
          <w:w w:val="95"/>
        </w:rPr>
        <w:t xml:space="preserve"> </w:t>
      </w:r>
      <w:r>
        <w:rPr>
          <w:w w:val="95"/>
        </w:rPr>
        <w:t>an</w:t>
      </w:r>
      <w:r>
        <w:rPr>
          <w:spacing w:val="-1"/>
          <w:w w:val="95"/>
        </w:rPr>
        <w:t xml:space="preserve"> </w:t>
      </w:r>
      <w:r>
        <w:rPr>
          <w:w w:val="95"/>
        </w:rPr>
        <w:t>underground</w:t>
      </w:r>
      <w:r>
        <w:rPr>
          <w:spacing w:val="-1"/>
          <w:w w:val="95"/>
        </w:rPr>
        <w:t xml:space="preserve"> </w:t>
      </w:r>
      <w:r>
        <w:rPr>
          <w:w w:val="95"/>
        </w:rPr>
        <w:t>CBD</w:t>
      </w:r>
      <w:r>
        <w:rPr>
          <w:spacing w:val="-1"/>
          <w:w w:val="95"/>
        </w:rPr>
        <w:t xml:space="preserve"> </w:t>
      </w:r>
      <w:r>
        <w:rPr>
          <w:w w:val="95"/>
        </w:rPr>
        <w:t>Bus</w:t>
      </w:r>
      <w:r>
        <w:rPr>
          <w:spacing w:val="-1"/>
          <w:w w:val="95"/>
        </w:rPr>
        <w:t xml:space="preserve"> </w:t>
      </w:r>
      <w:r>
        <w:rPr>
          <w:w w:val="95"/>
        </w:rPr>
        <w:t>Rapid</w:t>
      </w:r>
      <w:r>
        <w:rPr>
          <w:spacing w:val="-1"/>
          <w:w w:val="95"/>
        </w:rPr>
        <w:t xml:space="preserve"> </w:t>
      </w:r>
      <w:r>
        <w:rPr>
          <w:w w:val="95"/>
        </w:rPr>
        <w:t>Transit</w:t>
      </w:r>
      <w:r>
        <w:rPr>
          <w:spacing w:val="-1"/>
          <w:w w:val="95"/>
        </w:rPr>
        <w:t xml:space="preserve"> </w:t>
      </w:r>
      <w:r>
        <w:rPr>
          <w:w w:val="95"/>
        </w:rPr>
        <w:t xml:space="preserve">(CBD </w:t>
      </w:r>
      <w:r>
        <w:rPr>
          <w:w w:val="90"/>
        </w:rPr>
        <w:t>BRT) concept, modelled on Brisbane’s successful system.</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280" w:space="40"/>
            <w:col w:w="4969" w:space="39"/>
            <w:col w:w="5732"/>
          </w:cols>
        </w:sectPr>
      </w:pPr>
    </w:p>
    <w:p w:rsidR="002C1123" w:rsidRDefault="002C1123">
      <w:pPr>
        <w:pStyle w:val="BodyText"/>
        <w:spacing w:before="8" w:after="1"/>
        <w:rPr>
          <w:sz w:val="15"/>
        </w:rPr>
      </w:pPr>
    </w:p>
    <w:p w:rsidR="002C1123" w:rsidRDefault="002060EF">
      <w:pPr>
        <w:pStyle w:val="BodyText"/>
        <w:spacing w:line="20" w:lineRule="exact"/>
        <w:ind w:left="492"/>
        <w:rPr>
          <w:sz w:val="2"/>
        </w:rPr>
      </w:pPr>
      <w:r>
        <w:rPr>
          <w:sz w:val="2"/>
        </w:rPr>
      </w:r>
      <w:r>
        <w:rPr>
          <w:sz w:val="2"/>
        </w:rPr>
        <w:pict>
          <v:group id="docshapegroup1273" o:spid="_x0000_s3979" style="width:1in;height:.5pt;mso-position-horizontal-relative:char;mso-position-vertical-relative:line" coordsize="1440,10">
            <v:line id="_x0000_s3980" style="position:absolute" from="0,5" to="1440,5" strokecolor="#9c9c9d" strokeweight=".5pt"/>
            <w10:anchorlock/>
          </v:group>
        </w:pict>
      </w:r>
    </w:p>
    <w:p w:rsidR="002C1123" w:rsidRDefault="002C1123">
      <w:pPr>
        <w:spacing w:line="20" w:lineRule="exact"/>
        <w:rPr>
          <w:sz w:val="2"/>
        </w:rPr>
        <w:sectPr w:rsidR="002C1123">
          <w:type w:val="continuous"/>
          <w:pgSz w:w="16840" w:h="11910" w:orient="landscape"/>
          <w:pgMar w:top="560" w:right="280" w:bottom="280" w:left="500" w:header="0" w:footer="517" w:gutter="0"/>
          <w:cols w:space="720"/>
        </w:sectPr>
      </w:pPr>
    </w:p>
    <w:p w:rsidR="002C1123" w:rsidRDefault="00F22F94">
      <w:pPr>
        <w:pStyle w:val="ListParagraph"/>
        <w:numPr>
          <w:ilvl w:val="0"/>
          <w:numId w:val="90"/>
        </w:numPr>
        <w:tabs>
          <w:tab w:val="left" w:pos="691"/>
        </w:tabs>
        <w:spacing w:before="8" w:line="161" w:lineRule="exact"/>
        <w:ind w:left="690"/>
        <w:jc w:val="both"/>
        <w:rPr>
          <w:sz w:val="14"/>
        </w:rPr>
      </w:pPr>
      <w:r>
        <w:rPr>
          <w:w w:val="95"/>
          <w:sz w:val="14"/>
        </w:rPr>
        <w:t>NSW</w:t>
      </w:r>
      <w:r>
        <w:rPr>
          <w:sz w:val="14"/>
        </w:rPr>
        <w:t xml:space="preserve"> </w:t>
      </w:r>
      <w:r>
        <w:rPr>
          <w:w w:val="95"/>
          <w:sz w:val="14"/>
        </w:rPr>
        <w:t>Government</w:t>
      </w:r>
      <w:r>
        <w:rPr>
          <w:spacing w:val="1"/>
          <w:sz w:val="14"/>
        </w:rPr>
        <w:t xml:space="preserve"> </w:t>
      </w:r>
      <w:r>
        <w:rPr>
          <w:w w:val="95"/>
          <w:sz w:val="14"/>
        </w:rPr>
        <w:t>2012,</w:t>
      </w:r>
      <w:r>
        <w:rPr>
          <w:spacing w:val="1"/>
          <w:sz w:val="14"/>
        </w:rPr>
        <w:t xml:space="preserve"> </w:t>
      </w:r>
      <w:r>
        <w:rPr>
          <w:w w:val="95"/>
          <w:sz w:val="14"/>
        </w:rPr>
        <w:t>Draft</w:t>
      </w:r>
      <w:r>
        <w:rPr>
          <w:spacing w:val="1"/>
          <w:sz w:val="14"/>
        </w:rPr>
        <w:t xml:space="preserve"> </w:t>
      </w:r>
      <w:r>
        <w:rPr>
          <w:w w:val="95"/>
          <w:sz w:val="14"/>
        </w:rPr>
        <w:t>Transport</w:t>
      </w:r>
      <w:r>
        <w:rPr>
          <w:sz w:val="14"/>
        </w:rPr>
        <w:t xml:space="preserve"> </w:t>
      </w:r>
      <w:r>
        <w:rPr>
          <w:w w:val="95"/>
          <w:sz w:val="14"/>
        </w:rPr>
        <w:t>Master</w:t>
      </w:r>
      <w:r>
        <w:rPr>
          <w:spacing w:val="1"/>
          <w:sz w:val="14"/>
        </w:rPr>
        <w:t xml:space="preserve"> </w:t>
      </w:r>
      <w:r>
        <w:rPr>
          <w:spacing w:val="-2"/>
          <w:w w:val="95"/>
          <w:sz w:val="14"/>
        </w:rPr>
        <w:t>Plan.</w:t>
      </w:r>
    </w:p>
    <w:p w:rsidR="002C1123" w:rsidRDefault="00F22F94">
      <w:pPr>
        <w:pStyle w:val="ListParagraph"/>
        <w:numPr>
          <w:ilvl w:val="0"/>
          <w:numId w:val="90"/>
        </w:numPr>
        <w:tabs>
          <w:tab w:val="left" w:pos="691"/>
        </w:tabs>
        <w:ind w:left="690" w:right="38"/>
        <w:jc w:val="both"/>
        <w:rPr>
          <w:sz w:val="14"/>
        </w:rPr>
      </w:pPr>
      <w:r>
        <w:rPr>
          <w:w w:val="95"/>
          <w:sz w:val="14"/>
        </w:rPr>
        <w:t>Based on a calculation of 30 services per hour x 300 passengers per vehicle.</w:t>
      </w:r>
      <w:r>
        <w:rPr>
          <w:spacing w:val="40"/>
          <w:sz w:val="14"/>
        </w:rPr>
        <w:t xml:space="preserve"> </w:t>
      </w:r>
      <w:r>
        <w:rPr>
          <w:w w:val="95"/>
          <w:sz w:val="14"/>
        </w:rPr>
        <w:t>Higher capacity, using 60 metre trams, is not considered feasible in Sydney’s</w:t>
      </w:r>
      <w:r>
        <w:rPr>
          <w:spacing w:val="40"/>
          <w:sz w:val="14"/>
        </w:rPr>
        <w:t xml:space="preserve"> </w:t>
      </w:r>
      <w:r>
        <w:rPr>
          <w:sz w:val="14"/>
        </w:rPr>
        <w:t>CBD,</w:t>
      </w:r>
      <w:r>
        <w:rPr>
          <w:spacing w:val="-6"/>
          <w:sz w:val="14"/>
        </w:rPr>
        <w:t xml:space="preserve"> </w:t>
      </w:r>
      <w:r>
        <w:rPr>
          <w:sz w:val="14"/>
        </w:rPr>
        <w:t>as</w:t>
      </w:r>
      <w:r>
        <w:rPr>
          <w:spacing w:val="-6"/>
          <w:sz w:val="14"/>
        </w:rPr>
        <w:t xml:space="preserve"> </w:t>
      </w:r>
      <w:r>
        <w:rPr>
          <w:sz w:val="14"/>
        </w:rPr>
        <w:t>it</w:t>
      </w:r>
      <w:r>
        <w:rPr>
          <w:spacing w:val="-6"/>
          <w:sz w:val="14"/>
        </w:rPr>
        <w:t xml:space="preserve"> </w:t>
      </w:r>
      <w:r>
        <w:rPr>
          <w:sz w:val="14"/>
        </w:rPr>
        <w:t>would</w:t>
      </w:r>
      <w:r>
        <w:rPr>
          <w:spacing w:val="-6"/>
          <w:sz w:val="14"/>
        </w:rPr>
        <w:t xml:space="preserve"> </w:t>
      </w:r>
      <w:r>
        <w:rPr>
          <w:sz w:val="14"/>
        </w:rPr>
        <w:t>be</w:t>
      </w:r>
      <w:r>
        <w:rPr>
          <w:spacing w:val="-6"/>
          <w:sz w:val="14"/>
        </w:rPr>
        <w:t xml:space="preserve"> </w:t>
      </w:r>
      <w:r>
        <w:rPr>
          <w:sz w:val="14"/>
        </w:rPr>
        <w:t>too</w:t>
      </w:r>
      <w:r>
        <w:rPr>
          <w:spacing w:val="-6"/>
          <w:sz w:val="14"/>
        </w:rPr>
        <w:t xml:space="preserve"> </w:t>
      </w:r>
      <w:r>
        <w:rPr>
          <w:sz w:val="14"/>
        </w:rPr>
        <w:t>obstructive</w:t>
      </w:r>
      <w:r>
        <w:rPr>
          <w:spacing w:val="-6"/>
          <w:sz w:val="14"/>
        </w:rPr>
        <w:t xml:space="preserve"> </w:t>
      </w:r>
      <w:r>
        <w:rPr>
          <w:sz w:val="14"/>
        </w:rPr>
        <w:t>for</w:t>
      </w:r>
      <w:r>
        <w:rPr>
          <w:spacing w:val="-6"/>
          <w:sz w:val="14"/>
        </w:rPr>
        <w:t xml:space="preserve"> </w:t>
      </w:r>
      <w:r>
        <w:rPr>
          <w:sz w:val="14"/>
        </w:rPr>
        <w:t>retail</w:t>
      </w:r>
      <w:r>
        <w:rPr>
          <w:spacing w:val="-6"/>
          <w:sz w:val="14"/>
        </w:rPr>
        <w:t xml:space="preserve"> </w:t>
      </w:r>
      <w:r>
        <w:rPr>
          <w:sz w:val="14"/>
        </w:rPr>
        <w:t>loading</w:t>
      </w:r>
      <w:r>
        <w:rPr>
          <w:spacing w:val="-6"/>
          <w:sz w:val="14"/>
        </w:rPr>
        <w:t xml:space="preserve"> </w:t>
      </w:r>
      <w:r>
        <w:rPr>
          <w:sz w:val="14"/>
        </w:rPr>
        <w:t>/</w:t>
      </w:r>
      <w:r>
        <w:rPr>
          <w:spacing w:val="-6"/>
          <w:sz w:val="14"/>
        </w:rPr>
        <w:t xml:space="preserve"> </w:t>
      </w:r>
      <w:r>
        <w:rPr>
          <w:sz w:val="14"/>
        </w:rPr>
        <w:t>access</w:t>
      </w:r>
      <w:r>
        <w:rPr>
          <w:spacing w:val="-6"/>
          <w:sz w:val="14"/>
        </w:rPr>
        <w:t xml:space="preserve"> </w:t>
      </w:r>
      <w:r>
        <w:rPr>
          <w:sz w:val="14"/>
        </w:rPr>
        <w:t>points.</w:t>
      </w:r>
    </w:p>
    <w:p w:rsidR="002C1123" w:rsidRDefault="00F22F94">
      <w:pPr>
        <w:pStyle w:val="ListParagraph"/>
        <w:numPr>
          <w:ilvl w:val="0"/>
          <w:numId w:val="90"/>
        </w:numPr>
        <w:tabs>
          <w:tab w:val="left" w:pos="691"/>
        </w:tabs>
        <w:spacing w:line="158" w:lineRule="exact"/>
        <w:ind w:left="690"/>
        <w:jc w:val="both"/>
        <w:rPr>
          <w:sz w:val="14"/>
        </w:rPr>
      </w:pPr>
      <w:r>
        <w:rPr>
          <w:w w:val="95"/>
          <w:sz w:val="14"/>
        </w:rPr>
        <w:t>NSW</w:t>
      </w:r>
      <w:r>
        <w:rPr>
          <w:sz w:val="14"/>
        </w:rPr>
        <w:t xml:space="preserve"> </w:t>
      </w:r>
      <w:r>
        <w:rPr>
          <w:w w:val="95"/>
          <w:sz w:val="14"/>
        </w:rPr>
        <w:t>Bureau</w:t>
      </w:r>
      <w:r>
        <w:rPr>
          <w:spacing w:val="1"/>
          <w:sz w:val="14"/>
        </w:rPr>
        <w:t xml:space="preserve"> </w:t>
      </w:r>
      <w:r>
        <w:rPr>
          <w:w w:val="95"/>
          <w:sz w:val="14"/>
        </w:rPr>
        <w:t>of</w:t>
      </w:r>
      <w:r>
        <w:rPr>
          <w:spacing w:val="1"/>
          <w:sz w:val="14"/>
        </w:rPr>
        <w:t xml:space="preserve"> </w:t>
      </w:r>
      <w:r>
        <w:rPr>
          <w:w w:val="95"/>
          <w:sz w:val="14"/>
        </w:rPr>
        <w:t>Transport</w:t>
      </w:r>
      <w:r>
        <w:rPr>
          <w:spacing w:val="1"/>
          <w:sz w:val="14"/>
        </w:rPr>
        <w:t xml:space="preserve"> </w:t>
      </w:r>
      <w:r>
        <w:rPr>
          <w:w w:val="95"/>
          <w:sz w:val="14"/>
        </w:rPr>
        <w:t>Statistics,</w:t>
      </w:r>
      <w:r>
        <w:rPr>
          <w:spacing w:val="1"/>
          <w:sz w:val="14"/>
        </w:rPr>
        <w:t xml:space="preserve"> </w:t>
      </w:r>
      <w:r>
        <w:rPr>
          <w:spacing w:val="-2"/>
          <w:w w:val="95"/>
          <w:sz w:val="14"/>
        </w:rPr>
        <w:t>2011.</w:t>
      </w:r>
    </w:p>
    <w:p w:rsidR="002C1123" w:rsidRDefault="00F22F94">
      <w:pPr>
        <w:rPr>
          <w:sz w:val="20"/>
        </w:rPr>
      </w:pPr>
      <w:r>
        <w:br w:type="column"/>
      </w:r>
    </w:p>
    <w:p w:rsidR="002C1123" w:rsidRDefault="002060EF">
      <w:pPr>
        <w:pStyle w:val="BodyText"/>
        <w:spacing w:before="10"/>
        <w:rPr>
          <w:sz w:val="17"/>
        </w:rPr>
      </w:pPr>
      <w:r>
        <w:pict>
          <v:shape id="docshape1274" o:spid="_x0000_s3978" style="position:absolute;margin-left:552.3pt;margin-top:11.5pt;width:1in;height:.1pt;z-index:-251382784;mso-wrap-distance-left:0;mso-wrap-distance-right:0;mso-position-horizontal-relative:page" coordorigin="11046,230" coordsize="1440,0" path="m11046,230r1440,e" filled="f" strokecolor="#9c9c9d" strokeweight=".5pt">
            <v:path arrowok="t"/>
            <w10:wrap type="topAndBottom" anchorx="page"/>
          </v:shape>
        </w:pict>
      </w:r>
    </w:p>
    <w:p w:rsidR="002C1123" w:rsidRDefault="00F22F94">
      <w:pPr>
        <w:pStyle w:val="ListParagraph"/>
        <w:numPr>
          <w:ilvl w:val="0"/>
          <w:numId w:val="90"/>
        </w:numPr>
        <w:tabs>
          <w:tab w:val="left" w:pos="691"/>
        </w:tabs>
        <w:spacing w:before="23"/>
        <w:ind w:left="690" w:right="715"/>
        <w:jc w:val="left"/>
        <w:rPr>
          <w:sz w:val="14"/>
        </w:rPr>
      </w:pPr>
      <w:r>
        <w:rPr>
          <w:sz w:val="14"/>
        </w:rPr>
        <w:t>British</w:t>
      </w:r>
      <w:r>
        <w:rPr>
          <w:spacing w:val="-3"/>
          <w:sz w:val="14"/>
        </w:rPr>
        <w:t xml:space="preserve"> </w:t>
      </w:r>
      <w:r>
        <w:rPr>
          <w:sz w:val="14"/>
        </w:rPr>
        <w:t>Broadcasting</w:t>
      </w:r>
      <w:r>
        <w:rPr>
          <w:spacing w:val="-3"/>
          <w:sz w:val="14"/>
        </w:rPr>
        <w:t xml:space="preserve"> </w:t>
      </w:r>
      <w:r>
        <w:rPr>
          <w:sz w:val="14"/>
        </w:rPr>
        <w:t>Corporation,</w:t>
      </w:r>
      <w:r>
        <w:rPr>
          <w:spacing w:val="-3"/>
          <w:sz w:val="14"/>
        </w:rPr>
        <w:t xml:space="preserve"> </w:t>
      </w:r>
      <w:r>
        <w:rPr>
          <w:sz w:val="14"/>
        </w:rPr>
        <w:t>accessed</w:t>
      </w:r>
      <w:r>
        <w:rPr>
          <w:spacing w:val="-3"/>
          <w:sz w:val="14"/>
        </w:rPr>
        <w:t xml:space="preserve"> </w:t>
      </w:r>
      <w:r>
        <w:rPr>
          <w:sz w:val="14"/>
        </w:rPr>
        <w:t>at</w:t>
      </w:r>
      <w:r>
        <w:rPr>
          <w:spacing w:val="-3"/>
          <w:sz w:val="14"/>
        </w:rPr>
        <w:t xml:space="preserve"> </w:t>
      </w:r>
      <w:hyperlink r:id="rId152">
        <w:r>
          <w:rPr>
            <w:sz w:val="14"/>
          </w:rPr>
          <w:t>http://www.bbc.co.uk/news/</w:t>
        </w:r>
      </w:hyperlink>
      <w:r>
        <w:rPr>
          <w:spacing w:val="40"/>
          <w:sz w:val="14"/>
        </w:rPr>
        <w:t xml:space="preserve"> </w:t>
      </w:r>
      <w:hyperlink r:id="rId153">
        <w:r>
          <w:rPr>
            <w:spacing w:val="-2"/>
            <w:sz w:val="14"/>
          </w:rPr>
          <w:t>uk-scotland-edinburgh-east-fife-14919826</w:t>
        </w:r>
      </w:hyperlink>
    </w:p>
    <w:p w:rsidR="002C1123" w:rsidRDefault="002C1123">
      <w:pPr>
        <w:rPr>
          <w:sz w:val="14"/>
        </w:rPr>
        <w:sectPr w:rsidR="002C1123">
          <w:type w:val="continuous"/>
          <w:pgSz w:w="16840" w:h="11910" w:orient="landscape"/>
          <w:pgMar w:top="560" w:right="280" w:bottom="280" w:left="500" w:header="0" w:footer="517" w:gutter="0"/>
          <w:cols w:num="2" w:space="720" w:equalWidth="0">
            <w:col w:w="5304" w:space="4749"/>
            <w:col w:w="6007"/>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060EF">
      <w:pPr>
        <w:pStyle w:val="BodyText"/>
        <w:spacing w:before="106"/>
        <w:ind w:left="492"/>
      </w:pPr>
      <w:r>
        <w:pict>
          <v:group id="docshapegroup1275" o:spid="_x0000_s3896" style="position:absolute;left:0;text-align:left;margin-left:300.35pt;margin-top:7.45pt;width:491.95pt;height:411.95pt;z-index:251383808;mso-position-horizontal-relative:page" coordorigin="6007,149" coordsize="9839,8239">
            <v:rect id="docshape1276" o:spid="_x0000_s3977" style="position:absolute;left:12080;top:169;width:3766;height:8202" fillcolor="#e1e0e1" stroked="f"/>
            <v:shape id="docshape1277" o:spid="_x0000_s3976" type="#_x0000_t75" style="position:absolute;left:6007;top:169;width:6089;height:8211">
              <v:imagedata r:id="rId154" o:title=""/>
            </v:shape>
            <v:shape id="docshape1278" o:spid="_x0000_s3975" style="position:absolute;left:8603;top:2848;width:397;height:3377" coordorigin="8603,2849" coordsize="397,3377" path="m9000,6225r-25,-289l8934,5532r-9,-42l8917,5466r-8,-33l8868,5020r-42,-339l8785,4318r-17,-149l8760,4071r-8,-66l8744,3922r-33,-281l8678,3344r-42,-297l8612,2874r-9,-25e" filled="f" strokecolor="#e1e0e1" strokeweight=".41381mm">
              <v:path arrowok="t"/>
            </v:shape>
            <v:shape id="docshape1279" o:spid="_x0000_s3974" style="position:absolute;left:6018;top:966;width:2915;height:6085" coordorigin="6019,967" coordsize="2915,6085" path="m8934,967r,8l8859,1123r-91,207l8727,1445r-91,298l8356,2552r-174,503l8025,3460r-123,355l7852,3963r-25,149l7819,4260r8,91l7852,4582r25,190l7910,5012r25,173l7935,5358r-17,149l7852,5911r-33,83l7786,6101r-33,91l7679,6283r-33,41l7596,6365r-58,50l7472,6456r-41,17l7381,6506r-74,41l7076,6621r-611,223l6300,6919r-223,123l6019,7051e" filled="f" strokecolor="#e1e0e1" strokeweight=".41381mm">
              <v:path arrowok="t"/>
            </v:shape>
            <v:shape id="docshape1280" o:spid="_x0000_s3973" style="position:absolute;left:8752;top:2708;width:496;height:5663" coordorigin="8752,2708" coordsize="496,5663" path="m9247,2708r-8,83l9239,2882r-8,115l9231,3063r-8,100l9206,3352r,17l9198,3484r-8,157l9157,4104r-9,107l9140,4293r-25,405l9115,5045r9,404l9124,5466r33,644l9157,6192r,83l9140,6431r-33,372l9033,7117r-9,49l9000,7249r-9,33l8967,7381r-50,173l8917,7579r-49,165l8835,7876r-50,207l8752,8371e" filled="f" strokecolor="#e1e0e1" strokeweight=".41381mm">
              <v:path arrowok="t"/>
            </v:shape>
            <v:shape id="docshape1281" o:spid="_x0000_s3972" style="position:absolute;left:8173;top:5424;width:1966;height:132" coordorigin="8174,5424" coordsize="1966,132" path="m8174,5556r190,-8l8471,5540r215,-33l8752,5499r173,-9l9082,5474r9,l9124,5466r49,-9l9305,5449r25,l9379,5449r141,l9801,5433r107,l10139,5424e" filled="f" strokecolor="#e1e0e1" strokeweight=".41381mm">
              <v:path arrowok="t"/>
            </v:shape>
            <v:shape id="docshape1282" o:spid="_x0000_s3971" style="position:absolute;left:10758;top:7711;width:91;height:33" coordorigin="10758,7711" coordsize="91,33" path="m10849,7744r-74,-8l10758,7711e" filled="f" strokecolor="#e1e0e1" strokeweight=".41381mm">
              <v:path arrowok="t"/>
            </v:shape>
            <v:shape id="docshape1283" o:spid="_x0000_s3970" style="position:absolute;left:10997;top:3550;width:232;height:25" coordorigin="10998,3550" coordsize="232,25" path="m10998,3550r107,l11229,3575e" filled="f" strokecolor="#e1e0e1" strokeweight=".41381mm">
              <v:path arrowok="t"/>
            </v:shape>
            <v:line id="_x0000_s3969" style="position:absolute" from="11477,6621" to="10915,6539" strokecolor="#e1e0e1" strokeweight=".41381mm"/>
            <v:shape id="docshape1284" o:spid="_x0000_s3968" style="position:absolute;left:10915;top:6514;width:562;height:108" coordorigin="10915,6514" coordsize="562,108" path="m10915,6514r75,17l11477,6621e" filled="f" strokecolor="#e1e0e1" strokeweight=".41381mm">
              <v:path arrowok="t"/>
            </v:shape>
            <v:shape id="docshape1285" o:spid="_x0000_s3967" style="position:absolute;left:8999;top:1841;width:3031;height:2205" coordorigin="9000,1842" coordsize="3031,2205" path="m12030,4046r-83,-25l11658,3905r-156,-82l11345,3724r-99,-75l11196,3583r-99,-156l11023,3303r-25,-91l10973,3096r-8,-132l10998,2766r66,-115l11122,2527r-9,-17l11138,2370r9,-107l11147,2205r-17,-66l11097,2081r-58,-41l10981,2015r-74,-8l10841,1998r-380,-33l9000,1842e" filled="f" strokecolor="#e1e0e1" strokeweight=".41381mm">
              <v:path arrowok="t"/>
            </v:shape>
            <v:shape id="docshape1286" o:spid="_x0000_s3966" style="position:absolute;left:8363;top:2279;width:232;height:554" coordorigin="8364,2279" coordsize="232,554" path="m8372,2832r-8,-33l8364,2750r,-42l8364,2684r8,-25l8380,2609r17,-66l8422,2486r16,-58l8504,2279r-25,99l8463,2419r-8,50l8455,2527r,33l8463,2568r,8l8471,2593r8,16l8479,2626r9,16l8496,2651r8,8l8513,2675r8,9l8529,2692r8,8l8546,2700r8,8l8562,2717r8,l8579,2717r8,l8595,2717e" filled="f" strokecolor="#e1e0e1" strokeweight=".41381mm">
              <v:path arrowok="t"/>
            </v:shape>
            <v:shape id="docshape1287" o:spid="_x0000_s3965" style="position:absolute;left:9173;top:2708;width:67;height:83" coordorigin="9173,2708" coordsize="67,83" path="m9173,2708r25,17l9214,2741r17,42l9239,2791e" filled="f" strokecolor="#e1e0e1" strokeweight=".41381mm">
              <v:path arrowok="t"/>
            </v:shape>
            <v:line id="_x0000_s3964" style="position:absolute" from="8975,991" to="9388,169" strokecolor="#e1e0e1" strokeweight=".41381mm"/>
            <v:shape id="docshape1288" o:spid="_x0000_s3963" style="position:absolute;left:11476;top:6621;width:604;height:111" coordorigin="11477,6621" coordsize="604,111" path="m12080,6732r-17,-3l11774,6679r-297,-58e" filled="f" strokecolor="#e1e0e1" strokeweight=".41381mm">
              <v:path arrowok="t"/>
            </v:shape>
            <v:shape id="docshape1289" o:spid="_x0000_s3962" style="position:absolute;left:7984;top:6282;width:124;height:620" coordorigin="7984,6283" coordsize="124,620" path="m8108,6283r-17,8l8083,6299r-16,17l8050,6332r-8,9l8034,6357r,8l8025,6374r-8,8l8017,6390r,9l8009,6423r,17l8009,6448r,17l8042,6671r,25l8042,6745r-33,91l7984,6902e" filled="f" strokecolor="#e1e0e1" strokeweight=".41381mm">
              <v:path arrowok="t"/>
            </v:shape>
            <v:shape id="docshape1290" o:spid="_x0000_s3961" style="position:absolute;left:8074;top:4681;width:1041;height:66" coordorigin="8075,4681" coordsize="1041,66" path="m8075,4747r305,-24l8471,4723r124,-17l8785,4690r41,-9l8868,4681r206,9l9115,4698e" filled="f" strokecolor="#e1e0e1" strokeweight=".41381mm">
              <v:path arrowok="t"/>
            </v:shape>
            <v:shape id="docshape1291" o:spid="_x0000_s3960" style="position:absolute;left:8107;top:6200;width:1049;height:83" coordorigin="8108,6200" coordsize="1049,83" path="m8108,6283r16,-8l8248,6258r174,-16l8562,6225r165,-16l8760,6209r33,-9l8851,6209r58,l8967,6217r33,8l9132,6258r16,8l9157,6275e" filled="f" strokecolor="#e1e0e1" strokeweight=".41381mm">
              <v:path arrowok="t"/>
            </v:shape>
            <v:shape id="docshape1292" o:spid="_x0000_s3959" type="#_x0000_t75" style="position:absolute;left:10845;top:3398;width:164;height:164">
              <v:imagedata r:id="rId155" o:title=""/>
            </v:shape>
            <v:shape id="docshape1293" o:spid="_x0000_s3958" style="position:absolute;left:8826;top:933;width:3254;height:3047" coordorigin="8826,934" coordsize="3254,3047" path="m8983,934r8,8l8975,991r-66,182l8843,1404r-17,74l8826,1569r17,66l8892,1726r58,41l9016,1800r66,9l10891,1974r74,16l11023,2015r49,17l11138,2056r58,58l11221,2164r8,41l11229,2271r-17,99l11196,2436r-33,83l11155,2535r-42,91l11039,2766r-33,190l11006,3072r25,124l11056,3295r74,123l11196,3509r91,116l11402,3699r108,50l11617,3806r347,124l12080,3980e" filled="f" strokecolor="#e1e0e1" strokeweight=".41381mm">
              <v:path arrowok="t"/>
            </v:shape>
            <v:shape id="docshape1294" o:spid="_x0000_s3957" style="position:absolute;left:6018;top:7017;width:687;height:1354" coordorigin="6019,7018" coordsize="687,1354" path="m6706,8371l6589,8140r-42,-82l6333,7637r-17,-33l6052,7084r-25,-50l6019,7018e" filled="f" strokecolor="#e1e0e1" strokeweight=".41381mm">
              <v:path arrowok="t"/>
            </v:shape>
            <v:shape id="docshape1295" o:spid="_x0000_s3956" style="position:absolute;left:8504;top:1742;width:133;height:537" coordorigin="8504,1743" coordsize="133,537" path="m8504,2279r33,-91l8579,2048r8,-91l8636,1743e" filled="f" strokecolor="#e1e0e1" strokeweight=".41381mm">
              <v:path arrowok="t"/>
            </v:shape>
            <v:shape id="docshape1296" o:spid="_x0000_s3955" style="position:absolute;left:8570;top:1519;width:223;height:1181" coordorigin="8570,1520" coordsize="223,1181" path="m8785,1520r-8,231l8760,1833r-16,66l8719,1965r-41,166l8636,2271r-41,115l8579,2452r-9,66l8570,2576r,33l8587,2651r16,24l8628,2684r83,16e" filled="f" strokecolor="#e1e0e1" strokeweight=".41381mm">
              <v:path arrowok="t"/>
            </v:shape>
            <v:shape id="docshape1297" o:spid="_x0000_s3954" style="position:absolute;left:7851;top:933;width:1132;height:4838" coordorigin="7852,934" coordsize="1132,4838" path="m8983,934r-132,297l8810,1363r-25,157l8768,1553r-49,214l8628,2131r-49,148l8488,2510r-141,297l8224,3047r-190,503l7943,3798r-41,132l7877,3996r-9,66l7860,4186r-8,124l7860,4417r58,306l7959,4921r33,198l7984,5482r41,289e" filled="f" strokecolor="#e1e0e1" strokeweight=".41381mm">
              <v:path arrowok="t"/>
            </v:shape>
            <v:shape id="docshape1298" o:spid="_x0000_s3953" style="position:absolute;left:10758;top:7702;width:108;height:17" coordorigin="10758,7703" coordsize="108,17" path="m10758,7711r33,-8l10866,7719e" filled="f" strokecolor="#e1e0e1" strokeweight=".41381mm">
              <v:path arrowok="t"/>
            </v:shape>
            <v:line id="_x0000_s3952" style="position:absolute" from="9363,169" to="8983,934" strokecolor="#e1e0e1" strokeweight=".41381mm"/>
            <v:shape id="docshape1299" o:spid="_x0000_s3951" style="position:absolute;left:10832;top:2716;width:91;height:917" coordorigin="10833,2717" coordsize="91,917" path="m10924,2717r-9,90l10866,3385r-9,25l10841,3550r-8,83e" filled="f" strokecolor="#e1e0e1" strokeweight=".41381mm">
              <v:path arrowok="t"/>
            </v:shape>
            <v:shape id="docshape1300" o:spid="_x0000_s3950" style="position:absolute;left:10841;top:1990;width:413;height:653" coordorigin="10841,1990" coordsize="413,653" path="m10965,1990r25,l11089,2015r49,25l11204,2089r33,50l11254,2205r,66l11246,2370r-42,107l11179,2543r-32,66l11122,2626r-66,16l11014,2642r-24,l10932,2634r-17,-8l10940,2626r17,-8l11006,2593r17,-8l11039,2585r17,-33l11097,2461r16,-99l11122,2279r-9,-66l11097,2147r-74,-82l10907,2015r-66,-17e" filled="f" strokecolor="#e1e0e1" strokeweight=".41381mm">
              <v:path arrowok="t"/>
            </v:shape>
            <v:shape id="docshape1301" o:spid="_x0000_s3949" style="position:absolute;left:11229;top:3575;width:735;height:355" coordorigin="11229,3575" coordsize="735,355" path="m11229,3575r83,17l11394,3625r66,41l11510,3699r132,74l11964,3930e" filled="f" strokecolor="#e1e0e1" strokeweight=".41381mm">
              <v:path arrowok="t"/>
            </v:shape>
            <v:shape id="docshape1302" o:spid="_x0000_s3948" style="position:absolute;left:6051;top:6497;width:1842;height:587" coordorigin="6052,6498" coordsize="1842,587" path="m7893,6498r-148,107l7670,6654r-99,50l7423,6762r-99,24l7224,6803r-165,25l6803,6852r-214,34l6440,6927r-297,115l6052,7084e" filled="f" strokecolor="#e1e0e1" strokeweight=".41381mm">
              <v:path arrowok="t"/>
            </v:shape>
            <v:shape id="docshape1303" o:spid="_x0000_s3947" style="position:absolute;left:6018;top:6241;width:1982;height:857" coordorigin="6019,6242" coordsize="1982,857" path="m8001,6242r-66,165l7893,6498r-33,66l7769,6638r-99,58l7588,6737r-108,41l7390,6811r-157,33l7051,6869r-586,99l6341,7001r-231,74l6052,7092r-33,7e" filled="f" strokecolor="#e1e0e1" strokeweight=".41381mm">
              <v:path arrowok="t"/>
            </v:shape>
            <v:shape id="docshape1304" o:spid="_x0000_s3946" style="position:absolute;left:8595;top:2700;width:578;height:17" coordorigin="8595,2700" coordsize="578,17" path="m9173,2708r-66,-8l8901,2700r-190,l8595,2717e" filled="f" strokecolor="#e1e0e1" strokeweight=".41381mm">
              <v:path arrowok="t"/>
            </v:shape>
            <v:shape id="docshape1305" o:spid="_x0000_s3945" style="position:absolute;left:8041;top:6695;width:1974;height:199" coordorigin="8042,6696" coordsize="1974,199" path="m8042,6696r41,8l8141,6704r132,16l8314,6720r314,34l9082,6795r25,8l9454,6836r25,l9792,6869r223,25e" filled="f" strokecolor="#e1e0e1" strokeweight=".41381mm">
              <v:path arrowok="t"/>
            </v:shape>
            <v:shape id="docshape1306" o:spid="_x0000_s3944" style="position:absolute;left:9892;top:5259;width:264;height:3112" coordorigin="9893,5259" coordsize="264,3112" path="m10156,5259r-9,66l10139,5424r-82,950l10057,6399r,32l10015,6894r-74,817l9924,7901r-16,272l9900,8289r-7,82e" filled="f" strokecolor="#e1e0e1" strokeweight=".41381mm">
              <v:path arrowok="t"/>
            </v:shape>
            <v:shape id="docshape1307" o:spid="_x0000_s3943" style="position:absolute;left:9940;top:7702;width:818;height:9" coordorigin="9941,7703" coordsize="818,9" path="m9941,7711r248,-8l10370,7703r9,l10453,7703r198,l10758,7711e" filled="f" strokecolor="#e1e0e1" strokeweight=".41381mm">
              <v:path arrowok="t"/>
            </v:shape>
            <v:line id="_x0000_s3942" style="position:absolute" from="10816,3542" to="10841,3550" strokecolor="#e1e0e1" strokeweight=".41381mm"/>
            <v:shape id="docshape1308" o:spid="_x0000_s3941" style="position:absolute;left:10667;top:2625;width:256;height:2461" coordorigin="10668,2626" coordsize="256,2461" path="m10833,3633r,25l10808,3856r,25l10758,4359r,42l10701,5012r-9,57l10676,5086r-8,-25l10668,5012r57,-611l10734,4351r49,-470l10783,3856r25,-198l10816,3542r17,-165l10891,2807r,-74l10915,2626r9,91e" filled="f" strokecolor="#e1e0e1" strokeweight=".41381mm">
              <v:path arrowok="t"/>
            </v:shape>
            <v:shape id="docshape1309" o:spid="_x0000_s3940" style="position:absolute;left:10841;top:3542;width:157;height:9" coordorigin="10841,3542" coordsize="157,9" path="m10841,3550r8,l10899,3542r58,l10998,3550e" filled="f" strokecolor="#e1e0e1" strokeweight=".41381mm">
              <v:path arrowok="t"/>
            </v:shape>
            <v:shape id="docshape1310" o:spid="_x0000_s3939" style="position:absolute;left:6803;top:6472;width:628;height:199" coordorigin="6803,6473" coordsize="628,199" path="m6803,6671r83,-25l6969,6621r99,-33l7373,6498r58,-25e" filled="f" strokecolor="#e1e0e1" strokeweight=".41381mm">
              <v:path arrowok="t"/>
            </v:shape>
            <v:shape id="docshape1311" o:spid="_x0000_s3938" style="position:absolute;left:6076;top:6670;width:1966;height:372" coordorigin="6077,6671" coordsize="1966,372" path="m8042,6696r-223,-9l7703,6671r-231,16l7150,6737r-181,41l6696,6836r-190,50l6382,6927r-148,58l6077,7042e" filled="f" strokecolor="#e1e0e1" strokeweight=".41381mm">
              <v:path arrowok="t"/>
            </v:shape>
            <v:line id="_x0000_s3937" style="position:absolute" from="8595,2717" to="8603,2849" strokecolor="#e1e0e1" strokeweight=".41381mm"/>
            <v:shape id="docshape1312" o:spid="_x0000_s3936" style="position:absolute;left:8372;top:2708;width:232;height:141" coordorigin="8372,2708" coordsize="232,141" path="m8372,2832r8,-25l8380,2758r25,-33l8430,2708r16,l8463,2708r8,l8488,2708r33,25l8546,2750r57,99e" filled="f" strokecolor="#e1e0e1" strokeweight=".41381mm">
              <v:path arrowok="t"/>
            </v:shape>
            <v:shape id="docshape1313" o:spid="_x0000_s3935" style="position:absolute;left:8240;top:966;width:694;height:900" coordorigin="8240,967" coordsize="694,900" path="m8546,1577r-25,-16l8513,1553r-17,-9l8488,1544r-17,-8l8463,1536r-8,-8l8430,1528r-41,l8372,1528r-25,8l8331,1544r-8,l8314,1553r-8,l8298,1561r-41,49l8248,1627r,8l8240,1652r,25l8240,1701r,17l8240,1726r8,25l8257,1767r8,17l8281,1809r9,8l8298,1817r8,8l8314,1833r17,17l8356,1858r16,l8397,1866r25,l8455,1858r24,-8l8488,1842r8,-9l8504,1833r9,-8l8521,1817r8,-8l8529,1800r17,-16l8579,1726r24,-140l8628,1487r41,-83l8768,1247,8934,967e" filled="f" strokecolor="#e1e0e1" strokeweight=".41381mm">
              <v:path arrowok="t"/>
            </v:shape>
            <v:shape id="docshape1314" o:spid="_x0000_s3934" style="position:absolute;left:10155;top:5077;width:413;height:182" coordorigin="10156,5078" coordsize="413,182" path="m10156,5259r41,-41l10213,5202r17,-17l10238,5177r25,-17l10296,5144r25,-17l10354,5111r8,-9l10387,5102r8,-8l10420,5086r33,l10478,5078r33,l10552,5078r17,e" filled="f" strokecolor="#e1e0e1" strokeweight=".41381mm">
              <v:path arrowok="t"/>
            </v:shape>
            <v:line id="_x0000_s3933" style="position:absolute" from="9321,169" to="8934,967" strokecolor="#e1e0e1" strokeweight=".41381mm"/>
            <v:shape id="docshape1315" o:spid="_x0000_s3932" style="position:absolute;left:9156;top:6274;width:1759;height:265" coordorigin="9157,6275" coordsize="1759,265" path="m10915,6539r-24,l10816,6522r-314,-49l10057,6399r-223,-25l9503,6341r-272,-42l9157,6275r24,l9503,6308r331,41l10057,6374r445,74l10891,6514r24,e" filled="f" strokecolor="#e1e0e1" strokeweight=".41381mm">
              <v:path arrowok="t"/>
            </v:shape>
            <v:shape id="docshape1316" o:spid="_x0000_s3931" style="position:absolute;left:9239;top:2617;width:1677;height:207" coordorigin="9239,2618" coordsize="1677,207" path="m9512,2816r115,-17l9702,2791r165,-17l10139,2741r215,-24l10602,2684r280,-33l10915,2626r-24,-8l10610,2659r-256,25l10139,2708r-272,33l9702,2766r-314,33l9338,2799r-66,-16l9239,2791r33,25l9330,2824r58,l9512,2816e" filled="f" strokecolor="#e1e0e1" strokeweight=".41381mm">
              <v:path arrowok="t"/>
            </v:shape>
            <v:shape id="docshape1317" o:spid="_x0000_s3930" style="position:absolute;left:10832;top:3583;width:157;height:50" coordorigin="10833,3583" coordsize="157,50" path="m10990,3583r-9,9l10957,3592r-42,l10882,3600r-33,16l10833,3633e" filled="f" strokecolor="#e1e0e1" strokeweight=".41381mm">
              <v:path arrowok="t"/>
            </v:shape>
            <v:shape id="docshape1318" o:spid="_x0000_s3929" style="position:absolute;left:8372;top:2832;width:389;height:3377" coordorigin="8372,2832" coordsize="389,3377" path="m8372,2832r8,58l8389,2956r,25l8397,3030r8,58l8438,3369r17,124l8504,3955r42,380l8595,4706r58,570l8686,5507r,49l8727,5953r33,256e" filled="f" strokecolor="#e1e0e1" strokeweight=".41381mm">
              <v:path arrowok="t"/>
            </v:shape>
            <v:shape id="docshape1319" o:spid="_x0000_s3928" style="position:absolute;left:10923;top:2642;width:133;height:75" coordorigin="10924,2642" coordsize="133,75" path="m11056,2642r,9l11006,2667r-33,8l10948,2692r-16,16l10924,2717e" filled="f" strokecolor="#e1e0e1" strokeweight=".41381mm">
              <v:path arrowok="t"/>
            </v:shape>
            <v:shape id="docshape1320" o:spid="_x0000_s3927" style="position:absolute;left:10849;top:7744;width:674;height:628" coordorigin="10849,7744" coordsize="674,628" path="m10849,7744r165,149l11097,7975r182,174l11320,8182r116,107l11522,8371e" filled="f" strokecolor="#e1e0e1" strokeweight=".41381mm">
              <v:path arrowok="t"/>
            </v:shape>
            <v:shape id="docshape1321" o:spid="_x0000_s3926" type="#_x0000_t75" style="position:absolute;left:7631;top:149;width:4465;height:8239">
              <v:imagedata r:id="rId156" o:title=""/>
            </v:shape>
            <v:shape id="docshape1322" o:spid="_x0000_s3925" type="#_x0000_t75" style="position:absolute;left:12297;top:311;width:220;height:220">
              <v:imagedata r:id="rId83" o:title=""/>
            </v:shape>
            <v:shape id="docshape1323" o:spid="_x0000_s3924" type="#_x0000_t75" style="position:absolute;left:12297;top:611;width:220;height:220">
              <v:imagedata r:id="rId157" o:title=""/>
            </v:shape>
            <v:shape id="docshape1324" o:spid="_x0000_s3923" type="#_x0000_t75" style="position:absolute;left:12297;top:1091;width:220;height:220">
              <v:imagedata r:id="rId81" o:title=""/>
            </v:shape>
            <v:shape id="docshape1325" o:spid="_x0000_s3922" type="#_x0000_t75" style="position:absolute;left:12297;top:1571;width:220;height:220">
              <v:imagedata r:id="rId81" o:title=""/>
            </v:shape>
            <v:shape id="docshape1326" o:spid="_x0000_s3921" type="#_x0000_t75" style="position:absolute;left:12297;top:1866;width:220;height:220">
              <v:imagedata r:id="rId158" o:title=""/>
            </v:shape>
            <v:shape id="docshape1327" o:spid="_x0000_s3920" type="#_x0000_t75" style="position:absolute;left:12297;top:2169;width:220;height:220">
              <v:imagedata r:id="rId83" o:title=""/>
            </v:shape>
            <v:shape id="docshape1328" o:spid="_x0000_s3919" type="#_x0000_t75" style="position:absolute;left:12297;top:2648;width:220;height:220">
              <v:imagedata r:id="rId81" o:title=""/>
            </v:shape>
            <v:shape id="docshape1329" o:spid="_x0000_s3918" type="#_x0000_t75" style="position:absolute;left:12297;top:3126;width:220;height:220">
              <v:imagedata r:id="rId157" o:title=""/>
            </v:shape>
            <v:shape id="docshape1330" o:spid="_x0000_s3917" type="#_x0000_t75" style="position:absolute;left:12297;top:3426;width:220;height:220">
              <v:imagedata r:id="rId159" o:title=""/>
            </v:shape>
            <v:shape id="docshape1331" o:spid="_x0000_s3916" type="#_x0000_t202" style="position:absolute;left:6132;top:276;width:3222;height:215" filled="f" stroked="f">
              <v:textbox inset="0,0,0,0">
                <w:txbxContent>
                  <w:p w:rsidR="00F22F94" w:rsidRDefault="00F22F94">
                    <w:pPr>
                      <w:spacing w:before="6"/>
                      <w:rPr>
                        <w:b/>
                        <w:sz w:val="18"/>
                      </w:rPr>
                    </w:pPr>
                    <w:r>
                      <w:rPr>
                        <w:b/>
                        <w:sz w:val="18"/>
                      </w:rPr>
                      <w:t>Figure</w:t>
                    </w:r>
                    <w:r>
                      <w:rPr>
                        <w:b/>
                        <w:spacing w:val="-8"/>
                        <w:sz w:val="18"/>
                      </w:rPr>
                      <w:t xml:space="preserve"> </w:t>
                    </w:r>
                    <w:r>
                      <w:rPr>
                        <w:b/>
                        <w:sz w:val="18"/>
                      </w:rPr>
                      <w:t>7.2</w:t>
                    </w:r>
                    <w:r>
                      <w:rPr>
                        <w:b/>
                        <w:spacing w:val="36"/>
                        <w:sz w:val="18"/>
                      </w:rPr>
                      <w:t xml:space="preserve"> </w:t>
                    </w:r>
                    <w:r>
                      <w:rPr>
                        <w:b/>
                        <w:sz w:val="18"/>
                      </w:rPr>
                      <w:t>Sydney</w:t>
                    </w:r>
                    <w:r>
                      <w:rPr>
                        <w:b/>
                        <w:spacing w:val="-7"/>
                        <w:sz w:val="18"/>
                      </w:rPr>
                      <w:t xml:space="preserve"> </w:t>
                    </w:r>
                    <w:r>
                      <w:rPr>
                        <w:b/>
                        <w:sz w:val="18"/>
                      </w:rPr>
                      <w:t>CBD</w:t>
                    </w:r>
                    <w:r>
                      <w:rPr>
                        <w:b/>
                        <w:spacing w:val="-7"/>
                        <w:sz w:val="18"/>
                      </w:rPr>
                      <w:t xml:space="preserve"> </w:t>
                    </w:r>
                    <w:r>
                      <w:rPr>
                        <w:b/>
                        <w:sz w:val="18"/>
                      </w:rPr>
                      <w:t>BRT</w:t>
                    </w:r>
                    <w:r>
                      <w:rPr>
                        <w:b/>
                        <w:spacing w:val="-7"/>
                        <w:sz w:val="18"/>
                      </w:rPr>
                      <w:t xml:space="preserve"> </w:t>
                    </w:r>
                    <w:r>
                      <w:rPr>
                        <w:b/>
                        <w:spacing w:val="-2"/>
                        <w:sz w:val="18"/>
                      </w:rPr>
                      <w:t>Concept</w:t>
                    </w:r>
                  </w:p>
                </w:txbxContent>
              </v:textbox>
            </v:shape>
            <v:shape id="docshape1332" o:spid="_x0000_s3915" type="#_x0000_t202" style="position:absolute;left:8932;top:932;width:93;height:156" filled="f" stroked="f">
              <v:textbox inset="0,0,0,0">
                <w:txbxContent>
                  <w:p w:rsidR="00F22F94" w:rsidRDefault="00F22F94">
                    <w:pPr>
                      <w:spacing w:before="5"/>
                      <w:rPr>
                        <w:b/>
                        <w:sz w:val="13"/>
                      </w:rPr>
                    </w:pPr>
                    <w:r>
                      <w:rPr>
                        <w:b/>
                        <w:w w:val="99"/>
                        <w:sz w:val="13"/>
                      </w:rPr>
                      <w:t>1</w:t>
                    </w:r>
                  </w:p>
                </w:txbxContent>
              </v:textbox>
            </v:shape>
            <v:shape id="docshape1333" o:spid="_x0000_s3914" type="#_x0000_t202" style="position:absolute;left:8647;top:2324;width:93;height:156" filled="f" stroked="f">
              <v:textbox inset="0,0,0,0">
                <w:txbxContent>
                  <w:p w:rsidR="00F22F94" w:rsidRDefault="00F22F94">
                    <w:pPr>
                      <w:spacing w:before="5"/>
                      <w:rPr>
                        <w:b/>
                        <w:sz w:val="13"/>
                      </w:rPr>
                    </w:pPr>
                    <w:r>
                      <w:rPr>
                        <w:b/>
                        <w:w w:val="99"/>
                        <w:sz w:val="13"/>
                      </w:rPr>
                      <w:t>2</w:t>
                    </w:r>
                  </w:p>
                </w:txbxContent>
              </v:textbox>
            </v:shape>
            <v:shape id="docshape1334" o:spid="_x0000_s3913" type="#_x0000_t202" style="position:absolute;left:6930;top:2546;width:957;height:252" filled="f" stroked="f">
              <v:textbox inset="0,0,0,0">
                <w:txbxContent>
                  <w:p w:rsidR="00F22F94" w:rsidRDefault="00F22F94">
                    <w:pPr>
                      <w:spacing w:line="252" w:lineRule="exact"/>
                    </w:pPr>
                    <w:r>
                      <w:rPr>
                        <w:color w:val="737577"/>
                        <w:spacing w:val="-2"/>
                        <w:w w:val="80"/>
                      </w:rPr>
                      <w:t>Barangaroo</w:t>
                    </w:r>
                  </w:p>
                </w:txbxContent>
              </v:textbox>
            </v:shape>
            <v:shape id="docshape1335" o:spid="_x0000_s3912" type="#_x0000_t202" style="position:absolute;left:8155;top:3470;width:93;height:156" filled="f" stroked="f">
              <v:textbox inset="0,0,0,0">
                <w:txbxContent>
                  <w:p w:rsidR="00F22F94" w:rsidRDefault="00F22F94">
                    <w:pPr>
                      <w:spacing w:before="5"/>
                      <w:rPr>
                        <w:b/>
                        <w:sz w:val="13"/>
                      </w:rPr>
                    </w:pPr>
                    <w:r>
                      <w:rPr>
                        <w:b/>
                        <w:w w:val="99"/>
                        <w:sz w:val="13"/>
                      </w:rPr>
                      <w:t>4</w:t>
                    </w:r>
                  </w:p>
                </w:txbxContent>
              </v:textbox>
            </v:shape>
            <v:shape id="docshape1336" o:spid="_x0000_s3911" type="#_x0000_t202" style="position:absolute;left:8809;top:3485;width:93;height:156" filled="f" stroked="f">
              <v:textbox inset="0,0,0,0">
                <w:txbxContent>
                  <w:p w:rsidR="00F22F94" w:rsidRDefault="00F22F94">
                    <w:pPr>
                      <w:spacing w:before="5"/>
                      <w:rPr>
                        <w:b/>
                        <w:sz w:val="13"/>
                      </w:rPr>
                    </w:pPr>
                    <w:r>
                      <w:rPr>
                        <w:b/>
                        <w:w w:val="99"/>
                        <w:sz w:val="13"/>
                      </w:rPr>
                      <w:t>3</w:t>
                    </w:r>
                  </w:p>
                </w:txbxContent>
              </v:textbox>
            </v:shape>
            <v:shape id="docshape1337" o:spid="_x0000_s3910" type="#_x0000_t202" style="position:absolute;left:9345;top:3616;width:93;height:156" filled="f" stroked="f">
              <v:textbox inset="0,0,0,0">
                <w:txbxContent>
                  <w:p w:rsidR="00F22F94" w:rsidRDefault="00F22F94">
                    <w:pPr>
                      <w:spacing w:before="5"/>
                      <w:rPr>
                        <w:b/>
                        <w:sz w:val="13"/>
                      </w:rPr>
                    </w:pPr>
                    <w:r>
                      <w:rPr>
                        <w:b/>
                        <w:w w:val="99"/>
                        <w:sz w:val="13"/>
                      </w:rPr>
                      <w:t>5</w:t>
                    </w:r>
                  </w:p>
                </w:txbxContent>
              </v:textbox>
            </v:shape>
            <v:shape id="docshape1338" o:spid="_x0000_s3909" type="#_x0000_t202" style="position:absolute;left:8197;top:3840;width:724;height:252" filled="f" stroked="f">
              <v:textbox inset="0,0,0,0">
                <w:txbxContent>
                  <w:p w:rsidR="00F22F94" w:rsidRDefault="00F22F94">
                    <w:pPr>
                      <w:spacing w:line="252" w:lineRule="exact"/>
                    </w:pPr>
                    <w:r>
                      <w:rPr>
                        <w:color w:val="737577"/>
                        <w:spacing w:val="-2"/>
                        <w:w w:val="80"/>
                      </w:rPr>
                      <w:t>Wynyard</w:t>
                    </w:r>
                  </w:p>
                </w:txbxContent>
              </v:textbox>
            </v:shape>
            <v:shape id="docshape1339" o:spid="_x0000_s3908" type="#_x0000_t202" style="position:absolute;left:9709;top:4140;width:611;height:252" filled="f" stroked="f">
              <v:textbox inset="0,0,0,0">
                <w:txbxContent>
                  <w:p w:rsidR="00F22F94" w:rsidRDefault="00F22F94">
                    <w:pPr>
                      <w:spacing w:line="252" w:lineRule="exact"/>
                    </w:pPr>
                    <w:r>
                      <w:rPr>
                        <w:color w:val="737577"/>
                        <w:spacing w:val="-2"/>
                        <w:w w:val="80"/>
                      </w:rPr>
                      <w:t>Sydney</w:t>
                    </w:r>
                  </w:p>
                </w:txbxContent>
              </v:textbox>
            </v:shape>
            <v:shape id="docshape1340" o:spid="_x0000_s3907" type="#_x0000_t202" style="position:absolute;left:9510;top:4671;width:93;height:156" filled="f" stroked="f">
              <v:textbox inset="0,0,0,0">
                <w:txbxContent>
                  <w:p w:rsidR="00F22F94" w:rsidRDefault="00F22F94">
                    <w:pPr>
                      <w:spacing w:before="5"/>
                      <w:rPr>
                        <w:b/>
                        <w:sz w:val="13"/>
                      </w:rPr>
                    </w:pPr>
                    <w:r>
                      <w:rPr>
                        <w:b/>
                        <w:w w:val="99"/>
                        <w:sz w:val="13"/>
                      </w:rPr>
                      <w:t>6</w:t>
                    </w:r>
                  </w:p>
                </w:txbxContent>
              </v:textbox>
            </v:shape>
            <v:shape id="docshape1341" o:spid="_x0000_s3906" type="#_x0000_t202" style="position:absolute;left:8051;top:6231;width:93;height:156" filled="f" stroked="f">
              <v:textbox inset="0,0,0,0">
                <w:txbxContent>
                  <w:p w:rsidR="00F22F94" w:rsidRDefault="00F22F94">
                    <w:pPr>
                      <w:spacing w:before="5"/>
                      <w:rPr>
                        <w:b/>
                        <w:sz w:val="13"/>
                      </w:rPr>
                    </w:pPr>
                    <w:r>
                      <w:rPr>
                        <w:b/>
                        <w:w w:val="99"/>
                        <w:sz w:val="13"/>
                      </w:rPr>
                      <w:t>8</w:t>
                    </w:r>
                  </w:p>
                </w:txbxContent>
              </v:textbox>
            </v:shape>
            <v:shape id="docshape1342" o:spid="_x0000_s3905" type="#_x0000_t202" style="position:absolute;left:9127;top:6392;width:93;height:156" filled="f" stroked="f">
              <v:textbox inset="0,0,0,0">
                <w:txbxContent>
                  <w:p w:rsidR="00F22F94" w:rsidRDefault="00F22F94">
                    <w:pPr>
                      <w:spacing w:before="5"/>
                      <w:rPr>
                        <w:b/>
                        <w:sz w:val="13"/>
                      </w:rPr>
                    </w:pPr>
                    <w:r>
                      <w:rPr>
                        <w:b/>
                        <w:w w:val="99"/>
                        <w:sz w:val="13"/>
                      </w:rPr>
                      <w:t>7</w:t>
                    </w:r>
                  </w:p>
                </w:txbxContent>
              </v:textbox>
            </v:shape>
            <v:shape id="docshape1343" o:spid="_x0000_s3904" type="#_x0000_t202" style="position:absolute;left:9313;top:6609;width:464;height:472" filled="f" stroked="f">
              <v:textbox inset="0,0,0,0">
                <w:txbxContent>
                  <w:p w:rsidR="00F22F94" w:rsidRDefault="00F22F94">
                    <w:pPr>
                      <w:spacing w:before="25" w:line="208" w:lineRule="auto"/>
                      <w:ind w:left="69" w:hanging="70"/>
                    </w:pPr>
                    <w:r>
                      <w:rPr>
                        <w:color w:val="737577"/>
                        <w:spacing w:val="-4"/>
                        <w:w w:val="80"/>
                      </w:rPr>
                      <w:t xml:space="preserve">Town </w:t>
                    </w:r>
                    <w:r>
                      <w:rPr>
                        <w:color w:val="737577"/>
                        <w:spacing w:val="-4"/>
                        <w:w w:val="90"/>
                      </w:rPr>
                      <w:t>Hall</w:t>
                    </w:r>
                  </w:p>
                </w:txbxContent>
              </v:textbox>
            </v:shape>
            <v:shape id="docshape1344" o:spid="_x0000_s3903" type="#_x0000_t202" style="position:absolute;left:11093;top:6640;width:611;height:472" filled="f" stroked="f">
              <v:textbox inset="0,0,0,0">
                <w:txbxContent>
                  <w:p w:rsidR="00F22F94" w:rsidRDefault="00F22F94">
                    <w:pPr>
                      <w:spacing w:before="25" w:line="208" w:lineRule="auto"/>
                      <w:ind w:right="15" w:firstLine="122"/>
                    </w:pPr>
                    <w:r>
                      <w:rPr>
                        <w:color w:val="737577"/>
                        <w:spacing w:val="-4"/>
                        <w:w w:val="90"/>
                      </w:rPr>
                      <w:t xml:space="preserve">East </w:t>
                    </w:r>
                    <w:r>
                      <w:rPr>
                        <w:color w:val="737577"/>
                        <w:spacing w:val="-2"/>
                        <w:w w:val="80"/>
                      </w:rPr>
                      <w:t>Sydney</w:t>
                    </w:r>
                  </w:p>
                </w:txbxContent>
              </v:textbox>
            </v:shape>
            <v:shape id="docshape1345" o:spid="_x0000_s3902" type="#_x0000_t202" style="position:absolute;left:6855;top:7124;width:668;height:472" filled="f" stroked="f">
              <v:textbox inset="0,0,0,0">
                <w:txbxContent>
                  <w:p w:rsidR="00F22F94" w:rsidRDefault="00F22F94">
                    <w:pPr>
                      <w:spacing w:before="25" w:line="208" w:lineRule="auto"/>
                      <w:ind w:firstLine="34"/>
                    </w:pPr>
                    <w:r>
                      <w:rPr>
                        <w:color w:val="737577"/>
                        <w:spacing w:val="-2"/>
                        <w:w w:val="85"/>
                      </w:rPr>
                      <w:t xml:space="preserve">Darling </w:t>
                    </w:r>
                    <w:r>
                      <w:rPr>
                        <w:color w:val="737577"/>
                        <w:spacing w:val="-2"/>
                        <w:w w:val="80"/>
                      </w:rPr>
                      <w:t>Harbour</w:t>
                    </w:r>
                  </w:p>
                </w:txbxContent>
              </v:textbox>
            </v:shape>
            <v:shape id="docshape1346" o:spid="_x0000_s3901" type="#_x0000_t202" style="position:absolute;left:8884;top:7487;width:93;height:156" filled="f" stroked="f">
              <v:textbox inset="0,0,0,0">
                <w:txbxContent>
                  <w:p w:rsidR="00F22F94" w:rsidRDefault="00F22F94">
                    <w:pPr>
                      <w:spacing w:before="5"/>
                      <w:rPr>
                        <w:b/>
                        <w:sz w:val="13"/>
                      </w:rPr>
                    </w:pPr>
                    <w:r>
                      <w:rPr>
                        <w:b/>
                        <w:w w:val="99"/>
                        <w:sz w:val="13"/>
                      </w:rPr>
                      <w:t>9</w:t>
                    </w:r>
                  </w:p>
                </w:txbxContent>
              </v:textbox>
            </v:shape>
            <v:shape id="docshape1347" o:spid="_x0000_s3900" type="#_x0000_t202" style="position:absolute;left:6132;top:8140;width:817;height:166" filled="f" stroked="f">
              <v:textbox inset="0,0,0,0">
                <w:txbxContent>
                  <w:p w:rsidR="00F22F94" w:rsidRDefault="00F22F94">
                    <w:pPr>
                      <w:spacing w:before="4"/>
                      <w:rPr>
                        <w:sz w:val="14"/>
                      </w:rPr>
                    </w:pPr>
                    <w:r>
                      <w:rPr>
                        <w:w w:val="95"/>
                        <w:sz w:val="14"/>
                      </w:rPr>
                      <w:t>Source:</w:t>
                    </w:r>
                    <w:r>
                      <w:rPr>
                        <w:spacing w:val="9"/>
                        <w:sz w:val="14"/>
                      </w:rPr>
                      <w:t xml:space="preserve"> </w:t>
                    </w:r>
                    <w:r>
                      <w:rPr>
                        <w:spacing w:val="-4"/>
                        <w:sz w:val="14"/>
                      </w:rPr>
                      <w:t>LEK.</w:t>
                    </w:r>
                  </w:p>
                </w:txbxContent>
              </v:textbox>
            </v:shape>
            <v:shape id="docshape1348" o:spid="_x0000_s3899" type="#_x0000_t202" style="position:absolute;left:12080;top:169;width:3766;height:8202" filled="f" stroked="f">
              <v:textbox inset="0,0,0,0">
                <w:txbxContent>
                  <w:p w:rsidR="00F22F94" w:rsidRDefault="00F22F94">
                    <w:pPr>
                      <w:numPr>
                        <w:ilvl w:val="0"/>
                        <w:numId w:val="87"/>
                      </w:numPr>
                      <w:tabs>
                        <w:tab w:val="left" w:pos="524"/>
                      </w:tabs>
                      <w:spacing w:before="150"/>
                      <w:ind w:hanging="234"/>
                      <w:rPr>
                        <w:sz w:val="16"/>
                      </w:rPr>
                    </w:pPr>
                    <w:r>
                      <w:rPr>
                        <w:w w:val="75"/>
                        <w:sz w:val="16"/>
                      </w:rPr>
                      <w:t>Buses</w:t>
                    </w:r>
                    <w:r>
                      <w:rPr>
                        <w:spacing w:val="11"/>
                        <w:sz w:val="16"/>
                      </w:rPr>
                      <w:t xml:space="preserve"> </w:t>
                    </w:r>
                    <w:r>
                      <w:rPr>
                        <w:w w:val="75"/>
                        <w:sz w:val="16"/>
                      </w:rPr>
                      <w:t>to/from</w:t>
                    </w:r>
                    <w:r>
                      <w:rPr>
                        <w:spacing w:val="11"/>
                        <w:sz w:val="16"/>
                      </w:rPr>
                      <w:t xml:space="preserve"> </w:t>
                    </w:r>
                    <w:r>
                      <w:rPr>
                        <w:w w:val="75"/>
                        <w:sz w:val="16"/>
                      </w:rPr>
                      <w:t>Harbour</w:t>
                    </w:r>
                    <w:r>
                      <w:rPr>
                        <w:spacing w:val="12"/>
                        <w:sz w:val="16"/>
                      </w:rPr>
                      <w:t xml:space="preserve"> </w:t>
                    </w:r>
                    <w:r>
                      <w:rPr>
                        <w:spacing w:val="-2"/>
                        <w:w w:val="75"/>
                        <w:sz w:val="16"/>
                      </w:rPr>
                      <w:t>Bridge.</w:t>
                    </w:r>
                  </w:p>
                  <w:p w:rsidR="00F22F94" w:rsidRDefault="00F22F94">
                    <w:pPr>
                      <w:numPr>
                        <w:ilvl w:val="0"/>
                        <w:numId w:val="87"/>
                      </w:numPr>
                      <w:tabs>
                        <w:tab w:val="left" w:pos="524"/>
                      </w:tabs>
                      <w:spacing w:before="121" w:line="232" w:lineRule="auto"/>
                      <w:ind w:right="927"/>
                      <w:rPr>
                        <w:sz w:val="16"/>
                      </w:rPr>
                    </w:pPr>
                    <w:r>
                      <w:rPr>
                        <w:spacing w:val="-2"/>
                        <w:w w:val="80"/>
                        <w:sz w:val="16"/>
                      </w:rPr>
                      <w:t>Reuse</w:t>
                    </w:r>
                    <w:r>
                      <w:rPr>
                        <w:spacing w:val="-8"/>
                        <w:sz w:val="16"/>
                      </w:rPr>
                      <w:t xml:space="preserve"> </w:t>
                    </w:r>
                    <w:r>
                      <w:rPr>
                        <w:spacing w:val="-2"/>
                        <w:w w:val="80"/>
                        <w:sz w:val="16"/>
                      </w:rPr>
                      <w:t>old</w:t>
                    </w:r>
                    <w:r>
                      <w:rPr>
                        <w:spacing w:val="-8"/>
                        <w:sz w:val="16"/>
                      </w:rPr>
                      <w:t xml:space="preserve"> </w:t>
                    </w:r>
                    <w:r>
                      <w:rPr>
                        <w:spacing w:val="-2"/>
                        <w:w w:val="80"/>
                        <w:sz w:val="16"/>
                      </w:rPr>
                      <w:t>tram</w:t>
                    </w:r>
                    <w:r>
                      <w:rPr>
                        <w:spacing w:val="-8"/>
                        <w:sz w:val="16"/>
                      </w:rPr>
                      <w:t xml:space="preserve"> </w:t>
                    </w:r>
                    <w:r>
                      <w:rPr>
                        <w:spacing w:val="-2"/>
                        <w:w w:val="80"/>
                        <w:sz w:val="16"/>
                      </w:rPr>
                      <w:t>tunnels</w:t>
                    </w:r>
                    <w:r>
                      <w:rPr>
                        <w:spacing w:val="-8"/>
                        <w:sz w:val="16"/>
                      </w:rPr>
                      <w:t xml:space="preserve"> </w:t>
                    </w:r>
                    <w:r>
                      <w:rPr>
                        <w:spacing w:val="-2"/>
                        <w:w w:val="80"/>
                        <w:sz w:val="16"/>
                      </w:rPr>
                      <w:t>between</w:t>
                    </w:r>
                    <w:r>
                      <w:rPr>
                        <w:spacing w:val="-8"/>
                        <w:sz w:val="16"/>
                      </w:rPr>
                      <w:t xml:space="preserve"> </w:t>
                    </w:r>
                    <w:r>
                      <w:rPr>
                        <w:spacing w:val="-2"/>
                        <w:w w:val="80"/>
                        <w:sz w:val="16"/>
                      </w:rPr>
                      <w:t>Harbour</w:t>
                    </w:r>
                    <w:r>
                      <w:rPr>
                        <w:sz w:val="16"/>
                      </w:rPr>
                      <w:t xml:space="preserve"> </w:t>
                    </w:r>
                    <w:r>
                      <w:rPr>
                        <w:w w:val="90"/>
                        <w:sz w:val="16"/>
                      </w:rPr>
                      <w:t>Bridge</w:t>
                    </w:r>
                    <w:r>
                      <w:rPr>
                        <w:spacing w:val="-7"/>
                        <w:w w:val="90"/>
                        <w:sz w:val="16"/>
                      </w:rPr>
                      <w:t xml:space="preserve"> </w:t>
                    </w:r>
                    <w:r>
                      <w:rPr>
                        <w:w w:val="90"/>
                        <w:sz w:val="16"/>
                      </w:rPr>
                      <w:t>and</w:t>
                    </w:r>
                    <w:r>
                      <w:rPr>
                        <w:spacing w:val="-8"/>
                        <w:w w:val="90"/>
                        <w:sz w:val="16"/>
                      </w:rPr>
                      <w:t xml:space="preserve"> </w:t>
                    </w:r>
                    <w:r>
                      <w:rPr>
                        <w:w w:val="90"/>
                        <w:sz w:val="16"/>
                      </w:rPr>
                      <w:t>Wynyard.</w:t>
                    </w:r>
                  </w:p>
                  <w:p w:rsidR="00F22F94" w:rsidRDefault="00F22F94">
                    <w:pPr>
                      <w:numPr>
                        <w:ilvl w:val="0"/>
                        <w:numId w:val="87"/>
                      </w:numPr>
                      <w:tabs>
                        <w:tab w:val="left" w:pos="524"/>
                      </w:tabs>
                      <w:spacing w:before="121" w:line="235" w:lineRule="auto"/>
                      <w:ind w:right="702"/>
                      <w:rPr>
                        <w:sz w:val="16"/>
                      </w:rPr>
                    </w:pPr>
                    <w:r>
                      <w:rPr>
                        <w:w w:val="75"/>
                        <w:sz w:val="16"/>
                      </w:rPr>
                      <w:t>Reconstruct Wynyard</w:t>
                    </w:r>
                    <w:r>
                      <w:rPr>
                        <w:sz w:val="16"/>
                      </w:rPr>
                      <w:t xml:space="preserve"> </w:t>
                    </w:r>
                    <w:r>
                      <w:rPr>
                        <w:w w:val="75"/>
                        <w:sz w:val="16"/>
                      </w:rPr>
                      <w:t>interchange. New</w:t>
                    </w:r>
                    <w:r>
                      <w:rPr>
                        <w:sz w:val="16"/>
                      </w:rPr>
                      <w:t xml:space="preserve"> </w:t>
                    </w:r>
                    <w:r>
                      <w:rPr>
                        <w:w w:val="75"/>
                        <w:sz w:val="16"/>
                      </w:rPr>
                      <w:t>large</w:t>
                    </w:r>
                    <w:r>
                      <w:rPr>
                        <w:sz w:val="16"/>
                      </w:rPr>
                      <w:t xml:space="preserve"> </w:t>
                    </w:r>
                    <w:r>
                      <w:rPr>
                        <w:w w:val="85"/>
                        <w:sz w:val="16"/>
                      </w:rPr>
                      <w:t>scale commercial/of ce space above.</w:t>
                    </w:r>
                  </w:p>
                  <w:p w:rsidR="00F22F94" w:rsidRDefault="00F22F94">
                    <w:pPr>
                      <w:numPr>
                        <w:ilvl w:val="0"/>
                        <w:numId w:val="87"/>
                      </w:numPr>
                      <w:tabs>
                        <w:tab w:val="left" w:pos="524"/>
                      </w:tabs>
                      <w:spacing w:before="116"/>
                      <w:rPr>
                        <w:sz w:val="16"/>
                      </w:rPr>
                    </w:pPr>
                    <w:r>
                      <w:rPr>
                        <w:w w:val="75"/>
                        <w:sz w:val="16"/>
                      </w:rPr>
                      <w:t>Wynyard</w:t>
                    </w:r>
                    <w:r>
                      <w:rPr>
                        <w:sz w:val="16"/>
                      </w:rPr>
                      <w:t xml:space="preserve"> </w:t>
                    </w:r>
                    <w:r>
                      <w:rPr>
                        <w:spacing w:val="-2"/>
                        <w:w w:val="85"/>
                        <w:sz w:val="16"/>
                      </w:rPr>
                      <w:t>Walk.</w:t>
                    </w:r>
                  </w:p>
                  <w:p w:rsidR="00F22F94" w:rsidRDefault="00F22F94">
                    <w:pPr>
                      <w:numPr>
                        <w:ilvl w:val="0"/>
                        <w:numId w:val="87"/>
                      </w:numPr>
                      <w:tabs>
                        <w:tab w:val="left" w:pos="524"/>
                      </w:tabs>
                      <w:spacing w:before="116"/>
                      <w:rPr>
                        <w:sz w:val="16"/>
                      </w:rPr>
                    </w:pPr>
                    <w:r>
                      <w:rPr>
                        <w:w w:val="75"/>
                        <w:sz w:val="16"/>
                      </w:rPr>
                      <w:t>Hunter</w:t>
                    </w:r>
                    <w:r>
                      <w:rPr>
                        <w:spacing w:val="7"/>
                        <w:sz w:val="16"/>
                      </w:rPr>
                      <w:t xml:space="preserve"> </w:t>
                    </w:r>
                    <w:r>
                      <w:rPr>
                        <w:spacing w:val="-2"/>
                        <w:w w:val="90"/>
                        <w:sz w:val="16"/>
                      </w:rPr>
                      <w:t>Connection.</w:t>
                    </w:r>
                  </w:p>
                  <w:p w:rsidR="00F22F94" w:rsidRDefault="00F22F94">
                    <w:pPr>
                      <w:numPr>
                        <w:ilvl w:val="0"/>
                        <w:numId w:val="87"/>
                      </w:numPr>
                      <w:tabs>
                        <w:tab w:val="left" w:pos="524"/>
                      </w:tabs>
                      <w:spacing w:before="119" w:line="235" w:lineRule="auto"/>
                      <w:ind w:right="747"/>
                      <w:rPr>
                        <w:sz w:val="16"/>
                      </w:rPr>
                    </w:pPr>
                    <w:r>
                      <w:rPr>
                        <w:w w:val="75"/>
                        <w:sz w:val="16"/>
                      </w:rPr>
                      <w:t>New</w:t>
                    </w:r>
                    <w:r>
                      <w:rPr>
                        <w:sz w:val="16"/>
                      </w:rPr>
                      <w:t xml:space="preserve"> </w:t>
                    </w:r>
                    <w:r>
                      <w:rPr>
                        <w:w w:val="75"/>
                        <w:sz w:val="16"/>
                      </w:rPr>
                      <w:t>bus</w:t>
                    </w:r>
                    <w:r>
                      <w:rPr>
                        <w:sz w:val="16"/>
                      </w:rPr>
                      <w:t xml:space="preserve"> </w:t>
                    </w:r>
                    <w:r>
                      <w:rPr>
                        <w:w w:val="75"/>
                        <w:sz w:val="16"/>
                      </w:rPr>
                      <w:t>tunnel</w:t>
                    </w:r>
                    <w:r>
                      <w:rPr>
                        <w:sz w:val="16"/>
                      </w:rPr>
                      <w:t xml:space="preserve"> </w:t>
                    </w:r>
                    <w:r>
                      <w:rPr>
                        <w:w w:val="75"/>
                        <w:sz w:val="16"/>
                      </w:rPr>
                      <w:t>between Wynyard</w:t>
                    </w:r>
                    <w:r>
                      <w:rPr>
                        <w:sz w:val="16"/>
                      </w:rPr>
                      <w:t xml:space="preserve"> </w:t>
                    </w:r>
                    <w:r>
                      <w:rPr>
                        <w:w w:val="75"/>
                        <w:sz w:val="16"/>
                      </w:rPr>
                      <w:t>and Town</w:t>
                    </w:r>
                    <w:r>
                      <w:rPr>
                        <w:sz w:val="16"/>
                      </w:rPr>
                      <w:t xml:space="preserve"> </w:t>
                    </w:r>
                    <w:r>
                      <w:rPr>
                        <w:w w:val="90"/>
                        <w:sz w:val="16"/>
                      </w:rPr>
                      <w:t>Hall (900 metres).</w:t>
                    </w:r>
                  </w:p>
                  <w:p w:rsidR="00F22F94" w:rsidRDefault="00F22F94">
                    <w:pPr>
                      <w:numPr>
                        <w:ilvl w:val="0"/>
                        <w:numId w:val="87"/>
                      </w:numPr>
                      <w:tabs>
                        <w:tab w:val="left" w:pos="524"/>
                      </w:tabs>
                      <w:spacing w:before="120" w:line="235" w:lineRule="auto"/>
                      <w:ind w:right="738"/>
                      <w:rPr>
                        <w:sz w:val="16"/>
                      </w:rPr>
                    </w:pPr>
                    <w:r>
                      <w:rPr>
                        <w:w w:val="75"/>
                        <w:sz w:val="16"/>
                      </w:rPr>
                      <w:t>Town</w:t>
                    </w:r>
                    <w:r>
                      <w:rPr>
                        <w:sz w:val="16"/>
                      </w:rPr>
                      <w:t xml:space="preserve"> </w:t>
                    </w:r>
                    <w:r>
                      <w:rPr>
                        <w:w w:val="75"/>
                        <w:sz w:val="16"/>
                      </w:rPr>
                      <w:t>Hall</w:t>
                    </w:r>
                    <w:r>
                      <w:rPr>
                        <w:sz w:val="16"/>
                      </w:rPr>
                      <w:t xml:space="preserve"> </w:t>
                    </w:r>
                    <w:r>
                      <w:rPr>
                        <w:w w:val="75"/>
                        <w:sz w:val="16"/>
                      </w:rPr>
                      <w:t>Square</w:t>
                    </w:r>
                    <w:r>
                      <w:rPr>
                        <w:sz w:val="16"/>
                      </w:rPr>
                      <w:t xml:space="preserve"> </w:t>
                    </w:r>
                    <w:r>
                      <w:rPr>
                        <w:w w:val="75"/>
                        <w:sz w:val="16"/>
                      </w:rPr>
                      <w:t>development. Bus</w:t>
                    </w:r>
                    <w:r>
                      <w:rPr>
                        <w:sz w:val="16"/>
                      </w:rPr>
                      <w:t xml:space="preserve"> </w:t>
                    </w:r>
                    <w:r>
                      <w:rPr>
                        <w:w w:val="75"/>
                        <w:sz w:val="16"/>
                      </w:rPr>
                      <w:t>ramp</w:t>
                    </w:r>
                    <w:r>
                      <w:rPr>
                        <w:sz w:val="16"/>
                      </w:rPr>
                      <w:t xml:space="preserve"> </w:t>
                    </w:r>
                    <w:r>
                      <w:rPr>
                        <w:w w:val="75"/>
                        <w:sz w:val="16"/>
                      </w:rPr>
                      <w:t>to</w:t>
                    </w:r>
                    <w:r>
                      <w:rPr>
                        <w:sz w:val="16"/>
                      </w:rPr>
                      <w:t xml:space="preserve"> </w:t>
                    </w:r>
                    <w:r>
                      <w:rPr>
                        <w:w w:val="85"/>
                        <w:sz w:val="16"/>
                      </w:rPr>
                      <w:t>surface and new civic development.</w:t>
                    </w:r>
                  </w:p>
                  <w:p w:rsidR="00F22F94" w:rsidRDefault="00F22F94">
                    <w:pPr>
                      <w:numPr>
                        <w:ilvl w:val="0"/>
                        <w:numId w:val="87"/>
                      </w:numPr>
                      <w:tabs>
                        <w:tab w:val="left" w:pos="524"/>
                      </w:tabs>
                      <w:spacing w:before="116"/>
                      <w:rPr>
                        <w:sz w:val="16"/>
                      </w:rPr>
                    </w:pPr>
                    <w:r>
                      <w:rPr>
                        <w:w w:val="75"/>
                        <w:sz w:val="16"/>
                      </w:rPr>
                      <w:t>Buses</w:t>
                    </w:r>
                    <w:r>
                      <w:rPr>
                        <w:spacing w:val="8"/>
                        <w:sz w:val="16"/>
                      </w:rPr>
                      <w:t xml:space="preserve"> </w:t>
                    </w:r>
                    <w:r>
                      <w:rPr>
                        <w:w w:val="75"/>
                        <w:sz w:val="16"/>
                      </w:rPr>
                      <w:t>to/from</w:t>
                    </w:r>
                    <w:r>
                      <w:rPr>
                        <w:spacing w:val="1"/>
                        <w:sz w:val="16"/>
                      </w:rPr>
                      <w:t xml:space="preserve"> </w:t>
                    </w:r>
                    <w:r>
                      <w:rPr>
                        <w:w w:val="75"/>
                        <w:sz w:val="16"/>
                      </w:rPr>
                      <w:t>Anzac</w:t>
                    </w:r>
                    <w:r>
                      <w:rPr>
                        <w:spacing w:val="8"/>
                        <w:sz w:val="16"/>
                      </w:rPr>
                      <w:t xml:space="preserve"> </w:t>
                    </w:r>
                    <w:r>
                      <w:rPr>
                        <w:w w:val="75"/>
                        <w:sz w:val="16"/>
                      </w:rPr>
                      <w:t>Bridge</w:t>
                    </w:r>
                    <w:r>
                      <w:rPr>
                        <w:spacing w:val="8"/>
                        <w:sz w:val="16"/>
                      </w:rPr>
                      <w:t xml:space="preserve"> </w:t>
                    </w:r>
                    <w:r>
                      <w:rPr>
                        <w:w w:val="75"/>
                        <w:sz w:val="16"/>
                      </w:rPr>
                      <w:t>and</w:t>
                    </w:r>
                    <w:r>
                      <w:rPr>
                        <w:spacing w:val="1"/>
                        <w:sz w:val="16"/>
                      </w:rPr>
                      <w:t xml:space="preserve"> </w:t>
                    </w:r>
                    <w:r>
                      <w:rPr>
                        <w:w w:val="75"/>
                        <w:sz w:val="16"/>
                      </w:rPr>
                      <w:t>Victoria</w:t>
                    </w:r>
                    <w:r>
                      <w:rPr>
                        <w:spacing w:val="8"/>
                        <w:sz w:val="16"/>
                      </w:rPr>
                      <w:t xml:space="preserve"> </w:t>
                    </w:r>
                    <w:r>
                      <w:rPr>
                        <w:spacing w:val="-5"/>
                        <w:w w:val="75"/>
                        <w:sz w:val="16"/>
                      </w:rPr>
                      <w:t>Rd.</w:t>
                    </w:r>
                  </w:p>
                  <w:p w:rsidR="00F22F94" w:rsidRDefault="00F22F94">
                    <w:pPr>
                      <w:numPr>
                        <w:ilvl w:val="0"/>
                        <w:numId w:val="87"/>
                      </w:numPr>
                      <w:tabs>
                        <w:tab w:val="left" w:pos="524"/>
                      </w:tabs>
                      <w:spacing w:before="116"/>
                      <w:rPr>
                        <w:sz w:val="16"/>
                      </w:rPr>
                    </w:pPr>
                    <w:r>
                      <w:rPr>
                        <w:w w:val="75"/>
                        <w:sz w:val="16"/>
                      </w:rPr>
                      <w:t>Buses</w:t>
                    </w:r>
                    <w:r>
                      <w:rPr>
                        <w:spacing w:val="12"/>
                        <w:sz w:val="16"/>
                      </w:rPr>
                      <w:t xml:space="preserve"> </w:t>
                    </w:r>
                    <w:r>
                      <w:rPr>
                        <w:w w:val="75"/>
                        <w:sz w:val="16"/>
                      </w:rPr>
                      <w:t>to/from</w:t>
                    </w:r>
                    <w:r>
                      <w:rPr>
                        <w:spacing w:val="13"/>
                        <w:sz w:val="16"/>
                      </w:rPr>
                      <w:t xml:space="preserve"> </w:t>
                    </w:r>
                    <w:r>
                      <w:rPr>
                        <w:w w:val="75"/>
                        <w:sz w:val="16"/>
                      </w:rPr>
                      <w:t>Broadway</w:t>
                    </w:r>
                    <w:r>
                      <w:rPr>
                        <w:spacing w:val="12"/>
                        <w:sz w:val="16"/>
                      </w:rPr>
                      <w:t xml:space="preserve"> </w:t>
                    </w:r>
                    <w:r>
                      <w:rPr>
                        <w:w w:val="75"/>
                        <w:sz w:val="16"/>
                      </w:rPr>
                      <w:t>and</w:t>
                    </w:r>
                    <w:r>
                      <w:rPr>
                        <w:spacing w:val="13"/>
                        <w:sz w:val="16"/>
                      </w:rPr>
                      <w:t xml:space="preserve"> </w:t>
                    </w:r>
                    <w:r>
                      <w:rPr>
                        <w:w w:val="75"/>
                        <w:sz w:val="16"/>
                      </w:rPr>
                      <w:t>Parramatta</w:t>
                    </w:r>
                    <w:r>
                      <w:rPr>
                        <w:spacing w:val="12"/>
                        <w:sz w:val="16"/>
                      </w:rPr>
                      <w:t xml:space="preserve"> </w:t>
                    </w:r>
                    <w:r>
                      <w:rPr>
                        <w:spacing w:val="-5"/>
                        <w:w w:val="75"/>
                        <w:sz w:val="16"/>
                      </w:rPr>
                      <w:t>Rd.</w:t>
                    </w:r>
                  </w:p>
                  <w:p w:rsidR="00F22F94" w:rsidRDefault="00F22F94">
                    <w:pPr>
                      <w:numPr>
                        <w:ilvl w:val="1"/>
                        <w:numId w:val="87"/>
                      </w:numPr>
                      <w:tabs>
                        <w:tab w:val="left" w:pos="694"/>
                      </w:tabs>
                      <w:spacing w:before="120" w:line="232" w:lineRule="auto"/>
                      <w:ind w:right="669"/>
                      <w:rPr>
                        <w:sz w:val="16"/>
                      </w:rPr>
                    </w:pPr>
                    <w:r>
                      <w:rPr>
                        <w:rFonts w:ascii="Trebuchet MS"/>
                        <w:w w:val="80"/>
                        <w:sz w:val="16"/>
                      </w:rPr>
                      <w:t>Underground</w:t>
                    </w:r>
                    <w:r>
                      <w:rPr>
                        <w:rFonts w:ascii="Trebuchet MS"/>
                        <w:spacing w:val="-3"/>
                        <w:w w:val="80"/>
                        <w:sz w:val="16"/>
                      </w:rPr>
                      <w:t xml:space="preserve"> </w:t>
                    </w:r>
                    <w:r>
                      <w:rPr>
                        <w:rFonts w:ascii="Trebuchet MS"/>
                        <w:w w:val="80"/>
                        <w:sz w:val="16"/>
                      </w:rPr>
                      <w:t>CBT</w:t>
                    </w:r>
                    <w:r>
                      <w:rPr>
                        <w:rFonts w:ascii="Trebuchet MS"/>
                        <w:spacing w:val="-2"/>
                        <w:w w:val="80"/>
                        <w:sz w:val="16"/>
                      </w:rPr>
                      <w:t xml:space="preserve"> </w:t>
                    </w:r>
                    <w:r>
                      <w:rPr>
                        <w:rFonts w:ascii="Trebuchet MS"/>
                        <w:w w:val="80"/>
                        <w:sz w:val="16"/>
                      </w:rPr>
                      <w:t>BRT</w:t>
                    </w:r>
                    <w:r>
                      <w:rPr>
                        <w:rFonts w:ascii="Trebuchet MS"/>
                        <w:spacing w:val="-3"/>
                        <w:w w:val="80"/>
                        <w:sz w:val="16"/>
                      </w:rPr>
                      <w:t xml:space="preserve"> </w:t>
                    </w:r>
                    <w:r>
                      <w:rPr>
                        <w:rFonts w:ascii="Trebuchet MS"/>
                        <w:w w:val="80"/>
                        <w:sz w:val="16"/>
                      </w:rPr>
                      <w:t>based</w:t>
                    </w:r>
                    <w:r>
                      <w:rPr>
                        <w:rFonts w:ascii="Trebuchet MS"/>
                        <w:spacing w:val="-2"/>
                        <w:w w:val="80"/>
                        <w:sz w:val="16"/>
                      </w:rPr>
                      <w:t xml:space="preserve"> </w:t>
                    </w:r>
                    <w:r>
                      <w:rPr>
                        <w:rFonts w:ascii="Trebuchet MS"/>
                        <w:w w:val="80"/>
                        <w:sz w:val="16"/>
                      </w:rPr>
                      <w:t>on</w:t>
                    </w:r>
                    <w:r>
                      <w:rPr>
                        <w:rFonts w:ascii="Trebuchet MS"/>
                        <w:spacing w:val="-3"/>
                        <w:w w:val="80"/>
                        <w:sz w:val="16"/>
                      </w:rPr>
                      <w:t xml:space="preserve"> </w:t>
                    </w:r>
                    <w:r>
                      <w:rPr>
                        <w:rFonts w:ascii="Trebuchet MS"/>
                        <w:w w:val="80"/>
                        <w:sz w:val="16"/>
                      </w:rPr>
                      <w:t>high</w:t>
                    </w:r>
                    <w:r>
                      <w:rPr>
                        <w:rFonts w:ascii="Trebuchet MS"/>
                        <w:spacing w:val="-2"/>
                        <w:w w:val="80"/>
                        <w:sz w:val="16"/>
                      </w:rPr>
                      <w:t xml:space="preserve"> </w:t>
                    </w:r>
                    <w:r>
                      <w:rPr>
                        <w:rFonts w:ascii="Trebuchet MS"/>
                        <w:w w:val="80"/>
                        <w:sz w:val="16"/>
                      </w:rPr>
                      <w:t>level</w:t>
                    </w:r>
                    <w:r>
                      <w:rPr>
                        <w:rFonts w:ascii="Trebuchet MS"/>
                        <w:w w:val="90"/>
                        <w:sz w:val="16"/>
                      </w:rPr>
                      <w:t xml:space="preserve"> </w:t>
                    </w:r>
                    <w:r>
                      <w:rPr>
                        <w:spacing w:val="-2"/>
                        <w:w w:val="90"/>
                        <w:sz w:val="16"/>
                      </w:rPr>
                      <w:t>concepts.</w:t>
                    </w:r>
                  </w:p>
                  <w:p w:rsidR="00F22F94" w:rsidRDefault="00F22F94">
                    <w:pPr>
                      <w:numPr>
                        <w:ilvl w:val="1"/>
                        <w:numId w:val="87"/>
                      </w:numPr>
                      <w:tabs>
                        <w:tab w:val="left" w:pos="694"/>
                      </w:tabs>
                      <w:spacing w:before="122" w:line="232" w:lineRule="auto"/>
                      <w:ind w:right="671"/>
                      <w:rPr>
                        <w:sz w:val="16"/>
                      </w:rPr>
                    </w:pPr>
                    <w:r>
                      <w:rPr>
                        <w:rFonts w:ascii="Trebuchet MS"/>
                        <w:w w:val="75"/>
                        <w:sz w:val="16"/>
                      </w:rPr>
                      <w:t>Approximately 75 percent of peak Harbour</w:t>
                    </w:r>
                    <w:r>
                      <w:rPr>
                        <w:rFonts w:ascii="Trebuchet MS"/>
                        <w:w w:val="85"/>
                        <w:sz w:val="16"/>
                      </w:rPr>
                      <w:t xml:space="preserve"> </w:t>
                    </w:r>
                    <w:r>
                      <w:rPr>
                        <w:w w:val="85"/>
                        <w:sz w:val="16"/>
                      </w:rPr>
                      <w:t>Bridge buses moved to underground</w:t>
                    </w:r>
                  </w:p>
                  <w:p w:rsidR="00F22F94" w:rsidRDefault="00F22F94">
                    <w:pPr>
                      <w:spacing w:line="181" w:lineRule="exact"/>
                      <w:ind w:left="693"/>
                      <w:rPr>
                        <w:sz w:val="16"/>
                      </w:rPr>
                    </w:pPr>
                    <w:r>
                      <w:rPr>
                        <w:w w:val="70"/>
                        <w:sz w:val="16"/>
                      </w:rPr>
                      <w:t>CBD</w:t>
                    </w:r>
                    <w:r>
                      <w:rPr>
                        <w:spacing w:val="3"/>
                        <w:sz w:val="16"/>
                      </w:rPr>
                      <w:t xml:space="preserve"> </w:t>
                    </w:r>
                    <w:r>
                      <w:rPr>
                        <w:spacing w:val="-4"/>
                        <w:w w:val="85"/>
                        <w:sz w:val="16"/>
                      </w:rPr>
                      <w:t>BRT.</w:t>
                    </w:r>
                  </w:p>
                  <w:p w:rsidR="00F22F94" w:rsidRDefault="00F22F94">
                    <w:pPr>
                      <w:numPr>
                        <w:ilvl w:val="1"/>
                        <w:numId w:val="87"/>
                      </w:numPr>
                      <w:tabs>
                        <w:tab w:val="left" w:pos="694"/>
                      </w:tabs>
                      <w:spacing w:before="120" w:line="232" w:lineRule="auto"/>
                      <w:ind w:right="656"/>
                      <w:rPr>
                        <w:sz w:val="16"/>
                      </w:rPr>
                    </w:pPr>
                    <w:r>
                      <w:rPr>
                        <w:rFonts w:ascii="Trebuchet MS"/>
                        <w:w w:val="80"/>
                        <w:sz w:val="16"/>
                      </w:rPr>
                      <w:t>All</w:t>
                    </w:r>
                    <w:r>
                      <w:rPr>
                        <w:rFonts w:ascii="Trebuchet MS"/>
                        <w:spacing w:val="-3"/>
                        <w:w w:val="80"/>
                        <w:sz w:val="16"/>
                      </w:rPr>
                      <w:t xml:space="preserve"> </w:t>
                    </w:r>
                    <w:r>
                      <w:rPr>
                        <w:rFonts w:ascii="Trebuchet MS"/>
                        <w:w w:val="80"/>
                        <w:sz w:val="16"/>
                      </w:rPr>
                      <w:t>peak</w:t>
                    </w:r>
                    <w:r>
                      <w:rPr>
                        <w:rFonts w:ascii="Trebuchet MS"/>
                        <w:spacing w:val="-2"/>
                        <w:w w:val="80"/>
                        <w:sz w:val="16"/>
                      </w:rPr>
                      <w:t xml:space="preserve"> </w:t>
                    </w:r>
                    <w:r>
                      <w:rPr>
                        <w:rFonts w:ascii="Trebuchet MS"/>
                        <w:w w:val="80"/>
                        <w:sz w:val="16"/>
                      </w:rPr>
                      <w:t>Broadway</w:t>
                    </w:r>
                    <w:r>
                      <w:rPr>
                        <w:rFonts w:ascii="Trebuchet MS"/>
                        <w:spacing w:val="-3"/>
                        <w:w w:val="80"/>
                        <w:sz w:val="16"/>
                      </w:rPr>
                      <w:t xml:space="preserve"> </w:t>
                    </w:r>
                    <w:r>
                      <w:rPr>
                        <w:rFonts w:ascii="Trebuchet MS"/>
                        <w:w w:val="80"/>
                        <w:sz w:val="16"/>
                      </w:rPr>
                      <w:t>and</w:t>
                    </w:r>
                    <w:r>
                      <w:rPr>
                        <w:rFonts w:ascii="Trebuchet MS"/>
                        <w:spacing w:val="-2"/>
                        <w:w w:val="80"/>
                        <w:sz w:val="16"/>
                      </w:rPr>
                      <w:t xml:space="preserve"> </w:t>
                    </w:r>
                    <w:r>
                      <w:rPr>
                        <w:rFonts w:ascii="Trebuchet MS"/>
                        <w:w w:val="80"/>
                        <w:sz w:val="16"/>
                      </w:rPr>
                      <w:t>some</w:t>
                    </w:r>
                    <w:r>
                      <w:rPr>
                        <w:rFonts w:ascii="Trebuchet MS"/>
                        <w:spacing w:val="-6"/>
                        <w:w w:val="80"/>
                        <w:sz w:val="16"/>
                      </w:rPr>
                      <w:t xml:space="preserve"> </w:t>
                    </w:r>
                    <w:r>
                      <w:rPr>
                        <w:rFonts w:ascii="Trebuchet MS"/>
                        <w:w w:val="80"/>
                        <w:sz w:val="16"/>
                      </w:rPr>
                      <w:t>Anzac</w:t>
                    </w:r>
                    <w:r>
                      <w:rPr>
                        <w:rFonts w:ascii="Trebuchet MS"/>
                        <w:spacing w:val="-3"/>
                        <w:w w:val="80"/>
                        <w:sz w:val="16"/>
                      </w:rPr>
                      <w:t xml:space="preserve"> </w:t>
                    </w:r>
                    <w:r>
                      <w:rPr>
                        <w:rFonts w:ascii="Trebuchet MS"/>
                        <w:w w:val="80"/>
                        <w:sz w:val="16"/>
                      </w:rPr>
                      <w:t>Bridge</w:t>
                    </w:r>
                    <w:r>
                      <w:rPr>
                        <w:rFonts w:ascii="Trebuchet MS"/>
                        <w:w w:val="85"/>
                        <w:sz w:val="16"/>
                      </w:rPr>
                      <w:t xml:space="preserve"> </w:t>
                    </w:r>
                    <w:r>
                      <w:rPr>
                        <w:w w:val="85"/>
                        <w:sz w:val="16"/>
                      </w:rPr>
                      <w:t>buses</w:t>
                    </w:r>
                    <w:r>
                      <w:rPr>
                        <w:spacing w:val="-4"/>
                        <w:w w:val="85"/>
                        <w:sz w:val="16"/>
                      </w:rPr>
                      <w:t xml:space="preserve"> </w:t>
                    </w:r>
                    <w:r>
                      <w:rPr>
                        <w:w w:val="85"/>
                        <w:sz w:val="16"/>
                      </w:rPr>
                      <w:t>moved</w:t>
                    </w:r>
                    <w:r>
                      <w:rPr>
                        <w:spacing w:val="-4"/>
                        <w:w w:val="85"/>
                        <w:sz w:val="16"/>
                      </w:rPr>
                      <w:t xml:space="preserve"> </w:t>
                    </w:r>
                    <w:r>
                      <w:rPr>
                        <w:w w:val="85"/>
                        <w:sz w:val="16"/>
                      </w:rPr>
                      <w:t>to</w:t>
                    </w:r>
                    <w:r>
                      <w:rPr>
                        <w:spacing w:val="-4"/>
                        <w:w w:val="85"/>
                        <w:sz w:val="16"/>
                      </w:rPr>
                      <w:t xml:space="preserve"> </w:t>
                    </w:r>
                    <w:r>
                      <w:rPr>
                        <w:w w:val="85"/>
                        <w:sz w:val="16"/>
                      </w:rPr>
                      <w:t>CBD</w:t>
                    </w:r>
                    <w:r>
                      <w:rPr>
                        <w:spacing w:val="-4"/>
                        <w:w w:val="85"/>
                        <w:sz w:val="16"/>
                      </w:rPr>
                      <w:t xml:space="preserve"> </w:t>
                    </w:r>
                    <w:r>
                      <w:rPr>
                        <w:w w:val="85"/>
                        <w:sz w:val="16"/>
                      </w:rPr>
                      <w:t>BRT.</w:t>
                    </w:r>
                  </w:p>
                  <w:p w:rsidR="00F22F94" w:rsidRDefault="00F22F94">
                    <w:pPr>
                      <w:numPr>
                        <w:ilvl w:val="1"/>
                        <w:numId w:val="87"/>
                      </w:numPr>
                      <w:tabs>
                        <w:tab w:val="left" w:pos="694"/>
                      </w:tabs>
                      <w:spacing w:before="121" w:line="232" w:lineRule="auto"/>
                      <w:ind w:right="662"/>
                      <w:rPr>
                        <w:sz w:val="16"/>
                      </w:rPr>
                    </w:pPr>
                    <w:r>
                      <w:rPr>
                        <w:rFonts w:ascii="Trebuchet MS"/>
                        <w:w w:val="75"/>
                        <w:sz w:val="16"/>
                      </w:rPr>
                      <w:t>Makes use of existing tunnel infrastructure</w:t>
                    </w:r>
                    <w:r>
                      <w:rPr>
                        <w:rFonts w:ascii="Trebuchet MS"/>
                        <w:w w:val="85"/>
                        <w:sz w:val="16"/>
                      </w:rPr>
                      <w:t xml:space="preserve"> </w:t>
                    </w:r>
                    <w:r>
                      <w:rPr>
                        <w:w w:val="85"/>
                        <w:sz w:val="16"/>
                      </w:rPr>
                      <w:t>from</w:t>
                    </w:r>
                    <w:r>
                      <w:rPr>
                        <w:spacing w:val="-2"/>
                        <w:w w:val="85"/>
                        <w:sz w:val="16"/>
                      </w:rPr>
                      <w:t xml:space="preserve"> </w:t>
                    </w:r>
                    <w:r>
                      <w:rPr>
                        <w:w w:val="85"/>
                        <w:sz w:val="16"/>
                      </w:rPr>
                      <w:t>Wynyard to Harbour Bridge.</w:t>
                    </w:r>
                  </w:p>
                  <w:p w:rsidR="00F22F94" w:rsidRDefault="00F22F94">
                    <w:pPr>
                      <w:numPr>
                        <w:ilvl w:val="1"/>
                        <w:numId w:val="87"/>
                      </w:numPr>
                      <w:tabs>
                        <w:tab w:val="left" w:pos="694"/>
                      </w:tabs>
                      <w:spacing w:before="122" w:line="232" w:lineRule="auto"/>
                      <w:ind w:right="1047"/>
                      <w:rPr>
                        <w:sz w:val="16"/>
                      </w:rPr>
                    </w:pPr>
                    <w:r>
                      <w:rPr>
                        <w:rFonts w:ascii="Trebuchet MS"/>
                        <w:spacing w:val="-2"/>
                        <w:w w:val="80"/>
                        <w:sz w:val="16"/>
                      </w:rPr>
                      <w:t>Assumes</w:t>
                    </w:r>
                    <w:r>
                      <w:rPr>
                        <w:rFonts w:ascii="Trebuchet MS"/>
                        <w:spacing w:val="-7"/>
                        <w:sz w:val="16"/>
                      </w:rPr>
                      <w:t xml:space="preserve"> </w:t>
                    </w:r>
                    <w:r>
                      <w:rPr>
                        <w:rFonts w:ascii="Trebuchet MS"/>
                        <w:spacing w:val="-2"/>
                        <w:w w:val="80"/>
                        <w:sz w:val="16"/>
                      </w:rPr>
                      <w:t>planned</w:t>
                    </w:r>
                    <w:r>
                      <w:rPr>
                        <w:rFonts w:ascii="Trebuchet MS"/>
                        <w:spacing w:val="-7"/>
                        <w:sz w:val="16"/>
                      </w:rPr>
                      <w:t xml:space="preserve"> </w:t>
                    </w:r>
                    <w:r>
                      <w:rPr>
                        <w:rFonts w:ascii="Trebuchet MS"/>
                        <w:spacing w:val="-2"/>
                        <w:w w:val="80"/>
                        <w:sz w:val="16"/>
                      </w:rPr>
                      <w:t>redevelopment</w:t>
                    </w:r>
                    <w:r>
                      <w:rPr>
                        <w:rFonts w:ascii="Trebuchet MS"/>
                        <w:spacing w:val="-7"/>
                        <w:sz w:val="16"/>
                      </w:rPr>
                      <w:t xml:space="preserve"> </w:t>
                    </w:r>
                    <w:r>
                      <w:rPr>
                        <w:rFonts w:ascii="Trebuchet MS"/>
                        <w:spacing w:val="-2"/>
                        <w:w w:val="80"/>
                        <w:sz w:val="16"/>
                      </w:rPr>
                      <w:t>of</w:t>
                    </w:r>
                    <w:r>
                      <w:rPr>
                        <w:rFonts w:ascii="Trebuchet MS"/>
                        <w:w w:val="85"/>
                        <w:sz w:val="16"/>
                      </w:rPr>
                      <w:t xml:space="preserve"> </w:t>
                    </w:r>
                    <w:r>
                      <w:rPr>
                        <w:w w:val="85"/>
                        <w:sz w:val="16"/>
                      </w:rPr>
                      <w:t>Wynyard</w:t>
                    </w:r>
                    <w:r>
                      <w:rPr>
                        <w:spacing w:val="-5"/>
                        <w:w w:val="85"/>
                        <w:sz w:val="16"/>
                      </w:rPr>
                      <w:t xml:space="preserve"> </w:t>
                    </w:r>
                    <w:r>
                      <w:rPr>
                        <w:w w:val="85"/>
                        <w:sz w:val="16"/>
                      </w:rPr>
                      <w:t>and</w:t>
                    </w:r>
                    <w:r>
                      <w:rPr>
                        <w:spacing w:val="-5"/>
                        <w:w w:val="85"/>
                        <w:sz w:val="16"/>
                      </w:rPr>
                      <w:t xml:space="preserve"> </w:t>
                    </w:r>
                    <w:r>
                      <w:rPr>
                        <w:w w:val="85"/>
                        <w:sz w:val="16"/>
                      </w:rPr>
                      <w:t>Town</w:t>
                    </w:r>
                    <w:r>
                      <w:rPr>
                        <w:spacing w:val="-2"/>
                        <w:w w:val="85"/>
                        <w:sz w:val="16"/>
                      </w:rPr>
                      <w:t xml:space="preserve"> </w:t>
                    </w:r>
                    <w:r>
                      <w:rPr>
                        <w:w w:val="85"/>
                        <w:sz w:val="16"/>
                      </w:rPr>
                      <w:t>Hall</w:t>
                    </w:r>
                    <w:r>
                      <w:rPr>
                        <w:spacing w:val="-3"/>
                        <w:w w:val="85"/>
                        <w:sz w:val="16"/>
                      </w:rPr>
                      <w:t xml:space="preserve"> </w:t>
                    </w:r>
                    <w:r>
                      <w:rPr>
                        <w:w w:val="85"/>
                        <w:sz w:val="16"/>
                      </w:rPr>
                      <w:t>stations.</w:t>
                    </w:r>
                  </w:p>
                </w:txbxContent>
              </v:textbox>
            </v:shape>
            <v:shape id="docshape1349" o:spid="_x0000_s3898" type="#_x0000_t202" style="position:absolute;left:8808;top:5351;width:592;height:231" filled="f" stroked="f">
              <v:textbox inset="0,0,0,0">
                <w:txbxContent>
                  <w:p w:rsidR="00F22F94" w:rsidRDefault="00F22F94">
                    <w:pPr>
                      <w:spacing w:before="17"/>
                      <w:ind w:left="20"/>
                      <w:rPr>
                        <w:rFonts w:ascii="Trebuchet MS"/>
                        <w:sz w:val="16"/>
                      </w:rPr>
                    </w:pPr>
                    <w:r>
                      <w:rPr>
                        <w:rFonts w:ascii="Trebuchet MS"/>
                        <w:w w:val="80"/>
                        <w:sz w:val="16"/>
                      </w:rPr>
                      <w:t>Market</w:t>
                    </w:r>
                    <w:r>
                      <w:rPr>
                        <w:rFonts w:ascii="Trebuchet MS"/>
                        <w:spacing w:val="-4"/>
                        <w:w w:val="80"/>
                        <w:sz w:val="16"/>
                      </w:rPr>
                      <w:t xml:space="preserve"> </w:t>
                    </w:r>
                    <w:r>
                      <w:rPr>
                        <w:rFonts w:ascii="Trebuchet MS"/>
                        <w:spacing w:val="-5"/>
                        <w:w w:val="90"/>
                        <w:position w:val="1"/>
                        <w:sz w:val="16"/>
                      </w:rPr>
                      <w:t>St</w:t>
                    </w:r>
                  </w:p>
                </w:txbxContent>
              </v:textbox>
            </v:shape>
            <v:shape id="docshape1350" o:spid="_x0000_s3897" type="#_x0000_t202" style="position:absolute;left:10036;top:7578;width:703;height:231" filled="f" stroked="f">
              <v:textbox inset="0,0,0,0">
                <w:txbxContent>
                  <w:p w:rsidR="00F22F94" w:rsidRDefault="00F22F94">
                    <w:pPr>
                      <w:spacing w:before="15"/>
                      <w:ind w:left="20"/>
                      <w:rPr>
                        <w:sz w:val="16"/>
                      </w:rPr>
                    </w:pPr>
                    <w:r>
                      <w:rPr>
                        <w:w w:val="75"/>
                        <w:position w:val="1"/>
                        <w:sz w:val="16"/>
                      </w:rPr>
                      <w:t>Liverpool</w:t>
                    </w:r>
                    <w:r>
                      <w:rPr>
                        <w:spacing w:val="3"/>
                        <w:position w:val="1"/>
                        <w:sz w:val="16"/>
                      </w:rPr>
                      <w:t xml:space="preserve"> </w:t>
                    </w:r>
                    <w:r>
                      <w:rPr>
                        <w:spacing w:val="-5"/>
                        <w:w w:val="85"/>
                        <w:sz w:val="16"/>
                      </w:rPr>
                      <w:t>St</w:t>
                    </w:r>
                  </w:p>
                </w:txbxContent>
              </v:textbox>
            </v:shape>
            <w10:wrap anchorx="page"/>
          </v:group>
        </w:pict>
      </w:r>
      <w:bookmarkStart w:id="195" w:name="_bookmark139"/>
      <w:bookmarkEnd w:id="195"/>
      <w:r w:rsidR="00F22F94">
        <w:rPr>
          <w:w w:val="95"/>
        </w:rPr>
        <w:t>The</w:t>
      </w:r>
      <w:r w:rsidR="00F22F94">
        <w:rPr>
          <w:spacing w:val="-8"/>
          <w:w w:val="95"/>
        </w:rPr>
        <w:t xml:space="preserve"> </w:t>
      </w:r>
      <w:r w:rsidR="00F22F94">
        <w:rPr>
          <w:w w:val="95"/>
        </w:rPr>
        <w:t>concept</w:t>
      </w:r>
      <w:r w:rsidR="00F22F94">
        <w:rPr>
          <w:spacing w:val="-7"/>
          <w:w w:val="95"/>
        </w:rPr>
        <w:t xml:space="preserve"> </w:t>
      </w:r>
      <w:r w:rsidR="00F22F94">
        <w:rPr>
          <w:w w:val="95"/>
        </w:rPr>
        <w:t>as</w:t>
      </w:r>
      <w:r w:rsidR="00F22F94">
        <w:rPr>
          <w:spacing w:val="-7"/>
          <w:w w:val="95"/>
        </w:rPr>
        <w:t xml:space="preserve"> </w:t>
      </w:r>
      <w:r w:rsidR="00F22F94">
        <w:rPr>
          <w:w w:val="95"/>
        </w:rPr>
        <w:t>applied</w:t>
      </w:r>
      <w:r w:rsidR="00F22F94">
        <w:rPr>
          <w:spacing w:val="-8"/>
          <w:w w:val="95"/>
        </w:rPr>
        <w:t xml:space="preserve"> </w:t>
      </w:r>
      <w:r w:rsidR="00F22F94">
        <w:rPr>
          <w:w w:val="95"/>
        </w:rPr>
        <w:t>to</w:t>
      </w:r>
      <w:r w:rsidR="00F22F94">
        <w:rPr>
          <w:spacing w:val="-7"/>
          <w:w w:val="95"/>
        </w:rPr>
        <w:t xml:space="preserve"> </w:t>
      </w:r>
      <w:r w:rsidR="00F22F94">
        <w:rPr>
          <w:w w:val="95"/>
        </w:rPr>
        <w:t>Sydney</w:t>
      </w:r>
      <w:r w:rsidR="00F22F94">
        <w:rPr>
          <w:spacing w:val="-7"/>
          <w:w w:val="95"/>
        </w:rPr>
        <w:t xml:space="preserve"> </w:t>
      </w:r>
      <w:r w:rsidR="00F22F94">
        <w:rPr>
          <w:w w:val="95"/>
        </w:rPr>
        <w:t>(illustrated</w:t>
      </w:r>
      <w:r w:rsidR="00F22F94">
        <w:rPr>
          <w:spacing w:val="-8"/>
          <w:w w:val="95"/>
        </w:rPr>
        <w:t xml:space="preserve"> </w:t>
      </w:r>
      <w:r w:rsidR="00F22F94">
        <w:rPr>
          <w:spacing w:val="-5"/>
          <w:w w:val="95"/>
        </w:rPr>
        <w:t>in</w:t>
      </w:r>
    </w:p>
    <w:p w:rsidR="002C1123" w:rsidRDefault="002060EF">
      <w:pPr>
        <w:pStyle w:val="BodyText"/>
        <w:spacing w:before="10" w:line="249" w:lineRule="auto"/>
        <w:ind w:left="492" w:right="10730"/>
      </w:pPr>
      <w:r>
        <w:pict>
          <v:shape id="_x0000_s3895" type="#_x0000_t136" style="position:absolute;left:0;text-align:left;margin-left:412.3pt;margin-top:38.15pt;width:38.8pt;height:8pt;rotation:294;z-index:251399168;mso-position-horizontal-relative:page" fillcolor="black" stroked="f">
            <o:extrusion v:ext="view" autorotationcenter="t"/>
            <v:textpath style="font-family:&quot;Arial&quot;;font-size:8pt;v-text-kern:t;mso-text-shadow:auto" string="Bradfield Hwy"/>
            <w10:wrap anchorx="page"/>
          </v:shape>
        </w:pict>
      </w:r>
      <w:r w:rsidR="00F22F94">
        <w:rPr>
          <w:w w:val="95"/>
        </w:rPr>
        <w:t>Figure</w:t>
      </w:r>
      <w:r w:rsidR="00F22F94">
        <w:rPr>
          <w:spacing w:val="-2"/>
          <w:w w:val="95"/>
        </w:rPr>
        <w:t xml:space="preserve"> </w:t>
      </w:r>
      <w:r w:rsidR="00F22F94">
        <w:rPr>
          <w:w w:val="95"/>
        </w:rPr>
        <w:t>7.2),</w:t>
      </w:r>
      <w:r w:rsidR="00F22F94">
        <w:rPr>
          <w:spacing w:val="-2"/>
          <w:w w:val="95"/>
        </w:rPr>
        <w:t xml:space="preserve"> </w:t>
      </w:r>
      <w:r w:rsidR="00F22F94">
        <w:rPr>
          <w:w w:val="95"/>
        </w:rPr>
        <w:t>involves</w:t>
      </w:r>
      <w:r w:rsidR="00F22F94">
        <w:rPr>
          <w:spacing w:val="-2"/>
          <w:w w:val="95"/>
        </w:rPr>
        <w:t xml:space="preserve"> </w:t>
      </w:r>
      <w:r w:rsidR="00F22F94">
        <w:rPr>
          <w:w w:val="95"/>
        </w:rPr>
        <w:t>constructing</w:t>
      </w:r>
      <w:r w:rsidR="00F22F94">
        <w:rPr>
          <w:spacing w:val="-2"/>
          <w:w w:val="95"/>
        </w:rPr>
        <w:t xml:space="preserve"> </w:t>
      </w:r>
      <w:r w:rsidR="00F22F94">
        <w:rPr>
          <w:w w:val="95"/>
        </w:rPr>
        <w:t>a</w:t>
      </w:r>
      <w:r w:rsidR="00F22F94">
        <w:rPr>
          <w:spacing w:val="-2"/>
          <w:w w:val="95"/>
        </w:rPr>
        <w:t xml:space="preserve"> </w:t>
      </w:r>
      <w:r w:rsidR="00F22F94">
        <w:rPr>
          <w:w w:val="95"/>
        </w:rPr>
        <w:t>short</w:t>
      </w:r>
      <w:r w:rsidR="00F22F94">
        <w:rPr>
          <w:spacing w:val="-2"/>
          <w:w w:val="95"/>
        </w:rPr>
        <w:t xml:space="preserve"> </w:t>
      </w:r>
      <w:r w:rsidR="00F22F94">
        <w:rPr>
          <w:w w:val="95"/>
        </w:rPr>
        <w:t>new</w:t>
      </w:r>
      <w:r w:rsidR="00F22F94">
        <w:rPr>
          <w:spacing w:val="-2"/>
          <w:w w:val="95"/>
        </w:rPr>
        <w:t xml:space="preserve"> </w:t>
      </w:r>
      <w:r w:rsidR="00F22F94">
        <w:rPr>
          <w:w w:val="95"/>
        </w:rPr>
        <w:t>bus</w:t>
      </w:r>
      <w:r w:rsidR="00F22F94">
        <w:rPr>
          <w:spacing w:val="-2"/>
          <w:w w:val="95"/>
        </w:rPr>
        <w:t xml:space="preserve"> </w:t>
      </w:r>
      <w:r w:rsidR="00F22F94">
        <w:rPr>
          <w:w w:val="95"/>
        </w:rPr>
        <w:t xml:space="preserve">tunnel </w:t>
      </w:r>
      <w:r w:rsidR="00F22F94">
        <w:t>between</w:t>
      </w:r>
      <w:r w:rsidR="00F22F94">
        <w:rPr>
          <w:spacing w:val="-10"/>
        </w:rPr>
        <w:t xml:space="preserve"> </w:t>
      </w:r>
      <w:r w:rsidR="00F22F94">
        <w:t>new</w:t>
      </w:r>
      <w:r w:rsidR="00F22F94">
        <w:rPr>
          <w:spacing w:val="-10"/>
        </w:rPr>
        <w:t xml:space="preserve"> </w:t>
      </w:r>
      <w:r w:rsidR="00F22F94">
        <w:t>underground</w:t>
      </w:r>
      <w:r w:rsidR="00F22F94">
        <w:rPr>
          <w:spacing w:val="-10"/>
        </w:rPr>
        <w:t xml:space="preserve"> </w:t>
      </w:r>
      <w:r w:rsidR="00F22F94">
        <w:t>bus</w:t>
      </w:r>
      <w:r w:rsidR="00F22F94">
        <w:rPr>
          <w:spacing w:val="-10"/>
        </w:rPr>
        <w:t xml:space="preserve"> </w:t>
      </w:r>
      <w:r w:rsidR="00F22F94">
        <w:t>terminals</w:t>
      </w:r>
      <w:r w:rsidR="00F22F94">
        <w:rPr>
          <w:spacing w:val="-10"/>
        </w:rPr>
        <w:t xml:space="preserve"> </w:t>
      </w:r>
      <w:r w:rsidR="00F22F94">
        <w:t>at</w:t>
      </w:r>
      <w:r w:rsidR="00F22F94">
        <w:rPr>
          <w:spacing w:val="-10"/>
        </w:rPr>
        <w:t xml:space="preserve"> </w:t>
      </w:r>
      <w:r w:rsidR="00F22F94">
        <w:t xml:space="preserve">Wynyard </w:t>
      </w:r>
      <w:r w:rsidR="00F22F94">
        <w:rPr>
          <w:w w:val="95"/>
        </w:rPr>
        <w:t>and</w:t>
      </w:r>
      <w:r w:rsidR="00F22F94">
        <w:rPr>
          <w:spacing w:val="-8"/>
          <w:w w:val="95"/>
        </w:rPr>
        <w:t xml:space="preserve"> </w:t>
      </w:r>
      <w:r w:rsidR="00F22F94">
        <w:rPr>
          <w:w w:val="95"/>
        </w:rPr>
        <w:t>Town</w:t>
      </w:r>
      <w:r w:rsidR="00F22F94">
        <w:rPr>
          <w:spacing w:val="-8"/>
          <w:w w:val="95"/>
        </w:rPr>
        <w:t xml:space="preserve"> </w:t>
      </w:r>
      <w:r w:rsidR="00F22F94">
        <w:rPr>
          <w:w w:val="95"/>
        </w:rPr>
        <w:t>Hall,</w:t>
      </w:r>
      <w:r w:rsidR="00F22F94">
        <w:rPr>
          <w:spacing w:val="-8"/>
          <w:w w:val="95"/>
        </w:rPr>
        <w:t xml:space="preserve"> </w:t>
      </w:r>
      <w:r w:rsidR="00F22F94">
        <w:rPr>
          <w:w w:val="95"/>
        </w:rPr>
        <w:t>to</w:t>
      </w:r>
      <w:r w:rsidR="00F22F94">
        <w:rPr>
          <w:spacing w:val="-8"/>
          <w:w w:val="95"/>
        </w:rPr>
        <w:t xml:space="preserve"> </w:t>
      </w:r>
      <w:r w:rsidR="00F22F94">
        <w:rPr>
          <w:w w:val="95"/>
        </w:rPr>
        <w:t>serve</w:t>
      </w:r>
      <w:r w:rsidR="00F22F94">
        <w:rPr>
          <w:spacing w:val="-8"/>
          <w:w w:val="95"/>
        </w:rPr>
        <w:t xml:space="preserve"> </w:t>
      </w:r>
      <w:r w:rsidR="00F22F94">
        <w:rPr>
          <w:w w:val="95"/>
        </w:rPr>
        <w:t>buses</w:t>
      </w:r>
      <w:r w:rsidR="00F22F94">
        <w:rPr>
          <w:spacing w:val="-8"/>
          <w:w w:val="95"/>
        </w:rPr>
        <w:t xml:space="preserve"> </w:t>
      </w:r>
      <w:r w:rsidR="00F22F94">
        <w:rPr>
          <w:w w:val="95"/>
        </w:rPr>
        <w:t>entering</w:t>
      </w:r>
      <w:r w:rsidR="00F22F94">
        <w:rPr>
          <w:spacing w:val="-8"/>
          <w:w w:val="95"/>
        </w:rPr>
        <w:t xml:space="preserve"> </w:t>
      </w:r>
      <w:r w:rsidR="00F22F94">
        <w:rPr>
          <w:w w:val="95"/>
        </w:rPr>
        <w:t>the</w:t>
      </w:r>
      <w:r w:rsidR="00F22F94">
        <w:rPr>
          <w:spacing w:val="-8"/>
          <w:w w:val="95"/>
        </w:rPr>
        <w:t xml:space="preserve"> </w:t>
      </w:r>
      <w:r w:rsidR="00F22F94">
        <w:rPr>
          <w:w w:val="95"/>
        </w:rPr>
        <w:t>CBD</w:t>
      </w:r>
      <w:r w:rsidR="00F22F94">
        <w:rPr>
          <w:spacing w:val="-8"/>
          <w:w w:val="95"/>
        </w:rPr>
        <w:t xml:space="preserve"> </w:t>
      </w:r>
      <w:r w:rsidR="00F22F94">
        <w:rPr>
          <w:w w:val="95"/>
        </w:rPr>
        <w:t>from</w:t>
      </w:r>
      <w:r w:rsidR="00F22F94">
        <w:rPr>
          <w:spacing w:val="-9"/>
          <w:w w:val="95"/>
        </w:rPr>
        <w:t xml:space="preserve"> </w:t>
      </w:r>
      <w:r w:rsidR="00F22F94">
        <w:rPr>
          <w:w w:val="95"/>
        </w:rPr>
        <w:t xml:space="preserve">the highest demand corridors of the Sydney Harbour Bridge </w:t>
      </w:r>
      <w:r w:rsidR="00F22F94">
        <w:t>and</w:t>
      </w:r>
      <w:r w:rsidR="00F22F94">
        <w:rPr>
          <w:spacing w:val="-11"/>
        </w:rPr>
        <w:t xml:space="preserve"> </w:t>
      </w:r>
      <w:r w:rsidR="00F22F94">
        <w:t>Broadway.</w:t>
      </w:r>
    </w:p>
    <w:p w:rsidR="002C1123" w:rsidRDefault="002060EF">
      <w:pPr>
        <w:pStyle w:val="BodyText"/>
        <w:spacing w:before="146" w:line="249" w:lineRule="auto"/>
        <w:ind w:left="492" w:right="10891"/>
      </w:pPr>
      <w:r>
        <w:pict>
          <v:shape id="_x0000_s3894" type="#_x0000_t136" style="position:absolute;left:0;text-align:left;margin-left:476.1pt;margin-top:15.15pt;width:50.6pt;height:8pt;rotation:4;z-index:251384832;mso-position-horizontal-relative:page" fillcolor="black" stroked="f">
            <o:extrusion v:ext="view" autorotationcenter="t"/>
            <v:textpath style="font-family:&quot;Trebuchet MS&quot;;font-size:8pt;v-text-kern:t;mso-text-shadow:auto" string="Cahill Expressway"/>
            <w10:wrap anchorx="page"/>
          </v:shape>
        </w:pict>
      </w:r>
      <w:r>
        <w:pict>
          <v:shape id="_x0000_s3893" type="#_x0000_t136" style="position:absolute;left:0;text-align:left;margin-left:420.75pt;margin-top:53.55pt;width:36.4pt;height:8pt;rotation:4;z-index:251385856;mso-position-horizontal-relative:page" fillcolor="black" stroked="f">
            <o:extrusion v:ext="view" autorotationcenter="t"/>
            <v:textpath style="font-family:&quot;Arial&quot;;font-size:8pt;v-text-kern:t;mso-text-shadow:auto" string="Grosvenor St"/>
            <w10:wrap anchorx="page"/>
          </v:shape>
        </w:pict>
      </w:r>
      <w:r>
        <w:pict>
          <v:shape id="_x0000_s3892" type="#_x0000_t136" style="position:absolute;left:0;text-align:left;margin-left:504.85pt;margin-top:108.4pt;width:26.55pt;height:8pt;rotation:6;z-index:251388928;mso-position-horizontal-relative:page" fillcolor="black" stroked="f">
            <o:extrusion v:ext="view" autorotationcenter="t"/>
            <v:textpath style="font-family:&quot;Arial&quot;;font-size:8pt;v-text-kern:t;mso-text-shadow:auto" string="Hunter St"/>
            <w10:wrap anchorx="page"/>
          </v:shape>
        </w:pict>
      </w:r>
      <w:r>
        <w:pict>
          <v:shape id="_x0000_s3891" type="#_x0000_t136" style="position:absolute;left:0;text-align:left;margin-left:412pt;margin-top:149.15pt;width:32.7pt;height:8pt;rotation:262;z-index:251392000;mso-position-horizontal-relative:page" fillcolor="black" stroked="f">
            <o:extrusion v:ext="view" autorotationcenter="t"/>
            <v:textpath style="font-family:&quot;Arial&quot;;font-size:8pt;v-text-kern:t;mso-text-shadow:auto" string="Clarence St"/>
            <w10:wrap anchorx="page"/>
          </v:shape>
        </w:pict>
      </w:r>
      <w:r>
        <w:pict>
          <v:shape id="_x0000_s3890" type="#_x0000_t136" style="position:absolute;left:0;text-align:left;margin-left:422.15pt;margin-top:76.25pt;width:20.15pt;height:8pt;rotation:264;z-index:251393024;mso-position-horizontal-relative:page" fillcolor="black" stroked="f">
            <o:extrusion v:ext="view" autorotationcenter="t"/>
            <v:textpath style="font-family:&quot;Arial&quot;;font-size:8pt;v-text-kern:t;mso-text-shadow:auto" string="York St"/>
            <w10:wrap anchorx="page"/>
          </v:shape>
        </w:pict>
      </w:r>
      <w:r>
        <w:pict>
          <v:shape id="_x0000_s3889" type="#_x0000_t136" style="position:absolute;left:0;text-align:left;margin-left:447.45pt;margin-top:73.7pt;width:28.05pt;height:8pt;rotation:276;z-index:251395072;mso-position-horizontal-relative:page" fillcolor="black" stroked="f">
            <o:extrusion v:ext="view" autorotationcenter="t"/>
            <v:textpath style="font-family:&quot;Arial&quot;;font-size:8pt;v-text-kern:t;mso-text-shadow:auto" string="George St"/>
            <w10:wrap anchorx="page"/>
          </v:shape>
        </w:pict>
      </w:r>
      <w:r>
        <w:pict>
          <v:shape id="_x0000_s3888" type="#_x0000_t136" style="position:absolute;left:0;text-align:left;margin-left:474.6pt;margin-top:79.2pt;width:16.9pt;height:8pt;rotation:276;z-index:251396096;mso-position-horizontal-relative:page" fillcolor="black" stroked="f">
            <o:extrusion v:ext="view" autorotationcenter="t"/>
            <v:textpath style="font-family:&quot;Arial&quot;;font-size:8pt;v-text-kern:t;mso-text-shadow:auto" string="Pitt St"/>
            <w10:wrap anchorx="page"/>
          </v:shape>
        </w:pict>
      </w:r>
      <w:r>
        <w:pict>
          <v:shape id="_x0000_s3887" type="#_x0000_t136" style="position:absolute;left:0;text-align:left;margin-left:517.05pt;margin-top:144.85pt;width:37.5pt;height:8pt;rotation:276;z-index:251398144;mso-position-horizontal-relative:page" fillcolor="black" stroked="f">
            <o:extrusion v:ext="view" autorotationcenter="t"/>
            <v:textpath style="font-family:&quot;Trebuchet MS&quot;;font-size:8pt;v-text-kern:t;mso-text-shadow:auto" string="Macquarie St"/>
            <w10:wrap anchorx="page"/>
          </v:shape>
        </w:pict>
      </w:r>
      <w:r>
        <w:pict>
          <v:shape id="_x0000_s3886" type="#_x0000_t136" style="position:absolute;left:0;text-align:left;margin-left:500.8pt;margin-top:53.95pt;width:26.05pt;height:8pt;rotation:354;z-index:251401216;mso-position-horizontal-relative:page" fillcolor="black" stroked="f">
            <o:extrusion v:ext="view" autorotationcenter="t"/>
            <v:textpath style="font-family:&quot;Arial&quot;;font-size:8pt;v-text-kern:t;mso-text-shadow:auto" string="Bridge St"/>
            <w10:wrap anchorx="page"/>
          </v:shape>
        </w:pict>
      </w:r>
      <w:r w:rsidR="00F22F94">
        <w:t>With</w:t>
      </w:r>
      <w:r w:rsidR="00F22F94">
        <w:rPr>
          <w:spacing w:val="-14"/>
        </w:rPr>
        <w:t xml:space="preserve"> </w:t>
      </w:r>
      <w:r w:rsidR="00F22F94">
        <w:t>each</w:t>
      </w:r>
      <w:r w:rsidR="00F22F94">
        <w:rPr>
          <w:spacing w:val="-14"/>
        </w:rPr>
        <w:t xml:space="preserve"> </w:t>
      </w:r>
      <w:r w:rsidR="00F22F94">
        <w:t>bus</w:t>
      </w:r>
      <w:r w:rsidR="00F22F94">
        <w:rPr>
          <w:spacing w:val="-14"/>
        </w:rPr>
        <w:t xml:space="preserve"> </w:t>
      </w:r>
      <w:r w:rsidR="00F22F94">
        <w:t>terminal</w:t>
      </w:r>
      <w:r w:rsidR="00F22F94">
        <w:rPr>
          <w:spacing w:val="-14"/>
        </w:rPr>
        <w:t xml:space="preserve"> </w:t>
      </w:r>
      <w:r w:rsidR="00F22F94">
        <w:t>having</w:t>
      </w:r>
      <w:r w:rsidR="00F22F94">
        <w:rPr>
          <w:spacing w:val="-14"/>
        </w:rPr>
        <w:t xml:space="preserve"> </w:t>
      </w:r>
      <w:r w:rsidR="00F22F94">
        <w:t>two</w:t>
      </w:r>
      <w:r w:rsidR="00F22F94">
        <w:rPr>
          <w:spacing w:val="-14"/>
        </w:rPr>
        <w:t xml:space="preserve"> </w:t>
      </w:r>
      <w:r w:rsidR="00F22F94">
        <w:t>55</w:t>
      </w:r>
      <w:r w:rsidR="00F22F94">
        <w:rPr>
          <w:spacing w:val="-14"/>
        </w:rPr>
        <w:t xml:space="preserve"> </w:t>
      </w:r>
      <w:r w:rsidR="00F22F94">
        <w:t>metre</w:t>
      </w:r>
      <w:r w:rsidR="00F22F94">
        <w:rPr>
          <w:spacing w:val="-14"/>
        </w:rPr>
        <w:t xml:space="preserve"> </w:t>
      </w:r>
      <w:r w:rsidR="00F22F94">
        <w:t xml:space="preserve">platforms </w:t>
      </w:r>
      <w:r w:rsidR="00F22F94">
        <w:rPr>
          <w:w w:val="95"/>
        </w:rPr>
        <w:t>for</w:t>
      </w:r>
      <w:r w:rsidR="00F22F94">
        <w:rPr>
          <w:spacing w:val="-1"/>
          <w:w w:val="95"/>
        </w:rPr>
        <w:t xml:space="preserve"> </w:t>
      </w:r>
      <w:r w:rsidR="00F22F94">
        <w:rPr>
          <w:w w:val="95"/>
        </w:rPr>
        <w:t>each</w:t>
      </w:r>
      <w:r w:rsidR="00F22F94">
        <w:rPr>
          <w:spacing w:val="-1"/>
          <w:w w:val="95"/>
        </w:rPr>
        <w:t xml:space="preserve"> </w:t>
      </w:r>
      <w:r w:rsidR="00F22F94">
        <w:rPr>
          <w:w w:val="95"/>
        </w:rPr>
        <w:t>direction,</w:t>
      </w:r>
      <w:r w:rsidR="00F22F94">
        <w:rPr>
          <w:spacing w:val="-1"/>
          <w:w w:val="95"/>
        </w:rPr>
        <w:t xml:space="preserve"> </w:t>
      </w:r>
      <w:r w:rsidR="00F22F94">
        <w:rPr>
          <w:w w:val="95"/>
        </w:rPr>
        <w:t>the</w:t>
      </w:r>
      <w:r w:rsidR="00F22F94">
        <w:rPr>
          <w:spacing w:val="-1"/>
          <w:w w:val="95"/>
        </w:rPr>
        <w:t xml:space="preserve"> </w:t>
      </w:r>
      <w:r w:rsidR="00F22F94">
        <w:rPr>
          <w:w w:val="95"/>
        </w:rPr>
        <w:t>BRT</w:t>
      </w:r>
      <w:r w:rsidR="00F22F94">
        <w:rPr>
          <w:spacing w:val="-1"/>
          <w:w w:val="95"/>
        </w:rPr>
        <w:t xml:space="preserve"> </w:t>
      </w:r>
      <w:r w:rsidR="00F22F94">
        <w:rPr>
          <w:w w:val="95"/>
        </w:rPr>
        <w:t>would</w:t>
      </w:r>
      <w:r w:rsidR="00F22F94">
        <w:rPr>
          <w:spacing w:val="-1"/>
          <w:w w:val="95"/>
        </w:rPr>
        <w:t xml:space="preserve"> </w:t>
      </w:r>
      <w:r w:rsidR="00F22F94">
        <w:rPr>
          <w:w w:val="95"/>
        </w:rPr>
        <w:t>provide</w:t>
      </w:r>
      <w:r w:rsidR="00F22F94">
        <w:rPr>
          <w:spacing w:val="-1"/>
          <w:w w:val="95"/>
        </w:rPr>
        <w:t xml:space="preserve"> </w:t>
      </w:r>
      <w:r w:rsidR="00F22F94">
        <w:rPr>
          <w:w w:val="95"/>
        </w:rPr>
        <w:t>new</w:t>
      </w:r>
      <w:r w:rsidR="00F22F94">
        <w:rPr>
          <w:spacing w:val="-1"/>
          <w:w w:val="95"/>
        </w:rPr>
        <w:t xml:space="preserve"> </w:t>
      </w:r>
      <w:r w:rsidR="00F22F94">
        <w:rPr>
          <w:w w:val="95"/>
        </w:rPr>
        <w:t xml:space="preserve">capacity </w:t>
      </w:r>
      <w:r w:rsidR="00F22F94">
        <w:t>for</w:t>
      </w:r>
      <w:r w:rsidR="00F22F94">
        <w:rPr>
          <w:spacing w:val="-8"/>
        </w:rPr>
        <w:t xml:space="preserve"> </w:t>
      </w:r>
      <w:r w:rsidR="00F22F94">
        <w:t>up</w:t>
      </w:r>
      <w:r w:rsidR="00F22F94">
        <w:rPr>
          <w:spacing w:val="-8"/>
        </w:rPr>
        <w:t xml:space="preserve"> </w:t>
      </w:r>
      <w:r w:rsidR="00F22F94">
        <w:t>to</w:t>
      </w:r>
      <w:r w:rsidR="00F22F94">
        <w:rPr>
          <w:spacing w:val="-8"/>
        </w:rPr>
        <w:t xml:space="preserve"> </w:t>
      </w:r>
      <w:r w:rsidR="00F22F94">
        <w:t>20,000</w:t>
      </w:r>
      <w:r w:rsidR="00F22F94">
        <w:rPr>
          <w:spacing w:val="-8"/>
        </w:rPr>
        <w:t xml:space="preserve"> </w:t>
      </w:r>
      <w:r w:rsidR="00F22F94">
        <w:t>passengers</w:t>
      </w:r>
      <w:r w:rsidR="00F22F94">
        <w:rPr>
          <w:spacing w:val="-8"/>
        </w:rPr>
        <w:t xml:space="preserve"> </w:t>
      </w:r>
      <w:r w:rsidR="00F22F94">
        <w:t>per</w:t>
      </w:r>
      <w:r w:rsidR="00F22F94">
        <w:rPr>
          <w:spacing w:val="-8"/>
        </w:rPr>
        <w:t xml:space="preserve"> </w:t>
      </w:r>
      <w:r w:rsidR="00F22F94">
        <w:t>hour</w:t>
      </w:r>
      <w:r w:rsidR="00F22F94">
        <w:rPr>
          <w:spacing w:val="-8"/>
        </w:rPr>
        <w:t xml:space="preserve"> </w:t>
      </w:r>
      <w:r w:rsidR="00F22F94">
        <w:t>(double</w:t>
      </w:r>
      <w:r w:rsidR="00F22F94">
        <w:rPr>
          <w:spacing w:val="-8"/>
        </w:rPr>
        <w:t xml:space="preserve"> </w:t>
      </w:r>
      <w:r w:rsidR="00F22F94">
        <w:t xml:space="preserve">that </w:t>
      </w:r>
      <w:r w:rsidR="00F22F94">
        <w:rPr>
          <w:w w:val="95"/>
        </w:rPr>
        <w:t>offered</w:t>
      </w:r>
      <w:r w:rsidR="00F22F94">
        <w:rPr>
          <w:spacing w:val="-4"/>
          <w:w w:val="95"/>
        </w:rPr>
        <w:t xml:space="preserve"> </w:t>
      </w:r>
      <w:r w:rsidR="00F22F94">
        <w:rPr>
          <w:w w:val="95"/>
        </w:rPr>
        <w:t>by</w:t>
      </w:r>
      <w:r w:rsidR="00F22F94">
        <w:rPr>
          <w:spacing w:val="-4"/>
          <w:w w:val="95"/>
        </w:rPr>
        <w:t xml:space="preserve"> </w:t>
      </w:r>
      <w:r w:rsidR="00F22F94">
        <w:rPr>
          <w:w w:val="95"/>
        </w:rPr>
        <w:t>light</w:t>
      </w:r>
      <w:r w:rsidR="00F22F94">
        <w:rPr>
          <w:spacing w:val="-4"/>
          <w:w w:val="95"/>
        </w:rPr>
        <w:t xml:space="preserve"> </w:t>
      </w:r>
      <w:r w:rsidR="00F22F94">
        <w:rPr>
          <w:w w:val="95"/>
        </w:rPr>
        <w:t>rail),</w:t>
      </w:r>
      <w:r w:rsidR="00F22F94">
        <w:rPr>
          <w:spacing w:val="-4"/>
          <w:w w:val="95"/>
        </w:rPr>
        <w:t xml:space="preserve"> </w:t>
      </w:r>
      <w:r w:rsidR="00F22F94">
        <w:rPr>
          <w:w w:val="95"/>
        </w:rPr>
        <w:t>enabling</w:t>
      </w:r>
      <w:r w:rsidR="00F22F94">
        <w:rPr>
          <w:spacing w:val="-4"/>
          <w:w w:val="95"/>
        </w:rPr>
        <w:t xml:space="preserve"> </w:t>
      </w:r>
      <w:r w:rsidR="00F22F94">
        <w:rPr>
          <w:w w:val="95"/>
        </w:rPr>
        <w:t>the</w:t>
      </w:r>
      <w:r w:rsidR="00F22F94">
        <w:rPr>
          <w:spacing w:val="-4"/>
          <w:w w:val="95"/>
        </w:rPr>
        <w:t xml:space="preserve"> </w:t>
      </w:r>
      <w:r w:rsidR="00F22F94">
        <w:rPr>
          <w:w w:val="95"/>
        </w:rPr>
        <w:t>substantial</w:t>
      </w:r>
      <w:r w:rsidR="00F22F94">
        <w:rPr>
          <w:spacing w:val="-4"/>
          <w:w w:val="95"/>
        </w:rPr>
        <w:t xml:space="preserve"> </w:t>
      </w:r>
      <w:r w:rsidR="00F22F94">
        <w:rPr>
          <w:w w:val="95"/>
        </w:rPr>
        <w:t>removal</w:t>
      </w:r>
      <w:r w:rsidR="00F22F94">
        <w:rPr>
          <w:spacing w:val="-4"/>
          <w:w w:val="95"/>
        </w:rPr>
        <w:t xml:space="preserve"> </w:t>
      </w:r>
      <w:r w:rsidR="00F22F94">
        <w:rPr>
          <w:w w:val="95"/>
        </w:rPr>
        <w:t xml:space="preserve">of </w:t>
      </w:r>
      <w:r w:rsidR="00F22F94">
        <w:t>buses</w:t>
      </w:r>
      <w:r w:rsidR="00F22F94">
        <w:rPr>
          <w:spacing w:val="-10"/>
        </w:rPr>
        <w:t xml:space="preserve"> </w:t>
      </w:r>
      <w:r w:rsidR="00F22F94">
        <w:t>from</w:t>
      </w:r>
      <w:r w:rsidR="00F22F94">
        <w:rPr>
          <w:spacing w:val="-11"/>
        </w:rPr>
        <w:t xml:space="preserve"> </w:t>
      </w:r>
      <w:r w:rsidR="00F22F94">
        <w:t>surface</w:t>
      </w:r>
      <w:r w:rsidR="00F22F94">
        <w:rPr>
          <w:spacing w:val="-10"/>
        </w:rPr>
        <w:t xml:space="preserve"> </w:t>
      </w:r>
      <w:r w:rsidR="00F22F94">
        <w:t>streets</w:t>
      </w:r>
      <w:r w:rsidR="00F22F94">
        <w:rPr>
          <w:position w:val="7"/>
          <w:sz w:val="11"/>
        </w:rPr>
        <w:t>10</w:t>
      </w:r>
      <w:r w:rsidR="00F22F94">
        <w:t>.</w:t>
      </w:r>
      <w:r w:rsidR="00F22F94">
        <w:rPr>
          <w:spacing w:val="-10"/>
        </w:rPr>
        <w:t xml:space="preserve"> </w:t>
      </w:r>
      <w:r w:rsidR="00F22F94">
        <w:t>This</w:t>
      </w:r>
      <w:r w:rsidR="00F22F94">
        <w:rPr>
          <w:spacing w:val="-10"/>
        </w:rPr>
        <w:t xml:space="preserve"> </w:t>
      </w:r>
      <w:r w:rsidR="00F22F94">
        <w:t>would</w:t>
      </w:r>
      <w:r w:rsidR="00F22F94">
        <w:rPr>
          <w:spacing w:val="-10"/>
        </w:rPr>
        <w:t xml:space="preserve"> </w:t>
      </w:r>
      <w:r w:rsidR="00F22F94">
        <w:t>reduce</w:t>
      </w:r>
      <w:r w:rsidR="00F22F94">
        <w:rPr>
          <w:spacing w:val="-10"/>
        </w:rPr>
        <w:t xml:space="preserve"> </w:t>
      </w:r>
      <w:r w:rsidR="00F22F94">
        <w:t>CBD congestion</w:t>
      </w:r>
      <w:r w:rsidR="00F22F94">
        <w:rPr>
          <w:spacing w:val="-11"/>
        </w:rPr>
        <w:t xml:space="preserve"> </w:t>
      </w:r>
      <w:r w:rsidR="00F22F94">
        <w:t>and</w:t>
      </w:r>
      <w:r w:rsidR="00F22F94">
        <w:rPr>
          <w:spacing w:val="-11"/>
        </w:rPr>
        <w:t xml:space="preserve"> </w:t>
      </w:r>
      <w:r w:rsidR="00F22F94">
        <w:t>enable</w:t>
      </w:r>
      <w:r w:rsidR="00F22F94">
        <w:rPr>
          <w:spacing w:val="-11"/>
        </w:rPr>
        <w:t xml:space="preserve"> </w:t>
      </w:r>
      <w:r w:rsidR="00F22F94">
        <w:t>pedestrianisation</w:t>
      </w:r>
      <w:r w:rsidR="00F22F94">
        <w:rPr>
          <w:spacing w:val="-11"/>
        </w:rPr>
        <w:t xml:space="preserve"> </w:t>
      </w:r>
      <w:r w:rsidR="00F22F94">
        <w:t>of</w:t>
      </w:r>
      <w:r w:rsidR="00F22F94">
        <w:rPr>
          <w:spacing w:val="-11"/>
        </w:rPr>
        <w:t xml:space="preserve"> </w:t>
      </w:r>
      <w:r w:rsidR="00F22F94">
        <w:t xml:space="preserve">George </w:t>
      </w:r>
      <w:r w:rsidR="00F22F94">
        <w:rPr>
          <w:w w:val="95"/>
        </w:rPr>
        <w:t>Street.</w:t>
      </w:r>
      <w:r w:rsidR="00F22F94">
        <w:rPr>
          <w:spacing w:val="-9"/>
          <w:w w:val="95"/>
        </w:rPr>
        <w:t xml:space="preserve"> </w:t>
      </w:r>
      <w:r w:rsidR="00F22F94">
        <w:rPr>
          <w:w w:val="95"/>
        </w:rPr>
        <w:t>If</w:t>
      </w:r>
      <w:r w:rsidR="00F22F94">
        <w:rPr>
          <w:spacing w:val="-9"/>
          <w:w w:val="95"/>
        </w:rPr>
        <w:t xml:space="preserve"> </w:t>
      </w:r>
      <w:r w:rsidR="00F22F94">
        <w:rPr>
          <w:w w:val="95"/>
        </w:rPr>
        <w:t>a</w:t>
      </w:r>
      <w:r w:rsidR="00F22F94">
        <w:rPr>
          <w:spacing w:val="-9"/>
          <w:w w:val="95"/>
        </w:rPr>
        <w:t xml:space="preserve"> </w:t>
      </w:r>
      <w:r w:rsidR="00F22F94">
        <w:rPr>
          <w:w w:val="95"/>
        </w:rPr>
        <w:t>viable</w:t>
      </w:r>
      <w:r w:rsidR="00F22F94">
        <w:rPr>
          <w:spacing w:val="-9"/>
          <w:w w:val="95"/>
        </w:rPr>
        <w:t xml:space="preserve"> </w:t>
      </w:r>
      <w:r w:rsidR="00F22F94">
        <w:rPr>
          <w:w w:val="95"/>
        </w:rPr>
        <w:t>business</w:t>
      </w:r>
      <w:r w:rsidR="00F22F94">
        <w:rPr>
          <w:spacing w:val="-9"/>
          <w:w w:val="95"/>
        </w:rPr>
        <w:t xml:space="preserve"> </w:t>
      </w:r>
      <w:r w:rsidR="00F22F94">
        <w:rPr>
          <w:w w:val="95"/>
        </w:rPr>
        <w:t>case</w:t>
      </w:r>
      <w:r w:rsidR="00F22F94">
        <w:rPr>
          <w:spacing w:val="-9"/>
          <w:w w:val="95"/>
        </w:rPr>
        <w:t xml:space="preserve"> </w:t>
      </w:r>
      <w:r w:rsidR="00F22F94">
        <w:rPr>
          <w:w w:val="95"/>
        </w:rPr>
        <w:t>is</w:t>
      </w:r>
      <w:r w:rsidR="00F22F94">
        <w:rPr>
          <w:spacing w:val="-9"/>
          <w:w w:val="95"/>
        </w:rPr>
        <w:t xml:space="preserve"> </w:t>
      </w:r>
      <w:r w:rsidR="00F22F94">
        <w:rPr>
          <w:w w:val="95"/>
        </w:rPr>
        <w:t>made</w:t>
      </w:r>
      <w:r w:rsidR="00F22F94">
        <w:rPr>
          <w:spacing w:val="-9"/>
          <w:w w:val="95"/>
        </w:rPr>
        <w:t xml:space="preserve"> </w:t>
      </w:r>
      <w:r w:rsidR="00F22F94">
        <w:rPr>
          <w:w w:val="95"/>
        </w:rPr>
        <w:t>in</w:t>
      </w:r>
      <w:r w:rsidR="00F22F94">
        <w:rPr>
          <w:spacing w:val="-9"/>
          <w:w w:val="95"/>
        </w:rPr>
        <w:t xml:space="preserve"> </w:t>
      </w:r>
      <w:r w:rsidR="00F22F94">
        <w:rPr>
          <w:w w:val="95"/>
        </w:rPr>
        <w:t>the</w:t>
      </w:r>
      <w:r w:rsidR="00F22F94">
        <w:rPr>
          <w:spacing w:val="-9"/>
          <w:w w:val="95"/>
        </w:rPr>
        <w:t xml:space="preserve"> </w:t>
      </w:r>
      <w:r w:rsidR="00F22F94">
        <w:rPr>
          <w:w w:val="95"/>
        </w:rPr>
        <w:t>future</w:t>
      </w:r>
      <w:r w:rsidR="00F22F94">
        <w:rPr>
          <w:spacing w:val="-9"/>
          <w:w w:val="95"/>
        </w:rPr>
        <w:t xml:space="preserve"> </w:t>
      </w:r>
      <w:r w:rsidR="00F22F94">
        <w:rPr>
          <w:w w:val="95"/>
        </w:rPr>
        <w:t xml:space="preserve">for </w:t>
      </w:r>
      <w:r w:rsidR="00F22F94">
        <w:t>the</w:t>
      </w:r>
      <w:r w:rsidR="00F22F94">
        <w:rPr>
          <w:spacing w:val="-14"/>
        </w:rPr>
        <w:t xml:space="preserve"> </w:t>
      </w:r>
      <w:r w:rsidR="00F22F94">
        <w:t>introduction</w:t>
      </w:r>
      <w:r w:rsidR="00F22F94">
        <w:rPr>
          <w:spacing w:val="-14"/>
        </w:rPr>
        <w:t xml:space="preserve"> </w:t>
      </w:r>
      <w:r w:rsidR="00F22F94">
        <w:t>of</w:t>
      </w:r>
      <w:r w:rsidR="00F22F94">
        <w:rPr>
          <w:spacing w:val="-13"/>
        </w:rPr>
        <w:t xml:space="preserve"> </w:t>
      </w:r>
      <w:r w:rsidR="00F22F94">
        <w:t>light</w:t>
      </w:r>
      <w:r w:rsidR="00F22F94">
        <w:rPr>
          <w:spacing w:val="-14"/>
        </w:rPr>
        <w:t xml:space="preserve"> </w:t>
      </w:r>
      <w:r w:rsidR="00F22F94">
        <w:t>rail,</w:t>
      </w:r>
      <w:r w:rsidR="00F22F94">
        <w:rPr>
          <w:spacing w:val="-14"/>
        </w:rPr>
        <w:t xml:space="preserve"> </w:t>
      </w:r>
      <w:r w:rsidR="00F22F94">
        <w:t>the</w:t>
      </w:r>
      <w:r w:rsidR="00F22F94">
        <w:rPr>
          <w:spacing w:val="-13"/>
        </w:rPr>
        <w:t xml:space="preserve"> </w:t>
      </w:r>
      <w:r w:rsidR="00F22F94">
        <w:t>existence</w:t>
      </w:r>
      <w:r w:rsidR="00F22F94">
        <w:rPr>
          <w:spacing w:val="-14"/>
        </w:rPr>
        <w:t xml:space="preserve"> </w:t>
      </w:r>
      <w:r w:rsidR="00F22F94">
        <w:t>of</w:t>
      </w:r>
      <w:r w:rsidR="00F22F94">
        <w:rPr>
          <w:spacing w:val="-14"/>
        </w:rPr>
        <w:t xml:space="preserve"> </w:t>
      </w:r>
      <w:r w:rsidR="00F22F94">
        <w:t>the</w:t>
      </w:r>
      <w:r w:rsidR="00F22F94">
        <w:rPr>
          <w:spacing w:val="-13"/>
        </w:rPr>
        <w:t xml:space="preserve"> </w:t>
      </w:r>
      <w:r w:rsidR="00F22F94">
        <w:t>CBD BRT</w:t>
      </w:r>
      <w:r w:rsidR="00F22F94">
        <w:rPr>
          <w:spacing w:val="-7"/>
        </w:rPr>
        <w:t xml:space="preserve"> </w:t>
      </w:r>
      <w:r w:rsidR="00F22F94">
        <w:t>would</w:t>
      </w:r>
      <w:r w:rsidR="00F22F94">
        <w:rPr>
          <w:spacing w:val="-7"/>
        </w:rPr>
        <w:t xml:space="preserve"> </w:t>
      </w:r>
      <w:r w:rsidR="00F22F94">
        <w:t>provide</w:t>
      </w:r>
      <w:r w:rsidR="00F22F94">
        <w:rPr>
          <w:spacing w:val="-7"/>
        </w:rPr>
        <w:t xml:space="preserve"> </w:t>
      </w:r>
      <w:r w:rsidR="00F22F94">
        <w:t>the</w:t>
      </w:r>
      <w:r w:rsidR="00F22F94">
        <w:rPr>
          <w:spacing w:val="-7"/>
        </w:rPr>
        <w:t xml:space="preserve"> </w:t>
      </w:r>
      <w:r w:rsidR="00F22F94">
        <w:t>mass</w:t>
      </w:r>
      <w:r w:rsidR="00F22F94">
        <w:rPr>
          <w:spacing w:val="-7"/>
        </w:rPr>
        <w:t xml:space="preserve"> </w:t>
      </w:r>
      <w:r w:rsidR="00F22F94">
        <w:t>transit</w:t>
      </w:r>
      <w:r w:rsidR="00F22F94">
        <w:rPr>
          <w:spacing w:val="-7"/>
        </w:rPr>
        <w:t xml:space="preserve"> </w:t>
      </w:r>
      <w:r w:rsidR="00F22F94">
        <w:t>commuter</w:t>
      </w:r>
      <w:r w:rsidR="00F22F94">
        <w:rPr>
          <w:spacing w:val="-7"/>
        </w:rPr>
        <w:t xml:space="preserve"> </w:t>
      </w:r>
      <w:r w:rsidR="00F22F94">
        <w:t xml:space="preserve">task </w:t>
      </w:r>
      <w:r w:rsidR="00F22F94">
        <w:rPr>
          <w:w w:val="95"/>
        </w:rPr>
        <w:t>which</w:t>
      </w:r>
      <w:r w:rsidR="00F22F94">
        <w:rPr>
          <w:spacing w:val="-4"/>
          <w:w w:val="95"/>
        </w:rPr>
        <w:t xml:space="preserve"> </w:t>
      </w:r>
      <w:r w:rsidR="00F22F94">
        <w:rPr>
          <w:w w:val="95"/>
        </w:rPr>
        <w:t>would</w:t>
      </w:r>
      <w:r w:rsidR="00F22F94">
        <w:rPr>
          <w:spacing w:val="-4"/>
          <w:w w:val="95"/>
        </w:rPr>
        <w:t xml:space="preserve"> </w:t>
      </w:r>
      <w:r w:rsidR="00F22F94">
        <w:rPr>
          <w:w w:val="95"/>
        </w:rPr>
        <w:t>enable</w:t>
      </w:r>
      <w:r w:rsidR="00F22F94">
        <w:rPr>
          <w:spacing w:val="-4"/>
          <w:w w:val="95"/>
        </w:rPr>
        <w:t xml:space="preserve"> </w:t>
      </w:r>
      <w:r w:rsidR="00F22F94">
        <w:rPr>
          <w:w w:val="95"/>
        </w:rPr>
        <w:t>light</w:t>
      </w:r>
      <w:r w:rsidR="00F22F94">
        <w:rPr>
          <w:spacing w:val="-4"/>
          <w:w w:val="95"/>
        </w:rPr>
        <w:t xml:space="preserve"> </w:t>
      </w:r>
      <w:r w:rsidR="00F22F94">
        <w:rPr>
          <w:w w:val="95"/>
        </w:rPr>
        <w:t>rail</w:t>
      </w:r>
      <w:r w:rsidR="00F22F94">
        <w:rPr>
          <w:spacing w:val="-4"/>
          <w:w w:val="95"/>
        </w:rPr>
        <w:t xml:space="preserve"> </w:t>
      </w:r>
      <w:r w:rsidR="00F22F94">
        <w:rPr>
          <w:w w:val="95"/>
        </w:rPr>
        <w:t>to</w:t>
      </w:r>
      <w:r w:rsidR="00F22F94">
        <w:rPr>
          <w:spacing w:val="-4"/>
          <w:w w:val="95"/>
        </w:rPr>
        <w:t xml:space="preserve"> </w:t>
      </w:r>
      <w:r w:rsidR="00F22F94">
        <w:rPr>
          <w:w w:val="95"/>
        </w:rPr>
        <w:t>provide</w:t>
      </w:r>
      <w:r w:rsidR="00F22F94">
        <w:rPr>
          <w:spacing w:val="-4"/>
          <w:w w:val="95"/>
        </w:rPr>
        <w:t xml:space="preserve"> </w:t>
      </w:r>
      <w:r w:rsidR="00F22F94">
        <w:rPr>
          <w:w w:val="95"/>
        </w:rPr>
        <w:t>a</w:t>
      </w:r>
      <w:r w:rsidR="00F22F94">
        <w:rPr>
          <w:spacing w:val="-4"/>
          <w:w w:val="95"/>
        </w:rPr>
        <w:t xml:space="preserve"> </w:t>
      </w:r>
      <w:r w:rsidR="00F22F94">
        <w:rPr>
          <w:w w:val="95"/>
        </w:rPr>
        <w:t>lower</w:t>
      </w:r>
      <w:r w:rsidR="00F22F94">
        <w:rPr>
          <w:spacing w:val="-4"/>
          <w:w w:val="95"/>
        </w:rPr>
        <w:t xml:space="preserve"> </w:t>
      </w:r>
      <w:r w:rsidR="00F22F94">
        <w:rPr>
          <w:w w:val="95"/>
        </w:rPr>
        <w:t xml:space="preserve">capacity </w:t>
      </w:r>
      <w:r w:rsidR="00F22F94">
        <w:t>system</w:t>
      </w:r>
      <w:r w:rsidR="00F22F94">
        <w:rPr>
          <w:spacing w:val="-1"/>
        </w:rPr>
        <w:t xml:space="preserve"> </w:t>
      </w:r>
      <w:r w:rsidR="00F22F94">
        <w:t>to</w:t>
      </w:r>
      <w:r w:rsidR="00F22F94">
        <w:rPr>
          <w:spacing w:val="-1"/>
        </w:rPr>
        <w:t xml:space="preserve"> </w:t>
      </w:r>
      <w:r w:rsidR="00F22F94">
        <w:t>support</w:t>
      </w:r>
      <w:r w:rsidR="00F22F94">
        <w:rPr>
          <w:spacing w:val="-1"/>
        </w:rPr>
        <w:t xml:space="preserve"> </w:t>
      </w:r>
      <w:r w:rsidR="00F22F94">
        <w:t>urban</w:t>
      </w:r>
      <w:r w:rsidR="00F22F94">
        <w:rPr>
          <w:spacing w:val="-1"/>
        </w:rPr>
        <w:t xml:space="preserve"> </w:t>
      </w:r>
      <w:r w:rsidR="00F22F94">
        <w:t>amenity</w:t>
      </w:r>
      <w:r w:rsidR="00F22F94">
        <w:rPr>
          <w:spacing w:val="-1"/>
        </w:rPr>
        <w:t xml:space="preserve"> </w:t>
      </w:r>
      <w:r w:rsidR="00F22F94">
        <w:t>objectives.</w:t>
      </w:r>
    </w:p>
    <w:p w:rsidR="002C1123" w:rsidRDefault="002060EF">
      <w:pPr>
        <w:pStyle w:val="BodyText"/>
        <w:spacing w:before="150" w:line="249" w:lineRule="auto"/>
        <w:ind w:left="492" w:right="10835"/>
      </w:pPr>
      <w:r>
        <w:pict>
          <v:shape id="_x0000_s3885" type="#_x0000_t136" style="position:absolute;left:0;text-align:left;margin-left:443.25pt;margin-top:14.95pt;width:20.2pt;height:8pt;rotation:4;z-index:251386880;mso-position-horizontal-relative:page" fillcolor="black" stroked="f">
            <o:extrusion v:ext="view" autorotationcenter="t"/>
            <v:textpath style="font-family:&quot;Arial&quot;;font-size:8pt;v-text-kern:t;mso-text-shadow:auto" string="King St"/>
            <w10:wrap anchorx="page"/>
          </v:shape>
        </w:pict>
      </w:r>
      <w:r w:rsidR="00F22F94">
        <w:t>For</w:t>
      </w:r>
      <w:r w:rsidR="00F22F94">
        <w:rPr>
          <w:spacing w:val="-14"/>
        </w:rPr>
        <w:t xml:space="preserve"> </w:t>
      </w:r>
      <w:r w:rsidR="00F22F94">
        <w:t>bus</w:t>
      </w:r>
      <w:r w:rsidR="00F22F94">
        <w:rPr>
          <w:spacing w:val="-14"/>
        </w:rPr>
        <w:t xml:space="preserve"> </w:t>
      </w:r>
      <w:r w:rsidR="00F22F94">
        <w:t>users</w:t>
      </w:r>
      <w:r w:rsidR="00F22F94">
        <w:rPr>
          <w:spacing w:val="-14"/>
        </w:rPr>
        <w:t xml:space="preserve"> </w:t>
      </w:r>
      <w:r w:rsidR="00F22F94">
        <w:t>the</w:t>
      </w:r>
      <w:r w:rsidR="00F22F94">
        <w:rPr>
          <w:spacing w:val="-14"/>
        </w:rPr>
        <w:t xml:space="preserve"> </w:t>
      </w:r>
      <w:r w:rsidR="00F22F94">
        <w:t>CBD</w:t>
      </w:r>
      <w:r w:rsidR="00F22F94">
        <w:rPr>
          <w:spacing w:val="-14"/>
        </w:rPr>
        <w:t xml:space="preserve"> </w:t>
      </w:r>
      <w:r w:rsidR="00F22F94">
        <w:t>BRT</w:t>
      </w:r>
      <w:r w:rsidR="00F22F94">
        <w:rPr>
          <w:spacing w:val="-14"/>
        </w:rPr>
        <w:t xml:space="preserve"> </w:t>
      </w:r>
      <w:r w:rsidR="00F22F94">
        <w:t>would</w:t>
      </w:r>
      <w:r w:rsidR="00F22F94">
        <w:rPr>
          <w:spacing w:val="-14"/>
        </w:rPr>
        <w:t xml:space="preserve"> </w:t>
      </w:r>
      <w:r w:rsidR="00F22F94">
        <w:t>provide</w:t>
      </w:r>
      <w:r w:rsidR="00F22F94">
        <w:rPr>
          <w:spacing w:val="-14"/>
        </w:rPr>
        <w:t xml:space="preserve"> </w:t>
      </w:r>
      <w:r w:rsidR="00F22F94">
        <w:t>faster</w:t>
      </w:r>
      <w:r w:rsidR="00F22F94">
        <w:rPr>
          <w:spacing w:val="-14"/>
        </w:rPr>
        <w:t xml:space="preserve"> </w:t>
      </w:r>
      <w:r w:rsidR="00F22F94">
        <w:t xml:space="preserve">and </w:t>
      </w:r>
      <w:r w:rsidR="00F22F94">
        <w:rPr>
          <w:spacing w:val="-2"/>
        </w:rPr>
        <w:t>more</w:t>
      </w:r>
      <w:r w:rsidR="00F22F94">
        <w:rPr>
          <w:spacing w:val="-7"/>
        </w:rPr>
        <w:t xml:space="preserve"> </w:t>
      </w:r>
      <w:r w:rsidR="00F22F94">
        <w:rPr>
          <w:spacing w:val="-2"/>
        </w:rPr>
        <w:t>reliable</w:t>
      </w:r>
      <w:r w:rsidR="00F22F94">
        <w:rPr>
          <w:spacing w:val="-7"/>
        </w:rPr>
        <w:t xml:space="preserve"> </w:t>
      </w:r>
      <w:r w:rsidR="00F22F94">
        <w:rPr>
          <w:spacing w:val="-2"/>
        </w:rPr>
        <w:t>travel</w:t>
      </w:r>
      <w:r w:rsidR="00F22F94">
        <w:rPr>
          <w:spacing w:val="-7"/>
        </w:rPr>
        <w:t xml:space="preserve"> </w:t>
      </w:r>
      <w:r w:rsidR="00F22F94">
        <w:rPr>
          <w:spacing w:val="-2"/>
        </w:rPr>
        <w:t>times,</w:t>
      </w:r>
      <w:r w:rsidR="00F22F94">
        <w:rPr>
          <w:spacing w:val="-7"/>
        </w:rPr>
        <w:t xml:space="preserve"> </w:t>
      </w:r>
      <w:r w:rsidR="00F22F94">
        <w:rPr>
          <w:spacing w:val="-2"/>
        </w:rPr>
        <w:t>whilst</w:t>
      </w:r>
      <w:r w:rsidR="00F22F94">
        <w:rPr>
          <w:spacing w:val="-7"/>
        </w:rPr>
        <w:t xml:space="preserve"> </w:t>
      </w:r>
      <w:r w:rsidR="00F22F94">
        <w:rPr>
          <w:spacing w:val="-2"/>
        </w:rPr>
        <w:t>largely</w:t>
      </w:r>
      <w:r w:rsidR="00F22F94">
        <w:rPr>
          <w:spacing w:val="-7"/>
        </w:rPr>
        <w:t xml:space="preserve"> </w:t>
      </w:r>
      <w:r w:rsidR="00F22F94">
        <w:rPr>
          <w:spacing w:val="-2"/>
        </w:rPr>
        <w:t xml:space="preserve">maintaining </w:t>
      </w:r>
      <w:r w:rsidR="00F22F94">
        <w:rPr>
          <w:w w:val="95"/>
        </w:rPr>
        <w:t>current</w:t>
      </w:r>
      <w:r w:rsidR="00F22F94">
        <w:rPr>
          <w:spacing w:val="-1"/>
          <w:w w:val="95"/>
        </w:rPr>
        <w:t xml:space="preserve"> </w:t>
      </w:r>
      <w:r w:rsidR="00F22F94">
        <w:rPr>
          <w:w w:val="95"/>
        </w:rPr>
        <w:t>service</w:t>
      </w:r>
      <w:r w:rsidR="00F22F94">
        <w:rPr>
          <w:spacing w:val="-1"/>
          <w:w w:val="95"/>
        </w:rPr>
        <w:t xml:space="preserve"> </w:t>
      </w:r>
      <w:r w:rsidR="00F22F94">
        <w:rPr>
          <w:w w:val="95"/>
        </w:rPr>
        <w:t>standards</w:t>
      </w:r>
      <w:r w:rsidR="00F22F94">
        <w:rPr>
          <w:spacing w:val="-1"/>
          <w:w w:val="95"/>
        </w:rPr>
        <w:t xml:space="preserve"> </w:t>
      </w:r>
      <w:r w:rsidR="00F22F94">
        <w:rPr>
          <w:w w:val="95"/>
        </w:rPr>
        <w:t>–</w:t>
      </w:r>
      <w:r w:rsidR="00F22F94">
        <w:rPr>
          <w:spacing w:val="-1"/>
          <w:w w:val="95"/>
        </w:rPr>
        <w:t xml:space="preserve"> </w:t>
      </w:r>
      <w:r w:rsidR="00F22F94">
        <w:rPr>
          <w:w w:val="95"/>
        </w:rPr>
        <w:t>with</w:t>
      </w:r>
      <w:r w:rsidR="00F22F94">
        <w:rPr>
          <w:spacing w:val="-1"/>
          <w:w w:val="95"/>
        </w:rPr>
        <w:t xml:space="preserve"> </w:t>
      </w:r>
      <w:r w:rsidR="00F22F94">
        <w:rPr>
          <w:w w:val="95"/>
        </w:rPr>
        <w:t>less</w:t>
      </w:r>
      <w:r w:rsidR="00F22F94">
        <w:rPr>
          <w:spacing w:val="-1"/>
          <w:w w:val="95"/>
        </w:rPr>
        <w:t xml:space="preserve"> </w:t>
      </w:r>
      <w:r w:rsidR="00F22F94">
        <w:rPr>
          <w:w w:val="95"/>
        </w:rPr>
        <w:t>forced</w:t>
      </w:r>
      <w:r w:rsidR="00F22F94">
        <w:rPr>
          <w:spacing w:val="-1"/>
          <w:w w:val="95"/>
        </w:rPr>
        <w:t xml:space="preserve"> </w:t>
      </w:r>
      <w:r w:rsidR="00F22F94">
        <w:rPr>
          <w:w w:val="95"/>
        </w:rPr>
        <w:t xml:space="preserve">passenger </w:t>
      </w:r>
      <w:r w:rsidR="00F22F94">
        <w:t>interchange</w:t>
      </w:r>
      <w:r w:rsidR="00F22F94">
        <w:rPr>
          <w:spacing w:val="-9"/>
        </w:rPr>
        <w:t xml:space="preserve"> </w:t>
      </w:r>
      <w:r w:rsidR="00F22F94">
        <w:t>and</w:t>
      </w:r>
      <w:r w:rsidR="00F22F94">
        <w:rPr>
          <w:spacing w:val="-9"/>
        </w:rPr>
        <w:t xml:space="preserve"> </w:t>
      </w:r>
      <w:r w:rsidR="00F22F94">
        <w:t>higher</w:t>
      </w:r>
      <w:r w:rsidR="00F22F94">
        <w:rPr>
          <w:spacing w:val="-9"/>
        </w:rPr>
        <w:t xml:space="preserve"> </w:t>
      </w:r>
      <w:r w:rsidR="00F22F94">
        <w:t>seating</w:t>
      </w:r>
      <w:r w:rsidR="00F22F94">
        <w:rPr>
          <w:spacing w:val="-9"/>
        </w:rPr>
        <w:t xml:space="preserve"> </w:t>
      </w:r>
      <w:r w:rsidR="00F22F94">
        <w:t>capacity</w:t>
      </w:r>
      <w:r w:rsidR="00F22F94">
        <w:rPr>
          <w:spacing w:val="-9"/>
        </w:rPr>
        <w:t xml:space="preserve"> </w:t>
      </w:r>
      <w:r w:rsidR="00F22F94">
        <w:t>than</w:t>
      </w:r>
      <w:r w:rsidR="00F22F94">
        <w:rPr>
          <w:spacing w:val="-9"/>
        </w:rPr>
        <w:t xml:space="preserve"> </w:t>
      </w:r>
      <w:r w:rsidR="00F22F94">
        <w:t>with</w:t>
      </w:r>
    </w:p>
    <w:p w:rsidR="002C1123" w:rsidRDefault="002060EF">
      <w:pPr>
        <w:pStyle w:val="BodyText"/>
        <w:spacing w:before="4"/>
        <w:ind w:left="492"/>
      </w:pPr>
      <w:r>
        <w:pict>
          <v:shape id="_x0000_s3884" type="#_x0000_t136" style="position:absolute;left:0;text-align:left;margin-left:488.55pt;margin-top:14.9pt;width:32.9pt;height:8pt;rotation:276;z-index:251397120;mso-position-horizontal-relative:page" fillcolor="black" stroked="f">
            <o:extrusion v:ext="view" autorotationcenter="t"/>
            <v:textpath style="font-family:&quot;Arial&quot;;font-size:8pt;v-text-kern:t;mso-text-shadow:auto" string="Elizabeth St"/>
            <w10:wrap anchorx="page"/>
          </v:shape>
        </w:pict>
      </w:r>
      <w:r w:rsidR="00F22F94">
        <w:rPr>
          <w:w w:val="95"/>
        </w:rPr>
        <w:t>light</w:t>
      </w:r>
      <w:r w:rsidR="00F22F94">
        <w:rPr>
          <w:spacing w:val="-11"/>
          <w:w w:val="95"/>
        </w:rPr>
        <w:t xml:space="preserve"> </w:t>
      </w:r>
      <w:r w:rsidR="00F22F94">
        <w:rPr>
          <w:spacing w:val="-2"/>
        </w:rPr>
        <w:t>rail.</w:t>
      </w:r>
    </w:p>
    <w:p w:rsidR="002C1123" w:rsidRDefault="002060EF">
      <w:pPr>
        <w:pStyle w:val="BodyText"/>
        <w:spacing w:before="152" w:line="249" w:lineRule="auto"/>
        <w:ind w:left="492" w:right="10730"/>
      </w:pPr>
      <w:r>
        <w:pict>
          <v:shape id="_x0000_s3883" type="#_x0000_t136" style="position:absolute;left:0;text-align:left;margin-left:514.45pt;margin-top:35.8pt;width:20.5pt;height:8pt;rotation:8;z-index:251389952;mso-position-horizontal-relative:page" fillcolor="black" stroked="f">
            <o:extrusion v:ext="view" autorotationcenter="t"/>
            <v:textpath style="font-family:&quot;Arial&quot;;font-size:8pt;v-text-kern:t;mso-text-shadow:auto" string="Park St"/>
            <w10:wrap anchorx="page"/>
          </v:shape>
        </w:pict>
      </w:r>
      <w:r>
        <w:pict>
          <v:shape id="_x0000_s3882" type="#_x0000_t136" style="position:absolute;left:0;text-align:left;margin-left:392.85pt;margin-top:46.25pt;width:18.5pt;height:8pt;rotation:260;z-index:251390976;mso-position-horizontal-relative:page" fillcolor="black" stroked="f">
            <o:extrusion v:ext="view" autorotationcenter="t"/>
            <v:textpath style="font-family:&quot;Arial&quot;;font-size:8pt;v-text-kern:t;mso-text-shadow:auto" string="Day St"/>
            <w10:wrap anchorx="page"/>
          </v:shape>
        </w:pict>
      </w:r>
      <w:r>
        <w:pict>
          <v:shape id="_x0000_s3881" type="#_x0000_t136" style="position:absolute;left:0;text-align:left;margin-left:419pt;margin-top:24.45pt;width:23.2pt;height:8pt;rotation:352;z-index:251400192;mso-position-horizontal-relative:page" fillcolor="black" stroked="f">
            <o:extrusion v:ext="view" autorotationcenter="t"/>
            <v:textpath style="font-family:&quot;Arial&quot;;font-size:8pt;v-text-kern:t;mso-text-shadow:auto" string="Druitt St"/>
            <w10:wrap anchorx="page"/>
          </v:shape>
        </w:pict>
      </w:r>
      <w:r w:rsidR="00F22F94">
        <w:rPr>
          <w:w w:val="95"/>
        </w:rPr>
        <w:t>Additionally, bus services from the West (Victoria Road) and</w:t>
      </w:r>
      <w:r w:rsidR="00F22F94">
        <w:rPr>
          <w:spacing w:val="-9"/>
          <w:w w:val="95"/>
        </w:rPr>
        <w:t xml:space="preserve"> </w:t>
      </w:r>
      <w:r w:rsidR="00F22F94">
        <w:rPr>
          <w:w w:val="95"/>
        </w:rPr>
        <w:t>the</w:t>
      </w:r>
      <w:r w:rsidR="00F22F94">
        <w:rPr>
          <w:spacing w:val="-9"/>
          <w:w w:val="95"/>
        </w:rPr>
        <w:t xml:space="preserve"> </w:t>
      </w:r>
      <w:r w:rsidR="00F22F94">
        <w:rPr>
          <w:w w:val="95"/>
        </w:rPr>
        <w:t>East</w:t>
      </w:r>
      <w:r w:rsidR="00F22F94">
        <w:rPr>
          <w:spacing w:val="-9"/>
          <w:w w:val="95"/>
        </w:rPr>
        <w:t xml:space="preserve"> </w:t>
      </w:r>
      <w:r w:rsidR="00F22F94">
        <w:rPr>
          <w:w w:val="95"/>
        </w:rPr>
        <w:t>(including</w:t>
      </w:r>
      <w:r w:rsidR="00F22F94">
        <w:rPr>
          <w:spacing w:val="-9"/>
          <w:w w:val="95"/>
        </w:rPr>
        <w:t xml:space="preserve"> </w:t>
      </w:r>
      <w:r w:rsidR="00F22F94">
        <w:rPr>
          <w:w w:val="95"/>
        </w:rPr>
        <w:t>William</w:t>
      </w:r>
      <w:r w:rsidR="00F22F94">
        <w:rPr>
          <w:spacing w:val="-10"/>
          <w:w w:val="95"/>
        </w:rPr>
        <w:t xml:space="preserve"> </w:t>
      </w:r>
      <w:r w:rsidR="00F22F94">
        <w:rPr>
          <w:w w:val="95"/>
        </w:rPr>
        <w:t>Street)</w:t>
      </w:r>
      <w:r w:rsidR="00F22F94">
        <w:rPr>
          <w:spacing w:val="-9"/>
          <w:w w:val="95"/>
        </w:rPr>
        <w:t xml:space="preserve"> </w:t>
      </w:r>
      <w:r w:rsidR="00F22F94">
        <w:rPr>
          <w:w w:val="95"/>
        </w:rPr>
        <w:t>may</w:t>
      </w:r>
      <w:r w:rsidR="00F22F94">
        <w:rPr>
          <w:spacing w:val="-9"/>
          <w:w w:val="95"/>
        </w:rPr>
        <w:t xml:space="preserve"> </w:t>
      </w:r>
      <w:r w:rsidR="00F22F94">
        <w:rPr>
          <w:w w:val="95"/>
        </w:rPr>
        <w:t>be</w:t>
      </w:r>
      <w:r w:rsidR="00F22F94">
        <w:rPr>
          <w:spacing w:val="-9"/>
          <w:w w:val="95"/>
        </w:rPr>
        <w:t xml:space="preserve"> </w:t>
      </w:r>
      <w:r w:rsidR="00F22F94">
        <w:rPr>
          <w:w w:val="95"/>
        </w:rPr>
        <w:t xml:space="preserve">connected </w:t>
      </w:r>
      <w:r w:rsidR="00F22F94">
        <w:rPr>
          <w:spacing w:val="-2"/>
        </w:rPr>
        <w:t>into</w:t>
      </w:r>
      <w:r w:rsidR="00F22F94">
        <w:rPr>
          <w:spacing w:val="-8"/>
        </w:rPr>
        <w:t xml:space="preserve"> </w:t>
      </w:r>
      <w:r w:rsidR="00F22F94">
        <w:rPr>
          <w:spacing w:val="-2"/>
        </w:rPr>
        <w:t>the</w:t>
      </w:r>
      <w:r w:rsidR="00F22F94">
        <w:rPr>
          <w:spacing w:val="-8"/>
        </w:rPr>
        <w:t xml:space="preserve"> </w:t>
      </w:r>
      <w:r w:rsidR="00F22F94">
        <w:rPr>
          <w:spacing w:val="-2"/>
        </w:rPr>
        <w:t>CBD</w:t>
      </w:r>
      <w:r w:rsidR="00F22F94">
        <w:rPr>
          <w:spacing w:val="-8"/>
        </w:rPr>
        <w:t xml:space="preserve"> </w:t>
      </w:r>
      <w:r w:rsidR="00F22F94">
        <w:rPr>
          <w:spacing w:val="-2"/>
        </w:rPr>
        <w:t>BRT</w:t>
      </w:r>
      <w:r w:rsidR="00F22F94">
        <w:rPr>
          <w:spacing w:val="-8"/>
        </w:rPr>
        <w:t xml:space="preserve"> </w:t>
      </w:r>
      <w:r w:rsidR="00F22F94">
        <w:rPr>
          <w:spacing w:val="-2"/>
        </w:rPr>
        <w:t>via</w:t>
      </w:r>
      <w:r w:rsidR="00F22F94">
        <w:rPr>
          <w:spacing w:val="-8"/>
        </w:rPr>
        <w:t xml:space="preserve"> </w:t>
      </w:r>
      <w:r w:rsidR="00F22F94">
        <w:rPr>
          <w:spacing w:val="-2"/>
        </w:rPr>
        <w:t>the</w:t>
      </w:r>
      <w:r w:rsidR="00F22F94">
        <w:rPr>
          <w:spacing w:val="-8"/>
        </w:rPr>
        <w:t xml:space="preserve"> </w:t>
      </w:r>
      <w:r w:rsidR="00F22F94">
        <w:rPr>
          <w:spacing w:val="-2"/>
        </w:rPr>
        <w:t>Cross-City</w:t>
      </w:r>
      <w:r w:rsidR="00F22F94">
        <w:rPr>
          <w:spacing w:val="-8"/>
        </w:rPr>
        <w:t xml:space="preserve"> </w:t>
      </w:r>
      <w:r w:rsidR="00F22F94">
        <w:rPr>
          <w:spacing w:val="-2"/>
        </w:rPr>
        <w:t>Tunnel</w:t>
      </w:r>
      <w:r w:rsidR="00F22F94">
        <w:rPr>
          <w:spacing w:val="-8"/>
        </w:rPr>
        <w:t xml:space="preserve"> </w:t>
      </w:r>
      <w:r w:rsidR="00F22F94">
        <w:rPr>
          <w:spacing w:val="-2"/>
        </w:rPr>
        <w:t>(making</w:t>
      </w:r>
    </w:p>
    <w:p w:rsidR="002C1123" w:rsidRDefault="002060EF">
      <w:pPr>
        <w:pStyle w:val="BodyText"/>
        <w:spacing w:before="2" w:line="249" w:lineRule="auto"/>
        <w:ind w:left="492" w:right="10730"/>
      </w:pPr>
      <w:r>
        <w:pict>
          <v:shape id="_x0000_s3880" type="#_x0000_t136" style="position:absolute;left:0;text-align:left;margin-left:409.7pt;margin-top:6.25pt;width:31.45pt;height:8pt;rotation:4;z-index:251387904;mso-position-horizontal-relative:page" fillcolor="black" stroked="f">
            <o:extrusion v:ext="view" autorotationcenter="t"/>
            <v:textpath style="font-family:&quot;Arial&quot;;font-size:8pt;v-text-kern:t;mso-text-shadow:auto" string="Bathurst St"/>
            <w10:wrap anchorx="page"/>
          </v:shape>
        </w:pict>
      </w:r>
      <w:r>
        <w:pict>
          <v:shape id="_x0000_s3879" type="#_x0000_t136" style="position:absolute;left:0;text-align:left;margin-left:465.25pt;margin-top:57.6pt;width:41.45pt;height:8pt;rotation:275;z-index:251394048;mso-position-horizontal-relative:page" fillcolor="black" stroked="f">
            <o:extrusion v:ext="view" autorotationcenter="t"/>
            <v:textpath style="font-family:&quot;Arial&quot;;font-size:8pt;v-text-kern:t;mso-text-shadow:auto" string="Castlereagh St"/>
            <w10:wrap anchorx="page"/>
          </v:shape>
        </w:pict>
      </w:r>
      <w:r w:rsidR="00F22F94">
        <w:rPr>
          <w:w w:val="95"/>
        </w:rPr>
        <w:t>use of the tunnel’s current spare capacity), although the feasibility</w:t>
      </w:r>
      <w:r w:rsidR="00F22F94">
        <w:rPr>
          <w:spacing w:val="-7"/>
          <w:w w:val="95"/>
        </w:rPr>
        <w:t xml:space="preserve"> </w:t>
      </w:r>
      <w:r w:rsidR="00F22F94">
        <w:rPr>
          <w:w w:val="95"/>
        </w:rPr>
        <w:t>and</w:t>
      </w:r>
      <w:r w:rsidR="00F22F94">
        <w:rPr>
          <w:spacing w:val="-7"/>
          <w:w w:val="95"/>
        </w:rPr>
        <w:t xml:space="preserve"> </w:t>
      </w:r>
      <w:r w:rsidR="00F22F94">
        <w:rPr>
          <w:w w:val="95"/>
        </w:rPr>
        <w:t>merit</w:t>
      </w:r>
      <w:r w:rsidR="00F22F94">
        <w:rPr>
          <w:spacing w:val="-7"/>
          <w:w w:val="95"/>
        </w:rPr>
        <w:t xml:space="preserve"> </w:t>
      </w:r>
      <w:r w:rsidR="00F22F94">
        <w:rPr>
          <w:w w:val="95"/>
        </w:rPr>
        <w:t>of</w:t>
      </w:r>
      <w:r w:rsidR="00F22F94">
        <w:rPr>
          <w:spacing w:val="-7"/>
          <w:w w:val="95"/>
        </w:rPr>
        <w:t xml:space="preserve"> </w:t>
      </w:r>
      <w:r w:rsidR="00F22F94">
        <w:rPr>
          <w:w w:val="95"/>
        </w:rPr>
        <w:t>this</w:t>
      </w:r>
      <w:r w:rsidR="00F22F94">
        <w:rPr>
          <w:spacing w:val="-7"/>
          <w:w w:val="95"/>
        </w:rPr>
        <w:t xml:space="preserve"> </w:t>
      </w:r>
      <w:r w:rsidR="00F22F94">
        <w:rPr>
          <w:w w:val="95"/>
        </w:rPr>
        <w:t>requires</w:t>
      </w:r>
      <w:r w:rsidR="00F22F94">
        <w:rPr>
          <w:spacing w:val="-7"/>
          <w:w w:val="95"/>
        </w:rPr>
        <w:t xml:space="preserve"> </w:t>
      </w:r>
      <w:r w:rsidR="00F22F94">
        <w:rPr>
          <w:w w:val="95"/>
        </w:rPr>
        <w:t>detailed</w:t>
      </w:r>
      <w:r w:rsidR="00F22F94">
        <w:rPr>
          <w:spacing w:val="-7"/>
          <w:w w:val="95"/>
        </w:rPr>
        <w:t xml:space="preserve"> </w:t>
      </w:r>
      <w:r w:rsidR="00F22F94">
        <w:rPr>
          <w:w w:val="95"/>
        </w:rPr>
        <w:t>assessment.</w:t>
      </w:r>
    </w:p>
    <w:p w:rsidR="002C1123" w:rsidRDefault="002C1123">
      <w:pPr>
        <w:pStyle w:val="BodyText"/>
      </w:pPr>
    </w:p>
    <w:p w:rsidR="002C1123" w:rsidRDefault="002C1123">
      <w:pPr>
        <w:pStyle w:val="BodyText"/>
      </w:pPr>
    </w:p>
    <w:p w:rsidR="002C1123" w:rsidRDefault="002060EF">
      <w:pPr>
        <w:pStyle w:val="BodyText"/>
        <w:spacing w:before="7"/>
      </w:pPr>
      <w:r>
        <w:pict>
          <v:shape id="docshape1351" o:spid="_x0000_s3878" style="position:absolute;margin-left:49.6pt;margin-top:13.1pt;width:1in;height:.1pt;z-index:-251381760;mso-wrap-distance-left:0;mso-wrap-distance-right:0;mso-position-horizontal-relative:page" coordorigin="992,262" coordsize="1440,0" path="m992,262r1440,e" filled="f" strokecolor="#9c9c9d" strokeweight=".5pt">
            <v:path arrowok="t"/>
            <w10:wrap type="topAndBottom" anchorx="page"/>
          </v:shape>
        </w:pict>
      </w:r>
    </w:p>
    <w:p w:rsidR="002C1123" w:rsidRDefault="00F22F94">
      <w:pPr>
        <w:pStyle w:val="ListParagraph"/>
        <w:numPr>
          <w:ilvl w:val="0"/>
          <w:numId w:val="90"/>
        </w:numPr>
        <w:tabs>
          <w:tab w:val="left" w:pos="691"/>
        </w:tabs>
        <w:spacing w:before="29" w:line="230" w:lineRule="auto"/>
        <w:ind w:left="690" w:right="10809"/>
        <w:jc w:val="left"/>
        <w:rPr>
          <w:rFonts w:ascii="Tahoma"/>
          <w:sz w:val="14"/>
        </w:rPr>
      </w:pPr>
      <w:r>
        <w:rPr>
          <w:w w:val="95"/>
          <w:sz w:val="14"/>
        </w:rPr>
        <w:t>LEK</w:t>
      </w:r>
      <w:r>
        <w:rPr>
          <w:spacing w:val="-3"/>
          <w:w w:val="95"/>
          <w:sz w:val="14"/>
        </w:rPr>
        <w:t xml:space="preserve"> </w:t>
      </w:r>
      <w:r>
        <w:rPr>
          <w:w w:val="95"/>
          <w:sz w:val="14"/>
        </w:rPr>
        <w:t>2012,</w:t>
      </w:r>
      <w:r>
        <w:rPr>
          <w:spacing w:val="-3"/>
          <w:w w:val="95"/>
          <w:sz w:val="14"/>
        </w:rPr>
        <w:t xml:space="preserve"> </w:t>
      </w:r>
      <w:r>
        <w:rPr>
          <w:w w:val="95"/>
          <w:sz w:val="14"/>
        </w:rPr>
        <w:t>Sydney</w:t>
      </w:r>
      <w:r>
        <w:rPr>
          <w:spacing w:val="-3"/>
          <w:w w:val="95"/>
          <w:sz w:val="14"/>
        </w:rPr>
        <w:t xml:space="preserve"> </w:t>
      </w:r>
      <w:r>
        <w:rPr>
          <w:w w:val="95"/>
          <w:sz w:val="14"/>
        </w:rPr>
        <w:t>CBD</w:t>
      </w:r>
      <w:r>
        <w:rPr>
          <w:spacing w:val="-3"/>
          <w:w w:val="95"/>
          <w:sz w:val="14"/>
        </w:rPr>
        <w:t xml:space="preserve"> </w:t>
      </w:r>
      <w:r>
        <w:rPr>
          <w:w w:val="95"/>
          <w:sz w:val="14"/>
        </w:rPr>
        <w:t>Access</w:t>
      </w:r>
      <w:r>
        <w:rPr>
          <w:spacing w:val="-3"/>
          <w:w w:val="95"/>
          <w:sz w:val="14"/>
        </w:rPr>
        <w:t xml:space="preserve"> </w:t>
      </w:r>
      <w:r>
        <w:rPr>
          <w:w w:val="95"/>
          <w:sz w:val="14"/>
        </w:rPr>
        <w:t>Strategy,</w:t>
      </w:r>
      <w:r>
        <w:rPr>
          <w:spacing w:val="-3"/>
          <w:w w:val="95"/>
          <w:sz w:val="14"/>
        </w:rPr>
        <w:t xml:space="preserve"> </w:t>
      </w:r>
      <w:r>
        <w:rPr>
          <w:w w:val="95"/>
          <w:sz w:val="14"/>
        </w:rPr>
        <w:t>prepared</w:t>
      </w:r>
      <w:r>
        <w:rPr>
          <w:spacing w:val="-3"/>
          <w:w w:val="95"/>
          <w:sz w:val="14"/>
        </w:rPr>
        <w:t xml:space="preserve"> </w:t>
      </w:r>
      <w:r>
        <w:rPr>
          <w:w w:val="95"/>
          <w:sz w:val="14"/>
        </w:rPr>
        <w:t>for</w:t>
      </w:r>
      <w:r>
        <w:rPr>
          <w:spacing w:val="-3"/>
          <w:w w:val="95"/>
          <w:sz w:val="14"/>
        </w:rPr>
        <w:t xml:space="preserve"> </w:t>
      </w:r>
      <w:r>
        <w:rPr>
          <w:w w:val="95"/>
          <w:sz w:val="14"/>
        </w:rPr>
        <w:t>Infrastructure</w:t>
      </w:r>
      <w:r>
        <w:rPr>
          <w:spacing w:val="-3"/>
          <w:w w:val="95"/>
          <w:sz w:val="14"/>
        </w:rPr>
        <w:t xml:space="preserve"> </w:t>
      </w:r>
      <w:r>
        <w:rPr>
          <w:w w:val="95"/>
          <w:sz w:val="14"/>
        </w:rPr>
        <w:t>NSW.</w:t>
      </w:r>
      <w:r>
        <w:rPr>
          <w:spacing w:val="-3"/>
          <w:w w:val="95"/>
          <w:sz w:val="14"/>
        </w:rPr>
        <w:t xml:space="preserve"> </w:t>
      </w:r>
      <w:r>
        <w:rPr>
          <w:w w:val="95"/>
          <w:sz w:val="14"/>
        </w:rPr>
        <w:t>A</w:t>
      </w:r>
      <w:r>
        <w:rPr>
          <w:spacing w:val="40"/>
          <w:sz w:val="14"/>
        </w:rPr>
        <w:t xml:space="preserve"> </w:t>
      </w:r>
      <w:r>
        <w:rPr>
          <w:w w:val="95"/>
          <w:sz w:val="14"/>
        </w:rPr>
        <w:t>CBD BRT (excluding Cross City Tunnel connections) is estimated to be able</w:t>
      </w:r>
      <w:r>
        <w:rPr>
          <w:spacing w:val="40"/>
          <w:sz w:val="14"/>
        </w:rPr>
        <w:t xml:space="preserve"> </w:t>
      </w:r>
      <w:r>
        <w:rPr>
          <w:rFonts w:ascii="Tahoma"/>
          <w:sz w:val="14"/>
        </w:rPr>
        <w:t>to</w:t>
      </w:r>
      <w:r>
        <w:rPr>
          <w:rFonts w:ascii="Tahoma"/>
          <w:spacing w:val="-7"/>
          <w:sz w:val="14"/>
        </w:rPr>
        <w:t xml:space="preserve"> </w:t>
      </w:r>
      <w:r>
        <w:rPr>
          <w:rFonts w:ascii="Tahoma"/>
          <w:sz w:val="14"/>
        </w:rPr>
        <w:t>accommodate</w:t>
      </w:r>
      <w:r>
        <w:rPr>
          <w:rFonts w:ascii="Tahoma"/>
          <w:spacing w:val="-7"/>
          <w:sz w:val="14"/>
        </w:rPr>
        <w:t xml:space="preserve"> </w:t>
      </w:r>
      <w:r>
        <w:rPr>
          <w:rFonts w:ascii="Tahoma"/>
          <w:sz w:val="14"/>
        </w:rPr>
        <w:t>all</w:t>
      </w:r>
      <w:r>
        <w:rPr>
          <w:rFonts w:ascii="Tahoma"/>
          <w:spacing w:val="-5"/>
          <w:sz w:val="14"/>
        </w:rPr>
        <w:t xml:space="preserve"> </w:t>
      </w:r>
      <w:r>
        <w:rPr>
          <w:rFonts w:ascii="Tahoma"/>
          <w:sz w:val="14"/>
        </w:rPr>
        <w:t>current</w:t>
      </w:r>
      <w:r>
        <w:rPr>
          <w:rFonts w:ascii="Tahoma"/>
          <w:spacing w:val="-5"/>
          <w:sz w:val="14"/>
        </w:rPr>
        <w:t xml:space="preserve"> </w:t>
      </w:r>
      <w:r>
        <w:rPr>
          <w:rFonts w:ascii="Tahoma"/>
          <w:sz w:val="14"/>
        </w:rPr>
        <w:t>Broadway</w:t>
      </w:r>
      <w:r>
        <w:rPr>
          <w:rFonts w:ascii="Tahoma"/>
          <w:spacing w:val="-5"/>
          <w:sz w:val="14"/>
        </w:rPr>
        <w:t xml:space="preserve"> </w:t>
      </w:r>
      <w:r>
        <w:rPr>
          <w:rFonts w:ascii="Tahoma"/>
          <w:sz w:val="14"/>
        </w:rPr>
        <w:t>services,</w:t>
      </w:r>
      <w:r>
        <w:rPr>
          <w:rFonts w:ascii="Tahoma"/>
          <w:spacing w:val="-5"/>
          <w:sz w:val="14"/>
        </w:rPr>
        <w:t xml:space="preserve"> </w:t>
      </w:r>
      <w:r>
        <w:rPr>
          <w:rFonts w:ascii="Tahoma"/>
          <w:sz w:val="14"/>
        </w:rPr>
        <w:t>75%</w:t>
      </w:r>
      <w:r>
        <w:rPr>
          <w:rFonts w:ascii="Tahoma"/>
          <w:spacing w:val="-7"/>
          <w:sz w:val="14"/>
        </w:rPr>
        <w:t xml:space="preserve"> </w:t>
      </w:r>
      <w:r>
        <w:rPr>
          <w:rFonts w:ascii="Tahoma"/>
          <w:sz w:val="14"/>
        </w:rPr>
        <w:t>of</w:t>
      </w:r>
      <w:r>
        <w:rPr>
          <w:rFonts w:ascii="Tahoma"/>
          <w:spacing w:val="-7"/>
          <w:sz w:val="14"/>
        </w:rPr>
        <w:t xml:space="preserve"> </w:t>
      </w:r>
      <w:r>
        <w:rPr>
          <w:rFonts w:ascii="Tahoma"/>
          <w:sz w:val="14"/>
        </w:rPr>
        <w:t>current</w:t>
      </w:r>
      <w:r>
        <w:rPr>
          <w:rFonts w:ascii="Tahoma"/>
          <w:spacing w:val="-5"/>
          <w:sz w:val="14"/>
        </w:rPr>
        <w:t xml:space="preserve"> </w:t>
      </w:r>
      <w:r>
        <w:rPr>
          <w:rFonts w:ascii="Tahoma"/>
          <w:sz w:val="14"/>
        </w:rPr>
        <w:t>Harbour Bridge services and about 50% of South-East bus services.</w:t>
      </w:r>
    </w:p>
    <w:p w:rsidR="002C1123" w:rsidRDefault="002C1123">
      <w:pPr>
        <w:spacing w:line="230" w:lineRule="auto"/>
        <w:rPr>
          <w:rFonts w:ascii="Tahoma"/>
          <w:sz w:val="14"/>
        </w:rPr>
        <w:sectPr w:rsidR="002C1123">
          <w:pgSz w:w="16840" w:h="11910" w:orient="landscape"/>
          <w:pgMar w:top="560" w:right="280" w:bottom="700" w:left="500" w:header="0" w:footer="517" w:gutter="0"/>
          <w:cols w:space="720"/>
        </w:sectPr>
      </w:pPr>
    </w:p>
    <w:p w:rsidR="002C1123" w:rsidRDefault="002C1123">
      <w:pPr>
        <w:pStyle w:val="BodyText"/>
        <w:rPr>
          <w:rFonts w:ascii="Tahoma"/>
        </w:rPr>
      </w:pPr>
    </w:p>
    <w:p w:rsidR="002C1123" w:rsidRDefault="002C1123">
      <w:pPr>
        <w:pStyle w:val="BodyText"/>
        <w:rPr>
          <w:rFonts w:ascii="Tahoma"/>
        </w:rPr>
      </w:pPr>
    </w:p>
    <w:p w:rsidR="002C1123" w:rsidRDefault="002C1123">
      <w:pPr>
        <w:pStyle w:val="BodyText"/>
        <w:rPr>
          <w:rFonts w:ascii="Tahoma"/>
        </w:rPr>
      </w:pPr>
    </w:p>
    <w:p w:rsidR="002C1123" w:rsidRDefault="002C1123">
      <w:pPr>
        <w:pStyle w:val="BodyText"/>
        <w:rPr>
          <w:rFonts w:ascii="Tahoma"/>
        </w:rPr>
      </w:pPr>
    </w:p>
    <w:p w:rsidR="002C1123" w:rsidRDefault="002C1123">
      <w:pPr>
        <w:pStyle w:val="BodyText"/>
        <w:rPr>
          <w:rFonts w:ascii="Tahoma"/>
        </w:rPr>
      </w:pPr>
    </w:p>
    <w:p w:rsidR="002C1123" w:rsidRDefault="002C1123">
      <w:pPr>
        <w:pStyle w:val="BodyText"/>
        <w:rPr>
          <w:rFonts w:ascii="Tahoma"/>
        </w:rPr>
      </w:pPr>
    </w:p>
    <w:p w:rsidR="002C1123" w:rsidRDefault="002C1123">
      <w:pPr>
        <w:pStyle w:val="BodyText"/>
        <w:rPr>
          <w:rFonts w:ascii="Tahoma"/>
        </w:rPr>
      </w:pPr>
    </w:p>
    <w:p w:rsidR="002C1123" w:rsidRDefault="002C1123">
      <w:pPr>
        <w:pStyle w:val="BodyText"/>
        <w:rPr>
          <w:rFonts w:ascii="Tahoma"/>
          <w:sz w:val="21"/>
        </w:rPr>
      </w:pPr>
    </w:p>
    <w:p w:rsidR="002C1123" w:rsidRDefault="00F22F94">
      <w:pPr>
        <w:ind w:left="492"/>
        <w:rPr>
          <w:b/>
          <w:sz w:val="18"/>
        </w:rPr>
      </w:pPr>
      <w:bookmarkStart w:id="196" w:name="_bookmark140"/>
      <w:bookmarkEnd w:id="196"/>
      <w:r>
        <w:rPr>
          <w:b/>
          <w:w w:val="95"/>
          <w:sz w:val="18"/>
        </w:rPr>
        <w:t>Table</w:t>
      </w:r>
      <w:r>
        <w:rPr>
          <w:b/>
          <w:spacing w:val="-2"/>
          <w:sz w:val="18"/>
        </w:rPr>
        <w:t xml:space="preserve"> </w:t>
      </w:r>
      <w:r>
        <w:rPr>
          <w:b/>
          <w:w w:val="95"/>
          <w:sz w:val="18"/>
        </w:rPr>
        <w:t>7.1</w:t>
      </w:r>
      <w:r>
        <w:rPr>
          <w:b/>
          <w:spacing w:val="50"/>
          <w:sz w:val="18"/>
        </w:rPr>
        <w:t xml:space="preserve"> </w:t>
      </w:r>
      <w:r>
        <w:rPr>
          <w:b/>
          <w:w w:val="95"/>
          <w:sz w:val="18"/>
        </w:rPr>
        <w:t>Comparison</w:t>
      </w:r>
      <w:r>
        <w:rPr>
          <w:b/>
          <w:spacing w:val="-2"/>
          <w:sz w:val="18"/>
        </w:rPr>
        <w:t xml:space="preserve"> </w:t>
      </w:r>
      <w:r>
        <w:rPr>
          <w:b/>
          <w:w w:val="95"/>
          <w:sz w:val="18"/>
        </w:rPr>
        <w:t>of</w:t>
      </w:r>
      <w:r>
        <w:rPr>
          <w:b/>
          <w:spacing w:val="-2"/>
          <w:sz w:val="18"/>
        </w:rPr>
        <w:t xml:space="preserve"> </w:t>
      </w:r>
      <w:r>
        <w:rPr>
          <w:b/>
          <w:w w:val="95"/>
          <w:sz w:val="18"/>
        </w:rPr>
        <w:t>the</w:t>
      </w:r>
      <w:r>
        <w:rPr>
          <w:b/>
          <w:spacing w:val="-2"/>
          <w:sz w:val="18"/>
        </w:rPr>
        <w:t xml:space="preserve"> </w:t>
      </w:r>
      <w:r>
        <w:rPr>
          <w:b/>
          <w:w w:val="95"/>
          <w:sz w:val="18"/>
        </w:rPr>
        <w:t>different</w:t>
      </w:r>
      <w:r>
        <w:rPr>
          <w:b/>
          <w:spacing w:val="-1"/>
          <w:sz w:val="18"/>
        </w:rPr>
        <w:t xml:space="preserve"> </w:t>
      </w:r>
      <w:r>
        <w:rPr>
          <w:b/>
          <w:w w:val="95"/>
          <w:sz w:val="18"/>
        </w:rPr>
        <w:t>impacts</w:t>
      </w:r>
      <w:r>
        <w:rPr>
          <w:b/>
          <w:spacing w:val="-2"/>
          <w:sz w:val="18"/>
        </w:rPr>
        <w:t xml:space="preserve"> </w:t>
      </w:r>
      <w:r>
        <w:rPr>
          <w:b/>
          <w:w w:val="95"/>
          <w:sz w:val="18"/>
        </w:rPr>
        <w:t>of</w:t>
      </w:r>
      <w:r>
        <w:rPr>
          <w:b/>
          <w:spacing w:val="-2"/>
          <w:sz w:val="18"/>
        </w:rPr>
        <w:t xml:space="preserve"> </w:t>
      </w:r>
      <w:r>
        <w:rPr>
          <w:b/>
          <w:w w:val="95"/>
          <w:sz w:val="18"/>
        </w:rPr>
        <w:t>light</w:t>
      </w:r>
      <w:r>
        <w:rPr>
          <w:b/>
          <w:spacing w:val="-2"/>
          <w:sz w:val="18"/>
        </w:rPr>
        <w:t xml:space="preserve"> </w:t>
      </w:r>
      <w:r>
        <w:rPr>
          <w:b/>
          <w:w w:val="95"/>
          <w:sz w:val="18"/>
        </w:rPr>
        <w:t>rail</w:t>
      </w:r>
      <w:r>
        <w:rPr>
          <w:b/>
          <w:spacing w:val="-1"/>
          <w:sz w:val="18"/>
        </w:rPr>
        <w:t xml:space="preserve"> </w:t>
      </w:r>
      <w:r>
        <w:rPr>
          <w:b/>
          <w:w w:val="95"/>
          <w:sz w:val="18"/>
        </w:rPr>
        <w:t>and</w:t>
      </w:r>
      <w:r>
        <w:rPr>
          <w:b/>
          <w:spacing w:val="-2"/>
          <w:sz w:val="18"/>
        </w:rPr>
        <w:t xml:space="preserve"> </w:t>
      </w:r>
      <w:r>
        <w:rPr>
          <w:b/>
          <w:w w:val="95"/>
          <w:sz w:val="18"/>
        </w:rPr>
        <w:t>Bus</w:t>
      </w:r>
      <w:r>
        <w:rPr>
          <w:b/>
          <w:spacing w:val="-1"/>
          <w:sz w:val="18"/>
        </w:rPr>
        <w:t xml:space="preserve"> </w:t>
      </w:r>
      <w:r>
        <w:rPr>
          <w:b/>
          <w:w w:val="95"/>
          <w:sz w:val="18"/>
        </w:rPr>
        <w:t>Rapid</w:t>
      </w:r>
      <w:r>
        <w:rPr>
          <w:b/>
          <w:spacing w:val="-2"/>
          <w:sz w:val="18"/>
        </w:rPr>
        <w:t xml:space="preserve"> </w:t>
      </w:r>
      <w:r>
        <w:rPr>
          <w:b/>
          <w:w w:val="95"/>
          <w:sz w:val="18"/>
        </w:rPr>
        <w:t>Transit</w:t>
      </w:r>
      <w:r>
        <w:rPr>
          <w:b/>
          <w:spacing w:val="-2"/>
          <w:sz w:val="18"/>
        </w:rPr>
        <w:t xml:space="preserve"> </w:t>
      </w:r>
      <w:r>
        <w:rPr>
          <w:b/>
          <w:w w:val="95"/>
          <w:sz w:val="18"/>
        </w:rPr>
        <w:t>in</w:t>
      </w:r>
      <w:r>
        <w:rPr>
          <w:b/>
          <w:spacing w:val="-1"/>
          <w:sz w:val="18"/>
        </w:rPr>
        <w:t xml:space="preserve"> </w:t>
      </w:r>
      <w:r>
        <w:rPr>
          <w:b/>
          <w:w w:val="95"/>
          <w:sz w:val="18"/>
        </w:rPr>
        <w:t>the</w:t>
      </w:r>
      <w:r>
        <w:rPr>
          <w:b/>
          <w:spacing w:val="-2"/>
          <w:sz w:val="18"/>
        </w:rPr>
        <w:t xml:space="preserve"> </w:t>
      </w:r>
      <w:r>
        <w:rPr>
          <w:b/>
          <w:spacing w:val="-5"/>
          <w:w w:val="95"/>
          <w:sz w:val="18"/>
        </w:rPr>
        <w:t>CBD</w:t>
      </w:r>
    </w:p>
    <w:p w:rsidR="002C1123" w:rsidRDefault="00F22F94">
      <w:pPr>
        <w:tabs>
          <w:tab w:val="left" w:pos="9449"/>
        </w:tabs>
        <w:spacing w:before="149" w:after="8"/>
        <w:ind w:left="3440"/>
        <w:rPr>
          <w:b/>
          <w:sz w:val="18"/>
        </w:rPr>
      </w:pPr>
      <w:r>
        <w:rPr>
          <w:b/>
          <w:color w:val="2E3092"/>
          <w:spacing w:val="-2"/>
          <w:sz w:val="18"/>
        </w:rPr>
        <w:t>Light</w:t>
      </w:r>
      <w:r>
        <w:rPr>
          <w:b/>
          <w:color w:val="2E3092"/>
          <w:spacing w:val="-5"/>
          <w:sz w:val="18"/>
        </w:rPr>
        <w:t xml:space="preserve"> </w:t>
      </w:r>
      <w:r>
        <w:rPr>
          <w:b/>
          <w:color w:val="2E3092"/>
          <w:spacing w:val="-4"/>
          <w:sz w:val="18"/>
        </w:rPr>
        <w:t>Rail</w:t>
      </w:r>
      <w:r>
        <w:rPr>
          <w:b/>
          <w:color w:val="2E3092"/>
          <w:sz w:val="18"/>
        </w:rPr>
        <w:tab/>
      </w:r>
      <w:r>
        <w:rPr>
          <w:b/>
          <w:color w:val="2E3092"/>
          <w:spacing w:val="-5"/>
          <w:sz w:val="18"/>
        </w:rPr>
        <w:t>BRT</w:t>
      </w:r>
    </w:p>
    <w:tbl>
      <w:tblPr>
        <w:tblW w:w="0" w:type="auto"/>
        <w:tblInd w:w="48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835"/>
        <w:gridCol w:w="6010"/>
        <w:gridCol w:w="6010"/>
      </w:tblGrid>
      <w:tr w:rsidR="002C1123">
        <w:trPr>
          <w:trHeight w:val="889"/>
        </w:trPr>
        <w:tc>
          <w:tcPr>
            <w:tcW w:w="2835" w:type="dxa"/>
            <w:tcBorders>
              <w:left w:val="nil"/>
            </w:tcBorders>
            <w:shd w:val="clear" w:color="auto" w:fill="C9C8C9"/>
          </w:tcPr>
          <w:p w:rsidR="002C1123" w:rsidRDefault="00F22F94">
            <w:pPr>
              <w:pStyle w:val="TableParagraph"/>
              <w:spacing w:before="63"/>
              <w:rPr>
                <w:sz w:val="18"/>
              </w:rPr>
            </w:pPr>
            <w:r>
              <w:rPr>
                <w:spacing w:val="-2"/>
                <w:w w:val="105"/>
                <w:sz w:val="18"/>
              </w:rPr>
              <w:t>Description</w:t>
            </w:r>
            <w:r>
              <w:rPr>
                <w:spacing w:val="-3"/>
                <w:w w:val="105"/>
                <w:sz w:val="18"/>
              </w:rPr>
              <w:t xml:space="preserve"> </w:t>
            </w:r>
            <w:r>
              <w:rPr>
                <w:spacing w:val="-2"/>
                <w:w w:val="105"/>
                <w:sz w:val="18"/>
              </w:rPr>
              <w:t>of Projects</w:t>
            </w:r>
          </w:p>
        </w:tc>
        <w:tc>
          <w:tcPr>
            <w:tcW w:w="6010" w:type="dxa"/>
            <w:shd w:val="clear" w:color="auto" w:fill="E1E0E1"/>
          </w:tcPr>
          <w:p w:rsidR="002C1123" w:rsidRDefault="00F22F94">
            <w:pPr>
              <w:pStyle w:val="TableParagraph"/>
              <w:spacing w:line="254" w:lineRule="auto"/>
              <w:ind w:right="800"/>
              <w:rPr>
                <w:sz w:val="16"/>
              </w:rPr>
            </w:pPr>
            <w:r>
              <w:rPr>
                <w:w w:val="95"/>
                <w:sz w:val="16"/>
              </w:rPr>
              <w:t xml:space="preserve">Anzac Parade to Central Station to Circular Quay along George Street. </w:t>
            </w:r>
            <w:r>
              <w:rPr>
                <w:sz w:val="16"/>
              </w:rPr>
              <w:t>Partial</w:t>
            </w:r>
            <w:r>
              <w:rPr>
                <w:spacing w:val="-12"/>
                <w:sz w:val="16"/>
              </w:rPr>
              <w:t xml:space="preserve"> </w:t>
            </w:r>
            <w:r>
              <w:rPr>
                <w:sz w:val="16"/>
              </w:rPr>
              <w:t>pedestrianisation</w:t>
            </w:r>
            <w:r>
              <w:rPr>
                <w:spacing w:val="-11"/>
                <w:sz w:val="16"/>
              </w:rPr>
              <w:t xml:space="preserve"> </w:t>
            </w:r>
            <w:r>
              <w:rPr>
                <w:sz w:val="16"/>
              </w:rPr>
              <w:t>of</w:t>
            </w:r>
            <w:r>
              <w:rPr>
                <w:spacing w:val="-11"/>
                <w:sz w:val="16"/>
              </w:rPr>
              <w:t xml:space="preserve"> </w:t>
            </w:r>
            <w:r>
              <w:rPr>
                <w:sz w:val="16"/>
              </w:rPr>
              <w:t>George</w:t>
            </w:r>
            <w:r>
              <w:rPr>
                <w:spacing w:val="-11"/>
                <w:sz w:val="16"/>
              </w:rPr>
              <w:t xml:space="preserve"> </w:t>
            </w:r>
            <w:r>
              <w:rPr>
                <w:sz w:val="16"/>
              </w:rPr>
              <w:t>Street</w:t>
            </w:r>
            <w:r>
              <w:rPr>
                <w:spacing w:val="-11"/>
                <w:sz w:val="16"/>
              </w:rPr>
              <w:t xml:space="preserve"> </w:t>
            </w:r>
            <w:r>
              <w:rPr>
                <w:sz w:val="16"/>
              </w:rPr>
              <w:t>(shared</w:t>
            </w:r>
            <w:r>
              <w:rPr>
                <w:spacing w:val="-11"/>
                <w:sz w:val="16"/>
              </w:rPr>
              <w:t xml:space="preserve"> </w:t>
            </w:r>
            <w:r>
              <w:rPr>
                <w:sz w:val="16"/>
              </w:rPr>
              <w:t>with</w:t>
            </w:r>
            <w:r>
              <w:rPr>
                <w:spacing w:val="-11"/>
                <w:sz w:val="16"/>
              </w:rPr>
              <w:t xml:space="preserve"> </w:t>
            </w:r>
            <w:r>
              <w:rPr>
                <w:sz w:val="16"/>
              </w:rPr>
              <w:t>light</w:t>
            </w:r>
            <w:r>
              <w:rPr>
                <w:spacing w:val="-11"/>
                <w:sz w:val="16"/>
              </w:rPr>
              <w:t xml:space="preserve"> </w:t>
            </w:r>
            <w:r>
              <w:rPr>
                <w:sz w:val="16"/>
              </w:rPr>
              <w:t>rail).</w:t>
            </w:r>
          </w:p>
        </w:tc>
        <w:tc>
          <w:tcPr>
            <w:tcW w:w="6010" w:type="dxa"/>
            <w:shd w:val="clear" w:color="auto" w:fill="E1E0E1"/>
          </w:tcPr>
          <w:p w:rsidR="002C1123" w:rsidRDefault="00F22F94">
            <w:pPr>
              <w:pStyle w:val="TableParagraph"/>
              <w:spacing w:before="70" w:line="235" w:lineRule="auto"/>
              <w:ind w:left="112" w:right="800"/>
              <w:rPr>
                <w:sz w:val="16"/>
              </w:rPr>
            </w:pPr>
            <w:r>
              <w:rPr>
                <w:w w:val="95"/>
                <w:sz w:val="16"/>
              </w:rPr>
              <w:t xml:space="preserve">Bus tunnel Harbour Bridge to Wynyard and Town Hall, possible East-West </w:t>
            </w:r>
            <w:r>
              <w:rPr>
                <w:sz w:val="16"/>
              </w:rPr>
              <w:t>connections via Cross City Tunnel.</w:t>
            </w:r>
          </w:p>
          <w:p w:rsidR="002C1123" w:rsidRDefault="00F22F94">
            <w:pPr>
              <w:pStyle w:val="TableParagraph"/>
              <w:spacing w:before="11" w:line="254" w:lineRule="auto"/>
              <w:ind w:left="112" w:right="2514"/>
              <w:rPr>
                <w:sz w:val="16"/>
              </w:rPr>
            </w:pPr>
            <w:r>
              <w:rPr>
                <w:sz w:val="16"/>
              </w:rPr>
              <w:t>Redevelop</w:t>
            </w:r>
            <w:r>
              <w:rPr>
                <w:spacing w:val="-2"/>
                <w:sz w:val="16"/>
              </w:rPr>
              <w:t xml:space="preserve"> </w:t>
            </w:r>
            <w:r>
              <w:rPr>
                <w:sz w:val="16"/>
              </w:rPr>
              <w:t>Wynyard</w:t>
            </w:r>
            <w:r>
              <w:rPr>
                <w:spacing w:val="-2"/>
                <w:sz w:val="16"/>
              </w:rPr>
              <w:t xml:space="preserve"> </w:t>
            </w:r>
            <w:r>
              <w:rPr>
                <w:sz w:val="16"/>
              </w:rPr>
              <w:t>and</w:t>
            </w:r>
            <w:r>
              <w:rPr>
                <w:spacing w:val="-2"/>
                <w:sz w:val="16"/>
              </w:rPr>
              <w:t xml:space="preserve"> </w:t>
            </w:r>
            <w:r>
              <w:rPr>
                <w:sz w:val="16"/>
              </w:rPr>
              <w:t>Town</w:t>
            </w:r>
            <w:r>
              <w:rPr>
                <w:spacing w:val="-2"/>
                <w:sz w:val="16"/>
              </w:rPr>
              <w:t xml:space="preserve"> </w:t>
            </w:r>
            <w:r>
              <w:rPr>
                <w:sz w:val="16"/>
              </w:rPr>
              <w:t>Hall</w:t>
            </w:r>
            <w:r>
              <w:rPr>
                <w:spacing w:val="-2"/>
                <w:sz w:val="16"/>
              </w:rPr>
              <w:t xml:space="preserve"> </w:t>
            </w:r>
            <w:r>
              <w:rPr>
                <w:sz w:val="16"/>
              </w:rPr>
              <w:t xml:space="preserve">stations. </w:t>
            </w:r>
            <w:r>
              <w:rPr>
                <w:w w:val="95"/>
                <w:sz w:val="16"/>
              </w:rPr>
              <w:t>Full pedestrianisation of parts of George Street.</w:t>
            </w:r>
          </w:p>
        </w:tc>
      </w:tr>
      <w:tr w:rsidR="002C1123">
        <w:trPr>
          <w:trHeight w:val="335"/>
        </w:trPr>
        <w:tc>
          <w:tcPr>
            <w:tcW w:w="2835" w:type="dxa"/>
            <w:tcBorders>
              <w:left w:val="nil"/>
            </w:tcBorders>
            <w:shd w:val="clear" w:color="auto" w:fill="C9C8C9"/>
          </w:tcPr>
          <w:p w:rsidR="002C1123" w:rsidRDefault="00F22F94">
            <w:pPr>
              <w:pStyle w:val="TableParagraph"/>
              <w:spacing w:before="63"/>
              <w:rPr>
                <w:sz w:val="18"/>
              </w:rPr>
            </w:pPr>
            <w:r>
              <w:rPr>
                <w:spacing w:val="-2"/>
                <w:w w:val="105"/>
                <w:sz w:val="18"/>
              </w:rPr>
              <w:t>Scoping</w:t>
            </w:r>
            <w:r>
              <w:rPr>
                <w:spacing w:val="-5"/>
                <w:w w:val="105"/>
                <w:sz w:val="18"/>
              </w:rPr>
              <w:t xml:space="preserve"> </w:t>
            </w:r>
            <w:r>
              <w:rPr>
                <w:spacing w:val="-2"/>
                <w:w w:val="105"/>
                <w:sz w:val="18"/>
              </w:rPr>
              <w:t>Estimate</w:t>
            </w:r>
          </w:p>
        </w:tc>
        <w:tc>
          <w:tcPr>
            <w:tcW w:w="6010" w:type="dxa"/>
            <w:shd w:val="clear" w:color="auto" w:fill="E1E0E1"/>
          </w:tcPr>
          <w:p w:rsidR="002C1123" w:rsidRDefault="00F22F94">
            <w:pPr>
              <w:pStyle w:val="TableParagraph"/>
              <w:rPr>
                <w:sz w:val="16"/>
              </w:rPr>
            </w:pPr>
            <w:r>
              <w:rPr>
                <w:spacing w:val="-4"/>
                <w:sz w:val="16"/>
              </w:rPr>
              <w:t>$1-2</w:t>
            </w:r>
            <w:r>
              <w:rPr>
                <w:spacing w:val="-5"/>
                <w:sz w:val="16"/>
              </w:rPr>
              <w:t xml:space="preserve"> </w:t>
            </w:r>
            <w:r>
              <w:rPr>
                <w:spacing w:val="-4"/>
                <w:sz w:val="16"/>
              </w:rPr>
              <w:t>billion</w:t>
            </w:r>
          </w:p>
        </w:tc>
        <w:tc>
          <w:tcPr>
            <w:tcW w:w="6010" w:type="dxa"/>
            <w:shd w:val="clear" w:color="auto" w:fill="E1E0E1"/>
          </w:tcPr>
          <w:p w:rsidR="002C1123" w:rsidRDefault="00F22F94">
            <w:pPr>
              <w:pStyle w:val="TableParagraph"/>
              <w:ind w:left="112"/>
              <w:rPr>
                <w:sz w:val="16"/>
              </w:rPr>
            </w:pPr>
            <w:r>
              <w:rPr>
                <w:sz w:val="16"/>
              </w:rPr>
              <w:t>$2</w:t>
            </w:r>
            <w:r>
              <w:rPr>
                <w:spacing w:val="-7"/>
                <w:sz w:val="16"/>
              </w:rPr>
              <w:t xml:space="preserve"> </w:t>
            </w:r>
            <w:r>
              <w:rPr>
                <w:spacing w:val="-2"/>
                <w:sz w:val="16"/>
              </w:rPr>
              <w:t>billion</w:t>
            </w:r>
          </w:p>
        </w:tc>
      </w:tr>
      <w:tr w:rsidR="002C1123">
        <w:trPr>
          <w:trHeight w:val="501"/>
        </w:trPr>
        <w:tc>
          <w:tcPr>
            <w:tcW w:w="2835" w:type="dxa"/>
            <w:tcBorders>
              <w:left w:val="nil"/>
            </w:tcBorders>
            <w:shd w:val="clear" w:color="auto" w:fill="C9C8C9"/>
          </w:tcPr>
          <w:p w:rsidR="002C1123" w:rsidRDefault="00F22F94">
            <w:pPr>
              <w:pStyle w:val="TableParagraph"/>
              <w:spacing w:before="63"/>
              <w:rPr>
                <w:sz w:val="18"/>
              </w:rPr>
            </w:pPr>
            <w:r>
              <w:rPr>
                <w:sz w:val="18"/>
              </w:rPr>
              <w:t>Bus</w:t>
            </w:r>
            <w:r>
              <w:rPr>
                <w:spacing w:val="3"/>
                <w:sz w:val="18"/>
              </w:rPr>
              <w:t xml:space="preserve"> </w:t>
            </w:r>
            <w:r>
              <w:rPr>
                <w:sz w:val="18"/>
              </w:rPr>
              <w:t>Route</w:t>
            </w:r>
            <w:r>
              <w:rPr>
                <w:spacing w:val="3"/>
                <w:sz w:val="18"/>
              </w:rPr>
              <w:t xml:space="preserve"> </w:t>
            </w:r>
            <w:r>
              <w:rPr>
                <w:spacing w:val="-2"/>
                <w:sz w:val="18"/>
              </w:rPr>
              <w:t>Changes</w:t>
            </w:r>
          </w:p>
        </w:tc>
        <w:tc>
          <w:tcPr>
            <w:tcW w:w="6010" w:type="dxa"/>
            <w:tcBorders>
              <w:bottom w:val="nil"/>
            </w:tcBorders>
            <w:shd w:val="clear" w:color="auto" w:fill="E1E0E1"/>
          </w:tcPr>
          <w:p w:rsidR="002C1123" w:rsidRDefault="00F22F94">
            <w:pPr>
              <w:pStyle w:val="TableParagraph"/>
              <w:spacing w:before="70" w:line="235" w:lineRule="auto"/>
              <w:ind w:right="800"/>
              <w:rPr>
                <w:sz w:val="16"/>
              </w:rPr>
            </w:pPr>
            <w:r>
              <w:rPr>
                <w:spacing w:val="-2"/>
                <w:sz w:val="16"/>
              </w:rPr>
              <w:t>Many</w:t>
            </w:r>
            <w:r>
              <w:rPr>
                <w:spacing w:val="-6"/>
                <w:sz w:val="16"/>
              </w:rPr>
              <w:t xml:space="preserve"> </w:t>
            </w:r>
            <w:r>
              <w:rPr>
                <w:spacing w:val="-2"/>
                <w:sz w:val="16"/>
              </w:rPr>
              <w:t>routes</w:t>
            </w:r>
            <w:r>
              <w:rPr>
                <w:spacing w:val="-6"/>
                <w:sz w:val="16"/>
              </w:rPr>
              <w:t xml:space="preserve"> </w:t>
            </w:r>
            <w:r>
              <w:rPr>
                <w:spacing w:val="-2"/>
                <w:sz w:val="16"/>
              </w:rPr>
              <w:t>terminated</w:t>
            </w:r>
            <w:r>
              <w:rPr>
                <w:spacing w:val="-6"/>
                <w:sz w:val="16"/>
              </w:rPr>
              <w:t xml:space="preserve"> </w:t>
            </w:r>
            <w:r>
              <w:rPr>
                <w:spacing w:val="-2"/>
                <w:sz w:val="16"/>
              </w:rPr>
              <w:t>at</w:t>
            </w:r>
            <w:r>
              <w:rPr>
                <w:spacing w:val="-6"/>
                <w:sz w:val="16"/>
              </w:rPr>
              <w:t xml:space="preserve"> </w:t>
            </w:r>
            <w:r>
              <w:rPr>
                <w:spacing w:val="-2"/>
                <w:sz w:val="16"/>
              </w:rPr>
              <w:t>edge</w:t>
            </w:r>
            <w:r>
              <w:rPr>
                <w:spacing w:val="-6"/>
                <w:sz w:val="16"/>
              </w:rPr>
              <w:t xml:space="preserve"> </w:t>
            </w:r>
            <w:r>
              <w:rPr>
                <w:spacing w:val="-2"/>
                <w:sz w:val="16"/>
              </w:rPr>
              <w:t>or</w:t>
            </w:r>
            <w:r>
              <w:rPr>
                <w:spacing w:val="-6"/>
                <w:sz w:val="16"/>
              </w:rPr>
              <w:t xml:space="preserve"> </w:t>
            </w:r>
            <w:r>
              <w:rPr>
                <w:spacing w:val="-2"/>
                <w:sz w:val="16"/>
              </w:rPr>
              <w:t>mid</w:t>
            </w:r>
            <w:r>
              <w:rPr>
                <w:spacing w:val="-6"/>
                <w:sz w:val="16"/>
              </w:rPr>
              <w:t xml:space="preserve"> </w:t>
            </w:r>
            <w:r>
              <w:rPr>
                <w:spacing w:val="-2"/>
                <w:sz w:val="16"/>
              </w:rPr>
              <w:t>of</w:t>
            </w:r>
            <w:r>
              <w:rPr>
                <w:spacing w:val="-6"/>
                <w:sz w:val="16"/>
              </w:rPr>
              <w:t xml:space="preserve"> </w:t>
            </w:r>
            <w:r>
              <w:rPr>
                <w:spacing w:val="-2"/>
                <w:sz w:val="16"/>
              </w:rPr>
              <w:t>CBD,</w:t>
            </w:r>
            <w:r>
              <w:rPr>
                <w:spacing w:val="-6"/>
                <w:sz w:val="16"/>
              </w:rPr>
              <w:t xml:space="preserve"> </w:t>
            </w:r>
            <w:r>
              <w:rPr>
                <w:spacing w:val="-2"/>
                <w:sz w:val="16"/>
              </w:rPr>
              <w:t>or</w:t>
            </w:r>
            <w:r>
              <w:rPr>
                <w:spacing w:val="-6"/>
                <w:sz w:val="16"/>
              </w:rPr>
              <w:t xml:space="preserve"> </w:t>
            </w:r>
            <w:r>
              <w:rPr>
                <w:spacing w:val="-2"/>
                <w:sz w:val="16"/>
              </w:rPr>
              <w:t xml:space="preserve">through-routing </w:t>
            </w:r>
            <w:r>
              <w:rPr>
                <w:sz w:val="16"/>
              </w:rPr>
              <w:t>(through mid CBD).</w:t>
            </w:r>
          </w:p>
        </w:tc>
        <w:tc>
          <w:tcPr>
            <w:tcW w:w="6010" w:type="dxa"/>
            <w:tcBorders>
              <w:bottom w:val="nil"/>
            </w:tcBorders>
            <w:shd w:val="clear" w:color="auto" w:fill="E1E0E1"/>
          </w:tcPr>
          <w:p w:rsidR="002C1123" w:rsidRDefault="00F22F94">
            <w:pPr>
              <w:pStyle w:val="TableParagraph"/>
              <w:spacing w:before="70" w:line="235" w:lineRule="auto"/>
              <w:ind w:left="112"/>
              <w:rPr>
                <w:sz w:val="16"/>
              </w:rPr>
            </w:pPr>
            <w:r>
              <w:rPr>
                <w:w w:val="95"/>
                <w:sz w:val="16"/>
              </w:rPr>
              <w:t xml:space="preserve">Relatively few network changes required (some desirable to support high frequency </w:t>
            </w:r>
            <w:r>
              <w:rPr>
                <w:sz w:val="16"/>
              </w:rPr>
              <w:t>“turn</w:t>
            </w:r>
            <w:r>
              <w:rPr>
                <w:spacing w:val="-1"/>
                <w:sz w:val="16"/>
              </w:rPr>
              <w:t xml:space="preserve"> </w:t>
            </w:r>
            <w:r>
              <w:rPr>
                <w:sz w:val="16"/>
              </w:rPr>
              <w:t>up</w:t>
            </w:r>
            <w:r>
              <w:rPr>
                <w:spacing w:val="-1"/>
                <w:sz w:val="16"/>
              </w:rPr>
              <w:t xml:space="preserve"> </w:t>
            </w:r>
            <w:r>
              <w:rPr>
                <w:sz w:val="16"/>
              </w:rPr>
              <w:t>and</w:t>
            </w:r>
            <w:r>
              <w:rPr>
                <w:spacing w:val="-1"/>
                <w:sz w:val="16"/>
              </w:rPr>
              <w:t xml:space="preserve"> </w:t>
            </w:r>
            <w:r>
              <w:rPr>
                <w:sz w:val="16"/>
              </w:rPr>
              <w:t>go”</w:t>
            </w:r>
            <w:r>
              <w:rPr>
                <w:spacing w:val="-1"/>
                <w:sz w:val="16"/>
              </w:rPr>
              <w:t xml:space="preserve"> </w:t>
            </w:r>
            <w:r>
              <w:rPr>
                <w:sz w:val="16"/>
              </w:rPr>
              <w:t>trunk</w:t>
            </w:r>
            <w:r>
              <w:rPr>
                <w:spacing w:val="-1"/>
                <w:sz w:val="16"/>
              </w:rPr>
              <w:t xml:space="preserve"> </w:t>
            </w:r>
            <w:r>
              <w:rPr>
                <w:sz w:val="16"/>
              </w:rPr>
              <w:t>services</w:t>
            </w:r>
            <w:r>
              <w:rPr>
                <w:spacing w:val="-1"/>
                <w:sz w:val="16"/>
              </w:rPr>
              <w:t xml:space="preserve"> </w:t>
            </w:r>
            <w:r>
              <w:rPr>
                <w:sz w:val="16"/>
              </w:rPr>
              <w:t>and</w:t>
            </w:r>
            <w:r>
              <w:rPr>
                <w:spacing w:val="-1"/>
                <w:sz w:val="16"/>
              </w:rPr>
              <w:t xml:space="preserve"> </w:t>
            </w:r>
            <w:r>
              <w:rPr>
                <w:sz w:val="16"/>
              </w:rPr>
              <w:t>to</w:t>
            </w:r>
            <w:r>
              <w:rPr>
                <w:spacing w:val="-1"/>
                <w:sz w:val="16"/>
              </w:rPr>
              <w:t xml:space="preserve"> </w:t>
            </w:r>
            <w:r>
              <w:rPr>
                <w:sz w:val="16"/>
              </w:rPr>
              <w:t>support</w:t>
            </w:r>
            <w:r>
              <w:rPr>
                <w:spacing w:val="-1"/>
                <w:sz w:val="16"/>
              </w:rPr>
              <w:t xml:space="preserve"> </w:t>
            </w:r>
            <w:r>
              <w:rPr>
                <w:sz w:val="16"/>
              </w:rPr>
              <w:t>more</w:t>
            </w:r>
            <w:r>
              <w:rPr>
                <w:spacing w:val="-1"/>
                <w:sz w:val="16"/>
              </w:rPr>
              <w:t xml:space="preserve"> </w:t>
            </w:r>
            <w:r>
              <w:rPr>
                <w:sz w:val="16"/>
              </w:rPr>
              <w:t>varied</w:t>
            </w:r>
            <w:r>
              <w:rPr>
                <w:spacing w:val="-1"/>
                <w:sz w:val="16"/>
              </w:rPr>
              <w:t xml:space="preserve"> </w:t>
            </w:r>
            <w:r>
              <w:rPr>
                <w:sz w:val="16"/>
              </w:rPr>
              <w:t>trip</w:t>
            </w:r>
            <w:r>
              <w:rPr>
                <w:spacing w:val="-1"/>
                <w:sz w:val="16"/>
              </w:rPr>
              <w:t xml:space="preserve"> </w:t>
            </w:r>
            <w:r>
              <w:rPr>
                <w:sz w:val="16"/>
              </w:rPr>
              <w:t>patterns).</w:t>
            </w:r>
          </w:p>
        </w:tc>
      </w:tr>
    </w:tbl>
    <w:p w:rsidR="002C1123" w:rsidRDefault="00F22F94">
      <w:pPr>
        <w:spacing w:before="63"/>
        <w:ind w:left="605"/>
        <w:rPr>
          <w:b/>
          <w:sz w:val="18"/>
        </w:rPr>
      </w:pPr>
      <w:r>
        <w:rPr>
          <w:b/>
          <w:color w:val="2E3092"/>
          <w:sz w:val="18"/>
        </w:rPr>
        <w:t>Customer</w:t>
      </w:r>
      <w:r>
        <w:rPr>
          <w:b/>
          <w:color w:val="2E3092"/>
          <w:spacing w:val="-9"/>
          <w:sz w:val="18"/>
        </w:rPr>
        <w:t xml:space="preserve"> </w:t>
      </w:r>
      <w:r>
        <w:rPr>
          <w:b/>
          <w:color w:val="2E3092"/>
          <w:spacing w:val="-2"/>
          <w:sz w:val="18"/>
        </w:rPr>
        <w:t>Impacts</w:t>
      </w:r>
    </w:p>
    <w:p w:rsidR="002C1123" w:rsidRDefault="002C1123">
      <w:pPr>
        <w:pStyle w:val="BodyText"/>
        <w:spacing w:before="8"/>
        <w:rPr>
          <w:b/>
          <w:sz w:val="5"/>
        </w:rPr>
      </w:pPr>
    </w:p>
    <w:tbl>
      <w:tblPr>
        <w:tblW w:w="0" w:type="auto"/>
        <w:tblInd w:w="48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835"/>
        <w:gridCol w:w="6010"/>
        <w:gridCol w:w="6010"/>
      </w:tblGrid>
      <w:tr w:rsidR="002C1123">
        <w:trPr>
          <w:trHeight w:val="861"/>
        </w:trPr>
        <w:tc>
          <w:tcPr>
            <w:tcW w:w="2835" w:type="dxa"/>
            <w:tcBorders>
              <w:left w:val="nil"/>
            </w:tcBorders>
            <w:shd w:val="clear" w:color="auto" w:fill="C9C8C9"/>
          </w:tcPr>
          <w:p w:rsidR="002C1123" w:rsidRDefault="00F22F94">
            <w:pPr>
              <w:pStyle w:val="TableParagraph"/>
              <w:spacing w:before="63"/>
              <w:rPr>
                <w:sz w:val="18"/>
              </w:rPr>
            </w:pPr>
            <w:r>
              <w:rPr>
                <w:sz w:val="18"/>
              </w:rPr>
              <w:t>Passenger</w:t>
            </w:r>
            <w:r>
              <w:rPr>
                <w:spacing w:val="-3"/>
                <w:sz w:val="18"/>
              </w:rPr>
              <w:t xml:space="preserve"> </w:t>
            </w:r>
            <w:r>
              <w:rPr>
                <w:spacing w:val="-2"/>
                <w:w w:val="105"/>
                <w:sz w:val="18"/>
              </w:rPr>
              <w:t>Capacity</w:t>
            </w:r>
          </w:p>
        </w:tc>
        <w:tc>
          <w:tcPr>
            <w:tcW w:w="6010" w:type="dxa"/>
            <w:shd w:val="clear" w:color="auto" w:fill="E1E0E1"/>
          </w:tcPr>
          <w:p w:rsidR="002C1123" w:rsidRDefault="00F22F94">
            <w:pPr>
              <w:pStyle w:val="TableParagraph"/>
              <w:spacing w:before="70" w:line="235" w:lineRule="auto"/>
              <w:ind w:right="187"/>
              <w:rPr>
                <w:sz w:val="16"/>
              </w:rPr>
            </w:pPr>
            <w:r>
              <w:rPr>
                <w:sz w:val="16"/>
              </w:rPr>
              <w:t>Will</w:t>
            </w:r>
            <w:r>
              <w:rPr>
                <w:spacing w:val="-5"/>
                <w:sz w:val="16"/>
              </w:rPr>
              <w:t xml:space="preserve"> </w:t>
            </w:r>
            <w:r>
              <w:rPr>
                <w:sz w:val="16"/>
              </w:rPr>
              <w:t>provide</w:t>
            </w:r>
            <w:r>
              <w:rPr>
                <w:spacing w:val="-5"/>
                <w:sz w:val="16"/>
              </w:rPr>
              <w:t xml:space="preserve"> </w:t>
            </w:r>
            <w:r>
              <w:rPr>
                <w:sz w:val="16"/>
              </w:rPr>
              <w:t>9,000</w:t>
            </w:r>
            <w:r>
              <w:rPr>
                <w:spacing w:val="-5"/>
                <w:sz w:val="16"/>
              </w:rPr>
              <w:t xml:space="preserve"> </w:t>
            </w:r>
            <w:r>
              <w:rPr>
                <w:sz w:val="16"/>
              </w:rPr>
              <w:t>customer</w:t>
            </w:r>
            <w:r>
              <w:rPr>
                <w:spacing w:val="-5"/>
                <w:sz w:val="16"/>
              </w:rPr>
              <w:t xml:space="preserve"> </w:t>
            </w:r>
            <w:r>
              <w:rPr>
                <w:sz w:val="16"/>
              </w:rPr>
              <w:t>trips</w:t>
            </w:r>
            <w:r>
              <w:rPr>
                <w:spacing w:val="-5"/>
                <w:sz w:val="16"/>
              </w:rPr>
              <w:t xml:space="preserve"> </w:t>
            </w:r>
            <w:r>
              <w:rPr>
                <w:sz w:val="16"/>
              </w:rPr>
              <w:t>per</w:t>
            </w:r>
            <w:r>
              <w:rPr>
                <w:spacing w:val="-5"/>
                <w:sz w:val="16"/>
              </w:rPr>
              <w:t xml:space="preserve"> </w:t>
            </w:r>
            <w:r>
              <w:rPr>
                <w:sz w:val="16"/>
              </w:rPr>
              <w:t>hour</w:t>
            </w:r>
            <w:r>
              <w:rPr>
                <w:spacing w:val="-5"/>
                <w:sz w:val="16"/>
              </w:rPr>
              <w:t xml:space="preserve"> </w:t>
            </w:r>
            <w:r>
              <w:rPr>
                <w:sz w:val="16"/>
              </w:rPr>
              <w:t>on</w:t>
            </w:r>
            <w:r>
              <w:rPr>
                <w:spacing w:val="-5"/>
                <w:sz w:val="16"/>
              </w:rPr>
              <w:t xml:space="preserve"> </w:t>
            </w:r>
            <w:r>
              <w:rPr>
                <w:sz w:val="16"/>
              </w:rPr>
              <w:t>George</w:t>
            </w:r>
            <w:r>
              <w:rPr>
                <w:spacing w:val="-5"/>
                <w:sz w:val="16"/>
              </w:rPr>
              <w:t xml:space="preserve"> </w:t>
            </w:r>
            <w:r>
              <w:rPr>
                <w:sz w:val="16"/>
              </w:rPr>
              <w:t>Street</w:t>
            </w:r>
            <w:r>
              <w:rPr>
                <w:spacing w:val="-5"/>
                <w:sz w:val="16"/>
              </w:rPr>
              <w:t xml:space="preserve"> </w:t>
            </w:r>
            <w:r>
              <w:rPr>
                <w:sz w:val="16"/>
              </w:rPr>
              <w:t>–</w:t>
            </w:r>
            <w:r>
              <w:rPr>
                <w:spacing w:val="-5"/>
                <w:sz w:val="16"/>
              </w:rPr>
              <w:t xml:space="preserve"> </w:t>
            </w:r>
            <w:r>
              <w:rPr>
                <w:sz w:val="16"/>
              </w:rPr>
              <w:t>assuming</w:t>
            </w:r>
            <w:r>
              <w:rPr>
                <w:spacing w:val="-5"/>
                <w:sz w:val="16"/>
              </w:rPr>
              <w:t xml:space="preserve"> </w:t>
            </w:r>
            <w:r>
              <w:rPr>
                <w:sz w:val="16"/>
              </w:rPr>
              <w:t>45m vehicles</w:t>
            </w:r>
            <w:r>
              <w:rPr>
                <w:spacing w:val="-10"/>
                <w:sz w:val="16"/>
              </w:rPr>
              <w:t xml:space="preserve"> </w:t>
            </w:r>
            <w:r>
              <w:rPr>
                <w:sz w:val="16"/>
              </w:rPr>
              <w:t>every</w:t>
            </w:r>
            <w:r>
              <w:rPr>
                <w:spacing w:val="-10"/>
                <w:sz w:val="16"/>
              </w:rPr>
              <w:t xml:space="preserve"> </w:t>
            </w:r>
            <w:r>
              <w:rPr>
                <w:sz w:val="16"/>
              </w:rPr>
              <w:t>2</w:t>
            </w:r>
            <w:r>
              <w:rPr>
                <w:spacing w:val="-10"/>
                <w:sz w:val="16"/>
              </w:rPr>
              <w:t xml:space="preserve"> </w:t>
            </w:r>
            <w:r>
              <w:rPr>
                <w:sz w:val="16"/>
              </w:rPr>
              <w:t>mins</w:t>
            </w:r>
            <w:r>
              <w:rPr>
                <w:spacing w:val="-10"/>
                <w:sz w:val="16"/>
              </w:rPr>
              <w:t xml:space="preserve"> </w:t>
            </w:r>
            <w:r>
              <w:rPr>
                <w:sz w:val="16"/>
              </w:rPr>
              <w:t>(which</w:t>
            </w:r>
            <w:r>
              <w:rPr>
                <w:spacing w:val="-10"/>
                <w:sz w:val="16"/>
              </w:rPr>
              <w:t xml:space="preserve"> </w:t>
            </w:r>
            <w:r>
              <w:rPr>
                <w:sz w:val="16"/>
              </w:rPr>
              <w:t>is</w:t>
            </w:r>
            <w:r>
              <w:rPr>
                <w:spacing w:val="-10"/>
                <w:sz w:val="16"/>
              </w:rPr>
              <w:t xml:space="preserve"> </w:t>
            </w:r>
            <w:r>
              <w:rPr>
                <w:sz w:val="16"/>
              </w:rPr>
              <w:t>less</w:t>
            </w:r>
            <w:r>
              <w:rPr>
                <w:spacing w:val="-10"/>
                <w:sz w:val="16"/>
              </w:rPr>
              <w:t xml:space="preserve"> </w:t>
            </w:r>
            <w:r>
              <w:rPr>
                <w:sz w:val="16"/>
              </w:rPr>
              <w:t>capacity</w:t>
            </w:r>
            <w:r>
              <w:rPr>
                <w:spacing w:val="-10"/>
                <w:sz w:val="16"/>
              </w:rPr>
              <w:t xml:space="preserve"> </w:t>
            </w:r>
            <w:r>
              <w:rPr>
                <w:sz w:val="16"/>
              </w:rPr>
              <w:t>than</w:t>
            </w:r>
            <w:r>
              <w:rPr>
                <w:spacing w:val="-10"/>
                <w:sz w:val="16"/>
              </w:rPr>
              <w:t xml:space="preserve"> </w:t>
            </w:r>
            <w:r>
              <w:rPr>
                <w:sz w:val="16"/>
              </w:rPr>
              <w:t>current</w:t>
            </w:r>
            <w:r>
              <w:rPr>
                <w:spacing w:val="-10"/>
                <w:sz w:val="16"/>
              </w:rPr>
              <w:t xml:space="preserve"> </w:t>
            </w:r>
            <w:r>
              <w:rPr>
                <w:sz w:val="16"/>
              </w:rPr>
              <w:t>buses).</w:t>
            </w:r>
            <w:r>
              <w:rPr>
                <w:spacing w:val="-10"/>
                <w:sz w:val="16"/>
              </w:rPr>
              <w:t xml:space="preserve"> </w:t>
            </w:r>
            <w:r>
              <w:rPr>
                <w:sz w:val="16"/>
              </w:rPr>
              <w:t>There</w:t>
            </w:r>
            <w:r>
              <w:rPr>
                <w:spacing w:val="-10"/>
                <w:sz w:val="16"/>
              </w:rPr>
              <w:t xml:space="preserve"> </w:t>
            </w:r>
            <w:r>
              <w:rPr>
                <w:sz w:val="16"/>
              </w:rPr>
              <w:t>will</w:t>
            </w:r>
            <w:r>
              <w:rPr>
                <w:spacing w:val="-10"/>
                <w:sz w:val="16"/>
              </w:rPr>
              <w:t xml:space="preserve"> </w:t>
            </w:r>
            <w:r>
              <w:rPr>
                <w:sz w:val="16"/>
              </w:rPr>
              <w:t xml:space="preserve">be </w:t>
            </w:r>
            <w:r>
              <w:rPr>
                <w:w w:val="95"/>
                <w:sz w:val="16"/>
              </w:rPr>
              <w:t xml:space="preserve">fewer light rail vehicles than the buses they replace, but the light rail vehicles will be </w:t>
            </w:r>
            <w:r>
              <w:rPr>
                <w:sz w:val="16"/>
              </w:rPr>
              <w:t>more fully occupied.</w:t>
            </w:r>
          </w:p>
        </w:tc>
        <w:tc>
          <w:tcPr>
            <w:tcW w:w="6010" w:type="dxa"/>
            <w:shd w:val="clear" w:color="auto" w:fill="E1E0E1"/>
          </w:tcPr>
          <w:p w:rsidR="002C1123" w:rsidRDefault="00F22F94">
            <w:pPr>
              <w:pStyle w:val="TableParagraph"/>
              <w:spacing w:before="70" w:line="235" w:lineRule="auto"/>
              <w:ind w:left="112" w:right="406"/>
              <w:rPr>
                <w:sz w:val="16"/>
              </w:rPr>
            </w:pPr>
            <w:r>
              <w:rPr>
                <w:w w:val="95"/>
                <w:sz w:val="16"/>
              </w:rPr>
              <w:t xml:space="preserve">New sub surface capacity of 20,000 customers per hour utilising standard buses </w:t>
            </w:r>
            <w:r>
              <w:rPr>
                <w:sz w:val="16"/>
              </w:rPr>
              <w:t>(75 passengers per bus)</w:t>
            </w:r>
          </w:p>
        </w:tc>
      </w:tr>
      <w:tr w:rsidR="002C1123">
        <w:trPr>
          <w:trHeight w:val="501"/>
        </w:trPr>
        <w:tc>
          <w:tcPr>
            <w:tcW w:w="2835" w:type="dxa"/>
            <w:tcBorders>
              <w:left w:val="nil"/>
            </w:tcBorders>
            <w:shd w:val="clear" w:color="auto" w:fill="C9C8C9"/>
          </w:tcPr>
          <w:p w:rsidR="002C1123" w:rsidRDefault="00F22F94">
            <w:pPr>
              <w:pStyle w:val="TableParagraph"/>
              <w:spacing w:before="63"/>
              <w:rPr>
                <w:sz w:val="18"/>
              </w:rPr>
            </w:pPr>
            <w:r>
              <w:rPr>
                <w:spacing w:val="-2"/>
                <w:w w:val="105"/>
                <w:sz w:val="18"/>
              </w:rPr>
              <w:t>Standing</w:t>
            </w:r>
          </w:p>
        </w:tc>
        <w:tc>
          <w:tcPr>
            <w:tcW w:w="6010" w:type="dxa"/>
            <w:shd w:val="clear" w:color="auto" w:fill="E1E0E1"/>
          </w:tcPr>
          <w:p w:rsidR="002C1123" w:rsidRDefault="00F22F94">
            <w:pPr>
              <w:pStyle w:val="TableParagraph"/>
              <w:spacing w:before="70" w:line="235" w:lineRule="auto"/>
              <w:ind w:right="800"/>
              <w:rPr>
                <w:sz w:val="16"/>
              </w:rPr>
            </w:pPr>
            <w:r>
              <w:rPr>
                <w:w w:val="95"/>
                <w:sz w:val="16"/>
              </w:rPr>
              <w:t xml:space="preserve">Two thirds of customers will be standing in the CBD when full; smoother </w:t>
            </w:r>
            <w:r>
              <w:rPr>
                <w:sz w:val="16"/>
              </w:rPr>
              <w:t>ride</w:t>
            </w:r>
            <w:r>
              <w:rPr>
                <w:spacing w:val="-4"/>
                <w:sz w:val="16"/>
              </w:rPr>
              <w:t xml:space="preserve"> </w:t>
            </w:r>
            <w:r>
              <w:rPr>
                <w:sz w:val="16"/>
              </w:rPr>
              <w:t>mitigates.</w:t>
            </w:r>
          </w:p>
        </w:tc>
        <w:tc>
          <w:tcPr>
            <w:tcW w:w="6010" w:type="dxa"/>
            <w:shd w:val="clear" w:color="auto" w:fill="E1E0E1"/>
          </w:tcPr>
          <w:p w:rsidR="002C1123" w:rsidRDefault="00F22F94">
            <w:pPr>
              <w:pStyle w:val="TableParagraph"/>
              <w:ind w:left="112"/>
              <w:rPr>
                <w:sz w:val="16"/>
              </w:rPr>
            </w:pPr>
            <w:r>
              <w:rPr>
                <w:w w:val="95"/>
                <w:sz w:val="16"/>
              </w:rPr>
              <w:t>One</w:t>
            </w:r>
            <w:r>
              <w:rPr>
                <w:spacing w:val="4"/>
                <w:sz w:val="16"/>
              </w:rPr>
              <w:t xml:space="preserve"> </w:t>
            </w:r>
            <w:r>
              <w:rPr>
                <w:w w:val="95"/>
                <w:sz w:val="16"/>
              </w:rPr>
              <w:t>third</w:t>
            </w:r>
            <w:r>
              <w:rPr>
                <w:spacing w:val="5"/>
                <w:sz w:val="16"/>
              </w:rPr>
              <w:t xml:space="preserve"> </w:t>
            </w:r>
            <w:r>
              <w:rPr>
                <w:w w:val="95"/>
                <w:sz w:val="16"/>
              </w:rPr>
              <w:t>customers</w:t>
            </w:r>
            <w:r>
              <w:rPr>
                <w:spacing w:val="5"/>
                <w:sz w:val="16"/>
              </w:rPr>
              <w:t xml:space="preserve"> </w:t>
            </w:r>
            <w:r>
              <w:rPr>
                <w:w w:val="95"/>
                <w:sz w:val="16"/>
              </w:rPr>
              <w:t>standing</w:t>
            </w:r>
            <w:r>
              <w:rPr>
                <w:spacing w:val="4"/>
                <w:sz w:val="16"/>
              </w:rPr>
              <w:t xml:space="preserve"> </w:t>
            </w:r>
            <w:r>
              <w:rPr>
                <w:w w:val="95"/>
                <w:sz w:val="16"/>
              </w:rPr>
              <w:t>in</w:t>
            </w:r>
            <w:r>
              <w:rPr>
                <w:spacing w:val="5"/>
                <w:sz w:val="16"/>
              </w:rPr>
              <w:t xml:space="preserve"> </w:t>
            </w:r>
            <w:r>
              <w:rPr>
                <w:w w:val="95"/>
                <w:sz w:val="16"/>
              </w:rPr>
              <w:t>standard</w:t>
            </w:r>
            <w:r>
              <w:rPr>
                <w:spacing w:val="5"/>
                <w:sz w:val="16"/>
              </w:rPr>
              <w:t xml:space="preserve"> </w:t>
            </w:r>
            <w:r>
              <w:rPr>
                <w:spacing w:val="-2"/>
                <w:w w:val="95"/>
                <w:sz w:val="16"/>
              </w:rPr>
              <w:t>buses</w:t>
            </w:r>
          </w:p>
        </w:tc>
      </w:tr>
      <w:tr w:rsidR="002C1123">
        <w:trPr>
          <w:trHeight w:val="681"/>
        </w:trPr>
        <w:tc>
          <w:tcPr>
            <w:tcW w:w="2835" w:type="dxa"/>
            <w:tcBorders>
              <w:left w:val="nil"/>
            </w:tcBorders>
            <w:shd w:val="clear" w:color="auto" w:fill="C9C8C9"/>
          </w:tcPr>
          <w:p w:rsidR="002C1123" w:rsidRDefault="00F22F94">
            <w:pPr>
              <w:pStyle w:val="TableParagraph"/>
              <w:spacing w:before="63"/>
              <w:rPr>
                <w:sz w:val="18"/>
              </w:rPr>
            </w:pPr>
            <w:r>
              <w:rPr>
                <w:sz w:val="18"/>
              </w:rPr>
              <w:t>Passenger</w:t>
            </w:r>
            <w:r>
              <w:rPr>
                <w:spacing w:val="-3"/>
                <w:sz w:val="18"/>
              </w:rPr>
              <w:t xml:space="preserve"> </w:t>
            </w:r>
            <w:r>
              <w:rPr>
                <w:spacing w:val="-2"/>
                <w:w w:val="105"/>
                <w:sz w:val="18"/>
              </w:rPr>
              <w:t>Interchange</w:t>
            </w:r>
          </w:p>
        </w:tc>
        <w:tc>
          <w:tcPr>
            <w:tcW w:w="6010" w:type="dxa"/>
            <w:shd w:val="clear" w:color="auto" w:fill="E1E0E1"/>
          </w:tcPr>
          <w:p w:rsidR="002C1123" w:rsidRDefault="00F22F94">
            <w:pPr>
              <w:pStyle w:val="TableParagraph"/>
              <w:spacing w:before="70" w:line="235" w:lineRule="auto"/>
              <w:ind w:right="136"/>
              <w:jc w:val="both"/>
              <w:rPr>
                <w:sz w:val="16"/>
              </w:rPr>
            </w:pPr>
            <w:r>
              <w:rPr>
                <w:spacing w:val="-2"/>
                <w:sz w:val="16"/>
              </w:rPr>
              <w:t>Forced</w:t>
            </w:r>
            <w:r>
              <w:rPr>
                <w:spacing w:val="-3"/>
                <w:sz w:val="16"/>
              </w:rPr>
              <w:t xml:space="preserve"> </w:t>
            </w:r>
            <w:r>
              <w:rPr>
                <w:spacing w:val="-2"/>
                <w:sz w:val="16"/>
              </w:rPr>
              <w:t>interchange</w:t>
            </w:r>
            <w:r>
              <w:rPr>
                <w:spacing w:val="-3"/>
                <w:sz w:val="16"/>
              </w:rPr>
              <w:t xml:space="preserve"> </w:t>
            </w:r>
            <w:r>
              <w:rPr>
                <w:spacing w:val="-2"/>
                <w:sz w:val="16"/>
              </w:rPr>
              <w:t>to</w:t>
            </w:r>
            <w:r>
              <w:rPr>
                <w:spacing w:val="-3"/>
                <w:sz w:val="16"/>
              </w:rPr>
              <w:t xml:space="preserve"> </w:t>
            </w:r>
            <w:r>
              <w:rPr>
                <w:spacing w:val="-2"/>
                <w:sz w:val="16"/>
              </w:rPr>
              <w:t>access</w:t>
            </w:r>
            <w:r>
              <w:rPr>
                <w:spacing w:val="-3"/>
                <w:sz w:val="16"/>
              </w:rPr>
              <w:t xml:space="preserve"> </w:t>
            </w:r>
            <w:r>
              <w:rPr>
                <w:spacing w:val="-2"/>
                <w:sz w:val="16"/>
              </w:rPr>
              <w:t>light</w:t>
            </w:r>
            <w:r>
              <w:rPr>
                <w:spacing w:val="-3"/>
                <w:sz w:val="16"/>
              </w:rPr>
              <w:t xml:space="preserve"> </w:t>
            </w:r>
            <w:r>
              <w:rPr>
                <w:spacing w:val="-2"/>
                <w:sz w:val="16"/>
              </w:rPr>
              <w:t>rail</w:t>
            </w:r>
            <w:r>
              <w:rPr>
                <w:spacing w:val="-3"/>
                <w:sz w:val="16"/>
              </w:rPr>
              <w:t xml:space="preserve"> </w:t>
            </w:r>
            <w:r>
              <w:rPr>
                <w:spacing w:val="-2"/>
                <w:sz w:val="16"/>
              </w:rPr>
              <w:t>from</w:t>
            </w:r>
            <w:r>
              <w:rPr>
                <w:spacing w:val="-3"/>
                <w:sz w:val="16"/>
              </w:rPr>
              <w:t xml:space="preserve"> </w:t>
            </w:r>
            <w:r>
              <w:rPr>
                <w:spacing w:val="-2"/>
                <w:sz w:val="16"/>
              </w:rPr>
              <w:t>some</w:t>
            </w:r>
            <w:r>
              <w:rPr>
                <w:spacing w:val="-3"/>
                <w:sz w:val="16"/>
              </w:rPr>
              <w:t xml:space="preserve"> </w:t>
            </w:r>
            <w:r>
              <w:rPr>
                <w:spacing w:val="-2"/>
                <w:sz w:val="16"/>
              </w:rPr>
              <w:t>suburbs</w:t>
            </w:r>
            <w:r>
              <w:rPr>
                <w:spacing w:val="-3"/>
                <w:sz w:val="16"/>
              </w:rPr>
              <w:t xml:space="preserve"> </w:t>
            </w:r>
            <w:r>
              <w:rPr>
                <w:spacing w:val="-2"/>
                <w:sz w:val="16"/>
              </w:rPr>
              <w:t>where</w:t>
            </w:r>
            <w:r>
              <w:rPr>
                <w:spacing w:val="-3"/>
                <w:sz w:val="16"/>
              </w:rPr>
              <w:t xml:space="preserve"> </w:t>
            </w:r>
            <w:r>
              <w:rPr>
                <w:spacing w:val="-2"/>
                <w:sz w:val="16"/>
              </w:rPr>
              <w:t>current</w:t>
            </w:r>
            <w:r>
              <w:rPr>
                <w:spacing w:val="-3"/>
                <w:sz w:val="16"/>
              </w:rPr>
              <w:t xml:space="preserve"> </w:t>
            </w:r>
            <w:r>
              <w:rPr>
                <w:spacing w:val="-2"/>
                <w:sz w:val="16"/>
              </w:rPr>
              <w:t>direct</w:t>
            </w:r>
            <w:r>
              <w:rPr>
                <w:spacing w:val="-3"/>
                <w:sz w:val="16"/>
              </w:rPr>
              <w:t xml:space="preserve"> </w:t>
            </w:r>
            <w:r>
              <w:rPr>
                <w:spacing w:val="-2"/>
                <w:sz w:val="16"/>
              </w:rPr>
              <w:t xml:space="preserve">bus </w:t>
            </w:r>
            <w:r>
              <w:rPr>
                <w:w w:val="95"/>
                <w:sz w:val="16"/>
              </w:rPr>
              <w:t xml:space="preserve">services will cease. Customers on bus services that continue into the CBD will need </w:t>
            </w:r>
            <w:r>
              <w:rPr>
                <w:sz w:val="16"/>
              </w:rPr>
              <w:t>to</w:t>
            </w:r>
            <w:r>
              <w:rPr>
                <w:spacing w:val="-6"/>
                <w:sz w:val="16"/>
              </w:rPr>
              <w:t xml:space="preserve"> </w:t>
            </w:r>
            <w:r>
              <w:rPr>
                <w:sz w:val="16"/>
              </w:rPr>
              <w:t>interchange</w:t>
            </w:r>
            <w:r>
              <w:rPr>
                <w:spacing w:val="-6"/>
                <w:sz w:val="16"/>
              </w:rPr>
              <w:t xml:space="preserve"> </w:t>
            </w:r>
            <w:r>
              <w:rPr>
                <w:sz w:val="16"/>
              </w:rPr>
              <w:t>onto</w:t>
            </w:r>
            <w:r>
              <w:rPr>
                <w:spacing w:val="-6"/>
                <w:sz w:val="16"/>
              </w:rPr>
              <w:t xml:space="preserve"> </w:t>
            </w:r>
            <w:r>
              <w:rPr>
                <w:sz w:val="16"/>
              </w:rPr>
              <w:t>light</w:t>
            </w:r>
            <w:r>
              <w:rPr>
                <w:spacing w:val="-6"/>
                <w:sz w:val="16"/>
              </w:rPr>
              <w:t xml:space="preserve"> </w:t>
            </w:r>
            <w:r>
              <w:rPr>
                <w:sz w:val="16"/>
              </w:rPr>
              <w:t>rail</w:t>
            </w:r>
            <w:r>
              <w:rPr>
                <w:spacing w:val="-6"/>
                <w:sz w:val="16"/>
              </w:rPr>
              <w:t xml:space="preserve"> </w:t>
            </w:r>
            <w:r>
              <w:rPr>
                <w:sz w:val="16"/>
              </w:rPr>
              <w:t>in</w:t>
            </w:r>
            <w:r>
              <w:rPr>
                <w:spacing w:val="-6"/>
                <w:sz w:val="16"/>
              </w:rPr>
              <w:t xml:space="preserve"> </w:t>
            </w:r>
            <w:r>
              <w:rPr>
                <w:sz w:val="16"/>
              </w:rPr>
              <w:t>the</w:t>
            </w:r>
            <w:r>
              <w:rPr>
                <w:spacing w:val="-6"/>
                <w:sz w:val="16"/>
              </w:rPr>
              <w:t xml:space="preserve"> </w:t>
            </w:r>
            <w:r>
              <w:rPr>
                <w:sz w:val="16"/>
              </w:rPr>
              <w:t>CBD</w:t>
            </w:r>
            <w:r>
              <w:rPr>
                <w:spacing w:val="-6"/>
                <w:sz w:val="16"/>
              </w:rPr>
              <w:t xml:space="preserve"> </w:t>
            </w:r>
            <w:r>
              <w:rPr>
                <w:sz w:val="16"/>
              </w:rPr>
              <w:t>to</w:t>
            </w:r>
            <w:r>
              <w:rPr>
                <w:spacing w:val="-6"/>
                <w:sz w:val="16"/>
              </w:rPr>
              <w:t xml:space="preserve"> </w:t>
            </w:r>
            <w:r>
              <w:rPr>
                <w:sz w:val="16"/>
              </w:rPr>
              <w:t>access</w:t>
            </w:r>
            <w:r>
              <w:rPr>
                <w:spacing w:val="-6"/>
                <w:sz w:val="16"/>
              </w:rPr>
              <w:t xml:space="preserve"> </w:t>
            </w:r>
            <w:r>
              <w:rPr>
                <w:sz w:val="16"/>
              </w:rPr>
              <w:t>north</w:t>
            </w:r>
            <w:r>
              <w:rPr>
                <w:spacing w:val="-6"/>
                <w:sz w:val="16"/>
              </w:rPr>
              <w:t xml:space="preserve"> </w:t>
            </w:r>
            <w:r>
              <w:rPr>
                <w:sz w:val="16"/>
              </w:rPr>
              <w:t>of</w:t>
            </w:r>
            <w:r>
              <w:rPr>
                <w:spacing w:val="-6"/>
                <w:sz w:val="16"/>
              </w:rPr>
              <w:t xml:space="preserve"> </w:t>
            </w:r>
            <w:r>
              <w:rPr>
                <w:sz w:val="16"/>
              </w:rPr>
              <w:t>Town</w:t>
            </w:r>
            <w:r>
              <w:rPr>
                <w:spacing w:val="-6"/>
                <w:sz w:val="16"/>
              </w:rPr>
              <w:t xml:space="preserve"> </w:t>
            </w:r>
            <w:r>
              <w:rPr>
                <w:sz w:val="16"/>
              </w:rPr>
              <w:t>Hall.</w:t>
            </w:r>
          </w:p>
        </w:tc>
        <w:tc>
          <w:tcPr>
            <w:tcW w:w="6010" w:type="dxa"/>
            <w:shd w:val="clear" w:color="auto" w:fill="E1E0E1"/>
          </w:tcPr>
          <w:p w:rsidR="002C1123" w:rsidRDefault="00F22F94">
            <w:pPr>
              <w:pStyle w:val="TableParagraph"/>
              <w:ind w:left="112"/>
              <w:rPr>
                <w:sz w:val="16"/>
              </w:rPr>
            </w:pPr>
            <w:r>
              <w:rPr>
                <w:w w:val="95"/>
                <w:sz w:val="16"/>
              </w:rPr>
              <w:t>Relatively</w:t>
            </w:r>
            <w:r>
              <w:rPr>
                <w:spacing w:val="-2"/>
                <w:sz w:val="16"/>
              </w:rPr>
              <w:t xml:space="preserve"> </w:t>
            </w:r>
            <w:r>
              <w:rPr>
                <w:w w:val="95"/>
                <w:sz w:val="16"/>
              </w:rPr>
              <w:t>little</w:t>
            </w:r>
            <w:r>
              <w:rPr>
                <w:spacing w:val="-2"/>
                <w:sz w:val="16"/>
              </w:rPr>
              <w:t xml:space="preserve"> </w:t>
            </w:r>
            <w:r>
              <w:rPr>
                <w:w w:val="95"/>
                <w:sz w:val="16"/>
              </w:rPr>
              <w:t>forced</w:t>
            </w:r>
            <w:r>
              <w:rPr>
                <w:spacing w:val="-2"/>
                <w:sz w:val="16"/>
              </w:rPr>
              <w:t xml:space="preserve"> </w:t>
            </w:r>
            <w:r>
              <w:rPr>
                <w:w w:val="95"/>
                <w:sz w:val="16"/>
              </w:rPr>
              <w:t>interchange</w:t>
            </w:r>
            <w:r>
              <w:rPr>
                <w:spacing w:val="-2"/>
                <w:sz w:val="16"/>
              </w:rPr>
              <w:t xml:space="preserve"> </w:t>
            </w:r>
            <w:r>
              <w:rPr>
                <w:w w:val="95"/>
                <w:sz w:val="16"/>
              </w:rPr>
              <w:t>due</w:t>
            </w:r>
            <w:r>
              <w:rPr>
                <w:spacing w:val="-1"/>
                <w:sz w:val="16"/>
              </w:rPr>
              <w:t xml:space="preserve"> </w:t>
            </w:r>
            <w:r>
              <w:rPr>
                <w:w w:val="95"/>
                <w:sz w:val="16"/>
              </w:rPr>
              <w:t>to</w:t>
            </w:r>
            <w:r>
              <w:rPr>
                <w:spacing w:val="-2"/>
                <w:sz w:val="16"/>
              </w:rPr>
              <w:t xml:space="preserve"> </w:t>
            </w:r>
            <w:r>
              <w:rPr>
                <w:w w:val="95"/>
                <w:sz w:val="16"/>
              </w:rPr>
              <w:t>minimal</w:t>
            </w:r>
            <w:r>
              <w:rPr>
                <w:spacing w:val="-2"/>
                <w:sz w:val="16"/>
              </w:rPr>
              <w:t xml:space="preserve"> </w:t>
            </w:r>
            <w:r>
              <w:rPr>
                <w:w w:val="95"/>
                <w:sz w:val="16"/>
              </w:rPr>
              <w:t>change</w:t>
            </w:r>
            <w:r>
              <w:rPr>
                <w:spacing w:val="-2"/>
                <w:sz w:val="16"/>
              </w:rPr>
              <w:t xml:space="preserve"> </w:t>
            </w:r>
            <w:r>
              <w:rPr>
                <w:w w:val="95"/>
                <w:sz w:val="16"/>
              </w:rPr>
              <w:t>to</w:t>
            </w:r>
            <w:r>
              <w:rPr>
                <w:spacing w:val="-2"/>
                <w:sz w:val="16"/>
              </w:rPr>
              <w:t xml:space="preserve"> </w:t>
            </w:r>
            <w:r>
              <w:rPr>
                <w:w w:val="95"/>
                <w:sz w:val="16"/>
              </w:rPr>
              <w:t>existing</w:t>
            </w:r>
            <w:r>
              <w:rPr>
                <w:spacing w:val="-1"/>
                <w:sz w:val="16"/>
              </w:rPr>
              <w:t xml:space="preserve"> </w:t>
            </w:r>
            <w:r>
              <w:rPr>
                <w:w w:val="95"/>
                <w:sz w:val="16"/>
              </w:rPr>
              <w:t>bus</w:t>
            </w:r>
            <w:r>
              <w:rPr>
                <w:spacing w:val="-2"/>
                <w:sz w:val="16"/>
              </w:rPr>
              <w:t xml:space="preserve"> </w:t>
            </w:r>
            <w:r>
              <w:rPr>
                <w:spacing w:val="-2"/>
                <w:w w:val="95"/>
                <w:sz w:val="16"/>
              </w:rPr>
              <w:t>services</w:t>
            </w:r>
          </w:p>
        </w:tc>
      </w:tr>
      <w:tr w:rsidR="002C1123">
        <w:trPr>
          <w:trHeight w:val="501"/>
        </w:trPr>
        <w:tc>
          <w:tcPr>
            <w:tcW w:w="2835" w:type="dxa"/>
            <w:tcBorders>
              <w:left w:val="nil"/>
            </w:tcBorders>
            <w:shd w:val="clear" w:color="auto" w:fill="C9C8C9"/>
          </w:tcPr>
          <w:p w:rsidR="002C1123" w:rsidRDefault="00F22F94">
            <w:pPr>
              <w:pStyle w:val="TableParagraph"/>
              <w:spacing w:before="63"/>
              <w:rPr>
                <w:sz w:val="18"/>
              </w:rPr>
            </w:pPr>
            <w:r>
              <w:rPr>
                <w:sz w:val="18"/>
              </w:rPr>
              <w:t>Travel</w:t>
            </w:r>
            <w:r>
              <w:rPr>
                <w:spacing w:val="-6"/>
                <w:sz w:val="18"/>
              </w:rPr>
              <w:t xml:space="preserve"> </w:t>
            </w:r>
            <w:r>
              <w:rPr>
                <w:sz w:val="18"/>
              </w:rPr>
              <w:t>time</w:t>
            </w:r>
            <w:r>
              <w:rPr>
                <w:spacing w:val="-5"/>
                <w:sz w:val="18"/>
              </w:rPr>
              <w:t xml:space="preserve"> </w:t>
            </w:r>
            <w:r>
              <w:rPr>
                <w:sz w:val="18"/>
              </w:rPr>
              <w:t>and</w:t>
            </w:r>
            <w:r>
              <w:rPr>
                <w:spacing w:val="-5"/>
                <w:sz w:val="18"/>
              </w:rPr>
              <w:t xml:space="preserve"> </w:t>
            </w:r>
            <w:r>
              <w:rPr>
                <w:spacing w:val="-2"/>
                <w:sz w:val="18"/>
              </w:rPr>
              <w:t>reliability</w:t>
            </w:r>
          </w:p>
        </w:tc>
        <w:tc>
          <w:tcPr>
            <w:tcW w:w="6010" w:type="dxa"/>
            <w:tcBorders>
              <w:bottom w:val="nil"/>
            </w:tcBorders>
            <w:shd w:val="clear" w:color="auto" w:fill="E1E0E1"/>
          </w:tcPr>
          <w:p w:rsidR="002C1123" w:rsidRDefault="00F22F94">
            <w:pPr>
              <w:pStyle w:val="TableParagraph"/>
              <w:spacing w:before="70" w:line="235" w:lineRule="auto"/>
              <w:rPr>
                <w:sz w:val="16"/>
              </w:rPr>
            </w:pPr>
            <w:r>
              <w:rPr>
                <w:w w:val="95"/>
                <w:sz w:val="16"/>
              </w:rPr>
              <w:t xml:space="preserve">The trip from Wynyard to Town Hall will take longer than a sub-surface BRT due to </w:t>
            </w:r>
            <w:r>
              <w:rPr>
                <w:sz w:val="16"/>
              </w:rPr>
              <w:t>intersections</w:t>
            </w:r>
            <w:r>
              <w:rPr>
                <w:spacing w:val="-7"/>
                <w:sz w:val="16"/>
              </w:rPr>
              <w:t xml:space="preserve"> </w:t>
            </w:r>
            <w:r>
              <w:rPr>
                <w:sz w:val="16"/>
              </w:rPr>
              <w:t>and</w:t>
            </w:r>
            <w:r>
              <w:rPr>
                <w:spacing w:val="-7"/>
                <w:sz w:val="16"/>
              </w:rPr>
              <w:t xml:space="preserve"> </w:t>
            </w:r>
            <w:r>
              <w:rPr>
                <w:sz w:val="16"/>
              </w:rPr>
              <w:t>other</w:t>
            </w:r>
            <w:r>
              <w:rPr>
                <w:spacing w:val="-7"/>
                <w:sz w:val="16"/>
              </w:rPr>
              <w:t xml:space="preserve"> </w:t>
            </w:r>
            <w:r>
              <w:rPr>
                <w:sz w:val="16"/>
              </w:rPr>
              <w:t>surface</w:t>
            </w:r>
            <w:r>
              <w:rPr>
                <w:spacing w:val="-7"/>
                <w:sz w:val="16"/>
              </w:rPr>
              <w:t xml:space="preserve"> </w:t>
            </w:r>
            <w:r>
              <w:rPr>
                <w:sz w:val="16"/>
              </w:rPr>
              <w:t>disturbances,</w:t>
            </w:r>
            <w:r>
              <w:rPr>
                <w:spacing w:val="-7"/>
                <w:sz w:val="16"/>
              </w:rPr>
              <w:t xml:space="preserve"> </w:t>
            </w:r>
            <w:r>
              <w:rPr>
                <w:sz w:val="16"/>
              </w:rPr>
              <w:t>and</w:t>
            </w:r>
            <w:r>
              <w:rPr>
                <w:spacing w:val="-7"/>
                <w:sz w:val="16"/>
              </w:rPr>
              <w:t xml:space="preserve"> </w:t>
            </w:r>
            <w:r>
              <w:rPr>
                <w:sz w:val="16"/>
              </w:rPr>
              <w:t>the</w:t>
            </w:r>
            <w:r>
              <w:rPr>
                <w:spacing w:val="-7"/>
                <w:sz w:val="16"/>
              </w:rPr>
              <w:t xml:space="preserve"> </w:t>
            </w:r>
            <w:r>
              <w:rPr>
                <w:sz w:val="16"/>
              </w:rPr>
              <w:t>interchange</w:t>
            </w:r>
            <w:r>
              <w:rPr>
                <w:spacing w:val="-7"/>
                <w:sz w:val="16"/>
              </w:rPr>
              <w:t xml:space="preserve"> </w:t>
            </w:r>
            <w:r>
              <w:rPr>
                <w:sz w:val="16"/>
              </w:rPr>
              <w:t>requirement.</w:t>
            </w:r>
          </w:p>
        </w:tc>
        <w:tc>
          <w:tcPr>
            <w:tcW w:w="6010" w:type="dxa"/>
            <w:tcBorders>
              <w:bottom w:val="nil"/>
            </w:tcBorders>
            <w:shd w:val="clear" w:color="auto" w:fill="E1E0E1"/>
          </w:tcPr>
          <w:p w:rsidR="002C1123" w:rsidRDefault="00F22F94">
            <w:pPr>
              <w:pStyle w:val="TableParagraph"/>
              <w:ind w:left="112"/>
              <w:rPr>
                <w:sz w:val="16"/>
              </w:rPr>
            </w:pPr>
            <w:r>
              <w:rPr>
                <w:w w:val="95"/>
                <w:sz w:val="16"/>
              </w:rPr>
              <w:t>Sub</w:t>
            </w:r>
            <w:r>
              <w:rPr>
                <w:spacing w:val="-3"/>
                <w:sz w:val="16"/>
              </w:rPr>
              <w:t xml:space="preserve"> </w:t>
            </w:r>
            <w:r>
              <w:rPr>
                <w:w w:val="95"/>
                <w:sz w:val="16"/>
              </w:rPr>
              <w:t>surface</w:t>
            </w:r>
            <w:r>
              <w:rPr>
                <w:spacing w:val="-2"/>
                <w:sz w:val="16"/>
              </w:rPr>
              <w:t xml:space="preserve"> </w:t>
            </w:r>
            <w:r>
              <w:rPr>
                <w:w w:val="95"/>
                <w:sz w:val="16"/>
              </w:rPr>
              <w:t>buses</w:t>
            </w:r>
            <w:r>
              <w:rPr>
                <w:spacing w:val="-2"/>
                <w:sz w:val="16"/>
              </w:rPr>
              <w:t xml:space="preserve"> </w:t>
            </w:r>
            <w:r>
              <w:rPr>
                <w:w w:val="95"/>
                <w:sz w:val="16"/>
              </w:rPr>
              <w:t>will</w:t>
            </w:r>
            <w:r>
              <w:rPr>
                <w:spacing w:val="-2"/>
                <w:sz w:val="16"/>
              </w:rPr>
              <w:t xml:space="preserve"> </w:t>
            </w:r>
            <w:r>
              <w:rPr>
                <w:w w:val="95"/>
                <w:sz w:val="16"/>
              </w:rPr>
              <w:t>travel</w:t>
            </w:r>
            <w:r>
              <w:rPr>
                <w:spacing w:val="-2"/>
                <w:sz w:val="16"/>
              </w:rPr>
              <w:t xml:space="preserve"> </w:t>
            </w:r>
            <w:r>
              <w:rPr>
                <w:w w:val="95"/>
                <w:sz w:val="16"/>
              </w:rPr>
              <w:t>from</w:t>
            </w:r>
            <w:r>
              <w:rPr>
                <w:spacing w:val="-1"/>
                <w:w w:val="95"/>
                <w:sz w:val="16"/>
              </w:rPr>
              <w:t xml:space="preserve"> </w:t>
            </w:r>
            <w:r>
              <w:rPr>
                <w:w w:val="95"/>
                <w:sz w:val="16"/>
              </w:rPr>
              <w:t>Wynyard</w:t>
            </w:r>
            <w:r>
              <w:rPr>
                <w:spacing w:val="-2"/>
                <w:sz w:val="16"/>
              </w:rPr>
              <w:t xml:space="preserve"> </w:t>
            </w:r>
            <w:r>
              <w:rPr>
                <w:w w:val="95"/>
                <w:sz w:val="16"/>
              </w:rPr>
              <w:t>to</w:t>
            </w:r>
            <w:r>
              <w:rPr>
                <w:spacing w:val="-2"/>
                <w:sz w:val="16"/>
              </w:rPr>
              <w:t xml:space="preserve"> </w:t>
            </w:r>
            <w:r>
              <w:rPr>
                <w:w w:val="95"/>
                <w:sz w:val="16"/>
              </w:rPr>
              <w:t>Town</w:t>
            </w:r>
            <w:r>
              <w:rPr>
                <w:spacing w:val="-2"/>
                <w:sz w:val="16"/>
              </w:rPr>
              <w:t xml:space="preserve"> </w:t>
            </w:r>
            <w:r>
              <w:rPr>
                <w:w w:val="95"/>
                <w:sz w:val="16"/>
              </w:rPr>
              <w:t>Hall</w:t>
            </w:r>
            <w:r>
              <w:rPr>
                <w:spacing w:val="-2"/>
                <w:sz w:val="16"/>
              </w:rPr>
              <w:t xml:space="preserve"> </w:t>
            </w:r>
            <w:r>
              <w:rPr>
                <w:w w:val="95"/>
                <w:sz w:val="16"/>
              </w:rPr>
              <w:t>consistently</w:t>
            </w:r>
            <w:r>
              <w:rPr>
                <w:spacing w:val="-2"/>
                <w:sz w:val="16"/>
              </w:rPr>
              <w:t xml:space="preserve"> </w:t>
            </w:r>
            <w:r>
              <w:rPr>
                <w:w w:val="95"/>
                <w:sz w:val="16"/>
              </w:rPr>
              <w:t>in</w:t>
            </w:r>
            <w:r>
              <w:rPr>
                <w:spacing w:val="-3"/>
                <w:sz w:val="16"/>
              </w:rPr>
              <w:t xml:space="preserve"> </w:t>
            </w:r>
            <w:r>
              <w:rPr>
                <w:w w:val="95"/>
                <w:sz w:val="16"/>
              </w:rPr>
              <w:t>2-3</w:t>
            </w:r>
            <w:r>
              <w:rPr>
                <w:spacing w:val="-2"/>
                <w:sz w:val="16"/>
              </w:rPr>
              <w:t xml:space="preserve"> </w:t>
            </w:r>
            <w:r>
              <w:rPr>
                <w:spacing w:val="-2"/>
                <w:w w:val="95"/>
                <w:sz w:val="16"/>
              </w:rPr>
              <w:t>minutes.</w:t>
            </w:r>
          </w:p>
        </w:tc>
      </w:tr>
    </w:tbl>
    <w:p w:rsidR="002C1123" w:rsidRDefault="00F22F94">
      <w:pPr>
        <w:spacing w:before="63"/>
        <w:ind w:left="605"/>
        <w:rPr>
          <w:b/>
          <w:sz w:val="18"/>
        </w:rPr>
      </w:pPr>
      <w:r>
        <w:rPr>
          <w:b/>
          <w:color w:val="2E3092"/>
          <w:sz w:val="18"/>
        </w:rPr>
        <w:t>Wider</w:t>
      </w:r>
      <w:r>
        <w:rPr>
          <w:b/>
          <w:color w:val="2E3092"/>
          <w:spacing w:val="-10"/>
          <w:sz w:val="18"/>
        </w:rPr>
        <w:t xml:space="preserve"> </w:t>
      </w:r>
      <w:r>
        <w:rPr>
          <w:b/>
          <w:color w:val="2E3092"/>
          <w:sz w:val="18"/>
        </w:rPr>
        <w:t>CBD</w:t>
      </w:r>
      <w:r>
        <w:rPr>
          <w:b/>
          <w:color w:val="2E3092"/>
          <w:spacing w:val="-7"/>
          <w:sz w:val="18"/>
        </w:rPr>
        <w:t xml:space="preserve"> </w:t>
      </w:r>
      <w:r>
        <w:rPr>
          <w:b/>
          <w:color w:val="2E3092"/>
          <w:spacing w:val="-2"/>
          <w:sz w:val="18"/>
        </w:rPr>
        <w:t>Impacts</w:t>
      </w:r>
    </w:p>
    <w:p w:rsidR="002C1123" w:rsidRDefault="002C1123">
      <w:pPr>
        <w:pStyle w:val="BodyText"/>
        <w:spacing w:before="8"/>
        <w:rPr>
          <w:b/>
          <w:sz w:val="5"/>
        </w:rPr>
      </w:pPr>
    </w:p>
    <w:tbl>
      <w:tblPr>
        <w:tblW w:w="0" w:type="auto"/>
        <w:tblInd w:w="48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835"/>
        <w:gridCol w:w="6010"/>
        <w:gridCol w:w="6010"/>
      </w:tblGrid>
      <w:tr w:rsidR="002C1123">
        <w:trPr>
          <w:trHeight w:val="681"/>
        </w:trPr>
        <w:tc>
          <w:tcPr>
            <w:tcW w:w="2835" w:type="dxa"/>
            <w:tcBorders>
              <w:left w:val="nil"/>
            </w:tcBorders>
            <w:shd w:val="clear" w:color="auto" w:fill="C9C8C9"/>
          </w:tcPr>
          <w:p w:rsidR="002C1123" w:rsidRDefault="00F22F94">
            <w:pPr>
              <w:pStyle w:val="TableParagraph"/>
              <w:spacing w:before="63"/>
              <w:rPr>
                <w:sz w:val="18"/>
              </w:rPr>
            </w:pPr>
            <w:r>
              <w:rPr>
                <w:sz w:val="18"/>
              </w:rPr>
              <w:t>Pedestrian</w:t>
            </w:r>
            <w:r>
              <w:rPr>
                <w:spacing w:val="1"/>
                <w:w w:val="105"/>
                <w:sz w:val="18"/>
              </w:rPr>
              <w:t xml:space="preserve"> </w:t>
            </w:r>
            <w:r>
              <w:rPr>
                <w:spacing w:val="-2"/>
                <w:w w:val="105"/>
                <w:sz w:val="18"/>
              </w:rPr>
              <w:t>amenity</w:t>
            </w:r>
          </w:p>
        </w:tc>
        <w:tc>
          <w:tcPr>
            <w:tcW w:w="6010" w:type="dxa"/>
            <w:shd w:val="clear" w:color="auto" w:fill="E1E0E1"/>
          </w:tcPr>
          <w:p w:rsidR="002C1123" w:rsidRDefault="00F22F94">
            <w:pPr>
              <w:pStyle w:val="TableParagraph"/>
              <w:spacing w:before="70" w:line="235" w:lineRule="auto"/>
              <w:ind w:right="187"/>
              <w:rPr>
                <w:sz w:val="16"/>
              </w:rPr>
            </w:pPr>
            <w:r>
              <w:rPr>
                <w:w w:val="95"/>
                <w:sz w:val="16"/>
              </w:rPr>
              <w:t xml:space="preserve">Shared pedestrian use of George Street. One light rail vehicle passes every minute </w:t>
            </w:r>
            <w:r>
              <w:rPr>
                <w:sz w:val="16"/>
              </w:rPr>
              <w:t>in</w:t>
            </w:r>
            <w:r>
              <w:rPr>
                <w:spacing w:val="-3"/>
                <w:sz w:val="16"/>
              </w:rPr>
              <w:t xml:space="preserve"> </w:t>
            </w:r>
            <w:r>
              <w:rPr>
                <w:sz w:val="16"/>
              </w:rPr>
              <w:t>peak</w:t>
            </w:r>
            <w:r>
              <w:rPr>
                <w:spacing w:val="-3"/>
                <w:sz w:val="16"/>
              </w:rPr>
              <w:t xml:space="preserve"> </w:t>
            </w:r>
            <w:r>
              <w:rPr>
                <w:sz w:val="16"/>
              </w:rPr>
              <w:t>hours</w:t>
            </w:r>
            <w:r>
              <w:rPr>
                <w:spacing w:val="-3"/>
                <w:sz w:val="16"/>
              </w:rPr>
              <w:t xml:space="preserve"> </w:t>
            </w:r>
            <w:r>
              <w:rPr>
                <w:sz w:val="16"/>
              </w:rPr>
              <w:t>(combined</w:t>
            </w:r>
            <w:r>
              <w:rPr>
                <w:spacing w:val="-3"/>
                <w:sz w:val="16"/>
              </w:rPr>
              <w:t xml:space="preserve"> </w:t>
            </w:r>
            <w:r>
              <w:rPr>
                <w:sz w:val="16"/>
              </w:rPr>
              <w:t>up</w:t>
            </w:r>
            <w:r>
              <w:rPr>
                <w:spacing w:val="-3"/>
                <w:sz w:val="16"/>
              </w:rPr>
              <w:t xml:space="preserve"> </w:t>
            </w:r>
            <w:r>
              <w:rPr>
                <w:sz w:val="16"/>
              </w:rPr>
              <w:t>and</w:t>
            </w:r>
            <w:r>
              <w:rPr>
                <w:spacing w:val="-3"/>
                <w:sz w:val="16"/>
              </w:rPr>
              <w:t xml:space="preserve"> </w:t>
            </w:r>
            <w:r>
              <w:rPr>
                <w:sz w:val="16"/>
              </w:rPr>
              <w:t>down</w:t>
            </w:r>
            <w:r>
              <w:rPr>
                <w:spacing w:val="-3"/>
                <w:sz w:val="16"/>
              </w:rPr>
              <w:t xml:space="preserve"> </w:t>
            </w:r>
            <w:r>
              <w:rPr>
                <w:sz w:val="16"/>
              </w:rPr>
              <w:t>services</w:t>
            </w:r>
            <w:r>
              <w:rPr>
                <w:spacing w:val="-3"/>
                <w:sz w:val="16"/>
              </w:rPr>
              <w:t xml:space="preserve"> </w:t>
            </w:r>
            <w:r>
              <w:rPr>
                <w:sz w:val="16"/>
              </w:rPr>
              <w:t>assuming</w:t>
            </w:r>
            <w:r>
              <w:rPr>
                <w:spacing w:val="-3"/>
                <w:sz w:val="16"/>
              </w:rPr>
              <w:t xml:space="preserve"> </w:t>
            </w:r>
            <w:r>
              <w:rPr>
                <w:sz w:val="16"/>
              </w:rPr>
              <w:t>passing</w:t>
            </w:r>
            <w:r>
              <w:rPr>
                <w:spacing w:val="-3"/>
                <w:sz w:val="16"/>
              </w:rPr>
              <w:t xml:space="preserve"> </w:t>
            </w:r>
            <w:r>
              <w:rPr>
                <w:sz w:val="16"/>
              </w:rPr>
              <w:t>times</w:t>
            </w:r>
            <w:r>
              <w:rPr>
                <w:spacing w:val="-3"/>
                <w:sz w:val="16"/>
              </w:rPr>
              <w:t xml:space="preserve"> </w:t>
            </w:r>
            <w:r>
              <w:rPr>
                <w:sz w:val="16"/>
              </w:rPr>
              <w:t>of</w:t>
            </w:r>
            <w:r>
              <w:rPr>
                <w:spacing w:val="-3"/>
                <w:sz w:val="16"/>
              </w:rPr>
              <w:t xml:space="preserve"> </w:t>
            </w:r>
            <w:r>
              <w:rPr>
                <w:sz w:val="16"/>
              </w:rPr>
              <w:t>30 seconds including a safety buffer)</w:t>
            </w:r>
          </w:p>
        </w:tc>
        <w:tc>
          <w:tcPr>
            <w:tcW w:w="6010" w:type="dxa"/>
            <w:shd w:val="clear" w:color="auto" w:fill="E1E0E1"/>
          </w:tcPr>
          <w:p w:rsidR="002C1123" w:rsidRDefault="00F22F94">
            <w:pPr>
              <w:pStyle w:val="TableParagraph"/>
              <w:ind w:left="112"/>
              <w:rPr>
                <w:sz w:val="16"/>
              </w:rPr>
            </w:pPr>
            <w:r>
              <w:rPr>
                <w:w w:val="95"/>
                <w:sz w:val="16"/>
              </w:rPr>
              <w:t>George</w:t>
            </w:r>
            <w:r>
              <w:rPr>
                <w:spacing w:val="-3"/>
                <w:w w:val="95"/>
                <w:sz w:val="16"/>
              </w:rPr>
              <w:t xml:space="preserve"> </w:t>
            </w:r>
            <w:r>
              <w:rPr>
                <w:w w:val="95"/>
                <w:sz w:val="16"/>
              </w:rPr>
              <w:t>Street</w:t>
            </w:r>
            <w:r>
              <w:rPr>
                <w:spacing w:val="-2"/>
                <w:w w:val="95"/>
                <w:sz w:val="16"/>
              </w:rPr>
              <w:t xml:space="preserve"> </w:t>
            </w:r>
            <w:r>
              <w:rPr>
                <w:w w:val="95"/>
                <w:sz w:val="16"/>
              </w:rPr>
              <w:t>fully</w:t>
            </w:r>
            <w:r>
              <w:rPr>
                <w:spacing w:val="-2"/>
                <w:w w:val="95"/>
                <w:sz w:val="16"/>
              </w:rPr>
              <w:t xml:space="preserve"> pedestrianised</w:t>
            </w:r>
          </w:p>
        </w:tc>
      </w:tr>
      <w:tr w:rsidR="002C1123">
        <w:trPr>
          <w:trHeight w:val="681"/>
        </w:trPr>
        <w:tc>
          <w:tcPr>
            <w:tcW w:w="2835" w:type="dxa"/>
            <w:tcBorders>
              <w:left w:val="nil"/>
            </w:tcBorders>
            <w:shd w:val="clear" w:color="auto" w:fill="C9C8C9"/>
          </w:tcPr>
          <w:p w:rsidR="002C1123" w:rsidRDefault="00F22F94">
            <w:pPr>
              <w:pStyle w:val="TableParagraph"/>
              <w:spacing w:before="63"/>
              <w:rPr>
                <w:sz w:val="18"/>
              </w:rPr>
            </w:pPr>
            <w:r>
              <w:rPr>
                <w:spacing w:val="-5"/>
                <w:w w:val="105"/>
                <w:sz w:val="18"/>
              </w:rPr>
              <w:t xml:space="preserve">Traffic </w:t>
            </w:r>
            <w:r>
              <w:rPr>
                <w:spacing w:val="-2"/>
                <w:w w:val="105"/>
                <w:sz w:val="18"/>
              </w:rPr>
              <w:t>congestion</w:t>
            </w:r>
          </w:p>
        </w:tc>
        <w:tc>
          <w:tcPr>
            <w:tcW w:w="6010" w:type="dxa"/>
            <w:shd w:val="clear" w:color="auto" w:fill="E1E0E1"/>
          </w:tcPr>
          <w:p w:rsidR="002C1123" w:rsidRDefault="00F22F94">
            <w:pPr>
              <w:pStyle w:val="TableParagraph"/>
              <w:spacing w:before="70" w:line="235" w:lineRule="auto"/>
              <w:ind w:right="406"/>
              <w:rPr>
                <w:sz w:val="16"/>
              </w:rPr>
            </w:pPr>
            <w:r>
              <w:rPr>
                <w:sz w:val="16"/>
              </w:rPr>
              <w:t>Combination</w:t>
            </w:r>
            <w:r>
              <w:rPr>
                <w:spacing w:val="-12"/>
                <w:sz w:val="16"/>
              </w:rPr>
              <w:t xml:space="preserve"> </w:t>
            </w:r>
            <w:r>
              <w:rPr>
                <w:sz w:val="16"/>
              </w:rPr>
              <w:t>of</w:t>
            </w:r>
            <w:r>
              <w:rPr>
                <w:spacing w:val="-11"/>
                <w:sz w:val="16"/>
              </w:rPr>
              <w:t xml:space="preserve"> </w:t>
            </w:r>
            <w:r>
              <w:rPr>
                <w:sz w:val="16"/>
              </w:rPr>
              <w:t>additional</w:t>
            </w:r>
            <w:r>
              <w:rPr>
                <w:spacing w:val="-11"/>
                <w:sz w:val="16"/>
              </w:rPr>
              <w:t xml:space="preserve"> </w:t>
            </w:r>
            <w:r>
              <w:rPr>
                <w:sz w:val="16"/>
              </w:rPr>
              <w:t>light</w:t>
            </w:r>
            <w:r>
              <w:rPr>
                <w:spacing w:val="-11"/>
                <w:sz w:val="16"/>
              </w:rPr>
              <w:t xml:space="preserve"> </w:t>
            </w:r>
            <w:r>
              <w:rPr>
                <w:sz w:val="16"/>
              </w:rPr>
              <w:t>rail</w:t>
            </w:r>
            <w:r>
              <w:rPr>
                <w:spacing w:val="-11"/>
                <w:sz w:val="16"/>
              </w:rPr>
              <w:t xml:space="preserve"> </w:t>
            </w:r>
            <w:r>
              <w:rPr>
                <w:sz w:val="16"/>
              </w:rPr>
              <w:t>vehicles</w:t>
            </w:r>
            <w:r>
              <w:rPr>
                <w:spacing w:val="-11"/>
                <w:sz w:val="16"/>
              </w:rPr>
              <w:t xml:space="preserve"> </w:t>
            </w:r>
            <w:r>
              <w:rPr>
                <w:sz w:val="16"/>
              </w:rPr>
              <w:t>(with</w:t>
            </w:r>
            <w:r>
              <w:rPr>
                <w:spacing w:val="-11"/>
                <w:sz w:val="16"/>
              </w:rPr>
              <w:t xml:space="preserve"> </w:t>
            </w:r>
            <w:r>
              <w:rPr>
                <w:sz w:val="16"/>
              </w:rPr>
              <w:t>limited</w:t>
            </w:r>
            <w:r>
              <w:rPr>
                <w:spacing w:val="-11"/>
                <w:sz w:val="16"/>
              </w:rPr>
              <w:t xml:space="preserve"> </w:t>
            </w:r>
            <w:r>
              <w:rPr>
                <w:sz w:val="16"/>
              </w:rPr>
              <w:t>flexibility</w:t>
            </w:r>
            <w:r>
              <w:rPr>
                <w:spacing w:val="-12"/>
                <w:sz w:val="16"/>
              </w:rPr>
              <w:t xml:space="preserve"> </w:t>
            </w:r>
            <w:r>
              <w:rPr>
                <w:sz w:val="16"/>
              </w:rPr>
              <w:t>in</w:t>
            </w:r>
            <w:r>
              <w:rPr>
                <w:spacing w:val="-11"/>
                <w:sz w:val="16"/>
              </w:rPr>
              <w:t xml:space="preserve"> </w:t>
            </w:r>
            <w:r>
              <w:rPr>
                <w:sz w:val="16"/>
              </w:rPr>
              <w:t xml:space="preserve">traffic), </w:t>
            </w:r>
            <w:r>
              <w:rPr>
                <w:w w:val="95"/>
                <w:sz w:val="16"/>
              </w:rPr>
              <w:t xml:space="preserve">likely continued bus services to mid CBD, and pedestrianisation will increase </w:t>
            </w:r>
            <w:r>
              <w:rPr>
                <w:sz w:val="16"/>
              </w:rPr>
              <w:t>traffic</w:t>
            </w:r>
            <w:r>
              <w:rPr>
                <w:spacing w:val="-4"/>
                <w:sz w:val="16"/>
              </w:rPr>
              <w:t xml:space="preserve"> </w:t>
            </w:r>
            <w:r>
              <w:rPr>
                <w:sz w:val="16"/>
              </w:rPr>
              <w:t>congestion.</w:t>
            </w:r>
          </w:p>
        </w:tc>
        <w:tc>
          <w:tcPr>
            <w:tcW w:w="6010" w:type="dxa"/>
            <w:shd w:val="clear" w:color="auto" w:fill="E1E0E1"/>
          </w:tcPr>
          <w:p w:rsidR="002C1123" w:rsidRDefault="00F22F94">
            <w:pPr>
              <w:pStyle w:val="TableParagraph"/>
              <w:spacing w:before="70" w:line="235" w:lineRule="auto"/>
              <w:ind w:left="112" w:right="406"/>
              <w:rPr>
                <w:sz w:val="16"/>
              </w:rPr>
            </w:pPr>
            <w:r>
              <w:rPr>
                <w:w w:val="95"/>
                <w:sz w:val="16"/>
              </w:rPr>
              <w:t xml:space="preserve">Additional sub-surface capacity allows for pedestrianisation without increasing </w:t>
            </w:r>
            <w:r>
              <w:rPr>
                <w:sz w:val="16"/>
              </w:rPr>
              <w:t>CBD</w:t>
            </w:r>
            <w:r>
              <w:rPr>
                <w:spacing w:val="-4"/>
                <w:sz w:val="16"/>
              </w:rPr>
              <w:t xml:space="preserve"> </w:t>
            </w:r>
            <w:r>
              <w:rPr>
                <w:sz w:val="16"/>
              </w:rPr>
              <w:t>congestion</w:t>
            </w:r>
          </w:p>
        </w:tc>
      </w:tr>
      <w:tr w:rsidR="002C1123">
        <w:trPr>
          <w:trHeight w:val="335"/>
        </w:trPr>
        <w:tc>
          <w:tcPr>
            <w:tcW w:w="2835" w:type="dxa"/>
            <w:tcBorders>
              <w:left w:val="nil"/>
            </w:tcBorders>
            <w:shd w:val="clear" w:color="auto" w:fill="C9C8C9"/>
          </w:tcPr>
          <w:p w:rsidR="002C1123" w:rsidRDefault="00F22F94">
            <w:pPr>
              <w:pStyle w:val="TableParagraph"/>
              <w:spacing w:before="63"/>
              <w:rPr>
                <w:sz w:val="18"/>
              </w:rPr>
            </w:pPr>
            <w:r>
              <w:rPr>
                <w:sz w:val="18"/>
              </w:rPr>
              <w:t>Wynyard</w:t>
            </w:r>
            <w:r>
              <w:rPr>
                <w:spacing w:val="-4"/>
                <w:sz w:val="18"/>
              </w:rPr>
              <w:t xml:space="preserve"> </w:t>
            </w:r>
            <w:r>
              <w:rPr>
                <w:sz w:val="18"/>
              </w:rPr>
              <w:t>and</w:t>
            </w:r>
            <w:r>
              <w:rPr>
                <w:spacing w:val="-3"/>
                <w:sz w:val="18"/>
              </w:rPr>
              <w:t xml:space="preserve"> </w:t>
            </w:r>
            <w:r>
              <w:rPr>
                <w:sz w:val="18"/>
              </w:rPr>
              <w:t>Town</w:t>
            </w:r>
            <w:r>
              <w:rPr>
                <w:spacing w:val="-3"/>
                <w:sz w:val="18"/>
              </w:rPr>
              <w:t xml:space="preserve"> </w:t>
            </w:r>
            <w:r>
              <w:rPr>
                <w:sz w:val="18"/>
              </w:rPr>
              <w:t>Hall</w:t>
            </w:r>
            <w:r>
              <w:rPr>
                <w:spacing w:val="-3"/>
                <w:sz w:val="18"/>
              </w:rPr>
              <w:t xml:space="preserve"> </w:t>
            </w:r>
            <w:r>
              <w:rPr>
                <w:spacing w:val="-2"/>
                <w:sz w:val="18"/>
              </w:rPr>
              <w:t>stations</w:t>
            </w:r>
          </w:p>
        </w:tc>
        <w:tc>
          <w:tcPr>
            <w:tcW w:w="6010" w:type="dxa"/>
            <w:shd w:val="clear" w:color="auto" w:fill="E1E0E1"/>
          </w:tcPr>
          <w:p w:rsidR="002C1123" w:rsidRDefault="00F22F94">
            <w:pPr>
              <w:pStyle w:val="TableParagraph"/>
              <w:rPr>
                <w:sz w:val="16"/>
              </w:rPr>
            </w:pPr>
            <w:r>
              <w:rPr>
                <w:w w:val="95"/>
                <w:sz w:val="16"/>
              </w:rPr>
              <w:t>Does</w:t>
            </w:r>
            <w:r>
              <w:rPr>
                <w:spacing w:val="-2"/>
                <w:sz w:val="16"/>
              </w:rPr>
              <w:t xml:space="preserve"> </w:t>
            </w:r>
            <w:r>
              <w:rPr>
                <w:w w:val="95"/>
                <w:sz w:val="16"/>
              </w:rPr>
              <w:t>not</w:t>
            </w:r>
            <w:r>
              <w:rPr>
                <w:spacing w:val="-2"/>
                <w:sz w:val="16"/>
              </w:rPr>
              <w:t xml:space="preserve"> </w:t>
            </w:r>
            <w:r>
              <w:rPr>
                <w:w w:val="95"/>
                <w:sz w:val="16"/>
              </w:rPr>
              <w:t>include</w:t>
            </w:r>
            <w:r>
              <w:rPr>
                <w:spacing w:val="-2"/>
                <w:sz w:val="16"/>
              </w:rPr>
              <w:t xml:space="preserve"> </w:t>
            </w:r>
            <w:r>
              <w:rPr>
                <w:w w:val="95"/>
                <w:sz w:val="16"/>
              </w:rPr>
              <w:t>full</w:t>
            </w:r>
            <w:r>
              <w:rPr>
                <w:spacing w:val="-2"/>
                <w:sz w:val="16"/>
              </w:rPr>
              <w:t xml:space="preserve"> </w:t>
            </w:r>
            <w:r>
              <w:rPr>
                <w:spacing w:val="-2"/>
                <w:w w:val="95"/>
                <w:sz w:val="16"/>
              </w:rPr>
              <w:t>redevelopment</w:t>
            </w:r>
          </w:p>
        </w:tc>
        <w:tc>
          <w:tcPr>
            <w:tcW w:w="6010" w:type="dxa"/>
            <w:shd w:val="clear" w:color="auto" w:fill="E1E0E1"/>
          </w:tcPr>
          <w:p w:rsidR="002C1123" w:rsidRDefault="00F22F94">
            <w:pPr>
              <w:pStyle w:val="TableParagraph"/>
              <w:ind w:left="112"/>
              <w:rPr>
                <w:sz w:val="16"/>
              </w:rPr>
            </w:pPr>
            <w:r>
              <w:rPr>
                <w:w w:val="95"/>
                <w:sz w:val="16"/>
              </w:rPr>
              <w:t>Includes</w:t>
            </w:r>
            <w:r>
              <w:rPr>
                <w:spacing w:val="-5"/>
                <w:w w:val="95"/>
                <w:sz w:val="16"/>
              </w:rPr>
              <w:t xml:space="preserve"> </w:t>
            </w:r>
            <w:r>
              <w:rPr>
                <w:w w:val="95"/>
                <w:sz w:val="16"/>
              </w:rPr>
              <w:t>full</w:t>
            </w:r>
            <w:r>
              <w:rPr>
                <w:spacing w:val="-4"/>
                <w:w w:val="95"/>
                <w:sz w:val="16"/>
              </w:rPr>
              <w:t xml:space="preserve"> </w:t>
            </w:r>
            <w:r>
              <w:rPr>
                <w:spacing w:val="-2"/>
                <w:w w:val="95"/>
                <w:sz w:val="16"/>
              </w:rPr>
              <w:t>redevelopment.</w:t>
            </w:r>
          </w:p>
        </w:tc>
      </w:tr>
    </w:tbl>
    <w:p w:rsidR="002C1123" w:rsidRDefault="002C1123">
      <w:pPr>
        <w:rPr>
          <w:sz w:val="16"/>
        </w:rPr>
        <w:sectPr w:rsidR="002C1123">
          <w:pgSz w:w="16840" w:h="11910" w:orient="landscape"/>
          <w:pgMar w:top="560" w:right="280" w:bottom="700" w:left="500" w:header="0" w:footer="517" w:gutter="0"/>
          <w:cols w:space="720"/>
        </w:sect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spacing w:before="5"/>
        <w:rPr>
          <w:b/>
          <w:sz w:val="17"/>
        </w:rPr>
      </w:pPr>
    </w:p>
    <w:p w:rsidR="002C1123" w:rsidRDefault="002C1123">
      <w:pPr>
        <w:rPr>
          <w:sz w:val="17"/>
        </w:rPr>
        <w:sectPr w:rsidR="002C1123">
          <w:pgSz w:w="16840" w:h="11910" w:orient="landscape"/>
          <w:pgMar w:top="560" w:right="280" w:bottom="700" w:left="500" w:header="0" w:footer="517" w:gutter="0"/>
          <w:cols w:space="720"/>
        </w:sectPr>
      </w:pPr>
    </w:p>
    <w:p w:rsidR="002C1123" w:rsidRDefault="00F22F94">
      <w:pPr>
        <w:pStyle w:val="Heading6"/>
        <w:spacing w:before="129"/>
        <w:ind w:left="492"/>
      </w:pPr>
      <w:bookmarkStart w:id="197" w:name="7.5__Light_rail_options_and_bus_corridor"/>
      <w:bookmarkStart w:id="198" w:name="_bookmark142"/>
      <w:bookmarkStart w:id="199" w:name="_bookmark141"/>
      <w:bookmarkEnd w:id="197"/>
      <w:bookmarkEnd w:id="198"/>
      <w:bookmarkEnd w:id="199"/>
      <w:r>
        <w:rPr>
          <w:spacing w:val="-2"/>
        </w:rPr>
        <w:t>Delivery</w:t>
      </w:r>
    </w:p>
    <w:p w:rsidR="002C1123" w:rsidRDefault="00F22F94">
      <w:pPr>
        <w:pStyle w:val="BodyText"/>
        <w:spacing w:before="10" w:line="249" w:lineRule="auto"/>
        <w:ind w:left="492" w:right="41"/>
      </w:pPr>
      <w:r>
        <w:t>Whilst</w:t>
      </w:r>
      <w:r>
        <w:rPr>
          <w:spacing w:val="-11"/>
        </w:rPr>
        <w:t xml:space="preserve"> </w:t>
      </w:r>
      <w:r>
        <w:t>conceptually</w:t>
      </w:r>
      <w:r>
        <w:rPr>
          <w:spacing w:val="-11"/>
        </w:rPr>
        <w:t xml:space="preserve"> </w:t>
      </w:r>
      <w:r>
        <w:t>appealing,</w:t>
      </w:r>
      <w:r>
        <w:rPr>
          <w:spacing w:val="-11"/>
        </w:rPr>
        <w:t xml:space="preserve"> </w:t>
      </w:r>
      <w:r>
        <w:t>the</w:t>
      </w:r>
      <w:r>
        <w:rPr>
          <w:spacing w:val="-11"/>
        </w:rPr>
        <w:t xml:space="preserve"> </w:t>
      </w:r>
      <w:r>
        <w:t>CBD</w:t>
      </w:r>
      <w:r>
        <w:rPr>
          <w:spacing w:val="-11"/>
        </w:rPr>
        <w:t xml:space="preserve"> </w:t>
      </w:r>
      <w:r>
        <w:t>BRT</w:t>
      </w:r>
      <w:r>
        <w:rPr>
          <w:spacing w:val="-11"/>
        </w:rPr>
        <w:t xml:space="preserve"> </w:t>
      </w:r>
      <w:r>
        <w:t>concept also</w:t>
      </w:r>
      <w:r>
        <w:rPr>
          <w:spacing w:val="-14"/>
        </w:rPr>
        <w:t xml:space="preserve"> </w:t>
      </w:r>
      <w:r>
        <w:t>presents</w:t>
      </w:r>
      <w:r>
        <w:rPr>
          <w:spacing w:val="-14"/>
        </w:rPr>
        <w:t xml:space="preserve"> </w:t>
      </w:r>
      <w:r>
        <w:t>a</w:t>
      </w:r>
      <w:r>
        <w:rPr>
          <w:spacing w:val="-14"/>
        </w:rPr>
        <w:t xml:space="preserve"> </w:t>
      </w:r>
      <w:r>
        <w:t>range</w:t>
      </w:r>
      <w:r>
        <w:rPr>
          <w:spacing w:val="-14"/>
        </w:rPr>
        <w:t xml:space="preserve"> </w:t>
      </w:r>
      <w:r>
        <w:t>of</w:t>
      </w:r>
      <w:r>
        <w:rPr>
          <w:spacing w:val="-14"/>
        </w:rPr>
        <w:t xml:space="preserve"> </w:t>
      </w:r>
      <w:r>
        <w:t>delivery</w:t>
      </w:r>
      <w:r>
        <w:rPr>
          <w:spacing w:val="-14"/>
        </w:rPr>
        <w:t xml:space="preserve"> </w:t>
      </w:r>
      <w:r>
        <w:t>challenges.</w:t>
      </w:r>
      <w:r>
        <w:rPr>
          <w:spacing w:val="-14"/>
        </w:rPr>
        <w:t xml:space="preserve"> </w:t>
      </w:r>
      <w:r>
        <w:t>Sydney Harbour</w:t>
      </w:r>
      <w:r>
        <w:rPr>
          <w:spacing w:val="-8"/>
        </w:rPr>
        <w:t xml:space="preserve"> </w:t>
      </w:r>
      <w:r>
        <w:t>Bridge</w:t>
      </w:r>
      <w:r>
        <w:rPr>
          <w:spacing w:val="-8"/>
        </w:rPr>
        <w:t xml:space="preserve"> </w:t>
      </w:r>
      <w:r>
        <w:t>buses</w:t>
      </w:r>
      <w:r>
        <w:rPr>
          <w:spacing w:val="-8"/>
        </w:rPr>
        <w:t xml:space="preserve"> </w:t>
      </w:r>
      <w:r>
        <w:t>could</w:t>
      </w:r>
      <w:r>
        <w:rPr>
          <w:spacing w:val="-8"/>
        </w:rPr>
        <w:t xml:space="preserve"> </w:t>
      </w:r>
      <w:r>
        <w:t>potentially</w:t>
      </w:r>
      <w:r>
        <w:rPr>
          <w:spacing w:val="-8"/>
        </w:rPr>
        <w:t xml:space="preserve"> </w:t>
      </w:r>
      <w:r>
        <w:t>gain</w:t>
      </w:r>
      <w:r>
        <w:rPr>
          <w:spacing w:val="-8"/>
        </w:rPr>
        <w:t xml:space="preserve"> </w:t>
      </w:r>
      <w:r>
        <w:t>access through</w:t>
      </w:r>
      <w:r>
        <w:rPr>
          <w:spacing w:val="-12"/>
        </w:rPr>
        <w:t xml:space="preserve"> </w:t>
      </w:r>
      <w:r>
        <w:t>the</w:t>
      </w:r>
      <w:r>
        <w:rPr>
          <w:spacing w:val="-12"/>
        </w:rPr>
        <w:t xml:space="preserve"> </w:t>
      </w:r>
      <w:r>
        <w:t>old</w:t>
      </w:r>
      <w:r>
        <w:rPr>
          <w:spacing w:val="-12"/>
        </w:rPr>
        <w:t xml:space="preserve"> </w:t>
      </w:r>
      <w:r>
        <w:t>Wynyard</w:t>
      </w:r>
      <w:r>
        <w:rPr>
          <w:spacing w:val="-12"/>
        </w:rPr>
        <w:t xml:space="preserve"> </w:t>
      </w:r>
      <w:r>
        <w:t>tram</w:t>
      </w:r>
      <w:r>
        <w:rPr>
          <w:spacing w:val="-13"/>
        </w:rPr>
        <w:t xml:space="preserve"> </w:t>
      </w:r>
      <w:r>
        <w:t>tunnels</w:t>
      </w:r>
      <w:r>
        <w:rPr>
          <w:spacing w:val="-12"/>
        </w:rPr>
        <w:t xml:space="preserve"> </w:t>
      </w:r>
      <w:r>
        <w:t>but</w:t>
      </w:r>
      <w:r>
        <w:rPr>
          <w:spacing w:val="-12"/>
        </w:rPr>
        <w:t xml:space="preserve"> </w:t>
      </w:r>
      <w:r>
        <w:t>making</w:t>
      </w:r>
      <w:r>
        <w:rPr>
          <w:spacing w:val="-12"/>
        </w:rPr>
        <w:t xml:space="preserve"> </w:t>
      </w:r>
      <w:r>
        <w:t xml:space="preserve">use </w:t>
      </w:r>
      <w:r>
        <w:rPr>
          <w:w w:val="95"/>
        </w:rPr>
        <w:t xml:space="preserve">of these tunnels to meet modern safety, ventilation and other standards would not be cost free, and connection </w:t>
      </w:r>
      <w:r>
        <w:t>to</w:t>
      </w:r>
      <w:r>
        <w:rPr>
          <w:spacing w:val="-13"/>
        </w:rPr>
        <w:t xml:space="preserve"> </w:t>
      </w:r>
      <w:r>
        <w:t>the</w:t>
      </w:r>
      <w:r>
        <w:rPr>
          <w:spacing w:val="-13"/>
        </w:rPr>
        <w:t xml:space="preserve"> </w:t>
      </w:r>
      <w:r>
        <w:t>Sydney</w:t>
      </w:r>
      <w:r>
        <w:rPr>
          <w:spacing w:val="-13"/>
        </w:rPr>
        <w:t xml:space="preserve"> </w:t>
      </w:r>
      <w:r>
        <w:t>Harbour</w:t>
      </w:r>
      <w:r>
        <w:rPr>
          <w:spacing w:val="-13"/>
        </w:rPr>
        <w:t xml:space="preserve"> </w:t>
      </w:r>
      <w:r>
        <w:t>Bridge</w:t>
      </w:r>
      <w:r>
        <w:rPr>
          <w:spacing w:val="-13"/>
        </w:rPr>
        <w:t xml:space="preserve"> </w:t>
      </w:r>
      <w:r>
        <w:t>will</w:t>
      </w:r>
      <w:r>
        <w:rPr>
          <w:spacing w:val="-13"/>
        </w:rPr>
        <w:t xml:space="preserve"> </w:t>
      </w:r>
      <w:r>
        <w:t>require</w:t>
      </w:r>
      <w:r>
        <w:rPr>
          <w:spacing w:val="-13"/>
        </w:rPr>
        <w:t xml:space="preserve"> </w:t>
      </w:r>
      <w:r>
        <w:t>careful</w:t>
      </w:r>
    </w:p>
    <w:p w:rsidR="002C1123" w:rsidRDefault="00F22F94">
      <w:pPr>
        <w:pStyle w:val="BodyText"/>
        <w:spacing w:before="6" w:line="249" w:lineRule="auto"/>
        <w:ind w:left="492"/>
      </w:pPr>
      <w:r>
        <w:rPr>
          <w:w w:val="95"/>
        </w:rPr>
        <w:t>consideration</w:t>
      </w:r>
      <w:r>
        <w:rPr>
          <w:spacing w:val="-1"/>
          <w:w w:val="95"/>
        </w:rPr>
        <w:t xml:space="preserve"> </w:t>
      </w:r>
      <w:r>
        <w:rPr>
          <w:w w:val="95"/>
        </w:rPr>
        <w:t>of</w:t>
      </w:r>
      <w:r>
        <w:rPr>
          <w:spacing w:val="-1"/>
          <w:w w:val="95"/>
        </w:rPr>
        <w:t xml:space="preserve"> </w:t>
      </w:r>
      <w:r>
        <w:rPr>
          <w:w w:val="95"/>
        </w:rPr>
        <w:t>options</w:t>
      </w:r>
      <w:r>
        <w:rPr>
          <w:spacing w:val="-1"/>
          <w:w w:val="95"/>
        </w:rPr>
        <w:t xml:space="preserve"> </w:t>
      </w:r>
      <w:r>
        <w:rPr>
          <w:w w:val="95"/>
        </w:rPr>
        <w:t>to</w:t>
      </w:r>
      <w:r>
        <w:rPr>
          <w:spacing w:val="-1"/>
          <w:w w:val="95"/>
        </w:rPr>
        <w:t xml:space="preserve"> </w:t>
      </w:r>
      <w:r>
        <w:rPr>
          <w:w w:val="95"/>
        </w:rPr>
        <w:t>ensure</w:t>
      </w:r>
      <w:r>
        <w:rPr>
          <w:spacing w:val="-1"/>
          <w:w w:val="95"/>
        </w:rPr>
        <w:t xml:space="preserve"> </w:t>
      </w:r>
      <w:r>
        <w:rPr>
          <w:w w:val="95"/>
        </w:rPr>
        <w:t>capacity</w:t>
      </w:r>
      <w:r>
        <w:rPr>
          <w:spacing w:val="-1"/>
          <w:w w:val="95"/>
        </w:rPr>
        <w:t xml:space="preserve"> </w:t>
      </w:r>
      <w:r>
        <w:rPr>
          <w:w w:val="95"/>
        </w:rPr>
        <w:t>of</w:t>
      </w:r>
      <w:r>
        <w:rPr>
          <w:spacing w:val="-1"/>
          <w:w w:val="95"/>
        </w:rPr>
        <w:t xml:space="preserve"> </w:t>
      </w:r>
      <w:r>
        <w:rPr>
          <w:w w:val="95"/>
        </w:rPr>
        <w:t>the</w:t>
      </w:r>
      <w:r>
        <w:rPr>
          <w:spacing w:val="-1"/>
          <w:w w:val="95"/>
        </w:rPr>
        <w:t xml:space="preserve"> </w:t>
      </w:r>
      <w:r>
        <w:rPr>
          <w:w w:val="95"/>
        </w:rPr>
        <w:t xml:space="preserve">Bridge </w:t>
      </w:r>
      <w:r>
        <w:t>is not compromised</w:t>
      </w:r>
      <w:r>
        <w:rPr>
          <w:position w:val="7"/>
          <w:sz w:val="11"/>
        </w:rPr>
        <w:t>11</w:t>
      </w:r>
      <w:r>
        <w:t>.</w:t>
      </w:r>
    </w:p>
    <w:p w:rsidR="002C1123" w:rsidRDefault="00F22F94">
      <w:pPr>
        <w:pStyle w:val="BodyText"/>
        <w:spacing w:before="143" w:line="249" w:lineRule="auto"/>
        <w:ind w:left="492" w:right="198"/>
      </w:pPr>
      <w:r>
        <w:t>A</w:t>
      </w:r>
      <w:r>
        <w:rPr>
          <w:spacing w:val="-14"/>
        </w:rPr>
        <w:t xml:space="preserve"> </w:t>
      </w:r>
      <w:r>
        <w:t>new</w:t>
      </w:r>
      <w:r>
        <w:rPr>
          <w:spacing w:val="-14"/>
        </w:rPr>
        <w:t xml:space="preserve"> </w:t>
      </w:r>
      <w:r>
        <w:t>tunnel</w:t>
      </w:r>
      <w:r>
        <w:rPr>
          <w:spacing w:val="-14"/>
        </w:rPr>
        <w:t xml:space="preserve"> </w:t>
      </w:r>
      <w:r>
        <w:t>will</w:t>
      </w:r>
      <w:r>
        <w:rPr>
          <w:spacing w:val="-14"/>
        </w:rPr>
        <w:t xml:space="preserve"> </w:t>
      </w:r>
      <w:r>
        <w:t>be</w:t>
      </w:r>
      <w:r>
        <w:rPr>
          <w:spacing w:val="-14"/>
        </w:rPr>
        <w:t xml:space="preserve"> </w:t>
      </w:r>
      <w:r>
        <w:t>required</w:t>
      </w:r>
      <w:r>
        <w:rPr>
          <w:spacing w:val="-14"/>
        </w:rPr>
        <w:t xml:space="preserve"> </w:t>
      </w:r>
      <w:r>
        <w:t>from</w:t>
      </w:r>
      <w:r>
        <w:rPr>
          <w:spacing w:val="-14"/>
        </w:rPr>
        <w:t xml:space="preserve"> </w:t>
      </w:r>
      <w:r>
        <w:t>Wynyard</w:t>
      </w:r>
      <w:r>
        <w:rPr>
          <w:spacing w:val="-14"/>
        </w:rPr>
        <w:t xml:space="preserve"> </w:t>
      </w:r>
      <w:r>
        <w:t>to</w:t>
      </w:r>
      <w:r>
        <w:rPr>
          <w:spacing w:val="-14"/>
        </w:rPr>
        <w:t xml:space="preserve"> </w:t>
      </w:r>
      <w:r>
        <w:t>Town Hall.</w:t>
      </w:r>
      <w:r>
        <w:rPr>
          <w:spacing w:val="-14"/>
        </w:rPr>
        <w:t xml:space="preserve"> </w:t>
      </w:r>
      <w:r>
        <w:t>Identifying</w:t>
      </w:r>
      <w:r>
        <w:rPr>
          <w:spacing w:val="-14"/>
        </w:rPr>
        <w:t xml:space="preserve"> </w:t>
      </w:r>
      <w:r>
        <w:t>an</w:t>
      </w:r>
      <w:r>
        <w:rPr>
          <w:spacing w:val="-14"/>
        </w:rPr>
        <w:t xml:space="preserve"> </w:t>
      </w:r>
      <w:r>
        <w:t>appropriate</w:t>
      </w:r>
      <w:r>
        <w:rPr>
          <w:spacing w:val="-14"/>
        </w:rPr>
        <w:t xml:space="preserve"> </w:t>
      </w:r>
      <w:r>
        <w:t>alignment</w:t>
      </w:r>
      <w:r>
        <w:rPr>
          <w:spacing w:val="-14"/>
        </w:rPr>
        <w:t xml:space="preserve"> </w:t>
      </w:r>
      <w:r>
        <w:t>will</w:t>
      </w:r>
      <w:r>
        <w:rPr>
          <w:spacing w:val="-14"/>
        </w:rPr>
        <w:t xml:space="preserve"> </w:t>
      </w:r>
      <w:r>
        <w:t xml:space="preserve">be </w:t>
      </w:r>
      <w:r>
        <w:rPr>
          <w:w w:val="95"/>
        </w:rPr>
        <w:t>challenging.</w:t>
      </w:r>
      <w:r>
        <w:rPr>
          <w:spacing w:val="-5"/>
          <w:w w:val="95"/>
        </w:rPr>
        <w:t xml:space="preserve"> </w:t>
      </w:r>
      <w:r>
        <w:rPr>
          <w:w w:val="95"/>
        </w:rPr>
        <w:t>The</w:t>
      </w:r>
      <w:r>
        <w:rPr>
          <w:spacing w:val="-5"/>
          <w:w w:val="95"/>
        </w:rPr>
        <w:t xml:space="preserve"> </w:t>
      </w:r>
      <w:r>
        <w:rPr>
          <w:w w:val="95"/>
        </w:rPr>
        <w:t>sub-surface</w:t>
      </w:r>
      <w:r>
        <w:rPr>
          <w:spacing w:val="-5"/>
          <w:w w:val="95"/>
        </w:rPr>
        <w:t xml:space="preserve"> </w:t>
      </w:r>
      <w:r>
        <w:rPr>
          <w:w w:val="95"/>
        </w:rPr>
        <w:t>environment</w:t>
      </w:r>
      <w:r>
        <w:rPr>
          <w:spacing w:val="-5"/>
          <w:w w:val="95"/>
        </w:rPr>
        <w:t xml:space="preserve"> </w:t>
      </w:r>
      <w:r>
        <w:rPr>
          <w:w w:val="95"/>
        </w:rPr>
        <w:t>in</w:t>
      </w:r>
      <w:r>
        <w:rPr>
          <w:spacing w:val="-5"/>
          <w:w w:val="95"/>
        </w:rPr>
        <w:t xml:space="preserve"> </w:t>
      </w:r>
      <w:r>
        <w:rPr>
          <w:w w:val="95"/>
        </w:rPr>
        <w:t>the</w:t>
      </w:r>
      <w:r>
        <w:rPr>
          <w:spacing w:val="-5"/>
          <w:w w:val="95"/>
        </w:rPr>
        <w:t xml:space="preserve"> </w:t>
      </w:r>
      <w:r>
        <w:rPr>
          <w:w w:val="95"/>
        </w:rPr>
        <w:t xml:space="preserve">CBD is complex and a proposed new tunnel from Wynyard </w:t>
      </w:r>
      <w:r>
        <w:t>to</w:t>
      </w:r>
      <w:r>
        <w:rPr>
          <w:spacing w:val="-13"/>
        </w:rPr>
        <w:t xml:space="preserve"> </w:t>
      </w:r>
      <w:r>
        <w:t>Town</w:t>
      </w:r>
      <w:r>
        <w:rPr>
          <w:spacing w:val="-13"/>
        </w:rPr>
        <w:t xml:space="preserve"> </w:t>
      </w:r>
      <w:r>
        <w:t>Hall</w:t>
      </w:r>
      <w:r>
        <w:rPr>
          <w:spacing w:val="-13"/>
        </w:rPr>
        <w:t xml:space="preserve"> </w:t>
      </w:r>
      <w:r>
        <w:t>(where</w:t>
      </w:r>
      <w:r>
        <w:rPr>
          <w:spacing w:val="-13"/>
        </w:rPr>
        <w:t xml:space="preserve"> </w:t>
      </w:r>
      <w:r>
        <w:t>Broadway</w:t>
      </w:r>
      <w:r>
        <w:rPr>
          <w:spacing w:val="-13"/>
        </w:rPr>
        <w:t xml:space="preserve"> </w:t>
      </w:r>
      <w:r>
        <w:t>buses</w:t>
      </w:r>
      <w:r>
        <w:rPr>
          <w:spacing w:val="-13"/>
        </w:rPr>
        <w:t xml:space="preserve"> </w:t>
      </w:r>
      <w:r>
        <w:t>could</w:t>
      </w:r>
      <w:r>
        <w:rPr>
          <w:spacing w:val="-13"/>
        </w:rPr>
        <w:t xml:space="preserve"> </w:t>
      </w:r>
      <w:r>
        <w:t xml:space="preserve">access </w:t>
      </w:r>
      <w:r>
        <w:rPr>
          <w:w w:val="95"/>
        </w:rPr>
        <w:t>the</w:t>
      </w:r>
      <w:r>
        <w:rPr>
          <w:spacing w:val="-4"/>
          <w:w w:val="95"/>
        </w:rPr>
        <w:t xml:space="preserve"> </w:t>
      </w:r>
      <w:r>
        <w:rPr>
          <w:w w:val="95"/>
        </w:rPr>
        <w:t>BRT)</w:t>
      </w:r>
      <w:r>
        <w:rPr>
          <w:spacing w:val="-4"/>
          <w:w w:val="95"/>
        </w:rPr>
        <w:t xml:space="preserve"> </w:t>
      </w:r>
      <w:r>
        <w:rPr>
          <w:w w:val="95"/>
        </w:rPr>
        <w:t>would</w:t>
      </w:r>
      <w:r>
        <w:rPr>
          <w:spacing w:val="-4"/>
          <w:w w:val="95"/>
        </w:rPr>
        <w:t xml:space="preserve"> </w:t>
      </w:r>
      <w:r>
        <w:rPr>
          <w:w w:val="95"/>
        </w:rPr>
        <w:t>need</w:t>
      </w:r>
      <w:r>
        <w:rPr>
          <w:spacing w:val="-4"/>
          <w:w w:val="95"/>
        </w:rPr>
        <w:t xml:space="preserve"> </w:t>
      </w:r>
      <w:r>
        <w:rPr>
          <w:w w:val="95"/>
        </w:rPr>
        <w:t>to</w:t>
      </w:r>
      <w:r>
        <w:rPr>
          <w:spacing w:val="-4"/>
          <w:w w:val="95"/>
        </w:rPr>
        <w:t xml:space="preserve"> </w:t>
      </w:r>
      <w:r>
        <w:rPr>
          <w:w w:val="95"/>
        </w:rPr>
        <w:t>navigate</w:t>
      </w:r>
      <w:r>
        <w:rPr>
          <w:spacing w:val="-4"/>
          <w:w w:val="95"/>
        </w:rPr>
        <w:t xml:space="preserve"> </w:t>
      </w:r>
      <w:r>
        <w:rPr>
          <w:w w:val="95"/>
        </w:rPr>
        <w:t>existing</w:t>
      </w:r>
      <w:r>
        <w:rPr>
          <w:spacing w:val="-4"/>
          <w:w w:val="95"/>
        </w:rPr>
        <w:t xml:space="preserve"> </w:t>
      </w:r>
      <w:r>
        <w:rPr>
          <w:w w:val="95"/>
        </w:rPr>
        <w:t>sub-surface</w:t>
      </w:r>
    </w:p>
    <w:p w:rsidR="002C1123" w:rsidRDefault="00F22F94">
      <w:pPr>
        <w:pStyle w:val="BodyText"/>
        <w:spacing w:before="5" w:line="249" w:lineRule="auto"/>
        <w:ind w:left="492"/>
      </w:pPr>
      <w:r>
        <w:rPr>
          <w:w w:val="95"/>
        </w:rPr>
        <w:t>infrastructure</w:t>
      </w:r>
      <w:r>
        <w:rPr>
          <w:spacing w:val="-3"/>
          <w:w w:val="95"/>
        </w:rPr>
        <w:t xml:space="preserve"> </w:t>
      </w:r>
      <w:r>
        <w:rPr>
          <w:w w:val="95"/>
        </w:rPr>
        <w:t>and</w:t>
      </w:r>
      <w:r>
        <w:rPr>
          <w:spacing w:val="-3"/>
          <w:w w:val="95"/>
        </w:rPr>
        <w:t xml:space="preserve"> </w:t>
      </w:r>
      <w:r>
        <w:rPr>
          <w:w w:val="95"/>
        </w:rPr>
        <w:t>building</w:t>
      </w:r>
      <w:r>
        <w:rPr>
          <w:spacing w:val="-3"/>
          <w:w w:val="95"/>
        </w:rPr>
        <w:t xml:space="preserve"> </w:t>
      </w:r>
      <w:r>
        <w:rPr>
          <w:w w:val="95"/>
        </w:rPr>
        <w:t>basements.</w:t>
      </w:r>
      <w:r>
        <w:rPr>
          <w:spacing w:val="-3"/>
          <w:w w:val="95"/>
        </w:rPr>
        <w:t xml:space="preserve"> </w:t>
      </w:r>
      <w:r>
        <w:rPr>
          <w:w w:val="95"/>
        </w:rPr>
        <w:t>It</w:t>
      </w:r>
      <w:r>
        <w:rPr>
          <w:spacing w:val="-3"/>
          <w:w w:val="95"/>
        </w:rPr>
        <w:t xml:space="preserve"> </w:t>
      </w:r>
      <w:r>
        <w:rPr>
          <w:w w:val="95"/>
        </w:rPr>
        <w:t>is</w:t>
      </w:r>
      <w:r>
        <w:rPr>
          <w:spacing w:val="-3"/>
          <w:w w:val="95"/>
        </w:rPr>
        <w:t xml:space="preserve"> </w:t>
      </w:r>
      <w:r>
        <w:rPr>
          <w:w w:val="95"/>
        </w:rPr>
        <w:t>also</w:t>
      </w:r>
      <w:r>
        <w:rPr>
          <w:spacing w:val="-3"/>
          <w:w w:val="95"/>
        </w:rPr>
        <w:t xml:space="preserve"> </w:t>
      </w:r>
      <w:r>
        <w:rPr>
          <w:w w:val="95"/>
        </w:rPr>
        <w:t xml:space="preserve">essential that the future option of a new rail line though the CBD – </w:t>
      </w:r>
      <w:r>
        <w:t>as</w:t>
      </w:r>
      <w:r>
        <w:rPr>
          <w:spacing w:val="-14"/>
        </w:rPr>
        <w:t xml:space="preserve"> </w:t>
      </w:r>
      <w:r>
        <w:t>proposed</w:t>
      </w:r>
      <w:r>
        <w:rPr>
          <w:spacing w:val="-14"/>
        </w:rPr>
        <w:t xml:space="preserve"> </w:t>
      </w:r>
      <w:r>
        <w:t>in</w:t>
      </w:r>
      <w:r>
        <w:rPr>
          <w:spacing w:val="-14"/>
        </w:rPr>
        <w:t xml:space="preserve"> </w:t>
      </w:r>
      <w:r>
        <w:t>Sydney’s</w:t>
      </w:r>
      <w:r>
        <w:rPr>
          <w:spacing w:val="-14"/>
        </w:rPr>
        <w:t xml:space="preserve"> </w:t>
      </w:r>
      <w:r>
        <w:t>Rail</w:t>
      </w:r>
      <w:r>
        <w:rPr>
          <w:spacing w:val="-13"/>
        </w:rPr>
        <w:t xml:space="preserve"> </w:t>
      </w:r>
      <w:r>
        <w:t>Future</w:t>
      </w:r>
      <w:r>
        <w:rPr>
          <w:spacing w:val="-14"/>
        </w:rPr>
        <w:t xml:space="preserve"> </w:t>
      </w:r>
      <w:r>
        <w:t>-</w:t>
      </w:r>
      <w:r>
        <w:rPr>
          <w:spacing w:val="-14"/>
        </w:rPr>
        <w:t xml:space="preserve"> </w:t>
      </w:r>
      <w:r>
        <w:t>is</w:t>
      </w:r>
      <w:r>
        <w:rPr>
          <w:spacing w:val="-14"/>
        </w:rPr>
        <w:t xml:space="preserve"> </w:t>
      </w:r>
      <w:r>
        <w:t>not</w:t>
      </w:r>
      <w:r>
        <w:rPr>
          <w:spacing w:val="-14"/>
        </w:rPr>
        <w:t xml:space="preserve"> </w:t>
      </w:r>
      <w:r>
        <w:t xml:space="preserve">precluded. </w:t>
      </w:r>
      <w:r>
        <w:rPr>
          <w:w w:val="95"/>
        </w:rPr>
        <w:t>Accordingly</w:t>
      </w:r>
      <w:r>
        <w:rPr>
          <w:spacing w:val="-6"/>
          <w:w w:val="95"/>
        </w:rPr>
        <w:t xml:space="preserve"> </w:t>
      </w:r>
      <w:r>
        <w:rPr>
          <w:w w:val="95"/>
        </w:rPr>
        <w:t>a</w:t>
      </w:r>
      <w:r>
        <w:rPr>
          <w:spacing w:val="-6"/>
          <w:w w:val="95"/>
        </w:rPr>
        <w:t xml:space="preserve"> </w:t>
      </w:r>
      <w:r>
        <w:rPr>
          <w:w w:val="95"/>
        </w:rPr>
        <w:t>range</w:t>
      </w:r>
      <w:r>
        <w:rPr>
          <w:spacing w:val="-6"/>
          <w:w w:val="95"/>
        </w:rPr>
        <w:t xml:space="preserve"> </w:t>
      </w:r>
      <w:r>
        <w:rPr>
          <w:w w:val="95"/>
        </w:rPr>
        <w:t>of</w:t>
      </w:r>
      <w:r>
        <w:rPr>
          <w:spacing w:val="-6"/>
          <w:w w:val="95"/>
        </w:rPr>
        <w:t xml:space="preserve"> </w:t>
      </w:r>
      <w:r>
        <w:rPr>
          <w:w w:val="95"/>
        </w:rPr>
        <w:t>tunnel</w:t>
      </w:r>
      <w:r>
        <w:rPr>
          <w:spacing w:val="-6"/>
          <w:w w:val="95"/>
        </w:rPr>
        <w:t xml:space="preserve"> </w:t>
      </w:r>
      <w:r>
        <w:rPr>
          <w:w w:val="95"/>
        </w:rPr>
        <w:t>alignment</w:t>
      </w:r>
      <w:r>
        <w:rPr>
          <w:spacing w:val="-6"/>
          <w:w w:val="95"/>
        </w:rPr>
        <w:t xml:space="preserve"> </w:t>
      </w:r>
      <w:r>
        <w:rPr>
          <w:w w:val="95"/>
        </w:rPr>
        <w:t>options</w:t>
      </w:r>
      <w:r>
        <w:rPr>
          <w:spacing w:val="-6"/>
          <w:w w:val="95"/>
        </w:rPr>
        <w:t xml:space="preserve"> </w:t>
      </w:r>
      <w:r>
        <w:rPr>
          <w:w w:val="95"/>
        </w:rPr>
        <w:t>will</w:t>
      </w:r>
      <w:r>
        <w:rPr>
          <w:spacing w:val="-6"/>
          <w:w w:val="95"/>
        </w:rPr>
        <w:t xml:space="preserve"> </w:t>
      </w:r>
      <w:r>
        <w:rPr>
          <w:w w:val="95"/>
        </w:rPr>
        <w:t xml:space="preserve">need </w:t>
      </w:r>
      <w:r>
        <w:t>to be considered</w:t>
      </w:r>
      <w:r>
        <w:rPr>
          <w:position w:val="7"/>
          <w:sz w:val="11"/>
        </w:rPr>
        <w:t>12</w:t>
      </w:r>
      <w:r>
        <w:t>.</w:t>
      </w:r>
    </w:p>
    <w:p w:rsidR="002C1123" w:rsidRDefault="00F22F94">
      <w:pPr>
        <w:pStyle w:val="BodyText"/>
        <w:spacing w:before="146" w:line="249" w:lineRule="auto"/>
        <w:ind w:left="492" w:right="316"/>
        <w:jc w:val="both"/>
      </w:pPr>
      <w:r>
        <w:rPr>
          <w:w w:val="95"/>
        </w:rPr>
        <w:t>The new underground bus terminals will require total reconstruction of both sites, but there is the potential to</w:t>
      </w:r>
      <w:r>
        <w:rPr>
          <w:spacing w:val="-7"/>
          <w:w w:val="95"/>
        </w:rPr>
        <w:t xml:space="preserve"> </w:t>
      </w:r>
      <w:r>
        <w:rPr>
          <w:w w:val="95"/>
        </w:rPr>
        <w:t>integrate</w:t>
      </w:r>
      <w:r>
        <w:rPr>
          <w:spacing w:val="-7"/>
          <w:w w:val="95"/>
        </w:rPr>
        <w:t xml:space="preserve"> </w:t>
      </w:r>
      <w:r>
        <w:rPr>
          <w:w w:val="95"/>
        </w:rPr>
        <w:t>this</w:t>
      </w:r>
      <w:r>
        <w:rPr>
          <w:spacing w:val="-7"/>
          <w:w w:val="95"/>
        </w:rPr>
        <w:t xml:space="preserve"> </w:t>
      </w:r>
      <w:r>
        <w:rPr>
          <w:w w:val="95"/>
        </w:rPr>
        <w:t>with</w:t>
      </w:r>
      <w:r>
        <w:rPr>
          <w:spacing w:val="-7"/>
          <w:w w:val="95"/>
        </w:rPr>
        <w:t xml:space="preserve"> </w:t>
      </w:r>
      <w:r>
        <w:rPr>
          <w:w w:val="95"/>
        </w:rPr>
        <w:t>existing</w:t>
      </w:r>
      <w:r>
        <w:rPr>
          <w:spacing w:val="-7"/>
          <w:w w:val="95"/>
        </w:rPr>
        <w:t xml:space="preserve"> </w:t>
      </w:r>
      <w:r>
        <w:rPr>
          <w:w w:val="95"/>
        </w:rPr>
        <w:t>development</w:t>
      </w:r>
      <w:r>
        <w:rPr>
          <w:spacing w:val="-7"/>
          <w:w w:val="95"/>
        </w:rPr>
        <w:t xml:space="preserve"> </w:t>
      </w:r>
      <w:r>
        <w:rPr>
          <w:spacing w:val="-2"/>
          <w:w w:val="95"/>
        </w:rPr>
        <w:t>proposals.</w:t>
      </w:r>
    </w:p>
    <w:p w:rsidR="002C1123" w:rsidRDefault="00F22F94">
      <w:pPr>
        <w:pStyle w:val="BodyText"/>
        <w:spacing w:before="2" w:line="249" w:lineRule="auto"/>
        <w:ind w:left="492" w:right="78"/>
        <w:jc w:val="both"/>
      </w:pPr>
      <w:r>
        <w:rPr>
          <w:w w:val="95"/>
        </w:rPr>
        <w:t>A</w:t>
      </w:r>
      <w:r>
        <w:rPr>
          <w:spacing w:val="-4"/>
          <w:w w:val="95"/>
        </w:rPr>
        <w:t xml:space="preserve"> </w:t>
      </w:r>
      <w:r>
        <w:rPr>
          <w:w w:val="95"/>
        </w:rPr>
        <w:t>Wynyard</w:t>
      </w:r>
      <w:r>
        <w:rPr>
          <w:spacing w:val="-4"/>
          <w:w w:val="95"/>
        </w:rPr>
        <w:t xml:space="preserve"> </w:t>
      </w:r>
      <w:r>
        <w:rPr>
          <w:w w:val="95"/>
        </w:rPr>
        <w:t>redevelopment</w:t>
      </w:r>
      <w:r>
        <w:rPr>
          <w:spacing w:val="-4"/>
          <w:w w:val="95"/>
        </w:rPr>
        <w:t xml:space="preserve"> </w:t>
      </w:r>
      <w:r>
        <w:rPr>
          <w:w w:val="95"/>
        </w:rPr>
        <w:t>would</w:t>
      </w:r>
      <w:r>
        <w:rPr>
          <w:spacing w:val="-4"/>
          <w:w w:val="95"/>
        </w:rPr>
        <w:t xml:space="preserve"> </w:t>
      </w:r>
      <w:r>
        <w:rPr>
          <w:w w:val="95"/>
        </w:rPr>
        <w:t>be</w:t>
      </w:r>
      <w:r>
        <w:rPr>
          <w:spacing w:val="-4"/>
          <w:w w:val="95"/>
        </w:rPr>
        <w:t xml:space="preserve"> </w:t>
      </w:r>
      <w:r>
        <w:rPr>
          <w:w w:val="95"/>
        </w:rPr>
        <w:t>highly</w:t>
      </w:r>
      <w:r>
        <w:rPr>
          <w:spacing w:val="-4"/>
          <w:w w:val="95"/>
        </w:rPr>
        <w:t xml:space="preserve"> </w:t>
      </w:r>
      <w:r>
        <w:rPr>
          <w:w w:val="95"/>
        </w:rPr>
        <w:t>desirable</w:t>
      </w:r>
      <w:r>
        <w:rPr>
          <w:spacing w:val="-4"/>
          <w:w w:val="95"/>
        </w:rPr>
        <w:t xml:space="preserve"> </w:t>
      </w:r>
      <w:r>
        <w:rPr>
          <w:w w:val="95"/>
        </w:rPr>
        <w:t>for rail</w:t>
      </w:r>
      <w:r>
        <w:rPr>
          <w:spacing w:val="-7"/>
          <w:w w:val="95"/>
        </w:rPr>
        <w:t xml:space="preserve"> </w:t>
      </w:r>
      <w:r>
        <w:rPr>
          <w:w w:val="95"/>
        </w:rPr>
        <w:t>users</w:t>
      </w:r>
      <w:r>
        <w:rPr>
          <w:spacing w:val="-7"/>
          <w:w w:val="95"/>
        </w:rPr>
        <w:t xml:space="preserve"> </w:t>
      </w:r>
      <w:r>
        <w:rPr>
          <w:w w:val="95"/>
        </w:rPr>
        <w:t>(including</w:t>
      </w:r>
      <w:r>
        <w:rPr>
          <w:spacing w:val="-7"/>
          <w:w w:val="95"/>
        </w:rPr>
        <w:t xml:space="preserve"> </w:t>
      </w:r>
      <w:r>
        <w:rPr>
          <w:w w:val="95"/>
        </w:rPr>
        <w:t>new</w:t>
      </w:r>
      <w:r>
        <w:rPr>
          <w:spacing w:val="-7"/>
          <w:w w:val="95"/>
        </w:rPr>
        <w:t xml:space="preserve"> </w:t>
      </w:r>
      <w:r>
        <w:rPr>
          <w:w w:val="95"/>
        </w:rPr>
        <w:t>commuters</w:t>
      </w:r>
      <w:r>
        <w:rPr>
          <w:spacing w:val="-7"/>
          <w:w w:val="95"/>
        </w:rPr>
        <w:t xml:space="preserve"> </w:t>
      </w:r>
      <w:r>
        <w:rPr>
          <w:w w:val="95"/>
        </w:rPr>
        <w:t>to</w:t>
      </w:r>
      <w:r>
        <w:rPr>
          <w:spacing w:val="-7"/>
          <w:w w:val="95"/>
        </w:rPr>
        <w:t xml:space="preserve"> </w:t>
      </w:r>
      <w:r>
        <w:rPr>
          <w:w w:val="95"/>
        </w:rPr>
        <w:t>Barangaroo)</w:t>
      </w:r>
      <w:r>
        <w:rPr>
          <w:spacing w:val="-7"/>
          <w:w w:val="95"/>
        </w:rPr>
        <w:t xml:space="preserve"> </w:t>
      </w:r>
      <w:r>
        <w:rPr>
          <w:w w:val="95"/>
        </w:rPr>
        <w:t xml:space="preserve">and new higher-rent commercial development could make a </w:t>
      </w:r>
      <w:r>
        <w:t>contribution to project costs.</w:t>
      </w:r>
    </w:p>
    <w:p w:rsidR="002C1123" w:rsidRDefault="00F22F94">
      <w:pPr>
        <w:pStyle w:val="BodyText"/>
        <w:spacing w:before="129" w:line="249" w:lineRule="auto"/>
        <w:ind w:left="192" w:right="807"/>
      </w:pPr>
      <w:r>
        <w:br w:type="column"/>
      </w:r>
      <w:r>
        <w:t>At</w:t>
      </w:r>
      <w:r>
        <w:rPr>
          <w:spacing w:val="-14"/>
        </w:rPr>
        <w:t xml:space="preserve"> </w:t>
      </w:r>
      <w:r>
        <w:t>Town</w:t>
      </w:r>
      <w:r>
        <w:rPr>
          <w:spacing w:val="-13"/>
        </w:rPr>
        <w:t xml:space="preserve"> </w:t>
      </w:r>
      <w:r>
        <w:t>Hall,</w:t>
      </w:r>
      <w:r>
        <w:rPr>
          <w:spacing w:val="-14"/>
        </w:rPr>
        <w:t xml:space="preserve"> </w:t>
      </w:r>
      <w:r>
        <w:t>a</w:t>
      </w:r>
      <w:r>
        <w:rPr>
          <w:spacing w:val="-13"/>
        </w:rPr>
        <w:t xml:space="preserve"> </w:t>
      </w:r>
      <w:r>
        <w:t>new</w:t>
      </w:r>
      <w:r>
        <w:rPr>
          <w:spacing w:val="-14"/>
        </w:rPr>
        <w:t xml:space="preserve"> </w:t>
      </w:r>
      <w:r>
        <w:t>CBD</w:t>
      </w:r>
      <w:r>
        <w:rPr>
          <w:spacing w:val="-13"/>
        </w:rPr>
        <w:t xml:space="preserve"> </w:t>
      </w:r>
      <w:r>
        <w:t>BRT</w:t>
      </w:r>
      <w:r>
        <w:rPr>
          <w:spacing w:val="-14"/>
        </w:rPr>
        <w:t xml:space="preserve"> </w:t>
      </w:r>
      <w:r>
        <w:t>terminal</w:t>
      </w:r>
      <w:r>
        <w:rPr>
          <w:spacing w:val="-13"/>
        </w:rPr>
        <w:t xml:space="preserve"> </w:t>
      </w:r>
      <w:r>
        <w:t xml:space="preserve">and </w:t>
      </w:r>
      <w:r>
        <w:rPr>
          <w:w w:val="95"/>
        </w:rPr>
        <w:t>rail</w:t>
      </w:r>
      <w:r>
        <w:rPr>
          <w:spacing w:val="-9"/>
          <w:w w:val="95"/>
        </w:rPr>
        <w:t xml:space="preserve"> </w:t>
      </w:r>
      <w:r>
        <w:rPr>
          <w:w w:val="95"/>
        </w:rPr>
        <w:t>interchange</w:t>
      </w:r>
      <w:r>
        <w:rPr>
          <w:spacing w:val="-9"/>
          <w:w w:val="95"/>
        </w:rPr>
        <w:t xml:space="preserve"> </w:t>
      </w:r>
      <w:r>
        <w:rPr>
          <w:w w:val="95"/>
        </w:rPr>
        <w:t>could</w:t>
      </w:r>
      <w:r>
        <w:rPr>
          <w:spacing w:val="-9"/>
          <w:w w:val="95"/>
        </w:rPr>
        <w:t xml:space="preserve"> </w:t>
      </w:r>
      <w:r>
        <w:rPr>
          <w:w w:val="95"/>
        </w:rPr>
        <w:t>be</w:t>
      </w:r>
      <w:r>
        <w:rPr>
          <w:spacing w:val="-9"/>
          <w:w w:val="95"/>
        </w:rPr>
        <w:t xml:space="preserve"> </w:t>
      </w:r>
      <w:r>
        <w:rPr>
          <w:w w:val="95"/>
        </w:rPr>
        <w:t>integrated</w:t>
      </w:r>
      <w:r>
        <w:rPr>
          <w:spacing w:val="-9"/>
          <w:w w:val="95"/>
        </w:rPr>
        <w:t xml:space="preserve"> </w:t>
      </w:r>
      <w:r>
        <w:rPr>
          <w:w w:val="95"/>
        </w:rPr>
        <w:t>with</w:t>
      </w:r>
      <w:r>
        <w:rPr>
          <w:spacing w:val="-9"/>
          <w:w w:val="95"/>
        </w:rPr>
        <w:t xml:space="preserve"> </w:t>
      </w:r>
      <w:r>
        <w:rPr>
          <w:w w:val="95"/>
        </w:rPr>
        <w:t>retail</w:t>
      </w:r>
    </w:p>
    <w:p w:rsidR="002C1123" w:rsidRDefault="00F22F94">
      <w:pPr>
        <w:pStyle w:val="BodyText"/>
        <w:spacing w:before="1" w:line="249" w:lineRule="auto"/>
        <w:ind w:left="192"/>
      </w:pPr>
      <w:r>
        <w:rPr>
          <w:spacing w:val="-2"/>
        </w:rPr>
        <w:t>redevelopment</w:t>
      </w:r>
      <w:r>
        <w:rPr>
          <w:spacing w:val="-11"/>
        </w:rPr>
        <w:t xml:space="preserve"> </w:t>
      </w:r>
      <w:r>
        <w:rPr>
          <w:spacing w:val="-2"/>
        </w:rPr>
        <w:t>and</w:t>
      </w:r>
      <w:r>
        <w:rPr>
          <w:spacing w:val="-11"/>
        </w:rPr>
        <w:t xml:space="preserve"> </w:t>
      </w:r>
      <w:r>
        <w:rPr>
          <w:spacing w:val="-2"/>
        </w:rPr>
        <w:t>the</w:t>
      </w:r>
      <w:r>
        <w:rPr>
          <w:spacing w:val="-11"/>
        </w:rPr>
        <w:t xml:space="preserve"> </w:t>
      </w:r>
      <w:r>
        <w:rPr>
          <w:spacing w:val="-2"/>
        </w:rPr>
        <w:t>City</w:t>
      </w:r>
      <w:r>
        <w:rPr>
          <w:spacing w:val="-11"/>
        </w:rPr>
        <w:t xml:space="preserve"> </w:t>
      </w:r>
      <w:r>
        <w:rPr>
          <w:spacing w:val="-2"/>
        </w:rPr>
        <w:t>of</w:t>
      </w:r>
      <w:r>
        <w:rPr>
          <w:spacing w:val="-11"/>
        </w:rPr>
        <w:t xml:space="preserve"> </w:t>
      </w:r>
      <w:r>
        <w:rPr>
          <w:spacing w:val="-2"/>
        </w:rPr>
        <w:t>Sydney’s</w:t>
      </w:r>
      <w:r>
        <w:rPr>
          <w:spacing w:val="-11"/>
        </w:rPr>
        <w:t xml:space="preserve"> </w:t>
      </w:r>
      <w:r>
        <w:rPr>
          <w:spacing w:val="-2"/>
        </w:rPr>
        <w:t>plans</w:t>
      </w:r>
      <w:r>
        <w:rPr>
          <w:spacing w:val="-11"/>
        </w:rPr>
        <w:t xml:space="preserve"> </w:t>
      </w:r>
      <w:r>
        <w:rPr>
          <w:spacing w:val="-2"/>
        </w:rPr>
        <w:t>for</w:t>
      </w:r>
      <w:r>
        <w:rPr>
          <w:spacing w:val="-11"/>
        </w:rPr>
        <w:t xml:space="preserve"> </w:t>
      </w:r>
      <w:r>
        <w:rPr>
          <w:spacing w:val="-2"/>
        </w:rPr>
        <w:t>a</w:t>
      </w:r>
      <w:r>
        <w:rPr>
          <w:spacing w:val="-11"/>
        </w:rPr>
        <w:t xml:space="preserve"> </w:t>
      </w:r>
      <w:r>
        <w:rPr>
          <w:spacing w:val="-2"/>
        </w:rPr>
        <w:t>new plaza</w:t>
      </w:r>
      <w:r>
        <w:rPr>
          <w:spacing w:val="-7"/>
        </w:rPr>
        <w:t xml:space="preserve"> </w:t>
      </w:r>
      <w:r>
        <w:rPr>
          <w:spacing w:val="-2"/>
        </w:rPr>
        <w:t>(Town</w:t>
      </w:r>
      <w:r>
        <w:rPr>
          <w:spacing w:val="-7"/>
        </w:rPr>
        <w:t xml:space="preserve"> </w:t>
      </w:r>
      <w:r>
        <w:rPr>
          <w:spacing w:val="-2"/>
        </w:rPr>
        <w:t>Hall</w:t>
      </w:r>
      <w:r>
        <w:rPr>
          <w:spacing w:val="-7"/>
        </w:rPr>
        <w:t xml:space="preserve"> </w:t>
      </w:r>
      <w:r>
        <w:rPr>
          <w:spacing w:val="-2"/>
        </w:rPr>
        <w:t>Square,</w:t>
      </w:r>
      <w:r>
        <w:rPr>
          <w:spacing w:val="-7"/>
        </w:rPr>
        <w:t xml:space="preserve"> </w:t>
      </w:r>
      <w:r>
        <w:rPr>
          <w:spacing w:val="-2"/>
        </w:rPr>
        <w:t>which</w:t>
      </w:r>
      <w:r>
        <w:rPr>
          <w:spacing w:val="-7"/>
        </w:rPr>
        <w:t xml:space="preserve"> </w:t>
      </w:r>
      <w:r>
        <w:rPr>
          <w:spacing w:val="-2"/>
        </w:rPr>
        <w:t>was</w:t>
      </w:r>
      <w:r>
        <w:rPr>
          <w:spacing w:val="-7"/>
        </w:rPr>
        <w:t xml:space="preserve"> </w:t>
      </w:r>
      <w:r>
        <w:rPr>
          <w:spacing w:val="-2"/>
        </w:rPr>
        <w:t>previously</w:t>
      </w:r>
      <w:r>
        <w:rPr>
          <w:spacing w:val="-7"/>
        </w:rPr>
        <w:t xml:space="preserve"> </w:t>
      </w:r>
      <w:r>
        <w:rPr>
          <w:spacing w:val="-2"/>
        </w:rPr>
        <w:t xml:space="preserve">well </w:t>
      </w:r>
      <w:r>
        <w:rPr>
          <w:w w:val="95"/>
        </w:rPr>
        <w:t>developed</w:t>
      </w:r>
      <w:r>
        <w:rPr>
          <w:spacing w:val="-2"/>
          <w:w w:val="95"/>
        </w:rPr>
        <w:t xml:space="preserve"> </w:t>
      </w:r>
      <w:r>
        <w:rPr>
          <w:w w:val="95"/>
        </w:rPr>
        <w:t>as</w:t>
      </w:r>
      <w:r>
        <w:rPr>
          <w:spacing w:val="-2"/>
          <w:w w:val="95"/>
        </w:rPr>
        <w:t xml:space="preserve"> </w:t>
      </w:r>
      <w:r>
        <w:rPr>
          <w:w w:val="95"/>
        </w:rPr>
        <w:t>part</w:t>
      </w:r>
      <w:r>
        <w:rPr>
          <w:spacing w:val="-2"/>
          <w:w w:val="95"/>
        </w:rPr>
        <w:t xml:space="preserve"> </w:t>
      </w:r>
      <w:r>
        <w:rPr>
          <w:w w:val="95"/>
        </w:rPr>
        <w:t>of</w:t>
      </w:r>
      <w:r>
        <w:rPr>
          <w:spacing w:val="-2"/>
          <w:w w:val="95"/>
        </w:rPr>
        <w:t xml:space="preserve"> </w:t>
      </w:r>
      <w:r>
        <w:rPr>
          <w:w w:val="95"/>
        </w:rPr>
        <w:t>the</w:t>
      </w:r>
      <w:r>
        <w:rPr>
          <w:spacing w:val="-2"/>
          <w:w w:val="95"/>
        </w:rPr>
        <w:t xml:space="preserve"> </w:t>
      </w:r>
      <w:r>
        <w:rPr>
          <w:w w:val="95"/>
        </w:rPr>
        <w:t>abandoned</w:t>
      </w:r>
      <w:r>
        <w:rPr>
          <w:spacing w:val="-2"/>
          <w:w w:val="95"/>
        </w:rPr>
        <w:t xml:space="preserve"> </w:t>
      </w:r>
      <w:r>
        <w:rPr>
          <w:w w:val="95"/>
        </w:rPr>
        <w:t>CBD</w:t>
      </w:r>
      <w:r>
        <w:rPr>
          <w:spacing w:val="-2"/>
          <w:w w:val="95"/>
        </w:rPr>
        <w:t xml:space="preserve"> </w:t>
      </w:r>
      <w:r>
        <w:rPr>
          <w:w w:val="95"/>
        </w:rPr>
        <w:t>Metro</w:t>
      </w:r>
      <w:r>
        <w:rPr>
          <w:spacing w:val="-2"/>
          <w:w w:val="95"/>
        </w:rPr>
        <w:t xml:space="preserve"> </w:t>
      </w:r>
      <w:r>
        <w:rPr>
          <w:w w:val="95"/>
        </w:rPr>
        <w:t>project).</w:t>
      </w:r>
    </w:p>
    <w:p w:rsidR="002C1123" w:rsidRDefault="00F22F94">
      <w:pPr>
        <w:pStyle w:val="BodyText"/>
        <w:spacing w:before="145" w:line="249" w:lineRule="auto"/>
        <w:ind w:left="192" w:right="112"/>
      </w:pPr>
      <w:r>
        <w:rPr>
          <w:w w:val="95"/>
        </w:rPr>
        <w:t xml:space="preserve">Actual construction of this underground infrastructure, </w:t>
      </w:r>
      <w:r>
        <w:t>though</w:t>
      </w:r>
      <w:r>
        <w:rPr>
          <w:spacing w:val="-13"/>
        </w:rPr>
        <w:t xml:space="preserve"> </w:t>
      </w:r>
      <w:r>
        <w:t>unavoidably</w:t>
      </w:r>
      <w:r>
        <w:rPr>
          <w:spacing w:val="-13"/>
        </w:rPr>
        <w:t xml:space="preserve"> </w:t>
      </w:r>
      <w:r>
        <w:t>disruptive,</w:t>
      </w:r>
      <w:r>
        <w:rPr>
          <w:spacing w:val="-13"/>
        </w:rPr>
        <w:t xml:space="preserve"> </w:t>
      </w:r>
      <w:r>
        <w:t>may</w:t>
      </w:r>
      <w:r>
        <w:rPr>
          <w:spacing w:val="-13"/>
        </w:rPr>
        <w:t xml:space="preserve"> </w:t>
      </w:r>
      <w:r>
        <w:t>be</w:t>
      </w:r>
      <w:r>
        <w:rPr>
          <w:spacing w:val="-13"/>
        </w:rPr>
        <w:t xml:space="preserve"> </w:t>
      </w:r>
      <w:r>
        <w:t>less</w:t>
      </w:r>
      <w:r>
        <w:rPr>
          <w:spacing w:val="-13"/>
        </w:rPr>
        <w:t xml:space="preserve"> </w:t>
      </w:r>
      <w:r>
        <w:t>so</w:t>
      </w:r>
      <w:r>
        <w:rPr>
          <w:spacing w:val="-13"/>
        </w:rPr>
        <w:t xml:space="preserve"> </w:t>
      </w:r>
      <w:r>
        <w:t>than the</w:t>
      </w:r>
      <w:r>
        <w:rPr>
          <w:spacing w:val="-14"/>
        </w:rPr>
        <w:t xml:space="preserve"> </w:t>
      </w:r>
      <w:r>
        <w:t>extensive</w:t>
      </w:r>
      <w:r>
        <w:rPr>
          <w:spacing w:val="-14"/>
        </w:rPr>
        <w:t xml:space="preserve"> </w:t>
      </w:r>
      <w:r>
        <w:t>surface</w:t>
      </w:r>
      <w:r>
        <w:rPr>
          <w:spacing w:val="-14"/>
        </w:rPr>
        <w:t xml:space="preserve"> </w:t>
      </w:r>
      <w:r>
        <w:t>works</w:t>
      </w:r>
      <w:r>
        <w:rPr>
          <w:spacing w:val="-14"/>
        </w:rPr>
        <w:t xml:space="preserve"> </w:t>
      </w:r>
      <w:r>
        <w:t>required</w:t>
      </w:r>
      <w:r>
        <w:rPr>
          <w:spacing w:val="-14"/>
        </w:rPr>
        <w:t xml:space="preserve"> </w:t>
      </w:r>
      <w:r>
        <w:t>for</w:t>
      </w:r>
      <w:r>
        <w:rPr>
          <w:spacing w:val="-14"/>
        </w:rPr>
        <w:t xml:space="preserve"> </w:t>
      </w:r>
      <w:r>
        <w:t>light</w:t>
      </w:r>
      <w:r>
        <w:rPr>
          <w:spacing w:val="-14"/>
        </w:rPr>
        <w:t xml:space="preserve"> </w:t>
      </w:r>
      <w:r>
        <w:t>rail.</w:t>
      </w:r>
    </w:p>
    <w:p w:rsidR="002C1123" w:rsidRDefault="00F22F94">
      <w:pPr>
        <w:pStyle w:val="BodyText"/>
        <w:spacing w:before="2" w:line="249" w:lineRule="auto"/>
        <w:ind w:left="192" w:right="265"/>
      </w:pPr>
      <w:r>
        <w:rPr>
          <w:w w:val="95"/>
        </w:rPr>
        <w:t>The</w:t>
      </w:r>
      <w:r>
        <w:rPr>
          <w:spacing w:val="-8"/>
          <w:w w:val="95"/>
        </w:rPr>
        <w:t xml:space="preserve"> </w:t>
      </w:r>
      <w:r>
        <w:rPr>
          <w:w w:val="95"/>
        </w:rPr>
        <w:t>indicative</w:t>
      </w:r>
      <w:r>
        <w:rPr>
          <w:spacing w:val="-8"/>
          <w:w w:val="95"/>
        </w:rPr>
        <w:t xml:space="preserve"> </w:t>
      </w:r>
      <w:r>
        <w:rPr>
          <w:w w:val="95"/>
        </w:rPr>
        <w:t>cost</w:t>
      </w:r>
      <w:r>
        <w:rPr>
          <w:spacing w:val="-8"/>
          <w:w w:val="95"/>
        </w:rPr>
        <w:t xml:space="preserve"> </w:t>
      </w:r>
      <w:r>
        <w:rPr>
          <w:w w:val="95"/>
        </w:rPr>
        <w:t>of</w:t>
      </w:r>
      <w:r>
        <w:rPr>
          <w:spacing w:val="-8"/>
          <w:w w:val="95"/>
        </w:rPr>
        <w:t xml:space="preserve"> </w:t>
      </w:r>
      <w:r>
        <w:rPr>
          <w:w w:val="95"/>
        </w:rPr>
        <w:t>the</w:t>
      </w:r>
      <w:r>
        <w:rPr>
          <w:spacing w:val="-8"/>
          <w:w w:val="95"/>
        </w:rPr>
        <w:t xml:space="preserve"> </w:t>
      </w:r>
      <w:r>
        <w:rPr>
          <w:w w:val="95"/>
        </w:rPr>
        <w:t>CBD</w:t>
      </w:r>
      <w:r>
        <w:rPr>
          <w:spacing w:val="-8"/>
          <w:w w:val="95"/>
        </w:rPr>
        <w:t xml:space="preserve"> </w:t>
      </w:r>
      <w:r>
        <w:rPr>
          <w:w w:val="95"/>
        </w:rPr>
        <w:t>BRT</w:t>
      </w:r>
      <w:r>
        <w:rPr>
          <w:spacing w:val="-8"/>
          <w:w w:val="95"/>
        </w:rPr>
        <w:t xml:space="preserve"> </w:t>
      </w:r>
      <w:r>
        <w:rPr>
          <w:w w:val="95"/>
        </w:rPr>
        <w:t>tunnels</w:t>
      </w:r>
      <w:r>
        <w:rPr>
          <w:spacing w:val="-8"/>
          <w:w w:val="95"/>
        </w:rPr>
        <w:t xml:space="preserve"> </w:t>
      </w:r>
      <w:r>
        <w:rPr>
          <w:w w:val="95"/>
        </w:rPr>
        <w:t>has</w:t>
      </w:r>
      <w:r>
        <w:rPr>
          <w:spacing w:val="-8"/>
          <w:w w:val="95"/>
        </w:rPr>
        <w:t xml:space="preserve"> </w:t>
      </w:r>
      <w:r>
        <w:rPr>
          <w:w w:val="95"/>
        </w:rPr>
        <w:t xml:space="preserve">been </w:t>
      </w:r>
      <w:r>
        <w:t>estimated</w:t>
      </w:r>
      <w:r>
        <w:rPr>
          <w:spacing w:val="-14"/>
        </w:rPr>
        <w:t xml:space="preserve"> </w:t>
      </w:r>
      <w:r>
        <w:t>at</w:t>
      </w:r>
      <w:r>
        <w:rPr>
          <w:spacing w:val="-14"/>
        </w:rPr>
        <w:t xml:space="preserve"> </w:t>
      </w:r>
      <w:r>
        <w:t>$750</w:t>
      </w:r>
      <w:r>
        <w:rPr>
          <w:spacing w:val="-14"/>
        </w:rPr>
        <w:t xml:space="preserve"> </w:t>
      </w:r>
      <w:r>
        <w:t>million</w:t>
      </w:r>
      <w:r>
        <w:rPr>
          <w:position w:val="7"/>
          <w:sz w:val="11"/>
        </w:rPr>
        <w:t>13</w:t>
      </w:r>
      <w:r>
        <w:t>.</w:t>
      </w:r>
      <w:r>
        <w:rPr>
          <w:spacing w:val="-14"/>
        </w:rPr>
        <w:t xml:space="preserve"> </w:t>
      </w:r>
      <w:r>
        <w:t>With</w:t>
      </w:r>
      <w:r>
        <w:rPr>
          <w:spacing w:val="-14"/>
        </w:rPr>
        <w:t xml:space="preserve"> </w:t>
      </w:r>
      <w:r>
        <w:t>an</w:t>
      </w:r>
      <w:r>
        <w:rPr>
          <w:spacing w:val="-14"/>
        </w:rPr>
        <w:t xml:space="preserve"> </w:t>
      </w:r>
      <w:r>
        <w:t>allowance</w:t>
      </w:r>
      <w:r>
        <w:rPr>
          <w:spacing w:val="-14"/>
        </w:rPr>
        <w:t xml:space="preserve"> </w:t>
      </w:r>
      <w:r>
        <w:t xml:space="preserve">for </w:t>
      </w:r>
      <w:r>
        <w:rPr>
          <w:w w:val="95"/>
        </w:rPr>
        <w:t>risk and the Town Hall and Wynyard redevelopment,</w:t>
      </w:r>
    </w:p>
    <w:p w:rsidR="002C1123" w:rsidRDefault="00F22F94">
      <w:pPr>
        <w:pStyle w:val="BodyText"/>
        <w:spacing w:before="3" w:line="249" w:lineRule="auto"/>
        <w:ind w:left="192"/>
      </w:pPr>
      <w:r>
        <w:rPr>
          <w:w w:val="95"/>
        </w:rPr>
        <w:t>Infrastructure</w:t>
      </w:r>
      <w:r>
        <w:rPr>
          <w:spacing w:val="-4"/>
          <w:w w:val="95"/>
        </w:rPr>
        <w:t xml:space="preserve"> </w:t>
      </w:r>
      <w:r>
        <w:rPr>
          <w:w w:val="95"/>
        </w:rPr>
        <w:t>NSW</w:t>
      </w:r>
      <w:r>
        <w:rPr>
          <w:spacing w:val="-4"/>
          <w:w w:val="95"/>
        </w:rPr>
        <w:t xml:space="preserve"> </w:t>
      </w:r>
      <w:r>
        <w:rPr>
          <w:w w:val="95"/>
        </w:rPr>
        <w:t>considers</w:t>
      </w:r>
      <w:r>
        <w:rPr>
          <w:spacing w:val="-4"/>
          <w:w w:val="95"/>
        </w:rPr>
        <w:t xml:space="preserve"> </w:t>
      </w:r>
      <w:r>
        <w:rPr>
          <w:w w:val="95"/>
        </w:rPr>
        <w:t>that</w:t>
      </w:r>
      <w:r>
        <w:rPr>
          <w:spacing w:val="-4"/>
          <w:w w:val="95"/>
        </w:rPr>
        <w:t xml:space="preserve"> </w:t>
      </w:r>
      <w:r>
        <w:rPr>
          <w:w w:val="95"/>
        </w:rPr>
        <w:t>$2</w:t>
      </w:r>
      <w:r>
        <w:rPr>
          <w:spacing w:val="-4"/>
          <w:w w:val="95"/>
        </w:rPr>
        <w:t xml:space="preserve"> </w:t>
      </w:r>
      <w:r>
        <w:rPr>
          <w:w w:val="95"/>
        </w:rPr>
        <w:t>billion</w:t>
      </w:r>
      <w:r>
        <w:rPr>
          <w:spacing w:val="-4"/>
          <w:w w:val="95"/>
        </w:rPr>
        <w:t xml:space="preserve"> </w:t>
      </w:r>
      <w:r>
        <w:rPr>
          <w:w w:val="95"/>
        </w:rPr>
        <w:t>would</w:t>
      </w:r>
      <w:r>
        <w:rPr>
          <w:spacing w:val="-4"/>
          <w:w w:val="95"/>
        </w:rPr>
        <w:t xml:space="preserve"> </w:t>
      </w:r>
      <w:r>
        <w:rPr>
          <w:w w:val="95"/>
        </w:rPr>
        <w:t>be</w:t>
      </w:r>
      <w:r>
        <w:rPr>
          <w:spacing w:val="-4"/>
          <w:w w:val="95"/>
        </w:rPr>
        <w:t xml:space="preserve"> </w:t>
      </w:r>
      <w:r>
        <w:rPr>
          <w:w w:val="95"/>
        </w:rPr>
        <w:t xml:space="preserve">a </w:t>
      </w:r>
      <w:r>
        <w:t>realistic</w:t>
      </w:r>
      <w:r>
        <w:rPr>
          <w:spacing w:val="-11"/>
        </w:rPr>
        <w:t xml:space="preserve"> </w:t>
      </w:r>
      <w:r>
        <w:t>scope.</w:t>
      </w:r>
    </w:p>
    <w:p w:rsidR="002C1123" w:rsidRDefault="00F22F94">
      <w:pPr>
        <w:pStyle w:val="BodyText"/>
        <w:spacing w:before="143" w:line="249" w:lineRule="auto"/>
        <w:ind w:left="192" w:right="93"/>
      </w:pPr>
      <w:r>
        <w:rPr>
          <w:w w:val="95"/>
        </w:rPr>
        <w:t>In conclusion, whilst the CBD BRT concept is currently at</w:t>
      </w:r>
      <w:r>
        <w:rPr>
          <w:spacing w:val="-12"/>
          <w:w w:val="95"/>
        </w:rPr>
        <w:t xml:space="preserve"> </w:t>
      </w:r>
      <w:r>
        <w:rPr>
          <w:w w:val="95"/>
        </w:rPr>
        <w:t>a</w:t>
      </w:r>
      <w:r>
        <w:rPr>
          <w:spacing w:val="-11"/>
          <w:w w:val="95"/>
        </w:rPr>
        <w:t xml:space="preserve"> </w:t>
      </w:r>
      <w:r>
        <w:rPr>
          <w:w w:val="95"/>
        </w:rPr>
        <w:t>relatively</w:t>
      </w:r>
      <w:r>
        <w:rPr>
          <w:spacing w:val="-11"/>
          <w:w w:val="95"/>
        </w:rPr>
        <w:t xml:space="preserve"> </w:t>
      </w:r>
      <w:r>
        <w:rPr>
          <w:w w:val="95"/>
        </w:rPr>
        <w:t>early</w:t>
      </w:r>
      <w:r>
        <w:rPr>
          <w:spacing w:val="-11"/>
          <w:w w:val="95"/>
        </w:rPr>
        <w:t xml:space="preserve"> </w:t>
      </w:r>
      <w:r>
        <w:rPr>
          <w:w w:val="95"/>
        </w:rPr>
        <w:t>stage</w:t>
      </w:r>
      <w:r>
        <w:rPr>
          <w:spacing w:val="-11"/>
          <w:w w:val="95"/>
        </w:rPr>
        <w:t xml:space="preserve"> </w:t>
      </w:r>
      <w:r>
        <w:rPr>
          <w:w w:val="95"/>
        </w:rPr>
        <w:t>of</w:t>
      </w:r>
      <w:r>
        <w:rPr>
          <w:spacing w:val="-11"/>
          <w:w w:val="95"/>
        </w:rPr>
        <w:t xml:space="preserve"> </w:t>
      </w:r>
      <w:r>
        <w:rPr>
          <w:w w:val="95"/>
        </w:rPr>
        <w:t>development,</w:t>
      </w:r>
      <w:r>
        <w:rPr>
          <w:spacing w:val="-11"/>
          <w:w w:val="95"/>
        </w:rPr>
        <w:t xml:space="preserve"> </w:t>
      </w:r>
      <w:r>
        <w:rPr>
          <w:w w:val="95"/>
        </w:rPr>
        <w:t>the</w:t>
      </w:r>
      <w:r>
        <w:rPr>
          <w:spacing w:val="-11"/>
          <w:w w:val="95"/>
        </w:rPr>
        <w:t xml:space="preserve"> </w:t>
      </w:r>
      <w:r>
        <w:rPr>
          <w:w w:val="95"/>
        </w:rPr>
        <w:t xml:space="preserve">potentially </w:t>
      </w:r>
      <w:r>
        <w:t>large</w:t>
      </w:r>
      <w:r>
        <w:rPr>
          <w:spacing w:val="-7"/>
        </w:rPr>
        <w:t xml:space="preserve"> </w:t>
      </w:r>
      <w:r>
        <w:t>benefits</w:t>
      </w:r>
      <w:r>
        <w:rPr>
          <w:spacing w:val="-7"/>
        </w:rPr>
        <w:t xml:space="preserve"> </w:t>
      </w:r>
      <w:r>
        <w:t>to</w:t>
      </w:r>
      <w:r>
        <w:rPr>
          <w:spacing w:val="-7"/>
        </w:rPr>
        <w:t xml:space="preserve"> </w:t>
      </w:r>
      <w:r>
        <w:t>public</w:t>
      </w:r>
      <w:r>
        <w:rPr>
          <w:spacing w:val="-7"/>
        </w:rPr>
        <w:t xml:space="preserve"> </w:t>
      </w:r>
      <w:r>
        <w:t>transport</w:t>
      </w:r>
      <w:r>
        <w:rPr>
          <w:spacing w:val="-7"/>
        </w:rPr>
        <w:t xml:space="preserve"> </w:t>
      </w:r>
      <w:r>
        <w:t>capacity,</w:t>
      </w:r>
      <w:r>
        <w:rPr>
          <w:spacing w:val="-7"/>
        </w:rPr>
        <w:t xml:space="preserve"> </w:t>
      </w:r>
      <w:r>
        <w:t>service quality,</w:t>
      </w:r>
      <w:r>
        <w:rPr>
          <w:spacing w:val="-10"/>
        </w:rPr>
        <w:t xml:space="preserve"> </w:t>
      </w:r>
      <w:r>
        <w:t>CBD</w:t>
      </w:r>
      <w:r>
        <w:rPr>
          <w:spacing w:val="-10"/>
        </w:rPr>
        <w:t xml:space="preserve"> </w:t>
      </w:r>
      <w:r>
        <w:t>congestion</w:t>
      </w:r>
      <w:r>
        <w:rPr>
          <w:spacing w:val="-10"/>
        </w:rPr>
        <w:t xml:space="preserve"> </w:t>
      </w:r>
      <w:r>
        <w:t>and</w:t>
      </w:r>
      <w:r>
        <w:rPr>
          <w:spacing w:val="-10"/>
        </w:rPr>
        <w:t xml:space="preserve"> </w:t>
      </w:r>
      <w:r>
        <w:t>amenity</w:t>
      </w:r>
      <w:r>
        <w:rPr>
          <w:spacing w:val="-10"/>
        </w:rPr>
        <w:t xml:space="preserve"> </w:t>
      </w:r>
      <w:r>
        <w:t>justify</w:t>
      </w:r>
      <w:r>
        <w:rPr>
          <w:spacing w:val="-10"/>
        </w:rPr>
        <w:t xml:space="preserve"> </w:t>
      </w:r>
      <w:r>
        <w:t>further detailed development of the concept.</w:t>
      </w:r>
    </w:p>
    <w:p w:rsidR="002C1123" w:rsidRDefault="002060EF">
      <w:pPr>
        <w:pStyle w:val="BodyText"/>
        <w:rPr>
          <w:sz w:val="13"/>
        </w:rPr>
      </w:pPr>
      <w:r>
        <w:pict>
          <v:shape id="docshape1352" o:spid="_x0000_s3877" type="#_x0000_t202" style="position:absolute;margin-left:300.95pt;margin-top:8.7pt;width:239pt;height:81.35pt;z-index:-251380736;mso-wrap-distance-left:0;mso-wrap-distance-right:0;mso-position-horizontal-relative:page" fillcolor="#e1e0e1" stroked="f">
            <v:textbox inset="0,0,0,0">
              <w:txbxContent>
                <w:p w:rsidR="00F22F94" w:rsidRDefault="00F22F94">
                  <w:pPr>
                    <w:pStyle w:val="BodyText"/>
                    <w:spacing w:before="68" w:line="249" w:lineRule="auto"/>
                    <w:ind w:left="113" w:right="115"/>
                    <w:rPr>
                      <w:color w:val="000000"/>
                    </w:rPr>
                  </w:pPr>
                  <w:r>
                    <w:rPr>
                      <w:b/>
                      <w:color w:val="00AEEF"/>
                    </w:rPr>
                    <w:t>Recommendation</w:t>
                  </w:r>
                  <w:r>
                    <w:rPr>
                      <w:b/>
                      <w:color w:val="00AEEF"/>
                      <w:spacing w:val="40"/>
                    </w:rPr>
                    <w:t xml:space="preserve"> </w:t>
                  </w:r>
                  <w:r>
                    <w:rPr>
                      <w:color w:val="000000"/>
                    </w:rPr>
                    <w:t>Infrastructure NSW recommends</w:t>
                  </w:r>
                  <w:r>
                    <w:rPr>
                      <w:color w:val="000000"/>
                      <w:spacing w:val="-3"/>
                    </w:rPr>
                    <w:t xml:space="preserve"> </w:t>
                  </w:r>
                  <w:r>
                    <w:rPr>
                      <w:color w:val="000000"/>
                    </w:rPr>
                    <w:t>that</w:t>
                  </w:r>
                  <w:r>
                    <w:rPr>
                      <w:color w:val="000000"/>
                      <w:spacing w:val="-3"/>
                    </w:rPr>
                    <w:t xml:space="preserve"> </w:t>
                  </w:r>
                  <w:r>
                    <w:rPr>
                      <w:color w:val="000000"/>
                    </w:rPr>
                    <w:t>the</w:t>
                  </w:r>
                  <w:r>
                    <w:rPr>
                      <w:color w:val="000000"/>
                      <w:spacing w:val="-3"/>
                    </w:rPr>
                    <w:t xml:space="preserve"> </w:t>
                  </w:r>
                  <w:r>
                    <w:rPr>
                      <w:color w:val="000000"/>
                    </w:rPr>
                    <w:t>CBD</w:t>
                  </w:r>
                  <w:r>
                    <w:rPr>
                      <w:color w:val="000000"/>
                      <w:spacing w:val="-3"/>
                    </w:rPr>
                    <w:t xml:space="preserve"> </w:t>
                  </w:r>
                  <w:r>
                    <w:rPr>
                      <w:color w:val="000000"/>
                    </w:rPr>
                    <w:t>BRT</w:t>
                  </w:r>
                  <w:r>
                    <w:rPr>
                      <w:color w:val="000000"/>
                      <w:spacing w:val="-3"/>
                    </w:rPr>
                    <w:t xml:space="preserve"> </w:t>
                  </w:r>
                  <w:r>
                    <w:rPr>
                      <w:color w:val="000000"/>
                    </w:rPr>
                    <w:t>concept</w:t>
                  </w:r>
                  <w:r>
                    <w:rPr>
                      <w:color w:val="000000"/>
                      <w:spacing w:val="-3"/>
                    </w:rPr>
                    <w:t xml:space="preserve"> </w:t>
                  </w:r>
                  <w:r>
                    <w:rPr>
                      <w:color w:val="000000"/>
                    </w:rPr>
                    <w:t>should</w:t>
                  </w:r>
                  <w:r>
                    <w:rPr>
                      <w:color w:val="000000"/>
                      <w:spacing w:val="-3"/>
                    </w:rPr>
                    <w:t xml:space="preserve"> </w:t>
                  </w:r>
                  <w:r>
                    <w:rPr>
                      <w:color w:val="000000"/>
                    </w:rPr>
                    <w:t xml:space="preserve">be </w:t>
                  </w:r>
                  <w:r>
                    <w:rPr>
                      <w:color w:val="000000"/>
                      <w:w w:val="95"/>
                    </w:rPr>
                    <w:t>subject</w:t>
                  </w:r>
                  <w:r>
                    <w:rPr>
                      <w:color w:val="000000"/>
                      <w:spacing w:val="-6"/>
                      <w:w w:val="95"/>
                    </w:rPr>
                    <w:t xml:space="preserve"> </w:t>
                  </w:r>
                  <w:r>
                    <w:rPr>
                      <w:color w:val="000000"/>
                      <w:w w:val="95"/>
                    </w:rPr>
                    <w:t>to</w:t>
                  </w:r>
                  <w:r>
                    <w:rPr>
                      <w:color w:val="000000"/>
                      <w:spacing w:val="-6"/>
                      <w:w w:val="95"/>
                    </w:rPr>
                    <w:t xml:space="preserve"> </w:t>
                  </w:r>
                  <w:r>
                    <w:rPr>
                      <w:color w:val="000000"/>
                      <w:w w:val="95"/>
                    </w:rPr>
                    <w:t>a</w:t>
                  </w:r>
                  <w:r>
                    <w:rPr>
                      <w:color w:val="000000"/>
                      <w:spacing w:val="-6"/>
                      <w:w w:val="95"/>
                    </w:rPr>
                    <w:t xml:space="preserve"> </w:t>
                  </w:r>
                  <w:r>
                    <w:rPr>
                      <w:color w:val="000000"/>
                      <w:w w:val="95"/>
                    </w:rPr>
                    <w:t>detailed</w:t>
                  </w:r>
                  <w:r>
                    <w:rPr>
                      <w:color w:val="000000"/>
                      <w:spacing w:val="-6"/>
                      <w:w w:val="95"/>
                    </w:rPr>
                    <w:t xml:space="preserve"> </w:t>
                  </w:r>
                  <w:r>
                    <w:rPr>
                      <w:color w:val="000000"/>
                      <w:w w:val="95"/>
                    </w:rPr>
                    <w:t>feasibility</w:t>
                  </w:r>
                  <w:r>
                    <w:rPr>
                      <w:color w:val="000000"/>
                      <w:spacing w:val="-6"/>
                      <w:w w:val="95"/>
                    </w:rPr>
                    <w:t xml:space="preserve"> </w:t>
                  </w:r>
                  <w:r>
                    <w:rPr>
                      <w:color w:val="000000"/>
                      <w:w w:val="95"/>
                    </w:rPr>
                    <w:t>and</w:t>
                  </w:r>
                  <w:r>
                    <w:rPr>
                      <w:color w:val="000000"/>
                      <w:spacing w:val="-6"/>
                      <w:w w:val="95"/>
                    </w:rPr>
                    <w:t xml:space="preserve"> </w:t>
                  </w:r>
                  <w:r>
                    <w:rPr>
                      <w:color w:val="000000"/>
                      <w:w w:val="95"/>
                    </w:rPr>
                    <w:t>economic</w:t>
                  </w:r>
                  <w:r>
                    <w:rPr>
                      <w:color w:val="000000"/>
                      <w:spacing w:val="-6"/>
                      <w:w w:val="95"/>
                    </w:rPr>
                    <w:t xml:space="preserve"> </w:t>
                  </w:r>
                  <w:r>
                    <w:rPr>
                      <w:color w:val="000000"/>
                      <w:w w:val="95"/>
                    </w:rPr>
                    <w:t xml:space="preserve">analysis. </w:t>
                  </w:r>
                  <w:r>
                    <w:rPr>
                      <w:color w:val="000000"/>
                    </w:rPr>
                    <w:t>Subject</w:t>
                  </w:r>
                  <w:r>
                    <w:rPr>
                      <w:color w:val="000000"/>
                      <w:spacing w:val="-6"/>
                    </w:rPr>
                    <w:t xml:space="preserve"> </w:t>
                  </w:r>
                  <w:r>
                    <w:rPr>
                      <w:color w:val="000000"/>
                    </w:rPr>
                    <w:t>to</w:t>
                  </w:r>
                  <w:r>
                    <w:rPr>
                      <w:color w:val="000000"/>
                      <w:spacing w:val="-6"/>
                    </w:rPr>
                    <w:t xml:space="preserve"> </w:t>
                  </w:r>
                  <w:r>
                    <w:rPr>
                      <w:color w:val="000000"/>
                    </w:rPr>
                    <w:t>positive</w:t>
                  </w:r>
                  <w:r>
                    <w:rPr>
                      <w:color w:val="000000"/>
                      <w:spacing w:val="-6"/>
                    </w:rPr>
                    <w:t xml:space="preserve"> </w:t>
                  </w:r>
                  <w:r>
                    <w:rPr>
                      <w:color w:val="000000"/>
                    </w:rPr>
                    <w:t>conclusions</w:t>
                  </w:r>
                  <w:r>
                    <w:rPr>
                      <w:color w:val="000000"/>
                      <w:spacing w:val="-6"/>
                    </w:rPr>
                    <w:t xml:space="preserve"> </w:t>
                  </w:r>
                  <w:r>
                    <w:rPr>
                      <w:color w:val="000000"/>
                    </w:rPr>
                    <w:t>from</w:t>
                  </w:r>
                  <w:r>
                    <w:rPr>
                      <w:color w:val="000000"/>
                      <w:spacing w:val="-6"/>
                    </w:rPr>
                    <w:t xml:space="preserve"> </w:t>
                  </w:r>
                  <w:r>
                    <w:rPr>
                      <w:color w:val="000000"/>
                    </w:rPr>
                    <w:t>this</w:t>
                  </w:r>
                  <w:r>
                    <w:rPr>
                      <w:color w:val="000000"/>
                      <w:spacing w:val="-6"/>
                    </w:rPr>
                    <w:t xml:space="preserve"> </w:t>
                  </w:r>
                  <w:r>
                    <w:rPr>
                      <w:color w:val="000000"/>
                    </w:rPr>
                    <w:t>work</w:t>
                  </w:r>
                  <w:r>
                    <w:rPr>
                      <w:color w:val="000000"/>
                      <w:spacing w:val="-6"/>
                    </w:rPr>
                    <w:t xml:space="preserve"> </w:t>
                  </w:r>
                  <w:r>
                    <w:rPr>
                      <w:color w:val="000000"/>
                    </w:rPr>
                    <w:t>and available</w:t>
                  </w:r>
                  <w:r>
                    <w:rPr>
                      <w:color w:val="000000"/>
                      <w:spacing w:val="-14"/>
                    </w:rPr>
                    <w:t xml:space="preserve"> </w:t>
                  </w:r>
                  <w:r>
                    <w:rPr>
                      <w:color w:val="000000"/>
                    </w:rPr>
                    <w:t>funds,</w:t>
                  </w:r>
                  <w:r>
                    <w:rPr>
                      <w:color w:val="000000"/>
                      <w:spacing w:val="-14"/>
                    </w:rPr>
                    <w:t xml:space="preserve"> </w:t>
                  </w:r>
                  <w:r>
                    <w:rPr>
                      <w:color w:val="000000"/>
                    </w:rPr>
                    <w:t>the</w:t>
                  </w:r>
                  <w:r>
                    <w:rPr>
                      <w:color w:val="000000"/>
                      <w:spacing w:val="-14"/>
                    </w:rPr>
                    <w:t xml:space="preserve"> </w:t>
                  </w:r>
                  <w:r>
                    <w:rPr>
                      <w:color w:val="000000"/>
                    </w:rPr>
                    <w:t>CBD</w:t>
                  </w:r>
                  <w:r>
                    <w:rPr>
                      <w:color w:val="000000"/>
                      <w:spacing w:val="-14"/>
                    </w:rPr>
                    <w:t xml:space="preserve"> </w:t>
                  </w:r>
                  <w:r>
                    <w:rPr>
                      <w:color w:val="000000"/>
                    </w:rPr>
                    <w:t>BRT</w:t>
                  </w:r>
                  <w:r>
                    <w:rPr>
                      <w:color w:val="000000"/>
                      <w:spacing w:val="-14"/>
                    </w:rPr>
                    <w:t xml:space="preserve"> </w:t>
                  </w:r>
                  <w:r>
                    <w:rPr>
                      <w:color w:val="000000"/>
                    </w:rPr>
                    <w:t>could</w:t>
                  </w:r>
                  <w:r>
                    <w:rPr>
                      <w:color w:val="000000"/>
                      <w:spacing w:val="-14"/>
                    </w:rPr>
                    <w:t xml:space="preserve"> </w:t>
                  </w:r>
                  <w:r>
                    <w:rPr>
                      <w:color w:val="000000"/>
                    </w:rPr>
                    <w:t>be</w:t>
                  </w:r>
                  <w:r>
                    <w:rPr>
                      <w:color w:val="000000"/>
                      <w:spacing w:val="-14"/>
                    </w:rPr>
                    <w:t xml:space="preserve"> </w:t>
                  </w:r>
                  <w:r>
                    <w:rPr>
                      <w:color w:val="000000"/>
                    </w:rPr>
                    <w:t>delivered</w:t>
                  </w:r>
                  <w:r>
                    <w:rPr>
                      <w:color w:val="000000"/>
                      <w:spacing w:val="-14"/>
                    </w:rPr>
                    <w:t xml:space="preserve"> </w:t>
                  </w:r>
                  <w:r>
                    <w:rPr>
                      <w:color w:val="000000"/>
                    </w:rPr>
                    <w:t>in years</w:t>
                  </w:r>
                  <w:r>
                    <w:rPr>
                      <w:color w:val="000000"/>
                      <w:spacing w:val="-3"/>
                    </w:rPr>
                    <w:t xml:space="preserve"> </w:t>
                  </w:r>
                  <w:r>
                    <w:rPr>
                      <w:color w:val="000000"/>
                    </w:rPr>
                    <w:t>5-10</w:t>
                  </w:r>
                  <w:r>
                    <w:rPr>
                      <w:color w:val="000000"/>
                      <w:spacing w:val="-3"/>
                    </w:rPr>
                    <w:t xml:space="preserve"> </w:t>
                  </w:r>
                  <w:r>
                    <w:rPr>
                      <w:color w:val="000000"/>
                    </w:rPr>
                    <w:t>of</w:t>
                  </w:r>
                  <w:r>
                    <w:rPr>
                      <w:color w:val="000000"/>
                      <w:spacing w:val="-3"/>
                    </w:rPr>
                    <w:t xml:space="preserve"> </w:t>
                  </w:r>
                  <w:r>
                    <w:rPr>
                      <w:color w:val="000000"/>
                    </w:rPr>
                    <w:t>the</w:t>
                  </w:r>
                  <w:r>
                    <w:rPr>
                      <w:color w:val="000000"/>
                      <w:spacing w:val="-3"/>
                    </w:rPr>
                    <w:t xml:space="preserve"> </w:t>
                  </w:r>
                  <w:r>
                    <w:rPr>
                      <w:color w:val="000000"/>
                    </w:rPr>
                    <w:t>Strategy.</w:t>
                  </w:r>
                </w:p>
              </w:txbxContent>
            </v:textbox>
            <w10:wrap type="topAndBottom" anchorx="page"/>
          </v:shape>
        </w:pict>
      </w:r>
    </w:p>
    <w:p w:rsidR="002C1123" w:rsidRDefault="002C1123">
      <w:pPr>
        <w:pStyle w:val="BodyText"/>
        <w:spacing w:before="8"/>
        <w:rPr>
          <w:sz w:val="8"/>
        </w:rPr>
      </w:pPr>
    </w:p>
    <w:p w:rsidR="002C1123" w:rsidRDefault="00F22F94">
      <w:pPr>
        <w:pStyle w:val="Heading5"/>
        <w:numPr>
          <w:ilvl w:val="1"/>
          <w:numId w:val="92"/>
        </w:numPr>
        <w:tabs>
          <w:tab w:val="left" w:pos="637"/>
        </w:tabs>
        <w:spacing w:before="129" w:line="223" w:lineRule="auto"/>
        <w:ind w:left="636" w:right="1391"/>
        <w:jc w:val="left"/>
      </w:pPr>
      <w:r>
        <w:rPr>
          <w:b w:val="0"/>
        </w:rPr>
        <w:br w:type="column"/>
      </w:r>
      <w:r>
        <w:rPr>
          <w:color w:val="00AEEF"/>
        </w:rPr>
        <w:t>Light</w:t>
      </w:r>
      <w:r>
        <w:rPr>
          <w:color w:val="00AEEF"/>
          <w:spacing w:val="-1"/>
        </w:rPr>
        <w:t xml:space="preserve"> </w:t>
      </w:r>
      <w:r>
        <w:rPr>
          <w:color w:val="00AEEF"/>
        </w:rPr>
        <w:t>rail</w:t>
      </w:r>
      <w:r>
        <w:rPr>
          <w:color w:val="00AEEF"/>
          <w:spacing w:val="-1"/>
        </w:rPr>
        <w:t xml:space="preserve"> </w:t>
      </w:r>
      <w:r>
        <w:rPr>
          <w:color w:val="00AEEF"/>
        </w:rPr>
        <w:t>options</w:t>
      </w:r>
      <w:r>
        <w:rPr>
          <w:color w:val="00AEEF"/>
          <w:spacing w:val="-1"/>
        </w:rPr>
        <w:t xml:space="preserve"> </w:t>
      </w:r>
      <w:r>
        <w:rPr>
          <w:color w:val="00AEEF"/>
        </w:rPr>
        <w:t>and</w:t>
      </w:r>
      <w:r>
        <w:rPr>
          <w:color w:val="00AEEF"/>
          <w:spacing w:val="-1"/>
        </w:rPr>
        <w:t xml:space="preserve"> </w:t>
      </w:r>
      <w:r>
        <w:rPr>
          <w:color w:val="00AEEF"/>
        </w:rPr>
        <w:t xml:space="preserve">bus </w:t>
      </w:r>
      <w:r>
        <w:rPr>
          <w:color w:val="00AEEF"/>
          <w:w w:val="95"/>
        </w:rPr>
        <w:t>corridors</w:t>
      </w:r>
      <w:r>
        <w:rPr>
          <w:color w:val="00AEEF"/>
          <w:spacing w:val="-6"/>
          <w:w w:val="95"/>
        </w:rPr>
        <w:t xml:space="preserve"> </w:t>
      </w:r>
      <w:r>
        <w:rPr>
          <w:color w:val="00AEEF"/>
          <w:w w:val="95"/>
        </w:rPr>
        <w:t>into</w:t>
      </w:r>
      <w:r>
        <w:rPr>
          <w:color w:val="00AEEF"/>
          <w:spacing w:val="-6"/>
          <w:w w:val="95"/>
        </w:rPr>
        <w:t xml:space="preserve"> </w:t>
      </w:r>
      <w:r>
        <w:rPr>
          <w:color w:val="00AEEF"/>
          <w:w w:val="95"/>
        </w:rPr>
        <w:t>Global</w:t>
      </w:r>
      <w:r>
        <w:rPr>
          <w:color w:val="00AEEF"/>
          <w:spacing w:val="-6"/>
          <w:w w:val="95"/>
        </w:rPr>
        <w:t xml:space="preserve"> </w:t>
      </w:r>
      <w:r>
        <w:rPr>
          <w:color w:val="00AEEF"/>
          <w:w w:val="95"/>
        </w:rPr>
        <w:t>Sydney</w:t>
      </w:r>
    </w:p>
    <w:p w:rsidR="002C1123" w:rsidRDefault="00F22F94">
      <w:pPr>
        <w:pStyle w:val="Heading6"/>
        <w:numPr>
          <w:ilvl w:val="2"/>
          <w:numId w:val="92"/>
        </w:numPr>
        <w:tabs>
          <w:tab w:val="left" w:pos="727"/>
        </w:tabs>
        <w:spacing w:before="140"/>
        <w:ind w:left="726" w:hanging="540"/>
        <w:jc w:val="left"/>
        <w:rPr>
          <w:color w:val="00AEEF"/>
        </w:rPr>
      </w:pPr>
      <w:r>
        <w:rPr>
          <w:color w:val="00AEEF"/>
          <w:spacing w:val="-2"/>
        </w:rPr>
        <w:t>Anzac</w:t>
      </w:r>
      <w:r>
        <w:rPr>
          <w:color w:val="00AEEF"/>
          <w:spacing w:val="-11"/>
        </w:rPr>
        <w:t xml:space="preserve"> </w:t>
      </w:r>
      <w:r>
        <w:rPr>
          <w:color w:val="00AEEF"/>
          <w:spacing w:val="-2"/>
        </w:rPr>
        <w:t>Parade</w:t>
      </w:r>
      <w:r>
        <w:rPr>
          <w:color w:val="00AEEF"/>
          <w:spacing w:val="-11"/>
        </w:rPr>
        <w:t xml:space="preserve"> </w:t>
      </w:r>
      <w:r>
        <w:rPr>
          <w:color w:val="00AEEF"/>
          <w:spacing w:val="-2"/>
        </w:rPr>
        <w:t>Light</w:t>
      </w:r>
      <w:r>
        <w:rPr>
          <w:color w:val="00AEEF"/>
          <w:spacing w:val="-10"/>
        </w:rPr>
        <w:t xml:space="preserve"> </w:t>
      </w:r>
      <w:r>
        <w:rPr>
          <w:color w:val="00AEEF"/>
          <w:spacing w:val="-4"/>
        </w:rPr>
        <w:t>Rail</w:t>
      </w:r>
    </w:p>
    <w:p w:rsidR="002C1123" w:rsidRDefault="00F22F94">
      <w:pPr>
        <w:pStyle w:val="BodyText"/>
        <w:spacing w:before="95" w:line="249" w:lineRule="auto"/>
        <w:ind w:left="187" w:right="900"/>
      </w:pPr>
      <w:r>
        <w:t>Although</w:t>
      </w:r>
      <w:r>
        <w:rPr>
          <w:spacing w:val="-13"/>
        </w:rPr>
        <w:t xml:space="preserve"> </w:t>
      </w:r>
      <w:r>
        <w:t>CBD</w:t>
      </w:r>
      <w:r>
        <w:rPr>
          <w:spacing w:val="-13"/>
        </w:rPr>
        <w:t xml:space="preserve"> </w:t>
      </w:r>
      <w:r>
        <w:t>light</w:t>
      </w:r>
      <w:r>
        <w:rPr>
          <w:spacing w:val="-13"/>
        </w:rPr>
        <w:t xml:space="preserve"> </w:t>
      </w:r>
      <w:r>
        <w:t>rail</w:t>
      </w:r>
      <w:r>
        <w:rPr>
          <w:spacing w:val="-13"/>
        </w:rPr>
        <w:t xml:space="preserve"> </w:t>
      </w:r>
      <w:r>
        <w:t>poses</w:t>
      </w:r>
      <w:r>
        <w:rPr>
          <w:spacing w:val="-13"/>
        </w:rPr>
        <w:t xml:space="preserve"> </w:t>
      </w:r>
      <w:r>
        <w:t>difficulties,</w:t>
      </w:r>
      <w:r>
        <w:rPr>
          <w:spacing w:val="-13"/>
        </w:rPr>
        <w:t xml:space="preserve"> </w:t>
      </w:r>
      <w:r>
        <w:t>there</w:t>
      </w:r>
      <w:r>
        <w:rPr>
          <w:spacing w:val="-13"/>
        </w:rPr>
        <w:t xml:space="preserve"> </w:t>
      </w:r>
      <w:r>
        <w:t xml:space="preserve">is </w:t>
      </w:r>
      <w:r>
        <w:rPr>
          <w:w w:val="95"/>
        </w:rPr>
        <w:t>merit</w:t>
      </w:r>
      <w:r>
        <w:rPr>
          <w:spacing w:val="-7"/>
          <w:w w:val="95"/>
        </w:rPr>
        <w:t xml:space="preserve"> </w:t>
      </w:r>
      <w:r>
        <w:rPr>
          <w:w w:val="95"/>
        </w:rPr>
        <w:t>in</w:t>
      </w:r>
      <w:r>
        <w:rPr>
          <w:spacing w:val="-7"/>
          <w:w w:val="95"/>
        </w:rPr>
        <w:t xml:space="preserve"> </w:t>
      </w:r>
      <w:r>
        <w:rPr>
          <w:w w:val="95"/>
        </w:rPr>
        <w:t>considering</w:t>
      </w:r>
      <w:r>
        <w:rPr>
          <w:spacing w:val="-7"/>
          <w:w w:val="95"/>
        </w:rPr>
        <w:t xml:space="preserve"> </w:t>
      </w:r>
      <w:r>
        <w:rPr>
          <w:w w:val="95"/>
        </w:rPr>
        <w:t>the</w:t>
      </w:r>
      <w:r>
        <w:rPr>
          <w:spacing w:val="-7"/>
          <w:w w:val="95"/>
        </w:rPr>
        <w:t xml:space="preserve"> </w:t>
      </w:r>
      <w:r>
        <w:rPr>
          <w:w w:val="95"/>
        </w:rPr>
        <w:t>option</w:t>
      </w:r>
      <w:r>
        <w:rPr>
          <w:spacing w:val="-7"/>
          <w:w w:val="95"/>
        </w:rPr>
        <w:t xml:space="preserve"> </w:t>
      </w:r>
      <w:r>
        <w:rPr>
          <w:w w:val="95"/>
        </w:rPr>
        <w:t>of</w:t>
      </w:r>
      <w:r>
        <w:rPr>
          <w:spacing w:val="-7"/>
          <w:w w:val="95"/>
        </w:rPr>
        <w:t xml:space="preserve"> </w:t>
      </w:r>
      <w:r>
        <w:rPr>
          <w:w w:val="95"/>
        </w:rPr>
        <w:t>light</w:t>
      </w:r>
      <w:r>
        <w:rPr>
          <w:spacing w:val="-7"/>
          <w:w w:val="95"/>
        </w:rPr>
        <w:t xml:space="preserve"> </w:t>
      </w:r>
      <w:r>
        <w:rPr>
          <w:w w:val="95"/>
        </w:rPr>
        <w:t>rail</w:t>
      </w:r>
      <w:r>
        <w:rPr>
          <w:spacing w:val="-7"/>
          <w:w w:val="95"/>
        </w:rPr>
        <w:t xml:space="preserve"> </w:t>
      </w:r>
      <w:r>
        <w:rPr>
          <w:w w:val="95"/>
        </w:rPr>
        <w:t>from</w:t>
      </w:r>
      <w:r>
        <w:rPr>
          <w:spacing w:val="-7"/>
          <w:w w:val="95"/>
        </w:rPr>
        <w:t xml:space="preserve"> </w:t>
      </w:r>
      <w:r>
        <w:rPr>
          <w:w w:val="95"/>
        </w:rPr>
        <w:t xml:space="preserve">Central </w:t>
      </w:r>
      <w:r>
        <w:t>Station</w:t>
      </w:r>
      <w:r>
        <w:rPr>
          <w:spacing w:val="-11"/>
        </w:rPr>
        <w:t xml:space="preserve"> </w:t>
      </w:r>
      <w:r>
        <w:t>to</w:t>
      </w:r>
      <w:r>
        <w:rPr>
          <w:spacing w:val="-11"/>
        </w:rPr>
        <w:t xml:space="preserve"> </w:t>
      </w:r>
      <w:r>
        <w:t>the</w:t>
      </w:r>
      <w:r>
        <w:rPr>
          <w:spacing w:val="-11"/>
        </w:rPr>
        <w:t xml:space="preserve"> </w:t>
      </w:r>
      <w:r>
        <w:t>Moore</w:t>
      </w:r>
      <w:r>
        <w:rPr>
          <w:spacing w:val="-11"/>
        </w:rPr>
        <w:t xml:space="preserve"> </w:t>
      </w:r>
      <w:r>
        <w:t>Park</w:t>
      </w:r>
      <w:r>
        <w:rPr>
          <w:spacing w:val="-11"/>
        </w:rPr>
        <w:t xml:space="preserve"> </w:t>
      </w:r>
      <w:r>
        <w:t>recreational</w:t>
      </w:r>
      <w:r>
        <w:rPr>
          <w:spacing w:val="-11"/>
        </w:rPr>
        <w:t xml:space="preserve"> </w:t>
      </w:r>
      <w:r>
        <w:t>precinct,</w:t>
      </w:r>
      <w:r>
        <w:rPr>
          <w:spacing w:val="-11"/>
        </w:rPr>
        <w:t xml:space="preserve"> </w:t>
      </w:r>
      <w:r>
        <w:t>the</w:t>
      </w:r>
    </w:p>
    <w:p w:rsidR="002C1123" w:rsidRDefault="00F22F94">
      <w:pPr>
        <w:pStyle w:val="BodyText"/>
        <w:spacing w:before="2" w:line="249" w:lineRule="auto"/>
        <w:ind w:left="187" w:right="796"/>
      </w:pPr>
      <w:r>
        <w:rPr>
          <w:w w:val="95"/>
        </w:rPr>
        <w:t>University</w:t>
      </w:r>
      <w:r>
        <w:rPr>
          <w:spacing w:val="-10"/>
          <w:w w:val="95"/>
        </w:rPr>
        <w:t xml:space="preserve"> </w:t>
      </w:r>
      <w:r>
        <w:rPr>
          <w:w w:val="95"/>
        </w:rPr>
        <w:t>of</w:t>
      </w:r>
      <w:r>
        <w:rPr>
          <w:spacing w:val="-10"/>
          <w:w w:val="95"/>
        </w:rPr>
        <w:t xml:space="preserve"> </w:t>
      </w:r>
      <w:r>
        <w:rPr>
          <w:w w:val="95"/>
        </w:rPr>
        <w:t>New</w:t>
      </w:r>
      <w:r>
        <w:rPr>
          <w:spacing w:val="-10"/>
          <w:w w:val="95"/>
        </w:rPr>
        <w:t xml:space="preserve"> </w:t>
      </w:r>
      <w:r>
        <w:rPr>
          <w:w w:val="95"/>
        </w:rPr>
        <w:t>South</w:t>
      </w:r>
      <w:r>
        <w:rPr>
          <w:spacing w:val="-10"/>
          <w:w w:val="95"/>
        </w:rPr>
        <w:t xml:space="preserve"> </w:t>
      </w:r>
      <w:r>
        <w:rPr>
          <w:w w:val="95"/>
        </w:rPr>
        <w:t>Wales</w:t>
      </w:r>
      <w:r>
        <w:rPr>
          <w:spacing w:val="-10"/>
          <w:w w:val="95"/>
        </w:rPr>
        <w:t xml:space="preserve"> </w:t>
      </w:r>
      <w:r>
        <w:rPr>
          <w:w w:val="95"/>
        </w:rPr>
        <w:t>and</w:t>
      </w:r>
      <w:r>
        <w:rPr>
          <w:spacing w:val="-10"/>
          <w:w w:val="95"/>
        </w:rPr>
        <w:t xml:space="preserve"> </w:t>
      </w:r>
      <w:r>
        <w:rPr>
          <w:w w:val="95"/>
        </w:rPr>
        <w:t>the</w:t>
      </w:r>
      <w:r>
        <w:rPr>
          <w:spacing w:val="-10"/>
          <w:w w:val="95"/>
        </w:rPr>
        <w:t xml:space="preserve"> </w:t>
      </w:r>
      <w:r>
        <w:rPr>
          <w:w w:val="95"/>
        </w:rPr>
        <w:t>Prince</w:t>
      </w:r>
      <w:r>
        <w:rPr>
          <w:spacing w:val="-10"/>
          <w:w w:val="95"/>
        </w:rPr>
        <w:t xml:space="preserve"> </w:t>
      </w:r>
      <w:r>
        <w:rPr>
          <w:w w:val="95"/>
        </w:rPr>
        <w:t>of</w:t>
      </w:r>
      <w:r>
        <w:rPr>
          <w:spacing w:val="-10"/>
          <w:w w:val="95"/>
        </w:rPr>
        <w:t xml:space="preserve"> </w:t>
      </w:r>
      <w:r>
        <w:rPr>
          <w:w w:val="95"/>
        </w:rPr>
        <w:t xml:space="preserve">Wales </w:t>
      </w:r>
      <w:r>
        <w:t>Hospital</w:t>
      </w:r>
      <w:r>
        <w:rPr>
          <w:spacing w:val="-11"/>
        </w:rPr>
        <w:t xml:space="preserve"> </w:t>
      </w:r>
      <w:r>
        <w:t>precinct.</w:t>
      </w:r>
    </w:p>
    <w:p w:rsidR="002C1123" w:rsidRDefault="00F22F94">
      <w:pPr>
        <w:pStyle w:val="BodyText"/>
        <w:spacing w:before="144" w:line="249" w:lineRule="auto"/>
        <w:ind w:left="187" w:right="891"/>
      </w:pPr>
      <w:r>
        <w:rPr>
          <w:w w:val="95"/>
        </w:rPr>
        <w:t>Concerns</w:t>
      </w:r>
      <w:r>
        <w:rPr>
          <w:spacing w:val="-4"/>
          <w:w w:val="95"/>
        </w:rPr>
        <w:t xml:space="preserve"> </w:t>
      </w:r>
      <w:r>
        <w:rPr>
          <w:w w:val="95"/>
        </w:rPr>
        <w:t>with</w:t>
      </w:r>
      <w:r>
        <w:rPr>
          <w:spacing w:val="-4"/>
          <w:w w:val="95"/>
        </w:rPr>
        <w:t xml:space="preserve"> </w:t>
      </w:r>
      <w:r>
        <w:rPr>
          <w:w w:val="95"/>
        </w:rPr>
        <w:t>current</w:t>
      </w:r>
      <w:r>
        <w:rPr>
          <w:spacing w:val="-4"/>
          <w:w w:val="95"/>
        </w:rPr>
        <w:t xml:space="preserve"> </w:t>
      </w:r>
      <w:r>
        <w:rPr>
          <w:w w:val="95"/>
        </w:rPr>
        <w:t>bus</w:t>
      </w:r>
      <w:r>
        <w:rPr>
          <w:spacing w:val="-4"/>
          <w:w w:val="95"/>
        </w:rPr>
        <w:t xml:space="preserve"> </w:t>
      </w:r>
      <w:r>
        <w:rPr>
          <w:w w:val="95"/>
        </w:rPr>
        <w:t>services</w:t>
      </w:r>
      <w:r>
        <w:rPr>
          <w:spacing w:val="-4"/>
          <w:w w:val="95"/>
        </w:rPr>
        <w:t xml:space="preserve"> </w:t>
      </w:r>
      <w:r>
        <w:rPr>
          <w:w w:val="95"/>
        </w:rPr>
        <w:t>on</w:t>
      </w:r>
      <w:r>
        <w:rPr>
          <w:spacing w:val="-4"/>
          <w:w w:val="95"/>
        </w:rPr>
        <w:t xml:space="preserve"> </w:t>
      </w:r>
      <w:r>
        <w:rPr>
          <w:w w:val="95"/>
        </w:rPr>
        <w:t>this</w:t>
      </w:r>
      <w:r>
        <w:rPr>
          <w:spacing w:val="-4"/>
          <w:w w:val="95"/>
        </w:rPr>
        <w:t xml:space="preserve"> </w:t>
      </w:r>
      <w:r>
        <w:rPr>
          <w:w w:val="95"/>
        </w:rPr>
        <w:t>route</w:t>
      </w:r>
      <w:r>
        <w:rPr>
          <w:spacing w:val="-4"/>
          <w:w w:val="95"/>
        </w:rPr>
        <w:t xml:space="preserve"> </w:t>
      </w:r>
      <w:r>
        <w:rPr>
          <w:w w:val="95"/>
        </w:rPr>
        <w:t xml:space="preserve">relate </w:t>
      </w:r>
      <w:r>
        <w:t>to</w:t>
      </w:r>
      <w:r>
        <w:rPr>
          <w:spacing w:val="-6"/>
        </w:rPr>
        <w:t xml:space="preserve"> </w:t>
      </w:r>
      <w:r>
        <w:t>crowding,</w:t>
      </w:r>
      <w:r>
        <w:rPr>
          <w:spacing w:val="-6"/>
        </w:rPr>
        <w:t xml:space="preserve"> </w:t>
      </w:r>
      <w:r>
        <w:t>congestion</w:t>
      </w:r>
      <w:r>
        <w:rPr>
          <w:spacing w:val="-6"/>
        </w:rPr>
        <w:t xml:space="preserve"> </w:t>
      </w:r>
      <w:r>
        <w:t>and</w:t>
      </w:r>
      <w:r>
        <w:rPr>
          <w:spacing w:val="-6"/>
        </w:rPr>
        <w:t xml:space="preserve"> </w:t>
      </w:r>
      <w:r>
        <w:t>inadequate</w:t>
      </w:r>
      <w:r>
        <w:rPr>
          <w:spacing w:val="-6"/>
        </w:rPr>
        <w:t xml:space="preserve"> </w:t>
      </w:r>
      <w:r>
        <w:t xml:space="preserve">shelters, </w:t>
      </w:r>
      <w:r>
        <w:rPr>
          <w:w w:val="95"/>
        </w:rPr>
        <w:t>particularly</w:t>
      </w:r>
      <w:r>
        <w:rPr>
          <w:spacing w:val="-1"/>
          <w:w w:val="95"/>
        </w:rPr>
        <w:t xml:space="preserve"> </w:t>
      </w:r>
      <w:r>
        <w:rPr>
          <w:w w:val="95"/>
        </w:rPr>
        <w:t>at</w:t>
      </w:r>
      <w:r>
        <w:rPr>
          <w:spacing w:val="-1"/>
          <w:w w:val="95"/>
        </w:rPr>
        <w:t xml:space="preserve"> </w:t>
      </w:r>
      <w:r>
        <w:rPr>
          <w:w w:val="95"/>
        </w:rPr>
        <w:t>Central</w:t>
      </w:r>
      <w:r>
        <w:rPr>
          <w:spacing w:val="-1"/>
          <w:w w:val="95"/>
        </w:rPr>
        <w:t xml:space="preserve"> </w:t>
      </w:r>
      <w:r>
        <w:rPr>
          <w:w w:val="95"/>
        </w:rPr>
        <w:t>and</w:t>
      </w:r>
      <w:r>
        <w:rPr>
          <w:spacing w:val="-1"/>
          <w:w w:val="95"/>
        </w:rPr>
        <w:t xml:space="preserve"> </w:t>
      </w:r>
      <w:r>
        <w:rPr>
          <w:w w:val="95"/>
        </w:rPr>
        <w:t>the</w:t>
      </w:r>
      <w:r>
        <w:rPr>
          <w:spacing w:val="-1"/>
          <w:w w:val="95"/>
        </w:rPr>
        <w:t xml:space="preserve"> </w:t>
      </w:r>
      <w:r>
        <w:rPr>
          <w:w w:val="95"/>
        </w:rPr>
        <w:t>University.</w:t>
      </w:r>
      <w:r>
        <w:rPr>
          <w:spacing w:val="-1"/>
          <w:w w:val="95"/>
        </w:rPr>
        <w:t xml:space="preserve"> </w:t>
      </w:r>
      <w:r>
        <w:rPr>
          <w:w w:val="95"/>
        </w:rPr>
        <w:t>There</w:t>
      </w:r>
      <w:r>
        <w:rPr>
          <w:spacing w:val="-1"/>
          <w:w w:val="95"/>
        </w:rPr>
        <w:t xml:space="preserve"> </w:t>
      </w:r>
      <w:r>
        <w:rPr>
          <w:w w:val="95"/>
        </w:rPr>
        <w:t>is</w:t>
      </w:r>
      <w:r>
        <w:rPr>
          <w:spacing w:val="-1"/>
          <w:w w:val="95"/>
        </w:rPr>
        <w:t xml:space="preserve"> </w:t>
      </w:r>
      <w:r>
        <w:rPr>
          <w:w w:val="95"/>
        </w:rPr>
        <w:t xml:space="preserve">also </w:t>
      </w:r>
      <w:r>
        <w:t>a</w:t>
      </w:r>
      <w:r>
        <w:rPr>
          <w:spacing w:val="-14"/>
        </w:rPr>
        <w:t xml:space="preserve"> </w:t>
      </w:r>
      <w:r>
        <w:t>desire</w:t>
      </w:r>
      <w:r>
        <w:rPr>
          <w:spacing w:val="-14"/>
        </w:rPr>
        <w:t xml:space="preserve"> </w:t>
      </w:r>
      <w:r>
        <w:t>for</w:t>
      </w:r>
      <w:r>
        <w:rPr>
          <w:spacing w:val="-14"/>
        </w:rPr>
        <w:t xml:space="preserve"> </w:t>
      </w:r>
      <w:r>
        <w:t>faster</w:t>
      </w:r>
      <w:r>
        <w:rPr>
          <w:spacing w:val="-14"/>
        </w:rPr>
        <w:t xml:space="preserve"> </w:t>
      </w:r>
      <w:r>
        <w:t>and</w:t>
      </w:r>
      <w:r>
        <w:rPr>
          <w:spacing w:val="-14"/>
        </w:rPr>
        <w:t xml:space="preserve"> </w:t>
      </w:r>
      <w:r>
        <w:t>more</w:t>
      </w:r>
      <w:r>
        <w:rPr>
          <w:spacing w:val="-14"/>
        </w:rPr>
        <w:t xml:space="preserve"> </w:t>
      </w:r>
      <w:r>
        <w:t>reliable</w:t>
      </w:r>
      <w:r>
        <w:rPr>
          <w:spacing w:val="-14"/>
        </w:rPr>
        <w:t xml:space="preserve"> </w:t>
      </w:r>
      <w:r>
        <w:t>journey</w:t>
      </w:r>
      <w:r>
        <w:rPr>
          <w:spacing w:val="-14"/>
        </w:rPr>
        <w:t xml:space="preserve"> </w:t>
      </w:r>
      <w:r>
        <w:t>times.</w:t>
      </w:r>
    </w:p>
    <w:p w:rsidR="002C1123" w:rsidRDefault="00F22F94">
      <w:pPr>
        <w:pStyle w:val="BodyText"/>
        <w:spacing w:before="3" w:line="249" w:lineRule="auto"/>
        <w:ind w:left="187" w:right="796"/>
      </w:pPr>
      <w:r>
        <w:t>Irregular</w:t>
      </w:r>
      <w:r>
        <w:rPr>
          <w:spacing w:val="-14"/>
        </w:rPr>
        <w:t xml:space="preserve"> </w:t>
      </w:r>
      <w:r>
        <w:t>service</w:t>
      </w:r>
      <w:r>
        <w:rPr>
          <w:spacing w:val="-14"/>
        </w:rPr>
        <w:t xml:space="preserve"> </w:t>
      </w:r>
      <w:r>
        <w:t>intervals</w:t>
      </w:r>
      <w:r>
        <w:rPr>
          <w:spacing w:val="-14"/>
        </w:rPr>
        <w:t xml:space="preserve"> </w:t>
      </w:r>
      <w:r>
        <w:t>create</w:t>
      </w:r>
      <w:r>
        <w:rPr>
          <w:spacing w:val="-14"/>
        </w:rPr>
        <w:t xml:space="preserve"> </w:t>
      </w:r>
      <w:r>
        <w:t>queuing</w:t>
      </w:r>
      <w:r>
        <w:rPr>
          <w:spacing w:val="-14"/>
        </w:rPr>
        <w:t xml:space="preserve"> </w:t>
      </w:r>
      <w:r>
        <w:t>and</w:t>
      </w:r>
      <w:r>
        <w:rPr>
          <w:spacing w:val="-14"/>
        </w:rPr>
        <w:t xml:space="preserve"> </w:t>
      </w:r>
      <w:r>
        <w:t>add</w:t>
      </w:r>
      <w:r>
        <w:rPr>
          <w:spacing w:val="-14"/>
        </w:rPr>
        <w:t xml:space="preserve"> </w:t>
      </w:r>
      <w:r>
        <w:t xml:space="preserve">to </w:t>
      </w:r>
      <w:r>
        <w:rPr>
          <w:w w:val="95"/>
        </w:rPr>
        <w:t>waiting</w:t>
      </w:r>
      <w:r>
        <w:rPr>
          <w:spacing w:val="-3"/>
          <w:w w:val="95"/>
        </w:rPr>
        <w:t xml:space="preserve"> </w:t>
      </w:r>
      <w:r>
        <w:rPr>
          <w:w w:val="95"/>
        </w:rPr>
        <w:t>times</w:t>
      </w:r>
      <w:r>
        <w:rPr>
          <w:spacing w:val="-3"/>
          <w:w w:val="95"/>
        </w:rPr>
        <w:t xml:space="preserve"> </w:t>
      </w:r>
      <w:r>
        <w:rPr>
          <w:w w:val="95"/>
        </w:rPr>
        <w:t>and</w:t>
      </w:r>
      <w:r>
        <w:rPr>
          <w:spacing w:val="-3"/>
          <w:w w:val="95"/>
        </w:rPr>
        <w:t xml:space="preserve"> </w:t>
      </w:r>
      <w:r>
        <w:rPr>
          <w:w w:val="95"/>
        </w:rPr>
        <w:t>congestion.</w:t>
      </w:r>
      <w:r>
        <w:rPr>
          <w:spacing w:val="-3"/>
          <w:w w:val="95"/>
        </w:rPr>
        <w:t xml:space="preserve"> </w:t>
      </w:r>
      <w:r>
        <w:rPr>
          <w:w w:val="95"/>
        </w:rPr>
        <w:t>A</w:t>
      </w:r>
      <w:r>
        <w:rPr>
          <w:spacing w:val="-3"/>
          <w:w w:val="95"/>
        </w:rPr>
        <w:t xml:space="preserve"> </w:t>
      </w:r>
      <w:r>
        <w:rPr>
          <w:w w:val="95"/>
        </w:rPr>
        <w:t>2007</w:t>
      </w:r>
      <w:r>
        <w:rPr>
          <w:spacing w:val="-3"/>
          <w:w w:val="95"/>
        </w:rPr>
        <w:t xml:space="preserve"> </w:t>
      </w:r>
      <w:r>
        <w:rPr>
          <w:w w:val="95"/>
        </w:rPr>
        <w:t>study</w:t>
      </w:r>
      <w:r>
        <w:rPr>
          <w:spacing w:val="-3"/>
          <w:w w:val="95"/>
        </w:rPr>
        <w:t xml:space="preserve"> </w:t>
      </w:r>
      <w:r>
        <w:rPr>
          <w:w w:val="95"/>
        </w:rPr>
        <w:t>identified</w:t>
      </w:r>
      <w:r>
        <w:rPr>
          <w:spacing w:val="-3"/>
          <w:w w:val="95"/>
        </w:rPr>
        <w:t xml:space="preserve"> </w:t>
      </w:r>
      <w:r>
        <w:rPr>
          <w:w w:val="95"/>
        </w:rPr>
        <w:t xml:space="preserve">a range of operational failings at major sites on the route </w:t>
      </w:r>
      <w:r>
        <w:t>contributing</w:t>
      </w:r>
      <w:r>
        <w:rPr>
          <w:spacing w:val="-14"/>
        </w:rPr>
        <w:t xml:space="preserve"> </w:t>
      </w:r>
      <w:r>
        <w:t>to</w:t>
      </w:r>
      <w:r>
        <w:rPr>
          <w:spacing w:val="-14"/>
        </w:rPr>
        <w:t xml:space="preserve"> </w:t>
      </w:r>
      <w:r>
        <w:t>passenger</w:t>
      </w:r>
      <w:r>
        <w:rPr>
          <w:spacing w:val="-14"/>
        </w:rPr>
        <w:t xml:space="preserve"> </w:t>
      </w:r>
      <w:r>
        <w:t>confusion,</w:t>
      </w:r>
      <w:r>
        <w:rPr>
          <w:spacing w:val="-14"/>
        </w:rPr>
        <w:t xml:space="preserve"> </w:t>
      </w:r>
      <w:r>
        <w:t>boarding</w:t>
      </w:r>
      <w:r>
        <w:rPr>
          <w:spacing w:val="-14"/>
        </w:rPr>
        <w:t xml:space="preserve"> </w:t>
      </w:r>
      <w:r>
        <w:t>delays and hence greater congestion</w:t>
      </w:r>
      <w:r>
        <w:rPr>
          <w:position w:val="7"/>
          <w:sz w:val="11"/>
        </w:rPr>
        <w:t>14</w:t>
      </w:r>
      <w:r>
        <w:t>.</w:t>
      </w:r>
    </w:p>
    <w:p w:rsidR="002C1123" w:rsidRDefault="00F22F94">
      <w:pPr>
        <w:pStyle w:val="BodyText"/>
        <w:spacing w:before="146" w:line="249" w:lineRule="auto"/>
        <w:ind w:left="187" w:right="636"/>
      </w:pPr>
      <w:r>
        <w:t>From</w:t>
      </w:r>
      <w:r>
        <w:rPr>
          <w:spacing w:val="-14"/>
        </w:rPr>
        <w:t xml:space="preserve"> </w:t>
      </w:r>
      <w:r>
        <w:t>an</w:t>
      </w:r>
      <w:r>
        <w:rPr>
          <w:spacing w:val="-14"/>
        </w:rPr>
        <w:t xml:space="preserve"> </w:t>
      </w:r>
      <w:r>
        <w:t>engineering</w:t>
      </w:r>
      <w:r>
        <w:rPr>
          <w:spacing w:val="-14"/>
        </w:rPr>
        <w:t xml:space="preserve"> </w:t>
      </w:r>
      <w:r>
        <w:t>and</w:t>
      </w:r>
      <w:r>
        <w:rPr>
          <w:spacing w:val="-14"/>
        </w:rPr>
        <w:t xml:space="preserve"> </w:t>
      </w:r>
      <w:r>
        <w:t>operational</w:t>
      </w:r>
      <w:r>
        <w:rPr>
          <w:spacing w:val="-14"/>
        </w:rPr>
        <w:t xml:space="preserve"> </w:t>
      </w:r>
      <w:r>
        <w:t>perspective, delivering</w:t>
      </w:r>
      <w:r>
        <w:rPr>
          <w:spacing w:val="-14"/>
        </w:rPr>
        <w:t xml:space="preserve"> </w:t>
      </w:r>
      <w:r>
        <w:t>light</w:t>
      </w:r>
      <w:r>
        <w:rPr>
          <w:spacing w:val="-14"/>
        </w:rPr>
        <w:t xml:space="preserve"> </w:t>
      </w:r>
      <w:r>
        <w:t>rail</w:t>
      </w:r>
      <w:r>
        <w:rPr>
          <w:spacing w:val="-14"/>
        </w:rPr>
        <w:t xml:space="preserve"> </w:t>
      </w:r>
      <w:r>
        <w:t>on</w:t>
      </w:r>
      <w:r>
        <w:rPr>
          <w:spacing w:val="-14"/>
        </w:rPr>
        <w:t xml:space="preserve"> </w:t>
      </w:r>
      <w:r>
        <w:t>the</w:t>
      </w:r>
      <w:r>
        <w:rPr>
          <w:spacing w:val="-14"/>
        </w:rPr>
        <w:t xml:space="preserve"> </w:t>
      </w:r>
      <w:r>
        <w:t>Anzac</w:t>
      </w:r>
      <w:r>
        <w:rPr>
          <w:spacing w:val="-14"/>
        </w:rPr>
        <w:t xml:space="preserve"> </w:t>
      </w:r>
      <w:r>
        <w:t>Parade</w:t>
      </w:r>
      <w:r>
        <w:rPr>
          <w:spacing w:val="-14"/>
        </w:rPr>
        <w:t xml:space="preserve"> </w:t>
      </w:r>
      <w:r>
        <w:t>corridor</w:t>
      </w:r>
      <w:r>
        <w:rPr>
          <w:spacing w:val="-14"/>
        </w:rPr>
        <w:t xml:space="preserve"> </w:t>
      </w:r>
      <w:r>
        <w:t>is</w:t>
      </w:r>
      <w:r>
        <w:rPr>
          <w:spacing w:val="-14"/>
        </w:rPr>
        <w:t xml:space="preserve"> </w:t>
      </w:r>
      <w:r>
        <w:t>less challenging</w:t>
      </w:r>
      <w:r>
        <w:rPr>
          <w:spacing w:val="-14"/>
        </w:rPr>
        <w:t xml:space="preserve"> </w:t>
      </w:r>
      <w:r>
        <w:t>than</w:t>
      </w:r>
      <w:r>
        <w:rPr>
          <w:spacing w:val="-14"/>
        </w:rPr>
        <w:t xml:space="preserve"> </w:t>
      </w:r>
      <w:r>
        <w:t>the</w:t>
      </w:r>
      <w:r>
        <w:rPr>
          <w:spacing w:val="-14"/>
        </w:rPr>
        <w:t xml:space="preserve"> </w:t>
      </w:r>
      <w:r>
        <w:t>CBD</w:t>
      </w:r>
      <w:r>
        <w:rPr>
          <w:spacing w:val="-14"/>
        </w:rPr>
        <w:t xml:space="preserve"> </w:t>
      </w:r>
      <w:r>
        <w:t>environment,</w:t>
      </w:r>
      <w:r>
        <w:rPr>
          <w:spacing w:val="-14"/>
        </w:rPr>
        <w:t xml:space="preserve"> </w:t>
      </w:r>
      <w:r>
        <w:t>offering</w:t>
      </w:r>
      <w:r>
        <w:rPr>
          <w:spacing w:val="-14"/>
        </w:rPr>
        <w:t xml:space="preserve"> </w:t>
      </w:r>
      <w:r>
        <w:t>a</w:t>
      </w:r>
      <w:r>
        <w:rPr>
          <w:spacing w:val="-14"/>
        </w:rPr>
        <w:t xml:space="preserve"> </w:t>
      </w:r>
      <w:r>
        <w:t xml:space="preserve">flat </w:t>
      </w:r>
      <w:r>
        <w:rPr>
          <w:w w:val="95"/>
        </w:rPr>
        <w:t>route</w:t>
      </w:r>
      <w:r>
        <w:rPr>
          <w:spacing w:val="-6"/>
          <w:w w:val="95"/>
        </w:rPr>
        <w:t xml:space="preserve"> </w:t>
      </w:r>
      <w:r>
        <w:rPr>
          <w:w w:val="95"/>
        </w:rPr>
        <w:t>(as</w:t>
      </w:r>
      <w:r>
        <w:rPr>
          <w:spacing w:val="-6"/>
          <w:w w:val="95"/>
        </w:rPr>
        <w:t xml:space="preserve"> </w:t>
      </w:r>
      <w:r>
        <w:rPr>
          <w:w w:val="95"/>
        </w:rPr>
        <w:t>far</w:t>
      </w:r>
      <w:r>
        <w:rPr>
          <w:spacing w:val="-6"/>
          <w:w w:val="95"/>
        </w:rPr>
        <w:t xml:space="preserve"> </w:t>
      </w:r>
      <w:r>
        <w:rPr>
          <w:w w:val="95"/>
        </w:rPr>
        <w:t>as</w:t>
      </w:r>
      <w:r>
        <w:rPr>
          <w:spacing w:val="-6"/>
          <w:w w:val="95"/>
        </w:rPr>
        <w:t xml:space="preserve"> </w:t>
      </w:r>
      <w:r>
        <w:rPr>
          <w:w w:val="95"/>
        </w:rPr>
        <w:t>Moore</w:t>
      </w:r>
      <w:r>
        <w:rPr>
          <w:spacing w:val="-6"/>
          <w:w w:val="95"/>
        </w:rPr>
        <w:t xml:space="preserve"> </w:t>
      </w:r>
      <w:r>
        <w:rPr>
          <w:w w:val="95"/>
        </w:rPr>
        <w:t>Park</w:t>
      </w:r>
      <w:r>
        <w:rPr>
          <w:spacing w:val="-6"/>
          <w:w w:val="95"/>
        </w:rPr>
        <w:t xml:space="preserve"> </w:t>
      </w:r>
      <w:r>
        <w:rPr>
          <w:w w:val="95"/>
        </w:rPr>
        <w:t>inbound)</w:t>
      </w:r>
      <w:r>
        <w:rPr>
          <w:spacing w:val="-6"/>
          <w:w w:val="95"/>
        </w:rPr>
        <w:t xml:space="preserve"> </w:t>
      </w:r>
      <w:r>
        <w:rPr>
          <w:w w:val="95"/>
        </w:rPr>
        <w:t>and</w:t>
      </w:r>
      <w:r>
        <w:rPr>
          <w:spacing w:val="-6"/>
          <w:w w:val="95"/>
        </w:rPr>
        <w:t xml:space="preserve"> </w:t>
      </w:r>
      <w:r>
        <w:rPr>
          <w:w w:val="95"/>
        </w:rPr>
        <w:t>the</w:t>
      </w:r>
      <w:r>
        <w:rPr>
          <w:spacing w:val="-6"/>
          <w:w w:val="95"/>
        </w:rPr>
        <w:t xml:space="preserve"> </w:t>
      </w:r>
      <w:r>
        <w:rPr>
          <w:w w:val="95"/>
        </w:rPr>
        <w:t xml:space="preserve">opportunity </w:t>
      </w:r>
      <w:r>
        <w:t>to</w:t>
      </w:r>
      <w:r>
        <w:rPr>
          <w:spacing w:val="-15"/>
        </w:rPr>
        <w:t xml:space="preserve"> </w:t>
      </w:r>
      <w:r>
        <w:t>re-use</w:t>
      </w:r>
      <w:r>
        <w:rPr>
          <w:spacing w:val="-13"/>
        </w:rPr>
        <w:t xml:space="preserve"> </w:t>
      </w:r>
      <w:r>
        <w:t>the</w:t>
      </w:r>
      <w:r>
        <w:rPr>
          <w:spacing w:val="-13"/>
        </w:rPr>
        <w:t xml:space="preserve"> </w:t>
      </w:r>
      <w:r>
        <w:t>segregated</w:t>
      </w:r>
      <w:r>
        <w:rPr>
          <w:spacing w:val="-13"/>
        </w:rPr>
        <w:t xml:space="preserve"> </w:t>
      </w:r>
      <w:r>
        <w:t>alignment</w:t>
      </w:r>
      <w:r>
        <w:rPr>
          <w:spacing w:val="-13"/>
        </w:rPr>
        <w:t xml:space="preserve"> </w:t>
      </w:r>
      <w:r>
        <w:t>used</w:t>
      </w:r>
      <w:r>
        <w:rPr>
          <w:spacing w:val="-13"/>
        </w:rPr>
        <w:t xml:space="preserve"> </w:t>
      </w:r>
      <w:r>
        <w:t>by</w:t>
      </w:r>
      <w:r>
        <w:rPr>
          <w:spacing w:val="-13"/>
        </w:rPr>
        <w:t xml:space="preserve"> </w:t>
      </w:r>
      <w:r>
        <w:t>light</w:t>
      </w:r>
      <w:r>
        <w:rPr>
          <w:spacing w:val="-13"/>
        </w:rPr>
        <w:t xml:space="preserve"> </w:t>
      </w:r>
      <w:r>
        <w:t>rail</w:t>
      </w:r>
    </w:p>
    <w:p w:rsidR="002C1123" w:rsidRDefault="00F22F94">
      <w:pPr>
        <w:pStyle w:val="BodyText"/>
        <w:spacing w:before="4"/>
        <w:ind w:left="187"/>
      </w:pPr>
      <w:r>
        <w:rPr>
          <w:w w:val="90"/>
        </w:rPr>
        <w:t>until</w:t>
      </w:r>
      <w:r>
        <w:t xml:space="preserve"> </w:t>
      </w:r>
      <w:r>
        <w:rPr>
          <w:spacing w:val="-2"/>
        </w:rPr>
        <w:t>1961.</w:t>
      </w:r>
    </w:p>
    <w:p w:rsidR="002C1123" w:rsidRDefault="00F22F94">
      <w:pPr>
        <w:pStyle w:val="BodyText"/>
        <w:spacing w:before="152" w:line="249" w:lineRule="auto"/>
        <w:ind w:left="187" w:right="825"/>
      </w:pPr>
      <w:r>
        <w:rPr>
          <w:w w:val="95"/>
        </w:rPr>
        <w:t xml:space="preserve">Attempting to serve the mass commuter market from </w:t>
      </w:r>
      <w:r>
        <w:t>this</w:t>
      </w:r>
      <w:r>
        <w:rPr>
          <w:spacing w:val="-8"/>
        </w:rPr>
        <w:t xml:space="preserve"> </w:t>
      </w:r>
      <w:r>
        <w:t>proposed</w:t>
      </w:r>
      <w:r>
        <w:rPr>
          <w:spacing w:val="-8"/>
        </w:rPr>
        <w:t xml:space="preserve"> </w:t>
      </w:r>
      <w:r>
        <w:t>corridor,</w:t>
      </w:r>
      <w:r>
        <w:rPr>
          <w:spacing w:val="-8"/>
        </w:rPr>
        <w:t xml:space="preserve"> </w:t>
      </w:r>
      <w:r>
        <w:t>presents</w:t>
      </w:r>
      <w:r>
        <w:rPr>
          <w:spacing w:val="-8"/>
        </w:rPr>
        <w:t xml:space="preserve"> </w:t>
      </w:r>
      <w:r>
        <w:t>major</w:t>
      </w:r>
      <w:r>
        <w:rPr>
          <w:spacing w:val="-8"/>
        </w:rPr>
        <w:t xml:space="preserve"> </w:t>
      </w:r>
      <w:r>
        <w:t>challenges.</w:t>
      </w:r>
    </w:p>
    <w:p w:rsidR="002C1123" w:rsidRDefault="00F22F94">
      <w:pPr>
        <w:pStyle w:val="BodyText"/>
        <w:spacing w:before="1" w:line="249" w:lineRule="auto"/>
        <w:ind w:left="187" w:right="1022"/>
      </w:pPr>
      <w:r>
        <w:rPr>
          <w:w w:val="95"/>
        </w:rPr>
        <w:t>It</w:t>
      </w:r>
      <w:r>
        <w:rPr>
          <w:spacing w:val="-4"/>
          <w:w w:val="95"/>
        </w:rPr>
        <w:t xml:space="preserve"> </w:t>
      </w:r>
      <w:r>
        <w:rPr>
          <w:w w:val="95"/>
        </w:rPr>
        <w:t>would</w:t>
      </w:r>
      <w:r>
        <w:rPr>
          <w:spacing w:val="-4"/>
          <w:w w:val="95"/>
        </w:rPr>
        <w:t xml:space="preserve"> </w:t>
      </w:r>
      <w:r>
        <w:rPr>
          <w:w w:val="95"/>
        </w:rPr>
        <w:t>be</w:t>
      </w:r>
      <w:r>
        <w:rPr>
          <w:spacing w:val="-4"/>
          <w:w w:val="95"/>
        </w:rPr>
        <w:t xml:space="preserve"> </w:t>
      </w:r>
      <w:r>
        <w:rPr>
          <w:w w:val="95"/>
        </w:rPr>
        <w:t>difficult</w:t>
      </w:r>
      <w:r>
        <w:rPr>
          <w:spacing w:val="-4"/>
          <w:w w:val="95"/>
        </w:rPr>
        <w:t xml:space="preserve"> </w:t>
      </w:r>
      <w:r>
        <w:rPr>
          <w:w w:val="95"/>
        </w:rPr>
        <w:t>to</w:t>
      </w:r>
      <w:r>
        <w:rPr>
          <w:spacing w:val="-4"/>
          <w:w w:val="95"/>
        </w:rPr>
        <w:t xml:space="preserve"> </w:t>
      </w:r>
      <w:r>
        <w:rPr>
          <w:w w:val="95"/>
        </w:rPr>
        <w:t>match</w:t>
      </w:r>
      <w:r>
        <w:rPr>
          <w:spacing w:val="-4"/>
          <w:w w:val="95"/>
        </w:rPr>
        <w:t xml:space="preserve"> </w:t>
      </w:r>
      <w:r>
        <w:rPr>
          <w:w w:val="95"/>
        </w:rPr>
        <w:t>current</w:t>
      </w:r>
      <w:r>
        <w:rPr>
          <w:spacing w:val="-4"/>
          <w:w w:val="95"/>
        </w:rPr>
        <w:t xml:space="preserve"> </w:t>
      </w:r>
      <w:r>
        <w:rPr>
          <w:w w:val="95"/>
        </w:rPr>
        <w:t>bus</w:t>
      </w:r>
      <w:r>
        <w:rPr>
          <w:spacing w:val="-4"/>
          <w:w w:val="95"/>
        </w:rPr>
        <w:t xml:space="preserve"> </w:t>
      </w:r>
      <w:r>
        <w:rPr>
          <w:w w:val="95"/>
        </w:rPr>
        <w:t>travel</w:t>
      </w:r>
      <w:r>
        <w:rPr>
          <w:spacing w:val="-4"/>
          <w:w w:val="95"/>
        </w:rPr>
        <w:t xml:space="preserve"> </w:t>
      </w:r>
      <w:r>
        <w:rPr>
          <w:w w:val="95"/>
        </w:rPr>
        <w:t xml:space="preserve">times </w:t>
      </w:r>
      <w:r>
        <w:t>for</w:t>
      </w:r>
      <w:r>
        <w:rPr>
          <w:spacing w:val="-9"/>
        </w:rPr>
        <w:t xml:space="preserve"> </w:t>
      </w:r>
      <w:r>
        <w:t>South</w:t>
      </w:r>
      <w:r>
        <w:rPr>
          <w:spacing w:val="-9"/>
        </w:rPr>
        <w:t xml:space="preserve"> </w:t>
      </w:r>
      <w:r>
        <w:t>Eastern</w:t>
      </w:r>
      <w:r>
        <w:rPr>
          <w:spacing w:val="-9"/>
        </w:rPr>
        <w:t xml:space="preserve"> </w:t>
      </w:r>
      <w:r>
        <w:t>suburbs</w:t>
      </w:r>
      <w:r>
        <w:rPr>
          <w:spacing w:val="-9"/>
        </w:rPr>
        <w:t xml:space="preserve"> </w:t>
      </w:r>
      <w:r>
        <w:t>commuters</w:t>
      </w:r>
      <w:r>
        <w:rPr>
          <w:spacing w:val="-9"/>
        </w:rPr>
        <w:t xml:space="preserve"> </w:t>
      </w:r>
      <w:r>
        <w:t>to</w:t>
      </w:r>
      <w:r>
        <w:rPr>
          <w:spacing w:val="-9"/>
        </w:rPr>
        <w:t xml:space="preserve"> </w:t>
      </w:r>
      <w:r>
        <w:t>the</w:t>
      </w:r>
      <w:r>
        <w:rPr>
          <w:spacing w:val="-9"/>
        </w:rPr>
        <w:t xml:space="preserve"> </w:t>
      </w:r>
      <w:r>
        <w:t>CBD</w:t>
      </w:r>
    </w:p>
    <w:p w:rsidR="002C1123" w:rsidRDefault="00F22F94">
      <w:pPr>
        <w:pStyle w:val="BodyText"/>
        <w:spacing w:before="2"/>
        <w:ind w:left="187"/>
      </w:pPr>
      <w:r>
        <w:rPr>
          <w:w w:val="95"/>
        </w:rPr>
        <w:t>(especially</w:t>
      </w:r>
      <w:r>
        <w:rPr>
          <w:spacing w:val="-9"/>
          <w:w w:val="95"/>
        </w:rPr>
        <w:t xml:space="preserve"> </w:t>
      </w:r>
      <w:r>
        <w:rPr>
          <w:w w:val="95"/>
        </w:rPr>
        <w:t>express</w:t>
      </w:r>
      <w:r>
        <w:rPr>
          <w:spacing w:val="-9"/>
          <w:w w:val="95"/>
        </w:rPr>
        <w:t xml:space="preserve"> </w:t>
      </w:r>
      <w:r>
        <w:rPr>
          <w:w w:val="95"/>
        </w:rPr>
        <w:t>services</w:t>
      </w:r>
      <w:r>
        <w:rPr>
          <w:spacing w:val="-9"/>
          <w:w w:val="95"/>
        </w:rPr>
        <w:t xml:space="preserve"> </w:t>
      </w:r>
      <w:r>
        <w:rPr>
          <w:w w:val="95"/>
        </w:rPr>
        <w:t>to</w:t>
      </w:r>
      <w:r>
        <w:rPr>
          <w:spacing w:val="-9"/>
          <w:w w:val="95"/>
        </w:rPr>
        <w:t xml:space="preserve"> </w:t>
      </w:r>
      <w:r>
        <w:rPr>
          <w:w w:val="95"/>
        </w:rPr>
        <w:t>the</w:t>
      </w:r>
      <w:r>
        <w:rPr>
          <w:spacing w:val="-9"/>
          <w:w w:val="95"/>
        </w:rPr>
        <w:t xml:space="preserve"> </w:t>
      </w:r>
      <w:r>
        <w:rPr>
          <w:w w:val="95"/>
        </w:rPr>
        <w:t>northern</w:t>
      </w:r>
      <w:r>
        <w:rPr>
          <w:spacing w:val="-9"/>
          <w:w w:val="95"/>
        </w:rPr>
        <w:t xml:space="preserve"> </w:t>
      </w:r>
      <w:r>
        <w:rPr>
          <w:w w:val="95"/>
        </w:rPr>
        <w:t>CBD</w:t>
      </w:r>
      <w:r>
        <w:rPr>
          <w:spacing w:val="-9"/>
          <w:w w:val="95"/>
        </w:rPr>
        <w:t xml:space="preserve"> </w:t>
      </w:r>
      <w:r>
        <w:rPr>
          <w:w w:val="95"/>
        </w:rPr>
        <w:t>via</w:t>
      </w:r>
      <w:r>
        <w:rPr>
          <w:spacing w:val="-9"/>
          <w:w w:val="95"/>
        </w:rPr>
        <w:t xml:space="preserve"> </w:t>
      </w:r>
      <w:r>
        <w:rPr>
          <w:spacing w:val="-5"/>
          <w:w w:val="95"/>
        </w:rPr>
        <w:t>the</w:t>
      </w:r>
    </w:p>
    <w:p w:rsidR="002C1123" w:rsidRDefault="002C1123">
      <w:pPr>
        <w:sectPr w:rsidR="002C1123">
          <w:type w:val="continuous"/>
          <w:pgSz w:w="16840" w:h="11910" w:orient="landscape"/>
          <w:pgMar w:top="560" w:right="280" w:bottom="280" w:left="500" w:header="0" w:footer="517" w:gutter="0"/>
          <w:cols w:num="3" w:space="720" w:equalWidth="0">
            <w:col w:w="5287" w:space="40"/>
            <w:col w:w="4993" w:space="39"/>
            <w:col w:w="5701"/>
          </w:cols>
        </w:sectPr>
      </w:pPr>
    </w:p>
    <w:p w:rsidR="002C1123" w:rsidRDefault="002C1123">
      <w:pPr>
        <w:pStyle w:val="BodyText"/>
        <w:spacing w:before="7"/>
        <w:rPr>
          <w:sz w:val="26"/>
        </w:rPr>
      </w:pPr>
    </w:p>
    <w:p w:rsidR="002C1123" w:rsidRDefault="002060EF">
      <w:pPr>
        <w:pStyle w:val="BodyText"/>
        <w:spacing w:line="20" w:lineRule="exact"/>
        <w:ind w:left="492"/>
        <w:rPr>
          <w:sz w:val="2"/>
        </w:rPr>
      </w:pPr>
      <w:r>
        <w:rPr>
          <w:sz w:val="2"/>
        </w:rPr>
      </w:r>
      <w:r>
        <w:rPr>
          <w:sz w:val="2"/>
        </w:rPr>
        <w:pict>
          <v:group id="docshapegroup1353" o:spid="_x0000_s3875" style="width:1in;height:.5pt;mso-position-horizontal-relative:char;mso-position-vertical-relative:line" coordsize="1440,10">
            <v:line id="_x0000_s3876" style="position:absolute" from="0,5" to="1440,5" strokecolor="#9c9c9d" strokeweight=".5pt"/>
            <w10:anchorlock/>
          </v:group>
        </w:pict>
      </w:r>
    </w:p>
    <w:p w:rsidR="002C1123" w:rsidRDefault="00F22F94">
      <w:pPr>
        <w:pStyle w:val="ListParagraph"/>
        <w:numPr>
          <w:ilvl w:val="0"/>
          <w:numId w:val="90"/>
        </w:numPr>
        <w:tabs>
          <w:tab w:val="left" w:pos="691"/>
          <w:tab w:val="left" w:pos="5518"/>
          <w:tab w:val="left" w:pos="6958"/>
        </w:tabs>
        <w:spacing w:before="8" w:line="156" w:lineRule="exact"/>
        <w:ind w:left="690"/>
        <w:jc w:val="left"/>
        <w:rPr>
          <w:sz w:val="14"/>
        </w:rPr>
      </w:pPr>
      <w:r>
        <w:rPr>
          <w:w w:val="95"/>
          <w:sz w:val="14"/>
        </w:rPr>
        <w:t>MRCagney</w:t>
      </w:r>
      <w:r>
        <w:rPr>
          <w:spacing w:val="-3"/>
          <w:w w:val="95"/>
          <w:sz w:val="14"/>
        </w:rPr>
        <w:t xml:space="preserve"> </w:t>
      </w:r>
      <w:r>
        <w:rPr>
          <w:w w:val="95"/>
          <w:sz w:val="14"/>
        </w:rPr>
        <w:t>2012,</w:t>
      </w:r>
      <w:r>
        <w:rPr>
          <w:spacing w:val="-2"/>
          <w:w w:val="95"/>
          <w:sz w:val="14"/>
        </w:rPr>
        <w:t xml:space="preserve"> </w:t>
      </w:r>
      <w:r>
        <w:rPr>
          <w:w w:val="95"/>
          <w:sz w:val="14"/>
        </w:rPr>
        <w:t>Inner</w:t>
      </w:r>
      <w:r>
        <w:rPr>
          <w:spacing w:val="-3"/>
          <w:w w:val="95"/>
          <w:sz w:val="14"/>
        </w:rPr>
        <w:t xml:space="preserve"> </w:t>
      </w:r>
      <w:r>
        <w:rPr>
          <w:w w:val="95"/>
          <w:sz w:val="14"/>
        </w:rPr>
        <w:t>Sydney</w:t>
      </w:r>
      <w:r>
        <w:rPr>
          <w:spacing w:val="-2"/>
          <w:w w:val="95"/>
          <w:sz w:val="14"/>
        </w:rPr>
        <w:t xml:space="preserve"> </w:t>
      </w:r>
      <w:r>
        <w:rPr>
          <w:w w:val="95"/>
          <w:sz w:val="14"/>
        </w:rPr>
        <w:t>Transport</w:t>
      </w:r>
      <w:r>
        <w:rPr>
          <w:spacing w:val="-2"/>
          <w:w w:val="95"/>
          <w:sz w:val="14"/>
        </w:rPr>
        <w:t xml:space="preserve"> </w:t>
      </w:r>
      <w:r>
        <w:rPr>
          <w:w w:val="95"/>
          <w:sz w:val="14"/>
        </w:rPr>
        <w:t>Strategy</w:t>
      </w:r>
      <w:r>
        <w:rPr>
          <w:spacing w:val="-3"/>
          <w:w w:val="95"/>
          <w:sz w:val="14"/>
        </w:rPr>
        <w:t xml:space="preserve"> </w:t>
      </w:r>
      <w:r>
        <w:rPr>
          <w:w w:val="95"/>
          <w:sz w:val="14"/>
        </w:rPr>
        <w:t>–</w:t>
      </w:r>
      <w:r>
        <w:rPr>
          <w:spacing w:val="-2"/>
          <w:w w:val="95"/>
          <w:sz w:val="14"/>
        </w:rPr>
        <w:t xml:space="preserve"> </w:t>
      </w:r>
      <w:r>
        <w:rPr>
          <w:w w:val="95"/>
          <w:sz w:val="14"/>
        </w:rPr>
        <w:t>Technical</w:t>
      </w:r>
      <w:r>
        <w:rPr>
          <w:spacing w:val="-3"/>
          <w:w w:val="95"/>
          <w:sz w:val="14"/>
        </w:rPr>
        <w:t xml:space="preserve"> </w:t>
      </w:r>
      <w:r>
        <w:rPr>
          <w:spacing w:val="-2"/>
          <w:w w:val="95"/>
          <w:sz w:val="14"/>
        </w:rPr>
        <w:t>Support</w:t>
      </w:r>
      <w:r>
        <w:rPr>
          <w:sz w:val="14"/>
        </w:rPr>
        <w:tab/>
      </w:r>
      <w:r>
        <w:rPr>
          <w:sz w:val="14"/>
          <w:u w:val="single" w:color="9C9C9D"/>
        </w:rPr>
        <w:tab/>
      </w:r>
    </w:p>
    <w:p w:rsidR="002C1123" w:rsidRDefault="00F22F94">
      <w:pPr>
        <w:spacing w:before="7" w:after="24"/>
        <w:rPr>
          <w:sz w:val="10"/>
        </w:rPr>
      </w:pPr>
      <w:r>
        <w:br w:type="column"/>
      </w:r>
    </w:p>
    <w:p w:rsidR="002C1123" w:rsidRDefault="002060EF">
      <w:pPr>
        <w:pStyle w:val="BodyText"/>
        <w:spacing w:line="20" w:lineRule="exact"/>
        <w:ind w:left="492"/>
        <w:rPr>
          <w:sz w:val="2"/>
        </w:rPr>
      </w:pPr>
      <w:r>
        <w:rPr>
          <w:sz w:val="2"/>
        </w:rPr>
      </w:r>
      <w:r>
        <w:rPr>
          <w:sz w:val="2"/>
        </w:rPr>
        <w:pict>
          <v:group id="docshapegroup1354" o:spid="_x0000_s3873" style="width:1in;height:.5pt;mso-position-horizontal-relative:char;mso-position-vertical-relative:line" coordsize="1440,10">
            <v:line id="_x0000_s3874" style="position:absolute" from="0,5" to="1440,5" strokecolor="#9c9c9d" strokeweight=".5pt"/>
            <w10:anchorlock/>
          </v:group>
        </w:pict>
      </w:r>
    </w:p>
    <w:p w:rsidR="002C1123" w:rsidRDefault="00F22F94">
      <w:pPr>
        <w:spacing w:before="2"/>
        <w:ind w:left="690" w:right="835" w:hanging="199"/>
        <w:rPr>
          <w:sz w:val="14"/>
        </w:rPr>
      </w:pPr>
      <w:r>
        <w:rPr>
          <w:w w:val="95"/>
          <w:sz w:val="14"/>
        </w:rPr>
        <w:t>14</w:t>
      </w:r>
      <w:r>
        <w:rPr>
          <w:spacing w:val="40"/>
          <w:sz w:val="14"/>
        </w:rPr>
        <w:t xml:space="preserve"> </w:t>
      </w:r>
      <w:r>
        <w:rPr>
          <w:w w:val="95"/>
          <w:sz w:val="14"/>
        </w:rPr>
        <w:t>Parsons Brinckerhoff 2007, Eastern Suburbs Transport Strategy, prepared</w:t>
      </w:r>
      <w:r>
        <w:rPr>
          <w:spacing w:val="40"/>
          <w:sz w:val="14"/>
        </w:rPr>
        <w:t xml:space="preserve"> </w:t>
      </w:r>
      <w:r>
        <w:rPr>
          <w:w w:val="95"/>
          <w:sz w:val="14"/>
        </w:rPr>
        <w:t>for</w:t>
      </w:r>
      <w:r>
        <w:rPr>
          <w:spacing w:val="-2"/>
          <w:sz w:val="14"/>
        </w:rPr>
        <w:t xml:space="preserve"> </w:t>
      </w:r>
      <w:r>
        <w:rPr>
          <w:w w:val="95"/>
          <w:sz w:val="14"/>
        </w:rPr>
        <w:t>Australian</w:t>
      </w:r>
      <w:r>
        <w:rPr>
          <w:spacing w:val="-2"/>
          <w:sz w:val="14"/>
        </w:rPr>
        <w:t xml:space="preserve"> </w:t>
      </w:r>
      <w:r>
        <w:rPr>
          <w:w w:val="95"/>
          <w:sz w:val="14"/>
        </w:rPr>
        <w:t>Jockey</w:t>
      </w:r>
      <w:r>
        <w:rPr>
          <w:spacing w:val="-1"/>
          <w:sz w:val="14"/>
        </w:rPr>
        <w:t xml:space="preserve"> </w:t>
      </w:r>
      <w:r>
        <w:rPr>
          <w:w w:val="95"/>
          <w:sz w:val="14"/>
        </w:rPr>
        <w:t>Club,</w:t>
      </w:r>
      <w:r>
        <w:rPr>
          <w:spacing w:val="-2"/>
          <w:sz w:val="14"/>
        </w:rPr>
        <w:t xml:space="preserve"> </w:t>
      </w:r>
      <w:r>
        <w:rPr>
          <w:w w:val="95"/>
          <w:sz w:val="14"/>
        </w:rPr>
        <w:t>Centennial</w:t>
      </w:r>
      <w:r>
        <w:rPr>
          <w:spacing w:val="-1"/>
          <w:sz w:val="14"/>
        </w:rPr>
        <w:t xml:space="preserve"> </w:t>
      </w:r>
      <w:r>
        <w:rPr>
          <w:w w:val="95"/>
          <w:sz w:val="14"/>
        </w:rPr>
        <w:t>Parklands,</w:t>
      </w:r>
      <w:r>
        <w:rPr>
          <w:spacing w:val="-2"/>
          <w:sz w:val="14"/>
        </w:rPr>
        <w:t xml:space="preserve"> </w:t>
      </w:r>
      <w:r>
        <w:rPr>
          <w:w w:val="95"/>
          <w:sz w:val="14"/>
        </w:rPr>
        <w:t>Prince</w:t>
      </w:r>
      <w:r>
        <w:rPr>
          <w:spacing w:val="-1"/>
          <w:sz w:val="14"/>
        </w:rPr>
        <w:t xml:space="preserve"> </w:t>
      </w:r>
      <w:r>
        <w:rPr>
          <w:w w:val="95"/>
          <w:sz w:val="14"/>
        </w:rPr>
        <w:t>of</w:t>
      </w:r>
      <w:r>
        <w:rPr>
          <w:spacing w:val="-2"/>
          <w:sz w:val="14"/>
        </w:rPr>
        <w:t xml:space="preserve"> </w:t>
      </w:r>
      <w:r>
        <w:rPr>
          <w:w w:val="95"/>
          <w:sz w:val="14"/>
        </w:rPr>
        <w:t>Wales</w:t>
      </w:r>
      <w:r>
        <w:rPr>
          <w:spacing w:val="-2"/>
          <w:sz w:val="14"/>
        </w:rPr>
        <w:t xml:space="preserve"> </w:t>
      </w:r>
      <w:r>
        <w:rPr>
          <w:spacing w:val="-2"/>
          <w:w w:val="95"/>
          <w:sz w:val="14"/>
        </w:rPr>
        <w:t>Hospital,</w:t>
      </w:r>
    </w:p>
    <w:p w:rsidR="002C1123" w:rsidRDefault="002C1123">
      <w:pPr>
        <w:rPr>
          <w:sz w:val="14"/>
        </w:rPr>
        <w:sectPr w:rsidR="002C1123">
          <w:type w:val="continuous"/>
          <w:pgSz w:w="16840" w:h="11910" w:orient="landscape"/>
          <w:pgMar w:top="560" w:right="280" w:bottom="280" w:left="500" w:header="0" w:footer="517" w:gutter="0"/>
          <w:cols w:num="2" w:space="720" w:equalWidth="0">
            <w:col w:w="6999" w:space="3054"/>
            <w:col w:w="6007"/>
          </w:cols>
        </w:sectPr>
      </w:pPr>
    </w:p>
    <w:p w:rsidR="002C1123" w:rsidRDefault="00F22F94">
      <w:pPr>
        <w:spacing w:before="4" w:line="161" w:lineRule="exact"/>
        <w:ind w:left="690"/>
        <w:rPr>
          <w:sz w:val="14"/>
        </w:rPr>
      </w:pPr>
      <w:r>
        <w:rPr>
          <w:w w:val="95"/>
          <w:sz w:val="14"/>
        </w:rPr>
        <w:t>Services,</w:t>
      </w:r>
      <w:r>
        <w:rPr>
          <w:spacing w:val="6"/>
          <w:sz w:val="14"/>
        </w:rPr>
        <w:t xml:space="preserve"> </w:t>
      </w:r>
      <w:r>
        <w:rPr>
          <w:w w:val="95"/>
          <w:sz w:val="14"/>
        </w:rPr>
        <w:t>prepared</w:t>
      </w:r>
      <w:r>
        <w:rPr>
          <w:spacing w:val="6"/>
          <w:sz w:val="14"/>
        </w:rPr>
        <w:t xml:space="preserve"> </w:t>
      </w:r>
      <w:r>
        <w:rPr>
          <w:w w:val="95"/>
          <w:sz w:val="14"/>
        </w:rPr>
        <w:t>for</w:t>
      </w:r>
      <w:r>
        <w:rPr>
          <w:spacing w:val="6"/>
          <w:sz w:val="14"/>
        </w:rPr>
        <w:t xml:space="preserve"> </w:t>
      </w:r>
      <w:r>
        <w:rPr>
          <w:w w:val="95"/>
          <w:sz w:val="14"/>
        </w:rPr>
        <w:t>Infrastructure</w:t>
      </w:r>
      <w:r>
        <w:rPr>
          <w:spacing w:val="6"/>
          <w:sz w:val="14"/>
        </w:rPr>
        <w:t xml:space="preserve"> </w:t>
      </w:r>
      <w:r>
        <w:rPr>
          <w:spacing w:val="-4"/>
          <w:w w:val="95"/>
          <w:sz w:val="14"/>
        </w:rPr>
        <w:t>NSW.</w:t>
      </w:r>
    </w:p>
    <w:p w:rsidR="002C1123" w:rsidRDefault="00F22F94">
      <w:pPr>
        <w:pStyle w:val="ListParagraph"/>
        <w:numPr>
          <w:ilvl w:val="0"/>
          <w:numId w:val="90"/>
        </w:numPr>
        <w:tabs>
          <w:tab w:val="left" w:pos="691"/>
        </w:tabs>
        <w:spacing w:line="161" w:lineRule="exact"/>
        <w:ind w:left="690"/>
        <w:jc w:val="left"/>
        <w:rPr>
          <w:sz w:val="14"/>
        </w:rPr>
      </w:pPr>
      <w:r>
        <w:rPr>
          <w:w w:val="95"/>
          <w:sz w:val="14"/>
        </w:rPr>
        <w:t>LEK</w:t>
      </w:r>
      <w:r>
        <w:rPr>
          <w:sz w:val="14"/>
        </w:rPr>
        <w:t xml:space="preserve"> </w:t>
      </w:r>
      <w:r>
        <w:rPr>
          <w:w w:val="95"/>
          <w:sz w:val="14"/>
        </w:rPr>
        <w:t>2012,</w:t>
      </w:r>
      <w:r>
        <w:rPr>
          <w:sz w:val="14"/>
        </w:rPr>
        <w:t xml:space="preserve"> </w:t>
      </w:r>
      <w:r>
        <w:rPr>
          <w:w w:val="95"/>
          <w:sz w:val="14"/>
        </w:rPr>
        <w:t>Sydney</w:t>
      </w:r>
      <w:r>
        <w:rPr>
          <w:sz w:val="14"/>
        </w:rPr>
        <w:t xml:space="preserve"> </w:t>
      </w:r>
      <w:r>
        <w:rPr>
          <w:w w:val="95"/>
          <w:sz w:val="14"/>
        </w:rPr>
        <w:t>CBD</w:t>
      </w:r>
      <w:r>
        <w:rPr>
          <w:sz w:val="14"/>
        </w:rPr>
        <w:t xml:space="preserve"> </w:t>
      </w:r>
      <w:r>
        <w:rPr>
          <w:w w:val="95"/>
          <w:sz w:val="14"/>
        </w:rPr>
        <w:t>Access</w:t>
      </w:r>
      <w:r>
        <w:rPr>
          <w:sz w:val="14"/>
        </w:rPr>
        <w:t xml:space="preserve"> </w:t>
      </w:r>
      <w:r>
        <w:rPr>
          <w:w w:val="95"/>
          <w:sz w:val="14"/>
        </w:rPr>
        <w:t>Strategy,</w:t>
      </w:r>
      <w:r>
        <w:rPr>
          <w:sz w:val="14"/>
        </w:rPr>
        <w:t xml:space="preserve"> </w:t>
      </w:r>
      <w:r>
        <w:rPr>
          <w:w w:val="95"/>
          <w:sz w:val="14"/>
        </w:rPr>
        <w:t>prepared</w:t>
      </w:r>
      <w:r>
        <w:rPr>
          <w:sz w:val="14"/>
        </w:rPr>
        <w:t xml:space="preserve"> </w:t>
      </w:r>
      <w:r>
        <w:rPr>
          <w:w w:val="95"/>
          <w:sz w:val="14"/>
        </w:rPr>
        <w:t>for</w:t>
      </w:r>
      <w:r>
        <w:rPr>
          <w:sz w:val="14"/>
        </w:rPr>
        <w:t xml:space="preserve"> </w:t>
      </w:r>
      <w:r>
        <w:rPr>
          <w:w w:val="95"/>
          <w:sz w:val="14"/>
        </w:rPr>
        <w:t>Infrastructure</w:t>
      </w:r>
      <w:r>
        <w:rPr>
          <w:sz w:val="14"/>
        </w:rPr>
        <w:t xml:space="preserve"> </w:t>
      </w:r>
      <w:r>
        <w:rPr>
          <w:spacing w:val="-4"/>
          <w:w w:val="95"/>
          <w:sz w:val="14"/>
        </w:rPr>
        <w:t>NSW.</w:t>
      </w:r>
    </w:p>
    <w:p w:rsidR="002C1123" w:rsidRDefault="00F22F94">
      <w:pPr>
        <w:pStyle w:val="ListParagraph"/>
        <w:numPr>
          <w:ilvl w:val="0"/>
          <w:numId w:val="90"/>
        </w:numPr>
        <w:tabs>
          <w:tab w:val="left" w:pos="503"/>
        </w:tabs>
        <w:spacing w:before="4"/>
        <w:ind w:left="502" w:right="38"/>
        <w:jc w:val="left"/>
        <w:rPr>
          <w:sz w:val="14"/>
        </w:rPr>
      </w:pPr>
      <w:r>
        <w:br w:type="column"/>
      </w:r>
      <w:r>
        <w:rPr>
          <w:w w:val="95"/>
          <w:sz w:val="14"/>
        </w:rPr>
        <w:t>MRCagney 2012, Inner Sydney Transport Strategy – Technical Support</w:t>
      </w:r>
      <w:r>
        <w:rPr>
          <w:spacing w:val="40"/>
          <w:sz w:val="14"/>
        </w:rPr>
        <w:t xml:space="preserve"> </w:t>
      </w:r>
      <w:r>
        <w:rPr>
          <w:sz w:val="14"/>
        </w:rPr>
        <w:t>Services, prepared for Infrastructure NSW.</w:t>
      </w:r>
    </w:p>
    <w:p w:rsidR="002C1123" w:rsidRDefault="00F22F94">
      <w:pPr>
        <w:spacing w:before="4"/>
        <w:ind w:left="492" w:right="677"/>
        <w:rPr>
          <w:sz w:val="14"/>
        </w:rPr>
      </w:pPr>
      <w:r>
        <w:br w:type="column"/>
      </w:r>
      <w:r>
        <w:rPr>
          <w:w w:val="95"/>
          <w:sz w:val="14"/>
        </w:rPr>
        <w:t>Sydney Cricket &amp; Sports Ground Trust and The University of New South</w:t>
      </w:r>
      <w:r>
        <w:rPr>
          <w:spacing w:val="40"/>
          <w:sz w:val="14"/>
        </w:rPr>
        <w:t xml:space="preserve"> </w:t>
      </w:r>
      <w:r>
        <w:rPr>
          <w:spacing w:val="-2"/>
          <w:sz w:val="14"/>
        </w:rPr>
        <w:t>Wales.</w:t>
      </w:r>
    </w:p>
    <w:p w:rsidR="002C1123" w:rsidRDefault="002C1123">
      <w:pPr>
        <w:rPr>
          <w:sz w:val="14"/>
        </w:rPr>
        <w:sectPr w:rsidR="002C1123">
          <w:type w:val="continuous"/>
          <w:pgSz w:w="16840" w:h="11910" w:orient="landscape"/>
          <w:pgMar w:top="560" w:right="280" w:bottom="280" w:left="500" w:header="0" w:footer="517" w:gutter="0"/>
          <w:cols w:num="3" w:space="720" w:equalWidth="0">
            <w:col w:w="5175" w:space="40"/>
            <w:col w:w="4817" w:space="220"/>
            <w:col w:w="5808"/>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BodyText"/>
        <w:spacing w:before="106" w:line="249" w:lineRule="auto"/>
        <w:ind w:left="492" w:right="47"/>
        <w:jc w:val="both"/>
      </w:pPr>
      <w:bookmarkStart w:id="200" w:name="_bookmark143"/>
      <w:bookmarkEnd w:id="200"/>
      <w:r>
        <w:rPr>
          <w:w w:val="95"/>
        </w:rPr>
        <w:t>Eastern</w:t>
      </w:r>
      <w:r>
        <w:rPr>
          <w:spacing w:val="-3"/>
          <w:w w:val="95"/>
        </w:rPr>
        <w:t xml:space="preserve"> </w:t>
      </w:r>
      <w:r>
        <w:rPr>
          <w:w w:val="95"/>
        </w:rPr>
        <w:t>Distributor</w:t>
      </w:r>
      <w:r>
        <w:rPr>
          <w:spacing w:val="-3"/>
          <w:w w:val="95"/>
        </w:rPr>
        <w:t xml:space="preserve"> </w:t>
      </w:r>
      <w:r>
        <w:rPr>
          <w:w w:val="95"/>
        </w:rPr>
        <w:t>tunnel).</w:t>
      </w:r>
      <w:r>
        <w:rPr>
          <w:spacing w:val="-3"/>
          <w:w w:val="95"/>
        </w:rPr>
        <w:t xml:space="preserve"> </w:t>
      </w:r>
      <w:r>
        <w:rPr>
          <w:w w:val="95"/>
        </w:rPr>
        <w:t>Efforts</w:t>
      </w:r>
      <w:r>
        <w:rPr>
          <w:spacing w:val="-3"/>
          <w:w w:val="95"/>
        </w:rPr>
        <w:t xml:space="preserve"> </w:t>
      </w:r>
      <w:r>
        <w:rPr>
          <w:w w:val="95"/>
        </w:rPr>
        <w:t>to</w:t>
      </w:r>
      <w:r>
        <w:rPr>
          <w:spacing w:val="-3"/>
          <w:w w:val="95"/>
        </w:rPr>
        <w:t xml:space="preserve"> </w:t>
      </w:r>
      <w:r>
        <w:rPr>
          <w:w w:val="95"/>
        </w:rPr>
        <w:t>reduce</w:t>
      </w:r>
      <w:r>
        <w:rPr>
          <w:spacing w:val="-3"/>
          <w:w w:val="95"/>
        </w:rPr>
        <w:t xml:space="preserve"> </w:t>
      </w:r>
      <w:r>
        <w:rPr>
          <w:w w:val="95"/>
        </w:rPr>
        <w:t>travel</w:t>
      </w:r>
      <w:r>
        <w:rPr>
          <w:spacing w:val="-3"/>
          <w:w w:val="95"/>
        </w:rPr>
        <w:t xml:space="preserve"> </w:t>
      </w:r>
      <w:r>
        <w:rPr>
          <w:w w:val="95"/>
        </w:rPr>
        <w:t xml:space="preserve">times </w:t>
      </w:r>
      <w:r>
        <w:rPr>
          <w:spacing w:val="-2"/>
          <w:w w:val="95"/>
        </w:rPr>
        <w:t>for</w:t>
      </w:r>
      <w:r>
        <w:rPr>
          <w:spacing w:val="-4"/>
          <w:w w:val="95"/>
        </w:rPr>
        <w:t xml:space="preserve"> </w:t>
      </w:r>
      <w:r>
        <w:rPr>
          <w:spacing w:val="-2"/>
          <w:w w:val="95"/>
        </w:rPr>
        <w:t>light</w:t>
      </w:r>
      <w:r>
        <w:rPr>
          <w:spacing w:val="-4"/>
          <w:w w:val="95"/>
        </w:rPr>
        <w:t xml:space="preserve"> </w:t>
      </w:r>
      <w:r>
        <w:rPr>
          <w:spacing w:val="-2"/>
          <w:w w:val="95"/>
        </w:rPr>
        <w:t>rail</w:t>
      </w:r>
      <w:r>
        <w:rPr>
          <w:spacing w:val="-4"/>
          <w:w w:val="95"/>
        </w:rPr>
        <w:t xml:space="preserve"> </w:t>
      </w:r>
      <w:r>
        <w:rPr>
          <w:spacing w:val="-2"/>
          <w:w w:val="95"/>
        </w:rPr>
        <w:t>by</w:t>
      </w:r>
      <w:r>
        <w:rPr>
          <w:spacing w:val="-4"/>
          <w:w w:val="95"/>
        </w:rPr>
        <w:t xml:space="preserve"> </w:t>
      </w:r>
      <w:r>
        <w:rPr>
          <w:spacing w:val="-2"/>
          <w:w w:val="95"/>
        </w:rPr>
        <w:t>tunnelling</w:t>
      </w:r>
      <w:r>
        <w:rPr>
          <w:spacing w:val="-4"/>
          <w:w w:val="95"/>
        </w:rPr>
        <w:t xml:space="preserve"> </w:t>
      </w:r>
      <w:r>
        <w:rPr>
          <w:spacing w:val="-2"/>
          <w:w w:val="95"/>
        </w:rPr>
        <w:t>part</w:t>
      </w:r>
      <w:r>
        <w:rPr>
          <w:spacing w:val="-4"/>
          <w:w w:val="95"/>
        </w:rPr>
        <w:t xml:space="preserve"> </w:t>
      </w:r>
      <w:r>
        <w:rPr>
          <w:spacing w:val="-2"/>
          <w:w w:val="95"/>
        </w:rPr>
        <w:t>of</w:t>
      </w:r>
      <w:r>
        <w:rPr>
          <w:spacing w:val="-4"/>
          <w:w w:val="95"/>
        </w:rPr>
        <w:t xml:space="preserve"> </w:t>
      </w:r>
      <w:r>
        <w:rPr>
          <w:spacing w:val="-2"/>
          <w:w w:val="95"/>
        </w:rPr>
        <w:t>the</w:t>
      </w:r>
      <w:r>
        <w:rPr>
          <w:spacing w:val="-4"/>
          <w:w w:val="95"/>
        </w:rPr>
        <w:t xml:space="preserve"> </w:t>
      </w:r>
      <w:r>
        <w:rPr>
          <w:spacing w:val="-2"/>
          <w:w w:val="95"/>
        </w:rPr>
        <w:t>route</w:t>
      </w:r>
      <w:r>
        <w:rPr>
          <w:spacing w:val="-4"/>
          <w:w w:val="95"/>
        </w:rPr>
        <w:t xml:space="preserve"> </w:t>
      </w:r>
      <w:r>
        <w:rPr>
          <w:spacing w:val="-2"/>
          <w:w w:val="95"/>
        </w:rPr>
        <w:t>will</w:t>
      </w:r>
      <w:r>
        <w:rPr>
          <w:spacing w:val="-4"/>
          <w:w w:val="95"/>
        </w:rPr>
        <w:t xml:space="preserve"> </w:t>
      </w:r>
      <w:r>
        <w:rPr>
          <w:spacing w:val="-2"/>
          <w:w w:val="95"/>
        </w:rPr>
        <w:t xml:space="preserve">substantially </w:t>
      </w:r>
      <w:r>
        <w:t>increase</w:t>
      </w:r>
      <w:r>
        <w:rPr>
          <w:spacing w:val="-14"/>
        </w:rPr>
        <w:t xml:space="preserve"> </w:t>
      </w:r>
      <w:r>
        <w:t>costs</w:t>
      </w:r>
      <w:r>
        <w:rPr>
          <w:spacing w:val="-14"/>
        </w:rPr>
        <w:t xml:space="preserve"> </w:t>
      </w:r>
      <w:r>
        <w:t>and</w:t>
      </w:r>
      <w:r>
        <w:rPr>
          <w:spacing w:val="-14"/>
        </w:rPr>
        <w:t xml:space="preserve"> </w:t>
      </w:r>
      <w:r>
        <w:t>could</w:t>
      </w:r>
      <w:r>
        <w:rPr>
          <w:spacing w:val="-14"/>
        </w:rPr>
        <w:t xml:space="preserve"> </w:t>
      </w:r>
      <w:r>
        <w:t>make</w:t>
      </w:r>
      <w:r>
        <w:rPr>
          <w:spacing w:val="-14"/>
        </w:rPr>
        <w:t xml:space="preserve"> </w:t>
      </w:r>
      <w:r>
        <w:t>the</w:t>
      </w:r>
      <w:r>
        <w:rPr>
          <w:spacing w:val="-14"/>
        </w:rPr>
        <w:t xml:space="preserve"> </w:t>
      </w:r>
      <w:r>
        <w:t>project</w:t>
      </w:r>
      <w:r>
        <w:rPr>
          <w:spacing w:val="-14"/>
        </w:rPr>
        <w:t xml:space="preserve"> </w:t>
      </w:r>
      <w:r>
        <w:t>unviable.</w:t>
      </w:r>
    </w:p>
    <w:p w:rsidR="002C1123" w:rsidRDefault="00F22F94">
      <w:pPr>
        <w:pStyle w:val="BodyText"/>
        <w:spacing w:before="144" w:line="249" w:lineRule="auto"/>
        <w:ind w:left="492" w:firstLine="43"/>
      </w:pPr>
      <w:r>
        <w:t>The</w:t>
      </w:r>
      <w:r>
        <w:rPr>
          <w:spacing w:val="-10"/>
        </w:rPr>
        <w:t xml:space="preserve"> </w:t>
      </w:r>
      <w:r>
        <w:t>difficulty</w:t>
      </w:r>
      <w:r>
        <w:rPr>
          <w:spacing w:val="-10"/>
        </w:rPr>
        <w:t xml:space="preserve"> </w:t>
      </w:r>
      <w:r>
        <w:t>of</w:t>
      </w:r>
      <w:r>
        <w:rPr>
          <w:spacing w:val="-10"/>
        </w:rPr>
        <w:t xml:space="preserve"> </w:t>
      </w:r>
      <w:r>
        <w:t>effectively</w:t>
      </w:r>
      <w:r>
        <w:rPr>
          <w:spacing w:val="-10"/>
        </w:rPr>
        <w:t xml:space="preserve"> </w:t>
      </w:r>
      <w:r>
        <w:t>serving</w:t>
      </w:r>
      <w:r>
        <w:rPr>
          <w:spacing w:val="-10"/>
        </w:rPr>
        <w:t xml:space="preserve"> </w:t>
      </w:r>
      <w:r>
        <w:t>the</w:t>
      </w:r>
      <w:r>
        <w:rPr>
          <w:spacing w:val="-10"/>
        </w:rPr>
        <w:t xml:space="preserve"> </w:t>
      </w:r>
      <w:r>
        <w:t xml:space="preserve">commuter </w:t>
      </w:r>
      <w:r>
        <w:rPr>
          <w:w w:val="95"/>
        </w:rPr>
        <w:t>markets on this corridor suggests a more realistic option may</w:t>
      </w:r>
      <w:r>
        <w:rPr>
          <w:spacing w:val="-5"/>
          <w:w w:val="95"/>
        </w:rPr>
        <w:t xml:space="preserve"> </w:t>
      </w:r>
      <w:r>
        <w:rPr>
          <w:w w:val="95"/>
        </w:rPr>
        <w:t>be</w:t>
      </w:r>
      <w:r>
        <w:rPr>
          <w:spacing w:val="-5"/>
          <w:w w:val="95"/>
        </w:rPr>
        <w:t xml:space="preserve"> </w:t>
      </w:r>
      <w:r>
        <w:rPr>
          <w:w w:val="95"/>
        </w:rPr>
        <w:t>to</w:t>
      </w:r>
      <w:r>
        <w:rPr>
          <w:spacing w:val="-5"/>
          <w:w w:val="95"/>
        </w:rPr>
        <w:t xml:space="preserve"> </w:t>
      </w:r>
      <w:r>
        <w:rPr>
          <w:w w:val="95"/>
        </w:rPr>
        <w:t>focus</w:t>
      </w:r>
      <w:r>
        <w:rPr>
          <w:spacing w:val="-5"/>
          <w:w w:val="95"/>
        </w:rPr>
        <w:t xml:space="preserve"> </w:t>
      </w:r>
      <w:r>
        <w:rPr>
          <w:w w:val="95"/>
        </w:rPr>
        <w:t>primarily</w:t>
      </w:r>
      <w:r>
        <w:rPr>
          <w:spacing w:val="-5"/>
          <w:w w:val="95"/>
        </w:rPr>
        <w:t xml:space="preserve"> </w:t>
      </w:r>
      <w:r>
        <w:rPr>
          <w:w w:val="95"/>
        </w:rPr>
        <w:t>on</w:t>
      </w:r>
      <w:r>
        <w:rPr>
          <w:spacing w:val="-5"/>
          <w:w w:val="95"/>
        </w:rPr>
        <w:t xml:space="preserve"> </w:t>
      </w:r>
      <w:r>
        <w:rPr>
          <w:w w:val="95"/>
        </w:rPr>
        <w:t>the</w:t>
      </w:r>
      <w:r>
        <w:rPr>
          <w:spacing w:val="-5"/>
          <w:w w:val="95"/>
        </w:rPr>
        <w:t xml:space="preserve"> </w:t>
      </w:r>
      <w:r>
        <w:rPr>
          <w:w w:val="95"/>
        </w:rPr>
        <w:t>recreational</w:t>
      </w:r>
      <w:r>
        <w:rPr>
          <w:spacing w:val="-5"/>
          <w:w w:val="95"/>
        </w:rPr>
        <w:t xml:space="preserve"> </w:t>
      </w:r>
      <w:r>
        <w:rPr>
          <w:w w:val="95"/>
        </w:rPr>
        <w:t>and</w:t>
      </w:r>
      <w:r>
        <w:rPr>
          <w:spacing w:val="-5"/>
          <w:w w:val="95"/>
        </w:rPr>
        <w:t xml:space="preserve"> </w:t>
      </w:r>
      <w:r>
        <w:rPr>
          <w:w w:val="95"/>
        </w:rPr>
        <w:t xml:space="preserve">student </w:t>
      </w:r>
      <w:r>
        <w:t>markets.</w:t>
      </w:r>
      <w:r>
        <w:rPr>
          <w:spacing w:val="-14"/>
        </w:rPr>
        <w:t xml:space="preserve"> </w:t>
      </w:r>
      <w:r>
        <w:t>Demand</w:t>
      </w:r>
      <w:r>
        <w:rPr>
          <w:spacing w:val="-14"/>
        </w:rPr>
        <w:t xml:space="preserve"> </w:t>
      </w:r>
      <w:r>
        <w:t>for</w:t>
      </w:r>
      <w:r>
        <w:rPr>
          <w:spacing w:val="-14"/>
        </w:rPr>
        <w:t xml:space="preserve"> </w:t>
      </w:r>
      <w:r>
        <w:t>the</w:t>
      </w:r>
      <w:r>
        <w:rPr>
          <w:spacing w:val="-14"/>
        </w:rPr>
        <w:t xml:space="preserve"> </w:t>
      </w:r>
      <w:r>
        <w:t>University</w:t>
      </w:r>
      <w:r>
        <w:rPr>
          <w:spacing w:val="-14"/>
        </w:rPr>
        <w:t xml:space="preserve"> </w:t>
      </w:r>
      <w:r>
        <w:t>alone</w:t>
      </w:r>
      <w:r>
        <w:rPr>
          <w:spacing w:val="-14"/>
        </w:rPr>
        <w:t xml:space="preserve"> </w:t>
      </w:r>
      <w:r>
        <w:t xml:space="preserve">already </w:t>
      </w:r>
      <w:r>
        <w:rPr>
          <w:spacing w:val="-2"/>
        </w:rPr>
        <w:t>requires</w:t>
      </w:r>
      <w:r>
        <w:rPr>
          <w:spacing w:val="-9"/>
        </w:rPr>
        <w:t xml:space="preserve"> </w:t>
      </w:r>
      <w:r>
        <w:rPr>
          <w:spacing w:val="-2"/>
        </w:rPr>
        <w:t>at</w:t>
      </w:r>
      <w:r>
        <w:rPr>
          <w:spacing w:val="-9"/>
        </w:rPr>
        <w:t xml:space="preserve"> </w:t>
      </w:r>
      <w:r>
        <w:rPr>
          <w:spacing w:val="-2"/>
        </w:rPr>
        <w:t>least</w:t>
      </w:r>
      <w:r>
        <w:rPr>
          <w:spacing w:val="-9"/>
        </w:rPr>
        <w:t xml:space="preserve"> </w:t>
      </w:r>
      <w:r>
        <w:rPr>
          <w:spacing w:val="-2"/>
        </w:rPr>
        <w:t>85</w:t>
      </w:r>
      <w:r>
        <w:rPr>
          <w:spacing w:val="-9"/>
        </w:rPr>
        <w:t xml:space="preserve"> </w:t>
      </w:r>
      <w:r>
        <w:rPr>
          <w:spacing w:val="-2"/>
        </w:rPr>
        <w:t>buses</w:t>
      </w:r>
      <w:r>
        <w:rPr>
          <w:spacing w:val="-9"/>
        </w:rPr>
        <w:t xml:space="preserve"> </w:t>
      </w:r>
      <w:r>
        <w:rPr>
          <w:spacing w:val="-2"/>
        </w:rPr>
        <w:t>per</w:t>
      </w:r>
      <w:r>
        <w:rPr>
          <w:spacing w:val="-9"/>
        </w:rPr>
        <w:t xml:space="preserve"> </w:t>
      </w:r>
      <w:r>
        <w:rPr>
          <w:spacing w:val="-2"/>
        </w:rPr>
        <w:t>hour</w:t>
      </w:r>
      <w:r>
        <w:rPr>
          <w:spacing w:val="-9"/>
        </w:rPr>
        <w:t xml:space="preserve"> </w:t>
      </w:r>
      <w:r>
        <w:rPr>
          <w:spacing w:val="-2"/>
        </w:rPr>
        <w:t>on</w:t>
      </w:r>
      <w:r>
        <w:rPr>
          <w:spacing w:val="-9"/>
        </w:rPr>
        <w:t xml:space="preserve"> </w:t>
      </w:r>
      <w:r>
        <w:rPr>
          <w:spacing w:val="-2"/>
        </w:rPr>
        <w:t>top</w:t>
      </w:r>
      <w:r>
        <w:rPr>
          <w:spacing w:val="-9"/>
        </w:rPr>
        <w:t xml:space="preserve"> </w:t>
      </w:r>
      <w:r>
        <w:rPr>
          <w:spacing w:val="-2"/>
        </w:rPr>
        <w:t>of</w:t>
      </w:r>
      <w:r>
        <w:rPr>
          <w:spacing w:val="-9"/>
        </w:rPr>
        <w:t xml:space="preserve"> </w:t>
      </w:r>
      <w:r>
        <w:rPr>
          <w:spacing w:val="-2"/>
        </w:rPr>
        <w:t>the</w:t>
      </w:r>
      <w:r>
        <w:rPr>
          <w:spacing w:val="-9"/>
        </w:rPr>
        <w:t xml:space="preserve"> </w:t>
      </w:r>
      <w:r>
        <w:rPr>
          <w:spacing w:val="-2"/>
        </w:rPr>
        <w:t xml:space="preserve">regular </w:t>
      </w:r>
      <w:r>
        <w:rPr>
          <w:w w:val="95"/>
        </w:rPr>
        <w:t>60</w:t>
      </w:r>
      <w:r>
        <w:rPr>
          <w:spacing w:val="-1"/>
          <w:w w:val="95"/>
        </w:rPr>
        <w:t xml:space="preserve"> </w:t>
      </w:r>
      <w:r>
        <w:rPr>
          <w:w w:val="95"/>
        </w:rPr>
        <w:t>buses</w:t>
      </w:r>
      <w:r>
        <w:rPr>
          <w:spacing w:val="-1"/>
          <w:w w:val="95"/>
        </w:rPr>
        <w:t xml:space="preserve"> </w:t>
      </w:r>
      <w:r>
        <w:rPr>
          <w:w w:val="95"/>
        </w:rPr>
        <w:t>per</w:t>
      </w:r>
      <w:r>
        <w:rPr>
          <w:spacing w:val="-1"/>
          <w:w w:val="95"/>
        </w:rPr>
        <w:t xml:space="preserve"> </w:t>
      </w:r>
      <w:r>
        <w:rPr>
          <w:w w:val="95"/>
        </w:rPr>
        <w:t>hour</w:t>
      </w:r>
      <w:r>
        <w:rPr>
          <w:spacing w:val="-1"/>
          <w:w w:val="95"/>
        </w:rPr>
        <w:t xml:space="preserve"> </w:t>
      </w:r>
      <w:r>
        <w:rPr>
          <w:w w:val="95"/>
        </w:rPr>
        <w:t>service</w:t>
      </w:r>
      <w:r>
        <w:rPr>
          <w:spacing w:val="-1"/>
          <w:w w:val="95"/>
        </w:rPr>
        <w:t xml:space="preserve"> </w:t>
      </w:r>
      <w:r>
        <w:rPr>
          <w:w w:val="95"/>
        </w:rPr>
        <w:t>scheduled</w:t>
      </w:r>
      <w:r>
        <w:rPr>
          <w:spacing w:val="-1"/>
          <w:w w:val="95"/>
        </w:rPr>
        <w:t xml:space="preserve"> </w:t>
      </w:r>
      <w:r>
        <w:rPr>
          <w:w w:val="95"/>
        </w:rPr>
        <w:t>from</w:t>
      </w:r>
      <w:r>
        <w:rPr>
          <w:spacing w:val="-2"/>
          <w:w w:val="95"/>
        </w:rPr>
        <w:t xml:space="preserve"> </w:t>
      </w:r>
      <w:r>
        <w:rPr>
          <w:w w:val="95"/>
        </w:rPr>
        <w:t>Central</w:t>
      </w:r>
      <w:r>
        <w:rPr>
          <w:w w:val="95"/>
          <w:position w:val="7"/>
          <w:sz w:val="11"/>
        </w:rPr>
        <w:t>15</w:t>
      </w:r>
      <w:r>
        <w:rPr>
          <w:w w:val="95"/>
        </w:rPr>
        <w:t>.</w:t>
      </w:r>
      <w:r>
        <w:rPr>
          <w:spacing w:val="-1"/>
          <w:w w:val="95"/>
        </w:rPr>
        <w:t xml:space="preserve"> </w:t>
      </w:r>
      <w:r>
        <w:rPr>
          <w:w w:val="95"/>
        </w:rPr>
        <w:t xml:space="preserve">The </w:t>
      </w:r>
      <w:r>
        <w:t>aim</w:t>
      </w:r>
      <w:r>
        <w:rPr>
          <w:spacing w:val="-14"/>
        </w:rPr>
        <w:t xml:space="preserve"> </w:t>
      </w:r>
      <w:r>
        <w:t>would</w:t>
      </w:r>
      <w:r>
        <w:rPr>
          <w:spacing w:val="-14"/>
        </w:rPr>
        <w:t xml:space="preserve"> </w:t>
      </w:r>
      <w:r>
        <w:t>be</w:t>
      </w:r>
      <w:r>
        <w:rPr>
          <w:spacing w:val="-14"/>
        </w:rPr>
        <w:t xml:space="preserve"> </w:t>
      </w:r>
      <w:r>
        <w:t>to</w:t>
      </w:r>
      <w:r>
        <w:rPr>
          <w:spacing w:val="-14"/>
        </w:rPr>
        <w:t xml:space="preserve"> </w:t>
      </w:r>
      <w:r>
        <w:t>deliver</w:t>
      </w:r>
      <w:r>
        <w:rPr>
          <w:spacing w:val="-14"/>
        </w:rPr>
        <w:t xml:space="preserve"> </w:t>
      </w:r>
      <w:r>
        <w:t>a</w:t>
      </w:r>
      <w:r>
        <w:rPr>
          <w:spacing w:val="-14"/>
        </w:rPr>
        <w:t xml:space="preserve"> </w:t>
      </w:r>
      <w:r>
        <w:t>similar</w:t>
      </w:r>
      <w:r>
        <w:rPr>
          <w:spacing w:val="-14"/>
        </w:rPr>
        <w:t xml:space="preserve"> </w:t>
      </w:r>
      <w:r>
        <w:t>travel</w:t>
      </w:r>
      <w:r>
        <w:rPr>
          <w:spacing w:val="-14"/>
        </w:rPr>
        <w:t xml:space="preserve"> </w:t>
      </w:r>
      <w:r>
        <w:t>time</w:t>
      </w:r>
      <w:r>
        <w:rPr>
          <w:spacing w:val="-14"/>
        </w:rPr>
        <w:t xml:space="preserve"> </w:t>
      </w:r>
      <w:r>
        <w:t>to</w:t>
      </w:r>
      <w:r>
        <w:rPr>
          <w:spacing w:val="-13"/>
        </w:rPr>
        <w:t xml:space="preserve"> </w:t>
      </w:r>
      <w:r>
        <w:t>current buses,</w:t>
      </w:r>
      <w:r>
        <w:rPr>
          <w:spacing w:val="-13"/>
        </w:rPr>
        <w:t xml:space="preserve"> </w:t>
      </w:r>
      <w:r>
        <w:t>but</w:t>
      </w:r>
      <w:r>
        <w:rPr>
          <w:spacing w:val="-13"/>
        </w:rPr>
        <w:t xml:space="preserve"> </w:t>
      </w:r>
      <w:r>
        <w:t>with</w:t>
      </w:r>
      <w:r>
        <w:rPr>
          <w:spacing w:val="-13"/>
        </w:rPr>
        <w:t xml:space="preserve"> </w:t>
      </w:r>
      <w:r>
        <w:t>the</w:t>
      </w:r>
      <w:r>
        <w:rPr>
          <w:spacing w:val="-13"/>
        </w:rPr>
        <w:t xml:space="preserve"> </w:t>
      </w:r>
      <w:r>
        <w:t>superior</w:t>
      </w:r>
      <w:r>
        <w:rPr>
          <w:spacing w:val="-13"/>
        </w:rPr>
        <w:t xml:space="preserve"> </w:t>
      </w:r>
      <w:r>
        <w:t>travel</w:t>
      </w:r>
      <w:r>
        <w:rPr>
          <w:spacing w:val="-13"/>
        </w:rPr>
        <w:t xml:space="preserve"> </w:t>
      </w:r>
      <w:r>
        <w:t>experience</w:t>
      </w:r>
      <w:r>
        <w:rPr>
          <w:spacing w:val="-13"/>
        </w:rPr>
        <w:t xml:space="preserve"> </w:t>
      </w:r>
      <w:r>
        <w:t>that</w:t>
      </w:r>
      <w:r>
        <w:rPr>
          <w:spacing w:val="-13"/>
        </w:rPr>
        <w:t xml:space="preserve"> </w:t>
      </w:r>
      <w:r>
        <w:t>light rail</w:t>
      </w:r>
      <w:r>
        <w:rPr>
          <w:spacing w:val="-9"/>
        </w:rPr>
        <w:t xml:space="preserve"> </w:t>
      </w:r>
      <w:r>
        <w:t>offers</w:t>
      </w:r>
      <w:r>
        <w:rPr>
          <w:spacing w:val="-9"/>
        </w:rPr>
        <w:t xml:space="preserve"> </w:t>
      </w:r>
      <w:r>
        <w:t>for</w:t>
      </w:r>
      <w:r>
        <w:rPr>
          <w:spacing w:val="-9"/>
        </w:rPr>
        <w:t xml:space="preserve"> </w:t>
      </w:r>
      <w:r>
        <w:t>the</w:t>
      </w:r>
      <w:r>
        <w:rPr>
          <w:spacing w:val="-9"/>
        </w:rPr>
        <w:t xml:space="preserve"> </w:t>
      </w:r>
      <w:r>
        <w:t>peak</w:t>
      </w:r>
      <w:r>
        <w:rPr>
          <w:spacing w:val="-9"/>
        </w:rPr>
        <w:t xml:space="preserve"> </w:t>
      </w:r>
      <w:r>
        <w:t>heavy</w:t>
      </w:r>
      <w:r>
        <w:rPr>
          <w:spacing w:val="-9"/>
        </w:rPr>
        <w:t xml:space="preserve"> </w:t>
      </w:r>
      <w:r>
        <w:t>loadings.</w:t>
      </w:r>
    </w:p>
    <w:p w:rsidR="002C1123" w:rsidRDefault="00F22F94">
      <w:pPr>
        <w:pStyle w:val="BodyText"/>
        <w:spacing w:before="149" w:line="249" w:lineRule="auto"/>
        <w:ind w:left="492" w:right="129"/>
      </w:pPr>
      <w:r>
        <w:rPr>
          <w:w w:val="95"/>
        </w:rPr>
        <w:t xml:space="preserve">It would be expected that most South Eastern Suburb </w:t>
      </w:r>
      <w:r>
        <w:t>commuters</w:t>
      </w:r>
      <w:r>
        <w:rPr>
          <w:spacing w:val="-2"/>
        </w:rPr>
        <w:t xml:space="preserve"> </w:t>
      </w:r>
      <w:r>
        <w:t>to</w:t>
      </w:r>
      <w:r>
        <w:rPr>
          <w:spacing w:val="-2"/>
        </w:rPr>
        <w:t xml:space="preserve"> </w:t>
      </w:r>
      <w:r>
        <w:t>the</w:t>
      </w:r>
      <w:r>
        <w:rPr>
          <w:spacing w:val="-2"/>
        </w:rPr>
        <w:t xml:space="preserve"> </w:t>
      </w:r>
      <w:r>
        <w:t>Northern</w:t>
      </w:r>
      <w:r>
        <w:rPr>
          <w:spacing w:val="-2"/>
        </w:rPr>
        <w:t xml:space="preserve"> </w:t>
      </w:r>
      <w:r>
        <w:t>CBD</w:t>
      </w:r>
      <w:r>
        <w:rPr>
          <w:spacing w:val="-2"/>
        </w:rPr>
        <w:t xml:space="preserve"> </w:t>
      </w:r>
      <w:r>
        <w:t>would</w:t>
      </w:r>
      <w:r>
        <w:rPr>
          <w:spacing w:val="-2"/>
        </w:rPr>
        <w:t xml:space="preserve"> </w:t>
      </w:r>
      <w:r>
        <w:t>continue</w:t>
      </w:r>
      <w:r>
        <w:rPr>
          <w:spacing w:val="-2"/>
        </w:rPr>
        <w:t xml:space="preserve"> </w:t>
      </w:r>
      <w:r>
        <w:t xml:space="preserve">to </w:t>
      </w:r>
      <w:r>
        <w:rPr>
          <w:w w:val="95"/>
        </w:rPr>
        <w:t>use</w:t>
      </w:r>
      <w:r>
        <w:rPr>
          <w:spacing w:val="-1"/>
          <w:w w:val="95"/>
        </w:rPr>
        <w:t xml:space="preserve"> </w:t>
      </w:r>
      <w:r>
        <w:rPr>
          <w:w w:val="95"/>
        </w:rPr>
        <w:t>existing</w:t>
      </w:r>
      <w:r>
        <w:rPr>
          <w:spacing w:val="-1"/>
          <w:w w:val="95"/>
        </w:rPr>
        <w:t xml:space="preserve"> </w:t>
      </w:r>
      <w:r>
        <w:rPr>
          <w:w w:val="95"/>
        </w:rPr>
        <w:t>bus</w:t>
      </w:r>
      <w:r>
        <w:rPr>
          <w:spacing w:val="-1"/>
          <w:w w:val="95"/>
        </w:rPr>
        <w:t xml:space="preserve"> </w:t>
      </w:r>
      <w:r>
        <w:rPr>
          <w:w w:val="95"/>
        </w:rPr>
        <w:t>services,</w:t>
      </w:r>
      <w:r>
        <w:rPr>
          <w:spacing w:val="-1"/>
          <w:w w:val="95"/>
        </w:rPr>
        <w:t xml:space="preserve"> </w:t>
      </w:r>
      <w:r>
        <w:rPr>
          <w:w w:val="95"/>
        </w:rPr>
        <w:t>at</w:t>
      </w:r>
      <w:r>
        <w:rPr>
          <w:spacing w:val="-1"/>
          <w:w w:val="95"/>
        </w:rPr>
        <w:t xml:space="preserve"> </w:t>
      </w:r>
      <w:r>
        <w:rPr>
          <w:w w:val="95"/>
        </w:rPr>
        <w:t>least</w:t>
      </w:r>
      <w:r>
        <w:rPr>
          <w:spacing w:val="-1"/>
          <w:w w:val="95"/>
        </w:rPr>
        <w:t xml:space="preserve"> </w:t>
      </w:r>
      <w:r>
        <w:rPr>
          <w:w w:val="95"/>
        </w:rPr>
        <w:t>until</w:t>
      </w:r>
      <w:r>
        <w:rPr>
          <w:spacing w:val="-1"/>
          <w:w w:val="95"/>
        </w:rPr>
        <w:t xml:space="preserve"> </w:t>
      </w:r>
      <w:r>
        <w:rPr>
          <w:w w:val="95"/>
        </w:rPr>
        <w:t>such</w:t>
      </w:r>
      <w:r>
        <w:rPr>
          <w:spacing w:val="-1"/>
          <w:w w:val="95"/>
        </w:rPr>
        <w:t xml:space="preserve"> </w:t>
      </w:r>
      <w:r>
        <w:rPr>
          <w:w w:val="95"/>
        </w:rPr>
        <w:t>time</w:t>
      </w:r>
      <w:r>
        <w:rPr>
          <w:spacing w:val="-1"/>
          <w:w w:val="95"/>
        </w:rPr>
        <w:t xml:space="preserve"> </w:t>
      </w:r>
      <w:r>
        <w:rPr>
          <w:w w:val="95"/>
        </w:rPr>
        <w:t>as</w:t>
      </w:r>
      <w:r>
        <w:rPr>
          <w:spacing w:val="-1"/>
          <w:w w:val="95"/>
        </w:rPr>
        <w:t xml:space="preserve"> </w:t>
      </w:r>
      <w:r>
        <w:rPr>
          <w:w w:val="95"/>
        </w:rPr>
        <w:t xml:space="preserve">a plan for substantially increased urban densities could </w:t>
      </w:r>
      <w:r>
        <w:t>justify</w:t>
      </w:r>
      <w:r>
        <w:rPr>
          <w:spacing w:val="-14"/>
        </w:rPr>
        <w:t xml:space="preserve"> </w:t>
      </w:r>
      <w:r>
        <w:t>an</w:t>
      </w:r>
      <w:r>
        <w:rPr>
          <w:spacing w:val="-14"/>
        </w:rPr>
        <w:t xml:space="preserve"> </w:t>
      </w:r>
      <w:r>
        <w:t>extension</w:t>
      </w:r>
      <w:r>
        <w:rPr>
          <w:spacing w:val="-14"/>
        </w:rPr>
        <w:t xml:space="preserve"> </w:t>
      </w:r>
      <w:r>
        <w:t>to</w:t>
      </w:r>
      <w:r>
        <w:rPr>
          <w:spacing w:val="-14"/>
        </w:rPr>
        <w:t xml:space="preserve"> </w:t>
      </w:r>
      <w:r>
        <w:t>the</w:t>
      </w:r>
      <w:r>
        <w:rPr>
          <w:spacing w:val="-14"/>
        </w:rPr>
        <w:t xml:space="preserve"> </w:t>
      </w:r>
      <w:r>
        <w:t>Eastern</w:t>
      </w:r>
      <w:r>
        <w:rPr>
          <w:spacing w:val="-14"/>
        </w:rPr>
        <w:t xml:space="preserve"> </w:t>
      </w:r>
      <w:r>
        <w:t>Suburbs</w:t>
      </w:r>
      <w:r>
        <w:rPr>
          <w:spacing w:val="-14"/>
        </w:rPr>
        <w:t xml:space="preserve"> </w:t>
      </w:r>
      <w:r>
        <w:t>Railway (refer Section 8).</w:t>
      </w:r>
    </w:p>
    <w:p w:rsidR="002C1123" w:rsidRDefault="00F22F94">
      <w:pPr>
        <w:pStyle w:val="BodyText"/>
        <w:spacing w:before="147" w:line="249" w:lineRule="auto"/>
        <w:ind w:left="492" w:right="285"/>
      </w:pPr>
      <w:r>
        <w:t>With</w:t>
      </w:r>
      <w:r>
        <w:rPr>
          <w:spacing w:val="-9"/>
        </w:rPr>
        <w:t xml:space="preserve"> </w:t>
      </w:r>
      <w:r>
        <w:t>these</w:t>
      </w:r>
      <w:r>
        <w:rPr>
          <w:spacing w:val="-9"/>
        </w:rPr>
        <w:t xml:space="preserve"> </w:t>
      </w:r>
      <w:r>
        <w:t>less</w:t>
      </w:r>
      <w:r>
        <w:rPr>
          <w:spacing w:val="-9"/>
        </w:rPr>
        <w:t xml:space="preserve"> </w:t>
      </w:r>
      <w:r>
        <w:t>ambitious</w:t>
      </w:r>
      <w:r>
        <w:rPr>
          <w:spacing w:val="-9"/>
        </w:rPr>
        <w:t xml:space="preserve"> </w:t>
      </w:r>
      <w:r>
        <w:t>objectives,</w:t>
      </w:r>
      <w:r>
        <w:rPr>
          <w:spacing w:val="-9"/>
        </w:rPr>
        <w:t xml:space="preserve"> </w:t>
      </w:r>
      <w:r>
        <w:t>the</w:t>
      </w:r>
      <w:r>
        <w:rPr>
          <w:spacing w:val="-9"/>
        </w:rPr>
        <w:t xml:space="preserve"> </w:t>
      </w:r>
      <w:r>
        <w:t xml:space="preserve">project </w:t>
      </w:r>
      <w:r>
        <w:rPr>
          <w:w w:val="95"/>
        </w:rPr>
        <w:t xml:space="preserve">scope and costs would be managed down to achieve </w:t>
      </w:r>
      <w:r>
        <w:t>a</w:t>
      </w:r>
      <w:r>
        <w:rPr>
          <w:spacing w:val="-14"/>
        </w:rPr>
        <w:t xml:space="preserve"> </w:t>
      </w:r>
      <w:r>
        <w:t>practical</w:t>
      </w:r>
      <w:r>
        <w:rPr>
          <w:spacing w:val="-14"/>
        </w:rPr>
        <w:t xml:space="preserve"> </w:t>
      </w:r>
      <w:r>
        <w:t>and</w:t>
      </w:r>
      <w:r>
        <w:rPr>
          <w:spacing w:val="-14"/>
        </w:rPr>
        <w:t xml:space="preserve"> </w:t>
      </w:r>
      <w:r>
        <w:t>deliverable</w:t>
      </w:r>
      <w:r>
        <w:rPr>
          <w:spacing w:val="-14"/>
        </w:rPr>
        <w:t xml:space="preserve"> </w:t>
      </w:r>
      <w:r>
        <w:t>solution.</w:t>
      </w:r>
      <w:r>
        <w:rPr>
          <w:spacing w:val="-14"/>
        </w:rPr>
        <w:t xml:space="preserve"> </w:t>
      </w:r>
      <w:r>
        <w:t>A</w:t>
      </w:r>
      <w:r>
        <w:rPr>
          <w:spacing w:val="-14"/>
        </w:rPr>
        <w:t xml:space="preserve"> </w:t>
      </w:r>
      <w:r>
        <w:t>surface</w:t>
      </w:r>
      <w:r>
        <w:rPr>
          <w:spacing w:val="-13"/>
        </w:rPr>
        <w:t xml:space="preserve"> </w:t>
      </w:r>
      <w:r>
        <w:t>route</w:t>
      </w:r>
    </w:p>
    <w:p w:rsidR="002C1123" w:rsidRDefault="00F22F94">
      <w:pPr>
        <w:pStyle w:val="BodyText"/>
        <w:spacing w:before="2" w:line="249" w:lineRule="auto"/>
        <w:ind w:left="492"/>
      </w:pPr>
      <w:r>
        <w:rPr>
          <w:w w:val="95"/>
        </w:rPr>
        <w:t>(rather</w:t>
      </w:r>
      <w:r>
        <w:rPr>
          <w:spacing w:val="-10"/>
          <w:w w:val="95"/>
        </w:rPr>
        <w:t xml:space="preserve"> </w:t>
      </w:r>
      <w:r>
        <w:rPr>
          <w:w w:val="95"/>
        </w:rPr>
        <w:t>than</w:t>
      </w:r>
      <w:r>
        <w:rPr>
          <w:spacing w:val="-10"/>
          <w:w w:val="95"/>
        </w:rPr>
        <w:t xml:space="preserve"> </w:t>
      </w:r>
      <w:r>
        <w:rPr>
          <w:w w:val="95"/>
        </w:rPr>
        <w:t>a</w:t>
      </w:r>
      <w:r>
        <w:rPr>
          <w:spacing w:val="-10"/>
          <w:w w:val="95"/>
        </w:rPr>
        <w:t xml:space="preserve"> </w:t>
      </w:r>
      <w:r>
        <w:rPr>
          <w:w w:val="95"/>
        </w:rPr>
        <w:t>tunnel)</w:t>
      </w:r>
      <w:r>
        <w:rPr>
          <w:spacing w:val="-10"/>
          <w:w w:val="95"/>
        </w:rPr>
        <w:t xml:space="preserve"> </w:t>
      </w:r>
      <w:r>
        <w:rPr>
          <w:w w:val="95"/>
        </w:rPr>
        <w:t>and</w:t>
      </w:r>
      <w:r>
        <w:rPr>
          <w:spacing w:val="-10"/>
          <w:w w:val="95"/>
        </w:rPr>
        <w:t xml:space="preserve"> </w:t>
      </w:r>
      <w:r>
        <w:rPr>
          <w:w w:val="95"/>
        </w:rPr>
        <w:t>a</w:t>
      </w:r>
      <w:r>
        <w:rPr>
          <w:spacing w:val="-10"/>
          <w:w w:val="95"/>
        </w:rPr>
        <w:t xml:space="preserve"> </w:t>
      </w:r>
      <w:r>
        <w:rPr>
          <w:w w:val="95"/>
        </w:rPr>
        <w:t>single</w:t>
      </w:r>
      <w:r>
        <w:rPr>
          <w:spacing w:val="-10"/>
          <w:w w:val="95"/>
        </w:rPr>
        <w:t xml:space="preserve"> </w:t>
      </w:r>
      <w:r>
        <w:rPr>
          <w:w w:val="95"/>
        </w:rPr>
        <w:t>terminus</w:t>
      </w:r>
      <w:r>
        <w:rPr>
          <w:spacing w:val="-10"/>
          <w:w w:val="95"/>
        </w:rPr>
        <w:t xml:space="preserve"> </w:t>
      </w:r>
      <w:r>
        <w:rPr>
          <w:w w:val="95"/>
        </w:rPr>
        <w:t>would</w:t>
      </w:r>
      <w:r>
        <w:rPr>
          <w:spacing w:val="-10"/>
          <w:w w:val="95"/>
        </w:rPr>
        <w:t xml:space="preserve"> </w:t>
      </w:r>
      <w:r>
        <w:rPr>
          <w:w w:val="95"/>
        </w:rPr>
        <w:t xml:space="preserve">reduce </w:t>
      </w:r>
      <w:r>
        <w:t>costs.</w:t>
      </w:r>
      <w:r>
        <w:rPr>
          <w:spacing w:val="-12"/>
        </w:rPr>
        <w:t xml:space="preserve"> </w:t>
      </w:r>
      <w:r>
        <w:t>With</w:t>
      </w:r>
      <w:r>
        <w:rPr>
          <w:spacing w:val="-12"/>
        </w:rPr>
        <w:t xml:space="preserve"> </w:t>
      </w:r>
      <w:r>
        <w:t>these</w:t>
      </w:r>
      <w:r>
        <w:rPr>
          <w:spacing w:val="-12"/>
        </w:rPr>
        <w:t xml:space="preserve"> </w:t>
      </w:r>
      <w:r>
        <w:t>assumptions,</w:t>
      </w:r>
      <w:r>
        <w:rPr>
          <w:spacing w:val="-12"/>
        </w:rPr>
        <w:t xml:space="preserve"> </w:t>
      </w:r>
      <w:r>
        <w:t>Infrastructure</w:t>
      </w:r>
      <w:r>
        <w:rPr>
          <w:spacing w:val="-12"/>
        </w:rPr>
        <w:t xml:space="preserve"> </w:t>
      </w:r>
      <w:r>
        <w:t xml:space="preserve">NSW </w:t>
      </w:r>
      <w:r>
        <w:rPr>
          <w:w w:val="95"/>
        </w:rPr>
        <w:t>would expect a scoping estimate of approximately $500 million</w:t>
      </w:r>
      <w:r>
        <w:rPr>
          <w:spacing w:val="-9"/>
          <w:w w:val="95"/>
        </w:rPr>
        <w:t xml:space="preserve"> </w:t>
      </w:r>
      <w:r>
        <w:rPr>
          <w:w w:val="95"/>
        </w:rPr>
        <w:t>(approximately</w:t>
      </w:r>
      <w:r>
        <w:rPr>
          <w:spacing w:val="-9"/>
          <w:w w:val="95"/>
        </w:rPr>
        <w:t xml:space="preserve"> </w:t>
      </w:r>
      <w:r>
        <w:rPr>
          <w:w w:val="95"/>
        </w:rPr>
        <w:t>$70</w:t>
      </w:r>
      <w:r>
        <w:rPr>
          <w:spacing w:val="-9"/>
          <w:w w:val="95"/>
        </w:rPr>
        <w:t xml:space="preserve"> </w:t>
      </w:r>
      <w:r>
        <w:rPr>
          <w:w w:val="95"/>
        </w:rPr>
        <w:t>million</w:t>
      </w:r>
      <w:r>
        <w:rPr>
          <w:spacing w:val="-9"/>
          <w:w w:val="95"/>
        </w:rPr>
        <w:t xml:space="preserve"> </w:t>
      </w:r>
      <w:r>
        <w:rPr>
          <w:w w:val="95"/>
        </w:rPr>
        <w:t>per</w:t>
      </w:r>
      <w:r>
        <w:rPr>
          <w:spacing w:val="-9"/>
          <w:w w:val="95"/>
        </w:rPr>
        <w:t xml:space="preserve"> </w:t>
      </w:r>
      <w:r>
        <w:rPr>
          <w:w w:val="95"/>
        </w:rPr>
        <w:t>kilometre</w:t>
      </w:r>
      <w:r>
        <w:rPr>
          <w:spacing w:val="-9"/>
          <w:w w:val="95"/>
        </w:rPr>
        <w:t xml:space="preserve"> </w:t>
      </w:r>
      <w:r>
        <w:rPr>
          <w:w w:val="95"/>
        </w:rPr>
        <w:t>for</w:t>
      </w:r>
      <w:r>
        <w:rPr>
          <w:spacing w:val="-9"/>
          <w:w w:val="95"/>
        </w:rPr>
        <w:t xml:space="preserve"> </w:t>
      </w:r>
      <w:r>
        <w:rPr>
          <w:w w:val="95"/>
        </w:rPr>
        <w:t>seven kilometres).</w:t>
      </w:r>
      <w:r>
        <w:rPr>
          <w:spacing w:val="-4"/>
          <w:w w:val="95"/>
        </w:rPr>
        <w:t xml:space="preserve"> </w:t>
      </w:r>
      <w:r>
        <w:rPr>
          <w:w w:val="95"/>
        </w:rPr>
        <w:t>This</w:t>
      </w:r>
      <w:r>
        <w:rPr>
          <w:spacing w:val="-4"/>
          <w:w w:val="95"/>
        </w:rPr>
        <w:t xml:space="preserve"> </w:t>
      </w:r>
      <w:r>
        <w:rPr>
          <w:w w:val="95"/>
        </w:rPr>
        <w:t>is</w:t>
      </w:r>
      <w:r>
        <w:rPr>
          <w:spacing w:val="-4"/>
          <w:w w:val="95"/>
        </w:rPr>
        <w:t xml:space="preserve"> </w:t>
      </w:r>
      <w:r>
        <w:rPr>
          <w:w w:val="95"/>
        </w:rPr>
        <w:t>consistent</w:t>
      </w:r>
      <w:r>
        <w:rPr>
          <w:spacing w:val="-4"/>
          <w:w w:val="95"/>
        </w:rPr>
        <w:t xml:space="preserve"> </w:t>
      </w:r>
      <w:r>
        <w:rPr>
          <w:w w:val="95"/>
        </w:rPr>
        <w:t>with</w:t>
      </w:r>
      <w:r>
        <w:rPr>
          <w:spacing w:val="-4"/>
          <w:w w:val="95"/>
        </w:rPr>
        <w:t xml:space="preserve"> </w:t>
      </w:r>
      <w:r>
        <w:rPr>
          <w:w w:val="95"/>
        </w:rPr>
        <w:t>the</w:t>
      </w:r>
      <w:r>
        <w:rPr>
          <w:spacing w:val="-4"/>
          <w:w w:val="95"/>
        </w:rPr>
        <w:t xml:space="preserve"> </w:t>
      </w:r>
      <w:r>
        <w:rPr>
          <w:w w:val="95"/>
        </w:rPr>
        <w:t>cost</w:t>
      </w:r>
      <w:r>
        <w:rPr>
          <w:spacing w:val="-4"/>
          <w:w w:val="95"/>
        </w:rPr>
        <w:t xml:space="preserve"> </w:t>
      </w:r>
      <w:r>
        <w:rPr>
          <w:w w:val="95"/>
        </w:rPr>
        <w:t>per</w:t>
      </w:r>
      <w:r>
        <w:rPr>
          <w:spacing w:val="-4"/>
          <w:w w:val="95"/>
        </w:rPr>
        <w:t xml:space="preserve"> </w:t>
      </w:r>
      <w:r>
        <w:rPr>
          <w:w w:val="95"/>
        </w:rPr>
        <w:t xml:space="preserve">kilometre </w:t>
      </w:r>
      <w:r>
        <w:t>for Gold Coast Light Rail.</w:t>
      </w:r>
    </w:p>
    <w:p w:rsidR="002C1123" w:rsidRDefault="00F22F94">
      <w:pPr>
        <w:pStyle w:val="BodyText"/>
        <w:spacing w:before="117" w:line="240" w:lineRule="atLeast"/>
        <w:ind w:left="492"/>
      </w:pPr>
      <w:r>
        <w:rPr>
          <w:w w:val="90"/>
        </w:rPr>
        <w:t xml:space="preserve">Given the target market, consideration should also be given </w:t>
      </w:r>
      <w:r>
        <w:rPr>
          <w:w w:val="95"/>
        </w:rPr>
        <w:t>to</w:t>
      </w:r>
      <w:r>
        <w:rPr>
          <w:spacing w:val="-8"/>
          <w:w w:val="95"/>
        </w:rPr>
        <w:t xml:space="preserve"> </w:t>
      </w:r>
      <w:r>
        <w:rPr>
          <w:w w:val="95"/>
        </w:rPr>
        <w:t>whether</w:t>
      </w:r>
      <w:r>
        <w:rPr>
          <w:spacing w:val="-8"/>
          <w:w w:val="95"/>
        </w:rPr>
        <w:t xml:space="preserve"> </w:t>
      </w:r>
      <w:r>
        <w:rPr>
          <w:w w:val="95"/>
        </w:rPr>
        <w:t>it</w:t>
      </w:r>
      <w:r>
        <w:rPr>
          <w:spacing w:val="-8"/>
          <w:w w:val="95"/>
        </w:rPr>
        <w:t xml:space="preserve"> </w:t>
      </w:r>
      <w:r>
        <w:rPr>
          <w:w w:val="95"/>
        </w:rPr>
        <w:t>be</w:t>
      </w:r>
      <w:r>
        <w:rPr>
          <w:spacing w:val="-8"/>
          <w:w w:val="95"/>
        </w:rPr>
        <w:t xml:space="preserve"> </w:t>
      </w:r>
      <w:r>
        <w:rPr>
          <w:w w:val="95"/>
        </w:rPr>
        <w:t>part-funded</w:t>
      </w:r>
      <w:r>
        <w:rPr>
          <w:spacing w:val="-8"/>
          <w:w w:val="95"/>
        </w:rPr>
        <w:t xml:space="preserve"> </w:t>
      </w:r>
      <w:r>
        <w:rPr>
          <w:w w:val="95"/>
        </w:rPr>
        <w:t>by</w:t>
      </w:r>
      <w:r>
        <w:rPr>
          <w:spacing w:val="-8"/>
          <w:w w:val="95"/>
        </w:rPr>
        <w:t xml:space="preserve"> </w:t>
      </w:r>
      <w:r>
        <w:rPr>
          <w:w w:val="95"/>
        </w:rPr>
        <w:t>the</w:t>
      </w:r>
      <w:r>
        <w:rPr>
          <w:spacing w:val="-8"/>
          <w:w w:val="95"/>
        </w:rPr>
        <w:t xml:space="preserve"> </w:t>
      </w:r>
      <w:r>
        <w:rPr>
          <w:w w:val="95"/>
        </w:rPr>
        <w:t>beneficiary</w:t>
      </w:r>
      <w:r>
        <w:rPr>
          <w:spacing w:val="-8"/>
          <w:w w:val="95"/>
        </w:rPr>
        <w:t xml:space="preserve"> </w:t>
      </w:r>
      <w:r>
        <w:rPr>
          <w:w w:val="95"/>
        </w:rPr>
        <w:t>institutions or</w:t>
      </w:r>
      <w:r>
        <w:rPr>
          <w:spacing w:val="-7"/>
          <w:w w:val="95"/>
        </w:rPr>
        <w:t xml:space="preserve"> </w:t>
      </w:r>
      <w:r>
        <w:rPr>
          <w:w w:val="95"/>
        </w:rPr>
        <w:t>their</w:t>
      </w:r>
      <w:r>
        <w:rPr>
          <w:spacing w:val="-7"/>
          <w:w w:val="95"/>
        </w:rPr>
        <w:t xml:space="preserve"> </w:t>
      </w:r>
      <w:r>
        <w:rPr>
          <w:w w:val="95"/>
        </w:rPr>
        <w:t>patrons,</w:t>
      </w:r>
      <w:r>
        <w:rPr>
          <w:spacing w:val="-7"/>
          <w:w w:val="95"/>
        </w:rPr>
        <w:t xml:space="preserve"> </w:t>
      </w:r>
      <w:r>
        <w:rPr>
          <w:w w:val="95"/>
        </w:rPr>
        <w:t>in</w:t>
      </w:r>
      <w:r>
        <w:rPr>
          <w:spacing w:val="-7"/>
          <w:w w:val="95"/>
        </w:rPr>
        <w:t xml:space="preserve"> </w:t>
      </w:r>
      <w:r>
        <w:rPr>
          <w:w w:val="95"/>
        </w:rPr>
        <w:t>order</w:t>
      </w:r>
      <w:r>
        <w:rPr>
          <w:spacing w:val="-7"/>
          <w:w w:val="95"/>
        </w:rPr>
        <w:t xml:space="preserve"> </w:t>
      </w:r>
      <w:r>
        <w:rPr>
          <w:w w:val="95"/>
        </w:rPr>
        <w:t>to</w:t>
      </w:r>
      <w:r>
        <w:rPr>
          <w:spacing w:val="-7"/>
          <w:w w:val="95"/>
        </w:rPr>
        <w:t xml:space="preserve"> </w:t>
      </w:r>
      <w:r>
        <w:rPr>
          <w:w w:val="95"/>
        </w:rPr>
        <w:t>reduce</w:t>
      </w:r>
      <w:r>
        <w:rPr>
          <w:spacing w:val="-7"/>
          <w:w w:val="95"/>
        </w:rPr>
        <w:t xml:space="preserve"> </w:t>
      </w:r>
      <w:r>
        <w:rPr>
          <w:w w:val="95"/>
        </w:rPr>
        <w:t>the</w:t>
      </w:r>
      <w:r>
        <w:rPr>
          <w:spacing w:val="-7"/>
          <w:w w:val="95"/>
        </w:rPr>
        <w:t xml:space="preserve"> </w:t>
      </w:r>
      <w:r>
        <w:rPr>
          <w:w w:val="95"/>
        </w:rPr>
        <w:t>costs</w:t>
      </w:r>
      <w:r>
        <w:rPr>
          <w:spacing w:val="-7"/>
          <w:w w:val="95"/>
        </w:rPr>
        <w:t xml:space="preserve"> </w:t>
      </w:r>
      <w:r>
        <w:rPr>
          <w:w w:val="95"/>
        </w:rPr>
        <w:t>to</w:t>
      </w:r>
      <w:r>
        <w:rPr>
          <w:spacing w:val="-7"/>
          <w:w w:val="95"/>
        </w:rPr>
        <w:t xml:space="preserve"> </w:t>
      </w:r>
      <w:r>
        <w:rPr>
          <w:w w:val="95"/>
        </w:rPr>
        <w:t>taxpayers.</w:t>
      </w:r>
    </w:p>
    <w:p w:rsidR="002C1123" w:rsidRDefault="00F22F94">
      <w:pPr>
        <w:pStyle w:val="BodyText"/>
        <w:spacing w:before="106" w:line="249" w:lineRule="auto"/>
        <w:ind w:left="187" w:right="57"/>
      </w:pPr>
      <w:r>
        <w:br w:type="column"/>
      </w:r>
      <w:r>
        <w:t>The</w:t>
      </w:r>
      <w:r>
        <w:rPr>
          <w:spacing w:val="-9"/>
        </w:rPr>
        <w:t xml:space="preserve"> </w:t>
      </w:r>
      <w:r>
        <w:t>business</w:t>
      </w:r>
      <w:r>
        <w:rPr>
          <w:spacing w:val="-9"/>
        </w:rPr>
        <w:t xml:space="preserve"> </w:t>
      </w:r>
      <w:r>
        <w:t>case</w:t>
      </w:r>
      <w:r>
        <w:rPr>
          <w:spacing w:val="-9"/>
        </w:rPr>
        <w:t xml:space="preserve"> </w:t>
      </w:r>
      <w:r>
        <w:t>to</w:t>
      </w:r>
      <w:r>
        <w:rPr>
          <w:spacing w:val="-9"/>
        </w:rPr>
        <w:t xml:space="preserve"> </w:t>
      </w:r>
      <w:r>
        <w:t>support</w:t>
      </w:r>
      <w:r>
        <w:rPr>
          <w:spacing w:val="-9"/>
        </w:rPr>
        <w:t xml:space="preserve"> </w:t>
      </w:r>
      <w:r>
        <w:t>any</w:t>
      </w:r>
      <w:r>
        <w:rPr>
          <w:spacing w:val="-9"/>
        </w:rPr>
        <w:t xml:space="preserve"> </w:t>
      </w:r>
      <w:r>
        <w:t>investment</w:t>
      </w:r>
      <w:r>
        <w:rPr>
          <w:spacing w:val="-9"/>
        </w:rPr>
        <w:t xml:space="preserve"> </w:t>
      </w:r>
      <w:r>
        <w:t>by Government,</w:t>
      </w:r>
      <w:r>
        <w:rPr>
          <w:spacing w:val="-14"/>
        </w:rPr>
        <w:t xml:space="preserve"> </w:t>
      </w:r>
      <w:r>
        <w:t>and</w:t>
      </w:r>
      <w:r>
        <w:rPr>
          <w:spacing w:val="-14"/>
        </w:rPr>
        <w:t xml:space="preserve"> </w:t>
      </w:r>
      <w:r>
        <w:t>demonstrate</w:t>
      </w:r>
      <w:r>
        <w:rPr>
          <w:spacing w:val="-14"/>
        </w:rPr>
        <w:t xml:space="preserve"> </w:t>
      </w:r>
      <w:r>
        <w:t>value-for-money,</w:t>
      </w:r>
      <w:r>
        <w:rPr>
          <w:spacing w:val="-14"/>
        </w:rPr>
        <w:t xml:space="preserve"> </w:t>
      </w:r>
      <w:r>
        <w:t>will need</w:t>
      </w:r>
      <w:r>
        <w:rPr>
          <w:spacing w:val="-10"/>
        </w:rPr>
        <w:t xml:space="preserve"> </w:t>
      </w:r>
      <w:r>
        <w:t>to</w:t>
      </w:r>
      <w:r>
        <w:rPr>
          <w:spacing w:val="-10"/>
        </w:rPr>
        <w:t xml:space="preserve"> </w:t>
      </w:r>
      <w:r>
        <w:t>compare</w:t>
      </w:r>
      <w:r>
        <w:rPr>
          <w:spacing w:val="-10"/>
        </w:rPr>
        <w:t xml:space="preserve"> </w:t>
      </w:r>
      <w:r>
        <w:t>the</w:t>
      </w:r>
      <w:r>
        <w:rPr>
          <w:spacing w:val="-10"/>
        </w:rPr>
        <w:t xml:space="preserve"> </w:t>
      </w:r>
      <w:r>
        <w:t>preferred</w:t>
      </w:r>
      <w:r>
        <w:rPr>
          <w:spacing w:val="-10"/>
        </w:rPr>
        <w:t xml:space="preserve"> </w:t>
      </w:r>
      <w:r>
        <w:t>light</w:t>
      </w:r>
      <w:r>
        <w:rPr>
          <w:spacing w:val="-10"/>
        </w:rPr>
        <w:t xml:space="preserve"> </w:t>
      </w:r>
      <w:r>
        <w:t>rail</w:t>
      </w:r>
      <w:r>
        <w:rPr>
          <w:spacing w:val="-10"/>
        </w:rPr>
        <w:t xml:space="preserve"> </w:t>
      </w:r>
      <w:r>
        <w:t>proposal</w:t>
      </w:r>
      <w:r>
        <w:rPr>
          <w:spacing w:val="-10"/>
        </w:rPr>
        <w:t xml:space="preserve"> </w:t>
      </w:r>
      <w:r>
        <w:t xml:space="preserve">to </w:t>
      </w:r>
      <w:r>
        <w:rPr>
          <w:w w:val="95"/>
        </w:rPr>
        <w:t>alternative</w:t>
      </w:r>
      <w:r>
        <w:rPr>
          <w:spacing w:val="-8"/>
          <w:w w:val="95"/>
        </w:rPr>
        <w:t xml:space="preserve"> </w:t>
      </w:r>
      <w:r>
        <w:rPr>
          <w:w w:val="95"/>
        </w:rPr>
        <w:t>options,</w:t>
      </w:r>
      <w:r>
        <w:rPr>
          <w:spacing w:val="-8"/>
          <w:w w:val="95"/>
        </w:rPr>
        <w:t xml:space="preserve"> </w:t>
      </w:r>
      <w:r>
        <w:rPr>
          <w:w w:val="95"/>
        </w:rPr>
        <w:t>for</w:t>
      </w:r>
      <w:r>
        <w:rPr>
          <w:spacing w:val="-8"/>
          <w:w w:val="95"/>
        </w:rPr>
        <w:t xml:space="preserve"> </w:t>
      </w:r>
      <w:r>
        <w:rPr>
          <w:w w:val="95"/>
        </w:rPr>
        <w:t>example</w:t>
      </w:r>
      <w:r>
        <w:rPr>
          <w:spacing w:val="-8"/>
          <w:w w:val="95"/>
        </w:rPr>
        <w:t xml:space="preserve"> </w:t>
      </w:r>
      <w:r>
        <w:rPr>
          <w:w w:val="95"/>
        </w:rPr>
        <w:t>improving</w:t>
      </w:r>
      <w:r>
        <w:rPr>
          <w:spacing w:val="-8"/>
          <w:w w:val="95"/>
        </w:rPr>
        <w:t xml:space="preserve"> </w:t>
      </w:r>
      <w:r>
        <w:rPr>
          <w:w w:val="95"/>
        </w:rPr>
        <w:t>existing</w:t>
      </w:r>
      <w:r>
        <w:rPr>
          <w:spacing w:val="-8"/>
          <w:w w:val="95"/>
        </w:rPr>
        <w:t xml:space="preserve"> </w:t>
      </w:r>
      <w:r>
        <w:rPr>
          <w:w w:val="95"/>
        </w:rPr>
        <w:t xml:space="preserve">bus </w:t>
      </w:r>
      <w:r>
        <w:t>services</w:t>
      </w:r>
      <w:r>
        <w:rPr>
          <w:spacing w:val="-2"/>
        </w:rPr>
        <w:t xml:space="preserve"> </w:t>
      </w:r>
      <w:r>
        <w:t>or</w:t>
      </w:r>
      <w:r>
        <w:rPr>
          <w:spacing w:val="-2"/>
        </w:rPr>
        <w:t xml:space="preserve"> </w:t>
      </w:r>
      <w:r>
        <w:t>using</w:t>
      </w:r>
      <w:r>
        <w:rPr>
          <w:spacing w:val="-2"/>
        </w:rPr>
        <w:t xml:space="preserve"> </w:t>
      </w:r>
      <w:r>
        <w:t>higher</w:t>
      </w:r>
      <w:r>
        <w:rPr>
          <w:spacing w:val="-2"/>
        </w:rPr>
        <w:t xml:space="preserve"> </w:t>
      </w:r>
      <w:r>
        <w:t>capacity</w:t>
      </w:r>
      <w:r>
        <w:rPr>
          <w:spacing w:val="-2"/>
        </w:rPr>
        <w:t xml:space="preserve"> </w:t>
      </w:r>
      <w:r>
        <w:t>buses.</w:t>
      </w:r>
    </w:p>
    <w:p w:rsidR="002C1123" w:rsidRDefault="002060EF">
      <w:pPr>
        <w:pStyle w:val="BodyText"/>
        <w:spacing w:before="146" w:line="249" w:lineRule="auto"/>
        <w:ind w:left="187" w:right="57" w:firstLine="43"/>
      </w:pPr>
      <w:r>
        <w:pict>
          <v:shape id="docshape1355" o:spid="_x0000_s3872" type="#_x0000_t202" style="position:absolute;left:0;text-align:left;margin-left:300.95pt;margin-top:63.75pt;width:239pt;height:81.35pt;z-index:251402240;mso-position-horizontal-relative:page" fillcolor="#e1e0e1" stroked="f">
            <v:textbox inset="0,0,0,0">
              <w:txbxContent>
                <w:p w:rsidR="00F22F94" w:rsidRDefault="00F22F94">
                  <w:pPr>
                    <w:pStyle w:val="BodyText"/>
                    <w:spacing w:before="68" w:line="249" w:lineRule="auto"/>
                    <w:ind w:left="113" w:right="115"/>
                    <w:rPr>
                      <w:color w:val="000000"/>
                    </w:rPr>
                  </w:pPr>
                  <w:r>
                    <w:rPr>
                      <w:b/>
                      <w:color w:val="00AEEF"/>
                    </w:rPr>
                    <w:t>Recommendation</w:t>
                  </w:r>
                  <w:r>
                    <w:rPr>
                      <w:b/>
                      <w:color w:val="00AEEF"/>
                      <w:spacing w:val="40"/>
                    </w:rPr>
                    <w:t xml:space="preserve"> </w:t>
                  </w:r>
                  <w:r>
                    <w:rPr>
                      <w:color w:val="000000"/>
                    </w:rPr>
                    <w:t>Infrastructure NSW recommends</w:t>
                  </w:r>
                  <w:r>
                    <w:rPr>
                      <w:color w:val="000000"/>
                      <w:spacing w:val="-9"/>
                    </w:rPr>
                    <w:t xml:space="preserve"> </w:t>
                  </w:r>
                  <w:r>
                    <w:rPr>
                      <w:color w:val="000000"/>
                    </w:rPr>
                    <w:t>that</w:t>
                  </w:r>
                  <w:r>
                    <w:rPr>
                      <w:color w:val="000000"/>
                      <w:spacing w:val="-9"/>
                    </w:rPr>
                    <w:t xml:space="preserve"> </w:t>
                  </w:r>
                  <w:r>
                    <w:rPr>
                      <w:color w:val="000000"/>
                    </w:rPr>
                    <w:t>TfNSW</w:t>
                  </w:r>
                  <w:r>
                    <w:rPr>
                      <w:color w:val="000000"/>
                      <w:spacing w:val="-9"/>
                    </w:rPr>
                    <w:t xml:space="preserve"> </w:t>
                  </w:r>
                  <w:r>
                    <w:rPr>
                      <w:color w:val="000000"/>
                    </w:rPr>
                    <w:t>scope</w:t>
                  </w:r>
                  <w:r>
                    <w:rPr>
                      <w:color w:val="000000"/>
                      <w:spacing w:val="-9"/>
                    </w:rPr>
                    <w:t xml:space="preserve"> </w:t>
                  </w:r>
                  <w:r>
                    <w:rPr>
                      <w:color w:val="000000"/>
                    </w:rPr>
                    <w:t>the</w:t>
                  </w:r>
                  <w:r>
                    <w:rPr>
                      <w:color w:val="000000"/>
                      <w:spacing w:val="-9"/>
                    </w:rPr>
                    <w:t xml:space="preserve"> </w:t>
                  </w:r>
                  <w:r>
                    <w:rPr>
                      <w:color w:val="000000"/>
                    </w:rPr>
                    <w:t>Anzac</w:t>
                  </w:r>
                  <w:r>
                    <w:rPr>
                      <w:color w:val="000000"/>
                      <w:spacing w:val="-9"/>
                    </w:rPr>
                    <w:t xml:space="preserve"> </w:t>
                  </w:r>
                  <w:r>
                    <w:rPr>
                      <w:color w:val="000000"/>
                    </w:rPr>
                    <w:t xml:space="preserve">Parade </w:t>
                  </w:r>
                  <w:r>
                    <w:rPr>
                      <w:color w:val="000000"/>
                      <w:w w:val="95"/>
                    </w:rPr>
                    <w:t>light</w:t>
                  </w:r>
                  <w:r>
                    <w:rPr>
                      <w:color w:val="000000"/>
                      <w:spacing w:val="-10"/>
                      <w:w w:val="95"/>
                    </w:rPr>
                    <w:t xml:space="preserve"> </w:t>
                  </w:r>
                  <w:r>
                    <w:rPr>
                      <w:color w:val="000000"/>
                      <w:w w:val="95"/>
                    </w:rPr>
                    <w:t>rail</w:t>
                  </w:r>
                  <w:r>
                    <w:rPr>
                      <w:color w:val="000000"/>
                      <w:spacing w:val="-10"/>
                      <w:w w:val="95"/>
                    </w:rPr>
                    <w:t xml:space="preserve"> </w:t>
                  </w:r>
                  <w:r>
                    <w:rPr>
                      <w:color w:val="000000"/>
                      <w:w w:val="95"/>
                    </w:rPr>
                    <w:t>project</w:t>
                  </w:r>
                  <w:r>
                    <w:rPr>
                      <w:color w:val="000000"/>
                      <w:spacing w:val="-10"/>
                      <w:w w:val="95"/>
                    </w:rPr>
                    <w:t xml:space="preserve"> </w:t>
                  </w:r>
                  <w:r>
                    <w:rPr>
                      <w:color w:val="000000"/>
                      <w:w w:val="95"/>
                    </w:rPr>
                    <w:t>from</w:t>
                  </w:r>
                  <w:r>
                    <w:rPr>
                      <w:color w:val="000000"/>
                      <w:spacing w:val="-11"/>
                      <w:w w:val="95"/>
                    </w:rPr>
                    <w:t xml:space="preserve"> </w:t>
                  </w:r>
                  <w:r>
                    <w:rPr>
                      <w:color w:val="000000"/>
                      <w:w w:val="95"/>
                    </w:rPr>
                    <w:t>Central</w:t>
                  </w:r>
                  <w:r>
                    <w:rPr>
                      <w:color w:val="000000"/>
                      <w:spacing w:val="-10"/>
                      <w:w w:val="95"/>
                    </w:rPr>
                    <w:t xml:space="preserve"> </w:t>
                  </w:r>
                  <w:r>
                    <w:rPr>
                      <w:color w:val="000000"/>
                      <w:w w:val="95"/>
                    </w:rPr>
                    <w:t>to</w:t>
                  </w:r>
                  <w:r>
                    <w:rPr>
                      <w:color w:val="000000"/>
                      <w:spacing w:val="-10"/>
                      <w:w w:val="95"/>
                    </w:rPr>
                    <w:t xml:space="preserve"> </w:t>
                  </w:r>
                  <w:r>
                    <w:rPr>
                      <w:color w:val="000000"/>
                      <w:w w:val="95"/>
                    </w:rPr>
                    <w:t>the</w:t>
                  </w:r>
                  <w:r>
                    <w:rPr>
                      <w:color w:val="000000"/>
                      <w:spacing w:val="-10"/>
                      <w:w w:val="95"/>
                    </w:rPr>
                    <w:t xml:space="preserve"> </w:t>
                  </w:r>
                  <w:r>
                    <w:rPr>
                      <w:color w:val="000000"/>
                      <w:w w:val="95"/>
                    </w:rPr>
                    <w:t>University</w:t>
                  </w:r>
                  <w:r>
                    <w:rPr>
                      <w:color w:val="000000"/>
                      <w:spacing w:val="-10"/>
                      <w:w w:val="95"/>
                    </w:rPr>
                    <w:t xml:space="preserve"> </w:t>
                  </w:r>
                  <w:r>
                    <w:rPr>
                      <w:color w:val="000000"/>
                      <w:w w:val="95"/>
                    </w:rPr>
                    <w:t>of</w:t>
                  </w:r>
                  <w:r>
                    <w:rPr>
                      <w:color w:val="000000"/>
                      <w:spacing w:val="-10"/>
                      <w:w w:val="95"/>
                    </w:rPr>
                    <w:t xml:space="preserve"> </w:t>
                  </w:r>
                  <w:r>
                    <w:rPr>
                      <w:color w:val="000000"/>
                      <w:w w:val="95"/>
                    </w:rPr>
                    <w:t xml:space="preserve">NSW, </w:t>
                  </w:r>
                  <w:r>
                    <w:rPr>
                      <w:color w:val="000000"/>
                    </w:rPr>
                    <w:t>within</w:t>
                  </w:r>
                  <w:r>
                    <w:rPr>
                      <w:color w:val="000000"/>
                      <w:spacing w:val="-9"/>
                    </w:rPr>
                    <w:t xml:space="preserve"> </w:t>
                  </w:r>
                  <w:r>
                    <w:rPr>
                      <w:color w:val="000000"/>
                    </w:rPr>
                    <w:t>a</w:t>
                  </w:r>
                  <w:r>
                    <w:rPr>
                      <w:color w:val="000000"/>
                      <w:spacing w:val="-9"/>
                    </w:rPr>
                    <w:t xml:space="preserve"> </w:t>
                  </w:r>
                  <w:r>
                    <w:rPr>
                      <w:color w:val="000000"/>
                    </w:rPr>
                    <w:t>scoping</w:t>
                  </w:r>
                  <w:r>
                    <w:rPr>
                      <w:color w:val="000000"/>
                      <w:spacing w:val="-9"/>
                    </w:rPr>
                    <w:t xml:space="preserve"> </w:t>
                  </w:r>
                  <w:r>
                    <w:rPr>
                      <w:color w:val="000000"/>
                    </w:rPr>
                    <w:t>estimate</w:t>
                  </w:r>
                  <w:r>
                    <w:rPr>
                      <w:color w:val="000000"/>
                      <w:spacing w:val="-9"/>
                    </w:rPr>
                    <w:t xml:space="preserve"> </w:t>
                  </w:r>
                  <w:r>
                    <w:rPr>
                      <w:color w:val="000000"/>
                    </w:rPr>
                    <w:t>of</w:t>
                  </w:r>
                  <w:r>
                    <w:rPr>
                      <w:color w:val="000000"/>
                      <w:spacing w:val="-9"/>
                    </w:rPr>
                    <w:t xml:space="preserve"> </w:t>
                  </w:r>
                  <w:r>
                    <w:rPr>
                      <w:color w:val="000000"/>
                    </w:rPr>
                    <w:t>$500</w:t>
                  </w:r>
                  <w:r>
                    <w:rPr>
                      <w:color w:val="000000"/>
                      <w:spacing w:val="-9"/>
                    </w:rPr>
                    <w:t xml:space="preserve"> </w:t>
                  </w:r>
                  <w:r>
                    <w:rPr>
                      <w:color w:val="000000"/>
                    </w:rPr>
                    <w:t>million.</w:t>
                  </w:r>
                  <w:r>
                    <w:rPr>
                      <w:color w:val="000000"/>
                      <w:spacing w:val="-9"/>
                    </w:rPr>
                    <w:t xml:space="preserve"> </w:t>
                  </w:r>
                  <w:r>
                    <w:rPr>
                      <w:color w:val="000000"/>
                    </w:rPr>
                    <w:t>Subject</w:t>
                  </w:r>
                </w:p>
                <w:p w:rsidR="00F22F94" w:rsidRDefault="00F22F94">
                  <w:pPr>
                    <w:pStyle w:val="BodyText"/>
                    <w:spacing w:before="4" w:line="249" w:lineRule="auto"/>
                    <w:ind w:left="113"/>
                    <w:rPr>
                      <w:color w:val="000000"/>
                    </w:rPr>
                  </w:pPr>
                  <w:r>
                    <w:rPr>
                      <w:color w:val="000000"/>
                      <w:w w:val="95"/>
                    </w:rPr>
                    <w:t>to</w:t>
                  </w:r>
                  <w:r>
                    <w:rPr>
                      <w:color w:val="000000"/>
                      <w:spacing w:val="-2"/>
                      <w:w w:val="95"/>
                    </w:rPr>
                    <w:t xml:space="preserve"> </w:t>
                  </w:r>
                  <w:r>
                    <w:rPr>
                      <w:color w:val="000000"/>
                      <w:w w:val="95"/>
                    </w:rPr>
                    <w:t>a</w:t>
                  </w:r>
                  <w:r>
                    <w:rPr>
                      <w:color w:val="000000"/>
                      <w:spacing w:val="-2"/>
                      <w:w w:val="95"/>
                    </w:rPr>
                    <w:t xml:space="preserve"> </w:t>
                  </w:r>
                  <w:r>
                    <w:rPr>
                      <w:color w:val="000000"/>
                      <w:w w:val="95"/>
                    </w:rPr>
                    <w:t>satisfactory</w:t>
                  </w:r>
                  <w:r>
                    <w:rPr>
                      <w:color w:val="000000"/>
                      <w:spacing w:val="-2"/>
                      <w:w w:val="95"/>
                    </w:rPr>
                    <w:t xml:space="preserve"> </w:t>
                  </w:r>
                  <w:r>
                    <w:rPr>
                      <w:color w:val="000000"/>
                      <w:w w:val="95"/>
                    </w:rPr>
                    <w:t>business</w:t>
                  </w:r>
                  <w:r>
                    <w:rPr>
                      <w:color w:val="000000"/>
                      <w:spacing w:val="-2"/>
                      <w:w w:val="95"/>
                    </w:rPr>
                    <w:t xml:space="preserve"> </w:t>
                  </w:r>
                  <w:r>
                    <w:rPr>
                      <w:color w:val="000000"/>
                      <w:w w:val="95"/>
                    </w:rPr>
                    <w:t>case</w:t>
                  </w:r>
                  <w:r>
                    <w:rPr>
                      <w:color w:val="000000"/>
                      <w:spacing w:val="-2"/>
                      <w:w w:val="95"/>
                    </w:rPr>
                    <w:t xml:space="preserve"> </w:t>
                  </w:r>
                  <w:r>
                    <w:rPr>
                      <w:color w:val="000000"/>
                      <w:w w:val="95"/>
                    </w:rPr>
                    <w:t>the</w:t>
                  </w:r>
                  <w:r>
                    <w:rPr>
                      <w:color w:val="000000"/>
                      <w:spacing w:val="-2"/>
                      <w:w w:val="95"/>
                    </w:rPr>
                    <w:t xml:space="preserve"> </w:t>
                  </w:r>
                  <w:r>
                    <w:rPr>
                      <w:color w:val="000000"/>
                      <w:w w:val="95"/>
                    </w:rPr>
                    <w:t>project</w:t>
                  </w:r>
                  <w:r>
                    <w:rPr>
                      <w:color w:val="000000"/>
                      <w:spacing w:val="-2"/>
                      <w:w w:val="95"/>
                    </w:rPr>
                    <w:t xml:space="preserve"> </w:t>
                  </w:r>
                  <w:r>
                    <w:rPr>
                      <w:color w:val="000000"/>
                      <w:w w:val="95"/>
                    </w:rPr>
                    <w:t>could</w:t>
                  </w:r>
                  <w:r>
                    <w:rPr>
                      <w:color w:val="000000"/>
                      <w:spacing w:val="-2"/>
                      <w:w w:val="95"/>
                    </w:rPr>
                    <w:t xml:space="preserve"> </w:t>
                  </w:r>
                  <w:r>
                    <w:rPr>
                      <w:color w:val="000000"/>
                      <w:w w:val="95"/>
                    </w:rPr>
                    <w:t xml:space="preserve">be </w:t>
                  </w:r>
                  <w:r>
                    <w:rPr>
                      <w:color w:val="000000"/>
                    </w:rPr>
                    <w:t>delivered</w:t>
                  </w:r>
                  <w:r>
                    <w:rPr>
                      <w:color w:val="000000"/>
                      <w:spacing w:val="-4"/>
                    </w:rPr>
                    <w:t xml:space="preserve"> </w:t>
                  </w:r>
                  <w:r>
                    <w:rPr>
                      <w:color w:val="000000"/>
                    </w:rPr>
                    <w:t>within</w:t>
                  </w:r>
                  <w:r>
                    <w:rPr>
                      <w:color w:val="000000"/>
                      <w:spacing w:val="-4"/>
                    </w:rPr>
                    <w:t xml:space="preserve"> </w:t>
                  </w:r>
                  <w:r>
                    <w:rPr>
                      <w:color w:val="000000"/>
                    </w:rPr>
                    <w:t>the</w:t>
                  </w:r>
                  <w:r>
                    <w:rPr>
                      <w:color w:val="000000"/>
                      <w:spacing w:val="-4"/>
                    </w:rPr>
                    <w:t xml:space="preserve"> </w:t>
                  </w:r>
                  <w:r>
                    <w:rPr>
                      <w:color w:val="000000"/>
                    </w:rPr>
                    <w:t>next</w:t>
                  </w:r>
                  <w:r>
                    <w:rPr>
                      <w:color w:val="000000"/>
                      <w:spacing w:val="-4"/>
                    </w:rPr>
                    <w:t xml:space="preserve"> </w:t>
                  </w:r>
                  <w:r>
                    <w:rPr>
                      <w:color w:val="000000"/>
                    </w:rPr>
                    <w:t>5</w:t>
                  </w:r>
                  <w:r>
                    <w:rPr>
                      <w:color w:val="000000"/>
                      <w:spacing w:val="-4"/>
                    </w:rPr>
                    <w:t xml:space="preserve"> </w:t>
                  </w:r>
                  <w:r>
                    <w:rPr>
                      <w:color w:val="000000"/>
                    </w:rPr>
                    <w:t>years.</w:t>
                  </w:r>
                </w:p>
              </w:txbxContent>
            </v:textbox>
            <w10:wrap anchorx="page"/>
          </v:shape>
        </w:pict>
      </w:r>
      <w:r w:rsidR="00F22F94">
        <w:rPr>
          <w:w w:val="95"/>
        </w:rPr>
        <w:t>TfNSW has developed both bus and light rail options for</w:t>
      </w:r>
      <w:r w:rsidR="00F22F94">
        <w:rPr>
          <w:spacing w:val="-5"/>
          <w:w w:val="95"/>
        </w:rPr>
        <w:t xml:space="preserve"> </w:t>
      </w:r>
      <w:r w:rsidR="00F22F94">
        <w:rPr>
          <w:w w:val="95"/>
        </w:rPr>
        <w:t>this</w:t>
      </w:r>
      <w:r w:rsidR="00F22F94">
        <w:rPr>
          <w:spacing w:val="-5"/>
          <w:w w:val="95"/>
        </w:rPr>
        <w:t xml:space="preserve"> </w:t>
      </w:r>
      <w:r w:rsidR="00F22F94">
        <w:rPr>
          <w:w w:val="95"/>
        </w:rPr>
        <w:t>corridor</w:t>
      </w:r>
      <w:r w:rsidR="00F22F94">
        <w:rPr>
          <w:spacing w:val="-5"/>
          <w:w w:val="95"/>
        </w:rPr>
        <w:t xml:space="preserve"> </w:t>
      </w:r>
      <w:r w:rsidR="00F22F94">
        <w:rPr>
          <w:w w:val="95"/>
        </w:rPr>
        <w:t>and</w:t>
      </w:r>
      <w:r w:rsidR="00F22F94">
        <w:rPr>
          <w:spacing w:val="-5"/>
          <w:w w:val="95"/>
        </w:rPr>
        <w:t xml:space="preserve"> </w:t>
      </w:r>
      <w:r w:rsidR="00F22F94">
        <w:rPr>
          <w:w w:val="95"/>
        </w:rPr>
        <w:t>the</w:t>
      </w:r>
      <w:r w:rsidR="00F22F94">
        <w:rPr>
          <w:spacing w:val="-5"/>
          <w:w w:val="95"/>
        </w:rPr>
        <w:t xml:space="preserve"> </w:t>
      </w:r>
      <w:r w:rsidR="00F22F94">
        <w:rPr>
          <w:w w:val="95"/>
        </w:rPr>
        <w:t>detailed</w:t>
      </w:r>
      <w:r w:rsidR="00F22F94">
        <w:rPr>
          <w:spacing w:val="-5"/>
          <w:w w:val="95"/>
        </w:rPr>
        <w:t xml:space="preserve"> </w:t>
      </w:r>
      <w:r w:rsidR="00F22F94">
        <w:rPr>
          <w:w w:val="95"/>
        </w:rPr>
        <w:t>business</w:t>
      </w:r>
      <w:r w:rsidR="00F22F94">
        <w:rPr>
          <w:spacing w:val="-5"/>
          <w:w w:val="95"/>
        </w:rPr>
        <w:t xml:space="preserve"> </w:t>
      </w:r>
      <w:r w:rsidR="00F22F94">
        <w:rPr>
          <w:w w:val="95"/>
        </w:rPr>
        <w:t>case</w:t>
      </w:r>
      <w:r w:rsidR="00F22F94">
        <w:rPr>
          <w:spacing w:val="-5"/>
          <w:w w:val="95"/>
        </w:rPr>
        <w:t xml:space="preserve"> </w:t>
      </w:r>
      <w:r w:rsidR="00F22F94">
        <w:rPr>
          <w:w w:val="95"/>
        </w:rPr>
        <w:t>will</w:t>
      </w:r>
      <w:r w:rsidR="00F22F94">
        <w:rPr>
          <w:spacing w:val="-5"/>
          <w:w w:val="95"/>
        </w:rPr>
        <w:t xml:space="preserve"> </w:t>
      </w:r>
      <w:r w:rsidR="00F22F94">
        <w:rPr>
          <w:w w:val="95"/>
        </w:rPr>
        <w:t xml:space="preserve">be </w:t>
      </w:r>
      <w:r w:rsidR="00F22F94">
        <w:t>reviewed</w:t>
      </w:r>
      <w:r w:rsidR="00F22F94">
        <w:rPr>
          <w:spacing w:val="-13"/>
        </w:rPr>
        <w:t xml:space="preserve"> </w:t>
      </w:r>
      <w:r w:rsidR="00F22F94">
        <w:t>by</w:t>
      </w:r>
      <w:r w:rsidR="00F22F94">
        <w:rPr>
          <w:spacing w:val="-13"/>
        </w:rPr>
        <w:t xml:space="preserve"> </w:t>
      </w:r>
      <w:r w:rsidR="00F22F94">
        <w:t>Infrastructure</w:t>
      </w:r>
      <w:r w:rsidR="00F22F94">
        <w:rPr>
          <w:spacing w:val="-13"/>
        </w:rPr>
        <w:t xml:space="preserve"> </w:t>
      </w:r>
      <w:r w:rsidR="00F22F94">
        <w:t>NSW</w:t>
      </w:r>
      <w:r w:rsidR="00F22F94">
        <w:rPr>
          <w:spacing w:val="-13"/>
        </w:rPr>
        <w:t xml:space="preserve"> </w:t>
      </w:r>
      <w:r w:rsidR="00F22F94">
        <w:t>through</w:t>
      </w:r>
      <w:r w:rsidR="00F22F94">
        <w:rPr>
          <w:spacing w:val="-13"/>
        </w:rPr>
        <w:t xml:space="preserve"> </w:t>
      </w:r>
      <w:r w:rsidR="00F22F94">
        <w:t>its</w:t>
      </w:r>
      <w:r w:rsidR="00F22F94">
        <w:rPr>
          <w:spacing w:val="-13"/>
        </w:rPr>
        <w:t xml:space="preserve"> </w:t>
      </w:r>
      <w:r w:rsidR="00F22F94">
        <w:t>project assurance</w:t>
      </w:r>
      <w:r w:rsidR="00F22F94">
        <w:rPr>
          <w:spacing w:val="-14"/>
        </w:rPr>
        <w:t xml:space="preserve"> </w:t>
      </w:r>
      <w:r w:rsidR="00F22F94">
        <w:t>process</w:t>
      </w:r>
      <w:r w:rsidR="00F22F94">
        <w:rPr>
          <w:spacing w:val="-14"/>
        </w:rPr>
        <w:t xml:space="preserve"> </w:t>
      </w:r>
      <w:r w:rsidR="00F22F94">
        <w:t>(refer</w:t>
      </w:r>
      <w:r w:rsidR="00F22F94">
        <w:rPr>
          <w:spacing w:val="-14"/>
        </w:rPr>
        <w:t xml:space="preserve"> </w:t>
      </w:r>
      <w:r w:rsidR="00F22F94">
        <w:t>Section</w:t>
      </w:r>
      <w:r w:rsidR="00F22F94">
        <w:rPr>
          <w:spacing w:val="-13"/>
        </w:rPr>
        <w:t xml:space="preserve"> </w:t>
      </w:r>
      <w:r w:rsidR="00F22F94">
        <w:t>16).</w:t>
      </w: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spacing w:before="7"/>
        <w:rPr>
          <w:sz w:val="34"/>
        </w:rPr>
      </w:pPr>
    </w:p>
    <w:p w:rsidR="002C1123" w:rsidRDefault="00F22F94">
      <w:pPr>
        <w:pStyle w:val="Heading6"/>
        <w:numPr>
          <w:ilvl w:val="2"/>
          <w:numId w:val="92"/>
        </w:numPr>
        <w:tabs>
          <w:tab w:val="left" w:pos="674"/>
        </w:tabs>
        <w:spacing w:before="1"/>
        <w:ind w:left="673" w:hanging="487"/>
        <w:jc w:val="left"/>
        <w:rPr>
          <w:color w:val="00AEEF"/>
        </w:rPr>
      </w:pPr>
      <w:r>
        <w:rPr>
          <w:color w:val="00AEEF"/>
          <w:spacing w:val="-2"/>
        </w:rPr>
        <w:t>Northern</w:t>
      </w:r>
      <w:r>
        <w:rPr>
          <w:color w:val="00AEEF"/>
          <w:spacing w:val="-8"/>
        </w:rPr>
        <w:t xml:space="preserve"> </w:t>
      </w:r>
      <w:r>
        <w:rPr>
          <w:color w:val="00AEEF"/>
          <w:spacing w:val="-2"/>
        </w:rPr>
        <w:t>Beaches</w:t>
      </w:r>
      <w:r>
        <w:rPr>
          <w:color w:val="00AEEF"/>
          <w:spacing w:val="-8"/>
        </w:rPr>
        <w:t xml:space="preserve"> </w:t>
      </w:r>
      <w:r>
        <w:rPr>
          <w:color w:val="00AEEF"/>
          <w:spacing w:val="-2"/>
        </w:rPr>
        <w:t>Rapid</w:t>
      </w:r>
      <w:r>
        <w:rPr>
          <w:color w:val="00AEEF"/>
          <w:spacing w:val="-8"/>
        </w:rPr>
        <w:t xml:space="preserve"> </w:t>
      </w:r>
      <w:r>
        <w:rPr>
          <w:color w:val="00AEEF"/>
          <w:spacing w:val="-2"/>
        </w:rPr>
        <w:t>Transit</w:t>
      </w:r>
    </w:p>
    <w:p w:rsidR="002C1123" w:rsidRDefault="00F22F94">
      <w:pPr>
        <w:pStyle w:val="BodyText"/>
        <w:spacing w:before="95" w:line="249" w:lineRule="auto"/>
        <w:ind w:left="187" w:right="539"/>
      </w:pPr>
      <w:r>
        <w:rPr>
          <w:w w:val="95"/>
        </w:rPr>
        <w:t>The</w:t>
      </w:r>
      <w:r>
        <w:rPr>
          <w:spacing w:val="-12"/>
          <w:w w:val="95"/>
        </w:rPr>
        <w:t xml:space="preserve"> </w:t>
      </w:r>
      <w:r>
        <w:rPr>
          <w:w w:val="95"/>
        </w:rPr>
        <w:t>CBD</w:t>
      </w:r>
      <w:r>
        <w:rPr>
          <w:spacing w:val="-11"/>
          <w:w w:val="95"/>
        </w:rPr>
        <w:t xml:space="preserve"> </w:t>
      </w:r>
      <w:r>
        <w:rPr>
          <w:w w:val="95"/>
        </w:rPr>
        <w:t>BRT</w:t>
      </w:r>
      <w:r>
        <w:rPr>
          <w:spacing w:val="-11"/>
          <w:w w:val="95"/>
        </w:rPr>
        <w:t xml:space="preserve"> </w:t>
      </w:r>
      <w:r>
        <w:rPr>
          <w:w w:val="95"/>
        </w:rPr>
        <w:t>would</w:t>
      </w:r>
      <w:r>
        <w:rPr>
          <w:spacing w:val="-11"/>
          <w:w w:val="95"/>
        </w:rPr>
        <w:t xml:space="preserve"> </w:t>
      </w:r>
      <w:r>
        <w:rPr>
          <w:w w:val="95"/>
        </w:rPr>
        <w:t>provide</w:t>
      </w:r>
      <w:r>
        <w:rPr>
          <w:spacing w:val="-12"/>
          <w:w w:val="95"/>
        </w:rPr>
        <w:t xml:space="preserve"> </w:t>
      </w:r>
      <w:r>
        <w:rPr>
          <w:w w:val="95"/>
        </w:rPr>
        <w:t>significant</w:t>
      </w:r>
      <w:r>
        <w:rPr>
          <w:spacing w:val="-11"/>
          <w:w w:val="95"/>
        </w:rPr>
        <w:t xml:space="preserve"> </w:t>
      </w:r>
      <w:r>
        <w:rPr>
          <w:w w:val="95"/>
        </w:rPr>
        <w:t>benefits for</w:t>
      </w:r>
      <w:r>
        <w:rPr>
          <w:spacing w:val="-2"/>
          <w:w w:val="95"/>
        </w:rPr>
        <w:t xml:space="preserve"> </w:t>
      </w:r>
      <w:r>
        <w:rPr>
          <w:w w:val="95"/>
        </w:rPr>
        <w:t>all</w:t>
      </w:r>
      <w:r>
        <w:rPr>
          <w:spacing w:val="-2"/>
          <w:w w:val="95"/>
        </w:rPr>
        <w:t xml:space="preserve"> </w:t>
      </w:r>
      <w:r>
        <w:rPr>
          <w:w w:val="95"/>
        </w:rPr>
        <w:t>bus</w:t>
      </w:r>
      <w:r>
        <w:rPr>
          <w:spacing w:val="-2"/>
          <w:w w:val="95"/>
        </w:rPr>
        <w:t xml:space="preserve"> </w:t>
      </w:r>
      <w:r>
        <w:rPr>
          <w:w w:val="95"/>
        </w:rPr>
        <w:t>services</w:t>
      </w:r>
      <w:r>
        <w:rPr>
          <w:spacing w:val="-2"/>
          <w:w w:val="95"/>
        </w:rPr>
        <w:t xml:space="preserve"> </w:t>
      </w:r>
      <w:r>
        <w:rPr>
          <w:w w:val="95"/>
        </w:rPr>
        <w:t>accessing</w:t>
      </w:r>
      <w:r>
        <w:rPr>
          <w:spacing w:val="-2"/>
          <w:w w:val="95"/>
        </w:rPr>
        <w:t xml:space="preserve"> </w:t>
      </w:r>
      <w:r>
        <w:rPr>
          <w:w w:val="95"/>
        </w:rPr>
        <w:t>the</w:t>
      </w:r>
      <w:r>
        <w:rPr>
          <w:spacing w:val="-2"/>
          <w:w w:val="95"/>
        </w:rPr>
        <w:t xml:space="preserve"> </w:t>
      </w:r>
      <w:r>
        <w:rPr>
          <w:w w:val="95"/>
        </w:rPr>
        <w:t>CBD</w:t>
      </w:r>
      <w:r>
        <w:rPr>
          <w:spacing w:val="-2"/>
          <w:w w:val="95"/>
        </w:rPr>
        <w:t xml:space="preserve"> </w:t>
      </w:r>
      <w:r>
        <w:rPr>
          <w:w w:val="95"/>
        </w:rPr>
        <w:t>from</w:t>
      </w:r>
      <w:r>
        <w:rPr>
          <w:spacing w:val="-2"/>
          <w:w w:val="95"/>
        </w:rPr>
        <w:t xml:space="preserve"> </w:t>
      </w:r>
      <w:r>
        <w:rPr>
          <w:w w:val="95"/>
        </w:rPr>
        <w:t>the</w:t>
      </w:r>
    </w:p>
    <w:p w:rsidR="002C1123" w:rsidRDefault="00F22F94">
      <w:pPr>
        <w:pStyle w:val="BodyText"/>
        <w:spacing w:before="1" w:line="249" w:lineRule="auto"/>
        <w:ind w:left="187"/>
      </w:pPr>
      <w:r>
        <w:rPr>
          <w:w w:val="95"/>
        </w:rPr>
        <w:t>Sydney</w:t>
      </w:r>
      <w:r>
        <w:rPr>
          <w:spacing w:val="-8"/>
          <w:w w:val="95"/>
        </w:rPr>
        <w:t xml:space="preserve"> </w:t>
      </w:r>
      <w:r>
        <w:rPr>
          <w:w w:val="95"/>
        </w:rPr>
        <w:t>Harbour</w:t>
      </w:r>
      <w:r>
        <w:rPr>
          <w:spacing w:val="-8"/>
          <w:w w:val="95"/>
        </w:rPr>
        <w:t xml:space="preserve"> </w:t>
      </w:r>
      <w:r>
        <w:rPr>
          <w:w w:val="95"/>
        </w:rPr>
        <w:t>Bridge.</w:t>
      </w:r>
      <w:r>
        <w:rPr>
          <w:spacing w:val="-8"/>
          <w:w w:val="95"/>
        </w:rPr>
        <w:t xml:space="preserve"> </w:t>
      </w:r>
      <w:r>
        <w:rPr>
          <w:w w:val="95"/>
        </w:rPr>
        <w:t>However</w:t>
      </w:r>
      <w:r>
        <w:rPr>
          <w:spacing w:val="-8"/>
          <w:w w:val="95"/>
        </w:rPr>
        <w:t xml:space="preserve"> </w:t>
      </w:r>
      <w:r>
        <w:rPr>
          <w:w w:val="95"/>
        </w:rPr>
        <w:t>the</w:t>
      </w:r>
      <w:r>
        <w:rPr>
          <w:spacing w:val="-8"/>
          <w:w w:val="95"/>
        </w:rPr>
        <w:t xml:space="preserve"> </w:t>
      </w:r>
      <w:r>
        <w:rPr>
          <w:w w:val="95"/>
        </w:rPr>
        <w:t>Northern</w:t>
      </w:r>
      <w:r>
        <w:rPr>
          <w:spacing w:val="-8"/>
          <w:w w:val="95"/>
        </w:rPr>
        <w:t xml:space="preserve"> </w:t>
      </w:r>
      <w:r>
        <w:rPr>
          <w:w w:val="95"/>
        </w:rPr>
        <w:t xml:space="preserve">Beaches </w:t>
      </w:r>
      <w:r>
        <w:t>road</w:t>
      </w:r>
      <w:r>
        <w:rPr>
          <w:spacing w:val="-14"/>
        </w:rPr>
        <w:t xml:space="preserve"> </w:t>
      </w:r>
      <w:r>
        <w:t>corridor,</w:t>
      </w:r>
      <w:r>
        <w:rPr>
          <w:spacing w:val="-14"/>
        </w:rPr>
        <w:t xml:space="preserve"> </w:t>
      </w:r>
      <w:r>
        <w:t>from</w:t>
      </w:r>
      <w:r>
        <w:rPr>
          <w:spacing w:val="-14"/>
        </w:rPr>
        <w:t xml:space="preserve"> </w:t>
      </w:r>
      <w:r>
        <w:t>the</w:t>
      </w:r>
      <w:r>
        <w:rPr>
          <w:spacing w:val="-14"/>
        </w:rPr>
        <w:t xml:space="preserve"> </w:t>
      </w:r>
      <w:r>
        <w:t>Spit</w:t>
      </w:r>
      <w:r>
        <w:rPr>
          <w:spacing w:val="-14"/>
        </w:rPr>
        <w:t xml:space="preserve"> </w:t>
      </w:r>
      <w:r>
        <w:t>Bridge</w:t>
      </w:r>
      <w:r>
        <w:rPr>
          <w:spacing w:val="-14"/>
        </w:rPr>
        <w:t xml:space="preserve"> </w:t>
      </w:r>
      <w:r>
        <w:t>to</w:t>
      </w:r>
      <w:r>
        <w:rPr>
          <w:spacing w:val="-14"/>
        </w:rPr>
        <w:t xml:space="preserve"> </w:t>
      </w:r>
      <w:r>
        <w:t>North</w:t>
      </w:r>
      <w:r>
        <w:rPr>
          <w:spacing w:val="-14"/>
        </w:rPr>
        <w:t xml:space="preserve"> </w:t>
      </w:r>
      <w:r>
        <w:t>Sydney</w:t>
      </w:r>
    </w:p>
    <w:p w:rsidR="002C1123" w:rsidRDefault="00F22F94">
      <w:pPr>
        <w:pStyle w:val="BodyText"/>
        <w:spacing w:before="2" w:line="249" w:lineRule="auto"/>
        <w:ind w:left="187"/>
      </w:pPr>
      <w:r>
        <w:rPr>
          <w:w w:val="95"/>
        </w:rPr>
        <w:t>can also suffer significant congestion, especially at weekends</w:t>
      </w:r>
      <w:r>
        <w:rPr>
          <w:spacing w:val="-11"/>
          <w:w w:val="95"/>
        </w:rPr>
        <w:t xml:space="preserve"> </w:t>
      </w:r>
      <w:r>
        <w:rPr>
          <w:w w:val="95"/>
        </w:rPr>
        <w:t>when</w:t>
      </w:r>
      <w:r>
        <w:rPr>
          <w:spacing w:val="-11"/>
          <w:w w:val="95"/>
        </w:rPr>
        <w:t xml:space="preserve"> </w:t>
      </w:r>
      <w:r>
        <w:rPr>
          <w:w w:val="95"/>
        </w:rPr>
        <w:t>lane</w:t>
      </w:r>
      <w:r>
        <w:rPr>
          <w:spacing w:val="-11"/>
          <w:w w:val="95"/>
        </w:rPr>
        <w:t xml:space="preserve"> </w:t>
      </w:r>
      <w:r>
        <w:rPr>
          <w:w w:val="95"/>
        </w:rPr>
        <w:t>space</w:t>
      </w:r>
      <w:r>
        <w:rPr>
          <w:spacing w:val="-11"/>
          <w:w w:val="95"/>
        </w:rPr>
        <w:t xml:space="preserve"> </w:t>
      </w:r>
      <w:r>
        <w:rPr>
          <w:w w:val="95"/>
        </w:rPr>
        <w:t>on</w:t>
      </w:r>
      <w:r>
        <w:rPr>
          <w:spacing w:val="-11"/>
          <w:w w:val="95"/>
        </w:rPr>
        <w:t xml:space="preserve"> </w:t>
      </w:r>
      <w:r>
        <w:rPr>
          <w:w w:val="95"/>
        </w:rPr>
        <w:t>Military</w:t>
      </w:r>
      <w:r>
        <w:rPr>
          <w:spacing w:val="-11"/>
          <w:w w:val="95"/>
        </w:rPr>
        <w:t xml:space="preserve"> </w:t>
      </w:r>
      <w:r>
        <w:rPr>
          <w:w w:val="95"/>
        </w:rPr>
        <w:t>Road</w:t>
      </w:r>
      <w:r>
        <w:rPr>
          <w:spacing w:val="-11"/>
          <w:w w:val="95"/>
        </w:rPr>
        <w:t xml:space="preserve"> </w:t>
      </w:r>
      <w:r>
        <w:rPr>
          <w:w w:val="95"/>
        </w:rPr>
        <w:t>is</w:t>
      </w:r>
      <w:r>
        <w:rPr>
          <w:spacing w:val="-11"/>
          <w:w w:val="95"/>
        </w:rPr>
        <w:t xml:space="preserve"> </w:t>
      </w:r>
      <w:r>
        <w:rPr>
          <w:w w:val="95"/>
        </w:rPr>
        <w:t>given</w:t>
      </w:r>
      <w:r>
        <w:rPr>
          <w:spacing w:val="-11"/>
          <w:w w:val="95"/>
        </w:rPr>
        <w:t xml:space="preserve"> </w:t>
      </w:r>
      <w:r>
        <w:rPr>
          <w:w w:val="95"/>
        </w:rPr>
        <w:t xml:space="preserve">up </w:t>
      </w:r>
      <w:r>
        <w:t>to car parking.</w:t>
      </w:r>
    </w:p>
    <w:p w:rsidR="002C1123" w:rsidRDefault="00F22F94">
      <w:pPr>
        <w:pStyle w:val="BodyText"/>
        <w:spacing w:before="142" w:line="249" w:lineRule="auto"/>
        <w:ind w:left="187"/>
      </w:pPr>
      <w:r>
        <w:t>To</w:t>
      </w:r>
      <w:r>
        <w:rPr>
          <w:spacing w:val="-13"/>
        </w:rPr>
        <w:t xml:space="preserve"> </w:t>
      </w:r>
      <w:r>
        <w:t>improve</w:t>
      </w:r>
      <w:r>
        <w:rPr>
          <w:spacing w:val="-13"/>
        </w:rPr>
        <w:t xml:space="preserve"> </w:t>
      </w:r>
      <w:r>
        <w:t>the</w:t>
      </w:r>
      <w:r>
        <w:rPr>
          <w:spacing w:val="-13"/>
        </w:rPr>
        <w:t xml:space="preserve"> </w:t>
      </w:r>
      <w:r>
        <w:t>speed</w:t>
      </w:r>
      <w:r>
        <w:rPr>
          <w:spacing w:val="-13"/>
        </w:rPr>
        <w:t xml:space="preserve"> </w:t>
      </w:r>
      <w:r>
        <w:t>of</w:t>
      </w:r>
      <w:r>
        <w:rPr>
          <w:spacing w:val="-13"/>
        </w:rPr>
        <w:t xml:space="preserve"> </w:t>
      </w:r>
      <w:r>
        <w:t>bus</w:t>
      </w:r>
      <w:r>
        <w:rPr>
          <w:spacing w:val="-13"/>
        </w:rPr>
        <w:t xml:space="preserve"> </w:t>
      </w:r>
      <w:r>
        <w:t>services</w:t>
      </w:r>
      <w:r>
        <w:rPr>
          <w:spacing w:val="-13"/>
        </w:rPr>
        <w:t xml:space="preserve"> </w:t>
      </w:r>
      <w:r>
        <w:t>on</w:t>
      </w:r>
      <w:r>
        <w:rPr>
          <w:spacing w:val="-13"/>
        </w:rPr>
        <w:t xml:space="preserve"> </w:t>
      </w:r>
      <w:r>
        <w:t>this</w:t>
      </w:r>
      <w:r>
        <w:rPr>
          <w:spacing w:val="-13"/>
        </w:rPr>
        <w:t xml:space="preserve"> </w:t>
      </w:r>
      <w:r>
        <w:t xml:space="preserve">corridor, </w:t>
      </w:r>
      <w:r>
        <w:rPr>
          <w:spacing w:val="-2"/>
        </w:rPr>
        <w:t>TfNSW</w:t>
      </w:r>
      <w:r>
        <w:rPr>
          <w:spacing w:val="-11"/>
        </w:rPr>
        <w:t xml:space="preserve"> </w:t>
      </w:r>
      <w:r>
        <w:rPr>
          <w:spacing w:val="-2"/>
        </w:rPr>
        <w:t>has</w:t>
      </w:r>
      <w:r>
        <w:rPr>
          <w:spacing w:val="-11"/>
        </w:rPr>
        <w:t xml:space="preserve"> </w:t>
      </w:r>
      <w:r>
        <w:rPr>
          <w:spacing w:val="-2"/>
        </w:rPr>
        <w:t>investigated</w:t>
      </w:r>
      <w:r>
        <w:rPr>
          <w:spacing w:val="-11"/>
        </w:rPr>
        <w:t xml:space="preserve"> </w:t>
      </w:r>
      <w:r>
        <w:rPr>
          <w:spacing w:val="-2"/>
        </w:rPr>
        <w:t>building</w:t>
      </w:r>
      <w:r>
        <w:rPr>
          <w:spacing w:val="-11"/>
        </w:rPr>
        <w:t xml:space="preserve"> </w:t>
      </w:r>
      <w:r>
        <w:rPr>
          <w:spacing w:val="-2"/>
        </w:rPr>
        <w:t>a</w:t>
      </w:r>
      <w:r>
        <w:rPr>
          <w:spacing w:val="-11"/>
        </w:rPr>
        <w:t xml:space="preserve"> </w:t>
      </w:r>
      <w:r>
        <w:rPr>
          <w:spacing w:val="-2"/>
        </w:rPr>
        <w:t>new,</w:t>
      </w:r>
      <w:r>
        <w:rPr>
          <w:spacing w:val="-11"/>
        </w:rPr>
        <w:t xml:space="preserve"> </w:t>
      </w:r>
      <w:r>
        <w:rPr>
          <w:spacing w:val="-2"/>
        </w:rPr>
        <w:t xml:space="preserve">higher-level </w:t>
      </w:r>
      <w:r>
        <w:t>(non-opening)</w:t>
      </w:r>
      <w:r>
        <w:rPr>
          <w:spacing w:val="-14"/>
        </w:rPr>
        <w:t xml:space="preserve"> </w:t>
      </w:r>
      <w:r>
        <w:t>six-lane</w:t>
      </w:r>
      <w:r>
        <w:rPr>
          <w:spacing w:val="-14"/>
        </w:rPr>
        <w:t xml:space="preserve"> </w:t>
      </w:r>
      <w:r>
        <w:t>Spit</w:t>
      </w:r>
      <w:r>
        <w:rPr>
          <w:spacing w:val="-14"/>
        </w:rPr>
        <w:t xml:space="preserve"> </w:t>
      </w:r>
      <w:r>
        <w:t>Bridge</w:t>
      </w:r>
      <w:r>
        <w:rPr>
          <w:spacing w:val="-14"/>
        </w:rPr>
        <w:t xml:space="preserve"> </w:t>
      </w:r>
      <w:r>
        <w:t>and</w:t>
      </w:r>
      <w:r>
        <w:rPr>
          <w:spacing w:val="-14"/>
        </w:rPr>
        <w:t xml:space="preserve"> </w:t>
      </w:r>
      <w:r>
        <w:t>then</w:t>
      </w:r>
      <w:r>
        <w:rPr>
          <w:spacing w:val="-14"/>
        </w:rPr>
        <w:t xml:space="preserve"> </w:t>
      </w:r>
      <w:r>
        <w:t>either providing</w:t>
      </w:r>
      <w:r>
        <w:rPr>
          <w:spacing w:val="-10"/>
        </w:rPr>
        <w:t xml:space="preserve"> </w:t>
      </w:r>
      <w:r>
        <w:t>permanently</w:t>
      </w:r>
      <w:r>
        <w:rPr>
          <w:spacing w:val="-10"/>
        </w:rPr>
        <w:t xml:space="preserve"> </w:t>
      </w:r>
      <w:r>
        <w:t>dedicated</w:t>
      </w:r>
      <w:r>
        <w:rPr>
          <w:spacing w:val="-10"/>
        </w:rPr>
        <w:t xml:space="preserve"> </w:t>
      </w:r>
      <w:r>
        <w:t>bus</w:t>
      </w:r>
      <w:r>
        <w:rPr>
          <w:spacing w:val="-10"/>
        </w:rPr>
        <w:t xml:space="preserve"> </w:t>
      </w:r>
      <w:r>
        <w:t>lanes</w:t>
      </w:r>
      <w:r>
        <w:rPr>
          <w:spacing w:val="-10"/>
        </w:rPr>
        <w:t xml:space="preserve"> </w:t>
      </w:r>
      <w:r>
        <w:t xml:space="preserve">(which </w:t>
      </w:r>
      <w:r>
        <w:rPr>
          <w:w w:val="95"/>
        </w:rPr>
        <w:t>assumes</w:t>
      </w:r>
      <w:r>
        <w:rPr>
          <w:spacing w:val="-2"/>
          <w:w w:val="95"/>
        </w:rPr>
        <w:t xml:space="preserve"> </w:t>
      </w:r>
      <w:r>
        <w:rPr>
          <w:w w:val="95"/>
        </w:rPr>
        <w:t>existing</w:t>
      </w:r>
      <w:r>
        <w:rPr>
          <w:spacing w:val="-2"/>
          <w:w w:val="95"/>
        </w:rPr>
        <w:t xml:space="preserve"> </w:t>
      </w:r>
      <w:r>
        <w:rPr>
          <w:w w:val="95"/>
        </w:rPr>
        <w:t>on-street</w:t>
      </w:r>
      <w:r>
        <w:rPr>
          <w:spacing w:val="-2"/>
          <w:w w:val="95"/>
        </w:rPr>
        <w:t xml:space="preserve"> </w:t>
      </w:r>
      <w:r>
        <w:rPr>
          <w:w w:val="95"/>
        </w:rPr>
        <w:t>parking</w:t>
      </w:r>
      <w:r>
        <w:rPr>
          <w:spacing w:val="-2"/>
          <w:w w:val="95"/>
        </w:rPr>
        <w:t xml:space="preserve"> </w:t>
      </w:r>
      <w:r>
        <w:rPr>
          <w:w w:val="95"/>
        </w:rPr>
        <w:t>is</w:t>
      </w:r>
      <w:r>
        <w:rPr>
          <w:spacing w:val="-2"/>
          <w:w w:val="95"/>
        </w:rPr>
        <w:t xml:space="preserve"> </w:t>
      </w:r>
      <w:r>
        <w:rPr>
          <w:w w:val="95"/>
        </w:rPr>
        <w:t>replaced</w:t>
      </w:r>
      <w:r>
        <w:rPr>
          <w:spacing w:val="-2"/>
          <w:w w:val="95"/>
        </w:rPr>
        <w:t xml:space="preserve"> </w:t>
      </w:r>
      <w:r>
        <w:rPr>
          <w:w w:val="95"/>
        </w:rPr>
        <w:t>with</w:t>
      </w:r>
      <w:r>
        <w:rPr>
          <w:spacing w:val="-2"/>
          <w:w w:val="95"/>
        </w:rPr>
        <w:t xml:space="preserve"> </w:t>
      </w:r>
      <w:r>
        <w:rPr>
          <w:w w:val="95"/>
        </w:rPr>
        <w:t>new</w:t>
      </w:r>
    </w:p>
    <w:p w:rsidR="002C1123" w:rsidRDefault="00F22F94">
      <w:pPr>
        <w:pStyle w:val="BodyText"/>
        <w:spacing w:before="106" w:line="249" w:lineRule="auto"/>
        <w:ind w:left="259" w:right="1002"/>
      </w:pPr>
      <w:r>
        <w:br w:type="column"/>
      </w:r>
      <w:r>
        <w:rPr>
          <w:w w:val="95"/>
        </w:rPr>
        <w:t>TfNSW</w:t>
      </w:r>
      <w:r>
        <w:rPr>
          <w:spacing w:val="-5"/>
          <w:w w:val="95"/>
        </w:rPr>
        <w:t xml:space="preserve"> </w:t>
      </w:r>
      <w:r>
        <w:rPr>
          <w:w w:val="95"/>
        </w:rPr>
        <w:t>analysis</w:t>
      </w:r>
      <w:r>
        <w:rPr>
          <w:spacing w:val="-5"/>
          <w:w w:val="95"/>
        </w:rPr>
        <w:t xml:space="preserve"> </w:t>
      </w:r>
      <w:r>
        <w:rPr>
          <w:w w:val="95"/>
        </w:rPr>
        <w:t>suggests</w:t>
      </w:r>
      <w:r>
        <w:rPr>
          <w:spacing w:val="-5"/>
          <w:w w:val="95"/>
        </w:rPr>
        <w:t xml:space="preserve"> </w:t>
      </w:r>
      <w:r>
        <w:rPr>
          <w:w w:val="95"/>
        </w:rPr>
        <w:t>the</w:t>
      </w:r>
      <w:r>
        <w:rPr>
          <w:spacing w:val="-5"/>
          <w:w w:val="95"/>
        </w:rPr>
        <w:t xml:space="preserve"> </w:t>
      </w:r>
      <w:r>
        <w:rPr>
          <w:w w:val="95"/>
        </w:rPr>
        <w:t>cost</w:t>
      </w:r>
      <w:r>
        <w:rPr>
          <w:spacing w:val="-5"/>
          <w:w w:val="95"/>
        </w:rPr>
        <w:t xml:space="preserve"> </w:t>
      </w:r>
      <w:r>
        <w:rPr>
          <w:w w:val="95"/>
        </w:rPr>
        <w:t>of</w:t>
      </w:r>
      <w:r>
        <w:rPr>
          <w:spacing w:val="-5"/>
          <w:w w:val="95"/>
        </w:rPr>
        <w:t xml:space="preserve"> </w:t>
      </w:r>
      <w:r>
        <w:rPr>
          <w:w w:val="95"/>
        </w:rPr>
        <w:t>these</w:t>
      </w:r>
      <w:r>
        <w:rPr>
          <w:spacing w:val="-5"/>
          <w:w w:val="95"/>
        </w:rPr>
        <w:t xml:space="preserve"> </w:t>
      </w:r>
      <w:r>
        <w:rPr>
          <w:w w:val="95"/>
        </w:rPr>
        <w:t>options</w:t>
      </w:r>
      <w:r>
        <w:rPr>
          <w:spacing w:val="-5"/>
          <w:w w:val="95"/>
        </w:rPr>
        <w:t xml:space="preserve"> </w:t>
      </w:r>
      <w:r>
        <w:rPr>
          <w:w w:val="95"/>
        </w:rPr>
        <w:t>is difficult to justify, especially given the relatively small time</w:t>
      </w:r>
      <w:r>
        <w:rPr>
          <w:spacing w:val="-10"/>
          <w:w w:val="95"/>
        </w:rPr>
        <w:t xml:space="preserve"> </w:t>
      </w:r>
      <w:r>
        <w:rPr>
          <w:w w:val="95"/>
        </w:rPr>
        <w:t>savings</w:t>
      </w:r>
      <w:r>
        <w:rPr>
          <w:spacing w:val="-10"/>
          <w:w w:val="95"/>
        </w:rPr>
        <w:t xml:space="preserve"> </w:t>
      </w:r>
      <w:r>
        <w:rPr>
          <w:w w:val="95"/>
        </w:rPr>
        <w:t>(negligible</w:t>
      </w:r>
      <w:r>
        <w:rPr>
          <w:spacing w:val="-10"/>
          <w:w w:val="95"/>
        </w:rPr>
        <w:t xml:space="preserve"> </w:t>
      </w:r>
      <w:r>
        <w:rPr>
          <w:w w:val="95"/>
        </w:rPr>
        <w:t>for</w:t>
      </w:r>
      <w:r>
        <w:rPr>
          <w:spacing w:val="-10"/>
          <w:w w:val="95"/>
        </w:rPr>
        <w:t xml:space="preserve"> </w:t>
      </w:r>
      <w:r>
        <w:rPr>
          <w:w w:val="95"/>
        </w:rPr>
        <w:t>all-stops</w:t>
      </w:r>
      <w:r>
        <w:rPr>
          <w:spacing w:val="-10"/>
          <w:w w:val="95"/>
        </w:rPr>
        <w:t xml:space="preserve"> </w:t>
      </w:r>
      <w:r>
        <w:rPr>
          <w:w w:val="95"/>
        </w:rPr>
        <w:t>services</w:t>
      </w:r>
      <w:r>
        <w:rPr>
          <w:spacing w:val="-10"/>
          <w:w w:val="95"/>
        </w:rPr>
        <w:t xml:space="preserve"> </w:t>
      </w:r>
      <w:r>
        <w:rPr>
          <w:w w:val="95"/>
        </w:rPr>
        <w:t>forecast in</w:t>
      </w:r>
      <w:r>
        <w:rPr>
          <w:spacing w:val="-6"/>
          <w:w w:val="95"/>
        </w:rPr>
        <w:t xml:space="preserve"> </w:t>
      </w:r>
      <w:r>
        <w:rPr>
          <w:w w:val="95"/>
        </w:rPr>
        <w:t>weekday</w:t>
      </w:r>
      <w:r>
        <w:rPr>
          <w:spacing w:val="-6"/>
          <w:w w:val="95"/>
        </w:rPr>
        <w:t xml:space="preserve"> </w:t>
      </w:r>
      <w:r>
        <w:rPr>
          <w:w w:val="95"/>
        </w:rPr>
        <w:t>peak</w:t>
      </w:r>
      <w:r>
        <w:rPr>
          <w:spacing w:val="-6"/>
          <w:w w:val="95"/>
        </w:rPr>
        <w:t xml:space="preserve"> </w:t>
      </w:r>
      <w:r>
        <w:rPr>
          <w:w w:val="95"/>
        </w:rPr>
        <w:t>hours),</w:t>
      </w:r>
      <w:r>
        <w:rPr>
          <w:spacing w:val="-6"/>
          <w:w w:val="95"/>
        </w:rPr>
        <w:t xml:space="preserve"> </w:t>
      </w:r>
      <w:r>
        <w:rPr>
          <w:w w:val="95"/>
        </w:rPr>
        <w:t>when</w:t>
      </w:r>
      <w:r>
        <w:rPr>
          <w:spacing w:val="-6"/>
          <w:w w:val="95"/>
        </w:rPr>
        <w:t xml:space="preserve"> </w:t>
      </w:r>
      <w:r>
        <w:rPr>
          <w:w w:val="95"/>
        </w:rPr>
        <w:t>parking</w:t>
      </w:r>
      <w:r>
        <w:rPr>
          <w:spacing w:val="-6"/>
          <w:w w:val="95"/>
        </w:rPr>
        <w:t xml:space="preserve"> </w:t>
      </w:r>
      <w:r>
        <w:rPr>
          <w:w w:val="95"/>
        </w:rPr>
        <w:t>clearways</w:t>
      </w:r>
      <w:r>
        <w:rPr>
          <w:spacing w:val="-6"/>
          <w:w w:val="95"/>
        </w:rPr>
        <w:t xml:space="preserve"> </w:t>
      </w:r>
      <w:r>
        <w:rPr>
          <w:w w:val="95"/>
        </w:rPr>
        <w:t>are already</w:t>
      </w:r>
      <w:r>
        <w:rPr>
          <w:spacing w:val="-4"/>
          <w:w w:val="95"/>
        </w:rPr>
        <w:t xml:space="preserve"> </w:t>
      </w:r>
      <w:r>
        <w:rPr>
          <w:w w:val="95"/>
        </w:rPr>
        <w:t>in</w:t>
      </w:r>
      <w:r>
        <w:rPr>
          <w:spacing w:val="-4"/>
          <w:w w:val="95"/>
        </w:rPr>
        <w:t xml:space="preserve"> </w:t>
      </w:r>
      <w:r>
        <w:rPr>
          <w:w w:val="95"/>
        </w:rPr>
        <w:t>force</w:t>
      </w:r>
      <w:r>
        <w:rPr>
          <w:w w:val="95"/>
          <w:position w:val="7"/>
          <w:sz w:val="11"/>
        </w:rPr>
        <w:t>16</w:t>
      </w:r>
      <w:r>
        <w:rPr>
          <w:w w:val="95"/>
        </w:rPr>
        <w:t>.</w:t>
      </w:r>
      <w:r>
        <w:rPr>
          <w:spacing w:val="-4"/>
          <w:w w:val="95"/>
        </w:rPr>
        <w:t xml:space="preserve"> </w:t>
      </w:r>
      <w:r>
        <w:rPr>
          <w:w w:val="95"/>
        </w:rPr>
        <w:t>However,</w:t>
      </w:r>
      <w:r>
        <w:rPr>
          <w:spacing w:val="-4"/>
          <w:w w:val="95"/>
        </w:rPr>
        <w:t xml:space="preserve"> </w:t>
      </w:r>
      <w:r>
        <w:rPr>
          <w:w w:val="95"/>
        </w:rPr>
        <w:t>there</w:t>
      </w:r>
      <w:r>
        <w:rPr>
          <w:spacing w:val="-4"/>
          <w:w w:val="95"/>
        </w:rPr>
        <w:t xml:space="preserve"> </w:t>
      </w:r>
      <w:r>
        <w:rPr>
          <w:w w:val="95"/>
        </w:rPr>
        <w:t>is</w:t>
      </w:r>
      <w:r>
        <w:rPr>
          <w:spacing w:val="-4"/>
          <w:w w:val="95"/>
        </w:rPr>
        <w:t xml:space="preserve"> </w:t>
      </w:r>
      <w:r>
        <w:rPr>
          <w:w w:val="95"/>
        </w:rPr>
        <w:t>merit</w:t>
      </w:r>
      <w:r>
        <w:rPr>
          <w:spacing w:val="-4"/>
          <w:w w:val="95"/>
        </w:rPr>
        <w:t xml:space="preserve"> </w:t>
      </w:r>
      <w:r>
        <w:rPr>
          <w:w w:val="95"/>
        </w:rPr>
        <w:t>in</w:t>
      </w:r>
      <w:r>
        <w:rPr>
          <w:spacing w:val="-4"/>
          <w:w w:val="95"/>
        </w:rPr>
        <w:t xml:space="preserve"> </w:t>
      </w:r>
      <w:r>
        <w:rPr>
          <w:w w:val="95"/>
        </w:rPr>
        <w:t xml:space="preserve">pursuing </w:t>
      </w:r>
      <w:r>
        <w:t>further</w:t>
      </w:r>
      <w:r>
        <w:rPr>
          <w:spacing w:val="-1"/>
        </w:rPr>
        <w:t xml:space="preserve"> </w:t>
      </w:r>
      <w:r>
        <w:t>options</w:t>
      </w:r>
      <w:r>
        <w:rPr>
          <w:spacing w:val="-1"/>
        </w:rPr>
        <w:t xml:space="preserve"> </w:t>
      </w:r>
      <w:r>
        <w:t>including,</w:t>
      </w:r>
      <w:r>
        <w:rPr>
          <w:spacing w:val="-1"/>
        </w:rPr>
        <w:t xml:space="preserve"> </w:t>
      </w:r>
      <w:r>
        <w:t>for</w:t>
      </w:r>
      <w:r>
        <w:rPr>
          <w:spacing w:val="-1"/>
        </w:rPr>
        <w:t xml:space="preserve"> </w:t>
      </w:r>
      <w:r>
        <w:t>example:</w:t>
      </w:r>
    </w:p>
    <w:p w:rsidR="002C1123" w:rsidRDefault="00F22F94">
      <w:pPr>
        <w:pStyle w:val="ListParagraph"/>
        <w:numPr>
          <w:ilvl w:val="3"/>
          <w:numId w:val="92"/>
        </w:numPr>
        <w:tabs>
          <w:tab w:val="left" w:pos="544"/>
        </w:tabs>
        <w:spacing w:before="134" w:line="249" w:lineRule="auto"/>
        <w:ind w:left="543" w:right="874" w:hanging="284"/>
        <w:rPr>
          <w:sz w:val="20"/>
        </w:rPr>
      </w:pPr>
      <w:r>
        <w:rPr>
          <w:w w:val="95"/>
          <w:sz w:val="20"/>
        </w:rPr>
        <w:t>measures</w:t>
      </w:r>
      <w:r>
        <w:rPr>
          <w:spacing w:val="-11"/>
          <w:w w:val="95"/>
          <w:sz w:val="20"/>
        </w:rPr>
        <w:t xml:space="preserve"> </w:t>
      </w:r>
      <w:r>
        <w:rPr>
          <w:w w:val="95"/>
          <w:sz w:val="20"/>
        </w:rPr>
        <w:t>to</w:t>
      </w:r>
      <w:r>
        <w:rPr>
          <w:spacing w:val="-11"/>
          <w:w w:val="95"/>
          <w:sz w:val="20"/>
        </w:rPr>
        <w:t xml:space="preserve"> </w:t>
      </w:r>
      <w:r>
        <w:rPr>
          <w:w w:val="95"/>
          <w:sz w:val="20"/>
        </w:rPr>
        <w:t>make</w:t>
      </w:r>
      <w:r>
        <w:rPr>
          <w:spacing w:val="-11"/>
          <w:w w:val="95"/>
          <w:sz w:val="20"/>
        </w:rPr>
        <w:t xml:space="preserve"> </w:t>
      </w:r>
      <w:r>
        <w:rPr>
          <w:w w:val="95"/>
          <w:sz w:val="20"/>
        </w:rPr>
        <w:t>six</w:t>
      </w:r>
      <w:r>
        <w:rPr>
          <w:spacing w:val="-11"/>
          <w:w w:val="95"/>
          <w:sz w:val="20"/>
        </w:rPr>
        <w:t xml:space="preserve"> </w:t>
      </w:r>
      <w:r>
        <w:rPr>
          <w:w w:val="95"/>
          <w:sz w:val="20"/>
        </w:rPr>
        <w:t>lanes</w:t>
      </w:r>
      <w:r>
        <w:rPr>
          <w:spacing w:val="-11"/>
          <w:w w:val="95"/>
          <w:sz w:val="20"/>
        </w:rPr>
        <w:t xml:space="preserve"> </w:t>
      </w:r>
      <w:r>
        <w:rPr>
          <w:w w:val="95"/>
          <w:sz w:val="20"/>
        </w:rPr>
        <w:t>available</w:t>
      </w:r>
      <w:r>
        <w:rPr>
          <w:spacing w:val="-11"/>
          <w:w w:val="95"/>
          <w:sz w:val="20"/>
        </w:rPr>
        <w:t xml:space="preserve"> </w:t>
      </w:r>
      <w:r>
        <w:rPr>
          <w:w w:val="95"/>
          <w:sz w:val="20"/>
        </w:rPr>
        <w:t>to</w:t>
      </w:r>
      <w:r>
        <w:rPr>
          <w:spacing w:val="-11"/>
          <w:w w:val="95"/>
          <w:sz w:val="20"/>
        </w:rPr>
        <w:t xml:space="preserve"> </w:t>
      </w:r>
      <w:r>
        <w:rPr>
          <w:w w:val="95"/>
          <w:sz w:val="20"/>
        </w:rPr>
        <w:t>traffic</w:t>
      </w:r>
      <w:r>
        <w:rPr>
          <w:spacing w:val="-11"/>
          <w:w w:val="95"/>
          <w:sz w:val="20"/>
        </w:rPr>
        <w:t xml:space="preserve"> </w:t>
      </w:r>
      <w:r>
        <w:rPr>
          <w:w w:val="95"/>
          <w:sz w:val="20"/>
        </w:rPr>
        <w:t xml:space="preserve">along </w:t>
      </w:r>
      <w:r>
        <w:rPr>
          <w:sz w:val="20"/>
        </w:rPr>
        <w:t>the</w:t>
      </w:r>
      <w:r>
        <w:rPr>
          <w:spacing w:val="-14"/>
          <w:sz w:val="20"/>
        </w:rPr>
        <w:t xml:space="preserve"> </w:t>
      </w:r>
      <w:r>
        <w:rPr>
          <w:sz w:val="20"/>
        </w:rPr>
        <w:t>full</w:t>
      </w:r>
      <w:r>
        <w:rPr>
          <w:spacing w:val="-14"/>
          <w:sz w:val="20"/>
        </w:rPr>
        <w:t xml:space="preserve"> </w:t>
      </w:r>
      <w:r>
        <w:rPr>
          <w:sz w:val="20"/>
        </w:rPr>
        <w:t>length</w:t>
      </w:r>
      <w:r>
        <w:rPr>
          <w:spacing w:val="-14"/>
          <w:sz w:val="20"/>
        </w:rPr>
        <w:t xml:space="preserve"> </w:t>
      </w:r>
      <w:r>
        <w:rPr>
          <w:sz w:val="20"/>
        </w:rPr>
        <w:t>of</w:t>
      </w:r>
      <w:r>
        <w:rPr>
          <w:spacing w:val="-14"/>
          <w:sz w:val="20"/>
        </w:rPr>
        <w:t xml:space="preserve"> </w:t>
      </w:r>
      <w:r>
        <w:rPr>
          <w:sz w:val="20"/>
        </w:rPr>
        <w:t>Military</w:t>
      </w:r>
      <w:r>
        <w:rPr>
          <w:spacing w:val="-14"/>
          <w:sz w:val="20"/>
        </w:rPr>
        <w:t xml:space="preserve"> </w:t>
      </w:r>
      <w:r>
        <w:rPr>
          <w:sz w:val="20"/>
        </w:rPr>
        <w:t>Road</w:t>
      </w:r>
      <w:r>
        <w:rPr>
          <w:spacing w:val="-14"/>
          <w:sz w:val="20"/>
        </w:rPr>
        <w:t xml:space="preserve"> </w:t>
      </w:r>
      <w:r>
        <w:rPr>
          <w:sz w:val="20"/>
        </w:rPr>
        <w:t>(recognising</w:t>
      </w:r>
      <w:r>
        <w:rPr>
          <w:spacing w:val="-14"/>
          <w:sz w:val="20"/>
        </w:rPr>
        <w:t xml:space="preserve"> </w:t>
      </w:r>
      <w:r>
        <w:rPr>
          <w:sz w:val="20"/>
        </w:rPr>
        <w:t>that</w:t>
      </w:r>
    </w:p>
    <w:p w:rsidR="002C1123" w:rsidRDefault="00F22F94">
      <w:pPr>
        <w:pStyle w:val="BodyText"/>
        <w:spacing w:before="1" w:line="249" w:lineRule="auto"/>
        <w:ind w:left="543" w:right="703"/>
      </w:pPr>
      <w:r>
        <w:t>this</w:t>
      </w:r>
      <w:r>
        <w:rPr>
          <w:spacing w:val="-11"/>
        </w:rPr>
        <w:t xml:space="preserve"> </w:t>
      </w:r>
      <w:r>
        <w:t>may</w:t>
      </w:r>
      <w:r>
        <w:rPr>
          <w:spacing w:val="-11"/>
        </w:rPr>
        <w:t xml:space="preserve"> </w:t>
      </w:r>
      <w:r>
        <w:t>require</w:t>
      </w:r>
      <w:r>
        <w:rPr>
          <w:spacing w:val="-11"/>
        </w:rPr>
        <w:t xml:space="preserve"> </w:t>
      </w:r>
      <w:r>
        <w:t>some</w:t>
      </w:r>
      <w:r>
        <w:rPr>
          <w:spacing w:val="-11"/>
        </w:rPr>
        <w:t xml:space="preserve"> </w:t>
      </w:r>
      <w:r>
        <w:t>property</w:t>
      </w:r>
      <w:r>
        <w:rPr>
          <w:spacing w:val="-11"/>
        </w:rPr>
        <w:t xml:space="preserve"> </w:t>
      </w:r>
      <w:r>
        <w:t>acquisition</w:t>
      </w:r>
      <w:r>
        <w:rPr>
          <w:spacing w:val="-11"/>
        </w:rPr>
        <w:t xml:space="preserve"> </w:t>
      </w:r>
      <w:r>
        <w:t xml:space="preserve">and/or </w:t>
      </w:r>
      <w:r>
        <w:rPr>
          <w:w w:val="95"/>
        </w:rPr>
        <w:t>accepting</w:t>
      </w:r>
      <w:r>
        <w:rPr>
          <w:spacing w:val="-1"/>
          <w:w w:val="95"/>
        </w:rPr>
        <w:t xml:space="preserve"> </w:t>
      </w:r>
      <w:r>
        <w:rPr>
          <w:w w:val="95"/>
        </w:rPr>
        <w:t>less</w:t>
      </w:r>
      <w:r>
        <w:rPr>
          <w:spacing w:val="-1"/>
          <w:w w:val="95"/>
        </w:rPr>
        <w:t xml:space="preserve"> </w:t>
      </w:r>
      <w:r>
        <w:rPr>
          <w:w w:val="95"/>
        </w:rPr>
        <w:t>space</w:t>
      </w:r>
      <w:r>
        <w:rPr>
          <w:spacing w:val="-1"/>
          <w:w w:val="95"/>
        </w:rPr>
        <w:t xml:space="preserve"> </w:t>
      </w:r>
      <w:r>
        <w:rPr>
          <w:w w:val="95"/>
        </w:rPr>
        <w:t>allocated</w:t>
      </w:r>
      <w:r>
        <w:rPr>
          <w:spacing w:val="-1"/>
          <w:w w:val="95"/>
        </w:rPr>
        <w:t xml:space="preserve"> </w:t>
      </w:r>
      <w:r>
        <w:rPr>
          <w:w w:val="95"/>
        </w:rPr>
        <w:t>to</w:t>
      </w:r>
      <w:r>
        <w:rPr>
          <w:spacing w:val="-1"/>
          <w:w w:val="95"/>
        </w:rPr>
        <w:t xml:space="preserve"> </w:t>
      </w:r>
      <w:r>
        <w:rPr>
          <w:w w:val="95"/>
        </w:rPr>
        <w:t>parking</w:t>
      </w:r>
      <w:r>
        <w:rPr>
          <w:spacing w:val="-1"/>
          <w:w w:val="95"/>
        </w:rPr>
        <w:t xml:space="preserve"> </w:t>
      </w:r>
      <w:r>
        <w:rPr>
          <w:w w:val="95"/>
        </w:rPr>
        <w:t>or</w:t>
      </w:r>
      <w:r>
        <w:rPr>
          <w:spacing w:val="-1"/>
          <w:w w:val="95"/>
        </w:rPr>
        <w:t xml:space="preserve"> </w:t>
      </w:r>
      <w:r>
        <w:rPr>
          <w:w w:val="95"/>
        </w:rPr>
        <w:t xml:space="preserve">turning </w:t>
      </w:r>
      <w:r>
        <w:rPr>
          <w:spacing w:val="-2"/>
        </w:rPr>
        <w:t>lanes)</w:t>
      </w:r>
    </w:p>
    <w:p w:rsidR="002C1123" w:rsidRDefault="00F22F94">
      <w:pPr>
        <w:pStyle w:val="ListParagraph"/>
        <w:numPr>
          <w:ilvl w:val="3"/>
          <w:numId w:val="92"/>
        </w:numPr>
        <w:tabs>
          <w:tab w:val="left" w:pos="544"/>
        </w:tabs>
        <w:spacing w:before="132" w:line="249" w:lineRule="auto"/>
        <w:ind w:left="543" w:right="1236" w:hanging="284"/>
        <w:rPr>
          <w:sz w:val="20"/>
        </w:rPr>
      </w:pPr>
      <w:r>
        <w:rPr>
          <w:w w:val="95"/>
          <w:sz w:val="20"/>
        </w:rPr>
        <w:t>a</w:t>
      </w:r>
      <w:r>
        <w:rPr>
          <w:spacing w:val="-5"/>
          <w:w w:val="95"/>
          <w:sz w:val="20"/>
        </w:rPr>
        <w:t xml:space="preserve"> </w:t>
      </w:r>
      <w:r>
        <w:rPr>
          <w:w w:val="95"/>
          <w:sz w:val="20"/>
        </w:rPr>
        <w:t>‘clip</w:t>
      </w:r>
      <w:r>
        <w:rPr>
          <w:spacing w:val="-5"/>
          <w:w w:val="95"/>
          <w:sz w:val="20"/>
        </w:rPr>
        <w:t xml:space="preserve"> </w:t>
      </w:r>
      <w:r>
        <w:rPr>
          <w:w w:val="95"/>
          <w:sz w:val="20"/>
        </w:rPr>
        <w:t>on’</w:t>
      </w:r>
      <w:r>
        <w:rPr>
          <w:spacing w:val="-5"/>
          <w:w w:val="95"/>
          <w:sz w:val="20"/>
        </w:rPr>
        <w:t xml:space="preserve"> </w:t>
      </w:r>
      <w:r>
        <w:rPr>
          <w:w w:val="95"/>
          <w:sz w:val="20"/>
        </w:rPr>
        <w:t>lane</w:t>
      </w:r>
      <w:r>
        <w:rPr>
          <w:spacing w:val="-5"/>
          <w:w w:val="95"/>
          <w:sz w:val="20"/>
        </w:rPr>
        <w:t xml:space="preserve"> </w:t>
      </w:r>
      <w:r>
        <w:rPr>
          <w:w w:val="95"/>
          <w:sz w:val="20"/>
        </w:rPr>
        <w:t>added</w:t>
      </w:r>
      <w:r>
        <w:rPr>
          <w:spacing w:val="-5"/>
          <w:w w:val="95"/>
          <w:sz w:val="20"/>
        </w:rPr>
        <w:t xml:space="preserve"> </w:t>
      </w:r>
      <w:r>
        <w:rPr>
          <w:w w:val="95"/>
          <w:sz w:val="20"/>
        </w:rPr>
        <w:t>to</w:t>
      </w:r>
      <w:r>
        <w:rPr>
          <w:spacing w:val="-5"/>
          <w:w w:val="95"/>
          <w:sz w:val="20"/>
        </w:rPr>
        <w:t xml:space="preserve"> </w:t>
      </w:r>
      <w:r>
        <w:rPr>
          <w:w w:val="95"/>
          <w:sz w:val="20"/>
        </w:rPr>
        <w:t>the</w:t>
      </w:r>
      <w:r>
        <w:rPr>
          <w:spacing w:val="-5"/>
          <w:w w:val="95"/>
          <w:sz w:val="20"/>
        </w:rPr>
        <w:t xml:space="preserve"> </w:t>
      </w:r>
      <w:r>
        <w:rPr>
          <w:w w:val="95"/>
          <w:sz w:val="20"/>
        </w:rPr>
        <w:t>existing</w:t>
      </w:r>
      <w:r>
        <w:rPr>
          <w:spacing w:val="-5"/>
          <w:w w:val="95"/>
          <w:sz w:val="20"/>
        </w:rPr>
        <w:t xml:space="preserve"> </w:t>
      </w:r>
      <w:r>
        <w:rPr>
          <w:w w:val="95"/>
          <w:sz w:val="20"/>
        </w:rPr>
        <w:t>Spit</w:t>
      </w:r>
      <w:r>
        <w:rPr>
          <w:spacing w:val="-5"/>
          <w:w w:val="95"/>
          <w:sz w:val="20"/>
        </w:rPr>
        <w:t xml:space="preserve"> </w:t>
      </w:r>
      <w:r>
        <w:rPr>
          <w:w w:val="95"/>
          <w:sz w:val="20"/>
        </w:rPr>
        <w:t xml:space="preserve">Bridge </w:t>
      </w:r>
      <w:r>
        <w:rPr>
          <w:sz w:val="20"/>
        </w:rPr>
        <w:t>(instead</w:t>
      </w:r>
      <w:r>
        <w:rPr>
          <w:spacing w:val="-9"/>
          <w:sz w:val="20"/>
        </w:rPr>
        <w:t xml:space="preserve"> </w:t>
      </w:r>
      <w:r>
        <w:rPr>
          <w:sz w:val="20"/>
        </w:rPr>
        <w:t>of</w:t>
      </w:r>
      <w:r>
        <w:rPr>
          <w:spacing w:val="-9"/>
          <w:sz w:val="20"/>
        </w:rPr>
        <w:t xml:space="preserve"> </w:t>
      </w:r>
      <w:r>
        <w:rPr>
          <w:sz w:val="20"/>
        </w:rPr>
        <w:t>a</w:t>
      </w:r>
      <w:r>
        <w:rPr>
          <w:spacing w:val="-9"/>
          <w:sz w:val="20"/>
        </w:rPr>
        <w:t xml:space="preserve"> </w:t>
      </w:r>
      <w:r>
        <w:rPr>
          <w:sz w:val="20"/>
        </w:rPr>
        <w:t>completely</w:t>
      </w:r>
      <w:r>
        <w:rPr>
          <w:spacing w:val="-9"/>
          <w:sz w:val="20"/>
        </w:rPr>
        <w:t xml:space="preserve"> </w:t>
      </w:r>
      <w:r>
        <w:rPr>
          <w:sz w:val="20"/>
        </w:rPr>
        <w:t>new</w:t>
      </w:r>
      <w:r>
        <w:rPr>
          <w:spacing w:val="-9"/>
          <w:sz w:val="20"/>
        </w:rPr>
        <w:t xml:space="preserve"> </w:t>
      </w:r>
      <w:r>
        <w:rPr>
          <w:sz w:val="20"/>
        </w:rPr>
        <w:t>bridge)</w:t>
      </w:r>
    </w:p>
    <w:p w:rsidR="002C1123" w:rsidRDefault="00F22F94">
      <w:pPr>
        <w:pStyle w:val="ListParagraph"/>
        <w:numPr>
          <w:ilvl w:val="3"/>
          <w:numId w:val="92"/>
        </w:numPr>
        <w:tabs>
          <w:tab w:val="left" w:pos="544"/>
        </w:tabs>
        <w:spacing w:before="130" w:line="249" w:lineRule="auto"/>
        <w:ind w:left="543" w:right="982" w:hanging="284"/>
        <w:rPr>
          <w:sz w:val="20"/>
        </w:rPr>
      </w:pPr>
      <w:r>
        <w:rPr>
          <w:w w:val="95"/>
          <w:sz w:val="20"/>
        </w:rPr>
        <w:t>other</w:t>
      </w:r>
      <w:r>
        <w:rPr>
          <w:spacing w:val="-1"/>
          <w:w w:val="95"/>
          <w:sz w:val="20"/>
        </w:rPr>
        <w:t xml:space="preserve"> </w:t>
      </w:r>
      <w:r>
        <w:rPr>
          <w:w w:val="95"/>
          <w:sz w:val="20"/>
        </w:rPr>
        <w:t>short-term</w:t>
      </w:r>
      <w:r>
        <w:rPr>
          <w:spacing w:val="-2"/>
          <w:w w:val="95"/>
          <w:sz w:val="20"/>
        </w:rPr>
        <w:t xml:space="preserve"> </w:t>
      </w:r>
      <w:r>
        <w:rPr>
          <w:w w:val="95"/>
          <w:sz w:val="20"/>
        </w:rPr>
        <w:t>incremental</w:t>
      </w:r>
      <w:r>
        <w:rPr>
          <w:spacing w:val="-1"/>
          <w:w w:val="95"/>
          <w:sz w:val="20"/>
        </w:rPr>
        <w:t xml:space="preserve"> </w:t>
      </w:r>
      <w:r>
        <w:rPr>
          <w:w w:val="95"/>
          <w:sz w:val="20"/>
        </w:rPr>
        <w:t>measures</w:t>
      </w:r>
      <w:r>
        <w:rPr>
          <w:spacing w:val="-1"/>
          <w:w w:val="95"/>
          <w:sz w:val="20"/>
        </w:rPr>
        <w:t xml:space="preserve"> </w:t>
      </w:r>
      <w:r>
        <w:rPr>
          <w:w w:val="95"/>
          <w:sz w:val="20"/>
        </w:rPr>
        <w:t>to</w:t>
      </w:r>
      <w:r>
        <w:rPr>
          <w:spacing w:val="-1"/>
          <w:w w:val="95"/>
          <w:sz w:val="20"/>
        </w:rPr>
        <w:t xml:space="preserve"> </w:t>
      </w:r>
      <w:r>
        <w:rPr>
          <w:w w:val="95"/>
          <w:sz w:val="20"/>
        </w:rPr>
        <w:t xml:space="preserve">improve </w:t>
      </w:r>
      <w:r>
        <w:rPr>
          <w:sz w:val="20"/>
        </w:rPr>
        <w:t>bus priority and junction flows.</w:t>
      </w:r>
    </w:p>
    <w:p w:rsidR="002C1123" w:rsidRDefault="002060EF">
      <w:pPr>
        <w:pStyle w:val="BodyText"/>
        <w:spacing w:before="9"/>
        <w:rPr>
          <w:sz w:val="12"/>
        </w:rPr>
      </w:pPr>
      <w:r>
        <w:pict>
          <v:shape id="docshape1356" o:spid="_x0000_s3871" type="#_x0000_t202" style="position:absolute;margin-left:552.3pt;margin-top:8.55pt;width:239pt;height:93.35pt;z-index:-251379712;mso-wrap-distance-left:0;mso-wrap-distance-right:0;mso-position-horizontal-relative:page" fillcolor="#e1e0e1" stroked="f">
            <v:textbox inset="0,0,0,0">
              <w:txbxContent>
                <w:p w:rsidR="00F22F94" w:rsidRDefault="00F22F94">
                  <w:pPr>
                    <w:pStyle w:val="BodyText"/>
                    <w:spacing w:before="68" w:line="249" w:lineRule="auto"/>
                    <w:ind w:left="113" w:right="521"/>
                    <w:rPr>
                      <w:color w:val="000000"/>
                    </w:rPr>
                  </w:pPr>
                  <w:r>
                    <w:rPr>
                      <w:b/>
                      <w:color w:val="00AEEF"/>
                    </w:rPr>
                    <w:t>Recommendation</w:t>
                  </w:r>
                  <w:r>
                    <w:rPr>
                      <w:b/>
                      <w:color w:val="00AEEF"/>
                      <w:spacing w:val="40"/>
                    </w:rPr>
                    <w:t xml:space="preserve"> </w:t>
                  </w:r>
                  <w:r>
                    <w:rPr>
                      <w:color w:val="000000"/>
                    </w:rPr>
                    <w:t xml:space="preserve">Infrastructure NSW </w:t>
                  </w:r>
                  <w:r>
                    <w:rPr>
                      <w:color w:val="000000"/>
                      <w:spacing w:val="-2"/>
                    </w:rPr>
                    <w:t>recommends</w:t>
                  </w:r>
                  <w:r>
                    <w:rPr>
                      <w:color w:val="000000"/>
                      <w:spacing w:val="-8"/>
                    </w:rPr>
                    <w:t xml:space="preserve"> </w:t>
                  </w:r>
                  <w:r>
                    <w:rPr>
                      <w:color w:val="000000"/>
                      <w:spacing w:val="-2"/>
                    </w:rPr>
                    <w:t>that</w:t>
                  </w:r>
                  <w:r>
                    <w:rPr>
                      <w:color w:val="000000"/>
                      <w:spacing w:val="-8"/>
                    </w:rPr>
                    <w:t xml:space="preserve"> </w:t>
                  </w:r>
                  <w:r>
                    <w:rPr>
                      <w:color w:val="000000"/>
                      <w:spacing w:val="-2"/>
                    </w:rPr>
                    <w:t>TfNSW</w:t>
                  </w:r>
                  <w:r>
                    <w:rPr>
                      <w:color w:val="000000"/>
                      <w:spacing w:val="-8"/>
                    </w:rPr>
                    <w:t xml:space="preserve"> </w:t>
                  </w:r>
                  <w:r>
                    <w:rPr>
                      <w:color w:val="000000"/>
                      <w:spacing w:val="-2"/>
                    </w:rPr>
                    <w:t>further</w:t>
                  </w:r>
                  <w:r>
                    <w:rPr>
                      <w:color w:val="000000"/>
                      <w:spacing w:val="-8"/>
                    </w:rPr>
                    <w:t xml:space="preserve"> </w:t>
                  </w:r>
                  <w:r>
                    <w:rPr>
                      <w:color w:val="000000"/>
                      <w:spacing w:val="-2"/>
                    </w:rPr>
                    <w:t>investigate</w:t>
                  </w:r>
                  <w:r>
                    <w:rPr>
                      <w:color w:val="000000"/>
                      <w:spacing w:val="-8"/>
                    </w:rPr>
                    <w:t xml:space="preserve"> </w:t>
                  </w:r>
                  <w:r>
                    <w:rPr>
                      <w:color w:val="000000"/>
                      <w:spacing w:val="-2"/>
                    </w:rPr>
                    <w:t xml:space="preserve">a </w:t>
                  </w:r>
                  <w:r>
                    <w:rPr>
                      <w:color w:val="000000"/>
                      <w:w w:val="95"/>
                    </w:rPr>
                    <w:t>range</w:t>
                  </w:r>
                  <w:r>
                    <w:rPr>
                      <w:color w:val="000000"/>
                      <w:spacing w:val="-3"/>
                      <w:w w:val="95"/>
                    </w:rPr>
                    <w:t xml:space="preserve"> </w:t>
                  </w:r>
                  <w:r>
                    <w:rPr>
                      <w:color w:val="000000"/>
                      <w:w w:val="95"/>
                    </w:rPr>
                    <w:t>of</w:t>
                  </w:r>
                  <w:r>
                    <w:rPr>
                      <w:color w:val="000000"/>
                      <w:spacing w:val="-3"/>
                      <w:w w:val="95"/>
                    </w:rPr>
                    <w:t xml:space="preserve"> </w:t>
                  </w:r>
                  <w:r>
                    <w:rPr>
                      <w:color w:val="000000"/>
                      <w:w w:val="95"/>
                    </w:rPr>
                    <w:t>potential</w:t>
                  </w:r>
                  <w:r>
                    <w:rPr>
                      <w:color w:val="000000"/>
                      <w:spacing w:val="-3"/>
                      <w:w w:val="95"/>
                    </w:rPr>
                    <w:t xml:space="preserve"> </w:t>
                  </w:r>
                  <w:r>
                    <w:rPr>
                      <w:color w:val="000000"/>
                      <w:w w:val="95"/>
                    </w:rPr>
                    <w:t>enhancements</w:t>
                  </w:r>
                  <w:r>
                    <w:rPr>
                      <w:color w:val="000000"/>
                      <w:spacing w:val="-3"/>
                      <w:w w:val="95"/>
                    </w:rPr>
                    <w:t xml:space="preserve"> </w:t>
                  </w:r>
                  <w:r>
                    <w:rPr>
                      <w:color w:val="000000"/>
                      <w:w w:val="95"/>
                    </w:rPr>
                    <w:t>to</w:t>
                  </w:r>
                  <w:r>
                    <w:rPr>
                      <w:color w:val="000000"/>
                      <w:spacing w:val="-3"/>
                      <w:w w:val="95"/>
                    </w:rPr>
                    <w:t xml:space="preserve"> </w:t>
                  </w:r>
                  <w:r>
                    <w:rPr>
                      <w:color w:val="000000"/>
                      <w:w w:val="95"/>
                    </w:rPr>
                    <w:t>bus</w:t>
                  </w:r>
                  <w:r>
                    <w:rPr>
                      <w:color w:val="000000"/>
                      <w:spacing w:val="-3"/>
                      <w:w w:val="95"/>
                    </w:rPr>
                    <w:t xml:space="preserve"> </w:t>
                  </w:r>
                  <w:r>
                    <w:rPr>
                      <w:color w:val="000000"/>
                      <w:w w:val="95"/>
                    </w:rPr>
                    <w:t xml:space="preserve">priority </w:t>
                  </w:r>
                  <w:r>
                    <w:rPr>
                      <w:color w:val="000000"/>
                    </w:rPr>
                    <w:t>on</w:t>
                  </w:r>
                  <w:r>
                    <w:rPr>
                      <w:color w:val="000000"/>
                      <w:spacing w:val="-2"/>
                    </w:rPr>
                    <w:t xml:space="preserve"> </w:t>
                  </w:r>
                  <w:r>
                    <w:rPr>
                      <w:color w:val="000000"/>
                    </w:rPr>
                    <w:t>the</w:t>
                  </w:r>
                  <w:r>
                    <w:rPr>
                      <w:color w:val="000000"/>
                      <w:spacing w:val="-2"/>
                    </w:rPr>
                    <w:t xml:space="preserve"> </w:t>
                  </w:r>
                  <w:r>
                    <w:rPr>
                      <w:color w:val="000000"/>
                    </w:rPr>
                    <w:t>Northern</w:t>
                  </w:r>
                  <w:r>
                    <w:rPr>
                      <w:color w:val="000000"/>
                      <w:spacing w:val="-2"/>
                    </w:rPr>
                    <w:t xml:space="preserve"> </w:t>
                  </w:r>
                  <w:r>
                    <w:rPr>
                      <w:color w:val="000000"/>
                    </w:rPr>
                    <w:t>Beaches</w:t>
                  </w:r>
                  <w:r>
                    <w:rPr>
                      <w:color w:val="000000"/>
                      <w:spacing w:val="-2"/>
                    </w:rPr>
                    <w:t xml:space="preserve"> </w:t>
                  </w:r>
                  <w:r>
                    <w:rPr>
                      <w:color w:val="000000"/>
                    </w:rPr>
                    <w:t>corridor</w:t>
                  </w:r>
                  <w:r>
                    <w:rPr>
                      <w:color w:val="000000"/>
                      <w:spacing w:val="-2"/>
                    </w:rPr>
                    <w:t xml:space="preserve"> </w:t>
                  </w:r>
                  <w:r>
                    <w:rPr>
                      <w:color w:val="000000"/>
                    </w:rPr>
                    <w:t>to</w:t>
                  </w:r>
                  <w:r>
                    <w:rPr>
                      <w:color w:val="000000"/>
                      <w:spacing w:val="-2"/>
                    </w:rPr>
                    <w:t xml:space="preserve"> </w:t>
                  </w:r>
                  <w:r>
                    <w:rPr>
                      <w:color w:val="000000"/>
                    </w:rPr>
                    <w:t>develop</w:t>
                  </w:r>
                </w:p>
                <w:p w:rsidR="00F22F94" w:rsidRDefault="00F22F94">
                  <w:pPr>
                    <w:pStyle w:val="BodyText"/>
                    <w:spacing w:before="4" w:line="249" w:lineRule="auto"/>
                    <w:ind w:left="113" w:right="264"/>
                    <w:rPr>
                      <w:color w:val="000000"/>
                    </w:rPr>
                  </w:pPr>
                  <w:r>
                    <w:rPr>
                      <w:color w:val="000000"/>
                    </w:rPr>
                    <w:t>a</w:t>
                  </w:r>
                  <w:r>
                    <w:rPr>
                      <w:color w:val="000000"/>
                      <w:spacing w:val="-11"/>
                    </w:rPr>
                    <w:t xml:space="preserve"> </w:t>
                  </w:r>
                  <w:r>
                    <w:rPr>
                      <w:color w:val="000000"/>
                    </w:rPr>
                    <w:t>value-for-money</w:t>
                  </w:r>
                  <w:r>
                    <w:rPr>
                      <w:color w:val="000000"/>
                      <w:spacing w:val="-11"/>
                    </w:rPr>
                    <w:t xml:space="preserve"> </w:t>
                  </w:r>
                  <w:r>
                    <w:rPr>
                      <w:color w:val="000000"/>
                    </w:rPr>
                    <w:t>improvement</w:t>
                  </w:r>
                  <w:r>
                    <w:rPr>
                      <w:color w:val="000000"/>
                      <w:spacing w:val="-11"/>
                    </w:rPr>
                    <w:t xml:space="preserve"> </w:t>
                  </w:r>
                  <w:r>
                    <w:rPr>
                      <w:color w:val="000000"/>
                    </w:rPr>
                    <w:t>plan</w:t>
                  </w:r>
                  <w:r>
                    <w:rPr>
                      <w:color w:val="000000"/>
                      <w:spacing w:val="-11"/>
                    </w:rPr>
                    <w:t xml:space="preserve"> </w:t>
                  </w:r>
                  <w:r>
                    <w:rPr>
                      <w:color w:val="000000"/>
                    </w:rPr>
                    <w:t>for</w:t>
                  </w:r>
                  <w:r>
                    <w:rPr>
                      <w:color w:val="000000"/>
                      <w:spacing w:val="-11"/>
                    </w:rPr>
                    <w:t xml:space="preserve"> </w:t>
                  </w:r>
                  <w:r>
                    <w:rPr>
                      <w:color w:val="000000"/>
                    </w:rPr>
                    <w:t xml:space="preserve">the </w:t>
                  </w:r>
                  <w:r>
                    <w:rPr>
                      <w:color w:val="000000"/>
                      <w:w w:val="95"/>
                    </w:rPr>
                    <w:t>coming</w:t>
                  </w:r>
                  <w:r>
                    <w:rPr>
                      <w:color w:val="000000"/>
                      <w:spacing w:val="-2"/>
                      <w:w w:val="95"/>
                    </w:rPr>
                    <w:t xml:space="preserve"> </w:t>
                  </w:r>
                  <w:r>
                    <w:rPr>
                      <w:color w:val="000000"/>
                      <w:w w:val="95"/>
                    </w:rPr>
                    <w:t>decade</w:t>
                  </w:r>
                  <w:r>
                    <w:rPr>
                      <w:color w:val="000000"/>
                      <w:spacing w:val="-2"/>
                      <w:w w:val="95"/>
                    </w:rPr>
                    <w:t xml:space="preserve"> </w:t>
                  </w:r>
                  <w:r>
                    <w:rPr>
                      <w:color w:val="000000"/>
                      <w:w w:val="95"/>
                    </w:rPr>
                    <w:t>–</w:t>
                  </w:r>
                  <w:r>
                    <w:rPr>
                      <w:color w:val="000000"/>
                      <w:spacing w:val="-2"/>
                      <w:w w:val="95"/>
                    </w:rPr>
                    <w:t xml:space="preserve"> </w:t>
                  </w:r>
                  <w:r>
                    <w:rPr>
                      <w:color w:val="000000"/>
                      <w:w w:val="95"/>
                    </w:rPr>
                    <w:t>with</w:t>
                  </w:r>
                  <w:r>
                    <w:rPr>
                      <w:color w:val="000000"/>
                      <w:spacing w:val="-2"/>
                      <w:w w:val="95"/>
                    </w:rPr>
                    <w:t xml:space="preserve"> </w:t>
                  </w:r>
                  <w:r>
                    <w:rPr>
                      <w:color w:val="000000"/>
                      <w:w w:val="95"/>
                    </w:rPr>
                    <w:t>a</w:t>
                  </w:r>
                  <w:r>
                    <w:rPr>
                      <w:color w:val="000000"/>
                      <w:spacing w:val="-2"/>
                      <w:w w:val="95"/>
                    </w:rPr>
                    <w:t xml:space="preserve"> </w:t>
                  </w:r>
                  <w:r>
                    <w:rPr>
                      <w:color w:val="000000"/>
                      <w:w w:val="95"/>
                    </w:rPr>
                    <w:t>scoping</w:t>
                  </w:r>
                  <w:r>
                    <w:rPr>
                      <w:color w:val="000000"/>
                      <w:spacing w:val="-2"/>
                      <w:w w:val="95"/>
                    </w:rPr>
                    <w:t xml:space="preserve"> </w:t>
                  </w:r>
                  <w:r>
                    <w:rPr>
                      <w:color w:val="000000"/>
                      <w:w w:val="95"/>
                    </w:rPr>
                    <w:t>estimate</w:t>
                  </w:r>
                  <w:r>
                    <w:rPr>
                      <w:color w:val="000000"/>
                      <w:spacing w:val="-2"/>
                      <w:w w:val="95"/>
                    </w:rPr>
                    <w:t xml:space="preserve"> </w:t>
                  </w:r>
                  <w:r>
                    <w:rPr>
                      <w:color w:val="000000"/>
                      <w:w w:val="95"/>
                    </w:rPr>
                    <w:t>of</w:t>
                  </w:r>
                  <w:r>
                    <w:rPr>
                      <w:color w:val="000000"/>
                      <w:spacing w:val="-2"/>
                      <w:w w:val="95"/>
                    </w:rPr>
                    <w:t xml:space="preserve"> </w:t>
                  </w:r>
                  <w:r>
                    <w:rPr>
                      <w:color w:val="000000"/>
                      <w:w w:val="95"/>
                    </w:rPr>
                    <w:t>up</w:t>
                  </w:r>
                  <w:r>
                    <w:rPr>
                      <w:color w:val="000000"/>
                      <w:spacing w:val="-2"/>
                      <w:w w:val="95"/>
                    </w:rPr>
                    <w:t xml:space="preserve"> </w:t>
                  </w:r>
                  <w:r>
                    <w:rPr>
                      <w:color w:val="000000"/>
                      <w:w w:val="95"/>
                    </w:rPr>
                    <w:t>to</w:t>
                  </w:r>
                </w:p>
                <w:p w:rsidR="00F22F94" w:rsidRDefault="00F22F94">
                  <w:pPr>
                    <w:pStyle w:val="BodyText"/>
                    <w:spacing w:before="1"/>
                    <w:ind w:left="113"/>
                    <w:rPr>
                      <w:color w:val="000000"/>
                    </w:rPr>
                  </w:pPr>
                  <w:r>
                    <w:rPr>
                      <w:color w:val="000000"/>
                      <w:w w:val="95"/>
                    </w:rPr>
                    <w:t>$200</w:t>
                  </w:r>
                  <w:r>
                    <w:rPr>
                      <w:color w:val="000000"/>
                      <w:spacing w:val="2"/>
                    </w:rPr>
                    <w:t xml:space="preserve"> </w:t>
                  </w:r>
                  <w:r>
                    <w:rPr>
                      <w:color w:val="000000"/>
                      <w:spacing w:val="-2"/>
                    </w:rPr>
                    <w:t>million.</w:t>
                  </w:r>
                </w:p>
              </w:txbxContent>
            </v:textbox>
            <w10:wrap type="topAndBottom" anchorx="page"/>
          </v:shape>
        </w:pict>
      </w:r>
    </w:p>
    <w:p w:rsidR="002C1123" w:rsidRDefault="002C1123">
      <w:pPr>
        <w:pStyle w:val="BodyText"/>
        <w:spacing w:before="2"/>
        <w:rPr>
          <w:sz w:val="22"/>
        </w:rPr>
      </w:pPr>
    </w:p>
    <w:p w:rsidR="002C1123" w:rsidRDefault="00F22F94">
      <w:pPr>
        <w:pStyle w:val="BodyText"/>
        <w:spacing w:before="1" w:line="249" w:lineRule="auto"/>
        <w:ind w:left="259" w:right="703"/>
      </w:pPr>
      <w:r>
        <w:t>Over</w:t>
      </w:r>
      <w:r>
        <w:rPr>
          <w:spacing w:val="-14"/>
        </w:rPr>
        <w:t xml:space="preserve"> </w:t>
      </w:r>
      <w:r>
        <w:t>the</w:t>
      </w:r>
      <w:r>
        <w:rPr>
          <w:spacing w:val="-14"/>
        </w:rPr>
        <w:t xml:space="preserve"> </w:t>
      </w:r>
      <w:r>
        <w:t>longer</w:t>
      </w:r>
      <w:r>
        <w:rPr>
          <w:spacing w:val="-14"/>
        </w:rPr>
        <w:t xml:space="preserve"> </w:t>
      </w:r>
      <w:r>
        <w:t>term,</w:t>
      </w:r>
      <w:r>
        <w:rPr>
          <w:spacing w:val="-14"/>
        </w:rPr>
        <w:t xml:space="preserve"> </w:t>
      </w:r>
      <w:r>
        <w:t>the</w:t>
      </w:r>
      <w:r>
        <w:rPr>
          <w:spacing w:val="-14"/>
        </w:rPr>
        <w:t xml:space="preserve"> </w:t>
      </w:r>
      <w:r>
        <w:t>possibility</w:t>
      </w:r>
      <w:r>
        <w:rPr>
          <w:spacing w:val="-14"/>
        </w:rPr>
        <w:t xml:space="preserve"> </w:t>
      </w:r>
      <w:r>
        <w:t>of</w:t>
      </w:r>
      <w:r>
        <w:rPr>
          <w:spacing w:val="-14"/>
        </w:rPr>
        <w:t xml:space="preserve"> </w:t>
      </w:r>
      <w:r>
        <w:t>building</w:t>
      </w:r>
      <w:r>
        <w:rPr>
          <w:spacing w:val="-14"/>
        </w:rPr>
        <w:t xml:space="preserve"> </w:t>
      </w:r>
      <w:r>
        <w:t>a</w:t>
      </w:r>
      <w:r>
        <w:rPr>
          <w:spacing w:val="-14"/>
        </w:rPr>
        <w:t xml:space="preserve"> </w:t>
      </w:r>
      <w:r>
        <w:t>tunnel should</w:t>
      </w:r>
      <w:r>
        <w:rPr>
          <w:spacing w:val="-14"/>
        </w:rPr>
        <w:t xml:space="preserve"> </w:t>
      </w:r>
      <w:r>
        <w:t>be</w:t>
      </w:r>
      <w:r>
        <w:rPr>
          <w:spacing w:val="-14"/>
        </w:rPr>
        <w:t xml:space="preserve"> </w:t>
      </w:r>
      <w:r>
        <w:t>considered,</w:t>
      </w:r>
      <w:r>
        <w:rPr>
          <w:spacing w:val="-14"/>
        </w:rPr>
        <w:t xml:space="preserve"> </w:t>
      </w:r>
      <w:r>
        <w:t>which</w:t>
      </w:r>
      <w:r>
        <w:rPr>
          <w:spacing w:val="-14"/>
        </w:rPr>
        <w:t xml:space="preserve"> </w:t>
      </w:r>
      <w:r>
        <w:t>could</w:t>
      </w:r>
      <w:r>
        <w:rPr>
          <w:spacing w:val="-14"/>
        </w:rPr>
        <w:t xml:space="preserve"> </w:t>
      </w:r>
      <w:r>
        <w:t>free</w:t>
      </w:r>
      <w:r>
        <w:rPr>
          <w:spacing w:val="-14"/>
        </w:rPr>
        <w:t xml:space="preserve"> </w:t>
      </w:r>
      <w:r>
        <w:t>up</w:t>
      </w:r>
      <w:r>
        <w:rPr>
          <w:spacing w:val="-14"/>
        </w:rPr>
        <w:t xml:space="preserve"> </w:t>
      </w:r>
      <w:r>
        <w:t>surface</w:t>
      </w:r>
      <w:r>
        <w:rPr>
          <w:spacing w:val="-14"/>
        </w:rPr>
        <w:t xml:space="preserve"> </w:t>
      </w:r>
      <w:r>
        <w:t>road space</w:t>
      </w:r>
      <w:r>
        <w:rPr>
          <w:spacing w:val="-14"/>
        </w:rPr>
        <w:t xml:space="preserve"> </w:t>
      </w:r>
      <w:r>
        <w:t>as</w:t>
      </w:r>
      <w:r>
        <w:rPr>
          <w:spacing w:val="-14"/>
        </w:rPr>
        <w:t xml:space="preserve"> </w:t>
      </w:r>
      <w:r>
        <w:t>well</w:t>
      </w:r>
      <w:r>
        <w:rPr>
          <w:spacing w:val="-14"/>
        </w:rPr>
        <w:t xml:space="preserve"> </w:t>
      </w:r>
      <w:r>
        <w:t>as</w:t>
      </w:r>
      <w:r>
        <w:rPr>
          <w:spacing w:val="-14"/>
        </w:rPr>
        <w:t xml:space="preserve"> </w:t>
      </w:r>
      <w:r>
        <w:t>deliver</w:t>
      </w:r>
      <w:r>
        <w:rPr>
          <w:spacing w:val="-14"/>
        </w:rPr>
        <w:t xml:space="preserve"> </w:t>
      </w:r>
      <w:r>
        <w:t>substantial</w:t>
      </w:r>
      <w:r>
        <w:rPr>
          <w:spacing w:val="-14"/>
        </w:rPr>
        <w:t xml:space="preserve"> </w:t>
      </w:r>
      <w:r>
        <w:t>time</w:t>
      </w:r>
      <w:r>
        <w:rPr>
          <w:spacing w:val="-14"/>
        </w:rPr>
        <w:t xml:space="preserve"> </w:t>
      </w:r>
      <w:r>
        <w:t>savings</w:t>
      </w:r>
      <w:r>
        <w:rPr>
          <w:spacing w:val="-14"/>
        </w:rPr>
        <w:t xml:space="preserve"> </w:t>
      </w:r>
      <w:r>
        <w:t>to</w:t>
      </w:r>
      <w:r>
        <w:rPr>
          <w:spacing w:val="-14"/>
        </w:rPr>
        <w:t xml:space="preserve"> </w:t>
      </w:r>
      <w:r>
        <w:t xml:space="preserve">bus </w:t>
      </w:r>
      <w:r>
        <w:rPr>
          <w:w w:val="95"/>
        </w:rPr>
        <w:t>and</w:t>
      </w:r>
      <w:r>
        <w:rPr>
          <w:spacing w:val="-3"/>
          <w:w w:val="95"/>
        </w:rPr>
        <w:t xml:space="preserve"> </w:t>
      </w:r>
      <w:r>
        <w:rPr>
          <w:w w:val="95"/>
        </w:rPr>
        <w:t>car</w:t>
      </w:r>
      <w:r>
        <w:rPr>
          <w:spacing w:val="-3"/>
          <w:w w:val="95"/>
        </w:rPr>
        <w:t xml:space="preserve"> </w:t>
      </w:r>
      <w:r>
        <w:rPr>
          <w:w w:val="95"/>
        </w:rPr>
        <w:t>users.</w:t>
      </w:r>
      <w:r>
        <w:rPr>
          <w:spacing w:val="-3"/>
          <w:w w:val="95"/>
        </w:rPr>
        <w:t xml:space="preserve"> </w:t>
      </w:r>
      <w:r>
        <w:rPr>
          <w:w w:val="95"/>
        </w:rPr>
        <w:t>The</w:t>
      </w:r>
      <w:r>
        <w:rPr>
          <w:spacing w:val="-3"/>
          <w:w w:val="95"/>
        </w:rPr>
        <w:t xml:space="preserve"> </w:t>
      </w:r>
      <w:r>
        <w:rPr>
          <w:w w:val="95"/>
        </w:rPr>
        <w:t>option</w:t>
      </w:r>
      <w:r>
        <w:rPr>
          <w:spacing w:val="-3"/>
          <w:w w:val="95"/>
        </w:rPr>
        <w:t xml:space="preserve"> </w:t>
      </w:r>
      <w:r>
        <w:rPr>
          <w:w w:val="95"/>
        </w:rPr>
        <w:t>of</w:t>
      </w:r>
      <w:r>
        <w:rPr>
          <w:spacing w:val="-3"/>
          <w:w w:val="95"/>
        </w:rPr>
        <w:t xml:space="preserve"> </w:t>
      </w:r>
      <w:r>
        <w:rPr>
          <w:w w:val="95"/>
        </w:rPr>
        <w:t>a</w:t>
      </w:r>
      <w:r>
        <w:rPr>
          <w:spacing w:val="-3"/>
          <w:w w:val="95"/>
        </w:rPr>
        <w:t xml:space="preserve"> </w:t>
      </w:r>
      <w:r>
        <w:rPr>
          <w:w w:val="95"/>
        </w:rPr>
        <w:t>‘Northern</w:t>
      </w:r>
      <w:r>
        <w:rPr>
          <w:spacing w:val="-3"/>
          <w:w w:val="95"/>
        </w:rPr>
        <w:t xml:space="preserve"> </w:t>
      </w:r>
      <w:r>
        <w:rPr>
          <w:w w:val="95"/>
        </w:rPr>
        <w:t>Beaches</w:t>
      </w:r>
      <w:r>
        <w:rPr>
          <w:spacing w:val="-3"/>
          <w:w w:val="95"/>
        </w:rPr>
        <w:t xml:space="preserve"> </w:t>
      </w:r>
      <w:r>
        <w:rPr>
          <w:w w:val="95"/>
        </w:rPr>
        <w:t>Link’</w:t>
      </w:r>
      <w:r>
        <w:rPr>
          <w:spacing w:val="-3"/>
          <w:w w:val="95"/>
        </w:rPr>
        <w:t xml:space="preserve"> </w:t>
      </w:r>
      <w:r>
        <w:rPr>
          <w:w w:val="95"/>
        </w:rPr>
        <w:t xml:space="preserve">is </w:t>
      </w:r>
      <w:r>
        <w:t>discussed in Section 6.</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292" w:space="40"/>
            <w:col w:w="4915" w:space="39"/>
            <w:col w:w="5774"/>
          </w:cols>
        </w:sectPr>
      </w:pPr>
    </w:p>
    <w:p w:rsidR="002C1123" w:rsidRDefault="00F22F94">
      <w:pPr>
        <w:pStyle w:val="BodyText"/>
        <w:tabs>
          <w:tab w:val="left" w:pos="10545"/>
          <w:tab w:val="left" w:pos="11985"/>
        </w:tabs>
        <w:spacing w:line="193" w:lineRule="exact"/>
        <w:ind w:left="5518"/>
      </w:pPr>
      <w:r>
        <w:rPr>
          <w:w w:val="95"/>
        </w:rPr>
        <w:t>off-street</w:t>
      </w:r>
      <w:r>
        <w:rPr>
          <w:spacing w:val="-8"/>
          <w:w w:val="95"/>
        </w:rPr>
        <w:t xml:space="preserve"> </w:t>
      </w:r>
      <w:r>
        <w:rPr>
          <w:w w:val="95"/>
        </w:rPr>
        <w:t>facilities)</w:t>
      </w:r>
      <w:r>
        <w:rPr>
          <w:spacing w:val="-7"/>
          <w:w w:val="95"/>
        </w:rPr>
        <w:t xml:space="preserve"> </w:t>
      </w:r>
      <w:r>
        <w:rPr>
          <w:w w:val="95"/>
        </w:rPr>
        <w:t>or</w:t>
      </w:r>
      <w:r>
        <w:rPr>
          <w:spacing w:val="-7"/>
          <w:w w:val="95"/>
        </w:rPr>
        <w:t xml:space="preserve"> </w:t>
      </w:r>
      <w:r>
        <w:rPr>
          <w:w w:val="95"/>
        </w:rPr>
        <w:t>building</w:t>
      </w:r>
      <w:r>
        <w:rPr>
          <w:spacing w:val="-7"/>
          <w:w w:val="95"/>
        </w:rPr>
        <w:t xml:space="preserve"> </w:t>
      </w:r>
      <w:r>
        <w:rPr>
          <w:w w:val="95"/>
        </w:rPr>
        <w:t>a</w:t>
      </w:r>
      <w:r>
        <w:rPr>
          <w:spacing w:val="-7"/>
          <w:w w:val="95"/>
        </w:rPr>
        <w:t xml:space="preserve"> </w:t>
      </w:r>
      <w:r>
        <w:rPr>
          <w:w w:val="95"/>
        </w:rPr>
        <w:t>dedicated</w:t>
      </w:r>
      <w:r>
        <w:rPr>
          <w:spacing w:val="-7"/>
          <w:w w:val="95"/>
        </w:rPr>
        <w:t xml:space="preserve"> </w:t>
      </w:r>
      <w:r>
        <w:rPr>
          <w:w w:val="95"/>
        </w:rPr>
        <w:t>bus</w:t>
      </w:r>
      <w:r>
        <w:rPr>
          <w:spacing w:val="-7"/>
          <w:w w:val="95"/>
        </w:rPr>
        <w:t xml:space="preserve"> </w:t>
      </w:r>
      <w:r>
        <w:rPr>
          <w:spacing w:val="-2"/>
          <w:w w:val="95"/>
        </w:rPr>
        <w:t>tunnel</w:t>
      </w:r>
      <w:r>
        <w:tab/>
      </w:r>
      <w:r>
        <w:rPr>
          <w:u w:val="single" w:color="9C9C9D"/>
        </w:rPr>
        <w:tab/>
      </w:r>
    </w:p>
    <w:p w:rsidR="002C1123" w:rsidRDefault="002C1123">
      <w:pPr>
        <w:spacing w:line="193" w:lineRule="exact"/>
        <w:sectPr w:rsidR="002C1123">
          <w:type w:val="continuous"/>
          <w:pgSz w:w="16840" w:h="11910" w:orient="landscape"/>
          <w:pgMar w:top="560" w:right="280" w:bottom="280" w:left="500" w:header="0" w:footer="517" w:gutter="0"/>
          <w:cols w:space="720"/>
        </w:sectPr>
      </w:pPr>
    </w:p>
    <w:p w:rsidR="002C1123" w:rsidRDefault="002C1123">
      <w:pPr>
        <w:pStyle w:val="BodyText"/>
        <w:spacing w:before="2" w:after="1"/>
        <w:rPr>
          <w:sz w:val="15"/>
        </w:rPr>
      </w:pPr>
    </w:p>
    <w:p w:rsidR="002C1123" w:rsidRDefault="002060EF">
      <w:pPr>
        <w:pStyle w:val="BodyText"/>
        <w:spacing w:line="20" w:lineRule="exact"/>
        <w:ind w:left="492"/>
        <w:rPr>
          <w:sz w:val="2"/>
        </w:rPr>
      </w:pPr>
      <w:r>
        <w:rPr>
          <w:sz w:val="2"/>
        </w:rPr>
      </w:r>
      <w:r>
        <w:rPr>
          <w:sz w:val="2"/>
        </w:rPr>
        <w:pict>
          <v:group id="docshapegroup1357" o:spid="_x0000_s3869" style="width:1in;height:.5pt;mso-position-horizontal-relative:char;mso-position-vertical-relative:line" coordsize="1440,10">
            <v:line id="_x0000_s3870" style="position:absolute" from="0,5" to="1440,5" strokecolor="#9c9c9d" strokeweight=".5pt"/>
            <w10:anchorlock/>
          </v:group>
        </w:pict>
      </w:r>
    </w:p>
    <w:p w:rsidR="002C1123" w:rsidRDefault="00F22F94">
      <w:pPr>
        <w:spacing w:before="8"/>
        <w:ind w:left="492"/>
        <w:rPr>
          <w:sz w:val="14"/>
        </w:rPr>
      </w:pPr>
      <w:r>
        <w:rPr>
          <w:w w:val="95"/>
          <w:sz w:val="14"/>
        </w:rPr>
        <w:t>15</w:t>
      </w:r>
      <w:r>
        <w:rPr>
          <w:spacing w:val="17"/>
          <w:sz w:val="14"/>
        </w:rPr>
        <w:t xml:space="preserve"> </w:t>
      </w:r>
      <w:r>
        <w:rPr>
          <w:w w:val="95"/>
          <w:sz w:val="14"/>
        </w:rPr>
        <w:t>Transport</w:t>
      </w:r>
      <w:r>
        <w:rPr>
          <w:spacing w:val="-3"/>
          <w:w w:val="95"/>
          <w:sz w:val="14"/>
        </w:rPr>
        <w:t xml:space="preserve"> </w:t>
      </w:r>
      <w:r>
        <w:rPr>
          <w:w w:val="95"/>
          <w:sz w:val="14"/>
        </w:rPr>
        <w:t>for</w:t>
      </w:r>
      <w:r>
        <w:rPr>
          <w:spacing w:val="-3"/>
          <w:w w:val="95"/>
          <w:sz w:val="14"/>
        </w:rPr>
        <w:t xml:space="preserve"> </w:t>
      </w:r>
      <w:r>
        <w:rPr>
          <w:w w:val="95"/>
          <w:sz w:val="14"/>
        </w:rPr>
        <w:t>NSW</w:t>
      </w:r>
      <w:r>
        <w:rPr>
          <w:spacing w:val="-4"/>
          <w:w w:val="95"/>
          <w:sz w:val="14"/>
        </w:rPr>
        <w:t xml:space="preserve"> </w:t>
      </w:r>
      <w:r>
        <w:rPr>
          <w:w w:val="95"/>
          <w:sz w:val="14"/>
        </w:rPr>
        <w:t>2004,</w:t>
      </w:r>
      <w:r>
        <w:rPr>
          <w:spacing w:val="-3"/>
          <w:w w:val="95"/>
          <w:sz w:val="14"/>
        </w:rPr>
        <w:t xml:space="preserve"> </w:t>
      </w:r>
      <w:r>
        <w:rPr>
          <w:w w:val="95"/>
          <w:sz w:val="14"/>
        </w:rPr>
        <w:t>Review</w:t>
      </w:r>
      <w:r>
        <w:rPr>
          <w:spacing w:val="-3"/>
          <w:w w:val="95"/>
          <w:sz w:val="14"/>
        </w:rPr>
        <w:t xml:space="preserve"> </w:t>
      </w:r>
      <w:r>
        <w:rPr>
          <w:w w:val="95"/>
          <w:sz w:val="14"/>
        </w:rPr>
        <w:t>of</w:t>
      </w:r>
      <w:r>
        <w:rPr>
          <w:spacing w:val="-3"/>
          <w:w w:val="95"/>
          <w:sz w:val="14"/>
        </w:rPr>
        <w:t xml:space="preserve"> </w:t>
      </w:r>
      <w:r>
        <w:rPr>
          <w:w w:val="95"/>
          <w:sz w:val="14"/>
        </w:rPr>
        <w:t>Bus</w:t>
      </w:r>
      <w:r>
        <w:rPr>
          <w:spacing w:val="-3"/>
          <w:w w:val="95"/>
          <w:sz w:val="14"/>
        </w:rPr>
        <w:t xml:space="preserve"> </w:t>
      </w:r>
      <w:r>
        <w:rPr>
          <w:w w:val="95"/>
          <w:sz w:val="14"/>
        </w:rPr>
        <w:t>Services</w:t>
      </w:r>
      <w:r>
        <w:rPr>
          <w:spacing w:val="-4"/>
          <w:w w:val="95"/>
          <w:sz w:val="14"/>
        </w:rPr>
        <w:t xml:space="preserve"> </w:t>
      </w:r>
      <w:r>
        <w:rPr>
          <w:w w:val="95"/>
          <w:sz w:val="14"/>
        </w:rPr>
        <w:t>in</w:t>
      </w:r>
      <w:r>
        <w:rPr>
          <w:spacing w:val="-3"/>
          <w:w w:val="95"/>
          <w:sz w:val="14"/>
        </w:rPr>
        <w:t xml:space="preserve"> </w:t>
      </w:r>
      <w:r>
        <w:rPr>
          <w:w w:val="95"/>
          <w:sz w:val="14"/>
        </w:rPr>
        <w:t>NSW,</w:t>
      </w:r>
      <w:r>
        <w:rPr>
          <w:spacing w:val="-3"/>
          <w:w w:val="95"/>
          <w:sz w:val="14"/>
        </w:rPr>
        <w:t xml:space="preserve"> </w:t>
      </w:r>
      <w:r>
        <w:rPr>
          <w:w w:val="95"/>
          <w:sz w:val="14"/>
        </w:rPr>
        <w:t>Final</w:t>
      </w:r>
      <w:r>
        <w:rPr>
          <w:spacing w:val="-3"/>
          <w:w w:val="95"/>
          <w:sz w:val="14"/>
        </w:rPr>
        <w:t xml:space="preserve"> </w:t>
      </w:r>
      <w:r>
        <w:rPr>
          <w:spacing w:val="-2"/>
          <w:w w:val="95"/>
          <w:sz w:val="14"/>
        </w:rPr>
        <w:t>Report.</w:t>
      </w:r>
    </w:p>
    <w:p w:rsidR="002C1123" w:rsidRDefault="00F22F94">
      <w:pPr>
        <w:pStyle w:val="BodyText"/>
        <w:spacing w:before="10"/>
        <w:ind w:left="492"/>
      </w:pPr>
      <w:r>
        <w:br w:type="column"/>
      </w:r>
      <w:r>
        <w:rPr>
          <w:w w:val="95"/>
        </w:rPr>
        <w:t>under</w:t>
      </w:r>
      <w:r>
        <w:rPr>
          <w:spacing w:val="-7"/>
          <w:w w:val="95"/>
        </w:rPr>
        <w:t xml:space="preserve"> </w:t>
      </w:r>
      <w:r>
        <w:rPr>
          <w:w w:val="95"/>
        </w:rPr>
        <w:t>Military</w:t>
      </w:r>
      <w:r>
        <w:rPr>
          <w:spacing w:val="-6"/>
          <w:w w:val="95"/>
        </w:rPr>
        <w:t xml:space="preserve"> </w:t>
      </w:r>
      <w:r>
        <w:rPr>
          <w:spacing w:val="-4"/>
          <w:w w:val="95"/>
        </w:rPr>
        <w:t>Road.</w:t>
      </w:r>
    </w:p>
    <w:p w:rsidR="002C1123" w:rsidRDefault="00F22F94">
      <w:pPr>
        <w:spacing w:before="44"/>
        <w:ind w:left="690" w:right="662" w:hanging="199"/>
        <w:rPr>
          <w:sz w:val="14"/>
        </w:rPr>
      </w:pPr>
      <w:r>
        <w:br w:type="column"/>
      </w:r>
      <w:r>
        <w:rPr>
          <w:w w:val="95"/>
          <w:sz w:val="14"/>
        </w:rPr>
        <w:t>16</w:t>
      </w:r>
      <w:r>
        <w:rPr>
          <w:spacing w:val="21"/>
          <w:sz w:val="14"/>
        </w:rPr>
        <w:t xml:space="preserve"> </w:t>
      </w:r>
      <w:r>
        <w:rPr>
          <w:w w:val="95"/>
          <w:sz w:val="14"/>
        </w:rPr>
        <w:t>Transport</w:t>
      </w:r>
      <w:r>
        <w:rPr>
          <w:spacing w:val="-1"/>
          <w:w w:val="95"/>
          <w:sz w:val="14"/>
        </w:rPr>
        <w:t xml:space="preserve"> </w:t>
      </w:r>
      <w:r>
        <w:rPr>
          <w:w w:val="95"/>
          <w:sz w:val="14"/>
        </w:rPr>
        <w:t>for</w:t>
      </w:r>
      <w:r>
        <w:rPr>
          <w:spacing w:val="-1"/>
          <w:w w:val="95"/>
          <w:sz w:val="14"/>
        </w:rPr>
        <w:t xml:space="preserve"> </w:t>
      </w:r>
      <w:r>
        <w:rPr>
          <w:w w:val="95"/>
          <w:sz w:val="14"/>
        </w:rPr>
        <w:t>NSW</w:t>
      </w:r>
      <w:r>
        <w:rPr>
          <w:spacing w:val="-1"/>
          <w:w w:val="95"/>
          <w:sz w:val="14"/>
        </w:rPr>
        <w:t xml:space="preserve"> </w:t>
      </w:r>
      <w:r>
        <w:rPr>
          <w:w w:val="95"/>
          <w:sz w:val="14"/>
        </w:rPr>
        <w:t>2012,</w:t>
      </w:r>
      <w:r>
        <w:rPr>
          <w:spacing w:val="-1"/>
          <w:w w:val="95"/>
          <w:sz w:val="14"/>
        </w:rPr>
        <w:t xml:space="preserve"> </w:t>
      </w:r>
      <w:r>
        <w:rPr>
          <w:w w:val="95"/>
          <w:sz w:val="14"/>
        </w:rPr>
        <w:t>Northern</w:t>
      </w:r>
      <w:r>
        <w:rPr>
          <w:spacing w:val="-1"/>
          <w:w w:val="95"/>
          <w:sz w:val="14"/>
        </w:rPr>
        <w:t xml:space="preserve"> </w:t>
      </w:r>
      <w:r>
        <w:rPr>
          <w:w w:val="95"/>
          <w:sz w:val="14"/>
        </w:rPr>
        <w:t>Beaches</w:t>
      </w:r>
      <w:r>
        <w:rPr>
          <w:spacing w:val="-1"/>
          <w:w w:val="95"/>
          <w:sz w:val="14"/>
        </w:rPr>
        <w:t xml:space="preserve"> </w:t>
      </w:r>
      <w:r>
        <w:rPr>
          <w:w w:val="95"/>
          <w:sz w:val="14"/>
        </w:rPr>
        <w:t>Bus</w:t>
      </w:r>
      <w:r>
        <w:rPr>
          <w:spacing w:val="-1"/>
          <w:w w:val="95"/>
          <w:sz w:val="14"/>
        </w:rPr>
        <w:t xml:space="preserve"> </w:t>
      </w:r>
      <w:r>
        <w:rPr>
          <w:w w:val="95"/>
          <w:sz w:val="14"/>
        </w:rPr>
        <w:t>Rapid</w:t>
      </w:r>
      <w:r>
        <w:rPr>
          <w:spacing w:val="-1"/>
          <w:w w:val="95"/>
          <w:sz w:val="14"/>
        </w:rPr>
        <w:t xml:space="preserve"> </w:t>
      </w:r>
      <w:r>
        <w:rPr>
          <w:w w:val="95"/>
          <w:sz w:val="14"/>
        </w:rPr>
        <w:t>Transit</w:t>
      </w:r>
      <w:r>
        <w:rPr>
          <w:spacing w:val="-1"/>
          <w:w w:val="95"/>
          <w:sz w:val="14"/>
        </w:rPr>
        <w:t xml:space="preserve"> </w:t>
      </w:r>
      <w:r>
        <w:rPr>
          <w:w w:val="95"/>
          <w:sz w:val="14"/>
        </w:rPr>
        <w:t>(BRT)</w:t>
      </w:r>
      <w:r>
        <w:rPr>
          <w:spacing w:val="-1"/>
          <w:w w:val="95"/>
          <w:sz w:val="14"/>
        </w:rPr>
        <w:t xml:space="preserve"> </w:t>
      </w:r>
      <w:r>
        <w:rPr>
          <w:w w:val="95"/>
          <w:sz w:val="14"/>
        </w:rPr>
        <w:t>Study,</w:t>
      </w:r>
      <w:r>
        <w:rPr>
          <w:spacing w:val="40"/>
          <w:sz w:val="14"/>
        </w:rPr>
        <w:t xml:space="preserve"> </w:t>
      </w:r>
      <w:r>
        <w:rPr>
          <w:sz w:val="14"/>
        </w:rPr>
        <w:t>Draft Feasibility Report.</w:t>
      </w:r>
    </w:p>
    <w:p w:rsidR="002C1123" w:rsidRDefault="002C1123">
      <w:pPr>
        <w:rPr>
          <w:sz w:val="14"/>
        </w:rPr>
        <w:sectPr w:rsidR="002C1123">
          <w:type w:val="continuous"/>
          <w:pgSz w:w="16840" w:h="11910" w:orient="landscape"/>
          <w:pgMar w:top="560" w:right="280" w:bottom="280" w:left="500" w:header="0" w:footer="517" w:gutter="0"/>
          <w:cols w:num="3" w:space="720" w:equalWidth="0">
            <w:col w:w="4965" w:space="62"/>
            <w:col w:w="2238" w:space="2789"/>
            <w:col w:w="6006"/>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3"/>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Heading6"/>
        <w:numPr>
          <w:ilvl w:val="2"/>
          <w:numId w:val="92"/>
        </w:numPr>
        <w:tabs>
          <w:tab w:val="left" w:pos="979"/>
        </w:tabs>
        <w:ind w:left="978" w:hanging="487"/>
        <w:jc w:val="left"/>
        <w:rPr>
          <w:color w:val="00AEEF"/>
        </w:rPr>
      </w:pPr>
      <w:bookmarkStart w:id="201" w:name="7.6__Bus_corridors_and_light_rail_option"/>
      <w:bookmarkStart w:id="202" w:name="_bookmark145"/>
      <w:bookmarkStart w:id="203" w:name="_bookmark144"/>
      <w:bookmarkEnd w:id="201"/>
      <w:bookmarkEnd w:id="202"/>
      <w:bookmarkEnd w:id="203"/>
      <w:r>
        <w:rPr>
          <w:color w:val="00AEEF"/>
          <w:spacing w:val="-4"/>
        </w:rPr>
        <w:t>Victoria</w:t>
      </w:r>
      <w:r>
        <w:rPr>
          <w:color w:val="00AEEF"/>
          <w:spacing w:val="-1"/>
        </w:rPr>
        <w:t xml:space="preserve"> </w:t>
      </w:r>
      <w:r>
        <w:rPr>
          <w:color w:val="00AEEF"/>
          <w:spacing w:val="-4"/>
        </w:rPr>
        <w:t>Road</w:t>
      </w:r>
      <w:r>
        <w:rPr>
          <w:color w:val="00AEEF"/>
          <w:spacing w:val="-1"/>
        </w:rPr>
        <w:t xml:space="preserve"> </w:t>
      </w:r>
      <w:r>
        <w:rPr>
          <w:color w:val="00AEEF"/>
          <w:spacing w:val="-4"/>
        </w:rPr>
        <w:t>Rapid</w:t>
      </w:r>
      <w:r>
        <w:rPr>
          <w:color w:val="00AEEF"/>
        </w:rPr>
        <w:t xml:space="preserve"> </w:t>
      </w:r>
      <w:r>
        <w:rPr>
          <w:color w:val="00AEEF"/>
          <w:spacing w:val="-4"/>
        </w:rPr>
        <w:t>Transit</w:t>
      </w:r>
    </w:p>
    <w:p w:rsidR="002C1123" w:rsidRDefault="00F22F94">
      <w:pPr>
        <w:pStyle w:val="BodyText"/>
        <w:spacing w:before="95" w:line="249" w:lineRule="auto"/>
        <w:ind w:left="492"/>
      </w:pPr>
      <w:r>
        <w:rPr>
          <w:w w:val="95"/>
        </w:rPr>
        <w:t>Victoria</w:t>
      </w:r>
      <w:r>
        <w:rPr>
          <w:spacing w:val="-4"/>
          <w:w w:val="95"/>
        </w:rPr>
        <w:t xml:space="preserve"> </w:t>
      </w:r>
      <w:r>
        <w:rPr>
          <w:w w:val="95"/>
        </w:rPr>
        <w:t>Road</w:t>
      </w:r>
      <w:r>
        <w:rPr>
          <w:spacing w:val="-4"/>
          <w:w w:val="95"/>
        </w:rPr>
        <w:t xml:space="preserve"> </w:t>
      </w:r>
      <w:r>
        <w:rPr>
          <w:w w:val="95"/>
        </w:rPr>
        <w:t>is</w:t>
      </w:r>
      <w:r>
        <w:rPr>
          <w:spacing w:val="-4"/>
          <w:w w:val="95"/>
        </w:rPr>
        <w:t xml:space="preserve"> </w:t>
      </w:r>
      <w:r>
        <w:rPr>
          <w:w w:val="95"/>
        </w:rPr>
        <w:t>one</w:t>
      </w:r>
      <w:r>
        <w:rPr>
          <w:spacing w:val="-4"/>
          <w:w w:val="95"/>
        </w:rPr>
        <w:t xml:space="preserve"> </w:t>
      </w:r>
      <w:r>
        <w:rPr>
          <w:w w:val="95"/>
        </w:rPr>
        <w:t>of</w:t>
      </w:r>
      <w:r>
        <w:rPr>
          <w:spacing w:val="-4"/>
          <w:w w:val="95"/>
        </w:rPr>
        <w:t xml:space="preserve"> </w:t>
      </w:r>
      <w:r>
        <w:rPr>
          <w:w w:val="95"/>
        </w:rPr>
        <w:t>Sydney’s</w:t>
      </w:r>
      <w:r>
        <w:rPr>
          <w:spacing w:val="-4"/>
          <w:w w:val="95"/>
        </w:rPr>
        <w:t xml:space="preserve"> </w:t>
      </w:r>
      <w:r>
        <w:rPr>
          <w:w w:val="95"/>
        </w:rPr>
        <w:t>busiest</w:t>
      </w:r>
      <w:r>
        <w:rPr>
          <w:spacing w:val="-4"/>
          <w:w w:val="95"/>
        </w:rPr>
        <w:t xml:space="preserve"> </w:t>
      </w:r>
      <w:r>
        <w:rPr>
          <w:w w:val="95"/>
        </w:rPr>
        <w:t>traffic</w:t>
      </w:r>
      <w:r>
        <w:rPr>
          <w:spacing w:val="-4"/>
          <w:w w:val="95"/>
        </w:rPr>
        <w:t xml:space="preserve"> </w:t>
      </w:r>
      <w:r>
        <w:rPr>
          <w:w w:val="95"/>
        </w:rPr>
        <w:t xml:space="preserve">corridors </w:t>
      </w:r>
      <w:r>
        <w:t>and</w:t>
      </w:r>
      <w:r>
        <w:rPr>
          <w:spacing w:val="-10"/>
        </w:rPr>
        <w:t xml:space="preserve"> </w:t>
      </w:r>
      <w:r>
        <w:t>with</w:t>
      </w:r>
      <w:r>
        <w:rPr>
          <w:spacing w:val="-10"/>
        </w:rPr>
        <w:t xml:space="preserve"> </w:t>
      </w:r>
      <w:r>
        <w:t>high</w:t>
      </w:r>
      <w:r>
        <w:rPr>
          <w:spacing w:val="-10"/>
        </w:rPr>
        <w:t xml:space="preserve"> </w:t>
      </w:r>
      <w:r>
        <w:t>demand</w:t>
      </w:r>
      <w:r>
        <w:rPr>
          <w:spacing w:val="-10"/>
        </w:rPr>
        <w:t xml:space="preserve"> </w:t>
      </w:r>
      <w:r>
        <w:t>for</w:t>
      </w:r>
      <w:r>
        <w:rPr>
          <w:spacing w:val="-10"/>
        </w:rPr>
        <w:t xml:space="preserve"> </w:t>
      </w:r>
      <w:r>
        <w:t>bus</w:t>
      </w:r>
      <w:r>
        <w:rPr>
          <w:spacing w:val="-10"/>
        </w:rPr>
        <w:t xml:space="preserve"> </w:t>
      </w:r>
      <w:r>
        <w:t>services</w:t>
      </w:r>
      <w:r>
        <w:rPr>
          <w:spacing w:val="-10"/>
        </w:rPr>
        <w:t xml:space="preserve"> </w:t>
      </w:r>
      <w:r>
        <w:t>it</w:t>
      </w:r>
      <w:r>
        <w:rPr>
          <w:spacing w:val="-10"/>
        </w:rPr>
        <w:t xml:space="preserve"> </w:t>
      </w:r>
      <w:r>
        <w:t>has</w:t>
      </w:r>
      <w:r>
        <w:rPr>
          <w:spacing w:val="-10"/>
        </w:rPr>
        <w:t xml:space="preserve"> </w:t>
      </w:r>
      <w:r>
        <w:t>recently benefited</w:t>
      </w:r>
      <w:r>
        <w:rPr>
          <w:spacing w:val="-12"/>
        </w:rPr>
        <w:t xml:space="preserve"> </w:t>
      </w:r>
      <w:r>
        <w:t>from</w:t>
      </w:r>
      <w:r>
        <w:rPr>
          <w:spacing w:val="-12"/>
        </w:rPr>
        <w:t xml:space="preserve"> </w:t>
      </w:r>
      <w:r>
        <w:t>investment</w:t>
      </w:r>
      <w:r>
        <w:rPr>
          <w:spacing w:val="-12"/>
        </w:rPr>
        <w:t xml:space="preserve"> </w:t>
      </w:r>
      <w:r>
        <w:t>in</w:t>
      </w:r>
      <w:r>
        <w:rPr>
          <w:spacing w:val="-12"/>
        </w:rPr>
        <w:t xml:space="preserve"> </w:t>
      </w:r>
      <w:r>
        <w:t>substantial</w:t>
      </w:r>
      <w:r>
        <w:rPr>
          <w:spacing w:val="-12"/>
        </w:rPr>
        <w:t xml:space="preserve"> </w:t>
      </w:r>
      <w:r>
        <w:t>bus</w:t>
      </w:r>
      <w:r>
        <w:rPr>
          <w:spacing w:val="-12"/>
        </w:rPr>
        <w:t xml:space="preserve"> </w:t>
      </w:r>
      <w:r>
        <w:t xml:space="preserve">priority </w:t>
      </w:r>
      <w:r>
        <w:rPr>
          <w:w w:val="95"/>
        </w:rPr>
        <w:t>measures</w:t>
      </w:r>
      <w:r>
        <w:rPr>
          <w:spacing w:val="-7"/>
          <w:w w:val="95"/>
        </w:rPr>
        <w:t xml:space="preserve"> </w:t>
      </w:r>
      <w:r>
        <w:rPr>
          <w:w w:val="95"/>
        </w:rPr>
        <w:t>–</w:t>
      </w:r>
      <w:r>
        <w:rPr>
          <w:spacing w:val="-7"/>
          <w:w w:val="95"/>
        </w:rPr>
        <w:t xml:space="preserve"> </w:t>
      </w:r>
      <w:r>
        <w:rPr>
          <w:w w:val="95"/>
        </w:rPr>
        <w:t>particularly</w:t>
      </w:r>
      <w:r>
        <w:rPr>
          <w:spacing w:val="-7"/>
          <w:w w:val="95"/>
        </w:rPr>
        <w:t xml:space="preserve"> </w:t>
      </w:r>
      <w:r>
        <w:rPr>
          <w:w w:val="95"/>
        </w:rPr>
        <w:t>with</w:t>
      </w:r>
      <w:r>
        <w:rPr>
          <w:spacing w:val="-7"/>
          <w:w w:val="95"/>
        </w:rPr>
        <w:t xml:space="preserve"> </w:t>
      </w:r>
      <w:r>
        <w:rPr>
          <w:w w:val="95"/>
        </w:rPr>
        <w:t>the</w:t>
      </w:r>
      <w:r>
        <w:rPr>
          <w:spacing w:val="-7"/>
          <w:w w:val="95"/>
        </w:rPr>
        <w:t xml:space="preserve"> </w:t>
      </w:r>
      <w:r>
        <w:rPr>
          <w:w w:val="95"/>
        </w:rPr>
        <w:t>duplication</w:t>
      </w:r>
      <w:r>
        <w:rPr>
          <w:spacing w:val="-7"/>
          <w:w w:val="95"/>
        </w:rPr>
        <w:t xml:space="preserve"> </w:t>
      </w:r>
      <w:r>
        <w:rPr>
          <w:w w:val="95"/>
        </w:rPr>
        <w:t>of</w:t>
      </w:r>
      <w:r>
        <w:rPr>
          <w:spacing w:val="-7"/>
          <w:w w:val="95"/>
        </w:rPr>
        <w:t xml:space="preserve"> </w:t>
      </w:r>
      <w:r>
        <w:rPr>
          <w:w w:val="95"/>
        </w:rPr>
        <w:t>Iron</w:t>
      </w:r>
      <w:r>
        <w:rPr>
          <w:spacing w:val="-7"/>
          <w:w w:val="95"/>
        </w:rPr>
        <w:t xml:space="preserve"> </w:t>
      </w:r>
      <w:r>
        <w:rPr>
          <w:w w:val="95"/>
        </w:rPr>
        <w:t xml:space="preserve">Cove </w:t>
      </w:r>
      <w:r>
        <w:t>Bridge.</w:t>
      </w:r>
      <w:r>
        <w:rPr>
          <w:spacing w:val="-14"/>
        </w:rPr>
        <w:t xml:space="preserve"> </w:t>
      </w:r>
      <w:r>
        <w:t>The</w:t>
      </w:r>
      <w:r>
        <w:rPr>
          <w:spacing w:val="-14"/>
        </w:rPr>
        <w:t xml:space="preserve"> </w:t>
      </w:r>
      <w:r>
        <w:t>remainder</w:t>
      </w:r>
      <w:r>
        <w:rPr>
          <w:spacing w:val="-14"/>
        </w:rPr>
        <w:t xml:space="preserve"> </w:t>
      </w:r>
      <w:r>
        <w:t>of</w:t>
      </w:r>
      <w:r>
        <w:rPr>
          <w:spacing w:val="-13"/>
        </w:rPr>
        <w:t xml:space="preserve"> </w:t>
      </w:r>
      <w:r>
        <w:t>the</w:t>
      </w:r>
      <w:r>
        <w:rPr>
          <w:spacing w:val="-14"/>
        </w:rPr>
        <w:t xml:space="preserve"> </w:t>
      </w:r>
      <w:r>
        <w:t>Victoria</w:t>
      </w:r>
      <w:r>
        <w:rPr>
          <w:spacing w:val="-14"/>
        </w:rPr>
        <w:t xml:space="preserve"> </w:t>
      </w:r>
      <w:r>
        <w:t>Road</w:t>
      </w:r>
      <w:r>
        <w:rPr>
          <w:spacing w:val="-14"/>
        </w:rPr>
        <w:t xml:space="preserve"> </w:t>
      </w:r>
      <w:r>
        <w:t>corridor</w:t>
      </w:r>
      <w:r>
        <w:rPr>
          <w:spacing w:val="-13"/>
        </w:rPr>
        <w:t xml:space="preserve"> </w:t>
      </w:r>
      <w:r>
        <w:t xml:space="preserve">is </w:t>
      </w:r>
      <w:r>
        <w:rPr>
          <w:w w:val="95"/>
        </w:rPr>
        <w:t>likely</w:t>
      </w:r>
      <w:r>
        <w:rPr>
          <w:spacing w:val="-4"/>
          <w:w w:val="95"/>
        </w:rPr>
        <w:t xml:space="preserve"> </w:t>
      </w:r>
      <w:r>
        <w:rPr>
          <w:w w:val="95"/>
        </w:rPr>
        <w:t>to</w:t>
      </w:r>
      <w:r>
        <w:rPr>
          <w:spacing w:val="-4"/>
          <w:w w:val="95"/>
        </w:rPr>
        <w:t xml:space="preserve"> </w:t>
      </w:r>
      <w:r>
        <w:rPr>
          <w:w w:val="95"/>
        </w:rPr>
        <w:t>warrant</w:t>
      </w:r>
      <w:r>
        <w:rPr>
          <w:spacing w:val="-4"/>
          <w:w w:val="95"/>
        </w:rPr>
        <w:t xml:space="preserve"> </w:t>
      </w:r>
      <w:r>
        <w:rPr>
          <w:w w:val="95"/>
        </w:rPr>
        <w:t>a</w:t>
      </w:r>
      <w:r>
        <w:rPr>
          <w:spacing w:val="-4"/>
          <w:w w:val="95"/>
        </w:rPr>
        <w:t xml:space="preserve"> </w:t>
      </w:r>
      <w:r>
        <w:rPr>
          <w:w w:val="95"/>
        </w:rPr>
        <w:t>range</w:t>
      </w:r>
      <w:r>
        <w:rPr>
          <w:spacing w:val="-4"/>
          <w:w w:val="95"/>
        </w:rPr>
        <w:t xml:space="preserve"> </w:t>
      </w:r>
      <w:r>
        <w:rPr>
          <w:w w:val="95"/>
        </w:rPr>
        <w:t>of</w:t>
      </w:r>
      <w:r>
        <w:rPr>
          <w:spacing w:val="-4"/>
          <w:w w:val="95"/>
        </w:rPr>
        <w:t xml:space="preserve"> </w:t>
      </w:r>
      <w:r>
        <w:rPr>
          <w:w w:val="95"/>
        </w:rPr>
        <w:t>further</w:t>
      </w:r>
      <w:r>
        <w:rPr>
          <w:spacing w:val="-4"/>
          <w:w w:val="95"/>
        </w:rPr>
        <w:t xml:space="preserve"> </w:t>
      </w:r>
      <w:r>
        <w:rPr>
          <w:w w:val="95"/>
        </w:rPr>
        <w:t>bus</w:t>
      </w:r>
      <w:r>
        <w:rPr>
          <w:spacing w:val="-4"/>
          <w:w w:val="95"/>
        </w:rPr>
        <w:t xml:space="preserve"> </w:t>
      </w:r>
      <w:r>
        <w:rPr>
          <w:w w:val="95"/>
        </w:rPr>
        <w:t>priority</w:t>
      </w:r>
      <w:r>
        <w:rPr>
          <w:spacing w:val="-4"/>
          <w:w w:val="95"/>
        </w:rPr>
        <w:t xml:space="preserve"> </w:t>
      </w:r>
      <w:r>
        <w:rPr>
          <w:w w:val="95"/>
        </w:rPr>
        <w:t xml:space="preserve">measures </w:t>
      </w:r>
      <w:r>
        <w:t>over</w:t>
      </w:r>
      <w:r>
        <w:rPr>
          <w:spacing w:val="-11"/>
        </w:rPr>
        <w:t xml:space="preserve"> </w:t>
      </w:r>
      <w:r>
        <w:t>the</w:t>
      </w:r>
      <w:r>
        <w:rPr>
          <w:spacing w:val="-11"/>
        </w:rPr>
        <w:t xml:space="preserve"> </w:t>
      </w:r>
      <w:r>
        <w:t>next</w:t>
      </w:r>
      <w:r>
        <w:rPr>
          <w:spacing w:val="-11"/>
        </w:rPr>
        <w:t xml:space="preserve"> </w:t>
      </w:r>
      <w:r>
        <w:t>20</w:t>
      </w:r>
      <w:r>
        <w:rPr>
          <w:spacing w:val="-11"/>
        </w:rPr>
        <w:t xml:space="preserve"> </w:t>
      </w:r>
      <w:r>
        <w:t>years,</w:t>
      </w:r>
      <w:r>
        <w:rPr>
          <w:spacing w:val="-11"/>
        </w:rPr>
        <w:t xml:space="preserve"> </w:t>
      </w:r>
      <w:r>
        <w:t>including</w:t>
      </w:r>
      <w:r>
        <w:rPr>
          <w:spacing w:val="-11"/>
        </w:rPr>
        <w:t xml:space="preserve"> </w:t>
      </w:r>
      <w:r>
        <w:t>the</w:t>
      </w:r>
      <w:r>
        <w:rPr>
          <w:spacing w:val="-11"/>
        </w:rPr>
        <w:t xml:space="preserve"> </w:t>
      </w:r>
      <w:r>
        <w:t>introduction</w:t>
      </w:r>
      <w:r>
        <w:rPr>
          <w:spacing w:val="-11"/>
        </w:rPr>
        <w:t xml:space="preserve"> </w:t>
      </w:r>
      <w:r>
        <w:t>of dedicated rapid transit lanes.</w:t>
      </w:r>
    </w:p>
    <w:p w:rsidR="002C1123" w:rsidRDefault="00F22F94">
      <w:pPr>
        <w:pStyle w:val="BodyText"/>
        <w:spacing w:before="148" w:line="249" w:lineRule="auto"/>
        <w:ind w:left="492"/>
      </w:pPr>
      <w:r>
        <w:t>Currently</w:t>
      </w:r>
      <w:r>
        <w:rPr>
          <w:spacing w:val="-7"/>
        </w:rPr>
        <w:t xml:space="preserve"> </w:t>
      </w:r>
      <w:r>
        <w:t>the</w:t>
      </w:r>
      <w:r>
        <w:rPr>
          <w:spacing w:val="-7"/>
        </w:rPr>
        <w:t xml:space="preserve"> </w:t>
      </w:r>
      <w:r>
        <w:t>biggest</w:t>
      </w:r>
      <w:r>
        <w:rPr>
          <w:spacing w:val="-7"/>
        </w:rPr>
        <w:t xml:space="preserve"> </w:t>
      </w:r>
      <w:r>
        <w:t>constraints</w:t>
      </w:r>
      <w:r>
        <w:rPr>
          <w:spacing w:val="-7"/>
        </w:rPr>
        <w:t xml:space="preserve"> </w:t>
      </w:r>
      <w:r>
        <w:t>appear</w:t>
      </w:r>
      <w:r>
        <w:rPr>
          <w:spacing w:val="-7"/>
        </w:rPr>
        <w:t xml:space="preserve"> </w:t>
      </w:r>
      <w:r>
        <w:t>to</w:t>
      </w:r>
      <w:r>
        <w:rPr>
          <w:spacing w:val="-7"/>
        </w:rPr>
        <w:t xml:space="preserve"> </w:t>
      </w:r>
      <w:r>
        <w:t>be</w:t>
      </w:r>
      <w:r>
        <w:rPr>
          <w:spacing w:val="-7"/>
        </w:rPr>
        <w:t xml:space="preserve"> </w:t>
      </w:r>
      <w:r>
        <w:t xml:space="preserve">on </w:t>
      </w:r>
      <w:r>
        <w:rPr>
          <w:w w:val="95"/>
        </w:rPr>
        <w:t>Anzac</w:t>
      </w:r>
      <w:r>
        <w:rPr>
          <w:spacing w:val="-5"/>
          <w:w w:val="95"/>
        </w:rPr>
        <w:t xml:space="preserve"> </w:t>
      </w:r>
      <w:r>
        <w:rPr>
          <w:w w:val="95"/>
        </w:rPr>
        <w:t>Bridge</w:t>
      </w:r>
      <w:r>
        <w:rPr>
          <w:spacing w:val="-5"/>
          <w:w w:val="95"/>
        </w:rPr>
        <w:t xml:space="preserve"> </w:t>
      </w:r>
      <w:r>
        <w:rPr>
          <w:w w:val="95"/>
        </w:rPr>
        <w:t>and</w:t>
      </w:r>
      <w:r>
        <w:rPr>
          <w:spacing w:val="-5"/>
          <w:w w:val="95"/>
        </w:rPr>
        <w:t xml:space="preserve"> </w:t>
      </w:r>
      <w:r>
        <w:rPr>
          <w:w w:val="95"/>
        </w:rPr>
        <w:t>final</w:t>
      </w:r>
      <w:r>
        <w:rPr>
          <w:spacing w:val="-5"/>
          <w:w w:val="95"/>
        </w:rPr>
        <w:t xml:space="preserve"> </w:t>
      </w:r>
      <w:r>
        <w:rPr>
          <w:w w:val="95"/>
        </w:rPr>
        <w:t>access</w:t>
      </w:r>
      <w:r>
        <w:rPr>
          <w:spacing w:val="-5"/>
          <w:w w:val="95"/>
        </w:rPr>
        <w:t xml:space="preserve"> </w:t>
      </w:r>
      <w:r>
        <w:rPr>
          <w:w w:val="95"/>
        </w:rPr>
        <w:t>into</w:t>
      </w:r>
      <w:r>
        <w:rPr>
          <w:spacing w:val="-5"/>
          <w:w w:val="95"/>
        </w:rPr>
        <w:t xml:space="preserve"> </w:t>
      </w:r>
      <w:r>
        <w:rPr>
          <w:w w:val="95"/>
        </w:rPr>
        <w:t>the</w:t>
      </w:r>
      <w:r>
        <w:rPr>
          <w:spacing w:val="-5"/>
          <w:w w:val="95"/>
        </w:rPr>
        <w:t xml:space="preserve"> </w:t>
      </w:r>
      <w:r>
        <w:rPr>
          <w:w w:val="95"/>
        </w:rPr>
        <w:t>CBD,</w:t>
      </w:r>
      <w:r>
        <w:rPr>
          <w:spacing w:val="-5"/>
          <w:w w:val="95"/>
        </w:rPr>
        <w:t xml:space="preserve"> </w:t>
      </w:r>
      <w:r>
        <w:rPr>
          <w:w w:val="95"/>
        </w:rPr>
        <w:t>where</w:t>
      </w:r>
      <w:r>
        <w:rPr>
          <w:spacing w:val="-5"/>
          <w:w w:val="95"/>
        </w:rPr>
        <w:t xml:space="preserve"> </w:t>
      </w:r>
      <w:r>
        <w:rPr>
          <w:w w:val="95"/>
        </w:rPr>
        <w:t xml:space="preserve">city intersection constraints and limited passenger drop-off </w:t>
      </w:r>
      <w:r>
        <w:t>zones</w:t>
      </w:r>
      <w:r>
        <w:rPr>
          <w:spacing w:val="-8"/>
        </w:rPr>
        <w:t xml:space="preserve"> </w:t>
      </w:r>
      <w:r>
        <w:t>on</w:t>
      </w:r>
      <w:r>
        <w:rPr>
          <w:spacing w:val="-8"/>
        </w:rPr>
        <w:t xml:space="preserve"> </w:t>
      </w:r>
      <w:r>
        <w:t>Druitt</w:t>
      </w:r>
      <w:r>
        <w:rPr>
          <w:spacing w:val="-8"/>
        </w:rPr>
        <w:t xml:space="preserve"> </w:t>
      </w:r>
      <w:r>
        <w:t>Street</w:t>
      </w:r>
      <w:r>
        <w:rPr>
          <w:spacing w:val="-8"/>
        </w:rPr>
        <w:t xml:space="preserve"> </w:t>
      </w:r>
      <w:r>
        <w:t>cause</w:t>
      </w:r>
      <w:r>
        <w:rPr>
          <w:spacing w:val="-8"/>
        </w:rPr>
        <w:t xml:space="preserve"> </w:t>
      </w:r>
      <w:r>
        <w:t>extended</w:t>
      </w:r>
      <w:r>
        <w:rPr>
          <w:spacing w:val="-8"/>
        </w:rPr>
        <w:t xml:space="preserve"> </w:t>
      </w:r>
      <w:r>
        <w:t>morning</w:t>
      </w:r>
      <w:r>
        <w:rPr>
          <w:spacing w:val="-8"/>
        </w:rPr>
        <w:t xml:space="preserve"> </w:t>
      </w:r>
      <w:r>
        <w:t>bus queues</w:t>
      </w:r>
      <w:r>
        <w:rPr>
          <w:spacing w:val="-8"/>
        </w:rPr>
        <w:t xml:space="preserve"> </w:t>
      </w:r>
      <w:r>
        <w:t>to</w:t>
      </w:r>
      <w:r>
        <w:rPr>
          <w:spacing w:val="-8"/>
        </w:rPr>
        <w:t xml:space="preserve"> </w:t>
      </w:r>
      <w:r>
        <w:t>back</w:t>
      </w:r>
      <w:r>
        <w:rPr>
          <w:spacing w:val="-8"/>
        </w:rPr>
        <w:t xml:space="preserve"> </w:t>
      </w:r>
      <w:r>
        <w:t>up</w:t>
      </w:r>
      <w:r>
        <w:rPr>
          <w:spacing w:val="-8"/>
        </w:rPr>
        <w:t xml:space="preserve"> </w:t>
      </w:r>
      <w:r>
        <w:t>on</w:t>
      </w:r>
      <w:r>
        <w:rPr>
          <w:spacing w:val="-8"/>
        </w:rPr>
        <w:t xml:space="preserve"> </w:t>
      </w:r>
      <w:r>
        <w:t>the</w:t>
      </w:r>
      <w:r>
        <w:rPr>
          <w:spacing w:val="-8"/>
        </w:rPr>
        <w:t xml:space="preserve"> </w:t>
      </w:r>
      <w:r>
        <w:t>Western</w:t>
      </w:r>
      <w:r>
        <w:rPr>
          <w:spacing w:val="-8"/>
        </w:rPr>
        <w:t xml:space="preserve"> </w:t>
      </w:r>
      <w:r>
        <w:t>Distributor.</w:t>
      </w:r>
    </w:p>
    <w:p w:rsidR="002C1123" w:rsidRDefault="00F22F94">
      <w:pPr>
        <w:pStyle w:val="BodyText"/>
        <w:spacing w:before="146" w:line="249" w:lineRule="auto"/>
        <w:ind w:left="492" w:right="106"/>
      </w:pPr>
      <w:r>
        <w:t>Recent</w:t>
      </w:r>
      <w:r>
        <w:rPr>
          <w:spacing w:val="-3"/>
        </w:rPr>
        <w:t xml:space="preserve"> </w:t>
      </w:r>
      <w:r>
        <w:t>attempts</w:t>
      </w:r>
      <w:r>
        <w:rPr>
          <w:spacing w:val="-3"/>
        </w:rPr>
        <w:t xml:space="preserve"> </w:t>
      </w:r>
      <w:r>
        <w:t>to</w:t>
      </w:r>
      <w:r>
        <w:rPr>
          <w:spacing w:val="-3"/>
        </w:rPr>
        <w:t xml:space="preserve"> </w:t>
      </w:r>
      <w:r>
        <w:t>address</w:t>
      </w:r>
      <w:r>
        <w:rPr>
          <w:spacing w:val="-3"/>
        </w:rPr>
        <w:t xml:space="preserve"> </w:t>
      </w:r>
      <w:r>
        <w:t>this</w:t>
      </w:r>
      <w:r>
        <w:rPr>
          <w:spacing w:val="-3"/>
        </w:rPr>
        <w:t xml:space="preserve"> </w:t>
      </w:r>
      <w:r>
        <w:t>problem</w:t>
      </w:r>
      <w:r>
        <w:rPr>
          <w:spacing w:val="-4"/>
        </w:rPr>
        <w:t xml:space="preserve"> </w:t>
      </w:r>
      <w:r>
        <w:t>takes advantage</w:t>
      </w:r>
      <w:r>
        <w:rPr>
          <w:spacing w:val="-10"/>
        </w:rPr>
        <w:t xml:space="preserve"> </w:t>
      </w:r>
      <w:r>
        <w:t>of</w:t>
      </w:r>
      <w:r>
        <w:rPr>
          <w:spacing w:val="-10"/>
        </w:rPr>
        <w:t xml:space="preserve"> </w:t>
      </w:r>
      <w:r>
        <w:t>the</w:t>
      </w:r>
      <w:r>
        <w:rPr>
          <w:spacing w:val="-10"/>
        </w:rPr>
        <w:t xml:space="preserve"> </w:t>
      </w:r>
      <w:r>
        <w:t>ability</w:t>
      </w:r>
      <w:r>
        <w:rPr>
          <w:spacing w:val="-10"/>
        </w:rPr>
        <w:t xml:space="preserve"> </w:t>
      </w:r>
      <w:r>
        <w:t>of</w:t>
      </w:r>
      <w:r>
        <w:rPr>
          <w:spacing w:val="-10"/>
        </w:rPr>
        <w:t xml:space="preserve"> </w:t>
      </w:r>
      <w:r>
        <w:t>buses</w:t>
      </w:r>
      <w:r>
        <w:rPr>
          <w:spacing w:val="-10"/>
        </w:rPr>
        <w:t xml:space="preserve"> </w:t>
      </w:r>
      <w:r>
        <w:t>to</w:t>
      </w:r>
      <w:r>
        <w:rPr>
          <w:spacing w:val="-10"/>
        </w:rPr>
        <w:t xml:space="preserve"> </w:t>
      </w:r>
      <w:r>
        <w:t>be</w:t>
      </w:r>
      <w:r>
        <w:rPr>
          <w:spacing w:val="-10"/>
        </w:rPr>
        <w:t xml:space="preserve"> </w:t>
      </w:r>
      <w:r>
        <w:t>re-routed</w:t>
      </w:r>
      <w:r>
        <w:rPr>
          <w:spacing w:val="-10"/>
        </w:rPr>
        <w:t xml:space="preserve"> </w:t>
      </w:r>
      <w:r>
        <w:t>and provide</w:t>
      </w:r>
      <w:r>
        <w:rPr>
          <w:spacing w:val="-9"/>
        </w:rPr>
        <w:t xml:space="preserve"> </w:t>
      </w:r>
      <w:r>
        <w:t>duplicate</w:t>
      </w:r>
      <w:r>
        <w:rPr>
          <w:spacing w:val="-9"/>
        </w:rPr>
        <w:t xml:space="preserve"> </w:t>
      </w:r>
      <w:r>
        <w:t>capacity</w:t>
      </w:r>
      <w:r>
        <w:rPr>
          <w:spacing w:val="-9"/>
        </w:rPr>
        <w:t xml:space="preserve"> </w:t>
      </w:r>
      <w:r>
        <w:t>along</w:t>
      </w:r>
      <w:r>
        <w:rPr>
          <w:spacing w:val="-9"/>
        </w:rPr>
        <w:t xml:space="preserve"> </w:t>
      </w:r>
      <w:r>
        <w:t>multiple</w:t>
      </w:r>
      <w:r>
        <w:rPr>
          <w:spacing w:val="-9"/>
        </w:rPr>
        <w:t xml:space="preserve"> </w:t>
      </w:r>
      <w:r>
        <w:t>routes</w:t>
      </w:r>
      <w:r>
        <w:rPr>
          <w:spacing w:val="-9"/>
        </w:rPr>
        <w:t xml:space="preserve"> </w:t>
      </w:r>
      <w:r>
        <w:t>by diverting</w:t>
      </w:r>
      <w:r>
        <w:rPr>
          <w:spacing w:val="-13"/>
        </w:rPr>
        <w:t xml:space="preserve"> </w:t>
      </w:r>
      <w:r>
        <w:t>some</w:t>
      </w:r>
      <w:r>
        <w:rPr>
          <w:spacing w:val="-13"/>
        </w:rPr>
        <w:t xml:space="preserve"> </w:t>
      </w:r>
      <w:r>
        <w:t>buses</w:t>
      </w:r>
      <w:r>
        <w:rPr>
          <w:spacing w:val="-13"/>
        </w:rPr>
        <w:t xml:space="preserve"> </w:t>
      </w:r>
      <w:r>
        <w:t>to</w:t>
      </w:r>
      <w:r>
        <w:rPr>
          <w:spacing w:val="-13"/>
        </w:rPr>
        <w:t xml:space="preserve"> </w:t>
      </w:r>
      <w:r>
        <w:t>Bathurst</w:t>
      </w:r>
      <w:r>
        <w:rPr>
          <w:spacing w:val="-13"/>
        </w:rPr>
        <w:t xml:space="preserve"> </w:t>
      </w:r>
      <w:r>
        <w:t>Street.</w:t>
      </w:r>
      <w:r>
        <w:rPr>
          <w:spacing w:val="-13"/>
        </w:rPr>
        <w:t xml:space="preserve"> </w:t>
      </w:r>
      <w:r>
        <w:t>However,</w:t>
      </w:r>
      <w:r>
        <w:rPr>
          <w:spacing w:val="-13"/>
        </w:rPr>
        <w:t xml:space="preserve"> </w:t>
      </w:r>
      <w:r>
        <w:t xml:space="preserve">to </w:t>
      </w:r>
      <w:r>
        <w:rPr>
          <w:w w:val="95"/>
        </w:rPr>
        <w:t>be</w:t>
      </w:r>
      <w:r>
        <w:rPr>
          <w:spacing w:val="-7"/>
          <w:w w:val="95"/>
        </w:rPr>
        <w:t xml:space="preserve"> </w:t>
      </w:r>
      <w:r>
        <w:rPr>
          <w:w w:val="95"/>
        </w:rPr>
        <w:t>effective,</w:t>
      </w:r>
      <w:r>
        <w:rPr>
          <w:spacing w:val="-7"/>
          <w:w w:val="95"/>
        </w:rPr>
        <w:t xml:space="preserve"> </w:t>
      </w:r>
      <w:r>
        <w:rPr>
          <w:w w:val="95"/>
        </w:rPr>
        <w:t>this</w:t>
      </w:r>
      <w:r>
        <w:rPr>
          <w:spacing w:val="-7"/>
          <w:w w:val="95"/>
        </w:rPr>
        <w:t xml:space="preserve"> </w:t>
      </w:r>
      <w:r>
        <w:rPr>
          <w:w w:val="95"/>
        </w:rPr>
        <w:t>will</w:t>
      </w:r>
      <w:r>
        <w:rPr>
          <w:spacing w:val="-7"/>
          <w:w w:val="95"/>
        </w:rPr>
        <w:t xml:space="preserve"> </w:t>
      </w:r>
      <w:r>
        <w:rPr>
          <w:w w:val="95"/>
        </w:rPr>
        <w:t>require</w:t>
      </w:r>
      <w:r>
        <w:rPr>
          <w:spacing w:val="-7"/>
          <w:w w:val="95"/>
        </w:rPr>
        <w:t xml:space="preserve"> </w:t>
      </w:r>
      <w:r>
        <w:rPr>
          <w:w w:val="95"/>
        </w:rPr>
        <w:t>bus</w:t>
      </w:r>
      <w:r>
        <w:rPr>
          <w:spacing w:val="-7"/>
          <w:w w:val="95"/>
        </w:rPr>
        <w:t xml:space="preserve"> </w:t>
      </w:r>
      <w:r>
        <w:rPr>
          <w:w w:val="95"/>
        </w:rPr>
        <w:t>priority</w:t>
      </w:r>
      <w:r>
        <w:rPr>
          <w:spacing w:val="-7"/>
          <w:w w:val="95"/>
        </w:rPr>
        <w:t xml:space="preserve"> </w:t>
      </w:r>
      <w:r>
        <w:rPr>
          <w:w w:val="95"/>
        </w:rPr>
        <w:t>measures</w:t>
      </w:r>
      <w:r>
        <w:rPr>
          <w:spacing w:val="-7"/>
          <w:w w:val="95"/>
        </w:rPr>
        <w:t xml:space="preserve"> </w:t>
      </w:r>
      <w:r>
        <w:rPr>
          <w:w w:val="95"/>
        </w:rPr>
        <w:t>to</w:t>
      </w:r>
      <w:r>
        <w:rPr>
          <w:spacing w:val="-7"/>
          <w:w w:val="95"/>
        </w:rPr>
        <w:t xml:space="preserve"> </w:t>
      </w:r>
      <w:r>
        <w:rPr>
          <w:w w:val="95"/>
        </w:rPr>
        <w:t xml:space="preserve">be </w:t>
      </w:r>
      <w:r>
        <w:t>implemented</w:t>
      </w:r>
      <w:r>
        <w:rPr>
          <w:spacing w:val="-1"/>
        </w:rPr>
        <w:t xml:space="preserve"> </w:t>
      </w:r>
      <w:r>
        <w:t>on</w:t>
      </w:r>
      <w:r>
        <w:rPr>
          <w:spacing w:val="-1"/>
        </w:rPr>
        <w:t xml:space="preserve"> </w:t>
      </w:r>
      <w:r>
        <w:t>all</w:t>
      </w:r>
      <w:r>
        <w:rPr>
          <w:spacing w:val="-1"/>
        </w:rPr>
        <w:t xml:space="preserve"> </w:t>
      </w:r>
      <w:r>
        <w:t>incoming</w:t>
      </w:r>
      <w:r>
        <w:rPr>
          <w:spacing w:val="-1"/>
        </w:rPr>
        <w:t xml:space="preserve"> </w:t>
      </w:r>
      <w:r>
        <w:t>lanes.</w:t>
      </w:r>
    </w:p>
    <w:p w:rsidR="002C1123" w:rsidRDefault="00F22F94">
      <w:pPr>
        <w:pStyle w:val="BodyText"/>
        <w:spacing w:before="147" w:line="249" w:lineRule="auto"/>
        <w:ind w:left="492"/>
      </w:pPr>
      <w:r>
        <w:t>The</w:t>
      </w:r>
      <w:r>
        <w:rPr>
          <w:spacing w:val="-3"/>
        </w:rPr>
        <w:t xml:space="preserve"> </w:t>
      </w:r>
      <w:r>
        <w:t>CBD</w:t>
      </w:r>
      <w:r>
        <w:rPr>
          <w:spacing w:val="-3"/>
        </w:rPr>
        <w:t xml:space="preserve"> </w:t>
      </w:r>
      <w:r>
        <w:t>BRT</w:t>
      </w:r>
      <w:r>
        <w:rPr>
          <w:spacing w:val="-3"/>
        </w:rPr>
        <w:t xml:space="preserve"> </w:t>
      </w:r>
      <w:r>
        <w:t>concept</w:t>
      </w:r>
      <w:r>
        <w:rPr>
          <w:spacing w:val="-3"/>
        </w:rPr>
        <w:t xml:space="preserve"> </w:t>
      </w:r>
      <w:r>
        <w:t>offers</w:t>
      </w:r>
      <w:r>
        <w:rPr>
          <w:spacing w:val="-3"/>
        </w:rPr>
        <w:t xml:space="preserve"> </w:t>
      </w:r>
      <w:r>
        <w:t>the</w:t>
      </w:r>
      <w:r>
        <w:rPr>
          <w:spacing w:val="-3"/>
        </w:rPr>
        <w:t xml:space="preserve"> </w:t>
      </w:r>
      <w:r>
        <w:t>prospect</w:t>
      </w:r>
      <w:r>
        <w:rPr>
          <w:spacing w:val="-3"/>
        </w:rPr>
        <w:t xml:space="preserve"> </w:t>
      </w:r>
      <w:r>
        <w:t>of overcoming</w:t>
      </w:r>
      <w:r>
        <w:rPr>
          <w:spacing w:val="-9"/>
        </w:rPr>
        <w:t xml:space="preserve"> </w:t>
      </w:r>
      <w:r>
        <w:t>this</w:t>
      </w:r>
      <w:r>
        <w:rPr>
          <w:spacing w:val="-9"/>
        </w:rPr>
        <w:t xml:space="preserve"> </w:t>
      </w:r>
      <w:r>
        <w:t>CBD</w:t>
      </w:r>
      <w:r>
        <w:rPr>
          <w:spacing w:val="-9"/>
        </w:rPr>
        <w:t xml:space="preserve"> </w:t>
      </w:r>
      <w:r>
        <w:t>access</w:t>
      </w:r>
      <w:r>
        <w:rPr>
          <w:spacing w:val="-9"/>
        </w:rPr>
        <w:t xml:space="preserve"> </w:t>
      </w:r>
      <w:r>
        <w:t>constraint</w:t>
      </w:r>
      <w:r>
        <w:rPr>
          <w:spacing w:val="-9"/>
        </w:rPr>
        <w:t xml:space="preserve"> </w:t>
      </w:r>
      <w:r>
        <w:t>by</w:t>
      </w:r>
      <w:r>
        <w:rPr>
          <w:spacing w:val="-9"/>
        </w:rPr>
        <w:t xml:space="preserve"> </w:t>
      </w:r>
      <w:r>
        <w:t>allowing buses</w:t>
      </w:r>
      <w:r>
        <w:rPr>
          <w:spacing w:val="-14"/>
        </w:rPr>
        <w:t xml:space="preserve"> </w:t>
      </w:r>
      <w:r>
        <w:t>to</w:t>
      </w:r>
      <w:r>
        <w:rPr>
          <w:spacing w:val="-14"/>
        </w:rPr>
        <w:t xml:space="preserve"> </w:t>
      </w:r>
      <w:r>
        <w:t>quickly</w:t>
      </w:r>
      <w:r>
        <w:rPr>
          <w:spacing w:val="-14"/>
        </w:rPr>
        <w:t xml:space="preserve"> </w:t>
      </w:r>
      <w:r>
        <w:t>access</w:t>
      </w:r>
      <w:r>
        <w:rPr>
          <w:spacing w:val="-14"/>
        </w:rPr>
        <w:t xml:space="preserve"> </w:t>
      </w:r>
      <w:r>
        <w:t>a</w:t>
      </w:r>
      <w:r>
        <w:rPr>
          <w:spacing w:val="-14"/>
        </w:rPr>
        <w:t xml:space="preserve"> </w:t>
      </w:r>
      <w:r>
        <w:t>Town</w:t>
      </w:r>
      <w:r>
        <w:rPr>
          <w:spacing w:val="-14"/>
        </w:rPr>
        <w:t xml:space="preserve"> </w:t>
      </w:r>
      <w:r>
        <w:t>Hall</w:t>
      </w:r>
      <w:r>
        <w:rPr>
          <w:spacing w:val="-14"/>
        </w:rPr>
        <w:t xml:space="preserve"> </w:t>
      </w:r>
      <w:r>
        <w:t>terminal</w:t>
      </w:r>
      <w:r>
        <w:rPr>
          <w:spacing w:val="-14"/>
        </w:rPr>
        <w:t xml:space="preserve"> </w:t>
      </w:r>
      <w:r>
        <w:t>via</w:t>
      </w:r>
      <w:r>
        <w:rPr>
          <w:spacing w:val="-14"/>
        </w:rPr>
        <w:t xml:space="preserve"> </w:t>
      </w:r>
      <w:r>
        <w:t>the Cross</w:t>
      </w:r>
      <w:r>
        <w:rPr>
          <w:spacing w:val="-14"/>
        </w:rPr>
        <w:t xml:space="preserve"> </w:t>
      </w:r>
      <w:r>
        <w:t>City</w:t>
      </w:r>
      <w:r>
        <w:rPr>
          <w:spacing w:val="-14"/>
        </w:rPr>
        <w:t xml:space="preserve"> </w:t>
      </w:r>
      <w:r>
        <w:t>Tunnel.</w:t>
      </w:r>
      <w:r>
        <w:rPr>
          <w:spacing w:val="-14"/>
        </w:rPr>
        <w:t xml:space="preserve"> </w:t>
      </w:r>
      <w:r>
        <w:t>This</w:t>
      </w:r>
      <w:r>
        <w:rPr>
          <w:spacing w:val="-14"/>
        </w:rPr>
        <w:t xml:space="preserve"> </w:t>
      </w:r>
      <w:r>
        <w:t>would</w:t>
      </w:r>
      <w:r>
        <w:rPr>
          <w:spacing w:val="-14"/>
        </w:rPr>
        <w:t xml:space="preserve"> </w:t>
      </w:r>
      <w:r>
        <w:t>also</w:t>
      </w:r>
      <w:r>
        <w:rPr>
          <w:spacing w:val="-14"/>
        </w:rPr>
        <w:t xml:space="preserve"> </w:t>
      </w:r>
      <w:r>
        <w:t>enable</w:t>
      </w:r>
      <w:r>
        <w:rPr>
          <w:spacing w:val="-14"/>
        </w:rPr>
        <w:t xml:space="preserve"> </w:t>
      </w:r>
      <w:r>
        <w:t>improved cross</w:t>
      </w:r>
      <w:r>
        <w:rPr>
          <w:spacing w:val="-4"/>
        </w:rPr>
        <w:t xml:space="preserve"> </w:t>
      </w:r>
      <w:r>
        <w:t>suburb</w:t>
      </w:r>
      <w:r>
        <w:rPr>
          <w:spacing w:val="-4"/>
        </w:rPr>
        <w:t xml:space="preserve"> </w:t>
      </w:r>
      <w:r>
        <w:t>connections,</w:t>
      </w:r>
      <w:r>
        <w:rPr>
          <w:spacing w:val="-4"/>
        </w:rPr>
        <w:t xml:space="preserve"> </w:t>
      </w:r>
      <w:r>
        <w:t>as</w:t>
      </w:r>
      <w:r>
        <w:rPr>
          <w:spacing w:val="-4"/>
        </w:rPr>
        <w:t xml:space="preserve"> </w:t>
      </w:r>
      <w:r>
        <w:t>services</w:t>
      </w:r>
      <w:r>
        <w:rPr>
          <w:spacing w:val="-4"/>
        </w:rPr>
        <w:t xml:space="preserve"> </w:t>
      </w:r>
      <w:r>
        <w:t>could</w:t>
      </w:r>
      <w:r>
        <w:rPr>
          <w:spacing w:val="-4"/>
        </w:rPr>
        <w:t xml:space="preserve"> </w:t>
      </w:r>
      <w:r>
        <w:t>continue on</w:t>
      </w:r>
      <w:r>
        <w:rPr>
          <w:spacing w:val="-12"/>
        </w:rPr>
        <w:t xml:space="preserve"> </w:t>
      </w:r>
      <w:r>
        <w:t>to</w:t>
      </w:r>
      <w:r>
        <w:rPr>
          <w:spacing w:val="-12"/>
        </w:rPr>
        <w:t xml:space="preserve"> </w:t>
      </w:r>
      <w:r>
        <w:t>the</w:t>
      </w:r>
      <w:r>
        <w:rPr>
          <w:spacing w:val="-12"/>
        </w:rPr>
        <w:t xml:space="preserve"> </w:t>
      </w:r>
      <w:r>
        <w:t>North</w:t>
      </w:r>
      <w:r>
        <w:rPr>
          <w:spacing w:val="-12"/>
        </w:rPr>
        <w:t xml:space="preserve"> </w:t>
      </w:r>
      <w:r>
        <w:t>via</w:t>
      </w:r>
      <w:r>
        <w:rPr>
          <w:spacing w:val="-12"/>
        </w:rPr>
        <w:t xml:space="preserve"> </w:t>
      </w:r>
      <w:r>
        <w:t>the</w:t>
      </w:r>
      <w:r>
        <w:rPr>
          <w:spacing w:val="-12"/>
        </w:rPr>
        <w:t xml:space="preserve"> </w:t>
      </w:r>
      <w:r>
        <w:t>CBD</w:t>
      </w:r>
      <w:r>
        <w:rPr>
          <w:spacing w:val="-12"/>
        </w:rPr>
        <w:t xml:space="preserve"> </w:t>
      </w:r>
      <w:r>
        <w:t>BRT</w:t>
      </w:r>
      <w:r>
        <w:rPr>
          <w:spacing w:val="-12"/>
        </w:rPr>
        <w:t xml:space="preserve"> </w:t>
      </w:r>
      <w:r>
        <w:t>to</w:t>
      </w:r>
      <w:r>
        <w:rPr>
          <w:spacing w:val="-12"/>
        </w:rPr>
        <w:t xml:space="preserve"> </w:t>
      </w:r>
      <w:r>
        <w:t>Wynyard</w:t>
      </w:r>
      <w:r>
        <w:rPr>
          <w:spacing w:val="-12"/>
        </w:rPr>
        <w:t xml:space="preserve"> </w:t>
      </w:r>
      <w:r>
        <w:t>and</w:t>
      </w:r>
      <w:r>
        <w:rPr>
          <w:spacing w:val="-12"/>
        </w:rPr>
        <w:t xml:space="preserve"> </w:t>
      </w:r>
      <w:r>
        <w:t xml:space="preserve">the </w:t>
      </w:r>
      <w:r>
        <w:rPr>
          <w:w w:val="95"/>
        </w:rPr>
        <w:t>Harbour</w:t>
      </w:r>
      <w:r>
        <w:rPr>
          <w:spacing w:val="-5"/>
          <w:w w:val="95"/>
        </w:rPr>
        <w:t xml:space="preserve"> </w:t>
      </w:r>
      <w:r>
        <w:rPr>
          <w:w w:val="95"/>
        </w:rPr>
        <w:t>Bridge,</w:t>
      </w:r>
      <w:r>
        <w:rPr>
          <w:spacing w:val="-5"/>
          <w:w w:val="95"/>
        </w:rPr>
        <w:t xml:space="preserve"> </w:t>
      </w:r>
      <w:r>
        <w:rPr>
          <w:w w:val="95"/>
        </w:rPr>
        <w:t>or</w:t>
      </w:r>
      <w:r>
        <w:rPr>
          <w:spacing w:val="-5"/>
          <w:w w:val="95"/>
        </w:rPr>
        <w:t xml:space="preserve"> </w:t>
      </w:r>
      <w:r>
        <w:rPr>
          <w:w w:val="95"/>
        </w:rPr>
        <w:t>to</w:t>
      </w:r>
      <w:r>
        <w:rPr>
          <w:spacing w:val="-5"/>
          <w:w w:val="95"/>
        </w:rPr>
        <w:t xml:space="preserve"> </w:t>
      </w:r>
      <w:r>
        <w:rPr>
          <w:w w:val="95"/>
        </w:rPr>
        <w:t>Eastern</w:t>
      </w:r>
      <w:r>
        <w:rPr>
          <w:spacing w:val="-5"/>
          <w:w w:val="95"/>
        </w:rPr>
        <w:t xml:space="preserve"> </w:t>
      </w:r>
      <w:r>
        <w:rPr>
          <w:w w:val="95"/>
        </w:rPr>
        <w:t>Suburbs</w:t>
      </w:r>
      <w:r>
        <w:rPr>
          <w:spacing w:val="-5"/>
          <w:w w:val="95"/>
        </w:rPr>
        <w:t xml:space="preserve"> </w:t>
      </w:r>
      <w:r>
        <w:rPr>
          <w:w w:val="95"/>
        </w:rPr>
        <w:t>via</w:t>
      </w:r>
      <w:r>
        <w:rPr>
          <w:spacing w:val="-5"/>
          <w:w w:val="95"/>
        </w:rPr>
        <w:t xml:space="preserve"> </w:t>
      </w:r>
      <w:r>
        <w:rPr>
          <w:w w:val="95"/>
        </w:rPr>
        <w:t>the</w:t>
      </w:r>
      <w:r>
        <w:rPr>
          <w:spacing w:val="-5"/>
          <w:w w:val="95"/>
        </w:rPr>
        <w:t xml:space="preserve"> </w:t>
      </w:r>
      <w:r>
        <w:rPr>
          <w:w w:val="95"/>
        </w:rPr>
        <w:t>Cross</w:t>
      </w:r>
      <w:r>
        <w:rPr>
          <w:spacing w:val="-5"/>
          <w:w w:val="95"/>
        </w:rPr>
        <w:t xml:space="preserve"> </w:t>
      </w:r>
      <w:r>
        <w:rPr>
          <w:w w:val="95"/>
        </w:rPr>
        <w:t xml:space="preserve">City </w:t>
      </w:r>
      <w:r>
        <w:t>Tunnel</w:t>
      </w:r>
      <w:r>
        <w:rPr>
          <w:spacing w:val="-14"/>
        </w:rPr>
        <w:t xml:space="preserve"> </w:t>
      </w:r>
      <w:r>
        <w:t>(and</w:t>
      </w:r>
      <w:r>
        <w:rPr>
          <w:spacing w:val="-13"/>
        </w:rPr>
        <w:t xml:space="preserve"> </w:t>
      </w:r>
      <w:r>
        <w:t>vice</w:t>
      </w:r>
      <w:r>
        <w:rPr>
          <w:spacing w:val="-14"/>
        </w:rPr>
        <w:t xml:space="preserve"> </w:t>
      </w:r>
      <w:r>
        <w:t>versa).</w:t>
      </w:r>
    </w:p>
    <w:p w:rsidR="002C1123" w:rsidRDefault="00F22F94">
      <w:pPr>
        <w:spacing w:before="2" w:after="24"/>
        <w:rPr>
          <w:sz w:val="11"/>
        </w:rPr>
      </w:pPr>
      <w:r>
        <w:br w:type="column"/>
      </w:r>
    </w:p>
    <w:p w:rsidR="002C1123" w:rsidRDefault="002060EF">
      <w:pPr>
        <w:pStyle w:val="BodyText"/>
        <w:ind w:left="203" w:right="-44"/>
      </w:pPr>
      <w:r>
        <w:pict>
          <v:shape id="docshape1358" o:spid="_x0000_s5272" type="#_x0000_t202" style="width:239pt;height:58.8pt;mso-left-percent:-10001;mso-top-percent:-10001;mso-position-horizontal:absolute;mso-position-horizontal-relative:char;mso-position-vertical:absolute;mso-position-vertical-relative:line;mso-left-percent:-10001;mso-top-percent:-10001" fillcolor="#e1e0e1" stroked="f">
            <v:textbox inset="0,0,0,0">
              <w:txbxContent>
                <w:p w:rsidR="00F22F94" w:rsidRDefault="00F22F94">
                  <w:pPr>
                    <w:pStyle w:val="BodyText"/>
                    <w:spacing w:before="68" w:line="249" w:lineRule="auto"/>
                    <w:ind w:left="113" w:right="115"/>
                    <w:rPr>
                      <w:color w:val="000000"/>
                    </w:rPr>
                  </w:pPr>
                  <w:r>
                    <w:rPr>
                      <w:b/>
                      <w:color w:val="00AEEF"/>
                    </w:rPr>
                    <w:t>Recommendation</w:t>
                  </w:r>
                  <w:r>
                    <w:rPr>
                      <w:b/>
                      <w:color w:val="00AEEF"/>
                      <w:spacing w:val="40"/>
                    </w:rPr>
                    <w:t xml:space="preserve"> </w:t>
                  </w:r>
                  <w:r>
                    <w:rPr>
                      <w:color w:val="000000"/>
                    </w:rPr>
                    <w:t xml:space="preserve">Infrastructure NSW </w:t>
                  </w:r>
                  <w:r>
                    <w:rPr>
                      <w:color w:val="000000"/>
                      <w:spacing w:val="-2"/>
                    </w:rPr>
                    <w:t>recommends</w:t>
                  </w:r>
                  <w:r>
                    <w:rPr>
                      <w:color w:val="000000"/>
                      <w:spacing w:val="-8"/>
                    </w:rPr>
                    <w:t xml:space="preserve"> </w:t>
                  </w:r>
                  <w:r>
                    <w:rPr>
                      <w:color w:val="000000"/>
                      <w:spacing w:val="-2"/>
                    </w:rPr>
                    <w:t>that</w:t>
                  </w:r>
                  <w:r>
                    <w:rPr>
                      <w:color w:val="000000"/>
                      <w:spacing w:val="-8"/>
                    </w:rPr>
                    <w:t xml:space="preserve"> </w:t>
                  </w:r>
                  <w:r>
                    <w:rPr>
                      <w:color w:val="000000"/>
                      <w:spacing w:val="-2"/>
                    </w:rPr>
                    <w:t>TfNSW</w:t>
                  </w:r>
                  <w:r>
                    <w:rPr>
                      <w:color w:val="000000"/>
                      <w:spacing w:val="-8"/>
                    </w:rPr>
                    <w:t xml:space="preserve"> </w:t>
                  </w:r>
                  <w:r>
                    <w:rPr>
                      <w:color w:val="000000"/>
                      <w:spacing w:val="-2"/>
                    </w:rPr>
                    <w:t>develop</w:t>
                  </w:r>
                  <w:r>
                    <w:rPr>
                      <w:color w:val="000000"/>
                      <w:spacing w:val="-8"/>
                    </w:rPr>
                    <w:t xml:space="preserve"> </w:t>
                  </w:r>
                  <w:r>
                    <w:rPr>
                      <w:color w:val="000000"/>
                      <w:spacing w:val="-2"/>
                    </w:rPr>
                    <w:t>a</w:t>
                  </w:r>
                  <w:r>
                    <w:rPr>
                      <w:color w:val="000000"/>
                      <w:spacing w:val="-8"/>
                    </w:rPr>
                    <w:t xml:space="preserve"> </w:t>
                  </w:r>
                  <w:r>
                    <w:rPr>
                      <w:color w:val="000000"/>
                      <w:spacing w:val="-2"/>
                    </w:rPr>
                    <w:t>plan</w:t>
                  </w:r>
                  <w:r>
                    <w:rPr>
                      <w:color w:val="000000"/>
                      <w:spacing w:val="-8"/>
                    </w:rPr>
                    <w:t xml:space="preserve"> </w:t>
                  </w:r>
                  <w:r>
                    <w:rPr>
                      <w:color w:val="000000"/>
                      <w:spacing w:val="-2"/>
                    </w:rPr>
                    <w:t>for</w:t>
                  </w:r>
                  <w:r>
                    <w:rPr>
                      <w:color w:val="000000"/>
                      <w:spacing w:val="-8"/>
                    </w:rPr>
                    <w:t xml:space="preserve"> </w:t>
                  </w:r>
                  <w:r>
                    <w:rPr>
                      <w:color w:val="000000"/>
                      <w:spacing w:val="-2"/>
                    </w:rPr>
                    <w:t xml:space="preserve">bus </w:t>
                  </w:r>
                  <w:r>
                    <w:rPr>
                      <w:color w:val="000000"/>
                      <w:w w:val="95"/>
                    </w:rPr>
                    <w:t>priority</w:t>
                  </w:r>
                  <w:r>
                    <w:rPr>
                      <w:color w:val="000000"/>
                      <w:spacing w:val="-3"/>
                      <w:w w:val="95"/>
                    </w:rPr>
                    <w:t xml:space="preserve"> </w:t>
                  </w:r>
                  <w:r>
                    <w:rPr>
                      <w:color w:val="000000"/>
                      <w:w w:val="95"/>
                    </w:rPr>
                    <w:t>on</w:t>
                  </w:r>
                  <w:r>
                    <w:rPr>
                      <w:color w:val="000000"/>
                      <w:spacing w:val="-3"/>
                      <w:w w:val="95"/>
                    </w:rPr>
                    <w:t xml:space="preserve"> </w:t>
                  </w:r>
                  <w:r>
                    <w:rPr>
                      <w:color w:val="000000"/>
                      <w:w w:val="95"/>
                    </w:rPr>
                    <w:t>Victoria</w:t>
                  </w:r>
                  <w:r>
                    <w:rPr>
                      <w:color w:val="000000"/>
                      <w:spacing w:val="-3"/>
                      <w:w w:val="95"/>
                    </w:rPr>
                    <w:t xml:space="preserve"> </w:t>
                  </w:r>
                  <w:r>
                    <w:rPr>
                      <w:color w:val="000000"/>
                      <w:w w:val="95"/>
                    </w:rPr>
                    <w:t>Road</w:t>
                  </w:r>
                  <w:r>
                    <w:rPr>
                      <w:color w:val="000000"/>
                      <w:spacing w:val="-3"/>
                      <w:w w:val="95"/>
                    </w:rPr>
                    <w:t xml:space="preserve"> </w:t>
                  </w:r>
                  <w:r>
                    <w:rPr>
                      <w:color w:val="000000"/>
                      <w:w w:val="95"/>
                    </w:rPr>
                    <w:t>to</w:t>
                  </w:r>
                  <w:r>
                    <w:rPr>
                      <w:color w:val="000000"/>
                      <w:spacing w:val="-3"/>
                      <w:w w:val="95"/>
                    </w:rPr>
                    <w:t xml:space="preserve"> </w:t>
                  </w:r>
                  <w:r>
                    <w:rPr>
                      <w:color w:val="000000"/>
                      <w:w w:val="95"/>
                    </w:rPr>
                    <w:t>implement</w:t>
                  </w:r>
                  <w:r>
                    <w:rPr>
                      <w:color w:val="000000"/>
                      <w:spacing w:val="-3"/>
                      <w:w w:val="95"/>
                    </w:rPr>
                    <w:t xml:space="preserve"> </w:t>
                  </w:r>
                  <w:r>
                    <w:rPr>
                      <w:color w:val="000000"/>
                      <w:w w:val="95"/>
                    </w:rPr>
                    <w:t>an</w:t>
                  </w:r>
                  <w:r>
                    <w:rPr>
                      <w:color w:val="000000"/>
                      <w:spacing w:val="-3"/>
                      <w:w w:val="95"/>
                    </w:rPr>
                    <w:t xml:space="preserve"> </w:t>
                  </w:r>
                  <w:r>
                    <w:rPr>
                      <w:color w:val="000000"/>
                      <w:w w:val="95"/>
                    </w:rPr>
                    <w:t xml:space="preserve">ongoing </w:t>
                  </w:r>
                  <w:r>
                    <w:rPr>
                      <w:color w:val="000000"/>
                    </w:rPr>
                    <w:t>program of incremental investments.</w:t>
                  </w:r>
                </w:p>
              </w:txbxContent>
            </v:textbox>
            <w10:anchorlock/>
          </v:shape>
        </w:pict>
      </w:r>
    </w:p>
    <w:p w:rsidR="002C1123" w:rsidRDefault="002C1123">
      <w:pPr>
        <w:pStyle w:val="BodyText"/>
        <w:spacing w:before="8"/>
        <w:rPr>
          <w:sz w:val="32"/>
        </w:rPr>
      </w:pPr>
    </w:p>
    <w:p w:rsidR="002C1123" w:rsidRDefault="00F22F94">
      <w:pPr>
        <w:pStyle w:val="Heading5"/>
        <w:numPr>
          <w:ilvl w:val="1"/>
          <w:numId w:val="92"/>
        </w:numPr>
        <w:tabs>
          <w:tab w:val="left" w:pos="653"/>
        </w:tabs>
        <w:spacing w:before="0" w:line="223" w:lineRule="auto"/>
        <w:ind w:left="652" w:right="924"/>
        <w:jc w:val="left"/>
      </w:pPr>
      <w:r>
        <w:rPr>
          <w:color w:val="00AEEF"/>
          <w:spacing w:val="-6"/>
        </w:rPr>
        <w:t>Bus</w:t>
      </w:r>
      <w:r>
        <w:rPr>
          <w:color w:val="00AEEF"/>
          <w:spacing w:val="-14"/>
        </w:rPr>
        <w:t xml:space="preserve"> </w:t>
      </w:r>
      <w:r>
        <w:rPr>
          <w:color w:val="00AEEF"/>
          <w:spacing w:val="-6"/>
        </w:rPr>
        <w:t>corridors</w:t>
      </w:r>
      <w:r>
        <w:rPr>
          <w:color w:val="00AEEF"/>
          <w:spacing w:val="-13"/>
        </w:rPr>
        <w:t xml:space="preserve"> </w:t>
      </w:r>
      <w:r>
        <w:rPr>
          <w:color w:val="00AEEF"/>
          <w:spacing w:val="-6"/>
        </w:rPr>
        <w:t>and</w:t>
      </w:r>
      <w:r>
        <w:rPr>
          <w:color w:val="00AEEF"/>
          <w:spacing w:val="-14"/>
        </w:rPr>
        <w:t xml:space="preserve"> </w:t>
      </w:r>
      <w:r>
        <w:rPr>
          <w:color w:val="00AEEF"/>
          <w:spacing w:val="-6"/>
        </w:rPr>
        <w:t>light</w:t>
      </w:r>
      <w:r>
        <w:rPr>
          <w:color w:val="00AEEF"/>
          <w:spacing w:val="-13"/>
        </w:rPr>
        <w:t xml:space="preserve"> </w:t>
      </w:r>
      <w:r>
        <w:rPr>
          <w:color w:val="00AEEF"/>
          <w:spacing w:val="-6"/>
        </w:rPr>
        <w:t xml:space="preserve">rail </w:t>
      </w:r>
      <w:r>
        <w:rPr>
          <w:color w:val="00AEEF"/>
          <w:spacing w:val="-2"/>
        </w:rPr>
        <w:t>options</w:t>
      </w:r>
      <w:r>
        <w:rPr>
          <w:color w:val="00AEEF"/>
          <w:spacing w:val="-18"/>
        </w:rPr>
        <w:t xml:space="preserve"> </w:t>
      </w:r>
      <w:r>
        <w:rPr>
          <w:color w:val="00AEEF"/>
          <w:spacing w:val="-2"/>
        </w:rPr>
        <w:t>in</w:t>
      </w:r>
      <w:r>
        <w:rPr>
          <w:color w:val="00AEEF"/>
          <w:spacing w:val="-17"/>
        </w:rPr>
        <w:t xml:space="preserve"> </w:t>
      </w:r>
      <w:r>
        <w:rPr>
          <w:color w:val="00AEEF"/>
          <w:spacing w:val="-2"/>
        </w:rPr>
        <w:t>Greater</w:t>
      </w:r>
      <w:r>
        <w:rPr>
          <w:color w:val="00AEEF"/>
          <w:spacing w:val="-18"/>
        </w:rPr>
        <w:t xml:space="preserve"> </w:t>
      </w:r>
      <w:r>
        <w:rPr>
          <w:color w:val="00AEEF"/>
          <w:spacing w:val="-2"/>
        </w:rPr>
        <w:t>Sydney</w:t>
      </w:r>
    </w:p>
    <w:p w:rsidR="002C1123" w:rsidRDefault="00F22F94">
      <w:pPr>
        <w:pStyle w:val="Heading6"/>
        <w:numPr>
          <w:ilvl w:val="2"/>
          <w:numId w:val="92"/>
        </w:numPr>
        <w:tabs>
          <w:tab w:val="left" w:pos="690"/>
        </w:tabs>
        <w:spacing w:before="140"/>
        <w:ind w:hanging="487"/>
        <w:jc w:val="left"/>
        <w:rPr>
          <w:color w:val="00AEEF"/>
        </w:rPr>
      </w:pPr>
      <w:r>
        <w:rPr>
          <w:color w:val="00AEEF"/>
          <w:spacing w:val="-2"/>
        </w:rPr>
        <w:t>Bus</w:t>
      </w:r>
      <w:r>
        <w:rPr>
          <w:color w:val="00AEEF"/>
          <w:spacing w:val="-5"/>
        </w:rPr>
        <w:t xml:space="preserve"> </w:t>
      </w:r>
      <w:r>
        <w:rPr>
          <w:color w:val="00AEEF"/>
          <w:spacing w:val="-2"/>
        </w:rPr>
        <w:t>Network</w:t>
      </w:r>
      <w:r>
        <w:rPr>
          <w:color w:val="00AEEF"/>
          <w:spacing w:val="-5"/>
        </w:rPr>
        <w:t xml:space="preserve"> </w:t>
      </w:r>
      <w:r>
        <w:rPr>
          <w:color w:val="00AEEF"/>
          <w:spacing w:val="-2"/>
        </w:rPr>
        <w:t>Reform</w:t>
      </w:r>
    </w:p>
    <w:p w:rsidR="002C1123" w:rsidRDefault="00F22F94">
      <w:pPr>
        <w:pStyle w:val="BodyText"/>
        <w:spacing w:before="90" w:line="244" w:lineRule="auto"/>
        <w:ind w:left="203"/>
      </w:pPr>
      <w:r>
        <w:rPr>
          <w:spacing w:val="-2"/>
        </w:rPr>
        <w:t>The</w:t>
      </w:r>
      <w:r>
        <w:rPr>
          <w:spacing w:val="-9"/>
        </w:rPr>
        <w:t xml:space="preserve"> </w:t>
      </w:r>
      <w:r>
        <w:rPr>
          <w:spacing w:val="-2"/>
        </w:rPr>
        <w:t>bus</w:t>
      </w:r>
      <w:r>
        <w:rPr>
          <w:spacing w:val="-9"/>
        </w:rPr>
        <w:t xml:space="preserve"> </w:t>
      </w:r>
      <w:r>
        <w:rPr>
          <w:spacing w:val="-2"/>
        </w:rPr>
        <w:t>network</w:t>
      </w:r>
      <w:r>
        <w:rPr>
          <w:spacing w:val="-9"/>
        </w:rPr>
        <w:t xml:space="preserve"> </w:t>
      </w:r>
      <w:r>
        <w:rPr>
          <w:spacing w:val="-2"/>
        </w:rPr>
        <w:t>reforms</w:t>
      </w:r>
      <w:r>
        <w:rPr>
          <w:spacing w:val="-9"/>
        </w:rPr>
        <w:t xml:space="preserve"> </w:t>
      </w:r>
      <w:r>
        <w:rPr>
          <w:spacing w:val="-2"/>
        </w:rPr>
        <w:t>outlined</w:t>
      </w:r>
      <w:r>
        <w:rPr>
          <w:spacing w:val="-9"/>
        </w:rPr>
        <w:t xml:space="preserve"> </w:t>
      </w:r>
      <w:r>
        <w:rPr>
          <w:spacing w:val="-2"/>
        </w:rPr>
        <w:t>in</w:t>
      </w:r>
      <w:r>
        <w:rPr>
          <w:spacing w:val="-9"/>
        </w:rPr>
        <w:t xml:space="preserve"> </w:t>
      </w:r>
      <w:r>
        <w:rPr>
          <w:spacing w:val="-2"/>
        </w:rPr>
        <w:t>the</w:t>
      </w:r>
      <w:r>
        <w:rPr>
          <w:spacing w:val="-9"/>
        </w:rPr>
        <w:t xml:space="preserve"> </w:t>
      </w:r>
      <w:r>
        <w:rPr>
          <w:spacing w:val="-2"/>
        </w:rPr>
        <w:t>Draft</w:t>
      </w:r>
      <w:r>
        <w:rPr>
          <w:spacing w:val="-9"/>
        </w:rPr>
        <w:t xml:space="preserve"> </w:t>
      </w:r>
      <w:r>
        <w:rPr>
          <w:spacing w:val="-2"/>
        </w:rPr>
        <w:t xml:space="preserve">Transport </w:t>
      </w:r>
      <w:r>
        <w:rPr>
          <w:w w:val="95"/>
        </w:rPr>
        <w:t>Master</w:t>
      </w:r>
      <w:r>
        <w:rPr>
          <w:spacing w:val="-2"/>
          <w:w w:val="95"/>
        </w:rPr>
        <w:t xml:space="preserve"> </w:t>
      </w:r>
      <w:r>
        <w:rPr>
          <w:w w:val="95"/>
        </w:rPr>
        <w:t>Plan</w:t>
      </w:r>
      <w:r>
        <w:rPr>
          <w:spacing w:val="-2"/>
          <w:w w:val="95"/>
        </w:rPr>
        <w:t xml:space="preserve"> </w:t>
      </w:r>
      <w:r>
        <w:rPr>
          <w:w w:val="95"/>
        </w:rPr>
        <w:t>will</w:t>
      </w:r>
      <w:r>
        <w:rPr>
          <w:spacing w:val="-2"/>
          <w:w w:val="95"/>
        </w:rPr>
        <w:t xml:space="preserve"> </w:t>
      </w:r>
      <w:r>
        <w:rPr>
          <w:w w:val="95"/>
        </w:rPr>
        <w:t>produce</w:t>
      </w:r>
      <w:r>
        <w:rPr>
          <w:spacing w:val="-2"/>
          <w:w w:val="95"/>
        </w:rPr>
        <w:t xml:space="preserve"> </w:t>
      </w:r>
      <w:r>
        <w:rPr>
          <w:w w:val="95"/>
        </w:rPr>
        <w:t>a</w:t>
      </w:r>
      <w:r>
        <w:rPr>
          <w:spacing w:val="-2"/>
          <w:w w:val="95"/>
        </w:rPr>
        <w:t xml:space="preserve"> </w:t>
      </w:r>
      <w:r>
        <w:rPr>
          <w:w w:val="95"/>
        </w:rPr>
        <w:t>consolidated</w:t>
      </w:r>
      <w:r>
        <w:rPr>
          <w:spacing w:val="-2"/>
          <w:w w:val="95"/>
        </w:rPr>
        <w:t xml:space="preserve"> </w:t>
      </w:r>
      <w:r>
        <w:rPr>
          <w:w w:val="95"/>
        </w:rPr>
        <w:t>network</w:t>
      </w:r>
      <w:r>
        <w:rPr>
          <w:spacing w:val="-2"/>
          <w:w w:val="95"/>
        </w:rPr>
        <w:t xml:space="preserve"> </w:t>
      </w:r>
      <w:r>
        <w:rPr>
          <w:w w:val="95"/>
        </w:rPr>
        <w:t>of</w:t>
      </w:r>
      <w:r>
        <w:rPr>
          <w:spacing w:val="-2"/>
          <w:w w:val="95"/>
        </w:rPr>
        <w:t xml:space="preserve"> </w:t>
      </w:r>
      <w:r>
        <w:rPr>
          <w:w w:val="95"/>
        </w:rPr>
        <w:t xml:space="preserve">more </w:t>
      </w:r>
      <w:r>
        <w:t>frequent and inter-connected services.</w:t>
      </w:r>
    </w:p>
    <w:p w:rsidR="002C1123" w:rsidRDefault="00F22F94">
      <w:pPr>
        <w:pStyle w:val="BodyText"/>
        <w:spacing w:before="115" w:line="244" w:lineRule="auto"/>
        <w:ind w:left="203"/>
      </w:pPr>
      <w:r>
        <w:t>The</w:t>
      </w:r>
      <w:r>
        <w:rPr>
          <w:spacing w:val="-10"/>
        </w:rPr>
        <w:t xml:space="preserve"> </w:t>
      </w:r>
      <w:r>
        <w:t>objective</w:t>
      </w:r>
      <w:r>
        <w:rPr>
          <w:spacing w:val="-10"/>
        </w:rPr>
        <w:t xml:space="preserve"> </w:t>
      </w:r>
      <w:r>
        <w:t>of</w:t>
      </w:r>
      <w:r>
        <w:rPr>
          <w:spacing w:val="-10"/>
        </w:rPr>
        <w:t xml:space="preserve"> </w:t>
      </w:r>
      <w:r>
        <w:t>bus</w:t>
      </w:r>
      <w:r>
        <w:rPr>
          <w:spacing w:val="-10"/>
        </w:rPr>
        <w:t xml:space="preserve"> </w:t>
      </w:r>
      <w:r>
        <w:t>network</w:t>
      </w:r>
      <w:r>
        <w:rPr>
          <w:spacing w:val="-10"/>
        </w:rPr>
        <w:t xml:space="preserve"> </w:t>
      </w:r>
      <w:r>
        <w:t>reform</w:t>
      </w:r>
      <w:r>
        <w:rPr>
          <w:spacing w:val="-11"/>
        </w:rPr>
        <w:t xml:space="preserve"> </w:t>
      </w:r>
      <w:r>
        <w:t>is</w:t>
      </w:r>
      <w:r>
        <w:rPr>
          <w:spacing w:val="-10"/>
        </w:rPr>
        <w:t xml:space="preserve"> </w:t>
      </w:r>
      <w:r>
        <w:t>to</w:t>
      </w:r>
      <w:r>
        <w:rPr>
          <w:spacing w:val="-10"/>
        </w:rPr>
        <w:t xml:space="preserve"> </w:t>
      </w:r>
      <w:r>
        <w:t>improve services</w:t>
      </w:r>
      <w:r>
        <w:rPr>
          <w:spacing w:val="-14"/>
        </w:rPr>
        <w:t xml:space="preserve"> </w:t>
      </w:r>
      <w:r>
        <w:t>for</w:t>
      </w:r>
      <w:r>
        <w:rPr>
          <w:spacing w:val="-14"/>
        </w:rPr>
        <w:t xml:space="preserve"> </w:t>
      </w:r>
      <w:r>
        <w:t>current</w:t>
      </w:r>
      <w:r>
        <w:rPr>
          <w:spacing w:val="-14"/>
        </w:rPr>
        <w:t xml:space="preserve"> </w:t>
      </w:r>
      <w:r>
        <w:t>demand,</w:t>
      </w:r>
      <w:r>
        <w:rPr>
          <w:spacing w:val="-14"/>
        </w:rPr>
        <w:t xml:space="preserve"> </w:t>
      </w:r>
      <w:r>
        <w:t>whilst</w:t>
      </w:r>
      <w:r>
        <w:rPr>
          <w:spacing w:val="-14"/>
        </w:rPr>
        <w:t xml:space="preserve"> </w:t>
      </w:r>
      <w:r>
        <w:t>also</w:t>
      </w:r>
      <w:r>
        <w:rPr>
          <w:spacing w:val="-14"/>
        </w:rPr>
        <w:t xml:space="preserve"> </w:t>
      </w:r>
      <w:r>
        <w:t>attracting</w:t>
      </w:r>
      <w:r>
        <w:rPr>
          <w:spacing w:val="-14"/>
        </w:rPr>
        <w:t xml:space="preserve"> </w:t>
      </w:r>
      <w:r>
        <w:t>new demand</w:t>
      </w:r>
      <w:r>
        <w:rPr>
          <w:spacing w:val="-10"/>
        </w:rPr>
        <w:t xml:space="preserve"> </w:t>
      </w:r>
      <w:r>
        <w:t>at</w:t>
      </w:r>
      <w:r>
        <w:rPr>
          <w:spacing w:val="-10"/>
        </w:rPr>
        <w:t xml:space="preserve"> </w:t>
      </w:r>
      <w:r>
        <w:t>the</w:t>
      </w:r>
      <w:r>
        <w:rPr>
          <w:spacing w:val="-10"/>
        </w:rPr>
        <w:t xml:space="preserve"> </w:t>
      </w:r>
      <w:r>
        <w:t>margin.</w:t>
      </w:r>
      <w:r>
        <w:rPr>
          <w:spacing w:val="36"/>
        </w:rPr>
        <w:t xml:space="preserve"> </w:t>
      </w:r>
      <w:r>
        <w:t>On</w:t>
      </w:r>
      <w:r>
        <w:rPr>
          <w:spacing w:val="-10"/>
        </w:rPr>
        <w:t xml:space="preserve"> </w:t>
      </w:r>
      <w:r>
        <w:t>key</w:t>
      </w:r>
      <w:r>
        <w:rPr>
          <w:spacing w:val="-10"/>
        </w:rPr>
        <w:t xml:space="preserve"> </w:t>
      </w:r>
      <w:r>
        <w:t>corridors</w:t>
      </w:r>
      <w:r>
        <w:rPr>
          <w:spacing w:val="-10"/>
        </w:rPr>
        <w:t xml:space="preserve"> </w:t>
      </w:r>
      <w:r>
        <w:t>this</w:t>
      </w:r>
      <w:r>
        <w:rPr>
          <w:spacing w:val="-10"/>
        </w:rPr>
        <w:t xml:space="preserve"> </w:t>
      </w:r>
      <w:r>
        <w:t>means moving</w:t>
      </w:r>
      <w:r>
        <w:rPr>
          <w:spacing w:val="-11"/>
        </w:rPr>
        <w:t xml:space="preserve"> </w:t>
      </w:r>
      <w:r>
        <w:t>away</w:t>
      </w:r>
      <w:r>
        <w:rPr>
          <w:spacing w:val="-11"/>
        </w:rPr>
        <w:t xml:space="preserve"> </w:t>
      </w:r>
      <w:r>
        <w:t>from</w:t>
      </w:r>
      <w:r>
        <w:rPr>
          <w:spacing w:val="-12"/>
        </w:rPr>
        <w:t xml:space="preserve"> </w:t>
      </w:r>
      <w:r>
        <w:t>the</w:t>
      </w:r>
      <w:r>
        <w:rPr>
          <w:spacing w:val="-11"/>
        </w:rPr>
        <w:t xml:space="preserve"> </w:t>
      </w:r>
      <w:r>
        <w:t>historic</w:t>
      </w:r>
      <w:r>
        <w:rPr>
          <w:spacing w:val="-11"/>
        </w:rPr>
        <w:t xml:space="preserve"> </w:t>
      </w:r>
      <w:r>
        <w:t>concept</w:t>
      </w:r>
      <w:r>
        <w:rPr>
          <w:spacing w:val="-11"/>
        </w:rPr>
        <w:t xml:space="preserve"> </w:t>
      </w:r>
      <w:r>
        <w:t>of</w:t>
      </w:r>
      <w:r>
        <w:rPr>
          <w:spacing w:val="-11"/>
        </w:rPr>
        <w:t xml:space="preserve"> </w:t>
      </w:r>
      <w:r>
        <w:t xml:space="preserve">universal </w:t>
      </w:r>
      <w:r>
        <w:rPr>
          <w:w w:val="95"/>
        </w:rPr>
        <w:t>access (which emphasises minimised walking distances rather</w:t>
      </w:r>
      <w:r>
        <w:rPr>
          <w:spacing w:val="-3"/>
          <w:w w:val="95"/>
        </w:rPr>
        <w:t xml:space="preserve"> </w:t>
      </w:r>
      <w:r>
        <w:rPr>
          <w:w w:val="95"/>
        </w:rPr>
        <w:t>than</w:t>
      </w:r>
      <w:r>
        <w:rPr>
          <w:spacing w:val="-3"/>
          <w:w w:val="95"/>
        </w:rPr>
        <w:t xml:space="preserve"> </w:t>
      </w:r>
      <w:r>
        <w:rPr>
          <w:w w:val="95"/>
        </w:rPr>
        <w:t>overall</w:t>
      </w:r>
      <w:r>
        <w:rPr>
          <w:spacing w:val="-3"/>
          <w:w w:val="95"/>
        </w:rPr>
        <w:t xml:space="preserve"> </w:t>
      </w:r>
      <w:r>
        <w:rPr>
          <w:w w:val="95"/>
        </w:rPr>
        <w:t>travel</w:t>
      </w:r>
      <w:r>
        <w:rPr>
          <w:spacing w:val="-3"/>
          <w:w w:val="95"/>
        </w:rPr>
        <w:t xml:space="preserve"> </w:t>
      </w:r>
      <w:r>
        <w:rPr>
          <w:w w:val="95"/>
        </w:rPr>
        <w:t>times),</w:t>
      </w:r>
      <w:r>
        <w:rPr>
          <w:spacing w:val="-3"/>
          <w:w w:val="95"/>
        </w:rPr>
        <w:t xml:space="preserve"> </w:t>
      </w:r>
      <w:r>
        <w:rPr>
          <w:w w:val="95"/>
        </w:rPr>
        <w:t>as</w:t>
      </w:r>
      <w:r>
        <w:rPr>
          <w:spacing w:val="-3"/>
          <w:w w:val="95"/>
        </w:rPr>
        <w:t xml:space="preserve"> </w:t>
      </w:r>
      <w:r>
        <w:rPr>
          <w:w w:val="95"/>
        </w:rPr>
        <w:t>this</w:t>
      </w:r>
      <w:r>
        <w:rPr>
          <w:spacing w:val="-3"/>
          <w:w w:val="95"/>
        </w:rPr>
        <w:t xml:space="preserve"> </w:t>
      </w:r>
      <w:r>
        <w:rPr>
          <w:w w:val="95"/>
        </w:rPr>
        <w:t>tends</w:t>
      </w:r>
      <w:r>
        <w:rPr>
          <w:spacing w:val="-3"/>
          <w:w w:val="95"/>
        </w:rPr>
        <w:t xml:space="preserve"> </w:t>
      </w:r>
      <w:r>
        <w:rPr>
          <w:w w:val="95"/>
        </w:rPr>
        <w:t>to</w:t>
      </w:r>
      <w:r>
        <w:rPr>
          <w:spacing w:val="-3"/>
          <w:w w:val="95"/>
        </w:rPr>
        <w:t xml:space="preserve"> </w:t>
      </w:r>
      <w:r>
        <w:rPr>
          <w:w w:val="95"/>
        </w:rPr>
        <w:t xml:space="preserve">relegate </w:t>
      </w:r>
      <w:r>
        <w:t>bus</w:t>
      </w:r>
      <w:r>
        <w:rPr>
          <w:spacing w:val="-10"/>
        </w:rPr>
        <w:t xml:space="preserve"> </w:t>
      </w:r>
      <w:r>
        <w:t>services</w:t>
      </w:r>
      <w:r>
        <w:rPr>
          <w:spacing w:val="-10"/>
        </w:rPr>
        <w:t xml:space="preserve"> </w:t>
      </w:r>
      <w:r>
        <w:t>to</w:t>
      </w:r>
      <w:r>
        <w:rPr>
          <w:spacing w:val="-10"/>
        </w:rPr>
        <w:t xml:space="preserve"> </w:t>
      </w:r>
      <w:r>
        <w:t>the</w:t>
      </w:r>
      <w:r>
        <w:rPr>
          <w:spacing w:val="-10"/>
        </w:rPr>
        <w:t xml:space="preserve"> </w:t>
      </w:r>
      <w:r>
        <w:t>status</w:t>
      </w:r>
      <w:r>
        <w:rPr>
          <w:spacing w:val="-10"/>
        </w:rPr>
        <w:t xml:space="preserve"> </w:t>
      </w:r>
      <w:r>
        <w:t>of</w:t>
      </w:r>
      <w:r>
        <w:rPr>
          <w:spacing w:val="-10"/>
        </w:rPr>
        <w:t xml:space="preserve"> </w:t>
      </w:r>
      <w:r>
        <w:t>service</w:t>
      </w:r>
      <w:r>
        <w:rPr>
          <w:spacing w:val="-10"/>
        </w:rPr>
        <w:t xml:space="preserve"> </w:t>
      </w:r>
      <w:r>
        <w:t>of</w:t>
      </w:r>
      <w:r>
        <w:rPr>
          <w:spacing w:val="-10"/>
        </w:rPr>
        <w:t xml:space="preserve"> </w:t>
      </w:r>
      <w:r>
        <w:t>last</w:t>
      </w:r>
      <w:r>
        <w:rPr>
          <w:spacing w:val="-10"/>
        </w:rPr>
        <w:t xml:space="preserve"> </w:t>
      </w:r>
      <w:r>
        <w:t>resort.</w:t>
      </w:r>
    </w:p>
    <w:p w:rsidR="002C1123" w:rsidRDefault="00F22F94">
      <w:pPr>
        <w:pStyle w:val="BodyText"/>
        <w:spacing w:before="116" w:line="244" w:lineRule="auto"/>
        <w:ind w:left="203"/>
      </w:pPr>
      <w:r>
        <w:t>Improved</w:t>
      </w:r>
      <w:r>
        <w:rPr>
          <w:spacing w:val="-14"/>
        </w:rPr>
        <w:t xml:space="preserve"> </w:t>
      </w:r>
      <w:r>
        <w:t>service</w:t>
      </w:r>
      <w:r>
        <w:rPr>
          <w:spacing w:val="-14"/>
        </w:rPr>
        <w:t xml:space="preserve"> </w:t>
      </w:r>
      <w:r>
        <w:t>frequency,</w:t>
      </w:r>
      <w:r>
        <w:rPr>
          <w:spacing w:val="-14"/>
        </w:rPr>
        <w:t xml:space="preserve"> </w:t>
      </w:r>
      <w:r>
        <w:t>speed</w:t>
      </w:r>
      <w:r>
        <w:rPr>
          <w:spacing w:val="-14"/>
        </w:rPr>
        <w:t xml:space="preserve"> </w:t>
      </w:r>
      <w:r>
        <w:t>and</w:t>
      </w:r>
      <w:r>
        <w:rPr>
          <w:spacing w:val="-14"/>
        </w:rPr>
        <w:t xml:space="preserve"> </w:t>
      </w:r>
      <w:r>
        <w:t xml:space="preserve">reliability </w:t>
      </w:r>
      <w:r>
        <w:rPr>
          <w:w w:val="95"/>
        </w:rPr>
        <w:t>(targeting</w:t>
      </w:r>
      <w:r>
        <w:rPr>
          <w:spacing w:val="-5"/>
          <w:w w:val="95"/>
        </w:rPr>
        <w:t xml:space="preserve"> </w:t>
      </w:r>
      <w:r>
        <w:rPr>
          <w:w w:val="95"/>
        </w:rPr>
        <w:t>25-30</w:t>
      </w:r>
      <w:r>
        <w:rPr>
          <w:spacing w:val="-5"/>
          <w:w w:val="95"/>
        </w:rPr>
        <w:t xml:space="preserve"> </w:t>
      </w:r>
      <w:r>
        <w:rPr>
          <w:w w:val="95"/>
        </w:rPr>
        <w:t>kph</w:t>
      </w:r>
      <w:r>
        <w:rPr>
          <w:spacing w:val="-5"/>
          <w:w w:val="95"/>
        </w:rPr>
        <w:t xml:space="preserve"> </w:t>
      </w:r>
      <w:r>
        <w:rPr>
          <w:w w:val="95"/>
        </w:rPr>
        <w:t>to</w:t>
      </w:r>
      <w:r>
        <w:rPr>
          <w:spacing w:val="-5"/>
          <w:w w:val="95"/>
        </w:rPr>
        <w:t xml:space="preserve"> </w:t>
      </w:r>
      <w:r>
        <w:rPr>
          <w:w w:val="95"/>
        </w:rPr>
        <w:t>compete</w:t>
      </w:r>
      <w:r>
        <w:rPr>
          <w:spacing w:val="-5"/>
          <w:w w:val="95"/>
        </w:rPr>
        <w:t xml:space="preserve"> </w:t>
      </w:r>
      <w:r>
        <w:rPr>
          <w:w w:val="95"/>
        </w:rPr>
        <w:t>with</w:t>
      </w:r>
      <w:r>
        <w:rPr>
          <w:spacing w:val="-5"/>
          <w:w w:val="95"/>
        </w:rPr>
        <w:t xml:space="preserve"> </w:t>
      </w:r>
      <w:r>
        <w:rPr>
          <w:w w:val="95"/>
        </w:rPr>
        <w:t>cars),</w:t>
      </w:r>
      <w:r>
        <w:rPr>
          <w:spacing w:val="-5"/>
          <w:w w:val="95"/>
        </w:rPr>
        <w:t xml:space="preserve"> </w:t>
      </w:r>
      <w:r>
        <w:rPr>
          <w:w w:val="95"/>
        </w:rPr>
        <w:t>will</w:t>
      </w:r>
      <w:r>
        <w:rPr>
          <w:spacing w:val="-5"/>
          <w:w w:val="95"/>
        </w:rPr>
        <w:t xml:space="preserve"> </w:t>
      </w:r>
      <w:r>
        <w:rPr>
          <w:w w:val="95"/>
        </w:rPr>
        <w:t>also</w:t>
      </w:r>
      <w:r>
        <w:rPr>
          <w:spacing w:val="-5"/>
          <w:w w:val="95"/>
        </w:rPr>
        <w:t xml:space="preserve"> </w:t>
      </w:r>
      <w:r>
        <w:rPr>
          <w:w w:val="95"/>
        </w:rPr>
        <w:t xml:space="preserve">be </w:t>
      </w:r>
      <w:r>
        <w:rPr>
          <w:spacing w:val="-2"/>
        </w:rPr>
        <w:t>targeted</w:t>
      </w:r>
      <w:r>
        <w:rPr>
          <w:spacing w:val="-4"/>
        </w:rPr>
        <w:t xml:space="preserve"> </w:t>
      </w:r>
      <w:r>
        <w:rPr>
          <w:spacing w:val="-2"/>
        </w:rPr>
        <w:t>through</w:t>
      </w:r>
      <w:r>
        <w:rPr>
          <w:spacing w:val="-4"/>
        </w:rPr>
        <w:t xml:space="preserve"> </w:t>
      </w:r>
      <w:r>
        <w:rPr>
          <w:spacing w:val="-2"/>
        </w:rPr>
        <w:t>investment</w:t>
      </w:r>
      <w:r>
        <w:rPr>
          <w:spacing w:val="-4"/>
        </w:rPr>
        <w:t xml:space="preserve"> </w:t>
      </w:r>
      <w:r>
        <w:rPr>
          <w:spacing w:val="-2"/>
        </w:rPr>
        <w:t>in</w:t>
      </w:r>
      <w:r>
        <w:rPr>
          <w:spacing w:val="-4"/>
        </w:rPr>
        <w:t xml:space="preserve"> </w:t>
      </w:r>
      <w:r>
        <w:rPr>
          <w:spacing w:val="-2"/>
        </w:rPr>
        <w:t>bus</w:t>
      </w:r>
      <w:r>
        <w:rPr>
          <w:spacing w:val="-4"/>
        </w:rPr>
        <w:t xml:space="preserve"> </w:t>
      </w:r>
      <w:r>
        <w:rPr>
          <w:spacing w:val="-2"/>
        </w:rPr>
        <w:t>priority</w:t>
      </w:r>
      <w:r>
        <w:rPr>
          <w:spacing w:val="-4"/>
        </w:rPr>
        <w:t xml:space="preserve"> </w:t>
      </w:r>
      <w:r>
        <w:rPr>
          <w:spacing w:val="-2"/>
        </w:rPr>
        <w:t>measures and</w:t>
      </w:r>
      <w:r>
        <w:rPr>
          <w:spacing w:val="-8"/>
        </w:rPr>
        <w:t xml:space="preserve"> </w:t>
      </w:r>
      <w:r>
        <w:rPr>
          <w:spacing w:val="-2"/>
        </w:rPr>
        <w:t>investigation</w:t>
      </w:r>
      <w:r>
        <w:rPr>
          <w:spacing w:val="-8"/>
        </w:rPr>
        <w:t xml:space="preserve"> </w:t>
      </w:r>
      <w:r>
        <w:rPr>
          <w:spacing w:val="-2"/>
        </w:rPr>
        <w:t>of</w:t>
      </w:r>
      <w:r>
        <w:rPr>
          <w:spacing w:val="-8"/>
        </w:rPr>
        <w:t xml:space="preserve"> </w:t>
      </w:r>
      <w:r>
        <w:rPr>
          <w:spacing w:val="-2"/>
        </w:rPr>
        <w:t>longer</w:t>
      </w:r>
      <w:r>
        <w:rPr>
          <w:spacing w:val="-8"/>
        </w:rPr>
        <w:t xml:space="preserve"> </w:t>
      </w:r>
      <w:r>
        <w:rPr>
          <w:spacing w:val="-2"/>
        </w:rPr>
        <w:t>term</w:t>
      </w:r>
      <w:r>
        <w:rPr>
          <w:spacing w:val="-9"/>
        </w:rPr>
        <w:t xml:space="preserve"> </w:t>
      </w:r>
      <w:r>
        <w:rPr>
          <w:spacing w:val="-2"/>
        </w:rPr>
        <w:t>options</w:t>
      </w:r>
      <w:r>
        <w:rPr>
          <w:spacing w:val="-8"/>
        </w:rPr>
        <w:t xml:space="preserve"> </w:t>
      </w:r>
      <w:r>
        <w:rPr>
          <w:spacing w:val="-2"/>
        </w:rPr>
        <w:t>for</w:t>
      </w:r>
      <w:r>
        <w:rPr>
          <w:spacing w:val="-8"/>
        </w:rPr>
        <w:t xml:space="preserve"> </w:t>
      </w:r>
      <w:r>
        <w:rPr>
          <w:spacing w:val="-2"/>
        </w:rPr>
        <w:t xml:space="preserve">dedicated </w:t>
      </w:r>
      <w:r>
        <w:t>transit</w:t>
      </w:r>
      <w:r>
        <w:rPr>
          <w:spacing w:val="-11"/>
        </w:rPr>
        <w:t xml:space="preserve"> </w:t>
      </w:r>
      <w:r>
        <w:t>corridors</w:t>
      </w:r>
      <w:r>
        <w:rPr>
          <w:position w:val="7"/>
          <w:sz w:val="11"/>
        </w:rPr>
        <w:t>17</w:t>
      </w:r>
      <w:r>
        <w:t>.</w:t>
      </w:r>
    </w:p>
    <w:p w:rsidR="002C1123" w:rsidRDefault="00F22F94">
      <w:pPr>
        <w:pStyle w:val="BodyText"/>
        <w:spacing w:before="115" w:line="244" w:lineRule="auto"/>
        <w:ind w:left="203"/>
      </w:pPr>
      <w:r>
        <w:t>Network</w:t>
      </w:r>
      <w:r>
        <w:rPr>
          <w:spacing w:val="-6"/>
        </w:rPr>
        <w:t xml:space="preserve"> </w:t>
      </w:r>
      <w:r>
        <w:t>redesign,</w:t>
      </w:r>
      <w:r>
        <w:rPr>
          <w:spacing w:val="-6"/>
        </w:rPr>
        <w:t xml:space="preserve"> </w:t>
      </w:r>
      <w:r>
        <w:t>including</w:t>
      </w:r>
      <w:r>
        <w:rPr>
          <w:spacing w:val="-6"/>
        </w:rPr>
        <w:t xml:space="preserve"> </w:t>
      </w:r>
      <w:r>
        <w:t>more</w:t>
      </w:r>
      <w:r>
        <w:rPr>
          <w:spacing w:val="-6"/>
        </w:rPr>
        <w:t xml:space="preserve"> </w:t>
      </w:r>
      <w:r>
        <w:t>direct</w:t>
      </w:r>
      <w:r>
        <w:rPr>
          <w:spacing w:val="-6"/>
        </w:rPr>
        <w:t xml:space="preserve"> </w:t>
      </w:r>
      <w:r>
        <w:t>routing</w:t>
      </w:r>
      <w:r>
        <w:rPr>
          <w:spacing w:val="-6"/>
        </w:rPr>
        <w:t xml:space="preserve"> </w:t>
      </w:r>
      <w:r>
        <w:t xml:space="preserve">and </w:t>
      </w:r>
      <w:r>
        <w:rPr>
          <w:spacing w:val="-2"/>
        </w:rPr>
        <w:t>wider</w:t>
      </w:r>
      <w:r>
        <w:rPr>
          <w:spacing w:val="-11"/>
        </w:rPr>
        <w:t xml:space="preserve"> </w:t>
      </w:r>
      <w:r>
        <w:rPr>
          <w:spacing w:val="-2"/>
        </w:rPr>
        <w:t>spacing</w:t>
      </w:r>
      <w:r>
        <w:rPr>
          <w:spacing w:val="-11"/>
        </w:rPr>
        <w:t xml:space="preserve"> </w:t>
      </w:r>
      <w:r>
        <w:rPr>
          <w:spacing w:val="-2"/>
        </w:rPr>
        <w:t>of</w:t>
      </w:r>
      <w:r>
        <w:rPr>
          <w:spacing w:val="-11"/>
        </w:rPr>
        <w:t xml:space="preserve"> </w:t>
      </w:r>
      <w:r>
        <w:rPr>
          <w:spacing w:val="-2"/>
        </w:rPr>
        <w:t>bus</w:t>
      </w:r>
      <w:r>
        <w:rPr>
          <w:spacing w:val="-11"/>
        </w:rPr>
        <w:t xml:space="preserve"> </w:t>
      </w:r>
      <w:r>
        <w:rPr>
          <w:spacing w:val="-2"/>
        </w:rPr>
        <w:t>stops</w:t>
      </w:r>
      <w:r>
        <w:rPr>
          <w:spacing w:val="-11"/>
        </w:rPr>
        <w:t xml:space="preserve"> </w:t>
      </w:r>
      <w:r>
        <w:rPr>
          <w:spacing w:val="-2"/>
        </w:rPr>
        <w:t>(to</w:t>
      </w:r>
      <w:r>
        <w:rPr>
          <w:spacing w:val="-11"/>
        </w:rPr>
        <w:t xml:space="preserve"> </w:t>
      </w:r>
      <w:r>
        <w:rPr>
          <w:spacing w:val="-2"/>
        </w:rPr>
        <w:t>reduce</w:t>
      </w:r>
      <w:r>
        <w:rPr>
          <w:spacing w:val="-11"/>
        </w:rPr>
        <w:t xml:space="preserve"> </w:t>
      </w:r>
      <w:r>
        <w:rPr>
          <w:spacing w:val="-2"/>
        </w:rPr>
        <w:t>delays),</w:t>
      </w:r>
      <w:r>
        <w:rPr>
          <w:spacing w:val="-11"/>
        </w:rPr>
        <w:t xml:space="preserve"> </w:t>
      </w:r>
      <w:r>
        <w:rPr>
          <w:spacing w:val="-2"/>
        </w:rPr>
        <w:t>will</w:t>
      </w:r>
      <w:r>
        <w:rPr>
          <w:spacing w:val="-11"/>
        </w:rPr>
        <w:t xml:space="preserve"> </w:t>
      </w:r>
      <w:r>
        <w:rPr>
          <w:spacing w:val="-2"/>
        </w:rPr>
        <w:t xml:space="preserve">focus </w:t>
      </w:r>
      <w:r>
        <w:rPr>
          <w:w w:val="95"/>
        </w:rPr>
        <w:t xml:space="preserve">on improving speeds and frequencies on those corridors </w:t>
      </w:r>
      <w:r>
        <w:t>with</w:t>
      </w:r>
      <w:r>
        <w:rPr>
          <w:spacing w:val="-10"/>
        </w:rPr>
        <w:t xml:space="preserve"> </w:t>
      </w:r>
      <w:r>
        <w:t>greatest</w:t>
      </w:r>
      <w:r>
        <w:rPr>
          <w:spacing w:val="-10"/>
        </w:rPr>
        <w:t xml:space="preserve"> </w:t>
      </w:r>
      <w:r>
        <w:t>demand</w:t>
      </w:r>
      <w:r>
        <w:rPr>
          <w:spacing w:val="-10"/>
        </w:rPr>
        <w:t xml:space="preserve"> </w:t>
      </w:r>
      <w:r>
        <w:t>potential,</w:t>
      </w:r>
      <w:r>
        <w:rPr>
          <w:spacing w:val="-10"/>
        </w:rPr>
        <w:t xml:space="preserve"> </w:t>
      </w:r>
      <w:r>
        <w:t>whilst</w:t>
      </w:r>
      <w:r>
        <w:rPr>
          <w:spacing w:val="-10"/>
        </w:rPr>
        <w:t xml:space="preserve"> </w:t>
      </w:r>
      <w:r>
        <w:t>maintaining minimum</w:t>
      </w:r>
      <w:r>
        <w:rPr>
          <w:spacing w:val="-14"/>
        </w:rPr>
        <w:t xml:space="preserve"> </w:t>
      </w:r>
      <w:r>
        <w:t>service</w:t>
      </w:r>
      <w:r>
        <w:rPr>
          <w:spacing w:val="-14"/>
        </w:rPr>
        <w:t xml:space="preserve"> </w:t>
      </w:r>
      <w:r>
        <w:t>levels</w:t>
      </w:r>
      <w:r>
        <w:rPr>
          <w:spacing w:val="-14"/>
        </w:rPr>
        <w:t xml:space="preserve"> </w:t>
      </w:r>
      <w:r>
        <w:t>on</w:t>
      </w:r>
      <w:r>
        <w:rPr>
          <w:spacing w:val="-14"/>
        </w:rPr>
        <w:t xml:space="preserve"> </w:t>
      </w:r>
      <w:r>
        <w:t>secondary</w:t>
      </w:r>
      <w:r>
        <w:rPr>
          <w:spacing w:val="-14"/>
        </w:rPr>
        <w:t xml:space="preserve"> </w:t>
      </w:r>
      <w:r>
        <w:t>routes</w:t>
      </w:r>
      <w:r>
        <w:rPr>
          <w:spacing w:val="-13"/>
        </w:rPr>
        <w:t xml:space="preserve"> </w:t>
      </w:r>
      <w:r>
        <w:t>to</w:t>
      </w:r>
      <w:r>
        <w:rPr>
          <w:spacing w:val="-14"/>
        </w:rPr>
        <w:t xml:space="preserve"> </w:t>
      </w:r>
      <w:r>
        <w:t>ensure community needs are met.</w:t>
      </w:r>
    </w:p>
    <w:p w:rsidR="002C1123" w:rsidRDefault="00F22F94">
      <w:pPr>
        <w:pStyle w:val="BodyText"/>
        <w:spacing w:before="108" w:line="249" w:lineRule="auto"/>
        <w:ind w:left="195" w:right="845"/>
      </w:pPr>
      <w:r>
        <w:br w:type="column"/>
      </w:r>
      <w:r>
        <w:t>Wider</w:t>
      </w:r>
      <w:r>
        <w:rPr>
          <w:spacing w:val="-14"/>
        </w:rPr>
        <w:t xml:space="preserve"> </w:t>
      </w:r>
      <w:r>
        <w:t>metropolitan</w:t>
      </w:r>
      <w:r>
        <w:rPr>
          <w:spacing w:val="-14"/>
        </w:rPr>
        <w:t xml:space="preserve"> </w:t>
      </w:r>
      <w:r>
        <w:t>network</w:t>
      </w:r>
      <w:r>
        <w:rPr>
          <w:spacing w:val="-14"/>
        </w:rPr>
        <w:t xml:space="preserve"> </w:t>
      </w:r>
      <w:r>
        <w:t>reform</w:t>
      </w:r>
      <w:r>
        <w:rPr>
          <w:spacing w:val="-14"/>
        </w:rPr>
        <w:t xml:space="preserve"> </w:t>
      </w:r>
      <w:r>
        <w:t>will</w:t>
      </w:r>
      <w:r>
        <w:rPr>
          <w:spacing w:val="-14"/>
        </w:rPr>
        <w:t xml:space="preserve"> </w:t>
      </w:r>
      <w:r>
        <w:t>also</w:t>
      </w:r>
      <w:r>
        <w:rPr>
          <w:spacing w:val="-14"/>
        </w:rPr>
        <w:t xml:space="preserve"> </w:t>
      </w:r>
      <w:r>
        <w:t xml:space="preserve">involve </w:t>
      </w:r>
      <w:r>
        <w:rPr>
          <w:spacing w:val="-2"/>
        </w:rPr>
        <w:t>the</w:t>
      </w:r>
      <w:r>
        <w:rPr>
          <w:spacing w:val="-9"/>
        </w:rPr>
        <w:t xml:space="preserve"> </w:t>
      </w:r>
      <w:r>
        <w:rPr>
          <w:spacing w:val="-2"/>
        </w:rPr>
        <w:t>development</w:t>
      </w:r>
      <w:r>
        <w:rPr>
          <w:spacing w:val="-9"/>
        </w:rPr>
        <w:t xml:space="preserve"> </w:t>
      </w:r>
      <w:r>
        <w:rPr>
          <w:spacing w:val="-2"/>
        </w:rPr>
        <w:t>of</w:t>
      </w:r>
      <w:r>
        <w:rPr>
          <w:spacing w:val="-9"/>
        </w:rPr>
        <w:t xml:space="preserve"> </w:t>
      </w:r>
      <w:r>
        <w:rPr>
          <w:spacing w:val="-2"/>
        </w:rPr>
        <w:t>a</w:t>
      </w:r>
      <w:r>
        <w:rPr>
          <w:spacing w:val="-9"/>
        </w:rPr>
        <w:t xml:space="preserve"> </w:t>
      </w:r>
      <w:r>
        <w:rPr>
          <w:spacing w:val="-2"/>
        </w:rPr>
        <w:t>strategic</w:t>
      </w:r>
      <w:r>
        <w:rPr>
          <w:spacing w:val="-9"/>
        </w:rPr>
        <w:t xml:space="preserve"> </w:t>
      </w:r>
      <w:r>
        <w:rPr>
          <w:spacing w:val="-2"/>
        </w:rPr>
        <w:t>transit</w:t>
      </w:r>
      <w:r>
        <w:rPr>
          <w:spacing w:val="-9"/>
        </w:rPr>
        <w:t xml:space="preserve"> </w:t>
      </w:r>
      <w:r>
        <w:rPr>
          <w:spacing w:val="-2"/>
        </w:rPr>
        <w:t>network</w:t>
      </w:r>
      <w:r>
        <w:rPr>
          <w:spacing w:val="-9"/>
        </w:rPr>
        <w:t xml:space="preserve"> </w:t>
      </w:r>
      <w:r>
        <w:rPr>
          <w:spacing w:val="-2"/>
        </w:rPr>
        <w:t xml:space="preserve">where </w:t>
      </w:r>
      <w:r>
        <w:t>passengers</w:t>
      </w:r>
      <w:r>
        <w:rPr>
          <w:spacing w:val="-9"/>
        </w:rPr>
        <w:t xml:space="preserve"> </w:t>
      </w:r>
      <w:r>
        <w:t>will</w:t>
      </w:r>
      <w:r>
        <w:rPr>
          <w:spacing w:val="-9"/>
        </w:rPr>
        <w:t xml:space="preserve"> </w:t>
      </w:r>
      <w:r>
        <w:t>be</w:t>
      </w:r>
      <w:r>
        <w:rPr>
          <w:spacing w:val="-9"/>
        </w:rPr>
        <w:t xml:space="preserve"> </w:t>
      </w:r>
      <w:r>
        <w:t>able</w:t>
      </w:r>
      <w:r>
        <w:rPr>
          <w:spacing w:val="-9"/>
        </w:rPr>
        <w:t xml:space="preserve"> </w:t>
      </w:r>
      <w:r>
        <w:t>to</w:t>
      </w:r>
      <w:r>
        <w:rPr>
          <w:spacing w:val="-9"/>
        </w:rPr>
        <w:t xml:space="preserve"> </w:t>
      </w:r>
      <w:r>
        <w:t>interchange</w:t>
      </w:r>
      <w:r>
        <w:rPr>
          <w:spacing w:val="-9"/>
        </w:rPr>
        <w:t xml:space="preserve"> </w:t>
      </w:r>
      <w:r>
        <w:t xml:space="preserve">between </w:t>
      </w:r>
      <w:r>
        <w:rPr>
          <w:w w:val="95"/>
        </w:rPr>
        <w:t>alternative</w:t>
      </w:r>
      <w:r>
        <w:rPr>
          <w:spacing w:val="-2"/>
          <w:w w:val="95"/>
        </w:rPr>
        <w:t xml:space="preserve"> </w:t>
      </w:r>
      <w:r>
        <w:rPr>
          <w:w w:val="95"/>
        </w:rPr>
        <w:t>transport</w:t>
      </w:r>
      <w:r>
        <w:rPr>
          <w:spacing w:val="-2"/>
          <w:w w:val="95"/>
        </w:rPr>
        <w:t xml:space="preserve"> </w:t>
      </w:r>
      <w:r>
        <w:rPr>
          <w:w w:val="95"/>
        </w:rPr>
        <w:t>modes</w:t>
      </w:r>
      <w:r>
        <w:rPr>
          <w:spacing w:val="-2"/>
          <w:w w:val="95"/>
        </w:rPr>
        <w:t xml:space="preserve"> </w:t>
      </w:r>
      <w:r>
        <w:rPr>
          <w:w w:val="95"/>
        </w:rPr>
        <w:t>utilising</w:t>
      </w:r>
      <w:r>
        <w:rPr>
          <w:spacing w:val="-2"/>
          <w:w w:val="95"/>
        </w:rPr>
        <w:t xml:space="preserve"> </w:t>
      </w:r>
      <w:r>
        <w:rPr>
          <w:w w:val="95"/>
        </w:rPr>
        <w:t>intersecting</w:t>
      </w:r>
      <w:r>
        <w:rPr>
          <w:spacing w:val="-2"/>
          <w:w w:val="95"/>
        </w:rPr>
        <w:t xml:space="preserve"> </w:t>
      </w:r>
      <w:r>
        <w:rPr>
          <w:w w:val="95"/>
        </w:rPr>
        <w:t>trunk and</w:t>
      </w:r>
      <w:r>
        <w:rPr>
          <w:spacing w:val="-2"/>
          <w:w w:val="95"/>
        </w:rPr>
        <w:t xml:space="preserve"> </w:t>
      </w:r>
      <w:r>
        <w:rPr>
          <w:w w:val="95"/>
        </w:rPr>
        <w:t>feeder</w:t>
      </w:r>
      <w:r>
        <w:rPr>
          <w:spacing w:val="-2"/>
          <w:w w:val="95"/>
        </w:rPr>
        <w:t xml:space="preserve"> </w:t>
      </w:r>
      <w:r>
        <w:rPr>
          <w:w w:val="95"/>
        </w:rPr>
        <w:t>routes</w:t>
      </w:r>
      <w:r>
        <w:rPr>
          <w:spacing w:val="-2"/>
          <w:w w:val="95"/>
        </w:rPr>
        <w:t xml:space="preserve"> </w:t>
      </w:r>
      <w:r>
        <w:rPr>
          <w:w w:val="95"/>
        </w:rPr>
        <w:t>(and</w:t>
      </w:r>
      <w:r>
        <w:rPr>
          <w:spacing w:val="-2"/>
          <w:w w:val="95"/>
        </w:rPr>
        <w:t xml:space="preserve"> </w:t>
      </w:r>
      <w:r>
        <w:rPr>
          <w:w w:val="95"/>
        </w:rPr>
        <w:t>rail</w:t>
      </w:r>
      <w:r>
        <w:rPr>
          <w:spacing w:val="-2"/>
          <w:w w:val="95"/>
        </w:rPr>
        <w:t xml:space="preserve"> </w:t>
      </w:r>
      <w:r>
        <w:rPr>
          <w:w w:val="95"/>
        </w:rPr>
        <w:t>lines)</w:t>
      </w:r>
      <w:r>
        <w:rPr>
          <w:spacing w:val="-2"/>
          <w:w w:val="95"/>
        </w:rPr>
        <w:t xml:space="preserve"> </w:t>
      </w:r>
      <w:r>
        <w:rPr>
          <w:w w:val="95"/>
        </w:rPr>
        <w:t>to</w:t>
      </w:r>
      <w:r>
        <w:rPr>
          <w:spacing w:val="-2"/>
          <w:w w:val="95"/>
        </w:rPr>
        <w:t xml:space="preserve"> </w:t>
      </w:r>
      <w:r>
        <w:rPr>
          <w:w w:val="95"/>
        </w:rPr>
        <w:t>support</w:t>
      </w:r>
      <w:r>
        <w:rPr>
          <w:spacing w:val="-2"/>
          <w:w w:val="95"/>
        </w:rPr>
        <w:t xml:space="preserve"> </w:t>
      </w:r>
      <w:r>
        <w:rPr>
          <w:w w:val="95"/>
        </w:rPr>
        <w:t>a</w:t>
      </w:r>
      <w:r>
        <w:rPr>
          <w:spacing w:val="-2"/>
          <w:w w:val="95"/>
        </w:rPr>
        <w:t xml:space="preserve"> </w:t>
      </w:r>
      <w:r>
        <w:rPr>
          <w:w w:val="95"/>
        </w:rPr>
        <w:t xml:space="preserve">broader </w:t>
      </w:r>
      <w:r>
        <w:t>variety of travel needs.</w:t>
      </w:r>
    </w:p>
    <w:p w:rsidR="002C1123" w:rsidRDefault="00F22F94">
      <w:pPr>
        <w:pStyle w:val="BodyText"/>
        <w:spacing w:before="147" w:line="249" w:lineRule="auto"/>
        <w:ind w:left="195" w:right="1182"/>
      </w:pPr>
      <w:r>
        <w:rPr>
          <w:w w:val="95"/>
        </w:rPr>
        <w:t>The development of a revised bus network and the new demand patterns that it generates will provide a</w:t>
      </w:r>
      <w:r>
        <w:rPr>
          <w:spacing w:val="-9"/>
          <w:w w:val="95"/>
        </w:rPr>
        <w:t xml:space="preserve"> </w:t>
      </w:r>
      <w:r>
        <w:rPr>
          <w:w w:val="95"/>
        </w:rPr>
        <w:t>clear</w:t>
      </w:r>
      <w:r>
        <w:rPr>
          <w:spacing w:val="-9"/>
          <w:w w:val="95"/>
        </w:rPr>
        <w:t xml:space="preserve"> </w:t>
      </w:r>
      <w:r>
        <w:rPr>
          <w:w w:val="95"/>
        </w:rPr>
        <w:t>basis</w:t>
      </w:r>
      <w:r>
        <w:rPr>
          <w:spacing w:val="-9"/>
          <w:w w:val="95"/>
        </w:rPr>
        <w:t xml:space="preserve"> </w:t>
      </w:r>
      <w:r>
        <w:rPr>
          <w:w w:val="95"/>
        </w:rPr>
        <w:t>for</w:t>
      </w:r>
      <w:r>
        <w:rPr>
          <w:spacing w:val="-9"/>
          <w:w w:val="95"/>
        </w:rPr>
        <w:t xml:space="preserve"> </w:t>
      </w:r>
      <w:r>
        <w:rPr>
          <w:w w:val="95"/>
        </w:rPr>
        <w:t>investing</w:t>
      </w:r>
      <w:r>
        <w:rPr>
          <w:spacing w:val="-9"/>
          <w:w w:val="95"/>
        </w:rPr>
        <w:t xml:space="preserve"> </w:t>
      </w:r>
      <w:r>
        <w:rPr>
          <w:w w:val="95"/>
        </w:rPr>
        <w:t>in</w:t>
      </w:r>
      <w:r>
        <w:rPr>
          <w:spacing w:val="-9"/>
          <w:w w:val="95"/>
        </w:rPr>
        <w:t xml:space="preserve"> </w:t>
      </w:r>
      <w:r>
        <w:rPr>
          <w:w w:val="95"/>
        </w:rPr>
        <w:t>incremental</w:t>
      </w:r>
      <w:r>
        <w:rPr>
          <w:spacing w:val="-9"/>
          <w:w w:val="95"/>
        </w:rPr>
        <w:t xml:space="preserve"> </w:t>
      </w:r>
      <w:r>
        <w:rPr>
          <w:w w:val="95"/>
        </w:rPr>
        <w:t>bus</w:t>
      </w:r>
      <w:r>
        <w:rPr>
          <w:spacing w:val="-9"/>
          <w:w w:val="95"/>
        </w:rPr>
        <w:t xml:space="preserve"> </w:t>
      </w:r>
      <w:r>
        <w:rPr>
          <w:w w:val="95"/>
        </w:rPr>
        <w:t xml:space="preserve">priority </w:t>
      </w:r>
      <w:r>
        <w:rPr>
          <w:spacing w:val="-2"/>
        </w:rPr>
        <w:t>infrastructure</w:t>
      </w:r>
      <w:r>
        <w:rPr>
          <w:spacing w:val="-6"/>
        </w:rPr>
        <w:t xml:space="preserve"> </w:t>
      </w:r>
      <w:r>
        <w:rPr>
          <w:spacing w:val="-2"/>
        </w:rPr>
        <w:t>to</w:t>
      </w:r>
      <w:r>
        <w:rPr>
          <w:spacing w:val="-6"/>
        </w:rPr>
        <w:t xml:space="preserve"> </w:t>
      </w:r>
      <w:r>
        <w:rPr>
          <w:spacing w:val="-2"/>
        </w:rPr>
        <w:t>address</w:t>
      </w:r>
      <w:r>
        <w:rPr>
          <w:spacing w:val="-6"/>
        </w:rPr>
        <w:t xml:space="preserve"> </w:t>
      </w:r>
      <w:r>
        <w:rPr>
          <w:spacing w:val="-2"/>
        </w:rPr>
        <w:t>congestion</w:t>
      </w:r>
      <w:r>
        <w:rPr>
          <w:spacing w:val="-6"/>
        </w:rPr>
        <w:t xml:space="preserve"> </w:t>
      </w:r>
      <w:r>
        <w:rPr>
          <w:spacing w:val="-2"/>
        </w:rPr>
        <w:t>‘hot</w:t>
      </w:r>
      <w:r>
        <w:rPr>
          <w:spacing w:val="-6"/>
        </w:rPr>
        <w:t xml:space="preserve"> </w:t>
      </w:r>
      <w:r>
        <w:rPr>
          <w:spacing w:val="-2"/>
        </w:rPr>
        <w:t>spots’</w:t>
      </w:r>
      <w:r>
        <w:rPr>
          <w:spacing w:val="-6"/>
        </w:rPr>
        <w:t xml:space="preserve"> </w:t>
      </w:r>
      <w:r>
        <w:rPr>
          <w:spacing w:val="-2"/>
        </w:rPr>
        <w:t xml:space="preserve">on </w:t>
      </w:r>
      <w:r>
        <w:t>key</w:t>
      </w:r>
      <w:r>
        <w:rPr>
          <w:spacing w:val="-11"/>
        </w:rPr>
        <w:t xml:space="preserve"> </w:t>
      </w:r>
      <w:r>
        <w:t>corridors.</w:t>
      </w:r>
    </w:p>
    <w:p w:rsidR="002C1123" w:rsidRDefault="00F22F94">
      <w:pPr>
        <w:pStyle w:val="BodyText"/>
        <w:spacing w:before="145" w:line="249" w:lineRule="auto"/>
        <w:ind w:left="195" w:right="845"/>
      </w:pPr>
      <w:r>
        <w:rPr>
          <w:w w:val="95"/>
        </w:rPr>
        <w:t xml:space="preserve">Accordingly, Infrastructure NSW supports the direction </w:t>
      </w:r>
      <w:r>
        <w:t>of</w:t>
      </w:r>
      <w:r>
        <w:rPr>
          <w:spacing w:val="-14"/>
        </w:rPr>
        <w:t xml:space="preserve"> </w:t>
      </w:r>
      <w:r>
        <w:t>reform</w:t>
      </w:r>
      <w:r>
        <w:rPr>
          <w:spacing w:val="-14"/>
        </w:rPr>
        <w:t xml:space="preserve"> </w:t>
      </w:r>
      <w:r>
        <w:t>outlined</w:t>
      </w:r>
      <w:r>
        <w:rPr>
          <w:spacing w:val="-14"/>
        </w:rPr>
        <w:t xml:space="preserve"> </w:t>
      </w:r>
      <w:r>
        <w:t>in</w:t>
      </w:r>
      <w:r>
        <w:rPr>
          <w:spacing w:val="-14"/>
        </w:rPr>
        <w:t xml:space="preserve"> </w:t>
      </w:r>
      <w:r>
        <w:t>the</w:t>
      </w:r>
      <w:r>
        <w:rPr>
          <w:spacing w:val="-14"/>
        </w:rPr>
        <w:t xml:space="preserve"> </w:t>
      </w:r>
      <w:r>
        <w:t>Draft</w:t>
      </w:r>
      <w:r>
        <w:rPr>
          <w:spacing w:val="-14"/>
        </w:rPr>
        <w:t xml:space="preserve"> </w:t>
      </w:r>
      <w:r>
        <w:t>Transport</w:t>
      </w:r>
      <w:r>
        <w:rPr>
          <w:spacing w:val="-14"/>
        </w:rPr>
        <w:t xml:space="preserve"> </w:t>
      </w:r>
      <w:r>
        <w:t>Master</w:t>
      </w:r>
      <w:r>
        <w:rPr>
          <w:spacing w:val="-14"/>
        </w:rPr>
        <w:t xml:space="preserve"> </w:t>
      </w:r>
      <w:r>
        <w:t xml:space="preserve">Plan </w:t>
      </w:r>
      <w:r>
        <w:rPr>
          <w:w w:val="95"/>
        </w:rPr>
        <w:t xml:space="preserve">which will develop a better integrated, but rationalised </w:t>
      </w:r>
      <w:r>
        <w:t>primary</w:t>
      </w:r>
      <w:r>
        <w:rPr>
          <w:spacing w:val="-10"/>
        </w:rPr>
        <w:t xml:space="preserve"> </w:t>
      </w:r>
      <w:r>
        <w:t>network</w:t>
      </w:r>
      <w:r>
        <w:rPr>
          <w:spacing w:val="-10"/>
        </w:rPr>
        <w:t xml:space="preserve"> </w:t>
      </w:r>
      <w:r>
        <w:t>of</w:t>
      </w:r>
      <w:r>
        <w:rPr>
          <w:spacing w:val="-10"/>
        </w:rPr>
        <w:t xml:space="preserve"> </w:t>
      </w:r>
      <w:r>
        <w:t>fast,</w:t>
      </w:r>
      <w:r>
        <w:rPr>
          <w:spacing w:val="-10"/>
        </w:rPr>
        <w:t xml:space="preserve"> </w:t>
      </w:r>
      <w:r>
        <w:t>frequent</w:t>
      </w:r>
      <w:r>
        <w:rPr>
          <w:spacing w:val="-10"/>
        </w:rPr>
        <w:t xml:space="preserve"> </w:t>
      </w:r>
      <w:r>
        <w:t>and</w:t>
      </w:r>
      <w:r>
        <w:rPr>
          <w:spacing w:val="-10"/>
        </w:rPr>
        <w:t xml:space="preserve"> </w:t>
      </w:r>
      <w:r>
        <w:t>direct</w:t>
      </w:r>
      <w:r>
        <w:rPr>
          <w:spacing w:val="-10"/>
        </w:rPr>
        <w:t xml:space="preserve"> </w:t>
      </w:r>
      <w:r>
        <w:t>services.</w:t>
      </w:r>
    </w:p>
    <w:p w:rsidR="002C1123" w:rsidRDefault="00F22F94">
      <w:pPr>
        <w:pStyle w:val="BodyText"/>
        <w:spacing w:before="146" w:line="249" w:lineRule="auto"/>
        <w:ind w:left="195" w:right="807"/>
      </w:pPr>
      <w:r>
        <w:rPr>
          <w:spacing w:val="-2"/>
        </w:rPr>
        <w:t>In</w:t>
      </w:r>
      <w:r>
        <w:rPr>
          <w:spacing w:val="-8"/>
        </w:rPr>
        <w:t xml:space="preserve"> </w:t>
      </w:r>
      <w:r>
        <w:rPr>
          <w:spacing w:val="-2"/>
        </w:rPr>
        <w:t>the</w:t>
      </w:r>
      <w:r>
        <w:rPr>
          <w:spacing w:val="-8"/>
        </w:rPr>
        <w:t xml:space="preserve"> </w:t>
      </w:r>
      <w:r>
        <w:rPr>
          <w:spacing w:val="-2"/>
        </w:rPr>
        <w:t>longer</w:t>
      </w:r>
      <w:r>
        <w:rPr>
          <w:spacing w:val="-8"/>
        </w:rPr>
        <w:t xml:space="preserve"> </w:t>
      </w:r>
      <w:r>
        <w:rPr>
          <w:spacing w:val="-2"/>
        </w:rPr>
        <w:t>term,</w:t>
      </w:r>
      <w:r>
        <w:rPr>
          <w:spacing w:val="-8"/>
        </w:rPr>
        <w:t xml:space="preserve"> </w:t>
      </w:r>
      <w:r>
        <w:rPr>
          <w:spacing w:val="-2"/>
        </w:rPr>
        <w:t>as</w:t>
      </w:r>
      <w:r>
        <w:rPr>
          <w:spacing w:val="-8"/>
        </w:rPr>
        <w:t xml:space="preserve"> </w:t>
      </w:r>
      <w:r>
        <w:rPr>
          <w:spacing w:val="-2"/>
        </w:rPr>
        <w:t>Section</w:t>
      </w:r>
      <w:r>
        <w:rPr>
          <w:spacing w:val="-8"/>
        </w:rPr>
        <w:t xml:space="preserve"> </w:t>
      </w:r>
      <w:r>
        <w:rPr>
          <w:spacing w:val="-2"/>
        </w:rPr>
        <w:t>6</w:t>
      </w:r>
      <w:r>
        <w:rPr>
          <w:spacing w:val="-8"/>
        </w:rPr>
        <w:t xml:space="preserve"> </w:t>
      </w:r>
      <w:r>
        <w:rPr>
          <w:spacing w:val="-2"/>
        </w:rPr>
        <w:t>notes,</w:t>
      </w:r>
      <w:r>
        <w:rPr>
          <w:spacing w:val="-8"/>
        </w:rPr>
        <w:t xml:space="preserve"> </w:t>
      </w:r>
      <w:r>
        <w:rPr>
          <w:spacing w:val="-2"/>
        </w:rPr>
        <w:t>the</w:t>
      </w:r>
      <w:r>
        <w:rPr>
          <w:spacing w:val="-8"/>
        </w:rPr>
        <w:t xml:space="preserve"> </w:t>
      </w:r>
      <w:r>
        <w:rPr>
          <w:spacing w:val="-2"/>
        </w:rPr>
        <w:t xml:space="preserve">application </w:t>
      </w:r>
      <w:r>
        <w:t>of</w:t>
      </w:r>
      <w:r>
        <w:rPr>
          <w:spacing w:val="-5"/>
        </w:rPr>
        <w:t xml:space="preserve"> </w:t>
      </w:r>
      <w:r>
        <w:t>economic</w:t>
      </w:r>
      <w:r>
        <w:rPr>
          <w:spacing w:val="-5"/>
        </w:rPr>
        <w:t xml:space="preserve"> </w:t>
      </w:r>
      <w:r>
        <w:t>road</w:t>
      </w:r>
      <w:r>
        <w:rPr>
          <w:spacing w:val="-5"/>
        </w:rPr>
        <w:t xml:space="preserve"> </w:t>
      </w:r>
      <w:r>
        <w:t>pricing</w:t>
      </w:r>
      <w:r>
        <w:rPr>
          <w:spacing w:val="-5"/>
        </w:rPr>
        <w:t xml:space="preserve"> </w:t>
      </w:r>
      <w:r>
        <w:t>principles</w:t>
      </w:r>
      <w:r>
        <w:rPr>
          <w:spacing w:val="-5"/>
        </w:rPr>
        <w:t xml:space="preserve"> </w:t>
      </w:r>
      <w:r>
        <w:t>could</w:t>
      </w:r>
      <w:r>
        <w:rPr>
          <w:spacing w:val="-5"/>
        </w:rPr>
        <w:t xml:space="preserve"> </w:t>
      </w:r>
      <w:r>
        <w:t>be</w:t>
      </w:r>
      <w:r>
        <w:rPr>
          <w:spacing w:val="-5"/>
        </w:rPr>
        <w:t xml:space="preserve"> </w:t>
      </w:r>
      <w:r>
        <w:t>used</w:t>
      </w:r>
      <w:r>
        <w:rPr>
          <w:spacing w:val="-5"/>
        </w:rPr>
        <w:t xml:space="preserve"> </w:t>
      </w:r>
      <w:r>
        <w:t xml:space="preserve">to </w:t>
      </w:r>
      <w:r>
        <w:rPr>
          <w:w w:val="95"/>
        </w:rPr>
        <w:t>reduce</w:t>
      </w:r>
      <w:r>
        <w:rPr>
          <w:spacing w:val="-3"/>
          <w:w w:val="95"/>
        </w:rPr>
        <w:t xml:space="preserve"> </w:t>
      </w:r>
      <w:r>
        <w:rPr>
          <w:w w:val="95"/>
        </w:rPr>
        <w:t>traffic</w:t>
      </w:r>
      <w:r>
        <w:rPr>
          <w:spacing w:val="-3"/>
          <w:w w:val="95"/>
        </w:rPr>
        <w:t xml:space="preserve"> </w:t>
      </w:r>
      <w:r>
        <w:rPr>
          <w:w w:val="95"/>
        </w:rPr>
        <w:t>congestion.</w:t>
      </w:r>
      <w:r>
        <w:rPr>
          <w:spacing w:val="-3"/>
          <w:w w:val="95"/>
        </w:rPr>
        <w:t xml:space="preserve"> </w:t>
      </w:r>
      <w:r>
        <w:rPr>
          <w:w w:val="95"/>
        </w:rPr>
        <w:t>This</w:t>
      </w:r>
      <w:r>
        <w:rPr>
          <w:spacing w:val="-3"/>
          <w:w w:val="95"/>
        </w:rPr>
        <w:t xml:space="preserve"> </w:t>
      </w:r>
      <w:r>
        <w:rPr>
          <w:w w:val="95"/>
        </w:rPr>
        <w:t>would</w:t>
      </w:r>
      <w:r>
        <w:rPr>
          <w:spacing w:val="-3"/>
          <w:w w:val="95"/>
        </w:rPr>
        <w:t xml:space="preserve"> </w:t>
      </w:r>
      <w:r>
        <w:rPr>
          <w:w w:val="95"/>
        </w:rPr>
        <w:t>also</w:t>
      </w:r>
      <w:r>
        <w:rPr>
          <w:spacing w:val="-3"/>
          <w:w w:val="95"/>
        </w:rPr>
        <w:t xml:space="preserve"> </w:t>
      </w:r>
      <w:r>
        <w:rPr>
          <w:w w:val="95"/>
        </w:rPr>
        <w:t>be</w:t>
      </w:r>
      <w:r>
        <w:rPr>
          <w:spacing w:val="-3"/>
          <w:w w:val="95"/>
        </w:rPr>
        <w:t xml:space="preserve"> </w:t>
      </w:r>
      <w:r>
        <w:rPr>
          <w:w w:val="95"/>
        </w:rPr>
        <w:t>of</w:t>
      </w:r>
      <w:r>
        <w:rPr>
          <w:spacing w:val="-3"/>
          <w:w w:val="95"/>
        </w:rPr>
        <w:t xml:space="preserve"> </w:t>
      </w:r>
      <w:r>
        <w:rPr>
          <w:w w:val="95"/>
        </w:rPr>
        <w:t>benefit</w:t>
      </w:r>
    </w:p>
    <w:p w:rsidR="002C1123" w:rsidRDefault="00F22F94">
      <w:pPr>
        <w:pStyle w:val="BodyText"/>
        <w:spacing w:before="2" w:line="249" w:lineRule="auto"/>
        <w:ind w:left="195" w:right="359"/>
      </w:pPr>
      <w:r>
        <w:rPr>
          <w:w w:val="95"/>
        </w:rPr>
        <w:t xml:space="preserve">to buses, which would be particularly useful on corridors </w:t>
      </w:r>
      <w:r>
        <w:t>where</w:t>
      </w:r>
      <w:r>
        <w:rPr>
          <w:spacing w:val="-8"/>
        </w:rPr>
        <w:t xml:space="preserve"> </w:t>
      </w:r>
      <w:r>
        <w:t>a</w:t>
      </w:r>
      <w:r>
        <w:rPr>
          <w:spacing w:val="-8"/>
        </w:rPr>
        <w:t xml:space="preserve"> </w:t>
      </w:r>
      <w:r>
        <w:t>dedicated</w:t>
      </w:r>
      <w:r>
        <w:rPr>
          <w:spacing w:val="-8"/>
        </w:rPr>
        <w:t xml:space="preserve"> </w:t>
      </w:r>
      <w:r>
        <w:t>bus</w:t>
      </w:r>
      <w:r>
        <w:rPr>
          <w:spacing w:val="-8"/>
        </w:rPr>
        <w:t xml:space="preserve"> </w:t>
      </w:r>
      <w:r>
        <w:t>lane</w:t>
      </w:r>
      <w:r>
        <w:rPr>
          <w:spacing w:val="-8"/>
        </w:rPr>
        <w:t xml:space="preserve"> </w:t>
      </w:r>
      <w:r>
        <w:t>cannot</w:t>
      </w:r>
      <w:r>
        <w:rPr>
          <w:spacing w:val="-8"/>
        </w:rPr>
        <w:t xml:space="preserve"> </w:t>
      </w:r>
      <w:r>
        <w:t>be</w:t>
      </w:r>
      <w:r>
        <w:rPr>
          <w:spacing w:val="-8"/>
        </w:rPr>
        <w:t xml:space="preserve"> </w:t>
      </w:r>
      <w:r>
        <w:t>justified.</w:t>
      </w:r>
    </w:p>
    <w:p w:rsidR="002C1123" w:rsidRDefault="002060EF">
      <w:pPr>
        <w:pStyle w:val="BodyText"/>
        <w:spacing w:before="9"/>
        <w:rPr>
          <w:sz w:val="12"/>
        </w:rPr>
      </w:pPr>
      <w:r>
        <w:pict>
          <v:shape id="docshape1359" o:spid="_x0000_s3867" type="#_x0000_t202" style="position:absolute;margin-left:552.3pt;margin-top:8.55pt;width:239pt;height:69.35pt;z-index:-251378688;mso-wrap-distance-left:0;mso-wrap-distance-right:0;mso-position-horizontal-relative:page" fillcolor="#e1e0e1" stroked="f">
            <v:textbox inset="0,0,0,0">
              <w:txbxContent>
                <w:p w:rsidR="00F22F94" w:rsidRDefault="00F22F94">
                  <w:pPr>
                    <w:pStyle w:val="BodyText"/>
                    <w:spacing w:before="68" w:line="249" w:lineRule="auto"/>
                    <w:ind w:left="113" w:right="115"/>
                    <w:rPr>
                      <w:color w:val="000000"/>
                    </w:rPr>
                  </w:pPr>
                  <w:r>
                    <w:rPr>
                      <w:b/>
                      <w:color w:val="00AEEF"/>
                    </w:rPr>
                    <w:t>Recommendation</w:t>
                  </w:r>
                  <w:r>
                    <w:rPr>
                      <w:b/>
                      <w:color w:val="00AEEF"/>
                      <w:spacing w:val="40"/>
                    </w:rPr>
                    <w:t xml:space="preserve"> </w:t>
                  </w:r>
                  <w:r>
                    <w:rPr>
                      <w:color w:val="000000"/>
                    </w:rPr>
                    <w:t>To support fast, frequent and direct</w:t>
                  </w:r>
                  <w:r>
                    <w:rPr>
                      <w:color w:val="000000"/>
                      <w:spacing w:val="-5"/>
                    </w:rPr>
                    <w:t xml:space="preserve"> </w:t>
                  </w:r>
                  <w:r>
                    <w:rPr>
                      <w:color w:val="000000"/>
                    </w:rPr>
                    <w:t>services</w:t>
                  </w:r>
                  <w:r>
                    <w:rPr>
                      <w:color w:val="000000"/>
                      <w:spacing w:val="-5"/>
                    </w:rPr>
                    <w:t xml:space="preserve"> </w:t>
                  </w:r>
                  <w:r>
                    <w:rPr>
                      <w:color w:val="000000"/>
                    </w:rPr>
                    <w:t>on</w:t>
                  </w:r>
                  <w:r>
                    <w:rPr>
                      <w:color w:val="000000"/>
                      <w:spacing w:val="-5"/>
                    </w:rPr>
                    <w:t xml:space="preserve"> </w:t>
                  </w:r>
                  <w:r>
                    <w:rPr>
                      <w:color w:val="000000"/>
                    </w:rPr>
                    <w:t>a</w:t>
                  </w:r>
                  <w:r>
                    <w:rPr>
                      <w:color w:val="000000"/>
                      <w:spacing w:val="-5"/>
                    </w:rPr>
                    <w:t xml:space="preserve"> </w:t>
                  </w:r>
                  <w:r>
                    <w:rPr>
                      <w:color w:val="000000"/>
                    </w:rPr>
                    <w:t>reformed</w:t>
                  </w:r>
                  <w:r>
                    <w:rPr>
                      <w:color w:val="000000"/>
                      <w:spacing w:val="-5"/>
                    </w:rPr>
                    <w:t xml:space="preserve"> </w:t>
                  </w:r>
                  <w:r>
                    <w:rPr>
                      <w:color w:val="000000"/>
                    </w:rPr>
                    <w:t>metropolitan</w:t>
                  </w:r>
                  <w:r>
                    <w:rPr>
                      <w:color w:val="000000"/>
                      <w:spacing w:val="-5"/>
                    </w:rPr>
                    <w:t xml:space="preserve"> </w:t>
                  </w:r>
                  <w:r>
                    <w:rPr>
                      <w:color w:val="000000"/>
                    </w:rPr>
                    <w:t xml:space="preserve">bus </w:t>
                  </w:r>
                  <w:r>
                    <w:rPr>
                      <w:color w:val="000000"/>
                      <w:w w:val="95"/>
                    </w:rPr>
                    <w:t xml:space="preserve">network, Infrastructure NSW recommends a program of incremental bus priority infrastructure investments </w:t>
                  </w:r>
                  <w:r>
                    <w:rPr>
                      <w:color w:val="000000"/>
                    </w:rPr>
                    <w:t>on strategic bus corridors.</w:t>
                  </w:r>
                </w:p>
              </w:txbxContent>
            </v:textbox>
            <w10:wrap type="topAndBottom" anchorx="page"/>
          </v:shape>
        </w:pict>
      </w:r>
    </w:p>
    <w:p w:rsidR="002C1123" w:rsidRDefault="002C1123">
      <w:pPr>
        <w:rPr>
          <w:sz w:val="12"/>
        </w:rPr>
        <w:sectPr w:rsidR="002C1123">
          <w:type w:val="continuous"/>
          <w:pgSz w:w="16840" w:h="11910" w:orient="landscape"/>
          <w:pgMar w:top="560" w:right="280" w:bottom="280" w:left="500" w:header="0" w:footer="517" w:gutter="0"/>
          <w:cols w:num="3" w:space="720" w:equalWidth="0">
            <w:col w:w="5276" w:space="40"/>
            <w:col w:w="4995" w:space="39"/>
            <w:col w:w="5710"/>
          </w:cols>
        </w:sectPr>
      </w:pPr>
    </w:p>
    <w:p w:rsidR="002C1123" w:rsidRDefault="002C1123">
      <w:pPr>
        <w:pStyle w:val="BodyText"/>
        <w:spacing w:before="4"/>
        <w:rPr>
          <w:sz w:val="13"/>
        </w:rPr>
      </w:pPr>
    </w:p>
    <w:p w:rsidR="002C1123" w:rsidRDefault="002060EF">
      <w:pPr>
        <w:pStyle w:val="BodyText"/>
        <w:spacing w:line="20" w:lineRule="exact"/>
        <w:ind w:left="5518"/>
        <w:rPr>
          <w:sz w:val="2"/>
        </w:rPr>
      </w:pPr>
      <w:r>
        <w:rPr>
          <w:sz w:val="2"/>
        </w:rPr>
      </w:r>
      <w:r>
        <w:rPr>
          <w:sz w:val="2"/>
        </w:rPr>
        <w:pict>
          <v:group id="docshapegroup1360" o:spid="_x0000_s3865" style="width:1in;height:.5pt;mso-position-horizontal-relative:char;mso-position-vertical-relative:line" coordsize="1440,10">
            <v:line id="_x0000_s3866" style="position:absolute" from="0,5" to="1440,5" strokecolor="#9c9c9d" strokeweight=".5pt"/>
            <w10:anchorlock/>
          </v:group>
        </w:pict>
      </w:r>
    </w:p>
    <w:p w:rsidR="002C1123" w:rsidRDefault="00F22F94">
      <w:pPr>
        <w:spacing w:before="8"/>
        <w:ind w:right="1606"/>
        <w:jc w:val="center"/>
        <w:rPr>
          <w:sz w:val="14"/>
        </w:rPr>
      </w:pPr>
      <w:r>
        <w:rPr>
          <w:w w:val="95"/>
          <w:sz w:val="14"/>
        </w:rPr>
        <w:t>17</w:t>
      </w:r>
      <w:r>
        <w:rPr>
          <w:spacing w:val="26"/>
          <w:sz w:val="14"/>
        </w:rPr>
        <w:t xml:space="preserve"> </w:t>
      </w:r>
      <w:r>
        <w:rPr>
          <w:w w:val="95"/>
          <w:sz w:val="14"/>
        </w:rPr>
        <w:t>NSW</w:t>
      </w:r>
      <w:r>
        <w:rPr>
          <w:spacing w:val="-2"/>
          <w:sz w:val="14"/>
        </w:rPr>
        <w:t xml:space="preserve"> </w:t>
      </w:r>
      <w:r>
        <w:rPr>
          <w:w w:val="95"/>
          <w:sz w:val="14"/>
        </w:rPr>
        <w:t>Government</w:t>
      </w:r>
      <w:r>
        <w:rPr>
          <w:spacing w:val="-2"/>
          <w:sz w:val="14"/>
        </w:rPr>
        <w:t xml:space="preserve"> </w:t>
      </w:r>
      <w:r>
        <w:rPr>
          <w:w w:val="95"/>
          <w:sz w:val="14"/>
        </w:rPr>
        <w:t>2012,</w:t>
      </w:r>
      <w:r>
        <w:rPr>
          <w:spacing w:val="-2"/>
          <w:sz w:val="14"/>
        </w:rPr>
        <w:t xml:space="preserve"> </w:t>
      </w:r>
      <w:r>
        <w:rPr>
          <w:w w:val="95"/>
          <w:sz w:val="14"/>
        </w:rPr>
        <w:t>Draft</w:t>
      </w:r>
      <w:r>
        <w:rPr>
          <w:spacing w:val="-1"/>
          <w:w w:val="95"/>
          <w:sz w:val="14"/>
        </w:rPr>
        <w:t xml:space="preserve"> </w:t>
      </w:r>
      <w:r>
        <w:rPr>
          <w:w w:val="95"/>
          <w:sz w:val="14"/>
        </w:rPr>
        <w:t>Transport</w:t>
      </w:r>
      <w:r>
        <w:rPr>
          <w:spacing w:val="-2"/>
          <w:sz w:val="14"/>
        </w:rPr>
        <w:t xml:space="preserve"> </w:t>
      </w:r>
      <w:r>
        <w:rPr>
          <w:w w:val="95"/>
          <w:sz w:val="14"/>
        </w:rPr>
        <w:t>Master</w:t>
      </w:r>
      <w:r>
        <w:rPr>
          <w:spacing w:val="-2"/>
          <w:sz w:val="14"/>
        </w:rPr>
        <w:t xml:space="preserve"> </w:t>
      </w:r>
      <w:r>
        <w:rPr>
          <w:spacing w:val="-2"/>
          <w:w w:val="95"/>
          <w:sz w:val="14"/>
        </w:rPr>
        <w:t>Plan.</w:t>
      </w:r>
    </w:p>
    <w:p w:rsidR="002C1123" w:rsidRDefault="002C1123">
      <w:pPr>
        <w:jc w:val="center"/>
        <w:rPr>
          <w:sz w:val="14"/>
        </w:rPr>
        <w:sectPr w:rsidR="002C1123">
          <w:type w:val="continuous"/>
          <w:pgSz w:w="16840" w:h="11910" w:orient="landscape"/>
          <w:pgMar w:top="560" w:right="280" w:bottom="280" w:left="500" w:header="0" w:footer="517" w:gutter="0"/>
          <w:cols w:space="720"/>
        </w:sectPr>
      </w:pPr>
    </w:p>
    <w:p w:rsidR="002C1123" w:rsidRDefault="002060EF">
      <w:pPr>
        <w:pStyle w:val="BodyText"/>
      </w:pPr>
      <w:r>
        <w:lastRenderedPageBreak/>
        <w:pict>
          <v:group id="docshapegroup1361" o:spid="_x0000_s3823" style="position:absolute;margin-left:49.6pt;margin-top:51.45pt;width:491.45pt;height:490.4pt;z-index:251403264;mso-position-horizontal-relative:page;mso-position-vertical-relative:page" coordorigin="992,1029" coordsize="9829,9808">
            <v:rect id="docshape1362" o:spid="_x0000_s3864" style="position:absolute;left:992;top:1028;width:9829;height:9808" fillcolor="#e1e0e1" stroked="f"/>
            <v:shape id="docshape1363" o:spid="_x0000_s3863" type="#_x0000_t75" style="position:absolute;left:1178;top:1638;width:9485;height:8730">
              <v:imagedata r:id="rId160" o:title=""/>
            </v:shape>
            <v:line id="_x0000_s3862" style="position:absolute" from="8713,10403" to="9019,10403" strokecolor="#b2b1b3" strokeweight="1.42pt"/>
            <v:line id="_x0000_s3861" style="position:absolute" from="8713,10589" to="9019,10589" strokecolor="#b2b1b3" strokeweight="1.42pt">
              <v:stroke dashstyle="3 1"/>
            </v:line>
            <v:shape id="docshape1364" o:spid="_x0000_s3860" type="#_x0000_t202" style="position:absolute;left:1118;top:1250;width:4017;height:559" filled="f" stroked="f">
              <v:textbox inset="0,0,0,0">
                <w:txbxContent>
                  <w:p w:rsidR="00F22F94" w:rsidRDefault="00F22F94">
                    <w:pPr>
                      <w:spacing w:before="6"/>
                      <w:rPr>
                        <w:b/>
                        <w:sz w:val="18"/>
                      </w:rPr>
                    </w:pPr>
                    <w:r>
                      <w:rPr>
                        <w:b/>
                        <w:sz w:val="18"/>
                      </w:rPr>
                      <w:t>Figure</w:t>
                    </w:r>
                    <w:r>
                      <w:rPr>
                        <w:b/>
                        <w:spacing w:val="-8"/>
                        <w:sz w:val="18"/>
                      </w:rPr>
                      <w:t xml:space="preserve"> </w:t>
                    </w:r>
                    <w:r>
                      <w:rPr>
                        <w:b/>
                        <w:sz w:val="18"/>
                      </w:rPr>
                      <w:t>7.3</w:t>
                    </w:r>
                    <w:r>
                      <w:rPr>
                        <w:b/>
                        <w:spacing w:val="35"/>
                        <w:sz w:val="18"/>
                      </w:rPr>
                      <w:t xml:space="preserve"> </w:t>
                    </w:r>
                    <w:r>
                      <w:rPr>
                        <w:b/>
                        <w:sz w:val="18"/>
                      </w:rPr>
                      <w:t>Western</w:t>
                    </w:r>
                    <w:r>
                      <w:rPr>
                        <w:b/>
                        <w:spacing w:val="-7"/>
                        <w:sz w:val="18"/>
                      </w:rPr>
                      <w:t xml:space="preserve"> </w:t>
                    </w:r>
                    <w:r>
                      <w:rPr>
                        <w:b/>
                        <w:sz w:val="18"/>
                      </w:rPr>
                      <w:t>Sydney</w:t>
                    </w:r>
                    <w:r>
                      <w:rPr>
                        <w:b/>
                        <w:spacing w:val="-8"/>
                        <w:sz w:val="18"/>
                      </w:rPr>
                      <w:t xml:space="preserve"> </w:t>
                    </w:r>
                    <w:r>
                      <w:rPr>
                        <w:b/>
                        <w:sz w:val="18"/>
                      </w:rPr>
                      <w:t>Light</w:t>
                    </w:r>
                    <w:r>
                      <w:rPr>
                        <w:b/>
                        <w:spacing w:val="-7"/>
                        <w:sz w:val="18"/>
                      </w:rPr>
                      <w:t xml:space="preserve"> </w:t>
                    </w:r>
                    <w:r>
                      <w:rPr>
                        <w:b/>
                        <w:sz w:val="18"/>
                      </w:rPr>
                      <w:t>Rail</w:t>
                    </w:r>
                    <w:r>
                      <w:rPr>
                        <w:b/>
                        <w:spacing w:val="-8"/>
                        <w:sz w:val="18"/>
                      </w:rPr>
                      <w:t xml:space="preserve"> </w:t>
                    </w:r>
                    <w:r>
                      <w:rPr>
                        <w:b/>
                        <w:spacing w:val="-2"/>
                        <w:sz w:val="18"/>
                      </w:rPr>
                      <w:t>Proposal</w:t>
                    </w:r>
                  </w:p>
                  <w:p w:rsidR="00F22F94" w:rsidRDefault="00F22F94">
                    <w:pPr>
                      <w:spacing w:before="1"/>
                      <w:rPr>
                        <w:b/>
                        <w:sz w:val="16"/>
                      </w:rPr>
                    </w:pPr>
                  </w:p>
                  <w:p w:rsidR="00F22F94" w:rsidRDefault="00F22F94">
                    <w:pPr>
                      <w:spacing w:line="160" w:lineRule="exact"/>
                      <w:ind w:left="983"/>
                      <w:rPr>
                        <w:sz w:val="14"/>
                      </w:rPr>
                    </w:pPr>
                    <w:r>
                      <w:rPr>
                        <w:spacing w:val="-2"/>
                        <w:w w:val="80"/>
                        <w:sz w:val="14"/>
                      </w:rPr>
                      <w:t>ROUSEHILL</w:t>
                    </w:r>
                  </w:p>
                </w:txbxContent>
              </v:textbox>
            </v:shape>
            <v:shape id="docshape1365" o:spid="_x0000_s3859" type="#_x0000_t202" style="position:absolute;left:1896;top:2308;width:720;height:159" filled="f" stroked="f">
              <v:textbox inset="0,0,0,0">
                <w:txbxContent>
                  <w:p w:rsidR="00F22F94" w:rsidRDefault="00F22F94">
                    <w:pPr>
                      <w:spacing w:line="158" w:lineRule="exact"/>
                      <w:rPr>
                        <w:sz w:val="14"/>
                      </w:rPr>
                    </w:pPr>
                    <w:r>
                      <w:rPr>
                        <w:w w:val="90"/>
                        <w:sz w:val="14"/>
                      </w:rPr>
                      <w:t>to</w:t>
                    </w:r>
                    <w:r>
                      <w:rPr>
                        <w:spacing w:val="10"/>
                        <w:sz w:val="14"/>
                      </w:rPr>
                      <w:t xml:space="preserve"> </w:t>
                    </w:r>
                    <w:r>
                      <w:rPr>
                        <w:spacing w:val="-2"/>
                        <w:w w:val="80"/>
                        <w:sz w:val="14"/>
                      </w:rPr>
                      <w:t>Richmond</w:t>
                    </w:r>
                  </w:p>
                </w:txbxContent>
              </v:textbox>
            </v:shape>
            <v:shape id="docshape1366" o:spid="_x0000_s3858" type="#_x0000_t202" style="position:absolute;left:3167;top:2807;width:515;height:159" filled="f" stroked="f">
              <v:textbox inset="0,0,0,0">
                <w:txbxContent>
                  <w:p w:rsidR="00F22F94" w:rsidRDefault="00F22F94">
                    <w:pPr>
                      <w:spacing w:line="158" w:lineRule="exact"/>
                      <w:rPr>
                        <w:sz w:val="14"/>
                      </w:rPr>
                    </w:pPr>
                    <w:r>
                      <w:rPr>
                        <w:spacing w:val="-2"/>
                        <w:w w:val="75"/>
                        <w:sz w:val="14"/>
                      </w:rPr>
                      <w:t>PARKLEA</w:t>
                    </w:r>
                  </w:p>
                </w:txbxContent>
              </v:textbox>
            </v:shape>
            <v:shape id="docshape1367" o:spid="_x0000_s3857" type="#_x0000_t202" style="position:absolute;left:4573;top:2710;width:643;height:159" filled="f" stroked="f">
              <v:textbox inset="0,0,0,0">
                <w:txbxContent>
                  <w:p w:rsidR="00F22F94" w:rsidRDefault="00F22F94">
                    <w:pPr>
                      <w:spacing w:line="158" w:lineRule="exact"/>
                      <w:rPr>
                        <w:sz w:val="14"/>
                      </w:rPr>
                    </w:pPr>
                    <w:r>
                      <w:rPr>
                        <w:spacing w:val="-2"/>
                        <w:w w:val="70"/>
                        <w:sz w:val="14"/>
                      </w:rPr>
                      <w:t>KELLYVILLE</w:t>
                    </w:r>
                  </w:p>
                </w:txbxContent>
              </v:textbox>
            </v:shape>
            <v:shape id="docshape1368" o:spid="_x0000_s3856" type="#_x0000_t202" style="position:absolute;left:8049;top:2746;width:620;height:159" filled="f" stroked="f">
              <v:textbox inset="0,0,0,0">
                <w:txbxContent>
                  <w:p w:rsidR="00F22F94" w:rsidRDefault="00F22F94">
                    <w:pPr>
                      <w:spacing w:line="158" w:lineRule="exact"/>
                      <w:rPr>
                        <w:sz w:val="14"/>
                      </w:rPr>
                    </w:pPr>
                    <w:r>
                      <w:rPr>
                        <w:w w:val="90"/>
                        <w:sz w:val="14"/>
                      </w:rPr>
                      <w:t>to</w:t>
                    </w:r>
                    <w:r>
                      <w:rPr>
                        <w:spacing w:val="10"/>
                        <w:sz w:val="14"/>
                      </w:rPr>
                      <w:t xml:space="preserve"> </w:t>
                    </w:r>
                    <w:r>
                      <w:rPr>
                        <w:spacing w:val="-2"/>
                        <w:w w:val="80"/>
                        <w:sz w:val="14"/>
                      </w:rPr>
                      <w:t>Hornsby</w:t>
                    </w:r>
                  </w:p>
                </w:txbxContent>
              </v:textbox>
            </v:shape>
            <v:shape id="docshape1369" o:spid="_x0000_s3855" type="#_x0000_t202" style="position:absolute;left:5750;top:3160;width:727;height:159" filled="f" stroked="f">
              <v:textbox inset="0,0,0,0">
                <w:txbxContent>
                  <w:p w:rsidR="00F22F94" w:rsidRDefault="00F22F94">
                    <w:pPr>
                      <w:spacing w:line="158" w:lineRule="exact"/>
                      <w:rPr>
                        <w:sz w:val="14"/>
                      </w:rPr>
                    </w:pPr>
                    <w:r>
                      <w:rPr>
                        <w:w w:val="70"/>
                        <w:sz w:val="14"/>
                      </w:rPr>
                      <w:t>CASTLE</w:t>
                    </w:r>
                    <w:r>
                      <w:rPr>
                        <w:spacing w:val="43"/>
                        <w:sz w:val="14"/>
                      </w:rPr>
                      <w:t xml:space="preserve"> </w:t>
                    </w:r>
                    <w:r>
                      <w:rPr>
                        <w:spacing w:val="-4"/>
                        <w:w w:val="80"/>
                        <w:sz w:val="14"/>
                      </w:rPr>
                      <w:t>HILL</w:t>
                    </w:r>
                  </w:p>
                </w:txbxContent>
              </v:textbox>
            </v:shape>
            <v:shape id="docshape1370" o:spid="_x0000_s3854" type="#_x0000_t202" style="position:absolute;left:4067;top:3555;width:577;height:159" filled="f" stroked="f">
              <v:textbox inset="0,0,0,0">
                <w:txbxContent>
                  <w:p w:rsidR="00F22F94" w:rsidRDefault="00F22F94">
                    <w:pPr>
                      <w:spacing w:line="158" w:lineRule="exact"/>
                      <w:rPr>
                        <w:sz w:val="14"/>
                      </w:rPr>
                    </w:pPr>
                    <w:r>
                      <w:rPr>
                        <w:spacing w:val="-2"/>
                        <w:w w:val="75"/>
                        <w:sz w:val="14"/>
                      </w:rPr>
                      <w:t>NORWEST</w:t>
                    </w:r>
                  </w:p>
                </w:txbxContent>
              </v:textbox>
            </v:shape>
            <v:shape id="docshape1371" o:spid="_x0000_s3853" type="#_x0000_t202" style="position:absolute;left:1177;top:4091;width:566;height:159" filled="f" stroked="f">
              <v:textbox inset="0,0,0,0">
                <w:txbxContent>
                  <w:p w:rsidR="00F22F94" w:rsidRDefault="00F22F94">
                    <w:pPr>
                      <w:spacing w:line="158" w:lineRule="exact"/>
                      <w:rPr>
                        <w:sz w:val="14"/>
                      </w:rPr>
                    </w:pPr>
                    <w:r>
                      <w:rPr>
                        <w:w w:val="90"/>
                        <w:sz w:val="14"/>
                      </w:rPr>
                      <w:t>to</w:t>
                    </w:r>
                    <w:r>
                      <w:rPr>
                        <w:spacing w:val="10"/>
                        <w:sz w:val="14"/>
                      </w:rPr>
                      <w:t xml:space="preserve"> </w:t>
                    </w:r>
                    <w:r>
                      <w:rPr>
                        <w:spacing w:val="-2"/>
                        <w:w w:val="80"/>
                        <w:sz w:val="14"/>
                      </w:rPr>
                      <w:t>Penrith</w:t>
                    </w:r>
                  </w:p>
                </w:txbxContent>
              </v:textbox>
            </v:shape>
            <v:shape id="docshape1372" o:spid="_x0000_s3852" type="#_x0000_t202" style="position:absolute;left:5506;top:4018;width:995;height:159" filled="f" stroked="f">
              <v:textbox inset="0,0,0,0">
                <w:txbxContent>
                  <w:p w:rsidR="00F22F94" w:rsidRDefault="00F22F94">
                    <w:pPr>
                      <w:spacing w:line="158" w:lineRule="exact"/>
                      <w:rPr>
                        <w:sz w:val="14"/>
                      </w:rPr>
                    </w:pPr>
                    <w:r>
                      <w:rPr>
                        <w:w w:val="75"/>
                        <w:sz w:val="14"/>
                      </w:rPr>
                      <w:t>BAULKHAM</w:t>
                    </w:r>
                    <w:r>
                      <w:rPr>
                        <w:spacing w:val="39"/>
                        <w:sz w:val="14"/>
                      </w:rPr>
                      <w:t xml:space="preserve"> </w:t>
                    </w:r>
                    <w:r>
                      <w:rPr>
                        <w:spacing w:val="-4"/>
                        <w:w w:val="80"/>
                        <w:sz w:val="14"/>
                      </w:rPr>
                      <w:t>HILLS</w:t>
                    </w:r>
                  </w:p>
                </w:txbxContent>
              </v:textbox>
            </v:shape>
            <v:shape id="docshape1373" o:spid="_x0000_s3851" type="#_x0000_t202" style="position:absolute;left:3181;top:4434;width:719;height:159" filled="f" stroked="f">
              <v:textbox inset="0,0,0,0">
                <w:txbxContent>
                  <w:p w:rsidR="00F22F94" w:rsidRDefault="00F22F94">
                    <w:pPr>
                      <w:spacing w:line="158" w:lineRule="exact"/>
                      <w:rPr>
                        <w:sz w:val="14"/>
                      </w:rPr>
                    </w:pPr>
                    <w:r>
                      <w:rPr>
                        <w:spacing w:val="-2"/>
                        <w:w w:val="75"/>
                        <w:sz w:val="14"/>
                      </w:rPr>
                      <w:t>BLACKTOWN</w:t>
                    </w:r>
                  </w:p>
                </w:txbxContent>
              </v:textbox>
            </v:shape>
            <v:shape id="docshape1374" o:spid="_x0000_s3850" type="#_x0000_t202" style="position:absolute;left:7874;top:4369;width:428;height:159" filled="f" stroked="f">
              <v:textbox inset="0,0,0,0">
                <w:txbxContent>
                  <w:p w:rsidR="00F22F94" w:rsidRDefault="00F22F94">
                    <w:pPr>
                      <w:spacing w:line="158" w:lineRule="exact"/>
                      <w:rPr>
                        <w:sz w:val="14"/>
                      </w:rPr>
                    </w:pPr>
                    <w:r>
                      <w:rPr>
                        <w:spacing w:val="-2"/>
                        <w:w w:val="70"/>
                        <w:sz w:val="14"/>
                      </w:rPr>
                      <w:t>EPPING</w:t>
                    </w:r>
                  </w:p>
                </w:txbxContent>
              </v:textbox>
            </v:shape>
            <v:shape id="docshape1375" o:spid="_x0000_s3849" type="#_x0000_t202" style="position:absolute;left:4656;top:4633;width:540;height:282" filled="f" stroked="f">
              <v:textbox inset="0,0,0,0">
                <w:txbxContent>
                  <w:p w:rsidR="00F22F94" w:rsidRDefault="00F22F94">
                    <w:pPr>
                      <w:spacing w:before="30" w:line="182" w:lineRule="auto"/>
                      <w:rPr>
                        <w:sz w:val="14"/>
                      </w:rPr>
                    </w:pPr>
                    <w:r>
                      <w:rPr>
                        <w:spacing w:val="-2"/>
                        <w:w w:val="70"/>
                        <w:sz w:val="14"/>
                      </w:rPr>
                      <w:t>WINSTON</w:t>
                    </w:r>
                    <w:r>
                      <w:rPr>
                        <w:spacing w:val="40"/>
                        <w:sz w:val="14"/>
                      </w:rPr>
                      <w:t xml:space="preserve"> </w:t>
                    </w:r>
                    <w:r>
                      <w:rPr>
                        <w:spacing w:val="-2"/>
                        <w:w w:val="80"/>
                        <w:sz w:val="14"/>
                      </w:rPr>
                      <w:t>HILLS</w:t>
                    </w:r>
                  </w:p>
                </w:txbxContent>
              </v:textbox>
            </v:shape>
            <v:shape id="docshape1376" o:spid="_x0000_s3848" type="#_x0000_t202" style="position:absolute;left:8868;top:4598;width:1009;height:159" filled="f" stroked="f">
              <v:textbox inset="0,0,0,0">
                <w:txbxContent>
                  <w:p w:rsidR="00F22F94" w:rsidRDefault="00F22F94">
                    <w:pPr>
                      <w:spacing w:line="158" w:lineRule="exact"/>
                      <w:rPr>
                        <w:sz w:val="14"/>
                      </w:rPr>
                    </w:pPr>
                    <w:r>
                      <w:rPr>
                        <w:w w:val="70"/>
                        <w:sz w:val="14"/>
                      </w:rPr>
                      <w:t>MACQUARIE</w:t>
                    </w:r>
                    <w:r>
                      <w:rPr>
                        <w:spacing w:val="61"/>
                        <w:sz w:val="14"/>
                      </w:rPr>
                      <w:t xml:space="preserve"> </w:t>
                    </w:r>
                    <w:r>
                      <w:rPr>
                        <w:spacing w:val="-4"/>
                        <w:w w:val="75"/>
                        <w:sz w:val="14"/>
                      </w:rPr>
                      <w:t>PARK</w:t>
                    </w:r>
                  </w:p>
                </w:txbxContent>
              </v:textbox>
            </v:shape>
            <v:shape id="docshape1377" o:spid="_x0000_s3847" type="#_x0000_t202" style="position:absolute;left:7033;top:4843;width:819;height:159" filled="f" stroked="f">
              <v:textbox inset="0,0,0,0">
                <w:txbxContent>
                  <w:p w:rsidR="00F22F94" w:rsidRDefault="00F22F94">
                    <w:pPr>
                      <w:spacing w:line="158" w:lineRule="exact"/>
                      <w:rPr>
                        <w:sz w:val="14"/>
                      </w:rPr>
                    </w:pPr>
                    <w:r>
                      <w:rPr>
                        <w:spacing w:val="-2"/>
                        <w:w w:val="70"/>
                        <w:sz w:val="14"/>
                      </w:rPr>
                      <w:t>CARLINGFORD</w:t>
                    </w:r>
                  </w:p>
                </w:txbxContent>
              </v:textbox>
            </v:shape>
            <v:shape id="docshape1378" o:spid="_x0000_s3846" type="#_x0000_t202" style="position:absolute;left:9806;top:4936;width:870;height:159" filled="f" stroked="f">
              <v:textbox inset="0,0,0,0">
                <w:txbxContent>
                  <w:p w:rsidR="00F22F94" w:rsidRDefault="00F22F94">
                    <w:pPr>
                      <w:spacing w:line="158" w:lineRule="exact"/>
                      <w:rPr>
                        <w:sz w:val="14"/>
                      </w:rPr>
                    </w:pPr>
                    <w:r>
                      <w:rPr>
                        <w:w w:val="80"/>
                        <w:sz w:val="14"/>
                      </w:rPr>
                      <w:t>to</w:t>
                    </w:r>
                    <w:r>
                      <w:rPr>
                        <w:spacing w:val="5"/>
                        <w:sz w:val="14"/>
                      </w:rPr>
                      <w:t xml:space="preserve"> </w:t>
                    </w:r>
                    <w:r>
                      <w:rPr>
                        <w:w w:val="80"/>
                        <w:sz w:val="14"/>
                      </w:rPr>
                      <w:t>North</w:t>
                    </w:r>
                    <w:r>
                      <w:rPr>
                        <w:spacing w:val="7"/>
                        <w:sz w:val="14"/>
                      </w:rPr>
                      <w:t xml:space="preserve"> </w:t>
                    </w:r>
                    <w:r>
                      <w:rPr>
                        <w:spacing w:val="-2"/>
                        <w:w w:val="80"/>
                        <w:sz w:val="14"/>
                      </w:rPr>
                      <w:t>Sydney</w:t>
                    </w:r>
                  </w:p>
                </w:txbxContent>
              </v:textbox>
            </v:shape>
            <v:shape id="docshape1379" o:spid="_x0000_s3845" type="#_x0000_t202" style="position:absolute;left:5618;top:5143;width:821;height:549" filled="f" stroked="f">
              <v:textbox inset="0,0,0,0">
                <w:txbxContent>
                  <w:p w:rsidR="00F22F94" w:rsidRDefault="00F22F94">
                    <w:pPr>
                      <w:spacing w:line="159" w:lineRule="exact"/>
                      <w:rPr>
                        <w:sz w:val="14"/>
                      </w:rPr>
                    </w:pPr>
                    <w:r>
                      <w:rPr>
                        <w:spacing w:val="-2"/>
                        <w:w w:val="85"/>
                        <w:sz w:val="14"/>
                      </w:rPr>
                      <w:t>NORTHMEAD</w:t>
                    </w:r>
                  </w:p>
                  <w:p w:rsidR="00F22F94" w:rsidRDefault="00F22F94">
                    <w:pPr>
                      <w:spacing w:before="100" w:line="213" w:lineRule="auto"/>
                      <w:ind w:left="64"/>
                      <w:rPr>
                        <w:sz w:val="14"/>
                      </w:rPr>
                    </w:pPr>
                    <w:r>
                      <w:rPr>
                        <w:spacing w:val="-2"/>
                        <w:w w:val="70"/>
                        <w:sz w:val="14"/>
                      </w:rPr>
                      <w:t>PARRAMATTA</w:t>
                    </w:r>
                    <w:r>
                      <w:rPr>
                        <w:spacing w:val="40"/>
                        <w:sz w:val="14"/>
                      </w:rPr>
                      <w:t xml:space="preserve"> </w:t>
                    </w:r>
                    <w:r>
                      <w:rPr>
                        <w:spacing w:val="-2"/>
                        <w:w w:val="80"/>
                        <w:sz w:val="14"/>
                      </w:rPr>
                      <w:t>NORTH</w:t>
                    </w:r>
                  </w:p>
                </w:txbxContent>
              </v:textbox>
            </v:shape>
            <v:shape id="docshape1380" o:spid="_x0000_s3844" type="#_x0000_t202" style="position:absolute;left:7976;top:5111;width:658;height:159" filled="f" stroked="f">
              <v:textbox inset="0,0,0,0">
                <w:txbxContent>
                  <w:p w:rsidR="00F22F94" w:rsidRDefault="00F22F94">
                    <w:pPr>
                      <w:spacing w:line="158" w:lineRule="exact"/>
                      <w:rPr>
                        <w:sz w:val="14"/>
                      </w:rPr>
                    </w:pPr>
                    <w:r>
                      <w:rPr>
                        <w:spacing w:val="-2"/>
                        <w:w w:val="75"/>
                        <w:sz w:val="14"/>
                      </w:rPr>
                      <w:t>EASTWOOD</w:t>
                    </w:r>
                  </w:p>
                </w:txbxContent>
              </v:textbox>
            </v:shape>
            <v:shape id="docshape1381" o:spid="_x0000_s3843" type="#_x0000_t202" style="position:absolute;left:4515;top:5779;width:665;height:159" filled="f" stroked="f">
              <v:textbox inset="0,0,0,0">
                <w:txbxContent>
                  <w:p w:rsidR="00F22F94" w:rsidRDefault="00F22F94">
                    <w:pPr>
                      <w:spacing w:line="158" w:lineRule="exact"/>
                      <w:rPr>
                        <w:sz w:val="14"/>
                      </w:rPr>
                    </w:pPr>
                    <w:r>
                      <w:rPr>
                        <w:spacing w:val="-2"/>
                        <w:w w:val="75"/>
                        <w:sz w:val="14"/>
                      </w:rPr>
                      <w:t>WESTMEAD</w:t>
                    </w:r>
                  </w:p>
                </w:txbxContent>
              </v:textbox>
            </v:shape>
            <v:shape id="docshape1382" o:spid="_x0000_s3842" type="#_x0000_t202" style="position:absolute;left:6401;top:5907;width:997;height:159" filled="f" stroked="f">
              <v:textbox inset="0,0,0,0">
                <w:txbxContent>
                  <w:p w:rsidR="00F22F94" w:rsidRDefault="00F22F94">
                    <w:pPr>
                      <w:spacing w:line="158" w:lineRule="exact"/>
                      <w:rPr>
                        <w:sz w:val="14"/>
                      </w:rPr>
                    </w:pPr>
                    <w:r>
                      <w:rPr>
                        <w:spacing w:val="-2"/>
                        <w:w w:val="75"/>
                        <w:sz w:val="14"/>
                      </w:rPr>
                      <w:t>UWS/RYDALMERE</w:t>
                    </w:r>
                  </w:p>
                </w:txbxContent>
              </v:textbox>
            </v:shape>
            <v:shape id="docshape1383" o:spid="_x0000_s3841" type="#_x0000_t202" style="position:absolute;left:3297;top:6111;width:787;height:436" filled="f" stroked="f">
              <v:textbox inset="0,0,0,0">
                <w:txbxContent>
                  <w:p w:rsidR="00F22F94" w:rsidRDefault="00F22F94">
                    <w:pPr>
                      <w:spacing w:before="17" w:line="206" w:lineRule="auto"/>
                      <w:rPr>
                        <w:sz w:val="14"/>
                      </w:rPr>
                    </w:pPr>
                    <w:r>
                      <w:rPr>
                        <w:spacing w:val="-2"/>
                        <w:w w:val="75"/>
                        <w:sz w:val="14"/>
                      </w:rPr>
                      <w:t>GREYSTANES</w:t>
                    </w:r>
                    <w:r>
                      <w:rPr>
                        <w:spacing w:val="40"/>
                        <w:sz w:val="14"/>
                      </w:rPr>
                      <w:t xml:space="preserve"> </w:t>
                    </w:r>
                    <w:r>
                      <w:rPr>
                        <w:spacing w:val="-2"/>
                        <w:w w:val="70"/>
                        <w:sz w:val="14"/>
                      </w:rPr>
                      <w:t>EMPLOYMENT</w:t>
                    </w:r>
                    <w:r>
                      <w:rPr>
                        <w:spacing w:val="40"/>
                        <w:sz w:val="14"/>
                      </w:rPr>
                      <w:t xml:space="preserve"> </w:t>
                    </w:r>
                    <w:r>
                      <w:rPr>
                        <w:spacing w:val="-2"/>
                        <w:w w:val="80"/>
                        <w:sz w:val="14"/>
                      </w:rPr>
                      <w:t>LANDS</w:t>
                    </w:r>
                  </w:p>
                </w:txbxContent>
              </v:textbox>
            </v:shape>
            <v:shape id="docshape1384" o:spid="_x0000_s3840" type="#_x0000_t202" style="position:absolute;left:1879;top:6619;width:978;height:159" filled="f" stroked="f">
              <v:textbox inset="0,0,0,0">
                <w:txbxContent>
                  <w:p w:rsidR="00F22F94" w:rsidRDefault="00F22F94">
                    <w:pPr>
                      <w:spacing w:line="158" w:lineRule="exact"/>
                      <w:rPr>
                        <w:sz w:val="14"/>
                      </w:rPr>
                    </w:pPr>
                    <w:r>
                      <w:rPr>
                        <w:w w:val="70"/>
                        <w:sz w:val="14"/>
                      </w:rPr>
                      <w:t>WETHERILL</w:t>
                    </w:r>
                    <w:r>
                      <w:rPr>
                        <w:spacing w:val="63"/>
                        <w:sz w:val="14"/>
                      </w:rPr>
                      <w:t xml:space="preserve"> </w:t>
                    </w:r>
                    <w:r>
                      <w:rPr>
                        <w:spacing w:val="-4"/>
                        <w:w w:val="75"/>
                        <w:sz w:val="14"/>
                      </w:rPr>
                      <w:t>PARK</w:t>
                    </w:r>
                  </w:p>
                </w:txbxContent>
              </v:textbox>
            </v:shape>
            <v:shape id="docshape1385" o:spid="_x0000_s3839" type="#_x0000_t202" style="position:absolute;left:4612;top:6179;width:2647;height:607" filled="f" stroked="f">
              <v:textbox inset="0,0,0,0">
                <w:txbxContent>
                  <w:p w:rsidR="00F22F94" w:rsidRDefault="00F22F94">
                    <w:pPr>
                      <w:tabs>
                        <w:tab w:val="left" w:pos="1327"/>
                      </w:tabs>
                      <w:spacing w:before="2" w:line="211" w:lineRule="auto"/>
                      <w:ind w:right="752" w:firstLine="99"/>
                      <w:rPr>
                        <w:sz w:val="14"/>
                      </w:rPr>
                    </w:pPr>
                    <w:r>
                      <w:rPr>
                        <w:spacing w:val="-2"/>
                        <w:w w:val="80"/>
                        <w:sz w:val="14"/>
                      </w:rPr>
                      <w:t>PARRAMATTA</w:t>
                    </w:r>
                    <w:r>
                      <w:rPr>
                        <w:sz w:val="14"/>
                      </w:rPr>
                      <w:tab/>
                    </w:r>
                    <w:r>
                      <w:rPr>
                        <w:spacing w:val="-2"/>
                        <w:w w:val="75"/>
                        <w:position w:val="-9"/>
                        <w:sz w:val="14"/>
                      </w:rPr>
                      <w:t>CAMELLIA</w:t>
                    </w:r>
                    <w:r>
                      <w:rPr>
                        <w:spacing w:val="40"/>
                        <w:position w:val="-9"/>
                        <w:sz w:val="14"/>
                      </w:rPr>
                      <w:t xml:space="preserve"> </w:t>
                    </w:r>
                    <w:r>
                      <w:rPr>
                        <w:spacing w:val="-2"/>
                        <w:w w:val="80"/>
                        <w:sz w:val="14"/>
                      </w:rPr>
                      <w:t>SOUTH</w:t>
                    </w:r>
                  </w:p>
                  <w:p w:rsidR="00F22F94" w:rsidRDefault="00F22F94">
                    <w:pPr>
                      <w:tabs>
                        <w:tab w:val="left" w:pos="1262"/>
                      </w:tabs>
                      <w:spacing w:line="211" w:lineRule="auto"/>
                      <w:rPr>
                        <w:sz w:val="14"/>
                      </w:rPr>
                    </w:pPr>
                    <w:r>
                      <w:rPr>
                        <w:spacing w:val="-2"/>
                        <w:w w:val="80"/>
                        <w:sz w:val="14"/>
                      </w:rPr>
                      <w:t>WENTWORTHVILLE</w:t>
                    </w:r>
                    <w:r>
                      <w:rPr>
                        <w:sz w:val="14"/>
                      </w:rPr>
                      <w:tab/>
                    </w:r>
                    <w:r>
                      <w:rPr>
                        <w:w w:val="70"/>
                        <w:position w:val="1"/>
                        <w:sz w:val="14"/>
                      </w:rPr>
                      <w:t>GRANVILLE</w:t>
                    </w:r>
                    <w:r>
                      <w:rPr>
                        <w:spacing w:val="65"/>
                        <w:w w:val="150"/>
                        <w:position w:val="1"/>
                        <w:sz w:val="14"/>
                      </w:rPr>
                      <w:t xml:space="preserve"> </w:t>
                    </w:r>
                    <w:r>
                      <w:rPr>
                        <w:spacing w:val="-2"/>
                        <w:w w:val="75"/>
                        <w:position w:val="-7"/>
                        <w:sz w:val="14"/>
                      </w:rPr>
                      <w:t>NEWINGTON</w:t>
                    </w:r>
                  </w:p>
                </w:txbxContent>
              </v:textbox>
            </v:shape>
            <v:shape id="docshape1386" o:spid="_x0000_s3838" type="#_x0000_t202" style="position:absolute;left:8035;top:6403;width:1949;height:583" filled="f" stroked="f">
              <v:textbox inset="0,0,0,0">
                <w:txbxContent>
                  <w:p w:rsidR="00F22F94" w:rsidRDefault="00F22F94">
                    <w:pPr>
                      <w:spacing w:line="159" w:lineRule="exact"/>
                      <w:rPr>
                        <w:sz w:val="14"/>
                      </w:rPr>
                    </w:pPr>
                    <w:r>
                      <w:rPr>
                        <w:spacing w:val="-2"/>
                        <w:w w:val="80"/>
                        <w:sz w:val="14"/>
                      </w:rPr>
                      <w:t>RHODES</w:t>
                    </w:r>
                  </w:p>
                  <w:p w:rsidR="00F22F94" w:rsidRDefault="00F22F94">
                    <w:pPr>
                      <w:spacing w:before="51"/>
                      <w:ind w:left="230"/>
                      <w:rPr>
                        <w:sz w:val="14"/>
                      </w:rPr>
                    </w:pPr>
                    <w:r>
                      <w:rPr>
                        <w:w w:val="70"/>
                        <w:sz w:val="14"/>
                      </w:rPr>
                      <w:t>CONCORD</w:t>
                    </w:r>
                    <w:r>
                      <w:rPr>
                        <w:spacing w:val="37"/>
                        <w:sz w:val="14"/>
                      </w:rPr>
                      <w:t xml:space="preserve"> </w:t>
                    </w:r>
                    <w:r>
                      <w:rPr>
                        <w:spacing w:val="-2"/>
                        <w:w w:val="80"/>
                        <w:sz w:val="14"/>
                      </w:rPr>
                      <w:t>HOSPITAL</w:t>
                    </w:r>
                  </w:p>
                  <w:p w:rsidR="00F22F94" w:rsidRDefault="00F22F94">
                    <w:pPr>
                      <w:spacing w:before="51" w:line="160" w:lineRule="exact"/>
                      <w:ind w:left="942"/>
                      <w:rPr>
                        <w:sz w:val="14"/>
                      </w:rPr>
                    </w:pPr>
                    <w:r>
                      <w:rPr>
                        <w:w w:val="70"/>
                        <w:sz w:val="14"/>
                      </w:rPr>
                      <w:t>BREAKFAST</w:t>
                    </w:r>
                    <w:r>
                      <w:rPr>
                        <w:spacing w:val="32"/>
                        <w:sz w:val="14"/>
                      </w:rPr>
                      <w:t xml:space="preserve"> </w:t>
                    </w:r>
                    <w:r>
                      <w:rPr>
                        <w:spacing w:val="-2"/>
                        <w:w w:val="75"/>
                        <w:sz w:val="14"/>
                      </w:rPr>
                      <w:t>POINT</w:t>
                    </w:r>
                  </w:p>
                </w:txbxContent>
              </v:textbox>
            </v:shape>
            <v:shape id="docshape1387" o:spid="_x0000_s3837" type="#_x0000_t202" style="position:absolute;left:6645;top:7151;width:835;height:159" filled="f" stroked="f">
              <v:textbox inset="0,0,0,0">
                <w:txbxContent>
                  <w:p w:rsidR="00F22F94" w:rsidRDefault="00F22F94">
                    <w:pPr>
                      <w:spacing w:line="158" w:lineRule="exact"/>
                      <w:rPr>
                        <w:sz w:val="14"/>
                      </w:rPr>
                    </w:pPr>
                    <w:r>
                      <w:rPr>
                        <w:w w:val="70"/>
                        <w:sz w:val="14"/>
                      </w:rPr>
                      <w:t>OLYMPIC</w:t>
                    </w:r>
                    <w:r>
                      <w:rPr>
                        <w:spacing w:val="40"/>
                        <w:sz w:val="14"/>
                      </w:rPr>
                      <w:t xml:space="preserve"> </w:t>
                    </w:r>
                    <w:r>
                      <w:rPr>
                        <w:spacing w:val="-4"/>
                        <w:w w:val="75"/>
                        <w:sz w:val="14"/>
                      </w:rPr>
                      <w:t>PARK</w:t>
                    </w:r>
                  </w:p>
                </w:txbxContent>
              </v:textbox>
            </v:shape>
            <v:shape id="docshape1388" o:spid="_x0000_s3836" type="#_x0000_t202" style="position:absolute;left:4335;top:7906;width:575;height:159" filled="f" stroked="f">
              <v:textbox inset="0,0,0,0">
                <w:txbxContent>
                  <w:p w:rsidR="00F22F94" w:rsidRDefault="00F22F94">
                    <w:pPr>
                      <w:spacing w:line="158" w:lineRule="exact"/>
                      <w:rPr>
                        <w:sz w:val="14"/>
                      </w:rPr>
                    </w:pPr>
                    <w:r>
                      <w:rPr>
                        <w:spacing w:val="-2"/>
                        <w:w w:val="70"/>
                        <w:sz w:val="14"/>
                      </w:rPr>
                      <w:t>FAIRFIELD</w:t>
                    </w:r>
                  </w:p>
                </w:txbxContent>
              </v:textbox>
            </v:shape>
            <v:shape id="docshape1389" o:spid="_x0000_s3835" type="#_x0000_t202" style="position:absolute;left:2226;top:8270;width:680;height:159" filled="f" stroked="f">
              <v:textbox inset="0,0,0,0">
                <w:txbxContent>
                  <w:p w:rsidR="00F22F94" w:rsidRDefault="00F22F94">
                    <w:pPr>
                      <w:spacing w:line="158" w:lineRule="exact"/>
                      <w:rPr>
                        <w:sz w:val="14"/>
                      </w:rPr>
                    </w:pPr>
                    <w:r>
                      <w:rPr>
                        <w:spacing w:val="-2"/>
                        <w:w w:val="70"/>
                        <w:sz w:val="14"/>
                      </w:rPr>
                      <w:t>BONNYRIGG</w:t>
                    </w:r>
                  </w:p>
                </w:txbxContent>
              </v:textbox>
            </v:shape>
            <v:shape id="docshape1390" o:spid="_x0000_s3834" type="#_x0000_t202" style="position:absolute;left:5734;top:8300;width:766;height:159" filled="f" stroked="f">
              <v:textbox inset="0,0,0,0">
                <w:txbxContent>
                  <w:p w:rsidR="00F22F94" w:rsidRDefault="00F22F94">
                    <w:pPr>
                      <w:spacing w:line="158" w:lineRule="exact"/>
                      <w:rPr>
                        <w:sz w:val="14"/>
                      </w:rPr>
                    </w:pPr>
                    <w:r>
                      <w:rPr>
                        <w:spacing w:val="-2"/>
                        <w:w w:val="70"/>
                        <w:sz w:val="14"/>
                      </w:rPr>
                      <w:t>CHESTERHILL</w:t>
                    </w:r>
                  </w:p>
                </w:txbxContent>
              </v:textbox>
            </v:shape>
            <v:shape id="docshape1391" o:spid="_x0000_s3833" type="#_x0000_t202" style="position:absolute;left:8730;top:8308;width:784;height:159" filled="f" stroked="f">
              <v:textbox inset="0,0,0,0">
                <w:txbxContent>
                  <w:p w:rsidR="00F22F94" w:rsidRDefault="00F22F94">
                    <w:pPr>
                      <w:spacing w:line="158" w:lineRule="exact"/>
                      <w:rPr>
                        <w:sz w:val="14"/>
                      </w:rPr>
                    </w:pPr>
                    <w:r>
                      <w:rPr>
                        <w:spacing w:val="-2"/>
                        <w:w w:val="70"/>
                        <w:sz w:val="14"/>
                      </w:rPr>
                      <w:t>STRATHFIELD</w:t>
                    </w:r>
                  </w:p>
                </w:txbxContent>
              </v:textbox>
            </v:shape>
            <v:shape id="docshape1392" o:spid="_x0000_s3832" type="#_x0000_t202" style="position:absolute;left:10119;top:8308;width:539;height:159" filled="f" stroked="f">
              <v:textbox inset="0,0,0,0">
                <w:txbxContent>
                  <w:p w:rsidR="00F22F94" w:rsidRDefault="00F22F94">
                    <w:pPr>
                      <w:spacing w:line="158" w:lineRule="exact"/>
                      <w:rPr>
                        <w:sz w:val="14"/>
                      </w:rPr>
                    </w:pPr>
                    <w:r>
                      <w:rPr>
                        <w:w w:val="80"/>
                        <w:sz w:val="14"/>
                      </w:rPr>
                      <w:t>to</w:t>
                    </w:r>
                    <w:r>
                      <w:rPr>
                        <w:spacing w:val="-1"/>
                        <w:sz w:val="14"/>
                      </w:rPr>
                      <w:t xml:space="preserve"> </w:t>
                    </w:r>
                    <w:r>
                      <w:rPr>
                        <w:spacing w:val="-2"/>
                        <w:w w:val="80"/>
                        <w:sz w:val="14"/>
                      </w:rPr>
                      <w:t>Sydney</w:t>
                    </w:r>
                  </w:p>
                </w:txbxContent>
              </v:textbox>
            </v:shape>
            <v:shape id="docshape1393" o:spid="_x0000_s3831" type="#_x0000_t202" style="position:absolute;left:3993;top:8602;width:771;height:159" filled="f" stroked="f">
              <v:textbox inset="0,0,0,0">
                <w:txbxContent>
                  <w:p w:rsidR="00F22F94" w:rsidRDefault="00F22F94">
                    <w:pPr>
                      <w:spacing w:line="158" w:lineRule="exact"/>
                      <w:rPr>
                        <w:sz w:val="14"/>
                      </w:rPr>
                    </w:pPr>
                    <w:r>
                      <w:rPr>
                        <w:spacing w:val="-2"/>
                        <w:w w:val="75"/>
                        <w:sz w:val="14"/>
                      </w:rPr>
                      <w:t>CABRAMATTA</w:t>
                    </w:r>
                  </w:p>
                </w:txbxContent>
              </v:textbox>
            </v:shape>
            <v:shape id="docshape1394" o:spid="_x0000_s3830" type="#_x0000_t202" style="position:absolute;left:4196;top:9169;width:1256;height:159" filled="f" stroked="f">
              <v:textbox inset="0,0,0,0">
                <w:txbxContent>
                  <w:p w:rsidR="00F22F94" w:rsidRDefault="00F22F94">
                    <w:pPr>
                      <w:spacing w:line="158" w:lineRule="exact"/>
                      <w:rPr>
                        <w:sz w:val="14"/>
                      </w:rPr>
                    </w:pPr>
                    <w:r>
                      <w:rPr>
                        <w:w w:val="70"/>
                        <w:sz w:val="14"/>
                      </w:rPr>
                      <w:t>BANKSTOWN</w:t>
                    </w:r>
                    <w:r>
                      <w:rPr>
                        <w:spacing w:val="78"/>
                        <w:sz w:val="14"/>
                      </w:rPr>
                      <w:t xml:space="preserve"> </w:t>
                    </w:r>
                    <w:r>
                      <w:rPr>
                        <w:spacing w:val="-2"/>
                        <w:w w:val="75"/>
                        <w:sz w:val="14"/>
                      </w:rPr>
                      <w:t>AIRPORT</w:t>
                    </w:r>
                  </w:p>
                </w:txbxContent>
              </v:textbox>
            </v:shape>
            <v:shape id="docshape1395" o:spid="_x0000_s3829" type="#_x0000_t202" style="position:absolute;left:6539;top:9345;width:731;height:159" filled="f" stroked="f">
              <v:textbox inset="0,0,0,0">
                <w:txbxContent>
                  <w:p w:rsidR="00F22F94" w:rsidRDefault="00F22F94">
                    <w:pPr>
                      <w:spacing w:line="158" w:lineRule="exact"/>
                      <w:rPr>
                        <w:sz w:val="14"/>
                      </w:rPr>
                    </w:pPr>
                    <w:r>
                      <w:rPr>
                        <w:spacing w:val="-2"/>
                        <w:w w:val="75"/>
                        <w:sz w:val="14"/>
                      </w:rPr>
                      <w:t>BANKSTOWN</w:t>
                    </w:r>
                  </w:p>
                </w:txbxContent>
              </v:textbox>
            </v:shape>
            <v:shape id="docshape1396" o:spid="_x0000_s3828" type="#_x0000_t202" style="position:absolute;left:3528;top:9512;width:637;height:159" filled="f" stroked="f">
              <v:textbox inset="0,0,0,0">
                <w:txbxContent>
                  <w:p w:rsidR="00F22F94" w:rsidRDefault="00F22F94">
                    <w:pPr>
                      <w:spacing w:line="158" w:lineRule="exact"/>
                      <w:rPr>
                        <w:sz w:val="14"/>
                      </w:rPr>
                    </w:pPr>
                    <w:r>
                      <w:rPr>
                        <w:spacing w:val="-2"/>
                        <w:w w:val="70"/>
                        <w:sz w:val="14"/>
                      </w:rPr>
                      <w:t>LIVERPOOL</w:t>
                    </w:r>
                  </w:p>
                </w:txbxContent>
              </v:textbox>
            </v:shape>
            <v:shape id="docshape1397" o:spid="_x0000_s3827" type="#_x0000_t202" style="position:absolute;left:3067;top:10201;width:951;height:159" filled="f" stroked="f">
              <v:textbox inset="0,0,0,0">
                <w:txbxContent>
                  <w:p w:rsidR="00F22F94" w:rsidRDefault="00F22F94">
                    <w:pPr>
                      <w:spacing w:line="158" w:lineRule="exact"/>
                      <w:rPr>
                        <w:sz w:val="14"/>
                      </w:rPr>
                    </w:pPr>
                    <w:r>
                      <w:rPr>
                        <w:w w:val="90"/>
                        <w:sz w:val="14"/>
                      </w:rPr>
                      <w:t>to</w:t>
                    </w:r>
                    <w:r>
                      <w:rPr>
                        <w:spacing w:val="9"/>
                        <w:sz w:val="14"/>
                      </w:rPr>
                      <w:t xml:space="preserve"> </w:t>
                    </w:r>
                    <w:r>
                      <w:rPr>
                        <w:spacing w:val="-2"/>
                        <w:w w:val="80"/>
                        <w:sz w:val="14"/>
                      </w:rPr>
                      <w:t>Campbelltown</w:t>
                    </w:r>
                  </w:p>
                </w:txbxContent>
              </v:textbox>
            </v:shape>
            <v:shape id="docshape1398" o:spid="_x0000_s3826" type="#_x0000_t202" style="position:absolute;left:7822;top:10348;width:553;height:159" filled="f" stroked="f">
              <v:textbox inset="0,0,0,0">
                <w:txbxContent>
                  <w:p w:rsidR="00F22F94" w:rsidRDefault="00F22F94">
                    <w:pPr>
                      <w:spacing w:line="158" w:lineRule="exact"/>
                      <w:rPr>
                        <w:sz w:val="14"/>
                      </w:rPr>
                    </w:pPr>
                    <w:r>
                      <w:rPr>
                        <w:w w:val="85"/>
                        <w:sz w:val="14"/>
                      </w:rPr>
                      <w:t>to</w:t>
                    </w:r>
                    <w:r>
                      <w:rPr>
                        <w:spacing w:val="6"/>
                        <w:sz w:val="14"/>
                      </w:rPr>
                      <w:t xml:space="preserve"> </w:t>
                    </w:r>
                    <w:r>
                      <w:rPr>
                        <w:spacing w:val="-2"/>
                        <w:w w:val="80"/>
                        <w:sz w:val="14"/>
                      </w:rPr>
                      <w:t>Sydney</w:t>
                    </w:r>
                  </w:p>
                </w:txbxContent>
              </v:textbox>
            </v:shape>
            <v:shape id="docshape1399" o:spid="_x0000_s3825" type="#_x0000_t202" style="position:absolute;left:1102;top:10534;width:1994;height:166" filled="f" stroked="f">
              <v:textbox inset="0,0,0,0">
                <w:txbxContent>
                  <w:p w:rsidR="00F22F94" w:rsidRDefault="00F22F94">
                    <w:pPr>
                      <w:spacing w:before="4"/>
                      <w:rPr>
                        <w:sz w:val="14"/>
                      </w:rPr>
                    </w:pPr>
                    <w:r>
                      <w:rPr>
                        <w:w w:val="95"/>
                        <w:sz w:val="14"/>
                      </w:rPr>
                      <w:t>Source:</w:t>
                    </w:r>
                    <w:r>
                      <w:rPr>
                        <w:spacing w:val="5"/>
                        <w:sz w:val="14"/>
                      </w:rPr>
                      <w:t xml:space="preserve"> </w:t>
                    </w:r>
                    <w:r>
                      <w:rPr>
                        <w:w w:val="95"/>
                        <w:sz w:val="14"/>
                      </w:rPr>
                      <w:t>Parramatta</w:t>
                    </w:r>
                    <w:r>
                      <w:rPr>
                        <w:spacing w:val="6"/>
                        <w:sz w:val="14"/>
                      </w:rPr>
                      <w:t xml:space="preserve"> </w:t>
                    </w:r>
                    <w:r>
                      <w:rPr>
                        <w:w w:val="95"/>
                        <w:sz w:val="14"/>
                      </w:rPr>
                      <w:t>City</w:t>
                    </w:r>
                    <w:r>
                      <w:rPr>
                        <w:spacing w:val="5"/>
                        <w:sz w:val="14"/>
                      </w:rPr>
                      <w:t xml:space="preserve"> </w:t>
                    </w:r>
                    <w:r>
                      <w:rPr>
                        <w:spacing w:val="-2"/>
                        <w:w w:val="95"/>
                        <w:sz w:val="14"/>
                      </w:rPr>
                      <w:t>Council.</w:t>
                    </w:r>
                  </w:p>
                </w:txbxContent>
              </v:textbox>
            </v:shape>
            <v:shape id="docshape1400" o:spid="_x0000_s3824" type="#_x0000_t202" style="position:absolute;left:8709;top:9141;width:1885;height:1508" filled="f" stroked="f">
              <v:textbox inset="0,0,0,0">
                <w:txbxContent>
                  <w:p w:rsidR="00F22F94" w:rsidRDefault="00F22F94">
                    <w:pPr>
                      <w:spacing w:before="6"/>
                      <w:rPr>
                        <w:b/>
                        <w:sz w:val="18"/>
                      </w:rPr>
                    </w:pPr>
                    <w:r>
                      <w:rPr>
                        <w:b/>
                        <w:color w:val="2E3092"/>
                        <w:sz w:val="18"/>
                      </w:rPr>
                      <w:t>Potential</w:t>
                    </w:r>
                    <w:r>
                      <w:rPr>
                        <w:b/>
                        <w:color w:val="2E3092"/>
                        <w:spacing w:val="-5"/>
                        <w:sz w:val="18"/>
                      </w:rPr>
                      <w:t xml:space="preserve"> </w:t>
                    </w:r>
                    <w:r>
                      <w:rPr>
                        <w:b/>
                        <w:color w:val="2E3092"/>
                        <w:sz w:val="18"/>
                      </w:rPr>
                      <w:t>stage</w:t>
                    </w:r>
                    <w:r>
                      <w:rPr>
                        <w:b/>
                        <w:color w:val="2E3092"/>
                        <w:spacing w:val="-4"/>
                        <w:sz w:val="18"/>
                      </w:rPr>
                      <w:t xml:space="preserve"> </w:t>
                    </w:r>
                    <w:r>
                      <w:rPr>
                        <w:b/>
                        <w:color w:val="2E3092"/>
                        <w:sz w:val="18"/>
                      </w:rPr>
                      <w:t>1</w:t>
                    </w:r>
                    <w:r>
                      <w:rPr>
                        <w:b/>
                        <w:color w:val="2E3092"/>
                        <w:spacing w:val="-4"/>
                        <w:sz w:val="18"/>
                      </w:rPr>
                      <w:t xml:space="preserve"> </w:t>
                    </w:r>
                    <w:r>
                      <w:rPr>
                        <w:b/>
                        <w:color w:val="2E3092"/>
                        <w:spacing w:val="-2"/>
                        <w:sz w:val="18"/>
                      </w:rPr>
                      <w:t>links</w:t>
                    </w:r>
                  </w:p>
                  <w:p w:rsidR="00F22F94" w:rsidRDefault="00F22F94">
                    <w:pPr>
                      <w:spacing w:before="55" w:line="268" w:lineRule="auto"/>
                      <w:ind w:left="399"/>
                      <w:rPr>
                        <w:sz w:val="14"/>
                      </w:rPr>
                    </w:pPr>
                    <w:r>
                      <w:rPr>
                        <w:spacing w:val="-2"/>
                        <w:w w:val="80"/>
                        <w:sz w:val="14"/>
                      </w:rPr>
                      <w:t>Dundas</w:t>
                    </w:r>
                    <w:r>
                      <w:rPr>
                        <w:spacing w:val="-8"/>
                        <w:sz w:val="14"/>
                      </w:rPr>
                      <w:t xml:space="preserve"> </w:t>
                    </w:r>
                    <w:r>
                      <w:rPr>
                        <w:spacing w:val="-2"/>
                        <w:w w:val="80"/>
                        <w:sz w:val="14"/>
                      </w:rPr>
                      <w:t>–</w:t>
                    </w:r>
                    <w:r>
                      <w:rPr>
                        <w:spacing w:val="-8"/>
                        <w:sz w:val="14"/>
                      </w:rPr>
                      <w:t xml:space="preserve"> </w:t>
                    </w:r>
                    <w:r>
                      <w:rPr>
                        <w:spacing w:val="-2"/>
                        <w:w w:val="80"/>
                        <w:sz w:val="14"/>
                      </w:rPr>
                      <w:t>Macquarie</w:t>
                    </w:r>
                    <w:r>
                      <w:rPr>
                        <w:spacing w:val="-8"/>
                        <w:sz w:val="14"/>
                      </w:rPr>
                      <w:t xml:space="preserve"> </w:t>
                    </w:r>
                    <w:r>
                      <w:rPr>
                        <w:spacing w:val="-2"/>
                        <w:w w:val="80"/>
                        <w:sz w:val="14"/>
                      </w:rPr>
                      <w:t>Park</w:t>
                    </w:r>
                    <w:r>
                      <w:rPr>
                        <w:spacing w:val="40"/>
                        <w:sz w:val="14"/>
                      </w:rPr>
                      <w:t xml:space="preserve"> </w:t>
                    </w:r>
                    <w:r>
                      <w:rPr>
                        <w:w w:val="90"/>
                        <w:sz w:val="14"/>
                      </w:rPr>
                      <w:t>Epping</w:t>
                    </w:r>
                    <w:r>
                      <w:rPr>
                        <w:spacing w:val="-6"/>
                        <w:w w:val="90"/>
                        <w:sz w:val="14"/>
                      </w:rPr>
                      <w:t xml:space="preserve"> </w:t>
                    </w:r>
                    <w:r>
                      <w:rPr>
                        <w:w w:val="90"/>
                        <w:sz w:val="14"/>
                      </w:rPr>
                      <w:t>–</w:t>
                    </w:r>
                    <w:r>
                      <w:rPr>
                        <w:spacing w:val="-6"/>
                        <w:w w:val="90"/>
                        <w:sz w:val="14"/>
                      </w:rPr>
                      <w:t xml:space="preserve"> </w:t>
                    </w:r>
                    <w:r>
                      <w:rPr>
                        <w:w w:val="90"/>
                        <w:sz w:val="14"/>
                      </w:rPr>
                      <w:t>Westmead</w:t>
                    </w:r>
                    <w:r>
                      <w:rPr>
                        <w:spacing w:val="40"/>
                        <w:sz w:val="14"/>
                      </w:rPr>
                      <w:t xml:space="preserve"> </w:t>
                    </w:r>
                    <w:r>
                      <w:rPr>
                        <w:w w:val="90"/>
                        <w:sz w:val="14"/>
                      </w:rPr>
                      <w:t>Existing</w:t>
                    </w:r>
                    <w:r>
                      <w:rPr>
                        <w:spacing w:val="-6"/>
                        <w:w w:val="90"/>
                        <w:sz w:val="14"/>
                      </w:rPr>
                      <w:t xml:space="preserve"> </w:t>
                    </w:r>
                    <w:r>
                      <w:rPr>
                        <w:w w:val="90"/>
                        <w:sz w:val="14"/>
                      </w:rPr>
                      <w:t>heavy</w:t>
                    </w:r>
                    <w:r>
                      <w:rPr>
                        <w:spacing w:val="-6"/>
                        <w:w w:val="90"/>
                        <w:sz w:val="14"/>
                      </w:rPr>
                      <w:t xml:space="preserve"> </w:t>
                    </w:r>
                    <w:r>
                      <w:rPr>
                        <w:w w:val="90"/>
                        <w:sz w:val="14"/>
                      </w:rPr>
                      <w:t>rail</w:t>
                    </w:r>
                    <w:r>
                      <w:rPr>
                        <w:spacing w:val="-6"/>
                        <w:w w:val="90"/>
                        <w:sz w:val="14"/>
                      </w:rPr>
                      <w:t xml:space="preserve"> </w:t>
                    </w:r>
                    <w:r>
                      <w:rPr>
                        <w:w w:val="90"/>
                        <w:sz w:val="14"/>
                      </w:rPr>
                      <w:t>line</w:t>
                    </w:r>
                    <w:r>
                      <w:rPr>
                        <w:spacing w:val="40"/>
                        <w:sz w:val="14"/>
                      </w:rPr>
                      <w:t xml:space="preserve"> </w:t>
                    </w:r>
                    <w:r>
                      <w:rPr>
                        <w:w w:val="85"/>
                        <w:sz w:val="14"/>
                      </w:rPr>
                      <w:t>Castle Hill – Bankstown</w:t>
                    </w:r>
                  </w:p>
                  <w:p w:rsidR="00F22F94" w:rsidRDefault="00F22F94">
                    <w:pPr>
                      <w:spacing w:line="268" w:lineRule="auto"/>
                      <w:ind w:left="399" w:right="1081"/>
                      <w:rPr>
                        <w:sz w:val="14"/>
                      </w:rPr>
                    </w:pPr>
                    <w:r>
                      <w:rPr>
                        <w:spacing w:val="-2"/>
                        <w:w w:val="85"/>
                        <w:sz w:val="14"/>
                      </w:rPr>
                      <w:t>T-Way</w:t>
                    </w:r>
                    <w:r>
                      <w:rPr>
                        <w:spacing w:val="40"/>
                        <w:sz w:val="14"/>
                      </w:rPr>
                      <w:t xml:space="preserve"> </w:t>
                    </w:r>
                    <w:r>
                      <w:rPr>
                        <w:w w:val="75"/>
                        <w:sz w:val="14"/>
                      </w:rPr>
                      <w:t>City</w:t>
                    </w:r>
                    <w:r>
                      <w:rPr>
                        <w:spacing w:val="-4"/>
                        <w:sz w:val="14"/>
                      </w:rPr>
                      <w:t xml:space="preserve"> </w:t>
                    </w:r>
                    <w:r>
                      <w:rPr>
                        <w:spacing w:val="-6"/>
                        <w:w w:val="80"/>
                        <w:sz w:val="14"/>
                      </w:rPr>
                      <w:t>Rail</w:t>
                    </w:r>
                  </w:p>
                  <w:p w:rsidR="00F22F94" w:rsidRDefault="00F22F94">
                    <w:pPr>
                      <w:spacing w:line="159" w:lineRule="exact"/>
                      <w:ind w:left="399"/>
                      <w:rPr>
                        <w:sz w:val="14"/>
                      </w:rPr>
                    </w:pPr>
                    <w:r>
                      <w:rPr>
                        <w:w w:val="75"/>
                        <w:sz w:val="14"/>
                      </w:rPr>
                      <w:t>North</w:t>
                    </w:r>
                    <w:r>
                      <w:rPr>
                        <w:sz w:val="14"/>
                      </w:rPr>
                      <w:t xml:space="preserve"> </w:t>
                    </w:r>
                    <w:r>
                      <w:rPr>
                        <w:w w:val="75"/>
                        <w:sz w:val="14"/>
                      </w:rPr>
                      <w:t>West</w:t>
                    </w:r>
                    <w:r>
                      <w:rPr>
                        <w:spacing w:val="1"/>
                        <w:sz w:val="14"/>
                      </w:rPr>
                      <w:t xml:space="preserve"> </w:t>
                    </w:r>
                    <w:r>
                      <w:rPr>
                        <w:w w:val="75"/>
                        <w:sz w:val="14"/>
                      </w:rPr>
                      <w:t>Rail</w:t>
                    </w:r>
                    <w:r>
                      <w:rPr>
                        <w:sz w:val="14"/>
                      </w:rPr>
                      <w:t xml:space="preserve"> </w:t>
                    </w:r>
                    <w:r>
                      <w:rPr>
                        <w:spacing w:val="-4"/>
                        <w:w w:val="75"/>
                        <w:sz w:val="14"/>
                      </w:rPr>
                      <w:t>Link</w:t>
                    </w:r>
                  </w:p>
                </w:txbxContent>
              </v:textbox>
            </v:shape>
            <w10:wrap anchorx="page" anchory="page"/>
          </v:group>
        </w:pict>
      </w: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3"/>
        <w:rPr>
          <w:sz w:val="19"/>
        </w:rPr>
      </w:pPr>
    </w:p>
    <w:p w:rsidR="002C1123" w:rsidRDefault="00F22F94">
      <w:pPr>
        <w:pStyle w:val="Heading6"/>
        <w:numPr>
          <w:ilvl w:val="2"/>
          <w:numId w:val="92"/>
        </w:numPr>
        <w:tabs>
          <w:tab w:val="left" w:pos="11032"/>
        </w:tabs>
        <w:ind w:left="11031" w:hanging="487"/>
        <w:jc w:val="left"/>
        <w:rPr>
          <w:color w:val="00AEEF"/>
        </w:rPr>
      </w:pPr>
      <w:bookmarkStart w:id="204" w:name="_bookmark146"/>
      <w:bookmarkEnd w:id="204"/>
      <w:r>
        <w:rPr>
          <w:color w:val="00AEEF"/>
          <w:w w:val="95"/>
        </w:rPr>
        <w:t>Western</w:t>
      </w:r>
      <w:r>
        <w:rPr>
          <w:color w:val="00AEEF"/>
          <w:spacing w:val="2"/>
        </w:rPr>
        <w:t xml:space="preserve"> </w:t>
      </w:r>
      <w:r>
        <w:rPr>
          <w:color w:val="00AEEF"/>
          <w:w w:val="95"/>
        </w:rPr>
        <w:t>Sydney</w:t>
      </w:r>
      <w:r>
        <w:rPr>
          <w:color w:val="00AEEF"/>
          <w:spacing w:val="2"/>
        </w:rPr>
        <w:t xml:space="preserve"> </w:t>
      </w:r>
      <w:r>
        <w:rPr>
          <w:color w:val="00AEEF"/>
          <w:w w:val="95"/>
        </w:rPr>
        <w:t>Light</w:t>
      </w:r>
      <w:r>
        <w:rPr>
          <w:color w:val="00AEEF"/>
          <w:spacing w:val="2"/>
        </w:rPr>
        <w:t xml:space="preserve"> </w:t>
      </w:r>
      <w:r>
        <w:rPr>
          <w:color w:val="00AEEF"/>
          <w:spacing w:val="-4"/>
          <w:w w:val="95"/>
        </w:rPr>
        <w:t>Rail</w:t>
      </w:r>
    </w:p>
    <w:p w:rsidR="002C1123" w:rsidRDefault="00F22F94">
      <w:pPr>
        <w:pStyle w:val="BodyText"/>
        <w:spacing w:before="95" w:line="249" w:lineRule="auto"/>
        <w:ind w:left="10545" w:right="709"/>
      </w:pPr>
      <w:r>
        <w:t>Parramatta</w:t>
      </w:r>
      <w:r>
        <w:rPr>
          <w:spacing w:val="-12"/>
        </w:rPr>
        <w:t xml:space="preserve"> </w:t>
      </w:r>
      <w:r>
        <w:t>City</w:t>
      </w:r>
      <w:r>
        <w:rPr>
          <w:spacing w:val="-12"/>
        </w:rPr>
        <w:t xml:space="preserve"> </w:t>
      </w:r>
      <w:r>
        <w:t>Council</w:t>
      </w:r>
      <w:r>
        <w:rPr>
          <w:spacing w:val="-12"/>
        </w:rPr>
        <w:t xml:space="preserve"> </w:t>
      </w:r>
      <w:r>
        <w:t>has</w:t>
      </w:r>
      <w:r>
        <w:rPr>
          <w:spacing w:val="-12"/>
        </w:rPr>
        <w:t xml:space="preserve"> </w:t>
      </w:r>
      <w:r>
        <w:t>recently</w:t>
      </w:r>
      <w:r>
        <w:rPr>
          <w:spacing w:val="-12"/>
        </w:rPr>
        <w:t xml:space="preserve"> </w:t>
      </w:r>
      <w:r>
        <w:t>launched</w:t>
      </w:r>
      <w:r>
        <w:rPr>
          <w:spacing w:val="-12"/>
        </w:rPr>
        <w:t xml:space="preserve"> </w:t>
      </w:r>
      <w:r>
        <w:t>a proposal</w:t>
      </w:r>
      <w:r>
        <w:rPr>
          <w:spacing w:val="-14"/>
        </w:rPr>
        <w:t xml:space="preserve"> </w:t>
      </w:r>
      <w:r>
        <w:t>for</w:t>
      </w:r>
      <w:r>
        <w:rPr>
          <w:spacing w:val="-14"/>
        </w:rPr>
        <w:t xml:space="preserve"> </w:t>
      </w:r>
      <w:r>
        <w:t>a</w:t>
      </w:r>
      <w:r>
        <w:rPr>
          <w:spacing w:val="-14"/>
        </w:rPr>
        <w:t xml:space="preserve"> </w:t>
      </w:r>
      <w:r>
        <w:t>Western</w:t>
      </w:r>
      <w:r>
        <w:rPr>
          <w:spacing w:val="-13"/>
        </w:rPr>
        <w:t xml:space="preserve"> </w:t>
      </w:r>
      <w:r>
        <w:t>Sydney</w:t>
      </w:r>
      <w:r>
        <w:rPr>
          <w:spacing w:val="-14"/>
        </w:rPr>
        <w:t xml:space="preserve"> </w:t>
      </w:r>
      <w:r>
        <w:t>Light</w:t>
      </w:r>
      <w:r>
        <w:rPr>
          <w:spacing w:val="-14"/>
        </w:rPr>
        <w:t xml:space="preserve"> </w:t>
      </w:r>
      <w:r>
        <w:t>Rail</w:t>
      </w:r>
      <w:r>
        <w:rPr>
          <w:spacing w:val="-14"/>
        </w:rPr>
        <w:t xml:space="preserve"> </w:t>
      </w:r>
      <w:r>
        <w:t>network</w:t>
      </w:r>
      <w:r>
        <w:rPr>
          <w:spacing w:val="-13"/>
        </w:rPr>
        <w:t xml:space="preserve"> </w:t>
      </w:r>
      <w:r>
        <w:t xml:space="preserve">and </w:t>
      </w:r>
      <w:r>
        <w:rPr>
          <w:w w:val="95"/>
        </w:rPr>
        <w:t xml:space="preserve">commenced an initial feasibility study. Stage 1, covering links to Castle Hill, Bankstown and Epping or Macquarie </w:t>
      </w:r>
      <w:r>
        <w:t>Park,</w:t>
      </w:r>
      <w:r>
        <w:rPr>
          <w:spacing w:val="-13"/>
        </w:rPr>
        <w:t xml:space="preserve"> </w:t>
      </w:r>
      <w:r>
        <w:t>is</w:t>
      </w:r>
      <w:r>
        <w:rPr>
          <w:spacing w:val="-13"/>
        </w:rPr>
        <w:t xml:space="preserve"> </w:t>
      </w:r>
      <w:r>
        <w:t>estimated</w:t>
      </w:r>
      <w:r>
        <w:rPr>
          <w:spacing w:val="-13"/>
        </w:rPr>
        <w:t xml:space="preserve"> </w:t>
      </w:r>
      <w:r>
        <w:t>at</w:t>
      </w:r>
      <w:r>
        <w:rPr>
          <w:spacing w:val="-13"/>
        </w:rPr>
        <w:t xml:space="preserve"> </w:t>
      </w:r>
      <w:r>
        <w:t>about</w:t>
      </w:r>
      <w:r>
        <w:rPr>
          <w:spacing w:val="-13"/>
        </w:rPr>
        <w:t xml:space="preserve"> </w:t>
      </w:r>
      <w:r>
        <w:t>$3</w:t>
      </w:r>
      <w:r>
        <w:rPr>
          <w:spacing w:val="-13"/>
        </w:rPr>
        <w:t xml:space="preserve"> </w:t>
      </w:r>
      <w:r>
        <w:t>billion,</w:t>
      </w:r>
      <w:r>
        <w:rPr>
          <w:spacing w:val="-13"/>
        </w:rPr>
        <w:t xml:space="preserve"> </w:t>
      </w:r>
      <w:r>
        <w:t>with</w:t>
      </w:r>
      <w:r>
        <w:rPr>
          <w:spacing w:val="-13"/>
        </w:rPr>
        <w:t xml:space="preserve"> </w:t>
      </w:r>
      <w:r>
        <w:t>later</w:t>
      </w:r>
      <w:r>
        <w:rPr>
          <w:spacing w:val="-13"/>
        </w:rPr>
        <w:t xml:space="preserve"> </w:t>
      </w:r>
      <w:r>
        <w:t>stages planned</w:t>
      </w:r>
      <w:r>
        <w:rPr>
          <w:spacing w:val="-12"/>
        </w:rPr>
        <w:t xml:space="preserve"> </w:t>
      </w:r>
      <w:r>
        <w:t>to</w:t>
      </w:r>
      <w:r>
        <w:rPr>
          <w:spacing w:val="-12"/>
        </w:rPr>
        <w:t xml:space="preserve"> </w:t>
      </w:r>
      <w:r>
        <w:t>add</w:t>
      </w:r>
      <w:r>
        <w:rPr>
          <w:spacing w:val="-12"/>
        </w:rPr>
        <w:t xml:space="preserve"> </w:t>
      </w:r>
      <w:r>
        <w:t>another</w:t>
      </w:r>
      <w:r>
        <w:rPr>
          <w:spacing w:val="-12"/>
        </w:rPr>
        <w:t xml:space="preserve"> </w:t>
      </w:r>
      <w:r>
        <w:t>105</w:t>
      </w:r>
      <w:r>
        <w:rPr>
          <w:spacing w:val="-12"/>
        </w:rPr>
        <w:t xml:space="preserve"> </w:t>
      </w:r>
      <w:r>
        <w:t>kilometres</w:t>
      </w:r>
      <w:r>
        <w:rPr>
          <w:spacing w:val="-12"/>
        </w:rPr>
        <w:t xml:space="preserve"> </w:t>
      </w:r>
      <w:r>
        <w:t>at</w:t>
      </w:r>
      <w:r>
        <w:rPr>
          <w:spacing w:val="-12"/>
        </w:rPr>
        <w:t xml:space="preserve"> </w:t>
      </w:r>
      <w:r>
        <w:t>an</w:t>
      </w:r>
      <w:r>
        <w:rPr>
          <w:spacing w:val="-12"/>
        </w:rPr>
        <w:t xml:space="preserve"> </w:t>
      </w:r>
      <w:r>
        <w:t xml:space="preserve">additional </w:t>
      </w:r>
      <w:r>
        <w:rPr>
          <w:w w:val="95"/>
        </w:rPr>
        <w:t xml:space="preserve">cost of $6.5 billion. The draft proposed network is shown </w:t>
      </w:r>
      <w:r>
        <w:t>in Figure 7.3.</w:t>
      </w:r>
    </w:p>
    <w:p w:rsidR="002C1123" w:rsidRDefault="00F22F94">
      <w:pPr>
        <w:pStyle w:val="BodyText"/>
        <w:spacing w:before="148" w:line="249" w:lineRule="auto"/>
        <w:ind w:left="10545" w:right="709"/>
      </w:pPr>
      <w:r>
        <w:t>The</w:t>
      </w:r>
      <w:r>
        <w:rPr>
          <w:spacing w:val="-13"/>
        </w:rPr>
        <w:t xml:space="preserve"> </w:t>
      </w:r>
      <w:r>
        <w:t>Council</w:t>
      </w:r>
      <w:r>
        <w:rPr>
          <w:spacing w:val="-13"/>
        </w:rPr>
        <w:t xml:space="preserve"> </w:t>
      </w:r>
      <w:r>
        <w:t>proposes</w:t>
      </w:r>
      <w:r>
        <w:rPr>
          <w:spacing w:val="-13"/>
        </w:rPr>
        <w:t xml:space="preserve"> </w:t>
      </w:r>
      <w:r>
        <w:t>light</w:t>
      </w:r>
      <w:r>
        <w:rPr>
          <w:spacing w:val="-13"/>
        </w:rPr>
        <w:t xml:space="preserve"> </w:t>
      </w:r>
      <w:r>
        <w:t>rail</w:t>
      </w:r>
      <w:r>
        <w:rPr>
          <w:spacing w:val="-13"/>
        </w:rPr>
        <w:t xml:space="preserve"> </w:t>
      </w:r>
      <w:r>
        <w:t>as</w:t>
      </w:r>
      <w:r>
        <w:rPr>
          <w:spacing w:val="-13"/>
        </w:rPr>
        <w:t xml:space="preserve"> </w:t>
      </w:r>
      <w:r>
        <w:t>“a</w:t>
      </w:r>
      <w:r>
        <w:rPr>
          <w:spacing w:val="-13"/>
        </w:rPr>
        <w:t xml:space="preserve"> </w:t>
      </w:r>
      <w:r>
        <w:t>viable,</w:t>
      </w:r>
      <w:r>
        <w:rPr>
          <w:spacing w:val="-13"/>
        </w:rPr>
        <w:t xml:space="preserve"> </w:t>
      </w:r>
      <w:r>
        <w:t>quick-to- build</w:t>
      </w:r>
      <w:r>
        <w:rPr>
          <w:spacing w:val="-14"/>
        </w:rPr>
        <w:t xml:space="preserve"> </w:t>
      </w:r>
      <w:r>
        <w:t>solution</w:t>
      </w:r>
      <w:r>
        <w:rPr>
          <w:spacing w:val="-14"/>
        </w:rPr>
        <w:t xml:space="preserve"> </w:t>
      </w:r>
      <w:r>
        <w:t>for</w:t>
      </w:r>
      <w:r>
        <w:rPr>
          <w:spacing w:val="-14"/>
        </w:rPr>
        <w:t xml:space="preserve"> </w:t>
      </w:r>
      <w:r>
        <w:t>Western</w:t>
      </w:r>
      <w:r>
        <w:rPr>
          <w:spacing w:val="-13"/>
        </w:rPr>
        <w:t xml:space="preserve"> </w:t>
      </w:r>
      <w:r>
        <w:t>Sydney;</w:t>
      </w:r>
      <w:r>
        <w:rPr>
          <w:spacing w:val="-14"/>
        </w:rPr>
        <w:t xml:space="preserve"> </w:t>
      </w:r>
      <w:r>
        <w:t>an</w:t>
      </w:r>
      <w:r>
        <w:rPr>
          <w:spacing w:val="-14"/>
        </w:rPr>
        <w:t xml:space="preserve"> </w:t>
      </w:r>
      <w:r>
        <w:t>interim</w:t>
      </w:r>
      <w:r>
        <w:rPr>
          <w:spacing w:val="-14"/>
        </w:rPr>
        <w:t xml:space="preserve"> </w:t>
      </w:r>
      <w:r>
        <w:t xml:space="preserve">mode </w:t>
      </w:r>
      <w:r>
        <w:rPr>
          <w:w w:val="95"/>
        </w:rPr>
        <w:t>between</w:t>
      </w:r>
      <w:r>
        <w:rPr>
          <w:spacing w:val="-3"/>
          <w:w w:val="95"/>
        </w:rPr>
        <w:t xml:space="preserve"> </w:t>
      </w:r>
      <w:r>
        <w:rPr>
          <w:w w:val="95"/>
        </w:rPr>
        <w:t>bus</w:t>
      </w:r>
      <w:r>
        <w:rPr>
          <w:spacing w:val="-3"/>
          <w:w w:val="95"/>
        </w:rPr>
        <w:t xml:space="preserve"> </w:t>
      </w:r>
      <w:r>
        <w:rPr>
          <w:w w:val="95"/>
        </w:rPr>
        <w:t>and</w:t>
      </w:r>
      <w:r>
        <w:rPr>
          <w:spacing w:val="-3"/>
          <w:w w:val="95"/>
        </w:rPr>
        <w:t xml:space="preserve"> </w:t>
      </w:r>
      <w:r>
        <w:rPr>
          <w:w w:val="95"/>
        </w:rPr>
        <w:t>heavy</w:t>
      </w:r>
      <w:r>
        <w:rPr>
          <w:spacing w:val="-3"/>
          <w:w w:val="95"/>
        </w:rPr>
        <w:t xml:space="preserve"> </w:t>
      </w:r>
      <w:r>
        <w:rPr>
          <w:w w:val="95"/>
        </w:rPr>
        <w:t>rail</w:t>
      </w:r>
      <w:r>
        <w:rPr>
          <w:spacing w:val="-3"/>
          <w:w w:val="95"/>
        </w:rPr>
        <w:t xml:space="preserve"> </w:t>
      </w:r>
      <w:r>
        <w:rPr>
          <w:w w:val="95"/>
        </w:rPr>
        <w:t>options”</w:t>
      </w:r>
      <w:r>
        <w:rPr>
          <w:w w:val="95"/>
          <w:position w:val="7"/>
          <w:sz w:val="11"/>
        </w:rPr>
        <w:t>18</w:t>
      </w:r>
      <w:r>
        <w:rPr>
          <w:w w:val="95"/>
        </w:rPr>
        <w:t>.</w:t>
      </w:r>
      <w:r>
        <w:rPr>
          <w:spacing w:val="-3"/>
          <w:w w:val="95"/>
        </w:rPr>
        <w:t xml:space="preserve"> </w:t>
      </w:r>
      <w:r>
        <w:rPr>
          <w:w w:val="95"/>
        </w:rPr>
        <w:t>It</w:t>
      </w:r>
      <w:r>
        <w:rPr>
          <w:spacing w:val="-3"/>
          <w:w w:val="95"/>
        </w:rPr>
        <w:t xml:space="preserve"> </w:t>
      </w:r>
      <w:r>
        <w:rPr>
          <w:w w:val="95"/>
        </w:rPr>
        <w:t>hopes</w:t>
      </w:r>
      <w:r>
        <w:rPr>
          <w:spacing w:val="-3"/>
          <w:w w:val="95"/>
        </w:rPr>
        <w:t xml:space="preserve"> </w:t>
      </w:r>
      <w:r>
        <w:rPr>
          <w:w w:val="95"/>
        </w:rPr>
        <w:t>that</w:t>
      </w:r>
      <w:r>
        <w:rPr>
          <w:spacing w:val="-3"/>
          <w:w w:val="95"/>
        </w:rPr>
        <w:t xml:space="preserve"> </w:t>
      </w:r>
      <w:r>
        <w:rPr>
          <w:w w:val="95"/>
        </w:rPr>
        <w:t xml:space="preserve">light </w:t>
      </w:r>
      <w:r>
        <w:t>rail</w:t>
      </w:r>
      <w:r>
        <w:rPr>
          <w:spacing w:val="-14"/>
        </w:rPr>
        <w:t xml:space="preserve"> </w:t>
      </w:r>
      <w:r>
        <w:t>will</w:t>
      </w:r>
      <w:r>
        <w:rPr>
          <w:spacing w:val="-14"/>
        </w:rPr>
        <w:t xml:space="preserve"> </w:t>
      </w:r>
      <w:r>
        <w:t>assist</w:t>
      </w:r>
      <w:r>
        <w:rPr>
          <w:spacing w:val="-14"/>
        </w:rPr>
        <w:t xml:space="preserve"> </w:t>
      </w:r>
      <w:r>
        <w:t>in</w:t>
      </w:r>
      <w:r>
        <w:rPr>
          <w:spacing w:val="-14"/>
        </w:rPr>
        <w:t xml:space="preserve"> </w:t>
      </w:r>
      <w:r>
        <w:t>building</w:t>
      </w:r>
      <w:r>
        <w:rPr>
          <w:spacing w:val="-14"/>
        </w:rPr>
        <w:t xml:space="preserve"> </w:t>
      </w:r>
      <w:r>
        <w:t>employment</w:t>
      </w:r>
      <w:r>
        <w:rPr>
          <w:spacing w:val="-14"/>
        </w:rPr>
        <w:t xml:space="preserve"> </w:t>
      </w:r>
      <w:r>
        <w:t>centres</w:t>
      </w:r>
      <w:r>
        <w:rPr>
          <w:spacing w:val="-14"/>
        </w:rPr>
        <w:t xml:space="preserve"> </w:t>
      </w:r>
      <w:r>
        <w:t>close</w:t>
      </w:r>
      <w:r>
        <w:rPr>
          <w:spacing w:val="-13"/>
        </w:rPr>
        <w:t xml:space="preserve"> </w:t>
      </w:r>
      <w:r>
        <w:t xml:space="preserve">to </w:t>
      </w:r>
      <w:r>
        <w:rPr>
          <w:spacing w:val="-2"/>
        </w:rPr>
        <w:t>homes</w:t>
      </w:r>
      <w:r>
        <w:rPr>
          <w:spacing w:val="-5"/>
        </w:rPr>
        <w:t xml:space="preserve"> </w:t>
      </w:r>
      <w:r>
        <w:rPr>
          <w:spacing w:val="-2"/>
        </w:rPr>
        <w:t>in</w:t>
      </w:r>
      <w:r>
        <w:rPr>
          <w:spacing w:val="-5"/>
        </w:rPr>
        <w:t xml:space="preserve"> </w:t>
      </w:r>
      <w:r>
        <w:rPr>
          <w:spacing w:val="-2"/>
        </w:rPr>
        <w:t>Western</w:t>
      </w:r>
      <w:r>
        <w:rPr>
          <w:spacing w:val="-5"/>
        </w:rPr>
        <w:t xml:space="preserve"> </w:t>
      </w:r>
      <w:r>
        <w:rPr>
          <w:spacing w:val="-2"/>
        </w:rPr>
        <w:t>Sydney,</w:t>
      </w:r>
      <w:r>
        <w:rPr>
          <w:spacing w:val="-5"/>
        </w:rPr>
        <w:t xml:space="preserve"> </w:t>
      </w:r>
      <w:r>
        <w:rPr>
          <w:spacing w:val="-2"/>
        </w:rPr>
        <w:t>particularly</w:t>
      </w:r>
      <w:r>
        <w:rPr>
          <w:spacing w:val="-5"/>
        </w:rPr>
        <w:t xml:space="preserve"> </w:t>
      </w:r>
      <w:r>
        <w:rPr>
          <w:spacing w:val="-2"/>
        </w:rPr>
        <w:t>in</w:t>
      </w:r>
      <w:r>
        <w:rPr>
          <w:spacing w:val="-5"/>
        </w:rPr>
        <w:t xml:space="preserve"> </w:t>
      </w:r>
      <w:r>
        <w:rPr>
          <w:spacing w:val="-2"/>
        </w:rPr>
        <w:t>Parramatta.</w:t>
      </w:r>
    </w:p>
    <w:p w:rsidR="002C1123" w:rsidRDefault="00F22F94">
      <w:pPr>
        <w:pStyle w:val="BodyText"/>
        <w:spacing w:before="146" w:line="249" w:lineRule="auto"/>
        <w:ind w:left="10545" w:right="895"/>
      </w:pPr>
      <w:r>
        <w:rPr>
          <w:w w:val="95"/>
        </w:rPr>
        <w:t>To</w:t>
      </w:r>
      <w:r>
        <w:rPr>
          <w:spacing w:val="-10"/>
          <w:w w:val="95"/>
        </w:rPr>
        <w:t xml:space="preserve"> </w:t>
      </w:r>
      <w:r>
        <w:rPr>
          <w:w w:val="95"/>
        </w:rPr>
        <w:t>justify</w:t>
      </w:r>
      <w:r>
        <w:rPr>
          <w:spacing w:val="-10"/>
          <w:w w:val="95"/>
        </w:rPr>
        <w:t xml:space="preserve"> </w:t>
      </w:r>
      <w:r>
        <w:rPr>
          <w:w w:val="95"/>
        </w:rPr>
        <w:t>an</w:t>
      </w:r>
      <w:r>
        <w:rPr>
          <w:spacing w:val="-10"/>
          <w:w w:val="95"/>
        </w:rPr>
        <w:t xml:space="preserve"> </w:t>
      </w:r>
      <w:r>
        <w:rPr>
          <w:w w:val="95"/>
        </w:rPr>
        <w:t>investment</w:t>
      </w:r>
      <w:r>
        <w:rPr>
          <w:spacing w:val="-10"/>
          <w:w w:val="95"/>
        </w:rPr>
        <w:t xml:space="preserve"> </w:t>
      </w:r>
      <w:r>
        <w:rPr>
          <w:w w:val="95"/>
        </w:rPr>
        <w:t>of</w:t>
      </w:r>
      <w:r>
        <w:rPr>
          <w:spacing w:val="-10"/>
          <w:w w:val="95"/>
        </w:rPr>
        <w:t xml:space="preserve"> </w:t>
      </w:r>
      <w:r>
        <w:rPr>
          <w:w w:val="95"/>
        </w:rPr>
        <w:t>this</w:t>
      </w:r>
      <w:r>
        <w:rPr>
          <w:spacing w:val="-10"/>
          <w:w w:val="95"/>
        </w:rPr>
        <w:t xml:space="preserve"> </w:t>
      </w:r>
      <w:r>
        <w:rPr>
          <w:w w:val="95"/>
        </w:rPr>
        <w:t>scale</w:t>
      </w:r>
      <w:r>
        <w:rPr>
          <w:spacing w:val="-10"/>
          <w:w w:val="95"/>
        </w:rPr>
        <w:t xml:space="preserve"> </w:t>
      </w:r>
      <w:r>
        <w:rPr>
          <w:w w:val="95"/>
        </w:rPr>
        <w:t>there</w:t>
      </w:r>
      <w:r>
        <w:rPr>
          <w:spacing w:val="-10"/>
          <w:w w:val="95"/>
        </w:rPr>
        <w:t xml:space="preserve"> </w:t>
      </w:r>
      <w:r>
        <w:rPr>
          <w:w w:val="95"/>
        </w:rPr>
        <w:t>would</w:t>
      </w:r>
      <w:r>
        <w:rPr>
          <w:spacing w:val="-10"/>
          <w:w w:val="95"/>
        </w:rPr>
        <w:t xml:space="preserve"> </w:t>
      </w:r>
      <w:r>
        <w:rPr>
          <w:w w:val="95"/>
        </w:rPr>
        <w:t xml:space="preserve">need </w:t>
      </w:r>
      <w:r>
        <w:t>to</w:t>
      </w:r>
      <w:r>
        <w:rPr>
          <w:spacing w:val="-14"/>
        </w:rPr>
        <w:t xml:space="preserve"> </w:t>
      </w:r>
      <w:r>
        <w:t>be</w:t>
      </w:r>
      <w:r>
        <w:rPr>
          <w:spacing w:val="-14"/>
        </w:rPr>
        <w:t xml:space="preserve"> </w:t>
      </w:r>
      <w:r>
        <w:t>some</w:t>
      </w:r>
      <w:r>
        <w:rPr>
          <w:spacing w:val="-14"/>
        </w:rPr>
        <w:t xml:space="preserve"> </w:t>
      </w:r>
      <w:r>
        <w:t>confidence</w:t>
      </w:r>
      <w:r>
        <w:rPr>
          <w:spacing w:val="-14"/>
        </w:rPr>
        <w:t xml:space="preserve"> </w:t>
      </w:r>
      <w:r>
        <w:t>that</w:t>
      </w:r>
      <w:r>
        <w:rPr>
          <w:spacing w:val="-14"/>
        </w:rPr>
        <w:t xml:space="preserve"> </w:t>
      </w:r>
      <w:r>
        <w:t>it</w:t>
      </w:r>
      <w:r>
        <w:rPr>
          <w:spacing w:val="-14"/>
        </w:rPr>
        <w:t xml:space="preserve"> </w:t>
      </w:r>
      <w:r>
        <w:t>would</w:t>
      </w:r>
      <w:r>
        <w:rPr>
          <w:spacing w:val="-13"/>
        </w:rPr>
        <w:t xml:space="preserve"> </w:t>
      </w:r>
      <w:r>
        <w:t>address</w:t>
      </w:r>
      <w:r>
        <w:rPr>
          <w:spacing w:val="-14"/>
        </w:rPr>
        <w:t xml:space="preserve"> </w:t>
      </w:r>
      <w:r>
        <w:t>the</w:t>
      </w:r>
      <w:r>
        <w:rPr>
          <w:spacing w:val="-14"/>
        </w:rPr>
        <w:t xml:space="preserve"> </w:t>
      </w:r>
      <w:r>
        <w:t>key</w:t>
      </w:r>
    </w:p>
    <w:p w:rsidR="002C1123" w:rsidRDefault="00F22F94">
      <w:pPr>
        <w:pStyle w:val="BodyText"/>
        <w:spacing w:before="2" w:line="249" w:lineRule="auto"/>
        <w:ind w:left="10545" w:right="709"/>
      </w:pPr>
      <w:r>
        <w:rPr>
          <w:w w:val="95"/>
        </w:rPr>
        <w:t xml:space="preserve">constraints to greater employment growth in Parramatta. </w:t>
      </w:r>
      <w:r>
        <w:t>This</w:t>
      </w:r>
      <w:r>
        <w:rPr>
          <w:spacing w:val="-14"/>
        </w:rPr>
        <w:t xml:space="preserve"> </w:t>
      </w:r>
      <w:r>
        <w:t>Strategy</w:t>
      </w:r>
      <w:r>
        <w:rPr>
          <w:spacing w:val="-14"/>
        </w:rPr>
        <w:t xml:space="preserve"> </w:t>
      </w:r>
      <w:r>
        <w:t>argues</w:t>
      </w:r>
      <w:r>
        <w:rPr>
          <w:spacing w:val="-14"/>
        </w:rPr>
        <w:t xml:space="preserve"> </w:t>
      </w:r>
      <w:r>
        <w:t>that</w:t>
      </w:r>
      <w:r>
        <w:rPr>
          <w:spacing w:val="-14"/>
        </w:rPr>
        <w:t xml:space="preserve"> </w:t>
      </w:r>
      <w:r>
        <w:t>transport</w:t>
      </w:r>
      <w:r>
        <w:rPr>
          <w:spacing w:val="-14"/>
        </w:rPr>
        <w:t xml:space="preserve"> </w:t>
      </w:r>
      <w:r>
        <w:t>investments</w:t>
      </w:r>
      <w:r>
        <w:rPr>
          <w:spacing w:val="-14"/>
        </w:rPr>
        <w:t xml:space="preserve"> </w:t>
      </w:r>
      <w:r>
        <w:t>alone will</w:t>
      </w:r>
      <w:r>
        <w:rPr>
          <w:spacing w:val="-14"/>
        </w:rPr>
        <w:t xml:space="preserve"> </w:t>
      </w:r>
      <w:r>
        <w:t>rarely</w:t>
      </w:r>
      <w:r>
        <w:rPr>
          <w:spacing w:val="-14"/>
        </w:rPr>
        <w:t xml:space="preserve"> </w:t>
      </w:r>
      <w:r>
        <w:t>transform</w:t>
      </w:r>
      <w:r>
        <w:rPr>
          <w:spacing w:val="-14"/>
        </w:rPr>
        <w:t xml:space="preserve"> </w:t>
      </w:r>
      <w:r>
        <w:t>an</w:t>
      </w:r>
      <w:r>
        <w:rPr>
          <w:spacing w:val="-14"/>
        </w:rPr>
        <w:t xml:space="preserve"> </w:t>
      </w:r>
      <w:r>
        <w:t>area’s</w:t>
      </w:r>
      <w:r>
        <w:rPr>
          <w:spacing w:val="-14"/>
        </w:rPr>
        <w:t xml:space="preserve"> </w:t>
      </w:r>
      <w:r>
        <w:t>economic</w:t>
      </w:r>
      <w:r>
        <w:rPr>
          <w:spacing w:val="-14"/>
        </w:rPr>
        <w:t xml:space="preserve"> </w:t>
      </w:r>
      <w:r>
        <w:t>potential.</w:t>
      </w:r>
    </w:p>
    <w:p w:rsidR="002C1123" w:rsidRDefault="00F22F94">
      <w:pPr>
        <w:pStyle w:val="BodyText"/>
        <w:spacing w:before="2" w:line="249" w:lineRule="auto"/>
        <w:ind w:left="10545" w:right="709"/>
      </w:pPr>
      <w:r>
        <w:t>In</w:t>
      </w:r>
      <w:r>
        <w:rPr>
          <w:spacing w:val="-14"/>
        </w:rPr>
        <w:t xml:space="preserve"> </w:t>
      </w:r>
      <w:r>
        <w:t>Infrastructure</w:t>
      </w:r>
      <w:r>
        <w:rPr>
          <w:spacing w:val="-14"/>
        </w:rPr>
        <w:t xml:space="preserve"> </w:t>
      </w:r>
      <w:r>
        <w:t>NSW’s</w:t>
      </w:r>
      <w:r>
        <w:rPr>
          <w:spacing w:val="-14"/>
        </w:rPr>
        <w:t xml:space="preserve"> </w:t>
      </w:r>
      <w:r>
        <w:t>view,</w:t>
      </w:r>
      <w:r>
        <w:rPr>
          <w:spacing w:val="-14"/>
        </w:rPr>
        <w:t xml:space="preserve"> </w:t>
      </w:r>
      <w:r>
        <w:t>a</w:t>
      </w:r>
      <w:r>
        <w:rPr>
          <w:spacing w:val="-14"/>
        </w:rPr>
        <w:t xml:space="preserve"> </w:t>
      </w:r>
      <w:r>
        <w:t>more</w:t>
      </w:r>
      <w:r>
        <w:rPr>
          <w:spacing w:val="-14"/>
        </w:rPr>
        <w:t xml:space="preserve"> </w:t>
      </w:r>
      <w:r>
        <w:t>fundamental constraint</w:t>
      </w:r>
      <w:r>
        <w:rPr>
          <w:spacing w:val="-11"/>
        </w:rPr>
        <w:t xml:space="preserve"> </w:t>
      </w:r>
      <w:r>
        <w:t>is</w:t>
      </w:r>
      <w:r>
        <w:rPr>
          <w:spacing w:val="-11"/>
        </w:rPr>
        <w:t xml:space="preserve"> </w:t>
      </w:r>
      <w:r>
        <w:t>the</w:t>
      </w:r>
      <w:r>
        <w:rPr>
          <w:spacing w:val="-11"/>
        </w:rPr>
        <w:t xml:space="preserve"> </w:t>
      </w:r>
      <w:r>
        <w:t>connectivity</w:t>
      </w:r>
      <w:r>
        <w:rPr>
          <w:spacing w:val="-11"/>
        </w:rPr>
        <w:t xml:space="preserve"> </w:t>
      </w:r>
      <w:r>
        <w:t>of</w:t>
      </w:r>
      <w:r>
        <w:rPr>
          <w:spacing w:val="-11"/>
        </w:rPr>
        <w:t xml:space="preserve"> </w:t>
      </w:r>
      <w:r>
        <w:t>Parramatta</w:t>
      </w:r>
      <w:r>
        <w:rPr>
          <w:spacing w:val="-11"/>
        </w:rPr>
        <w:t xml:space="preserve"> </w:t>
      </w:r>
      <w:r>
        <w:t>to</w:t>
      </w:r>
      <w:r>
        <w:rPr>
          <w:spacing w:val="-11"/>
        </w:rPr>
        <w:t xml:space="preserve"> </w:t>
      </w:r>
      <w:r>
        <w:t xml:space="preserve">Global </w:t>
      </w:r>
      <w:r>
        <w:rPr>
          <w:w w:val="95"/>
        </w:rPr>
        <w:t>Sydney,</w:t>
      </w:r>
      <w:r>
        <w:rPr>
          <w:spacing w:val="-11"/>
          <w:w w:val="95"/>
        </w:rPr>
        <w:t xml:space="preserve"> </w:t>
      </w:r>
      <w:r>
        <w:rPr>
          <w:w w:val="95"/>
        </w:rPr>
        <w:t>and,</w:t>
      </w:r>
      <w:r>
        <w:rPr>
          <w:spacing w:val="-11"/>
          <w:w w:val="95"/>
        </w:rPr>
        <w:t xml:space="preserve"> </w:t>
      </w:r>
      <w:r>
        <w:rPr>
          <w:w w:val="95"/>
        </w:rPr>
        <w:t>more</w:t>
      </w:r>
      <w:r>
        <w:rPr>
          <w:spacing w:val="-11"/>
          <w:w w:val="95"/>
        </w:rPr>
        <w:t xml:space="preserve"> </w:t>
      </w:r>
      <w:r>
        <w:rPr>
          <w:w w:val="95"/>
        </w:rPr>
        <w:t>broadly,</w:t>
      </w:r>
      <w:r>
        <w:rPr>
          <w:spacing w:val="-11"/>
          <w:w w:val="95"/>
        </w:rPr>
        <w:t xml:space="preserve"> </w:t>
      </w:r>
      <w:r>
        <w:rPr>
          <w:w w:val="95"/>
        </w:rPr>
        <w:t>Sydney’s</w:t>
      </w:r>
      <w:r>
        <w:rPr>
          <w:spacing w:val="-11"/>
          <w:w w:val="95"/>
        </w:rPr>
        <w:t xml:space="preserve"> </w:t>
      </w:r>
      <w:r>
        <w:rPr>
          <w:w w:val="95"/>
        </w:rPr>
        <w:t>West</w:t>
      </w:r>
      <w:r>
        <w:rPr>
          <w:spacing w:val="-11"/>
          <w:w w:val="95"/>
        </w:rPr>
        <w:t xml:space="preserve"> </w:t>
      </w:r>
      <w:r>
        <w:rPr>
          <w:w w:val="95"/>
        </w:rPr>
        <w:t>to</w:t>
      </w:r>
      <w:r>
        <w:rPr>
          <w:spacing w:val="-11"/>
          <w:w w:val="95"/>
        </w:rPr>
        <w:t xml:space="preserve"> </w:t>
      </w:r>
      <w:r>
        <w:rPr>
          <w:w w:val="95"/>
        </w:rPr>
        <w:t xml:space="preserve">Sydney’s </w:t>
      </w:r>
      <w:r>
        <w:rPr>
          <w:spacing w:val="-2"/>
        </w:rPr>
        <w:t>international</w:t>
      </w:r>
      <w:r>
        <w:rPr>
          <w:spacing w:val="-6"/>
        </w:rPr>
        <w:t xml:space="preserve"> </w:t>
      </w:r>
      <w:r>
        <w:rPr>
          <w:spacing w:val="-2"/>
        </w:rPr>
        <w:t>gateways.</w:t>
      </w:r>
      <w:r>
        <w:rPr>
          <w:spacing w:val="-6"/>
        </w:rPr>
        <w:t xml:space="preserve"> </w:t>
      </w:r>
      <w:r>
        <w:rPr>
          <w:spacing w:val="-2"/>
        </w:rPr>
        <w:t>Measures</w:t>
      </w:r>
      <w:r>
        <w:rPr>
          <w:spacing w:val="-6"/>
        </w:rPr>
        <w:t xml:space="preserve"> </w:t>
      </w:r>
      <w:r>
        <w:rPr>
          <w:spacing w:val="-2"/>
        </w:rPr>
        <w:t>to</w:t>
      </w:r>
      <w:r>
        <w:rPr>
          <w:spacing w:val="-6"/>
        </w:rPr>
        <w:t xml:space="preserve"> </w:t>
      </w:r>
      <w:r>
        <w:rPr>
          <w:spacing w:val="-2"/>
        </w:rPr>
        <w:t>improve</w:t>
      </w:r>
      <w:r>
        <w:rPr>
          <w:spacing w:val="-6"/>
        </w:rPr>
        <w:t xml:space="preserve"> </w:t>
      </w:r>
      <w:r>
        <w:rPr>
          <w:spacing w:val="-2"/>
        </w:rPr>
        <w:t>this</w:t>
      </w:r>
      <w:r>
        <w:rPr>
          <w:spacing w:val="-6"/>
        </w:rPr>
        <w:t xml:space="preserve"> </w:t>
      </w:r>
      <w:r>
        <w:rPr>
          <w:spacing w:val="-2"/>
        </w:rPr>
        <w:t xml:space="preserve">are </w:t>
      </w:r>
      <w:r>
        <w:t>considered in Sections 6 and 8.</w:t>
      </w:r>
    </w:p>
    <w:p w:rsidR="002C1123" w:rsidRDefault="00F22F94">
      <w:pPr>
        <w:pStyle w:val="BodyText"/>
        <w:spacing w:before="146" w:line="249" w:lineRule="auto"/>
        <w:ind w:left="10545" w:right="895"/>
      </w:pPr>
      <w:r>
        <w:rPr>
          <w:w w:val="95"/>
        </w:rPr>
        <w:t>However,</w:t>
      </w:r>
      <w:r>
        <w:rPr>
          <w:spacing w:val="-10"/>
          <w:w w:val="95"/>
        </w:rPr>
        <w:t xml:space="preserve"> </w:t>
      </w:r>
      <w:r>
        <w:rPr>
          <w:w w:val="95"/>
        </w:rPr>
        <w:t>Infrastructure</w:t>
      </w:r>
      <w:r>
        <w:rPr>
          <w:spacing w:val="-10"/>
          <w:w w:val="95"/>
        </w:rPr>
        <w:t xml:space="preserve"> </w:t>
      </w:r>
      <w:r>
        <w:rPr>
          <w:w w:val="95"/>
        </w:rPr>
        <w:t>NSW</w:t>
      </w:r>
      <w:r>
        <w:rPr>
          <w:spacing w:val="-10"/>
          <w:w w:val="95"/>
        </w:rPr>
        <w:t xml:space="preserve"> </w:t>
      </w:r>
      <w:r>
        <w:rPr>
          <w:w w:val="95"/>
        </w:rPr>
        <w:t>does</w:t>
      </w:r>
      <w:r>
        <w:rPr>
          <w:spacing w:val="-10"/>
          <w:w w:val="95"/>
        </w:rPr>
        <w:t xml:space="preserve"> </w:t>
      </w:r>
      <w:r>
        <w:rPr>
          <w:w w:val="95"/>
        </w:rPr>
        <w:t>recommend</w:t>
      </w:r>
      <w:r>
        <w:rPr>
          <w:spacing w:val="-10"/>
          <w:w w:val="95"/>
        </w:rPr>
        <w:t xml:space="preserve"> </w:t>
      </w:r>
      <w:r>
        <w:rPr>
          <w:w w:val="95"/>
        </w:rPr>
        <w:t xml:space="preserve">action </w:t>
      </w:r>
      <w:r>
        <w:rPr>
          <w:spacing w:val="-2"/>
        </w:rPr>
        <w:t>to</w:t>
      </w:r>
      <w:r>
        <w:rPr>
          <w:spacing w:val="-10"/>
        </w:rPr>
        <w:t xml:space="preserve"> </w:t>
      </w:r>
      <w:r>
        <w:rPr>
          <w:spacing w:val="-2"/>
        </w:rPr>
        <w:t>address</w:t>
      </w:r>
      <w:r>
        <w:rPr>
          <w:spacing w:val="-10"/>
        </w:rPr>
        <w:t xml:space="preserve"> </w:t>
      </w:r>
      <w:r>
        <w:rPr>
          <w:spacing w:val="-2"/>
        </w:rPr>
        <w:t>the</w:t>
      </w:r>
      <w:r>
        <w:rPr>
          <w:spacing w:val="-10"/>
        </w:rPr>
        <w:t xml:space="preserve"> </w:t>
      </w:r>
      <w:r>
        <w:rPr>
          <w:spacing w:val="-2"/>
        </w:rPr>
        <w:t>underlying</w:t>
      </w:r>
      <w:r>
        <w:rPr>
          <w:spacing w:val="-10"/>
        </w:rPr>
        <w:t xml:space="preserve"> </w:t>
      </w:r>
      <w:r>
        <w:rPr>
          <w:spacing w:val="-2"/>
        </w:rPr>
        <w:t>problem</w:t>
      </w:r>
      <w:r>
        <w:rPr>
          <w:spacing w:val="-10"/>
        </w:rPr>
        <w:t xml:space="preserve"> </w:t>
      </w:r>
      <w:r>
        <w:rPr>
          <w:spacing w:val="-2"/>
        </w:rPr>
        <w:t>–</w:t>
      </w:r>
      <w:r>
        <w:rPr>
          <w:spacing w:val="-10"/>
        </w:rPr>
        <w:t xml:space="preserve"> </w:t>
      </w:r>
      <w:r>
        <w:rPr>
          <w:spacing w:val="-2"/>
        </w:rPr>
        <w:t>that</w:t>
      </w:r>
      <w:r>
        <w:rPr>
          <w:spacing w:val="-10"/>
        </w:rPr>
        <w:t xml:space="preserve"> </w:t>
      </w:r>
      <w:r>
        <w:rPr>
          <w:spacing w:val="-2"/>
        </w:rPr>
        <w:t>is,</w:t>
      </w:r>
      <w:r>
        <w:rPr>
          <w:spacing w:val="-10"/>
        </w:rPr>
        <w:t xml:space="preserve"> </w:t>
      </w:r>
      <w:r>
        <w:rPr>
          <w:spacing w:val="-2"/>
        </w:rPr>
        <w:t>the</w:t>
      </w:r>
      <w:r>
        <w:rPr>
          <w:spacing w:val="-10"/>
        </w:rPr>
        <w:t xml:space="preserve"> </w:t>
      </w:r>
      <w:r>
        <w:rPr>
          <w:spacing w:val="-2"/>
        </w:rPr>
        <w:t>slow,</w:t>
      </w:r>
    </w:p>
    <w:p w:rsidR="002C1123" w:rsidRDefault="00F22F94">
      <w:pPr>
        <w:pStyle w:val="BodyText"/>
        <w:spacing w:before="2" w:line="249" w:lineRule="auto"/>
        <w:ind w:left="10545" w:right="709"/>
      </w:pPr>
      <w:r>
        <w:rPr>
          <w:w w:val="95"/>
        </w:rPr>
        <w:t>indirect</w:t>
      </w:r>
      <w:r>
        <w:rPr>
          <w:spacing w:val="-5"/>
          <w:w w:val="95"/>
        </w:rPr>
        <w:t xml:space="preserve"> </w:t>
      </w:r>
      <w:r>
        <w:rPr>
          <w:w w:val="95"/>
        </w:rPr>
        <w:t>and/or</w:t>
      </w:r>
      <w:r>
        <w:rPr>
          <w:spacing w:val="-5"/>
          <w:w w:val="95"/>
        </w:rPr>
        <w:t xml:space="preserve"> </w:t>
      </w:r>
      <w:r>
        <w:rPr>
          <w:w w:val="95"/>
        </w:rPr>
        <w:t>infrequent</w:t>
      </w:r>
      <w:r>
        <w:rPr>
          <w:spacing w:val="-5"/>
          <w:w w:val="95"/>
        </w:rPr>
        <w:t xml:space="preserve"> </w:t>
      </w:r>
      <w:r>
        <w:rPr>
          <w:w w:val="95"/>
        </w:rPr>
        <w:t>bus</w:t>
      </w:r>
      <w:r>
        <w:rPr>
          <w:spacing w:val="-5"/>
          <w:w w:val="95"/>
        </w:rPr>
        <w:t xml:space="preserve"> </w:t>
      </w:r>
      <w:r>
        <w:rPr>
          <w:w w:val="95"/>
        </w:rPr>
        <w:t>services</w:t>
      </w:r>
      <w:r>
        <w:rPr>
          <w:spacing w:val="-5"/>
          <w:w w:val="95"/>
        </w:rPr>
        <w:t xml:space="preserve"> </w:t>
      </w:r>
      <w:r>
        <w:rPr>
          <w:w w:val="95"/>
        </w:rPr>
        <w:t>north</w:t>
      </w:r>
      <w:r>
        <w:rPr>
          <w:spacing w:val="-5"/>
          <w:w w:val="95"/>
        </w:rPr>
        <w:t xml:space="preserve"> </w:t>
      </w:r>
      <w:r>
        <w:rPr>
          <w:w w:val="95"/>
        </w:rPr>
        <w:t>and</w:t>
      </w:r>
      <w:r>
        <w:rPr>
          <w:spacing w:val="-5"/>
          <w:w w:val="95"/>
        </w:rPr>
        <w:t xml:space="preserve"> </w:t>
      </w:r>
      <w:r>
        <w:rPr>
          <w:w w:val="95"/>
        </w:rPr>
        <w:t>south</w:t>
      </w:r>
      <w:r>
        <w:rPr>
          <w:spacing w:val="-5"/>
          <w:w w:val="95"/>
        </w:rPr>
        <w:t xml:space="preserve"> </w:t>
      </w:r>
      <w:r>
        <w:rPr>
          <w:w w:val="95"/>
        </w:rPr>
        <w:t xml:space="preserve">of Parramatta. For example, from Bankstown or Castle Hill </w:t>
      </w:r>
      <w:r>
        <w:t>to</w:t>
      </w:r>
      <w:r>
        <w:rPr>
          <w:spacing w:val="-14"/>
        </w:rPr>
        <w:t xml:space="preserve"> </w:t>
      </w:r>
      <w:r>
        <w:t>Parramatta,</w:t>
      </w:r>
      <w:r>
        <w:rPr>
          <w:spacing w:val="-14"/>
        </w:rPr>
        <w:t xml:space="preserve"> </w:t>
      </w:r>
      <w:r>
        <w:t>bus</w:t>
      </w:r>
      <w:r>
        <w:rPr>
          <w:spacing w:val="-14"/>
        </w:rPr>
        <w:t xml:space="preserve"> </w:t>
      </w:r>
      <w:r>
        <w:t>times</w:t>
      </w:r>
      <w:r>
        <w:rPr>
          <w:spacing w:val="-14"/>
        </w:rPr>
        <w:t xml:space="preserve"> </w:t>
      </w:r>
      <w:r>
        <w:t>are</w:t>
      </w:r>
      <w:r>
        <w:rPr>
          <w:spacing w:val="-14"/>
        </w:rPr>
        <w:t xml:space="preserve"> </w:t>
      </w:r>
      <w:r>
        <w:t>around</w:t>
      </w:r>
      <w:r>
        <w:rPr>
          <w:spacing w:val="-14"/>
        </w:rPr>
        <w:t xml:space="preserve"> </w:t>
      </w:r>
      <w:r>
        <w:t>about</w:t>
      </w:r>
      <w:r>
        <w:rPr>
          <w:spacing w:val="-14"/>
        </w:rPr>
        <w:t xml:space="preserve"> </w:t>
      </w:r>
      <w:r>
        <w:t>60</w:t>
      </w:r>
      <w:r>
        <w:rPr>
          <w:spacing w:val="-14"/>
        </w:rPr>
        <w:t xml:space="preserve"> </w:t>
      </w:r>
      <w:r>
        <w:t xml:space="preserve">minutes </w:t>
      </w:r>
      <w:r>
        <w:rPr>
          <w:spacing w:val="-2"/>
        </w:rPr>
        <w:t>(including</w:t>
      </w:r>
      <w:r>
        <w:rPr>
          <w:spacing w:val="-9"/>
        </w:rPr>
        <w:t xml:space="preserve"> </w:t>
      </w:r>
      <w:r>
        <w:rPr>
          <w:spacing w:val="-2"/>
        </w:rPr>
        <w:t>waiting</w:t>
      </w:r>
      <w:r>
        <w:rPr>
          <w:spacing w:val="-9"/>
        </w:rPr>
        <w:t xml:space="preserve"> </w:t>
      </w:r>
      <w:r>
        <w:rPr>
          <w:spacing w:val="-2"/>
        </w:rPr>
        <w:t>time)</w:t>
      </w:r>
      <w:r>
        <w:rPr>
          <w:spacing w:val="-9"/>
        </w:rPr>
        <w:t xml:space="preserve"> </w:t>
      </w:r>
      <w:r>
        <w:rPr>
          <w:spacing w:val="-2"/>
        </w:rPr>
        <w:t>compared</w:t>
      </w:r>
      <w:r>
        <w:rPr>
          <w:spacing w:val="-9"/>
        </w:rPr>
        <w:t xml:space="preserve"> </w:t>
      </w:r>
      <w:r>
        <w:rPr>
          <w:spacing w:val="-2"/>
        </w:rPr>
        <w:t>to</w:t>
      </w:r>
      <w:r>
        <w:rPr>
          <w:spacing w:val="-9"/>
        </w:rPr>
        <w:t xml:space="preserve"> </w:t>
      </w:r>
      <w:r>
        <w:rPr>
          <w:spacing w:val="-2"/>
        </w:rPr>
        <w:t>30</w:t>
      </w:r>
      <w:r>
        <w:rPr>
          <w:spacing w:val="-9"/>
        </w:rPr>
        <w:t xml:space="preserve"> </w:t>
      </w:r>
      <w:r>
        <w:rPr>
          <w:spacing w:val="-2"/>
        </w:rPr>
        <w:t>minutes</w:t>
      </w:r>
      <w:r>
        <w:rPr>
          <w:spacing w:val="-9"/>
        </w:rPr>
        <w:t xml:space="preserve"> </w:t>
      </w:r>
      <w:r>
        <w:rPr>
          <w:spacing w:val="-2"/>
        </w:rPr>
        <w:t>by</w:t>
      </w:r>
      <w:r>
        <w:rPr>
          <w:spacing w:val="-9"/>
        </w:rPr>
        <w:t xml:space="preserve"> </w:t>
      </w:r>
      <w:r>
        <w:rPr>
          <w:spacing w:val="-2"/>
        </w:rPr>
        <w:t>car.</w:t>
      </w:r>
    </w:p>
    <w:p w:rsidR="002C1123" w:rsidRDefault="002C1123">
      <w:pPr>
        <w:pStyle w:val="BodyText"/>
      </w:pPr>
    </w:p>
    <w:p w:rsidR="002C1123" w:rsidRDefault="002060EF">
      <w:pPr>
        <w:pStyle w:val="BodyText"/>
        <w:spacing w:before="6"/>
        <w:rPr>
          <w:sz w:val="12"/>
        </w:rPr>
      </w:pPr>
      <w:r>
        <w:pict>
          <v:shape id="docshape1401" o:spid="_x0000_s3822" style="position:absolute;margin-left:552.3pt;margin-top:8.4pt;width:1in;height:.1pt;z-index:-251377664;mso-wrap-distance-left:0;mso-wrap-distance-right:0;mso-position-horizontal-relative:page" coordorigin="11046,168" coordsize="1440,0" path="m11046,168r1440,e" filled="f" strokecolor="#9c9c9d" strokeweight=".5pt">
            <v:path arrowok="t"/>
            <w10:wrap type="topAndBottom" anchorx="page"/>
          </v:shape>
        </w:pict>
      </w:r>
    </w:p>
    <w:p w:rsidR="002C1123" w:rsidRDefault="00F22F94">
      <w:pPr>
        <w:spacing w:before="23"/>
        <w:ind w:left="10545"/>
        <w:rPr>
          <w:sz w:val="14"/>
        </w:rPr>
      </w:pPr>
      <w:r>
        <w:rPr>
          <w:w w:val="95"/>
          <w:sz w:val="14"/>
        </w:rPr>
        <w:t>18</w:t>
      </w:r>
      <w:r>
        <w:rPr>
          <w:spacing w:val="20"/>
          <w:sz w:val="14"/>
        </w:rPr>
        <w:t xml:space="preserve"> </w:t>
      </w:r>
      <w:r>
        <w:rPr>
          <w:w w:val="95"/>
          <w:sz w:val="14"/>
        </w:rPr>
        <w:t>Parramatta</w:t>
      </w:r>
      <w:r>
        <w:rPr>
          <w:spacing w:val="-1"/>
          <w:w w:val="95"/>
          <w:sz w:val="14"/>
        </w:rPr>
        <w:t xml:space="preserve"> </w:t>
      </w:r>
      <w:r>
        <w:rPr>
          <w:w w:val="95"/>
          <w:sz w:val="14"/>
        </w:rPr>
        <w:t>City</w:t>
      </w:r>
      <w:r>
        <w:rPr>
          <w:spacing w:val="-1"/>
          <w:w w:val="95"/>
          <w:sz w:val="14"/>
        </w:rPr>
        <w:t xml:space="preserve"> </w:t>
      </w:r>
      <w:r>
        <w:rPr>
          <w:w w:val="95"/>
          <w:sz w:val="14"/>
        </w:rPr>
        <w:t>Council</w:t>
      </w:r>
      <w:r>
        <w:rPr>
          <w:spacing w:val="-1"/>
          <w:w w:val="95"/>
          <w:sz w:val="14"/>
        </w:rPr>
        <w:t xml:space="preserve"> </w:t>
      </w:r>
      <w:r>
        <w:rPr>
          <w:w w:val="95"/>
          <w:sz w:val="14"/>
        </w:rPr>
        <w:t>2012,</w:t>
      </w:r>
      <w:r>
        <w:rPr>
          <w:spacing w:val="-1"/>
          <w:w w:val="95"/>
          <w:sz w:val="14"/>
        </w:rPr>
        <w:t xml:space="preserve"> </w:t>
      </w:r>
      <w:r>
        <w:rPr>
          <w:w w:val="95"/>
          <w:sz w:val="14"/>
        </w:rPr>
        <w:t>Western</w:t>
      </w:r>
      <w:r>
        <w:rPr>
          <w:spacing w:val="-1"/>
          <w:w w:val="95"/>
          <w:sz w:val="14"/>
        </w:rPr>
        <w:t xml:space="preserve"> </w:t>
      </w:r>
      <w:r>
        <w:rPr>
          <w:w w:val="95"/>
          <w:sz w:val="14"/>
        </w:rPr>
        <w:t>Sydney</w:t>
      </w:r>
      <w:r>
        <w:rPr>
          <w:spacing w:val="-1"/>
          <w:w w:val="95"/>
          <w:sz w:val="14"/>
        </w:rPr>
        <w:t xml:space="preserve"> </w:t>
      </w:r>
      <w:r>
        <w:rPr>
          <w:w w:val="95"/>
          <w:sz w:val="14"/>
        </w:rPr>
        <w:t>Light</w:t>
      </w:r>
      <w:r>
        <w:rPr>
          <w:spacing w:val="-1"/>
          <w:w w:val="95"/>
          <w:sz w:val="14"/>
        </w:rPr>
        <w:t xml:space="preserve"> </w:t>
      </w:r>
      <w:r>
        <w:rPr>
          <w:w w:val="95"/>
          <w:sz w:val="14"/>
        </w:rPr>
        <w:t>Railway</w:t>
      </w:r>
      <w:r>
        <w:rPr>
          <w:spacing w:val="-2"/>
          <w:sz w:val="14"/>
        </w:rPr>
        <w:t xml:space="preserve"> </w:t>
      </w:r>
      <w:r>
        <w:rPr>
          <w:spacing w:val="-2"/>
          <w:w w:val="95"/>
          <w:sz w:val="14"/>
        </w:rPr>
        <w:t>Network.</w:t>
      </w:r>
    </w:p>
    <w:p w:rsidR="002C1123" w:rsidRDefault="002C1123">
      <w:pPr>
        <w:rPr>
          <w:sz w:val="14"/>
        </w:rPr>
        <w:sectPr w:rsidR="002C1123">
          <w:pgSz w:w="16840" w:h="11910" w:orient="landscape"/>
          <w:pgMar w:top="560" w:right="280" w:bottom="700" w:left="500" w:header="0" w:footer="517"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BodyText"/>
        <w:spacing w:before="106" w:line="249" w:lineRule="auto"/>
        <w:ind w:left="492"/>
      </w:pPr>
      <w:bookmarkStart w:id="205" w:name="7.7_Conclusions"/>
      <w:bookmarkStart w:id="206" w:name="_bookmark148"/>
      <w:bookmarkStart w:id="207" w:name="_bookmark147"/>
      <w:bookmarkEnd w:id="205"/>
      <w:bookmarkEnd w:id="206"/>
      <w:bookmarkEnd w:id="207"/>
      <w:r>
        <w:t>The</w:t>
      </w:r>
      <w:r>
        <w:rPr>
          <w:spacing w:val="-14"/>
        </w:rPr>
        <w:t xml:space="preserve"> </w:t>
      </w:r>
      <w:r>
        <w:t>priority</w:t>
      </w:r>
      <w:r>
        <w:rPr>
          <w:spacing w:val="-14"/>
        </w:rPr>
        <w:t xml:space="preserve"> </w:t>
      </w:r>
      <w:r>
        <w:t>should</w:t>
      </w:r>
      <w:r>
        <w:rPr>
          <w:spacing w:val="-14"/>
        </w:rPr>
        <w:t xml:space="preserve"> </w:t>
      </w:r>
      <w:r>
        <w:t>be</w:t>
      </w:r>
      <w:r>
        <w:rPr>
          <w:spacing w:val="-14"/>
        </w:rPr>
        <w:t xml:space="preserve"> </w:t>
      </w:r>
      <w:r>
        <w:t>to</w:t>
      </w:r>
      <w:r>
        <w:rPr>
          <w:spacing w:val="-14"/>
        </w:rPr>
        <w:t xml:space="preserve"> </w:t>
      </w:r>
      <w:r>
        <w:t>address</w:t>
      </w:r>
      <w:r>
        <w:rPr>
          <w:spacing w:val="-14"/>
        </w:rPr>
        <w:t xml:space="preserve"> </w:t>
      </w:r>
      <w:r>
        <w:t>these</w:t>
      </w:r>
      <w:r>
        <w:rPr>
          <w:spacing w:val="-14"/>
        </w:rPr>
        <w:t xml:space="preserve"> </w:t>
      </w:r>
      <w:r>
        <w:t>travel</w:t>
      </w:r>
      <w:r>
        <w:rPr>
          <w:spacing w:val="-14"/>
        </w:rPr>
        <w:t xml:space="preserve"> </w:t>
      </w:r>
      <w:r>
        <w:t>issues</w:t>
      </w:r>
      <w:r>
        <w:rPr>
          <w:spacing w:val="-14"/>
        </w:rPr>
        <w:t xml:space="preserve"> </w:t>
      </w:r>
      <w:r>
        <w:t xml:space="preserve">by </w:t>
      </w:r>
      <w:r>
        <w:rPr>
          <w:w w:val="95"/>
        </w:rPr>
        <w:t>re-routing</w:t>
      </w:r>
      <w:r>
        <w:rPr>
          <w:spacing w:val="-3"/>
          <w:w w:val="95"/>
        </w:rPr>
        <w:t xml:space="preserve"> </w:t>
      </w:r>
      <w:r>
        <w:rPr>
          <w:w w:val="95"/>
        </w:rPr>
        <w:t>bus</w:t>
      </w:r>
      <w:r>
        <w:rPr>
          <w:spacing w:val="-3"/>
          <w:w w:val="95"/>
        </w:rPr>
        <w:t xml:space="preserve"> </w:t>
      </w:r>
      <w:r>
        <w:rPr>
          <w:w w:val="95"/>
        </w:rPr>
        <w:t>services</w:t>
      </w:r>
      <w:r>
        <w:rPr>
          <w:spacing w:val="-3"/>
          <w:w w:val="95"/>
        </w:rPr>
        <w:t xml:space="preserve"> </w:t>
      </w:r>
      <w:r>
        <w:rPr>
          <w:w w:val="95"/>
        </w:rPr>
        <w:t>to</w:t>
      </w:r>
      <w:r>
        <w:rPr>
          <w:spacing w:val="-3"/>
          <w:w w:val="95"/>
        </w:rPr>
        <w:t xml:space="preserve"> </w:t>
      </w:r>
      <w:r>
        <w:rPr>
          <w:w w:val="95"/>
        </w:rPr>
        <w:t>follow</w:t>
      </w:r>
      <w:r>
        <w:rPr>
          <w:spacing w:val="-3"/>
          <w:w w:val="95"/>
        </w:rPr>
        <w:t xml:space="preserve"> </w:t>
      </w:r>
      <w:r>
        <w:rPr>
          <w:w w:val="95"/>
        </w:rPr>
        <w:t>a</w:t>
      </w:r>
      <w:r>
        <w:rPr>
          <w:spacing w:val="-3"/>
          <w:w w:val="95"/>
        </w:rPr>
        <w:t xml:space="preserve"> </w:t>
      </w:r>
      <w:r>
        <w:rPr>
          <w:w w:val="95"/>
        </w:rPr>
        <w:t>more</w:t>
      </w:r>
      <w:r>
        <w:rPr>
          <w:spacing w:val="-3"/>
          <w:w w:val="95"/>
        </w:rPr>
        <w:t xml:space="preserve"> </w:t>
      </w:r>
      <w:r>
        <w:rPr>
          <w:w w:val="95"/>
        </w:rPr>
        <w:t>direct</w:t>
      </w:r>
      <w:r>
        <w:rPr>
          <w:spacing w:val="-3"/>
          <w:w w:val="95"/>
        </w:rPr>
        <w:t xml:space="preserve"> </w:t>
      </w:r>
      <w:r>
        <w:rPr>
          <w:w w:val="95"/>
        </w:rPr>
        <w:t>route,</w:t>
      </w:r>
      <w:r>
        <w:rPr>
          <w:spacing w:val="-3"/>
          <w:w w:val="95"/>
        </w:rPr>
        <w:t xml:space="preserve"> </w:t>
      </w:r>
      <w:r>
        <w:rPr>
          <w:w w:val="95"/>
        </w:rPr>
        <w:t>with less</w:t>
      </w:r>
      <w:r>
        <w:rPr>
          <w:spacing w:val="-10"/>
          <w:w w:val="95"/>
        </w:rPr>
        <w:t xml:space="preserve"> </w:t>
      </w:r>
      <w:r>
        <w:rPr>
          <w:w w:val="95"/>
        </w:rPr>
        <w:t>frequent</w:t>
      </w:r>
      <w:r>
        <w:rPr>
          <w:spacing w:val="-10"/>
          <w:w w:val="95"/>
        </w:rPr>
        <w:t xml:space="preserve"> </w:t>
      </w:r>
      <w:r>
        <w:rPr>
          <w:w w:val="95"/>
        </w:rPr>
        <w:t>stops</w:t>
      </w:r>
      <w:r>
        <w:rPr>
          <w:spacing w:val="-10"/>
          <w:w w:val="95"/>
        </w:rPr>
        <w:t xml:space="preserve"> </w:t>
      </w:r>
      <w:r>
        <w:rPr>
          <w:w w:val="95"/>
        </w:rPr>
        <w:t>(i.e.</w:t>
      </w:r>
      <w:r>
        <w:rPr>
          <w:spacing w:val="-10"/>
          <w:w w:val="95"/>
        </w:rPr>
        <w:t xml:space="preserve"> </w:t>
      </w:r>
      <w:r>
        <w:rPr>
          <w:w w:val="95"/>
        </w:rPr>
        <w:t>operating</w:t>
      </w:r>
      <w:r>
        <w:rPr>
          <w:spacing w:val="-10"/>
          <w:w w:val="95"/>
        </w:rPr>
        <w:t xml:space="preserve"> </w:t>
      </w:r>
      <w:r>
        <w:rPr>
          <w:w w:val="95"/>
        </w:rPr>
        <w:t>more</w:t>
      </w:r>
      <w:r>
        <w:rPr>
          <w:spacing w:val="-10"/>
          <w:w w:val="95"/>
        </w:rPr>
        <w:t xml:space="preserve"> </w:t>
      </w:r>
      <w:r>
        <w:rPr>
          <w:w w:val="95"/>
        </w:rPr>
        <w:t>like</w:t>
      </w:r>
      <w:r>
        <w:rPr>
          <w:spacing w:val="-10"/>
          <w:w w:val="95"/>
        </w:rPr>
        <w:t xml:space="preserve"> </w:t>
      </w:r>
      <w:r>
        <w:rPr>
          <w:w w:val="95"/>
        </w:rPr>
        <w:t>light</w:t>
      </w:r>
      <w:r>
        <w:rPr>
          <w:spacing w:val="-10"/>
          <w:w w:val="95"/>
        </w:rPr>
        <w:t xml:space="preserve"> </w:t>
      </w:r>
      <w:r>
        <w:rPr>
          <w:w w:val="95"/>
        </w:rPr>
        <w:t>rail),</w:t>
      </w:r>
      <w:r>
        <w:rPr>
          <w:spacing w:val="-10"/>
          <w:w w:val="95"/>
        </w:rPr>
        <w:t xml:space="preserve"> </w:t>
      </w:r>
      <w:r>
        <w:rPr>
          <w:w w:val="95"/>
        </w:rPr>
        <w:t xml:space="preserve">and </w:t>
      </w:r>
      <w:r>
        <w:t>then</w:t>
      </w:r>
      <w:r>
        <w:rPr>
          <w:spacing w:val="-9"/>
        </w:rPr>
        <w:t xml:space="preserve"> </w:t>
      </w:r>
      <w:r>
        <w:t>improving</w:t>
      </w:r>
      <w:r>
        <w:rPr>
          <w:spacing w:val="-9"/>
        </w:rPr>
        <w:t xml:space="preserve"> </w:t>
      </w:r>
      <w:r>
        <w:t>speeds</w:t>
      </w:r>
      <w:r>
        <w:rPr>
          <w:spacing w:val="-9"/>
        </w:rPr>
        <w:t xml:space="preserve"> </w:t>
      </w:r>
      <w:r>
        <w:t>through</w:t>
      </w:r>
      <w:r>
        <w:rPr>
          <w:spacing w:val="-9"/>
        </w:rPr>
        <w:t xml:space="preserve"> </w:t>
      </w:r>
      <w:r>
        <w:t>bus</w:t>
      </w:r>
      <w:r>
        <w:rPr>
          <w:spacing w:val="-9"/>
        </w:rPr>
        <w:t xml:space="preserve"> </w:t>
      </w:r>
      <w:r>
        <w:t>priority</w:t>
      </w:r>
      <w:r>
        <w:rPr>
          <w:spacing w:val="-9"/>
        </w:rPr>
        <w:t xml:space="preserve"> </w:t>
      </w:r>
      <w:r>
        <w:t>measures.</w:t>
      </w:r>
    </w:p>
    <w:p w:rsidR="002C1123" w:rsidRDefault="00F22F94">
      <w:pPr>
        <w:pStyle w:val="BodyText"/>
        <w:spacing w:before="145" w:line="249" w:lineRule="auto"/>
        <w:ind w:left="492" w:right="151"/>
      </w:pPr>
      <w:r>
        <w:t>Additionally</w:t>
      </w:r>
      <w:r>
        <w:rPr>
          <w:spacing w:val="-14"/>
        </w:rPr>
        <w:t xml:space="preserve"> </w:t>
      </w:r>
      <w:r>
        <w:t>there</w:t>
      </w:r>
      <w:r>
        <w:rPr>
          <w:spacing w:val="-14"/>
        </w:rPr>
        <w:t xml:space="preserve"> </w:t>
      </w:r>
      <w:r>
        <w:t>is</w:t>
      </w:r>
      <w:r>
        <w:rPr>
          <w:spacing w:val="-14"/>
        </w:rPr>
        <w:t xml:space="preserve"> </w:t>
      </w:r>
      <w:r>
        <w:t>the</w:t>
      </w:r>
      <w:r>
        <w:rPr>
          <w:spacing w:val="-13"/>
        </w:rPr>
        <w:t xml:space="preserve"> </w:t>
      </w:r>
      <w:r>
        <w:t>potential</w:t>
      </w:r>
      <w:r>
        <w:rPr>
          <w:spacing w:val="-14"/>
        </w:rPr>
        <w:t xml:space="preserve"> </w:t>
      </w:r>
      <w:r>
        <w:t>to</w:t>
      </w:r>
      <w:r>
        <w:rPr>
          <w:spacing w:val="-14"/>
        </w:rPr>
        <w:t xml:space="preserve"> </w:t>
      </w:r>
      <w:r>
        <w:t>improve</w:t>
      </w:r>
      <w:r>
        <w:rPr>
          <w:spacing w:val="-14"/>
        </w:rPr>
        <w:t xml:space="preserve"> </w:t>
      </w:r>
      <w:r>
        <w:t xml:space="preserve">cross </w:t>
      </w:r>
      <w:r>
        <w:rPr>
          <w:w w:val="95"/>
        </w:rPr>
        <w:t>suburb connectivity,</w:t>
      </w:r>
      <w:r>
        <w:rPr>
          <w:spacing w:val="-1"/>
          <w:w w:val="95"/>
        </w:rPr>
        <w:t xml:space="preserve"> </w:t>
      </w:r>
      <w:r>
        <w:rPr>
          <w:w w:val="95"/>
        </w:rPr>
        <w:t>by joining</w:t>
      </w:r>
      <w:r>
        <w:rPr>
          <w:spacing w:val="-1"/>
          <w:w w:val="95"/>
        </w:rPr>
        <w:t xml:space="preserve"> </w:t>
      </w:r>
      <w:r>
        <w:rPr>
          <w:w w:val="95"/>
        </w:rPr>
        <w:t>routes north</w:t>
      </w:r>
      <w:r>
        <w:rPr>
          <w:spacing w:val="-1"/>
          <w:w w:val="95"/>
        </w:rPr>
        <w:t xml:space="preserve"> </w:t>
      </w:r>
      <w:r>
        <w:rPr>
          <w:w w:val="95"/>
        </w:rPr>
        <w:t xml:space="preserve">and south </w:t>
      </w:r>
      <w:r>
        <w:rPr>
          <w:spacing w:val="-2"/>
        </w:rPr>
        <w:t>of</w:t>
      </w:r>
      <w:r>
        <w:rPr>
          <w:spacing w:val="-5"/>
        </w:rPr>
        <w:t xml:space="preserve"> </w:t>
      </w:r>
      <w:r>
        <w:rPr>
          <w:spacing w:val="-2"/>
        </w:rPr>
        <w:t>Parramatta</w:t>
      </w:r>
      <w:r>
        <w:rPr>
          <w:spacing w:val="-5"/>
        </w:rPr>
        <w:t xml:space="preserve"> </w:t>
      </w:r>
      <w:r>
        <w:rPr>
          <w:spacing w:val="-2"/>
        </w:rPr>
        <w:t>together.</w:t>
      </w:r>
      <w:r>
        <w:rPr>
          <w:spacing w:val="-5"/>
        </w:rPr>
        <w:t xml:space="preserve"> </w:t>
      </w:r>
      <w:r>
        <w:rPr>
          <w:spacing w:val="-2"/>
        </w:rPr>
        <w:t>Through-running</w:t>
      </w:r>
      <w:r>
        <w:rPr>
          <w:spacing w:val="-5"/>
        </w:rPr>
        <w:t xml:space="preserve"> </w:t>
      </w:r>
      <w:r>
        <w:rPr>
          <w:spacing w:val="-2"/>
        </w:rPr>
        <w:t>of</w:t>
      </w:r>
      <w:r>
        <w:rPr>
          <w:spacing w:val="-5"/>
        </w:rPr>
        <w:t xml:space="preserve"> </w:t>
      </w:r>
      <w:r>
        <w:rPr>
          <w:spacing w:val="-2"/>
        </w:rPr>
        <w:t xml:space="preserve">services </w:t>
      </w:r>
      <w:r>
        <w:t>through</w:t>
      </w:r>
      <w:r>
        <w:rPr>
          <w:spacing w:val="-12"/>
        </w:rPr>
        <w:t xml:space="preserve"> </w:t>
      </w:r>
      <w:r>
        <w:t>Parramatta</w:t>
      </w:r>
      <w:r>
        <w:rPr>
          <w:spacing w:val="-12"/>
        </w:rPr>
        <w:t xml:space="preserve"> </w:t>
      </w:r>
      <w:r>
        <w:t>in</w:t>
      </w:r>
      <w:r>
        <w:rPr>
          <w:spacing w:val="-12"/>
        </w:rPr>
        <w:t xml:space="preserve"> </w:t>
      </w:r>
      <w:r>
        <w:t>this</w:t>
      </w:r>
      <w:r>
        <w:rPr>
          <w:spacing w:val="-12"/>
        </w:rPr>
        <w:t xml:space="preserve"> </w:t>
      </w:r>
      <w:r>
        <w:t>way</w:t>
      </w:r>
      <w:r>
        <w:rPr>
          <w:spacing w:val="-12"/>
        </w:rPr>
        <w:t xml:space="preserve"> </w:t>
      </w:r>
      <w:r>
        <w:t>will</w:t>
      </w:r>
      <w:r>
        <w:rPr>
          <w:spacing w:val="-12"/>
        </w:rPr>
        <w:t xml:space="preserve"> </w:t>
      </w:r>
      <w:r>
        <w:t>also</w:t>
      </w:r>
      <w:r>
        <w:rPr>
          <w:spacing w:val="-12"/>
        </w:rPr>
        <w:t xml:space="preserve"> </w:t>
      </w:r>
      <w:r>
        <w:t>address</w:t>
      </w:r>
    </w:p>
    <w:p w:rsidR="002C1123" w:rsidRDefault="00F22F94">
      <w:pPr>
        <w:pStyle w:val="BodyText"/>
        <w:spacing w:before="3" w:line="249" w:lineRule="auto"/>
        <w:ind w:left="492" w:right="362"/>
      </w:pPr>
      <w:r>
        <w:rPr>
          <w:w w:val="95"/>
        </w:rPr>
        <w:t>the congestion caused by the current approach of terminating</w:t>
      </w:r>
      <w:r>
        <w:rPr>
          <w:spacing w:val="-9"/>
          <w:w w:val="95"/>
        </w:rPr>
        <w:t xml:space="preserve"> </w:t>
      </w:r>
      <w:r>
        <w:rPr>
          <w:w w:val="95"/>
        </w:rPr>
        <w:t>all</w:t>
      </w:r>
      <w:r>
        <w:rPr>
          <w:spacing w:val="-9"/>
          <w:w w:val="95"/>
        </w:rPr>
        <w:t xml:space="preserve"> </w:t>
      </w:r>
      <w:r>
        <w:rPr>
          <w:w w:val="95"/>
        </w:rPr>
        <w:t>services</w:t>
      </w:r>
      <w:r>
        <w:rPr>
          <w:spacing w:val="-9"/>
          <w:w w:val="95"/>
        </w:rPr>
        <w:t xml:space="preserve"> </w:t>
      </w:r>
      <w:r>
        <w:rPr>
          <w:w w:val="95"/>
        </w:rPr>
        <w:t>at</w:t>
      </w:r>
      <w:r>
        <w:rPr>
          <w:spacing w:val="-9"/>
          <w:w w:val="95"/>
        </w:rPr>
        <w:t xml:space="preserve"> </w:t>
      </w:r>
      <w:r>
        <w:rPr>
          <w:w w:val="95"/>
        </w:rPr>
        <w:t>Parramatta</w:t>
      </w:r>
      <w:r>
        <w:rPr>
          <w:spacing w:val="-9"/>
          <w:w w:val="95"/>
        </w:rPr>
        <w:t xml:space="preserve"> </w:t>
      </w:r>
      <w:r>
        <w:rPr>
          <w:spacing w:val="-2"/>
          <w:w w:val="95"/>
        </w:rPr>
        <w:t>interchange.</w:t>
      </w:r>
    </w:p>
    <w:p w:rsidR="002C1123" w:rsidRDefault="00F22F94">
      <w:pPr>
        <w:pStyle w:val="BodyText"/>
        <w:spacing w:before="144" w:line="249" w:lineRule="auto"/>
        <w:ind w:left="492" w:right="362"/>
      </w:pPr>
      <w:r>
        <w:rPr>
          <w:spacing w:val="-2"/>
        </w:rPr>
        <w:t>In</w:t>
      </w:r>
      <w:r>
        <w:rPr>
          <w:spacing w:val="-7"/>
        </w:rPr>
        <w:t xml:space="preserve"> </w:t>
      </w:r>
      <w:r>
        <w:rPr>
          <w:spacing w:val="-2"/>
        </w:rPr>
        <w:t>summary,</w:t>
      </w:r>
      <w:r>
        <w:rPr>
          <w:spacing w:val="-7"/>
        </w:rPr>
        <w:t xml:space="preserve"> </w:t>
      </w:r>
      <w:r>
        <w:rPr>
          <w:spacing w:val="-2"/>
        </w:rPr>
        <w:t>whilst</w:t>
      </w:r>
      <w:r>
        <w:rPr>
          <w:spacing w:val="-7"/>
        </w:rPr>
        <w:t xml:space="preserve"> </w:t>
      </w:r>
      <w:r>
        <w:rPr>
          <w:spacing w:val="-2"/>
        </w:rPr>
        <w:t>the</w:t>
      </w:r>
      <w:r>
        <w:rPr>
          <w:spacing w:val="-7"/>
        </w:rPr>
        <w:t xml:space="preserve"> </w:t>
      </w:r>
      <w:r>
        <w:rPr>
          <w:spacing w:val="-2"/>
        </w:rPr>
        <w:t>Western</w:t>
      </w:r>
      <w:r>
        <w:rPr>
          <w:spacing w:val="-7"/>
        </w:rPr>
        <w:t xml:space="preserve"> </w:t>
      </w:r>
      <w:r>
        <w:rPr>
          <w:spacing w:val="-2"/>
        </w:rPr>
        <w:t>Sydney</w:t>
      </w:r>
      <w:r>
        <w:rPr>
          <w:spacing w:val="-7"/>
        </w:rPr>
        <w:t xml:space="preserve"> </w:t>
      </w:r>
      <w:r>
        <w:rPr>
          <w:spacing w:val="-2"/>
        </w:rPr>
        <w:t>Light</w:t>
      </w:r>
      <w:r>
        <w:rPr>
          <w:spacing w:val="-7"/>
        </w:rPr>
        <w:t xml:space="preserve"> </w:t>
      </w:r>
      <w:r>
        <w:rPr>
          <w:spacing w:val="-2"/>
        </w:rPr>
        <w:t xml:space="preserve">Rail </w:t>
      </w:r>
      <w:r>
        <w:t>proposal</w:t>
      </w:r>
      <w:r>
        <w:rPr>
          <w:spacing w:val="-9"/>
        </w:rPr>
        <w:t xml:space="preserve"> </w:t>
      </w:r>
      <w:r>
        <w:t>is</w:t>
      </w:r>
      <w:r>
        <w:rPr>
          <w:spacing w:val="-9"/>
        </w:rPr>
        <w:t xml:space="preserve"> </w:t>
      </w:r>
      <w:r>
        <w:t>based</w:t>
      </w:r>
      <w:r>
        <w:rPr>
          <w:spacing w:val="-9"/>
        </w:rPr>
        <w:t xml:space="preserve"> </w:t>
      </w:r>
      <w:r>
        <w:t>on</w:t>
      </w:r>
      <w:r>
        <w:rPr>
          <w:spacing w:val="-9"/>
        </w:rPr>
        <w:t xml:space="preserve"> </w:t>
      </w:r>
      <w:r>
        <w:t>sound</w:t>
      </w:r>
      <w:r>
        <w:rPr>
          <w:spacing w:val="-9"/>
        </w:rPr>
        <w:t xml:space="preserve"> </w:t>
      </w:r>
      <w:r>
        <w:t>long</w:t>
      </w:r>
      <w:r>
        <w:rPr>
          <w:spacing w:val="-9"/>
        </w:rPr>
        <w:t xml:space="preserve"> </w:t>
      </w:r>
      <w:r>
        <w:t>term</w:t>
      </w:r>
      <w:r>
        <w:rPr>
          <w:spacing w:val="-10"/>
        </w:rPr>
        <w:t xml:space="preserve"> </w:t>
      </w:r>
      <w:r>
        <w:t xml:space="preserve">objectives, </w:t>
      </w:r>
      <w:r>
        <w:rPr>
          <w:w w:val="95"/>
        </w:rPr>
        <w:t>an</w:t>
      </w:r>
      <w:r>
        <w:rPr>
          <w:spacing w:val="-3"/>
          <w:w w:val="95"/>
        </w:rPr>
        <w:t xml:space="preserve"> </w:t>
      </w:r>
      <w:r>
        <w:rPr>
          <w:w w:val="95"/>
        </w:rPr>
        <w:t>immediate</w:t>
      </w:r>
      <w:r>
        <w:rPr>
          <w:spacing w:val="-3"/>
          <w:w w:val="95"/>
        </w:rPr>
        <w:t xml:space="preserve"> </w:t>
      </w:r>
      <w:r>
        <w:rPr>
          <w:w w:val="95"/>
        </w:rPr>
        <w:t>solution</w:t>
      </w:r>
      <w:r>
        <w:rPr>
          <w:spacing w:val="-3"/>
          <w:w w:val="95"/>
        </w:rPr>
        <w:t xml:space="preserve"> </w:t>
      </w:r>
      <w:r>
        <w:rPr>
          <w:w w:val="95"/>
        </w:rPr>
        <w:t>is</w:t>
      </w:r>
      <w:r>
        <w:rPr>
          <w:spacing w:val="-3"/>
          <w:w w:val="95"/>
        </w:rPr>
        <w:t xml:space="preserve"> </w:t>
      </w:r>
      <w:r>
        <w:rPr>
          <w:w w:val="95"/>
        </w:rPr>
        <w:t>the</w:t>
      </w:r>
      <w:r>
        <w:rPr>
          <w:spacing w:val="-3"/>
          <w:w w:val="95"/>
        </w:rPr>
        <w:t xml:space="preserve"> </w:t>
      </w:r>
      <w:r>
        <w:rPr>
          <w:w w:val="95"/>
        </w:rPr>
        <w:t>ongoing</w:t>
      </w:r>
      <w:r>
        <w:rPr>
          <w:spacing w:val="-3"/>
          <w:w w:val="95"/>
        </w:rPr>
        <w:t xml:space="preserve"> </w:t>
      </w:r>
      <w:r>
        <w:rPr>
          <w:w w:val="95"/>
        </w:rPr>
        <w:t xml:space="preserve">enhancement </w:t>
      </w:r>
      <w:r>
        <w:t>of</w:t>
      </w:r>
      <w:r>
        <w:rPr>
          <w:spacing w:val="-8"/>
        </w:rPr>
        <w:t xml:space="preserve"> </w:t>
      </w:r>
      <w:r>
        <w:t>bus</w:t>
      </w:r>
      <w:r>
        <w:rPr>
          <w:spacing w:val="-8"/>
        </w:rPr>
        <w:t xml:space="preserve"> </w:t>
      </w:r>
      <w:r>
        <w:t>services</w:t>
      </w:r>
      <w:r>
        <w:rPr>
          <w:spacing w:val="-8"/>
        </w:rPr>
        <w:t xml:space="preserve"> </w:t>
      </w:r>
      <w:r>
        <w:t>along</w:t>
      </w:r>
      <w:r>
        <w:rPr>
          <w:spacing w:val="-8"/>
        </w:rPr>
        <w:t xml:space="preserve"> </w:t>
      </w:r>
      <w:r>
        <w:t>the</w:t>
      </w:r>
      <w:r>
        <w:rPr>
          <w:spacing w:val="-8"/>
        </w:rPr>
        <w:t xml:space="preserve"> </w:t>
      </w:r>
      <w:r>
        <w:t>identified</w:t>
      </w:r>
      <w:r>
        <w:rPr>
          <w:spacing w:val="-8"/>
        </w:rPr>
        <w:t xml:space="preserve"> </w:t>
      </w:r>
      <w:r>
        <w:t>corridors.</w:t>
      </w:r>
      <w:r>
        <w:rPr>
          <w:spacing w:val="-8"/>
        </w:rPr>
        <w:t xml:space="preserve"> </w:t>
      </w:r>
      <w:r>
        <w:t>By building</w:t>
      </w:r>
      <w:r>
        <w:rPr>
          <w:spacing w:val="-14"/>
        </w:rPr>
        <w:t xml:space="preserve"> </w:t>
      </w:r>
      <w:r>
        <w:t>demand</w:t>
      </w:r>
      <w:r>
        <w:rPr>
          <w:spacing w:val="-14"/>
        </w:rPr>
        <w:t xml:space="preserve"> </w:t>
      </w:r>
      <w:r>
        <w:t>over</w:t>
      </w:r>
      <w:r>
        <w:rPr>
          <w:spacing w:val="-14"/>
        </w:rPr>
        <w:t xml:space="preserve"> </w:t>
      </w:r>
      <w:r>
        <w:t>time,</w:t>
      </w:r>
      <w:r>
        <w:rPr>
          <w:spacing w:val="-14"/>
        </w:rPr>
        <w:t xml:space="preserve"> </w:t>
      </w:r>
      <w:r>
        <w:t>the</w:t>
      </w:r>
      <w:r>
        <w:rPr>
          <w:spacing w:val="-14"/>
        </w:rPr>
        <w:t xml:space="preserve"> </w:t>
      </w:r>
      <w:r>
        <w:t>case</w:t>
      </w:r>
      <w:r>
        <w:rPr>
          <w:spacing w:val="-14"/>
        </w:rPr>
        <w:t xml:space="preserve"> </w:t>
      </w:r>
      <w:r>
        <w:t>for</w:t>
      </w:r>
      <w:r>
        <w:rPr>
          <w:spacing w:val="-14"/>
        </w:rPr>
        <w:t xml:space="preserve"> </w:t>
      </w:r>
      <w:r>
        <w:t>long</w:t>
      </w:r>
      <w:r>
        <w:rPr>
          <w:spacing w:val="-14"/>
        </w:rPr>
        <w:t xml:space="preserve"> </w:t>
      </w:r>
      <w:r>
        <w:t>term</w:t>
      </w:r>
    </w:p>
    <w:p w:rsidR="002C1123" w:rsidRDefault="00F22F94">
      <w:pPr>
        <w:pStyle w:val="BodyText"/>
        <w:spacing w:before="4" w:line="249" w:lineRule="auto"/>
        <w:ind w:left="492"/>
      </w:pPr>
      <w:r>
        <w:rPr>
          <w:w w:val="95"/>
        </w:rPr>
        <w:t>investment</w:t>
      </w:r>
      <w:r>
        <w:rPr>
          <w:spacing w:val="-10"/>
          <w:w w:val="95"/>
        </w:rPr>
        <w:t xml:space="preserve"> </w:t>
      </w:r>
      <w:r>
        <w:rPr>
          <w:w w:val="95"/>
        </w:rPr>
        <w:t>in</w:t>
      </w:r>
      <w:r>
        <w:rPr>
          <w:spacing w:val="-10"/>
          <w:w w:val="95"/>
        </w:rPr>
        <w:t xml:space="preserve"> </w:t>
      </w:r>
      <w:r>
        <w:rPr>
          <w:w w:val="95"/>
        </w:rPr>
        <w:t>a</w:t>
      </w:r>
      <w:r>
        <w:rPr>
          <w:spacing w:val="-10"/>
          <w:w w:val="95"/>
        </w:rPr>
        <w:t xml:space="preserve"> </w:t>
      </w:r>
      <w:r>
        <w:rPr>
          <w:w w:val="95"/>
        </w:rPr>
        <w:t>fully</w:t>
      </w:r>
      <w:r>
        <w:rPr>
          <w:spacing w:val="-10"/>
          <w:w w:val="95"/>
        </w:rPr>
        <w:t xml:space="preserve"> </w:t>
      </w:r>
      <w:r>
        <w:rPr>
          <w:w w:val="95"/>
        </w:rPr>
        <w:t>dedicated</w:t>
      </w:r>
      <w:r>
        <w:rPr>
          <w:spacing w:val="-10"/>
          <w:w w:val="95"/>
        </w:rPr>
        <w:t xml:space="preserve"> </w:t>
      </w:r>
      <w:r>
        <w:rPr>
          <w:w w:val="95"/>
        </w:rPr>
        <w:t>busway</w:t>
      </w:r>
      <w:r>
        <w:rPr>
          <w:spacing w:val="-10"/>
          <w:w w:val="95"/>
        </w:rPr>
        <w:t xml:space="preserve"> </w:t>
      </w:r>
      <w:r>
        <w:rPr>
          <w:w w:val="95"/>
        </w:rPr>
        <w:t>or</w:t>
      </w:r>
      <w:r>
        <w:rPr>
          <w:spacing w:val="-10"/>
          <w:w w:val="95"/>
        </w:rPr>
        <w:t xml:space="preserve"> </w:t>
      </w:r>
      <w:r>
        <w:rPr>
          <w:w w:val="95"/>
        </w:rPr>
        <w:t>light</w:t>
      </w:r>
      <w:r>
        <w:rPr>
          <w:spacing w:val="-10"/>
          <w:w w:val="95"/>
        </w:rPr>
        <w:t xml:space="preserve"> </w:t>
      </w:r>
      <w:r>
        <w:rPr>
          <w:w w:val="95"/>
        </w:rPr>
        <w:t>rail</w:t>
      </w:r>
      <w:r>
        <w:rPr>
          <w:spacing w:val="-10"/>
          <w:w w:val="95"/>
        </w:rPr>
        <w:t xml:space="preserve"> </w:t>
      </w:r>
      <w:r>
        <w:rPr>
          <w:w w:val="95"/>
        </w:rPr>
        <w:t>will</w:t>
      </w:r>
      <w:r>
        <w:rPr>
          <w:spacing w:val="-10"/>
          <w:w w:val="95"/>
        </w:rPr>
        <w:t xml:space="preserve"> </w:t>
      </w:r>
      <w:r>
        <w:rPr>
          <w:w w:val="95"/>
        </w:rPr>
        <w:t xml:space="preserve">be </w:t>
      </w:r>
      <w:r>
        <w:t>substantially</w:t>
      </w:r>
      <w:r>
        <w:rPr>
          <w:spacing w:val="-11"/>
        </w:rPr>
        <w:t xml:space="preserve"> </w:t>
      </w:r>
      <w:r>
        <w:t>strengthened.</w:t>
      </w:r>
    </w:p>
    <w:p w:rsidR="002C1123" w:rsidRDefault="002C1123">
      <w:pPr>
        <w:pStyle w:val="BodyText"/>
        <w:spacing w:before="9" w:after="1"/>
        <w:rPr>
          <w:sz w:val="14"/>
        </w:rPr>
      </w:pPr>
    </w:p>
    <w:p w:rsidR="002C1123" w:rsidRDefault="002060EF">
      <w:pPr>
        <w:pStyle w:val="BodyText"/>
        <w:ind w:left="492" w:right="-58"/>
      </w:pPr>
      <w:r>
        <w:pict>
          <v:shape id="docshape1402" o:spid="_x0000_s5271" type="#_x0000_t202" style="width:239pt;height:69.35pt;mso-left-percent:-10001;mso-top-percent:-10001;mso-position-horizontal:absolute;mso-position-horizontal-relative:char;mso-position-vertical:absolute;mso-position-vertical-relative:line;mso-left-percent:-10001;mso-top-percent:-10001" fillcolor="#e1e0e1" stroked="f">
            <v:textbox inset="0,0,0,0">
              <w:txbxContent>
                <w:p w:rsidR="00F22F94" w:rsidRDefault="00F22F94">
                  <w:pPr>
                    <w:pStyle w:val="BodyText"/>
                    <w:spacing w:before="68" w:line="249" w:lineRule="auto"/>
                    <w:ind w:left="113" w:right="264"/>
                    <w:rPr>
                      <w:color w:val="000000"/>
                    </w:rPr>
                  </w:pPr>
                  <w:r>
                    <w:rPr>
                      <w:b/>
                      <w:color w:val="00AEEF"/>
                    </w:rPr>
                    <w:t>Recommendation</w:t>
                  </w:r>
                  <w:r>
                    <w:rPr>
                      <w:b/>
                      <w:color w:val="00AEEF"/>
                      <w:spacing w:val="40"/>
                    </w:rPr>
                    <w:t xml:space="preserve"> </w:t>
                  </w:r>
                  <w:r>
                    <w:rPr>
                      <w:color w:val="000000"/>
                    </w:rPr>
                    <w:t xml:space="preserve">Infrastructure NSW recommends TfNSW develop a plan for public </w:t>
                  </w:r>
                  <w:r>
                    <w:rPr>
                      <w:color w:val="000000"/>
                      <w:w w:val="95"/>
                    </w:rPr>
                    <w:t xml:space="preserve">transport into Parramatta and implement a program </w:t>
                  </w:r>
                  <w:r>
                    <w:rPr>
                      <w:color w:val="000000"/>
                    </w:rPr>
                    <w:t>of</w:t>
                  </w:r>
                  <w:r>
                    <w:rPr>
                      <w:color w:val="000000"/>
                      <w:spacing w:val="-12"/>
                    </w:rPr>
                    <w:t xml:space="preserve"> </w:t>
                  </w:r>
                  <w:r>
                    <w:rPr>
                      <w:color w:val="000000"/>
                    </w:rPr>
                    <w:t>incremental</w:t>
                  </w:r>
                  <w:r>
                    <w:rPr>
                      <w:color w:val="000000"/>
                      <w:spacing w:val="-12"/>
                    </w:rPr>
                    <w:t xml:space="preserve"> </w:t>
                  </w:r>
                  <w:r>
                    <w:rPr>
                      <w:color w:val="000000"/>
                    </w:rPr>
                    <w:t>bus</w:t>
                  </w:r>
                  <w:r>
                    <w:rPr>
                      <w:color w:val="000000"/>
                      <w:spacing w:val="-12"/>
                    </w:rPr>
                    <w:t xml:space="preserve"> </w:t>
                  </w:r>
                  <w:r>
                    <w:rPr>
                      <w:color w:val="000000"/>
                    </w:rPr>
                    <w:t>service</w:t>
                  </w:r>
                  <w:r>
                    <w:rPr>
                      <w:color w:val="000000"/>
                      <w:spacing w:val="-12"/>
                    </w:rPr>
                    <w:t xml:space="preserve"> </w:t>
                  </w:r>
                  <w:r>
                    <w:rPr>
                      <w:color w:val="000000"/>
                    </w:rPr>
                    <w:t>improvements</w:t>
                  </w:r>
                  <w:r>
                    <w:rPr>
                      <w:color w:val="000000"/>
                      <w:spacing w:val="-12"/>
                    </w:rPr>
                    <w:t xml:space="preserve"> </w:t>
                  </w:r>
                  <w:r>
                    <w:rPr>
                      <w:color w:val="000000"/>
                    </w:rPr>
                    <w:t>and</w:t>
                  </w:r>
                  <w:r>
                    <w:rPr>
                      <w:color w:val="000000"/>
                      <w:spacing w:val="-12"/>
                    </w:rPr>
                    <w:t xml:space="preserve"> </w:t>
                  </w:r>
                  <w:r>
                    <w:rPr>
                      <w:color w:val="000000"/>
                    </w:rPr>
                    <w:t>bus priority</w:t>
                  </w:r>
                  <w:r>
                    <w:rPr>
                      <w:color w:val="000000"/>
                      <w:spacing w:val="-7"/>
                    </w:rPr>
                    <w:t xml:space="preserve"> </w:t>
                  </w:r>
                  <w:r>
                    <w:rPr>
                      <w:color w:val="000000"/>
                    </w:rPr>
                    <w:t>measures.</w:t>
                  </w:r>
                </w:p>
              </w:txbxContent>
            </v:textbox>
            <w10:anchorlock/>
          </v:shape>
        </w:pict>
      </w:r>
    </w:p>
    <w:p w:rsidR="002C1123" w:rsidRDefault="002C1123">
      <w:pPr>
        <w:pStyle w:val="BodyText"/>
        <w:spacing w:before="2"/>
      </w:pPr>
    </w:p>
    <w:p w:rsidR="002C1123" w:rsidRDefault="00F22F94">
      <w:pPr>
        <w:pStyle w:val="Heading6"/>
        <w:numPr>
          <w:ilvl w:val="2"/>
          <w:numId w:val="92"/>
        </w:numPr>
        <w:tabs>
          <w:tab w:val="left" w:pos="979"/>
        </w:tabs>
        <w:spacing w:before="0"/>
        <w:ind w:left="978" w:hanging="487"/>
        <w:jc w:val="left"/>
        <w:rPr>
          <w:color w:val="00AEEF"/>
        </w:rPr>
      </w:pPr>
      <w:r>
        <w:rPr>
          <w:color w:val="00AEEF"/>
        </w:rPr>
        <w:t>Parramatta</w:t>
      </w:r>
      <w:r>
        <w:rPr>
          <w:color w:val="00AEEF"/>
          <w:spacing w:val="-14"/>
        </w:rPr>
        <w:t xml:space="preserve"> </w:t>
      </w:r>
      <w:r>
        <w:rPr>
          <w:color w:val="00AEEF"/>
        </w:rPr>
        <w:t>to</w:t>
      </w:r>
      <w:r>
        <w:rPr>
          <w:color w:val="00AEEF"/>
          <w:spacing w:val="-13"/>
        </w:rPr>
        <w:t xml:space="preserve"> </w:t>
      </w:r>
      <w:r>
        <w:rPr>
          <w:color w:val="00AEEF"/>
        </w:rPr>
        <w:t>Epping</w:t>
      </w:r>
      <w:r>
        <w:rPr>
          <w:color w:val="00AEEF"/>
          <w:spacing w:val="-13"/>
        </w:rPr>
        <w:t xml:space="preserve"> </w:t>
      </w:r>
      <w:r>
        <w:rPr>
          <w:color w:val="00AEEF"/>
        </w:rPr>
        <w:t>or</w:t>
      </w:r>
      <w:r>
        <w:rPr>
          <w:color w:val="00AEEF"/>
          <w:spacing w:val="-13"/>
        </w:rPr>
        <w:t xml:space="preserve"> </w:t>
      </w:r>
      <w:r>
        <w:rPr>
          <w:color w:val="00AEEF"/>
        </w:rPr>
        <w:t>Macquarie</w:t>
      </w:r>
      <w:r>
        <w:rPr>
          <w:color w:val="00AEEF"/>
          <w:spacing w:val="-14"/>
        </w:rPr>
        <w:t xml:space="preserve"> </w:t>
      </w:r>
      <w:r>
        <w:rPr>
          <w:color w:val="00AEEF"/>
          <w:spacing w:val="-4"/>
        </w:rPr>
        <w:t>Park</w:t>
      </w:r>
    </w:p>
    <w:p w:rsidR="002C1123" w:rsidRDefault="00F22F94">
      <w:pPr>
        <w:pStyle w:val="BodyText"/>
        <w:spacing w:before="95" w:line="249" w:lineRule="auto"/>
        <w:ind w:left="492"/>
      </w:pPr>
      <w:r>
        <w:rPr>
          <w:w w:val="95"/>
        </w:rPr>
        <w:t>One</w:t>
      </w:r>
      <w:r>
        <w:rPr>
          <w:spacing w:val="-12"/>
          <w:w w:val="95"/>
        </w:rPr>
        <w:t xml:space="preserve"> </w:t>
      </w:r>
      <w:r>
        <w:rPr>
          <w:w w:val="95"/>
        </w:rPr>
        <w:t>area</w:t>
      </w:r>
      <w:r>
        <w:rPr>
          <w:spacing w:val="-11"/>
          <w:w w:val="95"/>
        </w:rPr>
        <w:t xml:space="preserve"> </w:t>
      </w:r>
      <w:r>
        <w:rPr>
          <w:w w:val="95"/>
        </w:rPr>
        <w:t>for</w:t>
      </w:r>
      <w:r>
        <w:rPr>
          <w:spacing w:val="-11"/>
          <w:w w:val="95"/>
        </w:rPr>
        <w:t xml:space="preserve"> </w:t>
      </w:r>
      <w:r>
        <w:rPr>
          <w:w w:val="95"/>
        </w:rPr>
        <w:t>more</w:t>
      </w:r>
      <w:r>
        <w:rPr>
          <w:spacing w:val="-11"/>
          <w:w w:val="95"/>
        </w:rPr>
        <w:t xml:space="preserve"> </w:t>
      </w:r>
      <w:r>
        <w:rPr>
          <w:w w:val="95"/>
        </w:rPr>
        <w:t>detailed</w:t>
      </w:r>
      <w:r>
        <w:rPr>
          <w:spacing w:val="-11"/>
          <w:w w:val="95"/>
        </w:rPr>
        <w:t xml:space="preserve"> </w:t>
      </w:r>
      <w:r>
        <w:rPr>
          <w:w w:val="95"/>
        </w:rPr>
        <w:t>evaluation</w:t>
      </w:r>
      <w:r>
        <w:rPr>
          <w:spacing w:val="-11"/>
          <w:w w:val="95"/>
        </w:rPr>
        <w:t xml:space="preserve"> </w:t>
      </w:r>
      <w:r>
        <w:rPr>
          <w:w w:val="95"/>
        </w:rPr>
        <w:t>is</w:t>
      </w:r>
      <w:r>
        <w:rPr>
          <w:spacing w:val="-11"/>
          <w:w w:val="95"/>
        </w:rPr>
        <w:t xml:space="preserve"> </w:t>
      </w:r>
      <w:r>
        <w:rPr>
          <w:w w:val="95"/>
        </w:rPr>
        <w:t>an</w:t>
      </w:r>
      <w:r>
        <w:rPr>
          <w:spacing w:val="-11"/>
          <w:w w:val="95"/>
        </w:rPr>
        <w:t xml:space="preserve"> </w:t>
      </w:r>
      <w:r>
        <w:rPr>
          <w:w w:val="95"/>
        </w:rPr>
        <w:t>investment</w:t>
      </w:r>
      <w:r>
        <w:rPr>
          <w:spacing w:val="-12"/>
          <w:w w:val="95"/>
        </w:rPr>
        <w:t xml:space="preserve"> </w:t>
      </w:r>
      <w:r>
        <w:rPr>
          <w:w w:val="95"/>
        </w:rPr>
        <w:t xml:space="preserve">in </w:t>
      </w:r>
      <w:r>
        <w:t>better</w:t>
      </w:r>
      <w:r>
        <w:rPr>
          <w:spacing w:val="-14"/>
        </w:rPr>
        <w:t xml:space="preserve"> </w:t>
      </w:r>
      <w:r>
        <w:t>connectivity</w:t>
      </w:r>
      <w:r>
        <w:rPr>
          <w:spacing w:val="-14"/>
        </w:rPr>
        <w:t xml:space="preserve"> </w:t>
      </w:r>
      <w:r>
        <w:t>on</w:t>
      </w:r>
      <w:r>
        <w:rPr>
          <w:spacing w:val="-14"/>
        </w:rPr>
        <w:t xml:space="preserve"> </w:t>
      </w:r>
      <w:r>
        <w:t>the</w:t>
      </w:r>
      <w:r>
        <w:rPr>
          <w:spacing w:val="-14"/>
        </w:rPr>
        <w:t xml:space="preserve"> </w:t>
      </w:r>
      <w:r>
        <w:t>corridor</w:t>
      </w:r>
      <w:r>
        <w:rPr>
          <w:spacing w:val="-14"/>
        </w:rPr>
        <w:t xml:space="preserve"> </w:t>
      </w:r>
      <w:r>
        <w:t>between</w:t>
      </w:r>
      <w:r>
        <w:rPr>
          <w:spacing w:val="-14"/>
        </w:rPr>
        <w:t xml:space="preserve"> </w:t>
      </w:r>
      <w:r>
        <w:t>Parramatta and</w:t>
      </w:r>
      <w:r>
        <w:rPr>
          <w:spacing w:val="-8"/>
        </w:rPr>
        <w:t xml:space="preserve"> </w:t>
      </w:r>
      <w:r>
        <w:t>Epping</w:t>
      </w:r>
      <w:r>
        <w:rPr>
          <w:spacing w:val="-8"/>
        </w:rPr>
        <w:t xml:space="preserve"> </w:t>
      </w:r>
      <w:r>
        <w:t>or</w:t>
      </w:r>
      <w:r>
        <w:rPr>
          <w:spacing w:val="-8"/>
        </w:rPr>
        <w:t xml:space="preserve"> </w:t>
      </w:r>
      <w:r>
        <w:t>Macquarie</w:t>
      </w:r>
      <w:r>
        <w:rPr>
          <w:spacing w:val="-8"/>
        </w:rPr>
        <w:t xml:space="preserve"> </w:t>
      </w:r>
      <w:r>
        <w:t>Park.</w:t>
      </w:r>
      <w:r>
        <w:rPr>
          <w:spacing w:val="-8"/>
        </w:rPr>
        <w:t xml:space="preserve"> </w:t>
      </w:r>
      <w:r>
        <w:t>Given</w:t>
      </w:r>
      <w:r>
        <w:rPr>
          <w:spacing w:val="-8"/>
        </w:rPr>
        <w:t xml:space="preserve"> </w:t>
      </w:r>
      <w:r>
        <w:t xml:space="preserve">expected </w:t>
      </w:r>
      <w:r>
        <w:rPr>
          <w:w w:val="95"/>
        </w:rPr>
        <w:t>patronage levels, it is unlikely that a heavy rail line on</w:t>
      </w:r>
    </w:p>
    <w:p w:rsidR="002C1123" w:rsidRDefault="00F22F94">
      <w:pPr>
        <w:pStyle w:val="BodyText"/>
        <w:spacing w:before="3" w:line="249" w:lineRule="auto"/>
        <w:ind w:left="492"/>
      </w:pPr>
      <w:r>
        <w:rPr>
          <w:w w:val="95"/>
        </w:rPr>
        <w:t>this</w:t>
      </w:r>
      <w:r>
        <w:rPr>
          <w:spacing w:val="-6"/>
          <w:w w:val="95"/>
        </w:rPr>
        <w:t xml:space="preserve"> </w:t>
      </w:r>
      <w:r>
        <w:rPr>
          <w:w w:val="95"/>
        </w:rPr>
        <w:t>route</w:t>
      </w:r>
      <w:r>
        <w:rPr>
          <w:spacing w:val="-6"/>
          <w:w w:val="95"/>
        </w:rPr>
        <w:t xml:space="preserve"> </w:t>
      </w:r>
      <w:r>
        <w:rPr>
          <w:w w:val="95"/>
        </w:rPr>
        <w:t>will</w:t>
      </w:r>
      <w:r>
        <w:rPr>
          <w:spacing w:val="-6"/>
          <w:w w:val="95"/>
        </w:rPr>
        <w:t xml:space="preserve"> </w:t>
      </w:r>
      <w:r>
        <w:rPr>
          <w:w w:val="95"/>
        </w:rPr>
        <w:t>be</w:t>
      </w:r>
      <w:r>
        <w:rPr>
          <w:spacing w:val="-6"/>
          <w:w w:val="95"/>
        </w:rPr>
        <w:t xml:space="preserve"> </w:t>
      </w:r>
      <w:r>
        <w:rPr>
          <w:w w:val="95"/>
        </w:rPr>
        <w:t>justified</w:t>
      </w:r>
      <w:r>
        <w:rPr>
          <w:spacing w:val="-6"/>
          <w:w w:val="95"/>
        </w:rPr>
        <w:t xml:space="preserve"> </w:t>
      </w:r>
      <w:r>
        <w:rPr>
          <w:w w:val="95"/>
        </w:rPr>
        <w:t>for</w:t>
      </w:r>
      <w:r>
        <w:rPr>
          <w:spacing w:val="-6"/>
          <w:w w:val="95"/>
        </w:rPr>
        <w:t xml:space="preserve"> </w:t>
      </w:r>
      <w:r>
        <w:rPr>
          <w:w w:val="95"/>
        </w:rPr>
        <w:t>many</w:t>
      </w:r>
      <w:r>
        <w:rPr>
          <w:spacing w:val="-6"/>
          <w:w w:val="95"/>
        </w:rPr>
        <w:t xml:space="preserve"> </w:t>
      </w:r>
      <w:r>
        <w:rPr>
          <w:w w:val="95"/>
        </w:rPr>
        <w:t>decades,</w:t>
      </w:r>
      <w:r>
        <w:rPr>
          <w:spacing w:val="-6"/>
          <w:w w:val="95"/>
        </w:rPr>
        <w:t xml:space="preserve"> </w:t>
      </w:r>
      <w:r>
        <w:rPr>
          <w:w w:val="95"/>
        </w:rPr>
        <w:t>but</w:t>
      </w:r>
      <w:r>
        <w:rPr>
          <w:spacing w:val="-6"/>
          <w:w w:val="95"/>
        </w:rPr>
        <w:t xml:space="preserve"> </w:t>
      </w:r>
      <w:r>
        <w:rPr>
          <w:w w:val="95"/>
        </w:rPr>
        <w:t>a</w:t>
      </w:r>
      <w:r>
        <w:rPr>
          <w:spacing w:val="-6"/>
          <w:w w:val="95"/>
        </w:rPr>
        <w:t xml:space="preserve"> </w:t>
      </w:r>
      <w:r>
        <w:rPr>
          <w:w w:val="95"/>
        </w:rPr>
        <w:t xml:space="preserve">rapid </w:t>
      </w:r>
      <w:r>
        <w:t>busway</w:t>
      </w:r>
      <w:r>
        <w:rPr>
          <w:spacing w:val="-14"/>
        </w:rPr>
        <w:t xml:space="preserve"> </w:t>
      </w:r>
      <w:r>
        <w:t>or</w:t>
      </w:r>
      <w:r>
        <w:rPr>
          <w:spacing w:val="-14"/>
        </w:rPr>
        <w:t xml:space="preserve"> </w:t>
      </w:r>
      <w:r>
        <w:t>light</w:t>
      </w:r>
      <w:r>
        <w:rPr>
          <w:spacing w:val="-14"/>
        </w:rPr>
        <w:t xml:space="preserve"> </w:t>
      </w:r>
      <w:r>
        <w:t>rail</w:t>
      </w:r>
      <w:r>
        <w:rPr>
          <w:spacing w:val="-14"/>
        </w:rPr>
        <w:t xml:space="preserve"> </w:t>
      </w:r>
      <w:r>
        <w:t>service</w:t>
      </w:r>
      <w:r>
        <w:rPr>
          <w:spacing w:val="-14"/>
        </w:rPr>
        <w:t xml:space="preserve"> </w:t>
      </w:r>
      <w:r>
        <w:t>(based</w:t>
      </w:r>
      <w:r>
        <w:rPr>
          <w:spacing w:val="-14"/>
        </w:rPr>
        <w:t xml:space="preserve"> </w:t>
      </w:r>
      <w:r>
        <w:t>on</w:t>
      </w:r>
      <w:r>
        <w:rPr>
          <w:spacing w:val="-14"/>
        </w:rPr>
        <w:t xml:space="preserve"> </w:t>
      </w:r>
      <w:r>
        <w:t>an</w:t>
      </w:r>
      <w:r>
        <w:rPr>
          <w:spacing w:val="-14"/>
        </w:rPr>
        <w:t xml:space="preserve"> </w:t>
      </w:r>
      <w:r>
        <w:t>extension</w:t>
      </w:r>
      <w:r>
        <w:rPr>
          <w:spacing w:val="-14"/>
        </w:rPr>
        <w:t xml:space="preserve"> </w:t>
      </w:r>
      <w:r>
        <w:t>of</w:t>
      </w:r>
    </w:p>
    <w:p w:rsidR="002C1123" w:rsidRDefault="00F22F94">
      <w:pPr>
        <w:pStyle w:val="BodyText"/>
        <w:spacing w:before="106" w:line="249" w:lineRule="auto"/>
        <w:ind w:left="207"/>
      </w:pPr>
      <w:r>
        <w:br w:type="column"/>
      </w:r>
      <w:r>
        <w:rPr>
          <w:w w:val="95"/>
        </w:rPr>
        <w:t>the existing Carlingford heavy rail line) could improve connectivity</w:t>
      </w:r>
      <w:r>
        <w:rPr>
          <w:spacing w:val="-12"/>
          <w:w w:val="95"/>
        </w:rPr>
        <w:t xml:space="preserve"> </w:t>
      </w:r>
      <w:r>
        <w:rPr>
          <w:w w:val="95"/>
        </w:rPr>
        <w:t>into</w:t>
      </w:r>
      <w:r>
        <w:rPr>
          <w:spacing w:val="-11"/>
          <w:w w:val="95"/>
        </w:rPr>
        <w:t xml:space="preserve"> </w:t>
      </w:r>
      <w:r>
        <w:rPr>
          <w:w w:val="95"/>
        </w:rPr>
        <w:t>Parramatta</w:t>
      </w:r>
      <w:r>
        <w:rPr>
          <w:spacing w:val="-11"/>
          <w:w w:val="95"/>
        </w:rPr>
        <w:t xml:space="preserve"> </w:t>
      </w:r>
      <w:r>
        <w:rPr>
          <w:w w:val="95"/>
        </w:rPr>
        <w:t>and</w:t>
      </w:r>
      <w:r>
        <w:rPr>
          <w:spacing w:val="-11"/>
          <w:w w:val="95"/>
        </w:rPr>
        <w:t xml:space="preserve"> </w:t>
      </w:r>
      <w:r>
        <w:rPr>
          <w:w w:val="95"/>
        </w:rPr>
        <w:t>the</w:t>
      </w:r>
      <w:r>
        <w:rPr>
          <w:spacing w:val="-12"/>
          <w:w w:val="95"/>
        </w:rPr>
        <w:t xml:space="preserve"> </w:t>
      </w:r>
      <w:r>
        <w:rPr>
          <w:w w:val="95"/>
        </w:rPr>
        <w:t>employment</w:t>
      </w:r>
      <w:r>
        <w:rPr>
          <w:spacing w:val="-11"/>
          <w:w w:val="95"/>
        </w:rPr>
        <w:t xml:space="preserve"> </w:t>
      </w:r>
      <w:r>
        <w:rPr>
          <w:w w:val="95"/>
        </w:rPr>
        <w:t xml:space="preserve">centres </w:t>
      </w:r>
      <w:r>
        <w:rPr>
          <w:w w:val="90"/>
        </w:rPr>
        <w:t>around</w:t>
      </w:r>
      <w:r>
        <w:rPr>
          <w:spacing w:val="6"/>
        </w:rPr>
        <w:t xml:space="preserve"> </w:t>
      </w:r>
      <w:r>
        <w:rPr>
          <w:w w:val="90"/>
        </w:rPr>
        <w:t>Epping</w:t>
      </w:r>
      <w:r>
        <w:rPr>
          <w:spacing w:val="7"/>
        </w:rPr>
        <w:t xml:space="preserve"> </w:t>
      </w:r>
      <w:r>
        <w:rPr>
          <w:w w:val="90"/>
        </w:rPr>
        <w:t>and</w:t>
      </w:r>
      <w:r>
        <w:rPr>
          <w:spacing w:val="6"/>
        </w:rPr>
        <w:t xml:space="preserve"> </w:t>
      </w:r>
      <w:r>
        <w:rPr>
          <w:w w:val="90"/>
        </w:rPr>
        <w:t>Macquarie</w:t>
      </w:r>
      <w:r>
        <w:rPr>
          <w:spacing w:val="7"/>
        </w:rPr>
        <w:t xml:space="preserve"> </w:t>
      </w:r>
      <w:r>
        <w:rPr>
          <w:w w:val="90"/>
        </w:rPr>
        <w:t>Park</w:t>
      </w:r>
      <w:r>
        <w:rPr>
          <w:spacing w:val="6"/>
        </w:rPr>
        <w:t xml:space="preserve"> </w:t>
      </w:r>
      <w:r>
        <w:rPr>
          <w:w w:val="90"/>
        </w:rPr>
        <w:t>at</w:t>
      </w:r>
      <w:r>
        <w:rPr>
          <w:spacing w:val="7"/>
        </w:rPr>
        <w:t xml:space="preserve"> </w:t>
      </w:r>
      <w:r>
        <w:rPr>
          <w:w w:val="90"/>
        </w:rPr>
        <w:t>a</w:t>
      </w:r>
      <w:r>
        <w:rPr>
          <w:spacing w:val="7"/>
        </w:rPr>
        <w:t xml:space="preserve"> </w:t>
      </w:r>
      <w:r>
        <w:rPr>
          <w:w w:val="90"/>
        </w:rPr>
        <w:t>much</w:t>
      </w:r>
      <w:r>
        <w:rPr>
          <w:spacing w:val="6"/>
        </w:rPr>
        <w:t xml:space="preserve"> </w:t>
      </w:r>
      <w:r>
        <w:rPr>
          <w:w w:val="90"/>
        </w:rPr>
        <w:t>lower</w:t>
      </w:r>
      <w:r>
        <w:rPr>
          <w:spacing w:val="7"/>
        </w:rPr>
        <w:t xml:space="preserve"> </w:t>
      </w:r>
      <w:r>
        <w:rPr>
          <w:spacing w:val="-4"/>
          <w:w w:val="90"/>
        </w:rPr>
        <w:t>cost.</w:t>
      </w:r>
    </w:p>
    <w:p w:rsidR="002C1123" w:rsidRDefault="00F22F94">
      <w:pPr>
        <w:pStyle w:val="BodyText"/>
        <w:spacing w:before="144" w:line="249" w:lineRule="auto"/>
        <w:ind w:left="207" w:right="216"/>
      </w:pPr>
      <w:r>
        <w:t>On</w:t>
      </w:r>
      <w:r>
        <w:rPr>
          <w:spacing w:val="-8"/>
        </w:rPr>
        <w:t xml:space="preserve"> </w:t>
      </w:r>
      <w:r>
        <w:t>the</w:t>
      </w:r>
      <w:r>
        <w:rPr>
          <w:spacing w:val="-8"/>
        </w:rPr>
        <w:t xml:space="preserve"> </w:t>
      </w:r>
      <w:r>
        <w:t>basis</w:t>
      </w:r>
      <w:r>
        <w:rPr>
          <w:spacing w:val="-8"/>
        </w:rPr>
        <w:t xml:space="preserve"> </w:t>
      </w:r>
      <w:r>
        <w:t>of</w:t>
      </w:r>
      <w:r>
        <w:rPr>
          <w:spacing w:val="-8"/>
        </w:rPr>
        <w:t xml:space="preserve"> </w:t>
      </w:r>
      <w:r>
        <w:t>busway</w:t>
      </w:r>
      <w:r>
        <w:rPr>
          <w:spacing w:val="-8"/>
        </w:rPr>
        <w:t xml:space="preserve"> </w:t>
      </w:r>
      <w:r>
        <w:t>costs</w:t>
      </w:r>
      <w:r>
        <w:rPr>
          <w:spacing w:val="-8"/>
        </w:rPr>
        <w:t xml:space="preserve"> </w:t>
      </w:r>
      <w:r>
        <w:t>of</w:t>
      </w:r>
      <w:r>
        <w:rPr>
          <w:spacing w:val="-8"/>
        </w:rPr>
        <w:t xml:space="preserve"> </w:t>
      </w:r>
      <w:r>
        <w:t>about</w:t>
      </w:r>
      <w:r>
        <w:rPr>
          <w:spacing w:val="-8"/>
        </w:rPr>
        <w:t xml:space="preserve"> </w:t>
      </w:r>
      <w:r>
        <w:t>$30</w:t>
      </w:r>
      <w:r>
        <w:rPr>
          <w:spacing w:val="-8"/>
        </w:rPr>
        <w:t xml:space="preserve"> </w:t>
      </w:r>
      <w:r>
        <w:t xml:space="preserve">million </w:t>
      </w:r>
      <w:r>
        <w:rPr>
          <w:w w:val="95"/>
        </w:rPr>
        <w:t>per</w:t>
      </w:r>
      <w:r>
        <w:rPr>
          <w:spacing w:val="-5"/>
          <w:w w:val="95"/>
        </w:rPr>
        <w:t xml:space="preserve"> </w:t>
      </w:r>
      <w:r>
        <w:rPr>
          <w:w w:val="95"/>
        </w:rPr>
        <w:t>kilometre</w:t>
      </w:r>
      <w:r>
        <w:rPr>
          <w:spacing w:val="-5"/>
          <w:w w:val="95"/>
        </w:rPr>
        <w:t xml:space="preserve"> </w:t>
      </w:r>
      <w:r>
        <w:rPr>
          <w:w w:val="95"/>
        </w:rPr>
        <w:t>(compared</w:t>
      </w:r>
      <w:r>
        <w:rPr>
          <w:spacing w:val="-5"/>
          <w:w w:val="95"/>
        </w:rPr>
        <w:t xml:space="preserve"> </w:t>
      </w:r>
      <w:r>
        <w:rPr>
          <w:w w:val="95"/>
        </w:rPr>
        <w:t>to</w:t>
      </w:r>
      <w:r>
        <w:rPr>
          <w:spacing w:val="-5"/>
          <w:w w:val="95"/>
        </w:rPr>
        <w:t xml:space="preserve"> </w:t>
      </w:r>
      <w:r>
        <w:rPr>
          <w:w w:val="95"/>
        </w:rPr>
        <w:t>$57</w:t>
      </w:r>
      <w:r>
        <w:rPr>
          <w:spacing w:val="-5"/>
          <w:w w:val="95"/>
        </w:rPr>
        <w:t xml:space="preserve"> </w:t>
      </w:r>
      <w:r>
        <w:rPr>
          <w:w w:val="95"/>
        </w:rPr>
        <w:t>million</w:t>
      </w:r>
      <w:r>
        <w:rPr>
          <w:spacing w:val="-5"/>
          <w:w w:val="95"/>
        </w:rPr>
        <w:t xml:space="preserve"> </w:t>
      </w:r>
      <w:r>
        <w:rPr>
          <w:w w:val="95"/>
        </w:rPr>
        <w:t>per</w:t>
      </w:r>
      <w:r>
        <w:rPr>
          <w:spacing w:val="-5"/>
          <w:w w:val="95"/>
        </w:rPr>
        <w:t xml:space="preserve"> </w:t>
      </w:r>
      <w:r>
        <w:rPr>
          <w:w w:val="95"/>
        </w:rPr>
        <w:t>kilometre for</w:t>
      </w:r>
      <w:r>
        <w:rPr>
          <w:spacing w:val="-9"/>
          <w:w w:val="95"/>
        </w:rPr>
        <w:t xml:space="preserve"> </w:t>
      </w:r>
      <w:r>
        <w:rPr>
          <w:w w:val="95"/>
        </w:rPr>
        <w:t>light</w:t>
      </w:r>
      <w:r>
        <w:rPr>
          <w:spacing w:val="-9"/>
          <w:w w:val="95"/>
        </w:rPr>
        <w:t xml:space="preserve"> </w:t>
      </w:r>
      <w:r>
        <w:rPr>
          <w:w w:val="95"/>
        </w:rPr>
        <w:t>rail),</w:t>
      </w:r>
      <w:r>
        <w:rPr>
          <w:spacing w:val="-9"/>
          <w:w w:val="95"/>
        </w:rPr>
        <w:t xml:space="preserve"> </w:t>
      </w:r>
      <w:r>
        <w:rPr>
          <w:w w:val="95"/>
        </w:rPr>
        <w:t>a</w:t>
      </w:r>
      <w:r>
        <w:rPr>
          <w:spacing w:val="-9"/>
          <w:w w:val="95"/>
        </w:rPr>
        <w:t xml:space="preserve"> </w:t>
      </w:r>
      <w:r>
        <w:rPr>
          <w:w w:val="95"/>
        </w:rPr>
        <w:t>rapid</w:t>
      </w:r>
      <w:r>
        <w:rPr>
          <w:spacing w:val="-9"/>
          <w:w w:val="95"/>
        </w:rPr>
        <w:t xml:space="preserve"> </w:t>
      </w:r>
      <w:r>
        <w:rPr>
          <w:w w:val="95"/>
        </w:rPr>
        <w:t>transit</w:t>
      </w:r>
      <w:r>
        <w:rPr>
          <w:spacing w:val="-9"/>
          <w:w w:val="95"/>
        </w:rPr>
        <w:t xml:space="preserve"> </w:t>
      </w:r>
      <w:r>
        <w:rPr>
          <w:w w:val="95"/>
        </w:rPr>
        <w:t>link</w:t>
      </w:r>
      <w:r>
        <w:rPr>
          <w:spacing w:val="-9"/>
          <w:w w:val="95"/>
        </w:rPr>
        <w:t xml:space="preserve"> </w:t>
      </w:r>
      <w:r>
        <w:rPr>
          <w:w w:val="95"/>
        </w:rPr>
        <w:t>could</w:t>
      </w:r>
      <w:r>
        <w:rPr>
          <w:spacing w:val="-9"/>
          <w:w w:val="95"/>
        </w:rPr>
        <w:t xml:space="preserve"> </w:t>
      </w:r>
      <w:r>
        <w:rPr>
          <w:w w:val="95"/>
        </w:rPr>
        <w:t>be</w:t>
      </w:r>
      <w:r>
        <w:rPr>
          <w:spacing w:val="-9"/>
          <w:w w:val="95"/>
        </w:rPr>
        <w:t xml:space="preserve"> </w:t>
      </w:r>
      <w:r>
        <w:rPr>
          <w:w w:val="95"/>
        </w:rPr>
        <w:t>provided</w:t>
      </w:r>
      <w:r>
        <w:rPr>
          <w:spacing w:val="-9"/>
          <w:w w:val="95"/>
        </w:rPr>
        <w:t xml:space="preserve"> </w:t>
      </w:r>
      <w:r>
        <w:rPr>
          <w:spacing w:val="-5"/>
          <w:w w:val="95"/>
        </w:rPr>
        <w:t>for</w:t>
      </w:r>
    </w:p>
    <w:p w:rsidR="002C1123" w:rsidRDefault="00F22F94">
      <w:pPr>
        <w:pStyle w:val="BodyText"/>
        <w:spacing w:before="2" w:line="249" w:lineRule="auto"/>
        <w:ind w:left="207"/>
      </w:pPr>
      <w:r>
        <w:rPr>
          <w:w w:val="95"/>
        </w:rPr>
        <w:t>approximately</w:t>
      </w:r>
      <w:r>
        <w:rPr>
          <w:spacing w:val="-7"/>
          <w:w w:val="95"/>
        </w:rPr>
        <w:t xml:space="preserve"> </w:t>
      </w:r>
      <w:r>
        <w:rPr>
          <w:w w:val="95"/>
        </w:rPr>
        <w:t>$500</w:t>
      </w:r>
      <w:r>
        <w:rPr>
          <w:spacing w:val="-7"/>
          <w:w w:val="95"/>
        </w:rPr>
        <w:t xml:space="preserve"> </w:t>
      </w:r>
      <w:r>
        <w:rPr>
          <w:w w:val="95"/>
        </w:rPr>
        <w:t>million,</w:t>
      </w:r>
      <w:r>
        <w:rPr>
          <w:spacing w:val="-7"/>
          <w:w w:val="95"/>
        </w:rPr>
        <w:t xml:space="preserve"> </w:t>
      </w:r>
      <w:r>
        <w:rPr>
          <w:w w:val="95"/>
        </w:rPr>
        <w:t>approximately</w:t>
      </w:r>
      <w:r>
        <w:rPr>
          <w:spacing w:val="-7"/>
          <w:w w:val="95"/>
        </w:rPr>
        <w:t xml:space="preserve"> </w:t>
      </w:r>
      <w:r>
        <w:rPr>
          <w:w w:val="95"/>
        </w:rPr>
        <w:t>half</w:t>
      </w:r>
      <w:r>
        <w:rPr>
          <w:spacing w:val="-7"/>
          <w:w w:val="95"/>
        </w:rPr>
        <w:t xml:space="preserve"> </w:t>
      </w:r>
      <w:r>
        <w:rPr>
          <w:w w:val="95"/>
        </w:rPr>
        <w:t>the</w:t>
      </w:r>
      <w:r>
        <w:rPr>
          <w:spacing w:val="-7"/>
          <w:w w:val="95"/>
        </w:rPr>
        <w:t xml:space="preserve"> </w:t>
      </w:r>
      <w:r>
        <w:rPr>
          <w:w w:val="95"/>
        </w:rPr>
        <w:t xml:space="preserve">unit </w:t>
      </w:r>
      <w:r>
        <w:t>cost suggested for light rail</w:t>
      </w:r>
      <w:r>
        <w:rPr>
          <w:position w:val="7"/>
          <w:sz w:val="11"/>
        </w:rPr>
        <w:t>19</w:t>
      </w:r>
      <w:r>
        <w:t>.</w:t>
      </w:r>
    </w:p>
    <w:p w:rsidR="002C1123" w:rsidRDefault="002C1123">
      <w:pPr>
        <w:pStyle w:val="BodyText"/>
        <w:spacing w:before="10"/>
        <w:rPr>
          <w:sz w:val="14"/>
        </w:rPr>
      </w:pPr>
    </w:p>
    <w:p w:rsidR="002C1123" w:rsidRDefault="002060EF">
      <w:pPr>
        <w:pStyle w:val="BodyText"/>
        <w:ind w:left="207" w:right="-72"/>
      </w:pPr>
      <w:r>
        <w:pict>
          <v:shape id="docshape1403" o:spid="_x0000_s5270" type="#_x0000_t202" style="width:239pt;height:81.35pt;mso-left-percent:-10001;mso-top-percent:-10001;mso-position-horizontal:absolute;mso-position-horizontal-relative:char;mso-position-vertical:absolute;mso-position-vertical-relative:line;mso-left-percent:-10001;mso-top-percent:-10001" fillcolor="#e1e0e1" stroked="f">
            <v:textbox inset="0,0,0,0">
              <w:txbxContent>
                <w:p w:rsidR="00F22F94" w:rsidRDefault="00F22F94">
                  <w:pPr>
                    <w:pStyle w:val="BodyText"/>
                    <w:spacing w:before="68" w:line="249" w:lineRule="auto"/>
                    <w:ind w:left="113" w:right="115"/>
                    <w:rPr>
                      <w:color w:val="000000"/>
                    </w:rPr>
                  </w:pPr>
                  <w:r>
                    <w:rPr>
                      <w:b/>
                      <w:color w:val="00AEEF"/>
                    </w:rPr>
                    <w:t>Recommendation</w:t>
                  </w:r>
                  <w:r>
                    <w:rPr>
                      <w:b/>
                      <w:color w:val="00AEEF"/>
                      <w:spacing w:val="40"/>
                    </w:rPr>
                    <w:t xml:space="preserve"> </w:t>
                  </w:r>
                  <w:r>
                    <w:rPr>
                      <w:color w:val="000000"/>
                    </w:rPr>
                    <w:t xml:space="preserve">Infrastructure NSW recommends TfNSW develop options for a rapid </w:t>
                  </w:r>
                  <w:r>
                    <w:rPr>
                      <w:color w:val="000000"/>
                      <w:w w:val="95"/>
                    </w:rPr>
                    <w:t xml:space="preserve">transit connection between Parramatta and Epping </w:t>
                  </w:r>
                  <w:r>
                    <w:rPr>
                      <w:color w:val="000000"/>
                    </w:rPr>
                    <w:t xml:space="preserve">and/or Macquarie Park. Subject to business case </w:t>
                  </w:r>
                  <w:r>
                    <w:rPr>
                      <w:color w:val="000000"/>
                      <w:w w:val="95"/>
                    </w:rPr>
                    <w:t xml:space="preserve">outcomes, delivery could be targeted for the second </w:t>
                  </w:r>
                  <w:r>
                    <w:rPr>
                      <w:color w:val="000000"/>
                    </w:rPr>
                    <w:t>decade of the Strategy.</w:t>
                  </w:r>
                </w:p>
              </w:txbxContent>
            </v:textbox>
            <w10:anchorlock/>
          </v:shape>
        </w:pict>
      </w:r>
    </w:p>
    <w:p w:rsidR="002C1123" w:rsidRDefault="002C1123">
      <w:pPr>
        <w:pStyle w:val="BodyText"/>
        <w:spacing w:before="2"/>
        <w:rPr>
          <w:sz w:val="31"/>
        </w:rPr>
      </w:pPr>
    </w:p>
    <w:p w:rsidR="002C1123" w:rsidRDefault="00F22F94">
      <w:pPr>
        <w:pStyle w:val="Heading5"/>
        <w:numPr>
          <w:ilvl w:val="1"/>
          <w:numId w:val="92"/>
        </w:numPr>
        <w:tabs>
          <w:tab w:val="left" w:pos="657"/>
        </w:tabs>
        <w:spacing w:before="0"/>
        <w:ind w:left="656"/>
        <w:jc w:val="left"/>
      </w:pPr>
      <w:r>
        <w:rPr>
          <w:color w:val="00AEEF"/>
          <w:spacing w:val="-2"/>
        </w:rPr>
        <w:t>Conclusions</w:t>
      </w:r>
    </w:p>
    <w:p w:rsidR="002C1123" w:rsidRDefault="00F22F94">
      <w:pPr>
        <w:pStyle w:val="BodyText"/>
        <w:spacing w:before="135" w:line="249" w:lineRule="auto"/>
        <w:ind w:left="207"/>
      </w:pPr>
      <w:r>
        <w:rPr>
          <w:w w:val="95"/>
        </w:rPr>
        <w:t xml:space="preserve">Buses will remain the most appropriate public transport </w:t>
      </w:r>
      <w:r>
        <w:t>mode</w:t>
      </w:r>
      <w:r>
        <w:rPr>
          <w:spacing w:val="-8"/>
        </w:rPr>
        <w:t xml:space="preserve"> </w:t>
      </w:r>
      <w:r>
        <w:t>for</w:t>
      </w:r>
      <w:r>
        <w:rPr>
          <w:spacing w:val="-8"/>
        </w:rPr>
        <w:t xml:space="preserve"> </w:t>
      </w:r>
      <w:r>
        <w:t>most</w:t>
      </w:r>
      <w:r>
        <w:rPr>
          <w:spacing w:val="-8"/>
        </w:rPr>
        <w:t xml:space="preserve"> </w:t>
      </w:r>
      <w:r>
        <w:t>of</w:t>
      </w:r>
      <w:r>
        <w:rPr>
          <w:spacing w:val="-8"/>
        </w:rPr>
        <w:t xml:space="preserve"> </w:t>
      </w:r>
      <w:r>
        <w:t>Sydney</w:t>
      </w:r>
      <w:r>
        <w:rPr>
          <w:spacing w:val="-8"/>
        </w:rPr>
        <w:t xml:space="preserve"> </w:t>
      </w:r>
      <w:r>
        <w:t>over</w:t>
      </w:r>
      <w:r>
        <w:rPr>
          <w:spacing w:val="-8"/>
        </w:rPr>
        <w:t xml:space="preserve"> </w:t>
      </w:r>
      <w:r>
        <w:t>the</w:t>
      </w:r>
      <w:r>
        <w:rPr>
          <w:spacing w:val="-8"/>
        </w:rPr>
        <w:t xml:space="preserve"> </w:t>
      </w:r>
      <w:r>
        <w:t>next</w:t>
      </w:r>
      <w:r>
        <w:rPr>
          <w:spacing w:val="-8"/>
        </w:rPr>
        <w:t xml:space="preserve"> </w:t>
      </w:r>
      <w:r>
        <w:t>two</w:t>
      </w:r>
      <w:r>
        <w:rPr>
          <w:spacing w:val="-8"/>
        </w:rPr>
        <w:t xml:space="preserve"> </w:t>
      </w:r>
      <w:r>
        <w:t>decades.</w:t>
      </w:r>
    </w:p>
    <w:p w:rsidR="002C1123" w:rsidRDefault="00F22F94">
      <w:pPr>
        <w:pStyle w:val="BodyText"/>
        <w:spacing w:before="1" w:line="249" w:lineRule="auto"/>
        <w:ind w:left="207"/>
      </w:pPr>
      <w:r>
        <w:rPr>
          <w:w w:val="95"/>
        </w:rPr>
        <w:t>In</w:t>
      </w:r>
      <w:r>
        <w:rPr>
          <w:spacing w:val="-3"/>
          <w:w w:val="95"/>
        </w:rPr>
        <w:t xml:space="preserve"> </w:t>
      </w:r>
      <w:r>
        <w:rPr>
          <w:w w:val="95"/>
        </w:rPr>
        <w:t>the</w:t>
      </w:r>
      <w:r>
        <w:rPr>
          <w:spacing w:val="-3"/>
          <w:w w:val="95"/>
        </w:rPr>
        <w:t xml:space="preserve"> </w:t>
      </w:r>
      <w:r>
        <w:rPr>
          <w:w w:val="95"/>
        </w:rPr>
        <w:t>short</w:t>
      </w:r>
      <w:r>
        <w:rPr>
          <w:spacing w:val="-3"/>
          <w:w w:val="95"/>
        </w:rPr>
        <w:t xml:space="preserve"> </w:t>
      </w:r>
      <w:r>
        <w:rPr>
          <w:w w:val="95"/>
        </w:rPr>
        <w:t>term,</w:t>
      </w:r>
      <w:r>
        <w:rPr>
          <w:spacing w:val="-3"/>
          <w:w w:val="95"/>
        </w:rPr>
        <w:t xml:space="preserve"> </w:t>
      </w:r>
      <w:r>
        <w:rPr>
          <w:w w:val="95"/>
        </w:rPr>
        <w:t>bus</w:t>
      </w:r>
      <w:r>
        <w:rPr>
          <w:spacing w:val="-3"/>
          <w:w w:val="95"/>
        </w:rPr>
        <w:t xml:space="preserve"> </w:t>
      </w:r>
      <w:r>
        <w:rPr>
          <w:w w:val="95"/>
        </w:rPr>
        <w:t>network</w:t>
      </w:r>
      <w:r>
        <w:rPr>
          <w:spacing w:val="-3"/>
          <w:w w:val="95"/>
        </w:rPr>
        <w:t xml:space="preserve"> </w:t>
      </w:r>
      <w:r>
        <w:rPr>
          <w:w w:val="95"/>
        </w:rPr>
        <w:t>reform</w:t>
      </w:r>
      <w:r>
        <w:rPr>
          <w:spacing w:val="-3"/>
          <w:w w:val="95"/>
        </w:rPr>
        <w:t xml:space="preserve"> </w:t>
      </w:r>
      <w:r>
        <w:rPr>
          <w:w w:val="95"/>
        </w:rPr>
        <w:t>offers</w:t>
      </w:r>
      <w:r>
        <w:rPr>
          <w:spacing w:val="-3"/>
          <w:w w:val="95"/>
        </w:rPr>
        <w:t xml:space="preserve"> </w:t>
      </w:r>
      <w:r>
        <w:rPr>
          <w:w w:val="95"/>
        </w:rPr>
        <w:t>the</w:t>
      </w:r>
      <w:r>
        <w:rPr>
          <w:spacing w:val="-3"/>
          <w:w w:val="95"/>
        </w:rPr>
        <w:t xml:space="preserve"> </w:t>
      </w:r>
      <w:r>
        <w:rPr>
          <w:w w:val="95"/>
        </w:rPr>
        <w:t xml:space="preserve">greatest </w:t>
      </w:r>
      <w:r>
        <w:t>potential</w:t>
      </w:r>
      <w:r>
        <w:rPr>
          <w:spacing w:val="-14"/>
        </w:rPr>
        <w:t xml:space="preserve"> </w:t>
      </w:r>
      <w:r>
        <w:t>for</w:t>
      </w:r>
      <w:r>
        <w:rPr>
          <w:spacing w:val="-14"/>
        </w:rPr>
        <w:t xml:space="preserve"> </w:t>
      </w:r>
      <w:r>
        <w:t>service</w:t>
      </w:r>
      <w:r>
        <w:rPr>
          <w:spacing w:val="-14"/>
        </w:rPr>
        <w:t xml:space="preserve"> </w:t>
      </w:r>
      <w:r>
        <w:t>improvements,</w:t>
      </w:r>
      <w:r>
        <w:rPr>
          <w:spacing w:val="-14"/>
        </w:rPr>
        <w:t xml:space="preserve"> </w:t>
      </w:r>
      <w:r>
        <w:t>particularly</w:t>
      </w:r>
      <w:r>
        <w:rPr>
          <w:spacing w:val="-14"/>
        </w:rPr>
        <w:t xml:space="preserve"> </w:t>
      </w:r>
      <w:r>
        <w:t>where combined</w:t>
      </w:r>
      <w:r>
        <w:rPr>
          <w:spacing w:val="-2"/>
        </w:rPr>
        <w:t xml:space="preserve"> </w:t>
      </w:r>
      <w:r>
        <w:t>with</w:t>
      </w:r>
      <w:r>
        <w:rPr>
          <w:spacing w:val="-2"/>
        </w:rPr>
        <w:t xml:space="preserve"> </w:t>
      </w:r>
      <w:r>
        <w:t>supporting</w:t>
      </w:r>
      <w:r>
        <w:rPr>
          <w:spacing w:val="-2"/>
        </w:rPr>
        <w:t xml:space="preserve"> </w:t>
      </w:r>
      <w:r>
        <w:t>rapid</w:t>
      </w:r>
      <w:r>
        <w:rPr>
          <w:spacing w:val="-2"/>
        </w:rPr>
        <w:t xml:space="preserve"> </w:t>
      </w:r>
      <w:r>
        <w:t>transit</w:t>
      </w:r>
      <w:r>
        <w:rPr>
          <w:spacing w:val="-2"/>
        </w:rPr>
        <w:t xml:space="preserve"> </w:t>
      </w:r>
      <w:r>
        <w:t>infrastructure and</w:t>
      </w:r>
      <w:r>
        <w:rPr>
          <w:spacing w:val="-11"/>
        </w:rPr>
        <w:t xml:space="preserve"> </w:t>
      </w:r>
      <w:r>
        <w:t>bus</w:t>
      </w:r>
      <w:r>
        <w:rPr>
          <w:spacing w:val="-11"/>
        </w:rPr>
        <w:t xml:space="preserve"> </w:t>
      </w:r>
      <w:r>
        <w:t>priority</w:t>
      </w:r>
      <w:r>
        <w:rPr>
          <w:spacing w:val="-11"/>
        </w:rPr>
        <w:t xml:space="preserve"> </w:t>
      </w:r>
      <w:r>
        <w:t>measures</w:t>
      </w:r>
      <w:r>
        <w:rPr>
          <w:spacing w:val="-11"/>
        </w:rPr>
        <w:t xml:space="preserve"> </w:t>
      </w:r>
      <w:r>
        <w:t>designed</w:t>
      </w:r>
      <w:r>
        <w:rPr>
          <w:spacing w:val="-11"/>
        </w:rPr>
        <w:t xml:space="preserve"> </w:t>
      </w:r>
      <w:r>
        <w:t>to</w:t>
      </w:r>
      <w:r>
        <w:rPr>
          <w:spacing w:val="-11"/>
        </w:rPr>
        <w:t xml:space="preserve"> </w:t>
      </w:r>
      <w:r>
        <w:t>deliver</w:t>
      </w:r>
      <w:r>
        <w:rPr>
          <w:spacing w:val="-11"/>
        </w:rPr>
        <w:t xml:space="preserve"> </w:t>
      </w:r>
      <w:r>
        <w:t>fast, frequent and direct services.</w:t>
      </w:r>
    </w:p>
    <w:p w:rsidR="002C1123" w:rsidRDefault="00F22F94">
      <w:pPr>
        <w:pStyle w:val="BodyText"/>
        <w:spacing w:before="146" w:line="249" w:lineRule="auto"/>
        <w:ind w:left="207"/>
      </w:pPr>
      <w:r>
        <w:rPr>
          <w:w w:val="95"/>
        </w:rPr>
        <w:t>The</w:t>
      </w:r>
      <w:r>
        <w:rPr>
          <w:spacing w:val="-2"/>
          <w:w w:val="95"/>
        </w:rPr>
        <w:t xml:space="preserve"> </w:t>
      </w:r>
      <w:r>
        <w:rPr>
          <w:w w:val="95"/>
        </w:rPr>
        <w:t>most</w:t>
      </w:r>
      <w:r>
        <w:rPr>
          <w:spacing w:val="-2"/>
          <w:w w:val="95"/>
        </w:rPr>
        <w:t xml:space="preserve"> </w:t>
      </w:r>
      <w:r>
        <w:rPr>
          <w:w w:val="95"/>
        </w:rPr>
        <w:t>critical</w:t>
      </w:r>
      <w:r>
        <w:rPr>
          <w:spacing w:val="-2"/>
          <w:w w:val="95"/>
        </w:rPr>
        <w:t xml:space="preserve"> </w:t>
      </w:r>
      <w:r>
        <w:rPr>
          <w:w w:val="95"/>
        </w:rPr>
        <w:t>infrastructure</w:t>
      </w:r>
      <w:r>
        <w:rPr>
          <w:spacing w:val="-2"/>
          <w:w w:val="95"/>
        </w:rPr>
        <w:t xml:space="preserve"> </w:t>
      </w:r>
      <w:r>
        <w:rPr>
          <w:w w:val="95"/>
        </w:rPr>
        <w:t>issue</w:t>
      </w:r>
      <w:r>
        <w:rPr>
          <w:spacing w:val="-2"/>
          <w:w w:val="95"/>
        </w:rPr>
        <w:t xml:space="preserve"> </w:t>
      </w:r>
      <w:r>
        <w:rPr>
          <w:w w:val="95"/>
        </w:rPr>
        <w:t>impacting</w:t>
      </w:r>
      <w:r>
        <w:rPr>
          <w:spacing w:val="-2"/>
          <w:w w:val="95"/>
        </w:rPr>
        <w:t xml:space="preserve"> </w:t>
      </w:r>
      <w:r>
        <w:rPr>
          <w:w w:val="95"/>
        </w:rPr>
        <w:t>on</w:t>
      </w:r>
      <w:r>
        <w:rPr>
          <w:spacing w:val="-2"/>
          <w:w w:val="95"/>
        </w:rPr>
        <w:t xml:space="preserve"> </w:t>
      </w:r>
      <w:r>
        <w:rPr>
          <w:w w:val="95"/>
        </w:rPr>
        <w:t xml:space="preserve">buses </w:t>
      </w:r>
      <w:r>
        <w:t>in</w:t>
      </w:r>
      <w:r>
        <w:rPr>
          <w:spacing w:val="-13"/>
        </w:rPr>
        <w:t xml:space="preserve"> </w:t>
      </w:r>
      <w:r>
        <w:t>Sydney</w:t>
      </w:r>
      <w:r>
        <w:rPr>
          <w:spacing w:val="-13"/>
        </w:rPr>
        <w:t xml:space="preserve"> </w:t>
      </w:r>
      <w:r>
        <w:t>is</w:t>
      </w:r>
      <w:r>
        <w:rPr>
          <w:spacing w:val="-13"/>
        </w:rPr>
        <w:t xml:space="preserve"> </w:t>
      </w:r>
      <w:r>
        <w:t>the</w:t>
      </w:r>
      <w:r>
        <w:rPr>
          <w:spacing w:val="-13"/>
        </w:rPr>
        <w:t xml:space="preserve"> </w:t>
      </w:r>
      <w:r>
        <w:t>need</w:t>
      </w:r>
      <w:r>
        <w:rPr>
          <w:spacing w:val="-13"/>
        </w:rPr>
        <w:t xml:space="preserve"> </w:t>
      </w:r>
      <w:r>
        <w:t>to</w:t>
      </w:r>
      <w:r>
        <w:rPr>
          <w:spacing w:val="-13"/>
        </w:rPr>
        <w:t xml:space="preserve"> </w:t>
      </w:r>
      <w:r>
        <w:t>address</w:t>
      </w:r>
      <w:r>
        <w:rPr>
          <w:spacing w:val="-13"/>
        </w:rPr>
        <w:t xml:space="preserve"> </w:t>
      </w:r>
      <w:r>
        <w:t>bus</w:t>
      </w:r>
      <w:r>
        <w:rPr>
          <w:spacing w:val="-13"/>
        </w:rPr>
        <w:t xml:space="preserve"> </w:t>
      </w:r>
      <w:r>
        <w:t>congestion</w:t>
      </w:r>
      <w:r>
        <w:rPr>
          <w:spacing w:val="-13"/>
        </w:rPr>
        <w:t xml:space="preserve"> </w:t>
      </w:r>
      <w:r>
        <w:t>in</w:t>
      </w:r>
      <w:r>
        <w:rPr>
          <w:spacing w:val="-13"/>
        </w:rPr>
        <w:t xml:space="preserve"> </w:t>
      </w:r>
      <w:r>
        <w:t>the CBD.</w:t>
      </w:r>
      <w:r>
        <w:rPr>
          <w:spacing w:val="-13"/>
        </w:rPr>
        <w:t xml:space="preserve"> </w:t>
      </w:r>
      <w:r>
        <w:t>This</w:t>
      </w:r>
      <w:r>
        <w:rPr>
          <w:spacing w:val="-13"/>
        </w:rPr>
        <w:t xml:space="preserve"> </w:t>
      </w:r>
      <w:r>
        <w:t>is</w:t>
      </w:r>
      <w:r>
        <w:rPr>
          <w:spacing w:val="-13"/>
        </w:rPr>
        <w:t xml:space="preserve"> </w:t>
      </w:r>
      <w:r>
        <w:t>an</w:t>
      </w:r>
      <w:r>
        <w:rPr>
          <w:spacing w:val="-13"/>
        </w:rPr>
        <w:t xml:space="preserve"> </w:t>
      </w:r>
      <w:r>
        <w:t>economic</w:t>
      </w:r>
      <w:r>
        <w:rPr>
          <w:spacing w:val="-13"/>
        </w:rPr>
        <w:t xml:space="preserve"> </w:t>
      </w:r>
      <w:r>
        <w:t>issue</w:t>
      </w:r>
      <w:r>
        <w:rPr>
          <w:spacing w:val="-13"/>
        </w:rPr>
        <w:t xml:space="preserve"> </w:t>
      </w:r>
      <w:r>
        <w:t>issue</w:t>
      </w:r>
      <w:r>
        <w:rPr>
          <w:spacing w:val="-13"/>
        </w:rPr>
        <w:t xml:space="preserve"> </w:t>
      </w:r>
      <w:r>
        <w:t>as</w:t>
      </w:r>
      <w:r>
        <w:rPr>
          <w:spacing w:val="-13"/>
        </w:rPr>
        <w:t xml:space="preserve"> </w:t>
      </w:r>
      <w:r>
        <w:t>much</w:t>
      </w:r>
      <w:r>
        <w:rPr>
          <w:spacing w:val="-13"/>
        </w:rPr>
        <w:t xml:space="preserve"> </w:t>
      </w:r>
      <w:r>
        <w:t>as</w:t>
      </w:r>
      <w:r>
        <w:rPr>
          <w:spacing w:val="-13"/>
        </w:rPr>
        <w:t xml:space="preserve"> </w:t>
      </w:r>
      <w:r>
        <w:t>a transport</w:t>
      </w:r>
      <w:r>
        <w:rPr>
          <w:spacing w:val="-11"/>
        </w:rPr>
        <w:t xml:space="preserve"> </w:t>
      </w:r>
      <w:r>
        <w:t>service</w:t>
      </w:r>
      <w:r>
        <w:rPr>
          <w:spacing w:val="-11"/>
        </w:rPr>
        <w:t xml:space="preserve"> </w:t>
      </w:r>
      <w:r>
        <w:t>issue.</w:t>
      </w:r>
      <w:r>
        <w:rPr>
          <w:spacing w:val="-11"/>
        </w:rPr>
        <w:t xml:space="preserve"> </w:t>
      </w:r>
      <w:r>
        <w:t>The</w:t>
      </w:r>
      <w:r>
        <w:rPr>
          <w:spacing w:val="-11"/>
        </w:rPr>
        <w:t xml:space="preserve"> </w:t>
      </w:r>
      <w:r>
        <w:t>CBD</w:t>
      </w:r>
      <w:r>
        <w:rPr>
          <w:spacing w:val="-11"/>
        </w:rPr>
        <w:t xml:space="preserve"> </w:t>
      </w:r>
      <w:r>
        <w:t>needs</w:t>
      </w:r>
      <w:r>
        <w:rPr>
          <w:spacing w:val="-11"/>
        </w:rPr>
        <w:t xml:space="preserve"> </w:t>
      </w:r>
      <w:r>
        <w:t>to</w:t>
      </w:r>
      <w:r>
        <w:rPr>
          <w:spacing w:val="-11"/>
        </w:rPr>
        <w:t xml:space="preserve"> </w:t>
      </w:r>
      <w:r>
        <w:t>provide</w:t>
      </w:r>
      <w:r>
        <w:rPr>
          <w:spacing w:val="-11"/>
        </w:rPr>
        <w:t xml:space="preserve"> </w:t>
      </w:r>
      <w:r>
        <w:t>a world</w:t>
      </w:r>
      <w:r>
        <w:rPr>
          <w:spacing w:val="-13"/>
        </w:rPr>
        <w:t xml:space="preserve"> </w:t>
      </w:r>
      <w:r>
        <w:t>class</w:t>
      </w:r>
      <w:r>
        <w:rPr>
          <w:spacing w:val="-13"/>
        </w:rPr>
        <w:t xml:space="preserve"> </w:t>
      </w:r>
      <w:r>
        <w:t>environment</w:t>
      </w:r>
      <w:r>
        <w:rPr>
          <w:spacing w:val="-13"/>
        </w:rPr>
        <w:t xml:space="preserve"> </w:t>
      </w:r>
      <w:r>
        <w:t>for</w:t>
      </w:r>
      <w:r>
        <w:rPr>
          <w:spacing w:val="-13"/>
        </w:rPr>
        <w:t xml:space="preserve"> </w:t>
      </w:r>
      <w:r>
        <w:t>doing</w:t>
      </w:r>
      <w:r>
        <w:rPr>
          <w:spacing w:val="-13"/>
        </w:rPr>
        <w:t xml:space="preserve"> </w:t>
      </w:r>
      <w:r>
        <w:t>business;</w:t>
      </w:r>
      <w:r>
        <w:rPr>
          <w:spacing w:val="-13"/>
        </w:rPr>
        <w:t xml:space="preserve"> </w:t>
      </w:r>
      <w:r>
        <w:t>this</w:t>
      </w:r>
      <w:r>
        <w:rPr>
          <w:spacing w:val="-13"/>
        </w:rPr>
        <w:t xml:space="preserve"> </w:t>
      </w:r>
      <w:r>
        <w:t>street level</w:t>
      </w:r>
      <w:r>
        <w:rPr>
          <w:spacing w:val="-5"/>
        </w:rPr>
        <w:t xml:space="preserve"> </w:t>
      </w:r>
      <w:r>
        <w:t>amenity</w:t>
      </w:r>
      <w:r>
        <w:rPr>
          <w:spacing w:val="-5"/>
        </w:rPr>
        <w:t xml:space="preserve"> </w:t>
      </w:r>
      <w:r>
        <w:t>is</w:t>
      </w:r>
      <w:r>
        <w:rPr>
          <w:spacing w:val="-5"/>
        </w:rPr>
        <w:t xml:space="preserve"> </w:t>
      </w:r>
      <w:r>
        <w:t>vitally</w:t>
      </w:r>
      <w:r>
        <w:rPr>
          <w:spacing w:val="-5"/>
        </w:rPr>
        <w:t xml:space="preserve"> </w:t>
      </w:r>
      <w:r>
        <w:t>important.</w:t>
      </w:r>
    </w:p>
    <w:p w:rsidR="002C1123" w:rsidRDefault="002060EF">
      <w:pPr>
        <w:pStyle w:val="BodyText"/>
        <w:spacing w:before="1"/>
        <w:rPr>
          <w:sz w:val="11"/>
        </w:rPr>
      </w:pPr>
      <w:r>
        <w:pict>
          <v:shape id="docshape1404" o:spid="_x0000_s3819" style="position:absolute;margin-left:300.95pt;margin-top:7.6pt;width:1in;height:.1pt;z-index:-251376640;mso-wrap-distance-left:0;mso-wrap-distance-right:0;mso-position-horizontal-relative:page" coordorigin="6019,152" coordsize="1440,0" path="m6019,152r1440,e" filled="f" strokecolor="#9c9c9d" strokeweight=".5pt">
            <v:path arrowok="t"/>
            <w10:wrap type="topAndBottom" anchorx="page"/>
          </v:shape>
        </w:pict>
      </w:r>
    </w:p>
    <w:p w:rsidR="002C1123" w:rsidRDefault="00F22F94">
      <w:pPr>
        <w:spacing w:before="23"/>
        <w:ind w:left="207"/>
        <w:rPr>
          <w:sz w:val="14"/>
        </w:rPr>
      </w:pPr>
      <w:r>
        <w:rPr>
          <w:w w:val="95"/>
          <w:sz w:val="14"/>
        </w:rPr>
        <w:t>19</w:t>
      </w:r>
      <w:r>
        <w:rPr>
          <w:spacing w:val="20"/>
          <w:sz w:val="14"/>
        </w:rPr>
        <w:t xml:space="preserve"> </w:t>
      </w:r>
      <w:r>
        <w:rPr>
          <w:w w:val="95"/>
          <w:sz w:val="14"/>
        </w:rPr>
        <w:t>Parramatta</w:t>
      </w:r>
      <w:r>
        <w:rPr>
          <w:spacing w:val="-1"/>
          <w:w w:val="95"/>
          <w:sz w:val="14"/>
        </w:rPr>
        <w:t xml:space="preserve"> </w:t>
      </w:r>
      <w:r>
        <w:rPr>
          <w:w w:val="95"/>
          <w:sz w:val="14"/>
        </w:rPr>
        <w:t>City</w:t>
      </w:r>
      <w:r>
        <w:rPr>
          <w:spacing w:val="-1"/>
          <w:w w:val="95"/>
          <w:sz w:val="14"/>
        </w:rPr>
        <w:t xml:space="preserve"> </w:t>
      </w:r>
      <w:r>
        <w:rPr>
          <w:w w:val="95"/>
          <w:sz w:val="14"/>
        </w:rPr>
        <w:t>Council</w:t>
      </w:r>
      <w:r>
        <w:rPr>
          <w:spacing w:val="-1"/>
          <w:w w:val="95"/>
          <w:sz w:val="14"/>
        </w:rPr>
        <w:t xml:space="preserve"> </w:t>
      </w:r>
      <w:r>
        <w:rPr>
          <w:w w:val="95"/>
          <w:sz w:val="14"/>
        </w:rPr>
        <w:t>2012,</w:t>
      </w:r>
      <w:r>
        <w:rPr>
          <w:spacing w:val="-1"/>
          <w:w w:val="95"/>
          <w:sz w:val="14"/>
        </w:rPr>
        <w:t xml:space="preserve"> </w:t>
      </w:r>
      <w:r>
        <w:rPr>
          <w:w w:val="95"/>
          <w:sz w:val="14"/>
        </w:rPr>
        <w:t>Western</w:t>
      </w:r>
      <w:r>
        <w:rPr>
          <w:spacing w:val="-1"/>
          <w:w w:val="95"/>
          <w:sz w:val="14"/>
        </w:rPr>
        <w:t xml:space="preserve"> </w:t>
      </w:r>
      <w:r>
        <w:rPr>
          <w:w w:val="95"/>
          <w:sz w:val="14"/>
        </w:rPr>
        <w:t>Sydney</w:t>
      </w:r>
      <w:r>
        <w:rPr>
          <w:spacing w:val="-1"/>
          <w:w w:val="95"/>
          <w:sz w:val="14"/>
        </w:rPr>
        <w:t xml:space="preserve"> </w:t>
      </w:r>
      <w:r>
        <w:rPr>
          <w:w w:val="95"/>
          <w:sz w:val="14"/>
        </w:rPr>
        <w:t>Light</w:t>
      </w:r>
      <w:r>
        <w:rPr>
          <w:spacing w:val="-1"/>
          <w:w w:val="95"/>
          <w:sz w:val="14"/>
        </w:rPr>
        <w:t xml:space="preserve"> </w:t>
      </w:r>
      <w:r>
        <w:rPr>
          <w:w w:val="95"/>
          <w:sz w:val="14"/>
        </w:rPr>
        <w:t>Railway</w:t>
      </w:r>
      <w:r>
        <w:rPr>
          <w:spacing w:val="-2"/>
          <w:sz w:val="14"/>
        </w:rPr>
        <w:t xml:space="preserve"> </w:t>
      </w:r>
      <w:r>
        <w:rPr>
          <w:spacing w:val="-2"/>
          <w:w w:val="95"/>
          <w:sz w:val="14"/>
        </w:rPr>
        <w:t>Network.</w:t>
      </w:r>
    </w:p>
    <w:p w:rsidR="002C1123" w:rsidRDefault="00F22F94">
      <w:pPr>
        <w:pStyle w:val="BodyText"/>
        <w:spacing w:before="106" w:line="249" w:lineRule="auto"/>
        <w:ind w:left="221" w:right="1221"/>
        <w:jc w:val="both"/>
      </w:pPr>
      <w:r>
        <w:br w:type="column"/>
      </w:r>
      <w:r>
        <w:rPr>
          <w:w w:val="95"/>
        </w:rPr>
        <w:t>The</w:t>
      </w:r>
      <w:r>
        <w:rPr>
          <w:spacing w:val="-1"/>
          <w:w w:val="95"/>
        </w:rPr>
        <w:t xml:space="preserve"> </w:t>
      </w:r>
      <w:r>
        <w:rPr>
          <w:w w:val="95"/>
        </w:rPr>
        <w:t>short</w:t>
      </w:r>
      <w:r>
        <w:rPr>
          <w:spacing w:val="-1"/>
          <w:w w:val="95"/>
        </w:rPr>
        <w:t xml:space="preserve"> </w:t>
      </w:r>
      <w:r>
        <w:rPr>
          <w:w w:val="95"/>
        </w:rPr>
        <w:t>term</w:t>
      </w:r>
      <w:r>
        <w:rPr>
          <w:spacing w:val="-1"/>
          <w:w w:val="95"/>
        </w:rPr>
        <w:t xml:space="preserve"> </w:t>
      </w:r>
      <w:r>
        <w:rPr>
          <w:w w:val="95"/>
        </w:rPr>
        <w:t>solution</w:t>
      </w:r>
      <w:r>
        <w:rPr>
          <w:spacing w:val="-1"/>
          <w:w w:val="95"/>
        </w:rPr>
        <w:t xml:space="preserve"> </w:t>
      </w:r>
      <w:r>
        <w:rPr>
          <w:w w:val="95"/>
        </w:rPr>
        <w:t>to</w:t>
      </w:r>
      <w:r>
        <w:rPr>
          <w:spacing w:val="-1"/>
          <w:w w:val="95"/>
        </w:rPr>
        <w:t xml:space="preserve"> </w:t>
      </w:r>
      <w:r>
        <w:rPr>
          <w:w w:val="95"/>
        </w:rPr>
        <w:t>the</w:t>
      </w:r>
      <w:r>
        <w:rPr>
          <w:spacing w:val="-1"/>
          <w:w w:val="95"/>
        </w:rPr>
        <w:t xml:space="preserve"> </w:t>
      </w:r>
      <w:r>
        <w:rPr>
          <w:w w:val="95"/>
        </w:rPr>
        <w:t>CBD</w:t>
      </w:r>
      <w:r>
        <w:rPr>
          <w:spacing w:val="-1"/>
          <w:w w:val="95"/>
        </w:rPr>
        <w:t xml:space="preserve"> </w:t>
      </w:r>
      <w:r>
        <w:rPr>
          <w:w w:val="95"/>
        </w:rPr>
        <w:t>bus</w:t>
      </w:r>
      <w:r>
        <w:rPr>
          <w:spacing w:val="-1"/>
          <w:w w:val="95"/>
        </w:rPr>
        <w:t xml:space="preserve"> </w:t>
      </w:r>
      <w:r>
        <w:rPr>
          <w:w w:val="95"/>
        </w:rPr>
        <w:t xml:space="preserve">congestion problem requires network changes to improve bus </w:t>
      </w:r>
      <w:r>
        <w:t>capacity</w:t>
      </w:r>
      <w:r>
        <w:rPr>
          <w:spacing w:val="-11"/>
        </w:rPr>
        <w:t xml:space="preserve"> </w:t>
      </w:r>
      <w:r>
        <w:t>utilisation.</w:t>
      </w:r>
    </w:p>
    <w:p w:rsidR="002C1123" w:rsidRDefault="00F22F94">
      <w:pPr>
        <w:pStyle w:val="BodyText"/>
        <w:spacing w:before="144" w:line="249" w:lineRule="auto"/>
        <w:ind w:left="221" w:right="773"/>
      </w:pPr>
      <w:r>
        <w:t>Longer</w:t>
      </w:r>
      <w:r>
        <w:rPr>
          <w:spacing w:val="-9"/>
        </w:rPr>
        <w:t xml:space="preserve"> </w:t>
      </w:r>
      <w:r>
        <w:t>term,</w:t>
      </w:r>
      <w:r>
        <w:rPr>
          <w:spacing w:val="-9"/>
        </w:rPr>
        <w:t xml:space="preserve"> </w:t>
      </w:r>
      <w:r>
        <w:t>substantial</w:t>
      </w:r>
      <w:r>
        <w:rPr>
          <w:spacing w:val="-9"/>
        </w:rPr>
        <w:t xml:space="preserve"> </w:t>
      </w:r>
      <w:r>
        <w:t>improvements</w:t>
      </w:r>
      <w:r>
        <w:rPr>
          <w:spacing w:val="-9"/>
        </w:rPr>
        <w:t xml:space="preserve"> </w:t>
      </w:r>
      <w:r>
        <w:t>to</w:t>
      </w:r>
      <w:r>
        <w:rPr>
          <w:spacing w:val="-9"/>
        </w:rPr>
        <w:t xml:space="preserve"> </w:t>
      </w:r>
      <w:r>
        <w:t>CBD</w:t>
      </w:r>
      <w:r>
        <w:rPr>
          <w:spacing w:val="-9"/>
        </w:rPr>
        <w:t xml:space="preserve"> </w:t>
      </w:r>
      <w:r>
        <w:t>public transport</w:t>
      </w:r>
      <w:r>
        <w:rPr>
          <w:spacing w:val="-9"/>
        </w:rPr>
        <w:t xml:space="preserve"> </w:t>
      </w:r>
      <w:r>
        <w:t>and</w:t>
      </w:r>
      <w:r>
        <w:rPr>
          <w:spacing w:val="-9"/>
        </w:rPr>
        <w:t xml:space="preserve"> </w:t>
      </w:r>
      <w:r>
        <w:t>street</w:t>
      </w:r>
      <w:r>
        <w:rPr>
          <w:spacing w:val="-9"/>
        </w:rPr>
        <w:t xml:space="preserve"> </w:t>
      </w:r>
      <w:r>
        <w:t>amenity</w:t>
      </w:r>
      <w:r>
        <w:rPr>
          <w:spacing w:val="-9"/>
        </w:rPr>
        <w:t xml:space="preserve"> </w:t>
      </w:r>
      <w:r>
        <w:t>should</w:t>
      </w:r>
      <w:r>
        <w:rPr>
          <w:spacing w:val="-9"/>
        </w:rPr>
        <w:t xml:space="preserve"> </w:t>
      </w:r>
      <w:r>
        <w:t>be</w:t>
      </w:r>
      <w:r>
        <w:rPr>
          <w:spacing w:val="-9"/>
        </w:rPr>
        <w:t xml:space="preserve"> </w:t>
      </w:r>
      <w:r>
        <w:t>investigated through</w:t>
      </w:r>
      <w:r>
        <w:rPr>
          <w:spacing w:val="-14"/>
        </w:rPr>
        <w:t xml:space="preserve"> </w:t>
      </w:r>
      <w:r>
        <w:t>a</w:t>
      </w:r>
      <w:r>
        <w:rPr>
          <w:spacing w:val="-14"/>
        </w:rPr>
        <w:t xml:space="preserve"> </w:t>
      </w:r>
      <w:r>
        <w:t>feasibility</w:t>
      </w:r>
      <w:r>
        <w:rPr>
          <w:spacing w:val="-14"/>
        </w:rPr>
        <w:t xml:space="preserve"> </w:t>
      </w:r>
      <w:r>
        <w:t>study</w:t>
      </w:r>
      <w:r>
        <w:rPr>
          <w:spacing w:val="-14"/>
        </w:rPr>
        <w:t xml:space="preserve"> </w:t>
      </w:r>
      <w:r>
        <w:t>for</w:t>
      </w:r>
      <w:r>
        <w:rPr>
          <w:spacing w:val="-14"/>
        </w:rPr>
        <w:t xml:space="preserve"> </w:t>
      </w:r>
      <w:r>
        <w:t>the</w:t>
      </w:r>
      <w:r>
        <w:rPr>
          <w:spacing w:val="-14"/>
        </w:rPr>
        <w:t xml:space="preserve"> </w:t>
      </w:r>
      <w:r>
        <w:t>CBD</w:t>
      </w:r>
      <w:r>
        <w:rPr>
          <w:spacing w:val="-14"/>
        </w:rPr>
        <w:t xml:space="preserve"> </w:t>
      </w:r>
      <w:r>
        <w:t>BRT.</w:t>
      </w:r>
      <w:r>
        <w:rPr>
          <w:spacing w:val="-14"/>
        </w:rPr>
        <w:t xml:space="preserve"> </w:t>
      </w:r>
      <w:r>
        <w:t>This concept would connect the Sydney Harbour Bridge and</w:t>
      </w:r>
      <w:r>
        <w:rPr>
          <w:spacing w:val="-14"/>
        </w:rPr>
        <w:t xml:space="preserve"> </w:t>
      </w:r>
      <w:r>
        <w:t>Broadway</w:t>
      </w:r>
      <w:r>
        <w:rPr>
          <w:spacing w:val="-14"/>
        </w:rPr>
        <w:t xml:space="preserve"> </w:t>
      </w:r>
      <w:r>
        <w:t>bus</w:t>
      </w:r>
      <w:r>
        <w:rPr>
          <w:spacing w:val="-14"/>
        </w:rPr>
        <w:t xml:space="preserve"> </w:t>
      </w:r>
      <w:r>
        <w:t>services</w:t>
      </w:r>
      <w:r>
        <w:rPr>
          <w:spacing w:val="-14"/>
        </w:rPr>
        <w:t xml:space="preserve"> </w:t>
      </w:r>
      <w:r>
        <w:t>via</w:t>
      </w:r>
      <w:r>
        <w:rPr>
          <w:spacing w:val="-14"/>
        </w:rPr>
        <w:t xml:space="preserve"> </w:t>
      </w:r>
      <w:r>
        <w:t>redeveloped</w:t>
      </w:r>
      <w:r>
        <w:rPr>
          <w:spacing w:val="-14"/>
        </w:rPr>
        <w:t xml:space="preserve"> </w:t>
      </w:r>
      <w:r>
        <w:t>terminals at</w:t>
      </w:r>
      <w:r>
        <w:rPr>
          <w:spacing w:val="-14"/>
        </w:rPr>
        <w:t xml:space="preserve"> </w:t>
      </w:r>
      <w:r>
        <w:t>Wynyard</w:t>
      </w:r>
      <w:r>
        <w:rPr>
          <w:spacing w:val="-14"/>
        </w:rPr>
        <w:t xml:space="preserve"> </w:t>
      </w:r>
      <w:r>
        <w:t>and</w:t>
      </w:r>
      <w:r>
        <w:rPr>
          <w:spacing w:val="-14"/>
        </w:rPr>
        <w:t xml:space="preserve"> </w:t>
      </w:r>
      <w:r>
        <w:t>a</w:t>
      </w:r>
      <w:r>
        <w:rPr>
          <w:spacing w:val="-14"/>
        </w:rPr>
        <w:t xml:space="preserve"> </w:t>
      </w:r>
      <w:r>
        <w:t>new</w:t>
      </w:r>
      <w:r>
        <w:rPr>
          <w:spacing w:val="-14"/>
        </w:rPr>
        <w:t xml:space="preserve"> </w:t>
      </w:r>
      <w:r>
        <w:t>Town</w:t>
      </w:r>
      <w:r>
        <w:rPr>
          <w:spacing w:val="-14"/>
        </w:rPr>
        <w:t xml:space="preserve"> </w:t>
      </w:r>
      <w:r>
        <w:t>Hall</w:t>
      </w:r>
      <w:r>
        <w:rPr>
          <w:spacing w:val="-14"/>
        </w:rPr>
        <w:t xml:space="preserve"> </w:t>
      </w:r>
      <w:r>
        <w:t>Square,</w:t>
      </w:r>
      <w:r>
        <w:rPr>
          <w:spacing w:val="-14"/>
        </w:rPr>
        <w:t xml:space="preserve"> </w:t>
      </w:r>
      <w:r>
        <w:t>with</w:t>
      </w:r>
      <w:r>
        <w:rPr>
          <w:spacing w:val="-14"/>
        </w:rPr>
        <w:t xml:space="preserve"> </w:t>
      </w:r>
      <w:r>
        <w:t>the possible</w:t>
      </w:r>
      <w:r>
        <w:rPr>
          <w:spacing w:val="-10"/>
        </w:rPr>
        <w:t xml:space="preserve"> </w:t>
      </w:r>
      <w:r>
        <w:t>option</w:t>
      </w:r>
      <w:r>
        <w:rPr>
          <w:spacing w:val="-10"/>
        </w:rPr>
        <w:t xml:space="preserve"> </w:t>
      </w:r>
      <w:r>
        <w:t>of</w:t>
      </w:r>
      <w:r>
        <w:rPr>
          <w:spacing w:val="-10"/>
        </w:rPr>
        <w:t xml:space="preserve"> </w:t>
      </w:r>
      <w:r>
        <w:t>connecting</w:t>
      </w:r>
      <w:r>
        <w:rPr>
          <w:spacing w:val="-10"/>
        </w:rPr>
        <w:t xml:space="preserve"> </w:t>
      </w:r>
      <w:r>
        <w:t>east-west</w:t>
      </w:r>
      <w:r>
        <w:rPr>
          <w:spacing w:val="-10"/>
        </w:rPr>
        <w:t xml:space="preserve"> </w:t>
      </w:r>
      <w:r>
        <w:t>routes</w:t>
      </w:r>
      <w:r>
        <w:rPr>
          <w:spacing w:val="-10"/>
        </w:rPr>
        <w:t xml:space="preserve"> </w:t>
      </w:r>
      <w:r>
        <w:t>via</w:t>
      </w:r>
      <w:r>
        <w:rPr>
          <w:spacing w:val="-10"/>
        </w:rPr>
        <w:t xml:space="preserve"> </w:t>
      </w:r>
      <w:r>
        <w:t xml:space="preserve">the </w:t>
      </w:r>
      <w:r>
        <w:rPr>
          <w:spacing w:val="-2"/>
        </w:rPr>
        <w:t>Cross</w:t>
      </w:r>
      <w:r>
        <w:rPr>
          <w:spacing w:val="-9"/>
        </w:rPr>
        <w:t xml:space="preserve"> </w:t>
      </w:r>
      <w:r>
        <w:rPr>
          <w:spacing w:val="-2"/>
        </w:rPr>
        <w:t>City</w:t>
      </w:r>
      <w:r>
        <w:rPr>
          <w:spacing w:val="-9"/>
        </w:rPr>
        <w:t xml:space="preserve"> </w:t>
      </w:r>
      <w:r>
        <w:rPr>
          <w:spacing w:val="-2"/>
        </w:rPr>
        <w:t>Tunnel.</w:t>
      </w:r>
      <w:r>
        <w:rPr>
          <w:spacing w:val="-9"/>
        </w:rPr>
        <w:t xml:space="preserve"> </w:t>
      </w:r>
      <w:r>
        <w:rPr>
          <w:spacing w:val="-2"/>
        </w:rPr>
        <w:t>This</w:t>
      </w:r>
      <w:r>
        <w:rPr>
          <w:spacing w:val="-9"/>
        </w:rPr>
        <w:t xml:space="preserve"> </w:t>
      </w:r>
      <w:r>
        <w:rPr>
          <w:spacing w:val="-2"/>
        </w:rPr>
        <w:t>analysis</w:t>
      </w:r>
      <w:r>
        <w:rPr>
          <w:spacing w:val="-9"/>
        </w:rPr>
        <w:t xml:space="preserve"> </w:t>
      </w:r>
      <w:r>
        <w:rPr>
          <w:spacing w:val="-2"/>
        </w:rPr>
        <w:t>of</w:t>
      </w:r>
      <w:r>
        <w:rPr>
          <w:spacing w:val="-9"/>
        </w:rPr>
        <w:t xml:space="preserve"> </w:t>
      </w:r>
      <w:r>
        <w:rPr>
          <w:spacing w:val="-2"/>
        </w:rPr>
        <w:t>CBD</w:t>
      </w:r>
      <w:r>
        <w:rPr>
          <w:spacing w:val="-9"/>
        </w:rPr>
        <w:t xml:space="preserve"> </w:t>
      </w:r>
      <w:r>
        <w:rPr>
          <w:spacing w:val="-2"/>
        </w:rPr>
        <w:t>BRT</w:t>
      </w:r>
      <w:r>
        <w:rPr>
          <w:spacing w:val="-9"/>
        </w:rPr>
        <w:t xml:space="preserve"> </w:t>
      </w:r>
      <w:r>
        <w:rPr>
          <w:spacing w:val="-2"/>
        </w:rPr>
        <w:t xml:space="preserve">options </w:t>
      </w:r>
      <w:r>
        <w:t>should</w:t>
      </w:r>
      <w:r>
        <w:rPr>
          <w:spacing w:val="-7"/>
        </w:rPr>
        <w:t xml:space="preserve"> </w:t>
      </w:r>
      <w:r>
        <w:t>be</w:t>
      </w:r>
      <w:r>
        <w:rPr>
          <w:spacing w:val="-7"/>
        </w:rPr>
        <w:t xml:space="preserve"> </w:t>
      </w:r>
      <w:r>
        <w:t>undertaken</w:t>
      </w:r>
      <w:r>
        <w:rPr>
          <w:spacing w:val="-7"/>
        </w:rPr>
        <w:t xml:space="preserve"> </w:t>
      </w:r>
      <w:r>
        <w:t>in</w:t>
      </w:r>
      <w:r>
        <w:rPr>
          <w:spacing w:val="-7"/>
        </w:rPr>
        <w:t xml:space="preserve"> </w:t>
      </w:r>
      <w:r>
        <w:t>the</w:t>
      </w:r>
      <w:r>
        <w:rPr>
          <w:spacing w:val="-7"/>
        </w:rPr>
        <w:t xml:space="preserve"> </w:t>
      </w:r>
      <w:r>
        <w:t>short</w:t>
      </w:r>
      <w:r>
        <w:rPr>
          <w:spacing w:val="-7"/>
        </w:rPr>
        <w:t xml:space="preserve"> </w:t>
      </w:r>
      <w:r>
        <w:t>term</w:t>
      </w:r>
      <w:r>
        <w:rPr>
          <w:spacing w:val="-8"/>
        </w:rPr>
        <w:t xml:space="preserve"> </w:t>
      </w:r>
      <w:r>
        <w:t>so</w:t>
      </w:r>
      <w:r>
        <w:rPr>
          <w:spacing w:val="-7"/>
        </w:rPr>
        <w:t xml:space="preserve"> </w:t>
      </w:r>
      <w:r>
        <w:t>that</w:t>
      </w:r>
      <w:r>
        <w:rPr>
          <w:spacing w:val="-7"/>
        </w:rPr>
        <w:t xml:space="preserve"> </w:t>
      </w:r>
      <w:r>
        <w:t xml:space="preserve">this </w:t>
      </w:r>
      <w:r>
        <w:rPr>
          <w:w w:val="95"/>
        </w:rPr>
        <w:t xml:space="preserve">concept, if confirmed to be of merit, could be completed </w:t>
      </w:r>
      <w:r>
        <w:t>within the next 10 years.</w:t>
      </w:r>
    </w:p>
    <w:p w:rsidR="002C1123" w:rsidRDefault="00F22F94">
      <w:pPr>
        <w:pStyle w:val="BodyText"/>
        <w:spacing w:before="151" w:line="249" w:lineRule="auto"/>
        <w:ind w:left="221" w:right="897"/>
      </w:pPr>
      <w:r>
        <w:t>Light</w:t>
      </w:r>
      <w:r>
        <w:rPr>
          <w:spacing w:val="-14"/>
        </w:rPr>
        <w:t xml:space="preserve"> </w:t>
      </w:r>
      <w:r>
        <w:t>rail</w:t>
      </w:r>
      <w:r>
        <w:rPr>
          <w:spacing w:val="-14"/>
        </w:rPr>
        <w:t xml:space="preserve"> </w:t>
      </w:r>
      <w:r>
        <w:t>proposals</w:t>
      </w:r>
      <w:r>
        <w:rPr>
          <w:spacing w:val="-14"/>
        </w:rPr>
        <w:t xml:space="preserve"> </w:t>
      </w:r>
      <w:r>
        <w:t>require</w:t>
      </w:r>
      <w:r>
        <w:rPr>
          <w:spacing w:val="-14"/>
        </w:rPr>
        <w:t xml:space="preserve"> </w:t>
      </w:r>
      <w:r>
        <w:t>a</w:t>
      </w:r>
      <w:r>
        <w:rPr>
          <w:spacing w:val="-14"/>
        </w:rPr>
        <w:t xml:space="preserve"> </w:t>
      </w:r>
      <w:r>
        <w:t>clear</w:t>
      </w:r>
      <w:r>
        <w:rPr>
          <w:spacing w:val="-14"/>
        </w:rPr>
        <w:t xml:space="preserve"> </w:t>
      </w:r>
      <w:r>
        <w:t>objective.</w:t>
      </w:r>
      <w:r>
        <w:rPr>
          <w:spacing w:val="-14"/>
        </w:rPr>
        <w:t xml:space="preserve"> </w:t>
      </w:r>
      <w:r>
        <w:t>They can</w:t>
      </w:r>
      <w:r>
        <w:rPr>
          <w:spacing w:val="-14"/>
        </w:rPr>
        <w:t xml:space="preserve"> </w:t>
      </w:r>
      <w:r>
        <w:t>suffer</w:t>
      </w:r>
      <w:r>
        <w:rPr>
          <w:spacing w:val="-14"/>
        </w:rPr>
        <w:t xml:space="preserve"> </w:t>
      </w:r>
      <w:r>
        <w:t>from</w:t>
      </w:r>
      <w:r>
        <w:rPr>
          <w:spacing w:val="-14"/>
        </w:rPr>
        <w:t xml:space="preserve"> </w:t>
      </w:r>
      <w:r>
        <w:t>confusion</w:t>
      </w:r>
      <w:r>
        <w:rPr>
          <w:spacing w:val="-14"/>
        </w:rPr>
        <w:t xml:space="preserve"> </w:t>
      </w:r>
      <w:r>
        <w:t>between</w:t>
      </w:r>
      <w:r>
        <w:rPr>
          <w:spacing w:val="-14"/>
        </w:rPr>
        <w:t xml:space="preserve"> </w:t>
      </w:r>
      <w:r>
        <w:t>mass</w:t>
      </w:r>
      <w:r>
        <w:rPr>
          <w:spacing w:val="-14"/>
        </w:rPr>
        <w:t xml:space="preserve"> </w:t>
      </w:r>
      <w:r>
        <w:t>transit</w:t>
      </w:r>
      <w:r>
        <w:rPr>
          <w:spacing w:val="-14"/>
        </w:rPr>
        <w:t xml:space="preserve"> </w:t>
      </w:r>
      <w:r>
        <w:t xml:space="preserve">and </w:t>
      </w:r>
      <w:r>
        <w:rPr>
          <w:w w:val="95"/>
        </w:rPr>
        <w:t>urban</w:t>
      </w:r>
      <w:r>
        <w:rPr>
          <w:spacing w:val="-4"/>
          <w:w w:val="95"/>
        </w:rPr>
        <w:t xml:space="preserve"> </w:t>
      </w:r>
      <w:r>
        <w:rPr>
          <w:w w:val="95"/>
        </w:rPr>
        <w:t>amenity</w:t>
      </w:r>
      <w:r>
        <w:rPr>
          <w:spacing w:val="-4"/>
          <w:w w:val="95"/>
        </w:rPr>
        <w:t xml:space="preserve"> </w:t>
      </w:r>
      <w:r>
        <w:rPr>
          <w:w w:val="95"/>
        </w:rPr>
        <w:t>roles.</w:t>
      </w:r>
      <w:r>
        <w:rPr>
          <w:spacing w:val="-4"/>
          <w:w w:val="95"/>
        </w:rPr>
        <w:t xml:space="preserve"> </w:t>
      </w:r>
      <w:r>
        <w:rPr>
          <w:w w:val="95"/>
        </w:rPr>
        <w:t>In</w:t>
      </w:r>
      <w:r>
        <w:rPr>
          <w:spacing w:val="-4"/>
          <w:w w:val="95"/>
        </w:rPr>
        <w:t xml:space="preserve"> </w:t>
      </w:r>
      <w:r>
        <w:rPr>
          <w:w w:val="95"/>
        </w:rPr>
        <w:t>the</w:t>
      </w:r>
      <w:r>
        <w:rPr>
          <w:spacing w:val="-4"/>
          <w:w w:val="95"/>
        </w:rPr>
        <w:t xml:space="preserve"> </w:t>
      </w:r>
      <w:r>
        <w:rPr>
          <w:w w:val="95"/>
        </w:rPr>
        <w:t>congested</w:t>
      </w:r>
      <w:r>
        <w:rPr>
          <w:spacing w:val="-4"/>
          <w:w w:val="95"/>
        </w:rPr>
        <w:t xml:space="preserve"> </w:t>
      </w:r>
      <w:r>
        <w:rPr>
          <w:w w:val="95"/>
        </w:rPr>
        <w:t>environment</w:t>
      </w:r>
      <w:r>
        <w:rPr>
          <w:spacing w:val="-4"/>
          <w:w w:val="95"/>
        </w:rPr>
        <w:t xml:space="preserve"> </w:t>
      </w:r>
      <w:r>
        <w:rPr>
          <w:w w:val="95"/>
        </w:rPr>
        <w:t>of the CBD, this distinction is critical. An amenity-based George</w:t>
      </w:r>
      <w:r>
        <w:rPr>
          <w:spacing w:val="-6"/>
          <w:w w:val="95"/>
        </w:rPr>
        <w:t xml:space="preserve"> </w:t>
      </w:r>
      <w:r>
        <w:rPr>
          <w:w w:val="95"/>
        </w:rPr>
        <w:t>Street</w:t>
      </w:r>
      <w:r>
        <w:rPr>
          <w:spacing w:val="-6"/>
          <w:w w:val="95"/>
        </w:rPr>
        <w:t xml:space="preserve"> </w:t>
      </w:r>
      <w:r>
        <w:rPr>
          <w:w w:val="95"/>
        </w:rPr>
        <w:t>light</w:t>
      </w:r>
      <w:r>
        <w:rPr>
          <w:spacing w:val="-6"/>
          <w:w w:val="95"/>
        </w:rPr>
        <w:t xml:space="preserve"> </w:t>
      </w:r>
      <w:r>
        <w:rPr>
          <w:w w:val="95"/>
        </w:rPr>
        <w:t>rail</w:t>
      </w:r>
      <w:r>
        <w:rPr>
          <w:spacing w:val="-6"/>
          <w:w w:val="95"/>
        </w:rPr>
        <w:t xml:space="preserve"> </w:t>
      </w:r>
      <w:r>
        <w:rPr>
          <w:w w:val="95"/>
        </w:rPr>
        <w:t>is</w:t>
      </w:r>
      <w:r>
        <w:rPr>
          <w:spacing w:val="-6"/>
          <w:w w:val="95"/>
        </w:rPr>
        <w:t xml:space="preserve"> </w:t>
      </w:r>
      <w:r>
        <w:rPr>
          <w:w w:val="95"/>
        </w:rPr>
        <w:t>possible,</w:t>
      </w:r>
      <w:r>
        <w:rPr>
          <w:spacing w:val="-6"/>
          <w:w w:val="95"/>
        </w:rPr>
        <w:t xml:space="preserve"> </w:t>
      </w:r>
      <w:r>
        <w:rPr>
          <w:w w:val="95"/>
        </w:rPr>
        <w:t>but</w:t>
      </w:r>
      <w:r>
        <w:rPr>
          <w:spacing w:val="-6"/>
          <w:w w:val="95"/>
        </w:rPr>
        <w:t xml:space="preserve"> </w:t>
      </w:r>
      <w:r>
        <w:rPr>
          <w:w w:val="95"/>
        </w:rPr>
        <w:t>is</w:t>
      </w:r>
      <w:r>
        <w:rPr>
          <w:spacing w:val="-6"/>
          <w:w w:val="95"/>
        </w:rPr>
        <w:t xml:space="preserve"> </w:t>
      </w:r>
      <w:r>
        <w:rPr>
          <w:w w:val="95"/>
        </w:rPr>
        <w:t>not</w:t>
      </w:r>
      <w:r>
        <w:rPr>
          <w:spacing w:val="-6"/>
          <w:w w:val="95"/>
        </w:rPr>
        <w:t xml:space="preserve"> </w:t>
      </w:r>
      <w:r>
        <w:rPr>
          <w:w w:val="95"/>
        </w:rPr>
        <w:t>in</w:t>
      </w:r>
      <w:r>
        <w:rPr>
          <w:spacing w:val="-6"/>
          <w:w w:val="95"/>
        </w:rPr>
        <w:t xml:space="preserve"> </w:t>
      </w:r>
      <w:r>
        <w:rPr>
          <w:w w:val="95"/>
        </w:rPr>
        <w:t>itself</w:t>
      </w:r>
      <w:r>
        <w:rPr>
          <w:spacing w:val="-6"/>
          <w:w w:val="95"/>
        </w:rPr>
        <w:t xml:space="preserve"> </w:t>
      </w:r>
      <w:r>
        <w:rPr>
          <w:w w:val="95"/>
        </w:rPr>
        <w:t>a solution</w:t>
      </w:r>
      <w:r>
        <w:rPr>
          <w:spacing w:val="-1"/>
          <w:w w:val="95"/>
        </w:rPr>
        <w:t xml:space="preserve"> </w:t>
      </w:r>
      <w:r>
        <w:rPr>
          <w:w w:val="95"/>
        </w:rPr>
        <w:t>to</w:t>
      </w:r>
      <w:r>
        <w:rPr>
          <w:spacing w:val="-3"/>
        </w:rPr>
        <w:t xml:space="preserve"> </w:t>
      </w:r>
      <w:r>
        <w:rPr>
          <w:w w:val="95"/>
        </w:rPr>
        <w:t>the</w:t>
      </w:r>
      <w:r>
        <w:rPr>
          <w:spacing w:val="-1"/>
          <w:w w:val="95"/>
        </w:rPr>
        <w:t xml:space="preserve"> </w:t>
      </w:r>
      <w:r>
        <w:rPr>
          <w:w w:val="95"/>
        </w:rPr>
        <w:t>bus</w:t>
      </w:r>
      <w:r>
        <w:rPr>
          <w:spacing w:val="-3"/>
        </w:rPr>
        <w:t xml:space="preserve"> </w:t>
      </w:r>
      <w:r>
        <w:rPr>
          <w:w w:val="95"/>
        </w:rPr>
        <w:t>congestion</w:t>
      </w:r>
      <w:r>
        <w:rPr>
          <w:spacing w:val="-3"/>
        </w:rPr>
        <w:t xml:space="preserve"> </w:t>
      </w:r>
      <w:r>
        <w:rPr>
          <w:w w:val="95"/>
        </w:rPr>
        <w:t>problem.</w:t>
      </w:r>
      <w:r>
        <w:rPr>
          <w:spacing w:val="-1"/>
          <w:w w:val="95"/>
        </w:rPr>
        <w:t xml:space="preserve"> </w:t>
      </w:r>
      <w:r>
        <w:rPr>
          <w:w w:val="95"/>
        </w:rPr>
        <w:t>CBD</w:t>
      </w:r>
      <w:r>
        <w:rPr>
          <w:spacing w:val="-3"/>
        </w:rPr>
        <w:t xml:space="preserve"> </w:t>
      </w:r>
      <w:r>
        <w:rPr>
          <w:w w:val="95"/>
        </w:rPr>
        <w:t>light</w:t>
      </w:r>
      <w:r>
        <w:rPr>
          <w:spacing w:val="-3"/>
        </w:rPr>
        <w:t xml:space="preserve"> </w:t>
      </w:r>
      <w:r>
        <w:rPr>
          <w:spacing w:val="-4"/>
          <w:w w:val="95"/>
        </w:rPr>
        <w:t>rail</w:t>
      </w:r>
    </w:p>
    <w:p w:rsidR="002C1123" w:rsidRDefault="00F22F94">
      <w:pPr>
        <w:pStyle w:val="BodyText"/>
        <w:spacing w:before="5" w:line="249" w:lineRule="auto"/>
        <w:ind w:left="221" w:right="773"/>
      </w:pPr>
      <w:r>
        <w:rPr>
          <w:w w:val="95"/>
        </w:rPr>
        <w:t>has</w:t>
      </w:r>
      <w:r>
        <w:rPr>
          <w:spacing w:val="-5"/>
          <w:w w:val="95"/>
        </w:rPr>
        <w:t xml:space="preserve"> </w:t>
      </w:r>
      <w:r>
        <w:rPr>
          <w:w w:val="95"/>
        </w:rPr>
        <w:t>significant</w:t>
      </w:r>
      <w:r>
        <w:rPr>
          <w:spacing w:val="-5"/>
          <w:w w:val="95"/>
        </w:rPr>
        <w:t xml:space="preserve"> </w:t>
      </w:r>
      <w:r>
        <w:rPr>
          <w:w w:val="95"/>
        </w:rPr>
        <w:t>negative</w:t>
      </w:r>
      <w:r>
        <w:rPr>
          <w:spacing w:val="-5"/>
          <w:w w:val="95"/>
        </w:rPr>
        <w:t xml:space="preserve"> </w:t>
      </w:r>
      <w:r>
        <w:rPr>
          <w:w w:val="95"/>
        </w:rPr>
        <w:t>impacts</w:t>
      </w:r>
      <w:r>
        <w:rPr>
          <w:spacing w:val="-5"/>
          <w:w w:val="95"/>
        </w:rPr>
        <w:t xml:space="preserve"> </w:t>
      </w:r>
      <w:r>
        <w:rPr>
          <w:w w:val="95"/>
        </w:rPr>
        <w:t>in</w:t>
      </w:r>
      <w:r>
        <w:rPr>
          <w:spacing w:val="-5"/>
          <w:w w:val="95"/>
        </w:rPr>
        <w:t xml:space="preserve"> </w:t>
      </w:r>
      <w:r>
        <w:rPr>
          <w:w w:val="95"/>
        </w:rPr>
        <w:t>terms</w:t>
      </w:r>
      <w:r>
        <w:rPr>
          <w:spacing w:val="-5"/>
          <w:w w:val="95"/>
        </w:rPr>
        <w:t xml:space="preserve"> </w:t>
      </w:r>
      <w:r>
        <w:rPr>
          <w:w w:val="95"/>
        </w:rPr>
        <w:t>of</w:t>
      </w:r>
      <w:r>
        <w:rPr>
          <w:spacing w:val="-5"/>
          <w:w w:val="95"/>
        </w:rPr>
        <w:t xml:space="preserve"> </w:t>
      </w:r>
      <w:r>
        <w:rPr>
          <w:w w:val="95"/>
        </w:rPr>
        <w:t>costs,</w:t>
      </w:r>
      <w:r>
        <w:rPr>
          <w:spacing w:val="-5"/>
          <w:w w:val="95"/>
        </w:rPr>
        <w:t xml:space="preserve"> </w:t>
      </w:r>
      <w:r>
        <w:rPr>
          <w:w w:val="95"/>
        </w:rPr>
        <w:t xml:space="preserve">CBD </w:t>
      </w:r>
      <w:r>
        <w:t>disruption</w:t>
      </w:r>
      <w:r>
        <w:rPr>
          <w:spacing w:val="-1"/>
        </w:rPr>
        <w:t xml:space="preserve"> </w:t>
      </w:r>
      <w:r>
        <w:t>and</w:t>
      </w:r>
      <w:r>
        <w:rPr>
          <w:spacing w:val="-1"/>
        </w:rPr>
        <w:t xml:space="preserve"> </w:t>
      </w:r>
      <w:r>
        <w:t>widespread</w:t>
      </w:r>
      <w:r>
        <w:rPr>
          <w:spacing w:val="-1"/>
        </w:rPr>
        <w:t xml:space="preserve"> </w:t>
      </w:r>
      <w:r>
        <w:t>network</w:t>
      </w:r>
      <w:r>
        <w:rPr>
          <w:spacing w:val="-1"/>
        </w:rPr>
        <w:t xml:space="preserve"> </w:t>
      </w:r>
      <w:r>
        <w:t>changes,</w:t>
      </w:r>
      <w:r>
        <w:rPr>
          <w:spacing w:val="-1"/>
        </w:rPr>
        <w:t xml:space="preserve"> </w:t>
      </w:r>
      <w:r>
        <w:t>whilst providing</w:t>
      </w:r>
      <w:r>
        <w:rPr>
          <w:spacing w:val="-11"/>
        </w:rPr>
        <w:t xml:space="preserve"> </w:t>
      </w:r>
      <w:r>
        <w:t>little</w:t>
      </w:r>
      <w:r>
        <w:rPr>
          <w:spacing w:val="-11"/>
        </w:rPr>
        <w:t xml:space="preserve"> </w:t>
      </w:r>
      <w:r>
        <w:t>or</w:t>
      </w:r>
      <w:r>
        <w:rPr>
          <w:spacing w:val="-11"/>
        </w:rPr>
        <w:t xml:space="preserve"> </w:t>
      </w:r>
      <w:r>
        <w:t>no</w:t>
      </w:r>
      <w:r>
        <w:rPr>
          <w:spacing w:val="-11"/>
        </w:rPr>
        <w:t xml:space="preserve"> </w:t>
      </w:r>
      <w:r>
        <w:t>apparent</w:t>
      </w:r>
      <w:r>
        <w:rPr>
          <w:spacing w:val="-11"/>
        </w:rPr>
        <w:t xml:space="preserve"> </w:t>
      </w:r>
      <w:r>
        <w:t>increase</w:t>
      </w:r>
      <w:r>
        <w:rPr>
          <w:spacing w:val="-11"/>
        </w:rPr>
        <w:t xml:space="preserve"> </w:t>
      </w:r>
      <w:r>
        <w:t>in</w:t>
      </w:r>
      <w:r>
        <w:rPr>
          <w:spacing w:val="-11"/>
        </w:rPr>
        <w:t xml:space="preserve"> </w:t>
      </w:r>
      <w:r>
        <w:t>capacity</w:t>
      </w:r>
      <w:r>
        <w:rPr>
          <w:spacing w:val="-11"/>
        </w:rPr>
        <w:t xml:space="preserve"> </w:t>
      </w:r>
      <w:r>
        <w:t>or reduction</w:t>
      </w:r>
      <w:r>
        <w:rPr>
          <w:spacing w:val="-4"/>
        </w:rPr>
        <w:t xml:space="preserve"> </w:t>
      </w:r>
      <w:r>
        <w:t>in</w:t>
      </w:r>
      <w:r>
        <w:rPr>
          <w:spacing w:val="-4"/>
        </w:rPr>
        <w:t xml:space="preserve"> </w:t>
      </w:r>
      <w:r>
        <w:t>travel</w:t>
      </w:r>
      <w:r>
        <w:rPr>
          <w:spacing w:val="-4"/>
        </w:rPr>
        <w:t xml:space="preserve"> </w:t>
      </w:r>
      <w:r>
        <w:t>times</w:t>
      </w:r>
      <w:r>
        <w:rPr>
          <w:spacing w:val="-4"/>
        </w:rPr>
        <w:t xml:space="preserve"> </w:t>
      </w:r>
      <w:r>
        <w:t>or</w:t>
      </w:r>
      <w:r>
        <w:rPr>
          <w:spacing w:val="-4"/>
        </w:rPr>
        <w:t xml:space="preserve"> </w:t>
      </w:r>
      <w:r>
        <w:t>congestion.</w:t>
      </w:r>
    </w:p>
    <w:p w:rsidR="002C1123" w:rsidRDefault="00F22F94">
      <w:pPr>
        <w:pStyle w:val="BodyText"/>
        <w:spacing w:before="145" w:line="249" w:lineRule="auto"/>
        <w:ind w:left="221" w:right="773"/>
      </w:pPr>
      <w:r>
        <w:rPr>
          <w:w w:val="95"/>
        </w:rPr>
        <w:t xml:space="preserve">Light rail along Anzac Parade to Central Station could </w:t>
      </w:r>
      <w:r>
        <w:t>offer</w:t>
      </w:r>
      <w:r>
        <w:rPr>
          <w:spacing w:val="-14"/>
        </w:rPr>
        <w:t xml:space="preserve"> </w:t>
      </w:r>
      <w:r>
        <w:t>a</w:t>
      </w:r>
      <w:r>
        <w:rPr>
          <w:spacing w:val="-14"/>
        </w:rPr>
        <w:t xml:space="preserve"> </w:t>
      </w:r>
      <w:r>
        <w:t>better</w:t>
      </w:r>
      <w:r>
        <w:rPr>
          <w:spacing w:val="-14"/>
        </w:rPr>
        <w:t xml:space="preserve"> </w:t>
      </w:r>
      <w:r>
        <w:t>quality</w:t>
      </w:r>
      <w:r>
        <w:rPr>
          <w:spacing w:val="-14"/>
        </w:rPr>
        <w:t xml:space="preserve"> </w:t>
      </w:r>
      <w:r>
        <w:t>travel</w:t>
      </w:r>
      <w:r>
        <w:rPr>
          <w:spacing w:val="-14"/>
        </w:rPr>
        <w:t xml:space="preserve"> </w:t>
      </w:r>
      <w:r>
        <w:t>experience</w:t>
      </w:r>
      <w:r>
        <w:rPr>
          <w:spacing w:val="-14"/>
        </w:rPr>
        <w:t xml:space="preserve"> </w:t>
      </w:r>
      <w:r>
        <w:t>for</w:t>
      </w:r>
      <w:r>
        <w:rPr>
          <w:spacing w:val="-14"/>
        </w:rPr>
        <w:t xml:space="preserve"> </w:t>
      </w:r>
      <w:r>
        <w:t>the</w:t>
      </w:r>
      <w:r>
        <w:rPr>
          <w:spacing w:val="-13"/>
        </w:rPr>
        <w:t xml:space="preserve"> </w:t>
      </w:r>
      <w:r>
        <w:t xml:space="preserve">high </w:t>
      </w:r>
      <w:r>
        <w:rPr>
          <w:w w:val="95"/>
        </w:rPr>
        <w:t>volume</w:t>
      </w:r>
      <w:r>
        <w:rPr>
          <w:spacing w:val="-3"/>
          <w:w w:val="95"/>
        </w:rPr>
        <w:t xml:space="preserve"> </w:t>
      </w:r>
      <w:r>
        <w:rPr>
          <w:w w:val="95"/>
        </w:rPr>
        <w:t>traffic</w:t>
      </w:r>
      <w:r>
        <w:rPr>
          <w:spacing w:val="-3"/>
          <w:w w:val="95"/>
        </w:rPr>
        <w:t xml:space="preserve"> </w:t>
      </w:r>
      <w:r>
        <w:rPr>
          <w:w w:val="95"/>
        </w:rPr>
        <w:t>flows</w:t>
      </w:r>
      <w:r>
        <w:rPr>
          <w:spacing w:val="-3"/>
          <w:w w:val="95"/>
        </w:rPr>
        <w:t xml:space="preserve"> </w:t>
      </w:r>
      <w:r>
        <w:rPr>
          <w:w w:val="95"/>
        </w:rPr>
        <w:t>to</w:t>
      </w:r>
      <w:r>
        <w:rPr>
          <w:spacing w:val="-3"/>
          <w:w w:val="95"/>
        </w:rPr>
        <w:t xml:space="preserve"> </w:t>
      </w:r>
      <w:r>
        <w:rPr>
          <w:w w:val="95"/>
        </w:rPr>
        <w:t>the</w:t>
      </w:r>
      <w:r>
        <w:rPr>
          <w:spacing w:val="-3"/>
          <w:w w:val="95"/>
        </w:rPr>
        <w:t xml:space="preserve"> </w:t>
      </w:r>
      <w:r>
        <w:rPr>
          <w:w w:val="95"/>
        </w:rPr>
        <w:t>Moore</w:t>
      </w:r>
      <w:r>
        <w:rPr>
          <w:spacing w:val="-3"/>
          <w:w w:val="95"/>
        </w:rPr>
        <w:t xml:space="preserve"> </w:t>
      </w:r>
      <w:r>
        <w:rPr>
          <w:w w:val="95"/>
        </w:rPr>
        <w:t>Park</w:t>
      </w:r>
      <w:r>
        <w:rPr>
          <w:spacing w:val="-3"/>
          <w:w w:val="95"/>
        </w:rPr>
        <w:t xml:space="preserve"> </w:t>
      </w:r>
      <w:r>
        <w:rPr>
          <w:w w:val="95"/>
        </w:rPr>
        <w:t>precinct</w:t>
      </w:r>
      <w:r>
        <w:rPr>
          <w:spacing w:val="-3"/>
          <w:w w:val="95"/>
        </w:rPr>
        <w:t xml:space="preserve"> </w:t>
      </w:r>
      <w:r>
        <w:rPr>
          <w:w w:val="95"/>
        </w:rPr>
        <w:t>and</w:t>
      </w:r>
      <w:r>
        <w:rPr>
          <w:spacing w:val="-3"/>
          <w:w w:val="95"/>
        </w:rPr>
        <w:t xml:space="preserve"> </w:t>
      </w:r>
      <w:r>
        <w:rPr>
          <w:w w:val="95"/>
        </w:rPr>
        <w:t xml:space="preserve">the </w:t>
      </w:r>
      <w:r>
        <w:t>University</w:t>
      </w:r>
      <w:r>
        <w:rPr>
          <w:spacing w:val="-10"/>
        </w:rPr>
        <w:t xml:space="preserve"> </w:t>
      </w:r>
      <w:r>
        <w:t>of</w:t>
      </w:r>
      <w:r>
        <w:rPr>
          <w:spacing w:val="-10"/>
        </w:rPr>
        <w:t xml:space="preserve"> </w:t>
      </w:r>
      <w:r>
        <w:t>NSW,</w:t>
      </w:r>
      <w:r>
        <w:rPr>
          <w:spacing w:val="-10"/>
        </w:rPr>
        <w:t xml:space="preserve"> </w:t>
      </w:r>
      <w:r>
        <w:t>but</w:t>
      </w:r>
      <w:r>
        <w:rPr>
          <w:spacing w:val="-10"/>
        </w:rPr>
        <w:t xml:space="preserve"> </w:t>
      </w:r>
      <w:r>
        <w:t>it</w:t>
      </w:r>
      <w:r>
        <w:rPr>
          <w:spacing w:val="-10"/>
        </w:rPr>
        <w:t xml:space="preserve"> </w:t>
      </w:r>
      <w:r>
        <w:t>must</w:t>
      </w:r>
      <w:r>
        <w:rPr>
          <w:spacing w:val="-10"/>
        </w:rPr>
        <w:t xml:space="preserve"> </w:t>
      </w:r>
      <w:r>
        <w:t>be</w:t>
      </w:r>
      <w:r>
        <w:rPr>
          <w:spacing w:val="-10"/>
        </w:rPr>
        <w:t xml:space="preserve"> </w:t>
      </w:r>
      <w:r>
        <w:t>noted</w:t>
      </w:r>
      <w:r>
        <w:rPr>
          <w:spacing w:val="-10"/>
        </w:rPr>
        <w:t xml:space="preserve"> </w:t>
      </w:r>
      <w:r>
        <w:t>that</w:t>
      </w:r>
      <w:r>
        <w:rPr>
          <w:spacing w:val="-10"/>
        </w:rPr>
        <w:t xml:space="preserve"> </w:t>
      </w:r>
      <w:r>
        <w:t>for</w:t>
      </w:r>
      <w:r>
        <w:rPr>
          <w:spacing w:val="-10"/>
        </w:rPr>
        <w:t xml:space="preserve"> </w:t>
      </w:r>
      <w:r>
        <w:t xml:space="preserve">most </w:t>
      </w:r>
      <w:r>
        <w:rPr>
          <w:spacing w:val="-2"/>
        </w:rPr>
        <w:t>South</w:t>
      </w:r>
      <w:r>
        <w:rPr>
          <w:spacing w:val="-10"/>
        </w:rPr>
        <w:t xml:space="preserve"> </w:t>
      </w:r>
      <w:r>
        <w:rPr>
          <w:spacing w:val="-2"/>
        </w:rPr>
        <w:t>Eastern</w:t>
      </w:r>
      <w:r>
        <w:rPr>
          <w:spacing w:val="-10"/>
        </w:rPr>
        <w:t xml:space="preserve"> </w:t>
      </w:r>
      <w:r>
        <w:rPr>
          <w:spacing w:val="-2"/>
        </w:rPr>
        <w:t>commuters</w:t>
      </w:r>
      <w:r>
        <w:rPr>
          <w:spacing w:val="-10"/>
        </w:rPr>
        <w:t xml:space="preserve"> </w:t>
      </w:r>
      <w:r>
        <w:rPr>
          <w:spacing w:val="-2"/>
        </w:rPr>
        <w:t>to</w:t>
      </w:r>
      <w:r>
        <w:rPr>
          <w:spacing w:val="-10"/>
        </w:rPr>
        <w:t xml:space="preserve"> </w:t>
      </w:r>
      <w:r>
        <w:rPr>
          <w:spacing w:val="-2"/>
        </w:rPr>
        <w:t>the</w:t>
      </w:r>
      <w:r>
        <w:rPr>
          <w:spacing w:val="-10"/>
        </w:rPr>
        <w:t xml:space="preserve"> </w:t>
      </w:r>
      <w:r>
        <w:rPr>
          <w:spacing w:val="-2"/>
        </w:rPr>
        <w:t>CBD,</w:t>
      </w:r>
      <w:r>
        <w:rPr>
          <w:spacing w:val="-10"/>
        </w:rPr>
        <w:t xml:space="preserve"> </w:t>
      </w:r>
      <w:r>
        <w:rPr>
          <w:spacing w:val="-2"/>
        </w:rPr>
        <w:t>light</w:t>
      </w:r>
      <w:r>
        <w:rPr>
          <w:spacing w:val="-10"/>
        </w:rPr>
        <w:t xml:space="preserve"> </w:t>
      </w:r>
      <w:r>
        <w:rPr>
          <w:spacing w:val="-2"/>
        </w:rPr>
        <w:t>rail</w:t>
      </w:r>
      <w:r>
        <w:rPr>
          <w:spacing w:val="-10"/>
        </w:rPr>
        <w:t xml:space="preserve"> </w:t>
      </w:r>
      <w:r>
        <w:rPr>
          <w:spacing w:val="-2"/>
        </w:rPr>
        <w:t xml:space="preserve">would </w:t>
      </w:r>
      <w:r>
        <w:rPr>
          <w:w w:val="95"/>
        </w:rPr>
        <w:t xml:space="preserve">not compete on travel time with existing bus services. </w:t>
      </w:r>
      <w:r>
        <w:t>Accordingly,</w:t>
      </w:r>
      <w:r>
        <w:rPr>
          <w:spacing w:val="-11"/>
        </w:rPr>
        <w:t xml:space="preserve"> </w:t>
      </w:r>
      <w:r>
        <w:t>the</w:t>
      </w:r>
      <w:r>
        <w:rPr>
          <w:spacing w:val="-11"/>
        </w:rPr>
        <w:t xml:space="preserve"> </w:t>
      </w:r>
      <w:r>
        <w:t>scope</w:t>
      </w:r>
      <w:r>
        <w:rPr>
          <w:spacing w:val="-11"/>
        </w:rPr>
        <w:t xml:space="preserve"> </w:t>
      </w:r>
      <w:r>
        <w:t>and</w:t>
      </w:r>
      <w:r>
        <w:rPr>
          <w:spacing w:val="-11"/>
        </w:rPr>
        <w:t xml:space="preserve"> </w:t>
      </w:r>
      <w:r>
        <w:t>costs</w:t>
      </w:r>
      <w:r>
        <w:rPr>
          <w:spacing w:val="-11"/>
        </w:rPr>
        <w:t xml:space="preserve"> </w:t>
      </w:r>
      <w:r>
        <w:t>of</w:t>
      </w:r>
      <w:r>
        <w:rPr>
          <w:spacing w:val="-11"/>
        </w:rPr>
        <w:t xml:space="preserve"> </w:t>
      </w:r>
      <w:r>
        <w:t>a</w:t>
      </w:r>
      <w:r>
        <w:rPr>
          <w:spacing w:val="-11"/>
        </w:rPr>
        <w:t xml:space="preserve"> </w:t>
      </w:r>
      <w:r>
        <w:t>line</w:t>
      </w:r>
      <w:r>
        <w:rPr>
          <w:spacing w:val="-11"/>
        </w:rPr>
        <w:t xml:space="preserve"> </w:t>
      </w:r>
      <w:r>
        <w:t>to</w:t>
      </w:r>
      <w:r>
        <w:rPr>
          <w:spacing w:val="-11"/>
        </w:rPr>
        <w:t xml:space="preserve"> </w:t>
      </w:r>
      <w:r>
        <w:t>Central Station need to be tightly controlled.</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272" w:space="40"/>
            <w:col w:w="4973" w:space="39"/>
            <w:col w:w="5736"/>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7"/>
        </w:rPr>
      </w:pPr>
    </w:p>
    <w:p w:rsidR="002C1123" w:rsidRDefault="002C1123">
      <w:pPr>
        <w:rPr>
          <w:sz w:val="17"/>
        </w:rPr>
        <w:sectPr w:rsidR="002C1123">
          <w:pgSz w:w="16840" w:h="11910" w:orient="landscape"/>
          <w:pgMar w:top="560" w:right="280" w:bottom="700" w:left="500" w:header="0" w:footer="517" w:gutter="0"/>
          <w:cols w:space="720"/>
        </w:sectPr>
      </w:pPr>
    </w:p>
    <w:p w:rsidR="002C1123" w:rsidRDefault="00F22F94">
      <w:pPr>
        <w:pStyle w:val="BodyText"/>
        <w:spacing w:before="129" w:line="249" w:lineRule="auto"/>
        <w:ind w:left="492" w:right="11"/>
      </w:pPr>
      <w:bookmarkStart w:id="208" w:name="7.8_Recommended_actions_for_buses_and_li"/>
      <w:bookmarkStart w:id="209" w:name="_bookmark150"/>
      <w:bookmarkStart w:id="210" w:name="_bookmark149"/>
      <w:bookmarkEnd w:id="208"/>
      <w:bookmarkEnd w:id="209"/>
      <w:bookmarkEnd w:id="210"/>
      <w:r>
        <w:rPr>
          <w:w w:val="95"/>
        </w:rPr>
        <w:t xml:space="preserve">The Parramatta to Macquarie Park, Northern Beaches </w:t>
      </w:r>
      <w:r>
        <w:t>and</w:t>
      </w:r>
      <w:r>
        <w:rPr>
          <w:spacing w:val="-7"/>
        </w:rPr>
        <w:t xml:space="preserve"> </w:t>
      </w:r>
      <w:r>
        <w:t>Victoria</w:t>
      </w:r>
      <w:r>
        <w:rPr>
          <w:spacing w:val="-7"/>
        </w:rPr>
        <w:t xml:space="preserve"> </w:t>
      </w:r>
      <w:r>
        <w:t>Road</w:t>
      </w:r>
      <w:r>
        <w:rPr>
          <w:spacing w:val="-7"/>
        </w:rPr>
        <w:t xml:space="preserve"> </w:t>
      </w:r>
      <w:r>
        <w:t>corridors</w:t>
      </w:r>
      <w:r>
        <w:rPr>
          <w:spacing w:val="-7"/>
        </w:rPr>
        <w:t xml:space="preserve"> </w:t>
      </w:r>
      <w:r>
        <w:t>may</w:t>
      </w:r>
      <w:r>
        <w:rPr>
          <w:spacing w:val="-7"/>
        </w:rPr>
        <w:t xml:space="preserve"> </w:t>
      </w:r>
      <w:r>
        <w:t>warrant</w:t>
      </w:r>
      <w:r>
        <w:rPr>
          <w:spacing w:val="-7"/>
        </w:rPr>
        <w:t xml:space="preserve"> </w:t>
      </w:r>
      <w:r>
        <w:t xml:space="preserve">more </w:t>
      </w:r>
      <w:r>
        <w:rPr>
          <w:spacing w:val="-2"/>
        </w:rPr>
        <w:t xml:space="preserve">substantial bus infrastructure investments; feasibility </w:t>
      </w:r>
      <w:r>
        <w:rPr>
          <w:w w:val="95"/>
        </w:rPr>
        <w:t xml:space="preserve">studies should be commenced to identify and evaluate </w:t>
      </w:r>
      <w:r>
        <w:rPr>
          <w:spacing w:val="-2"/>
        </w:rPr>
        <w:t>appropriate</w:t>
      </w:r>
      <w:r>
        <w:rPr>
          <w:spacing w:val="-12"/>
        </w:rPr>
        <w:t xml:space="preserve"> </w:t>
      </w:r>
      <w:r>
        <w:rPr>
          <w:spacing w:val="-2"/>
        </w:rPr>
        <w:t>scope</w:t>
      </w:r>
      <w:r>
        <w:rPr>
          <w:spacing w:val="-12"/>
        </w:rPr>
        <w:t xml:space="preserve"> </w:t>
      </w:r>
      <w:r>
        <w:rPr>
          <w:spacing w:val="-2"/>
        </w:rPr>
        <w:t>of</w:t>
      </w:r>
      <w:r>
        <w:rPr>
          <w:spacing w:val="-12"/>
        </w:rPr>
        <w:t xml:space="preserve"> </w:t>
      </w:r>
      <w:r>
        <w:rPr>
          <w:spacing w:val="-2"/>
        </w:rPr>
        <w:t>works</w:t>
      </w:r>
      <w:r>
        <w:rPr>
          <w:spacing w:val="-12"/>
        </w:rPr>
        <w:t xml:space="preserve"> </w:t>
      </w:r>
      <w:r>
        <w:rPr>
          <w:spacing w:val="-2"/>
        </w:rPr>
        <w:t>to</w:t>
      </w:r>
      <w:r>
        <w:rPr>
          <w:spacing w:val="-12"/>
        </w:rPr>
        <w:t xml:space="preserve"> </w:t>
      </w:r>
      <w:r>
        <w:rPr>
          <w:spacing w:val="-2"/>
        </w:rPr>
        <w:t>deliver</w:t>
      </w:r>
      <w:r>
        <w:rPr>
          <w:spacing w:val="-12"/>
        </w:rPr>
        <w:t xml:space="preserve"> </w:t>
      </w:r>
      <w:r>
        <w:rPr>
          <w:spacing w:val="-2"/>
        </w:rPr>
        <w:t>value</w:t>
      </w:r>
      <w:r>
        <w:rPr>
          <w:spacing w:val="-12"/>
        </w:rPr>
        <w:t xml:space="preserve"> </w:t>
      </w:r>
      <w:r>
        <w:rPr>
          <w:spacing w:val="-2"/>
        </w:rPr>
        <w:t>for</w:t>
      </w:r>
      <w:r>
        <w:rPr>
          <w:spacing w:val="-12"/>
        </w:rPr>
        <w:t xml:space="preserve"> </w:t>
      </w:r>
      <w:r>
        <w:rPr>
          <w:spacing w:val="-2"/>
        </w:rPr>
        <w:t xml:space="preserve">money. </w:t>
      </w:r>
      <w:r>
        <w:rPr>
          <w:w w:val="95"/>
        </w:rPr>
        <w:t>Investments</w:t>
      </w:r>
      <w:r>
        <w:rPr>
          <w:spacing w:val="-5"/>
          <w:w w:val="95"/>
        </w:rPr>
        <w:t xml:space="preserve"> </w:t>
      </w:r>
      <w:r>
        <w:rPr>
          <w:w w:val="95"/>
        </w:rPr>
        <w:t>need</w:t>
      </w:r>
      <w:r>
        <w:rPr>
          <w:spacing w:val="-5"/>
          <w:w w:val="95"/>
        </w:rPr>
        <w:t xml:space="preserve"> </w:t>
      </w:r>
      <w:r>
        <w:rPr>
          <w:w w:val="95"/>
        </w:rPr>
        <w:t>to</w:t>
      </w:r>
      <w:r>
        <w:rPr>
          <w:spacing w:val="-5"/>
          <w:w w:val="95"/>
        </w:rPr>
        <w:t xml:space="preserve"> </w:t>
      </w:r>
      <w:r>
        <w:rPr>
          <w:w w:val="95"/>
        </w:rPr>
        <w:t>be</w:t>
      </w:r>
      <w:r>
        <w:rPr>
          <w:spacing w:val="-5"/>
          <w:w w:val="95"/>
        </w:rPr>
        <w:t xml:space="preserve"> </w:t>
      </w:r>
      <w:r>
        <w:rPr>
          <w:w w:val="95"/>
        </w:rPr>
        <w:t>staged</w:t>
      </w:r>
      <w:r>
        <w:rPr>
          <w:spacing w:val="-5"/>
          <w:w w:val="95"/>
        </w:rPr>
        <w:t xml:space="preserve"> </w:t>
      </w:r>
      <w:r>
        <w:rPr>
          <w:w w:val="95"/>
        </w:rPr>
        <w:t>on</w:t>
      </w:r>
      <w:r>
        <w:rPr>
          <w:spacing w:val="-5"/>
          <w:w w:val="95"/>
        </w:rPr>
        <w:t xml:space="preserve"> </w:t>
      </w:r>
      <w:r>
        <w:rPr>
          <w:w w:val="95"/>
        </w:rPr>
        <w:t>an</w:t>
      </w:r>
      <w:r>
        <w:rPr>
          <w:spacing w:val="-5"/>
          <w:w w:val="95"/>
        </w:rPr>
        <w:t xml:space="preserve"> </w:t>
      </w:r>
      <w:r>
        <w:rPr>
          <w:w w:val="95"/>
        </w:rPr>
        <w:t>incremental</w:t>
      </w:r>
      <w:r>
        <w:rPr>
          <w:spacing w:val="-5"/>
          <w:w w:val="95"/>
        </w:rPr>
        <w:t xml:space="preserve"> </w:t>
      </w:r>
      <w:r>
        <w:rPr>
          <w:w w:val="95"/>
        </w:rPr>
        <w:t xml:space="preserve">basis </w:t>
      </w:r>
      <w:r>
        <w:t>to promote and respond to demand growth.</w:t>
      </w:r>
    </w:p>
    <w:p w:rsidR="002C1123" w:rsidRDefault="00F22F94">
      <w:pPr>
        <w:pStyle w:val="BodyText"/>
        <w:spacing w:before="147" w:line="249" w:lineRule="auto"/>
        <w:ind w:left="492"/>
      </w:pPr>
      <w:r>
        <w:rPr>
          <w:w w:val="95"/>
        </w:rPr>
        <w:t xml:space="preserve">In the rest of metropolitan Sydney, the emphasis should be on bus network design and incremental infrastructure improvements to support fast, frequent and reliable bus </w:t>
      </w:r>
      <w:r>
        <w:t>services on major corridors.</w:t>
      </w:r>
    </w:p>
    <w:p w:rsidR="002C1123" w:rsidRDefault="00F22F94">
      <w:pPr>
        <w:pStyle w:val="Heading5"/>
        <w:numPr>
          <w:ilvl w:val="1"/>
          <w:numId w:val="92"/>
        </w:numPr>
        <w:tabs>
          <w:tab w:val="left" w:pos="681"/>
        </w:tabs>
        <w:ind w:left="680" w:hanging="451"/>
        <w:jc w:val="left"/>
      </w:pPr>
      <w:r>
        <w:rPr>
          <w:b w:val="0"/>
        </w:rPr>
        <w:br w:type="column"/>
      </w:r>
      <w:r>
        <w:rPr>
          <w:color w:val="00AEEF"/>
          <w:spacing w:val="-4"/>
        </w:rPr>
        <w:t>Recommended</w:t>
      </w:r>
      <w:r>
        <w:rPr>
          <w:color w:val="00AEEF"/>
          <w:spacing w:val="-13"/>
        </w:rPr>
        <w:t xml:space="preserve"> </w:t>
      </w:r>
      <w:r>
        <w:rPr>
          <w:color w:val="00AEEF"/>
          <w:spacing w:val="-4"/>
        </w:rPr>
        <w:t>actions</w:t>
      </w:r>
      <w:r>
        <w:rPr>
          <w:color w:val="00AEEF"/>
          <w:spacing w:val="-13"/>
        </w:rPr>
        <w:t xml:space="preserve"> </w:t>
      </w:r>
      <w:r>
        <w:rPr>
          <w:color w:val="00AEEF"/>
          <w:spacing w:val="-4"/>
        </w:rPr>
        <w:t>for</w:t>
      </w:r>
      <w:r>
        <w:rPr>
          <w:color w:val="00AEEF"/>
          <w:spacing w:val="-12"/>
        </w:rPr>
        <w:t xml:space="preserve"> </w:t>
      </w:r>
      <w:r>
        <w:rPr>
          <w:color w:val="00AEEF"/>
          <w:spacing w:val="-4"/>
        </w:rPr>
        <w:t>buses</w:t>
      </w:r>
      <w:r>
        <w:rPr>
          <w:color w:val="00AEEF"/>
          <w:spacing w:val="-13"/>
        </w:rPr>
        <w:t xml:space="preserve"> </w:t>
      </w:r>
      <w:r>
        <w:rPr>
          <w:color w:val="00AEEF"/>
          <w:spacing w:val="-4"/>
        </w:rPr>
        <w:t>and</w:t>
      </w:r>
      <w:r>
        <w:rPr>
          <w:color w:val="00AEEF"/>
          <w:spacing w:val="-13"/>
        </w:rPr>
        <w:t xml:space="preserve"> </w:t>
      </w:r>
      <w:r>
        <w:rPr>
          <w:color w:val="00AEEF"/>
          <w:spacing w:val="-4"/>
        </w:rPr>
        <w:t>light</w:t>
      </w:r>
      <w:r>
        <w:rPr>
          <w:color w:val="00AEEF"/>
          <w:spacing w:val="-12"/>
        </w:rPr>
        <w:t xml:space="preserve"> </w:t>
      </w:r>
      <w:r>
        <w:rPr>
          <w:color w:val="00AEEF"/>
          <w:spacing w:val="-4"/>
        </w:rPr>
        <w:t>rail</w:t>
      </w:r>
    </w:p>
    <w:p w:rsidR="002C1123" w:rsidRDefault="002060EF">
      <w:pPr>
        <w:tabs>
          <w:tab w:val="left" w:pos="4661"/>
          <w:tab w:val="left" w:pos="5374"/>
          <w:tab w:val="left" w:pos="6678"/>
        </w:tabs>
        <w:spacing w:before="127"/>
        <w:ind w:left="901"/>
        <w:rPr>
          <w:b/>
          <w:sz w:val="18"/>
        </w:rPr>
      </w:pPr>
      <w:r>
        <w:pict>
          <v:shape id="docshape1405" o:spid="_x0000_s3818" type="#_x0000_t202" style="position:absolute;left:0;text-align:left;margin-left:300.95pt;margin-top:17.15pt;width:491.15pt;height:235.15pt;z-index:251404288;mso-position-horizontal-relative:page" filled="f" stroked="f">
            <v:textbox inset="0,0,0,0">
              <w:txbxContent>
                <w:tbl>
                  <w:tblPr>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67"/>
                    <w:gridCol w:w="3760"/>
                    <w:gridCol w:w="713"/>
                    <w:gridCol w:w="1304"/>
                    <w:gridCol w:w="3458"/>
                  </w:tblGrid>
                  <w:tr w:rsidR="00F22F94">
                    <w:trPr>
                      <w:trHeight w:val="749"/>
                    </w:trPr>
                    <w:tc>
                      <w:tcPr>
                        <w:tcW w:w="567" w:type="dxa"/>
                        <w:tcBorders>
                          <w:left w:val="nil"/>
                        </w:tcBorders>
                        <w:shd w:val="clear" w:color="auto" w:fill="C9C8C9"/>
                      </w:tcPr>
                      <w:p w:rsidR="00F22F94" w:rsidRDefault="00F22F94">
                        <w:pPr>
                          <w:pStyle w:val="TableParagraph"/>
                          <w:rPr>
                            <w:b/>
                            <w:sz w:val="16"/>
                          </w:rPr>
                        </w:pPr>
                        <w:r>
                          <w:rPr>
                            <w:b/>
                            <w:w w:val="99"/>
                            <w:sz w:val="16"/>
                          </w:rPr>
                          <w:t>9</w:t>
                        </w:r>
                      </w:p>
                    </w:tc>
                    <w:tc>
                      <w:tcPr>
                        <w:tcW w:w="3760" w:type="dxa"/>
                        <w:shd w:val="clear" w:color="auto" w:fill="C9C8C9"/>
                      </w:tcPr>
                      <w:p w:rsidR="00F22F94" w:rsidRDefault="00F22F94">
                        <w:pPr>
                          <w:pStyle w:val="TableParagraph"/>
                          <w:spacing w:line="261" w:lineRule="auto"/>
                          <w:ind w:right="109"/>
                          <w:rPr>
                            <w:b/>
                            <w:sz w:val="16"/>
                          </w:rPr>
                        </w:pPr>
                        <w:r>
                          <w:rPr>
                            <w:b/>
                            <w:sz w:val="16"/>
                          </w:rPr>
                          <w:t>Develop</w:t>
                        </w:r>
                        <w:r>
                          <w:rPr>
                            <w:b/>
                            <w:spacing w:val="-2"/>
                            <w:sz w:val="16"/>
                          </w:rPr>
                          <w:t xml:space="preserve"> </w:t>
                        </w:r>
                        <w:r>
                          <w:rPr>
                            <w:b/>
                            <w:sz w:val="16"/>
                          </w:rPr>
                          <w:t>and</w:t>
                        </w:r>
                        <w:r>
                          <w:rPr>
                            <w:b/>
                            <w:spacing w:val="-2"/>
                            <w:sz w:val="16"/>
                          </w:rPr>
                          <w:t xml:space="preserve"> </w:t>
                        </w:r>
                        <w:r>
                          <w:rPr>
                            <w:b/>
                            <w:sz w:val="16"/>
                          </w:rPr>
                          <w:t>construct</w:t>
                        </w:r>
                        <w:r>
                          <w:rPr>
                            <w:b/>
                            <w:spacing w:val="-2"/>
                            <w:sz w:val="16"/>
                          </w:rPr>
                          <w:t xml:space="preserve"> </w:t>
                        </w:r>
                        <w:r>
                          <w:rPr>
                            <w:b/>
                            <w:sz w:val="16"/>
                          </w:rPr>
                          <w:t>Anzac</w:t>
                        </w:r>
                        <w:r>
                          <w:rPr>
                            <w:b/>
                            <w:spacing w:val="-2"/>
                            <w:sz w:val="16"/>
                          </w:rPr>
                          <w:t xml:space="preserve"> </w:t>
                        </w:r>
                        <w:r>
                          <w:rPr>
                            <w:b/>
                            <w:sz w:val="16"/>
                          </w:rPr>
                          <w:t>Parade</w:t>
                        </w:r>
                        <w:r>
                          <w:rPr>
                            <w:b/>
                            <w:spacing w:val="-2"/>
                            <w:sz w:val="16"/>
                          </w:rPr>
                          <w:t xml:space="preserve"> </w:t>
                        </w:r>
                        <w:r>
                          <w:rPr>
                            <w:b/>
                            <w:sz w:val="16"/>
                          </w:rPr>
                          <w:t>Light Rail</w:t>
                        </w:r>
                        <w:r>
                          <w:rPr>
                            <w:b/>
                            <w:spacing w:val="-10"/>
                            <w:sz w:val="16"/>
                          </w:rPr>
                          <w:t xml:space="preserve"> </w:t>
                        </w:r>
                        <w:r>
                          <w:rPr>
                            <w:b/>
                            <w:sz w:val="16"/>
                          </w:rPr>
                          <w:t>from</w:t>
                        </w:r>
                        <w:r>
                          <w:rPr>
                            <w:b/>
                            <w:spacing w:val="-10"/>
                            <w:sz w:val="16"/>
                          </w:rPr>
                          <w:t xml:space="preserve"> </w:t>
                        </w:r>
                        <w:r>
                          <w:rPr>
                            <w:b/>
                            <w:sz w:val="16"/>
                          </w:rPr>
                          <w:t>Central</w:t>
                        </w:r>
                        <w:r>
                          <w:rPr>
                            <w:b/>
                            <w:spacing w:val="-10"/>
                            <w:sz w:val="16"/>
                          </w:rPr>
                          <w:t xml:space="preserve"> </w:t>
                        </w:r>
                        <w:r>
                          <w:rPr>
                            <w:b/>
                            <w:sz w:val="16"/>
                          </w:rPr>
                          <w:t>Station</w:t>
                        </w:r>
                        <w:r>
                          <w:rPr>
                            <w:b/>
                            <w:spacing w:val="-10"/>
                            <w:sz w:val="16"/>
                          </w:rPr>
                          <w:t xml:space="preserve"> </w:t>
                        </w:r>
                        <w:r>
                          <w:rPr>
                            <w:b/>
                            <w:sz w:val="16"/>
                          </w:rPr>
                          <w:t>to</w:t>
                        </w:r>
                        <w:r>
                          <w:rPr>
                            <w:b/>
                            <w:spacing w:val="-10"/>
                            <w:sz w:val="16"/>
                          </w:rPr>
                          <w:t xml:space="preserve"> </w:t>
                        </w:r>
                        <w:r>
                          <w:rPr>
                            <w:b/>
                            <w:sz w:val="16"/>
                          </w:rPr>
                          <w:t>Moore</w:t>
                        </w:r>
                        <w:r>
                          <w:rPr>
                            <w:b/>
                            <w:spacing w:val="-10"/>
                            <w:sz w:val="16"/>
                          </w:rPr>
                          <w:t xml:space="preserve"> </w:t>
                        </w:r>
                        <w:r>
                          <w:rPr>
                            <w:b/>
                            <w:sz w:val="16"/>
                          </w:rPr>
                          <w:t>Park</w:t>
                        </w:r>
                        <w:r>
                          <w:rPr>
                            <w:b/>
                            <w:spacing w:val="-10"/>
                            <w:sz w:val="16"/>
                          </w:rPr>
                          <w:t xml:space="preserve"> </w:t>
                        </w:r>
                        <w:r>
                          <w:rPr>
                            <w:b/>
                            <w:sz w:val="16"/>
                          </w:rPr>
                          <w:t>and University</w:t>
                        </w:r>
                        <w:r>
                          <w:rPr>
                            <w:b/>
                            <w:spacing w:val="-10"/>
                            <w:sz w:val="16"/>
                          </w:rPr>
                          <w:t xml:space="preserve"> </w:t>
                        </w:r>
                        <w:r>
                          <w:rPr>
                            <w:b/>
                            <w:sz w:val="16"/>
                          </w:rPr>
                          <w:t>of</w:t>
                        </w:r>
                        <w:r>
                          <w:rPr>
                            <w:b/>
                            <w:spacing w:val="-11"/>
                            <w:sz w:val="16"/>
                          </w:rPr>
                          <w:t xml:space="preserve"> </w:t>
                        </w:r>
                        <w:r>
                          <w:rPr>
                            <w:b/>
                            <w:sz w:val="16"/>
                          </w:rPr>
                          <w:t>NSW</w:t>
                        </w:r>
                      </w:p>
                    </w:tc>
                    <w:tc>
                      <w:tcPr>
                        <w:tcW w:w="713" w:type="dxa"/>
                        <w:shd w:val="clear" w:color="auto" w:fill="E1E0E1"/>
                      </w:tcPr>
                      <w:p w:rsidR="00F22F94" w:rsidRDefault="00F22F94">
                        <w:pPr>
                          <w:pStyle w:val="TableParagraph"/>
                          <w:ind w:left="17" w:right="140"/>
                          <w:jc w:val="center"/>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304" w:type="dxa"/>
                        <w:shd w:val="clear" w:color="auto" w:fill="E1E0E1"/>
                      </w:tcPr>
                      <w:p w:rsidR="00F22F94" w:rsidRDefault="00F22F94">
                        <w:pPr>
                          <w:pStyle w:val="TableParagraph"/>
                          <w:rPr>
                            <w:sz w:val="16"/>
                          </w:rPr>
                        </w:pPr>
                        <w:r>
                          <w:rPr>
                            <w:w w:val="95"/>
                            <w:sz w:val="16"/>
                          </w:rPr>
                          <w:t>Major</w:t>
                        </w:r>
                        <w:r>
                          <w:rPr>
                            <w:spacing w:val="-2"/>
                            <w:sz w:val="16"/>
                          </w:rPr>
                          <w:t xml:space="preserve"> </w:t>
                        </w:r>
                        <w:r>
                          <w:rPr>
                            <w:spacing w:val="-2"/>
                            <w:w w:val="95"/>
                            <w:sz w:val="16"/>
                          </w:rPr>
                          <w:t>project</w:t>
                        </w:r>
                      </w:p>
                    </w:tc>
                    <w:tc>
                      <w:tcPr>
                        <w:tcW w:w="3458" w:type="dxa"/>
                        <w:shd w:val="clear" w:color="auto" w:fill="E1E0E1"/>
                      </w:tcPr>
                      <w:p w:rsidR="00F22F94" w:rsidRDefault="00F22F94">
                        <w:pPr>
                          <w:pStyle w:val="TableParagraph"/>
                          <w:spacing w:before="70" w:line="235" w:lineRule="auto"/>
                          <w:ind w:right="132"/>
                          <w:rPr>
                            <w:sz w:val="16"/>
                          </w:rPr>
                        </w:pPr>
                        <w:r>
                          <w:rPr>
                            <w:spacing w:val="-2"/>
                            <w:sz w:val="16"/>
                          </w:rPr>
                          <w:t>Scoping</w:t>
                        </w:r>
                        <w:r>
                          <w:rPr>
                            <w:spacing w:val="-6"/>
                            <w:sz w:val="16"/>
                          </w:rPr>
                          <w:t xml:space="preserve"> </w:t>
                        </w:r>
                        <w:r>
                          <w:rPr>
                            <w:spacing w:val="-2"/>
                            <w:sz w:val="16"/>
                          </w:rPr>
                          <w:t>of</w:t>
                        </w:r>
                        <w:r>
                          <w:rPr>
                            <w:spacing w:val="-6"/>
                            <w:sz w:val="16"/>
                          </w:rPr>
                          <w:t xml:space="preserve"> </w:t>
                        </w:r>
                        <w:r>
                          <w:rPr>
                            <w:spacing w:val="-2"/>
                            <w:sz w:val="16"/>
                          </w:rPr>
                          <w:t>$500</w:t>
                        </w:r>
                        <w:r>
                          <w:rPr>
                            <w:spacing w:val="-6"/>
                            <w:sz w:val="16"/>
                          </w:rPr>
                          <w:t xml:space="preserve"> </w:t>
                        </w:r>
                        <w:r>
                          <w:rPr>
                            <w:spacing w:val="-2"/>
                            <w:sz w:val="16"/>
                          </w:rPr>
                          <w:t>million</w:t>
                        </w:r>
                        <w:r>
                          <w:rPr>
                            <w:spacing w:val="-6"/>
                            <w:sz w:val="16"/>
                          </w:rPr>
                          <w:t xml:space="preserve"> </w:t>
                        </w:r>
                        <w:r>
                          <w:rPr>
                            <w:spacing w:val="-2"/>
                            <w:sz w:val="16"/>
                          </w:rPr>
                          <w:t>based</w:t>
                        </w:r>
                        <w:r>
                          <w:rPr>
                            <w:spacing w:val="-6"/>
                            <w:sz w:val="16"/>
                          </w:rPr>
                          <w:t xml:space="preserve"> </w:t>
                        </w:r>
                        <w:r>
                          <w:rPr>
                            <w:spacing w:val="-2"/>
                            <w:sz w:val="16"/>
                          </w:rPr>
                          <w:t>on</w:t>
                        </w:r>
                        <w:r>
                          <w:rPr>
                            <w:spacing w:val="-6"/>
                            <w:sz w:val="16"/>
                          </w:rPr>
                          <w:t xml:space="preserve"> </w:t>
                        </w:r>
                        <w:r>
                          <w:rPr>
                            <w:spacing w:val="-2"/>
                            <w:sz w:val="16"/>
                          </w:rPr>
                          <w:t>Gold</w:t>
                        </w:r>
                        <w:r>
                          <w:rPr>
                            <w:spacing w:val="-6"/>
                            <w:sz w:val="16"/>
                          </w:rPr>
                          <w:t xml:space="preserve"> </w:t>
                        </w:r>
                        <w:r>
                          <w:rPr>
                            <w:spacing w:val="-2"/>
                            <w:sz w:val="16"/>
                          </w:rPr>
                          <w:t xml:space="preserve">Coast </w:t>
                        </w:r>
                        <w:r>
                          <w:rPr>
                            <w:sz w:val="16"/>
                          </w:rPr>
                          <w:t>Light</w:t>
                        </w:r>
                        <w:r>
                          <w:rPr>
                            <w:spacing w:val="-10"/>
                            <w:sz w:val="16"/>
                          </w:rPr>
                          <w:t xml:space="preserve"> </w:t>
                        </w:r>
                        <w:r>
                          <w:rPr>
                            <w:sz w:val="16"/>
                          </w:rPr>
                          <w:t>Rail</w:t>
                        </w:r>
                        <w:r>
                          <w:rPr>
                            <w:spacing w:val="-10"/>
                            <w:sz w:val="16"/>
                          </w:rPr>
                          <w:t xml:space="preserve"> </w:t>
                        </w:r>
                        <w:r>
                          <w:rPr>
                            <w:sz w:val="16"/>
                          </w:rPr>
                          <w:t>assumes</w:t>
                        </w:r>
                        <w:r>
                          <w:rPr>
                            <w:spacing w:val="-10"/>
                            <w:sz w:val="16"/>
                          </w:rPr>
                          <w:t xml:space="preserve"> </w:t>
                        </w:r>
                        <w:r>
                          <w:rPr>
                            <w:sz w:val="16"/>
                          </w:rPr>
                          <w:t>surface</w:t>
                        </w:r>
                        <w:r>
                          <w:rPr>
                            <w:spacing w:val="-10"/>
                            <w:sz w:val="16"/>
                          </w:rPr>
                          <w:t xml:space="preserve"> </w:t>
                        </w:r>
                        <w:r>
                          <w:rPr>
                            <w:sz w:val="16"/>
                          </w:rPr>
                          <w:t>construction</w:t>
                        </w:r>
                        <w:r>
                          <w:rPr>
                            <w:spacing w:val="-10"/>
                            <w:sz w:val="16"/>
                          </w:rPr>
                          <w:t xml:space="preserve"> </w:t>
                        </w:r>
                        <w:r>
                          <w:rPr>
                            <w:sz w:val="16"/>
                          </w:rPr>
                          <w:t>and no user contribution to capital costs.</w:t>
                        </w:r>
                      </w:p>
                    </w:tc>
                  </w:tr>
                  <w:tr w:rsidR="00F22F94">
                    <w:trPr>
                      <w:trHeight w:val="529"/>
                    </w:trPr>
                    <w:tc>
                      <w:tcPr>
                        <w:tcW w:w="567" w:type="dxa"/>
                        <w:tcBorders>
                          <w:left w:val="nil"/>
                        </w:tcBorders>
                        <w:shd w:val="clear" w:color="auto" w:fill="C9C8C9"/>
                      </w:tcPr>
                      <w:p w:rsidR="00F22F94" w:rsidRDefault="00F22F94">
                        <w:pPr>
                          <w:pStyle w:val="TableParagraph"/>
                          <w:rPr>
                            <w:b/>
                            <w:sz w:val="16"/>
                          </w:rPr>
                        </w:pPr>
                        <w:r>
                          <w:rPr>
                            <w:b/>
                            <w:spacing w:val="-5"/>
                            <w:sz w:val="16"/>
                          </w:rPr>
                          <w:t>10</w:t>
                        </w:r>
                      </w:p>
                    </w:tc>
                    <w:tc>
                      <w:tcPr>
                        <w:tcW w:w="3760" w:type="dxa"/>
                        <w:shd w:val="clear" w:color="auto" w:fill="C9C8C9"/>
                      </w:tcPr>
                      <w:p w:rsidR="00F22F94" w:rsidRDefault="00F22F94">
                        <w:pPr>
                          <w:pStyle w:val="TableParagraph"/>
                          <w:rPr>
                            <w:b/>
                            <w:sz w:val="16"/>
                          </w:rPr>
                        </w:pPr>
                        <w:r>
                          <w:rPr>
                            <w:b/>
                            <w:w w:val="95"/>
                            <w:sz w:val="16"/>
                          </w:rPr>
                          <w:t>Reform</w:t>
                        </w:r>
                        <w:r>
                          <w:rPr>
                            <w:b/>
                            <w:spacing w:val="7"/>
                            <w:sz w:val="16"/>
                          </w:rPr>
                          <w:t xml:space="preserve"> </w:t>
                        </w:r>
                        <w:r>
                          <w:rPr>
                            <w:b/>
                            <w:w w:val="95"/>
                            <w:sz w:val="16"/>
                          </w:rPr>
                          <w:t>CBD</w:t>
                        </w:r>
                        <w:r>
                          <w:rPr>
                            <w:b/>
                            <w:spacing w:val="7"/>
                            <w:sz w:val="16"/>
                          </w:rPr>
                          <w:t xml:space="preserve"> </w:t>
                        </w:r>
                        <w:r>
                          <w:rPr>
                            <w:b/>
                            <w:w w:val="95"/>
                            <w:sz w:val="16"/>
                          </w:rPr>
                          <w:t>bus</w:t>
                        </w:r>
                        <w:r>
                          <w:rPr>
                            <w:b/>
                            <w:spacing w:val="8"/>
                            <w:sz w:val="16"/>
                          </w:rPr>
                          <w:t xml:space="preserve"> </w:t>
                        </w:r>
                        <w:r>
                          <w:rPr>
                            <w:b/>
                            <w:w w:val="95"/>
                            <w:sz w:val="16"/>
                          </w:rPr>
                          <w:t>routing</w:t>
                        </w:r>
                        <w:r>
                          <w:rPr>
                            <w:b/>
                            <w:spacing w:val="7"/>
                            <w:sz w:val="16"/>
                          </w:rPr>
                          <w:t xml:space="preserve"> </w:t>
                        </w:r>
                        <w:r>
                          <w:rPr>
                            <w:b/>
                            <w:w w:val="95"/>
                            <w:sz w:val="16"/>
                          </w:rPr>
                          <w:t>to</w:t>
                        </w:r>
                        <w:r>
                          <w:rPr>
                            <w:b/>
                            <w:spacing w:val="7"/>
                            <w:sz w:val="16"/>
                          </w:rPr>
                          <w:t xml:space="preserve"> </w:t>
                        </w:r>
                        <w:r>
                          <w:rPr>
                            <w:b/>
                            <w:w w:val="95"/>
                            <w:sz w:val="16"/>
                          </w:rPr>
                          <w:t>reduce</w:t>
                        </w:r>
                        <w:r>
                          <w:rPr>
                            <w:b/>
                            <w:spacing w:val="8"/>
                            <w:sz w:val="16"/>
                          </w:rPr>
                          <w:t xml:space="preserve"> </w:t>
                        </w:r>
                        <w:r>
                          <w:rPr>
                            <w:b/>
                            <w:spacing w:val="-2"/>
                            <w:w w:val="95"/>
                            <w:sz w:val="16"/>
                          </w:rPr>
                          <w:t>congestion</w:t>
                        </w:r>
                      </w:p>
                    </w:tc>
                    <w:tc>
                      <w:tcPr>
                        <w:tcW w:w="713" w:type="dxa"/>
                        <w:shd w:val="clear" w:color="auto" w:fill="E1E0E1"/>
                      </w:tcPr>
                      <w:p w:rsidR="00F22F94" w:rsidRDefault="00F22F94">
                        <w:pPr>
                          <w:pStyle w:val="TableParagraph"/>
                          <w:ind w:left="17" w:right="140"/>
                          <w:jc w:val="center"/>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304" w:type="dxa"/>
                        <w:shd w:val="clear" w:color="auto" w:fill="E1E0E1"/>
                      </w:tcPr>
                      <w:p w:rsidR="00F22F94" w:rsidRDefault="00F22F94">
                        <w:pPr>
                          <w:pStyle w:val="TableParagraph"/>
                          <w:rPr>
                            <w:sz w:val="16"/>
                          </w:rPr>
                        </w:pPr>
                        <w:r>
                          <w:rPr>
                            <w:w w:val="95"/>
                            <w:sz w:val="16"/>
                          </w:rPr>
                          <w:t>Asset</w:t>
                        </w:r>
                        <w:r>
                          <w:rPr>
                            <w:spacing w:val="-1"/>
                            <w:sz w:val="16"/>
                          </w:rPr>
                          <w:t xml:space="preserve"> </w:t>
                        </w:r>
                        <w:r>
                          <w:rPr>
                            <w:spacing w:val="-2"/>
                            <w:sz w:val="16"/>
                          </w:rPr>
                          <w:t>utilisation</w:t>
                        </w:r>
                      </w:p>
                    </w:tc>
                    <w:tc>
                      <w:tcPr>
                        <w:tcW w:w="3458" w:type="dxa"/>
                        <w:shd w:val="clear" w:color="auto" w:fill="E1E0E1"/>
                      </w:tcPr>
                      <w:p w:rsidR="00F22F94" w:rsidRDefault="00F22F94">
                        <w:pPr>
                          <w:pStyle w:val="TableParagraph"/>
                          <w:spacing w:before="70" w:line="235" w:lineRule="auto"/>
                          <w:ind w:right="848"/>
                          <w:rPr>
                            <w:sz w:val="16"/>
                          </w:rPr>
                        </w:pPr>
                        <w:r>
                          <w:rPr>
                            <w:w w:val="95"/>
                            <w:sz w:val="16"/>
                          </w:rPr>
                          <w:t>Operational</w:t>
                        </w:r>
                        <w:r>
                          <w:rPr>
                            <w:spacing w:val="-2"/>
                            <w:w w:val="95"/>
                            <w:sz w:val="16"/>
                          </w:rPr>
                          <w:t xml:space="preserve"> </w:t>
                        </w:r>
                        <w:r>
                          <w:rPr>
                            <w:w w:val="95"/>
                            <w:sz w:val="16"/>
                          </w:rPr>
                          <w:t>reform</w:t>
                        </w:r>
                        <w:r>
                          <w:rPr>
                            <w:spacing w:val="-2"/>
                            <w:w w:val="95"/>
                            <w:sz w:val="16"/>
                          </w:rPr>
                          <w:t xml:space="preserve"> </w:t>
                        </w:r>
                        <w:r>
                          <w:rPr>
                            <w:w w:val="95"/>
                            <w:sz w:val="16"/>
                          </w:rPr>
                          <w:t>–</w:t>
                        </w:r>
                        <w:r>
                          <w:rPr>
                            <w:spacing w:val="-2"/>
                            <w:w w:val="95"/>
                            <w:sz w:val="16"/>
                          </w:rPr>
                          <w:t xml:space="preserve"> </w:t>
                        </w:r>
                        <w:r>
                          <w:rPr>
                            <w:w w:val="95"/>
                            <w:sz w:val="16"/>
                          </w:rPr>
                          <w:t>no</w:t>
                        </w:r>
                        <w:r>
                          <w:rPr>
                            <w:spacing w:val="-2"/>
                            <w:w w:val="95"/>
                            <w:sz w:val="16"/>
                          </w:rPr>
                          <w:t xml:space="preserve"> </w:t>
                        </w:r>
                        <w:r>
                          <w:rPr>
                            <w:w w:val="95"/>
                            <w:sz w:val="16"/>
                          </w:rPr>
                          <w:t xml:space="preserve">capital </w:t>
                        </w:r>
                        <w:r>
                          <w:rPr>
                            <w:sz w:val="16"/>
                          </w:rPr>
                          <w:t>works</w:t>
                        </w:r>
                        <w:r>
                          <w:rPr>
                            <w:spacing w:val="-4"/>
                            <w:sz w:val="16"/>
                          </w:rPr>
                          <w:t xml:space="preserve"> </w:t>
                        </w:r>
                        <w:r>
                          <w:rPr>
                            <w:sz w:val="16"/>
                          </w:rPr>
                          <w:t>proposed.</w:t>
                        </w:r>
                      </w:p>
                    </w:tc>
                  </w:tr>
                  <w:tr w:rsidR="00F22F94">
                    <w:trPr>
                      <w:trHeight w:val="1069"/>
                    </w:trPr>
                    <w:tc>
                      <w:tcPr>
                        <w:tcW w:w="567" w:type="dxa"/>
                        <w:tcBorders>
                          <w:left w:val="nil"/>
                        </w:tcBorders>
                        <w:shd w:val="clear" w:color="auto" w:fill="C9C8C9"/>
                      </w:tcPr>
                      <w:p w:rsidR="00F22F94" w:rsidRDefault="00F22F94">
                        <w:pPr>
                          <w:pStyle w:val="TableParagraph"/>
                          <w:rPr>
                            <w:b/>
                            <w:sz w:val="16"/>
                          </w:rPr>
                        </w:pPr>
                        <w:r>
                          <w:rPr>
                            <w:b/>
                            <w:spacing w:val="-5"/>
                            <w:sz w:val="16"/>
                          </w:rPr>
                          <w:t>11</w:t>
                        </w:r>
                      </w:p>
                    </w:tc>
                    <w:tc>
                      <w:tcPr>
                        <w:tcW w:w="3760" w:type="dxa"/>
                        <w:shd w:val="clear" w:color="auto" w:fill="C9C8C9"/>
                      </w:tcPr>
                      <w:p w:rsidR="00F22F94" w:rsidRDefault="00F22F94">
                        <w:pPr>
                          <w:pStyle w:val="TableParagraph"/>
                          <w:spacing w:line="261" w:lineRule="auto"/>
                          <w:ind w:right="451"/>
                          <w:rPr>
                            <w:b/>
                            <w:sz w:val="16"/>
                          </w:rPr>
                        </w:pPr>
                        <w:r>
                          <w:rPr>
                            <w:b/>
                            <w:sz w:val="16"/>
                          </w:rPr>
                          <w:t>CBD</w:t>
                        </w:r>
                        <w:r>
                          <w:rPr>
                            <w:b/>
                            <w:spacing w:val="-3"/>
                            <w:sz w:val="16"/>
                          </w:rPr>
                          <w:t xml:space="preserve"> </w:t>
                        </w:r>
                        <w:r>
                          <w:rPr>
                            <w:b/>
                            <w:sz w:val="16"/>
                          </w:rPr>
                          <w:t>Transit</w:t>
                        </w:r>
                        <w:r>
                          <w:rPr>
                            <w:b/>
                            <w:spacing w:val="-3"/>
                            <w:sz w:val="16"/>
                          </w:rPr>
                          <w:t xml:space="preserve"> </w:t>
                        </w:r>
                        <w:r>
                          <w:rPr>
                            <w:b/>
                            <w:sz w:val="16"/>
                          </w:rPr>
                          <w:t>Improvement</w:t>
                        </w:r>
                        <w:r>
                          <w:rPr>
                            <w:b/>
                            <w:spacing w:val="-3"/>
                            <w:sz w:val="16"/>
                          </w:rPr>
                          <w:t xml:space="preserve"> </w:t>
                        </w:r>
                        <w:r>
                          <w:rPr>
                            <w:b/>
                            <w:sz w:val="16"/>
                          </w:rPr>
                          <w:t>Plan:</w:t>
                        </w:r>
                        <w:r>
                          <w:rPr>
                            <w:b/>
                            <w:spacing w:val="40"/>
                            <w:sz w:val="16"/>
                          </w:rPr>
                          <w:t xml:space="preserve"> </w:t>
                        </w:r>
                        <w:r>
                          <w:rPr>
                            <w:b/>
                            <w:sz w:val="16"/>
                          </w:rPr>
                          <w:t>Construct</w:t>
                        </w:r>
                        <w:r>
                          <w:rPr>
                            <w:b/>
                            <w:spacing w:val="-17"/>
                            <w:sz w:val="16"/>
                          </w:rPr>
                          <w:t xml:space="preserve"> </w:t>
                        </w:r>
                        <w:r>
                          <w:rPr>
                            <w:b/>
                            <w:sz w:val="16"/>
                          </w:rPr>
                          <w:t>underground</w:t>
                        </w:r>
                        <w:r>
                          <w:rPr>
                            <w:b/>
                            <w:spacing w:val="-17"/>
                            <w:sz w:val="16"/>
                          </w:rPr>
                          <w:t xml:space="preserve"> </w:t>
                        </w:r>
                        <w:r>
                          <w:rPr>
                            <w:b/>
                            <w:sz w:val="16"/>
                          </w:rPr>
                          <w:t>Bus</w:t>
                        </w:r>
                        <w:r>
                          <w:rPr>
                            <w:b/>
                            <w:spacing w:val="-17"/>
                            <w:sz w:val="16"/>
                          </w:rPr>
                          <w:t xml:space="preserve"> </w:t>
                        </w:r>
                        <w:r>
                          <w:rPr>
                            <w:b/>
                            <w:sz w:val="16"/>
                          </w:rPr>
                          <w:t>Rapid</w:t>
                        </w:r>
                        <w:r>
                          <w:rPr>
                            <w:b/>
                            <w:spacing w:val="-17"/>
                            <w:sz w:val="16"/>
                          </w:rPr>
                          <w:t xml:space="preserve"> </w:t>
                        </w:r>
                        <w:r>
                          <w:rPr>
                            <w:b/>
                            <w:sz w:val="16"/>
                          </w:rPr>
                          <w:t>Transit</w:t>
                        </w:r>
                      </w:p>
                    </w:tc>
                    <w:tc>
                      <w:tcPr>
                        <w:tcW w:w="713" w:type="dxa"/>
                        <w:shd w:val="clear" w:color="auto" w:fill="E1E0E1"/>
                      </w:tcPr>
                      <w:p w:rsidR="00F22F94" w:rsidRDefault="00F22F94">
                        <w:pPr>
                          <w:pStyle w:val="TableParagraph"/>
                          <w:ind w:left="97" w:right="140"/>
                          <w:jc w:val="center"/>
                          <w:rPr>
                            <w:sz w:val="16"/>
                          </w:rPr>
                        </w:pPr>
                        <w:r>
                          <w:rPr>
                            <w:sz w:val="16"/>
                          </w:rPr>
                          <w:t>5</w:t>
                        </w:r>
                        <w:r>
                          <w:rPr>
                            <w:spacing w:val="-10"/>
                            <w:sz w:val="16"/>
                          </w:rPr>
                          <w:t xml:space="preserve"> </w:t>
                        </w:r>
                        <w:r>
                          <w:rPr>
                            <w:sz w:val="16"/>
                          </w:rPr>
                          <w:t>–</w:t>
                        </w:r>
                        <w:r>
                          <w:rPr>
                            <w:spacing w:val="-9"/>
                            <w:sz w:val="16"/>
                          </w:rPr>
                          <w:t xml:space="preserve"> </w:t>
                        </w:r>
                        <w:r>
                          <w:rPr>
                            <w:spacing w:val="-5"/>
                            <w:sz w:val="16"/>
                          </w:rPr>
                          <w:t>10</w:t>
                        </w:r>
                      </w:p>
                    </w:tc>
                    <w:tc>
                      <w:tcPr>
                        <w:tcW w:w="1304" w:type="dxa"/>
                        <w:shd w:val="clear" w:color="auto" w:fill="E1E0E1"/>
                      </w:tcPr>
                      <w:p w:rsidR="00F22F94" w:rsidRDefault="00F22F94">
                        <w:pPr>
                          <w:pStyle w:val="TableParagraph"/>
                          <w:rPr>
                            <w:sz w:val="16"/>
                          </w:rPr>
                        </w:pPr>
                        <w:r>
                          <w:rPr>
                            <w:w w:val="95"/>
                            <w:sz w:val="16"/>
                          </w:rPr>
                          <w:t>Major</w:t>
                        </w:r>
                        <w:r>
                          <w:rPr>
                            <w:spacing w:val="-2"/>
                            <w:sz w:val="16"/>
                          </w:rPr>
                          <w:t xml:space="preserve"> </w:t>
                        </w:r>
                        <w:r>
                          <w:rPr>
                            <w:spacing w:val="-2"/>
                            <w:w w:val="95"/>
                            <w:sz w:val="16"/>
                          </w:rPr>
                          <w:t>project</w:t>
                        </w:r>
                      </w:p>
                    </w:tc>
                    <w:tc>
                      <w:tcPr>
                        <w:tcW w:w="3458" w:type="dxa"/>
                        <w:shd w:val="clear" w:color="auto" w:fill="E1E0E1"/>
                      </w:tcPr>
                      <w:p w:rsidR="00F22F94" w:rsidRDefault="00F22F94">
                        <w:pPr>
                          <w:pStyle w:val="TableParagraph"/>
                          <w:spacing w:before="70" w:line="235" w:lineRule="auto"/>
                          <w:ind w:right="132"/>
                          <w:rPr>
                            <w:sz w:val="16"/>
                          </w:rPr>
                        </w:pPr>
                        <w:r>
                          <w:rPr>
                            <w:spacing w:val="-2"/>
                            <w:sz w:val="16"/>
                          </w:rPr>
                          <w:t>Scoping</w:t>
                        </w:r>
                        <w:r>
                          <w:rPr>
                            <w:spacing w:val="-7"/>
                            <w:sz w:val="16"/>
                          </w:rPr>
                          <w:t xml:space="preserve"> </w:t>
                        </w:r>
                        <w:r>
                          <w:rPr>
                            <w:spacing w:val="-2"/>
                            <w:sz w:val="16"/>
                          </w:rPr>
                          <w:t>of</w:t>
                        </w:r>
                        <w:r>
                          <w:rPr>
                            <w:spacing w:val="-7"/>
                            <w:sz w:val="16"/>
                          </w:rPr>
                          <w:t xml:space="preserve"> </w:t>
                        </w:r>
                        <w:r>
                          <w:rPr>
                            <w:spacing w:val="-2"/>
                            <w:sz w:val="16"/>
                          </w:rPr>
                          <w:t>$2</w:t>
                        </w:r>
                        <w:r>
                          <w:rPr>
                            <w:spacing w:val="-7"/>
                            <w:sz w:val="16"/>
                          </w:rPr>
                          <w:t xml:space="preserve"> </w:t>
                        </w:r>
                        <w:r>
                          <w:rPr>
                            <w:spacing w:val="-2"/>
                            <w:sz w:val="16"/>
                          </w:rPr>
                          <w:t>billion</w:t>
                        </w:r>
                        <w:r>
                          <w:rPr>
                            <w:spacing w:val="-7"/>
                            <w:sz w:val="16"/>
                          </w:rPr>
                          <w:t xml:space="preserve"> </w:t>
                        </w:r>
                        <w:r>
                          <w:rPr>
                            <w:spacing w:val="-2"/>
                            <w:sz w:val="16"/>
                          </w:rPr>
                          <w:t>for</w:t>
                        </w:r>
                        <w:r>
                          <w:rPr>
                            <w:spacing w:val="-7"/>
                            <w:sz w:val="16"/>
                          </w:rPr>
                          <w:t xml:space="preserve"> </w:t>
                        </w:r>
                        <w:r>
                          <w:rPr>
                            <w:spacing w:val="-2"/>
                            <w:sz w:val="16"/>
                          </w:rPr>
                          <w:t>a</w:t>
                        </w:r>
                        <w:r>
                          <w:rPr>
                            <w:spacing w:val="-7"/>
                            <w:sz w:val="16"/>
                          </w:rPr>
                          <w:t xml:space="preserve"> </w:t>
                        </w:r>
                        <w:r>
                          <w:rPr>
                            <w:spacing w:val="-2"/>
                            <w:sz w:val="16"/>
                          </w:rPr>
                          <w:t>tunnel</w:t>
                        </w:r>
                        <w:r>
                          <w:rPr>
                            <w:spacing w:val="-7"/>
                            <w:sz w:val="16"/>
                          </w:rPr>
                          <w:t xml:space="preserve"> </w:t>
                        </w:r>
                        <w:r>
                          <w:rPr>
                            <w:spacing w:val="-2"/>
                            <w:sz w:val="16"/>
                          </w:rPr>
                          <w:t>option</w:t>
                        </w:r>
                        <w:r>
                          <w:rPr>
                            <w:spacing w:val="-7"/>
                            <w:sz w:val="16"/>
                          </w:rPr>
                          <w:t xml:space="preserve"> </w:t>
                        </w:r>
                        <w:r>
                          <w:rPr>
                            <w:spacing w:val="-2"/>
                            <w:sz w:val="16"/>
                          </w:rPr>
                          <w:t xml:space="preserve">from </w:t>
                        </w:r>
                        <w:r>
                          <w:rPr>
                            <w:sz w:val="16"/>
                          </w:rPr>
                          <w:t>the Sydney Harbour Bridge to the Town</w:t>
                        </w:r>
                      </w:p>
                      <w:p w:rsidR="00F22F94" w:rsidRDefault="00F22F94">
                        <w:pPr>
                          <w:pStyle w:val="TableParagraph"/>
                          <w:spacing w:before="0" w:line="235" w:lineRule="auto"/>
                          <w:ind w:right="132"/>
                          <w:rPr>
                            <w:sz w:val="16"/>
                          </w:rPr>
                        </w:pPr>
                        <w:r>
                          <w:rPr>
                            <w:w w:val="95"/>
                            <w:sz w:val="16"/>
                          </w:rPr>
                          <w:t xml:space="preserve">Hall area and development of Wynyard and </w:t>
                        </w:r>
                        <w:r>
                          <w:rPr>
                            <w:sz w:val="16"/>
                          </w:rPr>
                          <w:t>Town</w:t>
                        </w:r>
                        <w:r>
                          <w:rPr>
                            <w:spacing w:val="-5"/>
                            <w:sz w:val="16"/>
                          </w:rPr>
                          <w:t xml:space="preserve"> </w:t>
                        </w:r>
                        <w:r>
                          <w:rPr>
                            <w:sz w:val="16"/>
                          </w:rPr>
                          <w:t>Hall</w:t>
                        </w:r>
                        <w:r>
                          <w:rPr>
                            <w:spacing w:val="-5"/>
                            <w:sz w:val="16"/>
                          </w:rPr>
                          <w:t xml:space="preserve"> </w:t>
                        </w:r>
                        <w:r>
                          <w:rPr>
                            <w:sz w:val="16"/>
                          </w:rPr>
                          <w:t>bus/rail</w:t>
                        </w:r>
                        <w:r>
                          <w:rPr>
                            <w:spacing w:val="-5"/>
                            <w:sz w:val="16"/>
                          </w:rPr>
                          <w:t xml:space="preserve"> </w:t>
                        </w:r>
                        <w:r>
                          <w:rPr>
                            <w:sz w:val="16"/>
                          </w:rPr>
                          <w:t>interchanges.</w:t>
                        </w:r>
                        <w:r>
                          <w:rPr>
                            <w:spacing w:val="-5"/>
                            <w:sz w:val="16"/>
                          </w:rPr>
                          <w:t xml:space="preserve"> </w:t>
                        </w:r>
                        <w:r>
                          <w:rPr>
                            <w:sz w:val="16"/>
                          </w:rPr>
                          <w:t>Potential opportunities for value capture exist.</w:t>
                        </w:r>
                      </w:p>
                    </w:tc>
                  </w:tr>
                  <w:tr w:rsidR="00F22F94">
                    <w:trPr>
                      <w:trHeight w:val="349"/>
                    </w:trPr>
                    <w:tc>
                      <w:tcPr>
                        <w:tcW w:w="567" w:type="dxa"/>
                        <w:tcBorders>
                          <w:left w:val="nil"/>
                        </w:tcBorders>
                        <w:shd w:val="clear" w:color="auto" w:fill="C9C8C9"/>
                      </w:tcPr>
                      <w:p w:rsidR="00F22F94" w:rsidRDefault="00F22F94">
                        <w:pPr>
                          <w:pStyle w:val="TableParagraph"/>
                          <w:rPr>
                            <w:b/>
                            <w:sz w:val="16"/>
                          </w:rPr>
                        </w:pPr>
                        <w:r>
                          <w:rPr>
                            <w:b/>
                            <w:spacing w:val="-5"/>
                            <w:sz w:val="16"/>
                          </w:rPr>
                          <w:t>12</w:t>
                        </w:r>
                      </w:p>
                    </w:tc>
                    <w:tc>
                      <w:tcPr>
                        <w:tcW w:w="3760" w:type="dxa"/>
                        <w:shd w:val="clear" w:color="auto" w:fill="C9C8C9"/>
                      </w:tcPr>
                      <w:p w:rsidR="00F22F94" w:rsidRDefault="00F22F94">
                        <w:pPr>
                          <w:pStyle w:val="TableParagraph"/>
                          <w:rPr>
                            <w:b/>
                            <w:sz w:val="16"/>
                          </w:rPr>
                        </w:pPr>
                        <w:r>
                          <w:rPr>
                            <w:b/>
                            <w:sz w:val="16"/>
                          </w:rPr>
                          <w:t>Pedestrianise</w:t>
                        </w:r>
                        <w:r>
                          <w:rPr>
                            <w:b/>
                            <w:spacing w:val="-7"/>
                            <w:sz w:val="16"/>
                          </w:rPr>
                          <w:t xml:space="preserve"> </w:t>
                        </w:r>
                        <w:r>
                          <w:rPr>
                            <w:b/>
                            <w:sz w:val="16"/>
                          </w:rPr>
                          <w:t>central</w:t>
                        </w:r>
                        <w:r>
                          <w:rPr>
                            <w:b/>
                            <w:spacing w:val="-7"/>
                            <w:sz w:val="16"/>
                          </w:rPr>
                          <w:t xml:space="preserve"> </w:t>
                        </w:r>
                        <w:r>
                          <w:rPr>
                            <w:b/>
                            <w:sz w:val="16"/>
                          </w:rPr>
                          <w:t>part</w:t>
                        </w:r>
                        <w:r>
                          <w:rPr>
                            <w:b/>
                            <w:spacing w:val="-7"/>
                            <w:sz w:val="16"/>
                          </w:rPr>
                          <w:t xml:space="preserve"> </w:t>
                        </w:r>
                        <w:r>
                          <w:rPr>
                            <w:b/>
                            <w:sz w:val="16"/>
                          </w:rPr>
                          <w:t>of</w:t>
                        </w:r>
                        <w:r>
                          <w:rPr>
                            <w:b/>
                            <w:spacing w:val="-7"/>
                            <w:sz w:val="16"/>
                          </w:rPr>
                          <w:t xml:space="preserve"> </w:t>
                        </w:r>
                        <w:r>
                          <w:rPr>
                            <w:b/>
                            <w:sz w:val="16"/>
                          </w:rPr>
                          <w:t>George</w:t>
                        </w:r>
                        <w:r>
                          <w:rPr>
                            <w:b/>
                            <w:spacing w:val="-7"/>
                            <w:sz w:val="16"/>
                          </w:rPr>
                          <w:t xml:space="preserve"> </w:t>
                        </w:r>
                        <w:r>
                          <w:rPr>
                            <w:b/>
                            <w:spacing w:val="-2"/>
                            <w:sz w:val="16"/>
                          </w:rPr>
                          <w:t>Street</w:t>
                        </w:r>
                      </w:p>
                    </w:tc>
                    <w:tc>
                      <w:tcPr>
                        <w:tcW w:w="713" w:type="dxa"/>
                        <w:shd w:val="clear" w:color="auto" w:fill="E1E0E1"/>
                      </w:tcPr>
                      <w:p w:rsidR="00F22F94" w:rsidRDefault="00F22F94">
                        <w:pPr>
                          <w:pStyle w:val="TableParagraph"/>
                          <w:ind w:left="97" w:right="140"/>
                          <w:jc w:val="center"/>
                          <w:rPr>
                            <w:sz w:val="16"/>
                          </w:rPr>
                        </w:pPr>
                        <w:r>
                          <w:rPr>
                            <w:sz w:val="16"/>
                          </w:rPr>
                          <w:t>5</w:t>
                        </w:r>
                        <w:r>
                          <w:rPr>
                            <w:spacing w:val="-10"/>
                            <w:sz w:val="16"/>
                          </w:rPr>
                          <w:t xml:space="preserve"> </w:t>
                        </w:r>
                        <w:r>
                          <w:rPr>
                            <w:sz w:val="16"/>
                          </w:rPr>
                          <w:t>–</w:t>
                        </w:r>
                        <w:r>
                          <w:rPr>
                            <w:spacing w:val="-9"/>
                            <w:sz w:val="16"/>
                          </w:rPr>
                          <w:t xml:space="preserve"> </w:t>
                        </w:r>
                        <w:r>
                          <w:rPr>
                            <w:spacing w:val="-5"/>
                            <w:sz w:val="16"/>
                          </w:rPr>
                          <w:t>10</w:t>
                        </w:r>
                      </w:p>
                    </w:tc>
                    <w:tc>
                      <w:tcPr>
                        <w:tcW w:w="1304" w:type="dxa"/>
                        <w:shd w:val="clear" w:color="auto" w:fill="E1E0E1"/>
                      </w:tcPr>
                      <w:p w:rsidR="00F22F94" w:rsidRDefault="00F22F94">
                        <w:pPr>
                          <w:pStyle w:val="TableParagraph"/>
                          <w:rPr>
                            <w:sz w:val="16"/>
                          </w:rPr>
                        </w:pPr>
                        <w:r>
                          <w:rPr>
                            <w:w w:val="95"/>
                            <w:sz w:val="16"/>
                          </w:rPr>
                          <w:t>Major</w:t>
                        </w:r>
                        <w:r>
                          <w:rPr>
                            <w:spacing w:val="-2"/>
                            <w:sz w:val="16"/>
                          </w:rPr>
                          <w:t xml:space="preserve"> </w:t>
                        </w:r>
                        <w:r>
                          <w:rPr>
                            <w:spacing w:val="-2"/>
                            <w:w w:val="95"/>
                            <w:sz w:val="16"/>
                          </w:rPr>
                          <w:t>project</w:t>
                        </w:r>
                      </w:p>
                    </w:tc>
                    <w:tc>
                      <w:tcPr>
                        <w:tcW w:w="3458" w:type="dxa"/>
                        <w:shd w:val="clear" w:color="auto" w:fill="E1E0E1"/>
                      </w:tcPr>
                      <w:p w:rsidR="00F22F94" w:rsidRDefault="00F22F94">
                        <w:pPr>
                          <w:pStyle w:val="TableParagraph"/>
                          <w:rPr>
                            <w:sz w:val="16"/>
                          </w:rPr>
                        </w:pPr>
                        <w:r>
                          <w:rPr>
                            <w:w w:val="95"/>
                            <w:sz w:val="16"/>
                          </w:rPr>
                          <w:t>Cost</w:t>
                        </w:r>
                        <w:r>
                          <w:rPr>
                            <w:spacing w:val="7"/>
                            <w:sz w:val="16"/>
                          </w:rPr>
                          <w:t xml:space="preserve"> </w:t>
                        </w:r>
                        <w:r>
                          <w:rPr>
                            <w:w w:val="95"/>
                            <w:sz w:val="16"/>
                          </w:rPr>
                          <w:t>included</w:t>
                        </w:r>
                        <w:r>
                          <w:rPr>
                            <w:spacing w:val="8"/>
                            <w:sz w:val="16"/>
                          </w:rPr>
                          <w:t xml:space="preserve"> </w:t>
                        </w:r>
                        <w:r>
                          <w:rPr>
                            <w:w w:val="95"/>
                            <w:sz w:val="16"/>
                          </w:rPr>
                          <w:t>in</w:t>
                        </w:r>
                        <w:r>
                          <w:rPr>
                            <w:spacing w:val="8"/>
                            <w:sz w:val="16"/>
                          </w:rPr>
                          <w:t xml:space="preserve"> </w:t>
                        </w:r>
                        <w:r>
                          <w:rPr>
                            <w:w w:val="95"/>
                            <w:sz w:val="16"/>
                          </w:rPr>
                          <w:t>Recommendation</w:t>
                        </w:r>
                        <w:r>
                          <w:rPr>
                            <w:spacing w:val="8"/>
                            <w:sz w:val="16"/>
                          </w:rPr>
                          <w:t xml:space="preserve"> </w:t>
                        </w:r>
                        <w:r>
                          <w:rPr>
                            <w:spacing w:val="-5"/>
                            <w:w w:val="95"/>
                            <w:sz w:val="16"/>
                          </w:rPr>
                          <w:t>11.</w:t>
                        </w:r>
                      </w:p>
                    </w:tc>
                  </w:tr>
                  <w:tr w:rsidR="00F22F94">
                    <w:trPr>
                      <w:trHeight w:val="549"/>
                    </w:trPr>
                    <w:tc>
                      <w:tcPr>
                        <w:tcW w:w="567" w:type="dxa"/>
                        <w:tcBorders>
                          <w:left w:val="nil"/>
                        </w:tcBorders>
                        <w:shd w:val="clear" w:color="auto" w:fill="C9C8C9"/>
                      </w:tcPr>
                      <w:p w:rsidR="00F22F94" w:rsidRDefault="00F22F94">
                        <w:pPr>
                          <w:pStyle w:val="TableParagraph"/>
                          <w:rPr>
                            <w:b/>
                            <w:sz w:val="16"/>
                          </w:rPr>
                        </w:pPr>
                        <w:r>
                          <w:rPr>
                            <w:b/>
                            <w:spacing w:val="-5"/>
                            <w:sz w:val="16"/>
                          </w:rPr>
                          <w:t>13</w:t>
                        </w:r>
                      </w:p>
                    </w:tc>
                    <w:tc>
                      <w:tcPr>
                        <w:tcW w:w="3760" w:type="dxa"/>
                        <w:shd w:val="clear" w:color="auto" w:fill="C9C8C9"/>
                      </w:tcPr>
                      <w:p w:rsidR="00F22F94" w:rsidRDefault="00F22F94">
                        <w:pPr>
                          <w:pStyle w:val="TableParagraph"/>
                          <w:spacing w:line="261" w:lineRule="auto"/>
                          <w:rPr>
                            <w:b/>
                            <w:sz w:val="16"/>
                          </w:rPr>
                        </w:pPr>
                        <w:r>
                          <w:rPr>
                            <w:b/>
                            <w:sz w:val="16"/>
                          </w:rPr>
                          <w:t>Incremental bus priority measures for Parramatta</w:t>
                        </w:r>
                        <w:r>
                          <w:rPr>
                            <w:b/>
                            <w:spacing w:val="-2"/>
                            <w:sz w:val="16"/>
                          </w:rPr>
                          <w:t xml:space="preserve"> </w:t>
                        </w:r>
                        <w:r>
                          <w:rPr>
                            <w:b/>
                            <w:sz w:val="16"/>
                          </w:rPr>
                          <w:t>and</w:t>
                        </w:r>
                        <w:r>
                          <w:rPr>
                            <w:b/>
                            <w:spacing w:val="-2"/>
                            <w:sz w:val="16"/>
                          </w:rPr>
                          <w:t xml:space="preserve"> </w:t>
                        </w:r>
                        <w:r>
                          <w:rPr>
                            <w:b/>
                            <w:sz w:val="16"/>
                          </w:rPr>
                          <w:t>other</w:t>
                        </w:r>
                        <w:r>
                          <w:rPr>
                            <w:b/>
                            <w:spacing w:val="-2"/>
                            <w:sz w:val="16"/>
                          </w:rPr>
                          <w:t xml:space="preserve"> </w:t>
                        </w:r>
                        <w:r>
                          <w:rPr>
                            <w:b/>
                            <w:sz w:val="16"/>
                          </w:rPr>
                          <w:t>strategic</w:t>
                        </w:r>
                        <w:r>
                          <w:rPr>
                            <w:b/>
                            <w:spacing w:val="-2"/>
                            <w:sz w:val="16"/>
                          </w:rPr>
                          <w:t xml:space="preserve"> </w:t>
                        </w:r>
                        <w:r>
                          <w:rPr>
                            <w:b/>
                            <w:sz w:val="16"/>
                          </w:rPr>
                          <w:t>corridors</w:t>
                        </w:r>
                      </w:p>
                    </w:tc>
                    <w:tc>
                      <w:tcPr>
                        <w:tcW w:w="713" w:type="dxa"/>
                        <w:shd w:val="clear" w:color="auto" w:fill="E1E0E1"/>
                      </w:tcPr>
                      <w:p w:rsidR="00F22F94" w:rsidRDefault="00F22F94">
                        <w:pPr>
                          <w:pStyle w:val="TableParagraph"/>
                          <w:ind w:left="97" w:right="140"/>
                          <w:jc w:val="center"/>
                          <w:rPr>
                            <w:sz w:val="16"/>
                          </w:rPr>
                        </w:pPr>
                        <w:r>
                          <w:rPr>
                            <w:sz w:val="16"/>
                          </w:rPr>
                          <w:t>5</w:t>
                        </w:r>
                        <w:r>
                          <w:rPr>
                            <w:spacing w:val="-10"/>
                            <w:sz w:val="16"/>
                          </w:rPr>
                          <w:t xml:space="preserve"> </w:t>
                        </w:r>
                        <w:r>
                          <w:rPr>
                            <w:sz w:val="16"/>
                          </w:rPr>
                          <w:t>–</w:t>
                        </w:r>
                        <w:r>
                          <w:rPr>
                            <w:spacing w:val="-9"/>
                            <w:sz w:val="16"/>
                          </w:rPr>
                          <w:t xml:space="preserve"> </w:t>
                        </w:r>
                        <w:r>
                          <w:rPr>
                            <w:spacing w:val="-5"/>
                            <w:sz w:val="16"/>
                          </w:rPr>
                          <w:t>10</w:t>
                        </w:r>
                      </w:p>
                    </w:tc>
                    <w:tc>
                      <w:tcPr>
                        <w:tcW w:w="1304" w:type="dxa"/>
                        <w:shd w:val="clear" w:color="auto" w:fill="E1E0E1"/>
                      </w:tcPr>
                      <w:p w:rsidR="00F22F94" w:rsidRDefault="00F22F94">
                        <w:pPr>
                          <w:pStyle w:val="TableParagraph"/>
                          <w:rPr>
                            <w:sz w:val="16"/>
                          </w:rPr>
                        </w:pPr>
                        <w:r>
                          <w:rPr>
                            <w:spacing w:val="-2"/>
                            <w:sz w:val="16"/>
                          </w:rPr>
                          <w:t>Program</w:t>
                        </w:r>
                      </w:p>
                    </w:tc>
                    <w:tc>
                      <w:tcPr>
                        <w:tcW w:w="3458" w:type="dxa"/>
                        <w:shd w:val="clear" w:color="auto" w:fill="E1E0E1"/>
                      </w:tcPr>
                      <w:p w:rsidR="00F22F94" w:rsidRDefault="00F22F94">
                        <w:pPr>
                          <w:pStyle w:val="TableParagraph"/>
                          <w:rPr>
                            <w:sz w:val="16"/>
                          </w:rPr>
                        </w:pPr>
                        <w:r>
                          <w:rPr>
                            <w:w w:val="95"/>
                            <w:sz w:val="16"/>
                          </w:rPr>
                          <w:t>Scoping</w:t>
                        </w:r>
                        <w:r>
                          <w:rPr>
                            <w:spacing w:val="6"/>
                            <w:sz w:val="16"/>
                          </w:rPr>
                          <w:t xml:space="preserve"> </w:t>
                        </w:r>
                        <w:r>
                          <w:rPr>
                            <w:w w:val="95"/>
                            <w:sz w:val="16"/>
                          </w:rPr>
                          <w:t>of</w:t>
                        </w:r>
                        <w:r>
                          <w:rPr>
                            <w:spacing w:val="6"/>
                            <w:sz w:val="16"/>
                          </w:rPr>
                          <w:t xml:space="preserve"> </w:t>
                        </w:r>
                        <w:r>
                          <w:rPr>
                            <w:w w:val="95"/>
                            <w:sz w:val="16"/>
                          </w:rPr>
                          <w:t>$200</w:t>
                        </w:r>
                        <w:r>
                          <w:rPr>
                            <w:spacing w:val="7"/>
                            <w:sz w:val="16"/>
                          </w:rPr>
                          <w:t xml:space="preserve"> </w:t>
                        </w:r>
                        <w:r>
                          <w:rPr>
                            <w:spacing w:val="-2"/>
                            <w:w w:val="95"/>
                            <w:sz w:val="16"/>
                          </w:rPr>
                          <w:t>million.</w:t>
                        </w:r>
                      </w:p>
                    </w:tc>
                  </w:tr>
                  <w:tr w:rsidR="00F22F94">
                    <w:trPr>
                      <w:trHeight w:val="749"/>
                    </w:trPr>
                    <w:tc>
                      <w:tcPr>
                        <w:tcW w:w="567" w:type="dxa"/>
                        <w:tcBorders>
                          <w:left w:val="nil"/>
                        </w:tcBorders>
                        <w:shd w:val="clear" w:color="auto" w:fill="C9C8C9"/>
                      </w:tcPr>
                      <w:p w:rsidR="00F22F94" w:rsidRDefault="00F22F94">
                        <w:pPr>
                          <w:pStyle w:val="TableParagraph"/>
                          <w:rPr>
                            <w:b/>
                            <w:sz w:val="16"/>
                          </w:rPr>
                        </w:pPr>
                        <w:r>
                          <w:rPr>
                            <w:b/>
                            <w:spacing w:val="-5"/>
                            <w:sz w:val="16"/>
                          </w:rPr>
                          <w:t>14</w:t>
                        </w:r>
                      </w:p>
                    </w:tc>
                    <w:tc>
                      <w:tcPr>
                        <w:tcW w:w="3760" w:type="dxa"/>
                        <w:shd w:val="clear" w:color="auto" w:fill="C9C8C9"/>
                      </w:tcPr>
                      <w:p w:rsidR="00F22F94" w:rsidRDefault="00F22F94">
                        <w:pPr>
                          <w:pStyle w:val="TableParagraph"/>
                          <w:spacing w:line="261" w:lineRule="auto"/>
                          <w:ind w:right="211"/>
                          <w:jc w:val="both"/>
                          <w:rPr>
                            <w:b/>
                            <w:sz w:val="16"/>
                          </w:rPr>
                        </w:pPr>
                        <w:r>
                          <w:rPr>
                            <w:b/>
                            <w:w w:val="95"/>
                            <w:sz w:val="16"/>
                          </w:rPr>
                          <w:t xml:space="preserve">Northern Beaches bus corridor improvement </w:t>
                        </w:r>
                        <w:r>
                          <w:rPr>
                            <w:b/>
                            <w:sz w:val="16"/>
                          </w:rPr>
                          <w:t>plan</w:t>
                        </w:r>
                        <w:r>
                          <w:rPr>
                            <w:b/>
                            <w:spacing w:val="-5"/>
                            <w:sz w:val="16"/>
                          </w:rPr>
                          <w:t xml:space="preserve"> </w:t>
                        </w:r>
                        <w:r>
                          <w:rPr>
                            <w:b/>
                            <w:sz w:val="16"/>
                          </w:rPr>
                          <w:t>incorporating</w:t>
                        </w:r>
                        <w:r>
                          <w:rPr>
                            <w:b/>
                            <w:spacing w:val="-5"/>
                            <w:sz w:val="16"/>
                          </w:rPr>
                          <w:t xml:space="preserve"> </w:t>
                        </w:r>
                        <w:r>
                          <w:rPr>
                            <w:b/>
                            <w:sz w:val="16"/>
                          </w:rPr>
                          <w:t>Spit</w:t>
                        </w:r>
                        <w:r>
                          <w:rPr>
                            <w:b/>
                            <w:spacing w:val="-5"/>
                            <w:sz w:val="16"/>
                          </w:rPr>
                          <w:t xml:space="preserve"> </w:t>
                        </w:r>
                        <w:r>
                          <w:rPr>
                            <w:b/>
                            <w:sz w:val="16"/>
                          </w:rPr>
                          <w:t>Bridge</w:t>
                        </w:r>
                        <w:r>
                          <w:rPr>
                            <w:b/>
                            <w:spacing w:val="-5"/>
                            <w:sz w:val="16"/>
                          </w:rPr>
                          <w:t xml:space="preserve"> </w:t>
                        </w:r>
                        <w:r>
                          <w:rPr>
                            <w:b/>
                            <w:sz w:val="16"/>
                          </w:rPr>
                          <w:t>augmentation and</w:t>
                        </w:r>
                        <w:r>
                          <w:rPr>
                            <w:b/>
                            <w:spacing w:val="-10"/>
                            <w:sz w:val="16"/>
                          </w:rPr>
                          <w:t xml:space="preserve"> </w:t>
                        </w:r>
                        <w:r>
                          <w:rPr>
                            <w:b/>
                            <w:sz w:val="16"/>
                          </w:rPr>
                          <w:t>priority</w:t>
                        </w:r>
                        <w:r>
                          <w:rPr>
                            <w:b/>
                            <w:spacing w:val="-10"/>
                            <w:sz w:val="16"/>
                          </w:rPr>
                          <w:t xml:space="preserve"> </w:t>
                        </w:r>
                        <w:r>
                          <w:rPr>
                            <w:b/>
                            <w:sz w:val="16"/>
                          </w:rPr>
                          <w:t>lanes</w:t>
                        </w:r>
                      </w:p>
                    </w:tc>
                    <w:tc>
                      <w:tcPr>
                        <w:tcW w:w="713" w:type="dxa"/>
                        <w:shd w:val="clear" w:color="auto" w:fill="E1E0E1"/>
                      </w:tcPr>
                      <w:p w:rsidR="00F22F94" w:rsidRDefault="00F22F94">
                        <w:pPr>
                          <w:pStyle w:val="TableParagraph"/>
                          <w:ind w:left="97" w:right="140"/>
                          <w:jc w:val="center"/>
                          <w:rPr>
                            <w:sz w:val="16"/>
                          </w:rPr>
                        </w:pPr>
                        <w:r>
                          <w:rPr>
                            <w:sz w:val="16"/>
                          </w:rPr>
                          <w:t>5</w:t>
                        </w:r>
                        <w:r>
                          <w:rPr>
                            <w:spacing w:val="-10"/>
                            <w:sz w:val="16"/>
                          </w:rPr>
                          <w:t xml:space="preserve"> </w:t>
                        </w:r>
                        <w:r>
                          <w:rPr>
                            <w:sz w:val="16"/>
                          </w:rPr>
                          <w:t>–</w:t>
                        </w:r>
                        <w:r>
                          <w:rPr>
                            <w:spacing w:val="-9"/>
                            <w:sz w:val="16"/>
                          </w:rPr>
                          <w:t xml:space="preserve"> </w:t>
                        </w:r>
                        <w:r>
                          <w:rPr>
                            <w:spacing w:val="-5"/>
                            <w:sz w:val="16"/>
                          </w:rPr>
                          <w:t>10</w:t>
                        </w:r>
                      </w:p>
                    </w:tc>
                    <w:tc>
                      <w:tcPr>
                        <w:tcW w:w="1304" w:type="dxa"/>
                        <w:shd w:val="clear" w:color="auto" w:fill="E1E0E1"/>
                      </w:tcPr>
                      <w:p w:rsidR="00F22F94" w:rsidRDefault="00F22F94">
                        <w:pPr>
                          <w:pStyle w:val="TableParagraph"/>
                          <w:rPr>
                            <w:sz w:val="16"/>
                          </w:rPr>
                        </w:pPr>
                        <w:r>
                          <w:rPr>
                            <w:spacing w:val="-2"/>
                            <w:sz w:val="16"/>
                          </w:rPr>
                          <w:t>Program</w:t>
                        </w:r>
                      </w:p>
                    </w:tc>
                    <w:tc>
                      <w:tcPr>
                        <w:tcW w:w="3458" w:type="dxa"/>
                        <w:shd w:val="clear" w:color="auto" w:fill="E1E0E1"/>
                      </w:tcPr>
                      <w:p w:rsidR="00F22F94" w:rsidRDefault="00F22F94">
                        <w:pPr>
                          <w:pStyle w:val="TableParagraph"/>
                          <w:rPr>
                            <w:sz w:val="16"/>
                          </w:rPr>
                        </w:pPr>
                        <w:r>
                          <w:rPr>
                            <w:w w:val="95"/>
                            <w:sz w:val="16"/>
                          </w:rPr>
                          <w:t>Scoping</w:t>
                        </w:r>
                        <w:r>
                          <w:rPr>
                            <w:spacing w:val="6"/>
                            <w:sz w:val="16"/>
                          </w:rPr>
                          <w:t xml:space="preserve"> </w:t>
                        </w:r>
                        <w:r>
                          <w:rPr>
                            <w:w w:val="95"/>
                            <w:sz w:val="16"/>
                          </w:rPr>
                          <w:t>of</w:t>
                        </w:r>
                        <w:r>
                          <w:rPr>
                            <w:spacing w:val="6"/>
                            <w:sz w:val="16"/>
                          </w:rPr>
                          <w:t xml:space="preserve"> </w:t>
                        </w:r>
                        <w:r>
                          <w:rPr>
                            <w:w w:val="95"/>
                            <w:sz w:val="16"/>
                          </w:rPr>
                          <w:t>$200</w:t>
                        </w:r>
                        <w:r>
                          <w:rPr>
                            <w:spacing w:val="7"/>
                            <w:sz w:val="16"/>
                          </w:rPr>
                          <w:t xml:space="preserve"> </w:t>
                        </w:r>
                        <w:r>
                          <w:rPr>
                            <w:spacing w:val="-2"/>
                            <w:w w:val="95"/>
                            <w:sz w:val="16"/>
                          </w:rPr>
                          <w:t>million.</w:t>
                        </w:r>
                      </w:p>
                    </w:tc>
                  </w:tr>
                  <w:tr w:rsidR="00F22F94">
                    <w:trPr>
                      <w:trHeight w:val="549"/>
                    </w:trPr>
                    <w:tc>
                      <w:tcPr>
                        <w:tcW w:w="567" w:type="dxa"/>
                        <w:tcBorders>
                          <w:left w:val="nil"/>
                        </w:tcBorders>
                        <w:shd w:val="clear" w:color="auto" w:fill="C9C8C9"/>
                      </w:tcPr>
                      <w:p w:rsidR="00F22F94" w:rsidRDefault="00F22F94">
                        <w:pPr>
                          <w:pStyle w:val="TableParagraph"/>
                          <w:rPr>
                            <w:b/>
                            <w:sz w:val="16"/>
                          </w:rPr>
                        </w:pPr>
                        <w:r>
                          <w:rPr>
                            <w:b/>
                            <w:spacing w:val="-5"/>
                            <w:sz w:val="16"/>
                          </w:rPr>
                          <w:t>15</w:t>
                        </w:r>
                      </w:p>
                    </w:tc>
                    <w:tc>
                      <w:tcPr>
                        <w:tcW w:w="3760" w:type="dxa"/>
                        <w:shd w:val="clear" w:color="auto" w:fill="C9C8C9"/>
                      </w:tcPr>
                      <w:p w:rsidR="00F22F94" w:rsidRDefault="00F22F94">
                        <w:pPr>
                          <w:pStyle w:val="TableParagraph"/>
                          <w:spacing w:line="261" w:lineRule="auto"/>
                          <w:rPr>
                            <w:b/>
                            <w:sz w:val="16"/>
                          </w:rPr>
                        </w:pPr>
                        <w:r>
                          <w:rPr>
                            <w:b/>
                            <w:sz w:val="16"/>
                          </w:rPr>
                          <w:t>Develop</w:t>
                        </w:r>
                        <w:r>
                          <w:rPr>
                            <w:b/>
                            <w:spacing w:val="-11"/>
                            <w:sz w:val="16"/>
                          </w:rPr>
                          <w:t xml:space="preserve"> </w:t>
                        </w:r>
                        <w:r>
                          <w:rPr>
                            <w:b/>
                            <w:sz w:val="16"/>
                          </w:rPr>
                          <w:t>and</w:t>
                        </w:r>
                        <w:r>
                          <w:rPr>
                            <w:b/>
                            <w:spacing w:val="-11"/>
                            <w:sz w:val="16"/>
                          </w:rPr>
                          <w:t xml:space="preserve"> </w:t>
                        </w:r>
                        <w:r>
                          <w:rPr>
                            <w:b/>
                            <w:sz w:val="16"/>
                          </w:rPr>
                          <w:t>construct</w:t>
                        </w:r>
                        <w:r>
                          <w:rPr>
                            <w:b/>
                            <w:spacing w:val="-11"/>
                            <w:sz w:val="16"/>
                          </w:rPr>
                          <w:t xml:space="preserve"> </w:t>
                        </w:r>
                        <w:r>
                          <w:rPr>
                            <w:b/>
                            <w:sz w:val="16"/>
                          </w:rPr>
                          <w:t>transitway</w:t>
                        </w:r>
                        <w:r>
                          <w:rPr>
                            <w:b/>
                            <w:spacing w:val="-11"/>
                            <w:sz w:val="16"/>
                          </w:rPr>
                          <w:t xml:space="preserve"> </w:t>
                        </w:r>
                        <w:r>
                          <w:rPr>
                            <w:b/>
                            <w:sz w:val="16"/>
                          </w:rPr>
                          <w:t>from Parramatta</w:t>
                        </w:r>
                        <w:r>
                          <w:rPr>
                            <w:b/>
                            <w:spacing w:val="-3"/>
                            <w:sz w:val="16"/>
                          </w:rPr>
                          <w:t xml:space="preserve"> </w:t>
                        </w:r>
                        <w:r>
                          <w:rPr>
                            <w:b/>
                            <w:sz w:val="16"/>
                          </w:rPr>
                          <w:t>to</w:t>
                        </w:r>
                        <w:r>
                          <w:rPr>
                            <w:b/>
                            <w:spacing w:val="-3"/>
                            <w:sz w:val="16"/>
                          </w:rPr>
                          <w:t xml:space="preserve"> </w:t>
                        </w:r>
                        <w:r>
                          <w:rPr>
                            <w:b/>
                            <w:sz w:val="16"/>
                          </w:rPr>
                          <w:t>Epping/Macquarie</w:t>
                        </w:r>
                        <w:r>
                          <w:rPr>
                            <w:b/>
                            <w:spacing w:val="-3"/>
                            <w:sz w:val="16"/>
                          </w:rPr>
                          <w:t xml:space="preserve"> </w:t>
                        </w:r>
                        <w:r>
                          <w:rPr>
                            <w:b/>
                            <w:sz w:val="16"/>
                          </w:rPr>
                          <w:t>Park</w:t>
                        </w:r>
                      </w:p>
                    </w:tc>
                    <w:tc>
                      <w:tcPr>
                        <w:tcW w:w="713" w:type="dxa"/>
                        <w:shd w:val="clear" w:color="auto" w:fill="E1E0E1"/>
                      </w:tcPr>
                      <w:p w:rsidR="00F22F94" w:rsidRDefault="00F22F94">
                        <w:pPr>
                          <w:pStyle w:val="TableParagraph"/>
                          <w:ind w:left="97" w:right="77"/>
                          <w:jc w:val="center"/>
                          <w:rPr>
                            <w:sz w:val="16"/>
                          </w:rPr>
                        </w:pPr>
                        <w:r>
                          <w:rPr>
                            <w:w w:val="90"/>
                            <w:sz w:val="16"/>
                          </w:rPr>
                          <w:t>10</w:t>
                        </w:r>
                        <w:r>
                          <w:rPr>
                            <w:spacing w:val="-4"/>
                            <w:w w:val="90"/>
                            <w:sz w:val="16"/>
                          </w:rPr>
                          <w:t xml:space="preserve"> </w:t>
                        </w:r>
                        <w:r>
                          <w:rPr>
                            <w:w w:val="90"/>
                            <w:sz w:val="16"/>
                          </w:rPr>
                          <w:t>–</w:t>
                        </w:r>
                        <w:r>
                          <w:rPr>
                            <w:spacing w:val="-3"/>
                            <w:w w:val="90"/>
                            <w:sz w:val="16"/>
                          </w:rPr>
                          <w:t xml:space="preserve"> </w:t>
                        </w:r>
                        <w:r>
                          <w:rPr>
                            <w:spacing w:val="-5"/>
                            <w:w w:val="90"/>
                            <w:sz w:val="16"/>
                          </w:rPr>
                          <w:t>20</w:t>
                        </w:r>
                      </w:p>
                    </w:tc>
                    <w:tc>
                      <w:tcPr>
                        <w:tcW w:w="1304" w:type="dxa"/>
                        <w:shd w:val="clear" w:color="auto" w:fill="E1E0E1"/>
                      </w:tcPr>
                      <w:p w:rsidR="00F22F94" w:rsidRDefault="00F22F94">
                        <w:pPr>
                          <w:pStyle w:val="TableParagraph"/>
                          <w:rPr>
                            <w:sz w:val="16"/>
                          </w:rPr>
                        </w:pPr>
                        <w:r>
                          <w:rPr>
                            <w:w w:val="95"/>
                            <w:sz w:val="16"/>
                          </w:rPr>
                          <w:t>Major</w:t>
                        </w:r>
                        <w:r>
                          <w:rPr>
                            <w:spacing w:val="-2"/>
                            <w:sz w:val="16"/>
                          </w:rPr>
                          <w:t xml:space="preserve"> </w:t>
                        </w:r>
                        <w:r>
                          <w:rPr>
                            <w:spacing w:val="-2"/>
                            <w:w w:val="95"/>
                            <w:sz w:val="16"/>
                          </w:rPr>
                          <w:t>project</w:t>
                        </w:r>
                      </w:p>
                    </w:tc>
                    <w:tc>
                      <w:tcPr>
                        <w:tcW w:w="3458" w:type="dxa"/>
                        <w:shd w:val="clear" w:color="auto" w:fill="E1E0E1"/>
                      </w:tcPr>
                      <w:p w:rsidR="00F22F94" w:rsidRDefault="00F22F94">
                        <w:pPr>
                          <w:pStyle w:val="TableParagraph"/>
                          <w:spacing w:before="70" w:line="235" w:lineRule="auto"/>
                          <w:ind w:right="620"/>
                          <w:rPr>
                            <w:sz w:val="16"/>
                          </w:rPr>
                        </w:pPr>
                        <w:r>
                          <w:rPr>
                            <w:w w:val="95"/>
                            <w:sz w:val="16"/>
                          </w:rPr>
                          <w:t xml:space="preserve">Scoping of $400 million assumes a bus </w:t>
                        </w:r>
                        <w:r>
                          <w:rPr>
                            <w:sz w:val="16"/>
                          </w:rPr>
                          <w:t>T-Way</w:t>
                        </w:r>
                        <w:r>
                          <w:rPr>
                            <w:spacing w:val="-4"/>
                            <w:sz w:val="16"/>
                          </w:rPr>
                          <w:t xml:space="preserve"> </w:t>
                        </w:r>
                        <w:r>
                          <w:rPr>
                            <w:sz w:val="16"/>
                          </w:rPr>
                          <w:t>option.</w:t>
                        </w:r>
                      </w:p>
                    </w:tc>
                  </w:tr>
                </w:tbl>
                <w:p w:rsidR="00F22F94" w:rsidRDefault="00F22F94">
                  <w:pPr>
                    <w:pStyle w:val="BodyText"/>
                  </w:pPr>
                </w:p>
              </w:txbxContent>
            </v:textbox>
            <w10:wrap anchorx="page"/>
          </v:shape>
        </w:pict>
      </w:r>
      <w:r w:rsidR="00F22F94">
        <w:rPr>
          <w:b/>
          <w:color w:val="2E3092"/>
          <w:sz w:val="18"/>
        </w:rPr>
        <w:t xml:space="preserve">Recommended </w:t>
      </w:r>
      <w:r w:rsidR="00F22F94">
        <w:rPr>
          <w:b/>
          <w:color w:val="2E3092"/>
          <w:spacing w:val="-2"/>
          <w:sz w:val="18"/>
        </w:rPr>
        <w:t>Actions</w:t>
      </w:r>
      <w:r w:rsidR="00F22F94">
        <w:rPr>
          <w:b/>
          <w:color w:val="2E3092"/>
          <w:sz w:val="18"/>
        </w:rPr>
        <w:tab/>
      </w:r>
      <w:r w:rsidR="00F22F94">
        <w:rPr>
          <w:b/>
          <w:color w:val="2E3092"/>
          <w:spacing w:val="-2"/>
          <w:sz w:val="18"/>
        </w:rPr>
        <w:t>Years</w:t>
      </w:r>
      <w:r w:rsidR="00F22F94">
        <w:rPr>
          <w:b/>
          <w:color w:val="2E3092"/>
          <w:sz w:val="18"/>
        </w:rPr>
        <w:tab/>
      </w:r>
      <w:r w:rsidR="00F22F94">
        <w:rPr>
          <w:b/>
          <w:color w:val="2E3092"/>
          <w:spacing w:val="-4"/>
          <w:sz w:val="18"/>
        </w:rPr>
        <w:t>Type</w:t>
      </w:r>
      <w:r w:rsidR="00F22F94">
        <w:rPr>
          <w:b/>
          <w:color w:val="2E3092"/>
          <w:sz w:val="18"/>
        </w:rPr>
        <w:tab/>
        <w:t>Capital</w:t>
      </w:r>
      <w:r w:rsidR="00F22F94">
        <w:rPr>
          <w:b/>
          <w:color w:val="2E3092"/>
          <w:spacing w:val="-12"/>
          <w:sz w:val="18"/>
        </w:rPr>
        <w:t xml:space="preserve"> </w:t>
      </w:r>
      <w:r w:rsidR="00F22F94">
        <w:rPr>
          <w:b/>
          <w:color w:val="2E3092"/>
          <w:sz w:val="18"/>
        </w:rPr>
        <w:t>and</w:t>
      </w:r>
      <w:r w:rsidR="00F22F94">
        <w:rPr>
          <w:b/>
          <w:color w:val="2E3092"/>
          <w:spacing w:val="-12"/>
          <w:sz w:val="18"/>
        </w:rPr>
        <w:t xml:space="preserve"> </w:t>
      </w:r>
      <w:r w:rsidR="00F22F94">
        <w:rPr>
          <w:b/>
          <w:color w:val="2E3092"/>
          <w:sz w:val="18"/>
        </w:rPr>
        <w:t>Funding</w:t>
      </w:r>
      <w:r w:rsidR="00F22F94">
        <w:rPr>
          <w:b/>
          <w:color w:val="2E3092"/>
          <w:spacing w:val="-12"/>
          <w:sz w:val="18"/>
        </w:rPr>
        <w:t xml:space="preserve"> </w:t>
      </w:r>
      <w:r w:rsidR="00F22F94">
        <w:rPr>
          <w:b/>
          <w:color w:val="2E3092"/>
          <w:spacing w:val="-2"/>
          <w:sz w:val="18"/>
        </w:rPr>
        <w:t>Implication</w:t>
      </w:r>
    </w:p>
    <w:p w:rsidR="002C1123" w:rsidRDefault="002C1123">
      <w:pPr>
        <w:rPr>
          <w:sz w:val="18"/>
        </w:rPr>
        <w:sectPr w:rsidR="002C1123">
          <w:type w:val="continuous"/>
          <w:pgSz w:w="16840" w:h="11910" w:orient="landscape"/>
          <w:pgMar w:top="560" w:right="280" w:bottom="280" w:left="500" w:header="0" w:footer="517" w:gutter="0"/>
          <w:cols w:num="2" w:space="720" w:equalWidth="0">
            <w:col w:w="5268" w:space="40"/>
            <w:col w:w="10752"/>
          </w:cols>
        </w:sectPr>
      </w:pPr>
    </w:p>
    <w:p w:rsidR="002C1123" w:rsidRDefault="002C1123">
      <w:pPr>
        <w:pStyle w:val="BodyText"/>
        <w:rPr>
          <w:b/>
        </w:rPr>
      </w:pPr>
    </w:p>
    <w:p w:rsidR="002C1123" w:rsidRDefault="002C1123">
      <w:pPr>
        <w:sectPr w:rsidR="002C1123">
          <w:headerReference w:type="default" r:id="rId161"/>
          <w:footerReference w:type="default" r:id="rId162"/>
          <w:pgSz w:w="16840" w:h="11910" w:orient="landscape"/>
          <w:pgMar w:top="560" w:right="280" w:bottom="700" w:left="500" w:header="0" w:footer="517" w:gutter="0"/>
          <w:cols w:space="720"/>
        </w:sectPr>
      </w:pPr>
    </w:p>
    <w:p w:rsidR="002C1123" w:rsidRDefault="002060EF">
      <w:pPr>
        <w:pStyle w:val="Heading1"/>
        <w:numPr>
          <w:ilvl w:val="1"/>
          <w:numId w:val="86"/>
        </w:numPr>
        <w:tabs>
          <w:tab w:val="left" w:pos="1589"/>
        </w:tabs>
        <w:jc w:val="left"/>
        <w:rPr>
          <w:color w:val="2E3092"/>
        </w:rPr>
      </w:pPr>
      <w:r>
        <w:pict>
          <v:rect id="docshape1417" o:spid="_x0000_s3817" style="position:absolute;left:0;text-align:left;margin-left:38.25pt;margin-top:80.8pt;width:502.7pt;height:428.05pt;z-index:-251478016;mso-position-horizontal-relative:page" fillcolor="#e1e0e1" stroked="f">
            <w10:wrap anchorx="page"/>
          </v:rect>
        </w:pict>
      </w:r>
      <w:bookmarkStart w:id="211" w:name="8.0_Passenger_trains"/>
      <w:bookmarkStart w:id="212" w:name="8.1_Snapshot"/>
      <w:bookmarkStart w:id="213" w:name="_bookmark152"/>
      <w:bookmarkStart w:id="214" w:name="_bookmark151"/>
      <w:bookmarkEnd w:id="211"/>
      <w:bookmarkEnd w:id="212"/>
      <w:bookmarkEnd w:id="213"/>
      <w:bookmarkEnd w:id="214"/>
      <w:r w:rsidR="00F22F94">
        <w:rPr>
          <w:color w:val="00AEEF"/>
          <w:spacing w:val="-11"/>
          <w:w w:val="60"/>
        </w:rPr>
        <w:t>Passenger</w:t>
      </w:r>
      <w:r w:rsidR="00F22F94">
        <w:rPr>
          <w:color w:val="00AEEF"/>
          <w:spacing w:val="-26"/>
          <w:w w:val="60"/>
        </w:rPr>
        <w:t xml:space="preserve"> </w:t>
      </w:r>
      <w:r w:rsidR="00F22F94">
        <w:rPr>
          <w:color w:val="00AEEF"/>
          <w:spacing w:val="-5"/>
          <w:w w:val="60"/>
        </w:rPr>
        <w:t>trains</w:t>
      </w:r>
    </w:p>
    <w:p w:rsidR="002C1123" w:rsidRDefault="00F22F94">
      <w:pPr>
        <w:pStyle w:val="Heading5"/>
        <w:spacing w:before="210"/>
        <w:ind w:left="492" w:firstLine="0"/>
      </w:pPr>
      <w:r>
        <w:rPr>
          <w:color w:val="00AEEF"/>
          <w:spacing w:val="-2"/>
        </w:rPr>
        <w:t>Summary</w:t>
      </w:r>
    </w:p>
    <w:p w:rsidR="002C1123" w:rsidRDefault="00F22F94">
      <w:pPr>
        <w:rPr>
          <w:b/>
          <w:sz w:val="32"/>
        </w:rPr>
      </w:pPr>
      <w:r>
        <w:br w:type="column"/>
      </w:r>
    </w:p>
    <w:p w:rsidR="002C1123" w:rsidRDefault="002C1123">
      <w:pPr>
        <w:pStyle w:val="BodyText"/>
        <w:rPr>
          <w:b/>
          <w:sz w:val="32"/>
        </w:rPr>
      </w:pPr>
    </w:p>
    <w:p w:rsidR="002C1123" w:rsidRDefault="002C1123">
      <w:pPr>
        <w:pStyle w:val="BodyText"/>
        <w:rPr>
          <w:b/>
          <w:sz w:val="32"/>
        </w:rPr>
      </w:pPr>
    </w:p>
    <w:p w:rsidR="002C1123" w:rsidRDefault="002C1123">
      <w:pPr>
        <w:pStyle w:val="BodyText"/>
        <w:rPr>
          <w:b/>
          <w:sz w:val="32"/>
        </w:rPr>
      </w:pPr>
    </w:p>
    <w:p w:rsidR="002C1123" w:rsidRDefault="002C1123">
      <w:pPr>
        <w:pStyle w:val="BodyText"/>
        <w:spacing w:before="9"/>
        <w:rPr>
          <w:b/>
          <w:sz w:val="26"/>
        </w:rPr>
      </w:pPr>
    </w:p>
    <w:p w:rsidR="002C1123" w:rsidRDefault="00F22F94">
      <w:pPr>
        <w:pStyle w:val="Heading5"/>
        <w:numPr>
          <w:ilvl w:val="1"/>
          <w:numId w:val="86"/>
        </w:numPr>
        <w:tabs>
          <w:tab w:val="left" w:pos="942"/>
        </w:tabs>
        <w:spacing w:before="1"/>
        <w:ind w:left="941" w:hanging="450"/>
        <w:jc w:val="left"/>
        <w:rPr>
          <w:color w:val="00AEEF"/>
        </w:rPr>
      </w:pPr>
      <w:r>
        <w:rPr>
          <w:color w:val="00AEEF"/>
          <w:spacing w:val="-2"/>
        </w:rPr>
        <w:t>Snapshot</w:t>
      </w:r>
    </w:p>
    <w:p w:rsidR="002C1123" w:rsidRDefault="002C1123">
      <w:pPr>
        <w:sectPr w:rsidR="002C1123">
          <w:type w:val="continuous"/>
          <w:pgSz w:w="16840" w:h="11910" w:orient="landscape"/>
          <w:pgMar w:top="560" w:right="280" w:bottom="280" w:left="500" w:header="0" w:footer="517" w:gutter="0"/>
          <w:cols w:num="2" w:space="720" w:equalWidth="0">
            <w:col w:w="6339" w:space="3715"/>
            <w:col w:w="6006"/>
          </w:cols>
        </w:sectPr>
      </w:pPr>
    </w:p>
    <w:p w:rsidR="002C1123" w:rsidRDefault="00F22F94">
      <w:pPr>
        <w:pStyle w:val="ListParagraph"/>
        <w:numPr>
          <w:ilvl w:val="0"/>
          <w:numId w:val="83"/>
        </w:numPr>
        <w:tabs>
          <w:tab w:val="left" w:pos="776"/>
        </w:tabs>
        <w:spacing w:before="122" w:line="249" w:lineRule="auto"/>
        <w:ind w:right="60"/>
        <w:rPr>
          <w:sz w:val="20"/>
        </w:rPr>
      </w:pPr>
      <w:r>
        <w:rPr>
          <w:sz w:val="20"/>
        </w:rPr>
        <w:t>Reliable,</w:t>
      </w:r>
      <w:r>
        <w:rPr>
          <w:spacing w:val="-14"/>
          <w:sz w:val="20"/>
        </w:rPr>
        <w:t xml:space="preserve"> </w:t>
      </w:r>
      <w:r>
        <w:rPr>
          <w:sz w:val="20"/>
        </w:rPr>
        <w:t>frequent</w:t>
      </w:r>
      <w:r>
        <w:rPr>
          <w:spacing w:val="-14"/>
          <w:sz w:val="20"/>
        </w:rPr>
        <w:t xml:space="preserve"> </w:t>
      </w:r>
      <w:r>
        <w:rPr>
          <w:sz w:val="20"/>
        </w:rPr>
        <w:t>and</w:t>
      </w:r>
      <w:r>
        <w:rPr>
          <w:spacing w:val="-14"/>
          <w:sz w:val="20"/>
        </w:rPr>
        <w:t xml:space="preserve"> </w:t>
      </w:r>
      <w:r>
        <w:rPr>
          <w:sz w:val="20"/>
        </w:rPr>
        <w:t>fast</w:t>
      </w:r>
      <w:r>
        <w:rPr>
          <w:spacing w:val="-14"/>
          <w:sz w:val="20"/>
        </w:rPr>
        <w:t xml:space="preserve"> </w:t>
      </w:r>
      <w:r>
        <w:rPr>
          <w:sz w:val="20"/>
        </w:rPr>
        <w:t>passenger</w:t>
      </w:r>
      <w:r>
        <w:rPr>
          <w:spacing w:val="-14"/>
          <w:sz w:val="20"/>
        </w:rPr>
        <w:t xml:space="preserve"> </w:t>
      </w:r>
      <w:r>
        <w:rPr>
          <w:sz w:val="20"/>
        </w:rPr>
        <w:t>trains</w:t>
      </w:r>
      <w:r>
        <w:rPr>
          <w:spacing w:val="-14"/>
          <w:sz w:val="20"/>
        </w:rPr>
        <w:t xml:space="preserve"> </w:t>
      </w:r>
      <w:r>
        <w:rPr>
          <w:sz w:val="20"/>
        </w:rPr>
        <w:t>are essential</w:t>
      </w:r>
      <w:r>
        <w:rPr>
          <w:spacing w:val="-8"/>
          <w:sz w:val="20"/>
        </w:rPr>
        <w:t xml:space="preserve"> </w:t>
      </w:r>
      <w:r>
        <w:rPr>
          <w:sz w:val="20"/>
        </w:rPr>
        <w:t>to</w:t>
      </w:r>
      <w:r>
        <w:rPr>
          <w:spacing w:val="-8"/>
          <w:sz w:val="20"/>
        </w:rPr>
        <w:t xml:space="preserve"> </w:t>
      </w:r>
      <w:r>
        <w:rPr>
          <w:sz w:val="20"/>
        </w:rPr>
        <w:t>the</w:t>
      </w:r>
      <w:r>
        <w:rPr>
          <w:spacing w:val="-8"/>
          <w:sz w:val="20"/>
        </w:rPr>
        <w:t xml:space="preserve"> </w:t>
      </w:r>
      <w:r>
        <w:rPr>
          <w:sz w:val="20"/>
        </w:rPr>
        <w:t>economic</w:t>
      </w:r>
      <w:r>
        <w:rPr>
          <w:spacing w:val="-8"/>
          <w:sz w:val="20"/>
        </w:rPr>
        <w:t xml:space="preserve"> </w:t>
      </w:r>
      <w:r>
        <w:rPr>
          <w:sz w:val="20"/>
        </w:rPr>
        <w:t>success</w:t>
      </w:r>
      <w:r>
        <w:rPr>
          <w:spacing w:val="-8"/>
          <w:sz w:val="20"/>
        </w:rPr>
        <w:t xml:space="preserve"> </w:t>
      </w:r>
      <w:r>
        <w:rPr>
          <w:sz w:val="20"/>
        </w:rPr>
        <w:t>of</w:t>
      </w:r>
      <w:r>
        <w:rPr>
          <w:spacing w:val="-8"/>
          <w:sz w:val="20"/>
        </w:rPr>
        <w:t xml:space="preserve"> </w:t>
      </w:r>
      <w:r>
        <w:rPr>
          <w:sz w:val="20"/>
        </w:rPr>
        <w:t>NSW</w:t>
      </w:r>
      <w:r>
        <w:rPr>
          <w:spacing w:val="-8"/>
          <w:sz w:val="20"/>
        </w:rPr>
        <w:t xml:space="preserve"> </w:t>
      </w:r>
      <w:r>
        <w:rPr>
          <w:sz w:val="20"/>
        </w:rPr>
        <w:t>and</w:t>
      </w:r>
      <w:r>
        <w:rPr>
          <w:spacing w:val="-8"/>
          <w:sz w:val="20"/>
        </w:rPr>
        <w:t xml:space="preserve"> </w:t>
      </w:r>
      <w:r>
        <w:rPr>
          <w:sz w:val="20"/>
        </w:rPr>
        <w:t xml:space="preserve">to </w:t>
      </w:r>
      <w:r>
        <w:rPr>
          <w:w w:val="95"/>
          <w:sz w:val="20"/>
        </w:rPr>
        <w:t>the</w:t>
      </w:r>
      <w:r>
        <w:rPr>
          <w:spacing w:val="-12"/>
          <w:w w:val="95"/>
          <w:sz w:val="20"/>
        </w:rPr>
        <w:t xml:space="preserve"> </w:t>
      </w:r>
      <w:r>
        <w:rPr>
          <w:w w:val="95"/>
          <w:sz w:val="20"/>
        </w:rPr>
        <w:t>amenity</w:t>
      </w:r>
      <w:r>
        <w:rPr>
          <w:spacing w:val="-11"/>
          <w:w w:val="95"/>
          <w:sz w:val="20"/>
        </w:rPr>
        <w:t xml:space="preserve"> </w:t>
      </w:r>
      <w:r>
        <w:rPr>
          <w:w w:val="95"/>
          <w:sz w:val="20"/>
        </w:rPr>
        <w:t>of</w:t>
      </w:r>
      <w:r>
        <w:rPr>
          <w:spacing w:val="-11"/>
          <w:w w:val="95"/>
          <w:sz w:val="20"/>
        </w:rPr>
        <w:t xml:space="preserve"> </w:t>
      </w:r>
      <w:r>
        <w:rPr>
          <w:w w:val="95"/>
          <w:sz w:val="20"/>
        </w:rPr>
        <w:t>life,</w:t>
      </w:r>
      <w:r>
        <w:rPr>
          <w:spacing w:val="-11"/>
          <w:w w:val="95"/>
          <w:sz w:val="20"/>
        </w:rPr>
        <w:t xml:space="preserve"> </w:t>
      </w:r>
      <w:r>
        <w:rPr>
          <w:w w:val="95"/>
          <w:sz w:val="20"/>
        </w:rPr>
        <w:t>particularly</w:t>
      </w:r>
      <w:r>
        <w:rPr>
          <w:spacing w:val="-11"/>
          <w:w w:val="95"/>
          <w:sz w:val="20"/>
        </w:rPr>
        <w:t xml:space="preserve"> </w:t>
      </w:r>
      <w:r>
        <w:rPr>
          <w:w w:val="95"/>
          <w:sz w:val="20"/>
        </w:rPr>
        <w:t>in</w:t>
      </w:r>
      <w:r>
        <w:rPr>
          <w:spacing w:val="-11"/>
          <w:w w:val="95"/>
          <w:sz w:val="20"/>
        </w:rPr>
        <w:t xml:space="preserve"> </w:t>
      </w:r>
      <w:r>
        <w:rPr>
          <w:w w:val="95"/>
          <w:sz w:val="20"/>
        </w:rPr>
        <w:t>Global</w:t>
      </w:r>
      <w:r>
        <w:rPr>
          <w:spacing w:val="-11"/>
          <w:w w:val="95"/>
          <w:sz w:val="20"/>
        </w:rPr>
        <w:t xml:space="preserve"> </w:t>
      </w:r>
      <w:r>
        <w:rPr>
          <w:w w:val="95"/>
          <w:sz w:val="20"/>
        </w:rPr>
        <w:t>Sydney.</w:t>
      </w:r>
      <w:r>
        <w:rPr>
          <w:spacing w:val="-11"/>
          <w:w w:val="95"/>
          <w:sz w:val="20"/>
        </w:rPr>
        <w:t xml:space="preserve"> </w:t>
      </w:r>
      <w:r>
        <w:rPr>
          <w:w w:val="95"/>
          <w:sz w:val="20"/>
        </w:rPr>
        <w:t xml:space="preserve">The </w:t>
      </w:r>
      <w:r>
        <w:rPr>
          <w:sz w:val="20"/>
        </w:rPr>
        <w:t>rail</w:t>
      </w:r>
      <w:r>
        <w:rPr>
          <w:spacing w:val="-11"/>
          <w:sz w:val="20"/>
        </w:rPr>
        <w:t xml:space="preserve"> </w:t>
      </w:r>
      <w:r>
        <w:rPr>
          <w:sz w:val="20"/>
        </w:rPr>
        <w:t>system</w:t>
      </w:r>
      <w:r>
        <w:rPr>
          <w:spacing w:val="-12"/>
          <w:sz w:val="20"/>
        </w:rPr>
        <w:t xml:space="preserve"> </w:t>
      </w:r>
      <w:r>
        <w:rPr>
          <w:sz w:val="20"/>
        </w:rPr>
        <w:t>must</w:t>
      </w:r>
      <w:r>
        <w:rPr>
          <w:spacing w:val="-11"/>
          <w:sz w:val="20"/>
        </w:rPr>
        <w:t xml:space="preserve"> </w:t>
      </w:r>
      <w:r>
        <w:rPr>
          <w:sz w:val="20"/>
        </w:rPr>
        <w:t>become</w:t>
      </w:r>
      <w:r>
        <w:rPr>
          <w:spacing w:val="-11"/>
          <w:sz w:val="20"/>
        </w:rPr>
        <w:t xml:space="preserve"> </w:t>
      </w:r>
      <w:r>
        <w:rPr>
          <w:sz w:val="20"/>
        </w:rPr>
        <w:t>world</w:t>
      </w:r>
      <w:r>
        <w:rPr>
          <w:spacing w:val="-11"/>
          <w:sz w:val="20"/>
        </w:rPr>
        <w:t xml:space="preserve"> </w:t>
      </w:r>
      <w:r>
        <w:rPr>
          <w:sz w:val="20"/>
        </w:rPr>
        <w:t>class,</w:t>
      </w:r>
      <w:r>
        <w:rPr>
          <w:spacing w:val="-11"/>
          <w:sz w:val="20"/>
        </w:rPr>
        <w:t xml:space="preserve"> </w:t>
      </w:r>
      <w:r>
        <w:rPr>
          <w:sz w:val="20"/>
        </w:rPr>
        <w:t xml:space="preserve">financially </w:t>
      </w:r>
      <w:r>
        <w:rPr>
          <w:w w:val="95"/>
          <w:sz w:val="20"/>
        </w:rPr>
        <w:t xml:space="preserve">sustainable and attractive to commuters in Sydney </w:t>
      </w:r>
      <w:r>
        <w:rPr>
          <w:sz w:val="20"/>
        </w:rPr>
        <w:t>and neighbouring regions.</w:t>
      </w:r>
    </w:p>
    <w:p w:rsidR="002C1123" w:rsidRDefault="00F22F94">
      <w:pPr>
        <w:pStyle w:val="ListParagraph"/>
        <w:numPr>
          <w:ilvl w:val="0"/>
          <w:numId w:val="83"/>
        </w:numPr>
        <w:tabs>
          <w:tab w:val="left" w:pos="776"/>
        </w:tabs>
        <w:spacing w:before="134" w:line="249" w:lineRule="auto"/>
        <w:rPr>
          <w:sz w:val="20"/>
        </w:rPr>
      </w:pPr>
      <w:r>
        <w:rPr>
          <w:sz w:val="20"/>
        </w:rPr>
        <w:t>Infrastructure</w:t>
      </w:r>
      <w:r>
        <w:rPr>
          <w:spacing w:val="-14"/>
          <w:sz w:val="20"/>
        </w:rPr>
        <w:t xml:space="preserve"> </w:t>
      </w:r>
      <w:r>
        <w:rPr>
          <w:sz w:val="20"/>
        </w:rPr>
        <w:t>NSW</w:t>
      </w:r>
      <w:r>
        <w:rPr>
          <w:spacing w:val="-14"/>
          <w:sz w:val="20"/>
        </w:rPr>
        <w:t xml:space="preserve"> </w:t>
      </w:r>
      <w:r>
        <w:rPr>
          <w:sz w:val="20"/>
        </w:rPr>
        <w:t>endorses</w:t>
      </w:r>
      <w:r>
        <w:rPr>
          <w:spacing w:val="-14"/>
          <w:sz w:val="20"/>
        </w:rPr>
        <w:t xml:space="preserve"> </w:t>
      </w:r>
      <w:r>
        <w:rPr>
          <w:sz w:val="20"/>
        </w:rPr>
        <w:t>the</w:t>
      </w:r>
      <w:r>
        <w:rPr>
          <w:spacing w:val="-14"/>
          <w:sz w:val="20"/>
        </w:rPr>
        <w:t xml:space="preserve"> </w:t>
      </w:r>
      <w:r>
        <w:rPr>
          <w:sz w:val="20"/>
        </w:rPr>
        <w:t>three</w:t>
      </w:r>
      <w:r>
        <w:rPr>
          <w:spacing w:val="-14"/>
          <w:sz w:val="20"/>
        </w:rPr>
        <w:t xml:space="preserve"> </w:t>
      </w:r>
      <w:r>
        <w:rPr>
          <w:sz w:val="20"/>
        </w:rPr>
        <w:t>tier</w:t>
      </w:r>
      <w:r>
        <w:rPr>
          <w:spacing w:val="-14"/>
          <w:sz w:val="20"/>
        </w:rPr>
        <w:t xml:space="preserve"> </w:t>
      </w:r>
      <w:r>
        <w:rPr>
          <w:sz w:val="20"/>
        </w:rPr>
        <w:t>railway strategy</w:t>
      </w:r>
      <w:r>
        <w:rPr>
          <w:spacing w:val="-10"/>
          <w:sz w:val="20"/>
        </w:rPr>
        <w:t xml:space="preserve"> </w:t>
      </w:r>
      <w:r>
        <w:rPr>
          <w:sz w:val="20"/>
        </w:rPr>
        <w:t>developed</w:t>
      </w:r>
      <w:r>
        <w:rPr>
          <w:spacing w:val="-10"/>
          <w:sz w:val="20"/>
        </w:rPr>
        <w:t xml:space="preserve"> </w:t>
      </w:r>
      <w:r>
        <w:rPr>
          <w:sz w:val="20"/>
        </w:rPr>
        <w:t>by</w:t>
      </w:r>
      <w:r>
        <w:rPr>
          <w:spacing w:val="-10"/>
          <w:sz w:val="20"/>
        </w:rPr>
        <w:t xml:space="preserve"> </w:t>
      </w:r>
      <w:r>
        <w:rPr>
          <w:sz w:val="20"/>
        </w:rPr>
        <w:t>Transport</w:t>
      </w:r>
      <w:r>
        <w:rPr>
          <w:spacing w:val="-10"/>
          <w:sz w:val="20"/>
        </w:rPr>
        <w:t xml:space="preserve"> </w:t>
      </w:r>
      <w:r>
        <w:rPr>
          <w:sz w:val="20"/>
        </w:rPr>
        <w:t>for</w:t>
      </w:r>
      <w:r>
        <w:rPr>
          <w:spacing w:val="-10"/>
          <w:sz w:val="20"/>
        </w:rPr>
        <w:t xml:space="preserve"> </w:t>
      </w:r>
      <w:r>
        <w:rPr>
          <w:sz w:val="20"/>
        </w:rPr>
        <w:t>New</w:t>
      </w:r>
      <w:r>
        <w:rPr>
          <w:spacing w:val="-10"/>
          <w:sz w:val="20"/>
        </w:rPr>
        <w:t xml:space="preserve"> </w:t>
      </w:r>
      <w:r>
        <w:rPr>
          <w:sz w:val="20"/>
        </w:rPr>
        <w:t xml:space="preserve">South </w:t>
      </w:r>
      <w:r>
        <w:rPr>
          <w:spacing w:val="-2"/>
          <w:sz w:val="20"/>
        </w:rPr>
        <w:t>Wales</w:t>
      </w:r>
      <w:r>
        <w:rPr>
          <w:spacing w:val="-10"/>
          <w:sz w:val="20"/>
        </w:rPr>
        <w:t xml:space="preserve"> </w:t>
      </w:r>
      <w:r>
        <w:rPr>
          <w:spacing w:val="-2"/>
          <w:sz w:val="20"/>
        </w:rPr>
        <w:t>(Transport</w:t>
      </w:r>
      <w:r>
        <w:rPr>
          <w:spacing w:val="-10"/>
          <w:sz w:val="20"/>
        </w:rPr>
        <w:t xml:space="preserve"> </w:t>
      </w:r>
      <w:r>
        <w:rPr>
          <w:spacing w:val="-2"/>
          <w:sz w:val="20"/>
        </w:rPr>
        <w:t>for</w:t>
      </w:r>
      <w:r>
        <w:rPr>
          <w:spacing w:val="-10"/>
          <w:sz w:val="20"/>
        </w:rPr>
        <w:t xml:space="preserve"> </w:t>
      </w:r>
      <w:r>
        <w:rPr>
          <w:spacing w:val="-2"/>
          <w:sz w:val="20"/>
        </w:rPr>
        <w:t>NSW)</w:t>
      </w:r>
      <w:r>
        <w:rPr>
          <w:spacing w:val="-10"/>
          <w:sz w:val="20"/>
        </w:rPr>
        <w:t xml:space="preserve"> </w:t>
      </w:r>
      <w:r>
        <w:rPr>
          <w:spacing w:val="-2"/>
          <w:sz w:val="20"/>
        </w:rPr>
        <w:t>as</w:t>
      </w:r>
      <w:r>
        <w:rPr>
          <w:spacing w:val="-10"/>
          <w:sz w:val="20"/>
        </w:rPr>
        <w:t xml:space="preserve"> </w:t>
      </w:r>
      <w:r>
        <w:rPr>
          <w:spacing w:val="-2"/>
          <w:sz w:val="20"/>
        </w:rPr>
        <w:t>the</w:t>
      </w:r>
      <w:r>
        <w:rPr>
          <w:spacing w:val="-10"/>
          <w:sz w:val="20"/>
        </w:rPr>
        <w:t xml:space="preserve"> </w:t>
      </w:r>
      <w:r>
        <w:rPr>
          <w:spacing w:val="-2"/>
          <w:sz w:val="20"/>
        </w:rPr>
        <w:t>basis</w:t>
      </w:r>
      <w:r>
        <w:rPr>
          <w:spacing w:val="-10"/>
          <w:sz w:val="20"/>
        </w:rPr>
        <w:t xml:space="preserve"> </w:t>
      </w:r>
      <w:r>
        <w:rPr>
          <w:spacing w:val="-2"/>
          <w:sz w:val="20"/>
        </w:rPr>
        <w:t>for</w:t>
      </w:r>
      <w:r>
        <w:rPr>
          <w:spacing w:val="-10"/>
          <w:sz w:val="20"/>
        </w:rPr>
        <w:t xml:space="preserve"> </w:t>
      </w:r>
      <w:r>
        <w:rPr>
          <w:spacing w:val="-2"/>
          <w:sz w:val="20"/>
        </w:rPr>
        <w:t xml:space="preserve">rail </w:t>
      </w:r>
      <w:r>
        <w:rPr>
          <w:sz w:val="20"/>
        </w:rPr>
        <w:t>infrastructure</w:t>
      </w:r>
      <w:r>
        <w:rPr>
          <w:spacing w:val="-14"/>
          <w:sz w:val="20"/>
        </w:rPr>
        <w:t xml:space="preserve"> </w:t>
      </w:r>
      <w:r>
        <w:rPr>
          <w:sz w:val="20"/>
        </w:rPr>
        <w:t>investment,</w:t>
      </w:r>
      <w:r>
        <w:rPr>
          <w:spacing w:val="-14"/>
          <w:sz w:val="20"/>
        </w:rPr>
        <w:t xml:space="preserve"> </w:t>
      </w:r>
      <w:r>
        <w:rPr>
          <w:sz w:val="20"/>
        </w:rPr>
        <w:t>including</w:t>
      </w:r>
      <w:r>
        <w:rPr>
          <w:spacing w:val="-14"/>
          <w:sz w:val="20"/>
        </w:rPr>
        <w:t xml:space="preserve"> </w:t>
      </w:r>
      <w:r>
        <w:rPr>
          <w:sz w:val="20"/>
        </w:rPr>
        <w:t>the</w:t>
      </w:r>
      <w:r>
        <w:rPr>
          <w:spacing w:val="-14"/>
          <w:sz w:val="20"/>
        </w:rPr>
        <w:t xml:space="preserve"> </w:t>
      </w:r>
      <w:r>
        <w:rPr>
          <w:sz w:val="20"/>
        </w:rPr>
        <w:t>North</w:t>
      </w:r>
      <w:r>
        <w:rPr>
          <w:spacing w:val="-14"/>
          <w:sz w:val="20"/>
        </w:rPr>
        <w:t xml:space="preserve"> </w:t>
      </w:r>
      <w:r>
        <w:rPr>
          <w:sz w:val="20"/>
        </w:rPr>
        <w:t xml:space="preserve">West </w:t>
      </w:r>
      <w:r>
        <w:rPr>
          <w:spacing w:val="-2"/>
          <w:w w:val="95"/>
          <w:sz w:val="20"/>
        </w:rPr>
        <w:t>Rail</w:t>
      </w:r>
      <w:r>
        <w:rPr>
          <w:spacing w:val="-3"/>
          <w:w w:val="95"/>
          <w:sz w:val="20"/>
        </w:rPr>
        <w:t xml:space="preserve"> </w:t>
      </w:r>
      <w:r>
        <w:rPr>
          <w:spacing w:val="-2"/>
          <w:w w:val="95"/>
          <w:sz w:val="20"/>
        </w:rPr>
        <w:t>Link</w:t>
      </w:r>
      <w:r>
        <w:rPr>
          <w:spacing w:val="-3"/>
          <w:w w:val="95"/>
          <w:sz w:val="20"/>
        </w:rPr>
        <w:t xml:space="preserve"> </w:t>
      </w:r>
      <w:r>
        <w:rPr>
          <w:spacing w:val="-2"/>
          <w:w w:val="95"/>
          <w:sz w:val="20"/>
        </w:rPr>
        <w:t>(NWRL).</w:t>
      </w:r>
      <w:r>
        <w:rPr>
          <w:spacing w:val="-3"/>
          <w:w w:val="95"/>
          <w:sz w:val="20"/>
        </w:rPr>
        <w:t xml:space="preserve"> </w:t>
      </w:r>
      <w:r>
        <w:rPr>
          <w:spacing w:val="-2"/>
          <w:w w:val="95"/>
          <w:sz w:val="20"/>
        </w:rPr>
        <w:t>Once</w:t>
      </w:r>
      <w:r>
        <w:rPr>
          <w:spacing w:val="-3"/>
          <w:w w:val="95"/>
          <w:sz w:val="20"/>
        </w:rPr>
        <w:t xml:space="preserve"> </w:t>
      </w:r>
      <w:r>
        <w:rPr>
          <w:spacing w:val="-2"/>
          <w:w w:val="95"/>
          <w:sz w:val="20"/>
        </w:rPr>
        <w:t>implemented,</w:t>
      </w:r>
      <w:r>
        <w:rPr>
          <w:spacing w:val="-3"/>
          <w:w w:val="95"/>
          <w:sz w:val="20"/>
        </w:rPr>
        <w:t xml:space="preserve"> </w:t>
      </w:r>
      <w:r>
        <w:rPr>
          <w:spacing w:val="-2"/>
          <w:w w:val="95"/>
          <w:sz w:val="20"/>
        </w:rPr>
        <w:t>the</w:t>
      </w:r>
      <w:r>
        <w:rPr>
          <w:spacing w:val="-3"/>
          <w:w w:val="95"/>
          <w:sz w:val="20"/>
        </w:rPr>
        <w:t xml:space="preserve"> </w:t>
      </w:r>
      <w:r>
        <w:rPr>
          <w:spacing w:val="-2"/>
          <w:w w:val="95"/>
          <w:sz w:val="20"/>
        </w:rPr>
        <w:t>rail</w:t>
      </w:r>
      <w:r>
        <w:rPr>
          <w:spacing w:val="-3"/>
          <w:w w:val="95"/>
          <w:sz w:val="20"/>
        </w:rPr>
        <w:t xml:space="preserve"> </w:t>
      </w:r>
      <w:r>
        <w:rPr>
          <w:spacing w:val="-2"/>
          <w:w w:val="95"/>
          <w:sz w:val="20"/>
        </w:rPr>
        <w:t xml:space="preserve">system </w:t>
      </w:r>
      <w:r>
        <w:rPr>
          <w:sz w:val="20"/>
        </w:rPr>
        <w:t>will</w:t>
      </w:r>
      <w:r>
        <w:rPr>
          <w:spacing w:val="-11"/>
          <w:sz w:val="20"/>
        </w:rPr>
        <w:t xml:space="preserve"> </w:t>
      </w:r>
      <w:r>
        <w:rPr>
          <w:sz w:val="20"/>
        </w:rPr>
        <w:t>comprise:</w:t>
      </w:r>
    </w:p>
    <w:p w:rsidR="002C1123" w:rsidRDefault="00F22F94">
      <w:pPr>
        <w:pStyle w:val="ListParagraph"/>
        <w:numPr>
          <w:ilvl w:val="1"/>
          <w:numId w:val="83"/>
        </w:numPr>
        <w:tabs>
          <w:tab w:val="left" w:pos="1059"/>
        </w:tabs>
        <w:spacing w:before="146" w:line="249" w:lineRule="auto"/>
        <w:ind w:right="237"/>
        <w:rPr>
          <w:sz w:val="20"/>
        </w:rPr>
      </w:pPr>
      <w:r>
        <w:rPr>
          <w:w w:val="95"/>
          <w:sz w:val="20"/>
        </w:rPr>
        <w:t>a</w:t>
      </w:r>
      <w:r>
        <w:rPr>
          <w:spacing w:val="-4"/>
          <w:w w:val="95"/>
          <w:sz w:val="20"/>
        </w:rPr>
        <w:t xml:space="preserve"> </w:t>
      </w:r>
      <w:r>
        <w:rPr>
          <w:w w:val="95"/>
          <w:sz w:val="20"/>
        </w:rPr>
        <w:t>rapid</w:t>
      </w:r>
      <w:r>
        <w:rPr>
          <w:spacing w:val="-4"/>
          <w:w w:val="95"/>
          <w:sz w:val="20"/>
        </w:rPr>
        <w:t xml:space="preserve"> </w:t>
      </w:r>
      <w:r>
        <w:rPr>
          <w:w w:val="95"/>
          <w:sz w:val="20"/>
        </w:rPr>
        <w:t>transit</w:t>
      </w:r>
      <w:r>
        <w:rPr>
          <w:spacing w:val="-4"/>
          <w:w w:val="95"/>
          <w:sz w:val="20"/>
        </w:rPr>
        <w:t xml:space="preserve"> </w:t>
      </w:r>
      <w:r>
        <w:rPr>
          <w:w w:val="95"/>
          <w:sz w:val="20"/>
        </w:rPr>
        <w:t>network</w:t>
      </w:r>
      <w:r>
        <w:rPr>
          <w:spacing w:val="-4"/>
          <w:w w:val="95"/>
          <w:sz w:val="20"/>
        </w:rPr>
        <w:t xml:space="preserve"> </w:t>
      </w:r>
      <w:r>
        <w:rPr>
          <w:w w:val="95"/>
          <w:sz w:val="20"/>
        </w:rPr>
        <w:t>using</w:t>
      </w:r>
      <w:r>
        <w:rPr>
          <w:spacing w:val="-4"/>
          <w:w w:val="95"/>
          <w:sz w:val="20"/>
        </w:rPr>
        <w:t xml:space="preserve"> </w:t>
      </w:r>
      <w:r>
        <w:rPr>
          <w:w w:val="95"/>
          <w:sz w:val="20"/>
        </w:rPr>
        <w:t>single</w:t>
      </w:r>
      <w:r>
        <w:rPr>
          <w:spacing w:val="-4"/>
          <w:w w:val="95"/>
          <w:sz w:val="20"/>
        </w:rPr>
        <w:t xml:space="preserve"> </w:t>
      </w:r>
      <w:r>
        <w:rPr>
          <w:w w:val="95"/>
          <w:sz w:val="20"/>
        </w:rPr>
        <w:t>deck</w:t>
      </w:r>
      <w:r>
        <w:rPr>
          <w:spacing w:val="-4"/>
          <w:w w:val="95"/>
          <w:sz w:val="20"/>
        </w:rPr>
        <w:t xml:space="preserve"> </w:t>
      </w:r>
      <w:r>
        <w:rPr>
          <w:w w:val="95"/>
          <w:sz w:val="20"/>
        </w:rPr>
        <w:t xml:space="preserve">trains </w:t>
      </w:r>
      <w:r>
        <w:rPr>
          <w:sz w:val="20"/>
        </w:rPr>
        <w:t>operating</w:t>
      </w:r>
      <w:r>
        <w:rPr>
          <w:spacing w:val="-7"/>
          <w:sz w:val="20"/>
        </w:rPr>
        <w:t xml:space="preserve"> </w:t>
      </w:r>
      <w:r>
        <w:rPr>
          <w:sz w:val="20"/>
        </w:rPr>
        <w:t>at</w:t>
      </w:r>
      <w:r>
        <w:rPr>
          <w:spacing w:val="-7"/>
          <w:sz w:val="20"/>
        </w:rPr>
        <w:t xml:space="preserve"> </w:t>
      </w:r>
      <w:r>
        <w:rPr>
          <w:sz w:val="20"/>
        </w:rPr>
        <w:t>high</w:t>
      </w:r>
      <w:r>
        <w:rPr>
          <w:spacing w:val="-7"/>
          <w:sz w:val="20"/>
        </w:rPr>
        <w:t xml:space="preserve"> </w:t>
      </w:r>
      <w:r>
        <w:rPr>
          <w:sz w:val="20"/>
        </w:rPr>
        <w:t>frequency</w:t>
      </w:r>
      <w:r>
        <w:rPr>
          <w:spacing w:val="-7"/>
          <w:sz w:val="20"/>
        </w:rPr>
        <w:t xml:space="preserve"> </w:t>
      </w:r>
      <w:r>
        <w:rPr>
          <w:sz w:val="20"/>
        </w:rPr>
        <w:t>across</w:t>
      </w:r>
      <w:r>
        <w:rPr>
          <w:spacing w:val="-7"/>
          <w:sz w:val="20"/>
        </w:rPr>
        <w:t xml:space="preserve"> </w:t>
      </w:r>
      <w:r>
        <w:rPr>
          <w:sz w:val="20"/>
        </w:rPr>
        <w:t>the</w:t>
      </w:r>
      <w:r>
        <w:rPr>
          <w:spacing w:val="-7"/>
          <w:sz w:val="20"/>
        </w:rPr>
        <w:t xml:space="preserve"> </w:t>
      </w:r>
      <w:r>
        <w:rPr>
          <w:sz w:val="20"/>
        </w:rPr>
        <w:t>day</w:t>
      </w:r>
    </w:p>
    <w:p w:rsidR="002C1123" w:rsidRDefault="00F22F94">
      <w:pPr>
        <w:pStyle w:val="ListParagraph"/>
        <w:numPr>
          <w:ilvl w:val="1"/>
          <w:numId w:val="83"/>
        </w:numPr>
        <w:tabs>
          <w:tab w:val="left" w:pos="1059"/>
        </w:tabs>
        <w:spacing w:before="143" w:line="249" w:lineRule="auto"/>
        <w:ind w:right="325"/>
        <w:rPr>
          <w:sz w:val="20"/>
        </w:rPr>
      </w:pPr>
      <w:r>
        <w:rPr>
          <w:w w:val="95"/>
          <w:sz w:val="20"/>
        </w:rPr>
        <w:t xml:space="preserve">a suburban network using double deck trains </w:t>
      </w:r>
      <w:r>
        <w:rPr>
          <w:sz w:val="20"/>
        </w:rPr>
        <w:t>providing</w:t>
      </w:r>
      <w:r>
        <w:rPr>
          <w:spacing w:val="-6"/>
          <w:sz w:val="20"/>
        </w:rPr>
        <w:t xml:space="preserve"> </w:t>
      </w:r>
      <w:r>
        <w:rPr>
          <w:sz w:val="20"/>
        </w:rPr>
        <w:t>high</w:t>
      </w:r>
      <w:r>
        <w:rPr>
          <w:spacing w:val="-6"/>
          <w:sz w:val="20"/>
        </w:rPr>
        <w:t xml:space="preserve"> </w:t>
      </w:r>
      <w:r>
        <w:rPr>
          <w:sz w:val="20"/>
        </w:rPr>
        <w:t>seating</w:t>
      </w:r>
      <w:r>
        <w:rPr>
          <w:spacing w:val="-6"/>
          <w:sz w:val="20"/>
        </w:rPr>
        <w:t xml:space="preserve"> </w:t>
      </w:r>
      <w:r>
        <w:rPr>
          <w:sz w:val="20"/>
        </w:rPr>
        <w:t>capacity,</w:t>
      </w:r>
      <w:r>
        <w:rPr>
          <w:spacing w:val="-6"/>
          <w:sz w:val="20"/>
        </w:rPr>
        <w:t xml:space="preserve"> </w:t>
      </w:r>
      <w:r>
        <w:rPr>
          <w:sz w:val="20"/>
        </w:rPr>
        <w:t>and</w:t>
      </w:r>
      <w:r>
        <w:rPr>
          <w:spacing w:val="-6"/>
          <w:sz w:val="20"/>
        </w:rPr>
        <w:t xml:space="preserve"> </w:t>
      </w:r>
      <w:r>
        <w:rPr>
          <w:sz w:val="20"/>
        </w:rPr>
        <w:t>with</w:t>
      </w:r>
      <w:r>
        <w:rPr>
          <w:spacing w:val="-6"/>
          <w:sz w:val="20"/>
        </w:rPr>
        <w:t xml:space="preserve"> </w:t>
      </w:r>
      <w:r>
        <w:rPr>
          <w:sz w:val="20"/>
        </w:rPr>
        <w:t>a particular focus on the commuter market</w:t>
      </w:r>
    </w:p>
    <w:p w:rsidR="002C1123" w:rsidRDefault="00F22F94">
      <w:pPr>
        <w:pStyle w:val="ListParagraph"/>
        <w:numPr>
          <w:ilvl w:val="1"/>
          <w:numId w:val="83"/>
        </w:numPr>
        <w:tabs>
          <w:tab w:val="left" w:pos="1059"/>
        </w:tabs>
        <w:spacing w:before="145" w:line="249" w:lineRule="auto"/>
        <w:ind w:right="225"/>
        <w:rPr>
          <w:sz w:val="20"/>
        </w:rPr>
      </w:pPr>
      <w:r>
        <w:rPr>
          <w:w w:val="95"/>
          <w:sz w:val="20"/>
        </w:rPr>
        <w:t>an</w:t>
      </w:r>
      <w:r>
        <w:rPr>
          <w:spacing w:val="-1"/>
          <w:w w:val="95"/>
          <w:sz w:val="20"/>
        </w:rPr>
        <w:t xml:space="preserve"> </w:t>
      </w:r>
      <w:r>
        <w:rPr>
          <w:w w:val="95"/>
          <w:sz w:val="20"/>
        </w:rPr>
        <w:t>intercity</w:t>
      </w:r>
      <w:r>
        <w:rPr>
          <w:spacing w:val="-1"/>
          <w:w w:val="95"/>
          <w:sz w:val="20"/>
        </w:rPr>
        <w:t xml:space="preserve"> </w:t>
      </w:r>
      <w:r>
        <w:rPr>
          <w:w w:val="95"/>
          <w:sz w:val="20"/>
        </w:rPr>
        <w:t>network</w:t>
      </w:r>
      <w:r>
        <w:rPr>
          <w:spacing w:val="-1"/>
          <w:w w:val="95"/>
          <w:sz w:val="20"/>
        </w:rPr>
        <w:t xml:space="preserve"> </w:t>
      </w:r>
      <w:r>
        <w:rPr>
          <w:w w:val="95"/>
          <w:sz w:val="20"/>
        </w:rPr>
        <w:t>serving</w:t>
      </w:r>
      <w:r>
        <w:rPr>
          <w:spacing w:val="-1"/>
          <w:w w:val="95"/>
          <w:sz w:val="20"/>
        </w:rPr>
        <w:t xml:space="preserve"> </w:t>
      </w:r>
      <w:r>
        <w:rPr>
          <w:w w:val="95"/>
          <w:sz w:val="20"/>
        </w:rPr>
        <w:t>the</w:t>
      </w:r>
      <w:r>
        <w:rPr>
          <w:spacing w:val="-1"/>
          <w:w w:val="95"/>
          <w:sz w:val="20"/>
        </w:rPr>
        <w:t xml:space="preserve"> </w:t>
      </w:r>
      <w:r>
        <w:rPr>
          <w:w w:val="95"/>
          <w:sz w:val="20"/>
        </w:rPr>
        <w:t>Central</w:t>
      </w:r>
      <w:r>
        <w:rPr>
          <w:spacing w:val="-1"/>
          <w:w w:val="95"/>
          <w:sz w:val="20"/>
        </w:rPr>
        <w:t xml:space="preserve"> </w:t>
      </w:r>
      <w:r>
        <w:rPr>
          <w:w w:val="95"/>
          <w:sz w:val="20"/>
        </w:rPr>
        <w:t xml:space="preserve">Coast/ Hunter, Illawarra and Blue Mountains, offering </w:t>
      </w:r>
      <w:r>
        <w:rPr>
          <w:sz w:val="20"/>
        </w:rPr>
        <w:t>fast and comfortable services</w:t>
      </w:r>
    </w:p>
    <w:p w:rsidR="002C1123" w:rsidRDefault="00F22F94">
      <w:pPr>
        <w:pStyle w:val="ListParagraph"/>
        <w:numPr>
          <w:ilvl w:val="0"/>
          <w:numId w:val="83"/>
        </w:numPr>
        <w:tabs>
          <w:tab w:val="left" w:pos="776"/>
        </w:tabs>
        <w:spacing w:before="131" w:line="249" w:lineRule="auto"/>
        <w:ind w:right="454"/>
        <w:rPr>
          <w:sz w:val="20"/>
        </w:rPr>
      </w:pPr>
      <w:r>
        <w:rPr>
          <w:sz w:val="20"/>
        </w:rPr>
        <w:t>Additional</w:t>
      </w:r>
      <w:r>
        <w:rPr>
          <w:spacing w:val="-14"/>
          <w:sz w:val="20"/>
        </w:rPr>
        <w:t xml:space="preserve"> </w:t>
      </w:r>
      <w:r>
        <w:rPr>
          <w:sz w:val="20"/>
        </w:rPr>
        <w:t>capacity</w:t>
      </w:r>
      <w:r>
        <w:rPr>
          <w:spacing w:val="-14"/>
          <w:sz w:val="20"/>
        </w:rPr>
        <w:t xml:space="preserve"> </w:t>
      </w:r>
      <w:r>
        <w:rPr>
          <w:sz w:val="20"/>
        </w:rPr>
        <w:t>will</w:t>
      </w:r>
      <w:r>
        <w:rPr>
          <w:spacing w:val="-14"/>
          <w:sz w:val="20"/>
        </w:rPr>
        <w:t xml:space="preserve"> </w:t>
      </w:r>
      <w:r>
        <w:rPr>
          <w:sz w:val="20"/>
        </w:rPr>
        <w:t>be</w:t>
      </w:r>
      <w:r>
        <w:rPr>
          <w:spacing w:val="-14"/>
          <w:sz w:val="20"/>
        </w:rPr>
        <w:t xml:space="preserve"> </w:t>
      </w:r>
      <w:r>
        <w:rPr>
          <w:sz w:val="20"/>
        </w:rPr>
        <w:t>required</w:t>
      </w:r>
      <w:r>
        <w:rPr>
          <w:spacing w:val="-14"/>
          <w:sz w:val="20"/>
        </w:rPr>
        <w:t xml:space="preserve"> </w:t>
      </w:r>
      <w:r>
        <w:rPr>
          <w:sz w:val="20"/>
        </w:rPr>
        <w:t>in</w:t>
      </w:r>
      <w:r>
        <w:rPr>
          <w:spacing w:val="-14"/>
          <w:sz w:val="20"/>
        </w:rPr>
        <w:t xml:space="preserve"> </w:t>
      </w:r>
      <w:r>
        <w:rPr>
          <w:sz w:val="20"/>
        </w:rPr>
        <w:t>the</w:t>
      </w:r>
      <w:r>
        <w:rPr>
          <w:spacing w:val="-14"/>
          <w:sz w:val="20"/>
        </w:rPr>
        <w:t xml:space="preserve"> </w:t>
      </w:r>
      <w:r>
        <w:rPr>
          <w:sz w:val="20"/>
        </w:rPr>
        <w:t>core of</w:t>
      </w:r>
      <w:r>
        <w:rPr>
          <w:spacing w:val="-8"/>
          <w:sz w:val="20"/>
        </w:rPr>
        <w:t xml:space="preserve"> </w:t>
      </w:r>
      <w:r>
        <w:rPr>
          <w:sz w:val="20"/>
        </w:rPr>
        <w:t>the</w:t>
      </w:r>
      <w:r>
        <w:rPr>
          <w:spacing w:val="-8"/>
          <w:sz w:val="20"/>
        </w:rPr>
        <w:t xml:space="preserve"> </w:t>
      </w:r>
      <w:r>
        <w:rPr>
          <w:sz w:val="20"/>
        </w:rPr>
        <w:t>network,</w:t>
      </w:r>
      <w:r>
        <w:rPr>
          <w:spacing w:val="-8"/>
          <w:sz w:val="20"/>
        </w:rPr>
        <w:t xml:space="preserve"> </w:t>
      </w:r>
      <w:r>
        <w:rPr>
          <w:sz w:val="20"/>
        </w:rPr>
        <w:t>particularly</w:t>
      </w:r>
      <w:r>
        <w:rPr>
          <w:spacing w:val="-8"/>
          <w:sz w:val="20"/>
        </w:rPr>
        <w:t xml:space="preserve"> </w:t>
      </w:r>
      <w:r>
        <w:rPr>
          <w:sz w:val="20"/>
        </w:rPr>
        <w:t>the</w:t>
      </w:r>
      <w:r>
        <w:rPr>
          <w:spacing w:val="-8"/>
          <w:sz w:val="20"/>
        </w:rPr>
        <w:t xml:space="preserve"> </w:t>
      </w:r>
      <w:r>
        <w:rPr>
          <w:sz w:val="20"/>
        </w:rPr>
        <w:t>CBD,</w:t>
      </w:r>
      <w:r>
        <w:rPr>
          <w:spacing w:val="-8"/>
          <w:sz w:val="20"/>
        </w:rPr>
        <w:t xml:space="preserve"> </w:t>
      </w:r>
      <w:r>
        <w:rPr>
          <w:sz w:val="20"/>
        </w:rPr>
        <w:t>over</w:t>
      </w:r>
      <w:r>
        <w:rPr>
          <w:spacing w:val="-8"/>
          <w:sz w:val="20"/>
        </w:rPr>
        <w:t xml:space="preserve"> </w:t>
      </w:r>
      <w:r>
        <w:rPr>
          <w:sz w:val="20"/>
        </w:rPr>
        <w:t xml:space="preserve">the </w:t>
      </w:r>
      <w:r>
        <w:rPr>
          <w:w w:val="95"/>
          <w:sz w:val="20"/>
        </w:rPr>
        <w:t>next</w:t>
      </w:r>
      <w:r>
        <w:rPr>
          <w:spacing w:val="-4"/>
          <w:w w:val="95"/>
          <w:sz w:val="20"/>
        </w:rPr>
        <w:t xml:space="preserve"> </w:t>
      </w:r>
      <w:r>
        <w:rPr>
          <w:w w:val="95"/>
          <w:sz w:val="20"/>
        </w:rPr>
        <w:t>20</w:t>
      </w:r>
      <w:r>
        <w:rPr>
          <w:spacing w:val="-4"/>
          <w:w w:val="95"/>
          <w:sz w:val="20"/>
        </w:rPr>
        <w:t xml:space="preserve"> </w:t>
      </w:r>
      <w:r>
        <w:rPr>
          <w:w w:val="95"/>
          <w:sz w:val="20"/>
        </w:rPr>
        <w:t>years.</w:t>
      </w:r>
      <w:r>
        <w:rPr>
          <w:spacing w:val="-4"/>
          <w:w w:val="95"/>
          <w:sz w:val="20"/>
        </w:rPr>
        <w:t xml:space="preserve"> </w:t>
      </w:r>
      <w:r>
        <w:rPr>
          <w:w w:val="95"/>
          <w:sz w:val="20"/>
        </w:rPr>
        <w:t>Existing</w:t>
      </w:r>
      <w:r>
        <w:rPr>
          <w:spacing w:val="-4"/>
          <w:w w:val="95"/>
          <w:sz w:val="20"/>
        </w:rPr>
        <w:t xml:space="preserve"> </w:t>
      </w:r>
      <w:r>
        <w:rPr>
          <w:w w:val="95"/>
          <w:sz w:val="20"/>
        </w:rPr>
        <w:t>assets</w:t>
      </w:r>
      <w:r>
        <w:rPr>
          <w:spacing w:val="-4"/>
          <w:w w:val="95"/>
          <w:sz w:val="20"/>
        </w:rPr>
        <w:t xml:space="preserve"> </w:t>
      </w:r>
      <w:r>
        <w:rPr>
          <w:w w:val="95"/>
          <w:sz w:val="20"/>
        </w:rPr>
        <w:t>must</w:t>
      </w:r>
      <w:r>
        <w:rPr>
          <w:spacing w:val="-4"/>
          <w:w w:val="95"/>
          <w:sz w:val="20"/>
        </w:rPr>
        <w:t xml:space="preserve"> </w:t>
      </w:r>
      <w:r>
        <w:rPr>
          <w:w w:val="95"/>
          <w:sz w:val="20"/>
        </w:rPr>
        <w:t>be</w:t>
      </w:r>
      <w:r>
        <w:rPr>
          <w:spacing w:val="-4"/>
          <w:w w:val="95"/>
          <w:sz w:val="20"/>
        </w:rPr>
        <w:t xml:space="preserve"> </w:t>
      </w:r>
      <w:r>
        <w:rPr>
          <w:w w:val="95"/>
          <w:sz w:val="20"/>
        </w:rPr>
        <w:t>used</w:t>
      </w:r>
      <w:r>
        <w:rPr>
          <w:spacing w:val="-4"/>
          <w:w w:val="95"/>
          <w:sz w:val="20"/>
        </w:rPr>
        <w:t xml:space="preserve"> </w:t>
      </w:r>
      <w:r>
        <w:rPr>
          <w:w w:val="95"/>
          <w:sz w:val="20"/>
        </w:rPr>
        <w:t>as intensively</w:t>
      </w:r>
      <w:r>
        <w:rPr>
          <w:spacing w:val="-5"/>
          <w:w w:val="95"/>
          <w:sz w:val="20"/>
        </w:rPr>
        <w:t xml:space="preserve"> </w:t>
      </w:r>
      <w:r>
        <w:rPr>
          <w:w w:val="95"/>
          <w:sz w:val="20"/>
        </w:rPr>
        <w:t>as</w:t>
      </w:r>
      <w:r>
        <w:rPr>
          <w:spacing w:val="-5"/>
          <w:w w:val="95"/>
          <w:sz w:val="20"/>
        </w:rPr>
        <w:t xml:space="preserve"> </w:t>
      </w:r>
      <w:r>
        <w:rPr>
          <w:w w:val="95"/>
          <w:sz w:val="20"/>
        </w:rPr>
        <w:t>possible</w:t>
      </w:r>
      <w:r>
        <w:rPr>
          <w:spacing w:val="-5"/>
          <w:w w:val="95"/>
          <w:sz w:val="20"/>
        </w:rPr>
        <w:t xml:space="preserve"> </w:t>
      </w:r>
      <w:r>
        <w:rPr>
          <w:w w:val="95"/>
          <w:sz w:val="20"/>
        </w:rPr>
        <w:t>before</w:t>
      </w:r>
      <w:r>
        <w:rPr>
          <w:spacing w:val="-5"/>
          <w:w w:val="95"/>
          <w:sz w:val="20"/>
        </w:rPr>
        <w:t xml:space="preserve"> </w:t>
      </w:r>
      <w:r>
        <w:rPr>
          <w:w w:val="95"/>
          <w:sz w:val="20"/>
        </w:rPr>
        <w:t>constructing</w:t>
      </w:r>
      <w:r>
        <w:rPr>
          <w:spacing w:val="-5"/>
          <w:w w:val="95"/>
          <w:sz w:val="20"/>
        </w:rPr>
        <w:t xml:space="preserve"> </w:t>
      </w:r>
      <w:r>
        <w:rPr>
          <w:w w:val="95"/>
          <w:sz w:val="20"/>
        </w:rPr>
        <w:t xml:space="preserve">new </w:t>
      </w:r>
      <w:r>
        <w:rPr>
          <w:sz w:val="20"/>
        </w:rPr>
        <w:t>major</w:t>
      </w:r>
      <w:r>
        <w:rPr>
          <w:spacing w:val="-4"/>
          <w:sz w:val="20"/>
        </w:rPr>
        <w:t xml:space="preserve"> </w:t>
      </w:r>
      <w:r>
        <w:rPr>
          <w:sz w:val="20"/>
        </w:rPr>
        <w:t>infrastructure</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long</w:t>
      </w:r>
      <w:r>
        <w:rPr>
          <w:spacing w:val="-4"/>
          <w:sz w:val="20"/>
        </w:rPr>
        <w:t xml:space="preserve"> </w:t>
      </w:r>
      <w:r>
        <w:rPr>
          <w:sz w:val="20"/>
        </w:rPr>
        <w:t>term.</w:t>
      </w:r>
    </w:p>
    <w:p w:rsidR="002C1123" w:rsidRDefault="00F22F94">
      <w:pPr>
        <w:pStyle w:val="ListParagraph"/>
        <w:numPr>
          <w:ilvl w:val="0"/>
          <w:numId w:val="85"/>
        </w:numPr>
        <w:tabs>
          <w:tab w:val="left" w:pos="473"/>
        </w:tabs>
        <w:spacing w:before="122" w:line="249" w:lineRule="auto"/>
        <w:ind w:right="63"/>
        <w:rPr>
          <w:sz w:val="20"/>
        </w:rPr>
      </w:pPr>
      <w:r>
        <w:br w:type="column"/>
      </w:r>
      <w:r>
        <w:rPr>
          <w:sz w:val="20"/>
        </w:rPr>
        <w:t>Accordingly,</w:t>
      </w:r>
      <w:r>
        <w:rPr>
          <w:spacing w:val="-14"/>
          <w:sz w:val="20"/>
        </w:rPr>
        <w:t xml:space="preserve"> </w:t>
      </w:r>
      <w:r>
        <w:rPr>
          <w:sz w:val="20"/>
        </w:rPr>
        <w:t>the</w:t>
      </w:r>
      <w:r>
        <w:rPr>
          <w:spacing w:val="-14"/>
          <w:sz w:val="20"/>
        </w:rPr>
        <w:t xml:space="preserve"> </w:t>
      </w:r>
      <w:r>
        <w:rPr>
          <w:sz w:val="20"/>
        </w:rPr>
        <w:t>recommended</w:t>
      </w:r>
      <w:r>
        <w:rPr>
          <w:spacing w:val="-14"/>
          <w:sz w:val="20"/>
        </w:rPr>
        <w:t xml:space="preserve"> </w:t>
      </w:r>
      <w:r>
        <w:rPr>
          <w:sz w:val="20"/>
        </w:rPr>
        <w:t>strategy</w:t>
      </w:r>
      <w:r>
        <w:rPr>
          <w:spacing w:val="-14"/>
          <w:sz w:val="20"/>
        </w:rPr>
        <w:t xml:space="preserve"> </w:t>
      </w:r>
      <w:r>
        <w:rPr>
          <w:sz w:val="20"/>
        </w:rPr>
        <w:t xml:space="preserve">proposes </w:t>
      </w:r>
      <w:r>
        <w:rPr>
          <w:w w:val="95"/>
          <w:sz w:val="20"/>
        </w:rPr>
        <w:t>increased</w:t>
      </w:r>
      <w:r>
        <w:rPr>
          <w:spacing w:val="-7"/>
          <w:w w:val="95"/>
          <w:sz w:val="20"/>
        </w:rPr>
        <w:t xml:space="preserve"> </w:t>
      </w:r>
      <w:r>
        <w:rPr>
          <w:w w:val="95"/>
          <w:sz w:val="20"/>
        </w:rPr>
        <w:t>use</w:t>
      </w:r>
      <w:r>
        <w:rPr>
          <w:spacing w:val="-7"/>
          <w:w w:val="95"/>
          <w:sz w:val="20"/>
        </w:rPr>
        <w:t xml:space="preserve"> </w:t>
      </w:r>
      <w:r>
        <w:rPr>
          <w:w w:val="95"/>
          <w:sz w:val="20"/>
        </w:rPr>
        <w:t>of</w:t>
      </w:r>
      <w:r>
        <w:rPr>
          <w:spacing w:val="-7"/>
          <w:w w:val="95"/>
          <w:sz w:val="20"/>
        </w:rPr>
        <w:t xml:space="preserve"> </w:t>
      </w:r>
      <w:r>
        <w:rPr>
          <w:w w:val="95"/>
          <w:sz w:val="20"/>
        </w:rPr>
        <w:t>the</w:t>
      </w:r>
      <w:r>
        <w:rPr>
          <w:spacing w:val="-7"/>
          <w:w w:val="95"/>
          <w:sz w:val="20"/>
        </w:rPr>
        <w:t xml:space="preserve"> </w:t>
      </w:r>
      <w:r>
        <w:rPr>
          <w:w w:val="95"/>
          <w:sz w:val="20"/>
        </w:rPr>
        <w:t>City</w:t>
      </w:r>
      <w:r>
        <w:rPr>
          <w:spacing w:val="-7"/>
          <w:w w:val="95"/>
          <w:sz w:val="20"/>
        </w:rPr>
        <w:t xml:space="preserve"> </w:t>
      </w:r>
      <w:r>
        <w:rPr>
          <w:w w:val="95"/>
          <w:sz w:val="20"/>
        </w:rPr>
        <w:t>Circle</w:t>
      </w:r>
      <w:r>
        <w:rPr>
          <w:spacing w:val="-7"/>
          <w:w w:val="95"/>
          <w:sz w:val="20"/>
        </w:rPr>
        <w:t xml:space="preserve"> </w:t>
      </w:r>
      <w:r>
        <w:rPr>
          <w:w w:val="95"/>
          <w:sz w:val="20"/>
        </w:rPr>
        <w:t>to</w:t>
      </w:r>
      <w:r>
        <w:rPr>
          <w:spacing w:val="-7"/>
          <w:w w:val="95"/>
          <w:sz w:val="20"/>
        </w:rPr>
        <w:t xml:space="preserve"> </w:t>
      </w:r>
      <w:r>
        <w:rPr>
          <w:w w:val="95"/>
          <w:sz w:val="20"/>
        </w:rPr>
        <w:t>provide</w:t>
      </w:r>
      <w:r>
        <w:rPr>
          <w:spacing w:val="-7"/>
          <w:w w:val="95"/>
          <w:sz w:val="20"/>
        </w:rPr>
        <w:t xml:space="preserve"> </w:t>
      </w:r>
      <w:r>
        <w:rPr>
          <w:w w:val="95"/>
          <w:sz w:val="20"/>
        </w:rPr>
        <w:t xml:space="preserve">additional </w:t>
      </w:r>
      <w:r>
        <w:rPr>
          <w:sz w:val="20"/>
        </w:rPr>
        <w:t>capacity</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CBD</w:t>
      </w:r>
      <w:r>
        <w:rPr>
          <w:spacing w:val="-4"/>
          <w:sz w:val="20"/>
        </w:rPr>
        <w:t xml:space="preserve"> </w:t>
      </w:r>
      <w:r>
        <w:rPr>
          <w:sz w:val="20"/>
        </w:rPr>
        <w:t>within</w:t>
      </w:r>
      <w:r>
        <w:rPr>
          <w:spacing w:val="-4"/>
          <w:sz w:val="20"/>
        </w:rPr>
        <w:t xml:space="preserve"> </w:t>
      </w:r>
      <w:r>
        <w:rPr>
          <w:sz w:val="20"/>
        </w:rPr>
        <w:t>10</w:t>
      </w:r>
      <w:r>
        <w:rPr>
          <w:spacing w:val="-4"/>
          <w:sz w:val="20"/>
        </w:rPr>
        <w:t xml:space="preserve"> </w:t>
      </w:r>
      <w:r>
        <w:rPr>
          <w:sz w:val="20"/>
        </w:rPr>
        <w:t>years.</w:t>
      </w:r>
    </w:p>
    <w:p w:rsidR="002C1123" w:rsidRDefault="00F22F94">
      <w:pPr>
        <w:pStyle w:val="ListParagraph"/>
        <w:numPr>
          <w:ilvl w:val="0"/>
          <w:numId w:val="85"/>
        </w:numPr>
        <w:tabs>
          <w:tab w:val="left" w:pos="473"/>
        </w:tabs>
        <w:spacing w:before="132" w:line="249" w:lineRule="auto"/>
        <w:ind w:right="6"/>
        <w:rPr>
          <w:sz w:val="20"/>
        </w:rPr>
      </w:pPr>
      <w:r>
        <w:rPr>
          <w:sz w:val="20"/>
        </w:rPr>
        <w:t>Beyond</w:t>
      </w:r>
      <w:r>
        <w:rPr>
          <w:spacing w:val="-13"/>
          <w:sz w:val="20"/>
        </w:rPr>
        <w:t xml:space="preserve"> </w:t>
      </w:r>
      <w:r>
        <w:rPr>
          <w:sz w:val="20"/>
        </w:rPr>
        <w:t>year</w:t>
      </w:r>
      <w:r>
        <w:rPr>
          <w:spacing w:val="-13"/>
          <w:sz w:val="20"/>
        </w:rPr>
        <w:t xml:space="preserve"> </w:t>
      </w:r>
      <w:r>
        <w:rPr>
          <w:sz w:val="20"/>
        </w:rPr>
        <w:t>10,</w:t>
      </w:r>
      <w:r>
        <w:rPr>
          <w:spacing w:val="-13"/>
          <w:sz w:val="20"/>
        </w:rPr>
        <w:t xml:space="preserve"> </w:t>
      </w:r>
      <w:r>
        <w:rPr>
          <w:sz w:val="20"/>
        </w:rPr>
        <w:t>the</w:t>
      </w:r>
      <w:r>
        <w:rPr>
          <w:spacing w:val="-13"/>
          <w:sz w:val="20"/>
        </w:rPr>
        <w:t xml:space="preserve"> </w:t>
      </w:r>
      <w:r>
        <w:rPr>
          <w:sz w:val="20"/>
        </w:rPr>
        <w:t>extension</w:t>
      </w:r>
      <w:r>
        <w:rPr>
          <w:spacing w:val="-13"/>
          <w:sz w:val="20"/>
        </w:rPr>
        <w:t xml:space="preserve"> </w:t>
      </w:r>
      <w:r>
        <w:rPr>
          <w:sz w:val="20"/>
        </w:rPr>
        <w:t>of</w:t>
      </w:r>
      <w:r>
        <w:rPr>
          <w:spacing w:val="-13"/>
          <w:sz w:val="20"/>
        </w:rPr>
        <w:t xml:space="preserve"> </w:t>
      </w:r>
      <w:r>
        <w:rPr>
          <w:sz w:val="20"/>
        </w:rPr>
        <w:t>rapid</w:t>
      </w:r>
      <w:r>
        <w:rPr>
          <w:spacing w:val="-13"/>
          <w:sz w:val="20"/>
        </w:rPr>
        <w:t xml:space="preserve"> </w:t>
      </w:r>
      <w:r>
        <w:rPr>
          <w:sz w:val="20"/>
        </w:rPr>
        <w:t>transit</w:t>
      </w:r>
      <w:r>
        <w:rPr>
          <w:spacing w:val="-13"/>
          <w:sz w:val="20"/>
        </w:rPr>
        <w:t xml:space="preserve"> </w:t>
      </w:r>
      <w:r>
        <w:rPr>
          <w:sz w:val="20"/>
        </w:rPr>
        <w:t>from the</w:t>
      </w:r>
      <w:r>
        <w:rPr>
          <w:spacing w:val="-10"/>
          <w:sz w:val="20"/>
        </w:rPr>
        <w:t xml:space="preserve"> </w:t>
      </w:r>
      <w:r>
        <w:rPr>
          <w:sz w:val="20"/>
        </w:rPr>
        <w:t>NWRL</w:t>
      </w:r>
      <w:r>
        <w:rPr>
          <w:spacing w:val="-10"/>
          <w:sz w:val="20"/>
        </w:rPr>
        <w:t xml:space="preserve"> </w:t>
      </w:r>
      <w:r>
        <w:rPr>
          <w:sz w:val="20"/>
        </w:rPr>
        <w:t>over</w:t>
      </w:r>
      <w:r>
        <w:rPr>
          <w:spacing w:val="-10"/>
          <w:sz w:val="20"/>
        </w:rPr>
        <w:t xml:space="preserve"> </w:t>
      </w:r>
      <w:r>
        <w:rPr>
          <w:sz w:val="20"/>
        </w:rPr>
        <w:t>the</w:t>
      </w:r>
      <w:r>
        <w:rPr>
          <w:spacing w:val="-10"/>
          <w:sz w:val="20"/>
        </w:rPr>
        <w:t xml:space="preserve"> </w:t>
      </w:r>
      <w:r>
        <w:rPr>
          <w:sz w:val="20"/>
        </w:rPr>
        <w:t>Sydney</w:t>
      </w:r>
      <w:r>
        <w:rPr>
          <w:spacing w:val="-10"/>
          <w:sz w:val="20"/>
        </w:rPr>
        <w:t xml:space="preserve"> </w:t>
      </w:r>
      <w:r>
        <w:rPr>
          <w:sz w:val="20"/>
        </w:rPr>
        <w:t>Harbour</w:t>
      </w:r>
      <w:r>
        <w:rPr>
          <w:spacing w:val="-10"/>
          <w:sz w:val="20"/>
        </w:rPr>
        <w:t xml:space="preserve"> </w:t>
      </w:r>
      <w:r>
        <w:rPr>
          <w:sz w:val="20"/>
        </w:rPr>
        <w:t>Bridge</w:t>
      </w:r>
      <w:r>
        <w:rPr>
          <w:spacing w:val="-10"/>
          <w:sz w:val="20"/>
        </w:rPr>
        <w:t xml:space="preserve"> </w:t>
      </w:r>
      <w:r>
        <w:rPr>
          <w:sz w:val="20"/>
        </w:rPr>
        <w:t>and through</w:t>
      </w:r>
      <w:r>
        <w:rPr>
          <w:spacing w:val="-11"/>
          <w:sz w:val="20"/>
        </w:rPr>
        <w:t xml:space="preserve"> </w:t>
      </w:r>
      <w:r>
        <w:rPr>
          <w:sz w:val="20"/>
        </w:rPr>
        <w:t>the</w:t>
      </w:r>
      <w:r>
        <w:rPr>
          <w:spacing w:val="-11"/>
          <w:sz w:val="20"/>
        </w:rPr>
        <w:t xml:space="preserve"> </w:t>
      </w:r>
      <w:r>
        <w:rPr>
          <w:sz w:val="20"/>
        </w:rPr>
        <w:t>Inner</w:t>
      </w:r>
      <w:r>
        <w:rPr>
          <w:spacing w:val="-11"/>
          <w:sz w:val="20"/>
        </w:rPr>
        <w:t xml:space="preserve"> </w:t>
      </w:r>
      <w:r>
        <w:rPr>
          <w:sz w:val="20"/>
        </w:rPr>
        <w:t>West</w:t>
      </w:r>
      <w:r>
        <w:rPr>
          <w:spacing w:val="-11"/>
          <w:sz w:val="20"/>
        </w:rPr>
        <w:t xml:space="preserve"> </w:t>
      </w:r>
      <w:r>
        <w:rPr>
          <w:sz w:val="20"/>
        </w:rPr>
        <w:t>to</w:t>
      </w:r>
      <w:r>
        <w:rPr>
          <w:spacing w:val="-11"/>
          <w:sz w:val="20"/>
        </w:rPr>
        <w:t xml:space="preserve"> </w:t>
      </w:r>
      <w:r>
        <w:rPr>
          <w:sz w:val="20"/>
        </w:rPr>
        <w:t>Strathfield</w:t>
      </w:r>
      <w:r>
        <w:rPr>
          <w:spacing w:val="-11"/>
          <w:sz w:val="20"/>
        </w:rPr>
        <w:t xml:space="preserve"> </w:t>
      </w:r>
      <w:r>
        <w:rPr>
          <w:sz w:val="20"/>
        </w:rPr>
        <w:t>is</w:t>
      </w:r>
      <w:r>
        <w:rPr>
          <w:spacing w:val="-11"/>
          <w:sz w:val="20"/>
        </w:rPr>
        <w:t xml:space="preserve"> </w:t>
      </w:r>
      <w:r>
        <w:rPr>
          <w:sz w:val="20"/>
        </w:rPr>
        <w:t xml:space="preserve">proposed. </w:t>
      </w:r>
      <w:r>
        <w:rPr>
          <w:w w:val="95"/>
          <w:sz w:val="20"/>
        </w:rPr>
        <w:t>This</w:t>
      </w:r>
      <w:r>
        <w:rPr>
          <w:spacing w:val="-5"/>
          <w:w w:val="95"/>
          <w:sz w:val="20"/>
        </w:rPr>
        <w:t xml:space="preserve"> </w:t>
      </w:r>
      <w:r>
        <w:rPr>
          <w:w w:val="95"/>
          <w:sz w:val="20"/>
        </w:rPr>
        <w:t>approach</w:t>
      </w:r>
      <w:r>
        <w:rPr>
          <w:spacing w:val="-5"/>
          <w:w w:val="95"/>
          <w:sz w:val="20"/>
        </w:rPr>
        <w:t xml:space="preserve"> </w:t>
      </w:r>
      <w:r>
        <w:rPr>
          <w:w w:val="95"/>
          <w:sz w:val="20"/>
        </w:rPr>
        <w:t>requires</w:t>
      </w:r>
      <w:r>
        <w:rPr>
          <w:spacing w:val="-5"/>
          <w:w w:val="95"/>
          <w:sz w:val="20"/>
        </w:rPr>
        <w:t xml:space="preserve"> </w:t>
      </w:r>
      <w:r>
        <w:rPr>
          <w:w w:val="95"/>
          <w:sz w:val="20"/>
        </w:rPr>
        <w:t>the</w:t>
      </w:r>
      <w:r>
        <w:rPr>
          <w:spacing w:val="-5"/>
          <w:w w:val="95"/>
          <w:sz w:val="20"/>
        </w:rPr>
        <w:t xml:space="preserve"> </w:t>
      </w:r>
      <w:r>
        <w:rPr>
          <w:w w:val="95"/>
          <w:sz w:val="20"/>
        </w:rPr>
        <w:t>modernisation</w:t>
      </w:r>
      <w:r>
        <w:rPr>
          <w:spacing w:val="-5"/>
          <w:w w:val="95"/>
          <w:sz w:val="20"/>
        </w:rPr>
        <w:t xml:space="preserve"> </w:t>
      </w:r>
      <w:r>
        <w:rPr>
          <w:w w:val="95"/>
          <w:sz w:val="20"/>
        </w:rPr>
        <w:t>of</w:t>
      </w:r>
      <w:r>
        <w:rPr>
          <w:spacing w:val="-5"/>
          <w:w w:val="95"/>
          <w:sz w:val="20"/>
        </w:rPr>
        <w:t xml:space="preserve"> </w:t>
      </w:r>
      <w:r>
        <w:rPr>
          <w:w w:val="95"/>
          <w:sz w:val="20"/>
        </w:rPr>
        <w:t xml:space="preserve">existing </w:t>
      </w:r>
      <w:r>
        <w:rPr>
          <w:spacing w:val="-2"/>
          <w:sz w:val="20"/>
        </w:rPr>
        <w:t>lines</w:t>
      </w:r>
      <w:r>
        <w:rPr>
          <w:spacing w:val="-9"/>
          <w:sz w:val="20"/>
        </w:rPr>
        <w:t xml:space="preserve"> </w:t>
      </w:r>
      <w:r>
        <w:rPr>
          <w:spacing w:val="-2"/>
          <w:sz w:val="20"/>
        </w:rPr>
        <w:t>as</w:t>
      </w:r>
      <w:r>
        <w:rPr>
          <w:spacing w:val="-9"/>
          <w:sz w:val="20"/>
        </w:rPr>
        <w:t xml:space="preserve"> </w:t>
      </w:r>
      <w:r>
        <w:rPr>
          <w:spacing w:val="-2"/>
          <w:sz w:val="20"/>
        </w:rPr>
        <w:t>well</w:t>
      </w:r>
      <w:r>
        <w:rPr>
          <w:spacing w:val="-9"/>
          <w:sz w:val="20"/>
        </w:rPr>
        <w:t xml:space="preserve"> </w:t>
      </w:r>
      <w:r>
        <w:rPr>
          <w:spacing w:val="-2"/>
          <w:sz w:val="20"/>
        </w:rPr>
        <w:t>as</w:t>
      </w:r>
      <w:r>
        <w:rPr>
          <w:spacing w:val="-9"/>
          <w:sz w:val="20"/>
        </w:rPr>
        <w:t xml:space="preserve"> </w:t>
      </w:r>
      <w:r>
        <w:rPr>
          <w:spacing w:val="-2"/>
          <w:sz w:val="20"/>
        </w:rPr>
        <w:t>Wynyard</w:t>
      </w:r>
      <w:r>
        <w:rPr>
          <w:spacing w:val="-9"/>
          <w:sz w:val="20"/>
        </w:rPr>
        <w:t xml:space="preserve"> </w:t>
      </w:r>
      <w:r>
        <w:rPr>
          <w:spacing w:val="-2"/>
          <w:sz w:val="20"/>
        </w:rPr>
        <w:t>and</w:t>
      </w:r>
      <w:r>
        <w:rPr>
          <w:spacing w:val="-9"/>
          <w:sz w:val="20"/>
        </w:rPr>
        <w:t xml:space="preserve"> </w:t>
      </w:r>
      <w:r>
        <w:rPr>
          <w:spacing w:val="-2"/>
          <w:sz w:val="20"/>
        </w:rPr>
        <w:t>Town</w:t>
      </w:r>
      <w:r>
        <w:rPr>
          <w:spacing w:val="-9"/>
          <w:sz w:val="20"/>
        </w:rPr>
        <w:t xml:space="preserve"> </w:t>
      </w:r>
      <w:r>
        <w:rPr>
          <w:spacing w:val="-2"/>
          <w:sz w:val="20"/>
        </w:rPr>
        <w:t>Hall</w:t>
      </w:r>
      <w:r>
        <w:rPr>
          <w:spacing w:val="-9"/>
          <w:sz w:val="20"/>
        </w:rPr>
        <w:t xml:space="preserve"> </w:t>
      </w:r>
      <w:r>
        <w:rPr>
          <w:spacing w:val="-2"/>
          <w:sz w:val="20"/>
        </w:rPr>
        <w:t>stations.</w:t>
      </w:r>
    </w:p>
    <w:p w:rsidR="002C1123" w:rsidRDefault="00F22F94">
      <w:pPr>
        <w:pStyle w:val="ListParagraph"/>
        <w:numPr>
          <w:ilvl w:val="0"/>
          <w:numId w:val="85"/>
        </w:numPr>
        <w:tabs>
          <w:tab w:val="left" w:pos="473"/>
        </w:tabs>
        <w:spacing w:before="132" w:line="249" w:lineRule="auto"/>
        <w:ind w:right="222"/>
        <w:rPr>
          <w:sz w:val="20"/>
        </w:rPr>
      </w:pPr>
      <w:r>
        <w:rPr>
          <w:w w:val="95"/>
          <w:sz w:val="20"/>
        </w:rPr>
        <w:t>An</w:t>
      </w:r>
      <w:r>
        <w:rPr>
          <w:spacing w:val="-4"/>
          <w:w w:val="95"/>
          <w:sz w:val="20"/>
        </w:rPr>
        <w:t xml:space="preserve"> </w:t>
      </w:r>
      <w:r>
        <w:rPr>
          <w:w w:val="95"/>
          <w:sz w:val="20"/>
        </w:rPr>
        <w:t>incremental</w:t>
      </w:r>
      <w:r>
        <w:rPr>
          <w:spacing w:val="-4"/>
          <w:w w:val="95"/>
          <w:sz w:val="20"/>
        </w:rPr>
        <w:t xml:space="preserve"> </w:t>
      </w:r>
      <w:r>
        <w:rPr>
          <w:w w:val="95"/>
          <w:sz w:val="20"/>
        </w:rPr>
        <w:t>program</w:t>
      </w:r>
      <w:r>
        <w:rPr>
          <w:spacing w:val="-5"/>
          <w:w w:val="95"/>
          <w:sz w:val="20"/>
        </w:rPr>
        <w:t xml:space="preserve"> </w:t>
      </w:r>
      <w:r>
        <w:rPr>
          <w:w w:val="95"/>
          <w:sz w:val="20"/>
        </w:rPr>
        <w:t>to</w:t>
      </w:r>
      <w:r>
        <w:rPr>
          <w:spacing w:val="-4"/>
          <w:w w:val="95"/>
          <w:sz w:val="20"/>
        </w:rPr>
        <w:t xml:space="preserve"> </w:t>
      </w:r>
      <w:r>
        <w:rPr>
          <w:w w:val="95"/>
          <w:sz w:val="20"/>
        </w:rPr>
        <w:t>accelerate</w:t>
      </w:r>
      <w:r>
        <w:rPr>
          <w:spacing w:val="-4"/>
          <w:w w:val="95"/>
          <w:sz w:val="20"/>
        </w:rPr>
        <w:t xml:space="preserve"> </w:t>
      </w:r>
      <w:r>
        <w:rPr>
          <w:w w:val="95"/>
          <w:sz w:val="20"/>
        </w:rPr>
        <w:t>the</w:t>
      </w:r>
      <w:r>
        <w:rPr>
          <w:spacing w:val="-4"/>
          <w:w w:val="95"/>
          <w:sz w:val="20"/>
        </w:rPr>
        <w:t xml:space="preserve"> </w:t>
      </w:r>
      <w:r>
        <w:rPr>
          <w:w w:val="95"/>
          <w:sz w:val="20"/>
        </w:rPr>
        <w:t xml:space="preserve">intercity </w:t>
      </w:r>
      <w:r>
        <w:rPr>
          <w:sz w:val="20"/>
        </w:rPr>
        <w:t>routes</w:t>
      </w:r>
      <w:r>
        <w:rPr>
          <w:spacing w:val="-6"/>
          <w:sz w:val="20"/>
        </w:rPr>
        <w:t xml:space="preserve"> </w:t>
      </w:r>
      <w:r>
        <w:rPr>
          <w:sz w:val="20"/>
        </w:rPr>
        <w:t>is</w:t>
      </w:r>
      <w:r>
        <w:rPr>
          <w:spacing w:val="-6"/>
          <w:sz w:val="20"/>
        </w:rPr>
        <w:t xml:space="preserve"> </w:t>
      </w:r>
      <w:r>
        <w:rPr>
          <w:sz w:val="20"/>
        </w:rPr>
        <w:t>proposed,</w:t>
      </w:r>
      <w:r>
        <w:rPr>
          <w:spacing w:val="-6"/>
          <w:sz w:val="20"/>
        </w:rPr>
        <w:t xml:space="preserve"> </w:t>
      </w:r>
      <w:r>
        <w:rPr>
          <w:sz w:val="20"/>
        </w:rPr>
        <w:t>with</w:t>
      </w:r>
      <w:r>
        <w:rPr>
          <w:spacing w:val="-6"/>
          <w:sz w:val="20"/>
        </w:rPr>
        <w:t xml:space="preserve"> </w:t>
      </w:r>
      <w:r>
        <w:rPr>
          <w:sz w:val="20"/>
        </w:rPr>
        <w:t>a</w:t>
      </w:r>
      <w:r>
        <w:rPr>
          <w:spacing w:val="-6"/>
          <w:sz w:val="20"/>
        </w:rPr>
        <w:t xml:space="preserve"> </w:t>
      </w:r>
      <w:r>
        <w:rPr>
          <w:sz w:val="20"/>
        </w:rPr>
        <w:t>target</w:t>
      </w:r>
      <w:r>
        <w:rPr>
          <w:spacing w:val="-6"/>
          <w:sz w:val="20"/>
        </w:rPr>
        <w:t xml:space="preserve"> </w:t>
      </w:r>
      <w:r>
        <w:rPr>
          <w:sz w:val="20"/>
        </w:rPr>
        <w:t>of</w:t>
      </w:r>
      <w:r>
        <w:rPr>
          <w:spacing w:val="-6"/>
          <w:sz w:val="20"/>
        </w:rPr>
        <w:t xml:space="preserve"> </w:t>
      </w:r>
      <w:r>
        <w:rPr>
          <w:sz w:val="20"/>
        </w:rPr>
        <w:t>one</w:t>
      </w:r>
      <w:r>
        <w:rPr>
          <w:spacing w:val="-6"/>
          <w:sz w:val="20"/>
        </w:rPr>
        <w:t xml:space="preserve"> </w:t>
      </w:r>
      <w:r>
        <w:rPr>
          <w:sz w:val="20"/>
        </w:rPr>
        <w:t>hour journey</w:t>
      </w:r>
      <w:r>
        <w:rPr>
          <w:spacing w:val="-8"/>
          <w:sz w:val="20"/>
        </w:rPr>
        <w:t xml:space="preserve"> </w:t>
      </w:r>
      <w:r>
        <w:rPr>
          <w:sz w:val="20"/>
        </w:rPr>
        <w:t>times</w:t>
      </w:r>
      <w:r>
        <w:rPr>
          <w:spacing w:val="-8"/>
          <w:sz w:val="20"/>
        </w:rPr>
        <w:t xml:space="preserve"> </w:t>
      </w:r>
      <w:r>
        <w:rPr>
          <w:sz w:val="20"/>
        </w:rPr>
        <w:t>to</w:t>
      </w:r>
      <w:r>
        <w:rPr>
          <w:spacing w:val="-8"/>
          <w:sz w:val="20"/>
        </w:rPr>
        <w:t xml:space="preserve"> </w:t>
      </w:r>
      <w:r>
        <w:rPr>
          <w:sz w:val="20"/>
        </w:rPr>
        <w:t>Sydney</w:t>
      </w:r>
      <w:r>
        <w:rPr>
          <w:spacing w:val="-8"/>
          <w:sz w:val="20"/>
        </w:rPr>
        <w:t xml:space="preserve"> </w:t>
      </w:r>
      <w:r>
        <w:rPr>
          <w:sz w:val="20"/>
        </w:rPr>
        <w:t>from</w:t>
      </w:r>
      <w:r>
        <w:rPr>
          <w:spacing w:val="-8"/>
          <w:sz w:val="20"/>
        </w:rPr>
        <w:t xml:space="preserve"> </w:t>
      </w:r>
      <w:r>
        <w:rPr>
          <w:sz w:val="20"/>
        </w:rPr>
        <w:t>both</w:t>
      </w:r>
      <w:r>
        <w:rPr>
          <w:spacing w:val="-8"/>
          <w:sz w:val="20"/>
        </w:rPr>
        <w:t xml:space="preserve"> </w:t>
      </w:r>
      <w:r>
        <w:rPr>
          <w:sz w:val="20"/>
        </w:rPr>
        <w:t>Gosford</w:t>
      </w:r>
      <w:r>
        <w:rPr>
          <w:spacing w:val="-8"/>
          <w:sz w:val="20"/>
        </w:rPr>
        <w:t xml:space="preserve"> </w:t>
      </w:r>
      <w:r>
        <w:rPr>
          <w:sz w:val="20"/>
        </w:rPr>
        <w:t>and Wollongong,</w:t>
      </w:r>
      <w:r>
        <w:rPr>
          <w:spacing w:val="-7"/>
          <w:sz w:val="20"/>
        </w:rPr>
        <w:t xml:space="preserve"> </w:t>
      </w:r>
      <w:r>
        <w:rPr>
          <w:sz w:val="20"/>
        </w:rPr>
        <w:t>and</w:t>
      </w:r>
      <w:r>
        <w:rPr>
          <w:spacing w:val="-7"/>
          <w:sz w:val="20"/>
        </w:rPr>
        <w:t xml:space="preserve"> </w:t>
      </w:r>
      <w:r>
        <w:rPr>
          <w:sz w:val="20"/>
        </w:rPr>
        <w:t>a</w:t>
      </w:r>
      <w:r>
        <w:rPr>
          <w:spacing w:val="-7"/>
          <w:sz w:val="20"/>
        </w:rPr>
        <w:t xml:space="preserve"> </w:t>
      </w:r>
      <w:r>
        <w:rPr>
          <w:sz w:val="20"/>
        </w:rPr>
        <w:t>two</w:t>
      </w:r>
      <w:r>
        <w:rPr>
          <w:spacing w:val="-7"/>
          <w:sz w:val="20"/>
        </w:rPr>
        <w:t xml:space="preserve"> </w:t>
      </w:r>
      <w:r>
        <w:rPr>
          <w:sz w:val="20"/>
        </w:rPr>
        <w:t>hour</w:t>
      </w:r>
      <w:r>
        <w:rPr>
          <w:spacing w:val="-7"/>
          <w:sz w:val="20"/>
        </w:rPr>
        <w:t xml:space="preserve"> </w:t>
      </w:r>
      <w:r>
        <w:rPr>
          <w:sz w:val="20"/>
        </w:rPr>
        <w:t>journey</w:t>
      </w:r>
      <w:r>
        <w:rPr>
          <w:spacing w:val="-7"/>
          <w:sz w:val="20"/>
        </w:rPr>
        <w:t xml:space="preserve"> </w:t>
      </w:r>
      <w:r>
        <w:rPr>
          <w:sz w:val="20"/>
        </w:rPr>
        <w:t>time</w:t>
      </w:r>
      <w:r>
        <w:rPr>
          <w:spacing w:val="-7"/>
          <w:sz w:val="20"/>
        </w:rPr>
        <w:t xml:space="preserve"> </w:t>
      </w:r>
      <w:r>
        <w:rPr>
          <w:sz w:val="20"/>
        </w:rPr>
        <w:t>from Newcastle.</w:t>
      </w:r>
      <w:r>
        <w:rPr>
          <w:spacing w:val="-8"/>
          <w:sz w:val="20"/>
        </w:rPr>
        <w:t xml:space="preserve"> </w:t>
      </w:r>
      <w:r>
        <w:rPr>
          <w:sz w:val="20"/>
        </w:rPr>
        <w:t>The</w:t>
      </w:r>
      <w:r>
        <w:rPr>
          <w:spacing w:val="-8"/>
          <w:sz w:val="20"/>
        </w:rPr>
        <w:t xml:space="preserve"> </w:t>
      </w:r>
      <w:r>
        <w:rPr>
          <w:sz w:val="20"/>
        </w:rPr>
        <w:t>focus</w:t>
      </w:r>
      <w:r>
        <w:rPr>
          <w:spacing w:val="-8"/>
          <w:sz w:val="20"/>
        </w:rPr>
        <w:t xml:space="preserve"> </w:t>
      </w:r>
      <w:r>
        <w:rPr>
          <w:sz w:val="20"/>
        </w:rPr>
        <w:t>of</w:t>
      </w:r>
      <w:r>
        <w:rPr>
          <w:spacing w:val="-8"/>
          <w:sz w:val="20"/>
        </w:rPr>
        <w:t xml:space="preserve"> </w:t>
      </w:r>
      <w:r>
        <w:rPr>
          <w:sz w:val="20"/>
        </w:rPr>
        <w:t>the</w:t>
      </w:r>
      <w:r>
        <w:rPr>
          <w:spacing w:val="-8"/>
          <w:sz w:val="20"/>
        </w:rPr>
        <w:t xml:space="preserve"> </w:t>
      </w:r>
      <w:r>
        <w:rPr>
          <w:sz w:val="20"/>
        </w:rPr>
        <w:t>program</w:t>
      </w:r>
      <w:r>
        <w:rPr>
          <w:spacing w:val="-8"/>
          <w:sz w:val="20"/>
        </w:rPr>
        <w:t xml:space="preserve"> </w:t>
      </w:r>
      <w:r>
        <w:rPr>
          <w:sz w:val="20"/>
        </w:rPr>
        <w:t>will</w:t>
      </w:r>
      <w:r>
        <w:rPr>
          <w:spacing w:val="-8"/>
          <w:sz w:val="20"/>
        </w:rPr>
        <w:t xml:space="preserve"> </w:t>
      </w:r>
      <w:r>
        <w:rPr>
          <w:sz w:val="20"/>
        </w:rPr>
        <w:t xml:space="preserve">be </w:t>
      </w:r>
      <w:r>
        <w:rPr>
          <w:w w:val="95"/>
          <w:sz w:val="20"/>
        </w:rPr>
        <w:t xml:space="preserve">operational improvements supported by targeted </w:t>
      </w:r>
      <w:r>
        <w:rPr>
          <w:sz w:val="20"/>
        </w:rPr>
        <w:t>capital works to reduce journey times.</w:t>
      </w:r>
    </w:p>
    <w:p w:rsidR="002C1123" w:rsidRDefault="00F22F94">
      <w:pPr>
        <w:pStyle w:val="ListParagraph"/>
        <w:numPr>
          <w:ilvl w:val="0"/>
          <w:numId w:val="85"/>
        </w:numPr>
        <w:tabs>
          <w:tab w:val="left" w:pos="473"/>
        </w:tabs>
        <w:spacing w:before="135" w:line="249" w:lineRule="auto"/>
        <w:ind w:right="472"/>
        <w:rPr>
          <w:sz w:val="20"/>
        </w:rPr>
      </w:pPr>
      <w:r>
        <w:rPr>
          <w:sz w:val="20"/>
        </w:rPr>
        <w:t>Planning</w:t>
      </w:r>
      <w:r>
        <w:rPr>
          <w:spacing w:val="-13"/>
          <w:sz w:val="20"/>
        </w:rPr>
        <w:t xml:space="preserve"> </w:t>
      </w:r>
      <w:r>
        <w:rPr>
          <w:sz w:val="20"/>
        </w:rPr>
        <w:t>for</w:t>
      </w:r>
      <w:r>
        <w:rPr>
          <w:spacing w:val="-13"/>
          <w:sz w:val="20"/>
        </w:rPr>
        <w:t xml:space="preserve"> </w:t>
      </w:r>
      <w:r>
        <w:rPr>
          <w:sz w:val="20"/>
        </w:rPr>
        <w:t>an</w:t>
      </w:r>
      <w:r>
        <w:rPr>
          <w:spacing w:val="-13"/>
          <w:sz w:val="20"/>
        </w:rPr>
        <w:t xml:space="preserve"> </w:t>
      </w:r>
      <w:r>
        <w:rPr>
          <w:sz w:val="20"/>
        </w:rPr>
        <w:t>extension</w:t>
      </w:r>
      <w:r>
        <w:rPr>
          <w:spacing w:val="-13"/>
          <w:sz w:val="20"/>
        </w:rPr>
        <w:t xml:space="preserve"> </w:t>
      </w:r>
      <w:r>
        <w:rPr>
          <w:sz w:val="20"/>
        </w:rPr>
        <w:t>of</w:t>
      </w:r>
      <w:r>
        <w:rPr>
          <w:spacing w:val="-13"/>
          <w:sz w:val="20"/>
        </w:rPr>
        <w:t xml:space="preserve"> </w:t>
      </w:r>
      <w:r>
        <w:rPr>
          <w:sz w:val="20"/>
        </w:rPr>
        <w:t>the</w:t>
      </w:r>
      <w:r>
        <w:rPr>
          <w:spacing w:val="-13"/>
          <w:sz w:val="20"/>
        </w:rPr>
        <w:t xml:space="preserve"> </w:t>
      </w:r>
      <w:r>
        <w:rPr>
          <w:sz w:val="20"/>
        </w:rPr>
        <w:t xml:space="preserve">Eastern </w:t>
      </w:r>
      <w:r>
        <w:rPr>
          <w:w w:val="95"/>
          <w:sz w:val="20"/>
        </w:rPr>
        <w:t>Suburbs</w:t>
      </w:r>
      <w:r>
        <w:rPr>
          <w:spacing w:val="-4"/>
          <w:w w:val="95"/>
          <w:sz w:val="20"/>
        </w:rPr>
        <w:t xml:space="preserve"> </w:t>
      </w:r>
      <w:r>
        <w:rPr>
          <w:w w:val="95"/>
          <w:sz w:val="20"/>
        </w:rPr>
        <w:t>Railway</w:t>
      </w:r>
      <w:r>
        <w:rPr>
          <w:spacing w:val="-4"/>
          <w:w w:val="95"/>
          <w:sz w:val="20"/>
        </w:rPr>
        <w:t xml:space="preserve"> </w:t>
      </w:r>
      <w:r>
        <w:rPr>
          <w:w w:val="95"/>
          <w:sz w:val="20"/>
        </w:rPr>
        <w:t>to</w:t>
      </w:r>
      <w:r>
        <w:rPr>
          <w:spacing w:val="-4"/>
          <w:w w:val="95"/>
          <w:sz w:val="20"/>
        </w:rPr>
        <w:t xml:space="preserve"> </w:t>
      </w:r>
      <w:r>
        <w:rPr>
          <w:w w:val="95"/>
          <w:sz w:val="20"/>
        </w:rPr>
        <w:t>Randwick</w:t>
      </w:r>
      <w:r>
        <w:rPr>
          <w:spacing w:val="-4"/>
          <w:w w:val="95"/>
          <w:sz w:val="20"/>
        </w:rPr>
        <w:t xml:space="preserve"> </w:t>
      </w:r>
      <w:r>
        <w:rPr>
          <w:w w:val="95"/>
          <w:sz w:val="20"/>
        </w:rPr>
        <w:t>and</w:t>
      </w:r>
      <w:r>
        <w:rPr>
          <w:spacing w:val="-4"/>
          <w:w w:val="95"/>
          <w:sz w:val="20"/>
        </w:rPr>
        <w:t xml:space="preserve"> </w:t>
      </w:r>
      <w:r>
        <w:rPr>
          <w:w w:val="95"/>
          <w:sz w:val="20"/>
        </w:rPr>
        <w:t>Maroubra</w:t>
      </w:r>
      <w:r>
        <w:rPr>
          <w:spacing w:val="-4"/>
          <w:w w:val="95"/>
          <w:sz w:val="20"/>
        </w:rPr>
        <w:t xml:space="preserve"> </w:t>
      </w:r>
      <w:r>
        <w:rPr>
          <w:w w:val="95"/>
          <w:sz w:val="20"/>
        </w:rPr>
        <w:t>is</w:t>
      </w:r>
    </w:p>
    <w:p w:rsidR="002C1123" w:rsidRDefault="00F22F94">
      <w:pPr>
        <w:pStyle w:val="BodyText"/>
        <w:spacing w:before="1" w:line="249" w:lineRule="auto"/>
        <w:ind w:left="472"/>
      </w:pPr>
      <w:r>
        <w:rPr>
          <w:w w:val="95"/>
        </w:rPr>
        <w:t>recommended</w:t>
      </w:r>
      <w:r>
        <w:rPr>
          <w:spacing w:val="-2"/>
          <w:w w:val="95"/>
        </w:rPr>
        <w:t xml:space="preserve"> </w:t>
      </w:r>
      <w:r>
        <w:rPr>
          <w:w w:val="95"/>
        </w:rPr>
        <w:t>after</w:t>
      </w:r>
      <w:r>
        <w:rPr>
          <w:spacing w:val="-2"/>
          <w:w w:val="95"/>
        </w:rPr>
        <w:t xml:space="preserve"> </w:t>
      </w:r>
      <w:r>
        <w:rPr>
          <w:w w:val="95"/>
        </w:rPr>
        <w:t>year</w:t>
      </w:r>
      <w:r>
        <w:rPr>
          <w:spacing w:val="-2"/>
          <w:w w:val="95"/>
        </w:rPr>
        <w:t xml:space="preserve"> </w:t>
      </w:r>
      <w:r>
        <w:rPr>
          <w:w w:val="95"/>
        </w:rPr>
        <w:t>10,</w:t>
      </w:r>
      <w:r>
        <w:rPr>
          <w:spacing w:val="-2"/>
          <w:w w:val="95"/>
        </w:rPr>
        <w:t xml:space="preserve"> </w:t>
      </w:r>
      <w:r>
        <w:rPr>
          <w:w w:val="95"/>
        </w:rPr>
        <w:t>in</w:t>
      </w:r>
      <w:r>
        <w:rPr>
          <w:spacing w:val="-2"/>
          <w:w w:val="95"/>
        </w:rPr>
        <w:t xml:space="preserve"> </w:t>
      </w:r>
      <w:r>
        <w:rPr>
          <w:w w:val="95"/>
        </w:rPr>
        <w:t>conjunction</w:t>
      </w:r>
      <w:r>
        <w:rPr>
          <w:spacing w:val="-2"/>
          <w:w w:val="95"/>
        </w:rPr>
        <w:t xml:space="preserve"> </w:t>
      </w:r>
      <w:r>
        <w:rPr>
          <w:w w:val="95"/>
        </w:rPr>
        <w:t>with</w:t>
      </w:r>
      <w:r>
        <w:rPr>
          <w:spacing w:val="-2"/>
          <w:w w:val="95"/>
        </w:rPr>
        <w:t xml:space="preserve"> </w:t>
      </w:r>
      <w:r>
        <w:rPr>
          <w:w w:val="95"/>
        </w:rPr>
        <w:t xml:space="preserve">land </w:t>
      </w:r>
      <w:r>
        <w:t>use</w:t>
      </w:r>
      <w:r>
        <w:rPr>
          <w:spacing w:val="-14"/>
        </w:rPr>
        <w:t xml:space="preserve"> </w:t>
      </w:r>
      <w:r>
        <w:t>intensification</w:t>
      </w:r>
      <w:r>
        <w:rPr>
          <w:spacing w:val="-14"/>
        </w:rPr>
        <w:t xml:space="preserve"> </w:t>
      </w:r>
      <w:r>
        <w:t>in</w:t>
      </w:r>
      <w:r>
        <w:rPr>
          <w:spacing w:val="-14"/>
        </w:rPr>
        <w:t xml:space="preserve"> </w:t>
      </w:r>
      <w:r>
        <w:t>South</w:t>
      </w:r>
      <w:r>
        <w:rPr>
          <w:spacing w:val="-14"/>
        </w:rPr>
        <w:t xml:space="preserve"> </w:t>
      </w:r>
      <w:r>
        <w:t>East</w:t>
      </w:r>
      <w:r>
        <w:rPr>
          <w:spacing w:val="-14"/>
        </w:rPr>
        <w:t xml:space="preserve"> </w:t>
      </w:r>
      <w:r>
        <w:t>Sydney.</w:t>
      </w:r>
    </w:p>
    <w:p w:rsidR="002C1123" w:rsidRDefault="00F22F94">
      <w:pPr>
        <w:pStyle w:val="ListParagraph"/>
        <w:numPr>
          <w:ilvl w:val="1"/>
          <w:numId w:val="85"/>
        </w:numPr>
        <w:tabs>
          <w:tab w:val="left" w:pos="642"/>
        </w:tabs>
        <w:spacing w:before="82" w:line="235" w:lineRule="auto"/>
        <w:ind w:right="834"/>
        <w:rPr>
          <w:sz w:val="20"/>
        </w:rPr>
      </w:pPr>
      <w:r>
        <w:br w:type="column"/>
      </w:r>
      <w:r>
        <w:rPr>
          <w:sz w:val="20"/>
        </w:rPr>
        <w:t>The</w:t>
      </w:r>
      <w:r>
        <w:rPr>
          <w:spacing w:val="-12"/>
          <w:sz w:val="20"/>
        </w:rPr>
        <w:t xml:space="preserve"> </w:t>
      </w:r>
      <w:r>
        <w:rPr>
          <w:sz w:val="20"/>
        </w:rPr>
        <w:t>passenger</w:t>
      </w:r>
      <w:r>
        <w:rPr>
          <w:spacing w:val="-12"/>
          <w:sz w:val="20"/>
        </w:rPr>
        <w:t xml:space="preserve"> </w:t>
      </w:r>
      <w:r>
        <w:rPr>
          <w:sz w:val="20"/>
        </w:rPr>
        <w:t>rail</w:t>
      </w:r>
      <w:r>
        <w:rPr>
          <w:spacing w:val="-12"/>
          <w:sz w:val="20"/>
        </w:rPr>
        <w:t xml:space="preserve"> </w:t>
      </w:r>
      <w:r>
        <w:rPr>
          <w:sz w:val="20"/>
        </w:rPr>
        <w:t>network</w:t>
      </w:r>
      <w:r>
        <w:rPr>
          <w:spacing w:val="-12"/>
          <w:sz w:val="20"/>
        </w:rPr>
        <w:t xml:space="preserve"> </w:t>
      </w:r>
      <w:r>
        <w:rPr>
          <w:sz w:val="20"/>
        </w:rPr>
        <w:t>of</w:t>
      </w:r>
      <w:r>
        <w:rPr>
          <w:spacing w:val="-12"/>
          <w:sz w:val="20"/>
        </w:rPr>
        <w:t xml:space="preserve"> </w:t>
      </w:r>
      <w:r>
        <w:rPr>
          <w:sz w:val="20"/>
        </w:rPr>
        <w:t>over</w:t>
      </w:r>
      <w:r>
        <w:rPr>
          <w:spacing w:val="-12"/>
          <w:sz w:val="20"/>
        </w:rPr>
        <w:t xml:space="preserve"> </w:t>
      </w:r>
      <w:r>
        <w:rPr>
          <w:sz w:val="20"/>
        </w:rPr>
        <w:t>1,000</w:t>
      </w:r>
      <w:r>
        <w:rPr>
          <w:spacing w:val="-12"/>
          <w:sz w:val="20"/>
        </w:rPr>
        <w:t xml:space="preserve"> </w:t>
      </w:r>
      <w:r>
        <w:rPr>
          <w:sz w:val="20"/>
        </w:rPr>
        <w:t>route kilometres</w:t>
      </w:r>
      <w:r>
        <w:rPr>
          <w:spacing w:val="-12"/>
          <w:sz w:val="20"/>
        </w:rPr>
        <w:t xml:space="preserve"> </w:t>
      </w:r>
      <w:r>
        <w:rPr>
          <w:sz w:val="20"/>
        </w:rPr>
        <w:t>and</w:t>
      </w:r>
      <w:r>
        <w:rPr>
          <w:spacing w:val="-12"/>
          <w:sz w:val="20"/>
        </w:rPr>
        <w:t xml:space="preserve"> </w:t>
      </w:r>
      <w:r>
        <w:rPr>
          <w:sz w:val="20"/>
        </w:rPr>
        <w:t>approximately</w:t>
      </w:r>
      <w:r>
        <w:rPr>
          <w:spacing w:val="-12"/>
          <w:sz w:val="20"/>
        </w:rPr>
        <w:t xml:space="preserve"> </w:t>
      </w:r>
      <w:r>
        <w:rPr>
          <w:sz w:val="20"/>
        </w:rPr>
        <w:t>300</w:t>
      </w:r>
      <w:r>
        <w:rPr>
          <w:spacing w:val="-12"/>
          <w:sz w:val="20"/>
        </w:rPr>
        <w:t xml:space="preserve"> </w:t>
      </w:r>
      <w:r>
        <w:rPr>
          <w:sz w:val="20"/>
        </w:rPr>
        <w:t>stations</w:t>
      </w:r>
      <w:r>
        <w:rPr>
          <w:spacing w:val="-12"/>
          <w:sz w:val="20"/>
        </w:rPr>
        <w:t xml:space="preserve"> </w:t>
      </w:r>
      <w:r>
        <w:rPr>
          <w:sz w:val="20"/>
        </w:rPr>
        <w:t>is</w:t>
      </w:r>
      <w:r>
        <w:rPr>
          <w:spacing w:val="-12"/>
          <w:sz w:val="20"/>
        </w:rPr>
        <w:t xml:space="preserve"> </w:t>
      </w:r>
      <w:r>
        <w:rPr>
          <w:sz w:val="20"/>
        </w:rPr>
        <w:t>to</w:t>
      </w:r>
      <w:r>
        <w:rPr>
          <w:spacing w:val="-12"/>
          <w:sz w:val="20"/>
        </w:rPr>
        <w:t xml:space="preserve"> </w:t>
      </w:r>
      <w:r>
        <w:rPr>
          <w:sz w:val="20"/>
        </w:rPr>
        <w:t xml:space="preserve">be </w:t>
      </w:r>
      <w:r>
        <w:rPr>
          <w:w w:val="95"/>
          <w:sz w:val="20"/>
        </w:rPr>
        <w:t>split</w:t>
      </w:r>
      <w:r>
        <w:rPr>
          <w:spacing w:val="-10"/>
          <w:w w:val="95"/>
          <w:sz w:val="20"/>
        </w:rPr>
        <w:t xml:space="preserve"> </w:t>
      </w:r>
      <w:r>
        <w:rPr>
          <w:w w:val="95"/>
          <w:sz w:val="20"/>
        </w:rPr>
        <w:t>between</w:t>
      </w:r>
      <w:r>
        <w:rPr>
          <w:spacing w:val="-10"/>
          <w:w w:val="95"/>
          <w:sz w:val="20"/>
        </w:rPr>
        <w:t xml:space="preserve"> </w:t>
      </w:r>
      <w:r>
        <w:rPr>
          <w:w w:val="95"/>
          <w:sz w:val="20"/>
        </w:rPr>
        <w:t>Sydney</w:t>
      </w:r>
      <w:r>
        <w:rPr>
          <w:spacing w:val="-10"/>
          <w:w w:val="95"/>
          <w:sz w:val="20"/>
        </w:rPr>
        <w:t xml:space="preserve"> </w:t>
      </w:r>
      <w:r>
        <w:rPr>
          <w:w w:val="95"/>
          <w:sz w:val="20"/>
        </w:rPr>
        <w:t>Trains</w:t>
      </w:r>
      <w:r>
        <w:rPr>
          <w:spacing w:val="-10"/>
          <w:w w:val="95"/>
          <w:sz w:val="20"/>
        </w:rPr>
        <w:t xml:space="preserve"> </w:t>
      </w:r>
      <w:r>
        <w:rPr>
          <w:w w:val="95"/>
          <w:sz w:val="20"/>
        </w:rPr>
        <w:t>in</w:t>
      </w:r>
      <w:r>
        <w:rPr>
          <w:spacing w:val="-10"/>
          <w:w w:val="95"/>
          <w:sz w:val="20"/>
        </w:rPr>
        <w:t xml:space="preserve"> </w:t>
      </w:r>
      <w:r>
        <w:rPr>
          <w:w w:val="95"/>
          <w:sz w:val="20"/>
        </w:rPr>
        <w:t>the</w:t>
      </w:r>
      <w:r>
        <w:rPr>
          <w:spacing w:val="-10"/>
          <w:w w:val="95"/>
          <w:sz w:val="20"/>
        </w:rPr>
        <w:t xml:space="preserve"> </w:t>
      </w:r>
      <w:r>
        <w:rPr>
          <w:w w:val="95"/>
          <w:sz w:val="20"/>
        </w:rPr>
        <w:t>metropolitan</w:t>
      </w:r>
      <w:r>
        <w:rPr>
          <w:spacing w:val="-10"/>
          <w:w w:val="95"/>
          <w:sz w:val="20"/>
        </w:rPr>
        <w:t xml:space="preserve"> </w:t>
      </w:r>
      <w:r>
        <w:rPr>
          <w:w w:val="95"/>
          <w:sz w:val="20"/>
        </w:rPr>
        <w:t xml:space="preserve">area </w:t>
      </w:r>
      <w:r>
        <w:rPr>
          <w:sz w:val="20"/>
        </w:rPr>
        <w:t>and</w:t>
      </w:r>
      <w:r>
        <w:rPr>
          <w:spacing w:val="-4"/>
          <w:sz w:val="20"/>
        </w:rPr>
        <w:t xml:space="preserve"> </w:t>
      </w:r>
      <w:r>
        <w:rPr>
          <w:sz w:val="20"/>
        </w:rPr>
        <w:t>NSW</w:t>
      </w:r>
      <w:r>
        <w:rPr>
          <w:spacing w:val="-4"/>
          <w:sz w:val="20"/>
        </w:rPr>
        <w:t xml:space="preserve"> </w:t>
      </w:r>
      <w:r>
        <w:rPr>
          <w:sz w:val="20"/>
        </w:rPr>
        <w:t>Trains</w:t>
      </w:r>
      <w:r>
        <w:rPr>
          <w:spacing w:val="-4"/>
          <w:sz w:val="20"/>
        </w:rPr>
        <w:t xml:space="preserve"> </w:t>
      </w:r>
      <w:r>
        <w:rPr>
          <w:sz w:val="20"/>
        </w:rPr>
        <w:t>elsewhere.</w:t>
      </w:r>
    </w:p>
    <w:p w:rsidR="002C1123" w:rsidRDefault="00F22F94">
      <w:pPr>
        <w:pStyle w:val="ListParagraph"/>
        <w:numPr>
          <w:ilvl w:val="1"/>
          <w:numId w:val="85"/>
        </w:numPr>
        <w:tabs>
          <w:tab w:val="left" w:pos="642"/>
        </w:tabs>
        <w:spacing w:before="100" w:line="235" w:lineRule="auto"/>
        <w:ind w:right="716"/>
        <w:rPr>
          <w:sz w:val="20"/>
        </w:rPr>
      </w:pPr>
      <w:r>
        <w:rPr>
          <w:w w:val="95"/>
          <w:sz w:val="20"/>
        </w:rPr>
        <w:t>The</w:t>
      </w:r>
      <w:r>
        <w:rPr>
          <w:spacing w:val="-7"/>
          <w:w w:val="95"/>
          <w:sz w:val="20"/>
        </w:rPr>
        <w:t xml:space="preserve"> </w:t>
      </w:r>
      <w:r>
        <w:rPr>
          <w:w w:val="95"/>
          <w:sz w:val="20"/>
        </w:rPr>
        <w:t>core</w:t>
      </w:r>
      <w:r>
        <w:rPr>
          <w:spacing w:val="-7"/>
          <w:w w:val="95"/>
          <w:sz w:val="20"/>
        </w:rPr>
        <w:t xml:space="preserve"> </w:t>
      </w:r>
      <w:r>
        <w:rPr>
          <w:w w:val="95"/>
          <w:sz w:val="20"/>
        </w:rPr>
        <w:t>fleet</w:t>
      </w:r>
      <w:r>
        <w:rPr>
          <w:spacing w:val="-7"/>
          <w:w w:val="95"/>
          <w:sz w:val="20"/>
        </w:rPr>
        <w:t xml:space="preserve"> </w:t>
      </w:r>
      <w:r>
        <w:rPr>
          <w:w w:val="95"/>
          <w:sz w:val="20"/>
        </w:rPr>
        <w:t>of</w:t>
      </w:r>
      <w:r>
        <w:rPr>
          <w:spacing w:val="-7"/>
          <w:w w:val="95"/>
          <w:sz w:val="20"/>
        </w:rPr>
        <w:t xml:space="preserve"> </w:t>
      </w:r>
      <w:r>
        <w:rPr>
          <w:w w:val="95"/>
          <w:sz w:val="20"/>
        </w:rPr>
        <w:t>about</w:t>
      </w:r>
      <w:r>
        <w:rPr>
          <w:spacing w:val="-7"/>
          <w:w w:val="95"/>
          <w:sz w:val="20"/>
        </w:rPr>
        <w:t xml:space="preserve"> </w:t>
      </w:r>
      <w:r>
        <w:rPr>
          <w:w w:val="95"/>
          <w:sz w:val="20"/>
        </w:rPr>
        <w:t>220</w:t>
      </w:r>
      <w:r>
        <w:rPr>
          <w:spacing w:val="-7"/>
          <w:w w:val="95"/>
          <w:sz w:val="20"/>
        </w:rPr>
        <w:t xml:space="preserve"> </w:t>
      </w:r>
      <w:r>
        <w:rPr>
          <w:w w:val="95"/>
          <w:sz w:val="20"/>
        </w:rPr>
        <w:t>eight</w:t>
      </w:r>
      <w:r>
        <w:rPr>
          <w:spacing w:val="-7"/>
          <w:w w:val="95"/>
          <w:sz w:val="20"/>
        </w:rPr>
        <w:t xml:space="preserve"> </w:t>
      </w:r>
      <w:r>
        <w:rPr>
          <w:w w:val="95"/>
          <w:sz w:val="20"/>
        </w:rPr>
        <w:t>car</w:t>
      </w:r>
      <w:r>
        <w:rPr>
          <w:spacing w:val="-7"/>
          <w:w w:val="95"/>
          <w:sz w:val="20"/>
        </w:rPr>
        <w:t xml:space="preserve"> </w:t>
      </w:r>
      <w:r>
        <w:rPr>
          <w:w w:val="95"/>
          <w:sz w:val="20"/>
        </w:rPr>
        <w:t>electric</w:t>
      </w:r>
      <w:r>
        <w:rPr>
          <w:spacing w:val="-7"/>
          <w:w w:val="95"/>
          <w:sz w:val="20"/>
        </w:rPr>
        <w:t xml:space="preserve"> </w:t>
      </w:r>
      <w:r>
        <w:rPr>
          <w:w w:val="95"/>
          <w:sz w:val="20"/>
        </w:rPr>
        <w:t>train</w:t>
      </w:r>
      <w:r>
        <w:rPr>
          <w:spacing w:val="-7"/>
          <w:w w:val="95"/>
          <w:sz w:val="20"/>
        </w:rPr>
        <w:t xml:space="preserve"> </w:t>
      </w:r>
      <w:r>
        <w:rPr>
          <w:w w:val="95"/>
          <w:sz w:val="20"/>
        </w:rPr>
        <w:t>sets provides</w:t>
      </w:r>
      <w:r>
        <w:rPr>
          <w:spacing w:val="-5"/>
          <w:w w:val="95"/>
          <w:sz w:val="20"/>
        </w:rPr>
        <w:t xml:space="preserve"> </w:t>
      </w:r>
      <w:r>
        <w:rPr>
          <w:w w:val="95"/>
          <w:sz w:val="20"/>
        </w:rPr>
        <w:t>around</w:t>
      </w:r>
      <w:r>
        <w:rPr>
          <w:spacing w:val="-5"/>
          <w:w w:val="95"/>
          <w:sz w:val="20"/>
        </w:rPr>
        <w:t xml:space="preserve"> </w:t>
      </w:r>
      <w:r>
        <w:rPr>
          <w:w w:val="95"/>
          <w:sz w:val="20"/>
        </w:rPr>
        <w:t>2,500</w:t>
      </w:r>
      <w:r>
        <w:rPr>
          <w:spacing w:val="-5"/>
          <w:w w:val="95"/>
          <w:sz w:val="20"/>
        </w:rPr>
        <w:t xml:space="preserve"> </w:t>
      </w:r>
      <w:r>
        <w:rPr>
          <w:w w:val="95"/>
          <w:sz w:val="20"/>
        </w:rPr>
        <w:t>trains</w:t>
      </w:r>
      <w:r>
        <w:rPr>
          <w:spacing w:val="-5"/>
          <w:w w:val="95"/>
          <w:sz w:val="20"/>
        </w:rPr>
        <w:t xml:space="preserve"> </w:t>
      </w:r>
      <w:r>
        <w:rPr>
          <w:w w:val="95"/>
          <w:sz w:val="20"/>
        </w:rPr>
        <w:t>services</w:t>
      </w:r>
      <w:r>
        <w:rPr>
          <w:spacing w:val="-5"/>
          <w:w w:val="95"/>
          <w:sz w:val="20"/>
        </w:rPr>
        <w:t xml:space="preserve"> </w:t>
      </w:r>
      <w:r>
        <w:rPr>
          <w:w w:val="95"/>
          <w:sz w:val="20"/>
        </w:rPr>
        <w:t>each</w:t>
      </w:r>
      <w:r>
        <w:rPr>
          <w:spacing w:val="-5"/>
          <w:w w:val="95"/>
          <w:sz w:val="20"/>
        </w:rPr>
        <w:t xml:space="preserve"> </w:t>
      </w:r>
      <w:r>
        <w:rPr>
          <w:w w:val="95"/>
          <w:sz w:val="20"/>
        </w:rPr>
        <w:t xml:space="preserve">weekday, </w:t>
      </w:r>
      <w:r>
        <w:rPr>
          <w:w w:val="90"/>
          <w:sz w:val="20"/>
        </w:rPr>
        <w:t>travelling</w:t>
      </w:r>
      <w:r>
        <w:rPr>
          <w:spacing w:val="-3"/>
          <w:w w:val="90"/>
          <w:sz w:val="20"/>
        </w:rPr>
        <w:t xml:space="preserve"> </w:t>
      </w:r>
      <w:r>
        <w:rPr>
          <w:w w:val="90"/>
          <w:sz w:val="20"/>
        </w:rPr>
        <w:t>at</w:t>
      </w:r>
      <w:r>
        <w:rPr>
          <w:spacing w:val="-3"/>
          <w:w w:val="90"/>
          <w:sz w:val="20"/>
        </w:rPr>
        <w:t xml:space="preserve"> </w:t>
      </w:r>
      <w:r>
        <w:rPr>
          <w:w w:val="90"/>
          <w:sz w:val="20"/>
        </w:rPr>
        <w:t>an</w:t>
      </w:r>
      <w:r>
        <w:rPr>
          <w:spacing w:val="-3"/>
          <w:w w:val="90"/>
          <w:sz w:val="20"/>
        </w:rPr>
        <w:t xml:space="preserve"> </w:t>
      </w:r>
      <w:r>
        <w:rPr>
          <w:w w:val="90"/>
          <w:sz w:val="20"/>
        </w:rPr>
        <w:t>average</w:t>
      </w:r>
      <w:r>
        <w:rPr>
          <w:spacing w:val="-3"/>
          <w:w w:val="90"/>
          <w:sz w:val="20"/>
        </w:rPr>
        <w:t xml:space="preserve"> </w:t>
      </w:r>
      <w:r>
        <w:rPr>
          <w:w w:val="90"/>
          <w:sz w:val="20"/>
        </w:rPr>
        <w:t>speed</w:t>
      </w:r>
      <w:r>
        <w:rPr>
          <w:spacing w:val="-3"/>
          <w:w w:val="90"/>
          <w:sz w:val="20"/>
        </w:rPr>
        <w:t xml:space="preserve"> </w:t>
      </w:r>
      <w:r>
        <w:rPr>
          <w:w w:val="90"/>
          <w:sz w:val="20"/>
        </w:rPr>
        <w:t>of</w:t>
      </w:r>
      <w:r>
        <w:rPr>
          <w:spacing w:val="-3"/>
          <w:w w:val="90"/>
          <w:sz w:val="20"/>
        </w:rPr>
        <w:t xml:space="preserve"> </w:t>
      </w:r>
      <w:r>
        <w:rPr>
          <w:w w:val="90"/>
          <w:sz w:val="20"/>
        </w:rPr>
        <w:t>40</w:t>
      </w:r>
      <w:r>
        <w:rPr>
          <w:spacing w:val="-3"/>
          <w:w w:val="90"/>
          <w:sz w:val="20"/>
        </w:rPr>
        <w:t xml:space="preserve"> </w:t>
      </w:r>
      <w:r>
        <w:rPr>
          <w:w w:val="90"/>
          <w:sz w:val="20"/>
        </w:rPr>
        <w:t>kilometres</w:t>
      </w:r>
      <w:r>
        <w:rPr>
          <w:spacing w:val="-3"/>
          <w:w w:val="90"/>
          <w:sz w:val="20"/>
        </w:rPr>
        <w:t xml:space="preserve"> </w:t>
      </w:r>
      <w:r>
        <w:rPr>
          <w:w w:val="90"/>
          <w:sz w:val="20"/>
        </w:rPr>
        <w:t>per</w:t>
      </w:r>
      <w:r>
        <w:rPr>
          <w:spacing w:val="-3"/>
          <w:w w:val="90"/>
          <w:sz w:val="20"/>
        </w:rPr>
        <w:t xml:space="preserve"> </w:t>
      </w:r>
      <w:r>
        <w:rPr>
          <w:w w:val="90"/>
          <w:sz w:val="20"/>
        </w:rPr>
        <w:t>hour.</w:t>
      </w:r>
    </w:p>
    <w:p w:rsidR="002C1123" w:rsidRDefault="00F22F94">
      <w:pPr>
        <w:pStyle w:val="ListParagraph"/>
        <w:numPr>
          <w:ilvl w:val="1"/>
          <w:numId w:val="85"/>
        </w:numPr>
        <w:tabs>
          <w:tab w:val="left" w:pos="642"/>
        </w:tabs>
        <w:spacing w:before="100" w:line="235" w:lineRule="auto"/>
        <w:ind w:right="909"/>
        <w:rPr>
          <w:sz w:val="20"/>
        </w:rPr>
      </w:pPr>
      <w:r>
        <w:rPr>
          <w:w w:val="95"/>
          <w:sz w:val="20"/>
        </w:rPr>
        <w:t>Current</w:t>
      </w:r>
      <w:r>
        <w:rPr>
          <w:spacing w:val="-2"/>
          <w:w w:val="95"/>
          <w:sz w:val="20"/>
        </w:rPr>
        <w:t xml:space="preserve"> </w:t>
      </w:r>
      <w:r>
        <w:rPr>
          <w:w w:val="95"/>
          <w:sz w:val="20"/>
        </w:rPr>
        <w:t>infrastructure,</w:t>
      </w:r>
      <w:r>
        <w:rPr>
          <w:spacing w:val="-2"/>
          <w:w w:val="95"/>
          <w:sz w:val="20"/>
        </w:rPr>
        <w:t xml:space="preserve"> </w:t>
      </w:r>
      <w:r>
        <w:rPr>
          <w:w w:val="95"/>
          <w:sz w:val="20"/>
        </w:rPr>
        <w:t>buildings</w:t>
      </w:r>
      <w:r>
        <w:rPr>
          <w:spacing w:val="-2"/>
          <w:w w:val="95"/>
          <w:sz w:val="20"/>
        </w:rPr>
        <w:t xml:space="preserve"> </w:t>
      </w:r>
      <w:r>
        <w:rPr>
          <w:w w:val="95"/>
          <w:sz w:val="20"/>
        </w:rPr>
        <w:t>and</w:t>
      </w:r>
      <w:r>
        <w:rPr>
          <w:spacing w:val="-2"/>
          <w:w w:val="95"/>
          <w:sz w:val="20"/>
        </w:rPr>
        <w:t xml:space="preserve"> </w:t>
      </w:r>
      <w:r>
        <w:rPr>
          <w:w w:val="95"/>
          <w:sz w:val="20"/>
        </w:rPr>
        <w:t>equipment</w:t>
      </w:r>
      <w:r>
        <w:rPr>
          <w:spacing w:val="-2"/>
          <w:w w:val="95"/>
          <w:sz w:val="20"/>
        </w:rPr>
        <w:t xml:space="preserve"> </w:t>
      </w:r>
      <w:r>
        <w:rPr>
          <w:w w:val="95"/>
          <w:sz w:val="20"/>
        </w:rPr>
        <w:t xml:space="preserve">are </w:t>
      </w:r>
      <w:r>
        <w:rPr>
          <w:sz w:val="20"/>
        </w:rPr>
        <w:t>recorded</w:t>
      </w:r>
      <w:r>
        <w:rPr>
          <w:spacing w:val="-11"/>
          <w:sz w:val="20"/>
        </w:rPr>
        <w:t xml:space="preserve"> </w:t>
      </w:r>
      <w:r>
        <w:rPr>
          <w:sz w:val="20"/>
        </w:rPr>
        <w:t>at</w:t>
      </w:r>
      <w:r>
        <w:rPr>
          <w:spacing w:val="-11"/>
          <w:sz w:val="20"/>
        </w:rPr>
        <w:t xml:space="preserve"> </w:t>
      </w:r>
      <w:r>
        <w:rPr>
          <w:sz w:val="20"/>
        </w:rPr>
        <w:t>a</w:t>
      </w:r>
      <w:r>
        <w:rPr>
          <w:spacing w:val="-11"/>
          <w:sz w:val="20"/>
        </w:rPr>
        <w:t xml:space="preserve"> </w:t>
      </w:r>
      <w:r>
        <w:rPr>
          <w:sz w:val="20"/>
        </w:rPr>
        <w:t>book</w:t>
      </w:r>
      <w:r>
        <w:rPr>
          <w:spacing w:val="-11"/>
          <w:sz w:val="20"/>
        </w:rPr>
        <w:t xml:space="preserve"> </w:t>
      </w:r>
      <w:r>
        <w:rPr>
          <w:sz w:val="20"/>
        </w:rPr>
        <w:t>value</w:t>
      </w:r>
      <w:r>
        <w:rPr>
          <w:spacing w:val="-11"/>
          <w:sz w:val="20"/>
        </w:rPr>
        <w:t xml:space="preserve"> </w:t>
      </w:r>
      <w:r>
        <w:rPr>
          <w:sz w:val="20"/>
        </w:rPr>
        <w:t>of</w:t>
      </w:r>
      <w:r>
        <w:rPr>
          <w:spacing w:val="-11"/>
          <w:sz w:val="20"/>
        </w:rPr>
        <w:t xml:space="preserve"> </w:t>
      </w:r>
      <w:r>
        <w:rPr>
          <w:sz w:val="20"/>
        </w:rPr>
        <w:t>over</w:t>
      </w:r>
      <w:r>
        <w:rPr>
          <w:spacing w:val="-11"/>
          <w:sz w:val="20"/>
        </w:rPr>
        <w:t xml:space="preserve"> </w:t>
      </w:r>
      <w:r>
        <w:rPr>
          <w:sz w:val="20"/>
        </w:rPr>
        <w:t>$20</w:t>
      </w:r>
      <w:r>
        <w:rPr>
          <w:spacing w:val="-11"/>
          <w:sz w:val="20"/>
        </w:rPr>
        <w:t xml:space="preserve"> </w:t>
      </w:r>
      <w:r>
        <w:rPr>
          <w:sz w:val="20"/>
        </w:rPr>
        <w:t>billion</w:t>
      </w:r>
      <w:r>
        <w:rPr>
          <w:position w:val="7"/>
          <w:sz w:val="11"/>
        </w:rPr>
        <w:t>1</w:t>
      </w:r>
      <w:r>
        <w:rPr>
          <w:sz w:val="20"/>
        </w:rPr>
        <w:t>.</w:t>
      </w:r>
    </w:p>
    <w:p w:rsidR="002C1123" w:rsidRDefault="00F22F94">
      <w:pPr>
        <w:pStyle w:val="ListParagraph"/>
        <w:numPr>
          <w:ilvl w:val="1"/>
          <w:numId w:val="85"/>
        </w:numPr>
        <w:tabs>
          <w:tab w:val="left" w:pos="642"/>
        </w:tabs>
        <w:spacing w:before="100" w:line="235" w:lineRule="auto"/>
        <w:ind w:right="1118"/>
        <w:rPr>
          <w:sz w:val="20"/>
        </w:rPr>
      </w:pPr>
      <w:r>
        <w:rPr>
          <w:w w:val="95"/>
          <w:sz w:val="20"/>
        </w:rPr>
        <w:t>44</w:t>
      </w:r>
      <w:r>
        <w:rPr>
          <w:spacing w:val="-3"/>
          <w:w w:val="95"/>
          <w:sz w:val="20"/>
        </w:rPr>
        <w:t xml:space="preserve"> </w:t>
      </w:r>
      <w:r>
        <w:rPr>
          <w:w w:val="95"/>
          <w:sz w:val="20"/>
        </w:rPr>
        <w:t>percent</w:t>
      </w:r>
      <w:r>
        <w:rPr>
          <w:spacing w:val="-3"/>
          <w:w w:val="95"/>
          <w:sz w:val="20"/>
        </w:rPr>
        <w:t xml:space="preserve"> </w:t>
      </w:r>
      <w:r>
        <w:rPr>
          <w:w w:val="95"/>
          <w:sz w:val="20"/>
        </w:rPr>
        <w:t>of</w:t>
      </w:r>
      <w:r>
        <w:rPr>
          <w:spacing w:val="-3"/>
          <w:w w:val="95"/>
          <w:sz w:val="20"/>
        </w:rPr>
        <w:t xml:space="preserve"> </w:t>
      </w:r>
      <w:r>
        <w:rPr>
          <w:w w:val="95"/>
          <w:sz w:val="20"/>
        </w:rPr>
        <w:t>journeys</w:t>
      </w:r>
      <w:r>
        <w:rPr>
          <w:spacing w:val="-3"/>
          <w:w w:val="95"/>
          <w:sz w:val="20"/>
        </w:rPr>
        <w:t xml:space="preserve"> </w:t>
      </w:r>
      <w:r>
        <w:rPr>
          <w:w w:val="95"/>
          <w:sz w:val="20"/>
        </w:rPr>
        <w:t>to</w:t>
      </w:r>
      <w:r>
        <w:rPr>
          <w:spacing w:val="-3"/>
          <w:w w:val="95"/>
          <w:sz w:val="20"/>
        </w:rPr>
        <w:t xml:space="preserve"> </w:t>
      </w:r>
      <w:r>
        <w:rPr>
          <w:w w:val="95"/>
          <w:sz w:val="20"/>
        </w:rPr>
        <w:t>work</w:t>
      </w:r>
      <w:r>
        <w:rPr>
          <w:spacing w:val="-3"/>
          <w:w w:val="95"/>
          <w:sz w:val="20"/>
        </w:rPr>
        <w:t xml:space="preserve"> </w:t>
      </w:r>
      <w:r>
        <w:rPr>
          <w:w w:val="95"/>
          <w:sz w:val="20"/>
        </w:rPr>
        <w:t>in</w:t>
      </w:r>
      <w:r>
        <w:rPr>
          <w:spacing w:val="-3"/>
          <w:w w:val="95"/>
          <w:sz w:val="20"/>
        </w:rPr>
        <w:t xml:space="preserve"> </w:t>
      </w:r>
      <w:r>
        <w:rPr>
          <w:w w:val="95"/>
          <w:sz w:val="20"/>
        </w:rPr>
        <w:t>the</w:t>
      </w:r>
      <w:r>
        <w:rPr>
          <w:spacing w:val="-3"/>
          <w:w w:val="95"/>
          <w:sz w:val="20"/>
        </w:rPr>
        <w:t xml:space="preserve"> </w:t>
      </w:r>
      <w:r>
        <w:rPr>
          <w:w w:val="95"/>
          <w:sz w:val="20"/>
        </w:rPr>
        <w:t>CBD</w:t>
      </w:r>
      <w:r>
        <w:rPr>
          <w:spacing w:val="-3"/>
          <w:w w:val="95"/>
          <w:sz w:val="20"/>
        </w:rPr>
        <w:t xml:space="preserve"> </w:t>
      </w:r>
      <w:r>
        <w:rPr>
          <w:w w:val="95"/>
          <w:sz w:val="20"/>
        </w:rPr>
        <w:t>are</w:t>
      </w:r>
      <w:r>
        <w:rPr>
          <w:spacing w:val="-3"/>
          <w:w w:val="95"/>
          <w:sz w:val="20"/>
        </w:rPr>
        <w:t xml:space="preserve"> </w:t>
      </w:r>
      <w:r>
        <w:rPr>
          <w:w w:val="95"/>
          <w:sz w:val="20"/>
        </w:rPr>
        <w:t xml:space="preserve">by </w:t>
      </w:r>
      <w:r>
        <w:rPr>
          <w:spacing w:val="-2"/>
          <w:w w:val="95"/>
          <w:sz w:val="20"/>
        </w:rPr>
        <w:t>rail</w:t>
      </w:r>
      <w:r>
        <w:rPr>
          <w:spacing w:val="-6"/>
          <w:w w:val="95"/>
          <w:sz w:val="20"/>
        </w:rPr>
        <w:t xml:space="preserve"> </w:t>
      </w:r>
      <w:r>
        <w:rPr>
          <w:spacing w:val="-2"/>
          <w:w w:val="95"/>
          <w:sz w:val="20"/>
        </w:rPr>
        <w:t>(refer</w:t>
      </w:r>
      <w:r>
        <w:rPr>
          <w:spacing w:val="-6"/>
          <w:w w:val="95"/>
          <w:sz w:val="20"/>
        </w:rPr>
        <w:t xml:space="preserve"> </w:t>
      </w:r>
      <w:r>
        <w:rPr>
          <w:spacing w:val="-2"/>
          <w:w w:val="95"/>
          <w:sz w:val="20"/>
        </w:rPr>
        <w:t>Section</w:t>
      </w:r>
      <w:r>
        <w:rPr>
          <w:spacing w:val="-6"/>
          <w:w w:val="95"/>
          <w:sz w:val="20"/>
        </w:rPr>
        <w:t xml:space="preserve"> </w:t>
      </w:r>
      <w:r>
        <w:rPr>
          <w:spacing w:val="-2"/>
          <w:w w:val="95"/>
          <w:sz w:val="20"/>
        </w:rPr>
        <w:t>3).</w:t>
      </w:r>
      <w:r>
        <w:rPr>
          <w:spacing w:val="-6"/>
          <w:w w:val="95"/>
          <w:sz w:val="20"/>
        </w:rPr>
        <w:t xml:space="preserve"> </w:t>
      </w:r>
      <w:r>
        <w:rPr>
          <w:spacing w:val="-2"/>
          <w:w w:val="95"/>
          <w:sz w:val="20"/>
        </w:rPr>
        <w:t>However,</w:t>
      </w:r>
      <w:r>
        <w:rPr>
          <w:spacing w:val="-6"/>
          <w:w w:val="95"/>
          <w:sz w:val="20"/>
        </w:rPr>
        <w:t xml:space="preserve"> </w:t>
      </w:r>
      <w:r>
        <w:rPr>
          <w:spacing w:val="-2"/>
          <w:w w:val="95"/>
          <w:sz w:val="20"/>
        </w:rPr>
        <w:t>rail</w:t>
      </w:r>
      <w:r>
        <w:rPr>
          <w:spacing w:val="-6"/>
          <w:w w:val="95"/>
          <w:sz w:val="20"/>
        </w:rPr>
        <w:t xml:space="preserve"> </w:t>
      </w:r>
      <w:r>
        <w:rPr>
          <w:spacing w:val="-2"/>
          <w:w w:val="95"/>
          <w:sz w:val="20"/>
        </w:rPr>
        <w:t>comprises</w:t>
      </w:r>
      <w:r>
        <w:rPr>
          <w:spacing w:val="-6"/>
          <w:w w:val="95"/>
          <w:sz w:val="20"/>
        </w:rPr>
        <w:t xml:space="preserve"> </w:t>
      </w:r>
      <w:r>
        <w:rPr>
          <w:spacing w:val="-2"/>
          <w:w w:val="95"/>
          <w:sz w:val="20"/>
        </w:rPr>
        <w:t>only</w:t>
      </w:r>
    </w:p>
    <w:p w:rsidR="002C1123" w:rsidRDefault="00F22F94">
      <w:pPr>
        <w:pStyle w:val="BodyText"/>
        <w:spacing w:line="225" w:lineRule="exact"/>
        <w:ind w:left="641"/>
      </w:pPr>
      <w:r>
        <w:rPr>
          <w:w w:val="95"/>
        </w:rPr>
        <w:t>5.3</w:t>
      </w:r>
      <w:r>
        <w:rPr>
          <w:spacing w:val="-10"/>
          <w:w w:val="95"/>
        </w:rPr>
        <w:t xml:space="preserve"> </w:t>
      </w:r>
      <w:r>
        <w:rPr>
          <w:w w:val="95"/>
        </w:rPr>
        <w:t>per</w:t>
      </w:r>
      <w:r>
        <w:rPr>
          <w:spacing w:val="-10"/>
          <w:w w:val="95"/>
        </w:rPr>
        <w:t xml:space="preserve"> </w:t>
      </w:r>
      <w:r>
        <w:rPr>
          <w:w w:val="95"/>
        </w:rPr>
        <w:t>cent</w:t>
      </w:r>
      <w:r>
        <w:rPr>
          <w:spacing w:val="-10"/>
          <w:w w:val="95"/>
        </w:rPr>
        <w:t xml:space="preserve"> </w:t>
      </w:r>
      <w:r>
        <w:rPr>
          <w:w w:val="95"/>
        </w:rPr>
        <w:t>of</w:t>
      </w:r>
      <w:r>
        <w:rPr>
          <w:spacing w:val="-9"/>
          <w:w w:val="95"/>
        </w:rPr>
        <w:t xml:space="preserve"> </w:t>
      </w:r>
      <w:r>
        <w:rPr>
          <w:w w:val="95"/>
        </w:rPr>
        <w:t>all</w:t>
      </w:r>
      <w:r>
        <w:rPr>
          <w:spacing w:val="-10"/>
          <w:w w:val="95"/>
        </w:rPr>
        <w:t xml:space="preserve"> </w:t>
      </w:r>
      <w:r>
        <w:rPr>
          <w:w w:val="95"/>
        </w:rPr>
        <w:t>journeys</w:t>
      </w:r>
      <w:r>
        <w:rPr>
          <w:spacing w:val="-10"/>
          <w:w w:val="95"/>
        </w:rPr>
        <w:t xml:space="preserve"> </w:t>
      </w:r>
      <w:r>
        <w:rPr>
          <w:w w:val="95"/>
        </w:rPr>
        <w:t>in</w:t>
      </w:r>
      <w:r>
        <w:rPr>
          <w:spacing w:val="-9"/>
          <w:w w:val="95"/>
        </w:rPr>
        <w:t xml:space="preserve"> </w:t>
      </w:r>
      <w:r>
        <w:rPr>
          <w:w w:val="95"/>
        </w:rPr>
        <w:t>the</w:t>
      </w:r>
      <w:r>
        <w:rPr>
          <w:spacing w:val="-10"/>
          <w:w w:val="95"/>
        </w:rPr>
        <w:t xml:space="preserve"> </w:t>
      </w:r>
      <w:r>
        <w:rPr>
          <w:w w:val="95"/>
        </w:rPr>
        <w:t>Sydney</w:t>
      </w:r>
      <w:r>
        <w:rPr>
          <w:spacing w:val="-10"/>
          <w:w w:val="95"/>
        </w:rPr>
        <w:t xml:space="preserve"> </w:t>
      </w:r>
      <w:r>
        <w:rPr>
          <w:spacing w:val="-2"/>
          <w:w w:val="95"/>
        </w:rPr>
        <w:t>region</w:t>
      </w:r>
      <w:r>
        <w:rPr>
          <w:spacing w:val="-2"/>
          <w:w w:val="95"/>
          <w:position w:val="7"/>
          <w:sz w:val="11"/>
        </w:rPr>
        <w:t>2</w:t>
      </w:r>
      <w:r>
        <w:rPr>
          <w:spacing w:val="-2"/>
          <w:w w:val="95"/>
        </w:rPr>
        <w:t>.</w:t>
      </w:r>
    </w:p>
    <w:p w:rsidR="002C1123" w:rsidRDefault="00F22F94">
      <w:pPr>
        <w:pStyle w:val="ListParagraph"/>
        <w:numPr>
          <w:ilvl w:val="1"/>
          <w:numId w:val="85"/>
        </w:numPr>
        <w:tabs>
          <w:tab w:val="left" w:pos="642"/>
        </w:tabs>
        <w:spacing w:before="100" w:line="235" w:lineRule="auto"/>
        <w:ind w:right="1134"/>
        <w:rPr>
          <w:sz w:val="20"/>
        </w:rPr>
      </w:pPr>
      <w:r>
        <w:rPr>
          <w:spacing w:val="-2"/>
          <w:sz w:val="20"/>
        </w:rPr>
        <w:t>Over</w:t>
      </w:r>
      <w:r>
        <w:rPr>
          <w:spacing w:val="-10"/>
          <w:sz w:val="20"/>
        </w:rPr>
        <w:t xml:space="preserve"> </w:t>
      </w:r>
      <w:r>
        <w:rPr>
          <w:spacing w:val="-2"/>
          <w:sz w:val="20"/>
        </w:rPr>
        <w:t>the</w:t>
      </w:r>
      <w:r>
        <w:rPr>
          <w:spacing w:val="-10"/>
          <w:sz w:val="20"/>
        </w:rPr>
        <w:t xml:space="preserve"> </w:t>
      </w:r>
      <w:r>
        <w:rPr>
          <w:spacing w:val="-2"/>
          <w:sz w:val="20"/>
        </w:rPr>
        <w:t>past</w:t>
      </w:r>
      <w:r>
        <w:rPr>
          <w:spacing w:val="-10"/>
          <w:sz w:val="20"/>
        </w:rPr>
        <w:t xml:space="preserve"> </w:t>
      </w:r>
      <w:r>
        <w:rPr>
          <w:spacing w:val="-2"/>
          <w:sz w:val="20"/>
        </w:rPr>
        <w:t>20</w:t>
      </w:r>
      <w:r>
        <w:rPr>
          <w:spacing w:val="-10"/>
          <w:sz w:val="20"/>
        </w:rPr>
        <w:t xml:space="preserve"> </w:t>
      </w:r>
      <w:r>
        <w:rPr>
          <w:spacing w:val="-2"/>
          <w:sz w:val="20"/>
        </w:rPr>
        <w:t>years,</w:t>
      </w:r>
      <w:r>
        <w:rPr>
          <w:spacing w:val="-10"/>
          <w:sz w:val="20"/>
        </w:rPr>
        <w:t xml:space="preserve"> </w:t>
      </w:r>
      <w:r>
        <w:rPr>
          <w:spacing w:val="-2"/>
          <w:sz w:val="20"/>
        </w:rPr>
        <w:t>rail</w:t>
      </w:r>
      <w:r>
        <w:rPr>
          <w:spacing w:val="-10"/>
          <w:sz w:val="20"/>
        </w:rPr>
        <w:t xml:space="preserve"> </w:t>
      </w:r>
      <w:r>
        <w:rPr>
          <w:spacing w:val="-2"/>
          <w:sz w:val="20"/>
        </w:rPr>
        <w:t>demand</w:t>
      </w:r>
      <w:r>
        <w:rPr>
          <w:spacing w:val="-10"/>
          <w:sz w:val="20"/>
        </w:rPr>
        <w:t xml:space="preserve"> </w:t>
      </w:r>
      <w:r>
        <w:rPr>
          <w:spacing w:val="-2"/>
          <w:sz w:val="20"/>
        </w:rPr>
        <w:t>in</w:t>
      </w:r>
      <w:r>
        <w:rPr>
          <w:spacing w:val="-10"/>
          <w:sz w:val="20"/>
        </w:rPr>
        <w:t xml:space="preserve"> </w:t>
      </w:r>
      <w:r>
        <w:rPr>
          <w:spacing w:val="-2"/>
          <w:sz w:val="20"/>
        </w:rPr>
        <w:t xml:space="preserve">Sydney </w:t>
      </w:r>
      <w:r>
        <w:rPr>
          <w:w w:val="95"/>
          <w:sz w:val="20"/>
        </w:rPr>
        <w:t>has</w:t>
      </w:r>
      <w:r>
        <w:rPr>
          <w:spacing w:val="-8"/>
          <w:w w:val="95"/>
          <w:sz w:val="20"/>
        </w:rPr>
        <w:t xml:space="preserve"> </w:t>
      </w:r>
      <w:r>
        <w:rPr>
          <w:w w:val="95"/>
          <w:sz w:val="20"/>
        </w:rPr>
        <w:t>grown</w:t>
      </w:r>
      <w:r>
        <w:rPr>
          <w:spacing w:val="-8"/>
          <w:w w:val="95"/>
          <w:sz w:val="20"/>
        </w:rPr>
        <w:t xml:space="preserve"> </w:t>
      </w:r>
      <w:r>
        <w:rPr>
          <w:w w:val="95"/>
          <w:sz w:val="20"/>
        </w:rPr>
        <w:t>at</w:t>
      </w:r>
      <w:r>
        <w:rPr>
          <w:spacing w:val="-8"/>
          <w:w w:val="95"/>
          <w:sz w:val="20"/>
        </w:rPr>
        <w:t xml:space="preserve"> </w:t>
      </w:r>
      <w:r>
        <w:rPr>
          <w:w w:val="95"/>
          <w:sz w:val="20"/>
        </w:rPr>
        <w:t>a</w:t>
      </w:r>
      <w:r>
        <w:rPr>
          <w:spacing w:val="-8"/>
          <w:w w:val="95"/>
          <w:sz w:val="20"/>
        </w:rPr>
        <w:t xml:space="preserve"> </w:t>
      </w:r>
      <w:r>
        <w:rPr>
          <w:w w:val="95"/>
          <w:sz w:val="20"/>
        </w:rPr>
        <w:t>little</w:t>
      </w:r>
      <w:r>
        <w:rPr>
          <w:spacing w:val="-8"/>
          <w:w w:val="95"/>
          <w:sz w:val="20"/>
        </w:rPr>
        <w:t xml:space="preserve"> </w:t>
      </w:r>
      <w:r>
        <w:rPr>
          <w:w w:val="95"/>
          <w:sz w:val="20"/>
        </w:rPr>
        <w:t>over</w:t>
      </w:r>
      <w:r>
        <w:rPr>
          <w:spacing w:val="-8"/>
          <w:w w:val="95"/>
          <w:sz w:val="20"/>
        </w:rPr>
        <w:t xml:space="preserve"> </w:t>
      </w:r>
      <w:r>
        <w:rPr>
          <w:w w:val="95"/>
          <w:sz w:val="20"/>
        </w:rPr>
        <w:t>one</w:t>
      </w:r>
      <w:r>
        <w:rPr>
          <w:spacing w:val="-8"/>
          <w:w w:val="95"/>
          <w:sz w:val="20"/>
        </w:rPr>
        <w:t xml:space="preserve"> </w:t>
      </w:r>
      <w:r>
        <w:rPr>
          <w:w w:val="95"/>
          <w:sz w:val="20"/>
        </w:rPr>
        <w:t>percent</w:t>
      </w:r>
      <w:r>
        <w:rPr>
          <w:spacing w:val="-8"/>
          <w:w w:val="95"/>
          <w:sz w:val="20"/>
        </w:rPr>
        <w:t xml:space="preserve"> </w:t>
      </w:r>
      <w:r>
        <w:rPr>
          <w:w w:val="95"/>
          <w:sz w:val="20"/>
        </w:rPr>
        <w:t>per</w:t>
      </w:r>
      <w:r>
        <w:rPr>
          <w:spacing w:val="-8"/>
          <w:w w:val="95"/>
          <w:sz w:val="20"/>
        </w:rPr>
        <w:t xml:space="preserve"> </w:t>
      </w:r>
      <w:r>
        <w:rPr>
          <w:w w:val="95"/>
          <w:sz w:val="20"/>
        </w:rPr>
        <w:t xml:space="preserve">annum, </w:t>
      </w:r>
      <w:r>
        <w:rPr>
          <w:sz w:val="20"/>
        </w:rPr>
        <w:t>effectively</w:t>
      </w:r>
      <w:r>
        <w:rPr>
          <w:spacing w:val="-14"/>
          <w:sz w:val="20"/>
        </w:rPr>
        <w:t xml:space="preserve"> </w:t>
      </w:r>
      <w:r>
        <w:rPr>
          <w:sz w:val="20"/>
        </w:rPr>
        <w:t>tracking</w:t>
      </w:r>
      <w:r>
        <w:rPr>
          <w:spacing w:val="-14"/>
          <w:sz w:val="20"/>
        </w:rPr>
        <w:t xml:space="preserve"> </w:t>
      </w:r>
      <w:r>
        <w:rPr>
          <w:sz w:val="20"/>
        </w:rPr>
        <w:t>general</w:t>
      </w:r>
      <w:r>
        <w:rPr>
          <w:spacing w:val="-14"/>
          <w:sz w:val="20"/>
        </w:rPr>
        <w:t xml:space="preserve"> </w:t>
      </w:r>
      <w:r>
        <w:rPr>
          <w:sz w:val="20"/>
        </w:rPr>
        <w:t>population</w:t>
      </w:r>
      <w:r>
        <w:rPr>
          <w:spacing w:val="-14"/>
          <w:sz w:val="20"/>
        </w:rPr>
        <w:t xml:space="preserve"> </w:t>
      </w:r>
      <w:r>
        <w:rPr>
          <w:sz w:val="20"/>
        </w:rPr>
        <w:t xml:space="preserve">growth. </w:t>
      </w:r>
      <w:r>
        <w:rPr>
          <w:w w:val="95"/>
          <w:sz w:val="20"/>
        </w:rPr>
        <w:t>By</w:t>
      </w:r>
      <w:r>
        <w:rPr>
          <w:spacing w:val="-11"/>
          <w:w w:val="95"/>
          <w:sz w:val="20"/>
        </w:rPr>
        <w:t xml:space="preserve"> </w:t>
      </w:r>
      <w:r>
        <w:rPr>
          <w:w w:val="95"/>
          <w:sz w:val="20"/>
        </w:rPr>
        <w:t>comparison,</w:t>
      </w:r>
      <w:r>
        <w:rPr>
          <w:spacing w:val="-11"/>
          <w:w w:val="95"/>
          <w:sz w:val="20"/>
        </w:rPr>
        <w:t xml:space="preserve"> </w:t>
      </w:r>
      <w:r>
        <w:rPr>
          <w:w w:val="95"/>
          <w:sz w:val="20"/>
        </w:rPr>
        <w:t>rail</w:t>
      </w:r>
      <w:r>
        <w:rPr>
          <w:spacing w:val="-11"/>
          <w:w w:val="95"/>
          <w:sz w:val="20"/>
        </w:rPr>
        <w:t xml:space="preserve"> </w:t>
      </w:r>
      <w:r>
        <w:rPr>
          <w:w w:val="95"/>
          <w:sz w:val="20"/>
        </w:rPr>
        <w:t>patronage</w:t>
      </w:r>
      <w:r>
        <w:rPr>
          <w:spacing w:val="-11"/>
          <w:w w:val="95"/>
          <w:sz w:val="20"/>
        </w:rPr>
        <w:t xml:space="preserve"> </w:t>
      </w:r>
      <w:r>
        <w:rPr>
          <w:w w:val="95"/>
          <w:sz w:val="20"/>
        </w:rPr>
        <w:t>has</w:t>
      </w:r>
      <w:r>
        <w:rPr>
          <w:spacing w:val="-11"/>
          <w:w w:val="95"/>
          <w:sz w:val="20"/>
        </w:rPr>
        <w:t xml:space="preserve"> </w:t>
      </w:r>
      <w:r>
        <w:rPr>
          <w:w w:val="95"/>
          <w:sz w:val="20"/>
        </w:rPr>
        <w:t>grown</w:t>
      </w:r>
      <w:r>
        <w:rPr>
          <w:spacing w:val="-11"/>
          <w:w w:val="95"/>
          <w:sz w:val="20"/>
        </w:rPr>
        <w:t xml:space="preserve"> </w:t>
      </w:r>
      <w:r>
        <w:rPr>
          <w:w w:val="95"/>
          <w:sz w:val="20"/>
        </w:rPr>
        <w:t>by</w:t>
      </w:r>
      <w:r>
        <w:rPr>
          <w:spacing w:val="-11"/>
          <w:w w:val="95"/>
          <w:sz w:val="20"/>
        </w:rPr>
        <w:t xml:space="preserve"> </w:t>
      </w:r>
      <w:r>
        <w:rPr>
          <w:w w:val="95"/>
          <w:sz w:val="20"/>
        </w:rPr>
        <w:t xml:space="preserve">over </w:t>
      </w:r>
      <w:r>
        <w:rPr>
          <w:sz w:val="20"/>
        </w:rPr>
        <w:t>five</w:t>
      </w:r>
      <w:r>
        <w:rPr>
          <w:spacing w:val="-14"/>
          <w:sz w:val="20"/>
        </w:rPr>
        <w:t xml:space="preserve"> </w:t>
      </w:r>
      <w:r>
        <w:rPr>
          <w:sz w:val="20"/>
        </w:rPr>
        <w:t>percent</w:t>
      </w:r>
      <w:r>
        <w:rPr>
          <w:spacing w:val="-14"/>
          <w:sz w:val="20"/>
        </w:rPr>
        <w:t xml:space="preserve"> </w:t>
      </w:r>
      <w:r>
        <w:rPr>
          <w:sz w:val="20"/>
        </w:rPr>
        <w:t>per</w:t>
      </w:r>
      <w:r>
        <w:rPr>
          <w:spacing w:val="-14"/>
          <w:sz w:val="20"/>
        </w:rPr>
        <w:t xml:space="preserve"> </w:t>
      </w:r>
      <w:r>
        <w:rPr>
          <w:sz w:val="20"/>
        </w:rPr>
        <w:t>annum</w:t>
      </w:r>
      <w:r>
        <w:rPr>
          <w:spacing w:val="-14"/>
          <w:sz w:val="20"/>
        </w:rPr>
        <w:t xml:space="preserve"> </w:t>
      </w:r>
      <w:r>
        <w:rPr>
          <w:sz w:val="20"/>
        </w:rPr>
        <w:t>in</w:t>
      </w:r>
      <w:r>
        <w:rPr>
          <w:spacing w:val="-14"/>
          <w:sz w:val="20"/>
        </w:rPr>
        <w:t xml:space="preserve"> </w:t>
      </w:r>
      <w:r>
        <w:rPr>
          <w:sz w:val="20"/>
        </w:rPr>
        <w:t>Melbourne</w:t>
      </w:r>
      <w:r>
        <w:rPr>
          <w:spacing w:val="-14"/>
          <w:sz w:val="20"/>
        </w:rPr>
        <w:t xml:space="preserve"> </w:t>
      </w:r>
      <w:r>
        <w:rPr>
          <w:sz w:val="20"/>
        </w:rPr>
        <w:t>and</w:t>
      </w:r>
      <w:r>
        <w:rPr>
          <w:spacing w:val="-14"/>
          <w:sz w:val="20"/>
        </w:rPr>
        <w:t xml:space="preserve"> </w:t>
      </w:r>
      <w:r>
        <w:rPr>
          <w:sz w:val="20"/>
        </w:rPr>
        <w:t>four</w:t>
      </w:r>
    </w:p>
    <w:p w:rsidR="002C1123" w:rsidRDefault="00F22F94">
      <w:pPr>
        <w:pStyle w:val="BodyText"/>
        <w:spacing w:line="224" w:lineRule="exact"/>
        <w:ind w:left="641"/>
      </w:pPr>
      <w:r>
        <w:rPr>
          <w:w w:val="95"/>
        </w:rPr>
        <w:t>percent</w:t>
      </w:r>
      <w:r>
        <w:rPr>
          <w:spacing w:val="-10"/>
          <w:w w:val="95"/>
        </w:rPr>
        <w:t xml:space="preserve"> </w:t>
      </w:r>
      <w:r>
        <w:rPr>
          <w:w w:val="95"/>
        </w:rPr>
        <w:t>per</w:t>
      </w:r>
      <w:r>
        <w:rPr>
          <w:spacing w:val="-9"/>
          <w:w w:val="95"/>
        </w:rPr>
        <w:t xml:space="preserve"> </w:t>
      </w:r>
      <w:r>
        <w:rPr>
          <w:w w:val="95"/>
        </w:rPr>
        <w:t>annum</w:t>
      </w:r>
      <w:r>
        <w:rPr>
          <w:spacing w:val="-9"/>
          <w:w w:val="95"/>
        </w:rPr>
        <w:t xml:space="preserve"> </w:t>
      </w:r>
      <w:r>
        <w:rPr>
          <w:w w:val="95"/>
        </w:rPr>
        <w:t>in</w:t>
      </w:r>
      <w:r>
        <w:rPr>
          <w:spacing w:val="-9"/>
          <w:w w:val="95"/>
        </w:rPr>
        <w:t xml:space="preserve"> </w:t>
      </w:r>
      <w:r>
        <w:rPr>
          <w:w w:val="95"/>
        </w:rPr>
        <w:t>London</w:t>
      </w:r>
      <w:r>
        <w:rPr>
          <w:spacing w:val="-10"/>
          <w:w w:val="95"/>
        </w:rPr>
        <w:t xml:space="preserve"> </w:t>
      </w:r>
      <w:r>
        <w:rPr>
          <w:w w:val="95"/>
        </w:rPr>
        <w:t>over</w:t>
      </w:r>
      <w:r>
        <w:rPr>
          <w:spacing w:val="-9"/>
          <w:w w:val="95"/>
        </w:rPr>
        <w:t xml:space="preserve"> </w:t>
      </w:r>
      <w:r>
        <w:rPr>
          <w:w w:val="95"/>
        </w:rPr>
        <w:t>the</w:t>
      </w:r>
      <w:r>
        <w:rPr>
          <w:spacing w:val="-9"/>
          <w:w w:val="95"/>
        </w:rPr>
        <w:t xml:space="preserve"> </w:t>
      </w:r>
      <w:r>
        <w:rPr>
          <w:w w:val="95"/>
        </w:rPr>
        <w:t>same</w:t>
      </w:r>
      <w:r>
        <w:rPr>
          <w:spacing w:val="-9"/>
          <w:w w:val="95"/>
        </w:rPr>
        <w:t xml:space="preserve"> </w:t>
      </w:r>
      <w:r>
        <w:rPr>
          <w:spacing w:val="-2"/>
          <w:w w:val="95"/>
        </w:rPr>
        <w:t>period.</w:t>
      </w:r>
    </w:p>
    <w:p w:rsidR="002C1123" w:rsidRDefault="00F22F94">
      <w:pPr>
        <w:pStyle w:val="ListParagraph"/>
        <w:numPr>
          <w:ilvl w:val="1"/>
          <w:numId w:val="85"/>
        </w:numPr>
        <w:tabs>
          <w:tab w:val="left" w:pos="642"/>
        </w:tabs>
        <w:spacing w:before="100" w:line="235" w:lineRule="auto"/>
        <w:ind w:right="1302"/>
        <w:rPr>
          <w:sz w:val="20"/>
        </w:rPr>
      </w:pPr>
      <w:r>
        <w:rPr>
          <w:w w:val="95"/>
          <w:sz w:val="20"/>
        </w:rPr>
        <w:t>Demand</w:t>
      </w:r>
      <w:r>
        <w:rPr>
          <w:spacing w:val="-9"/>
          <w:w w:val="95"/>
          <w:sz w:val="20"/>
        </w:rPr>
        <w:t xml:space="preserve"> </w:t>
      </w:r>
      <w:r>
        <w:rPr>
          <w:w w:val="95"/>
          <w:sz w:val="20"/>
        </w:rPr>
        <w:t>for</w:t>
      </w:r>
      <w:r>
        <w:rPr>
          <w:spacing w:val="-9"/>
          <w:w w:val="95"/>
          <w:sz w:val="20"/>
        </w:rPr>
        <w:t xml:space="preserve"> </w:t>
      </w:r>
      <w:r>
        <w:rPr>
          <w:w w:val="95"/>
          <w:sz w:val="20"/>
        </w:rPr>
        <w:t>rail</w:t>
      </w:r>
      <w:r>
        <w:rPr>
          <w:spacing w:val="-9"/>
          <w:w w:val="95"/>
          <w:sz w:val="20"/>
        </w:rPr>
        <w:t xml:space="preserve"> </w:t>
      </w:r>
      <w:r>
        <w:rPr>
          <w:w w:val="95"/>
          <w:sz w:val="20"/>
        </w:rPr>
        <w:t>services</w:t>
      </w:r>
      <w:r>
        <w:rPr>
          <w:spacing w:val="-9"/>
          <w:w w:val="95"/>
          <w:sz w:val="20"/>
        </w:rPr>
        <w:t xml:space="preserve"> </w:t>
      </w:r>
      <w:r>
        <w:rPr>
          <w:w w:val="95"/>
          <w:sz w:val="20"/>
        </w:rPr>
        <w:t>is</w:t>
      </w:r>
      <w:r>
        <w:rPr>
          <w:spacing w:val="-9"/>
          <w:w w:val="95"/>
          <w:sz w:val="20"/>
        </w:rPr>
        <w:t xml:space="preserve"> </w:t>
      </w:r>
      <w:r>
        <w:rPr>
          <w:w w:val="95"/>
          <w:sz w:val="20"/>
        </w:rPr>
        <w:t>forecast</w:t>
      </w:r>
      <w:r>
        <w:rPr>
          <w:spacing w:val="-9"/>
          <w:w w:val="95"/>
          <w:sz w:val="20"/>
        </w:rPr>
        <w:t xml:space="preserve"> </w:t>
      </w:r>
      <w:r>
        <w:rPr>
          <w:w w:val="95"/>
          <w:sz w:val="20"/>
        </w:rPr>
        <w:t>to</w:t>
      </w:r>
      <w:r>
        <w:rPr>
          <w:spacing w:val="-9"/>
          <w:w w:val="95"/>
          <w:sz w:val="20"/>
        </w:rPr>
        <w:t xml:space="preserve"> </w:t>
      </w:r>
      <w:r>
        <w:rPr>
          <w:w w:val="95"/>
          <w:sz w:val="20"/>
        </w:rPr>
        <w:t xml:space="preserve">increase </w:t>
      </w:r>
      <w:r>
        <w:rPr>
          <w:sz w:val="20"/>
        </w:rPr>
        <w:t>37</w:t>
      </w:r>
      <w:r>
        <w:rPr>
          <w:spacing w:val="-3"/>
          <w:sz w:val="20"/>
        </w:rPr>
        <w:t xml:space="preserve"> </w:t>
      </w:r>
      <w:r>
        <w:rPr>
          <w:sz w:val="20"/>
        </w:rPr>
        <w:t>per</w:t>
      </w:r>
      <w:r>
        <w:rPr>
          <w:spacing w:val="-3"/>
          <w:sz w:val="20"/>
        </w:rPr>
        <w:t xml:space="preserve"> </w:t>
      </w:r>
      <w:r>
        <w:rPr>
          <w:sz w:val="20"/>
        </w:rPr>
        <w:t>cent</w:t>
      </w:r>
      <w:r>
        <w:rPr>
          <w:spacing w:val="-3"/>
          <w:sz w:val="20"/>
        </w:rPr>
        <w:t xml:space="preserve"> </w:t>
      </w:r>
      <w:r>
        <w:rPr>
          <w:sz w:val="20"/>
        </w:rPr>
        <w:t>over</w:t>
      </w:r>
      <w:r>
        <w:rPr>
          <w:spacing w:val="-3"/>
          <w:sz w:val="20"/>
        </w:rPr>
        <w:t xml:space="preserve"> </w:t>
      </w:r>
      <w:r>
        <w:rPr>
          <w:sz w:val="20"/>
        </w:rPr>
        <w:t>the</w:t>
      </w:r>
      <w:r>
        <w:rPr>
          <w:spacing w:val="-3"/>
          <w:sz w:val="20"/>
        </w:rPr>
        <w:t xml:space="preserve"> </w:t>
      </w:r>
      <w:r>
        <w:rPr>
          <w:sz w:val="20"/>
        </w:rPr>
        <w:t>next</w:t>
      </w:r>
      <w:r>
        <w:rPr>
          <w:spacing w:val="-3"/>
          <w:sz w:val="20"/>
        </w:rPr>
        <w:t xml:space="preserve"> </w:t>
      </w:r>
      <w:r>
        <w:rPr>
          <w:sz w:val="20"/>
        </w:rPr>
        <w:t>20</w:t>
      </w:r>
      <w:r>
        <w:rPr>
          <w:spacing w:val="-3"/>
          <w:sz w:val="20"/>
        </w:rPr>
        <w:t xml:space="preserve"> </w:t>
      </w:r>
      <w:r>
        <w:rPr>
          <w:sz w:val="20"/>
        </w:rPr>
        <w:t>years</w:t>
      </w:r>
      <w:r>
        <w:rPr>
          <w:position w:val="7"/>
          <w:sz w:val="11"/>
        </w:rPr>
        <w:t>3</w:t>
      </w:r>
      <w:r>
        <w:rPr>
          <w:sz w:val="20"/>
        </w:rPr>
        <w:t>.</w:t>
      </w:r>
    </w:p>
    <w:p w:rsidR="002C1123" w:rsidRDefault="00F22F94">
      <w:pPr>
        <w:pStyle w:val="ListParagraph"/>
        <w:numPr>
          <w:ilvl w:val="1"/>
          <w:numId w:val="85"/>
        </w:numPr>
        <w:tabs>
          <w:tab w:val="left" w:pos="642"/>
        </w:tabs>
        <w:spacing w:before="100" w:line="235" w:lineRule="auto"/>
        <w:ind w:right="947"/>
        <w:rPr>
          <w:sz w:val="20"/>
        </w:rPr>
      </w:pPr>
      <w:r>
        <w:rPr>
          <w:w w:val="95"/>
          <w:sz w:val="20"/>
        </w:rPr>
        <w:t>The</w:t>
      </w:r>
      <w:r>
        <w:rPr>
          <w:spacing w:val="-6"/>
          <w:w w:val="95"/>
          <w:sz w:val="20"/>
        </w:rPr>
        <w:t xml:space="preserve"> </w:t>
      </w:r>
      <w:r>
        <w:rPr>
          <w:w w:val="95"/>
          <w:sz w:val="20"/>
        </w:rPr>
        <w:t>condition</w:t>
      </w:r>
      <w:r>
        <w:rPr>
          <w:spacing w:val="-6"/>
          <w:w w:val="95"/>
          <w:sz w:val="20"/>
        </w:rPr>
        <w:t xml:space="preserve"> </w:t>
      </w:r>
      <w:r>
        <w:rPr>
          <w:w w:val="95"/>
          <w:sz w:val="20"/>
        </w:rPr>
        <w:t>of</w:t>
      </w:r>
      <w:r>
        <w:rPr>
          <w:spacing w:val="-6"/>
          <w:w w:val="95"/>
          <w:sz w:val="20"/>
        </w:rPr>
        <w:t xml:space="preserve"> </w:t>
      </w:r>
      <w:r>
        <w:rPr>
          <w:w w:val="95"/>
          <w:sz w:val="20"/>
        </w:rPr>
        <w:t>RailCorp’s</w:t>
      </w:r>
      <w:r>
        <w:rPr>
          <w:spacing w:val="-6"/>
          <w:w w:val="95"/>
          <w:sz w:val="20"/>
        </w:rPr>
        <w:t xml:space="preserve"> </w:t>
      </w:r>
      <w:r>
        <w:rPr>
          <w:w w:val="95"/>
          <w:sz w:val="20"/>
        </w:rPr>
        <w:t>infrastructure</w:t>
      </w:r>
      <w:r>
        <w:rPr>
          <w:spacing w:val="-6"/>
          <w:w w:val="95"/>
          <w:sz w:val="20"/>
        </w:rPr>
        <w:t xml:space="preserve"> </w:t>
      </w:r>
      <w:r>
        <w:rPr>
          <w:w w:val="95"/>
          <w:sz w:val="20"/>
        </w:rPr>
        <w:t>has</w:t>
      </w:r>
      <w:r>
        <w:rPr>
          <w:spacing w:val="-6"/>
          <w:w w:val="95"/>
          <w:sz w:val="20"/>
        </w:rPr>
        <w:t xml:space="preserve"> </w:t>
      </w:r>
      <w:r>
        <w:rPr>
          <w:w w:val="95"/>
          <w:sz w:val="20"/>
        </w:rPr>
        <w:t xml:space="preserve">been </w:t>
      </w:r>
      <w:r>
        <w:rPr>
          <w:sz w:val="20"/>
        </w:rPr>
        <w:t>assessed</w:t>
      </w:r>
      <w:r>
        <w:rPr>
          <w:spacing w:val="-14"/>
          <w:sz w:val="20"/>
        </w:rPr>
        <w:t xml:space="preserve"> </w:t>
      </w:r>
      <w:r>
        <w:rPr>
          <w:sz w:val="20"/>
        </w:rPr>
        <w:t>as</w:t>
      </w:r>
      <w:r>
        <w:rPr>
          <w:spacing w:val="-14"/>
          <w:sz w:val="20"/>
        </w:rPr>
        <w:t xml:space="preserve"> </w:t>
      </w:r>
      <w:r>
        <w:rPr>
          <w:sz w:val="20"/>
        </w:rPr>
        <w:t>very</w:t>
      </w:r>
      <w:r>
        <w:rPr>
          <w:spacing w:val="-14"/>
          <w:sz w:val="20"/>
        </w:rPr>
        <w:t xml:space="preserve"> </w:t>
      </w:r>
      <w:r>
        <w:rPr>
          <w:sz w:val="20"/>
        </w:rPr>
        <w:t>good</w:t>
      </w:r>
      <w:r>
        <w:rPr>
          <w:spacing w:val="-14"/>
          <w:sz w:val="20"/>
        </w:rPr>
        <w:t xml:space="preserve"> </w:t>
      </w:r>
      <w:r>
        <w:rPr>
          <w:sz w:val="20"/>
        </w:rPr>
        <w:t>(refer</w:t>
      </w:r>
      <w:r>
        <w:rPr>
          <w:spacing w:val="-14"/>
          <w:sz w:val="20"/>
        </w:rPr>
        <w:t xml:space="preserve"> </w:t>
      </w:r>
      <w:r>
        <w:rPr>
          <w:sz w:val="20"/>
        </w:rPr>
        <w:t>Section</w:t>
      </w:r>
      <w:r>
        <w:rPr>
          <w:spacing w:val="-14"/>
          <w:sz w:val="20"/>
        </w:rPr>
        <w:t xml:space="preserve"> </w:t>
      </w:r>
      <w:r>
        <w:rPr>
          <w:sz w:val="20"/>
        </w:rPr>
        <w:t>2).</w:t>
      </w:r>
    </w:p>
    <w:p w:rsidR="002C1123" w:rsidRDefault="00F22F94">
      <w:pPr>
        <w:pStyle w:val="ListParagraph"/>
        <w:numPr>
          <w:ilvl w:val="1"/>
          <w:numId w:val="85"/>
        </w:numPr>
        <w:tabs>
          <w:tab w:val="left" w:pos="642"/>
        </w:tabs>
        <w:spacing w:before="97" w:line="240" w:lineRule="exact"/>
        <w:rPr>
          <w:sz w:val="20"/>
        </w:rPr>
      </w:pPr>
      <w:r>
        <w:rPr>
          <w:spacing w:val="-2"/>
          <w:w w:val="95"/>
          <w:sz w:val="20"/>
        </w:rPr>
        <w:t>In</w:t>
      </w:r>
      <w:r>
        <w:rPr>
          <w:spacing w:val="-5"/>
          <w:w w:val="95"/>
          <w:sz w:val="20"/>
        </w:rPr>
        <w:t xml:space="preserve"> </w:t>
      </w:r>
      <w:r>
        <w:rPr>
          <w:spacing w:val="-2"/>
          <w:w w:val="95"/>
          <w:sz w:val="20"/>
        </w:rPr>
        <w:t>2010-11,</w:t>
      </w:r>
      <w:r>
        <w:rPr>
          <w:spacing w:val="-4"/>
          <w:w w:val="95"/>
          <w:sz w:val="20"/>
        </w:rPr>
        <w:t xml:space="preserve"> </w:t>
      </w:r>
      <w:r>
        <w:rPr>
          <w:spacing w:val="-2"/>
          <w:w w:val="95"/>
          <w:sz w:val="20"/>
        </w:rPr>
        <w:t>the</w:t>
      </w:r>
      <w:r>
        <w:rPr>
          <w:spacing w:val="-5"/>
          <w:w w:val="95"/>
          <w:sz w:val="20"/>
        </w:rPr>
        <w:t xml:space="preserve"> </w:t>
      </w:r>
      <w:r>
        <w:rPr>
          <w:spacing w:val="-2"/>
          <w:w w:val="95"/>
          <w:sz w:val="20"/>
        </w:rPr>
        <w:t>total</w:t>
      </w:r>
      <w:r>
        <w:rPr>
          <w:spacing w:val="-4"/>
          <w:w w:val="95"/>
          <w:sz w:val="20"/>
        </w:rPr>
        <w:t xml:space="preserve"> </w:t>
      </w:r>
      <w:r>
        <w:rPr>
          <w:spacing w:val="-2"/>
          <w:w w:val="95"/>
          <w:sz w:val="20"/>
        </w:rPr>
        <w:t>cost</w:t>
      </w:r>
      <w:r>
        <w:rPr>
          <w:spacing w:val="-5"/>
          <w:w w:val="95"/>
          <w:sz w:val="20"/>
        </w:rPr>
        <w:t xml:space="preserve"> </w:t>
      </w:r>
      <w:r>
        <w:rPr>
          <w:spacing w:val="-2"/>
          <w:w w:val="95"/>
          <w:sz w:val="20"/>
        </w:rPr>
        <w:t>of</w:t>
      </w:r>
      <w:r>
        <w:rPr>
          <w:spacing w:val="-4"/>
          <w:w w:val="95"/>
          <w:sz w:val="20"/>
        </w:rPr>
        <w:t xml:space="preserve"> </w:t>
      </w:r>
      <w:r>
        <w:rPr>
          <w:spacing w:val="-2"/>
          <w:w w:val="95"/>
          <w:sz w:val="20"/>
        </w:rPr>
        <w:t>running</w:t>
      </w:r>
      <w:r>
        <w:rPr>
          <w:spacing w:val="-5"/>
          <w:w w:val="95"/>
          <w:sz w:val="20"/>
        </w:rPr>
        <w:t xml:space="preserve"> </w:t>
      </w:r>
      <w:r>
        <w:rPr>
          <w:spacing w:val="-2"/>
          <w:w w:val="95"/>
          <w:sz w:val="20"/>
        </w:rPr>
        <w:t>the</w:t>
      </w:r>
      <w:r>
        <w:rPr>
          <w:spacing w:val="-4"/>
          <w:w w:val="95"/>
          <w:sz w:val="20"/>
        </w:rPr>
        <w:t xml:space="preserve"> </w:t>
      </w:r>
      <w:r>
        <w:rPr>
          <w:spacing w:val="-2"/>
          <w:w w:val="95"/>
          <w:sz w:val="20"/>
        </w:rPr>
        <w:t>railway</w:t>
      </w:r>
      <w:r>
        <w:rPr>
          <w:spacing w:val="-5"/>
          <w:w w:val="95"/>
          <w:sz w:val="20"/>
        </w:rPr>
        <w:t xml:space="preserve"> was</w:t>
      </w:r>
    </w:p>
    <w:p w:rsidR="002C1123" w:rsidRDefault="00F22F94">
      <w:pPr>
        <w:pStyle w:val="BodyText"/>
        <w:spacing w:line="225" w:lineRule="exact"/>
        <w:ind w:left="641"/>
        <w:jc w:val="both"/>
      </w:pPr>
      <w:r>
        <w:rPr>
          <w:w w:val="95"/>
        </w:rPr>
        <w:t>$3.5</w:t>
      </w:r>
      <w:r>
        <w:rPr>
          <w:spacing w:val="-6"/>
          <w:w w:val="95"/>
        </w:rPr>
        <w:t xml:space="preserve"> </w:t>
      </w:r>
      <w:r>
        <w:rPr>
          <w:w w:val="95"/>
        </w:rPr>
        <w:t>billion,</w:t>
      </w:r>
      <w:r>
        <w:rPr>
          <w:spacing w:val="-5"/>
          <w:w w:val="95"/>
        </w:rPr>
        <w:t xml:space="preserve"> </w:t>
      </w:r>
      <w:r>
        <w:rPr>
          <w:w w:val="95"/>
        </w:rPr>
        <w:t>compared</w:t>
      </w:r>
      <w:r>
        <w:rPr>
          <w:spacing w:val="-6"/>
          <w:w w:val="95"/>
        </w:rPr>
        <w:t xml:space="preserve"> </w:t>
      </w:r>
      <w:r>
        <w:rPr>
          <w:w w:val="95"/>
        </w:rPr>
        <w:t>with</w:t>
      </w:r>
      <w:r>
        <w:rPr>
          <w:spacing w:val="-5"/>
          <w:w w:val="95"/>
        </w:rPr>
        <w:t xml:space="preserve"> </w:t>
      </w:r>
      <w:r>
        <w:rPr>
          <w:w w:val="95"/>
        </w:rPr>
        <w:t>farebox</w:t>
      </w:r>
      <w:r>
        <w:rPr>
          <w:spacing w:val="-6"/>
          <w:w w:val="95"/>
        </w:rPr>
        <w:t xml:space="preserve"> </w:t>
      </w:r>
      <w:r>
        <w:rPr>
          <w:w w:val="95"/>
        </w:rPr>
        <w:t>revenue</w:t>
      </w:r>
      <w:r>
        <w:rPr>
          <w:spacing w:val="-5"/>
          <w:w w:val="95"/>
        </w:rPr>
        <w:t xml:space="preserve"> </w:t>
      </w:r>
      <w:r>
        <w:rPr>
          <w:w w:val="95"/>
        </w:rPr>
        <w:t>of</w:t>
      </w:r>
      <w:r>
        <w:rPr>
          <w:spacing w:val="-6"/>
          <w:w w:val="95"/>
        </w:rPr>
        <w:t xml:space="preserve"> </w:t>
      </w:r>
      <w:r>
        <w:rPr>
          <w:spacing w:val="-4"/>
          <w:w w:val="95"/>
        </w:rPr>
        <w:t>only</w:t>
      </w:r>
    </w:p>
    <w:p w:rsidR="002C1123" w:rsidRDefault="00F22F94">
      <w:pPr>
        <w:pStyle w:val="BodyText"/>
        <w:spacing w:before="1" w:line="235" w:lineRule="auto"/>
        <w:ind w:left="641" w:right="768"/>
        <w:jc w:val="both"/>
      </w:pPr>
      <w:r>
        <w:rPr>
          <w:w w:val="90"/>
        </w:rPr>
        <w:t>$700</w:t>
      </w:r>
      <w:r>
        <w:rPr>
          <w:spacing w:val="-3"/>
          <w:w w:val="90"/>
        </w:rPr>
        <w:t xml:space="preserve"> </w:t>
      </w:r>
      <w:r>
        <w:rPr>
          <w:w w:val="90"/>
        </w:rPr>
        <w:t>million.</w:t>
      </w:r>
      <w:r>
        <w:rPr>
          <w:spacing w:val="-3"/>
          <w:w w:val="90"/>
        </w:rPr>
        <w:t xml:space="preserve"> </w:t>
      </w:r>
      <w:r>
        <w:rPr>
          <w:w w:val="90"/>
        </w:rPr>
        <w:t>In</w:t>
      </w:r>
      <w:r>
        <w:rPr>
          <w:spacing w:val="-3"/>
          <w:w w:val="90"/>
        </w:rPr>
        <w:t xml:space="preserve"> </w:t>
      </w:r>
      <w:r>
        <w:rPr>
          <w:w w:val="90"/>
        </w:rPr>
        <w:t>the</w:t>
      </w:r>
      <w:r>
        <w:rPr>
          <w:spacing w:val="-3"/>
          <w:w w:val="90"/>
        </w:rPr>
        <w:t xml:space="preserve"> </w:t>
      </w:r>
      <w:r>
        <w:rPr>
          <w:w w:val="90"/>
        </w:rPr>
        <w:t>four</w:t>
      </w:r>
      <w:r>
        <w:rPr>
          <w:spacing w:val="-3"/>
          <w:w w:val="90"/>
        </w:rPr>
        <w:t xml:space="preserve"> </w:t>
      </w:r>
      <w:r>
        <w:rPr>
          <w:w w:val="90"/>
        </w:rPr>
        <w:t>years</w:t>
      </w:r>
      <w:r>
        <w:rPr>
          <w:spacing w:val="-3"/>
          <w:w w:val="90"/>
        </w:rPr>
        <w:t xml:space="preserve"> </w:t>
      </w:r>
      <w:r>
        <w:rPr>
          <w:w w:val="90"/>
        </w:rPr>
        <w:t>from</w:t>
      </w:r>
      <w:r>
        <w:rPr>
          <w:spacing w:val="-3"/>
          <w:w w:val="90"/>
        </w:rPr>
        <w:t xml:space="preserve"> </w:t>
      </w:r>
      <w:r>
        <w:rPr>
          <w:w w:val="90"/>
        </w:rPr>
        <w:t>2006-07</w:t>
      </w:r>
      <w:r>
        <w:rPr>
          <w:spacing w:val="-3"/>
          <w:w w:val="90"/>
        </w:rPr>
        <w:t xml:space="preserve"> </w:t>
      </w:r>
      <w:r>
        <w:rPr>
          <w:w w:val="90"/>
        </w:rPr>
        <w:t>to</w:t>
      </w:r>
      <w:r>
        <w:rPr>
          <w:spacing w:val="-3"/>
          <w:w w:val="90"/>
        </w:rPr>
        <w:t xml:space="preserve"> </w:t>
      </w:r>
      <w:r>
        <w:rPr>
          <w:w w:val="90"/>
        </w:rPr>
        <w:t xml:space="preserve">2010-11, </w:t>
      </w:r>
      <w:r>
        <w:rPr>
          <w:w w:val="95"/>
        </w:rPr>
        <w:t xml:space="preserve">operating expenses increased by $588 million, while </w:t>
      </w:r>
      <w:r>
        <w:t>farebox</w:t>
      </w:r>
      <w:r>
        <w:rPr>
          <w:spacing w:val="-14"/>
        </w:rPr>
        <w:t xml:space="preserve"> </w:t>
      </w:r>
      <w:r>
        <w:t>revenue</w:t>
      </w:r>
      <w:r>
        <w:rPr>
          <w:spacing w:val="-14"/>
        </w:rPr>
        <w:t xml:space="preserve"> </w:t>
      </w:r>
      <w:r>
        <w:t>increased</w:t>
      </w:r>
      <w:r>
        <w:rPr>
          <w:spacing w:val="-14"/>
        </w:rPr>
        <w:t xml:space="preserve"> </w:t>
      </w:r>
      <w:r>
        <w:t>by</w:t>
      </w:r>
      <w:r>
        <w:rPr>
          <w:spacing w:val="-14"/>
        </w:rPr>
        <w:t xml:space="preserve"> </w:t>
      </w:r>
      <w:r>
        <w:t>only</w:t>
      </w:r>
      <w:r>
        <w:rPr>
          <w:spacing w:val="-14"/>
        </w:rPr>
        <w:t xml:space="preserve"> </w:t>
      </w:r>
      <w:r>
        <w:t>$136</w:t>
      </w:r>
      <w:r>
        <w:rPr>
          <w:spacing w:val="-14"/>
        </w:rPr>
        <w:t xml:space="preserve"> </w:t>
      </w:r>
      <w:r>
        <w:t>million</w:t>
      </w:r>
      <w:r>
        <w:rPr>
          <w:position w:val="7"/>
          <w:sz w:val="11"/>
        </w:rPr>
        <w:t>4</w:t>
      </w:r>
      <w:r>
        <w:t>.</w:t>
      </w:r>
    </w:p>
    <w:p w:rsidR="002C1123" w:rsidRDefault="002C1123">
      <w:pPr>
        <w:spacing w:line="235" w:lineRule="auto"/>
        <w:jc w:val="both"/>
        <w:sectPr w:rsidR="002C1123">
          <w:type w:val="continuous"/>
          <w:pgSz w:w="16840" w:h="11910" w:orient="landscape"/>
          <w:pgMar w:top="560" w:right="280" w:bottom="280" w:left="500" w:header="0" w:footer="517" w:gutter="0"/>
          <w:cols w:num="3" w:space="720" w:equalWidth="0">
            <w:col w:w="5205" w:space="40"/>
            <w:col w:w="4903" w:space="39"/>
            <w:col w:w="5873"/>
          </w:cols>
        </w:sectPr>
      </w:pPr>
    </w:p>
    <w:p w:rsidR="002C1123" w:rsidRDefault="002C1123">
      <w:pPr>
        <w:pStyle w:val="BodyText"/>
        <w:rPr>
          <w:sz w:val="13"/>
        </w:rPr>
      </w:pPr>
    </w:p>
    <w:p w:rsidR="002C1123" w:rsidRDefault="002060EF">
      <w:pPr>
        <w:pStyle w:val="BodyText"/>
        <w:spacing w:line="20" w:lineRule="exact"/>
        <w:ind w:left="10545"/>
        <w:rPr>
          <w:sz w:val="2"/>
        </w:rPr>
      </w:pPr>
      <w:r>
        <w:rPr>
          <w:sz w:val="2"/>
        </w:rPr>
      </w:r>
      <w:r>
        <w:rPr>
          <w:sz w:val="2"/>
        </w:rPr>
        <w:pict>
          <v:group id="docshapegroup1418" o:spid="_x0000_s3815" style="width:1in;height:.5pt;mso-position-horizontal-relative:char;mso-position-vertical-relative:line" coordsize="1440,10">
            <v:line id="_x0000_s3816" style="position:absolute" from="0,5" to="1440,5" strokecolor="#9c9c9d" strokeweight=".5pt"/>
            <w10:anchorlock/>
          </v:group>
        </w:pict>
      </w:r>
    </w:p>
    <w:p w:rsidR="002C1123" w:rsidRDefault="00F22F94">
      <w:pPr>
        <w:pStyle w:val="ListParagraph"/>
        <w:numPr>
          <w:ilvl w:val="2"/>
          <w:numId w:val="85"/>
        </w:numPr>
        <w:tabs>
          <w:tab w:val="left" w:pos="10745"/>
        </w:tabs>
        <w:spacing w:before="8"/>
        <w:ind w:right="1199"/>
        <w:jc w:val="left"/>
        <w:rPr>
          <w:sz w:val="14"/>
        </w:rPr>
      </w:pPr>
      <w:r>
        <w:rPr>
          <w:w w:val="95"/>
          <w:sz w:val="14"/>
        </w:rPr>
        <w:t>NSW</w:t>
      </w:r>
      <w:r>
        <w:rPr>
          <w:spacing w:val="-2"/>
          <w:w w:val="95"/>
          <w:sz w:val="14"/>
        </w:rPr>
        <w:t xml:space="preserve"> </w:t>
      </w:r>
      <w:r>
        <w:rPr>
          <w:w w:val="95"/>
          <w:sz w:val="14"/>
        </w:rPr>
        <w:t>Treasury,</w:t>
      </w:r>
      <w:r>
        <w:rPr>
          <w:spacing w:val="-2"/>
          <w:w w:val="95"/>
          <w:sz w:val="14"/>
        </w:rPr>
        <w:t xml:space="preserve"> </w:t>
      </w:r>
      <w:r>
        <w:rPr>
          <w:w w:val="95"/>
          <w:sz w:val="14"/>
        </w:rPr>
        <w:t>2012-13</w:t>
      </w:r>
      <w:r>
        <w:rPr>
          <w:spacing w:val="-2"/>
          <w:w w:val="95"/>
          <w:sz w:val="14"/>
        </w:rPr>
        <w:t xml:space="preserve"> </w:t>
      </w:r>
      <w:r>
        <w:rPr>
          <w:w w:val="95"/>
          <w:sz w:val="14"/>
        </w:rPr>
        <w:t>Budget</w:t>
      </w:r>
      <w:r>
        <w:rPr>
          <w:spacing w:val="-2"/>
          <w:w w:val="95"/>
          <w:sz w:val="14"/>
        </w:rPr>
        <w:t xml:space="preserve"> </w:t>
      </w:r>
      <w:r>
        <w:rPr>
          <w:w w:val="95"/>
          <w:sz w:val="14"/>
        </w:rPr>
        <w:t>Paper</w:t>
      </w:r>
      <w:r>
        <w:rPr>
          <w:spacing w:val="-2"/>
          <w:w w:val="95"/>
          <w:sz w:val="14"/>
        </w:rPr>
        <w:t xml:space="preserve"> </w:t>
      </w:r>
      <w:r>
        <w:rPr>
          <w:w w:val="95"/>
          <w:sz w:val="14"/>
        </w:rPr>
        <w:t>4;</w:t>
      </w:r>
      <w:r>
        <w:rPr>
          <w:spacing w:val="-2"/>
          <w:w w:val="95"/>
          <w:sz w:val="14"/>
        </w:rPr>
        <w:t xml:space="preserve"> </w:t>
      </w:r>
      <w:r>
        <w:rPr>
          <w:w w:val="95"/>
          <w:sz w:val="14"/>
        </w:rPr>
        <w:t>asset</w:t>
      </w:r>
      <w:r>
        <w:rPr>
          <w:spacing w:val="-2"/>
          <w:w w:val="95"/>
          <w:sz w:val="14"/>
        </w:rPr>
        <w:t xml:space="preserve"> </w:t>
      </w:r>
      <w:r>
        <w:rPr>
          <w:w w:val="95"/>
          <w:sz w:val="14"/>
        </w:rPr>
        <w:t>values</w:t>
      </w:r>
      <w:r>
        <w:rPr>
          <w:spacing w:val="-2"/>
          <w:w w:val="95"/>
          <w:sz w:val="14"/>
        </w:rPr>
        <w:t xml:space="preserve"> </w:t>
      </w:r>
      <w:r>
        <w:rPr>
          <w:w w:val="95"/>
          <w:sz w:val="14"/>
        </w:rPr>
        <w:t>as</w:t>
      </w:r>
      <w:r>
        <w:rPr>
          <w:spacing w:val="-2"/>
          <w:w w:val="95"/>
          <w:sz w:val="14"/>
        </w:rPr>
        <w:t xml:space="preserve"> </w:t>
      </w:r>
      <w:r>
        <w:rPr>
          <w:w w:val="95"/>
          <w:sz w:val="14"/>
        </w:rPr>
        <w:t>at</w:t>
      </w:r>
      <w:r>
        <w:rPr>
          <w:spacing w:val="-2"/>
          <w:w w:val="95"/>
          <w:sz w:val="14"/>
        </w:rPr>
        <w:t xml:space="preserve"> </w:t>
      </w:r>
      <w:r>
        <w:rPr>
          <w:w w:val="95"/>
          <w:sz w:val="14"/>
        </w:rPr>
        <w:t>30/06/11</w:t>
      </w:r>
      <w:r>
        <w:rPr>
          <w:spacing w:val="40"/>
          <w:sz w:val="14"/>
        </w:rPr>
        <w:t xml:space="preserve"> </w:t>
      </w:r>
      <w:r>
        <w:rPr>
          <w:sz w:val="14"/>
        </w:rPr>
        <w:t>excluding</w:t>
      </w:r>
      <w:r>
        <w:rPr>
          <w:spacing w:val="-1"/>
          <w:sz w:val="14"/>
        </w:rPr>
        <w:t xml:space="preserve"> </w:t>
      </w:r>
      <w:r>
        <w:rPr>
          <w:sz w:val="14"/>
        </w:rPr>
        <w:t>land,</w:t>
      </w:r>
      <w:r>
        <w:rPr>
          <w:spacing w:val="-1"/>
          <w:sz w:val="14"/>
        </w:rPr>
        <w:t xml:space="preserve"> </w:t>
      </w:r>
      <w:r>
        <w:rPr>
          <w:sz w:val="14"/>
        </w:rPr>
        <w:t>tunnels</w:t>
      </w:r>
      <w:r>
        <w:rPr>
          <w:spacing w:val="-1"/>
          <w:sz w:val="14"/>
        </w:rPr>
        <w:t xml:space="preserve"> </w:t>
      </w:r>
      <w:r>
        <w:rPr>
          <w:sz w:val="14"/>
        </w:rPr>
        <w:t>and</w:t>
      </w:r>
      <w:r>
        <w:rPr>
          <w:spacing w:val="-1"/>
          <w:sz w:val="14"/>
        </w:rPr>
        <w:t xml:space="preserve"> </w:t>
      </w:r>
      <w:r>
        <w:rPr>
          <w:sz w:val="14"/>
        </w:rPr>
        <w:t>other</w:t>
      </w:r>
      <w:r>
        <w:rPr>
          <w:spacing w:val="-1"/>
          <w:sz w:val="14"/>
        </w:rPr>
        <w:t xml:space="preserve"> </w:t>
      </w:r>
      <w:r>
        <w:rPr>
          <w:sz w:val="14"/>
        </w:rPr>
        <w:t>excavations</w:t>
      </w:r>
      <w:r>
        <w:rPr>
          <w:spacing w:val="-1"/>
          <w:sz w:val="14"/>
        </w:rPr>
        <w:t xml:space="preserve"> </w:t>
      </w:r>
      <w:r>
        <w:rPr>
          <w:sz w:val="14"/>
        </w:rPr>
        <w:t>prior</w:t>
      </w:r>
      <w:r>
        <w:rPr>
          <w:spacing w:val="-1"/>
          <w:sz w:val="14"/>
        </w:rPr>
        <w:t xml:space="preserve"> </w:t>
      </w:r>
      <w:r>
        <w:rPr>
          <w:sz w:val="14"/>
        </w:rPr>
        <w:t>to</w:t>
      </w:r>
      <w:r>
        <w:rPr>
          <w:spacing w:val="-1"/>
          <w:sz w:val="14"/>
        </w:rPr>
        <w:t xml:space="preserve"> </w:t>
      </w:r>
      <w:r>
        <w:rPr>
          <w:sz w:val="14"/>
        </w:rPr>
        <w:t>2000.</w:t>
      </w:r>
    </w:p>
    <w:p w:rsidR="002C1123" w:rsidRDefault="00F22F94">
      <w:pPr>
        <w:pStyle w:val="ListParagraph"/>
        <w:numPr>
          <w:ilvl w:val="2"/>
          <w:numId w:val="85"/>
        </w:numPr>
        <w:tabs>
          <w:tab w:val="left" w:pos="10745"/>
        </w:tabs>
        <w:spacing w:line="159" w:lineRule="exact"/>
        <w:ind w:hanging="200"/>
        <w:jc w:val="left"/>
        <w:rPr>
          <w:sz w:val="14"/>
        </w:rPr>
      </w:pPr>
      <w:r>
        <w:rPr>
          <w:w w:val="95"/>
          <w:sz w:val="14"/>
        </w:rPr>
        <w:t>NSW</w:t>
      </w:r>
      <w:r>
        <w:rPr>
          <w:spacing w:val="-1"/>
          <w:sz w:val="14"/>
        </w:rPr>
        <w:t xml:space="preserve"> </w:t>
      </w:r>
      <w:r>
        <w:rPr>
          <w:w w:val="95"/>
          <w:sz w:val="14"/>
        </w:rPr>
        <w:t>Bureau</w:t>
      </w:r>
      <w:r>
        <w:rPr>
          <w:sz w:val="14"/>
        </w:rPr>
        <w:t xml:space="preserve"> </w:t>
      </w:r>
      <w:r>
        <w:rPr>
          <w:w w:val="95"/>
          <w:sz w:val="14"/>
        </w:rPr>
        <w:t>of</w:t>
      </w:r>
      <w:r>
        <w:rPr>
          <w:spacing w:val="-1"/>
          <w:sz w:val="14"/>
        </w:rPr>
        <w:t xml:space="preserve"> </w:t>
      </w:r>
      <w:r>
        <w:rPr>
          <w:w w:val="95"/>
          <w:sz w:val="14"/>
        </w:rPr>
        <w:t>Transport</w:t>
      </w:r>
      <w:r>
        <w:rPr>
          <w:sz w:val="14"/>
        </w:rPr>
        <w:t xml:space="preserve"> </w:t>
      </w:r>
      <w:r>
        <w:rPr>
          <w:w w:val="95"/>
          <w:sz w:val="14"/>
        </w:rPr>
        <w:t>Statistics</w:t>
      </w:r>
      <w:r>
        <w:rPr>
          <w:spacing w:val="-1"/>
          <w:sz w:val="14"/>
        </w:rPr>
        <w:t xml:space="preserve"> </w:t>
      </w:r>
      <w:r>
        <w:rPr>
          <w:w w:val="95"/>
          <w:sz w:val="14"/>
        </w:rPr>
        <w:t>2012,</w:t>
      </w:r>
      <w:r>
        <w:rPr>
          <w:sz w:val="14"/>
        </w:rPr>
        <w:t xml:space="preserve"> </w:t>
      </w:r>
      <w:r>
        <w:rPr>
          <w:w w:val="95"/>
          <w:sz w:val="14"/>
        </w:rPr>
        <w:t>Transport</w:t>
      </w:r>
      <w:r>
        <w:rPr>
          <w:sz w:val="14"/>
        </w:rPr>
        <w:t xml:space="preserve"> </w:t>
      </w:r>
      <w:r>
        <w:rPr>
          <w:spacing w:val="-2"/>
          <w:w w:val="95"/>
          <w:sz w:val="14"/>
        </w:rPr>
        <w:t>Facts.</w:t>
      </w:r>
    </w:p>
    <w:p w:rsidR="002C1123" w:rsidRDefault="00F22F94">
      <w:pPr>
        <w:pStyle w:val="ListParagraph"/>
        <w:numPr>
          <w:ilvl w:val="2"/>
          <w:numId w:val="85"/>
        </w:numPr>
        <w:tabs>
          <w:tab w:val="left" w:pos="10745"/>
        </w:tabs>
        <w:ind w:right="1152"/>
        <w:jc w:val="left"/>
        <w:rPr>
          <w:sz w:val="14"/>
        </w:rPr>
      </w:pPr>
      <w:r>
        <w:rPr>
          <w:w w:val="95"/>
          <w:sz w:val="14"/>
        </w:rPr>
        <w:t>NSW</w:t>
      </w:r>
      <w:r>
        <w:rPr>
          <w:spacing w:val="-1"/>
          <w:w w:val="95"/>
          <w:sz w:val="14"/>
        </w:rPr>
        <w:t xml:space="preserve"> </w:t>
      </w:r>
      <w:r>
        <w:rPr>
          <w:w w:val="95"/>
          <w:sz w:val="14"/>
        </w:rPr>
        <w:t>Bureau</w:t>
      </w:r>
      <w:r>
        <w:rPr>
          <w:spacing w:val="-1"/>
          <w:w w:val="95"/>
          <w:sz w:val="14"/>
        </w:rPr>
        <w:t xml:space="preserve"> </w:t>
      </w:r>
      <w:r>
        <w:rPr>
          <w:w w:val="95"/>
          <w:sz w:val="14"/>
        </w:rPr>
        <w:t>of</w:t>
      </w:r>
      <w:r>
        <w:rPr>
          <w:spacing w:val="-1"/>
          <w:w w:val="95"/>
          <w:sz w:val="14"/>
        </w:rPr>
        <w:t xml:space="preserve"> </w:t>
      </w:r>
      <w:r>
        <w:rPr>
          <w:w w:val="95"/>
          <w:sz w:val="14"/>
        </w:rPr>
        <w:t>Transport</w:t>
      </w:r>
      <w:r>
        <w:rPr>
          <w:spacing w:val="-1"/>
          <w:w w:val="95"/>
          <w:sz w:val="14"/>
        </w:rPr>
        <w:t xml:space="preserve"> </w:t>
      </w:r>
      <w:r>
        <w:rPr>
          <w:w w:val="95"/>
          <w:sz w:val="14"/>
        </w:rPr>
        <w:t>Statistics</w:t>
      </w:r>
      <w:r>
        <w:rPr>
          <w:spacing w:val="-1"/>
          <w:w w:val="95"/>
          <w:sz w:val="14"/>
        </w:rPr>
        <w:t xml:space="preserve"> </w:t>
      </w:r>
      <w:r>
        <w:rPr>
          <w:w w:val="95"/>
          <w:sz w:val="14"/>
        </w:rPr>
        <w:t>2011,</w:t>
      </w:r>
      <w:r>
        <w:rPr>
          <w:spacing w:val="-1"/>
          <w:w w:val="95"/>
          <w:sz w:val="14"/>
        </w:rPr>
        <w:t xml:space="preserve"> </w:t>
      </w:r>
      <w:r>
        <w:rPr>
          <w:w w:val="95"/>
          <w:sz w:val="14"/>
        </w:rPr>
        <w:t>Rail</w:t>
      </w:r>
      <w:r>
        <w:rPr>
          <w:spacing w:val="-1"/>
          <w:w w:val="95"/>
          <w:sz w:val="14"/>
        </w:rPr>
        <w:t xml:space="preserve"> </w:t>
      </w:r>
      <w:r>
        <w:rPr>
          <w:w w:val="95"/>
          <w:sz w:val="14"/>
        </w:rPr>
        <w:t>Options</w:t>
      </w:r>
      <w:r>
        <w:rPr>
          <w:spacing w:val="-1"/>
          <w:w w:val="95"/>
          <w:sz w:val="14"/>
        </w:rPr>
        <w:t xml:space="preserve"> </w:t>
      </w:r>
      <w:r>
        <w:rPr>
          <w:w w:val="95"/>
          <w:sz w:val="14"/>
        </w:rPr>
        <w:t>for</w:t>
      </w:r>
      <w:r>
        <w:rPr>
          <w:spacing w:val="-1"/>
          <w:w w:val="95"/>
          <w:sz w:val="14"/>
        </w:rPr>
        <w:t xml:space="preserve"> </w:t>
      </w:r>
      <w:r>
        <w:rPr>
          <w:w w:val="95"/>
          <w:sz w:val="14"/>
        </w:rPr>
        <w:t>the</w:t>
      </w:r>
      <w:r>
        <w:rPr>
          <w:spacing w:val="-1"/>
          <w:w w:val="95"/>
          <w:sz w:val="14"/>
        </w:rPr>
        <w:t xml:space="preserve"> </w:t>
      </w:r>
      <w:r>
        <w:rPr>
          <w:w w:val="95"/>
          <w:sz w:val="14"/>
        </w:rPr>
        <w:t>Sydney</w:t>
      </w:r>
      <w:r>
        <w:rPr>
          <w:spacing w:val="40"/>
          <w:sz w:val="14"/>
        </w:rPr>
        <w:t xml:space="preserve"> </w:t>
      </w:r>
      <w:r>
        <w:rPr>
          <w:sz w:val="14"/>
        </w:rPr>
        <w:t>Greater Metropolitan area, Draft Options Paper.</w:t>
      </w:r>
    </w:p>
    <w:p w:rsidR="002C1123" w:rsidRDefault="00F22F94">
      <w:pPr>
        <w:pStyle w:val="ListParagraph"/>
        <w:numPr>
          <w:ilvl w:val="2"/>
          <w:numId w:val="85"/>
        </w:numPr>
        <w:tabs>
          <w:tab w:val="left" w:pos="10745"/>
        </w:tabs>
        <w:spacing w:line="159" w:lineRule="exact"/>
        <w:ind w:hanging="200"/>
        <w:jc w:val="left"/>
        <w:rPr>
          <w:sz w:val="14"/>
        </w:rPr>
      </w:pPr>
      <w:r>
        <w:rPr>
          <w:w w:val="95"/>
          <w:sz w:val="14"/>
        </w:rPr>
        <w:t>RailCorp</w:t>
      </w:r>
      <w:r>
        <w:rPr>
          <w:spacing w:val="-2"/>
          <w:sz w:val="14"/>
        </w:rPr>
        <w:t xml:space="preserve"> </w:t>
      </w:r>
      <w:r>
        <w:rPr>
          <w:w w:val="95"/>
          <w:sz w:val="14"/>
        </w:rPr>
        <w:t>2011,</w:t>
      </w:r>
      <w:r>
        <w:rPr>
          <w:spacing w:val="-2"/>
          <w:sz w:val="14"/>
        </w:rPr>
        <w:t xml:space="preserve"> </w:t>
      </w:r>
      <w:r>
        <w:rPr>
          <w:w w:val="95"/>
          <w:sz w:val="14"/>
        </w:rPr>
        <w:t>Annual</w:t>
      </w:r>
      <w:r>
        <w:rPr>
          <w:spacing w:val="-2"/>
          <w:sz w:val="14"/>
        </w:rPr>
        <w:t xml:space="preserve"> </w:t>
      </w:r>
      <w:r>
        <w:rPr>
          <w:w w:val="95"/>
          <w:sz w:val="14"/>
        </w:rPr>
        <w:t>Report</w:t>
      </w:r>
      <w:r>
        <w:rPr>
          <w:spacing w:val="-2"/>
          <w:sz w:val="14"/>
        </w:rPr>
        <w:t xml:space="preserve"> </w:t>
      </w:r>
      <w:r>
        <w:rPr>
          <w:w w:val="95"/>
          <w:sz w:val="14"/>
        </w:rPr>
        <w:t>2010-</w:t>
      </w:r>
      <w:r>
        <w:rPr>
          <w:spacing w:val="-5"/>
          <w:w w:val="95"/>
          <w:sz w:val="14"/>
        </w:rPr>
        <w:t>11.</w:t>
      </w:r>
    </w:p>
    <w:p w:rsidR="002C1123" w:rsidRDefault="002C1123">
      <w:pPr>
        <w:spacing w:line="159" w:lineRule="exact"/>
        <w:rPr>
          <w:sz w:val="14"/>
        </w:rPr>
        <w:sectPr w:rsidR="002C1123">
          <w:type w:val="continuous"/>
          <w:pgSz w:w="16840" w:h="11910" w:orient="landscape"/>
          <w:pgMar w:top="560" w:right="280" w:bottom="280" w:left="500" w:header="0" w:footer="517"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1"/>
        <w:rPr>
          <w:sz w:val="27"/>
        </w:rPr>
      </w:pPr>
    </w:p>
    <w:p w:rsidR="002C1123" w:rsidRDefault="002060EF">
      <w:pPr>
        <w:spacing w:before="107"/>
        <w:ind w:left="512"/>
        <w:rPr>
          <w:b/>
          <w:sz w:val="18"/>
        </w:rPr>
      </w:pPr>
      <w:r>
        <w:pict>
          <v:group id="docshapegroup1419" o:spid="_x0000_s3789" style="position:absolute;left:0;text-align:left;margin-left:300.95pt;margin-top:3.1pt;width:491.8pt;height:411.05pt;z-index:251405312;mso-position-horizontal-relative:page" coordorigin="6019,62" coordsize="9836,8221">
            <v:shape id="docshape1420" o:spid="_x0000_s3814" type="#_x0000_t75" style="position:absolute;left:6018;top:62;width:9836;height:8221">
              <v:imagedata r:id="rId163" o:title=""/>
            </v:shape>
            <v:shape id="docshape1421" o:spid="_x0000_s3813" style="position:absolute;left:6018;top:62;width:9827;height:8221" coordorigin="6019,62" coordsize="9827,8221" path="m6019,62r,8221l15846,8283r-9827,l6019,62xe" stroked="f">
              <v:path arrowok="t"/>
            </v:shape>
            <v:shape id="docshape1422" o:spid="_x0000_s3812" type="#_x0000_t202" style="position:absolute;left:6132;top:128;width:4193;height:215" filled="f" stroked="f">
              <v:textbox inset="0,0,0,0">
                <w:txbxContent>
                  <w:p w:rsidR="00F22F94" w:rsidRDefault="00F22F94">
                    <w:pPr>
                      <w:spacing w:before="6"/>
                      <w:rPr>
                        <w:b/>
                        <w:sz w:val="18"/>
                      </w:rPr>
                    </w:pPr>
                    <w:r>
                      <w:rPr>
                        <w:b/>
                        <w:sz w:val="18"/>
                      </w:rPr>
                      <w:t>Figure</w:t>
                    </w:r>
                    <w:r>
                      <w:rPr>
                        <w:b/>
                        <w:spacing w:val="-4"/>
                        <w:sz w:val="18"/>
                      </w:rPr>
                      <w:t xml:space="preserve"> </w:t>
                    </w:r>
                    <w:r>
                      <w:rPr>
                        <w:b/>
                        <w:sz w:val="18"/>
                      </w:rPr>
                      <w:t>8.1</w:t>
                    </w:r>
                    <w:r>
                      <w:rPr>
                        <w:b/>
                        <w:spacing w:val="43"/>
                        <w:sz w:val="18"/>
                      </w:rPr>
                      <w:t xml:space="preserve"> </w:t>
                    </w:r>
                    <w:r>
                      <w:rPr>
                        <w:b/>
                        <w:sz w:val="18"/>
                      </w:rPr>
                      <w:t>Core</w:t>
                    </w:r>
                    <w:r>
                      <w:rPr>
                        <w:b/>
                        <w:spacing w:val="-3"/>
                        <w:sz w:val="18"/>
                      </w:rPr>
                      <w:t xml:space="preserve"> </w:t>
                    </w:r>
                    <w:r>
                      <w:rPr>
                        <w:b/>
                        <w:sz w:val="18"/>
                      </w:rPr>
                      <w:t>Sydney</w:t>
                    </w:r>
                    <w:r>
                      <w:rPr>
                        <w:b/>
                        <w:spacing w:val="-4"/>
                        <w:sz w:val="18"/>
                      </w:rPr>
                      <w:t xml:space="preserve"> </w:t>
                    </w:r>
                    <w:r>
                      <w:rPr>
                        <w:b/>
                        <w:sz w:val="18"/>
                      </w:rPr>
                      <w:t>Rail</w:t>
                    </w:r>
                    <w:r>
                      <w:rPr>
                        <w:b/>
                        <w:spacing w:val="-3"/>
                        <w:sz w:val="18"/>
                      </w:rPr>
                      <w:t xml:space="preserve"> </w:t>
                    </w:r>
                    <w:r>
                      <w:rPr>
                        <w:b/>
                        <w:sz w:val="18"/>
                      </w:rPr>
                      <w:t>Network</w:t>
                    </w:r>
                    <w:r>
                      <w:rPr>
                        <w:b/>
                        <w:spacing w:val="-3"/>
                        <w:sz w:val="18"/>
                      </w:rPr>
                      <w:t xml:space="preserve"> </w:t>
                    </w:r>
                    <w:r>
                      <w:rPr>
                        <w:b/>
                        <w:spacing w:val="-2"/>
                        <w:sz w:val="18"/>
                      </w:rPr>
                      <w:t>(simplified)</w:t>
                    </w:r>
                  </w:p>
                </w:txbxContent>
              </v:textbox>
            </v:shape>
            <v:shape id="docshape1423" o:spid="_x0000_s3811" type="#_x0000_t202" style="position:absolute;left:11134;top:566;width:309;height:141" filled="f" stroked="f">
              <v:textbox inset="0,0,0,0">
                <w:txbxContent>
                  <w:p w:rsidR="00F22F94" w:rsidRDefault="00F22F94">
                    <w:pPr>
                      <w:spacing w:before="1"/>
                      <w:rPr>
                        <w:sz w:val="12"/>
                      </w:rPr>
                    </w:pPr>
                    <w:r>
                      <w:rPr>
                        <w:color w:val="FFFFFF"/>
                        <w:spacing w:val="-4"/>
                        <w:w w:val="80"/>
                        <w:sz w:val="12"/>
                      </w:rPr>
                      <w:t>NWRL</w:t>
                    </w:r>
                  </w:p>
                </w:txbxContent>
              </v:textbox>
            </v:shape>
            <v:shape id="docshape1424" o:spid="_x0000_s3810" type="#_x0000_t202" style="position:absolute;left:12282;top:562;width:646;height:181" filled="f" stroked="f">
              <v:textbox inset="0,0,0,0">
                <w:txbxContent>
                  <w:p w:rsidR="00F22F94" w:rsidRDefault="00F22F94">
                    <w:pPr>
                      <w:spacing w:line="181" w:lineRule="exact"/>
                      <w:rPr>
                        <w:sz w:val="16"/>
                      </w:rPr>
                    </w:pPr>
                    <w:r>
                      <w:rPr>
                        <w:spacing w:val="-2"/>
                        <w:w w:val="80"/>
                        <w:sz w:val="16"/>
                      </w:rPr>
                      <w:t>Chatswood</w:t>
                    </w:r>
                  </w:p>
                </w:txbxContent>
              </v:textbox>
            </v:shape>
            <v:shape id="docshape1425" o:spid="_x0000_s3809" type="#_x0000_t202" style="position:absolute;left:12836;top:1456;width:827;height:141" filled="f" stroked="f">
              <v:textbox inset="0,0,0,0">
                <w:txbxContent>
                  <w:p w:rsidR="00F22F94" w:rsidRDefault="00F22F94">
                    <w:pPr>
                      <w:spacing w:before="1"/>
                      <w:rPr>
                        <w:sz w:val="12"/>
                      </w:rPr>
                    </w:pPr>
                    <w:r>
                      <w:rPr>
                        <w:color w:val="FFFFFF"/>
                        <w:w w:val="85"/>
                        <w:sz w:val="12"/>
                      </w:rPr>
                      <w:t>North</w:t>
                    </w:r>
                    <w:r>
                      <w:rPr>
                        <w:color w:val="FFFFFF"/>
                        <w:spacing w:val="4"/>
                        <w:sz w:val="12"/>
                      </w:rPr>
                      <w:t xml:space="preserve"> </w:t>
                    </w:r>
                    <w:r>
                      <w:rPr>
                        <w:color w:val="FFFFFF"/>
                        <w:w w:val="85"/>
                        <w:sz w:val="12"/>
                      </w:rPr>
                      <w:t>Shore</w:t>
                    </w:r>
                    <w:r>
                      <w:rPr>
                        <w:color w:val="FFFFFF"/>
                        <w:spacing w:val="5"/>
                        <w:sz w:val="12"/>
                      </w:rPr>
                      <w:t xml:space="preserve"> </w:t>
                    </w:r>
                    <w:r>
                      <w:rPr>
                        <w:color w:val="FFFFFF"/>
                        <w:spacing w:val="-4"/>
                        <w:w w:val="85"/>
                        <w:sz w:val="12"/>
                      </w:rPr>
                      <w:t>Line</w:t>
                    </w:r>
                  </w:p>
                </w:txbxContent>
              </v:textbox>
            </v:shape>
            <v:shape id="docshape1426" o:spid="_x0000_s3808" type="#_x0000_t202" style="position:absolute;left:8942;top:1584;width:680;height:141" filled="f" stroked="f">
              <v:textbox inset="0,0,0,0">
                <w:txbxContent>
                  <w:p w:rsidR="00F22F94" w:rsidRDefault="00F22F94">
                    <w:pPr>
                      <w:spacing w:before="1"/>
                      <w:rPr>
                        <w:sz w:val="12"/>
                      </w:rPr>
                    </w:pPr>
                    <w:r>
                      <w:rPr>
                        <w:color w:val="FFFFFF"/>
                        <w:w w:val="85"/>
                        <w:sz w:val="12"/>
                      </w:rPr>
                      <w:t>Northern</w:t>
                    </w:r>
                    <w:r>
                      <w:rPr>
                        <w:color w:val="FFFFFF"/>
                        <w:spacing w:val="18"/>
                        <w:sz w:val="12"/>
                      </w:rPr>
                      <w:t xml:space="preserve"> </w:t>
                    </w:r>
                    <w:r>
                      <w:rPr>
                        <w:color w:val="FFFFFF"/>
                        <w:spacing w:val="-4"/>
                        <w:w w:val="95"/>
                        <w:sz w:val="12"/>
                      </w:rPr>
                      <w:t>Line</w:t>
                    </w:r>
                  </w:p>
                </w:txbxContent>
              </v:textbox>
            </v:shape>
            <v:shape id="docshape1427" o:spid="_x0000_s3807" type="#_x0000_t202" style="position:absolute;left:13336;top:2861;width:772;height:181" filled="f" stroked="f">
              <v:textbox inset="0,0,0,0">
                <w:txbxContent>
                  <w:p w:rsidR="00F22F94" w:rsidRDefault="00F22F94">
                    <w:pPr>
                      <w:spacing w:line="181" w:lineRule="exact"/>
                      <w:rPr>
                        <w:sz w:val="16"/>
                      </w:rPr>
                    </w:pPr>
                    <w:r>
                      <w:rPr>
                        <w:w w:val="75"/>
                        <w:sz w:val="16"/>
                      </w:rPr>
                      <w:t>North</w:t>
                    </w:r>
                    <w:r>
                      <w:rPr>
                        <w:spacing w:val="4"/>
                        <w:sz w:val="16"/>
                      </w:rPr>
                      <w:t xml:space="preserve"> </w:t>
                    </w:r>
                    <w:r>
                      <w:rPr>
                        <w:spacing w:val="-2"/>
                        <w:w w:val="80"/>
                        <w:sz w:val="16"/>
                      </w:rPr>
                      <w:t>Sydney</w:t>
                    </w:r>
                  </w:p>
                </w:txbxContent>
              </v:textbox>
            </v:shape>
            <v:shape id="docshape1428" o:spid="_x0000_s3806" type="#_x0000_t202" style="position:absolute;left:11912;top:3166;width:978;height:141" filled="f" stroked="f">
              <v:textbox inset="0,0,0,0">
                <w:txbxContent>
                  <w:p w:rsidR="00F22F94" w:rsidRDefault="00F22F94">
                    <w:pPr>
                      <w:spacing w:before="1"/>
                      <w:rPr>
                        <w:sz w:val="12"/>
                      </w:rPr>
                    </w:pPr>
                    <w:r>
                      <w:rPr>
                        <w:color w:val="FFFFFF"/>
                        <w:w w:val="85"/>
                        <w:sz w:val="12"/>
                      </w:rPr>
                      <w:t>Harbour</w:t>
                    </w:r>
                    <w:r>
                      <w:rPr>
                        <w:color w:val="FFFFFF"/>
                        <w:spacing w:val="8"/>
                        <w:sz w:val="12"/>
                      </w:rPr>
                      <w:t xml:space="preserve"> </w:t>
                    </w:r>
                    <w:r>
                      <w:rPr>
                        <w:color w:val="FFFFFF"/>
                        <w:w w:val="85"/>
                        <w:sz w:val="12"/>
                      </w:rPr>
                      <w:t>Bridge</w:t>
                    </w:r>
                    <w:r>
                      <w:rPr>
                        <w:color w:val="FFFFFF"/>
                        <w:spacing w:val="9"/>
                        <w:sz w:val="12"/>
                      </w:rPr>
                      <w:t xml:space="preserve"> </w:t>
                    </w:r>
                    <w:r>
                      <w:rPr>
                        <w:color w:val="FFFFFF"/>
                        <w:spacing w:val="-4"/>
                        <w:w w:val="85"/>
                        <w:sz w:val="12"/>
                      </w:rPr>
                      <w:t>Line</w:t>
                    </w:r>
                  </w:p>
                </w:txbxContent>
              </v:textbox>
            </v:shape>
            <v:shape id="docshape1429" o:spid="_x0000_s3805" type="#_x0000_t202" style="position:absolute;left:6293;top:3341;width:646;height:141" filled="f" stroked="f">
              <v:textbox inset="0,0,0,0">
                <w:txbxContent>
                  <w:p w:rsidR="00F22F94" w:rsidRDefault="00F22F94">
                    <w:pPr>
                      <w:spacing w:before="1"/>
                      <w:rPr>
                        <w:sz w:val="12"/>
                      </w:rPr>
                    </w:pPr>
                    <w:r>
                      <w:rPr>
                        <w:color w:val="FFFFFF"/>
                        <w:w w:val="85"/>
                        <w:sz w:val="12"/>
                      </w:rPr>
                      <w:t>Western</w:t>
                    </w:r>
                    <w:r>
                      <w:rPr>
                        <w:color w:val="FFFFFF"/>
                        <w:spacing w:val="5"/>
                        <w:sz w:val="12"/>
                      </w:rPr>
                      <w:t xml:space="preserve"> </w:t>
                    </w:r>
                    <w:r>
                      <w:rPr>
                        <w:color w:val="FFFFFF"/>
                        <w:spacing w:val="-4"/>
                        <w:w w:val="95"/>
                        <w:sz w:val="12"/>
                      </w:rPr>
                      <w:t>Line</w:t>
                    </w:r>
                  </w:p>
                </w:txbxContent>
              </v:textbox>
            </v:shape>
            <v:shape id="docshape1430" o:spid="_x0000_s3804" type="#_x0000_t202" style="position:absolute;left:13758;top:3780;width:510;height:141" filled="f" stroked="f">
              <v:textbox inset="0,0,0,0">
                <w:txbxContent>
                  <w:p w:rsidR="00F22F94" w:rsidRDefault="00F22F94">
                    <w:pPr>
                      <w:spacing w:before="1"/>
                      <w:rPr>
                        <w:sz w:val="12"/>
                      </w:rPr>
                    </w:pPr>
                    <w:r>
                      <w:rPr>
                        <w:color w:val="FFFFFF"/>
                        <w:w w:val="85"/>
                        <w:sz w:val="12"/>
                      </w:rPr>
                      <w:t>City</w:t>
                    </w:r>
                    <w:r>
                      <w:rPr>
                        <w:color w:val="FFFFFF"/>
                        <w:spacing w:val="2"/>
                        <w:sz w:val="12"/>
                      </w:rPr>
                      <w:t xml:space="preserve"> </w:t>
                    </w:r>
                    <w:r>
                      <w:rPr>
                        <w:color w:val="FFFFFF"/>
                        <w:spacing w:val="-2"/>
                        <w:w w:val="90"/>
                        <w:sz w:val="12"/>
                      </w:rPr>
                      <w:t>Circle</w:t>
                    </w:r>
                  </w:p>
                </w:txbxContent>
              </v:textbox>
            </v:shape>
            <v:shape id="docshape1431" o:spid="_x0000_s3803" type="#_x0000_t202" style="position:absolute;left:6995;top:4372;width:529;height:141" filled="f" stroked="f">
              <v:textbox inset="0,0,0,0">
                <w:txbxContent>
                  <w:p w:rsidR="00F22F94" w:rsidRDefault="00F22F94">
                    <w:pPr>
                      <w:spacing w:before="1"/>
                      <w:rPr>
                        <w:sz w:val="12"/>
                      </w:rPr>
                    </w:pPr>
                    <w:r>
                      <w:rPr>
                        <w:color w:val="FFFFFF"/>
                        <w:w w:val="85"/>
                        <w:sz w:val="12"/>
                      </w:rPr>
                      <w:t>South</w:t>
                    </w:r>
                    <w:r>
                      <w:rPr>
                        <w:color w:val="FFFFFF"/>
                        <w:spacing w:val="3"/>
                        <w:sz w:val="12"/>
                      </w:rPr>
                      <w:t xml:space="preserve"> </w:t>
                    </w:r>
                    <w:r>
                      <w:rPr>
                        <w:color w:val="FFFFFF"/>
                        <w:spacing w:val="-4"/>
                        <w:w w:val="95"/>
                        <w:sz w:val="12"/>
                      </w:rPr>
                      <w:t>Line</w:t>
                    </w:r>
                  </w:p>
                </w:txbxContent>
              </v:textbox>
            </v:shape>
            <v:shape id="docshape1432" o:spid="_x0000_s3802" type="#_x0000_t202" style="position:absolute;left:8229;top:4238;width:595;height:181" filled="f" stroked="f">
              <v:textbox inset="0,0,0,0">
                <w:txbxContent>
                  <w:p w:rsidR="00F22F94" w:rsidRDefault="00F22F94">
                    <w:pPr>
                      <w:spacing w:line="181" w:lineRule="exact"/>
                      <w:rPr>
                        <w:sz w:val="16"/>
                      </w:rPr>
                    </w:pPr>
                    <w:r>
                      <w:rPr>
                        <w:spacing w:val="-2"/>
                        <w:w w:val="80"/>
                        <w:sz w:val="16"/>
                      </w:rPr>
                      <w:t>Strathfield</w:t>
                    </w:r>
                  </w:p>
                </w:txbxContent>
              </v:textbox>
            </v:shape>
            <v:shape id="docshape1433" o:spid="_x0000_s3801" type="#_x0000_t202" style="position:absolute;left:14355;top:4237;width:1046;height:141" filled="f" stroked="f">
              <v:textbox inset="0,0,0,0">
                <w:txbxContent>
                  <w:p w:rsidR="00F22F94" w:rsidRDefault="00F22F94">
                    <w:pPr>
                      <w:spacing w:before="1"/>
                      <w:rPr>
                        <w:sz w:val="12"/>
                      </w:rPr>
                    </w:pPr>
                    <w:r>
                      <w:rPr>
                        <w:color w:val="FFFFFF"/>
                        <w:w w:val="85"/>
                        <w:sz w:val="12"/>
                      </w:rPr>
                      <w:t>Eastern</w:t>
                    </w:r>
                    <w:r>
                      <w:rPr>
                        <w:color w:val="FFFFFF"/>
                        <w:spacing w:val="7"/>
                        <w:sz w:val="12"/>
                      </w:rPr>
                      <w:t xml:space="preserve"> </w:t>
                    </w:r>
                    <w:r>
                      <w:rPr>
                        <w:color w:val="FFFFFF"/>
                        <w:w w:val="85"/>
                        <w:sz w:val="12"/>
                      </w:rPr>
                      <w:t>Suburbs</w:t>
                    </w:r>
                    <w:r>
                      <w:rPr>
                        <w:color w:val="FFFFFF"/>
                        <w:spacing w:val="8"/>
                        <w:sz w:val="12"/>
                      </w:rPr>
                      <w:t xml:space="preserve"> </w:t>
                    </w:r>
                    <w:r>
                      <w:rPr>
                        <w:color w:val="FFFFFF"/>
                        <w:spacing w:val="-4"/>
                        <w:w w:val="85"/>
                        <w:sz w:val="12"/>
                      </w:rPr>
                      <w:t>Line</w:t>
                    </w:r>
                  </w:p>
                </w:txbxContent>
              </v:textbox>
            </v:shape>
            <v:shape id="docshape1434" o:spid="_x0000_s3800" type="#_x0000_t202" style="position:absolute;left:10866;top:4482;width:837;height:281" filled="f" stroked="f">
              <v:textbox inset="0,0,0,0">
                <w:txbxContent>
                  <w:p w:rsidR="00F22F94" w:rsidRDefault="00F22F94">
                    <w:pPr>
                      <w:spacing w:before="1" w:line="242" w:lineRule="auto"/>
                      <w:rPr>
                        <w:sz w:val="12"/>
                      </w:rPr>
                    </w:pPr>
                    <w:r>
                      <w:rPr>
                        <w:w w:val="90"/>
                        <w:sz w:val="12"/>
                      </w:rPr>
                      <w:t>Main</w:t>
                    </w:r>
                    <w:r>
                      <w:rPr>
                        <w:spacing w:val="-7"/>
                        <w:w w:val="90"/>
                        <w:sz w:val="12"/>
                      </w:rPr>
                      <w:t xml:space="preserve"> </w:t>
                    </w:r>
                    <w:r>
                      <w:rPr>
                        <w:w w:val="90"/>
                        <w:sz w:val="12"/>
                      </w:rPr>
                      <w:t>West</w:t>
                    </w:r>
                    <w:r>
                      <w:rPr>
                        <w:spacing w:val="-5"/>
                        <w:w w:val="90"/>
                        <w:sz w:val="12"/>
                      </w:rPr>
                      <w:t xml:space="preserve"> </w:t>
                    </w:r>
                    <w:r>
                      <w:rPr>
                        <w:w w:val="90"/>
                        <w:sz w:val="12"/>
                      </w:rPr>
                      <w:t>Lines</w:t>
                    </w:r>
                    <w:r>
                      <w:rPr>
                        <w:spacing w:val="40"/>
                        <w:sz w:val="12"/>
                      </w:rPr>
                      <w:t xml:space="preserve"> </w:t>
                    </w:r>
                    <w:r>
                      <w:rPr>
                        <w:w w:val="85"/>
                        <w:sz w:val="12"/>
                      </w:rPr>
                      <w:t>(6</w:t>
                    </w:r>
                    <w:r>
                      <w:rPr>
                        <w:spacing w:val="5"/>
                        <w:sz w:val="12"/>
                      </w:rPr>
                      <w:t xml:space="preserve"> </w:t>
                    </w:r>
                    <w:r>
                      <w:rPr>
                        <w:w w:val="85"/>
                        <w:sz w:val="12"/>
                      </w:rPr>
                      <w:t>tracks</w:t>
                    </w:r>
                    <w:r>
                      <w:rPr>
                        <w:spacing w:val="6"/>
                        <w:sz w:val="12"/>
                      </w:rPr>
                      <w:t xml:space="preserve"> </w:t>
                    </w:r>
                    <w:r>
                      <w:rPr>
                        <w:w w:val="85"/>
                        <w:sz w:val="12"/>
                      </w:rPr>
                      <w:t>in</w:t>
                    </w:r>
                    <w:r>
                      <w:rPr>
                        <w:spacing w:val="6"/>
                        <w:sz w:val="12"/>
                      </w:rPr>
                      <w:t xml:space="preserve"> </w:t>
                    </w:r>
                    <w:r>
                      <w:rPr>
                        <w:spacing w:val="-2"/>
                        <w:w w:val="85"/>
                        <w:sz w:val="12"/>
                      </w:rPr>
                      <w:t>total)</w:t>
                    </w:r>
                  </w:p>
                </w:txbxContent>
              </v:textbox>
            </v:shape>
            <v:shape id="docshape1435" o:spid="_x0000_s3799" type="#_x0000_t202" style="position:absolute;left:14633;top:4801;width:858;height:181" filled="f" stroked="f">
              <v:textbox inset="0,0,0,0">
                <w:txbxContent>
                  <w:p w:rsidR="00F22F94" w:rsidRDefault="00F22F94">
                    <w:pPr>
                      <w:spacing w:line="181" w:lineRule="exact"/>
                      <w:rPr>
                        <w:sz w:val="16"/>
                      </w:rPr>
                    </w:pPr>
                    <w:r>
                      <w:rPr>
                        <w:w w:val="75"/>
                        <w:sz w:val="16"/>
                      </w:rPr>
                      <w:t>Bondi</w:t>
                    </w:r>
                    <w:r>
                      <w:rPr>
                        <w:spacing w:val="5"/>
                        <w:sz w:val="16"/>
                      </w:rPr>
                      <w:t xml:space="preserve"> </w:t>
                    </w:r>
                    <w:r>
                      <w:rPr>
                        <w:spacing w:val="-2"/>
                        <w:w w:val="80"/>
                        <w:sz w:val="16"/>
                      </w:rPr>
                      <w:t>Junction</w:t>
                    </w:r>
                  </w:p>
                </w:txbxContent>
              </v:textbox>
            </v:shape>
            <v:shape id="docshape1436" o:spid="_x0000_s3798" type="#_x0000_t202" style="position:absolute;left:13207;top:4963;width:423;height:181" filled="f" stroked="f">
              <v:textbox inset="0,0,0,0">
                <w:txbxContent>
                  <w:p w:rsidR="00F22F94" w:rsidRDefault="00F22F94">
                    <w:pPr>
                      <w:spacing w:line="181" w:lineRule="exact"/>
                      <w:rPr>
                        <w:sz w:val="16"/>
                      </w:rPr>
                    </w:pPr>
                    <w:r>
                      <w:rPr>
                        <w:spacing w:val="-2"/>
                        <w:w w:val="80"/>
                        <w:sz w:val="16"/>
                      </w:rPr>
                      <w:t>Central</w:t>
                    </w:r>
                  </w:p>
                </w:txbxContent>
              </v:textbox>
            </v:shape>
            <v:shape id="docshape1437" o:spid="_x0000_s3797" type="#_x0000_t202" style="position:absolute;left:9779;top:5374;width:761;height:141" filled="f" stroked="f">
              <v:textbox inset="0,0,0,0">
                <w:txbxContent>
                  <w:p w:rsidR="00F22F94" w:rsidRDefault="00F22F94">
                    <w:pPr>
                      <w:spacing w:before="1"/>
                      <w:rPr>
                        <w:sz w:val="12"/>
                      </w:rPr>
                    </w:pPr>
                    <w:r>
                      <w:rPr>
                        <w:color w:val="FFFFFF"/>
                        <w:w w:val="85"/>
                        <w:sz w:val="12"/>
                      </w:rPr>
                      <w:t>Inner</w:t>
                    </w:r>
                    <w:r>
                      <w:rPr>
                        <w:color w:val="FFFFFF"/>
                        <w:sz w:val="12"/>
                      </w:rPr>
                      <w:t xml:space="preserve"> </w:t>
                    </w:r>
                    <w:r>
                      <w:rPr>
                        <w:color w:val="FFFFFF"/>
                        <w:w w:val="85"/>
                        <w:sz w:val="12"/>
                      </w:rPr>
                      <w:t>West</w:t>
                    </w:r>
                    <w:r>
                      <w:rPr>
                        <w:color w:val="FFFFFF"/>
                        <w:sz w:val="12"/>
                      </w:rPr>
                      <w:t xml:space="preserve"> </w:t>
                    </w:r>
                    <w:r>
                      <w:rPr>
                        <w:color w:val="FFFFFF"/>
                        <w:spacing w:val="-4"/>
                        <w:w w:val="85"/>
                        <w:sz w:val="12"/>
                      </w:rPr>
                      <w:t>Line</w:t>
                    </w:r>
                  </w:p>
                </w:txbxContent>
              </v:textbox>
            </v:shape>
            <v:shape id="docshape1438" o:spid="_x0000_s3796" type="#_x0000_t202" style="position:absolute;left:12768;top:5881;width:583;height:141" filled="f" stroked="f">
              <v:textbox inset="0,0,0,0">
                <w:txbxContent>
                  <w:p w:rsidR="00F22F94" w:rsidRDefault="00F22F94">
                    <w:pPr>
                      <w:spacing w:before="1"/>
                      <w:rPr>
                        <w:sz w:val="12"/>
                      </w:rPr>
                    </w:pPr>
                    <w:r>
                      <w:rPr>
                        <w:color w:val="FFFFFF"/>
                        <w:w w:val="85"/>
                        <w:sz w:val="12"/>
                      </w:rPr>
                      <w:t>Airport</w:t>
                    </w:r>
                    <w:r>
                      <w:rPr>
                        <w:color w:val="FFFFFF"/>
                        <w:spacing w:val="21"/>
                        <w:sz w:val="12"/>
                      </w:rPr>
                      <w:t xml:space="preserve"> </w:t>
                    </w:r>
                    <w:r>
                      <w:rPr>
                        <w:color w:val="FFFFFF"/>
                        <w:spacing w:val="-4"/>
                        <w:w w:val="95"/>
                        <w:sz w:val="12"/>
                      </w:rPr>
                      <w:t>Line</w:t>
                    </w:r>
                  </w:p>
                </w:txbxContent>
              </v:textbox>
            </v:shape>
            <v:shape id="docshape1439" o:spid="_x0000_s3795" type="#_x0000_t202" style="position:absolute;left:10024;top:6388;width:786;height:141" filled="f" stroked="f">
              <v:textbox inset="0,0,0,0">
                <w:txbxContent>
                  <w:p w:rsidR="00F22F94" w:rsidRDefault="00F22F94">
                    <w:pPr>
                      <w:spacing w:before="1"/>
                      <w:rPr>
                        <w:sz w:val="12"/>
                      </w:rPr>
                    </w:pPr>
                    <w:r>
                      <w:rPr>
                        <w:color w:val="FFFFFF"/>
                        <w:w w:val="85"/>
                        <w:sz w:val="12"/>
                      </w:rPr>
                      <w:t>Bankstown</w:t>
                    </w:r>
                    <w:r>
                      <w:rPr>
                        <w:color w:val="FFFFFF"/>
                        <w:spacing w:val="24"/>
                        <w:sz w:val="12"/>
                      </w:rPr>
                      <w:t xml:space="preserve"> </w:t>
                    </w:r>
                    <w:r>
                      <w:rPr>
                        <w:color w:val="FFFFFF"/>
                        <w:spacing w:val="-4"/>
                        <w:w w:val="95"/>
                        <w:sz w:val="12"/>
                      </w:rPr>
                      <w:t>Line</w:t>
                    </w:r>
                  </w:p>
                </w:txbxContent>
              </v:textbox>
            </v:shape>
            <v:shape id="docshape1440" o:spid="_x0000_s3794" type="#_x0000_t202" style="position:absolute;left:12411;top:6777;width:959;height:551" filled="f" stroked="f">
              <v:textbox inset="0,0,0,0">
                <w:txbxContent>
                  <w:p w:rsidR="00F22F94" w:rsidRDefault="00F22F94">
                    <w:pPr>
                      <w:spacing w:line="182" w:lineRule="exact"/>
                      <w:rPr>
                        <w:sz w:val="16"/>
                      </w:rPr>
                    </w:pPr>
                    <w:r>
                      <w:rPr>
                        <w:w w:val="75"/>
                        <w:sz w:val="16"/>
                      </w:rPr>
                      <w:t>Sydney</w:t>
                    </w:r>
                    <w:r>
                      <w:rPr>
                        <w:spacing w:val="-7"/>
                        <w:sz w:val="16"/>
                      </w:rPr>
                      <w:t xml:space="preserve"> </w:t>
                    </w:r>
                    <w:r>
                      <w:rPr>
                        <w:spacing w:val="-2"/>
                        <w:w w:val="80"/>
                        <w:sz w:val="16"/>
                      </w:rPr>
                      <w:t>Airport</w:t>
                    </w:r>
                  </w:p>
                  <w:p w:rsidR="00F22F94" w:rsidRDefault="00F22F94">
                    <w:pPr>
                      <w:spacing w:before="160"/>
                      <w:ind w:left="616"/>
                      <w:rPr>
                        <w:b/>
                        <w:sz w:val="18"/>
                      </w:rPr>
                    </w:pPr>
                    <w:r>
                      <w:rPr>
                        <w:b/>
                        <w:color w:val="2E3092"/>
                        <w:spacing w:val="-5"/>
                        <w:sz w:val="18"/>
                      </w:rPr>
                      <w:t>Key</w:t>
                    </w:r>
                  </w:p>
                </w:txbxContent>
              </v:textbox>
            </v:shape>
            <v:shape id="docshape1441" o:spid="_x0000_s3793" type="#_x0000_t202" style="position:absolute;left:8585;top:7369;width:694;height:141" filled="f" stroked="f">
              <v:textbox inset="0,0,0,0">
                <w:txbxContent>
                  <w:p w:rsidR="00F22F94" w:rsidRDefault="00F22F94">
                    <w:pPr>
                      <w:spacing w:before="1"/>
                      <w:rPr>
                        <w:sz w:val="12"/>
                      </w:rPr>
                    </w:pPr>
                    <w:r>
                      <w:rPr>
                        <w:color w:val="FFFFFF"/>
                        <w:w w:val="85"/>
                        <w:sz w:val="12"/>
                      </w:rPr>
                      <w:t>East</w:t>
                    </w:r>
                    <w:r>
                      <w:rPr>
                        <w:color w:val="FFFFFF"/>
                        <w:sz w:val="12"/>
                      </w:rPr>
                      <w:t xml:space="preserve"> </w:t>
                    </w:r>
                    <w:r>
                      <w:rPr>
                        <w:color w:val="FFFFFF"/>
                        <w:w w:val="85"/>
                        <w:sz w:val="12"/>
                      </w:rPr>
                      <w:t>Hills</w:t>
                    </w:r>
                    <w:r>
                      <w:rPr>
                        <w:color w:val="FFFFFF"/>
                        <w:spacing w:val="1"/>
                        <w:sz w:val="12"/>
                      </w:rPr>
                      <w:t xml:space="preserve"> </w:t>
                    </w:r>
                    <w:r>
                      <w:rPr>
                        <w:color w:val="FFFFFF"/>
                        <w:spacing w:val="-4"/>
                        <w:w w:val="85"/>
                        <w:sz w:val="12"/>
                      </w:rPr>
                      <w:t>Line</w:t>
                    </w:r>
                  </w:p>
                </w:txbxContent>
              </v:textbox>
            </v:shape>
            <v:shape id="docshape1442" o:spid="_x0000_s3792" type="#_x0000_t202" style="position:absolute;left:10662;top:7823;width:674;height:141" filled="f" stroked="f">
              <v:textbox inset="0,0,0,0">
                <w:txbxContent>
                  <w:p w:rsidR="00F22F94" w:rsidRDefault="00F22F94">
                    <w:pPr>
                      <w:spacing w:before="1"/>
                      <w:rPr>
                        <w:sz w:val="12"/>
                      </w:rPr>
                    </w:pPr>
                    <w:r>
                      <w:rPr>
                        <w:color w:val="FFFFFF"/>
                        <w:w w:val="85"/>
                        <w:sz w:val="12"/>
                      </w:rPr>
                      <w:t>Illawarra</w:t>
                    </w:r>
                    <w:r>
                      <w:rPr>
                        <w:color w:val="FFFFFF"/>
                        <w:spacing w:val="26"/>
                        <w:sz w:val="12"/>
                      </w:rPr>
                      <w:t xml:space="preserve"> </w:t>
                    </w:r>
                    <w:r>
                      <w:rPr>
                        <w:color w:val="FFFFFF"/>
                        <w:spacing w:val="-4"/>
                        <w:w w:val="95"/>
                        <w:sz w:val="12"/>
                      </w:rPr>
                      <w:t>Line</w:t>
                    </w:r>
                  </w:p>
                </w:txbxContent>
              </v:textbox>
            </v:shape>
            <v:shape id="docshape1443" o:spid="_x0000_s3791" type="#_x0000_t202" style="position:absolute;left:6132;top:8034;width:1699;height:166" filled="f" stroked="f">
              <v:textbox inset="0,0,0,0">
                <w:txbxContent>
                  <w:p w:rsidR="00F22F94" w:rsidRDefault="00F22F94">
                    <w:pPr>
                      <w:spacing w:before="4"/>
                      <w:rPr>
                        <w:sz w:val="14"/>
                      </w:rPr>
                    </w:pPr>
                    <w:r>
                      <w:rPr>
                        <w:w w:val="95"/>
                        <w:sz w:val="14"/>
                      </w:rPr>
                      <w:t>Source:</w:t>
                    </w:r>
                    <w:r>
                      <w:rPr>
                        <w:spacing w:val="5"/>
                        <w:sz w:val="14"/>
                      </w:rPr>
                      <w:t xml:space="preserve"> </w:t>
                    </w:r>
                    <w:r>
                      <w:rPr>
                        <w:w w:val="95"/>
                        <w:sz w:val="14"/>
                      </w:rPr>
                      <w:t>Transport</w:t>
                    </w:r>
                    <w:r>
                      <w:rPr>
                        <w:spacing w:val="6"/>
                        <w:sz w:val="14"/>
                      </w:rPr>
                      <w:t xml:space="preserve"> </w:t>
                    </w:r>
                    <w:r>
                      <w:rPr>
                        <w:w w:val="95"/>
                        <w:sz w:val="14"/>
                      </w:rPr>
                      <w:t>for</w:t>
                    </w:r>
                    <w:r>
                      <w:rPr>
                        <w:spacing w:val="6"/>
                        <w:sz w:val="14"/>
                      </w:rPr>
                      <w:t xml:space="preserve"> </w:t>
                    </w:r>
                    <w:r>
                      <w:rPr>
                        <w:spacing w:val="-4"/>
                        <w:w w:val="95"/>
                        <w:sz w:val="14"/>
                      </w:rPr>
                      <w:t>NSW.</w:t>
                    </w:r>
                  </w:p>
                </w:txbxContent>
              </v:textbox>
            </v:shape>
            <v:shape id="docshape1444" o:spid="_x0000_s3790" type="#_x0000_t202" style="position:absolute;left:13384;top:7362;width:2241;height:781" filled="f" stroked="f">
              <v:textbox inset="0,0,0,0">
                <w:txbxContent>
                  <w:p w:rsidR="00F22F94" w:rsidRDefault="00F22F94">
                    <w:pPr>
                      <w:spacing w:line="261" w:lineRule="auto"/>
                      <w:ind w:right="492"/>
                      <w:rPr>
                        <w:sz w:val="16"/>
                      </w:rPr>
                    </w:pPr>
                    <w:r>
                      <w:rPr>
                        <w:w w:val="80"/>
                        <w:sz w:val="16"/>
                      </w:rPr>
                      <w:t>Eastern</w:t>
                    </w:r>
                    <w:r>
                      <w:rPr>
                        <w:spacing w:val="-3"/>
                        <w:w w:val="80"/>
                        <w:sz w:val="16"/>
                      </w:rPr>
                      <w:t xml:space="preserve"> </w:t>
                    </w:r>
                    <w:r>
                      <w:rPr>
                        <w:w w:val="80"/>
                        <w:sz w:val="16"/>
                      </w:rPr>
                      <w:t>Suburbs/Illawarra</w:t>
                    </w:r>
                    <w:r>
                      <w:rPr>
                        <w:spacing w:val="-2"/>
                        <w:w w:val="80"/>
                        <w:sz w:val="16"/>
                      </w:rPr>
                      <w:t xml:space="preserve"> </w:t>
                    </w:r>
                    <w:r>
                      <w:rPr>
                        <w:w w:val="80"/>
                        <w:sz w:val="16"/>
                      </w:rPr>
                      <w:t>line</w:t>
                    </w:r>
                    <w:r>
                      <w:rPr>
                        <w:sz w:val="16"/>
                      </w:rPr>
                      <w:t xml:space="preserve"> </w:t>
                    </w:r>
                    <w:r>
                      <w:rPr>
                        <w:w w:val="80"/>
                        <w:sz w:val="16"/>
                      </w:rPr>
                      <w:t>Potential</w:t>
                    </w:r>
                    <w:r>
                      <w:rPr>
                        <w:spacing w:val="-3"/>
                        <w:w w:val="80"/>
                        <w:sz w:val="16"/>
                      </w:rPr>
                      <w:t xml:space="preserve"> </w:t>
                    </w:r>
                    <w:r>
                      <w:rPr>
                        <w:w w:val="80"/>
                        <w:sz w:val="16"/>
                      </w:rPr>
                      <w:t>rapid</w:t>
                    </w:r>
                    <w:r>
                      <w:rPr>
                        <w:spacing w:val="-2"/>
                        <w:w w:val="80"/>
                        <w:sz w:val="16"/>
                      </w:rPr>
                      <w:t xml:space="preserve"> </w:t>
                    </w:r>
                    <w:r>
                      <w:rPr>
                        <w:w w:val="80"/>
                        <w:sz w:val="16"/>
                      </w:rPr>
                      <w:t>transit</w:t>
                    </w:r>
                    <w:r>
                      <w:rPr>
                        <w:spacing w:val="-2"/>
                        <w:w w:val="80"/>
                        <w:sz w:val="16"/>
                      </w:rPr>
                      <w:t xml:space="preserve"> </w:t>
                    </w:r>
                    <w:r>
                      <w:rPr>
                        <w:w w:val="80"/>
                        <w:sz w:val="16"/>
                      </w:rPr>
                      <w:t>corridors</w:t>
                    </w:r>
                    <w:r>
                      <w:rPr>
                        <w:sz w:val="16"/>
                      </w:rPr>
                      <w:t xml:space="preserve"> </w:t>
                    </w:r>
                    <w:r>
                      <w:rPr>
                        <w:spacing w:val="-4"/>
                        <w:w w:val="90"/>
                        <w:sz w:val="16"/>
                      </w:rPr>
                      <w:t>NWRL</w:t>
                    </w:r>
                  </w:p>
                  <w:p w:rsidR="00F22F94" w:rsidRDefault="00F22F94">
                    <w:pPr>
                      <w:spacing w:line="181" w:lineRule="exact"/>
                      <w:rPr>
                        <w:sz w:val="16"/>
                      </w:rPr>
                    </w:pPr>
                    <w:r>
                      <w:rPr>
                        <w:w w:val="75"/>
                        <w:sz w:val="16"/>
                      </w:rPr>
                      <w:t>Potential</w:t>
                    </w:r>
                    <w:r>
                      <w:rPr>
                        <w:spacing w:val="13"/>
                        <w:sz w:val="16"/>
                      </w:rPr>
                      <w:t xml:space="preserve"> </w:t>
                    </w:r>
                    <w:r>
                      <w:rPr>
                        <w:w w:val="75"/>
                        <w:sz w:val="16"/>
                      </w:rPr>
                      <w:t>Suburban/City</w:t>
                    </w:r>
                    <w:r>
                      <w:rPr>
                        <w:spacing w:val="13"/>
                        <w:sz w:val="16"/>
                      </w:rPr>
                      <w:t xml:space="preserve"> </w:t>
                    </w:r>
                    <w:r>
                      <w:rPr>
                        <w:w w:val="75"/>
                        <w:sz w:val="16"/>
                      </w:rPr>
                      <w:t>Circle</w:t>
                    </w:r>
                    <w:r>
                      <w:rPr>
                        <w:spacing w:val="14"/>
                        <w:sz w:val="16"/>
                      </w:rPr>
                      <w:t xml:space="preserve"> </w:t>
                    </w:r>
                    <w:r>
                      <w:rPr>
                        <w:spacing w:val="-2"/>
                        <w:w w:val="75"/>
                        <w:sz w:val="16"/>
                      </w:rPr>
                      <w:t>corridors</w:t>
                    </w:r>
                  </w:p>
                </w:txbxContent>
              </v:textbox>
            </v:shape>
            <w10:wrap anchorx="page"/>
          </v:group>
        </w:pict>
      </w:r>
      <w:bookmarkStart w:id="215" w:name="_bookmark153"/>
      <w:bookmarkEnd w:id="215"/>
      <w:r w:rsidR="00F22F94">
        <w:rPr>
          <w:b/>
          <w:sz w:val="18"/>
        </w:rPr>
        <w:t>Table</w:t>
      </w:r>
      <w:r w:rsidR="00F22F94">
        <w:rPr>
          <w:b/>
          <w:spacing w:val="-19"/>
          <w:sz w:val="18"/>
        </w:rPr>
        <w:t xml:space="preserve"> </w:t>
      </w:r>
      <w:r w:rsidR="00F22F94">
        <w:rPr>
          <w:b/>
          <w:sz w:val="18"/>
        </w:rPr>
        <w:t>8.1</w:t>
      </w:r>
      <w:r w:rsidR="00F22F94">
        <w:rPr>
          <w:b/>
          <w:spacing w:val="-3"/>
          <w:sz w:val="18"/>
        </w:rPr>
        <w:t xml:space="preserve"> </w:t>
      </w:r>
      <w:r w:rsidR="00F22F94">
        <w:rPr>
          <w:b/>
          <w:sz w:val="18"/>
        </w:rPr>
        <w:t>Cost</w:t>
      </w:r>
      <w:r w:rsidR="00F22F94">
        <w:rPr>
          <w:b/>
          <w:spacing w:val="-19"/>
          <w:sz w:val="18"/>
        </w:rPr>
        <w:t xml:space="preserve"> </w:t>
      </w:r>
      <w:r w:rsidR="00F22F94">
        <w:rPr>
          <w:b/>
          <w:sz w:val="18"/>
        </w:rPr>
        <w:t>Recovery</w:t>
      </w:r>
      <w:r w:rsidR="00F22F94">
        <w:rPr>
          <w:b/>
          <w:spacing w:val="-19"/>
          <w:sz w:val="18"/>
        </w:rPr>
        <w:t xml:space="preserve"> </w:t>
      </w:r>
      <w:r w:rsidR="00F22F94">
        <w:rPr>
          <w:b/>
          <w:sz w:val="18"/>
        </w:rPr>
        <w:t>Ratios</w:t>
      </w:r>
      <w:r w:rsidR="00F22F94">
        <w:rPr>
          <w:b/>
          <w:spacing w:val="-19"/>
          <w:sz w:val="18"/>
        </w:rPr>
        <w:t xml:space="preserve"> </w:t>
      </w:r>
      <w:r w:rsidR="00F22F94">
        <w:rPr>
          <w:b/>
          <w:sz w:val="18"/>
        </w:rPr>
        <w:t>in</w:t>
      </w:r>
      <w:r w:rsidR="00F22F94">
        <w:rPr>
          <w:b/>
          <w:spacing w:val="-19"/>
          <w:sz w:val="18"/>
        </w:rPr>
        <w:t xml:space="preserve"> </w:t>
      </w:r>
      <w:r w:rsidR="00F22F94">
        <w:rPr>
          <w:b/>
          <w:sz w:val="18"/>
        </w:rPr>
        <w:t>a</w:t>
      </w:r>
      <w:r w:rsidR="00F22F94">
        <w:rPr>
          <w:b/>
          <w:spacing w:val="-19"/>
          <w:sz w:val="18"/>
        </w:rPr>
        <w:t xml:space="preserve"> </w:t>
      </w:r>
      <w:r w:rsidR="00F22F94">
        <w:rPr>
          <w:b/>
          <w:sz w:val="18"/>
        </w:rPr>
        <w:t>Sample</w:t>
      </w:r>
      <w:r w:rsidR="00F22F94">
        <w:rPr>
          <w:b/>
          <w:spacing w:val="-19"/>
          <w:sz w:val="18"/>
        </w:rPr>
        <w:t xml:space="preserve"> </w:t>
      </w:r>
      <w:r w:rsidR="00F22F94">
        <w:rPr>
          <w:b/>
          <w:sz w:val="18"/>
        </w:rPr>
        <w:t>of</w:t>
      </w:r>
      <w:r w:rsidR="00F22F94">
        <w:rPr>
          <w:b/>
          <w:spacing w:val="-20"/>
          <w:sz w:val="18"/>
        </w:rPr>
        <w:t xml:space="preserve"> </w:t>
      </w:r>
      <w:r w:rsidR="00F22F94">
        <w:rPr>
          <w:b/>
          <w:spacing w:val="-2"/>
          <w:sz w:val="18"/>
        </w:rPr>
        <w:t>Cities</w:t>
      </w:r>
    </w:p>
    <w:p w:rsidR="002C1123" w:rsidRDefault="002C1123">
      <w:pPr>
        <w:rPr>
          <w:sz w:val="18"/>
        </w:rPr>
        <w:sectPr w:rsidR="002C1123">
          <w:pgSz w:w="16840" w:h="11910" w:orient="landscape"/>
          <w:pgMar w:top="560" w:right="280" w:bottom="700" w:left="500" w:header="0" w:footer="517" w:gutter="0"/>
          <w:cols w:space="720"/>
        </w:sectPr>
      </w:pPr>
    </w:p>
    <w:p w:rsidR="002C1123" w:rsidRDefault="00F22F94">
      <w:pPr>
        <w:spacing w:before="43" w:line="235" w:lineRule="auto"/>
        <w:ind w:left="3090" w:right="-4"/>
        <w:rPr>
          <w:b/>
          <w:sz w:val="16"/>
        </w:rPr>
      </w:pPr>
      <w:r>
        <w:rPr>
          <w:b/>
          <w:color w:val="2E3092"/>
          <w:spacing w:val="-4"/>
          <w:sz w:val="16"/>
        </w:rPr>
        <w:t xml:space="preserve">Cost </w:t>
      </w:r>
      <w:r>
        <w:rPr>
          <w:b/>
          <w:color w:val="2E3092"/>
          <w:spacing w:val="-2"/>
          <w:sz w:val="16"/>
        </w:rPr>
        <w:t>Recovery</w:t>
      </w:r>
      <w:r>
        <w:rPr>
          <w:b/>
          <w:color w:val="2E3092"/>
          <w:spacing w:val="-10"/>
          <w:sz w:val="16"/>
        </w:rPr>
        <w:t xml:space="preserve"> </w:t>
      </w:r>
      <w:r>
        <w:rPr>
          <w:b/>
          <w:color w:val="2E3092"/>
          <w:spacing w:val="-2"/>
          <w:sz w:val="16"/>
        </w:rPr>
        <w:t>(%)</w:t>
      </w:r>
    </w:p>
    <w:p w:rsidR="002C1123" w:rsidRDefault="00F22F94">
      <w:pPr>
        <w:spacing w:before="43" w:line="235" w:lineRule="auto"/>
        <w:ind w:left="206" w:right="11200"/>
        <w:rPr>
          <w:b/>
          <w:sz w:val="16"/>
        </w:rPr>
      </w:pPr>
      <w:r>
        <w:br w:type="column"/>
      </w:r>
      <w:r>
        <w:rPr>
          <w:b/>
          <w:color w:val="2E3092"/>
          <w:spacing w:val="-4"/>
          <w:sz w:val="16"/>
        </w:rPr>
        <w:t>Year</w:t>
      </w:r>
      <w:r>
        <w:rPr>
          <w:b/>
          <w:color w:val="2E3092"/>
          <w:spacing w:val="40"/>
          <w:sz w:val="16"/>
        </w:rPr>
        <w:t xml:space="preserve"> </w:t>
      </w:r>
      <w:r>
        <w:rPr>
          <w:b/>
          <w:color w:val="2E3092"/>
          <w:sz w:val="16"/>
        </w:rPr>
        <w:t>of</w:t>
      </w:r>
      <w:r>
        <w:rPr>
          <w:b/>
          <w:color w:val="2E3092"/>
          <w:spacing w:val="-12"/>
          <w:sz w:val="16"/>
        </w:rPr>
        <w:t xml:space="preserve"> </w:t>
      </w:r>
      <w:r>
        <w:rPr>
          <w:b/>
          <w:color w:val="2E3092"/>
          <w:sz w:val="16"/>
        </w:rPr>
        <w:t>data</w:t>
      </w:r>
    </w:p>
    <w:p w:rsidR="002C1123" w:rsidRDefault="002C1123">
      <w:pPr>
        <w:spacing w:line="235" w:lineRule="auto"/>
        <w:rPr>
          <w:sz w:val="16"/>
        </w:rPr>
        <w:sectPr w:rsidR="002C1123">
          <w:type w:val="continuous"/>
          <w:pgSz w:w="16840" w:h="11910" w:orient="landscape"/>
          <w:pgMar w:top="560" w:right="280" w:bottom="280" w:left="500" w:header="0" w:footer="517" w:gutter="0"/>
          <w:cols w:num="2" w:space="720" w:equalWidth="0">
            <w:col w:w="4088" w:space="40"/>
            <w:col w:w="11932"/>
          </w:cols>
        </w:sectPr>
      </w:pPr>
    </w:p>
    <w:tbl>
      <w:tblPr>
        <w:tblW w:w="0" w:type="auto"/>
        <w:tblInd w:w="50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503"/>
        <w:gridCol w:w="1243"/>
        <w:gridCol w:w="1029"/>
      </w:tblGrid>
      <w:tr w:rsidR="002C1123">
        <w:trPr>
          <w:trHeight w:val="330"/>
        </w:trPr>
        <w:tc>
          <w:tcPr>
            <w:tcW w:w="2503" w:type="dxa"/>
            <w:tcBorders>
              <w:top w:val="nil"/>
              <w:left w:val="nil"/>
            </w:tcBorders>
            <w:shd w:val="clear" w:color="auto" w:fill="C9C8C9"/>
          </w:tcPr>
          <w:p w:rsidR="002C1123" w:rsidRDefault="00F22F94">
            <w:pPr>
              <w:pStyle w:val="TableParagraph"/>
              <w:spacing w:before="49"/>
              <w:ind w:left="75"/>
              <w:rPr>
                <w:sz w:val="16"/>
              </w:rPr>
            </w:pPr>
            <w:r>
              <w:rPr>
                <w:sz w:val="16"/>
              </w:rPr>
              <w:t>Sydney</w:t>
            </w:r>
            <w:r>
              <w:rPr>
                <w:spacing w:val="-4"/>
                <w:sz w:val="16"/>
              </w:rPr>
              <w:t xml:space="preserve"> </w:t>
            </w:r>
            <w:r>
              <w:rPr>
                <w:spacing w:val="-2"/>
                <w:sz w:val="16"/>
              </w:rPr>
              <w:t>(RailCorp)</w:t>
            </w:r>
          </w:p>
        </w:tc>
        <w:tc>
          <w:tcPr>
            <w:tcW w:w="1243" w:type="dxa"/>
            <w:tcBorders>
              <w:top w:val="nil"/>
            </w:tcBorders>
            <w:shd w:val="clear" w:color="auto" w:fill="E1E0E1"/>
          </w:tcPr>
          <w:p w:rsidR="002C1123" w:rsidRDefault="00F22F94">
            <w:pPr>
              <w:pStyle w:val="TableParagraph"/>
              <w:ind w:left="75"/>
              <w:rPr>
                <w:rFonts w:ascii="Tahoma"/>
                <w:sz w:val="16"/>
              </w:rPr>
            </w:pPr>
            <w:r>
              <w:rPr>
                <w:rFonts w:ascii="Tahoma"/>
                <w:spacing w:val="-5"/>
                <w:sz w:val="16"/>
              </w:rPr>
              <w:t>20%</w:t>
            </w:r>
          </w:p>
        </w:tc>
        <w:tc>
          <w:tcPr>
            <w:tcW w:w="1029" w:type="dxa"/>
            <w:tcBorders>
              <w:top w:val="nil"/>
              <w:right w:val="nil"/>
            </w:tcBorders>
            <w:shd w:val="clear" w:color="auto" w:fill="E1E0E1"/>
          </w:tcPr>
          <w:p w:rsidR="002C1123" w:rsidRDefault="00F22F94">
            <w:pPr>
              <w:pStyle w:val="TableParagraph"/>
              <w:spacing w:before="77"/>
              <w:ind w:left="75"/>
              <w:rPr>
                <w:sz w:val="16"/>
              </w:rPr>
            </w:pPr>
            <w:r>
              <w:rPr>
                <w:spacing w:val="-7"/>
                <w:sz w:val="16"/>
              </w:rPr>
              <w:t>2010-</w:t>
            </w:r>
            <w:r>
              <w:rPr>
                <w:spacing w:val="-5"/>
                <w:sz w:val="16"/>
              </w:rPr>
              <w:t>11</w:t>
            </w:r>
          </w:p>
        </w:tc>
      </w:tr>
      <w:tr w:rsidR="002C1123">
        <w:trPr>
          <w:trHeight w:val="490"/>
        </w:trPr>
        <w:tc>
          <w:tcPr>
            <w:tcW w:w="2503" w:type="dxa"/>
            <w:tcBorders>
              <w:left w:val="nil"/>
            </w:tcBorders>
            <w:shd w:val="clear" w:color="auto" w:fill="C9C8C9"/>
          </w:tcPr>
          <w:p w:rsidR="002C1123" w:rsidRDefault="00F22F94">
            <w:pPr>
              <w:pStyle w:val="TableParagraph"/>
              <w:spacing w:before="39"/>
              <w:ind w:left="74"/>
              <w:rPr>
                <w:sz w:val="16"/>
              </w:rPr>
            </w:pPr>
            <w:r>
              <w:rPr>
                <w:spacing w:val="-2"/>
                <w:w w:val="105"/>
                <w:sz w:val="16"/>
              </w:rPr>
              <w:t>London</w:t>
            </w:r>
          </w:p>
          <w:p w:rsidR="002C1123" w:rsidRDefault="00F22F94">
            <w:pPr>
              <w:pStyle w:val="TableParagraph"/>
              <w:spacing w:before="53"/>
              <w:ind w:left="74"/>
              <w:rPr>
                <w:sz w:val="16"/>
              </w:rPr>
            </w:pPr>
            <w:r>
              <w:rPr>
                <w:sz w:val="16"/>
              </w:rPr>
              <w:t>(London</w:t>
            </w:r>
            <w:r>
              <w:rPr>
                <w:spacing w:val="-1"/>
                <w:w w:val="105"/>
                <w:sz w:val="16"/>
              </w:rPr>
              <w:t xml:space="preserve"> </w:t>
            </w:r>
            <w:r>
              <w:rPr>
                <w:spacing w:val="-2"/>
                <w:w w:val="105"/>
                <w:sz w:val="16"/>
              </w:rPr>
              <w:t>Underground)</w:t>
            </w:r>
          </w:p>
        </w:tc>
        <w:tc>
          <w:tcPr>
            <w:tcW w:w="1243" w:type="dxa"/>
            <w:shd w:val="clear" w:color="auto" w:fill="E1E0E1"/>
          </w:tcPr>
          <w:p w:rsidR="002C1123" w:rsidRDefault="00F22F94">
            <w:pPr>
              <w:pStyle w:val="TableParagraph"/>
              <w:spacing w:before="57"/>
              <w:ind w:left="75"/>
              <w:rPr>
                <w:rFonts w:ascii="Tahoma"/>
                <w:sz w:val="16"/>
              </w:rPr>
            </w:pPr>
            <w:r>
              <w:rPr>
                <w:rFonts w:ascii="Tahoma"/>
                <w:spacing w:val="-5"/>
                <w:sz w:val="16"/>
              </w:rPr>
              <w:t>75%</w:t>
            </w:r>
          </w:p>
        </w:tc>
        <w:tc>
          <w:tcPr>
            <w:tcW w:w="1029" w:type="dxa"/>
            <w:tcBorders>
              <w:right w:val="nil"/>
            </w:tcBorders>
            <w:shd w:val="clear" w:color="auto" w:fill="E1E0E1"/>
          </w:tcPr>
          <w:p w:rsidR="002C1123" w:rsidRDefault="00F22F94">
            <w:pPr>
              <w:pStyle w:val="TableParagraph"/>
              <w:ind w:left="75"/>
              <w:rPr>
                <w:sz w:val="16"/>
              </w:rPr>
            </w:pPr>
            <w:r>
              <w:rPr>
                <w:w w:val="95"/>
                <w:sz w:val="16"/>
              </w:rPr>
              <w:t>2009-</w:t>
            </w:r>
            <w:r>
              <w:rPr>
                <w:spacing w:val="-5"/>
                <w:sz w:val="16"/>
              </w:rPr>
              <w:t>10</w:t>
            </w:r>
          </w:p>
        </w:tc>
      </w:tr>
      <w:tr w:rsidR="002C1123">
        <w:trPr>
          <w:trHeight w:val="320"/>
        </w:trPr>
        <w:tc>
          <w:tcPr>
            <w:tcW w:w="2503" w:type="dxa"/>
            <w:tcBorders>
              <w:left w:val="nil"/>
            </w:tcBorders>
            <w:shd w:val="clear" w:color="auto" w:fill="C9C8C9"/>
          </w:tcPr>
          <w:p w:rsidR="002C1123" w:rsidRDefault="00F22F94">
            <w:pPr>
              <w:pStyle w:val="TableParagraph"/>
              <w:spacing w:before="39"/>
              <w:ind w:left="74"/>
              <w:rPr>
                <w:sz w:val="16"/>
              </w:rPr>
            </w:pPr>
            <w:r>
              <w:rPr>
                <w:spacing w:val="-2"/>
                <w:w w:val="105"/>
                <w:sz w:val="16"/>
              </w:rPr>
              <w:t>Montreal</w:t>
            </w:r>
            <w:r>
              <w:rPr>
                <w:spacing w:val="-8"/>
                <w:w w:val="105"/>
                <w:sz w:val="16"/>
              </w:rPr>
              <w:t xml:space="preserve"> </w:t>
            </w:r>
            <w:r>
              <w:rPr>
                <w:spacing w:val="-2"/>
                <w:w w:val="105"/>
                <w:sz w:val="16"/>
              </w:rPr>
              <w:t>(Metro)</w:t>
            </w:r>
          </w:p>
        </w:tc>
        <w:tc>
          <w:tcPr>
            <w:tcW w:w="1243" w:type="dxa"/>
            <w:shd w:val="clear" w:color="auto" w:fill="E1E0E1"/>
          </w:tcPr>
          <w:p w:rsidR="002C1123" w:rsidRDefault="00F22F94">
            <w:pPr>
              <w:pStyle w:val="TableParagraph"/>
              <w:spacing w:before="57"/>
              <w:ind w:left="75"/>
              <w:rPr>
                <w:rFonts w:ascii="Tahoma"/>
                <w:sz w:val="16"/>
              </w:rPr>
            </w:pPr>
            <w:r>
              <w:rPr>
                <w:rFonts w:ascii="Tahoma"/>
                <w:spacing w:val="-5"/>
                <w:sz w:val="16"/>
              </w:rPr>
              <w:t>57%</w:t>
            </w:r>
          </w:p>
        </w:tc>
        <w:tc>
          <w:tcPr>
            <w:tcW w:w="1029" w:type="dxa"/>
            <w:tcBorders>
              <w:right w:val="nil"/>
            </w:tcBorders>
            <w:shd w:val="clear" w:color="auto" w:fill="E1E0E1"/>
          </w:tcPr>
          <w:p w:rsidR="002C1123" w:rsidRDefault="00F22F94">
            <w:pPr>
              <w:pStyle w:val="TableParagraph"/>
              <w:ind w:left="75"/>
              <w:rPr>
                <w:sz w:val="16"/>
              </w:rPr>
            </w:pPr>
            <w:r>
              <w:rPr>
                <w:w w:val="95"/>
                <w:sz w:val="16"/>
              </w:rPr>
              <w:t>2006-</w:t>
            </w:r>
            <w:r>
              <w:rPr>
                <w:spacing w:val="-5"/>
                <w:sz w:val="16"/>
              </w:rPr>
              <w:t>07</w:t>
            </w:r>
          </w:p>
        </w:tc>
      </w:tr>
      <w:tr w:rsidR="002C1123">
        <w:trPr>
          <w:trHeight w:val="500"/>
        </w:trPr>
        <w:tc>
          <w:tcPr>
            <w:tcW w:w="2503" w:type="dxa"/>
            <w:tcBorders>
              <w:left w:val="nil"/>
              <w:bottom w:val="nil"/>
            </w:tcBorders>
            <w:shd w:val="clear" w:color="auto" w:fill="C9C8C9"/>
          </w:tcPr>
          <w:p w:rsidR="002C1123" w:rsidRDefault="00F22F94">
            <w:pPr>
              <w:pStyle w:val="TableParagraph"/>
              <w:spacing w:before="39"/>
              <w:ind w:left="74"/>
              <w:rPr>
                <w:sz w:val="16"/>
              </w:rPr>
            </w:pPr>
            <w:r>
              <w:rPr>
                <w:sz w:val="16"/>
              </w:rPr>
              <w:t>New</w:t>
            </w:r>
            <w:r>
              <w:rPr>
                <w:spacing w:val="-2"/>
                <w:sz w:val="16"/>
              </w:rPr>
              <w:t xml:space="preserve"> </w:t>
            </w:r>
            <w:r>
              <w:rPr>
                <w:spacing w:val="-4"/>
                <w:w w:val="105"/>
                <w:sz w:val="16"/>
              </w:rPr>
              <w:t>York</w:t>
            </w:r>
          </w:p>
          <w:p w:rsidR="002C1123" w:rsidRDefault="00F22F94">
            <w:pPr>
              <w:pStyle w:val="TableParagraph"/>
              <w:spacing w:before="53"/>
              <w:ind w:left="74"/>
              <w:rPr>
                <w:sz w:val="16"/>
              </w:rPr>
            </w:pPr>
            <w:r>
              <w:rPr>
                <w:sz w:val="16"/>
              </w:rPr>
              <w:t>(Metropolitan</w:t>
            </w:r>
            <w:r>
              <w:rPr>
                <w:spacing w:val="-1"/>
                <w:sz w:val="16"/>
              </w:rPr>
              <w:t xml:space="preserve"> </w:t>
            </w:r>
            <w:r>
              <w:rPr>
                <w:sz w:val="16"/>
              </w:rPr>
              <w:t xml:space="preserve">Transit </w:t>
            </w:r>
            <w:r>
              <w:rPr>
                <w:spacing w:val="-2"/>
                <w:sz w:val="16"/>
              </w:rPr>
              <w:t>Authority)</w:t>
            </w:r>
          </w:p>
        </w:tc>
        <w:tc>
          <w:tcPr>
            <w:tcW w:w="1243" w:type="dxa"/>
            <w:tcBorders>
              <w:bottom w:val="nil"/>
            </w:tcBorders>
            <w:shd w:val="clear" w:color="auto" w:fill="E1E0E1"/>
          </w:tcPr>
          <w:p w:rsidR="002C1123" w:rsidRDefault="00F22F94">
            <w:pPr>
              <w:pStyle w:val="TableParagraph"/>
              <w:spacing w:before="57"/>
              <w:ind w:left="75"/>
              <w:rPr>
                <w:rFonts w:ascii="Tahoma"/>
                <w:sz w:val="16"/>
              </w:rPr>
            </w:pPr>
            <w:r>
              <w:rPr>
                <w:rFonts w:ascii="Tahoma"/>
                <w:spacing w:val="-5"/>
                <w:sz w:val="16"/>
              </w:rPr>
              <w:t>56%</w:t>
            </w:r>
          </w:p>
        </w:tc>
        <w:tc>
          <w:tcPr>
            <w:tcW w:w="1029" w:type="dxa"/>
            <w:tcBorders>
              <w:bottom w:val="nil"/>
              <w:right w:val="nil"/>
            </w:tcBorders>
            <w:shd w:val="clear" w:color="auto" w:fill="E1E0E1"/>
          </w:tcPr>
          <w:p w:rsidR="002C1123" w:rsidRDefault="00F22F94">
            <w:pPr>
              <w:pStyle w:val="TableParagraph"/>
              <w:ind w:left="75"/>
              <w:rPr>
                <w:sz w:val="16"/>
              </w:rPr>
            </w:pPr>
            <w:r>
              <w:rPr>
                <w:w w:val="95"/>
                <w:sz w:val="16"/>
              </w:rPr>
              <w:t>2009-</w:t>
            </w:r>
            <w:r>
              <w:rPr>
                <w:spacing w:val="-5"/>
                <w:sz w:val="16"/>
              </w:rPr>
              <w:t>10</w:t>
            </w:r>
          </w:p>
        </w:tc>
      </w:tr>
    </w:tbl>
    <w:p w:rsidR="002C1123" w:rsidRDefault="002060EF">
      <w:pPr>
        <w:spacing w:before="49"/>
        <w:ind w:left="502" w:right="10835" w:hanging="1"/>
        <w:rPr>
          <w:sz w:val="14"/>
        </w:rPr>
      </w:pPr>
      <w:r>
        <w:pict>
          <v:shape id="docshape1445" o:spid="_x0000_s3788" type="#_x0000_t202" style="position:absolute;left:0;text-align:left;margin-left:370.6pt;margin-top:-69.65pt;width:385.95pt;height:328.65pt;z-index:-251476992;mso-position-horizontal-relative:page;mso-position-vertical-relative:text" filled="f" stroked="f">
            <v:textbox inset="0,0,0,0">
              <w:txbxContent>
                <w:p w:rsidR="00F22F94" w:rsidRDefault="00F22F94">
                  <w:pPr>
                    <w:tabs>
                      <w:tab w:val="left" w:pos="5788"/>
                    </w:tabs>
                    <w:spacing w:before="2"/>
                    <w:ind w:left="4669"/>
                    <w:rPr>
                      <w:sz w:val="18"/>
                    </w:rPr>
                  </w:pPr>
                  <w:r>
                    <w:rPr>
                      <w:spacing w:val="-4"/>
                      <w:w w:val="95"/>
                      <w:position w:val="-12"/>
                      <w:sz w:val="18"/>
                    </w:rPr>
                    <w:t>NWRL</w:t>
                  </w:r>
                  <w:r>
                    <w:rPr>
                      <w:position w:val="-12"/>
                      <w:sz w:val="18"/>
                    </w:rPr>
                    <w:tab/>
                  </w:r>
                  <w:r>
                    <w:rPr>
                      <w:w w:val="85"/>
                      <w:sz w:val="18"/>
                    </w:rPr>
                    <w:t>North</w:t>
                  </w:r>
                  <w:r>
                    <w:rPr>
                      <w:spacing w:val="-3"/>
                      <w:w w:val="85"/>
                      <w:sz w:val="18"/>
                    </w:rPr>
                    <w:t xml:space="preserve"> </w:t>
                  </w:r>
                  <w:r>
                    <w:rPr>
                      <w:w w:val="85"/>
                      <w:sz w:val="18"/>
                    </w:rPr>
                    <w:t>Shore</w:t>
                  </w:r>
                  <w:r>
                    <w:rPr>
                      <w:spacing w:val="-2"/>
                      <w:w w:val="85"/>
                      <w:sz w:val="18"/>
                    </w:rPr>
                    <w:t xml:space="preserve"> </w:t>
                  </w:r>
                  <w:r>
                    <w:rPr>
                      <w:spacing w:val="-4"/>
                      <w:w w:val="85"/>
                      <w:sz w:val="18"/>
                    </w:rPr>
                    <w:t>Line</w:t>
                  </w:r>
                </w:p>
                <w:p w:rsidR="00F22F94" w:rsidRDefault="00F22F94">
                  <w:pPr>
                    <w:spacing w:before="246"/>
                    <w:ind w:left="5788"/>
                    <w:rPr>
                      <w:sz w:val="16"/>
                    </w:rPr>
                  </w:pPr>
                  <w:r>
                    <w:rPr>
                      <w:spacing w:val="-2"/>
                      <w:w w:val="90"/>
                      <w:sz w:val="16"/>
                    </w:rPr>
                    <w:t>Chatswood</w:t>
                  </w:r>
                </w:p>
                <w:p w:rsidR="00F22F94" w:rsidRDefault="00F22F94">
                  <w:pPr>
                    <w:pStyle w:val="BodyText"/>
                    <w:rPr>
                      <w:sz w:val="18"/>
                    </w:rPr>
                  </w:pPr>
                </w:p>
                <w:p w:rsidR="00F22F94" w:rsidRDefault="00F22F94">
                  <w:pPr>
                    <w:pStyle w:val="BodyText"/>
                    <w:rPr>
                      <w:sz w:val="18"/>
                    </w:rPr>
                  </w:pPr>
                </w:p>
                <w:p w:rsidR="00F22F94" w:rsidRDefault="00F22F94">
                  <w:pPr>
                    <w:pStyle w:val="BodyText"/>
                    <w:rPr>
                      <w:sz w:val="18"/>
                    </w:rPr>
                  </w:pPr>
                </w:p>
                <w:p w:rsidR="00F22F94" w:rsidRDefault="00F22F94">
                  <w:pPr>
                    <w:pStyle w:val="BodyText"/>
                    <w:rPr>
                      <w:sz w:val="18"/>
                    </w:rPr>
                  </w:pPr>
                </w:p>
                <w:p w:rsidR="00F22F94" w:rsidRDefault="00F22F94">
                  <w:pPr>
                    <w:pStyle w:val="BodyText"/>
                    <w:rPr>
                      <w:sz w:val="18"/>
                    </w:rPr>
                  </w:pPr>
                </w:p>
                <w:p w:rsidR="00F22F94" w:rsidRDefault="00F22F94">
                  <w:pPr>
                    <w:pStyle w:val="BodyText"/>
                    <w:spacing w:before="6"/>
                    <w:rPr>
                      <w:sz w:val="15"/>
                    </w:rPr>
                  </w:pPr>
                </w:p>
                <w:p w:rsidR="00F22F94" w:rsidRDefault="00F22F94">
                  <w:pPr>
                    <w:spacing w:before="1"/>
                    <w:ind w:left="5788"/>
                    <w:rPr>
                      <w:sz w:val="16"/>
                    </w:rPr>
                  </w:pPr>
                  <w:r>
                    <w:rPr>
                      <w:w w:val="75"/>
                      <w:sz w:val="16"/>
                    </w:rPr>
                    <w:t>North</w:t>
                  </w:r>
                  <w:r>
                    <w:rPr>
                      <w:spacing w:val="4"/>
                      <w:sz w:val="16"/>
                    </w:rPr>
                    <w:t xml:space="preserve"> </w:t>
                  </w:r>
                  <w:r>
                    <w:rPr>
                      <w:spacing w:val="-2"/>
                      <w:w w:val="85"/>
                      <w:sz w:val="16"/>
                    </w:rPr>
                    <w:t>Sydney</w:t>
                  </w:r>
                </w:p>
                <w:p w:rsidR="00F22F94" w:rsidRDefault="00F22F94">
                  <w:pPr>
                    <w:pStyle w:val="BodyText"/>
                    <w:spacing w:before="10"/>
                    <w:rPr>
                      <w:sz w:val="23"/>
                    </w:rPr>
                  </w:pPr>
                </w:p>
                <w:p w:rsidR="00F22F94" w:rsidRDefault="00F22F94">
                  <w:pPr>
                    <w:ind w:left="4074"/>
                    <w:rPr>
                      <w:sz w:val="18"/>
                    </w:rPr>
                  </w:pPr>
                  <w:r>
                    <w:rPr>
                      <w:w w:val="85"/>
                      <w:sz w:val="18"/>
                    </w:rPr>
                    <w:t>Harbour</w:t>
                  </w:r>
                  <w:r>
                    <w:rPr>
                      <w:spacing w:val="-5"/>
                      <w:sz w:val="18"/>
                    </w:rPr>
                    <w:t xml:space="preserve"> </w:t>
                  </w:r>
                  <w:r>
                    <w:rPr>
                      <w:w w:val="85"/>
                      <w:sz w:val="18"/>
                    </w:rPr>
                    <w:t>Bridge</w:t>
                  </w:r>
                  <w:r>
                    <w:rPr>
                      <w:spacing w:val="-4"/>
                      <w:sz w:val="18"/>
                    </w:rPr>
                    <w:t xml:space="preserve"> </w:t>
                  </w:r>
                  <w:r>
                    <w:rPr>
                      <w:spacing w:val="-4"/>
                      <w:w w:val="85"/>
                      <w:sz w:val="18"/>
                    </w:rPr>
                    <w:t>Line</w:t>
                  </w:r>
                </w:p>
                <w:p w:rsidR="00F22F94" w:rsidRDefault="00F22F94">
                  <w:pPr>
                    <w:spacing w:before="63"/>
                    <w:ind w:left="1386"/>
                    <w:rPr>
                      <w:sz w:val="18"/>
                    </w:rPr>
                  </w:pPr>
                  <w:r>
                    <w:rPr>
                      <w:w w:val="85"/>
                      <w:sz w:val="18"/>
                    </w:rPr>
                    <w:t>Northern</w:t>
                  </w:r>
                  <w:r>
                    <w:rPr>
                      <w:sz w:val="18"/>
                    </w:rPr>
                    <w:t xml:space="preserve"> </w:t>
                  </w:r>
                  <w:r>
                    <w:rPr>
                      <w:spacing w:val="-4"/>
                      <w:w w:val="95"/>
                      <w:sz w:val="18"/>
                    </w:rPr>
                    <w:t>Line</w:t>
                  </w:r>
                </w:p>
                <w:p w:rsidR="00F22F94" w:rsidRDefault="00F22F94">
                  <w:pPr>
                    <w:spacing w:before="75"/>
                    <w:ind w:left="6246"/>
                    <w:rPr>
                      <w:sz w:val="18"/>
                    </w:rPr>
                  </w:pPr>
                  <w:r>
                    <w:rPr>
                      <w:w w:val="80"/>
                      <w:sz w:val="18"/>
                    </w:rPr>
                    <w:t>City</w:t>
                  </w:r>
                  <w:r>
                    <w:rPr>
                      <w:spacing w:val="2"/>
                      <w:sz w:val="18"/>
                    </w:rPr>
                    <w:t xml:space="preserve"> </w:t>
                  </w:r>
                  <w:r>
                    <w:rPr>
                      <w:spacing w:val="-2"/>
                      <w:w w:val="90"/>
                      <w:sz w:val="18"/>
                    </w:rPr>
                    <w:t>Circle</w:t>
                  </w:r>
                </w:p>
                <w:p w:rsidR="00F22F94" w:rsidRDefault="00F22F94">
                  <w:pPr>
                    <w:pStyle w:val="BodyText"/>
                  </w:pPr>
                </w:p>
                <w:p w:rsidR="00F22F94" w:rsidRDefault="00F22F94">
                  <w:pPr>
                    <w:tabs>
                      <w:tab w:val="left" w:pos="1629"/>
                      <w:tab w:val="left" w:pos="4897"/>
                      <w:tab w:val="left" w:pos="6246"/>
                    </w:tabs>
                    <w:spacing w:before="147" w:line="566" w:lineRule="auto"/>
                    <w:ind w:left="2800" w:hanging="2801"/>
                    <w:rPr>
                      <w:sz w:val="18"/>
                    </w:rPr>
                  </w:pPr>
                  <w:r>
                    <w:rPr>
                      <w:w w:val="95"/>
                      <w:position w:val="-5"/>
                      <w:sz w:val="18"/>
                    </w:rPr>
                    <w:t>Western</w:t>
                  </w:r>
                  <w:r>
                    <w:rPr>
                      <w:spacing w:val="-2"/>
                      <w:w w:val="95"/>
                      <w:position w:val="-5"/>
                      <w:sz w:val="18"/>
                    </w:rPr>
                    <w:t xml:space="preserve"> </w:t>
                  </w:r>
                  <w:r>
                    <w:rPr>
                      <w:w w:val="95"/>
                      <w:position w:val="-5"/>
                      <w:sz w:val="18"/>
                    </w:rPr>
                    <w:t>Line</w:t>
                  </w:r>
                  <w:r>
                    <w:rPr>
                      <w:position w:val="-5"/>
                      <w:sz w:val="18"/>
                    </w:rPr>
                    <w:tab/>
                  </w:r>
                  <w:r>
                    <w:rPr>
                      <w:spacing w:val="-2"/>
                      <w:w w:val="95"/>
                      <w:position w:val="-2"/>
                      <w:sz w:val="16"/>
                    </w:rPr>
                    <w:t>Strathfield</w:t>
                  </w:r>
                  <w:r>
                    <w:rPr>
                      <w:position w:val="-2"/>
                      <w:sz w:val="16"/>
                    </w:rPr>
                    <w:tab/>
                  </w:r>
                  <w:r>
                    <w:rPr>
                      <w:position w:val="-2"/>
                      <w:sz w:val="16"/>
                    </w:rPr>
                    <w:tab/>
                  </w:r>
                  <w:r>
                    <w:rPr>
                      <w:spacing w:val="-2"/>
                      <w:w w:val="95"/>
                      <w:position w:val="-1"/>
                      <w:sz w:val="16"/>
                    </w:rPr>
                    <w:t>Central</w:t>
                  </w:r>
                  <w:r>
                    <w:rPr>
                      <w:position w:val="-1"/>
                      <w:sz w:val="16"/>
                    </w:rPr>
                    <w:tab/>
                  </w:r>
                  <w:r>
                    <w:rPr>
                      <w:w w:val="85"/>
                      <w:sz w:val="18"/>
                    </w:rPr>
                    <w:t>Eastern</w:t>
                  </w:r>
                  <w:r>
                    <w:rPr>
                      <w:spacing w:val="-7"/>
                      <w:w w:val="85"/>
                      <w:sz w:val="18"/>
                    </w:rPr>
                    <w:t xml:space="preserve"> </w:t>
                  </w:r>
                  <w:r>
                    <w:rPr>
                      <w:w w:val="85"/>
                      <w:sz w:val="18"/>
                    </w:rPr>
                    <w:t>Suburbs</w:t>
                  </w:r>
                  <w:r>
                    <w:rPr>
                      <w:spacing w:val="-5"/>
                      <w:w w:val="85"/>
                      <w:sz w:val="18"/>
                    </w:rPr>
                    <w:t xml:space="preserve"> </w:t>
                  </w:r>
                  <w:r>
                    <w:rPr>
                      <w:w w:val="85"/>
                      <w:sz w:val="18"/>
                    </w:rPr>
                    <w:t xml:space="preserve">Line </w:t>
                  </w:r>
                  <w:r>
                    <w:rPr>
                      <w:w w:val="95"/>
                      <w:sz w:val="18"/>
                    </w:rPr>
                    <w:t>Inner West Line</w:t>
                  </w:r>
                </w:p>
                <w:p w:rsidR="00F22F94" w:rsidRDefault="00F22F94">
                  <w:pPr>
                    <w:tabs>
                      <w:tab w:val="left" w:pos="3019"/>
                    </w:tabs>
                    <w:spacing w:before="170"/>
                    <w:ind w:left="709"/>
                    <w:rPr>
                      <w:sz w:val="18"/>
                    </w:rPr>
                  </w:pPr>
                  <w:r>
                    <w:rPr>
                      <w:w w:val="85"/>
                      <w:position w:val="-13"/>
                      <w:sz w:val="18"/>
                    </w:rPr>
                    <w:t>Southern</w:t>
                  </w:r>
                  <w:r>
                    <w:rPr>
                      <w:spacing w:val="-5"/>
                      <w:w w:val="95"/>
                      <w:position w:val="-13"/>
                      <w:sz w:val="18"/>
                    </w:rPr>
                    <w:t xml:space="preserve"> </w:t>
                  </w:r>
                  <w:r>
                    <w:rPr>
                      <w:spacing w:val="-4"/>
                      <w:w w:val="95"/>
                      <w:position w:val="-13"/>
                      <w:sz w:val="18"/>
                    </w:rPr>
                    <w:t>Line</w:t>
                  </w:r>
                  <w:r>
                    <w:rPr>
                      <w:position w:val="-13"/>
                      <w:sz w:val="18"/>
                    </w:rPr>
                    <w:tab/>
                  </w:r>
                  <w:r>
                    <w:rPr>
                      <w:w w:val="85"/>
                      <w:sz w:val="18"/>
                    </w:rPr>
                    <w:t>Bankstown</w:t>
                  </w:r>
                  <w:r>
                    <w:rPr>
                      <w:spacing w:val="10"/>
                      <w:sz w:val="18"/>
                    </w:rPr>
                    <w:t xml:space="preserve"> </w:t>
                  </w:r>
                  <w:r>
                    <w:rPr>
                      <w:spacing w:val="-4"/>
                      <w:w w:val="95"/>
                      <w:sz w:val="18"/>
                    </w:rPr>
                    <w:t>Line</w:t>
                  </w:r>
                </w:p>
                <w:p w:rsidR="00F22F94" w:rsidRDefault="00F22F94">
                  <w:pPr>
                    <w:spacing w:before="193"/>
                    <w:ind w:left="4812"/>
                    <w:rPr>
                      <w:sz w:val="16"/>
                    </w:rPr>
                  </w:pPr>
                  <w:r>
                    <w:rPr>
                      <w:spacing w:val="-2"/>
                      <w:w w:val="85"/>
                      <w:sz w:val="16"/>
                    </w:rPr>
                    <w:t>Sydney</w:t>
                  </w:r>
                </w:p>
                <w:p w:rsidR="00F22F94" w:rsidRDefault="00F22F94">
                  <w:pPr>
                    <w:tabs>
                      <w:tab w:val="left" w:pos="4812"/>
                    </w:tabs>
                    <w:spacing w:before="3"/>
                    <w:ind w:left="3019"/>
                    <w:rPr>
                      <w:sz w:val="16"/>
                    </w:rPr>
                  </w:pPr>
                  <w:r>
                    <w:rPr>
                      <w:w w:val="85"/>
                      <w:sz w:val="18"/>
                    </w:rPr>
                    <w:t>East</w:t>
                  </w:r>
                  <w:r>
                    <w:rPr>
                      <w:spacing w:val="-4"/>
                      <w:w w:val="85"/>
                      <w:sz w:val="18"/>
                    </w:rPr>
                    <w:t xml:space="preserve"> </w:t>
                  </w:r>
                  <w:r>
                    <w:rPr>
                      <w:w w:val="85"/>
                      <w:sz w:val="18"/>
                    </w:rPr>
                    <w:t>Hills</w:t>
                  </w:r>
                  <w:r>
                    <w:rPr>
                      <w:spacing w:val="-1"/>
                      <w:w w:val="85"/>
                      <w:sz w:val="18"/>
                    </w:rPr>
                    <w:t xml:space="preserve"> </w:t>
                  </w:r>
                  <w:r>
                    <w:rPr>
                      <w:spacing w:val="-4"/>
                      <w:w w:val="85"/>
                      <w:sz w:val="18"/>
                    </w:rPr>
                    <w:t>Line</w:t>
                  </w:r>
                  <w:r>
                    <w:rPr>
                      <w:sz w:val="18"/>
                    </w:rPr>
                    <w:tab/>
                  </w:r>
                  <w:r>
                    <w:rPr>
                      <w:spacing w:val="-2"/>
                      <w:w w:val="90"/>
                      <w:position w:val="4"/>
                      <w:sz w:val="16"/>
                    </w:rPr>
                    <w:t>Airport</w:t>
                  </w:r>
                </w:p>
                <w:p w:rsidR="00F22F94" w:rsidRDefault="00F22F94">
                  <w:pPr>
                    <w:pStyle w:val="BodyText"/>
                    <w:rPr>
                      <w:sz w:val="22"/>
                    </w:rPr>
                  </w:pPr>
                </w:p>
                <w:p w:rsidR="00F22F94" w:rsidRDefault="00F22F94">
                  <w:pPr>
                    <w:pStyle w:val="BodyText"/>
                    <w:spacing w:before="3"/>
                    <w:rPr>
                      <w:sz w:val="32"/>
                    </w:rPr>
                  </w:pPr>
                </w:p>
                <w:p w:rsidR="00F22F94" w:rsidRDefault="00F22F94">
                  <w:pPr>
                    <w:ind w:left="4725"/>
                    <w:rPr>
                      <w:sz w:val="18"/>
                    </w:rPr>
                  </w:pPr>
                  <w:r>
                    <w:rPr>
                      <w:w w:val="85"/>
                      <w:sz w:val="18"/>
                    </w:rPr>
                    <w:t>Illawarra</w:t>
                  </w:r>
                  <w:r>
                    <w:rPr>
                      <w:spacing w:val="20"/>
                      <w:sz w:val="18"/>
                    </w:rPr>
                    <w:t xml:space="preserve"> </w:t>
                  </w:r>
                  <w:r>
                    <w:rPr>
                      <w:spacing w:val="-4"/>
                      <w:w w:val="95"/>
                      <w:sz w:val="18"/>
                    </w:rPr>
                    <w:t>Line</w:t>
                  </w:r>
                </w:p>
              </w:txbxContent>
            </v:textbox>
            <w10:wrap anchorx="page"/>
          </v:shape>
        </w:pict>
      </w:r>
      <w:r w:rsidR="00F22F94">
        <w:rPr>
          <w:w w:val="95"/>
          <w:sz w:val="14"/>
        </w:rPr>
        <w:t>Sources: RailCorp 2011, Transport for London 2010; Societe de Transport de</w:t>
      </w:r>
      <w:r w:rsidR="00F22F94">
        <w:rPr>
          <w:spacing w:val="40"/>
          <w:sz w:val="14"/>
        </w:rPr>
        <w:t xml:space="preserve"> </w:t>
      </w:r>
      <w:r w:rsidR="00F22F94">
        <w:rPr>
          <w:sz w:val="14"/>
        </w:rPr>
        <w:t>Montrèal; Metropolitan Transport Authority.</w:t>
      </w:r>
    </w:p>
    <w:p w:rsidR="002C1123" w:rsidRDefault="002C1123">
      <w:pPr>
        <w:pStyle w:val="BodyText"/>
        <w:rPr>
          <w:sz w:val="16"/>
        </w:rPr>
      </w:pPr>
    </w:p>
    <w:p w:rsidR="002C1123" w:rsidRDefault="002C1123">
      <w:pPr>
        <w:pStyle w:val="BodyText"/>
        <w:spacing w:before="4"/>
        <w:rPr>
          <w:sz w:val="14"/>
        </w:rPr>
      </w:pPr>
    </w:p>
    <w:p w:rsidR="002C1123" w:rsidRDefault="00F22F94">
      <w:pPr>
        <w:pStyle w:val="ListParagraph"/>
        <w:numPr>
          <w:ilvl w:val="0"/>
          <w:numId w:val="84"/>
        </w:numPr>
        <w:tabs>
          <w:tab w:val="left" w:pos="776"/>
        </w:tabs>
        <w:spacing w:line="249" w:lineRule="auto"/>
        <w:ind w:right="10768"/>
        <w:rPr>
          <w:sz w:val="20"/>
        </w:rPr>
      </w:pPr>
      <w:r>
        <w:rPr>
          <w:w w:val="95"/>
          <w:sz w:val="20"/>
        </w:rPr>
        <w:t>Government</w:t>
      </w:r>
      <w:r>
        <w:rPr>
          <w:spacing w:val="-11"/>
          <w:w w:val="95"/>
          <w:sz w:val="20"/>
        </w:rPr>
        <w:t xml:space="preserve"> </w:t>
      </w:r>
      <w:r>
        <w:rPr>
          <w:w w:val="95"/>
          <w:sz w:val="20"/>
        </w:rPr>
        <w:t>railway</w:t>
      </w:r>
      <w:r>
        <w:rPr>
          <w:spacing w:val="-11"/>
          <w:w w:val="95"/>
          <w:sz w:val="20"/>
        </w:rPr>
        <w:t xml:space="preserve"> </w:t>
      </w:r>
      <w:r>
        <w:rPr>
          <w:w w:val="95"/>
          <w:sz w:val="20"/>
        </w:rPr>
        <w:t>subsidies</w:t>
      </w:r>
      <w:r>
        <w:rPr>
          <w:spacing w:val="-11"/>
          <w:w w:val="95"/>
          <w:sz w:val="20"/>
        </w:rPr>
        <w:t xml:space="preserve"> </w:t>
      </w:r>
      <w:r>
        <w:rPr>
          <w:w w:val="95"/>
          <w:sz w:val="20"/>
        </w:rPr>
        <w:t>in</w:t>
      </w:r>
      <w:r>
        <w:rPr>
          <w:spacing w:val="-11"/>
          <w:w w:val="95"/>
          <w:sz w:val="20"/>
        </w:rPr>
        <w:t xml:space="preserve"> </w:t>
      </w:r>
      <w:r>
        <w:rPr>
          <w:w w:val="95"/>
          <w:sz w:val="20"/>
        </w:rPr>
        <w:t>NSW</w:t>
      </w:r>
      <w:r>
        <w:rPr>
          <w:spacing w:val="-11"/>
          <w:w w:val="95"/>
          <w:sz w:val="20"/>
        </w:rPr>
        <w:t xml:space="preserve"> </w:t>
      </w:r>
      <w:r>
        <w:rPr>
          <w:w w:val="95"/>
          <w:sz w:val="20"/>
        </w:rPr>
        <w:t xml:space="preserve">significantly </w:t>
      </w:r>
      <w:r>
        <w:rPr>
          <w:w w:val="90"/>
          <w:sz w:val="20"/>
        </w:rPr>
        <w:t>exceed</w:t>
      </w:r>
      <w:r>
        <w:rPr>
          <w:spacing w:val="-6"/>
          <w:w w:val="90"/>
          <w:sz w:val="20"/>
        </w:rPr>
        <w:t xml:space="preserve"> </w:t>
      </w:r>
      <w:r>
        <w:rPr>
          <w:w w:val="90"/>
          <w:sz w:val="20"/>
        </w:rPr>
        <w:t>international</w:t>
      </w:r>
      <w:r>
        <w:rPr>
          <w:spacing w:val="-6"/>
          <w:w w:val="90"/>
          <w:sz w:val="20"/>
        </w:rPr>
        <w:t xml:space="preserve"> </w:t>
      </w:r>
      <w:r>
        <w:rPr>
          <w:w w:val="90"/>
          <w:sz w:val="20"/>
        </w:rPr>
        <w:t>norms,</w:t>
      </w:r>
      <w:r>
        <w:rPr>
          <w:spacing w:val="-6"/>
          <w:w w:val="90"/>
          <w:sz w:val="20"/>
        </w:rPr>
        <w:t xml:space="preserve"> </w:t>
      </w:r>
      <w:r>
        <w:rPr>
          <w:w w:val="90"/>
          <w:sz w:val="20"/>
        </w:rPr>
        <w:t>as</w:t>
      </w:r>
      <w:r>
        <w:rPr>
          <w:spacing w:val="-6"/>
          <w:w w:val="90"/>
          <w:sz w:val="20"/>
        </w:rPr>
        <w:t xml:space="preserve"> </w:t>
      </w:r>
      <w:r>
        <w:rPr>
          <w:w w:val="90"/>
          <w:sz w:val="20"/>
        </w:rPr>
        <w:t>shown</w:t>
      </w:r>
      <w:r>
        <w:rPr>
          <w:spacing w:val="-6"/>
          <w:w w:val="90"/>
          <w:sz w:val="20"/>
        </w:rPr>
        <w:t xml:space="preserve"> </w:t>
      </w:r>
      <w:r>
        <w:rPr>
          <w:w w:val="90"/>
          <w:sz w:val="20"/>
        </w:rPr>
        <w:t>in</w:t>
      </w:r>
      <w:r>
        <w:rPr>
          <w:spacing w:val="-6"/>
          <w:w w:val="90"/>
          <w:sz w:val="20"/>
        </w:rPr>
        <w:t xml:space="preserve"> </w:t>
      </w:r>
      <w:r>
        <w:rPr>
          <w:w w:val="90"/>
          <w:sz w:val="20"/>
        </w:rPr>
        <w:t>Table</w:t>
      </w:r>
      <w:r>
        <w:rPr>
          <w:spacing w:val="-6"/>
          <w:w w:val="90"/>
          <w:sz w:val="20"/>
        </w:rPr>
        <w:t xml:space="preserve"> </w:t>
      </w:r>
      <w:r>
        <w:rPr>
          <w:w w:val="90"/>
          <w:sz w:val="20"/>
        </w:rPr>
        <w:t>8.1.</w:t>
      </w:r>
      <w:r>
        <w:rPr>
          <w:spacing w:val="-6"/>
          <w:w w:val="90"/>
          <w:sz w:val="20"/>
        </w:rPr>
        <w:t xml:space="preserve"> </w:t>
      </w:r>
      <w:r>
        <w:rPr>
          <w:w w:val="90"/>
          <w:sz w:val="20"/>
        </w:rPr>
        <w:t xml:space="preserve">Each </w:t>
      </w:r>
      <w:r>
        <w:rPr>
          <w:w w:val="95"/>
          <w:sz w:val="20"/>
        </w:rPr>
        <w:t>trip</w:t>
      </w:r>
      <w:r>
        <w:rPr>
          <w:spacing w:val="-3"/>
          <w:w w:val="95"/>
          <w:sz w:val="20"/>
        </w:rPr>
        <w:t xml:space="preserve"> </w:t>
      </w:r>
      <w:r>
        <w:rPr>
          <w:w w:val="95"/>
          <w:sz w:val="20"/>
        </w:rPr>
        <w:t>currently</w:t>
      </w:r>
      <w:r>
        <w:rPr>
          <w:spacing w:val="-3"/>
          <w:w w:val="95"/>
          <w:sz w:val="20"/>
        </w:rPr>
        <w:t xml:space="preserve"> </w:t>
      </w:r>
      <w:r>
        <w:rPr>
          <w:w w:val="95"/>
          <w:sz w:val="20"/>
        </w:rPr>
        <w:t>costs</w:t>
      </w:r>
      <w:r>
        <w:rPr>
          <w:spacing w:val="-3"/>
          <w:w w:val="95"/>
          <w:sz w:val="20"/>
        </w:rPr>
        <w:t xml:space="preserve"> </w:t>
      </w:r>
      <w:r>
        <w:rPr>
          <w:w w:val="95"/>
          <w:sz w:val="20"/>
        </w:rPr>
        <w:t>the</w:t>
      </w:r>
      <w:r>
        <w:rPr>
          <w:spacing w:val="-3"/>
          <w:w w:val="95"/>
          <w:sz w:val="20"/>
        </w:rPr>
        <w:t xml:space="preserve"> </w:t>
      </w:r>
      <w:r>
        <w:rPr>
          <w:w w:val="95"/>
          <w:sz w:val="20"/>
        </w:rPr>
        <w:t>NSW</w:t>
      </w:r>
      <w:r>
        <w:rPr>
          <w:spacing w:val="-3"/>
          <w:w w:val="95"/>
          <w:sz w:val="20"/>
        </w:rPr>
        <w:t xml:space="preserve"> </w:t>
      </w:r>
      <w:r>
        <w:rPr>
          <w:w w:val="95"/>
          <w:sz w:val="20"/>
        </w:rPr>
        <w:t>taxpayer</w:t>
      </w:r>
      <w:r>
        <w:rPr>
          <w:spacing w:val="-3"/>
          <w:w w:val="95"/>
          <w:sz w:val="20"/>
        </w:rPr>
        <w:t xml:space="preserve"> </w:t>
      </w:r>
      <w:r>
        <w:rPr>
          <w:w w:val="95"/>
          <w:sz w:val="20"/>
        </w:rPr>
        <w:t>around</w:t>
      </w:r>
      <w:r>
        <w:rPr>
          <w:spacing w:val="-3"/>
          <w:w w:val="95"/>
          <w:sz w:val="20"/>
        </w:rPr>
        <w:t xml:space="preserve"> </w:t>
      </w:r>
      <w:r>
        <w:rPr>
          <w:w w:val="95"/>
          <w:sz w:val="20"/>
        </w:rPr>
        <w:t>$9.45, compared with $6.81 only four years ago</w:t>
      </w:r>
      <w:r>
        <w:rPr>
          <w:w w:val="95"/>
          <w:position w:val="7"/>
          <w:sz w:val="11"/>
        </w:rPr>
        <w:t>5</w:t>
      </w:r>
      <w:r>
        <w:rPr>
          <w:w w:val="95"/>
          <w:sz w:val="20"/>
        </w:rPr>
        <w:t>.</w:t>
      </w:r>
    </w:p>
    <w:p w:rsidR="002C1123" w:rsidRDefault="00F22F94">
      <w:pPr>
        <w:pStyle w:val="ListParagraph"/>
        <w:numPr>
          <w:ilvl w:val="0"/>
          <w:numId w:val="84"/>
        </w:numPr>
        <w:tabs>
          <w:tab w:val="left" w:pos="776"/>
        </w:tabs>
        <w:spacing w:before="132" w:line="249" w:lineRule="auto"/>
        <w:ind w:right="10796"/>
        <w:rPr>
          <w:sz w:val="20"/>
        </w:rPr>
      </w:pPr>
      <w:r>
        <w:rPr>
          <w:w w:val="95"/>
          <w:sz w:val="20"/>
        </w:rPr>
        <w:t>The</w:t>
      </w:r>
      <w:r>
        <w:rPr>
          <w:spacing w:val="-7"/>
          <w:w w:val="95"/>
          <w:sz w:val="20"/>
        </w:rPr>
        <w:t xml:space="preserve"> </w:t>
      </w:r>
      <w:r>
        <w:rPr>
          <w:w w:val="95"/>
          <w:sz w:val="20"/>
        </w:rPr>
        <w:t>configuration</w:t>
      </w:r>
      <w:r>
        <w:rPr>
          <w:spacing w:val="-7"/>
          <w:w w:val="95"/>
          <w:sz w:val="20"/>
        </w:rPr>
        <w:t xml:space="preserve"> </w:t>
      </w:r>
      <w:r>
        <w:rPr>
          <w:w w:val="95"/>
          <w:sz w:val="20"/>
        </w:rPr>
        <w:t>of</w:t>
      </w:r>
      <w:r>
        <w:rPr>
          <w:spacing w:val="-7"/>
          <w:w w:val="95"/>
          <w:sz w:val="20"/>
        </w:rPr>
        <w:t xml:space="preserve"> </w:t>
      </w:r>
      <w:r>
        <w:rPr>
          <w:w w:val="95"/>
          <w:sz w:val="20"/>
        </w:rPr>
        <w:t>the</w:t>
      </w:r>
      <w:r>
        <w:rPr>
          <w:spacing w:val="-7"/>
          <w:w w:val="95"/>
          <w:sz w:val="20"/>
        </w:rPr>
        <w:t xml:space="preserve"> </w:t>
      </w:r>
      <w:r>
        <w:rPr>
          <w:w w:val="95"/>
          <w:sz w:val="20"/>
        </w:rPr>
        <w:t>Sydney</w:t>
      </w:r>
      <w:r>
        <w:rPr>
          <w:spacing w:val="-7"/>
          <w:w w:val="95"/>
          <w:sz w:val="20"/>
        </w:rPr>
        <w:t xml:space="preserve"> </w:t>
      </w:r>
      <w:r>
        <w:rPr>
          <w:w w:val="95"/>
          <w:sz w:val="20"/>
        </w:rPr>
        <w:t>rail</w:t>
      </w:r>
      <w:r>
        <w:rPr>
          <w:spacing w:val="-7"/>
          <w:w w:val="95"/>
          <w:sz w:val="20"/>
        </w:rPr>
        <w:t xml:space="preserve"> </w:t>
      </w:r>
      <w:r>
        <w:rPr>
          <w:w w:val="95"/>
          <w:sz w:val="20"/>
        </w:rPr>
        <w:t>network</w:t>
      </w:r>
      <w:r>
        <w:rPr>
          <w:spacing w:val="-7"/>
          <w:w w:val="95"/>
          <w:sz w:val="20"/>
        </w:rPr>
        <w:t xml:space="preserve"> </w:t>
      </w:r>
      <w:r>
        <w:rPr>
          <w:w w:val="95"/>
          <w:sz w:val="20"/>
        </w:rPr>
        <w:t>is</w:t>
      </w:r>
      <w:r>
        <w:rPr>
          <w:spacing w:val="-7"/>
          <w:w w:val="95"/>
          <w:sz w:val="20"/>
        </w:rPr>
        <w:t xml:space="preserve"> </w:t>
      </w:r>
      <w:r>
        <w:rPr>
          <w:w w:val="95"/>
          <w:sz w:val="20"/>
        </w:rPr>
        <w:t xml:space="preserve">shown </w:t>
      </w:r>
      <w:r>
        <w:rPr>
          <w:sz w:val="20"/>
        </w:rPr>
        <w:t>in Figure 8.1.</w:t>
      </w:r>
    </w:p>
    <w:p w:rsidR="002C1123" w:rsidRDefault="00F22F94">
      <w:pPr>
        <w:pStyle w:val="ListParagraph"/>
        <w:numPr>
          <w:ilvl w:val="0"/>
          <w:numId w:val="84"/>
        </w:numPr>
        <w:tabs>
          <w:tab w:val="left" w:pos="776"/>
        </w:tabs>
        <w:spacing w:before="131" w:line="249" w:lineRule="auto"/>
        <w:ind w:right="10913"/>
        <w:rPr>
          <w:sz w:val="20"/>
        </w:rPr>
      </w:pPr>
      <w:r>
        <w:rPr>
          <w:sz w:val="20"/>
        </w:rPr>
        <w:t>The</w:t>
      </w:r>
      <w:r>
        <w:rPr>
          <w:spacing w:val="-3"/>
          <w:sz w:val="20"/>
        </w:rPr>
        <w:t xml:space="preserve"> </w:t>
      </w:r>
      <w:r>
        <w:rPr>
          <w:sz w:val="20"/>
        </w:rPr>
        <w:t>network</w:t>
      </w:r>
      <w:r>
        <w:rPr>
          <w:spacing w:val="-3"/>
          <w:sz w:val="20"/>
        </w:rPr>
        <w:t xml:space="preserve"> </w:t>
      </w:r>
      <w:r>
        <w:rPr>
          <w:sz w:val="20"/>
        </w:rPr>
        <w:t>exhibits</w:t>
      </w:r>
      <w:r>
        <w:rPr>
          <w:spacing w:val="-3"/>
          <w:sz w:val="20"/>
        </w:rPr>
        <w:t xml:space="preserve"> </w:t>
      </w:r>
      <w:r>
        <w:rPr>
          <w:sz w:val="20"/>
        </w:rPr>
        <w:t>strong</w:t>
      </w:r>
      <w:r>
        <w:rPr>
          <w:spacing w:val="-3"/>
          <w:sz w:val="20"/>
        </w:rPr>
        <w:t xml:space="preserve"> </w:t>
      </w:r>
      <w:r>
        <w:rPr>
          <w:sz w:val="20"/>
        </w:rPr>
        <w:t>demand</w:t>
      </w:r>
      <w:r>
        <w:rPr>
          <w:spacing w:val="-3"/>
          <w:sz w:val="20"/>
        </w:rPr>
        <w:t xml:space="preserve"> </w:t>
      </w:r>
      <w:r>
        <w:rPr>
          <w:sz w:val="20"/>
        </w:rPr>
        <w:t>peaks</w:t>
      </w:r>
      <w:r>
        <w:rPr>
          <w:spacing w:val="-3"/>
          <w:sz w:val="20"/>
        </w:rPr>
        <w:t xml:space="preserve"> </w:t>
      </w:r>
      <w:r>
        <w:rPr>
          <w:sz w:val="20"/>
        </w:rPr>
        <w:t>on weekday</w:t>
      </w:r>
      <w:r>
        <w:rPr>
          <w:spacing w:val="-13"/>
          <w:sz w:val="20"/>
        </w:rPr>
        <w:t xml:space="preserve"> </w:t>
      </w:r>
      <w:r>
        <w:rPr>
          <w:sz w:val="20"/>
        </w:rPr>
        <w:t>mornings</w:t>
      </w:r>
      <w:r>
        <w:rPr>
          <w:spacing w:val="-13"/>
          <w:sz w:val="20"/>
        </w:rPr>
        <w:t xml:space="preserve"> </w:t>
      </w:r>
      <w:r>
        <w:rPr>
          <w:sz w:val="20"/>
        </w:rPr>
        <w:t>and</w:t>
      </w:r>
      <w:r>
        <w:rPr>
          <w:spacing w:val="-13"/>
          <w:sz w:val="20"/>
        </w:rPr>
        <w:t xml:space="preserve"> </w:t>
      </w:r>
      <w:r>
        <w:rPr>
          <w:sz w:val="20"/>
        </w:rPr>
        <w:t>evenings,</w:t>
      </w:r>
      <w:r>
        <w:rPr>
          <w:spacing w:val="-13"/>
          <w:sz w:val="20"/>
        </w:rPr>
        <w:t xml:space="preserve"> </w:t>
      </w:r>
      <w:r>
        <w:rPr>
          <w:sz w:val="20"/>
        </w:rPr>
        <w:t>partly</w:t>
      </w:r>
      <w:r>
        <w:rPr>
          <w:spacing w:val="-13"/>
          <w:sz w:val="20"/>
        </w:rPr>
        <w:t xml:space="preserve"> </w:t>
      </w:r>
      <w:r>
        <w:rPr>
          <w:sz w:val="20"/>
        </w:rPr>
        <w:t xml:space="preserve">reflecting </w:t>
      </w:r>
      <w:r>
        <w:rPr>
          <w:w w:val="95"/>
          <w:sz w:val="20"/>
        </w:rPr>
        <w:t>the</w:t>
      </w:r>
      <w:r>
        <w:rPr>
          <w:spacing w:val="-5"/>
          <w:w w:val="95"/>
          <w:sz w:val="20"/>
        </w:rPr>
        <w:t xml:space="preserve"> </w:t>
      </w:r>
      <w:r>
        <w:rPr>
          <w:w w:val="95"/>
          <w:sz w:val="20"/>
        </w:rPr>
        <w:t>relative</w:t>
      </w:r>
      <w:r>
        <w:rPr>
          <w:spacing w:val="-6"/>
          <w:w w:val="95"/>
          <w:sz w:val="20"/>
        </w:rPr>
        <w:t xml:space="preserve"> </w:t>
      </w:r>
      <w:r>
        <w:rPr>
          <w:w w:val="95"/>
          <w:sz w:val="20"/>
        </w:rPr>
        <w:t>lack</w:t>
      </w:r>
      <w:r>
        <w:rPr>
          <w:spacing w:val="-5"/>
          <w:w w:val="95"/>
          <w:sz w:val="20"/>
        </w:rPr>
        <w:t xml:space="preserve"> </w:t>
      </w:r>
      <w:r>
        <w:rPr>
          <w:w w:val="95"/>
          <w:sz w:val="20"/>
        </w:rPr>
        <w:t>of</w:t>
      </w:r>
      <w:r>
        <w:rPr>
          <w:spacing w:val="-6"/>
          <w:w w:val="95"/>
          <w:sz w:val="20"/>
        </w:rPr>
        <w:t xml:space="preserve"> </w:t>
      </w:r>
      <w:r>
        <w:rPr>
          <w:w w:val="95"/>
          <w:sz w:val="20"/>
        </w:rPr>
        <w:t>demand</w:t>
      </w:r>
      <w:r>
        <w:rPr>
          <w:spacing w:val="-5"/>
          <w:w w:val="95"/>
          <w:sz w:val="20"/>
        </w:rPr>
        <w:t xml:space="preserve"> </w:t>
      </w:r>
      <w:r>
        <w:rPr>
          <w:w w:val="95"/>
          <w:sz w:val="20"/>
        </w:rPr>
        <w:t>management</w:t>
      </w:r>
      <w:r>
        <w:rPr>
          <w:spacing w:val="-6"/>
          <w:w w:val="95"/>
          <w:sz w:val="20"/>
        </w:rPr>
        <w:t xml:space="preserve"> </w:t>
      </w:r>
      <w:r>
        <w:rPr>
          <w:w w:val="95"/>
          <w:sz w:val="20"/>
        </w:rPr>
        <w:t xml:space="preserve">strategies. </w:t>
      </w:r>
      <w:r>
        <w:rPr>
          <w:sz w:val="20"/>
        </w:rPr>
        <w:t>Figure</w:t>
      </w:r>
      <w:r>
        <w:rPr>
          <w:spacing w:val="-9"/>
          <w:sz w:val="20"/>
        </w:rPr>
        <w:t xml:space="preserve"> </w:t>
      </w:r>
      <w:r>
        <w:rPr>
          <w:sz w:val="20"/>
        </w:rPr>
        <w:t>8.2</w:t>
      </w:r>
      <w:r>
        <w:rPr>
          <w:spacing w:val="-9"/>
          <w:sz w:val="20"/>
        </w:rPr>
        <w:t xml:space="preserve"> </w:t>
      </w:r>
      <w:r>
        <w:rPr>
          <w:sz w:val="20"/>
        </w:rPr>
        <w:t>summarises</w:t>
      </w:r>
      <w:r>
        <w:rPr>
          <w:spacing w:val="-9"/>
          <w:sz w:val="20"/>
        </w:rPr>
        <w:t xml:space="preserve"> </w:t>
      </w:r>
      <w:r>
        <w:rPr>
          <w:sz w:val="20"/>
        </w:rPr>
        <w:t>demand</w:t>
      </w:r>
      <w:r>
        <w:rPr>
          <w:spacing w:val="-9"/>
          <w:sz w:val="20"/>
        </w:rPr>
        <w:t xml:space="preserve"> </w:t>
      </w:r>
      <w:r>
        <w:rPr>
          <w:sz w:val="20"/>
        </w:rPr>
        <w:t>at</w:t>
      </w:r>
      <w:r>
        <w:rPr>
          <w:spacing w:val="-9"/>
          <w:sz w:val="20"/>
        </w:rPr>
        <w:t xml:space="preserve"> </w:t>
      </w:r>
      <w:r>
        <w:rPr>
          <w:sz w:val="20"/>
        </w:rPr>
        <w:t>CBD</w:t>
      </w:r>
      <w:r>
        <w:rPr>
          <w:spacing w:val="-9"/>
          <w:sz w:val="20"/>
        </w:rPr>
        <w:t xml:space="preserve"> </w:t>
      </w:r>
      <w:r>
        <w:rPr>
          <w:sz w:val="20"/>
        </w:rPr>
        <w:t>stations across</w:t>
      </w:r>
      <w:r>
        <w:rPr>
          <w:spacing w:val="-11"/>
          <w:sz w:val="20"/>
        </w:rPr>
        <w:t xml:space="preserve"> </w:t>
      </w:r>
      <w:r>
        <w:rPr>
          <w:sz w:val="20"/>
        </w:rPr>
        <w:t>the</w:t>
      </w:r>
      <w:r>
        <w:rPr>
          <w:spacing w:val="-11"/>
          <w:sz w:val="20"/>
        </w:rPr>
        <w:t xml:space="preserve"> </w:t>
      </w:r>
      <w:r>
        <w:rPr>
          <w:sz w:val="20"/>
        </w:rPr>
        <w:t>week.</w:t>
      </w:r>
      <w:r>
        <w:rPr>
          <w:spacing w:val="-11"/>
          <w:sz w:val="20"/>
        </w:rPr>
        <w:t xml:space="preserve"> </w:t>
      </w:r>
      <w:r>
        <w:rPr>
          <w:sz w:val="20"/>
        </w:rPr>
        <w:t>Similar</w:t>
      </w:r>
      <w:r>
        <w:rPr>
          <w:spacing w:val="-11"/>
          <w:sz w:val="20"/>
        </w:rPr>
        <w:t xml:space="preserve"> </w:t>
      </w:r>
      <w:r>
        <w:rPr>
          <w:sz w:val="20"/>
        </w:rPr>
        <w:t>patterns</w:t>
      </w:r>
      <w:r>
        <w:rPr>
          <w:spacing w:val="-11"/>
          <w:sz w:val="20"/>
        </w:rPr>
        <w:t xml:space="preserve"> </w:t>
      </w:r>
      <w:r>
        <w:rPr>
          <w:sz w:val="20"/>
        </w:rPr>
        <w:t>exist</w:t>
      </w:r>
      <w:r>
        <w:rPr>
          <w:spacing w:val="-11"/>
          <w:sz w:val="20"/>
        </w:rPr>
        <w:t xml:space="preserve"> </w:t>
      </w:r>
      <w:r>
        <w:rPr>
          <w:sz w:val="20"/>
        </w:rPr>
        <w:t>at</w:t>
      </w:r>
      <w:r>
        <w:rPr>
          <w:spacing w:val="-11"/>
          <w:sz w:val="20"/>
        </w:rPr>
        <w:t xml:space="preserve"> </w:t>
      </w:r>
      <w:r>
        <w:rPr>
          <w:sz w:val="20"/>
        </w:rPr>
        <w:t>other major Sydney centres.</w:t>
      </w:r>
    </w:p>
    <w:p w:rsidR="002C1123" w:rsidRDefault="00F22F94">
      <w:pPr>
        <w:pStyle w:val="ListParagraph"/>
        <w:numPr>
          <w:ilvl w:val="0"/>
          <w:numId w:val="84"/>
        </w:numPr>
        <w:tabs>
          <w:tab w:val="left" w:pos="776"/>
        </w:tabs>
        <w:spacing w:before="133" w:line="249" w:lineRule="auto"/>
        <w:ind w:right="10984"/>
        <w:rPr>
          <w:sz w:val="20"/>
        </w:rPr>
      </w:pPr>
      <w:r>
        <w:rPr>
          <w:sz w:val="20"/>
        </w:rPr>
        <w:t>The</w:t>
      </w:r>
      <w:r>
        <w:rPr>
          <w:spacing w:val="-5"/>
          <w:sz w:val="20"/>
        </w:rPr>
        <w:t xml:space="preserve"> </w:t>
      </w:r>
      <w:r>
        <w:rPr>
          <w:sz w:val="20"/>
        </w:rPr>
        <w:t>peak</w:t>
      </w:r>
      <w:r>
        <w:rPr>
          <w:spacing w:val="-5"/>
          <w:sz w:val="20"/>
        </w:rPr>
        <w:t xml:space="preserve"> </w:t>
      </w:r>
      <w:r>
        <w:rPr>
          <w:sz w:val="20"/>
        </w:rPr>
        <w:t>passenger</w:t>
      </w:r>
      <w:r>
        <w:rPr>
          <w:spacing w:val="-5"/>
          <w:sz w:val="20"/>
        </w:rPr>
        <w:t xml:space="preserve"> </w:t>
      </w:r>
      <w:r>
        <w:rPr>
          <w:sz w:val="20"/>
        </w:rPr>
        <w:t>flows</w:t>
      </w:r>
      <w:r>
        <w:rPr>
          <w:spacing w:val="-5"/>
          <w:sz w:val="20"/>
        </w:rPr>
        <w:t xml:space="preserve"> </w:t>
      </w:r>
      <w:r>
        <w:rPr>
          <w:sz w:val="20"/>
        </w:rPr>
        <w:t>on</w:t>
      </w:r>
      <w:r>
        <w:rPr>
          <w:spacing w:val="-5"/>
          <w:sz w:val="20"/>
        </w:rPr>
        <w:t xml:space="preserve"> </w:t>
      </w:r>
      <w:r>
        <w:rPr>
          <w:sz w:val="20"/>
        </w:rPr>
        <w:t>the</w:t>
      </w:r>
      <w:r>
        <w:rPr>
          <w:spacing w:val="-5"/>
          <w:sz w:val="20"/>
        </w:rPr>
        <w:t xml:space="preserve"> </w:t>
      </w:r>
      <w:r>
        <w:rPr>
          <w:sz w:val="20"/>
        </w:rPr>
        <w:t>network</w:t>
      </w:r>
      <w:r>
        <w:rPr>
          <w:spacing w:val="-5"/>
          <w:sz w:val="20"/>
        </w:rPr>
        <w:t xml:space="preserve"> </w:t>
      </w:r>
      <w:r>
        <w:rPr>
          <w:sz w:val="20"/>
        </w:rPr>
        <w:t>occur between</w:t>
      </w:r>
      <w:r>
        <w:rPr>
          <w:spacing w:val="-4"/>
          <w:sz w:val="20"/>
        </w:rPr>
        <w:t xml:space="preserve"> </w:t>
      </w:r>
      <w:r>
        <w:rPr>
          <w:sz w:val="20"/>
        </w:rPr>
        <w:t>8am</w:t>
      </w:r>
      <w:r>
        <w:rPr>
          <w:spacing w:val="-5"/>
          <w:sz w:val="20"/>
        </w:rPr>
        <w:t xml:space="preserve"> </w:t>
      </w:r>
      <w:r>
        <w:rPr>
          <w:sz w:val="20"/>
        </w:rPr>
        <w:t>and</w:t>
      </w:r>
      <w:r>
        <w:rPr>
          <w:spacing w:val="-4"/>
          <w:sz w:val="20"/>
        </w:rPr>
        <w:t xml:space="preserve"> </w:t>
      </w:r>
      <w:r>
        <w:rPr>
          <w:sz w:val="20"/>
        </w:rPr>
        <w:t>9am</w:t>
      </w:r>
      <w:r>
        <w:rPr>
          <w:spacing w:val="-5"/>
          <w:sz w:val="20"/>
        </w:rPr>
        <w:t xml:space="preserve"> </w:t>
      </w:r>
      <w:r>
        <w:rPr>
          <w:sz w:val="20"/>
        </w:rPr>
        <w:t>on</w:t>
      </w:r>
      <w:r>
        <w:rPr>
          <w:spacing w:val="-4"/>
          <w:sz w:val="20"/>
        </w:rPr>
        <w:t xml:space="preserve"> </w:t>
      </w:r>
      <w:r>
        <w:rPr>
          <w:sz w:val="20"/>
        </w:rPr>
        <w:t>weekdays.</w:t>
      </w:r>
      <w:r>
        <w:rPr>
          <w:spacing w:val="-4"/>
          <w:sz w:val="20"/>
        </w:rPr>
        <w:t xml:space="preserve"> </w:t>
      </w:r>
      <w:r>
        <w:rPr>
          <w:sz w:val="20"/>
        </w:rPr>
        <w:t xml:space="preserve">Platform </w:t>
      </w:r>
      <w:r>
        <w:rPr>
          <w:w w:val="95"/>
          <w:sz w:val="20"/>
        </w:rPr>
        <w:t>crowding</w:t>
      </w:r>
      <w:r>
        <w:rPr>
          <w:spacing w:val="-3"/>
          <w:w w:val="95"/>
          <w:sz w:val="20"/>
        </w:rPr>
        <w:t xml:space="preserve"> </w:t>
      </w:r>
      <w:r>
        <w:rPr>
          <w:w w:val="95"/>
          <w:sz w:val="20"/>
        </w:rPr>
        <w:t>most</w:t>
      </w:r>
      <w:r>
        <w:rPr>
          <w:spacing w:val="-3"/>
          <w:w w:val="95"/>
          <w:sz w:val="20"/>
        </w:rPr>
        <w:t xml:space="preserve"> </w:t>
      </w:r>
      <w:r>
        <w:rPr>
          <w:w w:val="95"/>
          <w:sz w:val="20"/>
        </w:rPr>
        <w:t>often</w:t>
      </w:r>
      <w:r>
        <w:rPr>
          <w:spacing w:val="-3"/>
          <w:w w:val="95"/>
          <w:sz w:val="20"/>
        </w:rPr>
        <w:t xml:space="preserve"> </w:t>
      </w:r>
      <w:r>
        <w:rPr>
          <w:w w:val="95"/>
          <w:sz w:val="20"/>
        </w:rPr>
        <w:t>occurs</w:t>
      </w:r>
      <w:r>
        <w:rPr>
          <w:spacing w:val="-3"/>
          <w:w w:val="95"/>
          <w:sz w:val="20"/>
        </w:rPr>
        <w:t xml:space="preserve"> </w:t>
      </w:r>
      <w:r>
        <w:rPr>
          <w:w w:val="95"/>
          <w:sz w:val="20"/>
        </w:rPr>
        <w:t>at</w:t>
      </w:r>
      <w:r>
        <w:rPr>
          <w:spacing w:val="-3"/>
          <w:w w:val="95"/>
          <w:sz w:val="20"/>
        </w:rPr>
        <w:t xml:space="preserve"> </w:t>
      </w:r>
      <w:r>
        <w:rPr>
          <w:w w:val="95"/>
          <w:sz w:val="20"/>
        </w:rPr>
        <w:t>Town</w:t>
      </w:r>
      <w:r>
        <w:rPr>
          <w:spacing w:val="-3"/>
          <w:w w:val="95"/>
          <w:sz w:val="20"/>
        </w:rPr>
        <w:t xml:space="preserve"> </w:t>
      </w:r>
      <w:r>
        <w:rPr>
          <w:w w:val="95"/>
          <w:sz w:val="20"/>
        </w:rPr>
        <w:t>Hall,</w:t>
      </w:r>
      <w:r>
        <w:rPr>
          <w:spacing w:val="-3"/>
          <w:w w:val="95"/>
          <w:sz w:val="20"/>
        </w:rPr>
        <w:t xml:space="preserve"> </w:t>
      </w:r>
      <w:r>
        <w:rPr>
          <w:w w:val="95"/>
          <w:sz w:val="20"/>
        </w:rPr>
        <w:t xml:space="preserve">Wynyard </w:t>
      </w:r>
      <w:r>
        <w:rPr>
          <w:sz w:val="20"/>
        </w:rPr>
        <w:t>and</w:t>
      </w:r>
      <w:r>
        <w:rPr>
          <w:spacing w:val="-4"/>
          <w:sz w:val="20"/>
        </w:rPr>
        <w:t xml:space="preserve"> </w:t>
      </w:r>
      <w:r>
        <w:rPr>
          <w:sz w:val="20"/>
        </w:rPr>
        <w:t>Central</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evening</w:t>
      </w:r>
      <w:r>
        <w:rPr>
          <w:spacing w:val="-4"/>
          <w:sz w:val="20"/>
        </w:rPr>
        <w:t xml:space="preserve"> </w:t>
      </w:r>
      <w:r>
        <w:rPr>
          <w:sz w:val="20"/>
        </w:rPr>
        <w:t>peak.</w:t>
      </w:r>
    </w:p>
    <w:p w:rsidR="002C1123" w:rsidRDefault="002C1123">
      <w:pPr>
        <w:pStyle w:val="BodyText"/>
      </w:pPr>
    </w:p>
    <w:p w:rsidR="002C1123" w:rsidRDefault="002C1123">
      <w:pPr>
        <w:pStyle w:val="BodyText"/>
      </w:pPr>
    </w:p>
    <w:p w:rsidR="002C1123" w:rsidRDefault="002060EF">
      <w:pPr>
        <w:pStyle w:val="BodyText"/>
        <w:spacing w:before="8"/>
        <w:rPr>
          <w:sz w:val="19"/>
        </w:rPr>
      </w:pPr>
      <w:r>
        <w:pict>
          <v:shape id="docshape1446" o:spid="_x0000_s3787" style="position:absolute;margin-left:49.6pt;margin-top:12.55pt;width:1in;height:.1pt;z-index:-251375616;mso-wrap-distance-left:0;mso-wrap-distance-right:0;mso-position-horizontal-relative:page" coordorigin="992,251" coordsize="1440,0" path="m992,251r1440,e" filled="f" strokecolor="#9c9c9d" strokeweight=".5pt">
            <v:path arrowok="t"/>
            <w10:wrap type="topAndBottom" anchorx="page"/>
          </v:shape>
        </w:pict>
      </w:r>
    </w:p>
    <w:p w:rsidR="002C1123" w:rsidRDefault="00F22F94">
      <w:pPr>
        <w:pStyle w:val="ListParagraph"/>
        <w:numPr>
          <w:ilvl w:val="2"/>
          <w:numId w:val="85"/>
        </w:numPr>
        <w:tabs>
          <w:tab w:val="left" w:pos="691"/>
        </w:tabs>
        <w:spacing w:before="23"/>
        <w:ind w:left="690"/>
        <w:jc w:val="left"/>
        <w:rPr>
          <w:sz w:val="14"/>
        </w:rPr>
      </w:pPr>
      <w:r>
        <w:rPr>
          <w:w w:val="95"/>
          <w:sz w:val="14"/>
        </w:rPr>
        <w:t>RailCorp</w:t>
      </w:r>
      <w:r>
        <w:rPr>
          <w:spacing w:val="-1"/>
          <w:w w:val="95"/>
          <w:sz w:val="14"/>
        </w:rPr>
        <w:t xml:space="preserve"> </w:t>
      </w:r>
      <w:r>
        <w:rPr>
          <w:w w:val="95"/>
          <w:sz w:val="14"/>
        </w:rPr>
        <w:t>2011,</w:t>
      </w:r>
      <w:r>
        <w:rPr>
          <w:spacing w:val="-2"/>
          <w:sz w:val="14"/>
        </w:rPr>
        <w:t xml:space="preserve"> </w:t>
      </w:r>
      <w:r>
        <w:rPr>
          <w:w w:val="95"/>
          <w:sz w:val="14"/>
        </w:rPr>
        <w:t>Annual</w:t>
      </w:r>
      <w:r>
        <w:rPr>
          <w:spacing w:val="-2"/>
          <w:sz w:val="14"/>
        </w:rPr>
        <w:t xml:space="preserve"> </w:t>
      </w:r>
      <w:r>
        <w:rPr>
          <w:w w:val="95"/>
          <w:sz w:val="14"/>
        </w:rPr>
        <w:t>Report</w:t>
      </w:r>
      <w:r>
        <w:rPr>
          <w:spacing w:val="-2"/>
          <w:sz w:val="14"/>
        </w:rPr>
        <w:t xml:space="preserve"> </w:t>
      </w:r>
      <w:r>
        <w:rPr>
          <w:w w:val="95"/>
          <w:sz w:val="14"/>
        </w:rPr>
        <w:t>2010-</w:t>
      </w:r>
      <w:r>
        <w:rPr>
          <w:spacing w:val="-5"/>
          <w:w w:val="95"/>
          <w:sz w:val="14"/>
        </w:rPr>
        <w:t>11.</w:t>
      </w:r>
    </w:p>
    <w:p w:rsidR="002C1123" w:rsidRDefault="002C1123">
      <w:pPr>
        <w:rPr>
          <w:sz w:val="14"/>
        </w:rPr>
        <w:sectPr w:rsidR="002C1123">
          <w:type w:val="continuous"/>
          <w:pgSz w:w="16840" w:h="11910" w:orient="landscape"/>
          <w:pgMar w:top="560" w:right="280" w:bottom="280" w:left="500" w:header="0" w:footer="517"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7"/>
        </w:rPr>
      </w:pPr>
    </w:p>
    <w:p w:rsidR="002C1123" w:rsidRDefault="002C1123">
      <w:pPr>
        <w:rPr>
          <w:sz w:val="17"/>
        </w:rPr>
        <w:sectPr w:rsidR="002C1123">
          <w:pgSz w:w="16840" w:h="11910" w:orient="landscape"/>
          <w:pgMar w:top="560" w:right="280" w:bottom="700" w:left="500" w:header="0" w:footer="517" w:gutter="0"/>
          <w:cols w:space="720"/>
        </w:sectPr>
      </w:pPr>
    </w:p>
    <w:p w:rsidR="002C1123" w:rsidRDefault="00F22F94">
      <w:pPr>
        <w:pStyle w:val="Heading5"/>
        <w:numPr>
          <w:ilvl w:val="1"/>
          <w:numId w:val="86"/>
        </w:numPr>
        <w:tabs>
          <w:tab w:val="left" w:pos="942"/>
        </w:tabs>
        <w:ind w:left="941" w:hanging="450"/>
        <w:jc w:val="left"/>
        <w:rPr>
          <w:color w:val="00AEEF"/>
        </w:rPr>
      </w:pPr>
      <w:bookmarkStart w:id="216" w:name="8.2_Infrastructure_NSW’s_approach_"/>
      <w:bookmarkStart w:id="217" w:name="8.3_The_high_capacity_railway"/>
      <w:bookmarkStart w:id="218" w:name="_bookmark155"/>
      <w:bookmarkStart w:id="219" w:name="_bookmark154"/>
      <w:bookmarkEnd w:id="216"/>
      <w:bookmarkEnd w:id="217"/>
      <w:bookmarkEnd w:id="218"/>
      <w:bookmarkEnd w:id="219"/>
      <w:r>
        <w:rPr>
          <w:color w:val="00AEEF"/>
          <w:spacing w:val="-6"/>
        </w:rPr>
        <w:t>Infrastructure</w:t>
      </w:r>
      <w:r>
        <w:rPr>
          <w:color w:val="00AEEF"/>
          <w:spacing w:val="-9"/>
        </w:rPr>
        <w:t xml:space="preserve"> </w:t>
      </w:r>
      <w:r>
        <w:rPr>
          <w:color w:val="00AEEF"/>
          <w:spacing w:val="-6"/>
        </w:rPr>
        <w:t>NSW’s</w:t>
      </w:r>
      <w:r>
        <w:rPr>
          <w:color w:val="00AEEF"/>
          <w:spacing w:val="-8"/>
        </w:rPr>
        <w:t xml:space="preserve"> </w:t>
      </w:r>
      <w:r>
        <w:rPr>
          <w:color w:val="00AEEF"/>
          <w:spacing w:val="-6"/>
        </w:rPr>
        <w:t>approach</w:t>
      </w:r>
    </w:p>
    <w:p w:rsidR="002C1123" w:rsidRDefault="00F22F94">
      <w:pPr>
        <w:pStyle w:val="BodyText"/>
        <w:spacing w:before="135" w:line="249" w:lineRule="auto"/>
        <w:ind w:left="492" w:right="11"/>
      </w:pPr>
      <w:r>
        <w:t>The</w:t>
      </w:r>
      <w:r>
        <w:rPr>
          <w:spacing w:val="-14"/>
        </w:rPr>
        <w:t xml:space="preserve"> </w:t>
      </w:r>
      <w:r>
        <w:t>Government</w:t>
      </w:r>
      <w:r>
        <w:rPr>
          <w:spacing w:val="-14"/>
        </w:rPr>
        <w:t xml:space="preserve"> </w:t>
      </w:r>
      <w:r>
        <w:t>has</w:t>
      </w:r>
      <w:r>
        <w:rPr>
          <w:spacing w:val="-14"/>
        </w:rPr>
        <w:t xml:space="preserve"> </w:t>
      </w:r>
      <w:r>
        <w:t>recognised</w:t>
      </w:r>
      <w:r>
        <w:rPr>
          <w:spacing w:val="-14"/>
        </w:rPr>
        <w:t xml:space="preserve"> </w:t>
      </w:r>
      <w:r>
        <w:t>that</w:t>
      </w:r>
      <w:r>
        <w:rPr>
          <w:spacing w:val="-14"/>
        </w:rPr>
        <w:t xml:space="preserve"> </w:t>
      </w:r>
      <w:r>
        <w:t>the</w:t>
      </w:r>
      <w:r>
        <w:rPr>
          <w:spacing w:val="-14"/>
        </w:rPr>
        <w:t xml:space="preserve"> </w:t>
      </w:r>
      <w:r>
        <w:t xml:space="preserve">current </w:t>
      </w:r>
      <w:r>
        <w:rPr>
          <w:w w:val="95"/>
        </w:rPr>
        <w:t xml:space="preserve">subsidy of passenger rail places an unsustainable </w:t>
      </w:r>
      <w:r>
        <w:t>burden</w:t>
      </w:r>
      <w:r>
        <w:rPr>
          <w:spacing w:val="-7"/>
        </w:rPr>
        <w:t xml:space="preserve"> </w:t>
      </w:r>
      <w:r>
        <w:t>on</w:t>
      </w:r>
      <w:r>
        <w:rPr>
          <w:spacing w:val="-7"/>
        </w:rPr>
        <w:t xml:space="preserve"> </w:t>
      </w:r>
      <w:r>
        <w:t>the</w:t>
      </w:r>
      <w:r>
        <w:rPr>
          <w:spacing w:val="-7"/>
        </w:rPr>
        <w:t xml:space="preserve"> </w:t>
      </w:r>
      <w:r>
        <w:t>taxpayer,</w:t>
      </w:r>
      <w:r>
        <w:rPr>
          <w:spacing w:val="-7"/>
        </w:rPr>
        <w:t xml:space="preserve"> </w:t>
      </w:r>
      <w:r>
        <w:t>and</w:t>
      </w:r>
      <w:r>
        <w:rPr>
          <w:spacing w:val="-7"/>
        </w:rPr>
        <w:t xml:space="preserve"> </w:t>
      </w:r>
      <w:r>
        <w:t>diverts</w:t>
      </w:r>
      <w:r>
        <w:rPr>
          <w:spacing w:val="-7"/>
        </w:rPr>
        <w:t xml:space="preserve"> </w:t>
      </w:r>
      <w:r>
        <w:t>funds</w:t>
      </w:r>
      <w:r>
        <w:rPr>
          <w:spacing w:val="-7"/>
        </w:rPr>
        <w:t xml:space="preserve"> </w:t>
      </w:r>
      <w:r>
        <w:t xml:space="preserve">which </w:t>
      </w:r>
      <w:r>
        <w:rPr>
          <w:w w:val="95"/>
        </w:rPr>
        <w:t>otherwise could be invested in new infrastructure.</w:t>
      </w:r>
    </w:p>
    <w:p w:rsidR="002C1123" w:rsidRDefault="00F22F94">
      <w:pPr>
        <w:pStyle w:val="BodyText"/>
        <w:spacing w:before="3" w:line="249" w:lineRule="auto"/>
        <w:ind w:left="492" w:right="11"/>
      </w:pPr>
      <w:r>
        <w:t>In</w:t>
      </w:r>
      <w:r>
        <w:rPr>
          <w:spacing w:val="-14"/>
        </w:rPr>
        <w:t xml:space="preserve"> </w:t>
      </w:r>
      <w:r>
        <w:t>February</w:t>
      </w:r>
      <w:r>
        <w:rPr>
          <w:spacing w:val="-14"/>
        </w:rPr>
        <w:t xml:space="preserve"> </w:t>
      </w:r>
      <w:r>
        <w:t>2012,</w:t>
      </w:r>
      <w:r>
        <w:rPr>
          <w:spacing w:val="-14"/>
        </w:rPr>
        <w:t xml:space="preserve"> </w:t>
      </w:r>
      <w:r>
        <w:t>Transport</w:t>
      </w:r>
      <w:r>
        <w:rPr>
          <w:spacing w:val="-14"/>
        </w:rPr>
        <w:t xml:space="preserve"> </w:t>
      </w:r>
      <w:r>
        <w:t>for</w:t>
      </w:r>
      <w:r>
        <w:rPr>
          <w:spacing w:val="-14"/>
        </w:rPr>
        <w:t xml:space="preserve"> </w:t>
      </w:r>
      <w:r>
        <w:t>NSW</w:t>
      </w:r>
      <w:r>
        <w:rPr>
          <w:spacing w:val="-14"/>
        </w:rPr>
        <w:t xml:space="preserve"> </w:t>
      </w:r>
      <w:r>
        <w:t>announced</w:t>
      </w:r>
      <w:r>
        <w:rPr>
          <w:spacing w:val="-14"/>
        </w:rPr>
        <w:t xml:space="preserve"> </w:t>
      </w:r>
      <w:r>
        <w:t>a reform</w:t>
      </w:r>
      <w:r>
        <w:rPr>
          <w:spacing w:val="-14"/>
        </w:rPr>
        <w:t xml:space="preserve"> </w:t>
      </w:r>
      <w:r>
        <w:t>of</w:t>
      </w:r>
      <w:r>
        <w:rPr>
          <w:spacing w:val="-14"/>
        </w:rPr>
        <w:t xml:space="preserve"> </w:t>
      </w:r>
      <w:r>
        <w:t>RailCorp</w:t>
      </w:r>
      <w:r>
        <w:rPr>
          <w:spacing w:val="-14"/>
        </w:rPr>
        <w:t xml:space="preserve"> </w:t>
      </w:r>
      <w:r>
        <w:t>to</w:t>
      </w:r>
      <w:r>
        <w:rPr>
          <w:spacing w:val="-14"/>
        </w:rPr>
        <w:t xml:space="preserve"> </w:t>
      </w:r>
      <w:r>
        <w:t>return</w:t>
      </w:r>
      <w:r>
        <w:rPr>
          <w:spacing w:val="-14"/>
        </w:rPr>
        <w:t xml:space="preserve"> </w:t>
      </w:r>
      <w:r>
        <w:t>the</w:t>
      </w:r>
      <w:r>
        <w:rPr>
          <w:spacing w:val="-14"/>
        </w:rPr>
        <w:t xml:space="preserve"> </w:t>
      </w:r>
      <w:r>
        <w:t>passenger</w:t>
      </w:r>
      <w:r>
        <w:rPr>
          <w:spacing w:val="-14"/>
        </w:rPr>
        <w:t xml:space="preserve"> </w:t>
      </w:r>
      <w:r>
        <w:t>railway</w:t>
      </w:r>
      <w:r>
        <w:rPr>
          <w:spacing w:val="-14"/>
        </w:rPr>
        <w:t xml:space="preserve"> </w:t>
      </w:r>
      <w:r>
        <w:t>to</w:t>
      </w:r>
      <w:r>
        <w:rPr>
          <w:spacing w:val="-14"/>
        </w:rPr>
        <w:t xml:space="preserve"> </w:t>
      </w:r>
      <w:r>
        <w:t xml:space="preserve">a </w:t>
      </w:r>
      <w:r>
        <w:rPr>
          <w:w w:val="95"/>
        </w:rPr>
        <w:t>more</w:t>
      </w:r>
      <w:r>
        <w:rPr>
          <w:spacing w:val="-5"/>
          <w:w w:val="95"/>
        </w:rPr>
        <w:t xml:space="preserve"> </w:t>
      </w:r>
      <w:r>
        <w:rPr>
          <w:w w:val="95"/>
        </w:rPr>
        <w:t>sustainable</w:t>
      </w:r>
      <w:r>
        <w:rPr>
          <w:spacing w:val="-5"/>
          <w:w w:val="95"/>
        </w:rPr>
        <w:t xml:space="preserve"> </w:t>
      </w:r>
      <w:r>
        <w:rPr>
          <w:w w:val="95"/>
        </w:rPr>
        <w:t>financial</w:t>
      </w:r>
      <w:r>
        <w:rPr>
          <w:spacing w:val="-5"/>
          <w:w w:val="95"/>
        </w:rPr>
        <w:t xml:space="preserve"> </w:t>
      </w:r>
      <w:r>
        <w:rPr>
          <w:w w:val="95"/>
        </w:rPr>
        <w:t>position</w:t>
      </w:r>
      <w:r>
        <w:rPr>
          <w:spacing w:val="-5"/>
          <w:w w:val="95"/>
        </w:rPr>
        <w:t xml:space="preserve"> </w:t>
      </w:r>
      <w:r>
        <w:rPr>
          <w:w w:val="95"/>
        </w:rPr>
        <w:t>and</w:t>
      </w:r>
      <w:r>
        <w:rPr>
          <w:spacing w:val="-5"/>
          <w:w w:val="95"/>
        </w:rPr>
        <w:t xml:space="preserve"> </w:t>
      </w:r>
      <w:r>
        <w:rPr>
          <w:w w:val="95"/>
        </w:rPr>
        <w:t>improve</w:t>
      </w:r>
      <w:r>
        <w:rPr>
          <w:spacing w:val="-5"/>
          <w:w w:val="95"/>
        </w:rPr>
        <w:t xml:space="preserve"> </w:t>
      </w:r>
      <w:r>
        <w:rPr>
          <w:w w:val="95"/>
        </w:rPr>
        <w:t xml:space="preserve">services </w:t>
      </w:r>
      <w:r>
        <w:t>to</w:t>
      </w:r>
      <w:r>
        <w:rPr>
          <w:spacing w:val="-11"/>
        </w:rPr>
        <w:t xml:space="preserve"> </w:t>
      </w:r>
      <w:r>
        <w:t>customers.</w:t>
      </w:r>
    </w:p>
    <w:p w:rsidR="002C1123" w:rsidRDefault="00F22F94">
      <w:pPr>
        <w:pStyle w:val="BodyText"/>
        <w:spacing w:before="145" w:line="249" w:lineRule="auto"/>
        <w:ind w:left="492" w:right="11"/>
      </w:pPr>
      <w:r>
        <w:t>Infrastructure</w:t>
      </w:r>
      <w:r>
        <w:rPr>
          <w:spacing w:val="-14"/>
        </w:rPr>
        <w:t xml:space="preserve"> </w:t>
      </w:r>
      <w:r>
        <w:t>NSW</w:t>
      </w:r>
      <w:r>
        <w:rPr>
          <w:spacing w:val="-14"/>
        </w:rPr>
        <w:t xml:space="preserve"> </w:t>
      </w:r>
      <w:r>
        <w:t>considers</w:t>
      </w:r>
      <w:r>
        <w:rPr>
          <w:spacing w:val="-14"/>
        </w:rPr>
        <w:t xml:space="preserve"> </w:t>
      </w:r>
      <w:r>
        <w:t>that</w:t>
      </w:r>
      <w:r>
        <w:rPr>
          <w:spacing w:val="-14"/>
        </w:rPr>
        <w:t xml:space="preserve"> </w:t>
      </w:r>
      <w:r>
        <w:t>the</w:t>
      </w:r>
      <w:r>
        <w:rPr>
          <w:spacing w:val="-14"/>
        </w:rPr>
        <w:t xml:space="preserve"> </w:t>
      </w:r>
      <w:r>
        <w:t>passenger</w:t>
      </w:r>
      <w:r>
        <w:rPr>
          <w:spacing w:val="-14"/>
        </w:rPr>
        <w:t xml:space="preserve"> </w:t>
      </w:r>
      <w:r>
        <w:t>rail network</w:t>
      </w:r>
      <w:r>
        <w:rPr>
          <w:spacing w:val="-8"/>
        </w:rPr>
        <w:t xml:space="preserve"> </w:t>
      </w:r>
      <w:r>
        <w:t>should</w:t>
      </w:r>
      <w:r>
        <w:rPr>
          <w:spacing w:val="-8"/>
        </w:rPr>
        <w:t xml:space="preserve"> </w:t>
      </w:r>
      <w:r>
        <w:t>first</w:t>
      </w:r>
      <w:r>
        <w:rPr>
          <w:spacing w:val="-8"/>
        </w:rPr>
        <w:t xml:space="preserve"> </w:t>
      </w:r>
      <w:r>
        <w:t>achieve</w:t>
      </w:r>
      <w:r>
        <w:rPr>
          <w:spacing w:val="-8"/>
        </w:rPr>
        <w:t xml:space="preserve"> </w:t>
      </w:r>
      <w:r>
        <w:t>best</w:t>
      </w:r>
      <w:r>
        <w:rPr>
          <w:spacing w:val="-8"/>
        </w:rPr>
        <w:t xml:space="preserve"> </w:t>
      </w:r>
      <w:r>
        <w:t>practice</w:t>
      </w:r>
      <w:r>
        <w:rPr>
          <w:spacing w:val="-8"/>
        </w:rPr>
        <w:t xml:space="preserve"> </w:t>
      </w:r>
      <w:r>
        <w:t xml:space="preserve">operating </w:t>
      </w:r>
      <w:r>
        <w:rPr>
          <w:w w:val="95"/>
        </w:rPr>
        <w:t xml:space="preserve">performance and then develop an investment program </w:t>
      </w:r>
      <w:r>
        <w:t>that is realistic and affordable.</w:t>
      </w:r>
    </w:p>
    <w:p w:rsidR="002C1123" w:rsidRDefault="002C1123">
      <w:pPr>
        <w:pStyle w:val="BodyText"/>
        <w:spacing w:before="2"/>
        <w:rPr>
          <w:sz w:val="22"/>
        </w:rPr>
      </w:pPr>
    </w:p>
    <w:p w:rsidR="002C1123" w:rsidRDefault="00F22F94">
      <w:pPr>
        <w:ind w:left="484"/>
        <w:rPr>
          <w:b/>
          <w:sz w:val="18"/>
        </w:rPr>
      </w:pPr>
      <w:r>
        <w:rPr>
          <w:b/>
          <w:sz w:val="18"/>
        </w:rPr>
        <w:t>Figure</w:t>
      </w:r>
      <w:r>
        <w:rPr>
          <w:b/>
          <w:spacing w:val="-5"/>
          <w:sz w:val="18"/>
        </w:rPr>
        <w:t xml:space="preserve"> </w:t>
      </w:r>
      <w:r>
        <w:rPr>
          <w:b/>
          <w:sz w:val="18"/>
        </w:rPr>
        <w:t>8.2</w:t>
      </w:r>
      <w:r>
        <w:rPr>
          <w:b/>
          <w:spacing w:val="41"/>
          <w:sz w:val="18"/>
        </w:rPr>
        <w:t xml:space="preserve"> </w:t>
      </w:r>
      <w:r>
        <w:rPr>
          <w:b/>
          <w:sz w:val="18"/>
        </w:rPr>
        <w:t>CBD</w:t>
      </w:r>
      <w:r>
        <w:rPr>
          <w:b/>
          <w:spacing w:val="-4"/>
          <w:sz w:val="18"/>
        </w:rPr>
        <w:t xml:space="preserve"> </w:t>
      </w:r>
      <w:r>
        <w:rPr>
          <w:b/>
          <w:sz w:val="18"/>
        </w:rPr>
        <w:t>Station</w:t>
      </w:r>
      <w:r>
        <w:rPr>
          <w:b/>
          <w:spacing w:val="-4"/>
          <w:sz w:val="18"/>
        </w:rPr>
        <w:t xml:space="preserve"> </w:t>
      </w:r>
      <w:r>
        <w:rPr>
          <w:b/>
          <w:sz w:val="18"/>
        </w:rPr>
        <w:t>Entries</w:t>
      </w:r>
      <w:r>
        <w:rPr>
          <w:b/>
          <w:spacing w:val="-5"/>
          <w:sz w:val="18"/>
        </w:rPr>
        <w:t xml:space="preserve"> </w:t>
      </w:r>
      <w:r>
        <w:rPr>
          <w:b/>
          <w:sz w:val="18"/>
        </w:rPr>
        <w:t>and</w:t>
      </w:r>
      <w:r>
        <w:rPr>
          <w:b/>
          <w:spacing w:val="-4"/>
          <w:sz w:val="18"/>
        </w:rPr>
        <w:t xml:space="preserve"> </w:t>
      </w:r>
      <w:r>
        <w:rPr>
          <w:b/>
          <w:sz w:val="18"/>
        </w:rPr>
        <w:t>Exits</w:t>
      </w:r>
      <w:r>
        <w:rPr>
          <w:b/>
          <w:spacing w:val="-4"/>
          <w:sz w:val="18"/>
        </w:rPr>
        <w:t xml:space="preserve"> </w:t>
      </w:r>
      <w:r>
        <w:rPr>
          <w:b/>
          <w:sz w:val="18"/>
        </w:rPr>
        <w:t>by</w:t>
      </w:r>
      <w:r>
        <w:rPr>
          <w:b/>
          <w:spacing w:val="-5"/>
          <w:sz w:val="18"/>
        </w:rPr>
        <w:t xml:space="preserve"> </w:t>
      </w:r>
      <w:r>
        <w:rPr>
          <w:b/>
          <w:sz w:val="18"/>
        </w:rPr>
        <w:t>Time</w:t>
      </w:r>
      <w:r>
        <w:rPr>
          <w:b/>
          <w:spacing w:val="-4"/>
          <w:sz w:val="18"/>
        </w:rPr>
        <w:t xml:space="preserve"> </w:t>
      </w:r>
      <w:r>
        <w:rPr>
          <w:b/>
          <w:sz w:val="18"/>
        </w:rPr>
        <w:t>of</w:t>
      </w:r>
      <w:r>
        <w:rPr>
          <w:b/>
          <w:spacing w:val="-4"/>
          <w:sz w:val="18"/>
        </w:rPr>
        <w:t xml:space="preserve"> </w:t>
      </w:r>
      <w:r>
        <w:rPr>
          <w:b/>
          <w:spacing w:val="-5"/>
          <w:sz w:val="18"/>
        </w:rPr>
        <w:t>Day</w:t>
      </w:r>
    </w:p>
    <w:p w:rsidR="002C1123" w:rsidRDefault="002C1123">
      <w:pPr>
        <w:pStyle w:val="BodyText"/>
        <w:spacing w:before="3"/>
        <w:rPr>
          <w:b/>
          <w:sz w:val="17"/>
        </w:rPr>
      </w:pPr>
    </w:p>
    <w:p w:rsidR="002C1123" w:rsidRDefault="002060EF">
      <w:pPr>
        <w:ind w:left="484"/>
        <w:rPr>
          <w:sz w:val="16"/>
        </w:rPr>
      </w:pPr>
      <w:r>
        <w:pict>
          <v:line id="_x0000_s3786" style="position:absolute;left:0;text-align:left;z-index:251408384;mso-position-horizontal-relative:page" from="77.45pt,4.3pt" to="518.8pt,4.3pt" strokecolor="#b2b1b3" strokeweight=".4pt">
            <w10:wrap anchorx="page"/>
          </v:line>
        </w:pict>
      </w:r>
      <w:r w:rsidR="00F22F94">
        <w:rPr>
          <w:spacing w:val="-2"/>
          <w:w w:val="95"/>
          <w:sz w:val="16"/>
        </w:rPr>
        <w:t>30,000</w:t>
      </w:r>
    </w:p>
    <w:p w:rsidR="002C1123" w:rsidRDefault="002C1123">
      <w:pPr>
        <w:pStyle w:val="BodyText"/>
        <w:rPr>
          <w:sz w:val="18"/>
        </w:rPr>
      </w:pPr>
    </w:p>
    <w:p w:rsidR="002C1123" w:rsidRDefault="002060EF">
      <w:pPr>
        <w:spacing w:before="162"/>
        <w:ind w:left="484"/>
        <w:rPr>
          <w:sz w:val="16"/>
        </w:rPr>
      </w:pPr>
      <w:r>
        <w:pict>
          <v:group id="docshapegroup1447" o:spid="_x0000_s3777" style="position:absolute;left:0;text-align:left;margin-left:77.45pt;margin-top:16.9pt;width:441.4pt;height:134.05pt;z-index:251406336;mso-position-horizontal-relative:page" coordorigin="1549,338" coordsize="8828,2681">
            <v:line id="_x0000_s3785" style="position:absolute" from="1549,3011" to="10376,3011" strokecolor="#b2b1b3" strokeweight=".8pt"/>
            <v:shape id="docshape1448" o:spid="_x0000_s3784" style="position:absolute;left:1613;top:2603;width:8698;height:378" coordorigin="1614,2604" coordsize="8698,378" path="m10311,2973r-129,3l10052,2970r-130,-5l9792,2954r-130,-14l9533,2910r-130,-8l9273,2883r-130,9l9013,2885r-129,-12l8754,2858r-130,-3l8494,2816r-130,-10l8234,2777r-129,-21l7975,2715r-130,-27l7715,2670r-130,-2l7456,2635r-130,-16l7196,2625r-130,8l6936,2604r-130,29l6677,2611r-130,37l6417,2632r-130,37l6157,2662r-129,31l5898,2662r-130,55l5638,2689r-130,36l5378,2685r-129,24l5119,2695r-130,12l4859,2685r-130,7l4600,2670r-130,36l4340,2674r-130,12l4080,2657r-130,58l3821,2701r-130,34l3561,2716r-130,40l3301,2761r-129,54l3042,2811r-130,38l2782,2852r-130,33l2522,2886r-129,35l2263,2911r-130,26l2003,2925r-130,25l1744,2949r-130,33e" filled="f" strokecolor="#f47920" strokeweight="3pt">
              <v:path arrowok="t"/>
            </v:shape>
            <v:line id="_x0000_s3783" style="position:absolute" from="1549,2458" to="10376,2458" strokecolor="#b2b1b3" strokeweight=".4pt"/>
            <v:shape id="docshape1449" o:spid="_x0000_s3782" style="position:absolute;left:1613;top:2511;width:8698;height:452" coordorigin="1614,2511" coordsize="8698,452" path="m10311,2908r-129,-15l10052,2878r-130,2l9792,2882r-130,-22l9533,2836r-130,-8l9273,2831r-130,-10l9013,2808r-129,-9l8754,2774r-130,-3l8494,2712r-130,-9l8234,2661r-129,-23l7975,2597r-130,14l7715,2565r-130,29l7456,2534r-130,28l7196,2539r-130,17l6936,2511r-130,18l6677,2550r-130,2l6417,2558r-130,10l6157,2578r-129,28l5898,2600r-130,9l5638,2611r-130,13l5378,2604r-129,17l5119,2615r-130,16l4859,2656r-130,-32l4600,2635r-130,-15l4340,2648r-130,5l4080,2625r-130,46l3821,2694r-130,-27l3561,2653r-130,36l3301,2698r-129,37l3042,2715r-130,24l2782,2752r-130,37l2522,2792r-129,50l2263,2851r-130,34l2003,2874r-130,33l1744,2919r-130,43e" filled="f" strokecolor="#2e3092" strokeweight="3pt">
              <v:path arrowok="t"/>
            </v:shape>
            <v:line id="_x0000_s3781" style="position:absolute" from="1549,1906" to="10376,1906" strokecolor="#b2b1b3" strokeweight=".4pt"/>
            <v:line id="_x0000_s3780" style="position:absolute" from="1549,1353" to="10376,1353" strokecolor="#b2b1b3" strokeweight=".4pt"/>
            <v:line id="_x0000_s3779" style="position:absolute" from="1549,800" to="10376,800" strokecolor="#b2b1b3" strokeweight=".4pt"/>
            <v:shape id="docshape1450" o:spid="_x0000_s3778" style="position:absolute;left:1613;top:367;width:8698;height:2518" coordorigin="1614,368" coordsize="8698,2518" path="m10311,2886r-129,-23l10052,2858r-130,-35l9792,2827r-130,-55l9533,2736r-130,-37l9273,2663r-130,-3l9013,2646r-129,-66l8754,2587r-130,-33l8494,2495,8364,2382,8234,2263,8105,2060,7975,1795,7845,1531,7715,1271,7585,894r-129,87l7326,746r-130,792l7066,1556r-130,225l6806,1831r-129,259l6547,2008r-130,135l6287,2212r-130,102l6028,2344r-130,15l5768,2365r-130,-6l5508,2306r-130,74l5249,2413r-130,-17l4989,2401r-130,16l4729,2462r-129,-18l4470,2505r-130,2l4210,2494r-130,-34l3950,2418r-129,33l3691,2418,3561,2130r-130,173l3301,1849,3172,1295,3042,746,2912,407,2782,368,2652,789r-130,603l2393,1775r-130,426l2133,2430r-130,135l1873,2651r-129,132l1614,2837e" filled="f" strokecolor="#00aeef" strokeweight="3pt">
              <v:path arrowok="t"/>
            </v:shape>
            <w10:wrap anchorx="page"/>
          </v:group>
        </w:pict>
      </w:r>
      <w:r>
        <w:pict>
          <v:line id="_x0000_s3776" style="position:absolute;left:0;text-align:left;z-index:251407360;mso-position-horizontal-relative:page" from="77.45pt,12.4pt" to="518.8pt,12.4pt" strokecolor="#b2b1b3" strokeweight=".4pt">
            <w10:wrap anchorx="page"/>
          </v:line>
        </w:pict>
      </w:r>
      <w:r w:rsidR="00F22F94">
        <w:rPr>
          <w:spacing w:val="-2"/>
          <w:w w:val="95"/>
          <w:sz w:val="16"/>
        </w:rPr>
        <w:t>25,000</w:t>
      </w:r>
    </w:p>
    <w:p w:rsidR="002C1123" w:rsidRDefault="002C1123">
      <w:pPr>
        <w:pStyle w:val="BodyText"/>
        <w:rPr>
          <w:sz w:val="18"/>
        </w:rPr>
      </w:pPr>
    </w:p>
    <w:p w:rsidR="002C1123" w:rsidRDefault="00F22F94">
      <w:pPr>
        <w:spacing w:before="161"/>
        <w:ind w:left="484"/>
        <w:rPr>
          <w:sz w:val="16"/>
        </w:rPr>
      </w:pPr>
      <w:r>
        <w:rPr>
          <w:spacing w:val="-2"/>
          <w:w w:val="95"/>
          <w:sz w:val="16"/>
        </w:rPr>
        <w:t>20,000</w:t>
      </w:r>
    </w:p>
    <w:p w:rsidR="002C1123" w:rsidRDefault="002C1123">
      <w:pPr>
        <w:pStyle w:val="BodyText"/>
        <w:rPr>
          <w:sz w:val="18"/>
        </w:rPr>
      </w:pPr>
    </w:p>
    <w:p w:rsidR="002C1123" w:rsidRDefault="002C1123">
      <w:pPr>
        <w:pStyle w:val="BodyText"/>
        <w:spacing w:before="1"/>
        <w:rPr>
          <w:sz w:val="14"/>
        </w:rPr>
      </w:pPr>
    </w:p>
    <w:p w:rsidR="002C1123" w:rsidRDefault="00F22F94">
      <w:pPr>
        <w:ind w:left="484"/>
        <w:rPr>
          <w:sz w:val="16"/>
        </w:rPr>
      </w:pPr>
      <w:r>
        <w:rPr>
          <w:spacing w:val="-2"/>
          <w:w w:val="95"/>
          <w:sz w:val="16"/>
        </w:rPr>
        <w:t>15,000</w:t>
      </w:r>
    </w:p>
    <w:p w:rsidR="002C1123" w:rsidRDefault="002C1123">
      <w:pPr>
        <w:pStyle w:val="BodyText"/>
        <w:rPr>
          <w:sz w:val="18"/>
        </w:rPr>
      </w:pPr>
    </w:p>
    <w:p w:rsidR="002C1123" w:rsidRDefault="002C1123">
      <w:pPr>
        <w:pStyle w:val="BodyText"/>
        <w:spacing w:before="1"/>
        <w:rPr>
          <w:sz w:val="14"/>
        </w:rPr>
      </w:pPr>
    </w:p>
    <w:p w:rsidR="002C1123" w:rsidRDefault="00F22F94">
      <w:pPr>
        <w:ind w:left="484"/>
        <w:rPr>
          <w:sz w:val="16"/>
        </w:rPr>
      </w:pPr>
      <w:r>
        <w:rPr>
          <w:spacing w:val="-2"/>
          <w:w w:val="95"/>
          <w:sz w:val="16"/>
        </w:rPr>
        <w:t>10,000</w:t>
      </w:r>
    </w:p>
    <w:p w:rsidR="002C1123" w:rsidRDefault="002C1123">
      <w:pPr>
        <w:pStyle w:val="BodyText"/>
        <w:rPr>
          <w:sz w:val="18"/>
        </w:rPr>
      </w:pPr>
    </w:p>
    <w:p w:rsidR="002C1123" w:rsidRDefault="00F22F94">
      <w:pPr>
        <w:spacing w:before="161"/>
        <w:ind w:left="561"/>
        <w:rPr>
          <w:sz w:val="16"/>
        </w:rPr>
      </w:pPr>
      <w:r>
        <w:rPr>
          <w:spacing w:val="-2"/>
          <w:w w:val="95"/>
          <w:sz w:val="16"/>
        </w:rPr>
        <w:t>5,000</w:t>
      </w:r>
    </w:p>
    <w:p w:rsidR="002C1123" w:rsidRDefault="002C1123">
      <w:pPr>
        <w:pStyle w:val="BodyText"/>
        <w:rPr>
          <w:sz w:val="18"/>
        </w:rPr>
      </w:pPr>
    </w:p>
    <w:p w:rsidR="002C1123" w:rsidRDefault="002C1123">
      <w:pPr>
        <w:pStyle w:val="BodyText"/>
        <w:spacing w:before="1"/>
        <w:rPr>
          <w:sz w:val="14"/>
        </w:rPr>
      </w:pPr>
    </w:p>
    <w:p w:rsidR="002C1123" w:rsidRDefault="00F22F94">
      <w:pPr>
        <w:spacing w:line="175" w:lineRule="exact"/>
        <w:ind w:left="830"/>
        <w:rPr>
          <w:sz w:val="16"/>
        </w:rPr>
      </w:pPr>
      <w:r>
        <w:rPr>
          <w:w w:val="86"/>
          <w:sz w:val="16"/>
        </w:rPr>
        <w:t>0</w:t>
      </w:r>
    </w:p>
    <w:p w:rsidR="002C1123" w:rsidRDefault="00F22F94">
      <w:pPr>
        <w:spacing w:before="1"/>
        <w:rPr>
          <w:sz w:val="27"/>
        </w:rPr>
      </w:pPr>
      <w:r>
        <w:br w:type="column"/>
      </w:r>
    </w:p>
    <w:p w:rsidR="002C1123" w:rsidRDefault="00F22F94">
      <w:pPr>
        <w:pStyle w:val="BodyText"/>
        <w:spacing w:line="249" w:lineRule="auto"/>
        <w:ind w:left="180"/>
      </w:pPr>
      <w:r>
        <w:rPr>
          <w:w w:val="95"/>
        </w:rPr>
        <w:t>This</w:t>
      </w:r>
      <w:r>
        <w:rPr>
          <w:spacing w:val="-4"/>
          <w:w w:val="95"/>
        </w:rPr>
        <w:t xml:space="preserve"> </w:t>
      </w:r>
      <w:r>
        <w:rPr>
          <w:w w:val="95"/>
        </w:rPr>
        <w:t>approach</w:t>
      </w:r>
      <w:r>
        <w:rPr>
          <w:spacing w:val="-4"/>
          <w:w w:val="95"/>
        </w:rPr>
        <w:t xml:space="preserve"> </w:t>
      </w:r>
      <w:r>
        <w:rPr>
          <w:w w:val="95"/>
        </w:rPr>
        <w:t>is</w:t>
      </w:r>
      <w:r>
        <w:rPr>
          <w:spacing w:val="-4"/>
          <w:w w:val="95"/>
        </w:rPr>
        <w:t xml:space="preserve"> </w:t>
      </w:r>
      <w:r>
        <w:rPr>
          <w:w w:val="95"/>
        </w:rPr>
        <w:t>consistent</w:t>
      </w:r>
      <w:r>
        <w:rPr>
          <w:spacing w:val="-4"/>
          <w:w w:val="95"/>
        </w:rPr>
        <w:t xml:space="preserve"> </w:t>
      </w:r>
      <w:r>
        <w:rPr>
          <w:w w:val="95"/>
        </w:rPr>
        <w:t>with</w:t>
      </w:r>
      <w:r>
        <w:rPr>
          <w:spacing w:val="-4"/>
          <w:w w:val="95"/>
        </w:rPr>
        <w:t xml:space="preserve"> </w:t>
      </w:r>
      <w:r>
        <w:rPr>
          <w:w w:val="95"/>
        </w:rPr>
        <w:t>the</w:t>
      </w:r>
      <w:r>
        <w:rPr>
          <w:spacing w:val="-4"/>
          <w:w w:val="95"/>
        </w:rPr>
        <w:t xml:space="preserve"> </w:t>
      </w:r>
      <w:r>
        <w:rPr>
          <w:w w:val="95"/>
        </w:rPr>
        <w:t>plans</w:t>
      </w:r>
      <w:r>
        <w:rPr>
          <w:spacing w:val="-4"/>
          <w:w w:val="95"/>
        </w:rPr>
        <w:t xml:space="preserve"> </w:t>
      </w:r>
      <w:r>
        <w:rPr>
          <w:w w:val="95"/>
        </w:rPr>
        <w:t>for</w:t>
      </w:r>
      <w:r>
        <w:rPr>
          <w:spacing w:val="-4"/>
          <w:w w:val="95"/>
        </w:rPr>
        <w:t xml:space="preserve"> </w:t>
      </w:r>
      <w:r>
        <w:rPr>
          <w:w w:val="95"/>
        </w:rPr>
        <w:t xml:space="preserve">operational reform of RailCorp and the strategic principles set out in </w:t>
      </w:r>
      <w:r>
        <w:t>the</w:t>
      </w:r>
      <w:r>
        <w:rPr>
          <w:spacing w:val="-14"/>
        </w:rPr>
        <w:t xml:space="preserve"> </w:t>
      </w:r>
      <w:r>
        <w:t>‘Sydney’s</w:t>
      </w:r>
      <w:r>
        <w:rPr>
          <w:spacing w:val="-14"/>
        </w:rPr>
        <w:t xml:space="preserve"> </w:t>
      </w:r>
      <w:r>
        <w:t>Rail</w:t>
      </w:r>
      <w:r>
        <w:rPr>
          <w:spacing w:val="-14"/>
        </w:rPr>
        <w:t xml:space="preserve"> </w:t>
      </w:r>
      <w:r>
        <w:t>Future’</w:t>
      </w:r>
      <w:r>
        <w:rPr>
          <w:spacing w:val="-14"/>
        </w:rPr>
        <w:t xml:space="preserve"> </w:t>
      </w:r>
      <w:r>
        <w:t>announcement</w:t>
      </w:r>
      <w:r>
        <w:rPr>
          <w:spacing w:val="-14"/>
        </w:rPr>
        <w:t xml:space="preserve"> </w:t>
      </w:r>
      <w:r>
        <w:t>June</w:t>
      </w:r>
      <w:r>
        <w:rPr>
          <w:spacing w:val="-14"/>
        </w:rPr>
        <w:t xml:space="preserve"> </w:t>
      </w:r>
      <w:r>
        <w:t>2012.</w:t>
      </w:r>
    </w:p>
    <w:p w:rsidR="002C1123" w:rsidRDefault="00F22F94">
      <w:pPr>
        <w:pStyle w:val="BodyText"/>
        <w:spacing w:before="144" w:line="249" w:lineRule="auto"/>
        <w:ind w:left="180" w:right="313"/>
        <w:jc w:val="both"/>
      </w:pPr>
      <w:r>
        <w:rPr>
          <w:w w:val="95"/>
        </w:rPr>
        <w:t>Given</w:t>
      </w:r>
      <w:r>
        <w:rPr>
          <w:spacing w:val="-1"/>
          <w:w w:val="95"/>
        </w:rPr>
        <w:t xml:space="preserve"> </w:t>
      </w:r>
      <w:r>
        <w:rPr>
          <w:w w:val="95"/>
        </w:rPr>
        <w:t>that</w:t>
      </w:r>
      <w:r>
        <w:rPr>
          <w:spacing w:val="-1"/>
          <w:w w:val="95"/>
        </w:rPr>
        <w:t xml:space="preserve"> </w:t>
      </w:r>
      <w:r>
        <w:rPr>
          <w:w w:val="95"/>
        </w:rPr>
        <w:t>congestion</w:t>
      </w:r>
      <w:r>
        <w:rPr>
          <w:spacing w:val="-1"/>
          <w:w w:val="95"/>
        </w:rPr>
        <w:t xml:space="preserve"> </w:t>
      </w:r>
      <w:r>
        <w:rPr>
          <w:w w:val="95"/>
        </w:rPr>
        <w:t>issues</w:t>
      </w:r>
      <w:r>
        <w:rPr>
          <w:spacing w:val="-1"/>
          <w:w w:val="95"/>
        </w:rPr>
        <w:t xml:space="preserve"> </w:t>
      </w:r>
      <w:r>
        <w:rPr>
          <w:w w:val="95"/>
        </w:rPr>
        <w:t>are</w:t>
      </w:r>
      <w:r>
        <w:rPr>
          <w:spacing w:val="-1"/>
          <w:w w:val="95"/>
        </w:rPr>
        <w:t xml:space="preserve"> </w:t>
      </w:r>
      <w:r>
        <w:rPr>
          <w:w w:val="95"/>
        </w:rPr>
        <w:t>concentrated</w:t>
      </w:r>
      <w:r>
        <w:rPr>
          <w:spacing w:val="-1"/>
          <w:w w:val="95"/>
        </w:rPr>
        <w:t xml:space="preserve"> </w:t>
      </w:r>
      <w:r>
        <w:rPr>
          <w:w w:val="95"/>
        </w:rPr>
        <w:t>within a</w:t>
      </w:r>
      <w:r>
        <w:rPr>
          <w:spacing w:val="-8"/>
          <w:w w:val="95"/>
        </w:rPr>
        <w:t xml:space="preserve"> </w:t>
      </w:r>
      <w:r>
        <w:rPr>
          <w:w w:val="95"/>
        </w:rPr>
        <w:t>short</w:t>
      </w:r>
      <w:r>
        <w:rPr>
          <w:spacing w:val="-8"/>
          <w:w w:val="95"/>
        </w:rPr>
        <w:t xml:space="preserve"> </w:t>
      </w:r>
      <w:r>
        <w:rPr>
          <w:w w:val="95"/>
        </w:rPr>
        <w:t>period</w:t>
      </w:r>
      <w:r>
        <w:rPr>
          <w:spacing w:val="-8"/>
          <w:w w:val="95"/>
        </w:rPr>
        <w:t xml:space="preserve"> </w:t>
      </w:r>
      <w:r>
        <w:rPr>
          <w:w w:val="95"/>
        </w:rPr>
        <w:t>of</w:t>
      </w:r>
      <w:r>
        <w:rPr>
          <w:spacing w:val="-8"/>
          <w:w w:val="95"/>
        </w:rPr>
        <w:t xml:space="preserve"> </w:t>
      </w:r>
      <w:r>
        <w:rPr>
          <w:w w:val="95"/>
        </w:rPr>
        <w:t>the</w:t>
      </w:r>
      <w:r>
        <w:rPr>
          <w:spacing w:val="-8"/>
          <w:w w:val="95"/>
        </w:rPr>
        <w:t xml:space="preserve"> </w:t>
      </w:r>
      <w:r>
        <w:rPr>
          <w:w w:val="95"/>
        </w:rPr>
        <w:t>day</w:t>
      </w:r>
      <w:r>
        <w:rPr>
          <w:spacing w:val="-8"/>
          <w:w w:val="95"/>
        </w:rPr>
        <w:t xml:space="preserve"> </w:t>
      </w:r>
      <w:r>
        <w:rPr>
          <w:w w:val="95"/>
        </w:rPr>
        <w:t>and</w:t>
      </w:r>
      <w:r>
        <w:rPr>
          <w:spacing w:val="-8"/>
          <w:w w:val="95"/>
        </w:rPr>
        <w:t xml:space="preserve"> </w:t>
      </w:r>
      <w:r>
        <w:rPr>
          <w:w w:val="95"/>
        </w:rPr>
        <w:t>on</w:t>
      </w:r>
      <w:r>
        <w:rPr>
          <w:spacing w:val="-8"/>
          <w:w w:val="95"/>
        </w:rPr>
        <w:t xml:space="preserve"> </w:t>
      </w:r>
      <w:r>
        <w:rPr>
          <w:w w:val="95"/>
        </w:rPr>
        <w:t>a</w:t>
      </w:r>
      <w:r>
        <w:rPr>
          <w:spacing w:val="-8"/>
          <w:w w:val="95"/>
        </w:rPr>
        <w:t xml:space="preserve"> </w:t>
      </w:r>
      <w:r>
        <w:rPr>
          <w:w w:val="95"/>
        </w:rPr>
        <w:t>relatively</w:t>
      </w:r>
      <w:r>
        <w:rPr>
          <w:spacing w:val="-8"/>
          <w:w w:val="95"/>
        </w:rPr>
        <w:t xml:space="preserve"> </w:t>
      </w:r>
      <w:r>
        <w:rPr>
          <w:w w:val="95"/>
        </w:rPr>
        <w:t>small</w:t>
      </w:r>
      <w:r>
        <w:rPr>
          <w:spacing w:val="-8"/>
          <w:w w:val="95"/>
        </w:rPr>
        <w:t xml:space="preserve"> </w:t>
      </w:r>
      <w:r>
        <w:rPr>
          <w:w w:val="95"/>
        </w:rPr>
        <w:t xml:space="preserve">part </w:t>
      </w:r>
      <w:r>
        <w:t>of</w:t>
      </w:r>
      <w:r>
        <w:rPr>
          <w:spacing w:val="-9"/>
        </w:rPr>
        <w:t xml:space="preserve"> </w:t>
      </w:r>
      <w:r>
        <w:t>the</w:t>
      </w:r>
      <w:r>
        <w:rPr>
          <w:spacing w:val="-9"/>
        </w:rPr>
        <w:t xml:space="preserve"> </w:t>
      </w:r>
      <w:r>
        <w:t>network,</w:t>
      </w:r>
      <w:r>
        <w:rPr>
          <w:spacing w:val="-9"/>
        </w:rPr>
        <w:t xml:space="preserve"> </w:t>
      </w:r>
      <w:r>
        <w:t>Infrastructure</w:t>
      </w:r>
      <w:r>
        <w:rPr>
          <w:spacing w:val="-9"/>
        </w:rPr>
        <w:t xml:space="preserve"> </w:t>
      </w:r>
      <w:r>
        <w:t>NSW</w:t>
      </w:r>
      <w:r>
        <w:rPr>
          <w:spacing w:val="-9"/>
        </w:rPr>
        <w:t xml:space="preserve"> </w:t>
      </w:r>
      <w:r>
        <w:t>has</w:t>
      </w:r>
      <w:r>
        <w:rPr>
          <w:spacing w:val="-9"/>
        </w:rPr>
        <w:t xml:space="preserve"> </w:t>
      </w:r>
      <w:r>
        <w:t>focused</w:t>
      </w:r>
      <w:r>
        <w:rPr>
          <w:spacing w:val="-9"/>
        </w:rPr>
        <w:t xml:space="preserve"> </w:t>
      </w:r>
      <w:r>
        <w:t>on</w:t>
      </w:r>
    </w:p>
    <w:p w:rsidR="002C1123" w:rsidRDefault="00F22F94">
      <w:pPr>
        <w:pStyle w:val="BodyText"/>
        <w:spacing w:before="3" w:line="249" w:lineRule="auto"/>
        <w:ind w:left="180" w:right="6"/>
        <w:jc w:val="both"/>
      </w:pPr>
      <w:r>
        <w:rPr>
          <w:w w:val="95"/>
        </w:rPr>
        <w:t xml:space="preserve">targeted opportunities to provide additional capacity and </w:t>
      </w:r>
      <w:r>
        <w:t>manage</w:t>
      </w:r>
      <w:r>
        <w:rPr>
          <w:spacing w:val="-11"/>
        </w:rPr>
        <w:t xml:space="preserve"> </w:t>
      </w:r>
      <w:r>
        <w:t>demand.</w:t>
      </w:r>
    </w:p>
    <w:p w:rsidR="002C1123" w:rsidRDefault="00F22F94">
      <w:pPr>
        <w:pStyle w:val="BodyText"/>
        <w:spacing w:before="143" w:line="249" w:lineRule="auto"/>
        <w:ind w:left="180"/>
      </w:pPr>
      <w:r>
        <w:rPr>
          <w:w w:val="95"/>
        </w:rPr>
        <w:t>This</w:t>
      </w:r>
      <w:r>
        <w:rPr>
          <w:spacing w:val="-5"/>
          <w:w w:val="95"/>
        </w:rPr>
        <w:t xml:space="preserve"> </w:t>
      </w:r>
      <w:r>
        <w:rPr>
          <w:w w:val="95"/>
        </w:rPr>
        <w:t>section</w:t>
      </w:r>
      <w:r>
        <w:rPr>
          <w:spacing w:val="-5"/>
          <w:w w:val="95"/>
        </w:rPr>
        <w:t xml:space="preserve"> </w:t>
      </w:r>
      <w:r>
        <w:rPr>
          <w:w w:val="95"/>
        </w:rPr>
        <w:t>is</w:t>
      </w:r>
      <w:r>
        <w:rPr>
          <w:spacing w:val="-5"/>
          <w:w w:val="95"/>
        </w:rPr>
        <w:t xml:space="preserve"> </w:t>
      </w:r>
      <w:r>
        <w:rPr>
          <w:w w:val="95"/>
        </w:rPr>
        <w:t>concerned</w:t>
      </w:r>
      <w:r>
        <w:rPr>
          <w:spacing w:val="-5"/>
          <w:w w:val="95"/>
        </w:rPr>
        <w:t xml:space="preserve"> </w:t>
      </w:r>
      <w:r>
        <w:rPr>
          <w:w w:val="95"/>
        </w:rPr>
        <w:t>with</w:t>
      </w:r>
      <w:r>
        <w:rPr>
          <w:spacing w:val="-5"/>
          <w:w w:val="95"/>
        </w:rPr>
        <w:t xml:space="preserve"> </w:t>
      </w:r>
      <w:r>
        <w:rPr>
          <w:w w:val="95"/>
        </w:rPr>
        <w:t>the</w:t>
      </w:r>
      <w:r>
        <w:rPr>
          <w:spacing w:val="-5"/>
          <w:w w:val="95"/>
        </w:rPr>
        <w:t xml:space="preserve"> </w:t>
      </w:r>
      <w:r>
        <w:rPr>
          <w:w w:val="95"/>
        </w:rPr>
        <w:t>Sydney</w:t>
      </w:r>
      <w:r>
        <w:rPr>
          <w:spacing w:val="-5"/>
          <w:w w:val="95"/>
        </w:rPr>
        <w:t xml:space="preserve"> </w:t>
      </w:r>
      <w:r>
        <w:rPr>
          <w:w w:val="95"/>
        </w:rPr>
        <w:t>passenger</w:t>
      </w:r>
      <w:r>
        <w:rPr>
          <w:spacing w:val="-5"/>
          <w:w w:val="95"/>
        </w:rPr>
        <w:t xml:space="preserve"> </w:t>
      </w:r>
      <w:r>
        <w:rPr>
          <w:w w:val="95"/>
        </w:rPr>
        <w:t xml:space="preserve">rail </w:t>
      </w:r>
      <w:r>
        <w:t>network.</w:t>
      </w:r>
      <w:r>
        <w:rPr>
          <w:spacing w:val="-14"/>
        </w:rPr>
        <w:t xml:space="preserve"> </w:t>
      </w:r>
      <w:r>
        <w:t>Transport</w:t>
      </w:r>
      <w:r>
        <w:rPr>
          <w:spacing w:val="-14"/>
        </w:rPr>
        <w:t xml:space="preserve"> </w:t>
      </w:r>
      <w:r>
        <w:t>services</w:t>
      </w:r>
      <w:r>
        <w:rPr>
          <w:spacing w:val="-14"/>
        </w:rPr>
        <w:t xml:space="preserve"> </w:t>
      </w:r>
      <w:r>
        <w:t>in</w:t>
      </w:r>
      <w:r>
        <w:rPr>
          <w:spacing w:val="-14"/>
        </w:rPr>
        <w:t xml:space="preserve"> </w:t>
      </w:r>
      <w:r>
        <w:t>Regional</w:t>
      </w:r>
      <w:r>
        <w:rPr>
          <w:spacing w:val="-14"/>
        </w:rPr>
        <w:t xml:space="preserve"> </w:t>
      </w:r>
      <w:r>
        <w:t>NSW</w:t>
      </w:r>
      <w:r>
        <w:rPr>
          <w:spacing w:val="-14"/>
        </w:rPr>
        <w:t xml:space="preserve"> </w:t>
      </w:r>
      <w:r>
        <w:t>are covered in Section 10.</w:t>
      </w:r>
    </w:p>
    <w:p w:rsidR="002C1123" w:rsidRDefault="00F22F94">
      <w:pPr>
        <w:pStyle w:val="Heading5"/>
        <w:numPr>
          <w:ilvl w:val="1"/>
          <w:numId w:val="86"/>
        </w:numPr>
        <w:tabs>
          <w:tab w:val="left" w:pos="643"/>
        </w:tabs>
        <w:ind w:left="642" w:hanging="450"/>
        <w:jc w:val="left"/>
        <w:rPr>
          <w:color w:val="00AEEF"/>
        </w:rPr>
      </w:pPr>
      <w:r>
        <w:rPr>
          <w:b w:val="0"/>
        </w:rPr>
        <w:br w:type="column"/>
      </w:r>
      <w:r>
        <w:rPr>
          <w:color w:val="00AEEF"/>
          <w:spacing w:val="-4"/>
        </w:rPr>
        <w:t>The</w:t>
      </w:r>
      <w:r>
        <w:rPr>
          <w:color w:val="00AEEF"/>
          <w:spacing w:val="-15"/>
        </w:rPr>
        <w:t xml:space="preserve"> </w:t>
      </w:r>
      <w:r>
        <w:rPr>
          <w:color w:val="00AEEF"/>
          <w:spacing w:val="-4"/>
        </w:rPr>
        <w:t>high</w:t>
      </w:r>
      <w:r>
        <w:rPr>
          <w:color w:val="00AEEF"/>
          <w:spacing w:val="-15"/>
        </w:rPr>
        <w:t xml:space="preserve"> </w:t>
      </w:r>
      <w:r>
        <w:rPr>
          <w:color w:val="00AEEF"/>
          <w:spacing w:val="-4"/>
        </w:rPr>
        <w:t>capacity</w:t>
      </w:r>
      <w:r>
        <w:rPr>
          <w:color w:val="00AEEF"/>
          <w:spacing w:val="-15"/>
        </w:rPr>
        <w:t xml:space="preserve"> </w:t>
      </w:r>
      <w:r>
        <w:rPr>
          <w:color w:val="00AEEF"/>
          <w:spacing w:val="-4"/>
        </w:rPr>
        <w:t>railway</w:t>
      </w:r>
    </w:p>
    <w:p w:rsidR="002C1123" w:rsidRDefault="00F22F94">
      <w:pPr>
        <w:pStyle w:val="Heading6"/>
        <w:numPr>
          <w:ilvl w:val="2"/>
          <w:numId w:val="86"/>
        </w:numPr>
        <w:tabs>
          <w:tab w:val="left" w:pos="680"/>
        </w:tabs>
        <w:spacing w:before="135"/>
        <w:ind w:hanging="487"/>
        <w:jc w:val="left"/>
      </w:pPr>
      <w:r>
        <w:rPr>
          <w:color w:val="00AEEF"/>
          <w:w w:val="95"/>
        </w:rPr>
        <w:t>Sydney’s</w:t>
      </w:r>
      <w:r>
        <w:rPr>
          <w:color w:val="00AEEF"/>
          <w:spacing w:val="-11"/>
          <w:w w:val="95"/>
        </w:rPr>
        <w:t xml:space="preserve"> </w:t>
      </w:r>
      <w:r>
        <w:rPr>
          <w:color w:val="00AEEF"/>
          <w:w w:val="95"/>
        </w:rPr>
        <w:t>Rail</w:t>
      </w:r>
      <w:r>
        <w:rPr>
          <w:color w:val="00AEEF"/>
          <w:spacing w:val="-11"/>
          <w:w w:val="95"/>
        </w:rPr>
        <w:t xml:space="preserve"> </w:t>
      </w:r>
      <w:r>
        <w:rPr>
          <w:color w:val="00AEEF"/>
          <w:spacing w:val="-2"/>
          <w:w w:val="95"/>
        </w:rPr>
        <w:t>Future</w:t>
      </w:r>
    </w:p>
    <w:p w:rsidR="002C1123" w:rsidRDefault="00F22F94">
      <w:pPr>
        <w:pStyle w:val="BodyText"/>
        <w:spacing w:before="95" w:line="249" w:lineRule="auto"/>
        <w:ind w:left="193" w:right="792"/>
      </w:pPr>
      <w:r>
        <w:rPr>
          <w:spacing w:val="-2"/>
        </w:rPr>
        <w:t>The</w:t>
      </w:r>
      <w:r>
        <w:rPr>
          <w:spacing w:val="-9"/>
        </w:rPr>
        <w:t xml:space="preserve"> </w:t>
      </w:r>
      <w:r>
        <w:rPr>
          <w:spacing w:val="-2"/>
        </w:rPr>
        <w:t>rail</w:t>
      </w:r>
      <w:r>
        <w:rPr>
          <w:spacing w:val="-9"/>
        </w:rPr>
        <w:t xml:space="preserve"> </w:t>
      </w:r>
      <w:r>
        <w:rPr>
          <w:spacing w:val="-2"/>
        </w:rPr>
        <w:t>strategy</w:t>
      </w:r>
      <w:r>
        <w:rPr>
          <w:spacing w:val="-9"/>
        </w:rPr>
        <w:t xml:space="preserve"> </w:t>
      </w:r>
      <w:r>
        <w:rPr>
          <w:spacing w:val="-2"/>
        </w:rPr>
        <w:t>in</w:t>
      </w:r>
      <w:r>
        <w:rPr>
          <w:spacing w:val="-9"/>
        </w:rPr>
        <w:t xml:space="preserve"> </w:t>
      </w:r>
      <w:r>
        <w:rPr>
          <w:spacing w:val="-2"/>
        </w:rPr>
        <w:t>the</w:t>
      </w:r>
      <w:r>
        <w:rPr>
          <w:spacing w:val="-9"/>
        </w:rPr>
        <w:t xml:space="preserve"> </w:t>
      </w:r>
      <w:r>
        <w:rPr>
          <w:spacing w:val="-2"/>
        </w:rPr>
        <w:t>Draft</w:t>
      </w:r>
      <w:r>
        <w:rPr>
          <w:spacing w:val="-9"/>
        </w:rPr>
        <w:t xml:space="preserve"> </w:t>
      </w:r>
      <w:r>
        <w:rPr>
          <w:spacing w:val="-2"/>
        </w:rPr>
        <w:t>Transport</w:t>
      </w:r>
      <w:r>
        <w:rPr>
          <w:spacing w:val="-9"/>
        </w:rPr>
        <w:t xml:space="preserve"> </w:t>
      </w:r>
      <w:r>
        <w:rPr>
          <w:spacing w:val="-2"/>
        </w:rPr>
        <w:t>Master</w:t>
      </w:r>
      <w:r>
        <w:rPr>
          <w:spacing w:val="-9"/>
        </w:rPr>
        <w:t xml:space="preserve"> </w:t>
      </w:r>
      <w:r>
        <w:rPr>
          <w:spacing w:val="-2"/>
        </w:rPr>
        <w:t>Plan</w:t>
      </w:r>
      <w:r>
        <w:rPr>
          <w:spacing w:val="-9"/>
        </w:rPr>
        <w:t xml:space="preserve"> </w:t>
      </w:r>
      <w:r>
        <w:rPr>
          <w:spacing w:val="-2"/>
        </w:rPr>
        <w:t xml:space="preserve">is </w:t>
      </w:r>
      <w:r>
        <w:rPr>
          <w:w w:val="95"/>
        </w:rPr>
        <w:t>based</w:t>
      </w:r>
      <w:r>
        <w:rPr>
          <w:spacing w:val="-12"/>
          <w:w w:val="95"/>
        </w:rPr>
        <w:t xml:space="preserve"> </w:t>
      </w:r>
      <w:r>
        <w:rPr>
          <w:w w:val="95"/>
        </w:rPr>
        <w:t>on</w:t>
      </w:r>
      <w:r>
        <w:rPr>
          <w:spacing w:val="-11"/>
          <w:w w:val="95"/>
        </w:rPr>
        <w:t xml:space="preserve"> </w:t>
      </w:r>
      <w:r>
        <w:rPr>
          <w:w w:val="95"/>
        </w:rPr>
        <w:t>“Sydney’s</w:t>
      </w:r>
      <w:r>
        <w:rPr>
          <w:spacing w:val="-11"/>
          <w:w w:val="95"/>
        </w:rPr>
        <w:t xml:space="preserve"> </w:t>
      </w:r>
      <w:r>
        <w:rPr>
          <w:w w:val="95"/>
        </w:rPr>
        <w:t>Rail</w:t>
      </w:r>
      <w:r>
        <w:rPr>
          <w:spacing w:val="-11"/>
          <w:w w:val="95"/>
        </w:rPr>
        <w:t xml:space="preserve"> </w:t>
      </w:r>
      <w:r>
        <w:rPr>
          <w:w w:val="95"/>
        </w:rPr>
        <w:t>Future”,</w:t>
      </w:r>
      <w:r>
        <w:rPr>
          <w:spacing w:val="-11"/>
          <w:w w:val="95"/>
        </w:rPr>
        <w:t xml:space="preserve"> </w:t>
      </w:r>
      <w:r>
        <w:rPr>
          <w:w w:val="95"/>
        </w:rPr>
        <w:t>released</w:t>
      </w:r>
      <w:r>
        <w:rPr>
          <w:spacing w:val="-11"/>
          <w:w w:val="95"/>
        </w:rPr>
        <w:t xml:space="preserve"> </w:t>
      </w:r>
      <w:r>
        <w:rPr>
          <w:w w:val="95"/>
        </w:rPr>
        <w:t>by</w:t>
      </w:r>
      <w:r>
        <w:rPr>
          <w:spacing w:val="-11"/>
          <w:w w:val="95"/>
        </w:rPr>
        <w:t xml:space="preserve"> </w:t>
      </w:r>
      <w:r>
        <w:rPr>
          <w:w w:val="95"/>
        </w:rPr>
        <w:t xml:space="preserve">Transport </w:t>
      </w:r>
      <w:r>
        <w:rPr>
          <w:spacing w:val="-2"/>
        </w:rPr>
        <w:t>for</w:t>
      </w:r>
      <w:r>
        <w:rPr>
          <w:spacing w:val="-10"/>
        </w:rPr>
        <w:t xml:space="preserve"> </w:t>
      </w:r>
      <w:r>
        <w:rPr>
          <w:spacing w:val="-2"/>
        </w:rPr>
        <w:t>NSW</w:t>
      </w:r>
      <w:r>
        <w:rPr>
          <w:spacing w:val="-10"/>
        </w:rPr>
        <w:t xml:space="preserve"> </w:t>
      </w:r>
      <w:r>
        <w:rPr>
          <w:spacing w:val="-2"/>
        </w:rPr>
        <w:t>in</w:t>
      </w:r>
      <w:r>
        <w:rPr>
          <w:spacing w:val="-10"/>
        </w:rPr>
        <w:t xml:space="preserve"> </w:t>
      </w:r>
      <w:r>
        <w:rPr>
          <w:spacing w:val="-2"/>
        </w:rPr>
        <w:t>June</w:t>
      </w:r>
      <w:r>
        <w:rPr>
          <w:spacing w:val="-10"/>
        </w:rPr>
        <w:t xml:space="preserve"> </w:t>
      </w:r>
      <w:r>
        <w:rPr>
          <w:spacing w:val="-2"/>
        </w:rPr>
        <w:t>2012.</w:t>
      </w:r>
      <w:r>
        <w:rPr>
          <w:spacing w:val="-10"/>
        </w:rPr>
        <w:t xml:space="preserve"> </w:t>
      </w:r>
      <w:r>
        <w:rPr>
          <w:spacing w:val="-2"/>
        </w:rPr>
        <w:t>Sydney’s</w:t>
      </w:r>
      <w:r>
        <w:rPr>
          <w:spacing w:val="-10"/>
        </w:rPr>
        <w:t xml:space="preserve"> </w:t>
      </w:r>
      <w:r>
        <w:rPr>
          <w:spacing w:val="-2"/>
        </w:rPr>
        <w:t>Rail</w:t>
      </w:r>
      <w:r>
        <w:rPr>
          <w:spacing w:val="-10"/>
        </w:rPr>
        <w:t xml:space="preserve"> </w:t>
      </w:r>
      <w:r>
        <w:rPr>
          <w:spacing w:val="-2"/>
        </w:rPr>
        <w:t>Future</w:t>
      </w:r>
      <w:r>
        <w:rPr>
          <w:spacing w:val="-10"/>
        </w:rPr>
        <w:t xml:space="preserve"> </w:t>
      </w:r>
      <w:r>
        <w:rPr>
          <w:spacing w:val="-2"/>
        </w:rPr>
        <w:t>sets</w:t>
      </w:r>
      <w:r>
        <w:rPr>
          <w:spacing w:val="-10"/>
        </w:rPr>
        <w:t xml:space="preserve"> </w:t>
      </w:r>
      <w:r>
        <w:rPr>
          <w:spacing w:val="-2"/>
        </w:rPr>
        <w:t>out</w:t>
      </w:r>
    </w:p>
    <w:p w:rsidR="002C1123" w:rsidRDefault="00F22F94">
      <w:pPr>
        <w:pStyle w:val="BodyText"/>
        <w:spacing w:before="2" w:line="249" w:lineRule="auto"/>
        <w:ind w:left="193" w:right="792"/>
      </w:pPr>
      <w:r>
        <w:rPr>
          <w:w w:val="95"/>
        </w:rPr>
        <w:t>a</w:t>
      </w:r>
      <w:r>
        <w:rPr>
          <w:spacing w:val="-8"/>
          <w:w w:val="95"/>
        </w:rPr>
        <w:t xml:space="preserve"> </w:t>
      </w:r>
      <w:r>
        <w:rPr>
          <w:w w:val="95"/>
        </w:rPr>
        <w:t>vision</w:t>
      </w:r>
      <w:r>
        <w:rPr>
          <w:spacing w:val="-8"/>
          <w:w w:val="95"/>
        </w:rPr>
        <w:t xml:space="preserve"> </w:t>
      </w:r>
      <w:r>
        <w:rPr>
          <w:w w:val="95"/>
        </w:rPr>
        <w:t>for</w:t>
      </w:r>
      <w:r>
        <w:rPr>
          <w:spacing w:val="-8"/>
          <w:w w:val="95"/>
        </w:rPr>
        <w:t xml:space="preserve"> </w:t>
      </w:r>
      <w:r>
        <w:rPr>
          <w:w w:val="95"/>
        </w:rPr>
        <w:t>the</w:t>
      </w:r>
      <w:r>
        <w:rPr>
          <w:spacing w:val="-8"/>
          <w:w w:val="95"/>
        </w:rPr>
        <w:t xml:space="preserve"> </w:t>
      </w:r>
      <w:r>
        <w:rPr>
          <w:w w:val="95"/>
        </w:rPr>
        <w:t>modernisation</w:t>
      </w:r>
      <w:r>
        <w:rPr>
          <w:spacing w:val="-8"/>
          <w:w w:val="95"/>
        </w:rPr>
        <w:t xml:space="preserve"> </w:t>
      </w:r>
      <w:r>
        <w:rPr>
          <w:w w:val="95"/>
        </w:rPr>
        <w:t>of</w:t>
      </w:r>
      <w:r>
        <w:rPr>
          <w:spacing w:val="-8"/>
          <w:w w:val="95"/>
        </w:rPr>
        <w:t xml:space="preserve"> </w:t>
      </w:r>
      <w:r>
        <w:rPr>
          <w:w w:val="95"/>
        </w:rPr>
        <w:t>the</w:t>
      </w:r>
      <w:r>
        <w:rPr>
          <w:spacing w:val="-8"/>
          <w:w w:val="95"/>
        </w:rPr>
        <w:t xml:space="preserve"> </w:t>
      </w:r>
      <w:r>
        <w:rPr>
          <w:w w:val="95"/>
        </w:rPr>
        <w:t>metropolitan</w:t>
      </w:r>
      <w:r>
        <w:rPr>
          <w:spacing w:val="-8"/>
          <w:w w:val="95"/>
        </w:rPr>
        <w:t xml:space="preserve"> </w:t>
      </w:r>
      <w:r>
        <w:rPr>
          <w:w w:val="95"/>
        </w:rPr>
        <w:t xml:space="preserve">rail </w:t>
      </w:r>
      <w:r>
        <w:t>network to provide more capacity.</w:t>
      </w:r>
    </w:p>
    <w:p w:rsidR="002C1123" w:rsidRDefault="00F22F94">
      <w:pPr>
        <w:pStyle w:val="BodyText"/>
        <w:spacing w:before="144" w:line="249" w:lineRule="auto"/>
        <w:ind w:left="193" w:right="792"/>
      </w:pPr>
      <w:r>
        <w:rPr>
          <w:spacing w:val="-2"/>
        </w:rPr>
        <w:t>The</w:t>
      </w:r>
      <w:r>
        <w:rPr>
          <w:spacing w:val="-10"/>
        </w:rPr>
        <w:t xml:space="preserve"> </w:t>
      </w:r>
      <w:r>
        <w:rPr>
          <w:spacing w:val="-2"/>
        </w:rPr>
        <w:t>first</w:t>
      </w:r>
      <w:r>
        <w:rPr>
          <w:spacing w:val="-10"/>
        </w:rPr>
        <w:t xml:space="preserve"> </w:t>
      </w:r>
      <w:r>
        <w:rPr>
          <w:spacing w:val="-2"/>
        </w:rPr>
        <w:t>two</w:t>
      </w:r>
      <w:r>
        <w:rPr>
          <w:spacing w:val="-10"/>
        </w:rPr>
        <w:t xml:space="preserve"> </w:t>
      </w:r>
      <w:r>
        <w:rPr>
          <w:spacing w:val="-2"/>
        </w:rPr>
        <w:t>stages</w:t>
      </w:r>
      <w:r>
        <w:rPr>
          <w:spacing w:val="-10"/>
        </w:rPr>
        <w:t xml:space="preserve"> </w:t>
      </w:r>
      <w:r>
        <w:rPr>
          <w:spacing w:val="-2"/>
        </w:rPr>
        <w:t>of</w:t>
      </w:r>
      <w:r>
        <w:rPr>
          <w:spacing w:val="-10"/>
        </w:rPr>
        <w:t xml:space="preserve"> </w:t>
      </w:r>
      <w:r>
        <w:rPr>
          <w:spacing w:val="-2"/>
        </w:rPr>
        <w:t>‘Sydney’s</w:t>
      </w:r>
      <w:r>
        <w:rPr>
          <w:spacing w:val="-10"/>
        </w:rPr>
        <w:t xml:space="preserve"> </w:t>
      </w:r>
      <w:r>
        <w:rPr>
          <w:spacing w:val="-2"/>
        </w:rPr>
        <w:t>Rail</w:t>
      </w:r>
      <w:r>
        <w:rPr>
          <w:spacing w:val="-10"/>
        </w:rPr>
        <w:t xml:space="preserve"> </w:t>
      </w:r>
      <w:r>
        <w:rPr>
          <w:spacing w:val="-2"/>
        </w:rPr>
        <w:t>Future’</w:t>
      </w:r>
      <w:r>
        <w:rPr>
          <w:spacing w:val="-10"/>
        </w:rPr>
        <w:t xml:space="preserve"> </w:t>
      </w:r>
      <w:r>
        <w:rPr>
          <w:spacing w:val="-2"/>
        </w:rPr>
        <w:t>focus</w:t>
      </w:r>
      <w:r>
        <w:rPr>
          <w:spacing w:val="-10"/>
        </w:rPr>
        <w:t xml:space="preserve"> </w:t>
      </w:r>
      <w:r>
        <w:rPr>
          <w:spacing w:val="-2"/>
        </w:rPr>
        <w:t xml:space="preserve">on </w:t>
      </w:r>
      <w:r>
        <w:t>operational</w:t>
      </w:r>
      <w:r>
        <w:rPr>
          <w:spacing w:val="-13"/>
        </w:rPr>
        <w:t xml:space="preserve"> </w:t>
      </w:r>
      <w:r>
        <w:t>and</w:t>
      </w:r>
      <w:r>
        <w:rPr>
          <w:spacing w:val="-13"/>
        </w:rPr>
        <w:t xml:space="preserve"> </w:t>
      </w:r>
      <w:r>
        <w:t>network</w:t>
      </w:r>
      <w:r>
        <w:rPr>
          <w:spacing w:val="-13"/>
        </w:rPr>
        <w:t xml:space="preserve"> </w:t>
      </w:r>
      <w:r>
        <w:t>efficiencies,</w:t>
      </w:r>
      <w:r>
        <w:rPr>
          <w:spacing w:val="-13"/>
        </w:rPr>
        <w:t xml:space="preserve"> </w:t>
      </w:r>
      <w:r>
        <w:t>which</w:t>
      </w:r>
      <w:r>
        <w:rPr>
          <w:spacing w:val="-13"/>
        </w:rPr>
        <w:t xml:space="preserve"> </w:t>
      </w:r>
      <w:r>
        <w:t>are</w:t>
      </w:r>
      <w:r>
        <w:rPr>
          <w:spacing w:val="-13"/>
        </w:rPr>
        <w:t xml:space="preserve"> </w:t>
      </w:r>
      <w:r>
        <w:t xml:space="preserve">fully </w:t>
      </w:r>
      <w:r>
        <w:rPr>
          <w:w w:val="95"/>
        </w:rPr>
        <w:t>endorsed by Infrastructure NSW. Using existing rolling stock,</w:t>
      </w:r>
      <w:r>
        <w:rPr>
          <w:spacing w:val="-3"/>
          <w:w w:val="95"/>
        </w:rPr>
        <w:t xml:space="preserve"> </w:t>
      </w:r>
      <w:r>
        <w:rPr>
          <w:w w:val="95"/>
        </w:rPr>
        <w:t>these</w:t>
      </w:r>
      <w:r>
        <w:rPr>
          <w:spacing w:val="-3"/>
          <w:w w:val="95"/>
        </w:rPr>
        <w:t xml:space="preserve"> </w:t>
      </w:r>
      <w:r>
        <w:rPr>
          <w:w w:val="95"/>
        </w:rPr>
        <w:t>efficiency</w:t>
      </w:r>
      <w:r>
        <w:rPr>
          <w:spacing w:val="-3"/>
          <w:w w:val="95"/>
        </w:rPr>
        <w:t xml:space="preserve"> </w:t>
      </w:r>
      <w:r>
        <w:rPr>
          <w:w w:val="95"/>
        </w:rPr>
        <w:t>changes</w:t>
      </w:r>
      <w:r>
        <w:rPr>
          <w:spacing w:val="-3"/>
          <w:w w:val="95"/>
        </w:rPr>
        <w:t xml:space="preserve"> </w:t>
      </w:r>
      <w:r>
        <w:rPr>
          <w:w w:val="95"/>
        </w:rPr>
        <w:t>will</w:t>
      </w:r>
      <w:r>
        <w:rPr>
          <w:spacing w:val="-3"/>
          <w:w w:val="95"/>
        </w:rPr>
        <w:t xml:space="preserve"> </w:t>
      </w:r>
      <w:r>
        <w:rPr>
          <w:w w:val="95"/>
        </w:rPr>
        <w:t>reduce</w:t>
      </w:r>
      <w:r>
        <w:rPr>
          <w:spacing w:val="-3"/>
          <w:w w:val="95"/>
        </w:rPr>
        <w:t xml:space="preserve"> </w:t>
      </w:r>
      <w:r>
        <w:rPr>
          <w:w w:val="95"/>
        </w:rPr>
        <w:t>train</w:t>
      </w:r>
      <w:r>
        <w:rPr>
          <w:spacing w:val="-3"/>
          <w:w w:val="95"/>
        </w:rPr>
        <w:t xml:space="preserve"> </w:t>
      </w:r>
      <w:r>
        <w:rPr>
          <w:w w:val="95"/>
        </w:rPr>
        <w:t>delays at</w:t>
      </w:r>
      <w:r>
        <w:rPr>
          <w:spacing w:val="-4"/>
          <w:w w:val="95"/>
        </w:rPr>
        <w:t xml:space="preserve"> </w:t>
      </w:r>
      <w:r>
        <w:rPr>
          <w:w w:val="95"/>
        </w:rPr>
        <w:t>busy</w:t>
      </w:r>
      <w:r>
        <w:rPr>
          <w:spacing w:val="-4"/>
          <w:w w:val="95"/>
        </w:rPr>
        <w:t xml:space="preserve"> </w:t>
      </w:r>
      <w:r>
        <w:rPr>
          <w:w w:val="95"/>
        </w:rPr>
        <w:t>CBD</w:t>
      </w:r>
      <w:r>
        <w:rPr>
          <w:spacing w:val="-4"/>
          <w:w w:val="95"/>
        </w:rPr>
        <w:t xml:space="preserve"> </w:t>
      </w:r>
      <w:r>
        <w:rPr>
          <w:w w:val="95"/>
        </w:rPr>
        <w:t>stations</w:t>
      </w:r>
      <w:r>
        <w:rPr>
          <w:spacing w:val="-4"/>
          <w:w w:val="95"/>
        </w:rPr>
        <w:t xml:space="preserve"> </w:t>
      </w:r>
      <w:r>
        <w:rPr>
          <w:w w:val="95"/>
        </w:rPr>
        <w:t>and</w:t>
      </w:r>
      <w:r>
        <w:rPr>
          <w:spacing w:val="-4"/>
          <w:w w:val="95"/>
        </w:rPr>
        <w:t xml:space="preserve"> </w:t>
      </w:r>
      <w:r>
        <w:rPr>
          <w:w w:val="95"/>
        </w:rPr>
        <w:t>thereby</w:t>
      </w:r>
      <w:r>
        <w:rPr>
          <w:spacing w:val="-4"/>
          <w:w w:val="95"/>
        </w:rPr>
        <w:t xml:space="preserve"> </w:t>
      </w:r>
      <w:r>
        <w:rPr>
          <w:w w:val="95"/>
        </w:rPr>
        <w:t>enable</w:t>
      </w:r>
      <w:r>
        <w:rPr>
          <w:spacing w:val="-4"/>
          <w:w w:val="95"/>
        </w:rPr>
        <w:t xml:space="preserve"> </w:t>
      </w:r>
      <w:r>
        <w:rPr>
          <w:w w:val="95"/>
        </w:rPr>
        <w:t>the</w:t>
      </w:r>
      <w:r>
        <w:rPr>
          <w:spacing w:val="-4"/>
          <w:w w:val="95"/>
        </w:rPr>
        <w:t xml:space="preserve"> </w:t>
      </w:r>
      <w:r>
        <w:rPr>
          <w:w w:val="95"/>
        </w:rPr>
        <w:t xml:space="preserve">operation </w:t>
      </w:r>
      <w:r>
        <w:t>of</w:t>
      </w:r>
      <w:r>
        <w:rPr>
          <w:spacing w:val="-10"/>
        </w:rPr>
        <w:t xml:space="preserve"> </w:t>
      </w:r>
      <w:r>
        <w:t>more</w:t>
      </w:r>
      <w:r>
        <w:rPr>
          <w:spacing w:val="-10"/>
        </w:rPr>
        <w:t xml:space="preserve"> </w:t>
      </w:r>
      <w:r>
        <w:t>closely-spaced</w:t>
      </w:r>
      <w:r>
        <w:rPr>
          <w:spacing w:val="-10"/>
        </w:rPr>
        <w:t xml:space="preserve"> </w:t>
      </w:r>
      <w:r>
        <w:t>services</w:t>
      </w:r>
      <w:r>
        <w:rPr>
          <w:spacing w:val="-10"/>
        </w:rPr>
        <w:t xml:space="preserve"> </w:t>
      </w:r>
      <w:r>
        <w:t>to</w:t>
      </w:r>
      <w:r>
        <w:rPr>
          <w:spacing w:val="-10"/>
        </w:rPr>
        <w:t xml:space="preserve"> </w:t>
      </w:r>
      <w:r>
        <w:t>give</w:t>
      </w:r>
      <w:r>
        <w:rPr>
          <w:spacing w:val="-10"/>
        </w:rPr>
        <w:t xml:space="preserve"> </w:t>
      </w:r>
      <w:r>
        <w:t>a</w:t>
      </w:r>
      <w:r>
        <w:rPr>
          <w:spacing w:val="-10"/>
        </w:rPr>
        <w:t xml:space="preserve"> </w:t>
      </w:r>
      <w:r>
        <w:t>higher capacity</w:t>
      </w:r>
      <w:r>
        <w:rPr>
          <w:spacing w:val="-11"/>
        </w:rPr>
        <w:t xml:space="preserve"> </w:t>
      </w:r>
      <w:r>
        <w:t>system.</w:t>
      </w:r>
    </w:p>
    <w:p w:rsidR="002C1123" w:rsidRDefault="00F22F94">
      <w:pPr>
        <w:pStyle w:val="BodyText"/>
        <w:spacing w:before="147" w:line="249" w:lineRule="auto"/>
        <w:ind w:left="193" w:right="792"/>
      </w:pPr>
      <w:r>
        <w:rPr>
          <w:spacing w:val="-2"/>
          <w:w w:val="95"/>
        </w:rPr>
        <w:t>The</w:t>
      </w:r>
      <w:r>
        <w:rPr>
          <w:spacing w:val="-6"/>
          <w:w w:val="95"/>
        </w:rPr>
        <w:t xml:space="preserve"> </w:t>
      </w:r>
      <w:r>
        <w:rPr>
          <w:spacing w:val="-2"/>
          <w:w w:val="95"/>
        </w:rPr>
        <w:t>later</w:t>
      </w:r>
      <w:r>
        <w:rPr>
          <w:spacing w:val="-6"/>
          <w:w w:val="95"/>
        </w:rPr>
        <w:t xml:space="preserve"> </w:t>
      </w:r>
      <w:r>
        <w:rPr>
          <w:spacing w:val="-2"/>
          <w:w w:val="95"/>
        </w:rPr>
        <w:t>stages</w:t>
      </w:r>
      <w:r>
        <w:rPr>
          <w:spacing w:val="-6"/>
          <w:w w:val="95"/>
        </w:rPr>
        <w:t xml:space="preserve"> </w:t>
      </w:r>
      <w:r>
        <w:rPr>
          <w:spacing w:val="-2"/>
          <w:w w:val="95"/>
        </w:rPr>
        <w:t>of</w:t>
      </w:r>
      <w:r>
        <w:rPr>
          <w:spacing w:val="-6"/>
          <w:w w:val="95"/>
        </w:rPr>
        <w:t xml:space="preserve"> </w:t>
      </w:r>
      <w:r>
        <w:rPr>
          <w:spacing w:val="-2"/>
          <w:w w:val="95"/>
        </w:rPr>
        <w:t>Sydney’s</w:t>
      </w:r>
      <w:r>
        <w:rPr>
          <w:spacing w:val="-6"/>
          <w:w w:val="95"/>
        </w:rPr>
        <w:t xml:space="preserve"> </w:t>
      </w:r>
      <w:r>
        <w:rPr>
          <w:spacing w:val="-2"/>
          <w:w w:val="95"/>
        </w:rPr>
        <w:t>Rail</w:t>
      </w:r>
      <w:r>
        <w:rPr>
          <w:spacing w:val="-6"/>
          <w:w w:val="95"/>
        </w:rPr>
        <w:t xml:space="preserve"> </w:t>
      </w:r>
      <w:r>
        <w:rPr>
          <w:spacing w:val="-2"/>
          <w:w w:val="95"/>
        </w:rPr>
        <w:t>Future</w:t>
      </w:r>
      <w:r>
        <w:rPr>
          <w:spacing w:val="-6"/>
          <w:w w:val="95"/>
        </w:rPr>
        <w:t xml:space="preserve"> </w:t>
      </w:r>
      <w:r>
        <w:rPr>
          <w:spacing w:val="-2"/>
          <w:w w:val="95"/>
        </w:rPr>
        <w:t>involve</w:t>
      </w:r>
      <w:r>
        <w:rPr>
          <w:spacing w:val="-6"/>
          <w:w w:val="95"/>
        </w:rPr>
        <w:t xml:space="preserve"> </w:t>
      </w:r>
      <w:r>
        <w:rPr>
          <w:spacing w:val="-2"/>
          <w:w w:val="95"/>
        </w:rPr>
        <w:t xml:space="preserve">more </w:t>
      </w:r>
      <w:r>
        <w:t>radical</w:t>
      </w:r>
      <w:r>
        <w:rPr>
          <w:spacing w:val="-14"/>
        </w:rPr>
        <w:t xml:space="preserve"> </w:t>
      </w:r>
      <w:r>
        <w:t>changes</w:t>
      </w:r>
      <w:r>
        <w:rPr>
          <w:spacing w:val="-14"/>
        </w:rPr>
        <w:t xml:space="preserve"> </w:t>
      </w:r>
      <w:r>
        <w:t>including</w:t>
      </w:r>
      <w:r>
        <w:rPr>
          <w:spacing w:val="-14"/>
        </w:rPr>
        <w:t xml:space="preserve"> </w:t>
      </w:r>
      <w:r>
        <w:t>a</w:t>
      </w:r>
      <w:r>
        <w:rPr>
          <w:spacing w:val="-14"/>
        </w:rPr>
        <w:t xml:space="preserve"> </w:t>
      </w:r>
      <w:r>
        <w:t>three</w:t>
      </w:r>
      <w:r>
        <w:rPr>
          <w:spacing w:val="-14"/>
        </w:rPr>
        <w:t xml:space="preserve"> </w:t>
      </w:r>
      <w:r>
        <w:t>tier</w:t>
      </w:r>
      <w:r>
        <w:rPr>
          <w:spacing w:val="-14"/>
        </w:rPr>
        <w:t xml:space="preserve"> </w:t>
      </w:r>
      <w:r>
        <w:t>railway</w:t>
      </w:r>
      <w:r>
        <w:rPr>
          <w:spacing w:val="-14"/>
        </w:rPr>
        <w:t xml:space="preserve"> </w:t>
      </w:r>
      <w:r>
        <w:t>and</w:t>
      </w:r>
      <w:r>
        <w:rPr>
          <w:spacing w:val="-14"/>
        </w:rPr>
        <w:t xml:space="preserve"> </w:t>
      </w:r>
      <w:r>
        <w:t>a second</w:t>
      </w:r>
      <w:r>
        <w:rPr>
          <w:spacing w:val="-5"/>
        </w:rPr>
        <w:t xml:space="preserve"> </w:t>
      </w:r>
      <w:r>
        <w:t>harbour</w:t>
      </w:r>
      <w:r>
        <w:rPr>
          <w:spacing w:val="-5"/>
        </w:rPr>
        <w:t xml:space="preserve"> </w:t>
      </w:r>
      <w:r>
        <w:t>crossing.</w:t>
      </w:r>
      <w:r>
        <w:rPr>
          <w:spacing w:val="-5"/>
        </w:rPr>
        <w:t xml:space="preserve"> </w:t>
      </w:r>
      <w:r>
        <w:t>The</w:t>
      </w:r>
      <w:r>
        <w:rPr>
          <w:spacing w:val="-5"/>
        </w:rPr>
        <w:t xml:space="preserve"> </w:t>
      </w:r>
      <w:r>
        <w:t>proposed</w:t>
      </w:r>
      <w:r>
        <w:rPr>
          <w:spacing w:val="-5"/>
        </w:rPr>
        <w:t xml:space="preserve"> </w:t>
      </w:r>
      <w:r>
        <w:t>three</w:t>
      </w:r>
      <w:r>
        <w:rPr>
          <w:spacing w:val="-5"/>
        </w:rPr>
        <w:t xml:space="preserve"> </w:t>
      </w:r>
      <w:r>
        <w:t>tier railway</w:t>
      </w:r>
      <w:r>
        <w:rPr>
          <w:spacing w:val="-11"/>
        </w:rPr>
        <w:t xml:space="preserve"> </w:t>
      </w:r>
      <w:r>
        <w:t>comprises:</w:t>
      </w:r>
    </w:p>
    <w:p w:rsidR="002C1123" w:rsidRDefault="00F22F94">
      <w:pPr>
        <w:pStyle w:val="ListParagraph"/>
        <w:numPr>
          <w:ilvl w:val="3"/>
          <w:numId w:val="86"/>
        </w:numPr>
        <w:tabs>
          <w:tab w:val="left" w:pos="477"/>
        </w:tabs>
        <w:spacing w:before="133" w:line="249" w:lineRule="auto"/>
        <w:ind w:right="1151"/>
        <w:rPr>
          <w:sz w:val="20"/>
        </w:rPr>
      </w:pPr>
      <w:r>
        <w:rPr>
          <w:w w:val="95"/>
          <w:sz w:val="20"/>
        </w:rPr>
        <w:t>a</w:t>
      </w:r>
      <w:r>
        <w:rPr>
          <w:spacing w:val="-6"/>
          <w:w w:val="95"/>
          <w:sz w:val="20"/>
        </w:rPr>
        <w:t xml:space="preserve"> </w:t>
      </w:r>
      <w:r>
        <w:rPr>
          <w:w w:val="95"/>
          <w:sz w:val="20"/>
        </w:rPr>
        <w:t>rapid</w:t>
      </w:r>
      <w:r>
        <w:rPr>
          <w:spacing w:val="-6"/>
          <w:w w:val="95"/>
          <w:sz w:val="20"/>
        </w:rPr>
        <w:t xml:space="preserve"> </w:t>
      </w:r>
      <w:r>
        <w:rPr>
          <w:w w:val="95"/>
          <w:sz w:val="20"/>
        </w:rPr>
        <w:t>transit</w:t>
      </w:r>
      <w:r>
        <w:rPr>
          <w:spacing w:val="-6"/>
          <w:w w:val="95"/>
          <w:sz w:val="20"/>
        </w:rPr>
        <w:t xml:space="preserve"> </w:t>
      </w:r>
      <w:r>
        <w:rPr>
          <w:w w:val="95"/>
          <w:sz w:val="20"/>
        </w:rPr>
        <w:t>network</w:t>
      </w:r>
      <w:r>
        <w:rPr>
          <w:spacing w:val="-6"/>
          <w:w w:val="95"/>
          <w:sz w:val="20"/>
        </w:rPr>
        <w:t xml:space="preserve"> </w:t>
      </w:r>
      <w:r>
        <w:rPr>
          <w:w w:val="95"/>
          <w:sz w:val="20"/>
        </w:rPr>
        <w:t>utilising</w:t>
      </w:r>
      <w:r>
        <w:rPr>
          <w:spacing w:val="-6"/>
          <w:w w:val="95"/>
          <w:sz w:val="20"/>
        </w:rPr>
        <w:t xml:space="preserve"> </w:t>
      </w:r>
      <w:r>
        <w:rPr>
          <w:w w:val="95"/>
          <w:sz w:val="20"/>
        </w:rPr>
        <w:t>single</w:t>
      </w:r>
      <w:r>
        <w:rPr>
          <w:spacing w:val="-6"/>
          <w:w w:val="95"/>
          <w:sz w:val="20"/>
        </w:rPr>
        <w:t xml:space="preserve"> </w:t>
      </w:r>
      <w:r>
        <w:rPr>
          <w:w w:val="95"/>
          <w:sz w:val="20"/>
        </w:rPr>
        <w:t>deck</w:t>
      </w:r>
      <w:r>
        <w:rPr>
          <w:spacing w:val="-6"/>
          <w:w w:val="95"/>
          <w:sz w:val="20"/>
        </w:rPr>
        <w:t xml:space="preserve"> </w:t>
      </w:r>
      <w:r>
        <w:rPr>
          <w:w w:val="95"/>
          <w:sz w:val="20"/>
        </w:rPr>
        <w:t xml:space="preserve">trains </w:t>
      </w:r>
      <w:r>
        <w:rPr>
          <w:sz w:val="20"/>
        </w:rPr>
        <w:t>operating to a turn-up-and-go service pattern</w:t>
      </w:r>
    </w:p>
    <w:p w:rsidR="002C1123" w:rsidRDefault="00F22F94">
      <w:pPr>
        <w:pStyle w:val="ListParagraph"/>
        <w:numPr>
          <w:ilvl w:val="3"/>
          <w:numId w:val="86"/>
        </w:numPr>
        <w:tabs>
          <w:tab w:val="left" w:pos="477"/>
        </w:tabs>
        <w:spacing w:before="130" w:line="249" w:lineRule="auto"/>
        <w:ind w:right="834"/>
        <w:rPr>
          <w:sz w:val="20"/>
        </w:rPr>
      </w:pPr>
      <w:r>
        <w:rPr>
          <w:w w:val="95"/>
          <w:sz w:val="20"/>
        </w:rPr>
        <w:t xml:space="preserve">a suburban network using double deck trains on the </w:t>
      </w:r>
      <w:r>
        <w:rPr>
          <w:sz w:val="20"/>
        </w:rPr>
        <w:t>majority of the existing network</w:t>
      </w:r>
    </w:p>
    <w:p w:rsidR="002C1123" w:rsidRDefault="00F22F94">
      <w:pPr>
        <w:pStyle w:val="ListParagraph"/>
        <w:numPr>
          <w:ilvl w:val="3"/>
          <w:numId w:val="86"/>
        </w:numPr>
        <w:tabs>
          <w:tab w:val="left" w:pos="477"/>
        </w:tabs>
        <w:spacing w:before="131" w:line="249" w:lineRule="auto"/>
        <w:ind w:right="1208"/>
        <w:rPr>
          <w:sz w:val="20"/>
        </w:rPr>
      </w:pPr>
      <w:r>
        <w:rPr>
          <w:sz w:val="20"/>
        </w:rPr>
        <w:t>an</w:t>
      </w:r>
      <w:r>
        <w:rPr>
          <w:spacing w:val="-14"/>
          <w:sz w:val="20"/>
        </w:rPr>
        <w:t xml:space="preserve"> </w:t>
      </w:r>
      <w:r>
        <w:rPr>
          <w:sz w:val="20"/>
        </w:rPr>
        <w:t>intercity</w:t>
      </w:r>
      <w:r>
        <w:rPr>
          <w:spacing w:val="-14"/>
          <w:sz w:val="20"/>
        </w:rPr>
        <w:t xml:space="preserve"> </w:t>
      </w:r>
      <w:r>
        <w:rPr>
          <w:sz w:val="20"/>
        </w:rPr>
        <w:t>network</w:t>
      </w:r>
      <w:r>
        <w:rPr>
          <w:spacing w:val="-14"/>
          <w:sz w:val="20"/>
        </w:rPr>
        <w:t xml:space="preserve"> </w:t>
      </w:r>
      <w:r>
        <w:rPr>
          <w:sz w:val="20"/>
        </w:rPr>
        <w:t>serving</w:t>
      </w:r>
      <w:r>
        <w:rPr>
          <w:spacing w:val="-14"/>
          <w:sz w:val="20"/>
        </w:rPr>
        <w:t xml:space="preserve"> </w:t>
      </w:r>
      <w:r>
        <w:rPr>
          <w:sz w:val="20"/>
        </w:rPr>
        <w:t>the</w:t>
      </w:r>
      <w:r>
        <w:rPr>
          <w:spacing w:val="-14"/>
          <w:sz w:val="20"/>
        </w:rPr>
        <w:t xml:space="preserve"> </w:t>
      </w:r>
      <w:r>
        <w:rPr>
          <w:sz w:val="20"/>
        </w:rPr>
        <w:t>Central</w:t>
      </w:r>
      <w:r>
        <w:rPr>
          <w:spacing w:val="-14"/>
          <w:sz w:val="20"/>
        </w:rPr>
        <w:t xml:space="preserve"> </w:t>
      </w:r>
      <w:r>
        <w:rPr>
          <w:sz w:val="20"/>
        </w:rPr>
        <w:t xml:space="preserve">Coast, </w:t>
      </w:r>
      <w:r>
        <w:rPr>
          <w:w w:val="95"/>
          <w:sz w:val="20"/>
        </w:rPr>
        <w:t>Hunter,</w:t>
      </w:r>
      <w:r>
        <w:rPr>
          <w:spacing w:val="-6"/>
          <w:w w:val="95"/>
          <w:sz w:val="20"/>
        </w:rPr>
        <w:t xml:space="preserve"> </w:t>
      </w:r>
      <w:r>
        <w:rPr>
          <w:w w:val="95"/>
          <w:sz w:val="20"/>
        </w:rPr>
        <w:t>Blue</w:t>
      </w:r>
      <w:r>
        <w:rPr>
          <w:spacing w:val="-6"/>
          <w:w w:val="95"/>
          <w:sz w:val="20"/>
        </w:rPr>
        <w:t xml:space="preserve"> </w:t>
      </w:r>
      <w:r>
        <w:rPr>
          <w:w w:val="95"/>
          <w:sz w:val="20"/>
        </w:rPr>
        <w:t>Mountains</w:t>
      </w:r>
      <w:r>
        <w:rPr>
          <w:spacing w:val="-6"/>
          <w:w w:val="95"/>
          <w:sz w:val="20"/>
        </w:rPr>
        <w:t xml:space="preserve"> </w:t>
      </w:r>
      <w:r>
        <w:rPr>
          <w:w w:val="95"/>
          <w:sz w:val="20"/>
        </w:rPr>
        <w:t>and</w:t>
      </w:r>
      <w:r>
        <w:rPr>
          <w:spacing w:val="-6"/>
          <w:w w:val="95"/>
          <w:sz w:val="20"/>
        </w:rPr>
        <w:t xml:space="preserve"> </w:t>
      </w:r>
      <w:r>
        <w:rPr>
          <w:w w:val="95"/>
          <w:sz w:val="20"/>
        </w:rPr>
        <w:t>South</w:t>
      </w:r>
      <w:r>
        <w:rPr>
          <w:spacing w:val="-6"/>
          <w:w w:val="95"/>
          <w:sz w:val="20"/>
        </w:rPr>
        <w:t xml:space="preserve"> </w:t>
      </w:r>
      <w:r>
        <w:rPr>
          <w:w w:val="95"/>
          <w:sz w:val="20"/>
        </w:rPr>
        <w:t>Coast,</w:t>
      </w:r>
      <w:r>
        <w:rPr>
          <w:spacing w:val="-6"/>
          <w:w w:val="95"/>
          <w:sz w:val="20"/>
        </w:rPr>
        <w:t xml:space="preserve"> </w:t>
      </w:r>
      <w:r>
        <w:rPr>
          <w:w w:val="95"/>
          <w:sz w:val="20"/>
        </w:rPr>
        <w:t xml:space="preserve">using </w:t>
      </w:r>
      <w:r>
        <w:rPr>
          <w:sz w:val="20"/>
        </w:rPr>
        <w:t>comfortable double deck trains.</w:t>
      </w:r>
    </w:p>
    <w:p w:rsidR="002C1123" w:rsidRDefault="00F22F94">
      <w:pPr>
        <w:pStyle w:val="BodyText"/>
        <w:spacing w:before="139" w:line="249" w:lineRule="auto"/>
        <w:ind w:left="193" w:right="792"/>
      </w:pPr>
      <w:r>
        <w:t>Infrastructure</w:t>
      </w:r>
      <w:r>
        <w:rPr>
          <w:spacing w:val="-10"/>
        </w:rPr>
        <w:t xml:space="preserve"> </w:t>
      </w:r>
      <w:r>
        <w:t>NSW</w:t>
      </w:r>
      <w:r>
        <w:rPr>
          <w:spacing w:val="-10"/>
        </w:rPr>
        <w:t xml:space="preserve"> </w:t>
      </w:r>
      <w:r>
        <w:t>believes</w:t>
      </w:r>
      <w:r>
        <w:rPr>
          <w:spacing w:val="-10"/>
        </w:rPr>
        <w:t xml:space="preserve"> </w:t>
      </w:r>
      <w:r>
        <w:t>that</w:t>
      </w:r>
      <w:r>
        <w:rPr>
          <w:spacing w:val="-10"/>
        </w:rPr>
        <w:t xml:space="preserve"> </w:t>
      </w:r>
      <w:r>
        <w:t>the</w:t>
      </w:r>
      <w:r>
        <w:rPr>
          <w:spacing w:val="-10"/>
        </w:rPr>
        <w:t xml:space="preserve"> </w:t>
      </w:r>
      <w:r>
        <w:t xml:space="preserve">concepts </w:t>
      </w:r>
      <w:r>
        <w:rPr>
          <w:w w:val="95"/>
        </w:rPr>
        <w:t>underlying</w:t>
      </w:r>
      <w:r>
        <w:rPr>
          <w:spacing w:val="-11"/>
          <w:w w:val="95"/>
        </w:rPr>
        <w:t xml:space="preserve"> </w:t>
      </w:r>
      <w:r>
        <w:rPr>
          <w:w w:val="95"/>
        </w:rPr>
        <w:t>Sydney’s</w:t>
      </w:r>
      <w:r>
        <w:rPr>
          <w:spacing w:val="-11"/>
          <w:w w:val="95"/>
        </w:rPr>
        <w:t xml:space="preserve"> </w:t>
      </w:r>
      <w:r>
        <w:rPr>
          <w:w w:val="95"/>
        </w:rPr>
        <w:t>Rail</w:t>
      </w:r>
      <w:r>
        <w:rPr>
          <w:spacing w:val="-11"/>
          <w:w w:val="95"/>
        </w:rPr>
        <w:t xml:space="preserve"> </w:t>
      </w:r>
      <w:r>
        <w:rPr>
          <w:w w:val="95"/>
        </w:rPr>
        <w:t>Future</w:t>
      </w:r>
      <w:r>
        <w:rPr>
          <w:spacing w:val="-11"/>
          <w:w w:val="95"/>
        </w:rPr>
        <w:t xml:space="preserve"> </w:t>
      </w:r>
      <w:r>
        <w:rPr>
          <w:w w:val="95"/>
        </w:rPr>
        <w:t>form</w:t>
      </w:r>
      <w:r>
        <w:rPr>
          <w:spacing w:val="-12"/>
          <w:w w:val="95"/>
        </w:rPr>
        <w:t xml:space="preserve"> </w:t>
      </w:r>
      <w:r>
        <w:rPr>
          <w:w w:val="95"/>
        </w:rPr>
        <w:t>a</w:t>
      </w:r>
      <w:r>
        <w:rPr>
          <w:spacing w:val="-10"/>
          <w:w w:val="95"/>
        </w:rPr>
        <w:t xml:space="preserve"> </w:t>
      </w:r>
      <w:r>
        <w:rPr>
          <w:w w:val="95"/>
        </w:rPr>
        <w:t>sound</w:t>
      </w:r>
      <w:r>
        <w:rPr>
          <w:spacing w:val="-11"/>
          <w:w w:val="95"/>
        </w:rPr>
        <w:t xml:space="preserve"> </w:t>
      </w:r>
      <w:r>
        <w:rPr>
          <w:w w:val="95"/>
        </w:rPr>
        <w:t>basis</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299" w:space="40"/>
            <w:col w:w="4975" w:space="39"/>
            <w:col w:w="5707"/>
          </w:cols>
        </w:sectPr>
      </w:pPr>
    </w:p>
    <w:p w:rsidR="002C1123" w:rsidRDefault="002060EF">
      <w:pPr>
        <w:spacing w:before="24"/>
        <w:ind w:left="960"/>
        <w:rPr>
          <w:sz w:val="16"/>
        </w:rPr>
      </w:pPr>
      <w:r>
        <w:pict>
          <v:line id="_x0000_s3775" style="position:absolute;left:0;text-align:left;z-index:251409408;mso-position-horizontal-relative:page" from="198.8pt,25.85pt" to="215.8pt,25.85pt" strokecolor="#f47920" strokeweight="3pt">
            <w10:wrap anchorx="page"/>
          </v:line>
        </w:pict>
      </w:r>
      <w:r w:rsidR="00F22F94">
        <w:rPr>
          <w:w w:val="95"/>
          <w:sz w:val="16"/>
        </w:rPr>
        <w:t>6</w:t>
      </w:r>
      <w:r w:rsidR="00F22F94">
        <w:rPr>
          <w:spacing w:val="-9"/>
          <w:w w:val="95"/>
          <w:sz w:val="16"/>
        </w:rPr>
        <w:t xml:space="preserve"> </w:t>
      </w:r>
      <w:r w:rsidR="00F22F94">
        <w:rPr>
          <w:w w:val="95"/>
          <w:sz w:val="16"/>
        </w:rPr>
        <w:t>:00</w:t>
      </w:r>
      <w:r w:rsidR="00F22F94">
        <w:rPr>
          <w:spacing w:val="76"/>
          <w:w w:val="150"/>
          <w:sz w:val="16"/>
        </w:rPr>
        <w:t xml:space="preserve"> </w:t>
      </w:r>
      <w:r w:rsidR="00F22F94">
        <w:rPr>
          <w:w w:val="95"/>
          <w:sz w:val="16"/>
        </w:rPr>
        <w:t>7:00</w:t>
      </w:r>
      <w:r w:rsidR="00F22F94">
        <w:rPr>
          <w:spacing w:val="79"/>
          <w:w w:val="150"/>
          <w:sz w:val="16"/>
        </w:rPr>
        <w:t xml:space="preserve"> </w:t>
      </w:r>
      <w:r w:rsidR="00F22F94">
        <w:rPr>
          <w:w w:val="95"/>
          <w:sz w:val="16"/>
        </w:rPr>
        <w:t>8:00</w:t>
      </w:r>
      <w:r w:rsidR="00F22F94">
        <w:rPr>
          <w:spacing w:val="79"/>
          <w:w w:val="150"/>
          <w:sz w:val="16"/>
        </w:rPr>
        <w:t xml:space="preserve"> </w:t>
      </w:r>
      <w:r w:rsidR="00F22F94">
        <w:rPr>
          <w:w w:val="95"/>
          <w:sz w:val="16"/>
        </w:rPr>
        <w:t>9:00</w:t>
      </w:r>
      <w:r w:rsidR="00F22F94">
        <w:rPr>
          <w:spacing w:val="79"/>
          <w:w w:val="150"/>
          <w:sz w:val="16"/>
        </w:rPr>
        <w:t xml:space="preserve"> </w:t>
      </w:r>
      <w:r w:rsidR="00F22F94">
        <w:rPr>
          <w:w w:val="95"/>
          <w:sz w:val="16"/>
        </w:rPr>
        <w:t>10:00</w:t>
      </w:r>
      <w:r w:rsidR="00F22F94">
        <w:rPr>
          <w:spacing w:val="79"/>
          <w:w w:val="150"/>
          <w:sz w:val="16"/>
        </w:rPr>
        <w:t xml:space="preserve"> </w:t>
      </w:r>
      <w:r w:rsidR="00F22F94">
        <w:rPr>
          <w:w w:val="95"/>
          <w:sz w:val="16"/>
        </w:rPr>
        <w:t>11:00</w:t>
      </w:r>
      <w:r w:rsidR="00F22F94">
        <w:rPr>
          <w:spacing w:val="79"/>
          <w:w w:val="150"/>
          <w:sz w:val="16"/>
        </w:rPr>
        <w:t xml:space="preserve"> </w:t>
      </w:r>
      <w:r w:rsidR="00F22F94">
        <w:rPr>
          <w:w w:val="95"/>
          <w:sz w:val="16"/>
        </w:rPr>
        <w:t>12:00</w:t>
      </w:r>
      <w:r w:rsidR="00F22F94">
        <w:rPr>
          <w:spacing w:val="79"/>
          <w:w w:val="150"/>
          <w:sz w:val="16"/>
        </w:rPr>
        <w:t xml:space="preserve"> </w:t>
      </w:r>
      <w:r w:rsidR="00F22F94">
        <w:rPr>
          <w:w w:val="95"/>
          <w:sz w:val="16"/>
        </w:rPr>
        <w:t>13:00</w:t>
      </w:r>
      <w:r w:rsidR="00F22F94">
        <w:rPr>
          <w:spacing w:val="79"/>
          <w:w w:val="150"/>
          <w:sz w:val="16"/>
        </w:rPr>
        <w:t xml:space="preserve"> </w:t>
      </w:r>
      <w:r w:rsidR="00F22F94">
        <w:rPr>
          <w:w w:val="95"/>
          <w:sz w:val="16"/>
        </w:rPr>
        <w:t>14:00</w:t>
      </w:r>
      <w:r w:rsidR="00F22F94">
        <w:rPr>
          <w:spacing w:val="79"/>
          <w:w w:val="150"/>
          <w:sz w:val="16"/>
        </w:rPr>
        <w:t xml:space="preserve"> </w:t>
      </w:r>
      <w:r w:rsidR="00F22F94">
        <w:rPr>
          <w:w w:val="95"/>
          <w:sz w:val="16"/>
        </w:rPr>
        <w:t>15:00</w:t>
      </w:r>
      <w:r w:rsidR="00F22F94">
        <w:rPr>
          <w:spacing w:val="79"/>
          <w:w w:val="150"/>
          <w:sz w:val="16"/>
        </w:rPr>
        <w:t xml:space="preserve"> </w:t>
      </w:r>
      <w:r w:rsidR="00F22F94">
        <w:rPr>
          <w:w w:val="95"/>
          <w:sz w:val="16"/>
        </w:rPr>
        <w:t>16:00</w:t>
      </w:r>
      <w:r w:rsidR="00F22F94">
        <w:rPr>
          <w:spacing w:val="79"/>
          <w:w w:val="150"/>
          <w:sz w:val="16"/>
        </w:rPr>
        <w:t xml:space="preserve"> </w:t>
      </w:r>
      <w:r w:rsidR="00F22F94">
        <w:rPr>
          <w:w w:val="95"/>
          <w:sz w:val="16"/>
        </w:rPr>
        <w:t>17:00</w:t>
      </w:r>
      <w:r w:rsidR="00F22F94">
        <w:rPr>
          <w:spacing w:val="79"/>
          <w:w w:val="150"/>
          <w:sz w:val="16"/>
        </w:rPr>
        <w:t xml:space="preserve"> </w:t>
      </w:r>
      <w:r w:rsidR="00F22F94">
        <w:rPr>
          <w:w w:val="95"/>
          <w:sz w:val="16"/>
        </w:rPr>
        <w:t>18:00</w:t>
      </w:r>
      <w:r w:rsidR="00F22F94">
        <w:rPr>
          <w:spacing w:val="79"/>
          <w:w w:val="150"/>
          <w:sz w:val="16"/>
        </w:rPr>
        <w:t xml:space="preserve"> </w:t>
      </w:r>
      <w:r w:rsidR="00F22F94">
        <w:rPr>
          <w:w w:val="95"/>
          <w:sz w:val="16"/>
        </w:rPr>
        <w:t>19:00</w:t>
      </w:r>
      <w:r w:rsidR="00F22F94">
        <w:rPr>
          <w:spacing w:val="79"/>
          <w:w w:val="150"/>
          <w:sz w:val="16"/>
        </w:rPr>
        <w:t xml:space="preserve"> </w:t>
      </w:r>
      <w:r w:rsidR="00F22F94">
        <w:rPr>
          <w:w w:val="95"/>
          <w:sz w:val="16"/>
        </w:rPr>
        <w:t>20:00</w:t>
      </w:r>
      <w:r w:rsidR="00F22F94">
        <w:rPr>
          <w:spacing w:val="79"/>
          <w:w w:val="150"/>
          <w:sz w:val="16"/>
        </w:rPr>
        <w:t xml:space="preserve"> </w:t>
      </w:r>
      <w:r w:rsidR="00F22F94">
        <w:rPr>
          <w:w w:val="95"/>
          <w:sz w:val="16"/>
        </w:rPr>
        <w:t>21:00</w:t>
      </w:r>
      <w:r w:rsidR="00F22F94">
        <w:rPr>
          <w:spacing w:val="79"/>
          <w:w w:val="150"/>
          <w:sz w:val="16"/>
        </w:rPr>
        <w:t xml:space="preserve"> </w:t>
      </w:r>
      <w:r w:rsidR="00F22F94">
        <w:rPr>
          <w:w w:val="95"/>
          <w:sz w:val="16"/>
        </w:rPr>
        <w:t>22:00</w:t>
      </w:r>
      <w:r w:rsidR="00F22F94">
        <w:rPr>
          <w:spacing w:val="79"/>
          <w:w w:val="150"/>
          <w:sz w:val="16"/>
        </w:rPr>
        <w:t xml:space="preserve"> </w:t>
      </w:r>
      <w:r w:rsidR="00F22F94">
        <w:rPr>
          <w:spacing w:val="-2"/>
          <w:w w:val="95"/>
          <w:sz w:val="16"/>
        </w:rPr>
        <w:t>23:00</w:t>
      </w:r>
    </w:p>
    <w:p w:rsidR="002C1123" w:rsidRDefault="00F22F94">
      <w:pPr>
        <w:pStyle w:val="BodyText"/>
        <w:spacing w:before="2" w:line="249" w:lineRule="auto"/>
        <w:ind w:left="522" w:right="145"/>
      </w:pPr>
      <w:r>
        <w:br w:type="column"/>
      </w:r>
      <w:r>
        <w:rPr>
          <w:w w:val="95"/>
        </w:rPr>
        <w:t>for</w:t>
      </w:r>
      <w:r>
        <w:rPr>
          <w:spacing w:val="-3"/>
          <w:w w:val="95"/>
        </w:rPr>
        <w:t xml:space="preserve"> </w:t>
      </w:r>
      <w:r>
        <w:rPr>
          <w:w w:val="95"/>
        </w:rPr>
        <w:t>increasing</w:t>
      </w:r>
      <w:r>
        <w:rPr>
          <w:spacing w:val="-3"/>
          <w:w w:val="95"/>
        </w:rPr>
        <w:t xml:space="preserve"> </w:t>
      </w:r>
      <w:r>
        <w:rPr>
          <w:w w:val="95"/>
        </w:rPr>
        <w:t>network</w:t>
      </w:r>
      <w:r>
        <w:rPr>
          <w:spacing w:val="-3"/>
          <w:w w:val="95"/>
        </w:rPr>
        <w:t xml:space="preserve"> </w:t>
      </w:r>
      <w:r>
        <w:rPr>
          <w:w w:val="95"/>
        </w:rPr>
        <w:t>capacity</w:t>
      </w:r>
      <w:r>
        <w:rPr>
          <w:spacing w:val="-3"/>
          <w:w w:val="95"/>
        </w:rPr>
        <w:t xml:space="preserve"> </w:t>
      </w:r>
      <w:r>
        <w:rPr>
          <w:w w:val="95"/>
        </w:rPr>
        <w:t>and</w:t>
      </w:r>
      <w:r>
        <w:rPr>
          <w:spacing w:val="-3"/>
          <w:w w:val="95"/>
        </w:rPr>
        <w:t xml:space="preserve"> </w:t>
      </w:r>
      <w:r>
        <w:rPr>
          <w:w w:val="95"/>
        </w:rPr>
        <w:t>delivering</w:t>
      </w:r>
      <w:r>
        <w:rPr>
          <w:spacing w:val="-3"/>
          <w:w w:val="95"/>
        </w:rPr>
        <w:t xml:space="preserve"> </w:t>
      </w:r>
      <w:r>
        <w:rPr>
          <w:w w:val="95"/>
        </w:rPr>
        <w:t xml:space="preserve">the </w:t>
      </w:r>
      <w:r>
        <w:t>Government’s commitment for the NWRL.</w:t>
      </w:r>
    </w:p>
    <w:p w:rsidR="002C1123" w:rsidRDefault="002C1123">
      <w:pPr>
        <w:spacing w:line="249" w:lineRule="auto"/>
        <w:sectPr w:rsidR="002C1123">
          <w:type w:val="continuous"/>
          <w:pgSz w:w="16840" w:h="11910" w:orient="landscape"/>
          <w:pgMar w:top="560" w:right="280" w:bottom="280" w:left="500" w:header="0" w:footer="517" w:gutter="0"/>
          <w:cols w:num="2" w:space="720" w:equalWidth="0">
            <w:col w:w="9984" w:space="40"/>
            <w:col w:w="6036"/>
          </w:cols>
        </w:sectPr>
      </w:pPr>
    </w:p>
    <w:p w:rsidR="002C1123" w:rsidRDefault="002060EF">
      <w:pPr>
        <w:spacing w:line="129" w:lineRule="exact"/>
        <w:jc w:val="right"/>
        <w:rPr>
          <w:sz w:val="16"/>
        </w:rPr>
      </w:pPr>
      <w:r>
        <w:pict>
          <v:line id="_x0000_s3774" style="position:absolute;left:0;text-align:left;z-index:251410432;mso-position-horizontal-relative:page" from="138.15pt,1.85pt" to="155.15pt,1.85pt" strokecolor="#2e3092" strokeweight="3pt">
            <w10:wrap anchorx="page"/>
          </v:line>
        </w:pict>
      </w:r>
      <w:r>
        <w:pict>
          <v:line id="_x0000_s3773" style="position:absolute;left:0;text-align:left;z-index:251411456;mso-position-horizontal-relative:page" from="77.45pt,1.85pt" to="94.45pt,1.85pt" strokecolor="#00aeef" strokeweight="3pt">
            <w10:wrap anchorx="page"/>
          </v:line>
        </w:pict>
      </w:r>
      <w:r w:rsidR="00F22F94">
        <w:rPr>
          <w:spacing w:val="-2"/>
          <w:w w:val="85"/>
          <w:sz w:val="16"/>
        </w:rPr>
        <w:t>Weekday</w:t>
      </w:r>
    </w:p>
    <w:p w:rsidR="002C1123" w:rsidRDefault="00F22F94">
      <w:pPr>
        <w:spacing w:line="129" w:lineRule="exact"/>
        <w:ind w:left="658"/>
        <w:rPr>
          <w:sz w:val="16"/>
        </w:rPr>
      </w:pPr>
      <w:r>
        <w:br w:type="column"/>
      </w:r>
      <w:r>
        <w:rPr>
          <w:spacing w:val="-2"/>
          <w:w w:val="75"/>
          <w:sz w:val="16"/>
        </w:rPr>
        <w:t>Saturday</w:t>
      </w:r>
    </w:p>
    <w:p w:rsidR="002C1123" w:rsidRDefault="00F22F94">
      <w:pPr>
        <w:spacing w:line="129" w:lineRule="exact"/>
        <w:ind w:left="675"/>
        <w:rPr>
          <w:sz w:val="16"/>
        </w:rPr>
      </w:pPr>
      <w:r>
        <w:br w:type="column"/>
      </w:r>
      <w:r>
        <w:rPr>
          <w:spacing w:val="-2"/>
          <w:w w:val="80"/>
          <w:sz w:val="16"/>
        </w:rPr>
        <w:t>Sunday</w:t>
      </w:r>
    </w:p>
    <w:p w:rsidR="002C1123" w:rsidRDefault="00F22F94">
      <w:pPr>
        <w:spacing w:line="124" w:lineRule="exact"/>
        <w:ind w:left="1474"/>
        <w:rPr>
          <w:sz w:val="14"/>
        </w:rPr>
      </w:pPr>
      <w:r>
        <w:br w:type="column"/>
      </w:r>
      <w:r>
        <w:rPr>
          <w:w w:val="95"/>
          <w:sz w:val="14"/>
        </w:rPr>
        <w:t>Source:</w:t>
      </w:r>
      <w:r>
        <w:rPr>
          <w:spacing w:val="9"/>
          <w:sz w:val="14"/>
        </w:rPr>
        <w:t xml:space="preserve"> </w:t>
      </w:r>
      <w:r>
        <w:rPr>
          <w:spacing w:val="-2"/>
          <w:sz w:val="14"/>
        </w:rPr>
        <w:t>CityRail.</w:t>
      </w:r>
    </w:p>
    <w:p w:rsidR="002C1123" w:rsidRDefault="002C1123">
      <w:pPr>
        <w:spacing w:line="124" w:lineRule="exact"/>
        <w:rPr>
          <w:sz w:val="14"/>
        </w:rPr>
        <w:sectPr w:rsidR="002C1123">
          <w:type w:val="continuous"/>
          <w:pgSz w:w="16840" w:h="11910" w:orient="landscape"/>
          <w:pgMar w:top="560" w:right="280" w:bottom="280" w:left="500" w:header="0" w:footer="517" w:gutter="0"/>
          <w:cols w:num="4" w:space="720" w:equalWidth="0">
            <w:col w:w="1990" w:space="40"/>
            <w:col w:w="1157" w:space="39"/>
            <w:col w:w="1133" w:space="820"/>
            <w:col w:w="10881"/>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3"/>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Heading6"/>
        <w:numPr>
          <w:ilvl w:val="2"/>
          <w:numId w:val="86"/>
        </w:numPr>
        <w:tabs>
          <w:tab w:val="left" w:pos="979"/>
        </w:tabs>
        <w:ind w:left="978" w:hanging="487"/>
        <w:jc w:val="left"/>
      </w:pPr>
      <w:bookmarkStart w:id="220" w:name="_bookmark156"/>
      <w:bookmarkEnd w:id="220"/>
      <w:r>
        <w:rPr>
          <w:color w:val="00AEEF"/>
          <w:spacing w:val="-4"/>
        </w:rPr>
        <w:t>Capacity</w:t>
      </w:r>
      <w:r>
        <w:rPr>
          <w:color w:val="00AEEF"/>
          <w:spacing w:val="-2"/>
        </w:rPr>
        <w:t xml:space="preserve"> </w:t>
      </w:r>
      <w:r>
        <w:rPr>
          <w:color w:val="00AEEF"/>
          <w:spacing w:val="-4"/>
        </w:rPr>
        <w:t>on</w:t>
      </w:r>
      <w:r>
        <w:rPr>
          <w:color w:val="00AEEF"/>
          <w:spacing w:val="-2"/>
        </w:rPr>
        <w:t xml:space="preserve"> </w:t>
      </w:r>
      <w:r>
        <w:rPr>
          <w:color w:val="00AEEF"/>
          <w:spacing w:val="-4"/>
        </w:rPr>
        <w:t>the</w:t>
      </w:r>
      <w:r>
        <w:rPr>
          <w:color w:val="00AEEF"/>
          <w:spacing w:val="-2"/>
        </w:rPr>
        <w:t xml:space="preserve"> </w:t>
      </w:r>
      <w:r>
        <w:rPr>
          <w:color w:val="00AEEF"/>
          <w:spacing w:val="-4"/>
        </w:rPr>
        <w:t>suburban</w:t>
      </w:r>
      <w:r>
        <w:rPr>
          <w:color w:val="00AEEF"/>
          <w:spacing w:val="-2"/>
        </w:rPr>
        <w:t xml:space="preserve"> </w:t>
      </w:r>
      <w:r>
        <w:rPr>
          <w:color w:val="00AEEF"/>
          <w:spacing w:val="-4"/>
        </w:rPr>
        <w:t>network</w:t>
      </w:r>
    </w:p>
    <w:p w:rsidR="002C1123" w:rsidRDefault="00F22F94">
      <w:pPr>
        <w:pStyle w:val="BodyText"/>
        <w:spacing w:before="95" w:line="249" w:lineRule="auto"/>
        <w:ind w:left="492"/>
      </w:pPr>
      <w:r>
        <w:t>The</w:t>
      </w:r>
      <w:r>
        <w:rPr>
          <w:spacing w:val="-14"/>
        </w:rPr>
        <w:t xml:space="preserve"> </w:t>
      </w:r>
      <w:r>
        <w:t>current</w:t>
      </w:r>
      <w:r>
        <w:rPr>
          <w:spacing w:val="-14"/>
        </w:rPr>
        <w:t xml:space="preserve"> </w:t>
      </w:r>
      <w:r>
        <w:t>operations</w:t>
      </w:r>
      <w:r>
        <w:rPr>
          <w:spacing w:val="-14"/>
        </w:rPr>
        <w:t xml:space="preserve"> </w:t>
      </w:r>
      <w:r>
        <w:t>of</w:t>
      </w:r>
      <w:r>
        <w:rPr>
          <w:spacing w:val="-14"/>
        </w:rPr>
        <w:t xml:space="preserve"> </w:t>
      </w:r>
      <w:r>
        <w:t>CityRail</w:t>
      </w:r>
      <w:r>
        <w:rPr>
          <w:spacing w:val="-14"/>
        </w:rPr>
        <w:t xml:space="preserve"> </w:t>
      </w:r>
      <w:r>
        <w:t>provide</w:t>
      </w:r>
      <w:r>
        <w:rPr>
          <w:spacing w:val="-14"/>
        </w:rPr>
        <w:t xml:space="preserve"> </w:t>
      </w:r>
      <w:r>
        <w:t>a</w:t>
      </w:r>
      <w:r>
        <w:rPr>
          <w:spacing w:val="-14"/>
        </w:rPr>
        <w:t xml:space="preserve"> </w:t>
      </w:r>
      <w:r>
        <w:t>range</w:t>
      </w:r>
      <w:r>
        <w:rPr>
          <w:spacing w:val="-14"/>
        </w:rPr>
        <w:t xml:space="preserve"> </w:t>
      </w:r>
      <w:r>
        <w:t xml:space="preserve">of </w:t>
      </w:r>
      <w:r>
        <w:rPr>
          <w:w w:val="95"/>
        </w:rPr>
        <w:t>suburban</w:t>
      </w:r>
      <w:r>
        <w:rPr>
          <w:spacing w:val="-1"/>
          <w:w w:val="95"/>
        </w:rPr>
        <w:t xml:space="preserve"> </w:t>
      </w:r>
      <w:r>
        <w:rPr>
          <w:w w:val="95"/>
        </w:rPr>
        <w:t>and</w:t>
      </w:r>
      <w:r>
        <w:rPr>
          <w:spacing w:val="-1"/>
          <w:w w:val="95"/>
        </w:rPr>
        <w:t xml:space="preserve"> </w:t>
      </w:r>
      <w:r>
        <w:rPr>
          <w:w w:val="95"/>
        </w:rPr>
        <w:t>intercity</w:t>
      </w:r>
      <w:r>
        <w:rPr>
          <w:spacing w:val="-1"/>
          <w:w w:val="95"/>
        </w:rPr>
        <w:t xml:space="preserve"> </w:t>
      </w:r>
      <w:r>
        <w:rPr>
          <w:w w:val="95"/>
        </w:rPr>
        <w:t>services.</w:t>
      </w:r>
      <w:r>
        <w:rPr>
          <w:spacing w:val="-1"/>
          <w:w w:val="95"/>
        </w:rPr>
        <w:t xml:space="preserve"> </w:t>
      </w:r>
      <w:r>
        <w:rPr>
          <w:w w:val="95"/>
        </w:rPr>
        <w:t>Selected</w:t>
      </w:r>
      <w:r>
        <w:rPr>
          <w:spacing w:val="-1"/>
          <w:w w:val="95"/>
        </w:rPr>
        <w:t xml:space="preserve"> </w:t>
      </w:r>
      <w:r>
        <w:rPr>
          <w:w w:val="95"/>
        </w:rPr>
        <w:t>one</w:t>
      </w:r>
      <w:r>
        <w:rPr>
          <w:spacing w:val="-1"/>
          <w:w w:val="95"/>
        </w:rPr>
        <w:t xml:space="preserve"> </w:t>
      </w:r>
      <w:r>
        <w:rPr>
          <w:w w:val="95"/>
        </w:rPr>
        <w:t>hour</w:t>
      </w:r>
      <w:r>
        <w:rPr>
          <w:spacing w:val="-1"/>
          <w:w w:val="95"/>
        </w:rPr>
        <w:t xml:space="preserve"> </w:t>
      </w:r>
      <w:r>
        <w:rPr>
          <w:w w:val="95"/>
        </w:rPr>
        <w:t xml:space="preserve">peak </w:t>
      </w:r>
      <w:r>
        <w:t>flows</w:t>
      </w:r>
      <w:r>
        <w:rPr>
          <w:spacing w:val="-14"/>
        </w:rPr>
        <w:t xml:space="preserve"> </w:t>
      </w:r>
      <w:r>
        <w:t>into</w:t>
      </w:r>
      <w:r>
        <w:rPr>
          <w:spacing w:val="-14"/>
        </w:rPr>
        <w:t xml:space="preserve"> </w:t>
      </w:r>
      <w:r>
        <w:t>Sydney’s</w:t>
      </w:r>
      <w:r>
        <w:rPr>
          <w:spacing w:val="-14"/>
        </w:rPr>
        <w:t xml:space="preserve"> </w:t>
      </w:r>
      <w:r>
        <w:t>CBD</w:t>
      </w:r>
      <w:r>
        <w:rPr>
          <w:spacing w:val="-14"/>
        </w:rPr>
        <w:t xml:space="preserve"> </w:t>
      </w:r>
      <w:r>
        <w:t>are</w:t>
      </w:r>
      <w:r>
        <w:rPr>
          <w:spacing w:val="-14"/>
        </w:rPr>
        <w:t xml:space="preserve"> </w:t>
      </w:r>
      <w:r>
        <w:t>shown</w:t>
      </w:r>
      <w:r>
        <w:rPr>
          <w:spacing w:val="-14"/>
        </w:rPr>
        <w:t xml:space="preserve"> </w:t>
      </w:r>
      <w:r>
        <w:t>in</w:t>
      </w:r>
      <w:r>
        <w:rPr>
          <w:spacing w:val="-14"/>
        </w:rPr>
        <w:t xml:space="preserve"> </w:t>
      </w:r>
      <w:r>
        <w:t>Table</w:t>
      </w:r>
      <w:r>
        <w:rPr>
          <w:spacing w:val="-14"/>
        </w:rPr>
        <w:t xml:space="preserve"> </w:t>
      </w:r>
      <w:r>
        <w:t>8.2.</w:t>
      </w:r>
    </w:p>
    <w:p w:rsidR="002C1123" w:rsidRDefault="002C1123">
      <w:pPr>
        <w:pStyle w:val="BodyText"/>
        <w:spacing w:before="9"/>
        <w:rPr>
          <w:sz w:val="18"/>
        </w:rPr>
      </w:pPr>
    </w:p>
    <w:p w:rsidR="002C1123" w:rsidRDefault="00F22F94">
      <w:pPr>
        <w:spacing w:line="175" w:lineRule="exact"/>
        <w:ind w:left="512"/>
        <w:rPr>
          <w:b/>
          <w:sz w:val="18"/>
        </w:rPr>
      </w:pPr>
      <w:r>
        <w:rPr>
          <w:b/>
          <w:sz w:val="18"/>
        </w:rPr>
        <w:t>Table</w:t>
      </w:r>
      <w:r>
        <w:rPr>
          <w:b/>
          <w:spacing w:val="-19"/>
          <w:sz w:val="18"/>
        </w:rPr>
        <w:t xml:space="preserve"> </w:t>
      </w:r>
      <w:r>
        <w:rPr>
          <w:b/>
          <w:sz w:val="18"/>
        </w:rPr>
        <w:t>8.2</w:t>
      </w:r>
      <w:r>
        <w:rPr>
          <w:b/>
          <w:spacing w:val="16"/>
          <w:sz w:val="18"/>
        </w:rPr>
        <w:t xml:space="preserve"> </w:t>
      </w:r>
      <w:r>
        <w:rPr>
          <w:b/>
          <w:sz w:val="18"/>
        </w:rPr>
        <w:t>Peak</w:t>
      </w:r>
      <w:r>
        <w:rPr>
          <w:b/>
          <w:spacing w:val="-18"/>
          <w:sz w:val="18"/>
        </w:rPr>
        <w:t xml:space="preserve"> </w:t>
      </w:r>
      <w:r>
        <w:rPr>
          <w:b/>
          <w:sz w:val="18"/>
        </w:rPr>
        <w:t>hour</w:t>
      </w:r>
      <w:r>
        <w:rPr>
          <w:b/>
          <w:spacing w:val="-18"/>
          <w:sz w:val="18"/>
        </w:rPr>
        <w:t xml:space="preserve"> </w:t>
      </w:r>
      <w:r>
        <w:rPr>
          <w:b/>
          <w:sz w:val="18"/>
        </w:rPr>
        <w:t>train</w:t>
      </w:r>
      <w:r>
        <w:rPr>
          <w:b/>
          <w:spacing w:val="-18"/>
          <w:sz w:val="18"/>
        </w:rPr>
        <w:t xml:space="preserve"> </w:t>
      </w:r>
      <w:r>
        <w:rPr>
          <w:b/>
          <w:spacing w:val="-2"/>
          <w:sz w:val="18"/>
        </w:rPr>
        <w:t>loadings</w:t>
      </w:r>
    </w:p>
    <w:p w:rsidR="002C1123" w:rsidRDefault="00F22F94">
      <w:pPr>
        <w:pStyle w:val="BodyText"/>
        <w:spacing w:before="107" w:line="249" w:lineRule="auto"/>
        <w:ind w:left="221"/>
      </w:pPr>
      <w:r>
        <w:br w:type="column"/>
      </w:r>
      <w:r>
        <w:t>The</w:t>
      </w:r>
      <w:r>
        <w:rPr>
          <w:spacing w:val="-14"/>
        </w:rPr>
        <w:t xml:space="preserve"> </w:t>
      </w:r>
      <w:r>
        <w:t>peak</w:t>
      </w:r>
      <w:r>
        <w:rPr>
          <w:spacing w:val="-14"/>
        </w:rPr>
        <w:t xml:space="preserve"> </w:t>
      </w:r>
      <w:r>
        <w:t>load</w:t>
      </w:r>
      <w:r>
        <w:rPr>
          <w:spacing w:val="-14"/>
        </w:rPr>
        <w:t xml:space="preserve"> </w:t>
      </w:r>
      <w:r>
        <w:t>from</w:t>
      </w:r>
      <w:r>
        <w:rPr>
          <w:spacing w:val="-14"/>
        </w:rPr>
        <w:t xml:space="preserve"> </w:t>
      </w:r>
      <w:r>
        <w:t>the</w:t>
      </w:r>
      <w:r>
        <w:rPr>
          <w:spacing w:val="-14"/>
        </w:rPr>
        <w:t xml:space="preserve"> </w:t>
      </w:r>
      <w:r>
        <w:t>Main</w:t>
      </w:r>
      <w:r>
        <w:rPr>
          <w:spacing w:val="-14"/>
        </w:rPr>
        <w:t xml:space="preserve"> </w:t>
      </w:r>
      <w:r>
        <w:t>West</w:t>
      </w:r>
      <w:r>
        <w:rPr>
          <w:spacing w:val="-14"/>
        </w:rPr>
        <w:t xml:space="preserve"> </w:t>
      </w:r>
      <w:r>
        <w:t>Lines</w:t>
      </w:r>
      <w:r>
        <w:rPr>
          <w:spacing w:val="-14"/>
        </w:rPr>
        <w:t xml:space="preserve"> </w:t>
      </w:r>
      <w:r>
        <w:t>into</w:t>
      </w:r>
      <w:r>
        <w:rPr>
          <w:spacing w:val="-14"/>
        </w:rPr>
        <w:t xml:space="preserve"> </w:t>
      </w:r>
      <w:r>
        <w:t>the</w:t>
      </w:r>
      <w:r>
        <w:rPr>
          <w:spacing w:val="-13"/>
        </w:rPr>
        <w:t xml:space="preserve"> </w:t>
      </w:r>
      <w:r>
        <w:t xml:space="preserve">CBD </w:t>
      </w:r>
      <w:r>
        <w:rPr>
          <w:spacing w:val="-2"/>
        </w:rPr>
        <w:t>is</w:t>
      </w:r>
      <w:r>
        <w:rPr>
          <w:spacing w:val="-13"/>
        </w:rPr>
        <w:t xml:space="preserve"> </w:t>
      </w:r>
      <w:r>
        <w:rPr>
          <w:spacing w:val="-2"/>
        </w:rPr>
        <w:t>around</w:t>
      </w:r>
      <w:r>
        <w:rPr>
          <w:spacing w:val="-13"/>
        </w:rPr>
        <w:t xml:space="preserve"> </w:t>
      </w:r>
      <w:r>
        <w:rPr>
          <w:spacing w:val="-2"/>
        </w:rPr>
        <w:t>17,000</w:t>
      </w:r>
      <w:r>
        <w:rPr>
          <w:spacing w:val="-13"/>
        </w:rPr>
        <w:t xml:space="preserve"> </w:t>
      </w:r>
      <w:r>
        <w:rPr>
          <w:spacing w:val="-2"/>
        </w:rPr>
        <w:t>per</w:t>
      </w:r>
      <w:r>
        <w:rPr>
          <w:spacing w:val="-13"/>
        </w:rPr>
        <w:t xml:space="preserve"> </w:t>
      </w:r>
      <w:r>
        <w:rPr>
          <w:spacing w:val="-2"/>
        </w:rPr>
        <w:t>line</w:t>
      </w:r>
      <w:r>
        <w:rPr>
          <w:spacing w:val="-13"/>
        </w:rPr>
        <w:t xml:space="preserve"> </w:t>
      </w:r>
      <w:r>
        <w:rPr>
          <w:spacing w:val="-2"/>
        </w:rPr>
        <w:t>per</w:t>
      </w:r>
      <w:r>
        <w:rPr>
          <w:spacing w:val="-13"/>
        </w:rPr>
        <w:t xml:space="preserve"> </w:t>
      </w:r>
      <w:r>
        <w:rPr>
          <w:spacing w:val="-2"/>
        </w:rPr>
        <w:t>hour</w:t>
      </w:r>
      <w:r>
        <w:rPr>
          <w:spacing w:val="-13"/>
        </w:rPr>
        <w:t xml:space="preserve"> </w:t>
      </w:r>
      <w:r>
        <w:rPr>
          <w:spacing w:val="-2"/>
        </w:rPr>
        <w:t>(34,000</w:t>
      </w:r>
      <w:r>
        <w:rPr>
          <w:spacing w:val="-13"/>
        </w:rPr>
        <w:t xml:space="preserve"> </w:t>
      </w:r>
      <w:r>
        <w:rPr>
          <w:spacing w:val="-2"/>
        </w:rPr>
        <w:t xml:space="preserve">passengers </w:t>
      </w:r>
      <w:r>
        <w:rPr>
          <w:w w:val="95"/>
        </w:rPr>
        <w:t>across</w:t>
      </w:r>
      <w:r>
        <w:rPr>
          <w:spacing w:val="-4"/>
          <w:w w:val="95"/>
        </w:rPr>
        <w:t xml:space="preserve"> </w:t>
      </w:r>
      <w:r>
        <w:rPr>
          <w:w w:val="95"/>
        </w:rPr>
        <w:t>two</w:t>
      </w:r>
      <w:r>
        <w:rPr>
          <w:spacing w:val="-4"/>
          <w:w w:val="95"/>
        </w:rPr>
        <w:t xml:space="preserve"> </w:t>
      </w:r>
      <w:r>
        <w:rPr>
          <w:w w:val="95"/>
        </w:rPr>
        <w:t>lines).</w:t>
      </w:r>
      <w:r>
        <w:rPr>
          <w:spacing w:val="-4"/>
          <w:w w:val="95"/>
        </w:rPr>
        <w:t xml:space="preserve"> </w:t>
      </w:r>
      <w:r>
        <w:rPr>
          <w:w w:val="95"/>
        </w:rPr>
        <w:t>The</w:t>
      </w:r>
      <w:r>
        <w:rPr>
          <w:spacing w:val="-4"/>
          <w:w w:val="95"/>
        </w:rPr>
        <w:t xml:space="preserve"> </w:t>
      </w:r>
      <w:r>
        <w:rPr>
          <w:w w:val="95"/>
        </w:rPr>
        <w:t>loads</w:t>
      </w:r>
      <w:r>
        <w:rPr>
          <w:spacing w:val="-4"/>
          <w:w w:val="95"/>
        </w:rPr>
        <w:t xml:space="preserve"> </w:t>
      </w:r>
      <w:r>
        <w:rPr>
          <w:w w:val="95"/>
        </w:rPr>
        <w:t>on</w:t>
      </w:r>
      <w:r>
        <w:rPr>
          <w:spacing w:val="-4"/>
          <w:w w:val="95"/>
        </w:rPr>
        <w:t xml:space="preserve"> </w:t>
      </w:r>
      <w:r>
        <w:rPr>
          <w:w w:val="95"/>
        </w:rPr>
        <w:t>other</w:t>
      </w:r>
      <w:r>
        <w:rPr>
          <w:spacing w:val="-4"/>
          <w:w w:val="95"/>
        </w:rPr>
        <w:t xml:space="preserve"> </w:t>
      </w:r>
      <w:r>
        <w:rPr>
          <w:w w:val="95"/>
        </w:rPr>
        <w:t>lines</w:t>
      </w:r>
      <w:r>
        <w:rPr>
          <w:spacing w:val="-4"/>
          <w:w w:val="95"/>
        </w:rPr>
        <w:t xml:space="preserve"> </w:t>
      </w:r>
      <w:r>
        <w:rPr>
          <w:w w:val="95"/>
        </w:rPr>
        <w:t>are</w:t>
      </w:r>
      <w:r>
        <w:rPr>
          <w:spacing w:val="-4"/>
          <w:w w:val="95"/>
        </w:rPr>
        <w:t xml:space="preserve"> </w:t>
      </w:r>
      <w:r>
        <w:rPr>
          <w:w w:val="95"/>
        </w:rPr>
        <w:t>all</w:t>
      </w:r>
      <w:r>
        <w:rPr>
          <w:spacing w:val="-4"/>
          <w:w w:val="95"/>
        </w:rPr>
        <w:t xml:space="preserve"> </w:t>
      </w:r>
      <w:r>
        <w:rPr>
          <w:w w:val="95"/>
        </w:rPr>
        <w:t>below this level. Peak traffic over the Sydney Harbour Bridge is currently around 14,000 per hour (compared with the 16,000</w:t>
      </w:r>
      <w:r>
        <w:rPr>
          <w:spacing w:val="-7"/>
          <w:w w:val="95"/>
        </w:rPr>
        <w:t xml:space="preserve"> </w:t>
      </w:r>
      <w:r>
        <w:rPr>
          <w:w w:val="95"/>
        </w:rPr>
        <w:t>peak</w:t>
      </w:r>
      <w:r>
        <w:rPr>
          <w:spacing w:val="-7"/>
          <w:w w:val="95"/>
        </w:rPr>
        <w:t xml:space="preserve"> </w:t>
      </w:r>
      <w:r>
        <w:rPr>
          <w:w w:val="95"/>
        </w:rPr>
        <w:t>hour</w:t>
      </w:r>
      <w:r>
        <w:rPr>
          <w:spacing w:val="-7"/>
          <w:w w:val="95"/>
        </w:rPr>
        <w:t xml:space="preserve"> </w:t>
      </w:r>
      <w:r>
        <w:rPr>
          <w:w w:val="95"/>
        </w:rPr>
        <w:t>flow</w:t>
      </w:r>
      <w:r>
        <w:rPr>
          <w:spacing w:val="-7"/>
          <w:w w:val="95"/>
        </w:rPr>
        <w:t xml:space="preserve"> </w:t>
      </w:r>
      <w:r>
        <w:rPr>
          <w:w w:val="95"/>
        </w:rPr>
        <w:t>on</w:t>
      </w:r>
      <w:r>
        <w:rPr>
          <w:spacing w:val="-7"/>
          <w:w w:val="95"/>
        </w:rPr>
        <w:t xml:space="preserve"> </w:t>
      </w:r>
      <w:r>
        <w:rPr>
          <w:w w:val="95"/>
        </w:rPr>
        <w:t>buses</w:t>
      </w:r>
      <w:r>
        <w:rPr>
          <w:spacing w:val="-7"/>
          <w:w w:val="95"/>
        </w:rPr>
        <w:t xml:space="preserve"> </w:t>
      </w:r>
      <w:r>
        <w:rPr>
          <w:w w:val="95"/>
        </w:rPr>
        <w:t>using</w:t>
      </w:r>
      <w:r>
        <w:rPr>
          <w:spacing w:val="-7"/>
          <w:w w:val="95"/>
        </w:rPr>
        <w:t xml:space="preserve"> </w:t>
      </w:r>
      <w:r>
        <w:rPr>
          <w:w w:val="95"/>
        </w:rPr>
        <w:t>lane</w:t>
      </w:r>
      <w:r>
        <w:rPr>
          <w:spacing w:val="-7"/>
          <w:w w:val="95"/>
        </w:rPr>
        <w:t xml:space="preserve"> </w:t>
      </w:r>
      <w:r>
        <w:rPr>
          <w:w w:val="95"/>
        </w:rPr>
        <w:t>seven</w:t>
      </w:r>
      <w:r>
        <w:rPr>
          <w:spacing w:val="-7"/>
          <w:w w:val="95"/>
        </w:rPr>
        <w:t xml:space="preserve"> </w:t>
      </w:r>
      <w:r>
        <w:rPr>
          <w:w w:val="95"/>
        </w:rPr>
        <w:t>of</w:t>
      </w:r>
      <w:r>
        <w:rPr>
          <w:spacing w:val="-7"/>
          <w:w w:val="95"/>
        </w:rPr>
        <w:t xml:space="preserve"> </w:t>
      </w:r>
      <w:r>
        <w:rPr>
          <w:w w:val="95"/>
        </w:rPr>
        <w:t>the</w:t>
      </w:r>
    </w:p>
    <w:p w:rsidR="002C1123" w:rsidRDefault="00F22F94">
      <w:pPr>
        <w:pStyle w:val="BodyText"/>
        <w:spacing w:before="108" w:line="249" w:lineRule="auto"/>
        <w:ind w:left="311" w:right="809"/>
      </w:pPr>
      <w:r>
        <w:br w:type="column"/>
      </w:r>
      <w:r>
        <w:rPr>
          <w:w w:val="90"/>
        </w:rPr>
        <w:t>Taken</w:t>
      </w:r>
      <w:r>
        <w:rPr>
          <w:spacing w:val="-5"/>
          <w:w w:val="90"/>
        </w:rPr>
        <w:t xml:space="preserve"> </w:t>
      </w:r>
      <w:r>
        <w:rPr>
          <w:w w:val="90"/>
        </w:rPr>
        <w:t>together,</w:t>
      </w:r>
      <w:r>
        <w:rPr>
          <w:spacing w:val="-5"/>
          <w:w w:val="90"/>
        </w:rPr>
        <w:t xml:space="preserve"> </w:t>
      </w:r>
      <w:r>
        <w:rPr>
          <w:w w:val="90"/>
        </w:rPr>
        <w:t>the</w:t>
      </w:r>
      <w:r>
        <w:rPr>
          <w:spacing w:val="-5"/>
          <w:w w:val="90"/>
        </w:rPr>
        <w:t xml:space="preserve"> </w:t>
      </w:r>
      <w:r>
        <w:rPr>
          <w:w w:val="90"/>
        </w:rPr>
        <w:t>data</w:t>
      </w:r>
      <w:r>
        <w:rPr>
          <w:spacing w:val="-5"/>
          <w:w w:val="90"/>
        </w:rPr>
        <w:t xml:space="preserve"> </w:t>
      </w:r>
      <w:r>
        <w:rPr>
          <w:w w:val="90"/>
        </w:rPr>
        <w:t>in</w:t>
      </w:r>
      <w:r>
        <w:rPr>
          <w:spacing w:val="-5"/>
          <w:w w:val="90"/>
        </w:rPr>
        <w:t xml:space="preserve"> </w:t>
      </w:r>
      <w:r>
        <w:rPr>
          <w:w w:val="90"/>
        </w:rPr>
        <w:t>Tables</w:t>
      </w:r>
      <w:r>
        <w:rPr>
          <w:spacing w:val="-5"/>
          <w:w w:val="90"/>
        </w:rPr>
        <w:t xml:space="preserve"> </w:t>
      </w:r>
      <w:r>
        <w:rPr>
          <w:w w:val="90"/>
        </w:rPr>
        <w:t>8.2</w:t>
      </w:r>
      <w:r>
        <w:rPr>
          <w:spacing w:val="-5"/>
          <w:w w:val="90"/>
        </w:rPr>
        <w:t xml:space="preserve"> </w:t>
      </w:r>
      <w:r>
        <w:rPr>
          <w:w w:val="90"/>
        </w:rPr>
        <w:t>and</w:t>
      </w:r>
      <w:r>
        <w:rPr>
          <w:spacing w:val="-5"/>
          <w:w w:val="90"/>
        </w:rPr>
        <w:t xml:space="preserve"> </w:t>
      </w:r>
      <w:r>
        <w:rPr>
          <w:w w:val="90"/>
        </w:rPr>
        <w:t>8.3</w:t>
      </w:r>
      <w:r>
        <w:rPr>
          <w:spacing w:val="-5"/>
          <w:w w:val="90"/>
        </w:rPr>
        <w:t xml:space="preserve"> </w:t>
      </w:r>
      <w:r>
        <w:rPr>
          <w:w w:val="90"/>
        </w:rPr>
        <w:t xml:space="preserve">indicates </w:t>
      </w:r>
      <w:r>
        <w:rPr>
          <w:w w:val="95"/>
        </w:rPr>
        <w:t>that</w:t>
      </w:r>
      <w:r>
        <w:rPr>
          <w:spacing w:val="-4"/>
          <w:w w:val="95"/>
        </w:rPr>
        <w:t xml:space="preserve"> </w:t>
      </w:r>
      <w:r>
        <w:rPr>
          <w:w w:val="95"/>
        </w:rPr>
        <w:t>the</w:t>
      </w:r>
      <w:r>
        <w:rPr>
          <w:spacing w:val="-4"/>
          <w:w w:val="95"/>
        </w:rPr>
        <w:t xml:space="preserve"> </w:t>
      </w:r>
      <w:r>
        <w:rPr>
          <w:w w:val="95"/>
        </w:rPr>
        <w:t>network</w:t>
      </w:r>
      <w:r>
        <w:rPr>
          <w:spacing w:val="-4"/>
          <w:w w:val="95"/>
        </w:rPr>
        <w:t xml:space="preserve"> </w:t>
      </w:r>
      <w:r>
        <w:rPr>
          <w:w w:val="95"/>
        </w:rPr>
        <w:t>is</w:t>
      </w:r>
      <w:r>
        <w:rPr>
          <w:spacing w:val="-4"/>
          <w:w w:val="95"/>
        </w:rPr>
        <w:t xml:space="preserve"> </w:t>
      </w:r>
      <w:r>
        <w:rPr>
          <w:w w:val="95"/>
        </w:rPr>
        <w:t>not</w:t>
      </w:r>
      <w:r>
        <w:rPr>
          <w:spacing w:val="-4"/>
          <w:w w:val="95"/>
        </w:rPr>
        <w:t xml:space="preserve"> </w:t>
      </w:r>
      <w:r>
        <w:rPr>
          <w:w w:val="95"/>
        </w:rPr>
        <w:t>running</w:t>
      </w:r>
      <w:r>
        <w:rPr>
          <w:spacing w:val="-4"/>
          <w:w w:val="95"/>
        </w:rPr>
        <w:t xml:space="preserve"> </w:t>
      </w:r>
      <w:r>
        <w:rPr>
          <w:w w:val="95"/>
        </w:rPr>
        <w:t>at</w:t>
      </w:r>
      <w:r>
        <w:rPr>
          <w:spacing w:val="-4"/>
          <w:w w:val="95"/>
        </w:rPr>
        <w:t xml:space="preserve"> </w:t>
      </w:r>
      <w:r>
        <w:rPr>
          <w:w w:val="95"/>
        </w:rPr>
        <w:t>or</w:t>
      </w:r>
      <w:r>
        <w:rPr>
          <w:spacing w:val="-4"/>
          <w:w w:val="95"/>
        </w:rPr>
        <w:t xml:space="preserve"> </w:t>
      </w:r>
      <w:r>
        <w:rPr>
          <w:w w:val="95"/>
        </w:rPr>
        <w:t>near</w:t>
      </w:r>
      <w:r>
        <w:rPr>
          <w:spacing w:val="-4"/>
          <w:w w:val="95"/>
        </w:rPr>
        <w:t xml:space="preserve"> </w:t>
      </w:r>
      <w:r>
        <w:rPr>
          <w:w w:val="95"/>
        </w:rPr>
        <w:t>capacity</w:t>
      </w:r>
      <w:r>
        <w:rPr>
          <w:spacing w:val="-4"/>
          <w:w w:val="95"/>
        </w:rPr>
        <w:t xml:space="preserve"> </w:t>
      </w:r>
      <w:r>
        <w:rPr>
          <w:w w:val="95"/>
        </w:rPr>
        <w:t>in</w:t>
      </w:r>
    </w:p>
    <w:p w:rsidR="002C1123" w:rsidRDefault="00F22F94">
      <w:pPr>
        <w:pStyle w:val="BodyText"/>
        <w:spacing w:line="249" w:lineRule="auto"/>
        <w:ind w:left="311" w:right="551"/>
      </w:pPr>
      <w:r>
        <w:rPr>
          <w:w w:val="95"/>
        </w:rPr>
        <w:t>an</w:t>
      </w:r>
      <w:r>
        <w:rPr>
          <w:spacing w:val="-4"/>
          <w:w w:val="95"/>
        </w:rPr>
        <w:t xml:space="preserve"> </w:t>
      </w:r>
      <w:r>
        <w:rPr>
          <w:w w:val="95"/>
        </w:rPr>
        <w:t>absolute</w:t>
      </w:r>
      <w:r>
        <w:rPr>
          <w:spacing w:val="-4"/>
          <w:w w:val="95"/>
        </w:rPr>
        <w:t xml:space="preserve"> </w:t>
      </w:r>
      <w:r>
        <w:rPr>
          <w:w w:val="95"/>
        </w:rPr>
        <w:t>sense.</w:t>
      </w:r>
      <w:r>
        <w:rPr>
          <w:spacing w:val="-4"/>
          <w:w w:val="95"/>
        </w:rPr>
        <w:t xml:space="preserve"> </w:t>
      </w:r>
      <w:r>
        <w:rPr>
          <w:w w:val="95"/>
        </w:rPr>
        <w:t>This</w:t>
      </w:r>
      <w:r>
        <w:rPr>
          <w:spacing w:val="-4"/>
          <w:w w:val="95"/>
        </w:rPr>
        <w:t xml:space="preserve"> </w:t>
      </w:r>
      <w:r>
        <w:rPr>
          <w:w w:val="95"/>
        </w:rPr>
        <w:t>finding</w:t>
      </w:r>
      <w:r>
        <w:rPr>
          <w:spacing w:val="-4"/>
          <w:w w:val="95"/>
        </w:rPr>
        <w:t xml:space="preserve"> </w:t>
      </w:r>
      <w:r>
        <w:rPr>
          <w:w w:val="95"/>
        </w:rPr>
        <w:t>is</w:t>
      </w:r>
      <w:r>
        <w:rPr>
          <w:spacing w:val="-4"/>
          <w:w w:val="95"/>
        </w:rPr>
        <w:t xml:space="preserve"> </w:t>
      </w:r>
      <w:r>
        <w:rPr>
          <w:w w:val="95"/>
        </w:rPr>
        <w:t>supported</w:t>
      </w:r>
      <w:r>
        <w:rPr>
          <w:spacing w:val="-4"/>
          <w:w w:val="95"/>
        </w:rPr>
        <w:t xml:space="preserve"> </w:t>
      </w:r>
      <w:r>
        <w:rPr>
          <w:w w:val="95"/>
        </w:rPr>
        <w:t>by</w:t>
      </w:r>
      <w:r>
        <w:rPr>
          <w:spacing w:val="-4"/>
          <w:w w:val="95"/>
        </w:rPr>
        <w:t xml:space="preserve"> </w:t>
      </w:r>
      <w:r>
        <w:rPr>
          <w:w w:val="95"/>
        </w:rPr>
        <w:t xml:space="preserve">work </w:t>
      </w:r>
      <w:r>
        <w:rPr>
          <w:w w:val="90"/>
        </w:rPr>
        <w:t xml:space="preserve">undertaken by Interfleet Technology for Infrastructure NSW, </w:t>
      </w:r>
      <w:r>
        <w:rPr>
          <w:w w:val="95"/>
        </w:rPr>
        <w:t>which</w:t>
      </w:r>
      <w:r>
        <w:rPr>
          <w:spacing w:val="-4"/>
          <w:w w:val="95"/>
        </w:rPr>
        <w:t xml:space="preserve"> </w:t>
      </w:r>
      <w:r>
        <w:rPr>
          <w:w w:val="95"/>
        </w:rPr>
        <w:t>identifies</w:t>
      </w:r>
      <w:r>
        <w:rPr>
          <w:spacing w:val="-4"/>
          <w:w w:val="95"/>
        </w:rPr>
        <w:t xml:space="preserve"> </w:t>
      </w:r>
      <w:r>
        <w:rPr>
          <w:w w:val="95"/>
        </w:rPr>
        <w:t>a</w:t>
      </w:r>
      <w:r>
        <w:rPr>
          <w:spacing w:val="-4"/>
          <w:w w:val="95"/>
        </w:rPr>
        <w:t xml:space="preserve"> </w:t>
      </w:r>
      <w:r>
        <w:rPr>
          <w:w w:val="95"/>
        </w:rPr>
        <w:t>range</w:t>
      </w:r>
      <w:r>
        <w:rPr>
          <w:spacing w:val="-4"/>
          <w:w w:val="95"/>
        </w:rPr>
        <w:t xml:space="preserve"> </w:t>
      </w:r>
      <w:r>
        <w:rPr>
          <w:w w:val="95"/>
        </w:rPr>
        <w:t>of</w:t>
      </w:r>
      <w:r>
        <w:rPr>
          <w:spacing w:val="-4"/>
          <w:w w:val="95"/>
        </w:rPr>
        <w:t xml:space="preserve"> </w:t>
      </w:r>
      <w:r>
        <w:rPr>
          <w:w w:val="95"/>
        </w:rPr>
        <w:t>potential</w:t>
      </w:r>
      <w:r>
        <w:rPr>
          <w:spacing w:val="-4"/>
          <w:w w:val="95"/>
        </w:rPr>
        <w:t xml:space="preserve"> </w:t>
      </w:r>
      <w:r>
        <w:rPr>
          <w:w w:val="95"/>
        </w:rPr>
        <w:t>‘quick</w:t>
      </w:r>
      <w:r>
        <w:rPr>
          <w:spacing w:val="-4"/>
          <w:w w:val="95"/>
        </w:rPr>
        <w:t xml:space="preserve"> </w:t>
      </w:r>
      <w:r>
        <w:rPr>
          <w:w w:val="95"/>
        </w:rPr>
        <w:t>wins’</w:t>
      </w:r>
      <w:r>
        <w:rPr>
          <w:spacing w:val="-4"/>
          <w:w w:val="95"/>
        </w:rPr>
        <w:t xml:space="preserve"> </w:t>
      </w:r>
      <w:r>
        <w:rPr>
          <w:w w:val="95"/>
        </w:rPr>
        <w:t>to</w:t>
      </w:r>
      <w:r>
        <w:rPr>
          <w:spacing w:val="-4"/>
          <w:w w:val="95"/>
        </w:rPr>
        <w:t xml:space="preserve"> </w:t>
      </w:r>
      <w:r>
        <w:rPr>
          <w:w w:val="95"/>
        </w:rPr>
        <w:t xml:space="preserve">add </w:t>
      </w:r>
      <w:r>
        <w:t>more</w:t>
      </w:r>
      <w:r>
        <w:rPr>
          <w:spacing w:val="-14"/>
        </w:rPr>
        <w:t xml:space="preserve"> </w:t>
      </w:r>
      <w:r>
        <w:t>capacity</w:t>
      </w:r>
      <w:r>
        <w:rPr>
          <w:spacing w:val="-14"/>
        </w:rPr>
        <w:t xml:space="preserve"> </w:t>
      </w:r>
      <w:r>
        <w:t>at</w:t>
      </w:r>
      <w:r>
        <w:rPr>
          <w:spacing w:val="-14"/>
        </w:rPr>
        <w:t xml:space="preserve"> </w:t>
      </w:r>
      <w:r>
        <w:t>peak</w:t>
      </w:r>
      <w:r>
        <w:rPr>
          <w:spacing w:val="-14"/>
        </w:rPr>
        <w:t xml:space="preserve"> </w:t>
      </w:r>
      <w:r>
        <w:t>periods.</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258" w:space="40"/>
            <w:col w:w="4898" w:space="39"/>
            <w:col w:w="5825"/>
          </w:cols>
        </w:sectPr>
      </w:pPr>
    </w:p>
    <w:p w:rsidR="002C1123" w:rsidRDefault="002C1123">
      <w:pPr>
        <w:pStyle w:val="BodyText"/>
        <w:rPr>
          <w:sz w:val="16"/>
        </w:rPr>
      </w:pPr>
    </w:p>
    <w:p w:rsidR="002C1123" w:rsidRDefault="002C1123">
      <w:pPr>
        <w:pStyle w:val="BodyText"/>
        <w:rPr>
          <w:sz w:val="16"/>
        </w:rPr>
      </w:pPr>
    </w:p>
    <w:p w:rsidR="002C1123" w:rsidRDefault="002C1123">
      <w:pPr>
        <w:pStyle w:val="BodyText"/>
        <w:rPr>
          <w:sz w:val="16"/>
        </w:rPr>
      </w:pPr>
    </w:p>
    <w:p w:rsidR="002C1123" w:rsidRDefault="002C1123">
      <w:pPr>
        <w:pStyle w:val="BodyText"/>
        <w:rPr>
          <w:sz w:val="16"/>
        </w:rPr>
      </w:pPr>
    </w:p>
    <w:p w:rsidR="002C1123" w:rsidRDefault="002C1123">
      <w:pPr>
        <w:pStyle w:val="BodyText"/>
        <w:rPr>
          <w:sz w:val="16"/>
        </w:rPr>
      </w:pPr>
    </w:p>
    <w:p w:rsidR="002C1123" w:rsidRDefault="002C1123">
      <w:pPr>
        <w:pStyle w:val="BodyText"/>
        <w:rPr>
          <w:sz w:val="16"/>
        </w:rPr>
      </w:pPr>
    </w:p>
    <w:p w:rsidR="002C1123" w:rsidRDefault="002C1123">
      <w:pPr>
        <w:pStyle w:val="BodyText"/>
        <w:rPr>
          <w:sz w:val="16"/>
        </w:rPr>
      </w:pPr>
    </w:p>
    <w:p w:rsidR="002C1123" w:rsidRDefault="002C1123">
      <w:pPr>
        <w:pStyle w:val="BodyText"/>
        <w:rPr>
          <w:sz w:val="16"/>
        </w:rPr>
      </w:pPr>
    </w:p>
    <w:p w:rsidR="002C1123" w:rsidRDefault="002C1123">
      <w:pPr>
        <w:pStyle w:val="BodyText"/>
        <w:rPr>
          <w:sz w:val="16"/>
        </w:rPr>
      </w:pPr>
    </w:p>
    <w:p w:rsidR="002C1123" w:rsidRDefault="002C1123">
      <w:pPr>
        <w:pStyle w:val="BodyText"/>
        <w:rPr>
          <w:sz w:val="16"/>
        </w:rPr>
      </w:pPr>
    </w:p>
    <w:p w:rsidR="002C1123" w:rsidRDefault="002C1123">
      <w:pPr>
        <w:pStyle w:val="BodyText"/>
        <w:rPr>
          <w:sz w:val="16"/>
        </w:rPr>
      </w:pPr>
    </w:p>
    <w:p w:rsidR="002C1123" w:rsidRDefault="002C1123">
      <w:pPr>
        <w:pStyle w:val="BodyText"/>
        <w:rPr>
          <w:sz w:val="16"/>
        </w:rPr>
      </w:pPr>
    </w:p>
    <w:p w:rsidR="002C1123" w:rsidRDefault="002C1123">
      <w:pPr>
        <w:pStyle w:val="BodyText"/>
        <w:rPr>
          <w:sz w:val="16"/>
        </w:rPr>
      </w:pPr>
    </w:p>
    <w:p w:rsidR="002C1123" w:rsidRDefault="002C1123">
      <w:pPr>
        <w:pStyle w:val="BodyText"/>
        <w:rPr>
          <w:sz w:val="16"/>
        </w:rPr>
      </w:pPr>
    </w:p>
    <w:p w:rsidR="002C1123" w:rsidRDefault="002C1123">
      <w:pPr>
        <w:pStyle w:val="BodyText"/>
        <w:rPr>
          <w:sz w:val="16"/>
        </w:rPr>
      </w:pPr>
    </w:p>
    <w:p w:rsidR="002C1123" w:rsidRDefault="002C1123">
      <w:pPr>
        <w:pStyle w:val="BodyText"/>
        <w:rPr>
          <w:sz w:val="16"/>
        </w:rPr>
      </w:pPr>
    </w:p>
    <w:p w:rsidR="002C1123" w:rsidRDefault="002C1123">
      <w:pPr>
        <w:pStyle w:val="BodyText"/>
        <w:rPr>
          <w:sz w:val="16"/>
        </w:rPr>
      </w:pPr>
    </w:p>
    <w:p w:rsidR="002C1123" w:rsidRDefault="002C1123">
      <w:pPr>
        <w:pStyle w:val="BodyText"/>
        <w:spacing w:before="5"/>
        <w:rPr>
          <w:sz w:val="19"/>
        </w:rPr>
      </w:pPr>
    </w:p>
    <w:p w:rsidR="002C1123" w:rsidRDefault="00F22F94">
      <w:pPr>
        <w:spacing w:line="156" w:lineRule="exact"/>
        <w:ind w:left="587"/>
        <w:rPr>
          <w:sz w:val="14"/>
        </w:rPr>
      </w:pPr>
      <w:r>
        <w:rPr>
          <w:w w:val="95"/>
          <w:sz w:val="14"/>
        </w:rPr>
        <w:t>Source:</w:t>
      </w:r>
      <w:r>
        <w:rPr>
          <w:spacing w:val="14"/>
          <w:sz w:val="14"/>
        </w:rPr>
        <w:t xml:space="preserve"> </w:t>
      </w:r>
      <w:r>
        <w:rPr>
          <w:spacing w:val="-2"/>
          <w:w w:val="95"/>
          <w:sz w:val="14"/>
        </w:rPr>
        <w:t>CityRail.</w:t>
      </w:r>
    </w:p>
    <w:p w:rsidR="002C1123" w:rsidRDefault="00F22F94">
      <w:pPr>
        <w:rPr>
          <w:sz w:val="18"/>
        </w:rPr>
      </w:pPr>
      <w:r>
        <w:br w:type="column"/>
      </w:r>
    </w:p>
    <w:p w:rsidR="002C1123" w:rsidRDefault="002C1123">
      <w:pPr>
        <w:pStyle w:val="BodyText"/>
        <w:spacing w:before="6"/>
        <w:rPr>
          <w:sz w:val="14"/>
        </w:rPr>
      </w:pPr>
    </w:p>
    <w:p w:rsidR="002C1123" w:rsidRDefault="00F22F94">
      <w:pPr>
        <w:ind w:left="562"/>
        <w:rPr>
          <w:b/>
          <w:sz w:val="16"/>
        </w:rPr>
      </w:pPr>
      <w:r>
        <w:rPr>
          <w:b/>
          <w:color w:val="2E3092"/>
          <w:sz w:val="16"/>
        </w:rPr>
        <w:t>Measured</w:t>
      </w:r>
      <w:r>
        <w:rPr>
          <w:b/>
          <w:color w:val="2E3092"/>
          <w:spacing w:val="-8"/>
          <w:sz w:val="16"/>
        </w:rPr>
        <w:t xml:space="preserve"> </w:t>
      </w:r>
      <w:r>
        <w:rPr>
          <w:b/>
          <w:color w:val="2E3092"/>
          <w:spacing w:val="-5"/>
          <w:w w:val="105"/>
          <w:sz w:val="16"/>
        </w:rPr>
        <w:t>at</w:t>
      </w:r>
    </w:p>
    <w:p w:rsidR="002C1123" w:rsidRDefault="00F22F94">
      <w:pPr>
        <w:spacing w:before="1"/>
        <w:rPr>
          <w:b/>
          <w:sz w:val="17"/>
        </w:rPr>
      </w:pPr>
      <w:r>
        <w:br w:type="column"/>
      </w:r>
    </w:p>
    <w:p w:rsidR="002C1123" w:rsidRDefault="00F22F94">
      <w:pPr>
        <w:spacing w:line="235" w:lineRule="auto"/>
        <w:ind w:left="330"/>
        <w:rPr>
          <w:b/>
          <w:sz w:val="16"/>
        </w:rPr>
      </w:pPr>
      <w:r>
        <w:rPr>
          <w:b/>
          <w:color w:val="2E3092"/>
          <w:spacing w:val="-2"/>
          <w:w w:val="95"/>
          <w:sz w:val="16"/>
        </w:rPr>
        <w:t>Passengers</w:t>
      </w:r>
      <w:r>
        <w:rPr>
          <w:b/>
          <w:color w:val="2E3092"/>
          <w:spacing w:val="-7"/>
          <w:w w:val="95"/>
          <w:sz w:val="16"/>
        </w:rPr>
        <w:t xml:space="preserve"> </w:t>
      </w:r>
      <w:r>
        <w:rPr>
          <w:b/>
          <w:color w:val="2E3092"/>
          <w:spacing w:val="-2"/>
          <w:w w:val="95"/>
          <w:sz w:val="16"/>
        </w:rPr>
        <w:t xml:space="preserve">- </w:t>
      </w:r>
      <w:r>
        <w:rPr>
          <w:b/>
          <w:color w:val="2E3092"/>
          <w:w w:val="95"/>
          <w:sz w:val="16"/>
        </w:rPr>
        <w:t>1hr</w:t>
      </w:r>
      <w:r>
        <w:rPr>
          <w:b/>
          <w:color w:val="2E3092"/>
          <w:spacing w:val="-7"/>
          <w:w w:val="95"/>
          <w:sz w:val="16"/>
        </w:rPr>
        <w:t xml:space="preserve"> </w:t>
      </w:r>
      <w:r>
        <w:rPr>
          <w:b/>
          <w:color w:val="2E3092"/>
          <w:w w:val="95"/>
          <w:sz w:val="16"/>
        </w:rPr>
        <w:t>AM</w:t>
      </w:r>
      <w:r>
        <w:rPr>
          <w:b/>
          <w:color w:val="2E3092"/>
          <w:spacing w:val="-7"/>
          <w:w w:val="95"/>
          <w:sz w:val="16"/>
        </w:rPr>
        <w:t xml:space="preserve"> </w:t>
      </w:r>
      <w:r>
        <w:rPr>
          <w:b/>
          <w:color w:val="2E3092"/>
          <w:spacing w:val="-4"/>
          <w:w w:val="95"/>
          <w:sz w:val="16"/>
        </w:rPr>
        <w:t>peak</w:t>
      </w:r>
    </w:p>
    <w:p w:rsidR="002C1123" w:rsidRDefault="00F22F94">
      <w:pPr>
        <w:spacing w:before="1"/>
        <w:rPr>
          <w:b/>
          <w:sz w:val="17"/>
        </w:rPr>
      </w:pPr>
      <w:r>
        <w:br w:type="column"/>
      </w:r>
    </w:p>
    <w:p w:rsidR="002C1123" w:rsidRDefault="00F22F94">
      <w:pPr>
        <w:spacing w:line="235" w:lineRule="auto"/>
        <w:ind w:left="213" w:right="-9"/>
        <w:rPr>
          <w:b/>
          <w:sz w:val="16"/>
        </w:rPr>
      </w:pPr>
      <w:r>
        <w:rPr>
          <w:b/>
          <w:color w:val="2E3092"/>
          <w:spacing w:val="-6"/>
          <w:sz w:val="16"/>
        </w:rPr>
        <w:t>Up</w:t>
      </w:r>
      <w:r>
        <w:rPr>
          <w:b/>
          <w:color w:val="2E3092"/>
          <w:spacing w:val="-2"/>
          <w:sz w:val="16"/>
        </w:rPr>
        <w:t xml:space="preserve"> </w:t>
      </w:r>
      <w:r>
        <w:rPr>
          <w:b/>
          <w:color w:val="2E3092"/>
          <w:spacing w:val="-2"/>
          <w:w w:val="95"/>
          <w:sz w:val="16"/>
        </w:rPr>
        <w:t>tracks</w:t>
      </w:r>
    </w:p>
    <w:p w:rsidR="002C1123" w:rsidRDefault="00F22F94">
      <w:pPr>
        <w:pStyle w:val="BodyText"/>
        <w:spacing w:before="5" w:line="249" w:lineRule="auto"/>
        <w:ind w:left="320" w:right="2"/>
      </w:pPr>
      <w:r>
        <w:br w:type="column"/>
      </w:r>
      <w:r>
        <w:rPr>
          <w:w w:val="95"/>
        </w:rPr>
        <w:t>bridge),</w:t>
      </w:r>
      <w:r>
        <w:rPr>
          <w:spacing w:val="-6"/>
          <w:w w:val="95"/>
        </w:rPr>
        <w:t xml:space="preserve"> </w:t>
      </w:r>
      <w:r>
        <w:rPr>
          <w:w w:val="95"/>
        </w:rPr>
        <w:t>although</w:t>
      </w:r>
      <w:r>
        <w:rPr>
          <w:spacing w:val="-6"/>
          <w:w w:val="95"/>
        </w:rPr>
        <w:t xml:space="preserve"> </w:t>
      </w:r>
      <w:r>
        <w:rPr>
          <w:w w:val="95"/>
        </w:rPr>
        <w:t>it</w:t>
      </w:r>
      <w:r>
        <w:rPr>
          <w:spacing w:val="-6"/>
          <w:w w:val="95"/>
        </w:rPr>
        <w:t xml:space="preserve"> </w:t>
      </w:r>
      <w:r>
        <w:rPr>
          <w:w w:val="95"/>
        </w:rPr>
        <w:t>is</w:t>
      </w:r>
      <w:r>
        <w:rPr>
          <w:spacing w:val="-6"/>
          <w:w w:val="95"/>
        </w:rPr>
        <w:t xml:space="preserve"> </w:t>
      </w:r>
      <w:r>
        <w:rPr>
          <w:w w:val="95"/>
        </w:rPr>
        <w:t>expected</w:t>
      </w:r>
      <w:r>
        <w:rPr>
          <w:spacing w:val="-6"/>
          <w:w w:val="95"/>
        </w:rPr>
        <w:t xml:space="preserve"> </w:t>
      </w:r>
      <w:r>
        <w:rPr>
          <w:w w:val="95"/>
        </w:rPr>
        <w:t>to</w:t>
      </w:r>
      <w:r>
        <w:rPr>
          <w:spacing w:val="-6"/>
          <w:w w:val="95"/>
        </w:rPr>
        <w:t xml:space="preserve"> </w:t>
      </w:r>
      <w:r>
        <w:rPr>
          <w:w w:val="95"/>
        </w:rPr>
        <w:t>increase</w:t>
      </w:r>
      <w:r>
        <w:rPr>
          <w:spacing w:val="-6"/>
          <w:w w:val="95"/>
        </w:rPr>
        <w:t xml:space="preserve"> </w:t>
      </w:r>
      <w:r>
        <w:rPr>
          <w:w w:val="95"/>
        </w:rPr>
        <w:t>to</w:t>
      </w:r>
      <w:r>
        <w:rPr>
          <w:spacing w:val="-6"/>
          <w:w w:val="95"/>
        </w:rPr>
        <w:t xml:space="preserve"> </w:t>
      </w:r>
      <w:r>
        <w:rPr>
          <w:w w:val="95"/>
        </w:rPr>
        <w:t xml:space="preserve">around 20,000 per hour per line in the peak after the NWRL </w:t>
      </w:r>
      <w:r>
        <w:t>opens in the next decade.</w:t>
      </w:r>
    </w:p>
    <w:p w:rsidR="002C1123" w:rsidRDefault="002060EF">
      <w:pPr>
        <w:pStyle w:val="BodyText"/>
        <w:spacing w:before="144" w:line="249" w:lineRule="auto"/>
        <w:ind w:left="320" w:right="2"/>
      </w:pPr>
      <w:r>
        <w:pict>
          <v:shape id="docshape1451" o:spid="_x0000_s3772" type="#_x0000_t202" style="position:absolute;left:0;text-align:left;margin-left:49.6pt;margin-top:-4.75pt;width:239.8pt;height:135.4pt;z-index:251412480;mso-position-horizontal-relative:page" filled="f" stroked="f">
            <v:textbox inset="0,0,0,0">
              <w:txbxContent>
                <w:tbl>
                  <w:tblPr>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601"/>
                    <w:gridCol w:w="1304"/>
                    <w:gridCol w:w="1191"/>
                    <w:gridCol w:w="681"/>
                  </w:tblGrid>
                  <w:tr w:rsidR="00F22F94">
                    <w:trPr>
                      <w:trHeight w:val="321"/>
                    </w:trPr>
                    <w:tc>
                      <w:tcPr>
                        <w:tcW w:w="1601" w:type="dxa"/>
                        <w:tcBorders>
                          <w:left w:val="nil"/>
                        </w:tcBorders>
                        <w:shd w:val="clear" w:color="auto" w:fill="C9C8C9"/>
                      </w:tcPr>
                      <w:p w:rsidR="00F22F94" w:rsidRDefault="00F22F94">
                        <w:pPr>
                          <w:pStyle w:val="TableParagraph"/>
                          <w:rPr>
                            <w:sz w:val="9"/>
                          </w:rPr>
                        </w:pPr>
                        <w:r>
                          <w:rPr>
                            <w:sz w:val="16"/>
                          </w:rPr>
                          <w:t>Main West</w:t>
                        </w:r>
                        <w:r>
                          <w:rPr>
                            <w:spacing w:val="1"/>
                            <w:sz w:val="16"/>
                          </w:rPr>
                          <w:t xml:space="preserve"> </w:t>
                        </w:r>
                        <w:r>
                          <w:rPr>
                            <w:spacing w:val="-2"/>
                            <w:sz w:val="16"/>
                          </w:rPr>
                          <w:t>Lines</w:t>
                        </w:r>
                        <w:r>
                          <w:rPr>
                            <w:spacing w:val="-2"/>
                            <w:position w:val="5"/>
                            <w:sz w:val="9"/>
                          </w:rPr>
                          <w:t>(a)</w:t>
                        </w:r>
                      </w:p>
                    </w:tc>
                    <w:tc>
                      <w:tcPr>
                        <w:tcW w:w="1304" w:type="dxa"/>
                        <w:shd w:val="clear" w:color="auto" w:fill="E1E0E1"/>
                      </w:tcPr>
                      <w:p w:rsidR="00F22F94" w:rsidRDefault="00F22F94">
                        <w:pPr>
                          <w:pStyle w:val="TableParagraph"/>
                          <w:rPr>
                            <w:sz w:val="16"/>
                          </w:rPr>
                        </w:pPr>
                        <w:r>
                          <w:rPr>
                            <w:spacing w:val="-2"/>
                            <w:sz w:val="16"/>
                          </w:rPr>
                          <w:t>Redfern</w:t>
                        </w:r>
                      </w:p>
                    </w:tc>
                    <w:tc>
                      <w:tcPr>
                        <w:tcW w:w="1191" w:type="dxa"/>
                        <w:shd w:val="clear" w:color="auto" w:fill="E1E0E1"/>
                      </w:tcPr>
                      <w:p w:rsidR="00F22F94" w:rsidRDefault="00F22F94">
                        <w:pPr>
                          <w:pStyle w:val="TableParagraph"/>
                          <w:rPr>
                            <w:sz w:val="16"/>
                          </w:rPr>
                        </w:pPr>
                        <w:r>
                          <w:rPr>
                            <w:spacing w:val="-2"/>
                            <w:sz w:val="16"/>
                          </w:rPr>
                          <w:t>39,700</w:t>
                        </w:r>
                      </w:p>
                    </w:tc>
                    <w:tc>
                      <w:tcPr>
                        <w:tcW w:w="681" w:type="dxa"/>
                        <w:shd w:val="clear" w:color="auto" w:fill="E1E0E1"/>
                      </w:tcPr>
                      <w:p w:rsidR="00F22F94" w:rsidRDefault="00F22F94">
                        <w:pPr>
                          <w:pStyle w:val="TableParagraph"/>
                          <w:ind w:left="112"/>
                          <w:rPr>
                            <w:sz w:val="16"/>
                          </w:rPr>
                        </w:pPr>
                        <w:r>
                          <w:rPr>
                            <w:w w:val="99"/>
                            <w:sz w:val="16"/>
                          </w:rPr>
                          <w:t>3</w:t>
                        </w:r>
                      </w:p>
                    </w:tc>
                  </w:tr>
                  <w:tr w:rsidR="00F22F94">
                    <w:trPr>
                      <w:trHeight w:val="321"/>
                    </w:trPr>
                    <w:tc>
                      <w:tcPr>
                        <w:tcW w:w="1601" w:type="dxa"/>
                        <w:tcBorders>
                          <w:left w:val="nil"/>
                        </w:tcBorders>
                        <w:shd w:val="clear" w:color="auto" w:fill="C9C8C9"/>
                      </w:tcPr>
                      <w:p w:rsidR="00F22F94" w:rsidRDefault="00F22F94">
                        <w:pPr>
                          <w:pStyle w:val="TableParagraph"/>
                          <w:rPr>
                            <w:sz w:val="16"/>
                          </w:rPr>
                        </w:pPr>
                        <w:r>
                          <w:rPr>
                            <w:spacing w:val="-2"/>
                            <w:w w:val="105"/>
                            <w:sz w:val="16"/>
                          </w:rPr>
                          <w:t>Illawarra</w:t>
                        </w:r>
                      </w:p>
                    </w:tc>
                    <w:tc>
                      <w:tcPr>
                        <w:tcW w:w="1304" w:type="dxa"/>
                        <w:shd w:val="clear" w:color="auto" w:fill="E1E0E1"/>
                      </w:tcPr>
                      <w:p w:rsidR="00F22F94" w:rsidRDefault="00F22F94">
                        <w:pPr>
                          <w:pStyle w:val="TableParagraph"/>
                          <w:rPr>
                            <w:sz w:val="16"/>
                          </w:rPr>
                        </w:pPr>
                        <w:r>
                          <w:rPr>
                            <w:spacing w:val="-2"/>
                            <w:sz w:val="16"/>
                          </w:rPr>
                          <w:t>Sydenham</w:t>
                        </w:r>
                      </w:p>
                    </w:tc>
                    <w:tc>
                      <w:tcPr>
                        <w:tcW w:w="1191" w:type="dxa"/>
                        <w:shd w:val="clear" w:color="auto" w:fill="E1E0E1"/>
                      </w:tcPr>
                      <w:p w:rsidR="00F22F94" w:rsidRDefault="00F22F94">
                        <w:pPr>
                          <w:pStyle w:val="TableParagraph"/>
                          <w:rPr>
                            <w:sz w:val="16"/>
                          </w:rPr>
                        </w:pPr>
                        <w:r>
                          <w:rPr>
                            <w:spacing w:val="-2"/>
                            <w:sz w:val="16"/>
                          </w:rPr>
                          <w:t>16,500</w:t>
                        </w:r>
                      </w:p>
                    </w:tc>
                    <w:tc>
                      <w:tcPr>
                        <w:tcW w:w="681" w:type="dxa"/>
                        <w:shd w:val="clear" w:color="auto" w:fill="E1E0E1"/>
                      </w:tcPr>
                      <w:p w:rsidR="00F22F94" w:rsidRDefault="00F22F94">
                        <w:pPr>
                          <w:pStyle w:val="TableParagraph"/>
                          <w:ind w:left="112"/>
                          <w:rPr>
                            <w:sz w:val="16"/>
                          </w:rPr>
                        </w:pPr>
                        <w:r>
                          <w:rPr>
                            <w:sz w:val="16"/>
                          </w:rPr>
                          <w:t>1</w:t>
                        </w:r>
                        <w:r>
                          <w:rPr>
                            <w:spacing w:val="-10"/>
                            <w:sz w:val="16"/>
                          </w:rPr>
                          <w:t xml:space="preserve"> </w:t>
                        </w:r>
                        <w:r>
                          <w:rPr>
                            <w:sz w:val="16"/>
                          </w:rPr>
                          <w:t>–</w:t>
                        </w:r>
                        <w:r>
                          <w:rPr>
                            <w:spacing w:val="-9"/>
                            <w:sz w:val="16"/>
                          </w:rPr>
                          <w:t xml:space="preserve"> </w:t>
                        </w:r>
                        <w:r>
                          <w:rPr>
                            <w:spacing w:val="-10"/>
                            <w:sz w:val="16"/>
                          </w:rPr>
                          <w:t>2</w:t>
                        </w:r>
                      </w:p>
                    </w:tc>
                  </w:tr>
                  <w:tr w:rsidR="00F22F94">
                    <w:trPr>
                      <w:trHeight w:val="523"/>
                    </w:trPr>
                    <w:tc>
                      <w:tcPr>
                        <w:tcW w:w="1601" w:type="dxa"/>
                        <w:tcBorders>
                          <w:left w:val="nil"/>
                        </w:tcBorders>
                        <w:shd w:val="clear" w:color="auto" w:fill="C9C8C9"/>
                      </w:tcPr>
                      <w:p w:rsidR="00F22F94" w:rsidRDefault="00F22F94">
                        <w:pPr>
                          <w:pStyle w:val="TableParagraph"/>
                          <w:rPr>
                            <w:sz w:val="16"/>
                          </w:rPr>
                        </w:pPr>
                        <w:r>
                          <w:rPr>
                            <w:spacing w:val="-2"/>
                            <w:w w:val="105"/>
                            <w:sz w:val="16"/>
                          </w:rPr>
                          <w:t>North</w:t>
                        </w:r>
                        <w:r>
                          <w:rPr>
                            <w:spacing w:val="-5"/>
                            <w:w w:val="105"/>
                            <w:sz w:val="16"/>
                          </w:rPr>
                          <w:t xml:space="preserve"> </w:t>
                        </w:r>
                        <w:r>
                          <w:rPr>
                            <w:spacing w:val="-2"/>
                            <w:w w:val="105"/>
                            <w:sz w:val="16"/>
                          </w:rPr>
                          <w:t>Shore</w:t>
                        </w:r>
                      </w:p>
                    </w:tc>
                    <w:tc>
                      <w:tcPr>
                        <w:tcW w:w="1304" w:type="dxa"/>
                        <w:shd w:val="clear" w:color="auto" w:fill="E1E0E1"/>
                      </w:tcPr>
                      <w:p w:rsidR="00F22F94" w:rsidRDefault="00F22F94">
                        <w:pPr>
                          <w:pStyle w:val="TableParagraph"/>
                          <w:spacing w:before="70" w:line="235" w:lineRule="auto"/>
                          <w:ind w:right="102"/>
                          <w:rPr>
                            <w:sz w:val="16"/>
                          </w:rPr>
                        </w:pPr>
                        <w:r>
                          <w:rPr>
                            <w:spacing w:val="-2"/>
                            <w:sz w:val="16"/>
                          </w:rPr>
                          <w:t xml:space="preserve">Sydney </w:t>
                        </w:r>
                        <w:r>
                          <w:rPr>
                            <w:w w:val="95"/>
                            <w:sz w:val="16"/>
                          </w:rPr>
                          <w:t>Harbour</w:t>
                        </w:r>
                        <w:r>
                          <w:rPr>
                            <w:spacing w:val="-2"/>
                            <w:w w:val="95"/>
                            <w:sz w:val="16"/>
                          </w:rPr>
                          <w:t xml:space="preserve"> </w:t>
                        </w:r>
                        <w:r>
                          <w:rPr>
                            <w:w w:val="95"/>
                            <w:sz w:val="16"/>
                          </w:rPr>
                          <w:t>Bridge</w:t>
                        </w:r>
                      </w:p>
                    </w:tc>
                    <w:tc>
                      <w:tcPr>
                        <w:tcW w:w="1191" w:type="dxa"/>
                        <w:shd w:val="clear" w:color="auto" w:fill="E1E0E1"/>
                      </w:tcPr>
                      <w:p w:rsidR="00F22F94" w:rsidRDefault="00F22F94">
                        <w:pPr>
                          <w:pStyle w:val="TableParagraph"/>
                          <w:rPr>
                            <w:sz w:val="16"/>
                          </w:rPr>
                        </w:pPr>
                        <w:r>
                          <w:rPr>
                            <w:spacing w:val="-2"/>
                            <w:sz w:val="16"/>
                          </w:rPr>
                          <w:t>14,300</w:t>
                        </w:r>
                      </w:p>
                    </w:tc>
                    <w:tc>
                      <w:tcPr>
                        <w:tcW w:w="681" w:type="dxa"/>
                        <w:shd w:val="clear" w:color="auto" w:fill="E1E0E1"/>
                      </w:tcPr>
                      <w:p w:rsidR="00F22F94" w:rsidRDefault="00F22F94">
                        <w:pPr>
                          <w:pStyle w:val="TableParagraph"/>
                          <w:ind w:left="112"/>
                          <w:rPr>
                            <w:sz w:val="16"/>
                          </w:rPr>
                        </w:pPr>
                        <w:r>
                          <w:rPr>
                            <w:w w:val="99"/>
                            <w:sz w:val="16"/>
                          </w:rPr>
                          <w:t>1</w:t>
                        </w:r>
                      </w:p>
                    </w:tc>
                  </w:tr>
                  <w:tr w:rsidR="00F22F94">
                    <w:trPr>
                      <w:trHeight w:val="541"/>
                    </w:trPr>
                    <w:tc>
                      <w:tcPr>
                        <w:tcW w:w="1601" w:type="dxa"/>
                        <w:tcBorders>
                          <w:left w:val="nil"/>
                        </w:tcBorders>
                        <w:shd w:val="clear" w:color="auto" w:fill="C9C8C9"/>
                      </w:tcPr>
                      <w:p w:rsidR="00F22F94" w:rsidRDefault="00F22F94">
                        <w:pPr>
                          <w:pStyle w:val="TableParagraph"/>
                          <w:spacing w:line="288" w:lineRule="auto"/>
                          <w:rPr>
                            <w:sz w:val="16"/>
                          </w:rPr>
                        </w:pPr>
                        <w:r>
                          <w:rPr>
                            <w:w w:val="105"/>
                            <w:sz w:val="16"/>
                          </w:rPr>
                          <w:t>Bankstown</w:t>
                        </w:r>
                        <w:r>
                          <w:rPr>
                            <w:spacing w:val="-11"/>
                            <w:w w:val="105"/>
                            <w:sz w:val="16"/>
                          </w:rPr>
                          <w:t xml:space="preserve"> </w:t>
                        </w:r>
                        <w:r>
                          <w:rPr>
                            <w:w w:val="105"/>
                            <w:sz w:val="16"/>
                          </w:rPr>
                          <w:t>&amp;</w:t>
                        </w:r>
                        <w:r>
                          <w:rPr>
                            <w:spacing w:val="-11"/>
                            <w:w w:val="105"/>
                            <w:sz w:val="16"/>
                          </w:rPr>
                          <w:t xml:space="preserve"> </w:t>
                        </w:r>
                        <w:r>
                          <w:rPr>
                            <w:w w:val="105"/>
                            <w:sz w:val="16"/>
                          </w:rPr>
                          <w:t xml:space="preserve">East </w:t>
                        </w:r>
                        <w:r>
                          <w:rPr>
                            <w:spacing w:val="-4"/>
                            <w:w w:val="105"/>
                            <w:sz w:val="16"/>
                          </w:rPr>
                          <w:t>Hills</w:t>
                        </w:r>
                        <w:r>
                          <w:rPr>
                            <w:spacing w:val="-8"/>
                            <w:w w:val="105"/>
                            <w:sz w:val="16"/>
                          </w:rPr>
                          <w:t xml:space="preserve"> </w:t>
                        </w:r>
                        <w:r>
                          <w:rPr>
                            <w:spacing w:val="-4"/>
                            <w:w w:val="105"/>
                            <w:sz w:val="16"/>
                          </w:rPr>
                          <w:t>via</w:t>
                        </w:r>
                        <w:r>
                          <w:rPr>
                            <w:spacing w:val="-8"/>
                            <w:w w:val="105"/>
                            <w:sz w:val="16"/>
                          </w:rPr>
                          <w:t xml:space="preserve"> </w:t>
                        </w:r>
                        <w:r>
                          <w:rPr>
                            <w:spacing w:val="-4"/>
                            <w:w w:val="105"/>
                            <w:sz w:val="16"/>
                          </w:rPr>
                          <w:t>Sydenham</w:t>
                        </w:r>
                      </w:p>
                    </w:tc>
                    <w:tc>
                      <w:tcPr>
                        <w:tcW w:w="1304" w:type="dxa"/>
                        <w:shd w:val="clear" w:color="auto" w:fill="E1E0E1"/>
                      </w:tcPr>
                      <w:p w:rsidR="00F22F94" w:rsidRDefault="00F22F94">
                        <w:pPr>
                          <w:pStyle w:val="TableParagraph"/>
                          <w:rPr>
                            <w:sz w:val="16"/>
                          </w:rPr>
                        </w:pPr>
                        <w:r>
                          <w:rPr>
                            <w:spacing w:val="-2"/>
                            <w:sz w:val="16"/>
                          </w:rPr>
                          <w:t>Redfern</w:t>
                        </w:r>
                      </w:p>
                    </w:tc>
                    <w:tc>
                      <w:tcPr>
                        <w:tcW w:w="1191" w:type="dxa"/>
                        <w:shd w:val="clear" w:color="auto" w:fill="E1E0E1"/>
                      </w:tcPr>
                      <w:p w:rsidR="00F22F94" w:rsidRDefault="00F22F94">
                        <w:pPr>
                          <w:pStyle w:val="TableParagraph"/>
                          <w:rPr>
                            <w:sz w:val="16"/>
                          </w:rPr>
                        </w:pPr>
                        <w:r>
                          <w:rPr>
                            <w:spacing w:val="-2"/>
                            <w:sz w:val="16"/>
                          </w:rPr>
                          <w:t>11,100</w:t>
                        </w:r>
                      </w:p>
                    </w:tc>
                    <w:tc>
                      <w:tcPr>
                        <w:tcW w:w="681" w:type="dxa"/>
                        <w:shd w:val="clear" w:color="auto" w:fill="E1E0E1"/>
                      </w:tcPr>
                      <w:p w:rsidR="00F22F94" w:rsidRDefault="00F22F94">
                        <w:pPr>
                          <w:pStyle w:val="TableParagraph"/>
                          <w:ind w:left="112"/>
                          <w:rPr>
                            <w:sz w:val="16"/>
                          </w:rPr>
                        </w:pPr>
                        <w:r>
                          <w:rPr>
                            <w:w w:val="99"/>
                            <w:sz w:val="16"/>
                          </w:rPr>
                          <w:t>1</w:t>
                        </w:r>
                      </w:p>
                    </w:tc>
                  </w:tr>
                  <w:tr w:rsidR="00F22F94">
                    <w:trPr>
                      <w:trHeight w:val="541"/>
                    </w:trPr>
                    <w:tc>
                      <w:tcPr>
                        <w:tcW w:w="1601" w:type="dxa"/>
                        <w:tcBorders>
                          <w:left w:val="nil"/>
                        </w:tcBorders>
                        <w:shd w:val="clear" w:color="auto" w:fill="C9C8C9"/>
                      </w:tcPr>
                      <w:p w:rsidR="00F22F94" w:rsidRDefault="00F22F94">
                        <w:pPr>
                          <w:pStyle w:val="TableParagraph"/>
                          <w:spacing w:line="288" w:lineRule="auto"/>
                          <w:ind w:right="540"/>
                          <w:rPr>
                            <w:sz w:val="16"/>
                          </w:rPr>
                        </w:pPr>
                        <w:r>
                          <w:rPr>
                            <w:spacing w:val="-2"/>
                            <w:w w:val="105"/>
                            <w:sz w:val="16"/>
                          </w:rPr>
                          <w:t>East</w:t>
                        </w:r>
                        <w:r>
                          <w:rPr>
                            <w:spacing w:val="-10"/>
                            <w:w w:val="105"/>
                            <w:sz w:val="16"/>
                          </w:rPr>
                          <w:t xml:space="preserve"> </w:t>
                        </w:r>
                        <w:r>
                          <w:rPr>
                            <w:spacing w:val="-2"/>
                            <w:w w:val="105"/>
                            <w:sz w:val="16"/>
                          </w:rPr>
                          <w:t>Hills</w:t>
                        </w:r>
                        <w:r>
                          <w:rPr>
                            <w:spacing w:val="-10"/>
                            <w:w w:val="105"/>
                            <w:sz w:val="16"/>
                          </w:rPr>
                          <w:t xml:space="preserve"> </w:t>
                        </w:r>
                        <w:r>
                          <w:rPr>
                            <w:spacing w:val="-2"/>
                            <w:w w:val="105"/>
                            <w:sz w:val="16"/>
                          </w:rPr>
                          <w:t>via Airport</w:t>
                        </w:r>
                      </w:p>
                    </w:tc>
                    <w:tc>
                      <w:tcPr>
                        <w:tcW w:w="1304" w:type="dxa"/>
                        <w:shd w:val="clear" w:color="auto" w:fill="E1E0E1"/>
                      </w:tcPr>
                      <w:p w:rsidR="00F22F94" w:rsidRDefault="00F22F94">
                        <w:pPr>
                          <w:pStyle w:val="TableParagraph"/>
                          <w:rPr>
                            <w:sz w:val="16"/>
                          </w:rPr>
                        </w:pPr>
                        <w:r>
                          <w:rPr>
                            <w:w w:val="90"/>
                            <w:sz w:val="16"/>
                          </w:rPr>
                          <w:t>Wolli</w:t>
                        </w:r>
                        <w:r>
                          <w:rPr>
                            <w:spacing w:val="1"/>
                            <w:sz w:val="16"/>
                          </w:rPr>
                          <w:t xml:space="preserve"> </w:t>
                        </w:r>
                        <w:r>
                          <w:rPr>
                            <w:spacing w:val="-2"/>
                            <w:sz w:val="16"/>
                          </w:rPr>
                          <w:t>Creek</w:t>
                        </w:r>
                      </w:p>
                    </w:tc>
                    <w:tc>
                      <w:tcPr>
                        <w:tcW w:w="1191" w:type="dxa"/>
                        <w:shd w:val="clear" w:color="auto" w:fill="E1E0E1"/>
                      </w:tcPr>
                      <w:p w:rsidR="00F22F94" w:rsidRDefault="00F22F94">
                        <w:pPr>
                          <w:pStyle w:val="TableParagraph"/>
                          <w:rPr>
                            <w:sz w:val="16"/>
                          </w:rPr>
                        </w:pPr>
                        <w:r>
                          <w:rPr>
                            <w:spacing w:val="-2"/>
                            <w:sz w:val="16"/>
                          </w:rPr>
                          <w:t>7,500</w:t>
                        </w:r>
                      </w:p>
                    </w:tc>
                    <w:tc>
                      <w:tcPr>
                        <w:tcW w:w="681" w:type="dxa"/>
                        <w:shd w:val="clear" w:color="auto" w:fill="E1E0E1"/>
                      </w:tcPr>
                      <w:p w:rsidR="00F22F94" w:rsidRDefault="00F22F94">
                        <w:pPr>
                          <w:pStyle w:val="TableParagraph"/>
                          <w:ind w:left="112"/>
                          <w:rPr>
                            <w:sz w:val="16"/>
                          </w:rPr>
                        </w:pPr>
                        <w:r>
                          <w:rPr>
                            <w:w w:val="99"/>
                            <w:sz w:val="16"/>
                          </w:rPr>
                          <w:t>1</w:t>
                        </w:r>
                      </w:p>
                    </w:tc>
                  </w:tr>
                  <w:tr w:rsidR="00F22F94">
                    <w:trPr>
                      <w:trHeight w:val="321"/>
                    </w:trPr>
                    <w:tc>
                      <w:tcPr>
                        <w:tcW w:w="1601" w:type="dxa"/>
                        <w:tcBorders>
                          <w:left w:val="nil"/>
                        </w:tcBorders>
                        <w:shd w:val="clear" w:color="auto" w:fill="C9C8C9"/>
                      </w:tcPr>
                      <w:p w:rsidR="00F22F94" w:rsidRDefault="00F22F94">
                        <w:pPr>
                          <w:pStyle w:val="TableParagraph"/>
                          <w:rPr>
                            <w:sz w:val="16"/>
                          </w:rPr>
                        </w:pPr>
                        <w:r>
                          <w:rPr>
                            <w:sz w:val="16"/>
                          </w:rPr>
                          <w:t>Eastern</w:t>
                        </w:r>
                        <w:r>
                          <w:rPr>
                            <w:spacing w:val="-6"/>
                            <w:sz w:val="16"/>
                          </w:rPr>
                          <w:t xml:space="preserve"> </w:t>
                        </w:r>
                        <w:r>
                          <w:rPr>
                            <w:spacing w:val="-2"/>
                            <w:w w:val="105"/>
                            <w:sz w:val="16"/>
                          </w:rPr>
                          <w:t>Suburbs</w:t>
                        </w:r>
                      </w:p>
                    </w:tc>
                    <w:tc>
                      <w:tcPr>
                        <w:tcW w:w="1304" w:type="dxa"/>
                        <w:shd w:val="clear" w:color="auto" w:fill="E1E0E1"/>
                      </w:tcPr>
                      <w:p w:rsidR="00F22F94" w:rsidRDefault="00F22F94">
                        <w:pPr>
                          <w:pStyle w:val="TableParagraph"/>
                          <w:rPr>
                            <w:sz w:val="16"/>
                          </w:rPr>
                        </w:pPr>
                        <w:r>
                          <w:rPr>
                            <w:w w:val="95"/>
                            <w:sz w:val="16"/>
                          </w:rPr>
                          <w:t>Kings</w:t>
                        </w:r>
                        <w:r>
                          <w:rPr>
                            <w:sz w:val="16"/>
                          </w:rPr>
                          <w:t xml:space="preserve"> </w:t>
                        </w:r>
                        <w:r>
                          <w:rPr>
                            <w:spacing w:val="-2"/>
                            <w:sz w:val="16"/>
                          </w:rPr>
                          <w:t>Cross</w:t>
                        </w:r>
                      </w:p>
                    </w:tc>
                    <w:tc>
                      <w:tcPr>
                        <w:tcW w:w="1191" w:type="dxa"/>
                        <w:shd w:val="clear" w:color="auto" w:fill="E1E0E1"/>
                      </w:tcPr>
                      <w:p w:rsidR="00F22F94" w:rsidRDefault="00F22F94">
                        <w:pPr>
                          <w:pStyle w:val="TableParagraph"/>
                          <w:rPr>
                            <w:sz w:val="16"/>
                          </w:rPr>
                        </w:pPr>
                        <w:r>
                          <w:rPr>
                            <w:spacing w:val="-2"/>
                            <w:sz w:val="16"/>
                          </w:rPr>
                          <w:t>7,400</w:t>
                        </w:r>
                      </w:p>
                    </w:tc>
                    <w:tc>
                      <w:tcPr>
                        <w:tcW w:w="681" w:type="dxa"/>
                        <w:shd w:val="clear" w:color="auto" w:fill="E1E0E1"/>
                      </w:tcPr>
                      <w:p w:rsidR="00F22F94" w:rsidRDefault="00F22F94">
                        <w:pPr>
                          <w:pStyle w:val="TableParagraph"/>
                          <w:ind w:left="112"/>
                          <w:rPr>
                            <w:sz w:val="16"/>
                          </w:rPr>
                        </w:pPr>
                        <w:r>
                          <w:rPr>
                            <w:w w:val="99"/>
                            <w:sz w:val="16"/>
                          </w:rPr>
                          <w:t>1</w:t>
                        </w:r>
                      </w:p>
                    </w:tc>
                  </w:tr>
                </w:tbl>
                <w:p w:rsidR="00F22F94" w:rsidRDefault="00F22F94">
                  <w:pPr>
                    <w:pStyle w:val="BodyText"/>
                  </w:pPr>
                </w:p>
              </w:txbxContent>
            </v:textbox>
            <w10:wrap anchorx="page"/>
          </v:shape>
        </w:pict>
      </w:r>
      <w:r w:rsidR="00F22F94">
        <w:t>The</w:t>
      </w:r>
      <w:r w:rsidR="00F22F94">
        <w:rPr>
          <w:spacing w:val="-14"/>
        </w:rPr>
        <w:t xml:space="preserve"> </w:t>
      </w:r>
      <w:r w:rsidR="00F22F94">
        <w:t>Airport</w:t>
      </w:r>
      <w:r w:rsidR="00F22F94">
        <w:rPr>
          <w:spacing w:val="-14"/>
        </w:rPr>
        <w:t xml:space="preserve"> </w:t>
      </w:r>
      <w:r w:rsidR="00F22F94">
        <w:t>Line</w:t>
      </w:r>
      <w:r w:rsidR="00F22F94">
        <w:rPr>
          <w:spacing w:val="-14"/>
        </w:rPr>
        <w:t xml:space="preserve"> </w:t>
      </w:r>
      <w:r w:rsidR="00F22F94">
        <w:t>carries</w:t>
      </w:r>
      <w:r w:rsidR="00F22F94">
        <w:rPr>
          <w:spacing w:val="-14"/>
        </w:rPr>
        <w:t xml:space="preserve"> </w:t>
      </w:r>
      <w:r w:rsidR="00F22F94">
        <w:t>relatively</w:t>
      </w:r>
      <w:r w:rsidR="00F22F94">
        <w:rPr>
          <w:spacing w:val="-14"/>
        </w:rPr>
        <w:t xml:space="preserve"> </w:t>
      </w:r>
      <w:r w:rsidR="00F22F94">
        <w:t>few</w:t>
      </w:r>
      <w:r w:rsidR="00F22F94">
        <w:rPr>
          <w:spacing w:val="-14"/>
        </w:rPr>
        <w:t xml:space="preserve"> </w:t>
      </w:r>
      <w:r w:rsidR="00F22F94">
        <w:t xml:space="preserve">passengers; </w:t>
      </w:r>
      <w:r w:rsidR="00F22F94">
        <w:rPr>
          <w:w w:val="95"/>
        </w:rPr>
        <w:t xml:space="preserve">trains are crowded since only eight trains operate in the </w:t>
      </w:r>
      <w:r w:rsidR="00F22F94">
        <w:t>peak</w:t>
      </w:r>
      <w:r w:rsidR="00F22F94">
        <w:rPr>
          <w:spacing w:val="-14"/>
        </w:rPr>
        <w:t xml:space="preserve"> </w:t>
      </w:r>
      <w:r w:rsidR="00F22F94">
        <w:t>hour.</w:t>
      </w:r>
      <w:r w:rsidR="00F22F94">
        <w:rPr>
          <w:spacing w:val="-14"/>
        </w:rPr>
        <w:t xml:space="preserve"> </w:t>
      </w:r>
      <w:r w:rsidR="00F22F94">
        <w:t>The</w:t>
      </w:r>
      <w:r w:rsidR="00F22F94">
        <w:rPr>
          <w:spacing w:val="-14"/>
        </w:rPr>
        <w:t xml:space="preserve"> </w:t>
      </w:r>
      <w:r w:rsidR="00F22F94">
        <w:t>Eastern</w:t>
      </w:r>
      <w:r w:rsidR="00F22F94">
        <w:rPr>
          <w:spacing w:val="-14"/>
        </w:rPr>
        <w:t xml:space="preserve"> </w:t>
      </w:r>
      <w:r w:rsidR="00F22F94">
        <w:t>Suburbs</w:t>
      </w:r>
      <w:r w:rsidR="00F22F94">
        <w:rPr>
          <w:spacing w:val="-14"/>
        </w:rPr>
        <w:t xml:space="preserve"> </w:t>
      </w:r>
      <w:r w:rsidR="00F22F94">
        <w:t>railway</w:t>
      </w:r>
      <w:r w:rsidR="00F22F94">
        <w:rPr>
          <w:spacing w:val="-14"/>
        </w:rPr>
        <w:t xml:space="preserve"> </w:t>
      </w:r>
      <w:r w:rsidR="00F22F94">
        <w:t>is</w:t>
      </w:r>
      <w:r w:rsidR="00F22F94">
        <w:rPr>
          <w:spacing w:val="-14"/>
        </w:rPr>
        <w:t xml:space="preserve"> </w:t>
      </w:r>
      <w:r w:rsidR="00F22F94">
        <w:t>the</w:t>
      </w:r>
      <w:r w:rsidR="00F22F94">
        <w:rPr>
          <w:spacing w:val="-14"/>
        </w:rPr>
        <w:t xml:space="preserve"> </w:t>
      </w:r>
      <w:r w:rsidR="00F22F94">
        <w:t xml:space="preserve">most </w:t>
      </w:r>
      <w:r w:rsidR="00F22F94">
        <w:rPr>
          <w:w w:val="95"/>
        </w:rPr>
        <w:t>underutilised</w:t>
      </w:r>
      <w:r w:rsidR="00F22F94">
        <w:rPr>
          <w:spacing w:val="-8"/>
          <w:w w:val="95"/>
        </w:rPr>
        <w:t xml:space="preserve"> </w:t>
      </w:r>
      <w:r w:rsidR="00F22F94">
        <w:rPr>
          <w:w w:val="95"/>
        </w:rPr>
        <w:t>line,</w:t>
      </w:r>
      <w:r w:rsidR="00F22F94">
        <w:rPr>
          <w:spacing w:val="-8"/>
          <w:w w:val="95"/>
        </w:rPr>
        <w:t xml:space="preserve"> </w:t>
      </w:r>
      <w:r w:rsidR="00F22F94">
        <w:rPr>
          <w:w w:val="95"/>
        </w:rPr>
        <w:t>reflecting</w:t>
      </w:r>
      <w:r w:rsidR="00F22F94">
        <w:rPr>
          <w:spacing w:val="-8"/>
          <w:w w:val="95"/>
        </w:rPr>
        <w:t xml:space="preserve"> </w:t>
      </w:r>
      <w:r w:rsidR="00F22F94">
        <w:rPr>
          <w:w w:val="95"/>
        </w:rPr>
        <w:t>its</w:t>
      </w:r>
      <w:r w:rsidR="00F22F94">
        <w:rPr>
          <w:spacing w:val="-8"/>
          <w:w w:val="95"/>
        </w:rPr>
        <w:t xml:space="preserve"> </w:t>
      </w:r>
      <w:r w:rsidR="00F22F94">
        <w:rPr>
          <w:w w:val="95"/>
        </w:rPr>
        <w:t>limited</w:t>
      </w:r>
      <w:r w:rsidR="00F22F94">
        <w:rPr>
          <w:spacing w:val="-8"/>
          <w:w w:val="95"/>
        </w:rPr>
        <w:t xml:space="preserve"> </w:t>
      </w:r>
      <w:r w:rsidR="00F22F94">
        <w:rPr>
          <w:w w:val="95"/>
        </w:rPr>
        <w:t>catchment</w:t>
      </w:r>
      <w:r w:rsidR="00F22F94">
        <w:rPr>
          <w:spacing w:val="-8"/>
          <w:w w:val="95"/>
        </w:rPr>
        <w:t xml:space="preserve"> </w:t>
      </w:r>
      <w:r w:rsidR="00F22F94">
        <w:rPr>
          <w:w w:val="95"/>
        </w:rPr>
        <w:t>area</w:t>
      </w:r>
      <w:r w:rsidR="00F22F94">
        <w:rPr>
          <w:spacing w:val="-8"/>
          <w:w w:val="95"/>
        </w:rPr>
        <w:t xml:space="preserve"> </w:t>
      </w:r>
      <w:r w:rsidR="00F22F94">
        <w:rPr>
          <w:w w:val="95"/>
        </w:rPr>
        <w:t xml:space="preserve">of </w:t>
      </w:r>
      <w:r w:rsidR="00F22F94">
        <w:t>three</w:t>
      </w:r>
      <w:r w:rsidR="00F22F94">
        <w:rPr>
          <w:spacing w:val="-14"/>
        </w:rPr>
        <w:t xml:space="preserve"> </w:t>
      </w:r>
      <w:r w:rsidR="00F22F94">
        <w:t>stations.</w:t>
      </w:r>
      <w:r w:rsidR="00F22F94">
        <w:rPr>
          <w:spacing w:val="-14"/>
        </w:rPr>
        <w:t xml:space="preserve"> </w:t>
      </w:r>
      <w:r w:rsidR="00F22F94">
        <w:t>An</w:t>
      </w:r>
      <w:r w:rsidR="00F22F94">
        <w:rPr>
          <w:spacing w:val="-14"/>
        </w:rPr>
        <w:t xml:space="preserve"> </w:t>
      </w:r>
      <w:r w:rsidR="00F22F94">
        <w:t>opportunity</w:t>
      </w:r>
      <w:r w:rsidR="00F22F94">
        <w:rPr>
          <w:spacing w:val="-14"/>
        </w:rPr>
        <w:t xml:space="preserve"> </w:t>
      </w:r>
      <w:r w:rsidR="00F22F94">
        <w:t>to</w:t>
      </w:r>
      <w:r w:rsidR="00F22F94">
        <w:rPr>
          <w:spacing w:val="-14"/>
        </w:rPr>
        <w:t xml:space="preserve"> </w:t>
      </w:r>
      <w:r w:rsidR="00F22F94">
        <w:t>use</w:t>
      </w:r>
      <w:r w:rsidR="00F22F94">
        <w:rPr>
          <w:spacing w:val="-14"/>
        </w:rPr>
        <w:t xml:space="preserve"> </w:t>
      </w:r>
      <w:r w:rsidR="00F22F94">
        <w:t>this</w:t>
      </w:r>
      <w:r w:rsidR="00F22F94">
        <w:rPr>
          <w:spacing w:val="-14"/>
        </w:rPr>
        <w:t xml:space="preserve"> </w:t>
      </w:r>
      <w:r w:rsidR="00F22F94">
        <w:t>infrastructure more</w:t>
      </w:r>
      <w:r w:rsidR="00F22F94">
        <w:rPr>
          <w:spacing w:val="-13"/>
        </w:rPr>
        <w:t xml:space="preserve"> </w:t>
      </w:r>
      <w:r w:rsidR="00F22F94">
        <w:t>intensively</w:t>
      </w:r>
      <w:r w:rsidR="00F22F94">
        <w:rPr>
          <w:spacing w:val="-13"/>
        </w:rPr>
        <w:t xml:space="preserve"> </w:t>
      </w:r>
      <w:r w:rsidR="00F22F94">
        <w:t>is</w:t>
      </w:r>
      <w:r w:rsidR="00F22F94">
        <w:rPr>
          <w:spacing w:val="-13"/>
        </w:rPr>
        <w:t xml:space="preserve"> </w:t>
      </w:r>
      <w:r w:rsidR="00F22F94">
        <w:t>considered</w:t>
      </w:r>
      <w:r w:rsidR="00F22F94">
        <w:rPr>
          <w:spacing w:val="-13"/>
        </w:rPr>
        <w:t xml:space="preserve"> </w:t>
      </w:r>
      <w:r w:rsidR="00F22F94">
        <w:t>in</w:t>
      </w:r>
      <w:r w:rsidR="00F22F94">
        <w:rPr>
          <w:spacing w:val="-13"/>
        </w:rPr>
        <w:t xml:space="preserve"> </w:t>
      </w:r>
      <w:r w:rsidR="00F22F94">
        <w:t>Section</w:t>
      </w:r>
      <w:r w:rsidR="00F22F94">
        <w:rPr>
          <w:spacing w:val="-13"/>
        </w:rPr>
        <w:t xml:space="preserve"> </w:t>
      </w:r>
      <w:r w:rsidR="00F22F94">
        <w:t>8.6.</w:t>
      </w:r>
    </w:p>
    <w:p w:rsidR="002C1123" w:rsidRDefault="00F22F94">
      <w:pPr>
        <w:pStyle w:val="BodyText"/>
        <w:spacing w:before="147" w:line="249" w:lineRule="auto"/>
        <w:ind w:left="320"/>
        <w:jc w:val="both"/>
      </w:pPr>
      <w:r>
        <w:rPr>
          <w:w w:val="95"/>
        </w:rPr>
        <w:t>International</w:t>
      </w:r>
      <w:r>
        <w:rPr>
          <w:spacing w:val="-3"/>
          <w:w w:val="95"/>
        </w:rPr>
        <w:t xml:space="preserve"> </w:t>
      </w:r>
      <w:r>
        <w:rPr>
          <w:w w:val="95"/>
        </w:rPr>
        <w:t>benchmarking</w:t>
      </w:r>
      <w:r>
        <w:rPr>
          <w:spacing w:val="-3"/>
          <w:w w:val="95"/>
        </w:rPr>
        <w:t xml:space="preserve"> </w:t>
      </w:r>
      <w:r>
        <w:rPr>
          <w:w w:val="95"/>
        </w:rPr>
        <w:t>also</w:t>
      </w:r>
      <w:r>
        <w:rPr>
          <w:spacing w:val="-3"/>
          <w:w w:val="95"/>
        </w:rPr>
        <w:t xml:space="preserve"> </w:t>
      </w:r>
      <w:r>
        <w:rPr>
          <w:w w:val="95"/>
        </w:rPr>
        <w:t>indicates</w:t>
      </w:r>
      <w:r>
        <w:rPr>
          <w:spacing w:val="-3"/>
          <w:w w:val="95"/>
        </w:rPr>
        <w:t xml:space="preserve"> </w:t>
      </w:r>
      <w:r>
        <w:rPr>
          <w:w w:val="95"/>
        </w:rPr>
        <w:t>that</w:t>
      </w:r>
      <w:r>
        <w:rPr>
          <w:spacing w:val="-3"/>
          <w:w w:val="95"/>
        </w:rPr>
        <w:t xml:space="preserve"> </w:t>
      </w:r>
      <w:r>
        <w:rPr>
          <w:w w:val="95"/>
        </w:rPr>
        <w:t>Sydney’s existing</w:t>
      </w:r>
      <w:r>
        <w:rPr>
          <w:spacing w:val="-7"/>
          <w:w w:val="95"/>
        </w:rPr>
        <w:t xml:space="preserve"> </w:t>
      </w:r>
      <w:r>
        <w:rPr>
          <w:w w:val="95"/>
        </w:rPr>
        <w:t>lines</w:t>
      </w:r>
      <w:r>
        <w:rPr>
          <w:spacing w:val="-7"/>
          <w:w w:val="95"/>
        </w:rPr>
        <w:t xml:space="preserve"> </w:t>
      </w:r>
      <w:r>
        <w:rPr>
          <w:w w:val="95"/>
        </w:rPr>
        <w:t>carry</w:t>
      </w:r>
      <w:r>
        <w:rPr>
          <w:spacing w:val="-7"/>
          <w:w w:val="95"/>
        </w:rPr>
        <w:t xml:space="preserve"> </w:t>
      </w:r>
      <w:r>
        <w:rPr>
          <w:w w:val="95"/>
        </w:rPr>
        <w:t>far</w:t>
      </w:r>
      <w:r>
        <w:rPr>
          <w:spacing w:val="-7"/>
          <w:w w:val="95"/>
        </w:rPr>
        <w:t xml:space="preserve"> </w:t>
      </w:r>
      <w:r>
        <w:rPr>
          <w:w w:val="95"/>
        </w:rPr>
        <w:t>fewer</w:t>
      </w:r>
      <w:r>
        <w:rPr>
          <w:spacing w:val="-7"/>
          <w:w w:val="95"/>
        </w:rPr>
        <w:t xml:space="preserve"> </w:t>
      </w:r>
      <w:r>
        <w:rPr>
          <w:w w:val="95"/>
        </w:rPr>
        <w:t>passengers</w:t>
      </w:r>
      <w:r>
        <w:rPr>
          <w:spacing w:val="-7"/>
          <w:w w:val="95"/>
        </w:rPr>
        <w:t xml:space="preserve"> </w:t>
      </w:r>
      <w:r>
        <w:rPr>
          <w:w w:val="95"/>
        </w:rPr>
        <w:t>in</w:t>
      </w:r>
      <w:r>
        <w:rPr>
          <w:spacing w:val="-7"/>
          <w:w w:val="95"/>
        </w:rPr>
        <w:t xml:space="preserve"> </w:t>
      </w:r>
      <w:r>
        <w:rPr>
          <w:w w:val="95"/>
        </w:rPr>
        <w:t>peak</w:t>
      </w:r>
      <w:r>
        <w:rPr>
          <w:spacing w:val="-7"/>
          <w:w w:val="95"/>
        </w:rPr>
        <w:t xml:space="preserve"> </w:t>
      </w:r>
      <w:r>
        <w:rPr>
          <w:w w:val="95"/>
        </w:rPr>
        <w:t xml:space="preserve">periods </w:t>
      </w:r>
      <w:r>
        <w:rPr>
          <w:spacing w:val="-2"/>
        </w:rPr>
        <w:t>than</w:t>
      </w:r>
      <w:r>
        <w:rPr>
          <w:spacing w:val="-9"/>
        </w:rPr>
        <w:t xml:space="preserve"> </w:t>
      </w:r>
      <w:r>
        <w:rPr>
          <w:spacing w:val="-2"/>
        </w:rPr>
        <w:t>many</w:t>
      </w:r>
      <w:r>
        <w:rPr>
          <w:spacing w:val="-9"/>
        </w:rPr>
        <w:t xml:space="preserve"> </w:t>
      </w:r>
      <w:r>
        <w:rPr>
          <w:spacing w:val="-2"/>
        </w:rPr>
        <w:t>railways</w:t>
      </w:r>
      <w:r>
        <w:rPr>
          <w:spacing w:val="-9"/>
        </w:rPr>
        <w:t xml:space="preserve"> </w:t>
      </w:r>
      <w:r>
        <w:rPr>
          <w:spacing w:val="-2"/>
        </w:rPr>
        <w:t>overseas,</w:t>
      </w:r>
      <w:r>
        <w:rPr>
          <w:spacing w:val="-9"/>
        </w:rPr>
        <w:t xml:space="preserve"> </w:t>
      </w:r>
      <w:r>
        <w:rPr>
          <w:spacing w:val="-2"/>
        </w:rPr>
        <w:t>as</w:t>
      </w:r>
      <w:r>
        <w:rPr>
          <w:spacing w:val="-9"/>
        </w:rPr>
        <w:t xml:space="preserve"> </w:t>
      </w:r>
      <w:r>
        <w:rPr>
          <w:spacing w:val="-2"/>
        </w:rPr>
        <w:t>shown</w:t>
      </w:r>
      <w:r>
        <w:rPr>
          <w:spacing w:val="-9"/>
        </w:rPr>
        <w:t xml:space="preserve"> </w:t>
      </w:r>
      <w:r>
        <w:rPr>
          <w:spacing w:val="-2"/>
        </w:rPr>
        <w:t>in</w:t>
      </w:r>
      <w:r>
        <w:rPr>
          <w:spacing w:val="-9"/>
        </w:rPr>
        <w:t xml:space="preserve"> </w:t>
      </w:r>
      <w:r>
        <w:rPr>
          <w:spacing w:val="-2"/>
        </w:rPr>
        <w:t>Table</w:t>
      </w:r>
      <w:r>
        <w:rPr>
          <w:spacing w:val="-9"/>
        </w:rPr>
        <w:t xml:space="preserve"> </w:t>
      </w:r>
      <w:r>
        <w:rPr>
          <w:spacing w:val="-2"/>
        </w:rPr>
        <w:t>8.3.</w:t>
      </w:r>
    </w:p>
    <w:p w:rsidR="002C1123" w:rsidRDefault="002C1123">
      <w:pPr>
        <w:pStyle w:val="BodyText"/>
        <w:rPr>
          <w:sz w:val="22"/>
        </w:rPr>
      </w:pPr>
    </w:p>
    <w:p w:rsidR="002C1123" w:rsidRDefault="00F22F94">
      <w:pPr>
        <w:spacing w:line="88" w:lineRule="exact"/>
        <w:ind w:left="340"/>
        <w:jc w:val="both"/>
        <w:rPr>
          <w:b/>
          <w:sz w:val="18"/>
        </w:rPr>
      </w:pPr>
      <w:r>
        <w:rPr>
          <w:b/>
          <w:sz w:val="18"/>
        </w:rPr>
        <w:t>Table</w:t>
      </w:r>
      <w:r>
        <w:rPr>
          <w:b/>
          <w:spacing w:val="-16"/>
          <w:sz w:val="18"/>
        </w:rPr>
        <w:t xml:space="preserve"> </w:t>
      </w:r>
      <w:r>
        <w:rPr>
          <w:b/>
          <w:sz w:val="18"/>
        </w:rPr>
        <w:t>8.3</w:t>
      </w:r>
      <w:r>
        <w:rPr>
          <w:b/>
          <w:spacing w:val="21"/>
          <w:sz w:val="18"/>
        </w:rPr>
        <w:t xml:space="preserve"> </w:t>
      </w:r>
      <w:r>
        <w:rPr>
          <w:b/>
          <w:sz w:val="18"/>
        </w:rPr>
        <w:t>International</w:t>
      </w:r>
      <w:r>
        <w:rPr>
          <w:b/>
          <w:spacing w:val="-15"/>
          <w:sz w:val="18"/>
        </w:rPr>
        <w:t xml:space="preserve"> </w:t>
      </w:r>
      <w:r>
        <w:rPr>
          <w:b/>
          <w:sz w:val="18"/>
        </w:rPr>
        <w:t>Capacity</w:t>
      </w:r>
      <w:r>
        <w:rPr>
          <w:b/>
          <w:spacing w:val="-16"/>
          <w:sz w:val="18"/>
        </w:rPr>
        <w:t xml:space="preserve"> </w:t>
      </w:r>
      <w:r>
        <w:rPr>
          <w:b/>
          <w:spacing w:val="-2"/>
          <w:sz w:val="18"/>
        </w:rPr>
        <w:t>Comparators</w:t>
      </w:r>
    </w:p>
    <w:p w:rsidR="002C1123" w:rsidRDefault="00F22F94">
      <w:pPr>
        <w:pStyle w:val="BodyText"/>
        <w:spacing w:before="146" w:line="249" w:lineRule="auto"/>
        <w:ind w:left="271" w:right="1071"/>
      </w:pPr>
      <w:r>
        <w:br w:type="column"/>
      </w:r>
      <w:r>
        <w:t>Accordingly</w:t>
      </w:r>
      <w:r>
        <w:rPr>
          <w:spacing w:val="-7"/>
        </w:rPr>
        <w:t xml:space="preserve"> </w:t>
      </w:r>
      <w:r>
        <w:t>the</w:t>
      </w:r>
      <w:r>
        <w:rPr>
          <w:spacing w:val="-7"/>
        </w:rPr>
        <w:t xml:space="preserve"> </w:t>
      </w:r>
      <w:r>
        <w:t>problem</w:t>
      </w:r>
      <w:r>
        <w:rPr>
          <w:spacing w:val="-7"/>
        </w:rPr>
        <w:t xml:space="preserve"> </w:t>
      </w:r>
      <w:r>
        <w:t>of</w:t>
      </w:r>
      <w:r>
        <w:rPr>
          <w:spacing w:val="-7"/>
        </w:rPr>
        <w:t xml:space="preserve"> </w:t>
      </w:r>
      <w:r>
        <w:t>rail</w:t>
      </w:r>
      <w:r>
        <w:rPr>
          <w:spacing w:val="-7"/>
        </w:rPr>
        <w:t xml:space="preserve"> </w:t>
      </w:r>
      <w:r>
        <w:t>capacity</w:t>
      </w:r>
      <w:r>
        <w:rPr>
          <w:spacing w:val="-7"/>
        </w:rPr>
        <w:t xml:space="preserve"> </w:t>
      </w:r>
      <w:r>
        <w:t>needs</w:t>
      </w:r>
      <w:r>
        <w:rPr>
          <w:spacing w:val="-7"/>
        </w:rPr>
        <w:t xml:space="preserve"> </w:t>
      </w:r>
      <w:r>
        <w:t xml:space="preserve">to </w:t>
      </w:r>
      <w:r>
        <w:rPr>
          <w:w w:val="95"/>
        </w:rPr>
        <w:t>be</w:t>
      </w:r>
      <w:r>
        <w:rPr>
          <w:spacing w:val="-3"/>
          <w:w w:val="95"/>
        </w:rPr>
        <w:t xml:space="preserve"> </w:t>
      </w:r>
      <w:r>
        <w:rPr>
          <w:w w:val="95"/>
        </w:rPr>
        <w:t>primarily</w:t>
      </w:r>
      <w:r>
        <w:rPr>
          <w:spacing w:val="-3"/>
          <w:w w:val="95"/>
        </w:rPr>
        <w:t xml:space="preserve"> </w:t>
      </w:r>
      <w:r>
        <w:rPr>
          <w:w w:val="95"/>
        </w:rPr>
        <w:t>understood</w:t>
      </w:r>
      <w:r>
        <w:rPr>
          <w:spacing w:val="-3"/>
          <w:w w:val="95"/>
        </w:rPr>
        <w:t xml:space="preserve"> </w:t>
      </w:r>
      <w:r>
        <w:rPr>
          <w:w w:val="95"/>
        </w:rPr>
        <w:t>in</w:t>
      </w:r>
      <w:r>
        <w:rPr>
          <w:spacing w:val="-3"/>
          <w:w w:val="95"/>
        </w:rPr>
        <w:t xml:space="preserve"> </w:t>
      </w:r>
      <w:r>
        <w:rPr>
          <w:w w:val="95"/>
        </w:rPr>
        <w:t>terms</w:t>
      </w:r>
      <w:r>
        <w:rPr>
          <w:spacing w:val="-3"/>
          <w:w w:val="95"/>
        </w:rPr>
        <w:t xml:space="preserve"> </w:t>
      </w:r>
      <w:r>
        <w:rPr>
          <w:w w:val="95"/>
        </w:rPr>
        <w:t>of</w:t>
      </w:r>
      <w:r>
        <w:rPr>
          <w:spacing w:val="-3"/>
          <w:w w:val="95"/>
        </w:rPr>
        <w:t xml:space="preserve"> </w:t>
      </w:r>
      <w:r>
        <w:rPr>
          <w:w w:val="95"/>
        </w:rPr>
        <w:t>unlocking</w:t>
      </w:r>
      <w:r>
        <w:rPr>
          <w:spacing w:val="-3"/>
          <w:w w:val="95"/>
        </w:rPr>
        <w:t xml:space="preserve"> </w:t>
      </w:r>
      <w:r>
        <w:rPr>
          <w:w w:val="95"/>
        </w:rPr>
        <w:t xml:space="preserve">latent </w:t>
      </w:r>
      <w:r>
        <w:t>capacity.</w:t>
      </w:r>
      <w:r>
        <w:rPr>
          <w:spacing w:val="-7"/>
        </w:rPr>
        <w:t xml:space="preserve"> </w:t>
      </w:r>
      <w:r>
        <w:t>The</w:t>
      </w:r>
      <w:r>
        <w:rPr>
          <w:spacing w:val="-7"/>
        </w:rPr>
        <w:t xml:space="preserve"> </w:t>
      </w:r>
      <w:r>
        <w:t>existing</w:t>
      </w:r>
      <w:r>
        <w:rPr>
          <w:spacing w:val="-7"/>
        </w:rPr>
        <w:t xml:space="preserve"> </w:t>
      </w:r>
      <w:r>
        <w:t>network</w:t>
      </w:r>
      <w:r>
        <w:rPr>
          <w:spacing w:val="-7"/>
        </w:rPr>
        <w:t xml:space="preserve"> </w:t>
      </w:r>
      <w:r>
        <w:t>ought</w:t>
      </w:r>
      <w:r>
        <w:rPr>
          <w:spacing w:val="-7"/>
        </w:rPr>
        <w:t xml:space="preserve"> </w:t>
      </w:r>
      <w:r>
        <w:t>to</w:t>
      </w:r>
      <w:r>
        <w:rPr>
          <w:spacing w:val="-7"/>
        </w:rPr>
        <w:t xml:space="preserve"> </w:t>
      </w:r>
      <w:r>
        <w:t>be</w:t>
      </w:r>
      <w:r>
        <w:rPr>
          <w:spacing w:val="-7"/>
        </w:rPr>
        <w:t xml:space="preserve"> </w:t>
      </w:r>
      <w:r>
        <w:t>able</w:t>
      </w:r>
    </w:p>
    <w:p w:rsidR="002C1123" w:rsidRDefault="00F22F94">
      <w:pPr>
        <w:pStyle w:val="BodyText"/>
        <w:spacing w:before="3" w:line="249" w:lineRule="auto"/>
        <w:ind w:left="271" w:right="1219"/>
      </w:pPr>
      <w:r>
        <w:rPr>
          <w:w w:val="95"/>
        </w:rPr>
        <w:t>to</w:t>
      </w:r>
      <w:r>
        <w:rPr>
          <w:spacing w:val="-2"/>
          <w:w w:val="95"/>
        </w:rPr>
        <w:t xml:space="preserve"> </w:t>
      </w:r>
      <w:r>
        <w:rPr>
          <w:w w:val="95"/>
        </w:rPr>
        <w:t>provide</w:t>
      </w:r>
      <w:r>
        <w:rPr>
          <w:spacing w:val="-2"/>
          <w:w w:val="95"/>
        </w:rPr>
        <w:t xml:space="preserve"> </w:t>
      </w:r>
      <w:r>
        <w:rPr>
          <w:w w:val="95"/>
        </w:rPr>
        <w:t>peak</w:t>
      </w:r>
      <w:r>
        <w:rPr>
          <w:spacing w:val="-2"/>
          <w:w w:val="95"/>
        </w:rPr>
        <w:t xml:space="preserve"> </w:t>
      </w:r>
      <w:r>
        <w:rPr>
          <w:w w:val="95"/>
        </w:rPr>
        <w:t>capacity</w:t>
      </w:r>
      <w:r>
        <w:rPr>
          <w:spacing w:val="-2"/>
          <w:w w:val="95"/>
        </w:rPr>
        <w:t xml:space="preserve"> </w:t>
      </w:r>
      <w:r>
        <w:rPr>
          <w:w w:val="95"/>
        </w:rPr>
        <w:t>of</w:t>
      </w:r>
      <w:r>
        <w:rPr>
          <w:spacing w:val="-2"/>
          <w:w w:val="95"/>
        </w:rPr>
        <w:t xml:space="preserve"> </w:t>
      </w:r>
      <w:r>
        <w:rPr>
          <w:w w:val="95"/>
        </w:rPr>
        <w:t>up</w:t>
      </w:r>
      <w:r>
        <w:rPr>
          <w:spacing w:val="-2"/>
          <w:w w:val="95"/>
        </w:rPr>
        <w:t xml:space="preserve"> </w:t>
      </w:r>
      <w:r>
        <w:rPr>
          <w:w w:val="95"/>
        </w:rPr>
        <w:t>to</w:t>
      </w:r>
      <w:r>
        <w:rPr>
          <w:spacing w:val="-2"/>
          <w:w w:val="95"/>
        </w:rPr>
        <w:t xml:space="preserve"> </w:t>
      </w:r>
      <w:r>
        <w:rPr>
          <w:w w:val="95"/>
        </w:rPr>
        <w:t>40,000</w:t>
      </w:r>
      <w:r>
        <w:rPr>
          <w:spacing w:val="-2"/>
          <w:w w:val="95"/>
        </w:rPr>
        <w:t xml:space="preserve"> </w:t>
      </w:r>
      <w:r>
        <w:rPr>
          <w:w w:val="95"/>
        </w:rPr>
        <w:t>per</w:t>
      </w:r>
      <w:r>
        <w:rPr>
          <w:spacing w:val="-2"/>
          <w:w w:val="95"/>
        </w:rPr>
        <w:t xml:space="preserve"> </w:t>
      </w:r>
      <w:r>
        <w:rPr>
          <w:w w:val="95"/>
        </w:rPr>
        <w:t xml:space="preserve">line </w:t>
      </w:r>
      <w:r>
        <w:t>per</w:t>
      </w:r>
      <w:r>
        <w:rPr>
          <w:spacing w:val="-11"/>
        </w:rPr>
        <w:t xml:space="preserve"> </w:t>
      </w:r>
      <w:r>
        <w:t>direction.</w:t>
      </w:r>
    </w:p>
    <w:p w:rsidR="002C1123" w:rsidRDefault="00F22F94">
      <w:pPr>
        <w:pStyle w:val="Heading6"/>
        <w:numPr>
          <w:ilvl w:val="2"/>
          <w:numId w:val="86"/>
        </w:numPr>
        <w:tabs>
          <w:tab w:val="left" w:pos="758"/>
        </w:tabs>
        <w:spacing w:before="143"/>
        <w:ind w:left="757" w:hanging="487"/>
        <w:jc w:val="left"/>
      </w:pPr>
      <w:r>
        <w:rPr>
          <w:color w:val="00AEEF"/>
          <w:spacing w:val="-2"/>
        </w:rPr>
        <w:t>Capacity</w:t>
      </w:r>
      <w:r>
        <w:rPr>
          <w:color w:val="00AEEF"/>
          <w:spacing w:val="-9"/>
        </w:rPr>
        <w:t xml:space="preserve"> </w:t>
      </w:r>
      <w:r>
        <w:rPr>
          <w:color w:val="00AEEF"/>
          <w:spacing w:val="-2"/>
        </w:rPr>
        <w:t>within</w:t>
      </w:r>
      <w:r>
        <w:rPr>
          <w:color w:val="00AEEF"/>
          <w:spacing w:val="-9"/>
        </w:rPr>
        <w:t xml:space="preserve"> </w:t>
      </w:r>
      <w:r>
        <w:rPr>
          <w:color w:val="00AEEF"/>
          <w:spacing w:val="-2"/>
        </w:rPr>
        <w:t>the</w:t>
      </w:r>
      <w:r>
        <w:rPr>
          <w:color w:val="00AEEF"/>
          <w:spacing w:val="-8"/>
        </w:rPr>
        <w:t xml:space="preserve"> </w:t>
      </w:r>
      <w:r>
        <w:rPr>
          <w:color w:val="00AEEF"/>
          <w:spacing w:val="-5"/>
        </w:rPr>
        <w:t>CBD</w:t>
      </w:r>
    </w:p>
    <w:p w:rsidR="002C1123" w:rsidRDefault="00F22F94">
      <w:pPr>
        <w:pStyle w:val="BodyText"/>
        <w:spacing w:before="95" w:line="249" w:lineRule="auto"/>
        <w:ind w:left="271" w:right="709"/>
      </w:pPr>
      <w:r>
        <w:rPr>
          <w:w w:val="95"/>
        </w:rPr>
        <w:t>Rail services in the CBD use the Harbour Bridge Line (linking</w:t>
      </w:r>
      <w:r>
        <w:rPr>
          <w:spacing w:val="-10"/>
          <w:w w:val="95"/>
        </w:rPr>
        <w:t xml:space="preserve"> </w:t>
      </w:r>
      <w:r>
        <w:rPr>
          <w:w w:val="95"/>
        </w:rPr>
        <w:t>Main</w:t>
      </w:r>
      <w:r>
        <w:rPr>
          <w:spacing w:val="-10"/>
          <w:w w:val="95"/>
        </w:rPr>
        <w:t xml:space="preserve"> </w:t>
      </w:r>
      <w:r>
        <w:rPr>
          <w:w w:val="95"/>
        </w:rPr>
        <w:t>West</w:t>
      </w:r>
      <w:r>
        <w:rPr>
          <w:spacing w:val="-10"/>
          <w:w w:val="95"/>
        </w:rPr>
        <w:t xml:space="preserve"> </w:t>
      </w:r>
      <w:r>
        <w:rPr>
          <w:w w:val="95"/>
        </w:rPr>
        <w:t>and</w:t>
      </w:r>
      <w:r>
        <w:rPr>
          <w:spacing w:val="-10"/>
          <w:w w:val="95"/>
        </w:rPr>
        <w:t xml:space="preserve"> </w:t>
      </w:r>
      <w:r>
        <w:rPr>
          <w:w w:val="95"/>
        </w:rPr>
        <w:t>North</w:t>
      </w:r>
      <w:r>
        <w:rPr>
          <w:spacing w:val="-10"/>
          <w:w w:val="95"/>
        </w:rPr>
        <w:t xml:space="preserve"> </w:t>
      </w:r>
      <w:r>
        <w:rPr>
          <w:w w:val="95"/>
        </w:rPr>
        <w:t>Shore</w:t>
      </w:r>
      <w:r>
        <w:rPr>
          <w:spacing w:val="-10"/>
          <w:w w:val="95"/>
        </w:rPr>
        <w:t xml:space="preserve"> </w:t>
      </w:r>
      <w:r>
        <w:rPr>
          <w:w w:val="95"/>
        </w:rPr>
        <w:t>services</w:t>
      </w:r>
      <w:r>
        <w:rPr>
          <w:spacing w:val="-10"/>
          <w:w w:val="95"/>
        </w:rPr>
        <w:t xml:space="preserve"> </w:t>
      </w:r>
      <w:r>
        <w:rPr>
          <w:w w:val="95"/>
        </w:rPr>
        <w:t>via</w:t>
      </w:r>
      <w:r>
        <w:rPr>
          <w:spacing w:val="-10"/>
          <w:w w:val="95"/>
        </w:rPr>
        <w:t xml:space="preserve"> </w:t>
      </w:r>
      <w:r>
        <w:rPr>
          <w:w w:val="95"/>
        </w:rPr>
        <w:t xml:space="preserve">Town </w:t>
      </w:r>
      <w:r>
        <w:t>Hall</w:t>
      </w:r>
      <w:r>
        <w:rPr>
          <w:spacing w:val="-11"/>
        </w:rPr>
        <w:t xml:space="preserve"> </w:t>
      </w:r>
      <w:r>
        <w:t>and</w:t>
      </w:r>
      <w:r>
        <w:rPr>
          <w:spacing w:val="-11"/>
        </w:rPr>
        <w:t xml:space="preserve"> </w:t>
      </w:r>
      <w:r>
        <w:t>Wynyard)</w:t>
      </w:r>
      <w:r>
        <w:rPr>
          <w:spacing w:val="-11"/>
        </w:rPr>
        <w:t xml:space="preserve"> </w:t>
      </w:r>
      <w:r>
        <w:t>and</w:t>
      </w:r>
      <w:r>
        <w:rPr>
          <w:spacing w:val="-11"/>
        </w:rPr>
        <w:t xml:space="preserve"> </w:t>
      </w:r>
      <w:r>
        <w:t>the</w:t>
      </w:r>
      <w:r>
        <w:rPr>
          <w:spacing w:val="-11"/>
        </w:rPr>
        <w:t xml:space="preserve"> </w:t>
      </w:r>
      <w:r>
        <w:t>City</w:t>
      </w:r>
      <w:r>
        <w:rPr>
          <w:spacing w:val="-11"/>
        </w:rPr>
        <w:t xml:space="preserve"> </w:t>
      </w:r>
      <w:r>
        <w:t>Circle.</w:t>
      </w:r>
    </w:p>
    <w:p w:rsidR="002C1123" w:rsidRDefault="00F22F94">
      <w:pPr>
        <w:pStyle w:val="BodyText"/>
        <w:spacing w:before="115" w:line="240" w:lineRule="atLeast"/>
        <w:ind w:left="271" w:right="709"/>
      </w:pPr>
      <w:r>
        <w:t>The</w:t>
      </w:r>
      <w:r>
        <w:rPr>
          <w:spacing w:val="-11"/>
        </w:rPr>
        <w:t xml:space="preserve"> </w:t>
      </w:r>
      <w:r>
        <w:t>Harbour</w:t>
      </w:r>
      <w:r>
        <w:rPr>
          <w:spacing w:val="-11"/>
        </w:rPr>
        <w:t xml:space="preserve"> </w:t>
      </w:r>
      <w:r>
        <w:t>Bridge</w:t>
      </w:r>
      <w:r>
        <w:rPr>
          <w:spacing w:val="-11"/>
        </w:rPr>
        <w:t xml:space="preserve"> </w:t>
      </w:r>
      <w:r>
        <w:t>Line</w:t>
      </w:r>
      <w:r>
        <w:rPr>
          <w:spacing w:val="-11"/>
        </w:rPr>
        <w:t xml:space="preserve"> </w:t>
      </w:r>
      <w:r>
        <w:t>experiences</w:t>
      </w:r>
      <w:r>
        <w:rPr>
          <w:spacing w:val="-11"/>
        </w:rPr>
        <w:t xml:space="preserve"> </w:t>
      </w:r>
      <w:r>
        <w:t xml:space="preserve">significant </w:t>
      </w:r>
      <w:r>
        <w:rPr>
          <w:w w:val="95"/>
        </w:rPr>
        <w:t>congestion</w:t>
      </w:r>
      <w:r>
        <w:rPr>
          <w:spacing w:val="-2"/>
          <w:w w:val="95"/>
        </w:rPr>
        <w:t xml:space="preserve"> </w:t>
      </w:r>
      <w:r>
        <w:rPr>
          <w:w w:val="95"/>
        </w:rPr>
        <w:t>under</w:t>
      </w:r>
      <w:r>
        <w:rPr>
          <w:spacing w:val="-2"/>
          <w:w w:val="95"/>
        </w:rPr>
        <w:t xml:space="preserve"> </w:t>
      </w:r>
      <w:r>
        <w:rPr>
          <w:w w:val="95"/>
        </w:rPr>
        <w:t>the</w:t>
      </w:r>
      <w:r>
        <w:rPr>
          <w:spacing w:val="-2"/>
          <w:w w:val="95"/>
        </w:rPr>
        <w:t xml:space="preserve"> </w:t>
      </w:r>
      <w:r>
        <w:rPr>
          <w:w w:val="95"/>
        </w:rPr>
        <w:t>current</w:t>
      </w:r>
      <w:r>
        <w:rPr>
          <w:spacing w:val="-2"/>
          <w:w w:val="95"/>
        </w:rPr>
        <w:t xml:space="preserve"> </w:t>
      </w:r>
      <w:r>
        <w:rPr>
          <w:w w:val="95"/>
        </w:rPr>
        <w:t>service</w:t>
      </w:r>
      <w:r>
        <w:rPr>
          <w:spacing w:val="-2"/>
          <w:w w:val="95"/>
        </w:rPr>
        <w:t xml:space="preserve"> </w:t>
      </w:r>
      <w:r>
        <w:rPr>
          <w:w w:val="95"/>
        </w:rPr>
        <w:t>pattern.</w:t>
      </w:r>
      <w:r>
        <w:rPr>
          <w:spacing w:val="-2"/>
          <w:w w:val="95"/>
        </w:rPr>
        <w:t xml:space="preserve"> </w:t>
      </w:r>
      <w:r>
        <w:rPr>
          <w:w w:val="95"/>
        </w:rPr>
        <w:t>This</w:t>
      </w:r>
      <w:r>
        <w:rPr>
          <w:spacing w:val="-2"/>
          <w:w w:val="95"/>
        </w:rPr>
        <w:t xml:space="preserve"> </w:t>
      </w:r>
      <w:r>
        <w:rPr>
          <w:w w:val="95"/>
        </w:rPr>
        <w:t>arises because</w:t>
      </w:r>
      <w:r>
        <w:rPr>
          <w:spacing w:val="-3"/>
          <w:w w:val="95"/>
        </w:rPr>
        <w:t xml:space="preserve"> </w:t>
      </w:r>
      <w:r>
        <w:rPr>
          <w:w w:val="95"/>
        </w:rPr>
        <w:t>it</w:t>
      </w:r>
      <w:r>
        <w:rPr>
          <w:spacing w:val="-3"/>
          <w:w w:val="95"/>
        </w:rPr>
        <w:t xml:space="preserve"> </w:t>
      </w:r>
      <w:r>
        <w:rPr>
          <w:w w:val="95"/>
        </w:rPr>
        <w:t>has</w:t>
      </w:r>
      <w:r>
        <w:rPr>
          <w:spacing w:val="-3"/>
          <w:w w:val="95"/>
        </w:rPr>
        <w:t xml:space="preserve"> </w:t>
      </w:r>
      <w:r>
        <w:rPr>
          <w:w w:val="95"/>
        </w:rPr>
        <w:t>heavy</w:t>
      </w:r>
      <w:r>
        <w:rPr>
          <w:spacing w:val="-3"/>
          <w:w w:val="95"/>
        </w:rPr>
        <w:t xml:space="preserve"> </w:t>
      </w:r>
      <w:r>
        <w:rPr>
          <w:w w:val="95"/>
        </w:rPr>
        <w:t>passenger</w:t>
      </w:r>
      <w:r>
        <w:rPr>
          <w:spacing w:val="-3"/>
          <w:w w:val="95"/>
        </w:rPr>
        <w:t xml:space="preserve"> </w:t>
      </w:r>
      <w:r>
        <w:rPr>
          <w:w w:val="95"/>
        </w:rPr>
        <w:t>flows</w:t>
      </w:r>
      <w:r>
        <w:rPr>
          <w:spacing w:val="-3"/>
          <w:w w:val="95"/>
        </w:rPr>
        <w:t xml:space="preserve"> </w:t>
      </w:r>
      <w:r>
        <w:rPr>
          <w:w w:val="95"/>
        </w:rPr>
        <w:t>in</w:t>
      </w:r>
      <w:r>
        <w:rPr>
          <w:spacing w:val="-3"/>
          <w:w w:val="95"/>
        </w:rPr>
        <w:t xml:space="preserve"> </w:t>
      </w:r>
      <w:r>
        <w:rPr>
          <w:w w:val="95"/>
        </w:rPr>
        <w:t>both</w:t>
      </w:r>
      <w:r>
        <w:rPr>
          <w:spacing w:val="-3"/>
          <w:w w:val="95"/>
        </w:rPr>
        <w:t xml:space="preserve"> </w:t>
      </w:r>
      <w:r>
        <w:rPr>
          <w:w w:val="95"/>
        </w:rPr>
        <w:t xml:space="preserve">directions, </w:t>
      </w:r>
      <w:r>
        <w:t>including</w:t>
      </w:r>
      <w:r>
        <w:rPr>
          <w:spacing w:val="-14"/>
        </w:rPr>
        <w:t xml:space="preserve"> </w:t>
      </w:r>
      <w:r>
        <w:t>a</w:t>
      </w:r>
      <w:r>
        <w:rPr>
          <w:spacing w:val="-14"/>
        </w:rPr>
        <w:t xml:space="preserve"> </w:t>
      </w:r>
      <w:r>
        <w:t>large</w:t>
      </w:r>
      <w:r>
        <w:rPr>
          <w:spacing w:val="-14"/>
        </w:rPr>
        <w:t xml:space="preserve"> </w:t>
      </w:r>
      <w:r>
        <w:t>number</w:t>
      </w:r>
      <w:r>
        <w:rPr>
          <w:spacing w:val="-14"/>
        </w:rPr>
        <w:t xml:space="preserve"> </w:t>
      </w:r>
      <w:r>
        <w:t>of</w:t>
      </w:r>
      <w:r>
        <w:rPr>
          <w:spacing w:val="-14"/>
        </w:rPr>
        <w:t xml:space="preserve"> </w:t>
      </w:r>
      <w:r>
        <w:t>interchanging</w:t>
      </w:r>
      <w:r>
        <w:rPr>
          <w:spacing w:val="-14"/>
        </w:rPr>
        <w:t xml:space="preserve"> </w:t>
      </w:r>
      <w:r>
        <w:t>passengers,</w:t>
      </w:r>
    </w:p>
    <w:p w:rsidR="002C1123" w:rsidRDefault="002C1123">
      <w:pPr>
        <w:spacing w:line="240" w:lineRule="atLeast"/>
        <w:sectPr w:rsidR="002C1123">
          <w:type w:val="continuous"/>
          <w:pgSz w:w="16840" w:h="11910" w:orient="landscape"/>
          <w:pgMar w:top="560" w:right="280" w:bottom="280" w:left="500" w:header="0" w:footer="517" w:gutter="0"/>
          <w:cols w:num="6" w:space="720" w:equalWidth="0">
            <w:col w:w="1614" w:space="40"/>
            <w:col w:w="1497" w:space="39"/>
            <w:col w:w="1268" w:space="40"/>
            <w:col w:w="660" w:space="40"/>
            <w:col w:w="5036" w:space="39"/>
            <w:col w:w="5787"/>
          </w:cols>
        </w:sectPr>
      </w:pPr>
    </w:p>
    <w:p w:rsidR="002C1123" w:rsidRDefault="00F22F94">
      <w:pPr>
        <w:spacing w:line="66" w:lineRule="exact"/>
        <w:ind w:left="587"/>
        <w:rPr>
          <w:sz w:val="14"/>
        </w:rPr>
      </w:pPr>
      <w:r>
        <w:rPr>
          <w:w w:val="95"/>
          <w:position w:val="5"/>
          <w:sz w:val="8"/>
        </w:rPr>
        <w:t>(a)</w:t>
      </w:r>
      <w:r>
        <w:rPr>
          <w:spacing w:val="7"/>
          <w:position w:val="5"/>
          <w:sz w:val="8"/>
        </w:rPr>
        <w:t xml:space="preserve"> </w:t>
      </w:r>
      <w:r>
        <w:rPr>
          <w:w w:val="95"/>
          <w:sz w:val="14"/>
        </w:rPr>
        <w:t>‘Main</w:t>
      </w:r>
      <w:r>
        <w:rPr>
          <w:spacing w:val="12"/>
          <w:sz w:val="14"/>
        </w:rPr>
        <w:t xml:space="preserve"> </w:t>
      </w:r>
      <w:r>
        <w:rPr>
          <w:w w:val="95"/>
          <w:sz w:val="14"/>
        </w:rPr>
        <w:t>West</w:t>
      </w:r>
      <w:r>
        <w:rPr>
          <w:spacing w:val="12"/>
          <w:sz w:val="14"/>
        </w:rPr>
        <w:t xml:space="preserve"> </w:t>
      </w:r>
      <w:r>
        <w:rPr>
          <w:w w:val="95"/>
          <w:sz w:val="14"/>
        </w:rPr>
        <w:t>Lines’</w:t>
      </w:r>
      <w:r>
        <w:rPr>
          <w:spacing w:val="13"/>
          <w:sz w:val="14"/>
        </w:rPr>
        <w:t xml:space="preserve"> </w:t>
      </w:r>
      <w:r>
        <w:rPr>
          <w:w w:val="95"/>
          <w:sz w:val="14"/>
        </w:rPr>
        <w:t>includes</w:t>
      </w:r>
      <w:r>
        <w:rPr>
          <w:spacing w:val="12"/>
          <w:sz w:val="14"/>
        </w:rPr>
        <w:t xml:space="preserve"> </w:t>
      </w:r>
      <w:r>
        <w:rPr>
          <w:w w:val="95"/>
          <w:sz w:val="14"/>
        </w:rPr>
        <w:t>Western,</w:t>
      </w:r>
      <w:r>
        <w:rPr>
          <w:spacing w:val="13"/>
          <w:sz w:val="14"/>
        </w:rPr>
        <w:t xml:space="preserve"> </w:t>
      </w:r>
      <w:r>
        <w:rPr>
          <w:w w:val="95"/>
          <w:sz w:val="14"/>
        </w:rPr>
        <w:t>Northern,</w:t>
      </w:r>
      <w:r>
        <w:rPr>
          <w:spacing w:val="12"/>
          <w:sz w:val="14"/>
        </w:rPr>
        <w:t xml:space="preserve"> </w:t>
      </w:r>
      <w:r>
        <w:rPr>
          <w:w w:val="95"/>
          <w:sz w:val="14"/>
        </w:rPr>
        <w:t>South,</w:t>
      </w:r>
      <w:r>
        <w:rPr>
          <w:spacing w:val="13"/>
          <w:sz w:val="14"/>
        </w:rPr>
        <w:t xml:space="preserve"> </w:t>
      </w:r>
      <w:r>
        <w:rPr>
          <w:w w:val="95"/>
          <w:sz w:val="14"/>
        </w:rPr>
        <w:t>Inner</w:t>
      </w:r>
      <w:r>
        <w:rPr>
          <w:spacing w:val="12"/>
          <w:sz w:val="14"/>
        </w:rPr>
        <w:t xml:space="preserve"> </w:t>
      </w:r>
      <w:r>
        <w:rPr>
          <w:w w:val="95"/>
          <w:sz w:val="14"/>
        </w:rPr>
        <w:t>West</w:t>
      </w:r>
      <w:r>
        <w:rPr>
          <w:spacing w:val="12"/>
          <w:sz w:val="14"/>
        </w:rPr>
        <w:t xml:space="preserve"> </w:t>
      </w:r>
      <w:r>
        <w:rPr>
          <w:spacing w:val="-5"/>
          <w:w w:val="95"/>
          <w:sz w:val="14"/>
        </w:rPr>
        <w:t>and</w:t>
      </w:r>
    </w:p>
    <w:p w:rsidR="002C1123" w:rsidRDefault="00F22F94">
      <w:pPr>
        <w:spacing w:line="161" w:lineRule="exact"/>
        <w:ind w:left="707" w:right="563"/>
        <w:jc w:val="center"/>
        <w:rPr>
          <w:sz w:val="14"/>
        </w:rPr>
      </w:pPr>
      <w:r>
        <w:rPr>
          <w:w w:val="95"/>
          <w:sz w:val="14"/>
        </w:rPr>
        <w:t>Intercity</w:t>
      </w:r>
      <w:r>
        <w:rPr>
          <w:spacing w:val="14"/>
          <w:sz w:val="14"/>
        </w:rPr>
        <w:t xml:space="preserve"> </w:t>
      </w:r>
      <w:r>
        <w:rPr>
          <w:w w:val="95"/>
          <w:sz w:val="14"/>
        </w:rPr>
        <w:t>services</w:t>
      </w:r>
      <w:r>
        <w:rPr>
          <w:spacing w:val="15"/>
          <w:sz w:val="14"/>
        </w:rPr>
        <w:t xml:space="preserve"> </w:t>
      </w:r>
      <w:r>
        <w:rPr>
          <w:w w:val="95"/>
          <w:sz w:val="14"/>
        </w:rPr>
        <w:t>using</w:t>
      </w:r>
      <w:r>
        <w:rPr>
          <w:spacing w:val="14"/>
          <w:sz w:val="14"/>
        </w:rPr>
        <w:t xml:space="preserve"> </w:t>
      </w:r>
      <w:r>
        <w:rPr>
          <w:w w:val="95"/>
          <w:sz w:val="14"/>
        </w:rPr>
        <w:t>the</w:t>
      </w:r>
      <w:r>
        <w:rPr>
          <w:spacing w:val="15"/>
          <w:sz w:val="14"/>
        </w:rPr>
        <w:t xml:space="preserve"> </w:t>
      </w:r>
      <w:r>
        <w:rPr>
          <w:w w:val="95"/>
          <w:sz w:val="14"/>
        </w:rPr>
        <w:t>route</w:t>
      </w:r>
      <w:r>
        <w:rPr>
          <w:spacing w:val="14"/>
          <w:sz w:val="14"/>
        </w:rPr>
        <w:t xml:space="preserve"> </w:t>
      </w:r>
      <w:r>
        <w:rPr>
          <w:w w:val="95"/>
          <w:sz w:val="14"/>
        </w:rPr>
        <w:t>between</w:t>
      </w:r>
      <w:r>
        <w:rPr>
          <w:spacing w:val="15"/>
          <w:sz w:val="14"/>
        </w:rPr>
        <w:t xml:space="preserve"> </w:t>
      </w:r>
      <w:r>
        <w:rPr>
          <w:w w:val="95"/>
          <w:sz w:val="14"/>
        </w:rPr>
        <w:t>Strathfield</w:t>
      </w:r>
      <w:r>
        <w:rPr>
          <w:spacing w:val="14"/>
          <w:sz w:val="14"/>
        </w:rPr>
        <w:t xml:space="preserve"> </w:t>
      </w:r>
      <w:r>
        <w:rPr>
          <w:w w:val="95"/>
          <w:sz w:val="14"/>
        </w:rPr>
        <w:t>and</w:t>
      </w:r>
      <w:r>
        <w:rPr>
          <w:spacing w:val="15"/>
          <w:sz w:val="14"/>
        </w:rPr>
        <w:t xml:space="preserve"> </w:t>
      </w:r>
      <w:r>
        <w:rPr>
          <w:spacing w:val="-2"/>
          <w:w w:val="95"/>
          <w:sz w:val="14"/>
        </w:rPr>
        <w:t>Central.</w:t>
      </w:r>
    </w:p>
    <w:p w:rsidR="002C1123" w:rsidRDefault="00F22F94">
      <w:pPr>
        <w:pStyle w:val="BodyText"/>
        <w:spacing w:before="141" w:line="249" w:lineRule="auto"/>
        <w:ind w:left="492"/>
      </w:pPr>
      <w:r>
        <w:t>The</w:t>
      </w:r>
      <w:r>
        <w:rPr>
          <w:spacing w:val="-11"/>
        </w:rPr>
        <w:t xml:space="preserve"> </w:t>
      </w:r>
      <w:r>
        <w:t>Main</w:t>
      </w:r>
      <w:r>
        <w:rPr>
          <w:spacing w:val="-11"/>
        </w:rPr>
        <w:t xml:space="preserve"> </w:t>
      </w:r>
      <w:r>
        <w:t>West</w:t>
      </w:r>
      <w:r>
        <w:rPr>
          <w:spacing w:val="-11"/>
        </w:rPr>
        <w:t xml:space="preserve"> </w:t>
      </w:r>
      <w:r>
        <w:t>Lines</w:t>
      </w:r>
      <w:r>
        <w:rPr>
          <w:spacing w:val="-11"/>
        </w:rPr>
        <w:t xml:space="preserve"> </w:t>
      </w:r>
      <w:r>
        <w:t>carry</w:t>
      </w:r>
      <w:r>
        <w:rPr>
          <w:spacing w:val="-11"/>
        </w:rPr>
        <w:t xml:space="preserve"> </w:t>
      </w:r>
      <w:r>
        <w:t>the</w:t>
      </w:r>
      <w:r>
        <w:rPr>
          <w:spacing w:val="-11"/>
        </w:rPr>
        <w:t xml:space="preserve"> </w:t>
      </w:r>
      <w:r>
        <w:t>highest</w:t>
      </w:r>
      <w:r>
        <w:rPr>
          <w:spacing w:val="-11"/>
        </w:rPr>
        <w:t xml:space="preserve"> </w:t>
      </w:r>
      <w:r>
        <w:t>number</w:t>
      </w:r>
      <w:r>
        <w:rPr>
          <w:spacing w:val="-11"/>
        </w:rPr>
        <w:t xml:space="preserve"> </w:t>
      </w:r>
      <w:r>
        <w:t xml:space="preserve">of </w:t>
      </w:r>
      <w:r>
        <w:rPr>
          <w:w w:val="95"/>
        </w:rPr>
        <w:t>passengers,</w:t>
      </w:r>
      <w:r>
        <w:rPr>
          <w:spacing w:val="-2"/>
          <w:w w:val="95"/>
        </w:rPr>
        <w:t xml:space="preserve"> </w:t>
      </w:r>
      <w:r>
        <w:rPr>
          <w:w w:val="95"/>
        </w:rPr>
        <w:t>but</w:t>
      </w:r>
      <w:r>
        <w:rPr>
          <w:spacing w:val="-2"/>
          <w:w w:val="95"/>
        </w:rPr>
        <w:t xml:space="preserve"> </w:t>
      </w:r>
      <w:r>
        <w:rPr>
          <w:w w:val="95"/>
        </w:rPr>
        <w:t>have</w:t>
      </w:r>
      <w:r>
        <w:rPr>
          <w:spacing w:val="-2"/>
          <w:w w:val="95"/>
        </w:rPr>
        <w:t xml:space="preserve"> </w:t>
      </w:r>
      <w:r>
        <w:rPr>
          <w:w w:val="95"/>
        </w:rPr>
        <w:t>the</w:t>
      </w:r>
      <w:r>
        <w:rPr>
          <w:spacing w:val="-2"/>
          <w:w w:val="95"/>
        </w:rPr>
        <w:t xml:space="preserve"> </w:t>
      </w:r>
      <w:r>
        <w:rPr>
          <w:w w:val="95"/>
        </w:rPr>
        <w:t>benefit</w:t>
      </w:r>
      <w:r>
        <w:rPr>
          <w:spacing w:val="-2"/>
          <w:w w:val="95"/>
        </w:rPr>
        <w:t xml:space="preserve"> </w:t>
      </w:r>
      <w:r>
        <w:rPr>
          <w:w w:val="95"/>
        </w:rPr>
        <w:t>of</w:t>
      </w:r>
      <w:r>
        <w:rPr>
          <w:spacing w:val="-2"/>
          <w:w w:val="95"/>
        </w:rPr>
        <w:t xml:space="preserve"> </w:t>
      </w:r>
      <w:r>
        <w:rPr>
          <w:w w:val="95"/>
        </w:rPr>
        <w:t>a</w:t>
      </w:r>
      <w:r>
        <w:rPr>
          <w:spacing w:val="-2"/>
          <w:w w:val="95"/>
        </w:rPr>
        <w:t xml:space="preserve"> </w:t>
      </w:r>
      <w:r>
        <w:rPr>
          <w:w w:val="95"/>
        </w:rPr>
        <w:t>six</w:t>
      </w:r>
      <w:r>
        <w:rPr>
          <w:spacing w:val="-2"/>
          <w:w w:val="95"/>
        </w:rPr>
        <w:t xml:space="preserve"> </w:t>
      </w:r>
      <w:r>
        <w:rPr>
          <w:w w:val="95"/>
        </w:rPr>
        <w:t>track</w:t>
      </w:r>
      <w:r>
        <w:rPr>
          <w:spacing w:val="-2"/>
          <w:w w:val="95"/>
        </w:rPr>
        <w:t xml:space="preserve"> </w:t>
      </w:r>
      <w:r>
        <w:rPr>
          <w:w w:val="95"/>
        </w:rPr>
        <w:t>alignment from</w:t>
      </w:r>
      <w:r>
        <w:rPr>
          <w:spacing w:val="-9"/>
          <w:w w:val="95"/>
        </w:rPr>
        <w:t xml:space="preserve"> </w:t>
      </w:r>
      <w:r>
        <w:rPr>
          <w:w w:val="95"/>
        </w:rPr>
        <w:t>Strathfield</w:t>
      </w:r>
      <w:r>
        <w:rPr>
          <w:spacing w:val="-8"/>
          <w:w w:val="95"/>
        </w:rPr>
        <w:t xml:space="preserve"> </w:t>
      </w:r>
      <w:r>
        <w:rPr>
          <w:w w:val="95"/>
        </w:rPr>
        <w:t>to</w:t>
      </w:r>
      <w:r>
        <w:rPr>
          <w:spacing w:val="-8"/>
          <w:w w:val="95"/>
        </w:rPr>
        <w:t xml:space="preserve"> </w:t>
      </w:r>
      <w:r>
        <w:rPr>
          <w:w w:val="95"/>
        </w:rPr>
        <w:t>Central.</w:t>
      </w:r>
      <w:r>
        <w:rPr>
          <w:spacing w:val="-8"/>
          <w:w w:val="95"/>
        </w:rPr>
        <w:t xml:space="preserve"> </w:t>
      </w:r>
      <w:r>
        <w:rPr>
          <w:w w:val="95"/>
        </w:rPr>
        <w:t>However,</w:t>
      </w:r>
      <w:r>
        <w:rPr>
          <w:spacing w:val="-8"/>
          <w:w w:val="95"/>
        </w:rPr>
        <w:t xml:space="preserve"> </w:t>
      </w:r>
      <w:r>
        <w:rPr>
          <w:w w:val="95"/>
        </w:rPr>
        <w:t>capacity</w:t>
      </w:r>
      <w:r>
        <w:rPr>
          <w:spacing w:val="-8"/>
          <w:w w:val="95"/>
        </w:rPr>
        <w:t xml:space="preserve"> </w:t>
      </w:r>
      <w:r>
        <w:rPr>
          <w:w w:val="95"/>
        </w:rPr>
        <w:t>is</w:t>
      </w:r>
      <w:r>
        <w:rPr>
          <w:spacing w:val="-8"/>
          <w:w w:val="95"/>
        </w:rPr>
        <w:t xml:space="preserve"> </w:t>
      </w:r>
      <w:r>
        <w:rPr>
          <w:w w:val="95"/>
        </w:rPr>
        <w:t xml:space="preserve">currently </w:t>
      </w:r>
      <w:r>
        <w:t>constrained</w:t>
      </w:r>
      <w:r>
        <w:rPr>
          <w:spacing w:val="-11"/>
        </w:rPr>
        <w:t xml:space="preserve"> </w:t>
      </w:r>
      <w:r>
        <w:t>because:</w:t>
      </w:r>
    </w:p>
    <w:p w:rsidR="002C1123" w:rsidRDefault="00F22F94">
      <w:pPr>
        <w:pStyle w:val="ListParagraph"/>
        <w:numPr>
          <w:ilvl w:val="3"/>
          <w:numId w:val="86"/>
        </w:numPr>
        <w:tabs>
          <w:tab w:val="left" w:pos="776"/>
        </w:tabs>
        <w:spacing w:before="132" w:line="249" w:lineRule="auto"/>
        <w:ind w:left="775" w:right="1062"/>
        <w:rPr>
          <w:sz w:val="20"/>
        </w:rPr>
      </w:pPr>
      <w:r>
        <w:rPr>
          <w:w w:val="95"/>
          <w:sz w:val="20"/>
        </w:rPr>
        <w:t>the</w:t>
      </w:r>
      <w:r>
        <w:rPr>
          <w:spacing w:val="-7"/>
          <w:w w:val="95"/>
          <w:sz w:val="20"/>
        </w:rPr>
        <w:t xml:space="preserve"> </w:t>
      </w:r>
      <w:r>
        <w:rPr>
          <w:w w:val="95"/>
          <w:sz w:val="20"/>
        </w:rPr>
        <w:t>service</w:t>
      </w:r>
      <w:r>
        <w:rPr>
          <w:spacing w:val="-7"/>
          <w:w w:val="95"/>
          <w:sz w:val="20"/>
        </w:rPr>
        <w:t xml:space="preserve"> </w:t>
      </w:r>
      <w:r>
        <w:rPr>
          <w:w w:val="95"/>
          <w:sz w:val="20"/>
        </w:rPr>
        <w:t>pattern</w:t>
      </w:r>
      <w:r>
        <w:rPr>
          <w:spacing w:val="-7"/>
          <w:w w:val="95"/>
          <w:sz w:val="20"/>
        </w:rPr>
        <w:t xml:space="preserve"> </w:t>
      </w:r>
      <w:r>
        <w:rPr>
          <w:w w:val="95"/>
          <w:sz w:val="20"/>
        </w:rPr>
        <w:t>results</w:t>
      </w:r>
      <w:r>
        <w:rPr>
          <w:spacing w:val="-8"/>
          <w:w w:val="95"/>
          <w:sz w:val="20"/>
        </w:rPr>
        <w:t xml:space="preserve"> </w:t>
      </w:r>
      <w:r>
        <w:rPr>
          <w:w w:val="95"/>
          <w:sz w:val="20"/>
        </w:rPr>
        <w:t>in</w:t>
      </w:r>
      <w:r>
        <w:rPr>
          <w:spacing w:val="-7"/>
          <w:w w:val="95"/>
          <w:sz w:val="20"/>
        </w:rPr>
        <w:t xml:space="preserve"> </w:t>
      </w:r>
      <w:r>
        <w:rPr>
          <w:w w:val="95"/>
          <w:sz w:val="20"/>
        </w:rPr>
        <w:t>a</w:t>
      </w:r>
      <w:r>
        <w:rPr>
          <w:spacing w:val="-7"/>
          <w:w w:val="95"/>
          <w:sz w:val="20"/>
        </w:rPr>
        <w:t xml:space="preserve"> </w:t>
      </w:r>
      <w:r>
        <w:rPr>
          <w:w w:val="95"/>
          <w:sz w:val="20"/>
        </w:rPr>
        <w:t>number</w:t>
      </w:r>
      <w:r>
        <w:rPr>
          <w:spacing w:val="-7"/>
          <w:w w:val="95"/>
          <w:sz w:val="20"/>
        </w:rPr>
        <w:t xml:space="preserve"> </w:t>
      </w:r>
      <w:r>
        <w:rPr>
          <w:w w:val="95"/>
          <w:sz w:val="20"/>
        </w:rPr>
        <w:t xml:space="preserve">of </w:t>
      </w:r>
      <w:r>
        <w:rPr>
          <w:spacing w:val="-2"/>
          <w:sz w:val="20"/>
        </w:rPr>
        <w:t>bottlenecks</w:t>
      </w:r>
    </w:p>
    <w:p w:rsidR="002C1123" w:rsidRDefault="00F22F94">
      <w:pPr>
        <w:pStyle w:val="ListParagraph"/>
        <w:numPr>
          <w:ilvl w:val="3"/>
          <w:numId w:val="86"/>
        </w:numPr>
        <w:tabs>
          <w:tab w:val="left" w:pos="776"/>
        </w:tabs>
        <w:spacing w:before="131" w:line="249" w:lineRule="auto"/>
        <w:ind w:left="775" w:right="209"/>
        <w:rPr>
          <w:sz w:val="20"/>
        </w:rPr>
      </w:pPr>
      <w:r>
        <w:rPr>
          <w:w w:val="95"/>
          <w:sz w:val="20"/>
        </w:rPr>
        <w:t xml:space="preserve">services are compressed from three lines into two </w:t>
      </w:r>
      <w:r>
        <w:rPr>
          <w:spacing w:val="-2"/>
          <w:w w:val="95"/>
          <w:sz w:val="20"/>
        </w:rPr>
        <w:t>lines</w:t>
      </w:r>
      <w:r>
        <w:rPr>
          <w:spacing w:val="-3"/>
          <w:w w:val="95"/>
          <w:sz w:val="20"/>
        </w:rPr>
        <w:t xml:space="preserve"> </w:t>
      </w:r>
      <w:r>
        <w:rPr>
          <w:spacing w:val="-2"/>
          <w:w w:val="95"/>
          <w:sz w:val="20"/>
        </w:rPr>
        <w:t>North</w:t>
      </w:r>
      <w:r>
        <w:rPr>
          <w:spacing w:val="-3"/>
          <w:w w:val="95"/>
          <w:sz w:val="20"/>
        </w:rPr>
        <w:t xml:space="preserve"> </w:t>
      </w:r>
      <w:r>
        <w:rPr>
          <w:spacing w:val="-2"/>
          <w:w w:val="95"/>
          <w:sz w:val="20"/>
        </w:rPr>
        <w:t>of</w:t>
      </w:r>
      <w:r>
        <w:rPr>
          <w:spacing w:val="-3"/>
          <w:w w:val="95"/>
          <w:sz w:val="20"/>
        </w:rPr>
        <w:t xml:space="preserve"> </w:t>
      </w:r>
      <w:r>
        <w:rPr>
          <w:spacing w:val="-2"/>
          <w:w w:val="95"/>
          <w:sz w:val="20"/>
        </w:rPr>
        <w:t>Central</w:t>
      </w:r>
      <w:r>
        <w:rPr>
          <w:spacing w:val="-3"/>
          <w:w w:val="95"/>
          <w:sz w:val="20"/>
        </w:rPr>
        <w:t xml:space="preserve"> </w:t>
      </w:r>
      <w:r>
        <w:rPr>
          <w:spacing w:val="-2"/>
          <w:w w:val="95"/>
          <w:sz w:val="20"/>
        </w:rPr>
        <w:t>(relatively</w:t>
      </w:r>
      <w:r>
        <w:rPr>
          <w:spacing w:val="-3"/>
          <w:w w:val="95"/>
          <w:sz w:val="20"/>
        </w:rPr>
        <w:t xml:space="preserve"> </w:t>
      </w:r>
      <w:r>
        <w:rPr>
          <w:spacing w:val="-2"/>
          <w:w w:val="95"/>
          <w:sz w:val="20"/>
        </w:rPr>
        <w:t>few</w:t>
      </w:r>
      <w:r>
        <w:rPr>
          <w:spacing w:val="-3"/>
          <w:w w:val="95"/>
          <w:sz w:val="20"/>
        </w:rPr>
        <w:t xml:space="preserve"> </w:t>
      </w:r>
      <w:r>
        <w:rPr>
          <w:spacing w:val="-2"/>
          <w:w w:val="95"/>
          <w:sz w:val="20"/>
        </w:rPr>
        <w:t>trains</w:t>
      </w:r>
      <w:r>
        <w:rPr>
          <w:spacing w:val="-3"/>
          <w:w w:val="95"/>
          <w:sz w:val="20"/>
        </w:rPr>
        <w:t xml:space="preserve"> </w:t>
      </w:r>
      <w:r>
        <w:rPr>
          <w:spacing w:val="-2"/>
          <w:w w:val="95"/>
          <w:sz w:val="20"/>
        </w:rPr>
        <w:t xml:space="preserve">terminate </w:t>
      </w:r>
      <w:r>
        <w:rPr>
          <w:sz w:val="20"/>
        </w:rPr>
        <w:t>at</w:t>
      </w:r>
      <w:r>
        <w:rPr>
          <w:spacing w:val="-11"/>
          <w:sz w:val="20"/>
        </w:rPr>
        <w:t xml:space="preserve"> </w:t>
      </w:r>
      <w:r>
        <w:rPr>
          <w:sz w:val="20"/>
        </w:rPr>
        <w:t>Central).</w:t>
      </w:r>
    </w:p>
    <w:p w:rsidR="002C1123" w:rsidRDefault="00F22F94">
      <w:pPr>
        <w:rPr>
          <w:sz w:val="18"/>
        </w:rPr>
      </w:pPr>
      <w:r>
        <w:br w:type="column"/>
      </w:r>
    </w:p>
    <w:p w:rsidR="002C1123" w:rsidRDefault="002C1123">
      <w:pPr>
        <w:pStyle w:val="BodyText"/>
        <w:rPr>
          <w:sz w:val="18"/>
        </w:rPr>
      </w:pPr>
    </w:p>
    <w:p w:rsidR="002C1123" w:rsidRDefault="002C1123">
      <w:pPr>
        <w:pStyle w:val="BodyText"/>
        <w:spacing w:before="1"/>
        <w:rPr>
          <w:sz w:val="21"/>
        </w:rPr>
      </w:pPr>
    </w:p>
    <w:p w:rsidR="002C1123" w:rsidRDefault="00F22F94">
      <w:pPr>
        <w:ind w:left="331"/>
        <w:rPr>
          <w:b/>
          <w:sz w:val="16"/>
        </w:rPr>
      </w:pPr>
      <w:r>
        <w:rPr>
          <w:b/>
          <w:color w:val="2E3092"/>
          <w:spacing w:val="-2"/>
          <w:sz w:val="16"/>
        </w:rPr>
        <w:t>System</w:t>
      </w: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spacing w:before="2"/>
        <w:rPr>
          <w:b/>
          <w:sz w:val="22"/>
        </w:rPr>
      </w:pPr>
    </w:p>
    <w:p w:rsidR="002C1123" w:rsidRDefault="00F22F94">
      <w:pPr>
        <w:spacing w:before="1"/>
        <w:ind w:left="217"/>
        <w:rPr>
          <w:sz w:val="14"/>
        </w:rPr>
      </w:pPr>
      <w:r>
        <w:rPr>
          <w:w w:val="95"/>
          <w:sz w:val="14"/>
        </w:rPr>
        <w:t>Source:</w:t>
      </w:r>
      <w:r>
        <w:rPr>
          <w:spacing w:val="12"/>
          <w:sz w:val="14"/>
        </w:rPr>
        <w:t xml:space="preserve"> </w:t>
      </w:r>
      <w:r>
        <w:rPr>
          <w:w w:val="95"/>
          <w:sz w:val="14"/>
        </w:rPr>
        <w:t>Transport</w:t>
      </w:r>
      <w:r>
        <w:rPr>
          <w:spacing w:val="13"/>
          <w:sz w:val="14"/>
        </w:rPr>
        <w:t xml:space="preserve"> </w:t>
      </w:r>
      <w:r>
        <w:rPr>
          <w:w w:val="95"/>
          <w:sz w:val="14"/>
        </w:rPr>
        <w:t>for</w:t>
      </w:r>
      <w:r>
        <w:rPr>
          <w:spacing w:val="12"/>
          <w:sz w:val="14"/>
        </w:rPr>
        <w:t xml:space="preserve"> </w:t>
      </w:r>
      <w:r>
        <w:rPr>
          <w:spacing w:val="-4"/>
          <w:w w:val="95"/>
          <w:sz w:val="14"/>
        </w:rPr>
        <w:t>NSW.</w:t>
      </w:r>
    </w:p>
    <w:p w:rsidR="002C1123" w:rsidRDefault="00F22F94">
      <w:pPr>
        <w:rPr>
          <w:sz w:val="18"/>
        </w:rPr>
      </w:pPr>
      <w:r>
        <w:br w:type="column"/>
      </w:r>
    </w:p>
    <w:p w:rsidR="002C1123" w:rsidRDefault="002C1123">
      <w:pPr>
        <w:pStyle w:val="BodyText"/>
        <w:spacing w:before="8"/>
        <w:rPr>
          <w:sz w:val="23"/>
        </w:rPr>
      </w:pPr>
    </w:p>
    <w:p w:rsidR="002C1123" w:rsidRDefault="00F22F94">
      <w:pPr>
        <w:spacing w:line="235" w:lineRule="auto"/>
        <w:ind w:left="14"/>
        <w:rPr>
          <w:b/>
          <w:sz w:val="16"/>
        </w:rPr>
      </w:pPr>
      <w:r>
        <w:rPr>
          <w:b/>
          <w:color w:val="2E3092"/>
          <w:spacing w:val="-2"/>
          <w:sz w:val="16"/>
        </w:rPr>
        <w:t xml:space="preserve">Trains </w:t>
      </w:r>
      <w:r>
        <w:rPr>
          <w:b/>
          <w:color w:val="2E3092"/>
          <w:spacing w:val="-4"/>
          <w:sz w:val="16"/>
        </w:rPr>
        <w:t>per</w:t>
      </w:r>
      <w:r>
        <w:rPr>
          <w:b/>
          <w:color w:val="2E3092"/>
          <w:spacing w:val="-8"/>
          <w:sz w:val="16"/>
        </w:rPr>
        <w:t xml:space="preserve"> </w:t>
      </w:r>
      <w:r>
        <w:rPr>
          <w:b/>
          <w:color w:val="2E3092"/>
          <w:spacing w:val="-4"/>
          <w:sz w:val="16"/>
        </w:rPr>
        <w:t>hour</w:t>
      </w:r>
    </w:p>
    <w:p w:rsidR="002C1123" w:rsidRDefault="00F22F94">
      <w:pPr>
        <w:spacing w:before="1"/>
        <w:rPr>
          <w:b/>
          <w:sz w:val="26"/>
        </w:rPr>
      </w:pPr>
      <w:r>
        <w:br w:type="column"/>
      </w:r>
    </w:p>
    <w:p w:rsidR="002C1123" w:rsidRDefault="00F22F94">
      <w:pPr>
        <w:spacing w:line="235" w:lineRule="auto"/>
        <w:ind w:left="233" w:right="-6"/>
        <w:rPr>
          <w:b/>
          <w:sz w:val="16"/>
        </w:rPr>
      </w:pPr>
      <w:r>
        <w:rPr>
          <w:b/>
          <w:color w:val="2E3092"/>
          <w:spacing w:val="-4"/>
          <w:sz w:val="16"/>
        </w:rPr>
        <w:t xml:space="preserve">Max </w:t>
      </w:r>
      <w:r>
        <w:rPr>
          <w:b/>
          <w:color w:val="2E3092"/>
          <w:spacing w:val="-2"/>
          <w:sz w:val="16"/>
        </w:rPr>
        <w:t>people per</w:t>
      </w:r>
      <w:r>
        <w:rPr>
          <w:b/>
          <w:color w:val="2E3092"/>
          <w:spacing w:val="-10"/>
          <w:sz w:val="16"/>
        </w:rPr>
        <w:t xml:space="preserve"> </w:t>
      </w:r>
      <w:r>
        <w:rPr>
          <w:b/>
          <w:color w:val="2E3092"/>
          <w:spacing w:val="-2"/>
          <w:sz w:val="16"/>
        </w:rPr>
        <w:t>sqm</w:t>
      </w:r>
    </w:p>
    <w:p w:rsidR="002C1123" w:rsidRDefault="00F22F94">
      <w:pPr>
        <w:spacing w:before="120" w:line="235" w:lineRule="auto"/>
        <w:ind w:left="310" w:right="37"/>
        <w:rPr>
          <w:b/>
          <w:sz w:val="16"/>
        </w:rPr>
      </w:pPr>
      <w:r>
        <w:br w:type="column"/>
      </w:r>
      <w:r>
        <w:rPr>
          <w:b/>
          <w:color w:val="2E3092"/>
          <w:spacing w:val="-4"/>
          <w:sz w:val="16"/>
        </w:rPr>
        <w:t>Total</w:t>
      </w:r>
      <w:r>
        <w:rPr>
          <w:b/>
          <w:color w:val="2E3092"/>
          <w:spacing w:val="-8"/>
          <w:sz w:val="16"/>
        </w:rPr>
        <w:t xml:space="preserve"> </w:t>
      </w:r>
      <w:r>
        <w:rPr>
          <w:b/>
          <w:color w:val="2E3092"/>
          <w:spacing w:val="-4"/>
          <w:sz w:val="16"/>
        </w:rPr>
        <w:t xml:space="preserve">line </w:t>
      </w:r>
      <w:r>
        <w:rPr>
          <w:b/>
          <w:color w:val="2E3092"/>
          <w:spacing w:val="-2"/>
          <w:sz w:val="16"/>
        </w:rPr>
        <w:t xml:space="preserve">capacity (people </w:t>
      </w:r>
      <w:r>
        <w:rPr>
          <w:b/>
          <w:color w:val="2E3092"/>
          <w:spacing w:val="-4"/>
          <w:sz w:val="16"/>
        </w:rPr>
        <w:t>per</w:t>
      </w:r>
      <w:r>
        <w:rPr>
          <w:b/>
          <w:color w:val="2E3092"/>
          <w:spacing w:val="-8"/>
          <w:sz w:val="16"/>
        </w:rPr>
        <w:t xml:space="preserve"> </w:t>
      </w:r>
      <w:r>
        <w:rPr>
          <w:b/>
          <w:color w:val="2E3092"/>
          <w:spacing w:val="-4"/>
          <w:sz w:val="16"/>
        </w:rPr>
        <w:t>hour)</w:t>
      </w:r>
    </w:p>
    <w:p w:rsidR="002C1123" w:rsidRDefault="00F22F94">
      <w:pPr>
        <w:pStyle w:val="BodyText"/>
        <w:spacing w:before="30"/>
        <w:ind w:left="492"/>
      </w:pPr>
      <w:r>
        <w:br w:type="column"/>
      </w:r>
      <w:r>
        <w:rPr>
          <w:w w:val="95"/>
        </w:rPr>
        <w:t>and</w:t>
      </w:r>
      <w:r>
        <w:rPr>
          <w:spacing w:val="-4"/>
          <w:w w:val="95"/>
        </w:rPr>
        <w:t xml:space="preserve"> </w:t>
      </w:r>
      <w:r>
        <w:rPr>
          <w:w w:val="95"/>
        </w:rPr>
        <w:t>intervals</w:t>
      </w:r>
      <w:r>
        <w:rPr>
          <w:spacing w:val="-3"/>
          <w:w w:val="95"/>
        </w:rPr>
        <w:t xml:space="preserve"> </w:t>
      </w:r>
      <w:r>
        <w:rPr>
          <w:w w:val="95"/>
        </w:rPr>
        <w:t>between</w:t>
      </w:r>
      <w:r>
        <w:rPr>
          <w:spacing w:val="-3"/>
          <w:w w:val="95"/>
        </w:rPr>
        <w:t xml:space="preserve"> </w:t>
      </w:r>
      <w:r>
        <w:rPr>
          <w:w w:val="95"/>
        </w:rPr>
        <w:t>services</w:t>
      </w:r>
      <w:r>
        <w:rPr>
          <w:spacing w:val="-3"/>
          <w:w w:val="95"/>
        </w:rPr>
        <w:t xml:space="preserve"> </w:t>
      </w:r>
      <w:r>
        <w:rPr>
          <w:w w:val="95"/>
        </w:rPr>
        <w:t>can</w:t>
      </w:r>
      <w:r>
        <w:rPr>
          <w:spacing w:val="-3"/>
          <w:w w:val="95"/>
        </w:rPr>
        <w:t xml:space="preserve"> </w:t>
      </w:r>
      <w:r>
        <w:rPr>
          <w:w w:val="95"/>
        </w:rPr>
        <w:t>be</w:t>
      </w:r>
      <w:r>
        <w:rPr>
          <w:spacing w:val="-3"/>
          <w:w w:val="95"/>
        </w:rPr>
        <w:t xml:space="preserve"> </w:t>
      </w:r>
      <w:r>
        <w:rPr>
          <w:spacing w:val="-2"/>
          <w:w w:val="95"/>
        </w:rPr>
        <w:t>irregular.</w:t>
      </w:r>
    </w:p>
    <w:p w:rsidR="002C1123" w:rsidRDefault="002060EF">
      <w:pPr>
        <w:pStyle w:val="BodyText"/>
        <w:spacing w:before="151" w:line="249" w:lineRule="auto"/>
        <w:ind w:left="492" w:right="646"/>
      </w:pPr>
      <w:r>
        <w:pict>
          <v:shape id="docshape1452" o:spid="_x0000_s3771" type="#_x0000_t202" style="position:absolute;left:0;text-align:left;margin-left:300.95pt;margin-top:32.5pt;width:241.95pt;height:68.7pt;z-index:251413504;mso-position-horizontal-relative:page" filled="f" stroked="f">
            <v:textbox inset="0,0,0,0">
              <w:txbxContent>
                <w:tbl>
                  <w:tblPr>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644"/>
                    <w:gridCol w:w="907"/>
                    <w:gridCol w:w="964"/>
                    <w:gridCol w:w="1304"/>
                  </w:tblGrid>
                  <w:tr w:rsidR="00F22F94">
                    <w:trPr>
                      <w:trHeight w:val="331"/>
                    </w:trPr>
                    <w:tc>
                      <w:tcPr>
                        <w:tcW w:w="1644" w:type="dxa"/>
                        <w:tcBorders>
                          <w:top w:val="nil"/>
                          <w:left w:val="nil"/>
                        </w:tcBorders>
                        <w:shd w:val="clear" w:color="auto" w:fill="C9C8C9"/>
                      </w:tcPr>
                      <w:p w:rsidR="00F22F94" w:rsidRDefault="00F22F94">
                        <w:pPr>
                          <w:pStyle w:val="TableParagraph"/>
                          <w:spacing w:before="77"/>
                          <w:rPr>
                            <w:sz w:val="16"/>
                          </w:rPr>
                        </w:pPr>
                        <w:r>
                          <w:rPr>
                            <w:sz w:val="16"/>
                          </w:rPr>
                          <w:t>Sydney</w:t>
                        </w:r>
                        <w:r>
                          <w:rPr>
                            <w:spacing w:val="-4"/>
                            <w:sz w:val="16"/>
                          </w:rPr>
                          <w:t xml:space="preserve"> </w:t>
                        </w:r>
                        <w:r>
                          <w:rPr>
                            <w:spacing w:val="-2"/>
                            <w:w w:val="105"/>
                            <w:sz w:val="16"/>
                          </w:rPr>
                          <w:t>CityRail</w:t>
                        </w:r>
                      </w:p>
                    </w:tc>
                    <w:tc>
                      <w:tcPr>
                        <w:tcW w:w="907" w:type="dxa"/>
                        <w:tcBorders>
                          <w:top w:val="nil"/>
                        </w:tcBorders>
                        <w:shd w:val="clear" w:color="auto" w:fill="E1E0E1"/>
                      </w:tcPr>
                      <w:p w:rsidR="00F22F94" w:rsidRDefault="00F22F94">
                        <w:pPr>
                          <w:pStyle w:val="TableParagraph"/>
                          <w:spacing w:before="77"/>
                          <w:rPr>
                            <w:sz w:val="16"/>
                          </w:rPr>
                        </w:pPr>
                        <w:r>
                          <w:rPr>
                            <w:w w:val="95"/>
                            <w:sz w:val="16"/>
                          </w:rPr>
                          <w:t>19</w:t>
                        </w:r>
                        <w:r>
                          <w:rPr>
                            <w:spacing w:val="-6"/>
                            <w:w w:val="95"/>
                            <w:sz w:val="16"/>
                          </w:rPr>
                          <w:t xml:space="preserve"> </w:t>
                        </w:r>
                        <w:r>
                          <w:rPr>
                            <w:w w:val="95"/>
                            <w:sz w:val="16"/>
                          </w:rPr>
                          <w:t>–</w:t>
                        </w:r>
                        <w:r>
                          <w:rPr>
                            <w:spacing w:val="-6"/>
                            <w:w w:val="95"/>
                            <w:sz w:val="16"/>
                          </w:rPr>
                          <w:t xml:space="preserve"> </w:t>
                        </w:r>
                        <w:r>
                          <w:rPr>
                            <w:spacing w:val="-5"/>
                            <w:w w:val="95"/>
                            <w:sz w:val="16"/>
                          </w:rPr>
                          <w:t>20</w:t>
                        </w:r>
                      </w:p>
                    </w:tc>
                    <w:tc>
                      <w:tcPr>
                        <w:tcW w:w="964" w:type="dxa"/>
                        <w:tcBorders>
                          <w:top w:val="nil"/>
                        </w:tcBorders>
                        <w:shd w:val="clear" w:color="auto" w:fill="E1E0E1"/>
                      </w:tcPr>
                      <w:p w:rsidR="00F22F94" w:rsidRDefault="00F22F94">
                        <w:pPr>
                          <w:pStyle w:val="TableParagraph"/>
                          <w:spacing w:before="77"/>
                          <w:rPr>
                            <w:sz w:val="16"/>
                          </w:rPr>
                        </w:pPr>
                        <w:r>
                          <w:rPr>
                            <w:spacing w:val="-5"/>
                            <w:sz w:val="16"/>
                          </w:rPr>
                          <w:t>2.5</w:t>
                        </w:r>
                      </w:p>
                    </w:tc>
                    <w:tc>
                      <w:tcPr>
                        <w:tcW w:w="1304" w:type="dxa"/>
                        <w:tcBorders>
                          <w:top w:val="nil"/>
                        </w:tcBorders>
                        <w:shd w:val="clear" w:color="auto" w:fill="E1E0E1"/>
                      </w:tcPr>
                      <w:p w:rsidR="00F22F94" w:rsidRDefault="00F22F94">
                        <w:pPr>
                          <w:pStyle w:val="TableParagraph"/>
                          <w:spacing w:before="77"/>
                          <w:rPr>
                            <w:sz w:val="16"/>
                          </w:rPr>
                        </w:pPr>
                        <w:r>
                          <w:rPr>
                            <w:spacing w:val="-2"/>
                            <w:sz w:val="16"/>
                          </w:rPr>
                          <w:t>24,000</w:t>
                        </w:r>
                      </w:p>
                    </w:tc>
                  </w:tr>
                  <w:tr w:rsidR="00F22F94">
                    <w:trPr>
                      <w:trHeight w:val="321"/>
                    </w:trPr>
                    <w:tc>
                      <w:tcPr>
                        <w:tcW w:w="1644" w:type="dxa"/>
                        <w:tcBorders>
                          <w:left w:val="nil"/>
                        </w:tcBorders>
                        <w:shd w:val="clear" w:color="auto" w:fill="C9C8C9"/>
                      </w:tcPr>
                      <w:p w:rsidR="00F22F94" w:rsidRDefault="00F22F94">
                        <w:pPr>
                          <w:pStyle w:val="TableParagraph"/>
                          <w:rPr>
                            <w:sz w:val="16"/>
                          </w:rPr>
                        </w:pPr>
                        <w:r>
                          <w:rPr>
                            <w:spacing w:val="-2"/>
                            <w:sz w:val="16"/>
                          </w:rPr>
                          <w:t>Paris</w:t>
                        </w:r>
                        <w:r>
                          <w:rPr>
                            <w:spacing w:val="-5"/>
                            <w:sz w:val="16"/>
                          </w:rPr>
                          <w:t xml:space="preserve"> </w:t>
                        </w:r>
                        <w:r>
                          <w:rPr>
                            <w:spacing w:val="-2"/>
                            <w:sz w:val="16"/>
                          </w:rPr>
                          <w:t>RER</w:t>
                        </w:r>
                        <w:r>
                          <w:rPr>
                            <w:spacing w:val="-4"/>
                            <w:sz w:val="16"/>
                          </w:rPr>
                          <w:t xml:space="preserve"> </w:t>
                        </w:r>
                        <w:r>
                          <w:rPr>
                            <w:spacing w:val="-2"/>
                            <w:sz w:val="16"/>
                          </w:rPr>
                          <w:t>(line</w:t>
                        </w:r>
                        <w:r>
                          <w:rPr>
                            <w:spacing w:val="-4"/>
                            <w:sz w:val="16"/>
                          </w:rPr>
                          <w:t xml:space="preserve"> </w:t>
                        </w:r>
                        <w:r>
                          <w:rPr>
                            <w:spacing w:val="-5"/>
                            <w:sz w:val="16"/>
                          </w:rPr>
                          <w:t>A)</w:t>
                        </w:r>
                      </w:p>
                    </w:tc>
                    <w:tc>
                      <w:tcPr>
                        <w:tcW w:w="907" w:type="dxa"/>
                        <w:shd w:val="clear" w:color="auto" w:fill="E1E0E1"/>
                      </w:tcPr>
                      <w:p w:rsidR="00F22F94" w:rsidRDefault="00F22F94">
                        <w:pPr>
                          <w:pStyle w:val="TableParagraph"/>
                          <w:rPr>
                            <w:sz w:val="16"/>
                          </w:rPr>
                        </w:pPr>
                        <w:r>
                          <w:rPr>
                            <w:spacing w:val="-4"/>
                            <w:sz w:val="16"/>
                          </w:rPr>
                          <w:t>25</w:t>
                        </w:r>
                        <w:r>
                          <w:rPr>
                            <w:spacing w:val="-7"/>
                            <w:sz w:val="16"/>
                          </w:rPr>
                          <w:t xml:space="preserve"> </w:t>
                        </w:r>
                        <w:r>
                          <w:rPr>
                            <w:spacing w:val="-4"/>
                            <w:sz w:val="16"/>
                          </w:rPr>
                          <w:t>–</w:t>
                        </w:r>
                        <w:r>
                          <w:rPr>
                            <w:spacing w:val="-6"/>
                            <w:sz w:val="16"/>
                          </w:rPr>
                          <w:t xml:space="preserve"> </w:t>
                        </w:r>
                        <w:r>
                          <w:rPr>
                            <w:spacing w:val="-5"/>
                            <w:sz w:val="16"/>
                          </w:rPr>
                          <w:t>26</w:t>
                        </w:r>
                      </w:p>
                    </w:tc>
                    <w:tc>
                      <w:tcPr>
                        <w:tcW w:w="964" w:type="dxa"/>
                        <w:shd w:val="clear" w:color="auto" w:fill="E1E0E1"/>
                      </w:tcPr>
                      <w:p w:rsidR="00F22F94" w:rsidRDefault="00F22F94">
                        <w:pPr>
                          <w:pStyle w:val="TableParagraph"/>
                          <w:rPr>
                            <w:sz w:val="16"/>
                          </w:rPr>
                        </w:pPr>
                        <w:r>
                          <w:rPr>
                            <w:sz w:val="16"/>
                          </w:rPr>
                          <w:t>3</w:t>
                        </w:r>
                        <w:r>
                          <w:rPr>
                            <w:spacing w:val="-10"/>
                            <w:sz w:val="16"/>
                          </w:rPr>
                          <w:t xml:space="preserve"> </w:t>
                        </w:r>
                        <w:r>
                          <w:rPr>
                            <w:sz w:val="16"/>
                          </w:rPr>
                          <w:t>–</w:t>
                        </w:r>
                        <w:r>
                          <w:rPr>
                            <w:spacing w:val="-9"/>
                            <w:sz w:val="16"/>
                          </w:rPr>
                          <w:t xml:space="preserve"> </w:t>
                        </w:r>
                        <w:r>
                          <w:rPr>
                            <w:spacing w:val="-5"/>
                            <w:sz w:val="16"/>
                          </w:rPr>
                          <w:t>3.5</w:t>
                        </w:r>
                      </w:p>
                    </w:tc>
                    <w:tc>
                      <w:tcPr>
                        <w:tcW w:w="1304" w:type="dxa"/>
                        <w:shd w:val="clear" w:color="auto" w:fill="E1E0E1"/>
                      </w:tcPr>
                      <w:p w:rsidR="00F22F94" w:rsidRDefault="00F22F94">
                        <w:pPr>
                          <w:pStyle w:val="TableParagraph"/>
                          <w:rPr>
                            <w:sz w:val="16"/>
                          </w:rPr>
                        </w:pPr>
                        <w:r>
                          <w:rPr>
                            <w:spacing w:val="-2"/>
                            <w:sz w:val="16"/>
                          </w:rPr>
                          <w:t>40,000</w:t>
                        </w:r>
                      </w:p>
                    </w:tc>
                  </w:tr>
                  <w:tr w:rsidR="00F22F94">
                    <w:trPr>
                      <w:trHeight w:val="321"/>
                    </w:trPr>
                    <w:tc>
                      <w:tcPr>
                        <w:tcW w:w="1644" w:type="dxa"/>
                        <w:tcBorders>
                          <w:left w:val="nil"/>
                        </w:tcBorders>
                        <w:shd w:val="clear" w:color="auto" w:fill="C9C8C9"/>
                      </w:tcPr>
                      <w:p w:rsidR="00F22F94" w:rsidRDefault="00F22F94">
                        <w:pPr>
                          <w:pStyle w:val="TableParagraph"/>
                          <w:rPr>
                            <w:sz w:val="16"/>
                          </w:rPr>
                        </w:pPr>
                        <w:r>
                          <w:rPr>
                            <w:spacing w:val="-2"/>
                            <w:w w:val="105"/>
                            <w:sz w:val="16"/>
                          </w:rPr>
                          <w:t>Munich</w:t>
                        </w:r>
                        <w:r>
                          <w:rPr>
                            <w:spacing w:val="-9"/>
                            <w:w w:val="105"/>
                            <w:sz w:val="16"/>
                          </w:rPr>
                          <w:t xml:space="preserve"> </w:t>
                        </w:r>
                        <w:r>
                          <w:rPr>
                            <w:spacing w:val="-2"/>
                            <w:w w:val="105"/>
                            <w:sz w:val="16"/>
                          </w:rPr>
                          <w:t>S</w:t>
                        </w:r>
                        <w:r>
                          <w:rPr>
                            <w:spacing w:val="-8"/>
                            <w:w w:val="105"/>
                            <w:sz w:val="16"/>
                          </w:rPr>
                          <w:t xml:space="preserve"> </w:t>
                        </w:r>
                        <w:r>
                          <w:rPr>
                            <w:spacing w:val="-4"/>
                            <w:w w:val="105"/>
                            <w:sz w:val="16"/>
                          </w:rPr>
                          <w:t>Bahn</w:t>
                        </w:r>
                      </w:p>
                    </w:tc>
                    <w:tc>
                      <w:tcPr>
                        <w:tcW w:w="907" w:type="dxa"/>
                        <w:shd w:val="clear" w:color="auto" w:fill="E1E0E1"/>
                      </w:tcPr>
                      <w:p w:rsidR="00F22F94" w:rsidRDefault="00F22F94">
                        <w:pPr>
                          <w:pStyle w:val="TableParagraph"/>
                          <w:rPr>
                            <w:sz w:val="16"/>
                          </w:rPr>
                        </w:pPr>
                        <w:r>
                          <w:rPr>
                            <w:spacing w:val="-5"/>
                            <w:sz w:val="16"/>
                          </w:rPr>
                          <w:t>28</w:t>
                        </w:r>
                      </w:p>
                    </w:tc>
                    <w:tc>
                      <w:tcPr>
                        <w:tcW w:w="964" w:type="dxa"/>
                        <w:shd w:val="clear" w:color="auto" w:fill="E1E0E1"/>
                      </w:tcPr>
                      <w:p w:rsidR="00F22F94" w:rsidRDefault="00F22F94">
                        <w:pPr>
                          <w:pStyle w:val="TableParagraph"/>
                          <w:rPr>
                            <w:sz w:val="16"/>
                          </w:rPr>
                        </w:pPr>
                        <w:r>
                          <w:rPr>
                            <w:w w:val="99"/>
                            <w:sz w:val="16"/>
                          </w:rPr>
                          <w:t>4</w:t>
                        </w:r>
                      </w:p>
                    </w:tc>
                    <w:tc>
                      <w:tcPr>
                        <w:tcW w:w="1304" w:type="dxa"/>
                        <w:shd w:val="clear" w:color="auto" w:fill="E1E0E1"/>
                      </w:tcPr>
                      <w:p w:rsidR="00F22F94" w:rsidRDefault="00F22F94">
                        <w:pPr>
                          <w:pStyle w:val="TableParagraph"/>
                          <w:rPr>
                            <w:sz w:val="16"/>
                          </w:rPr>
                        </w:pPr>
                        <w:r>
                          <w:rPr>
                            <w:spacing w:val="-2"/>
                            <w:sz w:val="16"/>
                          </w:rPr>
                          <w:t>45,000</w:t>
                        </w:r>
                      </w:p>
                    </w:tc>
                  </w:tr>
                  <w:tr w:rsidR="00F22F94">
                    <w:trPr>
                      <w:trHeight w:val="321"/>
                    </w:trPr>
                    <w:tc>
                      <w:tcPr>
                        <w:tcW w:w="1644" w:type="dxa"/>
                        <w:tcBorders>
                          <w:left w:val="nil"/>
                        </w:tcBorders>
                        <w:shd w:val="clear" w:color="auto" w:fill="C9C8C9"/>
                      </w:tcPr>
                      <w:p w:rsidR="00F22F94" w:rsidRDefault="00F22F94">
                        <w:pPr>
                          <w:pStyle w:val="TableParagraph"/>
                          <w:rPr>
                            <w:sz w:val="16"/>
                          </w:rPr>
                        </w:pPr>
                        <w:r>
                          <w:rPr>
                            <w:sz w:val="16"/>
                          </w:rPr>
                          <w:t>Hong</w:t>
                        </w:r>
                        <w:r>
                          <w:rPr>
                            <w:spacing w:val="3"/>
                            <w:sz w:val="16"/>
                          </w:rPr>
                          <w:t xml:space="preserve"> </w:t>
                        </w:r>
                        <w:r>
                          <w:rPr>
                            <w:sz w:val="16"/>
                          </w:rPr>
                          <w:t>Kong</w:t>
                        </w:r>
                        <w:r>
                          <w:rPr>
                            <w:spacing w:val="3"/>
                            <w:sz w:val="16"/>
                          </w:rPr>
                          <w:t xml:space="preserve"> </w:t>
                        </w:r>
                        <w:r>
                          <w:rPr>
                            <w:spacing w:val="-5"/>
                            <w:sz w:val="16"/>
                          </w:rPr>
                          <w:t>MTR</w:t>
                        </w:r>
                      </w:p>
                    </w:tc>
                    <w:tc>
                      <w:tcPr>
                        <w:tcW w:w="907" w:type="dxa"/>
                        <w:shd w:val="clear" w:color="auto" w:fill="E1E0E1"/>
                      </w:tcPr>
                      <w:p w:rsidR="00F22F94" w:rsidRDefault="00F22F94">
                        <w:pPr>
                          <w:pStyle w:val="TableParagraph"/>
                          <w:rPr>
                            <w:sz w:val="16"/>
                          </w:rPr>
                        </w:pPr>
                        <w:r>
                          <w:rPr>
                            <w:spacing w:val="-5"/>
                            <w:sz w:val="16"/>
                          </w:rPr>
                          <w:t>30</w:t>
                        </w:r>
                      </w:p>
                    </w:tc>
                    <w:tc>
                      <w:tcPr>
                        <w:tcW w:w="964" w:type="dxa"/>
                        <w:shd w:val="clear" w:color="auto" w:fill="E1E0E1"/>
                      </w:tcPr>
                      <w:p w:rsidR="00F22F94" w:rsidRDefault="00F22F94">
                        <w:pPr>
                          <w:pStyle w:val="TableParagraph"/>
                          <w:rPr>
                            <w:sz w:val="16"/>
                          </w:rPr>
                        </w:pPr>
                        <w:r>
                          <w:rPr>
                            <w:sz w:val="16"/>
                          </w:rPr>
                          <w:t>4</w:t>
                        </w:r>
                        <w:r>
                          <w:rPr>
                            <w:spacing w:val="-10"/>
                            <w:sz w:val="16"/>
                          </w:rPr>
                          <w:t xml:space="preserve"> </w:t>
                        </w:r>
                        <w:r>
                          <w:rPr>
                            <w:sz w:val="16"/>
                          </w:rPr>
                          <w:t>–</w:t>
                        </w:r>
                        <w:r>
                          <w:rPr>
                            <w:spacing w:val="-9"/>
                            <w:sz w:val="16"/>
                          </w:rPr>
                          <w:t xml:space="preserve"> </w:t>
                        </w:r>
                        <w:r>
                          <w:rPr>
                            <w:spacing w:val="-10"/>
                            <w:sz w:val="16"/>
                          </w:rPr>
                          <w:t>5</w:t>
                        </w:r>
                      </w:p>
                    </w:tc>
                    <w:tc>
                      <w:tcPr>
                        <w:tcW w:w="1304" w:type="dxa"/>
                        <w:shd w:val="clear" w:color="auto" w:fill="E1E0E1"/>
                      </w:tcPr>
                      <w:p w:rsidR="00F22F94" w:rsidRDefault="00F22F94">
                        <w:pPr>
                          <w:pStyle w:val="TableParagraph"/>
                          <w:rPr>
                            <w:sz w:val="16"/>
                          </w:rPr>
                        </w:pPr>
                        <w:r>
                          <w:rPr>
                            <w:spacing w:val="-2"/>
                            <w:sz w:val="16"/>
                          </w:rPr>
                          <w:t>60,000</w:t>
                        </w:r>
                      </w:p>
                    </w:tc>
                  </w:tr>
                </w:tbl>
                <w:p w:rsidR="00F22F94" w:rsidRDefault="00F22F94">
                  <w:pPr>
                    <w:pStyle w:val="BodyText"/>
                  </w:pPr>
                </w:p>
              </w:txbxContent>
            </v:textbox>
            <w10:wrap anchorx="page"/>
          </v:shape>
        </w:pict>
      </w:r>
      <w:r w:rsidR="00F22F94">
        <w:rPr>
          <w:spacing w:val="-2"/>
        </w:rPr>
        <w:t>However</w:t>
      </w:r>
      <w:r w:rsidR="00F22F94">
        <w:rPr>
          <w:spacing w:val="-8"/>
        </w:rPr>
        <w:t xml:space="preserve"> </w:t>
      </w:r>
      <w:r w:rsidR="00F22F94">
        <w:rPr>
          <w:spacing w:val="-2"/>
        </w:rPr>
        <w:t>in</w:t>
      </w:r>
      <w:r w:rsidR="00F22F94">
        <w:rPr>
          <w:spacing w:val="-8"/>
        </w:rPr>
        <w:t xml:space="preserve"> </w:t>
      </w:r>
      <w:r w:rsidR="00F22F94">
        <w:rPr>
          <w:spacing w:val="-2"/>
        </w:rPr>
        <w:t>contrast</w:t>
      </w:r>
      <w:r w:rsidR="00F22F94">
        <w:rPr>
          <w:spacing w:val="-8"/>
        </w:rPr>
        <w:t xml:space="preserve"> </w:t>
      </w:r>
      <w:r w:rsidR="00F22F94">
        <w:rPr>
          <w:spacing w:val="-2"/>
        </w:rPr>
        <w:t>the</w:t>
      </w:r>
      <w:r w:rsidR="00F22F94">
        <w:rPr>
          <w:spacing w:val="-8"/>
        </w:rPr>
        <w:t xml:space="preserve"> </w:t>
      </w:r>
      <w:r w:rsidR="00F22F94">
        <w:rPr>
          <w:spacing w:val="-2"/>
        </w:rPr>
        <w:t>City</w:t>
      </w:r>
      <w:r w:rsidR="00F22F94">
        <w:rPr>
          <w:spacing w:val="-8"/>
        </w:rPr>
        <w:t xml:space="preserve"> </w:t>
      </w:r>
      <w:r w:rsidR="00F22F94">
        <w:rPr>
          <w:spacing w:val="-2"/>
        </w:rPr>
        <w:t>Circle</w:t>
      </w:r>
      <w:r w:rsidR="00F22F94">
        <w:rPr>
          <w:spacing w:val="-8"/>
        </w:rPr>
        <w:t xml:space="preserve"> </w:t>
      </w:r>
      <w:r w:rsidR="00F22F94">
        <w:rPr>
          <w:spacing w:val="-2"/>
        </w:rPr>
        <w:t>is</w:t>
      </w:r>
      <w:r w:rsidR="00F22F94">
        <w:rPr>
          <w:spacing w:val="-8"/>
        </w:rPr>
        <w:t xml:space="preserve"> </w:t>
      </w:r>
      <w:r w:rsidR="00F22F94">
        <w:rPr>
          <w:spacing w:val="-2"/>
        </w:rPr>
        <w:t>relatively</w:t>
      </w:r>
      <w:r w:rsidR="00F22F94">
        <w:rPr>
          <w:spacing w:val="-8"/>
        </w:rPr>
        <w:t xml:space="preserve"> </w:t>
      </w:r>
      <w:r w:rsidR="00F22F94">
        <w:rPr>
          <w:spacing w:val="-2"/>
        </w:rPr>
        <w:t xml:space="preserve">lightly </w:t>
      </w:r>
      <w:r w:rsidR="00F22F94">
        <w:rPr>
          <w:w w:val="95"/>
        </w:rPr>
        <w:t xml:space="preserve">used. This situation has existed since the opening of the Eastern Suburbs Line in 1980. At present the City Circle </w:t>
      </w:r>
      <w:r w:rsidR="00F22F94">
        <w:t>carries</w:t>
      </w:r>
      <w:r w:rsidR="00F22F94">
        <w:rPr>
          <w:spacing w:val="-9"/>
        </w:rPr>
        <w:t xml:space="preserve"> </w:t>
      </w:r>
      <w:r w:rsidR="00F22F94">
        <w:t>29</w:t>
      </w:r>
      <w:r w:rsidR="00F22F94">
        <w:rPr>
          <w:spacing w:val="-9"/>
        </w:rPr>
        <w:t xml:space="preserve"> </w:t>
      </w:r>
      <w:r w:rsidR="00F22F94">
        <w:t>trains</w:t>
      </w:r>
      <w:r w:rsidR="00F22F94">
        <w:rPr>
          <w:spacing w:val="-9"/>
        </w:rPr>
        <w:t xml:space="preserve"> </w:t>
      </w:r>
      <w:r w:rsidR="00F22F94">
        <w:t>in</w:t>
      </w:r>
      <w:r w:rsidR="00F22F94">
        <w:rPr>
          <w:spacing w:val="-9"/>
        </w:rPr>
        <w:t xml:space="preserve"> </w:t>
      </w:r>
      <w:r w:rsidR="00F22F94">
        <w:t>the</w:t>
      </w:r>
      <w:r w:rsidR="00F22F94">
        <w:rPr>
          <w:spacing w:val="-9"/>
        </w:rPr>
        <w:t xml:space="preserve"> </w:t>
      </w:r>
      <w:r w:rsidR="00F22F94">
        <w:t>PM</w:t>
      </w:r>
      <w:r w:rsidR="00F22F94">
        <w:rPr>
          <w:spacing w:val="-10"/>
        </w:rPr>
        <w:t xml:space="preserve"> </w:t>
      </w:r>
      <w:r w:rsidR="00F22F94">
        <w:t>peak</w:t>
      </w:r>
      <w:r w:rsidR="00F22F94">
        <w:rPr>
          <w:spacing w:val="-9"/>
        </w:rPr>
        <w:t xml:space="preserve"> </w:t>
      </w:r>
      <w:r w:rsidR="00F22F94">
        <w:t>hour</w:t>
      </w:r>
      <w:r w:rsidR="00F22F94">
        <w:rPr>
          <w:spacing w:val="-9"/>
        </w:rPr>
        <w:t xml:space="preserve"> </w:t>
      </w:r>
      <w:r w:rsidR="00F22F94">
        <w:t>compared</w:t>
      </w:r>
      <w:r w:rsidR="00F22F94">
        <w:rPr>
          <w:spacing w:val="-9"/>
        </w:rPr>
        <w:t xml:space="preserve"> </w:t>
      </w:r>
      <w:r w:rsidR="00F22F94">
        <w:t>to</w:t>
      </w:r>
      <w:r w:rsidR="00F22F94">
        <w:rPr>
          <w:spacing w:val="-9"/>
        </w:rPr>
        <w:t xml:space="preserve"> </w:t>
      </w:r>
      <w:r w:rsidR="00F22F94">
        <w:t xml:space="preserve">48 </w:t>
      </w:r>
      <w:r w:rsidR="00F22F94">
        <w:rPr>
          <w:w w:val="95"/>
        </w:rPr>
        <w:t>trains per hour in 1972</w:t>
      </w:r>
      <w:r w:rsidR="00F22F94">
        <w:rPr>
          <w:w w:val="95"/>
          <w:position w:val="7"/>
          <w:sz w:val="11"/>
        </w:rPr>
        <w:t>6</w:t>
      </w:r>
      <w:r w:rsidR="00F22F94">
        <w:rPr>
          <w:w w:val="95"/>
        </w:rPr>
        <w:t>. The spare train paths in the City Circle</w:t>
      </w:r>
      <w:r w:rsidR="00F22F94">
        <w:rPr>
          <w:spacing w:val="-2"/>
          <w:w w:val="95"/>
        </w:rPr>
        <w:t xml:space="preserve"> </w:t>
      </w:r>
      <w:r w:rsidR="00F22F94">
        <w:rPr>
          <w:w w:val="95"/>
        </w:rPr>
        <w:t>could</w:t>
      </w:r>
      <w:r w:rsidR="00F22F94">
        <w:rPr>
          <w:spacing w:val="-2"/>
          <w:w w:val="95"/>
        </w:rPr>
        <w:t xml:space="preserve"> </w:t>
      </w:r>
      <w:r w:rsidR="00F22F94">
        <w:rPr>
          <w:w w:val="95"/>
        </w:rPr>
        <w:t>carry</w:t>
      </w:r>
      <w:r w:rsidR="00F22F94">
        <w:rPr>
          <w:spacing w:val="-2"/>
          <w:w w:val="95"/>
        </w:rPr>
        <w:t xml:space="preserve"> </w:t>
      </w:r>
      <w:r w:rsidR="00F22F94">
        <w:rPr>
          <w:w w:val="95"/>
        </w:rPr>
        <w:t>around</w:t>
      </w:r>
      <w:r w:rsidR="00F22F94">
        <w:rPr>
          <w:spacing w:val="-2"/>
          <w:w w:val="95"/>
        </w:rPr>
        <w:t xml:space="preserve"> </w:t>
      </w:r>
      <w:r w:rsidR="00F22F94">
        <w:rPr>
          <w:w w:val="95"/>
        </w:rPr>
        <w:t>25,000</w:t>
      </w:r>
      <w:r w:rsidR="00F22F94">
        <w:rPr>
          <w:spacing w:val="-2"/>
          <w:w w:val="95"/>
        </w:rPr>
        <w:t xml:space="preserve"> </w:t>
      </w:r>
      <w:r w:rsidR="00F22F94">
        <w:rPr>
          <w:w w:val="95"/>
        </w:rPr>
        <w:t>extra</w:t>
      </w:r>
      <w:r w:rsidR="00F22F94">
        <w:rPr>
          <w:spacing w:val="-2"/>
          <w:w w:val="95"/>
        </w:rPr>
        <w:t xml:space="preserve"> </w:t>
      </w:r>
      <w:r w:rsidR="00F22F94">
        <w:rPr>
          <w:w w:val="95"/>
        </w:rPr>
        <w:t>passengers</w:t>
      </w:r>
      <w:r w:rsidR="00F22F94">
        <w:rPr>
          <w:spacing w:val="-2"/>
          <w:w w:val="95"/>
        </w:rPr>
        <w:t xml:space="preserve"> </w:t>
      </w:r>
      <w:r w:rsidR="00F22F94">
        <w:rPr>
          <w:w w:val="95"/>
        </w:rPr>
        <w:t>in</w:t>
      </w:r>
      <w:r w:rsidR="00F22F94">
        <w:rPr>
          <w:spacing w:val="-2"/>
          <w:w w:val="95"/>
        </w:rPr>
        <w:t xml:space="preserve"> </w:t>
      </w:r>
      <w:r w:rsidR="00F22F94">
        <w:rPr>
          <w:w w:val="95"/>
        </w:rPr>
        <w:t xml:space="preserve">the </w:t>
      </w:r>
      <w:r w:rsidR="00F22F94">
        <w:t>peak</w:t>
      </w:r>
      <w:r w:rsidR="00F22F94">
        <w:rPr>
          <w:spacing w:val="-11"/>
        </w:rPr>
        <w:t xml:space="preserve"> </w:t>
      </w:r>
      <w:r w:rsidR="00F22F94">
        <w:t>hour.</w:t>
      </w:r>
    </w:p>
    <w:p w:rsidR="002C1123" w:rsidRDefault="00F22F94">
      <w:pPr>
        <w:pStyle w:val="BodyText"/>
        <w:spacing w:before="148" w:line="249" w:lineRule="auto"/>
        <w:ind w:left="492"/>
      </w:pPr>
      <w:r>
        <w:rPr>
          <w:w w:val="95"/>
        </w:rPr>
        <w:t>The</w:t>
      </w:r>
      <w:r>
        <w:rPr>
          <w:spacing w:val="-11"/>
          <w:w w:val="95"/>
        </w:rPr>
        <w:t xml:space="preserve"> </w:t>
      </w:r>
      <w:r>
        <w:rPr>
          <w:w w:val="95"/>
        </w:rPr>
        <w:t>busiest</w:t>
      </w:r>
      <w:r>
        <w:rPr>
          <w:spacing w:val="-11"/>
          <w:w w:val="95"/>
        </w:rPr>
        <w:t xml:space="preserve"> </w:t>
      </w:r>
      <w:r>
        <w:rPr>
          <w:w w:val="95"/>
        </w:rPr>
        <w:t>CBD</w:t>
      </w:r>
      <w:r>
        <w:rPr>
          <w:spacing w:val="-11"/>
          <w:w w:val="95"/>
        </w:rPr>
        <w:t xml:space="preserve"> </w:t>
      </w:r>
      <w:r>
        <w:rPr>
          <w:w w:val="95"/>
        </w:rPr>
        <w:t>stations</w:t>
      </w:r>
      <w:r>
        <w:rPr>
          <w:spacing w:val="-11"/>
          <w:w w:val="95"/>
        </w:rPr>
        <w:t xml:space="preserve"> </w:t>
      </w:r>
      <w:r>
        <w:rPr>
          <w:w w:val="95"/>
        </w:rPr>
        <w:t>are</w:t>
      </w:r>
      <w:r>
        <w:rPr>
          <w:spacing w:val="-11"/>
          <w:w w:val="95"/>
        </w:rPr>
        <w:t xml:space="preserve"> </w:t>
      </w:r>
      <w:r>
        <w:rPr>
          <w:w w:val="95"/>
        </w:rPr>
        <w:t>Town</w:t>
      </w:r>
      <w:r>
        <w:rPr>
          <w:spacing w:val="-11"/>
          <w:w w:val="95"/>
        </w:rPr>
        <w:t xml:space="preserve"> </w:t>
      </w:r>
      <w:r>
        <w:rPr>
          <w:w w:val="95"/>
        </w:rPr>
        <w:t>Hall</w:t>
      </w:r>
      <w:r>
        <w:rPr>
          <w:spacing w:val="-11"/>
          <w:w w:val="95"/>
        </w:rPr>
        <w:t xml:space="preserve"> </w:t>
      </w:r>
      <w:r>
        <w:rPr>
          <w:w w:val="95"/>
        </w:rPr>
        <w:t>and</w:t>
      </w:r>
      <w:r>
        <w:rPr>
          <w:spacing w:val="-11"/>
          <w:w w:val="95"/>
        </w:rPr>
        <w:t xml:space="preserve"> </w:t>
      </w:r>
      <w:r>
        <w:rPr>
          <w:w w:val="95"/>
        </w:rPr>
        <w:t>Wynyard</w:t>
      </w:r>
      <w:r>
        <w:rPr>
          <w:spacing w:val="-11"/>
          <w:w w:val="95"/>
        </w:rPr>
        <w:t xml:space="preserve"> </w:t>
      </w:r>
      <w:r>
        <w:rPr>
          <w:w w:val="95"/>
        </w:rPr>
        <w:t xml:space="preserve">as </w:t>
      </w:r>
      <w:r>
        <w:t>summarised in Table 8.4.</w:t>
      </w:r>
    </w:p>
    <w:p w:rsidR="002C1123" w:rsidRDefault="002C1123">
      <w:pPr>
        <w:spacing w:line="249" w:lineRule="auto"/>
        <w:sectPr w:rsidR="002C1123">
          <w:type w:val="continuous"/>
          <w:pgSz w:w="16840" w:h="11910" w:orient="landscape"/>
          <w:pgMar w:top="560" w:right="280" w:bottom="280" w:left="500" w:header="0" w:footer="517" w:gutter="0"/>
          <w:cols w:num="6" w:space="720" w:equalWidth="0">
            <w:col w:w="5271" w:space="40"/>
            <w:col w:w="1921" w:space="39"/>
            <w:col w:w="649" w:space="40"/>
            <w:col w:w="848" w:space="39"/>
            <w:col w:w="1030" w:space="177"/>
            <w:col w:w="6006"/>
          </w:cols>
        </w:sectPr>
      </w:pPr>
    </w:p>
    <w:p w:rsidR="002C1123" w:rsidRDefault="002C1123">
      <w:pPr>
        <w:pStyle w:val="BodyText"/>
        <w:spacing w:before="2"/>
        <w:rPr>
          <w:sz w:val="22"/>
        </w:rPr>
      </w:pPr>
    </w:p>
    <w:p w:rsidR="002C1123" w:rsidRDefault="002060EF">
      <w:pPr>
        <w:pStyle w:val="BodyText"/>
        <w:spacing w:line="20" w:lineRule="exact"/>
        <w:ind w:left="10545"/>
        <w:rPr>
          <w:sz w:val="2"/>
        </w:rPr>
      </w:pPr>
      <w:r>
        <w:rPr>
          <w:sz w:val="2"/>
        </w:rPr>
      </w:r>
      <w:r>
        <w:rPr>
          <w:sz w:val="2"/>
        </w:rPr>
        <w:pict>
          <v:group id="docshapegroup1453" o:spid="_x0000_s3769" style="width:1in;height:.5pt;mso-position-horizontal-relative:char;mso-position-vertical-relative:line" coordsize="1440,10">
            <v:line id="_x0000_s3770" style="position:absolute" from="0,5" to="1440,5" strokecolor="#9c9c9d" strokeweight=".5pt"/>
            <w10:anchorlock/>
          </v:group>
        </w:pict>
      </w:r>
    </w:p>
    <w:p w:rsidR="002C1123" w:rsidRDefault="00F22F94">
      <w:pPr>
        <w:pStyle w:val="ListParagraph"/>
        <w:numPr>
          <w:ilvl w:val="2"/>
          <w:numId w:val="85"/>
        </w:numPr>
        <w:tabs>
          <w:tab w:val="left" w:pos="10745"/>
        </w:tabs>
        <w:spacing w:before="8"/>
        <w:ind w:hanging="200"/>
        <w:jc w:val="left"/>
        <w:rPr>
          <w:sz w:val="14"/>
        </w:rPr>
      </w:pPr>
      <w:r>
        <w:rPr>
          <w:w w:val="95"/>
          <w:sz w:val="14"/>
        </w:rPr>
        <w:t>CityRail,</w:t>
      </w:r>
      <w:r>
        <w:rPr>
          <w:spacing w:val="4"/>
          <w:sz w:val="14"/>
        </w:rPr>
        <w:t xml:space="preserve"> </w:t>
      </w:r>
      <w:r>
        <w:rPr>
          <w:w w:val="95"/>
          <w:sz w:val="14"/>
        </w:rPr>
        <w:t>December</w:t>
      </w:r>
      <w:r>
        <w:rPr>
          <w:spacing w:val="5"/>
          <w:sz w:val="14"/>
        </w:rPr>
        <w:t xml:space="preserve"> </w:t>
      </w:r>
      <w:r>
        <w:rPr>
          <w:w w:val="95"/>
          <w:sz w:val="14"/>
        </w:rPr>
        <w:t>1971</w:t>
      </w:r>
      <w:r>
        <w:rPr>
          <w:spacing w:val="5"/>
          <w:sz w:val="14"/>
        </w:rPr>
        <w:t xml:space="preserve"> </w:t>
      </w:r>
      <w:r>
        <w:rPr>
          <w:w w:val="95"/>
          <w:sz w:val="14"/>
        </w:rPr>
        <w:t>Metropolitan</w:t>
      </w:r>
      <w:r>
        <w:rPr>
          <w:spacing w:val="5"/>
          <w:sz w:val="14"/>
        </w:rPr>
        <w:t xml:space="preserve"> </w:t>
      </w:r>
      <w:r>
        <w:rPr>
          <w:spacing w:val="-2"/>
          <w:w w:val="95"/>
          <w:sz w:val="14"/>
        </w:rPr>
        <w:t>Timetable.</w:t>
      </w:r>
    </w:p>
    <w:p w:rsidR="002C1123" w:rsidRDefault="002C1123">
      <w:pPr>
        <w:rPr>
          <w:sz w:val="14"/>
        </w:rPr>
        <w:sectPr w:rsidR="002C1123">
          <w:type w:val="continuous"/>
          <w:pgSz w:w="16840" w:h="11910" w:orient="landscape"/>
          <w:pgMar w:top="560" w:right="280" w:bottom="280" w:left="500" w:header="0" w:footer="517"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spacing w:before="110"/>
        <w:ind w:left="512"/>
        <w:rPr>
          <w:b/>
          <w:sz w:val="18"/>
        </w:rPr>
      </w:pPr>
      <w:bookmarkStart w:id="221" w:name="_bookmark157"/>
      <w:bookmarkEnd w:id="221"/>
      <w:r>
        <w:rPr>
          <w:b/>
          <w:sz w:val="18"/>
        </w:rPr>
        <w:t>Table</w:t>
      </w:r>
      <w:r>
        <w:rPr>
          <w:b/>
          <w:spacing w:val="-19"/>
          <w:sz w:val="18"/>
        </w:rPr>
        <w:t xml:space="preserve"> </w:t>
      </w:r>
      <w:r>
        <w:rPr>
          <w:b/>
          <w:sz w:val="18"/>
        </w:rPr>
        <w:t>8.4</w:t>
      </w:r>
      <w:r>
        <w:rPr>
          <w:b/>
          <w:spacing w:val="15"/>
          <w:sz w:val="18"/>
        </w:rPr>
        <w:t xml:space="preserve"> </w:t>
      </w:r>
      <w:r>
        <w:rPr>
          <w:b/>
          <w:sz w:val="18"/>
        </w:rPr>
        <w:t>CBD</w:t>
      </w:r>
      <w:r>
        <w:rPr>
          <w:b/>
          <w:spacing w:val="-19"/>
          <w:sz w:val="18"/>
        </w:rPr>
        <w:t xml:space="preserve"> </w:t>
      </w:r>
      <w:r>
        <w:rPr>
          <w:b/>
          <w:sz w:val="18"/>
        </w:rPr>
        <w:t>Station</w:t>
      </w:r>
      <w:r>
        <w:rPr>
          <w:b/>
          <w:spacing w:val="-19"/>
          <w:sz w:val="18"/>
        </w:rPr>
        <w:t xml:space="preserve"> </w:t>
      </w:r>
      <w:r>
        <w:rPr>
          <w:b/>
          <w:spacing w:val="-2"/>
          <w:sz w:val="18"/>
        </w:rPr>
        <w:t>Utilisation</w:t>
      </w:r>
    </w:p>
    <w:p w:rsidR="002C1123" w:rsidRDefault="00F22F94">
      <w:pPr>
        <w:spacing w:before="102" w:line="182" w:lineRule="exact"/>
        <w:ind w:left="3005"/>
        <w:rPr>
          <w:b/>
          <w:sz w:val="16"/>
        </w:rPr>
      </w:pPr>
      <w:r>
        <w:rPr>
          <w:b/>
          <w:color w:val="2E3092"/>
          <w:spacing w:val="-2"/>
          <w:sz w:val="16"/>
        </w:rPr>
        <w:t>Station</w:t>
      </w:r>
      <w:r>
        <w:rPr>
          <w:b/>
          <w:color w:val="2E3092"/>
          <w:spacing w:val="-5"/>
          <w:sz w:val="16"/>
        </w:rPr>
        <w:t xml:space="preserve"> </w:t>
      </w:r>
      <w:r>
        <w:rPr>
          <w:b/>
          <w:color w:val="2E3092"/>
          <w:spacing w:val="-2"/>
          <w:sz w:val="16"/>
        </w:rPr>
        <w:t>Entries</w:t>
      </w:r>
      <w:r>
        <w:rPr>
          <w:b/>
          <w:color w:val="2E3092"/>
          <w:spacing w:val="-5"/>
          <w:sz w:val="16"/>
        </w:rPr>
        <w:t xml:space="preserve"> </w:t>
      </w:r>
      <w:r>
        <w:rPr>
          <w:b/>
          <w:color w:val="2E3092"/>
          <w:spacing w:val="-2"/>
          <w:sz w:val="16"/>
        </w:rPr>
        <w:t>–</w:t>
      </w:r>
      <w:r>
        <w:rPr>
          <w:b/>
          <w:color w:val="2E3092"/>
          <w:spacing w:val="-5"/>
          <w:sz w:val="16"/>
        </w:rPr>
        <w:t xml:space="preserve"> </w:t>
      </w:r>
      <w:r>
        <w:rPr>
          <w:b/>
          <w:color w:val="2E3092"/>
          <w:spacing w:val="-2"/>
          <w:sz w:val="16"/>
        </w:rPr>
        <w:t>PM</w:t>
      </w:r>
      <w:r>
        <w:rPr>
          <w:b/>
          <w:color w:val="2E3092"/>
          <w:spacing w:val="-5"/>
          <w:sz w:val="16"/>
        </w:rPr>
        <w:t xml:space="preserve"> </w:t>
      </w:r>
      <w:r>
        <w:rPr>
          <w:b/>
          <w:color w:val="2E3092"/>
          <w:spacing w:val="-4"/>
          <w:sz w:val="16"/>
        </w:rPr>
        <w:t>Peak</w:t>
      </w:r>
    </w:p>
    <w:p w:rsidR="002C1123" w:rsidRDefault="002060EF">
      <w:pPr>
        <w:tabs>
          <w:tab w:val="left" w:pos="2022"/>
          <w:tab w:val="left" w:pos="3005"/>
        </w:tabs>
        <w:spacing w:line="182" w:lineRule="exact"/>
        <w:ind w:left="615"/>
        <w:rPr>
          <w:b/>
          <w:sz w:val="16"/>
        </w:rPr>
      </w:pPr>
      <w:r>
        <w:pict>
          <v:shape id="docshape1454" o:spid="_x0000_s3768" type="#_x0000_t202" style="position:absolute;left:0;text-align:left;margin-left:49.6pt;margin-top:12.55pt;width:240pt;height:119.85pt;z-index:251414528;mso-position-horizontal-relative:page" filled="f" stroked="f">
            <v:textbox inset="0,0,0,0">
              <w:txbxContent>
                <w:tbl>
                  <w:tblPr>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407"/>
                    <w:gridCol w:w="982"/>
                    <w:gridCol w:w="2389"/>
                  </w:tblGrid>
                  <w:tr w:rsidR="00F22F94">
                    <w:trPr>
                      <w:trHeight w:val="331"/>
                    </w:trPr>
                    <w:tc>
                      <w:tcPr>
                        <w:tcW w:w="1407" w:type="dxa"/>
                        <w:tcBorders>
                          <w:top w:val="nil"/>
                          <w:left w:val="nil"/>
                        </w:tcBorders>
                        <w:shd w:val="clear" w:color="auto" w:fill="C9C8C9"/>
                      </w:tcPr>
                      <w:p w:rsidR="00F22F94" w:rsidRDefault="00F22F94">
                        <w:pPr>
                          <w:pStyle w:val="TableParagraph"/>
                          <w:spacing w:before="77"/>
                          <w:rPr>
                            <w:sz w:val="16"/>
                          </w:rPr>
                        </w:pPr>
                        <w:r>
                          <w:rPr>
                            <w:spacing w:val="-2"/>
                            <w:sz w:val="16"/>
                          </w:rPr>
                          <w:t>Town</w:t>
                        </w:r>
                        <w:r>
                          <w:rPr>
                            <w:spacing w:val="-6"/>
                            <w:sz w:val="16"/>
                          </w:rPr>
                          <w:t xml:space="preserve"> </w:t>
                        </w:r>
                        <w:r>
                          <w:rPr>
                            <w:spacing w:val="-4"/>
                            <w:w w:val="105"/>
                            <w:sz w:val="16"/>
                          </w:rPr>
                          <w:t>Hall</w:t>
                        </w:r>
                      </w:p>
                    </w:tc>
                    <w:tc>
                      <w:tcPr>
                        <w:tcW w:w="982" w:type="dxa"/>
                        <w:tcBorders>
                          <w:top w:val="nil"/>
                        </w:tcBorders>
                        <w:shd w:val="clear" w:color="auto" w:fill="E1E0E1"/>
                      </w:tcPr>
                      <w:p w:rsidR="00F22F94" w:rsidRDefault="00F22F94">
                        <w:pPr>
                          <w:pStyle w:val="TableParagraph"/>
                          <w:spacing w:before="77"/>
                          <w:rPr>
                            <w:sz w:val="16"/>
                          </w:rPr>
                        </w:pPr>
                        <w:r>
                          <w:rPr>
                            <w:w w:val="99"/>
                            <w:sz w:val="16"/>
                          </w:rPr>
                          <w:t>6</w:t>
                        </w:r>
                      </w:p>
                    </w:tc>
                    <w:tc>
                      <w:tcPr>
                        <w:tcW w:w="2389" w:type="dxa"/>
                        <w:tcBorders>
                          <w:top w:val="nil"/>
                        </w:tcBorders>
                        <w:shd w:val="clear" w:color="auto" w:fill="E1E0E1"/>
                      </w:tcPr>
                      <w:p w:rsidR="00F22F94" w:rsidRDefault="00F22F94">
                        <w:pPr>
                          <w:pStyle w:val="TableParagraph"/>
                          <w:spacing w:before="77"/>
                          <w:ind w:left="114"/>
                          <w:rPr>
                            <w:sz w:val="16"/>
                          </w:rPr>
                        </w:pPr>
                        <w:r>
                          <w:rPr>
                            <w:spacing w:val="-2"/>
                            <w:sz w:val="16"/>
                          </w:rPr>
                          <w:t>39,000</w:t>
                        </w:r>
                      </w:p>
                    </w:tc>
                  </w:tr>
                  <w:tr w:rsidR="00F22F94">
                    <w:trPr>
                      <w:trHeight w:val="321"/>
                    </w:trPr>
                    <w:tc>
                      <w:tcPr>
                        <w:tcW w:w="1407" w:type="dxa"/>
                        <w:tcBorders>
                          <w:left w:val="nil"/>
                        </w:tcBorders>
                        <w:shd w:val="clear" w:color="auto" w:fill="C9C8C9"/>
                      </w:tcPr>
                      <w:p w:rsidR="00F22F94" w:rsidRDefault="00F22F94">
                        <w:pPr>
                          <w:pStyle w:val="TableParagraph"/>
                          <w:rPr>
                            <w:sz w:val="16"/>
                          </w:rPr>
                        </w:pPr>
                        <w:r>
                          <w:rPr>
                            <w:spacing w:val="-2"/>
                            <w:w w:val="105"/>
                            <w:sz w:val="16"/>
                          </w:rPr>
                          <w:t>Wynyard</w:t>
                        </w:r>
                      </w:p>
                    </w:tc>
                    <w:tc>
                      <w:tcPr>
                        <w:tcW w:w="982" w:type="dxa"/>
                        <w:shd w:val="clear" w:color="auto" w:fill="E1E0E1"/>
                      </w:tcPr>
                      <w:p w:rsidR="00F22F94" w:rsidRDefault="00F22F94">
                        <w:pPr>
                          <w:pStyle w:val="TableParagraph"/>
                          <w:rPr>
                            <w:sz w:val="16"/>
                          </w:rPr>
                        </w:pPr>
                        <w:r>
                          <w:rPr>
                            <w:w w:val="99"/>
                            <w:sz w:val="16"/>
                          </w:rPr>
                          <w:t>4</w:t>
                        </w:r>
                      </w:p>
                    </w:tc>
                    <w:tc>
                      <w:tcPr>
                        <w:tcW w:w="2389" w:type="dxa"/>
                        <w:shd w:val="clear" w:color="auto" w:fill="E1E0E1"/>
                      </w:tcPr>
                      <w:p w:rsidR="00F22F94" w:rsidRDefault="00F22F94">
                        <w:pPr>
                          <w:pStyle w:val="TableParagraph"/>
                          <w:ind w:left="114"/>
                          <w:rPr>
                            <w:sz w:val="16"/>
                          </w:rPr>
                        </w:pPr>
                        <w:r>
                          <w:rPr>
                            <w:spacing w:val="-2"/>
                            <w:sz w:val="16"/>
                          </w:rPr>
                          <w:t>33,000</w:t>
                        </w:r>
                      </w:p>
                    </w:tc>
                  </w:tr>
                  <w:tr w:rsidR="00F22F94">
                    <w:trPr>
                      <w:trHeight w:val="321"/>
                    </w:trPr>
                    <w:tc>
                      <w:tcPr>
                        <w:tcW w:w="1407" w:type="dxa"/>
                        <w:tcBorders>
                          <w:left w:val="nil"/>
                        </w:tcBorders>
                        <w:shd w:val="clear" w:color="auto" w:fill="C9C8C9"/>
                      </w:tcPr>
                      <w:p w:rsidR="00F22F94" w:rsidRDefault="00F22F94">
                        <w:pPr>
                          <w:pStyle w:val="TableParagraph"/>
                          <w:rPr>
                            <w:sz w:val="16"/>
                          </w:rPr>
                        </w:pPr>
                        <w:r>
                          <w:rPr>
                            <w:spacing w:val="-2"/>
                            <w:w w:val="105"/>
                            <w:sz w:val="16"/>
                          </w:rPr>
                          <w:t>Martin</w:t>
                        </w:r>
                        <w:r>
                          <w:rPr>
                            <w:spacing w:val="-5"/>
                            <w:w w:val="105"/>
                            <w:sz w:val="16"/>
                          </w:rPr>
                          <w:t xml:space="preserve"> </w:t>
                        </w:r>
                        <w:r>
                          <w:rPr>
                            <w:spacing w:val="-2"/>
                            <w:w w:val="105"/>
                            <w:sz w:val="16"/>
                          </w:rPr>
                          <w:t>Place</w:t>
                        </w:r>
                      </w:p>
                    </w:tc>
                    <w:tc>
                      <w:tcPr>
                        <w:tcW w:w="982" w:type="dxa"/>
                        <w:shd w:val="clear" w:color="auto" w:fill="E1E0E1"/>
                      </w:tcPr>
                      <w:p w:rsidR="00F22F94" w:rsidRDefault="00F22F94">
                        <w:pPr>
                          <w:pStyle w:val="TableParagraph"/>
                          <w:rPr>
                            <w:sz w:val="16"/>
                          </w:rPr>
                        </w:pPr>
                        <w:r>
                          <w:rPr>
                            <w:w w:val="99"/>
                            <w:sz w:val="16"/>
                          </w:rPr>
                          <w:t>2</w:t>
                        </w:r>
                      </w:p>
                    </w:tc>
                    <w:tc>
                      <w:tcPr>
                        <w:tcW w:w="2389" w:type="dxa"/>
                        <w:shd w:val="clear" w:color="auto" w:fill="E1E0E1"/>
                      </w:tcPr>
                      <w:p w:rsidR="00F22F94" w:rsidRDefault="00F22F94">
                        <w:pPr>
                          <w:pStyle w:val="TableParagraph"/>
                          <w:ind w:left="114"/>
                          <w:rPr>
                            <w:sz w:val="16"/>
                          </w:rPr>
                        </w:pPr>
                        <w:r>
                          <w:rPr>
                            <w:spacing w:val="-2"/>
                            <w:sz w:val="16"/>
                          </w:rPr>
                          <w:t>12,000</w:t>
                        </w:r>
                      </w:p>
                    </w:tc>
                  </w:tr>
                  <w:tr w:rsidR="00F22F94">
                    <w:trPr>
                      <w:trHeight w:val="321"/>
                    </w:trPr>
                    <w:tc>
                      <w:tcPr>
                        <w:tcW w:w="1407" w:type="dxa"/>
                        <w:tcBorders>
                          <w:left w:val="nil"/>
                        </w:tcBorders>
                        <w:shd w:val="clear" w:color="auto" w:fill="C9C8C9"/>
                      </w:tcPr>
                      <w:p w:rsidR="00F22F94" w:rsidRDefault="00F22F94">
                        <w:pPr>
                          <w:pStyle w:val="TableParagraph"/>
                          <w:rPr>
                            <w:sz w:val="16"/>
                          </w:rPr>
                        </w:pPr>
                        <w:r>
                          <w:rPr>
                            <w:sz w:val="16"/>
                          </w:rPr>
                          <w:t xml:space="preserve">Circular </w:t>
                        </w:r>
                        <w:r>
                          <w:rPr>
                            <w:spacing w:val="-4"/>
                            <w:sz w:val="16"/>
                          </w:rPr>
                          <w:t>Quay</w:t>
                        </w:r>
                      </w:p>
                    </w:tc>
                    <w:tc>
                      <w:tcPr>
                        <w:tcW w:w="982" w:type="dxa"/>
                        <w:shd w:val="clear" w:color="auto" w:fill="E1E0E1"/>
                      </w:tcPr>
                      <w:p w:rsidR="00F22F94" w:rsidRDefault="00F22F94">
                        <w:pPr>
                          <w:pStyle w:val="TableParagraph"/>
                          <w:rPr>
                            <w:sz w:val="16"/>
                          </w:rPr>
                        </w:pPr>
                        <w:r>
                          <w:rPr>
                            <w:w w:val="99"/>
                            <w:sz w:val="16"/>
                          </w:rPr>
                          <w:t>2</w:t>
                        </w:r>
                      </w:p>
                    </w:tc>
                    <w:tc>
                      <w:tcPr>
                        <w:tcW w:w="2389" w:type="dxa"/>
                        <w:shd w:val="clear" w:color="auto" w:fill="E1E0E1"/>
                      </w:tcPr>
                      <w:p w:rsidR="00F22F94" w:rsidRDefault="00F22F94">
                        <w:pPr>
                          <w:pStyle w:val="TableParagraph"/>
                          <w:ind w:left="114"/>
                          <w:rPr>
                            <w:sz w:val="16"/>
                          </w:rPr>
                        </w:pPr>
                        <w:r>
                          <w:rPr>
                            <w:spacing w:val="-2"/>
                            <w:sz w:val="16"/>
                          </w:rPr>
                          <w:t>8,000</w:t>
                        </w:r>
                      </w:p>
                    </w:tc>
                  </w:tr>
                  <w:tr w:rsidR="00F22F94">
                    <w:trPr>
                      <w:trHeight w:val="321"/>
                    </w:trPr>
                    <w:tc>
                      <w:tcPr>
                        <w:tcW w:w="1407" w:type="dxa"/>
                        <w:tcBorders>
                          <w:left w:val="nil"/>
                        </w:tcBorders>
                        <w:shd w:val="clear" w:color="auto" w:fill="C9C8C9"/>
                      </w:tcPr>
                      <w:p w:rsidR="00F22F94" w:rsidRDefault="00F22F94">
                        <w:pPr>
                          <w:pStyle w:val="TableParagraph"/>
                          <w:rPr>
                            <w:sz w:val="16"/>
                          </w:rPr>
                        </w:pPr>
                        <w:r>
                          <w:rPr>
                            <w:w w:val="105"/>
                            <w:sz w:val="16"/>
                          </w:rPr>
                          <w:t>St</w:t>
                        </w:r>
                        <w:r>
                          <w:rPr>
                            <w:spacing w:val="-12"/>
                            <w:w w:val="105"/>
                            <w:sz w:val="16"/>
                          </w:rPr>
                          <w:t xml:space="preserve"> </w:t>
                        </w:r>
                        <w:r>
                          <w:rPr>
                            <w:spacing w:val="-4"/>
                            <w:w w:val="105"/>
                            <w:sz w:val="16"/>
                          </w:rPr>
                          <w:t>James</w:t>
                        </w:r>
                      </w:p>
                    </w:tc>
                    <w:tc>
                      <w:tcPr>
                        <w:tcW w:w="982" w:type="dxa"/>
                        <w:shd w:val="clear" w:color="auto" w:fill="E1E0E1"/>
                      </w:tcPr>
                      <w:p w:rsidR="00F22F94" w:rsidRDefault="00F22F94">
                        <w:pPr>
                          <w:pStyle w:val="TableParagraph"/>
                          <w:rPr>
                            <w:sz w:val="16"/>
                          </w:rPr>
                        </w:pPr>
                        <w:r>
                          <w:rPr>
                            <w:w w:val="99"/>
                            <w:sz w:val="16"/>
                          </w:rPr>
                          <w:t>2</w:t>
                        </w:r>
                      </w:p>
                    </w:tc>
                    <w:tc>
                      <w:tcPr>
                        <w:tcW w:w="2389" w:type="dxa"/>
                        <w:shd w:val="clear" w:color="auto" w:fill="E1E0E1"/>
                      </w:tcPr>
                      <w:p w:rsidR="00F22F94" w:rsidRDefault="00F22F94">
                        <w:pPr>
                          <w:pStyle w:val="TableParagraph"/>
                          <w:ind w:left="114"/>
                          <w:rPr>
                            <w:sz w:val="16"/>
                          </w:rPr>
                        </w:pPr>
                        <w:r>
                          <w:rPr>
                            <w:spacing w:val="-2"/>
                            <w:sz w:val="16"/>
                          </w:rPr>
                          <w:t>4,000</w:t>
                        </w:r>
                      </w:p>
                    </w:tc>
                  </w:tr>
                  <w:tr w:rsidR="00F22F94">
                    <w:trPr>
                      <w:trHeight w:val="321"/>
                    </w:trPr>
                    <w:tc>
                      <w:tcPr>
                        <w:tcW w:w="1407" w:type="dxa"/>
                        <w:tcBorders>
                          <w:left w:val="nil"/>
                        </w:tcBorders>
                        <w:shd w:val="clear" w:color="auto" w:fill="C9C8C9"/>
                      </w:tcPr>
                      <w:p w:rsidR="00F22F94" w:rsidRDefault="00F22F94">
                        <w:pPr>
                          <w:pStyle w:val="TableParagraph"/>
                          <w:rPr>
                            <w:sz w:val="16"/>
                          </w:rPr>
                        </w:pPr>
                        <w:r>
                          <w:rPr>
                            <w:spacing w:val="-2"/>
                            <w:w w:val="105"/>
                            <w:sz w:val="16"/>
                          </w:rPr>
                          <w:t>Museum</w:t>
                        </w:r>
                      </w:p>
                    </w:tc>
                    <w:tc>
                      <w:tcPr>
                        <w:tcW w:w="982" w:type="dxa"/>
                        <w:shd w:val="clear" w:color="auto" w:fill="E1E0E1"/>
                      </w:tcPr>
                      <w:p w:rsidR="00F22F94" w:rsidRDefault="00F22F94">
                        <w:pPr>
                          <w:pStyle w:val="TableParagraph"/>
                          <w:rPr>
                            <w:sz w:val="16"/>
                          </w:rPr>
                        </w:pPr>
                        <w:r>
                          <w:rPr>
                            <w:w w:val="99"/>
                            <w:sz w:val="16"/>
                          </w:rPr>
                          <w:t>2</w:t>
                        </w:r>
                      </w:p>
                    </w:tc>
                    <w:tc>
                      <w:tcPr>
                        <w:tcW w:w="2389" w:type="dxa"/>
                        <w:shd w:val="clear" w:color="auto" w:fill="E1E0E1"/>
                      </w:tcPr>
                      <w:p w:rsidR="00F22F94" w:rsidRDefault="00F22F94">
                        <w:pPr>
                          <w:pStyle w:val="TableParagraph"/>
                          <w:ind w:left="114"/>
                          <w:rPr>
                            <w:sz w:val="16"/>
                          </w:rPr>
                        </w:pPr>
                        <w:r>
                          <w:rPr>
                            <w:spacing w:val="-2"/>
                            <w:sz w:val="16"/>
                          </w:rPr>
                          <w:t>6,000</w:t>
                        </w:r>
                      </w:p>
                    </w:tc>
                  </w:tr>
                  <w:tr w:rsidR="00F22F94">
                    <w:trPr>
                      <w:trHeight w:val="321"/>
                    </w:trPr>
                    <w:tc>
                      <w:tcPr>
                        <w:tcW w:w="1407" w:type="dxa"/>
                        <w:tcBorders>
                          <w:left w:val="nil"/>
                        </w:tcBorders>
                        <w:shd w:val="clear" w:color="auto" w:fill="C9C8C9"/>
                      </w:tcPr>
                      <w:p w:rsidR="00F22F94" w:rsidRDefault="00F22F94">
                        <w:pPr>
                          <w:pStyle w:val="TableParagraph"/>
                          <w:rPr>
                            <w:sz w:val="16"/>
                          </w:rPr>
                        </w:pPr>
                        <w:r>
                          <w:rPr>
                            <w:spacing w:val="-2"/>
                            <w:w w:val="105"/>
                            <w:sz w:val="16"/>
                          </w:rPr>
                          <w:t>Total</w:t>
                        </w:r>
                      </w:p>
                    </w:tc>
                    <w:tc>
                      <w:tcPr>
                        <w:tcW w:w="982" w:type="dxa"/>
                        <w:shd w:val="clear" w:color="auto" w:fill="E1E0E1"/>
                      </w:tcPr>
                      <w:p w:rsidR="00F22F94" w:rsidRDefault="00F22F94">
                        <w:pPr>
                          <w:pStyle w:val="TableParagraph"/>
                          <w:rPr>
                            <w:sz w:val="16"/>
                          </w:rPr>
                        </w:pPr>
                        <w:r>
                          <w:rPr>
                            <w:spacing w:val="-5"/>
                            <w:sz w:val="16"/>
                          </w:rPr>
                          <w:t>18</w:t>
                        </w:r>
                      </w:p>
                    </w:tc>
                    <w:tc>
                      <w:tcPr>
                        <w:tcW w:w="2389" w:type="dxa"/>
                        <w:shd w:val="clear" w:color="auto" w:fill="E1E0E1"/>
                      </w:tcPr>
                      <w:p w:rsidR="00F22F94" w:rsidRDefault="00F22F94">
                        <w:pPr>
                          <w:pStyle w:val="TableParagraph"/>
                          <w:ind w:left="114"/>
                          <w:rPr>
                            <w:sz w:val="16"/>
                          </w:rPr>
                        </w:pPr>
                        <w:r>
                          <w:rPr>
                            <w:spacing w:val="-2"/>
                            <w:sz w:val="16"/>
                          </w:rPr>
                          <w:t>102,000</w:t>
                        </w:r>
                      </w:p>
                    </w:tc>
                  </w:tr>
                </w:tbl>
                <w:p w:rsidR="00F22F94" w:rsidRDefault="00F22F94">
                  <w:pPr>
                    <w:pStyle w:val="BodyText"/>
                  </w:pPr>
                </w:p>
              </w:txbxContent>
            </v:textbox>
            <w10:wrap anchorx="page"/>
          </v:shape>
        </w:pict>
      </w:r>
      <w:r w:rsidR="00F22F94">
        <w:rPr>
          <w:b/>
          <w:color w:val="2E3092"/>
          <w:spacing w:val="-2"/>
          <w:sz w:val="16"/>
        </w:rPr>
        <w:t>Station</w:t>
      </w:r>
      <w:r w:rsidR="00F22F94">
        <w:rPr>
          <w:b/>
          <w:color w:val="2E3092"/>
          <w:sz w:val="16"/>
        </w:rPr>
        <w:tab/>
      </w:r>
      <w:r w:rsidR="00F22F94">
        <w:rPr>
          <w:b/>
          <w:color w:val="2E3092"/>
          <w:spacing w:val="-2"/>
          <w:sz w:val="16"/>
        </w:rPr>
        <w:t>Platforms</w:t>
      </w:r>
      <w:r w:rsidR="00F22F94">
        <w:rPr>
          <w:b/>
          <w:color w:val="2E3092"/>
          <w:sz w:val="16"/>
        </w:rPr>
        <w:tab/>
      </w:r>
      <w:r w:rsidR="00F22F94">
        <w:rPr>
          <w:b/>
          <w:color w:val="2E3092"/>
          <w:w w:val="95"/>
          <w:sz w:val="16"/>
        </w:rPr>
        <w:t>(15:00</w:t>
      </w:r>
      <w:r w:rsidR="00F22F94">
        <w:rPr>
          <w:b/>
          <w:color w:val="2E3092"/>
          <w:spacing w:val="-8"/>
          <w:w w:val="95"/>
          <w:sz w:val="16"/>
        </w:rPr>
        <w:t xml:space="preserve"> </w:t>
      </w:r>
      <w:r w:rsidR="00F22F94">
        <w:rPr>
          <w:b/>
          <w:color w:val="2E3092"/>
          <w:w w:val="95"/>
          <w:sz w:val="16"/>
        </w:rPr>
        <w:t>–</w:t>
      </w:r>
      <w:r w:rsidR="00F22F94">
        <w:rPr>
          <w:b/>
          <w:color w:val="2E3092"/>
          <w:spacing w:val="-7"/>
          <w:w w:val="95"/>
          <w:sz w:val="16"/>
        </w:rPr>
        <w:t xml:space="preserve"> </w:t>
      </w:r>
      <w:r w:rsidR="00F22F94">
        <w:rPr>
          <w:b/>
          <w:color w:val="2E3092"/>
          <w:spacing w:val="-2"/>
          <w:w w:val="95"/>
          <w:sz w:val="16"/>
        </w:rPr>
        <w:t>18:30)</w:t>
      </w: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spacing w:before="2"/>
        <w:rPr>
          <w:b/>
          <w:sz w:val="21"/>
        </w:rPr>
      </w:pPr>
    </w:p>
    <w:p w:rsidR="002C1123" w:rsidRDefault="00F22F94">
      <w:pPr>
        <w:ind w:left="502"/>
        <w:rPr>
          <w:sz w:val="14"/>
        </w:rPr>
      </w:pPr>
      <w:r>
        <w:rPr>
          <w:w w:val="95"/>
          <w:sz w:val="14"/>
        </w:rPr>
        <w:t>Source:</w:t>
      </w:r>
      <w:r>
        <w:rPr>
          <w:spacing w:val="14"/>
          <w:sz w:val="14"/>
        </w:rPr>
        <w:t xml:space="preserve"> </w:t>
      </w:r>
      <w:r>
        <w:rPr>
          <w:spacing w:val="-2"/>
          <w:sz w:val="14"/>
        </w:rPr>
        <w:t>CityRail.</w:t>
      </w:r>
    </w:p>
    <w:p w:rsidR="002C1123" w:rsidRDefault="002C1123">
      <w:pPr>
        <w:pStyle w:val="BodyText"/>
        <w:spacing w:before="9"/>
      </w:pPr>
    </w:p>
    <w:p w:rsidR="002C1123" w:rsidRDefault="00F22F94">
      <w:pPr>
        <w:pStyle w:val="BodyText"/>
        <w:spacing w:before="1"/>
        <w:ind w:left="492"/>
      </w:pPr>
      <w:r>
        <w:rPr>
          <w:w w:val="95"/>
        </w:rPr>
        <w:t>Severe</w:t>
      </w:r>
      <w:r>
        <w:rPr>
          <w:spacing w:val="-9"/>
          <w:w w:val="95"/>
        </w:rPr>
        <w:t xml:space="preserve"> </w:t>
      </w:r>
      <w:r>
        <w:rPr>
          <w:w w:val="95"/>
        </w:rPr>
        <w:t>congestion</w:t>
      </w:r>
      <w:r>
        <w:rPr>
          <w:spacing w:val="-9"/>
          <w:w w:val="95"/>
        </w:rPr>
        <w:t xml:space="preserve"> </w:t>
      </w:r>
      <w:r>
        <w:rPr>
          <w:w w:val="95"/>
        </w:rPr>
        <w:t>is</w:t>
      </w:r>
      <w:r>
        <w:rPr>
          <w:spacing w:val="-8"/>
          <w:w w:val="95"/>
        </w:rPr>
        <w:t xml:space="preserve"> </w:t>
      </w:r>
      <w:r>
        <w:rPr>
          <w:w w:val="95"/>
        </w:rPr>
        <w:t>generally</w:t>
      </w:r>
      <w:r>
        <w:rPr>
          <w:spacing w:val="-9"/>
          <w:w w:val="95"/>
        </w:rPr>
        <w:t xml:space="preserve"> </w:t>
      </w:r>
      <w:r>
        <w:rPr>
          <w:w w:val="95"/>
        </w:rPr>
        <w:t>limited</w:t>
      </w:r>
      <w:r>
        <w:rPr>
          <w:spacing w:val="-9"/>
          <w:w w:val="95"/>
        </w:rPr>
        <w:t xml:space="preserve"> </w:t>
      </w:r>
      <w:r>
        <w:rPr>
          <w:w w:val="95"/>
        </w:rPr>
        <w:t>to</w:t>
      </w:r>
      <w:r>
        <w:rPr>
          <w:spacing w:val="-8"/>
          <w:w w:val="95"/>
        </w:rPr>
        <w:t xml:space="preserve"> </w:t>
      </w:r>
      <w:r>
        <w:rPr>
          <w:w w:val="95"/>
        </w:rPr>
        <w:t>two</w:t>
      </w:r>
      <w:r>
        <w:rPr>
          <w:spacing w:val="-9"/>
          <w:w w:val="95"/>
        </w:rPr>
        <w:t xml:space="preserve"> </w:t>
      </w:r>
      <w:r>
        <w:rPr>
          <w:w w:val="95"/>
        </w:rPr>
        <w:t>of</w:t>
      </w:r>
      <w:r>
        <w:rPr>
          <w:spacing w:val="-9"/>
          <w:w w:val="95"/>
        </w:rPr>
        <w:t xml:space="preserve"> </w:t>
      </w:r>
      <w:r>
        <w:rPr>
          <w:spacing w:val="-5"/>
          <w:w w:val="95"/>
        </w:rPr>
        <w:t>the</w:t>
      </w:r>
    </w:p>
    <w:p w:rsidR="002C1123" w:rsidRDefault="00F22F94">
      <w:pPr>
        <w:pStyle w:val="BodyText"/>
        <w:spacing w:before="10" w:line="249" w:lineRule="auto"/>
        <w:ind w:left="492"/>
      </w:pPr>
      <w:r>
        <w:rPr>
          <w:w w:val="95"/>
        </w:rPr>
        <w:t>18</w:t>
      </w:r>
      <w:r>
        <w:rPr>
          <w:spacing w:val="-4"/>
          <w:w w:val="95"/>
        </w:rPr>
        <w:t xml:space="preserve"> </w:t>
      </w:r>
      <w:r>
        <w:rPr>
          <w:w w:val="95"/>
        </w:rPr>
        <w:t>CBD</w:t>
      </w:r>
      <w:r>
        <w:rPr>
          <w:spacing w:val="-4"/>
          <w:w w:val="95"/>
        </w:rPr>
        <w:t xml:space="preserve"> </w:t>
      </w:r>
      <w:r>
        <w:rPr>
          <w:w w:val="95"/>
        </w:rPr>
        <w:t>platforms;</w:t>
      </w:r>
      <w:r>
        <w:rPr>
          <w:spacing w:val="-4"/>
          <w:w w:val="95"/>
        </w:rPr>
        <w:t xml:space="preserve"> </w:t>
      </w:r>
      <w:r>
        <w:rPr>
          <w:w w:val="95"/>
        </w:rPr>
        <w:t>that</w:t>
      </w:r>
      <w:r>
        <w:rPr>
          <w:spacing w:val="-4"/>
          <w:w w:val="95"/>
        </w:rPr>
        <w:t xml:space="preserve"> </w:t>
      </w:r>
      <w:r>
        <w:rPr>
          <w:w w:val="95"/>
        </w:rPr>
        <w:t>is,</w:t>
      </w:r>
      <w:r>
        <w:rPr>
          <w:spacing w:val="-4"/>
          <w:w w:val="95"/>
        </w:rPr>
        <w:t xml:space="preserve"> </w:t>
      </w:r>
      <w:r>
        <w:rPr>
          <w:w w:val="95"/>
        </w:rPr>
        <w:t>Platform</w:t>
      </w:r>
      <w:r>
        <w:rPr>
          <w:spacing w:val="-5"/>
          <w:w w:val="95"/>
        </w:rPr>
        <w:t xml:space="preserve"> </w:t>
      </w:r>
      <w:r>
        <w:rPr>
          <w:w w:val="95"/>
        </w:rPr>
        <w:t>2</w:t>
      </w:r>
      <w:r>
        <w:rPr>
          <w:spacing w:val="-4"/>
          <w:w w:val="95"/>
        </w:rPr>
        <w:t xml:space="preserve"> </w:t>
      </w:r>
      <w:r>
        <w:rPr>
          <w:w w:val="95"/>
        </w:rPr>
        <w:t>at</w:t>
      </w:r>
      <w:r>
        <w:rPr>
          <w:spacing w:val="-4"/>
          <w:w w:val="95"/>
        </w:rPr>
        <w:t xml:space="preserve"> </w:t>
      </w:r>
      <w:r>
        <w:rPr>
          <w:w w:val="95"/>
        </w:rPr>
        <w:t>Town</w:t>
      </w:r>
      <w:r>
        <w:rPr>
          <w:spacing w:val="-4"/>
          <w:w w:val="95"/>
        </w:rPr>
        <w:t xml:space="preserve"> </w:t>
      </w:r>
      <w:r>
        <w:rPr>
          <w:w w:val="95"/>
        </w:rPr>
        <w:t>Hall</w:t>
      </w:r>
      <w:r>
        <w:rPr>
          <w:spacing w:val="-4"/>
          <w:w w:val="95"/>
        </w:rPr>
        <w:t xml:space="preserve"> </w:t>
      </w:r>
      <w:r>
        <w:rPr>
          <w:w w:val="95"/>
        </w:rPr>
        <w:t xml:space="preserve">and </w:t>
      </w:r>
      <w:r>
        <w:rPr>
          <w:spacing w:val="-2"/>
        </w:rPr>
        <w:t>Platform</w:t>
      </w:r>
      <w:r>
        <w:rPr>
          <w:spacing w:val="-10"/>
        </w:rPr>
        <w:t xml:space="preserve"> </w:t>
      </w:r>
      <w:r>
        <w:rPr>
          <w:spacing w:val="-2"/>
        </w:rPr>
        <w:t>3</w:t>
      </w:r>
      <w:r>
        <w:rPr>
          <w:spacing w:val="-9"/>
        </w:rPr>
        <w:t xml:space="preserve"> </w:t>
      </w:r>
      <w:r>
        <w:rPr>
          <w:spacing w:val="-2"/>
        </w:rPr>
        <w:t>at</w:t>
      </w:r>
      <w:r>
        <w:rPr>
          <w:spacing w:val="-9"/>
        </w:rPr>
        <w:t xml:space="preserve"> </w:t>
      </w:r>
      <w:r>
        <w:rPr>
          <w:spacing w:val="-2"/>
        </w:rPr>
        <w:t>Wynyard</w:t>
      </w:r>
      <w:r>
        <w:rPr>
          <w:spacing w:val="-9"/>
        </w:rPr>
        <w:t xml:space="preserve"> </w:t>
      </w:r>
      <w:r>
        <w:rPr>
          <w:spacing w:val="-2"/>
        </w:rPr>
        <w:t>for</w:t>
      </w:r>
      <w:r>
        <w:rPr>
          <w:spacing w:val="-9"/>
        </w:rPr>
        <w:t xml:space="preserve"> </w:t>
      </w:r>
      <w:r>
        <w:rPr>
          <w:spacing w:val="-2"/>
        </w:rPr>
        <w:t>around</w:t>
      </w:r>
      <w:r>
        <w:rPr>
          <w:spacing w:val="-9"/>
        </w:rPr>
        <w:t xml:space="preserve"> </w:t>
      </w:r>
      <w:r>
        <w:rPr>
          <w:spacing w:val="-2"/>
        </w:rPr>
        <w:t>one</w:t>
      </w:r>
      <w:r>
        <w:rPr>
          <w:spacing w:val="-9"/>
        </w:rPr>
        <w:t xml:space="preserve"> </w:t>
      </w:r>
      <w:r>
        <w:rPr>
          <w:spacing w:val="-2"/>
        </w:rPr>
        <w:t>hour</w:t>
      </w:r>
      <w:r>
        <w:rPr>
          <w:spacing w:val="-9"/>
        </w:rPr>
        <w:t xml:space="preserve"> </w:t>
      </w:r>
      <w:r>
        <w:rPr>
          <w:spacing w:val="-2"/>
        </w:rPr>
        <w:t>in</w:t>
      </w:r>
      <w:r>
        <w:rPr>
          <w:spacing w:val="-9"/>
        </w:rPr>
        <w:t xml:space="preserve"> </w:t>
      </w:r>
      <w:r>
        <w:rPr>
          <w:spacing w:val="-2"/>
        </w:rPr>
        <w:t>the</w:t>
      </w:r>
      <w:r>
        <w:rPr>
          <w:spacing w:val="-9"/>
        </w:rPr>
        <w:t xml:space="preserve"> </w:t>
      </w:r>
      <w:r>
        <w:rPr>
          <w:spacing w:val="-2"/>
        </w:rPr>
        <w:t xml:space="preserve">PM </w:t>
      </w:r>
      <w:r>
        <w:rPr>
          <w:w w:val="95"/>
        </w:rPr>
        <w:t>peak.</w:t>
      </w:r>
      <w:r>
        <w:rPr>
          <w:spacing w:val="-7"/>
          <w:w w:val="95"/>
        </w:rPr>
        <w:t xml:space="preserve"> </w:t>
      </w:r>
      <w:r>
        <w:rPr>
          <w:w w:val="95"/>
        </w:rPr>
        <w:t>While</w:t>
      </w:r>
      <w:r>
        <w:rPr>
          <w:spacing w:val="-7"/>
          <w:w w:val="95"/>
        </w:rPr>
        <w:t xml:space="preserve"> </w:t>
      </w:r>
      <w:r>
        <w:rPr>
          <w:w w:val="95"/>
        </w:rPr>
        <w:t>operational</w:t>
      </w:r>
      <w:r>
        <w:rPr>
          <w:spacing w:val="-7"/>
          <w:w w:val="95"/>
        </w:rPr>
        <w:t xml:space="preserve"> </w:t>
      </w:r>
      <w:r>
        <w:rPr>
          <w:w w:val="95"/>
        </w:rPr>
        <w:t>factors</w:t>
      </w:r>
      <w:r>
        <w:rPr>
          <w:spacing w:val="-7"/>
          <w:w w:val="95"/>
        </w:rPr>
        <w:t xml:space="preserve"> </w:t>
      </w:r>
      <w:r>
        <w:rPr>
          <w:w w:val="95"/>
        </w:rPr>
        <w:t>play</w:t>
      </w:r>
      <w:r>
        <w:rPr>
          <w:spacing w:val="-7"/>
          <w:w w:val="95"/>
        </w:rPr>
        <w:t xml:space="preserve"> </w:t>
      </w:r>
      <w:r>
        <w:rPr>
          <w:w w:val="95"/>
        </w:rPr>
        <w:t>a</w:t>
      </w:r>
      <w:r>
        <w:rPr>
          <w:spacing w:val="-7"/>
          <w:w w:val="95"/>
        </w:rPr>
        <w:t xml:space="preserve"> </w:t>
      </w:r>
      <w:r>
        <w:rPr>
          <w:w w:val="95"/>
        </w:rPr>
        <w:t>part,</w:t>
      </w:r>
      <w:r>
        <w:rPr>
          <w:spacing w:val="-7"/>
          <w:w w:val="95"/>
        </w:rPr>
        <w:t xml:space="preserve"> </w:t>
      </w:r>
      <w:r>
        <w:rPr>
          <w:w w:val="95"/>
        </w:rPr>
        <w:t>the</w:t>
      </w:r>
      <w:r>
        <w:rPr>
          <w:spacing w:val="-7"/>
          <w:w w:val="95"/>
        </w:rPr>
        <w:t xml:space="preserve"> </w:t>
      </w:r>
      <w:r>
        <w:rPr>
          <w:w w:val="95"/>
        </w:rPr>
        <w:t xml:space="preserve">service </w:t>
      </w:r>
      <w:r>
        <w:t>pattern</w:t>
      </w:r>
      <w:r>
        <w:rPr>
          <w:spacing w:val="-8"/>
        </w:rPr>
        <w:t xml:space="preserve"> </w:t>
      </w:r>
      <w:r>
        <w:t>aggravates</w:t>
      </w:r>
      <w:r>
        <w:rPr>
          <w:spacing w:val="-8"/>
        </w:rPr>
        <w:t xml:space="preserve"> </w:t>
      </w:r>
      <w:r>
        <w:t>the</w:t>
      </w:r>
      <w:r>
        <w:rPr>
          <w:spacing w:val="-8"/>
        </w:rPr>
        <w:t xml:space="preserve"> </w:t>
      </w:r>
      <w:r>
        <w:t>situation</w:t>
      </w:r>
      <w:r>
        <w:rPr>
          <w:spacing w:val="-8"/>
        </w:rPr>
        <w:t xml:space="preserve"> </w:t>
      </w:r>
      <w:r>
        <w:t>because:</w:t>
      </w:r>
    </w:p>
    <w:p w:rsidR="002C1123" w:rsidRDefault="00F22F94">
      <w:pPr>
        <w:pStyle w:val="BodyText"/>
        <w:spacing w:before="106" w:line="249" w:lineRule="auto"/>
        <w:ind w:left="425"/>
      </w:pPr>
      <w:r>
        <w:br w:type="column"/>
      </w:r>
      <w:r>
        <w:t>Rail</w:t>
      </w:r>
      <w:r>
        <w:rPr>
          <w:spacing w:val="-13"/>
        </w:rPr>
        <w:t xml:space="preserve"> </w:t>
      </w:r>
      <w:r>
        <w:t>capacity</w:t>
      </w:r>
      <w:r>
        <w:rPr>
          <w:spacing w:val="-13"/>
        </w:rPr>
        <w:t xml:space="preserve"> </w:t>
      </w:r>
      <w:r>
        <w:t>enhancement</w:t>
      </w:r>
      <w:r>
        <w:rPr>
          <w:spacing w:val="-13"/>
        </w:rPr>
        <w:t xml:space="preserve"> </w:t>
      </w:r>
      <w:r>
        <w:t>strategies</w:t>
      </w:r>
      <w:r>
        <w:rPr>
          <w:spacing w:val="-13"/>
        </w:rPr>
        <w:t xml:space="preserve"> </w:t>
      </w:r>
      <w:r>
        <w:t>over</w:t>
      </w:r>
      <w:r>
        <w:rPr>
          <w:spacing w:val="-13"/>
        </w:rPr>
        <w:t xml:space="preserve"> </w:t>
      </w:r>
      <w:r>
        <w:t>the</w:t>
      </w:r>
      <w:r>
        <w:rPr>
          <w:spacing w:val="-13"/>
        </w:rPr>
        <w:t xml:space="preserve"> </w:t>
      </w:r>
      <w:r>
        <w:t xml:space="preserve">past </w:t>
      </w:r>
      <w:r>
        <w:rPr>
          <w:w w:val="95"/>
        </w:rPr>
        <w:t>decade have focussed on the construction of a new line through</w:t>
      </w:r>
      <w:r>
        <w:rPr>
          <w:spacing w:val="-5"/>
          <w:w w:val="95"/>
        </w:rPr>
        <w:t xml:space="preserve"> </w:t>
      </w:r>
      <w:r>
        <w:rPr>
          <w:w w:val="95"/>
        </w:rPr>
        <w:t>the</w:t>
      </w:r>
      <w:r>
        <w:rPr>
          <w:spacing w:val="-5"/>
          <w:w w:val="95"/>
        </w:rPr>
        <w:t xml:space="preserve"> </w:t>
      </w:r>
      <w:r>
        <w:rPr>
          <w:w w:val="95"/>
        </w:rPr>
        <w:t>CBD</w:t>
      </w:r>
      <w:r>
        <w:rPr>
          <w:spacing w:val="-5"/>
          <w:w w:val="95"/>
        </w:rPr>
        <w:t xml:space="preserve"> </w:t>
      </w:r>
      <w:r>
        <w:rPr>
          <w:w w:val="95"/>
        </w:rPr>
        <w:t>–</w:t>
      </w:r>
      <w:r>
        <w:rPr>
          <w:spacing w:val="-5"/>
          <w:w w:val="95"/>
        </w:rPr>
        <w:t xml:space="preserve"> </w:t>
      </w:r>
      <w:r>
        <w:rPr>
          <w:w w:val="95"/>
        </w:rPr>
        <w:t>either</w:t>
      </w:r>
      <w:r>
        <w:rPr>
          <w:spacing w:val="-5"/>
          <w:w w:val="95"/>
        </w:rPr>
        <w:t xml:space="preserve"> </w:t>
      </w:r>
      <w:r>
        <w:rPr>
          <w:w w:val="95"/>
        </w:rPr>
        <w:t>a</w:t>
      </w:r>
      <w:r>
        <w:rPr>
          <w:spacing w:val="-5"/>
          <w:w w:val="95"/>
        </w:rPr>
        <w:t xml:space="preserve"> </w:t>
      </w:r>
      <w:r>
        <w:rPr>
          <w:w w:val="95"/>
        </w:rPr>
        <w:t>second</w:t>
      </w:r>
      <w:r>
        <w:rPr>
          <w:spacing w:val="-5"/>
          <w:w w:val="95"/>
        </w:rPr>
        <w:t xml:space="preserve"> </w:t>
      </w:r>
      <w:r>
        <w:rPr>
          <w:w w:val="95"/>
        </w:rPr>
        <w:t>harbour</w:t>
      </w:r>
      <w:r>
        <w:rPr>
          <w:spacing w:val="-5"/>
          <w:w w:val="95"/>
        </w:rPr>
        <w:t xml:space="preserve"> </w:t>
      </w:r>
      <w:r>
        <w:rPr>
          <w:w w:val="95"/>
        </w:rPr>
        <w:t>rail</w:t>
      </w:r>
      <w:r>
        <w:rPr>
          <w:spacing w:val="-5"/>
          <w:w w:val="95"/>
        </w:rPr>
        <w:t xml:space="preserve"> </w:t>
      </w:r>
      <w:r>
        <w:rPr>
          <w:w w:val="95"/>
        </w:rPr>
        <w:t xml:space="preserve">crossing, </w:t>
      </w:r>
      <w:r>
        <w:t>or</w:t>
      </w:r>
      <w:r>
        <w:rPr>
          <w:spacing w:val="-14"/>
        </w:rPr>
        <w:t xml:space="preserve"> </w:t>
      </w:r>
      <w:r>
        <w:t>a</w:t>
      </w:r>
      <w:r>
        <w:rPr>
          <w:spacing w:val="-14"/>
        </w:rPr>
        <w:t xml:space="preserve"> </w:t>
      </w:r>
      <w:r>
        <w:t>“relief”</w:t>
      </w:r>
      <w:r>
        <w:rPr>
          <w:spacing w:val="-14"/>
        </w:rPr>
        <w:t xml:space="preserve"> </w:t>
      </w:r>
      <w:r>
        <w:t>line</w:t>
      </w:r>
      <w:r>
        <w:rPr>
          <w:spacing w:val="-14"/>
        </w:rPr>
        <w:t xml:space="preserve"> </w:t>
      </w:r>
      <w:r>
        <w:t>from</w:t>
      </w:r>
      <w:r>
        <w:rPr>
          <w:spacing w:val="-14"/>
        </w:rPr>
        <w:t xml:space="preserve"> </w:t>
      </w:r>
      <w:r>
        <w:t>Central</w:t>
      </w:r>
      <w:r>
        <w:rPr>
          <w:spacing w:val="-14"/>
        </w:rPr>
        <w:t xml:space="preserve"> </w:t>
      </w:r>
      <w:r>
        <w:t>to</w:t>
      </w:r>
      <w:r>
        <w:rPr>
          <w:spacing w:val="-14"/>
        </w:rPr>
        <w:t xml:space="preserve"> </w:t>
      </w:r>
      <w:r>
        <w:t>Wynyard.</w:t>
      </w:r>
      <w:r>
        <w:rPr>
          <w:spacing w:val="-14"/>
        </w:rPr>
        <w:t xml:space="preserve"> </w:t>
      </w:r>
      <w:r>
        <w:t>As</w:t>
      </w:r>
      <w:r>
        <w:rPr>
          <w:spacing w:val="-14"/>
        </w:rPr>
        <w:t xml:space="preserve"> </w:t>
      </w:r>
      <w:r>
        <w:t xml:space="preserve">discussed </w:t>
      </w:r>
      <w:r>
        <w:rPr>
          <w:w w:val="95"/>
        </w:rPr>
        <w:t xml:space="preserve">further in Section 8.3.5, these proposals have very high </w:t>
      </w:r>
      <w:r>
        <w:t>capital</w:t>
      </w:r>
      <w:r>
        <w:rPr>
          <w:spacing w:val="-9"/>
        </w:rPr>
        <w:t xml:space="preserve"> </w:t>
      </w:r>
      <w:r>
        <w:t>costs.</w:t>
      </w:r>
      <w:r>
        <w:rPr>
          <w:spacing w:val="-9"/>
        </w:rPr>
        <w:t xml:space="preserve"> </w:t>
      </w:r>
      <w:r>
        <w:t>Unlocking</w:t>
      </w:r>
      <w:r>
        <w:rPr>
          <w:spacing w:val="-9"/>
        </w:rPr>
        <w:t xml:space="preserve"> </w:t>
      </w:r>
      <w:r>
        <w:t>the</w:t>
      </w:r>
      <w:r>
        <w:rPr>
          <w:spacing w:val="-9"/>
        </w:rPr>
        <w:t xml:space="preserve"> </w:t>
      </w:r>
      <w:r>
        <w:t>spare</w:t>
      </w:r>
      <w:r>
        <w:rPr>
          <w:spacing w:val="-9"/>
        </w:rPr>
        <w:t xml:space="preserve"> </w:t>
      </w:r>
      <w:r>
        <w:t>capacity</w:t>
      </w:r>
      <w:r>
        <w:rPr>
          <w:spacing w:val="-9"/>
        </w:rPr>
        <w:t xml:space="preserve"> </w:t>
      </w:r>
      <w:r>
        <w:t>in</w:t>
      </w:r>
      <w:r>
        <w:rPr>
          <w:spacing w:val="-9"/>
        </w:rPr>
        <w:t xml:space="preserve"> </w:t>
      </w:r>
      <w:r>
        <w:t>the</w:t>
      </w:r>
      <w:r>
        <w:rPr>
          <w:spacing w:val="-9"/>
        </w:rPr>
        <w:t xml:space="preserve"> </w:t>
      </w:r>
      <w:r>
        <w:t>City Circle</w:t>
      </w:r>
      <w:r>
        <w:rPr>
          <w:spacing w:val="-14"/>
        </w:rPr>
        <w:t xml:space="preserve"> </w:t>
      </w:r>
      <w:r>
        <w:t>could</w:t>
      </w:r>
      <w:r>
        <w:rPr>
          <w:spacing w:val="-14"/>
        </w:rPr>
        <w:t xml:space="preserve"> </w:t>
      </w:r>
      <w:r>
        <w:t>potentially</w:t>
      </w:r>
      <w:r>
        <w:rPr>
          <w:spacing w:val="-14"/>
        </w:rPr>
        <w:t xml:space="preserve"> </w:t>
      </w:r>
      <w:r>
        <w:t>deliver</w:t>
      </w:r>
      <w:r>
        <w:rPr>
          <w:spacing w:val="-14"/>
        </w:rPr>
        <w:t xml:space="preserve"> </w:t>
      </w:r>
      <w:r>
        <w:t>congestion</w:t>
      </w:r>
      <w:r>
        <w:rPr>
          <w:spacing w:val="-14"/>
        </w:rPr>
        <w:t xml:space="preserve"> </w:t>
      </w:r>
      <w:r>
        <w:t>relief</w:t>
      </w:r>
      <w:r>
        <w:rPr>
          <w:spacing w:val="-14"/>
        </w:rPr>
        <w:t xml:space="preserve"> </w:t>
      </w:r>
      <w:r>
        <w:t>much sooner and at a much lower cost.</w:t>
      </w:r>
    </w:p>
    <w:p w:rsidR="002C1123" w:rsidRDefault="00F22F94">
      <w:pPr>
        <w:pStyle w:val="BodyText"/>
        <w:spacing w:before="148" w:line="249" w:lineRule="auto"/>
        <w:ind w:left="425"/>
      </w:pPr>
      <w:r>
        <w:t>The</w:t>
      </w:r>
      <w:r>
        <w:rPr>
          <w:spacing w:val="-14"/>
        </w:rPr>
        <w:t xml:space="preserve"> </w:t>
      </w:r>
      <w:r>
        <w:t>Bradfield-era</w:t>
      </w:r>
      <w:r>
        <w:rPr>
          <w:spacing w:val="-13"/>
        </w:rPr>
        <w:t xml:space="preserve"> </w:t>
      </w:r>
      <w:r>
        <w:t>flying</w:t>
      </w:r>
      <w:r>
        <w:rPr>
          <w:spacing w:val="-14"/>
        </w:rPr>
        <w:t xml:space="preserve"> </w:t>
      </w:r>
      <w:r>
        <w:t>junctions</w:t>
      </w:r>
      <w:r>
        <w:rPr>
          <w:spacing w:val="-13"/>
        </w:rPr>
        <w:t xml:space="preserve"> </w:t>
      </w:r>
      <w:r>
        <w:t>outside</w:t>
      </w:r>
      <w:r>
        <w:rPr>
          <w:spacing w:val="-14"/>
        </w:rPr>
        <w:t xml:space="preserve"> </w:t>
      </w:r>
      <w:r>
        <w:t>Central provide</w:t>
      </w:r>
      <w:r>
        <w:rPr>
          <w:spacing w:val="-14"/>
        </w:rPr>
        <w:t xml:space="preserve"> </w:t>
      </w:r>
      <w:r>
        <w:t>the</w:t>
      </w:r>
      <w:r>
        <w:rPr>
          <w:spacing w:val="-14"/>
        </w:rPr>
        <w:t xml:space="preserve"> </w:t>
      </w:r>
      <w:r>
        <w:t>basic</w:t>
      </w:r>
      <w:r>
        <w:rPr>
          <w:spacing w:val="-14"/>
        </w:rPr>
        <w:t xml:space="preserve"> </w:t>
      </w:r>
      <w:r>
        <w:t>infrastructure</w:t>
      </w:r>
      <w:r>
        <w:rPr>
          <w:spacing w:val="-13"/>
        </w:rPr>
        <w:t xml:space="preserve"> </w:t>
      </w:r>
      <w:r>
        <w:t>needed</w:t>
      </w:r>
      <w:r>
        <w:rPr>
          <w:spacing w:val="-14"/>
        </w:rPr>
        <w:t xml:space="preserve"> </w:t>
      </w:r>
      <w:r>
        <w:t>to</w:t>
      </w:r>
      <w:r>
        <w:rPr>
          <w:spacing w:val="-14"/>
        </w:rPr>
        <w:t xml:space="preserve"> </w:t>
      </w:r>
      <w:r>
        <w:t>feed</w:t>
      </w:r>
      <w:r>
        <w:rPr>
          <w:spacing w:val="-14"/>
        </w:rPr>
        <w:t xml:space="preserve"> </w:t>
      </w:r>
      <w:r>
        <w:t xml:space="preserve">more </w:t>
      </w:r>
      <w:r>
        <w:rPr>
          <w:w w:val="95"/>
        </w:rPr>
        <w:t>trains into the City Circle. However, this change would have</w:t>
      </w:r>
      <w:r>
        <w:rPr>
          <w:spacing w:val="-7"/>
          <w:w w:val="95"/>
        </w:rPr>
        <w:t xml:space="preserve"> </w:t>
      </w:r>
      <w:r>
        <w:rPr>
          <w:w w:val="95"/>
        </w:rPr>
        <w:t>significant</w:t>
      </w:r>
      <w:r>
        <w:rPr>
          <w:spacing w:val="-7"/>
          <w:w w:val="95"/>
        </w:rPr>
        <w:t xml:space="preserve"> </w:t>
      </w:r>
      <w:r>
        <w:rPr>
          <w:w w:val="95"/>
        </w:rPr>
        <w:t>operational</w:t>
      </w:r>
      <w:r>
        <w:rPr>
          <w:spacing w:val="-7"/>
          <w:w w:val="95"/>
        </w:rPr>
        <w:t xml:space="preserve"> </w:t>
      </w:r>
      <w:r>
        <w:rPr>
          <w:w w:val="95"/>
        </w:rPr>
        <w:t>implications,</w:t>
      </w:r>
      <w:r>
        <w:rPr>
          <w:spacing w:val="-7"/>
          <w:w w:val="95"/>
        </w:rPr>
        <w:t xml:space="preserve"> </w:t>
      </w:r>
      <w:r>
        <w:rPr>
          <w:w w:val="95"/>
        </w:rPr>
        <w:t>which</w:t>
      </w:r>
      <w:r>
        <w:rPr>
          <w:spacing w:val="-7"/>
          <w:w w:val="95"/>
        </w:rPr>
        <w:t xml:space="preserve"> </w:t>
      </w:r>
      <w:r>
        <w:rPr>
          <w:w w:val="95"/>
        </w:rPr>
        <w:t>are</w:t>
      </w:r>
      <w:r>
        <w:rPr>
          <w:spacing w:val="-7"/>
          <w:w w:val="95"/>
        </w:rPr>
        <w:t xml:space="preserve"> </w:t>
      </w:r>
      <w:r>
        <w:rPr>
          <w:w w:val="95"/>
        </w:rPr>
        <w:t xml:space="preserve">the </w:t>
      </w:r>
      <w:r>
        <w:t>responsibility</w:t>
      </w:r>
      <w:r>
        <w:rPr>
          <w:spacing w:val="-7"/>
        </w:rPr>
        <w:t xml:space="preserve"> </w:t>
      </w:r>
      <w:r>
        <w:t>of</w:t>
      </w:r>
      <w:r>
        <w:rPr>
          <w:spacing w:val="-7"/>
        </w:rPr>
        <w:t xml:space="preserve"> </w:t>
      </w:r>
      <w:r>
        <w:t>Transport</w:t>
      </w:r>
      <w:r>
        <w:rPr>
          <w:spacing w:val="-7"/>
        </w:rPr>
        <w:t xml:space="preserve"> </w:t>
      </w:r>
      <w:r>
        <w:t>for</w:t>
      </w:r>
      <w:r>
        <w:rPr>
          <w:spacing w:val="-7"/>
        </w:rPr>
        <w:t xml:space="preserve"> </w:t>
      </w:r>
      <w:r>
        <w:t>NSW.</w:t>
      </w:r>
    </w:p>
    <w:p w:rsidR="002C1123" w:rsidRDefault="00F22F94">
      <w:pPr>
        <w:pStyle w:val="BodyText"/>
        <w:spacing w:before="146" w:line="249" w:lineRule="auto"/>
        <w:ind w:left="425"/>
      </w:pPr>
      <w:r>
        <w:t>Given</w:t>
      </w:r>
      <w:r>
        <w:rPr>
          <w:spacing w:val="-14"/>
        </w:rPr>
        <w:t xml:space="preserve"> </w:t>
      </w:r>
      <w:r>
        <w:t>the</w:t>
      </w:r>
      <w:r>
        <w:rPr>
          <w:spacing w:val="-14"/>
        </w:rPr>
        <w:t xml:space="preserve"> </w:t>
      </w:r>
      <w:r>
        <w:t>operational</w:t>
      </w:r>
      <w:r>
        <w:rPr>
          <w:spacing w:val="-14"/>
        </w:rPr>
        <w:t xml:space="preserve"> </w:t>
      </w:r>
      <w:r>
        <w:t>implications</w:t>
      </w:r>
      <w:r>
        <w:rPr>
          <w:spacing w:val="-14"/>
        </w:rPr>
        <w:t xml:space="preserve"> </w:t>
      </w:r>
      <w:r>
        <w:t>of</w:t>
      </w:r>
      <w:r>
        <w:rPr>
          <w:spacing w:val="-14"/>
        </w:rPr>
        <w:t xml:space="preserve"> </w:t>
      </w:r>
      <w:r>
        <w:t>restructuring</w:t>
      </w:r>
      <w:r>
        <w:rPr>
          <w:spacing w:val="-14"/>
        </w:rPr>
        <w:t xml:space="preserve"> </w:t>
      </w:r>
      <w:r>
        <w:t>the service</w:t>
      </w:r>
      <w:r>
        <w:rPr>
          <w:spacing w:val="-14"/>
        </w:rPr>
        <w:t xml:space="preserve"> </w:t>
      </w:r>
      <w:r>
        <w:t>pattern</w:t>
      </w:r>
      <w:r>
        <w:rPr>
          <w:spacing w:val="-14"/>
        </w:rPr>
        <w:t xml:space="preserve"> </w:t>
      </w:r>
      <w:r>
        <w:t>to</w:t>
      </w:r>
      <w:r>
        <w:rPr>
          <w:spacing w:val="-14"/>
        </w:rPr>
        <w:t xml:space="preserve"> </w:t>
      </w:r>
      <w:r>
        <w:t>increase</w:t>
      </w:r>
      <w:r>
        <w:rPr>
          <w:spacing w:val="-14"/>
        </w:rPr>
        <w:t xml:space="preserve"> </w:t>
      </w:r>
      <w:r>
        <w:t>utilisation</w:t>
      </w:r>
      <w:r>
        <w:rPr>
          <w:spacing w:val="-14"/>
        </w:rPr>
        <w:t xml:space="preserve"> </w:t>
      </w:r>
      <w:r>
        <w:t>of</w:t>
      </w:r>
      <w:r>
        <w:rPr>
          <w:spacing w:val="-14"/>
        </w:rPr>
        <w:t xml:space="preserve"> </w:t>
      </w:r>
      <w:r>
        <w:t>the</w:t>
      </w:r>
      <w:r>
        <w:rPr>
          <w:spacing w:val="-14"/>
        </w:rPr>
        <w:t xml:space="preserve"> </w:t>
      </w:r>
      <w:r>
        <w:t>City</w:t>
      </w:r>
      <w:r>
        <w:rPr>
          <w:spacing w:val="-14"/>
        </w:rPr>
        <w:t xml:space="preserve"> </w:t>
      </w:r>
      <w:r>
        <w:t xml:space="preserve">Circle, </w:t>
      </w:r>
      <w:r>
        <w:rPr>
          <w:w w:val="95"/>
        </w:rPr>
        <w:t xml:space="preserve">Infrastructure NSW has not commissioned detailed work </w:t>
      </w:r>
      <w:r>
        <w:t>on</w:t>
      </w:r>
      <w:r>
        <w:rPr>
          <w:spacing w:val="-6"/>
        </w:rPr>
        <w:t xml:space="preserve"> </w:t>
      </w:r>
      <w:r>
        <w:t>the</w:t>
      </w:r>
      <w:r>
        <w:rPr>
          <w:spacing w:val="-6"/>
        </w:rPr>
        <w:t xml:space="preserve"> </w:t>
      </w:r>
      <w:r>
        <w:t>options</w:t>
      </w:r>
      <w:r>
        <w:rPr>
          <w:spacing w:val="-6"/>
        </w:rPr>
        <w:t xml:space="preserve"> </w:t>
      </w:r>
      <w:r>
        <w:t>in</w:t>
      </w:r>
      <w:r>
        <w:rPr>
          <w:spacing w:val="-6"/>
        </w:rPr>
        <w:t xml:space="preserve"> </w:t>
      </w:r>
      <w:r>
        <w:t>this</w:t>
      </w:r>
      <w:r>
        <w:rPr>
          <w:spacing w:val="-6"/>
        </w:rPr>
        <w:t xml:space="preserve"> </w:t>
      </w:r>
      <w:r>
        <w:t>area</w:t>
      </w:r>
      <w:r>
        <w:rPr>
          <w:spacing w:val="-6"/>
        </w:rPr>
        <w:t xml:space="preserve"> </w:t>
      </w:r>
      <w:r>
        <w:t>itself.</w:t>
      </w:r>
    </w:p>
    <w:p w:rsidR="002C1123" w:rsidRDefault="00F22F94">
      <w:pPr>
        <w:spacing w:after="24"/>
        <w:rPr>
          <w:sz w:val="11"/>
        </w:rPr>
      </w:pPr>
      <w:r>
        <w:br w:type="column"/>
      </w:r>
    </w:p>
    <w:p w:rsidR="002C1123" w:rsidRDefault="002060EF">
      <w:pPr>
        <w:pStyle w:val="BodyText"/>
        <w:ind w:left="210"/>
      </w:pPr>
      <w:r>
        <w:pict>
          <v:shape id="docshape1455" o:spid="_x0000_s5269" type="#_x0000_t202" style="width:239pt;height:69.35pt;mso-left-percent:-10001;mso-top-percent:-10001;mso-position-horizontal:absolute;mso-position-horizontal-relative:char;mso-position-vertical:absolute;mso-position-vertical-relative:line;mso-left-percent:-10001;mso-top-percent:-10001" fillcolor="#e1e0e1" stroked="f">
            <v:textbox inset="0,0,0,0">
              <w:txbxContent>
                <w:p w:rsidR="00F22F94" w:rsidRDefault="00F22F94">
                  <w:pPr>
                    <w:pStyle w:val="BodyText"/>
                    <w:spacing w:before="68" w:line="249" w:lineRule="auto"/>
                    <w:ind w:left="113"/>
                    <w:rPr>
                      <w:color w:val="000000"/>
                    </w:rPr>
                  </w:pPr>
                  <w:r>
                    <w:rPr>
                      <w:color w:val="00AEEF"/>
                    </w:rPr>
                    <w:t>Recommendation</w:t>
                  </w:r>
                  <w:r>
                    <w:rPr>
                      <w:color w:val="00AEEF"/>
                      <w:spacing w:val="-7"/>
                    </w:rPr>
                    <w:t xml:space="preserve"> </w:t>
                  </w:r>
                  <w:r>
                    <w:rPr>
                      <w:color w:val="000000"/>
                    </w:rPr>
                    <w:t>Infrastructure</w:t>
                  </w:r>
                  <w:r>
                    <w:rPr>
                      <w:color w:val="000000"/>
                      <w:spacing w:val="-14"/>
                    </w:rPr>
                    <w:t xml:space="preserve"> </w:t>
                  </w:r>
                  <w:r>
                    <w:rPr>
                      <w:color w:val="000000"/>
                    </w:rPr>
                    <w:t>NSW</w:t>
                  </w:r>
                  <w:r>
                    <w:rPr>
                      <w:color w:val="000000"/>
                      <w:spacing w:val="-14"/>
                    </w:rPr>
                    <w:t xml:space="preserve"> </w:t>
                  </w:r>
                  <w:r>
                    <w:rPr>
                      <w:color w:val="000000"/>
                    </w:rPr>
                    <w:t>recommends an independent study of options to use the City</w:t>
                  </w:r>
                </w:p>
                <w:p w:rsidR="00F22F94" w:rsidRDefault="00F22F94">
                  <w:pPr>
                    <w:pStyle w:val="BodyText"/>
                    <w:spacing w:before="2" w:line="249" w:lineRule="auto"/>
                    <w:ind w:left="113"/>
                    <w:rPr>
                      <w:color w:val="000000"/>
                    </w:rPr>
                  </w:pPr>
                  <w:r>
                    <w:rPr>
                      <w:color w:val="000000"/>
                    </w:rPr>
                    <w:t xml:space="preserve">Circle to provide additional CBD capacity in the </w:t>
                  </w:r>
                  <w:r>
                    <w:rPr>
                      <w:color w:val="000000"/>
                      <w:w w:val="95"/>
                    </w:rPr>
                    <w:t>medium</w:t>
                  </w:r>
                  <w:r>
                    <w:rPr>
                      <w:color w:val="000000"/>
                      <w:spacing w:val="-11"/>
                      <w:w w:val="95"/>
                    </w:rPr>
                    <w:t xml:space="preserve"> </w:t>
                  </w:r>
                  <w:r>
                    <w:rPr>
                      <w:color w:val="000000"/>
                      <w:w w:val="95"/>
                    </w:rPr>
                    <w:t>term.</w:t>
                  </w:r>
                  <w:r>
                    <w:rPr>
                      <w:color w:val="000000"/>
                      <w:spacing w:val="-11"/>
                      <w:w w:val="95"/>
                    </w:rPr>
                    <w:t xml:space="preserve"> </w:t>
                  </w:r>
                  <w:r>
                    <w:rPr>
                      <w:color w:val="000000"/>
                      <w:w w:val="95"/>
                    </w:rPr>
                    <w:t>This</w:t>
                  </w:r>
                  <w:r>
                    <w:rPr>
                      <w:color w:val="000000"/>
                      <w:spacing w:val="-11"/>
                      <w:w w:val="95"/>
                    </w:rPr>
                    <w:t xml:space="preserve"> </w:t>
                  </w:r>
                  <w:r>
                    <w:rPr>
                      <w:color w:val="000000"/>
                      <w:w w:val="95"/>
                    </w:rPr>
                    <w:t>will</w:t>
                  </w:r>
                  <w:r>
                    <w:rPr>
                      <w:color w:val="000000"/>
                      <w:spacing w:val="-11"/>
                      <w:w w:val="95"/>
                    </w:rPr>
                    <w:t xml:space="preserve"> </w:t>
                  </w:r>
                  <w:r>
                    <w:rPr>
                      <w:color w:val="000000"/>
                      <w:w w:val="95"/>
                    </w:rPr>
                    <w:t>require</w:t>
                  </w:r>
                  <w:r>
                    <w:rPr>
                      <w:color w:val="000000"/>
                      <w:spacing w:val="-11"/>
                      <w:w w:val="95"/>
                    </w:rPr>
                    <w:t xml:space="preserve"> </w:t>
                  </w:r>
                  <w:r>
                    <w:rPr>
                      <w:color w:val="000000"/>
                      <w:w w:val="95"/>
                    </w:rPr>
                    <w:t>detailed</w:t>
                  </w:r>
                  <w:r>
                    <w:rPr>
                      <w:color w:val="000000"/>
                      <w:spacing w:val="-11"/>
                      <w:w w:val="95"/>
                    </w:rPr>
                    <w:t xml:space="preserve"> </w:t>
                  </w:r>
                  <w:r>
                    <w:rPr>
                      <w:color w:val="000000"/>
                      <w:w w:val="95"/>
                    </w:rPr>
                    <w:t>analysis</w:t>
                  </w:r>
                  <w:r>
                    <w:rPr>
                      <w:color w:val="000000"/>
                      <w:spacing w:val="-11"/>
                      <w:w w:val="95"/>
                    </w:rPr>
                    <w:t xml:space="preserve"> </w:t>
                  </w:r>
                  <w:r>
                    <w:rPr>
                      <w:color w:val="000000"/>
                      <w:w w:val="95"/>
                    </w:rPr>
                    <w:t>of</w:t>
                  </w:r>
                  <w:r>
                    <w:rPr>
                      <w:color w:val="000000"/>
                      <w:spacing w:val="-11"/>
                      <w:w w:val="95"/>
                    </w:rPr>
                    <w:t xml:space="preserve"> </w:t>
                  </w:r>
                  <w:r>
                    <w:rPr>
                      <w:color w:val="000000"/>
                      <w:w w:val="95"/>
                    </w:rPr>
                    <w:t xml:space="preserve">the </w:t>
                  </w:r>
                  <w:r>
                    <w:rPr>
                      <w:color w:val="000000"/>
                    </w:rPr>
                    <w:t>infrastructure and operational implications.</w:t>
                  </w:r>
                </w:p>
              </w:txbxContent>
            </v:textbox>
            <w10:anchorlock/>
          </v:shape>
        </w:pict>
      </w:r>
    </w:p>
    <w:p w:rsidR="002C1123" w:rsidRDefault="002C1123">
      <w:pPr>
        <w:pStyle w:val="BodyText"/>
        <w:spacing w:before="2"/>
      </w:pPr>
    </w:p>
    <w:p w:rsidR="002C1123" w:rsidRDefault="00F22F94">
      <w:pPr>
        <w:pStyle w:val="Heading6"/>
        <w:numPr>
          <w:ilvl w:val="2"/>
          <w:numId w:val="86"/>
        </w:numPr>
        <w:tabs>
          <w:tab w:val="left" w:pos="697"/>
        </w:tabs>
        <w:spacing w:before="0"/>
        <w:ind w:left="696" w:hanging="487"/>
        <w:jc w:val="left"/>
      </w:pPr>
      <w:r>
        <w:rPr>
          <w:color w:val="00AEEF"/>
          <w:w w:val="95"/>
        </w:rPr>
        <w:t>Rapid</w:t>
      </w:r>
      <w:r>
        <w:rPr>
          <w:color w:val="00AEEF"/>
          <w:spacing w:val="-2"/>
          <w:w w:val="95"/>
        </w:rPr>
        <w:t xml:space="preserve"> </w:t>
      </w:r>
      <w:r>
        <w:rPr>
          <w:color w:val="00AEEF"/>
          <w:w w:val="95"/>
        </w:rPr>
        <w:t>Transit</w:t>
      </w:r>
      <w:r>
        <w:rPr>
          <w:color w:val="00AEEF"/>
          <w:spacing w:val="-1"/>
          <w:w w:val="95"/>
        </w:rPr>
        <w:t xml:space="preserve"> </w:t>
      </w:r>
      <w:r>
        <w:rPr>
          <w:color w:val="00AEEF"/>
          <w:spacing w:val="-2"/>
          <w:w w:val="95"/>
        </w:rPr>
        <w:t>Services</w:t>
      </w:r>
    </w:p>
    <w:p w:rsidR="002C1123" w:rsidRDefault="00F22F94">
      <w:pPr>
        <w:pStyle w:val="BodyText"/>
        <w:spacing w:before="95" w:line="249" w:lineRule="auto"/>
        <w:ind w:left="210" w:right="671"/>
      </w:pPr>
      <w:r>
        <w:rPr>
          <w:w w:val="95"/>
        </w:rPr>
        <w:t>Infrastructure NSW fully endorses Transport for NSW’s proposal to progressively introduce rapid transit services using</w:t>
      </w:r>
      <w:r>
        <w:rPr>
          <w:spacing w:val="-12"/>
          <w:w w:val="95"/>
        </w:rPr>
        <w:t xml:space="preserve"> </w:t>
      </w:r>
      <w:r>
        <w:rPr>
          <w:w w:val="95"/>
        </w:rPr>
        <w:t>single</w:t>
      </w:r>
      <w:r>
        <w:rPr>
          <w:spacing w:val="-11"/>
          <w:w w:val="95"/>
        </w:rPr>
        <w:t xml:space="preserve"> </w:t>
      </w:r>
      <w:r>
        <w:rPr>
          <w:w w:val="95"/>
        </w:rPr>
        <w:t>deck</w:t>
      </w:r>
      <w:r>
        <w:rPr>
          <w:spacing w:val="-11"/>
          <w:w w:val="95"/>
        </w:rPr>
        <w:t xml:space="preserve"> </w:t>
      </w:r>
      <w:r>
        <w:rPr>
          <w:w w:val="95"/>
        </w:rPr>
        <w:t>trains</w:t>
      </w:r>
      <w:r>
        <w:rPr>
          <w:spacing w:val="-11"/>
          <w:w w:val="95"/>
        </w:rPr>
        <w:t xml:space="preserve"> </w:t>
      </w:r>
      <w:r>
        <w:rPr>
          <w:w w:val="95"/>
        </w:rPr>
        <w:t>onto</w:t>
      </w:r>
      <w:r>
        <w:rPr>
          <w:spacing w:val="-11"/>
          <w:w w:val="95"/>
        </w:rPr>
        <w:t xml:space="preserve"> </w:t>
      </w:r>
      <w:r>
        <w:rPr>
          <w:w w:val="95"/>
        </w:rPr>
        <w:t>parts</w:t>
      </w:r>
      <w:r>
        <w:rPr>
          <w:spacing w:val="-12"/>
          <w:w w:val="95"/>
        </w:rPr>
        <w:t xml:space="preserve"> </w:t>
      </w:r>
      <w:r>
        <w:rPr>
          <w:w w:val="95"/>
        </w:rPr>
        <w:t>of</w:t>
      </w:r>
      <w:r>
        <w:rPr>
          <w:spacing w:val="-11"/>
          <w:w w:val="95"/>
        </w:rPr>
        <w:t xml:space="preserve"> </w:t>
      </w:r>
      <w:r>
        <w:rPr>
          <w:w w:val="95"/>
        </w:rPr>
        <w:t>the</w:t>
      </w:r>
      <w:r>
        <w:rPr>
          <w:spacing w:val="-11"/>
          <w:w w:val="95"/>
        </w:rPr>
        <w:t xml:space="preserve"> </w:t>
      </w:r>
      <w:r>
        <w:rPr>
          <w:w w:val="95"/>
        </w:rPr>
        <w:t>network,</w:t>
      </w:r>
      <w:r>
        <w:rPr>
          <w:spacing w:val="-11"/>
          <w:w w:val="95"/>
        </w:rPr>
        <w:t xml:space="preserve"> </w:t>
      </w:r>
      <w:r>
        <w:rPr>
          <w:w w:val="95"/>
        </w:rPr>
        <w:t>starting with the NWRL. The rapid transit services will provide</w:t>
      </w:r>
    </w:p>
    <w:p w:rsidR="002C1123" w:rsidRDefault="00F22F94">
      <w:pPr>
        <w:pStyle w:val="BodyText"/>
        <w:spacing w:before="3" w:line="249" w:lineRule="auto"/>
        <w:ind w:left="210" w:right="671"/>
      </w:pPr>
      <w:r>
        <w:rPr>
          <w:w w:val="95"/>
        </w:rPr>
        <w:t>turn-up-and-go</w:t>
      </w:r>
      <w:r>
        <w:rPr>
          <w:spacing w:val="-2"/>
          <w:w w:val="95"/>
        </w:rPr>
        <w:t xml:space="preserve"> </w:t>
      </w:r>
      <w:r>
        <w:rPr>
          <w:w w:val="95"/>
        </w:rPr>
        <w:t>frequencies</w:t>
      </w:r>
      <w:r>
        <w:rPr>
          <w:spacing w:val="-2"/>
          <w:w w:val="95"/>
        </w:rPr>
        <w:t xml:space="preserve"> </w:t>
      </w:r>
      <w:r>
        <w:rPr>
          <w:w w:val="95"/>
        </w:rPr>
        <w:t>and</w:t>
      </w:r>
      <w:r>
        <w:rPr>
          <w:spacing w:val="-2"/>
          <w:w w:val="95"/>
        </w:rPr>
        <w:t xml:space="preserve"> </w:t>
      </w:r>
      <w:r>
        <w:rPr>
          <w:w w:val="95"/>
        </w:rPr>
        <w:t>complement</w:t>
      </w:r>
      <w:r>
        <w:rPr>
          <w:spacing w:val="-2"/>
          <w:w w:val="95"/>
        </w:rPr>
        <w:t xml:space="preserve"> </w:t>
      </w:r>
      <w:r>
        <w:rPr>
          <w:w w:val="95"/>
        </w:rPr>
        <w:t>the</w:t>
      </w:r>
      <w:r>
        <w:rPr>
          <w:spacing w:val="-2"/>
          <w:w w:val="95"/>
        </w:rPr>
        <w:t xml:space="preserve"> </w:t>
      </w:r>
      <w:r>
        <w:rPr>
          <w:w w:val="95"/>
        </w:rPr>
        <w:t xml:space="preserve">double </w:t>
      </w:r>
      <w:r>
        <w:t>deck</w:t>
      </w:r>
      <w:r>
        <w:rPr>
          <w:spacing w:val="-14"/>
        </w:rPr>
        <w:t xml:space="preserve"> </w:t>
      </w:r>
      <w:r>
        <w:t>services</w:t>
      </w:r>
      <w:r>
        <w:rPr>
          <w:spacing w:val="-14"/>
        </w:rPr>
        <w:t xml:space="preserve"> </w:t>
      </w:r>
      <w:r>
        <w:t>on</w:t>
      </w:r>
      <w:r>
        <w:rPr>
          <w:spacing w:val="-14"/>
        </w:rPr>
        <w:t xml:space="preserve"> </w:t>
      </w:r>
      <w:r>
        <w:t>the</w:t>
      </w:r>
      <w:r>
        <w:rPr>
          <w:spacing w:val="-14"/>
        </w:rPr>
        <w:t xml:space="preserve"> </w:t>
      </w:r>
      <w:r>
        <w:t>legacy</w:t>
      </w:r>
      <w:r>
        <w:rPr>
          <w:spacing w:val="-14"/>
        </w:rPr>
        <w:t xml:space="preserve"> </w:t>
      </w:r>
      <w:r>
        <w:t>commuter</w:t>
      </w:r>
      <w:r>
        <w:rPr>
          <w:spacing w:val="-14"/>
        </w:rPr>
        <w:t xml:space="preserve"> </w:t>
      </w:r>
      <w:r>
        <w:t>network.</w:t>
      </w:r>
    </w:p>
    <w:p w:rsidR="002C1123" w:rsidRDefault="00F22F94">
      <w:pPr>
        <w:pStyle w:val="BodyText"/>
        <w:spacing w:before="144" w:line="249" w:lineRule="auto"/>
        <w:ind w:left="210" w:right="802"/>
      </w:pPr>
      <w:r>
        <w:rPr>
          <w:w w:val="95"/>
        </w:rPr>
        <w:t>In</w:t>
      </w:r>
      <w:r>
        <w:rPr>
          <w:spacing w:val="-2"/>
          <w:w w:val="95"/>
        </w:rPr>
        <w:t xml:space="preserve"> </w:t>
      </w:r>
      <w:r>
        <w:rPr>
          <w:w w:val="95"/>
        </w:rPr>
        <w:t>the</w:t>
      </w:r>
      <w:r>
        <w:rPr>
          <w:spacing w:val="-2"/>
          <w:w w:val="95"/>
        </w:rPr>
        <w:t xml:space="preserve"> </w:t>
      </w:r>
      <w:r>
        <w:rPr>
          <w:w w:val="95"/>
        </w:rPr>
        <w:t>longer</w:t>
      </w:r>
      <w:r>
        <w:rPr>
          <w:spacing w:val="-2"/>
          <w:w w:val="95"/>
        </w:rPr>
        <w:t xml:space="preserve"> </w:t>
      </w:r>
      <w:r>
        <w:rPr>
          <w:w w:val="95"/>
        </w:rPr>
        <w:t>term,</w:t>
      </w:r>
      <w:r>
        <w:rPr>
          <w:spacing w:val="-2"/>
          <w:w w:val="95"/>
        </w:rPr>
        <w:t xml:space="preserve"> </w:t>
      </w:r>
      <w:r>
        <w:rPr>
          <w:w w:val="95"/>
        </w:rPr>
        <w:t>single</w:t>
      </w:r>
      <w:r>
        <w:rPr>
          <w:spacing w:val="-2"/>
          <w:w w:val="95"/>
        </w:rPr>
        <w:t xml:space="preserve"> </w:t>
      </w:r>
      <w:r>
        <w:rPr>
          <w:w w:val="95"/>
        </w:rPr>
        <w:t>deck</w:t>
      </w:r>
      <w:r>
        <w:rPr>
          <w:spacing w:val="-2"/>
          <w:w w:val="95"/>
        </w:rPr>
        <w:t xml:space="preserve"> </w:t>
      </w:r>
      <w:r>
        <w:rPr>
          <w:w w:val="95"/>
        </w:rPr>
        <w:t>trains</w:t>
      </w:r>
      <w:r>
        <w:rPr>
          <w:spacing w:val="-2"/>
          <w:w w:val="95"/>
        </w:rPr>
        <w:t xml:space="preserve"> </w:t>
      </w:r>
      <w:r>
        <w:rPr>
          <w:w w:val="95"/>
        </w:rPr>
        <w:t>offer</w:t>
      </w:r>
      <w:r>
        <w:rPr>
          <w:spacing w:val="-2"/>
          <w:w w:val="95"/>
        </w:rPr>
        <w:t xml:space="preserve"> </w:t>
      </w:r>
      <w:r>
        <w:rPr>
          <w:w w:val="95"/>
        </w:rPr>
        <w:t>the</w:t>
      </w:r>
      <w:r>
        <w:rPr>
          <w:spacing w:val="-2"/>
          <w:w w:val="95"/>
        </w:rPr>
        <w:t xml:space="preserve"> </w:t>
      </w:r>
      <w:r>
        <w:rPr>
          <w:w w:val="95"/>
        </w:rPr>
        <w:t xml:space="preserve">potential </w:t>
      </w:r>
      <w:r>
        <w:t xml:space="preserve">to cost-effectively increase network capacity, </w:t>
      </w:r>
      <w:r>
        <w:rPr>
          <w:w w:val="95"/>
        </w:rPr>
        <w:t>particularly on the Harbour Bridge Line. The potential capacity</w:t>
      </w:r>
      <w:r>
        <w:rPr>
          <w:spacing w:val="-6"/>
          <w:w w:val="95"/>
        </w:rPr>
        <w:t xml:space="preserve"> </w:t>
      </w:r>
      <w:r>
        <w:rPr>
          <w:w w:val="95"/>
        </w:rPr>
        <w:t>increases</w:t>
      </w:r>
      <w:r>
        <w:rPr>
          <w:spacing w:val="-6"/>
          <w:w w:val="95"/>
        </w:rPr>
        <w:t xml:space="preserve"> </w:t>
      </w:r>
      <w:r>
        <w:rPr>
          <w:w w:val="95"/>
        </w:rPr>
        <w:t>available</w:t>
      </w:r>
      <w:r>
        <w:rPr>
          <w:spacing w:val="-6"/>
          <w:w w:val="95"/>
        </w:rPr>
        <w:t xml:space="preserve"> </w:t>
      </w:r>
      <w:r>
        <w:rPr>
          <w:w w:val="95"/>
        </w:rPr>
        <w:t>are</w:t>
      </w:r>
      <w:r>
        <w:rPr>
          <w:spacing w:val="-6"/>
          <w:w w:val="95"/>
        </w:rPr>
        <w:t xml:space="preserve"> </w:t>
      </w:r>
      <w:r>
        <w:rPr>
          <w:w w:val="95"/>
        </w:rPr>
        <w:t>indicated</w:t>
      </w:r>
      <w:r>
        <w:rPr>
          <w:spacing w:val="-6"/>
          <w:w w:val="95"/>
        </w:rPr>
        <w:t xml:space="preserve"> </w:t>
      </w:r>
      <w:r>
        <w:rPr>
          <w:w w:val="95"/>
        </w:rPr>
        <w:t>in</w:t>
      </w:r>
      <w:r>
        <w:rPr>
          <w:spacing w:val="-6"/>
          <w:w w:val="95"/>
        </w:rPr>
        <w:t xml:space="preserve"> </w:t>
      </w:r>
      <w:r>
        <w:rPr>
          <w:w w:val="95"/>
        </w:rPr>
        <w:t>Table</w:t>
      </w:r>
      <w:r>
        <w:rPr>
          <w:spacing w:val="-6"/>
          <w:w w:val="95"/>
        </w:rPr>
        <w:t xml:space="preserve"> </w:t>
      </w:r>
      <w:r>
        <w:rPr>
          <w:w w:val="95"/>
        </w:rPr>
        <w:t>8.5.</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054" w:space="40"/>
            <w:col w:w="5202" w:space="39"/>
            <w:col w:w="5725"/>
          </w:cols>
        </w:sectPr>
      </w:pPr>
    </w:p>
    <w:p w:rsidR="002C1123" w:rsidRDefault="00F22F94">
      <w:pPr>
        <w:pStyle w:val="ListParagraph"/>
        <w:numPr>
          <w:ilvl w:val="3"/>
          <w:numId w:val="86"/>
        </w:numPr>
        <w:tabs>
          <w:tab w:val="left" w:pos="776"/>
        </w:tabs>
        <w:spacing w:before="132" w:line="249" w:lineRule="auto"/>
        <w:ind w:left="775"/>
        <w:rPr>
          <w:sz w:val="20"/>
        </w:rPr>
      </w:pPr>
      <w:r>
        <w:rPr>
          <w:w w:val="95"/>
          <w:sz w:val="20"/>
        </w:rPr>
        <w:t>the</w:t>
      </w:r>
      <w:r>
        <w:rPr>
          <w:spacing w:val="-8"/>
          <w:w w:val="95"/>
          <w:sz w:val="20"/>
        </w:rPr>
        <w:t xml:space="preserve"> </w:t>
      </w:r>
      <w:r>
        <w:rPr>
          <w:w w:val="95"/>
          <w:sz w:val="20"/>
        </w:rPr>
        <w:t>largest</w:t>
      </w:r>
      <w:r>
        <w:rPr>
          <w:spacing w:val="-8"/>
          <w:w w:val="95"/>
          <w:sz w:val="20"/>
        </w:rPr>
        <w:t xml:space="preserve"> </w:t>
      </w:r>
      <w:r>
        <w:rPr>
          <w:w w:val="95"/>
          <w:sz w:val="20"/>
        </w:rPr>
        <w:t>flow</w:t>
      </w:r>
      <w:r>
        <w:rPr>
          <w:spacing w:val="-8"/>
          <w:w w:val="95"/>
          <w:sz w:val="20"/>
        </w:rPr>
        <w:t xml:space="preserve"> </w:t>
      </w:r>
      <w:r>
        <w:rPr>
          <w:w w:val="95"/>
          <w:sz w:val="20"/>
        </w:rPr>
        <w:t>of</w:t>
      </w:r>
      <w:r>
        <w:rPr>
          <w:spacing w:val="-8"/>
          <w:w w:val="95"/>
          <w:sz w:val="20"/>
        </w:rPr>
        <w:t xml:space="preserve"> </w:t>
      </w:r>
      <w:r>
        <w:rPr>
          <w:w w:val="95"/>
          <w:sz w:val="20"/>
        </w:rPr>
        <w:t>interchange</w:t>
      </w:r>
      <w:r>
        <w:rPr>
          <w:spacing w:val="-8"/>
          <w:w w:val="95"/>
          <w:sz w:val="20"/>
        </w:rPr>
        <w:t xml:space="preserve"> </w:t>
      </w:r>
      <w:r>
        <w:rPr>
          <w:w w:val="95"/>
          <w:sz w:val="20"/>
        </w:rPr>
        <w:t>passengers</w:t>
      </w:r>
      <w:r>
        <w:rPr>
          <w:spacing w:val="-8"/>
          <w:w w:val="95"/>
          <w:sz w:val="20"/>
        </w:rPr>
        <w:t xml:space="preserve"> </w:t>
      </w:r>
      <w:r>
        <w:rPr>
          <w:w w:val="95"/>
          <w:sz w:val="20"/>
        </w:rPr>
        <w:t>alighting</w:t>
      </w:r>
      <w:r>
        <w:rPr>
          <w:spacing w:val="-8"/>
          <w:w w:val="95"/>
          <w:sz w:val="20"/>
        </w:rPr>
        <w:t xml:space="preserve"> </w:t>
      </w:r>
      <w:r>
        <w:rPr>
          <w:w w:val="95"/>
          <w:sz w:val="20"/>
        </w:rPr>
        <w:t xml:space="preserve">in the CBD (from the North Shore) directly conflicts with </w:t>
      </w:r>
      <w:r>
        <w:rPr>
          <w:sz w:val="20"/>
        </w:rPr>
        <w:t>the</w:t>
      </w:r>
      <w:r>
        <w:rPr>
          <w:spacing w:val="-9"/>
          <w:sz w:val="20"/>
        </w:rPr>
        <w:t xml:space="preserve"> </w:t>
      </w:r>
      <w:r>
        <w:rPr>
          <w:sz w:val="20"/>
        </w:rPr>
        <w:t>largest</w:t>
      </w:r>
      <w:r>
        <w:rPr>
          <w:spacing w:val="-9"/>
          <w:sz w:val="20"/>
        </w:rPr>
        <w:t xml:space="preserve"> </w:t>
      </w:r>
      <w:r>
        <w:rPr>
          <w:sz w:val="20"/>
        </w:rPr>
        <w:t>number</w:t>
      </w:r>
      <w:r>
        <w:rPr>
          <w:spacing w:val="-9"/>
          <w:sz w:val="20"/>
        </w:rPr>
        <w:t xml:space="preserve"> </w:t>
      </w:r>
      <w:r>
        <w:rPr>
          <w:sz w:val="20"/>
        </w:rPr>
        <w:t>of</w:t>
      </w:r>
      <w:r>
        <w:rPr>
          <w:spacing w:val="-9"/>
          <w:sz w:val="20"/>
        </w:rPr>
        <w:t xml:space="preserve"> </w:t>
      </w:r>
      <w:r>
        <w:rPr>
          <w:sz w:val="20"/>
        </w:rPr>
        <w:t>passengers</w:t>
      </w:r>
      <w:r>
        <w:rPr>
          <w:spacing w:val="-9"/>
          <w:sz w:val="20"/>
        </w:rPr>
        <w:t xml:space="preserve"> </w:t>
      </w:r>
      <w:r>
        <w:rPr>
          <w:sz w:val="20"/>
        </w:rPr>
        <w:t>boarding</w:t>
      </w:r>
      <w:r>
        <w:rPr>
          <w:spacing w:val="-9"/>
          <w:sz w:val="20"/>
        </w:rPr>
        <w:t xml:space="preserve"> </w:t>
      </w:r>
      <w:r>
        <w:rPr>
          <w:sz w:val="20"/>
        </w:rPr>
        <w:t>in</w:t>
      </w:r>
      <w:r>
        <w:rPr>
          <w:spacing w:val="-9"/>
          <w:sz w:val="20"/>
        </w:rPr>
        <w:t xml:space="preserve"> </w:t>
      </w:r>
      <w:r>
        <w:rPr>
          <w:sz w:val="20"/>
        </w:rPr>
        <w:t>the CBD</w:t>
      </w:r>
      <w:r>
        <w:rPr>
          <w:spacing w:val="-1"/>
          <w:sz w:val="20"/>
        </w:rPr>
        <w:t xml:space="preserve"> </w:t>
      </w:r>
      <w:r>
        <w:rPr>
          <w:sz w:val="20"/>
        </w:rPr>
        <w:t>(for</w:t>
      </w:r>
      <w:r>
        <w:rPr>
          <w:spacing w:val="-1"/>
          <w:sz w:val="20"/>
        </w:rPr>
        <w:t xml:space="preserve"> </w:t>
      </w:r>
      <w:r>
        <w:rPr>
          <w:sz w:val="20"/>
        </w:rPr>
        <w:t>the</w:t>
      </w:r>
      <w:r>
        <w:rPr>
          <w:spacing w:val="-1"/>
          <w:sz w:val="20"/>
        </w:rPr>
        <w:t xml:space="preserve"> </w:t>
      </w:r>
      <w:r>
        <w:rPr>
          <w:sz w:val="20"/>
        </w:rPr>
        <w:t>Main</w:t>
      </w:r>
      <w:r>
        <w:rPr>
          <w:spacing w:val="-1"/>
          <w:sz w:val="20"/>
        </w:rPr>
        <w:t xml:space="preserve"> </w:t>
      </w:r>
      <w:r>
        <w:rPr>
          <w:sz w:val="20"/>
        </w:rPr>
        <w:t>West)</w:t>
      </w:r>
    </w:p>
    <w:p w:rsidR="002C1123" w:rsidRDefault="00F22F94">
      <w:pPr>
        <w:pStyle w:val="ListParagraph"/>
        <w:numPr>
          <w:ilvl w:val="3"/>
          <w:numId w:val="86"/>
        </w:numPr>
        <w:tabs>
          <w:tab w:val="left" w:pos="776"/>
        </w:tabs>
        <w:spacing w:before="132" w:line="249" w:lineRule="auto"/>
        <w:ind w:left="775" w:right="183"/>
        <w:rPr>
          <w:sz w:val="20"/>
        </w:rPr>
      </w:pPr>
      <w:r>
        <w:rPr>
          <w:w w:val="95"/>
          <w:sz w:val="20"/>
        </w:rPr>
        <w:t>Main</w:t>
      </w:r>
      <w:r>
        <w:rPr>
          <w:spacing w:val="-3"/>
          <w:w w:val="95"/>
          <w:sz w:val="20"/>
        </w:rPr>
        <w:t xml:space="preserve"> </w:t>
      </w:r>
      <w:r>
        <w:rPr>
          <w:w w:val="95"/>
          <w:sz w:val="20"/>
        </w:rPr>
        <w:t>West</w:t>
      </w:r>
      <w:r>
        <w:rPr>
          <w:spacing w:val="-3"/>
          <w:w w:val="95"/>
          <w:sz w:val="20"/>
        </w:rPr>
        <w:t xml:space="preserve"> </w:t>
      </w:r>
      <w:r>
        <w:rPr>
          <w:w w:val="95"/>
          <w:sz w:val="20"/>
        </w:rPr>
        <w:t>passengers</w:t>
      </w:r>
      <w:r>
        <w:rPr>
          <w:spacing w:val="-3"/>
          <w:w w:val="95"/>
          <w:sz w:val="20"/>
        </w:rPr>
        <w:t xml:space="preserve"> </w:t>
      </w:r>
      <w:r>
        <w:rPr>
          <w:w w:val="95"/>
          <w:sz w:val="20"/>
        </w:rPr>
        <w:t>can</w:t>
      </w:r>
      <w:r>
        <w:rPr>
          <w:spacing w:val="-3"/>
          <w:w w:val="95"/>
          <w:sz w:val="20"/>
        </w:rPr>
        <w:t xml:space="preserve"> </w:t>
      </w:r>
      <w:r>
        <w:rPr>
          <w:w w:val="95"/>
          <w:sz w:val="20"/>
        </w:rPr>
        <w:t>only</w:t>
      </w:r>
      <w:r>
        <w:rPr>
          <w:spacing w:val="-3"/>
          <w:w w:val="95"/>
          <w:sz w:val="20"/>
        </w:rPr>
        <w:t xml:space="preserve"> </w:t>
      </w:r>
      <w:r>
        <w:rPr>
          <w:w w:val="95"/>
          <w:sz w:val="20"/>
        </w:rPr>
        <w:t>board</w:t>
      </w:r>
      <w:r>
        <w:rPr>
          <w:spacing w:val="-3"/>
          <w:w w:val="95"/>
          <w:sz w:val="20"/>
        </w:rPr>
        <w:t xml:space="preserve"> </w:t>
      </w:r>
      <w:r>
        <w:rPr>
          <w:w w:val="95"/>
          <w:sz w:val="20"/>
        </w:rPr>
        <w:t>at</w:t>
      </w:r>
      <w:r>
        <w:rPr>
          <w:spacing w:val="-3"/>
          <w:w w:val="95"/>
          <w:sz w:val="20"/>
        </w:rPr>
        <w:t xml:space="preserve"> </w:t>
      </w:r>
      <w:r>
        <w:rPr>
          <w:w w:val="95"/>
          <w:sz w:val="20"/>
        </w:rPr>
        <w:t>two</w:t>
      </w:r>
      <w:r>
        <w:rPr>
          <w:spacing w:val="-3"/>
          <w:w w:val="95"/>
          <w:sz w:val="20"/>
        </w:rPr>
        <w:t xml:space="preserve"> </w:t>
      </w:r>
      <w:r>
        <w:rPr>
          <w:w w:val="95"/>
          <w:sz w:val="20"/>
        </w:rPr>
        <w:t>of</w:t>
      </w:r>
      <w:r>
        <w:rPr>
          <w:spacing w:val="-3"/>
          <w:w w:val="95"/>
          <w:sz w:val="20"/>
        </w:rPr>
        <w:t xml:space="preserve"> </w:t>
      </w:r>
      <w:r>
        <w:rPr>
          <w:w w:val="95"/>
          <w:sz w:val="20"/>
        </w:rPr>
        <w:t xml:space="preserve">the </w:t>
      </w:r>
      <w:r>
        <w:rPr>
          <w:sz w:val="20"/>
        </w:rPr>
        <w:t>CBD</w:t>
      </w:r>
      <w:r>
        <w:rPr>
          <w:spacing w:val="-11"/>
          <w:sz w:val="20"/>
        </w:rPr>
        <w:t xml:space="preserve"> </w:t>
      </w:r>
      <w:r>
        <w:rPr>
          <w:sz w:val="20"/>
        </w:rPr>
        <w:t>stations.</w:t>
      </w:r>
    </w:p>
    <w:p w:rsidR="002C1123" w:rsidRDefault="00F22F94">
      <w:pPr>
        <w:pStyle w:val="BodyText"/>
        <w:spacing w:before="143"/>
        <w:ind w:left="492"/>
      </w:pPr>
      <w:r>
        <w:rPr>
          <w:w w:val="95"/>
        </w:rPr>
        <w:t>Despite</w:t>
      </w:r>
      <w:r>
        <w:rPr>
          <w:spacing w:val="-7"/>
          <w:w w:val="95"/>
        </w:rPr>
        <w:t xml:space="preserve"> </w:t>
      </w:r>
      <w:r>
        <w:rPr>
          <w:w w:val="95"/>
        </w:rPr>
        <w:t>the</w:t>
      </w:r>
      <w:r>
        <w:rPr>
          <w:spacing w:val="-6"/>
          <w:w w:val="95"/>
        </w:rPr>
        <w:t xml:space="preserve"> </w:t>
      </w:r>
      <w:r>
        <w:rPr>
          <w:w w:val="95"/>
        </w:rPr>
        <w:t>steady</w:t>
      </w:r>
      <w:r>
        <w:rPr>
          <w:spacing w:val="-6"/>
          <w:w w:val="95"/>
        </w:rPr>
        <w:t xml:space="preserve"> </w:t>
      </w:r>
      <w:r>
        <w:rPr>
          <w:w w:val="95"/>
        </w:rPr>
        <w:t>increase</w:t>
      </w:r>
      <w:r>
        <w:rPr>
          <w:spacing w:val="-7"/>
          <w:w w:val="95"/>
        </w:rPr>
        <w:t xml:space="preserve"> </w:t>
      </w:r>
      <w:r>
        <w:rPr>
          <w:w w:val="95"/>
        </w:rPr>
        <w:t>in</w:t>
      </w:r>
      <w:r>
        <w:rPr>
          <w:spacing w:val="-6"/>
          <w:w w:val="95"/>
        </w:rPr>
        <w:t xml:space="preserve"> </w:t>
      </w:r>
      <w:r>
        <w:rPr>
          <w:w w:val="95"/>
        </w:rPr>
        <w:t>congestion</w:t>
      </w:r>
      <w:r>
        <w:rPr>
          <w:spacing w:val="-6"/>
          <w:w w:val="95"/>
        </w:rPr>
        <w:t xml:space="preserve"> </w:t>
      </w:r>
      <w:r>
        <w:rPr>
          <w:w w:val="95"/>
        </w:rPr>
        <w:t>on</w:t>
      </w:r>
      <w:r>
        <w:rPr>
          <w:spacing w:val="-7"/>
          <w:w w:val="95"/>
        </w:rPr>
        <w:t xml:space="preserve"> </w:t>
      </w:r>
      <w:r>
        <w:rPr>
          <w:spacing w:val="-5"/>
          <w:w w:val="95"/>
        </w:rPr>
        <w:t>the</w:t>
      </w:r>
    </w:p>
    <w:p w:rsidR="002C1123" w:rsidRDefault="00F22F94">
      <w:pPr>
        <w:spacing w:before="10"/>
        <w:rPr>
          <w:sz w:val="18"/>
        </w:rPr>
      </w:pPr>
      <w:r>
        <w:br w:type="column"/>
      </w:r>
    </w:p>
    <w:p w:rsidR="002C1123" w:rsidRDefault="00F22F94">
      <w:pPr>
        <w:ind w:left="208"/>
        <w:rPr>
          <w:b/>
          <w:sz w:val="18"/>
        </w:rPr>
      </w:pPr>
      <w:r>
        <w:rPr>
          <w:b/>
          <w:sz w:val="18"/>
        </w:rPr>
        <w:t>Table</w:t>
      </w:r>
      <w:r>
        <w:rPr>
          <w:b/>
          <w:spacing w:val="-16"/>
          <w:sz w:val="18"/>
        </w:rPr>
        <w:t xml:space="preserve"> </w:t>
      </w:r>
      <w:r>
        <w:rPr>
          <w:b/>
          <w:sz w:val="18"/>
        </w:rPr>
        <w:t>8.5</w:t>
      </w:r>
      <w:r>
        <w:rPr>
          <w:b/>
          <w:spacing w:val="20"/>
          <w:sz w:val="18"/>
        </w:rPr>
        <w:t xml:space="preserve"> </w:t>
      </w:r>
      <w:r>
        <w:rPr>
          <w:b/>
          <w:sz w:val="18"/>
        </w:rPr>
        <w:t>Indicative</w:t>
      </w:r>
      <w:r>
        <w:rPr>
          <w:b/>
          <w:spacing w:val="-15"/>
          <w:sz w:val="18"/>
        </w:rPr>
        <w:t xml:space="preserve"> </w:t>
      </w:r>
      <w:r>
        <w:rPr>
          <w:b/>
          <w:sz w:val="18"/>
        </w:rPr>
        <w:t>passenger</w:t>
      </w:r>
      <w:r>
        <w:rPr>
          <w:b/>
          <w:spacing w:val="-16"/>
          <w:sz w:val="18"/>
        </w:rPr>
        <w:t xml:space="preserve"> </w:t>
      </w:r>
      <w:r>
        <w:rPr>
          <w:b/>
          <w:sz w:val="18"/>
        </w:rPr>
        <w:t>capacity</w:t>
      </w:r>
      <w:r>
        <w:rPr>
          <w:b/>
          <w:spacing w:val="-16"/>
          <w:sz w:val="18"/>
        </w:rPr>
        <w:t xml:space="preserve"> </w:t>
      </w:r>
      <w:r>
        <w:rPr>
          <w:b/>
          <w:sz w:val="18"/>
        </w:rPr>
        <w:t>of</w:t>
      </w:r>
      <w:r>
        <w:rPr>
          <w:b/>
          <w:spacing w:val="-16"/>
          <w:sz w:val="18"/>
        </w:rPr>
        <w:t xml:space="preserve"> </w:t>
      </w:r>
      <w:r>
        <w:rPr>
          <w:b/>
          <w:sz w:val="18"/>
        </w:rPr>
        <w:t>double</w:t>
      </w:r>
      <w:r>
        <w:rPr>
          <w:b/>
          <w:spacing w:val="-16"/>
          <w:sz w:val="18"/>
        </w:rPr>
        <w:t xml:space="preserve"> </w:t>
      </w:r>
      <w:r>
        <w:rPr>
          <w:b/>
          <w:sz w:val="18"/>
        </w:rPr>
        <w:t>deck</w:t>
      </w:r>
      <w:r>
        <w:rPr>
          <w:b/>
          <w:spacing w:val="-16"/>
          <w:sz w:val="18"/>
        </w:rPr>
        <w:t xml:space="preserve"> </w:t>
      </w:r>
      <w:r>
        <w:rPr>
          <w:b/>
          <w:sz w:val="18"/>
        </w:rPr>
        <w:t>and</w:t>
      </w:r>
      <w:r>
        <w:rPr>
          <w:b/>
          <w:spacing w:val="-15"/>
          <w:sz w:val="18"/>
        </w:rPr>
        <w:t xml:space="preserve"> </w:t>
      </w:r>
      <w:r>
        <w:rPr>
          <w:b/>
          <w:sz w:val="18"/>
        </w:rPr>
        <w:t>single</w:t>
      </w:r>
      <w:r>
        <w:rPr>
          <w:b/>
          <w:spacing w:val="-16"/>
          <w:sz w:val="18"/>
        </w:rPr>
        <w:t xml:space="preserve"> </w:t>
      </w:r>
      <w:r>
        <w:rPr>
          <w:b/>
          <w:sz w:val="18"/>
        </w:rPr>
        <w:t>deck</w:t>
      </w:r>
      <w:r>
        <w:rPr>
          <w:b/>
          <w:spacing w:val="-16"/>
          <w:sz w:val="18"/>
        </w:rPr>
        <w:t xml:space="preserve"> </w:t>
      </w:r>
      <w:r>
        <w:rPr>
          <w:b/>
          <w:sz w:val="18"/>
        </w:rPr>
        <w:t>train</w:t>
      </w:r>
      <w:r>
        <w:rPr>
          <w:b/>
          <w:spacing w:val="-16"/>
          <w:sz w:val="18"/>
        </w:rPr>
        <w:t xml:space="preserve"> </w:t>
      </w:r>
      <w:r>
        <w:rPr>
          <w:b/>
          <w:spacing w:val="-2"/>
          <w:sz w:val="18"/>
        </w:rPr>
        <w:t>systems</w:t>
      </w:r>
    </w:p>
    <w:p w:rsidR="002C1123" w:rsidRDefault="002C1123">
      <w:pPr>
        <w:pStyle w:val="BodyText"/>
        <w:rPr>
          <w:b/>
        </w:rPr>
      </w:pPr>
    </w:p>
    <w:p w:rsidR="002C1123" w:rsidRDefault="002C1123">
      <w:pPr>
        <w:pStyle w:val="BodyText"/>
        <w:spacing w:before="8"/>
        <w:rPr>
          <w:b/>
          <w:sz w:val="19"/>
        </w:rPr>
      </w:pPr>
    </w:p>
    <w:p w:rsidR="002C1123" w:rsidRDefault="002060EF">
      <w:pPr>
        <w:tabs>
          <w:tab w:val="left" w:pos="5871"/>
          <w:tab w:val="left" w:pos="7288"/>
        </w:tabs>
        <w:ind w:left="4454"/>
        <w:rPr>
          <w:b/>
          <w:sz w:val="16"/>
        </w:rPr>
      </w:pPr>
      <w:r>
        <w:pict>
          <v:shape id="docshape1456" o:spid="_x0000_s3766" type="#_x0000_t202" style="position:absolute;left:0;text-align:left;margin-left:300.95pt;margin-top:12.65pt;width:491.65pt;height:52.15pt;z-index:251415552;mso-position-horizontal-relative:page" filled="f" stroked="f">
            <v:textbox inset="0,0,0,0">
              <w:txbxContent>
                <w:tbl>
                  <w:tblPr>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4143"/>
                    <w:gridCol w:w="1418"/>
                    <w:gridCol w:w="1418"/>
                    <w:gridCol w:w="1418"/>
                    <w:gridCol w:w="1418"/>
                  </w:tblGrid>
                  <w:tr w:rsidR="00F22F94">
                    <w:trPr>
                      <w:trHeight w:val="321"/>
                    </w:trPr>
                    <w:tc>
                      <w:tcPr>
                        <w:tcW w:w="4143" w:type="dxa"/>
                        <w:tcBorders>
                          <w:left w:val="nil"/>
                        </w:tcBorders>
                        <w:shd w:val="clear" w:color="auto" w:fill="C9C8C9"/>
                      </w:tcPr>
                      <w:p w:rsidR="00F22F94" w:rsidRDefault="00F22F94">
                        <w:pPr>
                          <w:pStyle w:val="TableParagraph"/>
                          <w:rPr>
                            <w:sz w:val="16"/>
                          </w:rPr>
                        </w:pPr>
                        <w:r>
                          <w:rPr>
                            <w:sz w:val="16"/>
                          </w:rPr>
                          <w:t>Double</w:t>
                        </w:r>
                        <w:r>
                          <w:rPr>
                            <w:spacing w:val="6"/>
                            <w:sz w:val="16"/>
                          </w:rPr>
                          <w:t xml:space="preserve"> </w:t>
                        </w:r>
                        <w:r>
                          <w:rPr>
                            <w:spacing w:val="-4"/>
                            <w:sz w:val="16"/>
                          </w:rPr>
                          <w:t>deck</w:t>
                        </w:r>
                      </w:p>
                    </w:tc>
                    <w:tc>
                      <w:tcPr>
                        <w:tcW w:w="1418" w:type="dxa"/>
                        <w:shd w:val="clear" w:color="auto" w:fill="E1E0E1"/>
                      </w:tcPr>
                      <w:p w:rsidR="00F22F94" w:rsidRDefault="00F22F94">
                        <w:pPr>
                          <w:pStyle w:val="TableParagraph"/>
                          <w:rPr>
                            <w:sz w:val="16"/>
                          </w:rPr>
                        </w:pPr>
                        <w:r>
                          <w:rPr>
                            <w:spacing w:val="-2"/>
                            <w:sz w:val="16"/>
                          </w:rPr>
                          <w:t>1,200</w:t>
                        </w:r>
                      </w:p>
                    </w:tc>
                    <w:tc>
                      <w:tcPr>
                        <w:tcW w:w="1418" w:type="dxa"/>
                        <w:shd w:val="clear" w:color="auto" w:fill="E1E0E1"/>
                      </w:tcPr>
                      <w:p w:rsidR="00F22F94" w:rsidRDefault="00F22F94">
                        <w:pPr>
                          <w:pStyle w:val="TableParagraph"/>
                          <w:ind w:left="112"/>
                          <w:rPr>
                            <w:sz w:val="16"/>
                          </w:rPr>
                        </w:pPr>
                        <w:r>
                          <w:rPr>
                            <w:spacing w:val="-5"/>
                            <w:sz w:val="16"/>
                          </w:rPr>
                          <w:t>890</w:t>
                        </w:r>
                      </w:p>
                    </w:tc>
                    <w:tc>
                      <w:tcPr>
                        <w:tcW w:w="1418" w:type="dxa"/>
                        <w:shd w:val="clear" w:color="auto" w:fill="E1E0E1"/>
                      </w:tcPr>
                      <w:p w:rsidR="00F22F94" w:rsidRDefault="00F22F94">
                        <w:pPr>
                          <w:pStyle w:val="TableParagraph"/>
                          <w:ind w:left="111"/>
                          <w:rPr>
                            <w:sz w:val="16"/>
                          </w:rPr>
                        </w:pPr>
                        <w:r>
                          <w:rPr>
                            <w:spacing w:val="-5"/>
                            <w:sz w:val="16"/>
                          </w:rPr>
                          <w:t>20</w:t>
                        </w:r>
                      </w:p>
                    </w:tc>
                    <w:tc>
                      <w:tcPr>
                        <w:tcW w:w="1418" w:type="dxa"/>
                        <w:shd w:val="clear" w:color="auto" w:fill="E1E0E1"/>
                      </w:tcPr>
                      <w:p w:rsidR="00F22F94" w:rsidRDefault="00F22F94">
                        <w:pPr>
                          <w:pStyle w:val="TableParagraph"/>
                          <w:ind w:left="110"/>
                          <w:rPr>
                            <w:sz w:val="16"/>
                          </w:rPr>
                        </w:pPr>
                        <w:r>
                          <w:rPr>
                            <w:spacing w:val="-2"/>
                            <w:sz w:val="16"/>
                          </w:rPr>
                          <w:t>24,000</w:t>
                        </w:r>
                      </w:p>
                    </w:tc>
                  </w:tr>
                  <w:tr w:rsidR="00F22F94">
                    <w:trPr>
                      <w:trHeight w:val="321"/>
                    </w:trPr>
                    <w:tc>
                      <w:tcPr>
                        <w:tcW w:w="4143" w:type="dxa"/>
                        <w:tcBorders>
                          <w:left w:val="nil"/>
                        </w:tcBorders>
                        <w:shd w:val="clear" w:color="auto" w:fill="C9C8C9"/>
                      </w:tcPr>
                      <w:p w:rsidR="00F22F94" w:rsidRDefault="00F22F94">
                        <w:pPr>
                          <w:pStyle w:val="TableParagraph"/>
                          <w:rPr>
                            <w:sz w:val="9"/>
                          </w:rPr>
                        </w:pPr>
                        <w:r>
                          <w:rPr>
                            <w:sz w:val="16"/>
                          </w:rPr>
                          <w:t>Single</w:t>
                        </w:r>
                        <w:r>
                          <w:rPr>
                            <w:spacing w:val="-3"/>
                            <w:sz w:val="16"/>
                          </w:rPr>
                          <w:t xml:space="preserve"> </w:t>
                        </w:r>
                        <w:r>
                          <w:rPr>
                            <w:sz w:val="16"/>
                          </w:rPr>
                          <w:t>deck</w:t>
                        </w:r>
                        <w:r>
                          <w:rPr>
                            <w:spacing w:val="-3"/>
                            <w:sz w:val="16"/>
                          </w:rPr>
                          <w:t xml:space="preserve"> </w:t>
                        </w:r>
                        <w:r>
                          <w:rPr>
                            <w:sz w:val="16"/>
                          </w:rPr>
                          <w:t>–</w:t>
                        </w:r>
                        <w:r>
                          <w:rPr>
                            <w:spacing w:val="-3"/>
                            <w:sz w:val="16"/>
                          </w:rPr>
                          <w:t xml:space="preserve"> </w:t>
                        </w:r>
                        <w:r>
                          <w:rPr>
                            <w:spacing w:val="-2"/>
                            <w:sz w:val="16"/>
                          </w:rPr>
                          <w:t>comfortable</w:t>
                        </w:r>
                        <w:r>
                          <w:rPr>
                            <w:spacing w:val="-2"/>
                            <w:position w:val="5"/>
                            <w:sz w:val="9"/>
                          </w:rPr>
                          <w:t>(1)</w:t>
                        </w:r>
                      </w:p>
                    </w:tc>
                    <w:tc>
                      <w:tcPr>
                        <w:tcW w:w="1418" w:type="dxa"/>
                        <w:shd w:val="clear" w:color="auto" w:fill="E1E0E1"/>
                      </w:tcPr>
                      <w:p w:rsidR="00F22F94" w:rsidRDefault="00F22F94">
                        <w:pPr>
                          <w:pStyle w:val="TableParagraph"/>
                          <w:rPr>
                            <w:sz w:val="16"/>
                          </w:rPr>
                        </w:pPr>
                        <w:r>
                          <w:rPr>
                            <w:spacing w:val="-2"/>
                            <w:sz w:val="16"/>
                          </w:rPr>
                          <w:t>1,200</w:t>
                        </w:r>
                      </w:p>
                    </w:tc>
                    <w:tc>
                      <w:tcPr>
                        <w:tcW w:w="1418" w:type="dxa"/>
                        <w:shd w:val="clear" w:color="auto" w:fill="E1E0E1"/>
                      </w:tcPr>
                      <w:p w:rsidR="00F22F94" w:rsidRDefault="00F22F94">
                        <w:pPr>
                          <w:pStyle w:val="TableParagraph"/>
                          <w:ind w:left="112"/>
                          <w:rPr>
                            <w:sz w:val="16"/>
                          </w:rPr>
                        </w:pPr>
                        <w:r>
                          <w:rPr>
                            <w:spacing w:val="-5"/>
                            <w:sz w:val="16"/>
                          </w:rPr>
                          <w:t>600</w:t>
                        </w:r>
                      </w:p>
                    </w:tc>
                    <w:tc>
                      <w:tcPr>
                        <w:tcW w:w="1418" w:type="dxa"/>
                        <w:shd w:val="clear" w:color="auto" w:fill="E1E0E1"/>
                      </w:tcPr>
                      <w:p w:rsidR="00F22F94" w:rsidRDefault="00F22F94">
                        <w:pPr>
                          <w:pStyle w:val="TableParagraph"/>
                          <w:ind w:left="111"/>
                          <w:rPr>
                            <w:sz w:val="16"/>
                          </w:rPr>
                        </w:pPr>
                        <w:r>
                          <w:rPr>
                            <w:spacing w:val="-5"/>
                            <w:sz w:val="16"/>
                          </w:rPr>
                          <w:t>30</w:t>
                        </w:r>
                      </w:p>
                    </w:tc>
                    <w:tc>
                      <w:tcPr>
                        <w:tcW w:w="1418" w:type="dxa"/>
                        <w:shd w:val="clear" w:color="auto" w:fill="E1E0E1"/>
                      </w:tcPr>
                      <w:p w:rsidR="00F22F94" w:rsidRDefault="00F22F94">
                        <w:pPr>
                          <w:pStyle w:val="TableParagraph"/>
                          <w:ind w:left="110"/>
                          <w:rPr>
                            <w:sz w:val="16"/>
                          </w:rPr>
                        </w:pPr>
                        <w:r>
                          <w:rPr>
                            <w:spacing w:val="-2"/>
                            <w:sz w:val="16"/>
                          </w:rPr>
                          <w:t>36,000</w:t>
                        </w:r>
                      </w:p>
                    </w:tc>
                  </w:tr>
                  <w:tr w:rsidR="00F22F94">
                    <w:trPr>
                      <w:trHeight w:val="321"/>
                    </w:trPr>
                    <w:tc>
                      <w:tcPr>
                        <w:tcW w:w="4143" w:type="dxa"/>
                        <w:tcBorders>
                          <w:left w:val="nil"/>
                        </w:tcBorders>
                        <w:shd w:val="clear" w:color="auto" w:fill="C9C8C9"/>
                      </w:tcPr>
                      <w:p w:rsidR="00F22F94" w:rsidRDefault="00F22F94">
                        <w:pPr>
                          <w:pStyle w:val="TableParagraph"/>
                          <w:rPr>
                            <w:sz w:val="9"/>
                          </w:rPr>
                        </w:pPr>
                        <w:r>
                          <w:rPr>
                            <w:sz w:val="16"/>
                          </w:rPr>
                          <w:t>Single</w:t>
                        </w:r>
                        <w:r>
                          <w:rPr>
                            <w:spacing w:val="-1"/>
                            <w:sz w:val="16"/>
                          </w:rPr>
                          <w:t xml:space="preserve"> </w:t>
                        </w:r>
                        <w:r>
                          <w:rPr>
                            <w:sz w:val="16"/>
                          </w:rPr>
                          <w:t>deck</w:t>
                        </w:r>
                        <w:r>
                          <w:rPr>
                            <w:spacing w:val="-1"/>
                            <w:sz w:val="16"/>
                          </w:rPr>
                          <w:t xml:space="preserve"> </w:t>
                        </w:r>
                        <w:r>
                          <w:rPr>
                            <w:sz w:val="16"/>
                          </w:rPr>
                          <w:t>metro –</w:t>
                        </w:r>
                        <w:r>
                          <w:rPr>
                            <w:spacing w:val="-1"/>
                            <w:sz w:val="16"/>
                          </w:rPr>
                          <w:t xml:space="preserve"> </w:t>
                        </w:r>
                        <w:r>
                          <w:rPr>
                            <w:spacing w:val="-2"/>
                            <w:sz w:val="16"/>
                          </w:rPr>
                          <w:t>max</w:t>
                        </w:r>
                        <w:r>
                          <w:rPr>
                            <w:spacing w:val="-2"/>
                            <w:position w:val="5"/>
                            <w:sz w:val="9"/>
                          </w:rPr>
                          <w:t>(2)</w:t>
                        </w:r>
                      </w:p>
                    </w:tc>
                    <w:tc>
                      <w:tcPr>
                        <w:tcW w:w="1418" w:type="dxa"/>
                        <w:shd w:val="clear" w:color="auto" w:fill="E1E0E1"/>
                      </w:tcPr>
                      <w:p w:rsidR="00F22F94" w:rsidRDefault="00F22F94">
                        <w:pPr>
                          <w:pStyle w:val="TableParagraph"/>
                          <w:rPr>
                            <w:sz w:val="16"/>
                          </w:rPr>
                        </w:pPr>
                        <w:r>
                          <w:rPr>
                            <w:spacing w:val="-2"/>
                            <w:sz w:val="16"/>
                          </w:rPr>
                          <w:t>2,000</w:t>
                        </w:r>
                      </w:p>
                    </w:tc>
                    <w:tc>
                      <w:tcPr>
                        <w:tcW w:w="1418" w:type="dxa"/>
                        <w:shd w:val="clear" w:color="auto" w:fill="E1E0E1"/>
                      </w:tcPr>
                      <w:p w:rsidR="00F22F94" w:rsidRDefault="00F22F94">
                        <w:pPr>
                          <w:pStyle w:val="TableParagraph"/>
                          <w:ind w:left="112"/>
                          <w:rPr>
                            <w:sz w:val="16"/>
                          </w:rPr>
                        </w:pPr>
                        <w:r>
                          <w:rPr>
                            <w:spacing w:val="-5"/>
                            <w:sz w:val="16"/>
                          </w:rPr>
                          <w:t>400</w:t>
                        </w:r>
                      </w:p>
                    </w:tc>
                    <w:tc>
                      <w:tcPr>
                        <w:tcW w:w="1418" w:type="dxa"/>
                        <w:shd w:val="clear" w:color="auto" w:fill="E1E0E1"/>
                      </w:tcPr>
                      <w:p w:rsidR="00F22F94" w:rsidRDefault="00F22F94">
                        <w:pPr>
                          <w:pStyle w:val="TableParagraph"/>
                          <w:ind w:left="111"/>
                          <w:rPr>
                            <w:sz w:val="16"/>
                          </w:rPr>
                        </w:pPr>
                        <w:r>
                          <w:rPr>
                            <w:spacing w:val="-5"/>
                            <w:sz w:val="16"/>
                          </w:rPr>
                          <w:t>30</w:t>
                        </w:r>
                      </w:p>
                    </w:tc>
                    <w:tc>
                      <w:tcPr>
                        <w:tcW w:w="1418" w:type="dxa"/>
                        <w:shd w:val="clear" w:color="auto" w:fill="E1E0E1"/>
                      </w:tcPr>
                      <w:p w:rsidR="00F22F94" w:rsidRDefault="00F22F94">
                        <w:pPr>
                          <w:pStyle w:val="TableParagraph"/>
                          <w:ind w:left="110"/>
                          <w:rPr>
                            <w:sz w:val="16"/>
                          </w:rPr>
                        </w:pPr>
                        <w:r>
                          <w:rPr>
                            <w:spacing w:val="-2"/>
                            <w:sz w:val="16"/>
                          </w:rPr>
                          <w:t>60,000</w:t>
                        </w:r>
                      </w:p>
                    </w:tc>
                  </w:tr>
                </w:tbl>
                <w:p w:rsidR="00F22F94" w:rsidRDefault="00F22F94">
                  <w:pPr>
                    <w:pStyle w:val="BodyText"/>
                  </w:pPr>
                </w:p>
              </w:txbxContent>
            </v:textbox>
            <w10:wrap anchorx="page"/>
          </v:shape>
        </w:pict>
      </w:r>
      <w:r w:rsidR="00F22F94">
        <w:rPr>
          <w:b/>
          <w:color w:val="2E3092"/>
          <w:spacing w:val="-2"/>
          <w:w w:val="95"/>
          <w:sz w:val="16"/>
        </w:rPr>
        <w:t>Train</w:t>
      </w:r>
      <w:r w:rsidR="00F22F94">
        <w:rPr>
          <w:b/>
          <w:color w:val="2E3092"/>
          <w:spacing w:val="-4"/>
          <w:sz w:val="16"/>
        </w:rPr>
        <w:t xml:space="preserve"> </w:t>
      </w:r>
      <w:r w:rsidR="00F22F94">
        <w:rPr>
          <w:b/>
          <w:color w:val="2E3092"/>
          <w:spacing w:val="-2"/>
          <w:sz w:val="16"/>
        </w:rPr>
        <w:t>capacity</w:t>
      </w:r>
      <w:r w:rsidR="00F22F94">
        <w:rPr>
          <w:b/>
          <w:color w:val="2E3092"/>
          <w:spacing w:val="-2"/>
          <w:position w:val="5"/>
          <w:sz w:val="9"/>
        </w:rPr>
        <w:t>(1)</w:t>
      </w:r>
      <w:r w:rsidR="00F22F94">
        <w:rPr>
          <w:b/>
          <w:color w:val="2E3092"/>
          <w:position w:val="5"/>
          <w:sz w:val="9"/>
        </w:rPr>
        <w:tab/>
      </w:r>
      <w:r w:rsidR="00F22F94">
        <w:rPr>
          <w:b/>
          <w:color w:val="2E3092"/>
          <w:sz w:val="16"/>
        </w:rPr>
        <w:t>Seats</w:t>
      </w:r>
      <w:r w:rsidR="00F22F94">
        <w:rPr>
          <w:b/>
          <w:color w:val="2E3092"/>
          <w:spacing w:val="-9"/>
          <w:sz w:val="16"/>
        </w:rPr>
        <w:t xml:space="preserve"> </w:t>
      </w:r>
      <w:r w:rsidR="00F22F94">
        <w:rPr>
          <w:b/>
          <w:color w:val="2E3092"/>
          <w:sz w:val="16"/>
        </w:rPr>
        <w:t>per</w:t>
      </w:r>
      <w:r w:rsidR="00F22F94">
        <w:rPr>
          <w:b/>
          <w:color w:val="2E3092"/>
          <w:spacing w:val="-9"/>
          <w:sz w:val="16"/>
        </w:rPr>
        <w:t xml:space="preserve"> </w:t>
      </w:r>
      <w:r w:rsidR="00F22F94">
        <w:rPr>
          <w:b/>
          <w:color w:val="2E3092"/>
          <w:spacing w:val="-2"/>
          <w:sz w:val="16"/>
        </w:rPr>
        <w:t>train</w:t>
      </w:r>
      <w:r w:rsidR="00F22F94">
        <w:rPr>
          <w:b/>
          <w:color w:val="2E3092"/>
          <w:sz w:val="16"/>
        </w:rPr>
        <w:tab/>
      </w:r>
      <w:r w:rsidR="00F22F94">
        <w:rPr>
          <w:b/>
          <w:color w:val="2E3092"/>
          <w:spacing w:val="-4"/>
          <w:sz w:val="16"/>
        </w:rPr>
        <w:t>Trains per</w:t>
      </w:r>
      <w:r w:rsidR="00F22F94">
        <w:rPr>
          <w:b/>
          <w:color w:val="2E3092"/>
          <w:spacing w:val="-3"/>
          <w:sz w:val="16"/>
        </w:rPr>
        <w:t xml:space="preserve"> </w:t>
      </w:r>
      <w:r w:rsidR="00F22F94">
        <w:rPr>
          <w:b/>
          <w:color w:val="2E3092"/>
          <w:spacing w:val="-5"/>
          <w:sz w:val="16"/>
        </w:rPr>
        <w:t>hour</w:t>
      </w:r>
    </w:p>
    <w:p w:rsidR="002C1123" w:rsidRDefault="00F22F94">
      <w:pPr>
        <w:rPr>
          <w:b/>
          <w:sz w:val="18"/>
        </w:rPr>
      </w:pPr>
      <w:r>
        <w:br w:type="column"/>
      </w:r>
    </w:p>
    <w:p w:rsidR="002C1123" w:rsidRDefault="002C1123">
      <w:pPr>
        <w:pStyle w:val="BodyText"/>
        <w:rPr>
          <w:b/>
          <w:sz w:val="18"/>
        </w:rPr>
      </w:pPr>
    </w:p>
    <w:p w:rsidR="002C1123" w:rsidRDefault="00F22F94">
      <w:pPr>
        <w:spacing w:before="109" w:line="235" w:lineRule="auto"/>
        <w:ind w:left="251" w:right="945"/>
        <w:rPr>
          <w:b/>
          <w:sz w:val="16"/>
        </w:rPr>
      </w:pPr>
      <w:r>
        <w:rPr>
          <w:b/>
          <w:color w:val="2E3092"/>
          <w:spacing w:val="-2"/>
          <w:sz w:val="16"/>
        </w:rPr>
        <w:t xml:space="preserve">Total </w:t>
      </w:r>
      <w:r>
        <w:rPr>
          <w:b/>
          <w:color w:val="2E3092"/>
          <w:spacing w:val="-4"/>
          <w:sz w:val="16"/>
        </w:rPr>
        <w:t xml:space="preserve">passengers </w:t>
      </w:r>
      <w:r>
        <w:rPr>
          <w:b/>
          <w:color w:val="2E3092"/>
          <w:sz w:val="16"/>
        </w:rPr>
        <w:t>per</w:t>
      </w:r>
      <w:r>
        <w:rPr>
          <w:b/>
          <w:color w:val="2E3092"/>
          <w:spacing w:val="-4"/>
          <w:sz w:val="16"/>
        </w:rPr>
        <w:t xml:space="preserve"> </w:t>
      </w:r>
      <w:r>
        <w:rPr>
          <w:b/>
          <w:color w:val="2E3092"/>
          <w:sz w:val="16"/>
        </w:rPr>
        <w:t>hour</w:t>
      </w:r>
    </w:p>
    <w:p w:rsidR="002C1123" w:rsidRDefault="002C1123">
      <w:pPr>
        <w:spacing w:line="235" w:lineRule="auto"/>
        <w:rPr>
          <w:sz w:val="16"/>
        </w:rPr>
        <w:sectPr w:rsidR="002C1123">
          <w:type w:val="continuous"/>
          <w:pgSz w:w="16840" w:h="11910" w:orient="landscape"/>
          <w:pgMar w:top="560" w:right="280" w:bottom="280" w:left="500" w:header="0" w:footer="517" w:gutter="0"/>
          <w:cols w:num="3" w:space="720" w:equalWidth="0">
            <w:col w:w="5291" w:space="40"/>
            <w:col w:w="8415" w:space="39"/>
            <w:col w:w="2275"/>
          </w:cols>
        </w:sectPr>
      </w:pPr>
    </w:p>
    <w:p w:rsidR="002C1123" w:rsidRDefault="00F22F94">
      <w:pPr>
        <w:pStyle w:val="BodyText"/>
        <w:spacing w:before="10" w:line="249" w:lineRule="auto"/>
        <w:ind w:left="492"/>
      </w:pPr>
      <w:r>
        <w:t>Harbour</w:t>
      </w:r>
      <w:r>
        <w:rPr>
          <w:spacing w:val="-14"/>
        </w:rPr>
        <w:t xml:space="preserve"> </w:t>
      </w:r>
      <w:r>
        <w:t>Bridge</w:t>
      </w:r>
      <w:r>
        <w:rPr>
          <w:spacing w:val="-14"/>
        </w:rPr>
        <w:t xml:space="preserve"> </w:t>
      </w:r>
      <w:r>
        <w:t>Line</w:t>
      </w:r>
      <w:r>
        <w:rPr>
          <w:spacing w:val="-14"/>
        </w:rPr>
        <w:t xml:space="preserve"> </w:t>
      </w:r>
      <w:r>
        <w:t>at</w:t>
      </w:r>
      <w:r>
        <w:rPr>
          <w:spacing w:val="-14"/>
        </w:rPr>
        <w:t xml:space="preserve"> </w:t>
      </w:r>
      <w:r>
        <w:t>Wynyard</w:t>
      </w:r>
      <w:r>
        <w:rPr>
          <w:spacing w:val="-14"/>
        </w:rPr>
        <w:t xml:space="preserve"> </w:t>
      </w:r>
      <w:r>
        <w:t>and</w:t>
      </w:r>
      <w:r>
        <w:rPr>
          <w:spacing w:val="-13"/>
        </w:rPr>
        <w:t xml:space="preserve"> </w:t>
      </w:r>
      <w:r>
        <w:t>Town</w:t>
      </w:r>
      <w:r>
        <w:rPr>
          <w:spacing w:val="-14"/>
        </w:rPr>
        <w:t xml:space="preserve"> </w:t>
      </w:r>
      <w:r>
        <w:t>Hall,</w:t>
      </w:r>
      <w:r>
        <w:rPr>
          <w:spacing w:val="-14"/>
        </w:rPr>
        <w:t xml:space="preserve"> </w:t>
      </w:r>
      <w:r>
        <w:t xml:space="preserve">no </w:t>
      </w:r>
      <w:r>
        <w:rPr>
          <w:w w:val="95"/>
        </w:rPr>
        <w:t>attempt has been made to redistribute traffic towards the</w:t>
      </w:r>
      <w:r>
        <w:rPr>
          <w:spacing w:val="-7"/>
          <w:w w:val="95"/>
        </w:rPr>
        <w:t xml:space="preserve"> </w:t>
      </w:r>
      <w:r>
        <w:rPr>
          <w:w w:val="95"/>
        </w:rPr>
        <w:t>surplus</w:t>
      </w:r>
      <w:r>
        <w:rPr>
          <w:spacing w:val="-7"/>
          <w:w w:val="95"/>
        </w:rPr>
        <w:t xml:space="preserve"> </w:t>
      </w:r>
      <w:r>
        <w:rPr>
          <w:w w:val="95"/>
        </w:rPr>
        <w:t>capacity</w:t>
      </w:r>
      <w:r>
        <w:rPr>
          <w:spacing w:val="-7"/>
          <w:w w:val="95"/>
        </w:rPr>
        <w:t xml:space="preserve"> </w:t>
      </w:r>
      <w:r>
        <w:rPr>
          <w:w w:val="95"/>
        </w:rPr>
        <w:t>on</w:t>
      </w:r>
      <w:r>
        <w:rPr>
          <w:spacing w:val="-7"/>
          <w:w w:val="95"/>
        </w:rPr>
        <w:t xml:space="preserve"> </w:t>
      </w:r>
      <w:r>
        <w:rPr>
          <w:w w:val="95"/>
        </w:rPr>
        <w:t>the</w:t>
      </w:r>
      <w:r>
        <w:rPr>
          <w:spacing w:val="-7"/>
          <w:w w:val="95"/>
        </w:rPr>
        <w:t xml:space="preserve"> </w:t>
      </w:r>
      <w:r>
        <w:rPr>
          <w:w w:val="95"/>
        </w:rPr>
        <w:t>City</w:t>
      </w:r>
      <w:r>
        <w:rPr>
          <w:spacing w:val="-7"/>
          <w:w w:val="95"/>
        </w:rPr>
        <w:t xml:space="preserve"> </w:t>
      </w:r>
      <w:r>
        <w:rPr>
          <w:w w:val="95"/>
        </w:rPr>
        <w:t>Circle.</w:t>
      </w:r>
      <w:r>
        <w:rPr>
          <w:spacing w:val="-7"/>
          <w:w w:val="95"/>
        </w:rPr>
        <w:t xml:space="preserve"> </w:t>
      </w:r>
      <w:r>
        <w:rPr>
          <w:w w:val="95"/>
        </w:rPr>
        <w:t>Circular</w:t>
      </w:r>
      <w:r>
        <w:rPr>
          <w:spacing w:val="-7"/>
          <w:w w:val="95"/>
        </w:rPr>
        <w:t xml:space="preserve"> </w:t>
      </w:r>
      <w:r>
        <w:rPr>
          <w:w w:val="95"/>
        </w:rPr>
        <w:t>Quay, St</w:t>
      </w:r>
      <w:r>
        <w:rPr>
          <w:spacing w:val="-4"/>
          <w:w w:val="95"/>
        </w:rPr>
        <w:t xml:space="preserve"> </w:t>
      </w:r>
      <w:r>
        <w:rPr>
          <w:w w:val="95"/>
        </w:rPr>
        <w:t>James</w:t>
      </w:r>
      <w:r>
        <w:rPr>
          <w:spacing w:val="-4"/>
          <w:w w:val="95"/>
        </w:rPr>
        <w:t xml:space="preserve"> </w:t>
      </w:r>
      <w:r>
        <w:rPr>
          <w:w w:val="95"/>
        </w:rPr>
        <w:t>and</w:t>
      </w:r>
      <w:r>
        <w:rPr>
          <w:spacing w:val="-4"/>
          <w:w w:val="95"/>
        </w:rPr>
        <w:t xml:space="preserve"> </w:t>
      </w:r>
      <w:r>
        <w:rPr>
          <w:w w:val="95"/>
        </w:rPr>
        <w:t>Museum</w:t>
      </w:r>
      <w:r>
        <w:rPr>
          <w:spacing w:val="-5"/>
          <w:w w:val="95"/>
        </w:rPr>
        <w:t xml:space="preserve"> </w:t>
      </w:r>
      <w:r>
        <w:rPr>
          <w:w w:val="95"/>
        </w:rPr>
        <w:t>stations</w:t>
      </w:r>
      <w:r>
        <w:rPr>
          <w:spacing w:val="-4"/>
          <w:w w:val="95"/>
        </w:rPr>
        <w:t xml:space="preserve"> </w:t>
      </w:r>
      <w:r>
        <w:rPr>
          <w:w w:val="95"/>
        </w:rPr>
        <w:t>are</w:t>
      </w:r>
      <w:r>
        <w:rPr>
          <w:spacing w:val="-4"/>
          <w:w w:val="95"/>
        </w:rPr>
        <w:t xml:space="preserve"> </w:t>
      </w:r>
      <w:r>
        <w:rPr>
          <w:w w:val="95"/>
        </w:rPr>
        <w:t>currently</w:t>
      </w:r>
      <w:r>
        <w:rPr>
          <w:spacing w:val="-4"/>
          <w:w w:val="95"/>
        </w:rPr>
        <w:t xml:space="preserve"> </w:t>
      </w:r>
      <w:r>
        <w:rPr>
          <w:w w:val="95"/>
        </w:rPr>
        <w:t>used</w:t>
      </w:r>
      <w:r>
        <w:rPr>
          <w:spacing w:val="-4"/>
          <w:w w:val="95"/>
        </w:rPr>
        <w:t xml:space="preserve"> </w:t>
      </w:r>
      <w:r>
        <w:rPr>
          <w:w w:val="95"/>
        </w:rPr>
        <w:t xml:space="preserve">by </w:t>
      </w:r>
      <w:r>
        <w:t>very few passengers.</w:t>
      </w:r>
    </w:p>
    <w:p w:rsidR="002C1123" w:rsidRDefault="00F22F94">
      <w:pPr>
        <w:spacing w:before="123"/>
        <w:ind w:left="610" w:right="647" w:hanging="118"/>
        <w:rPr>
          <w:sz w:val="14"/>
        </w:rPr>
      </w:pPr>
      <w:r>
        <w:br w:type="column"/>
      </w:r>
      <w:r>
        <w:rPr>
          <w:position w:val="5"/>
          <w:sz w:val="8"/>
        </w:rPr>
        <w:t>(1)</w:t>
      </w:r>
      <w:r>
        <w:rPr>
          <w:spacing w:val="17"/>
          <w:position w:val="5"/>
          <w:sz w:val="8"/>
        </w:rPr>
        <w:t xml:space="preserve"> </w:t>
      </w:r>
      <w:r>
        <w:rPr>
          <w:sz w:val="14"/>
        </w:rPr>
        <w:t>Double deck assumes a nominal capacity of 1200 people with seating in line with Waratah train specifications. Planned frequency of 20 tph across the</w:t>
      </w:r>
      <w:r>
        <w:rPr>
          <w:spacing w:val="40"/>
          <w:sz w:val="14"/>
        </w:rPr>
        <w:t xml:space="preserve"> </w:t>
      </w:r>
      <w:r>
        <w:rPr>
          <w:sz w:val="14"/>
        </w:rPr>
        <w:t>harbour</w:t>
      </w:r>
      <w:r>
        <w:rPr>
          <w:spacing w:val="-4"/>
          <w:sz w:val="14"/>
        </w:rPr>
        <w:t xml:space="preserve"> </w:t>
      </w:r>
      <w:r>
        <w:rPr>
          <w:sz w:val="14"/>
        </w:rPr>
        <w:t>bridge</w:t>
      </w:r>
      <w:r>
        <w:rPr>
          <w:spacing w:val="-4"/>
          <w:sz w:val="14"/>
        </w:rPr>
        <w:t xml:space="preserve"> </w:t>
      </w:r>
      <w:r>
        <w:rPr>
          <w:sz w:val="14"/>
        </w:rPr>
        <w:t>from</w:t>
      </w:r>
      <w:r>
        <w:rPr>
          <w:spacing w:val="-4"/>
          <w:sz w:val="14"/>
        </w:rPr>
        <w:t xml:space="preserve"> </w:t>
      </w:r>
      <w:r>
        <w:rPr>
          <w:sz w:val="14"/>
        </w:rPr>
        <w:t>Sydney’s</w:t>
      </w:r>
      <w:r>
        <w:rPr>
          <w:spacing w:val="-4"/>
          <w:sz w:val="14"/>
        </w:rPr>
        <w:t xml:space="preserve"> </w:t>
      </w:r>
      <w:r>
        <w:rPr>
          <w:sz w:val="14"/>
        </w:rPr>
        <w:t>Rail</w:t>
      </w:r>
      <w:r>
        <w:rPr>
          <w:spacing w:val="-4"/>
          <w:sz w:val="14"/>
        </w:rPr>
        <w:t xml:space="preserve"> </w:t>
      </w:r>
      <w:r>
        <w:rPr>
          <w:sz w:val="14"/>
        </w:rPr>
        <w:t>Future.</w:t>
      </w:r>
      <w:r>
        <w:rPr>
          <w:spacing w:val="-4"/>
          <w:sz w:val="14"/>
        </w:rPr>
        <w:t xml:space="preserve"> </w:t>
      </w:r>
      <w:r>
        <w:rPr>
          <w:sz w:val="14"/>
        </w:rPr>
        <w:t>Single</w:t>
      </w:r>
      <w:r>
        <w:rPr>
          <w:spacing w:val="-4"/>
          <w:sz w:val="14"/>
        </w:rPr>
        <w:t xml:space="preserve"> </w:t>
      </w:r>
      <w:r>
        <w:rPr>
          <w:sz w:val="14"/>
        </w:rPr>
        <w:t>deck</w:t>
      </w:r>
      <w:r>
        <w:rPr>
          <w:spacing w:val="-4"/>
          <w:sz w:val="14"/>
        </w:rPr>
        <w:t xml:space="preserve"> </w:t>
      </w:r>
      <w:r>
        <w:rPr>
          <w:sz w:val="14"/>
        </w:rPr>
        <w:t>‘high</w:t>
      </w:r>
      <w:r>
        <w:rPr>
          <w:spacing w:val="-4"/>
          <w:sz w:val="14"/>
        </w:rPr>
        <w:t xml:space="preserve"> </w:t>
      </w:r>
      <w:r>
        <w:rPr>
          <w:sz w:val="14"/>
        </w:rPr>
        <w:t>seating’</w:t>
      </w:r>
      <w:r>
        <w:rPr>
          <w:spacing w:val="-4"/>
          <w:sz w:val="14"/>
        </w:rPr>
        <w:t xml:space="preserve"> </w:t>
      </w:r>
      <w:r>
        <w:rPr>
          <w:sz w:val="14"/>
        </w:rPr>
        <w:t>capacity</w:t>
      </w:r>
      <w:r>
        <w:rPr>
          <w:spacing w:val="-4"/>
          <w:sz w:val="14"/>
        </w:rPr>
        <w:t xml:space="preserve"> </w:t>
      </w:r>
      <w:r>
        <w:rPr>
          <w:sz w:val="14"/>
        </w:rPr>
        <w:t>could</w:t>
      </w:r>
      <w:r>
        <w:rPr>
          <w:spacing w:val="-4"/>
          <w:sz w:val="14"/>
        </w:rPr>
        <w:t xml:space="preserve"> </w:t>
      </w:r>
      <w:r>
        <w:rPr>
          <w:sz w:val="14"/>
        </w:rPr>
        <w:t>have</w:t>
      </w:r>
      <w:r>
        <w:rPr>
          <w:spacing w:val="-4"/>
          <w:sz w:val="14"/>
        </w:rPr>
        <w:t xml:space="preserve"> </w:t>
      </w:r>
      <w:r>
        <w:rPr>
          <w:sz w:val="14"/>
        </w:rPr>
        <w:t>500-600</w:t>
      </w:r>
      <w:r>
        <w:rPr>
          <w:spacing w:val="-4"/>
          <w:sz w:val="14"/>
        </w:rPr>
        <w:t xml:space="preserve"> </w:t>
      </w:r>
      <w:r>
        <w:rPr>
          <w:sz w:val="14"/>
        </w:rPr>
        <w:t>seats</w:t>
      </w:r>
      <w:r>
        <w:rPr>
          <w:spacing w:val="-4"/>
          <w:sz w:val="14"/>
        </w:rPr>
        <w:t xml:space="preserve"> </w:t>
      </w:r>
      <w:r>
        <w:rPr>
          <w:sz w:val="14"/>
        </w:rPr>
        <w:t>(Source:</w:t>
      </w:r>
      <w:r>
        <w:rPr>
          <w:spacing w:val="-4"/>
          <w:sz w:val="14"/>
        </w:rPr>
        <w:t xml:space="preserve"> </w:t>
      </w:r>
      <w:r>
        <w:rPr>
          <w:sz w:val="14"/>
        </w:rPr>
        <w:t>Halcrow</w:t>
      </w:r>
      <w:r>
        <w:rPr>
          <w:spacing w:val="-4"/>
          <w:sz w:val="14"/>
        </w:rPr>
        <w:t xml:space="preserve"> </w:t>
      </w:r>
      <w:r>
        <w:rPr>
          <w:sz w:val="14"/>
        </w:rPr>
        <w:t>2011),</w:t>
      </w:r>
      <w:r>
        <w:rPr>
          <w:spacing w:val="-4"/>
          <w:sz w:val="14"/>
        </w:rPr>
        <w:t xml:space="preserve"> </w:t>
      </w:r>
      <w:r>
        <w:rPr>
          <w:sz w:val="14"/>
        </w:rPr>
        <w:t>single</w:t>
      </w:r>
      <w:r>
        <w:rPr>
          <w:spacing w:val="-4"/>
          <w:sz w:val="14"/>
        </w:rPr>
        <w:t xml:space="preserve"> </w:t>
      </w:r>
      <w:r>
        <w:rPr>
          <w:sz w:val="14"/>
        </w:rPr>
        <w:t>deck</w:t>
      </w:r>
      <w:r>
        <w:rPr>
          <w:spacing w:val="-4"/>
          <w:sz w:val="14"/>
        </w:rPr>
        <w:t xml:space="preserve"> </w:t>
      </w:r>
      <w:r>
        <w:rPr>
          <w:sz w:val="14"/>
        </w:rPr>
        <w:t>would</w:t>
      </w:r>
      <w:r>
        <w:rPr>
          <w:spacing w:val="-4"/>
          <w:sz w:val="14"/>
        </w:rPr>
        <w:t xml:space="preserve"> </w:t>
      </w:r>
      <w:r>
        <w:rPr>
          <w:sz w:val="14"/>
        </w:rPr>
        <w:t>be</w:t>
      </w:r>
      <w:r>
        <w:rPr>
          <w:spacing w:val="-4"/>
          <w:sz w:val="14"/>
        </w:rPr>
        <w:t xml:space="preserve"> </w:t>
      </w:r>
      <w:r>
        <w:rPr>
          <w:sz w:val="14"/>
        </w:rPr>
        <w:t>based</w:t>
      </w:r>
      <w:r>
        <w:rPr>
          <w:spacing w:val="40"/>
          <w:sz w:val="14"/>
        </w:rPr>
        <w:t xml:space="preserve"> </w:t>
      </w:r>
      <w:r>
        <w:rPr>
          <w:sz w:val="14"/>
        </w:rPr>
        <w:t>on standard international design with 3 doors per side.</w:t>
      </w:r>
    </w:p>
    <w:p w:rsidR="002C1123" w:rsidRDefault="00F22F94">
      <w:pPr>
        <w:spacing w:before="53"/>
        <w:ind w:left="492"/>
        <w:rPr>
          <w:sz w:val="14"/>
        </w:rPr>
      </w:pPr>
      <w:r>
        <w:rPr>
          <w:w w:val="90"/>
          <w:position w:val="5"/>
          <w:sz w:val="8"/>
        </w:rPr>
        <w:t>(2)</w:t>
      </w:r>
      <w:r>
        <w:rPr>
          <w:spacing w:val="23"/>
          <w:position w:val="5"/>
          <w:sz w:val="8"/>
        </w:rPr>
        <w:t xml:space="preserve"> </w:t>
      </w:r>
      <w:r>
        <w:rPr>
          <w:w w:val="90"/>
          <w:sz w:val="14"/>
        </w:rPr>
        <w:t>Source:</w:t>
      </w:r>
      <w:r>
        <w:rPr>
          <w:spacing w:val="6"/>
          <w:sz w:val="14"/>
        </w:rPr>
        <w:t xml:space="preserve"> </w:t>
      </w:r>
      <w:r>
        <w:rPr>
          <w:w w:val="90"/>
          <w:sz w:val="14"/>
        </w:rPr>
        <w:t>MTR</w:t>
      </w:r>
      <w:r>
        <w:rPr>
          <w:spacing w:val="5"/>
          <w:sz w:val="14"/>
        </w:rPr>
        <w:t xml:space="preserve"> </w:t>
      </w:r>
      <w:r>
        <w:rPr>
          <w:w w:val="90"/>
          <w:sz w:val="14"/>
        </w:rPr>
        <w:t>for</w:t>
      </w:r>
      <w:r>
        <w:rPr>
          <w:spacing w:val="6"/>
          <w:sz w:val="14"/>
        </w:rPr>
        <w:t xml:space="preserve"> </w:t>
      </w:r>
      <w:r>
        <w:rPr>
          <w:w w:val="90"/>
          <w:sz w:val="14"/>
        </w:rPr>
        <w:t>Transport</w:t>
      </w:r>
      <w:r>
        <w:rPr>
          <w:spacing w:val="5"/>
          <w:sz w:val="14"/>
        </w:rPr>
        <w:t xml:space="preserve"> </w:t>
      </w:r>
      <w:r>
        <w:rPr>
          <w:w w:val="90"/>
          <w:sz w:val="14"/>
        </w:rPr>
        <w:t>for</w:t>
      </w:r>
      <w:r>
        <w:rPr>
          <w:spacing w:val="6"/>
          <w:sz w:val="14"/>
        </w:rPr>
        <w:t xml:space="preserve"> </w:t>
      </w:r>
      <w:r>
        <w:rPr>
          <w:spacing w:val="-4"/>
          <w:w w:val="90"/>
          <w:sz w:val="14"/>
        </w:rPr>
        <w:t>NSW.</w:t>
      </w:r>
    </w:p>
    <w:p w:rsidR="002C1123" w:rsidRDefault="002C1123">
      <w:pPr>
        <w:rPr>
          <w:sz w:val="14"/>
        </w:rPr>
        <w:sectPr w:rsidR="002C1123">
          <w:type w:val="continuous"/>
          <w:pgSz w:w="16840" w:h="11910" w:orient="landscape"/>
          <w:pgMar w:top="560" w:right="280" w:bottom="280" w:left="500" w:header="0" w:footer="517" w:gutter="0"/>
          <w:cols w:num="2" w:space="720" w:equalWidth="0">
            <w:col w:w="4978" w:space="59"/>
            <w:col w:w="11023"/>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BodyText"/>
        <w:spacing w:before="106" w:line="249" w:lineRule="auto"/>
        <w:ind w:left="492" w:right="19"/>
      </w:pPr>
      <w:bookmarkStart w:id="222" w:name="_bookmark158"/>
      <w:bookmarkEnd w:id="222"/>
      <w:r>
        <w:t>Single</w:t>
      </w:r>
      <w:r>
        <w:rPr>
          <w:spacing w:val="-13"/>
        </w:rPr>
        <w:t xml:space="preserve"> </w:t>
      </w:r>
      <w:r>
        <w:t>deck</w:t>
      </w:r>
      <w:r>
        <w:rPr>
          <w:spacing w:val="-13"/>
        </w:rPr>
        <w:t xml:space="preserve"> </w:t>
      </w:r>
      <w:r>
        <w:t>trains</w:t>
      </w:r>
      <w:r>
        <w:rPr>
          <w:spacing w:val="-13"/>
        </w:rPr>
        <w:t xml:space="preserve"> </w:t>
      </w:r>
      <w:r>
        <w:t>are</w:t>
      </w:r>
      <w:r>
        <w:rPr>
          <w:spacing w:val="-13"/>
        </w:rPr>
        <w:t xml:space="preserve"> </w:t>
      </w:r>
      <w:r>
        <w:t>able</w:t>
      </w:r>
      <w:r>
        <w:rPr>
          <w:spacing w:val="-13"/>
        </w:rPr>
        <w:t xml:space="preserve"> </w:t>
      </w:r>
      <w:r>
        <w:t>to</w:t>
      </w:r>
      <w:r>
        <w:rPr>
          <w:spacing w:val="-13"/>
        </w:rPr>
        <w:t xml:space="preserve"> </w:t>
      </w:r>
      <w:r>
        <w:t>operate</w:t>
      </w:r>
      <w:r>
        <w:rPr>
          <w:spacing w:val="-13"/>
        </w:rPr>
        <w:t xml:space="preserve"> </w:t>
      </w:r>
      <w:r>
        <w:t>at</w:t>
      </w:r>
      <w:r>
        <w:rPr>
          <w:spacing w:val="-13"/>
        </w:rPr>
        <w:t xml:space="preserve"> </w:t>
      </w:r>
      <w:r>
        <w:t xml:space="preserve">higher </w:t>
      </w:r>
      <w:r>
        <w:rPr>
          <w:w w:val="95"/>
        </w:rPr>
        <w:t>frequencies</w:t>
      </w:r>
      <w:r>
        <w:rPr>
          <w:spacing w:val="-3"/>
          <w:w w:val="95"/>
        </w:rPr>
        <w:t xml:space="preserve"> </w:t>
      </w:r>
      <w:r>
        <w:rPr>
          <w:w w:val="95"/>
        </w:rPr>
        <w:t>because</w:t>
      </w:r>
      <w:r>
        <w:rPr>
          <w:spacing w:val="-3"/>
          <w:w w:val="95"/>
        </w:rPr>
        <w:t xml:space="preserve"> </w:t>
      </w:r>
      <w:r>
        <w:rPr>
          <w:w w:val="95"/>
        </w:rPr>
        <w:t>delays</w:t>
      </w:r>
      <w:r>
        <w:rPr>
          <w:spacing w:val="-3"/>
          <w:w w:val="95"/>
        </w:rPr>
        <w:t xml:space="preserve"> </w:t>
      </w:r>
      <w:r>
        <w:rPr>
          <w:w w:val="95"/>
        </w:rPr>
        <w:t>at</w:t>
      </w:r>
      <w:r>
        <w:rPr>
          <w:spacing w:val="-3"/>
          <w:w w:val="95"/>
        </w:rPr>
        <w:t xml:space="preserve"> </w:t>
      </w:r>
      <w:r>
        <w:rPr>
          <w:w w:val="95"/>
        </w:rPr>
        <w:t>stations</w:t>
      </w:r>
      <w:r>
        <w:rPr>
          <w:spacing w:val="-3"/>
          <w:w w:val="95"/>
        </w:rPr>
        <w:t xml:space="preserve"> </w:t>
      </w:r>
      <w:r>
        <w:rPr>
          <w:w w:val="95"/>
        </w:rPr>
        <w:t>from</w:t>
      </w:r>
      <w:r>
        <w:rPr>
          <w:spacing w:val="-3"/>
          <w:w w:val="95"/>
        </w:rPr>
        <w:t xml:space="preserve"> </w:t>
      </w:r>
      <w:r>
        <w:rPr>
          <w:w w:val="95"/>
        </w:rPr>
        <w:t xml:space="preserve">passenger </w:t>
      </w:r>
      <w:r>
        <w:t>boarding</w:t>
      </w:r>
      <w:r>
        <w:rPr>
          <w:spacing w:val="-8"/>
        </w:rPr>
        <w:t xml:space="preserve"> </w:t>
      </w:r>
      <w:r>
        <w:t>and</w:t>
      </w:r>
      <w:r>
        <w:rPr>
          <w:spacing w:val="-8"/>
        </w:rPr>
        <w:t xml:space="preserve"> </w:t>
      </w:r>
      <w:r>
        <w:t>disembarking</w:t>
      </w:r>
      <w:r>
        <w:rPr>
          <w:spacing w:val="-8"/>
        </w:rPr>
        <w:t xml:space="preserve"> </w:t>
      </w:r>
      <w:r>
        <w:t>are</w:t>
      </w:r>
      <w:r>
        <w:rPr>
          <w:spacing w:val="-8"/>
        </w:rPr>
        <w:t xml:space="preserve"> </w:t>
      </w:r>
      <w:r>
        <w:t>less</w:t>
      </w:r>
      <w:r>
        <w:rPr>
          <w:spacing w:val="-8"/>
        </w:rPr>
        <w:t xml:space="preserve"> </w:t>
      </w:r>
      <w:r>
        <w:t>than</w:t>
      </w:r>
      <w:r>
        <w:rPr>
          <w:spacing w:val="-8"/>
        </w:rPr>
        <w:t xml:space="preserve"> </w:t>
      </w:r>
      <w:r>
        <w:t>with</w:t>
      </w:r>
      <w:r>
        <w:rPr>
          <w:spacing w:val="-8"/>
        </w:rPr>
        <w:t xml:space="preserve"> </w:t>
      </w:r>
      <w:r>
        <w:t>a</w:t>
      </w:r>
    </w:p>
    <w:p w:rsidR="002C1123" w:rsidRDefault="00F22F94">
      <w:pPr>
        <w:pStyle w:val="BodyText"/>
        <w:spacing w:before="2" w:line="249" w:lineRule="auto"/>
        <w:ind w:left="492" w:right="288"/>
      </w:pPr>
      <w:r>
        <w:t>double</w:t>
      </w:r>
      <w:r>
        <w:rPr>
          <w:spacing w:val="-12"/>
        </w:rPr>
        <w:t xml:space="preserve"> </w:t>
      </w:r>
      <w:r>
        <w:t>deck</w:t>
      </w:r>
      <w:r>
        <w:rPr>
          <w:spacing w:val="-12"/>
        </w:rPr>
        <w:t xml:space="preserve"> </w:t>
      </w:r>
      <w:r>
        <w:t>fleet.</w:t>
      </w:r>
      <w:r>
        <w:rPr>
          <w:spacing w:val="-12"/>
        </w:rPr>
        <w:t xml:space="preserve"> </w:t>
      </w:r>
      <w:r>
        <w:t>Higher</w:t>
      </w:r>
      <w:r>
        <w:rPr>
          <w:spacing w:val="-12"/>
        </w:rPr>
        <w:t xml:space="preserve"> </w:t>
      </w:r>
      <w:r>
        <w:t>frequencies</w:t>
      </w:r>
      <w:r>
        <w:rPr>
          <w:spacing w:val="-12"/>
        </w:rPr>
        <w:t xml:space="preserve"> </w:t>
      </w:r>
      <w:r>
        <w:t>will</w:t>
      </w:r>
      <w:r>
        <w:rPr>
          <w:spacing w:val="-12"/>
        </w:rPr>
        <w:t xml:space="preserve"> </w:t>
      </w:r>
      <w:r>
        <w:t xml:space="preserve">require </w:t>
      </w:r>
      <w:r>
        <w:rPr>
          <w:w w:val="95"/>
        </w:rPr>
        <w:t>the</w:t>
      </w:r>
      <w:r>
        <w:rPr>
          <w:spacing w:val="-3"/>
          <w:w w:val="95"/>
        </w:rPr>
        <w:t xml:space="preserve"> </w:t>
      </w:r>
      <w:r>
        <w:rPr>
          <w:w w:val="95"/>
        </w:rPr>
        <w:t>introduction</w:t>
      </w:r>
      <w:r>
        <w:rPr>
          <w:spacing w:val="-3"/>
          <w:w w:val="95"/>
        </w:rPr>
        <w:t xml:space="preserve"> </w:t>
      </w:r>
      <w:r>
        <w:rPr>
          <w:w w:val="95"/>
        </w:rPr>
        <w:t>of</w:t>
      </w:r>
      <w:r>
        <w:rPr>
          <w:spacing w:val="-3"/>
          <w:w w:val="95"/>
        </w:rPr>
        <w:t xml:space="preserve"> </w:t>
      </w:r>
      <w:r>
        <w:rPr>
          <w:w w:val="95"/>
        </w:rPr>
        <w:t>new</w:t>
      </w:r>
      <w:r>
        <w:rPr>
          <w:spacing w:val="-3"/>
          <w:w w:val="95"/>
        </w:rPr>
        <w:t xml:space="preserve"> </w:t>
      </w:r>
      <w:r>
        <w:rPr>
          <w:w w:val="95"/>
        </w:rPr>
        <w:t>train</w:t>
      </w:r>
      <w:r>
        <w:rPr>
          <w:spacing w:val="-3"/>
          <w:w w:val="95"/>
        </w:rPr>
        <w:t xml:space="preserve"> </w:t>
      </w:r>
      <w:r>
        <w:rPr>
          <w:w w:val="95"/>
        </w:rPr>
        <w:t>control</w:t>
      </w:r>
      <w:r>
        <w:rPr>
          <w:spacing w:val="-3"/>
          <w:w w:val="95"/>
        </w:rPr>
        <w:t xml:space="preserve"> </w:t>
      </w:r>
      <w:r>
        <w:rPr>
          <w:w w:val="95"/>
        </w:rPr>
        <w:t>systems,</w:t>
      </w:r>
      <w:r>
        <w:rPr>
          <w:spacing w:val="-3"/>
          <w:w w:val="95"/>
        </w:rPr>
        <w:t xml:space="preserve"> </w:t>
      </w:r>
      <w:r>
        <w:rPr>
          <w:w w:val="95"/>
        </w:rPr>
        <w:t xml:space="preserve">using </w:t>
      </w:r>
      <w:r>
        <w:t>technology</w:t>
      </w:r>
      <w:r>
        <w:rPr>
          <w:spacing w:val="-12"/>
        </w:rPr>
        <w:t xml:space="preserve"> </w:t>
      </w:r>
      <w:r>
        <w:t>that</w:t>
      </w:r>
      <w:r>
        <w:rPr>
          <w:spacing w:val="-12"/>
        </w:rPr>
        <w:t xml:space="preserve"> </w:t>
      </w:r>
      <w:r>
        <w:t>is</w:t>
      </w:r>
      <w:r>
        <w:rPr>
          <w:spacing w:val="-12"/>
        </w:rPr>
        <w:t xml:space="preserve"> </w:t>
      </w:r>
      <w:r>
        <w:t>proven</w:t>
      </w:r>
      <w:r>
        <w:rPr>
          <w:spacing w:val="-12"/>
        </w:rPr>
        <w:t xml:space="preserve"> </w:t>
      </w:r>
      <w:r>
        <w:t>in</w:t>
      </w:r>
      <w:r>
        <w:rPr>
          <w:spacing w:val="-12"/>
        </w:rPr>
        <w:t xml:space="preserve"> </w:t>
      </w:r>
      <w:r>
        <w:t>service</w:t>
      </w:r>
      <w:r>
        <w:rPr>
          <w:spacing w:val="-12"/>
        </w:rPr>
        <w:t xml:space="preserve"> </w:t>
      </w:r>
      <w:r>
        <w:t>overseas.</w:t>
      </w:r>
    </w:p>
    <w:p w:rsidR="002C1123" w:rsidRDefault="00F22F94">
      <w:pPr>
        <w:pStyle w:val="BodyText"/>
        <w:spacing w:before="145" w:line="249" w:lineRule="auto"/>
        <w:ind w:left="492" w:right="19"/>
      </w:pPr>
      <w:r>
        <w:rPr>
          <w:w w:val="95"/>
        </w:rPr>
        <w:t>Table</w:t>
      </w:r>
      <w:r>
        <w:rPr>
          <w:spacing w:val="-3"/>
          <w:w w:val="95"/>
        </w:rPr>
        <w:t xml:space="preserve"> </w:t>
      </w:r>
      <w:r>
        <w:rPr>
          <w:w w:val="95"/>
        </w:rPr>
        <w:t>8.5</w:t>
      </w:r>
      <w:r>
        <w:rPr>
          <w:spacing w:val="-3"/>
          <w:w w:val="95"/>
        </w:rPr>
        <w:t xml:space="preserve"> </w:t>
      </w:r>
      <w:r>
        <w:rPr>
          <w:w w:val="95"/>
        </w:rPr>
        <w:t>evidences</w:t>
      </w:r>
      <w:r>
        <w:rPr>
          <w:spacing w:val="-3"/>
          <w:w w:val="95"/>
        </w:rPr>
        <w:t xml:space="preserve"> </w:t>
      </w:r>
      <w:r>
        <w:rPr>
          <w:w w:val="95"/>
        </w:rPr>
        <w:t>that</w:t>
      </w:r>
      <w:r>
        <w:rPr>
          <w:spacing w:val="-3"/>
          <w:w w:val="95"/>
        </w:rPr>
        <w:t xml:space="preserve"> </w:t>
      </w:r>
      <w:r>
        <w:rPr>
          <w:w w:val="95"/>
        </w:rPr>
        <w:t>single</w:t>
      </w:r>
      <w:r>
        <w:rPr>
          <w:spacing w:val="-3"/>
          <w:w w:val="95"/>
        </w:rPr>
        <w:t xml:space="preserve"> </w:t>
      </w:r>
      <w:r>
        <w:rPr>
          <w:w w:val="95"/>
        </w:rPr>
        <w:t>deck</w:t>
      </w:r>
      <w:r>
        <w:rPr>
          <w:spacing w:val="-3"/>
          <w:w w:val="95"/>
        </w:rPr>
        <w:t xml:space="preserve"> </w:t>
      </w:r>
      <w:r>
        <w:rPr>
          <w:w w:val="95"/>
        </w:rPr>
        <w:t>rolling</w:t>
      </w:r>
      <w:r>
        <w:rPr>
          <w:spacing w:val="-3"/>
          <w:w w:val="95"/>
        </w:rPr>
        <w:t xml:space="preserve"> </w:t>
      </w:r>
      <w:r>
        <w:rPr>
          <w:w w:val="95"/>
        </w:rPr>
        <w:t>stock</w:t>
      </w:r>
      <w:r>
        <w:rPr>
          <w:spacing w:val="-3"/>
          <w:w w:val="95"/>
        </w:rPr>
        <w:t xml:space="preserve"> </w:t>
      </w:r>
      <w:r>
        <w:rPr>
          <w:w w:val="95"/>
        </w:rPr>
        <w:t xml:space="preserve">could </w:t>
      </w:r>
      <w:r>
        <w:t>provide</w:t>
      </w:r>
      <w:r>
        <w:rPr>
          <w:spacing w:val="-6"/>
        </w:rPr>
        <w:t xml:space="preserve"> </w:t>
      </w:r>
      <w:r>
        <w:t>over</w:t>
      </w:r>
      <w:r>
        <w:rPr>
          <w:spacing w:val="-7"/>
        </w:rPr>
        <w:t xml:space="preserve"> </w:t>
      </w:r>
      <w:r>
        <w:t>50</w:t>
      </w:r>
      <w:r>
        <w:rPr>
          <w:spacing w:val="-6"/>
        </w:rPr>
        <w:t xml:space="preserve"> </w:t>
      </w:r>
      <w:r>
        <w:t>percent</w:t>
      </w:r>
      <w:r>
        <w:rPr>
          <w:spacing w:val="-7"/>
        </w:rPr>
        <w:t xml:space="preserve"> </w:t>
      </w:r>
      <w:r>
        <w:t>more</w:t>
      </w:r>
      <w:r>
        <w:rPr>
          <w:spacing w:val="-6"/>
        </w:rPr>
        <w:t xml:space="preserve"> </w:t>
      </w:r>
      <w:r>
        <w:t>capacity</w:t>
      </w:r>
      <w:r>
        <w:rPr>
          <w:spacing w:val="-7"/>
        </w:rPr>
        <w:t xml:space="preserve"> </w:t>
      </w:r>
      <w:r>
        <w:t>than</w:t>
      </w:r>
      <w:r>
        <w:rPr>
          <w:spacing w:val="-6"/>
        </w:rPr>
        <w:t xml:space="preserve"> </w:t>
      </w:r>
      <w:r>
        <w:t xml:space="preserve">current </w:t>
      </w:r>
      <w:r>
        <w:rPr>
          <w:w w:val="95"/>
        </w:rPr>
        <w:t>services, which is enough to meet demand for several decades</w:t>
      </w:r>
      <w:r>
        <w:rPr>
          <w:spacing w:val="-2"/>
          <w:w w:val="95"/>
        </w:rPr>
        <w:t xml:space="preserve"> </w:t>
      </w:r>
      <w:r>
        <w:rPr>
          <w:w w:val="95"/>
        </w:rPr>
        <w:t>if</w:t>
      </w:r>
      <w:r>
        <w:rPr>
          <w:spacing w:val="-2"/>
          <w:w w:val="95"/>
        </w:rPr>
        <w:t xml:space="preserve"> </w:t>
      </w:r>
      <w:r>
        <w:rPr>
          <w:w w:val="95"/>
        </w:rPr>
        <w:t>demand</w:t>
      </w:r>
      <w:r>
        <w:rPr>
          <w:spacing w:val="-2"/>
          <w:w w:val="95"/>
        </w:rPr>
        <w:t xml:space="preserve"> </w:t>
      </w:r>
      <w:r>
        <w:rPr>
          <w:w w:val="95"/>
        </w:rPr>
        <w:t>continues</w:t>
      </w:r>
      <w:r>
        <w:rPr>
          <w:spacing w:val="-2"/>
          <w:w w:val="95"/>
        </w:rPr>
        <w:t xml:space="preserve"> </w:t>
      </w:r>
      <w:r>
        <w:rPr>
          <w:w w:val="95"/>
        </w:rPr>
        <w:t>to</w:t>
      </w:r>
      <w:r>
        <w:rPr>
          <w:spacing w:val="-2"/>
          <w:w w:val="95"/>
        </w:rPr>
        <w:t xml:space="preserve"> </w:t>
      </w:r>
      <w:r>
        <w:rPr>
          <w:w w:val="95"/>
        </w:rPr>
        <w:t>grow</w:t>
      </w:r>
      <w:r>
        <w:rPr>
          <w:spacing w:val="-2"/>
          <w:w w:val="95"/>
        </w:rPr>
        <w:t xml:space="preserve"> </w:t>
      </w:r>
      <w:r>
        <w:rPr>
          <w:w w:val="95"/>
        </w:rPr>
        <w:t>at</w:t>
      </w:r>
      <w:r>
        <w:rPr>
          <w:spacing w:val="-2"/>
          <w:w w:val="95"/>
        </w:rPr>
        <w:t xml:space="preserve"> </w:t>
      </w:r>
      <w:r>
        <w:rPr>
          <w:w w:val="95"/>
        </w:rPr>
        <w:t>its</w:t>
      </w:r>
      <w:r>
        <w:rPr>
          <w:spacing w:val="-2"/>
          <w:w w:val="95"/>
        </w:rPr>
        <w:t xml:space="preserve"> </w:t>
      </w:r>
      <w:r>
        <w:rPr>
          <w:w w:val="95"/>
        </w:rPr>
        <w:t>historic</w:t>
      </w:r>
      <w:r>
        <w:rPr>
          <w:spacing w:val="-2"/>
          <w:w w:val="95"/>
        </w:rPr>
        <w:t xml:space="preserve"> </w:t>
      </w:r>
      <w:r>
        <w:rPr>
          <w:w w:val="95"/>
        </w:rPr>
        <w:t xml:space="preserve">rate </w:t>
      </w:r>
      <w:r>
        <w:t>of</w:t>
      </w:r>
      <w:r>
        <w:rPr>
          <w:spacing w:val="-2"/>
        </w:rPr>
        <w:t xml:space="preserve"> </w:t>
      </w:r>
      <w:r>
        <w:t>just</w:t>
      </w:r>
      <w:r>
        <w:rPr>
          <w:spacing w:val="-2"/>
        </w:rPr>
        <w:t xml:space="preserve"> </w:t>
      </w:r>
      <w:r>
        <w:t>over</w:t>
      </w:r>
      <w:r>
        <w:rPr>
          <w:spacing w:val="-2"/>
        </w:rPr>
        <w:t xml:space="preserve"> </w:t>
      </w:r>
      <w:r>
        <w:t>one</w:t>
      </w:r>
      <w:r>
        <w:rPr>
          <w:spacing w:val="-2"/>
        </w:rPr>
        <w:t xml:space="preserve"> </w:t>
      </w:r>
      <w:r>
        <w:t>percent</w:t>
      </w:r>
      <w:r>
        <w:rPr>
          <w:spacing w:val="-2"/>
        </w:rPr>
        <w:t xml:space="preserve"> </w:t>
      </w:r>
      <w:r>
        <w:t>per</w:t>
      </w:r>
      <w:r>
        <w:rPr>
          <w:spacing w:val="-2"/>
        </w:rPr>
        <w:t xml:space="preserve"> </w:t>
      </w:r>
      <w:r>
        <w:t>annum.</w:t>
      </w:r>
    </w:p>
    <w:p w:rsidR="002C1123" w:rsidRDefault="00F22F94">
      <w:pPr>
        <w:pStyle w:val="Heading6"/>
        <w:numPr>
          <w:ilvl w:val="2"/>
          <w:numId w:val="86"/>
        </w:numPr>
        <w:tabs>
          <w:tab w:val="left" w:pos="979"/>
        </w:tabs>
        <w:spacing w:before="145"/>
        <w:ind w:left="978" w:hanging="487"/>
        <w:jc w:val="left"/>
      </w:pPr>
      <w:r>
        <w:rPr>
          <w:color w:val="00AEEF"/>
          <w:spacing w:val="-2"/>
        </w:rPr>
        <w:t>Network</w:t>
      </w:r>
      <w:r>
        <w:rPr>
          <w:color w:val="00AEEF"/>
          <w:spacing w:val="-4"/>
        </w:rPr>
        <w:t xml:space="preserve"> </w:t>
      </w:r>
      <w:r>
        <w:rPr>
          <w:color w:val="00AEEF"/>
          <w:spacing w:val="-2"/>
        </w:rPr>
        <w:t>Design</w:t>
      </w:r>
      <w:r>
        <w:rPr>
          <w:color w:val="00AEEF"/>
          <w:spacing w:val="-4"/>
        </w:rPr>
        <w:t xml:space="preserve"> </w:t>
      </w:r>
      <w:r>
        <w:rPr>
          <w:color w:val="00AEEF"/>
          <w:spacing w:val="-2"/>
        </w:rPr>
        <w:t>Issues</w:t>
      </w:r>
    </w:p>
    <w:p w:rsidR="002C1123" w:rsidRDefault="00F22F94">
      <w:pPr>
        <w:pStyle w:val="BodyText"/>
        <w:spacing w:before="95" w:line="249" w:lineRule="auto"/>
        <w:ind w:left="492"/>
      </w:pPr>
      <w:r>
        <w:rPr>
          <w:spacing w:val="-2"/>
        </w:rPr>
        <w:t>‘Sydney’s</w:t>
      </w:r>
      <w:r>
        <w:rPr>
          <w:spacing w:val="-5"/>
        </w:rPr>
        <w:t xml:space="preserve"> </w:t>
      </w:r>
      <w:r>
        <w:rPr>
          <w:spacing w:val="-2"/>
        </w:rPr>
        <w:t>Rail</w:t>
      </w:r>
      <w:r>
        <w:rPr>
          <w:spacing w:val="-5"/>
        </w:rPr>
        <w:t xml:space="preserve"> </w:t>
      </w:r>
      <w:r>
        <w:rPr>
          <w:spacing w:val="-2"/>
        </w:rPr>
        <w:t>Future’</w:t>
      </w:r>
      <w:r>
        <w:rPr>
          <w:spacing w:val="-5"/>
        </w:rPr>
        <w:t xml:space="preserve"> </w:t>
      </w:r>
      <w:r>
        <w:rPr>
          <w:spacing w:val="-2"/>
        </w:rPr>
        <w:t>envisages</w:t>
      </w:r>
      <w:r>
        <w:rPr>
          <w:spacing w:val="-5"/>
        </w:rPr>
        <w:t xml:space="preserve"> </w:t>
      </w:r>
      <w:r>
        <w:rPr>
          <w:spacing w:val="-2"/>
        </w:rPr>
        <w:t>that</w:t>
      </w:r>
      <w:r>
        <w:rPr>
          <w:spacing w:val="-5"/>
        </w:rPr>
        <w:t xml:space="preserve"> </w:t>
      </w:r>
      <w:r>
        <w:rPr>
          <w:spacing w:val="-2"/>
        </w:rPr>
        <w:t>the</w:t>
      </w:r>
      <w:r>
        <w:rPr>
          <w:spacing w:val="-5"/>
        </w:rPr>
        <w:t xml:space="preserve"> </w:t>
      </w:r>
      <w:r>
        <w:rPr>
          <w:spacing w:val="-2"/>
        </w:rPr>
        <w:t>rapid</w:t>
      </w:r>
      <w:r>
        <w:rPr>
          <w:spacing w:val="-5"/>
        </w:rPr>
        <w:t xml:space="preserve"> </w:t>
      </w:r>
      <w:r>
        <w:rPr>
          <w:spacing w:val="-2"/>
        </w:rPr>
        <w:t xml:space="preserve">transit </w:t>
      </w:r>
      <w:r>
        <w:rPr>
          <w:w w:val="95"/>
        </w:rPr>
        <w:t xml:space="preserve">network will connect the NWRL with the Bankstown Line and the Illawarra Line as far as Hurstville, via a second </w:t>
      </w:r>
      <w:r>
        <w:t>harbour</w:t>
      </w:r>
      <w:r>
        <w:rPr>
          <w:spacing w:val="-10"/>
        </w:rPr>
        <w:t xml:space="preserve"> </w:t>
      </w:r>
      <w:r>
        <w:t>crossing</w:t>
      </w:r>
      <w:r>
        <w:rPr>
          <w:spacing w:val="-10"/>
        </w:rPr>
        <w:t xml:space="preserve"> </w:t>
      </w:r>
      <w:r>
        <w:t>and</w:t>
      </w:r>
      <w:r>
        <w:rPr>
          <w:spacing w:val="-10"/>
        </w:rPr>
        <w:t xml:space="preserve"> </w:t>
      </w:r>
      <w:r>
        <w:t>a</w:t>
      </w:r>
      <w:r>
        <w:rPr>
          <w:spacing w:val="-10"/>
        </w:rPr>
        <w:t xml:space="preserve"> </w:t>
      </w:r>
      <w:r>
        <w:t>new</w:t>
      </w:r>
      <w:r>
        <w:rPr>
          <w:spacing w:val="-10"/>
        </w:rPr>
        <w:t xml:space="preserve"> </w:t>
      </w:r>
      <w:r>
        <w:t>line</w:t>
      </w:r>
      <w:r>
        <w:rPr>
          <w:spacing w:val="-10"/>
        </w:rPr>
        <w:t xml:space="preserve"> </w:t>
      </w:r>
      <w:r>
        <w:t>through</w:t>
      </w:r>
      <w:r>
        <w:rPr>
          <w:spacing w:val="-10"/>
        </w:rPr>
        <w:t xml:space="preserve"> </w:t>
      </w:r>
      <w:r>
        <w:t>the</w:t>
      </w:r>
      <w:r>
        <w:rPr>
          <w:spacing w:val="-10"/>
        </w:rPr>
        <w:t xml:space="preserve"> </w:t>
      </w:r>
      <w:r>
        <w:t>CBD.</w:t>
      </w:r>
    </w:p>
    <w:p w:rsidR="002C1123" w:rsidRDefault="00F22F94">
      <w:pPr>
        <w:pStyle w:val="BodyText"/>
        <w:spacing w:before="146" w:line="249" w:lineRule="auto"/>
        <w:ind w:left="492" w:right="19"/>
      </w:pPr>
      <w:r>
        <w:t>Infrastructure</w:t>
      </w:r>
      <w:r>
        <w:rPr>
          <w:spacing w:val="-9"/>
        </w:rPr>
        <w:t xml:space="preserve"> </w:t>
      </w:r>
      <w:r>
        <w:t>NSW</w:t>
      </w:r>
      <w:r>
        <w:rPr>
          <w:spacing w:val="-9"/>
        </w:rPr>
        <w:t xml:space="preserve"> </w:t>
      </w:r>
      <w:r>
        <w:t>acknowledges</w:t>
      </w:r>
      <w:r>
        <w:rPr>
          <w:spacing w:val="-9"/>
        </w:rPr>
        <w:t xml:space="preserve"> </w:t>
      </w:r>
      <w:r>
        <w:t>that</w:t>
      </w:r>
      <w:r>
        <w:rPr>
          <w:spacing w:val="-9"/>
        </w:rPr>
        <w:t xml:space="preserve"> </w:t>
      </w:r>
      <w:r>
        <w:t>this</w:t>
      </w:r>
      <w:r>
        <w:rPr>
          <w:spacing w:val="-9"/>
        </w:rPr>
        <w:t xml:space="preserve"> </w:t>
      </w:r>
      <w:r>
        <w:t>scheme represents</w:t>
      </w:r>
      <w:r>
        <w:rPr>
          <w:spacing w:val="-7"/>
        </w:rPr>
        <w:t xml:space="preserve"> </w:t>
      </w:r>
      <w:r>
        <w:t>one</w:t>
      </w:r>
      <w:r>
        <w:rPr>
          <w:spacing w:val="-7"/>
        </w:rPr>
        <w:t xml:space="preserve"> </w:t>
      </w:r>
      <w:r>
        <w:t>solution</w:t>
      </w:r>
      <w:r>
        <w:rPr>
          <w:spacing w:val="-7"/>
        </w:rPr>
        <w:t xml:space="preserve"> </w:t>
      </w:r>
      <w:r>
        <w:t>to</w:t>
      </w:r>
      <w:r>
        <w:rPr>
          <w:spacing w:val="-7"/>
        </w:rPr>
        <w:t xml:space="preserve"> </w:t>
      </w:r>
      <w:r>
        <w:t>the</w:t>
      </w:r>
      <w:r>
        <w:rPr>
          <w:spacing w:val="-7"/>
        </w:rPr>
        <w:t xml:space="preserve"> </w:t>
      </w:r>
      <w:r>
        <w:t>long</w:t>
      </w:r>
      <w:r>
        <w:rPr>
          <w:spacing w:val="-7"/>
        </w:rPr>
        <w:t xml:space="preserve"> </w:t>
      </w:r>
      <w:r>
        <w:t>term</w:t>
      </w:r>
      <w:r>
        <w:rPr>
          <w:spacing w:val="-8"/>
        </w:rPr>
        <w:t xml:space="preserve"> </w:t>
      </w:r>
      <w:r>
        <w:t>capacity challenges</w:t>
      </w:r>
      <w:r>
        <w:rPr>
          <w:spacing w:val="-14"/>
        </w:rPr>
        <w:t xml:space="preserve"> </w:t>
      </w:r>
      <w:r>
        <w:t>in</w:t>
      </w:r>
      <w:r>
        <w:rPr>
          <w:spacing w:val="-14"/>
        </w:rPr>
        <w:t xml:space="preserve"> </w:t>
      </w:r>
      <w:r>
        <w:t>the</w:t>
      </w:r>
      <w:r>
        <w:rPr>
          <w:spacing w:val="-14"/>
        </w:rPr>
        <w:t xml:space="preserve"> </w:t>
      </w:r>
      <w:r>
        <w:t>CBD.</w:t>
      </w:r>
      <w:r>
        <w:rPr>
          <w:spacing w:val="-14"/>
        </w:rPr>
        <w:t xml:space="preserve"> </w:t>
      </w:r>
      <w:r>
        <w:t>However</w:t>
      </w:r>
      <w:r>
        <w:rPr>
          <w:spacing w:val="-14"/>
        </w:rPr>
        <w:t xml:space="preserve"> </w:t>
      </w:r>
      <w:r>
        <w:t>in</w:t>
      </w:r>
      <w:r>
        <w:rPr>
          <w:spacing w:val="-13"/>
        </w:rPr>
        <w:t xml:space="preserve"> </w:t>
      </w:r>
      <w:r>
        <w:t>the</w:t>
      </w:r>
      <w:r>
        <w:rPr>
          <w:spacing w:val="-14"/>
        </w:rPr>
        <w:t xml:space="preserve"> </w:t>
      </w:r>
      <w:r>
        <w:t>absence</w:t>
      </w:r>
      <w:r>
        <w:rPr>
          <w:spacing w:val="-14"/>
        </w:rPr>
        <w:t xml:space="preserve"> </w:t>
      </w:r>
      <w:r>
        <w:t>of detailed</w:t>
      </w:r>
      <w:r>
        <w:rPr>
          <w:spacing w:val="-11"/>
        </w:rPr>
        <w:t xml:space="preserve"> </w:t>
      </w:r>
      <w:r>
        <w:t>cost</w:t>
      </w:r>
      <w:r>
        <w:rPr>
          <w:spacing w:val="-11"/>
        </w:rPr>
        <w:t xml:space="preserve"> </w:t>
      </w:r>
      <w:r>
        <w:t>estimates</w:t>
      </w:r>
      <w:r>
        <w:rPr>
          <w:spacing w:val="-11"/>
        </w:rPr>
        <w:t xml:space="preserve"> </w:t>
      </w:r>
      <w:r>
        <w:t>and</w:t>
      </w:r>
      <w:r>
        <w:rPr>
          <w:spacing w:val="-11"/>
        </w:rPr>
        <w:t xml:space="preserve"> </w:t>
      </w:r>
      <w:r>
        <w:t>economic</w:t>
      </w:r>
      <w:r>
        <w:rPr>
          <w:spacing w:val="-11"/>
        </w:rPr>
        <w:t xml:space="preserve"> </w:t>
      </w:r>
      <w:r>
        <w:t>analysis,</w:t>
      </w:r>
      <w:r>
        <w:rPr>
          <w:spacing w:val="-11"/>
        </w:rPr>
        <w:t xml:space="preserve"> </w:t>
      </w:r>
      <w:r>
        <w:t>it</w:t>
      </w:r>
      <w:r>
        <w:rPr>
          <w:spacing w:val="-11"/>
        </w:rPr>
        <w:t xml:space="preserve"> </w:t>
      </w:r>
      <w:r>
        <w:t xml:space="preserve">is </w:t>
      </w:r>
      <w:r>
        <w:rPr>
          <w:w w:val="95"/>
        </w:rPr>
        <w:t>unclear</w:t>
      </w:r>
      <w:r>
        <w:rPr>
          <w:spacing w:val="-1"/>
          <w:w w:val="95"/>
        </w:rPr>
        <w:t xml:space="preserve"> </w:t>
      </w:r>
      <w:r>
        <w:rPr>
          <w:w w:val="95"/>
        </w:rPr>
        <w:t>whether</w:t>
      </w:r>
      <w:r>
        <w:rPr>
          <w:spacing w:val="-1"/>
          <w:w w:val="95"/>
        </w:rPr>
        <w:t xml:space="preserve"> </w:t>
      </w:r>
      <w:r>
        <w:rPr>
          <w:w w:val="95"/>
        </w:rPr>
        <w:t>the</w:t>
      </w:r>
      <w:r>
        <w:rPr>
          <w:spacing w:val="-1"/>
          <w:w w:val="95"/>
        </w:rPr>
        <w:t xml:space="preserve"> </w:t>
      </w:r>
      <w:r>
        <w:rPr>
          <w:w w:val="95"/>
        </w:rPr>
        <w:t>proposed</w:t>
      </w:r>
      <w:r>
        <w:rPr>
          <w:spacing w:val="-1"/>
          <w:w w:val="95"/>
        </w:rPr>
        <w:t xml:space="preserve"> </w:t>
      </w:r>
      <w:r>
        <w:rPr>
          <w:w w:val="95"/>
        </w:rPr>
        <w:t>scheme</w:t>
      </w:r>
      <w:r>
        <w:rPr>
          <w:spacing w:val="-1"/>
          <w:w w:val="95"/>
        </w:rPr>
        <w:t xml:space="preserve"> </w:t>
      </w:r>
      <w:r>
        <w:rPr>
          <w:w w:val="95"/>
        </w:rPr>
        <w:t>is</w:t>
      </w:r>
      <w:r>
        <w:rPr>
          <w:spacing w:val="-1"/>
          <w:w w:val="95"/>
        </w:rPr>
        <w:t xml:space="preserve"> </w:t>
      </w:r>
      <w:r>
        <w:rPr>
          <w:w w:val="95"/>
        </w:rPr>
        <w:t>the</w:t>
      </w:r>
      <w:r>
        <w:rPr>
          <w:spacing w:val="-1"/>
          <w:w w:val="95"/>
        </w:rPr>
        <w:t xml:space="preserve"> </w:t>
      </w:r>
      <w:r>
        <w:rPr>
          <w:w w:val="95"/>
        </w:rPr>
        <w:t>best</w:t>
      </w:r>
      <w:r>
        <w:rPr>
          <w:spacing w:val="-1"/>
          <w:w w:val="95"/>
        </w:rPr>
        <w:t xml:space="preserve"> </w:t>
      </w:r>
      <w:r>
        <w:rPr>
          <w:w w:val="95"/>
        </w:rPr>
        <w:t xml:space="preserve">value- </w:t>
      </w:r>
      <w:r>
        <w:t>for-money solution to the problem.</w:t>
      </w:r>
    </w:p>
    <w:p w:rsidR="002C1123" w:rsidRDefault="00F22F94">
      <w:pPr>
        <w:pStyle w:val="BodyText"/>
        <w:spacing w:before="146" w:line="249" w:lineRule="auto"/>
        <w:ind w:left="492"/>
      </w:pPr>
      <w:r>
        <w:t>The</w:t>
      </w:r>
      <w:r>
        <w:rPr>
          <w:spacing w:val="-8"/>
        </w:rPr>
        <w:t xml:space="preserve"> </w:t>
      </w:r>
      <w:r>
        <w:t>cost</w:t>
      </w:r>
      <w:r>
        <w:rPr>
          <w:spacing w:val="-8"/>
        </w:rPr>
        <w:t xml:space="preserve"> </w:t>
      </w:r>
      <w:r>
        <w:t>of</w:t>
      </w:r>
      <w:r>
        <w:rPr>
          <w:spacing w:val="-8"/>
        </w:rPr>
        <w:t xml:space="preserve"> </w:t>
      </w:r>
      <w:r>
        <w:t>the</w:t>
      </w:r>
      <w:r>
        <w:rPr>
          <w:spacing w:val="-8"/>
        </w:rPr>
        <w:t xml:space="preserve"> </w:t>
      </w:r>
      <w:r>
        <w:t>second</w:t>
      </w:r>
      <w:r>
        <w:rPr>
          <w:spacing w:val="-8"/>
        </w:rPr>
        <w:t xml:space="preserve"> </w:t>
      </w:r>
      <w:r>
        <w:t>harbour</w:t>
      </w:r>
      <w:r>
        <w:rPr>
          <w:spacing w:val="-8"/>
        </w:rPr>
        <w:t xml:space="preserve"> </w:t>
      </w:r>
      <w:r>
        <w:t>crossing</w:t>
      </w:r>
      <w:r>
        <w:rPr>
          <w:spacing w:val="-8"/>
        </w:rPr>
        <w:t xml:space="preserve"> </w:t>
      </w:r>
      <w:r>
        <w:t>scheme</w:t>
      </w:r>
      <w:r>
        <w:rPr>
          <w:spacing w:val="-8"/>
        </w:rPr>
        <w:t xml:space="preserve"> </w:t>
      </w:r>
      <w:r>
        <w:t xml:space="preserve">will </w:t>
      </w:r>
      <w:r>
        <w:rPr>
          <w:spacing w:val="-2"/>
        </w:rPr>
        <w:t>exceed</w:t>
      </w:r>
      <w:r>
        <w:rPr>
          <w:spacing w:val="-8"/>
        </w:rPr>
        <w:t xml:space="preserve"> </w:t>
      </w:r>
      <w:r>
        <w:rPr>
          <w:spacing w:val="-2"/>
        </w:rPr>
        <w:t>$10</w:t>
      </w:r>
      <w:r>
        <w:rPr>
          <w:spacing w:val="-8"/>
        </w:rPr>
        <w:t xml:space="preserve"> </w:t>
      </w:r>
      <w:r>
        <w:rPr>
          <w:spacing w:val="-2"/>
        </w:rPr>
        <w:t>billion</w:t>
      </w:r>
      <w:r>
        <w:rPr>
          <w:spacing w:val="-8"/>
        </w:rPr>
        <w:t xml:space="preserve"> </w:t>
      </w:r>
      <w:r>
        <w:rPr>
          <w:spacing w:val="-2"/>
        </w:rPr>
        <w:t>and</w:t>
      </w:r>
      <w:r>
        <w:rPr>
          <w:spacing w:val="-8"/>
        </w:rPr>
        <w:t xml:space="preserve"> </w:t>
      </w:r>
      <w:r>
        <w:rPr>
          <w:spacing w:val="-2"/>
        </w:rPr>
        <w:t>funding</w:t>
      </w:r>
      <w:r>
        <w:rPr>
          <w:spacing w:val="-8"/>
        </w:rPr>
        <w:t xml:space="preserve"> </w:t>
      </w:r>
      <w:r>
        <w:rPr>
          <w:spacing w:val="-2"/>
        </w:rPr>
        <w:t>may</w:t>
      </w:r>
      <w:r>
        <w:rPr>
          <w:spacing w:val="-8"/>
        </w:rPr>
        <w:t xml:space="preserve"> </w:t>
      </w:r>
      <w:r>
        <w:rPr>
          <w:spacing w:val="-2"/>
        </w:rPr>
        <w:t>not</w:t>
      </w:r>
      <w:r>
        <w:rPr>
          <w:spacing w:val="-8"/>
        </w:rPr>
        <w:t xml:space="preserve"> </w:t>
      </w:r>
      <w:r>
        <w:rPr>
          <w:spacing w:val="-2"/>
        </w:rPr>
        <w:t>be</w:t>
      </w:r>
      <w:r>
        <w:rPr>
          <w:spacing w:val="-8"/>
        </w:rPr>
        <w:t xml:space="preserve"> </w:t>
      </w:r>
      <w:r>
        <w:rPr>
          <w:spacing w:val="-2"/>
        </w:rPr>
        <w:t>available</w:t>
      </w:r>
      <w:r>
        <w:rPr>
          <w:spacing w:val="-8"/>
        </w:rPr>
        <w:t xml:space="preserve"> </w:t>
      </w:r>
      <w:r>
        <w:rPr>
          <w:spacing w:val="-2"/>
        </w:rPr>
        <w:t>for many</w:t>
      </w:r>
      <w:r>
        <w:rPr>
          <w:spacing w:val="-6"/>
        </w:rPr>
        <w:t xml:space="preserve"> </w:t>
      </w:r>
      <w:r>
        <w:rPr>
          <w:spacing w:val="-2"/>
        </w:rPr>
        <w:t>years.</w:t>
      </w:r>
      <w:r>
        <w:rPr>
          <w:spacing w:val="-6"/>
        </w:rPr>
        <w:t xml:space="preserve"> </w:t>
      </w:r>
      <w:r>
        <w:rPr>
          <w:spacing w:val="-2"/>
        </w:rPr>
        <w:t>Further,</w:t>
      </w:r>
      <w:r>
        <w:rPr>
          <w:spacing w:val="-6"/>
        </w:rPr>
        <w:t xml:space="preserve"> </w:t>
      </w:r>
      <w:r>
        <w:rPr>
          <w:spacing w:val="-2"/>
        </w:rPr>
        <w:t>the</w:t>
      </w:r>
      <w:r>
        <w:rPr>
          <w:spacing w:val="-6"/>
        </w:rPr>
        <w:t xml:space="preserve"> </w:t>
      </w:r>
      <w:r>
        <w:rPr>
          <w:spacing w:val="-2"/>
        </w:rPr>
        <w:t>utilisation</w:t>
      </w:r>
      <w:r>
        <w:rPr>
          <w:spacing w:val="-6"/>
        </w:rPr>
        <w:t xml:space="preserve"> </w:t>
      </w:r>
      <w:r>
        <w:rPr>
          <w:spacing w:val="-2"/>
        </w:rPr>
        <w:t>of</w:t>
      </w:r>
      <w:r>
        <w:rPr>
          <w:spacing w:val="-6"/>
        </w:rPr>
        <w:t xml:space="preserve"> </w:t>
      </w:r>
      <w:r>
        <w:rPr>
          <w:spacing w:val="-2"/>
        </w:rPr>
        <w:t>rapid</w:t>
      </w:r>
      <w:r>
        <w:rPr>
          <w:spacing w:val="-6"/>
        </w:rPr>
        <w:t xml:space="preserve"> </w:t>
      </w:r>
      <w:r>
        <w:rPr>
          <w:spacing w:val="-2"/>
        </w:rPr>
        <w:t>transit</w:t>
      </w:r>
      <w:r>
        <w:rPr>
          <w:spacing w:val="-6"/>
        </w:rPr>
        <w:t xml:space="preserve"> </w:t>
      </w:r>
      <w:r>
        <w:rPr>
          <w:spacing w:val="-2"/>
        </w:rPr>
        <w:t xml:space="preserve">both </w:t>
      </w:r>
      <w:r>
        <w:t>south</w:t>
      </w:r>
      <w:r>
        <w:rPr>
          <w:spacing w:val="-7"/>
        </w:rPr>
        <w:t xml:space="preserve"> </w:t>
      </w:r>
      <w:r>
        <w:t>and</w:t>
      </w:r>
      <w:r>
        <w:rPr>
          <w:spacing w:val="-7"/>
        </w:rPr>
        <w:t xml:space="preserve"> </w:t>
      </w:r>
      <w:r>
        <w:t>west</w:t>
      </w:r>
      <w:r>
        <w:rPr>
          <w:spacing w:val="-7"/>
        </w:rPr>
        <w:t xml:space="preserve"> </w:t>
      </w:r>
      <w:r>
        <w:t>of</w:t>
      </w:r>
      <w:r>
        <w:rPr>
          <w:spacing w:val="-7"/>
        </w:rPr>
        <w:t xml:space="preserve"> </w:t>
      </w:r>
      <w:r>
        <w:t>the</w:t>
      </w:r>
      <w:r>
        <w:rPr>
          <w:spacing w:val="-7"/>
        </w:rPr>
        <w:t xml:space="preserve"> </w:t>
      </w:r>
      <w:r>
        <w:t>CBD</w:t>
      </w:r>
      <w:r>
        <w:rPr>
          <w:spacing w:val="-7"/>
        </w:rPr>
        <w:t xml:space="preserve"> </w:t>
      </w:r>
      <w:r>
        <w:t>appears</w:t>
      </w:r>
      <w:r>
        <w:rPr>
          <w:spacing w:val="-7"/>
        </w:rPr>
        <w:t xml:space="preserve"> </w:t>
      </w:r>
      <w:r>
        <w:t>sub-optimal.</w:t>
      </w:r>
      <w:r>
        <w:rPr>
          <w:spacing w:val="-7"/>
        </w:rPr>
        <w:t xml:space="preserve"> </w:t>
      </w:r>
      <w:r>
        <w:t>The current</w:t>
      </w:r>
      <w:r>
        <w:rPr>
          <w:spacing w:val="-10"/>
        </w:rPr>
        <w:t xml:space="preserve"> </w:t>
      </w:r>
      <w:r>
        <w:t>proposal</w:t>
      </w:r>
      <w:r>
        <w:rPr>
          <w:spacing w:val="-10"/>
        </w:rPr>
        <w:t xml:space="preserve"> </w:t>
      </w:r>
      <w:r>
        <w:t>will</w:t>
      </w:r>
      <w:r>
        <w:rPr>
          <w:spacing w:val="-10"/>
        </w:rPr>
        <w:t xml:space="preserve"> </w:t>
      </w:r>
      <w:r>
        <w:t>serve</w:t>
      </w:r>
      <w:r>
        <w:rPr>
          <w:spacing w:val="-10"/>
        </w:rPr>
        <w:t xml:space="preserve"> </w:t>
      </w:r>
      <w:r>
        <w:t>the</w:t>
      </w:r>
      <w:r>
        <w:rPr>
          <w:spacing w:val="-10"/>
        </w:rPr>
        <w:t xml:space="preserve"> </w:t>
      </w:r>
      <w:r>
        <w:t>Bankstown</w:t>
      </w:r>
      <w:r>
        <w:rPr>
          <w:spacing w:val="-10"/>
        </w:rPr>
        <w:t xml:space="preserve"> </w:t>
      </w:r>
      <w:r>
        <w:t>Line,</w:t>
      </w:r>
      <w:r>
        <w:rPr>
          <w:spacing w:val="-10"/>
        </w:rPr>
        <w:t xml:space="preserve"> </w:t>
      </w:r>
      <w:r>
        <w:t xml:space="preserve">which </w:t>
      </w:r>
      <w:r>
        <w:rPr>
          <w:w w:val="95"/>
        </w:rPr>
        <w:t>carries</w:t>
      </w:r>
      <w:r>
        <w:rPr>
          <w:spacing w:val="-4"/>
          <w:w w:val="95"/>
        </w:rPr>
        <w:t xml:space="preserve"> </w:t>
      </w:r>
      <w:r>
        <w:rPr>
          <w:w w:val="95"/>
        </w:rPr>
        <w:t>only</w:t>
      </w:r>
      <w:r>
        <w:rPr>
          <w:spacing w:val="-4"/>
          <w:w w:val="95"/>
        </w:rPr>
        <w:t xml:space="preserve"> </w:t>
      </w:r>
      <w:r>
        <w:rPr>
          <w:w w:val="95"/>
        </w:rPr>
        <w:t>6,600</w:t>
      </w:r>
      <w:r>
        <w:rPr>
          <w:spacing w:val="-4"/>
          <w:w w:val="95"/>
        </w:rPr>
        <w:t xml:space="preserve"> </w:t>
      </w:r>
      <w:r>
        <w:rPr>
          <w:w w:val="95"/>
        </w:rPr>
        <w:t>passengers</w:t>
      </w:r>
      <w:r>
        <w:rPr>
          <w:spacing w:val="-4"/>
          <w:w w:val="95"/>
        </w:rPr>
        <w:t xml:space="preserve"> </w:t>
      </w:r>
      <w:r>
        <w:rPr>
          <w:w w:val="95"/>
        </w:rPr>
        <w:t>in</w:t>
      </w:r>
      <w:r>
        <w:rPr>
          <w:spacing w:val="-4"/>
          <w:w w:val="95"/>
        </w:rPr>
        <w:t xml:space="preserve"> </w:t>
      </w:r>
      <w:r>
        <w:rPr>
          <w:w w:val="95"/>
        </w:rPr>
        <w:t>the</w:t>
      </w:r>
      <w:r>
        <w:rPr>
          <w:spacing w:val="-4"/>
          <w:w w:val="95"/>
        </w:rPr>
        <w:t xml:space="preserve"> </w:t>
      </w:r>
      <w:r>
        <w:rPr>
          <w:w w:val="95"/>
        </w:rPr>
        <w:t>peak</w:t>
      </w:r>
      <w:r>
        <w:rPr>
          <w:spacing w:val="-4"/>
          <w:w w:val="95"/>
        </w:rPr>
        <w:t xml:space="preserve"> </w:t>
      </w:r>
      <w:r>
        <w:rPr>
          <w:w w:val="95"/>
        </w:rPr>
        <w:t>hour,</w:t>
      </w:r>
      <w:r>
        <w:rPr>
          <w:spacing w:val="-4"/>
          <w:w w:val="95"/>
        </w:rPr>
        <w:t xml:space="preserve"> </w:t>
      </w:r>
      <w:r>
        <w:rPr>
          <w:w w:val="95"/>
        </w:rPr>
        <w:t>and</w:t>
      </w:r>
      <w:r>
        <w:rPr>
          <w:spacing w:val="-4"/>
          <w:w w:val="95"/>
        </w:rPr>
        <w:t xml:space="preserve"> </w:t>
      </w:r>
      <w:r>
        <w:rPr>
          <w:w w:val="95"/>
        </w:rPr>
        <w:t xml:space="preserve">part </w:t>
      </w:r>
      <w:r>
        <w:t>of</w:t>
      </w:r>
      <w:r>
        <w:rPr>
          <w:spacing w:val="-14"/>
        </w:rPr>
        <w:t xml:space="preserve"> </w:t>
      </w:r>
      <w:r>
        <w:t>the</w:t>
      </w:r>
      <w:r>
        <w:rPr>
          <w:spacing w:val="-14"/>
        </w:rPr>
        <w:t xml:space="preserve"> </w:t>
      </w:r>
      <w:r>
        <w:t>Illawarra</w:t>
      </w:r>
      <w:r>
        <w:rPr>
          <w:spacing w:val="-14"/>
        </w:rPr>
        <w:t xml:space="preserve"> </w:t>
      </w:r>
      <w:r>
        <w:t>Line</w:t>
      </w:r>
      <w:r>
        <w:rPr>
          <w:spacing w:val="-14"/>
        </w:rPr>
        <w:t xml:space="preserve"> </w:t>
      </w:r>
      <w:r>
        <w:t>which</w:t>
      </w:r>
      <w:r>
        <w:rPr>
          <w:spacing w:val="-14"/>
        </w:rPr>
        <w:t xml:space="preserve"> </w:t>
      </w:r>
      <w:r>
        <w:t>already</w:t>
      </w:r>
      <w:r>
        <w:rPr>
          <w:spacing w:val="-13"/>
        </w:rPr>
        <w:t xml:space="preserve"> </w:t>
      </w:r>
      <w:r>
        <w:t>has</w:t>
      </w:r>
      <w:r>
        <w:rPr>
          <w:spacing w:val="-14"/>
        </w:rPr>
        <w:t xml:space="preserve"> </w:t>
      </w:r>
      <w:r>
        <w:t>good</w:t>
      </w:r>
      <w:r>
        <w:rPr>
          <w:spacing w:val="-14"/>
        </w:rPr>
        <w:t xml:space="preserve"> </w:t>
      </w:r>
      <w:r>
        <w:t>access</w:t>
      </w:r>
      <w:r>
        <w:rPr>
          <w:spacing w:val="-14"/>
        </w:rPr>
        <w:t xml:space="preserve"> </w:t>
      </w:r>
      <w:r>
        <w:t>to the</w:t>
      </w:r>
      <w:r>
        <w:rPr>
          <w:spacing w:val="-9"/>
        </w:rPr>
        <w:t xml:space="preserve"> </w:t>
      </w:r>
      <w:r>
        <w:t>CBD</w:t>
      </w:r>
      <w:r>
        <w:rPr>
          <w:spacing w:val="-9"/>
        </w:rPr>
        <w:t xml:space="preserve"> </w:t>
      </w:r>
      <w:r>
        <w:t>via</w:t>
      </w:r>
      <w:r>
        <w:rPr>
          <w:spacing w:val="-9"/>
        </w:rPr>
        <w:t xml:space="preserve"> </w:t>
      </w:r>
      <w:r>
        <w:t>the</w:t>
      </w:r>
      <w:r>
        <w:rPr>
          <w:spacing w:val="-9"/>
        </w:rPr>
        <w:t xml:space="preserve"> </w:t>
      </w:r>
      <w:r>
        <w:t>Eastern</w:t>
      </w:r>
      <w:r>
        <w:rPr>
          <w:spacing w:val="-9"/>
        </w:rPr>
        <w:t xml:space="preserve"> </w:t>
      </w:r>
      <w:r>
        <w:t>Suburbs</w:t>
      </w:r>
      <w:r>
        <w:rPr>
          <w:spacing w:val="-9"/>
        </w:rPr>
        <w:t xml:space="preserve"> </w:t>
      </w:r>
      <w:r>
        <w:t>Line.</w:t>
      </w:r>
    </w:p>
    <w:p w:rsidR="002C1123" w:rsidRDefault="00F22F94">
      <w:pPr>
        <w:pStyle w:val="BodyText"/>
        <w:spacing w:before="106" w:line="249" w:lineRule="auto"/>
        <w:ind w:left="213"/>
      </w:pPr>
      <w:r>
        <w:br w:type="column"/>
      </w:r>
      <w:r>
        <w:t>By</w:t>
      </w:r>
      <w:r>
        <w:rPr>
          <w:spacing w:val="-11"/>
        </w:rPr>
        <w:t xml:space="preserve"> </w:t>
      </w:r>
      <w:r>
        <w:t>contrast</w:t>
      </w:r>
      <w:r>
        <w:rPr>
          <w:spacing w:val="-11"/>
        </w:rPr>
        <w:t xml:space="preserve"> </w:t>
      </w:r>
      <w:r>
        <w:t>the</w:t>
      </w:r>
      <w:r>
        <w:rPr>
          <w:spacing w:val="-11"/>
        </w:rPr>
        <w:t xml:space="preserve"> </w:t>
      </w:r>
      <w:r>
        <w:t>heaviest</w:t>
      </w:r>
      <w:r>
        <w:rPr>
          <w:spacing w:val="-11"/>
        </w:rPr>
        <w:t xml:space="preserve"> </w:t>
      </w:r>
      <w:r>
        <w:t>traffic</w:t>
      </w:r>
      <w:r>
        <w:rPr>
          <w:spacing w:val="-11"/>
        </w:rPr>
        <w:t xml:space="preserve"> </w:t>
      </w:r>
      <w:r>
        <w:t>flows</w:t>
      </w:r>
      <w:r>
        <w:rPr>
          <w:spacing w:val="-11"/>
        </w:rPr>
        <w:t xml:space="preserve"> </w:t>
      </w:r>
      <w:r>
        <w:t>outside</w:t>
      </w:r>
      <w:r>
        <w:rPr>
          <w:spacing w:val="-11"/>
        </w:rPr>
        <w:t xml:space="preserve"> </w:t>
      </w:r>
      <w:r>
        <w:t>the</w:t>
      </w:r>
      <w:r>
        <w:rPr>
          <w:spacing w:val="-11"/>
        </w:rPr>
        <w:t xml:space="preserve"> </w:t>
      </w:r>
      <w:r>
        <w:t>CBD occur</w:t>
      </w:r>
      <w:r>
        <w:rPr>
          <w:spacing w:val="-7"/>
        </w:rPr>
        <w:t xml:space="preserve"> </w:t>
      </w:r>
      <w:r>
        <w:t>on</w:t>
      </w:r>
      <w:r>
        <w:rPr>
          <w:spacing w:val="-7"/>
        </w:rPr>
        <w:t xml:space="preserve"> </w:t>
      </w:r>
      <w:r>
        <w:t>the</w:t>
      </w:r>
      <w:r>
        <w:rPr>
          <w:spacing w:val="-7"/>
        </w:rPr>
        <w:t xml:space="preserve"> </w:t>
      </w:r>
      <w:r>
        <w:t>six-track</w:t>
      </w:r>
      <w:r>
        <w:rPr>
          <w:spacing w:val="-7"/>
        </w:rPr>
        <w:t xml:space="preserve"> </w:t>
      </w:r>
      <w:r>
        <w:t>Main</w:t>
      </w:r>
      <w:r>
        <w:rPr>
          <w:spacing w:val="-7"/>
        </w:rPr>
        <w:t xml:space="preserve"> </w:t>
      </w:r>
      <w:r>
        <w:t>West</w:t>
      </w:r>
      <w:r>
        <w:rPr>
          <w:spacing w:val="-7"/>
        </w:rPr>
        <w:t xml:space="preserve"> </w:t>
      </w:r>
      <w:r>
        <w:t>Lines</w:t>
      </w:r>
      <w:r>
        <w:rPr>
          <w:spacing w:val="-7"/>
        </w:rPr>
        <w:t xml:space="preserve"> </w:t>
      </w:r>
      <w:r>
        <w:t>between Strathfield</w:t>
      </w:r>
      <w:r>
        <w:rPr>
          <w:spacing w:val="-10"/>
        </w:rPr>
        <w:t xml:space="preserve"> </w:t>
      </w:r>
      <w:r>
        <w:t>and</w:t>
      </w:r>
      <w:r>
        <w:rPr>
          <w:spacing w:val="-10"/>
        </w:rPr>
        <w:t xml:space="preserve"> </w:t>
      </w:r>
      <w:r>
        <w:t>Central.</w:t>
      </w:r>
      <w:r>
        <w:rPr>
          <w:spacing w:val="-10"/>
        </w:rPr>
        <w:t xml:space="preserve"> </w:t>
      </w:r>
      <w:r>
        <w:t>The</w:t>
      </w:r>
      <w:r>
        <w:rPr>
          <w:spacing w:val="-10"/>
        </w:rPr>
        <w:t xml:space="preserve"> </w:t>
      </w:r>
      <w:r>
        <w:t>development</w:t>
      </w:r>
      <w:r>
        <w:rPr>
          <w:spacing w:val="-10"/>
        </w:rPr>
        <w:t xml:space="preserve"> </w:t>
      </w:r>
      <w:r>
        <w:t>work undertaken</w:t>
      </w:r>
      <w:r>
        <w:rPr>
          <w:spacing w:val="-7"/>
        </w:rPr>
        <w:t xml:space="preserve"> </w:t>
      </w:r>
      <w:r>
        <w:t>on</w:t>
      </w:r>
      <w:r>
        <w:rPr>
          <w:spacing w:val="-7"/>
        </w:rPr>
        <w:t xml:space="preserve"> </w:t>
      </w:r>
      <w:r>
        <w:t>the</w:t>
      </w:r>
      <w:r>
        <w:rPr>
          <w:spacing w:val="-7"/>
        </w:rPr>
        <w:t xml:space="preserve"> </w:t>
      </w:r>
      <w:r>
        <w:t>West</w:t>
      </w:r>
      <w:r>
        <w:rPr>
          <w:spacing w:val="-7"/>
        </w:rPr>
        <w:t xml:space="preserve"> </w:t>
      </w:r>
      <w:r>
        <w:t>Metro</w:t>
      </w:r>
      <w:r>
        <w:rPr>
          <w:spacing w:val="-7"/>
        </w:rPr>
        <w:t xml:space="preserve"> </w:t>
      </w:r>
      <w:r>
        <w:t>project,</w:t>
      </w:r>
      <w:r>
        <w:rPr>
          <w:spacing w:val="-7"/>
        </w:rPr>
        <w:t xml:space="preserve"> </w:t>
      </w:r>
      <w:r>
        <w:t>indicated</w:t>
      </w:r>
      <w:r>
        <w:rPr>
          <w:spacing w:val="-7"/>
        </w:rPr>
        <w:t xml:space="preserve"> </w:t>
      </w:r>
      <w:r>
        <w:t xml:space="preserve">that </w:t>
      </w:r>
      <w:r>
        <w:rPr>
          <w:w w:val="95"/>
        </w:rPr>
        <w:t>this</w:t>
      </w:r>
      <w:r>
        <w:rPr>
          <w:spacing w:val="-4"/>
          <w:w w:val="95"/>
        </w:rPr>
        <w:t xml:space="preserve"> </w:t>
      </w:r>
      <w:r>
        <w:rPr>
          <w:w w:val="95"/>
        </w:rPr>
        <w:t>corridor</w:t>
      </w:r>
      <w:r>
        <w:rPr>
          <w:spacing w:val="-4"/>
          <w:w w:val="95"/>
        </w:rPr>
        <w:t xml:space="preserve"> </w:t>
      </w:r>
      <w:r>
        <w:rPr>
          <w:w w:val="95"/>
        </w:rPr>
        <w:t>through</w:t>
      </w:r>
      <w:r>
        <w:rPr>
          <w:spacing w:val="-4"/>
          <w:w w:val="95"/>
        </w:rPr>
        <w:t xml:space="preserve"> </w:t>
      </w:r>
      <w:r>
        <w:rPr>
          <w:w w:val="95"/>
        </w:rPr>
        <w:t>the</w:t>
      </w:r>
      <w:r>
        <w:rPr>
          <w:spacing w:val="-4"/>
          <w:w w:val="95"/>
        </w:rPr>
        <w:t xml:space="preserve"> </w:t>
      </w:r>
      <w:r>
        <w:rPr>
          <w:w w:val="95"/>
        </w:rPr>
        <w:t>Inner</w:t>
      </w:r>
      <w:r>
        <w:rPr>
          <w:spacing w:val="-4"/>
          <w:w w:val="95"/>
        </w:rPr>
        <w:t xml:space="preserve"> </w:t>
      </w:r>
      <w:r>
        <w:rPr>
          <w:w w:val="95"/>
        </w:rPr>
        <w:t>West</w:t>
      </w:r>
      <w:r>
        <w:rPr>
          <w:spacing w:val="-4"/>
          <w:w w:val="95"/>
        </w:rPr>
        <w:t xml:space="preserve"> </w:t>
      </w:r>
      <w:r>
        <w:rPr>
          <w:w w:val="95"/>
        </w:rPr>
        <w:t>could</w:t>
      </w:r>
      <w:r>
        <w:rPr>
          <w:spacing w:val="-4"/>
          <w:w w:val="95"/>
        </w:rPr>
        <w:t xml:space="preserve"> </w:t>
      </w:r>
      <w:r>
        <w:rPr>
          <w:w w:val="95"/>
        </w:rPr>
        <w:t>offer</w:t>
      </w:r>
      <w:r>
        <w:rPr>
          <w:spacing w:val="-4"/>
          <w:w w:val="95"/>
        </w:rPr>
        <w:t xml:space="preserve"> </w:t>
      </w:r>
      <w:r>
        <w:rPr>
          <w:w w:val="95"/>
        </w:rPr>
        <w:t>a</w:t>
      </w:r>
      <w:r>
        <w:rPr>
          <w:spacing w:val="-4"/>
          <w:w w:val="95"/>
        </w:rPr>
        <w:t xml:space="preserve"> </w:t>
      </w:r>
      <w:r>
        <w:rPr>
          <w:w w:val="95"/>
        </w:rPr>
        <w:t xml:space="preserve">strong </w:t>
      </w:r>
      <w:r>
        <w:t>market for rapid transit services.</w:t>
      </w:r>
    </w:p>
    <w:p w:rsidR="002C1123" w:rsidRDefault="00F22F94">
      <w:pPr>
        <w:pStyle w:val="BodyText"/>
        <w:spacing w:before="147" w:line="249" w:lineRule="auto"/>
        <w:ind w:left="213"/>
      </w:pPr>
      <w:r>
        <w:rPr>
          <w:w w:val="95"/>
        </w:rPr>
        <w:t>Accordingly,</w:t>
      </w:r>
      <w:r>
        <w:rPr>
          <w:spacing w:val="-2"/>
          <w:w w:val="95"/>
        </w:rPr>
        <w:t xml:space="preserve"> </w:t>
      </w:r>
      <w:r>
        <w:rPr>
          <w:w w:val="95"/>
        </w:rPr>
        <w:t>Infrastructure</w:t>
      </w:r>
      <w:r>
        <w:rPr>
          <w:spacing w:val="-2"/>
          <w:w w:val="95"/>
        </w:rPr>
        <w:t xml:space="preserve"> </w:t>
      </w:r>
      <w:r>
        <w:rPr>
          <w:w w:val="95"/>
        </w:rPr>
        <w:t>NSW</w:t>
      </w:r>
      <w:r>
        <w:rPr>
          <w:spacing w:val="-2"/>
          <w:w w:val="95"/>
        </w:rPr>
        <w:t xml:space="preserve"> </w:t>
      </w:r>
      <w:r>
        <w:rPr>
          <w:w w:val="95"/>
        </w:rPr>
        <w:t>has</w:t>
      </w:r>
      <w:r>
        <w:rPr>
          <w:spacing w:val="-2"/>
          <w:w w:val="95"/>
        </w:rPr>
        <w:t xml:space="preserve"> </w:t>
      </w:r>
      <w:r>
        <w:rPr>
          <w:w w:val="95"/>
        </w:rPr>
        <w:t>considered</w:t>
      </w:r>
      <w:r>
        <w:rPr>
          <w:spacing w:val="-2"/>
          <w:w w:val="95"/>
        </w:rPr>
        <w:t xml:space="preserve"> </w:t>
      </w:r>
      <w:r>
        <w:rPr>
          <w:w w:val="95"/>
        </w:rPr>
        <w:t xml:space="preserve">what </w:t>
      </w:r>
      <w:r>
        <w:t>other</w:t>
      </w:r>
      <w:r>
        <w:rPr>
          <w:spacing w:val="-12"/>
        </w:rPr>
        <w:t xml:space="preserve"> </w:t>
      </w:r>
      <w:r>
        <w:t>options</w:t>
      </w:r>
      <w:r>
        <w:rPr>
          <w:spacing w:val="-12"/>
        </w:rPr>
        <w:t xml:space="preserve"> </w:t>
      </w:r>
      <w:r>
        <w:t>may</w:t>
      </w:r>
      <w:r>
        <w:rPr>
          <w:spacing w:val="-12"/>
        </w:rPr>
        <w:t xml:space="preserve"> </w:t>
      </w:r>
      <w:r>
        <w:t>exist</w:t>
      </w:r>
      <w:r>
        <w:rPr>
          <w:spacing w:val="-12"/>
        </w:rPr>
        <w:t xml:space="preserve"> </w:t>
      </w:r>
      <w:r>
        <w:t>to</w:t>
      </w:r>
      <w:r>
        <w:rPr>
          <w:spacing w:val="-12"/>
        </w:rPr>
        <w:t xml:space="preserve"> </w:t>
      </w:r>
      <w:r>
        <w:t>bring</w:t>
      </w:r>
      <w:r>
        <w:rPr>
          <w:spacing w:val="-12"/>
        </w:rPr>
        <w:t xml:space="preserve"> </w:t>
      </w:r>
      <w:r>
        <w:t>the</w:t>
      </w:r>
      <w:r>
        <w:rPr>
          <w:spacing w:val="-12"/>
        </w:rPr>
        <w:t xml:space="preserve"> </w:t>
      </w:r>
      <w:r>
        <w:t>benefits</w:t>
      </w:r>
      <w:r>
        <w:rPr>
          <w:spacing w:val="-12"/>
        </w:rPr>
        <w:t xml:space="preserve"> </w:t>
      </w:r>
      <w:r>
        <w:t>of</w:t>
      </w:r>
      <w:r>
        <w:rPr>
          <w:spacing w:val="-12"/>
        </w:rPr>
        <w:t xml:space="preserve"> </w:t>
      </w:r>
      <w:r>
        <w:t>rapid transit</w:t>
      </w:r>
      <w:r>
        <w:rPr>
          <w:spacing w:val="-14"/>
        </w:rPr>
        <w:t xml:space="preserve"> </w:t>
      </w:r>
      <w:r>
        <w:t>to</w:t>
      </w:r>
      <w:r>
        <w:rPr>
          <w:spacing w:val="-14"/>
        </w:rPr>
        <w:t xml:space="preserve"> </w:t>
      </w:r>
      <w:r>
        <w:t>more</w:t>
      </w:r>
      <w:r>
        <w:rPr>
          <w:spacing w:val="-14"/>
        </w:rPr>
        <w:t xml:space="preserve"> </w:t>
      </w:r>
      <w:r>
        <w:t>customers,</w:t>
      </w:r>
      <w:r>
        <w:rPr>
          <w:spacing w:val="-14"/>
        </w:rPr>
        <w:t xml:space="preserve"> </w:t>
      </w:r>
      <w:r>
        <w:t>sooner</w:t>
      </w:r>
      <w:r>
        <w:rPr>
          <w:spacing w:val="-14"/>
        </w:rPr>
        <w:t xml:space="preserve"> </w:t>
      </w:r>
      <w:r>
        <w:t>and</w:t>
      </w:r>
      <w:r>
        <w:rPr>
          <w:spacing w:val="-14"/>
        </w:rPr>
        <w:t xml:space="preserve"> </w:t>
      </w:r>
      <w:r>
        <w:t>at</w:t>
      </w:r>
      <w:r>
        <w:rPr>
          <w:spacing w:val="-14"/>
        </w:rPr>
        <w:t xml:space="preserve"> </w:t>
      </w:r>
      <w:r>
        <w:t>lower</w:t>
      </w:r>
      <w:r>
        <w:rPr>
          <w:spacing w:val="-14"/>
        </w:rPr>
        <w:t xml:space="preserve"> </w:t>
      </w:r>
      <w:r>
        <w:t>cost.</w:t>
      </w:r>
    </w:p>
    <w:p w:rsidR="002C1123" w:rsidRDefault="00F22F94">
      <w:pPr>
        <w:pStyle w:val="Heading6"/>
        <w:numPr>
          <w:ilvl w:val="2"/>
          <w:numId w:val="86"/>
        </w:numPr>
        <w:tabs>
          <w:tab w:val="left" w:pos="700"/>
        </w:tabs>
        <w:spacing w:before="144"/>
        <w:ind w:left="699" w:hanging="487"/>
        <w:jc w:val="left"/>
      </w:pPr>
      <w:r>
        <w:rPr>
          <w:color w:val="00AEEF"/>
          <w:w w:val="95"/>
        </w:rPr>
        <w:t>An</w:t>
      </w:r>
      <w:r>
        <w:rPr>
          <w:color w:val="00AEEF"/>
          <w:spacing w:val="1"/>
        </w:rPr>
        <w:t xml:space="preserve"> </w:t>
      </w:r>
      <w:r>
        <w:rPr>
          <w:color w:val="00AEEF"/>
          <w:w w:val="95"/>
        </w:rPr>
        <w:t>Alternative</w:t>
      </w:r>
      <w:r>
        <w:rPr>
          <w:color w:val="00AEEF"/>
          <w:spacing w:val="1"/>
        </w:rPr>
        <w:t xml:space="preserve"> </w:t>
      </w:r>
      <w:r>
        <w:rPr>
          <w:color w:val="00AEEF"/>
          <w:spacing w:val="-2"/>
          <w:w w:val="95"/>
        </w:rPr>
        <w:t>Approach</w:t>
      </w:r>
    </w:p>
    <w:p w:rsidR="002C1123" w:rsidRDefault="00F22F94">
      <w:pPr>
        <w:pStyle w:val="BodyText"/>
        <w:spacing w:before="95" w:line="249" w:lineRule="auto"/>
        <w:ind w:left="213"/>
      </w:pPr>
      <w:r>
        <w:t>The</w:t>
      </w:r>
      <w:r>
        <w:rPr>
          <w:spacing w:val="-14"/>
        </w:rPr>
        <w:t xml:space="preserve"> </w:t>
      </w:r>
      <w:r>
        <w:t>alternative</w:t>
      </w:r>
      <w:r>
        <w:rPr>
          <w:spacing w:val="-14"/>
        </w:rPr>
        <w:t xml:space="preserve"> </w:t>
      </w:r>
      <w:r>
        <w:t>approach</w:t>
      </w:r>
      <w:r>
        <w:rPr>
          <w:spacing w:val="-14"/>
        </w:rPr>
        <w:t xml:space="preserve"> </w:t>
      </w:r>
      <w:r>
        <w:t>is</w:t>
      </w:r>
      <w:r>
        <w:rPr>
          <w:spacing w:val="-14"/>
        </w:rPr>
        <w:t xml:space="preserve"> </w:t>
      </w:r>
      <w:r>
        <w:t>to</w:t>
      </w:r>
      <w:r>
        <w:rPr>
          <w:spacing w:val="-14"/>
        </w:rPr>
        <w:t xml:space="preserve"> </w:t>
      </w:r>
      <w:r>
        <w:t>introduce</w:t>
      </w:r>
      <w:r>
        <w:rPr>
          <w:spacing w:val="-14"/>
        </w:rPr>
        <w:t xml:space="preserve"> </w:t>
      </w:r>
      <w:r>
        <w:t>rapid</w:t>
      </w:r>
      <w:r>
        <w:rPr>
          <w:spacing w:val="-14"/>
        </w:rPr>
        <w:t xml:space="preserve"> </w:t>
      </w:r>
      <w:r>
        <w:t>transit services</w:t>
      </w:r>
      <w:r>
        <w:rPr>
          <w:spacing w:val="-12"/>
        </w:rPr>
        <w:t xml:space="preserve"> </w:t>
      </w:r>
      <w:r>
        <w:t>on</w:t>
      </w:r>
      <w:r>
        <w:rPr>
          <w:spacing w:val="-12"/>
        </w:rPr>
        <w:t xml:space="preserve"> </w:t>
      </w:r>
      <w:r>
        <w:t>to</w:t>
      </w:r>
      <w:r>
        <w:rPr>
          <w:spacing w:val="-12"/>
        </w:rPr>
        <w:t xml:space="preserve"> </w:t>
      </w:r>
      <w:r>
        <w:t>the</w:t>
      </w:r>
      <w:r>
        <w:rPr>
          <w:spacing w:val="-12"/>
        </w:rPr>
        <w:t xml:space="preserve"> </w:t>
      </w:r>
      <w:r>
        <w:t>existing</w:t>
      </w:r>
      <w:r>
        <w:rPr>
          <w:spacing w:val="-12"/>
        </w:rPr>
        <w:t xml:space="preserve"> </w:t>
      </w:r>
      <w:r>
        <w:t>network.</w:t>
      </w:r>
      <w:r>
        <w:rPr>
          <w:spacing w:val="-12"/>
        </w:rPr>
        <w:t xml:space="preserve"> </w:t>
      </w:r>
      <w:r>
        <w:t>Services</w:t>
      </w:r>
      <w:r>
        <w:rPr>
          <w:spacing w:val="-12"/>
        </w:rPr>
        <w:t xml:space="preserve"> </w:t>
      </w:r>
      <w:r>
        <w:t>on</w:t>
      </w:r>
      <w:r>
        <w:rPr>
          <w:spacing w:val="-12"/>
        </w:rPr>
        <w:t xml:space="preserve"> </w:t>
      </w:r>
      <w:r>
        <w:t>the NWRL</w:t>
      </w:r>
      <w:r>
        <w:rPr>
          <w:spacing w:val="-11"/>
        </w:rPr>
        <w:t xml:space="preserve"> </w:t>
      </w:r>
      <w:r>
        <w:t>would</w:t>
      </w:r>
      <w:r>
        <w:rPr>
          <w:spacing w:val="-11"/>
        </w:rPr>
        <w:t xml:space="preserve"> </w:t>
      </w:r>
      <w:r>
        <w:t>be</w:t>
      </w:r>
      <w:r>
        <w:rPr>
          <w:spacing w:val="-11"/>
        </w:rPr>
        <w:t xml:space="preserve"> </w:t>
      </w:r>
      <w:r>
        <w:t>extended</w:t>
      </w:r>
      <w:r>
        <w:rPr>
          <w:spacing w:val="-11"/>
        </w:rPr>
        <w:t xml:space="preserve"> </w:t>
      </w:r>
      <w:r>
        <w:t>into</w:t>
      </w:r>
      <w:r>
        <w:rPr>
          <w:spacing w:val="-11"/>
        </w:rPr>
        <w:t xml:space="preserve"> </w:t>
      </w:r>
      <w:r>
        <w:t>the</w:t>
      </w:r>
      <w:r>
        <w:rPr>
          <w:spacing w:val="-11"/>
        </w:rPr>
        <w:t xml:space="preserve"> </w:t>
      </w:r>
      <w:r>
        <w:t>CBD</w:t>
      </w:r>
      <w:r>
        <w:rPr>
          <w:spacing w:val="-11"/>
        </w:rPr>
        <w:t xml:space="preserve"> </w:t>
      </w:r>
      <w:r>
        <w:t>using</w:t>
      </w:r>
      <w:r>
        <w:rPr>
          <w:spacing w:val="-11"/>
        </w:rPr>
        <w:t xml:space="preserve"> </w:t>
      </w:r>
      <w:r>
        <w:t xml:space="preserve">the </w:t>
      </w:r>
      <w:r>
        <w:rPr>
          <w:w w:val="95"/>
        </w:rPr>
        <w:t>existing</w:t>
      </w:r>
      <w:r>
        <w:rPr>
          <w:spacing w:val="-5"/>
          <w:w w:val="95"/>
        </w:rPr>
        <w:t xml:space="preserve"> </w:t>
      </w:r>
      <w:r>
        <w:rPr>
          <w:w w:val="95"/>
        </w:rPr>
        <w:t>Harbour</w:t>
      </w:r>
      <w:r>
        <w:rPr>
          <w:spacing w:val="-5"/>
          <w:w w:val="95"/>
        </w:rPr>
        <w:t xml:space="preserve"> </w:t>
      </w:r>
      <w:r>
        <w:rPr>
          <w:w w:val="95"/>
        </w:rPr>
        <w:t>Bridge</w:t>
      </w:r>
      <w:r>
        <w:rPr>
          <w:spacing w:val="-5"/>
          <w:w w:val="95"/>
        </w:rPr>
        <w:t xml:space="preserve"> </w:t>
      </w:r>
      <w:r>
        <w:rPr>
          <w:w w:val="95"/>
        </w:rPr>
        <w:t>Line.</w:t>
      </w:r>
      <w:r>
        <w:rPr>
          <w:spacing w:val="-5"/>
          <w:w w:val="95"/>
        </w:rPr>
        <w:t xml:space="preserve"> </w:t>
      </w:r>
      <w:r>
        <w:rPr>
          <w:w w:val="95"/>
        </w:rPr>
        <w:t>Trains</w:t>
      </w:r>
      <w:r>
        <w:rPr>
          <w:spacing w:val="-5"/>
          <w:w w:val="95"/>
        </w:rPr>
        <w:t xml:space="preserve"> </w:t>
      </w:r>
      <w:r>
        <w:rPr>
          <w:w w:val="95"/>
        </w:rPr>
        <w:t>would</w:t>
      </w:r>
      <w:r>
        <w:rPr>
          <w:spacing w:val="-5"/>
          <w:w w:val="95"/>
        </w:rPr>
        <w:t xml:space="preserve"> </w:t>
      </w:r>
      <w:r>
        <w:rPr>
          <w:w w:val="95"/>
        </w:rPr>
        <w:t>then</w:t>
      </w:r>
      <w:r>
        <w:rPr>
          <w:spacing w:val="-5"/>
          <w:w w:val="95"/>
        </w:rPr>
        <w:t xml:space="preserve"> </w:t>
      </w:r>
      <w:r>
        <w:rPr>
          <w:w w:val="95"/>
        </w:rPr>
        <w:t xml:space="preserve">continue </w:t>
      </w:r>
      <w:r>
        <w:rPr>
          <w:spacing w:val="-2"/>
          <w:w w:val="95"/>
        </w:rPr>
        <w:t>on</w:t>
      </w:r>
      <w:r>
        <w:rPr>
          <w:spacing w:val="-6"/>
          <w:w w:val="95"/>
        </w:rPr>
        <w:t xml:space="preserve"> </w:t>
      </w:r>
      <w:r>
        <w:rPr>
          <w:spacing w:val="-2"/>
          <w:w w:val="95"/>
        </w:rPr>
        <w:t>the</w:t>
      </w:r>
      <w:r>
        <w:rPr>
          <w:spacing w:val="-6"/>
          <w:w w:val="95"/>
        </w:rPr>
        <w:t xml:space="preserve"> </w:t>
      </w:r>
      <w:r>
        <w:rPr>
          <w:spacing w:val="-2"/>
          <w:w w:val="95"/>
        </w:rPr>
        <w:t>existing</w:t>
      </w:r>
      <w:r>
        <w:rPr>
          <w:spacing w:val="-6"/>
          <w:w w:val="95"/>
        </w:rPr>
        <w:t xml:space="preserve"> </w:t>
      </w:r>
      <w:r>
        <w:rPr>
          <w:spacing w:val="-2"/>
          <w:w w:val="95"/>
        </w:rPr>
        <w:t>Inner</w:t>
      </w:r>
      <w:r>
        <w:rPr>
          <w:spacing w:val="-6"/>
          <w:w w:val="95"/>
        </w:rPr>
        <w:t xml:space="preserve"> </w:t>
      </w:r>
      <w:r>
        <w:rPr>
          <w:spacing w:val="-2"/>
          <w:w w:val="95"/>
        </w:rPr>
        <w:t>West</w:t>
      </w:r>
      <w:r>
        <w:rPr>
          <w:spacing w:val="-5"/>
          <w:w w:val="95"/>
        </w:rPr>
        <w:t xml:space="preserve"> </w:t>
      </w:r>
      <w:r>
        <w:rPr>
          <w:spacing w:val="-2"/>
          <w:w w:val="95"/>
        </w:rPr>
        <w:t>Line</w:t>
      </w:r>
      <w:r>
        <w:rPr>
          <w:spacing w:val="-6"/>
          <w:w w:val="95"/>
        </w:rPr>
        <w:t xml:space="preserve"> </w:t>
      </w:r>
      <w:r>
        <w:rPr>
          <w:spacing w:val="-2"/>
          <w:w w:val="95"/>
        </w:rPr>
        <w:t>from</w:t>
      </w:r>
      <w:r>
        <w:rPr>
          <w:spacing w:val="-7"/>
          <w:w w:val="95"/>
        </w:rPr>
        <w:t xml:space="preserve"> </w:t>
      </w:r>
      <w:r>
        <w:rPr>
          <w:spacing w:val="-2"/>
          <w:w w:val="95"/>
        </w:rPr>
        <w:t>Central</w:t>
      </w:r>
      <w:r>
        <w:rPr>
          <w:spacing w:val="-5"/>
          <w:w w:val="95"/>
        </w:rPr>
        <w:t xml:space="preserve"> </w:t>
      </w:r>
      <w:r>
        <w:rPr>
          <w:spacing w:val="-2"/>
          <w:w w:val="95"/>
        </w:rPr>
        <w:t>to</w:t>
      </w:r>
      <w:r>
        <w:rPr>
          <w:spacing w:val="-6"/>
          <w:w w:val="95"/>
        </w:rPr>
        <w:t xml:space="preserve"> </w:t>
      </w:r>
      <w:r>
        <w:rPr>
          <w:spacing w:val="-2"/>
          <w:w w:val="95"/>
        </w:rPr>
        <w:t>Strathfield.</w:t>
      </w:r>
    </w:p>
    <w:p w:rsidR="002C1123" w:rsidRDefault="00F22F94">
      <w:pPr>
        <w:pStyle w:val="BodyText"/>
        <w:spacing w:before="146" w:line="249" w:lineRule="auto"/>
        <w:ind w:left="213"/>
      </w:pPr>
      <w:r w:rsidRPr="00F22F94">
        <w:rPr>
          <w:w w:val="95"/>
          <w:highlight w:val="yellow"/>
        </w:rPr>
        <w:t xml:space="preserve">This approach would provide high capacity metro-style </w:t>
      </w:r>
      <w:r w:rsidRPr="00F22F94">
        <w:rPr>
          <w:highlight w:val="yellow"/>
        </w:rPr>
        <w:t>services</w:t>
      </w:r>
      <w:r w:rsidRPr="00F22F94">
        <w:rPr>
          <w:spacing w:val="-3"/>
          <w:highlight w:val="yellow"/>
        </w:rPr>
        <w:t xml:space="preserve"> </w:t>
      </w:r>
      <w:r w:rsidRPr="00F22F94">
        <w:rPr>
          <w:highlight w:val="yellow"/>
        </w:rPr>
        <w:t>on</w:t>
      </w:r>
      <w:r w:rsidRPr="00F22F94">
        <w:rPr>
          <w:spacing w:val="-3"/>
          <w:highlight w:val="yellow"/>
        </w:rPr>
        <w:t xml:space="preserve"> </w:t>
      </w:r>
      <w:r w:rsidRPr="00F22F94">
        <w:rPr>
          <w:highlight w:val="yellow"/>
        </w:rPr>
        <w:t>the</w:t>
      </w:r>
      <w:r w:rsidRPr="00F22F94">
        <w:rPr>
          <w:spacing w:val="-3"/>
          <w:highlight w:val="yellow"/>
        </w:rPr>
        <w:t xml:space="preserve"> </w:t>
      </w:r>
      <w:r w:rsidRPr="00F22F94">
        <w:rPr>
          <w:highlight w:val="yellow"/>
        </w:rPr>
        <w:t>most</w:t>
      </w:r>
      <w:r w:rsidRPr="00F22F94">
        <w:rPr>
          <w:spacing w:val="-3"/>
          <w:highlight w:val="yellow"/>
        </w:rPr>
        <w:t xml:space="preserve"> </w:t>
      </w:r>
      <w:r w:rsidRPr="00F22F94">
        <w:rPr>
          <w:highlight w:val="yellow"/>
        </w:rPr>
        <w:t>congested</w:t>
      </w:r>
      <w:r w:rsidRPr="00F22F94">
        <w:rPr>
          <w:spacing w:val="-3"/>
          <w:highlight w:val="yellow"/>
        </w:rPr>
        <w:t xml:space="preserve"> </w:t>
      </w:r>
      <w:r w:rsidRPr="00F22F94">
        <w:rPr>
          <w:highlight w:val="yellow"/>
        </w:rPr>
        <w:t>part</w:t>
      </w:r>
      <w:r w:rsidRPr="00F22F94">
        <w:rPr>
          <w:spacing w:val="-3"/>
          <w:highlight w:val="yellow"/>
        </w:rPr>
        <w:t xml:space="preserve"> </w:t>
      </w:r>
      <w:r w:rsidRPr="00F22F94">
        <w:rPr>
          <w:highlight w:val="yellow"/>
        </w:rPr>
        <w:t>of</w:t>
      </w:r>
      <w:r w:rsidRPr="00F22F94">
        <w:rPr>
          <w:spacing w:val="-3"/>
          <w:highlight w:val="yellow"/>
        </w:rPr>
        <w:t xml:space="preserve"> </w:t>
      </w:r>
      <w:r w:rsidRPr="00F22F94">
        <w:rPr>
          <w:highlight w:val="yellow"/>
        </w:rPr>
        <w:t>the</w:t>
      </w:r>
      <w:r w:rsidRPr="00F22F94">
        <w:rPr>
          <w:spacing w:val="-3"/>
          <w:highlight w:val="yellow"/>
        </w:rPr>
        <w:t xml:space="preserve"> </w:t>
      </w:r>
      <w:r w:rsidRPr="00F22F94">
        <w:rPr>
          <w:highlight w:val="yellow"/>
        </w:rPr>
        <w:t>network from</w:t>
      </w:r>
      <w:r w:rsidRPr="00F22F94">
        <w:rPr>
          <w:spacing w:val="-14"/>
          <w:highlight w:val="yellow"/>
        </w:rPr>
        <w:t xml:space="preserve"> </w:t>
      </w:r>
      <w:r w:rsidRPr="00F22F94">
        <w:rPr>
          <w:highlight w:val="yellow"/>
        </w:rPr>
        <w:t>Strathfield</w:t>
      </w:r>
      <w:r w:rsidRPr="00F22F94">
        <w:rPr>
          <w:spacing w:val="-13"/>
          <w:highlight w:val="yellow"/>
        </w:rPr>
        <w:t xml:space="preserve"> </w:t>
      </w:r>
      <w:r w:rsidRPr="00F22F94">
        <w:rPr>
          <w:highlight w:val="yellow"/>
        </w:rPr>
        <w:t>to</w:t>
      </w:r>
      <w:r w:rsidRPr="00F22F94">
        <w:rPr>
          <w:spacing w:val="-13"/>
          <w:highlight w:val="yellow"/>
        </w:rPr>
        <w:t xml:space="preserve"> </w:t>
      </w:r>
      <w:r w:rsidRPr="00F22F94">
        <w:rPr>
          <w:highlight w:val="yellow"/>
        </w:rPr>
        <w:t>Chatswood</w:t>
      </w:r>
      <w:r w:rsidRPr="00F22F94">
        <w:rPr>
          <w:spacing w:val="-13"/>
          <w:highlight w:val="yellow"/>
        </w:rPr>
        <w:t xml:space="preserve"> </w:t>
      </w:r>
      <w:r w:rsidRPr="00F22F94">
        <w:rPr>
          <w:highlight w:val="yellow"/>
        </w:rPr>
        <w:t>via</w:t>
      </w:r>
      <w:r w:rsidRPr="00F22F94">
        <w:rPr>
          <w:spacing w:val="-13"/>
          <w:highlight w:val="yellow"/>
        </w:rPr>
        <w:t xml:space="preserve"> </w:t>
      </w:r>
      <w:r w:rsidRPr="00F22F94">
        <w:rPr>
          <w:highlight w:val="yellow"/>
        </w:rPr>
        <w:t>the</w:t>
      </w:r>
      <w:r w:rsidRPr="00F22F94">
        <w:rPr>
          <w:spacing w:val="-13"/>
          <w:highlight w:val="yellow"/>
        </w:rPr>
        <w:t xml:space="preserve"> </w:t>
      </w:r>
      <w:r w:rsidRPr="00F22F94">
        <w:rPr>
          <w:highlight w:val="yellow"/>
        </w:rPr>
        <w:t>CBD.</w:t>
      </w:r>
      <w:r w:rsidRPr="00F22F94">
        <w:rPr>
          <w:spacing w:val="-13"/>
          <w:highlight w:val="yellow"/>
        </w:rPr>
        <w:t xml:space="preserve"> </w:t>
      </w:r>
      <w:r w:rsidRPr="00F22F94">
        <w:rPr>
          <w:highlight w:val="yellow"/>
        </w:rPr>
        <w:t>The</w:t>
      </w:r>
      <w:r w:rsidRPr="00F22F94">
        <w:rPr>
          <w:spacing w:val="-13"/>
          <w:highlight w:val="yellow"/>
        </w:rPr>
        <w:t xml:space="preserve"> </w:t>
      </w:r>
      <w:r w:rsidRPr="00F22F94">
        <w:rPr>
          <w:highlight w:val="yellow"/>
        </w:rPr>
        <w:t>target capacity</w:t>
      </w:r>
      <w:r w:rsidRPr="00F22F94">
        <w:rPr>
          <w:spacing w:val="-7"/>
          <w:highlight w:val="yellow"/>
        </w:rPr>
        <w:t xml:space="preserve"> </w:t>
      </w:r>
      <w:r w:rsidRPr="00F22F94">
        <w:rPr>
          <w:highlight w:val="yellow"/>
        </w:rPr>
        <w:t>for</w:t>
      </w:r>
      <w:r w:rsidRPr="00F22F94">
        <w:rPr>
          <w:spacing w:val="-7"/>
          <w:highlight w:val="yellow"/>
        </w:rPr>
        <w:t xml:space="preserve"> </w:t>
      </w:r>
      <w:r w:rsidRPr="00F22F94">
        <w:rPr>
          <w:highlight w:val="yellow"/>
        </w:rPr>
        <w:t>the</w:t>
      </w:r>
      <w:r w:rsidRPr="00F22F94">
        <w:rPr>
          <w:spacing w:val="-7"/>
          <w:highlight w:val="yellow"/>
        </w:rPr>
        <w:t xml:space="preserve"> </w:t>
      </w:r>
      <w:r w:rsidRPr="00F22F94">
        <w:rPr>
          <w:highlight w:val="yellow"/>
        </w:rPr>
        <w:t>rapid</w:t>
      </w:r>
      <w:r w:rsidRPr="00F22F94">
        <w:rPr>
          <w:spacing w:val="-7"/>
          <w:highlight w:val="yellow"/>
        </w:rPr>
        <w:t xml:space="preserve"> </w:t>
      </w:r>
      <w:r w:rsidRPr="00F22F94">
        <w:rPr>
          <w:highlight w:val="yellow"/>
        </w:rPr>
        <w:t>transit</w:t>
      </w:r>
      <w:r w:rsidRPr="00F22F94">
        <w:rPr>
          <w:spacing w:val="-7"/>
          <w:highlight w:val="yellow"/>
        </w:rPr>
        <w:t xml:space="preserve"> </w:t>
      </w:r>
      <w:r w:rsidRPr="00F22F94">
        <w:rPr>
          <w:highlight w:val="yellow"/>
        </w:rPr>
        <w:t>lines</w:t>
      </w:r>
      <w:r w:rsidRPr="00F22F94">
        <w:rPr>
          <w:spacing w:val="-7"/>
          <w:highlight w:val="yellow"/>
        </w:rPr>
        <w:t xml:space="preserve"> </w:t>
      </w:r>
      <w:r w:rsidRPr="00F22F94">
        <w:rPr>
          <w:highlight w:val="yellow"/>
        </w:rPr>
        <w:t>would</w:t>
      </w:r>
      <w:r w:rsidRPr="00F22F94">
        <w:rPr>
          <w:spacing w:val="-7"/>
          <w:highlight w:val="yellow"/>
        </w:rPr>
        <w:t xml:space="preserve"> </w:t>
      </w:r>
      <w:r w:rsidRPr="00F22F94">
        <w:rPr>
          <w:highlight w:val="yellow"/>
        </w:rPr>
        <w:t>be</w:t>
      </w:r>
      <w:r w:rsidRPr="00F22F94">
        <w:rPr>
          <w:spacing w:val="-7"/>
          <w:highlight w:val="yellow"/>
        </w:rPr>
        <w:t xml:space="preserve"> </w:t>
      </w:r>
      <w:r w:rsidRPr="00F22F94">
        <w:rPr>
          <w:highlight w:val="yellow"/>
        </w:rPr>
        <w:t>40,000 passengers</w:t>
      </w:r>
      <w:r w:rsidRPr="00F22F94">
        <w:rPr>
          <w:spacing w:val="-10"/>
          <w:highlight w:val="yellow"/>
        </w:rPr>
        <w:t xml:space="preserve"> </w:t>
      </w:r>
      <w:r w:rsidRPr="00F22F94">
        <w:rPr>
          <w:highlight w:val="yellow"/>
        </w:rPr>
        <w:t>per</w:t>
      </w:r>
      <w:r w:rsidRPr="00F22F94">
        <w:rPr>
          <w:spacing w:val="-10"/>
          <w:highlight w:val="yellow"/>
        </w:rPr>
        <w:t xml:space="preserve"> </w:t>
      </w:r>
      <w:r w:rsidRPr="00F22F94">
        <w:rPr>
          <w:highlight w:val="yellow"/>
        </w:rPr>
        <w:t>direction</w:t>
      </w:r>
      <w:r w:rsidRPr="00F22F94">
        <w:rPr>
          <w:spacing w:val="-10"/>
          <w:highlight w:val="yellow"/>
        </w:rPr>
        <w:t xml:space="preserve"> </w:t>
      </w:r>
      <w:r w:rsidRPr="00F22F94">
        <w:rPr>
          <w:highlight w:val="yellow"/>
        </w:rPr>
        <w:t>per</w:t>
      </w:r>
      <w:r w:rsidRPr="00F22F94">
        <w:rPr>
          <w:spacing w:val="-10"/>
          <w:highlight w:val="yellow"/>
        </w:rPr>
        <w:t xml:space="preserve"> </w:t>
      </w:r>
      <w:r w:rsidRPr="00F22F94">
        <w:rPr>
          <w:highlight w:val="yellow"/>
        </w:rPr>
        <w:t>hour.</w:t>
      </w:r>
      <w:r w:rsidRPr="00F22F94">
        <w:rPr>
          <w:spacing w:val="-10"/>
          <w:highlight w:val="yellow"/>
        </w:rPr>
        <w:t xml:space="preserve"> </w:t>
      </w:r>
      <w:r w:rsidRPr="00F22F94">
        <w:rPr>
          <w:highlight w:val="yellow"/>
        </w:rPr>
        <w:t>It</w:t>
      </w:r>
      <w:r w:rsidRPr="00F22F94">
        <w:rPr>
          <w:spacing w:val="-10"/>
          <w:highlight w:val="yellow"/>
        </w:rPr>
        <w:t xml:space="preserve"> </w:t>
      </w:r>
      <w:r w:rsidRPr="00F22F94">
        <w:rPr>
          <w:highlight w:val="yellow"/>
        </w:rPr>
        <w:t>would</w:t>
      </w:r>
      <w:r w:rsidRPr="00F22F94">
        <w:rPr>
          <w:spacing w:val="-10"/>
          <w:highlight w:val="yellow"/>
        </w:rPr>
        <w:t xml:space="preserve"> </w:t>
      </w:r>
      <w:r w:rsidRPr="00F22F94">
        <w:rPr>
          <w:highlight w:val="yellow"/>
        </w:rPr>
        <w:t xml:space="preserve">allow </w:t>
      </w:r>
      <w:r w:rsidRPr="00F22F94">
        <w:rPr>
          <w:w w:val="95"/>
          <w:highlight w:val="yellow"/>
        </w:rPr>
        <w:t>passengers</w:t>
      </w:r>
      <w:r w:rsidRPr="00F22F94">
        <w:rPr>
          <w:spacing w:val="-4"/>
          <w:w w:val="95"/>
          <w:highlight w:val="yellow"/>
        </w:rPr>
        <w:t xml:space="preserve"> </w:t>
      </w:r>
      <w:r w:rsidRPr="00F22F94">
        <w:rPr>
          <w:w w:val="95"/>
          <w:highlight w:val="yellow"/>
        </w:rPr>
        <w:t>from</w:t>
      </w:r>
      <w:r w:rsidRPr="00F22F94">
        <w:rPr>
          <w:spacing w:val="-5"/>
          <w:w w:val="95"/>
          <w:highlight w:val="yellow"/>
        </w:rPr>
        <w:t xml:space="preserve"> </w:t>
      </w:r>
      <w:r w:rsidRPr="00F22F94">
        <w:rPr>
          <w:w w:val="95"/>
          <w:highlight w:val="yellow"/>
        </w:rPr>
        <w:t>the</w:t>
      </w:r>
      <w:r w:rsidRPr="00F22F94">
        <w:rPr>
          <w:spacing w:val="-4"/>
          <w:w w:val="95"/>
          <w:highlight w:val="yellow"/>
        </w:rPr>
        <w:t xml:space="preserve"> </w:t>
      </w:r>
      <w:r w:rsidRPr="00F22F94">
        <w:rPr>
          <w:w w:val="95"/>
          <w:highlight w:val="yellow"/>
        </w:rPr>
        <w:t>NWRL</w:t>
      </w:r>
      <w:r w:rsidRPr="00F22F94">
        <w:rPr>
          <w:spacing w:val="-4"/>
          <w:w w:val="95"/>
          <w:highlight w:val="yellow"/>
        </w:rPr>
        <w:t xml:space="preserve"> </w:t>
      </w:r>
      <w:r w:rsidRPr="00F22F94">
        <w:rPr>
          <w:w w:val="95"/>
          <w:highlight w:val="yellow"/>
        </w:rPr>
        <w:t>to</w:t>
      </w:r>
      <w:r w:rsidRPr="00F22F94">
        <w:rPr>
          <w:spacing w:val="-4"/>
          <w:w w:val="95"/>
          <w:highlight w:val="yellow"/>
        </w:rPr>
        <w:t xml:space="preserve"> </w:t>
      </w:r>
      <w:r w:rsidRPr="00F22F94">
        <w:rPr>
          <w:w w:val="95"/>
          <w:highlight w:val="yellow"/>
        </w:rPr>
        <w:t>travel</w:t>
      </w:r>
      <w:r w:rsidRPr="00F22F94">
        <w:rPr>
          <w:spacing w:val="-4"/>
          <w:w w:val="95"/>
          <w:highlight w:val="yellow"/>
        </w:rPr>
        <w:t xml:space="preserve"> </w:t>
      </w:r>
      <w:r w:rsidRPr="00F22F94">
        <w:rPr>
          <w:w w:val="95"/>
          <w:highlight w:val="yellow"/>
        </w:rPr>
        <w:t>to</w:t>
      </w:r>
      <w:r w:rsidRPr="00F22F94">
        <w:rPr>
          <w:spacing w:val="-4"/>
          <w:w w:val="95"/>
          <w:highlight w:val="yellow"/>
        </w:rPr>
        <w:t xml:space="preserve"> </w:t>
      </w:r>
      <w:r w:rsidRPr="00F22F94">
        <w:rPr>
          <w:w w:val="95"/>
          <w:highlight w:val="yellow"/>
        </w:rPr>
        <w:t>the</w:t>
      </w:r>
      <w:r w:rsidRPr="00F22F94">
        <w:rPr>
          <w:spacing w:val="-4"/>
          <w:w w:val="95"/>
          <w:highlight w:val="yellow"/>
        </w:rPr>
        <w:t xml:space="preserve"> </w:t>
      </w:r>
      <w:r w:rsidRPr="00F22F94">
        <w:rPr>
          <w:w w:val="95"/>
          <w:highlight w:val="yellow"/>
        </w:rPr>
        <w:t>CBD</w:t>
      </w:r>
      <w:r w:rsidRPr="00F22F94">
        <w:rPr>
          <w:spacing w:val="-4"/>
          <w:w w:val="95"/>
          <w:highlight w:val="yellow"/>
        </w:rPr>
        <w:t xml:space="preserve"> </w:t>
      </w:r>
      <w:r w:rsidRPr="00F22F94">
        <w:rPr>
          <w:w w:val="95"/>
          <w:highlight w:val="yellow"/>
        </w:rPr>
        <w:t xml:space="preserve">without </w:t>
      </w:r>
      <w:r w:rsidRPr="00F22F94">
        <w:rPr>
          <w:highlight w:val="yellow"/>
        </w:rPr>
        <w:t>interchanging at Chatswood.</w:t>
      </w:r>
    </w:p>
    <w:p w:rsidR="002C1123" w:rsidRDefault="00F22F94">
      <w:pPr>
        <w:pStyle w:val="BodyText"/>
        <w:spacing w:before="147" w:line="249" w:lineRule="auto"/>
        <w:ind w:left="213"/>
      </w:pPr>
      <w:r>
        <w:rPr>
          <w:w w:val="95"/>
        </w:rPr>
        <w:t>Additionally,</w:t>
      </w:r>
      <w:r>
        <w:rPr>
          <w:spacing w:val="-6"/>
          <w:w w:val="95"/>
        </w:rPr>
        <w:t xml:space="preserve"> </w:t>
      </w:r>
      <w:r>
        <w:rPr>
          <w:w w:val="95"/>
        </w:rPr>
        <w:t>once</w:t>
      </w:r>
      <w:r>
        <w:rPr>
          <w:spacing w:val="-6"/>
          <w:w w:val="95"/>
        </w:rPr>
        <w:t xml:space="preserve"> </w:t>
      </w:r>
      <w:r>
        <w:rPr>
          <w:w w:val="95"/>
        </w:rPr>
        <w:t>rapid</w:t>
      </w:r>
      <w:r>
        <w:rPr>
          <w:spacing w:val="-6"/>
          <w:w w:val="95"/>
        </w:rPr>
        <w:t xml:space="preserve"> </w:t>
      </w:r>
      <w:r>
        <w:rPr>
          <w:w w:val="95"/>
        </w:rPr>
        <w:t>transit</w:t>
      </w:r>
      <w:r>
        <w:rPr>
          <w:spacing w:val="-6"/>
          <w:w w:val="95"/>
        </w:rPr>
        <w:t xml:space="preserve"> </w:t>
      </w:r>
      <w:r>
        <w:rPr>
          <w:w w:val="95"/>
        </w:rPr>
        <w:t>is</w:t>
      </w:r>
      <w:r>
        <w:rPr>
          <w:spacing w:val="-6"/>
          <w:w w:val="95"/>
        </w:rPr>
        <w:t xml:space="preserve"> </w:t>
      </w:r>
      <w:r>
        <w:rPr>
          <w:w w:val="95"/>
        </w:rPr>
        <w:t>introduced</w:t>
      </w:r>
      <w:r>
        <w:rPr>
          <w:spacing w:val="-6"/>
          <w:w w:val="95"/>
        </w:rPr>
        <w:t xml:space="preserve"> </w:t>
      </w:r>
      <w:r>
        <w:rPr>
          <w:w w:val="95"/>
        </w:rPr>
        <w:t>on</w:t>
      </w:r>
      <w:r>
        <w:rPr>
          <w:spacing w:val="-6"/>
          <w:w w:val="95"/>
        </w:rPr>
        <w:t xml:space="preserve"> </w:t>
      </w:r>
      <w:r>
        <w:rPr>
          <w:w w:val="95"/>
        </w:rPr>
        <w:t>the</w:t>
      </w:r>
      <w:r>
        <w:rPr>
          <w:spacing w:val="-6"/>
          <w:w w:val="95"/>
        </w:rPr>
        <w:t xml:space="preserve"> </w:t>
      </w:r>
      <w:r>
        <w:rPr>
          <w:w w:val="95"/>
        </w:rPr>
        <w:t xml:space="preserve">Inner </w:t>
      </w:r>
      <w:r>
        <w:t>West</w:t>
      </w:r>
      <w:r>
        <w:rPr>
          <w:spacing w:val="-14"/>
        </w:rPr>
        <w:t xml:space="preserve"> </w:t>
      </w:r>
      <w:r>
        <w:t>Line,</w:t>
      </w:r>
      <w:r>
        <w:rPr>
          <w:spacing w:val="-14"/>
        </w:rPr>
        <w:t xml:space="preserve"> </w:t>
      </w:r>
      <w:r>
        <w:t>the</w:t>
      </w:r>
      <w:r>
        <w:rPr>
          <w:spacing w:val="-14"/>
        </w:rPr>
        <w:t xml:space="preserve"> </w:t>
      </w:r>
      <w:r>
        <w:t>other</w:t>
      </w:r>
      <w:r>
        <w:rPr>
          <w:spacing w:val="-14"/>
        </w:rPr>
        <w:t xml:space="preserve"> </w:t>
      </w:r>
      <w:r>
        <w:t>four</w:t>
      </w:r>
      <w:r>
        <w:rPr>
          <w:spacing w:val="-14"/>
        </w:rPr>
        <w:t xml:space="preserve"> </w:t>
      </w:r>
      <w:r>
        <w:t>lines</w:t>
      </w:r>
      <w:r>
        <w:rPr>
          <w:spacing w:val="-14"/>
        </w:rPr>
        <w:t xml:space="preserve"> </w:t>
      </w:r>
      <w:r>
        <w:t>between</w:t>
      </w:r>
      <w:r>
        <w:rPr>
          <w:spacing w:val="-14"/>
        </w:rPr>
        <w:t xml:space="preserve"> </w:t>
      </w:r>
      <w:r>
        <w:t>Strathfield</w:t>
      </w:r>
      <w:r>
        <w:rPr>
          <w:spacing w:val="-14"/>
        </w:rPr>
        <w:t xml:space="preserve"> </w:t>
      </w:r>
      <w:r>
        <w:t>and the</w:t>
      </w:r>
      <w:r>
        <w:rPr>
          <w:spacing w:val="-14"/>
        </w:rPr>
        <w:t xml:space="preserve"> </w:t>
      </w:r>
      <w:r>
        <w:t>City</w:t>
      </w:r>
      <w:r>
        <w:rPr>
          <w:spacing w:val="-14"/>
        </w:rPr>
        <w:t xml:space="preserve"> </w:t>
      </w:r>
      <w:r>
        <w:t>could</w:t>
      </w:r>
      <w:r>
        <w:rPr>
          <w:spacing w:val="-14"/>
        </w:rPr>
        <w:t xml:space="preserve"> </w:t>
      </w:r>
      <w:r>
        <w:t>be</w:t>
      </w:r>
      <w:r>
        <w:rPr>
          <w:spacing w:val="-14"/>
        </w:rPr>
        <w:t xml:space="preserve"> </w:t>
      </w:r>
      <w:r>
        <w:t>exclusively</w:t>
      </w:r>
      <w:r>
        <w:rPr>
          <w:spacing w:val="-14"/>
        </w:rPr>
        <w:t xml:space="preserve"> </w:t>
      </w:r>
      <w:r>
        <w:t>used</w:t>
      </w:r>
      <w:r>
        <w:rPr>
          <w:spacing w:val="-14"/>
        </w:rPr>
        <w:t xml:space="preserve"> </w:t>
      </w:r>
      <w:r>
        <w:t>as</w:t>
      </w:r>
      <w:r>
        <w:rPr>
          <w:spacing w:val="-14"/>
        </w:rPr>
        <w:t xml:space="preserve"> </w:t>
      </w:r>
      <w:r>
        <w:t>express</w:t>
      </w:r>
      <w:r>
        <w:rPr>
          <w:spacing w:val="-14"/>
        </w:rPr>
        <w:t xml:space="preserve"> </w:t>
      </w:r>
      <w:r>
        <w:t>lines.</w:t>
      </w:r>
    </w:p>
    <w:p w:rsidR="002C1123" w:rsidRDefault="00F22F94">
      <w:pPr>
        <w:pStyle w:val="BodyText"/>
        <w:spacing w:before="3" w:line="249" w:lineRule="auto"/>
        <w:ind w:left="213" w:right="170"/>
      </w:pPr>
      <w:r>
        <w:rPr>
          <w:w w:val="95"/>
        </w:rPr>
        <w:t>This would mean faster and more frequent services to the</w:t>
      </w:r>
      <w:r>
        <w:rPr>
          <w:spacing w:val="-4"/>
          <w:w w:val="95"/>
        </w:rPr>
        <w:t xml:space="preserve"> </w:t>
      </w:r>
      <w:r>
        <w:rPr>
          <w:w w:val="95"/>
        </w:rPr>
        <w:t>CBD</w:t>
      </w:r>
      <w:r>
        <w:rPr>
          <w:spacing w:val="-4"/>
          <w:w w:val="95"/>
        </w:rPr>
        <w:t xml:space="preserve"> </w:t>
      </w:r>
      <w:r>
        <w:rPr>
          <w:w w:val="95"/>
        </w:rPr>
        <w:t>for</w:t>
      </w:r>
      <w:r>
        <w:rPr>
          <w:spacing w:val="-4"/>
          <w:w w:val="95"/>
        </w:rPr>
        <w:t xml:space="preserve"> </w:t>
      </w:r>
      <w:r>
        <w:rPr>
          <w:w w:val="95"/>
        </w:rPr>
        <w:t>passengers</w:t>
      </w:r>
      <w:r>
        <w:rPr>
          <w:spacing w:val="-4"/>
          <w:w w:val="95"/>
        </w:rPr>
        <w:t xml:space="preserve"> </w:t>
      </w:r>
      <w:r>
        <w:rPr>
          <w:w w:val="95"/>
        </w:rPr>
        <w:t>on</w:t>
      </w:r>
      <w:r>
        <w:rPr>
          <w:spacing w:val="-4"/>
          <w:w w:val="95"/>
        </w:rPr>
        <w:t xml:space="preserve"> </w:t>
      </w:r>
      <w:r>
        <w:rPr>
          <w:w w:val="95"/>
        </w:rPr>
        <w:t>the</w:t>
      </w:r>
      <w:r>
        <w:rPr>
          <w:spacing w:val="-4"/>
          <w:w w:val="95"/>
        </w:rPr>
        <w:t xml:space="preserve"> </w:t>
      </w:r>
      <w:r>
        <w:rPr>
          <w:w w:val="95"/>
        </w:rPr>
        <w:t>Western,</w:t>
      </w:r>
      <w:r>
        <w:rPr>
          <w:spacing w:val="-4"/>
          <w:w w:val="95"/>
        </w:rPr>
        <w:t xml:space="preserve"> </w:t>
      </w:r>
      <w:r>
        <w:rPr>
          <w:w w:val="95"/>
        </w:rPr>
        <w:t>Northern</w:t>
      </w:r>
      <w:r>
        <w:rPr>
          <w:spacing w:val="-4"/>
          <w:w w:val="95"/>
        </w:rPr>
        <w:t xml:space="preserve"> </w:t>
      </w:r>
      <w:r>
        <w:rPr>
          <w:w w:val="95"/>
        </w:rPr>
        <w:t xml:space="preserve">and </w:t>
      </w:r>
      <w:r>
        <w:t>South</w:t>
      </w:r>
      <w:r>
        <w:rPr>
          <w:spacing w:val="-11"/>
        </w:rPr>
        <w:t xml:space="preserve"> </w:t>
      </w:r>
      <w:r>
        <w:t>Lines.</w:t>
      </w:r>
    </w:p>
    <w:p w:rsidR="002C1123" w:rsidRDefault="00F22F94">
      <w:pPr>
        <w:pStyle w:val="BodyText"/>
        <w:spacing w:before="106"/>
        <w:ind w:left="204"/>
      </w:pPr>
      <w:r>
        <w:br w:type="column"/>
      </w:r>
      <w:r>
        <w:rPr>
          <w:w w:val="95"/>
        </w:rPr>
        <w:t>Based</w:t>
      </w:r>
      <w:r>
        <w:rPr>
          <w:spacing w:val="-4"/>
          <w:w w:val="95"/>
        </w:rPr>
        <w:t xml:space="preserve"> </w:t>
      </w:r>
      <w:r>
        <w:rPr>
          <w:w w:val="95"/>
        </w:rPr>
        <w:t>on</w:t>
      </w:r>
      <w:r>
        <w:rPr>
          <w:spacing w:val="-4"/>
          <w:w w:val="95"/>
        </w:rPr>
        <w:t xml:space="preserve"> </w:t>
      </w:r>
      <w:r>
        <w:rPr>
          <w:w w:val="95"/>
        </w:rPr>
        <w:t>an</w:t>
      </w:r>
      <w:r>
        <w:rPr>
          <w:spacing w:val="-3"/>
          <w:w w:val="95"/>
        </w:rPr>
        <w:t xml:space="preserve"> </w:t>
      </w:r>
      <w:r>
        <w:rPr>
          <w:w w:val="95"/>
        </w:rPr>
        <w:t>initial</w:t>
      </w:r>
      <w:r>
        <w:rPr>
          <w:spacing w:val="-4"/>
          <w:w w:val="95"/>
        </w:rPr>
        <w:t xml:space="preserve"> </w:t>
      </w:r>
      <w:r>
        <w:rPr>
          <w:w w:val="95"/>
        </w:rPr>
        <w:t>scoping,</w:t>
      </w:r>
      <w:r>
        <w:rPr>
          <w:spacing w:val="-3"/>
          <w:w w:val="95"/>
        </w:rPr>
        <w:t xml:space="preserve"> </w:t>
      </w:r>
      <w:r>
        <w:rPr>
          <w:w w:val="95"/>
        </w:rPr>
        <w:t>this</w:t>
      </w:r>
      <w:r>
        <w:rPr>
          <w:spacing w:val="-4"/>
          <w:w w:val="95"/>
        </w:rPr>
        <w:t xml:space="preserve"> </w:t>
      </w:r>
      <w:r>
        <w:rPr>
          <w:w w:val="95"/>
        </w:rPr>
        <w:t>scheme</w:t>
      </w:r>
      <w:r>
        <w:rPr>
          <w:spacing w:val="-4"/>
          <w:w w:val="95"/>
        </w:rPr>
        <w:t xml:space="preserve"> </w:t>
      </w:r>
      <w:r>
        <w:rPr>
          <w:w w:val="95"/>
        </w:rPr>
        <w:t>would</w:t>
      </w:r>
      <w:r>
        <w:rPr>
          <w:spacing w:val="-3"/>
          <w:w w:val="95"/>
        </w:rPr>
        <w:t xml:space="preserve"> </w:t>
      </w:r>
      <w:r>
        <w:rPr>
          <w:spacing w:val="-2"/>
          <w:w w:val="95"/>
        </w:rPr>
        <w:t>require:</w:t>
      </w:r>
    </w:p>
    <w:p w:rsidR="002C1123" w:rsidRDefault="00F22F94">
      <w:pPr>
        <w:pStyle w:val="ListParagraph"/>
        <w:numPr>
          <w:ilvl w:val="3"/>
          <w:numId w:val="86"/>
        </w:numPr>
        <w:tabs>
          <w:tab w:val="left" w:pos="488"/>
        </w:tabs>
        <w:spacing w:before="140" w:line="249" w:lineRule="auto"/>
        <w:ind w:left="487" w:right="816"/>
        <w:rPr>
          <w:sz w:val="20"/>
        </w:rPr>
      </w:pPr>
      <w:r>
        <w:rPr>
          <w:w w:val="95"/>
          <w:sz w:val="20"/>
        </w:rPr>
        <w:t>re-signalling</w:t>
      </w:r>
      <w:r>
        <w:rPr>
          <w:spacing w:val="-3"/>
          <w:w w:val="95"/>
          <w:sz w:val="20"/>
        </w:rPr>
        <w:t xml:space="preserve"> </w:t>
      </w:r>
      <w:r>
        <w:rPr>
          <w:w w:val="95"/>
          <w:sz w:val="20"/>
        </w:rPr>
        <w:t>of</w:t>
      </w:r>
      <w:r>
        <w:rPr>
          <w:spacing w:val="-3"/>
          <w:w w:val="95"/>
          <w:sz w:val="20"/>
        </w:rPr>
        <w:t xml:space="preserve"> </w:t>
      </w:r>
      <w:r>
        <w:rPr>
          <w:w w:val="95"/>
          <w:sz w:val="20"/>
        </w:rPr>
        <w:t>the</w:t>
      </w:r>
      <w:r>
        <w:rPr>
          <w:spacing w:val="-3"/>
          <w:w w:val="95"/>
          <w:sz w:val="20"/>
        </w:rPr>
        <w:t xml:space="preserve"> </w:t>
      </w:r>
      <w:r>
        <w:rPr>
          <w:w w:val="95"/>
          <w:sz w:val="20"/>
        </w:rPr>
        <w:t>North</w:t>
      </w:r>
      <w:r>
        <w:rPr>
          <w:spacing w:val="-3"/>
          <w:w w:val="95"/>
          <w:sz w:val="20"/>
        </w:rPr>
        <w:t xml:space="preserve"> </w:t>
      </w:r>
      <w:r>
        <w:rPr>
          <w:w w:val="95"/>
          <w:sz w:val="20"/>
        </w:rPr>
        <w:t>Shore,</w:t>
      </w:r>
      <w:r>
        <w:rPr>
          <w:spacing w:val="-3"/>
          <w:w w:val="95"/>
          <w:sz w:val="20"/>
        </w:rPr>
        <w:t xml:space="preserve"> </w:t>
      </w:r>
      <w:r>
        <w:rPr>
          <w:w w:val="95"/>
          <w:sz w:val="20"/>
        </w:rPr>
        <w:t>Harbour</w:t>
      </w:r>
      <w:r>
        <w:rPr>
          <w:spacing w:val="-3"/>
          <w:w w:val="95"/>
          <w:sz w:val="20"/>
        </w:rPr>
        <w:t xml:space="preserve"> </w:t>
      </w:r>
      <w:r>
        <w:rPr>
          <w:w w:val="95"/>
          <w:sz w:val="20"/>
        </w:rPr>
        <w:t>Bridge</w:t>
      </w:r>
      <w:r>
        <w:rPr>
          <w:spacing w:val="-3"/>
          <w:w w:val="95"/>
          <w:sz w:val="20"/>
        </w:rPr>
        <w:t xml:space="preserve"> </w:t>
      </w:r>
      <w:r>
        <w:rPr>
          <w:w w:val="95"/>
          <w:sz w:val="20"/>
        </w:rPr>
        <w:t xml:space="preserve">and </w:t>
      </w:r>
      <w:r>
        <w:rPr>
          <w:sz w:val="20"/>
        </w:rPr>
        <w:t>Inner West Lines</w:t>
      </w:r>
    </w:p>
    <w:p w:rsidR="002C1123" w:rsidRDefault="00F22F94">
      <w:pPr>
        <w:pStyle w:val="ListParagraph"/>
        <w:numPr>
          <w:ilvl w:val="3"/>
          <w:numId w:val="86"/>
        </w:numPr>
        <w:tabs>
          <w:tab w:val="left" w:pos="488"/>
        </w:tabs>
        <w:spacing w:before="130" w:line="249" w:lineRule="auto"/>
        <w:ind w:left="487" w:right="1339"/>
        <w:rPr>
          <w:sz w:val="20"/>
        </w:rPr>
      </w:pPr>
      <w:r>
        <w:rPr>
          <w:w w:val="95"/>
          <w:sz w:val="20"/>
        </w:rPr>
        <w:t>junction</w:t>
      </w:r>
      <w:r>
        <w:rPr>
          <w:spacing w:val="-6"/>
          <w:w w:val="95"/>
          <w:sz w:val="20"/>
        </w:rPr>
        <w:t xml:space="preserve"> </w:t>
      </w:r>
      <w:r>
        <w:rPr>
          <w:w w:val="95"/>
          <w:sz w:val="20"/>
        </w:rPr>
        <w:t>remodelling</w:t>
      </w:r>
      <w:r>
        <w:rPr>
          <w:spacing w:val="-6"/>
          <w:w w:val="95"/>
          <w:sz w:val="20"/>
        </w:rPr>
        <w:t xml:space="preserve"> </w:t>
      </w:r>
      <w:r>
        <w:rPr>
          <w:w w:val="95"/>
          <w:sz w:val="20"/>
        </w:rPr>
        <w:t>outside</w:t>
      </w:r>
      <w:r>
        <w:rPr>
          <w:spacing w:val="-6"/>
          <w:w w:val="95"/>
          <w:sz w:val="20"/>
        </w:rPr>
        <w:t xml:space="preserve"> </w:t>
      </w:r>
      <w:r>
        <w:rPr>
          <w:w w:val="95"/>
          <w:sz w:val="20"/>
        </w:rPr>
        <w:t>Central</w:t>
      </w:r>
      <w:r>
        <w:rPr>
          <w:spacing w:val="-6"/>
          <w:w w:val="95"/>
          <w:sz w:val="20"/>
        </w:rPr>
        <w:t xml:space="preserve"> </w:t>
      </w:r>
      <w:r>
        <w:rPr>
          <w:w w:val="95"/>
          <w:sz w:val="20"/>
        </w:rPr>
        <w:t>to</w:t>
      </w:r>
      <w:r>
        <w:rPr>
          <w:spacing w:val="-6"/>
          <w:w w:val="95"/>
          <w:sz w:val="20"/>
        </w:rPr>
        <w:t xml:space="preserve"> </w:t>
      </w:r>
      <w:r>
        <w:rPr>
          <w:w w:val="95"/>
          <w:sz w:val="20"/>
        </w:rPr>
        <w:t>link</w:t>
      </w:r>
      <w:r>
        <w:rPr>
          <w:spacing w:val="-6"/>
          <w:w w:val="95"/>
          <w:sz w:val="20"/>
        </w:rPr>
        <w:t xml:space="preserve"> </w:t>
      </w:r>
      <w:r>
        <w:rPr>
          <w:w w:val="95"/>
          <w:sz w:val="20"/>
        </w:rPr>
        <w:t xml:space="preserve">the </w:t>
      </w:r>
      <w:r>
        <w:rPr>
          <w:sz w:val="20"/>
        </w:rPr>
        <w:t>Harbour</w:t>
      </w:r>
      <w:r>
        <w:rPr>
          <w:spacing w:val="-4"/>
          <w:sz w:val="20"/>
        </w:rPr>
        <w:t xml:space="preserve"> </w:t>
      </w:r>
      <w:r>
        <w:rPr>
          <w:sz w:val="20"/>
        </w:rPr>
        <w:t>Bridge</w:t>
      </w:r>
      <w:r>
        <w:rPr>
          <w:spacing w:val="-4"/>
          <w:sz w:val="20"/>
        </w:rPr>
        <w:t xml:space="preserve"> </w:t>
      </w:r>
      <w:r>
        <w:rPr>
          <w:sz w:val="20"/>
        </w:rPr>
        <w:t>and</w:t>
      </w:r>
      <w:r>
        <w:rPr>
          <w:spacing w:val="-4"/>
          <w:sz w:val="20"/>
        </w:rPr>
        <w:t xml:space="preserve"> </w:t>
      </w:r>
      <w:r>
        <w:rPr>
          <w:sz w:val="20"/>
        </w:rPr>
        <w:t>Inner</w:t>
      </w:r>
      <w:r>
        <w:rPr>
          <w:spacing w:val="-4"/>
          <w:sz w:val="20"/>
        </w:rPr>
        <w:t xml:space="preserve"> </w:t>
      </w:r>
      <w:r>
        <w:rPr>
          <w:sz w:val="20"/>
        </w:rPr>
        <w:t>West</w:t>
      </w:r>
      <w:r>
        <w:rPr>
          <w:spacing w:val="-4"/>
          <w:sz w:val="20"/>
        </w:rPr>
        <w:t xml:space="preserve"> </w:t>
      </w:r>
      <w:r>
        <w:rPr>
          <w:sz w:val="20"/>
        </w:rPr>
        <w:t>Lines</w:t>
      </w:r>
    </w:p>
    <w:p w:rsidR="002C1123" w:rsidRDefault="00F22F94">
      <w:pPr>
        <w:pStyle w:val="ListParagraph"/>
        <w:numPr>
          <w:ilvl w:val="3"/>
          <w:numId w:val="86"/>
        </w:numPr>
        <w:tabs>
          <w:tab w:val="left" w:pos="488"/>
        </w:tabs>
        <w:spacing w:before="130"/>
        <w:ind w:left="488"/>
        <w:rPr>
          <w:sz w:val="20"/>
        </w:rPr>
      </w:pPr>
      <w:r>
        <w:rPr>
          <w:w w:val="95"/>
          <w:sz w:val="20"/>
        </w:rPr>
        <w:t>new</w:t>
      </w:r>
      <w:r>
        <w:rPr>
          <w:spacing w:val="-8"/>
          <w:w w:val="95"/>
          <w:sz w:val="20"/>
        </w:rPr>
        <w:t xml:space="preserve"> </w:t>
      </w:r>
      <w:r>
        <w:rPr>
          <w:w w:val="95"/>
          <w:sz w:val="20"/>
        </w:rPr>
        <w:t>single</w:t>
      </w:r>
      <w:r>
        <w:rPr>
          <w:spacing w:val="-7"/>
          <w:w w:val="95"/>
          <w:sz w:val="20"/>
        </w:rPr>
        <w:t xml:space="preserve"> </w:t>
      </w:r>
      <w:r>
        <w:rPr>
          <w:w w:val="95"/>
          <w:sz w:val="20"/>
        </w:rPr>
        <w:t>deck</w:t>
      </w:r>
      <w:r>
        <w:rPr>
          <w:spacing w:val="-7"/>
          <w:w w:val="95"/>
          <w:sz w:val="20"/>
        </w:rPr>
        <w:t xml:space="preserve"> </w:t>
      </w:r>
      <w:r>
        <w:rPr>
          <w:w w:val="95"/>
          <w:sz w:val="20"/>
        </w:rPr>
        <w:t>rolling</w:t>
      </w:r>
      <w:r>
        <w:rPr>
          <w:spacing w:val="-7"/>
          <w:w w:val="95"/>
          <w:sz w:val="20"/>
        </w:rPr>
        <w:t xml:space="preserve"> </w:t>
      </w:r>
      <w:r>
        <w:rPr>
          <w:spacing w:val="-4"/>
          <w:w w:val="95"/>
          <w:sz w:val="20"/>
        </w:rPr>
        <w:t>stock</w:t>
      </w:r>
    </w:p>
    <w:p w:rsidR="002C1123" w:rsidRDefault="00F22F94">
      <w:pPr>
        <w:pStyle w:val="ListParagraph"/>
        <w:numPr>
          <w:ilvl w:val="3"/>
          <w:numId w:val="86"/>
        </w:numPr>
        <w:tabs>
          <w:tab w:val="left" w:pos="488"/>
        </w:tabs>
        <w:spacing w:before="140" w:line="249" w:lineRule="auto"/>
        <w:ind w:left="487" w:right="782"/>
        <w:jc w:val="both"/>
        <w:rPr>
          <w:sz w:val="20"/>
        </w:rPr>
      </w:pPr>
      <w:r>
        <w:rPr>
          <w:w w:val="95"/>
          <w:sz w:val="20"/>
        </w:rPr>
        <w:t>upgrades</w:t>
      </w:r>
      <w:r>
        <w:rPr>
          <w:spacing w:val="-9"/>
          <w:w w:val="95"/>
          <w:sz w:val="20"/>
        </w:rPr>
        <w:t xml:space="preserve"> </w:t>
      </w:r>
      <w:r>
        <w:rPr>
          <w:w w:val="95"/>
          <w:sz w:val="20"/>
        </w:rPr>
        <w:t>of</w:t>
      </w:r>
      <w:r>
        <w:rPr>
          <w:spacing w:val="-9"/>
          <w:w w:val="95"/>
          <w:sz w:val="20"/>
        </w:rPr>
        <w:t xml:space="preserve"> </w:t>
      </w:r>
      <w:r>
        <w:rPr>
          <w:w w:val="95"/>
          <w:sz w:val="20"/>
        </w:rPr>
        <w:t>Wynyard</w:t>
      </w:r>
      <w:r>
        <w:rPr>
          <w:spacing w:val="-9"/>
          <w:w w:val="95"/>
          <w:sz w:val="20"/>
        </w:rPr>
        <w:t xml:space="preserve"> </w:t>
      </w:r>
      <w:r>
        <w:rPr>
          <w:w w:val="95"/>
          <w:sz w:val="20"/>
        </w:rPr>
        <w:t>and</w:t>
      </w:r>
      <w:r>
        <w:rPr>
          <w:spacing w:val="-9"/>
          <w:w w:val="95"/>
          <w:sz w:val="20"/>
        </w:rPr>
        <w:t xml:space="preserve"> </w:t>
      </w:r>
      <w:r>
        <w:rPr>
          <w:w w:val="95"/>
          <w:sz w:val="20"/>
        </w:rPr>
        <w:t>Town</w:t>
      </w:r>
      <w:r>
        <w:rPr>
          <w:spacing w:val="-9"/>
          <w:w w:val="95"/>
          <w:sz w:val="20"/>
        </w:rPr>
        <w:t xml:space="preserve"> </w:t>
      </w:r>
      <w:r>
        <w:rPr>
          <w:w w:val="95"/>
          <w:sz w:val="20"/>
        </w:rPr>
        <w:t>Hall</w:t>
      </w:r>
      <w:r>
        <w:rPr>
          <w:spacing w:val="-9"/>
          <w:w w:val="95"/>
          <w:sz w:val="20"/>
        </w:rPr>
        <w:t xml:space="preserve"> </w:t>
      </w:r>
      <w:r>
        <w:rPr>
          <w:w w:val="95"/>
          <w:sz w:val="20"/>
        </w:rPr>
        <w:t>interchanges</w:t>
      </w:r>
      <w:r>
        <w:rPr>
          <w:spacing w:val="-9"/>
          <w:w w:val="95"/>
          <w:sz w:val="20"/>
        </w:rPr>
        <w:t xml:space="preserve"> </w:t>
      </w:r>
      <w:r>
        <w:rPr>
          <w:w w:val="95"/>
          <w:sz w:val="20"/>
        </w:rPr>
        <w:t>as part</w:t>
      </w:r>
      <w:r>
        <w:rPr>
          <w:spacing w:val="-4"/>
          <w:w w:val="95"/>
          <w:sz w:val="20"/>
        </w:rPr>
        <w:t xml:space="preserve"> </w:t>
      </w:r>
      <w:r>
        <w:rPr>
          <w:w w:val="95"/>
          <w:sz w:val="20"/>
        </w:rPr>
        <w:t>of</w:t>
      </w:r>
      <w:r>
        <w:rPr>
          <w:spacing w:val="-4"/>
          <w:w w:val="95"/>
          <w:sz w:val="20"/>
        </w:rPr>
        <w:t xml:space="preserve"> </w:t>
      </w:r>
      <w:r>
        <w:rPr>
          <w:w w:val="95"/>
          <w:sz w:val="20"/>
        </w:rPr>
        <w:t>the</w:t>
      </w:r>
      <w:r>
        <w:rPr>
          <w:spacing w:val="-4"/>
          <w:w w:val="95"/>
          <w:sz w:val="20"/>
        </w:rPr>
        <w:t xml:space="preserve"> </w:t>
      </w:r>
      <w:r>
        <w:rPr>
          <w:w w:val="95"/>
          <w:sz w:val="20"/>
        </w:rPr>
        <w:t>CBD</w:t>
      </w:r>
      <w:r>
        <w:rPr>
          <w:spacing w:val="-4"/>
          <w:w w:val="95"/>
          <w:sz w:val="20"/>
        </w:rPr>
        <w:t xml:space="preserve"> </w:t>
      </w:r>
      <w:r>
        <w:rPr>
          <w:w w:val="95"/>
          <w:sz w:val="20"/>
        </w:rPr>
        <w:t>Transit</w:t>
      </w:r>
      <w:r>
        <w:rPr>
          <w:spacing w:val="-4"/>
          <w:w w:val="95"/>
          <w:sz w:val="20"/>
        </w:rPr>
        <w:t xml:space="preserve"> </w:t>
      </w:r>
      <w:r>
        <w:rPr>
          <w:w w:val="95"/>
          <w:sz w:val="20"/>
        </w:rPr>
        <w:t>Improvement</w:t>
      </w:r>
      <w:r>
        <w:rPr>
          <w:spacing w:val="-4"/>
          <w:w w:val="95"/>
          <w:sz w:val="20"/>
        </w:rPr>
        <w:t xml:space="preserve"> </w:t>
      </w:r>
      <w:r>
        <w:rPr>
          <w:w w:val="95"/>
          <w:sz w:val="20"/>
        </w:rPr>
        <w:t>Plan</w:t>
      </w:r>
      <w:r>
        <w:rPr>
          <w:spacing w:val="-4"/>
          <w:w w:val="95"/>
          <w:sz w:val="20"/>
        </w:rPr>
        <w:t xml:space="preserve"> </w:t>
      </w:r>
      <w:r>
        <w:rPr>
          <w:w w:val="95"/>
          <w:sz w:val="20"/>
        </w:rPr>
        <w:t xml:space="preserve">discussed </w:t>
      </w:r>
      <w:r>
        <w:rPr>
          <w:sz w:val="20"/>
        </w:rPr>
        <w:t>in Section 7.</w:t>
      </w:r>
    </w:p>
    <w:p w:rsidR="002C1123" w:rsidRDefault="00F22F94">
      <w:pPr>
        <w:pStyle w:val="BodyText"/>
        <w:spacing w:before="144" w:line="249" w:lineRule="auto"/>
        <w:ind w:left="204" w:right="576"/>
      </w:pPr>
      <w:r>
        <w:t>Reconfiguring</w:t>
      </w:r>
      <w:r>
        <w:rPr>
          <w:spacing w:val="-11"/>
        </w:rPr>
        <w:t xml:space="preserve"> </w:t>
      </w:r>
      <w:r>
        <w:t>the</w:t>
      </w:r>
      <w:r>
        <w:rPr>
          <w:spacing w:val="-11"/>
        </w:rPr>
        <w:t xml:space="preserve"> </w:t>
      </w:r>
      <w:r>
        <w:t>network</w:t>
      </w:r>
      <w:r>
        <w:rPr>
          <w:spacing w:val="-11"/>
        </w:rPr>
        <w:t xml:space="preserve"> </w:t>
      </w:r>
      <w:r>
        <w:t>in</w:t>
      </w:r>
      <w:r>
        <w:rPr>
          <w:spacing w:val="-11"/>
        </w:rPr>
        <w:t xml:space="preserve"> </w:t>
      </w:r>
      <w:r>
        <w:t>this</w:t>
      </w:r>
      <w:r>
        <w:rPr>
          <w:spacing w:val="-11"/>
        </w:rPr>
        <w:t xml:space="preserve"> </w:t>
      </w:r>
      <w:r>
        <w:t>way</w:t>
      </w:r>
      <w:r>
        <w:rPr>
          <w:spacing w:val="-11"/>
        </w:rPr>
        <w:t xml:space="preserve"> </w:t>
      </w:r>
      <w:r>
        <w:t>is</w:t>
      </w:r>
      <w:r>
        <w:rPr>
          <w:spacing w:val="-11"/>
        </w:rPr>
        <w:t xml:space="preserve"> </w:t>
      </w:r>
      <w:r>
        <w:t>a</w:t>
      </w:r>
      <w:r>
        <w:rPr>
          <w:spacing w:val="-11"/>
        </w:rPr>
        <w:t xml:space="preserve"> </w:t>
      </w:r>
      <w:r>
        <w:t>complex matter</w:t>
      </w:r>
      <w:r>
        <w:rPr>
          <w:spacing w:val="-8"/>
        </w:rPr>
        <w:t xml:space="preserve"> </w:t>
      </w:r>
      <w:r>
        <w:t>and</w:t>
      </w:r>
      <w:r>
        <w:rPr>
          <w:spacing w:val="-8"/>
        </w:rPr>
        <w:t xml:space="preserve"> </w:t>
      </w:r>
      <w:r>
        <w:t>careful</w:t>
      </w:r>
      <w:r>
        <w:rPr>
          <w:spacing w:val="-8"/>
        </w:rPr>
        <w:t xml:space="preserve"> </w:t>
      </w:r>
      <w:r>
        <w:t>attention</w:t>
      </w:r>
      <w:r>
        <w:rPr>
          <w:spacing w:val="-8"/>
        </w:rPr>
        <w:t xml:space="preserve"> </w:t>
      </w:r>
      <w:r>
        <w:t>must</w:t>
      </w:r>
      <w:r>
        <w:rPr>
          <w:spacing w:val="-8"/>
        </w:rPr>
        <w:t xml:space="preserve"> </w:t>
      </w:r>
      <w:r>
        <w:t>be</w:t>
      </w:r>
      <w:r>
        <w:rPr>
          <w:spacing w:val="-8"/>
        </w:rPr>
        <w:t xml:space="preserve"> </w:t>
      </w:r>
      <w:r>
        <w:t>paid</w:t>
      </w:r>
      <w:r>
        <w:rPr>
          <w:spacing w:val="-8"/>
        </w:rPr>
        <w:t xml:space="preserve"> </w:t>
      </w:r>
      <w:r>
        <w:t>to</w:t>
      </w:r>
      <w:r>
        <w:rPr>
          <w:spacing w:val="-8"/>
        </w:rPr>
        <w:t xml:space="preserve"> </w:t>
      </w:r>
      <w:r>
        <w:t xml:space="preserve">disruption </w:t>
      </w:r>
      <w:r>
        <w:rPr>
          <w:w w:val="95"/>
        </w:rPr>
        <w:t>impacts.</w:t>
      </w:r>
      <w:r>
        <w:rPr>
          <w:spacing w:val="-7"/>
          <w:w w:val="95"/>
        </w:rPr>
        <w:t xml:space="preserve"> </w:t>
      </w:r>
      <w:r>
        <w:rPr>
          <w:w w:val="95"/>
        </w:rPr>
        <w:t>However,</w:t>
      </w:r>
      <w:r>
        <w:rPr>
          <w:spacing w:val="-7"/>
          <w:w w:val="95"/>
        </w:rPr>
        <w:t xml:space="preserve"> </w:t>
      </w:r>
      <w:r>
        <w:rPr>
          <w:w w:val="95"/>
        </w:rPr>
        <w:t>the</w:t>
      </w:r>
      <w:r>
        <w:rPr>
          <w:spacing w:val="-7"/>
          <w:w w:val="95"/>
        </w:rPr>
        <w:t xml:space="preserve"> </w:t>
      </w:r>
      <w:r>
        <w:rPr>
          <w:w w:val="95"/>
        </w:rPr>
        <w:t>delivery</w:t>
      </w:r>
      <w:r>
        <w:rPr>
          <w:spacing w:val="-7"/>
          <w:w w:val="95"/>
        </w:rPr>
        <w:t xml:space="preserve"> </w:t>
      </w:r>
      <w:r>
        <w:rPr>
          <w:w w:val="95"/>
        </w:rPr>
        <w:t>of</w:t>
      </w:r>
      <w:r>
        <w:rPr>
          <w:spacing w:val="-7"/>
          <w:w w:val="95"/>
        </w:rPr>
        <w:t xml:space="preserve"> </w:t>
      </w:r>
      <w:r>
        <w:rPr>
          <w:w w:val="95"/>
        </w:rPr>
        <w:t>the</w:t>
      </w:r>
      <w:r>
        <w:rPr>
          <w:spacing w:val="-7"/>
          <w:w w:val="95"/>
        </w:rPr>
        <w:t xml:space="preserve"> </w:t>
      </w:r>
      <w:r>
        <w:rPr>
          <w:w w:val="95"/>
        </w:rPr>
        <w:t>Thameslink</w:t>
      </w:r>
      <w:r>
        <w:rPr>
          <w:spacing w:val="-7"/>
          <w:w w:val="95"/>
        </w:rPr>
        <w:t xml:space="preserve"> </w:t>
      </w:r>
      <w:r>
        <w:rPr>
          <w:w w:val="95"/>
        </w:rPr>
        <w:t xml:space="preserve">project </w:t>
      </w:r>
      <w:r>
        <w:t>through</w:t>
      </w:r>
      <w:r>
        <w:rPr>
          <w:spacing w:val="-3"/>
        </w:rPr>
        <w:t xml:space="preserve"> </w:t>
      </w:r>
      <w:r>
        <w:t>central</w:t>
      </w:r>
      <w:r>
        <w:rPr>
          <w:spacing w:val="-3"/>
        </w:rPr>
        <w:t xml:space="preserve"> </w:t>
      </w:r>
      <w:r>
        <w:t>London</w:t>
      </w:r>
      <w:r>
        <w:rPr>
          <w:spacing w:val="-3"/>
        </w:rPr>
        <w:t xml:space="preserve"> </w:t>
      </w:r>
      <w:r>
        <w:t>shows</w:t>
      </w:r>
      <w:r>
        <w:rPr>
          <w:spacing w:val="-3"/>
        </w:rPr>
        <w:t xml:space="preserve"> </w:t>
      </w:r>
      <w:r>
        <w:t>that</w:t>
      </w:r>
      <w:r>
        <w:rPr>
          <w:spacing w:val="-3"/>
        </w:rPr>
        <w:t xml:space="preserve"> </w:t>
      </w:r>
      <w:r>
        <w:t>modernisation</w:t>
      </w:r>
    </w:p>
    <w:p w:rsidR="002C1123" w:rsidRDefault="00F22F94">
      <w:pPr>
        <w:pStyle w:val="BodyText"/>
        <w:spacing w:before="3" w:line="249" w:lineRule="auto"/>
        <w:ind w:left="204" w:right="942"/>
      </w:pPr>
      <w:r>
        <w:t>and</w:t>
      </w:r>
      <w:r>
        <w:rPr>
          <w:spacing w:val="-12"/>
        </w:rPr>
        <w:t xml:space="preserve"> </w:t>
      </w:r>
      <w:r>
        <w:t>expansion</w:t>
      </w:r>
      <w:r>
        <w:rPr>
          <w:spacing w:val="-12"/>
        </w:rPr>
        <w:t xml:space="preserve"> </w:t>
      </w:r>
      <w:r>
        <w:t>of</w:t>
      </w:r>
      <w:r>
        <w:rPr>
          <w:spacing w:val="-12"/>
        </w:rPr>
        <w:t xml:space="preserve"> </w:t>
      </w:r>
      <w:r>
        <w:t>an</w:t>
      </w:r>
      <w:r>
        <w:rPr>
          <w:spacing w:val="-12"/>
        </w:rPr>
        <w:t xml:space="preserve"> </w:t>
      </w:r>
      <w:r>
        <w:t>operating</w:t>
      </w:r>
      <w:r>
        <w:rPr>
          <w:spacing w:val="-12"/>
        </w:rPr>
        <w:t xml:space="preserve"> </w:t>
      </w:r>
      <w:r>
        <w:t>railway</w:t>
      </w:r>
      <w:r>
        <w:rPr>
          <w:spacing w:val="-12"/>
        </w:rPr>
        <w:t xml:space="preserve"> </w:t>
      </w:r>
      <w:r>
        <w:t>can</w:t>
      </w:r>
      <w:r>
        <w:rPr>
          <w:spacing w:val="-12"/>
        </w:rPr>
        <w:t xml:space="preserve"> </w:t>
      </w:r>
      <w:r>
        <w:t>be</w:t>
      </w:r>
      <w:r>
        <w:rPr>
          <w:spacing w:val="-12"/>
        </w:rPr>
        <w:t xml:space="preserve"> </w:t>
      </w:r>
      <w:r>
        <w:t xml:space="preserve">a </w:t>
      </w:r>
      <w:r>
        <w:rPr>
          <w:w w:val="95"/>
        </w:rPr>
        <w:t>viable</w:t>
      </w:r>
      <w:r>
        <w:rPr>
          <w:spacing w:val="-6"/>
          <w:w w:val="95"/>
        </w:rPr>
        <w:t xml:space="preserve"> </w:t>
      </w:r>
      <w:r>
        <w:rPr>
          <w:w w:val="95"/>
        </w:rPr>
        <w:t>alternative.</w:t>
      </w:r>
      <w:r>
        <w:rPr>
          <w:spacing w:val="-6"/>
          <w:w w:val="95"/>
        </w:rPr>
        <w:t xml:space="preserve"> </w:t>
      </w:r>
      <w:r>
        <w:rPr>
          <w:w w:val="95"/>
        </w:rPr>
        <w:t>A</w:t>
      </w:r>
      <w:r>
        <w:rPr>
          <w:spacing w:val="-6"/>
          <w:w w:val="95"/>
        </w:rPr>
        <w:t xml:space="preserve"> </w:t>
      </w:r>
      <w:r>
        <w:rPr>
          <w:w w:val="95"/>
        </w:rPr>
        <w:t>pre-condition</w:t>
      </w:r>
      <w:r>
        <w:rPr>
          <w:spacing w:val="-6"/>
          <w:w w:val="95"/>
        </w:rPr>
        <w:t xml:space="preserve"> </w:t>
      </w:r>
      <w:r>
        <w:rPr>
          <w:w w:val="95"/>
        </w:rPr>
        <w:t>for</w:t>
      </w:r>
      <w:r>
        <w:rPr>
          <w:spacing w:val="-6"/>
          <w:w w:val="95"/>
        </w:rPr>
        <w:t xml:space="preserve"> </w:t>
      </w:r>
      <w:r>
        <w:rPr>
          <w:w w:val="95"/>
        </w:rPr>
        <w:t>success</w:t>
      </w:r>
      <w:r>
        <w:rPr>
          <w:spacing w:val="-6"/>
          <w:w w:val="95"/>
        </w:rPr>
        <w:t xml:space="preserve"> </w:t>
      </w:r>
      <w:r>
        <w:rPr>
          <w:w w:val="95"/>
        </w:rPr>
        <w:t>will</w:t>
      </w:r>
      <w:r>
        <w:rPr>
          <w:spacing w:val="-6"/>
          <w:w w:val="95"/>
        </w:rPr>
        <w:t xml:space="preserve"> </w:t>
      </w:r>
      <w:r>
        <w:rPr>
          <w:w w:val="95"/>
        </w:rPr>
        <w:t>be</w:t>
      </w:r>
    </w:p>
    <w:p w:rsidR="002C1123" w:rsidRDefault="00F22F94">
      <w:pPr>
        <w:pStyle w:val="BodyText"/>
        <w:spacing w:before="2" w:line="249" w:lineRule="auto"/>
        <w:ind w:left="204" w:right="535"/>
      </w:pPr>
      <w:r>
        <w:rPr>
          <w:w w:val="95"/>
        </w:rPr>
        <w:t>completion</w:t>
      </w:r>
      <w:r>
        <w:rPr>
          <w:spacing w:val="-5"/>
          <w:w w:val="95"/>
        </w:rPr>
        <w:t xml:space="preserve"> </w:t>
      </w:r>
      <w:r>
        <w:rPr>
          <w:w w:val="95"/>
        </w:rPr>
        <w:t>of</w:t>
      </w:r>
      <w:r>
        <w:rPr>
          <w:spacing w:val="-5"/>
          <w:w w:val="95"/>
        </w:rPr>
        <w:t xml:space="preserve"> </w:t>
      </w:r>
      <w:r>
        <w:rPr>
          <w:w w:val="95"/>
        </w:rPr>
        <w:t>Transport</w:t>
      </w:r>
      <w:r>
        <w:rPr>
          <w:spacing w:val="-5"/>
          <w:w w:val="95"/>
        </w:rPr>
        <w:t xml:space="preserve"> </w:t>
      </w:r>
      <w:r>
        <w:rPr>
          <w:w w:val="95"/>
        </w:rPr>
        <w:t>for</w:t>
      </w:r>
      <w:r>
        <w:rPr>
          <w:spacing w:val="-5"/>
          <w:w w:val="95"/>
        </w:rPr>
        <w:t xml:space="preserve"> </w:t>
      </w:r>
      <w:r>
        <w:rPr>
          <w:w w:val="95"/>
        </w:rPr>
        <w:t>NSW’s</w:t>
      </w:r>
      <w:r>
        <w:rPr>
          <w:spacing w:val="-5"/>
          <w:w w:val="95"/>
        </w:rPr>
        <w:t xml:space="preserve"> </w:t>
      </w:r>
      <w:r>
        <w:rPr>
          <w:w w:val="95"/>
        </w:rPr>
        <w:t>reforms</w:t>
      </w:r>
      <w:r>
        <w:rPr>
          <w:spacing w:val="-5"/>
          <w:w w:val="95"/>
        </w:rPr>
        <w:t xml:space="preserve"> </w:t>
      </w:r>
      <w:r>
        <w:rPr>
          <w:w w:val="95"/>
        </w:rPr>
        <w:t>to</w:t>
      </w:r>
      <w:r>
        <w:rPr>
          <w:spacing w:val="-5"/>
          <w:w w:val="95"/>
        </w:rPr>
        <w:t xml:space="preserve"> </w:t>
      </w:r>
      <w:r>
        <w:rPr>
          <w:w w:val="95"/>
        </w:rPr>
        <w:t>establish</w:t>
      </w:r>
      <w:r>
        <w:rPr>
          <w:spacing w:val="-5"/>
          <w:w w:val="95"/>
        </w:rPr>
        <w:t xml:space="preserve"> </w:t>
      </w:r>
      <w:r>
        <w:rPr>
          <w:w w:val="95"/>
        </w:rPr>
        <w:t xml:space="preserve">a </w:t>
      </w:r>
      <w:r>
        <w:t>rail</w:t>
      </w:r>
      <w:r>
        <w:rPr>
          <w:spacing w:val="-12"/>
        </w:rPr>
        <w:t xml:space="preserve"> </w:t>
      </w:r>
      <w:r>
        <w:t>operation</w:t>
      </w:r>
      <w:r>
        <w:rPr>
          <w:spacing w:val="-12"/>
        </w:rPr>
        <w:t xml:space="preserve"> </w:t>
      </w:r>
      <w:r>
        <w:t>capable</w:t>
      </w:r>
      <w:r>
        <w:rPr>
          <w:spacing w:val="-12"/>
        </w:rPr>
        <w:t xml:space="preserve"> </w:t>
      </w:r>
      <w:r>
        <w:t>of</w:t>
      </w:r>
      <w:r>
        <w:rPr>
          <w:spacing w:val="-12"/>
        </w:rPr>
        <w:t xml:space="preserve"> </w:t>
      </w:r>
      <w:r>
        <w:t>managing</w:t>
      </w:r>
      <w:r>
        <w:rPr>
          <w:spacing w:val="-12"/>
        </w:rPr>
        <w:t xml:space="preserve"> </w:t>
      </w:r>
      <w:r>
        <w:t>major</w:t>
      </w:r>
      <w:r>
        <w:rPr>
          <w:spacing w:val="-12"/>
        </w:rPr>
        <w:t xml:space="preserve"> </w:t>
      </w:r>
      <w:r>
        <w:t>changes.</w:t>
      </w:r>
    </w:p>
    <w:p w:rsidR="002C1123" w:rsidRDefault="002060EF">
      <w:pPr>
        <w:pStyle w:val="BodyText"/>
        <w:spacing w:before="8"/>
        <w:rPr>
          <w:sz w:val="12"/>
        </w:rPr>
      </w:pPr>
      <w:r>
        <w:pict>
          <v:shape id="docshape1457" o:spid="_x0000_s3765" type="#_x0000_t202" style="position:absolute;margin-left:552.3pt;margin-top:8.5pt;width:240pt;height:81.35pt;z-index:-251374592;mso-wrap-distance-left:0;mso-wrap-distance-right:0;mso-position-horizontal-relative:page" fillcolor="#e1e0e1" stroked="f">
            <v:textbox inset="0,0,0,0">
              <w:txbxContent>
                <w:p w:rsidR="00F22F94" w:rsidRDefault="00F22F94">
                  <w:pPr>
                    <w:pStyle w:val="BodyText"/>
                    <w:spacing w:before="68" w:line="249" w:lineRule="auto"/>
                    <w:ind w:left="113" w:right="143"/>
                    <w:rPr>
                      <w:color w:val="000000"/>
                    </w:rPr>
                  </w:pPr>
                  <w:r w:rsidRPr="00F22F94">
                    <w:rPr>
                      <w:b/>
                      <w:color w:val="00AEEF"/>
                      <w:w w:val="95"/>
                      <w:highlight w:val="yellow"/>
                    </w:rPr>
                    <w:t>Recommendation</w:t>
                  </w:r>
                  <w:r w:rsidRPr="00F22F94">
                    <w:rPr>
                      <w:b/>
                      <w:color w:val="00AEEF"/>
                      <w:spacing w:val="40"/>
                      <w:highlight w:val="yellow"/>
                    </w:rPr>
                    <w:t xml:space="preserve"> </w:t>
                  </w:r>
                  <w:r w:rsidRPr="00F22F94">
                    <w:rPr>
                      <w:color w:val="000000"/>
                      <w:w w:val="95"/>
                      <w:highlight w:val="yellow"/>
                    </w:rPr>
                    <w:t xml:space="preserve">Infrastructure NSW recommends </w:t>
                  </w:r>
                  <w:r w:rsidRPr="00F22F94">
                    <w:rPr>
                      <w:color w:val="000000"/>
                      <w:highlight w:val="yellow"/>
                    </w:rPr>
                    <w:t>the</w:t>
                  </w:r>
                  <w:r w:rsidRPr="00F22F94">
                    <w:rPr>
                      <w:color w:val="000000"/>
                      <w:spacing w:val="-14"/>
                      <w:highlight w:val="yellow"/>
                    </w:rPr>
                    <w:t xml:space="preserve"> </w:t>
                  </w:r>
                  <w:r w:rsidRPr="00F22F94">
                    <w:rPr>
                      <w:color w:val="000000"/>
                      <w:highlight w:val="yellow"/>
                    </w:rPr>
                    <w:t>introduction</w:t>
                  </w:r>
                  <w:r w:rsidRPr="00F22F94">
                    <w:rPr>
                      <w:color w:val="000000"/>
                      <w:spacing w:val="-14"/>
                      <w:highlight w:val="yellow"/>
                    </w:rPr>
                    <w:t xml:space="preserve"> </w:t>
                  </w:r>
                  <w:r w:rsidRPr="00F22F94">
                    <w:rPr>
                      <w:color w:val="000000"/>
                      <w:highlight w:val="yellow"/>
                    </w:rPr>
                    <w:t>of</w:t>
                  </w:r>
                  <w:r w:rsidRPr="00F22F94">
                    <w:rPr>
                      <w:color w:val="000000"/>
                      <w:spacing w:val="-14"/>
                      <w:highlight w:val="yellow"/>
                    </w:rPr>
                    <w:t xml:space="preserve"> </w:t>
                  </w:r>
                  <w:r w:rsidRPr="00F22F94">
                    <w:rPr>
                      <w:color w:val="000000"/>
                      <w:highlight w:val="yellow"/>
                    </w:rPr>
                    <w:t>metro-style</w:t>
                  </w:r>
                  <w:r w:rsidRPr="00F22F94">
                    <w:rPr>
                      <w:color w:val="000000"/>
                      <w:spacing w:val="-14"/>
                      <w:highlight w:val="yellow"/>
                    </w:rPr>
                    <w:t xml:space="preserve"> </w:t>
                  </w:r>
                  <w:r w:rsidRPr="00F22F94">
                    <w:rPr>
                      <w:color w:val="000000"/>
                      <w:highlight w:val="yellow"/>
                    </w:rPr>
                    <w:t>rapid</w:t>
                  </w:r>
                  <w:r w:rsidRPr="00F22F94">
                    <w:rPr>
                      <w:color w:val="000000"/>
                      <w:spacing w:val="-14"/>
                      <w:highlight w:val="yellow"/>
                    </w:rPr>
                    <w:t xml:space="preserve"> </w:t>
                  </w:r>
                  <w:r w:rsidRPr="00F22F94">
                    <w:rPr>
                      <w:color w:val="000000"/>
                      <w:highlight w:val="yellow"/>
                    </w:rPr>
                    <w:t>transit</w:t>
                  </w:r>
                  <w:r w:rsidRPr="00F22F94">
                    <w:rPr>
                      <w:color w:val="000000"/>
                      <w:spacing w:val="-14"/>
                      <w:highlight w:val="yellow"/>
                    </w:rPr>
                    <w:t xml:space="preserve"> </w:t>
                  </w:r>
                  <w:r w:rsidRPr="00F22F94">
                    <w:rPr>
                      <w:color w:val="000000"/>
                      <w:highlight w:val="yellow"/>
                    </w:rPr>
                    <w:t>services between</w:t>
                  </w:r>
                  <w:r w:rsidRPr="00F22F94">
                    <w:rPr>
                      <w:color w:val="000000"/>
                      <w:spacing w:val="-14"/>
                      <w:highlight w:val="yellow"/>
                    </w:rPr>
                    <w:t xml:space="preserve"> </w:t>
                  </w:r>
                  <w:r w:rsidRPr="00F22F94">
                    <w:rPr>
                      <w:color w:val="000000"/>
                      <w:highlight w:val="yellow"/>
                    </w:rPr>
                    <w:t>Chatswood</w:t>
                  </w:r>
                  <w:r w:rsidRPr="00F22F94">
                    <w:rPr>
                      <w:color w:val="000000"/>
                      <w:spacing w:val="-14"/>
                      <w:highlight w:val="yellow"/>
                    </w:rPr>
                    <w:t xml:space="preserve"> </w:t>
                  </w:r>
                  <w:r w:rsidRPr="00F22F94">
                    <w:rPr>
                      <w:color w:val="000000"/>
                      <w:highlight w:val="yellow"/>
                    </w:rPr>
                    <w:t>and</w:t>
                  </w:r>
                  <w:r w:rsidRPr="00F22F94">
                    <w:rPr>
                      <w:color w:val="000000"/>
                      <w:spacing w:val="-14"/>
                      <w:highlight w:val="yellow"/>
                    </w:rPr>
                    <w:t xml:space="preserve"> </w:t>
                  </w:r>
                  <w:r w:rsidRPr="00F22F94">
                    <w:rPr>
                      <w:color w:val="000000"/>
                      <w:highlight w:val="yellow"/>
                    </w:rPr>
                    <w:t>Strathfield</w:t>
                  </w:r>
                  <w:r w:rsidRPr="00F22F94">
                    <w:rPr>
                      <w:color w:val="000000"/>
                      <w:spacing w:val="-14"/>
                      <w:highlight w:val="yellow"/>
                    </w:rPr>
                    <w:t xml:space="preserve"> </w:t>
                  </w:r>
                  <w:r w:rsidRPr="00F22F94">
                    <w:rPr>
                      <w:color w:val="000000"/>
                      <w:highlight w:val="yellow"/>
                    </w:rPr>
                    <w:t>via</w:t>
                  </w:r>
                  <w:r w:rsidRPr="00F22F94">
                    <w:rPr>
                      <w:color w:val="000000"/>
                      <w:spacing w:val="-14"/>
                      <w:highlight w:val="yellow"/>
                    </w:rPr>
                    <w:t xml:space="preserve"> </w:t>
                  </w:r>
                  <w:r w:rsidRPr="00F22F94">
                    <w:rPr>
                      <w:color w:val="000000"/>
                      <w:highlight w:val="yellow"/>
                    </w:rPr>
                    <w:t>the</w:t>
                  </w:r>
                  <w:r w:rsidRPr="00F22F94">
                    <w:rPr>
                      <w:color w:val="000000"/>
                      <w:spacing w:val="-14"/>
                      <w:highlight w:val="yellow"/>
                    </w:rPr>
                    <w:t xml:space="preserve"> </w:t>
                  </w:r>
                  <w:r w:rsidRPr="00F22F94">
                    <w:rPr>
                      <w:color w:val="000000"/>
                      <w:highlight w:val="yellow"/>
                    </w:rPr>
                    <w:t>Sydney Harbour</w:t>
                  </w:r>
                  <w:r w:rsidRPr="00F22F94">
                    <w:rPr>
                      <w:color w:val="000000"/>
                      <w:spacing w:val="-14"/>
                      <w:highlight w:val="yellow"/>
                    </w:rPr>
                    <w:t xml:space="preserve"> </w:t>
                  </w:r>
                  <w:r w:rsidRPr="00F22F94">
                    <w:rPr>
                      <w:color w:val="000000"/>
                      <w:highlight w:val="yellow"/>
                    </w:rPr>
                    <w:t>Bridge,</w:t>
                  </w:r>
                  <w:r w:rsidRPr="00F22F94">
                    <w:rPr>
                      <w:color w:val="000000"/>
                      <w:spacing w:val="-14"/>
                      <w:highlight w:val="yellow"/>
                    </w:rPr>
                    <w:t xml:space="preserve"> </w:t>
                  </w:r>
                  <w:r w:rsidRPr="00F22F94">
                    <w:rPr>
                      <w:color w:val="000000"/>
                      <w:highlight w:val="yellow"/>
                    </w:rPr>
                    <w:t>to</w:t>
                  </w:r>
                  <w:r w:rsidRPr="00F22F94">
                    <w:rPr>
                      <w:color w:val="000000"/>
                      <w:spacing w:val="-14"/>
                      <w:highlight w:val="yellow"/>
                    </w:rPr>
                    <w:t xml:space="preserve"> </w:t>
                  </w:r>
                  <w:r w:rsidRPr="00F22F94">
                    <w:rPr>
                      <w:color w:val="000000"/>
                      <w:highlight w:val="yellow"/>
                    </w:rPr>
                    <w:t>allow</w:t>
                  </w:r>
                  <w:r w:rsidRPr="00F22F94">
                    <w:rPr>
                      <w:color w:val="000000"/>
                      <w:spacing w:val="-14"/>
                      <w:highlight w:val="yellow"/>
                    </w:rPr>
                    <w:t xml:space="preserve"> </w:t>
                  </w:r>
                  <w:r w:rsidRPr="00F22F94">
                    <w:rPr>
                      <w:color w:val="000000"/>
                      <w:highlight w:val="yellow"/>
                    </w:rPr>
                    <w:t>direct</w:t>
                  </w:r>
                  <w:r w:rsidRPr="00F22F94">
                    <w:rPr>
                      <w:color w:val="000000"/>
                      <w:spacing w:val="-14"/>
                      <w:highlight w:val="yellow"/>
                    </w:rPr>
                    <w:t xml:space="preserve"> </w:t>
                  </w:r>
                  <w:r w:rsidRPr="00F22F94">
                    <w:rPr>
                      <w:color w:val="000000"/>
                      <w:highlight w:val="yellow"/>
                    </w:rPr>
                    <w:t>running</w:t>
                  </w:r>
                  <w:r w:rsidRPr="00F22F94">
                    <w:rPr>
                      <w:color w:val="000000"/>
                      <w:spacing w:val="-14"/>
                      <w:highlight w:val="yellow"/>
                    </w:rPr>
                    <w:t xml:space="preserve"> </w:t>
                  </w:r>
                  <w:r w:rsidRPr="00F22F94">
                    <w:rPr>
                      <w:color w:val="000000"/>
                      <w:highlight w:val="yellow"/>
                    </w:rPr>
                    <w:t>of</w:t>
                  </w:r>
                  <w:r w:rsidRPr="00F22F94">
                    <w:rPr>
                      <w:color w:val="000000"/>
                      <w:spacing w:val="-14"/>
                      <w:highlight w:val="yellow"/>
                    </w:rPr>
                    <w:t xml:space="preserve"> </w:t>
                  </w:r>
                  <w:r w:rsidRPr="00F22F94">
                    <w:rPr>
                      <w:color w:val="000000"/>
                      <w:highlight w:val="yellow"/>
                    </w:rPr>
                    <w:t>trains</w:t>
                  </w:r>
                  <w:r w:rsidRPr="00F22F94">
                    <w:rPr>
                      <w:color w:val="000000"/>
                      <w:spacing w:val="-14"/>
                      <w:highlight w:val="yellow"/>
                    </w:rPr>
                    <w:t xml:space="preserve"> </w:t>
                  </w:r>
                  <w:r w:rsidRPr="00F22F94">
                    <w:rPr>
                      <w:color w:val="000000"/>
                      <w:highlight w:val="yellow"/>
                    </w:rPr>
                    <w:t>from the</w:t>
                  </w:r>
                  <w:r w:rsidRPr="00F22F94">
                    <w:rPr>
                      <w:color w:val="000000"/>
                      <w:spacing w:val="-14"/>
                      <w:highlight w:val="yellow"/>
                    </w:rPr>
                    <w:t xml:space="preserve"> </w:t>
                  </w:r>
                  <w:r w:rsidRPr="00F22F94">
                    <w:rPr>
                      <w:color w:val="000000"/>
                      <w:highlight w:val="yellow"/>
                    </w:rPr>
                    <w:t>NWRL</w:t>
                  </w:r>
                  <w:r w:rsidRPr="00F22F94">
                    <w:rPr>
                      <w:color w:val="000000"/>
                      <w:spacing w:val="-14"/>
                      <w:highlight w:val="yellow"/>
                    </w:rPr>
                    <w:t xml:space="preserve"> </w:t>
                  </w:r>
                  <w:r w:rsidRPr="00F22F94">
                    <w:rPr>
                      <w:color w:val="000000"/>
                      <w:highlight w:val="yellow"/>
                    </w:rPr>
                    <w:t>to</w:t>
                  </w:r>
                  <w:r w:rsidRPr="00F22F94">
                    <w:rPr>
                      <w:color w:val="000000"/>
                      <w:spacing w:val="-14"/>
                      <w:highlight w:val="yellow"/>
                    </w:rPr>
                    <w:t xml:space="preserve"> </w:t>
                  </w:r>
                  <w:r w:rsidRPr="00F22F94">
                    <w:rPr>
                      <w:color w:val="000000"/>
                      <w:highlight w:val="yellow"/>
                    </w:rPr>
                    <w:t>the</w:t>
                  </w:r>
                  <w:r w:rsidRPr="00F22F94">
                    <w:rPr>
                      <w:color w:val="000000"/>
                      <w:spacing w:val="-14"/>
                      <w:highlight w:val="yellow"/>
                    </w:rPr>
                    <w:t xml:space="preserve"> </w:t>
                  </w:r>
                  <w:r w:rsidRPr="00F22F94">
                    <w:rPr>
                      <w:color w:val="000000"/>
                      <w:highlight w:val="yellow"/>
                    </w:rPr>
                    <w:t>CBD</w:t>
                  </w:r>
                  <w:r w:rsidRPr="00F22F94">
                    <w:rPr>
                      <w:color w:val="000000"/>
                      <w:spacing w:val="-14"/>
                      <w:highlight w:val="yellow"/>
                    </w:rPr>
                    <w:t xml:space="preserve"> </w:t>
                  </w:r>
                  <w:r w:rsidRPr="00F22F94">
                    <w:rPr>
                      <w:color w:val="000000"/>
                      <w:highlight w:val="yellow"/>
                    </w:rPr>
                    <w:t>and</w:t>
                  </w:r>
                  <w:r w:rsidRPr="00F22F94">
                    <w:rPr>
                      <w:color w:val="000000"/>
                      <w:spacing w:val="-14"/>
                      <w:highlight w:val="yellow"/>
                    </w:rPr>
                    <w:t xml:space="preserve"> </w:t>
                  </w:r>
                  <w:r w:rsidRPr="00F22F94">
                    <w:rPr>
                      <w:color w:val="000000"/>
                      <w:highlight w:val="yellow"/>
                    </w:rPr>
                    <w:t>free</w:t>
                  </w:r>
                  <w:r w:rsidRPr="00F22F94">
                    <w:rPr>
                      <w:color w:val="000000"/>
                      <w:spacing w:val="-14"/>
                      <w:highlight w:val="yellow"/>
                    </w:rPr>
                    <w:t xml:space="preserve"> </w:t>
                  </w:r>
                  <w:r w:rsidRPr="00F22F94">
                    <w:rPr>
                      <w:color w:val="000000"/>
                      <w:highlight w:val="yellow"/>
                    </w:rPr>
                    <w:t>up</w:t>
                  </w:r>
                  <w:r w:rsidRPr="00F22F94">
                    <w:rPr>
                      <w:color w:val="000000"/>
                      <w:spacing w:val="-14"/>
                      <w:highlight w:val="yellow"/>
                    </w:rPr>
                    <w:t xml:space="preserve"> </w:t>
                  </w:r>
                  <w:r w:rsidRPr="00F22F94">
                    <w:rPr>
                      <w:color w:val="000000"/>
                      <w:highlight w:val="yellow"/>
                    </w:rPr>
                    <w:t>capacity</w:t>
                  </w:r>
                  <w:r w:rsidRPr="00F22F94">
                    <w:rPr>
                      <w:color w:val="000000"/>
                      <w:spacing w:val="-14"/>
                      <w:highlight w:val="yellow"/>
                    </w:rPr>
                    <w:t xml:space="preserve"> </w:t>
                  </w:r>
                  <w:r w:rsidRPr="00F22F94">
                    <w:rPr>
                      <w:color w:val="000000"/>
                      <w:highlight w:val="yellow"/>
                    </w:rPr>
                    <w:t>for</w:t>
                  </w:r>
                  <w:r w:rsidRPr="00F22F94">
                    <w:rPr>
                      <w:color w:val="000000"/>
                      <w:spacing w:val="-14"/>
                      <w:highlight w:val="yellow"/>
                    </w:rPr>
                    <w:t xml:space="preserve"> </w:t>
                  </w:r>
                  <w:r w:rsidRPr="00F22F94">
                    <w:rPr>
                      <w:color w:val="000000"/>
                      <w:highlight w:val="yellow"/>
                    </w:rPr>
                    <w:t>faster and</w:t>
                  </w:r>
                  <w:r w:rsidRPr="00F22F94">
                    <w:rPr>
                      <w:color w:val="000000"/>
                      <w:spacing w:val="-12"/>
                      <w:highlight w:val="yellow"/>
                    </w:rPr>
                    <w:t xml:space="preserve"> </w:t>
                  </w:r>
                  <w:r w:rsidRPr="00F22F94">
                    <w:rPr>
                      <w:color w:val="000000"/>
                      <w:highlight w:val="yellow"/>
                    </w:rPr>
                    <w:t>more</w:t>
                  </w:r>
                  <w:r w:rsidRPr="00F22F94">
                    <w:rPr>
                      <w:color w:val="000000"/>
                      <w:spacing w:val="-12"/>
                      <w:highlight w:val="yellow"/>
                    </w:rPr>
                    <w:t xml:space="preserve"> </w:t>
                  </w:r>
                  <w:r w:rsidRPr="00F22F94">
                    <w:rPr>
                      <w:color w:val="000000"/>
                      <w:highlight w:val="yellow"/>
                    </w:rPr>
                    <w:t>frequent</w:t>
                  </w:r>
                  <w:r w:rsidRPr="00F22F94">
                    <w:rPr>
                      <w:color w:val="000000"/>
                      <w:spacing w:val="-12"/>
                      <w:highlight w:val="yellow"/>
                    </w:rPr>
                    <w:t xml:space="preserve"> </w:t>
                  </w:r>
                  <w:r w:rsidRPr="00F22F94">
                    <w:rPr>
                      <w:color w:val="000000"/>
                      <w:highlight w:val="yellow"/>
                    </w:rPr>
                    <w:t>trains</w:t>
                  </w:r>
                  <w:r w:rsidRPr="00F22F94">
                    <w:rPr>
                      <w:color w:val="000000"/>
                      <w:spacing w:val="-12"/>
                      <w:highlight w:val="yellow"/>
                    </w:rPr>
                    <w:t xml:space="preserve"> </w:t>
                  </w:r>
                  <w:r w:rsidRPr="00F22F94">
                    <w:rPr>
                      <w:color w:val="000000"/>
                      <w:highlight w:val="yellow"/>
                    </w:rPr>
                    <w:t>from</w:t>
                  </w:r>
                  <w:r w:rsidRPr="00F22F94">
                    <w:rPr>
                      <w:color w:val="000000"/>
                      <w:spacing w:val="-12"/>
                      <w:highlight w:val="yellow"/>
                    </w:rPr>
                    <w:t xml:space="preserve"> </w:t>
                  </w:r>
                  <w:r w:rsidRPr="00F22F94">
                    <w:rPr>
                      <w:color w:val="000000"/>
                      <w:highlight w:val="yellow"/>
                    </w:rPr>
                    <w:t>the</w:t>
                  </w:r>
                  <w:r w:rsidRPr="00F22F94">
                    <w:rPr>
                      <w:color w:val="000000"/>
                      <w:spacing w:val="-12"/>
                      <w:highlight w:val="yellow"/>
                    </w:rPr>
                    <w:t xml:space="preserve"> </w:t>
                  </w:r>
                  <w:r w:rsidRPr="00F22F94">
                    <w:rPr>
                      <w:color w:val="000000"/>
                      <w:highlight w:val="yellow"/>
                    </w:rPr>
                    <w:t>West.</w:t>
                  </w:r>
                </w:p>
              </w:txbxContent>
            </v:textbox>
            <w10:wrap type="topAndBottom" anchorx="page"/>
          </v:shape>
        </w:pict>
      </w:r>
    </w:p>
    <w:p w:rsidR="002C1123" w:rsidRDefault="00F22F94">
      <w:pPr>
        <w:pStyle w:val="BodyText"/>
        <w:spacing w:before="114" w:line="249" w:lineRule="auto"/>
        <w:ind w:left="204" w:right="865"/>
      </w:pPr>
      <w:r>
        <w:t>Implementation</w:t>
      </w:r>
      <w:r>
        <w:rPr>
          <w:spacing w:val="-14"/>
        </w:rPr>
        <w:t xml:space="preserve"> </w:t>
      </w:r>
      <w:r>
        <w:t>of</w:t>
      </w:r>
      <w:r>
        <w:rPr>
          <w:spacing w:val="-14"/>
        </w:rPr>
        <w:t xml:space="preserve"> </w:t>
      </w:r>
      <w:r>
        <w:t>the</w:t>
      </w:r>
      <w:r>
        <w:rPr>
          <w:spacing w:val="-14"/>
        </w:rPr>
        <w:t xml:space="preserve"> </w:t>
      </w:r>
      <w:r>
        <w:t>recommendations</w:t>
      </w:r>
      <w:r>
        <w:rPr>
          <w:spacing w:val="-14"/>
        </w:rPr>
        <w:t xml:space="preserve"> </w:t>
      </w:r>
      <w:r>
        <w:t>in</w:t>
      </w:r>
      <w:r>
        <w:rPr>
          <w:spacing w:val="-14"/>
        </w:rPr>
        <w:t xml:space="preserve"> </w:t>
      </w:r>
      <w:r>
        <w:t>relation</w:t>
      </w:r>
      <w:r>
        <w:rPr>
          <w:spacing w:val="-14"/>
        </w:rPr>
        <w:t xml:space="preserve"> </w:t>
      </w:r>
      <w:r>
        <w:t xml:space="preserve">to </w:t>
      </w:r>
      <w:r>
        <w:rPr>
          <w:w w:val="95"/>
        </w:rPr>
        <w:t>the</w:t>
      </w:r>
      <w:r>
        <w:rPr>
          <w:spacing w:val="-8"/>
          <w:w w:val="95"/>
        </w:rPr>
        <w:t xml:space="preserve"> </w:t>
      </w:r>
      <w:r>
        <w:rPr>
          <w:w w:val="95"/>
        </w:rPr>
        <w:t>City</w:t>
      </w:r>
      <w:r>
        <w:rPr>
          <w:spacing w:val="-8"/>
          <w:w w:val="95"/>
        </w:rPr>
        <w:t xml:space="preserve"> </w:t>
      </w:r>
      <w:r>
        <w:rPr>
          <w:w w:val="95"/>
        </w:rPr>
        <w:t>Circle</w:t>
      </w:r>
      <w:r>
        <w:rPr>
          <w:spacing w:val="-8"/>
          <w:w w:val="95"/>
        </w:rPr>
        <w:t xml:space="preserve"> </w:t>
      </w:r>
      <w:r>
        <w:rPr>
          <w:w w:val="95"/>
        </w:rPr>
        <w:t>and</w:t>
      </w:r>
      <w:r>
        <w:rPr>
          <w:spacing w:val="-8"/>
          <w:w w:val="95"/>
        </w:rPr>
        <w:t xml:space="preserve"> </w:t>
      </w:r>
      <w:r>
        <w:rPr>
          <w:w w:val="95"/>
        </w:rPr>
        <w:t>rapid</w:t>
      </w:r>
      <w:r>
        <w:rPr>
          <w:spacing w:val="-8"/>
          <w:w w:val="95"/>
        </w:rPr>
        <w:t xml:space="preserve"> </w:t>
      </w:r>
      <w:r>
        <w:rPr>
          <w:w w:val="95"/>
        </w:rPr>
        <w:t>transit</w:t>
      </w:r>
      <w:r>
        <w:rPr>
          <w:spacing w:val="-8"/>
          <w:w w:val="95"/>
        </w:rPr>
        <w:t xml:space="preserve"> </w:t>
      </w:r>
      <w:r>
        <w:rPr>
          <w:w w:val="95"/>
        </w:rPr>
        <w:t>could</w:t>
      </w:r>
      <w:r>
        <w:rPr>
          <w:spacing w:val="-8"/>
          <w:w w:val="95"/>
        </w:rPr>
        <w:t xml:space="preserve"> </w:t>
      </w:r>
      <w:r>
        <w:rPr>
          <w:w w:val="95"/>
        </w:rPr>
        <w:t>deliver</w:t>
      </w:r>
      <w:r>
        <w:rPr>
          <w:spacing w:val="-8"/>
          <w:w w:val="95"/>
        </w:rPr>
        <w:t xml:space="preserve"> </w:t>
      </w:r>
      <w:r>
        <w:rPr>
          <w:w w:val="95"/>
        </w:rPr>
        <w:t>a</w:t>
      </w:r>
      <w:r>
        <w:rPr>
          <w:spacing w:val="-8"/>
          <w:w w:val="95"/>
        </w:rPr>
        <w:t xml:space="preserve"> </w:t>
      </w:r>
      <w:r>
        <w:rPr>
          <w:w w:val="95"/>
        </w:rPr>
        <w:t>three</w:t>
      </w:r>
      <w:r>
        <w:rPr>
          <w:spacing w:val="-8"/>
          <w:w w:val="95"/>
        </w:rPr>
        <w:t xml:space="preserve"> </w:t>
      </w:r>
      <w:r>
        <w:rPr>
          <w:w w:val="95"/>
        </w:rPr>
        <w:t xml:space="preserve">tier </w:t>
      </w:r>
      <w:r>
        <w:t>railway</w:t>
      </w:r>
      <w:r>
        <w:rPr>
          <w:spacing w:val="-11"/>
        </w:rPr>
        <w:t xml:space="preserve"> </w:t>
      </w:r>
      <w:r>
        <w:t>in</w:t>
      </w:r>
      <w:r>
        <w:rPr>
          <w:spacing w:val="-11"/>
        </w:rPr>
        <w:t xml:space="preserve"> </w:t>
      </w:r>
      <w:r>
        <w:t>the</w:t>
      </w:r>
      <w:r>
        <w:rPr>
          <w:spacing w:val="-11"/>
        </w:rPr>
        <w:t xml:space="preserve"> </w:t>
      </w:r>
      <w:r>
        <w:t>following</w:t>
      </w:r>
      <w:r>
        <w:rPr>
          <w:spacing w:val="-11"/>
        </w:rPr>
        <w:t xml:space="preserve"> </w:t>
      </w:r>
      <w:r>
        <w:t>form</w:t>
      </w:r>
      <w:r>
        <w:rPr>
          <w:spacing w:val="-12"/>
        </w:rPr>
        <w:t xml:space="preserve"> </w:t>
      </w:r>
      <w:r>
        <w:t>during</w:t>
      </w:r>
      <w:r>
        <w:rPr>
          <w:spacing w:val="-11"/>
        </w:rPr>
        <w:t xml:space="preserve"> </w:t>
      </w:r>
      <w:r>
        <w:t>the</w:t>
      </w:r>
      <w:r>
        <w:rPr>
          <w:spacing w:val="-11"/>
        </w:rPr>
        <w:t xml:space="preserve"> </w:t>
      </w:r>
      <w:r>
        <w:t>2020s:</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266" w:space="40"/>
            <w:col w:w="4996" w:space="39"/>
            <w:col w:w="5719"/>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ListParagraph"/>
        <w:numPr>
          <w:ilvl w:val="4"/>
          <w:numId w:val="86"/>
        </w:numPr>
        <w:tabs>
          <w:tab w:val="left" w:pos="776"/>
        </w:tabs>
        <w:spacing w:before="93" w:line="249" w:lineRule="auto"/>
        <w:ind w:right="63"/>
        <w:rPr>
          <w:sz w:val="20"/>
        </w:rPr>
      </w:pPr>
      <w:bookmarkStart w:id="223" w:name="8.4_Mainline_acceleration_program"/>
      <w:bookmarkStart w:id="224" w:name="8.5_Demand_side_strategies"/>
      <w:bookmarkStart w:id="225" w:name="_bookmark160"/>
      <w:bookmarkStart w:id="226" w:name="_bookmark159"/>
      <w:bookmarkEnd w:id="223"/>
      <w:bookmarkEnd w:id="224"/>
      <w:bookmarkEnd w:id="225"/>
      <w:bookmarkEnd w:id="226"/>
      <w:r>
        <w:rPr>
          <w:sz w:val="20"/>
        </w:rPr>
        <w:t>single</w:t>
      </w:r>
      <w:r>
        <w:rPr>
          <w:spacing w:val="-11"/>
          <w:sz w:val="20"/>
        </w:rPr>
        <w:t xml:space="preserve"> </w:t>
      </w:r>
      <w:r>
        <w:rPr>
          <w:sz w:val="20"/>
        </w:rPr>
        <w:t>deck</w:t>
      </w:r>
      <w:r>
        <w:rPr>
          <w:spacing w:val="-11"/>
          <w:sz w:val="20"/>
        </w:rPr>
        <w:t xml:space="preserve"> </w:t>
      </w:r>
      <w:r>
        <w:rPr>
          <w:sz w:val="20"/>
        </w:rPr>
        <w:t>rapid</w:t>
      </w:r>
      <w:r>
        <w:rPr>
          <w:spacing w:val="-11"/>
          <w:sz w:val="20"/>
        </w:rPr>
        <w:t xml:space="preserve"> </w:t>
      </w:r>
      <w:r>
        <w:rPr>
          <w:sz w:val="20"/>
        </w:rPr>
        <w:t>transit</w:t>
      </w:r>
      <w:r>
        <w:rPr>
          <w:spacing w:val="-11"/>
          <w:sz w:val="20"/>
        </w:rPr>
        <w:t xml:space="preserve"> </w:t>
      </w:r>
      <w:r>
        <w:rPr>
          <w:sz w:val="20"/>
        </w:rPr>
        <w:t>via</w:t>
      </w:r>
      <w:r>
        <w:rPr>
          <w:spacing w:val="-11"/>
          <w:sz w:val="20"/>
        </w:rPr>
        <w:t xml:space="preserve"> </w:t>
      </w:r>
      <w:r>
        <w:rPr>
          <w:sz w:val="20"/>
        </w:rPr>
        <w:t>the</w:t>
      </w:r>
      <w:r>
        <w:rPr>
          <w:spacing w:val="-11"/>
          <w:sz w:val="20"/>
        </w:rPr>
        <w:t xml:space="preserve"> </w:t>
      </w:r>
      <w:r>
        <w:rPr>
          <w:sz w:val="20"/>
        </w:rPr>
        <w:t>Sydney</w:t>
      </w:r>
      <w:r>
        <w:rPr>
          <w:spacing w:val="-11"/>
          <w:sz w:val="20"/>
        </w:rPr>
        <w:t xml:space="preserve"> </w:t>
      </w:r>
      <w:r>
        <w:rPr>
          <w:sz w:val="20"/>
        </w:rPr>
        <w:t xml:space="preserve">Harbour </w:t>
      </w:r>
      <w:r>
        <w:rPr>
          <w:w w:val="95"/>
          <w:sz w:val="20"/>
        </w:rPr>
        <w:t>Bridge</w:t>
      </w:r>
      <w:r>
        <w:rPr>
          <w:spacing w:val="-8"/>
          <w:w w:val="95"/>
          <w:sz w:val="20"/>
        </w:rPr>
        <w:t xml:space="preserve"> </w:t>
      </w:r>
      <w:r>
        <w:rPr>
          <w:w w:val="95"/>
          <w:sz w:val="20"/>
        </w:rPr>
        <w:t>–</w:t>
      </w:r>
      <w:r>
        <w:rPr>
          <w:spacing w:val="-8"/>
          <w:w w:val="95"/>
          <w:sz w:val="20"/>
        </w:rPr>
        <w:t xml:space="preserve"> </w:t>
      </w:r>
      <w:r>
        <w:rPr>
          <w:w w:val="95"/>
          <w:sz w:val="20"/>
        </w:rPr>
        <w:t>serving</w:t>
      </w:r>
      <w:r>
        <w:rPr>
          <w:spacing w:val="-8"/>
          <w:w w:val="95"/>
          <w:sz w:val="20"/>
        </w:rPr>
        <w:t xml:space="preserve"> </w:t>
      </w:r>
      <w:r>
        <w:rPr>
          <w:w w:val="95"/>
          <w:sz w:val="20"/>
        </w:rPr>
        <w:t>the</w:t>
      </w:r>
      <w:r>
        <w:rPr>
          <w:spacing w:val="-8"/>
          <w:w w:val="95"/>
          <w:sz w:val="20"/>
        </w:rPr>
        <w:t xml:space="preserve"> </w:t>
      </w:r>
      <w:r>
        <w:rPr>
          <w:w w:val="95"/>
          <w:sz w:val="20"/>
        </w:rPr>
        <w:t>NWRL,</w:t>
      </w:r>
      <w:r>
        <w:rPr>
          <w:spacing w:val="-8"/>
          <w:w w:val="95"/>
          <w:sz w:val="20"/>
        </w:rPr>
        <w:t xml:space="preserve"> </w:t>
      </w:r>
      <w:r>
        <w:rPr>
          <w:w w:val="95"/>
          <w:sz w:val="20"/>
        </w:rPr>
        <w:t>North</w:t>
      </w:r>
      <w:r>
        <w:rPr>
          <w:spacing w:val="-8"/>
          <w:w w:val="95"/>
          <w:sz w:val="20"/>
        </w:rPr>
        <w:t xml:space="preserve"> </w:t>
      </w:r>
      <w:r>
        <w:rPr>
          <w:w w:val="95"/>
          <w:sz w:val="20"/>
        </w:rPr>
        <w:t>Shore,</w:t>
      </w:r>
      <w:r>
        <w:rPr>
          <w:spacing w:val="-8"/>
          <w:w w:val="95"/>
          <w:sz w:val="20"/>
        </w:rPr>
        <w:t xml:space="preserve"> </w:t>
      </w:r>
      <w:r>
        <w:rPr>
          <w:w w:val="95"/>
          <w:sz w:val="20"/>
        </w:rPr>
        <w:t>Inner</w:t>
      </w:r>
      <w:r>
        <w:rPr>
          <w:spacing w:val="-8"/>
          <w:w w:val="95"/>
          <w:sz w:val="20"/>
        </w:rPr>
        <w:t xml:space="preserve"> </w:t>
      </w:r>
      <w:r>
        <w:rPr>
          <w:w w:val="95"/>
          <w:sz w:val="20"/>
        </w:rPr>
        <w:t xml:space="preserve">West </w:t>
      </w:r>
      <w:r>
        <w:rPr>
          <w:sz w:val="20"/>
        </w:rPr>
        <w:t>and</w:t>
      </w:r>
      <w:r>
        <w:rPr>
          <w:spacing w:val="-11"/>
          <w:sz w:val="20"/>
        </w:rPr>
        <w:t xml:space="preserve"> </w:t>
      </w:r>
      <w:r>
        <w:rPr>
          <w:sz w:val="20"/>
        </w:rPr>
        <w:t>Bankstown</w:t>
      </w:r>
    </w:p>
    <w:p w:rsidR="002C1123" w:rsidRDefault="00F22F94">
      <w:pPr>
        <w:pStyle w:val="ListParagraph"/>
        <w:numPr>
          <w:ilvl w:val="4"/>
          <w:numId w:val="86"/>
        </w:numPr>
        <w:tabs>
          <w:tab w:val="left" w:pos="776"/>
        </w:tabs>
        <w:spacing w:before="132" w:line="249" w:lineRule="auto"/>
        <w:ind w:right="250"/>
        <w:jc w:val="both"/>
        <w:rPr>
          <w:sz w:val="20"/>
        </w:rPr>
      </w:pPr>
      <w:r>
        <w:rPr>
          <w:w w:val="95"/>
          <w:sz w:val="20"/>
        </w:rPr>
        <w:t>double</w:t>
      </w:r>
      <w:r>
        <w:rPr>
          <w:spacing w:val="-2"/>
          <w:w w:val="95"/>
          <w:sz w:val="20"/>
        </w:rPr>
        <w:t xml:space="preserve"> </w:t>
      </w:r>
      <w:r>
        <w:rPr>
          <w:w w:val="95"/>
          <w:sz w:val="20"/>
        </w:rPr>
        <w:t>deck</w:t>
      </w:r>
      <w:r>
        <w:rPr>
          <w:spacing w:val="-2"/>
          <w:w w:val="95"/>
          <w:sz w:val="20"/>
        </w:rPr>
        <w:t xml:space="preserve"> </w:t>
      </w:r>
      <w:r>
        <w:rPr>
          <w:w w:val="95"/>
          <w:sz w:val="20"/>
        </w:rPr>
        <w:t>suburban</w:t>
      </w:r>
      <w:r>
        <w:rPr>
          <w:spacing w:val="-2"/>
          <w:w w:val="95"/>
          <w:sz w:val="20"/>
        </w:rPr>
        <w:t xml:space="preserve"> </w:t>
      </w:r>
      <w:r>
        <w:rPr>
          <w:w w:val="95"/>
          <w:sz w:val="20"/>
        </w:rPr>
        <w:t>via</w:t>
      </w:r>
      <w:r>
        <w:rPr>
          <w:spacing w:val="-2"/>
          <w:w w:val="95"/>
          <w:sz w:val="20"/>
        </w:rPr>
        <w:t xml:space="preserve"> </w:t>
      </w:r>
      <w:r>
        <w:rPr>
          <w:w w:val="95"/>
          <w:sz w:val="20"/>
        </w:rPr>
        <w:t>City</w:t>
      </w:r>
      <w:r>
        <w:rPr>
          <w:spacing w:val="-2"/>
          <w:w w:val="95"/>
          <w:sz w:val="20"/>
        </w:rPr>
        <w:t xml:space="preserve"> </w:t>
      </w:r>
      <w:r>
        <w:rPr>
          <w:w w:val="95"/>
          <w:sz w:val="20"/>
        </w:rPr>
        <w:t>Circle</w:t>
      </w:r>
      <w:r>
        <w:rPr>
          <w:spacing w:val="-2"/>
          <w:w w:val="95"/>
          <w:sz w:val="20"/>
        </w:rPr>
        <w:t xml:space="preserve"> </w:t>
      </w:r>
      <w:r>
        <w:rPr>
          <w:w w:val="95"/>
          <w:sz w:val="20"/>
        </w:rPr>
        <w:t>–</w:t>
      </w:r>
      <w:r>
        <w:rPr>
          <w:spacing w:val="-2"/>
          <w:w w:val="95"/>
          <w:sz w:val="20"/>
        </w:rPr>
        <w:t xml:space="preserve"> </w:t>
      </w:r>
      <w:r>
        <w:rPr>
          <w:w w:val="95"/>
          <w:sz w:val="20"/>
        </w:rPr>
        <w:t>serving</w:t>
      </w:r>
      <w:r>
        <w:rPr>
          <w:spacing w:val="-2"/>
          <w:w w:val="95"/>
          <w:sz w:val="20"/>
        </w:rPr>
        <w:t xml:space="preserve"> </w:t>
      </w:r>
      <w:r>
        <w:rPr>
          <w:w w:val="95"/>
          <w:sz w:val="20"/>
        </w:rPr>
        <w:t>the Main</w:t>
      </w:r>
      <w:r>
        <w:rPr>
          <w:spacing w:val="-11"/>
          <w:w w:val="95"/>
          <w:sz w:val="20"/>
        </w:rPr>
        <w:t xml:space="preserve"> </w:t>
      </w:r>
      <w:r>
        <w:rPr>
          <w:w w:val="95"/>
          <w:sz w:val="20"/>
        </w:rPr>
        <w:t>West,</w:t>
      </w:r>
      <w:r>
        <w:rPr>
          <w:spacing w:val="-11"/>
          <w:w w:val="95"/>
          <w:sz w:val="20"/>
        </w:rPr>
        <w:t xml:space="preserve"> </w:t>
      </w:r>
      <w:r>
        <w:rPr>
          <w:w w:val="95"/>
          <w:sz w:val="20"/>
        </w:rPr>
        <w:t>Main</w:t>
      </w:r>
      <w:r>
        <w:rPr>
          <w:spacing w:val="-11"/>
          <w:w w:val="95"/>
          <w:sz w:val="20"/>
        </w:rPr>
        <w:t xml:space="preserve"> </w:t>
      </w:r>
      <w:r>
        <w:rPr>
          <w:w w:val="95"/>
          <w:sz w:val="20"/>
        </w:rPr>
        <w:t>South</w:t>
      </w:r>
      <w:r>
        <w:rPr>
          <w:spacing w:val="-11"/>
          <w:w w:val="95"/>
          <w:sz w:val="20"/>
        </w:rPr>
        <w:t xml:space="preserve"> </w:t>
      </w:r>
      <w:r>
        <w:rPr>
          <w:w w:val="95"/>
          <w:sz w:val="20"/>
        </w:rPr>
        <w:t>and</w:t>
      </w:r>
      <w:r>
        <w:rPr>
          <w:spacing w:val="-11"/>
          <w:w w:val="95"/>
          <w:sz w:val="20"/>
        </w:rPr>
        <w:t xml:space="preserve"> </w:t>
      </w:r>
      <w:r>
        <w:rPr>
          <w:w w:val="95"/>
          <w:sz w:val="20"/>
        </w:rPr>
        <w:t>East</w:t>
      </w:r>
      <w:r>
        <w:rPr>
          <w:spacing w:val="-11"/>
          <w:w w:val="95"/>
          <w:sz w:val="20"/>
        </w:rPr>
        <w:t xml:space="preserve"> </w:t>
      </w:r>
      <w:r>
        <w:rPr>
          <w:w w:val="95"/>
          <w:sz w:val="20"/>
        </w:rPr>
        <w:t>Hills</w:t>
      </w:r>
      <w:r>
        <w:rPr>
          <w:spacing w:val="-11"/>
          <w:w w:val="95"/>
          <w:sz w:val="20"/>
        </w:rPr>
        <w:t xml:space="preserve"> </w:t>
      </w:r>
      <w:r>
        <w:rPr>
          <w:w w:val="95"/>
          <w:sz w:val="20"/>
        </w:rPr>
        <w:t>–</w:t>
      </w:r>
      <w:r>
        <w:rPr>
          <w:spacing w:val="-11"/>
          <w:w w:val="95"/>
          <w:sz w:val="20"/>
        </w:rPr>
        <w:t xml:space="preserve"> </w:t>
      </w:r>
      <w:r>
        <w:rPr>
          <w:w w:val="95"/>
          <w:sz w:val="20"/>
        </w:rPr>
        <w:t>and</w:t>
      </w:r>
      <w:r>
        <w:rPr>
          <w:spacing w:val="-11"/>
          <w:w w:val="95"/>
          <w:sz w:val="20"/>
        </w:rPr>
        <w:t xml:space="preserve"> </w:t>
      </w:r>
      <w:r>
        <w:rPr>
          <w:w w:val="95"/>
          <w:sz w:val="20"/>
        </w:rPr>
        <w:t>via</w:t>
      </w:r>
      <w:r>
        <w:rPr>
          <w:spacing w:val="-11"/>
          <w:w w:val="95"/>
          <w:sz w:val="20"/>
        </w:rPr>
        <w:t xml:space="preserve"> </w:t>
      </w:r>
      <w:r>
        <w:rPr>
          <w:w w:val="95"/>
          <w:sz w:val="20"/>
        </w:rPr>
        <w:t xml:space="preserve">the </w:t>
      </w:r>
      <w:r>
        <w:rPr>
          <w:sz w:val="20"/>
        </w:rPr>
        <w:t>Eastern Suburbs/Illawarra Line</w:t>
      </w:r>
    </w:p>
    <w:p w:rsidR="002C1123" w:rsidRDefault="00F22F94">
      <w:pPr>
        <w:pStyle w:val="ListParagraph"/>
        <w:numPr>
          <w:ilvl w:val="4"/>
          <w:numId w:val="86"/>
        </w:numPr>
        <w:tabs>
          <w:tab w:val="left" w:pos="776"/>
        </w:tabs>
        <w:spacing w:before="131" w:line="249" w:lineRule="auto"/>
        <w:ind w:right="410"/>
        <w:rPr>
          <w:sz w:val="20"/>
        </w:rPr>
      </w:pPr>
      <w:r>
        <w:rPr>
          <w:w w:val="95"/>
          <w:sz w:val="20"/>
        </w:rPr>
        <w:t>intercity</w:t>
      </w:r>
      <w:r>
        <w:rPr>
          <w:spacing w:val="-12"/>
          <w:w w:val="95"/>
          <w:sz w:val="20"/>
        </w:rPr>
        <w:t xml:space="preserve"> </w:t>
      </w:r>
      <w:r>
        <w:rPr>
          <w:w w:val="95"/>
          <w:sz w:val="20"/>
        </w:rPr>
        <w:t>to</w:t>
      </w:r>
      <w:r>
        <w:rPr>
          <w:spacing w:val="-11"/>
          <w:w w:val="95"/>
          <w:sz w:val="20"/>
        </w:rPr>
        <w:t xml:space="preserve"> </w:t>
      </w:r>
      <w:r>
        <w:rPr>
          <w:w w:val="95"/>
          <w:sz w:val="20"/>
        </w:rPr>
        <w:t>Sydney</w:t>
      </w:r>
      <w:r>
        <w:rPr>
          <w:spacing w:val="-11"/>
          <w:w w:val="95"/>
          <w:sz w:val="20"/>
        </w:rPr>
        <w:t xml:space="preserve"> </w:t>
      </w:r>
      <w:r>
        <w:rPr>
          <w:w w:val="95"/>
          <w:sz w:val="20"/>
        </w:rPr>
        <w:t>Terminal</w:t>
      </w:r>
      <w:r>
        <w:rPr>
          <w:spacing w:val="-11"/>
          <w:w w:val="95"/>
          <w:sz w:val="20"/>
        </w:rPr>
        <w:t xml:space="preserve"> </w:t>
      </w:r>
      <w:r>
        <w:rPr>
          <w:w w:val="95"/>
          <w:sz w:val="20"/>
        </w:rPr>
        <w:t>–</w:t>
      </w:r>
      <w:r>
        <w:rPr>
          <w:spacing w:val="-11"/>
          <w:w w:val="95"/>
          <w:sz w:val="20"/>
        </w:rPr>
        <w:t xml:space="preserve"> </w:t>
      </w:r>
      <w:r>
        <w:rPr>
          <w:w w:val="95"/>
          <w:sz w:val="20"/>
        </w:rPr>
        <w:t>serving</w:t>
      </w:r>
      <w:r>
        <w:rPr>
          <w:spacing w:val="-11"/>
          <w:w w:val="95"/>
          <w:sz w:val="20"/>
        </w:rPr>
        <w:t xml:space="preserve"> </w:t>
      </w:r>
      <w:r>
        <w:rPr>
          <w:w w:val="95"/>
          <w:sz w:val="20"/>
        </w:rPr>
        <w:t>the</w:t>
      </w:r>
      <w:r>
        <w:rPr>
          <w:spacing w:val="-11"/>
          <w:w w:val="95"/>
          <w:sz w:val="20"/>
        </w:rPr>
        <w:t xml:space="preserve"> </w:t>
      </w:r>
      <w:r>
        <w:rPr>
          <w:w w:val="95"/>
          <w:sz w:val="20"/>
        </w:rPr>
        <w:t xml:space="preserve">Central </w:t>
      </w:r>
      <w:r>
        <w:rPr>
          <w:sz w:val="20"/>
        </w:rPr>
        <w:t>Coast,</w:t>
      </w:r>
      <w:r>
        <w:rPr>
          <w:spacing w:val="-14"/>
          <w:sz w:val="20"/>
        </w:rPr>
        <w:t xml:space="preserve"> </w:t>
      </w:r>
      <w:r>
        <w:rPr>
          <w:sz w:val="20"/>
        </w:rPr>
        <w:t>Hunter,</w:t>
      </w:r>
      <w:r>
        <w:rPr>
          <w:spacing w:val="-14"/>
          <w:sz w:val="20"/>
        </w:rPr>
        <w:t xml:space="preserve"> </w:t>
      </w:r>
      <w:r>
        <w:rPr>
          <w:sz w:val="20"/>
        </w:rPr>
        <w:t>Illawarra</w:t>
      </w:r>
      <w:r>
        <w:rPr>
          <w:spacing w:val="-14"/>
          <w:sz w:val="20"/>
        </w:rPr>
        <w:t xml:space="preserve"> </w:t>
      </w:r>
      <w:r>
        <w:rPr>
          <w:sz w:val="20"/>
        </w:rPr>
        <w:t>and</w:t>
      </w:r>
      <w:r>
        <w:rPr>
          <w:spacing w:val="-14"/>
          <w:sz w:val="20"/>
        </w:rPr>
        <w:t xml:space="preserve"> </w:t>
      </w:r>
      <w:r>
        <w:rPr>
          <w:sz w:val="20"/>
        </w:rPr>
        <w:t>Blue</w:t>
      </w:r>
      <w:r>
        <w:rPr>
          <w:spacing w:val="-14"/>
          <w:sz w:val="20"/>
        </w:rPr>
        <w:t xml:space="preserve"> </w:t>
      </w:r>
      <w:r>
        <w:rPr>
          <w:sz w:val="20"/>
        </w:rPr>
        <w:t>Mountains.</w:t>
      </w:r>
    </w:p>
    <w:p w:rsidR="002C1123" w:rsidRDefault="002C1123">
      <w:pPr>
        <w:pStyle w:val="BodyText"/>
        <w:spacing w:before="5"/>
        <w:rPr>
          <w:sz w:val="23"/>
        </w:rPr>
      </w:pPr>
    </w:p>
    <w:p w:rsidR="002C1123" w:rsidRDefault="00F22F94">
      <w:pPr>
        <w:pStyle w:val="Heading5"/>
        <w:numPr>
          <w:ilvl w:val="1"/>
          <w:numId w:val="86"/>
        </w:numPr>
        <w:tabs>
          <w:tab w:val="left" w:pos="942"/>
        </w:tabs>
        <w:spacing w:before="0"/>
        <w:ind w:left="941" w:hanging="450"/>
        <w:jc w:val="left"/>
        <w:rPr>
          <w:color w:val="00AEEF"/>
        </w:rPr>
      </w:pPr>
      <w:r>
        <w:rPr>
          <w:color w:val="00AEEF"/>
          <w:spacing w:val="-4"/>
        </w:rPr>
        <w:t>Mainline</w:t>
      </w:r>
      <w:r>
        <w:rPr>
          <w:color w:val="00AEEF"/>
          <w:spacing w:val="-6"/>
        </w:rPr>
        <w:t xml:space="preserve"> </w:t>
      </w:r>
      <w:r>
        <w:rPr>
          <w:color w:val="00AEEF"/>
          <w:spacing w:val="-4"/>
        </w:rPr>
        <w:t>acceleration</w:t>
      </w:r>
      <w:r>
        <w:rPr>
          <w:color w:val="00AEEF"/>
          <w:spacing w:val="-6"/>
        </w:rPr>
        <w:t xml:space="preserve"> </w:t>
      </w:r>
      <w:r>
        <w:rPr>
          <w:color w:val="00AEEF"/>
          <w:spacing w:val="-4"/>
        </w:rPr>
        <w:t>program</w:t>
      </w:r>
    </w:p>
    <w:p w:rsidR="002C1123" w:rsidRDefault="00F22F94">
      <w:pPr>
        <w:pStyle w:val="Heading6"/>
        <w:numPr>
          <w:ilvl w:val="2"/>
          <w:numId w:val="86"/>
        </w:numPr>
        <w:tabs>
          <w:tab w:val="left" w:pos="979"/>
        </w:tabs>
        <w:spacing w:before="135"/>
        <w:ind w:left="978" w:hanging="487"/>
        <w:jc w:val="left"/>
      </w:pPr>
      <w:r>
        <w:rPr>
          <w:color w:val="00AEEF"/>
          <w:spacing w:val="-2"/>
        </w:rPr>
        <w:t>Introduction</w:t>
      </w:r>
    </w:p>
    <w:p w:rsidR="002C1123" w:rsidRDefault="00F22F94">
      <w:pPr>
        <w:pStyle w:val="BodyText"/>
        <w:spacing w:before="95" w:line="249" w:lineRule="auto"/>
        <w:ind w:left="492"/>
      </w:pPr>
      <w:r>
        <w:t>The</w:t>
      </w:r>
      <w:r>
        <w:rPr>
          <w:spacing w:val="-14"/>
        </w:rPr>
        <w:t xml:space="preserve"> </w:t>
      </w:r>
      <w:r>
        <w:t>average</w:t>
      </w:r>
      <w:r>
        <w:rPr>
          <w:spacing w:val="-14"/>
        </w:rPr>
        <w:t xml:space="preserve"> </w:t>
      </w:r>
      <w:r>
        <w:t>trip</w:t>
      </w:r>
      <w:r>
        <w:rPr>
          <w:spacing w:val="-14"/>
        </w:rPr>
        <w:t xml:space="preserve"> </w:t>
      </w:r>
      <w:r>
        <w:t>on</w:t>
      </w:r>
      <w:r>
        <w:rPr>
          <w:spacing w:val="-14"/>
        </w:rPr>
        <w:t xml:space="preserve"> </w:t>
      </w:r>
      <w:r>
        <w:t>CityRail</w:t>
      </w:r>
      <w:r>
        <w:rPr>
          <w:spacing w:val="-14"/>
        </w:rPr>
        <w:t xml:space="preserve"> </w:t>
      </w:r>
      <w:r>
        <w:t>takes</w:t>
      </w:r>
      <w:r>
        <w:rPr>
          <w:spacing w:val="-14"/>
        </w:rPr>
        <w:t xml:space="preserve"> </w:t>
      </w:r>
      <w:r>
        <w:t>around</w:t>
      </w:r>
      <w:r>
        <w:rPr>
          <w:spacing w:val="-14"/>
        </w:rPr>
        <w:t xml:space="preserve"> </w:t>
      </w:r>
      <w:r>
        <w:t>half</w:t>
      </w:r>
      <w:r>
        <w:rPr>
          <w:spacing w:val="-14"/>
        </w:rPr>
        <w:t xml:space="preserve"> </w:t>
      </w:r>
      <w:r>
        <w:t>an</w:t>
      </w:r>
      <w:r>
        <w:rPr>
          <w:spacing w:val="-14"/>
        </w:rPr>
        <w:t xml:space="preserve"> </w:t>
      </w:r>
      <w:r>
        <w:t xml:space="preserve">hour </w:t>
      </w:r>
      <w:r>
        <w:rPr>
          <w:w w:val="95"/>
        </w:rPr>
        <w:t>and</w:t>
      </w:r>
      <w:r>
        <w:rPr>
          <w:spacing w:val="-7"/>
          <w:w w:val="95"/>
        </w:rPr>
        <w:t xml:space="preserve"> </w:t>
      </w:r>
      <w:r>
        <w:rPr>
          <w:w w:val="95"/>
        </w:rPr>
        <w:t>covers</w:t>
      </w:r>
      <w:r>
        <w:rPr>
          <w:spacing w:val="-7"/>
          <w:w w:val="95"/>
        </w:rPr>
        <w:t xml:space="preserve"> </w:t>
      </w:r>
      <w:r>
        <w:rPr>
          <w:w w:val="95"/>
        </w:rPr>
        <w:t>a</w:t>
      </w:r>
      <w:r>
        <w:rPr>
          <w:spacing w:val="-7"/>
          <w:w w:val="95"/>
        </w:rPr>
        <w:t xml:space="preserve"> </w:t>
      </w:r>
      <w:r>
        <w:rPr>
          <w:w w:val="95"/>
        </w:rPr>
        <w:t>distance</w:t>
      </w:r>
      <w:r>
        <w:rPr>
          <w:spacing w:val="-7"/>
          <w:w w:val="95"/>
        </w:rPr>
        <w:t xml:space="preserve"> </w:t>
      </w:r>
      <w:r>
        <w:rPr>
          <w:w w:val="95"/>
        </w:rPr>
        <w:t>of</w:t>
      </w:r>
      <w:r>
        <w:rPr>
          <w:spacing w:val="-7"/>
          <w:w w:val="95"/>
        </w:rPr>
        <w:t xml:space="preserve"> </w:t>
      </w:r>
      <w:r>
        <w:rPr>
          <w:w w:val="95"/>
        </w:rPr>
        <w:t>slightly</w:t>
      </w:r>
      <w:r>
        <w:rPr>
          <w:spacing w:val="-7"/>
          <w:w w:val="95"/>
        </w:rPr>
        <w:t xml:space="preserve"> </w:t>
      </w:r>
      <w:r>
        <w:rPr>
          <w:w w:val="95"/>
        </w:rPr>
        <w:t>under</w:t>
      </w:r>
      <w:r>
        <w:rPr>
          <w:spacing w:val="-7"/>
          <w:w w:val="95"/>
        </w:rPr>
        <w:t xml:space="preserve"> </w:t>
      </w:r>
      <w:r>
        <w:rPr>
          <w:w w:val="95"/>
        </w:rPr>
        <w:t>20</w:t>
      </w:r>
      <w:r>
        <w:rPr>
          <w:spacing w:val="-7"/>
          <w:w w:val="95"/>
        </w:rPr>
        <w:t xml:space="preserve"> </w:t>
      </w:r>
      <w:r>
        <w:rPr>
          <w:w w:val="95"/>
        </w:rPr>
        <w:t>kilometres.</w:t>
      </w:r>
      <w:r>
        <w:rPr>
          <w:spacing w:val="-7"/>
          <w:w w:val="95"/>
        </w:rPr>
        <w:t xml:space="preserve"> </w:t>
      </w:r>
      <w:r>
        <w:rPr>
          <w:w w:val="95"/>
        </w:rPr>
        <w:t xml:space="preserve">For </w:t>
      </w:r>
      <w:r>
        <w:t>these</w:t>
      </w:r>
      <w:r>
        <w:rPr>
          <w:spacing w:val="-14"/>
        </w:rPr>
        <w:t xml:space="preserve"> </w:t>
      </w:r>
      <w:r>
        <w:t>journey</w:t>
      </w:r>
      <w:r>
        <w:rPr>
          <w:spacing w:val="-14"/>
        </w:rPr>
        <w:t xml:space="preserve"> </w:t>
      </w:r>
      <w:r>
        <w:t>types,</w:t>
      </w:r>
      <w:r>
        <w:rPr>
          <w:spacing w:val="-14"/>
        </w:rPr>
        <w:t xml:space="preserve"> </w:t>
      </w:r>
      <w:r>
        <w:t>frequency</w:t>
      </w:r>
      <w:r>
        <w:rPr>
          <w:spacing w:val="-14"/>
        </w:rPr>
        <w:t xml:space="preserve"> </w:t>
      </w:r>
      <w:r>
        <w:t>and</w:t>
      </w:r>
      <w:r>
        <w:rPr>
          <w:spacing w:val="-14"/>
        </w:rPr>
        <w:t xml:space="preserve"> </w:t>
      </w:r>
      <w:r>
        <w:t>reliability</w:t>
      </w:r>
      <w:r>
        <w:rPr>
          <w:spacing w:val="-14"/>
        </w:rPr>
        <w:t xml:space="preserve"> </w:t>
      </w:r>
      <w:r>
        <w:t>of</w:t>
      </w:r>
      <w:r>
        <w:rPr>
          <w:spacing w:val="-14"/>
        </w:rPr>
        <w:t xml:space="preserve"> </w:t>
      </w:r>
      <w:r>
        <w:t>service are more important than speed.</w:t>
      </w:r>
    </w:p>
    <w:p w:rsidR="002C1123" w:rsidRDefault="00F22F94">
      <w:pPr>
        <w:pStyle w:val="BodyText"/>
        <w:spacing w:before="145" w:line="249" w:lineRule="auto"/>
        <w:ind w:left="492" w:right="106"/>
      </w:pPr>
      <w:r>
        <w:rPr>
          <w:spacing w:val="-2"/>
        </w:rPr>
        <w:t>However,</w:t>
      </w:r>
      <w:r>
        <w:rPr>
          <w:spacing w:val="-6"/>
        </w:rPr>
        <w:t xml:space="preserve"> </w:t>
      </w:r>
      <w:r>
        <w:rPr>
          <w:spacing w:val="-2"/>
        </w:rPr>
        <w:t>there</w:t>
      </w:r>
      <w:r>
        <w:rPr>
          <w:spacing w:val="-6"/>
        </w:rPr>
        <w:t xml:space="preserve"> </w:t>
      </w:r>
      <w:r>
        <w:rPr>
          <w:spacing w:val="-2"/>
        </w:rPr>
        <w:t>are</w:t>
      </w:r>
      <w:r>
        <w:rPr>
          <w:spacing w:val="-6"/>
        </w:rPr>
        <w:t xml:space="preserve"> </w:t>
      </w:r>
      <w:r>
        <w:rPr>
          <w:spacing w:val="-2"/>
        </w:rPr>
        <w:t>significant</w:t>
      </w:r>
      <w:r>
        <w:rPr>
          <w:spacing w:val="-6"/>
        </w:rPr>
        <w:t xml:space="preserve"> </w:t>
      </w:r>
      <w:r>
        <w:rPr>
          <w:spacing w:val="-2"/>
        </w:rPr>
        <w:t>markets</w:t>
      </w:r>
      <w:r>
        <w:rPr>
          <w:spacing w:val="-6"/>
        </w:rPr>
        <w:t xml:space="preserve"> </w:t>
      </w:r>
      <w:r>
        <w:rPr>
          <w:spacing w:val="-2"/>
        </w:rPr>
        <w:t>where</w:t>
      </w:r>
      <w:r>
        <w:rPr>
          <w:spacing w:val="-6"/>
        </w:rPr>
        <w:t xml:space="preserve"> </w:t>
      </w:r>
      <w:r>
        <w:rPr>
          <w:spacing w:val="-2"/>
        </w:rPr>
        <w:t xml:space="preserve">journey </w:t>
      </w:r>
      <w:r>
        <w:t>time</w:t>
      </w:r>
      <w:r>
        <w:rPr>
          <w:spacing w:val="-10"/>
        </w:rPr>
        <w:t xml:space="preserve"> </w:t>
      </w:r>
      <w:r>
        <w:t>is</w:t>
      </w:r>
      <w:r>
        <w:rPr>
          <w:spacing w:val="-10"/>
        </w:rPr>
        <w:t xml:space="preserve"> </w:t>
      </w:r>
      <w:r>
        <w:t>a</w:t>
      </w:r>
      <w:r>
        <w:rPr>
          <w:spacing w:val="-10"/>
        </w:rPr>
        <w:t xml:space="preserve"> </w:t>
      </w:r>
      <w:r>
        <w:t>more</w:t>
      </w:r>
      <w:r>
        <w:rPr>
          <w:spacing w:val="-10"/>
        </w:rPr>
        <w:t xml:space="preserve"> </w:t>
      </w:r>
      <w:r>
        <w:t>important</w:t>
      </w:r>
      <w:r>
        <w:rPr>
          <w:spacing w:val="-10"/>
        </w:rPr>
        <w:t xml:space="preserve"> </w:t>
      </w:r>
      <w:r>
        <w:t>driver</w:t>
      </w:r>
      <w:r>
        <w:rPr>
          <w:spacing w:val="-10"/>
        </w:rPr>
        <w:t xml:space="preserve"> </w:t>
      </w:r>
      <w:r>
        <w:t>of</w:t>
      </w:r>
      <w:r>
        <w:rPr>
          <w:spacing w:val="-10"/>
        </w:rPr>
        <w:t xml:space="preserve"> </w:t>
      </w:r>
      <w:r>
        <w:t>demand.</w:t>
      </w:r>
      <w:r>
        <w:rPr>
          <w:spacing w:val="-10"/>
        </w:rPr>
        <w:t xml:space="preserve"> </w:t>
      </w:r>
      <w:r>
        <w:t xml:space="preserve">These </w:t>
      </w:r>
      <w:r>
        <w:rPr>
          <w:w w:val="95"/>
        </w:rPr>
        <w:t xml:space="preserve">include the Central Coast, Hunter and Illawarra. Faster </w:t>
      </w:r>
      <w:r>
        <w:t>trains</w:t>
      </w:r>
      <w:r>
        <w:rPr>
          <w:spacing w:val="-14"/>
        </w:rPr>
        <w:t xml:space="preserve"> </w:t>
      </w:r>
      <w:r>
        <w:t>to</w:t>
      </w:r>
      <w:r>
        <w:rPr>
          <w:spacing w:val="-14"/>
        </w:rPr>
        <w:t xml:space="preserve"> </w:t>
      </w:r>
      <w:r>
        <w:t>these</w:t>
      </w:r>
      <w:r>
        <w:rPr>
          <w:spacing w:val="-14"/>
        </w:rPr>
        <w:t xml:space="preserve"> </w:t>
      </w:r>
      <w:r>
        <w:t>destinations</w:t>
      </w:r>
      <w:r>
        <w:rPr>
          <w:spacing w:val="-14"/>
        </w:rPr>
        <w:t xml:space="preserve"> </w:t>
      </w:r>
      <w:r>
        <w:t>would</w:t>
      </w:r>
      <w:r>
        <w:rPr>
          <w:spacing w:val="-13"/>
        </w:rPr>
        <w:t xml:space="preserve"> </w:t>
      </w:r>
      <w:r>
        <w:t>effectively</w:t>
      </w:r>
      <w:r>
        <w:rPr>
          <w:spacing w:val="-14"/>
        </w:rPr>
        <w:t xml:space="preserve"> </w:t>
      </w:r>
      <w:r>
        <w:t xml:space="preserve">expand </w:t>
      </w:r>
      <w:r>
        <w:rPr>
          <w:w w:val="95"/>
        </w:rPr>
        <w:t xml:space="preserve">the catchment area from which people can access jobs </w:t>
      </w:r>
      <w:r>
        <w:t>in</w:t>
      </w:r>
      <w:r>
        <w:rPr>
          <w:spacing w:val="-11"/>
        </w:rPr>
        <w:t xml:space="preserve"> </w:t>
      </w:r>
      <w:r>
        <w:t>Global</w:t>
      </w:r>
      <w:r>
        <w:rPr>
          <w:spacing w:val="-11"/>
        </w:rPr>
        <w:t xml:space="preserve"> </w:t>
      </w:r>
      <w:r>
        <w:t>Sydney</w:t>
      </w:r>
      <w:r>
        <w:rPr>
          <w:spacing w:val="-11"/>
        </w:rPr>
        <w:t xml:space="preserve"> </w:t>
      </w:r>
      <w:r>
        <w:t>and</w:t>
      </w:r>
      <w:r>
        <w:rPr>
          <w:spacing w:val="-11"/>
        </w:rPr>
        <w:t xml:space="preserve"> </w:t>
      </w:r>
      <w:r>
        <w:t>spread</w:t>
      </w:r>
      <w:r>
        <w:rPr>
          <w:spacing w:val="-11"/>
        </w:rPr>
        <w:t xml:space="preserve"> </w:t>
      </w:r>
      <w:r>
        <w:t>our</w:t>
      </w:r>
      <w:r>
        <w:rPr>
          <w:spacing w:val="-11"/>
        </w:rPr>
        <w:t xml:space="preserve"> </w:t>
      </w:r>
      <w:r>
        <w:t>growing</w:t>
      </w:r>
      <w:r>
        <w:rPr>
          <w:spacing w:val="-11"/>
        </w:rPr>
        <w:t xml:space="preserve"> </w:t>
      </w:r>
      <w:r>
        <w:t>population across a larger area.</w:t>
      </w:r>
    </w:p>
    <w:p w:rsidR="002C1123" w:rsidRDefault="00F22F94">
      <w:pPr>
        <w:pStyle w:val="BodyText"/>
        <w:spacing w:before="147" w:line="249" w:lineRule="auto"/>
        <w:ind w:left="492"/>
      </w:pPr>
      <w:r>
        <w:t>Gosford</w:t>
      </w:r>
      <w:r>
        <w:rPr>
          <w:spacing w:val="-8"/>
        </w:rPr>
        <w:t xml:space="preserve"> </w:t>
      </w:r>
      <w:r>
        <w:t>and</w:t>
      </w:r>
      <w:r>
        <w:rPr>
          <w:spacing w:val="-8"/>
        </w:rPr>
        <w:t xml:space="preserve"> </w:t>
      </w:r>
      <w:r>
        <w:t>Wollongong</w:t>
      </w:r>
      <w:r>
        <w:rPr>
          <w:spacing w:val="-8"/>
        </w:rPr>
        <w:t xml:space="preserve"> </w:t>
      </w:r>
      <w:r>
        <w:t>are</w:t>
      </w:r>
      <w:r>
        <w:rPr>
          <w:spacing w:val="-8"/>
        </w:rPr>
        <w:t xml:space="preserve"> </w:t>
      </w:r>
      <w:r>
        <w:t>both</w:t>
      </w:r>
      <w:r>
        <w:rPr>
          <w:spacing w:val="-8"/>
        </w:rPr>
        <w:t xml:space="preserve"> </w:t>
      </w:r>
      <w:r>
        <w:t>80</w:t>
      </w:r>
      <w:r>
        <w:rPr>
          <w:spacing w:val="-8"/>
        </w:rPr>
        <w:t xml:space="preserve"> </w:t>
      </w:r>
      <w:r>
        <w:t>kilometres</w:t>
      </w:r>
      <w:r>
        <w:rPr>
          <w:spacing w:val="-8"/>
        </w:rPr>
        <w:t xml:space="preserve"> </w:t>
      </w:r>
      <w:r>
        <w:t>from Sydney.</w:t>
      </w:r>
      <w:r>
        <w:rPr>
          <w:spacing w:val="-14"/>
        </w:rPr>
        <w:t xml:space="preserve"> </w:t>
      </w:r>
      <w:r>
        <w:t>Express</w:t>
      </w:r>
      <w:r>
        <w:rPr>
          <w:spacing w:val="-14"/>
        </w:rPr>
        <w:t xml:space="preserve"> </w:t>
      </w:r>
      <w:r>
        <w:t>services</w:t>
      </w:r>
      <w:r>
        <w:rPr>
          <w:spacing w:val="-14"/>
        </w:rPr>
        <w:t xml:space="preserve"> </w:t>
      </w:r>
      <w:r>
        <w:t>currently</w:t>
      </w:r>
      <w:r>
        <w:rPr>
          <w:spacing w:val="-14"/>
        </w:rPr>
        <w:t xml:space="preserve"> </w:t>
      </w:r>
      <w:r>
        <w:t>take</w:t>
      </w:r>
      <w:r>
        <w:rPr>
          <w:spacing w:val="-14"/>
        </w:rPr>
        <w:t xml:space="preserve"> </w:t>
      </w:r>
      <w:r>
        <w:t>around</w:t>
      </w:r>
      <w:r>
        <w:rPr>
          <w:spacing w:val="-14"/>
        </w:rPr>
        <w:t xml:space="preserve"> </w:t>
      </w:r>
      <w:r>
        <w:t xml:space="preserve">80 </w:t>
      </w:r>
      <w:r>
        <w:rPr>
          <w:w w:val="95"/>
        </w:rPr>
        <w:t xml:space="preserve">minutes from Gosford and 90 minutes from Wollongong, </w:t>
      </w:r>
      <w:r>
        <w:t>which</w:t>
      </w:r>
      <w:r>
        <w:rPr>
          <w:spacing w:val="-14"/>
        </w:rPr>
        <w:t xml:space="preserve"> </w:t>
      </w:r>
      <w:r>
        <w:t>limits</w:t>
      </w:r>
      <w:r>
        <w:rPr>
          <w:spacing w:val="-14"/>
        </w:rPr>
        <w:t xml:space="preserve"> </w:t>
      </w:r>
      <w:r>
        <w:t>the</w:t>
      </w:r>
      <w:r>
        <w:rPr>
          <w:spacing w:val="-14"/>
        </w:rPr>
        <w:t xml:space="preserve"> </w:t>
      </w:r>
      <w:r>
        <w:t>size</w:t>
      </w:r>
      <w:r>
        <w:rPr>
          <w:spacing w:val="-14"/>
        </w:rPr>
        <w:t xml:space="preserve"> </w:t>
      </w:r>
      <w:r>
        <w:t>of</w:t>
      </w:r>
      <w:r>
        <w:rPr>
          <w:spacing w:val="-14"/>
        </w:rPr>
        <w:t xml:space="preserve"> </w:t>
      </w:r>
      <w:r>
        <w:t>the</w:t>
      </w:r>
      <w:r>
        <w:rPr>
          <w:spacing w:val="-13"/>
        </w:rPr>
        <w:t xml:space="preserve"> </w:t>
      </w:r>
      <w:r>
        <w:t>commuter</w:t>
      </w:r>
      <w:r>
        <w:rPr>
          <w:spacing w:val="-14"/>
        </w:rPr>
        <w:t xml:space="preserve"> </w:t>
      </w:r>
      <w:r>
        <w:t>market.</w:t>
      </w:r>
      <w:r>
        <w:rPr>
          <w:spacing w:val="-14"/>
        </w:rPr>
        <w:t xml:space="preserve"> </w:t>
      </w:r>
      <w:r>
        <w:t>CityRail express</w:t>
      </w:r>
      <w:r>
        <w:rPr>
          <w:spacing w:val="-14"/>
        </w:rPr>
        <w:t xml:space="preserve"> </w:t>
      </w:r>
      <w:r>
        <w:t>services</w:t>
      </w:r>
      <w:r>
        <w:rPr>
          <w:spacing w:val="-14"/>
        </w:rPr>
        <w:t xml:space="preserve"> </w:t>
      </w:r>
      <w:r>
        <w:t>from</w:t>
      </w:r>
      <w:r>
        <w:rPr>
          <w:spacing w:val="-14"/>
        </w:rPr>
        <w:t xml:space="preserve"> </w:t>
      </w:r>
      <w:r>
        <w:t>Newcastle</w:t>
      </w:r>
      <w:r>
        <w:rPr>
          <w:spacing w:val="-14"/>
        </w:rPr>
        <w:t xml:space="preserve"> </w:t>
      </w:r>
      <w:r>
        <w:t>to</w:t>
      </w:r>
      <w:r>
        <w:rPr>
          <w:spacing w:val="-14"/>
        </w:rPr>
        <w:t xml:space="preserve"> </w:t>
      </w:r>
      <w:r>
        <w:t>Sydney</w:t>
      </w:r>
      <w:r>
        <w:rPr>
          <w:spacing w:val="-14"/>
        </w:rPr>
        <w:t xml:space="preserve"> </w:t>
      </w:r>
      <w:r>
        <w:t>generally take</w:t>
      </w:r>
      <w:r>
        <w:rPr>
          <w:spacing w:val="-14"/>
        </w:rPr>
        <w:t xml:space="preserve"> </w:t>
      </w:r>
      <w:r>
        <w:t>around</w:t>
      </w:r>
      <w:r>
        <w:rPr>
          <w:spacing w:val="-14"/>
        </w:rPr>
        <w:t xml:space="preserve"> </w:t>
      </w:r>
      <w:r>
        <w:t>two</w:t>
      </w:r>
      <w:r>
        <w:rPr>
          <w:spacing w:val="-14"/>
        </w:rPr>
        <w:t xml:space="preserve"> </w:t>
      </w:r>
      <w:r>
        <w:t>hours</w:t>
      </w:r>
      <w:r>
        <w:rPr>
          <w:spacing w:val="-14"/>
        </w:rPr>
        <w:t xml:space="preserve"> </w:t>
      </w:r>
      <w:r>
        <w:t>and</w:t>
      </w:r>
      <w:r>
        <w:rPr>
          <w:spacing w:val="-14"/>
        </w:rPr>
        <w:t xml:space="preserve"> </w:t>
      </w:r>
      <w:r>
        <w:t>40</w:t>
      </w:r>
      <w:r>
        <w:rPr>
          <w:spacing w:val="-14"/>
        </w:rPr>
        <w:t xml:space="preserve"> </w:t>
      </w:r>
      <w:r>
        <w:t>minutes,</w:t>
      </w:r>
      <w:r>
        <w:rPr>
          <w:spacing w:val="-14"/>
        </w:rPr>
        <w:t xml:space="preserve"> </w:t>
      </w:r>
      <w:r>
        <w:t>which</w:t>
      </w:r>
      <w:r>
        <w:rPr>
          <w:spacing w:val="-14"/>
        </w:rPr>
        <w:t xml:space="preserve"> </w:t>
      </w:r>
      <w:r>
        <w:t>is</w:t>
      </w:r>
      <w:r>
        <w:rPr>
          <w:spacing w:val="-14"/>
        </w:rPr>
        <w:t xml:space="preserve"> </w:t>
      </w:r>
      <w:r>
        <w:t>slower than</w:t>
      </w:r>
      <w:r>
        <w:rPr>
          <w:spacing w:val="-10"/>
        </w:rPr>
        <w:t xml:space="preserve"> </w:t>
      </w:r>
      <w:r>
        <w:t>the</w:t>
      </w:r>
      <w:r>
        <w:rPr>
          <w:spacing w:val="-10"/>
        </w:rPr>
        <w:t xml:space="preserve"> </w:t>
      </w:r>
      <w:r>
        <w:t>pre-war</w:t>
      </w:r>
      <w:r>
        <w:rPr>
          <w:spacing w:val="-10"/>
        </w:rPr>
        <w:t xml:space="preserve"> </w:t>
      </w:r>
      <w:r>
        <w:t>“Newcastle</w:t>
      </w:r>
      <w:r>
        <w:rPr>
          <w:spacing w:val="-10"/>
        </w:rPr>
        <w:t xml:space="preserve"> </w:t>
      </w:r>
      <w:r>
        <w:t>Flyer”</w:t>
      </w:r>
      <w:r>
        <w:rPr>
          <w:spacing w:val="-10"/>
        </w:rPr>
        <w:t xml:space="preserve"> </w:t>
      </w:r>
      <w:r>
        <w:t>steam</w:t>
      </w:r>
      <w:r>
        <w:rPr>
          <w:spacing w:val="-10"/>
        </w:rPr>
        <w:t xml:space="preserve"> </w:t>
      </w:r>
      <w:r>
        <w:t>train.</w:t>
      </w:r>
    </w:p>
    <w:p w:rsidR="002C1123" w:rsidRDefault="00F22F94">
      <w:pPr>
        <w:pStyle w:val="BodyText"/>
        <w:spacing w:before="148"/>
        <w:ind w:left="492"/>
      </w:pPr>
      <w:r>
        <w:rPr>
          <w:w w:val="95"/>
        </w:rPr>
        <w:t>Based</w:t>
      </w:r>
      <w:r>
        <w:rPr>
          <w:spacing w:val="-4"/>
          <w:w w:val="95"/>
        </w:rPr>
        <w:t xml:space="preserve"> </w:t>
      </w:r>
      <w:r>
        <w:rPr>
          <w:w w:val="95"/>
        </w:rPr>
        <w:t>on</w:t>
      </w:r>
      <w:r>
        <w:rPr>
          <w:spacing w:val="-3"/>
          <w:w w:val="95"/>
        </w:rPr>
        <w:t xml:space="preserve"> </w:t>
      </w:r>
      <w:r>
        <w:rPr>
          <w:w w:val="95"/>
        </w:rPr>
        <w:t>international</w:t>
      </w:r>
      <w:r>
        <w:rPr>
          <w:spacing w:val="-3"/>
          <w:w w:val="95"/>
        </w:rPr>
        <w:t xml:space="preserve"> </w:t>
      </w:r>
      <w:r>
        <w:rPr>
          <w:w w:val="95"/>
        </w:rPr>
        <w:t>comparators,</w:t>
      </w:r>
      <w:r>
        <w:rPr>
          <w:spacing w:val="-4"/>
          <w:w w:val="95"/>
        </w:rPr>
        <w:t xml:space="preserve"> </w:t>
      </w:r>
      <w:r>
        <w:rPr>
          <w:w w:val="95"/>
        </w:rPr>
        <w:t>Infrastructure</w:t>
      </w:r>
      <w:r>
        <w:rPr>
          <w:spacing w:val="-3"/>
          <w:w w:val="95"/>
        </w:rPr>
        <w:t xml:space="preserve"> </w:t>
      </w:r>
      <w:r>
        <w:rPr>
          <w:spacing w:val="-5"/>
          <w:w w:val="95"/>
        </w:rPr>
        <w:t>NSW</w:t>
      </w:r>
    </w:p>
    <w:p w:rsidR="002C1123" w:rsidRDefault="00F22F94">
      <w:pPr>
        <w:pStyle w:val="BodyText"/>
        <w:spacing w:before="106" w:line="249" w:lineRule="auto"/>
        <w:ind w:left="203" w:right="438"/>
      </w:pPr>
      <w:r>
        <w:br w:type="column"/>
      </w:r>
      <w:r>
        <w:t>considers</w:t>
      </w:r>
      <w:r>
        <w:rPr>
          <w:spacing w:val="-14"/>
        </w:rPr>
        <w:t xml:space="preserve"> </w:t>
      </w:r>
      <w:r>
        <w:t>that</w:t>
      </w:r>
      <w:r>
        <w:rPr>
          <w:spacing w:val="-14"/>
        </w:rPr>
        <w:t xml:space="preserve"> </w:t>
      </w:r>
      <w:r>
        <w:t>reductions</w:t>
      </w:r>
      <w:r>
        <w:rPr>
          <w:spacing w:val="-14"/>
        </w:rPr>
        <w:t xml:space="preserve"> </w:t>
      </w:r>
      <w:r>
        <w:t>in</w:t>
      </w:r>
      <w:r>
        <w:rPr>
          <w:spacing w:val="-14"/>
        </w:rPr>
        <w:t xml:space="preserve"> </w:t>
      </w:r>
      <w:r>
        <w:t>intercity</w:t>
      </w:r>
      <w:r>
        <w:rPr>
          <w:spacing w:val="-14"/>
        </w:rPr>
        <w:t xml:space="preserve"> </w:t>
      </w:r>
      <w:r>
        <w:t>journey</w:t>
      </w:r>
      <w:r>
        <w:rPr>
          <w:spacing w:val="-14"/>
        </w:rPr>
        <w:t xml:space="preserve"> </w:t>
      </w:r>
      <w:r>
        <w:t>times would</w:t>
      </w:r>
      <w:r>
        <w:rPr>
          <w:spacing w:val="-10"/>
        </w:rPr>
        <w:t xml:space="preserve"> </w:t>
      </w:r>
      <w:r>
        <w:t>be</w:t>
      </w:r>
      <w:r>
        <w:rPr>
          <w:spacing w:val="-10"/>
        </w:rPr>
        <w:t xml:space="preserve"> </w:t>
      </w:r>
      <w:r>
        <w:t>likely</w:t>
      </w:r>
      <w:r>
        <w:rPr>
          <w:spacing w:val="-10"/>
        </w:rPr>
        <w:t xml:space="preserve"> </w:t>
      </w:r>
      <w:r>
        <w:t>to</w:t>
      </w:r>
      <w:r>
        <w:rPr>
          <w:spacing w:val="-10"/>
        </w:rPr>
        <w:t xml:space="preserve"> </w:t>
      </w:r>
      <w:r>
        <w:t>stimulate</w:t>
      </w:r>
      <w:r>
        <w:rPr>
          <w:spacing w:val="-10"/>
        </w:rPr>
        <w:t xml:space="preserve"> </w:t>
      </w:r>
      <w:r>
        <w:t>considerable</w:t>
      </w:r>
      <w:r>
        <w:rPr>
          <w:spacing w:val="-10"/>
        </w:rPr>
        <w:t xml:space="preserve"> </w:t>
      </w:r>
      <w:r>
        <w:t>demand growth.</w:t>
      </w:r>
      <w:r>
        <w:rPr>
          <w:spacing w:val="-14"/>
        </w:rPr>
        <w:t xml:space="preserve"> </w:t>
      </w:r>
      <w:r>
        <w:t>Journey</w:t>
      </w:r>
      <w:r>
        <w:rPr>
          <w:spacing w:val="-14"/>
        </w:rPr>
        <w:t xml:space="preserve"> </w:t>
      </w:r>
      <w:r>
        <w:t>times</w:t>
      </w:r>
      <w:r>
        <w:rPr>
          <w:spacing w:val="-14"/>
        </w:rPr>
        <w:t xml:space="preserve"> </w:t>
      </w:r>
      <w:r>
        <w:t>to</w:t>
      </w:r>
      <w:r>
        <w:rPr>
          <w:spacing w:val="-14"/>
        </w:rPr>
        <w:t xml:space="preserve"> </w:t>
      </w:r>
      <w:r>
        <w:t>Sydney</w:t>
      </w:r>
      <w:r>
        <w:rPr>
          <w:spacing w:val="-14"/>
        </w:rPr>
        <w:t xml:space="preserve"> </w:t>
      </w:r>
      <w:r>
        <w:t>of</w:t>
      </w:r>
      <w:r>
        <w:rPr>
          <w:spacing w:val="-14"/>
        </w:rPr>
        <w:t xml:space="preserve"> </w:t>
      </w:r>
      <w:r>
        <w:t>one</w:t>
      </w:r>
      <w:r>
        <w:rPr>
          <w:spacing w:val="-14"/>
        </w:rPr>
        <w:t xml:space="preserve"> </w:t>
      </w:r>
      <w:r>
        <w:t>hour</w:t>
      </w:r>
      <w:r>
        <w:rPr>
          <w:spacing w:val="-13"/>
        </w:rPr>
        <w:t xml:space="preserve"> </w:t>
      </w:r>
      <w:r>
        <w:t xml:space="preserve">from </w:t>
      </w:r>
      <w:r>
        <w:rPr>
          <w:w w:val="95"/>
        </w:rPr>
        <w:t>the</w:t>
      </w:r>
      <w:r>
        <w:rPr>
          <w:spacing w:val="-5"/>
          <w:w w:val="95"/>
        </w:rPr>
        <w:t xml:space="preserve"> </w:t>
      </w:r>
      <w:r>
        <w:rPr>
          <w:w w:val="95"/>
        </w:rPr>
        <w:t>Central</w:t>
      </w:r>
      <w:r>
        <w:rPr>
          <w:spacing w:val="-5"/>
          <w:w w:val="95"/>
        </w:rPr>
        <w:t xml:space="preserve"> </w:t>
      </w:r>
      <w:r>
        <w:rPr>
          <w:w w:val="95"/>
        </w:rPr>
        <w:t>Coast</w:t>
      </w:r>
      <w:r>
        <w:rPr>
          <w:spacing w:val="-5"/>
          <w:w w:val="95"/>
        </w:rPr>
        <w:t xml:space="preserve"> </w:t>
      </w:r>
      <w:r>
        <w:rPr>
          <w:w w:val="95"/>
        </w:rPr>
        <w:t>and</w:t>
      </w:r>
      <w:r>
        <w:rPr>
          <w:spacing w:val="-5"/>
          <w:w w:val="95"/>
        </w:rPr>
        <w:t xml:space="preserve"> </w:t>
      </w:r>
      <w:r>
        <w:rPr>
          <w:w w:val="95"/>
        </w:rPr>
        <w:t>Illawarra,</w:t>
      </w:r>
      <w:r>
        <w:rPr>
          <w:spacing w:val="-5"/>
          <w:w w:val="95"/>
        </w:rPr>
        <w:t xml:space="preserve"> </w:t>
      </w:r>
      <w:r>
        <w:rPr>
          <w:w w:val="95"/>
        </w:rPr>
        <w:t>and</w:t>
      </w:r>
      <w:r>
        <w:rPr>
          <w:spacing w:val="-5"/>
          <w:w w:val="95"/>
        </w:rPr>
        <w:t xml:space="preserve"> </w:t>
      </w:r>
      <w:r>
        <w:rPr>
          <w:w w:val="95"/>
        </w:rPr>
        <w:t>two</w:t>
      </w:r>
      <w:r>
        <w:rPr>
          <w:spacing w:val="-5"/>
          <w:w w:val="95"/>
        </w:rPr>
        <w:t xml:space="preserve"> </w:t>
      </w:r>
      <w:r>
        <w:rPr>
          <w:w w:val="95"/>
        </w:rPr>
        <w:t>hours</w:t>
      </w:r>
      <w:r>
        <w:rPr>
          <w:spacing w:val="-5"/>
          <w:w w:val="95"/>
        </w:rPr>
        <w:t xml:space="preserve"> </w:t>
      </w:r>
      <w:r>
        <w:rPr>
          <w:w w:val="95"/>
        </w:rPr>
        <w:t xml:space="preserve">from Newcastle, would require services to operate at an </w:t>
      </w:r>
      <w:r>
        <w:t>average</w:t>
      </w:r>
      <w:r>
        <w:rPr>
          <w:spacing w:val="-9"/>
        </w:rPr>
        <w:t xml:space="preserve"> </w:t>
      </w:r>
      <w:r>
        <w:t>speed</w:t>
      </w:r>
      <w:r>
        <w:rPr>
          <w:spacing w:val="-9"/>
        </w:rPr>
        <w:t xml:space="preserve"> </w:t>
      </w:r>
      <w:r>
        <w:t>of</w:t>
      </w:r>
      <w:r>
        <w:rPr>
          <w:spacing w:val="-9"/>
        </w:rPr>
        <w:t xml:space="preserve"> </w:t>
      </w:r>
      <w:r>
        <w:t>80</w:t>
      </w:r>
      <w:r>
        <w:rPr>
          <w:spacing w:val="-9"/>
        </w:rPr>
        <w:t xml:space="preserve"> </w:t>
      </w:r>
      <w:r>
        <w:t>kilometres</w:t>
      </w:r>
      <w:r>
        <w:rPr>
          <w:spacing w:val="-9"/>
        </w:rPr>
        <w:t xml:space="preserve"> </w:t>
      </w:r>
      <w:r>
        <w:t>per</w:t>
      </w:r>
      <w:r>
        <w:rPr>
          <w:spacing w:val="-9"/>
        </w:rPr>
        <w:t xml:space="preserve"> </w:t>
      </w:r>
      <w:r>
        <w:t>hour.</w:t>
      </w:r>
    </w:p>
    <w:p w:rsidR="002C1123" w:rsidRDefault="00F22F94">
      <w:pPr>
        <w:pStyle w:val="Heading6"/>
        <w:numPr>
          <w:ilvl w:val="2"/>
          <w:numId w:val="86"/>
        </w:numPr>
        <w:tabs>
          <w:tab w:val="left" w:pos="690"/>
        </w:tabs>
        <w:spacing w:before="147"/>
        <w:ind w:left="689" w:hanging="487"/>
        <w:jc w:val="left"/>
      </w:pPr>
      <w:r>
        <w:rPr>
          <w:color w:val="00AEEF"/>
          <w:spacing w:val="-2"/>
        </w:rPr>
        <w:t>Incremental</w:t>
      </w:r>
      <w:r>
        <w:rPr>
          <w:color w:val="00AEEF"/>
          <w:spacing w:val="-9"/>
        </w:rPr>
        <w:t xml:space="preserve"> </w:t>
      </w:r>
      <w:r>
        <w:rPr>
          <w:color w:val="00AEEF"/>
          <w:spacing w:val="-2"/>
        </w:rPr>
        <w:t>Approach</w:t>
      </w:r>
    </w:p>
    <w:p w:rsidR="002C1123" w:rsidRDefault="00F22F94">
      <w:pPr>
        <w:pStyle w:val="BodyText"/>
        <w:spacing w:before="95" w:line="249" w:lineRule="auto"/>
        <w:ind w:left="203" w:right="82"/>
      </w:pPr>
      <w:r>
        <w:t>Funding</w:t>
      </w:r>
      <w:r>
        <w:rPr>
          <w:spacing w:val="-14"/>
        </w:rPr>
        <w:t xml:space="preserve"> </w:t>
      </w:r>
      <w:r>
        <w:t>constraints</w:t>
      </w:r>
      <w:r>
        <w:rPr>
          <w:spacing w:val="-14"/>
        </w:rPr>
        <w:t xml:space="preserve"> </w:t>
      </w:r>
      <w:r>
        <w:t>and</w:t>
      </w:r>
      <w:r>
        <w:rPr>
          <w:spacing w:val="-14"/>
        </w:rPr>
        <w:t xml:space="preserve"> </w:t>
      </w:r>
      <w:r>
        <w:t>the</w:t>
      </w:r>
      <w:r>
        <w:rPr>
          <w:spacing w:val="-14"/>
        </w:rPr>
        <w:t xml:space="preserve"> </w:t>
      </w:r>
      <w:r>
        <w:t>limited</w:t>
      </w:r>
      <w:r>
        <w:rPr>
          <w:spacing w:val="-14"/>
        </w:rPr>
        <w:t xml:space="preserve"> </w:t>
      </w:r>
      <w:r>
        <w:t>size</w:t>
      </w:r>
      <w:r>
        <w:rPr>
          <w:spacing w:val="-14"/>
        </w:rPr>
        <w:t xml:space="preserve"> </w:t>
      </w:r>
      <w:r>
        <w:t>of</w:t>
      </w:r>
      <w:r>
        <w:rPr>
          <w:spacing w:val="-14"/>
        </w:rPr>
        <w:t xml:space="preserve"> </w:t>
      </w:r>
      <w:r>
        <w:t>the</w:t>
      </w:r>
      <w:r>
        <w:rPr>
          <w:spacing w:val="-14"/>
        </w:rPr>
        <w:t xml:space="preserve"> </w:t>
      </w:r>
      <w:r>
        <w:t xml:space="preserve">market </w:t>
      </w:r>
      <w:r>
        <w:rPr>
          <w:spacing w:val="-2"/>
        </w:rPr>
        <w:t>are</w:t>
      </w:r>
      <w:r>
        <w:rPr>
          <w:spacing w:val="-6"/>
        </w:rPr>
        <w:t xml:space="preserve"> </w:t>
      </w:r>
      <w:r>
        <w:rPr>
          <w:spacing w:val="-2"/>
        </w:rPr>
        <w:t>likely</w:t>
      </w:r>
      <w:r>
        <w:rPr>
          <w:spacing w:val="-6"/>
        </w:rPr>
        <w:t xml:space="preserve"> </w:t>
      </w:r>
      <w:r>
        <w:rPr>
          <w:spacing w:val="-2"/>
        </w:rPr>
        <w:t>to</w:t>
      </w:r>
      <w:r>
        <w:rPr>
          <w:spacing w:val="-6"/>
        </w:rPr>
        <w:t xml:space="preserve"> </w:t>
      </w:r>
      <w:r>
        <w:rPr>
          <w:spacing w:val="-2"/>
        </w:rPr>
        <w:t>preclude</w:t>
      </w:r>
      <w:r>
        <w:rPr>
          <w:spacing w:val="-6"/>
        </w:rPr>
        <w:t xml:space="preserve"> </w:t>
      </w:r>
      <w:r>
        <w:rPr>
          <w:spacing w:val="-2"/>
        </w:rPr>
        <w:t>the</w:t>
      </w:r>
      <w:r>
        <w:rPr>
          <w:spacing w:val="-6"/>
        </w:rPr>
        <w:t xml:space="preserve"> </w:t>
      </w:r>
      <w:r>
        <w:rPr>
          <w:spacing w:val="-2"/>
        </w:rPr>
        <w:t>transformational</w:t>
      </w:r>
      <w:r>
        <w:rPr>
          <w:spacing w:val="-6"/>
        </w:rPr>
        <w:t xml:space="preserve"> </w:t>
      </w:r>
      <w:r>
        <w:rPr>
          <w:spacing w:val="-2"/>
        </w:rPr>
        <w:t>approach</w:t>
      </w:r>
      <w:r>
        <w:rPr>
          <w:spacing w:val="-6"/>
        </w:rPr>
        <w:t xml:space="preserve"> </w:t>
      </w:r>
      <w:r>
        <w:rPr>
          <w:spacing w:val="-2"/>
        </w:rPr>
        <w:t xml:space="preserve">of </w:t>
      </w:r>
      <w:r>
        <w:rPr>
          <w:w w:val="95"/>
        </w:rPr>
        <w:t>a</w:t>
      </w:r>
      <w:r>
        <w:rPr>
          <w:spacing w:val="-7"/>
          <w:w w:val="95"/>
        </w:rPr>
        <w:t xml:space="preserve"> </w:t>
      </w:r>
      <w:r>
        <w:rPr>
          <w:w w:val="95"/>
        </w:rPr>
        <w:t>new</w:t>
      </w:r>
      <w:r>
        <w:rPr>
          <w:spacing w:val="-7"/>
          <w:w w:val="95"/>
        </w:rPr>
        <w:t xml:space="preserve"> </w:t>
      </w:r>
      <w:r>
        <w:rPr>
          <w:w w:val="95"/>
        </w:rPr>
        <w:t>high</w:t>
      </w:r>
      <w:r>
        <w:rPr>
          <w:spacing w:val="-7"/>
          <w:w w:val="95"/>
        </w:rPr>
        <w:t xml:space="preserve"> </w:t>
      </w:r>
      <w:r>
        <w:rPr>
          <w:w w:val="95"/>
        </w:rPr>
        <w:t>speed</w:t>
      </w:r>
      <w:r>
        <w:rPr>
          <w:spacing w:val="-7"/>
          <w:w w:val="95"/>
        </w:rPr>
        <w:t xml:space="preserve"> </w:t>
      </w:r>
      <w:r>
        <w:rPr>
          <w:w w:val="95"/>
        </w:rPr>
        <w:t>line</w:t>
      </w:r>
      <w:r>
        <w:rPr>
          <w:spacing w:val="-7"/>
          <w:w w:val="95"/>
        </w:rPr>
        <w:t xml:space="preserve"> </w:t>
      </w:r>
      <w:r>
        <w:rPr>
          <w:w w:val="95"/>
        </w:rPr>
        <w:t>for</w:t>
      </w:r>
      <w:r>
        <w:rPr>
          <w:spacing w:val="-7"/>
          <w:w w:val="95"/>
        </w:rPr>
        <w:t xml:space="preserve"> </w:t>
      </w:r>
      <w:r>
        <w:rPr>
          <w:w w:val="95"/>
        </w:rPr>
        <w:t>at</w:t>
      </w:r>
      <w:r>
        <w:rPr>
          <w:spacing w:val="-7"/>
          <w:w w:val="95"/>
        </w:rPr>
        <w:t xml:space="preserve"> </w:t>
      </w:r>
      <w:r>
        <w:rPr>
          <w:w w:val="95"/>
        </w:rPr>
        <w:t>least</w:t>
      </w:r>
      <w:r>
        <w:rPr>
          <w:spacing w:val="-7"/>
          <w:w w:val="95"/>
        </w:rPr>
        <w:t xml:space="preserve"> </w:t>
      </w:r>
      <w:r>
        <w:rPr>
          <w:w w:val="95"/>
        </w:rPr>
        <w:t>20</w:t>
      </w:r>
      <w:r>
        <w:rPr>
          <w:spacing w:val="-7"/>
          <w:w w:val="95"/>
        </w:rPr>
        <w:t xml:space="preserve"> </w:t>
      </w:r>
      <w:r>
        <w:rPr>
          <w:w w:val="95"/>
        </w:rPr>
        <w:t>years.</w:t>
      </w:r>
      <w:r>
        <w:rPr>
          <w:spacing w:val="-7"/>
          <w:w w:val="95"/>
        </w:rPr>
        <w:t xml:space="preserve"> </w:t>
      </w:r>
      <w:r>
        <w:rPr>
          <w:w w:val="95"/>
        </w:rPr>
        <w:t xml:space="preserve">Accordingly, </w:t>
      </w:r>
      <w:r>
        <w:t>Infrastructure</w:t>
      </w:r>
      <w:r>
        <w:rPr>
          <w:spacing w:val="-9"/>
        </w:rPr>
        <w:t xml:space="preserve"> </w:t>
      </w:r>
      <w:r>
        <w:t>NSW’s</w:t>
      </w:r>
      <w:r>
        <w:rPr>
          <w:spacing w:val="-9"/>
        </w:rPr>
        <w:t xml:space="preserve"> </w:t>
      </w:r>
      <w:r>
        <w:t>proposed</w:t>
      </w:r>
      <w:r>
        <w:rPr>
          <w:spacing w:val="-9"/>
        </w:rPr>
        <w:t xml:space="preserve"> </w:t>
      </w:r>
      <w:r>
        <w:t>strategy</w:t>
      </w:r>
      <w:r>
        <w:rPr>
          <w:spacing w:val="-9"/>
        </w:rPr>
        <w:t xml:space="preserve"> </w:t>
      </w:r>
      <w:r>
        <w:t>is</w:t>
      </w:r>
      <w:r>
        <w:rPr>
          <w:spacing w:val="-9"/>
        </w:rPr>
        <w:t xml:space="preserve"> </w:t>
      </w:r>
      <w:r>
        <w:t xml:space="preserve">an </w:t>
      </w:r>
      <w:r>
        <w:rPr>
          <w:w w:val="95"/>
        </w:rPr>
        <w:t xml:space="preserve">incremental approach that seeks to deliver progressive </w:t>
      </w:r>
      <w:r>
        <w:rPr>
          <w:spacing w:val="-2"/>
        </w:rPr>
        <w:t>reduction</w:t>
      </w:r>
      <w:r>
        <w:rPr>
          <w:spacing w:val="-10"/>
        </w:rPr>
        <w:t xml:space="preserve"> </w:t>
      </w:r>
      <w:r>
        <w:rPr>
          <w:spacing w:val="-2"/>
        </w:rPr>
        <w:t>in</w:t>
      </w:r>
      <w:r>
        <w:rPr>
          <w:spacing w:val="-10"/>
        </w:rPr>
        <w:t xml:space="preserve"> </w:t>
      </w:r>
      <w:r>
        <w:rPr>
          <w:spacing w:val="-2"/>
        </w:rPr>
        <w:t>journey</w:t>
      </w:r>
      <w:r>
        <w:rPr>
          <w:spacing w:val="-10"/>
        </w:rPr>
        <w:t xml:space="preserve"> </w:t>
      </w:r>
      <w:r>
        <w:rPr>
          <w:spacing w:val="-2"/>
        </w:rPr>
        <w:t>times</w:t>
      </w:r>
      <w:r>
        <w:rPr>
          <w:spacing w:val="-10"/>
        </w:rPr>
        <w:t xml:space="preserve"> </w:t>
      </w:r>
      <w:r>
        <w:rPr>
          <w:spacing w:val="-2"/>
        </w:rPr>
        <w:t>year</w:t>
      </w:r>
      <w:r>
        <w:rPr>
          <w:spacing w:val="-10"/>
        </w:rPr>
        <w:t xml:space="preserve"> </w:t>
      </w:r>
      <w:r>
        <w:rPr>
          <w:spacing w:val="-2"/>
        </w:rPr>
        <w:t>by</w:t>
      </w:r>
      <w:r>
        <w:rPr>
          <w:spacing w:val="-10"/>
        </w:rPr>
        <w:t xml:space="preserve"> </w:t>
      </w:r>
      <w:r>
        <w:rPr>
          <w:spacing w:val="-2"/>
        </w:rPr>
        <w:t>year.</w:t>
      </w:r>
      <w:r>
        <w:rPr>
          <w:spacing w:val="-10"/>
        </w:rPr>
        <w:t xml:space="preserve"> </w:t>
      </w:r>
      <w:r>
        <w:rPr>
          <w:spacing w:val="-2"/>
        </w:rPr>
        <w:t>The</w:t>
      </w:r>
      <w:r>
        <w:rPr>
          <w:spacing w:val="-10"/>
        </w:rPr>
        <w:t xml:space="preserve"> </w:t>
      </w:r>
      <w:r>
        <w:rPr>
          <w:spacing w:val="-2"/>
        </w:rPr>
        <w:t xml:space="preserve">emphasis </w:t>
      </w:r>
      <w:r>
        <w:rPr>
          <w:w w:val="95"/>
        </w:rPr>
        <w:t>in</w:t>
      </w:r>
      <w:r>
        <w:rPr>
          <w:spacing w:val="-7"/>
          <w:w w:val="95"/>
        </w:rPr>
        <w:t xml:space="preserve"> </w:t>
      </w:r>
      <w:r>
        <w:rPr>
          <w:w w:val="95"/>
        </w:rPr>
        <w:t>early</w:t>
      </w:r>
      <w:r>
        <w:rPr>
          <w:spacing w:val="-7"/>
          <w:w w:val="95"/>
        </w:rPr>
        <w:t xml:space="preserve"> </w:t>
      </w:r>
      <w:r>
        <w:rPr>
          <w:w w:val="95"/>
        </w:rPr>
        <w:t>stages</w:t>
      </w:r>
      <w:r>
        <w:rPr>
          <w:spacing w:val="-7"/>
          <w:w w:val="95"/>
        </w:rPr>
        <w:t xml:space="preserve"> </w:t>
      </w:r>
      <w:r>
        <w:rPr>
          <w:w w:val="95"/>
        </w:rPr>
        <w:t>will</w:t>
      </w:r>
      <w:r>
        <w:rPr>
          <w:spacing w:val="-7"/>
          <w:w w:val="95"/>
        </w:rPr>
        <w:t xml:space="preserve"> </w:t>
      </w:r>
      <w:r>
        <w:rPr>
          <w:w w:val="95"/>
        </w:rPr>
        <w:t>be</w:t>
      </w:r>
      <w:r>
        <w:rPr>
          <w:spacing w:val="-7"/>
          <w:w w:val="95"/>
        </w:rPr>
        <w:t xml:space="preserve"> </w:t>
      </w:r>
      <w:r>
        <w:rPr>
          <w:w w:val="95"/>
        </w:rPr>
        <w:t>on</w:t>
      </w:r>
      <w:r>
        <w:rPr>
          <w:spacing w:val="-7"/>
          <w:w w:val="95"/>
        </w:rPr>
        <w:t xml:space="preserve"> </w:t>
      </w:r>
      <w:r>
        <w:rPr>
          <w:w w:val="95"/>
        </w:rPr>
        <w:t>operational</w:t>
      </w:r>
      <w:r>
        <w:rPr>
          <w:spacing w:val="-7"/>
          <w:w w:val="95"/>
        </w:rPr>
        <w:t xml:space="preserve"> </w:t>
      </w:r>
      <w:r>
        <w:rPr>
          <w:w w:val="95"/>
        </w:rPr>
        <w:t>changes,</w:t>
      </w:r>
      <w:r>
        <w:rPr>
          <w:spacing w:val="-7"/>
          <w:w w:val="95"/>
        </w:rPr>
        <w:t xml:space="preserve"> </w:t>
      </w:r>
      <w:r>
        <w:rPr>
          <w:w w:val="95"/>
        </w:rPr>
        <w:t xml:space="preserve">including </w:t>
      </w:r>
      <w:r>
        <w:t>tighter</w:t>
      </w:r>
      <w:r>
        <w:rPr>
          <w:spacing w:val="-11"/>
        </w:rPr>
        <w:t xml:space="preserve"> </w:t>
      </w:r>
      <w:r>
        <w:t>timetabling</w:t>
      </w:r>
      <w:r>
        <w:rPr>
          <w:spacing w:val="-11"/>
        </w:rPr>
        <w:t xml:space="preserve"> </w:t>
      </w:r>
      <w:r>
        <w:t>and</w:t>
      </w:r>
      <w:r>
        <w:rPr>
          <w:spacing w:val="-11"/>
        </w:rPr>
        <w:t xml:space="preserve"> </w:t>
      </w:r>
      <w:r>
        <w:t>fewer</w:t>
      </w:r>
      <w:r>
        <w:rPr>
          <w:spacing w:val="-11"/>
        </w:rPr>
        <w:t xml:space="preserve"> </w:t>
      </w:r>
      <w:r>
        <w:t>intermediate</w:t>
      </w:r>
      <w:r>
        <w:rPr>
          <w:spacing w:val="-11"/>
        </w:rPr>
        <w:t xml:space="preserve"> </w:t>
      </w:r>
      <w:r>
        <w:t>stops.</w:t>
      </w:r>
    </w:p>
    <w:p w:rsidR="002C1123" w:rsidRDefault="00F22F94">
      <w:pPr>
        <w:pStyle w:val="BodyText"/>
        <w:spacing w:before="148" w:line="249" w:lineRule="auto"/>
        <w:ind w:left="203"/>
      </w:pPr>
      <w:r>
        <w:rPr>
          <w:w w:val="95"/>
        </w:rPr>
        <w:t>Opportunities</w:t>
      </w:r>
      <w:r>
        <w:rPr>
          <w:spacing w:val="-3"/>
          <w:w w:val="95"/>
        </w:rPr>
        <w:t xml:space="preserve"> </w:t>
      </w:r>
      <w:r>
        <w:rPr>
          <w:w w:val="95"/>
        </w:rPr>
        <w:t>to</w:t>
      </w:r>
      <w:r>
        <w:rPr>
          <w:spacing w:val="-3"/>
          <w:w w:val="95"/>
        </w:rPr>
        <w:t xml:space="preserve"> </w:t>
      </w:r>
      <w:r>
        <w:rPr>
          <w:w w:val="95"/>
        </w:rPr>
        <w:t>increase</w:t>
      </w:r>
      <w:r>
        <w:rPr>
          <w:spacing w:val="-3"/>
          <w:w w:val="95"/>
        </w:rPr>
        <w:t xml:space="preserve"> </w:t>
      </w:r>
      <w:r>
        <w:rPr>
          <w:w w:val="95"/>
        </w:rPr>
        <w:t>actual</w:t>
      </w:r>
      <w:r>
        <w:rPr>
          <w:spacing w:val="-3"/>
          <w:w w:val="95"/>
        </w:rPr>
        <w:t xml:space="preserve"> </w:t>
      </w:r>
      <w:r>
        <w:rPr>
          <w:w w:val="95"/>
        </w:rPr>
        <w:t>running</w:t>
      </w:r>
      <w:r>
        <w:rPr>
          <w:spacing w:val="-3"/>
          <w:w w:val="95"/>
        </w:rPr>
        <w:t xml:space="preserve"> </w:t>
      </w:r>
      <w:r>
        <w:rPr>
          <w:w w:val="95"/>
        </w:rPr>
        <w:t>speeds</w:t>
      </w:r>
      <w:r>
        <w:rPr>
          <w:spacing w:val="-3"/>
          <w:w w:val="95"/>
        </w:rPr>
        <w:t xml:space="preserve"> </w:t>
      </w:r>
      <w:r>
        <w:rPr>
          <w:w w:val="95"/>
        </w:rPr>
        <w:t>on</w:t>
      </w:r>
      <w:r>
        <w:rPr>
          <w:spacing w:val="-3"/>
          <w:w w:val="95"/>
        </w:rPr>
        <w:t xml:space="preserve"> </w:t>
      </w:r>
      <w:r>
        <w:rPr>
          <w:w w:val="95"/>
        </w:rPr>
        <w:t xml:space="preserve">the </w:t>
      </w:r>
      <w:r>
        <w:rPr>
          <w:w w:val="90"/>
        </w:rPr>
        <w:t xml:space="preserve">main lines should be carefully re-examined from the bottom </w:t>
      </w:r>
      <w:r>
        <w:rPr>
          <w:w w:val="95"/>
        </w:rPr>
        <w:t>up,</w:t>
      </w:r>
      <w:r>
        <w:rPr>
          <w:spacing w:val="-5"/>
          <w:w w:val="95"/>
        </w:rPr>
        <w:t xml:space="preserve"> </w:t>
      </w:r>
      <w:r>
        <w:rPr>
          <w:w w:val="95"/>
        </w:rPr>
        <w:t>with</w:t>
      </w:r>
      <w:r>
        <w:rPr>
          <w:spacing w:val="-5"/>
          <w:w w:val="95"/>
        </w:rPr>
        <w:t xml:space="preserve"> </w:t>
      </w:r>
      <w:r>
        <w:rPr>
          <w:w w:val="95"/>
        </w:rPr>
        <w:t>a</w:t>
      </w:r>
      <w:r>
        <w:rPr>
          <w:spacing w:val="-5"/>
          <w:w w:val="95"/>
        </w:rPr>
        <w:t xml:space="preserve"> </w:t>
      </w:r>
      <w:r>
        <w:rPr>
          <w:w w:val="95"/>
        </w:rPr>
        <w:t>focus</w:t>
      </w:r>
      <w:r>
        <w:rPr>
          <w:spacing w:val="-5"/>
          <w:w w:val="95"/>
        </w:rPr>
        <w:t xml:space="preserve"> </w:t>
      </w:r>
      <w:r>
        <w:rPr>
          <w:w w:val="95"/>
        </w:rPr>
        <w:t>on</w:t>
      </w:r>
      <w:r>
        <w:rPr>
          <w:spacing w:val="-5"/>
          <w:w w:val="95"/>
        </w:rPr>
        <w:t xml:space="preserve"> </w:t>
      </w:r>
      <w:r>
        <w:rPr>
          <w:w w:val="95"/>
        </w:rPr>
        <w:t>identifying</w:t>
      </w:r>
      <w:r>
        <w:rPr>
          <w:spacing w:val="-5"/>
          <w:w w:val="95"/>
        </w:rPr>
        <w:t xml:space="preserve"> </w:t>
      </w:r>
      <w:r>
        <w:rPr>
          <w:w w:val="95"/>
        </w:rPr>
        <w:t>time</w:t>
      </w:r>
      <w:r>
        <w:rPr>
          <w:spacing w:val="-5"/>
          <w:w w:val="95"/>
        </w:rPr>
        <w:t xml:space="preserve"> </w:t>
      </w:r>
      <w:r>
        <w:rPr>
          <w:w w:val="95"/>
        </w:rPr>
        <w:t>savings</w:t>
      </w:r>
      <w:r>
        <w:rPr>
          <w:spacing w:val="-5"/>
          <w:w w:val="95"/>
        </w:rPr>
        <w:t xml:space="preserve"> </w:t>
      </w:r>
      <w:r>
        <w:rPr>
          <w:w w:val="95"/>
        </w:rPr>
        <w:t>which</w:t>
      </w:r>
      <w:r>
        <w:rPr>
          <w:spacing w:val="-5"/>
          <w:w w:val="95"/>
        </w:rPr>
        <w:t xml:space="preserve"> </w:t>
      </w:r>
      <w:r>
        <w:rPr>
          <w:w w:val="95"/>
        </w:rPr>
        <w:t>can</w:t>
      </w:r>
      <w:r>
        <w:rPr>
          <w:spacing w:val="-5"/>
          <w:w w:val="95"/>
        </w:rPr>
        <w:t xml:space="preserve"> </w:t>
      </w:r>
      <w:r>
        <w:rPr>
          <w:w w:val="95"/>
        </w:rPr>
        <w:t>be captured without major capital expenditure. Once these gains</w:t>
      </w:r>
      <w:r>
        <w:rPr>
          <w:spacing w:val="-10"/>
          <w:w w:val="95"/>
        </w:rPr>
        <w:t xml:space="preserve"> </w:t>
      </w:r>
      <w:r>
        <w:rPr>
          <w:w w:val="95"/>
        </w:rPr>
        <w:t>have</w:t>
      </w:r>
      <w:r>
        <w:rPr>
          <w:spacing w:val="-10"/>
          <w:w w:val="95"/>
        </w:rPr>
        <w:t xml:space="preserve"> </w:t>
      </w:r>
      <w:r>
        <w:rPr>
          <w:w w:val="95"/>
        </w:rPr>
        <w:t>all</w:t>
      </w:r>
      <w:r>
        <w:rPr>
          <w:spacing w:val="-10"/>
          <w:w w:val="95"/>
        </w:rPr>
        <w:t xml:space="preserve"> </w:t>
      </w:r>
      <w:r>
        <w:rPr>
          <w:w w:val="95"/>
        </w:rPr>
        <w:t>be</w:t>
      </w:r>
      <w:r>
        <w:rPr>
          <w:spacing w:val="-10"/>
          <w:w w:val="95"/>
        </w:rPr>
        <w:t xml:space="preserve"> </w:t>
      </w:r>
      <w:r>
        <w:rPr>
          <w:w w:val="95"/>
        </w:rPr>
        <w:t>achieved,</w:t>
      </w:r>
      <w:r>
        <w:rPr>
          <w:spacing w:val="-10"/>
          <w:w w:val="95"/>
        </w:rPr>
        <w:t xml:space="preserve"> </w:t>
      </w:r>
      <w:r>
        <w:rPr>
          <w:w w:val="95"/>
        </w:rPr>
        <w:t>higher</w:t>
      </w:r>
      <w:r>
        <w:rPr>
          <w:spacing w:val="-10"/>
          <w:w w:val="95"/>
        </w:rPr>
        <w:t xml:space="preserve"> </w:t>
      </w:r>
      <w:r>
        <w:rPr>
          <w:w w:val="95"/>
        </w:rPr>
        <w:t>cost</w:t>
      </w:r>
      <w:r>
        <w:rPr>
          <w:spacing w:val="-10"/>
          <w:w w:val="95"/>
        </w:rPr>
        <w:t xml:space="preserve"> </w:t>
      </w:r>
      <w:r>
        <w:rPr>
          <w:w w:val="95"/>
        </w:rPr>
        <w:t>improvements</w:t>
      </w:r>
    </w:p>
    <w:p w:rsidR="002C1123" w:rsidRDefault="00F22F94">
      <w:pPr>
        <w:pStyle w:val="BodyText"/>
        <w:spacing w:before="4" w:line="249" w:lineRule="auto"/>
        <w:ind w:left="203"/>
      </w:pPr>
      <w:r>
        <w:rPr>
          <w:w w:val="90"/>
        </w:rPr>
        <w:t xml:space="preserve">can be considered to increase speeds, such as signalling </w:t>
      </w:r>
      <w:r>
        <w:rPr>
          <w:w w:val="95"/>
        </w:rPr>
        <w:t>upgrades, new trackwork and new rolling stock.</w:t>
      </w:r>
    </w:p>
    <w:p w:rsidR="002C1123" w:rsidRDefault="00F22F94">
      <w:pPr>
        <w:pStyle w:val="BodyText"/>
        <w:spacing w:before="143" w:line="249" w:lineRule="auto"/>
        <w:ind w:left="203" w:right="261"/>
      </w:pPr>
      <w:r>
        <w:t>The</w:t>
      </w:r>
      <w:r>
        <w:rPr>
          <w:spacing w:val="-14"/>
        </w:rPr>
        <w:t xml:space="preserve"> </w:t>
      </w:r>
      <w:r>
        <w:t>existing</w:t>
      </w:r>
      <w:r>
        <w:rPr>
          <w:spacing w:val="-14"/>
        </w:rPr>
        <w:t xml:space="preserve"> </w:t>
      </w:r>
      <w:r>
        <w:t>lines</w:t>
      </w:r>
      <w:r>
        <w:rPr>
          <w:spacing w:val="-14"/>
        </w:rPr>
        <w:t xml:space="preserve"> </w:t>
      </w:r>
      <w:r>
        <w:t>to</w:t>
      </w:r>
      <w:r>
        <w:rPr>
          <w:spacing w:val="-14"/>
        </w:rPr>
        <w:t xml:space="preserve"> </w:t>
      </w:r>
      <w:r>
        <w:t>the</w:t>
      </w:r>
      <w:r>
        <w:rPr>
          <w:spacing w:val="-14"/>
        </w:rPr>
        <w:t xml:space="preserve"> </w:t>
      </w:r>
      <w:r>
        <w:t>North</w:t>
      </w:r>
      <w:r>
        <w:rPr>
          <w:spacing w:val="-14"/>
        </w:rPr>
        <w:t xml:space="preserve"> </w:t>
      </w:r>
      <w:r>
        <w:t>and</w:t>
      </w:r>
      <w:r>
        <w:rPr>
          <w:spacing w:val="-14"/>
        </w:rPr>
        <w:t xml:space="preserve"> </w:t>
      </w:r>
      <w:r>
        <w:t>South</w:t>
      </w:r>
      <w:r>
        <w:rPr>
          <w:spacing w:val="-14"/>
        </w:rPr>
        <w:t xml:space="preserve"> </w:t>
      </w:r>
      <w:r>
        <w:t>will</w:t>
      </w:r>
      <w:r>
        <w:rPr>
          <w:spacing w:val="-14"/>
        </w:rPr>
        <w:t xml:space="preserve"> </w:t>
      </w:r>
      <w:r>
        <w:t>never be</w:t>
      </w:r>
      <w:r>
        <w:rPr>
          <w:spacing w:val="-9"/>
        </w:rPr>
        <w:t xml:space="preserve"> </w:t>
      </w:r>
      <w:r>
        <w:t>fit</w:t>
      </w:r>
      <w:r>
        <w:rPr>
          <w:spacing w:val="-9"/>
        </w:rPr>
        <w:t xml:space="preserve"> </w:t>
      </w:r>
      <w:r>
        <w:t>for</w:t>
      </w:r>
      <w:r>
        <w:rPr>
          <w:spacing w:val="-9"/>
        </w:rPr>
        <w:t xml:space="preserve"> </w:t>
      </w:r>
      <w:r>
        <w:t>true</w:t>
      </w:r>
      <w:r>
        <w:rPr>
          <w:spacing w:val="-9"/>
        </w:rPr>
        <w:t xml:space="preserve"> </w:t>
      </w:r>
      <w:r>
        <w:t>high</w:t>
      </w:r>
      <w:r>
        <w:rPr>
          <w:spacing w:val="-9"/>
        </w:rPr>
        <w:t xml:space="preserve"> </w:t>
      </w:r>
      <w:r>
        <w:t>speed</w:t>
      </w:r>
      <w:r>
        <w:rPr>
          <w:spacing w:val="-9"/>
        </w:rPr>
        <w:t xml:space="preserve"> </w:t>
      </w:r>
      <w:r>
        <w:t>operation,</w:t>
      </w:r>
      <w:r>
        <w:rPr>
          <w:spacing w:val="-9"/>
        </w:rPr>
        <w:t xml:space="preserve"> </w:t>
      </w:r>
      <w:r>
        <w:t>given</w:t>
      </w:r>
      <w:r>
        <w:rPr>
          <w:spacing w:val="-9"/>
        </w:rPr>
        <w:t xml:space="preserve"> </w:t>
      </w:r>
      <w:r>
        <w:t>the topological</w:t>
      </w:r>
      <w:r>
        <w:rPr>
          <w:spacing w:val="-10"/>
        </w:rPr>
        <w:t xml:space="preserve"> </w:t>
      </w:r>
      <w:r>
        <w:t>constraints</w:t>
      </w:r>
      <w:r>
        <w:rPr>
          <w:spacing w:val="-10"/>
        </w:rPr>
        <w:t xml:space="preserve"> </w:t>
      </w:r>
      <w:r>
        <w:t>on</w:t>
      </w:r>
      <w:r>
        <w:rPr>
          <w:spacing w:val="-10"/>
        </w:rPr>
        <w:t xml:space="preserve"> </w:t>
      </w:r>
      <w:r>
        <w:t>the</w:t>
      </w:r>
      <w:r>
        <w:rPr>
          <w:spacing w:val="-10"/>
        </w:rPr>
        <w:t xml:space="preserve"> </w:t>
      </w:r>
      <w:r>
        <w:t>Illawarra</w:t>
      </w:r>
      <w:r>
        <w:rPr>
          <w:spacing w:val="-10"/>
        </w:rPr>
        <w:t xml:space="preserve"> </w:t>
      </w:r>
      <w:r>
        <w:t>escarpment and</w:t>
      </w:r>
      <w:r>
        <w:rPr>
          <w:spacing w:val="-12"/>
        </w:rPr>
        <w:t xml:space="preserve"> </w:t>
      </w:r>
      <w:r>
        <w:t>the</w:t>
      </w:r>
      <w:r>
        <w:rPr>
          <w:spacing w:val="-12"/>
        </w:rPr>
        <w:t xml:space="preserve"> </w:t>
      </w:r>
      <w:r>
        <w:t>Hawkesbury</w:t>
      </w:r>
      <w:r>
        <w:rPr>
          <w:spacing w:val="-12"/>
        </w:rPr>
        <w:t xml:space="preserve"> </w:t>
      </w:r>
      <w:r>
        <w:t>River</w:t>
      </w:r>
      <w:r>
        <w:rPr>
          <w:spacing w:val="-12"/>
        </w:rPr>
        <w:t xml:space="preserve"> </w:t>
      </w:r>
      <w:r>
        <w:t>crossing.</w:t>
      </w:r>
      <w:r>
        <w:rPr>
          <w:spacing w:val="-12"/>
        </w:rPr>
        <w:t xml:space="preserve"> </w:t>
      </w:r>
      <w:r>
        <w:t>However</w:t>
      </w:r>
      <w:r>
        <w:rPr>
          <w:spacing w:val="-12"/>
        </w:rPr>
        <w:t xml:space="preserve"> </w:t>
      </w:r>
      <w:r>
        <w:t>a target</w:t>
      </w:r>
      <w:r>
        <w:rPr>
          <w:spacing w:val="-11"/>
        </w:rPr>
        <w:t xml:space="preserve"> </w:t>
      </w:r>
      <w:r>
        <w:t>average</w:t>
      </w:r>
      <w:r>
        <w:rPr>
          <w:spacing w:val="-11"/>
        </w:rPr>
        <w:t xml:space="preserve"> </w:t>
      </w:r>
      <w:r>
        <w:t>speed</w:t>
      </w:r>
      <w:r>
        <w:rPr>
          <w:spacing w:val="-11"/>
        </w:rPr>
        <w:t xml:space="preserve"> </w:t>
      </w:r>
      <w:r>
        <w:t>of</w:t>
      </w:r>
      <w:r>
        <w:rPr>
          <w:spacing w:val="-11"/>
        </w:rPr>
        <w:t xml:space="preserve"> </w:t>
      </w:r>
      <w:r>
        <w:t>80</w:t>
      </w:r>
      <w:r>
        <w:rPr>
          <w:spacing w:val="-11"/>
        </w:rPr>
        <w:t xml:space="preserve"> </w:t>
      </w:r>
      <w:r>
        <w:t>kilometres</w:t>
      </w:r>
      <w:r>
        <w:rPr>
          <w:spacing w:val="-11"/>
        </w:rPr>
        <w:t xml:space="preserve"> </w:t>
      </w:r>
      <w:r>
        <w:t>per</w:t>
      </w:r>
      <w:r>
        <w:rPr>
          <w:spacing w:val="-11"/>
        </w:rPr>
        <w:t xml:space="preserve"> </w:t>
      </w:r>
      <w:r>
        <w:t>hour</w:t>
      </w:r>
      <w:r>
        <w:rPr>
          <w:spacing w:val="-11"/>
        </w:rPr>
        <w:t xml:space="preserve"> </w:t>
      </w:r>
      <w:r>
        <w:t xml:space="preserve">can </w:t>
      </w:r>
      <w:r>
        <w:rPr>
          <w:w w:val="95"/>
        </w:rPr>
        <w:t xml:space="preserve">accommodate some speed restrictions and does not </w:t>
      </w:r>
      <w:r>
        <w:t>require</w:t>
      </w:r>
      <w:r>
        <w:rPr>
          <w:spacing w:val="-12"/>
        </w:rPr>
        <w:t xml:space="preserve"> </w:t>
      </w:r>
      <w:r>
        <w:t>a</w:t>
      </w:r>
      <w:r>
        <w:rPr>
          <w:spacing w:val="-12"/>
        </w:rPr>
        <w:t xml:space="preserve"> </w:t>
      </w:r>
      <w:r>
        <w:t>350</w:t>
      </w:r>
      <w:r>
        <w:rPr>
          <w:spacing w:val="-12"/>
        </w:rPr>
        <w:t xml:space="preserve"> </w:t>
      </w:r>
      <w:r>
        <w:t>kilometres</w:t>
      </w:r>
      <w:r>
        <w:rPr>
          <w:spacing w:val="-12"/>
        </w:rPr>
        <w:t xml:space="preserve"> </w:t>
      </w:r>
      <w:r>
        <w:t>per</w:t>
      </w:r>
      <w:r>
        <w:rPr>
          <w:spacing w:val="-12"/>
        </w:rPr>
        <w:t xml:space="preserve"> </w:t>
      </w:r>
      <w:r>
        <w:t>hour</w:t>
      </w:r>
      <w:r>
        <w:rPr>
          <w:spacing w:val="-12"/>
        </w:rPr>
        <w:t xml:space="preserve"> </w:t>
      </w:r>
      <w:r>
        <w:t>high</w:t>
      </w:r>
      <w:r>
        <w:rPr>
          <w:spacing w:val="-12"/>
        </w:rPr>
        <w:t xml:space="preserve"> </w:t>
      </w:r>
      <w:r>
        <w:t>speed</w:t>
      </w:r>
      <w:r>
        <w:rPr>
          <w:spacing w:val="-12"/>
        </w:rPr>
        <w:t xml:space="preserve"> </w:t>
      </w:r>
      <w:r>
        <w:t>line.</w:t>
      </w:r>
    </w:p>
    <w:p w:rsidR="002C1123" w:rsidRDefault="00F22F94">
      <w:pPr>
        <w:pStyle w:val="BodyText"/>
        <w:spacing w:before="148" w:line="249" w:lineRule="auto"/>
        <w:ind w:left="203" w:right="261"/>
      </w:pPr>
      <w:r>
        <w:t>An</w:t>
      </w:r>
      <w:r>
        <w:rPr>
          <w:spacing w:val="-7"/>
        </w:rPr>
        <w:t xml:space="preserve"> </w:t>
      </w:r>
      <w:r>
        <w:t>example</w:t>
      </w:r>
      <w:r>
        <w:rPr>
          <w:spacing w:val="-7"/>
        </w:rPr>
        <w:t xml:space="preserve"> </w:t>
      </w:r>
      <w:r>
        <w:t>of</w:t>
      </w:r>
      <w:r>
        <w:rPr>
          <w:spacing w:val="-7"/>
        </w:rPr>
        <w:t xml:space="preserve"> </w:t>
      </w:r>
      <w:r>
        <w:t>what</w:t>
      </w:r>
      <w:r>
        <w:rPr>
          <w:spacing w:val="-7"/>
        </w:rPr>
        <w:t xml:space="preserve"> </w:t>
      </w:r>
      <w:r>
        <w:t>can</w:t>
      </w:r>
      <w:r>
        <w:rPr>
          <w:spacing w:val="-7"/>
        </w:rPr>
        <w:t xml:space="preserve"> </w:t>
      </w:r>
      <w:r>
        <w:t>be</w:t>
      </w:r>
      <w:r>
        <w:rPr>
          <w:spacing w:val="-7"/>
        </w:rPr>
        <w:t xml:space="preserve"> </w:t>
      </w:r>
      <w:r>
        <w:t>achieved</w:t>
      </w:r>
      <w:r>
        <w:rPr>
          <w:spacing w:val="-7"/>
        </w:rPr>
        <w:t xml:space="preserve"> </w:t>
      </w:r>
      <w:r>
        <w:t xml:space="preserve">through </w:t>
      </w:r>
      <w:r>
        <w:rPr>
          <w:w w:val="95"/>
        </w:rPr>
        <w:t>incremental change is provided by Chiltern Railways in</w:t>
      </w:r>
      <w:r>
        <w:rPr>
          <w:spacing w:val="-6"/>
          <w:w w:val="95"/>
        </w:rPr>
        <w:t xml:space="preserve"> </w:t>
      </w:r>
      <w:r>
        <w:rPr>
          <w:w w:val="95"/>
        </w:rPr>
        <w:t>the</w:t>
      </w:r>
      <w:r>
        <w:rPr>
          <w:spacing w:val="-6"/>
          <w:w w:val="95"/>
        </w:rPr>
        <w:t xml:space="preserve"> </w:t>
      </w:r>
      <w:r>
        <w:rPr>
          <w:w w:val="95"/>
        </w:rPr>
        <w:t>UK.</w:t>
      </w:r>
      <w:r>
        <w:rPr>
          <w:spacing w:val="-6"/>
          <w:w w:val="95"/>
        </w:rPr>
        <w:t xml:space="preserve"> </w:t>
      </w:r>
      <w:r>
        <w:rPr>
          <w:w w:val="95"/>
        </w:rPr>
        <w:t>Chiltern</w:t>
      </w:r>
      <w:r>
        <w:rPr>
          <w:spacing w:val="-6"/>
          <w:w w:val="95"/>
        </w:rPr>
        <w:t xml:space="preserve"> </w:t>
      </w:r>
      <w:r>
        <w:rPr>
          <w:w w:val="95"/>
        </w:rPr>
        <w:t>operates</w:t>
      </w:r>
      <w:r>
        <w:rPr>
          <w:spacing w:val="-6"/>
          <w:w w:val="95"/>
        </w:rPr>
        <w:t xml:space="preserve"> </w:t>
      </w:r>
      <w:r>
        <w:rPr>
          <w:w w:val="95"/>
        </w:rPr>
        <w:t>a</w:t>
      </w:r>
      <w:r>
        <w:rPr>
          <w:spacing w:val="-6"/>
          <w:w w:val="95"/>
        </w:rPr>
        <w:t xml:space="preserve"> </w:t>
      </w:r>
      <w:r>
        <w:rPr>
          <w:w w:val="95"/>
        </w:rPr>
        <w:t>secondary</w:t>
      </w:r>
      <w:r>
        <w:rPr>
          <w:spacing w:val="-6"/>
          <w:w w:val="95"/>
        </w:rPr>
        <w:t xml:space="preserve"> </w:t>
      </w:r>
      <w:r>
        <w:rPr>
          <w:w w:val="95"/>
        </w:rPr>
        <w:t>line</w:t>
      </w:r>
      <w:r>
        <w:rPr>
          <w:spacing w:val="-6"/>
          <w:w w:val="95"/>
        </w:rPr>
        <w:t xml:space="preserve"> </w:t>
      </w:r>
      <w:r>
        <w:rPr>
          <w:w w:val="95"/>
        </w:rPr>
        <w:t>between</w:t>
      </w:r>
    </w:p>
    <w:p w:rsidR="002C1123" w:rsidRDefault="00F22F94">
      <w:pPr>
        <w:pStyle w:val="BodyText"/>
        <w:spacing w:before="106" w:line="249" w:lineRule="auto"/>
        <w:ind w:left="188" w:right="698"/>
      </w:pPr>
      <w:r>
        <w:br w:type="column"/>
      </w:r>
      <w:r>
        <w:rPr>
          <w:w w:val="95"/>
        </w:rPr>
        <w:t xml:space="preserve">London and Birmingham, a distance of 180 kilometres. </w:t>
      </w:r>
      <w:r>
        <w:t>Through</w:t>
      </w:r>
      <w:r>
        <w:rPr>
          <w:spacing w:val="-13"/>
        </w:rPr>
        <w:t xml:space="preserve"> </w:t>
      </w:r>
      <w:r>
        <w:t>a</w:t>
      </w:r>
      <w:r>
        <w:rPr>
          <w:spacing w:val="-13"/>
        </w:rPr>
        <w:t xml:space="preserve"> </w:t>
      </w:r>
      <w:r>
        <w:t>program</w:t>
      </w:r>
      <w:r>
        <w:rPr>
          <w:spacing w:val="-13"/>
        </w:rPr>
        <w:t xml:space="preserve"> </w:t>
      </w:r>
      <w:r>
        <w:t>of</w:t>
      </w:r>
      <w:r>
        <w:rPr>
          <w:spacing w:val="-13"/>
        </w:rPr>
        <w:t xml:space="preserve"> </w:t>
      </w:r>
      <w:r>
        <w:t>incremental</w:t>
      </w:r>
      <w:r>
        <w:rPr>
          <w:spacing w:val="-13"/>
        </w:rPr>
        <w:t xml:space="preserve"> </w:t>
      </w:r>
      <w:r>
        <w:t>improvement</w:t>
      </w:r>
      <w:r>
        <w:rPr>
          <w:spacing w:val="-13"/>
        </w:rPr>
        <w:t xml:space="preserve"> </w:t>
      </w:r>
      <w:r>
        <w:t xml:space="preserve">over </w:t>
      </w:r>
      <w:r>
        <w:rPr>
          <w:w w:val="95"/>
        </w:rPr>
        <w:t>the</w:t>
      </w:r>
      <w:r>
        <w:rPr>
          <w:spacing w:val="-8"/>
          <w:w w:val="95"/>
        </w:rPr>
        <w:t xml:space="preserve"> </w:t>
      </w:r>
      <w:r>
        <w:rPr>
          <w:w w:val="95"/>
        </w:rPr>
        <w:t>last</w:t>
      </w:r>
      <w:r>
        <w:rPr>
          <w:spacing w:val="-8"/>
          <w:w w:val="95"/>
        </w:rPr>
        <w:t xml:space="preserve"> </w:t>
      </w:r>
      <w:r>
        <w:rPr>
          <w:w w:val="95"/>
        </w:rPr>
        <w:t>15</w:t>
      </w:r>
      <w:r>
        <w:rPr>
          <w:spacing w:val="-8"/>
          <w:w w:val="95"/>
        </w:rPr>
        <w:t xml:space="preserve"> </w:t>
      </w:r>
      <w:r>
        <w:rPr>
          <w:w w:val="95"/>
        </w:rPr>
        <w:t>years,</w:t>
      </w:r>
      <w:r>
        <w:rPr>
          <w:spacing w:val="-8"/>
          <w:w w:val="95"/>
        </w:rPr>
        <w:t xml:space="preserve"> </w:t>
      </w:r>
      <w:r>
        <w:rPr>
          <w:w w:val="95"/>
        </w:rPr>
        <w:t>journey</w:t>
      </w:r>
      <w:r>
        <w:rPr>
          <w:spacing w:val="-8"/>
          <w:w w:val="95"/>
        </w:rPr>
        <w:t xml:space="preserve"> </w:t>
      </w:r>
      <w:r>
        <w:rPr>
          <w:w w:val="95"/>
        </w:rPr>
        <w:t>times</w:t>
      </w:r>
      <w:r>
        <w:rPr>
          <w:spacing w:val="-8"/>
          <w:w w:val="95"/>
        </w:rPr>
        <w:t xml:space="preserve"> </w:t>
      </w:r>
      <w:r>
        <w:rPr>
          <w:w w:val="95"/>
        </w:rPr>
        <w:t>have</w:t>
      </w:r>
      <w:r>
        <w:rPr>
          <w:spacing w:val="-8"/>
          <w:w w:val="95"/>
        </w:rPr>
        <w:t xml:space="preserve"> </w:t>
      </w:r>
      <w:r>
        <w:rPr>
          <w:w w:val="95"/>
        </w:rPr>
        <w:t>been</w:t>
      </w:r>
      <w:r>
        <w:rPr>
          <w:spacing w:val="-8"/>
          <w:w w:val="95"/>
        </w:rPr>
        <w:t xml:space="preserve"> </w:t>
      </w:r>
      <w:r>
        <w:rPr>
          <w:w w:val="95"/>
        </w:rPr>
        <w:t>reduced</w:t>
      </w:r>
      <w:r>
        <w:rPr>
          <w:spacing w:val="-8"/>
          <w:w w:val="95"/>
        </w:rPr>
        <w:t xml:space="preserve"> </w:t>
      </w:r>
      <w:r>
        <w:rPr>
          <w:w w:val="95"/>
        </w:rPr>
        <w:t xml:space="preserve">from </w:t>
      </w:r>
      <w:r>
        <w:t>two</w:t>
      </w:r>
      <w:r>
        <w:rPr>
          <w:spacing w:val="-13"/>
        </w:rPr>
        <w:t xml:space="preserve"> </w:t>
      </w:r>
      <w:r>
        <w:t>hours</w:t>
      </w:r>
      <w:r>
        <w:rPr>
          <w:spacing w:val="-13"/>
        </w:rPr>
        <w:t xml:space="preserve"> </w:t>
      </w:r>
      <w:r>
        <w:t>20</w:t>
      </w:r>
      <w:r>
        <w:rPr>
          <w:spacing w:val="-13"/>
        </w:rPr>
        <w:t xml:space="preserve"> </w:t>
      </w:r>
      <w:r>
        <w:t>minutes</w:t>
      </w:r>
      <w:r>
        <w:rPr>
          <w:spacing w:val="-13"/>
        </w:rPr>
        <w:t xml:space="preserve"> </w:t>
      </w:r>
      <w:r>
        <w:t>to</w:t>
      </w:r>
      <w:r>
        <w:rPr>
          <w:spacing w:val="-13"/>
        </w:rPr>
        <w:t xml:space="preserve"> </w:t>
      </w:r>
      <w:r>
        <w:t>one</w:t>
      </w:r>
      <w:r>
        <w:rPr>
          <w:spacing w:val="-13"/>
        </w:rPr>
        <w:t xml:space="preserve"> </w:t>
      </w:r>
      <w:r>
        <w:t>hour,</w:t>
      </w:r>
      <w:r>
        <w:rPr>
          <w:spacing w:val="-13"/>
        </w:rPr>
        <w:t xml:space="preserve"> </w:t>
      </w:r>
      <w:r>
        <w:t>40</w:t>
      </w:r>
      <w:r>
        <w:rPr>
          <w:spacing w:val="-13"/>
        </w:rPr>
        <w:t xml:space="preserve"> </w:t>
      </w:r>
      <w:r>
        <w:t>minutes</w:t>
      </w:r>
      <w:r>
        <w:rPr>
          <w:position w:val="7"/>
          <w:sz w:val="11"/>
        </w:rPr>
        <w:t>7</w:t>
      </w:r>
      <w:r>
        <w:t>.</w:t>
      </w:r>
      <w:r>
        <w:rPr>
          <w:spacing w:val="-13"/>
        </w:rPr>
        <w:t xml:space="preserve"> </w:t>
      </w:r>
      <w:r>
        <w:t xml:space="preserve">These </w:t>
      </w:r>
      <w:r>
        <w:rPr>
          <w:w w:val="95"/>
        </w:rPr>
        <w:t>reductions</w:t>
      </w:r>
      <w:r>
        <w:rPr>
          <w:spacing w:val="-5"/>
          <w:w w:val="95"/>
        </w:rPr>
        <w:t xml:space="preserve"> </w:t>
      </w:r>
      <w:r>
        <w:rPr>
          <w:w w:val="95"/>
        </w:rPr>
        <w:t>have</w:t>
      </w:r>
      <w:r>
        <w:rPr>
          <w:spacing w:val="-5"/>
          <w:w w:val="95"/>
        </w:rPr>
        <w:t xml:space="preserve"> </w:t>
      </w:r>
      <w:r>
        <w:rPr>
          <w:w w:val="95"/>
        </w:rPr>
        <w:t>been</w:t>
      </w:r>
      <w:r>
        <w:rPr>
          <w:spacing w:val="-5"/>
          <w:w w:val="95"/>
        </w:rPr>
        <w:t xml:space="preserve"> </w:t>
      </w:r>
      <w:r>
        <w:rPr>
          <w:w w:val="95"/>
        </w:rPr>
        <w:t>achieved</w:t>
      </w:r>
      <w:r>
        <w:rPr>
          <w:spacing w:val="-5"/>
          <w:w w:val="95"/>
        </w:rPr>
        <w:t xml:space="preserve"> </w:t>
      </w:r>
      <w:r>
        <w:rPr>
          <w:w w:val="95"/>
        </w:rPr>
        <w:t>on</w:t>
      </w:r>
      <w:r>
        <w:rPr>
          <w:spacing w:val="-5"/>
          <w:w w:val="95"/>
        </w:rPr>
        <w:t xml:space="preserve"> </w:t>
      </w:r>
      <w:r>
        <w:rPr>
          <w:w w:val="95"/>
        </w:rPr>
        <w:t>an</w:t>
      </w:r>
      <w:r>
        <w:rPr>
          <w:spacing w:val="-5"/>
          <w:w w:val="95"/>
        </w:rPr>
        <w:t xml:space="preserve"> </w:t>
      </w:r>
      <w:r>
        <w:rPr>
          <w:w w:val="95"/>
        </w:rPr>
        <w:t>operating</w:t>
      </w:r>
      <w:r>
        <w:rPr>
          <w:spacing w:val="-5"/>
          <w:w w:val="95"/>
        </w:rPr>
        <w:t xml:space="preserve"> </w:t>
      </w:r>
      <w:r>
        <w:rPr>
          <w:w w:val="95"/>
        </w:rPr>
        <w:t xml:space="preserve">railway, </w:t>
      </w:r>
      <w:r>
        <w:t>with</w:t>
      </w:r>
      <w:r>
        <w:rPr>
          <w:spacing w:val="-14"/>
        </w:rPr>
        <w:t xml:space="preserve"> </w:t>
      </w:r>
      <w:r>
        <w:t>relatively</w:t>
      </w:r>
      <w:r>
        <w:rPr>
          <w:spacing w:val="-14"/>
        </w:rPr>
        <w:t xml:space="preserve"> </w:t>
      </w:r>
      <w:r>
        <w:t>low</w:t>
      </w:r>
      <w:r>
        <w:rPr>
          <w:spacing w:val="-14"/>
        </w:rPr>
        <w:t xml:space="preserve"> </w:t>
      </w:r>
      <w:r>
        <w:t>levels</w:t>
      </w:r>
      <w:r>
        <w:rPr>
          <w:spacing w:val="-14"/>
        </w:rPr>
        <w:t xml:space="preserve"> </w:t>
      </w:r>
      <w:r>
        <w:t>of</w:t>
      </w:r>
      <w:r>
        <w:rPr>
          <w:spacing w:val="-14"/>
        </w:rPr>
        <w:t xml:space="preserve"> </w:t>
      </w:r>
      <w:r>
        <w:t>capital</w:t>
      </w:r>
      <w:r>
        <w:rPr>
          <w:spacing w:val="-14"/>
        </w:rPr>
        <w:t xml:space="preserve"> </w:t>
      </w:r>
      <w:r>
        <w:t>expenditure.</w:t>
      </w:r>
    </w:p>
    <w:p w:rsidR="002C1123" w:rsidRDefault="002060EF">
      <w:pPr>
        <w:pStyle w:val="BodyText"/>
        <w:rPr>
          <w:sz w:val="13"/>
        </w:rPr>
      </w:pPr>
      <w:r>
        <w:pict>
          <v:shape id="docshape1458" o:spid="_x0000_s3764" type="#_x0000_t202" style="position:absolute;margin-left:552.3pt;margin-top:8.7pt;width:239pt;height:69.35pt;z-index:-251373568;mso-wrap-distance-left:0;mso-wrap-distance-right:0;mso-position-horizontal-relative:page" fillcolor="#e1e0e1" stroked="f">
            <v:textbox inset="0,0,0,0">
              <w:txbxContent>
                <w:p w:rsidR="00F22F94" w:rsidRDefault="00F22F94">
                  <w:pPr>
                    <w:pStyle w:val="BodyText"/>
                    <w:spacing w:before="68" w:line="249" w:lineRule="auto"/>
                    <w:ind w:left="113"/>
                    <w:rPr>
                      <w:color w:val="000000"/>
                    </w:rPr>
                  </w:pPr>
                  <w:r>
                    <w:rPr>
                      <w:color w:val="00AEEF"/>
                    </w:rPr>
                    <w:t>Recommendation</w:t>
                  </w:r>
                  <w:r>
                    <w:rPr>
                      <w:color w:val="00AEEF"/>
                      <w:spacing w:val="40"/>
                    </w:rPr>
                    <w:t xml:space="preserve"> </w:t>
                  </w:r>
                  <w:r>
                    <w:rPr>
                      <w:color w:val="000000"/>
                    </w:rPr>
                    <w:t>The</w:t>
                  </w:r>
                  <w:r>
                    <w:rPr>
                      <w:color w:val="000000"/>
                      <w:spacing w:val="-4"/>
                    </w:rPr>
                    <w:t xml:space="preserve"> </w:t>
                  </w:r>
                  <w:r>
                    <w:rPr>
                      <w:color w:val="000000"/>
                    </w:rPr>
                    <w:t>new</w:t>
                  </w:r>
                  <w:r>
                    <w:rPr>
                      <w:color w:val="000000"/>
                      <w:spacing w:val="-4"/>
                    </w:rPr>
                    <w:t xml:space="preserve"> </w:t>
                  </w:r>
                  <w:r>
                    <w:rPr>
                      <w:color w:val="000000"/>
                    </w:rPr>
                    <w:t>NSW</w:t>
                  </w:r>
                  <w:r>
                    <w:rPr>
                      <w:color w:val="000000"/>
                      <w:spacing w:val="-4"/>
                    </w:rPr>
                    <w:t xml:space="preserve"> </w:t>
                  </w:r>
                  <w:r>
                    <w:rPr>
                      <w:color w:val="000000"/>
                    </w:rPr>
                    <w:t>Trains</w:t>
                  </w:r>
                  <w:r>
                    <w:rPr>
                      <w:color w:val="000000"/>
                      <w:spacing w:val="-4"/>
                    </w:rPr>
                    <w:t xml:space="preserve"> </w:t>
                  </w:r>
                  <w:r>
                    <w:rPr>
                      <w:color w:val="000000"/>
                    </w:rPr>
                    <w:t>should</w:t>
                  </w:r>
                  <w:r>
                    <w:rPr>
                      <w:color w:val="000000"/>
                      <w:spacing w:val="-4"/>
                    </w:rPr>
                    <w:t xml:space="preserve"> </w:t>
                  </w:r>
                  <w:r>
                    <w:rPr>
                      <w:color w:val="000000"/>
                    </w:rPr>
                    <w:t xml:space="preserve">be </w:t>
                  </w:r>
                  <w:r>
                    <w:rPr>
                      <w:color w:val="000000"/>
                      <w:w w:val="95"/>
                    </w:rPr>
                    <w:t>given</w:t>
                  </w:r>
                  <w:r>
                    <w:rPr>
                      <w:color w:val="000000"/>
                      <w:spacing w:val="-11"/>
                      <w:w w:val="95"/>
                    </w:rPr>
                    <w:t xml:space="preserve"> </w:t>
                  </w:r>
                  <w:r>
                    <w:rPr>
                      <w:color w:val="000000"/>
                      <w:w w:val="95"/>
                    </w:rPr>
                    <w:t>an</w:t>
                  </w:r>
                  <w:r>
                    <w:rPr>
                      <w:color w:val="000000"/>
                      <w:spacing w:val="-11"/>
                      <w:w w:val="95"/>
                    </w:rPr>
                    <w:t xml:space="preserve"> </w:t>
                  </w:r>
                  <w:r>
                    <w:rPr>
                      <w:color w:val="000000"/>
                      <w:w w:val="95"/>
                    </w:rPr>
                    <w:t>objective</w:t>
                  </w:r>
                  <w:r>
                    <w:rPr>
                      <w:color w:val="000000"/>
                      <w:spacing w:val="-11"/>
                      <w:w w:val="95"/>
                    </w:rPr>
                    <w:t xml:space="preserve"> </w:t>
                  </w:r>
                  <w:r>
                    <w:rPr>
                      <w:color w:val="000000"/>
                      <w:w w:val="95"/>
                    </w:rPr>
                    <w:t>of</w:t>
                  </w:r>
                  <w:r>
                    <w:rPr>
                      <w:color w:val="000000"/>
                      <w:spacing w:val="-11"/>
                      <w:w w:val="95"/>
                    </w:rPr>
                    <w:t xml:space="preserve"> </w:t>
                  </w:r>
                  <w:r>
                    <w:rPr>
                      <w:color w:val="000000"/>
                      <w:w w:val="95"/>
                    </w:rPr>
                    <w:t>identifying</w:t>
                  </w:r>
                  <w:r>
                    <w:rPr>
                      <w:color w:val="000000"/>
                      <w:spacing w:val="-11"/>
                      <w:w w:val="95"/>
                    </w:rPr>
                    <w:t xml:space="preserve"> </w:t>
                  </w:r>
                  <w:r>
                    <w:rPr>
                      <w:color w:val="000000"/>
                      <w:w w:val="95"/>
                    </w:rPr>
                    <w:t>and</w:t>
                  </w:r>
                  <w:r>
                    <w:rPr>
                      <w:color w:val="000000"/>
                      <w:spacing w:val="-11"/>
                      <w:w w:val="95"/>
                    </w:rPr>
                    <w:t xml:space="preserve"> </w:t>
                  </w:r>
                  <w:r>
                    <w:rPr>
                      <w:color w:val="000000"/>
                      <w:w w:val="95"/>
                    </w:rPr>
                    <w:t>delivering</w:t>
                  </w:r>
                  <w:r>
                    <w:rPr>
                      <w:color w:val="000000"/>
                      <w:spacing w:val="-11"/>
                      <w:w w:val="95"/>
                    </w:rPr>
                    <w:t xml:space="preserve"> </w:t>
                  </w:r>
                  <w:r>
                    <w:rPr>
                      <w:color w:val="000000"/>
                      <w:w w:val="95"/>
                    </w:rPr>
                    <w:t xml:space="preserve">journey </w:t>
                  </w:r>
                  <w:r>
                    <w:rPr>
                      <w:color w:val="000000"/>
                    </w:rPr>
                    <w:t>time</w:t>
                  </w:r>
                  <w:r>
                    <w:rPr>
                      <w:color w:val="000000"/>
                      <w:spacing w:val="-13"/>
                    </w:rPr>
                    <w:t xml:space="preserve"> </w:t>
                  </w:r>
                  <w:r>
                    <w:rPr>
                      <w:color w:val="000000"/>
                    </w:rPr>
                    <w:t>savings</w:t>
                  </w:r>
                  <w:r>
                    <w:rPr>
                      <w:color w:val="000000"/>
                      <w:spacing w:val="-13"/>
                    </w:rPr>
                    <w:t xml:space="preserve"> </w:t>
                  </w:r>
                  <w:r>
                    <w:rPr>
                      <w:color w:val="000000"/>
                    </w:rPr>
                    <w:t>with</w:t>
                  </w:r>
                  <w:r>
                    <w:rPr>
                      <w:color w:val="000000"/>
                      <w:spacing w:val="-13"/>
                    </w:rPr>
                    <w:t xml:space="preserve"> </w:t>
                  </w:r>
                  <w:r>
                    <w:rPr>
                      <w:color w:val="000000"/>
                    </w:rPr>
                    <w:t>a</w:t>
                  </w:r>
                  <w:r>
                    <w:rPr>
                      <w:color w:val="000000"/>
                      <w:spacing w:val="-13"/>
                    </w:rPr>
                    <w:t xml:space="preserve"> </w:t>
                  </w:r>
                  <w:r>
                    <w:rPr>
                      <w:color w:val="000000"/>
                    </w:rPr>
                    <w:t>target</w:t>
                  </w:r>
                  <w:r>
                    <w:rPr>
                      <w:color w:val="000000"/>
                      <w:spacing w:val="-13"/>
                    </w:rPr>
                    <w:t xml:space="preserve"> </w:t>
                  </w:r>
                  <w:r>
                    <w:rPr>
                      <w:color w:val="000000"/>
                    </w:rPr>
                    <w:t>of</w:t>
                  </w:r>
                  <w:r>
                    <w:rPr>
                      <w:color w:val="000000"/>
                      <w:spacing w:val="-13"/>
                    </w:rPr>
                    <w:t xml:space="preserve"> </w:t>
                  </w:r>
                  <w:r>
                    <w:rPr>
                      <w:color w:val="000000"/>
                    </w:rPr>
                    <w:t>one</w:t>
                  </w:r>
                  <w:r>
                    <w:rPr>
                      <w:color w:val="000000"/>
                      <w:spacing w:val="-13"/>
                    </w:rPr>
                    <w:t xml:space="preserve"> </w:t>
                  </w:r>
                  <w:r>
                    <w:rPr>
                      <w:color w:val="000000"/>
                    </w:rPr>
                    <w:t>hour</w:t>
                  </w:r>
                  <w:r>
                    <w:rPr>
                      <w:color w:val="000000"/>
                      <w:spacing w:val="-13"/>
                    </w:rPr>
                    <w:t xml:space="preserve"> </w:t>
                  </w:r>
                  <w:r>
                    <w:rPr>
                      <w:color w:val="000000"/>
                    </w:rPr>
                    <w:t>journey</w:t>
                  </w:r>
                  <w:r>
                    <w:rPr>
                      <w:color w:val="000000"/>
                      <w:spacing w:val="-13"/>
                    </w:rPr>
                    <w:t xml:space="preserve"> </w:t>
                  </w:r>
                  <w:r>
                    <w:rPr>
                      <w:color w:val="000000"/>
                    </w:rPr>
                    <w:t>times from</w:t>
                  </w:r>
                  <w:r>
                    <w:rPr>
                      <w:color w:val="000000"/>
                      <w:spacing w:val="-12"/>
                    </w:rPr>
                    <w:t xml:space="preserve"> </w:t>
                  </w:r>
                  <w:r>
                    <w:rPr>
                      <w:color w:val="000000"/>
                    </w:rPr>
                    <w:t>Wollongong</w:t>
                  </w:r>
                  <w:r>
                    <w:rPr>
                      <w:color w:val="000000"/>
                      <w:spacing w:val="-11"/>
                    </w:rPr>
                    <w:t xml:space="preserve"> </w:t>
                  </w:r>
                  <w:r>
                    <w:rPr>
                      <w:color w:val="000000"/>
                    </w:rPr>
                    <w:t>and</w:t>
                  </w:r>
                  <w:r>
                    <w:rPr>
                      <w:color w:val="000000"/>
                      <w:spacing w:val="-11"/>
                    </w:rPr>
                    <w:t xml:space="preserve"> </w:t>
                  </w:r>
                  <w:r>
                    <w:rPr>
                      <w:color w:val="000000"/>
                    </w:rPr>
                    <w:t>Gosford</w:t>
                  </w:r>
                  <w:r>
                    <w:rPr>
                      <w:color w:val="000000"/>
                      <w:spacing w:val="-11"/>
                    </w:rPr>
                    <w:t xml:space="preserve"> </w:t>
                  </w:r>
                  <w:r>
                    <w:rPr>
                      <w:color w:val="000000"/>
                    </w:rPr>
                    <w:t>to</w:t>
                  </w:r>
                  <w:r>
                    <w:rPr>
                      <w:color w:val="000000"/>
                      <w:spacing w:val="-11"/>
                    </w:rPr>
                    <w:t xml:space="preserve"> </w:t>
                  </w:r>
                  <w:r>
                    <w:rPr>
                      <w:color w:val="000000"/>
                    </w:rPr>
                    <w:t>Central,</w:t>
                  </w:r>
                  <w:r>
                    <w:rPr>
                      <w:color w:val="000000"/>
                      <w:spacing w:val="-11"/>
                    </w:rPr>
                    <w:t xml:space="preserve"> </w:t>
                  </w:r>
                  <w:r>
                    <w:rPr>
                      <w:color w:val="000000"/>
                    </w:rPr>
                    <w:t>and</w:t>
                  </w:r>
                  <w:r>
                    <w:rPr>
                      <w:color w:val="000000"/>
                      <w:spacing w:val="-11"/>
                    </w:rPr>
                    <w:t xml:space="preserve"> </w:t>
                  </w:r>
                  <w:r>
                    <w:rPr>
                      <w:color w:val="000000"/>
                    </w:rPr>
                    <w:t>a</w:t>
                  </w:r>
                  <w:r>
                    <w:rPr>
                      <w:color w:val="000000"/>
                      <w:spacing w:val="-11"/>
                    </w:rPr>
                    <w:t xml:space="preserve"> </w:t>
                  </w:r>
                  <w:r>
                    <w:rPr>
                      <w:color w:val="000000"/>
                    </w:rPr>
                    <w:t>two hour</w:t>
                  </w:r>
                  <w:r>
                    <w:rPr>
                      <w:color w:val="000000"/>
                      <w:spacing w:val="-10"/>
                    </w:rPr>
                    <w:t xml:space="preserve"> </w:t>
                  </w:r>
                  <w:r>
                    <w:rPr>
                      <w:color w:val="000000"/>
                    </w:rPr>
                    <w:t>journey</w:t>
                  </w:r>
                  <w:r>
                    <w:rPr>
                      <w:color w:val="000000"/>
                      <w:spacing w:val="-10"/>
                    </w:rPr>
                    <w:t xml:space="preserve"> </w:t>
                  </w:r>
                  <w:r>
                    <w:rPr>
                      <w:color w:val="000000"/>
                    </w:rPr>
                    <w:t>time</w:t>
                  </w:r>
                  <w:r>
                    <w:rPr>
                      <w:color w:val="000000"/>
                      <w:spacing w:val="-10"/>
                    </w:rPr>
                    <w:t xml:space="preserve"> </w:t>
                  </w:r>
                  <w:r>
                    <w:rPr>
                      <w:color w:val="000000"/>
                    </w:rPr>
                    <w:t>from</w:t>
                  </w:r>
                  <w:r>
                    <w:rPr>
                      <w:color w:val="000000"/>
                      <w:spacing w:val="-10"/>
                    </w:rPr>
                    <w:t xml:space="preserve"> </w:t>
                  </w:r>
                  <w:r>
                    <w:rPr>
                      <w:color w:val="000000"/>
                    </w:rPr>
                    <w:t>Newcastle</w:t>
                  </w:r>
                  <w:r>
                    <w:rPr>
                      <w:color w:val="000000"/>
                      <w:spacing w:val="-10"/>
                    </w:rPr>
                    <w:t xml:space="preserve"> </w:t>
                  </w:r>
                  <w:r>
                    <w:rPr>
                      <w:color w:val="000000"/>
                    </w:rPr>
                    <w:t>to</w:t>
                  </w:r>
                  <w:r>
                    <w:rPr>
                      <w:color w:val="000000"/>
                      <w:spacing w:val="-10"/>
                    </w:rPr>
                    <w:t xml:space="preserve"> </w:t>
                  </w:r>
                  <w:r>
                    <w:rPr>
                      <w:color w:val="000000"/>
                    </w:rPr>
                    <w:t>Central.</w:t>
                  </w:r>
                </w:p>
              </w:txbxContent>
            </v:textbox>
            <w10:wrap type="topAndBottom" anchorx="page"/>
          </v:shape>
        </w:pict>
      </w:r>
    </w:p>
    <w:p w:rsidR="002C1123" w:rsidRDefault="00F22F94">
      <w:pPr>
        <w:pStyle w:val="BodyText"/>
        <w:spacing w:before="114"/>
        <w:ind w:left="188"/>
      </w:pPr>
      <w:r>
        <w:rPr>
          <w:w w:val="95"/>
        </w:rPr>
        <w:t>A</w:t>
      </w:r>
      <w:r>
        <w:rPr>
          <w:spacing w:val="-2"/>
          <w:w w:val="95"/>
        </w:rPr>
        <w:t xml:space="preserve"> </w:t>
      </w:r>
      <w:r>
        <w:rPr>
          <w:w w:val="95"/>
        </w:rPr>
        <w:t>phased</w:t>
      </w:r>
      <w:r>
        <w:rPr>
          <w:spacing w:val="-2"/>
          <w:w w:val="95"/>
        </w:rPr>
        <w:t xml:space="preserve"> </w:t>
      </w:r>
      <w:r>
        <w:rPr>
          <w:w w:val="95"/>
        </w:rPr>
        <w:t>approach</w:t>
      </w:r>
      <w:r>
        <w:rPr>
          <w:spacing w:val="-2"/>
          <w:w w:val="95"/>
        </w:rPr>
        <w:t xml:space="preserve"> </w:t>
      </w:r>
      <w:r>
        <w:rPr>
          <w:w w:val="95"/>
        </w:rPr>
        <w:t>is</w:t>
      </w:r>
      <w:r>
        <w:rPr>
          <w:spacing w:val="-1"/>
          <w:w w:val="95"/>
        </w:rPr>
        <w:t xml:space="preserve"> </w:t>
      </w:r>
      <w:r>
        <w:rPr>
          <w:spacing w:val="-2"/>
          <w:w w:val="95"/>
        </w:rPr>
        <w:t>recommended:</w:t>
      </w:r>
    </w:p>
    <w:p w:rsidR="002C1123" w:rsidRDefault="00F22F94">
      <w:pPr>
        <w:pStyle w:val="ListParagraph"/>
        <w:numPr>
          <w:ilvl w:val="0"/>
          <w:numId w:val="82"/>
        </w:numPr>
        <w:tabs>
          <w:tab w:val="left" w:pos="473"/>
        </w:tabs>
        <w:spacing w:before="139" w:line="249" w:lineRule="auto"/>
        <w:ind w:right="889"/>
        <w:rPr>
          <w:sz w:val="20"/>
        </w:rPr>
      </w:pPr>
      <w:r>
        <w:rPr>
          <w:w w:val="95"/>
          <w:sz w:val="20"/>
        </w:rPr>
        <w:t>A</w:t>
      </w:r>
      <w:r>
        <w:rPr>
          <w:spacing w:val="-3"/>
          <w:w w:val="95"/>
          <w:sz w:val="20"/>
        </w:rPr>
        <w:t xml:space="preserve"> </w:t>
      </w:r>
      <w:r>
        <w:rPr>
          <w:w w:val="95"/>
          <w:sz w:val="20"/>
        </w:rPr>
        <w:t>pilot</w:t>
      </w:r>
      <w:r>
        <w:rPr>
          <w:spacing w:val="-3"/>
          <w:w w:val="95"/>
          <w:sz w:val="20"/>
        </w:rPr>
        <w:t xml:space="preserve"> </w:t>
      </w:r>
      <w:r>
        <w:rPr>
          <w:w w:val="95"/>
          <w:sz w:val="20"/>
        </w:rPr>
        <w:t>program</w:t>
      </w:r>
      <w:r>
        <w:rPr>
          <w:spacing w:val="-3"/>
          <w:w w:val="95"/>
          <w:sz w:val="20"/>
        </w:rPr>
        <w:t xml:space="preserve"> </w:t>
      </w:r>
      <w:r>
        <w:rPr>
          <w:w w:val="95"/>
          <w:sz w:val="20"/>
        </w:rPr>
        <w:t>for</w:t>
      </w:r>
      <w:r>
        <w:rPr>
          <w:spacing w:val="-3"/>
          <w:w w:val="95"/>
          <w:sz w:val="20"/>
        </w:rPr>
        <w:t xml:space="preserve"> </w:t>
      </w:r>
      <w:r>
        <w:rPr>
          <w:w w:val="95"/>
          <w:sz w:val="20"/>
        </w:rPr>
        <w:t>acceleration</w:t>
      </w:r>
      <w:r>
        <w:rPr>
          <w:spacing w:val="-3"/>
          <w:w w:val="95"/>
          <w:sz w:val="20"/>
        </w:rPr>
        <w:t xml:space="preserve"> </w:t>
      </w:r>
      <w:r>
        <w:rPr>
          <w:w w:val="95"/>
          <w:sz w:val="20"/>
        </w:rPr>
        <w:t>on</w:t>
      </w:r>
      <w:r>
        <w:rPr>
          <w:spacing w:val="-3"/>
          <w:w w:val="95"/>
          <w:sz w:val="20"/>
        </w:rPr>
        <w:t xml:space="preserve"> </w:t>
      </w:r>
      <w:r>
        <w:rPr>
          <w:w w:val="95"/>
          <w:sz w:val="20"/>
        </w:rPr>
        <w:t>the</w:t>
      </w:r>
      <w:r>
        <w:rPr>
          <w:spacing w:val="-3"/>
          <w:w w:val="95"/>
          <w:sz w:val="20"/>
        </w:rPr>
        <w:t xml:space="preserve"> </w:t>
      </w:r>
      <w:r>
        <w:rPr>
          <w:w w:val="95"/>
          <w:sz w:val="20"/>
        </w:rPr>
        <w:t>South</w:t>
      </w:r>
      <w:r>
        <w:rPr>
          <w:spacing w:val="-3"/>
          <w:w w:val="95"/>
          <w:sz w:val="20"/>
        </w:rPr>
        <w:t xml:space="preserve"> </w:t>
      </w:r>
      <w:r>
        <w:rPr>
          <w:w w:val="95"/>
          <w:sz w:val="20"/>
        </w:rPr>
        <w:t>Coast Line</w:t>
      </w:r>
      <w:r>
        <w:rPr>
          <w:spacing w:val="-6"/>
          <w:w w:val="95"/>
          <w:sz w:val="20"/>
        </w:rPr>
        <w:t xml:space="preserve"> </w:t>
      </w:r>
      <w:r>
        <w:rPr>
          <w:w w:val="95"/>
          <w:sz w:val="20"/>
        </w:rPr>
        <w:t>between</w:t>
      </w:r>
      <w:r>
        <w:rPr>
          <w:spacing w:val="-6"/>
          <w:w w:val="95"/>
          <w:sz w:val="20"/>
        </w:rPr>
        <w:t xml:space="preserve"> </w:t>
      </w:r>
      <w:r>
        <w:rPr>
          <w:w w:val="95"/>
          <w:sz w:val="20"/>
        </w:rPr>
        <w:t>Sydney</w:t>
      </w:r>
      <w:r>
        <w:rPr>
          <w:spacing w:val="-6"/>
          <w:w w:val="95"/>
          <w:sz w:val="20"/>
        </w:rPr>
        <w:t xml:space="preserve"> </w:t>
      </w:r>
      <w:r>
        <w:rPr>
          <w:w w:val="95"/>
          <w:sz w:val="20"/>
        </w:rPr>
        <w:t>and</w:t>
      </w:r>
      <w:r>
        <w:rPr>
          <w:spacing w:val="-6"/>
          <w:w w:val="95"/>
          <w:sz w:val="20"/>
        </w:rPr>
        <w:t xml:space="preserve"> </w:t>
      </w:r>
      <w:r>
        <w:rPr>
          <w:w w:val="95"/>
          <w:sz w:val="20"/>
        </w:rPr>
        <w:t>Wollongong</w:t>
      </w:r>
      <w:r>
        <w:rPr>
          <w:spacing w:val="-6"/>
          <w:w w:val="95"/>
          <w:sz w:val="20"/>
        </w:rPr>
        <w:t xml:space="preserve"> </w:t>
      </w:r>
      <w:r>
        <w:rPr>
          <w:w w:val="95"/>
          <w:sz w:val="20"/>
        </w:rPr>
        <w:t>over</w:t>
      </w:r>
      <w:r>
        <w:rPr>
          <w:spacing w:val="-6"/>
          <w:w w:val="95"/>
          <w:sz w:val="20"/>
        </w:rPr>
        <w:t xml:space="preserve"> </w:t>
      </w:r>
      <w:r>
        <w:rPr>
          <w:w w:val="95"/>
          <w:sz w:val="20"/>
        </w:rPr>
        <w:t>the</w:t>
      </w:r>
      <w:r>
        <w:rPr>
          <w:spacing w:val="-6"/>
          <w:w w:val="95"/>
          <w:sz w:val="20"/>
        </w:rPr>
        <w:t xml:space="preserve"> </w:t>
      </w:r>
      <w:r>
        <w:rPr>
          <w:w w:val="95"/>
          <w:sz w:val="20"/>
        </w:rPr>
        <w:t xml:space="preserve">first </w:t>
      </w:r>
      <w:r>
        <w:rPr>
          <w:sz w:val="20"/>
        </w:rPr>
        <w:t>five</w:t>
      </w:r>
      <w:r>
        <w:rPr>
          <w:spacing w:val="-9"/>
          <w:sz w:val="20"/>
        </w:rPr>
        <w:t xml:space="preserve"> </w:t>
      </w:r>
      <w:r>
        <w:rPr>
          <w:sz w:val="20"/>
        </w:rPr>
        <w:t>years,</w:t>
      </w:r>
      <w:r>
        <w:rPr>
          <w:spacing w:val="-9"/>
          <w:sz w:val="20"/>
        </w:rPr>
        <w:t xml:space="preserve"> </w:t>
      </w:r>
      <w:r>
        <w:rPr>
          <w:sz w:val="20"/>
        </w:rPr>
        <w:t>to</w:t>
      </w:r>
      <w:r>
        <w:rPr>
          <w:spacing w:val="-9"/>
          <w:sz w:val="20"/>
        </w:rPr>
        <w:t xml:space="preserve"> </w:t>
      </w:r>
      <w:r>
        <w:rPr>
          <w:sz w:val="20"/>
        </w:rPr>
        <w:t>develop</w:t>
      </w:r>
      <w:r>
        <w:rPr>
          <w:spacing w:val="-9"/>
          <w:sz w:val="20"/>
        </w:rPr>
        <w:t xml:space="preserve"> </w:t>
      </w:r>
      <w:r>
        <w:rPr>
          <w:sz w:val="20"/>
        </w:rPr>
        <w:t>the</w:t>
      </w:r>
      <w:r>
        <w:rPr>
          <w:spacing w:val="-9"/>
          <w:sz w:val="20"/>
        </w:rPr>
        <w:t xml:space="preserve"> </w:t>
      </w:r>
      <w:r>
        <w:rPr>
          <w:sz w:val="20"/>
        </w:rPr>
        <w:t>new</w:t>
      </w:r>
      <w:r>
        <w:rPr>
          <w:spacing w:val="-9"/>
          <w:sz w:val="20"/>
        </w:rPr>
        <w:t xml:space="preserve"> </w:t>
      </w:r>
      <w:r>
        <w:rPr>
          <w:sz w:val="20"/>
        </w:rPr>
        <w:t>approach</w:t>
      </w:r>
      <w:r>
        <w:rPr>
          <w:spacing w:val="-9"/>
          <w:sz w:val="20"/>
        </w:rPr>
        <w:t xml:space="preserve"> </w:t>
      </w:r>
      <w:r>
        <w:rPr>
          <w:sz w:val="20"/>
        </w:rPr>
        <w:t>without interfering</w:t>
      </w:r>
      <w:r>
        <w:rPr>
          <w:spacing w:val="-2"/>
          <w:sz w:val="20"/>
        </w:rPr>
        <w:t xml:space="preserve"> </w:t>
      </w:r>
      <w:r>
        <w:rPr>
          <w:sz w:val="20"/>
        </w:rPr>
        <w:t>with</w:t>
      </w:r>
      <w:r>
        <w:rPr>
          <w:spacing w:val="-2"/>
          <w:sz w:val="20"/>
        </w:rPr>
        <w:t xml:space="preserve"> </w:t>
      </w:r>
      <w:r>
        <w:rPr>
          <w:sz w:val="20"/>
        </w:rPr>
        <w:t>the</w:t>
      </w:r>
      <w:r>
        <w:rPr>
          <w:spacing w:val="-2"/>
          <w:sz w:val="20"/>
        </w:rPr>
        <w:t xml:space="preserve"> </w:t>
      </w:r>
      <w:r>
        <w:rPr>
          <w:sz w:val="20"/>
        </w:rPr>
        <w:t>core</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network</w:t>
      </w:r>
    </w:p>
    <w:p w:rsidR="002C1123" w:rsidRDefault="00F22F94">
      <w:pPr>
        <w:pStyle w:val="ListParagraph"/>
        <w:numPr>
          <w:ilvl w:val="0"/>
          <w:numId w:val="82"/>
        </w:numPr>
        <w:tabs>
          <w:tab w:val="left" w:pos="473"/>
        </w:tabs>
        <w:spacing w:before="132" w:line="249" w:lineRule="auto"/>
        <w:ind w:right="1107"/>
        <w:rPr>
          <w:sz w:val="20"/>
        </w:rPr>
      </w:pPr>
      <w:r>
        <w:rPr>
          <w:sz w:val="20"/>
        </w:rPr>
        <w:t>Extension</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concept</w:t>
      </w:r>
      <w:r>
        <w:rPr>
          <w:spacing w:val="-5"/>
          <w:sz w:val="20"/>
        </w:rPr>
        <w:t xml:space="preserve"> </w:t>
      </w:r>
      <w:r>
        <w:rPr>
          <w:sz w:val="20"/>
        </w:rPr>
        <w:t>to</w:t>
      </w:r>
      <w:r>
        <w:rPr>
          <w:spacing w:val="-5"/>
          <w:sz w:val="20"/>
        </w:rPr>
        <w:t xml:space="preserve"> </w:t>
      </w:r>
      <w:r>
        <w:rPr>
          <w:sz w:val="20"/>
        </w:rPr>
        <w:t>the</w:t>
      </w:r>
      <w:r>
        <w:rPr>
          <w:spacing w:val="-5"/>
          <w:sz w:val="20"/>
        </w:rPr>
        <w:t xml:space="preserve"> </w:t>
      </w:r>
      <w:r>
        <w:rPr>
          <w:sz w:val="20"/>
        </w:rPr>
        <w:t>Central</w:t>
      </w:r>
      <w:r>
        <w:rPr>
          <w:spacing w:val="-5"/>
          <w:sz w:val="20"/>
        </w:rPr>
        <w:t xml:space="preserve"> </w:t>
      </w:r>
      <w:r>
        <w:rPr>
          <w:sz w:val="20"/>
        </w:rPr>
        <w:t xml:space="preserve">Coast </w:t>
      </w:r>
      <w:r>
        <w:rPr>
          <w:w w:val="95"/>
          <w:sz w:val="20"/>
        </w:rPr>
        <w:t>between</w:t>
      </w:r>
      <w:r>
        <w:rPr>
          <w:spacing w:val="-4"/>
          <w:w w:val="95"/>
          <w:sz w:val="20"/>
        </w:rPr>
        <w:t xml:space="preserve"> </w:t>
      </w:r>
      <w:r>
        <w:rPr>
          <w:w w:val="95"/>
          <w:sz w:val="20"/>
        </w:rPr>
        <w:t>years</w:t>
      </w:r>
      <w:r>
        <w:rPr>
          <w:spacing w:val="-4"/>
          <w:w w:val="95"/>
          <w:sz w:val="20"/>
        </w:rPr>
        <w:t xml:space="preserve"> </w:t>
      </w:r>
      <w:r>
        <w:rPr>
          <w:w w:val="95"/>
          <w:sz w:val="20"/>
        </w:rPr>
        <w:t>5</w:t>
      </w:r>
      <w:r>
        <w:rPr>
          <w:spacing w:val="-4"/>
          <w:w w:val="95"/>
          <w:sz w:val="20"/>
        </w:rPr>
        <w:t xml:space="preserve"> </w:t>
      </w:r>
      <w:r>
        <w:rPr>
          <w:w w:val="95"/>
          <w:sz w:val="20"/>
        </w:rPr>
        <w:t>and</w:t>
      </w:r>
      <w:r>
        <w:rPr>
          <w:spacing w:val="-4"/>
          <w:w w:val="95"/>
          <w:sz w:val="20"/>
        </w:rPr>
        <w:t xml:space="preserve"> </w:t>
      </w:r>
      <w:r>
        <w:rPr>
          <w:w w:val="95"/>
          <w:sz w:val="20"/>
        </w:rPr>
        <w:t>10,</w:t>
      </w:r>
      <w:r>
        <w:rPr>
          <w:spacing w:val="-4"/>
          <w:w w:val="95"/>
          <w:sz w:val="20"/>
        </w:rPr>
        <w:t xml:space="preserve"> </w:t>
      </w:r>
      <w:r>
        <w:rPr>
          <w:w w:val="95"/>
          <w:sz w:val="20"/>
        </w:rPr>
        <w:t>with</w:t>
      </w:r>
      <w:r>
        <w:rPr>
          <w:spacing w:val="-4"/>
          <w:w w:val="95"/>
          <w:sz w:val="20"/>
        </w:rPr>
        <w:t xml:space="preserve"> </w:t>
      </w:r>
      <w:r>
        <w:rPr>
          <w:w w:val="95"/>
          <w:sz w:val="20"/>
        </w:rPr>
        <w:t>further</w:t>
      </w:r>
      <w:r>
        <w:rPr>
          <w:spacing w:val="-4"/>
          <w:w w:val="95"/>
          <w:sz w:val="20"/>
        </w:rPr>
        <w:t xml:space="preserve"> </w:t>
      </w:r>
      <w:r>
        <w:rPr>
          <w:w w:val="95"/>
          <w:sz w:val="20"/>
        </w:rPr>
        <w:t xml:space="preserve">incremental </w:t>
      </w:r>
      <w:r>
        <w:rPr>
          <w:sz w:val="20"/>
        </w:rPr>
        <w:t>improvements to Wollongong services</w:t>
      </w:r>
    </w:p>
    <w:p w:rsidR="002C1123" w:rsidRDefault="00F22F94">
      <w:pPr>
        <w:pStyle w:val="ListParagraph"/>
        <w:numPr>
          <w:ilvl w:val="0"/>
          <w:numId w:val="82"/>
        </w:numPr>
        <w:tabs>
          <w:tab w:val="left" w:pos="473"/>
        </w:tabs>
        <w:spacing w:before="132" w:line="249" w:lineRule="auto"/>
        <w:ind w:right="725"/>
        <w:rPr>
          <w:sz w:val="20"/>
        </w:rPr>
      </w:pPr>
      <w:r>
        <w:rPr>
          <w:w w:val="95"/>
          <w:sz w:val="20"/>
        </w:rPr>
        <w:t>More</w:t>
      </w:r>
      <w:r>
        <w:rPr>
          <w:spacing w:val="-7"/>
          <w:w w:val="95"/>
          <w:sz w:val="20"/>
        </w:rPr>
        <w:t xml:space="preserve"> </w:t>
      </w:r>
      <w:r>
        <w:rPr>
          <w:w w:val="95"/>
          <w:sz w:val="20"/>
        </w:rPr>
        <w:t>capital</w:t>
      </w:r>
      <w:r>
        <w:rPr>
          <w:spacing w:val="-7"/>
          <w:w w:val="95"/>
          <w:sz w:val="20"/>
        </w:rPr>
        <w:t xml:space="preserve"> </w:t>
      </w:r>
      <w:r>
        <w:rPr>
          <w:w w:val="95"/>
          <w:sz w:val="20"/>
        </w:rPr>
        <w:t>works</w:t>
      </w:r>
      <w:r>
        <w:rPr>
          <w:spacing w:val="-7"/>
          <w:w w:val="95"/>
          <w:sz w:val="20"/>
        </w:rPr>
        <w:t xml:space="preserve"> </w:t>
      </w:r>
      <w:r>
        <w:rPr>
          <w:w w:val="95"/>
          <w:sz w:val="20"/>
        </w:rPr>
        <w:t>after</w:t>
      </w:r>
      <w:r>
        <w:rPr>
          <w:spacing w:val="-7"/>
          <w:w w:val="95"/>
          <w:sz w:val="20"/>
        </w:rPr>
        <w:t xml:space="preserve"> </w:t>
      </w:r>
      <w:r>
        <w:rPr>
          <w:w w:val="95"/>
          <w:sz w:val="20"/>
        </w:rPr>
        <w:t>year</w:t>
      </w:r>
      <w:r>
        <w:rPr>
          <w:spacing w:val="-7"/>
          <w:w w:val="95"/>
          <w:sz w:val="20"/>
        </w:rPr>
        <w:t xml:space="preserve"> </w:t>
      </w:r>
      <w:r>
        <w:rPr>
          <w:w w:val="95"/>
          <w:sz w:val="20"/>
        </w:rPr>
        <w:t>10,</w:t>
      </w:r>
      <w:r>
        <w:rPr>
          <w:spacing w:val="-7"/>
          <w:w w:val="95"/>
          <w:sz w:val="20"/>
        </w:rPr>
        <w:t xml:space="preserve"> </w:t>
      </w:r>
      <w:r>
        <w:rPr>
          <w:w w:val="95"/>
          <w:sz w:val="20"/>
        </w:rPr>
        <w:t>and</w:t>
      </w:r>
      <w:r>
        <w:rPr>
          <w:spacing w:val="-7"/>
          <w:w w:val="95"/>
          <w:sz w:val="20"/>
        </w:rPr>
        <w:t xml:space="preserve"> </w:t>
      </w:r>
      <w:r>
        <w:rPr>
          <w:w w:val="95"/>
          <w:sz w:val="20"/>
        </w:rPr>
        <w:t>extension</w:t>
      </w:r>
      <w:r>
        <w:rPr>
          <w:spacing w:val="-7"/>
          <w:w w:val="95"/>
          <w:sz w:val="20"/>
        </w:rPr>
        <w:t xml:space="preserve"> </w:t>
      </w:r>
      <w:r>
        <w:rPr>
          <w:w w:val="95"/>
          <w:sz w:val="20"/>
        </w:rPr>
        <w:t>of</w:t>
      </w:r>
      <w:r>
        <w:rPr>
          <w:spacing w:val="-7"/>
          <w:w w:val="95"/>
          <w:sz w:val="20"/>
        </w:rPr>
        <w:t xml:space="preserve"> </w:t>
      </w:r>
      <w:r>
        <w:rPr>
          <w:w w:val="95"/>
          <w:sz w:val="20"/>
        </w:rPr>
        <w:t xml:space="preserve">the </w:t>
      </w:r>
      <w:r>
        <w:rPr>
          <w:sz w:val="20"/>
        </w:rPr>
        <w:t>program to Newcastle services.</w:t>
      </w:r>
    </w:p>
    <w:p w:rsidR="002C1123" w:rsidRDefault="002C1123">
      <w:pPr>
        <w:pStyle w:val="BodyText"/>
        <w:spacing w:before="4"/>
        <w:rPr>
          <w:sz w:val="23"/>
        </w:rPr>
      </w:pPr>
    </w:p>
    <w:p w:rsidR="002C1123" w:rsidRDefault="00F22F94">
      <w:pPr>
        <w:pStyle w:val="Heading5"/>
        <w:numPr>
          <w:ilvl w:val="1"/>
          <w:numId w:val="86"/>
        </w:numPr>
        <w:tabs>
          <w:tab w:val="left" w:pos="638"/>
        </w:tabs>
        <w:spacing w:before="1"/>
        <w:ind w:left="637" w:hanging="450"/>
        <w:jc w:val="left"/>
        <w:rPr>
          <w:color w:val="00AEEF"/>
        </w:rPr>
      </w:pPr>
      <w:r>
        <w:rPr>
          <w:color w:val="00AEEF"/>
          <w:spacing w:val="-4"/>
        </w:rPr>
        <w:t>Demand</w:t>
      </w:r>
      <w:r>
        <w:rPr>
          <w:color w:val="00AEEF"/>
          <w:spacing w:val="-10"/>
        </w:rPr>
        <w:t xml:space="preserve"> </w:t>
      </w:r>
      <w:r>
        <w:rPr>
          <w:color w:val="00AEEF"/>
          <w:spacing w:val="-4"/>
        </w:rPr>
        <w:t>side</w:t>
      </w:r>
      <w:r>
        <w:rPr>
          <w:color w:val="00AEEF"/>
          <w:spacing w:val="-9"/>
        </w:rPr>
        <w:t xml:space="preserve"> </w:t>
      </w:r>
      <w:r>
        <w:rPr>
          <w:color w:val="00AEEF"/>
          <w:spacing w:val="-4"/>
        </w:rPr>
        <w:t>strategies</w:t>
      </w:r>
    </w:p>
    <w:p w:rsidR="002C1123" w:rsidRDefault="00F22F94">
      <w:pPr>
        <w:pStyle w:val="Heading6"/>
        <w:numPr>
          <w:ilvl w:val="2"/>
          <w:numId w:val="86"/>
        </w:numPr>
        <w:tabs>
          <w:tab w:val="left" w:pos="675"/>
        </w:tabs>
        <w:spacing w:before="134"/>
        <w:ind w:left="674" w:hanging="487"/>
        <w:jc w:val="left"/>
      </w:pPr>
      <w:r>
        <w:rPr>
          <w:color w:val="00AEEF"/>
        </w:rPr>
        <w:t>Peak</w:t>
      </w:r>
      <w:r>
        <w:rPr>
          <w:color w:val="00AEEF"/>
          <w:spacing w:val="-10"/>
        </w:rPr>
        <w:t xml:space="preserve"> </w:t>
      </w:r>
      <w:r>
        <w:rPr>
          <w:color w:val="00AEEF"/>
        </w:rPr>
        <w:t>Hour</w:t>
      </w:r>
      <w:r>
        <w:rPr>
          <w:color w:val="00AEEF"/>
          <w:spacing w:val="-9"/>
        </w:rPr>
        <w:t xml:space="preserve"> </w:t>
      </w:r>
      <w:r>
        <w:rPr>
          <w:color w:val="00AEEF"/>
          <w:spacing w:val="-2"/>
        </w:rPr>
        <w:t>Pricing</w:t>
      </w:r>
    </w:p>
    <w:p w:rsidR="002C1123" w:rsidRDefault="00F22F94">
      <w:pPr>
        <w:pStyle w:val="BodyText"/>
        <w:spacing w:before="95" w:line="249" w:lineRule="auto"/>
        <w:ind w:left="188" w:right="698"/>
      </w:pPr>
      <w:r>
        <w:rPr>
          <w:w w:val="95"/>
        </w:rPr>
        <w:t>Rail</w:t>
      </w:r>
      <w:r>
        <w:rPr>
          <w:spacing w:val="-5"/>
          <w:w w:val="95"/>
        </w:rPr>
        <w:t xml:space="preserve"> </w:t>
      </w:r>
      <w:r>
        <w:rPr>
          <w:w w:val="95"/>
        </w:rPr>
        <w:t>patronage</w:t>
      </w:r>
      <w:r>
        <w:rPr>
          <w:spacing w:val="-5"/>
          <w:w w:val="95"/>
        </w:rPr>
        <w:t xml:space="preserve"> </w:t>
      </w:r>
      <w:r>
        <w:rPr>
          <w:w w:val="95"/>
        </w:rPr>
        <w:t>is</w:t>
      </w:r>
      <w:r>
        <w:rPr>
          <w:spacing w:val="-5"/>
          <w:w w:val="95"/>
        </w:rPr>
        <w:t xml:space="preserve"> </w:t>
      </w:r>
      <w:r>
        <w:rPr>
          <w:w w:val="95"/>
        </w:rPr>
        <w:t>extremely</w:t>
      </w:r>
      <w:r>
        <w:rPr>
          <w:spacing w:val="-5"/>
          <w:w w:val="95"/>
        </w:rPr>
        <w:t xml:space="preserve"> </w:t>
      </w:r>
      <w:r>
        <w:rPr>
          <w:w w:val="95"/>
        </w:rPr>
        <w:t>‘peaky’,</w:t>
      </w:r>
      <w:r>
        <w:rPr>
          <w:spacing w:val="-5"/>
          <w:w w:val="95"/>
        </w:rPr>
        <w:t xml:space="preserve"> </w:t>
      </w:r>
      <w:r>
        <w:rPr>
          <w:w w:val="95"/>
        </w:rPr>
        <w:t>particularly</w:t>
      </w:r>
      <w:r>
        <w:rPr>
          <w:spacing w:val="-5"/>
          <w:w w:val="95"/>
        </w:rPr>
        <w:t xml:space="preserve"> </w:t>
      </w:r>
      <w:r>
        <w:rPr>
          <w:w w:val="95"/>
        </w:rPr>
        <w:t xml:space="preserve">between </w:t>
      </w:r>
      <w:r>
        <w:t>8am</w:t>
      </w:r>
      <w:r>
        <w:rPr>
          <w:spacing w:val="-7"/>
        </w:rPr>
        <w:t xml:space="preserve"> </w:t>
      </w:r>
      <w:r>
        <w:t>and</w:t>
      </w:r>
      <w:r>
        <w:rPr>
          <w:spacing w:val="-7"/>
        </w:rPr>
        <w:t xml:space="preserve"> </w:t>
      </w:r>
      <w:r>
        <w:t>9am</w:t>
      </w:r>
      <w:r>
        <w:rPr>
          <w:spacing w:val="-7"/>
        </w:rPr>
        <w:t xml:space="preserve"> </w:t>
      </w:r>
      <w:r>
        <w:t>on</w:t>
      </w:r>
      <w:r>
        <w:rPr>
          <w:spacing w:val="-7"/>
        </w:rPr>
        <w:t xml:space="preserve"> </w:t>
      </w:r>
      <w:r>
        <w:t>weekdays.</w:t>
      </w:r>
      <w:r>
        <w:rPr>
          <w:spacing w:val="-7"/>
        </w:rPr>
        <w:t xml:space="preserve"> </w:t>
      </w:r>
      <w:r>
        <w:t>Abundant</w:t>
      </w:r>
      <w:r>
        <w:rPr>
          <w:spacing w:val="-7"/>
        </w:rPr>
        <w:t xml:space="preserve"> </w:t>
      </w:r>
      <w:r>
        <w:t>spare</w:t>
      </w:r>
      <w:r>
        <w:rPr>
          <w:spacing w:val="-7"/>
        </w:rPr>
        <w:t xml:space="preserve"> </w:t>
      </w:r>
      <w:r>
        <w:t>capacity exists</w:t>
      </w:r>
      <w:r>
        <w:rPr>
          <w:spacing w:val="-13"/>
        </w:rPr>
        <w:t xml:space="preserve"> </w:t>
      </w:r>
      <w:r>
        <w:t>in</w:t>
      </w:r>
      <w:r>
        <w:rPr>
          <w:spacing w:val="-13"/>
        </w:rPr>
        <w:t xml:space="preserve"> </w:t>
      </w:r>
      <w:r>
        <w:t>the</w:t>
      </w:r>
      <w:r>
        <w:rPr>
          <w:spacing w:val="-13"/>
        </w:rPr>
        <w:t xml:space="preserve"> </w:t>
      </w:r>
      <w:r>
        <w:t>off</w:t>
      </w:r>
      <w:r>
        <w:rPr>
          <w:spacing w:val="-13"/>
        </w:rPr>
        <w:t xml:space="preserve"> </w:t>
      </w:r>
      <w:r>
        <w:t>peak</w:t>
      </w:r>
      <w:r>
        <w:rPr>
          <w:spacing w:val="-13"/>
        </w:rPr>
        <w:t xml:space="preserve"> </w:t>
      </w:r>
      <w:r>
        <w:t>and</w:t>
      </w:r>
      <w:r>
        <w:rPr>
          <w:spacing w:val="-13"/>
        </w:rPr>
        <w:t xml:space="preserve"> </w:t>
      </w:r>
      <w:r>
        <w:t>at</w:t>
      </w:r>
      <w:r>
        <w:rPr>
          <w:spacing w:val="-13"/>
        </w:rPr>
        <w:t xml:space="preserve"> </w:t>
      </w:r>
      <w:r>
        <w:t>weekends.</w:t>
      </w:r>
      <w:r>
        <w:rPr>
          <w:spacing w:val="-13"/>
        </w:rPr>
        <w:t xml:space="preserve"> </w:t>
      </w:r>
      <w:r>
        <w:t>Price</w:t>
      </w:r>
      <w:r>
        <w:rPr>
          <w:spacing w:val="-13"/>
        </w:rPr>
        <w:t xml:space="preserve"> </w:t>
      </w:r>
      <w:r>
        <w:t>signals offer</w:t>
      </w:r>
      <w:r>
        <w:rPr>
          <w:spacing w:val="-8"/>
        </w:rPr>
        <w:t xml:space="preserve"> </w:t>
      </w:r>
      <w:r>
        <w:t>an</w:t>
      </w:r>
      <w:r>
        <w:rPr>
          <w:spacing w:val="-8"/>
        </w:rPr>
        <w:t xml:space="preserve"> </w:t>
      </w:r>
      <w:r>
        <w:t>option</w:t>
      </w:r>
      <w:r>
        <w:rPr>
          <w:spacing w:val="-8"/>
        </w:rPr>
        <w:t xml:space="preserve"> </w:t>
      </w:r>
      <w:r>
        <w:t>for</w:t>
      </w:r>
      <w:r>
        <w:rPr>
          <w:spacing w:val="-8"/>
        </w:rPr>
        <w:t xml:space="preserve"> </w:t>
      </w:r>
      <w:r>
        <w:t>managing</w:t>
      </w:r>
      <w:r>
        <w:rPr>
          <w:spacing w:val="-8"/>
        </w:rPr>
        <w:t xml:space="preserve"> </w:t>
      </w:r>
      <w:r>
        <w:t>demand</w:t>
      </w:r>
      <w:r>
        <w:rPr>
          <w:spacing w:val="-8"/>
        </w:rPr>
        <w:t xml:space="preserve"> </w:t>
      </w:r>
      <w:r>
        <w:t>in</w:t>
      </w:r>
      <w:r>
        <w:rPr>
          <w:spacing w:val="-8"/>
        </w:rPr>
        <w:t xml:space="preserve"> </w:t>
      </w:r>
      <w:r>
        <w:t>the</w:t>
      </w:r>
      <w:r>
        <w:rPr>
          <w:spacing w:val="-8"/>
        </w:rPr>
        <w:t xml:space="preserve"> </w:t>
      </w:r>
      <w:r>
        <w:t>peak.</w:t>
      </w:r>
    </w:p>
    <w:p w:rsidR="002C1123" w:rsidRDefault="002060EF">
      <w:pPr>
        <w:pStyle w:val="BodyText"/>
        <w:rPr>
          <w:sz w:val="22"/>
        </w:rPr>
      </w:pPr>
      <w:r>
        <w:pict>
          <v:shape id="docshape1459" o:spid="_x0000_s3763" style="position:absolute;margin-left:552.3pt;margin-top:13.85pt;width:1in;height:.1pt;z-index:-251372544;mso-wrap-distance-left:0;mso-wrap-distance-right:0;mso-position-horizontal-relative:page" coordorigin="11046,277" coordsize="1440,0" path="m11046,277r1440,e" filled="f" strokecolor="#9c9c9d" strokeweight=".5pt">
            <v:path arrowok="t"/>
            <w10:wrap type="topAndBottom" anchorx="page"/>
          </v:shape>
        </w:pict>
      </w:r>
    </w:p>
    <w:p w:rsidR="002C1123" w:rsidRDefault="00F22F94">
      <w:pPr>
        <w:pStyle w:val="ListParagraph"/>
        <w:numPr>
          <w:ilvl w:val="2"/>
          <w:numId w:val="85"/>
        </w:numPr>
        <w:tabs>
          <w:tab w:val="left" w:pos="388"/>
        </w:tabs>
        <w:spacing w:before="23"/>
        <w:ind w:left="387" w:hanging="200"/>
        <w:jc w:val="left"/>
        <w:rPr>
          <w:sz w:val="14"/>
        </w:rPr>
      </w:pPr>
      <w:r>
        <w:rPr>
          <w:w w:val="95"/>
          <w:sz w:val="14"/>
        </w:rPr>
        <w:t>Chiltern</w:t>
      </w:r>
      <w:r>
        <w:rPr>
          <w:spacing w:val="-2"/>
          <w:sz w:val="14"/>
        </w:rPr>
        <w:t xml:space="preserve"> </w:t>
      </w:r>
      <w:r>
        <w:rPr>
          <w:w w:val="95"/>
          <w:sz w:val="14"/>
        </w:rPr>
        <w:t>Railways,</w:t>
      </w:r>
      <w:r>
        <w:rPr>
          <w:spacing w:val="-1"/>
          <w:sz w:val="14"/>
        </w:rPr>
        <w:t xml:space="preserve"> </w:t>
      </w:r>
      <w:r>
        <w:rPr>
          <w:w w:val="95"/>
          <w:sz w:val="14"/>
        </w:rPr>
        <w:t>Network</w:t>
      </w:r>
      <w:r>
        <w:rPr>
          <w:spacing w:val="-1"/>
          <w:sz w:val="14"/>
        </w:rPr>
        <w:t xml:space="preserve"> </w:t>
      </w:r>
      <w:r>
        <w:rPr>
          <w:w w:val="95"/>
          <w:sz w:val="14"/>
        </w:rPr>
        <w:t>Rail</w:t>
      </w:r>
      <w:r>
        <w:rPr>
          <w:spacing w:val="-1"/>
          <w:sz w:val="14"/>
        </w:rPr>
        <w:t xml:space="preserve"> </w:t>
      </w:r>
      <w:r>
        <w:rPr>
          <w:spacing w:val="-2"/>
          <w:w w:val="95"/>
          <w:sz w:val="14"/>
        </w:rPr>
        <w:t>timetables.</w:t>
      </w:r>
    </w:p>
    <w:p w:rsidR="002C1123" w:rsidRDefault="002C1123">
      <w:pPr>
        <w:rPr>
          <w:sz w:val="14"/>
        </w:rPr>
        <w:sectPr w:rsidR="002C1123">
          <w:type w:val="continuous"/>
          <w:pgSz w:w="16840" w:h="11910" w:orient="landscape"/>
          <w:pgMar w:top="560" w:right="280" w:bottom="280" w:left="500" w:header="0" w:footer="517" w:gutter="0"/>
          <w:cols w:num="3" w:space="720" w:equalWidth="0">
            <w:col w:w="5276" w:space="40"/>
            <w:col w:w="5002" w:space="39"/>
            <w:col w:w="5703"/>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BodyText"/>
        <w:spacing w:before="106" w:line="249" w:lineRule="auto"/>
        <w:ind w:left="492"/>
      </w:pPr>
      <w:bookmarkStart w:id="227" w:name="8.6_Network_expansion"/>
      <w:bookmarkStart w:id="228" w:name="_bookmark162"/>
      <w:bookmarkStart w:id="229" w:name="_bookmark161"/>
      <w:bookmarkEnd w:id="227"/>
      <w:bookmarkEnd w:id="228"/>
      <w:bookmarkEnd w:id="229"/>
      <w:r>
        <w:rPr>
          <w:w w:val="95"/>
        </w:rPr>
        <w:t xml:space="preserve">The anticipated impact of more differentiation between </w:t>
      </w:r>
      <w:r>
        <w:t>peak</w:t>
      </w:r>
      <w:r>
        <w:rPr>
          <w:spacing w:val="-8"/>
        </w:rPr>
        <w:t xml:space="preserve"> </w:t>
      </w:r>
      <w:r>
        <w:t>and</w:t>
      </w:r>
      <w:r>
        <w:rPr>
          <w:spacing w:val="-8"/>
        </w:rPr>
        <w:t xml:space="preserve"> </w:t>
      </w:r>
      <w:r>
        <w:t>off</w:t>
      </w:r>
      <w:r>
        <w:rPr>
          <w:spacing w:val="-8"/>
        </w:rPr>
        <w:t xml:space="preserve"> </w:t>
      </w:r>
      <w:r>
        <w:t>peak</w:t>
      </w:r>
      <w:r>
        <w:rPr>
          <w:spacing w:val="-8"/>
        </w:rPr>
        <w:t xml:space="preserve"> </w:t>
      </w:r>
      <w:r>
        <w:t>fares</w:t>
      </w:r>
      <w:r>
        <w:rPr>
          <w:spacing w:val="-8"/>
        </w:rPr>
        <w:t xml:space="preserve"> </w:t>
      </w:r>
      <w:r>
        <w:t>would</w:t>
      </w:r>
      <w:r>
        <w:rPr>
          <w:spacing w:val="-8"/>
        </w:rPr>
        <w:t xml:space="preserve"> </w:t>
      </w:r>
      <w:r>
        <w:t>be</w:t>
      </w:r>
      <w:r>
        <w:rPr>
          <w:spacing w:val="-8"/>
        </w:rPr>
        <w:t xml:space="preserve"> </w:t>
      </w:r>
      <w:r>
        <w:t>‘peak</w:t>
      </w:r>
      <w:r>
        <w:rPr>
          <w:spacing w:val="-8"/>
        </w:rPr>
        <w:t xml:space="preserve"> </w:t>
      </w:r>
      <w:r>
        <w:t xml:space="preserve">spreading’, </w:t>
      </w:r>
      <w:r>
        <w:rPr>
          <w:w w:val="95"/>
        </w:rPr>
        <w:t>where some passengers choose to change the time of their</w:t>
      </w:r>
      <w:r>
        <w:rPr>
          <w:spacing w:val="-12"/>
          <w:w w:val="95"/>
        </w:rPr>
        <w:t xml:space="preserve"> </w:t>
      </w:r>
      <w:r>
        <w:rPr>
          <w:w w:val="95"/>
        </w:rPr>
        <w:t>journey</w:t>
      </w:r>
      <w:r>
        <w:rPr>
          <w:spacing w:val="-11"/>
          <w:w w:val="95"/>
        </w:rPr>
        <w:t xml:space="preserve"> </w:t>
      </w:r>
      <w:r>
        <w:rPr>
          <w:w w:val="95"/>
        </w:rPr>
        <w:t>earlier</w:t>
      </w:r>
      <w:r>
        <w:rPr>
          <w:spacing w:val="-11"/>
          <w:w w:val="95"/>
        </w:rPr>
        <w:t xml:space="preserve"> </w:t>
      </w:r>
      <w:r>
        <w:rPr>
          <w:w w:val="95"/>
        </w:rPr>
        <w:t>or</w:t>
      </w:r>
      <w:r>
        <w:rPr>
          <w:spacing w:val="-11"/>
          <w:w w:val="95"/>
        </w:rPr>
        <w:t xml:space="preserve"> </w:t>
      </w:r>
      <w:r>
        <w:rPr>
          <w:w w:val="95"/>
        </w:rPr>
        <w:t>later.</w:t>
      </w:r>
      <w:r>
        <w:rPr>
          <w:spacing w:val="-11"/>
          <w:w w:val="95"/>
        </w:rPr>
        <w:t xml:space="preserve"> </w:t>
      </w:r>
      <w:r>
        <w:rPr>
          <w:w w:val="95"/>
        </w:rPr>
        <w:t>The</w:t>
      </w:r>
      <w:r>
        <w:rPr>
          <w:spacing w:val="-11"/>
          <w:w w:val="95"/>
        </w:rPr>
        <w:t xml:space="preserve"> </w:t>
      </w:r>
      <w:r>
        <w:rPr>
          <w:w w:val="95"/>
        </w:rPr>
        <w:t>introduction</w:t>
      </w:r>
      <w:r>
        <w:rPr>
          <w:spacing w:val="-11"/>
          <w:w w:val="95"/>
        </w:rPr>
        <w:t xml:space="preserve"> </w:t>
      </w:r>
      <w:r>
        <w:rPr>
          <w:w w:val="95"/>
        </w:rPr>
        <w:t>of</w:t>
      </w:r>
      <w:r>
        <w:rPr>
          <w:spacing w:val="-11"/>
          <w:w w:val="95"/>
        </w:rPr>
        <w:t xml:space="preserve"> </w:t>
      </w:r>
      <w:r>
        <w:rPr>
          <w:w w:val="95"/>
        </w:rPr>
        <w:t>the</w:t>
      </w:r>
      <w:r>
        <w:rPr>
          <w:spacing w:val="-12"/>
          <w:w w:val="95"/>
        </w:rPr>
        <w:t xml:space="preserve"> </w:t>
      </w:r>
      <w:r>
        <w:rPr>
          <w:w w:val="95"/>
        </w:rPr>
        <w:t xml:space="preserve">Opal card provides the technology to allow a tailored pricing </w:t>
      </w:r>
      <w:r>
        <w:t>scheme to be introduced in the CBD.</w:t>
      </w:r>
    </w:p>
    <w:p w:rsidR="002C1123" w:rsidRDefault="00F22F94">
      <w:pPr>
        <w:pStyle w:val="BodyText"/>
        <w:spacing w:before="147" w:line="249" w:lineRule="auto"/>
        <w:ind w:left="492" w:right="242"/>
      </w:pPr>
      <w:r>
        <w:t>Targeted</w:t>
      </w:r>
      <w:r>
        <w:rPr>
          <w:spacing w:val="-14"/>
        </w:rPr>
        <w:t xml:space="preserve"> </w:t>
      </w:r>
      <w:r>
        <w:t>peak</w:t>
      </w:r>
      <w:r>
        <w:rPr>
          <w:spacing w:val="-14"/>
        </w:rPr>
        <w:t xml:space="preserve"> </w:t>
      </w:r>
      <w:r>
        <w:t>price</w:t>
      </w:r>
      <w:r>
        <w:rPr>
          <w:spacing w:val="-14"/>
        </w:rPr>
        <w:t xml:space="preserve"> </w:t>
      </w:r>
      <w:r>
        <w:t>signals</w:t>
      </w:r>
      <w:r>
        <w:rPr>
          <w:spacing w:val="-14"/>
        </w:rPr>
        <w:t xml:space="preserve"> </w:t>
      </w:r>
      <w:r>
        <w:t>could</w:t>
      </w:r>
      <w:r>
        <w:rPr>
          <w:spacing w:val="-14"/>
        </w:rPr>
        <w:t xml:space="preserve"> </w:t>
      </w:r>
      <w:r>
        <w:t>provide</w:t>
      </w:r>
      <w:r>
        <w:rPr>
          <w:spacing w:val="-14"/>
        </w:rPr>
        <w:t xml:space="preserve"> </w:t>
      </w:r>
      <w:r>
        <w:t>a</w:t>
      </w:r>
      <w:r>
        <w:rPr>
          <w:spacing w:val="-14"/>
        </w:rPr>
        <w:t xml:space="preserve"> </w:t>
      </w:r>
      <w:r>
        <w:t>material contribution</w:t>
      </w:r>
      <w:r>
        <w:rPr>
          <w:spacing w:val="-6"/>
        </w:rPr>
        <w:t xml:space="preserve"> </w:t>
      </w:r>
      <w:r>
        <w:t>to</w:t>
      </w:r>
      <w:r>
        <w:rPr>
          <w:spacing w:val="-6"/>
        </w:rPr>
        <w:t xml:space="preserve"> </w:t>
      </w:r>
      <w:r>
        <w:t>the</w:t>
      </w:r>
      <w:r>
        <w:rPr>
          <w:spacing w:val="-6"/>
        </w:rPr>
        <w:t xml:space="preserve"> </w:t>
      </w:r>
      <w:r>
        <w:t>strategy</w:t>
      </w:r>
      <w:r>
        <w:rPr>
          <w:spacing w:val="-6"/>
        </w:rPr>
        <w:t xml:space="preserve"> </w:t>
      </w:r>
      <w:r>
        <w:t>for</w:t>
      </w:r>
      <w:r>
        <w:rPr>
          <w:spacing w:val="-6"/>
        </w:rPr>
        <w:t xml:space="preserve"> </w:t>
      </w:r>
      <w:r>
        <w:t>managing</w:t>
      </w:r>
      <w:r>
        <w:rPr>
          <w:spacing w:val="-6"/>
        </w:rPr>
        <w:t xml:space="preserve"> </w:t>
      </w:r>
      <w:r>
        <w:t xml:space="preserve">growing </w:t>
      </w:r>
      <w:r>
        <w:rPr>
          <w:w w:val="95"/>
        </w:rPr>
        <w:t>demand.</w:t>
      </w:r>
      <w:r>
        <w:rPr>
          <w:spacing w:val="-1"/>
          <w:w w:val="95"/>
        </w:rPr>
        <w:t xml:space="preserve"> </w:t>
      </w:r>
      <w:r>
        <w:rPr>
          <w:w w:val="95"/>
        </w:rPr>
        <w:t>Modelling</w:t>
      </w:r>
      <w:r>
        <w:rPr>
          <w:spacing w:val="-1"/>
          <w:w w:val="95"/>
        </w:rPr>
        <w:t xml:space="preserve"> </w:t>
      </w:r>
      <w:r>
        <w:rPr>
          <w:w w:val="95"/>
        </w:rPr>
        <w:t>suggests</w:t>
      </w:r>
      <w:r>
        <w:rPr>
          <w:spacing w:val="-1"/>
          <w:w w:val="95"/>
        </w:rPr>
        <w:t xml:space="preserve"> </w:t>
      </w:r>
      <w:r>
        <w:rPr>
          <w:w w:val="95"/>
        </w:rPr>
        <w:t>that</w:t>
      </w:r>
      <w:r>
        <w:rPr>
          <w:spacing w:val="-1"/>
          <w:w w:val="95"/>
        </w:rPr>
        <w:t xml:space="preserve"> </w:t>
      </w:r>
      <w:r>
        <w:rPr>
          <w:w w:val="95"/>
        </w:rPr>
        <w:t>a</w:t>
      </w:r>
      <w:r>
        <w:rPr>
          <w:spacing w:val="-1"/>
          <w:w w:val="95"/>
        </w:rPr>
        <w:t xml:space="preserve"> </w:t>
      </w:r>
      <w:r>
        <w:rPr>
          <w:w w:val="95"/>
        </w:rPr>
        <w:t>fare</w:t>
      </w:r>
      <w:r>
        <w:rPr>
          <w:spacing w:val="-1"/>
          <w:w w:val="95"/>
        </w:rPr>
        <w:t xml:space="preserve"> </w:t>
      </w:r>
      <w:r>
        <w:rPr>
          <w:w w:val="95"/>
        </w:rPr>
        <w:t>structure</w:t>
      </w:r>
      <w:r>
        <w:rPr>
          <w:spacing w:val="-1"/>
          <w:w w:val="95"/>
        </w:rPr>
        <w:t xml:space="preserve"> </w:t>
      </w:r>
      <w:r>
        <w:rPr>
          <w:w w:val="95"/>
        </w:rPr>
        <w:t xml:space="preserve">with </w:t>
      </w:r>
      <w:r>
        <w:t>a</w:t>
      </w:r>
      <w:r>
        <w:rPr>
          <w:spacing w:val="-10"/>
        </w:rPr>
        <w:t xml:space="preserve"> </w:t>
      </w:r>
      <w:r>
        <w:t>25</w:t>
      </w:r>
      <w:r>
        <w:rPr>
          <w:spacing w:val="-10"/>
        </w:rPr>
        <w:t xml:space="preserve"> </w:t>
      </w:r>
      <w:r>
        <w:t>percent</w:t>
      </w:r>
      <w:r>
        <w:rPr>
          <w:spacing w:val="-10"/>
        </w:rPr>
        <w:t xml:space="preserve"> </w:t>
      </w:r>
      <w:r>
        <w:t>peak</w:t>
      </w:r>
      <w:r>
        <w:rPr>
          <w:spacing w:val="-10"/>
        </w:rPr>
        <w:t xml:space="preserve"> </w:t>
      </w:r>
      <w:r>
        <w:t>surcharge</w:t>
      </w:r>
      <w:r>
        <w:rPr>
          <w:spacing w:val="-10"/>
        </w:rPr>
        <w:t xml:space="preserve"> </w:t>
      </w:r>
      <w:r>
        <w:t>for</w:t>
      </w:r>
      <w:r>
        <w:rPr>
          <w:spacing w:val="-10"/>
        </w:rPr>
        <w:t xml:space="preserve"> </w:t>
      </w:r>
      <w:r>
        <w:t>customers</w:t>
      </w:r>
      <w:r>
        <w:rPr>
          <w:spacing w:val="-10"/>
        </w:rPr>
        <w:t xml:space="preserve"> </w:t>
      </w:r>
      <w:r>
        <w:t>arriving</w:t>
      </w:r>
    </w:p>
    <w:p w:rsidR="002C1123" w:rsidRDefault="00F22F94">
      <w:pPr>
        <w:pStyle w:val="BodyText"/>
        <w:spacing w:before="3" w:line="249" w:lineRule="auto"/>
        <w:ind w:left="492" w:right="367"/>
      </w:pPr>
      <w:r>
        <w:rPr>
          <w:w w:val="95"/>
        </w:rPr>
        <w:t>at</w:t>
      </w:r>
      <w:r>
        <w:rPr>
          <w:spacing w:val="-3"/>
          <w:w w:val="95"/>
        </w:rPr>
        <w:t xml:space="preserve"> </w:t>
      </w:r>
      <w:r>
        <w:rPr>
          <w:w w:val="95"/>
        </w:rPr>
        <w:t>CBD</w:t>
      </w:r>
      <w:r>
        <w:rPr>
          <w:spacing w:val="-3"/>
          <w:w w:val="95"/>
        </w:rPr>
        <w:t xml:space="preserve"> </w:t>
      </w:r>
      <w:r>
        <w:rPr>
          <w:w w:val="95"/>
        </w:rPr>
        <w:t>stations</w:t>
      </w:r>
      <w:r>
        <w:rPr>
          <w:spacing w:val="-3"/>
          <w:w w:val="95"/>
        </w:rPr>
        <w:t xml:space="preserve"> </w:t>
      </w:r>
      <w:r>
        <w:rPr>
          <w:w w:val="95"/>
        </w:rPr>
        <w:t>between</w:t>
      </w:r>
      <w:r>
        <w:rPr>
          <w:spacing w:val="-3"/>
          <w:w w:val="95"/>
        </w:rPr>
        <w:t xml:space="preserve"> </w:t>
      </w:r>
      <w:r>
        <w:rPr>
          <w:w w:val="95"/>
        </w:rPr>
        <w:t>8</w:t>
      </w:r>
      <w:r>
        <w:rPr>
          <w:spacing w:val="-3"/>
          <w:w w:val="95"/>
        </w:rPr>
        <w:t xml:space="preserve"> </w:t>
      </w:r>
      <w:r>
        <w:rPr>
          <w:w w:val="95"/>
        </w:rPr>
        <w:t>am</w:t>
      </w:r>
      <w:r>
        <w:rPr>
          <w:spacing w:val="-4"/>
          <w:w w:val="95"/>
        </w:rPr>
        <w:t xml:space="preserve"> </w:t>
      </w:r>
      <w:r>
        <w:rPr>
          <w:w w:val="95"/>
        </w:rPr>
        <w:t>and</w:t>
      </w:r>
      <w:r>
        <w:rPr>
          <w:spacing w:val="-3"/>
          <w:w w:val="95"/>
        </w:rPr>
        <w:t xml:space="preserve"> </w:t>
      </w:r>
      <w:r>
        <w:rPr>
          <w:w w:val="95"/>
        </w:rPr>
        <w:t>9</w:t>
      </w:r>
      <w:r>
        <w:rPr>
          <w:spacing w:val="-3"/>
          <w:w w:val="95"/>
        </w:rPr>
        <w:t xml:space="preserve"> </w:t>
      </w:r>
      <w:r>
        <w:rPr>
          <w:w w:val="95"/>
        </w:rPr>
        <w:t>am,</w:t>
      </w:r>
      <w:r>
        <w:rPr>
          <w:spacing w:val="-3"/>
          <w:w w:val="95"/>
        </w:rPr>
        <w:t xml:space="preserve"> </w:t>
      </w:r>
      <w:r>
        <w:rPr>
          <w:w w:val="95"/>
        </w:rPr>
        <w:t>along</w:t>
      </w:r>
      <w:r>
        <w:rPr>
          <w:spacing w:val="-3"/>
          <w:w w:val="95"/>
        </w:rPr>
        <w:t xml:space="preserve"> </w:t>
      </w:r>
      <w:r>
        <w:rPr>
          <w:w w:val="95"/>
        </w:rPr>
        <w:t xml:space="preserve">with </w:t>
      </w:r>
      <w:r>
        <w:t>a</w:t>
      </w:r>
      <w:r>
        <w:rPr>
          <w:spacing w:val="-9"/>
        </w:rPr>
        <w:t xml:space="preserve"> </w:t>
      </w:r>
      <w:r>
        <w:t>25</w:t>
      </w:r>
      <w:r>
        <w:rPr>
          <w:spacing w:val="-9"/>
        </w:rPr>
        <w:t xml:space="preserve"> </w:t>
      </w:r>
      <w:r>
        <w:t>per</w:t>
      </w:r>
      <w:r>
        <w:rPr>
          <w:spacing w:val="-9"/>
        </w:rPr>
        <w:t xml:space="preserve"> </w:t>
      </w:r>
      <w:r>
        <w:t>cent</w:t>
      </w:r>
      <w:r>
        <w:rPr>
          <w:spacing w:val="-9"/>
        </w:rPr>
        <w:t xml:space="preserve"> </w:t>
      </w:r>
      <w:r>
        <w:t>discount</w:t>
      </w:r>
      <w:r>
        <w:rPr>
          <w:spacing w:val="-9"/>
        </w:rPr>
        <w:t xml:space="preserve"> </w:t>
      </w:r>
      <w:r>
        <w:t>for</w:t>
      </w:r>
      <w:r>
        <w:rPr>
          <w:spacing w:val="-9"/>
        </w:rPr>
        <w:t xml:space="preserve"> </w:t>
      </w:r>
      <w:r>
        <w:t>those</w:t>
      </w:r>
      <w:r>
        <w:rPr>
          <w:spacing w:val="-9"/>
        </w:rPr>
        <w:t xml:space="preserve"> </w:t>
      </w:r>
      <w:r>
        <w:t>arriving</w:t>
      </w:r>
      <w:r>
        <w:rPr>
          <w:spacing w:val="-9"/>
        </w:rPr>
        <w:t xml:space="preserve"> </w:t>
      </w:r>
      <w:r>
        <w:t>before</w:t>
      </w:r>
      <w:r>
        <w:rPr>
          <w:spacing w:val="-9"/>
        </w:rPr>
        <w:t xml:space="preserve"> </w:t>
      </w:r>
      <w:r>
        <w:t>or</w:t>
      </w:r>
    </w:p>
    <w:p w:rsidR="002C1123" w:rsidRDefault="00F22F94">
      <w:pPr>
        <w:pStyle w:val="BodyText"/>
        <w:spacing w:before="1" w:line="249" w:lineRule="auto"/>
        <w:ind w:left="492" w:right="129"/>
      </w:pPr>
      <w:r>
        <w:rPr>
          <w:w w:val="95"/>
        </w:rPr>
        <w:t xml:space="preserve">after this window, could reduce peak hour demand by about 10 percent, or potentially one to two train loads </w:t>
      </w:r>
      <w:r>
        <w:t>on each line</w:t>
      </w:r>
      <w:r>
        <w:rPr>
          <w:position w:val="7"/>
          <w:sz w:val="11"/>
        </w:rPr>
        <w:t>8</w:t>
      </w:r>
      <w:r>
        <w:t>.</w:t>
      </w:r>
    </w:p>
    <w:p w:rsidR="002C1123" w:rsidRDefault="002060EF">
      <w:pPr>
        <w:pStyle w:val="BodyText"/>
        <w:spacing w:before="10"/>
        <w:rPr>
          <w:sz w:val="12"/>
        </w:rPr>
      </w:pPr>
      <w:r>
        <w:pict>
          <v:shape id="docshape1460" o:spid="_x0000_s3762" type="#_x0000_t202" style="position:absolute;margin-left:49.6pt;margin-top:8.6pt;width:239pt;height:69.35pt;z-index:-251371520;mso-wrap-distance-left:0;mso-wrap-distance-right:0;mso-position-horizontal-relative:page" fillcolor="#e1e0e1" stroked="f">
            <v:textbox inset="0,0,0,0">
              <w:txbxContent>
                <w:p w:rsidR="00F22F94" w:rsidRDefault="00F22F94">
                  <w:pPr>
                    <w:pStyle w:val="BodyText"/>
                    <w:spacing w:before="68" w:line="249" w:lineRule="auto"/>
                    <w:ind w:left="113" w:right="115"/>
                    <w:rPr>
                      <w:color w:val="000000"/>
                    </w:rPr>
                  </w:pPr>
                  <w:r>
                    <w:rPr>
                      <w:color w:val="00AEEF"/>
                    </w:rPr>
                    <w:t xml:space="preserve">Recommendation </w:t>
                  </w:r>
                  <w:r>
                    <w:rPr>
                      <w:color w:val="000000"/>
                    </w:rPr>
                    <w:t>Infrastructure</w:t>
                  </w:r>
                  <w:r>
                    <w:rPr>
                      <w:color w:val="000000"/>
                      <w:spacing w:val="-14"/>
                    </w:rPr>
                    <w:t xml:space="preserve"> </w:t>
                  </w:r>
                  <w:r>
                    <w:rPr>
                      <w:color w:val="000000"/>
                    </w:rPr>
                    <w:t>NSW</w:t>
                  </w:r>
                  <w:r>
                    <w:rPr>
                      <w:color w:val="000000"/>
                      <w:spacing w:val="-14"/>
                    </w:rPr>
                    <w:t xml:space="preserve"> </w:t>
                  </w:r>
                  <w:r>
                    <w:rPr>
                      <w:color w:val="000000"/>
                    </w:rPr>
                    <w:t>recommends that</w:t>
                  </w:r>
                  <w:r>
                    <w:rPr>
                      <w:color w:val="000000"/>
                      <w:spacing w:val="-7"/>
                    </w:rPr>
                    <w:t xml:space="preserve"> </w:t>
                  </w:r>
                  <w:r>
                    <w:rPr>
                      <w:color w:val="000000"/>
                    </w:rPr>
                    <w:t>the</w:t>
                  </w:r>
                  <w:r>
                    <w:rPr>
                      <w:color w:val="000000"/>
                      <w:spacing w:val="-7"/>
                    </w:rPr>
                    <w:t xml:space="preserve"> </w:t>
                  </w:r>
                  <w:r>
                    <w:rPr>
                      <w:color w:val="000000"/>
                    </w:rPr>
                    <w:t>Government</w:t>
                  </w:r>
                  <w:r>
                    <w:rPr>
                      <w:color w:val="000000"/>
                      <w:spacing w:val="-7"/>
                    </w:rPr>
                    <w:t xml:space="preserve"> </w:t>
                  </w:r>
                  <w:r>
                    <w:rPr>
                      <w:color w:val="000000"/>
                    </w:rPr>
                    <w:t>considers</w:t>
                  </w:r>
                  <w:r>
                    <w:rPr>
                      <w:color w:val="000000"/>
                      <w:spacing w:val="-7"/>
                    </w:rPr>
                    <w:t xml:space="preserve"> </w:t>
                  </w:r>
                  <w:r>
                    <w:rPr>
                      <w:color w:val="000000"/>
                    </w:rPr>
                    <w:t>strengthening</w:t>
                  </w:r>
                  <w:r>
                    <w:rPr>
                      <w:color w:val="000000"/>
                      <w:spacing w:val="-7"/>
                    </w:rPr>
                    <w:t xml:space="preserve"> </w:t>
                  </w:r>
                  <w:r>
                    <w:rPr>
                      <w:color w:val="000000"/>
                    </w:rPr>
                    <w:t xml:space="preserve">off- </w:t>
                  </w:r>
                  <w:r>
                    <w:rPr>
                      <w:color w:val="000000"/>
                      <w:w w:val="95"/>
                    </w:rPr>
                    <w:t>peak travel price incentives following the introduction of</w:t>
                  </w:r>
                  <w:r>
                    <w:rPr>
                      <w:color w:val="000000"/>
                      <w:spacing w:val="-1"/>
                      <w:w w:val="95"/>
                    </w:rPr>
                    <w:t xml:space="preserve"> </w:t>
                  </w:r>
                  <w:r>
                    <w:rPr>
                      <w:color w:val="000000"/>
                      <w:w w:val="95"/>
                    </w:rPr>
                    <w:t>the</w:t>
                  </w:r>
                  <w:r>
                    <w:rPr>
                      <w:color w:val="000000"/>
                      <w:spacing w:val="-1"/>
                      <w:w w:val="95"/>
                    </w:rPr>
                    <w:t xml:space="preserve"> </w:t>
                  </w:r>
                  <w:r>
                    <w:rPr>
                      <w:color w:val="000000"/>
                      <w:w w:val="95"/>
                    </w:rPr>
                    <w:t>Opal</w:t>
                  </w:r>
                  <w:r>
                    <w:rPr>
                      <w:color w:val="000000"/>
                      <w:spacing w:val="-1"/>
                      <w:w w:val="95"/>
                    </w:rPr>
                    <w:t xml:space="preserve"> </w:t>
                  </w:r>
                  <w:r>
                    <w:rPr>
                      <w:color w:val="000000"/>
                      <w:w w:val="95"/>
                    </w:rPr>
                    <w:t>card.</w:t>
                  </w:r>
                  <w:r>
                    <w:rPr>
                      <w:color w:val="000000"/>
                      <w:spacing w:val="-1"/>
                      <w:w w:val="95"/>
                    </w:rPr>
                    <w:t xml:space="preserve"> </w:t>
                  </w:r>
                  <w:r>
                    <w:rPr>
                      <w:color w:val="000000"/>
                      <w:w w:val="95"/>
                    </w:rPr>
                    <w:t>The</w:t>
                  </w:r>
                  <w:r>
                    <w:rPr>
                      <w:color w:val="000000"/>
                      <w:spacing w:val="-1"/>
                      <w:w w:val="95"/>
                    </w:rPr>
                    <w:t xml:space="preserve"> </w:t>
                  </w:r>
                  <w:r>
                    <w:rPr>
                      <w:color w:val="000000"/>
                      <w:w w:val="95"/>
                    </w:rPr>
                    <w:t>objective</w:t>
                  </w:r>
                  <w:r>
                    <w:rPr>
                      <w:color w:val="000000"/>
                      <w:spacing w:val="-1"/>
                      <w:w w:val="95"/>
                    </w:rPr>
                    <w:t xml:space="preserve"> </w:t>
                  </w:r>
                  <w:r>
                    <w:rPr>
                      <w:color w:val="000000"/>
                      <w:w w:val="95"/>
                    </w:rPr>
                    <w:t>of</w:t>
                  </w:r>
                  <w:r>
                    <w:rPr>
                      <w:color w:val="000000"/>
                      <w:spacing w:val="-1"/>
                      <w:w w:val="95"/>
                    </w:rPr>
                    <w:t xml:space="preserve"> </w:t>
                  </w:r>
                  <w:r>
                    <w:rPr>
                      <w:color w:val="000000"/>
                      <w:w w:val="95"/>
                    </w:rPr>
                    <w:t>any</w:t>
                  </w:r>
                  <w:r>
                    <w:rPr>
                      <w:color w:val="000000"/>
                      <w:spacing w:val="-1"/>
                      <w:w w:val="95"/>
                    </w:rPr>
                    <w:t xml:space="preserve"> </w:t>
                  </w:r>
                  <w:r>
                    <w:rPr>
                      <w:color w:val="000000"/>
                      <w:w w:val="95"/>
                    </w:rPr>
                    <w:t>changes</w:t>
                  </w:r>
                  <w:r>
                    <w:rPr>
                      <w:color w:val="000000"/>
                      <w:spacing w:val="-1"/>
                      <w:w w:val="95"/>
                    </w:rPr>
                    <w:t xml:space="preserve"> </w:t>
                  </w:r>
                  <w:r>
                    <w:rPr>
                      <w:color w:val="000000"/>
                      <w:w w:val="95"/>
                    </w:rPr>
                    <w:t>will</w:t>
                  </w:r>
                  <w:r>
                    <w:rPr>
                      <w:color w:val="000000"/>
                      <w:spacing w:val="-1"/>
                      <w:w w:val="95"/>
                    </w:rPr>
                    <w:t xml:space="preserve"> </w:t>
                  </w:r>
                  <w:r>
                    <w:rPr>
                      <w:color w:val="000000"/>
                      <w:w w:val="95"/>
                    </w:rPr>
                    <w:t xml:space="preserve">be </w:t>
                  </w:r>
                  <w:r>
                    <w:rPr>
                      <w:color w:val="000000"/>
                    </w:rPr>
                    <w:t>to</w:t>
                  </w:r>
                  <w:r>
                    <w:rPr>
                      <w:color w:val="000000"/>
                      <w:spacing w:val="-9"/>
                    </w:rPr>
                    <w:t xml:space="preserve"> </w:t>
                  </w:r>
                  <w:r>
                    <w:rPr>
                      <w:color w:val="000000"/>
                    </w:rPr>
                    <w:t>spread</w:t>
                  </w:r>
                  <w:r>
                    <w:rPr>
                      <w:color w:val="000000"/>
                      <w:spacing w:val="-9"/>
                    </w:rPr>
                    <w:t xml:space="preserve"> </w:t>
                  </w:r>
                  <w:r>
                    <w:rPr>
                      <w:color w:val="000000"/>
                    </w:rPr>
                    <w:t>demand</w:t>
                  </w:r>
                  <w:r>
                    <w:rPr>
                      <w:color w:val="000000"/>
                      <w:spacing w:val="-9"/>
                    </w:rPr>
                    <w:t xml:space="preserve"> </w:t>
                  </w:r>
                  <w:r>
                    <w:rPr>
                      <w:color w:val="000000"/>
                    </w:rPr>
                    <w:t>in</w:t>
                  </w:r>
                  <w:r>
                    <w:rPr>
                      <w:color w:val="000000"/>
                      <w:spacing w:val="-9"/>
                    </w:rPr>
                    <w:t xml:space="preserve"> </w:t>
                  </w:r>
                  <w:r>
                    <w:rPr>
                      <w:color w:val="000000"/>
                    </w:rPr>
                    <w:t>the</w:t>
                  </w:r>
                  <w:r>
                    <w:rPr>
                      <w:color w:val="000000"/>
                      <w:spacing w:val="-9"/>
                    </w:rPr>
                    <w:t xml:space="preserve"> </w:t>
                  </w:r>
                  <w:r>
                    <w:rPr>
                      <w:color w:val="000000"/>
                    </w:rPr>
                    <w:t>CBD</w:t>
                  </w:r>
                  <w:r>
                    <w:rPr>
                      <w:color w:val="000000"/>
                      <w:spacing w:val="-9"/>
                    </w:rPr>
                    <w:t xml:space="preserve"> </w:t>
                  </w:r>
                  <w:r>
                    <w:rPr>
                      <w:color w:val="000000"/>
                    </w:rPr>
                    <w:t>more</w:t>
                  </w:r>
                  <w:r>
                    <w:rPr>
                      <w:color w:val="000000"/>
                      <w:spacing w:val="-9"/>
                    </w:rPr>
                    <w:t xml:space="preserve"> </w:t>
                  </w:r>
                  <w:r>
                    <w:rPr>
                      <w:color w:val="000000"/>
                    </w:rPr>
                    <w:t>efficiently.</w:t>
                  </w:r>
                </w:p>
              </w:txbxContent>
            </v:textbox>
            <w10:wrap type="topAndBottom" anchorx="page"/>
          </v:shape>
        </w:pict>
      </w:r>
    </w:p>
    <w:p w:rsidR="002C1123" w:rsidRDefault="002C1123">
      <w:pPr>
        <w:pStyle w:val="BodyText"/>
        <w:spacing w:before="2"/>
        <w:rPr>
          <w:sz w:val="22"/>
        </w:rPr>
      </w:pPr>
    </w:p>
    <w:p w:rsidR="002C1123" w:rsidRDefault="00F22F94">
      <w:pPr>
        <w:pStyle w:val="Heading6"/>
        <w:numPr>
          <w:ilvl w:val="2"/>
          <w:numId w:val="86"/>
        </w:numPr>
        <w:tabs>
          <w:tab w:val="left" w:pos="979"/>
        </w:tabs>
        <w:spacing w:before="1"/>
        <w:ind w:left="978" w:hanging="487"/>
        <w:jc w:val="left"/>
      </w:pPr>
      <w:r>
        <w:rPr>
          <w:color w:val="00AEEF"/>
          <w:spacing w:val="-2"/>
        </w:rPr>
        <w:t>Building</w:t>
      </w:r>
      <w:r>
        <w:rPr>
          <w:color w:val="00AEEF"/>
          <w:spacing w:val="-12"/>
        </w:rPr>
        <w:t xml:space="preserve"> </w:t>
      </w:r>
      <w:r>
        <w:rPr>
          <w:color w:val="00AEEF"/>
          <w:spacing w:val="-2"/>
        </w:rPr>
        <w:t>Off-Peak</w:t>
      </w:r>
      <w:r>
        <w:rPr>
          <w:color w:val="00AEEF"/>
          <w:spacing w:val="-11"/>
        </w:rPr>
        <w:t xml:space="preserve"> </w:t>
      </w:r>
      <w:r>
        <w:rPr>
          <w:color w:val="00AEEF"/>
          <w:spacing w:val="-2"/>
        </w:rPr>
        <w:t>Patronage</w:t>
      </w:r>
    </w:p>
    <w:p w:rsidR="002C1123" w:rsidRDefault="00F22F94">
      <w:pPr>
        <w:pStyle w:val="BodyText"/>
        <w:spacing w:before="95" w:line="249" w:lineRule="auto"/>
        <w:ind w:left="492" w:right="104"/>
      </w:pPr>
      <w:r>
        <w:rPr>
          <w:w w:val="95"/>
        </w:rPr>
        <w:t xml:space="preserve">The introduction of clearer peak / off-peak price signals </w:t>
      </w:r>
      <w:r>
        <w:t>would</w:t>
      </w:r>
      <w:r>
        <w:rPr>
          <w:spacing w:val="-3"/>
        </w:rPr>
        <w:t xml:space="preserve"> </w:t>
      </w:r>
      <w:r>
        <w:t>form</w:t>
      </w:r>
      <w:r>
        <w:rPr>
          <w:spacing w:val="-3"/>
        </w:rPr>
        <w:t xml:space="preserve"> </w:t>
      </w:r>
      <w:r>
        <w:t>the</w:t>
      </w:r>
      <w:r>
        <w:rPr>
          <w:spacing w:val="-3"/>
        </w:rPr>
        <w:t xml:space="preserve"> </w:t>
      </w:r>
      <w:r>
        <w:t>starting</w:t>
      </w:r>
      <w:r>
        <w:rPr>
          <w:spacing w:val="-3"/>
        </w:rPr>
        <w:t xml:space="preserve"> </w:t>
      </w:r>
      <w:r>
        <w:t>point</w:t>
      </w:r>
      <w:r>
        <w:rPr>
          <w:spacing w:val="-3"/>
        </w:rPr>
        <w:t xml:space="preserve"> </w:t>
      </w:r>
      <w:r>
        <w:t>for</w:t>
      </w:r>
      <w:r>
        <w:rPr>
          <w:spacing w:val="-3"/>
        </w:rPr>
        <w:t xml:space="preserve"> </w:t>
      </w:r>
      <w:r>
        <w:t>a</w:t>
      </w:r>
      <w:r>
        <w:rPr>
          <w:spacing w:val="-3"/>
        </w:rPr>
        <w:t xml:space="preserve"> </w:t>
      </w:r>
      <w:r>
        <w:t>broader</w:t>
      </w:r>
      <w:r>
        <w:rPr>
          <w:spacing w:val="-3"/>
        </w:rPr>
        <w:t xml:space="preserve"> </w:t>
      </w:r>
      <w:r>
        <w:t>and</w:t>
      </w:r>
      <w:r>
        <w:rPr>
          <w:spacing w:val="-3"/>
        </w:rPr>
        <w:t xml:space="preserve"> </w:t>
      </w:r>
      <w:r>
        <w:t>more pro-active</w:t>
      </w:r>
      <w:r>
        <w:rPr>
          <w:spacing w:val="-14"/>
        </w:rPr>
        <w:t xml:space="preserve"> </w:t>
      </w:r>
      <w:r>
        <w:t>approach</w:t>
      </w:r>
      <w:r>
        <w:rPr>
          <w:spacing w:val="-14"/>
        </w:rPr>
        <w:t xml:space="preserve"> </w:t>
      </w:r>
      <w:r>
        <w:t>to</w:t>
      </w:r>
      <w:r>
        <w:rPr>
          <w:spacing w:val="-14"/>
        </w:rPr>
        <w:t xml:space="preserve"> </w:t>
      </w:r>
      <w:r>
        <w:t>increasing</w:t>
      </w:r>
      <w:r>
        <w:rPr>
          <w:spacing w:val="-14"/>
        </w:rPr>
        <w:t xml:space="preserve"> </w:t>
      </w:r>
      <w:r>
        <w:t>off-peak</w:t>
      </w:r>
      <w:r>
        <w:rPr>
          <w:spacing w:val="-14"/>
        </w:rPr>
        <w:t xml:space="preserve"> </w:t>
      </w:r>
      <w:r>
        <w:t>patronage.</w:t>
      </w:r>
    </w:p>
    <w:p w:rsidR="002C1123" w:rsidRDefault="00F22F94">
      <w:pPr>
        <w:pStyle w:val="BodyText"/>
        <w:spacing w:before="2"/>
        <w:ind w:left="492"/>
      </w:pPr>
      <w:r>
        <w:rPr>
          <w:w w:val="95"/>
        </w:rPr>
        <w:t>Complementary</w:t>
      </w:r>
      <w:r>
        <w:rPr>
          <w:spacing w:val="7"/>
        </w:rPr>
        <w:t xml:space="preserve"> </w:t>
      </w:r>
      <w:r>
        <w:rPr>
          <w:w w:val="95"/>
        </w:rPr>
        <w:t>measures</w:t>
      </w:r>
      <w:r>
        <w:rPr>
          <w:spacing w:val="7"/>
        </w:rPr>
        <w:t xml:space="preserve"> </w:t>
      </w:r>
      <w:r>
        <w:rPr>
          <w:w w:val="95"/>
        </w:rPr>
        <w:t>to</w:t>
      </w:r>
      <w:r>
        <w:rPr>
          <w:spacing w:val="7"/>
        </w:rPr>
        <w:t xml:space="preserve"> </w:t>
      </w:r>
      <w:r>
        <w:rPr>
          <w:w w:val="95"/>
        </w:rPr>
        <w:t>support</w:t>
      </w:r>
      <w:r>
        <w:rPr>
          <w:spacing w:val="7"/>
        </w:rPr>
        <w:t xml:space="preserve"> </w:t>
      </w:r>
      <w:r>
        <w:rPr>
          <w:w w:val="95"/>
        </w:rPr>
        <w:t>this</w:t>
      </w:r>
      <w:r>
        <w:rPr>
          <w:spacing w:val="7"/>
        </w:rPr>
        <w:t xml:space="preserve"> </w:t>
      </w:r>
      <w:r>
        <w:rPr>
          <w:w w:val="95"/>
        </w:rPr>
        <w:t>could</w:t>
      </w:r>
      <w:r>
        <w:rPr>
          <w:spacing w:val="7"/>
        </w:rPr>
        <w:t xml:space="preserve"> </w:t>
      </w:r>
      <w:r>
        <w:rPr>
          <w:spacing w:val="-2"/>
          <w:w w:val="95"/>
        </w:rPr>
        <w:t>include:</w:t>
      </w:r>
    </w:p>
    <w:p w:rsidR="002C1123" w:rsidRDefault="00F22F94">
      <w:pPr>
        <w:pStyle w:val="ListParagraph"/>
        <w:numPr>
          <w:ilvl w:val="3"/>
          <w:numId w:val="86"/>
        </w:numPr>
        <w:tabs>
          <w:tab w:val="left" w:pos="776"/>
        </w:tabs>
        <w:spacing w:before="139" w:line="249" w:lineRule="auto"/>
        <w:ind w:left="775" w:right="373"/>
        <w:rPr>
          <w:sz w:val="20"/>
        </w:rPr>
      </w:pPr>
      <w:r>
        <w:rPr>
          <w:w w:val="95"/>
          <w:sz w:val="20"/>
        </w:rPr>
        <w:t>providing</w:t>
      </w:r>
      <w:r>
        <w:rPr>
          <w:spacing w:val="-3"/>
          <w:w w:val="95"/>
          <w:sz w:val="20"/>
        </w:rPr>
        <w:t xml:space="preserve"> </w:t>
      </w:r>
      <w:r>
        <w:rPr>
          <w:w w:val="95"/>
          <w:sz w:val="20"/>
        </w:rPr>
        <w:t>more</w:t>
      </w:r>
      <w:r>
        <w:rPr>
          <w:spacing w:val="-3"/>
          <w:w w:val="95"/>
          <w:sz w:val="20"/>
        </w:rPr>
        <w:t xml:space="preserve"> </w:t>
      </w:r>
      <w:r>
        <w:rPr>
          <w:w w:val="95"/>
          <w:sz w:val="20"/>
        </w:rPr>
        <w:t>frequent</w:t>
      </w:r>
      <w:r>
        <w:rPr>
          <w:spacing w:val="-3"/>
          <w:w w:val="95"/>
          <w:sz w:val="20"/>
        </w:rPr>
        <w:t xml:space="preserve"> </w:t>
      </w:r>
      <w:r>
        <w:rPr>
          <w:w w:val="95"/>
          <w:sz w:val="20"/>
        </w:rPr>
        <w:t>services</w:t>
      </w:r>
      <w:r>
        <w:rPr>
          <w:spacing w:val="-3"/>
          <w:w w:val="95"/>
          <w:sz w:val="20"/>
        </w:rPr>
        <w:t xml:space="preserve"> </w:t>
      </w:r>
      <w:r>
        <w:rPr>
          <w:w w:val="95"/>
          <w:sz w:val="20"/>
        </w:rPr>
        <w:t>in</w:t>
      </w:r>
      <w:r>
        <w:rPr>
          <w:spacing w:val="-3"/>
          <w:w w:val="95"/>
          <w:sz w:val="20"/>
        </w:rPr>
        <w:t xml:space="preserve"> </w:t>
      </w:r>
      <w:r>
        <w:rPr>
          <w:w w:val="95"/>
          <w:sz w:val="20"/>
        </w:rPr>
        <w:t>the</w:t>
      </w:r>
      <w:r>
        <w:rPr>
          <w:spacing w:val="-3"/>
          <w:w w:val="95"/>
          <w:sz w:val="20"/>
        </w:rPr>
        <w:t xml:space="preserve"> </w:t>
      </w:r>
      <w:r>
        <w:rPr>
          <w:w w:val="95"/>
          <w:sz w:val="20"/>
        </w:rPr>
        <w:t xml:space="preserve">“shoulder </w:t>
      </w:r>
      <w:r>
        <w:rPr>
          <w:sz w:val="20"/>
        </w:rPr>
        <w:t>period”</w:t>
      </w:r>
      <w:r>
        <w:rPr>
          <w:spacing w:val="-14"/>
          <w:sz w:val="20"/>
        </w:rPr>
        <w:t xml:space="preserve"> </w:t>
      </w:r>
      <w:r>
        <w:rPr>
          <w:sz w:val="20"/>
        </w:rPr>
        <w:t>(i.e.</w:t>
      </w:r>
      <w:r>
        <w:rPr>
          <w:spacing w:val="-14"/>
          <w:sz w:val="20"/>
        </w:rPr>
        <w:t xml:space="preserve"> </w:t>
      </w:r>
      <w:r>
        <w:rPr>
          <w:sz w:val="20"/>
        </w:rPr>
        <w:t>just</w:t>
      </w:r>
      <w:r>
        <w:rPr>
          <w:spacing w:val="-13"/>
          <w:sz w:val="20"/>
        </w:rPr>
        <w:t xml:space="preserve"> </w:t>
      </w:r>
      <w:r>
        <w:rPr>
          <w:sz w:val="20"/>
        </w:rPr>
        <w:t>before</w:t>
      </w:r>
      <w:r>
        <w:rPr>
          <w:spacing w:val="-14"/>
          <w:sz w:val="20"/>
        </w:rPr>
        <w:t xml:space="preserve"> </w:t>
      </w:r>
      <w:r>
        <w:rPr>
          <w:sz w:val="20"/>
        </w:rPr>
        <w:t>8</w:t>
      </w:r>
      <w:r>
        <w:rPr>
          <w:spacing w:val="-14"/>
          <w:sz w:val="20"/>
        </w:rPr>
        <w:t xml:space="preserve"> </w:t>
      </w:r>
      <w:r>
        <w:rPr>
          <w:sz w:val="20"/>
        </w:rPr>
        <w:t>am</w:t>
      </w:r>
      <w:r>
        <w:rPr>
          <w:spacing w:val="-14"/>
          <w:sz w:val="20"/>
        </w:rPr>
        <w:t xml:space="preserve"> </w:t>
      </w:r>
      <w:r>
        <w:rPr>
          <w:sz w:val="20"/>
        </w:rPr>
        <w:t>and</w:t>
      </w:r>
      <w:r>
        <w:rPr>
          <w:spacing w:val="-13"/>
          <w:sz w:val="20"/>
        </w:rPr>
        <w:t xml:space="preserve"> </w:t>
      </w:r>
      <w:r>
        <w:rPr>
          <w:sz w:val="20"/>
        </w:rPr>
        <w:t>just</w:t>
      </w:r>
      <w:r>
        <w:rPr>
          <w:spacing w:val="-14"/>
          <w:sz w:val="20"/>
        </w:rPr>
        <w:t xml:space="preserve"> </w:t>
      </w:r>
      <w:r>
        <w:rPr>
          <w:sz w:val="20"/>
        </w:rPr>
        <w:t>after</w:t>
      </w:r>
      <w:r>
        <w:rPr>
          <w:spacing w:val="-14"/>
          <w:sz w:val="20"/>
        </w:rPr>
        <w:t xml:space="preserve"> </w:t>
      </w:r>
      <w:r>
        <w:rPr>
          <w:sz w:val="20"/>
        </w:rPr>
        <w:t>9am)</w:t>
      </w:r>
    </w:p>
    <w:p w:rsidR="002C1123" w:rsidRDefault="002C1123">
      <w:pPr>
        <w:pStyle w:val="BodyText"/>
      </w:pPr>
    </w:p>
    <w:p w:rsidR="002C1123" w:rsidRDefault="002060EF">
      <w:pPr>
        <w:pStyle w:val="BodyText"/>
        <w:spacing w:before="3"/>
      </w:pPr>
      <w:r>
        <w:pict>
          <v:shape id="docshape1461" o:spid="_x0000_s3761" style="position:absolute;margin-left:49.6pt;margin-top:12.85pt;width:1in;height:.1pt;z-index:-251370496;mso-wrap-distance-left:0;mso-wrap-distance-right:0;mso-position-horizontal-relative:page" coordorigin="992,257" coordsize="1440,0" path="m992,257r1440,e" filled="f" strokecolor="#9c9c9d" strokeweight=".5pt">
            <v:path arrowok="t"/>
            <w10:wrap type="topAndBottom" anchorx="page"/>
          </v:shape>
        </w:pict>
      </w:r>
    </w:p>
    <w:p w:rsidR="002C1123" w:rsidRDefault="00F22F94">
      <w:pPr>
        <w:pStyle w:val="ListParagraph"/>
        <w:numPr>
          <w:ilvl w:val="2"/>
          <w:numId w:val="85"/>
        </w:numPr>
        <w:tabs>
          <w:tab w:val="left" w:pos="691"/>
        </w:tabs>
        <w:spacing w:before="23"/>
        <w:ind w:left="690" w:right="56"/>
        <w:jc w:val="left"/>
        <w:rPr>
          <w:sz w:val="14"/>
        </w:rPr>
      </w:pPr>
      <w:r>
        <w:rPr>
          <w:w w:val="95"/>
          <w:sz w:val="14"/>
        </w:rPr>
        <w:t>Douglas Economics 2012, Modelling the Ability of Fare Incentives to Spread</w:t>
      </w:r>
      <w:r>
        <w:rPr>
          <w:spacing w:val="40"/>
          <w:sz w:val="14"/>
        </w:rPr>
        <w:t xml:space="preserve"> </w:t>
      </w:r>
      <w:r>
        <w:rPr>
          <w:sz w:val="14"/>
        </w:rPr>
        <w:t>AM</w:t>
      </w:r>
      <w:r>
        <w:rPr>
          <w:spacing w:val="-3"/>
          <w:sz w:val="14"/>
        </w:rPr>
        <w:t xml:space="preserve"> </w:t>
      </w:r>
      <w:r>
        <w:rPr>
          <w:sz w:val="14"/>
        </w:rPr>
        <w:t>Peak</w:t>
      </w:r>
      <w:r>
        <w:rPr>
          <w:spacing w:val="-3"/>
          <w:sz w:val="14"/>
        </w:rPr>
        <w:t xml:space="preserve"> </w:t>
      </w:r>
      <w:r>
        <w:rPr>
          <w:sz w:val="14"/>
        </w:rPr>
        <w:t>passenger</w:t>
      </w:r>
      <w:r>
        <w:rPr>
          <w:spacing w:val="-3"/>
          <w:sz w:val="14"/>
        </w:rPr>
        <w:t xml:space="preserve"> </w:t>
      </w:r>
      <w:r>
        <w:rPr>
          <w:sz w:val="14"/>
        </w:rPr>
        <w:t>loads,</w:t>
      </w:r>
      <w:r>
        <w:rPr>
          <w:spacing w:val="-3"/>
          <w:sz w:val="14"/>
        </w:rPr>
        <w:t xml:space="preserve"> </w:t>
      </w:r>
      <w:r>
        <w:rPr>
          <w:sz w:val="14"/>
        </w:rPr>
        <w:t>prepared</w:t>
      </w:r>
      <w:r>
        <w:rPr>
          <w:spacing w:val="-3"/>
          <w:sz w:val="14"/>
        </w:rPr>
        <w:t xml:space="preserve"> </w:t>
      </w:r>
      <w:r>
        <w:rPr>
          <w:sz w:val="14"/>
        </w:rPr>
        <w:t>for</w:t>
      </w:r>
      <w:r>
        <w:rPr>
          <w:spacing w:val="-3"/>
          <w:sz w:val="14"/>
        </w:rPr>
        <w:t xml:space="preserve"> </w:t>
      </w:r>
      <w:r>
        <w:rPr>
          <w:sz w:val="14"/>
        </w:rPr>
        <w:t>Infrastructure</w:t>
      </w:r>
      <w:r>
        <w:rPr>
          <w:spacing w:val="-3"/>
          <w:sz w:val="14"/>
        </w:rPr>
        <w:t xml:space="preserve"> </w:t>
      </w:r>
      <w:r>
        <w:rPr>
          <w:sz w:val="14"/>
        </w:rPr>
        <w:t>NSW.</w:t>
      </w:r>
    </w:p>
    <w:p w:rsidR="002C1123" w:rsidRDefault="00F22F94">
      <w:pPr>
        <w:pStyle w:val="ListParagraph"/>
        <w:numPr>
          <w:ilvl w:val="0"/>
          <w:numId w:val="81"/>
        </w:numPr>
        <w:tabs>
          <w:tab w:val="left" w:pos="471"/>
        </w:tabs>
        <w:spacing w:before="93"/>
        <w:rPr>
          <w:sz w:val="20"/>
        </w:rPr>
      </w:pPr>
      <w:r>
        <w:br w:type="column"/>
      </w:r>
      <w:r>
        <w:rPr>
          <w:w w:val="95"/>
          <w:sz w:val="20"/>
        </w:rPr>
        <w:t>‘Clockface’</w:t>
      </w:r>
      <w:r>
        <w:rPr>
          <w:spacing w:val="-1"/>
          <w:sz w:val="20"/>
        </w:rPr>
        <w:t xml:space="preserve"> </w:t>
      </w:r>
      <w:r>
        <w:rPr>
          <w:w w:val="95"/>
          <w:sz w:val="20"/>
        </w:rPr>
        <w:t>service</w:t>
      </w:r>
      <w:r>
        <w:rPr>
          <w:sz w:val="20"/>
        </w:rPr>
        <w:t xml:space="preserve"> </w:t>
      </w:r>
      <w:r>
        <w:rPr>
          <w:w w:val="95"/>
          <w:sz w:val="20"/>
        </w:rPr>
        <w:t>frequencies</w:t>
      </w:r>
      <w:r>
        <w:rPr>
          <w:spacing w:val="-1"/>
          <w:sz w:val="20"/>
        </w:rPr>
        <w:t xml:space="preserve"> </w:t>
      </w:r>
      <w:r>
        <w:rPr>
          <w:w w:val="95"/>
          <w:sz w:val="20"/>
        </w:rPr>
        <w:t>across</w:t>
      </w:r>
      <w:r>
        <w:rPr>
          <w:sz w:val="20"/>
        </w:rPr>
        <w:t xml:space="preserve"> </w:t>
      </w:r>
      <w:r>
        <w:rPr>
          <w:w w:val="95"/>
          <w:sz w:val="20"/>
        </w:rPr>
        <w:t>the</w:t>
      </w:r>
      <w:r>
        <w:rPr>
          <w:spacing w:val="-1"/>
          <w:sz w:val="20"/>
        </w:rPr>
        <w:t xml:space="preserve"> </w:t>
      </w:r>
      <w:r>
        <w:rPr>
          <w:spacing w:val="-5"/>
          <w:w w:val="95"/>
          <w:sz w:val="20"/>
        </w:rPr>
        <w:t>day</w:t>
      </w:r>
    </w:p>
    <w:p w:rsidR="002C1123" w:rsidRDefault="00F22F94">
      <w:pPr>
        <w:pStyle w:val="ListParagraph"/>
        <w:numPr>
          <w:ilvl w:val="0"/>
          <w:numId w:val="81"/>
        </w:numPr>
        <w:tabs>
          <w:tab w:val="left" w:pos="471"/>
        </w:tabs>
        <w:spacing w:before="140" w:line="249" w:lineRule="auto"/>
        <w:ind w:right="432"/>
        <w:rPr>
          <w:sz w:val="20"/>
        </w:rPr>
      </w:pPr>
      <w:r>
        <w:rPr>
          <w:w w:val="95"/>
          <w:sz w:val="20"/>
        </w:rPr>
        <w:t>Rewarding</w:t>
      </w:r>
      <w:r>
        <w:rPr>
          <w:spacing w:val="-8"/>
          <w:w w:val="95"/>
          <w:sz w:val="20"/>
        </w:rPr>
        <w:t xml:space="preserve"> </w:t>
      </w:r>
      <w:r>
        <w:rPr>
          <w:w w:val="95"/>
          <w:sz w:val="20"/>
        </w:rPr>
        <w:t>regular</w:t>
      </w:r>
      <w:r>
        <w:rPr>
          <w:spacing w:val="-8"/>
          <w:w w:val="95"/>
          <w:sz w:val="20"/>
        </w:rPr>
        <w:t xml:space="preserve"> </w:t>
      </w:r>
      <w:r>
        <w:rPr>
          <w:w w:val="95"/>
          <w:sz w:val="20"/>
        </w:rPr>
        <w:t>travel</w:t>
      </w:r>
      <w:r>
        <w:rPr>
          <w:spacing w:val="-8"/>
          <w:w w:val="95"/>
          <w:sz w:val="20"/>
        </w:rPr>
        <w:t xml:space="preserve"> </w:t>
      </w:r>
      <w:r>
        <w:rPr>
          <w:w w:val="95"/>
          <w:sz w:val="20"/>
        </w:rPr>
        <w:t>in</w:t>
      </w:r>
      <w:r>
        <w:rPr>
          <w:spacing w:val="-8"/>
          <w:w w:val="95"/>
          <w:sz w:val="20"/>
        </w:rPr>
        <w:t xml:space="preserve"> </w:t>
      </w:r>
      <w:r>
        <w:rPr>
          <w:w w:val="95"/>
          <w:sz w:val="20"/>
        </w:rPr>
        <w:t>the</w:t>
      </w:r>
      <w:r>
        <w:rPr>
          <w:spacing w:val="-8"/>
          <w:w w:val="95"/>
          <w:sz w:val="20"/>
        </w:rPr>
        <w:t xml:space="preserve"> </w:t>
      </w:r>
      <w:r>
        <w:rPr>
          <w:w w:val="95"/>
          <w:sz w:val="20"/>
        </w:rPr>
        <w:t>off-peak,</w:t>
      </w:r>
      <w:r>
        <w:rPr>
          <w:spacing w:val="-8"/>
          <w:w w:val="95"/>
          <w:sz w:val="20"/>
        </w:rPr>
        <w:t xml:space="preserve"> </w:t>
      </w:r>
      <w:r>
        <w:rPr>
          <w:w w:val="95"/>
          <w:sz w:val="20"/>
        </w:rPr>
        <w:t xml:space="preserve">through </w:t>
      </w:r>
      <w:r>
        <w:rPr>
          <w:sz w:val="20"/>
        </w:rPr>
        <w:t>bonuses to Opal card accounts.</w:t>
      </w:r>
    </w:p>
    <w:p w:rsidR="002C1123" w:rsidRDefault="00F22F94">
      <w:pPr>
        <w:pStyle w:val="BodyText"/>
        <w:spacing w:before="143" w:line="249" w:lineRule="auto"/>
        <w:ind w:left="187" w:right="10"/>
      </w:pPr>
      <w:r>
        <w:rPr>
          <w:w w:val="95"/>
        </w:rPr>
        <w:t xml:space="preserve">Promoting off-peak and contra-flow patronage extracts more value from currently poorly utilised infrastructure, </w:t>
      </w:r>
      <w:r>
        <w:t>defers</w:t>
      </w:r>
      <w:r>
        <w:rPr>
          <w:spacing w:val="-13"/>
        </w:rPr>
        <w:t xml:space="preserve"> </w:t>
      </w:r>
      <w:r>
        <w:t>the</w:t>
      </w:r>
      <w:r>
        <w:rPr>
          <w:spacing w:val="-13"/>
        </w:rPr>
        <w:t xml:space="preserve"> </w:t>
      </w:r>
      <w:r>
        <w:t>need</w:t>
      </w:r>
      <w:r>
        <w:rPr>
          <w:spacing w:val="-13"/>
        </w:rPr>
        <w:t xml:space="preserve"> </w:t>
      </w:r>
      <w:r>
        <w:t>for</w:t>
      </w:r>
      <w:r>
        <w:rPr>
          <w:spacing w:val="-13"/>
        </w:rPr>
        <w:t xml:space="preserve"> </w:t>
      </w:r>
      <w:r>
        <w:t>expensive</w:t>
      </w:r>
      <w:r>
        <w:rPr>
          <w:spacing w:val="-13"/>
        </w:rPr>
        <w:t xml:space="preserve"> </w:t>
      </w:r>
      <w:r>
        <w:t>new</w:t>
      </w:r>
      <w:r>
        <w:rPr>
          <w:spacing w:val="-13"/>
        </w:rPr>
        <w:t xml:space="preserve"> </w:t>
      </w:r>
      <w:r>
        <w:t>capacity,</w:t>
      </w:r>
      <w:r>
        <w:rPr>
          <w:spacing w:val="-13"/>
        </w:rPr>
        <w:t xml:space="preserve"> </w:t>
      </w:r>
      <w:r>
        <w:t>and</w:t>
      </w:r>
      <w:r>
        <w:rPr>
          <w:spacing w:val="-13"/>
        </w:rPr>
        <w:t xml:space="preserve"> </w:t>
      </w:r>
      <w:r>
        <w:t xml:space="preserve">can </w:t>
      </w:r>
      <w:r>
        <w:rPr>
          <w:w w:val="95"/>
        </w:rPr>
        <w:t>also</w:t>
      </w:r>
      <w:r>
        <w:rPr>
          <w:spacing w:val="-2"/>
          <w:w w:val="95"/>
        </w:rPr>
        <w:t xml:space="preserve"> </w:t>
      </w:r>
      <w:r>
        <w:rPr>
          <w:w w:val="95"/>
        </w:rPr>
        <w:t>help</w:t>
      </w:r>
      <w:r>
        <w:rPr>
          <w:spacing w:val="-2"/>
          <w:w w:val="95"/>
        </w:rPr>
        <w:t xml:space="preserve"> </w:t>
      </w:r>
      <w:r>
        <w:rPr>
          <w:w w:val="95"/>
        </w:rPr>
        <w:t>provide</w:t>
      </w:r>
      <w:r>
        <w:rPr>
          <w:spacing w:val="-2"/>
          <w:w w:val="95"/>
        </w:rPr>
        <w:t xml:space="preserve"> </w:t>
      </w:r>
      <w:r>
        <w:rPr>
          <w:w w:val="95"/>
        </w:rPr>
        <w:t>“city</w:t>
      </w:r>
      <w:r>
        <w:rPr>
          <w:spacing w:val="-2"/>
          <w:w w:val="95"/>
        </w:rPr>
        <w:t xml:space="preserve"> </w:t>
      </w:r>
      <w:r>
        <w:rPr>
          <w:w w:val="95"/>
        </w:rPr>
        <w:t>shaping”</w:t>
      </w:r>
      <w:r>
        <w:rPr>
          <w:spacing w:val="-2"/>
          <w:w w:val="95"/>
        </w:rPr>
        <w:t xml:space="preserve"> </w:t>
      </w:r>
      <w:r>
        <w:rPr>
          <w:w w:val="95"/>
        </w:rPr>
        <w:t>benefits</w:t>
      </w:r>
      <w:r>
        <w:rPr>
          <w:spacing w:val="-2"/>
          <w:w w:val="95"/>
        </w:rPr>
        <w:t xml:space="preserve"> </w:t>
      </w:r>
      <w:r>
        <w:rPr>
          <w:w w:val="95"/>
        </w:rPr>
        <w:t>that</w:t>
      </w:r>
      <w:r>
        <w:rPr>
          <w:spacing w:val="-2"/>
          <w:w w:val="95"/>
        </w:rPr>
        <w:t xml:space="preserve"> </w:t>
      </w:r>
      <w:r>
        <w:rPr>
          <w:w w:val="95"/>
        </w:rPr>
        <w:t>bring</w:t>
      </w:r>
      <w:r>
        <w:rPr>
          <w:spacing w:val="-2"/>
          <w:w w:val="95"/>
        </w:rPr>
        <w:t xml:space="preserve"> </w:t>
      </w:r>
      <w:r>
        <w:rPr>
          <w:w w:val="95"/>
        </w:rPr>
        <w:t xml:space="preserve">more </w:t>
      </w:r>
      <w:r>
        <w:t>balanced travel patterns.</w:t>
      </w:r>
    </w:p>
    <w:p w:rsidR="002C1123" w:rsidRDefault="00F22F94">
      <w:pPr>
        <w:pStyle w:val="BodyText"/>
        <w:spacing w:before="146" w:line="249" w:lineRule="auto"/>
        <w:ind w:left="187"/>
        <w:jc w:val="both"/>
      </w:pPr>
      <w:r>
        <w:rPr>
          <w:w w:val="95"/>
        </w:rPr>
        <w:t xml:space="preserve">For example, consistent off-peak services to Parramatta (improving on the current three to 16 minute variability in service intervals) could contribute to employment growth </w:t>
      </w:r>
      <w:r>
        <w:t>in this key centre.</w:t>
      </w:r>
    </w:p>
    <w:p w:rsidR="002C1123" w:rsidRDefault="002C1123">
      <w:pPr>
        <w:pStyle w:val="BodyText"/>
        <w:spacing w:before="11"/>
        <w:rPr>
          <w:sz w:val="14"/>
        </w:rPr>
      </w:pPr>
    </w:p>
    <w:p w:rsidR="002C1123" w:rsidRDefault="002060EF">
      <w:pPr>
        <w:pStyle w:val="BodyText"/>
        <w:ind w:left="187" w:right="-58"/>
      </w:pPr>
      <w:r>
        <w:pict>
          <v:shape id="docshape1462" o:spid="_x0000_s5268" type="#_x0000_t202" style="width:240pt;height:57.35pt;mso-left-percent:-10001;mso-top-percent:-10001;mso-position-horizontal:absolute;mso-position-horizontal-relative:char;mso-position-vertical:absolute;mso-position-vertical-relative:line;mso-left-percent:-10001;mso-top-percent:-10001" fillcolor="#e1e0e1" stroked="f">
            <v:textbox inset="0,0,0,0">
              <w:txbxContent>
                <w:p w:rsidR="00F22F94" w:rsidRDefault="00F22F94">
                  <w:pPr>
                    <w:pStyle w:val="BodyText"/>
                    <w:spacing w:before="68" w:line="249" w:lineRule="auto"/>
                    <w:ind w:left="113" w:right="122"/>
                    <w:rPr>
                      <w:color w:val="000000"/>
                    </w:rPr>
                  </w:pPr>
                  <w:r>
                    <w:rPr>
                      <w:color w:val="00AEEF"/>
                    </w:rPr>
                    <w:t>Recommendation</w:t>
                  </w:r>
                  <w:r>
                    <w:rPr>
                      <w:color w:val="00AEEF"/>
                      <w:spacing w:val="-7"/>
                    </w:rPr>
                    <w:t xml:space="preserve"> </w:t>
                  </w:r>
                  <w:r>
                    <w:rPr>
                      <w:color w:val="000000"/>
                    </w:rPr>
                    <w:t>Infrastructure</w:t>
                  </w:r>
                  <w:r>
                    <w:rPr>
                      <w:color w:val="000000"/>
                      <w:spacing w:val="-14"/>
                    </w:rPr>
                    <w:t xml:space="preserve"> </w:t>
                  </w:r>
                  <w:r>
                    <w:rPr>
                      <w:color w:val="000000"/>
                    </w:rPr>
                    <w:t>NSW</w:t>
                  </w:r>
                  <w:r>
                    <w:rPr>
                      <w:color w:val="000000"/>
                      <w:spacing w:val="-14"/>
                    </w:rPr>
                    <w:t xml:space="preserve"> </w:t>
                  </w:r>
                  <w:r>
                    <w:rPr>
                      <w:color w:val="000000"/>
                    </w:rPr>
                    <w:t>recommends that</w:t>
                  </w:r>
                  <w:r>
                    <w:rPr>
                      <w:color w:val="000000"/>
                      <w:spacing w:val="-10"/>
                    </w:rPr>
                    <w:t xml:space="preserve"> </w:t>
                  </w:r>
                  <w:r>
                    <w:rPr>
                      <w:color w:val="000000"/>
                    </w:rPr>
                    <w:t>Sydney</w:t>
                  </w:r>
                  <w:r>
                    <w:rPr>
                      <w:color w:val="000000"/>
                      <w:spacing w:val="-10"/>
                    </w:rPr>
                    <w:t xml:space="preserve"> </w:t>
                  </w:r>
                  <w:r>
                    <w:rPr>
                      <w:color w:val="000000"/>
                    </w:rPr>
                    <w:t>Trains</w:t>
                  </w:r>
                  <w:r>
                    <w:rPr>
                      <w:color w:val="000000"/>
                      <w:spacing w:val="-10"/>
                    </w:rPr>
                    <w:t xml:space="preserve"> </w:t>
                  </w:r>
                  <w:r>
                    <w:rPr>
                      <w:color w:val="000000"/>
                    </w:rPr>
                    <w:t>operate</w:t>
                  </w:r>
                  <w:r>
                    <w:rPr>
                      <w:color w:val="000000"/>
                      <w:spacing w:val="-10"/>
                    </w:rPr>
                    <w:t xml:space="preserve"> </w:t>
                  </w:r>
                  <w:r>
                    <w:rPr>
                      <w:color w:val="000000"/>
                    </w:rPr>
                    <w:t>an</w:t>
                  </w:r>
                  <w:r>
                    <w:rPr>
                      <w:color w:val="000000"/>
                      <w:spacing w:val="-10"/>
                    </w:rPr>
                    <w:t xml:space="preserve"> </w:t>
                  </w:r>
                  <w:r>
                    <w:rPr>
                      <w:color w:val="000000"/>
                    </w:rPr>
                    <w:t>express</w:t>
                  </w:r>
                  <w:r>
                    <w:rPr>
                      <w:color w:val="000000"/>
                      <w:spacing w:val="-10"/>
                    </w:rPr>
                    <w:t xml:space="preserve"> </w:t>
                  </w:r>
                  <w:r>
                    <w:rPr>
                      <w:color w:val="000000"/>
                    </w:rPr>
                    <w:t>train</w:t>
                  </w:r>
                  <w:r>
                    <w:rPr>
                      <w:color w:val="000000"/>
                      <w:spacing w:val="-10"/>
                    </w:rPr>
                    <w:t xml:space="preserve"> </w:t>
                  </w:r>
                  <w:r>
                    <w:rPr>
                      <w:color w:val="000000"/>
                    </w:rPr>
                    <w:t>service between the CBD and Parramatta across the day, with a turn-up-and-go frequency level.</w:t>
                  </w:r>
                </w:p>
              </w:txbxContent>
            </v:textbox>
            <w10:anchorlock/>
          </v:shape>
        </w:pict>
      </w:r>
    </w:p>
    <w:p w:rsidR="002C1123" w:rsidRDefault="002C1123">
      <w:pPr>
        <w:pStyle w:val="BodyText"/>
        <w:spacing w:before="10"/>
        <w:rPr>
          <w:sz w:val="18"/>
        </w:rPr>
      </w:pPr>
    </w:p>
    <w:p w:rsidR="002C1123" w:rsidRDefault="00F22F94">
      <w:pPr>
        <w:pStyle w:val="Heading5"/>
        <w:numPr>
          <w:ilvl w:val="1"/>
          <w:numId w:val="86"/>
        </w:numPr>
        <w:tabs>
          <w:tab w:val="left" w:pos="637"/>
        </w:tabs>
        <w:spacing w:before="0"/>
        <w:ind w:left="636" w:hanging="450"/>
        <w:jc w:val="left"/>
        <w:rPr>
          <w:color w:val="00AEEF"/>
        </w:rPr>
      </w:pPr>
      <w:r>
        <w:rPr>
          <w:color w:val="00AEEF"/>
        </w:rPr>
        <w:t>Network</w:t>
      </w:r>
      <w:r>
        <w:rPr>
          <w:color w:val="00AEEF"/>
          <w:spacing w:val="-17"/>
        </w:rPr>
        <w:t xml:space="preserve"> </w:t>
      </w:r>
      <w:r>
        <w:rPr>
          <w:color w:val="00AEEF"/>
          <w:spacing w:val="-2"/>
        </w:rPr>
        <w:t>expansion</w:t>
      </w:r>
    </w:p>
    <w:p w:rsidR="002C1123" w:rsidRDefault="00F22F94">
      <w:pPr>
        <w:pStyle w:val="Heading6"/>
        <w:numPr>
          <w:ilvl w:val="2"/>
          <w:numId w:val="86"/>
        </w:numPr>
        <w:tabs>
          <w:tab w:val="left" w:pos="674"/>
        </w:tabs>
        <w:spacing w:before="135"/>
        <w:ind w:left="673" w:hanging="487"/>
        <w:jc w:val="left"/>
      </w:pPr>
      <w:r>
        <w:rPr>
          <w:color w:val="00AEEF"/>
          <w:w w:val="95"/>
        </w:rPr>
        <w:t>Assessing</w:t>
      </w:r>
      <w:r>
        <w:rPr>
          <w:color w:val="00AEEF"/>
          <w:spacing w:val="1"/>
        </w:rPr>
        <w:t xml:space="preserve"> </w:t>
      </w:r>
      <w:r>
        <w:rPr>
          <w:color w:val="00AEEF"/>
          <w:w w:val="95"/>
        </w:rPr>
        <w:t>Growth</w:t>
      </w:r>
      <w:r>
        <w:rPr>
          <w:color w:val="00AEEF"/>
          <w:spacing w:val="2"/>
        </w:rPr>
        <w:t xml:space="preserve"> </w:t>
      </w:r>
      <w:r>
        <w:rPr>
          <w:color w:val="00AEEF"/>
          <w:spacing w:val="-2"/>
          <w:w w:val="95"/>
        </w:rPr>
        <w:t>Schemes</w:t>
      </w:r>
    </w:p>
    <w:p w:rsidR="002C1123" w:rsidRDefault="00F22F94">
      <w:pPr>
        <w:pStyle w:val="BodyText"/>
        <w:spacing w:before="95" w:line="249" w:lineRule="auto"/>
        <w:ind w:left="187" w:right="10"/>
      </w:pPr>
      <w:r>
        <w:t>The</w:t>
      </w:r>
      <w:r>
        <w:rPr>
          <w:spacing w:val="-14"/>
        </w:rPr>
        <w:t xml:space="preserve"> </w:t>
      </w:r>
      <w:r>
        <w:t>rail</w:t>
      </w:r>
      <w:r>
        <w:rPr>
          <w:spacing w:val="-14"/>
        </w:rPr>
        <w:t xml:space="preserve"> </w:t>
      </w:r>
      <w:r>
        <w:t>infrastructure</w:t>
      </w:r>
      <w:r>
        <w:rPr>
          <w:spacing w:val="-14"/>
        </w:rPr>
        <w:t xml:space="preserve"> </w:t>
      </w:r>
      <w:r>
        <w:t>priorities</w:t>
      </w:r>
      <w:r>
        <w:rPr>
          <w:spacing w:val="-14"/>
        </w:rPr>
        <w:t xml:space="preserve"> </w:t>
      </w:r>
      <w:r>
        <w:t>over</w:t>
      </w:r>
      <w:r>
        <w:rPr>
          <w:spacing w:val="-14"/>
        </w:rPr>
        <w:t xml:space="preserve"> </w:t>
      </w:r>
      <w:r>
        <w:t>the</w:t>
      </w:r>
      <w:r>
        <w:rPr>
          <w:spacing w:val="-14"/>
        </w:rPr>
        <w:t xml:space="preserve"> </w:t>
      </w:r>
      <w:r>
        <w:t>next</w:t>
      </w:r>
      <w:r>
        <w:rPr>
          <w:spacing w:val="-14"/>
        </w:rPr>
        <w:t xml:space="preserve"> </w:t>
      </w:r>
      <w:r>
        <w:t xml:space="preserve">decade </w:t>
      </w:r>
      <w:r>
        <w:rPr>
          <w:spacing w:val="-2"/>
        </w:rPr>
        <w:t>will</w:t>
      </w:r>
      <w:r>
        <w:rPr>
          <w:spacing w:val="-9"/>
        </w:rPr>
        <w:t xml:space="preserve"> </w:t>
      </w:r>
      <w:r>
        <w:rPr>
          <w:spacing w:val="-2"/>
        </w:rPr>
        <w:t>be</w:t>
      </w:r>
      <w:r>
        <w:rPr>
          <w:spacing w:val="-9"/>
        </w:rPr>
        <w:t xml:space="preserve"> </w:t>
      </w:r>
      <w:r>
        <w:rPr>
          <w:spacing w:val="-2"/>
        </w:rPr>
        <w:t>better</w:t>
      </w:r>
      <w:r>
        <w:rPr>
          <w:spacing w:val="-9"/>
        </w:rPr>
        <w:t xml:space="preserve"> </w:t>
      </w:r>
      <w:r>
        <w:rPr>
          <w:spacing w:val="-2"/>
        </w:rPr>
        <w:t>utilisation</w:t>
      </w:r>
      <w:r>
        <w:rPr>
          <w:spacing w:val="-9"/>
        </w:rPr>
        <w:t xml:space="preserve"> </w:t>
      </w:r>
      <w:r>
        <w:rPr>
          <w:spacing w:val="-2"/>
        </w:rPr>
        <w:t>of</w:t>
      </w:r>
      <w:r>
        <w:rPr>
          <w:spacing w:val="-9"/>
        </w:rPr>
        <w:t xml:space="preserve"> </w:t>
      </w:r>
      <w:r>
        <w:rPr>
          <w:spacing w:val="-2"/>
        </w:rPr>
        <w:t>the</w:t>
      </w:r>
      <w:r>
        <w:rPr>
          <w:spacing w:val="-9"/>
        </w:rPr>
        <w:t xml:space="preserve"> </w:t>
      </w:r>
      <w:r>
        <w:rPr>
          <w:spacing w:val="-2"/>
        </w:rPr>
        <w:t>existing</w:t>
      </w:r>
      <w:r>
        <w:rPr>
          <w:spacing w:val="-9"/>
        </w:rPr>
        <w:t xml:space="preserve"> </w:t>
      </w:r>
      <w:r>
        <w:rPr>
          <w:spacing w:val="-2"/>
        </w:rPr>
        <w:t>asset</w:t>
      </w:r>
      <w:r>
        <w:rPr>
          <w:spacing w:val="-9"/>
        </w:rPr>
        <w:t xml:space="preserve"> </w:t>
      </w:r>
      <w:r>
        <w:rPr>
          <w:spacing w:val="-2"/>
        </w:rPr>
        <w:t>base,</w:t>
      </w:r>
      <w:r>
        <w:rPr>
          <w:spacing w:val="-9"/>
        </w:rPr>
        <w:t xml:space="preserve"> </w:t>
      </w:r>
      <w:r>
        <w:rPr>
          <w:spacing w:val="-2"/>
        </w:rPr>
        <w:t xml:space="preserve">and </w:t>
      </w:r>
      <w:r>
        <w:rPr>
          <w:w w:val="95"/>
        </w:rPr>
        <w:t>delivering</w:t>
      </w:r>
      <w:r>
        <w:rPr>
          <w:spacing w:val="-9"/>
          <w:w w:val="95"/>
        </w:rPr>
        <w:t xml:space="preserve"> </w:t>
      </w:r>
      <w:r>
        <w:rPr>
          <w:w w:val="95"/>
        </w:rPr>
        <w:t>the</w:t>
      </w:r>
      <w:r>
        <w:rPr>
          <w:spacing w:val="-9"/>
          <w:w w:val="95"/>
        </w:rPr>
        <w:t xml:space="preserve"> </w:t>
      </w:r>
      <w:r>
        <w:rPr>
          <w:w w:val="95"/>
        </w:rPr>
        <w:t>NWRL.</w:t>
      </w:r>
      <w:r>
        <w:rPr>
          <w:spacing w:val="-9"/>
          <w:w w:val="95"/>
        </w:rPr>
        <w:t xml:space="preserve"> </w:t>
      </w:r>
      <w:r>
        <w:rPr>
          <w:w w:val="95"/>
        </w:rPr>
        <w:t>Once</w:t>
      </w:r>
      <w:r>
        <w:rPr>
          <w:spacing w:val="-9"/>
          <w:w w:val="95"/>
        </w:rPr>
        <w:t xml:space="preserve"> </w:t>
      </w:r>
      <w:r>
        <w:rPr>
          <w:w w:val="95"/>
        </w:rPr>
        <w:t>these</w:t>
      </w:r>
      <w:r>
        <w:rPr>
          <w:spacing w:val="-9"/>
          <w:w w:val="95"/>
        </w:rPr>
        <w:t xml:space="preserve"> </w:t>
      </w:r>
      <w:r>
        <w:rPr>
          <w:w w:val="95"/>
        </w:rPr>
        <w:t>objectives</w:t>
      </w:r>
      <w:r>
        <w:rPr>
          <w:spacing w:val="-9"/>
          <w:w w:val="95"/>
        </w:rPr>
        <w:t xml:space="preserve"> </w:t>
      </w:r>
      <w:r>
        <w:rPr>
          <w:w w:val="95"/>
        </w:rPr>
        <w:t>have</w:t>
      </w:r>
      <w:r>
        <w:rPr>
          <w:spacing w:val="-9"/>
          <w:w w:val="95"/>
        </w:rPr>
        <w:t xml:space="preserve"> </w:t>
      </w:r>
      <w:r>
        <w:rPr>
          <w:w w:val="95"/>
        </w:rPr>
        <w:t xml:space="preserve">been </w:t>
      </w:r>
      <w:r>
        <w:t>achieved,</w:t>
      </w:r>
      <w:r>
        <w:rPr>
          <w:spacing w:val="-14"/>
        </w:rPr>
        <w:t xml:space="preserve"> </w:t>
      </w:r>
      <w:r>
        <w:t>consideration</w:t>
      </w:r>
      <w:r>
        <w:rPr>
          <w:spacing w:val="-14"/>
        </w:rPr>
        <w:t xml:space="preserve"> </w:t>
      </w:r>
      <w:r>
        <w:t>can</w:t>
      </w:r>
      <w:r>
        <w:rPr>
          <w:spacing w:val="-13"/>
        </w:rPr>
        <w:t xml:space="preserve"> </w:t>
      </w:r>
      <w:r>
        <w:t>be</w:t>
      </w:r>
      <w:r>
        <w:rPr>
          <w:spacing w:val="-14"/>
        </w:rPr>
        <w:t xml:space="preserve"> </w:t>
      </w:r>
      <w:r>
        <w:t>given</w:t>
      </w:r>
      <w:r>
        <w:rPr>
          <w:spacing w:val="-14"/>
        </w:rPr>
        <w:t xml:space="preserve"> </w:t>
      </w:r>
      <w:r>
        <w:t>to</w:t>
      </w:r>
      <w:r>
        <w:rPr>
          <w:spacing w:val="-14"/>
        </w:rPr>
        <w:t xml:space="preserve"> </w:t>
      </w:r>
      <w:r>
        <w:t>investment</w:t>
      </w:r>
    </w:p>
    <w:p w:rsidR="002C1123" w:rsidRDefault="00F22F94">
      <w:pPr>
        <w:pStyle w:val="BodyText"/>
        <w:spacing w:before="3" w:line="249" w:lineRule="auto"/>
        <w:ind w:left="187" w:right="278"/>
        <w:jc w:val="both"/>
      </w:pPr>
      <w:r>
        <w:rPr>
          <w:w w:val="95"/>
        </w:rPr>
        <w:t>in further network expansion. Infrastructure NSW has considered</w:t>
      </w:r>
      <w:r>
        <w:rPr>
          <w:spacing w:val="-2"/>
          <w:w w:val="95"/>
        </w:rPr>
        <w:t xml:space="preserve"> </w:t>
      </w:r>
      <w:r>
        <w:rPr>
          <w:w w:val="95"/>
        </w:rPr>
        <w:t>where</w:t>
      </w:r>
      <w:r>
        <w:rPr>
          <w:spacing w:val="-2"/>
          <w:w w:val="95"/>
        </w:rPr>
        <w:t xml:space="preserve"> </w:t>
      </w:r>
      <w:r>
        <w:rPr>
          <w:w w:val="95"/>
        </w:rPr>
        <w:t>planning</w:t>
      </w:r>
      <w:r>
        <w:rPr>
          <w:spacing w:val="-2"/>
          <w:w w:val="95"/>
        </w:rPr>
        <w:t xml:space="preserve"> </w:t>
      </w:r>
      <w:r>
        <w:rPr>
          <w:w w:val="95"/>
        </w:rPr>
        <w:t>for</w:t>
      </w:r>
      <w:r>
        <w:rPr>
          <w:spacing w:val="-2"/>
          <w:w w:val="95"/>
        </w:rPr>
        <w:t xml:space="preserve"> </w:t>
      </w:r>
      <w:r>
        <w:rPr>
          <w:w w:val="95"/>
        </w:rPr>
        <w:t>longer</w:t>
      </w:r>
      <w:r>
        <w:rPr>
          <w:spacing w:val="-2"/>
          <w:w w:val="95"/>
        </w:rPr>
        <w:t xml:space="preserve"> </w:t>
      </w:r>
      <w:r>
        <w:rPr>
          <w:w w:val="95"/>
        </w:rPr>
        <w:t>term</w:t>
      </w:r>
      <w:r>
        <w:rPr>
          <w:spacing w:val="-3"/>
          <w:w w:val="95"/>
        </w:rPr>
        <w:t xml:space="preserve"> </w:t>
      </w:r>
      <w:r>
        <w:rPr>
          <w:w w:val="95"/>
        </w:rPr>
        <w:t xml:space="preserve">expansion </w:t>
      </w:r>
      <w:r>
        <w:t>should best be directed.</w:t>
      </w:r>
    </w:p>
    <w:p w:rsidR="002C1123" w:rsidRDefault="00F22F94">
      <w:pPr>
        <w:pStyle w:val="BodyText"/>
        <w:spacing w:before="144" w:line="249" w:lineRule="auto"/>
        <w:ind w:left="187" w:right="10"/>
      </w:pPr>
      <w:r>
        <w:t>A</w:t>
      </w:r>
      <w:r>
        <w:rPr>
          <w:spacing w:val="-14"/>
        </w:rPr>
        <w:t xml:space="preserve"> </w:t>
      </w:r>
      <w:r>
        <w:t>starting</w:t>
      </w:r>
      <w:r>
        <w:rPr>
          <w:spacing w:val="-14"/>
        </w:rPr>
        <w:t xml:space="preserve"> </w:t>
      </w:r>
      <w:r>
        <w:t>point</w:t>
      </w:r>
      <w:r>
        <w:rPr>
          <w:spacing w:val="-14"/>
        </w:rPr>
        <w:t xml:space="preserve"> </w:t>
      </w:r>
      <w:r>
        <w:t>is</w:t>
      </w:r>
      <w:r>
        <w:rPr>
          <w:spacing w:val="-14"/>
        </w:rPr>
        <w:t xml:space="preserve"> </w:t>
      </w:r>
      <w:r>
        <w:t>to</w:t>
      </w:r>
      <w:r>
        <w:rPr>
          <w:spacing w:val="-14"/>
        </w:rPr>
        <w:t xml:space="preserve"> </w:t>
      </w:r>
      <w:r>
        <w:t>examine</w:t>
      </w:r>
      <w:r>
        <w:rPr>
          <w:spacing w:val="-14"/>
        </w:rPr>
        <w:t xml:space="preserve"> </w:t>
      </w:r>
      <w:r>
        <w:t>areas</w:t>
      </w:r>
      <w:r>
        <w:rPr>
          <w:spacing w:val="-14"/>
        </w:rPr>
        <w:t xml:space="preserve"> </w:t>
      </w:r>
      <w:r>
        <w:t>of</w:t>
      </w:r>
      <w:r>
        <w:rPr>
          <w:spacing w:val="-14"/>
        </w:rPr>
        <w:t xml:space="preserve"> </w:t>
      </w:r>
      <w:r>
        <w:t>relatively</w:t>
      </w:r>
      <w:r>
        <w:rPr>
          <w:spacing w:val="-14"/>
        </w:rPr>
        <w:t xml:space="preserve"> </w:t>
      </w:r>
      <w:r>
        <w:t>high population</w:t>
      </w:r>
      <w:r>
        <w:rPr>
          <w:spacing w:val="-10"/>
        </w:rPr>
        <w:t xml:space="preserve"> </w:t>
      </w:r>
      <w:r>
        <w:t>density</w:t>
      </w:r>
      <w:r>
        <w:rPr>
          <w:spacing w:val="-10"/>
        </w:rPr>
        <w:t xml:space="preserve"> </w:t>
      </w:r>
      <w:r>
        <w:t>with</w:t>
      </w:r>
      <w:r>
        <w:rPr>
          <w:spacing w:val="-10"/>
        </w:rPr>
        <w:t xml:space="preserve"> </w:t>
      </w:r>
      <w:r>
        <w:t>strong</w:t>
      </w:r>
      <w:r>
        <w:rPr>
          <w:spacing w:val="-10"/>
        </w:rPr>
        <w:t xml:space="preserve"> </w:t>
      </w:r>
      <w:r>
        <w:t>demand</w:t>
      </w:r>
      <w:r>
        <w:rPr>
          <w:spacing w:val="-10"/>
        </w:rPr>
        <w:t xml:space="preserve"> </w:t>
      </w:r>
      <w:r>
        <w:t>for</w:t>
      </w:r>
      <w:r>
        <w:rPr>
          <w:spacing w:val="-10"/>
        </w:rPr>
        <w:t xml:space="preserve"> </w:t>
      </w:r>
      <w:r>
        <w:t>travel</w:t>
      </w:r>
      <w:r>
        <w:rPr>
          <w:spacing w:val="-10"/>
        </w:rPr>
        <w:t xml:space="preserve"> </w:t>
      </w:r>
      <w:r>
        <w:t>to</w:t>
      </w:r>
      <w:r>
        <w:rPr>
          <w:spacing w:val="-10"/>
        </w:rPr>
        <w:t xml:space="preserve"> </w:t>
      </w:r>
      <w:r>
        <w:t xml:space="preserve">a </w:t>
      </w:r>
      <w:r>
        <w:rPr>
          <w:w w:val="95"/>
        </w:rPr>
        <w:t>major</w:t>
      </w:r>
      <w:r>
        <w:rPr>
          <w:spacing w:val="-9"/>
          <w:w w:val="95"/>
        </w:rPr>
        <w:t xml:space="preserve"> </w:t>
      </w:r>
      <w:r>
        <w:rPr>
          <w:w w:val="95"/>
        </w:rPr>
        <w:t>centre.</w:t>
      </w:r>
      <w:r>
        <w:rPr>
          <w:spacing w:val="-9"/>
          <w:w w:val="95"/>
        </w:rPr>
        <w:t xml:space="preserve"> </w:t>
      </w:r>
      <w:r>
        <w:rPr>
          <w:w w:val="95"/>
        </w:rPr>
        <w:t>Unless</w:t>
      </w:r>
      <w:r>
        <w:rPr>
          <w:spacing w:val="-9"/>
          <w:w w:val="95"/>
        </w:rPr>
        <w:t xml:space="preserve"> </w:t>
      </w:r>
      <w:r>
        <w:rPr>
          <w:w w:val="95"/>
        </w:rPr>
        <w:t>there</w:t>
      </w:r>
      <w:r>
        <w:rPr>
          <w:spacing w:val="-9"/>
          <w:w w:val="95"/>
        </w:rPr>
        <w:t xml:space="preserve"> </w:t>
      </w:r>
      <w:r>
        <w:rPr>
          <w:w w:val="95"/>
        </w:rPr>
        <w:t>is</w:t>
      </w:r>
      <w:r>
        <w:rPr>
          <w:spacing w:val="-9"/>
          <w:w w:val="95"/>
        </w:rPr>
        <w:t xml:space="preserve"> </w:t>
      </w:r>
      <w:r>
        <w:rPr>
          <w:w w:val="95"/>
        </w:rPr>
        <w:t>a</w:t>
      </w:r>
      <w:r>
        <w:rPr>
          <w:spacing w:val="-9"/>
          <w:w w:val="95"/>
        </w:rPr>
        <w:t xml:space="preserve"> </w:t>
      </w:r>
      <w:r>
        <w:rPr>
          <w:w w:val="95"/>
        </w:rPr>
        <w:t>very</w:t>
      </w:r>
      <w:r>
        <w:rPr>
          <w:spacing w:val="-9"/>
          <w:w w:val="95"/>
        </w:rPr>
        <w:t xml:space="preserve"> </w:t>
      </w:r>
      <w:r>
        <w:rPr>
          <w:w w:val="95"/>
        </w:rPr>
        <w:t>substantial</w:t>
      </w:r>
      <w:r>
        <w:rPr>
          <w:spacing w:val="-9"/>
          <w:w w:val="95"/>
        </w:rPr>
        <w:t xml:space="preserve"> </w:t>
      </w:r>
      <w:r>
        <w:rPr>
          <w:w w:val="95"/>
        </w:rPr>
        <w:t>change</w:t>
      </w:r>
    </w:p>
    <w:p w:rsidR="002C1123" w:rsidRDefault="00F22F94">
      <w:pPr>
        <w:pStyle w:val="BodyText"/>
        <w:spacing w:before="106" w:line="249" w:lineRule="auto"/>
        <w:ind w:left="200" w:right="619"/>
      </w:pPr>
      <w:r>
        <w:br w:type="column"/>
      </w:r>
      <w:r>
        <w:rPr>
          <w:w w:val="95"/>
        </w:rPr>
        <w:t xml:space="preserve">in employment patterns and mode choice, this indicates </w:t>
      </w:r>
      <w:r>
        <w:t>consideration</w:t>
      </w:r>
      <w:r>
        <w:rPr>
          <w:spacing w:val="-14"/>
        </w:rPr>
        <w:t xml:space="preserve"> </w:t>
      </w:r>
      <w:r>
        <w:t>of</w:t>
      </w:r>
      <w:r>
        <w:rPr>
          <w:spacing w:val="-14"/>
        </w:rPr>
        <w:t xml:space="preserve"> </w:t>
      </w:r>
      <w:r>
        <w:t>new</w:t>
      </w:r>
      <w:r>
        <w:rPr>
          <w:spacing w:val="-14"/>
        </w:rPr>
        <w:t xml:space="preserve"> </w:t>
      </w:r>
      <w:r>
        <w:t>lines</w:t>
      </w:r>
      <w:r>
        <w:rPr>
          <w:spacing w:val="-14"/>
        </w:rPr>
        <w:t xml:space="preserve"> </w:t>
      </w:r>
      <w:r>
        <w:t>connecting</w:t>
      </w:r>
      <w:r>
        <w:rPr>
          <w:spacing w:val="-14"/>
        </w:rPr>
        <w:t xml:space="preserve"> </w:t>
      </w:r>
      <w:r>
        <w:t>Inner</w:t>
      </w:r>
      <w:r>
        <w:rPr>
          <w:spacing w:val="-14"/>
        </w:rPr>
        <w:t xml:space="preserve"> </w:t>
      </w:r>
      <w:r>
        <w:t>Sydney</w:t>
      </w:r>
      <w:r>
        <w:rPr>
          <w:spacing w:val="-14"/>
        </w:rPr>
        <w:t xml:space="preserve"> </w:t>
      </w:r>
      <w:r>
        <w:t>to the</w:t>
      </w:r>
      <w:r>
        <w:rPr>
          <w:spacing w:val="-11"/>
        </w:rPr>
        <w:t xml:space="preserve"> </w:t>
      </w:r>
      <w:r>
        <w:t>CBD.</w:t>
      </w:r>
      <w:r>
        <w:rPr>
          <w:spacing w:val="-11"/>
        </w:rPr>
        <w:t xml:space="preserve"> </w:t>
      </w:r>
      <w:r>
        <w:t>The</w:t>
      </w:r>
      <w:r>
        <w:rPr>
          <w:spacing w:val="-11"/>
        </w:rPr>
        <w:t xml:space="preserve"> </w:t>
      </w:r>
      <w:r>
        <w:t>principal</w:t>
      </w:r>
      <w:r>
        <w:rPr>
          <w:spacing w:val="-11"/>
        </w:rPr>
        <w:t xml:space="preserve"> </w:t>
      </w:r>
      <w:r>
        <w:t>corridors</w:t>
      </w:r>
      <w:r>
        <w:rPr>
          <w:spacing w:val="-11"/>
        </w:rPr>
        <w:t xml:space="preserve"> </w:t>
      </w:r>
      <w:r>
        <w:t>of</w:t>
      </w:r>
      <w:r>
        <w:rPr>
          <w:spacing w:val="-11"/>
        </w:rPr>
        <w:t xml:space="preserve"> </w:t>
      </w:r>
      <w:r>
        <w:t>interest</w:t>
      </w:r>
      <w:r>
        <w:rPr>
          <w:spacing w:val="-11"/>
        </w:rPr>
        <w:t xml:space="preserve"> </w:t>
      </w:r>
      <w:r>
        <w:t>comprise:</w:t>
      </w:r>
    </w:p>
    <w:p w:rsidR="002C1123" w:rsidRDefault="00F22F94">
      <w:pPr>
        <w:pStyle w:val="ListParagraph"/>
        <w:numPr>
          <w:ilvl w:val="3"/>
          <w:numId w:val="86"/>
        </w:numPr>
        <w:tabs>
          <w:tab w:val="left" w:pos="484"/>
        </w:tabs>
        <w:spacing w:before="132"/>
        <w:ind w:left="484"/>
        <w:rPr>
          <w:sz w:val="20"/>
        </w:rPr>
      </w:pPr>
      <w:r>
        <w:rPr>
          <w:w w:val="95"/>
          <w:sz w:val="20"/>
        </w:rPr>
        <w:t>Victoria</w:t>
      </w:r>
      <w:r>
        <w:rPr>
          <w:spacing w:val="-10"/>
          <w:w w:val="95"/>
          <w:sz w:val="20"/>
        </w:rPr>
        <w:t xml:space="preserve"> </w:t>
      </w:r>
      <w:r>
        <w:rPr>
          <w:w w:val="95"/>
          <w:sz w:val="20"/>
        </w:rPr>
        <w:t>Road</w:t>
      </w:r>
      <w:r>
        <w:rPr>
          <w:spacing w:val="-10"/>
          <w:w w:val="95"/>
          <w:sz w:val="20"/>
        </w:rPr>
        <w:t xml:space="preserve"> </w:t>
      </w:r>
      <w:r>
        <w:rPr>
          <w:w w:val="95"/>
          <w:sz w:val="20"/>
        </w:rPr>
        <w:t>–</w:t>
      </w:r>
      <w:r>
        <w:rPr>
          <w:spacing w:val="-9"/>
          <w:w w:val="95"/>
          <w:sz w:val="20"/>
        </w:rPr>
        <w:t xml:space="preserve"> </w:t>
      </w:r>
      <w:r>
        <w:rPr>
          <w:w w:val="95"/>
          <w:sz w:val="20"/>
        </w:rPr>
        <w:t>Anzac</w:t>
      </w:r>
      <w:r>
        <w:rPr>
          <w:spacing w:val="-10"/>
          <w:w w:val="95"/>
          <w:sz w:val="20"/>
        </w:rPr>
        <w:t xml:space="preserve"> </w:t>
      </w:r>
      <w:r>
        <w:rPr>
          <w:w w:val="95"/>
          <w:sz w:val="20"/>
        </w:rPr>
        <w:t>Bridge</w:t>
      </w:r>
      <w:r>
        <w:rPr>
          <w:spacing w:val="-10"/>
          <w:w w:val="95"/>
          <w:sz w:val="20"/>
        </w:rPr>
        <w:t xml:space="preserve"> </w:t>
      </w:r>
      <w:r>
        <w:rPr>
          <w:w w:val="95"/>
          <w:sz w:val="20"/>
        </w:rPr>
        <w:t>–</w:t>
      </w:r>
      <w:r>
        <w:rPr>
          <w:spacing w:val="-9"/>
          <w:w w:val="95"/>
          <w:sz w:val="20"/>
        </w:rPr>
        <w:t xml:space="preserve"> </w:t>
      </w:r>
      <w:r>
        <w:rPr>
          <w:spacing w:val="-5"/>
          <w:w w:val="95"/>
          <w:sz w:val="20"/>
        </w:rPr>
        <w:t>CBD</w:t>
      </w:r>
    </w:p>
    <w:p w:rsidR="002C1123" w:rsidRDefault="00F22F94">
      <w:pPr>
        <w:pStyle w:val="ListParagraph"/>
        <w:numPr>
          <w:ilvl w:val="3"/>
          <w:numId w:val="86"/>
        </w:numPr>
        <w:tabs>
          <w:tab w:val="left" w:pos="484"/>
        </w:tabs>
        <w:spacing w:before="139"/>
        <w:ind w:left="484"/>
        <w:rPr>
          <w:sz w:val="20"/>
        </w:rPr>
      </w:pPr>
      <w:r>
        <w:rPr>
          <w:w w:val="95"/>
          <w:sz w:val="20"/>
        </w:rPr>
        <w:t>Parramatta</w:t>
      </w:r>
      <w:r>
        <w:rPr>
          <w:spacing w:val="-8"/>
          <w:w w:val="95"/>
          <w:sz w:val="20"/>
        </w:rPr>
        <w:t xml:space="preserve"> </w:t>
      </w:r>
      <w:r>
        <w:rPr>
          <w:w w:val="95"/>
          <w:sz w:val="20"/>
        </w:rPr>
        <w:t>Road</w:t>
      </w:r>
      <w:r>
        <w:rPr>
          <w:spacing w:val="-8"/>
          <w:w w:val="95"/>
          <w:sz w:val="20"/>
        </w:rPr>
        <w:t xml:space="preserve"> </w:t>
      </w:r>
      <w:r>
        <w:rPr>
          <w:w w:val="95"/>
          <w:sz w:val="20"/>
        </w:rPr>
        <w:t>–</w:t>
      </w:r>
      <w:r>
        <w:rPr>
          <w:spacing w:val="-7"/>
          <w:w w:val="95"/>
          <w:sz w:val="20"/>
        </w:rPr>
        <w:t xml:space="preserve"> </w:t>
      </w:r>
      <w:r>
        <w:rPr>
          <w:w w:val="95"/>
          <w:sz w:val="20"/>
        </w:rPr>
        <w:t>Broadway</w:t>
      </w:r>
      <w:r>
        <w:rPr>
          <w:spacing w:val="-8"/>
          <w:w w:val="95"/>
          <w:sz w:val="20"/>
        </w:rPr>
        <w:t xml:space="preserve"> </w:t>
      </w:r>
      <w:r>
        <w:rPr>
          <w:w w:val="95"/>
          <w:sz w:val="20"/>
        </w:rPr>
        <w:t>–</w:t>
      </w:r>
      <w:r>
        <w:rPr>
          <w:spacing w:val="-8"/>
          <w:w w:val="95"/>
          <w:sz w:val="20"/>
        </w:rPr>
        <w:t xml:space="preserve"> </w:t>
      </w:r>
      <w:r>
        <w:rPr>
          <w:spacing w:val="-5"/>
          <w:w w:val="95"/>
          <w:sz w:val="20"/>
        </w:rPr>
        <w:t>CBD</w:t>
      </w:r>
    </w:p>
    <w:p w:rsidR="002C1123" w:rsidRDefault="00F22F94">
      <w:pPr>
        <w:pStyle w:val="ListParagraph"/>
        <w:numPr>
          <w:ilvl w:val="3"/>
          <w:numId w:val="86"/>
        </w:numPr>
        <w:tabs>
          <w:tab w:val="left" w:pos="484"/>
        </w:tabs>
        <w:spacing w:before="139"/>
        <w:ind w:left="484"/>
        <w:rPr>
          <w:sz w:val="20"/>
        </w:rPr>
      </w:pPr>
      <w:r>
        <w:rPr>
          <w:w w:val="95"/>
          <w:sz w:val="20"/>
        </w:rPr>
        <w:t>Northern</w:t>
      </w:r>
      <w:r>
        <w:rPr>
          <w:spacing w:val="-5"/>
          <w:w w:val="95"/>
          <w:sz w:val="20"/>
        </w:rPr>
        <w:t xml:space="preserve"> </w:t>
      </w:r>
      <w:r>
        <w:rPr>
          <w:w w:val="95"/>
          <w:sz w:val="20"/>
        </w:rPr>
        <w:t>Beaches</w:t>
      </w:r>
      <w:r>
        <w:rPr>
          <w:spacing w:val="-5"/>
          <w:w w:val="95"/>
          <w:sz w:val="20"/>
        </w:rPr>
        <w:t xml:space="preserve"> </w:t>
      </w:r>
      <w:r>
        <w:rPr>
          <w:w w:val="95"/>
          <w:sz w:val="20"/>
        </w:rPr>
        <w:t>–</w:t>
      </w:r>
      <w:r>
        <w:rPr>
          <w:spacing w:val="-5"/>
          <w:w w:val="95"/>
          <w:sz w:val="20"/>
        </w:rPr>
        <w:t xml:space="preserve"> </w:t>
      </w:r>
      <w:r>
        <w:rPr>
          <w:w w:val="95"/>
          <w:sz w:val="20"/>
        </w:rPr>
        <w:t>Mosman</w:t>
      </w:r>
      <w:r>
        <w:rPr>
          <w:spacing w:val="-4"/>
          <w:w w:val="95"/>
          <w:sz w:val="20"/>
        </w:rPr>
        <w:t xml:space="preserve"> </w:t>
      </w:r>
      <w:r>
        <w:rPr>
          <w:w w:val="95"/>
          <w:sz w:val="20"/>
        </w:rPr>
        <w:t>–</w:t>
      </w:r>
      <w:r>
        <w:rPr>
          <w:spacing w:val="-5"/>
          <w:w w:val="95"/>
          <w:sz w:val="20"/>
        </w:rPr>
        <w:t xml:space="preserve"> </w:t>
      </w:r>
      <w:r>
        <w:rPr>
          <w:w w:val="95"/>
          <w:sz w:val="20"/>
        </w:rPr>
        <w:t>North</w:t>
      </w:r>
      <w:r>
        <w:rPr>
          <w:spacing w:val="-5"/>
          <w:w w:val="95"/>
          <w:sz w:val="20"/>
        </w:rPr>
        <w:t xml:space="preserve"> </w:t>
      </w:r>
      <w:r>
        <w:rPr>
          <w:w w:val="95"/>
          <w:sz w:val="20"/>
        </w:rPr>
        <w:t>Sydney</w:t>
      </w:r>
      <w:r>
        <w:rPr>
          <w:spacing w:val="-5"/>
          <w:w w:val="95"/>
          <w:sz w:val="20"/>
        </w:rPr>
        <w:t xml:space="preserve"> </w:t>
      </w:r>
      <w:r>
        <w:rPr>
          <w:w w:val="95"/>
          <w:sz w:val="20"/>
        </w:rPr>
        <w:t>–</w:t>
      </w:r>
      <w:r>
        <w:rPr>
          <w:spacing w:val="-4"/>
          <w:w w:val="95"/>
          <w:sz w:val="20"/>
        </w:rPr>
        <w:t xml:space="preserve"> </w:t>
      </w:r>
      <w:r>
        <w:rPr>
          <w:spacing w:val="-5"/>
          <w:w w:val="95"/>
          <w:sz w:val="20"/>
        </w:rPr>
        <w:t>CBD</w:t>
      </w:r>
    </w:p>
    <w:p w:rsidR="002C1123" w:rsidRDefault="00F22F94">
      <w:pPr>
        <w:pStyle w:val="ListParagraph"/>
        <w:numPr>
          <w:ilvl w:val="3"/>
          <w:numId w:val="86"/>
        </w:numPr>
        <w:tabs>
          <w:tab w:val="left" w:pos="484"/>
        </w:tabs>
        <w:spacing w:before="140"/>
        <w:ind w:left="484"/>
        <w:rPr>
          <w:sz w:val="20"/>
        </w:rPr>
      </w:pPr>
      <w:r>
        <w:rPr>
          <w:w w:val="90"/>
          <w:sz w:val="20"/>
        </w:rPr>
        <w:t>Anzac</w:t>
      </w:r>
      <w:r>
        <w:rPr>
          <w:spacing w:val="6"/>
          <w:sz w:val="20"/>
        </w:rPr>
        <w:t xml:space="preserve"> </w:t>
      </w:r>
      <w:r>
        <w:rPr>
          <w:w w:val="90"/>
          <w:sz w:val="20"/>
        </w:rPr>
        <w:t>Parade</w:t>
      </w:r>
      <w:r>
        <w:rPr>
          <w:spacing w:val="7"/>
          <w:sz w:val="20"/>
        </w:rPr>
        <w:t xml:space="preserve"> </w:t>
      </w:r>
      <w:r>
        <w:rPr>
          <w:w w:val="90"/>
          <w:sz w:val="20"/>
        </w:rPr>
        <w:t>–</w:t>
      </w:r>
      <w:r>
        <w:rPr>
          <w:spacing w:val="7"/>
          <w:sz w:val="20"/>
        </w:rPr>
        <w:t xml:space="preserve"> </w:t>
      </w:r>
      <w:r>
        <w:rPr>
          <w:spacing w:val="-5"/>
          <w:w w:val="90"/>
          <w:sz w:val="20"/>
        </w:rPr>
        <w:t>CBD</w:t>
      </w:r>
    </w:p>
    <w:p w:rsidR="002C1123" w:rsidRDefault="00F22F94">
      <w:pPr>
        <w:pStyle w:val="BodyText"/>
        <w:spacing w:before="151" w:line="249" w:lineRule="auto"/>
        <w:ind w:left="200" w:right="619"/>
      </w:pPr>
      <w:r>
        <w:rPr>
          <w:w w:val="95"/>
        </w:rPr>
        <w:t>The</w:t>
      </w:r>
      <w:r>
        <w:rPr>
          <w:spacing w:val="-7"/>
          <w:w w:val="95"/>
        </w:rPr>
        <w:t xml:space="preserve"> </w:t>
      </w:r>
      <w:r>
        <w:rPr>
          <w:w w:val="95"/>
        </w:rPr>
        <w:t>challenge</w:t>
      </w:r>
      <w:r>
        <w:rPr>
          <w:spacing w:val="-7"/>
          <w:w w:val="95"/>
        </w:rPr>
        <w:t xml:space="preserve"> </w:t>
      </w:r>
      <w:r>
        <w:rPr>
          <w:w w:val="95"/>
        </w:rPr>
        <w:t>for</w:t>
      </w:r>
      <w:r>
        <w:rPr>
          <w:spacing w:val="-7"/>
          <w:w w:val="95"/>
        </w:rPr>
        <w:t xml:space="preserve"> </w:t>
      </w:r>
      <w:r>
        <w:rPr>
          <w:w w:val="95"/>
        </w:rPr>
        <w:t>construction</w:t>
      </w:r>
      <w:r>
        <w:rPr>
          <w:spacing w:val="-7"/>
          <w:w w:val="95"/>
        </w:rPr>
        <w:t xml:space="preserve"> </w:t>
      </w:r>
      <w:r>
        <w:rPr>
          <w:w w:val="95"/>
        </w:rPr>
        <w:t>of</w:t>
      </w:r>
      <w:r>
        <w:rPr>
          <w:spacing w:val="-7"/>
          <w:w w:val="95"/>
        </w:rPr>
        <w:t xml:space="preserve"> </w:t>
      </w:r>
      <w:r>
        <w:rPr>
          <w:w w:val="95"/>
        </w:rPr>
        <w:t>metro</w:t>
      </w:r>
      <w:r>
        <w:rPr>
          <w:spacing w:val="-7"/>
          <w:w w:val="95"/>
        </w:rPr>
        <w:t xml:space="preserve"> </w:t>
      </w:r>
      <w:r>
        <w:rPr>
          <w:w w:val="95"/>
        </w:rPr>
        <w:t>railways</w:t>
      </w:r>
      <w:r>
        <w:rPr>
          <w:spacing w:val="-7"/>
          <w:w w:val="95"/>
        </w:rPr>
        <w:t xml:space="preserve"> </w:t>
      </w:r>
      <w:r>
        <w:rPr>
          <w:w w:val="95"/>
        </w:rPr>
        <w:t>on</w:t>
      </w:r>
      <w:r>
        <w:rPr>
          <w:spacing w:val="-7"/>
          <w:w w:val="95"/>
        </w:rPr>
        <w:t xml:space="preserve"> </w:t>
      </w:r>
      <w:r>
        <w:rPr>
          <w:w w:val="95"/>
        </w:rPr>
        <w:t xml:space="preserve">these </w:t>
      </w:r>
      <w:r>
        <w:t>corridors</w:t>
      </w:r>
      <w:r>
        <w:rPr>
          <w:spacing w:val="-13"/>
        </w:rPr>
        <w:t xml:space="preserve"> </w:t>
      </w:r>
      <w:r>
        <w:t>is</w:t>
      </w:r>
      <w:r>
        <w:rPr>
          <w:spacing w:val="-13"/>
        </w:rPr>
        <w:t xml:space="preserve"> </w:t>
      </w:r>
      <w:r>
        <w:t>the</w:t>
      </w:r>
      <w:r>
        <w:rPr>
          <w:spacing w:val="-13"/>
        </w:rPr>
        <w:t xml:space="preserve"> </w:t>
      </w:r>
      <w:r>
        <w:t>development</w:t>
      </w:r>
      <w:r>
        <w:rPr>
          <w:spacing w:val="-13"/>
        </w:rPr>
        <w:t xml:space="preserve"> </w:t>
      </w:r>
      <w:r>
        <w:t>of</w:t>
      </w:r>
      <w:r>
        <w:rPr>
          <w:spacing w:val="-13"/>
        </w:rPr>
        <w:t xml:space="preserve"> </w:t>
      </w:r>
      <w:r>
        <w:t>a</w:t>
      </w:r>
      <w:r>
        <w:rPr>
          <w:spacing w:val="-13"/>
        </w:rPr>
        <w:t xml:space="preserve"> </w:t>
      </w:r>
      <w:r>
        <w:t>viable</w:t>
      </w:r>
      <w:r>
        <w:rPr>
          <w:spacing w:val="-13"/>
        </w:rPr>
        <w:t xml:space="preserve"> </w:t>
      </w:r>
      <w:r>
        <w:t>business</w:t>
      </w:r>
      <w:r>
        <w:rPr>
          <w:spacing w:val="-13"/>
        </w:rPr>
        <w:t xml:space="preserve"> </w:t>
      </w:r>
      <w:r>
        <w:t>case. During</w:t>
      </w:r>
      <w:r>
        <w:rPr>
          <w:spacing w:val="-14"/>
        </w:rPr>
        <w:t xml:space="preserve"> </w:t>
      </w:r>
      <w:r>
        <w:t>2008-10,</w:t>
      </w:r>
      <w:r>
        <w:rPr>
          <w:spacing w:val="-14"/>
        </w:rPr>
        <w:t xml:space="preserve"> </w:t>
      </w:r>
      <w:r>
        <w:t>detailed</w:t>
      </w:r>
      <w:r>
        <w:rPr>
          <w:spacing w:val="-14"/>
        </w:rPr>
        <w:t xml:space="preserve"> </w:t>
      </w:r>
      <w:r>
        <w:t>work</w:t>
      </w:r>
      <w:r>
        <w:rPr>
          <w:spacing w:val="-14"/>
        </w:rPr>
        <w:t xml:space="preserve"> </w:t>
      </w:r>
      <w:r>
        <w:t>was</w:t>
      </w:r>
      <w:r>
        <w:rPr>
          <w:spacing w:val="-13"/>
        </w:rPr>
        <w:t xml:space="preserve"> </w:t>
      </w:r>
      <w:r>
        <w:t>undertaken</w:t>
      </w:r>
      <w:r>
        <w:rPr>
          <w:spacing w:val="-14"/>
        </w:rPr>
        <w:t xml:space="preserve"> </w:t>
      </w:r>
      <w:r>
        <w:t>on</w:t>
      </w:r>
      <w:r>
        <w:rPr>
          <w:spacing w:val="-14"/>
        </w:rPr>
        <w:t xml:space="preserve"> </w:t>
      </w:r>
      <w:r>
        <w:t>both the</w:t>
      </w:r>
      <w:r>
        <w:rPr>
          <w:spacing w:val="-9"/>
        </w:rPr>
        <w:t xml:space="preserve"> </w:t>
      </w:r>
      <w:r>
        <w:t>Victoria</w:t>
      </w:r>
      <w:r>
        <w:rPr>
          <w:spacing w:val="-9"/>
        </w:rPr>
        <w:t xml:space="preserve"> </w:t>
      </w:r>
      <w:r>
        <w:t>Road</w:t>
      </w:r>
      <w:r>
        <w:rPr>
          <w:spacing w:val="-9"/>
        </w:rPr>
        <w:t xml:space="preserve"> </w:t>
      </w:r>
      <w:r>
        <w:t>and</w:t>
      </w:r>
      <w:r>
        <w:rPr>
          <w:spacing w:val="-9"/>
        </w:rPr>
        <w:t xml:space="preserve"> </w:t>
      </w:r>
      <w:r>
        <w:t>Parramatta</w:t>
      </w:r>
      <w:r>
        <w:rPr>
          <w:spacing w:val="-9"/>
        </w:rPr>
        <w:t xml:space="preserve"> </w:t>
      </w:r>
      <w:r>
        <w:t>Road</w:t>
      </w:r>
      <w:r>
        <w:rPr>
          <w:spacing w:val="-9"/>
        </w:rPr>
        <w:t xml:space="preserve"> </w:t>
      </w:r>
      <w:r>
        <w:t>corridors</w:t>
      </w:r>
    </w:p>
    <w:p w:rsidR="002C1123" w:rsidRDefault="00F22F94">
      <w:pPr>
        <w:pStyle w:val="BodyText"/>
        <w:spacing w:before="4"/>
        <w:ind w:left="200"/>
      </w:pPr>
      <w:r>
        <w:rPr>
          <w:w w:val="95"/>
        </w:rPr>
        <w:t>(North</w:t>
      </w:r>
      <w:r>
        <w:rPr>
          <w:spacing w:val="-4"/>
          <w:w w:val="95"/>
        </w:rPr>
        <w:t xml:space="preserve"> </w:t>
      </w:r>
      <w:r>
        <w:rPr>
          <w:w w:val="95"/>
        </w:rPr>
        <w:t>West</w:t>
      </w:r>
      <w:r>
        <w:rPr>
          <w:spacing w:val="-4"/>
          <w:w w:val="95"/>
        </w:rPr>
        <w:t xml:space="preserve"> </w:t>
      </w:r>
      <w:r>
        <w:rPr>
          <w:w w:val="95"/>
        </w:rPr>
        <w:t>Metro</w:t>
      </w:r>
      <w:r>
        <w:rPr>
          <w:spacing w:val="-4"/>
          <w:w w:val="95"/>
        </w:rPr>
        <w:t xml:space="preserve"> </w:t>
      </w:r>
      <w:r>
        <w:rPr>
          <w:w w:val="95"/>
        </w:rPr>
        <w:t>and</w:t>
      </w:r>
      <w:r>
        <w:rPr>
          <w:spacing w:val="-4"/>
          <w:w w:val="95"/>
        </w:rPr>
        <w:t xml:space="preserve"> </w:t>
      </w:r>
      <w:r>
        <w:rPr>
          <w:w w:val="95"/>
        </w:rPr>
        <w:t>West</w:t>
      </w:r>
      <w:r>
        <w:rPr>
          <w:spacing w:val="-4"/>
          <w:w w:val="95"/>
        </w:rPr>
        <w:t xml:space="preserve"> </w:t>
      </w:r>
      <w:r>
        <w:rPr>
          <w:w w:val="95"/>
        </w:rPr>
        <w:t>Metro</w:t>
      </w:r>
      <w:r>
        <w:rPr>
          <w:spacing w:val="-4"/>
          <w:w w:val="95"/>
        </w:rPr>
        <w:t xml:space="preserve"> </w:t>
      </w:r>
      <w:r>
        <w:rPr>
          <w:spacing w:val="-2"/>
          <w:w w:val="95"/>
        </w:rPr>
        <w:t>respectively).</w:t>
      </w:r>
    </w:p>
    <w:p w:rsidR="002C1123" w:rsidRDefault="00F22F94">
      <w:pPr>
        <w:pStyle w:val="BodyText"/>
        <w:spacing w:before="151" w:line="249" w:lineRule="auto"/>
        <w:ind w:left="200" w:right="619"/>
      </w:pPr>
      <w:r>
        <w:rPr>
          <w:w w:val="95"/>
        </w:rPr>
        <w:t>The</w:t>
      </w:r>
      <w:r>
        <w:rPr>
          <w:spacing w:val="-2"/>
          <w:w w:val="95"/>
        </w:rPr>
        <w:t xml:space="preserve"> </w:t>
      </w:r>
      <w:r>
        <w:rPr>
          <w:w w:val="95"/>
        </w:rPr>
        <w:t>evidence</w:t>
      </w:r>
      <w:r>
        <w:rPr>
          <w:spacing w:val="-2"/>
          <w:w w:val="95"/>
        </w:rPr>
        <w:t xml:space="preserve"> </w:t>
      </w:r>
      <w:r>
        <w:rPr>
          <w:w w:val="95"/>
        </w:rPr>
        <w:t>from</w:t>
      </w:r>
      <w:r>
        <w:rPr>
          <w:spacing w:val="-2"/>
          <w:w w:val="95"/>
        </w:rPr>
        <w:t xml:space="preserve"> </w:t>
      </w:r>
      <w:r>
        <w:rPr>
          <w:w w:val="95"/>
        </w:rPr>
        <w:t>this</w:t>
      </w:r>
      <w:r>
        <w:rPr>
          <w:spacing w:val="-2"/>
          <w:w w:val="95"/>
        </w:rPr>
        <w:t xml:space="preserve"> </w:t>
      </w:r>
      <w:r>
        <w:rPr>
          <w:w w:val="95"/>
        </w:rPr>
        <w:t>exercise</w:t>
      </w:r>
      <w:r>
        <w:rPr>
          <w:spacing w:val="-2"/>
          <w:w w:val="95"/>
        </w:rPr>
        <w:t xml:space="preserve"> </w:t>
      </w:r>
      <w:r>
        <w:rPr>
          <w:w w:val="95"/>
        </w:rPr>
        <w:t>is</w:t>
      </w:r>
      <w:r>
        <w:rPr>
          <w:spacing w:val="-2"/>
          <w:w w:val="95"/>
        </w:rPr>
        <w:t xml:space="preserve"> </w:t>
      </w:r>
      <w:r>
        <w:rPr>
          <w:w w:val="95"/>
        </w:rPr>
        <w:t>that</w:t>
      </w:r>
      <w:r>
        <w:rPr>
          <w:spacing w:val="-2"/>
          <w:w w:val="95"/>
        </w:rPr>
        <w:t xml:space="preserve"> </w:t>
      </w:r>
      <w:r>
        <w:rPr>
          <w:w w:val="95"/>
        </w:rPr>
        <w:t>the</w:t>
      </w:r>
      <w:r>
        <w:rPr>
          <w:spacing w:val="-2"/>
          <w:w w:val="95"/>
        </w:rPr>
        <w:t xml:space="preserve"> </w:t>
      </w:r>
      <w:r>
        <w:rPr>
          <w:w w:val="95"/>
        </w:rPr>
        <w:t>costs</w:t>
      </w:r>
      <w:r>
        <w:rPr>
          <w:spacing w:val="-2"/>
          <w:w w:val="95"/>
        </w:rPr>
        <w:t xml:space="preserve"> </w:t>
      </w:r>
      <w:r>
        <w:rPr>
          <w:w w:val="95"/>
        </w:rPr>
        <w:t>of</w:t>
      </w:r>
      <w:r>
        <w:rPr>
          <w:spacing w:val="-2"/>
          <w:w w:val="95"/>
        </w:rPr>
        <w:t xml:space="preserve"> </w:t>
      </w:r>
      <w:r>
        <w:rPr>
          <w:w w:val="95"/>
        </w:rPr>
        <w:t>new construction</w:t>
      </w:r>
      <w:r>
        <w:rPr>
          <w:spacing w:val="-5"/>
          <w:w w:val="95"/>
        </w:rPr>
        <w:t xml:space="preserve"> </w:t>
      </w:r>
      <w:r>
        <w:rPr>
          <w:w w:val="95"/>
        </w:rPr>
        <w:t>are</w:t>
      </w:r>
      <w:r>
        <w:rPr>
          <w:spacing w:val="-5"/>
          <w:w w:val="95"/>
        </w:rPr>
        <w:t xml:space="preserve"> </w:t>
      </w:r>
      <w:r>
        <w:rPr>
          <w:w w:val="95"/>
        </w:rPr>
        <w:t>extremely</w:t>
      </w:r>
      <w:r>
        <w:rPr>
          <w:spacing w:val="-5"/>
          <w:w w:val="95"/>
        </w:rPr>
        <w:t xml:space="preserve"> </w:t>
      </w:r>
      <w:r>
        <w:rPr>
          <w:w w:val="95"/>
        </w:rPr>
        <w:t>high,</w:t>
      </w:r>
      <w:r>
        <w:rPr>
          <w:spacing w:val="-5"/>
          <w:w w:val="95"/>
        </w:rPr>
        <w:t xml:space="preserve"> </w:t>
      </w:r>
      <w:r>
        <w:rPr>
          <w:w w:val="95"/>
        </w:rPr>
        <w:t>particularly</w:t>
      </w:r>
      <w:r>
        <w:rPr>
          <w:spacing w:val="-5"/>
          <w:w w:val="95"/>
        </w:rPr>
        <w:t xml:space="preserve"> </w:t>
      </w:r>
      <w:r>
        <w:rPr>
          <w:w w:val="95"/>
        </w:rPr>
        <w:t>in</w:t>
      </w:r>
      <w:r>
        <w:rPr>
          <w:spacing w:val="-5"/>
          <w:w w:val="95"/>
        </w:rPr>
        <w:t xml:space="preserve"> </w:t>
      </w:r>
      <w:r>
        <w:rPr>
          <w:w w:val="95"/>
        </w:rPr>
        <w:t>the</w:t>
      </w:r>
      <w:r>
        <w:rPr>
          <w:spacing w:val="-5"/>
          <w:w w:val="95"/>
        </w:rPr>
        <w:t xml:space="preserve"> </w:t>
      </w:r>
      <w:r>
        <w:rPr>
          <w:w w:val="95"/>
        </w:rPr>
        <w:t xml:space="preserve">CBD, </w:t>
      </w:r>
      <w:r>
        <w:t>while</w:t>
      </w:r>
      <w:r>
        <w:rPr>
          <w:spacing w:val="-14"/>
        </w:rPr>
        <w:t xml:space="preserve"> </w:t>
      </w:r>
      <w:r>
        <w:t>patronage</w:t>
      </w:r>
      <w:r>
        <w:rPr>
          <w:spacing w:val="-14"/>
        </w:rPr>
        <w:t xml:space="preserve"> </w:t>
      </w:r>
      <w:r>
        <w:t>is</w:t>
      </w:r>
      <w:r>
        <w:rPr>
          <w:spacing w:val="-14"/>
        </w:rPr>
        <w:t xml:space="preserve"> </w:t>
      </w:r>
      <w:r>
        <w:t>likely</w:t>
      </w:r>
      <w:r>
        <w:rPr>
          <w:spacing w:val="-14"/>
        </w:rPr>
        <w:t xml:space="preserve"> </w:t>
      </w:r>
      <w:r>
        <w:t>to</w:t>
      </w:r>
      <w:r>
        <w:rPr>
          <w:spacing w:val="-14"/>
        </w:rPr>
        <w:t xml:space="preserve"> </w:t>
      </w:r>
      <w:r>
        <w:t>be</w:t>
      </w:r>
      <w:r>
        <w:rPr>
          <w:spacing w:val="-14"/>
        </w:rPr>
        <w:t xml:space="preserve"> </w:t>
      </w:r>
      <w:r>
        <w:t>modest.</w:t>
      </w:r>
      <w:r>
        <w:rPr>
          <w:spacing w:val="-14"/>
        </w:rPr>
        <w:t xml:space="preserve"> </w:t>
      </w:r>
      <w:r>
        <w:t>Infrastructure NSW</w:t>
      </w:r>
      <w:r>
        <w:rPr>
          <w:spacing w:val="-13"/>
        </w:rPr>
        <w:t xml:space="preserve"> </w:t>
      </w:r>
      <w:r>
        <w:t>has</w:t>
      </w:r>
      <w:r>
        <w:rPr>
          <w:spacing w:val="-13"/>
        </w:rPr>
        <w:t xml:space="preserve"> </w:t>
      </w:r>
      <w:r>
        <w:t>been</w:t>
      </w:r>
      <w:r>
        <w:rPr>
          <w:spacing w:val="-13"/>
        </w:rPr>
        <w:t xml:space="preserve"> </w:t>
      </w:r>
      <w:r>
        <w:t>unable</w:t>
      </w:r>
      <w:r>
        <w:rPr>
          <w:spacing w:val="-13"/>
        </w:rPr>
        <w:t xml:space="preserve"> </w:t>
      </w:r>
      <w:r>
        <w:t>to</w:t>
      </w:r>
      <w:r>
        <w:rPr>
          <w:spacing w:val="-13"/>
        </w:rPr>
        <w:t xml:space="preserve"> </w:t>
      </w:r>
      <w:r>
        <w:t>obtain</w:t>
      </w:r>
      <w:r>
        <w:rPr>
          <w:spacing w:val="-13"/>
        </w:rPr>
        <w:t xml:space="preserve"> </w:t>
      </w:r>
      <w:r>
        <w:t>any</w:t>
      </w:r>
      <w:r>
        <w:rPr>
          <w:spacing w:val="-13"/>
        </w:rPr>
        <w:t xml:space="preserve"> </w:t>
      </w:r>
      <w:r>
        <w:t>evidence</w:t>
      </w:r>
      <w:r>
        <w:rPr>
          <w:spacing w:val="-13"/>
        </w:rPr>
        <w:t xml:space="preserve"> </w:t>
      </w:r>
      <w:r>
        <w:t>that forecast</w:t>
      </w:r>
      <w:r>
        <w:rPr>
          <w:spacing w:val="-9"/>
        </w:rPr>
        <w:t xml:space="preserve"> </w:t>
      </w:r>
      <w:r>
        <w:t>passenger</w:t>
      </w:r>
      <w:r>
        <w:rPr>
          <w:spacing w:val="-9"/>
        </w:rPr>
        <w:t xml:space="preserve"> </w:t>
      </w:r>
      <w:r>
        <w:t>numbers</w:t>
      </w:r>
      <w:r>
        <w:rPr>
          <w:spacing w:val="-9"/>
        </w:rPr>
        <w:t xml:space="preserve"> </w:t>
      </w:r>
      <w:r>
        <w:t>on</w:t>
      </w:r>
      <w:r>
        <w:rPr>
          <w:spacing w:val="-9"/>
        </w:rPr>
        <w:t xml:space="preserve"> </w:t>
      </w:r>
      <w:r>
        <w:t>any</w:t>
      </w:r>
      <w:r>
        <w:rPr>
          <w:spacing w:val="-9"/>
        </w:rPr>
        <w:t xml:space="preserve"> </w:t>
      </w:r>
      <w:r>
        <w:t>non-rail</w:t>
      </w:r>
      <w:r>
        <w:rPr>
          <w:spacing w:val="-9"/>
        </w:rPr>
        <w:t xml:space="preserve"> </w:t>
      </w:r>
      <w:r>
        <w:t>corridor into</w:t>
      </w:r>
      <w:r>
        <w:rPr>
          <w:spacing w:val="-14"/>
        </w:rPr>
        <w:t xml:space="preserve"> </w:t>
      </w:r>
      <w:r>
        <w:t>the</w:t>
      </w:r>
      <w:r>
        <w:rPr>
          <w:spacing w:val="-14"/>
        </w:rPr>
        <w:t xml:space="preserve"> </w:t>
      </w:r>
      <w:r>
        <w:t>CBD</w:t>
      </w:r>
      <w:r>
        <w:rPr>
          <w:spacing w:val="-14"/>
        </w:rPr>
        <w:t xml:space="preserve"> </w:t>
      </w:r>
      <w:r>
        <w:t>will</w:t>
      </w:r>
      <w:r>
        <w:rPr>
          <w:spacing w:val="-14"/>
        </w:rPr>
        <w:t xml:space="preserve"> </w:t>
      </w:r>
      <w:r>
        <w:t>exceed</w:t>
      </w:r>
      <w:r>
        <w:rPr>
          <w:spacing w:val="-14"/>
        </w:rPr>
        <w:t xml:space="preserve"> </w:t>
      </w:r>
      <w:r>
        <w:t>the</w:t>
      </w:r>
      <w:r>
        <w:rPr>
          <w:spacing w:val="-14"/>
        </w:rPr>
        <w:t xml:space="preserve"> </w:t>
      </w:r>
      <w:r>
        <w:t>capacity</w:t>
      </w:r>
      <w:r>
        <w:rPr>
          <w:spacing w:val="-14"/>
        </w:rPr>
        <w:t xml:space="preserve"> </w:t>
      </w:r>
      <w:r>
        <w:t>of</w:t>
      </w:r>
      <w:r>
        <w:rPr>
          <w:spacing w:val="-14"/>
        </w:rPr>
        <w:t xml:space="preserve"> </w:t>
      </w:r>
      <w:r>
        <w:t>a</w:t>
      </w:r>
      <w:r>
        <w:rPr>
          <w:spacing w:val="-14"/>
        </w:rPr>
        <w:t xml:space="preserve"> </w:t>
      </w:r>
      <w:r>
        <w:t>well-run</w:t>
      </w:r>
      <w:r>
        <w:rPr>
          <w:spacing w:val="-13"/>
        </w:rPr>
        <w:t xml:space="preserve"> </w:t>
      </w:r>
      <w:r>
        <w:t>bus solution</w:t>
      </w:r>
      <w:r>
        <w:rPr>
          <w:spacing w:val="-1"/>
        </w:rPr>
        <w:t xml:space="preserve"> </w:t>
      </w:r>
      <w:r>
        <w:t>for</w:t>
      </w:r>
      <w:r>
        <w:rPr>
          <w:spacing w:val="-1"/>
        </w:rPr>
        <w:t xml:space="preserve"> </w:t>
      </w:r>
      <w:r>
        <w:t>at</w:t>
      </w:r>
      <w:r>
        <w:rPr>
          <w:spacing w:val="-1"/>
        </w:rPr>
        <w:t xml:space="preserve"> </w:t>
      </w:r>
      <w:r>
        <w:t>least</w:t>
      </w:r>
      <w:r>
        <w:rPr>
          <w:spacing w:val="-1"/>
        </w:rPr>
        <w:t xml:space="preserve"> </w:t>
      </w:r>
      <w:r>
        <w:t>20</w:t>
      </w:r>
      <w:r>
        <w:rPr>
          <w:spacing w:val="-1"/>
        </w:rPr>
        <w:t xml:space="preserve"> </w:t>
      </w:r>
      <w:r>
        <w:t>years.</w:t>
      </w:r>
    </w:p>
    <w:p w:rsidR="002C1123" w:rsidRDefault="00F22F94">
      <w:pPr>
        <w:pStyle w:val="BodyText"/>
        <w:spacing w:before="148" w:line="249" w:lineRule="auto"/>
        <w:ind w:left="200" w:right="912"/>
      </w:pPr>
      <w:r>
        <w:t>Accordingly,</w:t>
      </w:r>
      <w:r>
        <w:rPr>
          <w:spacing w:val="-11"/>
        </w:rPr>
        <w:t xml:space="preserve"> </w:t>
      </w:r>
      <w:r>
        <w:t>Infrastructure</w:t>
      </w:r>
      <w:r>
        <w:rPr>
          <w:spacing w:val="-11"/>
        </w:rPr>
        <w:t xml:space="preserve"> </w:t>
      </w:r>
      <w:r>
        <w:t>NSW</w:t>
      </w:r>
      <w:r>
        <w:rPr>
          <w:spacing w:val="-11"/>
        </w:rPr>
        <w:t xml:space="preserve"> </w:t>
      </w:r>
      <w:r>
        <w:t>has</w:t>
      </w:r>
      <w:r>
        <w:rPr>
          <w:spacing w:val="-11"/>
        </w:rPr>
        <w:t xml:space="preserve"> </w:t>
      </w:r>
      <w:r>
        <w:t>concluded</w:t>
      </w:r>
      <w:r>
        <w:rPr>
          <w:spacing w:val="-11"/>
        </w:rPr>
        <w:t xml:space="preserve"> </w:t>
      </w:r>
      <w:r>
        <w:t>that the</w:t>
      </w:r>
      <w:r>
        <w:rPr>
          <w:spacing w:val="-5"/>
        </w:rPr>
        <w:t xml:space="preserve"> </w:t>
      </w:r>
      <w:r>
        <w:t>construction</w:t>
      </w:r>
      <w:r>
        <w:rPr>
          <w:spacing w:val="-5"/>
        </w:rPr>
        <w:t xml:space="preserve"> </w:t>
      </w:r>
      <w:r>
        <w:t>of</w:t>
      </w:r>
      <w:r>
        <w:rPr>
          <w:spacing w:val="-5"/>
        </w:rPr>
        <w:t xml:space="preserve"> </w:t>
      </w:r>
      <w:r>
        <w:t>a</w:t>
      </w:r>
      <w:r>
        <w:rPr>
          <w:spacing w:val="-5"/>
        </w:rPr>
        <w:t xml:space="preserve"> </w:t>
      </w:r>
      <w:r>
        <w:t>new</w:t>
      </w:r>
      <w:r>
        <w:rPr>
          <w:spacing w:val="-5"/>
        </w:rPr>
        <w:t xml:space="preserve"> </w:t>
      </w:r>
      <w:r>
        <w:t>metro</w:t>
      </w:r>
      <w:r>
        <w:rPr>
          <w:spacing w:val="-5"/>
        </w:rPr>
        <w:t xml:space="preserve"> </w:t>
      </w:r>
      <w:r>
        <w:t>network</w:t>
      </w:r>
      <w:r>
        <w:rPr>
          <w:spacing w:val="-5"/>
        </w:rPr>
        <w:t xml:space="preserve"> </w:t>
      </w:r>
      <w:r>
        <w:t>should</w:t>
      </w:r>
      <w:r>
        <w:rPr>
          <w:spacing w:val="-5"/>
        </w:rPr>
        <w:t xml:space="preserve"> </w:t>
      </w:r>
      <w:r>
        <w:t>not form</w:t>
      </w:r>
      <w:r>
        <w:rPr>
          <w:spacing w:val="-14"/>
        </w:rPr>
        <w:t xml:space="preserve"> </w:t>
      </w:r>
      <w:r>
        <w:t>part</w:t>
      </w:r>
      <w:r>
        <w:rPr>
          <w:spacing w:val="-13"/>
        </w:rPr>
        <w:t xml:space="preserve"> </w:t>
      </w:r>
      <w:r>
        <w:t>of</w:t>
      </w:r>
      <w:r>
        <w:rPr>
          <w:spacing w:val="-13"/>
        </w:rPr>
        <w:t xml:space="preserve"> </w:t>
      </w:r>
      <w:r>
        <w:t>the</w:t>
      </w:r>
      <w:r>
        <w:rPr>
          <w:spacing w:val="-13"/>
        </w:rPr>
        <w:t xml:space="preserve"> </w:t>
      </w:r>
      <w:r>
        <w:t>Strategy,</w:t>
      </w:r>
      <w:r>
        <w:rPr>
          <w:spacing w:val="-13"/>
        </w:rPr>
        <w:t xml:space="preserve"> </w:t>
      </w:r>
      <w:r>
        <w:t>as</w:t>
      </w:r>
      <w:r>
        <w:rPr>
          <w:spacing w:val="-13"/>
        </w:rPr>
        <w:t xml:space="preserve"> </w:t>
      </w:r>
      <w:r>
        <w:t>such</w:t>
      </w:r>
      <w:r>
        <w:rPr>
          <w:spacing w:val="-13"/>
        </w:rPr>
        <w:t xml:space="preserve"> </w:t>
      </w:r>
      <w:r>
        <w:t>a</w:t>
      </w:r>
      <w:r>
        <w:rPr>
          <w:spacing w:val="-13"/>
        </w:rPr>
        <w:t xml:space="preserve"> </w:t>
      </w:r>
      <w:r>
        <w:t>scheme</w:t>
      </w:r>
      <w:r>
        <w:rPr>
          <w:spacing w:val="-13"/>
        </w:rPr>
        <w:t xml:space="preserve"> </w:t>
      </w:r>
      <w:r>
        <w:t>is</w:t>
      </w:r>
      <w:r>
        <w:rPr>
          <w:spacing w:val="-13"/>
        </w:rPr>
        <w:t xml:space="preserve"> </w:t>
      </w:r>
      <w:r>
        <w:t>highly unlikely</w:t>
      </w:r>
      <w:r>
        <w:rPr>
          <w:spacing w:val="-12"/>
        </w:rPr>
        <w:t xml:space="preserve"> </w:t>
      </w:r>
      <w:r>
        <w:t>to</w:t>
      </w:r>
      <w:r>
        <w:rPr>
          <w:spacing w:val="-12"/>
        </w:rPr>
        <w:t xml:space="preserve"> </w:t>
      </w:r>
      <w:r>
        <w:t>represent</w:t>
      </w:r>
      <w:r>
        <w:rPr>
          <w:spacing w:val="-12"/>
        </w:rPr>
        <w:t xml:space="preserve"> </w:t>
      </w:r>
      <w:r>
        <w:t>the</w:t>
      </w:r>
      <w:r>
        <w:rPr>
          <w:spacing w:val="-12"/>
        </w:rPr>
        <w:t xml:space="preserve"> </w:t>
      </w:r>
      <w:r>
        <w:t>highest</w:t>
      </w:r>
      <w:r>
        <w:rPr>
          <w:spacing w:val="-12"/>
        </w:rPr>
        <w:t xml:space="preserve"> </w:t>
      </w:r>
      <w:r>
        <w:t>and</w:t>
      </w:r>
      <w:r>
        <w:rPr>
          <w:spacing w:val="-12"/>
        </w:rPr>
        <w:t xml:space="preserve"> </w:t>
      </w:r>
      <w:r>
        <w:t>best</w:t>
      </w:r>
      <w:r>
        <w:rPr>
          <w:spacing w:val="-12"/>
        </w:rPr>
        <w:t xml:space="preserve"> </w:t>
      </w:r>
      <w:r>
        <w:t>use</w:t>
      </w:r>
      <w:r>
        <w:rPr>
          <w:spacing w:val="-12"/>
        </w:rPr>
        <w:t xml:space="preserve"> </w:t>
      </w:r>
      <w:r>
        <w:t xml:space="preserve">of </w:t>
      </w:r>
      <w:r>
        <w:rPr>
          <w:w w:val="95"/>
        </w:rPr>
        <w:t>limited</w:t>
      </w:r>
      <w:r>
        <w:rPr>
          <w:spacing w:val="-2"/>
          <w:w w:val="95"/>
        </w:rPr>
        <w:t xml:space="preserve"> </w:t>
      </w:r>
      <w:r>
        <w:rPr>
          <w:w w:val="95"/>
        </w:rPr>
        <w:t>Government</w:t>
      </w:r>
      <w:r>
        <w:rPr>
          <w:spacing w:val="-2"/>
          <w:w w:val="95"/>
        </w:rPr>
        <w:t xml:space="preserve"> </w:t>
      </w:r>
      <w:r>
        <w:rPr>
          <w:w w:val="95"/>
        </w:rPr>
        <w:t>funds.</w:t>
      </w:r>
      <w:r>
        <w:rPr>
          <w:spacing w:val="-2"/>
          <w:w w:val="95"/>
        </w:rPr>
        <w:t xml:space="preserve"> </w:t>
      </w:r>
      <w:r>
        <w:rPr>
          <w:w w:val="95"/>
        </w:rPr>
        <w:t>Instead</w:t>
      </w:r>
      <w:r>
        <w:rPr>
          <w:spacing w:val="-2"/>
          <w:w w:val="95"/>
        </w:rPr>
        <w:t xml:space="preserve"> </w:t>
      </w:r>
      <w:r>
        <w:rPr>
          <w:w w:val="95"/>
        </w:rPr>
        <w:t>Infrastructure</w:t>
      </w:r>
      <w:r>
        <w:rPr>
          <w:spacing w:val="-2"/>
          <w:w w:val="95"/>
        </w:rPr>
        <w:t xml:space="preserve"> </w:t>
      </w:r>
      <w:r>
        <w:rPr>
          <w:w w:val="95"/>
        </w:rPr>
        <w:t xml:space="preserve">NSW recommends that the main focus of investment should </w:t>
      </w:r>
      <w:r>
        <w:t>be</w:t>
      </w:r>
      <w:r>
        <w:rPr>
          <w:spacing w:val="-14"/>
        </w:rPr>
        <w:t xml:space="preserve"> </w:t>
      </w:r>
      <w:r>
        <w:t>incremental</w:t>
      </w:r>
      <w:r>
        <w:rPr>
          <w:spacing w:val="-14"/>
        </w:rPr>
        <w:t xml:space="preserve"> </w:t>
      </w:r>
      <w:r>
        <w:t>improvements</w:t>
      </w:r>
      <w:r>
        <w:rPr>
          <w:spacing w:val="-14"/>
        </w:rPr>
        <w:t xml:space="preserve"> </w:t>
      </w:r>
      <w:r>
        <w:t>to</w:t>
      </w:r>
      <w:r>
        <w:rPr>
          <w:spacing w:val="-14"/>
        </w:rPr>
        <w:t xml:space="preserve"> </w:t>
      </w:r>
      <w:r>
        <w:t>the</w:t>
      </w:r>
      <w:r>
        <w:rPr>
          <w:spacing w:val="-14"/>
        </w:rPr>
        <w:t xml:space="preserve"> </w:t>
      </w:r>
      <w:r>
        <w:t>existing</w:t>
      </w:r>
      <w:r>
        <w:rPr>
          <w:spacing w:val="-14"/>
        </w:rPr>
        <w:t xml:space="preserve"> </w:t>
      </w:r>
      <w:r>
        <w:t>bus</w:t>
      </w:r>
      <w:r>
        <w:rPr>
          <w:spacing w:val="-14"/>
        </w:rPr>
        <w:t xml:space="preserve"> </w:t>
      </w:r>
      <w:r>
        <w:t>and light</w:t>
      </w:r>
      <w:r>
        <w:rPr>
          <w:spacing w:val="-10"/>
        </w:rPr>
        <w:t xml:space="preserve"> </w:t>
      </w:r>
      <w:r>
        <w:t>rail</w:t>
      </w:r>
      <w:r>
        <w:rPr>
          <w:spacing w:val="-10"/>
        </w:rPr>
        <w:t xml:space="preserve"> </w:t>
      </w:r>
      <w:r>
        <w:t>network,</w:t>
      </w:r>
      <w:r>
        <w:rPr>
          <w:spacing w:val="-10"/>
        </w:rPr>
        <w:t xml:space="preserve"> </w:t>
      </w:r>
      <w:r>
        <w:t>as</w:t>
      </w:r>
      <w:r>
        <w:rPr>
          <w:spacing w:val="-10"/>
        </w:rPr>
        <w:t xml:space="preserve"> </w:t>
      </w:r>
      <w:r>
        <w:t>set</w:t>
      </w:r>
      <w:r>
        <w:rPr>
          <w:spacing w:val="-10"/>
        </w:rPr>
        <w:t xml:space="preserve"> </w:t>
      </w:r>
      <w:r>
        <w:t>out</w:t>
      </w:r>
      <w:r>
        <w:rPr>
          <w:spacing w:val="-10"/>
        </w:rPr>
        <w:t xml:space="preserve"> </w:t>
      </w:r>
      <w:r>
        <w:t>in</w:t>
      </w:r>
      <w:r>
        <w:rPr>
          <w:spacing w:val="-10"/>
        </w:rPr>
        <w:t xml:space="preserve"> </w:t>
      </w:r>
      <w:r>
        <w:t>Section</w:t>
      </w:r>
      <w:r>
        <w:rPr>
          <w:spacing w:val="-10"/>
        </w:rPr>
        <w:t xml:space="preserve"> </w:t>
      </w:r>
      <w:r>
        <w:t>7.</w:t>
      </w:r>
    </w:p>
    <w:p w:rsidR="002C1123" w:rsidRDefault="00F22F94">
      <w:pPr>
        <w:pStyle w:val="BodyText"/>
        <w:spacing w:before="148" w:line="249" w:lineRule="auto"/>
        <w:ind w:left="200" w:right="619"/>
      </w:pPr>
      <w:r>
        <w:t>However,</w:t>
      </w:r>
      <w:r>
        <w:rPr>
          <w:spacing w:val="-14"/>
        </w:rPr>
        <w:t xml:space="preserve"> </w:t>
      </w:r>
      <w:r>
        <w:t>Infrastructure</w:t>
      </w:r>
      <w:r>
        <w:rPr>
          <w:spacing w:val="-14"/>
        </w:rPr>
        <w:t xml:space="preserve"> </w:t>
      </w:r>
      <w:r>
        <w:t>NSW</w:t>
      </w:r>
      <w:r>
        <w:rPr>
          <w:spacing w:val="-14"/>
        </w:rPr>
        <w:t xml:space="preserve"> </w:t>
      </w:r>
      <w:r>
        <w:t>has</w:t>
      </w:r>
      <w:r>
        <w:rPr>
          <w:spacing w:val="-14"/>
        </w:rPr>
        <w:t xml:space="preserve"> </w:t>
      </w:r>
      <w:r>
        <w:t>identified</w:t>
      </w:r>
      <w:r>
        <w:rPr>
          <w:spacing w:val="-14"/>
        </w:rPr>
        <w:t xml:space="preserve"> </w:t>
      </w:r>
      <w:r>
        <w:t xml:space="preserve">one </w:t>
      </w:r>
      <w:r>
        <w:rPr>
          <w:w w:val="95"/>
        </w:rPr>
        <w:t>incremental</w:t>
      </w:r>
      <w:r>
        <w:rPr>
          <w:spacing w:val="-3"/>
          <w:w w:val="95"/>
        </w:rPr>
        <w:t xml:space="preserve"> </w:t>
      </w:r>
      <w:r>
        <w:rPr>
          <w:w w:val="95"/>
        </w:rPr>
        <w:t>expansion</w:t>
      </w:r>
      <w:r>
        <w:rPr>
          <w:spacing w:val="-3"/>
          <w:w w:val="95"/>
        </w:rPr>
        <w:t xml:space="preserve"> </w:t>
      </w:r>
      <w:r>
        <w:rPr>
          <w:w w:val="95"/>
        </w:rPr>
        <w:t>for</w:t>
      </w:r>
      <w:r>
        <w:rPr>
          <w:spacing w:val="-3"/>
          <w:w w:val="95"/>
        </w:rPr>
        <w:t xml:space="preserve"> </w:t>
      </w:r>
      <w:r>
        <w:rPr>
          <w:w w:val="95"/>
        </w:rPr>
        <w:t>consideration:</w:t>
      </w:r>
      <w:r>
        <w:rPr>
          <w:spacing w:val="-3"/>
          <w:w w:val="95"/>
        </w:rPr>
        <w:t xml:space="preserve"> </w:t>
      </w:r>
      <w:r>
        <w:rPr>
          <w:w w:val="95"/>
        </w:rPr>
        <w:t>the</w:t>
      </w:r>
      <w:r>
        <w:rPr>
          <w:spacing w:val="-3"/>
          <w:w w:val="95"/>
        </w:rPr>
        <w:t xml:space="preserve"> </w:t>
      </w:r>
      <w:r>
        <w:rPr>
          <w:w w:val="95"/>
        </w:rPr>
        <w:t>extension</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292" w:space="40"/>
            <w:col w:w="4974" w:space="39"/>
            <w:col w:w="5715"/>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3"/>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BodyText"/>
        <w:spacing w:before="108" w:line="249" w:lineRule="auto"/>
        <w:ind w:left="492"/>
      </w:pPr>
      <w:bookmarkStart w:id="230" w:name="_bookmark163"/>
      <w:bookmarkEnd w:id="230"/>
      <w:r>
        <w:rPr>
          <w:spacing w:val="-2"/>
        </w:rPr>
        <w:t>of</w:t>
      </w:r>
      <w:r>
        <w:rPr>
          <w:spacing w:val="-10"/>
        </w:rPr>
        <w:t xml:space="preserve"> </w:t>
      </w:r>
      <w:r>
        <w:rPr>
          <w:spacing w:val="-2"/>
        </w:rPr>
        <w:t>the</w:t>
      </w:r>
      <w:r>
        <w:rPr>
          <w:spacing w:val="-10"/>
        </w:rPr>
        <w:t xml:space="preserve"> </w:t>
      </w:r>
      <w:r>
        <w:rPr>
          <w:spacing w:val="-2"/>
        </w:rPr>
        <w:t>Eastern</w:t>
      </w:r>
      <w:r>
        <w:rPr>
          <w:spacing w:val="-10"/>
        </w:rPr>
        <w:t xml:space="preserve"> </w:t>
      </w:r>
      <w:r>
        <w:rPr>
          <w:spacing w:val="-2"/>
        </w:rPr>
        <w:t>Suburbs</w:t>
      </w:r>
      <w:r>
        <w:rPr>
          <w:spacing w:val="-10"/>
        </w:rPr>
        <w:t xml:space="preserve"> </w:t>
      </w:r>
      <w:r>
        <w:rPr>
          <w:spacing w:val="-2"/>
        </w:rPr>
        <w:t>Railway</w:t>
      </w:r>
      <w:r>
        <w:rPr>
          <w:spacing w:val="-10"/>
        </w:rPr>
        <w:t xml:space="preserve"> </w:t>
      </w:r>
      <w:r>
        <w:rPr>
          <w:spacing w:val="-2"/>
        </w:rPr>
        <w:t>(ESR)</w:t>
      </w:r>
      <w:r>
        <w:rPr>
          <w:spacing w:val="-10"/>
        </w:rPr>
        <w:t xml:space="preserve"> </w:t>
      </w:r>
      <w:r>
        <w:rPr>
          <w:spacing w:val="-2"/>
        </w:rPr>
        <w:t>to</w:t>
      </w:r>
      <w:r>
        <w:rPr>
          <w:spacing w:val="-10"/>
        </w:rPr>
        <w:t xml:space="preserve"> </w:t>
      </w:r>
      <w:r>
        <w:rPr>
          <w:spacing w:val="-2"/>
        </w:rPr>
        <w:t>the</w:t>
      </w:r>
      <w:r>
        <w:rPr>
          <w:spacing w:val="-10"/>
        </w:rPr>
        <w:t xml:space="preserve"> </w:t>
      </w:r>
      <w:r>
        <w:rPr>
          <w:spacing w:val="-2"/>
        </w:rPr>
        <w:t xml:space="preserve">South- </w:t>
      </w:r>
      <w:r>
        <w:rPr>
          <w:w w:val="95"/>
        </w:rPr>
        <w:t>Eastern</w:t>
      </w:r>
      <w:r>
        <w:rPr>
          <w:spacing w:val="-4"/>
          <w:w w:val="95"/>
        </w:rPr>
        <w:t xml:space="preserve"> </w:t>
      </w:r>
      <w:r>
        <w:rPr>
          <w:w w:val="95"/>
        </w:rPr>
        <w:t>suburbs.</w:t>
      </w:r>
      <w:r>
        <w:rPr>
          <w:spacing w:val="-4"/>
          <w:w w:val="95"/>
        </w:rPr>
        <w:t xml:space="preserve"> </w:t>
      </w:r>
      <w:r>
        <w:rPr>
          <w:w w:val="95"/>
        </w:rPr>
        <w:t>This</w:t>
      </w:r>
      <w:r>
        <w:rPr>
          <w:spacing w:val="-4"/>
          <w:w w:val="95"/>
        </w:rPr>
        <w:t xml:space="preserve"> </w:t>
      </w:r>
      <w:r>
        <w:rPr>
          <w:w w:val="95"/>
        </w:rPr>
        <w:t>project</w:t>
      </w:r>
      <w:r>
        <w:rPr>
          <w:spacing w:val="-4"/>
          <w:w w:val="95"/>
        </w:rPr>
        <w:t xml:space="preserve"> </w:t>
      </w:r>
      <w:r>
        <w:rPr>
          <w:w w:val="95"/>
        </w:rPr>
        <w:t>is</w:t>
      </w:r>
      <w:r>
        <w:rPr>
          <w:spacing w:val="-4"/>
          <w:w w:val="95"/>
        </w:rPr>
        <w:t xml:space="preserve"> </w:t>
      </w:r>
      <w:r>
        <w:rPr>
          <w:w w:val="95"/>
        </w:rPr>
        <w:t>more</w:t>
      </w:r>
      <w:r>
        <w:rPr>
          <w:spacing w:val="-4"/>
          <w:w w:val="95"/>
        </w:rPr>
        <w:t xml:space="preserve"> </w:t>
      </w:r>
      <w:r>
        <w:rPr>
          <w:w w:val="95"/>
        </w:rPr>
        <w:t>attractive</w:t>
      </w:r>
      <w:r>
        <w:rPr>
          <w:spacing w:val="-4"/>
          <w:w w:val="95"/>
        </w:rPr>
        <w:t xml:space="preserve"> </w:t>
      </w:r>
      <w:r>
        <w:rPr>
          <w:w w:val="95"/>
        </w:rPr>
        <w:t xml:space="preserve">because </w:t>
      </w:r>
      <w:r>
        <w:t>it</w:t>
      </w:r>
      <w:r>
        <w:rPr>
          <w:spacing w:val="-12"/>
        </w:rPr>
        <w:t xml:space="preserve"> </w:t>
      </w:r>
      <w:r>
        <w:t>can</w:t>
      </w:r>
      <w:r>
        <w:rPr>
          <w:spacing w:val="-12"/>
        </w:rPr>
        <w:t xml:space="preserve"> </w:t>
      </w:r>
      <w:r>
        <w:t>leverage</w:t>
      </w:r>
      <w:r>
        <w:rPr>
          <w:spacing w:val="-12"/>
        </w:rPr>
        <w:t xml:space="preserve"> </w:t>
      </w:r>
      <w:r>
        <w:t>the</w:t>
      </w:r>
      <w:r>
        <w:rPr>
          <w:spacing w:val="-12"/>
        </w:rPr>
        <w:t xml:space="preserve"> </w:t>
      </w:r>
      <w:r>
        <w:t>spare</w:t>
      </w:r>
      <w:r>
        <w:rPr>
          <w:spacing w:val="-12"/>
        </w:rPr>
        <w:t xml:space="preserve"> </w:t>
      </w:r>
      <w:r>
        <w:t>CBD</w:t>
      </w:r>
      <w:r>
        <w:rPr>
          <w:spacing w:val="-12"/>
        </w:rPr>
        <w:t xml:space="preserve"> </w:t>
      </w:r>
      <w:r>
        <w:t>access</w:t>
      </w:r>
      <w:r>
        <w:rPr>
          <w:spacing w:val="-12"/>
        </w:rPr>
        <w:t xml:space="preserve"> </w:t>
      </w:r>
      <w:r>
        <w:t>capacity</w:t>
      </w:r>
      <w:r>
        <w:rPr>
          <w:spacing w:val="-12"/>
        </w:rPr>
        <w:t xml:space="preserve"> </w:t>
      </w:r>
      <w:r>
        <w:t>of</w:t>
      </w:r>
      <w:r>
        <w:rPr>
          <w:spacing w:val="-12"/>
        </w:rPr>
        <w:t xml:space="preserve"> </w:t>
      </w:r>
      <w:r>
        <w:t xml:space="preserve">the </w:t>
      </w:r>
      <w:r>
        <w:rPr>
          <w:w w:val="95"/>
        </w:rPr>
        <w:t>existing line and support significant urban consolidation in locations likely to be appealing to the housing market.</w:t>
      </w:r>
    </w:p>
    <w:p w:rsidR="002C1123" w:rsidRDefault="00F22F94">
      <w:pPr>
        <w:pStyle w:val="Heading6"/>
        <w:numPr>
          <w:ilvl w:val="2"/>
          <w:numId w:val="86"/>
        </w:numPr>
        <w:tabs>
          <w:tab w:val="left" w:pos="979"/>
        </w:tabs>
        <w:spacing w:before="146"/>
        <w:ind w:left="978" w:hanging="487"/>
        <w:jc w:val="left"/>
      </w:pPr>
      <w:r>
        <w:rPr>
          <w:color w:val="00AEEF"/>
          <w:w w:val="95"/>
        </w:rPr>
        <w:t>Eastern</w:t>
      </w:r>
      <w:r>
        <w:rPr>
          <w:color w:val="00AEEF"/>
          <w:spacing w:val="7"/>
        </w:rPr>
        <w:t xml:space="preserve"> </w:t>
      </w:r>
      <w:r>
        <w:rPr>
          <w:color w:val="00AEEF"/>
          <w:w w:val="95"/>
        </w:rPr>
        <w:t>Suburbs</w:t>
      </w:r>
      <w:r>
        <w:rPr>
          <w:color w:val="00AEEF"/>
          <w:spacing w:val="7"/>
        </w:rPr>
        <w:t xml:space="preserve"> </w:t>
      </w:r>
      <w:r>
        <w:rPr>
          <w:color w:val="00AEEF"/>
          <w:w w:val="95"/>
        </w:rPr>
        <w:t>Railway</w:t>
      </w:r>
      <w:r>
        <w:rPr>
          <w:color w:val="00AEEF"/>
          <w:spacing w:val="8"/>
        </w:rPr>
        <w:t xml:space="preserve"> </w:t>
      </w:r>
      <w:r>
        <w:rPr>
          <w:color w:val="00AEEF"/>
          <w:spacing w:val="-2"/>
          <w:w w:val="95"/>
        </w:rPr>
        <w:t>Extension</w:t>
      </w:r>
    </w:p>
    <w:p w:rsidR="002C1123" w:rsidRDefault="00F22F94">
      <w:pPr>
        <w:pStyle w:val="BodyText"/>
        <w:spacing w:before="95" w:line="249" w:lineRule="auto"/>
        <w:ind w:left="492"/>
      </w:pPr>
      <w:r>
        <w:t>The</w:t>
      </w:r>
      <w:r>
        <w:rPr>
          <w:spacing w:val="-14"/>
        </w:rPr>
        <w:t xml:space="preserve"> </w:t>
      </w:r>
      <w:r>
        <w:t>Eastern</w:t>
      </w:r>
      <w:r>
        <w:rPr>
          <w:spacing w:val="-14"/>
        </w:rPr>
        <w:t xml:space="preserve"> </w:t>
      </w:r>
      <w:r>
        <w:t>Suburbs</w:t>
      </w:r>
      <w:r>
        <w:rPr>
          <w:spacing w:val="-14"/>
        </w:rPr>
        <w:t xml:space="preserve"> </w:t>
      </w:r>
      <w:r>
        <w:t>Railway</w:t>
      </w:r>
      <w:r>
        <w:rPr>
          <w:spacing w:val="-14"/>
        </w:rPr>
        <w:t xml:space="preserve"> </w:t>
      </w:r>
      <w:r>
        <w:t>scheme</w:t>
      </w:r>
      <w:r>
        <w:rPr>
          <w:spacing w:val="-14"/>
        </w:rPr>
        <w:t xml:space="preserve"> </w:t>
      </w:r>
      <w:r>
        <w:t>authorised</w:t>
      </w:r>
      <w:r>
        <w:rPr>
          <w:spacing w:val="-14"/>
        </w:rPr>
        <w:t xml:space="preserve"> </w:t>
      </w:r>
      <w:r>
        <w:t xml:space="preserve">in </w:t>
      </w:r>
      <w:r>
        <w:rPr>
          <w:spacing w:val="-2"/>
        </w:rPr>
        <w:t>1967</w:t>
      </w:r>
      <w:r>
        <w:rPr>
          <w:spacing w:val="-9"/>
        </w:rPr>
        <w:t xml:space="preserve"> </w:t>
      </w:r>
      <w:r>
        <w:rPr>
          <w:spacing w:val="-2"/>
        </w:rPr>
        <w:t>was</w:t>
      </w:r>
      <w:r>
        <w:rPr>
          <w:spacing w:val="-9"/>
        </w:rPr>
        <w:t xml:space="preserve"> </w:t>
      </w:r>
      <w:r>
        <w:rPr>
          <w:spacing w:val="-2"/>
        </w:rPr>
        <w:t>to</w:t>
      </w:r>
      <w:r>
        <w:rPr>
          <w:spacing w:val="-9"/>
        </w:rPr>
        <w:t xml:space="preserve"> </w:t>
      </w:r>
      <w:r>
        <w:rPr>
          <w:spacing w:val="-2"/>
        </w:rPr>
        <w:t>run</w:t>
      </w:r>
      <w:r>
        <w:rPr>
          <w:spacing w:val="-9"/>
        </w:rPr>
        <w:t xml:space="preserve"> </w:t>
      </w:r>
      <w:r>
        <w:rPr>
          <w:spacing w:val="-2"/>
        </w:rPr>
        <w:t>from</w:t>
      </w:r>
      <w:r>
        <w:rPr>
          <w:spacing w:val="-9"/>
        </w:rPr>
        <w:t xml:space="preserve"> </w:t>
      </w:r>
      <w:r>
        <w:rPr>
          <w:spacing w:val="-2"/>
        </w:rPr>
        <w:t>the</w:t>
      </w:r>
      <w:r>
        <w:rPr>
          <w:spacing w:val="-9"/>
        </w:rPr>
        <w:t xml:space="preserve"> </w:t>
      </w:r>
      <w:r>
        <w:rPr>
          <w:spacing w:val="-2"/>
        </w:rPr>
        <w:t>City</w:t>
      </w:r>
      <w:r>
        <w:rPr>
          <w:spacing w:val="-9"/>
        </w:rPr>
        <w:t xml:space="preserve"> </w:t>
      </w:r>
      <w:r>
        <w:rPr>
          <w:spacing w:val="-2"/>
        </w:rPr>
        <w:t>to</w:t>
      </w:r>
      <w:r>
        <w:rPr>
          <w:spacing w:val="-9"/>
        </w:rPr>
        <w:t xml:space="preserve"> </w:t>
      </w:r>
      <w:r>
        <w:rPr>
          <w:spacing w:val="-2"/>
        </w:rPr>
        <w:t>Kingsford.</w:t>
      </w:r>
      <w:r>
        <w:rPr>
          <w:spacing w:val="-9"/>
        </w:rPr>
        <w:t xml:space="preserve"> </w:t>
      </w:r>
      <w:r>
        <w:rPr>
          <w:spacing w:val="-2"/>
        </w:rPr>
        <w:t>The</w:t>
      </w:r>
      <w:r>
        <w:rPr>
          <w:spacing w:val="-9"/>
        </w:rPr>
        <w:t xml:space="preserve"> </w:t>
      </w:r>
      <w:r>
        <w:rPr>
          <w:spacing w:val="-2"/>
        </w:rPr>
        <w:t xml:space="preserve">original </w:t>
      </w:r>
      <w:r>
        <w:rPr>
          <w:w w:val="95"/>
        </w:rPr>
        <w:t>plans</w:t>
      </w:r>
      <w:r>
        <w:rPr>
          <w:spacing w:val="-3"/>
          <w:w w:val="95"/>
        </w:rPr>
        <w:t xml:space="preserve"> </w:t>
      </w:r>
      <w:r>
        <w:rPr>
          <w:w w:val="95"/>
        </w:rPr>
        <w:t>recognised</w:t>
      </w:r>
      <w:r>
        <w:rPr>
          <w:spacing w:val="-3"/>
          <w:w w:val="95"/>
        </w:rPr>
        <w:t xml:space="preserve"> </w:t>
      </w:r>
      <w:r>
        <w:rPr>
          <w:w w:val="95"/>
        </w:rPr>
        <w:t>the</w:t>
      </w:r>
      <w:r>
        <w:rPr>
          <w:spacing w:val="-3"/>
          <w:w w:val="95"/>
        </w:rPr>
        <w:t xml:space="preserve"> </w:t>
      </w:r>
      <w:r>
        <w:rPr>
          <w:w w:val="95"/>
        </w:rPr>
        <w:t>existence</w:t>
      </w:r>
      <w:r>
        <w:rPr>
          <w:spacing w:val="-3"/>
          <w:w w:val="95"/>
        </w:rPr>
        <w:t xml:space="preserve"> </w:t>
      </w:r>
      <w:r>
        <w:rPr>
          <w:w w:val="95"/>
        </w:rPr>
        <w:t>of</w:t>
      </w:r>
      <w:r>
        <w:rPr>
          <w:spacing w:val="-3"/>
          <w:w w:val="95"/>
        </w:rPr>
        <w:t xml:space="preserve"> </w:t>
      </w:r>
      <w:r>
        <w:rPr>
          <w:w w:val="95"/>
        </w:rPr>
        <w:t>significant</w:t>
      </w:r>
      <w:r>
        <w:rPr>
          <w:spacing w:val="-3"/>
          <w:w w:val="95"/>
        </w:rPr>
        <w:t xml:space="preserve"> </w:t>
      </w:r>
      <w:r>
        <w:rPr>
          <w:w w:val="95"/>
        </w:rPr>
        <w:t>demand</w:t>
      </w:r>
      <w:r>
        <w:rPr>
          <w:spacing w:val="-3"/>
          <w:w w:val="95"/>
        </w:rPr>
        <w:t xml:space="preserve"> </w:t>
      </w:r>
      <w:r>
        <w:rPr>
          <w:w w:val="95"/>
        </w:rPr>
        <w:t xml:space="preserve">for </w:t>
      </w:r>
      <w:r>
        <w:rPr>
          <w:spacing w:val="-2"/>
        </w:rPr>
        <w:t>rail</w:t>
      </w:r>
      <w:r>
        <w:rPr>
          <w:spacing w:val="-6"/>
        </w:rPr>
        <w:t xml:space="preserve"> </w:t>
      </w:r>
      <w:r>
        <w:rPr>
          <w:spacing w:val="-2"/>
        </w:rPr>
        <w:t>services</w:t>
      </w:r>
      <w:r>
        <w:rPr>
          <w:spacing w:val="-6"/>
        </w:rPr>
        <w:t xml:space="preserve"> </w:t>
      </w:r>
      <w:r>
        <w:rPr>
          <w:spacing w:val="-2"/>
        </w:rPr>
        <w:t>in</w:t>
      </w:r>
      <w:r>
        <w:rPr>
          <w:spacing w:val="-6"/>
        </w:rPr>
        <w:t xml:space="preserve"> </w:t>
      </w:r>
      <w:r>
        <w:rPr>
          <w:spacing w:val="-2"/>
        </w:rPr>
        <w:t>the</w:t>
      </w:r>
      <w:r>
        <w:rPr>
          <w:spacing w:val="-6"/>
        </w:rPr>
        <w:t xml:space="preserve"> </w:t>
      </w:r>
      <w:r>
        <w:rPr>
          <w:spacing w:val="-2"/>
        </w:rPr>
        <w:t>South-Eastern</w:t>
      </w:r>
      <w:r>
        <w:rPr>
          <w:spacing w:val="-6"/>
        </w:rPr>
        <w:t xml:space="preserve"> </w:t>
      </w:r>
      <w:r>
        <w:rPr>
          <w:spacing w:val="-2"/>
        </w:rPr>
        <w:t>suburbs,</w:t>
      </w:r>
      <w:r>
        <w:rPr>
          <w:spacing w:val="-6"/>
        </w:rPr>
        <w:t xml:space="preserve"> </w:t>
      </w:r>
      <w:r>
        <w:rPr>
          <w:spacing w:val="-2"/>
        </w:rPr>
        <w:t>a</w:t>
      </w:r>
      <w:r>
        <w:rPr>
          <w:spacing w:val="-6"/>
        </w:rPr>
        <w:t xml:space="preserve"> </w:t>
      </w:r>
      <w:r>
        <w:rPr>
          <w:spacing w:val="-2"/>
        </w:rPr>
        <w:t xml:space="preserve">combined </w:t>
      </w:r>
      <w:r>
        <w:t>catchment area of around 200,000 people.</w:t>
      </w:r>
    </w:p>
    <w:p w:rsidR="002C1123" w:rsidRDefault="00F22F94">
      <w:pPr>
        <w:pStyle w:val="BodyText"/>
        <w:spacing w:before="146" w:line="249" w:lineRule="auto"/>
        <w:ind w:left="492"/>
      </w:pPr>
      <w:r>
        <w:rPr>
          <w:w w:val="95"/>
        </w:rPr>
        <w:t>The</w:t>
      </w:r>
      <w:r>
        <w:rPr>
          <w:spacing w:val="-9"/>
          <w:w w:val="95"/>
        </w:rPr>
        <w:t xml:space="preserve"> </w:t>
      </w:r>
      <w:r>
        <w:rPr>
          <w:w w:val="95"/>
        </w:rPr>
        <w:t>journey</w:t>
      </w:r>
      <w:r>
        <w:rPr>
          <w:spacing w:val="-9"/>
          <w:w w:val="95"/>
        </w:rPr>
        <w:t xml:space="preserve"> </w:t>
      </w:r>
      <w:r>
        <w:rPr>
          <w:w w:val="95"/>
        </w:rPr>
        <w:t>time</w:t>
      </w:r>
      <w:r>
        <w:rPr>
          <w:spacing w:val="-9"/>
          <w:w w:val="95"/>
        </w:rPr>
        <w:t xml:space="preserve"> </w:t>
      </w:r>
      <w:r>
        <w:rPr>
          <w:w w:val="95"/>
        </w:rPr>
        <w:t>by</w:t>
      </w:r>
      <w:r>
        <w:rPr>
          <w:spacing w:val="-9"/>
          <w:w w:val="95"/>
        </w:rPr>
        <w:t xml:space="preserve"> </w:t>
      </w:r>
      <w:r>
        <w:rPr>
          <w:w w:val="95"/>
        </w:rPr>
        <w:t>rail</w:t>
      </w:r>
      <w:r>
        <w:rPr>
          <w:spacing w:val="-9"/>
          <w:w w:val="95"/>
        </w:rPr>
        <w:t xml:space="preserve"> </w:t>
      </w:r>
      <w:r>
        <w:rPr>
          <w:w w:val="95"/>
        </w:rPr>
        <w:t>to</w:t>
      </w:r>
      <w:r>
        <w:rPr>
          <w:spacing w:val="-9"/>
          <w:w w:val="95"/>
        </w:rPr>
        <w:t xml:space="preserve"> </w:t>
      </w:r>
      <w:r>
        <w:rPr>
          <w:w w:val="95"/>
        </w:rPr>
        <w:t>Martin</w:t>
      </w:r>
      <w:r>
        <w:rPr>
          <w:spacing w:val="-9"/>
          <w:w w:val="95"/>
        </w:rPr>
        <w:t xml:space="preserve"> </w:t>
      </w:r>
      <w:r>
        <w:rPr>
          <w:w w:val="95"/>
        </w:rPr>
        <w:t>Place</w:t>
      </w:r>
      <w:r>
        <w:rPr>
          <w:spacing w:val="-9"/>
          <w:w w:val="95"/>
        </w:rPr>
        <w:t xml:space="preserve"> </w:t>
      </w:r>
      <w:r>
        <w:rPr>
          <w:w w:val="95"/>
        </w:rPr>
        <w:t>would</w:t>
      </w:r>
      <w:r>
        <w:rPr>
          <w:spacing w:val="-9"/>
          <w:w w:val="95"/>
        </w:rPr>
        <w:t xml:space="preserve"> </w:t>
      </w:r>
      <w:r>
        <w:rPr>
          <w:w w:val="95"/>
        </w:rPr>
        <w:t xml:space="preserve">be </w:t>
      </w:r>
      <w:r>
        <w:t>approximately</w:t>
      </w:r>
      <w:r>
        <w:rPr>
          <w:spacing w:val="-8"/>
        </w:rPr>
        <w:t xml:space="preserve"> </w:t>
      </w:r>
      <w:r>
        <w:t>11</w:t>
      </w:r>
      <w:r>
        <w:rPr>
          <w:spacing w:val="-8"/>
        </w:rPr>
        <w:t xml:space="preserve"> </w:t>
      </w:r>
      <w:r>
        <w:t>minutes</w:t>
      </w:r>
      <w:r>
        <w:rPr>
          <w:spacing w:val="-8"/>
        </w:rPr>
        <w:t xml:space="preserve"> </w:t>
      </w:r>
      <w:r>
        <w:t>from</w:t>
      </w:r>
      <w:r>
        <w:rPr>
          <w:spacing w:val="-8"/>
        </w:rPr>
        <w:t xml:space="preserve"> </w:t>
      </w:r>
      <w:r>
        <w:t>Randwick</w:t>
      </w:r>
      <w:r>
        <w:rPr>
          <w:spacing w:val="-8"/>
        </w:rPr>
        <w:t xml:space="preserve"> </w:t>
      </w:r>
      <w:r>
        <w:t>and</w:t>
      </w:r>
    </w:p>
    <w:p w:rsidR="002C1123" w:rsidRDefault="00F22F94">
      <w:pPr>
        <w:pStyle w:val="BodyText"/>
        <w:spacing w:before="1" w:line="249" w:lineRule="auto"/>
        <w:ind w:left="492"/>
      </w:pPr>
      <w:r>
        <w:t>14</w:t>
      </w:r>
      <w:r>
        <w:rPr>
          <w:spacing w:val="-14"/>
        </w:rPr>
        <w:t xml:space="preserve"> </w:t>
      </w:r>
      <w:r>
        <w:t>minutes</w:t>
      </w:r>
      <w:r>
        <w:rPr>
          <w:spacing w:val="-14"/>
        </w:rPr>
        <w:t xml:space="preserve"> </w:t>
      </w:r>
      <w:r>
        <w:t>from</w:t>
      </w:r>
      <w:r>
        <w:rPr>
          <w:spacing w:val="-14"/>
        </w:rPr>
        <w:t xml:space="preserve"> </w:t>
      </w:r>
      <w:r>
        <w:t>Kingsford/Maroubra.</w:t>
      </w:r>
      <w:r>
        <w:rPr>
          <w:spacing w:val="-14"/>
        </w:rPr>
        <w:t xml:space="preserve"> </w:t>
      </w:r>
      <w:r>
        <w:t>This</w:t>
      </w:r>
      <w:r>
        <w:rPr>
          <w:spacing w:val="-14"/>
        </w:rPr>
        <w:t xml:space="preserve"> </w:t>
      </w:r>
      <w:r>
        <w:t>is</w:t>
      </w:r>
      <w:r>
        <w:rPr>
          <w:spacing w:val="-14"/>
        </w:rPr>
        <w:t xml:space="preserve"> </w:t>
      </w:r>
      <w:r>
        <w:t>less</w:t>
      </w:r>
      <w:r>
        <w:rPr>
          <w:spacing w:val="-14"/>
        </w:rPr>
        <w:t xml:space="preserve"> </w:t>
      </w:r>
      <w:r>
        <w:t xml:space="preserve">than </w:t>
      </w:r>
      <w:r>
        <w:rPr>
          <w:w w:val="95"/>
        </w:rPr>
        <w:t>half</w:t>
      </w:r>
      <w:r>
        <w:rPr>
          <w:spacing w:val="-4"/>
          <w:w w:val="95"/>
        </w:rPr>
        <w:t xml:space="preserve"> </w:t>
      </w:r>
      <w:r>
        <w:rPr>
          <w:w w:val="95"/>
        </w:rPr>
        <w:t>the</w:t>
      </w:r>
      <w:r>
        <w:rPr>
          <w:spacing w:val="-4"/>
          <w:w w:val="95"/>
        </w:rPr>
        <w:t xml:space="preserve"> </w:t>
      </w:r>
      <w:r>
        <w:rPr>
          <w:w w:val="95"/>
        </w:rPr>
        <w:t>time</w:t>
      </w:r>
      <w:r>
        <w:rPr>
          <w:spacing w:val="-4"/>
          <w:w w:val="95"/>
        </w:rPr>
        <w:t xml:space="preserve"> </w:t>
      </w:r>
      <w:r>
        <w:rPr>
          <w:w w:val="95"/>
        </w:rPr>
        <w:t>for</w:t>
      </w:r>
      <w:r>
        <w:rPr>
          <w:spacing w:val="-4"/>
          <w:w w:val="95"/>
        </w:rPr>
        <w:t xml:space="preserve"> </w:t>
      </w:r>
      <w:r>
        <w:rPr>
          <w:w w:val="95"/>
        </w:rPr>
        <w:t>comparable</w:t>
      </w:r>
      <w:r>
        <w:rPr>
          <w:spacing w:val="-4"/>
          <w:w w:val="95"/>
        </w:rPr>
        <w:t xml:space="preserve"> </w:t>
      </w:r>
      <w:r>
        <w:rPr>
          <w:w w:val="95"/>
        </w:rPr>
        <w:t>bus</w:t>
      </w:r>
      <w:r>
        <w:rPr>
          <w:spacing w:val="-4"/>
          <w:w w:val="95"/>
        </w:rPr>
        <w:t xml:space="preserve"> </w:t>
      </w:r>
      <w:r>
        <w:rPr>
          <w:w w:val="95"/>
        </w:rPr>
        <w:t>services</w:t>
      </w:r>
      <w:r>
        <w:rPr>
          <w:spacing w:val="-4"/>
          <w:w w:val="95"/>
        </w:rPr>
        <w:t xml:space="preserve"> </w:t>
      </w:r>
      <w:r>
        <w:rPr>
          <w:w w:val="95"/>
        </w:rPr>
        <w:t>in</w:t>
      </w:r>
      <w:r>
        <w:rPr>
          <w:spacing w:val="-4"/>
          <w:w w:val="95"/>
        </w:rPr>
        <w:t xml:space="preserve"> </w:t>
      </w:r>
      <w:r>
        <w:rPr>
          <w:w w:val="95"/>
        </w:rPr>
        <w:t>peak</w:t>
      </w:r>
      <w:r>
        <w:rPr>
          <w:spacing w:val="-4"/>
          <w:w w:val="95"/>
        </w:rPr>
        <w:t xml:space="preserve"> </w:t>
      </w:r>
      <w:r>
        <w:rPr>
          <w:w w:val="95"/>
        </w:rPr>
        <w:t>hours.</w:t>
      </w:r>
    </w:p>
    <w:p w:rsidR="002C1123" w:rsidRDefault="00F22F94">
      <w:pPr>
        <w:pStyle w:val="BodyText"/>
        <w:spacing w:before="144" w:line="249" w:lineRule="auto"/>
        <w:ind w:left="492" w:right="61"/>
      </w:pPr>
      <w:r>
        <w:rPr>
          <w:w w:val="95"/>
        </w:rPr>
        <w:t xml:space="preserve">However due to construction time and cost overruns, </w:t>
      </w:r>
      <w:r>
        <w:t>the</w:t>
      </w:r>
      <w:r>
        <w:rPr>
          <w:spacing w:val="-14"/>
        </w:rPr>
        <w:t xml:space="preserve"> </w:t>
      </w:r>
      <w:r>
        <w:t>line</w:t>
      </w:r>
      <w:r>
        <w:rPr>
          <w:spacing w:val="-14"/>
        </w:rPr>
        <w:t xml:space="preserve"> </w:t>
      </w:r>
      <w:r>
        <w:t>that</w:t>
      </w:r>
      <w:r>
        <w:rPr>
          <w:spacing w:val="-14"/>
        </w:rPr>
        <w:t xml:space="preserve"> </w:t>
      </w:r>
      <w:r>
        <w:t>finally</w:t>
      </w:r>
      <w:r>
        <w:rPr>
          <w:spacing w:val="-14"/>
        </w:rPr>
        <w:t xml:space="preserve"> </w:t>
      </w:r>
      <w:r>
        <w:t>opened</w:t>
      </w:r>
      <w:r>
        <w:rPr>
          <w:spacing w:val="-14"/>
        </w:rPr>
        <w:t xml:space="preserve"> </w:t>
      </w:r>
      <w:r>
        <w:t>in</w:t>
      </w:r>
      <w:r>
        <w:rPr>
          <w:spacing w:val="-14"/>
        </w:rPr>
        <w:t xml:space="preserve"> </w:t>
      </w:r>
      <w:r>
        <w:t>1979</w:t>
      </w:r>
      <w:r>
        <w:rPr>
          <w:spacing w:val="-14"/>
        </w:rPr>
        <w:t xml:space="preserve"> </w:t>
      </w:r>
      <w:r>
        <w:t>was</w:t>
      </w:r>
      <w:r>
        <w:rPr>
          <w:spacing w:val="-13"/>
        </w:rPr>
        <w:t xml:space="preserve"> </w:t>
      </w:r>
      <w:r>
        <w:t>truncated</w:t>
      </w:r>
      <w:r>
        <w:rPr>
          <w:spacing w:val="-14"/>
        </w:rPr>
        <w:t xml:space="preserve"> </w:t>
      </w:r>
      <w:r>
        <w:t xml:space="preserve">at </w:t>
      </w:r>
      <w:r>
        <w:rPr>
          <w:w w:val="95"/>
        </w:rPr>
        <w:t xml:space="preserve">Bondi Junction. The southern section was postponed </w:t>
      </w:r>
      <w:r>
        <w:rPr>
          <w:spacing w:val="-2"/>
        </w:rPr>
        <w:t>indefinitely.</w:t>
      </w:r>
    </w:p>
    <w:p w:rsidR="002C1123" w:rsidRDefault="00F22F94">
      <w:pPr>
        <w:pStyle w:val="BodyText"/>
        <w:spacing w:before="145"/>
        <w:ind w:left="492"/>
      </w:pPr>
      <w:r>
        <w:rPr>
          <w:w w:val="95"/>
        </w:rPr>
        <w:t>Thirty</w:t>
      </w:r>
      <w:r>
        <w:rPr>
          <w:spacing w:val="-10"/>
          <w:w w:val="95"/>
        </w:rPr>
        <w:t xml:space="preserve"> </w:t>
      </w:r>
      <w:r>
        <w:rPr>
          <w:w w:val="95"/>
        </w:rPr>
        <w:t>five</w:t>
      </w:r>
      <w:r>
        <w:rPr>
          <w:spacing w:val="-9"/>
          <w:w w:val="95"/>
        </w:rPr>
        <w:t xml:space="preserve"> </w:t>
      </w:r>
      <w:r>
        <w:rPr>
          <w:w w:val="95"/>
        </w:rPr>
        <w:t>years</w:t>
      </w:r>
      <w:r>
        <w:rPr>
          <w:spacing w:val="-10"/>
          <w:w w:val="95"/>
        </w:rPr>
        <w:t xml:space="preserve"> </w:t>
      </w:r>
      <w:r>
        <w:rPr>
          <w:w w:val="95"/>
        </w:rPr>
        <w:t>after</w:t>
      </w:r>
      <w:r>
        <w:rPr>
          <w:spacing w:val="-9"/>
          <w:w w:val="95"/>
        </w:rPr>
        <w:t xml:space="preserve"> </w:t>
      </w:r>
      <w:r>
        <w:rPr>
          <w:w w:val="95"/>
        </w:rPr>
        <w:t>the</w:t>
      </w:r>
      <w:r>
        <w:rPr>
          <w:spacing w:val="-10"/>
          <w:w w:val="95"/>
        </w:rPr>
        <w:t xml:space="preserve"> </w:t>
      </w:r>
      <w:r>
        <w:rPr>
          <w:w w:val="95"/>
        </w:rPr>
        <w:t>truncation</w:t>
      </w:r>
      <w:r>
        <w:rPr>
          <w:spacing w:val="-9"/>
          <w:w w:val="95"/>
        </w:rPr>
        <w:t xml:space="preserve"> </w:t>
      </w:r>
      <w:r>
        <w:rPr>
          <w:w w:val="95"/>
        </w:rPr>
        <w:t>of</w:t>
      </w:r>
      <w:r>
        <w:rPr>
          <w:spacing w:val="-10"/>
          <w:w w:val="95"/>
        </w:rPr>
        <w:t xml:space="preserve"> </w:t>
      </w:r>
      <w:r>
        <w:rPr>
          <w:w w:val="95"/>
        </w:rPr>
        <w:t>the</w:t>
      </w:r>
      <w:r>
        <w:rPr>
          <w:spacing w:val="-9"/>
          <w:w w:val="95"/>
        </w:rPr>
        <w:t xml:space="preserve"> </w:t>
      </w:r>
      <w:r>
        <w:rPr>
          <w:spacing w:val="-4"/>
          <w:w w:val="95"/>
        </w:rPr>
        <w:t>ESR,</w:t>
      </w:r>
    </w:p>
    <w:p w:rsidR="002C1123" w:rsidRDefault="00F22F94">
      <w:pPr>
        <w:pStyle w:val="BodyText"/>
        <w:spacing w:before="10" w:line="249" w:lineRule="auto"/>
        <w:ind w:left="492"/>
      </w:pPr>
      <w:r>
        <w:rPr>
          <w:w w:val="95"/>
        </w:rPr>
        <w:t>South-Eastern</w:t>
      </w:r>
      <w:r>
        <w:rPr>
          <w:spacing w:val="-12"/>
          <w:w w:val="95"/>
        </w:rPr>
        <w:t xml:space="preserve"> </w:t>
      </w:r>
      <w:r>
        <w:rPr>
          <w:w w:val="95"/>
        </w:rPr>
        <w:t>Sydney</w:t>
      </w:r>
      <w:r>
        <w:rPr>
          <w:spacing w:val="-11"/>
          <w:w w:val="95"/>
        </w:rPr>
        <w:t xml:space="preserve"> </w:t>
      </w:r>
      <w:r>
        <w:rPr>
          <w:w w:val="95"/>
        </w:rPr>
        <w:t>remains</w:t>
      </w:r>
      <w:r>
        <w:rPr>
          <w:spacing w:val="-11"/>
          <w:w w:val="95"/>
        </w:rPr>
        <w:t xml:space="preserve"> </w:t>
      </w:r>
      <w:r>
        <w:rPr>
          <w:w w:val="95"/>
        </w:rPr>
        <w:t>relatively</w:t>
      </w:r>
      <w:r>
        <w:rPr>
          <w:spacing w:val="-11"/>
          <w:w w:val="95"/>
        </w:rPr>
        <w:t xml:space="preserve"> </w:t>
      </w:r>
      <w:r>
        <w:rPr>
          <w:w w:val="95"/>
        </w:rPr>
        <w:t>less</w:t>
      </w:r>
      <w:r>
        <w:rPr>
          <w:spacing w:val="-11"/>
          <w:w w:val="95"/>
        </w:rPr>
        <w:t xml:space="preserve"> </w:t>
      </w:r>
      <w:r>
        <w:rPr>
          <w:w w:val="95"/>
        </w:rPr>
        <w:t xml:space="preserve">developed </w:t>
      </w:r>
      <w:r>
        <w:t>than</w:t>
      </w:r>
      <w:r>
        <w:rPr>
          <w:spacing w:val="-9"/>
        </w:rPr>
        <w:t xml:space="preserve"> </w:t>
      </w:r>
      <w:r>
        <w:t>might</w:t>
      </w:r>
      <w:r>
        <w:rPr>
          <w:spacing w:val="-9"/>
        </w:rPr>
        <w:t xml:space="preserve"> </w:t>
      </w:r>
      <w:r>
        <w:t>be</w:t>
      </w:r>
      <w:r>
        <w:rPr>
          <w:spacing w:val="-9"/>
        </w:rPr>
        <w:t xml:space="preserve"> </w:t>
      </w:r>
      <w:r>
        <w:t>expected</w:t>
      </w:r>
      <w:r>
        <w:rPr>
          <w:spacing w:val="-9"/>
        </w:rPr>
        <w:t xml:space="preserve"> </w:t>
      </w:r>
      <w:r>
        <w:t>given</w:t>
      </w:r>
      <w:r>
        <w:rPr>
          <w:spacing w:val="-9"/>
        </w:rPr>
        <w:t xml:space="preserve"> </w:t>
      </w:r>
      <w:r>
        <w:t>its</w:t>
      </w:r>
      <w:r>
        <w:rPr>
          <w:spacing w:val="-9"/>
        </w:rPr>
        <w:t xml:space="preserve"> </w:t>
      </w:r>
      <w:r>
        <w:t>proximity</w:t>
      </w:r>
      <w:r>
        <w:rPr>
          <w:spacing w:val="-9"/>
        </w:rPr>
        <w:t xml:space="preserve"> </w:t>
      </w:r>
      <w:r>
        <w:t>to</w:t>
      </w:r>
      <w:r>
        <w:rPr>
          <w:spacing w:val="-10"/>
        </w:rPr>
        <w:t xml:space="preserve"> </w:t>
      </w:r>
      <w:r>
        <w:t>the</w:t>
      </w:r>
      <w:r>
        <w:rPr>
          <w:spacing w:val="-9"/>
        </w:rPr>
        <w:t xml:space="preserve"> </w:t>
      </w:r>
      <w:r>
        <w:t>CBD and</w:t>
      </w:r>
      <w:r>
        <w:rPr>
          <w:spacing w:val="-7"/>
        </w:rPr>
        <w:t xml:space="preserve"> </w:t>
      </w:r>
      <w:r>
        <w:t>coastal</w:t>
      </w:r>
      <w:r>
        <w:rPr>
          <w:spacing w:val="-8"/>
        </w:rPr>
        <w:t xml:space="preserve"> </w:t>
      </w:r>
      <w:r>
        <w:t>position.</w:t>
      </w:r>
      <w:r>
        <w:rPr>
          <w:spacing w:val="-7"/>
        </w:rPr>
        <w:t xml:space="preserve"> </w:t>
      </w:r>
      <w:r>
        <w:t>The</w:t>
      </w:r>
      <w:r>
        <w:rPr>
          <w:spacing w:val="-8"/>
        </w:rPr>
        <w:t xml:space="preserve"> </w:t>
      </w:r>
      <w:r>
        <w:t>existing</w:t>
      </w:r>
      <w:r>
        <w:rPr>
          <w:spacing w:val="-7"/>
        </w:rPr>
        <w:t xml:space="preserve"> </w:t>
      </w:r>
      <w:r>
        <w:t>apartments</w:t>
      </w:r>
      <w:r>
        <w:rPr>
          <w:spacing w:val="-8"/>
        </w:rPr>
        <w:t xml:space="preserve"> </w:t>
      </w:r>
      <w:r>
        <w:t>growth centre</w:t>
      </w:r>
      <w:r>
        <w:rPr>
          <w:spacing w:val="-14"/>
        </w:rPr>
        <w:t xml:space="preserve"> </w:t>
      </w:r>
      <w:r>
        <w:t>in</w:t>
      </w:r>
      <w:r>
        <w:rPr>
          <w:spacing w:val="-14"/>
        </w:rPr>
        <w:t xml:space="preserve"> </w:t>
      </w:r>
      <w:r>
        <w:t>South</w:t>
      </w:r>
      <w:r>
        <w:rPr>
          <w:spacing w:val="-13"/>
        </w:rPr>
        <w:t xml:space="preserve"> </w:t>
      </w:r>
      <w:r>
        <w:t>Sydney</w:t>
      </w:r>
      <w:r>
        <w:rPr>
          <w:spacing w:val="-14"/>
        </w:rPr>
        <w:t xml:space="preserve"> </w:t>
      </w:r>
      <w:r>
        <w:t>would</w:t>
      </w:r>
      <w:r>
        <w:rPr>
          <w:spacing w:val="-14"/>
        </w:rPr>
        <w:t xml:space="preserve"> </w:t>
      </w:r>
      <w:r>
        <w:t>also</w:t>
      </w:r>
      <w:r>
        <w:rPr>
          <w:spacing w:val="-14"/>
        </w:rPr>
        <w:t xml:space="preserve"> </w:t>
      </w:r>
      <w:r>
        <w:t>be</w:t>
      </w:r>
      <w:r>
        <w:rPr>
          <w:spacing w:val="-13"/>
        </w:rPr>
        <w:t xml:space="preserve"> </w:t>
      </w:r>
      <w:r>
        <w:t>likely</w:t>
      </w:r>
      <w:r>
        <w:rPr>
          <w:spacing w:val="-14"/>
        </w:rPr>
        <w:t xml:space="preserve"> </w:t>
      </w:r>
      <w:r>
        <w:t>to</w:t>
      </w:r>
      <w:r>
        <w:rPr>
          <w:spacing w:val="-14"/>
        </w:rPr>
        <w:t xml:space="preserve"> </w:t>
      </w:r>
      <w:r>
        <w:t>extend East</w:t>
      </w:r>
      <w:r>
        <w:rPr>
          <w:spacing w:val="-10"/>
        </w:rPr>
        <w:t xml:space="preserve"> </w:t>
      </w:r>
      <w:r>
        <w:t>in</w:t>
      </w:r>
      <w:r>
        <w:rPr>
          <w:spacing w:val="-10"/>
        </w:rPr>
        <w:t xml:space="preserve"> </w:t>
      </w:r>
      <w:r>
        <w:t>response</w:t>
      </w:r>
      <w:r>
        <w:rPr>
          <w:spacing w:val="-10"/>
        </w:rPr>
        <w:t xml:space="preserve"> </w:t>
      </w:r>
      <w:r>
        <w:t>to</w:t>
      </w:r>
      <w:r>
        <w:rPr>
          <w:spacing w:val="-10"/>
        </w:rPr>
        <w:t xml:space="preserve"> </w:t>
      </w:r>
      <w:r>
        <w:t>a</w:t>
      </w:r>
      <w:r>
        <w:rPr>
          <w:spacing w:val="-10"/>
        </w:rPr>
        <w:t xml:space="preserve"> </w:t>
      </w:r>
      <w:r>
        <w:t>rail</w:t>
      </w:r>
      <w:r>
        <w:rPr>
          <w:spacing w:val="-10"/>
        </w:rPr>
        <w:t xml:space="preserve"> </w:t>
      </w:r>
      <w:r>
        <w:t>development.</w:t>
      </w:r>
    </w:p>
    <w:p w:rsidR="002C1123" w:rsidRDefault="00F22F94">
      <w:pPr>
        <w:pStyle w:val="Heading6"/>
        <w:ind w:left="232"/>
      </w:pPr>
      <w:r>
        <w:rPr>
          <w:b w:val="0"/>
        </w:rPr>
        <w:br w:type="column"/>
      </w:r>
      <w:r>
        <w:t>Project</w:t>
      </w:r>
      <w:r>
        <w:rPr>
          <w:spacing w:val="-5"/>
        </w:rPr>
        <w:t xml:space="preserve"> </w:t>
      </w:r>
      <w:r>
        <w:rPr>
          <w:spacing w:val="-2"/>
        </w:rPr>
        <w:t>Practicability</w:t>
      </w:r>
    </w:p>
    <w:p w:rsidR="002C1123" w:rsidRDefault="002060EF">
      <w:pPr>
        <w:pStyle w:val="BodyText"/>
        <w:spacing w:before="10"/>
        <w:ind w:left="232"/>
      </w:pPr>
      <w:r>
        <w:pict>
          <v:group id="docshapegroup1463" o:spid="_x0000_s3734" style="position:absolute;left:0;text-align:left;margin-left:550.3pt;margin-top:-10.25pt;width:241.85pt;height:412.55pt;z-index:251416576;mso-position-horizontal-relative:page" coordorigin="11006,-205" coordsize="4837,8251">
            <v:rect id="docshape1464" o:spid="_x0000_s3759" style="position:absolute;left:11045;top:-186;width:4787;height:8221" fillcolor="#e1e0e1" stroked="f"/>
            <v:shape id="docshape1465" o:spid="_x0000_s3758" type="#_x0000_t75" style="position:absolute;left:15131;top:-186;width:192;height:154">
              <v:imagedata r:id="rId164" o:title=""/>
            </v:shape>
            <v:shape id="docshape1466" o:spid="_x0000_s3757" type="#_x0000_t75" style="position:absolute;left:13858;top:212;width:157;height:181">
              <v:imagedata r:id="rId165" o:title=""/>
            </v:shape>
            <v:shape id="docshape1467" o:spid="_x0000_s3756" style="position:absolute;left:11556;top:-186;width:4276;height:8221" coordorigin="11557,-185" coordsize="4276,8221" o:spt="100" adj="0,,0" path="m11801,-185r-234,l11557,-128r223,-32l11801,-185xm15832,7804r-27,41l15755,7913r-53,63l15650,8028r-10,7l15832,8035r,-231xm15832,5414r-17,13l15749,5458r-61,8l15657,5461r-18,6l15621,5511r-18,73l15586,5651r-28,44l15504,5703r-66,-19l15387,5677r-36,27l15334,5788r2,91l15354,5960r25,74l15406,6100r23,60l15468,6222r53,48l15569,6317r20,56l15583,6424r-14,35l15549,6488r-24,34l15505,6564r-16,58l15486,6689r20,68l15557,6820r64,62l15646,6937r-1,62l15632,7086r-22,76l15580,7203r-37,32l15504,7288r-14,55l15508,7394r45,48l15617,7488r78,45l15775,7569r57,22l15832,5703r,-237l15832,5414xm15832,-185r-3887,l11949,-171r21,32l11998,-98r27,55l12035,18r-6,57l12020,135r5,67l12040,265r21,43l12095,327r57,-8l12225,284r66,-52l12341,171r24,-65l12372,42r9,-57l12398,-54r31,-10l12463,-49r22,29l12499,18r10,46l12520,119r10,62l12531,236r-17,35l12483,303r-33,47l12419,400r-22,41l12373,470r-32,26l12311,524r-15,34l12292,594r-4,31l12284,658r-4,39l12273,742r-11,43l12253,817r-5,13l12291,835r154,-277l12488,585r-149,277l12403,867r68,-82l12512,731r28,-50l12573,611r21,-53l12617,500r45,-132l12697,259r14,-46l12742,241r18,20l12770,280r10,28l12801,335r30,7l12857,329r8,-37l12857,236r-3,-23l12846,154r-4,-91l12854,-24r23,-40l12892,-91r62,-48l13006,-159r42,5l13083,-128r3,51l13051,-10r-45,66l12982,101r-2,43l12979,213r,46l12979,342r1,93l12983,530r5,64l12988,601r-1,48l12972,682r-23,23l12924,728r-21,39l12895,818r15,50l12961,904r61,13l13064,919r27,3l13110,941r19,26l13152,985r22,18l13190,1032r3,39l13180,1114r-28,41l13110,1191r-41,27l13018,1254r-47,41l12941,1338r1,41l12988,1415r75,25l13142,1453r76,-1l13288,1437r56,-30l13381,1362r36,-63l13454,1237r31,-66l13501,1099r-8,-83l13470,932r-19,-72l13443,801r12,-45l13493,728r66,-19l13638,688r80,-23l13786,642r42,-25l13859,601r25,9l13901,638r7,37l13919,710r26,29l13973,768r20,35l13997,850r-7,58l13976,975r-15,73l13962,1127r30,65l14043,1243r62,32l14171,1289r62,-7l14288,1253r12,-30l14291,1194r-11,-29l14284,1139r16,-19l14324,1108r31,-2l14394,1101r51,-23l14498,1040r48,-51l14582,930r16,-63l14593,804r-31,-59l14530,690r-11,-54l14522,601r1,-17l14536,532r24,-49l14594,442r30,-28l14637,404r89,-46l14776,334r26,-8l14823,324r11,21l14833,383r,7l14839,430r32,11l14932,421r66,-31l15053,354r21,-30l15078,319r17,-11l15125,327r28,31l15163,383r-15,24l15117,441r-33,39l15062,516r-15,35l15026,589r-24,36l14977,654r-26,40l14925,751r-20,51l14897,824r65,97l15017,976r75,35l15217,1048r143,31l15467,1091r67,1l15557,1090r3,-46l15562,1016r3,-18l15568,979r34,-29l15673,919r70,-26l15775,883r57,44l15832,883r,-575l15832,-159r,-26xe" fillcolor="#e1f4fd" stroked="f">
              <v:stroke joinstyle="round"/>
              <v:formulas/>
              <v:path arrowok="t" o:connecttype="segments"/>
            </v:shape>
            <v:shape id="docshape1468" o:spid="_x0000_s3755" style="position:absolute;left:11045;top:106;width:4787;height:7929" coordorigin="11046,106" coordsize="4787,7929" o:spt="100" adj="0,,0" path="m12200,7267r110,103l12372,7423r40,19l12452,7445r41,13l12526,7493r34,51l12601,7605r47,61l12694,7724r41,54l12771,7828r33,33l12844,7876r54,15l12973,7924r51,38l13049,7997r20,30l13081,8035m11420,7605r85,-139l11755,7461r239,-186l12045,7272r34,-2l12114,7270r50,l12209,7265r19,-11l12239,7240r21,-13l12312,7225r72,13l12449,7253r28,7m12385,8035r56,-101l12484,7126r-224,-64l12260,6950r2,-65l12265,6842r6,-46l12265,6754r-26,-26l12205,6705r-30,-37l12166,6567r10,-161l12192,6257r9,-65m11782,8035r-11,-16l11748,7986r-28,-31l11693,7918r-23,-48l11650,7821r-20,-40l11607,7749r-28,-27l11515,7673r-68,-41l11376,7596r-76,-38l11218,7514r-94,-51l11053,7422r-7,-4m15094,6495r175,-1134l15358,4767r30,-251l15387,4415r-16,-54l15340,4326r-44,-27l15243,4272r-35,-37l15202,4197r8,-30l15217,4155m11749,173r-154,-22l11400,130r-168,-17l11161,106t1275,7929l12435,8034r-44,-32l12333,7969r-68,-33l12200,7906r-64,-44l12067,7788r-60,-84l11962,7639r-43,-58l11865,7522r-109,-84l11599,7336r-141,-86l11397,7213r-192,18l11095,7232r-49,-14m13997,4075r103,105l14160,4233r38,20l14238,4256r41,13l14312,4304r34,50l14387,4415r47,62l14480,4535r41,54l14557,4639r33,33l14630,4687r54,15l14759,4735r51,37l14835,4808r20,30l14890,4860r71,13l15045,4881r87,13l15219,4910r82,16l15373,4939r56,8l15496,4952r60,2l15613,4958r61,11l15748,4994r80,36l15832,5031m12121,989r-44,20l12051,1028r-17,29l12014,1106r-28,154l11954,1516r-25,239l11918,1861r157,126m11525,3906r-93,120l11379,4091r-34,33l11312,4149r-44,32l11216,4219r-60,43l11088,4309r-42,33m12918,8035r6,-46l12937,7917r17,-77l12977,7760r27,-84l13032,7600r32,-81l13098,7437r31,-78l13157,7289r19,-59l13184,7187r-3,-69l13166,7036r-19,-87l13131,6862r-4,-24l13119,6797r-12,-54l13093,6676r-17,-78l13056,6511r-21,-95l13013,6316r-24,-104l12965,6105r-24,-107l12917,5892r-24,-104l12871,5689r-21,-93l12830,5511r-17,-76l12799,5371r-12,-52l12779,5282r-4,-21l12760,5196r-20,-63l12717,5079r-27,-41l12657,5002r-37,-41l12590,4917r-12,-44l12582,4824r10,-86l12605,4629r15,-115l12634,4408r9,-83l12647,4282r-5,-37l12627,4200r-20,-45l12583,4117r-24,-56l12536,3973r-20,-97l12504,3793r-5,-37l12490,3698r-12,-76l12464,3534r-16,-97l12431,3336r-18,-101l12396,3139r-16,-88l12366,2977r-11,-57l12309,2768r-64,-170l12188,2461r-25,-57m13924,8035r-37,-171l13786,7391r-38,-189l13743,7144r-5,-49l13724,7014r-20,-97l13681,6817r-24,-89l13637,6665r-43,-55l13533,6574r-65,-25l13413,6527r-51,-42l13302,6421r-59,-69l13195,6298r-56,-46l13066,6201r-62,-40l12977,6144t865,-1141l13909,5236r42,128l13985,5430r45,49l14055,5497r32,12l14124,5517r39,5l14203,5525r39,4l14281,5540r37,24l14361,5591r56,19l14484,5626r73,18l14701,5674r218,40l15118,5748r88,15m15335,8035r-58,-43l15232,7957r-22,-19l15195,7921r-47,-45l15065,7804r-79,-67l14950,7708r-46,-3l14876,7705r-20,2l14833,7713r-31,16l14766,7757r-36,34l14695,7825r-35,28l14618,7871r-45,7l14525,7873r-260,-50l13755,7729r-498,-91l13033,7597t1822,438l14856,8010r2,-82l14860,7873r18,-67l14914,7745r41,-46l14988,7676r55,-28l15136,7596r92,-54l15280,7511r11,-34l15299,7401r7,-104l15310,7183r3,-108l15314,6989r-2,-47l15286,6890r-53,-67l15177,6757r-35,-49l15134,6670r3,-39l15144,6593r4,-34l15136,6530r-28,-22l15071,6495r-35,-5l15008,6494r-23,9l14956,6512r-43,4l14869,6506r-33,-25l14812,6447r-21,-37l14764,6382r-36,-17l14689,6358r-36,-1l14372,6322r-576,-77l13228,6168r-256,-35m15832,4049r-37,-25l15751,4013r-46,4l15658,4032r-52,20l15551,4069r-52,7l15456,4070r-32,-4l15398,4083r-27,28l15339,4144r-38,20l15265,4168r-27,-5l15227,4160r-53,-38l15142,4099r-24,-20l15089,4053r-29,-22l15041,4019r-15,-16l15009,3968r-25,-53l14954,3857r-29,-50l14903,3777r-23,-21l14850,3729r-24,-31l14818,3665r3,-33l14823,3598r-2,-31l14812,3543r-16,-30l14777,3474r-16,-34l14754,3426r-792,-110m13200,4426r91,-149l13541,4272r239,-187l13831,4082r34,-1l13900,4080r51,l13995,4076r19,-11l14025,4051r21,-13l14097,4036r69,12l14227,4062r27,8l14892,4165r170,-1053m12514,3830r41,12l12581,3843r22,-12l12631,3803r30,-34l12710,3706r61,-80l12837,3538r64,-87l12957,3375r40,-56l13014,3293r11,-35l13037,3202r10,-52l13051,3128r197,-272l13317,2794m11046,5994r83,13l11219,6021r81,12l11369,6044r56,8l11465,6057r23,2l11553,6062r48,4l11639,6076r35,20l11712,6120r42,18l11799,6151r50,9l11925,6167r104,7l12131,6182r70,10l12253,6204r78,16l12421,6235r87,11l12578,6251r72,-3l12739,6240r90,-11l12901,6216r39,-13l12958,6184r13,-19l12979,6150r3,-6m13974,5384r93,-352l14227,4745r43,-809l14046,3873r,-112l14048,3696r3,-43l14057,3607r-6,-43l14025,3539r-34,-24l13961,3479r-3,-119l13981,3162r29,-186l14025,2894r-122,-68l13655,1809e" filled="f" strokecolor="#c9c8c9" strokeweight="1pt">
              <v:stroke joinstyle="round"/>
              <v:formulas/>
              <v:path arrowok="t" o:connecttype="segments"/>
            </v:shape>
            <v:shape id="docshape1469" o:spid="_x0000_s3754" style="position:absolute;left:11045;top:-186;width:249;height:590" coordorigin="11046,-185" coordsize="249,590" path="m11046,404r33,-91l11113,223r36,-89l11186,48r36,-80l11270,-136r24,-49e" filled="f" strokecolor="#c9c8c9" strokeweight="2pt">
              <v:path arrowok="t"/>
            </v:shape>
            <v:shape id="docshape1470" o:spid="_x0000_s3753" type="#_x0000_t75" style="position:absolute;left:11005;top:-206;width:4837;height:8241">
              <v:imagedata r:id="rId166" o:title=""/>
            </v:shape>
            <v:shape id="docshape1471" o:spid="_x0000_s3752" type="#_x0000_t202" style="position:absolute;left:11145;top:-125;width:3554;height:479" filled="f" stroked="f">
              <v:textbox inset="0,0,0,0">
                <w:txbxContent>
                  <w:p w:rsidR="00F22F94" w:rsidRDefault="00F22F94">
                    <w:pPr>
                      <w:spacing w:before="3" w:line="249" w:lineRule="auto"/>
                      <w:ind w:left="1043" w:hanging="1044"/>
                      <w:rPr>
                        <w:b/>
                        <w:sz w:val="20"/>
                      </w:rPr>
                    </w:pPr>
                    <w:r>
                      <w:rPr>
                        <w:b/>
                        <w:sz w:val="20"/>
                      </w:rPr>
                      <w:t>Figure</w:t>
                    </w:r>
                    <w:r>
                      <w:rPr>
                        <w:b/>
                        <w:spacing w:val="-12"/>
                        <w:sz w:val="20"/>
                      </w:rPr>
                      <w:t xml:space="preserve"> </w:t>
                    </w:r>
                    <w:r>
                      <w:rPr>
                        <w:b/>
                        <w:sz w:val="20"/>
                      </w:rPr>
                      <w:t>8.3</w:t>
                    </w:r>
                    <w:r>
                      <w:rPr>
                        <w:b/>
                        <w:spacing w:val="31"/>
                        <w:sz w:val="20"/>
                      </w:rPr>
                      <w:t xml:space="preserve"> </w:t>
                    </w:r>
                    <w:r>
                      <w:rPr>
                        <w:b/>
                        <w:sz w:val="20"/>
                      </w:rPr>
                      <w:t>Potential</w:t>
                    </w:r>
                    <w:r>
                      <w:rPr>
                        <w:b/>
                        <w:spacing w:val="-12"/>
                        <w:sz w:val="20"/>
                      </w:rPr>
                      <w:t xml:space="preserve"> </w:t>
                    </w:r>
                    <w:r>
                      <w:rPr>
                        <w:b/>
                        <w:sz w:val="20"/>
                      </w:rPr>
                      <w:t>Eastern</w:t>
                    </w:r>
                    <w:r>
                      <w:rPr>
                        <w:b/>
                        <w:spacing w:val="-12"/>
                        <w:sz w:val="20"/>
                      </w:rPr>
                      <w:t xml:space="preserve"> </w:t>
                    </w:r>
                    <w:r>
                      <w:rPr>
                        <w:b/>
                        <w:sz w:val="20"/>
                      </w:rPr>
                      <w:t>Suburbs Railway Extension</w:t>
                    </w:r>
                  </w:p>
                </w:txbxContent>
              </v:textbox>
            </v:shape>
            <v:shape id="docshape1472" o:spid="_x0000_s3751" type="#_x0000_t202" style="position:absolute;left:11137;top:498;width:904;height:226" filled="f" stroked="f">
              <v:textbox inset="0,0,0,0">
                <w:txbxContent>
                  <w:p w:rsidR="00F22F94" w:rsidRDefault="00F22F94">
                    <w:pPr>
                      <w:spacing w:line="226" w:lineRule="exact"/>
                      <w:rPr>
                        <w:sz w:val="20"/>
                      </w:rPr>
                    </w:pPr>
                    <w:r>
                      <w:rPr>
                        <w:w w:val="80"/>
                        <w:sz w:val="20"/>
                      </w:rPr>
                      <w:t>Martin</w:t>
                    </w:r>
                    <w:r>
                      <w:rPr>
                        <w:spacing w:val="-3"/>
                        <w:sz w:val="20"/>
                      </w:rPr>
                      <w:t xml:space="preserve"> </w:t>
                    </w:r>
                    <w:r>
                      <w:rPr>
                        <w:spacing w:val="-2"/>
                        <w:w w:val="80"/>
                        <w:sz w:val="20"/>
                      </w:rPr>
                      <w:t>Place</w:t>
                    </w:r>
                  </w:p>
                </w:txbxContent>
              </v:textbox>
            </v:shape>
            <v:shape id="docshape1473" o:spid="_x0000_s3750" type="#_x0000_t202" style="position:absolute;left:12209;top:493;width:696;height:302" filled="f" stroked="f">
              <v:textbox inset="0,0,0,0">
                <w:txbxContent>
                  <w:p w:rsidR="00F22F94" w:rsidRDefault="00F22F94">
                    <w:pPr>
                      <w:spacing w:before="3" w:line="298" w:lineRule="exact"/>
                      <w:rPr>
                        <w:sz w:val="26"/>
                      </w:rPr>
                    </w:pPr>
                    <w:r>
                      <w:rPr>
                        <w:color w:val="737577"/>
                        <w:spacing w:val="-2"/>
                        <w:w w:val="80"/>
                        <w:sz w:val="26"/>
                      </w:rPr>
                      <w:t>Sydney</w:t>
                    </w:r>
                  </w:p>
                </w:txbxContent>
              </v:textbox>
            </v:shape>
            <v:shape id="docshape1474" o:spid="_x0000_s3749" type="#_x0000_t202" style="position:absolute;left:11419;top:1035;width:533;height:1270" filled="f" stroked="f">
              <v:textbox inset="0,0,0,0">
                <w:txbxContent>
                  <w:p w:rsidR="00F22F94" w:rsidRDefault="00F22F94">
                    <w:pPr>
                      <w:spacing w:before="22" w:line="208" w:lineRule="auto"/>
                      <w:ind w:left="68" w:right="146" w:hanging="52"/>
                      <w:rPr>
                        <w:sz w:val="20"/>
                      </w:rPr>
                    </w:pPr>
                    <w:r>
                      <w:rPr>
                        <w:spacing w:val="-4"/>
                        <w:w w:val="75"/>
                        <w:sz w:val="20"/>
                      </w:rPr>
                      <w:t>Town</w:t>
                    </w:r>
                    <w:r>
                      <w:rPr>
                        <w:spacing w:val="-4"/>
                        <w:w w:val="85"/>
                        <w:sz w:val="20"/>
                      </w:rPr>
                      <w:t xml:space="preserve"> Hall</w:t>
                    </w:r>
                  </w:p>
                  <w:p w:rsidR="00F22F94" w:rsidRDefault="00F22F94">
                    <w:pPr>
                      <w:spacing w:before="190" w:line="232" w:lineRule="auto"/>
                      <w:ind w:left="96" w:right="15" w:firstLine="36"/>
                      <w:rPr>
                        <w:sz w:val="16"/>
                      </w:rPr>
                    </w:pPr>
                    <w:r>
                      <w:rPr>
                        <w:color w:val="737577"/>
                        <w:spacing w:val="-2"/>
                        <w:w w:val="85"/>
                        <w:sz w:val="16"/>
                      </w:rPr>
                      <w:t>Taylor</w:t>
                    </w:r>
                    <w:r>
                      <w:rPr>
                        <w:color w:val="737577"/>
                        <w:sz w:val="16"/>
                      </w:rPr>
                      <w:t xml:space="preserve"> </w:t>
                    </w:r>
                    <w:r>
                      <w:rPr>
                        <w:color w:val="737577"/>
                        <w:spacing w:val="-2"/>
                        <w:w w:val="80"/>
                        <w:sz w:val="16"/>
                      </w:rPr>
                      <w:t>Square</w:t>
                    </w:r>
                  </w:p>
                  <w:p w:rsidR="00F22F94" w:rsidRDefault="00F22F94">
                    <w:pPr>
                      <w:spacing w:before="72" w:line="228" w:lineRule="exact"/>
                      <w:rPr>
                        <w:sz w:val="20"/>
                      </w:rPr>
                    </w:pPr>
                    <w:r>
                      <w:rPr>
                        <w:spacing w:val="-2"/>
                        <w:w w:val="80"/>
                        <w:sz w:val="20"/>
                      </w:rPr>
                      <w:t>Central</w:t>
                    </w:r>
                  </w:p>
                </w:txbxContent>
              </v:textbox>
            </v:shape>
            <v:shape id="docshape1475" o:spid="_x0000_s3748" type="#_x0000_t202" style="position:absolute;left:12427;top:1087;width:856;height:226" filled="f" stroked="f">
              <v:textbox inset="0,0,0,0">
                <w:txbxContent>
                  <w:p w:rsidR="00F22F94" w:rsidRDefault="00F22F94">
                    <w:pPr>
                      <w:spacing w:line="226" w:lineRule="exact"/>
                      <w:rPr>
                        <w:sz w:val="20"/>
                      </w:rPr>
                    </w:pPr>
                    <w:r>
                      <w:rPr>
                        <w:w w:val="75"/>
                        <w:sz w:val="20"/>
                      </w:rPr>
                      <w:t>Kings</w:t>
                    </w:r>
                    <w:r>
                      <w:rPr>
                        <w:spacing w:val="2"/>
                        <w:sz w:val="20"/>
                      </w:rPr>
                      <w:t xml:space="preserve"> </w:t>
                    </w:r>
                    <w:r>
                      <w:rPr>
                        <w:spacing w:val="-2"/>
                        <w:w w:val="80"/>
                        <w:sz w:val="20"/>
                      </w:rPr>
                      <w:t>Cross</w:t>
                    </w:r>
                  </w:p>
                </w:txbxContent>
              </v:textbox>
            </v:shape>
            <v:shape id="docshape1476" o:spid="_x0000_s3747" type="#_x0000_t202" style="position:absolute;left:13493;top:1349;width:1776;height:701" filled="f" stroked="f">
              <v:textbox inset="0,0,0,0">
                <w:txbxContent>
                  <w:p w:rsidR="00F22F94" w:rsidRDefault="00F22F94">
                    <w:pPr>
                      <w:spacing w:before="4" w:line="180" w:lineRule="exact"/>
                      <w:ind w:left="524"/>
                      <w:rPr>
                        <w:sz w:val="16"/>
                      </w:rPr>
                    </w:pPr>
                    <w:r>
                      <w:rPr>
                        <w:color w:val="737577"/>
                        <w:w w:val="80"/>
                        <w:sz w:val="16"/>
                      </w:rPr>
                      <w:t>Double</w:t>
                    </w:r>
                    <w:r>
                      <w:rPr>
                        <w:color w:val="737577"/>
                        <w:spacing w:val="-1"/>
                        <w:w w:val="90"/>
                        <w:sz w:val="16"/>
                      </w:rPr>
                      <w:t xml:space="preserve"> </w:t>
                    </w:r>
                    <w:r>
                      <w:rPr>
                        <w:color w:val="737577"/>
                        <w:spacing w:val="-5"/>
                        <w:w w:val="90"/>
                        <w:sz w:val="16"/>
                      </w:rPr>
                      <w:t>Bay</w:t>
                    </w:r>
                  </w:p>
                  <w:p w:rsidR="00F22F94" w:rsidRDefault="00F22F94">
                    <w:pPr>
                      <w:spacing w:line="226" w:lineRule="exact"/>
                      <w:rPr>
                        <w:sz w:val="20"/>
                      </w:rPr>
                    </w:pPr>
                    <w:r>
                      <w:rPr>
                        <w:spacing w:val="-2"/>
                        <w:w w:val="90"/>
                        <w:sz w:val="20"/>
                      </w:rPr>
                      <w:t>Edgecliff</w:t>
                    </w:r>
                  </w:p>
                  <w:p w:rsidR="00F22F94" w:rsidRDefault="00F22F94">
                    <w:pPr>
                      <w:spacing w:before="105"/>
                      <w:ind w:left="1044"/>
                      <w:rPr>
                        <w:sz w:val="16"/>
                      </w:rPr>
                    </w:pPr>
                    <w:r>
                      <w:rPr>
                        <w:color w:val="737577"/>
                        <w:w w:val="80"/>
                        <w:sz w:val="16"/>
                      </w:rPr>
                      <w:t>Bellevue</w:t>
                    </w:r>
                    <w:r>
                      <w:rPr>
                        <w:color w:val="737577"/>
                        <w:spacing w:val="-1"/>
                        <w:w w:val="90"/>
                        <w:sz w:val="16"/>
                      </w:rPr>
                      <w:t xml:space="preserve"> </w:t>
                    </w:r>
                    <w:r>
                      <w:rPr>
                        <w:color w:val="737577"/>
                        <w:spacing w:val="-4"/>
                        <w:w w:val="90"/>
                        <w:sz w:val="16"/>
                      </w:rPr>
                      <w:t>Hill</w:t>
                    </w:r>
                  </w:p>
                </w:txbxContent>
              </v:textbox>
            </v:shape>
            <v:shape id="docshape1477" o:spid="_x0000_s3746" type="#_x0000_t202" style="position:absolute;left:12288;top:2355;width:683;height:189" filled="f" stroked="f">
              <v:textbox inset="0,0,0,0">
                <w:txbxContent>
                  <w:p w:rsidR="00F22F94" w:rsidRDefault="00F22F94">
                    <w:pPr>
                      <w:spacing w:before="4"/>
                      <w:rPr>
                        <w:sz w:val="16"/>
                      </w:rPr>
                    </w:pPr>
                    <w:r>
                      <w:rPr>
                        <w:color w:val="737577"/>
                        <w:spacing w:val="-2"/>
                        <w:w w:val="80"/>
                        <w:sz w:val="16"/>
                      </w:rPr>
                      <w:t>Paddington</w:t>
                    </w:r>
                  </w:p>
                </w:txbxContent>
              </v:textbox>
            </v:shape>
            <v:shape id="docshape1478" o:spid="_x0000_s3745" type="#_x0000_t202" style="position:absolute;left:11156;top:2990;width:1168;height:506" filled="f" stroked="f">
              <v:textbox inset="0,0,0,0">
                <w:txbxContent>
                  <w:p w:rsidR="00F22F94" w:rsidRDefault="00F22F94">
                    <w:pPr>
                      <w:spacing w:before="19" w:line="192" w:lineRule="auto"/>
                      <w:rPr>
                        <w:sz w:val="20"/>
                      </w:rPr>
                    </w:pPr>
                    <w:r>
                      <w:rPr>
                        <w:color w:val="737577"/>
                        <w:w w:val="85"/>
                        <w:sz w:val="16"/>
                      </w:rPr>
                      <w:t>Surry</w:t>
                    </w:r>
                    <w:r>
                      <w:rPr>
                        <w:color w:val="737577"/>
                        <w:spacing w:val="-5"/>
                        <w:w w:val="85"/>
                        <w:sz w:val="16"/>
                      </w:rPr>
                      <w:t xml:space="preserve"> </w:t>
                    </w:r>
                    <w:r>
                      <w:rPr>
                        <w:color w:val="737577"/>
                        <w:w w:val="85"/>
                        <w:sz w:val="16"/>
                      </w:rPr>
                      <w:t>Hills</w:t>
                    </w:r>
                    <w:r>
                      <w:rPr>
                        <w:color w:val="737577"/>
                        <w:spacing w:val="32"/>
                        <w:sz w:val="16"/>
                      </w:rPr>
                      <w:t xml:space="preserve"> </w:t>
                    </w:r>
                    <w:r>
                      <w:rPr>
                        <w:spacing w:val="-4"/>
                        <w:w w:val="80"/>
                        <w:position w:val="-10"/>
                        <w:sz w:val="20"/>
                      </w:rPr>
                      <w:t>Moore</w:t>
                    </w:r>
                  </w:p>
                  <w:p w:rsidR="00F22F94" w:rsidRDefault="00F22F94">
                    <w:pPr>
                      <w:spacing w:before="2" w:line="228" w:lineRule="exact"/>
                      <w:ind w:left="761"/>
                      <w:rPr>
                        <w:sz w:val="20"/>
                      </w:rPr>
                    </w:pPr>
                    <w:r>
                      <w:rPr>
                        <w:spacing w:val="-4"/>
                        <w:w w:val="90"/>
                        <w:sz w:val="20"/>
                      </w:rPr>
                      <w:t>Park</w:t>
                    </w:r>
                  </w:p>
                </w:txbxContent>
              </v:textbox>
            </v:shape>
            <v:shape id="docshape1479" o:spid="_x0000_s3744" type="#_x0000_t202" style="position:absolute;left:12630;top:2707;width:2795;height:1476" filled="f" stroked="f">
              <v:textbox inset="0,0,0,0">
                <w:txbxContent>
                  <w:p w:rsidR="00F22F94" w:rsidRDefault="00F22F94">
                    <w:pPr>
                      <w:spacing w:before="2" w:line="178" w:lineRule="exact"/>
                      <w:rPr>
                        <w:sz w:val="16"/>
                      </w:rPr>
                    </w:pPr>
                    <w:r>
                      <w:rPr>
                        <w:color w:val="FFFFFF"/>
                        <w:w w:val="80"/>
                        <w:sz w:val="16"/>
                      </w:rPr>
                      <w:t>Anzac</w:t>
                    </w:r>
                    <w:r>
                      <w:rPr>
                        <w:color w:val="FFFFFF"/>
                        <w:spacing w:val="6"/>
                        <w:sz w:val="16"/>
                      </w:rPr>
                      <w:t xml:space="preserve"> </w:t>
                    </w:r>
                    <w:r>
                      <w:rPr>
                        <w:color w:val="FFFFFF"/>
                        <w:spacing w:val="-2"/>
                        <w:w w:val="95"/>
                        <w:sz w:val="16"/>
                      </w:rPr>
                      <w:t>Parade</w:t>
                    </w:r>
                  </w:p>
                  <w:p w:rsidR="00F22F94" w:rsidRDefault="00F22F94">
                    <w:pPr>
                      <w:tabs>
                        <w:tab w:val="left" w:pos="2175"/>
                      </w:tabs>
                      <w:spacing w:line="210" w:lineRule="exact"/>
                      <w:ind w:left="130"/>
                      <w:rPr>
                        <w:sz w:val="20"/>
                      </w:rPr>
                    </w:pPr>
                    <w:r>
                      <w:rPr>
                        <w:color w:val="FFFFFF"/>
                        <w:w w:val="85"/>
                        <w:sz w:val="16"/>
                      </w:rPr>
                      <w:t>Light</w:t>
                    </w:r>
                    <w:r>
                      <w:rPr>
                        <w:color w:val="FFFFFF"/>
                        <w:spacing w:val="-1"/>
                        <w:sz w:val="16"/>
                      </w:rPr>
                      <w:t xml:space="preserve"> </w:t>
                    </w:r>
                    <w:r>
                      <w:rPr>
                        <w:color w:val="FFFFFF"/>
                        <w:spacing w:val="-4"/>
                        <w:w w:val="90"/>
                        <w:sz w:val="16"/>
                      </w:rPr>
                      <w:t>Rail</w:t>
                    </w:r>
                    <w:r>
                      <w:rPr>
                        <w:color w:val="FFFFFF"/>
                        <w:sz w:val="16"/>
                      </w:rPr>
                      <w:tab/>
                    </w:r>
                    <w:r>
                      <w:rPr>
                        <w:spacing w:val="-2"/>
                        <w:w w:val="90"/>
                        <w:position w:val="-2"/>
                        <w:sz w:val="20"/>
                      </w:rPr>
                      <w:t>Bondi</w:t>
                    </w:r>
                  </w:p>
                  <w:p w:rsidR="00F22F94" w:rsidRDefault="00F22F94">
                    <w:pPr>
                      <w:spacing w:line="215" w:lineRule="exact"/>
                      <w:ind w:left="2175"/>
                      <w:rPr>
                        <w:sz w:val="20"/>
                      </w:rPr>
                    </w:pPr>
                    <w:r>
                      <w:rPr>
                        <w:spacing w:val="-2"/>
                        <w:w w:val="80"/>
                        <w:sz w:val="20"/>
                      </w:rPr>
                      <w:t>Junction</w:t>
                    </w:r>
                  </w:p>
                  <w:p w:rsidR="00F22F94" w:rsidRDefault="00F22F94"/>
                  <w:p w:rsidR="00F22F94" w:rsidRDefault="00F22F94">
                    <w:pPr>
                      <w:spacing w:before="134" w:line="228" w:lineRule="auto"/>
                      <w:ind w:left="1132" w:firstLine="69"/>
                    </w:pPr>
                    <w:r>
                      <w:rPr>
                        <w:color w:val="FFFFFF"/>
                        <w:w w:val="85"/>
                      </w:rPr>
                      <w:t>Eastern Suburbs Railway</w:t>
                    </w:r>
                    <w:r>
                      <w:rPr>
                        <w:color w:val="FFFFFF"/>
                        <w:spacing w:val="-4"/>
                      </w:rPr>
                      <w:t xml:space="preserve"> </w:t>
                    </w:r>
                    <w:r>
                      <w:rPr>
                        <w:color w:val="FFFFFF"/>
                        <w:spacing w:val="-2"/>
                        <w:w w:val="85"/>
                      </w:rPr>
                      <w:t>Extension</w:t>
                    </w:r>
                  </w:p>
                </w:txbxContent>
              </v:textbox>
            </v:shape>
            <v:shape id="docshape1480" o:spid="_x0000_s3743" type="#_x0000_t202" style="position:absolute;left:11086;top:4201;width:1096;height:1213" filled="f" stroked="f">
              <v:textbox inset="0,0,0,0">
                <w:txbxContent>
                  <w:p w:rsidR="00F22F94" w:rsidRDefault="00F22F94">
                    <w:pPr>
                      <w:spacing w:before="4"/>
                      <w:ind w:left="164" w:right="191"/>
                      <w:jc w:val="center"/>
                      <w:rPr>
                        <w:sz w:val="16"/>
                      </w:rPr>
                    </w:pPr>
                    <w:r>
                      <w:rPr>
                        <w:color w:val="737577"/>
                        <w:spacing w:val="-2"/>
                        <w:w w:val="90"/>
                        <w:sz w:val="16"/>
                      </w:rPr>
                      <w:t>Kensington</w:t>
                    </w:r>
                  </w:p>
                  <w:p w:rsidR="00F22F94" w:rsidRDefault="00F22F94">
                    <w:pPr>
                      <w:rPr>
                        <w:sz w:val="18"/>
                      </w:rPr>
                    </w:pPr>
                  </w:p>
                  <w:p w:rsidR="00F22F94" w:rsidRDefault="00F22F94">
                    <w:pPr>
                      <w:spacing w:before="152" w:line="208" w:lineRule="auto"/>
                      <w:ind w:right="18" w:hanging="1"/>
                      <w:jc w:val="center"/>
                    </w:pPr>
                    <w:r>
                      <w:rPr>
                        <w:spacing w:val="-2"/>
                        <w:w w:val="90"/>
                      </w:rPr>
                      <w:t xml:space="preserve">Existing apartments </w:t>
                    </w:r>
                    <w:r>
                      <w:rPr>
                        <w:w w:val="80"/>
                      </w:rPr>
                      <w:t>growth</w:t>
                    </w:r>
                    <w:r>
                      <w:rPr>
                        <w:spacing w:val="-11"/>
                      </w:rPr>
                      <w:t xml:space="preserve"> </w:t>
                    </w:r>
                    <w:r>
                      <w:rPr>
                        <w:spacing w:val="-2"/>
                        <w:w w:val="80"/>
                      </w:rPr>
                      <w:t>centre</w:t>
                    </w:r>
                  </w:p>
                </w:txbxContent>
              </v:textbox>
            </v:shape>
            <v:shape id="docshape1481" o:spid="_x0000_s3742" type="#_x0000_t202" style="position:absolute;left:12905;top:5297;width:697;height:426" filled="f" stroked="f">
              <v:textbox inset="0,0,0,0">
                <w:txbxContent>
                  <w:p w:rsidR="00F22F94" w:rsidRDefault="00F22F94">
                    <w:pPr>
                      <w:spacing w:before="22" w:line="208" w:lineRule="auto"/>
                      <w:ind w:left="73" w:hanging="74"/>
                      <w:rPr>
                        <w:sz w:val="20"/>
                      </w:rPr>
                    </w:pPr>
                    <w:r>
                      <w:rPr>
                        <w:spacing w:val="-2"/>
                        <w:w w:val="75"/>
                        <w:sz w:val="20"/>
                      </w:rPr>
                      <w:t>University</w:t>
                    </w:r>
                    <w:r>
                      <w:rPr>
                        <w:w w:val="75"/>
                        <w:sz w:val="20"/>
                      </w:rPr>
                      <w:t xml:space="preserve"> </w:t>
                    </w:r>
                    <w:r>
                      <w:rPr>
                        <w:w w:val="85"/>
                        <w:sz w:val="20"/>
                      </w:rPr>
                      <w:t>of</w:t>
                    </w:r>
                    <w:r>
                      <w:rPr>
                        <w:spacing w:val="-6"/>
                        <w:w w:val="85"/>
                        <w:sz w:val="20"/>
                      </w:rPr>
                      <w:t xml:space="preserve"> </w:t>
                    </w:r>
                    <w:r>
                      <w:rPr>
                        <w:w w:val="85"/>
                        <w:sz w:val="20"/>
                      </w:rPr>
                      <w:t>NSW</w:t>
                    </w:r>
                  </w:p>
                </w:txbxContent>
              </v:textbox>
            </v:shape>
            <v:shape id="docshape1482" o:spid="_x0000_s3741" type="#_x0000_t202" style="position:absolute;left:14082;top:5266;width:701;height:226" filled="f" stroked="f">
              <v:textbox inset="0,0,0,0">
                <w:txbxContent>
                  <w:p w:rsidR="00F22F94" w:rsidRDefault="00F22F94">
                    <w:pPr>
                      <w:spacing w:line="226" w:lineRule="exact"/>
                      <w:rPr>
                        <w:sz w:val="20"/>
                      </w:rPr>
                    </w:pPr>
                    <w:r>
                      <w:rPr>
                        <w:spacing w:val="-2"/>
                        <w:w w:val="80"/>
                        <w:sz w:val="20"/>
                      </w:rPr>
                      <w:t>Randwick</w:t>
                    </w:r>
                  </w:p>
                </w:txbxContent>
              </v:textbox>
            </v:shape>
            <v:shape id="docshape1483" o:spid="_x0000_s3740" type="#_x0000_t202" style="position:absolute;left:14873;top:5529;width:465;height:189" filled="f" stroked="f">
              <v:textbox inset="0,0,0,0">
                <w:txbxContent>
                  <w:p w:rsidR="00F22F94" w:rsidRDefault="00F22F94">
                    <w:pPr>
                      <w:spacing w:before="4"/>
                      <w:rPr>
                        <w:sz w:val="16"/>
                      </w:rPr>
                    </w:pPr>
                    <w:r>
                      <w:rPr>
                        <w:color w:val="737577"/>
                        <w:spacing w:val="-2"/>
                        <w:w w:val="80"/>
                        <w:sz w:val="16"/>
                      </w:rPr>
                      <w:t>Coogee</w:t>
                    </w:r>
                  </w:p>
                </w:txbxContent>
              </v:textbox>
            </v:shape>
            <v:shape id="docshape1484" o:spid="_x0000_s3739" type="#_x0000_t202" style="position:absolute;left:12094;top:5700;width:575;height:189" filled="f" stroked="f">
              <v:textbox inset="0,0,0,0">
                <w:txbxContent>
                  <w:p w:rsidR="00F22F94" w:rsidRDefault="00F22F94">
                    <w:pPr>
                      <w:spacing w:before="4"/>
                      <w:rPr>
                        <w:sz w:val="16"/>
                      </w:rPr>
                    </w:pPr>
                    <w:r>
                      <w:rPr>
                        <w:color w:val="737577"/>
                        <w:spacing w:val="-2"/>
                        <w:w w:val="85"/>
                        <w:sz w:val="16"/>
                      </w:rPr>
                      <w:t>Kingsford</w:t>
                    </w:r>
                  </w:p>
                </w:txbxContent>
              </v:textbox>
            </v:shape>
            <v:shape id="docshape1485" o:spid="_x0000_s3738" type="#_x0000_t202" style="position:absolute;left:11176;top:6270;width:656;height:189" filled="f" stroked="f">
              <v:textbox inset="0,0,0,0">
                <w:txbxContent>
                  <w:p w:rsidR="00F22F94" w:rsidRDefault="00F22F94">
                    <w:pPr>
                      <w:spacing w:before="4"/>
                      <w:rPr>
                        <w:sz w:val="16"/>
                      </w:rPr>
                    </w:pPr>
                    <w:r>
                      <w:rPr>
                        <w:color w:val="737577"/>
                        <w:w w:val="75"/>
                        <w:sz w:val="16"/>
                      </w:rPr>
                      <w:t>East</w:t>
                    </w:r>
                    <w:r>
                      <w:rPr>
                        <w:color w:val="737577"/>
                        <w:spacing w:val="4"/>
                        <w:sz w:val="16"/>
                      </w:rPr>
                      <w:t xml:space="preserve"> </w:t>
                    </w:r>
                    <w:r>
                      <w:rPr>
                        <w:color w:val="737577"/>
                        <w:spacing w:val="-2"/>
                        <w:w w:val="85"/>
                        <w:sz w:val="16"/>
                      </w:rPr>
                      <w:t>Lakes</w:t>
                    </w:r>
                  </w:p>
                </w:txbxContent>
              </v:textbox>
            </v:shape>
            <v:shape id="docshape1486" o:spid="_x0000_s3737" type="#_x0000_t202" style="position:absolute;left:12743;top:7321;width:631;height:189" filled="f" stroked="f">
              <v:textbox inset="0,0,0,0">
                <w:txbxContent>
                  <w:p w:rsidR="00F22F94" w:rsidRDefault="00F22F94">
                    <w:pPr>
                      <w:spacing w:before="4"/>
                      <w:rPr>
                        <w:sz w:val="16"/>
                      </w:rPr>
                    </w:pPr>
                    <w:r>
                      <w:rPr>
                        <w:color w:val="737577"/>
                        <w:spacing w:val="-2"/>
                        <w:w w:val="80"/>
                        <w:sz w:val="16"/>
                      </w:rPr>
                      <w:t>Pagewood</w:t>
                    </w:r>
                  </w:p>
                </w:txbxContent>
              </v:textbox>
            </v:shape>
            <v:shape id="docshape1487" o:spid="_x0000_s3736" type="#_x0000_t202" style="position:absolute;left:14315;top:6919;width:937;height:469" filled="f" stroked="f">
              <v:textbox inset="0,0,0,0">
                <w:txbxContent>
                  <w:p w:rsidR="00F22F94" w:rsidRDefault="00F22F94">
                    <w:pPr>
                      <w:spacing w:before="24" w:line="208" w:lineRule="auto"/>
                      <w:ind w:left="16" w:hanging="17"/>
                    </w:pPr>
                    <w:r>
                      <w:rPr>
                        <w:w w:val="80"/>
                      </w:rPr>
                      <w:t>Future</w:t>
                    </w:r>
                    <w:r>
                      <w:rPr>
                        <w:spacing w:val="-4"/>
                        <w:w w:val="80"/>
                      </w:rPr>
                      <w:t xml:space="preserve"> </w:t>
                    </w:r>
                    <w:r>
                      <w:rPr>
                        <w:w w:val="80"/>
                      </w:rPr>
                      <w:t xml:space="preserve">land </w:t>
                    </w:r>
                    <w:r>
                      <w:rPr>
                        <w:w w:val="75"/>
                      </w:rPr>
                      <w:t>use</w:t>
                    </w:r>
                    <w:r>
                      <w:rPr>
                        <w:spacing w:val="1"/>
                      </w:rPr>
                      <w:t xml:space="preserve"> </w:t>
                    </w:r>
                    <w:r>
                      <w:rPr>
                        <w:spacing w:val="-4"/>
                        <w:w w:val="80"/>
                      </w:rPr>
                      <w:t>change</w:t>
                    </w:r>
                  </w:p>
                </w:txbxContent>
              </v:textbox>
            </v:shape>
            <v:shape id="docshape1488" o:spid="_x0000_s3735" type="#_x0000_t202" style="position:absolute;left:13959;top:7627;width:1348;height:226" filled="f" stroked="f">
              <v:textbox inset="0,0,0,0">
                <w:txbxContent>
                  <w:p w:rsidR="00F22F94" w:rsidRDefault="00F22F94">
                    <w:pPr>
                      <w:spacing w:line="226" w:lineRule="exact"/>
                      <w:rPr>
                        <w:sz w:val="20"/>
                      </w:rPr>
                    </w:pPr>
                    <w:r>
                      <w:rPr>
                        <w:w w:val="75"/>
                        <w:sz w:val="20"/>
                      </w:rPr>
                      <w:t>Maroubra</w:t>
                    </w:r>
                    <w:r>
                      <w:rPr>
                        <w:spacing w:val="26"/>
                        <w:sz w:val="20"/>
                      </w:rPr>
                      <w:t xml:space="preserve"> </w:t>
                    </w:r>
                    <w:r>
                      <w:rPr>
                        <w:spacing w:val="-2"/>
                        <w:w w:val="80"/>
                        <w:sz w:val="20"/>
                      </w:rPr>
                      <w:t>Junction</w:t>
                    </w:r>
                  </w:p>
                </w:txbxContent>
              </v:textbox>
            </v:shape>
            <w10:wrap anchorx="page"/>
          </v:group>
        </w:pict>
      </w:r>
      <w:r w:rsidR="00F22F94">
        <w:rPr>
          <w:spacing w:val="-2"/>
          <w:w w:val="95"/>
        </w:rPr>
        <w:t>A</w:t>
      </w:r>
      <w:r w:rsidR="00F22F94">
        <w:rPr>
          <w:spacing w:val="-4"/>
          <w:w w:val="95"/>
        </w:rPr>
        <w:t xml:space="preserve"> </w:t>
      </w:r>
      <w:r w:rsidR="00F22F94">
        <w:rPr>
          <w:spacing w:val="-2"/>
          <w:w w:val="95"/>
        </w:rPr>
        <w:t>potential</w:t>
      </w:r>
      <w:r w:rsidR="00F22F94">
        <w:rPr>
          <w:spacing w:val="-4"/>
          <w:w w:val="95"/>
        </w:rPr>
        <w:t xml:space="preserve"> </w:t>
      </w:r>
      <w:r w:rsidR="00F22F94">
        <w:rPr>
          <w:spacing w:val="-2"/>
          <w:w w:val="95"/>
        </w:rPr>
        <w:t>extension</w:t>
      </w:r>
      <w:r w:rsidR="00F22F94">
        <w:rPr>
          <w:spacing w:val="-4"/>
          <w:w w:val="95"/>
        </w:rPr>
        <w:t xml:space="preserve"> </w:t>
      </w:r>
      <w:r w:rsidR="00F22F94">
        <w:rPr>
          <w:spacing w:val="-2"/>
          <w:w w:val="95"/>
        </w:rPr>
        <w:t>of</w:t>
      </w:r>
      <w:r w:rsidR="00F22F94">
        <w:rPr>
          <w:spacing w:val="-4"/>
          <w:w w:val="95"/>
        </w:rPr>
        <w:t xml:space="preserve"> </w:t>
      </w:r>
      <w:r w:rsidR="00F22F94">
        <w:rPr>
          <w:spacing w:val="-2"/>
          <w:w w:val="95"/>
        </w:rPr>
        <w:t>the</w:t>
      </w:r>
      <w:r w:rsidR="00F22F94">
        <w:rPr>
          <w:spacing w:val="-3"/>
          <w:w w:val="95"/>
        </w:rPr>
        <w:t xml:space="preserve"> </w:t>
      </w:r>
      <w:r w:rsidR="00F22F94">
        <w:rPr>
          <w:spacing w:val="-2"/>
          <w:w w:val="95"/>
        </w:rPr>
        <w:t>ESR</w:t>
      </w:r>
      <w:r w:rsidR="00F22F94">
        <w:rPr>
          <w:spacing w:val="-4"/>
          <w:w w:val="95"/>
        </w:rPr>
        <w:t xml:space="preserve"> </w:t>
      </w:r>
      <w:r w:rsidR="00F22F94">
        <w:rPr>
          <w:spacing w:val="-2"/>
          <w:w w:val="95"/>
        </w:rPr>
        <w:t>is</w:t>
      </w:r>
      <w:r w:rsidR="00F22F94">
        <w:rPr>
          <w:spacing w:val="-4"/>
          <w:w w:val="95"/>
        </w:rPr>
        <w:t xml:space="preserve"> </w:t>
      </w:r>
      <w:r w:rsidR="00F22F94">
        <w:rPr>
          <w:spacing w:val="-2"/>
          <w:w w:val="95"/>
        </w:rPr>
        <w:t>shown</w:t>
      </w:r>
      <w:r w:rsidR="00F22F94">
        <w:rPr>
          <w:spacing w:val="-4"/>
          <w:w w:val="95"/>
        </w:rPr>
        <w:t xml:space="preserve"> </w:t>
      </w:r>
      <w:r w:rsidR="00F22F94">
        <w:rPr>
          <w:spacing w:val="-2"/>
          <w:w w:val="95"/>
        </w:rPr>
        <w:t>in</w:t>
      </w:r>
      <w:r w:rsidR="00F22F94">
        <w:rPr>
          <w:spacing w:val="-4"/>
          <w:w w:val="95"/>
        </w:rPr>
        <w:t xml:space="preserve"> </w:t>
      </w:r>
      <w:r w:rsidR="00F22F94">
        <w:rPr>
          <w:spacing w:val="-2"/>
          <w:w w:val="95"/>
        </w:rPr>
        <w:t>Figure</w:t>
      </w:r>
      <w:r w:rsidR="00F22F94">
        <w:rPr>
          <w:spacing w:val="-3"/>
          <w:w w:val="95"/>
        </w:rPr>
        <w:t xml:space="preserve"> </w:t>
      </w:r>
      <w:r w:rsidR="00F22F94">
        <w:rPr>
          <w:spacing w:val="-4"/>
          <w:w w:val="95"/>
        </w:rPr>
        <w:t>8.3.</w:t>
      </w:r>
    </w:p>
    <w:p w:rsidR="002C1123" w:rsidRDefault="00F22F94">
      <w:pPr>
        <w:pStyle w:val="BodyText"/>
        <w:spacing w:before="152" w:line="249" w:lineRule="auto"/>
        <w:ind w:left="232" w:right="5702"/>
      </w:pPr>
      <w:r>
        <w:t>Lack</w:t>
      </w:r>
      <w:r>
        <w:rPr>
          <w:spacing w:val="-11"/>
        </w:rPr>
        <w:t xml:space="preserve"> </w:t>
      </w:r>
      <w:r>
        <w:t>of</w:t>
      </w:r>
      <w:r>
        <w:rPr>
          <w:spacing w:val="-11"/>
        </w:rPr>
        <w:t xml:space="preserve"> </w:t>
      </w:r>
      <w:r>
        <w:t>capacity</w:t>
      </w:r>
      <w:r>
        <w:rPr>
          <w:spacing w:val="-11"/>
        </w:rPr>
        <w:t xml:space="preserve"> </w:t>
      </w:r>
      <w:r>
        <w:t>in</w:t>
      </w:r>
      <w:r>
        <w:rPr>
          <w:spacing w:val="-11"/>
        </w:rPr>
        <w:t xml:space="preserve"> </w:t>
      </w:r>
      <w:r>
        <w:t>the</w:t>
      </w:r>
      <w:r>
        <w:rPr>
          <w:spacing w:val="-11"/>
        </w:rPr>
        <w:t xml:space="preserve"> </w:t>
      </w:r>
      <w:r>
        <w:t>CBD</w:t>
      </w:r>
      <w:r>
        <w:rPr>
          <w:spacing w:val="-11"/>
        </w:rPr>
        <w:t xml:space="preserve"> </w:t>
      </w:r>
      <w:r>
        <w:t>can</w:t>
      </w:r>
      <w:r>
        <w:rPr>
          <w:spacing w:val="-11"/>
        </w:rPr>
        <w:t xml:space="preserve"> </w:t>
      </w:r>
      <w:r>
        <w:t>be</w:t>
      </w:r>
      <w:r>
        <w:rPr>
          <w:spacing w:val="-11"/>
        </w:rPr>
        <w:t xml:space="preserve"> </w:t>
      </w:r>
      <w:r>
        <w:t>a</w:t>
      </w:r>
      <w:r>
        <w:rPr>
          <w:spacing w:val="-11"/>
        </w:rPr>
        <w:t xml:space="preserve"> </w:t>
      </w:r>
      <w:r>
        <w:t>constraint</w:t>
      </w:r>
      <w:r>
        <w:rPr>
          <w:spacing w:val="-11"/>
        </w:rPr>
        <w:t xml:space="preserve"> </w:t>
      </w:r>
      <w:r>
        <w:t>of</w:t>
      </w:r>
      <w:r>
        <w:rPr>
          <w:spacing w:val="-11"/>
        </w:rPr>
        <w:t xml:space="preserve"> </w:t>
      </w:r>
      <w:r>
        <w:t xml:space="preserve">rail </w:t>
      </w:r>
      <w:r>
        <w:rPr>
          <w:w w:val="95"/>
        </w:rPr>
        <w:t>expansion</w:t>
      </w:r>
      <w:r>
        <w:rPr>
          <w:spacing w:val="-11"/>
          <w:w w:val="95"/>
        </w:rPr>
        <w:t xml:space="preserve"> </w:t>
      </w:r>
      <w:r>
        <w:rPr>
          <w:w w:val="95"/>
        </w:rPr>
        <w:t>proposals.</w:t>
      </w:r>
      <w:r>
        <w:rPr>
          <w:spacing w:val="-11"/>
          <w:w w:val="95"/>
        </w:rPr>
        <w:t xml:space="preserve"> </w:t>
      </w:r>
      <w:r>
        <w:rPr>
          <w:w w:val="95"/>
        </w:rPr>
        <w:t>A</w:t>
      </w:r>
      <w:r>
        <w:rPr>
          <w:spacing w:val="-11"/>
          <w:w w:val="95"/>
        </w:rPr>
        <w:t xml:space="preserve"> </w:t>
      </w:r>
      <w:r>
        <w:rPr>
          <w:w w:val="95"/>
        </w:rPr>
        <w:t>key</w:t>
      </w:r>
      <w:r>
        <w:rPr>
          <w:spacing w:val="-11"/>
          <w:w w:val="95"/>
        </w:rPr>
        <w:t xml:space="preserve"> </w:t>
      </w:r>
      <w:r>
        <w:rPr>
          <w:w w:val="95"/>
        </w:rPr>
        <w:t>feature</w:t>
      </w:r>
      <w:r>
        <w:rPr>
          <w:spacing w:val="-11"/>
          <w:w w:val="95"/>
        </w:rPr>
        <w:t xml:space="preserve"> </w:t>
      </w:r>
      <w:r>
        <w:rPr>
          <w:w w:val="95"/>
        </w:rPr>
        <w:t>of</w:t>
      </w:r>
      <w:r>
        <w:rPr>
          <w:spacing w:val="-11"/>
          <w:w w:val="95"/>
        </w:rPr>
        <w:t xml:space="preserve"> </w:t>
      </w:r>
      <w:r>
        <w:rPr>
          <w:w w:val="95"/>
        </w:rPr>
        <w:t>the</w:t>
      </w:r>
      <w:r>
        <w:rPr>
          <w:spacing w:val="-11"/>
          <w:w w:val="95"/>
        </w:rPr>
        <w:t xml:space="preserve"> </w:t>
      </w:r>
      <w:r>
        <w:rPr>
          <w:w w:val="95"/>
        </w:rPr>
        <w:t>existing</w:t>
      </w:r>
      <w:r>
        <w:rPr>
          <w:spacing w:val="-11"/>
          <w:w w:val="95"/>
        </w:rPr>
        <w:t xml:space="preserve"> </w:t>
      </w:r>
      <w:r>
        <w:rPr>
          <w:w w:val="95"/>
        </w:rPr>
        <w:t>ESR</w:t>
      </w:r>
      <w:r>
        <w:rPr>
          <w:spacing w:val="-11"/>
          <w:w w:val="95"/>
        </w:rPr>
        <w:t xml:space="preserve"> </w:t>
      </w:r>
      <w:r>
        <w:rPr>
          <w:w w:val="95"/>
        </w:rPr>
        <w:t>is that</w:t>
      </w:r>
      <w:r>
        <w:rPr>
          <w:spacing w:val="-2"/>
          <w:w w:val="95"/>
        </w:rPr>
        <w:t xml:space="preserve"> </w:t>
      </w:r>
      <w:r>
        <w:rPr>
          <w:w w:val="95"/>
        </w:rPr>
        <w:t>it</w:t>
      </w:r>
      <w:r>
        <w:rPr>
          <w:spacing w:val="-2"/>
          <w:w w:val="95"/>
        </w:rPr>
        <w:t xml:space="preserve"> </w:t>
      </w:r>
      <w:r>
        <w:rPr>
          <w:w w:val="95"/>
        </w:rPr>
        <w:t>has</w:t>
      </w:r>
      <w:r>
        <w:rPr>
          <w:spacing w:val="-2"/>
          <w:w w:val="95"/>
        </w:rPr>
        <w:t xml:space="preserve"> </w:t>
      </w:r>
      <w:r>
        <w:rPr>
          <w:w w:val="95"/>
        </w:rPr>
        <w:t>a</w:t>
      </w:r>
      <w:r>
        <w:rPr>
          <w:spacing w:val="-2"/>
          <w:w w:val="95"/>
        </w:rPr>
        <w:t xml:space="preserve"> </w:t>
      </w:r>
      <w:r>
        <w:rPr>
          <w:w w:val="95"/>
        </w:rPr>
        <w:t>large</w:t>
      </w:r>
      <w:r>
        <w:rPr>
          <w:spacing w:val="-2"/>
          <w:w w:val="95"/>
        </w:rPr>
        <w:t xml:space="preserve"> </w:t>
      </w:r>
      <w:r>
        <w:rPr>
          <w:w w:val="95"/>
        </w:rPr>
        <w:t>amount</w:t>
      </w:r>
      <w:r>
        <w:rPr>
          <w:spacing w:val="-2"/>
          <w:w w:val="95"/>
        </w:rPr>
        <w:t xml:space="preserve"> </w:t>
      </w:r>
      <w:r>
        <w:rPr>
          <w:w w:val="95"/>
        </w:rPr>
        <w:t>of</w:t>
      </w:r>
      <w:r>
        <w:rPr>
          <w:spacing w:val="-2"/>
          <w:w w:val="95"/>
        </w:rPr>
        <w:t xml:space="preserve"> </w:t>
      </w:r>
      <w:r>
        <w:rPr>
          <w:w w:val="95"/>
        </w:rPr>
        <w:t>latent</w:t>
      </w:r>
      <w:r>
        <w:rPr>
          <w:spacing w:val="-2"/>
          <w:w w:val="95"/>
        </w:rPr>
        <w:t xml:space="preserve"> </w:t>
      </w:r>
      <w:r>
        <w:rPr>
          <w:w w:val="95"/>
        </w:rPr>
        <w:t>capacity</w:t>
      </w:r>
      <w:r>
        <w:rPr>
          <w:spacing w:val="-2"/>
          <w:w w:val="95"/>
        </w:rPr>
        <w:t xml:space="preserve"> </w:t>
      </w:r>
      <w:r>
        <w:rPr>
          <w:w w:val="95"/>
        </w:rPr>
        <w:t>even</w:t>
      </w:r>
      <w:r>
        <w:rPr>
          <w:spacing w:val="-2"/>
          <w:w w:val="95"/>
        </w:rPr>
        <w:t xml:space="preserve"> </w:t>
      </w:r>
      <w:r>
        <w:rPr>
          <w:w w:val="95"/>
        </w:rPr>
        <w:t>in</w:t>
      </w:r>
      <w:r>
        <w:rPr>
          <w:spacing w:val="-2"/>
          <w:w w:val="95"/>
        </w:rPr>
        <w:t xml:space="preserve"> </w:t>
      </w:r>
      <w:r>
        <w:rPr>
          <w:w w:val="95"/>
        </w:rPr>
        <w:t>peak periods. At present, patronage is only 7,400 passengers in</w:t>
      </w:r>
      <w:r>
        <w:rPr>
          <w:spacing w:val="-9"/>
          <w:w w:val="95"/>
        </w:rPr>
        <w:t xml:space="preserve"> </w:t>
      </w:r>
      <w:r>
        <w:rPr>
          <w:w w:val="95"/>
        </w:rPr>
        <w:t>the</w:t>
      </w:r>
      <w:r>
        <w:rPr>
          <w:spacing w:val="-9"/>
          <w:w w:val="95"/>
        </w:rPr>
        <w:t xml:space="preserve"> </w:t>
      </w:r>
      <w:r>
        <w:rPr>
          <w:w w:val="95"/>
        </w:rPr>
        <w:t>AM</w:t>
      </w:r>
      <w:r>
        <w:rPr>
          <w:spacing w:val="-10"/>
          <w:w w:val="95"/>
        </w:rPr>
        <w:t xml:space="preserve"> </w:t>
      </w:r>
      <w:r>
        <w:rPr>
          <w:w w:val="95"/>
        </w:rPr>
        <w:t>peak</w:t>
      </w:r>
      <w:r>
        <w:rPr>
          <w:spacing w:val="-9"/>
          <w:w w:val="95"/>
        </w:rPr>
        <w:t xml:space="preserve"> </w:t>
      </w:r>
      <w:r>
        <w:rPr>
          <w:w w:val="95"/>
        </w:rPr>
        <w:t>hour,</w:t>
      </w:r>
      <w:r>
        <w:rPr>
          <w:spacing w:val="-9"/>
          <w:w w:val="95"/>
        </w:rPr>
        <w:t xml:space="preserve"> </w:t>
      </w:r>
      <w:r>
        <w:rPr>
          <w:w w:val="95"/>
        </w:rPr>
        <w:t>less</w:t>
      </w:r>
      <w:r>
        <w:rPr>
          <w:spacing w:val="-9"/>
          <w:w w:val="95"/>
        </w:rPr>
        <w:t xml:space="preserve"> </w:t>
      </w:r>
      <w:r>
        <w:rPr>
          <w:w w:val="95"/>
        </w:rPr>
        <w:t>than</w:t>
      </w:r>
      <w:r>
        <w:rPr>
          <w:spacing w:val="-9"/>
          <w:w w:val="95"/>
        </w:rPr>
        <w:t xml:space="preserve"> </w:t>
      </w:r>
      <w:r>
        <w:rPr>
          <w:w w:val="95"/>
        </w:rPr>
        <w:t>half</w:t>
      </w:r>
      <w:r>
        <w:rPr>
          <w:spacing w:val="-9"/>
          <w:w w:val="95"/>
        </w:rPr>
        <w:t xml:space="preserve"> </w:t>
      </w:r>
      <w:r>
        <w:rPr>
          <w:w w:val="95"/>
        </w:rPr>
        <w:t>the</w:t>
      </w:r>
      <w:r>
        <w:rPr>
          <w:spacing w:val="-9"/>
          <w:w w:val="95"/>
        </w:rPr>
        <w:t xml:space="preserve"> </w:t>
      </w:r>
      <w:r>
        <w:rPr>
          <w:w w:val="95"/>
        </w:rPr>
        <w:t>number</w:t>
      </w:r>
      <w:r>
        <w:rPr>
          <w:spacing w:val="-9"/>
          <w:w w:val="95"/>
        </w:rPr>
        <w:t xml:space="preserve"> </w:t>
      </w:r>
      <w:r>
        <w:rPr>
          <w:w w:val="95"/>
        </w:rPr>
        <w:t>that</w:t>
      </w:r>
      <w:r>
        <w:rPr>
          <w:spacing w:val="-9"/>
          <w:w w:val="95"/>
        </w:rPr>
        <w:t xml:space="preserve"> </w:t>
      </w:r>
      <w:r>
        <w:rPr>
          <w:w w:val="95"/>
        </w:rPr>
        <w:t xml:space="preserve">travel </w:t>
      </w:r>
      <w:r>
        <w:rPr>
          <w:spacing w:val="-2"/>
        </w:rPr>
        <w:t>in</w:t>
      </w:r>
      <w:r>
        <w:rPr>
          <w:spacing w:val="-6"/>
        </w:rPr>
        <w:t xml:space="preserve"> </w:t>
      </w:r>
      <w:r>
        <w:rPr>
          <w:spacing w:val="-2"/>
        </w:rPr>
        <w:t>the</w:t>
      </w:r>
      <w:r>
        <w:rPr>
          <w:spacing w:val="-6"/>
        </w:rPr>
        <w:t xml:space="preserve"> </w:t>
      </w:r>
      <w:r>
        <w:rPr>
          <w:spacing w:val="-2"/>
        </w:rPr>
        <w:t>reverse</w:t>
      </w:r>
      <w:r>
        <w:rPr>
          <w:spacing w:val="-6"/>
        </w:rPr>
        <w:t xml:space="preserve"> </w:t>
      </w:r>
      <w:r>
        <w:rPr>
          <w:spacing w:val="-2"/>
        </w:rPr>
        <w:t>direction</w:t>
      </w:r>
      <w:r>
        <w:rPr>
          <w:spacing w:val="-6"/>
        </w:rPr>
        <w:t xml:space="preserve"> </w:t>
      </w:r>
      <w:r>
        <w:rPr>
          <w:spacing w:val="-2"/>
        </w:rPr>
        <w:t>from</w:t>
      </w:r>
      <w:r>
        <w:rPr>
          <w:spacing w:val="-7"/>
        </w:rPr>
        <w:t xml:space="preserve"> </w:t>
      </w:r>
      <w:r>
        <w:rPr>
          <w:spacing w:val="-2"/>
        </w:rPr>
        <w:t>the</w:t>
      </w:r>
      <w:r>
        <w:rPr>
          <w:spacing w:val="-6"/>
        </w:rPr>
        <w:t xml:space="preserve"> </w:t>
      </w:r>
      <w:r>
        <w:rPr>
          <w:spacing w:val="-2"/>
        </w:rPr>
        <w:t>Illawarra.</w:t>
      </w:r>
      <w:r>
        <w:rPr>
          <w:spacing w:val="-6"/>
        </w:rPr>
        <w:t xml:space="preserve"> </w:t>
      </w:r>
      <w:r>
        <w:rPr>
          <w:spacing w:val="-2"/>
        </w:rPr>
        <w:t xml:space="preserve">Furthermore </w:t>
      </w:r>
      <w:r>
        <w:rPr>
          <w:w w:val="95"/>
        </w:rPr>
        <w:t>the</w:t>
      </w:r>
      <w:r>
        <w:rPr>
          <w:spacing w:val="-6"/>
          <w:w w:val="95"/>
        </w:rPr>
        <w:t xml:space="preserve"> </w:t>
      </w:r>
      <w:r>
        <w:rPr>
          <w:w w:val="95"/>
        </w:rPr>
        <w:t>principal</w:t>
      </w:r>
      <w:r>
        <w:rPr>
          <w:spacing w:val="-6"/>
          <w:w w:val="95"/>
        </w:rPr>
        <w:t xml:space="preserve"> </w:t>
      </w:r>
      <w:r>
        <w:rPr>
          <w:w w:val="95"/>
        </w:rPr>
        <w:t>CBD</w:t>
      </w:r>
      <w:r>
        <w:rPr>
          <w:spacing w:val="-6"/>
          <w:w w:val="95"/>
        </w:rPr>
        <w:t xml:space="preserve"> </w:t>
      </w:r>
      <w:r>
        <w:rPr>
          <w:w w:val="95"/>
        </w:rPr>
        <w:t>station</w:t>
      </w:r>
      <w:r>
        <w:rPr>
          <w:spacing w:val="-6"/>
          <w:w w:val="95"/>
        </w:rPr>
        <w:t xml:space="preserve"> </w:t>
      </w:r>
      <w:r>
        <w:rPr>
          <w:w w:val="95"/>
        </w:rPr>
        <w:t>on</w:t>
      </w:r>
      <w:r>
        <w:rPr>
          <w:spacing w:val="-6"/>
          <w:w w:val="95"/>
        </w:rPr>
        <w:t xml:space="preserve"> </w:t>
      </w:r>
      <w:r>
        <w:rPr>
          <w:w w:val="95"/>
        </w:rPr>
        <w:t>the</w:t>
      </w:r>
      <w:r>
        <w:rPr>
          <w:spacing w:val="-6"/>
          <w:w w:val="95"/>
        </w:rPr>
        <w:t xml:space="preserve"> </w:t>
      </w:r>
      <w:r>
        <w:rPr>
          <w:w w:val="95"/>
        </w:rPr>
        <w:t>ESR</w:t>
      </w:r>
      <w:r>
        <w:rPr>
          <w:spacing w:val="-6"/>
          <w:w w:val="95"/>
        </w:rPr>
        <w:t xml:space="preserve"> </w:t>
      </w:r>
      <w:r>
        <w:rPr>
          <w:w w:val="95"/>
        </w:rPr>
        <w:t>is</w:t>
      </w:r>
      <w:r>
        <w:rPr>
          <w:spacing w:val="-6"/>
          <w:w w:val="95"/>
        </w:rPr>
        <w:t xml:space="preserve"> </w:t>
      </w:r>
      <w:r>
        <w:rPr>
          <w:w w:val="95"/>
        </w:rPr>
        <w:t>Martin</w:t>
      </w:r>
      <w:r>
        <w:rPr>
          <w:spacing w:val="-6"/>
          <w:w w:val="95"/>
        </w:rPr>
        <w:t xml:space="preserve"> </w:t>
      </w:r>
      <w:r>
        <w:rPr>
          <w:w w:val="95"/>
        </w:rPr>
        <w:t>Place,</w:t>
      </w:r>
      <w:r>
        <w:rPr>
          <w:spacing w:val="-6"/>
          <w:w w:val="95"/>
        </w:rPr>
        <w:t xml:space="preserve"> </w:t>
      </w:r>
      <w:r>
        <w:rPr>
          <w:w w:val="95"/>
        </w:rPr>
        <w:t xml:space="preserve">the </w:t>
      </w:r>
      <w:r>
        <w:t>most</w:t>
      </w:r>
      <w:r>
        <w:rPr>
          <w:spacing w:val="-9"/>
        </w:rPr>
        <w:t xml:space="preserve"> </w:t>
      </w:r>
      <w:r>
        <w:t>centrally</w:t>
      </w:r>
      <w:r>
        <w:rPr>
          <w:spacing w:val="-9"/>
        </w:rPr>
        <w:t xml:space="preserve"> </w:t>
      </w:r>
      <w:r>
        <w:t>located</w:t>
      </w:r>
      <w:r>
        <w:rPr>
          <w:spacing w:val="-9"/>
        </w:rPr>
        <w:t xml:space="preserve"> </w:t>
      </w:r>
      <w:r>
        <w:t>CBD</w:t>
      </w:r>
      <w:r>
        <w:rPr>
          <w:spacing w:val="-9"/>
        </w:rPr>
        <w:t xml:space="preserve"> </w:t>
      </w:r>
      <w:r>
        <w:t>station</w:t>
      </w:r>
      <w:r>
        <w:rPr>
          <w:spacing w:val="-9"/>
        </w:rPr>
        <w:t xml:space="preserve"> </w:t>
      </w:r>
      <w:r>
        <w:t>and</w:t>
      </w:r>
      <w:r>
        <w:rPr>
          <w:spacing w:val="-9"/>
        </w:rPr>
        <w:t xml:space="preserve"> </w:t>
      </w:r>
      <w:r>
        <w:t>one</w:t>
      </w:r>
      <w:r>
        <w:rPr>
          <w:spacing w:val="-9"/>
        </w:rPr>
        <w:t xml:space="preserve"> </w:t>
      </w:r>
      <w:r>
        <w:t>which</w:t>
      </w:r>
      <w:r>
        <w:rPr>
          <w:spacing w:val="-9"/>
        </w:rPr>
        <w:t xml:space="preserve"> </w:t>
      </w:r>
      <w:r>
        <w:t>has substantial</w:t>
      </w:r>
      <w:r>
        <w:rPr>
          <w:spacing w:val="-2"/>
        </w:rPr>
        <w:t xml:space="preserve"> </w:t>
      </w:r>
      <w:r>
        <w:t>platform</w:t>
      </w:r>
      <w:r>
        <w:rPr>
          <w:spacing w:val="-2"/>
        </w:rPr>
        <w:t xml:space="preserve"> </w:t>
      </w:r>
      <w:r>
        <w:t>and</w:t>
      </w:r>
      <w:r>
        <w:rPr>
          <w:spacing w:val="-2"/>
        </w:rPr>
        <w:t xml:space="preserve"> </w:t>
      </w:r>
      <w:r>
        <w:t>circulation</w:t>
      </w:r>
      <w:r>
        <w:rPr>
          <w:spacing w:val="-2"/>
        </w:rPr>
        <w:t xml:space="preserve"> </w:t>
      </w:r>
      <w:r>
        <w:t>space.</w:t>
      </w:r>
    </w:p>
    <w:p w:rsidR="002C1123" w:rsidRDefault="00F22F94">
      <w:pPr>
        <w:pStyle w:val="BodyText"/>
        <w:spacing w:before="149" w:line="249" w:lineRule="auto"/>
        <w:ind w:left="232" w:right="5884"/>
      </w:pPr>
      <w:r>
        <w:rPr>
          <w:w w:val="95"/>
        </w:rPr>
        <w:t>An</w:t>
      </w:r>
      <w:r>
        <w:rPr>
          <w:spacing w:val="-7"/>
          <w:w w:val="95"/>
        </w:rPr>
        <w:t xml:space="preserve"> </w:t>
      </w:r>
      <w:r>
        <w:rPr>
          <w:w w:val="95"/>
        </w:rPr>
        <w:t>extension</w:t>
      </w:r>
      <w:r>
        <w:rPr>
          <w:spacing w:val="-7"/>
          <w:w w:val="95"/>
        </w:rPr>
        <w:t xml:space="preserve"> </w:t>
      </w:r>
      <w:r>
        <w:rPr>
          <w:w w:val="95"/>
        </w:rPr>
        <w:t>of</w:t>
      </w:r>
      <w:r>
        <w:rPr>
          <w:spacing w:val="-7"/>
          <w:w w:val="95"/>
        </w:rPr>
        <w:t xml:space="preserve"> </w:t>
      </w:r>
      <w:r>
        <w:rPr>
          <w:w w:val="95"/>
        </w:rPr>
        <w:t>the</w:t>
      </w:r>
      <w:r>
        <w:rPr>
          <w:spacing w:val="-7"/>
          <w:w w:val="95"/>
        </w:rPr>
        <w:t xml:space="preserve"> </w:t>
      </w:r>
      <w:r>
        <w:rPr>
          <w:w w:val="95"/>
        </w:rPr>
        <w:t>ESR</w:t>
      </w:r>
      <w:r>
        <w:rPr>
          <w:spacing w:val="-7"/>
          <w:w w:val="95"/>
        </w:rPr>
        <w:t xml:space="preserve"> </w:t>
      </w:r>
      <w:r>
        <w:rPr>
          <w:w w:val="95"/>
        </w:rPr>
        <w:t>to</w:t>
      </w:r>
      <w:r>
        <w:rPr>
          <w:spacing w:val="-7"/>
          <w:w w:val="95"/>
        </w:rPr>
        <w:t xml:space="preserve"> </w:t>
      </w:r>
      <w:r>
        <w:rPr>
          <w:w w:val="95"/>
        </w:rPr>
        <w:t>the</w:t>
      </w:r>
      <w:r>
        <w:rPr>
          <w:spacing w:val="-7"/>
          <w:w w:val="95"/>
        </w:rPr>
        <w:t xml:space="preserve"> </w:t>
      </w:r>
      <w:r>
        <w:rPr>
          <w:w w:val="95"/>
        </w:rPr>
        <w:t>South-Eastern</w:t>
      </w:r>
      <w:r>
        <w:rPr>
          <w:spacing w:val="-7"/>
          <w:w w:val="95"/>
        </w:rPr>
        <w:t xml:space="preserve"> </w:t>
      </w:r>
      <w:r>
        <w:rPr>
          <w:w w:val="95"/>
        </w:rPr>
        <w:t xml:space="preserve">suburbs </w:t>
      </w:r>
      <w:r>
        <w:t>would</w:t>
      </w:r>
      <w:r>
        <w:rPr>
          <w:spacing w:val="-13"/>
        </w:rPr>
        <w:t xml:space="preserve"> </w:t>
      </w:r>
      <w:r>
        <w:t>require</w:t>
      </w:r>
      <w:r>
        <w:rPr>
          <w:spacing w:val="-13"/>
        </w:rPr>
        <w:t xml:space="preserve"> </w:t>
      </w:r>
      <w:r>
        <w:t>approximately</w:t>
      </w:r>
      <w:r>
        <w:rPr>
          <w:spacing w:val="-13"/>
        </w:rPr>
        <w:t xml:space="preserve"> </w:t>
      </w:r>
      <w:r>
        <w:t>six</w:t>
      </w:r>
      <w:r>
        <w:rPr>
          <w:spacing w:val="-13"/>
        </w:rPr>
        <w:t xml:space="preserve"> </w:t>
      </w:r>
      <w:r>
        <w:t>kilometres</w:t>
      </w:r>
      <w:r>
        <w:rPr>
          <w:spacing w:val="-13"/>
        </w:rPr>
        <w:t xml:space="preserve"> </w:t>
      </w:r>
      <w:r>
        <w:t>of</w:t>
      </w:r>
      <w:r>
        <w:rPr>
          <w:spacing w:val="-13"/>
        </w:rPr>
        <w:t xml:space="preserve"> </w:t>
      </w:r>
      <w:r>
        <w:t xml:space="preserve">new </w:t>
      </w:r>
      <w:r>
        <w:rPr>
          <w:w w:val="95"/>
        </w:rPr>
        <w:t xml:space="preserve">tunnels. New stations would be required at Randwick, </w:t>
      </w:r>
      <w:r>
        <w:t>to</w:t>
      </w:r>
      <w:r>
        <w:rPr>
          <w:spacing w:val="-8"/>
        </w:rPr>
        <w:t xml:space="preserve"> </w:t>
      </w:r>
      <w:r>
        <w:t>serve</w:t>
      </w:r>
      <w:r>
        <w:rPr>
          <w:spacing w:val="-8"/>
        </w:rPr>
        <w:t xml:space="preserve"> </w:t>
      </w:r>
      <w:r>
        <w:t>the</w:t>
      </w:r>
      <w:r>
        <w:rPr>
          <w:spacing w:val="-8"/>
        </w:rPr>
        <w:t xml:space="preserve"> </w:t>
      </w:r>
      <w:r>
        <w:t>health</w:t>
      </w:r>
      <w:r>
        <w:rPr>
          <w:spacing w:val="-8"/>
        </w:rPr>
        <w:t xml:space="preserve"> </w:t>
      </w:r>
      <w:r>
        <w:t>and</w:t>
      </w:r>
      <w:r>
        <w:rPr>
          <w:spacing w:val="-8"/>
        </w:rPr>
        <w:t xml:space="preserve"> </w:t>
      </w:r>
      <w:r>
        <w:t>education</w:t>
      </w:r>
      <w:r>
        <w:rPr>
          <w:spacing w:val="-8"/>
        </w:rPr>
        <w:t xml:space="preserve"> </w:t>
      </w:r>
      <w:r>
        <w:t>precincts,</w:t>
      </w:r>
      <w:r>
        <w:rPr>
          <w:spacing w:val="-8"/>
        </w:rPr>
        <w:t xml:space="preserve"> </w:t>
      </w:r>
      <w:r>
        <w:t>and</w:t>
      </w:r>
      <w:r>
        <w:rPr>
          <w:spacing w:val="-8"/>
        </w:rPr>
        <w:t xml:space="preserve"> </w:t>
      </w:r>
      <w:r>
        <w:t>at Maroubra</w:t>
      </w:r>
      <w:r>
        <w:rPr>
          <w:spacing w:val="-11"/>
        </w:rPr>
        <w:t xml:space="preserve"> </w:t>
      </w:r>
      <w:r>
        <w:t>Junction.</w:t>
      </w:r>
    </w:p>
    <w:p w:rsidR="002C1123" w:rsidRDefault="00F22F94">
      <w:pPr>
        <w:pStyle w:val="BodyText"/>
        <w:spacing w:before="146" w:line="249" w:lineRule="auto"/>
        <w:ind w:left="232" w:right="5543"/>
      </w:pPr>
      <w:r>
        <w:t>Based</w:t>
      </w:r>
      <w:r>
        <w:rPr>
          <w:spacing w:val="-12"/>
        </w:rPr>
        <w:t xml:space="preserve"> </w:t>
      </w:r>
      <w:r>
        <w:t>on</w:t>
      </w:r>
      <w:r>
        <w:rPr>
          <w:spacing w:val="-12"/>
        </w:rPr>
        <w:t xml:space="preserve"> </w:t>
      </w:r>
      <w:r>
        <w:t>these</w:t>
      </w:r>
      <w:r>
        <w:rPr>
          <w:spacing w:val="-12"/>
        </w:rPr>
        <w:t xml:space="preserve"> </w:t>
      </w:r>
      <w:r>
        <w:t>parameters,</w:t>
      </w:r>
      <w:r>
        <w:rPr>
          <w:spacing w:val="-12"/>
        </w:rPr>
        <w:t xml:space="preserve"> </w:t>
      </w:r>
      <w:r>
        <w:t>the</w:t>
      </w:r>
      <w:r>
        <w:rPr>
          <w:spacing w:val="-12"/>
        </w:rPr>
        <w:t xml:space="preserve"> </w:t>
      </w:r>
      <w:r>
        <w:t>scale</w:t>
      </w:r>
      <w:r>
        <w:rPr>
          <w:spacing w:val="-12"/>
        </w:rPr>
        <w:t xml:space="preserve"> </w:t>
      </w:r>
      <w:r>
        <w:t>of</w:t>
      </w:r>
      <w:r>
        <w:rPr>
          <w:spacing w:val="-12"/>
        </w:rPr>
        <w:t xml:space="preserve"> </w:t>
      </w:r>
      <w:r>
        <w:t>the</w:t>
      </w:r>
      <w:r>
        <w:rPr>
          <w:spacing w:val="-12"/>
        </w:rPr>
        <w:t xml:space="preserve"> </w:t>
      </w:r>
      <w:r>
        <w:t>project</w:t>
      </w:r>
      <w:r>
        <w:rPr>
          <w:spacing w:val="-12"/>
        </w:rPr>
        <w:t xml:space="preserve"> </w:t>
      </w:r>
      <w:r>
        <w:t xml:space="preserve">is </w:t>
      </w:r>
      <w:r>
        <w:rPr>
          <w:w w:val="95"/>
        </w:rPr>
        <w:t>approximately</w:t>
      </w:r>
      <w:r>
        <w:rPr>
          <w:spacing w:val="-9"/>
          <w:w w:val="95"/>
        </w:rPr>
        <w:t xml:space="preserve"> </w:t>
      </w:r>
      <w:r>
        <w:rPr>
          <w:w w:val="95"/>
        </w:rPr>
        <w:t>half</w:t>
      </w:r>
      <w:r>
        <w:rPr>
          <w:spacing w:val="-9"/>
          <w:w w:val="95"/>
        </w:rPr>
        <w:t xml:space="preserve"> </w:t>
      </w:r>
      <w:r>
        <w:rPr>
          <w:w w:val="95"/>
        </w:rPr>
        <w:t>the</w:t>
      </w:r>
      <w:r>
        <w:rPr>
          <w:spacing w:val="-9"/>
          <w:w w:val="95"/>
        </w:rPr>
        <w:t xml:space="preserve"> </w:t>
      </w:r>
      <w:r>
        <w:rPr>
          <w:w w:val="95"/>
        </w:rPr>
        <w:t>size</w:t>
      </w:r>
      <w:r>
        <w:rPr>
          <w:spacing w:val="-9"/>
          <w:w w:val="95"/>
        </w:rPr>
        <w:t xml:space="preserve"> </w:t>
      </w:r>
      <w:r>
        <w:rPr>
          <w:w w:val="95"/>
        </w:rPr>
        <w:t>of</w:t>
      </w:r>
      <w:r>
        <w:rPr>
          <w:spacing w:val="-9"/>
          <w:w w:val="95"/>
        </w:rPr>
        <w:t xml:space="preserve"> </w:t>
      </w:r>
      <w:r>
        <w:rPr>
          <w:w w:val="95"/>
        </w:rPr>
        <w:t>the</w:t>
      </w:r>
      <w:r>
        <w:rPr>
          <w:spacing w:val="-9"/>
          <w:w w:val="95"/>
        </w:rPr>
        <w:t xml:space="preserve"> </w:t>
      </w:r>
      <w:r>
        <w:rPr>
          <w:w w:val="95"/>
        </w:rPr>
        <w:t>Epping</w:t>
      </w:r>
      <w:r>
        <w:rPr>
          <w:spacing w:val="-9"/>
          <w:w w:val="95"/>
        </w:rPr>
        <w:t xml:space="preserve"> </w:t>
      </w:r>
      <w:r>
        <w:rPr>
          <w:w w:val="95"/>
        </w:rPr>
        <w:t>Chatswood</w:t>
      </w:r>
      <w:r>
        <w:rPr>
          <w:spacing w:val="-9"/>
          <w:w w:val="95"/>
        </w:rPr>
        <w:t xml:space="preserve"> </w:t>
      </w:r>
      <w:r>
        <w:rPr>
          <w:w w:val="95"/>
        </w:rPr>
        <w:t xml:space="preserve">Rail </w:t>
      </w:r>
      <w:r>
        <w:t>Link</w:t>
      </w:r>
      <w:r>
        <w:rPr>
          <w:spacing w:val="-8"/>
        </w:rPr>
        <w:t xml:space="preserve"> </w:t>
      </w:r>
      <w:r>
        <w:t>and</w:t>
      </w:r>
      <w:r>
        <w:rPr>
          <w:spacing w:val="-8"/>
        </w:rPr>
        <w:t xml:space="preserve"> </w:t>
      </w:r>
      <w:r>
        <w:t>one-quarter</w:t>
      </w:r>
      <w:r>
        <w:rPr>
          <w:spacing w:val="-8"/>
        </w:rPr>
        <w:t xml:space="preserve"> </w:t>
      </w:r>
      <w:r>
        <w:t>the</w:t>
      </w:r>
      <w:r>
        <w:rPr>
          <w:spacing w:val="-8"/>
        </w:rPr>
        <w:t xml:space="preserve"> </w:t>
      </w:r>
      <w:r>
        <w:t>size</w:t>
      </w:r>
      <w:r>
        <w:rPr>
          <w:spacing w:val="-8"/>
        </w:rPr>
        <w:t xml:space="preserve"> </w:t>
      </w:r>
      <w:r>
        <w:t>of</w:t>
      </w:r>
      <w:r>
        <w:rPr>
          <w:spacing w:val="-8"/>
        </w:rPr>
        <w:t xml:space="preserve"> </w:t>
      </w:r>
      <w:r>
        <w:t>the</w:t>
      </w:r>
      <w:r>
        <w:rPr>
          <w:spacing w:val="-8"/>
        </w:rPr>
        <w:t xml:space="preserve"> </w:t>
      </w:r>
      <w:r>
        <w:t>NWRL.</w:t>
      </w:r>
    </w:p>
    <w:p w:rsidR="002C1123" w:rsidRDefault="002060EF">
      <w:pPr>
        <w:pStyle w:val="BodyText"/>
        <w:spacing w:before="144" w:line="249" w:lineRule="auto"/>
        <w:ind w:left="232" w:right="5543"/>
      </w:pPr>
      <w:r>
        <w:pict>
          <v:shape id="docshape1489" o:spid="_x0000_s3733" type="#_x0000_t202" style="position:absolute;left:0;text-align:left;margin-left:300.95pt;margin-top:75.65pt;width:239pt;height:57.35pt;z-index:251417600;mso-position-horizontal-relative:page" fillcolor="#e1e0e1" stroked="f">
            <v:textbox inset="0,0,0,0">
              <w:txbxContent>
                <w:p w:rsidR="00F22F94" w:rsidRDefault="00F22F94">
                  <w:pPr>
                    <w:pStyle w:val="BodyText"/>
                    <w:spacing w:before="68" w:line="249" w:lineRule="auto"/>
                    <w:ind w:left="113" w:right="131"/>
                    <w:rPr>
                      <w:color w:val="000000"/>
                    </w:rPr>
                  </w:pPr>
                  <w:r>
                    <w:rPr>
                      <w:color w:val="00AEEF"/>
                    </w:rPr>
                    <w:t>Recommendation</w:t>
                  </w:r>
                  <w:r>
                    <w:rPr>
                      <w:color w:val="00AEEF"/>
                      <w:spacing w:val="40"/>
                    </w:rPr>
                    <w:t xml:space="preserve"> </w:t>
                  </w:r>
                  <w:r>
                    <w:rPr>
                      <w:color w:val="000000"/>
                    </w:rPr>
                    <w:t>Infrastructure NSW</w:t>
                  </w:r>
                  <w:r>
                    <w:rPr>
                      <w:color w:val="000000"/>
                      <w:spacing w:val="80"/>
                    </w:rPr>
                    <w:t xml:space="preserve"> </w:t>
                  </w:r>
                  <w:r>
                    <w:rPr>
                      <w:color w:val="000000"/>
                      <w:w w:val="95"/>
                    </w:rPr>
                    <w:t xml:space="preserve">recommends planning for an extension of the ESR to </w:t>
                  </w:r>
                  <w:r>
                    <w:rPr>
                      <w:color w:val="000000"/>
                    </w:rPr>
                    <w:t>Randwick and Maroubra between years 10 and 20 of the Strategy.</w:t>
                  </w:r>
                </w:p>
              </w:txbxContent>
            </v:textbox>
            <w10:wrap anchorx="page"/>
          </v:shape>
        </w:pict>
      </w:r>
      <w:r w:rsidR="00F22F94">
        <w:rPr>
          <w:w w:val="95"/>
        </w:rPr>
        <w:t>An</w:t>
      </w:r>
      <w:r w:rsidR="00F22F94">
        <w:rPr>
          <w:spacing w:val="-5"/>
          <w:w w:val="95"/>
        </w:rPr>
        <w:t xml:space="preserve"> </w:t>
      </w:r>
      <w:r w:rsidR="00F22F94">
        <w:rPr>
          <w:w w:val="95"/>
        </w:rPr>
        <w:t>extension</w:t>
      </w:r>
      <w:r w:rsidR="00F22F94">
        <w:rPr>
          <w:spacing w:val="-5"/>
          <w:w w:val="95"/>
        </w:rPr>
        <w:t xml:space="preserve"> </w:t>
      </w:r>
      <w:r w:rsidR="00F22F94">
        <w:rPr>
          <w:w w:val="95"/>
        </w:rPr>
        <w:t>of</w:t>
      </w:r>
      <w:r w:rsidR="00F22F94">
        <w:rPr>
          <w:spacing w:val="-5"/>
          <w:w w:val="95"/>
        </w:rPr>
        <w:t xml:space="preserve"> </w:t>
      </w:r>
      <w:r w:rsidR="00F22F94">
        <w:rPr>
          <w:w w:val="95"/>
        </w:rPr>
        <w:t>the</w:t>
      </w:r>
      <w:r w:rsidR="00F22F94">
        <w:rPr>
          <w:spacing w:val="-5"/>
          <w:w w:val="95"/>
        </w:rPr>
        <w:t xml:space="preserve"> </w:t>
      </w:r>
      <w:r w:rsidR="00F22F94">
        <w:rPr>
          <w:w w:val="95"/>
        </w:rPr>
        <w:t>ESR</w:t>
      </w:r>
      <w:r w:rsidR="00F22F94">
        <w:rPr>
          <w:spacing w:val="-5"/>
          <w:w w:val="95"/>
        </w:rPr>
        <w:t xml:space="preserve"> </w:t>
      </w:r>
      <w:r w:rsidR="00F22F94">
        <w:rPr>
          <w:w w:val="95"/>
        </w:rPr>
        <w:t>would</w:t>
      </w:r>
      <w:r w:rsidR="00F22F94">
        <w:rPr>
          <w:spacing w:val="-5"/>
          <w:w w:val="95"/>
        </w:rPr>
        <w:t xml:space="preserve"> </w:t>
      </w:r>
      <w:r w:rsidR="00F22F94">
        <w:rPr>
          <w:w w:val="95"/>
        </w:rPr>
        <w:t>complement,</w:t>
      </w:r>
      <w:r w:rsidR="00F22F94">
        <w:rPr>
          <w:spacing w:val="-5"/>
          <w:w w:val="95"/>
        </w:rPr>
        <w:t xml:space="preserve"> </w:t>
      </w:r>
      <w:r w:rsidR="00F22F94">
        <w:rPr>
          <w:w w:val="95"/>
        </w:rPr>
        <w:t>rather</w:t>
      </w:r>
      <w:r w:rsidR="00F22F94">
        <w:rPr>
          <w:spacing w:val="-5"/>
          <w:w w:val="95"/>
        </w:rPr>
        <w:t xml:space="preserve"> </w:t>
      </w:r>
      <w:r w:rsidR="00F22F94">
        <w:rPr>
          <w:w w:val="95"/>
        </w:rPr>
        <w:t xml:space="preserve">than </w:t>
      </w:r>
      <w:r w:rsidR="00F22F94">
        <w:t>compete</w:t>
      </w:r>
      <w:r w:rsidR="00F22F94">
        <w:rPr>
          <w:spacing w:val="-14"/>
        </w:rPr>
        <w:t xml:space="preserve"> </w:t>
      </w:r>
      <w:r w:rsidR="00F22F94">
        <w:t>with,</w:t>
      </w:r>
      <w:r w:rsidR="00F22F94">
        <w:rPr>
          <w:spacing w:val="-14"/>
        </w:rPr>
        <w:t xml:space="preserve"> </w:t>
      </w:r>
      <w:r w:rsidR="00F22F94">
        <w:t>a</w:t>
      </w:r>
      <w:r w:rsidR="00F22F94">
        <w:rPr>
          <w:spacing w:val="-14"/>
        </w:rPr>
        <w:t xml:space="preserve"> </w:t>
      </w:r>
      <w:r w:rsidR="00F22F94">
        <w:t>light</w:t>
      </w:r>
      <w:r w:rsidR="00F22F94">
        <w:rPr>
          <w:spacing w:val="-14"/>
        </w:rPr>
        <w:t xml:space="preserve"> </w:t>
      </w:r>
      <w:r w:rsidR="00F22F94">
        <w:t>rail</w:t>
      </w:r>
      <w:r w:rsidR="00F22F94">
        <w:rPr>
          <w:spacing w:val="-14"/>
        </w:rPr>
        <w:t xml:space="preserve"> </w:t>
      </w:r>
      <w:r w:rsidR="00F22F94">
        <w:t>line</w:t>
      </w:r>
      <w:r w:rsidR="00F22F94">
        <w:rPr>
          <w:spacing w:val="-14"/>
        </w:rPr>
        <w:t xml:space="preserve"> </w:t>
      </w:r>
      <w:r w:rsidR="00F22F94">
        <w:t>along</w:t>
      </w:r>
      <w:r w:rsidR="00F22F94">
        <w:rPr>
          <w:spacing w:val="-14"/>
        </w:rPr>
        <w:t xml:space="preserve"> </w:t>
      </w:r>
      <w:r w:rsidR="00F22F94">
        <w:t>Anzac</w:t>
      </w:r>
      <w:r w:rsidR="00F22F94">
        <w:rPr>
          <w:spacing w:val="-14"/>
        </w:rPr>
        <w:t xml:space="preserve"> </w:t>
      </w:r>
      <w:r w:rsidR="00F22F94">
        <w:t>Parade</w:t>
      </w:r>
      <w:r w:rsidR="00F22F94">
        <w:rPr>
          <w:spacing w:val="-14"/>
        </w:rPr>
        <w:t xml:space="preserve"> </w:t>
      </w:r>
      <w:r w:rsidR="00F22F94">
        <w:t xml:space="preserve">to </w:t>
      </w:r>
      <w:r w:rsidR="00F22F94">
        <w:rPr>
          <w:spacing w:val="-2"/>
        </w:rPr>
        <w:t>Central.</w:t>
      </w:r>
      <w:r w:rsidR="00F22F94">
        <w:rPr>
          <w:spacing w:val="-8"/>
        </w:rPr>
        <w:t xml:space="preserve"> </w:t>
      </w:r>
      <w:r w:rsidR="00F22F94">
        <w:rPr>
          <w:spacing w:val="-2"/>
        </w:rPr>
        <w:t>The</w:t>
      </w:r>
      <w:r w:rsidR="00F22F94">
        <w:rPr>
          <w:spacing w:val="-8"/>
        </w:rPr>
        <w:t xml:space="preserve"> </w:t>
      </w:r>
      <w:r w:rsidR="00F22F94">
        <w:rPr>
          <w:spacing w:val="-2"/>
        </w:rPr>
        <w:t>heavy</w:t>
      </w:r>
      <w:r w:rsidR="00F22F94">
        <w:rPr>
          <w:spacing w:val="-8"/>
        </w:rPr>
        <w:t xml:space="preserve"> </w:t>
      </w:r>
      <w:r w:rsidR="00F22F94">
        <w:rPr>
          <w:spacing w:val="-2"/>
        </w:rPr>
        <w:t>rail</w:t>
      </w:r>
      <w:r w:rsidR="00F22F94">
        <w:rPr>
          <w:spacing w:val="-8"/>
        </w:rPr>
        <w:t xml:space="preserve"> </w:t>
      </w:r>
      <w:r w:rsidR="00F22F94">
        <w:rPr>
          <w:spacing w:val="-2"/>
        </w:rPr>
        <w:t>would</w:t>
      </w:r>
      <w:r w:rsidR="00F22F94">
        <w:rPr>
          <w:spacing w:val="-8"/>
        </w:rPr>
        <w:t xml:space="preserve"> </w:t>
      </w:r>
      <w:r w:rsidR="00F22F94">
        <w:rPr>
          <w:spacing w:val="-2"/>
        </w:rPr>
        <w:t>provide</w:t>
      </w:r>
      <w:r w:rsidR="00F22F94">
        <w:rPr>
          <w:spacing w:val="-8"/>
        </w:rPr>
        <w:t xml:space="preserve"> </w:t>
      </w:r>
      <w:r w:rsidR="00F22F94">
        <w:rPr>
          <w:spacing w:val="-2"/>
        </w:rPr>
        <w:t>the</w:t>
      </w:r>
      <w:r w:rsidR="00F22F94">
        <w:rPr>
          <w:spacing w:val="-8"/>
        </w:rPr>
        <w:t xml:space="preserve"> </w:t>
      </w:r>
      <w:r w:rsidR="00F22F94">
        <w:rPr>
          <w:spacing w:val="-2"/>
        </w:rPr>
        <w:t>rapid</w:t>
      </w:r>
      <w:r w:rsidR="00F22F94">
        <w:rPr>
          <w:spacing w:val="-8"/>
        </w:rPr>
        <w:t xml:space="preserve"> </w:t>
      </w:r>
      <w:r w:rsidR="00F22F94">
        <w:rPr>
          <w:spacing w:val="-2"/>
        </w:rPr>
        <w:t xml:space="preserve">journey </w:t>
      </w:r>
      <w:r w:rsidR="00F22F94">
        <w:t>times</w:t>
      </w:r>
      <w:r w:rsidR="00F22F94">
        <w:rPr>
          <w:spacing w:val="-11"/>
        </w:rPr>
        <w:t xml:space="preserve"> </w:t>
      </w:r>
      <w:r w:rsidR="00F22F94">
        <w:t>and</w:t>
      </w:r>
      <w:r w:rsidR="00F22F94">
        <w:rPr>
          <w:spacing w:val="-11"/>
        </w:rPr>
        <w:t xml:space="preserve"> </w:t>
      </w:r>
      <w:r w:rsidR="00F22F94">
        <w:t>mass</w:t>
      </w:r>
      <w:r w:rsidR="00F22F94">
        <w:rPr>
          <w:spacing w:val="-11"/>
        </w:rPr>
        <w:t xml:space="preserve"> </w:t>
      </w:r>
      <w:r w:rsidR="00F22F94">
        <w:t>transit</w:t>
      </w:r>
      <w:r w:rsidR="00F22F94">
        <w:rPr>
          <w:spacing w:val="-11"/>
        </w:rPr>
        <w:t xml:space="preserve"> </w:t>
      </w:r>
      <w:r w:rsidR="00F22F94">
        <w:t>capacity</w:t>
      </w:r>
      <w:r w:rsidR="00F22F94">
        <w:rPr>
          <w:spacing w:val="-11"/>
        </w:rPr>
        <w:t xml:space="preserve"> </w:t>
      </w:r>
      <w:r w:rsidR="00F22F94">
        <w:t>into</w:t>
      </w:r>
      <w:r w:rsidR="00F22F94">
        <w:rPr>
          <w:spacing w:val="-11"/>
        </w:rPr>
        <w:t xml:space="preserve"> </w:t>
      </w:r>
      <w:r w:rsidR="00F22F94">
        <w:t>the</w:t>
      </w:r>
      <w:r w:rsidR="00F22F94">
        <w:rPr>
          <w:spacing w:val="-11"/>
        </w:rPr>
        <w:t xml:space="preserve"> </w:t>
      </w:r>
      <w:r w:rsidR="00F22F94">
        <w:t>northern</w:t>
      </w:r>
      <w:r w:rsidR="00F22F94">
        <w:rPr>
          <w:spacing w:val="-11"/>
        </w:rPr>
        <w:t xml:space="preserve"> </w:t>
      </w:r>
      <w:r w:rsidR="00F22F94">
        <w:t xml:space="preserve">CBD </w:t>
      </w:r>
      <w:r w:rsidR="00F22F94">
        <w:rPr>
          <w:spacing w:val="-2"/>
        </w:rPr>
        <w:t>that</w:t>
      </w:r>
      <w:r w:rsidR="00F22F94">
        <w:rPr>
          <w:spacing w:val="-11"/>
        </w:rPr>
        <w:t xml:space="preserve"> </w:t>
      </w:r>
      <w:r w:rsidR="00F22F94">
        <w:rPr>
          <w:spacing w:val="-2"/>
        </w:rPr>
        <w:t>light</w:t>
      </w:r>
      <w:r w:rsidR="00F22F94">
        <w:rPr>
          <w:spacing w:val="-11"/>
        </w:rPr>
        <w:t xml:space="preserve"> </w:t>
      </w:r>
      <w:r w:rsidR="00F22F94">
        <w:rPr>
          <w:spacing w:val="-2"/>
        </w:rPr>
        <w:t>rail</w:t>
      </w:r>
      <w:r w:rsidR="00F22F94">
        <w:rPr>
          <w:spacing w:val="-11"/>
        </w:rPr>
        <w:t xml:space="preserve"> </w:t>
      </w:r>
      <w:r w:rsidR="00F22F94">
        <w:rPr>
          <w:spacing w:val="-2"/>
        </w:rPr>
        <w:t>is</w:t>
      </w:r>
      <w:r w:rsidR="00F22F94">
        <w:rPr>
          <w:spacing w:val="-11"/>
        </w:rPr>
        <w:t xml:space="preserve"> </w:t>
      </w:r>
      <w:r w:rsidR="00F22F94">
        <w:rPr>
          <w:spacing w:val="-2"/>
        </w:rPr>
        <w:t>unlikely</w:t>
      </w:r>
      <w:r w:rsidR="00F22F94">
        <w:rPr>
          <w:spacing w:val="-11"/>
        </w:rPr>
        <w:t xml:space="preserve"> </w:t>
      </w:r>
      <w:r w:rsidR="00F22F94">
        <w:rPr>
          <w:spacing w:val="-2"/>
        </w:rPr>
        <w:t>to</w:t>
      </w:r>
      <w:r w:rsidR="00F22F94">
        <w:rPr>
          <w:spacing w:val="-11"/>
        </w:rPr>
        <w:t xml:space="preserve"> </w:t>
      </w:r>
      <w:r w:rsidR="00F22F94">
        <w:rPr>
          <w:spacing w:val="-2"/>
        </w:rPr>
        <w:t>offer</w:t>
      </w:r>
      <w:r w:rsidR="00F22F94">
        <w:rPr>
          <w:spacing w:val="-11"/>
        </w:rPr>
        <w:t xml:space="preserve"> </w:t>
      </w:r>
      <w:r w:rsidR="00F22F94">
        <w:rPr>
          <w:spacing w:val="-2"/>
        </w:rPr>
        <w:t>(refer</w:t>
      </w:r>
      <w:r w:rsidR="00F22F94">
        <w:rPr>
          <w:spacing w:val="-11"/>
        </w:rPr>
        <w:t xml:space="preserve"> </w:t>
      </w:r>
      <w:r w:rsidR="00F22F94">
        <w:rPr>
          <w:spacing w:val="-2"/>
        </w:rPr>
        <w:t>Section</w:t>
      </w:r>
      <w:r w:rsidR="00F22F94">
        <w:rPr>
          <w:spacing w:val="-11"/>
        </w:rPr>
        <w:t xml:space="preserve"> </w:t>
      </w:r>
      <w:r w:rsidR="00F22F94">
        <w:rPr>
          <w:spacing w:val="-2"/>
        </w:rPr>
        <w:t>7).</w:t>
      </w:r>
    </w:p>
    <w:p w:rsidR="002C1123" w:rsidRDefault="002C1123">
      <w:pPr>
        <w:spacing w:line="249" w:lineRule="auto"/>
        <w:sectPr w:rsidR="002C1123">
          <w:type w:val="continuous"/>
          <w:pgSz w:w="16840" w:h="11910" w:orient="landscape"/>
          <w:pgMar w:top="560" w:right="280" w:bottom="280" w:left="500" w:header="0" w:footer="517" w:gutter="0"/>
          <w:cols w:num="2" w:space="720" w:equalWidth="0">
            <w:col w:w="5247" w:space="40"/>
            <w:col w:w="10773"/>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7"/>
        </w:rPr>
      </w:pPr>
    </w:p>
    <w:p w:rsidR="002C1123" w:rsidRDefault="002C1123">
      <w:pPr>
        <w:rPr>
          <w:sz w:val="17"/>
        </w:rPr>
        <w:sectPr w:rsidR="002C1123">
          <w:pgSz w:w="16840" w:h="11910" w:orient="landscape"/>
          <w:pgMar w:top="560" w:right="280" w:bottom="700" w:left="500" w:header="0" w:footer="517" w:gutter="0"/>
          <w:cols w:space="720"/>
        </w:sectPr>
      </w:pPr>
    </w:p>
    <w:p w:rsidR="002C1123" w:rsidRDefault="00F22F94">
      <w:pPr>
        <w:pStyle w:val="Heading5"/>
        <w:numPr>
          <w:ilvl w:val="1"/>
          <w:numId w:val="86"/>
        </w:numPr>
        <w:tabs>
          <w:tab w:val="left" w:pos="942"/>
        </w:tabs>
        <w:ind w:left="941" w:hanging="450"/>
        <w:jc w:val="left"/>
        <w:rPr>
          <w:color w:val="00AEEF"/>
        </w:rPr>
      </w:pPr>
      <w:bookmarkStart w:id="231" w:name="8.7_Summary"/>
      <w:bookmarkStart w:id="232" w:name="_bookmark165"/>
      <w:bookmarkStart w:id="233" w:name="_bookmark164"/>
      <w:bookmarkEnd w:id="231"/>
      <w:bookmarkEnd w:id="232"/>
      <w:bookmarkEnd w:id="233"/>
      <w:r>
        <w:rPr>
          <w:color w:val="00AEEF"/>
          <w:spacing w:val="-2"/>
        </w:rPr>
        <w:t>Summary</w:t>
      </w:r>
    </w:p>
    <w:p w:rsidR="002C1123" w:rsidRDefault="00F22F94">
      <w:pPr>
        <w:pStyle w:val="Heading6"/>
        <w:numPr>
          <w:ilvl w:val="2"/>
          <w:numId w:val="86"/>
        </w:numPr>
        <w:tabs>
          <w:tab w:val="left" w:pos="979"/>
        </w:tabs>
        <w:spacing w:before="135"/>
        <w:ind w:left="978" w:hanging="487"/>
        <w:jc w:val="left"/>
      </w:pPr>
      <w:r>
        <w:rPr>
          <w:color w:val="00AEEF"/>
          <w:spacing w:val="-2"/>
        </w:rPr>
        <w:t>Conclusions</w:t>
      </w:r>
    </w:p>
    <w:p w:rsidR="002C1123" w:rsidRDefault="00F22F94">
      <w:pPr>
        <w:pStyle w:val="BodyText"/>
        <w:spacing w:before="95" w:line="249" w:lineRule="auto"/>
        <w:ind w:left="492" w:right="55"/>
      </w:pPr>
      <w:r>
        <w:rPr>
          <w:w w:val="95"/>
        </w:rPr>
        <w:t xml:space="preserve">An efficient rail system is essential to NSW particularly </w:t>
      </w:r>
      <w:r>
        <w:t>in</w:t>
      </w:r>
      <w:r>
        <w:rPr>
          <w:spacing w:val="-8"/>
        </w:rPr>
        <w:t xml:space="preserve"> </w:t>
      </w:r>
      <w:r>
        <w:t>terms</w:t>
      </w:r>
      <w:r>
        <w:rPr>
          <w:spacing w:val="-8"/>
        </w:rPr>
        <w:t xml:space="preserve"> </w:t>
      </w:r>
      <w:r>
        <w:t>of</w:t>
      </w:r>
      <w:r>
        <w:rPr>
          <w:spacing w:val="-8"/>
        </w:rPr>
        <w:t xml:space="preserve"> </w:t>
      </w:r>
      <w:r>
        <w:t>managing</w:t>
      </w:r>
      <w:r>
        <w:rPr>
          <w:spacing w:val="-8"/>
        </w:rPr>
        <w:t xml:space="preserve"> </w:t>
      </w:r>
      <w:r>
        <w:t>commuter</w:t>
      </w:r>
      <w:r>
        <w:rPr>
          <w:spacing w:val="-8"/>
        </w:rPr>
        <w:t xml:space="preserve"> </w:t>
      </w:r>
      <w:r>
        <w:t>traffic</w:t>
      </w:r>
      <w:r>
        <w:rPr>
          <w:spacing w:val="-8"/>
        </w:rPr>
        <w:t xml:space="preserve"> </w:t>
      </w:r>
      <w:r>
        <w:t>to</w:t>
      </w:r>
      <w:r>
        <w:rPr>
          <w:spacing w:val="-8"/>
        </w:rPr>
        <w:t xml:space="preserve"> </w:t>
      </w:r>
      <w:r>
        <w:t>the</w:t>
      </w:r>
      <w:r>
        <w:rPr>
          <w:spacing w:val="-8"/>
        </w:rPr>
        <w:t xml:space="preserve"> </w:t>
      </w:r>
      <w:r>
        <w:t xml:space="preserve">CBD. </w:t>
      </w:r>
      <w:r>
        <w:rPr>
          <w:w w:val="95"/>
        </w:rPr>
        <w:t xml:space="preserve">Infrastructure NSW strongly supports the Government’s </w:t>
      </w:r>
      <w:r>
        <w:t>strategy</w:t>
      </w:r>
      <w:r>
        <w:rPr>
          <w:spacing w:val="-10"/>
        </w:rPr>
        <w:t xml:space="preserve"> </w:t>
      </w:r>
      <w:r>
        <w:t>to</w:t>
      </w:r>
      <w:r>
        <w:rPr>
          <w:spacing w:val="-10"/>
        </w:rPr>
        <w:t xml:space="preserve"> </w:t>
      </w:r>
      <w:r>
        <w:t>bring</w:t>
      </w:r>
      <w:r>
        <w:rPr>
          <w:spacing w:val="-10"/>
        </w:rPr>
        <w:t xml:space="preserve"> </w:t>
      </w:r>
      <w:r>
        <w:t>Sydney’s</w:t>
      </w:r>
      <w:r>
        <w:rPr>
          <w:spacing w:val="-10"/>
        </w:rPr>
        <w:t xml:space="preserve"> </w:t>
      </w:r>
      <w:r>
        <w:t>train</w:t>
      </w:r>
      <w:r>
        <w:rPr>
          <w:spacing w:val="-10"/>
        </w:rPr>
        <w:t xml:space="preserve"> </w:t>
      </w:r>
      <w:r>
        <w:t>services</w:t>
      </w:r>
      <w:r>
        <w:rPr>
          <w:spacing w:val="-10"/>
        </w:rPr>
        <w:t xml:space="preserve"> </w:t>
      </w:r>
      <w:r>
        <w:t>up</w:t>
      </w:r>
      <w:r>
        <w:rPr>
          <w:spacing w:val="-10"/>
        </w:rPr>
        <w:t xml:space="preserve"> </w:t>
      </w:r>
      <w:r>
        <w:t>to</w:t>
      </w:r>
      <w:r>
        <w:rPr>
          <w:spacing w:val="-10"/>
        </w:rPr>
        <w:t xml:space="preserve"> </w:t>
      </w:r>
      <w:r>
        <w:t>world- class</w:t>
      </w:r>
      <w:r>
        <w:rPr>
          <w:spacing w:val="-9"/>
        </w:rPr>
        <w:t xml:space="preserve"> </w:t>
      </w:r>
      <w:r>
        <w:t>standards</w:t>
      </w:r>
      <w:r>
        <w:rPr>
          <w:spacing w:val="-9"/>
        </w:rPr>
        <w:t xml:space="preserve"> </w:t>
      </w:r>
      <w:r>
        <w:t>and</w:t>
      </w:r>
      <w:r>
        <w:rPr>
          <w:spacing w:val="-9"/>
        </w:rPr>
        <w:t xml:space="preserve"> </w:t>
      </w:r>
      <w:r>
        <w:t>put</w:t>
      </w:r>
      <w:r>
        <w:rPr>
          <w:spacing w:val="-9"/>
        </w:rPr>
        <w:t xml:space="preserve"> </w:t>
      </w:r>
      <w:r>
        <w:t>the</w:t>
      </w:r>
      <w:r>
        <w:rPr>
          <w:spacing w:val="-9"/>
        </w:rPr>
        <w:t xml:space="preserve"> </w:t>
      </w:r>
      <w:r>
        <w:t>rail</w:t>
      </w:r>
      <w:r>
        <w:rPr>
          <w:spacing w:val="-9"/>
        </w:rPr>
        <w:t xml:space="preserve"> </w:t>
      </w:r>
      <w:r>
        <w:t>system</w:t>
      </w:r>
      <w:r>
        <w:rPr>
          <w:spacing w:val="-10"/>
        </w:rPr>
        <w:t xml:space="preserve"> </w:t>
      </w:r>
      <w:r>
        <w:t>back</w:t>
      </w:r>
      <w:r>
        <w:rPr>
          <w:spacing w:val="-9"/>
        </w:rPr>
        <w:t xml:space="preserve"> </w:t>
      </w:r>
      <w:r>
        <w:t>onto</w:t>
      </w:r>
      <w:r>
        <w:rPr>
          <w:spacing w:val="-9"/>
        </w:rPr>
        <w:t xml:space="preserve"> </w:t>
      </w:r>
      <w:r>
        <w:t>a sustainable financial footing.</w:t>
      </w:r>
    </w:p>
    <w:p w:rsidR="002C1123" w:rsidRDefault="00F22F94">
      <w:pPr>
        <w:pStyle w:val="BodyText"/>
        <w:spacing w:before="146" w:line="249" w:lineRule="auto"/>
        <w:ind w:left="492" w:right="4"/>
      </w:pPr>
      <w:r>
        <w:rPr>
          <w:w w:val="90"/>
        </w:rPr>
        <w:t xml:space="preserve">Infrastructure NSW supports the three tier railway concept </w:t>
      </w:r>
      <w:r>
        <w:rPr>
          <w:spacing w:val="-2"/>
        </w:rPr>
        <w:t>set</w:t>
      </w:r>
      <w:r>
        <w:rPr>
          <w:spacing w:val="-7"/>
        </w:rPr>
        <w:t xml:space="preserve"> </w:t>
      </w:r>
      <w:r>
        <w:rPr>
          <w:spacing w:val="-2"/>
        </w:rPr>
        <w:t>out</w:t>
      </w:r>
      <w:r>
        <w:rPr>
          <w:spacing w:val="-7"/>
        </w:rPr>
        <w:t xml:space="preserve"> </w:t>
      </w:r>
      <w:r>
        <w:rPr>
          <w:spacing w:val="-2"/>
        </w:rPr>
        <w:t>in</w:t>
      </w:r>
      <w:r>
        <w:rPr>
          <w:spacing w:val="-7"/>
        </w:rPr>
        <w:t xml:space="preserve"> </w:t>
      </w:r>
      <w:r>
        <w:rPr>
          <w:spacing w:val="-2"/>
        </w:rPr>
        <w:t>Sydney’s</w:t>
      </w:r>
      <w:r>
        <w:rPr>
          <w:spacing w:val="-7"/>
        </w:rPr>
        <w:t xml:space="preserve"> </w:t>
      </w:r>
      <w:r>
        <w:rPr>
          <w:spacing w:val="-2"/>
        </w:rPr>
        <w:t>Rail</w:t>
      </w:r>
      <w:r>
        <w:rPr>
          <w:spacing w:val="-7"/>
        </w:rPr>
        <w:t xml:space="preserve"> </w:t>
      </w:r>
      <w:r>
        <w:rPr>
          <w:spacing w:val="-2"/>
        </w:rPr>
        <w:t>Future,</w:t>
      </w:r>
      <w:r>
        <w:rPr>
          <w:spacing w:val="-7"/>
        </w:rPr>
        <w:t xml:space="preserve"> </w:t>
      </w:r>
      <w:r>
        <w:rPr>
          <w:spacing w:val="-2"/>
        </w:rPr>
        <w:t>including</w:t>
      </w:r>
      <w:r>
        <w:rPr>
          <w:spacing w:val="-7"/>
        </w:rPr>
        <w:t xml:space="preserve"> </w:t>
      </w:r>
      <w:r>
        <w:rPr>
          <w:spacing w:val="-2"/>
        </w:rPr>
        <w:t>a</w:t>
      </w:r>
      <w:r>
        <w:rPr>
          <w:spacing w:val="-7"/>
        </w:rPr>
        <w:t xml:space="preserve"> </w:t>
      </w:r>
      <w:r>
        <w:rPr>
          <w:spacing w:val="-2"/>
        </w:rPr>
        <w:t>rapid</w:t>
      </w:r>
      <w:r>
        <w:rPr>
          <w:spacing w:val="-7"/>
        </w:rPr>
        <w:t xml:space="preserve"> </w:t>
      </w:r>
      <w:r>
        <w:rPr>
          <w:spacing w:val="-2"/>
        </w:rPr>
        <w:t xml:space="preserve">transit </w:t>
      </w:r>
      <w:r>
        <w:rPr>
          <w:w w:val="90"/>
        </w:rPr>
        <w:t xml:space="preserve">network that has the NWRL as its first stage. Infrastructure </w:t>
      </w:r>
      <w:r>
        <w:t>NSW</w:t>
      </w:r>
      <w:r>
        <w:rPr>
          <w:spacing w:val="-14"/>
        </w:rPr>
        <w:t xml:space="preserve"> </w:t>
      </w:r>
      <w:r>
        <w:t>recommends</w:t>
      </w:r>
      <w:r>
        <w:rPr>
          <w:spacing w:val="-14"/>
        </w:rPr>
        <w:t xml:space="preserve"> </w:t>
      </w:r>
      <w:r>
        <w:t>further</w:t>
      </w:r>
      <w:r>
        <w:rPr>
          <w:spacing w:val="-14"/>
        </w:rPr>
        <w:t xml:space="preserve"> </w:t>
      </w:r>
      <w:r>
        <w:t>work</w:t>
      </w:r>
      <w:r>
        <w:rPr>
          <w:spacing w:val="-14"/>
        </w:rPr>
        <w:t xml:space="preserve"> </w:t>
      </w:r>
      <w:r>
        <w:t>on</w:t>
      </w:r>
      <w:r>
        <w:rPr>
          <w:spacing w:val="-14"/>
        </w:rPr>
        <w:t xml:space="preserve"> </w:t>
      </w:r>
      <w:r>
        <w:t>how</w:t>
      </w:r>
      <w:r>
        <w:rPr>
          <w:spacing w:val="-14"/>
        </w:rPr>
        <w:t xml:space="preserve"> </w:t>
      </w:r>
      <w:r>
        <w:t>to</w:t>
      </w:r>
      <w:r>
        <w:rPr>
          <w:spacing w:val="-14"/>
        </w:rPr>
        <w:t xml:space="preserve"> </w:t>
      </w:r>
      <w:r>
        <w:t>best</w:t>
      </w:r>
      <w:r>
        <w:rPr>
          <w:spacing w:val="-14"/>
        </w:rPr>
        <w:t xml:space="preserve"> </w:t>
      </w:r>
      <w:r>
        <w:t xml:space="preserve">expand </w:t>
      </w:r>
      <w:r>
        <w:rPr>
          <w:w w:val="95"/>
        </w:rPr>
        <w:t>rapid transit services from Chatswood to the CBD.</w:t>
      </w:r>
    </w:p>
    <w:p w:rsidR="002C1123" w:rsidRDefault="00F22F94">
      <w:pPr>
        <w:pStyle w:val="BodyText"/>
        <w:spacing w:before="146" w:line="249" w:lineRule="auto"/>
        <w:ind w:left="492"/>
      </w:pPr>
      <w:r>
        <w:rPr>
          <w:w w:val="95"/>
        </w:rPr>
        <w:t xml:space="preserve">Re-signalling the existing lines, combined with targeted </w:t>
      </w:r>
      <w:r>
        <w:t>capacity</w:t>
      </w:r>
      <w:r>
        <w:rPr>
          <w:spacing w:val="-13"/>
        </w:rPr>
        <w:t xml:space="preserve"> </w:t>
      </w:r>
      <w:r>
        <w:t>upgrades,</w:t>
      </w:r>
      <w:r>
        <w:rPr>
          <w:spacing w:val="-13"/>
        </w:rPr>
        <w:t xml:space="preserve"> </w:t>
      </w:r>
      <w:r>
        <w:t>could</w:t>
      </w:r>
      <w:r>
        <w:rPr>
          <w:spacing w:val="-13"/>
        </w:rPr>
        <w:t xml:space="preserve"> </w:t>
      </w:r>
      <w:r>
        <w:t>bring</w:t>
      </w:r>
      <w:r>
        <w:rPr>
          <w:spacing w:val="-13"/>
        </w:rPr>
        <w:t xml:space="preserve"> </w:t>
      </w:r>
      <w:r>
        <w:t>the</w:t>
      </w:r>
      <w:r>
        <w:rPr>
          <w:spacing w:val="-13"/>
        </w:rPr>
        <w:t xml:space="preserve"> </w:t>
      </w:r>
      <w:r>
        <w:t>benefits</w:t>
      </w:r>
      <w:r>
        <w:rPr>
          <w:spacing w:val="-13"/>
        </w:rPr>
        <w:t xml:space="preserve"> </w:t>
      </w:r>
      <w:r>
        <w:t>of</w:t>
      </w:r>
      <w:r>
        <w:rPr>
          <w:spacing w:val="-13"/>
        </w:rPr>
        <w:t xml:space="preserve"> </w:t>
      </w:r>
      <w:r>
        <w:t>this</w:t>
      </w:r>
      <w:r>
        <w:rPr>
          <w:spacing w:val="-13"/>
        </w:rPr>
        <w:t xml:space="preserve"> </w:t>
      </w:r>
      <w:r>
        <w:t xml:space="preserve">new </w:t>
      </w:r>
      <w:r>
        <w:rPr>
          <w:w w:val="95"/>
        </w:rPr>
        <w:t>technology</w:t>
      </w:r>
      <w:r>
        <w:rPr>
          <w:spacing w:val="-1"/>
          <w:w w:val="95"/>
        </w:rPr>
        <w:t xml:space="preserve"> </w:t>
      </w:r>
      <w:r>
        <w:rPr>
          <w:w w:val="95"/>
        </w:rPr>
        <w:t>to</w:t>
      </w:r>
      <w:r>
        <w:rPr>
          <w:spacing w:val="-1"/>
          <w:w w:val="95"/>
        </w:rPr>
        <w:t xml:space="preserve"> </w:t>
      </w:r>
      <w:r>
        <w:rPr>
          <w:w w:val="95"/>
        </w:rPr>
        <w:t>more</w:t>
      </w:r>
      <w:r>
        <w:rPr>
          <w:spacing w:val="-1"/>
          <w:w w:val="95"/>
        </w:rPr>
        <w:t xml:space="preserve"> </w:t>
      </w:r>
      <w:r>
        <w:rPr>
          <w:w w:val="95"/>
        </w:rPr>
        <w:t>customers,</w:t>
      </w:r>
      <w:r>
        <w:rPr>
          <w:spacing w:val="-1"/>
          <w:w w:val="95"/>
        </w:rPr>
        <w:t xml:space="preserve"> </w:t>
      </w:r>
      <w:r>
        <w:rPr>
          <w:w w:val="95"/>
        </w:rPr>
        <w:t>and</w:t>
      </w:r>
      <w:r>
        <w:rPr>
          <w:spacing w:val="-1"/>
          <w:w w:val="95"/>
        </w:rPr>
        <w:t xml:space="preserve"> </w:t>
      </w:r>
      <w:r>
        <w:rPr>
          <w:w w:val="95"/>
        </w:rPr>
        <w:t>more</w:t>
      </w:r>
      <w:r>
        <w:rPr>
          <w:spacing w:val="-1"/>
          <w:w w:val="95"/>
        </w:rPr>
        <w:t xml:space="preserve"> </w:t>
      </w:r>
      <w:r>
        <w:rPr>
          <w:w w:val="95"/>
        </w:rPr>
        <w:t>quickly,</w:t>
      </w:r>
      <w:r>
        <w:rPr>
          <w:spacing w:val="-1"/>
          <w:w w:val="95"/>
        </w:rPr>
        <w:t xml:space="preserve"> </w:t>
      </w:r>
      <w:r>
        <w:rPr>
          <w:w w:val="95"/>
        </w:rPr>
        <w:t>than</w:t>
      </w:r>
      <w:r>
        <w:rPr>
          <w:spacing w:val="-1"/>
          <w:w w:val="95"/>
        </w:rPr>
        <w:t xml:space="preserve"> </w:t>
      </w:r>
      <w:r>
        <w:rPr>
          <w:w w:val="95"/>
        </w:rPr>
        <w:t xml:space="preserve">a </w:t>
      </w:r>
      <w:r>
        <w:t>second harbour crossing.</w:t>
      </w:r>
    </w:p>
    <w:p w:rsidR="002C1123" w:rsidRDefault="00F22F94">
      <w:pPr>
        <w:pStyle w:val="BodyText"/>
        <w:spacing w:before="145" w:line="249" w:lineRule="auto"/>
        <w:ind w:left="492"/>
      </w:pPr>
      <w:r>
        <w:t>Infrastructure</w:t>
      </w:r>
      <w:r>
        <w:rPr>
          <w:spacing w:val="-14"/>
        </w:rPr>
        <w:t xml:space="preserve"> </w:t>
      </w:r>
      <w:r>
        <w:t>NSW</w:t>
      </w:r>
      <w:r>
        <w:rPr>
          <w:spacing w:val="-14"/>
        </w:rPr>
        <w:t xml:space="preserve"> </w:t>
      </w:r>
      <w:r>
        <w:t>also</w:t>
      </w:r>
      <w:r>
        <w:rPr>
          <w:spacing w:val="-14"/>
        </w:rPr>
        <w:t xml:space="preserve"> </w:t>
      </w:r>
      <w:r>
        <w:t>recommends</w:t>
      </w:r>
      <w:r>
        <w:rPr>
          <w:spacing w:val="-14"/>
        </w:rPr>
        <w:t xml:space="preserve"> </w:t>
      </w:r>
      <w:r>
        <w:t>that</w:t>
      </w:r>
      <w:r>
        <w:rPr>
          <w:spacing w:val="-14"/>
        </w:rPr>
        <w:t xml:space="preserve"> </w:t>
      </w:r>
      <w:r>
        <w:t>work</w:t>
      </w:r>
      <w:r>
        <w:rPr>
          <w:spacing w:val="-14"/>
        </w:rPr>
        <w:t xml:space="preserve"> </w:t>
      </w:r>
      <w:r>
        <w:t>be undertaken</w:t>
      </w:r>
      <w:r>
        <w:rPr>
          <w:spacing w:val="-14"/>
        </w:rPr>
        <w:t xml:space="preserve"> </w:t>
      </w:r>
      <w:r>
        <w:t>to</w:t>
      </w:r>
      <w:r>
        <w:rPr>
          <w:spacing w:val="-14"/>
        </w:rPr>
        <w:t xml:space="preserve"> </w:t>
      </w:r>
      <w:r>
        <w:t>assess</w:t>
      </w:r>
      <w:r>
        <w:rPr>
          <w:spacing w:val="-14"/>
        </w:rPr>
        <w:t xml:space="preserve"> </w:t>
      </w:r>
      <w:r>
        <w:t>how</w:t>
      </w:r>
      <w:r>
        <w:rPr>
          <w:spacing w:val="-14"/>
        </w:rPr>
        <w:t xml:space="preserve"> </w:t>
      </w:r>
      <w:r>
        <w:t>the</w:t>
      </w:r>
      <w:r>
        <w:rPr>
          <w:spacing w:val="-14"/>
        </w:rPr>
        <w:t xml:space="preserve"> </w:t>
      </w:r>
      <w:r>
        <w:t>City</w:t>
      </w:r>
      <w:r>
        <w:rPr>
          <w:spacing w:val="-14"/>
        </w:rPr>
        <w:t xml:space="preserve"> </w:t>
      </w:r>
      <w:r>
        <w:t>Circle</w:t>
      </w:r>
      <w:r>
        <w:rPr>
          <w:spacing w:val="-14"/>
        </w:rPr>
        <w:t xml:space="preserve"> </w:t>
      </w:r>
      <w:r>
        <w:t>can</w:t>
      </w:r>
      <w:r>
        <w:rPr>
          <w:spacing w:val="-14"/>
        </w:rPr>
        <w:t xml:space="preserve"> </w:t>
      </w:r>
      <w:r>
        <w:t>be</w:t>
      </w:r>
      <w:r>
        <w:rPr>
          <w:spacing w:val="-14"/>
        </w:rPr>
        <w:t xml:space="preserve"> </w:t>
      </w:r>
      <w:r>
        <w:t xml:space="preserve">more </w:t>
      </w:r>
      <w:r>
        <w:rPr>
          <w:spacing w:val="-2"/>
        </w:rPr>
        <w:t>intensively</w:t>
      </w:r>
      <w:r>
        <w:rPr>
          <w:spacing w:val="-10"/>
        </w:rPr>
        <w:t xml:space="preserve"> </w:t>
      </w:r>
      <w:r>
        <w:rPr>
          <w:spacing w:val="-2"/>
        </w:rPr>
        <w:t>used,</w:t>
      </w:r>
      <w:r>
        <w:rPr>
          <w:spacing w:val="-10"/>
        </w:rPr>
        <w:t xml:space="preserve"> </w:t>
      </w:r>
      <w:r>
        <w:rPr>
          <w:spacing w:val="-2"/>
        </w:rPr>
        <w:t>since</w:t>
      </w:r>
      <w:r>
        <w:rPr>
          <w:spacing w:val="-10"/>
        </w:rPr>
        <w:t xml:space="preserve"> </w:t>
      </w:r>
      <w:r>
        <w:rPr>
          <w:spacing w:val="-2"/>
        </w:rPr>
        <w:t>this</w:t>
      </w:r>
      <w:r>
        <w:rPr>
          <w:spacing w:val="-10"/>
        </w:rPr>
        <w:t xml:space="preserve"> </w:t>
      </w:r>
      <w:r>
        <w:rPr>
          <w:spacing w:val="-2"/>
        </w:rPr>
        <w:t>may</w:t>
      </w:r>
      <w:r>
        <w:rPr>
          <w:spacing w:val="-10"/>
        </w:rPr>
        <w:t xml:space="preserve"> </w:t>
      </w:r>
      <w:r>
        <w:rPr>
          <w:spacing w:val="-2"/>
        </w:rPr>
        <w:t>defer</w:t>
      </w:r>
      <w:r>
        <w:rPr>
          <w:spacing w:val="-10"/>
        </w:rPr>
        <w:t xml:space="preserve"> </w:t>
      </w:r>
      <w:r>
        <w:rPr>
          <w:spacing w:val="-2"/>
        </w:rPr>
        <w:t>the</w:t>
      </w:r>
      <w:r>
        <w:rPr>
          <w:spacing w:val="-10"/>
        </w:rPr>
        <w:t xml:space="preserve"> </w:t>
      </w:r>
      <w:r>
        <w:rPr>
          <w:spacing w:val="-2"/>
        </w:rPr>
        <w:t>need</w:t>
      </w:r>
      <w:r>
        <w:rPr>
          <w:spacing w:val="-10"/>
        </w:rPr>
        <w:t xml:space="preserve"> </w:t>
      </w:r>
      <w:r>
        <w:rPr>
          <w:spacing w:val="-2"/>
        </w:rPr>
        <w:t xml:space="preserve">to </w:t>
      </w:r>
      <w:r>
        <w:rPr>
          <w:w w:val="90"/>
        </w:rPr>
        <w:t>construct a new line through the CBD for several decades.</w:t>
      </w:r>
    </w:p>
    <w:p w:rsidR="002C1123" w:rsidRDefault="00F22F94">
      <w:pPr>
        <w:pStyle w:val="BodyText"/>
        <w:spacing w:before="145" w:line="249" w:lineRule="auto"/>
        <w:ind w:left="492" w:right="83"/>
      </w:pPr>
      <w:r>
        <w:t>Infrastructure</w:t>
      </w:r>
      <w:r>
        <w:rPr>
          <w:spacing w:val="-14"/>
        </w:rPr>
        <w:t xml:space="preserve"> </w:t>
      </w:r>
      <w:r>
        <w:t>NSW</w:t>
      </w:r>
      <w:r>
        <w:rPr>
          <w:spacing w:val="-14"/>
        </w:rPr>
        <w:t xml:space="preserve"> </w:t>
      </w:r>
      <w:r>
        <w:t>has</w:t>
      </w:r>
      <w:r>
        <w:rPr>
          <w:spacing w:val="-14"/>
        </w:rPr>
        <w:t xml:space="preserve"> </w:t>
      </w:r>
      <w:r>
        <w:t>identified</w:t>
      </w:r>
      <w:r>
        <w:rPr>
          <w:spacing w:val="-14"/>
        </w:rPr>
        <w:t xml:space="preserve"> </w:t>
      </w:r>
      <w:r>
        <w:t>that</w:t>
      </w:r>
      <w:r>
        <w:rPr>
          <w:spacing w:val="-14"/>
        </w:rPr>
        <w:t xml:space="preserve"> </w:t>
      </w:r>
      <w:r>
        <w:t>faster</w:t>
      </w:r>
      <w:r>
        <w:rPr>
          <w:spacing w:val="-14"/>
        </w:rPr>
        <w:t xml:space="preserve"> </w:t>
      </w:r>
      <w:r>
        <w:t xml:space="preserve">train </w:t>
      </w:r>
      <w:r>
        <w:rPr>
          <w:w w:val="95"/>
        </w:rPr>
        <w:t xml:space="preserve">services from the Illawarra, Central Coast and Hunter </w:t>
      </w:r>
      <w:r>
        <w:t>may</w:t>
      </w:r>
      <w:r>
        <w:rPr>
          <w:spacing w:val="-14"/>
        </w:rPr>
        <w:t xml:space="preserve"> </w:t>
      </w:r>
      <w:r>
        <w:t>assist</w:t>
      </w:r>
      <w:r>
        <w:rPr>
          <w:spacing w:val="-14"/>
        </w:rPr>
        <w:t xml:space="preserve"> </w:t>
      </w:r>
      <w:r>
        <w:t>in</w:t>
      </w:r>
      <w:r>
        <w:rPr>
          <w:spacing w:val="-13"/>
        </w:rPr>
        <w:t xml:space="preserve"> </w:t>
      </w:r>
      <w:r>
        <w:t>managing</w:t>
      </w:r>
      <w:r>
        <w:rPr>
          <w:spacing w:val="-14"/>
        </w:rPr>
        <w:t xml:space="preserve"> </w:t>
      </w:r>
      <w:r>
        <w:t>the</w:t>
      </w:r>
      <w:r>
        <w:rPr>
          <w:spacing w:val="-14"/>
        </w:rPr>
        <w:t xml:space="preserve"> </w:t>
      </w:r>
      <w:r>
        <w:t>challenge</w:t>
      </w:r>
      <w:r>
        <w:rPr>
          <w:spacing w:val="-13"/>
        </w:rPr>
        <w:t xml:space="preserve"> </w:t>
      </w:r>
      <w:r>
        <w:t>of</w:t>
      </w:r>
      <w:r>
        <w:rPr>
          <w:spacing w:val="-14"/>
        </w:rPr>
        <w:t xml:space="preserve"> </w:t>
      </w:r>
      <w:r>
        <w:t>a</w:t>
      </w:r>
      <w:r>
        <w:rPr>
          <w:spacing w:val="-14"/>
        </w:rPr>
        <w:t xml:space="preserve"> </w:t>
      </w:r>
      <w:r>
        <w:t>growing population.</w:t>
      </w:r>
      <w:r>
        <w:rPr>
          <w:spacing w:val="-9"/>
        </w:rPr>
        <w:t xml:space="preserve"> </w:t>
      </w:r>
      <w:r>
        <w:t>Infrastructure</w:t>
      </w:r>
      <w:r>
        <w:rPr>
          <w:spacing w:val="-9"/>
        </w:rPr>
        <w:t xml:space="preserve"> </w:t>
      </w:r>
      <w:r>
        <w:t>NSW</w:t>
      </w:r>
      <w:r>
        <w:rPr>
          <w:spacing w:val="-9"/>
        </w:rPr>
        <w:t xml:space="preserve"> </w:t>
      </w:r>
      <w:r>
        <w:t>recommends</w:t>
      </w:r>
      <w:r>
        <w:rPr>
          <w:spacing w:val="-9"/>
        </w:rPr>
        <w:t xml:space="preserve"> </w:t>
      </w:r>
      <w:r>
        <w:t>that</w:t>
      </w:r>
      <w:r>
        <w:rPr>
          <w:spacing w:val="-9"/>
        </w:rPr>
        <w:t xml:space="preserve"> </w:t>
      </w:r>
      <w:r>
        <w:t>a program</w:t>
      </w:r>
      <w:r>
        <w:rPr>
          <w:spacing w:val="-13"/>
        </w:rPr>
        <w:t xml:space="preserve"> </w:t>
      </w:r>
      <w:r>
        <w:t>of</w:t>
      </w:r>
      <w:r>
        <w:rPr>
          <w:spacing w:val="-12"/>
        </w:rPr>
        <w:t xml:space="preserve"> </w:t>
      </w:r>
      <w:r>
        <w:t>incremental</w:t>
      </w:r>
      <w:r>
        <w:rPr>
          <w:spacing w:val="-12"/>
        </w:rPr>
        <w:t xml:space="preserve"> </w:t>
      </w:r>
      <w:r>
        <w:t>improvement</w:t>
      </w:r>
      <w:r>
        <w:rPr>
          <w:spacing w:val="-12"/>
        </w:rPr>
        <w:t xml:space="preserve"> </w:t>
      </w:r>
      <w:r>
        <w:t>to</w:t>
      </w:r>
      <w:r>
        <w:rPr>
          <w:spacing w:val="-12"/>
        </w:rPr>
        <w:t xml:space="preserve"> </w:t>
      </w:r>
      <w:r>
        <w:t>travel</w:t>
      </w:r>
      <w:r>
        <w:rPr>
          <w:spacing w:val="-12"/>
        </w:rPr>
        <w:t xml:space="preserve"> </w:t>
      </w:r>
      <w:r>
        <w:t xml:space="preserve">times </w:t>
      </w:r>
      <w:r>
        <w:rPr>
          <w:w w:val="95"/>
        </w:rPr>
        <w:t>be</w:t>
      </w:r>
      <w:r>
        <w:rPr>
          <w:spacing w:val="-6"/>
          <w:w w:val="95"/>
        </w:rPr>
        <w:t xml:space="preserve"> </w:t>
      </w:r>
      <w:r>
        <w:rPr>
          <w:w w:val="95"/>
        </w:rPr>
        <w:t>undertaken,</w:t>
      </w:r>
      <w:r>
        <w:rPr>
          <w:spacing w:val="-6"/>
          <w:w w:val="95"/>
        </w:rPr>
        <w:t xml:space="preserve"> </w:t>
      </w:r>
      <w:r>
        <w:rPr>
          <w:w w:val="95"/>
        </w:rPr>
        <w:t>with</w:t>
      </w:r>
      <w:r>
        <w:rPr>
          <w:spacing w:val="-6"/>
          <w:w w:val="95"/>
        </w:rPr>
        <w:t xml:space="preserve"> </w:t>
      </w:r>
      <w:r>
        <w:rPr>
          <w:w w:val="95"/>
        </w:rPr>
        <w:t>a</w:t>
      </w:r>
      <w:r>
        <w:rPr>
          <w:spacing w:val="-6"/>
          <w:w w:val="95"/>
        </w:rPr>
        <w:t xml:space="preserve"> </w:t>
      </w:r>
      <w:r>
        <w:rPr>
          <w:w w:val="95"/>
        </w:rPr>
        <w:t>target</w:t>
      </w:r>
      <w:r>
        <w:rPr>
          <w:spacing w:val="-6"/>
          <w:w w:val="95"/>
        </w:rPr>
        <w:t xml:space="preserve"> </w:t>
      </w:r>
      <w:r>
        <w:rPr>
          <w:w w:val="95"/>
        </w:rPr>
        <w:t>of</w:t>
      </w:r>
      <w:r>
        <w:rPr>
          <w:spacing w:val="-6"/>
          <w:w w:val="95"/>
        </w:rPr>
        <w:t xml:space="preserve"> </w:t>
      </w:r>
      <w:r>
        <w:rPr>
          <w:w w:val="95"/>
        </w:rPr>
        <w:t>a</w:t>
      </w:r>
      <w:r>
        <w:rPr>
          <w:spacing w:val="-6"/>
          <w:w w:val="95"/>
        </w:rPr>
        <w:t xml:space="preserve"> </w:t>
      </w:r>
      <w:r>
        <w:rPr>
          <w:w w:val="95"/>
        </w:rPr>
        <w:t>one</w:t>
      </w:r>
      <w:r>
        <w:rPr>
          <w:spacing w:val="-6"/>
          <w:w w:val="95"/>
        </w:rPr>
        <w:t xml:space="preserve"> </w:t>
      </w:r>
      <w:r>
        <w:rPr>
          <w:w w:val="95"/>
        </w:rPr>
        <w:t>hour</w:t>
      </w:r>
      <w:r>
        <w:rPr>
          <w:spacing w:val="-6"/>
          <w:w w:val="95"/>
        </w:rPr>
        <w:t xml:space="preserve"> </w:t>
      </w:r>
      <w:r>
        <w:rPr>
          <w:w w:val="95"/>
        </w:rPr>
        <w:t>journey</w:t>
      </w:r>
      <w:r>
        <w:rPr>
          <w:spacing w:val="-6"/>
          <w:w w:val="95"/>
        </w:rPr>
        <w:t xml:space="preserve"> </w:t>
      </w:r>
      <w:r>
        <w:rPr>
          <w:w w:val="95"/>
        </w:rPr>
        <w:t>time</w:t>
      </w:r>
    </w:p>
    <w:p w:rsidR="002C1123" w:rsidRDefault="00F22F94">
      <w:pPr>
        <w:pStyle w:val="BodyText"/>
        <w:spacing w:before="5" w:line="249" w:lineRule="auto"/>
        <w:ind w:left="492"/>
      </w:pPr>
      <w:r>
        <w:rPr>
          <w:w w:val="95"/>
        </w:rPr>
        <w:t>between</w:t>
      </w:r>
      <w:r>
        <w:rPr>
          <w:spacing w:val="-2"/>
          <w:w w:val="95"/>
        </w:rPr>
        <w:t xml:space="preserve"> </w:t>
      </w:r>
      <w:r>
        <w:rPr>
          <w:w w:val="95"/>
        </w:rPr>
        <w:t>Wollongong</w:t>
      </w:r>
      <w:r>
        <w:rPr>
          <w:spacing w:val="-2"/>
          <w:w w:val="95"/>
        </w:rPr>
        <w:t xml:space="preserve"> </w:t>
      </w:r>
      <w:r>
        <w:rPr>
          <w:w w:val="95"/>
        </w:rPr>
        <w:t>and</w:t>
      </w:r>
      <w:r>
        <w:rPr>
          <w:spacing w:val="-2"/>
          <w:w w:val="95"/>
        </w:rPr>
        <w:t xml:space="preserve"> </w:t>
      </w:r>
      <w:r>
        <w:rPr>
          <w:w w:val="95"/>
        </w:rPr>
        <w:t>Gosford</w:t>
      </w:r>
      <w:r>
        <w:rPr>
          <w:spacing w:val="-2"/>
          <w:w w:val="95"/>
        </w:rPr>
        <w:t xml:space="preserve"> </w:t>
      </w:r>
      <w:r>
        <w:rPr>
          <w:w w:val="95"/>
        </w:rPr>
        <w:t>to</w:t>
      </w:r>
      <w:r>
        <w:rPr>
          <w:spacing w:val="-2"/>
          <w:w w:val="95"/>
        </w:rPr>
        <w:t xml:space="preserve"> </w:t>
      </w:r>
      <w:r>
        <w:rPr>
          <w:w w:val="95"/>
        </w:rPr>
        <w:t>Sydney,</w:t>
      </w:r>
      <w:r>
        <w:rPr>
          <w:spacing w:val="-2"/>
          <w:w w:val="95"/>
        </w:rPr>
        <w:t xml:space="preserve"> </w:t>
      </w:r>
      <w:r>
        <w:rPr>
          <w:w w:val="95"/>
        </w:rPr>
        <w:t>and</w:t>
      </w:r>
      <w:r>
        <w:rPr>
          <w:spacing w:val="-2"/>
          <w:w w:val="95"/>
        </w:rPr>
        <w:t xml:space="preserve"> </w:t>
      </w:r>
      <w:r>
        <w:rPr>
          <w:w w:val="95"/>
        </w:rPr>
        <w:t>a</w:t>
      </w:r>
      <w:r>
        <w:rPr>
          <w:spacing w:val="-2"/>
          <w:w w:val="95"/>
        </w:rPr>
        <w:t xml:space="preserve"> </w:t>
      </w:r>
      <w:r>
        <w:rPr>
          <w:w w:val="95"/>
        </w:rPr>
        <w:t xml:space="preserve">two </w:t>
      </w:r>
      <w:r>
        <w:t>hour</w:t>
      </w:r>
      <w:r>
        <w:rPr>
          <w:spacing w:val="-12"/>
        </w:rPr>
        <w:t xml:space="preserve"> </w:t>
      </w:r>
      <w:r>
        <w:t>journey</w:t>
      </w:r>
      <w:r>
        <w:rPr>
          <w:spacing w:val="-12"/>
        </w:rPr>
        <w:t xml:space="preserve"> </w:t>
      </w:r>
      <w:r>
        <w:t>time</w:t>
      </w:r>
      <w:r>
        <w:rPr>
          <w:spacing w:val="-12"/>
        </w:rPr>
        <w:t xml:space="preserve"> </w:t>
      </w:r>
      <w:r>
        <w:t>from</w:t>
      </w:r>
      <w:r>
        <w:rPr>
          <w:spacing w:val="-12"/>
        </w:rPr>
        <w:t xml:space="preserve"> </w:t>
      </w:r>
      <w:r>
        <w:t>Newcastle</w:t>
      </w:r>
      <w:r>
        <w:rPr>
          <w:spacing w:val="-12"/>
        </w:rPr>
        <w:t xml:space="preserve"> </w:t>
      </w:r>
      <w:r>
        <w:t>to</w:t>
      </w:r>
      <w:r>
        <w:rPr>
          <w:spacing w:val="-12"/>
        </w:rPr>
        <w:t xml:space="preserve"> </w:t>
      </w:r>
      <w:r>
        <w:t>Sydney.</w:t>
      </w:r>
    </w:p>
    <w:p w:rsidR="002C1123" w:rsidRDefault="00F22F94">
      <w:pPr>
        <w:pStyle w:val="BodyText"/>
        <w:spacing w:before="129" w:line="249" w:lineRule="auto"/>
        <w:ind w:left="217" w:right="5588"/>
      </w:pPr>
      <w:r>
        <w:br w:type="column"/>
      </w:r>
      <w:r>
        <w:t>Infrastructure</w:t>
      </w:r>
      <w:r>
        <w:rPr>
          <w:spacing w:val="-14"/>
        </w:rPr>
        <w:t xml:space="preserve"> </w:t>
      </w:r>
      <w:r>
        <w:t>NSW</w:t>
      </w:r>
      <w:r>
        <w:rPr>
          <w:spacing w:val="-14"/>
        </w:rPr>
        <w:t xml:space="preserve"> </w:t>
      </w:r>
      <w:r>
        <w:t>recommends</w:t>
      </w:r>
      <w:r>
        <w:rPr>
          <w:spacing w:val="-14"/>
        </w:rPr>
        <w:t xml:space="preserve"> </w:t>
      </w:r>
      <w:r>
        <w:t>a</w:t>
      </w:r>
      <w:r>
        <w:rPr>
          <w:spacing w:val="-14"/>
        </w:rPr>
        <w:t xml:space="preserve"> </w:t>
      </w:r>
      <w:r>
        <w:t>higher</w:t>
      </w:r>
      <w:r>
        <w:rPr>
          <w:spacing w:val="-14"/>
        </w:rPr>
        <w:t xml:space="preserve"> </w:t>
      </w:r>
      <w:r>
        <w:t>differential between</w:t>
      </w:r>
      <w:r>
        <w:rPr>
          <w:spacing w:val="-9"/>
        </w:rPr>
        <w:t xml:space="preserve"> </w:t>
      </w:r>
      <w:r>
        <w:t>peak</w:t>
      </w:r>
      <w:r>
        <w:rPr>
          <w:spacing w:val="-9"/>
        </w:rPr>
        <w:t xml:space="preserve"> </w:t>
      </w:r>
      <w:r>
        <w:t>and</w:t>
      </w:r>
      <w:r>
        <w:rPr>
          <w:spacing w:val="-9"/>
        </w:rPr>
        <w:t xml:space="preserve"> </w:t>
      </w:r>
      <w:r>
        <w:t>off-peak</w:t>
      </w:r>
      <w:r>
        <w:rPr>
          <w:spacing w:val="-9"/>
        </w:rPr>
        <w:t xml:space="preserve"> </w:t>
      </w:r>
      <w:r>
        <w:t>fares</w:t>
      </w:r>
      <w:r>
        <w:rPr>
          <w:spacing w:val="-9"/>
        </w:rPr>
        <w:t xml:space="preserve"> </w:t>
      </w:r>
      <w:r>
        <w:t>to</w:t>
      </w:r>
      <w:r>
        <w:rPr>
          <w:spacing w:val="-9"/>
        </w:rPr>
        <w:t xml:space="preserve"> </w:t>
      </w:r>
      <w:r>
        <w:t>the</w:t>
      </w:r>
      <w:r>
        <w:rPr>
          <w:spacing w:val="-9"/>
        </w:rPr>
        <w:t xml:space="preserve"> </w:t>
      </w:r>
      <w:r>
        <w:t>CBD</w:t>
      </w:r>
      <w:r>
        <w:rPr>
          <w:spacing w:val="-9"/>
        </w:rPr>
        <w:t xml:space="preserve"> </w:t>
      </w:r>
      <w:r>
        <w:t xml:space="preserve">following </w:t>
      </w:r>
      <w:r>
        <w:rPr>
          <w:w w:val="95"/>
        </w:rPr>
        <w:t>the</w:t>
      </w:r>
      <w:r>
        <w:rPr>
          <w:spacing w:val="-4"/>
          <w:w w:val="95"/>
        </w:rPr>
        <w:t xml:space="preserve"> </w:t>
      </w:r>
      <w:r>
        <w:rPr>
          <w:w w:val="95"/>
        </w:rPr>
        <w:t>introduction</w:t>
      </w:r>
      <w:r>
        <w:rPr>
          <w:spacing w:val="-4"/>
          <w:w w:val="95"/>
        </w:rPr>
        <w:t xml:space="preserve"> </w:t>
      </w:r>
      <w:r>
        <w:rPr>
          <w:w w:val="95"/>
        </w:rPr>
        <w:t>of</w:t>
      </w:r>
      <w:r>
        <w:rPr>
          <w:spacing w:val="-4"/>
          <w:w w:val="95"/>
        </w:rPr>
        <w:t xml:space="preserve"> </w:t>
      </w:r>
      <w:r>
        <w:rPr>
          <w:w w:val="95"/>
        </w:rPr>
        <w:t>the</w:t>
      </w:r>
      <w:r>
        <w:rPr>
          <w:spacing w:val="-4"/>
          <w:w w:val="95"/>
        </w:rPr>
        <w:t xml:space="preserve"> </w:t>
      </w:r>
      <w:r>
        <w:rPr>
          <w:w w:val="95"/>
        </w:rPr>
        <w:t>Opal</w:t>
      </w:r>
      <w:r>
        <w:rPr>
          <w:spacing w:val="-4"/>
          <w:w w:val="95"/>
        </w:rPr>
        <w:t xml:space="preserve"> </w:t>
      </w:r>
      <w:r>
        <w:rPr>
          <w:w w:val="95"/>
        </w:rPr>
        <w:t>ticket</w:t>
      </w:r>
      <w:r>
        <w:rPr>
          <w:spacing w:val="-4"/>
          <w:w w:val="95"/>
        </w:rPr>
        <w:t xml:space="preserve"> </w:t>
      </w:r>
      <w:r>
        <w:rPr>
          <w:w w:val="95"/>
        </w:rPr>
        <w:t>system.</w:t>
      </w:r>
      <w:r>
        <w:rPr>
          <w:spacing w:val="-4"/>
          <w:w w:val="95"/>
        </w:rPr>
        <w:t xml:space="preserve"> </w:t>
      </w:r>
      <w:r>
        <w:rPr>
          <w:w w:val="95"/>
        </w:rPr>
        <w:t>This</w:t>
      </w:r>
      <w:r>
        <w:rPr>
          <w:spacing w:val="-4"/>
          <w:w w:val="95"/>
        </w:rPr>
        <w:t xml:space="preserve"> </w:t>
      </w:r>
      <w:r>
        <w:rPr>
          <w:w w:val="95"/>
        </w:rPr>
        <w:t>should</w:t>
      </w:r>
      <w:r>
        <w:rPr>
          <w:spacing w:val="-4"/>
          <w:w w:val="95"/>
        </w:rPr>
        <w:t xml:space="preserve"> </w:t>
      </w:r>
      <w:r>
        <w:rPr>
          <w:w w:val="95"/>
        </w:rPr>
        <w:t xml:space="preserve">be </w:t>
      </w:r>
      <w:r>
        <w:t>complemented</w:t>
      </w:r>
      <w:r>
        <w:rPr>
          <w:spacing w:val="-3"/>
        </w:rPr>
        <w:t xml:space="preserve"> </w:t>
      </w:r>
      <w:r>
        <w:t>by</w:t>
      </w:r>
      <w:r>
        <w:rPr>
          <w:spacing w:val="-3"/>
        </w:rPr>
        <w:t xml:space="preserve"> </w:t>
      </w:r>
      <w:r>
        <w:t>targeted</w:t>
      </w:r>
      <w:r>
        <w:rPr>
          <w:spacing w:val="-3"/>
        </w:rPr>
        <w:t xml:space="preserve"> </w:t>
      </w:r>
      <w:r>
        <w:t>improvements</w:t>
      </w:r>
      <w:r>
        <w:rPr>
          <w:spacing w:val="-3"/>
        </w:rPr>
        <w:t xml:space="preserve"> </w:t>
      </w:r>
      <w:r>
        <w:t>to</w:t>
      </w:r>
      <w:r>
        <w:rPr>
          <w:spacing w:val="-3"/>
        </w:rPr>
        <w:t xml:space="preserve"> </w:t>
      </w:r>
      <w:r>
        <w:t>off-peak services,</w:t>
      </w:r>
      <w:r>
        <w:rPr>
          <w:spacing w:val="-11"/>
        </w:rPr>
        <w:t xml:space="preserve"> </w:t>
      </w:r>
      <w:r>
        <w:t>for</w:t>
      </w:r>
      <w:r>
        <w:rPr>
          <w:spacing w:val="-11"/>
        </w:rPr>
        <w:t xml:space="preserve"> </w:t>
      </w:r>
      <w:r>
        <w:t>example</w:t>
      </w:r>
      <w:r>
        <w:rPr>
          <w:spacing w:val="-11"/>
        </w:rPr>
        <w:t xml:space="preserve"> </w:t>
      </w:r>
      <w:r>
        <w:t>from</w:t>
      </w:r>
      <w:r>
        <w:rPr>
          <w:spacing w:val="-11"/>
        </w:rPr>
        <w:t xml:space="preserve"> </w:t>
      </w:r>
      <w:r>
        <w:t>the</w:t>
      </w:r>
      <w:r>
        <w:rPr>
          <w:spacing w:val="-11"/>
        </w:rPr>
        <w:t xml:space="preserve"> </w:t>
      </w:r>
      <w:r>
        <w:t>CBD</w:t>
      </w:r>
      <w:r>
        <w:rPr>
          <w:spacing w:val="-11"/>
        </w:rPr>
        <w:t xml:space="preserve"> </w:t>
      </w:r>
      <w:r>
        <w:t>to</w:t>
      </w:r>
      <w:r>
        <w:rPr>
          <w:spacing w:val="-11"/>
        </w:rPr>
        <w:t xml:space="preserve"> </w:t>
      </w:r>
      <w:r>
        <w:t>Parramatta.</w:t>
      </w:r>
    </w:p>
    <w:p w:rsidR="002C1123" w:rsidRDefault="00F22F94">
      <w:pPr>
        <w:pStyle w:val="BodyText"/>
        <w:spacing w:before="146" w:line="249" w:lineRule="auto"/>
        <w:ind w:left="217" w:right="5865"/>
      </w:pPr>
      <w:r>
        <w:t>An</w:t>
      </w:r>
      <w:r>
        <w:rPr>
          <w:spacing w:val="-14"/>
        </w:rPr>
        <w:t xml:space="preserve"> </w:t>
      </w:r>
      <w:r>
        <w:t>extension</w:t>
      </w:r>
      <w:r>
        <w:rPr>
          <w:spacing w:val="-14"/>
        </w:rPr>
        <w:t xml:space="preserve"> </w:t>
      </w:r>
      <w:r>
        <w:t>of</w:t>
      </w:r>
      <w:r>
        <w:rPr>
          <w:spacing w:val="-14"/>
        </w:rPr>
        <w:t xml:space="preserve"> </w:t>
      </w:r>
      <w:r>
        <w:t>the</w:t>
      </w:r>
      <w:r>
        <w:rPr>
          <w:spacing w:val="-14"/>
        </w:rPr>
        <w:t xml:space="preserve"> </w:t>
      </w:r>
      <w:r>
        <w:t>Eastern</w:t>
      </w:r>
      <w:r>
        <w:rPr>
          <w:spacing w:val="-14"/>
        </w:rPr>
        <w:t xml:space="preserve"> </w:t>
      </w:r>
      <w:r>
        <w:t>Suburbs</w:t>
      </w:r>
      <w:r>
        <w:rPr>
          <w:spacing w:val="-14"/>
        </w:rPr>
        <w:t xml:space="preserve"> </w:t>
      </w:r>
      <w:r>
        <w:t>Railway</w:t>
      </w:r>
      <w:r>
        <w:rPr>
          <w:spacing w:val="-14"/>
        </w:rPr>
        <w:t xml:space="preserve"> </w:t>
      </w:r>
      <w:r>
        <w:t>to Randwick</w:t>
      </w:r>
      <w:r>
        <w:rPr>
          <w:spacing w:val="-3"/>
        </w:rPr>
        <w:t xml:space="preserve"> </w:t>
      </w:r>
      <w:r>
        <w:t>and</w:t>
      </w:r>
      <w:r>
        <w:rPr>
          <w:spacing w:val="-3"/>
        </w:rPr>
        <w:t xml:space="preserve"> </w:t>
      </w:r>
      <w:r>
        <w:t>Maroubra</w:t>
      </w:r>
      <w:r>
        <w:rPr>
          <w:spacing w:val="-3"/>
        </w:rPr>
        <w:t xml:space="preserve"> </w:t>
      </w:r>
      <w:r>
        <w:t>is</w:t>
      </w:r>
      <w:r>
        <w:rPr>
          <w:spacing w:val="-3"/>
        </w:rPr>
        <w:t xml:space="preserve"> </w:t>
      </w:r>
      <w:r>
        <w:t>recommended</w:t>
      </w:r>
      <w:r>
        <w:rPr>
          <w:spacing w:val="-3"/>
        </w:rPr>
        <w:t xml:space="preserve"> </w:t>
      </w:r>
      <w:r>
        <w:t>as</w:t>
      </w:r>
      <w:r>
        <w:rPr>
          <w:spacing w:val="-3"/>
        </w:rPr>
        <w:t xml:space="preserve"> </w:t>
      </w:r>
      <w:r>
        <w:t xml:space="preserve">the </w:t>
      </w:r>
      <w:r>
        <w:rPr>
          <w:w w:val="95"/>
        </w:rPr>
        <w:t>most prospective network expansion option beyond</w:t>
      </w:r>
    </w:p>
    <w:p w:rsidR="002C1123" w:rsidRDefault="00F22F94">
      <w:pPr>
        <w:pStyle w:val="BodyText"/>
        <w:spacing w:before="2" w:line="249" w:lineRule="auto"/>
        <w:ind w:left="217" w:right="4857"/>
      </w:pPr>
      <w:r>
        <w:rPr>
          <w:w w:val="95"/>
        </w:rPr>
        <w:t>2022,</w:t>
      </w:r>
      <w:r>
        <w:rPr>
          <w:spacing w:val="-7"/>
          <w:w w:val="95"/>
        </w:rPr>
        <w:t xml:space="preserve"> </w:t>
      </w:r>
      <w:r>
        <w:rPr>
          <w:w w:val="95"/>
        </w:rPr>
        <w:t>conditional</w:t>
      </w:r>
      <w:r>
        <w:rPr>
          <w:spacing w:val="-7"/>
          <w:w w:val="95"/>
        </w:rPr>
        <w:t xml:space="preserve"> </w:t>
      </w:r>
      <w:r>
        <w:rPr>
          <w:w w:val="95"/>
        </w:rPr>
        <w:t>upon</w:t>
      </w:r>
      <w:r>
        <w:rPr>
          <w:spacing w:val="-7"/>
          <w:w w:val="95"/>
        </w:rPr>
        <w:t xml:space="preserve"> </w:t>
      </w:r>
      <w:r>
        <w:rPr>
          <w:w w:val="95"/>
        </w:rPr>
        <w:t>a</w:t>
      </w:r>
      <w:r>
        <w:rPr>
          <w:spacing w:val="-7"/>
          <w:w w:val="95"/>
        </w:rPr>
        <w:t xml:space="preserve"> </w:t>
      </w:r>
      <w:r>
        <w:rPr>
          <w:w w:val="95"/>
        </w:rPr>
        <w:t>definitive</w:t>
      </w:r>
      <w:r>
        <w:rPr>
          <w:spacing w:val="-7"/>
          <w:w w:val="95"/>
        </w:rPr>
        <w:t xml:space="preserve"> </w:t>
      </w:r>
      <w:r>
        <w:rPr>
          <w:w w:val="95"/>
        </w:rPr>
        <w:t>strategy</w:t>
      </w:r>
      <w:r>
        <w:rPr>
          <w:spacing w:val="-7"/>
          <w:w w:val="95"/>
        </w:rPr>
        <w:t xml:space="preserve"> </w:t>
      </w:r>
      <w:r>
        <w:rPr>
          <w:w w:val="95"/>
        </w:rPr>
        <w:t>for</w:t>
      </w:r>
      <w:r>
        <w:rPr>
          <w:spacing w:val="-7"/>
          <w:w w:val="95"/>
        </w:rPr>
        <w:t xml:space="preserve"> </w:t>
      </w:r>
      <w:r>
        <w:rPr>
          <w:w w:val="95"/>
        </w:rPr>
        <w:t>land</w:t>
      </w:r>
      <w:r>
        <w:rPr>
          <w:spacing w:val="-7"/>
          <w:w w:val="95"/>
        </w:rPr>
        <w:t xml:space="preserve"> </w:t>
      </w:r>
      <w:r>
        <w:rPr>
          <w:w w:val="95"/>
        </w:rPr>
        <w:t xml:space="preserve">use </w:t>
      </w:r>
      <w:r>
        <w:t>densification</w:t>
      </w:r>
      <w:r>
        <w:rPr>
          <w:spacing w:val="-5"/>
        </w:rPr>
        <w:t xml:space="preserve"> </w:t>
      </w:r>
      <w:r>
        <w:t>in</w:t>
      </w:r>
      <w:r>
        <w:rPr>
          <w:spacing w:val="-5"/>
        </w:rPr>
        <w:t xml:space="preserve"> </w:t>
      </w:r>
      <w:r>
        <w:t>the</w:t>
      </w:r>
      <w:r>
        <w:rPr>
          <w:spacing w:val="-5"/>
        </w:rPr>
        <w:t xml:space="preserve"> </w:t>
      </w:r>
      <w:r>
        <w:t>South-Eastern</w:t>
      </w:r>
      <w:r>
        <w:rPr>
          <w:spacing w:val="-5"/>
        </w:rPr>
        <w:t xml:space="preserve"> </w:t>
      </w:r>
      <w:r>
        <w:t>suburbs.</w:t>
      </w:r>
    </w:p>
    <w:p w:rsidR="002C1123" w:rsidRDefault="002C1123">
      <w:pPr>
        <w:spacing w:line="249" w:lineRule="auto"/>
        <w:sectPr w:rsidR="002C1123">
          <w:type w:val="continuous"/>
          <w:pgSz w:w="16840" w:h="11910" w:orient="landscape"/>
          <w:pgMar w:top="560" w:right="280" w:bottom="280" w:left="500" w:header="0" w:footer="517" w:gutter="0"/>
          <w:cols w:num="2" w:space="720" w:equalWidth="0">
            <w:col w:w="5262" w:space="40"/>
            <w:col w:w="10758"/>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3"/>
        <w:rPr>
          <w:sz w:val="19"/>
        </w:rPr>
      </w:pPr>
    </w:p>
    <w:p w:rsidR="002C1123" w:rsidRDefault="00F22F94">
      <w:pPr>
        <w:pStyle w:val="Heading6"/>
        <w:numPr>
          <w:ilvl w:val="2"/>
          <w:numId w:val="86"/>
        </w:numPr>
        <w:tabs>
          <w:tab w:val="left" w:pos="979"/>
        </w:tabs>
        <w:ind w:left="978" w:hanging="487"/>
        <w:jc w:val="left"/>
      </w:pPr>
      <w:bookmarkStart w:id="234" w:name="_bookmark166"/>
      <w:bookmarkEnd w:id="234"/>
      <w:r>
        <w:rPr>
          <w:color w:val="00AEEF"/>
          <w:spacing w:val="-2"/>
        </w:rPr>
        <w:t>Recommended</w:t>
      </w:r>
      <w:r>
        <w:rPr>
          <w:color w:val="00AEEF"/>
          <w:spacing w:val="1"/>
        </w:rPr>
        <w:t xml:space="preserve"> </w:t>
      </w:r>
      <w:r>
        <w:rPr>
          <w:color w:val="00AEEF"/>
          <w:spacing w:val="-2"/>
        </w:rPr>
        <w:t>Actions</w:t>
      </w:r>
    </w:p>
    <w:p w:rsidR="002C1123" w:rsidRDefault="002C1123">
      <w:pPr>
        <w:pStyle w:val="BodyText"/>
        <w:spacing w:before="4"/>
        <w:rPr>
          <w:b/>
          <w:sz w:val="17"/>
        </w:rPr>
      </w:pPr>
    </w:p>
    <w:p w:rsidR="002C1123" w:rsidRDefault="00F22F94">
      <w:pPr>
        <w:tabs>
          <w:tab w:val="left" w:pos="6114"/>
          <w:tab w:val="left" w:pos="6965"/>
          <w:tab w:val="left" w:pos="8382"/>
        </w:tabs>
        <w:spacing w:before="1"/>
        <w:ind w:left="1125"/>
        <w:rPr>
          <w:b/>
          <w:sz w:val="16"/>
        </w:rPr>
      </w:pPr>
      <w:r>
        <w:rPr>
          <w:b/>
          <w:color w:val="2E3092"/>
          <w:spacing w:val="-2"/>
          <w:sz w:val="16"/>
        </w:rPr>
        <w:t>Recommendation</w:t>
      </w:r>
      <w:r>
        <w:rPr>
          <w:b/>
          <w:color w:val="2E3092"/>
          <w:sz w:val="16"/>
        </w:rPr>
        <w:tab/>
      </w:r>
      <w:r>
        <w:rPr>
          <w:b/>
          <w:color w:val="2E3092"/>
          <w:spacing w:val="-2"/>
          <w:sz w:val="16"/>
        </w:rPr>
        <w:t>Years</w:t>
      </w:r>
      <w:r>
        <w:rPr>
          <w:b/>
          <w:color w:val="2E3092"/>
          <w:sz w:val="16"/>
        </w:rPr>
        <w:tab/>
      </w:r>
      <w:r>
        <w:rPr>
          <w:b/>
          <w:color w:val="2E3092"/>
          <w:spacing w:val="-4"/>
          <w:sz w:val="16"/>
        </w:rPr>
        <w:t>Type</w:t>
      </w:r>
      <w:r>
        <w:rPr>
          <w:b/>
          <w:color w:val="2E3092"/>
          <w:sz w:val="16"/>
        </w:rPr>
        <w:tab/>
      </w:r>
      <w:r>
        <w:rPr>
          <w:b/>
          <w:color w:val="2E3092"/>
          <w:w w:val="95"/>
          <w:sz w:val="16"/>
        </w:rPr>
        <w:t>Cost</w:t>
      </w:r>
      <w:r>
        <w:rPr>
          <w:b/>
          <w:color w:val="2E3092"/>
          <w:spacing w:val="3"/>
          <w:sz w:val="16"/>
        </w:rPr>
        <w:t xml:space="preserve"> </w:t>
      </w:r>
      <w:r>
        <w:rPr>
          <w:b/>
          <w:color w:val="2E3092"/>
          <w:w w:val="95"/>
          <w:sz w:val="16"/>
        </w:rPr>
        <w:t>and</w:t>
      </w:r>
      <w:r>
        <w:rPr>
          <w:b/>
          <w:color w:val="2E3092"/>
          <w:spacing w:val="4"/>
          <w:sz w:val="16"/>
        </w:rPr>
        <w:t xml:space="preserve"> </w:t>
      </w:r>
      <w:r>
        <w:rPr>
          <w:b/>
          <w:color w:val="2E3092"/>
          <w:w w:val="95"/>
          <w:sz w:val="16"/>
        </w:rPr>
        <w:t>Funding</w:t>
      </w:r>
      <w:r>
        <w:rPr>
          <w:b/>
          <w:color w:val="2E3092"/>
          <w:spacing w:val="3"/>
          <w:sz w:val="16"/>
        </w:rPr>
        <w:t xml:space="preserve"> </w:t>
      </w:r>
      <w:r>
        <w:rPr>
          <w:b/>
          <w:color w:val="2E3092"/>
          <w:spacing w:val="-2"/>
          <w:w w:val="95"/>
          <w:sz w:val="16"/>
        </w:rPr>
        <w:t>Implications</w:t>
      </w:r>
    </w:p>
    <w:p w:rsidR="002C1123" w:rsidRDefault="002C1123">
      <w:pPr>
        <w:pStyle w:val="BodyText"/>
        <w:rPr>
          <w:b/>
          <w:sz w:val="6"/>
        </w:rPr>
      </w:pPr>
    </w:p>
    <w:tbl>
      <w:tblPr>
        <w:tblW w:w="0" w:type="auto"/>
        <w:tblInd w:w="5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10"/>
        <w:gridCol w:w="4989"/>
        <w:gridCol w:w="850"/>
        <w:gridCol w:w="1417"/>
        <w:gridCol w:w="7086"/>
      </w:tblGrid>
      <w:tr w:rsidR="002C1123">
        <w:trPr>
          <w:trHeight w:val="321"/>
        </w:trPr>
        <w:tc>
          <w:tcPr>
            <w:tcW w:w="510" w:type="dxa"/>
            <w:tcBorders>
              <w:top w:val="nil"/>
            </w:tcBorders>
            <w:shd w:val="clear" w:color="auto" w:fill="E1E0E1"/>
          </w:tcPr>
          <w:p w:rsidR="002C1123" w:rsidRDefault="00F22F94">
            <w:pPr>
              <w:pStyle w:val="TableParagraph"/>
              <w:rPr>
                <w:sz w:val="16"/>
              </w:rPr>
            </w:pPr>
            <w:r>
              <w:rPr>
                <w:spacing w:val="-5"/>
                <w:sz w:val="16"/>
              </w:rPr>
              <w:t>16</w:t>
            </w:r>
          </w:p>
        </w:tc>
        <w:tc>
          <w:tcPr>
            <w:tcW w:w="4989" w:type="dxa"/>
            <w:shd w:val="clear" w:color="auto" w:fill="C9C8C9"/>
          </w:tcPr>
          <w:p w:rsidR="002C1123" w:rsidRDefault="00F22F94">
            <w:pPr>
              <w:pStyle w:val="TableParagraph"/>
              <w:rPr>
                <w:sz w:val="16"/>
              </w:rPr>
            </w:pPr>
            <w:r>
              <w:rPr>
                <w:spacing w:val="-2"/>
                <w:w w:val="105"/>
                <w:sz w:val="16"/>
              </w:rPr>
              <w:t>Start</w:t>
            </w:r>
            <w:r>
              <w:rPr>
                <w:spacing w:val="-5"/>
                <w:w w:val="105"/>
                <w:sz w:val="16"/>
              </w:rPr>
              <w:t xml:space="preserve"> </w:t>
            </w:r>
            <w:r>
              <w:rPr>
                <w:spacing w:val="-2"/>
                <w:w w:val="105"/>
                <w:sz w:val="16"/>
              </w:rPr>
              <w:t>construction</w:t>
            </w:r>
            <w:r>
              <w:rPr>
                <w:spacing w:val="-4"/>
                <w:w w:val="105"/>
                <w:sz w:val="16"/>
              </w:rPr>
              <w:t xml:space="preserve"> </w:t>
            </w:r>
            <w:r>
              <w:rPr>
                <w:spacing w:val="-2"/>
                <w:w w:val="105"/>
                <w:sz w:val="16"/>
              </w:rPr>
              <w:t>of</w:t>
            </w:r>
            <w:r>
              <w:rPr>
                <w:spacing w:val="-4"/>
                <w:w w:val="105"/>
                <w:sz w:val="16"/>
              </w:rPr>
              <w:t xml:space="preserve"> </w:t>
            </w:r>
            <w:r>
              <w:rPr>
                <w:spacing w:val="-2"/>
                <w:w w:val="105"/>
                <w:sz w:val="16"/>
              </w:rPr>
              <w:t>North</w:t>
            </w:r>
            <w:r>
              <w:rPr>
                <w:spacing w:val="-5"/>
                <w:w w:val="105"/>
                <w:sz w:val="16"/>
              </w:rPr>
              <w:t xml:space="preserve"> </w:t>
            </w:r>
            <w:r>
              <w:rPr>
                <w:spacing w:val="-2"/>
                <w:w w:val="105"/>
                <w:sz w:val="16"/>
              </w:rPr>
              <w:t>West</w:t>
            </w:r>
            <w:r>
              <w:rPr>
                <w:spacing w:val="-4"/>
                <w:w w:val="105"/>
                <w:sz w:val="16"/>
              </w:rPr>
              <w:t xml:space="preserve"> </w:t>
            </w:r>
            <w:r>
              <w:rPr>
                <w:spacing w:val="-2"/>
                <w:w w:val="105"/>
                <w:sz w:val="16"/>
              </w:rPr>
              <w:t>Rail</w:t>
            </w:r>
            <w:r>
              <w:rPr>
                <w:spacing w:val="-4"/>
                <w:w w:val="105"/>
                <w:sz w:val="16"/>
              </w:rPr>
              <w:t xml:space="preserve"> Link</w:t>
            </w:r>
          </w:p>
        </w:tc>
        <w:tc>
          <w:tcPr>
            <w:tcW w:w="850" w:type="dxa"/>
            <w:shd w:val="clear" w:color="auto" w:fill="E1E0E1"/>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417" w:type="dxa"/>
            <w:shd w:val="clear" w:color="auto" w:fill="E1E0E1"/>
          </w:tcPr>
          <w:p w:rsidR="002C1123" w:rsidRDefault="00F22F94">
            <w:pPr>
              <w:pStyle w:val="TableParagraph"/>
              <w:rPr>
                <w:sz w:val="16"/>
              </w:rPr>
            </w:pPr>
            <w:r>
              <w:rPr>
                <w:w w:val="95"/>
                <w:sz w:val="16"/>
              </w:rPr>
              <w:t>Major</w:t>
            </w:r>
            <w:r>
              <w:rPr>
                <w:spacing w:val="-2"/>
                <w:sz w:val="16"/>
              </w:rPr>
              <w:t xml:space="preserve"> </w:t>
            </w:r>
            <w:r>
              <w:rPr>
                <w:spacing w:val="-2"/>
                <w:w w:val="95"/>
                <w:sz w:val="16"/>
              </w:rPr>
              <w:t>project</w:t>
            </w:r>
          </w:p>
        </w:tc>
        <w:tc>
          <w:tcPr>
            <w:tcW w:w="7086" w:type="dxa"/>
            <w:shd w:val="clear" w:color="auto" w:fill="E1E0E1"/>
          </w:tcPr>
          <w:p w:rsidR="002C1123" w:rsidRDefault="00F22F94">
            <w:pPr>
              <w:pStyle w:val="TableParagraph"/>
              <w:ind w:left="114"/>
              <w:rPr>
                <w:sz w:val="16"/>
              </w:rPr>
            </w:pPr>
            <w:r>
              <w:rPr>
                <w:w w:val="95"/>
                <w:sz w:val="16"/>
              </w:rPr>
              <w:t>Existing</w:t>
            </w:r>
            <w:r>
              <w:rPr>
                <w:spacing w:val="-1"/>
                <w:sz w:val="16"/>
              </w:rPr>
              <w:t xml:space="preserve"> </w:t>
            </w:r>
            <w:r>
              <w:rPr>
                <w:w w:val="95"/>
                <w:sz w:val="16"/>
              </w:rPr>
              <w:t>Government</w:t>
            </w:r>
            <w:r>
              <w:rPr>
                <w:sz w:val="16"/>
              </w:rPr>
              <w:t xml:space="preserve"> </w:t>
            </w:r>
            <w:r>
              <w:rPr>
                <w:spacing w:val="-2"/>
                <w:w w:val="95"/>
                <w:sz w:val="16"/>
              </w:rPr>
              <w:t>commitment.</w:t>
            </w:r>
          </w:p>
        </w:tc>
      </w:tr>
      <w:tr w:rsidR="002C1123">
        <w:trPr>
          <w:trHeight w:val="681"/>
        </w:trPr>
        <w:tc>
          <w:tcPr>
            <w:tcW w:w="510" w:type="dxa"/>
            <w:shd w:val="clear" w:color="auto" w:fill="E1E0E1"/>
          </w:tcPr>
          <w:p w:rsidR="002C1123" w:rsidRDefault="00F22F94">
            <w:pPr>
              <w:pStyle w:val="TableParagraph"/>
              <w:rPr>
                <w:sz w:val="16"/>
              </w:rPr>
            </w:pPr>
            <w:r>
              <w:rPr>
                <w:spacing w:val="-5"/>
                <w:sz w:val="16"/>
              </w:rPr>
              <w:t>17</w:t>
            </w:r>
          </w:p>
        </w:tc>
        <w:tc>
          <w:tcPr>
            <w:tcW w:w="4989" w:type="dxa"/>
            <w:shd w:val="clear" w:color="auto" w:fill="C9C8C9"/>
          </w:tcPr>
          <w:p w:rsidR="002C1123" w:rsidRDefault="00F22F94">
            <w:pPr>
              <w:pStyle w:val="TableParagraph"/>
              <w:rPr>
                <w:sz w:val="16"/>
              </w:rPr>
            </w:pPr>
            <w:r>
              <w:rPr>
                <w:sz w:val="16"/>
              </w:rPr>
              <w:t>Mainline</w:t>
            </w:r>
            <w:r>
              <w:rPr>
                <w:spacing w:val="8"/>
                <w:sz w:val="16"/>
              </w:rPr>
              <w:t xml:space="preserve"> </w:t>
            </w:r>
            <w:r>
              <w:rPr>
                <w:sz w:val="16"/>
              </w:rPr>
              <w:t>Acceleration</w:t>
            </w:r>
            <w:r>
              <w:rPr>
                <w:spacing w:val="9"/>
                <w:sz w:val="16"/>
              </w:rPr>
              <w:t xml:space="preserve"> </w:t>
            </w:r>
            <w:r>
              <w:rPr>
                <w:spacing w:val="-2"/>
                <w:sz w:val="16"/>
              </w:rPr>
              <w:t>Program</w:t>
            </w:r>
          </w:p>
          <w:p w:rsidR="002C1123" w:rsidRDefault="00F22F94">
            <w:pPr>
              <w:pStyle w:val="TableParagraph"/>
              <w:spacing w:before="36"/>
              <w:rPr>
                <w:sz w:val="16"/>
              </w:rPr>
            </w:pPr>
            <w:r>
              <w:rPr>
                <w:spacing w:val="-2"/>
                <w:sz w:val="16"/>
              </w:rPr>
              <w:t>Wollongong</w:t>
            </w:r>
            <w:r>
              <w:rPr>
                <w:spacing w:val="-3"/>
                <w:sz w:val="16"/>
              </w:rPr>
              <w:t xml:space="preserve"> </w:t>
            </w:r>
            <w:r>
              <w:rPr>
                <w:spacing w:val="-2"/>
                <w:sz w:val="16"/>
              </w:rPr>
              <w:t>– Sydney</w:t>
            </w:r>
            <w:r>
              <w:rPr>
                <w:spacing w:val="-3"/>
                <w:sz w:val="16"/>
              </w:rPr>
              <w:t xml:space="preserve"> </w:t>
            </w:r>
            <w:r>
              <w:rPr>
                <w:spacing w:val="-2"/>
                <w:sz w:val="16"/>
              </w:rPr>
              <w:t>pilot scheme</w:t>
            </w:r>
          </w:p>
        </w:tc>
        <w:tc>
          <w:tcPr>
            <w:tcW w:w="850" w:type="dxa"/>
            <w:shd w:val="clear" w:color="auto" w:fill="E1E0E1"/>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417" w:type="dxa"/>
            <w:shd w:val="clear" w:color="auto" w:fill="E1E0E1"/>
          </w:tcPr>
          <w:p w:rsidR="002C1123" w:rsidRDefault="00F22F94">
            <w:pPr>
              <w:pStyle w:val="TableParagraph"/>
              <w:rPr>
                <w:sz w:val="16"/>
              </w:rPr>
            </w:pPr>
            <w:r>
              <w:rPr>
                <w:spacing w:val="-2"/>
                <w:sz w:val="16"/>
              </w:rPr>
              <w:t>Program</w:t>
            </w:r>
          </w:p>
        </w:tc>
        <w:tc>
          <w:tcPr>
            <w:tcW w:w="7086" w:type="dxa"/>
            <w:shd w:val="clear" w:color="auto" w:fill="E1E0E1"/>
          </w:tcPr>
          <w:p w:rsidR="002C1123" w:rsidRDefault="00F22F94">
            <w:pPr>
              <w:pStyle w:val="TableParagraph"/>
              <w:spacing w:before="70" w:line="235" w:lineRule="auto"/>
              <w:ind w:left="114" w:right="175"/>
              <w:jc w:val="both"/>
              <w:rPr>
                <w:sz w:val="16"/>
              </w:rPr>
            </w:pPr>
            <w:r>
              <w:rPr>
                <w:w w:val="95"/>
                <w:sz w:val="16"/>
              </w:rPr>
              <w:t>Emphasis will be on operational improvements, supported by a scoping of $100 million for targeted works on speed restrictions and pinch points. Does not allow for major civil works, line re-signalling</w:t>
            </w:r>
            <w:r>
              <w:rPr>
                <w:sz w:val="16"/>
              </w:rPr>
              <w:t xml:space="preserve"> or new rolling stock.</w:t>
            </w:r>
          </w:p>
        </w:tc>
      </w:tr>
      <w:tr w:rsidR="002C1123">
        <w:trPr>
          <w:trHeight w:val="541"/>
        </w:trPr>
        <w:tc>
          <w:tcPr>
            <w:tcW w:w="510" w:type="dxa"/>
            <w:shd w:val="clear" w:color="auto" w:fill="E1E0E1"/>
          </w:tcPr>
          <w:p w:rsidR="002C1123" w:rsidRDefault="00F22F94">
            <w:pPr>
              <w:pStyle w:val="TableParagraph"/>
              <w:rPr>
                <w:sz w:val="16"/>
              </w:rPr>
            </w:pPr>
            <w:r>
              <w:rPr>
                <w:spacing w:val="-5"/>
                <w:sz w:val="16"/>
              </w:rPr>
              <w:t>18</w:t>
            </w:r>
          </w:p>
        </w:tc>
        <w:tc>
          <w:tcPr>
            <w:tcW w:w="4989" w:type="dxa"/>
            <w:shd w:val="clear" w:color="auto" w:fill="C9C8C9"/>
          </w:tcPr>
          <w:p w:rsidR="002C1123" w:rsidRDefault="00F22F94">
            <w:pPr>
              <w:pStyle w:val="TableParagraph"/>
              <w:spacing w:line="288" w:lineRule="auto"/>
              <w:ind w:right="403"/>
              <w:rPr>
                <w:sz w:val="16"/>
              </w:rPr>
            </w:pPr>
            <w:r>
              <w:rPr>
                <w:spacing w:val="-2"/>
                <w:w w:val="105"/>
                <w:sz w:val="16"/>
              </w:rPr>
              <w:t>Turn-up-and-go</w:t>
            </w:r>
            <w:r>
              <w:rPr>
                <w:spacing w:val="-10"/>
                <w:w w:val="105"/>
                <w:sz w:val="16"/>
              </w:rPr>
              <w:t xml:space="preserve"> </w:t>
            </w:r>
            <w:r>
              <w:rPr>
                <w:spacing w:val="-2"/>
                <w:w w:val="105"/>
                <w:sz w:val="16"/>
              </w:rPr>
              <w:t>express</w:t>
            </w:r>
            <w:r>
              <w:rPr>
                <w:spacing w:val="-10"/>
                <w:w w:val="105"/>
                <w:sz w:val="16"/>
              </w:rPr>
              <w:t xml:space="preserve"> </w:t>
            </w:r>
            <w:r>
              <w:rPr>
                <w:spacing w:val="-2"/>
                <w:w w:val="105"/>
                <w:sz w:val="16"/>
              </w:rPr>
              <w:t>train</w:t>
            </w:r>
            <w:r>
              <w:rPr>
                <w:spacing w:val="-9"/>
                <w:w w:val="105"/>
                <w:sz w:val="16"/>
              </w:rPr>
              <w:t xml:space="preserve"> </w:t>
            </w:r>
            <w:r>
              <w:rPr>
                <w:spacing w:val="-2"/>
                <w:w w:val="105"/>
                <w:sz w:val="16"/>
              </w:rPr>
              <w:t>service</w:t>
            </w:r>
            <w:r>
              <w:rPr>
                <w:spacing w:val="-10"/>
                <w:w w:val="105"/>
                <w:sz w:val="16"/>
              </w:rPr>
              <w:t xml:space="preserve"> </w:t>
            </w:r>
            <w:r>
              <w:rPr>
                <w:spacing w:val="-2"/>
                <w:w w:val="105"/>
                <w:sz w:val="16"/>
              </w:rPr>
              <w:t>between</w:t>
            </w:r>
            <w:r>
              <w:rPr>
                <w:spacing w:val="-10"/>
                <w:w w:val="105"/>
                <w:sz w:val="16"/>
              </w:rPr>
              <w:t xml:space="preserve"> </w:t>
            </w:r>
            <w:r>
              <w:rPr>
                <w:spacing w:val="-2"/>
                <w:w w:val="105"/>
                <w:sz w:val="16"/>
              </w:rPr>
              <w:t>Sydney</w:t>
            </w:r>
            <w:r>
              <w:rPr>
                <w:spacing w:val="-10"/>
                <w:w w:val="105"/>
                <w:sz w:val="16"/>
              </w:rPr>
              <w:t xml:space="preserve"> </w:t>
            </w:r>
            <w:r>
              <w:rPr>
                <w:spacing w:val="-2"/>
                <w:w w:val="105"/>
                <w:sz w:val="16"/>
              </w:rPr>
              <w:t xml:space="preserve">CBD </w:t>
            </w:r>
            <w:r>
              <w:rPr>
                <w:w w:val="105"/>
                <w:sz w:val="16"/>
              </w:rPr>
              <w:t>and Parramatta across the day</w:t>
            </w:r>
          </w:p>
        </w:tc>
        <w:tc>
          <w:tcPr>
            <w:tcW w:w="850" w:type="dxa"/>
            <w:shd w:val="clear" w:color="auto" w:fill="E1E0E1"/>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417" w:type="dxa"/>
            <w:shd w:val="clear" w:color="auto" w:fill="E1E0E1"/>
          </w:tcPr>
          <w:p w:rsidR="002C1123" w:rsidRDefault="00F22F94">
            <w:pPr>
              <w:pStyle w:val="TableParagraph"/>
              <w:rPr>
                <w:sz w:val="16"/>
              </w:rPr>
            </w:pPr>
            <w:r>
              <w:rPr>
                <w:w w:val="95"/>
                <w:sz w:val="16"/>
              </w:rPr>
              <w:t>Asset</w:t>
            </w:r>
            <w:r>
              <w:rPr>
                <w:spacing w:val="-1"/>
                <w:sz w:val="16"/>
              </w:rPr>
              <w:t xml:space="preserve"> </w:t>
            </w:r>
            <w:r>
              <w:rPr>
                <w:spacing w:val="-2"/>
                <w:sz w:val="16"/>
              </w:rPr>
              <w:t>utilisation</w:t>
            </w:r>
          </w:p>
        </w:tc>
        <w:tc>
          <w:tcPr>
            <w:tcW w:w="7086" w:type="dxa"/>
            <w:shd w:val="clear" w:color="auto" w:fill="E1E0E1"/>
          </w:tcPr>
          <w:p w:rsidR="002C1123" w:rsidRDefault="00F22F94">
            <w:pPr>
              <w:pStyle w:val="TableParagraph"/>
              <w:ind w:left="114"/>
              <w:rPr>
                <w:sz w:val="16"/>
              </w:rPr>
            </w:pPr>
            <w:r>
              <w:rPr>
                <w:w w:val="95"/>
                <w:sz w:val="16"/>
              </w:rPr>
              <w:t>Operational</w:t>
            </w:r>
            <w:r>
              <w:rPr>
                <w:sz w:val="16"/>
              </w:rPr>
              <w:t xml:space="preserve"> </w:t>
            </w:r>
            <w:r>
              <w:rPr>
                <w:w w:val="95"/>
                <w:sz w:val="16"/>
              </w:rPr>
              <w:t>reform</w:t>
            </w:r>
            <w:r>
              <w:rPr>
                <w:sz w:val="16"/>
              </w:rPr>
              <w:t xml:space="preserve"> </w:t>
            </w:r>
            <w:r>
              <w:rPr>
                <w:w w:val="95"/>
                <w:sz w:val="16"/>
              </w:rPr>
              <w:t>–</w:t>
            </w:r>
            <w:r>
              <w:rPr>
                <w:sz w:val="16"/>
              </w:rPr>
              <w:t xml:space="preserve"> </w:t>
            </w:r>
            <w:r>
              <w:rPr>
                <w:w w:val="95"/>
                <w:sz w:val="16"/>
              </w:rPr>
              <w:t>no</w:t>
            </w:r>
            <w:r>
              <w:rPr>
                <w:spacing w:val="1"/>
                <w:sz w:val="16"/>
              </w:rPr>
              <w:t xml:space="preserve"> </w:t>
            </w:r>
            <w:r>
              <w:rPr>
                <w:w w:val="95"/>
                <w:sz w:val="16"/>
              </w:rPr>
              <w:t>capital</w:t>
            </w:r>
            <w:r>
              <w:rPr>
                <w:sz w:val="16"/>
              </w:rPr>
              <w:t xml:space="preserve"> </w:t>
            </w:r>
            <w:r>
              <w:rPr>
                <w:w w:val="95"/>
                <w:sz w:val="16"/>
              </w:rPr>
              <w:t>works</w:t>
            </w:r>
            <w:r>
              <w:rPr>
                <w:sz w:val="16"/>
              </w:rPr>
              <w:t xml:space="preserve"> </w:t>
            </w:r>
            <w:r>
              <w:rPr>
                <w:spacing w:val="-2"/>
                <w:w w:val="95"/>
                <w:sz w:val="16"/>
              </w:rPr>
              <w:t>proposed.</w:t>
            </w:r>
          </w:p>
        </w:tc>
      </w:tr>
      <w:tr w:rsidR="002C1123">
        <w:trPr>
          <w:trHeight w:val="321"/>
        </w:trPr>
        <w:tc>
          <w:tcPr>
            <w:tcW w:w="510" w:type="dxa"/>
            <w:shd w:val="clear" w:color="auto" w:fill="E1E0E1"/>
          </w:tcPr>
          <w:p w:rsidR="002C1123" w:rsidRDefault="00F22F94">
            <w:pPr>
              <w:pStyle w:val="TableParagraph"/>
              <w:rPr>
                <w:sz w:val="16"/>
              </w:rPr>
            </w:pPr>
            <w:r>
              <w:rPr>
                <w:spacing w:val="-5"/>
                <w:sz w:val="16"/>
              </w:rPr>
              <w:t>19</w:t>
            </w:r>
          </w:p>
        </w:tc>
        <w:tc>
          <w:tcPr>
            <w:tcW w:w="4989" w:type="dxa"/>
            <w:shd w:val="clear" w:color="auto" w:fill="C9C8C9"/>
          </w:tcPr>
          <w:p w:rsidR="002C1123" w:rsidRDefault="00F22F94">
            <w:pPr>
              <w:pStyle w:val="TableParagraph"/>
              <w:rPr>
                <w:sz w:val="16"/>
              </w:rPr>
            </w:pPr>
            <w:r>
              <w:rPr>
                <w:spacing w:val="-2"/>
                <w:w w:val="105"/>
                <w:sz w:val="16"/>
              </w:rPr>
              <w:t>Improve</w:t>
            </w:r>
            <w:r>
              <w:rPr>
                <w:spacing w:val="-10"/>
                <w:w w:val="105"/>
                <w:sz w:val="16"/>
              </w:rPr>
              <w:t xml:space="preserve"> </w:t>
            </w:r>
            <w:r>
              <w:rPr>
                <w:spacing w:val="-2"/>
                <w:w w:val="105"/>
                <w:sz w:val="16"/>
              </w:rPr>
              <w:t>CBD</w:t>
            </w:r>
            <w:r>
              <w:rPr>
                <w:spacing w:val="-7"/>
                <w:w w:val="105"/>
                <w:sz w:val="16"/>
              </w:rPr>
              <w:t xml:space="preserve"> </w:t>
            </w:r>
            <w:r>
              <w:rPr>
                <w:spacing w:val="-2"/>
                <w:w w:val="105"/>
                <w:sz w:val="16"/>
              </w:rPr>
              <w:t>rail</w:t>
            </w:r>
            <w:r>
              <w:rPr>
                <w:spacing w:val="-7"/>
                <w:w w:val="105"/>
                <w:sz w:val="16"/>
              </w:rPr>
              <w:t xml:space="preserve"> </w:t>
            </w:r>
            <w:r>
              <w:rPr>
                <w:spacing w:val="-2"/>
                <w:w w:val="105"/>
                <w:sz w:val="16"/>
              </w:rPr>
              <w:t>off-peak</w:t>
            </w:r>
            <w:r>
              <w:rPr>
                <w:spacing w:val="-7"/>
                <w:w w:val="105"/>
                <w:sz w:val="16"/>
              </w:rPr>
              <w:t xml:space="preserve"> </w:t>
            </w:r>
            <w:r>
              <w:rPr>
                <w:spacing w:val="-2"/>
                <w:w w:val="105"/>
                <w:sz w:val="16"/>
              </w:rPr>
              <w:t>price</w:t>
            </w:r>
            <w:r>
              <w:rPr>
                <w:spacing w:val="-7"/>
                <w:w w:val="105"/>
                <w:sz w:val="16"/>
              </w:rPr>
              <w:t xml:space="preserve"> </w:t>
            </w:r>
            <w:r>
              <w:rPr>
                <w:spacing w:val="-2"/>
                <w:w w:val="105"/>
                <w:sz w:val="16"/>
              </w:rPr>
              <w:t>incentives</w:t>
            </w:r>
          </w:p>
        </w:tc>
        <w:tc>
          <w:tcPr>
            <w:tcW w:w="850" w:type="dxa"/>
            <w:shd w:val="clear" w:color="auto" w:fill="E1E0E1"/>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417" w:type="dxa"/>
            <w:shd w:val="clear" w:color="auto" w:fill="E1E0E1"/>
          </w:tcPr>
          <w:p w:rsidR="002C1123" w:rsidRDefault="00F22F94">
            <w:pPr>
              <w:pStyle w:val="TableParagraph"/>
              <w:rPr>
                <w:sz w:val="16"/>
              </w:rPr>
            </w:pPr>
            <w:r>
              <w:rPr>
                <w:w w:val="95"/>
                <w:sz w:val="16"/>
              </w:rPr>
              <w:t>Asset</w:t>
            </w:r>
            <w:r>
              <w:rPr>
                <w:spacing w:val="-1"/>
                <w:sz w:val="16"/>
              </w:rPr>
              <w:t xml:space="preserve"> </w:t>
            </w:r>
            <w:r>
              <w:rPr>
                <w:spacing w:val="-2"/>
                <w:sz w:val="16"/>
              </w:rPr>
              <w:t>utilisation</w:t>
            </w:r>
          </w:p>
        </w:tc>
        <w:tc>
          <w:tcPr>
            <w:tcW w:w="7086" w:type="dxa"/>
            <w:shd w:val="clear" w:color="auto" w:fill="E1E0E1"/>
          </w:tcPr>
          <w:p w:rsidR="002C1123" w:rsidRDefault="00F22F94">
            <w:pPr>
              <w:pStyle w:val="TableParagraph"/>
              <w:ind w:left="114"/>
              <w:rPr>
                <w:sz w:val="16"/>
              </w:rPr>
            </w:pPr>
            <w:r>
              <w:rPr>
                <w:w w:val="95"/>
                <w:sz w:val="16"/>
              </w:rPr>
              <w:t>Assume</w:t>
            </w:r>
            <w:r>
              <w:rPr>
                <w:spacing w:val="-2"/>
                <w:w w:val="95"/>
                <w:sz w:val="16"/>
              </w:rPr>
              <w:t xml:space="preserve"> </w:t>
            </w:r>
            <w:r>
              <w:rPr>
                <w:w w:val="95"/>
                <w:sz w:val="16"/>
              </w:rPr>
              <w:t>overall</w:t>
            </w:r>
            <w:r>
              <w:rPr>
                <w:spacing w:val="-2"/>
                <w:w w:val="95"/>
                <w:sz w:val="16"/>
              </w:rPr>
              <w:t xml:space="preserve"> </w:t>
            </w:r>
            <w:r>
              <w:rPr>
                <w:w w:val="95"/>
                <w:sz w:val="16"/>
              </w:rPr>
              <w:t>outcome</w:t>
            </w:r>
            <w:r>
              <w:rPr>
                <w:spacing w:val="-2"/>
                <w:w w:val="95"/>
                <w:sz w:val="16"/>
              </w:rPr>
              <w:t xml:space="preserve"> </w:t>
            </w:r>
            <w:r>
              <w:rPr>
                <w:w w:val="95"/>
                <w:sz w:val="16"/>
              </w:rPr>
              <w:t>is</w:t>
            </w:r>
            <w:r>
              <w:rPr>
                <w:spacing w:val="-2"/>
                <w:w w:val="95"/>
                <w:sz w:val="16"/>
              </w:rPr>
              <w:t xml:space="preserve"> </w:t>
            </w:r>
            <w:r>
              <w:rPr>
                <w:w w:val="95"/>
                <w:sz w:val="16"/>
              </w:rPr>
              <w:t>revenue</w:t>
            </w:r>
            <w:r>
              <w:rPr>
                <w:spacing w:val="-1"/>
                <w:w w:val="95"/>
                <w:sz w:val="16"/>
              </w:rPr>
              <w:t xml:space="preserve"> </w:t>
            </w:r>
            <w:r>
              <w:rPr>
                <w:spacing w:val="-2"/>
                <w:w w:val="95"/>
                <w:sz w:val="16"/>
              </w:rPr>
              <w:t>neutral.</w:t>
            </w:r>
          </w:p>
        </w:tc>
      </w:tr>
      <w:tr w:rsidR="002C1123">
        <w:trPr>
          <w:trHeight w:val="761"/>
        </w:trPr>
        <w:tc>
          <w:tcPr>
            <w:tcW w:w="510" w:type="dxa"/>
            <w:shd w:val="clear" w:color="auto" w:fill="E1E0E1"/>
          </w:tcPr>
          <w:p w:rsidR="002C1123" w:rsidRDefault="00F22F94">
            <w:pPr>
              <w:pStyle w:val="TableParagraph"/>
              <w:rPr>
                <w:sz w:val="16"/>
              </w:rPr>
            </w:pPr>
            <w:r>
              <w:rPr>
                <w:spacing w:val="-5"/>
                <w:sz w:val="16"/>
              </w:rPr>
              <w:t>20</w:t>
            </w:r>
          </w:p>
        </w:tc>
        <w:tc>
          <w:tcPr>
            <w:tcW w:w="4989" w:type="dxa"/>
            <w:shd w:val="clear" w:color="auto" w:fill="C9C8C9"/>
          </w:tcPr>
          <w:p w:rsidR="002C1123" w:rsidRDefault="00F22F94">
            <w:pPr>
              <w:pStyle w:val="TableParagraph"/>
              <w:rPr>
                <w:sz w:val="16"/>
              </w:rPr>
            </w:pPr>
            <w:r>
              <w:rPr>
                <w:sz w:val="16"/>
              </w:rPr>
              <w:t>Mainline</w:t>
            </w:r>
            <w:r>
              <w:rPr>
                <w:spacing w:val="8"/>
                <w:sz w:val="16"/>
              </w:rPr>
              <w:t xml:space="preserve"> </w:t>
            </w:r>
            <w:r>
              <w:rPr>
                <w:sz w:val="16"/>
              </w:rPr>
              <w:t>Acceleration</w:t>
            </w:r>
            <w:r>
              <w:rPr>
                <w:spacing w:val="9"/>
                <w:sz w:val="16"/>
              </w:rPr>
              <w:t xml:space="preserve"> </w:t>
            </w:r>
            <w:r>
              <w:rPr>
                <w:spacing w:val="-2"/>
                <w:sz w:val="16"/>
              </w:rPr>
              <w:t>Program</w:t>
            </w:r>
          </w:p>
          <w:p w:rsidR="002C1123" w:rsidRDefault="00F22F94">
            <w:pPr>
              <w:pStyle w:val="TableParagraph"/>
              <w:spacing w:before="36" w:line="288" w:lineRule="auto"/>
              <w:ind w:right="864"/>
              <w:rPr>
                <w:sz w:val="16"/>
              </w:rPr>
            </w:pPr>
            <w:r>
              <w:rPr>
                <w:spacing w:val="-2"/>
                <w:sz w:val="16"/>
              </w:rPr>
              <w:t>Target</w:t>
            </w:r>
            <w:r>
              <w:rPr>
                <w:spacing w:val="-9"/>
                <w:sz w:val="16"/>
              </w:rPr>
              <w:t xml:space="preserve"> </w:t>
            </w:r>
            <w:r>
              <w:rPr>
                <w:spacing w:val="-2"/>
                <w:sz w:val="16"/>
              </w:rPr>
              <w:t>one</w:t>
            </w:r>
            <w:r>
              <w:rPr>
                <w:spacing w:val="-9"/>
                <w:sz w:val="16"/>
              </w:rPr>
              <w:t xml:space="preserve"> </w:t>
            </w:r>
            <w:r>
              <w:rPr>
                <w:spacing w:val="-2"/>
                <w:sz w:val="16"/>
              </w:rPr>
              <w:t>hour</w:t>
            </w:r>
            <w:r>
              <w:rPr>
                <w:spacing w:val="-9"/>
                <w:sz w:val="16"/>
              </w:rPr>
              <w:t xml:space="preserve"> </w:t>
            </w:r>
            <w:r>
              <w:rPr>
                <w:spacing w:val="-2"/>
                <w:sz w:val="16"/>
              </w:rPr>
              <w:t>express</w:t>
            </w:r>
            <w:r>
              <w:rPr>
                <w:spacing w:val="-9"/>
                <w:sz w:val="16"/>
              </w:rPr>
              <w:t xml:space="preserve"> </w:t>
            </w:r>
            <w:r>
              <w:rPr>
                <w:spacing w:val="-2"/>
                <w:sz w:val="16"/>
              </w:rPr>
              <w:t>service</w:t>
            </w:r>
            <w:r>
              <w:rPr>
                <w:spacing w:val="-9"/>
                <w:sz w:val="16"/>
              </w:rPr>
              <w:t xml:space="preserve"> </w:t>
            </w:r>
            <w:r>
              <w:rPr>
                <w:spacing w:val="-2"/>
                <w:sz w:val="16"/>
              </w:rPr>
              <w:t>Wollongong</w:t>
            </w:r>
            <w:r>
              <w:rPr>
                <w:spacing w:val="-9"/>
                <w:sz w:val="16"/>
              </w:rPr>
              <w:t xml:space="preserve"> </w:t>
            </w:r>
            <w:r>
              <w:rPr>
                <w:spacing w:val="-2"/>
                <w:sz w:val="16"/>
              </w:rPr>
              <w:t>–</w:t>
            </w:r>
            <w:r>
              <w:rPr>
                <w:spacing w:val="-9"/>
                <w:sz w:val="16"/>
              </w:rPr>
              <w:t xml:space="preserve"> </w:t>
            </w:r>
            <w:r>
              <w:rPr>
                <w:spacing w:val="-2"/>
                <w:sz w:val="16"/>
              </w:rPr>
              <w:t xml:space="preserve">Sydney </w:t>
            </w:r>
            <w:r>
              <w:rPr>
                <w:sz w:val="16"/>
              </w:rPr>
              <w:t>and Gosford – Sydney</w:t>
            </w:r>
          </w:p>
        </w:tc>
        <w:tc>
          <w:tcPr>
            <w:tcW w:w="850" w:type="dxa"/>
            <w:shd w:val="clear" w:color="auto" w:fill="E1E0E1"/>
          </w:tcPr>
          <w:p w:rsidR="002C1123" w:rsidRDefault="00F22F94">
            <w:pPr>
              <w:pStyle w:val="TableParagraph"/>
              <w:rPr>
                <w:sz w:val="16"/>
              </w:rPr>
            </w:pPr>
            <w:r>
              <w:rPr>
                <w:sz w:val="16"/>
              </w:rPr>
              <w:t>5</w:t>
            </w:r>
            <w:r>
              <w:rPr>
                <w:spacing w:val="-10"/>
                <w:sz w:val="16"/>
              </w:rPr>
              <w:t xml:space="preserve"> </w:t>
            </w:r>
            <w:r>
              <w:rPr>
                <w:sz w:val="16"/>
              </w:rPr>
              <w:t>–</w:t>
            </w:r>
            <w:r>
              <w:rPr>
                <w:spacing w:val="-9"/>
                <w:sz w:val="16"/>
              </w:rPr>
              <w:t xml:space="preserve"> </w:t>
            </w:r>
            <w:r>
              <w:rPr>
                <w:spacing w:val="-5"/>
                <w:sz w:val="16"/>
              </w:rPr>
              <w:t>10</w:t>
            </w:r>
          </w:p>
        </w:tc>
        <w:tc>
          <w:tcPr>
            <w:tcW w:w="1417" w:type="dxa"/>
            <w:shd w:val="clear" w:color="auto" w:fill="E1E0E1"/>
          </w:tcPr>
          <w:p w:rsidR="002C1123" w:rsidRDefault="00F22F94">
            <w:pPr>
              <w:pStyle w:val="TableParagraph"/>
              <w:rPr>
                <w:sz w:val="16"/>
              </w:rPr>
            </w:pPr>
            <w:r>
              <w:rPr>
                <w:spacing w:val="-2"/>
                <w:sz w:val="16"/>
              </w:rPr>
              <w:t>Program</w:t>
            </w:r>
          </w:p>
        </w:tc>
        <w:tc>
          <w:tcPr>
            <w:tcW w:w="7086" w:type="dxa"/>
            <w:shd w:val="clear" w:color="auto" w:fill="E1E0E1"/>
          </w:tcPr>
          <w:p w:rsidR="002C1123" w:rsidRDefault="00F22F94">
            <w:pPr>
              <w:pStyle w:val="TableParagraph"/>
              <w:ind w:left="114"/>
              <w:rPr>
                <w:sz w:val="16"/>
              </w:rPr>
            </w:pPr>
            <w:r>
              <w:rPr>
                <w:w w:val="95"/>
                <w:sz w:val="16"/>
              </w:rPr>
              <w:t>Continuation</w:t>
            </w:r>
            <w:r>
              <w:rPr>
                <w:spacing w:val="-1"/>
                <w:sz w:val="16"/>
              </w:rPr>
              <w:t xml:space="preserve"> </w:t>
            </w:r>
            <w:r>
              <w:rPr>
                <w:w w:val="95"/>
                <w:sz w:val="16"/>
              </w:rPr>
              <w:t>of</w:t>
            </w:r>
            <w:r>
              <w:rPr>
                <w:spacing w:val="-1"/>
                <w:sz w:val="16"/>
              </w:rPr>
              <w:t xml:space="preserve"> </w:t>
            </w:r>
            <w:r>
              <w:rPr>
                <w:w w:val="95"/>
                <w:sz w:val="16"/>
              </w:rPr>
              <w:t>pilot</w:t>
            </w:r>
            <w:r>
              <w:rPr>
                <w:spacing w:val="-1"/>
                <w:sz w:val="16"/>
              </w:rPr>
              <w:t xml:space="preserve"> </w:t>
            </w:r>
            <w:r>
              <w:rPr>
                <w:w w:val="95"/>
                <w:sz w:val="16"/>
              </w:rPr>
              <w:t>program</w:t>
            </w:r>
            <w:r>
              <w:rPr>
                <w:spacing w:val="-2"/>
                <w:sz w:val="16"/>
              </w:rPr>
              <w:t xml:space="preserve"> </w:t>
            </w:r>
            <w:r>
              <w:rPr>
                <w:w w:val="95"/>
                <w:sz w:val="16"/>
              </w:rPr>
              <w:t>from</w:t>
            </w:r>
            <w:r>
              <w:rPr>
                <w:spacing w:val="-1"/>
                <w:sz w:val="16"/>
              </w:rPr>
              <w:t xml:space="preserve"> </w:t>
            </w:r>
            <w:r>
              <w:rPr>
                <w:w w:val="95"/>
                <w:sz w:val="16"/>
              </w:rPr>
              <w:t>Years</w:t>
            </w:r>
            <w:r>
              <w:rPr>
                <w:spacing w:val="-1"/>
                <w:sz w:val="16"/>
              </w:rPr>
              <w:t xml:space="preserve"> </w:t>
            </w:r>
            <w:r>
              <w:rPr>
                <w:w w:val="95"/>
                <w:sz w:val="16"/>
              </w:rPr>
              <w:t>0</w:t>
            </w:r>
            <w:r>
              <w:rPr>
                <w:spacing w:val="-1"/>
                <w:sz w:val="16"/>
              </w:rPr>
              <w:t xml:space="preserve"> </w:t>
            </w:r>
            <w:r>
              <w:rPr>
                <w:w w:val="95"/>
                <w:sz w:val="16"/>
              </w:rPr>
              <w:t>–</w:t>
            </w:r>
            <w:r>
              <w:rPr>
                <w:spacing w:val="-1"/>
                <w:sz w:val="16"/>
              </w:rPr>
              <w:t xml:space="preserve"> </w:t>
            </w:r>
            <w:r>
              <w:rPr>
                <w:w w:val="95"/>
                <w:sz w:val="16"/>
              </w:rPr>
              <w:t>5.</w:t>
            </w:r>
            <w:r>
              <w:rPr>
                <w:spacing w:val="-1"/>
                <w:sz w:val="16"/>
              </w:rPr>
              <w:t xml:space="preserve"> </w:t>
            </w:r>
            <w:r>
              <w:rPr>
                <w:w w:val="95"/>
                <w:sz w:val="16"/>
              </w:rPr>
              <w:t>Scoping</w:t>
            </w:r>
            <w:r>
              <w:rPr>
                <w:spacing w:val="-1"/>
                <w:sz w:val="16"/>
              </w:rPr>
              <w:t xml:space="preserve"> </w:t>
            </w:r>
            <w:r>
              <w:rPr>
                <w:w w:val="95"/>
                <w:sz w:val="16"/>
              </w:rPr>
              <w:t>of</w:t>
            </w:r>
            <w:r>
              <w:rPr>
                <w:spacing w:val="-1"/>
                <w:sz w:val="16"/>
              </w:rPr>
              <w:t xml:space="preserve"> </w:t>
            </w:r>
            <w:r>
              <w:rPr>
                <w:w w:val="95"/>
                <w:sz w:val="16"/>
              </w:rPr>
              <w:t>$1</w:t>
            </w:r>
            <w:r>
              <w:rPr>
                <w:spacing w:val="-1"/>
                <w:sz w:val="16"/>
              </w:rPr>
              <w:t xml:space="preserve"> </w:t>
            </w:r>
            <w:r>
              <w:rPr>
                <w:w w:val="95"/>
                <w:sz w:val="16"/>
              </w:rPr>
              <w:t>billion</w:t>
            </w:r>
            <w:r>
              <w:rPr>
                <w:spacing w:val="-1"/>
                <w:sz w:val="16"/>
              </w:rPr>
              <w:t xml:space="preserve"> </w:t>
            </w:r>
            <w:r>
              <w:rPr>
                <w:w w:val="95"/>
                <w:sz w:val="16"/>
              </w:rPr>
              <w:t>for</w:t>
            </w:r>
            <w:r>
              <w:rPr>
                <w:spacing w:val="-1"/>
                <w:sz w:val="16"/>
              </w:rPr>
              <w:t xml:space="preserve"> </w:t>
            </w:r>
            <w:r>
              <w:rPr>
                <w:w w:val="95"/>
                <w:sz w:val="16"/>
              </w:rPr>
              <w:t>capital</w:t>
            </w:r>
            <w:r>
              <w:rPr>
                <w:spacing w:val="-1"/>
                <w:sz w:val="16"/>
              </w:rPr>
              <w:t xml:space="preserve"> </w:t>
            </w:r>
            <w:r>
              <w:rPr>
                <w:spacing w:val="-2"/>
                <w:w w:val="95"/>
                <w:sz w:val="16"/>
              </w:rPr>
              <w:t>works.</w:t>
            </w:r>
          </w:p>
        </w:tc>
      </w:tr>
      <w:tr w:rsidR="002C1123">
        <w:trPr>
          <w:trHeight w:val="501"/>
        </w:trPr>
        <w:tc>
          <w:tcPr>
            <w:tcW w:w="510" w:type="dxa"/>
            <w:shd w:val="clear" w:color="auto" w:fill="E1E0E1"/>
          </w:tcPr>
          <w:p w:rsidR="002C1123" w:rsidRDefault="00F22F94">
            <w:pPr>
              <w:pStyle w:val="TableParagraph"/>
              <w:rPr>
                <w:sz w:val="16"/>
              </w:rPr>
            </w:pPr>
            <w:r>
              <w:rPr>
                <w:spacing w:val="-5"/>
                <w:sz w:val="16"/>
              </w:rPr>
              <w:t>21</w:t>
            </w:r>
          </w:p>
        </w:tc>
        <w:tc>
          <w:tcPr>
            <w:tcW w:w="4989" w:type="dxa"/>
            <w:shd w:val="clear" w:color="auto" w:fill="C9C8C9"/>
          </w:tcPr>
          <w:p w:rsidR="002C1123" w:rsidRDefault="00F22F94">
            <w:pPr>
              <w:pStyle w:val="TableParagraph"/>
              <w:rPr>
                <w:sz w:val="16"/>
              </w:rPr>
            </w:pPr>
            <w:r>
              <w:rPr>
                <w:spacing w:val="-2"/>
                <w:w w:val="105"/>
                <w:sz w:val="16"/>
              </w:rPr>
              <w:t>Unlock</w:t>
            </w:r>
            <w:r>
              <w:rPr>
                <w:spacing w:val="-8"/>
                <w:w w:val="105"/>
                <w:sz w:val="16"/>
              </w:rPr>
              <w:t xml:space="preserve"> </w:t>
            </w:r>
            <w:r>
              <w:rPr>
                <w:spacing w:val="-2"/>
                <w:w w:val="105"/>
                <w:sz w:val="16"/>
              </w:rPr>
              <w:t>City</w:t>
            </w:r>
            <w:r>
              <w:rPr>
                <w:spacing w:val="-8"/>
                <w:w w:val="105"/>
                <w:sz w:val="16"/>
              </w:rPr>
              <w:t xml:space="preserve"> </w:t>
            </w:r>
            <w:r>
              <w:rPr>
                <w:spacing w:val="-2"/>
                <w:w w:val="105"/>
                <w:sz w:val="16"/>
              </w:rPr>
              <w:t>Circle</w:t>
            </w:r>
            <w:r>
              <w:rPr>
                <w:spacing w:val="-8"/>
                <w:w w:val="105"/>
                <w:sz w:val="16"/>
              </w:rPr>
              <w:t xml:space="preserve"> </w:t>
            </w:r>
            <w:r>
              <w:rPr>
                <w:spacing w:val="-2"/>
                <w:w w:val="105"/>
                <w:sz w:val="16"/>
              </w:rPr>
              <w:t>spare</w:t>
            </w:r>
            <w:r>
              <w:rPr>
                <w:spacing w:val="-8"/>
                <w:w w:val="105"/>
                <w:sz w:val="16"/>
              </w:rPr>
              <w:t xml:space="preserve"> </w:t>
            </w:r>
            <w:r>
              <w:rPr>
                <w:spacing w:val="-2"/>
                <w:w w:val="105"/>
                <w:sz w:val="16"/>
              </w:rPr>
              <w:t>capacity</w:t>
            </w:r>
            <w:r>
              <w:rPr>
                <w:spacing w:val="-8"/>
                <w:w w:val="105"/>
                <w:sz w:val="16"/>
              </w:rPr>
              <w:t xml:space="preserve"> </w:t>
            </w:r>
            <w:r>
              <w:rPr>
                <w:spacing w:val="-2"/>
                <w:w w:val="105"/>
                <w:sz w:val="16"/>
              </w:rPr>
              <w:t>to</w:t>
            </w:r>
            <w:r>
              <w:rPr>
                <w:spacing w:val="-8"/>
                <w:w w:val="105"/>
                <w:sz w:val="16"/>
              </w:rPr>
              <w:t xml:space="preserve"> </w:t>
            </w:r>
            <w:r>
              <w:rPr>
                <w:spacing w:val="-2"/>
                <w:w w:val="105"/>
                <w:sz w:val="16"/>
              </w:rPr>
              <w:t>relieve</w:t>
            </w:r>
            <w:r>
              <w:rPr>
                <w:spacing w:val="-8"/>
                <w:w w:val="105"/>
                <w:sz w:val="16"/>
              </w:rPr>
              <w:t xml:space="preserve"> </w:t>
            </w:r>
            <w:r>
              <w:rPr>
                <w:spacing w:val="-2"/>
                <w:w w:val="105"/>
                <w:sz w:val="16"/>
              </w:rPr>
              <w:t>CBD</w:t>
            </w:r>
            <w:r>
              <w:rPr>
                <w:spacing w:val="-8"/>
                <w:w w:val="105"/>
                <w:sz w:val="16"/>
              </w:rPr>
              <w:t xml:space="preserve"> </w:t>
            </w:r>
            <w:r>
              <w:rPr>
                <w:spacing w:val="-2"/>
                <w:w w:val="105"/>
                <w:sz w:val="16"/>
              </w:rPr>
              <w:t>congestion</w:t>
            </w:r>
          </w:p>
        </w:tc>
        <w:tc>
          <w:tcPr>
            <w:tcW w:w="850" w:type="dxa"/>
            <w:shd w:val="clear" w:color="auto" w:fill="E1E0E1"/>
          </w:tcPr>
          <w:p w:rsidR="002C1123" w:rsidRDefault="00F22F94">
            <w:pPr>
              <w:pStyle w:val="TableParagraph"/>
              <w:rPr>
                <w:sz w:val="16"/>
              </w:rPr>
            </w:pPr>
            <w:r>
              <w:rPr>
                <w:sz w:val="16"/>
              </w:rPr>
              <w:t>5</w:t>
            </w:r>
            <w:r>
              <w:rPr>
                <w:spacing w:val="-10"/>
                <w:sz w:val="16"/>
              </w:rPr>
              <w:t xml:space="preserve"> </w:t>
            </w:r>
            <w:r>
              <w:rPr>
                <w:sz w:val="16"/>
              </w:rPr>
              <w:t>–</w:t>
            </w:r>
            <w:r>
              <w:rPr>
                <w:spacing w:val="-9"/>
                <w:sz w:val="16"/>
              </w:rPr>
              <w:t xml:space="preserve"> </w:t>
            </w:r>
            <w:r>
              <w:rPr>
                <w:spacing w:val="-5"/>
                <w:sz w:val="16"/>
              </w:rPr>
              <w:t>10</w:t>
            </w:r>
          </w:p>
        </w:tc>
        <w:tc>
          <w:tcPr>
            <w:tcW w:w="1417" w:type="dxa"/>
            <w:shd w:val="clear" w:color="auto" w:fill="E1E0E1"/>
          </w:tcPr>
          <w:p w:rsidR="002C1123" w:rsidRDefault="00F22F94">
            <w:pPr>
              <w:pStyle w:val="TableParagraph"/>
              <w:rPr>
                <w:sz w:val="16"/>
              </w:rPr>
            </w:pPr>
            <w:r>
              <w:rPr>
                <w:w w:val="95"/>
                <w:sz w:val="16"/>
              </w:rPr>
              <w:t>Asset</w:t>
            </w:r>
            <w:r>
              <w:rPr>
                <w:spacing w:val="-1"/>
                <w:sz w:val="16"/>
              </w:rPr>
              <w:t xml:space="preserve"> </w:t>
            </w:r>
            <w:r>
              <w:rPr>
                <w:spacing w:val="-2"/>
                <w:sz w:val="16"/>
              </w:rPr>
              <w:t>utilisation</w:t>
            </w:r>
          </w:p>
        </w:tc>
        <w:tc>
          <w:tcPr>
            <w:tcW w:w="7086" w:type="dxa"/>
            <w:shd w:val="clear" w:color="auto" w:fill="E1E0E1"/>
          </w:tcPr>
          <w:p w:rsidR="002C1123" w:rsidRDefault="00F22F94">
            <w:pPr>
              <w:pStyle w:val="TableParagraph"/>
              <w:spacing w:before="70" w:line="235" w:lineRule="auto"/>
              <w:ind w:left="114"/>
              <w:rPr>
                <w:sz w:val="16"/>
              </w:rPr>
            </w:pPr>
            <w:r>
              <w:rPr>
                <w:w w:val="95"/>
                <w:sz w:val="16"/>
              </w:rPr>
              <w:t xml:space="preserve">Scoping of $1 billion allows for reconfiguration of junctions and associated works outside Central to </w:t>
            </w:r>
            <w:r>
              <w:rPr>
                <w:sz w:val="16"/>
              </w:rPr>
              <w:t>allow</w:t>
            </w:r>
            <w:r>
              <w:rPr>
                <w:spacing w:val="-9"/>
                <w:sz w:val="16"/>
              </w:rPr>
              <w:t xml:space="preserve"> </w:t>
            </w:r>
            <w:r>
              <w:rPr>
                <w:sz w:val="16"/>
              </w:rPr>
              <w:t>more</w:t>
            </w:r>
            <w:r>
              <w:rPr>
                <w:spacing w:val="-9"/>
                <w:sz w:val="16"/>
              </w:rPr>
              <w:t xml:space="preserve"> </w:t>
            </w:r>
            <w:r>
              <w:rPr>
                <w:sz w:val="16"/>
              </w:rPr>
              <w:t>services</w:t>
            </w:r>
            <w:r>
              <w:rPr>
                <w:spacing w:val="-9"/>
                <w:sz w:val="16"/>
              </w:rPr>
              <w:t xml:space="preserve"> </w:t>
            </w:r>
            <w:r>
              <w:rPr>
                <w:sz w:val="16"/>
              </w:rPr>
              <w:t>to</w:t>
            </w:r>
            <w:r>
              <w:rPr>
                <w:spacing w:val="-9"/>
                <w:sz w:val="16"/>
              </w:rPr>
              <w:t xml:space="preserve"> </w:t>
            </w:r>
            <w:r>
              <w:rPr>
                <w:sz w:val="16"/>
              </w:rPr>
              <w:t>access</w:t>
            </w:r>
            <w:r>
              <w:rPr>
                <w:spacing w:val="-9"/>
                <w:sz w:val="16"/>
              </w:rPr>
              <w:t xml:space="preserve"> </w:t>
            </w:r>
            <w:r>
              <w:rPr>
                <w:sz w:val="16"/>
              </w:rPr>
              <w:t>the</w:t>
            </w:r>
            <w:r>
              <w:rPr>
                <w:spacing w:val="-9"/>
                <w:sz w:val="16"/>
              </w:rPr>
              <w:t xml:space="preserve"> </w:t>
            </w:r>
            <w:r>
              <w:rPr>
                <w:sz w:val="16"/>
              </w:rPr>
              <w:t>City</w:t>
            </w:r>
            <w:r>
              <w:rPr>
                <w:spacing w:val="-9"/>
                <w:sz w:val="16"/>
              </w:rPr>
              <w:t xml:space="preserve"> </w:t>
            </w:r>
            <w:r>
              <w:rPr>
                <w:sz w:val="16"/>
              </w:rPr>
              <w:t>Circle.</w:t>
            </w:r>
            <w:r>
              <w:rPr>
                <w:spacing w:val="-9"/>
                <w:sz w:val="16"/>
              </w:rPr>
              <w:t xml:space="preserve"> </w:t>
            </w:r>
            <w:r>
              <w:rPr>
                <w:sz w:val="16"/>
              </w:rPr>
              <w:t>It</w:t>
            </w:r>
            <w:r>
              <w:rPr>
                <w:spacing w:val="-9"/>
                <w:sz w:val="16"/>
              </w:rPr>
              <w:t xml:space="preserve"> </w:t>
            </w:r>
            <w:r>
              <w:rPr>
                <w:sz w:val="16"/>
              </w:rPr>
              <w:t>does</w:t>
            </w:r>
            <w:r>
              <w:rPr>
                <w:spacing w:val="-9"/>
                <w:sz w:val="16"/>
              </w:rPr>
              <w:t xml:space="preserve"> </w:t>
            </w:r>
            <w:r>
              <w:rPr>
                <w:sz w:val="16"/>
              </w:rPr>
              <w:t>not</w:t>
            </w:r>
            <w:r>
              <w:rPr>
                <w:spacing w:val="-9"/>
                <w:sz w:val="16"/>
              </w:rPr>
              <w:t xml:space="preserve"> </w:t>
            </w:r>
            <w:r>
              <w:rPr>
                <w:sz w:val="16"/>
              </w:rPr>
              <w:t>include</w:t>
            </w:r>
            <w:r>
              <w:rPr>
                <w:spacing w:val="-9"/>
                <w:sz w:val="16"/>
              </w:rPr>
              <w:t xml:space="preserve"> </w:t>
            </w:r>
            <w:r>
              <w:rPr>
                <w:sz w:val="16"/>
              </w:rPr>
              <w:t>resignalling</w:t>
            </w:r>
            <w:r>
              <w:rPr>
                <w:spacing w:val="-9"/>
                <w:sz w:val="16"/>
              </w:rPr>
              <w:t xml:space="preserve"> </w:t>
            </w:r>
            <w:r>
              <w:rPr>
                <w:sz w:val="16"/>
              </w:rPr>
              <w:t>of</w:t>
            </w:r>
            <w:r>
              <w:rPr>
                <w:spacing w:val="-9"/>
                <w:sz w:val="16"/>
              </w:rPr>
              <w:t xml:space="preserve"> </w:t>
            </w:r>
            <w:r>
              <w:rPr>
                <w:sz w:val="16"/>
              </w:rPr>
              <w:t>the</w:t>
            </w:r>
            <w:r>
              <w:rPr>
                <w:spacing w:val="-9"/>
                <w:sz w:val="16"/>
              </w:rPr>
              <w:t xml:space="preserve"> </w:t>
            </w:r>
            <w:r>
              <w:rPr>
                <w:sz w:val="16"/>
              </w:rPr>
              <w:t>City</w:t>
            </w:r>
            <w:r>
              <w:rPr>
                <w:spacing w:val="-9"/>
                <w:sz w:val="16"/>
              </w:rPr>
              <w:t xml:space="preserve"> </w:t>
            </w:r>
            <w:r>
              <w:rPr>
                <w:sz w:val="16"/>
              </w:rPr>
              <w:t>Circle.</w:t>
            </w:r>
          </w:p>
        </w:tc>
      </w:tr>
      <w:tr w:rsidR="002C1123">
        <w:trPr>
          <w:trHeight w:val="321"/>
        </w:trPr>
        <w:tc>
          <w:tcPr>
            <w:tcW w:w="510" w:type="dxa"/>
            <w:shd w:val="clear" w:color="auto" w:fill="E1E0E1"/>
          </w:tcPr>
          <w:p w:rsidR="002C1123" w:rsidRDefault="00F22F94">
            <w:pPr>
              <w:pStyle w:val="TableParagraph"/>
              <w:rPr>
                <w:sz w:val="16"/>
              </w:rPr>
            </w:pPr>
            <w:r>
              <w:rPr>
                <w:spacing w:val="-5"/>
                <w:sz w:val="16"/>
              </w:rPr>
              <w:t>22</w:t>
            </w:r>
          </w:p>
        </w:tc>
        <w:tc>
          <w:tcPr>
            <w:tcW w:w="4989" w:type="dxa"/>
            <w:shd w:val="clear" w:color="auto" w:fill="C9C8C9"/>
          </w:tcPr>
          <w:p w:rsidR="002C1123" w:rsidRDefault="00F22F94">
            <w:pPr>
              <w:pStyle w:val="TableParagraph"/>
              <w:rPr>
                <w:sz w:val="16"/>
              </w:rPr>
            </w:pPr>
            <w:r>
              <w:rPr>
                <w:sz w:val="16"/>
              </w:rPr>
              <w:t>Modernise</w:t>
            </w:r>
            <w:r>
              <w:rPr>
                <w:spacing w:val="-1"/>
                <w:sz w:val="16"/>
              </w:rPr>
              <w:t xml:space="preserve"> </w:t>
            </w:r>
            <w:r>
              <w:rPr>
                <w:sz w:val="16"/>
              </w:rPr>
              <w:t xml:space="preserve">Wynyard and Town Hall </w:t>
            </w:r>
            <w:r>
              <w:rPr>
                <w:spacing w:val="-2"/>
                <w:sz w:val="16"/>
              </w:rPr>
              <w:t>stations</w:t>
            </w:r>
          </w:p>
        </w:tc>
        <w:tc>
          <w:tcPr>
            <w:tcW w:w="850" w:type="dxa"/>
            <w:shd w:val="clear" w:color="auto" w:fill="E1E0E1"/>
          </w:tcPr>
          <w:p w:rsidR="002C1123" w:rsidRDefault="00F22F94">
            <w:pPr>
              <w:pStyle w:val="TableParagraph"/>
              <w:rPr>
                <w:sz w:val="16"/>
              </w:rPr>
            </w:pPr>
            <w:r>
              <w:rPr>
                <w:sz w:val="16"/>
              </w:rPr>
              <w:t>5</w:t>
            </w:r>
            <w:r>
              <w:rPr>
                <w:spacing w:val="-10"/>
                <w:sz w:val="16"/>
              </w:rPr>
              <w:t xml:space="preserve"> </w:t>
            </w:r>
            <w:r>
              <w:rPr>
                <w:sz w:val="16"/>
              </w:rPr>
              <w:t>–</w:t>
            </w:r>
            <w:r>
              <w:rPr>
                <w:spacing w:val="-9"/>
                <w:sz w:val="16"/>
              </w:rPr>
              <w:t xml:space="preserve"> </w:t>
            </w:r>
            <w:r>
              <w:rPr>
                <w:spacing w:val="-5"/>
                <w:sz w:val="16"/>
              </w:rPr>
              <w:t>10</w:t>
            </w:r>
          </w:p>
        </w:tc>
        <w:tc>
          <w:tcPr>
            <w:tcW w:w="1417" w:type="dxa"/>
            <w:shd w:val="clear" w:color="auto" w:fill="E1E0E1"/>
          </w:tcPr>
          <w:p w:rsidR="002C1123" w:rsidRDefault="00F22F94">
            <w:pPr>
              <w:pStyle w:val="TableParagraph"/>
              <w:rPr>
                <w:sz w:val="16"/>
              </w:rPr>
            </w:pPr>
            <w:r>
              <w:rPr>
                <w:w w:val="95"/>
                <w:sz w:val="16"/>
              </w:rPr>
              <w:t>Major</w:t>
            </w:r>
            <w:r>
              <w:rPr>
                <w:spacing w:val="-2"/>
                <w:sz w:val="16"/>
              </w:rPr>
              <w:t xml:space="preserve"> </w:t>
            </w:r>
            <w:r>
              <w:rPr>
                <w:spacing w:val="-2"/>
                <w:w w:val="95"/>
                <w:sz w:val="16"/>
              </w:rPr>
              <w:t>project</w:t>
            </w:r>
          </w:p>
        </w:tc>
        <w:tc>
          <w:tcPr>
            <w:tcW w:w="7086" w:type="dxa"/>
            <w:shd w:val="clear" w:color="auto" w:fill="E1E0E1"/>
          </w:tcPr>
          <w:p w:rsidR="002C1123" w:rsidRDefault="00F22F94">
            <w:pPr>
              <w:pStyle w:val="TableParagraph"/>
              <w:ind w:left="114"/>
              <w:rPr>
                <w:sz w:val="16"/>
              </w:rPr>
            </w:pPr>
            <w:r>
              <w:rPr>
                <w:w w:val="90"/>
                <w:sz w:val="16"/>
              </w:rPr>
              <w:t>Transport</w:t>
            </w:r>
            <w:r>
              <w:rPr>
                <w:spacing w:val="10"/>
                <w:sz w:val="16"/>
              </w:rPr>
              <w:t xml:space="preserve"> </w:t>
            </w:r>
            <w:r>
              <w:rPr>
                <w:w w:val="90"/>
                <w:sz w:val="16"/>
              </w:rPr>
              <w:t>costs</w:t>
            </w:r>
            <w:r>
              <w:rPr>
                <w:spacing w:val="11"/>
                <w:sz w:val="16"/>
              </w:rPr>
              <w:t xml:space="preserve"> </w:t>
            </w:r>
            <w:r>
              <w:rPr>
                <w:w w:val="90"/>
                <w:sz w:val="16"/>
              </w:rPr>
              <w:t>included</w:t>
            </w:r>
            <w:r>
              <w:rPr>
                <w:spacing w:val="11"/>
                <w:sz w:val="16"/>
              </w:rPr>
              <w:t xml:space="preserve"> </w:t>
            </w:r>
            <w:r>
              <w:rPr>
                <w:w w:val="90"/>
                <w:sz w:val="16"/>
              </w:rPr>
              <w:t>within</w:t>
            </w:r>
            <w:r>
              <w:rPr>
                <w:spacing w:val="11"/>
                <w:sz w:val="16"/>
              </w:rPr>
              <w:t xml:space="preserve"> </w:t>
            </w:r>
            <w:r>
              <w:rPr>
                <w:w w:val="90"/>
                <w:sz w:val="16"/>
              </w:rPr>
              <w:t>CBD</w:t>
            </w:r>
            <w:r>
              <w:rPr>
                <w:spacing w:val="11"/>
                <w:sz w:val="16"/>
              </w:rPr>
              <w:t xml:space="preserve"> </w:t>
            </w:r>
            <w:r>
              <w:rPr>
                <w:w w:val="90"/>
                <w:sz w:val="16"/>
              </w:rPr>
              <w:t>Transit</w:t>
            </w:r>
            <w:r>
              <w:rPr>
                <w:spacing w:val="11"/>
                <w:sz w:val="16"/>
              </w:rPr>
              <w:t xml:space="preserve"> </w:t>
            </w:r>
            <w:r>
              <w:rPr>
                <w:w w:val="90"/>
                <w:sz w:val="16"/>
              </w:rPr>
              <w:t>Improvement</w:t>
            </w:r>
            <w:r>
              <w:rPr>
                <w:spacing w:val="10"/>
                <w:sz w:val="16"/>
              </w:rPr>
              <w:t xml:space="preserve"> </w:t>
            </w:r>
            <w:r>
              <w:rPr>
                <w:w w:val="90"/>
                <w:sz w:val="16"/>
              </w:rPr>
              <w:t>Plan</w:t>
            </w:r>
            <w:r>
              <w:rPr>
                <w:spacing w:val="11"/>
                <w:sz w:val="16"/>
              </w:rPr>
              <w:t xml:space="preserve"> </w:t>
            </w:r>
            <w:r>
              <w:rPr>
                <w:w w:val="90"/>
                <w:sz w:val="16"/>
              </w:rPr>
              <w:t>(refer</w:t>
            </w:r>
            <w:r>
              <w:rPr>
                <w:spacing w:val="11"/>
                <w:sz w:val="16"/>
              </w:rPr>
              <w:t xml:space="preserve"> </w:t>
            </w:r>
            <w:r>
              <w:rPr>
                <w:w w:val="90"/>
                <w:sz w:val="16"/>
              </w:rPr>
              <w:t>Recommendation</w:t>
            </w:r>
            <w:r>
              <w:rPr>
                <w:spacing w:val="11"/>
                <w:sz w:val="16"/>
              </w:rPr>
              <w:t xml:space="preserve"> </w:t>
            </w:r>
            <w:r>
              <w:rPr>
                <w:spacing w:val="-4"/>
                <w:w w:val="90"/>
                <w:sz w:val="16"/>
              </w:rPr>
              <w:t>II).</w:t>
            </w:r>
          </w:p>
        </w:tc>
      </w:tr>
      <w:tr w:rsidR="002C1123">
        <w:trPr>
          <w:trHeight w:val="681"/>
        </w:trPr>
        <w:tc>
          <w:tcPr>
            <w:tcW w:w="510" w:type="dxa"/>
            <w:shd w:val="clear" w:color="auto" w:fill="E1E0E1"/>
          </w:tcPr>
          <w:p w:rsidR="002C1123" w:rsidRDefault="00F22F94">
            <w:pPr>
              <w:pStyle w:val="TableParagraph"/>
              <w:rPr>
                <w:sz w:val="16"/>
              </w:rPr>
            </w:pPr>
            <w:r>
              <w:rPr>
                <w:spacing w:val="-5"/>
                <w:sz w:val="16"/>
              </w:rPr>
              <w:t>23</w:t>
            </w:r>
          </w:p>
        </w:tc>
        <w:tc>
          <w:tcPr>
            <w:tcW w:w="4989" w:type="dxa"/>
            <w:shd w:val="clear" w:color="auto" w:fill="C9C8C9"/>
          </w:tcPr>
          <w:p w:rsidR="002C1123" w:rsidRDefault="00F22F94">
            <w:pPr>
              <w:pStyle w:val="TableParagraph"/>
              <w:spacing w:line="288" w:lineRule="auto"/>
              <w:ind w:right="403"/>
              <w:rPr>
                <w:sz w:val="16"/>
              </w:rPr>
            </w:pPr>
            <w:r>
              <w:rPr>
                <w:spacing w:val="-2"/>
                <w:w w:val="105"/>
                <w:sz w:val="16"/>
              </w:rPr>
              <w:t>Rapid</w:t>
            </w:r>
            <w:r>
              <w:rPr>
                <w:spacing w:val="-10"/>
                <w:w w:val="105"/>
                <w:sz w:val="16"/>
              </w:rPr>
              <w:t xml:space="preserve"> </w:t>
            </w:r>
            <w:r>
              <w:rPr>
                <w:spacing w:val="-2"/>
                <w:w w:val="105"/>
                <w:sz w:val="16"/>
              </w:rPr>
              <w:t>transit</w:t>
            </w:r>
            <w:r>
              <w:rPr>
                <w:spacing w:val="-10"/>
                <w:w w:val="105"/>
                <w:sz w:val="16"/>
              </w:rPr>
              <w:t xml:space="preserve"> </w:t>
            </w:r>
            <w:r>
              <w:rPr>
                <w:spacing w:val="-2"/>
                <w:w w:val="105"/>
                <w:sz w:val="16"/>
              </w:rPr>
              <w:t>extension</w:t>
            </w:r>
            <w:r>
              <w:rPr>
                <w:spacing w:val="-9"/>
                <w:w w:val="105"/>
                <w:sz w:val="16"/>
              </w:rPr>
              <w:t xml:space="preserve"> </w:t>
            </w:r>
            <w:r>
              <w:rPr>
                <w:spacing w:val="-2"/>
                <w:w w:val="105"/>
                <w:sz w:val="16"/>
              </w:rPr>
              <w:t>from</w:t>
            </w:r>
            <w:r>
              <w:rPr>
                <w:spacing w:val="-10"/>
                <w:w w:val="105"/>
                <w:sz w:val="16"/>
              </w:rPr>
              <w:t xml:space="preserve"> </w:t>
            </w:r>
            <w:r>
              <w:rPr>
                <w:spacing w:val="-2"/>
                <w:w w:val="105"/>
                <w:sz w:val="16"/>
              </w:rPr>
              <w:t>NWRL</w:t>
            </w:r>
            <w:r>
              <w:rPr>
                <w:spacing w:val="-10"/>
                <w:w w:val="105"/>
                <w:sz w:val="16"/>
              </w:rPr>
              <w:t xml:space="preserve"> </w:t>
            </w:r>
            <w:r>
              <w:rPr>
                <w:spacing w:val="-2"/>
                <w:w w:val="105"/>
                <w:sz w:val="16"/>
              </w:rPr>
              <w:t>to</w:t>
            </w:r>
            <w:r>
              <w:rPr>
                <w:spacing w:val="-10"/>
                <w:w w:val="105"/>
                <w:sz w:val="16"/>
              </w:rPr>
              <w:t xml:space="preserve"> </w:t>
            </w:r>
            <w:r>
              <w:rPr>
                <w:spacing w:val="-2"/>
                <w:w w:val="105"/>
                <w:sz w:val="16"/>
              </w:rPr>
              <w:t>CBD</w:t>
            </w:r>
            <w:r>
              <w:rPr>
                <w:spacing w:val="-9"/>
                <w:w w:val="105"/>
                <w:sz w:val="16"/>
              </w:rPr>
              <w:t xml:space="preserve"> </w:t>
            </w:r>
            <w:r>
              <w:rPr>
                <w:spacing w:val="-2"/>
                <w:w w:val="105"/>
                <w:sz w:val="16"/>
              </w:rPr>
              <w:t>and</w:t>
            </w:r>
            <w:r>
              <w:rPr>
                <w:spacing w:val="-10"/>
                <w:w w:val="105"/>
                <w:sz w:val="16"/>
              </w:rPr>
              <w:t xml:space="preserve"> </w:t>
            </w:r>
            <w:r>
              <w:rPr>
                <w:spacing w:val="-2"/>
                <w:w w:val="105"/>
                <w:sz w:val="16"/>
              </w:rPr>
              <w:t>Inner</w:t>
            </w:r>
            <w:r>
              <w:rPr>
                <w:spacing w:val="-10"/>
                <w:w w:val="105"/>
                <w:sz w:val="16"/>
              </w:rPr>
              <w:t xml:space="preserve"> </w:t>
            </w:r>
            <w:r>
              <w:rPr>
                <w:spacing w:val="-2"/>
                <w:w w:val="105"/>
                <w:sz w:val="16"/>
              </w:rPr>
              <w:t xml:space="preserve">West, </w:t>
            </w:r>
            <w:r>
              <w:rPr>
                <w:w w:val="105"/>
                <w:sz w:val="16"/>
              </w:rPr>
              <w:t>and release additional capacity on Main West Lines</w:t>
            </w:r>
          </w:p>
        </w:tc>
        <w:tc>
          <w:tcPr>
            <w:tcW w:w="850" w:type="dxa"/>
            <w:shd w:val="clear" w:color="auto" w:fill="E1E0E1"/>
          </w:tcPr>
          <w:p w:rsidR="002C1123" w:rsidRDefault="00F22F94">
            <w:pPr>
              <w:pStyle w:val="TableParagraph"/>
              <w:rPr>
                <w:sz w:val="16"/>
              </w:rPr>
            </w:pPr>
            <w:r>
              <w:rPr>
                <w:w w:val="95"/>
                <w:sz w:val="16"/>
              </w:rPr>
              <w:t>10</w:t>
            </w:r>
            <w:r>
              <w:rPr>
                <w:spacing w:val="-6"/>
                <w:w w:val="95"/>
                <w:sz w:val="16"/>
              </w:rPr>
              <w:t xml:space="preserve"> </w:t>
            </w:r>
            <w:r>
              <w:rPr>
                <w:w w:val="95"/>
                <w:sz w:val="16"/>
              </w:rPr>
              <w:t>–</w:t>
            </w:r>
            <w:r>
              <w:rPr>
                <w:spacing w:val="-5"/>
                <w:w w:val="95"/>
                <w:sz w:val="16"/>
              </w:rPr>
              <w:t xml:space="preserve"> 20</w:t>
            </w:r>
          </w:p>
        </w:tc>
        <w:tc>
          <w:tcPr>
            <w:tcW w:w="1417" w:type="dxa"/>
            <w:shd w:val="clear" w:color="auto" w:fill="E1E0E1"/>
          </w:tcPr>
          <w:p w:rsidR="002C1123" w:rsidRDefault="00F22F94">
            <w:pPr>
              <w:pStyle w:val="TableParagraph"/>
              <w:rPr>
                <w:sz w:val="16"/>
              </w:rPr>
            </w:pPr>
            <w:r>
              <w:rPr>
                <w:w w:val="95"/>
                <w:sz w:val="16"/>
              </w:rPr>
              <w:t>Major</w:t>
            </w:r>
            <w:r>
              <w:rPr>
                <w:spacing w:val="-2"/>
                <w:sz w:val="16"/>
              </w:rPr>
              <w:t xml:space="preserve"> </w:t>
            </w:r>
            <w:r>
              <w:rPr>
                <w:spacing w:val="-2"/>
                <w:w w:val="95"/>
                <w:sz w:val="16"/>
              </w:rPr>
              <w:t>project</w:t>
            </w:r>
          </w:p>
        </w:tc>
        <w:tc>
          <w:tcPr>
            <w:tcW w:w="7086" w:type="dxa"/>
            <w:shd w:val="clear" w:color="auto" w:fill="E1E0E1"/>
          </w:tcPr>
          <w:p w:rsidR="002C1123" w:rsidRDefault="00F22F94">
            <w:pPr>
              <w:pStyle w:val="TableParagraph"/>
              <w:spacing w:before="70" w:line="235" w:lineRule="auto"/>
              <w:ind w:left="114" w:right="350"/>
              <w:jc w:val="both"/>
              <w:rPr>
                <w:sz w:val="16"/>
              </w:rPr>
            </w:pPr>
            <w:r>
              <w:rPr>
                <w:w w:val="95"/>
                <w:sz w:val="16"/>
              </w:rPr>
              <w:t xml:space="preserve">Scoping of $5 billion assumes resignalling of North Shore, Harbour Bridge and Inner West Lines and new rolling stock. Works include capacity upgrades between Chatswood and North Sydney </w:t>
            </w:r>
            <w:r>
              <w:rPr>
                <w:sz w:val="16"/>
              </w:rPr>
              <w:t>and junction works at Central.</w:t>
            </w:r>
          </w:p>
        </w:tc>
      </w:tr>
      <w:tr w:rsidR="002C1123">
        <w:trPr>
          <w:trHeight w:val="541"/>
        </w:trPr>
        <w:tc>
          <w:tcPr>
            <w:tcW w:w="510" w:type="dxa"/>
            <w:shd w:val="clear" w:color="auto" w:fill="E1E0E1"/>
          </w:tcPr>
          <w:p w:rsidR="002C1123" w:rsidRDefault="00F22F94">
            <w:pPr>
              <w:pStyle w:val="TableParagraph"/>
              <w:rPr>
                <w:sz w:val="16"/>
              </w:rPr>
            </w:pPr>
            <w:r>
              <w:rPr>
                <w:spacing w:val="-5"/>
                <w:sz w:val="16"/>
              </w:rPr>
              <w:t>24</w:t>
            </w:r>
          </w:p>
        </w:tc>
        <w:tc>
          <w:tcPr>
            <w:tcW w:w="4989" w:type="dxa"/>
            <w:shd w:val="clear" w:color="auto" w:fill="C9C8C9"/>
          </w:tcPr>
          <w:p w:rsidR="002C1123" w:rsidRDefault="00F22F94">
            <w:pPr>
              <w:pStyle w:val="TableParagraph"/>
              <w:spacing w:line="288" w:lineRule="auto"/>
              <w:ind w:right="1461"/>
              <w:rPr>
                <w:sz w:val="16"/>
              </w:rPr>
            </w:pPr>
            <w:r>
              <w:rPr>
                <w:spacing w:val="-2"/>
                <w:w w:val="105"/>
                <w:sz w:val="16"/>
              </w:rPr>
              <w:t>Develop</w:t>
            </w:r>
            <w:r>
              <w:rPr>
                <w:spacing w:val="-10"/>
                <w:w w:val="105"/>
                <w:sz w:val="16"/>
              </w:rPr>
              <w:t xml:space="preserve"> </w:t>
            </w:r>
            <w:r>
              <w:rPr>
                <w:spacing w:val="-2"/>
                <w:w w:val="105"/>
                <w:sz w:val="16"/>
              </w:rPr>
              <w:t>extension</w:t>
            </w:r>
            <w:r>
              <w:rPr>
                <w:spacing w:val="-10"/>
                <w:w w:val="105"/>
                <w:sz w:val="16"/>
              </w:rPr>
              <w:t xml:space="preserve"> </w:t>
            </w:r>
            <w:r>
              <w:rPr>
                <w:spacing w:val="-2"/>
                <w:w w:val="105"/>
                <w:sz w:val="16"/>
              </w:rPr>
              <w:t>of</w:t>
            </w:r>
            <w:r>
              <w:rPr>
                <w:spacing w:val="-9"/>
                <w:w w:val="105"/>
                <w:sz w:val="16"/>
              </w:rPr>
              <w:t xml:space="preserve"> </w:t>
            </w:r>
            <w:r>
              <w:rPr>
                <w:spacing w:val="-2"/>
                <w:w w:val="105"/>
                <w:sz w:val="16"/>
              </w:rPr>
              <w:t>Eastern</w:t>
            </w:r>
            <w:r>
              <w:rPr>
                <w:spacing w:val="-10"/>
                <w:w w:val="105"/>
                <w:sz w:val="16"/>
              </w:rPr>
              <w:t xml:space="preserve"> </w:t>
            </w:r>
            <w:r>
              <w:rPr>
                <w:spacing w:val="-2"/>
                <w:w w:val="105"/>
                <w:sz w:val="16"/>
              </w:rPr>
              <w:t>Suburbs</w:t>
            </w:r>
            <w:r>
              <w:rPr>
                <w:spacing w:val="-10"/>
                <w:w w:val="105"/>
                <w:sz w:val="16"/>
              </w:rPr>
              <w:t xml:space="preserve"> </w:t>
            </w:r>
            <w:r>
              <w:rPr>
                <w:spacing w:val="-2"/>
                <w:w w:val="105"/>
                <w:sz w:val="16"/>
              </w:rPr>
              <w:t xml:space="preserve">Railway </w:t>
            </w:r>
            <w:r>
              <w:rPr>
                <w:w w:val="105"/>
                <w:sz w:val="16"/>
              </w:rPr>
              <w:t>to Randwick and Maroubra</w:t>
            </w:r>
          </w:p>
        </w:tc>
        <w:tc>
          <w:tcPr>
            <w:tcW w:w="850" w:type="dxa"/>
            <w:shd w:val="clear" w:color="auto" w:fill="E1E0E1"/>
          </w:tcPr>
          <w:p w:rsidR="002C1123" w:rsidRDefault="00F22F94">
            <w:pPr>
              <w:pStyle w:val="TableParagraph"/>
              <w:rPr>
                <w:sz w:val="16"/>
              </w:rPr>
            </w:pPr>
            <w:r>
              <w:rPr>
                <w:w w:val="95"/>
                <w:sz w:val="16"/>
              </w:rPr>
              <w:t>10</w:t>
            </w:r>
            <w:r>
              <w:rPr>
                <w:spacing w:val="-6"/>
                <w:w w:val="95"/>
                <w:sz w:val="16"/>
              </w:rPr>
              <w:t xml:space="preserve"> </w:t>
            </w:r>
            <w:r>
              <w:rPr>
                <w:w w:val="95"/>
                <w:sz w:val="16"/>
              </w:rPr>
              <w:t>–</w:t>
            </w:r>
            <w:r>
              <w:rPr>
                <w:spacing w:val="-5"/>
                <w:w w:val="95"/>
                <w:sz w:val="16"/>
              </w:rPr>
              <w:t xml:space="preserve"> 20</w:t>
            </w:r>
          </w:p>
        </w:tc>
        <w:tc>
          <w:tcPr>
            <w:tcW w:w="1417" w:type="dxa"/>
            <w:shd w:val="clear" w:color="auto" w:fill="E1E0E1"/>
          </w:tcPr>
          <w:p w:rsidR="002C1123" w:rsidRDefault="00F22F94">
            <w:pPr>
              <w:pStyle w:val="TableParagraph"/>
              <w:rPr>
                <w:sz w:val="16"/>
              </w:rPr>
            </w:pPr>
            <w:r>
              <w:rPr>
                <w:spacing w:val="-2"/>
                <w:sz w:val="16"/>
              </w:rPr>
              <w:t>Planning</w:t>
            </w:r>
          </w:p>
        </w:tc>
        <w:tc>
          <w:tcPr>
            <w:tcW w:w="7086" w:type="dxa"/>
            <w:shd w:val="clear" w:color="auto" w:fill="E1E0E1"/>
          </w:tcPr>
          <w:p w:rsidR="002C1123" w:rsidRDefault="00F22F94">
            <w:pPr>
              <w:pStyle w:val="TableParagraph"/>
              <w:ind w:left="114"/>
              <w:rPr>
                <w:sz w:val="16"/>
              </w:rPr>
            </w:pPr>
            <w:r>
              <w:rPr>
                <w:w w:val="95"/>
                <w:sz w:val="16"/>
              </w:rPr>
              <w:t>Cost</w:t>
            </w:r>
            <w:r>
              <w:rPr>
                <w:spacing w:val="1"/>
                <w:sz w:val="16"/>
              </w:rPr>
              <w:t xml:space="preserve"> </w:t>
            </w:r>
            <w:r>
              <w:rPr>
                <w:w w:val="95"/>
                <w:sz w:val="16"/>
              </w:rPr>
              <w:t>of</w:t>
            </w:r>
            <w:r>
              <w:rPr>
                <w:spacing w:val="2"/>
                <w:sz w:val="16"/>
              </w:rPr>
              <w:t xml:space="preserve"> </w:t>
            </w:r>
            <w:r>
              <w:rPr>
                <w:w w:val="95"/>
                <w:sz w:val="16"/>
              </w:rPr>
              <w:t>planning</w:t>
            </w:r>
            <w:r>
              <w:rPr>
                <w:spacing w:val="2"/>
                <w:sz w:val="16"/>
              </w:rPr>
              <w:t xml:space="preserve"> </w:t>
            </w:r>
            <w:r>
              <w:rPr>
                <w:w w:val="95"/>
                <w:sz w:val="16"/>
              </w:rPr>
              <w:t>work</w:t>
            </w:r>
            <w:r>
              <w:rPr>
                <w:spacing w:val="2"/>
                <w:sz w:val="16"/>
              </w:rPr>
              <w:t xml:space="preserve"> </w:t>
            </w:r>
            <w:r>
              <w:rPr>
                <w:w w:val="95"/>
                <w:sz w:val="16"/>
              </w:rPr>
              <w:t>is</w:t>
            </w:r>
            <w:r>
              <w:rPr>
                <w:spacing w:val="2"/>
                <w:sz w:val="16"/>
              </w:rPr>
              <w:t xml:space="preserve"> </w:t>
            </w:r>
            <w:r>
              <w:rPr>
                <w:w w:val="95"/>
                <w:sz w:val="16"/>
              </w:rPr>
              <w:t>not</w:t>
            </w:r>
            <w:r>
              <w:rPr>
                <w:spacing w:val="2"/>
                <w:sz w:val="16"/>
              </w:rPr>
              <w:t xml:space="preserve"> </w:t>
            </w:r>
            <w:r>
              <w:rPr>
                <w:spacing w:val="-2"/>
                <w:w w:val="95"/>
                <w:sz w:val="16"/>
              </w:rPr>
              <w:t>material.</w:t>
            </w:r>
          </w:p>
        </w:tc>
      </w:tr>
      <w:tr w:rsidR="002C1123">
        <w:trPr>
          <w:trHeight w:val="761"/>
        </w:trPr>
        <w:tc>
          <w:tcPr>
            <w:tcW w:w="510" w:type="dxa"/>
            <w:shd w:val="clear" w:color="auto" w:fill="E1E0E1"/>
          </w:tcPr>
          <w:p w:rsidR="002C1123" w:rsidRDefault="00F22F94">
            <w:pPr>
              <w:pStyle w:val="TableParagraph"/>
              <w:rPr>
                <w:sz w:val="16"/>
              </w:rPr>
            </w:pPr>
            <w:r>
              <w:rPr>
                <w:spacing w:val="-5"/>
                <w:sz w:val="16"/>
              </w:rPr>
              <w:t>25</w:t>
            </w:r>
          </w:p>
        </w:tc>
        <w:tc>
          <w:tcPr>
            <w:tcW w:w="4989" w:type="dxa"/>
            <w:shd w:val="clear" w:color="auto" w:fill="C9C8C9"/>
          </w:tcPr>
          <w:p w:rsidR="002C1123" w:rsidRDefault="00F22F94">
            <w:pPr>
              <w:pStyle w:val="TableParagraph"/>
              <w:rPr>
                <w:sz w:val="16"/>
              </w:rPr>
            </w:pPr>
            <w:r>
              <w:rPr>
                <w:sz w:val="16"/>
              </w:rPr>
              <w:t>Mainline</w:t>
            </w:r>
            <w:r>
              <w:rPr>
                <w:spacing w:val="8"/>
                <w:sz w:val="16"/>
              </w:rPr>
              <w:t xml:space="preserve"> </w:t>
            </w:r>
            <w:r>
              <w:rPr>
                <w:sz w:val="16"/>
              </w:rPr>
              <w:t>Acceleration</w:t>
            </w:r>
            <w:r>
              <w:rPr>
                <w:spacing w:val="9"/>
                <w:sz w:val="16"/>
              </w:rPr>
              <w:t xml:space="preserve"> </w:t>
            </w:r>
            <w:r>
              <w:rPr>
                <w:spacing w:val="-2"/>
                <w:sz w:val="16"/>
              </w:rPr>
              <w:t>Program</w:t>
            </w:r>
          </w:p>
          <w:p w:rsidR="002C1123" w:rsidRDefault="00F22F94">
            <w:pPr>
              <w:pStyle w:val="TableParagraph"/>
              <w:spacing w:before="36"/>
              <w:rPr>
                <w:sz w:val="16"/>
              </w:rPr>
            </w:pPr>
            <w:r>
              <w:rPr>
                <w:spacing w:val="-2"/>
                <w:sz w:val="16"/>
              </w:rPr>
              <w:t>Target</w:t>
            </w:r>
            <w:r>
              <w:rPr>
                <w:spacing w:val="-7"/>
                <w:sz w:val="16"/>
              </w:rPr>
              <w:t xml:space="preserve"> </w:t>
            </w:r>
            <w:r>
              <w:rPr>
                <w:spacing w:val="-2"/>
                <w:sz w:val="16"/>
              </w:rPr>
              <w:t>two</w:t>
            </w:r>
            <w:r>
              <w:rPr>
                <w:spacing w:val="-6"/>
                <w:sz w:val="16"/>
              </w:rPr>
              <w:t xml:space="preserve"> </w:t>
            </w:r>
            <w:r>
              <w:rPr>
                <w:spacing w:val="-2"/>
                <w:sz w:val="16"/>
              </w:rPr>
              <w:t>hour</w:t>
            </w:r>
            <w:r>
              <w:rPr>
                <w:spacing w:val="-6"/>
                <w:sz w:val="16"/>
              </w:rPr>
              <w:t xml:space="preserve"> </w:t>
            </w:r>
            <w:r>
              <w:rPr>
                <w:spacing w:val="-2"/>
                <w:sz w:val="16"/>
              </w:rPr>
              <w:t>express</w:t>
            </w:r>
            <w:r>
              <w:rPr>
                <w:spacing w:val="-6"/>
                <w:sz w:val="16"/>
              </w:rPr>
              <w:t xml:space="preserve"> </w:t>
            </w:r>
            <w:r>
              <w:rPr>
                <w:spacing w:val="-2"/>
                <w:sz w:val="16"/>
              </w:rPr>
              <w:t>service</w:t>
            </w:r>
            <w:r>
              <w:rPr>
                <w:spacing w:val="-7"/>
                <w:sz w:val="16"/>
              </w:rPr>
              <w:t xml:space="preserve"> </w:t>
            </w:r>
            <w:r>
              <w:rPr>
                <w:spacing w:val="-2"/>
                <w:sz w:val="16"/>
              </w:rPr>
              <w:t>Newcastle</w:t>
            </w:r>
            <w:r>
              <w:rPr>
                <w:spacing w:val="-6"/>
                <w:sz w:val="16"/>
              </w:rPr>
              <w:t xml:space="preserve"> </w:t>
            </w:r>
            <w:r>
              <w:rPr>
                <w:spacing w:val="-2"/>
                <w:sz w:val="16"/>
              </w:rPr>
              <w:t>–</w:t>
            </w:r>
            <w:r>
              <w:rPr>
                <w:spacing w:val="-6"/>
                <w:sz w:val="16"/>
              </w:rPr>
              <w:t xml:space="preserve"> </w:t>
            </w:r>
            <w:r>
              <w:rPr>
                <w:spacing w:val="-2"/>
                <w:sz w:val="16"/>
              </w:rPr>
              <w:t>Sydney</w:t>
            </w:r>
          </w:p>
        </w:tc>
        <w:tc>
          <w:tcPr>
            <w:tcW w:w="850" w:type="dxa"/>
            <w:shd w:val="clear" w:color="auto" w:fill="E1E0E1"/>
          </w:tcPr>
          <w:p w:rsidR="002C1123" w:rsidRDefault="00F22F94">
            <w:pPr>
              <w:pStyle w:val="TableParagraph"/>
              <w:rPr>
                <w:sz w:val="16"/>
              </w:rPr>
            </w:pPr>
            <w:r>
              <w:rPr>
                <w:w w:val="95"/>
                <w:sz w:val="16"/>
              </w:rPr>
              <w:t>10</w:t>
            </w:r>
            <w:r>
              <w:rPr>
                <w:spacing w:val="-6"/>
                <w:w w:val="95"/>
                <w:sz w:val="16"/>
              </w:rPr>
              <w:t xml:space="preserve"> </w:t>
            </w:r>
            <w:r>
              <w:rPr>
                <w:w w:val="95"/>
                <w:sz w:val="16"/>
              </w:rPr>
              <w:t>–</w:t>
            </w:r>
            <w:r>
              <w:rPr>
                <w:spacing w:val="-5"/>
                <w:w w:val="95"/>
                <w:sz w:val="16"/>
              </w:rPr>
              <w:t xml:space="preserve"> 20</w:t>
            </w:r>
          </w:p>
        </w:tc>
        <w:tc>
          <w:tcPr>
            <w:tcW w:w="1417" w:type="dxa"/>
            <w:shd w:val="clear" w:color="auto" w:fill="E1E0E1"/>
          </w:tcPr>
          <w:p w:rsidR="002C1123" w:rsidRDefault="00F22F94">
            <w:pPr>
              <w:pStyle w:val="TableParagraph"/>
              <w:rPr>
                <w:sz w:val="16"/>
              </w:rPr>
            </w:pPr>
            <w:r>
              <w:rPr>
                <w:spacing w:val="-2"/>
                <w:sz w:val="16"/>
              </w:rPr>
              <w:t>Program</w:t>
            </w:r>
          </w:p>
        </w:tc>
        <w:tc>
          <w:tcPr>
            <w:tcW w:w="7086" w:type="dxa"/>
            <w:shd w:val="clear" w:color="auto" w:fill="E1E0E1"/>
          </w:tcPr>
          <w:p w:rsidR="002C1123" w:rsidRDefault="00F22F94">
            <w:pPr>
              <w:pStyle w:val="TableParagraph"/>
              <w:ind w:left="114"/>
              <w:rPr>
                <w:sz w:val="16"/>
              </w:rPr>
            </w:pPr>
            <w:r>
              <w:rPr>
                <w:w w:val="95"/>
                <w:sz w:val="16"/>
              </w:rPr>
              <w:t>Continuation</w:t>
            </w:r>
            <w:r>
              <w:rPr>
                <w:spacing w:val="2"/>
                <w:sz w:val="16"/>
              </w:rPr>
              <w:t xml:space="preserve"> </w:t>
            </w:r>
            <w:r>
              <w:rPr>
                <w:w w:val="95"/>
                <w:sz w:val="16"/>
              </w:rPr>
              <w:t>of</w:t>
            </w:r>
            <w:r>
              <w:rPr>
                <w:spacing w:val="3"/>
                <w:sz w:val="16"/>
              </w:rPr>
              <w:t xml:space="preserve"> </w:t>
            </w:r>
            <w:r>
              <w:rPr>
                <w:w w:val="95"/>
                <w:sz w:val="16"/>
              </w:rPr>
              <w:t>previous</w:t>
            </w:r>
            <w:r>
              <w:rPr>
                <w:spacing w:val="2"/>
                <w:sz w:val="16"/>
              </w:rPr>
              <w:t xml:space="preserve"> </w:t>
            </w:r>
            <w:r>
              <w:rPr>
                <w:w w:val="95"/>
                <w:sz w:val="16"/>
              </w:rPr>
              <w:t>program.</w:t>
            </w:r>
            <w:r>
              <w:rPr>
                <w:spacing w:val="3"/>
                <w:sz w:val="16"/>
              </w:rPr>
              <w:t xml:space="preserve"> </w:t>
            </w:r>
            <w:r>
              <w:rPr>
                <w:w w:val="95"/>
                <w:sz w:val="16"/>
              </w:rPr>
              <w:t>Scoping</w:t>
            </w:r>
            <w:r>
              <w:rPr>
                <w:spacing w:val="3"/>
                <w:sz w:val="16"/>
              </w:rPr>
              <w:t xml:space="preserve"> </w:t>
            </w:r>
            <w:r>
              <w:rPr>
                <w:w w:val="95"/>
                <w:sz w:val="16"/>
              </w:rPr>
              <w:t>of</w:t>
            </w:r>
            <w:r>
              <w:rPr>
                <w:spacing w:val="2"/>
                <w:sz w:val="16"/>
              </w:rPr>
              <w:t xml:space="preserve"> </w:t>
            </w:r>
            <w:r>
              <w:rPr>
                <w:w w:val="95"/>
                <w:sz w:val="16"/>
              </w:rPr>
              <w:t>$500</w:t>
            </w:r>
            <w:r>
              <w:rPr>
                <w:spacing w:val="3"/>
                <w:sz w:val="16"/>
              </w:rPr>
              <w:t xml:space="preserve"> </w:t>
            </w:r>
            <w:r>
              <w:rPr>
                <w:w w:val="95"/>
                <w:sz w:val="16"/>
              </w:rPr>
              <w:t>million</w:t>
            </w:r>
            <w:r>
              <w:rPr>
                <w:spacing w:val="3"/>
                <w:sz w:val="16"/>
              </w:rPr>
              <w:t xml:space="preserve"> </w:t>
            </w:r>
            <w:r>
              <w:rPr>
                <w:w w:val="95"/>
                <w:sz w:val="16"/>
              </w:rPr>
              <w:t>for</w:t>
            </w:r>
            <w:r>
              <w:rPr>
                <w:spacing w:val="2"/>
                <w:sz w:val="16"/>
              </w:rPr>
              <w:t xml:space="preserve"> </w:t>
            </w:r>
            <w:r>
              <w:rPr>
                <w:w w:val="95"/>
                <w:sz w:val="16"/>
              </w:rPr>
              <w:t>capital</w:t>
            </w:r>
            <w:r>
              <w:rPr>
                <w:spacing w:val="3"/>
                <w:sz w:val="16"/>
              </w:rPr>
              <w:t xml:space="preserve"> </w:t>
            </w:r>
            <w:r>
              <w:rPr>
                <w:spacing w:val="-2"/>
                <w:w w:val="95"/>
                <w:sz w:val="16"/>
              </w:rPr>
              <w:t>works.</w:t>
            </w:r>
          </w:p>
        </w:tc>
      </w:tr>
    </w:tbl>
    <w:p w:rsidR="002C1123" w:rsidRDefault="002C1123">
      <w:pPr>
        <w:rPr>
          <w:sz w:val="16"/>
        </w:rPr>
        <w:sectPr w:rsidR="002C1123">
          <w:pgSz w:w="16840" w:h="11910" w:orient="landscape"/>
          <w:pgMar w:top="560" w:right="280" w:bottom="700" w:left="500" w:header="0" w:footer="517" w:gutter="0"/>
          <w:cols w:space="720"/>
        </w:sectPr>
      </w:pPr>
    </w:p>
    <w:p w:rsidR="002C1123" w:rsidRDefault="002C1123">
      <w:pPr>
        <w:pStyle w:val="BodyText"/>
        <w:rPr>
          <w:b/>
        </w:rPr>
      </w:pPr>
    </w:p>
    <w:p w:rsidR="002C1123" w:rsidRDefault="002C1123">
      <w:pPr>
        <w:sectPr w:rsidR="002C1123">
          <w:headerReference w:type="default" r:id="rId167"/>
          <w:footerReference w:type="default" r:id="rId168"/>
          <w:pgSz w:w="16840" w:h="11910" w:orient="landscape"/>
          <w:pgMar w:top="560" w:right="280" w:bottom="700" w:left="500" w:header="0" w:footer="517" w:gutter="0"/>
          <w:pgNumType w:start="118"/>
          <w:cols w:space="720"/>
        </w:sectPr>
      </w:pPr>
    </w:p>
    <w:p w:rsidR="002C1123" w:rsidRDefault="002060EF">
      <w:pPr>
        <w:pStyle w:val="Heading1"/>
      </w:pPr>
      <w:r>
        <w:pict>
          <v:rect id="docshape1501" o:spid="_x0000_s3732" style="position:absolute;left:0;text-align:left;margin-left:38.25pt;margin-top:80.8pt;width:502.7pt;height:417.9pt;z-index:-251475968;mso-position-horizontal-relative:page" fillcolor="#e1e0e1" stroked="f">
            <w10:wrap anchorx="page"/>
          </v:rect>
        </w:pict>
      </w:r>
      <w:bookmarkStart w:id="235" w:name="9.0_International_gateways_"/>
      <w:bookmarkStart w:id="236" w:name="9.1_Snapshot"/>
      <w:bookmarkStart w:id="237" w:name="_bookmark168"/>
      <w:bookmarkStart w:id="238" w:name="_bookmark167"/>
      <w:bookmarkEnd w:id="235"/>
      <w:bookmarkEnd w:id="236"/>
      <w:bookmarkEnd w:id="237"/>
      <w:bookmarkEnd w:id="238"/>
      <w:r w:rsidR="00F22F94">
        <w:rPr>
          <w:color w:val="2E3092"/>
          <w:spacing w:val="-6"/>
          <w:w w:val="55"/>
        </w:rPr>
        <w:t>9.0</w:t>
      </w:r>
      <w:r w:rsidR="00F22F94">
        <w:rPr>
          <w:color w:val="2E3092"/>
          <w:spacing w:val="-9"/>
          <w:w w:val="55"/>
        </w:rPr>
        <w:t xml:space="preserve"> </w:t>
      </w:r>
      <w:r w:rsidR="00F22F94">
        <w:rPr>
          <w:color w:val="00AEEF"/>
          <w:spacing w:val="-6"/>
          <w:w w:val="55"/>
        </w:rPr>
        <w:t>International</w:t>
      </w:r>
      <w:r w:rsidR="00F22F94">
        <w:rPr>
          <w:color w:val="00AEEF"/>
          <w:spacing w:val="-15"/>
          <w:w w:val="55"/>
        </w:rPr>
        <w:t xml:space="preserve"> </w:t>
      </w:r>
      <w:r w:rsidR="00F22F94">
        <w:rPr>
          <w:color w:val="00AEEF"/>
          <w:spacing w:val="-6"/>
          <w:w w:val="55"/>
        </w:rPr>
        <w:t>gateways</w:t>
      </w:r>
    </w:p>
    <w:p w:rsidR="002C1123" w:rsidRDefault="00F22F94">
      <w:pPr>
        <w:pStyle w:val="Heading5"/>
        <w:spacing w:before="210"/>
        <w:ind w:left="492" w:firstLine="0"/>
      </w:pPr>
      <w:r>
        <w:rPr>
          <w:color w:val="00AEEF"/>
          <w:spacing w:val="-2"/>
        </w:rPr>
        <w:t>Summary</w:t>
      </w:r>
    </w:p>
    <w:p w:rsidR="002C1123" w:rsidRDefault="00F22F94">
      <w:pPr>
        <w:rPr>
          <w:b/>
          <w:sz w:val="32"/>
        </w:rPr>
      </w:pPr>
      <w:r>
        <w:br w:type="column"/>
      </w:r>
    </w:p>
    <w:p w:rsidR="002C1123" w:rsidRDefault="002C1123">
      <w:pPr>
        <w:pStyle w:val="BodyText"/>
        <w:rPr>
          <w:b/>
          <w:sz w:val="32"/>
        </w:rPr>
      </w:pPr>
    </w:p>
    <w:p w:rsidR="002C1123" w:rsidRDefault="002C1123">
      <w:pPr>
        <w:pStyle w:val="BodyText"/>
        <w:rPr>
          <w:b/>
          <w:sz w:val="32"/>
        </w:rPr>
      </w:pPr>
    </w:p>
    <w:p w:rsidR="002C1123" w:rsidRDefault="002C1123">
      <w:pPr>
        <w:pStyle w:val="BodyText"/>
        <w:rPr>
          <w:b/>
          <w:sz w:val="32"/>
        </w:rPr>
      </w:pPr>
    </w:p>
    <w:p w:rsidR="002C1123" w:rsidRDefault="002C1123">
      <w:pPr>
        <w:pStyle w:val="BodyText"/>
        <w:spacing w:before="9"/>
        <w:rPr>
          <w:b/>
          <w:sz w:val="26"/>
        </w:rPr>
      </w:pPr>
    </w:p>
    <w:p w:rsidR="002C1123" w:rsidRDefault="00F22F94">
      <w:pPr>
        <w:pStyle w:val="Heading5"/>
        <w:numPr>
          <w:ilvl w:val="1"/>
          <w:numId w:val="80"/>
        </w:numPr>
        <w:tabs>
          <w:tab w:val="left" w:pos="942"/>
        </w:tabs>
        <w:spacing w:before="1"/>
        <w:jc w:val="left"/>
      </w:pPr>
      <w:r>
        <w:rPr>
          <w:color w:val="00AEEF"/>
          <w:spacing w:val="-2"/>
        </w:rPr>
        <w:t>Snapshot</w:t>
      </w:r>
    </w:p>
    <w:p w:rsidR="002C1123" w:rsidRDefault="002C1123">
      <w:pPr>
        <w:sectPr w:rsidR="002C1123">
          <w:type w:val="continuous"/>
          <w:pgSz w:w="16840" w:h="11910" w:orient="landscape"/>
          <w:pgMar w:top="560" w:right="280" w:bottom="280" w:left="500" w:header="0" w:footer="517" w:gutter="0"/>
          <w:cols w:num="2" w:space="720" w:equalWidth="0">
            <w:col w:w="7896" w:space="2158"/>
            <w:col w:w="6006"/>
          </w:cols>
        </w:sectPr>
      </w:pPr>
    </w:p>
    <w:p w:rsidR="002C1123" w:rsidRDefault="00F22F94">
      <w:pPr>
        <w:pStyle w:val="ListParagraph"/>
        <w:numPr>
          <w:ilvl w:val="0"/>
          <w:numId w:val="79"/>
        </w:numPr>
        <w:tabs>
          <w:tab w:val="left" w:pos="776"/>
        </w:tabs>
        <w:spacing w:before="122" w:line="249" w:lineRule="auto"/>
        <w:ind w:right="134"/>
        <w:rPr>
          <w:sz w:val="20"/>
        </w:rPr>
      </w:pPr>
      <w:r>
        <w:rPr>
          <w:sz w:val="20"/>
        </w:rPr>
        <w:t>Sydney’s</w:t>
      </w:r>
      <w:r>
        <w:rPr>
          <w:spacing w:val="-14"/>
          <w:sz w:val="20"/>
        </w:rPr>
        <w:t xml:space="preserve"> </w:t>
      </w:r>
      <w:r>
        <w:rPr>
          <w:sz w:val="20"/>
        </w:rPr>
        <w:t>international</w:t>
      </w:r>
      <w:r>
        <w:rPr>
          <w:spacing w:val="-14"/>
          <w:sz w:val="20"/>
        </w:rPr>
        <w:t xml:space="preserve"> </w:t>
      </w:r>
      <w:r>
        <w:rPr>
          <w:sz w:val="20"/>
        </w:rPr>
        <w:t>gateways</w:t>
      </w:r>
      <w:r>
        <w:rPr>
          <w:spacing w:val="-14"/>
          <w:sz w:val="20"/>
        </w:rPr>
        <w:t xml:space="preserve"> </w:t>
      </w:r>
      <w:r>
        <w:rPr>
          <w:sz w:val="20"/>
        </w:rPr>
        <w:t>of</w:t>
      </w:r>
      <w:r>
        <w:rPr>
          <w:spacing w:val="-14"/>
          <w:sz w:val="20"/>
        </w:rPr>
        <w:t xml:space="preserve"> </w:t>
      </w:r>
      <w:r>
        <w:rPr>
          <w:sz w:val="20"/>
        </w:rPr>
        <w:t>Port</w:t>
      </w:r>
      <w:r>
        <w:rPr>
          <w:spacing w:val="-14"/>
          <w:sz w:val="20"/>
        </w:rPr>
        <w:t xml:space="preserve"> </w:t>
      </w:r>
      <w:r>
        <w:rPr>
          <w:sz w:val="20"/>
        </w:rPr>
        <w:t xml:space="preserve">Botany </w:t>
      </w:r>
      <w:r>
        <w:rPr>
          <w:w w:val="95"/>
          <w:sz w:val="20"/>
        </w:rPr>
        <w:t>and</w:t>
      </w:r>
      <w:r>
        <w:rPr>
          <w:spacing w:val="-4"/>
          <w:w w:val="95"/>
          <w:sz w:val="20"/>
        </w:rPr>
        <w:t xml:space="preserve"> </w:t>
      </w:r>
      <w:r>
        <w:rPr>
          <w:w w:val="95"/>
          <w:sz w:val="20"/>
        </w:rPr>
        <w:t>Sydney</w:t>
      </w:r>
      <w:r>
        <w:rPr>
          <w:spacing w:val="-4"/>
          <w:w w:val="95"/>
          <w:sz w:val="20"/>
        </w:rPr>
        <w:t xml:space="preserve"> </w:t>
      </w:r>
      <w:r>
        <w:rPr>
          <w:w w:val="95"/>
          <w:sz w:val="20"/>
        </w:rPr>
        <w:t>Airport</w:t>
      </w:r>
      <w:r>
        <w:rPr>
          <w:spacing w:val="-4"/>
          <w:w w:val="95"/>
          <w:sz w:val="20"/>
        </w:rPr>
        <w:t xml:space="preserve"> </w:t>
      </w:r>
      <w:r>
        <w:rPr>
          <w:w w:val="95"/>
          <w:sz w:val="20"/>
        </w:rPr>
        <w:t>are</w:t>
      </w:r>
      <w:r>
        <w:rPr>
          <w:spacing w:val="-4"/>
          <w:w w:val="95"/>
          <w:sz w:val="20"/>
        </w:rPr>
        <w:t xml:space="preserve"> </w:t>
      </w:r>
      <w:r>
        <w:rPr>
          <w:w w:val="95"/>
          <w:sz w:val="20"/>
        </w:rPr>
        <w:t>considered</w:t>
      </w:r>
      <w:r>
        <w:rPr>
          <w:spacing w:val="-4"/>
          <w:w w:val="95"/>
          <w:sz w:val="20"/>
        </w:rPr>
        <w:t xml:space="preserve"> </w:t>
      </w:r>
      <w:r>
        <w:rPr>
          <w:w w:val="95"/>
          <w:sz w:val="20"/>
        </w:rPr>
        <w:t>together</w:t>
      </w:r>
      <w:r>
        <w:rPr>
          <w:spacing w:val="-4"/>
          <w:w w:val="95"/>
          <w:sz w:val="20"/>
        </w:rPr>
        <w:t xml:space="preserve"> </w:t>
      </w:r>
      <w:r>
        <w:rPr>
          <w:w w:val="95"/>
          <w:sz w:val="20"/>
        </w:rPr>
        <w:t>in</w:t>
      </w:r>
      <w:r>
        <w:rPr>
          <w:spacing w:val="-4"/>
          <w:w w:val="95"/>
          <w:sz w:val="20"/>
        </w:rPr>
        <w:t xml:space="preserve"> </w:t>
      </w:r>
      <w:r>
        <w:rPr>
          <w:w w:val="95"/>
          <w:sz w:val="20"/>
        </w:rPr>
        <w:t xml:space="preserve">this </w:t>
      </w:r>
      <w:r>
        <w:rPr>
          <w:sz w:val="20"/>
        </w:rPr>
        <w:t>section</w:t>
      </w:r>
      <w:r>
        <w:rPr>
          <w:spacing w:val="-7"/>
          <w:sz w:val="20"/>
        </w:rPr>
        <w:t xml:space="preserve"> </w:t>
      </w:r>
      <w:r>
        <w:rPr>
          <w:sz w:val="20"/>
        </w:rPr>
        <w:t>due</w:t>
      </w:r>
      <w:r>
        <w:rPr>
          <w:spacing w:val="-7"/>
          <w:sz w:val="20"/>
        </w:rPr>
        <w:t xml:space="preserve"> </w:t>
      </w:r>
      <w:r>
        <w:rPr>
          <w:sz w:val="20"/>
        </w:rPr>
        <w:t>to</w:t>
      </w:r>
      <w:r>
        <w:rPr>
          <w:spacing w:val="-7"/>
          <w:sz w:val="20"/>
        </w:rPr>
        <w:t xml:space="preserve"> </w:t>
      </w:r>
      <w:r>
        <w:rPr>
          <w:sz w:val="20"/>
        </w:rPr>
        <w:t>their</w:t>
      </w:r>
      <w:r>
        <w:rPr>
          <w:spacing w:val="-7"/>
          <w:sz w:val="20"/>
        </w:rPr>
        <w:t xml:space="preserve"> </w:t>
      </w:r>
      <w:r>
        <w:rPr>
          <w:sz w:val="20"/>
        </w:rPr>
        <w:t>close</w:t>
      </w:r>
      <w:r>
        <w:rPr>
          <w:spacing w:val="-7"/>
          <w:sz w:val="20"/>
        </w:rPr>
        <w:t xml:space="preserve"> </w:t>
      </w:r>
      <w:r>
        <w:rPr>
          <w:sz w:val="20"/>
        </w:rPr>
        <w:t>geographic</w:t>
      </w:r>
      <w:r>
        <w:rPr>
          <w:spacing w:val="-7"/>
          <w:sz w:val="20"/>
        </w:rPr>
        <w:t xml:space="preserve"> </w:t>
      </w:r>
      <w:r>
        <w:rPr>
          <w:sz w:val="20"/>
        </w:rPr>
        <w:t>proximity,</w:t>
      </w:r>
    </w:p>
    <w:p w:rsidR="002C1123" w:rsidRDefault="00F22F94">
      <w:pPr>
        <w:pStyle w:val="BodyText"/>
        <w:spacing w:before="2" w:line="249" w:lineRule="auto"/>
        <w:ind w:left="775"/>
      </w:pPr>
      <w:r>
        <w:rPr>
          <w:w w:val="95"/>
        </w:rPr>
        <w:t>which</w:t>
      </w:r>
      <w:r>
        <w:rPr>
          <w:spacing w:val="-1"/>
          <w:w w:val="95"/>
        </w:rPr>
        <w:t xml:space="preserve"> </w:t>
      </w:r>
      <w:r>
        <w:rPr>
          <w:w w:val="95"/>
        </w:rPr>
        <w:t>has</w:t>
      </w:r>
      <w:r>
        <w:rPr>
          <w:spacing w:val="-1"/>
          <w:w w:val="95"/>
        </w:rPr>
        <w:t xml:space="preserve"> </w:t>
      </w:r>
      <w:r>
        <w:rPr>
          <w:w w:val="95"/>
        </w:rPr>
        <w:t>implications</w:t>
      </w:r>
      <w:r>
        <w:rPr>
          <w:spacing w:val="-1"/>
          <w:w w:val="95"/>
        </w:rPr>
        <w:t xml:space="preserve"> </w:t>
      </w:r>
      <w:r>
        <w:rPr>
          <w:w w:val="95"/>
        </w:rPr>
        <w:t>for</w:t>
      </w:r>
      <w:r>
        <w:rPr>
          <w:spacing w:val="-1"/>
          <w:w w:val="95"/>
        </w:rPr>
        <w:t xml:space="preserve"> </w:t>
      </w:r>
      <w:r>
        <w:rPr>
          <w:w w:val="95"/>
        </w:rPr>
        <w:t>the</w:t>
      </w:r>
      <w:r>
        <w:rPr>
          <w:spacing w:val="-1"/>
          <w:w w:val="95"/>
        </w:rPr>
        <w:t xml:space="preserve"> </w:t>
      </w:r>
      <w:r>
        <w:rPr>
          <w:w w:val="95"/>
        </w:rPr>
        <w:t>portside</w:t>
      </w:r>
      <w:r>
        <w:rPr>
          <w:spacing w:val="-1"/>
          <w:w w:val="95"/>
        </w:rPr>
        <w:t xml:space="preserve"> </w:t>
      </w:r>
      <w:r>
        <w:rPr>
          <w:w w:val="95"/>
        </w:rPr>
        <w:t>and</w:t>
      </w:r>
      <w:r>
        <w:rPr>
          <w:spacing w:val="-1"/>
          <w:w w:val="95"/>
        </w:rPr>
        <w:t xml:space="preserve"> </w:t>
      </w:r>
      <w:r>
        <w:rPr>
          <w:w w:val="95"/>
        </w:rPr>
        <w:t xml:space="preserve">landside </w:t>
      </w:r>
      <w:r>
        <w:t>infrastructure of each facility.</w:t>
      </w:r>
    </w:p>
    <w:p w:rsidR="002C1123" w:rsidRDefault="00F22F94">
      <w:pPr>
        <w:pStyle w:val="ListParagraph"/>
        <w:numPr>
          <w:ilvl w:val="0"/>
          <w:numId w:val="79"/>
        </w:numPr>
        <w:tabs>
          <w:tab w:val="left" w:pos="776"/>
        </w:tabs>
        <w:spacing w:before="131" w:line="249" w:lineRule="auto"/>
        <w:ind w:right="151"/>
        <w:rPr>
          <w:sz w:val="20"/>
        </w:rPr>
      </w:pPr>
      <w:r>
        <w:rPr>
          <w:sz w:val="20"/>
        </w:rPr>
        <w:t>Port</w:t>
      </w:r>
      <w:r>
        <w:rPr>
          <w:spacing w:val="-9"/>
          <w:sz w:val="20"/>
        </w:rPr>
        <w:t xml:space="preserve"> </w:t>
      </w:r>
      <w:r>
        <w:rPr>
          <w:sz w:val="20"/>
        </w:rPr>
        <w:t>Botany</w:t>
      </w:r>
      <w:r>
        <w:rPr>
          <w:spacing w:val="-9"/>
          <w:sz w:val="20"/>
        </w:rPr>
        <w:t xml:space="preserve"> </w:t>
      </w:r>
      <w:r>
        <w:rPr>
          <w:sz w:val="20"/>
        </w:rPr>
        <w:t>and</w:t>
      </w:r>
      <w:r>
        <w:rPr>
          <w:spacing w:val="-9"/>
          <w:sz w:val="20"/>
        </w:rPr>
        <w:t xml:space="preserve"> </w:t>
      </w:r>
      <w:r>
        <w:rPr>
          <w:sz w:val="20"/>
        </w:rPr>
        <w:t>Sydney</w:t>
      </w:r>
      <w:r>
        <w:rPr>
          <w:spacing w:val="-9"/>
          <w:sz w:val="20"/>
        </w:rPr>
        <w:t xml:space="preserve"> </w:t>
      </w:r>
      <w:r>
        <w:rPr>
          <w:sz w:val="20"/>
        </w:rPr>
        <w:t>Airport</w:t>
      </w:r>
      <w:r>
        <w:rPr>
          <w:spacing w:val="-9"/>
          <w:sz w:val="20"/>
        </w:rPr>
        <w:t xml:space="preserve"> </w:t>
      </w:r>
      <w:r>
        <w:rPr>
          <w:sz w:val="20"/>
        </w:rPr>
        <w:t>have</w:t>
      </w:r>
      <w:r>
        <w:rPr>
          <w:spacing w:val="-9"/>
          <w:sz w:val="20"/>
        </w:rPr>
        <w:t xml:space="preserve"> </w:t>
      </w:r>
      <w:r>
        <w:rPr>
          <w:sz w:val="20"/>
        </w:rPr>
        <w:t>plans</w:t>
      </w:r>
      <w:r>
        <w:rPr>
          <w:spacing w:val="-9"/>
          <w:sz w:val="20"/>
        </w:rPr>
        <w:t xml:space="preserve"> </w:t>
      </w:r>
      <w:r>
        <w:rPr>
          <w:sz w:val="20"/>
        </w:rPr>
        <w:t>to accommodate</w:t>
      </w:r>
      <w:r>
        <w:rPr>
          <w:spacing w:val="-14"/>
          <w:sz w:val="20"/>
        </w:rPr>
        <w:t xml:space="preserve"> </w:t>
      </w:r>
      <w:r>
        <w:rPr>
          <w:sz w:val="20"/>
        </w:rPr>
        <w:t>much</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rapid</w:t>
      </w:r>
      <w:r>
        <w:rPr>
          <w:spacing w:val="-14"/>
          <w:sz w:val="20"/>
        </w:rPr>
        <w:t xml:space="preserve"> </w:t>
      </w:r>
      <w:r>
        <w:rPr>
          <w:sz w:val="20"/>
        </w:rPr>
        <w:t>growth</w:t>
      </w:r>
      <w:r>
        <w:rPr>
          <w:spacing w:val="-14"/>
          <w:sz w:val="20"/>
        </w:rPr>
        <w:t xml:space="preserve"> </w:t>
      </w:r>
      <w:r>
        <w:rPr>
          <w:sz w:val="20"/>
        </w:rPr>
        <w:t xml:space="preserve">forecast </w:t>
      </w:r>
      <w:r>
        <w:rPr>
          <w:w w:val="95"/>
          <w:sz w:val="20"/>
        </w:rPr>
        <w:t>for</w:t>
      </w:r>
      <w:r>
        <w:rPr>
          <w:spacing w:val="-3"/>
          <w:w w:val="95"/>
          <w:sz w:val="20"/>
        </w:rPr>
        <w:t xml:space="preserve"> </w:t>
      </w:r>
      <w:r>
        <w:rPr>
          <w:w w:val="95"/>
          <w:sz w:val="20"/>
        </w:rPr>
        <w:t>container</w:t>
      </w:r>
      <w:r>
        <w:rPr>
          <w:spacing w:val="-3"/>
          <w:w w:val="95"/>
          <w:sz w:val="20"/>
        </w:rPr>
        <w:t xml:space="preserve"> </w:t>
      </w:r>
      <w:r>
        <w:rPr>
          <w:w w:val="95"/>
          <w:sz w:val="20"/>
        </w:rPr>
        <w:t>freight</w:t>
      </w:r>
      <w:r>
        <w:rPr>
          <w:spacing w:val="-3"/>
          <w:w w:val="95"/>
          <w:sz w:val="20"/>
        </w:rPr>
        <w:t xml:space="preserve"> </w:t>
      </w:r>
      <w:r>
        <w:rPr>
          <w:w w:val="95"/>
          <w:sz w:val="20"/>
        </w:rPr>
        <w:t>and</w:t>
      </w:r>
      <w:r>
        <w:rPr>
          <w:spacing w:val="-3"/>
          <w:w w:val="95"/>
          <w:sz w:val="20"/>
        </w:rPr>
        <w:t xml:space="preserve"> </w:t>
      </w:r>
      <w:r>
        <w:rPr>
          <w:w w:val="95"/>
          <w:sz w:val="20"/>
        </w:rPr>
        <w:t>air</w:t>
      </w:r>
      <w:r>
        <w:rPr>
          <w:spacing w:val="-3"/>
          <w:w w:val="95"/>
          <w:sz w:val="20"/>
        </w:rPr>
        <w:t xml:space="preserve"> </w:t>
      </w:r>
      <w:r>
        <w:rPr>
          <w:w w:val="95"/>
          <w:sz w:val="20"/>
        </w:rPr>
        <w:t>travel</w:t>
      </w:r>
      <w:r>
        <w:rPr>
          <w:spacing w:val="-3"/>
          <w:w w:val="95"/>
          <w:sz w:val="20"/>
        </w:rPr>
        <w:t xml:space="preserve"> </w:t>
      </w:r>
      <w:r>
        <w:rPr>
          <w:w w:val="95"/>
          <w:sz w:val="20"/>
        </w:rPr>
        <w:t>over</w:t>
      </w:r>
      <w:r>
        <w:rPr>
          <w:spacing w:val="-3"/>
          <w:w w:val="95"/>
          <w:sz w:val="20"/>
        </w:rPr>
        <w:t xml:space="preserve"> </w:t>
      </w:r>
      <w:r>
        <w:rPr>
          <w:w w:val="95"/>
          <w:sz w:val="20"/>
        </w:rPr>
        <w:t>the</w:t>
      </w:r>
      <w:r>
        <w:rPr>
          <w:spacing w:val="-3"/>
          <w:w w:val="95"/>
          <w:sz w:val="20"/>
        </w:rPr>
        <w:t xml:space="preserve"> </w:t>
      </w:r>
      <w:r>
        <w:rPr>
          <w:w w:val="95"/>
          <w:sz w:val="20"/>
        </w:rPr>
        <w:t>next</w:t>
      </w:r>
      <w:r>
        <w:rPr>
          <w:spacing w:val="-3"/>
          <w:w w:val="95"/>
          <w:sz w:val="20"/>
        </w:rPr>
        <w:t xml:space="preserve"> </w:t>
      </w:r>
      <w:r>
        <w:rPr>
          <w:w w:val="95"/>
          <w:sz w:val="20"/>
        </w:rPr>
        <w:t>20 years.</w:t>
      </w:r>
      <w:r>
        <w:rPr>
          <w:spacing w:val="-12"/>
          <w:w w:val="95"/>
          <w:sz w:val="20"/>
        </w:rPr>
        <w:t xml:space="preserve"> </w:t>
      </w:r>
      <w:r>
        <w:rPr>
          <w:w w:val="95"/>
          <w:sz w:val="20"/>
        </w:rPr>
        <w:t>Achieving</w:t>
      </w:r>
      <w:r>
        <w:rPr>
          <w:spacing w:val="-11"/>
          <w:w w:val="95"/>
          <w:sz w:val="20"/>
        </w:rPr>
        <w:t xml:space="preserve"> </w:t>
      </w:r>
      <w:r>
        <w:rPr>
          <w:w w:val="95"/>
          <w:sz w:val="20"/>
        </w:rPr>
        <w:t>this</w:t>
      </w:r>
      <w:r>
        <w:rPr>
          <w:spacing w:val="-11"/>
          <w:w w:val="95"/>
          <w:sz w:val="20"/>
        </w:rPr>
        <w:t xml:space="preserve"> </w:t>
      </w:r>
      <w:r>
        <w:rPr>
          <w:w w:val="95"/>
          <w:sz w:val="20"/>
        </w:rPr>
        <w:t>primarily</w:t>
      </w:r>
      <w:r>
        <w:rPr>
          <w:spacing w:val="-11"/>
          <w:w w:val="95"/>
          <w:sz w:val="20"/>
        </w:rPr>
        <w:t xml:space="preserve"> </w:t>
      </w:r>
      <w:r>
        <w:rPr>
          <w:w w:val="95"/>
          <w:sz w:val="20"/>
        </w:rPr>
        <w:t>requires</w:t>
      </w:r>
      <w:r>
        <w:rPr>
          <w:spacing w:val="-11"/>
          <w:w w:val="95"/>
          <w:sz w:val="20"/>
        </w:rPr>
        <w:t xml:space="preserve"> </w:t>
      </w:r>
      <w:r>
        <w:rPr>
          <w:w w:val="95"/>
          <w:sz w:val="20"/>
        </w:rPr>
        <w:t xml:space="preserve">operational </w:t>
      </w:r>
      <w:r>
        <w:rPr>
          <w:spacing w:val="-2"/>
          <w:sz w:val="20"/>
        </w:rPr>
        <w:t>reform</w:t>
      </w:r>
      <w:r>
        <w:rPr>
          <w:spacing w:val="-10"/>
          <w:sz w:val="20"/>
        </w:rPr>
        <w:t xml:space="preserve"> </w:t>
      </w:r>
      <w:r>
        <w:rPr>
          <w:spacing w:val="-2"/>
          <w:sz w:val="20"/>
        </w:rPr>
        <w:t>to</w:t>
      </w:r>
      <w:r>
        <w:rPr>
          <w:spacing w:val="-9"/>
          <w:sz w:val="20"/>
        </w:rPr>
        <w:t xml:space="preserve"> </w:t>
      </w:r>
      <w:r>
        <w:rPr>
          <w:spacing w:val="-2"/>
          <w:sz w:val="20"/>
        </w:rPr>
        <w:t>lift</w:t>
      </w:r>
      <w:r>
        <w:rPr>
          <w:spacing w:val="-9"/>
          <w:sz w:val="20"/>
        </w:rPr>
        <w:t xml:space="preserve"> </w:t>
      </w:r>
      <w:r>
        <w:rPr>
          <w:spacing w:val="-2"/>
          <w:sz w:val="20"/>
        </w:rPr>
        <w:t>productivity,</w:t>
      </w:r>
      <w:r>
        <w:rPr>
          <w:spacing w:val="-9"/>
          <w:sz w:val="20"/>
        </w:rPr>
        <w:t xml:space="preserve"> </w:t>
      </w:r>
      <w:r>
        <w:rPr>
          <w:spacing w:val="-2"/>
          <w:sz w:val="20"/>
        </w:rPr>
        <w:t>not</w:t>
      </w:r>
      <w:r>
        <w:rPr>
          <w:spacing w:val="-9"/>
          <w:sz w:val="20"/>
        </w:rPr>
        <w:t xml:space="preserve"> </w:t>
      </w:r>
      <w:r>
        <w:rPr>
          <w:spacing w:val="-2"/>
          <w:sz w:val="20"/>
        </w:rPr>
        <w:t>major</w:t>
      </w:r>
      <w:r>
        <w:rPr>
          <w:spacing w:val="-9"/>
          <w:sz w:val="20"/>
        </w:rPr>
        <w:t xml:space="preserve"> </w:t>
      </w:r>
      <w:r>
        <w:rPr>
          <w:spacing w:val="-2"/>
          <w:sz w:val="20"/>
        </w:rPr>
        <w:t>capital</w:t>
      </w:r>
      <w:r>
        <w:rPr>
          <w:spacing w:val="-9"/>
          <w:sz w:val="20"/>
        </w:rPr>
        <w:t xml:space="preserve"> </w:t>
      </w:r>
      <w:r>
        <w:rPr>
          <w:spacing w:val="-2"/>
          <w:sz w:val="20"/>
        </w:rPr>
        <w:t>works.</w:t>
      </w:r>
    </w:p>
    <w:p w:rsidR="002C1123" w:rsidRDefault="00F22F94">
      <w:pPr>
        <w:pStyle w:val="ListParagraph"/>
        <w:numPr>
          <w:ilvl w:val="0"/>
          <w:numId w:val="79"/>
        </w:numPr>
        <w:tabs>
          <w:tab w:val="left" w:pos="776"/>
        </w:tabs>
        <w:spacing w:before="133" w:line="249" w:lineRule="auto"/>
        <w:ind w:right="301"/>
        <w:rPr>
          <w:sz w:val="20"/>
        </w:rPr>
      </w:pPr>
      <w:r>
        <w:rPr>
          <w:w w:val="95"/>
          <w:sz w:val="20"/>
        </w:rPr>
        <w:t>The</w:t>
      </w:r>
      <w:r>
        <w:rPr>
          <w:spacing w:val="-9"/>
          <w:w w:val="95"/>
          <w:sz w:val="20"/>
        </w:rPr>
        <w:t xml:space="preserve"> </w:t>
      </w:r>
      <w:r>
        <w:rPr>
          <w:w w:val="95"/>
          <w:sz w:val="20"/>
        </w:rPr>
        <w:t>major</w:t>
      </w:r>
      <w:r>
        <w:rPr>
          <w:spacing w:val="-9"/>
          <w:w w:val="95"/>
          <w:sz w:val="20"/>
        </w:rPr>
        <w:t xml:space="preserve"> </w:t>
      </w:r>
      <w:r>
        <w:rPr>
          <w:w w:val="95"/>
          <w:sz w:val="20"/>
        </w:rPr>
        <w:t>infrastructure</w:t>
      </w:r>
      <w:r>
        <w:rPr>
          <w:spacing w:val="-9"/>
          <w:w w:val="95"/>
          <w:sz w:val="20"/>
        </w:rPr>
        <w:t xml:space="preserve"> </w:t>
      </w:r>
      <w:r>
        <w:rPr>
          <w:w w:val="95"/>
          <w:sz w:val="20"/>
        </w:rPr>
        <w:t>challenge</w:t>
      </w:r>
      <w:r>
        <w:rPr>
          <w:spacing w:val="-9"/>
          <w:w w:val="95"/>
          <w:sz w:val="20"/>
        </w:rPr>
        <w:t xml:space="preserve"> </w:t>
      </w:r>
      <w:r>
        <w:rPr>
          <w:w w:val="95"/>
          <w:sz w:val="20"/>
        </w:rPr>
        <w:t>that</w:t>
      </w:r>
      <w:r>
        <w:rPr>
          <w:spacing w:val="-9"/>
          <w:w w:val="95"/>
          <w:sz w:val="20"/>
        </w:rPr>
        <w:t xml:space="preserve"> </w:t>
      </w:r>
      <w:r>
        <w:rPr>
          <w:w w:val="95"/>
          <w:sz w:val="20"/>
        </w:rPr>
        <w:t xml:space="preserve">Sydney’s </w:t>
      </w:r>
      <w:r>
        <w:rPr>
          <w:sz w:val="20"/>
        </w:rPr>
        <w:t>International</w:t>
      </w:r>
      <w:r>
        <w:rPr>
          <w:spacing w:val="-14"/>
          <w:sz w:val="20"/>
        </w:rPr>
        <w:t xml:space="preserve"> </w:t>
      </w:r>
      <w:r>
        <w:rPr>
          <w:sz w:val="20"/>
        </w:rPr>
        <w:t>Gateways</w:t>
      </w:r>
      <w:r>
        <w:rPr>
          <w:spacing w:val="-14"/>
          <w:sz w:val="20"/>
        </w:rPr>
        <w:t xml:space="preserve"> </w:t>
      </w:r>
      <w:r>
        <w:rPr>
          <w:sz w:val="20"/>
        </w:rPr>
        <w:t>face</w:t>
      </w:r>
      <w:r>
        <w:rPr>
          <w:spacing w:val="-14"/>
          <w:sz w:val="20"/>
        </w:rPr>
        <w:t xml:space="preserve"> </w:t>
      </w:r>
      <w:r>
        <w:rPr>
          <w:sz w:val="20"/>
        </w:rPr>
        <w:t>is</w:t>
      </w:r>
      <w:r>
        <w:rPr>
          <w:spacing w:val="-14"/>
          <w:sz w:val="20"/>
        </w:rPr>
        <w:t xml:space="preserve"> </w:t>
      </w:r>
      <w:r>
        <w:rPr>
          <w:sz w:val="20"/>
        </w:rPr>
        <w:t>to</w:t>
      </w:r>
      <w:r>
        <w:rPr>
          <w:spacing w:val="-14"/>
          <w:sz w:val="20"/>
        </w:rPr>
        <w:t xml:space="preserve"> </w:t>
      </w:r>
      <w:r>
        <w:rPr>
          <w:sz w:val="20"/>
        </w:rPr>
        <w:t>the</w:t>
      </w:r>
      <w:r>
        <w:rPr>
          <w:spacing w:val="-14"/>
          <w:sz w:val="20"/>
        </w:rPr>
        <w:t xml:space="preserve"> </w:t>
      </w:r>
      <w:r>
        <w:rPr>
          <w:sz w:val="20"/>
        </w:rPr>
        <w:t xml:space="preserve">landside </w:t>
      </w:r>
      <w:r>
        <w:rPr>
          <w:w w:val="95"/>
          <w:sz w:val="20"/>
        </w:rPr>
        <w:t>infrastructure</w:t>
      </w:r>
      <w:r>
        <w:rPr>
          <w:spacing w:val="-9"/>
          <w:w w:val="95"/>
          <w:sz w:val="20"/>
        </w:rPr>
        <w:t xml:space="preserve"> </w:t>
      </w:r>
      <w:r>
        <w:rPr>
          <w:w w:val="95"/>
          <w:sz w:val="20"/>
        </w:rPr>
        <w:t>–</w:t>
      </w:r>
      <w:r>
        <w:rPr>
          <w:spacing w:val="-9"/>
          <w:w w:val="95"/>
          <w:sz w:val="20"/>
        </w:rPr>
        <w:t xml:space="preserve"> </w:t>
      </w:r>
      <w:r>
        <w:rPr>
          <w:w w:val="95"/>
          <w:sz w:val="20"/>
        </w:rPr>
        <w:t>the</w:t>
      </w:r>
      <w:r>
        <w:rPr>
          <w:spacing w:val="-9"/>
          <w:w w:val="95"/>
          <w:sz w:val="20"/>
        </w:rPr>
        <w:t xml:space="preserve"> </w:t>
      </w:r>
      <w:r>
        <w:rPr>
          <w:w w:val="95"/>
          <w:sz w:val="20"/>
        </w:rPr>
        <w:t>roads</w:t>
      </w:r>
      <w:r>
        <w:rPr>
          <w:spacing w:val="-9"/>
          <w:w w:val="95"/>
          <w:sz w:val="20"/>
        </w:rPr>
        <w:t xml:space="preserve"> </w:t>
      </w:r>
      <w:r>
        <w:rPr>
          <w:w w:val="95"/>
          <w:sz w:val="20"/>
        </w:rPr>
        <w:t>and</w:t>
      </w:r>
      <w:r>
        <w:rPr>
          <w:spacing w:val="-9"/>
          <w:w w:val="95"/>
          <w:sz w:val="20"/>
        </w:rPr>
        <w:t xml:space="preserve"> </w:t>
      </w:r>
      <w:r>
        <w:rPr>
          <w:w w:val="95"/>
          <w:sz w:val="20"/>
        </w:rPr>
        <w:t>railway</w:t>
      </w:r>
      <w:r>
        <w:rPr>
          <w:spacing w:val="-9"/>
          <w:w w:val="95"/>
          <w:sz w:val="20"/>
        </w:rPr>
        <w:t xml:space="preserve"> </w:t>
      </w:r>
      <w:r>
        <w:rPr>
          <w:w w:val="95"/>
          <w:sz w:val="20"/>
        </w:rPr>
        <w:t>lines</w:t>
      </w:r>
      <w:r>
        <w:rPr>
          <w:spacing w:val="-9"/>
          <w:w w:val="95"/>
          <w:sz w:val="20"/>
        </w:rPr>
        <w:t xml:space="preserve"> </w:t>
      </w:r>
      <w:r>
        <w:rPr>
          <w:w w:val="95"/>
          <w:sz w:val="20"/>
        </w:rPr>
        <w:t>–</w:t>
      </w:r>
      <w:r>
        <w:rPr>
          <w:spacing w:val="-9"/>
          <w:w w:val="95"/>
          <w:sz w:val="20"/>
        </w:rPr>
        <w:t xml:space="preserve"> </w:t>
      </w:r>
      <w:r>
        <w:rPr>
          <w:w w:val="95"/>
          <w:sz w:val="20"/>
        </w:rPr>
        <w:t xml:space="preserve">that </w:t>
      </w:r>
      <w:r>
        <w:rPr>
          <w:sz w:val="20"/>
        </w:rPr>
        <w:t>connect</w:t>
      </w:r>
      <w:r>
        <w:rPr>
          <w:spacing w:val="-12"/>
          <w:sz w:val="20"/>
        </w:rPr>
        <w:t xml:space="preserve"> </w:t>
      </w:r>
      <w:r>
        <w:rPr>
          <w:sz w:val="20"/>
        </w:rPr>
        <w:t>them</w:t>
      </w:r>
      <w:r>
        <w:rPr>
          <w:spacing w:val="-13"/>
          <w:sz w:val="20"/>
        </w:rPr>
        <w:t xml:space="preserve"> </w:t>
      </w:r>
      <w:r>
        <w:rPr>
          <w:sz w:val="20"/>
        </w:rPr>
        <w:t>within</w:t>
      </w:r>
      <w:r>
        <w:rPr>
          <w:spacing w:val="-12"/>
          <w:sz w:val="20"/>
        </w:rPr>
        <w:t xml:space="preserve"> </w:t>
      </w:r>
      <w:r>
        <w:rPr>
          <w:sz w:val="20"/>
        </w:rPr>
        <w:t>the</w:t>
      </w:r>
      <w:r>
        <w:rPr>
          <w:spacing w:val="-12"/>
          <w:sz w:val="20"/>
        </w:rPr>
        <w:t xml:space="preserve"> </w:t>
      </w:r>
      <w:r>
        <w:rPr>
          <w:sz w:val="20"/>
        </w:rPr>
        <w:t>metropolitan</w:t>
      </w:r>
      <w:r>
        <w:rPr>
          <w:spacing w:val="-12"/>
          <w:sz w:val="20"/>
        </w:rPr>
        <w:t xml:space="preserve"> </w:t>
      </w:r>
      <w:r>
        <w:rPr>
          <w:sz w:val="20"/>
        </w:rPr>
        <w:t>area</w:t>
      </w:r>
      <w:r>
        <w:rPr>
          <w:spacing w:val="-12"/>
          <w:sz w:val="20"/>
        </w:rPr>
        <w:t xml:space="preserve"> </w:t>
      </w:r>
      <w:r>
        <w:rPr>
          <w:sz w:val="20"/>
        </w:rPr>
        <w:t>and across</w:t>
      </w:r>
      <w:r>
        <w:rPr>
          <w:spacing w:val="-11"/>
          <w:sz w:val="20"/>
        </w:rPr>
        <w:t xml:space="preserve"> </w:t>
      </w:r>
      <w:r>
        <w:rPr>
          <w:sz w:val="20"/>
        </w:rPr>
        <w:t>NSW.</w:t>
      </w:r>
    </w:p>
    <w:p w:rsidR="002C1123" w:rsidRDefault="00F22F94">
      <w:pPr>
        <w:pStyle w:val="ListParagraph"/>
        <w:numPr>
          <w:ilvl w:val="0"/>
          <w:numId w:val="79"/>
        </w:numPr>
        <w:tabs>
          <w:tab w:val="left" w:pos="776"/>
        </w:tabs>
        <w:spacing w:before="133" w:line="249" w:lineRule="auto"/>
        <w:ind w:right="295"/>
        <w:rPr>
          <w:sz w:val="20"/>
        </w:rPr>
      </w:pPr>
      <w:r>
        <w:rPr>
          <w:w w:val="95"/>
          <w:sz w:val="20"/>
        </w:rPr>
        <w:t xml:space="preserve">Emphasis has been placed on getting more port </w:t>
      </w:r>
      <w:r>
        <w:rPr>
          <w:sz w:val="20"/>
        </w:rPr>
        <w:t>containers</w:t>
      </w:r>
      <w:r>
        <w:rPr>
          <w:spacing w:val="-14"/>
          <w:sz w:val="20"/>
        </w:rPr>
        <w:t xml:space="preserve"> </w:t>
      </w:r>
      <w:r>
        <w:rPr>
          <w:sz w:val="20"/>
        </w:rPr>
        <w:t>to</w:t>
      </w:r>
      <w:r>
        <w:rPr>
          <w:spacing w:val="-14"/>
          <w:sz w:val="20"/>
        </w:rPr>
        <w:t xml:space="preserve"> </w:t>
      </w:r>
      <w:r>
        <w:rPr>
          <w:sz w:val="20"/>
        </w:rPr>
        <w:t>move</w:t>
      </w:r>
      <w:r>
        <w:rPr>
          <w:spacing w:val="-14"/>
          <w:sz w:val="20"/>
        </w:rPr>
        <w:t xml:space="preserve"> </w:t>
      </w:r>
      <w:r>
        <w:rPr>
          <w:sz w:val="20"/>
        </w:rPr>
        <w:t>by</w:t>
      </w:r>
      <w:r>
        <w:rPr>
          <w:spacing w:val="-14"/>
          <w:sz w:val="20"/>
        </w:rPr>
        <w:t xml:space="preserve"> </w:t>
      </w:r>
      <w:r>
        <w:rPr>
          <w:sz w:val="20"/>
        </w:rPr>
        <w:t>rail,</w:t>
      </w:r>
      <w:r>
        <w:rPr>
          <w:spacing w:val="-14"/>
          <w:sz w:val="20"/>
        </w:rPr>
        <w:t xml:space="preserve"> </w:t>
      </w:r>
      <w:r>
        <w:rPr>
          <w:sz w:val="20"/>
        </w:rPr>
        <w:t>taking</w:t>
      </w:r>
      <w:r>
        <w:rPr>
          <w:spacing w:val="-14"/>
          <w:sz w:val="20"/>
        </w:rPr>
        <w:t xml:space="preserve"> </w:t>
      </w:r>
      <w:r>
        <w:rPr>
          <w:sz w:val="20"/>
        </w:rPr>
        <w:t>advantage</w:t>
      </w:r>
      <w:r>
        <w:rPr>
          <w:spacing w:val="-14"/>
          <w:sz w:val="20"/>
        </w:rPr>
        <w:t xml:space="preserve"> </w:t>
      </w:r>
      <w:r>
        <w:rPr>
          <w:sz w:val="20"/>
        </w:rPr>
        <w:t>of available</w:t>
      </w:r>
      <w:r>
        <w:rPr>
          <w:spacing w:val="-14"/>
          <w:sz w:val="20"/>
        </w:rPr>
        <w:t xml:space="preserve"> </w:t>
      </w:r>
      <w:r>
        <w:rPr>
          <w:sz w:val="20"/>
        </w:rPr>
        <w:t>capacity</w:t>
      </w:r>
      <w:r>
        <w:rPr>
          <w:spacing w:val="-14"/>
          <w:sz w:val="20"/>
        </w:rPr>
        <w:t xml:space="preserve"> </w:t>
      </w:r>
      <w:r>
        <w:rPr>
          <w:sz w:val="20"/>
        </w:rPr>
        <w:t>on</w:t>
      </w:r>
      <w:r>
        <w:rPr>
          <w:spacing w:val="-14"/>
          <w:sz w:val="20"/>
        </w:rPr>
        <w:t xml:space="preserve"> </w:t>
      </w:r>
      <w:r>
        <w:rPr>
          <w:sz w:val="20"/>
        </w:rPr>
        <w:t>the</w:t>
      </w:r>
      <w:r>
        <w:rPr>
          <w:spacing w:val="-14"/>
          <w:sz w:val="20"/>
        </w:rPr>
        <w:t xml:space="preserve"> </w:t>
      </w:r>
      <w:r>
        <w:rPr>
          <w:sz w:val="20"/>
        </w:rPr>
        <w:t>rail</w:t>
      </w:r>
      <w:r>
        <w:rPr>
          <w:spacing w:val="-14"/>
          <w:sz w:val="20"/>
        </w:rPr>
        <w:t xml:space="preserve"> </w:t>
      </w:r>
      <w:r>
        <w:rPr>
          <w:sz w:val="20"/>
        </w:rPr>
        <w:t>network.</w:t>
      </w:r>
      <w:r>
        <w:rPr>
          <w:spacing w:val="-14"/>
          <w:sz w:val="20"/>
        </w:rPr>
        <w:t xml:space="preserve"> </w:t>
      </w:r>
      <w:r>
        <w:rPr>
          <w:sz w:val="20"/>
        </w:rPr>
        <w:t>This</w:t>
      </w:r>
      <w:r>
        <w:rPr>
          <w:spacing w:val="-14"/>
          <w:sz w:val="20"/>
        </w:rPr>
        <w:t xml:space="preserve"> </w:t>
      </w:r>
      <w:r>
        <w:rPr>
          <w:sz w:val="20"/>
        </w:rPr>
        <w:t>has proven</w:t>
      </w:r>
      <w:r>
        <w:rPr>
          <w:spacing w:val="-10"/>
          <w:sz w:val="20"/>
        </w:rPr>
        <w:t xml:space="preserve"> </w:t>
      </w:r>
      <w:r>
        <w:rPr>
          <w:sz w:val="20"/>
        </w:rPr>
        <w:t>challenging</w:t>
      </w:r>
      <w:r>
        <w:rPr>
          <w:spacing w:val="-10"/>
          <w:sz w:val="20"/>
        </w:rPr>
        <w:t xml:space="preserve"> </w:t>
      </w:r>
      <w:r>
        <w:rPr>
          <w:sz w:val="20"/>
        </w:rPr>
        <w:t>because</w:t>
      </w:r>
      <w:r>
        <w:rPr>
          <w:spacing w:val="-10"/>
          <w:sz w:val="20"/>
        </w:rPr>
        <w:t xml:space="preserve"> </w:t>
      </w:r>
      <w:r>
        <w:rPr>
          <w:sz w:val="20"/>
        </w:rPr>
        <w:t>road</w:t>
      </w:r>
      <w:r>
        <w:rPr>
          <w:spacing w:val="-10"/>
          <w:sz w:val="20"/>
        </w:rPr>
        <w:t xml:space="preserve"> </w:t>
      </w:r>
      <w:r>
        <w:rPr>
          <w:sz w:val="20"/>
        </w:rPr>
        <w:t>freight</w:t>
      </w:r>
      <w:r>
        <w:rPr>
          <w:spacing w:val="-10"/>
          <w:sz w:val="20"/>
        </w:rPr>
        <w:t xml:space="preserve"> </w:t>
      </w:r>
      <w:r>
        <w:rPr>
          <w:sz w:val="20"/>
        </w:rPr>
        <w:t>has been</w:t>
      </w:r>
      <w:r>
        <w:rPr>
          <w:spacing w:val="-8"/>
          <w:sz w:val="20"/>
        </w:rPr>
        <w:t xml:space="preserve"> </w:t>
      </w:r>
      <w:r>
        <w:rPr>
          <w:sz w:val="20"/>
        </w:rPr>
        <w:t>cheaper</w:t>
      </w:r>
      <w:r>
        <w:rPr>
          <w:spacing w:val="-8"/>
          <w:sz w:val="20"/>
        </w:rPr>
        <w:t xml:space="preserve"> </w:t>
      </w:r>
      <w:r>
        <w:rPr>
          <w:sz w:val="20"/>
        </w:rPr>
        <w:t>and</w:t>
      </w:r>
      <w:r>
        <w:rPr>
          <w:spacing w:val="-8"/>
          <w:sz w:val="20"/>
        </w:rPr>
        <w:t xml:space="preserve"> </w:t>
      </w:r>
      <w:r>
        <w:rPr>
          <w:sz w:val="20"/>
        </w:rPr>
        <w:t>more</w:t>
      </w:r>
      <w:r>
        <w:rPr>
          <w:spacing w:val="-8"/>
          <w:sz w:val="20"/>
        </w:rPr>
        <w:t xml:space="preserve"> </w:t>
      </w:r>
      <w:r>
        <w:rPr>
          <w:sz w:val="20"/>
        </w:rPr>
        <w:t>reliable</w:t>
      </w:r>
      <w:r>
        <w:rPr>
          <w:spacing w:val="-8"/>
          <w:sz w:val="20"/>
        </w:rPr>
        <w:t xml:space="preserve"> </w:t>
      </w:r>
      <w:r>
        <w:rPr>
          <w:sz w:val="20"/>
        </w:rPr>
        <w:t>for</w:t>
      </w:r>
      <w:r>
        <w:rPr>
          <w:spacing w:val="-8"/>
          <w:sz w:val="20"/>
        </w:rPr>
        <w:t xml:space="preserve"> </w:t>
      </w:r>
      <w:r>
        <w:rPr>
          <w:sz w:val="20"/>
        </w:rPr>
        <w:t>the</w:t>
      </w:r>
      <w:r>
        <w:rPr>
          <w:spacing w:val="-8"/>
          <w:sz w:val="20"/>
        </w:rPr>
        <w:t xml:space="preserve"> </w:t>
      </w:r>
      <w:r>
        <w:rPr>
          <w:sz w:val="20"/>
        </w:rPr>
        <w:t xml:space="preserve">short- </w:t>
      </w:r>
      <w:r>
        <w:rPr>
          <w:spacing w:val="-2"/>
          <w:sz w:val="20"/>
        </w:rPr>
        <w:t>haul</w:t>
      </w:r>
      <w:r>
        <w:rPr>
          <w:spacing w:val="-8"/>
          <w:sz w:val="20"/>
        </w:rPr>
        <w:t xml:space="preserve"> </w:t>
      </w:r>
      <w:r>
        <w:rPr>
          <w:spacing w:val="-2"/>
          <w:sz w:val="20"/>
        </w:rPr>
        <w:t>journeys</w:t>
      </w:r>
      <w:r>
        <w:rPr>
          <w:spacing w:val="-8"/>
          <w:sz w:val="20"/>
        </w:rPr>
        <w:t xml:space="preserve"> </w:t>
      </w:r>
      <w:r>
        <w:rPr>
          <w:spacing w:val="-2"/>
          <w:sz w:val="20"/>
        </w:rPr>
        <w:t>that</w:t>
      </w:r>
      <w:r>
        <w:rPr>
          <w:spacing w:val="-8"/>
          <w:sz w:val="20"/>
        </w:rPr>
        <w:t xml:space="preserve"> </w:t>
      </w:r>
      <w:r>
        <w:rPr>
          <w:spacing w:val="-2"/>
          <w:sz w:val="20"/>
        </w:rPr>
        <w:t>make</w:t>
      </w:r>
      <w:r>
        <w:rPr>
          <w:spacing w:val="-8"/>
          <w:sz w:val="20"/>
        </w:rPr>
        <w:t xml:space="preserve"> </w:t>
      </w:r>
      <w:r>
        <w:rPr>
          <w:spacing w:val="-2"/>
          <w:sz w:val="20"/>
        </w:rPr>
        <w:t>up</w:t>
      </w:r>
      <w:r>
        <w:rPr>
          <w:spacing w:val="-8"/>
          <w:sz w:val="20"/>
        </w:rPr>
        <w:t xml:space="preserve"> </w:t>
      </w:r>
      <w:r>
        <w:rPr>
          <w:spacing w:val="-2"/>
          <w:sz w:val="20"/>
        </w:rPr>
        <w:t>most</w:t>
      </w:r>
      <w:r>
        <w:rPr>
          <w:spacing w:val="-8"/>
          <w:sz w:val="20"/>
        </w:rPr>
        <w:t xml:space="preserve"> </w:t>
      </w:r>
      <w:r>
        <w:rPr>
          <w:spacing w:val="-2"/>
          <w:sz w:val="20"/>
        </w:rPr>
        <w:t>port</w:t>
      </w:r>
      <w:r>
        <w:rPr>
          <w:spacing w:val="-8"/>
          <w:sz w:val="20"/>
        </w:rPr>
        <w:t xml:space="preserve"> </w:t>
      </w:r>
      <w:r>
        <w:rPr>
          <w:spacing w:val="-2"/>
          <w:sz w:val="20"/>
        </w:rPr>
        <w:t>container</w:t>
      </w:r>
    </w:p>
    <w:p w:rsidR="002C1123" w:rsidRDefault="00F22F94">
      <w:pPr>
        <w:pStyle w:val="BodyText"/>
        <w:spacing w:before="4" w:line="249" w:lineRule="auto"/>
        <w:ind w:left="775"/>
      </w:pPr>
      <w:r>
        <w:rPr>
          <w:w w:val="95"/>
        </w:rPr>
        <w:t>movements.</w:t>
      </w:r>
      <w:r>
        <w:rPr>
          <w:spacing w:val="-4"/>
          <w:w w:val="95"/>
        </w:rPr>
        <w:t xml:space="preserve"> </w:t>
      </w:r>
      <w:r>
        <w:rPr>
          <w:w w:val="95"/>
        </w:rPr>
        <w:t>The</w:t>
      </w:r>
      <w:r>
        <w:rPr>
          <w:spacing w:val="-4"/>
          <w:w w:val="95"/>
        </w:rPr>
        <w:t xml:space="preserve"> </w:t>
      </w:r>
      <w:r>
        <w:rPr>
          <w:w w:val="95"/>
        </w:rPr>
        <w:t>forthcoming</w:t>
      </w:r>
      <w:r>
        <w:rPr>
          <w:spacing w:val="-4"/>
          <w:w w:val="95"/>
        </w:rPr>
        <w:t xml:space="preserve"> </w:t>
      </w:r>
      <w:r>
        <w:rPr>
          <w:w w:val="95"/>
        </w:rPr>
        <w:t>opening</w:t>
      </w:r>
      <w:r>
        <w:rPr>
          <w:spacing w:val="-4"/>
          <w:w w:val="95"/>
        </w:rPr>
        <w:t xml:space="preserve"> </w:t>
      </w:r>
      <w:r>
        <w:rPr>
          <w:w w:val="95"/>
        </w:rPr>
        <w:t>of</w:t>
      </w:r>
      <w:r>
        <w:rPr>
          <w:spacing w:val="-4"/>
          <w:w w:val="95"/>
        </w:rPr>
        <w:t xml:space="preserve"> </w:t>
      </w:r>
      <w:r>
        <w:rPr>
          <w:w w:val="95"/>
        </w:rPr>
        <w:t>the</w:t>
      </w:r>
      <w:r>
        <w:rPr>
          <w:spacing w:val="-4"/>
          <w:w w:val="95"/>
        </w:rPr>
        <w:t xml:space="preserve"> </w:t>
      </w:r>
      <w:r>
        <w:rPr>
          <w:w w:val="95"/>
        </w:rPr>
        <w:t xml:space="preserve">Enfield Intermodal Terminal offers a test case for the short- </w:t>
      </w:r>
      <w:r>
        <w:t>haul</w:t>
      </w:r>
      <w:r>
        <w:rPr>
          <w:spacing w:val="-12"/>
        </w:rPr>
        <w:t xml:space="preserve"> </w:t>
      </w:r>
      <w:r>
        <w:t>rail</w:t>
      </w:r>
      <w:r>
        <w:rPr>
          <w:spacing w:val="-12"/>
        </w:rPr>
        <w:t xml:space="preserve"> </w:t>
      </w:r>
      <w:r>
        <w:t>freight</w:t>
      </w:r>
      <w:r>
        <w:rPr>
          <w:spacing w:val="-12"/>
        </w:rPr>
        <w:t xml:space="preserve"> </w:t>
      </w:r>
      <w:r>
        <w:t>market</w:t>
      </w:r>
      <w:r>
        <w:rPr>
          <w:spacing w:val="-12"/>
        </w:rPr>
        <w:t xml:space="preserve"> </w:t>
      </w:r>
      <w:r>
        <w:t>in</w:t>
      </w:r>
      <w:r>
        <w:rPr>
          <w:spacing w:val="-12"/>
        </w:rPr>
        <w:t xml:space="preserve"> </w:t>
      </w:r>
      <w:r>
        <w:t>Sydney.</w:t>
      </w:r>
    </w:p>
    <w:p w:rsidR="002C1123" w:rsidRDefault="00F22F94">
      <w:pPr>
        <w:pStyle w:val="ListParagraph"/>
        <w:numPr>
          <w:ilvl w:val="0"/>
          <w:numId w:val="79"/>
        </w:numPr>
        <w:tabs>
          <w:tab w:val="left" w:pos="776"/>
        </w:tabs>
        <w:spacing w:before="132" w:line="249" w:lineRule="auto"/>
        <w:ind w:right="304"/>
        <w:rPr>
          <w:sz w:val="20"/>
        </w:rPr>
      </w:pPr>
      <w:r>
        <w:rPr>
          <w:sz w:val="20"/>
        </w:rPr>
        <w:t>More</w:t>
      </w:r>
      <w:r>
        <w:rPr>
          <w:spacing w:val="-8"/>
          <w:sz w:val="20"/>
        </w:rPr>
        <w:t xml:space="preserve"> </w:t>
      </w:r>
      <w:r>
        <w:rPr>
          <w:sz w:val="20"/>
        </w:rPr>
        <w:t>can</w:t>
      </w:r>
      <w:r>
        <w:rPr>
          <w:spacing w:val="-8"/>
          <w:sz w:val="20"/>
        </w:rPr>
        <w:t xml:space="preserve"> </w:t>
      </w:r>
      <w:r>
        <w:rPr>
          <w:sz w:val="20"/>
        </w:rPr>
        <w:t>be</w:t>
      </w:r>
      <w:r>
        <w:rPr>
          <w:spacing w:val="-8"/>
          <w:sz w:val="20"/>
        </w:rPr>
        <w:t xml:space="preserve"> </w:t>
      </w:r>
      <w:r>
        <w:rPr>
          <w:sz w:val="20"/>
        </w:rPr>
        <w:t>done</w:t>
      </w:r>
      <w:r>
        <w:rPr>
          <w:spacing w:val="-8"/>
          <w:sz w:val="20"/>
        </w:rPr>
        <w:t xml:space="preserve"> </w:t>
      </w:r>
      <w:r>
        <w:rPr>
          <w:sz w:val="20"/>
        </w:rPr>
        <w:t>in</w:t>
      </w:r>
      <w:r>
        <w:rPr>
          <w:spacing w:val="-8"/>
          <w:sz w:val="20"/>
        </w:rPr>
        <w:t xml:space="preserve"> </w:t>
      </w:r>
      <w:r>
        <w:rPr>
          <w:sz w:val="20"/>
        </w:rPr>
        <w:t>the</w:t>
      </w:r>
      <w:r>
        <w:rPr>
          <w:spacing w:val="-8"/>
          <w:sz w:val="20"/>
        </w:rPr>
        <w:t xml:space="preserve"> </w:t>
      </w:r>
      <w:r>
        <w:rPr>
          <w:sz w:val="20"/>
        </w:rPr>
        <w:t>short</w:t>
      </w:r>
      <w:r>
        <w:rPr>
          <w:spacing w:val="-8"/>
          <w:sz w:val="20"/>
        </w:rPr>
        <w:t xml:space="preserve"> </w:t>
      </w:r>
      <w:r>
        <w:rPr>
          <w:sz w:val="20"/>
        </w:rPr>
        <w:t>term</w:t>
      </w:r>
      <w:r>
        <w:rPr>
          <w:spacing w:val="-9"/>
          <w:sz w:val="20"/>
        </w:rPr>
        <w:t xml:space="preserve"> </w:t>
      </w:r>
      <w:r>
        <w:rPr>
          <w:sz w:val="20"/>
        </w:rPr>
        <w:t>to</w:t>
      </w:r>
      <w:r>
        <w:rPr>
          <w:spacing w:val="-8"/>
          <w:sz w:val="20"/>
        </w:rPr>
        <w:t xml:space="preserve"> </w:t>
      </w:r>
      <w:r>
        <w:rPr>
          <w:sz w:val="20"/>
        </w:rPr>
        <w:t xml:space="preserve">improve </w:t>
      </w:r>
      <w:r>
        <w:rPr>
          <w:w w:val="95"/>
          <w:sz w:val="20"/>
        </w:rPr>
        <w:t>travel</w:t>
      </w:r>
      <w:r>
        <w:rPr>
          <w:spacing w:val="-4"/>
          <w:w w:val="95"/>
          <w:sz w:val="20"/>
        </w:rPr>
        <w:t xml:space="preserve"> </w:t>
      </w:r>
      <w:r>
        <w:rPr>
          <w:w w:val="95"/>
          <w:sz w:val="20"/>
        </w:rPr>
        <w:t>to</w:t>
      </w:r>
      <w:r>
        <w:rPr>
          <w:spacing w:val="-4"/>
          <w:w w:val="95"/>
          <w:sz w:val="20"/>
        </w:rPr>
        <w:t xml:space="preserve"> </w:t>
      </w:r>
      <w:r>
        <w:rPr>
          <w:w w:val="95"/>
          <w:sz w:val="20"/>
        </w:rPr>
        <w:t>the</w:t>
      </w:r>
      <w:r>
        <w:rPr>
          <w:spacing w:val="-4"/>
          <w:w w:val="95"/>
          <w:sz w:val="20"/>
        </w:rPr>
        <w:t xml:space="preserve"> </w:t>
      </w:r>
      <w:r>
        <w:rPr>
          <w:w w:val="95"/>
          <w:sz w:val="20"/>
        </w:rPr>
        <w:t>Port</w:t>
      </w:r>
      <w:r>
        <w:rPr>
          <w:spacing w:val="-4"/>
          <w:w w:val="95"/>
          <w:sz w:val="20"/>
        </w:rPr>
        <w:t xml:space="preserve"> </w:t>
      </w:r>
      <w:r>
        <w:rPr>
          <w:w w:val="95"/>
          <w:sz w:val="20"/>
        </w:rPr>
        <w:t>and</w:t>
      </w:r>
      <w:r>
        <w:rPr>
          <w:spacing w:val="-4"/>
          <w:w w:val="95"/>
          <w:sz w:val="20"/>
        </w:rPr>
        <w:t xml:space="preserve"> </w:t>
      </w:r>
      <w:r>
        <w:rPr>
          <w:w w:val="95"/>
          <w:sz w:val="20"/>
        </w:rPr>
        <w:t>Airport,</w:t>
      </w:r>
      <w:r>
        <w:rPr>
          <w:spacing w:val="-4"/>
          <w:w w:val="95"/>
          <w:sz w:val="20"/>
        </w:rPr>
        <w:t xml:space="preserve"> </w:t>
      </w:r>
      <w:r>
        <w:rPr>
          <w:w w:val="95"/>
          <w:sz w:val="20"/>
        </w:rPr>
        <w:t>including</w:t>
      </w:r>
      <w:r>
        <w:rPr>
          <w:spacing w:val="-4"/>
          <w:w w:val="95"/>
          <w:sz w:val="20"/>
        </w:rPr>
        <w:t xml:space="preserve"> </w:t>
      </w:r>
      <w:r>
        <w:rPr>
          <w:w w:val="95"/>
          <w:sz w:val="20"/>
        </w:rPr>
        <w:t>providing cheaper</w:t>
      </w:r>
      <w:r>
        <w:rPr>
          <w:spacing w:val="-4"/>
          <w:w w:val="95"/>
          <w:sz w:val="20"/>
        </w:rPr>
        <w:t xml:space="preserve"> </w:t>
      </w:r>
      <w:r>
        <w:rPr>
          <w:w w:val="95"/>
          <w:sz w:val="20"/>
        </w:rPr>
        <w:t>rail</w:t>
      </w:r>
      <w:r>
        <w:rPr>
          <w:spacing w:val="-4"/>
          <w:w w:val="95"/>
          <w:sz w:val="20"/>
        </w:rPr>
        <w:t xml:space="preserve"> </w:t>
      </w:r>
      <w:r>
        <w:rPr>
          <w:w w:val="95"/>
          <w:sz w:val="20"/>
        </w:rPr>
        <w:t>travel</w:t>
      </w:r>
      <w:r>
        <w:rPr>
          <w:spacing w:val="-4"/>
          <w:w w:val="95"/>
          <w:sz w:val="20"/>
        </w:rPr>
        <w:t xml:space="preserve"> </w:t>
      </w:r>
      <w:r>
        <w:rPr>
          <w:w w:val="95"/>
          <w:sz w:val="20"/>
        </w:rPr>
        <w:t>and</w:t>
      </w:r>
      <w:r>
        <w:rPr>
          <w:spacing w:val="-4"/>
          <w:w w:val="95"/>
          <w:sz w:val="20"/>
        </w:rPr>
        <w:t xml:space="preserve"> </w:t>
      </w:r>
      <w:r>
        <w:rPr>
          <w:w w:val="95"/>
          <w:sz w:val="20"/>
        </w:rPr>
        <w:t>better</w:t>
      </w:r>
      <w:r>
        <w:rPr>
          <w:spacing w:val="-4"/>
          <w:w w:val="95"/>
          <w:sz w:val="20"/>
        </w:rPr>
        <w:t xml:space="preserve"> </w:t>
      </w:r>
      <w:r>
        <w:rPr>
          <w:w w:val="95"/>
          <w:sz w:val="20"/>
        </w:rPr>
        <w:t>bus</w:t>
      </w:r>
      <w:r>
        <w:rPr>
          <w:spacing w:val="-4"/>
          <w:w w:val="95"/>
          <w:sz w:val="20"/>
        </w:rPr>
        <w:t xml:space="preserve"> </w:t>
      </w:r>
      <w:r>
        <w:rPr>
          <w:w w:val="95"/>
          <w:sz w:val="20"/>
        </w:rPr>
        <w:t>services</w:t>
      </w:r>
      <w:r>
        <w:rPr>
          <w:spacing w:val="-4"/>
          <w:w w:val="95"/>
          <w:sz w:val="20"/>
        </w:rPr>
        <w:t xml:space="preserve"> </w:t>
      </w:r>
      <w:r>
        <w:rPr>
          <w:w w:val="95"/>
          <w:sz w:val="20"/>
        </w:rPr>
        <w:t>to</w:t>
      </w:r>
      <w:r>
        <w:rPr>
          <w:spacing w:val="-4"/>
          <w:w w:val="95"/>
          <w:sz w:val="20"/>
        </w:rPr>
        <w:t xml:space="preserve"> </w:t>
      </w:r>
      <w:r>
        <w:rPr>
          <w:w w:val="95"/>
          <w:sz w:val="20"/>
        </w:rPr>
        <w:t xml:space="preserve">the </w:t>
      </w:r>
      <w:r>
        <w:rPr>
          <w:sz w:val="20"/>
        </w:rPr>
        <w:t>airport,</w:t>
      </w:r>
      <w:r>
        <w:rPr>
          <w:spacing w:val="-9"/>
          <w:sz w:val="20"/>
        </w:rPr>
        <w:t xml:space="preserve"> </w:t>
      </w:r>
      <w:r>
        <w:rPr>
          <w:sz w:val="20"/>
        </w:rPr>
        <w:t>and</w:t>
      </w:r>
      <w:r>
        <w:rPr>
          <w:spacing w:val="-9"/>
          <w:sz w:val="20"/>
        </w:rPr>
        <w:t xml:space="preserve"> </w:t>
      </w:r>
      <w:r>
        <w:rPr>
          <w:sz w:val="20"/>
        </w:rPr>
        <w:t>investing</w:t>
      </w:r>
      <w:r>
        <w:rPr>
          <w:spacing w:val="-9"/>
          <w:sz w:val="20"/>
        </w:rPr>
        <w:t xml:space="preserve"> </w:t>
      </w:r>
      <w:r>
        <w:rPr>
          <w:sz w:val="20"/>
        </w:rPr>
        <w:t>in</w:t>
      </w:r>
      <w:r>
        <w:rPr>
          <w:spacing w:val="-9"/>
          <w:sz w:val="20"/>
        </w:rPr>
        <w:t xml:space="preserve"> </w:t>
      </w:r>
      <w:r>
        <w:rPr>
          <w:sz w:val="20"/>
        </w:rPr>
        <w:t>key</w:t>
      </w:r>
      <w:r>
        <w:rPr>
          <w:spacing w:val="-9"/>
          <w:sz w:val="20"/>
        </w:rPr>
        <w:t xml:space="preserve"> </w:t>
      </w:r>
      <w:r>
        <w:rPr>
          <w:sz w:val="20"/>
        </w:rPr>
        <w:t>road</w:t>
      </w:r>
      <w:r>
        <w:rPr>
          <w:spacing w:val="-9"/>
          <w:sz w:val="20"/>
        </w:rPr>
        <w:t xml:space="preserve"> </w:t>
      </w:r>
      <w:r>
        <w:rPr>
          <w:sz w:val="20"/>
        </w:rPr>
        <w:t>pinch</w:t>
      </w:r>
      <w:r>
        <w:rPr>
          <w:spacing w:val="-9"/>
          <w:sz w:val="20"/>
        </w:rPr>
        <w:t xml:space="preserve"> </w:t>
      </w:r>
      <w:r>
        <w:rPr>
          <w:sz w:val="20"/>
        </w:rPr>
        <w:t>points.</w:t>
      </w:r>
    </w:p>
    <w:p w:rsidR="002C1123" w:rsidRDefault="00F22F94">
      <w:pPr>
        <w:pStyle w:val="ListParagraph"/>
        <w:numPr>
          <w:ilvl w:val="0"/>
          <w:numId w:val="79"/>
        </w:numPr>
        <w:tabs>
          <w:tab w:val="left" w:pos="492"/>
        </w:tabs>
        <w:spacing w:before="122" w:line="249" w:lineRule="auto"/>
        <w:ind w:left="491" w:right="139"/>
        <w:rPr>
          <w:sz w:val="20"/>
        </w:rPr>
      </w:pPr>
      <w:r>
        <w:br w:type="column"/>
      </w:r>
      <w:r>
        <w:rPr>
          <w:sz w:val="20"/>
        </w:rPr>
        <w:t>Even</w:t>
      </w:r>
      <w:r>
        <w:rPr>
          <w:spacing w:val="-6"/>
          <w:sz w:val="20"/>
        </w:rPr>
        <w:t xml:space="preserve"> </w:t>
      </w:r>
      <w:r>
        <w:rPr>
          <w:sz w:val="20"/>
        </w:rPr>
        <w:t>with</w:t>
      </w:r>
      <w:r>
        <w:rPr>
          <w:spacing w:val="-6"/>
          <w:sz w:val="20"/>
        </w:rPr>
        <w:t xml:space="preserve"> </w:t>
      </w:r>
      <w:r>
        <w:rPr>
          <w:sz w:val="20"/>
        </w:rPr>
        <w:t>more</w:t>
      </w:r>
      <w:r>
        <w:rPr>
          <w:spacing w:val="-6"/>
          <w:sz w:val="20"/>
        </w:rPr>
        <w:t xml:space="preserve"> </w:t>
      </w:r>
      <w:r>
        <w:rPr>
          <w:sz w:val="20"/>
        </w:rPr>
        <w:t>freight</w:t>
      </w:r>
      <w:r>
        <w:rPr>
          <w:spacing w:val="-6"/>
          <w:sz w:val="20"/>
        </w:rPr>
        <w:t xml:space="preserve"> </w:t>
      </w:r>
      <w:r>
        <w:rPr>
          <w:sz w:val="20"/>
        </w:rPr>
        <w:t>and</w:t>
      </w:r>
      <w:r>
        <w:rPr>
          <w:spacing w:val="-6"/>
          <w:sz w:val="20"/>
        </w:rPr>
        <w:t xml:space="preserve"> </w:t>
      </w:r>
      <w:r>
        <w:rPr>
          <w:sz w:val="20"/>
        </w:rPr>
        <w:t>airport</w:t>
      </w:r>
      <w:r>
        <w:rPr>
          <w:spacing w:val="-6"/>
          <w:sz w:val="20"/>
        </w:rPr>
        <w:t xml:space="preserve"> </w:t>
      </w:r>
      <w:r>
        <w:rPr>
          <w:sz w:val="20"/>
        </w:rPr>
        <w:t xml:space="preserve">customers </w:t>
      </w:r>
      <w:r>
        <w:rPr>
          <w:spacing w:val="-2"/>
          <w:sz w:val="20"/>
        </w:rPr>
        <w:t>using</w:t>
      </w:r>
      <w:r>
        <w:rPr>
          <w:spacing w:val="-9"/>
          <w:sz w:val="20"/>
        </w:rPr>
        <w:t xml:space="preserve"> </w:t>
      </w:r>
      <w:r>
        <w:rPr>
          <w:spacing w:val="-2"/>
          <w:sz w:val="20"/>
        </w:rPr>
        <w:t>the</w:t>
      </w:r>
      <w:r>
        <w:rPr>
          <w:spacing w:val="-9"/>
          <w:sz w:val="20"/>
        </w:rPr>
        <w:t xml:space="preserve"> </w:t>
      </w:r>
      <w:r>
        <w:rPr>
          <w:spacing w:val="-2"/>
          <w:sz w:val="20"/>
        </w:rPr>
        <w:t>rail</w:t>
      </w:r>
      <w:r>
        <w:rPr>
          <w:spacing w:val="-9"/>
          <w:sz w:val="20"/>
        </w:rPr>
        <w:t xml:space="preserve"> </w:t>
      </w:r>
      <w:r>
        <w:rPr>
          <w:spacing w:val="-2"/>
          <w:sz w:val="20"/>
        </w:rPr>
        <w:t>network,</w:t>
      </w:r>
      <w:r>
        <w:rPr>
          <w:spacing w:val="-9"/>
          <w:sz w:val="20"/>
        </w:rPr>
        <w:t xml:space="preserve"> </w:t>
      </w:r>
      <w:r>
        <w:rPr>
          <w:spacing w:val="-2"/>
          <w:sz w:val="20"/>
        </w:rPr>
        <w:t>most</w:t>
      </w:r>
      <w:r>
        <w:rPr>
          <w:spacing w:val="-9"/>
          <w:sz w:val="20"/>
        </w:rPr>
        <w:t xml:space="preserve"> </w:t>
      </w:r>
      <w:r>
        <w:rPr>
          <w:spacing w:val="-2"/>
          <w:sz w:val="20"/>
        </w:rPr>
        <w:t>travel</w:t>
      </w:r>
      <w:r>
        <w:rPr>
          <w:spacing w:val="-9"/>
          <w:sz w:val="20"/>
        </w:rPr>
        <w:t xml:space="preserve"> </w:t>
      </w:r>
      <w:r>
        <w:rPr>
          <w:spacing w:val="-2"/>
          <w:sz w:val="20"/>
        </w:rPr>
        <w:t>to</w:t>
      </w:r>
      <w:r>
        <w:rPr>
          <w:spacing w:val="-9"/>
          <w:sz w:val="20"/>
        </w:rPr>
        <w:t xml:space="preserve"> </w:t>
      </w:r>
      <w:r>
        <w:rPr>
          <w:spacing w:val="-2"/>
          <w:sz w:val="20"/>
        </w:rPr>
        <w:t>and</w:t>
      </w:r>
      <w:r>
        <w:rPr>
          <w:spacing w:val="-9"/>
          <w:sz w:val="20"/>
        </w:rPr>
        <w:t xml:space="preserve"> </w:t>
      </w:r>
      <w:r>
        <w:rPr>
          <w:spacing w:val="-2"/>
          <w:sz w:val="20"/>
        </w:rPr>
        <w:t>from</w:t>
      </w:r>
      <w:r>
        <w:rPr>
          <w:spacing w:val="-10"/>
          <w:sz w:val="20"/>
        </w:rPr>
        <w:t xml:space="preserve"> </w:t>
      </w:r>
      <w:r>
        <w:rPr>
          <w:spacing w:val="-2"/>
          <w:sz w:val="20"/>
        </w:rPr>
        <w:t xml:space="preserve">the </w:t>
      </w:r>
      <w:r>
        <w:rPr>
          <w:w w:val="95"/>
          <w:sz w:val="20"/>
        </w:rPr>
        <w:t xml:space="preserve">gateways will remain by road. Major investment is </w:t>
      </w:r>
      <w:r>
        <w:rPr>
          <w:sz w:val="20"/>
        </w:rPr>
        <w:t>needed</w:t>
      </w:r>
      <w:r>
        <w:rPr>
          <w:spacing w:val="-13"/>
          <w:sz w:val="20"/>
        </w:rPr>
        <w:t xml:space="preserve"> </w:t>
      </w:r>
      <w:r>
        <w:rPr>
          <w:sz w:val="20"/>
        </w:rPr>
        <w:t>to</w:t>
      </w:r>
      <w:r>
        <w:rPr>
          <w:spacing w:val="-13"/>
          <w:sz w:val="20"/>
        </w:rPr>
        <w:t xml:space="preserve"> </w:t>
      </w:r>
      <w:r>
        <w:rPr>
          <w:sz w:val="20"/>
        </w:rPr>
        <w:t>augment</w:t>
      </w:r>
      <w:r>
        <w:rPr>
          <w:spacing w:val="-13"/>
          <w:sz w:val="20"/>
        </w:rPr>
        <w:t xml:space="preserve"> </w:t>
      </w:r>
      <w:r>
        <w:rPr>
          <w:sz w:val="20"/>
        </w:rPr>
        <w:t>the</w:t>
      </w:r>
      <w:r>
        <w:rPr>
          <w:spacing w:val="-13"/>
          <w:sz w:val="20"/>
        </w:rPr>
        <w:t xml:space="preserve"> </w:t>
      </w:r>
      <w:r>
        <w:rPr>
          <w:sz w:val="20"/>
        </w:rPr>
        <w:t>existing</w:t>
      </w:r>
      <w:r>
        <w:rPr>
          <w:spacing w:val="-13"/>
          <w:sz w:val="20"/>
        </w:rPr>
        <w:t xml:space="preserve"> </w:t>
      </w:r>
      <w:r>
        <w:rPr>
          <w:sz w:val="20"/>
        </w:rPr>
        <w:t>roads</w:t>
      </w:r>
      <w:r>
        <w:rPr>
          <w:spacing w:val="-13"/>
          <w:sz w:val="20"/>
        </w:rPr>
        <w:t xml:space="preserve"> </w:t>
      </w:r>
      <w:r>
        <w:rPr>
          <w:sz w:val="20"/>
        </w:rPr>
        <w:t>that</w:t>
      </w:r>
      <w:r>
        <w:rPr>
          <w:spacing w:val="-13"/>
          <w:sz w:val="20"/>
        </w:rPr>
        <w:t xml:space="preserve"> </w:t>
      </w:r>
      <w:r>
        <w:rPr>
          <w:sz w:val="20"/>
        </w:rPr>
        <w:t>link</w:t>
      </w:r>
      <w:r>
        <w:rPr>
          <w:spacing w:val="-13"/>
          <w:sz w:val="20"/>
        </w:rPr>
        <w:t xml:space="preserve"> </w:t>
      </w:r>
      <w:r>
        <w:rPr>
          <w:sz w:val="20"/>
        </w:rPr>
        <w:t xml:space="preserve">to </w:t>
      </w:r>
      <w:r>
        <w:rPr>
          <w:w w:val="95"/>
          <w:sz w:val="20"/>
        </w:rPr>
        <w:t>Port</w:t>
      </w:r>
      <w:r>
        <w:rPr>
          <w:spacing w:val="-4"/>
          <w:w w:val="95"/>
          <w:sz w:val="20"/>
        </w:rPr>
        <w:t xml:space="preserve"> </w:t>
      </w:r>
      <w:r>
        <w:rPr>
          <w:w w:val="95"/>
          <w:sz w:val="20"/>
        </w:rPr>
        <w:t>Botany</w:t>
      </w:r>
      <w:r>
        <w:rPr>
          <w:spacing w:val="-4"/>
          <w:w w:val="95"/>
          <w:sz w:val="20"/>
        </w:rPr>
        <w:t xml:space="preserve"> </w:t>
      </w:r>
      <w:r>
        <w:rPr>
          <w:w w:val="95"/>
          <w:sz w:val="20"/>
        </w:rPr>
        <w:t>and</w:t>
      </w:r>
      <w:r>
        <w:rPr>
          <w:spacing w:val="-4"/>
          <w:w w:val="95"/>
          <w:sz w:val="20"/>
        </w:rPr>
        <w:t xml:space="preserve"> </w:t>
      </w:r>
      <w:r>
        <w:rPr>
          <w:w w:val="95"/>
          <w:sz w:val="20"/>
        </w:rPr>
        <w:t>Sydney</w:t>
      </w:r>
      <w:r>
        <w:rPr>
          <w:spacing w:val="-4"/>
          <w:w w:val="95"/>
          <w:sz w:val="20"/>
        </w:rPr>
        <w:t xml:space="preserve"> </w:t>
      </w:r>
      <w:r>
        <w:rPr>
          <w:w w:val="95"/>
          <w:sz w:val="20"/>
        </w:rPr>
        <w:t>Airport.</w:t>
      </w:r>
      <w:r>
        <w:rPr>
          <w:spacing w:val="-4"/>
          <w:w w:val="95"/>
          <w:sz w:val="20"/>
        </w:rPr>
        <w:t xml:space="preserve"> </w:t>
      </w:r>
      <w:r>
        <w:rPr>
          <w:w w:val="95"/>
          <w:sz w:val="20"/>
        </w:rPr>
        <w:t>The</w:t>
      </w:r>
      <w:r>
        <w:rPr>
          <w:spacing w:val="-4"/>
          <w:w w:val="95"/>
          <w:sz w:val="20"/>
        </w:rPr>
        <w:t xml:space="preserve"> </w:t>
      </w:r>
      <w:r>
        <w:rPr>
          <w:w w:val="95"/>
          <w:sz w:val="20"/>
        </w:rPr>
        <w:t xml:space="preserve">WestConnex </w:t>
      </w:r>
      <w:r>
        <w:rPr>
          <w:spacing w:val="-2"/>
          <w:sz w:val="20"/>
        </w:rPr>
        <w:t>scheme</w:t>
      </w:r>
      <w:r>
        <w:rPr>
          <w:spacing w:val="-7"/>
          <w:sz w:val="20"/>
        </w:rPr>
        <w:t xml:space="preserve"> </w:t>
      </w:r>
      <w:r>
        <w:rPr>
          <w:spacing w:val="-2"/>
          <w:sz w:val="20"/>
        </w:rPr>
        <w:t>(refer</w:t>
      </w:r>
      <w:r>
        <w:rPr>
          <w:spacing w:val="-7"/>
          <w:sz w:val="20"/>
        </w:rPr>
        <w:t xml:space="preserve"> </w:t>
      </w:r>
      <w:r>
        <w:rPr>
          <w:spacing w:val="-2"/>
          <w:sz w:val="20"/>
        </w:rPr>
        <w:t>Section</w:t>
      </w:r>
      <w:r>
        <w:rPr>
          <w:spacing w:val="-7"/>
          <w:sz w:val="20"/>
        </w:rPr>
        <w:t xml:space="preserve"> </w:t>
      </w:r>
      <w:r>
        <w:rPr>
          <w:spacing w:val="-2"/>
          <w:sz w:val="20"/>
        </w:rPr>
        <w:t>6)</w:t>
      </w:r>
      <w:r>
        <w:rPr>
          <w:spacing w:val="-7"/>
          <w:sz w:val="20"/>
        </w:rPr>
        <w:t xml:space="preserve"> </w:t>
      </w:r>
      <w:r>
        <w:rPr>
          <w:spacing w:val="-2"/>
          <w:sz w:val="20"/>
        </w:rPr>
        <w:t>is</w:t>
      </w:r>
      <w:r>
        <w:rPr>
          <w:spacing w:val="-7"/>
          <w:sz w:val="20"/>
        </w:rPr>
        <w:t xml:space="preserve"> </w:t>
      </w:r>
      <w:r>
        <w:rPr>
          <w:spacing w:val="-2"/>
          <w:sz w:val="20"/>
        </w:rPr>
        <w:t>Infrastructure</w:t>
      </w:r>
      <w:r>
        <w:rPr>
          <w:spacing w:val="-7"/>
          <w:sz w:val="20"/>
        </w:rPr>
        <w:t xml:space="preserve"> </w:t>
      </w:r>
      <w:r>
        <w:rPr>
          <w:spacing w:val="-2"/>
          <w:sz w:val="20"/>
        </w:rPr>
        <w:t>NSW’s</w:t>
      </w:r>
    </w:p>
    <w:p w:rsidR="002C1123" w:rsidRDefault="00F22F94">
      <w:pPr>
        <w:pStyle w:val="BodyText"/>
        <w:spacing w:before="4" w:line="249" w:lineRule="auto"/>
        <w:ind w:left="491"/>
      </w:pPr>
      <w:r>
        <w:rPr>
          <w:w w:val="95"/>
        </w:rPr>
        <w:t xml:space="preserve">principal response to the transport challenges faced </w:t>
      </w:r>
      <w:r>
        <w:t>by</w:t>
      </w:r>
      <w:r>
        <w:rPr>
          <w:spacing w:val="-14"/>
        </w:rPr>
        <w:t xml:space="preserve"> </w:t>
      </w:r>
      <w:r>
        <w:t>Sydney’s</w:t>
      </w:r>
      <w:r>
        <w:rPr>
          <w:spacing w:val="-14"/>
        </w:rPr>
        <w:t xml:space="preserve"> </w:t>
      </w:r>
      <w:r>
        <w:t>International</w:t>
      </w:r>
      <w:r>
        <w:rPr>
          <w:spacing w:val="-14"/>
        </w:rPr>
        <w:t xml:space="preserve"> </w:t>
      </w:r>
      <w:r>
        <w:t>Gateways.</w:t>
      </w:r>
    </w:p>
    <w:p w:rsidR="002C1123" w:rsidRDefault="00F22F94">
      <w:pPr>
        <w:pStyle w:val="ListParagraph"/>
        <w:numPr>
          <w:ilvl w:val="0"/>
          <w:numId w:val="79"/>
        </w:numPr>
        <w:tabs>
          <w:tab w:val="left" w:pos="492"/>
        </w:tabs>
        <w:spacing w:before="131" w:line="249" w:lineRule="auto"/>
        <w:ind w:left="491" w:right="200"/>
        <w:rPr>
          <w:sz w:val="20"/>
        </w:rPr>
      </w:pPr>
      <w:r>
        <w:rPr>
          <w:w w:val="95"/>
          <w:sz w:val="20"/>
        </w:rPr>
        <w:t xml:space="preserve">Once Port Botany reaches capacity, (which is not </w:t>
      </w:r>
      <w:r>
        <w:rPr>
          <w:sz w:val="20"/>
        </w:rPr>
        <w:t>expected</w:t>
      </w:r>
      <w:r>
        <w:rPr>
          <w:spacing w:val="-12"/>
          <w:sz w:val="20"/>
        </w:rPr>
        <w:t xml:space="preserve"> </w:t>
      </w:r>
      <w:r>
        <w:rPr>
          <w:sz w:val="20"/>
        </w:rPr>
        <w:t>to</w:t>
      </w:r>
      <w:r>
        <w:rPr>
          <w:spacing w:val="-12"/>
          <w:sz w:val="20"/>
        </w:rPr>
        <w:t xml:space="preserve"> </w:t>
      </w:r>
      <w:r>
        <w:rPr>
          <w:sz w:val="20"/>
        </w:rPr>
        <w:t>happen</w:t>
      </w:r>
      <w:r>
        <w:rPr>
          <w:spacing w:val="-12"/>
          <w:sz w:val="20"/>
        </w:rPr>
        <w:t xml:space="preserve"> </w:t>
      </w:r>
      <w:r>
        <w:rPr>
          <w:sz w:val="20"/>
        </w:rPr>
        <w:t>during</w:t>
      </w:r>
      <w:r>
        <w:rPr>
          <w:spacing w:val="-12"/>
          <w:sz w:val="20"/>
        </w:rPr>
        <w:t xml:space="preserve"> </w:t>
      </w:r>
      <w:r>
        <w:rPr>
          <w:sz w:val="20"/>
        </w:rPr>
        <w:t>the</w:t>
      </w:r>
      <w:r>
        <w:rPr>
          <w:spacing w:val="-12"/>
          <w:sz w:val="20"/>
        </w:rPr>
        <w:t xml:space="preserve"> </w:t>
      </w:r>
      <w:r>
        <w:rPr>
          <w:sz w:val="20"/>
        </w:rPr>
        <w:t>timeframe</w:t>
      </w:r>
      <w:r>
        <w:rPr>
          <w:spacing w:val="-12"/>
          <w:sz w:val="20"/>
        </w:rPr>
        <w:t xml:space="preserve"> </w:t>
      </w:r>
      <w:r>
        <w:rPr>
          <w:sz w:val="20"/>
        </w:rPr>
        <w:t>of</w:t>
      </w:r>
      <w:r>
        <w:rPr>
          <w:spacing w:val="-12"/>
          <w:sz w:val="20"/>
        </w:rPr>
        <w:t xml:space="preserve"> </w:t>
      </w:r>
      <w:r>
        <w:rPr>
          <w:sz w:val="20"/>
        </w:rPr>
        <w:t xml:space="preserve">this </w:t>
      </w:r>
      <w:r>
        <w:rPr>
          <w:w w:val="95"/>
          <w:sz w:val="20"/>
        </w:rPr>
        <w:t>Strategy),</w:t>
      </w:r>
      <w:r>
        <w:rPr>
          <w:spacing w:val="-7"/>
          <w:w w:val="95"/>
          <w:sz w:val="20"/>
        </w:rPr>
        <w:t xml:space="preserve"> </w:t>
      </w:r>
      <w:r>
        <w:rPr>
          <w:w w:val="95"/>
          <w:sz w:val="20"/>
        </w:rPr>
        <w:t>it</w:t>
      </w:r>
      <w:r>
        <w:rPr>
          <w:spacing w:val="-7"/>
          <w:w w:val="95"/>
          <w:sz w:val="20"/>
        </w:rPr>
        <w:t xml:space="preserve"> </w:t>
      </w:r>
      <w:r>
        <w:rPr>
          <w:w w:val="95"/>
          <w:sz w:val="20"/>
        </w:rPr>
        <w:t>is</w:t>
      </w:r>
      <w:r>
        <w:rPr>
          <w:spacing w:val="-7"/>
          <w:w w:val="95"/>
          <w:sz w:val="20"/>
        </w:rPr>
        <w:t xml:space="preserve"> </w:t>
      </w:r>
      <w:r>
        <w:rPr>
          <w:w w:val="95"/>
          <w:sz w:val="20"/>
        </w:rPr>
        <w:t>planned</w:t>
      </w:r>
      <w:r>
        <w:rPr>
          <w:spacing w:val="-7"/>
          <w:w w:val="95"/>
          <w:sz w:val="20"/>
        </w:rPr>
        <w:t xml:space="preserve"> </w:t>
      </w:r>
      <w:r>
        <w:rPr>
          <w:w w:val="95"/>
          <w:sz w:val="20"/>
        </w:rPr>
        <w:t>for</w:t>
      </w:r>
      <w:r>
        <w:rPr>
          <w:spacing w:val="-7"/>
          <w:w w:val="95"/>
          <w:sz w:val="20"/>
        </w:rPr>
        <w:t xml:space="preserve"> </w:t>
      </w:r>
      <w:r>
        <w:rPr>
          <w:w w:val="95"/>
          <w:sz w:val="20"/>
        </w:rPr>
        <w:t>Port</w:t>
      </w:r>
      <w:r>
        <w:rPr>
          <w:spacing w:val="-7"/>
          <w:w w:val="95"/>
          <w:sz w:val="20"/>
        </w:rPr>
        <w:t xml:space="preserve"> </w:t>
      </w:r>
      <w:r>
        <w:rPr>
          <w:w w:val="95"/>
          <w:sz w:val="20"/>
        </w:rPr>
        <w:t>Kembla</w:t>
      </w:r>
      <w:r>
        <w:rPr>
          <w:spacing w:val="-7"/>
          <w:w w:val="95"/>
          <w:sz w:val="20"/>
        </w:rPr>
        <w:t xml:space="preserve"> </w:t>
      </w:r>
      <w:r>
        <w:rPr>
          <w:w w:val="95"/>
          <w:sz w:val="20"/>
        </w:rPr>
        <w:t>to</w:t>
      </w:r>
      <w:r>
        <w:rPr>
          <w:spacing w:val="-7"/>
          <w:w w:val="95"/>
          <w:sz w:val="20"/>
        </w:rPr>
        <w:t xml:space="preserve"> </w:t>
      </w:r>
      <w:r>
        <w:rPr>
          <w:w w:val="95"/>
          <w:sz w:val="20"/>
        </w:rPr>
        <w:t xml:space="preserve">become </w:t>
      </w:r>
      <w:r>
        <w:rPr>
          <w:sz w:val="20"/>
        </w:rPr>
        <w:t>NSW’s supplementary container port.</w:t>
      </w:r>
    </w:p>
    <w:p w:rsidR="002C1123" w:rsidRDefault="00F22F94">
      <w:pPr>
        <w:pStyle w:val="ListParagraph"/>
        <w:numPr>
          <w:ilvl w:val="0"/>
          <w:numId w:val="79"/>
        </w:numPr>
        <w:tabs>
          <w:tab w:val="left" w:pos="492"/>
        </w:tabs>
        <w:spacing w:before="133" w:line="249" w:lineRule="auto"/>
        <w:ind w:left="491" w:right="302"/>
        <w:rPr>
          <w:sz w:val="20"/>
        </w:rPr>
      </w:pPr>
      <w:r>
        <w:rPr>
          <w:sz w:val="20"/>
        </w:rPr>
        <w:t>There</w:t>
      </w:r>
      <w:r>
        <w:rPr>
          <w:spacing w:val="-14"/>
          <w:sz w:val="20"/>
        </w:rPr>
        <w:t xml:space="preserve"> </w:t>
      </w:r>
      <w:r>
        <w:rPr>
          <w:sz w:val="20"/>
        </w:rPr>
        <w:t>is</w:t>
      </w:r>
      <w:r>
        <w:rPr>
          <w:spacing w:val="-14"/>
          <w:sz w:val="20"/>
        </w:rPr>
        <w:t xml:space="preserve"> </w:t>
      </w:r>
      <w:r>
        <w:rPr>
          <w:sz w:val="20"/>
        </w:rPr>
        <w:t>no</w:t>
      </w:r>
      <w:r>
        <w:rPr>
          <w:spacing w:val="-14"/>
          <w:sz w:val="20"/>
        </w:rPr>
        <w:t xml:space="preserve"> </w:t>
      </w:r>
      <w:r>
        <w:rPr>
          <w:sz w:val="20"/>
        </w:rPr>
        <w:t>immediate</w:t>
      </w:r>
      <w:r>
        <w:rPr>
          <w:spacing w:val="-14"/>
          <w:sz w:val="20"/>
        </w:rPr>
        <w:t xml:space="preserve"> </w:t>
      </w:r>
      <w:r>
        <w:rPr>
          <w:sz w:val="20"/>
        </w:rPr>
        <w:t>need</w:t>
      </w:r>
      <w:r>
        <w:rPr>
          <w:spacing w:val="-14"/>
          <w:sz w:val="20"/>
        </w:rPr>
        <w:t xml:space="preserve"> </w:t>
      </w:r>
      <w:r>
        <w:rPr>
          <w:sz w:val="20"/>
        </w:rPr>
        <w:t>for</w:t>
      </w:r>
      <w:r>
        <w:rPr>
          <w:spacing w:val="-14"/>
          <w:sz w:val="20"/>
        </w:rPr>
        <w:t xml:space="preserve"> </w:t>
      </w:r>
      <w:r>
        <w:rPr>
          <w:sz w:val="20"/>
        </w:rPr>
        <w:t>supplementary airport</w:t>
      </w:r>
      <w:r>
        <w:rPr>
          <w:spacing w:val="-4"/>
          <w:sz w:val="20"/>
        </w:rPr>
        <w:t xml:space="preserve"> </w:t>
      </w:r>
      <w:r>
        <w:rPr>
          <w:sz w:val="20"/>
        </w:rPr>
        <w:t>capacity</w:t>
      </w:r>
      <w:r>
        <w:rPr>
          <w:spacing w:val="-4"/>
          <w:sz w:val="20"/>
        </w:rPr>
        <w:t xml:space="preserve"> </w:t>
      </w:r>
      <w:r>
        <w:rPr>
          <w:sz w:val="20"/>
        </w:rPr>
        <w:t>in</w:t>
      </w:r>
      <w:r>
        <w:rPr>
          <w:spacing w:val="-4"/>
          <w:sz w:val="20"/>
        </w:rPr>
        <w:t xml:space="preserve"> </w:t>
      </w:r>
      <w:r>
        <w:rPr>
          <w:sz w:val="20"/>
        </w:rPr>
        <w:t>Sydney.</w:t>
      </w:r>
      <w:r>
        <w:rPr>
          <w:spacing w:val="-4"/>
          <w:sz w:val="20"/>
        </w:rPr>
        <w:t xml:space="preserve"> </w:t>
      </w:r>
      <w:r>
        <w:rPr>
          <w:sz w:val="20"/>
        </w:rPr>
        <w:t>The</w:t>
      </w:r>
      <w:r>
        <w:rPr>
          <w:spacing w:val="-4"/>
          <w:sz w:val="20"/>
        </w:rPr>
        <w:t xml:space="preserve"> </w:t>
      </w:r>
      <w:r>
        <w:rPr>
          <w:sz w:val="20"/>
        </w:rPr>
        <w:t>growth</w:t>
      </w:r>
      <w:r>
        <w:rPr>
          <w:spacing w:val="-4"/>
          <w:sz w:val="20"/>
        </w:rPr>
        <w:t xml:space="preserve"> </w:t>
      </w:r>
      <w:r>
        <w:rPr>
          <w:sz w:val="20"/>
        </w:rPr>
        <w:t>of Western</w:t>
      </w:r>
      <w:r>
        <w:rPr>
          <w:spacing w:val="-13"/>
          <w:sz w:val="20"/>
        </w:rPr>
        <w:t xml:space="preserve"> </w:t>
      </w:r>
      <w:r>
        <w:rPr>
          <w:sz w:val="20"/>
        </w:rPr>
        <w:t>Sydney</w:t>
      </w:r>
      <w:r>
        <w:rPr>
          <w:spacing w:val="-13"/>
          <w:sz w:val="20"/>
        </w:rPr>
        <w:t xml:space="preserve"> </w:t>
      </w:r>
      <w:r>
        <w:rPr>
          <w:sz w:val="20"/>
        </w:rPr>
        <w:t>suggests</w:t>
      </w:r>
      <w:r>
        <w:rPr>
          <w:spacing w:val="-13"/>
          <w:sz w:val="20"/>
        </w:rPr>
        <w:t xml:space="preserve"> </w:t>
      </w:r>
      <w:r>
        <w:rPr>
          <w:sz w:val="20"/>
        </w:rPr>
        <w:t>that</w:t>
      </w:r>
      <w:r>
        <w:rPr>
          <w:spacing w:val="-13"/>
          <w:sz w:val="20"/>
        </w:rPr>
        <w:t xml:space="preserve"> </w:t>
      </w:r>
      <w:r>
        <w:rPr>
          <w:sz w:val="20"/>
        </w:rPr>
        <w:t>there</w:t>
      </w:r>
      <w:r>
        <w:rPr>
          <w:spacing w:val="-13"/>
          <w:sz w:val="20"/>
        </w:rPr>
        <w:t xml:space="preserve"> </w:t>
      </w:r>
      <w:r>
        <w:rPr>
          <w:sz w:val="20"/>
        </w:rPr>
        <w:t>is</w:t>
      </w:r>
      <w:r>
        <w:rPr>
          <w:spacing w:val="-13"/>
          <w:sz w:val="20"/>
        </w:rPr>
        <w:t xml:space="preserve"> </w:t>
      </w:r>
      <w:r>
        <w:rPr>
          <w:sz w:val="20"/>
        </w:rPr>
        <w:t>a</w:t>
      </w:r>
      <w:r>
        <w:rPr>
          <w:spacing w:val="-13"/>
          <w:sz w:val="20"/>
        </w:rPr>
        <w:t xml:space="preserve"> </w:t>
      </w:r>
      <w:r>
        <w:rPr>
          <w:sz w:val="20"/>
        </w:rPr>
        <w:t>case for</w:t>
      </w:r>
      <w:r>
        <w:rPr>
          <w:spacing w:val="-14"/>
          <w:sz w:val="20"/>
        </w:rPr>
        <w:t xml:space="preserve"> </w:t>
      </w:r>
      <w:r>
        <w:rPr>
          <w:sz w:val="20"/>
        </w:rPr>
        <w:t>a</w:t>
      </w:r>
      <w:r>
        <w:rPr>
          <w:spacing w:val="-14"/>
          <w:sz w:val="20"/>
        </w:rPr>
        <w:t xml:space="preserve"> </w:t>
      </w:r>
      <w:r>
        <w:rPr>
          <w:sz w:val="20"/>
        </w:rPr>
        <w:t>passenger</w:t>
      </w:r>
      <w:r>
        <w:rPr>
          <w:spacing w:val="-14"/>
          <w:sz w:val="20"/>
        </w:rPr>
        <w:t xml:space="preserve"> </w:t>
      </w:r>
      <w:r>
        <w:rPr>
          <w:sz w:val="20"/>
        </w:rPr>
        <w:t>airport</w:t>
      </w:r>
      <w:r>
        <w:rPr>
          <w:spacing w:val="-14"/>
          <w:sz w:val="20"/>
        </w:rPr>
        <w:t xml:space="preserve"> </w:t>
      </w:r>
      <w:r>
        <w:rPr>
          <w:sz w:val="20"/>
        </w:rPr>
        <w:t>targeting</w:t>
      </w:r>
      <w:r>
        <w:rPr>
          <w:spacing w:val="-14"/>
          <w:sz w:val="20"/>
        </w:rPr>
        <w:t xml:space="preserve"> </w:t>
      </w:r>
      <w:r>
        <w:rPr>
          <w:sz w:val="20"/>
        </w:rPr>
        <w:t>this</w:t>
      </w:r>
      <w:r>
        <w:rPr>
          <w:spacing w:val="-13"/>
          <w:sz w:val="20"/>
        </w:rPr>
        <w:t xml:space="preserve"> </w:t>
      </w:r>
      <w:r>
        <w:rPr>
          <w:sz w:val="20"/>
        </w:rPr>
        <w:t>market</w:t>
      </w:r>
      <w:r>
        <w:rPr>
          <w:spacing w:val="-14"/>
          <w:sz w:val="20"/>
        </w:rPr>
        <w:t xml:space="preserve"> </w:t>
      </w:r>
      <w:r>
        <w:rPr>
          <w:sz w:val="20"/>
        </w:rPr>
        <w:t xml:space="preserve">by </w:t>
      </w:r>
      <w:r>
        <w:rPr>
          <w:w w:val="95"/>
          <w:sz w:val="20"/>
        </w:rPr>
        <w:t>the</w:t>
      </w:r>
      <w:r>
        <w:rPr>
          <w:spacing w:val="-6"/>
          <w:w w:val="95"/>
          <w:sz w:val="20"/>
        </w:rPr>
        <w:t xml:space="preserve"> </w:t>
      </w:r>
      <w:r>
        <w:rPr>
          <w:w w:val="95"/>
          <w:sz w:val="20"/>
        </w:rPr>
        <w:t>late</w:t>
      </w:r>
      <w:r>
        <w:rPr>
          <w:spacing w:val="-6"/>
          <w:w w:val="95"/>
          <w:sz w:val="20"/>
        </w:rPr>
        <w:t xml:space="preserve"> </w:t>
      </w:r>
      <w:r>
        <w:rPr>
          <w:w w:val="95"/>
          <w:sz w:val="20"/>
        </w:rPr>
        <w:t>2020s.</w:t>
      </w:r>
      <w:r>
        <w:rPr>
          <w:spacing w:val="-6"/>
          <w:w w:val="95"/>
          <w:sz w:val="20"/>
        </w:rPr>
        <w:t xml:space="preserve"> </w:t>
      </w:r>
      <w:r>
        <w:rPr>
          <w:w w:val="95"/>
          <w:sz w:val="20"/>
        </w:rPr>
        <w:t>The</w:t>
      </w:r>
      <w:r>
        <w:rPr>
          <w:spacing w:val="-6"/>
          <w:w w:val="95"/>
          <w:sz w:val="20"/>
        </w:rPr>
        <w:t xml:space="preserve"> </w:t>
      </w:r>
      <w:r>
        <w:rPr>
          <w:w w:val="95"/>
          <w:sz w:val="20"/>
        </w:rPr>
        <w:t>RAAF</w:t>
      </w:r>
      <w:r>
        <w:rPr>
          <w:spacing w:val="-6"/>
          <w:w w:val="95"/>
          <w:sz w:val="20"/>
        </w:rPr>
        <w:t xml:space="preserve"> </w:t>
      </w:r>
      <w:r>
        <w:rPr>
          <w:w w:val="95"/>
          <w:sz w:val="20"/>
        </w:rPr>
        <w:t>Base</w:t>
      </w:r>
      <w:r>
        <w:rPr>
          <w:spacing w:val="-6"/>
          <w:w w:val="95"/>
          <w:sz w:val="20"/>
        </w:rPr>
        <w:t xml:space="preserve"> </w:t>
      </w:r>
      <w:r>
        <w:rPr>
          <w:w w:val="95"/>
          <w:sz w:val="20"/>
        </w:rPr>
        <w:t>Richmond</w:t>
      </w:r>
      <w:r>
        <w:rPr>
          <w:spacing w:val="-6"/>
          <w:w w:val="95"/>
          <w:sz w:val="20"/>
        </w:rPr>
        <w:t xml:space="preserve"> </w:t>
      </w:r>
      <w:r>
        <w:rPr>
          <w:w w:val="95"/>
          <w:sz w:val="20"/>
        </w:rPr>
        <w:t>could</w:t>
      </w:r>
    </w:p>
    <w:p w:rsidR="002C1123" w:rsidRDefault="00F22F94">
      <w:pPr>
        <w:pStyle w:val="BodyText"/>
        <w:spacing w:before="3" w:line="249" w:lineRule="auto"/>
        <w:ind w:left="491"/>
      </w:pPr>
      <w:r>
        <w:rPr>
          <w:w w:val="95"/>
        </w:rPr>
        <w:t>perform</w:t>
      </w:r>
      <w:r>
        <w:rPr>
          <w:spacing w:val="-9"/>
          <w:w w:val="95"/>
        </w:rPr>
        <w:t xml:space="preserve"> </w:t>
      </w:r>
      <w:r>
        <w:rPr>
          <w:w w:val="95"/>
        </w:rPr>
        <w:t>this</w:t>
      </w:r>
      <w:r>
        <w:rPr>
          <w:spacing w:val="-9"/>
          <w:w w:val="95"/>
        </w:rPr>
        <w:t xml:space="preserve"> </w:t>
      </w:r>
      <w:r>
        <w:rPr>
          <w:w w:val="95"/>
        </w:rPr>
        <w:t>role</w:t>
      </w:r>
      <w:r>
        <w:rPr>
          <w:spacing w:val="-9"/>
          <w:w w:val="95"/>
        </w:rPr>
        <w:t xml:space="preserve"> </w:t>
      </w:r>
      <w:r>
        <w:rPr>
          <w:w w:val="95"/>
        </w:rPr>
        <w:t>for</w:t>
      </w:r>
      <w:r>
        <w:rPr>
          <w:spacing w:val="-9"/>
          <w:w w:val="95"/>
        </w:rPr>
        <w:t xml:space="preserve"> </w:t>
      </w:r>
      <w:r>
        <w:rPr>
          <w:w w:val="95"/>
        </w:rPr>
        <w:t>a</w:t>
      </w:r>
      <w:r>
        <w:rPr>
          <w:spacing w:val="-9"/>
          <w:w w:val="95"/>
        </w:rPr>
        <w:t xml:space="preserve"> </w:t>
      </w:r>
      <w:r>
        <w:rPr>
          <w:w w:val="95"/>
        </w:rPr>
        <w:t>period</w:t>
      </w:r>
      <w:r>
        <w:rPr>
          <w:spacing w:val="-9"/>
          <w:w w:val="95"/>
        </w:rPr>
        <w:t xml:space="preserve"> </w:t>
      </w:r>
      <w:r>
        <w:rPr>
          <w:w w:val="95"/>
        </w:rPr>
        <w:t>while</w:t>
      </w:r>
      <w:r>
        <w:rPr>
          <w:spacing w:val="-9"/>
          <w:w w:val="95"/>
        </w:rPr>
        <w:t xml:space="preserve"> </w:t>
      </w:r>
      <w:r>
        <w:rPr>
          <w:w w:val="95"/>
        </w:rPr>
        <w:t>a</w:t>
      </w:r>
      <w:r>
        <w:rPr>
          <w:spacing w:val="-9"/>
          <w:w w:val="95"/>
        </w:rPr>
        <w:t xml:space="preserve"> </w:t>
      </w:r>
      <w:r>
        <w:rPr>
          <w:w w:val="95"/>
        </w:rPr>
        <w:t>new</w:t>
      </w:r>
      <w:r>
        <w:rPr>
          <w:spacing w:val="-9"/>
          <w:w w:val="95"/>
        </w:rPr>
        <w:t xml:space="preserve"> </w:t>
      </w:r>
      <w:r>
        <w:rPr>
          <w:w w:val="95"/>
        </w:rPr>
        <w:t>facility</w:t>
      </w:r>
      <w:r>
        <w:rPr>
          <w:spacing w:val="-9"/>
          <w:w w:val="95"/>
        </w:rPr>
        <w:t xml:space="preserve"> </w:t>
      </w:r>
      <w:r>
        <w:rPr>
          <w:w w:val="95"/>
        </w:rPr>
        <w:t xml:space="preserve">is </w:t>
      </w:r>
      <w:r>
        <w:t>under</w:t>
      </w:r>
      <w:r>
        <w:rPr>
          <w:spacing w:val="-11"/>
        </w:rPr>
        <w:t xml:space="preserve"> </w:t>
      </w:r>
      <w:r>
        <w:t>development.</w:t>
      </w:r>
    </w:p>
    <w:p w:rsidR="002C1123" w:rsidRDefault="00F22F94">
      <w:pPr>
        <w:pStyle w:val="ListParagraph"/>
        <w:numPr>
          <w:ilvl w:val="1"/>
          <w:numId w:val="79"/>
        </w:numPr>
        <w:tabs>
          <w:tab w:val="left" w:pos="717"/>
        </w:tabs>
        <w:spacing w:before="122" w:line="249" w:lineRule="auto"/>
        <w:ind w:right="970"/>
        <w:rPr>
          <w:sz w:val="20"/>
        </w:rPr>
      </w:pPr>
      <w:r>
        <w:br w:type="column"/>
      </w:r>
      <w:r>
        <w:rPr>
          <w:spacing w:val="-2"/>
          <w:sz w:val="20"/>
        </w:rPr>
        <w:t>All</w:t>
      </w:r>
      <w:r>
        <w:rPr>
          <w:spacing w:val="-10"/>
          <w:sz w:val="20"/>
        </w:rPr>
        <w:t xml:space="preserve"> </w:t>
      </w:r>
      <w:r>
        <w:rPr>
          <w:spacing w:val="-2"/>
          <w:sz w:val="20"/>
        </w:rPr>
        <w:t>of</w:t>
      </w:r>
      <w:r>
        <w:rPr>
          <w:spacing w:val="-10"/>
          <w:sz w:val="20"/>
        </w:rPr>
        <w:t xml:space="preserve"> </w:t>
      </w:r>
      <w:r>
        <w:rPr>
          <w:spacing w:val="-2"/>
          <w:sz w:val="20"/>
        </w:rPr>
        <w:t>NSW,</w:t>
      </w:r>
      <w:r>
        <w:rPr>
          <w:spacing w:val="-10"/>
          <w:sz w:val="20"/>
        </w:rPr>
        <w:t xml:space="preserve"> </w:t>
      </w:r>
      <w:r>
        <w:rPr>
          <w:spacing w:val="-2"/>
          <w:sz w:val="20"/>
        </w:rPr>
        <w:t>(including</w:t>
      </w:r>
      <w:r>
        <w:rPr>
          <w:spacing w:val="-10"/>
          <w:sz w:val="20"/>
        </w:rPr>
        <w:t xml:space="preserve"> </w:t>
      </w:r>
      <w:r>
        <w:rPr>
          <w:spacing w:val="-2"/>
          <w:sz w:val="20"/>
        </w:rPr>
        <w:t>the</w:t>
      </w:r>
      <w:r>
        <w:rPr>
          <w:spacing w:val="-10"/>
          <w:sz w:val="20"/>
        </w:rPr>
        <w:t xml:space="preserve"> </w:t>
      </w:r>
      <w:r>
        <w:rPr>
          <w:spacing w:val="-2"/>
          <w:sz w:val="20"/>
        </w:rPr>
        <w:t>regions),</w:t>
      </w:r>
      <w:r>
        <w:rPr>
          <w:spacing w:val="-10"/>
          <w:sz w:val="20"/>
        </w:rPr>
        <w:t xml:space="preserve"> </w:t>
      </w:r>
      <w:r>
        <w:rPr>
          <w:spacing w:val="-2"/>
          <w:sz w:val="20"/>
        </w:rPr>
        <w:t>relies</w:t>
      </w:r>
      <w:r>
        <w:rPr>
          <w:spacing w:val="-10"/>
          <w:sz w:val="20"/>
        </w:rPr>
        <w:t xml:space="preserve"> </w:t>
      </w:r>
      <w:r>
        <w:rPr>
          <w:spacing w:val="-2"/>
          <w:sz w:val="20"/>
        </w:rPr>
        <w:t xml:space="preserve">on </w:t>
      </w:r>
      <w:r>
        <w:rPr>
          <w:sz w:val="20"/>
        </w:rPr>
        <w:t>containerised</w:t>
      </w:r>
      <w:r>
        <w:rPr>
          <w:spacing w:val="-2"/>
          <w:sz w:val="20"/>
        </w:rPr>
        <w:t xml:space="preserve"> </w:t>
      </w:r>
      <w:r>
        <w:rPr>
          <w:sz w:val="20"/>
        </w:rPr>
        <w:t>imports</w:t>
      </w:r>
      <w:r>
        <w:rPr>
          <w:spacing w:val="-2"/>
          <w:sz w:val="20"/>
        </w:rPr>
        <w:t xml:space="preserve"> </w:t>
      </w:r>
      <w:r>
        <w:rPr>
          <w:sz w:val="20"/>
        </w:rPr>
        <w:t>and</w:t>
      </w:r>
      <w:r>
        <w:rPr>
          <w:spacing w:val="-2"/>
          <w:sz w:val="20"/>
        </w:rPr>
        <w:t xml:space="preserve"> </w:t>
      </w:r>
      <w:r>
        <w:rPr>
          <w:sz w:val="20"/>
        </w:rPr>
        <w:t>exports</w:t>
      </w:r>
      <w:r>
        <w:rPr>
          <w:spacing w:val="-2"/>
          <w:sz w:val="20"/>
        </w:rPr>
        <w:t xml:space="preserve"> </w:t>
      </w:r>
      <w:r>
        <w:rPr>
          <w:sz w:val="20"/>
        </w:rPr>
        <w:t>of</w:t>
      </w:r>
      <w:r>
        <w:rPr>
          <w:spacing w:val="-2"/>
          <w:sz w:val="20"/>
        </w:rPr>
        <w:t xml:space="preserve"> </w:t>
      </w:r>
      <w:r>
        <w:rPr>
          <w:sz w:val="20"/>
        </w:rPr>
        <w:t xml:space="preserve">industrial </w:t>
      </w:r>
      <w:r>
        <w:rPr>
          <w:w w:val="95"/>
          <w:sz w:val="20"/>
        </w:rPr>
        <w:t>and consumer goods moved through Port Botany.</w:t>
      </w:r>
    </w:p>
    <w:p w:rsidR="002C1123" w:rsidRDefault="00F22F94">
      <w:pPr>
        <w:pStyle w:val="BodyText"/>
        <w:spacing w:before="2" w:line="249" w:lineRule="auto"/>
        <w:ind w:left="716" w:right="451"/>
      </w:pPr>
      <w:r>
        <w:rPr>
          <w:w w:val="95"/>
        </w:rPr>
        <w:t>Sydney</w:t>
      </w:r>
      <w:r>
        <w:rPr>
          <w:spacing w:val="-9"/>
          <w:w w:val="95"/>
        </w:rPr>
        <w:t xml:space="preserve"> </w:t>
      </w:r>
      <w:r>
        <w:rPr>
          <w:w w:val="95"/>
        </w:rPr>
        <w:t>Airport’s</w:t>
      </w:r>
      <w:r>
        <w:rPr>
          <w:spacing w:val="-9"/>
          <w:w w:val="95"/>
        </w:rPr>
        <w:t xml:space="preserve"> </w:t>
      </w:r>
      <w:r>
        <w:rPr>
          <w:w w:val="95"/>
        </w:rPr>
        <w:t>status</w:t>
      </w:r>
      <w:r>
        <w:rPr>
          <w:spacing w:val="-9"/>
          <w:w w:val="95"/>
        </w:rPr>
        <w:t xml:space="preserve"> </w:t>
      </w:r>
      <w:r>
        <w:rPr>
          <w:w w:val="95"/>
        </w:rPr>
        <w:t>as</w:t>
      </w:r>
      <w:r>
        <w:rPr>
          <w:spacing w:val="-9"/>
          <w:w w:val="95"/>
        </w:rPr>
        <w:t xml:space="preserve"> </w:t>
      </w:r>
      <w:r>
        <w:rPr>
          <w:w w:val="95"/>
        </w:rPr>
        <w:t>Australia’s</w:t>
      </w:r>
      <w:r>
        <w:rPr>
          <w:spacing w:val="-9"/>
          <w:w w:val="95"/>
        </w:rPr>
        <w:t xml:space="preserve"> </w:t>
      </w:r>
      <w:r>
        <w:rPr>
          <w:w w:val="95"/>
        </w:rPr>
        <w:t>primary</w:t>
      </w:r>
      <w:r>
        <w:rPr>
          <w:spacing w:val="-9"/>
          <w:w w:val="95"/>
        </w:rPr>
        <w:t xml:space="preserve"> </w:t>
      </w:r>
      <w:r>
        <w:rPr>
          <w:w w:val="95"/>
        </w:rPr>
        <w:t xml:space="preserve">aviation </w:t>
      </w:r>
      <w:r>
        <w:t>hub benefits the whole state.</w:t>
      </w:r>
    </w:p>
    <w:p w:rsidR="002C1123" w:rsidRDefault="00F22F94">
      <w:pPr>
        <w:pStyle w:val="ListParagraph"/>
        <w:numPr>
          <w:ilvl w:val="1"/>
          <w:numId w:val="79"/>
        </w:numPr>
        <w:tabs>
          <w:tab w:val="left" w:pos="717"/>
        </w:tabs>
        <w:spacing w:before="131" w:line="249" w:lineRule="auto"/>
        <w:ind w:right="1161"/>
        <w:rPr>
          <w:sz w:val="20"/>
        </w:rPr>
      </w:pPr>
      <w:r>
        <w:rPr>
          <w:w w:val="95"/>
          <w:sz w:val="20"/>
        </w:rPr>
        <w:t>Sydney’s</w:t>
      </w:r>
      <w:r>
        <w:rPr>
          <w:spacing w:val="-10"/>
          <w:w w:val="95"/>
          <w:sz w:val="20"/>
        </w:rPr>
        <w:t xml:space="preserve"> </w:t>
      </w:r>
      <w:r>
        <w:rPr>
          <w:w w:val="95"/>
          <w:sz w:val="20"/>
        </w:rPr>
        <w:t>international</w:t>
      </w:r>
      <w:r>
        <w:rPr>
          <w:spacing w:val="-10"/>
          <w:w w:val="95"/>
          <w:sz w:val="20"/>
        </w:rPr>
        <w:t xml:space="preserve"> </w:t>
      </w:r>
      <w:r>
        <w:rPr>
          <w:w w:val="95"/>
          <w:sz w:val="20"/>
        </w:rPr>
        <w:t>gateways</w:t>
      </w:r>
      <w:r>
        <w:rPr>
          <w:spacing w:val="-10"/>
          <w:w w:val="95"/>
          <w:sz w:val="20"/>
        </w:rPr>
        <w:t xml:space="preserve"> </w:t>
      </w:r>
      <w:r>
        <w:rPr>
          <w:w w:val="95"/>
          <w:sz w:val="20"/>
        </w:rPr>
        <w:t>are</w:t>
      </w:r>
      <w:r>
        <w:rPr>
          <w:spacing w:val="-10"/>
          <w:w w:val="95"/>
          <w:sz w:val="20"/>
        </w:rPr>
        <w:t xml:space="preserve"> </w:t>
      </w:r>
      <w:r>
        <w:rPr>
          <w:w w:val="95"/>
          <w:sz w:val="20"/>
        </w:rPr>
        <w:t>expected</w:t>
      </w:r>
      <w:r>
        <w:rPr>
          <w:spacing w:val="-10"/>
          <w:w w:val="95"/>
          <w:sz w:val="20"/>
        </w:rPr>
        <w:t xml:space="preserve"> </w:t>
      </w:r>
      <w:r>
        <w:rPr>
          <w:w w:val="95"/>
          <w:sz w:val="20"/>
        </w:rPr>
        <w:t xml:space="preserve">to </w:t>
      </w:r>
      <w:r>
        <w:rPr>
          <w:sz w:val="20"/>
        </w:rPr>
        <w:t>grow</w:t>
      </w:r>
      <w:r>
        <w:rPr>
          <w:spacing w:val="-5"/>
          <w:sz w:val="20"/>
        </w:rPr>
        <w:t xml:space="preserve"> </w:t>
      </w:r>
      <w:r>
        <w:rPr>
          <w:sz w:val="20"/>
        </w:rPr>
        <w:t>strongly</w:t>
      </w:r>
      <w:r>
        <w:rPr>
          <w:spacing w:val="-5"/>
          <w:sz w:val="20"/>
        </w:rPr>
        <w:t xml:space="preserve"> </w:t>
      </w:r>
      <w:r>
        <w:rPr>
          <w:sz w:val="20"/>
        </w:rPr>
        <w:t>over</w:t>
      </w:r>
      <w:r>
        <w:rPr>
          <w:spacing w:val="-5"/>
          <w:sz w:val="20"/>
        </w:rPr>
        <w:t xml:space="preserve"> </w:t>
      </w:r>
      <w:r>
        <w:rPr>
          <w:sz w:val="20"/>
        </w:rPr>
        <w:t>the</w:t>
      </w:r>
      <w:r>
        <w:rPr>
          <w:spacing w:val="-5"/>
          <w:sz w:val="20"/>
        </w:rPr>
        <w:t xml:space="preserve"> </w:t>
      </w:r>
      <w:r>
        <w:rPr>
          <w:sz w:val="20"/>
        </w:rPr>
        <w:t>next</w:t>
      </w:r>
      <w:r>
        <w:rPr>
          <w:spacing w:val="-5"/>
          <w:sz w:val="20"/>
        </w:rPr>
        <w:t xml:space="preserve"> </w:t>
      </w:r>
      <w:r>
        <w:rPr>
          <w:sz w:val="20"/>
        </w:rPr>
        <w:t>20</w:t>
      </w:r>
      <w:r>
        <w:rPr>
          <w:spacing w:val="-5"/>
          <w:sz w:val="20"/>
        </w:rPr>
        <w:t xml:space="preserve"> </w:t>
      </w:r>
      <w:r>
        <w:rPr>
          <w:sz w:val="20"/>
        </w:rPr>
        <w:t>years.</w:t>
      </w:r>
    </w:p>
    <w:p w:rsidR="002C1123" w:rsidRDefault="00F22F94">
      <w:pPr>
        <w:pStyle w:val="ListParagraph"/>
        <w:numPr>
          <w:ilvl w:val="1"/>
          <w:numId w:val="79"/>
        </w:numPr>
        <w:tabs>
          <w:tab w:val="left" w:pos="717"/>
        </w:tabs>
        <w:spacing w:before="130" w:line="249" w:lineRule="auto"/>
        <w:ind w:right="988"/>
        <w:rPr>
          <w:sz w:val="20"/>
        </w:rPr>
      </w:pPr>
      <w:r>
        <w:rPr>
          <w:w w:val="95"/>
          <w:sz w:val="20"/>
        </w:rPr>
        <w:t>Passenger</w:t>
      </w:r>
      <w:r>
        <w:rPr>
          <w:spacing w:val="-11"/>
          <w:w w:val="95"/>
          <w:sz w:val="20"/>
        </w:rPr>
        <w:t xml:space="preserve"> </w:t>
      </w:r>
      <w:r>
        <w:rPr>
          <w:w w:val="95"/>
          <w:sz w:val="20"/>
        </w:rPr>
        <w:t>numbers</w:t>
      </w:r>
      <w:r>
        <w:rPr>
          <w:spacing w:val="-11"/>
          <w:w w:val="95"/>
          <w:sz w:val="20"/>
        </w:rPr>
        <w:t xml:space="preserve"> </w:t>
      </w:r>
      <w:r>
        <w:rPr>
          <w:w w:val="95"/>
          <w:sz w:val="20"/>
        </w:rPr>
        <w:t>at</w:t>
      </w:r>
      <w:r>
        <w:rPr>
          <w:spacing w:val="-11"/>
          <w:w w:val="95"/>
          <w:sz w:val="20"/>
        </w:rPr>
        <w:t xml:space="preserve"> </w:t>
      </w:r>
      <w:r>
        <w:rPr>
          <w:w w:val="95"/>
          <w:sz w:val="20"/>
        </w:rPr>
        <w:t>Sydney</w:t>
      </w:r>
      <w:r>
        <w:rPr>
          <w:spacing w:val="-11"/>
          <w:w w:val="95"/>
          <w:sz w:val="20"/>
        </w:rPr>
        <w:t xml:space="preserve"> </w:t>
      </w:r>
      <w:r>
        <w:rPr>
          <w:w w:val="95"/>
          <w:sz w:val="20"/>
        </w:rPr>
        <w:t>Airport</w:t>
      </w:r>
      <w:r>
        <w:rPr>
          <w:spacing w:val="-11"/>
          <w:w w:val="95"/>
          <w:sz w:val="20"/>
        </w:rPr>
        <w:t xml:space="preserve"> </w:t>
      </w:r>
      <w:r>
        <w:rPr>
          <w:w w:val="95"/>
          <w:sz w:val="20"/>
        </w:rPr>
        <w:t>are</w:t>
      </w:r>
      <w:r>
        <w:rPr>
          <w:spacing w:val="-11"/>
          <w:w w:val="95"/>
          <w:sz w:val="20"/>
        </w:rPr>
        <w:t xml:space="preserve"> </w:t>
      </w:r>
      <w:r>
        <w:rPr>
          <w:w w:val="95"/>
          <w:sz w:val="20"/>
        </w:rPr>
        <w:t xml:space="preserve">forecast </w:t>
      </w:r>
      <w:r>
        <w:rPr>
          <w:w w:val="90"/>
          <w:sz w:val="20"/>
        </w:rPr>
        <w:t>to</w:t>
      </w:r>
      <w:r>
        <w:rPr>
          <w:spacing w:val="-2"/>
          <w:w w:val="90"/>
          <w:sz w:val="20"/>
        </w:rPr>
        <w:t xml:space="preserve"> </w:t>
      </w:r>
      <w:r>
        <w:rPr>
          <w:w w:val="90"/>
          <w:sz w:val="20"/>
        </w:rPr>
        <w:t>double</w:t>
      </w:r>
      <w:r>
        <w:rPr>
          <w:spacing w:val="-2"/>
          <w:w w:val="90"/>
          <w:sz w:val="20"/>
        </w:rPr>
        <w:t xml:space="preserve"> </w:t>
      </w:r>
      <w:r>
        <w:rPr>
          <w:w w:val="90"/>
          <w:sz w:val="20"/>
        </w:rPr>
        <w:t>from</w:t>
      </w:r>
      <w:r>
        <w:rPr>
          <w:spacing w:val="-2"/>
          <w:w w:val="90"/>
          <w:sz w:val="20"/>
        </w:rPr>
        <w:t xml:space="preserve"> </w:t>
      </w:r>
      <w:r>
        <w:rPr>
          <w:w w:val="90"/>
          <w:sz w:val="20"/>
        </w:rPr>
        <w:t>less</w:t>
      </w:r>
      <w:r>
        <w:rPr>
          <w:spacing w:val="-2"/>
          <w:w w:val="90"/>
          <w:sz w:val="20"/>
        </w:rPr>
        <w:t xml:space="preserve"> </w:t>
      </w:r>
      <w:r>
        <w:rPr>
          <w:w w:val="90"/>
          <w:sz w:val="20"/>
        </w:rPr>
        <w:t>than</w:t>
      </w:r>
      <w:r>
        <w:rPr>
          <w:spacing w:val="-2"/>
          <w:w w:val="90"/>
          <w:sz w:val="20"/>
        </w:rPr>
        <w:t xml:space="preserve"> </w:t>
      </w:r>
      <w:r>
        <w:rPr>
          <w:w w:val="90"/>
          <w:sz w:val="20"/>
        </w:rPr>
        <w:t>40</w:t>
      </w:r>
      <w:r>
        <w:rPr>
          <w:spacing w:val="-2"/>
          <w:w w:val="90"/>
          <w:sz w:val="20"/>
        </w:rPr>
        <w:t xml:space="preserve"> </w:t>
      </w:r>
      <w:r>
        <w:rPr>
          <w:w w:val="90"/>
          <w:sz w:val="20"/>
        </w:rPr>
        <w:t>million</w:t>
      </w:r>
      <w:r>
        <w:rPr>
          <w:spacing w:val="-2"/>
          <w:w w:val="90"/>
          <w:sz w:val="20"/>
        </w:rPr>
        <w:t xml:space="preserve"> </w:t>
      </w:r>
      <w:r>
        <w:rPr>
          <w:w w:val="90"/>
          <w:sz w:val="20"/>
        </w:rPr>
        <w:t>in</w:t>
      </w:r>
      <w:r>
        <w:rPr>
          <w:spacing w:val="-2"/>
          <w:w w:val="90"/>
          <w:sz w:val="20"/>
        </w:rPr>
        <w:t xml:space="preserve"> </w:t>
      </w:r>
      <w:r>
        <w:rPr>
          <w:w w:val="90"/>
          <w:sz w:val="20"/>
        </w:rPr>
        <w:t>2010</w:t>
      </w:r>
      <w:r>
        <w:rPr>
          <w:spacing w:val="-2"/>
          <w:w w:val="90"/>
          <w:sz w:val="20"/>
        </w:rPr>
        <w:t xml:space="preserve"> </w:t>
      </w:r>
      <w:r>
        <w:rPr>
          <w:w w:val="90"/>
          <w:sz w:val="20"/>
        </w:rPr>
        <w:t>to</w:t>
      </w:r>
      <w:r>
        <w:rPr>
          <w:spacing w:val="-2"/>
          <w:w w:val="90"/>
          <w:sz w:val="20"/>
        </w:rPr>
        <w:t xml:space="preserve"> </w:t>
      </w:r>
      <w:r>
        <w:rPr>
          <w:w w:val="90"/>
          <w:sz w:val="20"/>
        </w:rPr>
        <w:t>over</w:t>
      </w:r>
      <w:r>
        <w:rPr>
          <w:spacing w:val="-2"/>
          <w:w w:val="90"/>
          <w:sz w:val="20"/>
        </w:rPr>
        <w:t xml:space="preserve"> </w:t>
      </w:r>
      <w:r>
        <w:rPr>
          <w:w w:val="90"/>
          <w:sz w:val="20"/>
        </w:rPr>
        <w:t xml:space="preserve">80 </w:t>
      </w:r>
      <w:r>
        <w:rPr>
          <w:sz w:val="20"/>
        </w:rPr>
        <w:t>million in 2031.</w:t>
      </w:r>
    </w:p>
    <w:p w:rsidR="002C1123" w:rsidRDefault="00F22F94">
      <w:pPr>
        <w:pStyle w:val="ListParagraph"/>
        <w:numPr>
          <w:ilvl w:val="1"/>
          <w:numId w:val="79"/>
        </w:numPr>
        <w:tabs>
          <w:tab w:val="left" w:pos="717"/>
        </w:tabs>
        <w:spacing w:before="131" w:line="249" w:lineRule="auto"/>
        <w:ind w:right="759"/>
        <w:jc w:val="both"/>
        <w:rPr>
          <w:sz w:val="20"/>
        </w:rPr>
      </w:pPr>
      <w:r>
        <w:rPr>
          <w:w w:val="95"/>
          <w:sz w:val="20"/>
        </w:rPr>
        <w:t>Sydney</w:t>
      </w:r>
      <w:r>
        <w:rPr>
          <w:spacing w:val="-1"/>
          <w:w w:val="95"/>
          <w:sz w:val="20"/>
        </w:rPr>
        <w:t xml:space="preserve"> </w:t>
      </w:r>
      <w:r>
        <w:rPr>
          <w:w w:val="95"/>
          <w:sz w:val="20"/>
        </w:rPr>
        <w:t>Ports</w:t>
      </w:r>
      <w:r>
        <w:rPr>
          <w:spacing w:val="-1"/>
          <w:w w:val="95"/>
          <w:sz w:val="20"/>
        </w:rPr>
        <w:t xml:space="preserve"> </w:t>
      </w:r>
      <w:r>
        <w:rPr>
          <w:w w:val="95"/>
          <w:sz w:val="20"/>
        </w:rPr>
        <w:t>forecasts</w:t>
      </w:r>
      <w:r>
        <w:rPr>
          <w:spacing w:val="-1"/>
          <w:w w:val="95"/>
          <w:sz w:val="20"/>
        </w:rPr>
        <w:t xml:space="preserve"> </w:t>
      </w:r>
      <w:r>
        <w:rPr>
          <w:w w:val="95"/>
          <w:sz w:val="20"/>
        </w:rPr>
        <w:t>container</w:t>
      </w:r>
      <w:r>
        <w:rPr>
          <w:spacing w:val="-1"/>
          <w:w w:val="95"/>
          <w:sz w:val="20"/>
        </w:rPr>
        <w:t xml:space="preserve"> </w:t>
      </w:r>
      <w:r>
        <w:rPr>
          <w:w w:val="95"/>
          <w:sz w:val="20"/>
        </w:rPr>
        <w:t>movements</w:t>
      </w:r>
      <w:r>
        <w:rPr>
          <w:spacing w:val="-1"/>
          <w:w w:val="95"/>
          <w:sz w:val="20"/>
        </w:rPr>
        <w:t xml:space="preserve"> </w:t>
      </w:r>
      <w:r>
        <w:rPr>
          <w:w w:val="95"/>
          <w:sz w:val="20"/>
        </w:rPr>
        <w:t>at</w:t>
      </w:r>
      <w:r>
        <w:rPr>
          <w:spacing w:val="-1"/>
          <w:w w:val="95"/>
          <w:sz w:val="20"/>
        </w:rPr>
        <w:t xml:space="preserve"> </w:t>
      </w:r>
      <w:r>
        <w:rPr>
          <w:w w:val="95"/>
          <w:sz w:val="20"/>
        </w:rPr>
        <w:t>Port Botany</w:t>
      </w:r>
      <w:r>
        <w:rPr>
          <w:spacing w:val="-8"/>
          <w:w w:val="95"/>
          <w:sz w:val="20"/>
        </w:rPr>
        <w:t xml:space="preserve"> </w:t>
      </w:r>
      <w:r>
        <w:rPr>
          <w:w w:val="95"/>
          <w:sz w:val="20"/>
        </w:rPr>
        <w:t>to</w:t>
      </w:r>
      <w:r>
        <w:rPr>
          <w:spacing w:val="-8"/>
          <w:w w:val="95"/>
          <w:sz w:val="20"/>
        </w:rPr>
        <w:t xml:space="preserve"> </w:t>
      </w:r>
      <w:r>
        <w:rPr>
          <w:w w:val="95"/>
          <w:sz w:val="20"/>
        </w:rPr>
        <w:t>grow</w:t>
      </w:r>
      <w:r>
        <w:rPr>
          <w:spacing w:val="-8"/>
          <w:w w:val="95"/>
          <w:sz w:val="20"/>
        </w:rPr>
        <w:t xml:space="preserve"> </w:t>
      </w:r>
      <w:r>
        <w:rPr>
          <w:w w:val="95"/>
          <w:sz w:val="20"/>
        </w:rPr>
        <w:t>from</w:t>
      </w:r>
      <w:r>
        <w:rPr>
          <w:spacing w:val="-9"/>
          <w:w w:val="95"/>
          <w:sz w:val="20"/>
        </w:rPr>
        <w:t xml:space="preserve"> </w:t>
      </w:r>
      <w:r>
        <w:rPr>
          <w:w w:val="95"/>
          <w:sz w:val="20"/>
        </w:rPr>
        <w:t>around</w:t>
      </w:r>
      <w:r>
        <w:rPr>
          <w:spacing w:val="-8"/>
          <w:w w:val="95"/>
          <w:sz w:val="20"/>
        </w:rPr>
        <w:t xml:space="preserve"> </w:t>
      </w:r>
      <w:r>
        <w:rPr>
          <w:w w:val="95"/>
          <w:sz w:val="20"/>
        </w:rPr>
        <w:t>2</w:t>
      </w:r>
      <w:r>
        <w:rPr>
          <w:spacing w:val="-8"/>
          <w:w w:val="95"/>
          <w:sz w:val="20"/>
        </w:rPr>
        <w:t xml:space="preserve"> </w:t>
      </w:r>
      <w:r>
        <w:rPr>
          <w:w w:val="95"/>
          <w:sz w:val="20"/>
        </w:rPr>
        <w:t>million</w:t>
      </w:r>
      <w:r>
        <w:rPr>
          <w:spacing w:val="-8"/>
          <w:w w:val="95"/>
          <w:sz w:val="20"/>
        </w:rPr>
        <w:t xml:space="preserve"> </w:t>
      </w:r>
      <w:r>
        <w:rPr>
          <w:w w:val="95"/>
          <w:sz w:val="20"/>
        </w:rPr>
        <w:t>TEUs</w:t>
      </w:r>
      <w:r>
        <w:rPr>
          <w:spacing w:val="-8"/>
          <w:w w:val="95"/>
          <w:sz w:val="20"/>
        </w:rPr>
        <w:t xml:space="preserve"> </w:t>
      </w:r>
      <w:r>
        <w:rPr>
          <w:w w:val="95"/>
          <w:sz w:val="20"/>
        </w:rPr>
        <w:t>in</w:t>
      </w:r>
      <w:r>
        <w:rPr>
          <w:spacing w:val="-8"/>
          <w:w w:val="95"/>
          <w:sz w:val="20"/>
        </w:rPr>
        <w:t xml:space="preserve"> </w:t>
      </w:r>
      <w:r>
        <w:rPr>
          <w:w w:val="95"/>
          <w:sz w:val="20"/>
        </w:rPr>
        <w:t>2011</w:t>
      </w:r>
      <w:r>
        <w:rPr>
          <w:spacing w:val="-8"/>
          <w:w w:val="95"/>
          <w:sz w:val="20"/>
        </w:rPr>
        <w:t xml:space="preserve"> </w:t>
      </w:r>
      <w:r>
        <w:rPr>
          <w:w w:val="95"/>
          <w:sz w:val="20"/>
        </w:rPr>
        <w:t xml:space="preserve">to </w:t>
      </w:r>
      <w:r>
        <w:rPr>
          <w:sz w:val="20"/>
        </w:rPr>
        <w:t>7</w:t>
      </w:r>
      <w:r>
        <w:rPr>
          <w:spacing w:val="-2"/>
          <w:sz w:val="20"/>
        </w:rPr>
        <w:t xml:space="preserve"> </w:t>
      </w:r>
      <w:r>
        <w:rPr>
          <w:sz w:val="20"/>
        </w:rPr>
        <w:t>million</w:t>
      </w:r>
      <w:r>
        <w:rPr>
          <w:spacing w:val="-2"/>
          <w:sz w:val="20"/>
        </w:rPr>
        <w:t xml:space="preserve"> </w:t>
      </w:r>
      <w:r>
        <w:rPr>
          <w:sz w:val="20"/>
        </w:rPr>
        <w:t>TEUs</w:t>
      </w:r>
      <w:r>
        <w:rPr>
          <w:spacing w:val="-2"/>
          <w:sz w:val="20"/>
        </w:rPr>
        <w:t xml:space="preserve"> </w:t>
      </w:r>
      <w:r>
        <w:rPr>
          <w:sz w:val="20"/>
        </w:rPr>
        <w:t>in</w:t>
      </w:r>
      <w:r>
        <w:rPr>
          <w:spacing w:val="-2"/>
          <w:sz w:val="20"/>
        </w:rPr>
        <w:t xml:space="preserve"> </w:t>
      </w:r>
      <w:r>
        <w:rPr>
          <w:sz w:val="20"/>
        </w:rPr>
        <w:t>2031.</w:t>
      </w:r>
    </w:p>
    <w:p w:rsidR="002C1123" w:rsidRDefault="00F22F94">
      <w:pPr>
        <w:pStyle w:val="ListParagraph"/>
        <w:numPr>
          <w:ilvl w:val="1"/>
          <w:numId w:val="79"/>
        </w:numPr>
        <w:tabs>
          <w:tab w:val="left" w:pos="717"/>
        </w:tabs>
        <w:spacing w:before="132" w:line="249" w:lineRule="auto"/>
        <w:ind w:right="868"/>
        <w:rPr>
          <w:sz w:val="20"/>
        </w:rPr>
      </w:pPr>
      <w:r>
        <w:rPr>
          <w:w w:val="95"/>
          <w:sz w:val="20"/>
        </w:rPr>
        <w:t>Rapid</w:t>
      </w:r>
      <w:r>
        <w:rPr>
          <w:spacing w:val="-7"/>
          <w:w w:val="95"/>
          <w:sz w:val="20"/>
        </w:rPr>
        <w:t xml:space="preserve"> </w:t>
      </w:r>
      <w:r>
        <w:rPr>
          <w:w w:val="95"/>
          <w:sz w:val="20"/>
        </w:rPr>
        <w:t>growth</w:t>
      </w:r>
      <w:r>
        <w:rPr>
          <w:spacing w:val="-7"/>
          <w:w w:val="95"/>
          <w:sz w:val="20"/>
        </w:rPr>
        <w:t xml:space="preserve"> </w:t>
      </w:r>
      <w:r>
        <w:rPr>
          <w:w w:val="95"/>
          <w:sz w:val="20"/>
        </w:rPr>
        <w:t>in</w:t>
      </w:r>
      <w:r>
        <w:rPr>
          <w:spacing w:val="-7"/>
          <w:w w:val="95"/>
          <w:sz w:val="20"/>
        </w:rPr>
        <w:t xml:space="preserve"> </w:t>
      </w:r>
      <w:r>
        <w:rPr>
          <w:w w:val="95"/>
          <w:sz w:val="20"/>
        </w:rPr>
        <w:t>demand</w:t>
      </w:r>
      <w:r>
        <w:rPr>
          <w:spacing w:val="-7"/>
          <w:w w:val="95"/>
          <w:sz w:val="20"/>
        </w:rPr>
        <w:t xml:space="preserve"> </w:t>
      </w:r>
      <w:r>
        <w:rPr>
          <w:w w:val="95"/>
          <w:sz w:val="20"/>
        </w:rPr>
        <w:t>for</w:t>
      </w:r>
      <w:r>
        <w:rPr>
          <w:spacing w:val="-7"/>
          <w:w w:val="95"/>
          <w:sz w:val="20"/>
        </w:rPr>
        <w:t xml:space="preserve"> </w:t>
      </w:r>
      <w:r>
        <w:rPr>
          <w:w w:val="95"/>
          <w:sz w:val="20"/>
        </w:rPr>
        <w:t>freight</w:t>
      </w:r>
      <w:r>
        <w:rPr>
          <w:spacing w:val="-7"/>
          <w:w w:val="95"/>
          <w:sz w:val="20"/>
        </w:rPr>
        <w:t xml:space="preserve"> </w:t>
      </w:r>
      <w:r>
        <w:rPr>
          <w:w w:val="95"/>
          <w:sz w:val="20"/>
        </w:rPr>
        <w:t>and</w:t>
      </w:r>
      <w:r>
        <w:rPr>
          <w:spacing w:val="-7"/>
          <w:w w:val="95"/>
          <w:sz w:val="20"/>
        </w:rPr>
        <w:t xml:space="preserve"> </w:t>
      </w:r>
      <w:r>
        <w:rPr>
          <w:w w:val="95"/>
          <w:sz w:val="20"/>
        </w:rPr>
        <w:t>air</w:t>
      </w:r>
      <w:r>
        <w:rPr>
          <w:spacing w:val="-7"/>
          <w:w w:val="95"/>
          <w:sz w:val="20"/>
        </w:rPr>
        <w:t xml:space="preserve"> </w:t>
      </w:r>
      <w:r>
        <w:rPr>
          <w:w w:val="95"/>
          <w:sz w:val="20"/>
        </w:rPr>
        <w:t>travel</w:t>
      </w:r>
      <w:r>
        <w:rPr>
          <w:spacing w:val="-7"/>
          <w:w w:val="95"/>
          <w:sz w:val="20"/>
        </w:rPr>
        <w:t xml:space="preserve"> </w:t>
      </w:r>
      <w:r>
        <w:rPr>
          <w:w w:val="95"/>
          <w:sz w:val="20"/>
        </w:rPr>
        <w:t xml:space="preserve">will </w:t>
      </w:r>
      <w:r>
        <w:rPr>
          <w:sz w:val="20"/>
        </w:rPr>
        <w:t>impact</w:t>
      </w:r>
      <w:r>
        <w:rPr>
          <w:spacing w:val="-14"/>
          <w:sz w:val="20"/>
        </w:rPr>
        <w:t xml:space="preserve"> </w:t>
      </w:r>
      <w:r>
        <w:rPr>
          <w:sz w:val="20"/>
        </w:rPr>
        <w:t>on</w:t>
      </w:r>
      <w:r>
        <w:rPr>
          <w:spacing w:val="-14"/>
          <w:sz w:val="20"/>
        </w:rPr>
        <w:t xml:space="preserve"> </w:t>
      </w:r>
      <w:r>
        <w:rPr>
          <w:sz w:val="20"/>
        </w:rPr>
        <w:t>the</w:t>
      </w:r>
      <w:r>
        <w:rPr>
          <w:spacing w:val="-14"/>
          <w:sz w:val="20"/>
        </w:rPr>
        <w:t xml:space="preserve"> </w:t>
      </w:r>
      <w:r>
        <w:rPr>
          <w:sz w:val="20"/>
        </w:rPr>
        <w:t>landside</w:t>
      </w:r>
      <w:r>
        <w:rPr>
          <w:spacing w:val="-14"/>
          <w:sz w:val="20"/>
        </w:rPr>
        <w:t xml:space="preserve"> </w:t>
      </w:r>
      <w:r>
        <w:rPr>
          <w:sz w:val="20"/>
        </w:rPr>
        <w:t>infrastructure</w:t>
      </w:r>
      <w:r>
        <w:rPr>
          <w:spacing w:val="-14"/>
          <w:sz w:val="20"/>
        </w:rPr>
        <w:t xml:space="preserve"> </w:t>
      </w:r>
      <w:r>
        <w:rPr>
          <w:sz w:val="20"/>
        </w:rPr>
        <w:t>and</w:t>
      </w:r>
      <w:r>
        <w:rPr>
          <w:spacing w:val="-14"/>
          <w:sz w:val="20"/>
        </w:rPr>
        <w:t xml:space="preserve"> </w:t>
      </w:r>
      <w:r>
        <w:rPr>
          <w:sz w:val="20"/>
        </w:rPr>
        <w:t>land</w:t>
      </w:r>
      <w:r>
        <w:rPr>
          <w:spacing w:val="-14"/>
          <w:sz w:val="20"/>
        </w:rPr>
        <w:t xml:space="preserve"> </w:t>
      </w:r>
      <w:r>
        <w:rPr>
          <w:sz w:val="20"/>
        </w:rPr>
        <w:t>use around the precinct.</w:t>
      </w:r>
    </w:p>
    <w:p w:rsidR="002C1123" w:rsidRDefault="00F22F94">
      <w:pPr>
        <w:pStyle w:val="ListParagraph"/>
        <w:numPr>
          <w:ilvl w:val="1"/>
          <w:numId w:val="79"/>
        </w:numPr>
        <w:tabs>
          <w:tab w:val="left" w:pos="717"/>
        </w:tabs>
        <w:spacing w:before="131" w:line="249" w:lineRule="auto"/>
        <w:ind w:right="760"/>
        <w:rPr>
          <w:sz w:val="20"/>
        </w:rPr>
      </w:pPr>
      <w:r>
        <w:rPr>
          <w:w w:val="95"/>
          <w:sz w:val="20"/>
        </w:rPr>
        <w:t>Investment</w:t>
      </w:r>
      <w:r>
        <w:rPr>
          <w:spacing w:val="-6"/>
          <w:w w:val="95"/>
          <w:sz w:val="20"/>
        </w:rPr>
        <w:t xml:space="preserve"> </w:t>
      </w:r>
      <w:r>
        <w:rPr>
          <w:w w:val="95"/>
          <w:sz w:val="20"/>
        </w:rPr>
        <w:t>in</w:t>
      </w:r>
      <w:r>
        <w:rPr>
          <w:spacing w:val="-6"/>
          <w:w w:val="95"/>
          <w:sz w:val="20"/>
        </w:rPr>
        <w:t xml:space="preserve"> </w:t>
      </w:r>
      <w:r>
        <w:rPr>
          <w:w w:val="95"/>
          <w:sz w:val="20"/>
        </w:rPr>
        <w:t>both</w:t>
      </w:r>
      <w:r>
        <w:rPr>
          <w:spacing w:val="-6"/>
          <w:w w:val="95"/>
          <w:sz w:val="20"/>
        </w:rPr>
        <w:t xml:space="preserve"> </w:t>
      </w:r>
      <w:r>
        <w:rPr>
          <w:w w:val="95"/>
          <w:sz w:val="20"/>
        </w:rPr>
        <w:t>the</w:t>
      </w:r>
      <w:r>
        <w:rPr>
          <w:spacing w:val="-6"/>
          <w:w w:val="95"/>
          <w:sz w:val="20"/>
        </w:rPr>
        <w:t xml:space="preserve"> </w:t>
      </w:r>
      <w:r>
        <w:rPr>
          <w:w w:val="95"/>
          <w:sz w:val="20"/>
        </w:rPr>
        <w:t>State’s</w:t>
      </w:r>
      <w:r>
        <w:rPr>
          <w:spacing w:val="-6"/>
          <w:w w:val="95"/>
          <w:sz w:val="20"/>
        </w:rPr>
        <w:t xml:space="preserve"> </w:t>
      </w:r>
      <w:r>
        <w:rPr>
          <w:w w:val="95"/>
          <w:sz w:val="20"/>
        </w:rPr>
        <w:t>road</w:t>
      </w:r>
      <w:r>
        <w:rPr>
          <w:spacing w:val="-6"/>
          <w:w w:val="95"/>
          <w:sz w:val="20"/>
        </w:rPr>
        <w:t xml:space="preserve"> </w:t>
      </w:r>
      <w:r>
        <w:rPr>
          <w:w w:val="95"/>
          <w:sz w:val="20"/>
        </w:rPr>
        <w:t>and</w:t>
      </w:r>
      <w:r>
        <w:rPr>
          <w:spacing w:val="-6"/>
          <w:w w:val="95"/>
          <w:sz w:val="20"/>
        </w:rPr>
        <w:t xml:space="preserve"> </w:t>
      </w:r>
      <w:r>
        <w:rPr>
          <w:w w:val="95"/>
          <w:sz w:val="20"/>
        </w:rPr>
        <w:t>rail</w:t>
      </w:r>
      <w:r>
        <w:rPr>
          <w:spacing w:val="-6"/>
          <w:w w:val="95"/>
          <w:sz w:val="20"/>
        </w:rPr>
        <w:t xml:space="preserve"> </w:t>
      </w:r>
      <w:r>
        <w:rPr>
          <w:w w:val="95"/>
          <w:sz w:val="20"/>
        </w:rPr>
        <w:t xml:space="preserve">networks, including options for investment in intermodal freight </w:t>
      </w:r>
      <w:r>
        <w:rPr>
          <w:sz w:val="20"/>
        </w:rPr>
        <w:t>terminals,</w:t>
      </w:r>
      <w:r>
        <w:rPr>
          <w:spacing w:val="-8"/>
          <w:sz w:val="20"/>
        </w:rPr>
        <w:t xml:space="preserve"> </w:t>
      </w:r>
      <w:r>
        <w:rPr>
          <w:sz w:val="20"/>
        </w:rPr>
        <w:t>will</w:t>
      </w:r>
      <w:r>
        <w:rPr>
          <w:spacing w:val="-8"/>
          <w:sz w:val="20"/>
        </w:rPr>
        <w:t xml:space="preserve"> </w:t>
      </w:r>
      <w:r>
        <w:rPr>
          <w:sz w:val="20"/>
        </w:rPr>
        <w:t>be</w:t>
      </w:r>
      <w:r>
        <w:rPr>
          <w:spacing w:val="-8"/>
          <w:sz w:val="20"/>
        </w:rPr>
        <w:t xml:space="preserve"> </w:t>
      </w:r>
      <w:r>
        <w:rPr>
          <w:sz w:val="20"/>
        </w:rPr>
        <w:t>needed</w:t>
      </w:r>
      <w:r>
        <w:rPr>
          <w:spacing w:val="-8"/>
          <w:sz w:val="20"/>
        </w:rPr>
        <w:t xml:space="preserve"> </w:t>
      </w:r>
      <w:r>
        <w:rPr>
          <w:sz w:val="20"/>
        </w:rPr>
        <w:t>but</w:t>
      </w:r>
      <w:r>
        <w:rPr>
          <w:spacing w:val="-8"/>
          <w:sz w:val="20"/>
        </w:rPr>
        <w:t xml:space="preserve"> </w:t>
      </w:r>
      <w:r>
        <w:rPr>
          <w:sz w:val="20"/>
        </w:rPr>
        <w:t>must</w:t>
      </w:r>
      <w:r>
        <w:rPr>
          <w:spacing w:val="-8"/>
          <w:sz w:val="20"/>
        </w:rPr>
        <w:t xml:space="preserve"> </w:t>
      </w:r>
      <w:r>
        <w:rPr>
          <w:sz w:val="20"/>
        </w:rPr>
        <w:t>recognise</w:t>
      </w:r>
      <w:r>
        <w:rPr>
          <w:spacing w:val="-8"/>
          <w:sz w:val="20"/>
        </w:rPr>
        <w:t xml:space="preserve"> </w:t>
      </w:r>
      <w:r>
        <w:rPr>
          <w:sz w:val="20"/>
        </w:rPr>
        <w:t xml:space="preserve">the </w:t>
      </w:r>
      <w:r>
        <w:rPr>
          <w:w w:val="95"/>
          <w:sz w:val="20"/>
        </w:rPr>
        <w:t>primary</w:t>
      </w:r>
      <w:r>
        <w:rPr>
          <w:spacing w:val="-6"/>
          <w:w w:val="95"/>
          <w:sz w:val="20"/>
        </w:rPr>
        <w:t xml:space="preserve"> </w:t>
      </w:r>
      <w:r>
        <w:rPr>
          <w:w w:val="95"/>
          <w:sz w:val="20"/>
        </w:rPr>
        <w:t>role</w:t>
      </w:r>
      <w:r>
        <w:rPr>
          <w:spacing w:val="-6"/>
          <w:w w:val="95"/>
          <w:sz w:val="20"/>
        </w:rPr>
        <w:t xml:space="preserve"> </w:t>
      </w:r>
      <w:r>
        <w:rPr>
          <w:w w:val="95"/>
          <w:sz w:val="20"/>
        </w:rPr>
        <w:t>of</w:t>
      </w:r>
      <w:r>
        <w:rPr>
          <w:spacing w:val="-6"/>
          <w:w w:val="95"/>
          <w:sz w:val="20"/>
        </w:rPr>
        <w:t xml:space="preserve"> </w:t>
      </w:r>
      <w:r>
        <w:rPr>
          <w:w w:val="95"/>
          <w:sz w:val="20"/>
        </w:rPr>
        <w:t>road</w:t>
      </w:r>
      <w:r>
        <w:rPr>
          <w:spacing w:val="-6"/>
          <w:w w:val="95"/>
          <w:sz w:val="20"/>
        </w:rPr>
        <w:t xml:space="preserve"> </w:t>
      </w:r>
      <w:r>
        <w:rPr>
          <w:w w:val="95"/>
          <w:sz w:val="20"/>
        </w:rPr>
        <w:t>in</w:t>
      </w:r>
      <w:r>
        <w:rPr>
          <w:spacing w:val="-6"/>
          <w:w w:val="95"/>
          <w:sz w:val="20"/>
        </w:rPr>
        <w:t xml:space="preserve"> </w:t>
      </w:r>
      <w:r>
        <w:rPr>
          <w:w w:val="95"/>
          <w:sz w:val="20"/>
        </w:rPr>
        <w:t>moving</w:t>
      </w:r>
      <w:r>
        <w:rPr>
          <w:spacing w:val="-6"/>
          <w:w w:val="95"/>
          <w:sz w:val="20"/>
        </w:rPr>
        <w:t xml:space="preserve"> </w:t>
      </w:r>
      <w:r>
        <w:rPr>
          <w:w w:val="95"/>
          <w:sz w:val="20"/>
        </w:rPr>
        <w:t>freight</w:t>
      </w:r>
      <w:r>
        <w:rPr>
          <w:spacing w:val="-6"/>
          <w:w w:val="95"/>
          <w:sz w:val="20"/>
        </w:rPr>
        <w:t xml:space="preserve"> </w:t>
      </w:r>
      <w:r>
        <w:rPr>
          <w:w w:val="95"/>
          <w:sz w:val="20"/>
        </w:rPr>
        <w:t>around</w:t>
      </w:r>
      <w:r>
        <w:rPr>
          <w:spacing w:val="-6"/>
          <w:w w:val="95"/>
          <w:sz w:val="20"/>
        </w:rPr>
        <w:t xml:space="preserve"> </w:t>
      </w:r>
      <w:r>
        <w:rPr>
          <w:w w:val="95"/>
          <w:sz w:val="20"/>
        </w:rPr>
        <w:t>Sydney.</w:t>
      </w:r>
    </w:p>
    <w:p w:rsidR="002C1123" w:rsidRDefault="00F22F94">
      <w:pPr>
        <w:pStyle w:val="ListParagraph"/>
        <w:numPr>
          <w:ilvl w:val="1"/>
          <w:numId w:val="79"/>
        </w:numPr>
        <w:tabs>
          <w:tab w:val="left" w:pos="717"/>
        </w:tabs>
        <w:spacing w:before="132" w:line="249" w:lineRule="auto"/>
        <w:ind w:right="733"/>
        <w:rPr>
          <w:sz w:val="20"/>
        </w:rPr>
      </w:pPr>
      <w:r>
        <w:rPr>
          <w:w w:val="95"/>
          <w:sz w:val="20"/>
        </w:rPr>
        <w:t xml:space="preserve">Supplementary airport capacity is not expected to be </w:t>
      </w:r>
      <w:r>
        <w:rPr>
          <w:spacing w:val="-2"/>
          <w:sz w:val="20"/>
        </w:rPr>
        <w:t>needed</w:t>
      </w:r>
      <w:r>
        <w:rPr>
          <w:spacing w:val="-9"/>
          <w:sz w:val="20"/>
        </w:rPr>
        <w:t xml:space="preserve"> </w:t>
      </w:r>
      <w:r>
        <w:rPr>
          <w:spacing w:val="-2"/>
          <w:sz w:val="20"/>
        </w:rPr>
        <w:t>until</w:t>
      </w:r>
      <w:r>
        <w:rPr>
          <w:spacing w:val="-9"/>
          <w:sz w:val="20"/>
        </w:rPr>
        <w:t xml:space="preserve"> </w:t>
      </w:r>
      <w:r>
        <w:rPr>
          <w:spacing w:val="-2"/>
          <w:sz w:val="20"/>
        </w:rPr>
        <w:t>the</w:t>
      </w:r>
      <w:r>
        <w:rPr>
          <w:spacing w:val="-9"/>
          <w:sz w:val="20"/>
        </w:rPr>
        <w:t xml:space="preserve"> </w:t>
      </w:r>
      <w:r>
        <w:rPr>
          <w:spacing w:val="-2"/>
          <w:sz w:val="20"/>
        </w:rPr>
        <w:t>late</w:t>
      </w:r>
      <w:r>
        <w:rPr>
          <w:spacing w:val="-9"/>
          <w:sz w:val="20"/>
        </w:rPr>
        <w:t xml:space="preserve"> </w:t>
      </w:r>
      <w:r>
        <w:rPr>
          <w:spacing w:val="-2"/>
          <w:sz w:val="20"/>
        </w:rPr>
        <w:t>2020s,</w:t>
      </w:r>
      <w:r>
        <w:rPr>
          <w:spacing w:val="-9"/>
          <w:sz w:val="20"/>
        </w:rPr>
        <w:t xml:space="preserve"> </w:t>
      </w:r>
      <w:r>
        <w:rPr>
          <w:spacing w:val="-2"/>
          <w:sz w:val="20"/>
        </w:rPr>
        <w:t>at</w:t>
      </w:r>
      <w:r>
        <w:rPr>
          <w:spacing w:val="-9"/>
          <w:sz w:val="20"/>
        </w:rPr>
        <w:t xml:space="preserve"> </w:t>
      </w:r>
      <w:r>
        <w:rPr>
          <w:spacing w:val="-2"/>
          <w:sz w:val="20"/>
        </w:rPr>
        <w:t>its</w:t>
      </w:r>
      <w:r>
        <w:rPr>
          <w:spacing w:val="-9"/>
          <w:sz w:val="20"/>
        </w:rPr>
        <w:t xml:space="preserve"> </w:t>
      </w:r>
      <w:r>
        <w:rPr>
          <w:spacing w:val="-2"/>
          <w:sz w:val="20"/>
        </w:rPr>
        <w:t>earliest.</w:t>
      </w:r>
      <w:r>
        <w:rPr>
          <w:spacing w:val="-9"/>
          <w:sz w:val="20"/>
        </w:rPr>
        <w:t xml:space="preserve"> </w:t>
      </w:r>
      <w:r>
        <w:rPr>
          <w:spacing w:val="-2"/>
          <w:sz w:val="20"/>
        </w:rPr>
        <w:t xml:space="preserve">Additional </w:t>
      </w:r>
      <w:r>
        <w:rPr>
          <w:w w:val="95"/>
          <w:sz w:val="20"/>
        </w:rPr>
        <w:t xml:space="preserve">container port capacity is not needed until the 2030s </w:t>
      </w:r>
      <w:r>
        <w:rPr>
          <w:sz w:val="20"/>
        </w:rPr>
        <w:t>on current forecasts.</w:t>
      </w:r>
    </w:p>
    <w:p w:rsidR="002C1123" w:rsidRDefault="002C1123">
      <w:pPr>
        <w:spacing w:line="249" w:lineRule="auto"/>
        <w:rPr>
          <w:sz w:val="20"/>
        </w:rPr>
        <w:sectPr w:rsidR="002C1123">
          <w:type w:val="continuous"/>
          <w:pgSz w:w="16840" w:h="11910" w:orient="landscape"/>
          <w:pgMar w:top="560" w:right="280" w:bottom="280" w:left="500" w:header="0" w:footer="517" w:gutter="0"/>
          <w:cols w:num="3" w:space="720" w:equalWidth="0">
            <w:col w:w="5149" w:space="40"/>
            <w:col w:w="4885" w:space="39"/>
            <w:col w:w="5947"/>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7"/>
        </w:rPr>
      </w:pPr>
    </w:p>
    <w:p w:rsidR="002C1123" w:rsidRDefault="002C1123">
      <w:pPr>
        <w:rPr>
          <w:sz w:val="17"/>
        </w:rPr>
        <w:sectPr w:rsidR="002C1123">
          <w:pgSz w:w="16840" w:h="11910" w:orient="landscape"/>
          <w:pgMar w:top="560" w:right="280" w:bottom="700" w:left="500" w:header="0" w:footer="517" w:gutter="0"/>
          <w:cols w:space="720"/>
        </w:sectPr>
      </w:pPr>
    </w:p>
    <w:p w:rsidR="002C1123" w:rsidRDefault="00F22F94">
      <w:pPr>
        <w:pStyle w:val="Heading5"/>
        <w:numPr>
          <w:ilvl w:val="1"/>
          <w:numId w:val="80"/>
        </w:numPr>
        <w:tabs>
          <w:tab w:val="left" w:pos="942"/>
        </w:tabs>
        <w:jc w:val="both"/>
      </w:pPr>
      <w:bookmarkStart w:id="239" w:name="9.2_Container_freight"/>
      <w:bookmarkStart w:id="240" w:name="_bookmark170"/>
      <w:bookmarkStart w:id="241" w:name="_bookmark169"/>
      <w:bookmarkEnd w:id="239"/>
      <w:bookmarkEnd w:id="240"/>
      <w:bookmarkEnd w:id="241"/>
      <w:r>
        <w:rPr>
          <w:color w:val="00AEEF"/>
          <w:spacing w:val="-5"/>
        </w:rPr>
        <w:t>Container</w:t>
      </w:r>
      <w:r>
        <w:rPr>
          <w:color w:val="00AEEF"/>
          <w:spacing w:val="-4"/>
        </w:rPr>
        <w:t xml:space="preserve"> </w:t>
      </w:r>
      <w:r>
        <w:rPr>
          <w:color w:val="00AEEF"/>
          <w:spacing w:val="-2"/>
        </w:rPr>
        <w:t>freight</w:t>
      </w:r>
    </w:p>
    <w:p w:rsidR="002C1123" w:rsidRDefault="00F22F94">
      <w:pPr>
        <w:pStyle w:val="Heading6"/>
        <w:numPr>
          <w:ilvl w:val="2"/>
          <w:numId w:val="80"/>
        </w:numPr>
        <w:tabs>
          <w:tab w:val="left" w:pos="979"/>
        </w:tabs>
        <w:spacing w:before="135"/>
        <w:ind w:left="978" w:hanging="487"/>
        <w:jc w:val="both"/>
        <w:rPr>
          <w:color w:val="00AEEF"/>
        </w:rPr>
      </w:pPr>
      <w:r>
        <w:rPr>
          <w:color w:val="00AEEF"/>
          <w:spacing w:val="-2"/>
        </w:rPr>
        <w:t>Features</w:t>
      </w:r>
      <w:r>
        <w:rPr>
          <w:color w:val="00AEEF"/>
          <w:spacing w:val="-11"/>
        </w:rPr>
        <w:t xml:space="preserve"> </w:t>
      </w:r>
      <w:r>
        <w:rPr>
          <w:color w:val="00AEEF"/>
          <w:spacing w:val="-2"/>
        </w:rPr>
        <w:t>of</w:t>
      </w:r>
      <w:r>
        <w:rPr>
          <w:color w:val="00AEEF"/>
          <w:spacing w:val="-10"/>
        </w:rPr>
        <w:t xml:space="preserve"> </w:t>
      </w:r>
      <w:r>
        <w:rPr>
          <w:color w:val="00AEEF"/>
          <w:spacing w:val="-2"/>
        </w:rPr>
        <w:t>the</w:t>
      </w:r>
      <w:r>
        <w:rPr>
          <w:color w:val="00AEEF"/>
          <w:spacing w:val="-10"/>
        </w:rPr>
        <w:t xml:space="preserve"> </w:t>
      </w:r>
      <w:r>
        <w:rPr>
          <w:color w:val="00AEEF"/>
          <w:spacing w:val="-2"/>
        </w:rPr>
        <w:t>container</w:t>
      </w:r>
      <w:r>
        <w:rPr>
          <w:color w:val="00AEEF"/>
          <w:spacing w:val="-10"/>
        </w:rPr>
        <w:t xml:space="preserve"> </w:t>
      </w:r>
      <w:r>
        <w:rPr>
          <w:color w:val="00AEEF"/>
          <w:spacing w:val="-2"/>
        </w:rPr>
        <w:t>freight</w:t>
      </w:r>
      <w:r>
        <w:rPr>
          <w:color w:val="00AEEF"/>
          <w:spacing w:val="-10"/>
        </w:rPr>
        <w:t xml:space="preserve"> </w:t>
      </w:r>
      <w:r>
        <w:rPr>
          <w:color w:val="00AEEF"/>
          <w:spacing w:val="-2"/>
        </w:rPr>
        <w:t>trade</w:t>
      </w:r>
    </w:p>
    <w:p w:rsidR="002C1123" w:rsidRDefault="00F22F94">
      <w:pPr>
        <w:pStyle w:val="BodyText"/>
        <w:spacing w:before="95" w:line="249" w:lineRule="auto"/>
        <w:ind w:left="492"/>
        <w:jc w:val="both"/>
      </w:pPr>
      <w:r>
        <w:rPr>
          <w:w w:val="95"/>
        </w:rPr>
        <w:t>Port</w:t>
      </w:r>
      <w:r>
        <w:rPr>
          <w:spacing w:val="-1"/>
          <w:w w:val="95"/>
        </w:rPr>
        <w:t xml:space="preserve"> </w:t>
      </w:r>
      <w:r>
        <w:rPr>
          <w:w w:val="95"/>
        </w:rPr>
        <w:t>Botany</w:t>
      </w:r>
      <w:r>
        <w:rPr>
          <w:spacing w:val="-1"/>
          <w:w w:val="95"/>
        </w:rPr>
        <w:t xml:space="preserve"> </w:t>
      </w:r>
      <w:r>
        <w:rPr>
          <w:w w:val="95"/>
        </w:rPr>
        <w:t>is</w:t>
      </w:r>
      <w:r>
        <w:rPr>
          <w:spacing w:val="-1"/>
          <w:w w:val="95"/>
        </w:rPr>
        <w:t xml:space="preserve"> </w:t>
      </w:r>
      <w:r>
        <w:rPr>
          <w:w w:val="95"/>
        </w:rPr>
        <w:t>principally</w:t>
      </w:r>
      <w:r>
        <w:rPr>
          <w:spacing w:val="-1"/>
          <w:w w:val="95"/>
        </w:rPr>
        <w:t xml:space="preserve"> </w:t>
      </w:r>
      <w:r>
        <w:rPr>
          <w:w w:val="95"/>
        </w:rPr>
        <w:t>a</w:t>
      </w:r>
      <w:r>
        <w:rPr>
          <w:spacing w:val="-1"/>
          <w:w w:val="95"/>
        </w:rPr>
        <w:t xml:space="preserve"> </w:t>
      </w:r>
      <w:r>
        <w:rPr>
          <w:w w:val="95"/>
        </w:rPr>
        <w:t>container</w:t>
      </w:r>
      <w:r>
        <w:rPr>
          <w:spacing w:val="-1"/>
          <w:w w:val="95"/>
        </w:rPr>
        <w:t xml:space="preserve"> </w:t>
      </w:r>
      <w:r>
        <w:rPr>
          <w:w w:val="95"/>
        </w:rPr>
        <w:t>port</w:t>
      </w:r>
      <w:r>
        <w:rPr>
          <w:spacing w:val="-1"/>
          <w:w w:val="95"/>
        </w:rPr>
        <w:t xml:space="preserve"> </w:t>
      </w:r>
      <w:r>
        <w:rPr>
          <w:w w:val="95"/>
        </w:rPr>
        <w:t>catering</w:t>
      </w:r>
      <w:r>
        <w:rPr>
          <w:spacing w:val="-1"/>
          <w:w w:val="95"/>
        </w:rPr>
        <w:t xml:space="preserve"> </w:t>
      </w:r>
      <w:r>
        <w:rPr>
          <w:w w:val="95"/>
        </w:rPr>
        <w:t>for 99</w:t>
      </w:r>
      <w:r>
        <w:rPr>
          <w:spacing w:val="-3"/>
          <w:w w:val="95"/>
        </w:rPr>
        <w:t xml:space="preserve"> </w:t>
      </w:r>
      <w:r>
        <w:rPr>
          <w:w w:val="95"/>
        </w:rPr>
        <w:t>percent</w:t>
      </w:r>
      <w:r>
        <w:rPr>
          <w:spacing w:val="-3"/>
          <w:w w:val="95"/>
        </w:rPr>
        <w:t xml:space="preserve"> </w:t>
      </w:r>
      <w:r>
        <w:rPr>
          <w:w w:val="95"/>
        </w:rPr>
        <w:t>of</w:t>
      </w:r>
      <w:r>
        <w:rPr>
          <w:spacing w:val="-3"/>
          <w:w w:val="95"/>
        </w:rPr>
        <w:t xml:space="preserve"> </w:t>
      </w:r>
      <w:r>
        <w:rPr>
          <w:w w:val="95"/>
        </w:rPr>
        <w:t>NSW</w:t>
      </w:r>
      <w:r>
        <w:rPr>
          <w:spacing w:val="-3"/>
          <w:w w:val="95"/>
        </w:rPr>
        <w:t xml:space="preserve"> </w:t>
      </w:r>
      <w:r>
        <w:rPr>
          <w:w w:val="95"/>
        </w:rPr>
        <w:t>container</w:t>
      </w:r>
      <w:r>
        <w:rPr>
          <w:spacing w:val="-3"/>
          <w:w w:val="95"/>
        </w:rPr>
        <w:t xml:space="preserve"> </w:t>
      </w:r>
      <w:r>
        <w:rPr>
          <w:w w:val="95"/>
        </w:rPr>
        <w:t>movements</w:t>
      </w:r>
      <w:r>
        <w:rPr>
          <w:w w:val="95"/>
          <w:position w:val="7"/>
          <w:sz w:val="11"/>
        </w:rPr>
        <w:t>1</w:t>
      </w:r>
      <w:r>
        <w:rPr>
          <w:w w:val="95"/>
        </w:rPr>
        <w:t>.</w:t>
      </w:r>
      <w:r>
        <w:rPr>
          <w:spacing w:val="-3"/>
          <w:w w:val="95"/>
        </w:rPr>
        <w:t xml:space="preserve"> </w:t>
      </w:r>
      <w:r>
        <w:rPr>
          <w:w w:val="95"/>
        </w:rPr>
        <w:t xml:space="preserve">Container </w:t>
      </w:r>
      <w:r>
        <w:t>volumes</w:t>
      </w:r>
      <w:r>
        <w:rPr>
          <w:spacing w:val="-14"/>
        </w:rPr>
        <w:t xml:space="preserve"> </w:t>
      </w:r>
      <w:r>
        <w:t>in</w:t>
      </w:r>
      <w:r>
        <w:rPr>
          <w:spacing w:val="-14"/>
        </w:rPr>
        <w:t xml:space="preserve"> </w:t>
      </w:r>
      <w:r>
        <w:t>NSW</w:t>
      </w:r>
      <w:r>
        <w:rPr>
          <w:spacing w:val="-14"/>
        </w:rPr>
        <w:t xml:space="preserve"> </w:t>
      </w:r>
      <w:r>
        <w:t>are</w:t>
      </w:r>
      <w:r>
        <w:rPr>
          <w:spacing w:val="-14"/>
        </w:rPr>
        <w:t xml:space="preserve"> </w:t>
      </w:r>
      <w:r>
        <w:t>shown</w:t>
      </w:r>
      <w:r>
        <w:rPr>
          <w:spacing w:val="-14"/>
        </w:rPr>
        <w:t xml:space="preserve"> </w:t>
      </w:r>
      <w:r>
        <w:t>in</w:t>
      </w:r>
      <w:r>
        <w:rPr>
          <w:spacing w:val="-14"/>
        </w:rPr>
        <w:t xml:space="preserve"> </w:t>
      </w:r>
      <w:r>
        <w:t>Table</w:t>
      </w:r>
      <w:r>
        <w:rPr>
          <w:spacing w:val="-14"/>
        </w:rPr>
        <w:t xml:space="preserve"> </w:t>
      </w:r>
      <w:r>
        <w:t>9.1.</w:t>
      </w:r>
    </w:p>
    <w:p w:rsidR="002C1123" w:rsidRDefault="00F22F94">
      <w:pPr>
        <w:pStyle w:val="BodyText"/>
        <w:spacing w:before="141" w:line="249" w:lineRule="auto"/>
        <w:ind w:left="492"/>
      </w:pPr>
      <w:r>
        <w:rPr>
          <w:w w:val="95"/>
        </w:rPr>
        <w:t>The</w:t>
      </w:r>
      <w:r>
        <w:rPr>
          <w:spacing w:val="-1"/>
          <w:w w:val="95"/>
        </w:rPr>
        <w:t xml:space="preserve"> </w:t>
      </w:r>
      <w:r>
        <w:rPr>
          <w:w w:val="95"/>
        </w:rPr>
        <w:t>container</w:t>
      </w:r>
      <w:r>
        <w:rPr>
          <w:spacing w:val="-1"/>
          <w:w w:val="95"/>
        </w:rPr>
        <w:t xml:space="preserve"> </w:t>
      </w:r>
      <w:r>
        <w:rPr>
          <w:w w:val="95"/>
        </w:rPr>
        <w:t>trade</w:t>
      </w:r>
      <w:r>
        <w:rPr>
          <w:spacing w:val="-1"/>
          <w:w w:val="95"/>
        </w:rPr>
        <w:t xml:space="preserve"> </w:t>
      </w:r>
      <w:r>
        <w:rPr>
          <w:w w:val="95"/>
        </w:rPr>
        <w:t>is</w:t>
      </w:r>
      <w:r>
        <w:rPr>
          <w:spacing w:val="-1"/>
          <w:w w:val="95"/>
        </w:rPr>
        <w:t xml:space="preserve"> </w:t>
      </w:r>
      <w:r>
        <w:rPr>
          <w:w w:val="95"/>
        </w:rPr>
        <w:t>characterised</w:t>
      </w:r>
      <w:r>
        <w:rPr>
          <w:spacing w:val="-1"/>
          <w:w w:val="95"/>
        </w:rPr>
        <w:t xml:space="preserve"> </w:t>
      </w:r>
      <w:r>
        <w:rPr>
          <w:w w:val="95"/>
        </w:rPr>
        <w:t>by</w:t>
      </w:r>
      <w:r>
        <w:rPr>
          <w:spacing w:val="-1"/>
          <w:w w:val="95"/>
        </w:rPr>
        <w:t xml:space="preserve"> </w:t>
      </w:r>
      <w:r>
        <w:rPr>
          <w:w w:val="95"/>
        </w:rPr>
        <w:t>the</w:t>
      </w:r>
      <w:r>
        <w:rPr>
          <w:spacing w:val="-1"/>
          <w:w w:val="95"/>
        </w:rPr>
        <w:t xml:space="preserve"> </w:t>
      </w:r>
      <w:r>
        <w:rPr>
          <w:w w:val="95"/>
        </w:rPr>
        <w:t>excess</w:t>
      </w:r>
      <w:r>
        <w:rPr>
          <w:spacing w:val="-1"/>
          <w:w w:val="95"/>
        </w:rPr>
        <w:t xml:space="preserve"> </w:t>
      </w:r>
      <w:r>
        <w:rPr>
          <w:w w:val="95"/>
        </w:rPr>
        <w:t xml:space="preserve">of </w:t>
      </w:r>
      <w:r>
        <w:t>imports</w:t>
      </w:r>
      <w:r>
        <w:rPr>
          <w:spacing w:val="-13"/>
        </w:rPr>
        <w:t xml:space="preserve"> </w:t>
      </w:r>
      <w:r>
        <w:t>over</w:t>
      </w:r>
      <w:r>
        <w:rPr>
          <w:spacing w:val="-13"/>
        </w:rPr>
        <w:t xml:space="preserve"> </w:t>
      </w:r>
      <w:r>
        <w:t>exports.</w:t>
      </w:r>
      <w:r>
        <w:rPr>
          <w:spacing w:val="-13"/>
        </w:rPr>
        <w:t xml:space="preserve"> </w:t>
      </w:r>
      <w:r>
        <w:t>The</w:t>
      </w:r>
      <w:r>
        <w:rPr>
          <w:spacing w:val="-13"/>
        </w:rPr>
        <w:t xml:space="preserve"> </w:t>
      </w:r>
      <w:r>
        <w:t>main</w:t>
      </w:r>
      <w:r>
        <w:rPr>
          <w:spacing w:val="-13"/>
        </w:rPr>
        <w:t xml:space="preserve"> </w:t>
      </w:r>
      <w:r>
        <w:t>freight</w:t>
      </w:r>
      <w:r>
        <w:rPr>
          <w:spacing w:val="-13"/>
        </w:rPr>
        <w:t xml:space="preserve"> </w:t>
      </w:r>
      <w:r>
        <w:t>supply</w:t>
      </w:r>
      <w:r>
        <w:rPr>
          <w:spacing w:val="-13"/>
        </w:rPr>
        <w:t xml:space="preserve"> </w:t>
      </w:r>
      <w:r>
        <w:t xml:space="preserve">chain </w:t>
      </w:r>
      <w:r>
        <w:rPr>
          <w:w w:val="95"/>
        </w:rPr>
        <w:t>task in connection with Port Botany is the distribution of</w:t>
      </w:r>
      <w:r>
        <w:rPr>
          <w:spacing w:val="-4"/>
          <w:w w:val="95"/>
        </w:rPr>
        <w:t xml:space="preserve"> </w:t>
      </w:r>
      <w:r>
        <w:rPr>
          <w:w w:val="95"/>
        </w:rPr>
        <w:t>import</w:t>
      </w:r>
      <w:r>
        <w:rPr>
          <w:spacing w:val="-3"/>
          <w:w w:val="95"/>
        </w:rPr>
        <w:t xml:space="preserve"> </w:t>
      </w:r>
      <w:r>
        <w:rPr>
          <w:w w:val="95"/>
        </w:rPr>
        <w:t>containers</w:t>
      </w:r>
      <w:r>
        <w:rPr>
          <w:spacing w:val="-4"/>
          <w:w w:val="95"/>
        </w:rPr>
        <w:t xml:space="preserve"> </w:t>
      </w:r>
      <w:r>
        <w:rPr>
          <w:w w:val="95"/>
        </w:rPr>
        <w:t>within</w:t>
      </w:r>
      <w:r>
        <w:rPr>
          <w:spacing w:val="-3"/>
          <w:w w:val="95"/>
        </w:rPr>
        <w:t xml:space="preserve"> </w:t>
      </w:r>
      <w:r>
        <w:rPr>
          <w:w w:val="95"/>
        </w:rPr>
        <w:t>Sydney:</w:t>
      </w:r>
      <w:r>
        <w:rPr>
          <w:spacing w:val="-4"/>
          <w:w w:val="95"/>
        </w:rPr>
        <w:t xml:space="preserve"> </w:t>
      </w:r>
      <w:r>
        <w:rPr>
          <w:w w:val="95"/>
        </w:rPr>
        <w:t>in</w:t>
      </w:r>
      <w:r>
        <w:rPr>
          <w:spacing w:val="-3"/>
          <w:w w:val="95"/>
        </w:rPr>
        <w:t xml:space="preserve"> </w:t>
      </w:r>
      <w:r>
        <w:rPr>
          <w:w w:val="95"/>
        </w:rPr>
        <w:t>fact</w:t>
      </w:r>
      <w:r>
        <w:rPr>
          <w:spacing w:val="-4"/>
          <w:w w:val="95"/>
        </w:rPr>
        <w:t xml:space="preserve"> </w:t>
      </w:r>
      <w:r>
        <w:rPr>
          <w:w w:val="95"/>
        </w:rPr>
        <w:t>98</w:t>
      </w:r>
      <w:r>
        <w:rPr>
          <w:spacing w:val="-3"/>
          <w:w w:val="95"/>
        </w:rPr>
        <w:t xml:space="preserve"> </w:t>
      </w:r>
      <w:r>
        <w:rPr>
          <w:spacing w:val="-2"/>
          <w:w w:val="95"/>
        </w:rPr>
        <w:t>percent</w:t>
      </w:r>
    </w:p>
    <w:p w:rsidR="002C1123" w:rsidRDefault="00F22F94">
      <w:pPr>
        <w:spacing w:before="8"/>
        <w:rPr>
          <w:sz w:val="19"/>
        </w:rPr>
      </w:pPr>
      <w:r>
        <w:br w:type="column"/>
      </w:r>
    </w:p>
    <w:p w:rsidR="002C1123" w:rsidRDefault="00F22F94">
      <w:pPr>
        <w:ind w:left="492"/>
        <w:rPr>
          <w:b/>
          <w:sz w:val="18"/>
        </w:rPr>
      </w:pPr>
      <w:r>
        <w:rPr>
          <w:b/>
          <w:spacing w:val="-2"/>
          <w:sz w:val="18"/>
        </w:rPr>
        <w:t>Table</w:t>
      </w:r>
      <w:r>
        <w:rPr>
          <w:b/>
          <w:spacing w:val="-17"/>
          <w:sz w:val="18"/>
        </w:rPr>
        <w:t xml:space="preserve"> </w:t>
      </w:r>
      <w:r>
        <w:rPr>
          <w:b/>
          <w:spacing w:val="-2"/>
          <w:sz w:val="18"/>
        </w:rPr>
        <w:t>9.1</w:t>
      </w:r>
      <w:r>
        <w:rPr>
          <w:b/>
          <w:spacing w:val="19"/>
          <w:sz w:val="18"/>
        </w:rPr>
        <w:t xml:space="preserve"> </w:t>
      </w:r>
      <w:r>
        <w:rPr>
          <w:b/>
          <w:spacing w:val="-2"/>
          <w:sz w:val="18"/>
        </w:rPr>
        <w:t>2010-11</w:t>
      </w:r>
      <w:r>
        <w:rPr>
          <w:b/>
          <w:spacing w:val="-16"/>
          <w:sz w:val="18"/>
        </w:rPr>
        <w:t xml:space="preserve"> </w:t>
      </w:r>
      <w:r>
        <w:rPr>
          <w:b/>
          <w:spacing w:val="-2"/>
          <w:sz w:val="18"/>
        </w:rPr>
        <w:t>Container</w:t>
      </w:r>
      <w:r>
        <w:rPr>
          <w:b/>
          <w:spacing w:val="-16"/>
          <w:sz w:val="18"/>
        </w:rPr>
        <w:t xml:space="preserve"> </w:t>
      </w:r>
      <w:r>
        <w:rPr>
          <w:b/>
          <w:spacing w:val="-2"/>
          <w:sz w:val="18"/>
        </w:rPr>
        <w:t>volumes</w:t>
      </w:r>
      <w:r>
        <w:rPr>
          <w:b/>
          <w:spacing w:val="-17"/>
          <w:sz w:val="18"/>
        </w:rPr>
        <w:t xml:space="preserve"> </w:t>
      </w:r>
      <w:r>
        <w:rPr>
          <w:b/>
          <w:spacing w:val="-5"/>
          <w:sz w:val="18"/>
        </w:rPr>
        <w:t>NSW</w:t>
      </w:r>
    </w:p>
    <w:p w:rsidR="002C1123" w:rsidRDefault="00F22F94">
      <w:pPr>
        <w:tabs>
          <w:tab w:val="left" w:pos="1833"/>
          <w:tab w:val="left" w:pos="5518"/>
          <w:tab w:val="left" w:pos="9203"/>
        </w:tabs>
        <w:spacing w:before="104"/>
        <w:ind w:left="605"/>
        <w:rPr>
          <w:b/>
          <w:sz w:val="16"/>
        </w:rPr>
      </w:pPr>
      <w:r>
        <w:rPr>
          <w:b/>
          <w:color w:val="2E3092"/>
          <w:spacing w:val="-2"/>
          <w:sz w:val="16"/>
        </w:rPr>
        <w:t>Ports</w:t>
      </w:r>
      <w:r>
        <w:rPr>
          <w:b/>
          <w:color w:val="2E3092"/>
          <w:sz w:val="16"/>
        </w:rPr>
        <w:tab/>
      </w:r>
      <w:r>
        <w:rPr>
          <w:b/>
          <w:color w:val="2E3092"/>
          <w:spacing w:val="-2"/>
          <w:sz w:val="16"/>
        </w:rPr>
        <w:t>Imports</w:t>
      </w:r>
      <w:r>
        <w:rPr>
          <w:b/>
          <w:color w:val="2E3092"/>
          <w:sz w:val="16"/>
        </w:rPr>
        <w:tab/>
      </w:r>
      <w:r>
        <w:rPr>
          <w:b/>
          <w:color w:val="2E3092"/>
          <w:spacing w:val="-2"/>
          <w:sz w:val="16"/>
        </w:rPr>
        <w:t>Exports</w:t>
      </w:r>
      <w:r>
        <w:rPr>
          <w:b/>
          <w:color w:val="2E3092"/>
          <w:sz w:val="16"/>
        </w:rPr>
        <w:tab/>
      </w:r>
      <w:r>
        <w:rPr>
          <w:b/>
          <w:color w:val="2E3092"/>
          <w:spacing w:val="-5"/>
          <w:sz w:val="16"/>
        </w:rPr>
        <w:t>Total TEU</w:t>
      </w:r>
    </w:p>
    <w:p w:rsidR="002C1123" w:rsidRDefault="002C1123">
      <w:pPr>
        <w:pStyle w:val="BodyText"/>
        <w:spacing w:before="1"/>
        <w:rPr>
          <w:b/>
          <w:sz w:val="6"/>
        </w:rPr>
      </w:pPr>
    </w:p>
    <w:tbl>
      <w:tblPr>
        <w:tblW w:w="0" w:type="auto"/>
        <w:tblInd w:w="50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228"/>
        <w:gridCol w:w="1228"/>
        <w:gridCol w:w="1228"/>
        <w:gridCol w:w="1228"/>
        <w:gridCol w:w="1228"/>
        <w:gridCol w:w="1228"/>
        <w:gridCol w:w="1228"/>
        <w:gridCol w:w="1228"/>
      </w:tblGrid>
      <w:tr w:rsidR="002C1123">
        <w:trPr>
          <w:trHeight w:val="345"/>
        </w:trPr>
        <w:tc>
          <w:tcPr>
            <w:tcW w:w="1228" w:type="dxa"/>
            <w:tcBorders>
              <w:left w:val="nil"/>
              <w:bottom w:val="nil"/>
            </w:tcBorders>
            <w:shd w:val="clear" w:color="auto" w:fill="C9C8C9"/>
          </w:tcPr>
          <w:p w:rsidR="002C1123" w:rsidRDefault="002C1123">
            <w:pPr>
              <w:pStyle w:val="TableParagraph"/>
              <w:spacing w:before="0"/>
              <w:ind w:left="0"/>
              <w:rPr>
                <w:rFonts w:ascii="Times New Roman"/>
                <w:sz w:val="18"/>
              </w:rPr>
            </w:pPr>
          </w:p>
        </w:tc>
        <w:tc>
          <w:tcPr>
            <w:tcW w:w="1228" w:type="dxa"/>
            <w:tcBorders>
              <w:bottom w:val="nil"/>
            </w:tcBorders>
            <w:shd w:val="clear" w:color="auto" w:fill="C9C8C9"/>
          </w:tcPr>
          <w:p w:rsidR="002C1123" w:rsidRDefault="00F22F94">
            <w:pPr>
              <w:pStyle w:val="TableParagraph"/>
              <w:spacing w:before="63"/>
              <w:rPr>
                <w:b/>
                <w:sz w:val="18"/>
              </w:rPr>
            </w:pPr>
            <w:r>
              <w:rPr>
                <w:b/>
                <w:spacing w:val="-4"/>
                <w:sz w:val="18"/>
              </w:rPr>
              <w:t>Full</w:t>
            </w:r>
          </w:p>
        </w:tc>
        <w:tc>
          <w:tcPr>
            <w:tcW w:w="1228" w:type="dxa"/>
            <w:tcBorders>
              <w:bottom w:val="nil"/>
            </w:tcBorders>
            <w:shd w:val="clear" w:color="auto" w:fill="C9C8C9"/>
          </w:tcPr>
          <w:p w:rsidR="002C1123" w:rsidRDefault="00F22F94">
            <w:pPr>
              <w:pStyle w:val="TableParagraph"/>
              <w:spacing w:before="63"/>
              <w:ind w:left="114"/>
              <w:rPr>
                <w:b/>
                <w:sz w:val="18"/>
              </w:rPr>
            </w:pPr>
            <w:r>
              <w:rPr>
                <w:b/>
                <w:spacing w:val="-2"/>
                <w:sz w:val="18"/>
              </w:rPr>
              <w:t>Empty</w:t>
            </w:r>
          </w:p>
        </w:tc>
        <w:tc>
          <w:tcPr>
            <w:tcW w:w="1228" w:type="dxa"/>
            <w:tcBorders>
              <w:bottom w:val="nil"/>
            </w:tcBorders>
            <w:shd w:val="clear" w:color="auto" w:fill="C9C8C9"/>
          </w:tcPr>
          <w:p w:rsidR="002C1123" w:rsidRDefault="00F22F94">
            <w:pPr>
              <w:pStyle w:val="TableParagraph"/>
              <w:spacing w:before="63"/>
              <w:ind w:left="114"/>
              <w:rPr>
                <w:b/>
                <w:sz w:val="18"/>
              </w:rPr>
            </w:pPr>
            <w:r>
              <w:rPr>
                <w:b/>
                <w:spacing w:val="-2"/>
                <w:sz w:val="18"/>
              </w:rPr>
              <w:t>Total</w:t>
            </w:r>
          </w:p>
        </w:tc>
        <w:tc>
          <w:tcPr>
            <w:tcW w:w="1228" w:type="dxa"/>
            <w:tcBorders>
              <w:bottom w:val="nil"/>
            </w:tcBorders>
            <w:shd w:val="clear" w:color="auto" w:fill="C9C8C9"/>
          </w:tcPr>
          <w:p w:rsidR="002C1123" w:rsidRDefault="00F22F94">
            <w:pPr>
              <w:pStyle w:val="TableParagraph"/>
              <w:spacing w:before="63"/>
              <w:ind w:left="114"/>
              <w:rPr>
                <w:b/>
                <w:sz w:val="18"/>
              </w:rPr>
            </w:pPr>
            <w:r>
              <w:rPr>
                <w:b/>
                <w:spacing w:val="-4"/>
                <w:sz w:val="18"/>
              </w:rPr>
              <w:t>Full</w:t>
            </w:r>
          </w:p>
        </w:tc>
        <w:tc>
          <w:tcPr>
            <w:tcW w:w="1228" w:type="dxa"/>
            <w:tcBorders>
              <w:bottom w:val="nil"/>
            </w:tcBorders>
            <w:shd w:val="clear" w:color="auto" w:fill="C9C8C9"/>
          </w:tcPr>
          <w:p w:rsidR="002C1123" w:rsidRDefault="00F22F94">
            <w:pPr>
              <w:pStyle w:val="TableParagraph"/>
              <w:spacing w:before="63"/>
              <w:ind w:left="115"/>
              <w:rPr>
                <w:b/>
                <w:sz w:val="18"/>
              </w:rPr>
            </w:pPr>
            <w:r>
              <w:rPr>
                <w:b/>
                <w:spacing w:val="-2"/>
                <w:sz w:val="18"/>
              </w:rPr>
              <w:t>Empty</w:t>
            </w:r>
          </w:p>
        </w:tc>
        <w:tc>
          <w:tcPr>
            <w:tcW w:w="1228" w:type="dxa"/>
            <w:tcBorders>
              <w:bottom w:val="nil"/>
            </w:tcBorders>
            <w:shd w:val="clear" w:color="auto" w:fill="C9C8C9"/>
          </w:tcPr>
          <w:p w:rsidR="002C1123" w:rsidRDefault="00F22F94">
            <w:pPr>
              <w:pStyle w:val="TableParagraph"/>
              <w:spacing w:before="63"/>
              <w:ind w:left="115"/>
              <w:rPr>
                <w:b/>
                <w:sz w:val="18"/>
              </w:rPr>
            </w:pPr>
            <w:r>
              <w:rPr>
                <w:b/>
                <w:spacing w:val="-2"/>
                <w:sz w:val="18"/>
              </w:rPr>
              <w:t>Total</w:t>
            </w:r>
          </w:p>
        </w:tc>
        <w:tc>
          <w:tcPr>
            <w:tcW w:w="1228" w:type="dxa"/>
            <w:tcBorders>
              <w:bottom w:val="nil"/>
            </w:tcBorders>
            <w:shd w:val="clear" w:color="auto" w:fill="C9C8C9"/>
          </w:tcPr>
          <w:p w:rsidR="002C1123" w:rsidRDefault="00F22F94">
            <w:pPr>
              <w:pStyle w:val="TableParagraph"/>
              <w:spacing w:before="63"/>
              <w:ind w:left="115"/>
              <w:rPr>
                <w:b/>
                <w:sz w:val="18"/>
              </w:rPr>
            </w:pPr>
            <w:r>
              <w:rPr>
                <w:b/>
                <w:spacing w:val="-2"/>
                <w:sz w:val="18"/>
              </w:rPr>
              <w:t>Total</w:t>
            </w:r>
          </w:p>
        </w:tc>
      </w:tr>
      <w:tr w:rsidR="002C1123">
        <w:trPr>
          <w:trHeight w:val="331"/>
        </w:trPr>
        <w:tc>
          <w:tcPr>
            <w:tcW w:w="1228" w:type="dxa"/>
            <w:tcBorders>
              <w:top w:val="nil"/>
            </w:tcBorders>
            <w:shd w:val="clear" w:color="auto" w:fill="E1E0E1"/>
          </w:tcPr>
          <w:p w:rsidR="002C1123" w:rsidRDefault="00F22F94">
            <w:pPr>
              <w:pStyle w:val="TableParagraph"/>
              <w:spacing w:before="77"/>
              <w:rPr>
                <w:sz w:val="16"/>
              </w:rPr>
            </w:pPr>
            <w:r>
              <w:rPr>
                <w:w w:val="105"/>
                <w:sz w:val="16"/>
              </w:rPr>
              <w:t>Port</w:t>
            </w:r>
            <w:r>
              <w:rPr>
                <w:spacing w:val="-10"/>
                <w:w w:val="105"/>
                <w:sz w:val="16"/>
              </w:rPr>
              <w:t xml:space="preserve"> </w:t>
            </w:r>
            <w:r>
              <w:rPr>
                <w:spacing w:val="-2"/>
                <w:w w:val="105"/>
                <w:sz w:val="16"/>
              </w:rPr>
              <w:t>Botany</w:t>
            </w:r>
          </w:p>
        </w:tc>
        <w:tc>
          <w:tcPr>
            <w:tcW w:w="1228" w:type="dxa"/>
            <w:tcBorders>
              <w:top w:val="nil"/>
            </w:tcBorders>
            <w:shd w:val="clear" w:color="auto" w:fill="E1E0E1"/>
          </w:tcPr>
          <w:p w:rsidR="002C1123" w:rsidRDefault="00F22F94">
            <w:pPr>
              <w:pStyle w:val="TableParagraph"/>
              <w:spacing w:before="77"/>
              <w:rPr>
                <w:sz w:val="16"/>
              </w:rPr>
            </w:pPr>
            <w:r>
              <w:rPr>
                <w:spacing w:val="-2"/>
                <w:sz w:val="16"/>
              </w:rPr>
              <w:t>1,000,453</w:t>
            </w:r>
          </w:p>
        </w:tc>
        <w:tc>
          <w:tcPr>
            <w:tcW w:w="1228" w:type="dxa"/>
            <w:tcBorders>
              <w:top w:val="nil"/>
            </w:tcBorders>
            <w:shd w:val="clear" w:color="auto" w:fill="E1E0E1"/>
          </w:tcPr>
          <w:p w:rsidR="002C1123" w:rsidRDefault="00F22F94">
            <w:pPr>
              <w:pStyle w:val="TableParagraph"/>
              <w:spacing w:before="77"/>
              <w:ind w:left="114"/>
              <w:rPr>
                <w:sz w:val="16"/>
              </w:rPr>
            </w:pPr>
            <w:r>
              <w:rPr>
                <w:spacing w:val="-2"/>
                <w:sz w:val="16"/>
              </w:rPr>
              <w:t>20,107</w:t>
            </w:r>
          </w:p>
        </w:tc>
        <w:tc>
          <w:tcPr>
            <w:tcW w:w="1228" w:type="dxa"/>
            <w:tcBorders>
              <w:top w:val="nil"/>
            </w:tcBorders>
            <w:shd w:val="clear" w:color="auto" w:fill="E1E0E1"/>
          </w:tcPr>
          <w:p w:rsidR="002C1123" w:rsidRDefault="00F22F94">
            <w:pPr>
              <w:pStyle w:val="TableParagraph"/>
              <w:spacing w:before="77"/>
              <w:ind w:left="114"/>
              <w:rPr>
                <w:sz w:val="16"/>
              </w:rPr>
            </w:pPr>
            <w:r>
              <w:rPr>
                <w:spacing w:val="-2"/>
                <w:sz w:val="16"/>
              </w:rPr>
              <w:t>1,002,560</w:t>
            </w:r>
          </w:p>
        </w:tc>
        <w:tc>
          <w:tcPr>
            <w:tcW w:w="1228" w:type="dxa"/>
            <w:tcBorders>
              <w:top w:val="nil"/>
            </w:tcBorders>
            <w:shd w:val="clear" w:color="auto" w:fill="E1E0E1"/>
          </w:tcPr>
          <w:p w:rsidR="002C1123" w:rsidRDefault="00F22F94">
            <w:pPr>
              <w:pStyle w:val="TableParagraph"/>
              <w:spacing w:before="77"/>
              <w:ind w:left="114"/>
              <w:rPr>
                <w:sz w:val="16"/>
              </w:rPr>
            </w:pPr>
            <w:r>
              <w:rPr>
                <w:spacing w:val="-2"/>
                <w:sz w:val="16"/>
              </w:rPr>
              <w:t>458,703</w:t>
            </w:r>
          </w:p>
        </w:tc>
        <w:tc>
          <w:tcPr>
            <w:tcW w:w="1228" w:type="dxa"/>
            <w:tcBorders>
              <w:top w:val="nil"/>
            </w:tcBorders>
            <w:shd w:val="clear" w:color="auto" w:fill="E1E0E1"/>
          </w:tcPr>
          <w:p w:rsidR="002C1123" w:rsidRDefault="00F22F94">
            <w:pPr>
              <w:pStyle w:val="TableParagraph"/>
              <w:spacing w:before="77"/>
              <w:ind w:left="114"/>
              <w:rPr>
                <w:sz w:val="16"/>
              </w:rPr>
            </w:pPr>
            <w:r>
              <w:rPr>
                <w:spacing w:val="-2"/>
                <w:sz w:val="16"/>
              </w:rPr>
              <w:t>540,823</w:t>
            </w:r>
          </w:p>
        </w:tc>
        <w:tc>
          <w:tcPr>
            <w:tcW w:w="1228" w:type="dxa"/>
            <w:tcBorders>
              <w:top w:val="nil"/>
            </w:tcBorders>
            <w:shd w:val="clear" w:color="auto" w:fill="E1E0E1"/>
          </w:tcPr>
          <w:p w:rsidR="002C1123" w:rsidRDefault="00F22F94">
            <w:pPr>
              <w:pStyle w:val="TableParagraph"/>
              <w:spacing w:before="77"/>
              <w:ind w:left="115"/>
              <w:rPr>
                <w:sz w:val="16"/>
              </w:rPr>
            </w:pPr>
            <w:r>
              <w:rPr>
                <w:spacing w:val="-2"/>
                <w:sz w:val="16"/>
              </w:rPr>
              <w:t>999,526</w:t>
            </w:r>
          </w:p>
        </w:tc>
        <w:tc>
          <w:tcPr>
            <w:tcW w:w="1228" w:type="dxa"/>
            <w:tcBorders>
              <w:top w:val="nil"/>
            </w:tcBorders>
            <w:shd w:val="clear" w:color="auto" w:fill="E1E0E1"/>
          </w:tcPr>
          <w:p w:rsidR="002C1123" w:rsidRDefault="00F22F94">
            <w:pPr>
              <w:pStyle w:val="TableParagraph"/>
              <w:spacing w:before="77"/>
              <w:ind w:left="115"/>
              <w:rPr>
                <w:sz w:val="16"/>
              </w:rPr>
            </w:pPr>
            <w:r>
              <w:rPr>
                <w:spacing w:val="-2"/>
                <w:sz w:val="16"/>
              </w:rPr>
              <w:t>2,020,086</w:t>
            </w:r>
          </w:p>
        </w:tc>
      </w:tr>
      <w:tr w:rsidR="002C1123">
        <w:trPr>
          <w:trHeight w:val="321"/>
        </w:trPr>
        <w:tc>
          <w:tcPr>
            <w:tcW w:w="1228" w:type="dxa"/>
            <w:shd w:val="clear" w:color="auto" w:fill="E1E0E1"/>
          </w:tcPr>
          <w:p w:rsidR="002C1123" w:rsidRDefault="00F22F94">
            <w:pPr>
              <w:pStyle w:val="TableParagraph"/>
              <w:rPr>
                <w:sz w:val="16"/>
              </w:rPr>
            </w:pPr>
            <w:r>
              <w:rPr>
                <w:spacing w:val="-2"/>
                <w:sz w:val="16"/>
              </w:rPr>
              <w:t>Other</w:t>
            </w:r>
          </w:p>
        </w:tc>
        <w:tc>
          <w:tcPr>
            <w:tcW w:w="1228" w:type="dxa"/>
            <w:shd w:val="clear" w:color="auto" w:fill="E1E0E1"/>
          </w:tcPr>
          <w:p w:rsidR="002C1123" w:rsidRDefault="00F22F94">
            <w:pPr>
              <w:pStyle w:val="TableParagraph"/>
              <w:rPr>
                <w:sz w:val="16"/>
              </w:rPr>
            </w:pPr>
            <w:r>
              <w:rPr>
                <w:spacing w:val="-2"/>
                <w:sz w:val="16"/>
              </w:rPr>
              <w:t>2,219</w:t>
            </w:r>
          </w:p>
        </w:tc>
        <w:tc>
          <w:tcPr>
            <w:tcW w:w="1228" w:type="dxa"/>
            <w:shd w:val="clear" w:color="auto" w:fill="E1E0E1"/>
          </w:tcPr>
          <w:p w:rsidR="002C1123" w:rsidRDefault="00F22F94">
            <w:pPr>
              <w:pStyle w:val="TableParagraph"/>
              <w:rPr>
                <w:sz w:val="16"/>
              </w:rPr>
            </w:pPr>
            <w:r>
              <w:rPr>
                <w:spacing w:val="-2"/>
                <w:sz w:val="16"/>
              </w:rPr>
              <w:t>8,243</w:t>
            </w:r>
          </w:p>
        </w:tc>
        <w:tc>
          <w:tcPr>
            <w:tcW w:w="1228" w:type="dxa"/>
            <w:shd w:val="clear" w:color="auto" w:fill="E1E0E1"/>
          </w:tcPr>
          <w:p w:rsidR="002C1123" w:rsidRDefault="00F22F94">
            <w:pPr>
              <w:pStyle w:val="TableParagraph"/>
              <w:ind w:left="114"/>
              <w:rPr>
                <w:sz w:val="16"/>
              </w:rPr>
            </w:pPr>
            <w:r>
              <w:rPr>
                <w:spacing w:val="-2"/>
                <w:sz w:val="16"/>
              </w:rPr>
              <w:t>10,462</w:t>
            </w:r>
          </w:p>
        </w:tc>
        <w:tc>
          <w:tcPr>
            <w:tcW w:w="1228" w:type="dxa"/>
            <w:shd w:val="clear" w:color="auto" w:fill="E1E0E1"/>
          </w:tcPr>
          <w:p w:rsidR="002C1123" w:rsidRDefault="00F22F94">
            <w:pPr>
              <w:pStyle w:val="TableParagraph"/>
              <w:ind w:left="114"/>
              <w:rPr>
                <w:sz w:val="16"/>
              </w:rPr>
            </w:pPr>
            <w:r>
              <w:rPr>
                <w:spacing w:val="-2"/>
                <w:sz w:val="16"/>
              </w:rPr>
              <w:t>11,523</w:t>
            </w:r>
          </w:p>
        </w:tc>
        <w:tc>
          <w:tcPr>
            <w:tcW w:w="1228" w:type="dxa"/>
            <w:shd w:val="clear" w:color="auto" w:fill="E1E0E1"/>
          </w:tcPr>
          <w:p w:rsidR="002C1123" w:rsidRDefault="00F22F94">
            <w:pPr>
              <w:pStyle w:val="TableParagraph"/>
              <w:ind w:left="114"/>
              <w:rPr>
                <w:sz w:val="16"/>
              </w:rPr>
            </w:pPr>
            <w:r>
              <w:rPr>
                <w:spacing w:val="-5"/>
                <w:sz w:val="16"/>
              </w:rPr>
              <w:t>506</w:t>
            </w:r>
          </w:p>
        </w:tc>
        <w:tc>
          <w:tcPr>
            <w:tcW w:w="1228" w:type="dxa"/>
            <w:shd w:val="clear" w:color="auto" w:fill="E1E0E1"/>
          </w:tcPr>
          <w:p w:rsidR="002C1123" w:rsidRDefault="00F22F94">
            <w:pPr>
              <w:pStyle w:val="TableParagraph"/>
              <w:ind w:left="115"/>
              <w:rPr>
                <w:sz w:val="16"/>
              </w:rPr>
            </w:pPr>
            <w:r>
              <w:rPr>
                <w:spacing w:val="-2"/>
                <w:sz w:val="16"/>
              </w:rPr>
              <w:t>12,029</w:t>
            </w:r>
          </w:p>
        </w:tc>
        <w:tc>
          <w:tcPr>
            <w:tcW w:w="1228" w:type="dxa"/>
            <w:shd w:val="clear" w:color="auto" w:fill="E1E0E1"/>
          </w:tcPr>
          <w:p w:rsidR="002C1123" w:rsidRDefault="00F22F94">
            <w:pPr>
              <w:pStyle w:val="TableParagraph"/>
              <w:ind w:left="115"/>
              <w:rPr>
                <w:sz w:val="16"/>
              </w:rPr>
            </w:pPr>
            <w:r>
              <w:rPr>
                <w:spacing w:val="-2"/>
                <w:sz w:val="16"/>
              </w:rPr>
              <w:t>22,491</w:t>
            </w:r>
          </w:p>
        </w:tc>
      </w:tr>
    </w:tbl>
    <w:p w:rsidR="002C1123" w:rsidRDefault="00F22F94">
      <w:pPr>
        <w:spacing w:before="44"/>
        <w:ind w:left="492"/>
        <w:rPr>
          <w:sz w:val="14"/>
        </w:rPr>
      </w:pPr>
      <w:r>
        <w:rPr>
          <w:w w:val="95"/>
          <w:sz w:val="14"/>
        </w:rPr>
        <w:t>Source:</w:t>
      </w:r>
      <w:r>
        <w:rPr>
          <w:spacing w:val="15"/>
          <w:sz w:val="14"/>
        </w:rPr>
        <w:t xml:space="preserve"> </w:t>
      </w:r>
      <w:r>
        <w:rPr>
          <w:w w:val="95"/>
          <w:sz w:val="14"/>
        </w:rPr>
        <w:t>Ports</w:t>
      </w:r>
      <w:r>
        <w:rPr>
          <w:spacing w:val="15"/>
          <w:sz w:val="14"/>
        </w:rPr>
        <w:t xml:space="preserve"> </w:t>
      </w:r>
      <w:r>
        <w:rPr>
          <w:spacing w:val="-2"/>
          <w:w w:val="95"/>
          <w:sz w:val="14"/>
        </w:rPr>
        <w:t>Australia.</w:t>
      </w:r>
    </w:p>
    <w:p w:rsidR="002C1123" w:rsidRDefault="002C1123">
      <w:pPr>
        <w:pStyle w:val="BodyText"/>
        <w:rPr>
          <w:sz w:val="16"/>
        </w:rPr>
      </w:pPr>
    </w:p>
    <w:p w:rsidR="002C1123" w:rsidRDefault="002C1123">
      <w:pPr>
        <w:pStyle w:val="BodyText"/>
        <w:spacing w:before="6"/>
        <w:rPr>
          <w:sz w:val="19"/>
        </w:rPr>
      </w:pPr>
    </w:p>
    <w:p w:rsidR="002C1123" w:rsidRDefault="00F22F94">
      <w:pPr>
        <w:ind w:left="502"/>
        <w:rPr>
          <w:b/>
          <w:sz w:val="18"/>
        </w:rPr>
      </w:pPr>
      <w:r>
        <w:rPr>
          <w:b/>
          <w:w w:val="95"/>
          <w:sz w:val="18"/>
        </w:rPr>
        <w:t>Table</w:t>
      </w:r>
      <w:r>
        <w:rPr>
          <w:b/>
          <w:spacing w:val="6"/>
          <w:sz w:val="18"/>
        </w:rPr>
        <w:t xml:space="preserve"> </w:t>
      </w:r>
      <w:r>
        <w:rPr>
          <w:b/>
          <w:w w:val="95"/>
          <w:sz w:val="18"/>
        </w:rPr>
        <w:t>9.2</w:t>
      </w:r>
      <w:r>
        <w:rPr>
          <w:b/>
          <w:spacing w:val="66"/>
          <w:sz w:val="18"/>
        </w:rPr>
        <w:t xml:space="preserve"> </w:t>
      </w:r>
      <w:r>
        <w:rPr>
          <w:b/>
          <w:w w:val="95"/>
          <w:sz w:val="18"/>
        </w:rPr>
        <w:t>Container</w:t>
      </w:r>
      <w:r>
        <w:rPr>
          <w:b/>
          <w:spacing w:val="7"/>
          <w:sz w:val="18"/>
        </w:rPr>
        <w:t xml:space="preserve"> </w:t>
      </w:r>
      <w:r>
        <w:rPr>
          <w:b/>
          <w:w w:val="95"/>
          <w:sz w:val="18"/>
        </w:rPr>
        <w:t>Terminal</w:t>
      </w:r>
      <w:r>
        <w:rPr>
          <w:b/>
          <w:spacing w:val="6"/>
          <w:sz w:val="18"/>
        </w:rPr>
        <w:t xml:space="preserve"> </w:t>
      </w:r>
      <w:r>
        <w:rPr>
          <w:b/>
          <w:w w:val="95"/>
          <w:sz w:val="18"/>
        </w:rPr>
        <w:t>Port</w:t>
      </w:r>
      <w:r>
        <w:rPr>
          <w:b/>
          <w:spacing w:val="7"/>
          <w:sz w:val="18"/>
        </w:rPr>
        <w:t xml:space="preserve"> </w:t>
      </w:r>
      <w:r>
        <w:rPr>
          <w:b/>
          <w:w w:val="95"/>
          <w:sz w:val="18"/>
        </w:rPr>
        <w:t>Productivity</w:t>
      </w:r>
      <w:r>
        <w:rPr>
          <w:b/>
          <w:spacing w:val="6"/>
          <w:sz w:val="18"/>
        </w:rPr>
        <w:t xml:space="preserve"> </w:t>
      </w:r>
      <w:r>
        <w:rPr>
          <w:b/>
          <w:spacing w:val="-2"/>
          <w:w w:val="95"/>
          <w:sz w:val="18"/>
        </w:rPr>
        <w:t>Comparison</w:t>
      </w:r>
    </w:p>
    <w:p w:rsidR="002C1123" w:rsidRDefault="002C1123">
      <w:pPr>
        <w:rPr>
          <w:sz w:val="18"/>
        </w:rPr>
        <w:sectPr w:rsidR="002C1123">
          <w:type w:val="continuous"/>
          <w:pgSz w:w="16840" w:h="11910" w:orient="landscape"/>
          <w:pgMar w:top="560" w:right="280" w:bottom="280" w:left="500" w:header="0" w:footer="517" w:gutter="0"/>
          <w:cols w:num="2" w:space="720" w:equalWidth="0">
            <w:col w:w="4981" w:space="55"/>
            <w:col w:w="11024"/>
          </w:cols>
        </w:sectPr>
      </w:pPr>
    </w:p>
    <w:p w:rsidR="002C1123" w:rsidRDefault="00F22F94">
      <w:pPr>
        <w:pStyle w:val="BodyText"/>
        <w:spacing w:before="6" w:line="249" w:lineRule="auto"/>
        <w:ind w:left="492" w:right="368"/>
        <w:jc w:val="both"/>
      </w:pPr>
      <w:r>
        <w:rPr>
          <w:w w:val="95"/>
        </w:rPr>
        <w:t>of import containers are destined for no further than 50 kilometres from the port gate</w:t>
      </w:r>
      <w:r>
        <w:rPr>
          <w:w w:val="95"/>
          <w:position w:val="7"/>
          <w:sz w:val="11"/>
        </w:rPr>
        <w:t>2</w:t>
      </w:r>
      <w:r>
        <w:rPr>
          <w:w w:val="95"/>
        </w:rPr>
        <w:t>. It is this proximity to</w:t>
      </w:r>
      <w:r>
        <w:rPr>
          <w:spacing w:val="-2"/>
          <w:w w:val="95"/>
        </w:rPr>
        <w:t xml:space="preserve"> </w:t>
      </w:r>
      <w:r>
        <w:rPr>
          <w:w w:val="95"/>
        </w:rPr>
        <w:t>the</w:t>
      </w:r>
      <w:r>
        <w:rPr>
          <w:spacing w:val="-2"/>
          <w:w w:val="95"/>
        </w:rPr>
        <w:t xml:space="preserve"> </w:t>
      </w:r>
      <w:r>
        <w:rPr>
          <w:w w:val="95"/>
        </w:rPr>
        <w:t>market</w:t>
      </w:r>
      <w:r>
        <w:rPr>
          <w:spacing w:val="-2"/>
          <w:w w:val="95"/>
        </w:rPr>
        <w:t xml:space="preserve"> </w:t>
      </w:r>
      <w:r>
        <w:rPr>
          <w:w w:val="95"/>
        </w:rPr>
        <w:t>that</w:t>
      </w:r>
      <w:r>
        <w:rPr>
          <w:spacing w:val="-2"/>
          <w:w w:val="95"/>
        </w:rPr>
        <w:t xml:space="preserve"> </w:t>
      </w:r>
      <w:r>
        <w:rPr>
          <w:w w:val="95"/>
        </w:rPr>
        <w:t>provides</w:t>
      </w:r>
      <w:r>
        <w:rPr>
          <w:spacing w:val="-2"/>
          <w:w w:val="95"/>
        </w:rPr>
        <w:t xml:space="preserve"> </w:t>
      </w:r>
      <w:r>
        <w:rPr>
          <w:w w:val="95"/>
        </w:rPr>
        <w:t>Port</w:t>
      </w:r>
      <w:r>
        <w:rPr>
          <w:spacing w:val="-2"/>
          <w:w w:val="95"/>
        </w:rPr>
        <w:t xml:space="preserve"> </w:t>
      </w:r>
      <w:r>
        <w:rPr>
          <w:w w:val="95"/>
        </w:rPr>
        <w:t>Botany</w:t>
      </w:r>
      <w:r>
        <w:rPr>
          <w:spacing w:val="-2"/>
          <w:w w:val="95"/>
        </w:rPr>
        <w:t xml:space="preserve"> </w:t>
      </w:r>
      <w:r>
        <w:rPr>
          <w:w w:val="95"/>
        </w:rPr>
        <w:t>with</w:t>
      </w:r>
      <w:r>
        <w:rPr>
          <w:spacing w:val="-2"/>
          <w:w w:val="95"/>
        </w:rPr>
        <w:t xml:space="preserve"> </w:t>
      </w:r>
      <w:r>
        <w:rPr>
          <w:w w:val="95"/>
        </w:rPr>
        <w:t>its</w:t>
      </w:r>
      <w:r>
        <w:rPr>
          <w:spacing w:val="-2"/>
          <w:w w:val="95"/>
        </w:rPr>
        <w:t xml:space="preserve"> </w:t>
      </w:r>
      <w:r>
        <w:rPr>
          <w:w w:val="95"/>
        </w:rPr>
        <w:t xml:space="preserve">non- </w:t>
      </w:r>
      <w:r>
        <w:t>replicable competitive advantage.</w:t>
      </w:r>
    </w:p>
    <w:p w:rsidR="002C1123" w:rsidRDefault="00F22F94">
      <w:pPr>
        <w:pStyle w:val="BodyText"/>
        <w:spacing w:before="145" w:line="249" w:lineRule="auto"/>
        <w:ind w:left="492"/>
      </w:pPr>
      <w:r>
        <w:t>The</w:t>
      </w:r>
      <w:r>
        <w:rPr>
          <w:spacing w:val="-14"/>
        </w:rPr>
        <w:t xml:space="preserve"> </w:t>
      </w:r>
      <w:r>
        <w:t>export</w:t>
      </w:r>
      <w:r>
        <w:rPr>
          <w:spacing w:val="-14"/>
        </w:rPr>
        <w:t xml:space="preserve"> </w:t>
      </w:r>
      <w:r>
        <w:t>trade</w:t>
      </w:r>
      <w:r>
        <w:rPr>
          <w:spacing w:val="-14"/>
        </w:rPr>
        <w:t xml:space="preserve"> </w:t>
      </w:r>
      <w:r>
        <w:t>is</w:t>
      </w:r>
      <w:r>
        <w:rPr>
          <w:spacing w:val="-14"/>
        </w:rPr>
        <w:t xml:space="preserve"> </w:t>
      </w:r>
      <w:r>
        <w:t>diverse</w:t>
      </w:r>
      <w:r>
        <w:rPr>
          <w:spacing w:val="-13"/>
        </w:rPr>
        <w:t xml:space="preserve"> </w:t>
      </w:r>
      <w:r>
        <w:t>and</w:t>
      </w:r>
      <w:r>
        <w:rPr>
          <w:spacing w:val="-14"/>
        </w:rPr>
        <w:t xml:space="preserve"> </w:t>
      </w:r>
      <w:r>
        <w:t>includes</w:t>
      </w:r>
      <w:r>
        <w:rPr>
          <w:spacing w:val="-14"/>
        </w:rPr>
        <w:t xml:space="preserve"> </w:t>
      </w:r>
      <w:r>
        <w:t xml:space="preserve">agricultural </w:t>
      </w:r>
      <w:r>
        <w:rPr>
          <w:w w:val="95"/>
        </w:rPr>
        <w:t>produce</w:t>
      </w:r>
      <w:r>
        <w:rPr>
          <w:spacing w:val="-3"/>
          <w:w w:val="95"/>
        </w:rPr>
        <w:t xml:space="preserve"> </w:t>
      </w:r>
      <w:r>
        <w:rPr>
          <w:w w:val="95"/>
        </w:rPr>
        <w:t>and</w:t>
      </w:r>
      <w:r>
        <w:rPr>
          <w:spacing w:val="-3"/>
          <w:w w:val="95"/>
        </w:rPr>
        <w:t xml:space="preserve"> </w:t>
      </w:r>
      <w:r>
        <w:rPr>
          <w:w w:val="95"/>
        </w:rPr>
        <w:t>some</w:t>
      </w:r>
      <w:r>
        <w:rPr>
          <w:spacing w:val="-3"/>
          <w:w w:val="95"/>
        </w:rPr>
        <w:t xml:space="preserve"> </w:t>
      </w:r>
      <w:r>
        <w:rPr>
          <w:w w:val="95"/>
        </w:rPr>
        <w:t>mineral</w:t>
      </w:r>
      <w:r>
        <w:rPr>
          <w:spacing w:val="-3"/>
          <w:w w:val="95"/>
        </w:rPr>
        <w:t xml:space="preserve"> </w:t>
      </w:r>
      <w:r>
        <w:rPr>
          <w:w w:val="95"/>
        </w:rPr>
        <w:t>exports</w:t>
      </w:r>
      <w:r>
        <w:rPr>
          <w:spacing w:val="-3"/>
          <w:w w:val="95"/>
        </w:rPr>
        <w:t xml:space="preserve"> </w:t>
      </w:r>
      <w:r>
        <w:rPr>
          <w:w w:val="95"/>
        </w:rPr>
        <w:t>from</w:t>
      </w:r>
      <w:r>
        <w:rPr>
          <w:spacing w:val="-3"/>
          <w:w w:val="95"/>
        </w:rPr>
        <w:t xml:space="preserve"> </w:t>
      </w:r>
      <w:r>
        <w:rPr>
          <w:w w:val="95"/>
        </w:rPr>
        <w:t>regional</w:t>
      </w:r>
      <w:r>
        <w:rPr>
          <w:spacing w:val="-3"/>
          <w:w w:val="95"/>
        </w:rPr>
        <w:t xml:space="preserve"> </w:t>
      </w:r>
      <w:r>
        <w:rPr>
          <w:w w:val="95"/>
        </w:rPr>
        <w:t xml:space="preserve">NSW, </w:t>
      </w:r>
      <w:r>
        <w:t>and</w:t>
      </w:r>
      <w:r>
        <w:rPr>
          <w:spacing w:val="-5"/>
        </w:rPr>
        <w:t xml:space="preserve"> </w:t>
      </w:r>
      <w:r>
        <w:t>manufactured</w:t>
      </w:r>
      <w:r>
        <w:rPr>
          <w:spacing w:val="-5"/>
        </w:rPr>
        <w:t xml:space="preserve"> </w:t>
      </w:r>
      <w:r>
        <w:t>goods</w:t>
      </w:r>
      <w:r>
        <w:rPr>
          <w:spacing w:val="-5"/>
        </w:rPr>
        <w:t xml:space="preserve"> </w:t>
      </w:r>
      <w:r>
        <w:t>primarily</w:t>
      </w:r>
      <w:r>
        <w:rPr>
          <w:spacing w:val="-5"/>
        </w:rPr>
        <w:t xml:space="preserve"> </w:t>
      </w:r>
      <w:r>
        <w:t>from</w:t>
      </w:r>
      <w:r>
        <w:rPr>
          <w:spacing w:val="-5"/>
        </w:rPr>
        <w:t xml:space="preserve"> </w:t>
      </w:r>
      <w:r>
        <w:t>metropolitan NSW.</w:t>
      </w:r>
      <w:r>
        <w:rPr>
          <w:spacing w:val="-9"/>
        </w:rPr>
        <w:t xml:space="preserve"> </w:t>
      </w:r>
      <w:r>
        <w:t>In</w:t>
      </w:r>
      <w:r>
        <w:rPr>
          <w:spacing w:val="-9"/>
        </w:rPr>
        <w:t xml:space="preserve"> </w:t>
      </w:r>
      <w:r>
        <w:t>addition,</w:t>
      </w:r>
      <w:r>
        <w:rPr>
          <w:spacing w:val="-9"/>
        </w:rPr>
        <w:t xml:space="preserve"> </w:t>
      </w:r>
      <w:r>
        <w:t>the</w:t>
      </w:r>
      <w:r>
        <w:rPr>
          <w:spacing w:val="-9"/>
        </w:rPr>
        <w:t xml:space="preserve"> </w:t>
      </w:r>
      <w:r>
        <w:t>export</w:t>
      </w:r>
      <w:r>
        <w:rPr>
          <w:spacing w:val="-9"/>
        </w:rPr>
        <w:t xml:space="preserve"> </w:t>
      </w:r>
      <w:r>
        <w:t>of</w:t>
      </w:r>
      <w:r>
        <w:rPr>
          <w:spacing w:val="-9"/>
        </w:rPr>
        <w:t xml:space="preserve"> </w:t>
      </w:r>
      <w:r>
        <w:t>empty</w:t>
      </w:r>
      <w:r>
        <w:rPr>
          <w:spacing w:val="-9"/>
        </w:rPr>
        <w:t xml:space="preserve"> </w:t>
      </w:r>
      <w:r>
        <w:t xml:space="preserve">containers </w:t>
      </w:r>
      <w:r>
        <w:rPr>
          <w:w w:val="95"/>
        </w:rPr>
        <w:t xml:space="preserve">(stored in container parks in the metropolitan area) is a </w:t>
      </w:r>
      <w:r>
        <w:t>significant</w:t>
      </w:r>
      <w:r>
        <w:rPr>
          <w:spacing w:val="-11"/>
        </w:rPr>
        <w:t xml:space="preserve"> </w:t>
      </w:r>
      <w:r>
        <w:t>task.</w:t>
      </w:r>
    </w:p>
    <w:p w:rsidR="002C1123" w:rsidRDefault="00F22F94">
      <w:pPr>
        <w:pStyle w:val="BodyText"/>
        <w:spacing w:before="147" w:line="249" w:lineRule="auto"/>
        <w:ind w:left="492"/>
      </w:pPr>
      <w:r>
        <w:rPr>
          <w:w w:val="95"/>
        </w:rPr>
        <w:t>A</w:t>
      </w:r>
      <w:r>
        <w:rPr>
          <w:spacing w:val="-7"/>
          <w:w w:val="95"/>
        </w:rPr>
        <w:t xml:space="preserve"> </w:t>
      </w:r>
      <w:r>
        <w:rPr>
          <w:w w:val="95"/>
        </w:rPr>
        <w:t>feature</w:t>
      </w:r>
      <w:r>
        <w:rPr>
          <w:spacing w:val="-7"/>
          <w:w w:val="95"/>
        </w:rPr>
        <w:t xml:space="preserve"> </w:t>
      </w:r>
      <w:r>
        <w:rPr>
          <w:w w:val="95"/>
        </w:rPr>
        <w:t>of</w:t>
      </w:r>
      <w:r>
        <w:rPr>
          <w:spacing w:val="-7"/>
          <w:w w:val="95"/>
        </w:rPr>
        <w:t xml:space="preserve"> </w:t>
      </w:r>
      <w:r>
        <w:rPr>
          <w:w w:val="95"/>
        </w:rPr>
        <w:t>the</w:t>
      </w:r>
      <w:r>
        <w:rPr>
          <w:spacing w:val="-7"/>
          <w:w w:val="95"/>
        </w:rPr>
        <w:t xml:space="preserve"> </w:t>
      </w:r>
      <w:r>
        <w:rPr>
          <w:w w:val="95"/>
        </w:rPr>
        <w:t>container</w:t>
      </w:r>
      <w:r>
        <w:rPr>
          <w:spacing w:val="-7"/>
          <w:w w:val="95"/>
        </w:rPr>
        <w:t xml:space="preserve"> </w:t>
      </w:r>
      <w:r>
        <w:rPr>
          <w:w w:val="95"/>
        </w:rPr>
        <w:t>business</w:t>
      </w:r>
      <w:r>
        <w:rPr>
          <w:spacing w:val="-7"/>
          <w:w w:val="95"/>
        </w:rPr>
        <w:t xml:space="preserve"> </w:t>
      </w:r>
      <w:r>
        <w:rPr>
          <w:w w:val="95"/>
        </w:rPr>
        <w:t>is</w:t>
      </w:r>
      <w:r>
        <w:rPr>
          <w:spacing w:val="-7"/>
          <w:w w:val="95"/>
        </w:rPr>
        <w:t xml:space="preserve"> </w:t>
      </w:r>
      <w:r>
        <w:rPr>
          <w:w w:val="95"/>
        </w:rPr>
        <w:t>that</w:t>
      </w:r>
      <w:r>
        <w:rPr>
          <w:spacing w:val="-7"/>
          <w:w w:val="95"/>
        </w:rPr>
        <w:t xml:space="preserve"> </w:t>
      </w:r>
      <w:r>
        <w:rPr>
          <w:w w:val="95"/>
        </w:rPr>
        <w:t>growth</w:t>
      </w:r>
      <w:r>
        <w:rPr>
          <w:spacing w:val="-7"/>
          <w:w w:val="95"/>
        </w:rPr>
        <w:t xml:space="preserve"> </w:t>
      </w:r>
      <w:r>
        <w:rPr>
          <w:w w:val="95"/>
        </w:rPr>
        <w:t>is continuing</w:t>
      </w:r>
      <w:r>
        <w:rPr>
          <w:spacing w:val="-5"/>
          <w:w w:val="95"/>
        </w:rPr>
        <w:t xml:space="preserve"> </w:t>
      </w:r>
      <w:r>
        <w:rPr>
          <w:w w:val="95"/>
        </w:rPr>
        <w:t>at</w:t>
      </w:r>
      <w:r>
        <w:rPr>
          <w:spacing w:val="-5"/>
          <w:w w:val="95"/>
        </w:rPr>
        <w:t xml:space="preserve"> </w:t>
      </w:r>
      <w:r>
        <w:rPr>
          <w:w w:val="95"/>
        </w:rPr>
        <w:t>a</w:t>
      </w:r>
      <w:r>
        <w:rPr>
          <w:spacing w:val="-5"/>
          <w:w w:val="95"/>
        </w:rPr>
        <w:t xml:space="preserve"> </w:t>
      </w:r>
      <w:r>
        <w:rPr>
          <w:w w:val="95"/>
        </w:rPr>
        <w:t>long</w:t>
      </w:r>
      <w:r>
        <w:rPr>
          <w:spacing w:val="-5"/>
          <w:w w:val="95"/>
        </w:rPr>
        <w:t xml:space="preserve"> </w:t>
      </w:r>
      <w:r>
        <w:rPr>
          <w:w w:val="95"/>
        </w:rPr>
        <w:t>term</w:t>
      </w:r>
      <w:r>
        <w:rPr>
          <w:spacing w:val="-5"/>
          <w:w w:val="95"/>
        </w:rPr>
        <w:t xml:space="preserve"> </w:t>
      </w:r>
      <w:r>
        <w:rPr>
          <w:w w:val="95"/>
        </w:rPr>
        <w:t>trend</w:t>
      </w:r>
      <w:r>
        <w:rPr>
          <w:spacing w:val="-5"/>
          <w:w w:val="95"/>
        </w:rPr>
        <w:t xml:space="preserve"> </w:t>
      </w:r>
      <w:r>
        <w:rPr>
          <w:w w:val="95"/>
        </w:rPr>
        <w:t>of</w:t>
      </w:r>
      <w:r>
        <w:rPr>
          <w:spacing w:val="-5"/>
          <w:w w:val="95"/>
        </w:rPr>
        <w:t xml:space="preserve"> </w:t>
      </w:r>
      <w:r>
        <w:rPr>
          <w:w w:val="95"/>
        </w:rPr>
        <w:t>more</w:t>
      </w:r>
      <w:r>
        <w:rPr>
          <w:spacing w:val="-5"/>
          <w:w w:val="95"/>
        </w:rPr>
        <w:t xml:space="preserve"> </w:t>
      </w:r>
      <w:r>
        <w:rPr>
          <w:w w:val="95"/>
        </w:rPr>
        <w:t>than</w:t>
      </w:r>
      <w:r>
        <w:rPr>
          <w:spacing w:val="-5"/>
          <w:w w:val="95"/>
        </w:rPr>
        <w:t xml:space="preserve"> </w:t>
      </w:r>
      <w:r>
        <w:rPr>
          <w:w w:val="95"/>
        </w:rPr>
        <w:t>twice</w:t>
      </w:r>
      <w:r>
        <w:rPr>
          <w:spacing w:val="-5"/>
          <w:w w:val="95"/>
        </w:rPr>
        <w:t xml:space="preserve"> </w:t>
      </w:r>
      <w:r>
        <w:rPr>
          <w:w w:val="95"/>
        </w:rPr>
        <w:t xml:space="preserve">GDP </w:t>
      </w:r>
      <w:r>
        <w:rPr>
          <w:w w:val="90"/>
        </w:rPr>
        <w:t xml:space="preserve">growth – averaging seven percent per annum over the past </w:t>
      </w:r>
      <w:r>
        <w:rPr>
          <w:spacing w:val="-2"/>
          <w:w w:val="95"/>
        </w:rPr>
        <w:t>15</w:t>
      </w:r>
      <w:r>
        <w:rPr>
          <w:spacing w:val="-6"/>
          <w:w w:val="95"/>
        </w:rPr>
        <w:t xml:space="preserve"> </w:t>
      </w:r>
      <w:r>
        <w:rPr>
          <w:spacing w:val="-2"/>
          <w:w w:val="95"/>
        </w:rPr>
        <w:t>years</w:t>
      </w:r>
      <w:r>
        <w:rPr>
          <w:spacing w:val="-2"/>
          <w:w w:val="95"/>
          <w:position w:val="7"/>
          <w:sz w:val="11"/>
        </w:rPr>
        <w:t>3</w:t>
      </w:r>
      <w:r>
        <w:rPr>
          <w:spacing w:val="-2"/>
          <w:w w:val="95"/>
        </w:rPr>
        <w:t>.</w:t>
      </w:r>
      <w:r>
        <w:rPr>
          <w:spacing w:val="-6"/>
          <w:w w:val="95"/>
        </w:rPr>
        <w:t xml:space="preserve"> </w:t>
      </w:r>
      <w:r>
        <w:rPr>
          <w:spacing w:val="-2"/>
          <w:w w:val="95"/>
        </w:rPr>
        <w:t>Container</w:t>
      </w:r>
      <w:r>
        <w:rPr>
          <w:spacing w:val="-6"/>
          <w:w w:val="95"/>
        </w:rPr>
        <w:t xml:space="preserve"> </w:t>
      </w:r>
      <w:r>
        <w:rPr>
          <w:spacing w:val="-2"/>
          <w:w w:val="95"/>
        </w:rPr>
        <w:t>trade</w:t>
      </w:r>
      <w:r>
        <w:rPr>
          <w:spacing w:val="-6"/>
          <w:w w:val="95"/>
        </w:rPr>
        <w:t xml:space="preserve"> </w:t>
      </w:r>
      <w:r>
        <w:rPr>
          <w:spacing w:val="-2"/>
          <w:w w:val="95"/>
        </w:rPr>
        <w:t>through</w:t>
      </w:r>
      <w:r>
        <w:rPr>
          <w:spacing w:val="-6"/>
          <w:w w:val="95"/>
        </w:rPr>
        <w:t xml:space="preserve"> </w:t>
      </w:r>
      <w:r>
        <w:rPr>
          <w:spacing w:val="-2"/>
          <w:w w:val="95"/>
        </w:rPr>
        <w:t>Port</w:t>
      </w:r>
      <w:r>
        <w:rPr>
          <w:spacing w:val="-6"/>
          <w:w w:val="95"/>
        </w:rPr>
        <w:t xml:space="preserve"> </w:t>
      </w:r>
      <w:r>
        <w:rPr>
          <w:spacing w:val="-2"/>
          <w:w w:val="95"/>
        </w:rPr>
        <w:t>Botany</w:t>
      </w:r>
      <w:r>
        <w:rPr>
          <w:spacing w:val="-6"/>
          <w:w w:val="95"/>
        </w:rPr>
        <w:t xml:space="preserve"> </w:t>
      </w:r>
      <w:r>
        <w:rPr>
          <w:spacing w:val="-2"/>
          <w:w w:val="95"/>
        </w:rPr>
        <w:t>is</w:t>
      </w:r>
      <w:r>
        <w:rPr>
          <w:spacing w:val="-6"/>
          <w:w w:val="95"/>
        </w:rPr>
        <w:t xml:space="preserve"> </w:t>
      </w:r>
      <w:r>
        <w:rPr>
          <w:spacing w:val="-2"/>
          <w:w w:val="95"/>
        </w:rPr>
        <w:t xml:space="preserve">forecast </w:t>
      </w:r>
      <w:r>
        <w:rPr>
          <w:w w:val="95"/>
        </w:rPr>
        <w:t>to</w:t>
      </w:r>
      <w:r>
        <w:rPr>
          <w:spacing w:val="-13"/>
          <w:w w:val="95"/>
        </w:rPr>
        <w:t xml:space="preserve"> </w:t>
      </w:r>
      <w:r>
        <w:rPr>
          <w:w w:val="95"/>
        </w:rPr>
        <w:t>nearly</w:t>
      </w:r>
      <w:r>
        <w:rPr>
          <w:spacing w:val="-12"/>
          <w:w w:val="95"/>
        </w:rPr>
        <w:t xml:space="preserve"> </w:t>
      </w:r>
      <w:r>
        <w:rPr>
          <w:w w:val="95"/>
        </w:rPr>
        <w:t>quadruple</w:t>
      </w:r>
      <w:r>
        <w:rPr>
          <w:spacing w:val="-12"/>
          <w:w w:val="95"/>
        </w:rPr>
        <w:t xml:space="preserve"> </w:t>
      </w:r>
      <w:r>
        <w:rPr>
          <w:w w:val="95"/>
        </w:rPr>
        <w:t>by</w:t>
      </w:r>
      <w:r>
        <w:rPr>
          <w:spacing w:val="-12"/>
          <w:w w:val="95"/>
        </w:rPr>
        <w:t xml:space="preserve"> </w:t>
      </w:r>
      <w:r>
        <w:rPr>
          <w:w w:val="95"/>
        </w:rPr>
        <w:t>2031,</w:t>
      </w:r>
      <w:r>
        <w:rPr>
          <w:spacing w:val="-13"/>
          <w:w w:val="95"/>
        </w:rPr>
        <w:t xml:space="preserve"> </w:t>
      </w:r>
      <w:r>
        <w:rPr>
          <w:w w:val="95"/>
        </w:rPr>
        <w:t>reaching</w:t>
      </w:r>
      <w:r>
        <w:rPr>
          <w:spacing w:val="-12"/>
          <w:w w:val="95"/>
        </w:rPr>
        <w:t xml:space="preserve"> </w:t>
      </w:r>
      <w:r>
        <w:rPr>
          <w:w w:val="95"/>
        </w:rPr>
        <w:t>over</w:t>
      </w:r>
      <w:r>
        <w:rPr>
          <w:spacing w:val="-12"/>
          <w:w w:val="95"/>
        </w:rPr>
        <w:t xml:space="preserve"> </w:t>
      </w:r>
      <w:r>
        <w:rPr>
          <w:w w:val="95"/>
        </w:rPr>
        <w:t>seven</w:t>
      </w:r>
      <w:r>
        <w:rPr>
          <w:spacing w:val="-12"/>
          <w:w w:val="95"/>
        </w:rPr>
        <w:t xml:space="preserve"> </w:t>
      </w:r>
      <w:r>
        <w:rPr>
          <w:w w:val="95"/>
        </w:rPr>
        <w:t>million TEUs</w:t>
      </w:r>
      <w:r>
        <w:rPr>
          <w:w w:val="95"/>
          <w:position w:val="7"/>
          <w:sz w:val="11"/>
        </w:rPr>
        <w:t>4</w:t>
      </w:r>
      <w:r>
        <w:rPr>
          <w:w w:val="95"/>
        </w:rPr>
        <w:t>,</w:t>
      </w:r>
      <w:r>
        <w:rPr>
          <w:spacing w:val="-9"/>
          <w:w w:val="95"/>
        </w:rPr>
        <w:t xml:space="preserve"> </w:t>
      </w:r>
      <w:r>
        <w:rPr>
          <w:w w:val="95"/>
        </w:rPr>
        <w:t>up</w:t>
      </w:r>
      <w:r>
        <w:rPr>
          <w:spacing w:val="-9"/>
          <w:w w:val="95"/>
        </w:rPr>
        <w:t xml:space="preserve"> </w:t>
      </w:r>
      <w:r>
        <w:rPr>
          <w:w w:val="95"/>
        </w:rPr>
        <w:t>from</w:t>
      </w:r>
      <w:r>
        <w:rPr>
          <w:spacing w:val="-9"/>
          <w:w w:val="95"/>
        </w:rPr>
        <w:t xml:space="preserve"> </w:t>
      </w:r>
      <w:r>
        <w:rPr>
          <w:w w:val="95"/>
        </w:rPr>
        <w:t>two</w:t>
      </w:r>
      <w:r>
        <w:rPr>
          <w:spacing w:val="-9"/>
          <w:w w:val="95"/>
        </w:rPr>
        <w:t xml:space="preserve"> </w:t>
      </w:r>
      <w:r>
        <w:rPr>
          <w:w w:val="95"/>
        </w:rPr>
        <w:t>million</w:t>
      </w:r>
      <w:r>
        <w:rPr>
          <w:spacing w:val="-9"/>
          <w:w w:val="95"/>
        </w:rPr>
        <w:t xml:space="preserve"> </w:t>
      </w:r>
      <w:r>
        <w:rPr>
          <w:w w:val="95"/>
        </w:rPr>
        <w:t>TEUs</w:t>
      </w:r>
      <w:r>
        <w:rPr>
          <w:spacing w:val="-9"/>
          <w:w w:val="95"/>
        </w:rPr>
        <w:t xml:space="preserve"> </w:t>
      </w:r>
      <w:r>
        <w:rPr>
          <w:w w:val="95"/>
        </w:rPr>
        <w:t>in</w:t>
      </w:r>
      <w:r>
        <w:rPr>
          <w:spacing w:val="-9"/>
          <w:w w:val="95"/>
        </w:rPr>
        <w:t xml:space="preserve"> </w:t>
      </w:r>
      <w:r>
        <w:rPr>
          <w:w w:val="95"/>
        </w:rPr>
        <w:t>2011</w:t>
      </w:r>
      <w:r>
        <w:rPr>
          <w:w w:val="95"/>
          <w:position w:val="7"/>
          <w:sz w:val="11"/>
        </w:rPr>
        <w:t>5</w:t>
      </w:r>
      <w:r>
        <w:rPr>
          <w:w w:val="95"/>
        </w:rPr>
        <w:t>.</w:t>
      </w:r>
    </w:p>
    <w:p w:rsidR="002C1123" w:rsidRDefault="002060EF">
      <w:pPr>
        <w:pStyle w:val="BodyText"/>
        <w:spacing w:before="4"/>
        <w:rPr>
          <w:sz w:val="22"/>
        </w:rPr>
      </w:pPr>
      <w:r>
        <w:pict>
          <v:shape id="docshape1502" o:spid="_x0000_s3731" style="position:absolute;margin-left:49.6pt;margin-top:14.05pt;width:1in;height:.1pt;z-index:-251369472;mso-wrap-distance-left:0;mso-wrap-distance-right:0;mso-position-horizontal-relative:page" coordorigin="992,281" coordsize="1440,0" path="m992,281r1440,e" filled="f" strokecolor="#9c9c9d" strokeweight=".5pt">
            <v:path arrowok="t"/>
            <w10:wrap type="topAndBottom" anchorx="page"/>
          </v:shape>
        </w:pict>
      </w:r>
    </w:p>
    <w:p w:rsidR="002C1123" w:rsidRDefault="00F22F94">
      <w:pPr>
        <w:pStyle w:val="ListParagraph"/>
        <w:numPr>
          <w:ilvl w:val="0"/>
          <w:numId w:val="78"/>
        </w:numPr>
        <w:tabs>
          <w:tab w:val="left" w:pos="691"/>
        </w:tabs>
        <w:spacing w:before="23" w:line="161" w:lineRule="exact"/>
        <w:jc w:val="left"/>
        <w:rPr>
          <w:sz w:val="14"/>
        </w:rPr>
      </w:pPr>
      <w:r>
        <w:rPr>
          <w:w w:val="95"/>
          <w:sz w:val="14"/>
        </w:rPr>
        <w:t>Ports</w:t>
      </w:r>
      <w:r>
        <w:rPr>
          <w:spacing w:val="-3"/>
          <w:w w:val="95"/>
          <w:sz w:val="14"/>
        </w:rPr>
        <w:t xml:space="preserve"> </w:t>
      </w:r>
      <w:r>
        <w:rPr>
          <w:w w:val="95"/>
          <w:sz w:val="14"/>
        </w:rPr>
        <w:t>Australia</w:t>
      </w:r>
      <w:r>
        <w:rPr>
          <w:spacing w:val="-3"/>
          <w:w w:val="95"/>
          <w:sz w:val="14"/>
        </w:rPr>
        <w:t xml:space="preserve"> </w:t>
      </w:r>
      <w:r>
        <w:rPr>
          <w:w w:val="95"/>
          <w:sz w:val="14"/>
        </w:rPr>
        <w:t>2011,</w:t>
      </w:r>
      <w:r>
        <w:rPr>
          <w:spacing w:val="-3"/>
          <w:w w:val="95"/>
          <w:sz w:val="14"/>
        </w:rPr>
        <w:t xml:space="preserve"> </w:t>
      </w:r>
      <w:r>
        <w:rPr>
          <w:w w:val="95"/>
          <w:sz w:val="14"/>
        </w:rPr>
        <w:t>Containerised</w:t>
      </w:r>
      <w:r>
        <w:rPr>
          <w:spacing w:val="-3"/>
          <w:w w:val="95"/>
          <w:sz w:val="14"/>
        </w:rPr>
        <w:t xml:space="preserve"> </w:t>
      </w:r>
      <w:r>
        <w:rPr>
          <w:w w:val="95"/>
          <w:sz w:val="14"/>
        </w:rPr>
        <w:t>Trade</w:t>
      </w:r>
      <w:r>
        <w:rPr>
          <w:spacing w:val="-2"/>
          <w:w w:val="95"/>
          <w:sz w:val="14"/>
        </w:rPr>
        <w:t xml:space="preserve"> Statistics.</w:t>
      </w:r>
    </w:p>
    <w:p w:rsidR="002C1123" w:rsidRDefault="00F22F94">
      <w:pPr>
        <w:pStyle w:val="ListParagraph"/>
        <w:numPr>
          <w:ilvl w:val="0"/>
          <w:numId w:val="78"/>
        </w:numPr>
        <w:tabs>
          <w:tab w:val="left" w:pos="691"/>
        </w:tabs>
        <w:spacing w:line="160" w:lineRule="exact"/>
        <w:jc w:val="left"/>
        <w:rPr>
          <w:sz w:val="14"/>
        </w:rPr>
      </w:pPr>
      <w:r>
        <w:rPr>
          <w:w w:val="95"/>
          <w:sz w:val="14"/>
        </w:rPr>
        <w:t>Sydney</w:t>
      </w:r>
      <w:r>
        <w:rPr>
          <w:sz w:val="14"/>
        </w:rPr>
        <w:t xml:space="preserve"> </w:t>
      </w:r>
      <w:r>
        <w:rPr>
          <w:w w:val="95"/>
          <w:sz w:val="14"/>
        </w:rPr>
        <w:t>Ports</w:t>
      </w:r>
      <w:r>
        <w:rPr>
          <w:spacing w:val="1"/>
          <w:sz w:val="14"/>
        </w:rPr>
        <w:t xml:space="preserve"> </w:t>
      </w:r>
      <w:r>
        <w:rPr>
          <w:w w:val="95"/>
          <w:sz w:val="14"/>
        </w:rPr>
        <w:t>Corporation</w:t>
      </w:r>
      <w:r>
        <w:rPr>
          <w:spacing w:val="1"/>
          <w:sz w:val="14"/>
        </w:rPr>
        <w:t xml:space="preserve"> </w:t>
      </w:r>
      <w:r>
        <w:rPr>
          <w:w w:val="95"/>
          <w:sz w:val="14"/>
        </w:rPr>
        <w:t>2011,</w:t>
      </w:r>
      <w:r>
        <w:rPr>
          <w:spacing w:val="1"/>
          <w:sz w:val="14"/>
        </w:rPr>
        <w:t xml:space="preserve"> </w:t>
      </w:r>
      <w:r>
        <w:rPr>
          <w:w w:val="95"/>
          <w:sz w:val="14"/>
        </w:rPr>
        <w:t>Logistics</w:t>
      </w:r>
      <w:r>
        <w:rPr>
          <w:sz w:val="14"/>
        </w:rPr>
        <w:t xml:space="preserve"> </w:t>
      </w:r>
      <w:r>
        <w:rPr>
          <w:w w:val="95"/>
          <w:sz w:val="14"/>
        </w:rPr>
        <w:t>Review</w:t>
      </w:r>
      <w:r>
        <w:rPr>
          <w:spacing w:val="1"/>
          <w:sz w:val="14"/>
        </w:rPr>
        <w:t xml:space="preserve"> </w:t>
      </w:r>
      <w:r>
        <w:rPr>
          <w:w w:val="95"/>
          <w:sz w:val="14"/>
        </w:rPr>
        <w:t>2010-</w:t>
      </w:r>
      <w:r>
        <w:rPr>
          <w:spacing w:val="-5"/>
          <w:w w:val="95"/>
          <w:sz w:val="14"/>
        </w:rPr>
        <w:t>11.</w:t>
      </w:r>
    </w:p>
    <w:p w:rsidR="002C1123" w:rsidRDefault="00F22F94">
      <w:pPr>
        <w:pStyle w:val="ListParagraph"/>
        <w:numPr>
          <w:ilvl w:val="0"/>
          <w:numId w:val="78"/>
        </w:numPr>
        <w:tabs>
          <w:tab w:val="left" w:pos="691"/>
        </w:tabs>
        <w:ind w:right="526"/>
        <w:jc w:val="left"/>
        <w:rPr>
          <w:sz w:val="14"/>
        </w:rPr>
      </w:pPr>
      <w:r>
        <w:rPr>
          <w:w w:val="95"/>
          <w:sz w:val="14"/>
        </w:rPr>
        <w:t>NSW Government 2011, Port Botany and Sydney Airport Transport</w:t>
      </w:r>
      <w:r>
        <w:rPr>
          <w:spacing w:val="40"/>
          <w:sz w:val="14"/>
        </w:rPr>
        <w:t xml:space="preserve"> </w:t>
      </w:r>
      <w:r>
        <w:rPr>
          <w:sz w:val="14"/>
        </w:rPr>
        <w:t>Improvement Program, submission to Infrastructure Australia.</w:t>
      </w:r>
    </w:p>
    <w:p w:rsidR="002C1123" w:rsidRDefault="00F22F94">
      <w:pPr>
        <w:pStyle w:val="ListParagraph"/>
        <w:numPr>
          <w:ilvl w:val="0"/>
          <w:numId w:val="78"/>
        </w:numPr>
        <w:tabs>
          <w:tab w:val="left" w:pos="691"/>
        </w:tabs>
        <w:ind w:right="679"/>
        <w:jc w:val="left"/>
        <w:rPr>
          <w:sz w:val="14"/>
        </w:rPr>
      </w:pPr>
      <w:r>
        <w:rPr>
          <w:w w:val="95"/>
          <w:sz w:val="14"/>
        </w:rPr>
        <w:t>TEU = Twenty-Foot Equivalent Unit. The unit of volume used by</w:t>
      </w:r>
      <w:r>
        <w:rPr>
          <w:spacing w:val="40"/>
          <w:sz w:val="14"/>
        </w:rPr>
        <w:t xml:space="preserve"> </w:t>
      </w:r>
      <w:r>
        <w:rPr>
          <w:w w:val="95"/>
          <w:sz w:val="14"/>
        </w:rPr>
        <w:t>the container freight industry, akin to a standard-sized container.</w:t>
      </w:r>
    </w:p>
    <w:p w:rsidR="002C1123" w:rsidRDefault="00F22F94">
      <w:pPr>
        <w:pStyle w:val="ListParagraph"/>
        <w:numPr>
          <w:ilvl w:val="0"/>
          <w:numId w:val="78"/>
        </w:numPr>
        <w:tabs>
          <w:tab w:val="left" w:pos="691"/>
        </w:tabs>
        <w:ind w:right="327"/>
        <w:jc w:val="left"/>
        <w:rPr>
          <w:sz w:val="14"/>
        </w:rPr>
      </w:pPr>
      <w:r>
        <w:rPr>
          <w:w w:val="95"/>
          <w:sz w:val="14"/>
        </w:rPr>
        <w:t>Sydney</w:t>
      </w:r>
      <w:r>
        <w:rPr>
          <w:spacing w:val="-1"/>
          <w:w w:val="95"/>
          <w:sz w:val="14"/>
        </w:rPr>
        <w:t xml:space="preserve"> </w:t>
      </w:r>
      <w:r>
        <w:rPr>
          <w:w w:val="95"/>
          <w:sz w:val="14"/>
        </w:rPr>
        <w:t>Ports</w:t>
      </w:r>
      <w:r>
        <w:rPr>
          <w:spacing w:val="-1"/>
          <w:w w:val="95"/>
          <w:sz w:val="14"/>
        </w:rPr>
        <w:t xml:space="preserve"> </w:t>
      </w:r>
      <w:r>
        <w:rPr>
          <w:w w:val="95"/>
          <w:sz w:val="14"/>
        </w:rPr>
        <w:t>Corporation</w:t>
      </w:r>
      <w:r>
        <w:rPr>
          <w:spacing w:val="-1"/>
          <w:w w:val="95"/>
          <w:sz w:val="14"/>
        </w:rPr>
        <w:t xml:space="preserve"> </w:t>
      </w:r>
      <w:r>
        <w:rPr>
          <w:w w:val="95"/>
          <w:sz w:val="14"/>
        </w:rPr>
        <w:t>2011,</w:t>
      </w:r>
      <w:r>
        <w:rPr>
          <w:spacing w:val="-1"/>
          <w:w w:val="95"/>
          <w:sz w:val="14"/>
        </w:rPr>
        <w:t xml:space="preserve"> </w:t>
      </w:r>
      <w:r>
        <w:rPr>
          <w:w w:val="95"/>
          <w:sz w:val="14"/>
        </w:rPr>
        <w:t>The</w:t>
      </w:r>
      <w:r>
        <w:rPr>
          <w:spacing w:val="-1"/>
          <w:w w:val="95"/>
          <w:sz w:val="14"/>
        </w:rPr>
        <w:t xml:space="preserve"> </w:t>
      </w:r>
      <w:r>
        <w:rPr>
          <w:w w:val="95"/>
          <w:sz w:val="14"/>
        </w:rPr>
        <w:t>Future</w:t>
      </w:r>
      <w:r>
        <w:rPr>
          <w:spacing w:val="-1"/>
          <w:w w:val="95"/>
          <w:sz w:val="14"/>
        </w:rPr>
        <w:t xml:space="preserve"> </w:t>
      </w:r>
      <w:r>
        <w:rPr>
          <w:w w:val="95"/>
          <w:sz w:val="14"/>
        </w:rPr>
        <w:t>of</w:t>
      </w:r>
      <w:r>
        <w:rPr>
          <w:spacing w:val="-1"/>
          <w:w w:val="95"/>
          <w:sz w:val="14"/>
        </w:rPr>
        <w:t xml:space="preserve"> </w:t>
      </w:r>
      <w:r>
        <w:rPr>
          <w:w w:val="95"/>
          <w:sz w:val="14"/>
        </w:rPr>
        <w:t>Sydney</w:t>
      </w:r>
      <w:r>
        <w:rPr>
          <w:spacing w:val="-1"/>
          <w:w w:val="95"/>
          <w:sz w:val="14"/>
        </w:rPr>
        <w:t xml:space="preserve"> </w:t>
      </w:r>
      <w:r>
        <w:rPr>
          <w:w w:val="95"/>
          <w:sz w:val="14"/>
        </w:rPr>
        <w:t>Ports:</w:t>
      </w:r>
      <w:r>
        <w:rPr>
          <w:spacing w:val="-1"/>
          <w:w w:val="95"/>
          <w:sz w:val="14"/>
        </w:rPr>
        <w:t xml:space="preserve"> </w:t>
      </w:r>
      <w:r>
        <w:rPr>
          <w:w w:val="95"/>
          <w:sz w:val="14"/>
        </w:rPr>
        <w:t>A</w:t>
      </w:r>
      <w:r>
        <w:rPr>
          <w:spacing w:val="-1"/>
          <w:w w:val="95"/>
          <w:sz w:val="14"/>
        </w:rPr>
        <w:t xml:space="preserve"> </w:t>
      </w:r>
      <w:r>
        <w:rPr>
          <w:w w:val="95"/>
          <w:sz w:val="14"/>
        </w:rPr>
        <w:t>30</w:t>
      </w:r>
      <w:r>
        <w:rPr>
          <w:spacing w:val="-1"/>
          <w:w w:val="95"/>
          <w:sz w:val="14"/>
        </w:rPr>
        <w:t xml:space="preserve"> </w:t>
      </w:r>
      <w:r>
        <w:rPr>
          <w:w w:val="95"/>
          <w:sz w:val="14"/>
        </w:rPr>
        <w:t>year</w:t>
      </w:r>
      <w:r>
        <w:rPr>
          <w:spacing w:val="40"/>
          <w:sz w:val="14"/>
        </w:rPr>
        <w:t xml:space="preserve"> </w:t>
      </w:r>
      <w:r>
        <w:rPr>
          <w:spacing w:val="-2"/>
          <w:sz w:val="14"/>
        </w:rPr>
        <w:t>Horizon.</w:t>
      </w:r>
    </w:p>
    <w:p w:rsidR="002C1123" w:rsidRDefault="00F22F94">
      <w:pPr>
        <w:spacing w:before="66" w:line="235" w:lineRule="auto"/>
        <w:ind w:left="2804" w:right="238"/>
        <w:rPr>
          <w:b/>
          <w:sz w:val="16"/>
        </w:rPr>
      </w:pPr>
      <w:r>
        <w:br w:type="column"/>
      </w:r>
      <w:r>
        <w:rPr>
          <w:b/>
          <w:color w:val="2E3092"/>
          <w:sz w:val="16"/>
        </w:rPr>
        <w:t>Net</w:t>
      </w:r>
      <w:r>
        <w:rPr>
          <w:b/>
          <w:color w:val="2E3092"/>
          <w:spacing w:val="-12"/>
          <w:sz w:val="16"/>
        </w:rPr>
        <w:t xml:space="preserve"> </w:t>
      </w:r>
      <w:r>
        <w:rPr>
          <w:b/>
          <w:color w:val="2E3092"/>
          <w:sz w:val="16"/>
        </w:rPr>
        <w:t>Crane</w:t>
      </w:r>
      <w:r>
        <w:rPr>
          <w:b/>
          <w:color w:val="2E3092"/>
          <w:spacing w:val="-11"/>
          <w:sz w:val="16"/>
        </w:rPr>
        <w:t xml:space="preserve"> </w:t>
      </w:r>
      <w:r>
        <w:rPr>
          <w:b/>
          <w:color w:val="2E3092"/>
          <w:sz w:val="16"/>
        </w:rPr>
        <w:t xml:space="preserve">Rate </w:t>
      </w:r>
      <w:r>
        <w:rPr>
          <w:b/>
          <w:color w:val="2E3092"/>
          <w:spacing w:val="-2"/>
          <w:sz w:val="16"/>
        </w:rPr>
        <w:t>(TEU/hour)</w:t>
      </w: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spacing w:before="3"/>
        <w:rPr>
          <w:b/>
          <w:sz w:val="22"/>
        </w:rPr>
      </w:pPr>
    </w:p>
    <w:p w:rsidR="002C1123" w:rsidRDefault="002060EF">
      <w:pPr>
        <w:ind w:left="249"/>
        <w:rPr>
          <w:sz w:val="14"/>
        </w:rPr>
      </w:pPr>
      <w:r>
        <w:pict>
          <v:shape id="docshape1503" o:spid="_x0000_s3730" type="#_x0000_t202" style="position:absolute;left:0;text-align:left;margin-left:307.1pt;margin-top:-88.85pt;width:15.85pt;height:9.55pt;z-index:251418624;mso-position-horizontal-relative:page" filled="f" stroked="f">
            <v:textbox inset="0,0,0,0">
              <w:txbxContent>
                <w:p w:rsidR="00F22F94" w:rsidRDefault="00F22F94">
                  <w:pPr>
                    <w:spacing w:before="6"/>
                    <w:rPr>
                      <w:b/>
                      <w:sz w:val="16"/>
                    </w:rPr>
                  </w:pPr>
                  <w:r>
                    <w:rPr>
                      <w:b/>
                      <w:color w:val="2E3092"/>
                      <w:spacing w:val="-5"/>
                      <w:sz w:val="16"/>
                    </w:rPr>
                    <w:t>Port</w:t>
                  </w:r>
                </w:p>
              </w:txbxContent>
            </v:textbox>
            <w10:wrap anchorx="page"/>
          </v:shape>
        </w:pict>
      </w:r>
      <w:r>
        <w:pict>
          <v:shape id="docshape1504" o:spid="_x0000_s3729" type="#_x0000_t202" style="position:absolute;left:0;text-align:left;margin-left:300.95pt;margin-top:-71.4pt;width:491.35pt;height:69.2pt;z-index:251419648;mso-position-horizontal-relative:page" filled="f" stroked="f">
            <v:textbox inset="0,0,0,0">
              <w:txbxContent>
                <w:tbl>
                  <w:tblPr>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452"/>
                    <w:gridCol w:w="2452"/>
                    <w:gridCol w:w="2452"/>
                    <w:gridCol w:w="2452"/>
                  </w:tblGrid>
                  <w:tr w:rsidR="00F22F94">
                    <w:trPr>
                      <w:trHeight w:val="321"/>
                    </w:trPr>
                    <w:tc>
                      <w:tcPr>
                        <w:tcW w:w="2452" w:type="dxa"/>
                        <w:tcBorders>
                          <w:left w:val="nil"/>
                        </w:tcBorders>
                        <w:shd w:val="clear" w:color="auto" w:fill="C9C8C9"/>
                      </w:tcPr>
                      <w:p w:rsidR="00F22F94" w:rsidRDefault="00F22F94">
                        <w:pPr>
                          <w:pStyle w:val="TableParagraph"/>
                          <w:rPr>
                            <w:sz w:val="16"/>
                          </w:rPr>
                        </w:pPr>
                        <w:r>
                          <w:rPr>
                            <w:spacing w:val="-2"/>
                            <w:sz w:val="16"/>
                          </w:rPr>
                          <w:t>Sydney</w:t>
                        </w:r>
                      </w:p>
                    </w:tc>
                    <w:tc>
                      <w:tcPr>
                        <w:tcW w:w="2452" w:type="dxa"/>
                        <w:shd w:val="clear" w:color="auto" w:fill="E1E0E1"/>
                      </w:tcPr>
                      <w:p w:rsidR="00F22F94" w:rsidRDefault="00F22F94">
                        <w:pPr>
                          <w:pStyle w:val="TableParagraph"/>
                          <w:rPr>
                            <w:sz w:val="16"/>
                          </w:rPr>
                        </w:pPr>
                        <w:r>
                          <w:rPr>
                            <w:spacing w:val="-5"/>
                            <w:sz w:val="16"/>
                          </w:rPr>
                          <w:t>26</w:t>
                        </w:r>
                      </w:p>
                    </w:tc>
                    <w:tc>
                      <w:tcPr>
                        <w:tcW w:w="2452" w:type="dxa"/>
                        <w:shd w:val="clear" w:color="auto" w:fill="E1E0E1"/>
                      </w:tcPr>
                      <w:p w:rsidR="00F22F94" w:rsidRDefault="00F22F94">
                        <w:pPr>
                          <w:pStyle w:val="TableParagraph"/>
                          <w:ind w:left="112"/>
                          <w:rPr>
                            <w:sz w:val="16"/>
                          </w:rPr>
                        </w:pPr>
                        <w:r>
                          <w:rPr>
                            <w:spacing w:val="-5"/>
                            <w:sz w:val="16"/>
                          </w:rPr>
                          <w:t>834</w:t>
                        </w:r>
                      </w:p>
                    </w:tc>
                    <w:tc>
                      <w:tcPr>
                        <w:tcW w:w="2452" w:type="dxa"/>
                        <w:shd w:val="clear" w:color="auto" w:fill="E1E0E1"/>
                      </w:tcPr>
                      <w:p w:rsidR="00F22F94" w:rsidRDefault="00F22F94">
                        <w:pPr>
                          <w:pStyle w:val="TableParagraph"/>
                          <w:ind w:left="112"/>
                          <w:rPr>
                            <w:sz w:val="16"/>
                          </w:rPr>
                        </w:pPr>
                        <w:r>
                          <w:rPr>
                            <w:spacing w:val="-2"/>
                            <w:sz w:val="16"/>
                          </w:rPr>
                          <w:t>19,708</w:t>
                        </w:r>
                      </w:p>
                    </w:tc>
                  </w:tr>
                  <w:tr w:rsidR="00F22F94">
                    <w:trPr>
                      <w:trHeight w:val="321"/>
                    </w:trPr>
                    <w:tc>
                      <w:tcPr>
                        <w:tcW w:w="2452" w:type="dxa"/>
                        <w:tcBorders>
                          <w:left w:val="nil"/>
                        </w:tcBorders>
                        <w:shd w:val="clear" w:color="auto" w:fill="C9C8C9"/>
                      </w:tcPr>
                      <w:p w:rsidR="00F22F94" w:rsidRDefault="00F22F94">
                        <w:pPr>
                          <w:pStyle w:val="TableParagraph"/>
                          <w:rPr>
                            <w:sz w:val="16"/>
                          </w:rPr>
                        </w:pPr>
                        <w:r>
                          <w:rPr>
                            <w:spacing w:val="-2"/>
                            <w:w w:val="105"/>
                            <w:sz w:val="16"/>
                          </w:rPr>
                          <w:t>Melbourne</w:t>
                        </w:r>
                      </w:p>
                    </w:tc>
                    <w:tc>
                      <w:tcPr>
                        <w:tcW w:w="2452" w:type="dxa"/>
                        <w:shd w:val="clear" w:color="auto" w:fill="E1E0E1"/>
                      </w:tcPr>
                      <w:p w:rsidR="00F22F94" w:rsidRDefault="00F22F94">
                        <w:pPr>
                          <w:pStyle w:val="TableParagraph"/>
                          <w:rPr>
                            <w:sz w:val="16"/>
                          </w:rPr>
                        </w:pPr>
                        <w:r>
                          <w:rPr>
                            <w:spacing w:val="-5"/>
                            <w:sz w:val="16"/>
                          </w:rPr>
                          <w:t>29</w:t>
                        </w:r>
                      </w:p>
                    </w:tc>
                    <w:tc>
                      <w:tcPr>
                        <w:tcW w:w="2452" w:type="dxa"/>
                        <w:shd w:val="clear" w:color="auto" w:fill="E1E0E1"/>
                      </w:tcPr>
                      <w:p w:rsidR="00F22F94" w:rsidRDefault="00F22F94">
                        <w:pPr>
                          <w:pStyle w:val="TableParagraph"/>
                          <w:ind w:left="112"/>
                          <w:rPr>
                            <w:sz w:val="16"/>
                          </w:rPr>
                        </w:pPr>
                        <w:r>
                          <w:rPr>
                            <w:spacing w:val="-2"/>
                            <w:sz w:val="16"/>
                          </w:rPr>
                          <w:t>1,146</w:t>
                        </w:r>
                      </w:p>
                    </w:tc>
                    <w:tc>
                      <w:tcPr>
                        <w:tcW w:w="2452" w:type="dxa"/>
                        <w:shd w:val="clear" w:color="auto" w:fill="E1E0E1"/>
                      </w:tcPr>
                      <w:p w:rsidR="00F22F94" w:rsidRDefault="00F22F94">
                        <w:pPr>
                          <w:pStyle w:val="TableParagraph"/>
                          <w:ind w:left="112"/>
                          <w:rPr>
                            <w:sz w:val="16"/>
                          </w:rPr>
                        </w:pPr>
                        <w:r>
                          <w:rPr>
                            <w:spacing w:val="-2"/>
                            <w:sz w:val="16"/>
                          </w:rPr>
                          <w:t>27,576</w:t>
                        </w:r>
                      </w:p>
                    </w:tc>
                  </w:tr>
                  <w:tr w:rsidR="00F22F94">
                    <w:trPr>
                      <w:trHeight w:val="321"/>
                    </w:trPr>
                    <w:tc>
                      <w:tcPr>
                        <w:tcW w:w="2452" w:type="dxa"/>
                        <w:tcBorders>
                          <w:left w:val="nil"/>
                        </w:tcBorders>
                        <w:shd w:val="clear" w:color="auto" w:fill="C9C8C9"/>
                      </w:tcPr>
                      <w:p w:rsidR="00F22F94" w:rsidRDefault="00F22F94">
                        <w:pPr>
                          <w:pStyle w:val="TableParagraph"/>
                          <w:rPr>
                            <w:sz w:val="16"/>
                          </w:rPr>
                        </w:pPr>
                        <w:r>
                          <w:rPr>
                            <w:sz w:val="16"/>
                          </w:rPr>
                          <w:t>Hong</w:t>
                        </w:r>
                        <w:r>
                          <w:rPr>
                            <w:spacing w:val="-1"/>
                            <w:w w:val="105"/>
                            <w:sz w:val="16"/>
                          </w:rPr>
                          <w:t xml:space="preserve"> </w:t>
                        </w:r>
                        <w:r>
                          <w:rPr>
                            <w:spacing w:val="-4"/>
                            <w:w w:val="105"/>
                            <w:sz w:val="16"/>
                          </w:rPr>
                          <w:t>Kong</w:t>
                        </w:r>
                      </w:p>
                    </w:tc>
                    <w:tc>
                      <w:tcPr>
                        <w:tcW w:w="2452" w:type="dxa"/>
                        <w:shd w:val="clear" w:color="auto" w:fill="E1E0E1"/>
                      </w:tcPr>
                      <w:p w:rsidR="00F22F94" w:rsidRDefault="00F22F94">
                        <w:pPr>
                          <w:pStyle w:val="TableParagraph"/>
                          <w:rPr>
                            <w:sz w:val="16"/>
                          </w:rPr>
                        </w:pPr>
                        <w:r>
                          <w:rPr>
                            <w:spacing w:val="-5"/>
                            <w:sz w:val="16"/>
                          </w:rPr>
                          <w:t>36</w:t>
                        </w:r>
                      </w:p>
                    </w:tc>
                    <w:tc>
                      <w:tcPr>
                        <w:tcW w:w="2452" w:type="dxa"/>
                        <w:shd w:val="clear" w:color="auto" w:fill="E1E0E1"/>
                      </w:tcPr>
                      <w:p w:rsidR="00F22F94" w:rsidRDefault="00F22F94">
                        <w:pPr>
                          <w:pStyle w:val="TableParagraph"/>
                          <w:ind w:left="112"/>
                          <w:rPr>
                            <w:sz w:val="16"/>
                          </w:rPr>
                        </w:pPr>
                        <w:r>
                          <w:rPr>
                            <w:spacing w:val="-2"/>
                            <w:sz w:val="16"/>
                          </w:rPr>
                          <w:t>2,661</w:t>
                        </w:r>
                      </w:p>
                    </w:tc>
                    <w:tc>
                      <w:tcPr>
                        <w:tcW w:w="2452" w:type="dxa"/>
                        <w:shd w:val="clear" w:color="auto" w:fill="E1E0E1"/>
                      </w:tcPr>
                      <w:p w:rsidR="00F22F94" w:rsidRDefault="00F22F94">
                        <w:pPr>
                          <w:pStyle w:val="TableParagraph"/>
                          <w:ind w:left="112"/>
                          <w:rPr>
                            <w:sz w:val="16"/>
                          </w:rPr>
                        </w:pPr>
                        <w:r>
                          <w:rPr>
                            <w:spacing w:val="-2"/>
                            <w:sz w:val="16"/>
                          </w:rPr>
                          <w:t>107,997</w:t>
                        </w:r>
                      </w:p>
                    </w:tc>
                  </w:tr>
                  <w:tr w:rsidR="00F22F94">
                    <w:trPr>
                      <w:trHeight w:val="321"/>
                    </w:trPr>
                    <w:tc>
                      <w:tcPr>
                        <w:tcW w:w="2452" w:type="dxa"/>
                        <w:tcBorders>
                          <w:left w:val="nil"/>
                        </w:tcBorders>
                        <w:shd w:val="clear" w:color="auto" w:fill="C9C8C9"/>
                      </w:tcPr>
                      <w:p w:rsidR="00F22F94" w:rsidRDefault="00F22F94">
                        <w:pPr>
                          <w:pStyle w:val="TableParagraph"/>
                          <w:rPr>
                            <w:sz w:val="16"/>
                          </w:rPr>
                        </w:pPr>
                        <w:r>
                          <w:rPr>
                            <w:spacing w:val="-2"/>
                            <w:sz w:val="16"/>
                          </w:rPr>
                          <w:t>Shanghai</w:t>
                        </w:r>
                      </w:p>
                    </w:tc>
                    <w:tc>
                      <w:tcPr>
                        <w:tcW w:w="2452" w:type="dxa"/>
                        <w:shd w:val="clear" w:color="auto" w:fill="E1E0E1"/>
                      </w:tcPr>
                      <w:p w:rsidR="00F22F94" w:rsidRDefault="00F22F94">
                        <w:pPr>
                          <w:pStyle w:val="TableParagraph"/>
                          <w:rPr>
                            <w:sz w:val="16"/>
                          </w:rPr>
                        </w:pPr>
                        <w:r>
                          <w:rPr>
                            <w:spacing w:val="-5"/>
                            <w:sz w:val="16"/>
                          </w:rPr>
                          <w:t>35</w:t>
                        </w:r>
                      </w:p>
                    </w:tc>
                    <w:tc>
                      <w:tcPr>
                        <w:tcW w:w="2452" w:type="dxa"/>
                        <w:shd w:val="clear" w:color="auto" w:fill="E1E0E1"/>
                      </w:tcPr>
                      <w:p w:rsidR="00F22F94" w:rsidRDefault="00F22F94">
                        <w:pPr>
                          <w:pStyle w:val="TableParagraph"/>
                          <w:ind w:left="112"/>
                          <w:rPr>
                            <w:sz w:val="16"/>
                          </w:rPr>
                        </w:pPr>
                        <w:r>
                          <w:rPr>
                            <w:spacing w:val="-2"/>
                            <w:sz w:val="16"/>
                          </w:rPr>
                          <w:t>2,061</w:t>
                        </w:r>
                      </w:p>
                    </w:tc>
                    <w:tc>
                      <w:tcPr>
                        <w:tcW w:w="2452" w:type="dxa"/>
                        <w:shd w:val="clear" w:color="auto" w:fill="E1E0E1"/>
                      </w:tcPr>
                      <w:p w:rsidR="00F22F94" w:rsidRDefault="00F22F94">
                        <w:pPr>
                          <w:pStyle w:val="TableParagraph"/>
                          <w:ind w:left="112"/>
                          <w:rPr>
                            <w:sz w:val="16"/>
                          </w:rPr>
                        </w:pPr>
                        <w:r>
                          <w:rPr>
                            <w:spacing w:val="-2"/>
                            <w:sz w:val="16"/>
                          </w:rPr>
                          <w:t>45,135</w:t>
                        </w:r>
                      </w:p>
                    </w:tc>
                  </w:tr>
                </w:tbl>
                <w:p w:rsidR="00F22F94" w:rsidRDefault="00F22F94">
                  <w:pPr>
                    <w:pStyle w:val="BodyText"/>
                  </w:pPr>
                </w:p>
              </w:txbxContent>
            </v:textbox>
            <w10:wrap anchorx="page"/>
          </v:shape>
        </w:pict>
      </w:r>
      <w:r w:rsidR="00F22F94">
        <w:rPr>
          <w:w w:val="95"/>
          <w:sz w:val="14"/>
        </w:rPr>
        <w:t>Source:</w:t>
      </w:r>
      <w:r w:rsidR="00F22F94">
        <w:rPr>
          <w:spacing w:val="-1"/>
          <w:w w:val="95"/>
          <w:sz w:val="14"/>
        </w:rPr>
        <w:t xml:space="preserve"> </w:t>
      </w:r>
      <w:r w:rsidR="00F22F94">
        <w:rPr>
          <w:spacing w:val="-2"/>
          <w:sz w:val="14"/>
        </w:rPr>
        <w:t>BITRE</w:t>
      </w:r>
    </w:p>
    <w:p w:rsidR="002C1123" w:rsidRDefault="00F22F94">
      <w:pPr>
        <w:spacing w:before="56"/>
        <w:ind w:left="249"/>
        <w:rPr>
          <w:sz w:val="14"/>
        </w:rPr>
      </w:pPr>
      <w:r>
        <w:rPr>
          <w:w w:val="95"/>
          <w:sz w:val="14"/>
        </w:rPr>
        <w:t>*</w:t>
      </w:r>
      <w:r>
        <w:rPr>
          <w:spacing w:val="3"/>
          <w:sz w:val="14"/>
        </w:rPr>
        <w:t xml:space="preserve"> </w:t>
      </w:r>
      <w:r>
        <w:rPr>
          <w:w w:val="95"/>
          <w:sz w:val="14"/>
        </w:rPr>
        <w:t>TEU</w:t>
      </w:r>
      <w:r>
        <w:rPr>
          <w:spacing w:val="6"/>
          <w:sz w:val="14"/>
        </w:rPr>
        <w:t xml:space="preserve"> </w:t>
      </w:r>
      <w:r>
        <w:rPr>
          <w:w w:val="95"/>
          <w:sz w:val="14"/>
        </w:rPr>
        <w:t>per</w:t>
      </w:r>
      <w:r>
        <w:rPr>
          <w:spacing w:val="6"/>
          <w:sz w:val="14"/>
        </w:rPr>
        <w:t xml:space="preserve"> </w:t>
      </w:r>
      <w:r>
        <w:rPr>
          <w:w w:val="95"/>
          <w:sz w:val="14"/>
        </w:rPr>
        <w:t>gross</w:t>
      </w:r>
      <w:r>
        <w:rPr>
          <w:spacing w:val="5"/>
          <w:sz w:val="14"/>
        </w:rPr>
        <w:t xml:space="preserve"> </w:t>
      </w:r>
      <w:r>
        <w:rPr>
          <w:w w:val="95"/>
          <w:sz w:val="14"/>
        </w:rPr>
        <w:t>hectare</w:t>
      </w:r>
      <w:r>
        <w:rPr>
          <w:spacing w:val="6"/>
          <w:sz w:val="14"/>
        </w:rPr>
        <w:t xml:space="preserve"> </w:t>
      </w:r>
      <w:r>
        <w:rPr>
          <w:w w:val="95"/>
          <w:sz w:val="14"/>
        </w:rPr>
        <w:t>of</w:t>
      </w:r>
      <w:r>
        <w:rPr>
          <w:spacing w:val="6"/>
          <w:sz w:val="14"/>
        </w:rPr>
        <w:t xml:space="preserve"> </w:t>
      </w:r>
      <w:r>
        <w:rPr>
          <w:spacing w:val="-2"/>
          <w:w w:val="95"/>
          <w:sz w:val="14"/>
        </w:rPr>
        <w:t>yard.</w:t>
      </w:r>
    </w:p>
    <w:p w:rsidR="002C1123" w:rsidRDefault="002C1123">
      <w:pPr>
        <w:pStyle w:val="BodyText"/>
        <w:rPr>
          <w:sz w:val="16"/>
        </w:rPr>
      </w:pPr>
    </w:p>
    <w:p w:rsidR="002C1123" w:rsidRDefault="00F22F94">
      <w:pPr>
        <w:pStyle w:val="Heading6"/>
        <w:numPr>
          <w:ilvl w:val="2"/>
          <w:numId w:val="80"/>
        </w:numPr>
        <w:tabs>
          <w:tab w:val="left" w:pos="716"/>
        </w:tabs>
        <w:spacing w:before="99"/>
        <w:ind w:left="715" w:hanging="487"/>
        <w:jc w:val="left"/>
        <w:rPr>
          <w:color w:val="00AEEF"/>
        </w:rPr>
      </w:pPr>
      <w:r>
        <w:rPr>
          <w:color w:val="00AEEF"/>
          <w:w w:val="95"/>
        </w:rPr>
        <w:t>Portside</w:t>
      </w:r>
      <w:r>
        <w:rPr>
          <w:color w:val="00AEEF"/>
          <w:spacing w:val="6"/>
        </w:rPr>
        <w:t xml:space="preserve"> </w:t>
      </w:r>
      <w:r>
        <w:rPr>
          <w:color w:val="00AEEF"/>
          <w:spacing w:val="-2"/>
        </w:rPr>
        <w:t>infrastructure</w:t>
      </w:r>
    </w:p>
    <w:p w:rsidR="002C1123" w:rsidRDefault="00F22F94">
      <w:pPr>
        <w:pStyle w:val="BodyText"/>
        <w:spacing w:before="95" w:line="249" w:lineRule="auto"/>
        <w:ind w:left="229"/>
      </w:pPr>
      <w:r>
        <w:t>Port</w:t>
      </w:r>
      <w:r>
        <w:rPr>
          <w:spacing w:val="-13"/>
        </w:rPr>
        <w:t xml:space="preserve"> </w:t>
      </w:r>
      <w:r>
        <w:t>Botany</w:t>
      </w:r>
      <w:r>
        <w:rPr>
          <w:spacing w:val="-13"/>
        </w:rPr>
        <w:t xml:space="preserve"> </w:t>
      </w:r>
      <w:r>
        <w:t>container</w:t>
      </w:r>
      <w:r>
        <w:rPr>
          <w:spacing w:val="-13"/>
        </w:rPr>
        <w:t xml:space="preserve"> </w:t>
      </w:r>
      <w:r>
        <w:t>operations</w:t>
      </w:r>
      <w:r>
        <w:rPr>
          <w:spacing w:val="-13"/>
        </w:rPr>
        <w:t xml:space="preserve"> </w:t>
      </w:r>
      <w:r>
        <w:t>have</w:t>
      </w:r>
      <w:r>
        <w:rPr>
          <w:spacing w:val="-13"/>
        </w:rPr>
        <w:t xml:space="preserve"> </w:t>
      </w:r>
      <w:r>
        <w:t>operated</w:t>
      </w:r>
      <w:r>
        <w:rPr>
          <w:spacing w:val="-13"/>
        </w:rPr>
        <w:t xml:space="preserve"> </w:t>
      </w:r>
      <w:r>
        <w:t>as</w:t>
      </w:r>
      <w:r>
        <w:rPr>
          <w:spacing w:val="-13"/>
        </w:rPr>
        <w:t xml:space="preserve"> </w:t>
      </w:r>
      <w:r>
        <w:t xml:space="preserve">a </w:t>
      </w:r>
      <w:r>
        <w:rPr>
          <w:w w:val="95"/>
        </w:rPr>
        <w:t xml:space="preserve">duopoly since establishment: the incumbent stevedores </w:t>
      </w:r>
      <w:r>
        <w:rPr>
          <w:spacing w:val="-2"/>
        </w:rPr>
        <w:t>are</w:t>
      </w:r>
      <w:r>
        <w:rPr>
          <w:spacing w:val="-8"/>
        </w:rPr>
        <w:t xml:space="preserve"> </w:t>
      </w:r>
      <w:r>
        <w:rPr>
          <w:spacing w:val="-2"/>
        </w:rPr>
        <w:t>Patrick</w:t>
      </w:r>
      <w:r>
        <w:rPr>
          <w:spacing w:val="-8"/>
        </w:rPr>
        <w:t xml:space="preserve"> </w:t>
      </w:r>
      <w:r>
        <w:rPr>
          <w:spacing w:val="-2"/>
        </w:rPr>
        <w:t>(a</w:t>
      </w:r>
      <w:r>
        <w:rPr>
          <w:spacing w:val="-8"/>
        </w:rPr>
        <w:t xml:space="preserve"> </w:t>
      </w:r>
      <w:r>
        <w:rPr>
          <w:spacing w:val="-2"/>
        </w:rPr>
        <w:t>subsidiary</w:t>
      </w:r>
      <w:r>
        <w:rPr>
          <w:spacing w:val="-8"/>
        </w:rPr>
        <w:t xml:space="preserve"> </w:t>
      </w:r>
      <w:r>
        <w:rPr>
          <w:spacing w:val="-2"/>
        </w:rPr>
        <w:t>of</w:t>
      </w:r>
      <w:r>
        <w:rPr>
          <w:spacing w:val="-8"/>
        </w:rPr>
        <w:t xml:space="preserve"> </w:t>
      </w:r>
      <w:r>
        <w:rPr>
          <w:spacing w:val="-2"/>
        </w:rPr>
        <w:t>Asciano)</w:t>
      </w:r>
      <w:r>
        <w:rPr>
          <w:spacing w:val="-8"/>
        </w:rPr>
        <w:t xml:space="preserve"> </w:t>
      </w:r>
      <w:r>
        <w:rPr>
          <w:spacing w:val="-2"/>
        </w:rPr>
        <w:t>and</w:t>
      </w:r>
      <w:r>
        <w:rPr>
          <w:spacing w:val="-8"/>
        </w:rPr>
        <w:t xml:space="preserve"> </w:t>
      </w:r>
      <w:r>
        <w:rPr>
          <w:spacing w:val="-2"/>
        </w:rPr>
        <w:t>DP</w:t>
      </w:r>
      <w:r>
        <w:rPr>
          <w:spacing w:val="-8"/>
        </w:rPr>
        <w:t xml:space="preserve"> </w:t>
      </w:r>
      <w:r>
        <w:rPr>
          <w:spacing w:val="-2"/>
        </w:rPr>
        <w:t xml:space="preserve">World </w:t>
      </w:r>
      <w:r>
        <w:rPr>
          <w:w w:val="95"/>
        </w:rPr>
        <w:t xml:space="preserve">(formerly P&amp;O). A third terminal has recently been </w:t>
      </w:r>
      <w:r>
        <w:t>developed,</w:t>
      </w:r>
      <w:r>
        <w:rPr>
          <w:spacing w:val="-8"/>
        </w:rPr>
        <w:t xml:space="preserve"> </w:t>
      </w:r>
      <w:r>
        <w:t>which</w:t>
      </w:r>
      <w:r>
        <w:rPr>
          <w:spacing w:val="-8"/>
        </w:rPr>
        <w:t xml:space="preserve"> </w:t>
      </w:r>
      <w:r>
        <w:t>will</w:t>
      </w:r>
      <w:r>
        <w:rPr>
          <w:spacing w:val="-8"/>
        </w:rPr>
        <w:t xml:space="preserve"> </w:t>
      </w:r>
      <w:r>
        <w:t>be</w:t>
      </w:r>
      <w:r>
        <w:rPr>
          <w:spacing w:val="-8"/>
        </w:rPr>
        <w:t xml:space="preserve"> </w:t>
      </w:r>
      <w:r>
        <w:t>operated</w:t>
      </w:r>
      <w:r>
        <w:rPr>
          <w:spacing w:val="-8"/>
        </w:rPr>
        <w:t xml:space="preserve"> </w:t>
      </w:r>
      <w:r>
        <w:t>by</w:t>
      </w:r>
      <w:r>
        <w:rPr>
          <w:spacing w:val="-8"/>
        </w:rPr>
        <w:t xml:space="preserve"> </w:t>
      </w:r>
      <w:r>
        <w:t>Hutchison</w:t>
      </w:r>
      <w:r>
        <w:rPr>
          <w:spacing w:val="-8"/>
        </w:rPr>
        <w:t xml:space="preserve"> </w:t>
      </w:r>
      <w:r>
        <w:t>Ports starting in 2013.</w:t>
      </w:r>
    </w:p>
    <w:p w:rsidR="002C1123" w:rsidRDefault="00F22F94">
      <w:pPr>
        <w:pStyle w:val="BodyText"/>
        <w:spacing w:before="146" w:line="249" w:lineRule="auto"/>
        <w:ind w:left="229"/>
      </w:pPr>
      <w:r>
        <w:rPr>
          <w:w w:val="95"/>
        </w:rPr>
        <w:t>With</w:t>
      </w:r>
      <w:r>
        <w:rPr>
          <w:spacing w:val="-5"/>
          <w:w w:val="95"/>
        </w:rPr>
        <w:t xml:space="preserve"> </w:t>
      </w:r>
      <w:r>
        <w:rPr>
          <w:w w:val="95"/>
        </w:rPr>
        <w:t>the</w:t>
      </w:r>
      <w:r>
        <w:rPr>
          <w:spacing w:val="-5"/>
          <w:w w:val="95"/>
        </w:rPr>
        <w:t xml:space="preserve"> </w:t>
      </w:r>
      <w:r>
        <w:rPr>
          <w:w w:val="95"/>
        </w:rPr>
        <w:t>development</w:t>
      </w:r>
      <w:r>
        <w:rPr>
          <w:spacing w:val="-5"/>
          <w:w w:val="95"/>
        </w:rPr>
        <w:t xml:space="preserve"> </w:t>
      </w:r>
      <w:r>
        <w:rPr>
          <w:w w:val="95"/>
        </w:rPr>
        <w:t>of</w:t>
      </w:r>
      <w:r>
        <w:rPr>
          <w:spacing w:val="-5"/>
          <w:w w:val="95"/>
        </w:rPr>
        <w:t xml:space="preserve"> </w:t>
      </w:r>
      <w:r>
        <w:rPr>
          <w:w w:val="95"/>
        </w:rPr>
        <w:t>the</w:t>
      </w:r>
      <w:r>
        <w:rPr>
          <w:spacing w:val="-5"/>
          <w:w w:val="95"/>
        </w:rPr>
        <w:t xml:space="preserve"> </w:t>
      </w:r>
      <w:r>
        <w:rPr>
          <w:w w:val="95"/>
        </w:rPr>
        <w:t>third</w:t>
      </w:r>
      <w:r>
        <w:rPr>
          <w:spacing w:val="-5"/>
          <w:w w:val="95"/>
        </w:rPr>
        <w:t xml:space="preserve"> </w:t>
      </w:r>
      <w:r>
        <w:rPr>
          <w:w w:val="95"/>
        </w:rPr>
        <w:t>terminal,</w:t>
      </w:r>
      <w:r>
        <w:rPr>
          <w:spacing w:val="-5"/>
          <w:w w:val="95"/>
        </w:rPr>
        <w:t xml:space="preserve"> </w:t>
      </w:r>
      <w:r>
        <w:rPr>
          <w:w w:val="95"/>
        </w:rPr>
        <w:t>Port</w:t>
      </w:r>
      <w:r>
        <w:rPr>
          <w:spacing w:val="-5"/>
          <w:w w:val="95"/>
        </w:rPr>
        <w:t xml:space="preserve"> </w:t>
      </w:r>
      <w:r>
        <w:rPr>
          <w:w w:val="95"/>
        </w:rPr>
        <w:t xml:space="preserve">Botany </w:t>
      </w:r>
      <w:r>
        <w:t>now</w:t>
      </w:r>
      <w:r>
        <w:rPr>
          <w:spacing w:val="-11"/>
        </w:rPr>
        <w:t xml:space="preserve"> </w:t>
      </w:r>
      <w:r>
        <w:t>has</w:t>
      </w:r>
      <w:r>
        <w:rPr>
          <w:spacing w:val="-11"/>
        </w:rPr>
        <w:t xml:space="preserve"> </w:t>
      </w:r>
      <w:r>
        <w:t>the</w:t>
      </w:r>
      <w:r>
        <w:rPr>
          <w:spacing w:val="-11"/>
        </w:rPr>
        <w:t xml:space="preserve"> </w:t>
      </w:r>
      <w:r>
        <w:t>portside</w:t>
      </w:r>
      <w:r>
        <w:rPr>
          <w:spacing w:val="-11"/>
        </w:rPr>
        <w:t xml:space="preserve"> </w:t>
      </w:r>
      <w:r>
        <w:t>infrastructure</w:t>
      </w:r>
      <w:r>
        <w:rPr>
          <w:spacing w:val="-11"/>
        </w:rPr>
        <w:t xml:space="preserve"> </w:t>
      </w:r>
      <w:r>
        <w:t>to</w:t>
      </w:r>
      <w:r>
        <w:rPr>
          <w:spacing w:val="-11"/>
        </w:rPr>
        <w:t xml:space="preserve"> </w:t>
      </w:r>
      <w:r>
        <w:t>move</w:t>
      </w:r>
      <w:r>
        <w:rPr>
          <w:spacing w:val="-11"/>
        </w:rPr>
        <w:t xml:space="preserve"> </w:t>
      </w:r>
      <w:r>
        <w:t>at</w:t>
      </w:r>
      <w:r>
        <w:rPr>
          <w:spacing w:val="-11"/>
        </w:rPr>
        <w:t xml:space="preserve"> </w:t>
      </w:r>
      <w:r>
        <w:t xml:space="preserve">lEast </w:t>
      </w:r>
      <w:r>
        <w:rPr>
          <w:w w:val="95"/>
        </w:rPr>
        <w:t>seven</w:t>
      </w:r>
      <w:r>
        <w:rPr>
          <w:spacing w:val="-10"/>
          <w:w w:val="95"/>
        </w:rPr>
        <w:t xml:space="preserve"> </w:t>
      </w:r>
      <w:r>
        <w:rPr>
          <w:w w:val="95"/>
        </w:rPr>
        <w:t>million</w:t>
      </w:r>
      <w:r>
        <w:rPr>
          <w:spacing w:val="-10"/>
          <w:w w:val="95"/>
        </w:rPr>
        <w:t xml:space="preserve"> </w:t>
      </w:r>
      <w:r>
        <w:rPr>
          <w:w w:val="95"/>
        </w:rPr>
        <w:t>TEUs</w:t>
      </w:r>
      <w:r>
        <w:rPr>
          <w:spacing w:val="-10"/>
          <w:w w:val="95"/>
        </w:rPr>
        <w:t xml:space="preserve"> </w:t>
      </w:r>
      <w:r>
        <w:rPr>
          <w:w w:val="95"/>
        </w:rPr>
        <w:t>per</w:t>
      </w:r>
      <w:r>
        <w:rPr>
          <w:spacing w:val="-10"/>
          <w:w w:val="95"/>
        </w:rPr>
        <w:t xml:space="preserve"> </w:t>
      </w:r>
      <w:r>
        <w:rPr>
          <w:w w:val="95"/>
        </w:rPr>
        <w:t>annum,</w:t>
      </w:r>
      <w:r>
        <w:rPr>
          <w:spacing w:val="-10"/>
          <w:w w:val="95"/>
        </w:rPr>
        <w:t xml:space="preserve"> </w:t>
      </w:r>
      <w:r>
        <w:rPr>
          <w:w w:val="95"/>
        </w:rPr>
        <w:t>based</w:t>
      </w:r>
      <w:r>
        <w:rPr>
          <w:spacing w:val="-10"/>
          <w:w w:val="95"/>
        </w:rPr>
        <w:t xml:space="preserve"> </w:t>
      </w:r>
      <w:r>
        <w:rPr>
          <w:w w:val="95"/>
        </w:rPr>
        <w:t>on</w:t>
      </w:r>
      <w:r>
        <w:rPr>
          <w:spacing w:val="-10"/>
          <w:w w:val="95"/>
        </w:rPr>
        <w:t xml:space="preserve"> </w:t>
      </w:r>
      <w:r>
        <w:rPr>
          <w:w w:val="95"/>
        </w:rPr>
        <w:t>Sydney</w:t>
      </w:r>
      <w:r>
        <w:rPr>
          <w:spacing w:val="-10"/>
          <w:w w:val="95"/>
        </w:rPr>
        <w:t xml:space="preserve"> </w:t>
      </w:r>
      <w:r>
        <w:rPr>
          <w:w w:val="95"/>
        </w:rPr>
        <w:t xml:space="preserve">Ports </w:t>
      </w:r>
      <w:r>
        <w:t>Corporation</w:t>
      </w:r>
      <w:r>
        <w:rPr>
          <w:spacing w:val="-11"/>
        </w:rPr>
        <w:t xml:space="preserve"> </w:t>
      </w:r>
      <w:r>
        <w:t>estimates.</w:t>
      </w:r>
    </w:p>
    <w:p w:rsidR="002C1123" w:rsidRDefault="00F22F94">
      <w:pPr>
        <w:tabs>
          <w:tab w:val="left" w:pos="2714"/>
        </w:tabs>
        <w:spacing w:before="153"/>
        <w:ind w:left="263"/>
        <w:rPr>
          <w:b/>
          <w:sz w:val="16"/>
        </w:rPr>
      </w:pPr>
      <w:r>
        <w:br w:type="column"/>
      </w:r>
      <w:r>
        <w:rPr>
          <w:b/>
          <w:color w:val="2E3092"/>
          <w:sz w:val="16"/>
        </w:rPr>
        <w:t>TEU</w:t>
      </w:r>
      <w:r>
        <w:rPr>
          <w:b/>
          <w:color w:val="2E3092"/>
          <w:spacing w:val="-9"/>
          <w:sz w:val="16"/>
        </w:rPr>
        <w:t xml:space="preserve"> </w:t>
      </w:r>
      <w:r>
        <w:rPr>
          <w:b/>
          <w:color w:val="2E3092"/>
          <w:sz w:val="16"/>
        </w:rPr>
        <w:t>per</w:t>
      </w:r>
      <w:r>
        <w:rPr>
          <w:b/>
          <w:color w:val="2E3092"/>
          <w:spacing w:val="-8"/>
          <w:sz w:val="16"/>
        </w:rPr>
        <w:t xml:space="preserve"> </w:t>
      </w:r>
      <w:r>
        <w:rPr>
          <w:b/>
          <w:color w:val="2E3092"/>
          <w:sz w:val="16"/>
        </w:rPr>
        <w:t>berth</w:t>
      </w:r>
      <w:r>
        <w:rPr>
          <w:b/>
          <w:color w:val="2E3092"/>
          <w:spacing w:val="-9"/>
          <w:sz w:val="16"/>
        </w:rPr>
        <w:t xml:space="preserve"> </w:t>
      </w:r>
      <w:r>
        <w:rPr>
          <w:b/>
          <w:color w:val="2E3092"/>
          <w:spacing w:val="-4"/>
          <w:sz w:val="16"/>
        </w:rPr>
        <w:t>Metre</w:t>
      </w:r>
      <w:r>
        <w:rPr>
          <w:b/>
          <w:color w:val="2E3092"/>
          <w:sz w:val="16"/>
        </w:rPr>
        <w:tab/>
      </w:r>
      <w:r>
        <w:rPr>
          <w:b/>
          <w:color w:val="2E3092"/>
          <w:spacing w:val="-7"/>
          <w:sz w:val="16"/>
        </w:rPr>
        <w:t>Yard</w:t>
      </w:r>
      <w:r>
        <w:rPr>
          <w:b/>
          <w:color w:val="2E3092"/>
          <w:spacing w:val="1"/>
          <w:sz w:val="16"/>
        </w:rPr>
        <w:t xml:space="preserve"> </w:t>
      </w:r>
      <w:r>
        <w:rPr>
          <w:b/>
          <w:color w:val="2E3092"/>
          <w:spacing w:val="-2"/>
          <w:sz w:val="16"/>
        </w:rPr>
        <w:t>Utilisation*</w:t>
      </w: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F22F94">
      <w:pPr>
        <w:pStyle w:val="BodyText"/>
        <w:spacing w:before="151" w:line="249" w:lineRule="auto"/>
        <w:ind w:left="263" w:right="659"/>
      </w:pPr>
      <w:r>
        <w:rPr>
          <w:spacing w:val="-2"/>
          <w:w w:val="95"/>
        </w:rPr>
        <w:t>Maximising</w:t>
      </w:r>
      <w:r>
        <w:rPr>
          <w:spacing w:val="-16"/>
          <w:w w:val="95"/>
        </w:rPr>
        <w:t xml:space="preserve"> </w:t>
      </w:r>
      <w:r>
        <w:rPr>
          <w:spacing w:val="-2"/>
          <w:w w:val="95"/>
        </w:rPr>
        <w:t>the</w:t>
      </w:r>
      <w:r>
        <w:rPr>
          <w:spacing w:val="-16"/>
          <w:w w:val="95"/>
        </w:rPr>
        <w:t xml:space="preserve"> </w:t>
      </w:r>
      <w:r>
        <w:rPr>
          <w:spacing w:val="-2"/>
          <w:w w:val="95"/>
        </w:rPr>
        <w:t>potential</w:t>
      </w:r>
      <w:r>
        <w:rPr>
          <w:spacing w:val="-16"/>
          <w:w w:val="95"/>
        </w:rPr>
        <w:t xml:space="preserve"> </w:t>
      </w:r>
      <w:r>
        <w:rPr>
          <w:spacing w:val="-2"/>
          <w:w w:val="95"/>
        </w:rPr>
        <w:t>of</w:t>
      </w:r>
      <w:r>
        <w:rPr>
          <w:spacing w:val="-16"/>
          <w:w w:val="95"/>
        </w:rPr>
        <w:t xml:space="preserve"> </w:t>
      </w:r>
      <w:r>
        <w:rPr>
          <w:spacing w:val="-2"/>
          <w:w w:val="95"/>
        </w:rPr>
        <w:t>Port</w:t>
      </w:r>
      <w:r>
        <w:rPr>
          <w:spacing w:val="-16"/>
          <w:w w:val="95"/>
        </w:rPr>
        <w:t xml:space="preserve"> </w:t>
      </w:r>
      <w:r>
        <w:rPr>
          <w:spacing w:val="-2"/>
          <w:w w:val="95"/>
        </w:rPr>
        <w:t>Botany</w:t>
      </w:r>
      <w:r>
        <w:rPr>
          <w:spacing w:val="-16"/>
          <w:w w:val="95"/>
        </w:rPr>
        <w:t xml:space="preserve"> </w:t>
      </w:r>
      <w:r>
        <w:rPr>
          <w:spacing w:val="-2"/>
          <w:w w:val="95"/>
        </w:rPr>
        <w:t>will</w:t>
      </w:r>
      <w:r>
        <w:rPr>
          <w:spacing w:val="-16"/>
          <w:w w:val="95"/>
        </w:rPr>
        <w:t xml:space="preserve"> </w:t>
      </w:r>
      <w:r>
        <w:rPr>
          <w:spacing w:val="-2"/>
          <w:w w:val="95"/>
        </w:rPr>
        <w:t>require</w:t>
      </w:r>
      <w:r>
        <w:rPr>
          <w:spacing w:val="-16"/>
          <w:w w:val="95"/>
        </w:rPr>
        <w:t xml:space="preserve"> </w:t>
      </w:r>
      <w:r>
        <w:rPr>
          <w:spacing w:val="-2"/>
          <w:w w:val="95"/>
        </w:rPr>
        <w:t>an</w:t>
      </w:r>
      <w:r>
        <w:rPr>
          <w:spacing w:val="-16"/>
          <w:w w:val="95"/>
        </w:rPr>
        <w:t xml:space="preserve"> </w:t>
      </w:r>
      <w:r>
        <w:rPr>
          <w:spacing w:val="-2"/>
          <w:w w:val="95"/>
        </w:rPr>
        <w:t xml:space="preserve">uplift </w:t>
      </w:r>
      <w:r>
        <w:rPr>
          <w:spacing w:val="-2"/>
        </w:rPr>
        <w:t>in</w:t>
      </w:r>
      <w:r>
        <w:rPr>
          <w:spacing w:val="-20"/>
        </w:rPr>
        <w:t xml:space="preserve"> </w:t>
      </w:r>
      <w:r>
        <w:rPr>
          <w:spacing w:val="-2"/>
        </w:rPr>
        <w:t>productivity.</w:t>
      </w:r>
      <w:r>
        <w:rPr>
          <w:spacing w:val="-20"/>
        </w:rPr>
        <w:t xml:space="preserve"> </w:t>
      </w:r>
      <w:r>
        <w:rPr>
          <w:spacing w:val="-2"/>
        </w:rPr>
        <w:t>The</w:t>
      </w:r>
      <w:r>
        <w:rPr>
          <w:spacing w:val="-20"/>
        </w:rPr>
        <w:t xml:space="preserve"> </w:t>
      </w:r>
      <w:r>
        <w:rPr>
          <w:spacing w:val="-2"/>
        </w:rPr>
        <w:t>productivity</w:t>
      </w:r>
      <w:r>
        <w:rPr>
          <w:spacing w:val="-20"/>
        </w:rPr>
        <w:t xml:space="preserve"> </w:t>
      </w:r>
      <w:r>
        <w:rPr>
          <w:spacing w:val="-2"/>
        </w:rPr>
        <w:t>improvements</w:t>
      </w:r>
      <w:r>
        <w:rPr>
          <w:spacing w:val="-20"/>
        </w:rPr>
        <w:t xml:space="preserve"> </w:t>
      </w:r>
      <w:r>
        <w:rPr>
          <w:spacing w:val="-2"/>
        </w:rPr>
        <w:t xml:space="preserve">flowing </w:t>
      </w:r>
      <w:r>
        <w:rPr>
          <w:w w:val="95"/>
        </w:rPr>
        <w:t>from</w:t>
      </w:r>
      <w:r>
        <w:rPr>
          <w:spacing w:val="-18"/>
          <w:w w:val="95"/>
        </w:rPr>
        <w:t xml:space="preserve"> </w:t>
      </w:r>
      <w:r>
        <w:rPr>
          <w:w w:val="95"/>
        </w:rPr>
        <w:t>reform</w:t>
      </w:r>
      <w:r>
        <w:rPr>
          <w:spacing w:val="-18"/>
          <w:w w:val="95"/>
        </w:rPr>
        <w:t xml:space="preserve"> </w:t>
      </w:r>
      <w:r>
        <w:rPr>
          <w:w w:val="95"/>
        </w:rPr>
        <w:t>in</w:t>
      </w:r>
      <w:r>
        <w:rPr>
          <w:spacing w:val="-17"/>
          <w:w w:val="95"/>
        </w:rPr>
        <w:t xml:space="preserve"> </w:t>
      </w:r>
      <w:r>
        <w:rPr>
          <w:w w:val="95"/>
        </w:rPr>
        <w:t>the</w:t>
      </w:r>
      <w:r>
        <w:rPr>
          <w:spacing w:val="-17"/>
          <w:w w:val="95"/>
        </w:rPr>
        <w:t xml:space="preserve"> </w:t>
      </w:r>
      <w:r>
        <w:rPr>
          <w:w w:val="95"/>
        </w:rPr>
        <w:t>late</w:t>
      </w:r>
      <w:r>
        <w:rPr>
          <w:spacing w:val="-18"/>
          <w:w w:val="95"/>
        </w:rPr>
        <w:t xml:space="preserve"> </w:t>
      </w:r>
      <w:r>
        <w:rPr>
          <w:w w:val="95"/>
        </w:rPr>
        <w:t>1990s</w:t>
      </w:r>
      <w:r>
        <w:rPr>
          <w:spacing w:val="-17"/>
          <w:w w:val="95"/>
        </w:rPr>
        <w:t xml:space="preserve"> </w:t>
      </w:r>
      <w:r>
        <w:rPr>
          <w:w w:val="95"/>
        </w:rPr>
        <w:t>have</w:t>
      </w:r>
      <w:r>
        <w:rPr>
          <w:spacing w:val="-17"/>
          <w:w w:val="95"/>
        </w:rPr>
        <w:t xml:space="preserve"> </w:t>
      </w:r>
      <w:r>
        <w:rPr>
          <w:w w:val="95"/>
        </w:rPr>
        <w:t>not</w:t>
      </w:r>
      <w:r>
        <w:rPr>
          <w:spacing w:val="-17"/>
          <w:w w:val="95"/>
        </w:rPr>
        <w:t xml:space="preserve"> </w:t>
      </w:r>
      <w:r>
        <w:rPr>
          <w:w w:val="95"/>
        </w:rPr>
        <w:t>been</w:t>
      </w:r>
      <w:r>
        <w:rPr>
          <w:spacing w:val="-18"/>
          <w:w w:val="95"/>
        </w:rPr>
        <w:t xml:space="preserve"> </w:t>
      </w:r>
      <w:r>
        <w:rPr>
          <w:w w:val="95"/>
        </w:rPr>
        <w:t>sustained</w:t>
      </w:r>
      <w:r>
        <w:rPr>
          <w:spacing w:val="-17"/>
          <w:w w:val="95"/>
        </w:rPr>
        <w:t xml:space="preserve"> </w:t>
      </w:r>
      <w:r>
        <w:rPr>
          <w:w w:val="95"/>
        </w:rPr>
        <w:t xml:space="preserve">and </w:t>
      </w:r>
      <w:r>
        <w:rPr>
          <w:spacing w:val="-4"/>
        </w:rPr>
        <w:t>Port</w:t>
      </w:r>
      <w:r>
        <w:rPr>
          <w:spacing w:val="-10"/>
        </w:rPr>
        <w:t xml:space="preserve"> </w:t>
      </w:r>
      <w:r>
        <w:rPr>
          <w:spacing w:val="-4"/>
        </w:rPr>
        <w:t>Botany</w:t>
      </w:r>
      <w:r>
        <w:rPr>
          <w:spacing w:val="-10"/>
        </w:rPr>
        <w:t xml:space="preserve"> </w:t>
      </w:r>
      <w:r>
        <w:rPr>
          <w:spacing w:val="-4"/>
        </w:rPr>
        <w:t>lags</w:t>
      </w:r>
      <w:r>
        <w:rPr>
          <w:spacing w:val="-10"/>
        </w:rPr>
        <w:t xml:space="preserve"> </w:t>
      </w:r>
      <w:r>
        <w:rPr>
          <w:spacing w:val="-4"/>
        </w:rPr>
        <w:t>behind</w:t>
      </w:r>
      <w:r>
        <w:rPr>
          <w:spacing w:val="-10"/>
        </w:rPr>
        <w:t xml:space="preserve"> </w:t>
      </w:r>
      <w:r>
        <w:rPr>
          <w:spacing w:val="-4"/>
        </w:rPr>
        <w:t>international</w:t>
      </w:r>
      <w:r>
        <w:rPr>
          <w:spacing w:val="-10"/>
        </w:rPr>
        <w:t xml:space="preserve"> </w:t>
      </w:r>
      <w:r>
        <w:rPr>
          <w:spacing w:val="-4"/>
        </w:rPr>
        <w:t>competitors.</w:t>
      </w:r>
      <w:r>
        <w:rPr>
          <w:spacing w:val="-10"/>
        </w:rPr>
        <w:t xml:space="preserve"> </w:t>
      </w:r>
      <w:r>
        <w:rPr>
          <w:spacing w:val="-4"/>
        </w:rPr>
        <w:t xml:space="preserve">This </w:t>
      </w:r>
      <w:r>
        <w:rPr>
          <w:spacing w:val="-2"/>
        </w:rPr>
        <w:t>efficiency</w:t>
      </w:r>
      <w:r>
        <w:rPr>
          <w:spacing w:val="-20"/>
        </w:rPr>
        <w:t xml:space="preserve"> </w:t>
      </w:r>
      <w:r>
        <w:rPr>
          <w:spacing w:val="-2"/>
        </w:rPr>
        <w:t>gap</w:t>
      </w:r>
      <w:r>
        <w:rPr>
          <w:spacing w:val="-20"/>
        </w:rPr>
        <w:t xml:space="preserve"> </w:t>
      </w:r>
      <w:r>
        <w:rPr>
          <w:spacing w:val="-2"/>
        </w:rPr>
        <w:t>is</w:t>
      </w:r>
      <w:r>
        <w:rPr>
          <w:spacing w:val="-20"/>
        </w:rPr>
        <w:t xml:space="preserve"> </w:t>
      </w:r>
      <w:r>
        <w:rPr>
          <w:spacing w:val="-2"/>
        </w:rPr>
        <w:t>illustrated</w:t>
      </w:r>
      <w:r>
        <w:rPr>
          <w:spacing w:val="-20"/>
        </w:rPr>
        <w:t xml:space="preserve"> </w:t>
      </w:r>
      <w:r>
        <w:rPr>
          <w:spacing w:val="-2"/>
        </w:rPr>
        <w:t>in</w:t>
      </w:r>
      <w:r>
        <w:rPr>
          <w:spacing w:val="-20"/>
        </w:rPr>
        <w:t xml:space="preserve"> </w:t>
      </w:r>
      <w:r>
        <w:rPr>
          <w:spacing w:val="-2"/>
        </w:rPr>
        <w:t>Table</w:t>
      </w:r>
      <w:r>
        <w:rPr>
          <w:spacing w:val="-20"/>
        </w:rPr>
        <w:t xml:space="preserve"> </w:t>
      </w:r>
      <w:r>
        <w:rPr>
          <w:spacing w:val="-2"/>
        </w:rPr>
        <w:t>9.2.</w:t>
      </w:r>
    </w:p>
    <w:p w:rsidR="002C1123" w:rsidRDefault="00F22F94">
      <w:pPr>
        <w:pStyle w:val="BodyText"/>
        <w:spacing w:before="146" w:line="249" w:lineRule="auto"/>
        <w:ind w:left="263" w:right="817"/>
      </w:pPr>
      <w:r>
        <w:t>As</w:t>
      </w:r>
      <w:r>
        <w:rPr>
          <w:spacing w:val="-14"/>
        </w:rPr>
        <w:t xml:space="preserve"> </w:t>
      </w:r>
      <w:r>
        <w:t>Section</w:t>
      </w:r>
      <w:r>
        <w:rPr>
          <w:spacing w:val="-14"/>
        </w:rPr>
        <w:t xml:space="preserve"> </w:t>
      </w:r>
      <w:r>
        <w:t>3</w:t>
      </w:r>
      <w:r>
        <w:rPr>
          <w:spacing w:val="-14"/>
        </w:rPr>
        <w:t xml:space="preserve"> </w:t>
      </w:r>
      <w:r>
        <w:t>notes,</w:t>
      </w:r>
      <w:r>
        <w:rPr>
          <w:spacing w:val="-14"/>
        </w:rPr>
        <w:t xml:space="preserve"> </w:t>
      </w:r>
      <w:r>
        <w:t>Infrastructure</w:t>
      </w:r>
      <w:r>
        <w:rPr>
          <w:spacing w:val="-13"/>
        </w:rPr>
        <w:t xml:space="preserve"> </w:t>
      </w:r>
      <w:r>
        <w:t>NSW</w:t>
      </w:r>
      <w:r>
        <w:rPr>
          <w:spacing w:val="-14"/>
        </w:rPr>
        <w:t xml:space="preserve"> </w:t>
      </w:r>
      <w:r>
        <w:t>assumes</w:t>
      </w:r>
      <w:r>
        <w:rPr>
          <w:spacing w:val="-14"/>
        </w:rPr>
        <w:t xml:space="preserve"> </w:t>
      </w:r>
      <w:r>
        <w:t xml:space="preserve">that </w:t>
      </w:r>
      <w:r>
        <w:rPr>
          <w:w w:val="95"/>
        </w:rPr>
        <w:t>through a combination of automation and more efficient labour</w:t>
      </w:r>
      <w:r>
        <w:rPr>
          <w:spacing w:val="-3"/>
          <w:w w:val="95"/>
        </w:rPr>
        <w:t xml:space="preserve"> </w:t>
      </w:r>
      <w:r>
        <w:rPr>
          <w:w w:val="95"/>
        </w:rPr>
        <w:t>arrangements,</w:t>
      </w:r>
      <w:r>
        <w:rPr>
          <w:spacing w:val="-3"/>
          <w:w w:val="95"/>
        </w:rPr>
        <w:t xml:space="preserve"> </w:t>
      </w:r>
      <w:r>
        <w:rPr>
          <w:w w:val="95"/>
        </w:rPr>
        <w:t>Port</w:t>
      </w:r>
      <w:r>
        <w:rPr>
          <w:spacing w:val="-3"/>
          <w:w w:val="95"/>
        </w:rPr>
        <w:t xml:space="preserve"> </w:t>
      </w:r>
      <w:r>
        <w:rPr>
          <w:w w:val="95"/>
        </w:rPr>
        <w:t>Botany</w:t>
      </w:r>
      <w:r>
        <w:rPr>
          <w:spacing w:val="-3"/>
          <w:w w:val="95"/>
        </w:rPr>
        <w:t xml:space="preserve"> </w:t>
      </w:r>
      <w:r>
        <w:rPr>
          <w:w w:val="95"/>
        </w:rPr>
        <w:t>will</w:t>
      </w:r>
      <w:r>
        <w:rPr>
          <w:spacing w:val="-3"/>
          <w:w w:val="95"/>
        </w:rPr>
        <w:t xml:space="preserve"> </w:t>
      </w:r>
      <w:r>
        <w:rPr>
          <w:w w:val="95"/>
        </w:rPr>
        <w:t>be</w:t>
      </w:r>
      <w:r>
        <w:rPr>
          <w:spacing w:val="-3"/>
          <w:w w:val="95"/>
        </w:rPr>
        <w:t xml:space="preserve"> </w:t>
      </w:r>
      <w:r>
        <w:rPr>
          <w:w w:val="95"/>
        </w:rPr>
        <w:t>able</w:t>
      </w:r>
      <w:r>
        <w:rPr>
          <w:spacing w:val="-3"/>
          <w:w w:val="95"/>
        </w:rPr>
        <w:t xml:space="preserve"> </w:t>
      </w:r>
      <w:r>
        <w:rPr>
          <w:w w:val="95"/>
        </w:rPr>
        <w:t>to</w:t>
      </w:r>
      <w:r>
        <w:rPr>
          <w:spacing w:val="-3"/>
          <w:w w:val="95"/>
        </w:rPr>
        <w:t xml:space="preserve"> </w:t>
      </w:r>
      <w:r>
        <w:rPr>
          <w:w w:val="95"/>
        </w:rPr>
        <w:t xml:space="preserve">realise </w:t>
      </w:r>
      <w:r>
        <w:t>its</w:t>
      </w:r>
      <w:r>
        <w:rPr>
          <w:spacing w:val="-14"/>
        </w:rPr>
        <w:t xml:space="preserve"> </w:t>
      </w:r>
      <w:r>
        <w:t>potential</w:t>
      </w:r>
      <w:r>
        <w:rPr>
          <w:spacing w:val="-14"/>
        </w:rPr>
        <w:t xml:space="preserve"> </w:t>
      </w:r>
      <w:r>
        <w:t>throughput.</w:t>
      </w:r>
      <w:r>
        <w:rPr>
          <w:spacing w:val="-14"/>
        </w:rPr>
        <w:t xml:space="preserve"> </w:t>
      </w:r>
      <w:r>
        <w:t>On</w:t>
      </w:r>
      <w:r>
        <w:rPr>
          <w:spacing w:val="-14"/>
        </w:rPr>
        <w:t xml:space="preserve"> </w:t>
      </w:r>
      <w:r>
        <w:t>this</w:t>
      </w:r>
      <w:r>
        <w:rPr>
          <w:spacing w:val="-14"/>
        </w:rPr>
        <w:t xml:space="preserve"> </w:t>
      </w:r>
      <w:r>
        <w:t>basis,</w:t>
      </w:r>
      <w:r>
        <w:rPr>
          <w:spacing w:val="-14"/>
        </w:rPr>
        <w:t xml:space="preserve"> </w:t>
      </w:r>
      <w:r>
        <w:t>Port</w:t>
      </w:r>
      <w:r>
        <w:rPr>
          <w:spacing w:val="-14"/>
        </w:rPr>
        <w:t xml:space="preserve"> </w:t>
      </w:r>
      <w:r>
        <w:t>Botany</w:t>
      </w:r>
      <w:r>
        <w:rPr>
          <w:spacing w:val="-14"/>
        </w:rPr>
        <w:t xml:space="preserve"> </w:t>
      </w:r>
      <w:r>
        <w:t>will be</w:t>
      </w:r>
      <w:r>
        <w:rPr>
          <w:spacing w:val="-14"/>
        </w:rPr>
        <w:t xml:space="preserve"> </w:t>
      </w:r>
      <w:r>
        <w:t>able</w:t>
      </w:r>
      <w:r>
        <w:rPr>
          <w:spacing w:val="-14"/>
        </w:rPr>
        <w:t xml:space="preserve"> </w:t>
      </w:r>
      <w:r>
        <w:t>to</w:t>
      </w:r>
      <w:r>
        <w:rPr>
          <w:spacing w:val="-14"/>
        </w:rPr>
        <w:t xml:space="preserve"> </w:t>
      </w:r>
      <w:r>
        <w:t>handle</w:t>
      </w:r>
      <w:r>
        <w:rPr>
          <w:spacing w:val="-14"/>
        </w:rPr>
        <w:t xml:space="preserve"> </w:t>
      </w:r>
      <w:r>
        <w:t>Sydney’s</w:t>
      </w:r>
      <w:r>
        <w:rPr>
          <w:spacing w:val="-14"/>
        </w:rPr>
        <w:t xml:space="preserve"> </w:t>
      </w:r>
      <w:r>
        <w:t>container</w:t>
      </w:r>
      <w:r>
        <w:rPr>
          <w:spacing w:val="-14"/>
        </w:rPr>
        <w:t xml:space="preserve"> </w:t>
      </w:r>
      <w:r>
        <w:t>trade</w:t>
      </w:r>
      <w:r>
        <w:rPr>
          <w:spacing w:val="-14"/>
        </w:rPr>
        <w:t xml:space="preserve"> </w:t>
      </w:r>
      <w:r>
        <w:t>for</w:t>
      </w:r>
      <w:r>
        <w:rPr>
          <w:spacing w:val="-14"/>
        </w:rPr>
        <w:t xml:space="preserve"> </w:t>
      </w:r>
      <w:r>
        <w:t>at</w:t>
      </w:r>
      <w:r>
        <w:rPr>
          <w:spacing w:val="-14"/>
        </w:rPr>
        <w:t xml:space="preserve"> </w:t>
      </w:r>
      <w:r>
        <w:t>lEast the</w:t>
      </w:r>
      <w:r>
        <w:rPr>
          <w:spacing w:val="-6"/>
        </w:rPr>
        <w:t xml:space="preserve"> </w:t>
      </w:r>
      <w:r>
        <w:t>next</w:t>
      </w:r>
      <w:r>
        <w:rPr>
          <w:spacing w:val="-6"/>
        </w:rPr>
        <w:t xml:space="preserve"> </w:t>
      </w:r>
      <w:r>
        <w:t>20</w:t>
      </w:r>
      <w:r>
        <w:rPr>
          <w:spacing w:val="-6"/>
        </w:rPr>
        <w:t xml:space="preserve"> </w:t>
      </w:r>
      <w:r>
        <w:t>years,</w:t>
      </w:r>
      <w:r>
        <w:rPr>
          <w:spacing w:val="-6"/>
        </w:rPr>
        <w:t xml:space="preserve"> </w:t>
      </w:r>
      <w:r>
        <w:t>and</w:t>
      </w:r>
      <w:r>
        <w:rPr>
          <w:spacing w:val="-6"/>
        </w:rPr>
        <w:t xml:space="preserve"> </w:t>
      </w:r>
      <w:r>
        <w:t>probably</w:t>
      </w:r>
      <w:r>
        <w:rPr>
          <w:spacing w:val="-6"/>
        </w:rPr>
        <w:t xml:space="preserve"> </w:t>
      </w:r>
      <w:r>
        <w:t>longer.</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250" w:space="40"/>
            <w:col w:w="4953" w:space="39"/>
            <w:col w:w="5778"/>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3"/>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Heading6"/>
        <w:numPr>
          <w:ilvl w:val="2"/>
          <w:numId w:val="80"/>
        </w:numPr>
        <w:tabs>
          <w:tab w:val="left" w:pos="979"/>
        </w:tabs>
        <w:spacing w:before="18" w:line="320" w:lineRule="atLeast"/>
        <w:ind w:left="492" w:right="1689" w:firstLine="0"/>
        <w:jc w:val="left"/>
        <w:rPr>
          <w:color w:val="00AEEF"/>
        </w:rPr>
      </w:pPr>
      <w:bookmarkStart w:id="242" w:name="_bookmark171"/>
      <w:bookmarkEnd w:id="242"/>
      <w:r>
        <w:rPr>
          <w:color w:val="00AEEF"/>
        </w:rPr>
        <w:t xml:space="preserve">Landside infrastructure </w:t>
      </w:r>
      <w:r>
        <w:t>Container</w:t>
      </w:r>
      <w:r>
        <w:rPr>
          <w:spacing w:val="-14"/>
        </w:rPr>
        <w:t xml:space="preserve"> </w:t>
      </w:r>
      <w:r>
        <w:t>freight</w:t>
      </w:r>
      <w:r>
        <w:rPr>
          <w:spacing w:val="-14"/>
        </w:rPr>
        <w:t xml:space="preserve"> </w:t>
      </w:r>
      <w:r>
        <w:t>transport</w:t>
      </w:r>
      <w:r>
        <w:rPr>
          <w:spacing w:val="-14"/>
        </w:rPr>
        <w:t xml:space="preserve"> </w:t>
      </w:r>
      <w:r>
        <w:t>today</w:t>
      </w:r>
    </w:p>
    <w:p w:rsidR="002C1123" w:rsidRDefault="00F22F94">
      <w:pPr>
        <w:pStyle w:val="BodyText"/>
        <w:spacing w:before="15" w:line="249" w:lineRule="auto"/>
        <w:ind w:left="492" w:right="539"/>
      </w:pPr>
      <w:r>
        <w:rPr>
          <w:w w:val="95"/>
        </w:rPr>
        <w:t>The main infrastructure challenge for Port Botany is</w:t>
      </w:r>
      <w:r>
        <w:rPr>
          <w:spacing w:val="-4"/>
          <w:w w:val="95"/>
        </w:rPr>
        <w:t xml:space="preserve"> </w:t>
      </w:r>
      <w:r>
        <w:rPr>
          <w:w w:val="95"/>
        </w:rPr>
        <w:t>providing</w:t>
      </w:r>
      <w:r>
        <w:rPr>
          <w:spacing w:val="-4"/>
          <w:w w:val="95"/>
        </w:rPr>
        <w:t xml:space="preserve"> </w:t>
      </w:r>
      <w:r>
        <w:rPr>
          <w:w w:val="95"/>
        </w:rPr>
        <w:t>appropriate</w:t>
      </w:r>
      <w:r>
        <w:rPr>
          <w:spacing w:val="-4"/>
          <w:w w:val="95"/>
        </w:rPr>
        <w:t xml:space="preserve"> </w:t>
      </w:r>
      <w:r>
        <w:rPr>
          <w:w w:val="95"/>
        </w:rPr>
        <w:t>landside</w:t>
      </w:r>
      <w:r>
        <w:rPr>
          <w:spacing w:val="-4"/>
          <w:w w:val="95"/>
        </w:rPr>
        <w:t xml:space="preserve"> </w:t>
      </w:r>
      <w:r>
        <w:rPr>
          <w:w w:val="95"/>
        </w:rPr>
        <w:t>infrastructure</w:t>
      </w:r>
      <w:r>
        <w:rPr>
          <w:spacing w:val="-4"/>
          <w:w w:val="95"/>
        </w:rPr>
        <w:t xml:space="preserve"> </w:t>
      </w:r>
      <w:r>
        <w:rPr>
          <w:w w:val="95"/>
        </w:rPr>
        <w:t>for</w:t>
      </w:r>
    </w:p>
    <w:p w:rsidR="002C1123" w:rsidRDefault="00F22F94">
      <w:pPr>
        <w:pStyle w:val="BodyText"/>
        <w:spacing w:before="1" w:line="249" w:lineRule="auto"/>
        <w:ind w:left="492"/>
      </w:pPr>
      <w:r>
        <w:rPr>
          <w:w w:val="95"/>
        </w:rPr>
        <w:t>distributing</w:t>
      </w:r>
      <w:r>
        <w:rPr>
          <w:spacing w:val="-6"/>
          <w:w w:val="95"/>
        </w:rPr>
        <w:t xml:space="preserve"> </w:t>
      </w:r>
      <w:r>
        <w:rPr>
          <w:w w:val="95"/>
        </w:rPr>
        <w:t>containers</w:t>
      </w:r>
      <w:r>
        <w:rPr>
          <w:spacing w:val="-6"/>
          <w:w w:val="95"/>
        </w:rPr>
        <w:t xml:space="preserve"> </w:t>
      </w:r>
      <w:r>
        <w:rPr>
          <w:w w:val="95"/>
        </w:rPr>
        <w:t>across</w:t>
      </w:r>
      <w:r>
        <w:rPr>
          <w:spacing w:val="-6"/>
          <w:w w:val="95"/>
        </w:rPr>
        <w:t xml:space="preserve"> </w:t>
      </w:r>
      <w:r>
        <w:rPr>
          <w:w w:val="95"/>
        </w:rPr>
        <w:t>Sydney.</w:t>
      </w:r>
      <w:r>
        <w:rPr>
          <w:spacing w:val="-6"/>
          <w:w w:val="95"/>
        </w:rPr>
        <w:t xml:space="preserve"> </w:t>
      </w:r>
      <w:r>
        <w:rPr>
          <w:w w:val="95"/>
        </w:rPr>
        <w:t>This</w:t>
      </w:r>
      <w:r>
        <w:rPr>
          <w:spacing w:val="-6"/>
          <w:w w:val="95"/>
        </w:rPr>
        <w:t xml:space="preserve"> </w:t>
      </w:r>
      <w:r>
        <w:rPr>
          <w:w w:val="95"/>
        </w:rPr>
        <w:t>requires</w:t>
      </w:r>
      <w:r>
        <w:rPr>
          <w:spacing w:val="-6"/>
          <w:w w:val="95"/>
        </w:rPr>
        <w:t xml:space="preserve"> </w:t>
      </w:r>
      <w:r>
        <w:rPr>
          <w:w w:val="95"/>
        </w:rPr>
        <w:t xml:space="preserve">road </w:t>
      </w:r>
      <w:r>
        <w:t>and</w:t>
      </w:r>
      <w:r>
        <w:rPr>
          <w:spacing w:val="-8"/>
        </w:rPr>
        <w:t xml:space="preserve"> </w:t>
      </w:r>
      <w:r>
        <w:t>rail</w:t>
      </w:r>
      <w:r>
        <w:rPr>
          <w:spacing w:val="-8"/>
        </w:rPr>
        <w:t xml:space="preserve"> </w:t>
      </w:r>
      <w:r>
        <w:t>networks,</w:t>
      </w:r>
      <w:r>
        <w:rPr>
          <w:spacing w:val="-8"/>
        </w:rPr>
        <w:t xml:space="preserve"> </w:t>
      </w:r>
      <w:r>
        <w:t>plus</w:t>
      </w:r>
      <w:r>
        <w:rPr>
          <w:spacing w:val="-8"/>
        </w:rPr>
        <w:t xml:space="preserve"> </w:t>
      </w:r>
      <w:r>
        <w:t>supporting</w:t>
      </w:r>
      <w:r>
        <w:rPr>
          <w:spacing w:val="-8"/>
        </w:rPr>
        <w:t xml:space="preserve"> </w:t>
      </w:r>
      <w:r>
        <w:t>infrastructure</w:t>
      </w:r>
      <w:r>
        <w:rPr>
          <w:spacing w:val="-8"/>
        </w:rPr>
        <w:t xml:space="preserve"> </w:t>
      </w:r>
      <w:r>
        <w:t>such</w:t>
      </w:r>
    </w:p>
    <w:p w:rsidR="002C1123" w:rsidRDefault="00F22F94">
      <w:pPr>
        <w:pStyle w:val="BodyText"/>
        <w:spacing w:before="2" w:line="249" w:lineRule="auto"/>
        <w:ind w:left="492" w:right="42"/>
      </w:pPr>
      <w:r>
        <w:rPr>
          <w:w w:val="95"/>
        </w:rPr>
        <w:t xml:space="preserve">as empty container parks, intermodal terminals, truck </w:t>
      </w:r>
      <w:r>
        <w:t>marshalling</w:t>
      </w:r>
      <w:r>
        <w:rPr>
          <w:spacing w:val="-10"/>
        </w:rPr>
        <w:t xml:space="preserve"> </w:t>
      </w:r>
      <w:r>
        <w:t>facilities</w:t>
      </w:r>
      <w:r>
        <w:rPr>
          <w:spacing w:val="-10"/>
        </w:rPr>
        <w:t xml:space="preserve"> </w:t>
      </w:r>
      <w:r>
        <w:t>and</w:t>
      </w:r>
      <w:r>
        <w:rPr>
          <w:spacing w:val="-10"/>
        </w:rPr>
        <w:t xml:space="preserve"> </w:t>
      </w:r>
      <w:r>
        <w:t>buffer</w:t>
      </w:r>
      <w:r>
        <w:rPr>
          <w:spacing w:val="-10"/>
        </w:rPr>
        <w:t xml:space="preserve"> </w:t>
      </w:r>
      <w:r>
        <w:t>zones.</w:t>
      </w:r>
    </w:p>
    <w:p w:rsidR="002C1123" w:rsidRDefault="00F22F94">
      <w:pPr>
        <w:pStyle w:val="BodyText"/>
        <w:spacing w:before="144" w:line="249" w:lineRule="auto"/>
        <w:ind w:left="492"/>
        <w:jc w:val="both"/>
      </w:pPr>
      <w:r>
        <w:rPr>
          <w:w w:val="95"/>
        </w:rPr>
        <w:t>The</w:t>
      </w:r>
      <w:r>
        <w:rPr>
          <w:spacing w:val="-7"/>
          <w:w w:val="95"/>
        </w:rPr>
        <w:t xml:space="preserve"> </w:t>
      </w:r>
      <w:r>
        <w:rPr>
          <w:w w:val="95"/>
        </w:rPr>
        <w:t>vast</w:t>
      </w:r>
      <w:r>
        <w:rPr>
          <w:spacing w:val="-7"/>
          <w:w w:val="95"/>
        </w:rPr>
        <w:t xml:space="preserve"> </w:t>
      </w:r>
      <w:r>
        <w:rPr>
          <w:w w:val="95"/>
        </w:rPr>
        <w:t>majority</w:t>
      </w:r>
      <w:r>
        <w:rPr>
          <w:spacing w:val="-7"/>
          <w:w w:val="95"/>
        </w:rPr>
        <w:t xml:space="preserve"> </w:t>
      </w:r>
      <w:r>
        <w:rPr>
          <w:w w:val="95"/>
        </w:rPr>
        <w:t>of</w:t>
      </w:r>
      <w:r>
        <w:rPr>
          <w:spacing w:val="-7"/>
          <w:w w:val="95"/>
        </w:rPr>
        <w:t xml:space="preserve"> </w:t>
      </w:r>
      <w:r>
        <w:rPr>
          <w:w w:val="95"/>
        </w:rPr>
        <w:t>containers</w:t>
      </w:r>
      <w:r>
        <w:rPr>
          <w:spacing w:val="-7"/>
          <w:w w:val="95"/>
        </w:rPr>
        <w:t xml:space="preserve"> </w:t>
      </w:r>
      <w:r>
        <w:rPr>
          <w:w w:val="95"/>
        </w:rPr>
        <w:t>move</w:t>
      </w:r>
      <w:r>
        <w:rPr>
          <w:spacing w:val="-7"/>
          <w:w w:val="95"/>
        </w:rPr>
        <w:t xml:space="preserve"> </w:t>
      </w:r>
      <w:r>
        <w:rPr>
          <w:w w:val="95"/>
        </w:rPr>
        <w:t>by</w:t>
      </w:r>
      <w:r>
        <w:rPr>
          <w:spacing w:val="-7"/>
          <w:w w:val="95"/>
        </w:rPr>
        <w:t xml:space="preserve"> </w:t>
      </w:r>
      <w:r>
        <w:rPr>
          <w:w w:val="95"/>
        </w:rPr>
        <w:t>road.</w:t>
      </w:r>
      <w:r>
        <w:rPr>
          <w:spacing w:val="-7"/>
          <w:w w:val="95"/>
        </w:rPr>
        <w:t xml:space="preserve"> </w:t>
      </w:r>
      <w:r>
        <w:rPr>
          <w:w w:val="95"/>
        </w:rPr>
        <w:t>At</w:t>
      </w:r>
      <w:r>
        <w:rPr>
          <w:spacing w:val="-7"/>
          <w:w w:val="95"/>
        </w:rPr>
        <w:t xml:space="preserve"> </w:t>
      </w:r>
      <w:r>
        <w:rPr>
          <w:w w:val="95"/>
        </w:rPr>
        <w:t xml:space="preserve">present, </w:t>
      </w:r>
      <w:r>
        <w:t>the</w:t>
      </w:r>
      <w:r>
        <w:rPr>
          <w:spacing w:val="-4"/>
        </w:rPr>
        <w:t xml:space="preserve"> </w:t>
      </w:r>
      <w:r>
        <w:t>Port</w:t>
      </w:r>
      <w:r>
        <w:rPr>
          <w:spacing w:val="-4"/>
        </w:rPr>
        <w:t xml:space="preserve"> </w:t>
      </w:r>
      <w:r>
        <w:t>Botany</w:t>
      </w:r>
      <w:r>
        <w:rPr>
          <w:spacing w:val="-4"/>
        </w:rPr>
        <w:t xml:space="preserve"> </w:t>
      </w:r>
      <w:r>
        <w:t>container</w:t>
      </w:r>
      <w:r>
        <w:rPr>
          <w:spacing w:val="-4"/>
        </w:rPr>
        <w:t xml:space="preserve"> </w:t>
      </w:r>
      <w:r>
        <w:t>trade</w:t>
      </w:r>
      <w:r>
        <w:rPr>
          <w:spacing w:val="-4"/>
        </w:rPr>
        <w:t xml:space="preserve"> </w:t>
      </w:r>
      <w:r>
        <w:t>produces</w:t>
      </w:r>
      <w:r>
        <w:rPr>
          <w:spacing w:val="-4"/>
        </w:rPr>
        <w:t xml:space="preserve"> </w:t>
      </w:r>
      <w:r>
        <w:t>around</w:t>
      </w:r>
    </w:p>
    <w:p w:rsidR="002C1123" w:rsidRDefault="00F22F94">
      <w:pPr>
        <w:pStyle w:val="BodyText"/>
        <w:spacing w:before="1" w:line="249" w:lineRule="auto"/>
        <w:ind w:left="492" w:right="396" w:hanging="1"/>
        <w:jc w:val="both"/>
      </w:pPr>
      <w:r>
        <w:rPr>
          <w:w w:val="95"/>
        </w:rPr>
        <w:t>3,900 truck movements daily</w:t>
      </w:r>
      <w:r>
        <w:rPr>
          <w:w w:val="95"/>
          <w:position w:val="7"/>
          <w:sz w:val="11"/>
        </w:rPr>
        <w:t>6</w:t>
      </w:r>
      <w:r>
        <w:rPr>
          <w:w w:val="95"/>
        </w:rPr>
        <w:t>. A large proportion of these</w:t>
      </w:r>
      <w:r>
        <w:rPr>
          <w:spacing w:val="-1"/>
          <w:w w:val="95"/>
        </w:rPr>
        <w:t xml:space="preserve"> </w:t>
      </w:r>
      <w:r>
        <w:rPr>
          <w:w w:val="95"/>
        </w:rPr>
        <w:t>trucks</w:t>
      </w:r>
      <w:r>
        <w:rPr>
          <w:spacing w:val="-1"/>
          <w:w w:val="95"/>
        </w:rPr>
        <w:t xml:space="preserve"> </w:t>
      </w:r>
      <w:r>
        <w:rPr>
          <w:w w:val="95"/>
        </w:rPr>
        <w:t>use</w:t>
      </w:r>
      <w:r>
        <w:rPr>
          <w:spacing w:val="-1"/>
          <w:w w:val="95"/>
        </w:rPr>
        <w:t xml:space="preserve"> </w:t>
      </w:r>
      <w:r>
        <w:rPr>
          <w:w w:val="95"/>
        </w:rPr>
        <w:t>the</w:t>
      </w:r>
      <w:r>
        <w:rPr>
          <w:spacing w:val="-1"/>
          <w:w w:val="95"/>
        </w:rPr>
        <w:t xml:space="preserve"> </w:t>
      </w:r>
      <w:r>
        <w:rPr>
          <w:w w:val="95"/>
        </w:rPr>
        <w:t>M5</w:t>
      </w:r>
      <w:r>
        <w:rPr>
          <w:spacing w:val="-1"/>
          <w:w w:val="95"/>
        </w:rPr>
        <w:t xml:space="preserve"> </w:t>
      </w:r>
      <w:r>
        <w:rPr>
          <w:w w:val="95"/>
        </w:rPr>
        <w:t>corridor,</w:t>
      </w:r>
      <w:r>
        <w:rPr>
          <w:spacing w:val="-1"/>
          <w:w w:val="95"/>
        </w:rPr>
        <w:t xml:space="preserve"> </w:t>
      </w:r>
      <w:r>
        <w:rPr>
          <w:w w:val="95"/>
        </w:rPr>
        <w:t>where</w:t>
      </w:r>
      <w:r>
        <w:rPr>
          <w:spacing w:val="-1"/>
          <w:w w:val="95"/>
        </w:rPr>
        <w:t xml:space="preserve"> </w:t>
      </w:r>
      <w:r>
        <w:rPr>
          <w:w w:val="95"/>
        </w:rPr>
        <w:t xml:space="preserve">port-related </w:t>
      </w:r>
      <w:r>
        <w:t>trucks</w:t>
      </w:r>
      <w:r>
        <w:rPr>
          <w:spacing w:val="-6"/>
        </w:rPr>
        <w:t xml:space="preserve"> </w:t>
      </w:r>
      <w:r>
        <w:t>are</w:t>
      </w:r>
      <w:r>
        <w:rPr>
          <w:spacing w:val="-6"/>
        </w:rPr>
        <w:t xml:space="preserve"> </w:t>
      </w:r>
      <w:r>
        <w:t>less</w:t>
      </w:r>
      <w:r>
        <w:rPr>
          <w:spacing w:val="-6"/>
        </w:rPr>
        <w:t xml:space="preserve"> </w:t>
      </w:r>
      <w:r>
        <w:t>than</w:t>
      </w:r>
      <w:r>
        <w:rPr>
          <w:spacing w:val="-6"/>
        </w:rPr>
        <w:t xml:space="preserve"> </w:t>
      </w:r>
      <w:r>
        <w:t>two</w:t>
      </w:r>
      <w:r>
        <w:rPr>
          <w:spacing w:val="-6"/>
        </w:rPr>
        <w:t xml:space="preserve"> </w:t>
      </w:r>
      <w:r>
        <w:t>percent</w:t>
      </w:r>
      <w:r>
        <w:rPr>
          <w:position w:val="7"/>
          <w:sz w:val="11"/>
        </w:rPr>
        <w:t>7</w:t>
      </w:r>
      <w:r>
        <w:rPr>
          <w:spacing w:val="19"/>
          <w:position w:val="7"/>
          <w:sz w:val="11"/>
        </w:rPr>
        <w:t xml:space="preserve"> </w:t>
      </w:r>
      <w:r>
        <w:t>of</w:t>
      </w:r>
      <w:r>
        <w:rPr>
          <w:spacing w:val="-6"/>
        </w:rPr>
        <w:t xml:space="preserve"> </w:t>
      </w:r>
      <w:r>
        <w:t>total</w:t>
      </w:r>
      <w:r>
        <w:rPr>
          <w:spacing w:val="-6"/>
        </w:rPr>
        <w:t xml:space="preserve"> </w:t>
      </w:r>
      <w:r>
        <w:t>traffic.</w:t>
      </w:r>
    </w:p>
    <w:p w:rsidR="002C1123" w:rsidRDefault="00F22F94">
      <w:pPr>
        <w:pStyle w:val="BodyText"/>
        <w:spacing w:before="144" w:line="249" w:lineRule="auto"/>
        <w:ind w:left="492" w:right="458"/>
      </w:pPr>
      <w:r>
        <w:t>Only</w:t>
      </w:r>
      <w:r>
        <w:rPr>
          <w:spacing w:val="-14"/>
        </w:rPr>
        <w:t xml:space="preserve"> </w:t>
      </w:r>
      <w:r>
        <w:t>14</w:t>
      </w:r>
      <w:r>
        <w:rPr>
          <w:spacing w:val="-14"/>
        </w:rPr>
        <w:t xml:space="preserve"> </w:t>
      </w:r>
      <w:r>
        <w:t>percent</w:t>
      </w:r>
      <w:r>
        <w:rPr>
          <w:spacing w:val="-14"/>
        </w:rPr>
        <w:t xml:space="preserve"> </w:t>
      </w:r>
      <w:r>
        <w:t>of</w:t>
      </w:r>
      <w:r>
        <w:rPr>
          <w:spacing w:val="-14"/>
        </w:rPr>
        <w:t xml:space="preserve"> </w:t>
      </w:r>
      <w:r>
        <w:t>container</w:t>
      </w:r>
      <w:r>
        <w:rPr>
          <w:spacing w:val="-14"/>
        </w:rPr>
        <w:t xml:space="preserve"> </w:t>
      </w:r>
      <w:r>
        <w:t>movements</w:t>
      </w:r>
      <w:r>
        <w:rPr>
          <w:spacing w:val="-14"/>
        </w:rPr>
        <w:t xml:space="preserve"> </w:t>
      </w:r>
      <w:r>
        <w:t>through Port</w:t>
      </w:r>
      <w:r>
        <w:rPr>
          <w:spacing w:val="-11"/>
        </w:rPr>
        <w:t xml:space="preserve"> </w:t>
      </w:r>
      <w:r>
        <w:t>Botany</w:t>
      </w:r>
      <w:r>
        <w:rPr>
          <w:spacing w:val="-11"/>
        </w:rPr>
        <w:t xml:space="preserve"> </w:t>
      </w:r>
      <w:r>
        <w:t>went</w:t>
      </w:r>
      <w:r>
        <w:rPr>
          <w:spacing w:val="-11"/>
        </w:rPr>
        <w:t xml:space="preserve"> </w:t>
      </w:r>
      <w:r>
        <w:t>by</w:t>
      </w:r>
      <w:r>
        <w:rPr>
          <w:spacing w:val="-11"/>
        </w:rPr>
        <w:t xml:space="preserve"> </w:t>
      </w:r>
      <w:r>
        <w:t>rail</w:t>
      </w:r>
      <w:r>
        <w:rPr>
          <w:spacing w:val="-11"/>
        </w:rPr>
        <w:t xml:space="preserve"> </w:t>
      </w:r>
      <w:r>
        <w:t>in</w:t>
      </w:r>
      <w:r>
        <w:rPr>
          <w:spacing w:val="-11"/>
        </w:rPr>
        <w:t xml:space="preserve"> </w:t>
      </w:r>
      <w:r>
        <w:t>2011,</w:t>
      </w:r>
      <w:r>
        <w:rPr>
          <w:spacing w:val="-11"/>
        </w:rPr>
        <w:t xml:space="preserve"> </w:t>
      </w:r>
      <w:r>
        <w:t>compared</w:t>
      </w:r>
      <w:r>
        <w:rPr>
          <w:spacing w:val="-11"/>
        </w:rPr>
        <w:t xml:space="preserve"> </w:t>
      </w:r>
      <w:r>
        <w:t xml:space="preserve">with </w:t>
      </w:r>
      <w:r>
        <w:rPr>
          <w:w w:val="95"/>
        </w:rPr>
        <w:t>19</w:t>
      </w:r>
      <w:r>
        <w:rPr>
          <w:spacing w:val="-5"/>
          <w:w w:val="95"/>
        </w:rPr>
        <w:t xml:space="preserve"> </w:t>
      </w:r>
      <w:r>
        <w:rPr>
          <w:w w:val="95"/>
        </w:rPr>
        <w:t>per</w:t>
      </w:r>
      <w:r>
        <w:rPr>
          <w:spacing w:val="-5"/>
          <w:w w:val="95"/>
        </w:rPr>
        <w:t xml:space="preserve"> </w:t>
      </w:r>
      <w:r>
        <w:rPr>
          <w:w w:val="95"/>
        </w:rPr>
        <w:t>cent</w:t>
      </w:r>
      <w:r>
        <w:rPr>
          <w:spacing w:val="-5"/>
          <w:w w:val="95"/>
        </w:rPr>
        <w:t xml:space="preserve"> </w:t>
      </w:r>
      <w:r>
        <w:rPr>
          <w:w w:val="95"/>
        </w:rPr>
        <w:t>in</w:t>
      </w:r>
      <w:r>
        <w:rPr>
          <w:spacing w:val="-5"/>
          <w:w w:val="95"/>
        </w:rPr>
        <w:t xml:space="preserve"> </w:t>
      </w:r>
      <w:r>
        <w:rPr>
          <w:w w:val="95"/>
        </w:rPr>
        <w:t>2006</w:t>
      </w:r>
      <w:r>
        <w:rPr>
          <w:w w:val="95"/>
          <w:position w:val="7"/>
          <w:sz w:val="11"/>
        </w:rPr>
        <w:t>8</w:t>
      </w:r>
      <w:r>
        <w:rPr>
          <w:w w:val="95"/>
        </w:rPr>
        <w:t>.</w:t>
      </w:r>
      <w:r>
        <w:rPr>
          <w:spacing w:val="-5"/>
          <w:w w:val="95"/>
        </w:rPr>
        <w:t xml:space="preserve"> </w:t>
      </w:r>
      <w:r>
        <w:rPr>
          <w:w w:val="95"/>
        </w:rPr>
        <w:t>Less</w:t>
      </w:r>
      <w:r>
        <w:rPr>
          <w:spacing w:val="-5"/>
          <w:w w:val="95"/>
        </w:rPr>
        <w:t xml:space="preserve"> </w:t>
      </w:r>
      <w:r>
        <w:rPr>
          <w:w w:val="95"/>
        </w:rPr>
        <w:t>than</w:t>
      </w:r>
      <w:r>
        <w:rPr>
          <w:spacing w:val="-5"/>
          <w:w w:val="95"/>
        </w:rPr>
        <w:t xml:space="preserve"> </w:t>
      </w:r>
      <w:r>
        <w:rPr>
          <w:w w:val="95"/>
        </w:rPr>
        <w:t>half</w:t>
      </w:r>
      <w:r>
        <w:rPr>
          <w:spacing w:val="-5"/>
          <w:w w:val="95"/>
        </w:rPr>
        <w:t xml:space="preserve"> </w:t>
      </w:r>
      <w:r>
        <w:rPr>
          <w:w w:val="95"/>
        </w:rPr>
        <w:t>of</w:t>
      </w:r>
      <w:r>
        <w:rPr>
          <w:spacing w:val="-5"/>
          <w:w w:val="95"/>
        </w:rPr>
        <w:t xml:space="preserve"> </w:t>
      </w:r>
      <w:r>
        <w:rPr>
          <w:w w:val="95"/>
        </w:rPr>
        <w:t>paths</w:t>
      </w:r>
      <w:r>
        <w:rPr>
          <w:spacing w:val="-5"/>
          <w:w w:val="95"/>
        </w:rPr>
        <w:t xml:space="preserve"> </w:t>
      </w:r>
      <w:r>
        <w:rPr>
          <w:w w:val="95"/>
        </w:rPr>
        <w:t>on</w:t>
      </w:r>
      <w:r>
        <w:rPr>
          <w:spacing w:val="-5"/>
          <w:w w:val="95"/>
        </w:rPr>
        <w:t xml:space="preserve"> </w:t>
      </w:r>
      <w:r>
        <w:rPr>
          <w:w w:val="95"/>
        </w:rPr>
        <w:t xml:space="preserve">the </w:t>
      </w:r>
      <w:r>
        <w:t>existing</w:t>
      </w:r>
      <w:r>
        <w:rPr>
          <w:spacing w:val="-7"/>
        </w:rPr>
        <w:t xml:space="preserve"> </w:t>
      </w:r>
      <w:r>
        <w:t>rail</w:t>
      </w:r>
      <w:r>
        <w:rPr>
          <w:spacing w:val="-7"/>
        </w:rPr>
        <w:t xml:space="preserve"> </w:t>
      </w:r>
      <w:r>
        <w:t>line</w:t>
      </w:r>
      <w:r>
        <w:rPr>
          <w:spacing w:val="-7"/>
        </w:rPr>
        <w:t xml:space="preserve"> </w:t>
      </w:r>
      <w:r>
        <w:t>are</w:t>
      </w:r>
      <w:r>
        <w:rPr>
          <w:spacing w:val="-7"/>
        </w:rPr>
        <w:t xml:space="preserve"> </w:t>
      </w:r>
      <w:r>
        <w:t>utilised</w:t>
      </w:r>
      <w:r>
        <w:rPr>
          <w:position w:val="7"/>
          <w:sz w:val="11"/>
        </w:rPr>
        <w:t>9</w:t>
      </w:r>
      <w:r>
        <w:t>.</w:t>
      </w:r>
    </w:p>
    <w:p w:rsidR="002C1123" w:rsidRDefault="00F22F94">
      <w:pPr>
        <w:pStyle w:val="Heading6"/>
        <w:spacing w:before="145"/>
        <w:ind w:left="492"/>
      </w:pPr>
      <w:r>
        <w:t>Making</w:t>
      </w:r>
      <w:r>
        <w:rPr>
          <w:spacing w:val="-3"/>
        </w:rPr>
        <w:t xml:space="preserve"> </w:t>
      </w:r>
      <w:r>
        <w:t>rail</w:t>
      </w:r>
      <w:r>
        <w:rPr>
          <w:spacing w:val="-2"/>
        </w:rPr>
        <w:t xml:space="preserve"> competitive</w:t>
      </w:r>
    </w:p>
    <w:p w:rsidR="002C1123" w:rsidRDefault="00F22F94">
      <w:pPr>
        <w:pStyle w:val="BodyText"/>
        <w:spacing w:before="10" w:line="249" w:lineRule="auto"/>
        <w:ind w:left="492"/>
      </w:pPr>
      <w:r>
        <w:t>The</w:t>
      </w:r>
      <w:r>
        <w:rPr>
          <w:spacing w:val="-12"/>
        </w:rPr>
        <w:t xml:space="preserve"> </w:t>
      </w:r>
      <w:r>
        <w:t>reason</w:t>
      </w:r>
      <w:r>
        <w:rPr>
          <w:spacing w:val="-12"/>
        </w:rPr>
        <w:t xml:space="preserve"> </w:t>
      </w:r>
      <w:r>
        <w:t>the</w:t>
      </w:r>
      <w:r>
        <w:rPr>
          <w:spacing w:val="-12"/>
        </w:rPr>
        <w:t xml:space="preserve"> </w:t>
      </w:r>
      <w:r>
        <w:t>market</w:t>
      </w:r>
      <w:r>
        <w:rPr>
          <w:spacing w:val="-12"/>
        </w:rPr>
        <w:t xml:space="preserve"> </w:t>
      </w:r>
      <w:r>
        <w:t>prefers</w:t>
      </w:r>
      <w:r>
        <w:rPr>
          <w:spacing w:val="-12"/>
        </w:rPr>
        <w:t xml:space="preserve"> </w:t>
      </w:r>
      <w:r>
        <w:t>road</w:t>
      </w:r>
      <w:r>
        <w:rPr>
          <w:spacing w:val="-12"/>
        </w:rPr>
        <w:t xml:space="preserve"> </w:t>
      </w:r>
      <w:r>
        <w:t>at</w:t>
      </w:r>
      <w:r>
        <w:rPr>
          <w:spacing w:val="-12"/>
        </w:rPr>
        <w:t xml:space="preserve"> </w:t>
      </w:r>
      <w:r>
        <w:t>present</w:t>
      </w:r>
      <w:r>
        <w:rPr>
          <w:spacing w:val="-12"/>
        </w:rPr>
        <w:t xml:space="preserve"> </w:t>
      </w:r>
      <w:r>
        <w:t xml:space="preserve">is </w:t>
      </w:r>
      <w:r>
        <w:rPr>
          <w:w w:val="95"/>
        </w:rPr>
        <w:t>because</w:t>
      </w:r>
      <w:r>
        <w:rPr>
          <w:spacing w:val="-6"/>
          <w:w w:val="95"/>
        </w:rPr>
        <w:t xml:space="preserve"> </w:t>
      </w:r>
      <w:r>
        <w:rPr>
          <w:w w:val="95"/>
        </w:rPr>
        <w:t>road</w:t>
      </w:r>
      <w:r>
        <w:rPr>
          <w:spacing w:val="-6"/>
          <w:w w:val="95"/>
        </w:rPr>
        <w:t xml:space="preserve"> </w:t>
      </w:r>
      <w:r>
        <w:rPr>
          <w:w w:val="95"/>
        </w:rPr>
        <w:t>transport</w:t>
      </w:r>
      <w:r>
        <w:rPr>
          <w:spacing w:val="-6"/>
          <w:w w:val="95"/>
        </w:rPr>
        <w:t xml:space="preserve"> </w:t>
      </w:r>
      <w:r>
        <w:rPr>
          <w:w w:val="95"/>
        </w:rPr>
        <w:t>is</w:t>
      </w:r>
      <w:r>
        <w:rPr>
          <w:spacing w:val="-6"/>
          <w:w w:val="95"/>
        </w:rPr>
        <w:t xml:space="preserve"> </w:t>
      </w:r>
      <w:r>
        <w:rPr>
          <w:w w:val="95"/>
        </w:rPr>
        <w:t>more</w:t>
      </w:r>
      <w:r>
        <w:rPr>
          <w:spacing w:val="-6"/>
          <w:w w:val="95"/>
        </w:rPr>
        <w:t xml:space="preserve"> </w:t>
      </w:r>
      <w:r>
        <w:rPr>
          <w:w w:val="95"/>
        </w:rPr>
        <w:t>flexible</w:t>
      </w:r>
      <w:r>
        <w:rPr>
          <w:spacing w:val="-6"/>
          <w:w w:val="95"/>
        </w:rPr>
        <w:t xml:space="preserve"> </w:t>
      </w:r>
      <w:r>
        <w:rPr>
          <w:w w:val="95"/>
        </w:rPr>
        <w:t>and</w:t>
      </w:r>
      <w:r>
        <w:rPr>
          <w:spacing w:val="-6"/>
          <w:w w:val="95"/>
        </w:rPr>
        <w:t xml:space="preserve"> </w:t>
      </w:r>
      <w:r>
        <w:rPr>
          <w:w w:val="95"/>
        </w:rPr>
        <w:t>more</w:t>
      </w:r>
      <w:r>
        <w:rPr>
          <w:spacing w:val="-6"/>
          <w:w w:val="95"/>
        </w:rPr>
        <w:t xml:space="preserve"> </w:t>
      </w:r>
      <w:r>
        <w:rPr>
          <w:w w:val="95"/>
        </w:rPr>
        <w:t xml:space="preserve">reliable </w:t>
      </w:r>
      <w:r>
        <w:t>than</w:t>
      </w:r>
      <w:r>
        <w:rPr>
          <w:spacing w:val="-13"/>
        </w:rPr>
        <w:t xml:space="preserve"> </w:t>
      </w:r>
      <w:r>
        <w:t>rail,</w:t>
      </w:r>
      <w:r>
        <w:rPr>
          <w:spacing w:val="-13"/>
        </w:rPr>
        <w:t xml:space="preserve"> </w:t>
      </w:r>
      <w:r>
        <w:t>and,</w:t>
      </w:r>
      <w:r>
        <w:rPr>
          <w:spacing w:val="-13"/>
        </w:rPr>
        <w:t xml:space="preserve"> </w:t>
      </w:r>
      <w:r>
        <w:t>in</w:t>
      </w:r>
      <w:r>
        <w:rPr>
          <w:spacing w:val="-13"/>
        </w:rPr>
        <w:t xml:space="preserve"> </w:t>
      </w:r>
      <w:r>
        <w:t>most</w:t>
      </w:r>
      <w:r>
        <w:rPr>
          <w:spacing w:val="-13"/>
        </w:rPr>
        <w:t xml:space="preserve"> </w:t>
      </w:r>
      <w:r>
        <w:t>cases,</w:t>
      </w:r>
      <w:r>
        <w:rPr>
          <w:spacing w:val="-13"/>
        </w:rPr>
        <w:t xml:space="preserve"> </w:t>
      </w:r>
      <w:r>
        <w:t>less</w:t>
      </w:r>
      <w:r>
        <w:rPr>
          <w:spacing w:val="-13"/>
        </w:rPr>
        <w:t xml:space="preserve"> </w:t>
      </w:r>
      <w:r>
        <w:t>expensive.</w:t>
      </w:r>
    </w:p>
    <w:p w:rsidR="002C1123" w:rsidRDefault="00F22F94">
      <w:pPr>
        <w:pStyle w:val="BodyText"/>
        <w:spacing w:before="145" w:line="249" w:lineRule="auto"/>
        <w:ind w:left="492" w:right="42"/>
      </w:pPr>
      <w:r>
        <w:t>Rail</w:t>
      </w:r>
      <w:r>
        <w:rPr>
          <w:spacing w:val="-7"/>
        </w:rPr>
        <w:t xml:space="preserve"> </w:t>
      </w:r>
      <w:r>
        <w:t>is</w:t>
      </w:r>
      <w:r>
        <w:rPr>
          <w:spacing w:val="-7"/>
        </w:rPr>
        <w:t xml:space="preserve"> </w:t>
      </w:r>
      <w:r>
        <w:t>poorly</w:t>
      </w:r>
      <w:r>
        <w:rPr>
          <w:spacing w:val="-7"/>
        </w:rPr>
        <w:t xml:space="preserve"> </w:t>
      </w:r>
      <w:r>
        <w:t>set</w:t>
      </w:r>
      <w:r>
        <w:rPr>
          <w:spacing w:val="-7"/>
        </w:rPr>
        <w:t xml:space="preserve"> </w:t>
      </w:r>
      <w:r>
        <w:t>up</w:t>
      </w:r>
      <w:r>
        <w:rPr>
          <w:spacing w:val="-7"/>
        </w:rPr>
        <w:t xml:space="preserve"> </w:t>
      </w:r>
      <w:r>
        <w:t>to</w:t>
      </w:r>
      <w:r>
        <w:rPr>
          <w:spacing w:val="-7"/>
        </w:rPr>
        <w:t xml:space="preserve"> </w:t>
      </w:r>
      <w:r>
        <w:t>accommodate</w:t>
      </w:r>
      <w:r>
        <w:rPr>
          <w:spacing w:val="-7"/>
        </w:rPr>
        <w:t xml:space="preserve"> </w:t>
      </w:r>
      <w:r>
        <w:t>much</w:t>
      </w:r>
      <w:r>
        <w:rPr>
          <w:spacing w:val="-7"/>
        </w:rPr>
        <w:t xml:space="preserve"> </w:t>
      </w:r>
      <w:r>
        <w:t>of</w:t>
      </w:r>
      <w:r>
        <w:rPr>
          <w:spacing w:val="-7"/>
        </w:rPr>
        <w:t xml:space="preserve"> </w:t>
      </w:r>
      <w:r>
        <w:t xml:space="preserve">the </w:t>
      </w:r>
      <w:r>
        <w:rPr>
          <w:w w:val="95"/>
        </w:rPr>
        <w:t>containerised</w:t>
      </w:r>
      <w:r>
        <w:rPr>
          <w:spacing w:val="-10"/>
          <w:w w:val="95"/>
        </w:rPr>
        <w:t xml:space="preserve"> </w:t>
      </w:r>
      <w:r>
        <w:rPr>
          <w:w w:val="95"/>
        </w:rPr>
        <w:t>freight</w:t>
      </w:r>
      <w:r>
        <w:rPr>
          <w:spacing w:val="-10"/>
          <w:w w:val="95"/>
        </w:rPr>
        <w:t xml:space="preserve"> </w:t>
      </w:r>
      <w:r>
        <w:rPr>
          <w:w w:val="95"/>
        </w:rPr>
        <w:t>task.</w:t>
      </w:r>
      <w:r>
        <w:rPr>
          <w:spacing w:val="-10"/>
          <w:w w:val="95"/>
        </w:rPr>
        <w:t xml:space="preserve"> </w:t>
      </w:r>
      <w:r>
        <w:rPr>
          <w:w w:val="95"/>
        </w:rPr>
        <w:t>Less</w:t>
      </w:r>
      <w:r>
        <w:rPr>
          <w:spacing w:val="-10"/>
          <w:w w:val="95"/>
        </w:rPr>
        <w:t xml:space="preserve"> </w:t>
      </w:r>
      <w:r>
        <w:rPr>
          <w:w w:val="95"/>
        </w:rPr>
        <w:t>than</w:t>
      </w:r>
      <w:r>
        <w:rPr>
          <w:spacing w:val="-10"/>
          <w:w w:val="95"/>
        </w:rPr>
        <w:t xml:space="preserve"> </w:t>
      </w:r>
      <w:r>
        <w:rPr>
          <w:w w:val="95"/>
        </w:rPr>
        <w:t>half</w:t>
      </w:r>
      <w:r>
        <w:rPr>
          <w:spacing w:val="-10"/>
          <w:w w:val="95"/>
        </w:rPr>
        <w:t xml:space="preserve"> </w:t>
      </w:r>
      <w:r>
        <w:rPr>
          <w:w w:val="95"/>
        </w:rPr>
        <w:t>of</w:t>
      </w:r>
      <w:r>
        <w:rPr>
          <w:spacing w:val="-10"/>
          <w:w w:val="95"/>
        </w:rPr>
        <w:t xml:space="preserve"> </w:t>
      </w:r>
      <w:r>
        <w:rPr>
          <w:w w:val="95"/>
        </w:rPr>
        <w:t>rail</w:t>
      </w:r>
      <w:r>
        <w:rPr>
          <w:spacing w:val="-10"/>
          <w:w w:val="95"/>
        </w:rPr>
        <w:t xml:space="preserve"> </w:t>
      </w:r>
      <w:r>
        <w:rPr>
          <w:w w:val="95"/>
        </w:rPr>
        <w:t xml:space="preserve">journeys </w:t>
      </w:r>
      <w:r>
        <w:t>to</w:t>
      </w:r>
      <w:r>
        <w:rPr>
          <w:spacing w:val="-14"/>
        </w:rPr>
        <w:t xml:space="preserve"> </w:t>
      </w:r>
      <w:r>
        <w:t>or</w:t>
      </w:r>
      <w:r>
        <w:rPr>
          <w:spacing w:val="-14"/>
        </w:rPr>
        <w:t xml:space="preserve"> </w:t>
      </w:r>
      <w:r>
        <w:t>from</w:t>
      </w:r>
      <w:r>
        <w:rPr>
          <w:spacing w:val="-14"/>
        </w:rPr>
        <w:t xml:space="preserve"> </w:t>
      </w:r>
      <w:r>
        <w:t>Port</w:t>
      </w:r>
      <w:r>
        <w:rPr>
          <w:spacing w:val="-14"/>
        </w:rPr>
        <w:t xml:space="preserve"> </w:t>
      </w:r>
      <w:r>
        <w:t>Botany</w:t>
      </w:r>
      <w:r>
        <w:rPr>
          <w:spacing w:val="-14"/>
        </w:rPr>
        <w:t xml:space="preserve"> </w:t>
      </w:r>
      <w:r>
        <w:t>run</w:t>
      </w:r>
      <w:r>
        <w:rPr>
          <w:spacing w:val="-14"/>
        </w:rPr>
        <w:t xml:space="preserve"> </w:t>
      </w:r>
      <w:r>
        <w:t>on</w:t>
      </w:r>
      <w:r>
        <w:rPr>
          <w:spacing w:val="-14"/>
        </w:rPr>
        <w:t xml:space="preserve"> </w:t>
      </w:r>
      <w:r>
        <w:t>time</w:t>
      </w:r>
      <w:r>
        <w:rPr>
          <w:position w:val="7"/>
          <w:sz w:val="11"/>
        </w:rPr>
        <w:t>10</w:t>
      </w:r>
      <w:r>
        <w:t>.</w:t>
      </w:r>
      <w:r>
        <w:rPr>
          <w:spacing w:val="-14"/>
        </w:rPr>
        <w:t xml:space="preserve"> </w:t>
      </w:r>
      <w:r>
        <w:t>Major</w:t>
      </w:r>
      <w:r>
        <w:rPr>
          <w:spacing w:val="-14"/>
        </w:rPr>
        <w:t xml:space="preserve"> </w:t>
      </w:r>
      <w:r>
        <w:t>delays</w:t>
      </w:r>
      <w:r>
        <w:rPr>
          <w:spacing w:val="-13"/>
        </w:rPr>
        <w:t xml:space="preserve"> </w:t>
      </w:r>
      <w:r>
        <w:t>can be</w:t>
      </w:r>
      <w:r>
        <w:rPr>
          <w:spacing w:val="-11"/>
        </w:rPr>
        <w:t xml:space="preserve"> </w:t>
      </w:r>
      <w:r>
        <w:t>encountered</w:t>
      </w:r>
      <w:r>
        <w:rPr>
          <w:spacing w:val="-11"/>
        </w:rPr>
        <w:t xml:space="preserve"> </w:t>
      </w:r>
      <w:r>
        <w:t>where</w:t>
      </w:r>
      <w:r>
        <w:rPr>
          <w:spacing w:val="-11"/>
        </w:rPr>
        <w:t xml:space="preserve"> </w:t>
      </w:r>
      <w:r>
        <w:t>rail</w:t>
      </w:r>
      <w:r>
        <w:rPr>
          <w:spacing w:val="-11"/>
        </w:rPr>
        <w:t xml:space="preserve"> </w:t>
      </w:r>
      <w:r>
        <w:t>passenger</w:t>
      </w:r>
      <w:r>
        <w:rPr>
          <w:spacing w:val="-11"/>
        </w:rPr>
        <w:t xml:space="preserve"> </w:t>
      </w:r>
      <w:r>
        <w:t>transport</w:t>
      </w:r>
      <w:r>
        <w:rPr>
          <w:spacing w:val="-11"/>
        </w:rPr>
        <w:t xml:space="preserve"> </w:t>
      </w:r>
      <w:r>
        <w:t xml:space="preserve">takes </w:t>
      </w:r>
      <w:r>
        <w:rPr>
          <w:w w:val="95"/>
        </w:rPr>
        <w:t>precedence</w:t>
      </w:r>
      <w:r>
        <w:rPr>
          <w:spacing w:val="-2"/>
          <w:w w:val="95"/>
        </w:rPr>
        <w:t xml:space="preserve"> </w:t>
      </w:r>
      <w:r>
        <w:rPr>
          <w:w w:val="95"/>
        </w:rPr>
        <w:t>over</w:t>
      </w:r>
      <w:r>
        <w:rPr>
          <w:spacing w:val="-2"/>
          <w:w w:val="95"/>
        </w:rPr>
        <w:t xml:space="preserve"> </w:t>
      </w:r>
      <w:r>
        <w:rPr>
          <w:w w:val="95"/>
        </w:rPr>
        <w:t>rail</w:t>
      </w:r>
      <w:r>
        <w:rPr>
          <w:spacing w:val="-2"/>
          <w:w w:val="95"/>
        </w:rPr>
        <w:t xml:space="preserve"> </w:t>
      </w:r>
      <w:r>
        <w:rPr>
          <w:w w:val="95"/>
        </w:rPr>
        <w:t>freight</w:t>
      </w:r>
      <w:r>
        <w:rPr>
          <w:spacing w:val="-2"/>
          <w:w w:val="95"/>
        </w:rPr>
        <w:t xml:space="preserve"> </w:t>
      </w:r>
      <w:r>
        <w:rPr>
          <w:w w:val="95"/>
        </w:rPr>
        <w:t>or</w:t>
      </w:r>
      <w:r>
        <w:rPr>
          <w:spacing w:val="-2"/>
          <w:w w:val="95"/>
        </w:rPr>
        <w:t xml:space="preserve"> </w:t>
      </w:r>
      <w:r>
        <w:rPr>
          <w:w w:val="95"/>
        </w:rPr>
        <w:t>due</w:t>
      </w:r>
      <w:r>
        <w:rPr>
          <w:spacing w:val="-2"/>
          <w:w w:val="95"/>
        </w:rPr>
        <w:t xml:space="preserve"> </w:t>
      </w:r>
      <w:r>
        <w:rPr>
          <w:w w:val="95"/>
        </w:rPr>
        <w:t>to</w:t>
      </w:r>
      <w:r>
        <w:rPr>
          <w:spacing w:val="-2"/>
          <w:w w:val="95"/>
        </w:rPr>
        <w:t xml:space="preserve"> </w:t>
      </w:r>
      <w:r>
        <w:rPr>
          <w:w w:val="95"/>
        </w:rPr>
        <w:t>inefficiency</w:t>
      </w:r>
      <w:r>
        <w:rPr>
          <w:spacing w:val="-2"/>
          <w:w w:val="95"/>
        </w:rPr>
        <w:t xml:space="preserve"> </w:t>
      </w:r>
      <w:r>
        <w:rPr>
          <w:w w:val="95"/>
        </w:rPr>
        <w:t>at</w:t>
      </w:r>
      <w:r>
        <w:rPr>
          <w:spacing w:val="-2"/>
          <w:w w:val="95"/>
        </w:rPr>
        <w:t xml:space="preserve"> </w:t>
      </w:r>
      <w:r>
        <w:rPr>
          <w:w w:val="95"/>
        </w:rPr>
        <w:t>the</w:t>
      </w:r>
    </w:p>
    <w:p w:rsidR="002C1123" w:rsidRDefault="002C1123">
      <w:pPr>
        <w:pStyle w:val="BodyText"/>
        <w:spacing w:before="4"/>
        <w:rPr>
          <w:sz w:val="22"/>
        </w:rPr>
      </w:pPr>
    </w:p>
    <w:p w:rsidR="002C1123" w:rsidRDefault="002060EF">
      <w:pPr>
        <w:pStyle w:val="BodyText"/>
        <w:spacing w:line="20" w:lineRule="exact"/>
        <w:ind w:left="492"/>
        <w:rPr>
          <w:sz w:val="2"/>
        </w:rPr>
      </w:pPr>
      <w:r>
        <w:rPr>
          <w:sz w:val="2"/>
        </w:rPr>
      </w:r>
      <w:r>
        <w:rPr>
          <w:sz w:val="2"/>
        </w:rPr>
        <w:pict>
          <v:group id="docshapegroup1505" o:spid="_x0000_s3727" style="width:1in;height:.5pt;mso-position-horizontal-relative:char;mso-position-vertical-relative:line" coordsize="1440,10">
            <v:line id="_x0000_s3728" style="position:absolute" from="0,5" to="1440,5" strokecolor="#9c9c9d" strokeweight=".5pt"/>
            <w10:anchorlock/>
          </v:group>
        </w:pict>
      </w:r>
    </w:p>
    <w:p w:rsidR="002C1123" w:rsidRDefault="00F22F94">
      <w:pPr>
        <w:pStyle w:val="BodyText"/>
        <w:spacing w:before="108" w:line="249" w:lineRule="auto"/>
        <w:ind w:left="190"/>
      </w:pPr>
      <w:r>
        <w:br w:type="column"/>
      </w:r>
      <w:r>
        <w:rPr>
          <w:w w:val="95"/>
        </w:rPr>
        <w:t>port</w:t>
      </w:r>
      <w:r>
        <w:rPr>
          <w:spacing w:val="-3"/>
          <w:w w:val="95"/>
        </w:rPr>
        <w:t xml:space="preserve"> </w:t>
      </w:r>
      <w:r>
        <w:rPr>
          <w:w w:val="95"/>
        </w:rPr>
        <w:t>rail</w:t>
      </w:r>
      <w:r>
        <w:rPr>
          <w:spacing w:val="-3"/>
          <w:w w:val="95"/>
        </w:rPr>
        <w:t xml:space="preserve"> </w:t>
      </w:r>
      <w:r>
        <w:rPr>
          <w:w w:val="95"/>
        </w:rPr>
        <w:t>yards,</w:t>
      </w:r>
      <w:r>
        <w:rPr>
          <w:spacing w:val="-3"/>
          <w:w w:val="95"/>
        </w:rPr>
        <w:t xml:space="preserve"> </w:t>
      </w:r>
      <w:r>
        <w:rPr>
          <w:w w:val="95"/>
        </w:rPr>
        <w:t>where</w:t>
      </w:r>
      <w:r>
        <w:rPr>
          <w:spacing w:val="-3"/>
          <w:w w:val="95"/>
        </w:rPr>
        <w:t xml:space="preserve"> </w:t>
      </w:r>
      <w:r>
        <w:rPr>
          <w:w w:val="95"/>
        </w:rPr>
        <w:t>containers</w:t>
      </w:r>
      <w:r>
        <w:rPr>
          <w:spacing w:val="-3"/>
          <w:w w:val="95"/>
        </w:rPr>
        <w:t xml:space="preserve"> </w:t>
      </w:r>
      <w:r>
        <w:rPr>
          <w:w w:val="95"/>
        </w:rPr>
        <w:t>can</w:t>
      </w:r>
      <w:r>
        <w:rPr>
          <w:spacing w:val="-3"/>
          <w:w w:val="95"/>
        </w:rPr>
        <w:t xml:space="preserve"> </w:t>
      </w:r>
      <w:r>
        <w:rPr>
          <w:w w:val="95"/>
        </w:rPr>
        <w:t>be</w:t>
      </w:r>
      <w:r>
        <w:rPr>
          <w:spacing w:val="-3"/>
          <w:w w:val="95"/>
        </w:rPr>
        <w:t xml:space="preserve"> </w:t>
      </w:r>
      <w:r>
        <w:rPr>
          <w:w w:val="95"/>
        </w:rPr>
        <w:t>handled</w:t>
      </w:r>
      <w:r>
        <w:rPr>
          <w:spacing w:val="-3"/>
          <w:w w:val="95"/>
        </w:rPr>
        <w:t xml:space="preserve"> </w:t>
      </w:r>
      <w:r>
        <w:rPr>
          <w:w w:val="95"/>
        </w:rPr>
        <w:t xml:space="preserve">multiple </w:t>
      </w:r>
      <w:r>
        <w:t>times</w:t>
      </w:r>
      <w:r>
        <w:rPr>
          <w:spacing w:val="-14"/>
        </w:rPr>
        <w:t xml:space="preserve"> </w:t>
      </w:r>
      <w:r>
        <w:t>compared</w:t>
      </w:r>
      <w:r>
        <w:rPr>
          <w:spacing w:val="-14"/>
        </w:rPr>
        <w:t xml:space="preserve"> </w:t>
      </w:r>
      <w:r>
        <w:t>to</w:t>
      </w:r>
      <w:r>
        <w:rPr>
          <w:spacing w:val="-14"/>
        </w:rPr>
        <w:t xml:space="preserve"> </w:t>
      </w:r>
      <w:r>
        <w:t>a</w:t>
      </w:r>
      <w:r>
        <w:rPr>
          <w:spacing w:val="-14"/>
        </w:rPr>
        <w:t xml:space="preserve"> </w:t>
      </w:r>
      <w:r>
        <w:t>road</w:t>
      </w:r>
      <w:r>
        <w:rPr>
          <w:spacing w:val="-14"/>
        </w:rPr>
        <w:t xml:space="preserve"> </w:t>
      </w:r>
      <w:r>
        <w:t>equivalent</w:t>
      </w:r>
      <w:r>
        <w:rPr>
          <w:position w:val="7"/>
          <w:sz w:val="11"/>
        </w:rPr>
        <w:t>11</w:t>
      </w:r>
      <w:r>
        <w:t>.</w:t>
      </w:r>
      <w:r>
        <w:rPr>
          <w:spacing w:val="-14"/>
        </w:rPr>
        <w:t xml:space="preserve"> </w:t>
      </w:r>
      <w:r>
        <w:t>These</w:t>
      </w:r>
      <w:r>
        <w:rPr>
          <w:spacing w:val="-14"/>
        </w:rPr>
        <w:t xml:space="preserve"> </w:t>
      </w:r>
      <w:r>
        <w:t xml:space="preserve">reliability </w:t>
      </w:r>
      <w:r>
        <w:rPr>
          <w:w w:val="95"/>
        </w:rPr>
        <w:t>challenges</w:t>
      </w:r>
      <w:r>
        <w:rPr>
          <w:spacing w:val="-6"/>
          <w:w w:val="95"/>
        </w:rPr>
        <w:t xml:space="preserve"> </w:t>
      </w:r>
      <w:r>
        <w:rPr>
          <w:w w:val="95"/>
        </w:rPr>
        <w:t>are</w:t>
      </w:r>
      <w:r>
        <w:rPr>
          <w:spacing w:val="-6"/>
          <w:w w:val="95"/>
        </w:rPr>
        <w:t xml:space="preserve"> </w:t>
      </w:r>
      <w:r>
        <w:rPr>
          <w:w w:val="95"/>
        </w:rPr>
        <w:t>a</w:t>
      </w:r>
      <w:r>
        <w:rPr>
          <w:spacing w:val="-6"/>
          <w:w w:val="95"/>
        </w:rPr>
        <w:t xml:space="preserve"> </w:t>
      </w:r>
      <w:r>
        <w:rPr>
          <w:w w:val="95"/>
        </w:rPr>
        <w:t>particular</w:t>
      </w:r>
      <w:r>
        <w:rPr>
          <w:spacing w:val="-6"/>
          <w:w w:val="95"/>
        </w:rPr>
        <w:t xml:space="preserve"> </w:t>
      </w:r>
      <w:r>
        <w:rPr>
          <w:w w:val="95"/>
        </w:rPr>
        <w:t>issue</w:t>
      </w:r>
      <w:r>
        <w:rPr>
          <w:spacing w:val="-6"/>
          <w:w w:val="95"/>
        </w:rPr>
        <w:t xml:space="preserve"> </w:t>
      </w:r>
      <w:r>
        <w:rPr>
          <w:w w:val="95"/>
        </w:rPr>
        <w:t>for</w:t>
      </w:r>
      <w:r>
        <w:rPr>
          <w:spacing w:val="-6"/>
          <w:w w:val="95"/>
        </w:rPr>
        <w:t xml:space="preserve"> </w:t>
      </w:r>
      <w:r>
        <w:rPr>
          <w:w w:val="95"/>
        </w:rPr>
        <w:t>time</w:t>
      </w:r>
      <w:r>
        <w:rPr>
          <w:spacing w:val="-6"/>
          <w:w w:val="95"/>
        </w:rPr>
        <w:t xml:space="preserve"> </w:t>
      </w:r>
      <w:r>
        <w:rPr>
          <w:w w:val="95"/>
        </w:rPr>
        <w:t>sensitive</w:t>
      </w:r>
      <w:r>
        <w:rPr>
          <w:spacing w:val="-6"/>
          <w:w w:val="95"/>
        </w:rPr>
        <w:t xml:space="preserve"> </w:t>
      </w:r>
      <w:r>
        <w:rPr>
          <w:w w:val="95"/>
        </w:rPr>
        <w:t>cargo.</w:t>
      </w:r>
    </w:p>
    <w:p w:rsidR="002C1123" w:rsidRDefault="00F22F94">
      <w:pPr>
        <w:pStyle w:val="BodyText"/>
        <w:spacing w:before="144" w:line="249" w:lineRule="auto"/>
        <w:ind w:left="190"/>
      </w:pPr>
      <w:r>
        <w:t>The</w:t>
      </w:r>
      <w:r>
        <w:rPr>
          <w:spacing w:val="-10"/>
        </w:rPr>
        <w:t xml:space="preserve"> </w:t>
      </w:r>
      <w:r>
        <w:t>situation</w:t>
      </w:r>
      <w:r>
        <w:rPr>
          <w:spacing w:val="-10"/>
        </w:rPr>
        <w:t xml:space="preserve"> </w:t>
      </w:r>
      <w:r>
        <w:t>on</w:t>
      </w:r>
      <w:r>
        <w:rPr>
          <w:spacing w:val="-10"/>
        </w:rPr>
        <w:t xml:space="preserve"> </w:t>
      </w:r>
      <w:r>
        <w:t>cost</w:t>
      </w:r>
      <w:r>
        <w:rPr>
          <w:spacing w:val="-10"/>
        </w:rPr>
        <w:t xml:space="preserve"> </w:t>
      </w:r>
      <w:r>
        <w:t>is</w:t>
      </w:r>
      <w:r>
        <w:rPr>
          <w:spacing w:val="-10"/>
        </w:rPr>
        <w:t xml:space="preserve"> </w:t>
      </w:r>
      <w:r>
        <w:t>more</w:t>
      </w:r>
      <w:r>
        <w:rPr>
          <w:spacing w:val="-10"/>
        </w:rPr>
        <w:t xml:space="preserve"> </w:t>
      </w:r>
      <w:r>
        <w:t>complex.</w:t>
      </w:r>
      <w:r>
        <w:rPr>
          <w:spacing w:val="-10"/>
        </w:rPr>
        <w:t xml:space="preserve"> </w:t>
      </w:r>
      <w:r>
        <w:t>It</w:t>
      </w:r>
      <w:r>
        <w:rPr>
          <w:spacing w:val="-10"/>
        </w:rPr>
        <w:t xml:space="preserve"> </w:t>
      </w:r>
      <w:r>
        <w:t>has</w:t>
      </w:r>
      <w:r>
        <w:rPr>
          <w:spacing w:val="-10"/>
        </w:rPr>
        <w:t xml:space="preserve"> </w:t>
      </w:r>
      <w:r>
        <w:t xml:space="preserve">been </w:t>
      </w:r>
      <w:r>
        <w:rPr>
          <w:w w:val="95"/>
        </w:rPr>
        <w:t xml:space="preserve">argued that road freight does not pay the full costs of the </w:t>
      </w:r>
      <w:r>
        <w:t>infrastructure</w:t>
      </w:r>
      <w:r>
        <w:rPr>
          <w:spacing w:val="-14"/>
        </w:rPr>
        <w:t xml:space="preserve"> </w:t>
      </w:r>
      <w:r>
        <w:t>it</w:t>
      </w:r>
      <w:r>
        <w:rPr>
          <w:spacing w:val="-14"/>
        </w:rPr>
        <w:t xml:space="preserve"> </w:t>
      </w:r>
      <w:r>
        <w:t>uses</w:t>
      </w:r>
      <w:r>
        <w:rPr>
          <w:position w:val="7"/>
          <w:sz w:val="11"/>
        </w:rPr>
        <w:t>12</w:t>
      </w:r>
      <w:r>
        <w:t>,</w:t>
      </w:r>
      <w:r>
        <w:rPr>
          <w:spacing w:val="-14"/>
        </w:rPr>
        <w:t xml:space="preserve"> </w:t>
      </w:r>
      <w:r>
        <w:t>distorting</w:t>
      </w:r>
      <w:r>
        <w:rPr>
          <w:spacing w:val="-14"/>
        </w:rPr>
        <w:t xml:space="preserve"> </w:t>
      </w:r>
      <w:r>
        <w:t>the</w:t>
      </w:r>
      <w:r>
        <w:rPr>
          <w:spacing w:val="-14"/>
        </w:rPr>
        <w:t xml:space="preserve"> </w:t>
      </w:r>
      <w:r>
        <w:t>market</w:t>
      </w:r>
      <w:r>
        <w:rPr>
          <w:spacing w:val="-14"/>
        </w:rPr>
        <w:t xml:space="preserve"> </w:t>
      </w:r>
      <w:r>
        <w:t>against</w:t>
      </w:r>
      <w:r>
        <w:rPr>
          <w:spacing w:val="-14"/>
        </w:rPr>
        <w:t xml:space="preserve"> </w:t>
      </w:r>
      <w:r>
        <w:t xml:space="preserve">rail </w:t>
      </w:r>
      <w:r>
        <w:rPr>
          <w:w w:val="95"/>
        </w:rPr>
        <w:t xml:space="preserve">freight. However, Infrastructure NSW is inclined to agree </w:t>
      </w:r>
      <w:r>
        <w:t>with</w:t>
      </w:r>
      <w:r>
        <w:rPr>
          <w:spacing w:val="-7"/>
        </w:rPr>
        <w:t xml:space="preserve"> </w:t>
      </w:r>
      <w:r>
        <w:t>the</w:t>
      </w:r>
      <w:r>
        <w:rPr>
          <w:spacing w:val="-7"/>
        </w:rPr>
        <w:t xml:space="preserve"> </w:t>
      </w:r>
      <w:r>
        <w:t>Productivity</w:t>
      </w:r>
      <w:r>
        <w:rPr>
          <w:spacing w:val="-7"/>
        </w:rPr>
        <w:t xml:space="preserve"> </w:t>
      </w:r>
      <w:r>
        <w:t>Commission,</w:t>
      </w:r>
      <w:r>
        <w:rPr>
          <w:spacing w:val="-7"/>
        </w:rPr>
        <w:t xml:space="preserve"> </w:t>
      </w:r>
      <w:r>
        <w:t>which</w:t>
      </w:r>
      <w:r>
        <w:rPr>
          <w:spacing w:val="-7"/>
        </w:rPr>
        <w:t xml:space="preserve"> </w:t>
      </w:r>
      <w:r>
        <w:t>found</w:t>
      </w:r>
      <w:r>
        <w:rPr>
          <w:spacing w:val="-7"/>
        </w:rPr>
        <w:t xml:space="preserve"> </w:t>
      </w:r>
      <w:r>
        <w:t xml:space="preserve">limited </w:t>
      </w:r>
      <w:r>
        <w:rPr>
          <w:w w:val="95"/>
        </w:rPr>
        <w:t>price</w:t>
      </w:r>
      <w:r>
        <w:rPr>
          <w:spacing w:val="-5"/>
          <w:w w:val="95"/>
        </w:rPr>
        <w:t xml:space="preserve"> </w:t>
      </w:r>
      <w:r>
        <w:rPr>
          <w:w w:val="95"/>
        </w:rPr>
        <w:t>distortions</w:t>
      </w:r>
      <w:r>
        <w:rPr>
          <w:spacing w:val="-5"/>
          <w:w w:val="95"/>
        </w:rPr>
        <w:t xml:space="preserve"> </w:t>
      </w:r>
      <w:r>
        <w:rPr>
          <w:w w:val="95"/>
        </w:rPr>
        <w:t>between</w:t>
      </w:r>
      <w:r>
        <w:rPr>
          <w:spacing w:val="-5"/>
          <w:w w:val="95"/>
        </w:rPr>
        <w:t xml:space="preserve"> </w:t>
      </w:r>
      <w:r>
        <w:rPr>
          <w:w w:val="95"/>
        </w:rPr>
        <w:t>road</w:t>
      </w:r>
      <w:r>
        <w:rPr>
          <w:spacing w:val="-5"/>
          <w:w w:val="95"/>
        </w:rPr>
        <w:t xml:space="preserve"> </w:t>
      </w:r>
      <w:r>
        <w:rPr>
          <w:w w:val="95"/>
        </w:rPr>
        <w:t>and</w:t>
      </w:r>
      <w:r>
        <w:rPr>
          <w:spacing w:val="-5"/>
          <w:w w:val="95"/>
        </w:rPr>
        <w:t xml:space="preserve"> </w:t>
      </w:r>
      <w:r>
        <w:rPr>
          <w:w w:val="95"/>
        </w:rPr>
        <w:t>rail,</w:t>
      </w:r>
      <w:r>
        <w:rPr>
          <w:spacing w:val="-5"/>
          <w:w w:val="95"/>
        </w:rPr>
        <w:t xml:space="preserve"> </w:t>
      </w:r>
      <w:r>
        <w:rPr>
          <w:w w:val="95"/>
        </w:rPr>
        <w:t>(once</w:t>
      </w:r>
      <w:r>
        <w:rPr>
          <w:spacing w:val="-5"/>
          <w:w w:val="95"/>
        </w:rPr>
        <w:t xml:space="preserve"> </w:t>
      </w:r>
      <w:r>
        <w:rPr>
          <w:w w:val="95"/>
        </w:rPr>
        <w:t xml:space="preserve">registration </w:t>
      </w:r>
      <w:r>
        <w:t>costs</w:t>
      </w:r>
      <w:r>
        <w:rPr>
          <w:spacing w:val="-11"/>
        </w:rPr>
        <w:t xml:space="preserve"> </w:t>
      </w:r>
      <w:r>
        <w:t>and</w:t>
      </w:r>
      <w:r>
        <w:rPr>
          <w:spacing w:val="-11"/>
        </w:rPr>
        <w:t xml:space="preserve"> </w:t>
      </w:r>
      <w:r>
        <w:t>fuel</w:t>
      </w:r>
      <w:r>
        <w:rPr>
          <w:spacing w:val="-11"/>
        </w:rPr>
        <w:t xml:space="preserve"> </w:t>
      </w:r>
      <w:r>
        <w:t>charges</w:t>
      </w:r>
      <w:r>
        <w:rPr>
          <w:spacing w:val="-11"/>
        </w:rPr>
        <w:t xml:space="preserve"> </w:t>
      </w:r>
      <w:r>
        <w:t>were</w:t>
      </w:r>
      <w:r>
        <w:rPr>
          <w:spacing w:val="-11"/>
        </w:rPr>
        <w:t xml:space="preserve"> </w:t>
      </w:r>
      <w:r>
        <w:t>accounted</w:t>
      </w:r>
      <w:r>
        <w:rPr>
          <w:spacing w:val="-11"/>
        </w:rPr>
        <w:t xml:space="preserve"> </w:t>
      </w:r>
      <w:r>
        <w:t>for)</w:t>
      </w:r>
      <w:r>
        <w:rPr>
          <w:spacing w:val="-11"/>
        </w:rPr>
        <w:t xml:space="preserve"> </w:t>
      </w:r>
      <w:r>
        <w:t>in</w:t>
      </w:r>
      <w:r>
        <w:rPr>
          <w:spacing w:val="-11"/>
        </w:rPr>
        <w:t xml:space="preserve"> </w:t>
      </w:r>
      <w:r>
        <w:t>its</w:t>
      </w:r>
      <w:r>
        <w:rPr>
          <w:spacing w:val="-11"/>
        </w:rPr>
        <w:t xml:space="preserve"> </w:t>
      </w:r>
      <w:r>
        <w:t>2006 study</w:t>
      </w:r>
      <w:r>
        <w:rPr>
          <w:position w:val="7"/>
          <w:sz w:val="11"/>
        </w:rPr>
        <w:t>13</w:t>
      </w:r>
      <w:r>
        <w:rPr>
          <w:spacing w:val="40"/>
          <w:position w:val="7"/>
          <w:sz w:val="11"/>
        </w:rPr>
        <w:t xml:space="preserve"> </w:t>
      </w:r>
      <w:r>
        <w:t>into the issue.</w:t>
      </w:r>
    </w:p>
    <w:p w:rsidR="002C1123" w:rsidRDefault="00F22F94">
      <w:pPr>
        <w:pStyle w:val="BodyText"/>
        <w:spacing w:before="148" w:line="249" w:lineRule="auto"/>
        <w:ind w:left="190" w:right="155"/>
      </w:pPr>
      <w:r>
        <w:t>Road</w:t>
      </w:r>
      <w:r>
        <w:rPr>
          <w:spacing w:val="-11"/>
        </w:rPr>
        <w:t xml:space="preserve"> </w:t>
      </w:r>
      <w:r>
        <w:t>transport</w:t>
      </w:r>
      <w:r>
        <w:rPr>
          <w:spacing w:val="-11"/>
        </w:rPr>
        <w:t xml:space="preserve"> </w:t>
      </w:r>
      <w:r>
        <w:t>has</w:t>
      </w:r>
      <w:r>
        <w:rPr>
          <w:spacing w:val="-11"/>
        </w:rPr>
        <w:t xml:space="preserve"> </w:t>
      </w:r>
      <w:r>
        <w:t>an</w:t>
      </w:r>
      <w:r>
        <w:rPr>
          <w:spacing w:val="-11"/>
        </w:rPr>
        <w:t xml:space="preserve"> </w:t>
      </w:r>
      <w:r>
        <w:t>inherent</w:t>
      </w:r>
      <w:r>
        <w:rPr>
          <w:spacing w:val="-11"/>
        </w:rPr>
        <w:t xml:space="preserve"> </w:t>
      </w:r>
      <w:r>
        <w:t>cost</w:t>
      </w:r>
      <w:r>
        <w:rPr>
          <w:spacing w:val="-11"/>
        </w:rPr>
        <w:t xml:space="preserve"> </w:t>
      </w:r>
      <w:r>
        <w:t>advantage</w:t>
      </w:r>
      <w:r>
        <w:rPr>
          <w:spacing w:val="-11"/>
        </w:rPr>
        <w:t xml:space="preserve"> </w:t>
      </w:r>
      <w:r>
        <w:t>for short</w:t>
      </w:r>
      <w:r>
        <w:rPr>
          <w:spacing w:val="-14"/>
        </w:rPr>
        <w:t xml:space="preserve"> </w:t>
      </w:r>
      <w:r>
        <w:t>haul</w:t>
      </w:r>
      <w:r>
        <w:rPr>
          <w:spacing w:val="-14"/>
        </w:rPr>
        <w:t xml:space="preserve"> </w:t>
      </w:r>
      <w:r>
        <w:t>cargo.</w:t>
      </w:r>
      <w:r>
        <w:rPr>
          <w:spacing w:val="-14"/>
        </w:rPr>
        <w:t xml:space="preserve"> </w:t>
      </w:r>
      <w:r>
        <w:t>This</w:t>
      </w:r>
      <w:r>
        <w:rPr>
          <w:spacing w:val="-14"/>
        </w:rPr>
        <w:t xml:space="preserve"> </w:t>
      </w:r>
      <w:r>
        <w:t>is</w:t>
      </w:r>
      <w:r>
        <w:rPr>
          <w:spacing w:val="-14"/>
        </w:rPr>
        <w:t xml:space="preserve"> </w:t>
      </w:r>
      <w:r>
        <w:t>due</w:t>
      </w:r>
      <w:r>
        <w:rPr>
          <w:spacing w:val="-14"/>
        </w:rPr>
        <w:t xml:space="preserve"> </w:t>
      </w:r>
      <w:r>
        <w:t>to</w:t>
      </w:r>
      <w:r>
        <w:rPr>
          <w:spacing w:val="-14"/>
        </w:rPr>
        <w:t xml:space="preserve"> </w:t>
      </w:r>
      <w:r>
        <w:t>rail’s</w:t>
      </w:r>
      <w:r>
        <w:rPr>
          <w:spacing w:val="-13"/>
        </w:rPr>
        <w:t xml:space="preserve"> </w:t>
      </w:r>
      <w:r>
        <w:t>high</w:t>
      </w:r>
      <w:r>
        <w:rPr>
          <w:spacing w:val="-14"/>
        </w:rPr>
        <w:t xml:space="preserve"> </w:t>
      </w:r>
      <w:r>
        <w:t>fixed</w:t>
      </w:r>
      <w:r>
        <w:rPr>
          <w:spacing w:val="-14"/>
        </w:rPr>
        <w:t xml:space="preserve"> </w:t>
      </w:r>
      <w:r>
        <w:t xml:space="preserve">(but </w:t>
      </w:r>
      <w:r>
        <w:rPr>
          <w:w w:val="95"/>
        </w:rPr>
        <w:t>low</w:t>
      </w:r>
      <w:r>
        <w:rPr>
          <w:spacing w:val="-7"/>
          <w:w w:val="95"/>
        </w:rPr>
        <w:t xml:space="preserve"> </w:t>
      </w:r>
      <w:r>
        <w:rPr>
          <w:w w:val="95"/>
        </w:rPr>
        <w:t>marginal)</w:t>
      </w:r>
      <w:r>
        <w:rPr>
          <w:spacing w:val="-7"/>
          <w:w w:val="95"/>
        </w:rPr>
        <w:t xml:space="preserve"> </w:t>
      </w:r>
      <w:r>
        <w:rPr>
          <w:w w:val="95"/>
        </w:rPr>
        <w:t>costs.</w:t>
      </w:r>
      <w:r>
        <w:rPr>
          <w:spacing w:val="-7"/>
          <w:w w:val="95"/>
        </w:rPr>
        <w:t xml:space="preserve"> </w:t>
      </w:r>
      <w:r>
        <w:rPr>
          <w:w w:val="95"/>
        </w:rPr>
        <w:t>In</w:t>
      </w:r>
      <w:r>
        <w:rPr>
          <w:spacing w:val="-7"/>
          <w:w w:val="95"/>
        </w:rPr>
        <w:t xml:space="preserve"> </w:t>
      </w:r>
      <w:r>
        <w:rPr>
          <w:w w:val="95"/>
        </w:rPr>
        <w:t>NSW,</w:t>
      </w:r>
      <w:r>
        <w:rPr>
          <w:spacing w:val="-7"/>
          <w:w w:val="95"/>
        </w:rPr>
        <w:t xml:space="preserve"> </w:t>
      </w:r>
      <w:r>
        <w:rPr>
          <w:w w:val="95"/>
        </w:rPr>
        <w:t>85</w:t>
      </w:r>
      <w:r>
        <w:rPr>
          <w:spacing w:val="-7"/>
          <w:w w:val="95"/>
        </w:rPr>
        <w:t xml:space="preserve"> </w:t>
      </w:r>
      <w:r>
        <w:rPr>
          <w:w w:val="95"/>
        </w:rPr>
        <w:t>percent</w:t>
      </w:r>
      <w:r>
        <w:rPr>
          <w:spacing w:val="-7"/>
          <w:w w:val="95"/>
        </w:rPr>
        <w:t xml:space="preserve"> </w:t>
      </w:r>
      <w:r>
        <w:rPr>
          <w:w w:val="95"/>
        </w:rPr>
        <w:t>of</w:t>
      </w:r>
      <w:r>
        <w:rPr>
          <w:spacing w:val="-7"/>
          <w:w w:val="95"/>
        </w:rPr>
        <w:t xml:space="preserve"> </w:t>
      </w:r>
      <w:r>
        <w:rPr>
          <w:w w:val="95"/>
        </w:rPr>
        <w:t xml:space="preserve">container </w:t>
      </w:r>
      <w:r>
        <w:t>movements</w:t>
      </w:r>
      <w:r>
        <w:rPr>
          <w:spacing w:val="-12"/>
        </w:rPr>
        <w:t xml:space="preserve"> </w:t>
      </w:r>
      <w:r>
        <w:t>are</w:t>
      </w:r>
      <w:r>
        <w:rPr>
          <w:spacing w:val="-12"/>
        </w:rPr>
        <w:t xml:space="preserve"> </w:t>
      </w:r>
      <w:r>
        <w:t>within</w:t>
      </w:r>
      <w:r>
        <w:rPr>
          <w:spacing w:val="-12"/>
        </w:rPr>
        <w:t xml:space="preserve"> </w:t>
      </w:r>
      <w:r>
        <w:t>the</w:t>
      </w:r>
      <w:r>
        <w:rPr>
          <w:spacing w:val="-12"/>
        </w:rPr>
        <w:t xml:space="preserve"> </w:t>
      </w:r>
      <w:r>
        <w:t>metropolitan</w:t>
      </w:r>
      <w:r>
        <w:rPr>
          <w:spacing w:val="-12"/>
        </w:rPr>
        <w:t xml:space="preserve"> </w:t>
      </w:r>
      <w:r>
        <w:t>area</w:t>
      </w:r>
      <w:r>
        <w:rPr>
          <w:position w:val="7"/>
          <w:sz w:val="11"/>
        </w:rPr>
        <w:t>14</w:t>
      </w:r>
      <w:r>
        <w:t>.</w:t>
      </w:r>
    </w:p>
    <w:p w:rsidR="002C1123" w:rsidRDefault="00F22F94">
      <w:pPr>
        <w:pStyle w:val="BodyText"/>
        <w:spacing w:before="145" w:line="249" w:lineRule="auto"/>
        <w:ind w:left="190" w:right="155"/>
      </w:pPr>
      <w:r>
        <w:t>Rail</w:t>
      </w:r>
      <w:r>
        <w:rPr>
          <w:spacing w:val="-13"/>
        </w:rPr>
        <w:t xml:space="preserve"> </w:t>
      </w:r>
      <w:r>
        <w:t>is</w:t>
      </w:r>
      <w:r>
        <w:rPr>
          <w:spacing w:val="-13"/>
        </w:rPr>
        <w:t xml:space="preserve"> </w:t>
      </w:r>
      <w:r>
        <w:t>cost</w:t>
      </w:r>
      <w:r>
        <w:rPr>
          <w:spacing w:val="-13"/>
        </w:rPr>
        <w:t xml:space="preserve"> </w:t>
      </w:r>
      <w:r>
        <w:t>competitive</w:t>
      </w:r>
      <w:r>
        <w:rPr>
          <w:spacing w:val="-13"/>
        </w:rPr>
        <w:t xml:space="preserve"> </w:t>
      </w:r>
      <w:r>
        <w:t>with</w:t>
      </w:r>
      <w:r>
        <w:rPr>
          <w:spacing w:val="-13"/>
        </w:rPr>
        <w:t xml:space="preserve"> </w:t>
      </w:r>
      <w:r>
        <w:t>road</w:t>
      </w:r>
      <w:r>
        <w:rPr>
          <w:spacing w:val="-13"/>
        </w:rPr>
        <w:t xml:space="preserve"> </w:t>
      </w:r>
      <w:r>
        <w:t>for</w:t>
      </w:r>
      <w:r>
        <w:rPr>
          <w:spacing w:val="-13"/>
        </w:rPr>
        <w:t xml:space="preserve"> </w:t>
      </w:r>
      <w:r>
        <w:t>journeys</w:t>
      </w:r>
      <w:r>
        <w:rPr>
          <w:spacing w:val="-13"/>
        </w:rPr>
        <w:t xml:space="preserve"> </w:t>
      </w:r>
      <w:r>
        <w:t>over longer</w:t>
      </w:r>
      <w:r>
        <w:rPr>
          <w:spacing w:val="-14"/>
        </w:rPr>
        <w:t xml:space="preserve"> </w:t>
      </w:r>
      <w:r>
        <w:t>distances.</w:t>
      </w:r>
      <w:r>
        <w:rPr>
          <w:spacing w:val="-14"/>
        </w:rPr>
        <w:t xml:space="preserve"> </w:t>
      </w:r>
      <w:r>
        <w:t>This</w:t>
      </w:r>
      <w:r>
        <w:rPr>
          <w:spacing w:val="-14"/>
        </w:rPr>
        <w:t xml:space="preserve"> </w:t>
      </w:r>
      <w:r>
        <w:t>is</w:t>
      </w:r>
      <w:r>
        <w:rPr>
          <w:spacing w:val="-14"/>
        </w:rPr>
        <w:t xml:space="preserve"> </w:t>
      </w:r>
      <w:r>
        <w:t>illustrated</w:t>
      </w:r>
      <w:r>
        <w:rPr>
          <w:spacing w:val="-14"/>
        </w:rPr>
        <w:t xml:space="preserve"> </w:t>
      </w:r>
      <w:r>
        <w:t>in</w:t>
      </w:r>
      <w:r>
        <w:rPr>
          <w:spacing w:val="-14"/>
        </w:rPr>
        <w:t xml:space="preserve"> </w:t>
      </w:r>
      <w:r>
        <w:t>the</w:t>
      </w:r>
      <w:r>
        <w:rPr>
          <w:spacing w:val="-14"/>
        </w:rPr>
        <w:t xml:space="preserve"> </w:t>
      </w:r>
      <w:r>
        <w:t>case</w:t>
      </w:r>
      <w:r>
        <w:rPr>
          <w:spacing w:val="-14"/>
        </w:rPr>
        <w:t xml:space="preserve"> </w:t>
      </w:r>
      <w:r>
        <w:t>of export</w:t>
      </w:r>
      <w:r>
        <w:rPr>
          <w:spacing w:val="-6"/>
        </w:rPr>
        <w:t xml:space="preserve"> </w:t>
      </w:r>
      <w:r>
        <w:t>container</w:t>
      </w:r>
      <w:r>
        <w:rPr>
          <w:spacing w:val="-6"/>
        </w:rPr>
        <w:t xml:space="preserve"> </w:t>
      </w:r>
      <w:r>
        <w:t>freight,</w:t>
      </w:r>
      <w:r>
        <w:rPr>
          <w:spacing w:val="-6"/>
        </w:rPr>
        <w:t xml:space="preserve"> </w:t>
      </w:r>
      <w:r>
        <w:t>a</w:t>
      </w:r>
      <w:r>
        <w:rPr>
          <w:spacing w:val="-6"/>
        </w:rPr>
        <w:t xml:space="preserve"> </w:t>
      </w:r>
      <w:r>
        <w:t>significant</w:t>
      </w:r>
      <w:r>
        <w:rPr>
          <w:spacing w:val="-6"/>
        </w:rPr>
        <w:t xml:space="preserve"> </w:t>
      </w:r>
      <w:r>
        <w:t>proportion</w:t>
      </w:r>
      <w:r>
        <w:rPr>
          <w:spacing w:val="-6"/>
        </w:rPr>
        <w:t xml:space="preserve"> </w:t>
      </w:r>
      <w:r>
        <w:t xml:space="preserve">of </w:t>
      </w:r>
      <w:r>
        <w:rPr>
          <w:spacing w:val="-2"/>
          <w:w w:val="95"/>
        </w:rPr>
        <w:t>which</w:t>
      </w:r>
      <w:r>
        <w:rPr>
          <w:spacing w:val="-5"/>
          <w:w w:val="95"/>
        </w:rPr>
        <w:t xml:space="preserve"> </w:t>
      </w:r>
      <w:r>
        <w:rPr>
          <w:spacing w:val="-2"/>
          <w:w w:val="95"/>
        </w:rPr>
        <w:t>originates</w:t>
      </w:r>
      <w:r>
        <w:rPr>
          <w:spacing w:val="-5"/>
          <w:w w:val="95"/>
        </w:rPr>
        <w:t xml:space="preserve"> </w:t>
      </w:r>
      <w:r>
        <w:rPr>
          <w:spacing w:val="-2"/>
          <w:w w:val="95"/>
        </w:rPr>
        <w:t>in</w:t>
      </w:r>
      <w:r>
        <w:rPr>
          <w:spacing w:val="-5"/>
          <w:w w:val="95"/>
        </w:rPr>
        <w:t xml:space="preserve"> </w:t>
      </w:r>
      <w:r>
        <w:rPr>
          <w:spacing w:val="-2"/>
          <w:w w:val="95"/>
        </w:rPr>
        <w:t>Regional</w:t>
      </w:r>
      <w:r>
        <w:rPr>
          <w:spacing w:val="-5"/>
          <w:w w:val="95"/>
        </w:rPr>
        <w:t xml:space="preserve"> </w:t>
      </w:r>
      <w:r>
        <w:rPr>
          <w:spacing w:val="-2"/>
          <w:w w:val="95"/>
        </w:rPr>
        <w:t>NSW.</w:t>
      </w:r>
      <w:r>
        <w:rPr>
          <w:spacing w:val="-5"/>
          <w:w w:val="95"/>
        </w:rPr>
        <w:t xml:space="preserve"> </w:t>
      </w:r>
      <w:r>
        <w:rPr>
          <w:spacing w:val="-2"/>
          <w:w w:val="95"/>
        </w:rPr>
        <w:t>Rail</w:t>
      </w:r>
      <w:r>
        <w:rPr>
          <w:spacing w:val="-5"/>
          <w:w w:val="95"/>
        </w:rPr>
        <w:t xml:space="preserve"> </w:t>
      </w:r>
      <w:r>
        <w:rPr>
          <w:spacing w:val="-2"/>
          <w:w w:val="95"/>
        </w:rPr>
        <w:t>already</w:t>
      </w:r>
      <w:r>
        <w:rPr>
          <w:spacing w:val="-5"/>
          <w:w w:val="95"/>
        </w:rPr>
        <w:t xml:space="preserve"> </w:t>
      </w:r>
      <w:r>
        <w:rPr>
          <w:spacing w:val="-2"/>
          <w:w w:val="95"/>
        </w:rPr>
        <w:t>has</w:t>
      </w:r>
      <w:r>
        <w:rPr>
          <w:spacing w:val="-5"/>
          <w:w w:val="95"/>
        </w:rPr>
        <w:t xml:space="preserve"> </w:t>
      </w:r>
      <w:r>
        <w:rPr>
          <w:spacing w:val="-2"/>
          <w:w w:val="95"/>
        </w:rPr>
        <w:t>a</w:t>
      </w:r>
    </w:p>
    <w:p w:rsidR="002C1123" w:rsidRDefault="00F22F94">
      <w:pPr>
        <w:pStyle w:val="BodyText"/>
        <w:spacing w:before="4" w:line="249" w:lineRule="auto"/>
        <w:ind w:left="190" w:right="51"/>
      </w:pPr>
      <w:r>
        <w:rPr>
          <w:w w:val="95"/>
        </w:rPr>
        <w:t xml:space="preserve">38 per cent share of export container freight, compared </w:t>
      </w:r>
      <w:r>
        <w:t>to</w:t>
      </w:r>
      <w:r>
        <w:rPr>
          <w:spacing w:val="-9"/>
        </w:rPr>
        <w:t xml:space="preserve"> </w:t>
      </w:r>
      <w:r>
        <w:t>a</w:t>
      </w:r>
      <w:r>
        <w:rPr>
          <w:spacing w:val="-9"/>
        </w:rPr>
        <w:t xml:space="preserve"> </w:t>
      </w:r>
      <w:r>
        <w:t>15</w:t>
      </w:r>
      <w:r>
        <w:rPr>
          <w:spacing w:val="-9"/>
        </w:rPr>
        <w:t xml:space="preserve"> </w:t>
      </w:r>
      <w:r>
        <w:t>percent</w:t>
      </w:r>
      <w:r>
        <w:rPr>
          <w:spacing w:val="-9"/>
        </w:rPr>
        <w:t xml:space="preserve"> </w:t>
      </w:r>
      <w:r>
        <w:t>share</w:t>
      </w:r>
      <w:r>
        <w:rPr>
          <w:spacing w:val="-9"/>
        </w:rPr>
        <w:t xml:space="preserve"> </w:t>
      </w:r>
      <w:r>
        <w:t>of</w:t>
      </w:r>
      <w:r>
        <w:rPr>
          <w:spacing w:val="-9"/>
        </w:rPr>
        <w:t xml:space="preserve"> </w:t>
      </w:r>
      <w:r>
        <w:t>import</w:t>
      </w:r>
      <w:r>
        <w:rPr>
          <w:spacing w:val="-9"/>
        </w:rPr>
        <w:t xml:space="preserve"> </w:t>
      </w:r>
      <w:r>
        <w:t>container</w:t>
      </w:r>
      <w:r>
        <w:rPr>
          <w:spacing w:val="-9"/>
        </w:rPr>
        <w:t xml:space="preserve"> </w:t>
      </w:r>
      <w:r>
        <w:t>freight</w:t>
      </w:r>
      <w:r>
        <w:rPr>
          <w:position w:val="7"/>
          <w:sz w:val="11"/>
        </w:rPr>
        <w:t>15</w:t>
      </w:r>
      <w:r>
        <w:t>.</w:t>
      </w:r>
    </w:p>
    <w:p w:rsidR="002C1123" w:rsidRDefault="00F22F94">
      <w:pPr>
        <w:pStyle w:val="BodyText"/>
        <w:spacing w:before="143" w:line="249" w:lineRule="auto"/>
        <w:ind w:left="190"/>
      </w:pPr>
      <w:r>
        <w:t>For</w:t>
      </w:r>
      <w:r>
        <w:rPr>
          <w:spacing w:val="-13"/>
        </w:rPr>
        <w:t xml:space="preserve"> </w:t>
      </w:r>
      <w:r>
        <w:t>short</w:t>
      </w:r>
      <w:r>
        <w:rPr>
          <w:spacing w:val="-13"/>
        </w:rPr>
        <w:t xml:space="preserve"> </w:t>
      </w:r>
      <w:r>
        <w:t>haul</w:t>
      </w:r>
      <w:r>
        <w:rPr>
          <w:spacing w:val="-13"/>
        </w:rPr>
        <w:t xml:space="preserve"> </w:t>
      </w:r>
      <w:r>
        <w:t>container</w:t>
      </w:r>
      <w:r>
        <w:rPr>
          <w:spacing w:val="-13"/>
        </w:rPr>
        <w:t xml:space="preserve"> </w:t>
      </w:r>
      <w:r>
        <w:t>movements</w:t>
      </w:r>
      <w:r>
        <w:rPr>
          <w:spacing w:val="-13"/>
        </w:rPr>
        <w:t xml:space="preserve"> </w:t>
      </w:r>
      <w:r>
        <w:t>where</w:t>
      </w:r>
      <w:r>
        <w:rPr>
          <w:spacing w:val="-13"/>
        </w:rPr>
        <w:t xml:space="preserve"> </w:t>
      </w:r>
      <w:r>
        <w:t>there</w:t>
      </w:r>
      <w:r>
        <w:rPr>
          <w:spacing w:val="-13"/>
        </w:rPr>
        <w:t xml:space="preserve"> </w:t>
      </w:r>
      <w:r>
        <w:t xml:space="preserve">is </w:t>
      </w:r>
      <w:r>
        <w:rPr>
          <w:w w:val="95"/>
        </w:rPr>
        <w:t>‘double</w:t>
      </w:r>
      <w:r>
        <w:rPr>
          <w:spacing w:val="-12"/>
          <w:w w:val="95"/>
        </w:rPr>
        <w:t xml:space="preserve"> </w:t>
      </w:r>
      <w:r>
        <w:rPr>
          <w:w w:val="95"/>
        </w:rPr>
        <w:t>handling’</w:t>
      </w:r>
      <w:r>
        <w:rPr>
          <w:spacing w:val="-11"/>
          <w:w w:val="95"/>
        </w:rPr>
        <w:t xml:space="preserve"> </w:t>
      </w:r>
      <w:r>
        <w:rPr>
          <w:w w:val="95"/>
        </w:rPr>
        <w:t>(i.e.</w:t>
      </w:r>
      <w:r>
        <w:rPr>
          <w:spacing w:val="-11"/>
          <w:w w:val="95"/>
        </w:rPr>
        <w:t xml:space="preserve"> </w:t>
      </w:r>
      <w:r>
        <w:rPr>
          <w:w w:val="95"/>
        </w:rPr>
        <w:t>requires</w:t>
      </w:r>
      <w:r>
        <w:rPr>
          <w:spacing w:val="-11"/>
          <w:w w:val="95"/>
        </w:rPr>
        <w:t xml:space="preserve"> </w:t>
      </w:r>
      <w:r>
        <w:rPr>
          <w:w w:val="95"/>
        </w:rPr>
        <w:t>transfer</w:t>
      </w:r>
      <w:r>
        <w:rPr>
          <w:spacing w:val="-11"/>
          <w:w w:val="95"/>
        </w:rPr>
        <w:t xml:space="preserve"> </w:t>
      </w:r>
      <w:r>
        <w:rPr>
          <w:w w:val="95"/>
        </w:rPr>
        <w:t>via</w:t>
      </w:r>
      <w:r>
        <w:rPr>
          <w:spacing w:val="-11"/>
          <w:w w:val="95"/>
        </w:rPr>
        <w:t xml:space="preserve"> </w:t>
      </w:r>
      <w:r>
        <w:rPr>
          <w:w w:val="95"/>
        </w:rPr>
        <w:t>a</w:t>
      </w:r>
      <w:r>
        <w:rPr>
          <w:spacing w:val="-11"/>
          <w:w w:val="95"/>
        </w:rPr>
        <w:t xml:space="preserve"> </w:t>
      </w:r>
      <w:r>
        <w:rPr>
          <w:w w:val="95"/>
        </w:rPr>
        <w:t xml:space="preserve">warehouse </w:t>
      </w:r>
      <w:r>
        <w:rPr>
          <w:spacing w:val="-2"/>
        </w:rPr>
        <w:t>before</w:t>
      </w:r>
      <w:r>
        <w:rPr>
          <w:spacing w:val="-9"/>
        </w:rPr>
        <w:t xml:space="preserve"> </w:t>
      </w:r>
      <w:r>
        <w:rPr>
          <w:spacing w:val="-2"/>
        </w:rPr>
        <w:t>its</w:t>
      </w:r>
      <w:r>
        <w:rPr>
          <w:spacing w:val="-9"/>
        </w:rPr>
        <w:t xml:space="preserve"> </w:t>
      </w:r>
      <w:r>
        <w:rPr>
          <w:spacing w:val="-2"/>
        </w:rPr>
        <w:t>final</w:t>
      </w:r>
      <w:r>
        <w:rPr>
          <w:spacing w:val="-9"/>
        </w:rPr>
        <w:t xml:space="preserve"> </w:t>
      </w:r>
      <w:r>
        <w:rPr>
          <w:spacing w:val="-2"/>
        </w:rPr>
        <w:t>destination),</w:t>
      </w:r>
      <w:r>
        <w:rPr>
          <w:spacing w:val="-9"/>
        </w:rPr>
        <w:t xml:space="preserve"> </w:t>
      </w:r>
      <w:r>
        <w:rPr>
          <w:spacing w:val="-2"/>
        </w:rPr>
        <w:t>it</w:t>
      </w:r>
      <w:r>
        <w:rPr>
          <w:spacing w:val="-9"/>
        </w:rPr>
        <w:t xml:space="preserve"> </w:t>
      </w:r>
      <w:r>
        <w:rPr>
          <w:spacing w:val="-2"/>
        </w:rPr>
        <w:t>is</w:t>
      </w:r>
      <w:r>
        <w:rPr>
          <w:spacing w:val="-9"/>
        </w:rPr>
        <w:t xml:space="preserve"> </w:t>
      </w:r>
      <w:r>
        <w:rPr>
          <w:spacing w:val="-2"/>
        </w:rPr>
        <w:t>argued</w:t>
      </w:r>
      <w:r>
        <w:rPr>
          <w:spacing w:val="-9"/>
        </w:rPr>
        <w:t xml:space="preserve"> </w:t>
      </w:r>
      <w:r>
        <w:rPr>
          <w:spacing w:val="-2"/>
        </w:rPr>
        <w:t>rail</w:t>
      </w:r>
      <w:r>
        <w:rPr>
          <w:spacing w:val="-9"/>
        </w:rPr>
        <w:t xml:space="preserve"> </w:t>
      </w:r>
      <w:r>
        <w:rPr>
          <w:spacing w:val="-2"/>
        </w:rPr>
        <w:t>has</w:t>
      </w:r>
      <w:r>
        <w:rPr>
          <w:spacing w:val="-9"/>
        </w:rPr>
        <w:t xml:space="preserve"> </w:t>
      </w:r>
      <w:r>
        <w:rPr>
          <w:spacing w:val="-2"/>
        </w:rPr>
        <w:t xml:space="preserve">the </w:t>
      </w:r>
      <w:r>
        <w:t>potential to compete with road freight.</w:t>
      </w:r>
    </w:p>
    <w:p w:rsidR="002C1123" w:rsidRDefault="00F22F94">
      <w:pPr>
        <w:pStyle w:val="BodyText"/>
        <w:spacing w:before="145"/>
        <w:ind w:left="190"/>
      </w:pPr>
      <w:r>
        <w:rPr>
          <w:w w:val="90"/>
        </w:rPr>
        <w:t>Analysis</w:t>
      </w:r>
      <w:r>
        <w:rPr>
          <w:spacing w:val="6"/>
        </w:rPr>
        <w:t xml:space="preserve"> </w:t>
      </w:r>
      <w:r>
        <w:rPr>
          <w:w w:val="90"/>
        </w:rPr>
        <w:t>by</w:t>
      </w:r>
      <w:r>
        <w:rPr>
          <w:spacing w:val="7"/>
        </w:rPr>
        <w:t xml:space="preserve"> </w:t>
      </w:r>
      <w:r>
        <w:rPr>
          <w:w w:val="90"/>
        </w:rPr>
        <w:t>Deloitte</w:t>
      </w:r>
      <w:r>
        <w:rPr>
          <w:spacing w:val="7"/>
        </w:rPr>
        <w:t xml:space="preserve"> </w:t>
      </w:r>
      <w:r>
        <w:rPr>
          <w:w w:val="90"/>
        </w:rPr>
        <w:t>Access</w:t>
      </w:r>
      <w:r>
        <w:rPr>
          <w:spacing w:val="7"/>
        </w:rPr>
        <w:t xml:space="preserve"> </w:t>
      </w:r>
      <w:r>
        <w:rPr>
          <w:w w:val="90"/>
        </w:rPr>
        <w:t>Economics</w:t>
      </w:r>
      <w:r>
        <w:rPr>
          <w:spacing w:val="6"/>
        </w:rPr>
        <w:t xml:space="preserve"> </w:t>
      </w:r>
      <w:r>
        <w:rPr>
          <w:w w:val="90"/>
        </w:rPr>
        <w:t>for</w:t>
      </w:r>
      <w:r>
        <w:rPr>
          <w:spacing w:val="7"/>
        </w:rPr>
        <w:t xml:space="preserve"> </w:t>
      </w:r>
      <w:r>
        <w:rPr>
          <w:w w:val="90"/>
        </w:rPr>
        <w:t>Sydney</w:t>
      </w:r>
      <w:r>
        <w:rPr>
          <w:spacing w:val="7"/>
        </w:rPr>
        <w:t xml:space="preserve"> </w:t>
      </w:r>
      <w:r>
        <w:rPr>
          <w:spacing w:val="-4"/>
          <w:w w:val="90"/>
        </w:rPr>
        <w:t>Ports</w:t>
      </w:r>
    </w:p>
    <w:p w:rsidR="002C1123" w:rsidRDefault="00F22F94">
      <w:pPr>
        <w:pStyle w:val="BodyText"/>
        <w:spacing w:before="108" w:line="249" w:lineRule="auto"/>
        <w:ind w:left="192" w:right="654"/>
      </w:pPr>
      <w:r>
        <w:br w:type="column"/>
      </w:r>
      <w:r>
        <w:rPr>
          <w:w w:val="95"/>
        </w:rPr>
        <w:t>Corporation</w:t>
      </w:r>
      <w:r>
        <w:rPr>
          <w:w w:val="95"/>
          <w:position w:val="7"/>
          <w:sz w:val="11"/>
        </w:rPr>
        <w:t>16</w:t>
      </w:r>
      <w:r>
        <w:rPr>
          <w:spacing w:val="11"/>
          <w:position w:val="7"/>
          <w:sz w:val="11"/>
        </w:rPr>
        <w:t xml:space="preserve"> </w:t>
      </w:r>
      <w:r>
        <w:rPr>
          <w:w w:val="95"/>
        </w:rPr>
        <w:t>suggests</w:t>
      </w:r>
      <w:r>
        <w:rPr>
          <w:spacing w:val="-11"/>
          <w:w w:val="95"/>
        </w:rPr>
        <w:t xml:space="preserve"> </w:t>
      </w:r>
      <w:r>
        <w:rPr>
          <w:w w:val="95"/>
        </w:rPr>
        <w:t>that</w:t>
      </w:r>
      <w:r>
        <w:rPr>
          <w:spacing w:val="-11"/>
          <w:w w:val="95"/>
        </w:rPr>
        <w:t xml:space="preserve"> </w:t>
      </w:r>
      <w:r>
        <w:rPr>
          <w:w w:val="95"/>
        </w:rPr>
        <w:t>rail</w:t>
      </w:r>
      <w:r>
        <w:rPr>
          <w:spacing w:val="-11"/>
          <w:w w:val="95"/>
        </w:rPr>
        <w:t xml:space="preserve"> </w:t>
      </w:r>
      <w:r>
        <w:rPr>
          <w:w w:val="95"/>
        </w:rPr>
        <w:t>could</w:t>
      </w:r>
      <w:r>
        <w:rPr>
          <w:spacing w:val="-11"/>
          <w:w w:val="95"/>
        </w:rPr>
        <w:t xml:space="preserve"> </w:t>
      </w:r>
      <w:r>
        <w:rPr>
          <w:w w:val="95"/>
        </w:rPr>
        <w:t>be</w:t>
      </w:r>
      <w:r>
        <w:rPr>
          <w:spacing w:val="-11"/>
          <w:w w:val="95"/>
        </w:rPr>
        <w:t xml:space="preserve"> </w:t>
      </w:r>
      <w:r>
        <w:rPr>
          <w:w w:val="95"/>
        </w:rPr>
        <w:t>cost</w:t>
      </w:r>
      <w:r>
        <w:rPr>
          <w:spacing w:val="-11"/>
          <w:w w:val="95"/>
        </w:rPr>
        <w:t xml:space="preserve"> </w:t>
      </w:r>
      <w:r>
        <w:rPr>
          <w:w w:val="95"/>
        </w:rPr>
        <w:t xml:space="preserve">competitive </w:t>
      </w:r>
      <w:r>
        <w:rPr>
          <w:spacing w:val="-2"/>
        </w:rPr>
        <w:t>or</w:t>
      </w:r>
      <w:r>
        <w:rPr>
          <w:spacing w:val="-10"/>
        </w:rPr>
        <w:t xml:space="preserve"> </w:t>
      </w:r>
      <w:r>
        <w:rPr>
          <w:spacing w:val="-2"/>
        </w:rPr>
        <w:t>cheaper</w:t>
      </w:r>
      <w:r>
        <w:rPr>
          <w:spacing w:val="-10"/>
        </w:rPr>
        <w:t xml:space="preserve"> </w:t>
      </w:r>
      <w:r>
        <w:rPr>
          <w:spacing w:val="-2"/>
        </w:rPr>
        <w:t>than</w:t>
      </w:r>
      <w:r>
        <w:rPr>
          <w:spacing w:val="-10"/>
        </w:rPr>
        <w:t xml:space="preserve"> </w:t>
      </w:r>
      <w:r>
        <w:rPr>
          <w:spacing w:val="-2"/>
        </w:rPr>
        <w:t>road</w:t>
      </w:r>
      <w:r>
        <w:rPr>
          <w:spacing w:val="-10"/>
        </w:rPr>
        <w:t xml:space="preserve"> </w:t>
      </w:r>
      <w:r>
        <w:rPr>
          <w:spacing w:val="-2"/>
        </w:rPr>
        <w:t>freight</w:t>
      </w:r>
      <w:r>
        <w:rPr>
          <w:spacing w:val="-10"/>
        </w:rPr>
        <w:t xml:space="preserve"> </w:t>
      </w:r>
      <w:r>
        <w:rPr>
          <w:spacing w:val="-2"/>
        </w:rPr>
        <w:t>for</w:t>
      </w:r>
      <w:r>
        <w:rPr>
          <w:spacing w:val="-10"/>
        </w:rPr>
        <w:t xml:space="preserve"> </w:t>
      </w:r>
      <w:r>
        <w:rPr>
          <w:spacing w:val="-2"/>
        </w:rPr>
        <w:t>these</w:t>
      </w:r>
      <w:r>
        <w:rPr>
          <w:spacing w:val="-10"/>
        </w:rPr>
        <w:t xml:space="preserve"> </w:t>
      </w:r>
      <w:r>
        <w:rPr>
          <w:spacing w:val="-2"/>
        </w:rPr>
        <w:t>movements providing</w:t>
      </w:r>
      <w:r>
        <w:rPr>
          <w:spacing w:val="-6"/>
        </w:rPr>
        <w:t xml:space="preserve"> </w:t>
      </w:r>
      <w:r>
        <w:rPr>
          <w:spacing w:val="-2"/>
        </w:rPr>
        <w:t>the</w:t>
      </w:r>
      <w:r>
        <w:rPr>
          <w:spacing w:val="-6"/>
        </w:rPr>
        <w:t xml:space="preserve"> </w:t>
      </w:r>
      <w:r>
        <w:rPr>
          <w:spacing w:val="-2"/>
        </w:rPr>
        <w:t>following</w:t>
      </w:r>
      <w:r>
        <w:rPr>
          <w:spacing w:val="-6"/>
        </w:rPr>
        <w:t xml:space="preserve"> </w:t>
      </w:r>
      <w:r>
        <w:rPr>
          <w:spacing w:val="-2"/>
        </w:rPr>
        <w:t>circumstances</w:t>
      </w:r>
      <w:r>
        <w:rPr>
          <w:spacing w:val="-6"/>
        </w:rPr>
        <w:t xml:space="preserve"> </w:t>
      </w:r>
      <w:r>
        <w:rPr>
          <w:spacing w:val="-2"/>
        </w:rPr>
        <w:t>were</w:t>
      </w:r>
      <w:r>
        <w:rPr>
          <w:spacing w:val="-6"/>
        </w:rPr>
        <w:t xml:space="preserve"> </w:t>
      </w:r>
      <w:r>
        <w:rPr>
          <w:spacing w:val="-2"/>
        </w:rPr>
        <w:t>met:</w:t>
      </w:r>
    </w:p>
    <w:p w:rsidR="002C1123" w:rsidRDefault="00F22F94">
      <w:pPr>
        <w:pStyle w:val="ListParagraph"/>
        <w:numPr>
          <w:ilvl w:val="0"/>
          <w:numId w:val="79"/>
        </w:numPr>
        <w:tabs>
          <w:tab w:val="left" w:pos="477"/>
        </w:tabs>
        <w:spacing w:before="131" w:line="249" w:lineRule="auto"/>
        <w:ind w:left="476" w:right="1831"/>
        <w:rPr>
          <w:sz w:val="20"/>
        </w:rPr>
      </w:pPr>
      <w:r>
        <w:rPr>
          <w:w w:val="95"/>
          <w:sz w:val="20"/>
        </w:rPr>
        <w:t>volumes</w:t>
      </w:r>
      <w:r>
        <w:rPr>
          <w:spacing w:val="-11"/>
          <w:w w:val="95"/>
          <w:sz w:val="20"/>
        </w:rPr>
        <w:t xml:space="preserve"> </w:t>
      </w:r>
      <w:r>
        <w:rPr>
          <w:w w:val="95"/>
          <w:sz w:val="20"/>
        </w:rPr>
        <w:t>to</w:t>
      </w:r>
      <w:r>
        <w:rPr>
          <w:spacing w:val="-11"/>
          <w:w w:val="95"/>
          <w:sz w:val="20"/>
        </w:rPr>
        <w:t xml:space="preserve"> </w:t>
      </w:r>
      <w:r>
        <w:rPr>
          <w:w w:val="95"/>
          <w:sz w:val="20"/>
        </w:rPr>
        <w:t>increase</w:t>
      </w:r>
      <w:r>
        <w:rPr>
          <w:spacing w:val="-11"/>
          <w:w w:val="95"/>
          <w:sz w:val="20"/>
        </w:rPr>
        <w:t xml:space="preserve"> </w:t>
      </w:r>
      <w:r>
        <w:rPr>
          <w:w w:val="95"/>
          <w:sz w:val="20"/>
        </w:rPr>
        <w:t>substantially</w:t>
      </w:r>
      <w:r>
        <w:rPr>
          <w:spacing w:val="-11"/>
          <w:w w:val="95"/>
          <w:sz w:val="20"/>
        </w:rPr>
        <w:t xml:space="preserve"> </w:t>
      </w:r>
      <w:r>
        <w:rPr>
          <w:w w:val="95"/>
          <w:sz w:val="20"/>
        </w:rPr>
        <w:t>to</w:t>
      </w:r>
      <w:r>
        <w:rPr>
          <w:spacing w:val="-11"/>
          <w:w w:val="95"/>
          <w:sz w:val="20"/>
        </w:rPr>
        <w:t xml:space="preserve"> </w:t>
      </w:r>
      <w:r>
        <w:rPr>
          <w:w w:val="95"/>
          <w:sz w:val="20"/>
        </w:rPr>
        <w:t xml:space="preserve">gain </w:t>
      </w:r>
      <w:r>
        <w:rPr>
          <w:sz w:val="20"/>
        </w:rPr>
        <w:t>economies of scale</w:t>
      </w:r>
    </w:p>
    <w:p w:rsidR="002C1123" w:rsidRDefault="00F22F94">
      <w:pPr>
        <w:pStyle w:val="ListParagraph"/>
        <w:numPr>
          <w:ilvl w:val="0"/>
          <w:numId w:val="79"/>
        </w:numPr>
        <w:tabs>
          <w:tab w:val="left" w:pos="477"/>
        </w:tabs>
        <w:spacing w:before="131" w:line="249" w:lineRule="auto"/>
        <w:ind w:left="476" w:right="765"/>
        <w:rPr>
          <w:sz w:val="20"/>
        </w:rPr>
      </w:pPr>
      <w:r>
        <w:rPr>
          <w:w w:val="95"/>
          <w:sz w:val="20"/>
        </w:rPr>
        <w:t xml:space="preserve">portside handling movements to be reduced through </w:t>
      </w:r>
      <w:r>
        <w:rPr>
          <w:sz w:val="20"/>
        </w:rPr>
        <w:t>terminal</w:t>
      </w:r>
      <w:r>
        <w:rPr>
          <w:spacing w:val="-11"/>
          <w:sz w:val="20"/>
        </w:rPr>
        <w:t xml:space="preserve"> </w:t>
      </w:r>
      <w:r>
        <w:rPr>
          <w:sz w:val="20"/>
        </w:rPr>
        <w:t>reconfiguration</w:t>
      </w:r>
    </w:p>
    <w:p w:rsidR="002C1123" w:rsidRDefault="00F22F94">
      <w:pPr>
        <w:pStyle w:val="ListParagraph"/>
        <w:numPr>
          <w:ilvl w:val="0"/>
          <w:numId w:val="79"/>
        </w:numPr>
        <w:tabs>
          <w:tab w:val="left" w:pos="477"/>
        </w:tabs>
        <w:spacing w:before="130" w:line="249" w:lineRule="auto"/>
        <w:ind w:left="476" w:right="862"/>
        <w:rPr>
          <w:sz w:val="20"/>
        </w:rPr>
      </w:pPr>
      <w:r>
        <w:rPr>
          <w:w w:val="95"/>
          <w:sz w:val="20"/>
        </w:rPr>
        <w:t>investment</w:t>
      </w:r>
      <w:r>
        <w:rPr>
          <w:spacing w:val="-7"/>
          <w:w w:val="95"/>
          <w:sz w:val="20"/>
        </w:rPr>
        <w:t xml:space="preserve"> </w:t>
      </w:r>
      <w:r>
        <w:rPr>
          <w:w w:val="95"/>
          <w:sz w:val="20"/>
        </w:rPr>
        <w:t>in</w:t>
      </w:r>
      <w:r>
        <w:rPr>
          <w:spacing w:val="-7"/>
          <w:w w:val="95"/>
          <w:sz w:val="20"/>
        </w:rPr>
        <w:t xml:space="preserve"> </w:t>
      </w:r>
      <w:r>
        <w:rPr>
          <w:w w:val="95"/>
          <w:sz w:val="20"/>
        </w:rPr>
        <w:t>intermodal</w:t>
      </w:r>
      <w:r>
        <w:rPr>
          <w:spacing w:val="-7"/>
          <w:w w:val="95"/>
          <w:sz w:val="20"/>
        </w:rPr>
        <w:t xml:space="preserve"> </w:t>
      </w:r>
      <w:r>
        <w:rPr>
          <w:w w:val="95"/>
          <w:sz w:val="20"/>
        </w:rPr>
        <w:t>terminal</w:t>
      </w:r>
      <w:r>
        <w:rPr>
          <w:spacing w:val="-7"/>
          <w:w w:val="95"/>
          <w:sz w:val="20"/>
        </w:rPr>
        <w:t xml:space="preserve"> </w:t>
      </w:r>
      <w:r>
        <w:rPr>
          <w:w w:val="95"/>
          <w:sz w:val="20"/>
        </w:rPr>
        <w:t>capacity,</w:t>
      </w:r>
      <w:r>
        <w:rPr>
          <w:spacing w:val="-7"/>
          <w:w w:val="95"/>
          <w:sz w:val="20"/>
        </w:rPr>
        <w:t xml:space="preserve"> </w:t>
      </w:r>
      <w:r>
        <w:rPr>
          <w:w w:val="95"/>
          <w:sz w:val="20"/>
        </w:rPr>
        <w:t xml:space="preserve">enabling </w:t>
      </w:r>
      <w:r>
        <w:rPr>
          <w:sz w:val="20"/>
        </w:rPr>
        <w:t>rail</w:t>
      </w:r>
      <w:r>
        <w:rPr>
          <w:spacing w:val="-14"/>
          <w:sz w:val="20"/>
        </w:rPr>
        <w:t xml:space="preserve"> </w:t>
      </w:r>
      <w:r>
        <w:rPr>
          <w:sz w:val="20"/>
        </w:rPr>
        <w:t>to</w:t>
      </w:r>
      <w:r>
        <w:rPr>
          <w:spacing w:val="-14"/>
          <w:sz w:val="20"/>
        </w:rPr>
        <w:t xml:space="preserve"> </w:t>
      </w:r>
      <w:r>
        <w:rPr>
          <w:sz w:val="20"/>
        </w:rPr>
        <w:t>road</w:t>
      </w:r>
      <w:r>
        <w:rPr>
          <w:spacing w:val="-14"/>
          <w:sz w:val="20"/>
        </w:rPr>
        <w:t xml:space="preserve"> </w:t>
      </w:r>
      <w:r>
        <w:rPr>
          <w:sz w:val="20"/>
        </w:rPr>
        <w:t>transfer</w:t>
      </w:r>
      <w:r>
        <w:rPr>
          <w:spacing w:val="-14"/>
          <w:sz w:val="20"/>
        </w:rPr>
        <w:t xml:space="preserve"> </w:t>
      </w:r>
      <w:r>
        <w:rPr>
          <w:sz w:val="20"/>
        </w:rPr>
        <w:t>(and</w:t>
      </w:r>
      <w:r>
        <w:rPr>
          <w:spacing w:val="-14"/>
          <w:sz w:val="20"/>
        </w:rPr>
        <w:t xml:space="preserve"> </w:t>
      </w:r>
      <w:r>
        <w:rPr>
          <w:sz w:val="20"/>
        </w:rPr>
        <w:t>vice</w:t>
      </w:r>
      <w:r>
        <w:rPr>
          <w:spacing w:val="-14"/>
          <w:sz w:val="20"/>
        </w:rPr>
        <w:t xml:space="preserve"> </w:t>
      </w:r>
      <w:r>
        <w:rPr>
          <w:sz w:val="20"/>
        </w:rPr>
        <w:t>versa)</w:t>
      </w:r>
    </w:p>
    <w:p w:rsidR="002C1123" w:rsidRDefault="00F22F94">
      <w:pPr>
        <w:pStyle w:val="ListParagraph"/>
        <w:numPr>
          <w:ilvl w:val="0"/>
          <w:numId w:val="79"/>
        </w:numPr>
        <w:tabs>
          <w:tab w:val="left" w:pos="477"/>
        </w:tabs>
        <w:spacing w:before="131" w:line="249" w:lineRule="auto"/>
        <w:ind w:left="476" w:right="1117"/>
        <w:rPr>
          <w:sz w:val="20"/>
        </w:rPr>
      </w:pPr>
      <w:r>
        <w:rPr>
          <w:w w:val="95"/>
          <w:sz w:val="20"/>
        </w:rPr>
        <w:t xml:space="preserve">investment in warehousing and empty container </w:t>
      </w:r>
      <w:r>
        <w:rPr>
          <w:sz w:val="20"/>
        </w:rPr>
        <w:t>facilities</w:t>
      </w:r>
      <w:r>
        <w:rPr>
          <w:spacing w:val="-13"/>
          <w:sz w:val="20"/>
        </w:rPr>
        <w:t xml:space="preserve"> </w:t>
      </w:r>
      <w:r>
        <w:rPr>
          <w:sz w:val="20"/>
        </w:rPr>
        <w:t>close</w:t>
      </w:r>
      <w:r>
        <w:rPr>
          <w:spacing w:val="-13"/>
          <w:sz w:val="20"/>
        </w:rPr>
        <w:t xml:space="preserve"> </w:t>
      </w:r>
      <w:r>
        <w:rPr>
          <w:sz w:val="20"/>
        </w:rPr>
        <w:t>to</w:t>
      </w:r>
      <w:r>
        <w:rPr>
          <w:spacing w:val="-13"/>
          <w:sz w:val="20"/>
        </w:rPr>
        <w:t xml:space="preserve"> </w:t>
      </w:r>
      <w:r>
        <w:rPr>
          <w:sz w:val="20"/>
        </w:rPr>
        <w:t>these</w:t>
      </w:r>
      <w:r>
        <w:rPr>
          <w:spacing w:val="-13"/>
          <w:sz w:val="20"/>
        </w:rPr>
        <w:t xml:space="preserve"> </w:t>
      </w:r>
      <w:r>
        <w:rPr>
          <w:sz w:val="20"/>
        </w:rPr>
        <w:t>intermodal</w:t>
      </w:r>
      <w:r>
        <w:rPr>
          <w:spacing w:val="-13"/>
          <w:sz w:val="20"/>
        </w:rPr>
        <w:t xml:space="preserve"> </w:t>
      </w:r>
      <w:r>
        <w:rPr>
          <w:sz w:val="20"/>
        </w:rPr>
        <w:t>terminals. Much</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cost</w:t>
      </w:r>
      <w:r>
        <w:rPr>
          <w:spacing w:val="-4"/>
          <w:sz w:val="20"/>
        </w:rPr>
        <w:t xml:space="preserve"> </w:t>
      </w:r>
      <w:r>
        <w:rPr>
          <w:sz w:val="20"/>
        </w:rPr>
        <w:t>advantage</w:t>
      </w:r>
      <w:r>
        <w:rPr>
          <w:spacing w:val="-4"/>
          <w:sz w:val="20"/>
        </w:rPr>
        <w:t xml:space="preserve"> </w:t>
      </w:r>
      <w:r>
        <w:rPr>
          <w:sz w:val="20"/>
        </w:rPr>
        <w:t>that</w:t>
      </w:r>
      <w:r>
        <w:rPr>
          <w:spacing w:val="-4"/>
          <w:sz w:val="20"/>
        </w:rPr>
        <w:t xml:space="preserve"> </w:t>
      </w:r>
      <w:r>
        <w:rPr>
          <w:sz w:val="20"/>
        </w:rPr>
        <w:t>rail</w:t>
      </w:r>
      <w:r>
        <w:rPr>
          <w:spacing w:val="-4"/>
          <w:sz w:val="20"/>
        </w:rPr>
        <w:t xml:space="preserve"> </w:t>
      </w:r>
      <w:r>
        <w:rPr>
          <w:sz w:val="20"/>
        </w:rPr>
        <w:t xml:space="preserve">could </w:t>
      </w:r>
      <w:r>
        <w:rPr>
          <w:w w:val="95"/>
          <w:sz w:val="20"/>
        </w:rPr>
        <w:t>potentially</w:t>
      </w:r>
      <w:r>
        <w:rPr>
          <w:spacing w:val="-10"/>
          <w:w w:val="95"/>
          <w:sz w:val="20"/>
        </w:rPr>
        <w:t xml:space="preserve"> </w:t>
      </w:r>
      <w:r>
        <w:rPr>
          <w:w w:val="95"/>
          <w:sz w:val="20"/>
        </w:rPr>
        <w:t>offer</w:t>
      </w:r>
      <w:r>
        <w:rPr>
          <w:spacing w:val="-10"/>
          <w:w w:val="95"/>
          <w:sz w:val="20"/>
        </w:rPr>
        <w:t xml:space="preserve"> </w:t>
      </w:r>
      <w:r>
        <w:rPr>
          <w:w w:val="95"/>
          <w:sz w:val="20"/>
        </w:rPr>
        <w:t>over</w:t>
      </w:r>
      <w:r>
        <w:rPr>
          <w:spacing w:val="-10"/>
          <w:w w:val="95"/>
          <w:sz w:val="20"/>
        </w:rPr>
        <w:t xml:space="preserve"> </w:t>
      </w:r>
      <w:r>
        <w:rPr>
          <w:w w:val="95"/>
          <w:sz w:val="20"/>
        </w:rPr>
        <w:t>road</w:t>
      </w:r>
      <w:r>
        <w:rPr>
          <w:spacing w:val="-10"/>
          <w:w w:val="95"/>
          <w:sz w:val="20"/>
        </w:rPr>
        <w:t xml:space="preserve"> </w:t>
      </w:r>
      <w:r>
        <w:rPr>
          <w:w w:val="95"/>
          <w:sz w:val="20"/>
        </w:rPr>
        <w:t>requires</w:t>
      </w:r>
      <w:r>
        <w:rPr>
          <w:spacing w:val="-10"/>
          <w:w w:val="95"/>
          <w:sz w:val="20"/>
        </w:rPr>
        <w:t xml:space="preserve"> </w:t>
      </w:r>
      <w:r>
        <w:rPr>
          <w:w w:val="95"/>
          <w:sz w:val="20"/>
        </w:rPr>
        <w:t>the</w:t>
      </w:r>
      <w:r>
        <w:rPr>
          <w:spacing w:val="-10"/>
          <w:w w:val="95"/>
          <w:sz w:val="20"/>
        </w:rPr>
        <w:t xml:space="preserve"> </w:t>
      </w:r>
      <w:r>
        <w:rPr>
          <w:w w:val="95"/>
          <w:sz w:val="20"/>
        </w:rPr>
        <w:t>creation</w:t>
      </w:r>
      <w:r>
        <w:rPr>
          <w:spacing w:val="-10"/>
          <w:w w:val="95"/>
          <w:sz w:val="20"/>
        </w:rPr>
        <w:t xml:space="preserve"> </w:t>
      </w:r>
      <w:r>
        <w:rPr>
          <w:w w:val="95"/>
          <w:sz w:val="20"/>
        </w:rPr>
        <w:t>of</w:t>
      </w:r>
    </w:p>
    <w:p w:rsidR="002C1123" w:rsidRDefault="00F22F94">
      <w:pPr>
        <w:pStyle w:val="BodyText"/>
        <w:spacing w:before="3" w:line="249" w:lineRule="auto"/>
        <w:ind w:left="476" w:right="792"/>
      </w:pPr>
      <w:r>
        <w:rPr>
          <w:w w:val="95"/>
        </w:rPr>
        <w:t xml:space="preserve">warehousing precincts to be developed around the </w:t>
      </w:r>
      <w:r>
        <w:t>intermodal</w:t>
      </w:r>
      <w:r>
        <w:rPr>
          <w:spacing w:val="-11"/>
        </w:rPr>
        <w:t xml:space="preserve"> </w:t>
      </w:r>
      <w:r>
        <w:t>terminal.</w:t>
      </w:r>
    </w:p>
    <w:p w:rsidR="002C1123" w:rsidRDefault="00F22F94">
      <w:pPr>
        <w:pStyle w:val="BodyText"/>
        <w:spacing w:before="143" w:line="249" w:lineRule="auto"/>
        <w:ind w:left="192" w:right="792"/>
      </w:pPr>
      <w:r>
        <w:rPr>
          <w:w w:val="95"/>
        </w:rPr>
        <w:t>The</w:t>
      </w:r>
      <w:r>
        <w:rPr>
          <w:spacing w:val="-5"/>
          <w:w w:val="95"/>
        </w:rPr>
        <w:t xml:space="preserve"> </w:t>
      </w:r>
      <w:r>
        <w:rPr>
          <w:w w:val="95"/>
        </w:rPr>
        <w:t>implications</w:t>
      </w:r>
      <w:r>
        <w:rPr>
          <w:spacing w:val="-5"/>
          <w:w w:val="95"/>
        </w:rPr>
        <w:t xml:space="preserve"> </w:t>
      </w:r>
      <w:r>
        <w:rPr>
          <w:w w:val="95"/>
        </w:rPr>
        <w:t>of</w:t>
      </w:r>
      <w:r>
        <w:rPr>
          <w:spacing w:val="-5"/>
          <w:w w:val="95"/>
        </w:rPr>
        <w:t xml:space="preserve"> </w:t>
      </w:r>
      <w:r>
        <w:rPr>
          <w:w w:val="95"/>
        </w:rPr>
        <w:t>this</w:t>
      </w:r>
      <w:r>
        <w:rPr>
          <w:spacing w:val="-5"/>
          <w:w w:val="95"/>
        </w:rPr>
        <w:t xml:space="preserve"> </w:t>
      </w:r>
      <w:r>
        <w:rPr>
          <w:w w:val="95"/>
        </w:rPr>
        <w:t>for</w:t>
      </w:r>
      <w:r>
        <w:rPr>
          <w:spacing w:val="-5"/>
          <w:w w:val="95"/>
        </w:rPr>
        <w:t xml:space="preserve"> </w:t>
      </w:r>
      <w:r>
        <w:rPr>
          <w:w w:val="95"/>
        </w:rPr>
        <w:t>Port</w:t>
      </w:r>
      <w:r>
        <w:rPr>
          <w:spacing w:val="-5"/>
          <w:w w:val="95"/>
        </w:rPr>
        <w:t xml:space="preserve"> </w:t>
      </w:r>
      <w:r>
        <w:rPr>
          <w:w w:val="95"/>
        </w:rPr>
        <w:t>Botany</w:t>
      </w:r>
      <w:r>
        <w:rPr>
          <w:spacing w:val="-5"/>
          <w:w w:val="95"/>
        </w:rPr>
        <w:t xml:space="preserve"> </w:t>
      </w:r>
      <w:r>
        <w:rPr>
          <w:w w:val="95"/>
        </w:rPr>
        <w:t>container</w:t>
      </w:r>
      <w:r>
        <w:rPr>
          <w:spacing w:val="-5"/>
          <w:w w:val="95"/>
        </w:rPr>
        <w:t xml:space="preserve"> </w:t>
      </w:r>
      <w:r>
        <w:rPr>
          <w:w w:val="95"/>
        </w:rPr>
        <w:t xml:space="preserve">freight </w:t>
      </w:r>
      <w:r>
        <w:t>are discussed in section 9.5.</w:t>
      </w:r>
    </w:p>
    <w:p w:rsidR="002C1123" w:rsidRDefault="00F22F94">
      <w:pPr>
        <w:pStyle w:val="Heading6"/>
        <w:spacing w:before="144"/>
        <w:ind w:left="192"/>
      </w:pPr>
      <w:r>
        <w:rPr>
          <w:spacing w:val="-2"/>
        </w:rPr>
        <w:t>Conclusions</w:t>
      </w:r>
    </w:p>
    <w:p w:rsidR="002C1123" w:rsidRDefault="00F22F94">
      <w:pPr>
        <w:pStyle w:val="BodyText"/>
        <w:spacing w:before="10" w:line="249" w:lineRule="auto"/>
        <w:ind w:left="192" w:right="639"/>
      </w:pPr>
      <w:r>
        <w:t>There</w:t>
      </w:r>
      <w:r>
        <w:rPr>
          <w:spacing w:val="-14"/>
        </w:rPr>
        <w:t xml:space="preserve"> </w:t>
      </w:r>
      <w:r>
        <w:t>has</w:t>
      </w:r>
      <w:r>
        <w:rPr>
          <w:spacing w:val="-14"/>
        </w:rPr>
        <w:t xml:space="preserve"> </w:t>
      </w:r>
      <w:r>
        <w:t>been</w:t>
      </w:r>
      <w:r>
        <w:rPr>
          <w:spacing w:val="-14"/>
        </w:rPr>
        <w:t xml:space="preserve"> </w:t>
      </w:r>
      <w:r>
        <w:t>a</w:t>
      </w:r>
      <w:r>
        <w:rPr>
          <w:spacing w:val="-14"/>
        </w:rPr>
        <w:t xml:space="preserve"> </w:t>
      </w:r>
      <w:r>
        <w:t>strong</w:t>
      </w:r>
      <w:r>
        <w:rPr>
          <w:spacing w:val="-14"/>
        </w:rPr>
        <w:t xml:space="preserve"> </w:t>
      </w:r>
      <w:r>
        <w:t>emphasis</w:t>
      </w:r>
      <w:r>
        <w:rPr>
          <w:spacing w:val="-14"/>
        </w:rPr>
        <w:t xml:space="preserve"> </w:t>
      </w:r>
      <w:r>
        <w:t>on</w:t>
      </w:r>
      <w:r>
        <w:rPr>
          <w:spacing w:val="-14"/>
        </w:rPr>
        <w:t xml:space="preserve"> </w:t>
      </w:r>
      <w:r>
        <w:t>increasing</w:t>
      </w:r>
      <w:r>
        <w:rPr>
          <w:spacing w:val="-13"/>
        </w:rPr>
        <w:t xml:space="preserve"> </w:t>
      </w:r>
      <w:r>
        <w:t>the proportion</w:t>
      </w:r>
      <w:r>
        <w:rPr>
          <w:spacing w:val="-11"/>
        </w:rPr>
        <w:t xml:space="preserve"> </w:t>
      </w:r>
      <w:r>
        <w:t>of</w:t>
      </w:r>
      <w:r>
        <w:rPr>
          <w:spacing w:val="-11"/>
        </w:rPr>
        <w:t xml:space="preserve"> </w:t>
      </w:r>
      <w:r>
        <w:t>container</w:t>
      </w:r>
      <w:r>
        <w:rPr>
          <w:spacing w:val="-11"/>
        </w:rPr>
        <w:t xml:space="preserve"> </w:t>
      </w:r>
      <w:r>
        <w:t>freight</w:t>
      </w:r>
      <w:r>
        <w:rPr>
          <w:spacing w:val="-11"/>
        </w:rPr>
        <w:t xml:space="preserve"> </w:t>
      </w:r>
      <w:r>
        <w:t>that</w:t>
      </w:r>
      <w:r>
        <w:rPr>
          <w:spacing w:val="-11"/>
        </w:rPr>
        <w:t xml:space="preserve"> </w:t>
      </w:r>
      <w:r>
        <w:t>is</w:t>
      </w:r>
      <w:r>
        <w:rPr>
          <w:spacing w:val="-11"/>
        </w:rPr>
        <w:t xml:space="preserve"> </w:t>
      </w:r>
      <w:r>
        <w:t>moved</w:t>
      </w:r>
      <w:r>
        <w:rPr>
          <w:spacing w:val="-11"/>
        </w:rPr>
        <w:t xml:space="preserve"> </w:t>
      </w:r>
      <w:r>
        <w:t>by</w:t>
      </w:r>
      <w:r>
        <w:rPr>
          <w:spacing w:val="-11"/>
        </w:rPr>
        <w:t xml:space="preserve"> </w:t>
      </w:r>
      <w:r>
        <w:t>rail</w:t>
      </w:r>
      <w:r>
        <w:rPr>
          <w:spacing w:val="-11"/>
        </w:rPr>
        <w:t xml:space="preserve"> </w:t>
      </w:r>
      <w:r>
        <w:t xml:space="preserve">in </w:t>
      </w:r>
      <w:r>
        <w:rPr>
          <w:w w:val="95"/>
        </w:rPr>
        <w:t>recent</w:t>
      </w:r>
      <w:r>
        <w:rPr>
          <w:spacing w:val="-6"/>
          <w:w w:val="95"/>
        </w:rPr>
        <w:t xml:space="preserve"> </w:t>
      </w:r>
      <w:r>
        <w:rPr>
          <w:w w:val="95"/>
        </w:rPr>
        <w:t>years.</w:t>
      </w:r>
      <w:r>
        <w:rPr>
          <w:spacing w:val="-6"/>
          <w:w w:val="95"/>
        </w:rPr>
        <w:t xml:space="preserve"> </w:t>
      </w:r>
      <w:r>
        <w:rPr>
          <w:w w:val="95"/>
        </w:rPr>
        <w:t>However,</w:t>
      </w:r>
      <w:r>
        <w:rPr>
          <w:spacing w:val="-6"/>
          <w:w w:val="95"/>
        </w:rPr>
        <w:t xml:space="preserve"> </w:t>
      </w:r>
      <w:r>
        <w:rPr>
          <w:w w:val="95"/>
        </w:rPr>
        <w:t>even</w:t>
      </w:r>
      <w:r>
        <w:rPr>
          <w:spacing w:val="-6"/>
          <w:w w:val="95"/>
        </w:rPr>
        <w:t xml:space="preserve"> </w:t>
      </w:r>
      <w:r>
        <w:rPr>
          <w:w w:val="95"/>
        </w:rPr>
        <w:t>under</w:t>
      </w:r>
      <w:r>
        <w:rPr>
          <w:spacing w:val="-6"/>
          <w:w w:val="95"/>
        </w:rPr>
        <w:t xml:space="preserve"> </w:t>
      </w:r>
      <w:r>
        <w:rPr>
          <w:w w:val="95"/>
        </w:rPr>
        <w:t>optimistic</w:t>
      </w:r>
      <w:r>
        <w:rPr>
          <w:spacing w:val="-6"/>
          <w:w w:val="95"/>
        </w:rPr>
        <w:t xml:space="preserve"> </w:t>
      </w:r>
      <w:r>
        <w:rPr>
          <w:w w:val="95"/>
        </w:rPr>
        <w:t>projections of</w:t>
      </w:r>
      <w:r>
        <w:rPr>
          <w:spacing w:val="-3"/>
          <w:w w:val="95"/>
        </w:rPr>
        <w:t xml:space="preserve"> </w:t>
      </w:r>
      <w:r>
        <w:rPr>
          <w:w w:val="95"/>
        </w:rPr>
        <w:t>modal</w:t>
      </w:r>
      <w:r>
        <w:rPr>
          <w:spacing w:val="-3"/>
          <w:w w:val="95"/>
        </w:rPr>
        <w:t xml:space="preserve"> </w:t>
      </w:r>
      <w:r>
        <w:rPr>
          <w:w w:val="95"/>
        </w:rPr>
        <w:t>shift</w:t>
      </w:r>
      <w:r>
        <w:rPr>
          <w:spacing w:val="-3"/>
          <w:w w:val="95"/>
        </w:rPr>
        <w:t xml:space="preserve"> </w:t>
      </w:r>
      <w:r>
        <w:rPr>
          <w:w w:val="95"/>
        </w:rPr>
        <w:t>to</w:t>
      </w:r>
      <w:r>
        <w:rPr>
          <w:spacing w:val="-3"/>
          <w:w w:val="95"/>
        </w:rPr>
        <w:t xml:space="preserve"> </w:t>
      </w:r>
      <w:r>
        <w:rPr>
          <w:w w:val="95"/>
        </w:rPr>
        <w:t>rail,</w:t>
      </w:r>
      <w:r>
        <w:rPr>
          <w:spacing w:val="-3"/>
          <w:w w:val="95"/>
        </w:rPr>
        <w:t xml:space="preserve"> </w:t>
      </w:r>
      <w:r>
        <w:rPr>
          <w:w w:val="95"/>
        </w:rPr>
        <w:t>road</w:t>
      </w:r>
      <w:r>
        <w:rPr>
          <w:spacing w:val="-3"/>
          <w:w w:val="95"/>
        </w:rPr>
        <w:t xml:space="preserve"> </w:t>
      </w:r>
      <w:r>
        <w:rPr>
          <w:w w:val="95"/>
        </w:rPr>
        <w:t>will</w:t>
      </w:r>
      <w:r>
        <w:rPr>
          <w:spacing w:val="-3"/>
          <w:w w:val="95"/>
        </w:rPr>
        <w:t xml:space="preserve"> </w:t>
      </w:r>
      <w:r>
        <w:rPr>
          <w:w w:val="95"/>
        </w:rPr>
        <w:t>remain</w:t>
      </w:r>
      <w:r>
        <w:rPr>
          <w:spacing w:val="-3"/>
          <w:w w:val="95"/>
        </w:rPr>
        <w:t xml:space="preserve"> </w:t>
      </w:r>
      <w:r>
        <w:rPr>
          <w:w w:val="95"/>
        </w:rPr>
        <w:t>the</w:t>
      </w:r>
      <w:r>
        <w:rPr>
          <w:spacing w:val="-3"/>
          <w:w w:val="95"/>
        </w:rPr>
        <w:t xml:space="preserve"> </w:t>
      </w:r>
      <w:r>
        <w:rPr>
          <w:w w:val="95"/>
        </w:rPr>
        <w:t>dominant</w:t>
      </w:r>
      <w:r>
        <w:rPr>
          <w:spacing w:val="-3"/>
          <w:w w:val="95"/>
        </w:rPr>
        <w:t xml:space="preserve"> </w:t>
      </w:r>
      <w:r>
        <w:rPr>
          <w:w w:val="95"/>
        </w:rPr>
        <w:t xml:space="preserve">mode </w:t>
      </w:r>
      <w:r>
        <w:t>for</w:t>
      </w:r>
      <w:r>
        <w:rPr>
          <w:spacing w:val="-13"/>
        </w:rPr>
        <w:t xml:space="preserve"> </w:t>
      </w:r>
      <w:r>
        <w:t>Port</w:t>
      </w:r>
      <w:r>
        <w:rPr>
          <w:spacing w:val="-13"/>
        </w:rPr>
        <w:t xml:space="preserve"> </w:t>
      </w:r>
      <w:r>
        <w:t>Botany</w:t>
      </w:r>
      <w:r>
        <w:rPr>
          <w:spacing w:val="-13"/>
        </w:rPr>
        <w:t xml:space="preserve"> </w:t>
      </w:r>
      <w:r>
        <w:t>freight</w:t>
      </w:r>
      <w:r>
        <w:rPr>
          <w:spacing w:val="-13"/>
        </w:rPr>
        <w:t xml:space="preserve"> </w:t>
      </w:r>
      <w:r>
        <w:t>traffic,</w:t>
      </w:r>
      <w:r>
        <w:rPr>
          <w:spacing w:val="-13"/>
        </w:rPr>
        <w:t xml:space="preserve"> </w:t>
      </w:r>
      <w:r>
        <w:t>and</w:t>
      </w:r>
      <w:r>
        <w:rPr>
          <w:spacing w:val="-13"/>
        </w:rPr>
        <w:t xml:space="preserve"> </w:t>
      </w:r>
      <w:r>
        <w:t>the</w:t>
      </w:r>
      <w:r>
        <w:rPr>
          <w:spacing w:val="-13"/>
        </w:rPr>
        <w:t xml:space="preserve"> </w:t>
      </w:r>
      <w:r>
        <w:t>majority</w:t>
      </w:r>
      <w:r>
        <w:rPr>
          <w:spacing w:val="-13"/>
        </w:rPr>
        <w:t xml:space="preserve"> </w:t>
      </w:r>
      <w:r>
        <w:t>of</w:t>
      </w:r>
      <w:r>
        <w:rPr>
          <w:spacing w:val="-13"/>
        </w:rPr>
        <w:t xml:space="preserve"> </w:t>
      </w:r>
      <w:r>
        <w:t xml:space="preserve">freight </w:t>
      </w:r>
      <w:r>
        <w:rPr>
          <w:spacing w:val="-2"/>
        </w:rPr>
        <w:t>growth</w:t>
      </w:r>
      <w:r>
        <w:rPr>
          <w:spacing w:val="-11"/>
        </w:rPr>
        <w:t xml:space="preserve"> </w:t>
      </w:r>
      <w:r>
        <w:rPr>
          <w:spacing w:val="-2"/>
        </w:rPr>
        <w:t>over</w:t>
      </w:r>
      <w:r>
        <w:rPr>
          <w:spacing w:val="-11"/>
        </w:rPr>
        <w:t xml:space="preserve"> </w:t>
      </w:r>
      <w:r>
        <w:rPr>
          <w:spacing w:val="-2"/>
        </w:rPr>
        <w:t>the</w:t>
      </w:r>
      <w:r>
        <w:rPr>
          <w:spacing w:val="-11"/>
        </w:rPr>
        <w:t xml:space="preserve"> </w:t>
      </w:r>
      <w:r>
        <w:rPr>
          <w:spacing w:val="-2"/>
        </w:rPr>
        <w:t>next</w:t>
      </w:r>
      <w:r>
        <w:rPr>
          <w:spacing w:val="-11"/>
        </w:rPr>
        <w:t xml:space="preserve"> </w:t>
      </w:r>
      <w:r>
        <w:rPr>
          <w:spacing w:val="-2"/>
        </w:rPr>
        <w:t>20</w:t>
      </w:r>
      <w:r>
        <w:rPr>
          <w:spacing w:val="-11"/>
        </w:rPr>
        <w:t xml:space="preserve"> </w:t>
      </w:r>
      <w:r>
        <w:rPr>
          <w:spacing w:val="-2"/>
        </w:rPr>
        <w:t>years</w:t>
      </w:r>
      <w:r>
        <w:rPr>
          <w:spacing w:val="-11"/>
        </w:rPr>
        <w:t xml:space="preserve"> </w:t>
      </w:r>
      <w:r>
        <w:rPr>
          <w:spacing w:val="-2"/>
        </w:rPr>
        <w:t>will</w:t>
      </w:r>
      <w:r>
        <w:rPr>
          <w:spacing w:val="-11"/>
        </w:rPr>
        <w:t xml:space="preserve"> </w:t>
      </w:r>
      <w:r>
        <w:rPr>
          <w:spacing w:val="-2"/>
        </w:rPr>
        <w:t>be</w:t>
      </w:r>
      <w:r>
        <w:rPr>
          <w:spacing w:val="-11"/>
        </w:rPr>
        <w:t xml:space="preserve"> </w:t>
      </w:r>
      <w:r>
        <w:rPr>
          <w:spacing w:val="-2"/>
        </w:rPr>
        <w:t>conveyed</w:t>
      </w:r>
      <w:r>
        <w:rPr>
          <w:spacing w:val="-11"/>
        </w:rPr>
        <w:t xml:space="preserve"> </w:t>
      </w:r>
      <w:r>
        <w:rPr>
          <w:spacing w:val="-2"/>
        </w:rPr>
        <w:t>by</w:t>
      </w:r>
      <w:r>
        <w:rPr>
          <w:spacing w:val="-11"/>
        </w:rPr>
        <w:t xml:space="preserve"> </w:t>
      </w:r>
      <w:r>
        <w:rPr>
          <w:spacing w:val="-2"/>
        </w:rPr>
        <w:t>road.</w:t>
      </w:r>
    </w:p>
    <w:p w:rsidR="002C1123" w:rsidRDefault="00F22F94">
      <w:pPr>
        <w:pStyle w:val="BodyText"/>
        <w:spacing w:before="116" w:line="240" w:lineRule="atLeast"/>
        <w:ind w:left="192" w:right="792"/>
      </w:pPr>
      <w:r>
        <w:rPr>
          <w:w w:val="95"/>
        </w:rPr>
        <w:t>This</w:t>
      </w:r>
      <w:r>
        <w:rPr>
          <w:spacing w:val="-11"/>
          <w:w w:val="95"/>
        </w:rPr>
        <w:t xml:space="preserve"> </w:t>
      </w:r>
      <w:r>
        <w:rPr>
          <w:w w:val="95"/>
        </w:rPr>
        <w:t>situation</w:t>
      </w:r>
      <w:r>
        <w:rPr>
          <w:spacing w:val="-11"/>
          <w:w w:val="95"/>
        </w:rPr>
        <w:t xml:space="preserve"> </w:t>
      </w:r>
      <w:r>
        <w:rPr>
          <w:w w:val="95"/>
        </w:rPr>
        <w:t>is</w:t>
      </w:r>
      <w:r>
        <w:rPr>
          <w:spacing w:val="-11"/>
          <w:w w:val="95"/>
        </w:rPr>
        <w:t xml:space="preserve"> </w:t>
      </w:r>
      <w:r>
        <w:rPr>
          <w:w w:val="95"/>
        </w:rPr>
        <w:t>illustrated</w:t>
      </w:r>
      <w:r>
        <w:rPr>
          <w:spacing w:val="-11"/>
          <w:w w:val="95"/>
        </w:rPr>
        <w:t xml:space="preserve"> </w:t>
      </w:r>
      <w:r>
        <w:rPr>
          <w:w w:val="95"/>
        </w:rPr>
        <w:t>in</w:t>
      </w:r>
      <w:r>
        <w:rPr>
          <w:spacing w:val="-11"/>
          <w:w w:val="95"/>
        </w:rPr>
        <w:t xml:space="preserve"> </w:t>
      </w:r>
      <w:r>
        <w:rPr>
          <w:w w:val="95"/>
        </w:rPr>
        <w:t>Table</w:t>
      </w:r>
      <w:r>
        <w:rPr>
          <w:spacing w:val="-11"/>
          <w:w w:val="95"/>
        </w:rPr>
        <w:t xml:space="preserve"> </w:t>
      </w:r>
      <w:r>
        <w:rPr>
          <w:w w:val="95"/>
        </w:rPr>
        <w:t>9.3,</w:t>
      </w:r>
      <w:r>
        <w:rPr>
          <w:spacing w:val="-11"/>
          <w:w w:val="95"/>
        </w:rPr>
        <w:t xml:space="preserve"> </w:t>
      </w:r>
      <w:r>
        <w:rPr>
          <w:w w:val="95"/>
        </w:rPr>
        <w:t>which</w:t>
      </w:r>
      <w:r>
        <w:rPr>
          <w:spacing w:val="-11"/>
          <w:w w:val="95"/>
        </w:rPr>
        <w:t xml:space="preserve"> </w:t>
      </w:r>
      <w:r>
        <w:rPr>
          <w:w w:val="95"/>
        </w:rPr>
        <w:t>shows</w:t>
      </w:r>
      <w:r>
        <w:rPr>
          <w:spacing w:val="-11"/>
          <w:w w:val="95"/>
        </w:rPr>
        <w:t xml:space="preserve"> </w:t>
      </w:r>
      <w:r>
        <w:rPr>
          <w:w w:val="95"/>
        </w:rPr>
        <w:t xml:space="preserve">the </w:t>
      </w:r>
      <w:r>
        <w:rPr>
          <w:spacing w:val="-2"/>
        </w:rPr>
        <w:t>indicative</w:t>
      </w:r>
      <w:r>
        <w:rPr>
          <w:spacing w:val="-7"/>
        </w:rPr>
        <w:t xml:space="preserve"> </w:t>
      </w:r>
      <w:r>
        <w:rPr>
          <w:spacing w:val="-2"/>
        </w:rPr>
        <w:t>mode</w:t>
      </w:r>
      <w:r>
        <w:rPr>
          <w:spacing w:val="-7"/>
        </w:rPr>
        <w:t xml:space="preserve"> </w:t>
      </w:r>
      <w:r>
        <w:rPr>
          <w:spacing w:val="-2"/>
        </w:rPr>
        <w:t>split</w:t>
      </w:r>
      <w:r>
        <w:rPr>
          <w:spacing w:val="-7"/>
        </w:rPr>
        <w:t xml:space="preserve"> </w:t>
      </w:r>
      <w:r>
        <w:rPr>
          <w:spacing w:val="-2"/>
        </w:rPr>
        <w:t>assuming</w:t>
      </w:r>
      <w:r>
        <w:rPr>
          <w:spacing w:val="-7"/>
        </w:rPr>
        <w:t xml:space="preserve"> </w:t>
      </w:r>
      <w:r>
        <w:rPr>
          <w:spacing w:val="-2"/>
        </w:rPr>
        <w:t>seven</w:t>
      </w:r>
      <w:r>
        <w:rPr>
          <w:spacing w:val="-7"/>
        </w:rPr>
        <w:t xml:space="preserve"> </w:t>
      </w:r>
      <w:r>
        <w:rPr>
          <w:spacing w:val="-2"/>
        </w:rPr>
        <w:t>million</w:t>
      </w:r>
      <w:r>
        <w:rPr>
          <w:spacing w:val="-7"/>
        </w:rPr>
        <w:t xml:space="preserve"> </w:t>
      </w:r>
      <w:r>
        <w:rPr>
          <w:spacing w:val="-2"/>
        </w:rPr>
        <w:t>TEUs</w:t>
      </w:r>
      <w:r>
        <w:rPr>
          <w:spacing w:val="-7"/>
        </w:rPr>
        <w:t xml:space="preserve"> </w:t>
      </w:r>
      <w:r>
        <w:rPr>
          <w:spacing w:val="-2"/>
        </w:rPr>
        <w:t>in</w:t>
      </w:r>
    </w:p>
    <w:p w:rsidR="002C1123" w:rsidRDefault="002C1123">
      <w:pPr>
        <w:spacing w:line="240" w:lineRule="atLeast"/>
        <w:sectPr w:rsidR="002C1123">
          <w:type w:val="continuous"/>
          <w:pgSz w:w="16840" w:h="11910" w:orient="landscape"/>
          <w:pgMar w:top="560" w:right="280" w:bottom="280" w:left="500" w:header="0" w:footer="517" w:gutter="0"/>
          <w:cols w:num="3" w:space="720" w:equalWidth="0">
            <w:col w:w="5289" w:space="40"/>
            <w:col w:w="4985" w:space="39"/>
            <w:col w:w="5707"/>
          </w:cols>
        </w:sectPr>
      </w:pPr>
    </w:p>
    <w:p w:rsidR="002C1123" w:rsidRDefault="00F22F94">
      <w:pPr>
        <w:pStyle w:val="ListParagraph"/>
        <w:numPr>
          <w:ilvl w:val="0"/>
          <w:numId w:val="78"/>
        </w:numPr>
        <w:tabs>
          <w:tab w:val="left" w:pos="691"/>
          <w:tab w:val="left" w:pos="5518"/>
          <w:tab w:val="left" w:pos="6958"/>
        </w:tabs>
        <w:spacing w:line="128" w:lineRule="exact"/>
        <w:jc w:val="left"/>
        <w:rPr>
          <w:sz w:val="14"/>
        </w:rPr>
      </w:pPr>
      <w:r>
        <w:rPr>
          <w:w w:val="95"/>
          <w:sz w:val="14"/>
        </w:rPr>
        <w:t>Sydney</w:t>
      </w:r>
      <w:r>
        <w:rPr>
          <w:spacing w:val="2"/>
          <w:sz w:val="14"/>
        </w:rPr>
        <w:t xml:space="preserve"> </w:t>
      </w:r>
      <w:r>
        <w:rPr>
          <w:w w:val="95"/>
          <w:sz w:val="14"/>
        </w:rPr>
        <w:t>Ports</w:t>
      </w:r>
      <w:r>
        <w:rPr>
          <w:spacing w:val="3"/>
          <w:sz w:val="14"/>
        </w:rPr>
        <w:t xml:space="preserve"> </w:t>
      </w:r>
      <w:r>
        <w:rPr>
          <w:w w:val="95"/>
          <w:sz w:val="14"/>
        </w:rPr>
        <w:t>2008,</w:t>
      </w:r>
      <w:r>
        <w:rPr>
          <w:spacing w:val="3"/>
          <w:sz w:val="14"/>
        </w:rPr>
        <w:t xml:space="preserve"> </w:t>
      </w:r>
      <w:r>
        <w:rPr>
          <w:w w:val="95"/>
          <w:sz w:val="14"/>
        </w:rPr>
        <w:t>Port</w:t>
      </w:r>
      <w:r>
        <w:rPr>
          <w:spacing w:val="3"/>
          <w:sz w:val="14"/>
        </w:rPr>
        <w:t xml:space="preserve"> </w:t>
      </w:r>
      <w:r>
        <w:rPr>
          <w:w w:val="95"/>
          <w:sz w:val="14"/>
        </w:rPr>
        <w:t>Freight</w:t>
      </w:r>
      <w:r>
        <w:rPr>
          <w:spacing w:val="3"/>
          <w:sz w:val="14"/>
        </w:rPr>
        <w:t xml:space="preserve"> </w:t>
      </w:r>
      <w:r>
        <w:rPr>
          <w:w w:val="95"/>
          <w:sz w:val="14"/>
        </w:rPr>
        <w:t>Logistics</w:t>
      </w:r>
      <w:r>
        <w:rPr>
          <w:spacing w:val="3"/>
          <w:sz w:val="14"/>
        </w:rPr>
        <w:t xml:space="preserve"> </w:t>
      </w:r>
      <w:r>
        <w:rPr>
          <w:spacing w:val="-4"/>
          <w:w w:val="95"/>
          <w:sz w:val="14"/>
        </w:rPr>
        <w:t>Plan.</w:t>
      </w:r>
      <w:r>
        <w:rPr>
          <w:sz w:val="14"/>
        </w:rPr>
        <w:tab/>
      </w:r>
      <w:r>
        <w:rPr>
          <w:sz w:val="14"/>
          <w:u w:val="single" w:color="9C9C9D"/>
        </w:rPr>
        <w:tab/>
      </w:r>
    </w:p>
    <w:p w:rsidR="002C1123" w:rsidRDefault="00F22F94">
      <w:pPr>
        <w:pStyle w:val="BodyText"/>
        <w:spacing w:before="30" w:line="97" w:lineRule="exact"/>
        <w:ind w:left="492"/>
      </w:pPr>
      <w:r>
        <w:br w:type="column"/>
      </w:r>
      <w:r>
        <w:rPr>
          <w:w w:val="95"/>
        </w:rPr>
        <w:t>2031</w:t>
      </w:r>
      <w:r>
        <w:rPr>
          <w:spacing w:val="-11"/>
          <w:w w:val="95"/>
        </w:rPr>
        <w:t xml:space="preserve"> </w:t>
      </w:r>
      <w:r>
        <w:rPr>
          <w:w w:val="95"/>
        </w:rPr>
        <w:t>under</w:t>
      </w:r>
      <w:r>
        <w:rPr>
          <w:spacing w:val="-10"/>
          <w:w w:val="95"/>
        </w:rPr>
        <w:t xml:space="preserve"> </w:t>
      </w:r>
      <w:r>
        <w:rPr>
          <w:w w:val="95"/>
        </w:rPr>
        <w:t>three</w:t>
      </w:r>
      <w:r>
        <w:rPr>
          <w:spacing w:val="-11"/>
          <w:w w:val="95"/>
        </w:rPr>
        <w:t xml:space="preserve"> </w:t>
      </w:r>
      <w:r>
        <w:rPr>
          <w:w w:val="95"/>
        </w:rPr>
        <w:t>scenarios.</w:t>
      </w:r>
      <w:r>
        <w:rPr>
          <w:spacing w:val="-10"/>
          <w:w w:val="95"/>
        </w:rPr>
        <w:t xml:space="preserve"> </w:t>
      </w:r>
      <w:r>
        <w:rPr>
          <w:w w:val="95"/>
        </w:rPr>
        <w:t>Even</w:t>
      </w:r>
      <w:r>
        <w:rPr>
          <w:spacing w:val="-10"/>
          <w:w w:val="95"/>
        </w:rPr>
        <w:t xml:space="preserve"> </w:t>
      </w:r>
      <w:r>
        <w:rPr>
          <w:w w:val="95"/>
        </w:rPr>
        <w:t>were</w:t>
      </w:r>
      <w:r>
        <w:rPr>
          <w:spacing w:val="-11"/>
          <w:w w:val="95"/>
        </w:rPr>
        <w:t xml:space="preserve"> </w:t>
      </w:r>
      <w:r>
        <w:rPr>
          <w:w w:val="95"/>
        </w:rPr>
        <w:t>rail</w:t>
      </w:r>
      <w:r>
        <w:rPr>
          <w:spacing w:val="-10"/>
          <w:w w:val="95"/>
        </w:rPr>
        <w:t xml:space="preserve"> </w:t>
      </w:r>
      <w:r>
        <w:rPr>
          <w:w w:val="95"/>
        </w:rPr>
        <w:t>to</w:t>
      </w:r>
      <w:r>
        <w:rPr>
          <w:spacing w:val="-11"/>
          <w:w w:val="95"/>
        </w:rPr>
        <w:t xml:space="preserve"> </w:t>
      </w:r>
      <w:r>
        <w:rPr>
          <w:w w:val="95"/>
        </w:rPr>
        <w:t>reach</w:t>
      </w:r>
      <w:r>
        <w:rPr>
          <w:spacing w:val="-10"/>
          <w:w w:val="95"/>
        </w:rPr>
        <w:t xml:space="preserve"> </w:t>
      </w:r>
      <w:r>
        <w:rPr>
          <w:w w:val="95"/>
        </w:rPr>
        <w:t>a</w:t>
      </w:r>
      <w:r>
        <w:rPr>
          <w:spacing w:val="-10"/>
          <w:w w:val="95"/>
        </w:rPr>
        <w:t xml:space="preserve"> </w:t>
      </w:r>
      <w:r>
        <w:rPr>
          <w:spacing w:val="-5"/>
          <w:w w:val="95"/>
        </w:rPr>
        <w:t>40</w:t>
      </w:r>
    </w:p>
    <w:p w:rsidR="002C1123" w:rsidRDefault="002C1123">
      <w:pPr>
        <w:spacing w:line="97" w:lineRule="exact"/>
        <w:sectPr w:rsidR="002C1123">
          <w:type w:val="continuous"/>
          <w:pgSz w:w="16840" w:h="11910" w:orient="landscape"/>
          <w:pgMar w:top="560" w:right="280" w:bottom="280" w:left="500" w:header="0" w:footer="517" w:gutter="0"/>
          <w:cols w:num="2" w:space="720" w:equalWidth="0">
            <w:col w:w="6999" w:space="3054"/>
            <w:col w:w="6007"/>
          </w:cols>
        </w:sectPr>
      </w:pPr>
    </w:p>
    <w:p w:rsidR="002C1123" w:rsidRDefault="00F22F94">
      <w:pPr>
        <w:pStyle w:val="ListParagraph"/>
        <w:numPr>
          <w:ilvl w:val="0"/>
          <w:numId w:val="78"/>
        </w:numPr>
        <w:tabs>
          <w:tab w:val="left" w:pos="691"/>
        </w:tabs>
        <w:spacing w:before="4" w:line="161" w:lineRule="exact"/>
        <w:jc w:val="left"/>
        <w:rPr>
          <w:sz w:val="14"/>
        </w:rPr>
      </w:pPr>
      <w:r>
        <w:rPr>
          <w:w w:val="95"/>
          <w:sz w:val="14"/>
        </w:rPr>
        <w:t>Roads</w:t>
      </w:r>
      <w:r>
        <w:rPr>
          <w:spacing w:val="2"/>
          <w:sz w:val="14"/>
        </w:rPr>
        <w:t xml:space="preserve"> </w:t>
      </w:r>
      <w:r>
        <w:rPr>
          <w:w w:val="95"/>
          <w:sz w:val="14"/>
        </w:rPr>
        <w:t>and</w:t>
      </w:r>
      <w:r>
        <w:rPr>
          <w:spacing w:val="3"/>
          <w:sz w:val="14"/>
        </w:rPr>
        <w:t xml:space="preserve"> </w:t>
      </w:r>
      <w:r>
        <w:rPr>
          <w:w w:val="95"/>
          <w:sz w:val="14"/>
        </w:rPr>
        <w:t>Maritime</w:t>
      </w:r>
      <w:r>
        <w:rPr>
          <w:spacing w:val="2"/>
          <w:sz w:val="14"/>
        </w:rPr>
        <w:t xml:space="preserve"> </w:t>
      </w:r>
      <w:r>
        <w:rPr>
          <w:w w:val="95"/>
          <w:sz w:val="14"/>
        </w:rPr>
        <w:t>Services</w:t>
      </w:r>
      <w:r>
        <w:rPr>
          <w:spacing w:val="3"/>
          <w:sz w:val="14"/>
        </w:rPr>
        <w:t xml:space="preserve"> </w:t>
      </w:r>
      <w:r>
        <w:rPr>
          <w:spacing w:val="-2"/>
          <w:w w:val="95"/>
          <w:sz w:val="14"/>
        </w:rPr>
        <w:t>2011.</w:t>
      </w:r>
    </w:p>
    <w:p w:rsidR="002C1123" w:rsidRDefault="00F22F94">
      <w:pPr>
        <w:pStyle w:val="ListParagraph"/>
        <w:numPr>
          <w:ilvl w:val="0"/>
          <w:numId w:val="78"/>
        </w:numPr>
        <w:tabs>
          <w:tab w:val="left" w:pos="691"/>
        </w:tabs>
        <w:spacing w:line="160" w:lineRule="exact"/>
        <w:jc w:val="left"/>
        <w:rPr>
          <w:sz w:val="14"/>
        </w:rPr>
      </w:pPr>
      <w:r>
        <w:rPr>
          <w:w w:val="95"/>
          <w:sz w:val="14"/>
        </w:rPr>
        <w:t>Sydney</w:t>
      </w:r>
      <w:r>
        <w:rPr>
          <w:sz w:val="14"/>
        </w:rPr>
        <w:t xml:space="preserve"> </w:t>
      </w:r>
      <w:r>
        <w:rPr>
          <w:w w:val="95"/>
          <w:sz w:val="14"/>
        </w:rPr>
        <w:t>Ports</w:t>
      </w:r>
      <w:r>
        <w:rPr>
          <w:spacing w:val="1"/>
          <w:sz w:val="14"/>
        </w:rPr>
        <w:t xml:space="preserve"> </w:t>
      </w:r>
      <w:r>
        <w:rPr>
          <w:w w:val="95"/>
          <w:sz w:val="14"/>
        </w:rPr>
        <w:t>Corporation</w:t>
      </w:r>
      <w:r>
        <w:rPr>
          <w:spacing w:val="1"/>
          <w:sz w:val="14"/>
        </w:rPr>
        <w:t xml:space="preserve"> </w:t>
      </w:r>
      <w:r>
        <w:rPr>
          <w:w w:val="95"/>
          <w:sz w:val="14"/>
        </w:rPr>
        <w:t>2011,</w:t>
      </w:r>
      <w:r>
        <w:rPr>
          <w:spacing w:val="1"/>
          <w:sz w:val="14"/>
        </w:rPr>
        <w:t xml:space="preserve"> </w:t>
      </w:r>
      <w:r>
        <w:rPr>
          <w:w w:val="95"/>
          <w:sz w:val="14"/>
        </w:rPr>
        <w:t>Logistics</w:t>
      </w:r>
      <w:r>
        <w:rPr>
          <w:sz w:val="14"/>
        </w:rPr>
        <w:t xml:space="preserve"> </w:t>
      </w:r>
      <w:r>
        <w:rPr>
          <w:w w:val="95"/>
          <w:sz w:val="14"/>
        </w:rPr>
        <w:t>Review</w:t>
      </w:r>
      <w:r>
        <w:rPr>
          <w:spacing w:val="1"/>
          <w:sz w:val="14"/>
        </w:rPr>
        <w:t xml:space="preserve"> </w:t>
      </w:r>
      <w:r>
        <w:rPr>
          <w:w w:val="95"/>
          <w:sz w:val="14"/>
        </w:rPr>
        <w:t>2010-</w:t>
      </w:r>
      <w:r>
        <w:rPr>
          <w:spacing w:val="-5"/>
          <w:w w:val="95"/>
          <w:sz w:val="14"/>
        </w:rPr>
        <w:t>11.</w:t>
      </w:r>
    </w:p>
    <w:p w:rsidR="002C1123" w:rsidRDefault="00F22F94">
      <w:pPr>
        <w:pStyle w:val="ListParagraph"/>
        <w:numPr>
          <w:ilvl w:val="0"/>
          <w:numId w:val="78"/>
        </w:numPr>
        <w:tabs>
          <w:tab w:val="left" w:pos="691"/>
        </w:tabs>
        <w:jc w:val="left"/>
        <w:rPr>
          <w:sz w:val="14"/>
        </w:rPr>
      </w:pPr>
      <w:r>
        <w:rPr>
          <w:w w:val="95"/>
          <w:sz w:val="14"/>
        </w:rPr>
        <w:t>Australian</w:t>
      </w:r>
      <w:r>
        <w:rPr>
          <w:spacing w:val="-1"/>
          <w:w w:val="95"/>
          <w:sz w:val="14"/>
        </w:rPr>
        <w:t xml:space="preserve"> </w:t>
      </w:r>
      <w:r>
        <w:rPr>
          <w:w w:val="95"/>
          <w:sz w:val="14"/>
        </w:rPr>
        <w:t>Rail</w:t>
      </w:r>
      <w:r>
        <w:rPr>
          <w:spacing w:val="-1"/>
          <w:w w:val="95"/>
          <w:sz w:val="14"/>
        </w:rPr>
        <w:t xml:space="preserve"> </w:t>
      </w:r>
      <w:r>
        <w:rPr>
          <w:w w:val="95"/>
          <w:sz w:val="14"/>
        </w:rPr>
        <w:t>Track</w:t>
      </w:r>
      <w:r>
        <w:rPr>
          <w:spacing w:val="-1"/>
          <w:w w:val="95"/>
          <w:sz w:val="14"/>
        </w:rPr>
        <w:t xml:space="preserve"> </w:t>
      </w:r>
      <w:r>
        <w:rPr>
          <w:w w:val="95"/>
          <w:sz w:val="14"/>
        </w:rPr>
        <w:t>Corporation</w:t>
      </w:r>
      <w:r>
        <w:rPr>
          <w:spacing w:val="-1"/>
          <w:w w:val="95"/>
          <w:sz w:val="14"/>
        </w:rPr>
        <w:t xml:space="preserve"> </w:t>
      </w:r>
      <w:r>
        <w:rPr>
          <w:w w:val="95"/>
          <w:sz w:val="14"/>
        </w:rPr>
        <w:t>2007,</w:t>
      </w:r>
      <w:r>
        <w:rPr>
          <w:spacing w:val="-1"/>
          <w:w w:val="95"/>
          <w:sz w:val="14"/>
        </w:rPr>
        <w:t xml:space="preserve"> </w:t>
      </w:r>
      <w:r>
        <w:rPr>
          <w:w w:val="95"/>
          <w:sz w:val="14"/>
        </w:rPr>
        <w:t>Submission</w:t>
      </w:r>
      <w:r>
        <w:rPr>
          <w:spacing w:val="-1"/>
          <w:w w:val="95"/>
          <w:sz w:val="14"/>
        </w:rPr>
        <w:t xml:space="preserve"> </w:t>
      </w:r>
      <w:r>
        <w:rPr>
          <w:w w:val="95"/>
          <w:sz w:val="14"/>
        </w:rPr>
        <w:t>to</w:t>
      </w:r>
      <w:r>
        <w:rPr>
          <w:spacing w:val="-1"/>
          <w:w w:val="95"/>
          <w:sz w:val="14"/>
        </w:rPr>
        <w:t xml:space="preserve"> </w:t>
      </w:r>
      <w:r>
        <w:rPr>
          <w:w w:val="95"/>
          <w:sz w:val="14"/>
        </w:rPr>
        <w:t>IPART</w:t>
      </w:r>
      <w:r>
        <w:rPr>
          <w:spacing w:val="-1"/>
          <w:w w:val="95"/>
          <w:sz w:val="14"/>
        </w:rPr>
        <w:t xml:space="preserve"> </w:t>
      </w:r>
      <w:r>
        <w:rPr>
          <w:w w:val="95"/>
          <w:sz w:val="14"/>
        </w:rPr>
        <w:t>–</w:t>
      </w:r>
      <w:r>
        <w:rPr>
          <w:spacing w:val="-1"/>
          <w:w w:val="95"/>
          <w:sz w:val="14"/>
        </w:rPr>
        <w:t xml:space="preserve"> </w:t>
      </w:r>
      <w:r>
        <w:rPr>
          <w:w w:val="95"/>
          <w:sz w:val="14"/>
        </w:rPr>
        <w:t>Port</w:t>
      </w:r>
      <w:r>
        <w:rPr>
          <w:spacing w:val="-1"/>
          <w:w w:val="95"/>
          <w:sz w:val="14"/>
        </w:rPr>
        <w:t xml:space="preserve"> </w:t>
      </w:r>
      <w:r>
        <w:rPr>
          <w:w w:val="95"/>
          <w:sz w:val="14"/>
        </w:rPr>
        <w:t>Botany</w:t>
      </w:r>
      <w:r>
        <w:rPr>
          <w:spacing w:val="40"/>
          <w:sz w:val="14"/>
        </w:rPr>
        <w:t xml:space="preserve"> </w:t>
      </w:r>
      <w:r>
        <w:rPr>
          <w:spacing w:val="-2"/>
          <w:sz w:val="14"/>
        </w:rPr>
        <w:t>Review.</w:t>
      </w:r>
    </w:p>
    <w:p w:rsidR="002C1123" w:rsidRDefault="00F22F94">
      <w:pPr>
        <w:pStyle w:val="ListParagraph"/>
        <w:numPr>
          <w:ilvl w:val="0"/>
          <w:numId w:val="78"/>
        </w:numPr>
        <w:tabs>
          <w:tab w:val="left" w:pos="691"/>
        </w:tabs>
        <w:ind w:right="237"/>
        <w:jc w:val="left"/>
        <w:rPr>
          <w:sz w:val="14"/>
        </w:rPr>
      </w:pPr>
      <w:r>
        <w:rPr>
          <w:w w:val="95"/>
          <w:sz w:val="14"/>
        </w:rPr>
        <w:t>Sydney Ports Corporation 2010, PBLIS Train On-Time Running Report;</w:t>
      </w:r>
      <w:r>
        <w:rPr>
          <w:spacing w:val="40"/>
          <w:sz w:val="14"/>
        </w:rPr>
        <w:t xml:space="preserve"> </w:t>
      </w:r>
      <w:r>
        <w:rPr>
          <w:sz w:val="14"/>
        </w:rPr>
        <w:t>average of headline KPI’s.</w:t>
      </w:r>
    </w:p>
    <w:p w:rsidR="002C1123" w:rsidRDefault="00F22F94">
      <w:pPr>
        <w:pStyle w:val="ListParagraph"/>
        <w:numPr>
          <w:ilvl w:val="0"/>
          <w:numId w:val="78"/>
        </w:numPr>
        <w:tabs>
          <w:tab w:val="left" w:pos="480"/>
        </w:tabs>
        <w:spacing w:before="4"/>
        <w:ind w:left="479" w:right="112"/>
        <w:jc w:val="left"/>
        <w:rPr>
          <w:sz w:val="14"/>
        </w:rPr>
      </w:pPr>
      <w:r>
        <w:br w:type="column"/>
      </w:r>
      <w:r>
        <w:rPr>
          <w:w w:val="95"/>
          <w:sz w:val="14"/>
        </w:rPr>
        <w:t>Ernst &amp; Young 2011, Port Botany – Sydney Airport Precinct Scoping Study</w:t>
      </w:r>
      <w:r>
        <w:rPr>
          <w:spacing w:val="40"/>
          <w:sz w:val="14"/>
        </w:rPr>
        <w:t xml:space="preserve"> </w:t>
      </w:r>
      <w:r>
        <w:rPr>
          <w:sz w:val="14"/>
        </w:rPr>
        <w:t>report to Infrastructure NSW.</w:t>
      </w:r>
    </w:p>
    <w:p w:rsidR="002C1123" w:rsidRDefault="00F22F94">
      <w:pPr>
        <w:pStyle w:val="ListParagraph"/>
        <w:numPr>
          <w:ilvl w:val="0"/>
          <w:numId w:val="78"/>
        </w:numPr>
        <w:tabs>
          <w:tab w:val="left" w:pos="480"/>
        </w:tabs>
        <w:spacing w:line="159" w:lineRule="exact"/>
        <w:ind w:left="479"/>
        <w:jc w:val="left"/>
        <w:rPr>
          <w:sz w:val="14"/>
        </w:rPr>
      </w:pPr>
      <w:r>
        <w:rPr>
          <w:w w:val="95"/>
          <w:sz w:val="14"/>
        </w:rPr>
        <w:t>Pacific</w:t>
      </w:r>
      <w:r>
        <w:rPr>
          <w:spacing w:val="4"/>
          <w:sz w:val="14"/>
        </w:rPr>
        <w:t xml:space="preserve"> </w:t>
      </w:r>
      <w:r>
        <w:rPr>
          <w:w w:val="95"/>
          <w:sz w:val="14"/>
        </w:rPr>
        <w:t>National</w:t>
      </w:r>
      <w:r>
        <w:rPr>
          <w:spacing w:val="5"/>
          <w:sz w:val="14"/>
        </w:rPr>
        <w:t xml:space="preserve"> </w:t>
      </w:r>
      <w:r>
        <w:rPr>
          <w:w w:val="95"/>
          <w:sz w:val="14"/>
        </w:rPr>
        <w:t>2004,</w:t>
      </w:r>
      <w:r>
        <w:rPr>
          <w:spacing w:val="5"/>
          <w:sz w:val="14"/>
        </w:rPr>
        <w:t xml:space="preserve"> </w:t>
      </w:r>
      <w:r>
        <w:rPr>
          <w:w w:val="95"/>
          <w:sz w:val="14"/>
        </w:rPr>
        <w:t>Submission</w:t>
      </w:r>
      <w:r>
        <w:rPr>
          <w:spacing w:val="4"/>
          <w:sz w:val="14"/>
        </w:rPr>
        <w:t xml:space="preserve"> </w:t>
      </w:r>
      <w:r>
        <w:rPr>
          <w:w w:val="95"/>
          <w:sz w:val="14"/>
        </w:rPr>
        <w:t>to</w:t>
      </w:r>
      <w:r>
        <w:rPr>
          <w:spacing w:val="5"/>
          <w:sz w:val="14"/>
        </w:rPr>
        <w:t xml:space="preserve"> </w:t>
      </w:r>
      <w:r>
        <w:rPr>
          <w:w w:val="95"/>
          <w:sz w:val="14"/>
        </w:rPr>
        <w:t>the</w:t>
      </w:r>
      <w:r>
        <w:rPr>
          <w:spacing w:val="5"/>
          <w:sz w:val="14"/>
        </w:rPr>
        <w:t xml:space="preserve"> </w:t>
      </w:r>
      <w:r>
        <w:rPr>
          <w:w w:val="95"/>
          <w:sz w:val="14"/>
        </w:rPr>
        <w:t>Productivity</w:t>
      </w:r>
      <w:r>
        <w:rPr>
          <w:spacing w:val="5"/>
          <w:sz w:val="14"/>
        </w:rPr>
        <w:t xml:space="preserve"> </w:t>
      </w:r>
      <w:r>
        <w:rPr>
          <w:spacing w:val="-2"/>
          <w:w w:val="95"/>
          <w:sz w:val="14"/>
        </w:rPr>
        <w:t>Commission.</w:t>
      </w:r>
    </w:p>
    <w:p w:rsidR="002C1123" w:rsidRDefault="00F22F94">
      <w:pPr>
        <w:pStyle w:val="ListParagraph"/>
        <w:numPr>
          <w:ilvl w:val="0"/>
          <w:numId w:val="78"/>
        </w:numPr>
        <w:tabs>
          <w:tab w:val="left" w:pos="480"/>
        </w:tabs>
        <w:spacing w:line="160" w:lineRule="exact"/>
        <w:ind w:left="479"/>
        <w:jc w:val="left"/>
        <w:rPr>
          <w:sz w:val="14"/>
        </w:rPr>
      </w:pPr>
      <w:r>
        <w:rPr>
          <w:w w:val="95"/>
          <w:sz w:val="14"/>
        </w:rPr>
        <w:t>Productivity</w:t>
      </w:r>
      <w:r>
        <w:rPr>
          <w:spacing w:val="4"/>
          <w:sz w:val="14"/>
        </w:rPr>
        <w:t xml:space="preserve"> </w:t>
      </w:r>
      <w:r>
        <w:rPr>
          <w:w w:val="95"/>
          <w:sz w:val="14"/>
        </w:rPr>
        <w:t>Commission</w:t>
      </w:r>
      <w:r>
        <w:rPr>
          <w:spacing w:val="5"/>
          <w:sz w:val="14"/>
        </w:rPr>
        <w:t xml:space="preserve"> </w:t>
      </w:r>
      <w:r>
        <w:rPr>
          <w:w w:val="95"/>
          <w:sz w:val="14"/>
        </w:rPr>
        <w:t>2006,</w:t>
      </w:r>
      <w:r>
        <w:rPr>
          <w:spacing w:val="5"/>
          <w:sz w:val="14"/>
        </w:rPr>
        <w:t xml:space="preserve"> </w:t>
      </w:r>
      <w:r>
        <w:rPr>
          <w:w w:val="95"/>
          <w:sz w:val="14"/>
        </w:rPr>
        <w:t>Road</w:t>
      </w:r>
      <w:r>
        <w:rPr>
          <w:spacing w:val="5"/>
          <w:sz w:val="14"/>
        </w:rPr>
        <w:t xml:space="preserve"> </w:t>
      </w:r>
      <w:r>
        <w:rPr>
          <w:w w:val="95"/>
          <w:sz w:val="14"/>
        </w:rPr>
        <w:t>and</w:t>
      </w:r>
      <w:r>
        <w:rPr>
          <w:spacing w:val="5"/>
          <w:sz w:val="14"/>
        </w:rPr>
        <w:t xml:space="preserve"> </w:t>
      </w:r>
      <w:r>
        <w:rPr>
          <w:w w:val="95"/>
          <w:sz w:val="14"/>
        </w:rPr>
        <w:t>Rail</w:t>
      </w:r>
      <w:r>
        <w:rPr>
          <w:spacing w:val="5"/>
          <w:sz w:val="14"/>
        </w:rPr>
        <w:t xml:space="preserve"> </w:t>
      </w:r>
      <w:r>
        <w:rPr>
          <w:w w:val="95"/>
          <w:sz w:val="14"/>
        </w:rPr>
        <w:t>Freight</w:t>
      </w:r>
      <w:r>
        <w:rPr>
          <w:spacing w:val="5"/>
          <w:sz w:val="14"/>
        </w:rPr>
        <w:t xml:space="preserve"> </w:t>
      </w:r>
      <w:r>
        <w:rPr>
          <w:w w:val="95"/>
          <w:sz w:val="14"/>
        </w:rPr>
        <w:t>Infrastructure</w:t>
      </w:r>
      <w:r>
        <w:rPr>
          <w:spacing w:val="5"/>
          <w:sz w:val="14"/>
        </w:rPr>
        <w:t xml:space="preserve"> </w:t>
      </w:r>
      <w:r>
        <w:rPr>
          <w:spacing w:val="-2"/>
          <w:w w:val="95"/>
          <w:sz w:val="14"/>
        </w:rPr>
        <w:t>Pricing.</w:t>
      </w:r>
    </w:p>
    <w:p w:rsidR="002C1123" w:rsidRDefault="00F22F94">
      <w:pPr>
        <w:pStyle w:val="ListParagraph"/>
        <w:numPr>
          <w:ilvl w:val="0"/>
          <w:numId w:val="78"/>
        </w:numPr>
        <w:tabs>
          <w:tab w:val="left" w:pos="480"/>
        </w:tabs>
        <w:spacing w:line="160" w:lineRule="exact"/>
        <w:ind w:left="479"/>
        <w:jc w:val="left"/>
        <w:rPr>
          <w:sz w:val="14"/>
        </w:rPr>
      </w:pPr>
      <w:r>
        <w:rPr>
          <w:w w:val="95"/>
          <w:sz w:val="14"/>
        </w:rPr>
        <w:t>Sydney</w:t>
      </w:r>
      <w:r>
        <w:rPr>
          <w:sz w:val="14"/>
        </w:rPr>
        <w:t xml:space="preserve"> </w:t>
      </w:r>
      <w:r>
        <w:rPr>
          <w:w w:val="95"/>
          <w:sz w:val="14"/>
        </w:rPr>
        <w:t>Ports</w:t>
      </w:r>
      <w:r>
        <w:rPr>
          <w:spacing w:val="1"/>
          <w:sz w:val="14"/>
        </w:rPr>
        <w:t xml:space="preserve"> </w:t>
      </w:r>
      <w:r>
        <w:rPr>
          <w:spacing w:val="-2"/>
          <w:w w:val="95"/>
          <w:sz w:val="14"/>
        </w:rPr>
        <w:t>Corporation.</w:t>
      </w:r>
    </w:p>
    <w:p w:rsidR="002C1123" w:rsidRDefault="00F22F94">
      <w:pPr>
        <w:pStyle w:val="ListParagraph"/>
        <w:numPr>
          <w:ilvl w:val="0"/>
          <w:numId w:val="78"/>
        </w:numPr>
        <w:tabs>
          <w:tab w:val="left" w:pos="480"/>
        </w:tabs>
        <w:spacing w:line="161" w:lineRule="exact"/>
        <w:ind w:left="479"/>
        <w:jc w:val="left"/>
        <w:rPr>
          <w:sz w:val="14"/>
        </w:rPr>
      </w:pPr>
      <w:r>
        <w:rPr>
          <w:w w:val="95"/>
          <w:sz w:val="14"/>
        </w:rPr>
        <w:t>Sydney</w:t>
      </w:r>
      <w:r>
        <w:rPr>
          <w:sz w:val="14"/>
        </w:rPr>
        <w:t xml:space="preserve"> </w:t>
      </w:r>
      <w:r>
        <w:rPr>
          <w:w w:val="95"/>
          <w:sz w:val="14"/>
        </w:rPr>
        <w:t>Ports</w:t>
      </w:r>
      <w:r>
        <w:rPr>
          <w:spacing w:val="1"/>
          <w:sz w:val="14"/>
        </w:rPr>
        <w:t xml:space="preserve"> </w:t>
      </w:r>
      <w:r>
        <w:rPr>
          <w:spacing w:val="-2"/>
          <w:w w:val="95"/>
          <w:sz w:val="14"/>
        </w:rPr>
        <w:t>Corporation.</w:t>
      </w:r>
    </w:p>
    <w:p w:rsidR="002C1123" w:rsidRDefault="00F22F94">
      <w:pPr>
        <w:pStyle w:val="BodyText"/>
        <w:spacing w:before="142" w:line="249" w:lineRule="auto"/>
        <w:ind w:left="216" w:right="795"/>
      </w:pPr>
      <w:r>
        <w:br w:type="column"/>
      </w:r>
      <w:r>
        <w:rPr>
          <w:w w:val="95"/>
        </w:rPr>
        <w:t>percent</w:t>
      </w:r>
      <w:r>
        <w:rPr>
          <w:spacing w:val="-9"/>
          <w:w w:val="95"/>
        </w:rPr>
        <w:t xml:space="preserve"> </w:t>
      </w:r>
      <w:r>
        <w:rPr>
          <w:w w:val="95"/>
        </w:rPr>
        <w:t>mode</w:t>
      </w:r>
      <w:r>
        <w:rPr>
          <w:spacing w:val="-9"/>
          <w:w w:val="95"/>
        </w:rPr>
        <w:t xml:space="preserve"> </w:t>
      </w:r>
      <w:r>
        <w:rPr>
          <w:w w:val="95"/>
        </w:rPr>
        <w:t>share</w:t>
      </w:r>
      <w:r>
        <w:rPr>
          <w:spacing w:val="-9"/>
          <w:w w:val="95"/>
        </w:rPr>
        <w:t xml:space="preserve"> </w:t>
      </w:r>
      <w:r>
        <w:rPr>
          <w:w w:val="95"/>
        </w:rPr>
        <w:t>by</w:t>
      </w:r>
      <w:r>
        <w:rPr>
          <w:spacing w:val="-9"/>
          <w:w w:val="95"/>
        </w:rPr>
        <w:t xml:space="preserve"> </w:t>
      </w:r>
      <w:r>
        <w:rPr>
          <w:w w:val="95"/>
        </w:rPr>
        <w:t>2031,</w:t>
      </w:r>
      <w:r>
        <w:rPr>
          <w:spacing w:val="-9"/>
          <w:w w:val="95"/>
        </w:rPr>
        <w:t xml:space="preserve"> </w:t>
      </w:r>
      <w:r>
        <w:rPr>
          <w:w w:val="95"/>
        </w:rPr>
        <w:t>road</w:t>
      </w:r>
      <w:r>
        <w:rPr>
          <w:spacing w:val="-9"/>
          <w:w w:val="95"/>
        </w:rPr>
        <w:t xml:space="preserve"> </w:t>
      </w:r>
      <w:r>
        <w:rPr>
          <w:w w:val="95"/>
        </w:rPr>
        <w:t>travel</w:t>
      </w:r>
      <w:r>
        <w:rPr>
          <w:spacing w:val="-9"/>
          <w:w w:val="95"/>
        </w:rPr>
        <w:t xml:space="preserve"> </w:t>
      </w:r>
      <w:r>
        <w:rPr>
          <w:w w:val="95"/>
        </w:rPr>
        <w:t>will</w:t>
      </w:r>
      <w:r>
        <w:rPr>
          <w:spacing w:val="-9"/>
          <w:w w:val="95"/>
        </w:rPr>
        <w:t xml:space="preserve"> </w:t>
      </w:r>
      <w:r>
        <w:rPr>
          <w:w w:val="95"/>
        </w:rPr>
        <w:t>still</w:t>
      </w:r>
      <w:r>
        <w:rPr>
          <w:spacing w:val="-9"/>
          <w:w w:val="95"/>
        </w:rPr>
        <w:t xml:space="preserve"> </w:t>
      </w:r>
      <w:r>
        <w:rPr>
          <w:w w:val="95"/>
        </w:rPr>
        <w:t xml:space="preserve">more </w:t>
      </w:r>
      <w:r>
        <w:t>than double during this period.</w:t>
      </w:r>
    </w:p>
    <w:p w:rsidR="002C1123" w:rsidRDefault="002060EF">
      <w:pPr>
        <w:pStyle w:val="BodyText"/>
        <w:spacing w:before="4"/>
        <w:rPr>
          <w:sz w:val="11"/>
        </w:rPr>
      </w:pPr>
      <w:r>
        <w:pict>
          <v:shape id="docshape1506" o:spid="_x0000_s3726" style="position:absolute;margin-left:552.3pt;margin-top:7.75pt;width:1in;height:.1pt;z-index:-251368448;mso-wrap-distance-left:0;mso-wrap-distance-right:0;mso-position-horizontal-relative:page" coordorigin="11046,155" coordsize="1440,0" path="m11046,155r1440,e" filled="f" strokecolor="#9c9c9d" strokeweight=".5pt">
            <v:path arrowok="t"/>
            <w10:wrap type="topAndBottom" anchorx="page"/>
          </v:shape>
        </w:pict>
      </w:r>
    </w:p>
    <w:p w:rsidR="002C1123" w:rsidRDefault="00F22F94">
      <w:pPr>
        <w:pStyle w:val="ListParagraph"/>
        <w:numPr>
          <w:ilvl w:val="0"/>
          <w:numId w:val="78"/>
        </w:numPr>
        <w:tabs>
          <w:tab w:val="left" w:pos="415"/>
        </w:tabs>
        <w:spacing w:before="23"/>
        <w:ind w:left="414"/>
        <w:jc w:val="left"/>
        <w:rPr>
          <w:sz w:val="14"/>
        </w:rPr>
      </w:pPr>
      <w:r>
        <w:rPr>
          <w:w w:val="95"/>
          <w:sz w:val="14"/>
        </w:rPr>
        <w:t>Sydney</w:t>
      </w:r>
      <w:r>
        <w:rPr>
          <w:spacing w:val="4"/>
          <w:sz w:val="14"/>
        </w:rPr>
        <w:t xml:space="preserve"> </w:t>
      </w:r>
      <w:r>
        <w:rPr>
          <w:w w:val="95"/>
          <w:sz w:val="14"/>
        </w:rPr>
        <w:t>Ports</w:t>
      </w:r>
      <w:r>
        <w:rPr>
          <w:spacing w:val="5"/>
          <w:sz w:val="14"/>
        </w:rPr>
        <w:t xml:space="preserve"> </w:t>
      </w:r>
      <w:r>
        <w:rPr>
          <w:w w:val="95"/>
          <w:sz w:val="14"/>
        </w:rPr>
        <w:t>Corporation</w:t>
      </w:r>
      <w:r>
        <w:rPr>
          <w:spacing w:val="4"/>
          <w:sz w:val="14"/>
        </w:rPr>
        <w:t xml:space="preserve"> </w:t>
      </w:r>
      <w:r>
        <w:rPr>
          <w:w w:val="95"/>
          <w:sz w:val="14"/>
        </w:rPr>
        <w:t>2008,</w:t>
      </w:r>
      <w:r>
        <w:rPr>
          <w:spacing w:val="5"/>
          <w:sz w:val="14"/>
        </w:rPr>
        <w:t xml:space="preserve"> </w:t>
      </w:r>
      <w:r>
        <w:rPr>
          <w:w w:val="95"/>
          <w:sz w:val="14"/>
        </w:rPr>
        <w:t>Enfield</w:t>
      </w:r>
      <w:r>
        <w:rPr>
          <w:spacing w:val="5"/>
          <w:sz w:val="14"/>
        </w:rPr>
        <w:t xml:space="preserve"> </w:t>
      </w:r>
      <w:r>
        <w:rPr>
          <w:w w:val="95"/>
          <w:sz w:val="14"/>
        </w:rPr>
        <w:t>Business</w:t>
      </w:r>
      <w:r>
        <w:rPr>
          <w:spacing w:val="4"/>
          <w:sz w:val="14"/>
        </w:rPr>
        <w:t xml:space="preserve"> </w:t>
      </w:r>
      <w:r>
        <w:rPr>
          <w:spacing w:val="-4"/>
          <w:w w:val="95"/>
          <w:sz w:val="14"/>
        </w:rPr>
        <w:t>Case.</w:t>
      </w:r>
    </w:p>
    <w:p w:rsidR="002C1123" w:rsidRDefault="002C1123">
      <w:pPr>
        <w:rPr>
          <w:sz w:val="14"/>
        </w:rPr>
        <w:sectPr w:rsidR="002C1123">
          <w:type w:val="continuous"/>
          <w:pgSz w:w="16840" w:h="11910" w:orient="landscape"/>
          <w:pgMar w:top="560" w:right="280" w:bottom="280" w:left="500" w:header="0" w:footer="517" w:gutter="0"/>
          <w:cols w:num="3" w:space="720" w:equalWidth="0">
            <w:col w:w="5198" w:space="40"/>
            <w:col w:w="5052" w:space="39"/>
            <w:col w:w="5731"/>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7"/>
        </w:rPr>
      </w:pPr>
    </w:p>
    <w:p w:rsidR="002C1123" w:rsidRDefault="002C1123">
      <w:pPr>
        <w:rPr>
          <w:sz w:val="17"/>
        </w:rPr>
        <w:sectPr w:rsidR="002C1123">
          <w:pgSz w:w="16840" w:h="11910" w:orient="landscape"/>
          <w:pgMar w:top="560" w:right="280" w:bottom="700" w:left="500" w:header="0" w:footer="517" w:gutter="0"/>
          <w:cols w:space="720"/>
        </w:sectPr>
      </w:pPr>
    </w:p>
    <w:p w:rsidR="002C1123" w:rsidRDefault="002C1123">
      <w:pPr>
        <w:pStyle w:val="BodyText"/>
        <w:spacing w:before="1"/>
      </w:pPr>
    </w:p>
    <w:p w:rsidR="002C1123" w:rsidRDefault="00F22F94">
      <w:pPr>
        <w:spacing w:before="1"/>
        <w:ind w:left="512"/>
        <w:rPr>
          <w:b/>
          <w:sz w:val="18"/>
        </w:rPr>
      </w:pPr>
      <w:bookmarkStart w:id="243" w:name="9.3_Air_travel"/>
      <w:bookmarkStart w:id="244" w:name="_bookmark173"/>
      <w:bookmarkStart w:id="245" w:name="_bookmark172"/>
      <w:bookmarkEnd w:id="243"/>
      <w:bookmarkEnd w:id="244"/>
      <w:bookmarkEnd w:id="245"/>
      <w:r>
        <w:rPr>
          <w:b/>
          <w:sz w:val="18"/>
        </w:rPr>
        <w:t>Table</w:t>
      </w:r>
      <w:r>
        <w:rPr>
          <w:b/>
          <w:spacing w:val="-16"/>
          <w:sz w:val="18"/>
        </w:rPr>
        <w:t xml:space="preserve"> </w:t>
      </w:r>
      <w:r>
        <w:rPr>
          <w:b/>
          <w:sz w:val="18"/>
        </w:rPr>
        <w:t>9.3</w:t>
      </w:r>
      <w:r>
        <w:rPr>
          <w:b/>
          <w:spacing w:val="21"/>
          <w:sz w:val="18"/>
        </w:rPr>
        <w:t xml:space="preserve"> </w:t>
      </w:r>
      <w:r>
        <w:rPr>
          <w:b/>
          <w:sz w:val="18"/>
        </w:rPr>
        <w:t>Port</w:t>
      </w:r>
      <w:r>
        <w:rPr>
          <w:b/>
          <w:spacing w:val="-16"/>
          <w:sz w:val="18"/>
        </w:rPr>
        <w:t xml:space="preserve"> </w:t>
      </w:r>
      <w:r>
        <w:rPr>
          <w:b/>
          <w:sz w:val="18"/>
        </w:rPr>
        <w:t>Traffic</w:t>
      </w:r>
      <w:r>
        <w:rPr>
          <w:b/>
          <w:spacing w:val="-15"/>
          <w:sz w:val="18"/>
        </w:rPr>
        <w:t xml:space="preserve"> </w:t>
      </w:r>
      <w:r>
        <w:rPr>
          <w:b/>
          <w:sz w:val="18"/>
        </w:rPr>
        <w:t>Road</w:t>
      </w:r>
      <w:r>
        <w:rPr>
          <w:b/>
          <w:spacing w:val="-16"/>
          <w:sz w:val="18"/>
        </w:rPr>
        <w:t xml:space="preserve"> </w:t>
      </w:r>
      <w:r>
        <w:rPr>
          <w:b/>
          <w:sz w:val="18"/>
        </w:rPr>
        <w:t>/</w:t>
      </w:r>
      <w:r>
        <w:rPr>
          <w:b/>
          <w:spacing w:val="-15"/>
          <w:sz w:val="18"/>
        </w:rPr>
        <w:t xml:space="preserve"> </w:t>
      </w:r>
      <w:r>
        <w:rPr>
          <w:b/>
          <w:sz w:val="18"/>
        </w:rPr>
        <w:t>Rail</w:t>
      </w:r>
      <w:r>
        <w:rPr>
          <w:b/>
          <w:spacing w:val="-16"/>
          <w:sz w:val="18"/>
        </w:rPr>
        <w:t xml:space="preserve"> </w:t>
      </w:r>
      <w:r>
        <w:rPr>
          <w:b/>
          <w:sz w:val="18"/>
        </w:rPr>
        <w:t>Mode</w:t>
      </w:r>
      <w:r>
        <w:rPr>
          <w:b/>
          <w:spacing w:val="-16"/>
          <w:sz w:val="18"/>
        </w:rPr>
        <w:t xml:space="preserve"> </w:t>
      </w:r>
      <w:r>
        <w:rPr>
          <w:b/>
          <w:sz w:val="18"/>
        </w:rPr>
        <w:t>Share</w:t>
      </w:r>
      <w:r>
        <w:rPr>
          <w:b/>
          <w:spacing w:val="-15"/>
          <w:sz w:val="18"/>
        </w:rPr>
        <w:t xml:space="preserve"> </w:t>
      </w:r>
      <w:r>
        <w:rPr>
          <w:b/>
          <w:spacing w:val="-2"/>
          <w:sz w:val="18"/>
        </w:rPr>
        <w:t>Scenarios</w:t>
      </w:r>
    </w:p>
    <w:p w:rsidR="002C1123" w:rsidRDefault="00F22F94">
      <w:pPr>
        <w:pStyle w:val="Heading5"/>
        <w:numPr>
          <w:ilvl w:val="1"/>
          <w:numId w:val="80"/>
        </w:numPr>
        <w:tabs>
          <w:tab w:val="left" w:pos="738"/>
        </w:tabs>
        <w:ind w:left="737"/>
        <w:jc w:val="left"/>
      </w:pPr>
      <w:r>
        <w:rPr>
          <w:b w:val="0"/>
        </w:rPr>
        <w:br w:type="column"/>
      </w:r>
      <w:r>
        <w:rPr>
          <w:color w:val="00AEEF"/>
          <w:w w:val="95"/>
        </w:rPr>
        <w:t>Air</w:t>
      </w:r>
      <w:r>
        <w:rPr>
          <w:color w:val="00AEEF"/>
          <w:spacing w:val="-16"/>
          <w:w w:val="95"/>
        </w:rPr>
        <w:t xml:space="preserve"> </w:t>
      </w:r>
      <w:r>
        <w:rPr>
          <w:color w:val="00AEEF"/>
          <w:spacing w:val="-2"/>
          <w:w w:val="95"/>
        </w:rPr>
        <w:t>travel</w:t>
      </w:r>
    </w:p>
    <w:p w:rsidR="002C1123" w:rsidRDefault="00F22F94">
      <w:pPr>
        <w:pStyle w:val="BodyText"/>
        <w:spacing w:before="99" w:line="240" w:lineRule="atLeast"/>
        <w:ind w:left="512" w:right="774"/>
      </w:pPr>
      <w:r>
        <w:br w:type="column"/>
      </w:r>
      <w:r>
        <w:t>scenario,</w:t>
      </w:r>
      <w:r>
        <w:rPr>
          <w:spacing w:val="-14"/>
        </w:rPr>
        <w:t xml:space="preserve"> </w:t>
      </w:r>
      <w:r>
        <w:t>there</w:t>
      </w:r>
      <w:r>
        <w:rPr>
          <w:spacing w:val="-14"/>
        </w:rPr>
        <w:t xml:space="preserve"> </w:t>
      </w:r>
      <w:r>
        <w:t>will</w:t>
      </w:r>
      <w:r>
        <w:rPr>
          <w:spacing w:val="-14"/>
        </w:rPr>
        <w:t xml:space="preserve"> </w:t>
      </w:r>
      <w:r>
        <w:t>be</w:t>
      </w:r>
      <w:r>
        <w:rPr>
          <w:spacing w:val="-14"/>
        </w:rPr>
        <w:t xml:space="preserve"> </w:t>
      </w:r>
      <w:r>
        <w:t>a</w:t>
      </w:r>
      <w:r>
        <w:rPr>
          <w:spacing w:val="-14"/>
        </w:rPr>
        <w:t xml:space="preserve"> </w:t>
      </w:r>
      <w:r>
        <w:t>full</w:t>
      </w:r>
      <w:r>
        <w:rPr>
          <w:spacing w:val="-14"/>
        </w:rPr>
        <w:t xml:space="preserve"> </w:t>
      </w:r>
      <w:r>
        <w:t>allocation</w:t>
      </w:r>
      <w:r>
        <w:rPr>
          <w:spacing w:val="-14"/>
        </w:rPr>
        <w:t xml:space="preserve"> </w:t>
      </w:r>
      <w:r>
        <w:t>of</w:t>
      </w:r>
      <w:r>
        <w:rPr>
          <w:spacing w:val="-14"/>
        </w:rPr>
        <w:t xml:space="preserve"> </w:t>
      </w:r>
      <w:r>
        <w:t>arrival</w:t>
      </w:r>
      <w:r>
        <w:rPr>
          <w:spacing w:val="-14"/>
        </w:rPr>
        <w:t xml:space="preserve"> </w:t>
      </w:r>
      <w:r>
        <w:t xml:space="preserve">and </w:t>
      </w:r>
      <w:r>
        <w:rPr>
          <w:w w:val="95"/>
        </w:rPr>
        <w:t>departure</w:t>
      </w:r>
      <w:r>
        <w:rPr>
          <w:spacing w:val="-4"/>
          <w:w w:val="95"/>
        </w:rPr>
        <w:t xml:space="preserve"> </w:t>
      </w:r>
      <w:r>
        <w:rPr>
          <w:w w:val="95"/>
        </w:rPr>
        <w:t>slots</w:t>
      </w:r>
      <w:r>
        <w:rPr>
          <w:spacing w:val="-4"/>
          <w:w w:val="95"/>
        </w:rPr>
        <w:t xml:space="preserve"> </w:t>
      </w:r>
      <w:r>
        <w:rPr>
          <w:w w:val="95"/>
        </w:rPr>
        <w:t>at</w:t>
      </w:r>
      <w:r>
        <w:rPr>
          <w:spacing w:val="-4"/>
          <w:w w:val="95"/>
        </w:rPr>
        <w:t xml:space="preserve"> </w:t>
      </w:r>
      <w:r>
        <w:rPr>
          <w:w w:val="95"/>
        </w:rPr>
        <w:t>Sydney</w:t>
      </w:r>
      <w:r>
        <w:rPr>
          <w:spacing w:val="-4"/>
          <w:w w:val="95"/>
        </w:rPr>
        <w:t xml:space="preserve"> </w:t>
      </w:r>
      <w:r>
        <w:rPr>
          <w:w w:val="95"/>
        </w:rPr>
        <w:t>Airport</w:t>
      </w:r>
      <w:r>
        <w:rPr>
          <w:spacing w:val="-4"/>
          <w:w w:val="95"/>
        </w:rPr>
        <w:t xml:space="preserve"> </w:t>
      </w:r>
      <w:r>
        <w:rPr>
          <w:w w:val="95"/>
        </w:rPr>
        <w:t>by</w:t>
      </w:r>
      <w:r>
        <w:rPr>
          <w:spacing w:val="-4"/>
          <w:w w:val="95"/>
        </w:rPr>
        <w:t xml:space="preserve"> </w:t>
      </w:r>
      <w:r>
        <w:rPr>
          <w:w w:val="95"/>
        </w:rPr>
        <w:t>2027,</w:t>
      </w:r>
      <w:r>
        <w:rPr>
          <w:spacing w:val="-4"/>
          <w:w w:val="95"/>
        </w:rPr>
        <w:t xml:space="preserve"> </w:t>
      </w:r>
      <w:r>
        <w:rPr>
          <w:w w:val="95"/>
        </w:rPr>
        <w:t>with</w:t>
      </w:r>
      <w:r>
        <w:rPr>
          <w:spacing w:val="-4"/>
          <w:w w:val="95"/>
        </w:rPr>
        <w:t xml:space="preserve"> </w:t>
      </w:r>
      <w:r>
        <w:rPr>
          <w:w w:val="95"/>
        </w:rPr>
        <w:t>unmet</w:t>
      </w:r>
    </w:p>
    <w:p w:rsidR="002C1123" w:rsidRDefault="002C1123">
      <w:pPr>
        <w:spacing w:line="240" w:lineRule="atLeast"/>
        <w:sectPr w:rsidR="002C1123">
          <w:type w:val="continuous"/>
          <w:pgSz w:w="16840" w:h="11910" w:orient="landscape"/>
          <w:pgMar w:top="560" w:right="280" w:bottom="280" w:left="500" w:header="0" w:footer="517" w:gutter="0"/>
          <w:cols w:num="3" w:space="720" w:equalWidth="0">
            <w:col w:w="5191" w:space="40"/>
            <w:col w:w="1931" w:space="2872"/>
            <w:col w:w="6026"/>
          </w:cols>
        </w:sectPr>
      </w:pPr>
    </w:p>
    <w:p w:rsidR="002C1123" w:rsidRDefault="00F22F94">
      <w:pPr>
        <w:tabs>
          <w:tab w:val="right" w:pos="1645"/>
        </w:tabs>
        <w:spacing w:before="496"/>
        <w:ind w:left="615"/>
        <w:rPr>
          <w:b/>
          <w:sz w:val="16"/>
        </w:rPr>
      </w:pPr>
      <w:r>
        <w:rPr>
          <w:b/>
          <w:color w:val="2E3092"/>
          <w:spacing w:val="-4"/>
          <w:sz w:val="16"/>
        </w:rPr>
        <w:t>Port</w:t>
      </w:r>
      <w:r>
        <w:rPr>
          <w:b/>
          <w:color w:val="2E3092"/>
          <w:sz w:val="16"/>
        </w:rPr>
        <w:tab/>
      </w:r>
      <w:r>
        <w:rPr>
          <w:b/>
          <w:color w:val="2E3092"/>
          <w:spacing w:val="-4"/>
          <w:sz w:val="16"/>
        </w:rPr>
        <w:t>2011</w:t>
      </w:r>
    </w:p>
    <w:p w:rsidR="002C1123" w:rsidRDefault="00F22F94">
      <w:pPr>
        <w:spacing w:line="138" w:lineRule="exact"/>
        <w:ind w:left="290"/>
        <w:rPr>
          <w:b/>
          <w:sz w:val="16"/>
        </w:rPr>
      </w:pPr>
      <w:r>
        <w:br w:type="column"/>
      </w:r>
      <w:r>
        <w:rPr>
          <w:b/>
          <w:color w:val="2E3092"/>
          <w:spacing w:val="-4"/>
          <w:sz w:val="16"/>
        </w:rPr>
        <w:t>2031</w:t>
      </w:r>
    </w:p>
    <w:p w:rsidR="002C1123" w:rsidRDefault="00F22F94">
      <w:pPr>
        <w:spacing w:line="180" w:lineRule="exact"/>
        <w:ind w:left="290"/>
        <w:rPr>
          <w:b/>
          <w:sz w:val="16"/>
        </w:rPr>
      </w:pPr>
      <w:r>
        <w:rPr>
          <w:b/>
          <w:color w:val="2E3092"/>
          <w:spacing w:val="-5"/>
          <w:w w:val="105"/>
          <w:sz w:val="16"/>
        </w:rPr>
        <w:t>28%</w:t>
      </w:r>
    </w:p>
    <w:p w:rsidR="002C1123" w:rsidRDefault="00F22F94">
      <w:pPr>
        <w:spacing w:before="1" w:line="235" w:lineRule="auto"/>
        <w:ind w:left="290" w:right="-8"/>
        <w:rPr>
          <w:b/>
          <w:sz w:val="16"/>
        </w:rPr>
      </w:pPr>
      <w:r>
        <w:rPr>
          <w:b/>
          <w:color w:val="2E3092"/>
          <w:spacing w:val="-4"/>
          <w:sz w:val="16"/>
        </w:rPr>
        <w:t>rail share</w:t>
      </w:r>
    </w:p>
    <w:p w:rsidR="002C1123" w:rsidRDefault="00F22F94">
      <w:pPr>
        <w:spacing w:line="138" w:lineRule="exact"/>
        <w:ind w:left="336"/>
        <w:rPr>
          <w:b/>
          <w:sz w:val="16"/>
        </w:rPr>
      </w:pPr>
      <w:r>
        <w:br w:type="column"/>
      </w:r>
      <w:r>
        <w:rPr>
          <w:b/>
          <w:color w:val="2E3092"/>
          <w:spacing w:val="-4"/>
          <w:sz w:val="16"/>
        </w:rPr>
        <w:t>2031</w:t>
      </w:r>
    </w:p>
    <w:p w:rsidR="002C1123" w:rsidRDefault="00F22F94">
      <w:pPr>
        <w:spacing w:line="180" w:lineRule="exact"/>
        <w:ind w:left="336"/>
        <w:rPr>
          <w:b/>
          <w:sz w:val="16"/>
        </w:rPr>
      </w:pPr>
      <w:r>
        <w:rPr>
          <w:b/>
          <w:color w:val="2E3092"/>
          <w:spacing w:val="-5"/>
          <w:w w:val="105"/>
          <w:sz w:val="16"/>
        </w:rPr>
        <w:t>40%</w:t>
      </w:r>
    </w:p>
    <w:p w:rsidR="002C1123" w:rsidRDefault="00F22F94">
      <w:pPr>
        <w:spacing w:before="1" w:line="235" w:lineRule="auto"/>
        <w:ind w:left="336" w:right="-9"/>
        <w:rPr>
          <w:b/>
          <w:sz w:val="16"/>
        </w:rPr>
      </w:pPr>
      <w:r>
        <w:rPr>
          <w:b/>
          <w:color w:val="2E3092"/>
          <w:spacing w:val="-4"/>
          <w:sz w:val="16"/>
        </w:rPr>
        <w:t>rail share</w:t>
      </w:r>
    </w:p>
    <w:p w:rsidR="002C1123" w:rsidRDefault="00F22F94">
      <w:pPr>
        <w:spacing w:line="138" w:lineRule="exact"/>
        <w:ind w:left="336"/>
        <w:rPr>
          <w:b/>
          <w:sz w:val="16"/>
        </w:rPr>
      </w:pPr>
      <w:r>
        <w:br w:type="column"/>
      </w:r>
      <w:r>
        <w:rPr>
          <w:b/>
          <w:color w:val="2E3092"/>
          <w:spacing w:val="-2"/>
          <w:sz w:val="16"/>
        </w:rPr>
        <w:t>Growth</w:t>
      </w:r>
    </w:p>
    <w:p w:rsidR="002C1123" w:rsidRDefault="00F22F94">
      <w:pPr>
        <w:spacing w:line="180" w:lineRule="exact"/>
        <w:ind w:left="336"/>
        <w:rPr>
          <w:b/>
          <w:sz w:val="16"/>
        </w:rPr>
      </w:pPr>
      <w:r>
        <w:rPr>
          <w:b/>
          <w:color w:val="2E3092"/>
          <w:spacing w:val="-2"/>
          <w:sz w:val="16"/>
        </w:rPr>
        <w:t>(TEUs)</w:t>
      </w:r>
    </w:p>
    <w:p w:rsidR="002C1123" w:rsidRDefault="00F22F94">
      <w:pPr>
        <w:spacing w:before="1" w:line="235" w:lineRule="auto"/>
        <w:ind w:left="336" w:right="-6"/>
        <w:rPr>
          <w:b/>
          <w:sz w:val="16"/>
        </w:rPr>
      </w:pPr>
      <w:r>
        <w:rPr>
          <w:b/>
          <w:color w:val="2E3092"/>
          <w:sz w:val="16"/>
        </w:rPr>
        <w:t>28%</w:t>
      </w:r>
      <w:r>
        <w:rPr>
          <w:b/>
          <w:color w:val="2E3092"/>
          <w:spacing w:val="-12"/>
          <w:sz w:val="16"/>
        </w:rPr>
        <w:t xml:space="preserve"> </w:t>
      </w:r>
      <w:r>
        <w:rPr>
          <w:b/>
          <w:color w:val="2E3092"/>
          <w:sz w:val="16"/>
        </w:rPr>
        <w:t xml:space="preserve">rail </w:t>
      </w:r>
      <w:r>
        <w:rPr>
          <w:b/>
          <w:color w:val="2E3092"/>
          <w:spacing w:val="-2"/>
          <w:sz w:val="16"/>
        </w:rPr>
        <w:t>share</w:t>
      </w:r>
    </w:p>
    <w:p w:rsidR="002C1123" w:rsidRDefault="00F22F94">
      <w:pPr>
        <w:spacing w:line="138" w:lineRule="exact"/>
        <w:ind w:left="317"/>
        <w:rPr>
          <w:b/>
          <w:sz w:val="16"/>
        </w:rPr>
      </w:pPr>
      <w:r>
        <w:br w:type="column"/>
      </w:r>
      <w:r>
        <w:rPr>
          <w:b/>
          <w:color w:val="2E3092"/>
          <w:spacing w:val="-2"/>
          <w:sz w:val="16"/>
        </w:rPr>
        <w:t>Growth</w:t>
      </w:r>
    </w:p>
    <w:p w:rsidR="002C1123" w:rsidRDefault="00F22F94">
      <w:pPr>
        <w:spacing w:line="180" w:lineRule="exact"/>
        <w:ind w:left="317"/>
        <w:rPr>
          <w:b/>
          <w:sz w:val="16"/>
        </w:rPr>
      </w:pPr>
      <w:r>
        <w:rPr>
          <w:b/>
          <w:color w:val="2E3092"/>
          <w:spacing w:val="-2"/>
          <w:sz w:val="16"/>
        </w:rPr>
        <w:t>(TEUs)</w:t>
      </w:r>
    </w:p>
    <w:p w:rsidR="002C1123" w:rsidRDefault="00F22F94">
      <w:pPr>
        <w:spacing w:before="1" w:line="235" w:lineRule="auto"/>
        <w:ind w:left="317" w:right="-6"/>
        <w:rPr>
          <w:b/>
          <w:sz w:val="16"/>
        </w:rPr>
      </w:pPr>
      <w:r>
        <w:rPr>
          <w:b/>
          <w:color w:val="2E3092"/>
          <w:sz w:val="16"/>
        </w:rPr>
        <w:t>40%</w:t>
      </w:r>
      <w:r>
        <w:rPr>
          <w:b/>
          <w:color w:val="2E3092"/>
          <w:spacing w:val="-12"/>
          <w:sz w:val="16"/>
        </w:rPr>
        <w:t xml:space="preserve"> </w:t>
      </w:r>
      <w:r>
        <w:rPr>
          <w:b/>
          <w:color w:val="2E3092"/>
          <w:sz w:val="16"/>
        </w:rPr>
        <w:t xml:space="preserve">rail </w:t>
      </w:r>
      <w:r>
        <w:rPr>
          <w:b/>
          <w:color w:val="2E3092"/>
          <w:spacing w:val="-2"/>
          <w:sz w:val="16"/>
        </w:rPr>
        <w:t>share</w:t>
      </w:r>
    </w:p>
    <w:p w:rsidR="002C1123" w:rsidRDefault="00F22F94">
      <w:pPr>
        <w:pStyle w:val="Heading6"/>
        <w:numPr>
          <w:ilvl w:val="2"/>
          <w:numId w:val="80"/>
        </w:numPr>
        <w:tabs>
          <w:tab w:val="left" w:pos="832"/>
        </w:tabs>
        <w:spacing w:before="0" w:line="219" w:lineRule="exact"/>
        <w:ind w:left="831" w:hanging="487"/>
        <w:jc w:val="left"/>
        <w:rPr>
          <w:color w:val="00AEEF"/>
        </w:rPr>
      </w:pPr>
      <w:r>
        <w:rPr>
          <w:b w:val="0"/>
        </w:rPr>
        <w:br w:type="column"/>
      </w:r>
      <w:r>
        <w:rPr>
          <w:color w:val="00AEEF"/>
          <w:spacing w:val="-2"/>
        </w:rPr>
        <w:t>Introduction</w:t>
      </w:r>
    </w:p>
    <w:p w:rsidR="002C1123" w:rsidRDefault="002060EF">
      <w:pPr>
        <w:pStyle w:val="BodyText"/>
        <w:spacing w:before="95" w:line="249" w:lineRule="auto"/>
        <w:ind w:left="345"/>
      </w:pPr>
      <w:r>
        <w:pict>
          <v:shape id="docshape1507" o:spid="_x0000_s3725" type="#_x0000_t202" style="position:absolute;left:0;text-align:left;margin-left:49.6pt;margin-top:26.5pt;width:241.95pt;height:60.4pt;z-index:251420672;mso-position-horizontal-relative:page" filled="f" stroked="f">
            <v:textbox inset="0,0,0,0">
              <w:txbxContent>
                <w:tbl>
                  <w:tblPr>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80"/>
                    <w:gridCol w:w="680"/>
                    <w:gridCol w:w="793"/>
                    <w:gridCol w:w="793"/>
                    <w:gridCol w:w="963"/>
                    <w:gridCol w:w="906"/>
                  </w:tblGrid>
                  <w:tr w:rsidR="00F22F94">
                    <w:trPr>
                      <w:trHeight w:val="376"/>
                    </w:trPr>
                    <w:tc>
                      <w:tcPr>
                        <w:tcW w:w="680" w:type="dxa"/>
                        <w:tcBorders>
                          <w:left w:val="nil"/>
                        </w:tcBorders>
                        <w:shd w:val="clear" w:color="auto" w:fill="C9C8C9"/>
                      </w:tcPr>
                      <w:p w:rsidR="00F22F94" w:rsidRDefault="00F22F94">
                        <w:pPr>
                          <w:pStyle w:val="TableParagraph"/>
                          <w:rPr>
                            <w:sz w:val="16"/>
                          </w:rPr>
                        </w:pPr>
                        <w:r>
                          <w:rPr>
                            <w:spacing w:val="-2"/>
                            <w:w w:val="105"/>
                            <w:sz w:val="16"/>
                          </w:rPr>
                          <w:t>Total</w:t>
                        </w:r>
                      </w:p>
                    </w:tc>
                    <w:tc>
                      <w:tcPr>
                        <w:tcW w:w="680" w:type="dxa"/>
                        <w:shd w:val="clear" w:color="auto" w:fill="E1E0E1"/>
                      </w:tcPr>
                      <w:p w:rsidR="00F22F94" w:rsidRDefault="00F22F94">
                        <w:pPr>
                          <w:pStyle w:val="TableParagraph"/>
                          <w:rPr>
                            <w:sz w:val="16"/>
                          </w:rPr>
                        </w:pPr>
                        <w:r>
                          <w:rPr>
                            <w:spacing w:val="-2"/>
                            <w:sz w:val="16"/>
                          </w:rPr>
                          <w:t>1,900</w:t>
                        </w:r>
                      </w:p>
                    </w:tc>
                    <w:tc>
                      <w:tcPr>
                        <w:tcW w:w="793" w:type="dxa"/>
                        <w:shd w:val="clear" w:color="auto" w:fill="E1E0E1"/>
                      </w:tcPr>
                      <w:p w:rsidR="00F22F94" w:rsidRDefault="00F22F94">
                        <w:pPr>
                          <w:pStyle w:val="TableParagraph"/>
                          <w:ind w:left="114"/>
                          <w:rPr>
                            <w:sz w:val="16"/>
                          </w:rPr>
                        </w:pPr>
                        <w:r>
                          <w:rPr>
                            <w:spacing w:val="-2"/>
                            <w:sz w:val="16"/>
                          </w:rPr>
                          <w:t>7,000</w:t>
                        </w:r>
                      </w:p>
                    </w:tc>
                    <w:tc>
                      <w:tcPr>
                        <w:tcW w:w="793" w:type="dxa"/>
                        <w:shd w:val="clear" w:color="auto" w:fill="E1E0E1"/>
                      </w:tcPr>
                      <w:p w:rsidR="00F22F94" w:rsidRDefault="00F22F94">
                        <w:pPr>
                          <w:pStyle w:val="TableParagraph"/>
                          <w:ind w:left="114"/>
                          <w:rPr>
                            <w:sz w:val="16"/>
                          </w:rPr>
                        </w:pPr>
                        <w:r>
                          <w:rPr>
                            <w:spacing w:val="-2"/>
                            <w:sz w:val="16"/>
                          </w:rPr>
                          <w:t>7,000</w:t>
                        </w:r>
                      </w:p>
                    </w:tc>
                    <w:tc>
                      <w:tcPr>
                        <w:tcW w:w="963" w:type="dxa"/>
                        <w:shd w:val="clear" w:color="auto" w:fill="E1E0E1"/>
                      </w:tcPr>
                      <w:p w:rsidR="00F22F94" w:rsidRDefault="00F22F94">
                        <w:pPr>
                          <w:pStyle w:val="TableParagraph"/>
                          <w:ind w:left="115"/>
                          <w:rPr>
                            <w:sz w:val="16"/>
                          </w:rPr>
                        </w:pPr>
                        <w:r>
                          <w:rPr>
                            <w:spacing w:val="-2"/>
                            <w:sz w:val="16"/>
                          </w:rPr>
                          <w:t>5,100</w:t>
                        </w:r>
                      </w:p>
                    </w:tc>
                    <w:tc>
                      <w:tcPr>
                        <w:tcW w:w="906" w:type="dxa"/>
                        <w:shd w:val="clear" w:color="auto" w:fill="E1E0E1"/>
                      </w:tcPr>
                      <w:p w:rsidR="00F22F94" w:rsidRDefault="00F22F94">
                        <w:pPr>
                          <w:pStyle w:val="TableParagraph"/>
                          <w:ind w:left="116"/>
                          <w:rPr>
                            <w:sz w:val="16"/>
                          </w:rPr>
                        </w:pPr>
                        <w:r>
                          <w:rPr>
                            <w:spacing w:val="-2"/>
                            <w:sz w:val="16"/>
                          </w:rPr>
                          <w:t>5,100</w:t>
                        </w:r>
                      </w:p>
                    </w:tc>
                  </w:tr>
                  <w:tr w:rsidR="00F22F94">
                    <w:trPr>
                      <w:trHeight w:val="376"/>
                    </w:trPr>
                    <w:tc>
                      <w:tcPr>
                        <w:tcW w:w="680" w:type="dxa"/>
                        <w:tcBorders>
                          <w:left w:val="nil"/>
                        </w:tcBorders>
                        <w:shd w:val="clear" w:color="auto" w:fill="C9C8C9"/>
                      </w:tcPr>
                      <w:p w:rsidR="00F22F94" w:rsidRDefault="00F22F94">
                        <w:pPr>
                          <w:pStyle w:val="TableParagraph"/>
                          <w:rPr>
                            <w:sz w:val="16"/>
                          </w:rPr>
                        </w:pPr>
                        <w:r>
                          <w:rPr>
                            <w:spacing w:val="-4"/>
                            <w:w w:val="105"/>
                            <w:sz w:val="16"/>
                          </w:rPr>
                          <w:t>Road</w:t>
                        </w:r>
                      </w:p>
                    </w:tc>
                    <w:tc>
                      <w:tcPr>
                        <w:tcW w:w="680" w:type="dxa"/>
                        <w:shd w:val="clear" w:color="auto" w:fill="E1E0E1"/>
                      </w:tcPr>
                      <w:p w:rsidR="00F22F94" w:rsidRDefault="00F22F94">
                        <w:pPr>
                          <w:pStyle w:val="TableParagraph"/>
                          <w:ind w:left="114"/>
                          <w:rPr>
                            <w:sz w:val="16"/>
                          </w:rPr>
                        </w:pPr>
                        <w:r>
                          <w:rPr>
                            <w:spacing w:val="-2"/>
                            <w:sz w:val="16"/>
                          </w:rPr>
                          <w:t>1,634</w:t>
                        </w:r>
                      </w:p>
                    </w:tc>
                    <w:tc>
                      <w:tcPr>
                        <w:tcW w:w="793" w:type="dxa"/>
                        <w:shd w:val="clear" w:color="auto" w:fill="E1E0E1"/>
                      </w:tcPr>
                      <w:p w:rsidR="00F22F94" w:rsidRDefault="00F22F94">
                        <w:pPr>
                          <w:pStyle w:val="TableParagraph"/>
                          <w:ind w:left="114"/>
                          <w:rPr>
                            <w:sz w:val="16"/>
                          </w:rPr>
                        </w:pPr>
                        <w:r>
                          <w:rPr>
                            <w:spacing w:val="-2"/>
                            <w:sz w:val="16"/>
                          </w:rPr>
                          <w:t>5,040</w:t>
                        </w:r>
                      </w:p>
                    </w:tc>
                    <w:tc>
                      <w:tcPr>
                        <w:tcW w:w="793" w:type="dxa"/>
                        <w:shd w:val="clear" w:color="auto" w:fill="E1E0E1"/>
                      </w:tcPr>
                      <w:p w:rsidR="00F22F94" w:rsidRDefault="00F22F94">
                        <w:pPr>
                          <w:pStyle w:val="TableParagraph"/>
                          <w:ind w:left="115"/>
                          <w:rPr>
                            <w:sz w:val="16"/>
                          </w:rPr>
                        </w:pPr>
                        <w:r>
                          <w:rPr>
                            <w:spacing w:val="-2"/>
                            <w:sz w:val="16"/>
                          </w:rPr>
                          <w:t>4,200</w:t>
                        </w:r>
                      </w:p>
                    </w:tc>
                    <w:tc>
                      <w:tcPr>
                        <w:tcW w:w="963" w:type="dxa"/>
                        <w:shd w:val="clear" w:color="auto" w:fill="E1E0E1"/>
                      </w:tcPr>
                      <w:p w:rsidR="00F22F94" w:rsidRDefault="00F22F94">
                        <w:pPr>
                          <w:pStyle w:val="TableParagraph"/>
                          <w:ind w:left="115"/>
                          <w:rPr>
                            <w:sz w:val="16"/>
                          </w:rPr>
                        </w:pPr>
                        <w:r>
                          <w:rPr>
                            <w:spacing w:val="-2"/>
                            <w:sz w:val="16"/>
                          </w:rPr>
                          <w:t>3,406</w:t>
                        </w:r>
                      </w:p>
                    </w:tc>
                    <w:tc>
                      <w:tcPr>
                        <w:tcW w:w="906" w:type="dxa"/>
                        <w:shd w:val="clear" w:color="auto" w:fill="E1E0E1"/>
                      </w:tcPr>
                      <w:p w:rsidR="00F22F94" w:rsidRDefault="00F22F94">
                        <w:pPr>
                          <w:pStyle w:val="TableParagraph"/>
                          <w:ind w:left="116"/>
                          <w:rPr>
                            <w:sz w:val="16"/>
                          </w:rPr>
                        </w:pPr>
                        <w:r>
                          <w:rPr>
                            <w:spacing w:val="-2"/>
                            <w:sz w:val="16"/>
                          </w:rPr>
                          <w:t>2,566</w:t>
                        </w:r>
                      </w:p>
                    </w:tc>
                  </w:tr>
                  <w:tr w:rsidR="00F22F94">
                    <w:trPr>
                      <w:trHeight w:val="376"/>
                    </w:trPr>
                    <w:tc>
                      <w:tcPr>
                        <w:tcW w:w="680" w:type="dxa"/>
                        <w:tcBorders>
                          <w:left w:val="nil"/>
                        </w:tcBorders>
                        <w:shd w:val="clear" w:color="auto" w:fill="C9C8C9"/>
                      </w:tcPr>
                      <w:p w:rsidR="00F22F94" w:rsidRDefault="00F22F94">
                        <w:pPr>
                          <w:pStyle w:val="TableParagraph"/>
                          <w:rPr>
                            <w:sz w:val="16"/>
                          </w:rPr>
                        </w:pPr>
                        <w:r>
                          <w:rPr>
                            <w:spacing w:val="-4"/>
                            <w:sz w:val="16"/>
                          </w:rPr>
                          <w:t>Rail</w:t>
                        </w:r>
                      </w:p>
                    </w:tc>
                    <w:tc>
                      <w:tcPr>
                        <w:tcW w:w="680" w:type="dxa"/>
                        <w:shd w:val="clear" w:color="auto" w:fill="E1E0E1"/>
                      </w:tcPr>
                      <w:p w:rsidR="00F22F94" w:rsidRDefault="00F22F94">
                        <w:pPr>
                          <w:pStyle w:val="TableParagraph"/>
                          <w:ind w:left="114"/>
                          <w:rPr>
                            <w:sz w:val="16"/>
                          </w:rPr>
                        </w:pPr>
                        <w:r>
                          <w:rPr>
                            <w:spacing w:val="-5"/>
                            <w:sz w:val="16"/>
                          </w:rPr>
                          <w:t>266</w:t>
                        </w:r>
                      </w:p>
                    </w:tc>
                    <w:tc>
                      <w:tcPr>
                        <w:tcW w:w="793" w:type="dxa"/>
                        <w:shd w:val="clear" w:color="auto" w:fill="E1E0E1"/>
                      </w:tcPr>
                      <w:p w:rsidR="00F22F94" w:rsidRDefault="00F22F94">
                        <w:pPr>
                          <w:pStyle w:val="TableParagraph"/>
                          <w:ind w:left="114"/>
                          <w:rPr>
                            <w:sz w:val="16"/>
                          </w:rPr>
                        </w:pPr>
                        <w:r>
                          <w:rPr>
                            <w:spacing w:val="-2"/>
                            <w:sz w:val="16"/>
                          </w:rPr>
                          <w:t>1,960</w:t>
                        </w:r>
                      </w:p>
                    </w:tc>
                    <w:tc>
                      <w:tcPr>
                        <w:tcW w:w="793" w:type="dxa"/>
                        <w:shd w:val="clear" w:color="auto" w:fill="E1E0E1"/>
                      </w:tcPr>
                      <w:p w:rsidR="00F22F94" w:rsidRDefault="00F22F94">
                        <w:pPr>
                          <w:pStyle w:val="TableParagraph"/>
                          <w:ind w:left="115"/>
                          <w:rPr>
                            <w:sz w:val="16"/>
                          </w:rPr>
                        </w:pPr>
                        <w:r>
                          <w:rPr>
                            <w:spacing w:val="-2"/>
                            <w:sz w:val="16"/>
                          </w:rPr>
                          <w:t>2,800</w:t>
                        </w:r>
                      </w:p>
                    </w:tc>
                    <w:tc>
                      <w:tcPr>
                        <w:tcW w:w="963" w:type="dxa"/>
                        <w:shd w:val="clear" w:color="auto" w:fill="E1E0E1"/>
                      </w:tcPr>
                      <w:p w:rsidR="00F22F94" w:rsidRDefault="00F22F94">
                        <w:pPr>
                          <w:pStyle w:val="TableParagraph"/>
                          <w:ind w:left="116"/>
                          <w:rPr>
                            <w:sz w:val="16"/>
                          </w:rPr>
                        </w:pPr>
                        <w:r>
                          <w:rPr>
                            <w:spacing w:val="-2"/>
                            <w:sz w:val="16"/>
                          </w:rPr>
                          <w:t>1,694</w:t>
                        </w:r>
                      </w:p>
                    </w:tc>
                    <w:tc>
                      <w:tcPr>
                        <w:tcW w:w="906" w:type="dxa"/>
                        <w:shd w:val="clear" w:color="auto" w:fill="E1E0E1"/>
                      </w:tcPr>
                      <w:p w:rsidR="00F22F94" w:rsidRDefault="00F22F94">
                        <w:pPr>
                          <w:pStyle w:val="TableParagraph"/>
                          <w:ind w:left="116"/>
                          <w:rPr>
                            <w:sz w:val="16"/>
                          </w:rPr>
                        </w:pPr>
                        <w:r>
                          <w:rPr>
                            <w:spacing w:val="-2"/>
                            <w:sz w:val="16"/>
                          </w:rPr>
                          <w:t>2,534</w:t>
                        </w:r>
                      </w:p>
                    </w:tc>
                  </w:tr>
                </w:tbl>
                <w:p w:rsidR="00F22F94" w:rsidRDefault="00F22F94">
                  <w:pPr>
                    <w:pStyle w:val="BodyText"/>
                  </w:pPr>
                </w:p>
              </w:txbxContent>
            </v:textbox>
            <w10:wrap anchorx="page"/>
          </v:shape>
        </w:pict>
      </w:r>
      <w:r w:rsidR="00F22F94">
        <w:t>Aviation</w:t>
      </w:r>
      <w:r w:rsidR="00F22F94">
        <w:rPr>
          <w:spacing w:val="-14"/>
        </w:rPr>
        <w:t xml:space="preserve"> </w:t>
      </w:r>
      <w:r w:rsidR="00F22F94">
        <w:t>is</w:t>
      </w:r>
      <w:r w:rsidR="00F22F94">
        <w:rPr>
          <w:spacing w:val="-14"/>
        </w:rPr>
        <w:t xml:space="preserve"> </w:t>
      </w:r>
      <w:r w:rsidR="00F22F94">
        <w:t>a</w:t>
      </w:r>
      <w:r w:rsidR="00F22F94">
        <w:rPr>
          <w:spacing w:val="-14"/>
        </w:rPr>
        <w:t xml:space="preserve"> </w:t>
      </w:r>
      <w:r w:rsidR="00F22F94">
        <w:t>significant</w:t>
      </w:r>
      <w:r w:rsidR="00F22F94">
        <w:rPr>
          <w:spacing w:val="-14"/>
        </w:rPr>
        <w:t xml:space="preserve"> </w:t>
      </w:r>
      <w:r w:rsidR="00F22F94">
        <w:t>economic</w:t>
      </w:r>
      <w:r w:rsidR="00F22F94">
        <w:rPr>
          <w:spacing w:val="-14"/>
        </w:rPr>
        <w:t xml:space="preserve"> </w:t>
      </w:r>
      <w:r w:rsidR="00F22F94">
        <w:t>driver</w:t>
      </w:r>
      <w:r w:rsidR="00F22F94">
        <w:rPr>
          <w:spacing w:val="-14"/>
        </w:rPr>
        <w:t xml:space="preserve"> </w:t>
      </w:r>
      <w:r w:rsidR="00F22F94">
        <w:t>in</w:t>
      </w:r>
      <w:r w:rsidR="00F22F94">
        <w:rPr>
          <w:spacing w:val="-14"/>
        </w:rPr>
        <w:t xml:space="preserve"> </w:t>
      </w:r>
      <w:r w:rsidR="00F22F94">
        <w:t>any</w:t>
      </w:r>
      <w:r w:rsidR="00F22F94">
        <w:rPr>
          <w:spacing w:val="-14"/>
        </w:rPr>
        <w:t xml:space="preserve"> </w:t>
      </w:r>
      <w:r w:rsidR="00F22F94">
        <w:t xml:space="preserve">global </w:t>
      </w:r>
      <w:r w:rsidR="00F22F94">
        <w:rPr>
          <w:w w:val="95"/>
        </w:rPr>
        <w:t xml:space="preserve">city. Airports and the associated inbound traffic support local employment and economic growth. Sydney Airport </w:t>
      </w:r>
      <w:r w:rsidR="00F22F94">
        <w:t>is</w:t>
      </w:r>
      <w:r w:rsidR="00F22F94">
        <w:rPr>
          <w:spacing w:val="-8"/>
        </w:rPr>
        <w:t xml:space="preserve"> </w:t>
      </w:r>
      <w:r w:rsidR="00F22F94">
        <w:t>an</w:t>
      </w:r>
      <w:r w:rsidR="00F22F94">
        <w:rPr>
          <w:spacing w:val="-8"/>
        </w:rPr>
        <w:t xml:space="preserve"> </w:t>
      </w:r>
      <w:r w:rsidR="00F22F94">
        <w:t>important</w:t>
      </w:r>
      <w:r w:rsidR="00F22F94">
        <w:rPr>
          <w:spacing w:val="-8"/>
        </w:rPr>
        <w:t xml:space="preserve"> </w:t>
      </w:r>
      <w:r w:rsidR="00F22F94">
        <w:t>contributor</w:t>
      </w:r>
      <w:r w:rsidR="00F22F94">
        <w:rPr>
          <w:spacing w:val="-8"/>
        </w:rPr>
        <w:t xml:space="preserve"> </w:t>
      </w:r>
      <w:r w:rsidR="00F22F94">
        <w:t>to</w:t>
      </w:r>
      <w:r w:rsidR="00F22F94">
        <w:rPr>
          <w:spacing w:val="-8"/>
        </w:rPr>
        <w:t xml:space="preserve"> </w:t>
      </w:r>
      <w:r w:rsidR="00F22F94">
        <w:t>the</w:t>
      </w:r>
      <w:r w:rsidR="00F22F94">
        <w:rPr>
          <w:spacing w:val="-8"/>
        </w:rPr>
        <w:t xml:space="preserve"> </w:t>
      </w:r>
      <w:r w:rsidR="00F22F94">
        <w:t>State’s</w:t>
      </w:r>
      <w:r w:rsidR="00F22F94">
        <w:rPr>
          <w:spacing w:val="-8"/>
        </w:rPr>
        <w:t xml:space="preserve"> </w:t>
      </w:r>
      <w:r w:rsidR="00F22F94">
        <w:t>economy, contributing</w:t>
      </w:r>
      <w:r w:rsidR="00F22F94">
        <w:rPr>
          <w:spacing w:val="-14"/>
        </w:rPr>
        <w:t xml:space="preserve"> </w:t>
      </w:r>
      <w:r w:rsidR="00F22F94">
        <w:t>around</w:t>
      </w:r>
      <w:r w:rsidR="00F22F94">
        <w:rPr>
          <w:spacing w:val="-14"/>
        </w:rPr>
        <w:t xml:space="preserve"> </w:t>
      </w:r>
      <w:r w:rsidR="00F22F94">
        <w:t>$7.4</w:t>
      </w:r>
      <w:r w:rsidR="00F22F94">
        <w:rPr>
          <w:spacing w:val="-14"/>
        </w:rPr>
        <w:t xml:space="preserve"> </w:t>
      </w:r>
      <w:r w:rsidR="00F22F94">
        <w:t>billion</w:t>
      </w:r>
      <w:r w:rsidR="00F22F94">
        <w:rPr>
          <w:position w:val="7"/>
          <w:sz w:val="11"/>
        </w:rPr>
        <w:t>17</w:t>
      </w:r>
      <w:r w:rsidR="00F22F94">
        <w:rPr>
          <w:spacing w:val="10"/>
          <w:position w:val="7"/>
          <w:sz w:val="11"/>
        </w:rPr>
        <w:t xml:space="preserve"> </w:t>
      </w:r>
      <w:r w:rsidR="00F22F94">
        <w:t>per</w:t>
      </w:r>
      <w:r w:rsidR="00F22F94">
        <w:rPr>
          <w:spacing w:val="-14"/>
        </w:rPr>
        <w:t xml:space="preserve"> </w:t>
      </w:r>
      <w:r w:rsidR="00F22F94">
        <w:t>annum</w:t>
      </w:r>
      <w:r w:rsidR="00F22F94">
        <w:rPr>
          <w:spacing w:val="-14"/>
        </w:rPr>
        <w:t xml:space="preserve"> </w:t>
      </w:r>
      <w:r w:rsidR="00F22F94">
        <w:t>directly</w:t>
      </w:r>
      <w:r w:rsidR="00F22F94">
        <w:rPr>
          <w:spacing w:val="-14"/>
        </w:rPr>
        <w:t xml:space="preserve"> </w:t>
      </w:r>
      <w:r w:rsidR="00F22F94">
        <w:t>to NSW household incomes.</w:t>
      </w:r>
    </w:p>
    <w:p w:rsidR="002C1123" w:rsidRDefault="00F22F94">
      <w:pPr>
        <w:pStyle w:val="BodyText"/>
        <w:spacing w:before="146" w:line="92" w:lineRule="exact"/>
        <w:ind w:left="345"/>
      </w:pPr>
      <w:r>
        <w:rPr>
          <w:w w:val="90"/>
        </w:rPr>
        <w:t>Airports</w:t>
      </w:r>
      <w:r>
        <w:rPr>
          <w:spacing w:val="8"/>
        </w:rPr>
        <w:t xml:space="preserve"> </w:t>
      </w:r>
      <w:r>
        <w:rPr>
          <w:w w:val="90"/>
        </w:rPr>
        <w:t>are</w:t>
      </w:r>
      <w:r>
        <w:rPr>
          <w:spacing w:val="9"/>
        </w:rPr>
        <w:t xml:space="preserve"> </w:t>
      </w:r>
      <w:r>
        <w:rPr>
          <w:w w:val="90"/>
        </w:rPr>
        <w:t>also</w:t>
      </w:r>
      <w:r>
        <w:rPr>
          <w:spacing w:val="8"/>
        </w:rPr>
        <w:t xml:space="preserve"> </w:t>
      </w:r>
      <w:r>
        <w:rPr>
          <w:w w:val="90"/>
        </w:rPr>
        <w:t>major</w:t>
      </w:r>
      <w:r>
        <w:rPr>
          <w:spacing w:val="9"/>
        </w:rPr>
        <w:t xml:space="preserve"> </w:t>
      </w:r>
      <w:r>
        <w:rPr>
          <w:w w:val="90"/>
        </w:rPr>
        <w:t>travel</w:t>
      </w:r>
      <w:r>
        <w:rPr>
          <w:spacing w:val="9"/>
        </w:rPr>
        <w:t xml:space="preserve"> </w:t>
      </w:r>
      <w:r>
        <w:rPr>
          <w:w w:val="90"/>
        </w:rPr>
        <w:t>generators.</w:t>
      </w:r>
      <w:r>
        <w:rPr>
          <w:spacing w:val="8"/>
        </w:rPr>
        <w:t xml:space="preserve"> </w:t>
      </w:r>
      <w:r>
        <w:rPr>
          <w:w w:val="90"/>
        </w:rPr>
        <w:t>Car</w:t>
      </w:r>
      <w:r>
        <w:rPr>
          <w:spacing w:val="6"/>
        </w:rPr>
        <w:t xml:space="preserve"> </w:t>
      </w:r>
      <w:r>
        <w:rPr>
          <w:w w:val="90"/>
        </w:rPr>
        <w:t>travel</w:t>
      </w:r>
      <w:r>
        <w:rPr>
          <w:spacing w:val="6"/>
        </w:rPr>
        <w:t xml:space="preserve"> </w:t>
      </w:r>
      <w:r>
        <w:rPr>
          <w:spacing w:val="-5"/>
          <w:w w:val="90"/>
        </w:rPr>
        <w:t>to</w:t>
      </w:r>
    </w:p>
    <w:p w:rsidR="002C1123" w:rsidRDefault="00F22F94">
      <w:pPr>
        <w:pStyle w:val="BodyText"/>
        <w:spacing w:before="30"/>
        <w:ind w:left="217"/>
      </w:pPr>
      <w:r>
        <w:br w:type="column"/>
      </w:r>
      <w:r>
        <w:rPr>
          <w:w w:val="95"/>
        </w:rPr>
        <w:t>demand</w:t>
      </w:r>
      <w:r>
        <w:rPr>
          <w:spacing w:val="-4"/>
          <w:w w:val="95"/>
        </w:rPr>
        <w:t xml:space="preserve"> </w:t>
      </w:r>
      <w:r>
        <w:rPr>
          <w:w w:val="95"/>
        </w:rPr>
        <w:t>for</w:t>
      </w:r>
      <w:r>
        <w:rPr>
          <w:spacing w:val="-4"/>
          <w:w w:val="95"/>
        </w:rPr>
        <w:t xml:space="preserve"> </w:t>
      </w:r>
      <w:r>
        <w:rPr>
          <w:w w:val="95"/>
        </w:rPr>
        <w:t>more</w:t>
      </w:r>
      <w:r>
        <w:rPr>
          <w:spacing w:val="-4"/>
          <w:w w:val="95"/>
        </w:rPr>
        <w:t xml:space="preserve"> </w:t>
      </w:r>
      <w:r>
        <w:rPr>
          <w:w w:val="95"/>
        </w:rPr>
        <w:t>than</w:t>
      </w:r>
      <w:r>
        <w:rPr>
          <w:spacing w:val="-3"/>
          <w:w w:val="95"/>
        </w:rPr>
        <w:t xml:space="preserve"> </w:t>
      </w:r>
      <w:r>
        <w:rPr>
          <w:w w:val="95"/>
        </w:rPr>
        <w:t>100</w:t>
      </w:r>
      <w:r>
        <w:rPr>
          <w:spacing w:val="-4"/>
          <w:w w:val="95"/>
        </w:rPr>
        <w:t xml:space="preserve"> </w:t>
      </w:r>
      <w:r>
        <w:rPr>
          <w:w w:val="95"/>
        </w:rPr>
        <w:t>flights</w:t>
      </w:r>
      <w:r>
        <w:rPr>
          <w:spacing w:val="-4"/>
          <w:w w:val="95"/>
        </w:rPr>
        <w:t xml:space="preserve"> </w:t>
      </w:r>
      <w:r>
        <w:rPr>
          <w:w w:val="95"/>
        </w:rPr>
        <w:t>per</w:t>
      </w:r>
      <w:r>
        <w:rPr>
          <w:spacing w:val="-4"/>
          <w:w w:val="95"/>
        </w:rPr>
        <w:t xml:space="preserve"> day.</w:t>
      </w:r>
    </w:p>
    <w:p w:rsidR="002C1123" w:rsidRDefault="00F22F94">
      <w:pPr>
        <w:pStyle w:val="BodyText"/>
        <w:spacing w:before="152" w:line="249" w:lineRule="auto"/>
        <w:ind w:left="217" w:right="676"/>
      </w:pPr>
      <w:r>
        <w:rPr>
          <w:w w:val="95"/>
        </w:rPr>
        <w:t>Conversely,</w:t>
      </w:r>
      <w:r>
        <w:rPr>
          <w:spacing w:val="-11"/>
          <w:w w:val="95"/>
        </w:rPr>
        <w:t xml:space="preserve"> </w:t>
      </w:r>
      <w:r>
        <w:rPr>
          <w:w w:val="95"/>
        </w:rPr>
        <w:t>SACL,</w:t>
      </w:r>
      <w:r>
        <w:rPr>
          <w:spacing w:val="-11"/>
          <w:w w:val="95"/>
        </w:rPr>
        <w:t xml:space="preserve"> </w:t>
      </w:r>
      <w:r>
        <w:rPr>
          <w:w w:val="95"/>
        </w:rPr>
        <w:t>the</w:t>
      </w:r>
      <w:r>
        <w:rPr>
          <w:spacing w:val="-11"/>
          <w:w w:val="95"/>
        </w:rPr>
        <w:t xml:space="preserve"> </w:t>
      </w:r>
      <w:r>
        <w:rPr>
          <w:w w:val="95"/>
        </w:rPr>
        <w:t>owner</w:t>
      </w:r>
      <w:r>
        <w:rPr>
          <w:spacing w:val="-11"/>
          <w:w w:val="95"/>
        </w:rPr>
        <w:t xml:space="preserve"> </w:t>
      </w:r>
      <w:r>
        <w:rPr>
          <w:w w:val="95"/>
        </w:rPr>
        <w:t>of</w:t>
      </w:r>
      <w:r>
        <w:rPr>
          <w:spacing w:val="-11"/>
          <w:w w:val="95"/>
        </w:rPr>
        <w:t xml:space="preserve"> </w:t>
      </w:r>
      <w:r>
        <w:rPr>
          <w:w w:val="95"/>
        </w:rPr>
        <w:t>Sydney</w:t>
      </w:r>
      <w:r>
        <w:rPr>
          <w:spacing w:val="-11"/>
          <w:w w:val="95"/>
        </w:rPr>
        <w:t xml:space="preserve"> </w:t>
      </w:r>
      <w:r>
        <w:rPr>
          <w:w w:val="95"/>
        </w:rPr>
        <w:t>Airport,</w:t>
      </w:r>
      <w:r>
        <w:rPr>
          <w:spacing w:val="-11"/>
          <w:w w:val="95"/>
        </w:rPr>
        <w:t xml:space="preserve"> </w:t>
      </w:r>
      <w:r>
        <w:rPr>
          <w:w w:val="95"/>
        </w:rPr>
        <w:t xml:space="preserve">believes </w:t>
      </w:r>
      <w:r>
        <w:t>that</w:t>
      </w:r>
      <w:r>
        <w:rPr>
          <w:spacing w:val="-10"/>
        </w:rPr>
        <w:t xml:space="preserve"> </w:t>
      </w:r>
      <w:r>
        <w:t>Sydney</w:t>
      </w:r>
      <w:r>
        <w:rPr>
          <w:spacing w:val="-10"/>
        </w:rPr>
        <w:t xml:space="preserve"> </w:t>
      </w:r>
      <w:r>
        <w:t>Airport</w:t>
      </w:r>
      <w:r>
        <w:rPr>
          <w:spacing w:val="-10"/>
        </w:rPr>
        <w:t xml:space="preserve"> </w:t>
      </w:r>
      <w:r>
        <w:t>has</w:t>
      </w:r>
      <w:r>
        <w:rPr>
          <w:spacing w:val="-10"/>
        </w:rPr>
        <w:t xml:space="preserve"> </w:t>
      </w:r>
      <w:r>
        <w:t>growth</w:t>
      </w:r>
      <w:r>
        <w:rPr>
          <w:spacing w:val="-10"/>
        </w:rPr>
        <w:t xml:space="preserve"> </w:t>
      </w:r>
      <w:r>
        <w:t>capacity</w:t>
      </w:r>
      <w:r>
        <w:rPr>
          <w:spacing w:val="-10"/>
        </w:rPr>
        <w:t xml:space="preserve"> </w:t>
      </w:r>
      <w:r>
        <w:t>for</w:t>
      </w:r>
      <w:r>
        <w:rPr>
          <w:spacing w:val="-10"/>
        </w:rPr>
        <w:t xml:space="preserve"> </w:t>
      </w:r>
      <w:r>
        <w:t>at</w:t>
      </w:r>
      <w:r>
        <w:rPr>
          <w:spacing w:val="-10"/>
        </w:rPr>
        <w:t xml:space="preserve"> </w:t>
      </w:r>
      <w:r>
        <w:t>lEast</w:t>
      </w:r>
      <w:r>
        <w:rPr>
          <w:spacing w:val="-10"/>
        </w:rPr>
        <w:t xml:space="preserve"> </w:t>
      </w:r>
      <w:r>
        <w:t>20 years,</w:t>
      </w:r>
      <w:r>
        <w:rPr>
          <w:spacing w:val="-11"/>
        </w:rPr>
        <w:t xml:space="preserve"> </w:t>
      </w:r>
      <w:r>
        <w:t>based</w:t>
      </w:r>
      <w:r>
        <w:rPr>
          <w:spacing w:val="-11"/>
        </w:rPr>
        <w:t xml:space="preserve"> </w:t>
      </w:r>
      <w:r>
        <w:t>on</w:t>
      </w:r>
      <w:r>
        <w:rPr>
          <w:spacing w:val="-11"/>
        </w:rPr>
        <w:t xml:space="preserve"> </w:t>
      </w:r>
      <w:r>
        <w:t>a</w:t>
      </w:r>
      <w:r>
        <w:rPr>
          <w:spacing w:val="-11"/>
        </w:rPr>
        <w:t xml:space="preserve"> </w:t>
      </w:r>
      <w:r>
        <w:t>program</w:t>
      </w:r>
      <w:r>
        <w:rPr>
          <w:spacing w:val="-11"/>
        </w:rPr>
        <w:t xml:space="preserve"> </w:t>
      </w:r>
      <w:r>
        <w:t>of</w:t>
      </w:r>
      <w:r>
        <w:rPr>
          <w:spacing w:val="-11"/>
        </w:rPr>
        <w:t xml:space="preserve"> </w:t>
      </w:r>
      <w:r>
        <w:t>incremental</w:t>
      </w:r>
      <w:r>
        <w:rPr>
          <w:spacing w:val="-11"/>
        </w:rPr>
        <w:t xml:space="preserve"> </w:t>
      </w:r>
      <w:r>
        <w:t>changes</w:t>
      </w:r>
      <w:r>
        <w:rPr>
          <w:spacing w:val="-11"/>
        </w:rPr>
        <w:t xml:space="preserve"> </w:t>
      </w:r>
      <w:r>
        <w:t>to infrastructure,</w:t>
      </w:r>
      <w:r>
        <w:rPr>
          <w:spacing w:val="-10"/>
        </w:rPr>
        <w:t xml:space="preserve"> </w:t>
      </w:r>
      <w:r>
        <w:t>aircraft</w:t>
      </w:r>
      <w:r>
        <w:rPr>
          <w:spacing w:val="-10"/>
        </w:rPr>
        <w:t xml:space="preserve"> </w:t>
      </w:r>
      <w:r>
        <w:t>mix</w:t>
      </w:r>
      <w:r>
        <w:rPr>
          <w:spacing w:val="-10"/>
        </w:rPr>
        <w:t xml:space="preserve"> </w:t>
      </w:r>
      <w:r>
        <w:t>and</w:t>
      </w:r>
      <w:r>
        <w:rPr>
          <w:spacing w:val="-10"/>
        </w:rPr>
        <w:t xml:space="preserve"> </w:t>
      </w:r>
      <w:r>
        <w:t>operating</w:t>
      </w:r>
      <w:r>
        <w:rPr>
          <w:spacing w:val="-10"/>
        </w:rPr>
        <w:t xml:space="preserve"> </w:t>
      </w:r>
      <w:r>
        <w:t>practices.</w:t>
      </w:r>
    </w:p>
    <w:p w:rsidR="002C1123" w:rsidRDefault="00F22F94">
      <w:pPr>
        <w:pStyle w:val="BodyText"/>
        <w:spacing w:before="141" w:line="249" w:lineRule="auto"/>
        <w:ind w:left="217" w:right="674"/>
      </w:pPr>
      <w:r>
        <w:rPr>
          <w:w w:val="95"/>
        </w:rPr>
        <w:t>Like</w:t>
      </w:r>
      <w:r>
        <w:rPr>
          <w:spacing w:val="-4"/>
          <w:w w:val="95"/>
        </w:rPr>
        <w:t xml:space="preserve"> </w:t>
      </w:r>
      <w:r>
        <w:rPr>
          <w:w w:val="95"/>
        </w:rPr>
        <w:t>any</w:t>
      </w:r>
      <w:r>
        <w:rPr>
          <w:spacing w:val="-4"/>
          <w:w w:val="95"/>
        </w:rPr>
        <w:t xml:space="preserve"> </w:t>
      </w:r>
      <w:r>
        <w:rPr>
          <w:w w:val="95"/>
        </w:rPr>
        <w:t>complex</w:t>
      </w:r>
      <w:r>
        <w:rPr>
          <w:spacing w:val="-4"/>
          <w:w w:val="95"/>
        </w:rPr>
        <w:t xml:space="preserve"> </w:t>
      </w:r>
      <w:r>
        <w:rPr>
          <w:w w:val="95"/>
        </w:rPr>
        <w:t>infrastructure</w:t>
      </w:r>
      <w:r>
        <w:rPr>
          <w:spacing w:val="-4"/>
          <w:w w:val="95"/>
        </w:rPr>
        <w:t xml:space="preserve"> </w:t>
      </w:r>
      <w:r>
        <w:rPr>
          <w:w w:val="95"/>
        </w:rPr>
        <w:t>asset,</w:t>
      </w:r>
      <w:r>
        <w:rPr>
          <w:spacing w:val="-4"/>
          <w:w w:val="95"/>
        </w:rPr>
        <w:t xml:space="preserve"> </w:t>
      </w:r>
      <w:r>
        <w:rPr>
          <w:w w:val="95"/>
        </w:rPr>
        <w:t>the</w:t>
      </w:r>
      <w:r>
        <w:rPr>
          <w:spacing w:val="-4"/>
          <w:w w:val="95"/>
        </w:rPr>
        <w:t xml:space="preserve"> </w:t>
      </w:r>
      <w:r>
        <w:rPr>
          <w:w w:val="95"/>
        </w:rPr>
        <w:t>capacity</w:t>
      </w:r>
      <w:r>
        <w:rPr>
          <w:spacing w:val="-4"/>
          <w:w w:val="95"/>
        </w:rPr>
        <w:t xml:space="preserve"> </w:t>
      </w:r>
      <w:r>
        <w:rPr>
          <w:w w:val="95"/>
        </w:rPr>
        <w:t xml:space="preserve">of </w:t>
      </w:r>
      <w:r>
        <w:t>Sydney</w:t>
      </w:r>
      <w:r>
        <w:rPr>
          <w:spacing w:val="-14"/>
        </w:rPr>
        <w:t xml:space="preserve"> </w:t>
      </w:r>
      <w:r>
        <w:t>Airport</w:t>
      </w:r>
      <w:r>
        <w:rPr>
          <w:spacing w:val="-14"/>
        </w:rPr>
        <w:t xml:space="preserve"> </w:t>
      </w:r>
      <w:r>
        <w:t>is</w:t>
      </w:r>
      <w:r>
        <w:rPr>
          <w:spacing w:val="-13"/>
        </w:rPr>
        <w:t xml:space="preserve"> </w:t>
      </w:r>
      <w:r>
        <w:t>a</w:t>
      </w:r>
      <w:r>
        <w:rPr>
          <w:spacing w:val="-14"/>
        </w:rPr>
        <w:t xml:space="preserve"> </w:t>
      </w:r>
      <w:r>
        <w:t>function</w:t>
      </w:r>
      <w:r>
        <w:rPr>
          <w:spacing w:val="-14"/>
        </w:rPr>
        <w:t xml:space="preserve"> </w:t>
      </w:r>
      <w:r>
        <w:t>of</w:t>
      </w:r>
      <w:r>
        <w:rPr>
          <w:spacing w:val="-13"/>
        </w:rPr>
        <w:t xml:space="preserve"> </w:t>
      </w:r>
      <w:r>
        <w:t>a</w:t>
      </w:r>
      <w:r>
        <w:rPr>
          <w:spacing w:val="-14"/>
        </w:rPr>
        <w:t xml:space="preserve"> </w:t>
      </w:r>
      <w:r>
        <w:t>number</w:t>
      </w:r>
      <w:r>
        <w:rPr>
          <w:spacing w:val="-14"/>
        </w:rPr>
        <w:t xml:space="preserve"> </w:t>
      </w:r>
      <w:r>
        <w:t>of</w:t>
      </w:r>
      <w:r>
        <w:rPr>
          <w:spacing w:val="-13"/>
        </w:rPr>
        <w:t xml:space="preserve"> </w:t>
      </w:r>
      <w:r>
        <w:t>different</w:t>
      </w:r>
    </w:p>
    <w:p w:rsidR="002C1123" w:rsidRDefault="002C1123">
      <w:pPr>
        <w:spacing w:line="249" w:lineRule="auto"/>
        <w:sectPr w:rsidR="002C1123">
          <w:type w:val="continuous"/>
          <w:pgSz w:w="16840" w:h="11910" w:orient="landscape"/>
          <w:pgMar w:top="560" w:right="280" w:bottom="280" w:left="500" w:header="0" w:footer="517" w:gutter="0"/>
          <w:cols w:num="7" w:space="720" w:equalWidth="0">
            <w:col w:w="1646" w:space="40"/>
            <w:col w:w="709" w:space="39"/>
            <w:col w:w="754" w:space="39"/>
            <w:col w:w="943" w:space="40"/>
            <w:col w:w="924" w:space="39"/>
            <w:col w:w="5115" w:space="40"/>
            <w:col w:w="5732"/>
          </w:cols>
        </w:sectPr>
      </w:pPr>
    </w:p>
    <w:p w:rsidR="002C1123" w:rsidRDefault="00F22F94">
      <w:pPr>
        <w:spacing w:before="15"/>
        <w:ind w:left="502"/>
        <w:rPr>
          <w:sz w:val="14"/>
        </w:rPr>
      </w:pPr>
      <w:r>
        <w:rPr>
          <w:w w:val="95"/>
          <w:sz w:val="14"/>
        </w:rPr>
        <w:t>Source:</w:t>
      </w:r>
      <w:r>
        <w:rPr>
          <w:spacing w:val="16"/>
          <w:sz w:val="14"/>
        </w:rPr>
        <w:t xml:space="preserve"> </w:t>
      </w:r>
      <w:r>
        <w:rPr>
          <w:w w:val="95"/>
          <w:sz w:val="14"/>
        </w:rPr>
        <w:t>Sydney</w:t>
      </w:r>
      <w:r>
        <w:rPr>
          <w:spacing w:val="17"/>
          <w:sz w:val="14"/>
        </w:rPr>
        <w:t xml:space="preserve"> </w:t>
      </w:r>
      <w:r>
        <w:rPr>
          <w:w w:val="95"/>
          <w:sz w:val="14"/>
        </w:rPr>
        <w:t>Ports</w:t>
      </w:r>
      <w:r>
        <w:rPr>
          <w:spacing w:val="16"/>
          <w:sz w:val="14"/>
        </w:rPr>
        <w:t xml:space="preserve"> </w:t>
      </w:r>
      <w:r>
        <w:rPr>
          <w:w w:val="95"/>
          <w:sz w:val="14"/>
        </w:rPr>
        <w:t>Corporation;</w:t>
      </w:r>
      <w:r>
        <w:rPr>
          <w:spacing w:val="17"/>
          <w:sz w:val="14"/>
        </w:rPr>
        <w:t xml:space="preserve"> </w:t>
      </w:r>
      <w:r>
        <w:rPr>
          <w:w w:val="95"/>
          <w:sz w:val="14"/>
        </w:rPr>
        <w:t>Infrastructure</w:t>
      </w:r>
      <w:r>
        <w:rPr>
          <w:spacing w:val="14"/>
          <w:sz w:val="14"/>
        </w:rPr>
        <w:t xml:space="preserve"> </w:t>
      </w:r>
      <w:r>
        <w:rPr>
          <w:w w:val="95"/>
          <w:sz w:val="14"/>
        </w:rPr>
        <w:t>NSW</w:t>
      </w:r>
      <w:r>
        <w:rPr>
          <w:spacing w:val="16"/>
          <w:sz w:val="14"/>
        </w:rPr>
        <w:t xml:space="preserve"> </w:t>
      </w:r>
      <w:r>
        <w:rPr>
          <w:spacing w:val="-2"/>
          <w:w w:val="95"/>
          <w:sz w:val="14"/>
        </w:rPr>
        <w:t>analysis.</w:t>
      </w:r>
    </w:p>
    <w:p w:rsidR="002C1123" w:rsidRDefault="002C1123">
      <w:pPr>
        <w:pStyle w:val="BodyText"/>
        <w:rPr>
          <w:sz w:val="16"/>
        </w:rPr>
      </w:pPr>
    </w:p>
    <w:p w:rsidR="002C1123" w:rsidRDefault="002C1123">
      <w:pPr>
        <w:pStyle w:val="BodyText"/>
        <w:spacing w:before="5"/>
        <w:rPr>
          <w:sz w:val="13"/>
        </w:rPr>
      </w:pPr>
    </w:p>
    <w:p w:rsidR="002C1123" w:rsidRDefault="00F22F94">
      <w:pPr>
        <w:pStyle w:val="BodyText"/>
        <w:spacing w:line="249" w:lineRule="auto"/>
        <w:ind w:left="492" w:right="96"/>
      </w:pPr>
      <w:r>
        <w:t>The</w:t>
      </w:r>
      <w:r>
        <w:rPr>
          <w:spacing w:val="-7"/>
        </w:rPr>
        <w:t xml:space="preserve"> </w:t>
      </w:r>
      <w:r>
        <w:t>complexities</w:t>
      </w:r>
      <w:r>
        <w:rPr>
          <w:spacing w:val="-7"/>
        </w:rPr>
        <w:t xml:space="preserve"> </w:t>
      </w:r>
      <w:r>
        <w:t>and</w:t>
      </w:r>
      <w:r>
        <w:rPr>
          <w:spacing w:val="-7"/>
        </w:rPr>
        <w:t xml:space="preserve"> </w:t>
      </w:r>
      <w:r>
        <w:t>constraints</w:t>
      </w:r>
      <w:r>
        <w:rPr>
          <w:spacing w:val="-7"/>
        </w:rPr>
        <w:t xml:space="preserve"> </w:t>
      </w:r>
      <w:r>
        <w:t>presented</w:t>
      </w:r>
      <w:r>
        <w:rPr>
          <w:spacing w:val="-7"/>
        </w:rPr>
        <w:t xml:space="preserve"> </w:t>
      </w:r>
      <w:r>
        <w:t xml:space="preserve">by </w:t>
      </w:r>
      <w:r>
        <w:rPr>
          <w:w w:val="95"/>
        </w:rPr>
        <w:t>Port</w:t>
      </w:r>
      <w:r>
        <w:rPr>
          <w:spacing w:val="-2"/>
          <w:w w:val="95"/>
        </w:rPr>
        <w:t xml:space="preserve"> </w:t>
      </w:r>
      <w:r>
        <w:rPr>
          <w:w w:val="95"/>
        </w:rPr>
        <w:t>Botany’s</w:t>
      </w:r>
      <w:r>
        <w:rPr>
          <w:spacing w:val="-2"/>
          <w:w w:val="95"/>
        </w:rPr>
        <w:t xml:space="preserve"> </w:t>
      </w:r>
      <w:r>
        <w:rPr>
          <w:w w:val="95"/>
        </w:rPr>
        <w:t>location,</w:t>
      </w:r>
      <w:r>
        <w:rPr>
          <w:spacing w:val="-2"/>
          <w:w w:val="95"/>
        </w:rPr>
        <w:t xml:space="preserve"> </w:t>
      </w:r>
      <w:r>
        <w:rPr>
          <w:w w:val="95"/>
        </w:rPr>
        <w:t>along</w:t>
      </w:r>
      <w:r>
        <w:rPr>
          <w:spacing w:val="-2"/>
          <w:w w:val="95"/>
        </w:rPr>
        <w:t xml:space="preserve"> </w:t>
      </w:r>
      <w:r>
        <w:rPr>
          <w:w w:val="95"/>
        </w:rPr>
        <w:t>with</w:t>
      </w:r>
      <w:r>
        <w:rPr>
          <w:spacing w:val="-2"/>
          <w:w w:val="95"/>
        </w:rPr>
        <w:t xml:space="preserve"> </w:t>
      </w:r>
      <w:r>
        <w:rPr>
          <w:w w:val="95"/>
        </w:rPr>
        <w:t>its</w:t>
      </w:r>
      <w:r>
        <w:rPr>
          <w:spacing w:val="-2"/>
          <w:w w:val="95"/>
        </w:rPr>
        <w:t xml:space="preserve"> </w:t>
      </w:r>
      <w:r>
        <w:rPr>
          <w:w w:val="95"/>
        </w:rPr>
        <w:t>forecast</w:t>
      </w:r>
      <w:r>
        <w:rPr>
          <w:spacing w:val="-2"/>
          <w:w w:val="95"/>
        </w:rPr>
        <w:t xml:space="preserve"> </w:t>
      </w:r>
      <w:r>
        <w:rPr>
          <w:w w:val="95"/>
        </w:rPr>
        <w:t>rapid growth,</w:t>
      </w:r>
      <w:r>
        <w:rPr>
          <w:spacing w:val="-6"/>
          <w:w w:val="95"/>
        </w:rPr>
        <w:t xml:space="preserve"> </w:t>
      </w:r>
      <w:r>
        <w:rPr>
          <w:w w:val="95"/>
        </w:rPr>
        <w:t>(discussed</w:t>
      </w:r>
      <w:r>
        <w:rPr>
          <w:spacing w:val="-6"/>
          <w:w w:val="95"/>
        </w:rPr>
        <w:t xml:space="preserve"> </w:t>
      </w:r>
      <w:r>
        <w:rPr>
          <w:w w:val="95"/>
        </w:rPr>
        <w:t>in</w:t>
      </w:r>
      <w:r>
        <w:rPr>
          <w:spacing w:val="-5"/>
          <w:w w:val="95"/>
        </w:rPr>
        <w:t xml:space="preserve"> </w:t>
      </w:r>
      <w:r>
        <w:rPr>
          <w:w w:val="95"/>
        </w:rPr>
        <w:t>Section</w:t>
      </w:r>
      <w:r>
        <w:rPr>
          <w:spacing w:val="-6"/>
          <w:w w:val="95"/>
        </w:rPr>
        <w:t xml:space="preserve"> </w:t>
      </w:r>
      <w:r>
        <w:rPr>
          <w:w w:val="95"/>
        </w:rPr>
        <w:t>3),</w:t>
      </w:r>
      <w:r>
        <w:rPr>
          <w:spacing w:val="-6"/>
          <w:w w:val="95"/>
        </w:rPr>
        <w:t xml:space="preserve"> </w:t>
      </w:r>
      <w:r>
        <w:rPr>
          <w:w w:val="95"/>
        </w:rPr>
        <w:t>suggest</w:t>
      </w:r>
      <w:r>
        <w:rPr>
          <w:spacing w:val="-5"/>
          <w:w w:val="95"/>
        </w:rPr>
        <w:t xml:space="preserve"> </w:t>
      </w:r>
      <w:r>
        <w:rPr>
          <w:w w:val="95"/>
        </w:rPr>
        <w:t>that</w:t>
      </w:r>
      <w:r>
        <w:rPr>
          <w:spacing w:val="-6"/>
          <w:w w:val="95"/>
        </w:rPr>
        <w:t xml:space="preserve"> </w:t>
      </w:r>
      <w:r>
        <w:rPr>
          <w:spacing w:val="-4"/>
          <w:w w:val="95"/>
        </w:rPr>
        <w:t>both</w:t>
      </w:r>
    </w:p>
    <w:p w:rsidR="002C1123" w:rsidRDefault="00F22F94">
      <w:pPr>
        <w:pStyle w:val="BodyText"/>
        <w:spacing w:before="2" w:line="249" w:lineRule="auto"/>
        <w:ind w:left="492"/>
      </w:pPr>
      <w:r>
        <w:rPr>
          <w:w w:val="95"/>
        </w:rPr>
        <w:t>modes</w:t>
      </w:r>
      <w:r>
        <w:rPr>
          <w:spacing w:val="-7"/>
          <w:w w:val="95"/>
        </w:rPr>
        <w:t xml:space="preserve"> </w:t>
      </w:r>
      <w:r>
        <w:rPr>
          <w:w w:val="95"/>
        </w:rPr>
        <w:t>will</w:t>
      </w:r>
      <w:r>
        <w:rPr>
          <w:spacing w:val="-7"/>
          <w:w w:val="95"/>
        </w:rPr>
        <w:t xml:space="preserve"> </w:t>
      </w:r>
      <w:r>
        <w:rPr>
          <w:w w:val="95"/>
        </w:rPr>
        <w:t>need</w:t>
      </w:r>
      <w:r>
        <w:rPr>
          <w:spacing w:val="-7"/>
          <w:w w:val="95"/>
        </w:rPr>
        <w:t xml:space="preserve"> </w:t>
      </w:r>
      <w:r>
        <w:rPr>
          <w:w w:val="95"/>
        </w:rPr>
        <w:t>to</w:t>
      </w:r>
      <w:r>
        <w:rPr>
          <w:spacing w:val="-7"/>
          <w:w w:val="95"/>
        </w:rPr>
        <w:t xml:space="preserve"> </w:t>
      </w:r>
      <w:r>
        <w:rPr>
          <w:w w:val="95"/>
        </w:rPr>
        <w:t>substantially</w:t>
      </w:r>
      <w:r>
        <w:rPr>
          <w:spacing w:val="-7"/>
          <w:w w:val="95"/>
        </w:rPr>
        <w:t xml:space="preserve"> </w:t>
      </w:r>
      <w:r>
        <w:rPr>
          <w:w w:val="95"/>
        </w:rPr>
        <w:t>increase</w:t>
      </w:r>
      <w:r>
        <w:rPr>
          <w:spacing w:val="-7"/>
          <w:w w:val="95"/>
        </w:rPr>
        <w:t xml:space="preserve"> </w:t>
      </w:r>
      <w:r>
        <w:rPr>
          <w:w w:val="95"/>
        </w:rPr>
        <w:t>the</w:t>
      </w:r>
      <w:r>
        <w:rPr>
          <w:spacing w:val="-7"/>
          <w:w w:val="95"/>
        </w:rPr>
        <w:t xml:space="preserve"> </w:t>
      </w:r>
      <w:r>
        <w:rPr>
          <w:w w:val="95"/>
        </w:rPr>
        <w:t xml:space="preserve">volumes </w:t>
      </w:r>
      <w:r>
        <w:t>they</w:t>
      </w:r>
      <w:r>
        <w:rPr>
          <w:spacing w:val="-12"/>
        </w:rPr>
        <w:t xml:space="preserve"> </w:t>
      </w:r>
      <w:r>
        <w:t>carry</w:t>
      </w:r>
      <w:r>
        <w:rPr>
          <w:spacing w:val="-12"/>
        </w:rPr>
        <w:t xml:space="preserve"> </w:t>
      </w:r>
      <w:r>
        <w:t>to</w:t>
      </w:r>
      <w:r>
        <w:rPr>
          <w:spacing w:val="-12"/>
        </w:rPr>
        <w:t xml:space="preserve"> </w:t>
      </w:r>
      <w:r>
        <w:t>ensure</w:t>
      </w:r>
      <w:r>
        <w:rPr>
          <w:spacing w:val="-12"/>
        </w:rPr>
        <w:t xml:space="preserve"> </w:t>
      </w:r>
      <w:r>
        <w:t>the</w:t>
      </w:r>
      <w:r>
        <w:rPr>
          <w:spacing w:val="-12"/>
        </w:rPr>
        <w:t xml:space="preserve"> </w:t>
      </w:r>
      <w:r>
        <w:t>efficiency</w:t>
      </w:r>
      <w:r>
        <w:rPr>
          <w:spacing w:val="-12"/>
        </w:rPr>
        <w:t xml:space="preserve"> </w:t>
      </w:r>
      <w:r>
        <w:t>of</w:t>
      </w:r>
      <w:r>
        <w:rPr>
          <w:spacing w:val="-12"/>
        </w:rPr>
        <w:t xml:space="preserve"> </w:t>
      </w:r>
      <w:r>
        <w:t>the</w:t>
      </w:r>
      <w:r>
        <w:rPr>
          <w:spacing w:val="-12"/>
        </w:rPr>
        <w:t xml:space="preserve"> </w:t>
      </w:r>
      <w:r>
        <w:t>port</w:t>
      </w:r>
      <w:r>
        <w:rPr>
          <w:spacing w:val="-12"/>
        </w:rPr>
        <w:t xml:space="preserve"> </w:t>
      </w:r>
      <w:r>
        <w:t>supply chain</w:t>
      </w:r>
      <w:r>
        <w:rPr>
          <w:spacing w:val="-1"/>
        </w:rPr>
        <w:t xml:space="preserve"> </w:t>
      </w:r>
      <w:r>
        <w:t>over</w:t>
      </w:r>
      <w:r>
        <w:rPr>
          <w:spacing w:val="-1"/>
        </w:rPr>
        <w:t xml:space="preserve"> </w:t>
      </w:r>
      <w:r>
        <w:t>the</w:t>
      </w:r>
      <w:r>
        <w:rPr>
          <w:spacing w:val="-1"/>
        </w:rPr>
        <w:t xml:space="preserve"> </w:t>
      </w:r>
      <w:r>
        <w:t>next</w:t>
      </w:r>
      <w:r>
        <w:rPr>
          <w:spacing w:val="-1"/>
        </w:rPr>
        <w:t xml:space="preserve"> </w:t>
      </w:r>
      <w:r>
        <w:t>20</w:t>
      </w:r>
      <w:r>
        <w:rPr>
          <w:spacing w:val="-1"/>
        </w:rPr>
        <w:t xml:space="preserve"> </w:t>
      </w:r>
      <w:r>
        <w:t>years.</w:t>
      </w:r>
    </w:p>
    <w:p w:rsidR="002C1123" w:rsidRDefault="00F22F94">
      <w:pPr>
        <w:pStyle w:val="BodyText"/>
        <w:spacing w:before="144" w:line="249" w:lineRule="auto"/>
        <w:ind w:left="492"/>
      </w:pPr>
      <w:r>
        <w:t>Greater</w:t>
      </w:r>
      <w:r>
        <w:rPr>
          <w:spacing w:val="-13"/>
        </w:rPr>
        <w:t xml:space="preserve"> </w:t>
      </w:r>
      <w:r>
        <w:t>focus</w:t>
      </w:r>
      <w:r>
        <w:rPr>
          <w:spacing w:val="-13"/>
        </w:rPr>
        <w:t xml:space="preserve"> </w:t>
      </w:r>
      <w:r>
        <w:t>should</w:t>
      </w:r>
      <w:r>
        <w:rPr>
          <w:spacing w:val="-13"/>
        </w:rPr>
        <w:t xml:space="preserve"> </w:t>
      </w:r>
      <w:r>
        <w:t>be</w:t>
      </w:r>
      <w:r>
        <w:rPr>
          <w:spacing w:val="-13"/>
        </w:rPr>
        <w:t xml:space="preserve"> </w:t>
      </w:r>
      <w:r>
        <w:t>given</w:t>
      </w:r>
      <w:r>
        <w:rPr>
          <w:spacing w:val="-13"/>
        </w:rPr>
        <w:t xml:space="preserve"> </w:t>
      </w:r>
      <w:r>
        <w:t>to</w:t>
      </w:r>
      <w:r>
        <w:rPr>
          <w:spacing w:val="-13"/>
        </w:rPr>
        <w:t xml:space="preserve"> </w:t>
      </w:r>
      <w:r>
        <w:t xml:space="preserve">accommodating </w:t>
      </w:r>
      <w:r>
        <w:rPr>
          <w:w w:val="95"/>
        </w:rPr>
        <w:t>container</w:t>
      </w:r>
      <w:r>
        <w:rPr>
          <w:spacing w:val="-12"/>
          <w:w w:val="95"/>
        </w:rPr>
        <w:t xml:space="preserve"> </w:t>
      </w:r>
      <w:r>
        <w:rPr>
          <w:w w:val="95"/>
        </w:rPr>
        <w:t>freight</w:t>
      </w:r>
      <w:r>
        <w:rPr>
          <w:spacing w:val="-11"/>
          <w:w w:val="95"/>
        </w:rPr>
        <w:t xml:space="preserve"> </w:t>
      </w:r>
      <w:r>
        <w:rPr>
          <w:w w:val="95"/>
        </w:rPr>
        <w:t>movements</w:t>
      </w:r>
      <w:r>
        <w:rPr>
          <w:spacing w:val="-11"/>
          <w:w w:val="95"/>
        </w:rPr>
        <w:t xml:space="preserve"> </w:t>
      </w:r>
      <w:r>
        <w:rPr>
          <w:w w:val="95"/>
        </w:rPr>
        <w:t>by</w:t>
      </w:r>
      <w:r>
        <w:rPr>
          <w:spacing w:val="-11"/>
          <w:w w:val="95"/>
        </w:rPr>
        <w:t xml:space="preserve"> </w:t>
      </w:r>
      <w:r>
        <w:rPr>
          <w:w w:val="95"/>
        </w:rPr>
        <w:t>road.</w:t>
      </w:r>
      <w:r>
        <w:rPr>
          <w:spacing w:val="-12"/>
          <w:w w:val="95"/>
        </w:rPr>
        <w:t xml:space="preserve"> </w:t>
      </w:r>
      <w:r>
        <w:rPr>
          <w:w w:val="95"/>
        </w:rPr>
        <w:t>This</w:t>
      </w:r>
      <w:r>
        <w:rPr>
          <w:spacing w:val="-11"/>
          <w:w w:val="95"/>
        </w:rPr>
        <w:t xml:space="preserve"> </w:t>
      </w:r>
      <w:r>
        <w:rPr>
          <w:w w:val="95"/>
        </w:rPr>
        <w:t>is</w:t>
      </w:r>
      <w:r>
        <w:rPr>
          <w:spacing w:val="-11"/>
          <w:w w:val="95"/>
        </w:rPr>
        <w:t xml:space="preserve"> </w:t>
      </w:r>
      <w:r>
        <w:rPr>
          <w:w w:val="95"/>
        </w:rPr>
        <w:t xml:space="preserve">because </w:t>
      </w:r>
      <w:r>
        <w:t>road</w:t>
      </w:r>
      <w:r>
        <w:rPr>
          <w:spacing w:val="-13"/>
        </w:rPr>
        <w:t xml:space="preserve"> </w:t>
      </w:r>
      <w:r>
        <w:t>freight</w:t>
      </w:r>
      <w:r>
        <w:rPr>
          <w:spacing w:val="-13"/>
        </w:rPr>
        <w:t xml:space="preserve"> </w:t>
      </w:r>
      <w:r>
        <w:t>will</w:t>
      </w:r>
      <w:r>
        <w:rPr>
          <w:spacing w:val="-13"/>
        </w:rPr>
        <w:t xml:space="preserve"> </w:t>
      </w:r>
      <w:r>
        <w:t>remain</w:t>
      </w:r>
      <w:r>
        <w:rPr>
          <w:spacing w:val="-13"/>
        </w:rPr>
        <w:t xml:space="preserve"> </w:t>
      </w:r>
      <w:r>
        <w:t>the</w:t>
      </w:r>
      <w:r>
        <w:rPr>
          <w:spacing w:val="-13"/>
        </w:rPr>
        <w:t xml:space="preserve"> </w:t>
      </w:r>
      <w:r>
        <w:t>dominant</w:t>
      </w:r>
      <w:r>
        <w:rPr>
          <w:spacing w:val="-13"/>
        </w:rPr>
        <w:t xml:space="preserve"> </w:t>
      </w:r>
      <w:r>
        <w:t>mode.</w:t>
      </w:r>
    </w:p>
    <w:p w:rsidR="002C1123" w:rsidRDefault="00F22F94">
      <w:pPr>
        <w:pStyle w:val="BodyText"/>
        <w:spacing w:before="147" w:line="249" w:lineRule="auto"/>
        <w:ind w:left="473" w:right="69"/>
      </w:pPr>
      <w:r>
        <w:br w:type="column"/>
      </w:r>
      <w:r>
        <w:rPr>
          <w:w w:val="90"/>
        </w:rPr>
        <w:t xml:space="preserve">Sydney Airport has a greater impact on Sydney’s road </w:t>
      </w:r>
      <w:r>
        <w:rPr>
          <w:w w:val="95"/>
        </w:rPr>
        <w:t>network than freight travel to Port Botany.</w:t>
      </w:r>
    </w:p>
    <w:p w:rsidR="002C1123" w:rsidRDefault="00F22F94">
      <w:pPr>
        <w:pStyle w:val="BodyText"/>
        <w:spacing w:before="144" w:line="249" w:lineRule="auto"/>
        <w:ind w:left="473" w:right="69"/>
      </w:pPr>
      <w:r>
        <w:t>Aviation</w:t>
      </w:r>
      <w:r>
        <w:rPr>
          <w:spacing w:val="-11"/>
        </w:rPr>
        <w:t xml:space="preserve"> </w:t>
      </w:r>
      <w:r>
        <w:t>demand</w:t>
      </w:r>
      <w:r>
        <w:rPr>
          <w:spacing w:val="-11"/>
        </w:rPr>
        <w:t xml:space="preserve"> </w:t>
      </w:r>
      <w:r>
        <w:t>is</w:t>
      </w:r>
      <w:r>
        <w:rPr>
          <w:spacing w:val="-11"/>
        </w:rPr>
        <w:t xml:space="preserve"> </w:t>
      </w:r>
      <w:r>
        <w:t>growing</w:t>
      </w:r>
      <w:r>
        <w:rPr>
          <w:spacing w:val="-11"/>
        </w:rPr>
        <w:t xml:space="preserve"> </w:t>
      </w:r>
      <w:r>
        <w:t>faster</w:t>
      </w:r>
      <w:r>
        <w:rPr>
          <w:spacing w:val="-11"/>
        </w:rPr>
        <w:t xml:space="preserve"> </w:t>
      </w:r>
      <w:r>
        <w:t>than</w:t>
      </w:r>
      <w:r>
        <w:rPr>
          <w:spacing w:val="-11"/>
        </w:rPr>
        <w:t xml:space="preserve"> </w:t>
      </w:r>
      <w:r>
        <w:t>the</w:t>
      </w:r>
      <w:r>
        <w:rPr>
          <w:spacing w:val="-11"/>
        </w:rPr>
        <w:t xml:space="preserve"> </w:t>
      </w:r>
      <w:r>
        <w:t xml:space="preserve">wider </w:t>
      </w:r>
      <w:r>
        <w:rPr>
          <w:w w:val="95"/>
        </w:rPr>
        <w:t>economy.</w:t>
      </w:r>
      <w:r>
        <w:rPr>
          <w:spacing w:val="-7"/>
          <w:w w:val="95"/>
        </w:rPr>
        <w:t xml:space="preserve"> </w:t>
      </w:r>
      <w:r>
        <w:rPr>
          <w:w w:val="95"/>
        </w:rPr>
        <w:t>By</w:t>
      </w:r>
      <w:r>
        <w:rPr>
          <w:spacing w:val="-7"/>
          <w:w w:val="95"/>
        </w:rPr>
        <w:t xml:space="preserve"> </w:t>
      </w:r>
      <w:r>
        <w:rPr>
          <w:w w:val="95"/>
        </w:rPr>
        <w:t>2029,</w:t>
      </w:r>
      <w:r>
        <w:rPr>
          <w:spacing w:val="-7"/>
          <w:w w:val="95"/>
        </w:rPr>
        <w:t xml:space="preserve"> </w:t>
      </w:r>
      <w:r>
        <w:rPr>
          <w:w w:val="95"/>
        </w:rPr>
        <w:t>Sydney</w:t>
      </w:r>
      <w:r>
        <w:rPr>
          <w:spacing w:val="-7"/>
          <w:w w:val="95"/>
        </w:rPr>
        <w:t xml:space="preserve"> </w:t>
      </w:r>
      <w:r>
        <w:rPr>
          <w:w w:val="95"/>
        </w:rPr>
        <w:t>Airport</w:t>
      </w:r>
      <w:r>
        <w:rPr>
          <w:spacing w:val="-7"/>
          <w:w w:val="95"/>
        </w:rPr>
        <w:t xml:space="preserve"> </w:t>
      </w:r>
      <w:r>
        <w:rPr>
          <w:w w:val="95"/>
        </w:rPr>
        <w:t>Corporation</w:t>
      </w:r>
      <w:r>
        <w:rPr>
          <w:spacing w:val="-7"/>
          <w:w w:val="95"/>
        </w:rPr>
        <w:t xml:space="preserve"> </w:t>
      </w:r>
      <w:r>
        <w:rPr>
          <w:w w:val="95"/>
        </w:rPr>
        <w:t xml:space="preserve">(SACL) </w:t>
      </w:r>
      <w:r>
        <w:t>expects</w:t>
      </w:r>
      <w:r>
        <w:rPr>
          <w:spacing w:val="-4"/>
        </w:rPr>
        <w:t xml:space="preserve"> </w:t>
      </w:r>
      <w:r>
        <w:t>passenger</w:t>
      </w:r>
      <w:r>
        <w:rPr>
          <w:spacing w:val="-4"/>
        </w:rPr>
        <w:t xml:space="preserve"> </w:t>
      </w:r>
      <w:r>
        <w:t>numbers</w:t>
      </w:r>
      <w:r>
        <w:rPr>
          <w:spacing w:val="-4"/>
        </w:rPr>
        <w:t xml:space="preserve"> </w:t>
      </w:r>
      <w:r>
        <w:t>to</w:t>
      </w:r>
      <w:r>
        <w:rPr>
          <w:spacing w:val="-4"/>
        </w:rPr>
        <w:t xml:space="preserve"> </w:t>
      </w:r>
      <w:r>
        <w:t>more</w:t>
      </w:r>
      <w:r>
        <w:rPr>
          <w:spacing w:val="-4"/>
        </w:rPr>
        <w:t xml:space="preserve"> </w:t>
      </w:r>
      <w:r>
        <w:t>than</w:t>
      </w:r>
      <w:r>
        <w:rPr>
          <w:spacing w:val="-4"/>
        </w:rPr>
        <w:t xml:space="preserve"> </w:t>
      </w:r>
      <w:r>
        <w:t>double (compared</w:t>
      </w:r>
      <w:r>
        <w:rPr>
          <w:spacing w:val="-12"/>
        </w:rPr>
        <w:t xml:space="preserve"> </w:t>
      </w:r>
      <w:r>
        <w:t>with</w:t>
      </w:r>
      <w:r>
        <w:rPr>
          <w:spacing w:val="-12"/>
        </w:rPr>
        <w:t xml:space="preserve"> </w:t>
      </w:r>
      <w:r>
        <w:t>today),</w:t>
      </w:r>
      <w:r>
        <w:rPr>
          <w:spacing w:val="-12"/>
        </w:rPr>
        <w:t xml:space="preserve"> </w:t>
      </w:r>
      <w:r>
        <w:t>to</w:t>
      </w:r>
      <w:r>
        <w:rPr>
          <w:spacing w:val="-12"/>
        </w:rPr>
        <w:t xml:space="preserve"> </w:t>
      </w:r>
      <w:r>
        <w:t>79</w:t>
      </w:r>
      <w:r>
        <w:rPr>
          <w:spacing w:val="-12"/>
        </w:rPr>
        <w:t xml:space="preserve"> </w:t>
      </w:r>
      <w:r>
        <w:t>million</w:t>
      </w:r>
      <w:r>
        <w:rPr>
          <w:spacing w:val="-12"/>
        </w:rPr>
        <w:t xml:space="preserve"> </w:t>
      </w:r>
      <w:r>
        <w:t>people</w:t>
      </w:r>
      <w:r>
        <w:rPr>
          <w:position w:val="7"/>
          <w:sz w:val="11"/>
        </w:rPr>
        <w:t>18</w:t>
      </w:r>
      <w:r>
        <w:t>.</w:t>
      </w:r>
    </w:p>
    <w:p w:rsidR="002C1123" w:rsidRDefault="00F22F94">
      <w:pPr>
        <w:pStyle w:val="Heading6"/>
        <w:numPr>
          <w:ilvl w:val="2"/>
          <w:numId w:val="80"/>
        </w:numPr>
        <w:tabs>
          <w:tab w:val="left" w:pos="960"/>
        </w:tabs>
        <w:spacing w:before="145"/>
        <w:ind w:left="959" w:hanging="487"/>
        <w:jc w:val="left"/>
        <w:rPr>
          <w:color w:val="00AEEF"/>
        </w:rPr>
      </w:pPr>
      <w:r>
        <w:rPr>
          <w:color w:val="00AEEF"/>
          <w:spacing w:val="-4"/>
        </w:rPr>
        <w:t>Capacity constraints</w:t>
      </w:r>
      <w:r>
        <w:rPr>
          <w:color w:val="00AEEF"/>
          <w:spacing w:val="-1"/>
        </w:rPr>
        <w:t xml:space="preserve"> </w:t>
      </w:r>
      <w:r>
        <w:rPr>
          <w:color w:val="00AEEF"/>
          <w:spacing w:val="-4"/>
        </w:rPr>
        <w:t>at</w:t>
      </w:r>
      <w:r>
        <w:rPr>
          <w:color w:val="00AEEF"/>
          <w:spacing w:val="-2"/>
        </w:rPr>
        <w:t xml:space="preserve"> </w:t>
      </w:r>
      <w:r>
        <w:rPr>
          <w:color w:val="00AEEF"/>
          <w:spacing w:val="-4"/>
        </w:rPr>
        <w:t>Sydney</w:t>
      </w:r>
      <w:r>
        <w:rPr>
          <w:color w:val="00AEEF"/>
          <w:spacing w:val="-1"/>
        </w:rPr>
        <w:t xml:space="preserve"> </w:t>
      </w:r>
      <w:r>
        <w:rPr>
          <w:color w:val="00AEEF"/>
          <w:spacing w:val="-4"/>
        </w:rPr>
        <w:t>Airport</w:t>
      </w:r>
    </w:p>
    <w:p w:rsidR="002C1123" w:rsidRDefault="00F22F94">
      <w:pPr>
        <w:pStyle w:val="BodyText"/>
        <w:spacing w:before="95" w:line="249" w:lineRule="auto"/>
        <w:ind w:left="473" w:right="69"/>
      </w:pPr>
      <w:r>
        <w:t>The</w:t>
      </w:r>
      <w:r>
        <w:rPr>
          <w:spacing w:val="-10"/>
        </w:rPr>
        <w:t xml:space="preserve"> </w:t>
      </w:r>
      <w:r>
        <w:t>capacity</w:t>
      </w:r>
      <w:r>
        <w:rPr>
          <w:spacing w:val="-10"/>
        </w:rPr>
        <w:t xml:space="preserve"> </w:t>
      </w:r>
      <w:r>
        <w:t>of</w:t>
      </w:r>
      <w:r>
        <w:rPr>
          <w:spacing w:val="-10"/>
        </w:rPr>
        <w:t xml:space="preserve"> </w:t>
      </w:r>
      <w:r>
        <w:t>Sydney</w:t>
      </w:r>
      <w:r>
        <w:rPr>
          <w:spacing w:val="-10"/>
        </w:rPr>
        <w:t xml:space="preserve"> </w:t>
      </w:r>
      <w:r>
        <w:t>Airport</w:t>
      </w:r>
      <w:r>
        <w:rPr>
          <w:spacing w:val="-10"/>
        </w:rPr>
        <w:t xml:space="preserve"> </w:t>
      </w:r>
      <w:r>
        <w:t>is</w:t>
      </w:r>
      <w:r>
        <w:rPr>
          <w:spacing w:val="-10"/>
        </w:rPr>
        <w:t xml:space="preserve"> </w:t>
      </w:r>
      <w:r>
        <w:t xml:space="preserve">ultimately </w:t>
      </w:r>
      <w:r>
        <w:rPr>
          <w:w w:val="95"/>
        </w:rPr>
        <w:t>constrained</w:t>
      </w:r>
      <w:r>
        <w:rPr>
          <w:spacing w:val="-1"/>
          <w:w w:val="95"/>
        </w:rPr>
        <w:t xml:space="preserve"> </w:t>
      </w:r>
      <w:r>
        <w:rPr>
          <w:w w:val="95"/>
        </w:rPr>
        <w:t>by</w:t>
      </w:r>
      <w:r>
        <w:rPr>
          <w:spacing w:val="-1"/>
          <w:w w:val="95"/>
        </w:rPr>
        <w:t xml:space="preserve"> </w:t>
      </w:r>
      <w:r>
        <w:rPr>
          <w:w w:val="95"/>
        </w:rPr>
        <w:t>its</w:t>
      </w:r>
      <w:r>
        <w:rPr>
          <w:spacing w:val="-1"/>
          <w:w w:val="95"/>
        </w:rPr>
        <w:t xml:space="preserve"> </w:t>
      </w:r>
      <w:r>
        <w:rPr>
          <w:w w:val="95"/>
        </w:rPr>
        <w:t>location</w:t>
      </w:r>
      <w:r>
        <w:rPr>
          <w:spacing w:val="-1"/>
          <w:w w:val="95"/>
        </w:rPr>
        <w:t xml:space="preserve"> </w:t>
      </w:r>
      <w:r>
        <w:rPr>
          <w:w w:val="95"/>
        </w:rPr>
        <w:t>and</w:t>
      </w:r>
      <w:r>
        <w:rPr>
          <w:spacing w:val="-1"/>
          <w:w w:val="95"/>
        </w:rPr>
        <w:t xml:space="preserve"> </w:t>
      </w:r>
      <w:r>
        <w:rPr>
          <w:w w:val="95"/>
        </w:rPr>
        <w:t>operating</w:t>
      </w:r>
      <w:r>
        <w:rPr>
          <w:spacing w:val="-1"/>
          <w:w w:val="95"/>
        </w:rPr>
        <w:t xml:space="preserve"> </w:t>
      </w:r>
      <w:r>
        <w:rPr>
          <w:w w:val="95"/>
        </w:rPr>
        <w:t xml:space="preserve">restrictions </w:t>
      </w:r>
      <w:r>
        <w:t>imposed by Government.</w:t>
      </w:r>
    </w:p>
    <w:p w:rsidR="002C1123" w:rsidRDefault="00F22F94">
      <w:pPr>
        <w:pStyle w:val="BodyText"/>
        <w:spacing w:before="144" w:line="249" w:lineRule="auto"/>
        <w:ind w:left="473" w:right="69"/>
      </w:pPr>
      <w:r>
        <w:t>Airport</w:t>
      </w:r>
      <w:r>
        <w:rPr>
          <w:spacing w:val="-12"/>
        </w:rPr>
        <w:t xml:space="preserve"> </w:t>
      </w:r>
      <w:r>
        <w:t>issues</w:t>
      </w:r>
      <w:r>
        <w:rPr>
          <w:spacing w:val="-12"/>
        </w:rPr>
        <w:t xml:space="preserve"> </w:t>
      </w:r>
      <w:r>
        <w:t>in</w:t>
      </w:r>
      <w:r>
        <w:rPr>
          <w:spacing w:val="-12"/>
        </w:rPr>
        <w:t xml:space="preserve"> </w:t>
      </w:r>
      <w:r>
        <w:t>and</w:t>
      </w:r>
      <w:r>
        <w:rPr>
          <w:spacing w:val="-12"/>
        </w:rPr>
        <w:t xml:space="preserve"> </w:t>
      </w:r>
      <w:r>
        <w:t>around</w:t>
      </w:r>
      <w:r>
        <w:rPr>
          <w:spacing w:val="-12"/>
        </w:rPr>
        <w:t xml:space="preserve"> </w:t>
      </w:r>
      <w:r>
        <w:t>Sydney</w:t>
      </w:r>
      <w:r>
        <w:rPr>
          <w:spacing w:val="-12"/>
        </w:rPr>
        <w:t xml:space="preserve"> </w:t>
      </w:r>
      <w:r>
        <w:t>have</w:t>
      </w:r>
      <w:r>
        <w:rPr>
          <w:spacing w:val="-12"/>
        </w:rPr>
        <w:t xml:space="preserve"> </w:t>
      </w:r>
      <w:r>
        <w:t xml:space="preserve">been </w:t>
      </w:r>
      <w:r>
        <w:rPr>
          <w:w w:val="95"/>
        </w:rPr>
        <w:t>assessed</w:t>
      </w:r>
      <w:r>
        <w:rPr>
          <w:spacing w:val="-11"/>
          <w:w w:val="95"/>
        </w:rPr>
        <w:t xml:space="preserve"> </w:t>
      </w:r>
      <w:r>
        <w:rPr>
          <w:w w:val="95"/>
        </w:rPr>
        <w:t>exhaustively</w:t>
      </w:r>
      <w:r>
        <w:rPr>
          <w:spacing w:val="-11"/>
          <w:w w:val="95"/>
        </w:rPr>
        <w:t xml:space="preserve"> </w:t>
      </w:r>
      <w:r>
        <w:rPr>
          <w:w w:val="95"/>
        </w:rPr>
        <w:t>by</w:t>
      </w:r>
      <w:r>
        <w:rPr>
          <w:spacing w:val="-11"/>
          <w:w w:val="95"/>
        </w:rPr>
        <w:t xml:space="preserve"> </w:t>
      </w:r>
      <w:r>
        <w:rPr>
          <w:w w:val="95"/>
        </w:rPr>
        <w:t>the</w:t>
      </w:r>
      <w:r>
        <w:rPr>
          <w:spacing w:val="-11"/>
          <w:w w:val="95"/>
        </w:rPr>
        <w:t xml:space="preserve"> </w:t>
      </w:r>
      <w:r>
        <w:rPr>
          <w:w w:val="95"/>
        </w:rPr>
        <w:t>‘Joint</w:t>
      </w:r>
      <w:r>
        <w:rPr>
          <w:spacing w:val="-11"/>
          <w:w w:val="95"/>
        </w:rPr>
        <w:t xml:space="preserve"> </w:t>
      </w:r>
      <w:r>
        <w:rPr>
          <w:w w:val="95"/>
        </w:rPr>
        <w:t>Study</w:t>
      </w:r>
      <w:r>
        <w:rPr>
          <w:spacing w:val="-11"/>
          <w:w w:val="95"/>
        </w:rPr>
        <w:t xml:space="preserve"> </w:t>
      </w:r>
      <w:r>
        <w:rPr>
          <w:w w:val="95"/>
        </w:rPr>
        <w:t>on</w:t>
      </w:r>
      <w:r>
        <w:rPr>
          <w:spacing w:val="-11"/>
          <w:w w:val="95"/>
        </w:rPr>
        <w:t xml:space="preserve"> </w:t>
      </w:r>
      <w:r>
        <w:rPr>
          <w:w w:val="95"/>
        </w:rPr>
        <w:t xml:space="preserve">Aviation </w:t>
      </w:r>
      <w:r>
        <w:t>Capacity</w:t>
      </w:r>
      <w:r>
        <w:rPr>
          <w:spacing w:val="-13"/>
        </w:rPr>
        <w:t xml:space="preserve"> </w:t>
      </w:r>
      <w:r>
        <w:t>for</w:t>
      </w:r>
      <w:r>
        <w:rPr>
          <w:spacing w:val="-13"/>
        </w:rPr>
        <w:t xml:space="preserve"> </w:t>
      </w:r>
      <w:r>
        <w:t>the</w:t>
      </w:r>
      <w:r>
        <w:rPr>
          <w:spacing w:val="-13"/>
        </w:rPr>
        <w:t xml:space="preserve"> </w:t>
      </w:r>
      <w:r>
        <w:t>Sydney</w:t>
      </w:r>
      <w:r>
        <w:rPr>
          <w:spacing w:val="-13"/>
        </w:rPr>
        <w:t xml:space="preserve"> </w:t>
      </w:r>
      <w:r>
        <w:t>Region’</w:t>
      </w:r>
      <w:r>
        <w:rPr>
          <w:spacing w:val="-13"/>
        </w:rPr>
        <w:t xml:space="preserve"> </w:t>
      </w:r>
      <w:r>
        <w:t>released</w:t>
      </w:r>
      <w:r>
        <w:rPr>
          <w:spacing w:val="-13"/>
        </w:rPr>
        <w:t xml:space="preserve"> </w:t>
      </w:r>
      <w:r>
        <w:t>by</w:t>
      </w:r>
      <w:r>
        <w:rPr>
          <w:spacing w:val="-13"/>
        </w:rPr>
        <w:t xml:space="preserve"> </w:t>
      </w:r>
      <w:r>
        <w:t>the Commonwealth</w:t>
      </w:r>
      <w:r>
        <w:rPr>
          <w:spacing w:val="-12"/>
        </w:rPr>
        <w:t xml:space="preserve"> </w:t>
      </w:r>
      <w:r>
        <w:t>and</w:t>
      </w:r>
      <w:r>
        <w:rPr>
          <w:spacing w:val="-12"/>
        </w:rPr>
        <w:t xml:space="preserve"> </w:t>
      </w:r>
      <w:r>
        <w:t>NSW</w:t>
      </w:r>
      <w:r>
        <w:rPr>
          <w:spacing w:val="-12"/>
        </w:rPr>
        <w:t xml:space="preserve"> </w:t>
      </w:r>
      <w:r>
        <w:t>Governments</w:t>
      </w:r>
      <w:r>
        <w:rPr>
          <w:spacing w:val="-12"/>
        </w:rPr>
        <w:t xml:space="preserve"> </w:t>
      </w:r>
      <w:r>
        <w:t>in</w:t>
      </w:r>
      <w:r>
        <w:rPr>
          <w:spacing w:val="-12"/>
        </w:rPr>
        <w:t xml:space="preserve"> </w:t>
      </w:r>
      <w:r>
        <w:t>2012.</w:t>
      </w:r>
    </w:p>
    <w:p w:rsidR="002C1123" w:rsidRDefault="00F22F94">
      <w:pPr>
        <w:pStyle w:val="BodyText"/>
        <w:spacing w:before="145" w:line="249" w:lineRule="auto"/>
        <w:ind w:left="473" w:right="197"/>
      </w:pPr>
      <w:r>
        <w:t>The</w:t>
      </w:r>
      <w:r>
        <w:rPr>
          <w:spacing w:val="-6"/>
        </w:rPr>
        <w:t xml:space="preserve"> </w:t>
      </w:r>
      <w:r>
        <w:t>Joint</w:t>
      </w:r>
      <w:r>
        <w:rPr>
          <w:spacing w:val="-6"/>
        </w:rPr>
        <w:t xml:space="preserve"> </w:t>
      </w:r>
      <w:r>
        <w:t>Study</w:t>
      </w:r>
      <w:r>
        <w:rPr>
          <w:spacing w:val="-6"/>
        </w:rPr>
        <w:t xml:space="preserve"> </w:t>
      </w:r>
      <w:r>
        <w:t>forecasts</w:t>
      </w:r>
      <w:r>
        <w:rPr>
          <w:spacing w:val="-6"/>
        </w:rPr>
        <w:t xml:space="preserve"> </w:t>
      </w:r>
      <w:r>
        <w:t>progressive</w:t>
      </w:r>
      <w:r>
        <w:rPr>
          <w:spacing w:val="-6"/>
        </w:rPr>
        <w:t xml:space="preserve"> </w:t>
      </w:r>
      <w:r>
        <w:t xml:space="preserve">capacity </w:t>
      </w:r>
      <w:r>
        <w:rPr>
          <w:w w:val="95"/>
        </w:rPr>
        <w:t>constraints at Sydney Airport from the mid-2020s and recommends</w:t>
      </w:r>
      <w:r>
        <w:rPr>
          <w:spacing w:val="-3"/>
          <w:w w:val="95"/>
        </w:rPr>
        <w:t xml:space="preserve"> </w:t>
      </w:r>
      <w:r>
        <w:rPr>
          <w:w w:val="95"/>
        </w:rPr>
        <w:t>Badgerys</w:t>
      </w:r>
      <w:r>
        <w:rPr>
          <w:spacing w:val="-3"/>
          <w:w w:val="95"/>
        </w:rPr>
        <w:t xml:space="preserve"> </w:t>
      </w:r>
      <w:r>
        <w:rPr>
          <w:w w:val="95"/>
        </w:rPr>
        <w:t>Creek</w:t>
      </w:r>
      <w:r>
        <w:rPr>
          <w:spacing w:val="-3"/>
          <w:w w:val="95"/>
        </w:rPr>
        <w:t xml:space="preserve"> </w:t>
      </w:r>
      <w:r>
        <w:rPr>
          <w:w w:val="95"/>
        </w:rPr>
        <w:t>as</w:t>
      </w:r>
      <w:r>
        <w:rPr>
          <w:spacing w:val="-3"/>
          <w:w w:val="95"/>
        </w:rPr>
        <w:t xml:space="preserve"> </w:t>
      </w:r>
      <w:r>
        <w:rPr>
          <w:w w:val="95"/>
        </w:rPr>
        <w:t>the</w:t>
      </w:r>
      <w:r>
        <w:rPr>
          <w:spacing w:val="-3"/>
          <w:w w:val="95"/>
        </w:rPr>
        <w:t xml:space="preserve"> </w:t>
      </w:r>
      <w:r>
        <w:rPr>
          <w:w w:val="95"/>
        </w:rPr>
        <w:t>preferred</w:t>
      </w:r>
      <w:r>
        <w:rPr>
          <w:spacing w:val="-3"/>
          <w:w w:val="95"/>
        </w:rPr>
        <w:t xml:space="preserve"> </w:t>
      </w:r>
      <w:r>
        <w:rPr>
          <w:w w:val="95"/>
        </w:rPr>
        <w:t>site</w:t>
      </w:r>
      <w:r>
        <w:rPr>
          <w:spacing w:val="-3"/>
          <w:w w:val="95"/>
        </w:rPr>
        <w:t xml:space="preserve"> </w:t>
      </w:r>
      <w:r>
        <w:rPr>
          <w:w w:val="95"/>
        </w:rPr>
        <w:t xml:space="preserve">for </w:t>
      </w:r>
      <w:r>
        <w:rPr>
          <w:spacing w:val="-2"/>
        </w:rPr>
        <w:t>a</w:t>
      </w:r>
      <w:r>
        <w:rPr>
          <w:spacing w:val="-7"/>
        </w:rPr>
        <w:t xml:space="preserve"> </w:t>
      </w:r>
      <w:r>
        <w:rPr>
          <w:spacing w:val="-2"/>
        </w:rPr>
        <w:t>secondary</w:t>
      </w:r>
      <w:r>
        <w:rPr>
          <w:spacing w:val="-7"/>
        </w:rPr>
        <w:t xml:space="preserve"> </w:t>
      </w:r>
      <w:r>
        <w:rPr>
          <w:spacing w:val="-2"/>
        </w:rPr>
        <w:t>airport,</w:t>
      </w:r>
      <w:r>
        <w:rPr>
          <w:spacing w:val="-7"/>
        </w:rPr>
        <w:t xml:space="preserve"> </w:t>
      </w:r>
      <w:r>
        <w:rPr>
          <w:spacing w:val="-2"/>
        </w:rPr>
        <w:t>with</w:t>
      </w:r>
      <w:r>
        <w:rPr>
          <w:spacing w:val="-7"/>
        </w:rPr>
        <w:t xml:space="preserve"> </w:t>
      </w:r>
      <w:r>
        <w:rPr>
          <w:spacing w:val="-2"/>
        </w:rPr>
        <w:t>Wilton</w:t>
      </w:r>
      <w:r>
        <w:rPr>
          <w:spacing w:val="-7"/>
        </w:rPr>
        <w:t xml:space="preserve"> </w:t>
      </w:r>
      <w:r>
        <w:rPr>
          <w:spacing w:val="-2"/>
        </w:rPr>
        <w:t>as</w:t>
      </w:r>
      <w:r>
        <w:rPr>
          <w:spacing w:val="-7"/>
        </w:rPr>
        <w:t xml:space="preserve"> </w:t>
      </w:r>
      <w:r>
        <w:rPr>
          <w:spacing w:val="-2"/>
        </w:rPr>
        <w:t>an</w:t>
      </w:r>
      <w:r>
        <w:rPr>
          <w:spacing w:val="-7"/>
        </w:rPr>
        <w:t xml:space="preserve"> </w:t>
      </w:r>
      <w:r>
        <w:rPr>
          <w:spacing w:val="-2"/>
        </w:rPr>
        <w:t>alternative.</w:t>
      </w:r>
      <w:r>
        <w:rPr>
          <w:spacing w:val="-7"/>
        </w:rPr>
        <w:t xml:space="preserve"> </w:t>
      </w:r>
      <w:r>
        <w:rPr>
          <w:spacing w:val="-2"/>
        </w:rPr>
        <w:t>By</w:t>
      </w:r>
    </w:p>
    <w:p w:rsidR="002C1123" w:rsidRDefault="00F22F94">
      <w:pPr>
        <w:pStyle w:val="BodyText"/>
        <w:spacing w:before="3"/>
        <w:ind w:left="473"/>
      </w:pPr>
      <w:r>
        <w:rPr>
          <w:w w:val="95"/>
        </w:rPr>
        <w:t>2027,</w:t>
      </w:r>
      <w:r>
        <w:rPr>
          <w:spacing w:val="-7"/>
          <w:w w:val="95"/>
        </w:rPr>
        <w:t xml:space="preserve"> </w:t>
      </w:r>
      <w:r>
        <w:rPr>
          <w:w w:val="95"/>
        </w:rPr>
        <w:t>the</w:t>
      </w:r>
      <w:r>
        <w:rPr>
          <w:spacing w:val="-7"/>
          <w:w w:val="95"/>
        </w:rPr>
        <w:t xml:space="preserve"> </w:t>
      </w:r>
      <w:r>
        <w:rPr>
          <w:w w:val="95"/>
        </w:rPr>
        <w:t>Joint</w:t>
      </w:r>
      <w:r>
        <w:rPr>
          <w:spacing w:val="-7"/>
          <w:w w:val="95"/>
        </w:rPr>
        <w:t xml:space="preserve"> </w:t>
      </w:r>
      <w:r>
        <w:rPr>
          <w:w w:val="95"/>
        </w:rPr>
        <w:t>Study</w:t>
      </w:r>
      <w:r>
        <w:rPr>
          <w:spacing w:val="-7"/>
          <w:w w:val="95"/>
        </w:rPr>
        <w:t xml:space="preserve"> </w:t>
      </w:r>
      <w:r>
        <w:rPr>
          <w:w w:val="95"/>
        </w:rPr>
        <w:t>estimates</w:t>
      </w:r>
      <w:r>
        <w:rPr>
          <w:spacing w:val="-7"/>
          <w:w w:val="95"/>
        </w:rPr>
        <w:t xml:space="preserve"> </w:t>
      </w:r>
      <w:r>
        <w:rPr>
          <w:w w:val="95"/>
        </w:rPr>
        <w:t>that,</w:t>
      </w:r>
      <w:r>
        <w:rPr>
          <w:spacing w:val="-7"/>
          <w:w w:val="95"/>
        </w:rPr>
        <w:t xml:space="preserve"> </w:t>
      </w:r>
      <w:r>
        <w:rPr>
          <w:w w:val="95"/>
        </w:rPr>
        <w:t>under</w:t>
      </w:r>
      <w:r>
        <w:rPr>
          <w:spacing w:val="-6"/>
          <w:w w:val="95"/>
        </w:rPr>
        <w:t xml:space="preserve"> </w:t>
      </w:r>
      <w:r>
        <w:rPr>
          <w:w w:val="95"/>
        </w:rPr>
        <w:t>a</w:t>
      </w:r>
      <w:r>
        <w:rPr>
          <w:spacing w:val="-7"/>
          <w:w w:val="95"/>
        </w:rPr>
        <w:t xml:space="preserve"> </w:t>
      </w:r>
      <w:r>
        <w:rPr>
          <w:w w:val="95"/>
        </w:rPr>
        <w:t>‘no</w:t>
      </w:r>
      <w:r>
        <w:rPr>
          <w:spacing w:val="-7"/>
          <w:w w:val="95"/>
        </w:rPr>
        <w:t xml:space="preserve"> </w:t>
      </w:r>
      <w:r>
        <w:rPr>
          <w:spacing w:val="-2"/>
          <w:w w:val="95"/>
        </w:rPr>
        <w:t>change’</w:t>
      </w:r>
    </w:p>
    <w:p w:rsidR="002C1123" w:rsidRDefault="00F22F94">
      <w:pPr>
        <w:pStyle w:val="BodyText"/>
        <w:spacing w:before="5" w:line="249" w:lineRule="auto"/>
        <w:ind w:left="191" w:right="793"/>
      </w:pPr>
      <w:r>
        <w:br w:type="column"/>
      </w:r>
      <w:r>
        <w:t>factors.</w:t>
      </w:r>
      <w:r>
        <w:rPr>
          <w:spacing w:val="-6"/>
        </w:rPr>
        <w:t xml:space="preserve"> </w:t>
      </w:r>
      <w:r>
        <w:t>SACL</w:t>
      </w:r>
      <w:r>
        <w:rPr>
          <w:spacing w:val="-6"/>
        </w:rPr>
        <w:t xml:space="preserve"> </w:t>
      </w:r>
      <w:r>
        <w:t>has</w:t>
      </w:r>
      <w:r>
        <w:rPr>
          <w:spacing w:val="-6"/>
        </w:rPr>
        <w:t xml:space="preserve"> </w:t>
      </w:r>
      <w:r>
        <w:t>a</w:t>
      </w:r>
      <w:r>
        <w:rPr>
          <w:spacing w:val="-6"/>
        </w:rPr>
        <w:t xml:space="preserve"> </w:t>
      </w:r>
      <w:r>
        <w:t>concept</w:t>
      </w:r>
      <w:r>
        <w:rPr>
          <w:spacing w:val="-6"/>
        </w:rPr>
        <w:t xml:space="preserve"> </w:t>
      </w:r>
      <w:r>
        <w:t>stage</w:t>
      </w:r>
      <w:r>
        <w:rPr>
          <w:spacing w:val="-6"/>
        </w:rPr>
        <w:t xml:space="preserve"> </w:t>
      </w:r>
      <w:r>
        <w:t>proposal</w:t>
      </w:r>
      <w:r>
        <w:rPr>
          <w:spacing w:val="-6"/>
        </w:rPr>
        <w:t xml:space="preserve"> </w:t>
      </w:r>
      <w:r>
        <w:t xml:space="preserve">to </w:t>
      </w:r>
      <w:r>
        <w:rPr>
          <w:w w:val="95"/>
        </w:rPr>
        <w:t>address</w:t>
      </w:r>
      <w:r>
        <w:rPr>
          <w:spacing w:val="-2"/>
          <w:w w:val="95"/>
        </w:rPr>
        <w:t xml:space="preserve"> </w:t>
      </w:r>
      <w:r>
        <w:rPr>
          <w:w w:val="95"/>
        </w:rPr>
        <w:t>the</w:t>
      </w:r>
      <w:r>
        <w:rPr>
          <w:spacing w:val="-2"/>
          <w:w w:val="95"/>
        </w:rPr>
        <w:t xml:space="preserve"> </w:t>
      </w:r>
      <w:r>
        <w:rPr>
          <w:w w:val="95"/>
        </w:rPr>
        <w:t>terminal</w:t>
      </w:r>
      <w:r>
        <w:rPr>
          <w:spacing w:val="-2"/>
          <w:w w:val="95"/>
        </w:rPr>
        <w:t xml:space="preserve"> </w:t>
      </w:r>
      <w:r>
        <w:rPr>
          <w:w w:val="95"/>
        </w:rPr>
        <w:t>and</w:t>
      </w:r>
      <w:r>
        <w:rPr>
          <w:spacing w:val="-2"/>
          <w:w w:val="95"/>
        </w:rPr>
        <w:t xml:space="preserve"> </w:t>
      </w:r>
      <w:r>
        <w:rPr>
          <w:w w:val="95"/>
        </w:rPr>
        <w:t>gate</w:t>
      </w:r>
      <w:r>
        <w:rPr>
          <w:spacing w:val="-2"/>
          <w:w w:val="95"/>
        </w:rPr>
        <w:t xml:space="preserve"> </w:t>
      </w:r>
      <w:r>
        <w:rPr>
          <w:w w:val="95"/>
        </w:rPr>
        <w:t>capacity</w:t>
      </w:r>
      <w:r>
        <w:rPr>
          <w:spacing w:val="-2"/>
          <w:w w:val="95"/>
        </w:rPr>
        <w:t xml:space="preserve"> </w:t>
      </w:r>
      <w:r>
        <w:rPr>
          <w:w w:val="95"/>
        </w:rPr>
        <w:t>issues</w:t>
      </w:r>
      <w:r>
        <w:rPr>
          <w:spacing w:val="-2"/>
          <w:w w:val="95"/>
        </w:rPr>
        <w:t xml:space="preserve"> </w:t>
      </w:r>
      <w:r>
        <w:rPr>
          <w:w w:val="95"/>
        </w:rPr>
        <w:t>through reconfiguring the existing Domestic Terminal (T2 and T3)</w:t>
      </w:r>
      <w:r>
        <w:rPr>
          <w:spacing w:val="-2"/>
          <w:w w:val="95"/>
        </w:rPr>
        <w:t xml:space="preserve"> </w:t>
      </w:r>
      <w:r>
        <w:rPr>
          <w:w w:val="95"/>
        </w:rPr>
        <w:t>and</w:t>
      </w:r>
      <w:r>
        <w:rPr>
          <w:spacing w:val="-2"/>
          <w:w w:val="95"/>
        </w:rPr>
        <w:t xml:space="preserve"> </w:t>
      </w:r>
      <w:r>
        <w:rPr>
          <w:w w:val="95"/>
        </w:rPr>
        <w:t>the</w:t>
      </w:r>
      <w:r>
        <w:rPr>
          <w:spacing w:val="-2"/>
          <w:w w:val="95"/>
        </w:rPr>
        <w:t xml:space="preserve"> </w:t>
      </w:r>
      <w:r>
        <w:rPr>
          <w:w w:val="95"/>
        </w:rPr>
        <w:t>existing</w:t>
      </w:r>
      <w:r>
        <w:rPr>
          <w:spacing w:val="-2"/>
          <w:w w:val="95"/>
        </w:rPr>
        <w:t xml:space="preserve"> </w:t>
      </w:r>
      <w:r>
        <w:rPr>
          <w:w w:val="95"/>
        </w:rPr>
        <w:t>International</w:t>
      </w:r>
      <w:r>
        <w:rPr>
          <w:spacing w:val="-2"/>
          <w:w w:val="95"/>
        </w:rPr>
        <w:t xml:space="preserve"> </w:t>
      </w:r>
      <w:r>
        <w:rPr>
          <w:w w:val="95"/>
        </w:rPr>
        <w:t>Terminal</w:t>
      </w:r>
      <w:r>
        <w:rPr>
          <w:spacing w:val="-2"/>
          <w:w w:val="95"/>
        </w:rPr>
        <w:t xml:space="preserve"> </w:t>
      </w:r>
      <w:r>
        <w:rPr>
          <w:w w:val="95"/>
        </w:rPr>
        <w:t>(T1).</w:t>
      </w:r>
      <w:r>
        <w:rPr>
          <w:spacing w:val="-2"/>
          <w:w w:val="95"/>
        </w:rPr>
        <w:t xml:space="preserve"> </w:t>
      </w:r>
      <w:r>
        <w:rPr>
          <w:w w:val="95"/>
        </w:rPr>
        <w:t>This</w:t>
      </w:r>
    </w:p>
    <w:p w:rsidR="002C1123" w:rsidRDefault="00F22F94">
      <w:pPr>
        <w:pStyle w:val="BodyText"/>
        <w:spacing w:before="4" w:line="249" w:lineRule="auto"/>
        <w:ind w:left="191" w:right="800"/>
        <w:jc w:val="both"/>
      </w:pPr>
      <w:r>
        <w:rPr>
          <w:w w:val="95"/>
        </w:rPr>
        <w:t>proposal</w:t>
      </w:r>
      <w:r>
        <w:rPr>
          <w:spacing w:val="-1"/>
          <w:w w:val="95"/>
        </w:rPr>
        <w:t xml:space="preserve"> </w:t>
      </w:r>
      <w:r>
        <w:rPr>
          <w:w w:val="95"/>
        </w:rPr>
        <w:t>is</w:t>
      </w:r>
      <w:r>
        <w:rPr>
          <w:spacing w:val="-1"/>
          <w:w w:val="95"/>
        </w:rPr>
        <w:t xml:space="preserve"> </w:t>
      </w:r>
      <w:r>
        <w:rPr>
          <w:w w:val="95"/>
        </w:rPr>
        <w:t>in</w:t>
      </w:r>
      <w:r>
        <w:rPr>
          <w:spacing w:val="-1"/>
          <w:w w:val="95"/>
        </w:rPr>
        <w:t xml:space="preserve"> </w:t>
      </w:r>
      <w:r>
        <w:rPr>
          <w:w w:val="95"/>
        </w:rPr>
        <w:t>the</w:t>
      </w:r>
      <w:r>
        <w:rPr>
          <w:spacing w:val="-1"/>
          <w:w w:val="95"/>
        </w:rPr>
        <w:t xml:space="preserve"> </w:t>
      </w:r>
      <w:r>
        <w:rPr>
          <w:w w:val="95"/>
        </w:rPr>
        <w:t>concept</w:t>
      </w:r>
      <w:r>
        <w:rPr>
          <w:spacing w:val="-1"/>
          <w:w w:val="95"/>
        </w:rPr>
        <w:t xml:space="preserve"> </w:t>
      </w:r>
      <w:r>
        <w:rPr>
          <w:w w:val="95"/>
        </w:rPr>
        <w:t>stage</w:t>
      </w:r>
      <w:r>
        <w:rPr>
          <w:spacing w:val="-1"/>
          <w:w w:val="95"/>
        </w:rPr>
        <w:t xml:space="preserve"> </w:t>
      </w:r>
      <w:r>
        <w:rPr>
          <w:w w:val="95"/>
        </w:rPr>
        <w:t>and</w:t>
      </w:r>
      <w:r>
        <w:rPr>
          <w:spacing w:val="-1"/>
          <w:w w:val="95"/>
        </w:rPr>
        <w:t xml:space="preserve"> </w:t>
      </w:r>
      <w:r>
        <w:rPr>
          <w:w w:val="95"/>
        </w:rPr>
        <w:t>the</w:t>
      </w:r>
      <w:r>
        <w:rPr>
          <w:spacing w:val="-1"/>
          <w:w w:val="95"/>
        </w:rPr>
        <w:t xml:space="preserve"> </w:t>
      </w:r>
      <w:r>
        <w:rPr>
          <w:w w:val="95"/>
        </w:rPr>
        <w:t>extent</w:t>
      </w:r>
      <w:r>
        <w:rPr>
          <w:spacing w:val="-1"/>
          <w:w w:val="95"/>
        </w:rPr>
        <w:t xml:space="preserve"> </w:t>
      </w:r>
      <w:r>
        <w:rPr>
          <w:w w:val="95"/>
        </w:rPr>
        <w:t>to</w:t>
      </w:r>
      <w:r>
        <w:rPr>
          <w:spacing w:val="-1"/>
          <w:w w:val="95"/>
        </w:rPr>
        <w:t xml:space="preserve"> </w:t>
      </w:r>
      <w:r>
        <w:rPr>
          <w:w w:val="95"/>
        </w:rPr>
        <w:t>which this</w:t>
      </w:r>
      <w:r>
        <w:rPr>
          <w:spacing w:val="-4"/>
          <w:w w:val="95"/>
        </w:rPr>
        <w:t xml:space="preserve"> </w:t>
      </w:r>
      <w:r>
        <w:rPr>
          <w:w w:val="95"/>
        </w:rPr>
        <w:t>increases</w:t>
      </w:r>
      <w:r>
        <w:rPr>
          <w:spacing w:val="-4"/>
          <w:w w:val="95"/>
        </w:rPr>
        <w:t xml:space="preserve"> </w:t>
      </w:r>
      <w:r>
        <w:rPr>
          <w:w w:val="95"/>
        </w:rPr>
        <w:t>the</w:t>
      </w:r>
      <w:r>
        <w:rPr>
          <w:spacing w:val="-4"/>
          <w:w w:val="95"/>
        </w:rPr>
        <w:t xml:space="preserve"> </w:t>
      </w:r>
      <w:r>
        <w:rPr>
          <w:w w:val="95"/>
        </w:rPr>
        <w:t>capacity</w:t>
      </w:r>
      <w:r>
        <w:rPr>
          <w:spacing w:val="-4"/>
          <w:w w:val="95"/>
        </w:rPr>
        <w:t xml:space="preserve"> </w:t>
      </w:r>
      <w:r>
        <w:rPr>
          <w:w w:val="95"/>
        </w:rPr>
        <w:t>of</w:t>
      </w:r>
      <w:r>
        <w:rPr>
          <w:spacing w:val="-4"/>
          <w:w w:val="95"/>
        </w:rPr>
        <w:t xml:space="preserve"> </w:t>
      </w:r>
      <w:r>
        <w:rPr>
          <w:w w:val="95"/>
        </w:rPr>
        <w:t>Sydney</w:t>
      </w:r>
      <w:r>
        <w:rPr>
          <w:spacing w:val="-4"/>
          <w:w w:val="95"/>
        </w:rPr>
        <w:t xml:space="preserve"> </w:t>
      </w:r>
      <w:r>
        <w:rPr>
          <w:w w:val="95"/>
        </w:rPr>
        <w:t>Airport</w:t>
      </w:r>
      <w:r>
        <w:rPr>
          <w:spacing w:val="-4"/>
          <w:w w:val="95"/>
        </w:rPr>
        <w:t xml:space="preserve"> </w:t>
      </w:r>
      <w:r>
        <w:rPr>
          <w:w w:val="95"/>
        </w:rPr>
        <w:t>is</w:t>
      </w:r>
      <w:r>
        <w:rPr>
          <w:spacing w:val="-4"/>
          <w:w w:val="95"/>
        </w:rPr>
        <w:t xml:space="preserve"> </w:t>
      </w:r>
      <w:r>
        <w:rPr>
          <w:w w:val="95"/>
        </w:rPr>
        <w:t>yet</w:t>
      </w:r>
      <w:r>
        <w:rPr>
          <w:spacing w:val="-4"/>
          <w:w w:val="95"/>
        </w:rPr>
        <w:t xml:space="preserve"> </w:t>
      </w:r>
      <w:r>
        <w:rPr>
          <w:w w:val="95"/>
        </w:rPr>
        <w:t>to</w:t>
      </w:r>
      <w:r>
        <w:rPr>
          <w:spacing w:val="-4"/>
          <w:w w:val="95"/>
        </w:rPr>
        <w:t xml:space="preserve"> </w:t>
      </w:r>
      <w:r>
        <w:rPr>
          <w:w w:val="95"/>
        </w:rPr>
        <w:t>be determined.</w:t>
      </w:r>
      <w:r>
        <w:rPr>
          <w:spacing w:val="-6"/>
          <w:w w:val="95"/>
        </w:rPr>
        <w:t xml:space="preserve"> </w:t>
      </w:r>
      <w:r>
        <w:rPr>
          <w:w w:val="95"/>
        </w:rPr>
        <w:t>SACL</w:t>
      </w:r>
      <w:r>
        <w:rPr>
          <w:spacing w:val="-6"/>
          <w:w w:val="95"/>
        </w:rPr>
        <w:t xml:space="preserve"> </w:t>
      </w:r>
      <w:r>
        <w:rPr>
          <w:w w:val="95"/>
        </w:rPr>
        <w:t>and</w:t>
      </w:r>
      <w:r>
        <w:rPr>
          <w:spacing w:val="-6"/>
          <w:w w:val="95"/>
        </w:rPr>
        <w:t xml:space="preserve"> </w:t>
      </w:r>
      <w:r>
        <w:rPr>
          <w:w w:val="95"/>
        </w:rPr>
        <w:t>airline</w:t>
      </w:r>
      <w:r>
        <w:rPr>
          <w:spacing w:val="-6"/>
          <w:w w:val="95"/>
        </w:rPr>
        <w:t xml:space="preserve"> </w:t>
      </w:r>
      <w:r>
        <w:rPr>
          <w:w w:val="95"/>
        </w:rPr>
        <w:t>operators</w:t>
      </w:r>
      <w:r>
        <w:rPr>
          <w:spacing w:val="-6"/>
          <w:w w:val="95"/>
        </w:rPr>
        <w:t xml:space="preserve"> </w:t>
      </w:r>
      <w:r>
        <w:rPr>
          <w:w w:val="95"/>
        </w:rPr>
        <w:t>are</w:t>
      </w:r>
      <w:r>
        <w:rPr>
          <w:spacing w:val="-6"/>
          <w:w w:val="95"/>
        </w:rPr>
        <w:t xml:space="preserve"> </w:t>
      </w:r>
      <w:r>
        <w:rPr>
          <w:w w:val="95"/>
        </w:rPr>
        <w:t xml:space="preserve">progressing </w:t>
      </w:r>
      <w:r>
        <w:t>discussions to implement by 2019.</w:t>
      </w:r>
    </w:p>
    <w:p w:rsidR="002C1123" w:rsidRDefault="00F22F94">
      <w:pPr>
        <w:pStyle w:val="BodyText"/>
        <w:spacing w:before="145" w:line="249" w:lineRule="auto"/>
        <w:ind w:left="191" w:right="793"/>
      </w:pPr>
      <w:r>
        <w:t>Aside</w:t>
      </w:r>
      <w:r>
        <w:rPr>
          <w:spacing w:val="-10"/>
        </w:rPr>
        <w:t xml:space="preserve"> </w:t>
      </w:r>
      <w:r>
        <w:t>from</w:t>
      </w:r>
      <w:r>
        <w:rPr>
          <w:spacing w:val="-10"/>
        </w:rPr>
        <w:t xml:space="preserve"> </w:t>
      </w:r>
      <w:r>
        <w:t>the</w:t>
      </w:r>
      <w:r>
        <w:rPr>
          <w:spacing w:val="-10"/>
        </w:rPr>
        <w:t xml:space="preserve"> </w:t>
      </w:r>
      <w:r>
        <w:t>physical</w:t>
      </w:r>
      <w:r>
        <w:rPr>
          <w:spacing w:val="-10"/>
        </w:rPr>
        <w:t xml:space="preserve"> </w:t>
      </w:r>
      <w:r>
        <w:t>constraints</w:t>
      </w:r>
      <w:r>
        <w:rPr>
          <w:spacing w:val="-10"/>
        </w:rPr>
        <w:t xml:space="preserve"> </w:t>
      </w:r>
      <w:r>
        <w:t>of</w:t>
      </w:r>
      <w:r>
        <w:rPr>
          <w:spacing w:val="-10"/>
        </w:rPr>
        <w:t xml:space="preserve"> </w:t>
      </w:r>
      <w:r>
        <w:t>the</w:t>
      </w:r>
      <w:r>
        <w:rPr>
          <w:spacing w:val="-10"/>
        </w:rPr>
        <w:t xml:space="preserve"> </w:t>
      </w:r>
      <w:r>
        <w:t xml:space="preserve">current </w:t>
      </w:r>
      <w:r>
        <w:rPr>
          <w:w w:val="95"/>
        </w:rPr>
        <w:t>facilities,</w:t>
      </w:r>
      <w:r>
        <w:rPr>
          <w:spacing w:val="-9"/>
          <w:w w:val="95"/>
        </w:rPr>
        <w:t xml:space="preserve"> </w:t>
      </w:r>
      <w:r>
        <w:rPr>
          <w:w w:val="95"/>
        </w:rPr>
        <w:t>there</w:t>
      </w:r>
      <w:r>
        <w:rPr>
          <w:spacing w:val="-9"/>
          <w:w w:val="95"/>
        </w:rPr>
        <w:t xml:space="preserve"> </w:t>
      </w:r>
      <w:r>
        <w:rPr>
          <w:w w:val="95"/>
        </w:rPr>
        <w:t>exist</w:t>
      </w:r>
      <w:r>
        <w:rPr>
          <w:spacing w:val="-9"/>
          <w:w w:val="95"/>
        </w:rPr>
        <w:t xml:space="preserve"> </w:t>
      </w:r>
      <w:r>
        <w:rPr>
          <w:w w:val="95"/>
        </w:rPr>
        <w:t>a</w:t>
      </w:r>
      <w:r>
        <w:rPr>
          <w:spacing w:val="-9"/>
          <w:w w:val="95"/>
        </w:rPr>
        <w:t xml:space="preserve"> </w:t>
      </w:r>
      <w:r>
        <w:rPr>
          <w:w w:val="95"/>
        </w:rPr>
        <w:t>number</w:t>
      </w:r>
      <w:r>
        <w:rPr>
          <w:spacing w:val="-9"/>
          <w:w w:val="95"/>
        </w:rPr>
        <w:t xml:space="preserve"> </w:t>
      </w:r>
      <w:r>
        <w:rPr>
          <w:w w:val="95"/>
        </w:rPr>
        <w:t>of</w:t>
      </w:r>
      <w:r>
        <w:rPr>
          <w:spacing w:val="-9"/>
          <w:w w:val="95"/>
        </w:rPr>
        <w:t xml:space="preserve"> </w:t>
      </w:r>
      <w:r>
        <w:rPr>
          <w:w w:val="95"/>
        </w:rPr>
        <w:t>regulatory</w:t>
      </w:r>
      <w:r>
        <w:rPr>
          <w:spacing w:val="-9"/>
          <w:w w:val="95"/>
        </w:rPr>
        <w:t xml:space="preserve"> </w:t>
      </w:r>
      <w:r>
        <w:rPr>
          <w:w w:val="95"/>
        </w:rPr>
        <w:t xml:space="preserve">restrictions </w:t>
      </w:r>
      <w:r>
        <w:t>including</w:t>
      </w:r>
      <w:r>
        <w:rPr>
          <w:spacing w:val="-9"/>
        </w:rPr>
        <w:t xml:space="preserve"> </w:t>
      </w:r>
      <w:r>
        <w:t>a</w:t>
      </w:r>
      <w:r>
        <w:rPr>
          <w:spacing w:val="-9"/>
        </w:rPr>
        <w:t xml:space="preserve"> </w:t>
      </w:r>
      <w:r>
        <w:t>curfew,</w:t>
      </w:r>
      <w:r>
        <w:rPr>
          <w:spacing w:val="-9"/>
        </w:rPr>
        <w:t xml:space="preserve"> </w:t>
      </w:r>
      <w:r>
        <w:t>a</w:t>
      </w:r>
      <w:r>
        <w:rPr>
          <w:spacing w:val="-9"/>
        </w:rPr>
        <w:t xml:space="preserve"> </w:t>
      </w:r>
      <w:r>
        <w:t>maximum</w:t>
      </w:r>
      <w:r>
        <w:rPr>
          <w:spacing w:val="-10"/>
        </w:rPr>
        <w:t xml:space="preserve"> </w:t>
      </w:r>
      <w:r>
        <w:t>movement</w:t>
      </w:r>
      <w:r>
        <w:rPr>
          <w:spacing w:val="-9"/>
        </w:rPr>
        <w:t xml:space="preserve"> </w:t>
      </w:r>
      <w:r>
        <w:t>limit</w:t>
      </w:r>
      <w:r>
        <w:rPr>
          <w:spacing w:val="-9"/>
        </w:rPr>
        <w:t xml:space="preserve"> </w:t>
      </w:r>
      <w:r>
        <w:t>and regional</w:t>
      </w:r>
      <w:r>
        <w:rPr>
          <w:spacing w:val="-14"/>
        </w:rPr>
        <w:t xml:space="preserve"> </w:t>
      </w:r>
      <w:r>
        <w:t>allocations.</w:t>
      </w:r>
      <w:r>
        <w:rPr>
          <w:spacing w:val="-14"/>
        </w:rPr>
        <w:t xml:space="preserve"> </w:t>
      </w:r>
      <w:r>
        <w:t>Each</w:t>
      </w:r>
      <w:r>
        <w:rPr>
          <w:spacing w:val="-14"/>
        </w:rPr>
        <w:t xml:space="preserve"> </w:t>
      </w:r>
      <w:r>
        <w:t>of</w:t>
      </w:r>
      <w:r>
        <w:rPr>
          <w:spacing w:val="-14"/>
        </w:rPr>
        <w:t xml:space="preserve"> </w:t>
      </w:r>
      <w:r>
        <w:t>these</w:t>
      </w:r>
      <w:r>
        <w:rPr>
          <w:spacing w:val="-14"/>
        </w:rPr>
        <w:t xml:space="preserve"> </w:t>
      </w:r>
      <w:r>
        <w:t>factors</w:t>
      </w:r>
      <w:r>
        <w:rPr>
          <w:spacing w:val="-14"/>
        </w:rPr>
        <w:t xml:space="preserve"> </w:t>
      </w:r>
      <w:r>
        <w:t>places</w:t>
      </w:r>
      <w:r>
        <w:rPr>
          <w:spacing w:val="-14"/>
        </w:rPr>
        <w:t xml:space="preserve"> </w:t>
      </w:r>
      <w:r>
        <w:t>a level</w:t>
      </w:r>
      <w:r>
        <w:rPr>
          <w:spacing w:val="-11"/>
        </w:rPr>
        <w:t xml:space="preserve"> </w:t>
      </w:r>
      <w:r>
        <w:t>of</w:t>
      </w:r>
      <w:r>
        <w:rPr>
          <w:spacing w:val="-11"/>
        </w:rPr>
        <w:t xml:space="preserve"> </w:t>
      </w:r>
      <w:r>
        <w:t>capacity</w:t>
      </w:r>
      <w:r>
        <w:rPr>
          <w:spacing w:val="-11"/>
        </w:rPr>
        <w:t xml:space="preserve"> </w:t>
      </w:r>
      <w:r>
        <w:t>constraint</w:t>
      </w:r>
      <w:r>
        <w:rPr>
          <w:spacing w:val="-11"/>
        </w:rPr>
        <w:t xml:space="preserve"> </w:t>
      </w:r>
      <w:r>
        <w:t>on</w:t>
      </w:r>
      <w:r>
        <w:rPr>
          <w:spacing w:val="-11"/>
        </w:rPr>
        <w:t xml:space="preserve"> </w:t>
      </w:r>
      <w:r>
        <w:t>Sydney</w:t>
      </w:r>
      <w:r>
        <w:rPr>
          <w:spacing w:val="-11"/>
        </w:rPr>
        <w:t xml:space="preserve"> </w:t>
      </w:r>
      <w:r>
        <w:t>Airport,</w:t>
      </w:r>
      <w:r>
        <w:rPr>
          <w:spacing w:val="-11"/>
        </w:rPr>
        <w:t xml:space="preserve"> </w:t>
      </w:r>
      <w:r>
        <w:t>the</w:t>
      </w:r>
    </w:p>
    <w:p w:rsidR="002C1123" w:rsidRDefault="00F22F94">
      <w:pPr>
        <w:pStyle w:val="BodyText"/>
        <w:spacing w:before="4" w:line="249" w:lineRule="auto"/>
        <w:ind w:left="191" w:right="793"/>
      </w:pPr>
      <w:r>
        <w:rPr>
          <w:w w:val="95"/>
        </w:rPr>
        <w:t>modification</w:t>
      </w:r>
      <w:r>
        <w:rPr>
          <w:spacing w:val="-5"/>
          <w:w w:val="95"/>
        </w:rPr>
        <w:t xml:space="preserve"> </w:t>
      </w:r>
      <w:r>
        <w:rPr>
          <w:w w:val="95"/>
        </w:rPr>
        <w:t>of</w:t>
      </w:r>
      <w:r>
        <w:rPr>
          <w:spacing w:val="-5"/>
          <w:w w:val="95"/>
        </w:rPr>
        <w:t xml:space="preserve"> </w:t>
      </w:r>
      <w:r>
        <w:rPr>
          <w:w w:val="95"/>
        </w:rPr>
        <w:t>which</w:t>
      </w:r>
      <w:r>
        <w:rPr>
          <w:spacing w:val="-5"/>
          <w:w w:val="95"/>
        </w:rPr>
        <w:t xml:space="preserve"> </w:t>
      </w:r>
      <w:r>
        <w:rPr>
          <w:w w:val="95"/>
        </w:rPr>
        <w:t>has</w:t>
      </w:r>
      <w:r>
        <w:rPr>
          <w:spacing w:val="-5"/>
          <w:w w:val="95"/>
        </w:rPr>
        <w:t xml:space="preserve"> </w:t>
      </w:r>
      <w:r>
        <w:rPr>
          <w:w w:val="95"/>
        </w:rPr>
        <w:t>the</w:t>
      </w:r>
      <w:r>
        <w:rPr>
          <w:spacing w:val="-5"/>
          <w:w w:val="95"/>
        </w:rPr>
        <w:t xml:space="preserve"> </w:t>
      </w:r>
      <w:r>
        <w:rPr>
          <w:w w:val="95"/>
        </w:rPr>
        <w:t>potential</w:t>
      </w:r>
      <w:r>
        <w:rPr>
          <w:spacing w:val="-5"/>
          <w:w w:val="95"/>
        </w:rPr>
        <w:t xml:space="preserve"> </w:t>
      </w:r>
      <w:r>
        <w:rPr>
          <w:w w:val="95"/>
        </w:rPr>
        <w:t>to</w:t>
      </w:r>
      <w:r>
        <w:rPr>
          <w:spacing w:val="-5"/>
          <w:w w:val="95"/>
        </w:rPr>
        <w:t xml:space="preserve"> </w:t>
      </w:r>
      <w:r>
        <w:rPr>
          <w:w w:val="95"/>
        </w:rPr>
        <w:t>delay</w:t>
      </w:r>
      <w:r>
        <w:rPr>
          <w:spacing w:val="-5"/>
          <w:w w:val="95"/>
        </w:rPr>
        <w:t xml:space="preserve"> </w:t>
      </w:r>
      <w:r>
        <w:rPr>
          <w:w w:val="95"/>
        </w:rPr>
        <w:t>the</w:t>
      </w:r>
      <w:r>
        <w:rPr>
          <w:spacing w:val="-5"/>
          <w:w w:val="95"/>
        </w:rPr>
        <w:t xml:space="preserve"> </w:t>
      </w:r>
      <w:r>
        <w:rPr>
          <w:w w:val="95"/>
        </w:rPr>
        <w:t xml:space="preserve">need </w:t>
      </w:r>
      <w:r>
        <w:t>for supplementary airport capacity.</w:t>
      </w:r>
    </w:p>
    <w:p w:rsidR="002C1123" w:rsidRDefault="00F22F94">
      <w:pPr>
        <w:pStyle w:val="BodyText"/>
        <w:spacing w:before="143" w:line="249" w:lineRule="auto"/>
        <w:ind w:left="191" w:right="1131"/>
      </w:pPr>
      <w:r>
        <w:t>It</w:t>
      </w:r>
      <w:r>
        <w:rPr>
          <w:spacing w:val="-13"/>
        </w:rPr>
        <w:t xml:space="preserve"> </w:t>
      </w:r>
      <w:r>
        <w:t>is</w:t>
      </w:r>
      <w:r>
        <w:rPr>
          <w:spacing w:val="-13"/>
        </w:rPr>
        <w:t xml:space="preserve"> </w:t>
      </w:r>
      <w:r>
        <w:t>Infrastructure</w:t>
      </w:r>
      <w:r>
        <w:rPr>
          <w:spacing w:val="-13"/>
        </w:rPr>
        <w:t xml:space="preserve"> </w:t>
      </w:r>
      <w:r>
        <w:t>NSW’s</w:t>
      </w:r>
      <w:r>
        <w:rPr>
          <w:spacing w:val="-13"/>
        </w:rPr>
        <w:t xml:space="preserve"> </w:t>
      </w:r>
      <w:r>
        <w:t>view,</w:t>
      </w:r>
      <w:r>
        <w:rPr>
          <w:spacing w:val="-13"/>
        </w:rPr>
        <w:t xml:space="preserve"> </w:t>
      </w:r>
      <w:r>
        <w:t>based</w:t>
      </w:r>
      <w:r>
        <w:rPr>
          <w:spacing w:val="-13"/>
        </w:rPr>
        <w:t xml:space="preserve"> </w:t>
      </w:r>
      <w:r>
        <w:t>on</w:t>
      </w:r>
      <w:r>
        <w:rPr>
          <w:spacing w:val="-13"/>
        </w:rPr>
        <w:t xml:space="preserve"> </w:t>
      </w:r>
      <w:r>
        <w:t xml:space="preserve">the </w:t>
      </w:r>
      <w:r>
        <w:rPr>
          <w:w w:val="95"/>
        </w:rPr>
        <w:t>analysis</w:t>
      </w:r>
      <w:r>
        <w:rPr>
          <w:spacing w:val="-8"/>
          <w:w w:val="95"/>
        </w:rPr>
        <w:t xml:space="preserve"> </w:t>
      </w:r>
      <w:r>
        <w:rPr>
          <w:w w:val="95"/>
        </w:rPr>
        <w:t>noted</w:t>
      </w:r>
      <w:r>
        <w:rPr>
          <w:spacing w:val="-8"/>
          <w:w w:val="95"/>
        </w:rPr>
        <w:t xml:space="preserve"> </w:t>
      </w:r>
      <w:r>
        <w:rPr>
          <w:w w:val="95"/>
        </w:rPr>
        <w:t>above,</w:t>
      </w:r>
      <w:r>
        <w:rPr>
          <w:spacing w:val="-8"/>
          <w:w w:val="95"/>
        </w:rPr>
        <w:t xml:space="preserve"> </w:t>
      </w:r>
      <w:r>
        <w:rPr>
          <w:w w:val="95"/>
        </w:rPr>
        <w:t>that</w:t>
      </w:r>
      <w:r>
        <w:rPr>
          <w:spacing w:val="-8"/>
          <w:w w:val="95"/>
        </w:rPr>
        <w:t xml:space="preserve"> </w:t>
      </w:r>
      <w:r>
        <w:rPr>
          <w:w w:val="95"/>
        </w:rPr>
        <w:t>for</w:t>
      </w:r>
      <w:r>
        <w:rPr>
          <w:spacing w:val="-8"/>
          <w:w w:val="95"/>
        </w:rPr>
        <w:t xml:space="preserve"> </w:t>
      </w:r>
      <w:r>
        <w:rPr>
          <w:w w:val="95"/>
        </w:rPr>
        <w:t>the</w:t>
      </w:r>
      <w:r>
        <w:rPr>
          <w:spacing w:val="-8"/>
          <w:w w:val="95"/>
        </w:rPr>
        <w:t xml:space="preserve"> </w:t>
      </w:r>
      <w:r>
        <w:rPr>
          <w:w w:val="95"/>
        </w:rPr>
        <w:t>duration</w:t>
      </w:r>
      <w:r>
        <w:rPr>
          <w:spacing w:val="-8"/>
          <w:w w:val="95"/>
        </w:rPr>
        <w:t xml:space="preserve"> </w:t>
      </w:r>
      <w:r>
        <w:rPr>
          <w:w w:val="95"/>
        </w:rPr>
        <w:t>of</w:t>
      </w:r>
      <w:r>
        <w:rPr>
          <w:spacing w:val="-8"/>
          <w:w w:val="95"/>
        </w:rPr>
        <w:t xml:space="preserve"> </w:t>
      </w:r>
      <w:r>
        <w:rPr>
          <w:w w:val="95"/>
        </w:rPr>
        <w:t>the State</w:t>
      </w:r>
      <w:r>
        <w:rPr>
          <w:spacing w:val="-8"/>
          <w:w w:val="95"/>
        </w:rPr>
        <w:t xml:space="preserve"> </w:t>
      </w:r>
      <w:r>
        <w:rPr>
          <w:w w:val="95"/>
        </w:rPr>
        <w:t>Infrastructure</w:t>
      </w:r>
      <w:r>
        <w:rPr>
          <w:spacing w:val="-8"/>
          <w:w w:val="95"/>
        </w:rPr>
        <w:t xml:space="preserve"> </w:t>
      </w:r>
      <w:r>
        <w:rPr>
          <w:w w:val="95"/>
        </w:rPr>
        <w:t>Strategy,</w:t>
      </w:r>
      <w:r>
        <w:rPr>
          <w:spacing w:val="-8"/>
          <w:w w:val="95"/>
        </w:rPr>
        <w:t xml:space="preserve"> </w:t>
      </w:r>
      <w:r>
        <w:rPr>
          <w:w w:val="95"/>
        </w:rPr>
        <w:t>Sydney</w:t>
      </w:r>
      <w:r>
        <w:rPr>
          <w:spacing w:val="-8"/>
          <w:w w:val="95"/>
        </w:rPr>
        <w:t xml:space="preserve"> </w:t>
      </w:r>
      <w:r>
        <w:rPr>
          <w:w w:val="95"/>
        </w:rPr>
        <w:t>Airport</w:t>
      </w:r>
      <w:r>
        <w:rPr>
          <w:spacing w:val="-8"/>
          <w:w w:val="95"/>
        </w:rPr>
        <w:t xml:space="preserve"> </w:t>
      </w:r>
      <w:r>
        <w:rPr>
          <w:w w:val="95"/>
        </w:rPr>
        <w:t>will remain</w:t>
      </w:r>
      <w:r>
        <w:rPr>
          <w:spacing w:val="-4"/>
          <w:w w:val="95"/>
        </w:rPr>
        <w:t xml:space="preserve"> </w:t>
      </w:r>
      <w:r>
        <w:rPr>
          <w:w w:val="95"/>
        </w:rPr>
        <w:t>the</w:t>
      </w:r>
      <w:r>
        <w:rPr>
          <w:spacing w:val="-4"/>
          <w:w w:val="95"/>
        </w:rPr>
        <w:t xml:space="preserve"> </w:t>
      </w:r>
      <w:r>
        <w:rPr>
          <w:w w:val="95"/>
        </w:rPr>
        <w:t>hub</w:t>
      </w:r>
      <w:r>
        <w:rPr>
          <w:spacing w:val="-4"/>
          <w:w w:val="95"/>
        </w:rPr>
        <w:t xml:space="preserve"> </w:t>
      </w:r>
      <w:r>
        <w:rPr>
          <w:w w:val="95"/>
        </w:rPr>
        <w:t>airport</w:t>
      </w:r>
      <w:r>
        <w:rPr>
          <w:spacing w:val="-4"/>
          <w:w w:val="95"/>
        </w:rPr>
        <w:t xml:space="preserve"> </w:t>
      </w:r>
      <w:r>
        <w:rPr>
          <w:w w:val="95"/>
        </w:rPr>
        <w:t>for</w:t>
      </w:r>
      <w:r>
        <w:rPr>
          <w:spacing w:val="-4"/>
          <w:w w:val="95"/>
        </w:rPr>
        <w:t xml:space="preserve"> </w:t>
      </w:r>
      <w:r>
        <w:rPr>
          <w:w w:val="95"/>
        </w:rPr>
        <w:t>the</w:t>
      </w:r>
      <w:r>
        <w:rPr>
          <w:spacing w:val="-4"/>
          <w:w w:val="95"/>
        </w:rPr>
        <w:t xml:space="preserve"> </w:t>
      </w:r>
      <w:r>
        <w:rPr>
          <w:w w:val="95"/>
        </w:rPr>
        <w:t>Sydney</w:t>
      </w:r>
      <w:r>
        <w:rPr>
          <w:spacing w:val="-4"/>
          <w:w w:val="95"/>
        </w:rPr>
        <w:t xml:space="preserve"> </w:t>
      </w:r>
      <w:r>
        <w:rPr>
          <w:w w:val="95"/>
        </w:rPr>
        <w:t>region</w:t>
      </w:r>
      <w:r>
        <w:rPr>
          <w:spacing w:val="-4"/>
          <w:w w:val="95"/>
        </w:rPr>
        <w:t xml:space="preserve"> </w:t>
      </w:r>
      <w:r>
        <w:rPr>
          <w:w w:val="95"/>
        </w:rPr>
        <w:t xml:space="preserve">but </w:t>
      </w:r>
      <w:r>
        <w:t>additional</w:t>
      </w:r>
      <w:r>
        <w:rPr>
          <w:spacing w:val="-11"/>
        </w:rPr>
        <w:t xml:space="preserve"> </w:t>
      </w:r>
      <w:r>
        <w:t>secondary</w:t>
      </w:r>
      <w:r>
        <w:rPr>
          <w:spacing w:val="-11"/>
        </w:rPr>
        <w:t xml:space="preserve"> </w:t>
      </w:r>
      <w:r>
        <w:t>capacity</w:t>
      </w:r>
      <w:r>
        <w:rPr>
          <w:spacing w:val="-11"/>
        </w:rPr>
        <w:t xml:space="preserve"> </w:t>
      </w:r>
      <w:r>
        <w:t>may</w:t>
      </w:r>
      <w:r>
        <w:rPr>
          <w:spacing w:val="-11"/>
        </w:rPr>
        <w:t xml:space="preserve"> </w:t>
      </w:r>
      <w:r>
        <w:t>be</w:t>
      </w:r>
      <w:r>
        <w:rPr>
          <w:spacing w:val="-11"/>
        </w:rPr>
        <w:t xml:space="preserve"> </w:t>
      </w:r>
      <w:r>
        <w:t>needed from the late 2020s.</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006" w:space="40"/>
            <w:col w:w="5269" w:space="39"/>
            <w:col w:w="5706"/>
          </w:cols>
        </w:sectPr>
      </w:pPr>
    </w:p>
    <w:p w:rsidR="002C1123" w:rsidRDefault="002C1123">
      <w:pPr>
        <w:pStyle w:val="BodyText"/>
        <w:spacing w:before="8" w:after="1"/>
        <w:rPr>
          <w:sz w:val="13"/>
        </w:rPr>
      </w:pPr>
    </w:p>
    <w:p w:rsidR="002C1123" w:rsidRDefault="002060EF">
      <w:pPr>
        <w:pStyle w:val="BodyText"/>
        <w:spacing w:line="20" w:lineRule="exact"/>
        <w:ind w:left="5518"/>
        <w:rPr>
          <w:sz w:val="2"/>
        </w:rPr>
      </w:pPr>
      <w:r>
        <w:rPr>
          <w:sz w:val="2"/>
        </w:rPr>
      </w:r>
      <w:r>
        <w:rPr>
          <w:sz w:val="2"/>
        </w:rPr>
        <w:pict>
          <v:group id="docshapegroup1508" o:spid="_x0000_s3723" style="width:1in;height:.5pt;mso-position-horizontal-relative:char;mso-position-vertical-relative:line" coordsize="1440,10">
            <v:line id="_x0000_s3724" style="position:absolute" from="0,5" to="1440,5" strokecolor="#9c9c9d" strokeweight=".5pt"/>
            <w10:anchorlock/>
          </v:group>
        </w:pict>
      </w:r>
    </w:p>
    <w:p w:rsidR="002C1123" w:rsidRDefault="00F22F94">
      <w:pPr>
        <w:pStyle w:val="ListParagraph"/>
        <w:numPr>
          <w:ilvl w:val="0"/>
          <w:numId w:val="78"/>
        </w:numPr>
        <w:tabs>
          <w:tab w:val="left" w:pos="199"/>
        </w:tabs>
        <w:spacing w:before="8" w:line="161" w:lineRule="exact"/>
        <w:ind w:left="198" w:right="1043"/>
        <w:jc w:val="center"/>
        <w:rPr>
          <w:sz w:val="14"/>
        </w:rPr>
      </w:pPr>
      <w:r>
        <w:rPr>
          <w:w w:val="95"/>
          <w:sz w:val="14"/>
        </w:rPr>
        <w:t>Sydney</w:t>
      </w:r>
      <w:r>
        <w:rPr>
          <w:spacing w:val="7"/>
          <w:sz w:val="14"/>
        </w:rPr>
        <w:t xml:space="preserve"> </w:t>
      </w:r>
      <w:r>
        <w:rPr>
          <w:w w:val="95"/>
          <w:sz w:val="14"/>
        </w:rPr>
        <w:t>Airport</w:t>
      </w:r>
      <w:r>
        <w:rPr>
          <w:spacing w:val="8"/>
          <w:sz w:val="14"/>
        </w:rPr>
        <w:t xml:space="preserve"> </w:t>
      </w:r>
      <w:r>
        <w:rPr>
          <w:w w:val="95"/>
          <w:sz w:val="14"/>
        </w:rPr>
        <w:t>Corporation</w:t>
      </w:r>
      <w:r>
        <w:rPr>
          <w:spacing w:val="8"/>
          <w:sz w:val="14"/>
        </w:rPr>
        <w:t xml:space="preserve"> </w:t>
      </w:r>
      <w:r>
        <w:rPr>
          <w:w w:val="95"/>
          <w:sz w:val="14"/>
        </w:rPr>
        <w:t>2009,</w:t>
      </w:r>
      <w:r>
        <w:rPr>
          <w:spacing w:val="8"/>
          <w:sz w:val="14"/>
        </w:rPr>
        <w:t xml:space="preserve"> </w:t>
      </w:r>
      <w:r>
        <w:rPr>
          <w:w w:val="95"/>
          <w:sz w:val="14"/>
        </w:rPr>
        <w:t>Sydney</w:t>
      </w:r>
      <w:r>
        <w:rPr>
          <w:spacing w:val="8"/>
          <w:sz w:val="14"/>
        </w:rPr>
        <w:t xml:space="preserve"> </w:t>
      </w:r>
      <w:r>
        <w:rPr>
          <w:w w:val="95"/>
          <w:sz w:val="14"/>
        </w:rPr>
        <w:t>Airport</w:t>
      </w:r>
      <w:r>
        <w:rPr>
          <w:spacing w:val="8"/>
          <w:sz w:val="14"/>
        </w:rPr>
        <w:t xml:space="preserve"> </w:t>
      </w:r>
      <w:r>
        <w:rPr>
          <w:w w:val="95"/>
          <w:sz w:val="14"/>
        </w:rPr>
        <w:t>Master</w:t>
      </w:r>
      <w:r>
        <w:rPr>
          <w:spacing w:val="8"/>
          <w:sz w:val="14"/>
        </w:rPr>
        <w:t xml:space="preserve"> </w:t>
      </w:r>
      <w:r>
        <w:rPr>
          <w:spacing w:val="-2"/>
          <w:w w:val="95"/>
          <w:sz w:val="14"/>
        </w:rPr>
        <w:t>Plan.</w:t>
      </w:r>
    </w:p>
    <w:p w:rsidR="002C1123" w:rsidRDefault="00F22F94">
      <w:pPr>
        <w:pStyle w:val="ListParagraph"/>
        <w:numPr>
          <w:ilvl w:val="0"/>
          <w:numId w:val="78"/>
        </w:numPr>
        <w:tabs>
          <w:tab w:val="left" w:pos="199"/>
        </w:tabs>
        <w:spacing w:line="161" w:lineRule="exact"/>
        <w:ind w:left="198" w:right="1043"/>
        <w:jc w:val="center"/>
        <w:rPr>
          <w:sz w:val="14"/>
        </w:rPr>
      </w:pPr>
      <w:r>
        <w:rPr>
          <w:w w:val="95"/>
          <w:sz w:val="14"/>
        </w:rPr>
        <w:t>Sydney</w:t>
      </w:r>
      <w:r>
        <w:rPr>
          <w:spacing w:val="7"/>
          <w:sz w:val="14"/>
        </w:rPr>
        <w:t xml:space="preserve"> </w:t>
      </w:r>
      <w:r>
        <w:rPr>
          <w:w w:val="95"/>
          <w:sz w:val="14"/>
        </w:rPr>
        <w:t>Airport</w:t>
      </w:r>
      <w:r>
        <w:rPr>
          <w:spacing w:val="8"/>
          <w:sz w:val="14"/>
        </w:rPr>
        <w:t xml:space="preserve"> </w:t>
      </w:r>
      <w:r>
        <w:rPr>
          <w:w w:val="95"/>
          <w:sz w:val="14"/>
        </w:rPr>
        <w:t>Corporation</w:t>
      </w:r>
      <w:r>
        <w:rPr>
          <w:spacing w:val="8"/>
          <w:sz w:val="14"/>
        </w:rPr>
        <w:t xml:space="preserve"> </w:t>
      </w:r>
      <w:r>
        <w:rPr>
          <w:w w:val="95"/>
          <w:sz w:val="14"/>
        </w:rPr>
        <w:t>2009,</w:t>
      </w:r>
      <w:r>
        <w:rPr>
          <w:spacing w:val="8"/>
          <w:sz w:val="14"/>
        </w:rPr>
        <w:t xml:space="preserve"> </w:t>
      </w:r>
      <w:r>
        <w:rPr>
          <w:w w:val="95"/>
          <w:sz w:val="14"/>
        </w:rPr>
        <w:t>Sydney</w:t>
      </w:r>
      <w:r>
        <w:rPr>
          <w:spacing w:val="8"/>
          <w:sz w:val="14"/>
        </w:rPr>
        <w:t xml:space="preserve"> </w:t>
      </w:r>
      <w:r>
        <w:rPr>
          <w:w w:val="95"/>
          <w:sz w:val="14"/>
        </w:rPr>
        <w:t>Airport</w:t>
      </w:r>
      <w:r>
        <w:rPr>
          <w:spacing w:val="7"/>
          <w:sz w:val="14"/>
        </w:rPr>
        <w:t xml:space="preserve"> </w:t>
      </w:r>
      <w:r>
        <w:rPr>
          <w:w w:val="95"/>
          <w:sz w:val="14"/>
        </w:rPr>
        <w:t>Master</w:t>
      </w:r>
      <w:r>
        <w:rPr>
          <w:spacing w:val="8"/>
          <w:sz w:val="14"/>
        </w:rPr>
        <w:t xml:space="preserve"> </w:t>
      </w:r>
      <w:r>
        <w:rPr>
          <w:spacing w:val="-2"/>
          <w:w w:val="95"/>
          <w:sz w:val="14"/>
        </w:rPr>
        <w:t>Plan.</w:t>
      </w:r>
    </w:p>
    <w:p w:rsidR="002C1123" w:rsidRDefault="002C1123">
      <w:pPr>
        <w:spacing w:line="161" w:lineRule="exact"/>
        <w:jc w:val="center"/>
        <w:rPr>
          <w:sz w:val="14"/>
        </w:rPr>
        <w:sectPr w:rsidR="002C1123">
          <w:type w:val="continuous"/>
          <w:pgSz w:w="16840" w:h="11910" w:orient="landscape"/>
          <w:pgMar w:top="560" w:right="280" w:bottom="280" w:left="500" w:header="0" w:footer="517"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3"/>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Heading6"/>
        <w:numPr>
          <w:ilvl w:val="2"/>
          <w:numId w:val="80"/>
        </w:numPr>
        <w:tabs>
          <w:tab w:val="left" w:pos="979"/>
        </w:tabs>
        <w:ind w:left="978" w:hanging="487"/>
        <w:jc w:val="left"/>
        <w:rPr>
          <w:color w:val="00AEEF"/>
        </w:rPr>
      </w:pPr>
      <w:bookmarkStart w:id="246" w:name="9.4__Road_infrastructure_around_the_inte"/>
      <w:bookmarkStart w:id="247" w:name="_bookmark175"/>
      <w:bookmarkStart w:id="248" w:name="_bookmark174"/>
      <w:bookmarkEnd w:id="246"/>
      <w:bookmarkEnd w:id="247"/>
      <w:bookmarkEnd w:id="248"/>
      <w:r>
        <w:rPr>
          <w:color w:val="00AEEF"/>
          <w:w w:val="95"/>
        </w:rPr>
        <w:t>Public</w:t>
      </w:r>
      <w:r>
        <w:rPr>
          <w:color w:val="00AEEF"/>
          <w:spacing w:val="3"/>
        </w:rPr>
        <w:t xml:space="preserve"> </w:t>
      </w:r>
      <w:r>
        <w:rPr>
          <w:color w:val="00AEEF"/>
          <w:w w:val="95"/>
        </w:rPr>
        <w:t>transport</w:t>
      </w:r>
      <w:r>
        <w:rPr>
          <w:color w:val="00AEEF"/>
          <w:spacing w:val="3"/>
        </w:rPr>
        <w:t xml:space="preserve"> </w:t>
      </w:r>
      <w:r>
        <w:rPr>
          <w:color w:val="00AEEF"/>
          <w:w w:val="95"/>
        </w:rPr>
        <w:t>to</w:t>
      </w:r>
      <w:r>
        <w:rPr>
          <w:color w:val="00AEEF"/>
          <w:spacing w:val="3"/>
        </w:rPr>
        <w:t xml:space="preserve"> </w:t>
      </w:r>
      <w:r>
        <w:rPr>
          <w:color w:val="00AEEF"/>
          <w:w w:val="95"/>
        </w:rPr>
        <w:t>Sydney</w:t>
      </w:r>
      <w:r>
        <w:rPr>
          <w:color w:val="00AEEF"/>
          <w:spacing w:val="3"/>
        </w:rPr>
        <w:t xml:space="preserve"> </w:t>
      </w:r>
      <w:r>
        <w:rPr>
          <w:color w:val="00AEEF"/>
          <w:spacing w:val="-2"/>
          <w:w w:val="95"/>
        </w:rPr>
        <w:t>Airport</w:t>
      </w:r>
    </w:p>
    <w:p w:rsidR="002C1123" w:rsidRDefault="00F22F94">
      <w:pPr>
        <w:pStyle w:val="BodyText"/>
        <w:spacing w:before="95" w:line="249" w:lineRule="auto"/>
        <w:ind w:left="492"/>
      </w:pPr>
      <w:r>
        <w:t>Transport</w:t>
      </w:r>
      <w:r>
        <w:rPr>
          <w:spacing w:val="-14"/>
        </w:rPr>
        <w:t xml:space="preserve"> </w:t>
      </w:r>
      <w:r>
        <w:t>infrastructure</w:t>
      </w:r>
      <w:r>
        <w:rPr>
          <w:spacing w:val="-14"/>
        </w:rPr>
        <w:t xml:space="preserve"> </w:t>
      </w:r>
      <w:r>
        <w:t>will</w:t>
      </w:r>
      <w:r>
        <w:rPr>
          <w:spacing w:val="-14"/>
        </w:rPr>
        <w:t xml:space="preserve"> </w:t>
      </w:r>
      <w:r>
        <w:t>need</w:t>
      </w:r>
      <w:r>
        <w:rPr>
          <w:spacing w:val="-14"/>
        </w:rPr>
        <w:t xml:space="preserve"> </w:t>
      </w:r>
      <w:r>
        <w:t>to</w:t>
      </w:r>
      <w:r>
        <w:rPr>
          <w:spacing w:val="-14"/>
        </w:rPr>
        <w:t xml:space="preserve"> </w:t>
      </w:r>
      <w:r>
        <w:t>be</w:t>
      </w:r>
      <w:r>
        <w:rPr>
          <w:spacing w:val="-14"/>
        </w:rPr>
        <w:t xml:space="preserve"> </w:t>
      </w:r>
      <w:r>
        <w:t>upgraded</w:t>
      </w:r>
      <w:r>
        <w:rPr>
          <w:spacing w:val="-14"/>
        </w:rPr>
        <w:t xml:space="preserve"> </w:t>
      </w:r>
      <w:r>
        <w:t>to support</w:t>
      </w:r>
      <w:r>
        <w:rPr>
          <w:spacing w:val="-7"/>
        </w:rPr>
        <w:t xml:space="preserve"> </w:t>
      </w:r>
      <w:r>
        <w:t>the</w:t>
      </w:r>
      <w:r>
        <w:rPr>
          <w:spacing w:val="-7"/>
        </w:rPr>
        <w:t xml:space="preserve"> </w:t>
      </w:r>
      <w:r>
        <w:t>forecast</w:t>
      </w:r>
      <w:r>
        <w:rPr>
          <w:spacing w:val="-7"/>
        </w:rPr>
        <w:t xml:space="preserve"> </w:t>
      </w:r>
      <w:r>
        <w:t>growth</w:t>
      </w:r>
      <w:r>
        <w:rPr>
          <w:spacing w:val="-7"/>
        </w:rPr>
        <w:t xml:space="preserve"> </w:t>
      </w:r>
      <w:r>
        <w:t>at</w:t>
      </w:r>
      <w:r>
        <w:rPr>
          <w:spacing w:val="-7"/>
        </w:rPr>
        <w:t xml:space="preserve"> </w:t>
      </w:r>
      <w:r>
        <w:t>Sydney</w:t>
      </w:r>
      <w:r>
        <w:rPr>
          <w:spacing w:val="-7"/>
        </w:rPr>
        <w:t xml:space="preserve"> </w:t>
      </w:r>
      <w:r>
        <w:t>Airport.</w:t>
      </w:r>
      <w:r>
        <w:rPr>
          <w:spacing w:val="-7"/>
        </w:rPr>
        <w:t xml:space="preserve"> </w:t>
      </w:r>
      <w:r>
        <w:t xml:space="preserve">The </w:t>
      </w:r>
      <w:r>
        <w:rPr>
          <w:w w:val="95"/>
        </w:rPr>
        <w:t xml:space="preserve">constraints felt on transport infrastructure around the </w:t>
      </w:r>
      <w:r>
        <w:t>airport make this matter urgent.</w:t>
      </w:r>
    </w:p>
    <w:p w:rsidR="002C1123" w:rsidRDefault="00F22F94">
      <w:pPr>
        <w:pStyle w:val="BodyText"/>
        <w:spacing w:before="145" w:line="249" w:lineRule="auto"/>
        <w:ind w:left="492"/>
      </w:pPr>
      <w:r>
        <w:rPr>
          <w:w w:val="95"/>
        </w:rPr>
        <w:t>Public</w:t>
      </w:r>
      <w:r>
        <w:rPr>
          <w:spacing w:val="-6"/>
          <w:w w:val="95"/>
        </w:rPr>
        <w:t xml:space="preserve"> </w:t>
      </w:r>
      <w:r>
        <w:rPr>
          <w:w w:val="95"/>
        </w:rPr>
        <w:t>transport</w:t>
      </w:r>
      <w:r>
        <w:rPr>
          <w:spacing w:val="-6"/>
          <w:w w:val="95"/>
        </w:rPr>
        <w:t xml:space="preserve"> </w:t>
      </w:r>
      <w:r>
        <w:rPr>
          <w:w w:val="95"/>
        </w:rPr>
        <w:t>is</w:t>
      </w:r>
      <w:r>
        <w:rPr>
          <w:spacing w:val="-6"/>
          <w:w w:val="95"/>
        </w:rPr>
        <w:t xml:space="preserve"> </w:t>
      </w:r>
      <w:r>
        <w:rPr>
          <w:w w:val="95"/>
        </w:rPr>
        <w:t>central</w:t>
      </w:r>
      <w:r>
        <w:rPr>
          <w:spacing w:val="-6"/>
          <w:w w:val="95"/>
        </w:rPr>
        <w:t xml:space="preserve"> </w:t>
      </w:r>
      <w:r>
        <w:rPr>
          <w:w w:val="95"/>
        </w:rPr>
        <w:t>to</w:t>
      </w:r>
      <w:r>
        <w:rPr>
          <w:spacing w:val="-6"/>
          <w:w w:val="95"/>
        </w:rPr>
        <w:t xml:space="preserve"> </w:t>
      </w:r>
      <w:r>
        <w:rPr>
          <w:w w:val="95"/>
        </w:rPr>
        <w:t>this.</w:t>
      </w:r>
      <w:r>
        <w:rPr>
          <w:spacing w:val="-6"/>
          <w:w w:val="95"/>
        </w:rPr>
        <w:t xml:space="preserve"> </w:t>
      </w:r>
      <w:r>
        <w:rPr>
          <w:w w:val="95"/>
        </w:rPr>
        <w:t>As</w:t>
      </w:r>
      <w:r>
        <w:rPr>
          <w:spacing w:val="-6"/>
          <w:w w:val="95"/>
        </w:rPr>
        <w:t xml:space="preserve"> </w:t>
      </w:r>
      <w:r>
        <w:rPr>
          <w:w w:val="95"/>
        </w:rPr>
        <w:t>a</w:t>
      </w:r>
      <w:r>
        <w:rPr>
          <w:spacing w:val="-6"/>
          <w:w w:val="95"/>
        </w:rPr>
        <w:t xml:space="preserve"> </w:t>
      </w:r>
      <w:r>
        <w:rPr>
          <w:w w:val="95"/>
        </w:rPr>
        <w:t>major</w:t>
      </w:r>
      <w:r>
        <w:rPr>
          <w:spacing w:val="-6"/>
          <w:w w:val="95"/>
        </w:rPr>
        <w:t xml:space="preserve"> </w:t>
      </w:r>
      <w:r>
        <w:rPr>
          <w:w w:val="95"/>
        </w:rPr>
        <w:t xml:space="preserve">activity </w:t>
      </w:r>
      <w:r>
        <w:t>centre,</w:t>
      </w:r>
      <w:r>
        <w:rPr>
          <w:spacing w:val="-12"/>
        </w:rPr>
        <w:t xml:space="preserve"> </w:t>
      </w:r>
      <w:r>
        <w:t>airports</w:t>
      </w:r>
      <w:r>
        <w:rPr>
          <w:spacing w:val="-12"/>
        </w:rPr>
        <w:t xml:space="preserve"> </w:t>
      </w:r>
      <w:r>
        <w:t>are</w:t>
      </w:r>
      <w:r>
        <w:rPr>
          <w:spacing w:val="-12"/>
        </w:rPr>
        <w:t xml:space="preserve"> </w:t>
      </w:r>
      <w:r>
        <w:t>well</w:t>
      </w:r>
      <w:r>
        <w:rPr>
          <w:spacing w:val="-12"/>
        </w:rPr>
        <w:t xml:space="preserve"> </w:t>
      </w:r>
      <w:r>
        <w:t>suited</w:t>
      </w:r>
      <w:r>
        <w:rPr>
          <w:spacing w:val="-12"/>
        </w:rPr>
        <w:t xml:space="preserve"> </w:t>
      </w:r>
      <w:r>
        <w:t>to</w:t>
      </w:r>
      <w:r>
        <w:rPr>
          <w:spacing w:val="-12"/>
        </w:rPr>
        <w:t xml:space="preserve"> </w:t>
      </w:r>
      <w:r>
        <w:t>public</w:t>
      </w:r>
      <w:r>
        <w:rPr>
          <w:spacing w:val="-12"/>
        </w:rPr>
        <w:t xml:space="preserve"> </w:t>
      </w:r>
      <w:r>
        <w:t>transport.</w:t>
      </w:r>
    </w:p>
    <w:p w:rsidR="002C1123" w:rsidRDefault="00F22F94">
      <w:pPr>
        <w:pStyle w:val="BodyText"/>
        <w:spacing w:before="2" w:line="249" w:lineRule="auto"/>
        <w:ind w:left="492"/>
      </w:pPr>
      <w:r>
        <w:rPr>
          <w:w w:val="95"/>
        </w:rPr>
        <w:t>By world standards, the modal share of public transport to</w:t>
      </w:r>
      <w:r>
        <w:rPr>
          <w:spacing w:val="-6"/>
          <w:w w:val="95"/>
        </w:rPr>
        <w:t xml:space="preserve"> </w:t>
      </w:r>
      <w:r>
        <w:rPr>
          <w:w w:val="95"/>
        </w:rPr>
        <w:t>Sydney</w:t>
      </w:r>
      <w:r>
        <w:rPr>
          <w:spacing w:val="-6"/>
          <w:w w:val="95"/>
        </w:rPr>
        <w:t xml:space="preserve"> </w:t>
      </w:r>
      <w:r>
        <w:rPr>
          <w:w w:val="95"/>
        </w:rPr>
        <w:t>Airport</w:t>
      </w:r>
      <w:r>
        <w:rPr>
          <w:spacing w:val="-6"/>
          <w:w w:val="95"/>
        </w:rPr>
        <w:t xml:space="preserve"> </w:t>
      </w:r>
      <w:r>
        <w:rPr>
          <w:w w:val="95"/>
        </w:rPr>
        <w:t>is</w:t>
      </w:r>
      <w:r>
        <w:rPr>
          <w:spacing w:val="-6"/>
          <w:w w:val="95"/>
        </w:rPr>
        <w:t xml:space="preserve"> </w:t>
      </w:r>
      <w:r>
        <w:rPr>
          <w:w w:val="95"/>
        </w:rPr>
        <w:t>very</w:t>
      </w:r>
      <w:r>
        <w:rPr>
          <w:spacing w:val="-6"/>
          <w:w w:val="95"/>
        </w:rPr>
        <w:t xml:space="preserve"> </w:t>
      </w:r>
      <w:r>
        <w:rPr>
          <w:w w:val="95"/>
        </w:rPr>
        <w:t>low</w:t>
      </w:r>
      <w:r>
        <w:rPr>
          <w:spacing w:val="-6"/>
          <w:w w:val="95"/>
        </w:rPr>
        <w:t xml:space="preserve"> </w:t>
      </w:r>
      <w:r>
        <w:rPr>
          <w:w w:val="95"/>
        </w:rPr>
        <w:t>at</w:t>
      </w:r>
      <w:r>
        <w:rPr>
          <w:spacing w:val="-6"/>
          <w:w w:val="95"/>
        </w:rPr>
        <w:t xml:space="preserve"> </w:t>
      </w:r>
      <w:r>
        <w:rPr>
          <w:w w:val="95"/>
        </w:rPr>
        <w:t>15</w:t>
      </w:r>
      <w:r>
        <w:rPr>
          <w:spacing w:val="-6"/>
          <w:w w:val="95"/>
        </w:rPr>
        <w:t xml:space="preserve"> </w:t>
      </w:r>
      <w:r>
        <w:rPr>
          <w:w w:val="95"/>
        </w:rPr>
        <w:t>percent.</w:t>
      </w:r>
      <w:r>
        <w:rPr>
          <w:spacing w:val="-6"/>
          <w:w w:val="95"/>
        </w:rPr>
        <w:t xml:space="preserve"> </w:t>
      </w:r>
      <w:r>
        <w:rPr>
          <w:w w:val="95"/>
        </w:rPr>
        <w:t>If</w:t>
      </w:r>
      <w:r>
        <w:rPr>
          <w:spacing w:val="-6"/>
          <w:w w:val="95"/>
        </w:rPr>
        <w:t xml:space="preserve"> </w:t>
      </w:r>
      <w:r>
        <w:rPr>
          <w:w w:val="95"/>
        </w:rPr>
        <w:t>40</w:t>
      </w:r>
      <w:r>
        <w:rPr>
          <w:spacing w:val="-6"/>
          <w:w w:val="95"/>
        </w:rPr>
        <w:t xml:space="preserve"> </w:t>
      </w:r>
      <w:r>
        <w:rPr>
          <w:w w:val="95"/>
        </w:rPr>
        <w:t xml:space="preserve">percent </w:t>
      </w:r>
      <w:r>
        <w:t>of</w:t>
      </w:r>
      <w:r>
        <w:rPr>
          <w:spacing w:val="-10"/>
        </w:rPr>
        <w:t xml:space="preserve"> </w:t>
      </w:r>
      <w:r>
        <w:t>journeys</w:t>
      </w:r>
      <w:r>
        <w:rPr>
          <w:spacing w:val="-10"/>
        </w:rPr>
        <w:t xml:space="preserve"> </w:t>
      </w:r>
      <w:r>
        <w:t>to</w:t>
      </w:r>
      <w:r>
        <w:rPr>
          <w:spacing w:val="-10"/>
        </w:rPr>
        <w:t xml:space="preserve"> </w:t>
      </w:r>
      <w:r>
        <w:t>Sydney</w:t>
      </w:r>
      <w:r>
        <w:rPr>
          <w:spacing w:val="-10"/>
        </w:rPr>
        <w:t xml:space="preserve"> </w:t>
      </w:r>
      <w:r>
        <w:t>Airport</w:t>
      </w:r>
      <w:r>
        <w:rPr>
          <w:spacing w:val="-10"/>
        </w:rPr>
        <w:t xml:space="preserve"> </w:t>
      </w:r>
      <w:r>
        <w:t>were</w:t>
      </w:r>
      <w:r>
        <w:rPr>
          <w:spacing w:val="-10"/>
        </w:rPr>
        <w:t xml:space="preserve"> </w:t>
      </w:r>
      <w:r>
        <w:t>made</w:t>
      </w:r>
      <w:r>
        <w:rPr>
          <w:spacing w:val="-10"/>
        </w:rPr>
        <w:t xml:space="preserve"> </w:t>
      </w:r>
      <w:r>
        <w:t>by</w:t>
      </w:r>
      <w:r>
        <w:rPr>
          <w:spacing w:val="-10"/>
        </w:rPr>
        <w:t xml:space="preserve"> </w:t>
      </w:r>
      <w:r>
        <w:t>public transport</w:t>
      </w:r>
      <w:r>
        <w:rPr>
          <w:spacing w:val="-11"/>
        </w:rPr>
        <w:t xml:space="preserve"> </w:t>
      </w:r>
      <w:r>
        <w:t>today</w:t>
      </w:r>
      <w:r>
        <w:rPr>
          <w:spacing w:val="-11"/>
        </w:rPr>
        <w:t xml:space="preserve"> </w:t>
      </w:r>
      <w:r>
        <w:t>(the</w:t>
      </w:r>
      <w:r>
        <w:rPr>
          <w:spacing w:val="-11"/>
        </w:rPr>
        <w:t xml:space="preserve"> </w:t>
      </w:r>
      <w:r>
        <w:t>mode</w:t>
      </w:r>
      <w:r>
        <w:rPr>
          <w:spacing w:val="-11"/>
        </w:rPr>
        <w:t xml:space="preserve"> </w:t>
      </w:r>
      <w:r>
        <w:t>share</w:t>
      </w:r>
      <w:r>
        <w:rPr>
          <w:spacing w:val="-11"/>
        </w:rPr>
        <w:t xml:space="preserve"> </w:t>
      </w:r>
      <w:r>
        <w:t>of</w:t>
      </w:r>
      <w:r>
        <w:rPr>
          <w:spacing w:val="-11"/>
        </w:rPr>
        <w:t xml:space="preserve"> </w:t>
      </w:r>
      <w:r>
        <w:t>a</w:t>
      </w:r>
      <w:r>
        <w:rPr>
          <w:spacing w:val="-11"/>
        </w:rPr>
        <w:t xml:space="preserve"> </w:t>
      </w:r>
      <w:r>
        <w:t>number</w:t>
      </w:r>
      <w:r>
        <w:rPr>
          <w:spacing w:val="-11"/>
        </w:rPr>
        <w:t xml:space="preserve"> </w:t>
      </w:r>
      <w:r>
        <w:t>of</w:t>
      </w:r>
      <w:r>
        <w:rPr>
          <w:spacing w:val="-11"/>
        </w:rPr>
        <w:t xml:space="preserve"> </w:t>
      </w:r>
      <w:r>
        <w:t xml:space="preserve">major </w:t>
      </w:r>
      <w:r>
        <w:rPr>
          <w:w w:val="95"/>
        </w:rPr>
        <w:t>overseas airports) there would be around 25,000 fewer people</w:t>
      </w:r>
      <w:r>
        <w:rPr>
          <w:spacing w:val="-1"/>
          <w:w w:val="95"/>
        </w:rPr>
        <w:t xml:space="preserve"> </w:t>
      </w:r>
      <w:r>
        <w:rPr>
          <w:w w:val="95"/>
        </w:rPr>
        <w:t>travelling</w:t>
      </w:r>
      <w:r>
        <w:rPr>
          <w:spacing w:val="-1"/>
          <w:w w:val="95"/>
        </w:rPr>
        <w:t xml:space="preserve"> </w:t>
      </w:r>
      <w:r>
        <w:rPr>
          <w:w w:val="95"/>
        </w:rPr>
        <w:t>on</w:t>
      </w:r>
      <w:r>
        <w:rPr>
          <w:spacing w:val="-1"/>
          <w:w w:val="95"/>
        </w:rPr>
        <w:t xml:space="preserve"> </w:t>
      </w:r>
      <w:r>
        <w:rPr>
          <w:w w:val="95"/>
        </w:rPr>
        <w:t>the</w:t>
      </w:r>
      <w:r>
        <w:rPr>
          <w:spacing w:val="-1"/>
          <w:w w:val="95"/>
        </w:rPr>
        <w:t xml:space="preserve"> </w:t>
      </w:r>
      <w:r>
        <w:rPr>
          <w:w w:val="95"/>
        </w:rPr>
        <w:t>roads</w:t>
      </w:r>
      <w:r>
        <w:rPr>
          <w:spacing w:val="-1"/>
          <w:w w:val="95"/>
        </w:rPr>
        <w:t xml:space="preserve"> </w:t>
      </w:r>
      <w:r>
        <w:rPr>
          <w:w w:val="95"/>
        </w:rPr>
        <w:t>around</w:t>
      </w:r>
      <w:r>
        <w:rPr>
          <w:spacing w:val="-1"/>
          <w:w w:val="95"/>
        </w:rPr>
        <w:t xml:space="preserve"> </w:t>
      </w:r>
      <w:r>
        <w:rPr>
          <w:w w:val="95"/>
        </w:rPr>
        <w:t>this</w:t>
      </w:r>
      <w:r>
        <w:rPr>
          <w:spacing w:val="-1"/>
          <w:w w:val="95"/>
        </w:rPr>
        <w:t xml:space="preserve"> </w:t>
      </w:r>
      <w:r>
        <w:rPr>
          <w:w w:val="95"/>
        </w:rPr>
        <w:t>precinct</w:t>
      </w:r>
      <w:r>
        <w:rPr>
          <w:spacing w:val="-1"/>
          <w:w w:val="95"/>
        </w:rPr>
        <w:t xml:space="preserve"> </w:t>
      </w:r>
      <w:r>
        <w:rPr>
          <w:w w:val="95"/>
        </w:rPr>
        <w:t>each day, significantly reducing road congestion in the area.</w:t>
      </w:r>
    </w:p>
    <w:p w:rsidR="002C1123" w:rsidRDefault="00F22F94">
      <w:pPr>
        <w:pStyle w:val="BodyText"/>
        <w:spacing w:before="147" w:line="249" w:lineRule="auto"/>
        <w:ind w:left="492"/>
      </w:pPr>
      <w:r>
        <w:t>Low</w:t>
      </w:r>
      <w:r>
        <w:rPr>
          <w:spacing w:val="-4"/>
        </w:rPr>
        <w:t xml:space="preserve"> </w:t>
      </w:r>
      <w:r>
        <w:t>public</w:t>
      </w:r>
      <w:r>
        <w:rPr>
          <w:spacing w:val="-4"/>
        </w:rPr>
        <w:t xml:space="preserve"> </w:t>
      </w:r>
      <w:r>
        <w:t>transport</w:t>
      </w:r>
      <w:r>
        <w:rPr>
          <w:spacing w:val="-4"/>
        </w:rPr>
        <w:t xml:space="preserve"> </w:t>
      </w:r>
      <w:r>
        <w:t>mode</w:t>
      </w:r>
      <w:r>
        <w:rPr>
          <w:spacing w:val="-4"/>
        </w:rPr>
        <w:t xml:space="preserve"> </w:t>
      </w:r>
      <w:r>
        <w:t>share</w:t>
      </w:r>
      <w:r>
        <w:rPr>
          <w:spacing w:val="-4"/>
        </w:rPr>
        <w:t xml:space="preserve"> </w:t>
      </w:r>
      <w:r>
        <w:t>is</w:t>
      </w:r>
      <w:r>
        <w:rPr>
          <w:spacing w:val="-4"/>
        </w:rPr>
        <w:t xml:space="preserve"> </w:t>
      </w:r>
      <w:r>
        <w:t>due</w:t>
      </w:r>
      <w:r>
        <w:rPr>
          <w:spacing w:val="-4"/>
        </w:rPr>
        <w:t xml:space="preserve"> </w:t>
      </w:r>
      <w:r>
        <w:t>partly</w:t>
      </w:r>
      <w:r>
        <w:rPr>
          <w:spacing w:val="-4"/>
        </w:rPr>
        <w:t xml:space="preserve"> </w:t>
      </w:r>
      <w:r>
        <w:t>to inadequate</w:t>
      </w:r>
      <w:r>
        <w:rPr>
          <w:spacing w:val="-14"/>
        </w:rPr>
        <w:t xml:space="preserve"> </w:t>
      </w:r>
      <w:r>
        <w:t>service</w:t>
      </w:r>
      <w:r>
        <w:rPr>
          <w:spacing w:val="-14"/>
        </w:rPr>
        <w:t xml:space="preserve"> </w:t>
      </w:r>
      <w:r>
        <w:t>provision.</w:t>
      </w:r>
      <w:r>
        <w:rPr>
          <w:spacing w:val="-14"/>
        </w:rPr>
        <w:t xml:space="preserve"> </w:t>
      </w:r>
      <w:r>
        <w:t>The</w:t>
      </w:r>
      <w:r>
        <w:rPr>
          <w:spacing w:val="-14"/>
        </w:rPr>
        <w:t xml:space="preserve"> </w:t>
      </w:r>
      <w:r>
        <w:t>airport</w:t>
      </w:r>
      <w:r>
        <w:rPr>
          <w:spacing w:val="-14"/>
        </w:rPr>
        <w:t xml:space="preserve"> </w:t>
      </w:r>
      <w:r>
        <w:t>is</w:t>
      </w:r>
      <w:r>
        <w:rPr>
          <w:spacing w:val="-14"/>
        </w:rPr>
        <w:t xml:space="preserve"> </w:t>
      </w:r>
      <w:r>
        <w:t xml:space="preserve">connected </w:t>
      </w:r>
      <w:r>
        <w:rPr>
          <w:w w:val="95"/>
        </w:rPr>
        <w:t xml:space="preserve">to Sydney’s CBD through the Airport Line, but lacks bus </w:t>
      </w:r>
      <w:r>
        <w:t>access.</w:t>
      </w:r>
      <w:r>
        <w:rPr>
          <w:spacing w:val="-11"/>
        </w:rPr>
        <w:t xml:space="preserve"> </w:t>
      </w:r>
      <w:r>
        <w:t>Only</w:t>
      </w:r>
      <w:r>
        <w:rPr>
          <w:spacing w:val="-11"/>
        </w:rPr>
        <w:t xml:space="preserve"> </w:t>
      </w:r>
      <w:r>
        <w:t>one</w:t>
      </w:r>
      <w:r>
        <w:rPr>
          <w:spacing w:val="-11"/>
        </w:rPr>
        <w:t xml:space="preserve"> </w:t>
      </w:r>
      <w:r>
        <w:t>bus</w:t>
      </w:r>
      <w:r>
        <w:rPr>
          <w:spacing w:val="-11"/>
        </w:rPr>
        <w:t xml:space="preserve"> </w:t>
      </w:r>
      <w:r>
        <w:t>service</w:t>
      </w:r>
      <w:r>
        <w:rPr>
          <w:spacing w:val="-11"/>
        </w:rPr>
        <w:t xml:space="preserve"> </w:t>
      </w:r>
      <w:r>
        <w:t>runs</w:t>
      </w:r>
      <w:r>
        <w:rPr>
          <w:spacing w:val="-11"/>
        </w:rPr>
        <w:t xml:space="preserve"> </w:t>
      </w:r>
      <w:r>
        <w:t>to</w:t>
      </w:r>
      <w:r>
        <w:rPr>
          <w:spacing w:val="-11"/>
        </w:rPr>
        <w:t xml:space="preserve"> </w:t>
      </w:r>
      <w:r>
        <w:t>Sydney</w:t>
      </w:r>
      <w:r>
        <w:rPr>
          <w:spacing w:val="-11"/>
        </w:rPr>
        <w:t xml:space="preserve"> </w:t>
      </w:r>
      <w:r>
        <w:t xml:space="preserve">Airport, </w:t>
      </w:r>
      <w:r>
        <w:rPr>
          <w:w w:val="95"/>
        </w:rPr>
        <w:t xml:space="preserve">whereas London’s Heathrow Airport, which has roughly double Sydney’s passenger numbers, which has 29 bus </w:t>
      </w:r>
      <w:r>
        <w:t>routes</w:t>
      </w:r>
      <w:r>
        <w:rPr>
          <w:spacing w:val="-4"/>
        </w:rPr>
        <w:t xml:space="preserve"> </w:t>
      </w:r>
      <w:r>
        <w:t>(and</w:t>
      </w:r>
      <w:r>
        <w:rPr>
          <w:spacing w:val="-4"/>
        </w:rPr>
        <w:t xml:space="preserve"> </w:t>
      </w:r>
      <w:r>
        <w:t>two</w:t>
      </w:r>
      <w:r>
        <w:rPr>
          <w:spacing w:val="-4"/>
        </w:rPr>
        <w:t xml:space="preserve"> </w:t>
      </w:r>
      <w:r>
        <w:t>rail</w:t>
      </w:r>
      <w:r>
        <w:rPr>
          <w:spacing w:val="-4"/>
        </w:rPr>
        <w:t xml:space="preserve"> </w:t>
      </w:r>
      <w:r>
        <w:t>connections)</w:t>
      </w:r>
      <w:r>
        <w:rPr>
          <w:position w:val="7"/>
          <w:sz w:val="11"/>
        </w:rPr>
        <w:t>19</w:t>
      </w:r>
      <w:r>
        <w:t>.</w:t>
      </w:r>
    </w:p>
    <w:p w:rsidR="002C1123" w:rsidRDefault="00F22F94">
      <w:pPr>
        <w:pStyle w:val="BodyText"/>
        <w:spacing w:before="148" w:line="249" w:lineRule="auto"/>
        <w:ind w:left="492"/>
      </w:pPr>
      <w:r>
        <w:t>Public</w:t>
      </w:r>
      <w:r>
        <w:rPr>
          <w:spacing w:val="-11"/>
        </w:rPr>
        <w:t xml:space="preserve"> </w:t>
      </w:r>
      <w:r>
        <w:t>transport</w:t>
      </w:r>
      <w:r>
        <w:rPr>
          <w:spacing w:val="-11"/>
        </w:rPr>
        <w:t xml:space="preserve"> </w:t>
      </w:r>
      <w:r>
        <w:t>usage</w:t>
      </w:r>
      <w:r>
        <w:rPr>
          <w:spacing w:val="-11"/>
        </w:rPr>
        <w:t xml:space="preserve"> </w:t>
      </w:r>
      <w:r>
        <w:t>is</w:t>
      </w:r>
      <w:r>
        <w:rPr>
          <w:spacing w:val="-11"/>
        </w:rPr>
        <w:t xml:space="preserve"> </w:t>
      </w:r>
      <w:r>
        <w:t>also</w:t>
      </w:r>
      <w:r>
        <w:rPr>
          <w:spacing w:val="-11"/>
        </w:rPr>
        <w:t xml:space="preserve"> </w:t>
      </w:r>
      <w:r>
        <w:t>low</w:t>
      </w:r>
      <w:r>
        <w:rPr>
          <w:spacing w:val="-11"/>
        </w:rPr>
        <w:t xml:space="preserve"> </w:t>
      </w:r>
      <w:r>
        <w:t>because</w:t>
      </w:r>
      <w:r>
        <w:rPr>
          <w:spacing w:val="-11"/>
        </w:rPr>
        <w:t xml:space="preserve"> </w:t>
      </w:r>
      <w:r>
        <w:t>private transport</w:t>
      </w:r>
      <w:r>
        <w:rPr>
          <w:spacing w:val="-7"/>
        </w:rPr>
        <w:t xml:space="preserve"> </w:t>
      </w:r>
      <w:r>
        <w:t>is</w:t>
      </w:r>
      <w:r>
        <w:rPr>
          <w:spacing w:val="-7"/>
        </w:rPr>
        <w:t xml:space="preserve"> </w:t>
      </w:r>
      <w:r>
        <w:t>often</w:t>
      </w:r>
      <w:r>
        <w:rPr>
          <w:spacing w:val="-7"/>
        </w:rPr>
        <w:t xml:space="preserve"> </w:t>
      </w:r>
      <w:r>
        <w:t>cheaper</w:t>
      </w:r>
      <w:r>
        <w:rPr>
          <w:spacing w:val="-7"/>
        </w:rPr>
        <w:t xml:space="preserve"> </w:t>
      </w:r>
      <w:r>
        <w:t>than</w:t>
      </w:r>
      <w:r>
        <w:rPr>
          <w:spacing w:val="-7"/>
        </w:rPr>
        <w:t xml:space="preserve"> </w:t>
      </w:r>
      <w:r>
        <w:t>public</w:t>
      </w:r>
      <w:r>
        <w:rPr>
          <w:spacing w:val="-7"/>
        </w:rPr>
        <w:t xml:space="preserve"> </w:t>
      </w:r>
      <w:r>
        <w:t>transport.</w:t>
      </w:r>
      <w:r>
        <w:rPr>
          <w:spacing w:val="-7"/>
        </w:rPr>
        <w:t xml:space="preserve"> </w:t>
      </w:r>
      <w:r>
        <w:t>It</w:t>
      </w:r>
      <w:r>
        <w:rPr>
          <w:spacing w:val="-7"/>
        </w:rPr>
        <w:t xml:space="preserve"> </w:t>
      </w:r>
      <w:r>
        <w:t xml:space="preserve">is </w:t>
      </w:r>
      <w:r>
        <w:rPr>
          <w:w w:val="95"/>
        </w:rPr>
        <w:t>cheaper</w:t>
      </w:r>
      <w:r>
        <w:rPr>
          <w:spacing w:val="-9"/>
          <w:w w:val="95"/>
        </w:rPr>
        <w:t xml:space="preserve"> </w:t>
      </w:r>
      <w:r>
        <w:rPr>
          <w:w w:val="95"/>
        </w:rPr>
        <w:t>for</w:t>
      </w:r>
      <w:r>
        <w:rPr>
          <w:spacing w:val="-9"/>
          <w:w w:val="95"/>
        </w:rPr>
        <w:t xml:space="preserve"> </w:t>
      </w:r>
      <w:r>
        <w:rPr>
          <w:w w:val="95"/>
        </w:rPr>
        <w:t>three</w:t>
      </w:r>
      <w:r>
        <w:rPr>
          <w:spacing w:val="-9"/>
          <w:w w:val="95"/>
        </w:rPr>
        <w:t xml:space="preserve"> </w:t>
      </w:r>
      <w:r>
        <w:rPr>
          <w:w w:val="95"/>
        </w:rPr>
        <w:t>people</w:t>
      </w:r>
      <w:r>
        <w:rPr>
          <w:spacing w:val="-9"/>
          <w:w w:val="95"/>
        </w:rPr>
        <w:t xml:space="preserve"> </w:t>
      </w:r>
      <w:r>
        <w:rPr>
          <w:w w:val="95"/>
        </w:rPr>
        <w:t>to</w:t>
      </w:r>
      <w:r>
        <w:rPr>
          <w:spacing w:val="-9"/>
          <w:w w:val="95"/>
        </w:rPr>
        <w:t xml:space="preserve"> </w:t>
      </w:r>
      <w:r>
        <w:rPr>
          <w:w w:val="95"/>
        </w:rPr>
        <w:t>share</w:t>
      </w:r>
      <w:r>
        <w:rPr>
          <w:spacing w:val="-9"/>
          <w:w w:val="95"/>
        </w:rPr>
        <w:t xml:space="preserve"> </w:t>
      </w:r>
      <w:r>
        <w:rPr>
          <w:w w:val="95"/>
        </w:rPr>
        <w:t>a</w:t>
      </w:r>
      <w:r>
        <w:rPr>
          <w:spacing w:val="-9"/>
          <w:w w:val="95"/>
        </w:rPr>
        <w:t xml:space="preserve"> </w:t>
      </w:r>
      <w:r>
        <w:rPr>
          <w:w w:val="95"/>
        </w:rPr>
        <w:t>taxi</w:t>
      </w:r>
      <w:r>
        <w:rPr>
          <w:spacing w:val="-9"/>
          <w:w w:val="95"/>
        </w:rPr>
        <w:t xml:space="preserve"> </w:t>
      </w:r>
      <w:r>
        <w:rPr>
          <w:w w:val="95"/>
        </w:rPr>
        <w:t>to</w:t>
      </w:r>
      <w:r>
        <w:rPr>
          <w:spacing w:val="-9"/>
          <w:w w:val="95"/>
        </w:rPr>
        <w:t xml:space="preserve"> </w:t>
      </w:r>
      <w:r>
        <w:rPr>
          <w:w w:val="95"/>
        </w:rPr>
        <w:t>Sydney</w:t>
      </w:r>
      <w:r>
        <w:rPr>
          <w:spacing w:val="-9"/>
          <w:w w:val="95"/>
        </w:rPr>
        <w:t xml:space="preserve"> </w:t>
      </w:r>
      <w:r>
        <w:rPr>
          <w:w w:val="95"/>
        </w:rPr>
        <w:t xml:space="preserve">Airport from the CBD than for them to travel on the Airport Line, </w:t>
      </w:r>
      <w:r>
        <w:rPr>
          <w:spacing w:val="-2"/>
        </w:rPr>
        <w:t>due</w:t>
      </w:r>
      <w:r>
        <w:rPr>
          <w:spacing w:val="-10"/>
        </w:rPr>
        <w:t xml:space="preserve"> </w:t>
      </w:r>
      <w:r>
        <w:rPr>
          <w:spacing w:val="-2"/>
        </w:rPr>
        <w:t>to</w:t>
      </w:r>
      <w:r>
        <w:rPr>
          <w:spacing w:val="-10"/>
        </w:rPr>
        <w:t xml:space="preserve"> </w:t>
      </w:r>
      <w:r>
        <w:rPr>
          <w:spacing w:val="-2"/>
        </w:rPr>
        <w:t>the</w:t>
      </w:r>
      <w:r>
        <w:rPr>
          <w:spacing w:val="-10"/>
        </w:rPr>
        <w:t xml:space="preserve"> </w:t>
      </w:r>
      <w:r>
        <w:rPr>
          <w:spacing w:val="-2"/>
        </w:rPr>
        <w:t>high</w:t>
      </w:r>
      <w:r>
        <w:rPr>
          <w:spacing w:val="-10"/>
        </w:rPr>
        <w:t xml:space="preserve"> </w:t>
      </w:r>
      <w:r>
        <w:rPr>
          <w:spacing w:val="-2"/>
        </w:rPr>
        <w:t>Airport</w:t>
      </w:r>
      <w:r>
        <w:rPr>
          <w:spacing w:val="-10"/>
        </w:rPr>
        <w:t xml:space="preserve"> </w:t>
      </w:r>
      <w:r>
        <w:rPr>
          <w:spacing w:val="-2"/>
        </w:rPr>
        <w:t>Station</w:t>
      </w:r>
      <w:r>
        <w:rPr>
          <w:spacing w:val="-10"/>
        </w:rPr>
        <w:t xml:space="preserve"> </w:t>
      </w:r>
      <w:r>
        <w:rPr>
          <w:spacing w:val="-2"/>
        </w:rPr>
        <w:t>usage</w:t>
      </w:r>
      <w:r>
        <w:rPr>
          <w:spacing w:val="-10"/>
        </w:rPr>
        <w:t xml:space="preserve"> </w:t>
      </w:r>
      <w:r>
        <w:rPr>
          <w:spacing w:val="-2"/>
        </w:rPr>
        <w:t>fee</w:t>
      </w:r>
      <w:r>
        <w:rPr>
          <w:spacing w:val="-10"/>
        </w:rPr>
        <w:t xml:space="preserve"> </w:t>
      </w:r>
      <w:r>
        <w:rPr>
          <w:spacing w:val="-2"/>
        </w:rPr>
        <w:t>($12</w:t>
      </w:r>
      <w:r>
        <w:rPr>
          <w:spacing w:val="-10"/>
        </w:rPr>
        <w:t xml:space="preserve"> </w:t>
      </w:r>
      <w:r>
        <w:rPr>
          <w:spacing w:val="-2"/>
        </w:rPr>
        <w:t>in</w:t>
      </w:r>
      <w:r>
        <w:rPr>
          <w:spacing w:val="-10"/>
        </w:rPr>
        <w:t xml:space="preserve"> </w:t>
      </w:r>
      <w:r>
        <w:rPr>
          <w:spacing w:val="-2"/>
        </w:rPr>
        <w:t xml:space="preserve">2012) </w:t>
      </w:r>
      <w:r>
        <w:rPr>
          <w:w w:val="90"/>
        </w:rPr>
        <w:t>Airports where public transport costs are relatively cheaper generally</w:t>
      </w:r>
      <w:r>
        <w:rPr>
          <w:spacing w:val="6"/>
        </w:rPr>
        <w:t xml:space="preserve"> </w:t>
      </w:r>
      <w:r>
        <w:rPr>
          <w:w w:val="90"/>
        </w:rPr>
        <w:t>have</w:t>
      </w:r>
      <w:r>
        <w:rPr>
          <w:spacing w:val="7"/>
        </w:rPr>
        <w:t xml:space="preserve"> </w:t>
      </w:r>
      <w:r>
        <w:rPr>
          <w:w w:val="90"/>
        </w:rPr>
        <w:t>a</w:t>
      </w:r>
      <w:r>
        <w:rPr>
          <w:spacing w:val="7"/>
        </w:rPr>
        <w:t xml:space="preserve"> </w:t>
      </w:r>
      <w:r>
        <w:rPr>
          <w:w w:val="90"/>
        </w:rPr>
        <w:t>higher</w:t>
      </w:r>
      <w:r>
        <w:rPr>
          <w:spacing w:val="7"/>
        </w:rPr>
        <w:t xml:space="preserve"> </w:t>
      </w:r>
      <w:r>
        <w:rPr>
          <w:w w:val="90"/>
        </w:rPr>
        <w:t>share</w:t>
      </w:r>
      <w:r>
        <w:rPr>
          <w:spacing w:val="7"/>
        </w:rPr>
        <w:t xml:space="preserve"> </w:t>
      </w:r>
      <w:r>
        <w:rPr>
          <w:w w:val="90"/>
        </w:rPr>
        <w:t>of</w:t>
      </w:r>
      <w:r>
        <w:rPr>
          <w:spacing w:val="7"/>
        </w:rPr>
        <w:t xml:space="preserve"> </w:t>
      </w:r>
      <w:r>
        <w:rPr>
          <w:w w:val="90"/>
        </w:rPr>
        <w:t>public</w:t>
      </w:r>
      <w:r>
        <w:rPr>
          <w:spacing w:val="7"/>
        </w:rPr>
        <w:t xml:space="preserve"> </w:t>
      </w:r>
      <w:r>
        <w:rPr>
          <w:w w:val="90"/>
        </w:rPr>
        <w:t>transport</w:t>
      </w:r>
      <w:r>
        <w:rPr>
          <w:spacing w:val="7"/>
        </w:rPr>
        <w:t xml:space="preserve"> </w:t>
      </w:r>
      <w:r>
        <w:rPr>
          <w:spacing w:val="-2"/>
          <w:w w:val="90"/>
        </w:rPr>
        <w:t>usage</w:t>
      </w:r>
      <w:r>
        <w:rPr>
          <w:spacing w:val="-2"/>
          <w:w w:val="90"/>
          <w:position w:val="7"/>
          <w:sz w:val="11"/>
        </w:rPr>
        <w:t>20</w:t>
      </w:r>
      <w:r>
        <w:rPr>
          <w:spacing w:val="-2"/>
          <w:w w:val="90"/>
        </w:rPr>
        <w:t>.</w:t>
      </w:r>
    </w:p>
    <w:p w:rsidR="002C1123" w:rsidRDefault="002C1123">
      <w:pPr>
        <w:pStyle w:val="BodyText"/>
      </w:pPr>
    </w:p>
    <w:p w:rsidR="002C1123" w:rsidRDefault="002060EF">
      <w:pPr>
        <w:pStyle w:val="BodyText"/>
        <w:spacing w:before="8"/>
        <w:rPr>
          <w:sz w:val="12"/>
        </w:rPr>
      </w:pPr>
      <w:r>
        <w:pict>
          <v:shape id="docshape1509" o:spid="_x0000_s3722" style="position:absolute;margin-left:49.6pt;margin-top:8.55pt;width:1in;height:.1pt;z-index:-251367424;mso-wrap-distance-left:0;mso-wrap-distance-right:0;mso-position-horizontal-relative:page" coordorigin="992,171" coordsize="1440,0" path="m992,171r1440,e" filled="f" strokecolor="#9c9c9d" strokeweight=".5pt">
            <v:path arrowok="t"/>
            <w10:wrap type="topAndBottom" anchorx="page"/>
          </v:shape>
        </w:pict>
      </w:r>
    </w:p>
    <w:p w:rsidR="002C1123" w:rsidRDefault="00F22F94">
      <w:pPr>
        <w:pStyle w:val="ListParagraph"/>
        <w:numPr>
          <w:ilvl w:val="0"/>
          <w:numId w:val="78"/>
        </w:numPr>
        <w:tabs>
          <w:tab w:val="left" w:pos="691"/>
        </w:tabs>
        <w:spacing w:before="23"/>
        <w:ind w:right="123"/>
        <w:jc w:val="left"/>
        <w:rPr>
          <w:sz w:val="14"/>
        </w:rPr>
      </w:pPr>
      <w:r>
        <w:rPr>
          <w:w w:val="95"/>
          <w:sz w:val="14"/>
        </w:rPr>
        <w:t>Ernst &amp; Young 2011, Port Botany – Sydney Airport Precinct Scoping Study</w:t>
      </w:r>
      <w:r>
        <w:rPr>
          <w:spacing w:val="40"/>
          <w:sz w:val="14"/>
        </w:rPr>
        <w:t xml:space="preserve"> </w:t>
      </w:r>
      <w:r>
        <w:rPr>
          <w:sz w:val="14"/>
        </w:rPr>
        <w:t>report to Infrastructure NSW.</w:t>
      </w:r>
    </w:p>
    <w:p w:rsidR="002C1123" w:rsidRDefault="00F22F94">
      <w:pPr>
        <w:pStyle w:val="ListParagraph"/>
        <w:numPr>
          <w:ilvl w:val="0"/>
          <w:numId w:val="78"/>
        </w:numPr>
        <w:tabs>
          <w:tab w:val="left" w:pos="691"/>
        </w:tabs>
        <w:ind w:right="123"/>
        <w:jc w:val="left"/>
        <w:rPr>
          <w:sz w:val="14"/>
        </w:rPr>
      </w:pPr>
      <w:r>
        <w:rPr>
          <w:w w:val="95"/>
          <w:sz w:val="14"/>
        </w:rPr>
        <w:t>Ernst &amp; Young 2011, Port Botany – Sydney Airport Precinct Scoping Study</w:t>
      </w:r>
      <w:r>
        <w:rPr>
          <w:spacing w:val="40"/>
          <w:sz w:val="14"/>
        </w:rPr>
        <w:t xml:space="preserve"> </w:t>
      </w:r>
      <w:r>
        <w:rPr>
          <w:sz w:val="14"/>
        </w:rPr>
        <w:t>report to Infrastructure NSW.</w:t>
      </w:r>
    </w:p>
    <w:p w:rsidR="002C1123" w:rsidRDefault="00F22F94">
      <w:pPr>
        <w:spacing w:before="2" w:after="24"/>
        <w:rPr>
          <w:sz w:val="11"/>
        </w:rPr>
      </w:pPr>
      <w:r>
        <w:br w:type="column"/>
      </w:r>
    </w:p>
    <w:p w:rsidR="002C1123" w:rsidRDefault="002060EF">
      <w:pPr>
        <w:pStyle w:val="BodyText"/>
        <w:ind w:left="205" w:right="-29"/>
      </w:pPr>
      <w:r>
        <w:pict>
          <v:shape id="docshape1510" o:spid="_x0000_s5267" type="#_x0000_t202" style="width:239pt;height:69.35pt;mso-left-percent:-10001;mso-top-percent:-10001;mso-position-horizontal:absolute;mso-position-horizontal-relative:char;mso-position-vertical:absolute;mso-position-vertical-relative:line;mso-left-percent:-10001;mso-top-percent:-10001" fillcolor="#e1e0e1" stroked="f">
            <v:textbox inset="0,0,0,0">
              <w:txbxContent>
                <w:p w:rsidR="00F22F94" w:rsidRDefault="00F22F94">
                  <w:pPr>
                    <w:pStyle w:val="BodyText"/>
                    <w:spacing w:before="68" w:line="249" w:lineRule="auto"/>
                    <w:ind w:left="113" w:right="115"/>
                    <w:rPr>
                      <w:color w:val="000000"/>
                    </w:rPr>
                  </w:pPr>
                  <w:r>
                    <w:rPr>
                      <w:b/>
                      <w:color w:val="00AEEF"/>
                      <w:w w:val="95"/>
                    </w:rPr>
                    <w:t>Recommendation</w:t>
                  </w:r>
                  <w:r>
                    <w:rPr>
                      <w:b/>
                      <w:color w:val="00AEEF"/>
                      <w:spacing w:val="40"/>
                    </w:rPr>
                    <w:t xml:space="preserve"> </w:t>
                  </w:r>
                  <w:r>
                    <w:rPr>
                      <w:color w:val="000000"/>
                      <w:w w:val="95"/>
                    </w:rPr>
                    <w:t xml:space="preserve">Infrastructure NSW recommends </w:t>
                  </w:r>
                  <w:r>
                    <w:rPr>
                      <w:color w:val="000000"/>
                    </w:rPr>
                    <w:t>in the short term that the NSW Government take action</w:t>
                  </w:r>
                  <w:r>
                    <w:rPr>
                      <w:color w:val="000000"/>
                      <w:spacing w:val="-13"/>
                    </w:rPr>
                    <w:t xml:space="preserve"> </w:t>
                  </w:r>
                  <w:r>
                    <w:rPr>
                      <w:color w:val="000000"/>
                    </w:rPr>
                    <w:t>to</w:t>
                  </w:r>
                  <w:r>
                    <w:rPr>
                      <w:color w:val="000000"/>
                      <w:spacing w:val="-13"/>
                    </w:rPr>
                    <w:t xml:space="preserve"> </w:t>
                  </w:r>
                  <w:r>
                    <w:rPr>
                      <w:color w:val="000000"/>
                    </w:rPr>
                    <w:t>improve</w:t>
                  </w:r>
                  <w:r>
                    <w:rPr>
                      <w:color w:val="000000"/>
                      <w:spacing w:val="-13"/>
                    </w:rPr>
                    <w:t xml:space="preserve"> </w:t>
                  </w:r>
                  <w:r>
                    <w:rPr>
                      <w:color w:val="000000"/>
                    </w:rPr>
                    <w:t>public</w:t>
                  </w:r>
                  <w:r>
                    <w:rPr>
                      <w:color w:val="000000"/>
                      <w:spacing w:val="-13"/>
                    </w:rPr>
                    <w:t xml:space="preserve"> </w:t>
                  </w:r>
                  <w:r>
                    <w:rPr>
                      <w:color w:val="000000"/>
                    </w:rPr>
                    <w:t>transport</w:t>
                  </w:r>
                  <w:r>
                    <w:rPr>
                      <w:color w:val="000000"/>
                      <w:spacing w:val="-13"/>
                    </w:rPr>
                    <w:t xml:space="preserve"> </w:t>
                  </w:r>
                  <w:r>
                    <w:rPr>
                      <w:color w:val="000000"/>
                    </w:rPr>
                    <w:t>to</w:t>
                  </w:r>
                  <w:r>
                    <w:rPr>
                      <w:color w:val="000000"/>
                      <w:spacing w:val="-13"/>
                    </w:rPr>
                    <w:t xml:space="preserve"> </w:t>
                  </w:r>
                  <w:r>
                    <w:rPr>
                      <w:color w:val="000000"/>
                    </w:rPr>
                    <w:t>Sydney</w:t>
                  </w:r>
                  <w:r>
                    <w:rPr>
                      <w:color w:val="000000"/>
                      <w:spacing w:val="-13"/>
                    </w:rPr>
                    <w:t xml:space="preserve"> </w:t>
                  </w:r>
                  <w:r>
                    <w:rPr>
                      <w:color w:val="000000"/>
                    </w:rPr>
                    <w:t xml:space="preserve">Airport, </w:t>
                  </w:r>
                  <w:r>
                    <w:rPr>
                      <w:color w:val="000000"/>
                      <w:w w:val="95"/>
                    </w:rPr>
                    <w:t xml:space="preserve">including reducing the Airport Station Usage Fee and </w:t>
                  </w:r>
                  <w:r>
                    <w:rPr>
                      <w:color w:val="000000"/>
                    </w:rPr>
                    <w:t>offering improved bus services.</w:t>
                  </w:r>
                </w:p>
              </w:txbxContent>
            </v:textbox>
            <w10:anchorlock/>
          </v:shape>
        </w:pict>
      </w:r>
    </w:p>
    <w:p w:rsidR="002C1123" w:rsidRDefault="00F22F94">
      <w:pPr>
        <w:pStyle w:val="BodyText"/>
        <w:spacing w:before="90" w:line="249" w:lineRule="auto"/>
        <w:ind w:left="205" w:right="14"/>
      </w:pPr>
      <w:r>
        <w:rPr>
          <w:spacing w:val="-2"/>
          <w:w w:val="95"/>
        </w:rPr>
        <w:t>More</w:t>
      </w:r>
      <w:r>
        <w:rPr>
          <w:spacing w:val="-6"/>
          <w:w w:val="95"/>
        </w:rPr>
        <w:t xml:space="preserve"> </w:t>
      </w:r>
      <w:r>
        <w:rPr>
          <w:spacing w:val="-2"/>
          <w:w w:val="95"/>
        </w:rPr>
        <w:t>detailed</w:t>
      </w:r>
      <w:r>
        <w:rPr>
          <w:spacing w:val="-6"/>
          <w:w w:val="95"/>
        </w:rPr>
        <w:t xml:space="preserve"> </w:t>
      </w:r>
      <w:r>
        <w:rPr>
          <w:spacing w:val="-2"/>
          <w:w w:val="95"/>
        </w:rPr>
        <w:t>analysis</w:t>
      </w:r>
      <w:r>
        <w:rPr>
          <w:spacing w:val="-6"/>
          <w:w w:val="95"/>
        </w:rPr>
        <w:t xml:space="preserve"> </w:t>
      </w:r>
      <w:r>
        <w:rPr>
          <w:spacing w:val="-2"/>
          <w:w w:val="95"/>
        </w:rPr>
        <w:t>is</w:t>
      </w:r>
      <w:r>
        <w:rPr>
          <w:spacing w:val="-6"/>
          <w:w w:val="95"/>
        </w:rPr>
        <w:t xml:space="preserve"> </w:t>
      </w:r>
      <w:r>
        <w:rPr>
          <w:spacing w:val="-2"/>
          <w:w w:val="95"/>
        </w:rPr>
        <w:t>needed</w:t>
      </w:r>
      <w:r>
        <w:rPr>
          <w:spacing w:val="-6"/>
          <w:w w:val="95"/>
        </w:rPr>
        <w:t xml:space="preserve"> </w:t>
      </w:r>
      <w:r>
        <w:rPr>
          <w:spacing w:val="-2"/>
          <w:w w:val="95"/>
        </w:rPr>
        <w:t>of</w:t>
      </w:r>
      <w:r>
        <w:rPr>
          <w:spacing w:val="-6"/>
          <w:w w:val="95"/>
        </w:rPr>
        <w:t xml:space="preserve"> </w:t>
      </w:r>
      <w:r>
        <w:rPr>
          <w:spacing w:val="-2"/>
          <w:w w:val="95"/>
        </w:rPr>
        <w:t>options</w:t>
      </w:r>
      <w:r>
        <w:rPr>
          <w:spacing w:val="-6"/>
          <w:w w:val="95"/>
        </w:rPr>
        <w:t xml:space="preserve"> </w:t>
      </w:r>
      <w:r>
        <w:rPr>
          <w:spacing w:val="-2"/>
          <w:w w:val="95"/>
        </w:rPr>
        <w:t>to</w:t>
      </w:r>
      <w:r>
        <w:rPr>
          <w:spacing w:val="-6"/>
          <w:w w:val="95"/>
        </w:rPr>
        <w:t xml:space="preserve"> </w:t>
      </w:r>
      <w:r>
        <w:rPr>
          <w:spacing w:val="-2"/>
          <w:w w:val="95"/>
        </w:rPr>
        <w:t>reduce</w:t>
      </w:r>
      <w:r>
        <w:rPr>
          <w:spacing w:val="-6"/>
          <w:w w:val="95"/>
        </w:rPr>
        <w:t xml:space="preserve"> </w:t>
      </w:r>
      <w:r>
        <w:rPr>
          <w:spacing w:val="-2"/>
          <w:w w:val="95"/>
        </w:rPr>
        <w:t xml:space="preserve">the </w:t>
      </w:r>
      <w:r>
        <w:rPr>
          <w:w w:val="90"/>
        </w:rPr>
        <w:t>Airport</w:t>
      </w:r>
      <w:r>
        <w:rPr>
          <w:spacing w:val="-2"/>
          <w:w w:val="90"/>
        </w:rPr>
        <w:t xml:space="preserve"> </w:t>
      </w:r>
      <w:r>
        <w:rPr>
          <w:w w:val="90"/>
        </w:rPr>
        <w:t>Station</w:t>
      </w:r>
      <w:r>
        <w:rPr>
          <w:spacing w:val="-2"/>
          <w:w w:val="90"/>
        </w:rPr>
        <w:t xml:space="preserve"> </w:t>
      </w:r>
      <w:r>
        <w:rPr>
          <w:w w:val="90"/>
        </w:rPr>
        <w:t>Usage</w:t>
      </w:r>
      <w:r>
        <w:rPr>
          <w:spacing w:val="-2"/>
          <w:w w:val="90"/>
        </w:rPr>
        <w:t xml:space="preserve"> </w:t>
      </w:r>
      <w:r>
        <w:rPr>
          <w:w w:val="90"/>
        </w:rPr>
        <w:t>Fee.</w:t>
      </w:r>
      <w:r>
        <w:rPr>
          <w:spacing w:val="-2"/>
          <w:w w:val="90"/>
        </w:rPr>
        <w:t xml:space="preserve"> </w:t>
      </w:r>
      <w:r>
        <w:rPr>
          <w:w w:val="90"/>
        </w:rPr>
        <w:t>This</w:t>
      </w:r>
      <w:r>
        <w:rPr>
          <w:spacing w:val="-2"/>
          <w:w w:val="90"/>
        </w:rPr>
        <w:t xml:space="preserve"> </w:t>
      </w:r>
      <w:r>
        <w:rPr>
          <w:w w:val="90"/>
        </w:rPr>
        <w:t>should</w:t>
      </w:r>
      <w:r>
        <w:rPr>
          <w:spacing w:val="-2"/>
          <w:w w:val="90"/>
        </w:rPr>
        <w:t xml:space="preserve"> </w:t>
      </w:r>
      <w:r>
        <w:rPr>
          <w:w w:val="90"/>
        </w:rPr>
        <w:t>ideally</w:t>
      </w:r>
      <w:r>
        <w:rPr>
          <w:spacing w:val="-2"/>
          <w:w w:val="90"/>
        </w:rPr>
        <w:t xml:space="preserve"> </w:t>
      </w:r>
      <w:r>
        <w:rPr>
          <w:w w:val="90"/>
        </w:rPr>
        <w:t>be</w:t>
      </w:r>
      <w:r>
        <w:rPr>
          <w:spacing w:val="-2"/>
          <w:w w:val="90"/>
        </w:rPr>
        <w:t xml:space="preserve"> </w:t>
      </w:r>
      <w:r>
        <w:rPr>
          <w:w w:val="90"/>
        </w:rPr>
        <w:t xml:space="preserve">achieved </w:t>
      </w:r>
      <w:r>
        <w:rPr>
          <w:w w:val="95"/>
        </w:rPr>
        <w:t>in</w:t>
      </w:r>
      <w:r>
        <w:rPr>
          <w:spacing w:val="-8"/>
          <w:w w:val="95"/>
        </w:rPr>
        <w:t xml:space="preserve"> </w:t>
      </w:r>
      <w:r>
        <w:rPr>
          <w:w w:val="95"/>
        </w:rPr>
        <w:t>a</w:t>
      </w:r>
      <w:r>
        <w:rPr>
          <w:spacing w:val="-8"/>
          <w:w w:val="95"/>
        </w:rPr>
        <w:t xml:space="preserve"> </w:t>
      </w:r>
      <w:r>
        <w:rPr>
          <w:w w:val="95"/>
        </w:rPr>
        <w:t>way</w:t>
      </w:r>
      <w:r>
        <w:rPr>
          <w:spacing w:val="-8"/>
          <w:w w:val="95"/>
        </w:rPr>
        <w:t xml:space="preserve"> </w:t>
      </w:r>
      <w:r>
        <w:rPr>
          <w:w w:val="95"/>
        </w:rPr>
        <w:t>that</w:t>
      </w:r>
      <w:r>
        <w:rPr>
          <w:spacing w:val="-8"/>
          <w:w w:val="95"/>
        </w:rPr>
        <w:t xml:space="preserve"> </w:t>
      </w:r>
      <w:r>
        <w:rPr>
          <w:w w:val="95"/>
        </w:rPr>
        <w:t>is</w:t>
      </w:r>
      <w:r>
        <w:rPr>
          <w:spacing w:val="-8"/>
          <w:w w:val="95"/>
        </w:rPr>
        <w:t xml:space="preserve"> </w:t>
      </w:r>
      <w:r>
        <w:rPr>
          <w:w w:val="95"/>
        </w:rPr>
        <w:t>cost-neutral</w:t>
      </w:r>
      <w:r>
        <w:rPr>
          <w:spacing w:val="-8"/>
          <w:w w:val="95"/>
        </w:rPr>
        <w:t xml:space="preserve"> </w:t>
      </w:r>
      <w:r>
        <w:rPr>
          <w:w w:val="95"/>
        </w:rPr>
        <w:t>to</w:t>
      </w:r>
      <w:r>
        <w:rPr>
          <w:spacing w:val="-8"/>
          <w:w w:val="95"/>
        </w:rPr>
        <w:t xml:space="preserve"> </w:t>
      </w:r>
      <w:r>
        <w:rPr>
          <w:w w:val="95"/>
        </w:rPr>
        <w:t>the</w:t>
      </w:r>
      <w:r>
        <w:rPr>
          <w:spacing w:val="-8"/>
          <w:w w:val="95"/>
        </w:rPr>
        <w:t xml:space="preserve"> </w:t>
      </w:r>
      <w:r>
        <w:rPr>
          <w:w w:val="95"/>
        </w:rPr>
        <w:t>State.</w:t>
      </w:r>
      <w:r>
        <w:rPr>
          <w:spacing w:val="-8"/>
          <w:w w:val="95"/>
        </w:rPr>
        <w:t xml:space="preserve"> </w:t>
      </w:r>
      <w:r>
        <w:rPr>
          <w:w w:val="95"/>
        </w:rPr>
        <w:t>This</w:t>
      </w:r>
      <w:r>
        <w:rPr>
          <w:spacing w:val="-8"/>
          <w:w w:val="95"/>
        </w:rPr>
        <w:t xml:space="preserve"> </w:t>
      </w:r>
      <w:r>
        <w:rPr>
          <w:w w:val="95"/>
        </w:rPr>
        <w:t>could</w:t>
      </w:r>
      <w:r>
        <w:rPr>
          <w:spacing w:val="-8"/>
          <w:w w:val="95"/>
        </w:rPr>
        <w:t xml:space="preserve"> </w:t>
      </w:r>
      <w:r>
        <w:rPr>
          <w:w w:val="95"/>
        </w:rPr>
        <w:t>be achieved,</w:t>
      </w:r>
      <w:r>
        <w:rPr>
          <w:spacing w:val="-13"/>
          <w:w w:val="95"/>
        </w:rPr>
        <w:t xml:space="preserve"> </w:t>
      </w:r>
      <w:r>
        <w:rPr>
          <w:w w:val="95"/>
        </w:rPr>
        <w:t>for</w:t>
      </w:r>
      <w:r>
        <w:rPr>
          <w:spacing w:val="-12"/>
          <w:w w:val="95"/>
        </w:rPr>
        <w:t xml:space="preserve"> </w:t>
      </w:r>
      <w:r>
        <w:rPr>
          <w:w w:val="95"/>
        </w:rPr>
        <w:t>example,</w:t>
      </w:r>
      <w:r>
        <w:rPr>
          <w:spacing w:val="-12"/>
          <w:w w:val="95"/>
        </w:rPr>
        <w:t xml:space="preserve"> </w:t>
      </w:r>
      <w:r>
        <w:rPr>
          <w:w w:val="95"/>
        </w:rPr>
        <w:t>by</w:t>
      </w:r>
      <w:r>
        <w:rPr>
          <w:spacing w:val="-12"/>
          <w:w w:val="95"/>
        </w:rPr>
        <w:t xml:space="preserve"> </w:t>
      </w:r>
      <w:r>
        <w:rPr>
          <w:w w:val="95"/>
        </w:rPr>
        <w:t>the</w:t>
      </w:r>
      <w:r>
        <w:rPr>
          <w:spacing w:val="-13"/>
          <w:w w:val="95"/>
        </w:rPr>
        <w:t xml:space="preserve"> </w:t>
      </w:r>
      <w:r>
        <w:rPr>
          <w:w w:val="95"/>
        </w:rPr>
        <w:t>development</w:t>
      </w:r>
      <w:r>
        <w:rPr>
          <w:spacing w:val="-12"/>
          <w:w w:val="95"/>
        </w:rPr>
        <w:t xml:space="preserve"> </w:t>
      </w:r>
      <w:r>
        <w:rPr>
          <w:w w:val="95"/>
        </w:rPr>
        <w:t>of</w:t>
      </w:r>
      <w:r>
        <w:rPr>
          <w:spacing w:val="-12"/>
          <w:w w:val="95"/>
        </w:rPr>
        <w:t xml:space="preserve"> </w:t>
      </w:r>
      <w:r>
        <w:rPr>
          <w:w w:val="95"/>
        </w:rPr>
        <w:t>alternative funding</w:t>
      </w:r>
      <w:r>
        <w:rPr>
          <w:spacing w:val="-4"/>
          <w:w w:val="95"/>
        </w:rPr>
        <w:t xml:space="preserve"> </w:t>
      </w:r>
      <w:r>
        <w:rPr>
          <w:w w:val="95"/>
        </w:rPr>
        <w:t>sources</w:t>
      </w:r>
      <w:r>
        <w:rPr>
          <w:spacing w:val="-4"/>
          <w:w w:val="95"/>
        </w:rPr>
        <w:t xml:space="preserve"> </w:t>
      </w:r>
      <w:r>
        <w:rPr>
          <w:w w:val="95"/>
        </w:rPr>
        <w:t>that</w:t>
      </w:r>
      <w:r>
        <w:rPr>
          <w:spacing w:val="-4"/>
          <w:w w:val="95"/>
        </w:rPr>
        <w:t xml:space="preserve"> </w:t>
      </w:r>
      <w:r>
        <w:rPr>
          <w:w w:val="95"/>
        </w:rPr>
        <w:t>aim</w:t>
      </w:r>
      <w:r>
        <w:rPr>
          <w:spacing w:val="-4"/>
          <w:w w:val="95"/>
        </w:rPr>
        <w:t xml:space="preserve"> </w:t>
      </w:r>
      <w:r>
        <w:rPr>
          <w:w w:val="95"/>
        </w:rPr>
        <w:t>to</w:t>
      </w:r>
      <w:r>
        <w:rPr>
          <w:spacing w:val="-4"/>
          <w:w w:val="95"/>
        </w:rPr>
        <w:t xml:space="preserve"> </w:t>
      </w:r>
      <w:r>
        <w:rPr>
          <w:w w:val="95"/>
        </w:rPr>
        <w:t>spread</w:t>
      </w:r>
      <w:r>
        <w:rPr>
          <w:spacing w:val="-4"/>
          <w:w w:val="95"/>
        </w:rPr>
        <w:t xml:space="preserve"> </w:t>
      </w:r>
      <w:r>
        <w:rPr>
          <w:w w:val="95"/>
        </w:rPr>
        <w:t>costs</w:t>
      </w:r>
      <w:r>
        <w:rPr>
          <w:spacing w:val="-4"/>
          <w:w w:val="95"/>
        </w:rPr>
        <w:t xml:space="preserve"> </w:t>
      </w:r>
      <w:r>
        <w:rPr>
          <w:w w:val="95"/>
        </w:rPr>
        <w:t>more</w:t>
      </w:r>
      <w:r>
        <w:rPr>
          <w:spacing w:val="-4"/>
          <w:w w:val="95"/>
        </w:rPr>
        <w:t xml:space="preserve"> </w:t>
      </w:r>
      <w:r>
        <w:rPr>
          <w:w w:val="95"/>
        </w:rPr>
        <w:t xml:space="preserve">evenly </w:t>
      </w:r>
      <w:r>
        <w:t>across airport users.</w:t>
      </w:r>
    </w:p>
    <w:p w:rsidR="002C1123" w:rsidRDefault="00F22F94">
      <w:pPr>
        <w:pStyle w:val="BodyText"/>
        <w:spacing w:before="147" w:line="249" w:lineRule="auto"/>
        <w:ind w:left="205"/>
      </w:pPr>
      <w:r>
        <w:rPr>
          <w:w w:val="95"/>
        </w:rPr>
        <w:t>As</w:t>
      </w:r>
      <w:r>
        <w:rPr>
          <w:spacing w:val="-10"/>
          <w:w w:val="95"/>
        </w:rPr>
        <w:t xml:space="preserve"> </w:t>
      </w:r>
      <w:r>
        <w:rPr>
          <w:w w:val="95"/>
        </w:rPr>
        <w:t>at</w:t>
      </w:r>
      <w:r>
        <w:rPr>
          <w:spacing w:val="-10"/>
          <w:w w:val="95"/>
        </w:rPr>
        <w:t xml:space="preserve"> </w:t>
      </w:r>
      <w:r>
        <w:rPr>
          <w:w w:val="95"/>
        </w:rPr>
        <w:t>Port</w:t>
      </w:r>
      <w:r>
        <w:rPr>
          <w:spacing w:val="-10"/>
          <w:w w:val="95"/>
        </w:rPr>
        <w:t xml:space="preserve"> </w:t>
      </w:r>
      <w:r>
        <w:rPr>
          <w:w w:val="95"/>
        </w:rPr>
        <w:t>Botany,</w:t>
      </w:r>
      <w:r>
        <w:rPr>
          <w:spacing w:val="-10"/>
          <w:w w:val="95"/>
        </w:rPr>
        <w:t xml:space="preserve"> </w:t>
      </w:r>
      <w:r>
        <w:rPr>
          <w:w w:val="95"/>
        </w:rPr>
        <w:t>the</w:t>
      </w:r>
      <w:r>
        <w:rPr>
          <w:spacing w:val="-10"/>
          <w:w w:val="95"/>
        </w:rPr>
        <w:t xml:space="preserve"> </w:t>
      </w:r>
      <w:r>
        <w:rPr>
          <w:w w:val="95"/>
        </w:rPr>
        <w:t>number</w:t>
      </w:r>
      <w:r>
        <w:rPr>
          <w:spacing w:val="-10"/>
          <w:w w:val="95"/>
        </w:rPr>
        <w:t xml:space="preserve"> </w:t>
      </w:r>
      <w:r>
        <w:rPr>
          <w:w w:val="95"/>
        </w:rPr>
        <w:t>of</w:t>
      </w:r>
      <w:r>
        <w:rPr>
          <w:spacing w:val="-10"/>
          <w:w w:val="95"/>
        </w:rPr>
        <w:t xml:space="preserve"> </w:t>
      </w:r>
      <w:r>
        <w:rPr>
          <w:w w:val="95"/>
        </w:rPr>
        <w:t>road</w:t>
      </w:r>
      <w:r>
        <w:rPr>
          <w:spacing w:val="-10"/>
          <w:w w:val="95"/>
        </w:rPr>
        <w:t xml:space="preserve"> </w:t>
      </w:r>
      <w:r>
        <w:rPr>
          <w:w w:val="95"/>
        </w:rPr>
        <w:t>journeys</w:t>
      </w:r>
      <w:r>
        <w:rPr>
          <w:spacing w:val="-10"/>
          <w:w w:val="95"/>
        </w:rPr>
        <w:t xml:space="preserve"> </w:t>
      </w:r>
      <w:r>
        <w:rPr>
          <w:w w:val="95"/>
        </w:rPr>
        <w:t>to</w:t>
      </w:r>
      <w:r>
        <w:rPr>
          <w:spacing w:val="-10"/>
          <w:w w:val="95"/>
        </w:rPr>
        <w:t xml:space="preserve"> </w:t>
      </w:r>
      <w:r>
        <w:rPr>
          <w:w w:val="95"/>
        </w:rPr>
        <w:t>Sydney Airport</w:t>
      </w:r>
      <w:r>
        <w:rPr>
          <w:spacing w:val="-12"/>
          <w:w w:val="95"/>
        </w:rPr>
        <w:t xml:space="preserve"> </w:t>
      </w:r>
      <w:r>
        <w:rPr>
          <w:w w:val="95"/>
        </w:rPr>
        <w:t>is</w:t>
      </w:r>
      <w:r>
        <w:rPr>
          <w:spacing w:val="-11"/>
          <w:w w:val="95"/>
        </w:rPr>
        <w:t xml:space="preserve"> </w:t>
      </w:r>
      <w:r>
        <w:rPr>
          <w:w w:val="95"/>
        </w:rPr>
        <w:t>forecast</w:t>
      </w:r>
      <w:r>
        <w:rPr>
          <w:spacing w:val="-11"/>
          <w:w w:val="95"/>
        </w:rPr>
        <w:t xml:space="preserve"> </w:t>
      </w:r>
      <w:r>
        <w:rPr>
          <w:w w:val="95"/>
        </w:rPr>
        <w:t>to</w:t>
      </w:r>
      <w:r>
        <w:rPr>
          <w:spacing w:val="-11"/>
          <w:w w:val="95"/>
        </w:rPr>
        <w:t xml:space="preserve"> </w:t>
      </w:r>
      <w:r>
        <w:rPr>
          <w:w w:val="95"/>
        </w:rPr>
        <w:t>rise</w:t>
      </w:r>
      <w:r>
        <w:rPr>
          <w:spacing w:val="-12"/>
          <w:w w:val="95"/>
        </w:rPr>
        <w:t xml:space="preserve"> </w:t>
      </w:r>
      <w:r>
        <w:rPr>
          <w:w w:val="95"/>
        </w:rPr>
        <w:t>over</w:t>
      </w:r>
      <w:r>
        <w:rPr>
          <w:spacing w:val="-11"/>
          <w:w w:val="95"/>
        </w:rPr>
        <w:t xml:space="preserve"> </w:t>
      </w:r>
      <w:r>
        <w:rPr>
          <w:w w:val="95"/>
        </w:rPr>
        <w:t>the</w:t>
      </w:r>
      <w:r>
        <w:rPr>
          <w:spacing w:val="-11"/>
          <w:w w:val="95"/>
        </w:rPr>
        <w:t xml:space="preserve"> </w:t>
      </w:r>
      <w:r>
        <w:rPr>
          <w:w w:val="95"/>
        </w:rPr>
        <w:t>next</w:t>
      </w:r>
      <w:r>
        <w:rPr>
          <w:spacing w:val="-11"/>
          <w:w w:val="95"/>
        </w:rPr>
        <w:t xml:space="preserve"> </w:t>
      </w:r>
      <w:r>
        <w:rPr>
          <w:w w:val="95"/>
        </w:rPr>
        <w:t>20</w:t>
      </w:r>
      <w:r>
        <w:rPr>
          <w:spacing w:val="-11"/>
          <w:w w:val="95"/>
        </w:rPr>
        <w:t xml:space="preserve"> </w:t>
      </w:r>
      <w:r>
        <w:rPr>
          <w:w w:val="95"/>
        </w:rPr>
        <w:t>years,</w:t>
      </w:r>
      <w:r>
        <w:rPr>
          <w:spacing w:val="-12"/>
          <w:w w:val="95"/>
        </w:rPr>
        <w:t xml:space="preserve"> </w:t>
      </w:r>
      <w:r>
        <w:rPr>
          <w:w w:val="95"/>
        </w:rPr>
        <w:t>even</w:t>
      </w:r>
      <w:r>
        <w:rPr>
          <w:spacing w:val="-11"/>
          <w:w w:val="95"/>
        </w:rPr>
        <w:t xml:space="preserve"> </w:t>
      </w:r>
      <w:r>
        <w:rPr>
          <w:w w:val="95"/>
        </w:rPr>
        <w:t xml:space="preserve">with </w:t>
      </w:r>
      <w:r>
        <w:t>significant</w:t>
      </w:r>
      <w:r>
        <w:rPr>
          <w:spacing w:val="-14"/>
        </w:rPr>
        <w:t xml:space="preserve"> </w:t>
      </w:r>
      <w:r>
        <w:t>modal</w:t>
      </w:r>
      <w:r>
        <w:rPr>
          <w:spacing w:val="-14"/>
        </w:rPr>
        <w:t xml:space="preserve"> </w:t>
      </w:r>
      <w:r>
        <w:t>shift</w:t>
      </w:r>
      <w:r>
        <w:rPr>
          <w:spacing w:val="-14"/>
        </w:rPr>
        <w:t xml:space="preserve"> </w:t>
      </w:r>
      <w:r>
        <w:t>to</w:t>
      </w:r>
      <w:r>
        <w:rPr>
          <w:spacing w:val="-14"/>
        </w:rPr>
        <w:t xml:space="preserve"> </w:t>
      </w:r>
      <w:r>
        <w:t>public</w:t>
      </w:r>
      <w:r>
        <w:rPr>
          <w:spacing w:val="-14"/>
        </w:rPr>
        <w:t xml:space="preserve"> </w:t>
      </w:r>
      <w:r>
        <w:t>transport,</w:t>
      </w:r>
      <w:r>
        <w:rPr>
          <w:spacing w:val="-14"/>
        </w:rPr>
        <w:t xml:space="preserve"> </w:t>
      </w:r>
      <w:r>
        <w:t>making</w:t>
      </w:r>
      <w:r>
        <w:rPr>
          <w:spacing w:val="-14"/>
        </w:rPr>
        <w:t xml:space="preserve"> </w:t>
      </w:r>
      <w:r>
        <w:t>major road</w:t>
      </w:r>
      <w:r>
        <w:rPr>
          <w:spacing w:val="-14"/>
        </w:rPr>
        <w:t xml:space="preserve"> </w:t>
      </w:r>
      <w:r>
        <w:t>investment</w:t>
      </w:r>
      <w:r>
        <w:rPr>
          <w:spacing w:val="-14"/>
        </w:rPr>
        <w:t xml:space="preserve"> </w:t>
      </w:r>
      <w:r>
        <w:t>around</w:t>
      </w:r>
      <w:r>
        <w:rPr>
          <w:spacing w:val="-14"/>
        </w:rPr>
        <w:t xml:space="preserve"> </w:t>
      </w:r>
      <w:r>
        <w:t>the</w:t>
      </w:r>
      <w:r>
        <w:rPr>
          <w:spacing w:val="-14"/>
        </w:rPr>
        <w:t xml:space="preserve"> </w:t>
      </w:r>
      <w:r>
        <w:t>airport</w:t>
      </w:r>
      <w:r>
        <w:rPr>
          <w:spacing w:val="-14"/>
        </w:rPr>
        <w:t xml:space="preserve"> </w:t>
      </w:r>
      <w:r>
        <w:t>essential.</w:t>
      </w:r>
    </w:p>
    <w:p w:rsidR="002C1123" w:rsidRDefault="002C1123">
      <w:pPr>
        <w:pStyle w:val="BodyText"/>
        <w:spacing w:before="2"/>
        <w:rPr>
          <w:sz w:val="25"/>
        </w:rPr>
      </w:pPr>
    </w:p>
    <w:p w:rsidR="002C1123" w:rsidRDefault="00F22F94">
      <w:pPr>
        <w:pStyle w:val="Heading5"/>
        <w:numPr>
          <w:ilvl w:val="1"/>
          <w:numId w:val="80"/>
        </w:numPr>
        <w:tabs>
          <w:tab w:val="left" w:pos="655"/>
        </w:tabs>
        <w:spacing w:before="0" w:line="223" w:lineRule="auto"/>
        <w:ind w:left="654" w:right="849"/>
        <w:jc w:val="left"/>
      </w:pPr>
      <w:r>
        <w:rPr>
          <w:color w:val="00AEEF"/>
          <w:spacing w:val="-6"/>
        </w:rPr>
        <w:t>Road</w:t>
      </w:r>
      <w:r>
        <w:rPr>
          <w:color w:val="00AEEF"/>
          <w:spacing w:val="-11"/>
        </w:rPr>
        <w:t xml:space="preserve"> </w:t>
      </w:r>
      <w:r>
        <w:rPr>
          <w:color w:val="00AEEF"/>
          <w:spacing w:val="-6"/>
        </w:rPr>
        <w:t>infrastructure</w:t>
      </w:r>
      <w:r>
        <w:rPr>
          <w:color w:val="00AEEF"/>
          <w:spacing w:val="-11"/>
        </w:rPr>
        <w:t xml:space="preserve"> </w:t>
      </w:r>
      <w:r>
        <w:rPr>
          <w:color w:val="00AEEF"/>
          <w:spacing w:val="-6"/>
        </w:rPr>
        <w:t xml:space="preserve">around </w:t>
      </w:r>
      <w:r>
        <w:rPr>
          <w:color w:val="00AEEF"/>
        </w:rPr>
        <w:t>the</w:t>
      </w:r>
      <w:r>
        <w:rPr>
          <w:color w:val="00AEEF"/>
          <w:spacing w:val="-20"/>
        </w:rPr>
        <w:t xml:space="preserve"> </w:t>
      </w:r>
      <w:r>
        <w:rPr>
          <w:color w:val="00AEEF"/>
        </w:rPr>
        <w:t>international</w:t>
      </w:r>
      <w:r>
        <w:rPr>
          <w:color w:val="00AEEF"/>
          <w:spacing w:val="-19"/>
        </w:rPr>
        <w:t xml:space="preserve"> </w:t>
      </w:r>
      <w:r>
        <w:rPr>
          <w:color w:val="00AEEF"/>
        </w:rPr>
        <w:t>gateways</w:t>
      </w:r>
    </w:p>
    <w:p w:rsidR="002C1123" w:rsidRDefault="00F22F94">
      <w:pPr>
        <w:pStyle w:val="BodyText"/>
        <w:spacing w:before="140" w:line="249" w:lineRule="auto"/>
        <w:ind w:left="205" w:right="14"/>
      </w:pPr>
      <w:r>
        <w:rPr>
          <w:w w:val="95"/>
        </w:rPr>
        <w:t>In</w:t>
      </w:r>
      <w:r>
        <w:rPr>
          <w:spacing w:val="-4"/>
          <w:w w:val="95"/>
        </w:rPr>
        <w:t xml:space="preserve"> </w:t>
      </w:r>
      <w:r>
        <w:rPr>
          <w:w w:val="95"/>
        </w:rPr>
        <w:t>the</w:t>
      </w:r>
      <w:r>
        <w:rPr>
          <w:spacing w:val="-4"/>
          <w:w w:val="95"/>
        </w:rPr>
        <w:t xml:space="preserve"> </w:t>
      </w:r>
      <w:r>
        <w:rPr>
          <w:w w:val="95"/>
        </w:rPr>
        <w:t>short</w:t>
      </w:r>
      <w:r>
        <w:rPr>
          <w:spacing w:val="-4"/>
          <w:w w:val="95"/>
        </w:rPr>
        <w:t xml:space="preserve"> </w:t>
      </w:r>
      <w:r>
        <w:rPr>
          <w:w w:val="95"/>
        </w:rPr>
        <w:t>term,</w:t>
      </w:r>
      <w:r>
        <w:rPr>
          <w:spacing w:val="-4"/>
          <w:w w:val="95"/>
        </w:rPr>
        <w:t xml:space="preserve"> </w:t>
      </w:r>
      <w:r>
        <w:rPr>
          <w:w w:val="95"/>
        </w:rPr>
        <w:t>actions</w:t>
      </w:r>
      <w:r>
        <w:rPr>
          <w:spacing w:val="-4"/>
          <w:w w:val="95"/>
        </w:rPr>
        <w:t xml:space="preserve"> </w:t>
      </w:r>
      <w:r>
        <w:rPr>
          <w:w w:val="95"/>
        </w:rPr>
        <w:t>to</w:t>
      </w:r>
      <w:r>
        <w:rPr>
          <w:spacing w:val="-4"/>
          <w:w w:val="95"/>
        </w:rPr>
        <w:t xml:space="preserve"> </w:t>
      </w:r>
      <w:r>
        <w:rPr>
          <w:w w:val="95"/>
        </w:rPr>
        <w:t>improve</w:t>
      </w:r>
      <w:r>
        <w:rPr>
          <w:spacing w:val="-4"/>
          <w:w w:val="95"/>
        </w:rPr>
        <w:t xml:space="preserve"> </w:t>
      </w:r>
      <w:r>
        <w:rPr>
          <w:w w:val="95"/>
        </w:rPr>
        <w:t>traffic</w:t>
      </w:r>
      <w:r>
        <w:rPr>
          <w:spacing w:val="-4"/>
          <w:w w:val="95"/>
        </w:rPr>
        <w:t xml:space="preserve"> </w:t>
      </w:r>
      <w:r>
        <w:rPr>
          <w:w w:val="95"/>
        </w:rPr>
        <w:t>flows</w:t>
      </w:r>
      <w:r>
        <w:rPr>
          <w:spacing w:val="-4"/>
          <w:w w:val="95"/>
        </w:rPr>
        <w:t xml:space="preserve"> </w:t>
      </w:r>
      <w:r>
        <w:rPr>
          <w:w w:val="95"/>
        </w:rPr>
        <w:t xml:space="preserve">around </w:t>
      </w:r>
      <w:r>
        <w:t>Port</w:t>
      </w:r>
      <w:r>
        <w:rPr>
          <w:spacing w:val="-6"/>
        </w:rPr>
        <w:t xml:space="preserve"> </w:t>
      </w:r>
      <w:r>
        <w:t>Botany</w:t>
      </w:r>
      <w:r>
        <w:rPr>
          <w:spacing w:val="-6"/>
        </w:rPr>
        <w:t xml:space="preserve"> </w:t>
      </w:r>
      <w:r>
        <w:t>and</w:t>
      </w:r>
      <w:r>
        <w:rPr>
          <w:spacing w:val="-6"/>
        </w:rPr>
        <w:t xml:space="preserve"> </w:t>
      </w:r>
      <w:r>
        <w:t>Sydney</w:t>
      </w:r>
      <w:r>
        <w:rPr>
          <w:spacing w:val="-6"/>
        </w:rPr>
        <w:t xml:space="preserve"> </w:t>
      </w:r>
      <w:r>
        <w:t>Airport</w:t>
      </w:r>
      <w:r>
        <w:rPr>
          <w:spacing w:val="-6"/>
        </w:rPr>
        <w:t xml:space="preserve"> </w:t>
      </w:r>
      <w:r>
        <w:t>should</w:t>
      </w:r>
      <w:r>
        <w:rPr>
          <w:spacing w:val="-6"/>
        </w:rPr>
        <w:t xml:space="preserve"> </w:t>
      </w:r>
      <w:r>
        <w:t>include:</w:t>
      </w:r>
    </w:p>
    <w:p w:rsidR="002C1123" w:rsidRDefault="00F22F94">
      <w:pPr>
        <w:pStyle w:val="ListParagraph"/>
        <w:numPr>
          <w:ilvl w:val="0"/>
          <w:numId w:val="77"/>
        </w:numPr>
        <w:tabs>
          <w:tab w:val="left" w:pos="489"/>
        </w:tabs>
        <w:spacing w:before="131" w:line="249" w:lineRule="auto"/>
        <w:ind w:right="419"/>
        <w:rPr>
          <w:sz w:val="20"/>
        </w:rPr>
      </w:pPr>
      <w:r>
        <w:rPr>
          <w:w w:val="95"/>
          <w:sz w:val="20"/>
        </w:rPr>
        <w:t xml:space="preserve">continued improvement of the port gate/terminal </w:t>
      </w:r>
      <w:r>
        <w:rPr>
          <w:spacing w:val="-2"/>
          <w:sz w:val="20"/>
        </w:rPr>
        <w:t>interface</w:t>
      </w:r>
    </w:p>
    <w:p w:rsidR="002C1123" w:rsidRDefault="00F22F94">
      <w:pPr>
        <w:pStyle w:val="ListParagraph"/>
        <w:numPr>
          <w:ilvl w:val="0"/>
          <w:numId w:val="77"/>
        </w:numPr>
        <w:tabs>
          <w:tab w:val="left" w:pos="489"/>
        </w:tabs>
        <w:spacing w:before="130" w:line="249" w:lineRule="auto"/>
        <w:ind w:right="1255"/>
        <w:rPr>
          <w:sz w:val="20"/>
        </w:rPr>
      </w:pPr>
      <w:r>
        <w:rPr>
          <w:w w:val="95"/>
          <w:sz w:val="20"/>
        </w:rPr>
        <w:t>investment</w:t>
      </w:r>
      <w:r>
        <w:rPr>
          <w:spacing w:val="-8"/>
          <w:w w:val="95"/>
          <w:sz w:val="20"/>
        </w:rPr>
        <w:t xml:space="preserve"> </w:t>
      </w:r>
      <w:r>
        <w:rPr>
          <w:w w:val="95"/>
          <w:sz w:val="20"/>
        </w:rPr>
        <w:t>in</w:t>
      </w:r>
      <w:r>
        <w:rPr>
          <w:spacing w:val="-8"/>
          <w:w w:val="95"/>
          <w:sz w:val="20"/>
        </w:rPr>
        <w:t xml:space="preserve"> </w:t>
      </w:r>
      <w:r>
        <w:rPr>
          <w:w w:val="95"/>
          <w:sz w:val="20"/>
        </w:rPr>
        <w:t>road</w:t>
      </w:r>
      <w:r>
        <w:rPr>
          <w:spacing w:val="-8"/>
          <w:w w:val="95"/>
          <w:sz w:val="20"/>
        </w:rPr>
        <w:t xml:space="preserve"> </w:t>
      </w:r>
      <w:r>
        <w:rPr>
          <w:w w:val="95"/>
          <w:sz w:val="20"/>
        </w:rPr>
        <w:t>infrastructure</w:t>
      </w:r>
      <w:r>
        <w:rPr>
          <w:spacing w:val="-8"/>
          <w:w w:val="95"/>
          <w:sz w:val="20"/>
        </w:rPr>
        <w:t xml:space="preserve"> </w:t>
      </w:r>
      <w:r>
        <w:rPr>
          <w:w w:val="95"/>
          <w:sz w:val="20"/>
        </w:rPr>
        <w:t xml:space="preserve">within </w:t>
      </w:r>
      <w:r>
        <w:rPr>
          <w:sz w:val="20"/>
        </w:rPr>
        <w:t>Sydney</w:t>
      </w:r>
      <w:r>
        <w:rPr>
          <w:spacing w:val="-11"/>
          <w:sz w:val="20"/>
        </w:rPr>
        <w:t xml:space="preserve"> </w:t>
      </w:r>
      <w:r>
        <w:rPr>
          <w:sz w:val="20"/>
        </w:rPr>
        <w:t>Airport</w:t>
      </w:r>
    </w:p>
    <w:p w:rsidR="002C1123" w:rsidRDefault="00F22F94">
      <w:pPr>
        <w:pStyle w:val="ListParagraph"/>
        <w:numPr>
          <w:ilvl w:val="0"/>
          <w:numId w:val="77"/>
        </w:numPr>
        <w:tabs>
          <w:tab w:val="left" w:pos="489"/>
        </w:tabs>
        <w:spacing w:before="131" w:line="249" w:lineRule="auto"/>
        <w:ind w:right="27"/>
        <w:rPr>
          <w:sz w:val="20"/>
        </w:rPr>
      </w:pPr>
      <w:r>
        <w:rPr>
          <w:w w:val="95"/>
          <w:sz w:val="20"/>
        </w:rPr>
        <w:t xml:space="preserve">solving local port traffic bottle necks and pinch points </w:t>
      </w:r>
      <w:r>
        <w:rPr>
          <w:sz w:val="20"/>
        </w:rPr>
        <w:t>on surrounding roads.</w:t>
      </w:r>
    </w:p>
    <w:p w:rsidR="002C1123" w:rsidRDefault="00F22F94">
      <w:pPr>
        <w:pStyle w:val="BodyText"/>
        <w:spacing w:before="143" w:line="249" w:lineRule="auto"/>
        <w:ind w:left="205" w:right="14"/>
      </w:pPr>
      <w:r>
        <w:t>The</w:t>
      </w:r>
      <w:r>
        <w:rPr>
          <w:spacing w:val="-11"/>
        </w:rPr>
        <w:t xml:space="preserve"> </w:t>
      </w:r>
      <w:r>
        <w:t>Port</w:t>
      </w:r>
      <w:r>
        <w:rPr>
          <w:spacing w:val="-11"/>
        </w:rPr>
        <w:t xml:space="preserve"> </w:t>
      </w:r>
      <w:r>
        <w:t>Botany</w:t>
      </w:r>
      <w:r>
        <w:rPr>
          <w:spacing w:val="-11"/>
        </w:rPr>
        <w:t xml:space="preserve"> </w:t>
      </w:r>
      <w:r>
        <w:t>Landside</w:t>
      </w:r>
      <w:r>
        <w:rPr>
          <w:spacing w:val="-11"/>
        </w:rPr>
        <w:t xml:space="preserve"> </w:t>
      </w:r>
      <w:r>
        <w:t>Improvement</w:t>
      </w:r>
      <w:r>
        <w:rPr>
          <w:spacing w:val="-11"/>
        </w:rPr>
        <w:t xml:space="preserve"> </w:t>
      </w:r>
      <w:r>
        <w:t xml:space="preserve">Strategy </w:t>
      </w:r>
      <w:r>
        <w:rPr>
          <w:spacing w:val="-2"/>
          <w:w w:val="95"/>
        </w:rPr>
        <w:t>(PBLIS),</w:t>
      </w:r>
      <w:r>
        <w:rPr>
          <w:spacing w:val="-7"/>
          <w:w w:val="95"/>
        </w:rPr>
        <w:t xml:space="preserve"> </w:t>
      </w:r>
      <w:r>
        <w:rPr>
          <w:spacing w:val="-2"/>
          <w:w w:val="95"/>
        </w:rPr>
        <w:t>which</w:t>
      </w:r>
      <w:r>
        <w:rPr>
          <w:spacing w:val="-7"/>
          <w:w w:val="95"/>
        </w:rPr>
        <w:t xml:space="preserve"> </w:t>
      </w:r>
      <w:r>
        <w:rPr>
          <w:spacing w:val="-2"/>
          <w:w w:val="95"/>
        </w:rPr>
        <w:t>was</w:t>
      </w:r>
      <w:r>
        <w:rPr>
          <w:spacing w:val="-7"/>
          <w:w w:val="95"/>
        </w:rPr>
        <w:t xml:space="preserve"> </w:t>
      </w:r>
      <w:r>
        <w:rPr>
          <w:spacing w:val="-2"/>
          <w:w w:val="95"/>
        </w:rPr>
        <w:t>launched</w:t>
      </w:r>
      <w:r>
        <w:rPr>
          <w:spacing w:val="-7"/>
          <w:w w:val="95"/>
        </w:rPr>
        <w:t xml:space="preserve"> </w:t>
      </w:r>
      <w:r>
        <w:rPr>
          <w:spacing w:val="-2"/>
          <w:w w:val="95"/>
        </w:rPr>
        <w:t>in</w:t>
      </w:r>
      <w:r>
        <w:rPr>
          <w:spacing w:val="-7"/>
          <w:w w:val="95"/>
        </w:rPr>
        <w:t xml:space="preserve"> </w:t>
      </w:r>
      <w:r>
        <w:rPr>
          <w:spacing w:val="-2"/>
          <w:w w:val="95"/>
        </w:rPr>
        <w:t>2011,</w:t>
      </w:r>
      <w:r>
        <w:rPr>
          <w:spacing w:val="-7"/>
          <w:w w:val="95"/>
        </w:rPr>
        <w:t xml:space="preserve"> </w:t>
      </w:r>
      <w:r>
        <w:rPr>
          <w:spacing w:val="-2"/>
          <w:w w:val="95"/>
        </w:rPr>
        <w:t>is</w:t>
      </w:r>
      <w:r>
        <w:rPr>
          <w:spacing w:val="-7"/>
          <w:w w:val="95"/>
        </w:rPr>
        <w:t xml:space="preserve"> </w:t>
      </w:r>
      <w:r>
        <w:rPr>
          <w:spacing w:val="-2"/>
          <w:w w:val="95"/>
        </w:rPr>
        <w:t>an</w:t>
      </w:r>
      <w:r>
        <w:rPr>
          <w:spacing w:val="-7"/>
          <w:w w:val="95"/>
        </w:rPr>
        <w:t xml:space="preserve"> </w:t>
      </w:r>
      <w:r>
        <w:rPr>
          <w:spacing w:val="-2"/>
          <w:w w:val="95"/>
        </w:rPr>
        <w:t>example</w:t>
      </w:r>
      <w:r>
        <w:rPr>
          <w:spacing w:val="-7"/>
          <w:w w:val="95"/>
        </w:rPr>
        <w:t xml:space="preserve"> </w:t>
      </w:r>
      <w:r>
        <w:rPr>
          <w:spacing w:val="-2"/>
          <w:w w:val="95"/>
        </w:rPr>
        <w:t>of</w:t>
      </w:r>
    </w:p>
    <w:p w:rsidR="002C1123" w:rsidRDefault="00F22F94">
      <w:pPr>
        <w:pStyle w:val="BodyText"/>
        <w:spacing w:before="108" w:line="249" w:lineRule="auto"/>
        <w:ind w:left="188" w:right="803"/>
      </w:pPr>
      <w:r>
        <w:br w:type="column"/>
      </w:r>
      <w:r>
        <w:rPr>
          <w:w w:val="95"/>
        </w:rPr>
        <w:t>the improvements in transport to and from the port that can</w:t>
      </w:r>
      <w:r>
        <w:rPr>
          <w:spacing w:val="-1"/>
          <w:w w:val="95"/>
        </w:rPr>
        <w:t xml:space="preserve"> </w:t>
      </w:r>
      <w:r>
        <w:rPr>
          <w:w w:val="95"/>
        </w:rPr>
        <w:t>be</w:t>
      </w:r>
      <w:r>
        <w:rPr>
          <w:spacing w:val="-1"/>
          <w:w w:val="95"/>
        </w:rPr>
        <w:t xml:space="preserve"> </w:t>
      </w:r>
      <w:r>
        <w:rPr>
          <w:w w:val="95"/>
        </w:rPr>
        <w:t>achieved</w:t>
      </w:r>
      <w:r>
        <w:rPr>
          <w:spacing w:val="-1"/>
          <w:w w:val="95"/>
        </w:rPr>
        <w:t xml:space="preserve"> </w:t>
      </w:r>
      <w:r>
        <w:rPr>
          <w:w w:val="95"/>
        </w:rPr>
        <w:t>in</w:t>
      </w:r>
      <w:r>
        <w:rPr>
          <w:spacing w:val="-1"/>
          <w:w w:val="95"/>
        </w:rPr>
        <w:t xml:space="preserve"> </w:t>
      </w:r>
      <w:r>
        <w:rPr>
          <w:w w:val="95"/>
        </w:rPr>
        <w:t>the</w:t>
      </w:r>
      <w:r>
        <w:rPr>
          <w:spacing w:val="-1"/>
          <w:w w:val="95"/>
        </w:rPr>
        <w:t xml:space="preserve"> </w:t>
      </w:r>
      <w:r>
        <w:rPr>
          <w:w w:val="95"/>
        </w:rPr>
        <w:t>short-term</w:t>
      </w:r>
      <w:r>
        <w:rPr>
          <w:spacing w:val="-1"/>
          <w:w w:val="95"/>
        </w:rPr>
        <w:t xml:space="preserve"> </w:t>
      </w:r>
      <w:r>
        <w:rPr>
          <w:w w:val="95"/>
        </w:rPr>
        <w:t>through</w:t>
      </w:r>
      <w:r>
        <w:rPr>
          <w:spacing w:val="-1"/>
          <w:w w:val="95"/>
        </w:rPr>
        <w:t xml:space="preserve"> </w:t>
      </w:r>
      <w:r>
        <w:rPr>
          <w:w w:val="95"/>
        </w:rPr>
        <w:t>better</w:t>
      </w:r>
      <w:r>
        <w:rPr>
          <w:spacing w:val="-1"/>
          <w:w w:val="95"/>
        </w:rPr>
        <w:t xml:space="preserve"> </w:t>
      </w:r>
      <w:r>
        <w:rPr>
          <w:w w:val="95"/>
        </w:rPr>
        <w:t xml:space="preserve">supply </w:t>
      </w:r>
      <w:r>
        <w:t>chain</w:t>
      </w:r>
      <w:r>
        <w:rPr>
          <w:spacing w:val="-14"/>
        </w:rPr>
        <w:t xml:space="preserve"> </w:t>
      </w:r>
      <w:r>
        <w:t>co-ordination.</w:t>
      </w:r>
      <w:r>
        <w:rPr>
          <w:spacing w:val="-14"/>
        </w:rPr>
        <w:t xml:space="preserve"> </w:t>
      </w:r>
      <w:r>
        <w:t>Led</w:t>
      </w:r>
      <w:r>
        <w:rPr>
          <w:spacing w:val="-14"/>
        </w:rPr>
        <w:t xml:space="preserve"> </w:t>
      </w:r>
      <w:r>
        <w:t>by</w:t>
      </w:r>
      <w:r>
        <w:rPr>
          <w:spacing w:val="-14"/>
        </w:rPr>
        <w:t xml:space="preserve"> </w:t>
      </w:r>
      <w:r>
        <w:t>Sydney</w:t>
      </w:r>
      <w:r>
        <w:rPr>
          <w:spacing w:val="-14"/>
        </w:rPr>
        <w:t xml:space="preserve"> </w:t>
      </w:r>
      <w:r>
        <w:t>Ports</w:t>
      </w:r>
      <w:r>
        <w:rPr>
          <w:spacing w:val="-14"/>
        </w:rPr>
        <w:t xml:space="preserve"> </w:t>
      </w:r>
      <w:r>
        <w:t xml:space="preserve">Corporation </w:t>
      </w:r>
      <w:r>
        <w:rPr>
          <w:spacing w:val="-2"/>
        </w:rPr>
        <w:t>(SPC),</w:t>
      </w:r>
      <w:r>
        <w:rPr>
          <w:spacing w:val="-8"/>
        </w:rPr>
        <w:t xml:space="preserve"> </w:t>
      </w:r>
      <w:r>
        <w:rPr>
          <w:spacing w:val="-2"/>
        </w:rPr>
        <w:t>PBLIS</w:t>
      </w:r>
      <w:r>
        <w:rPr>
          <w:spacing w:val="-8"/>
        </w:rPr>
        <w:t xml:space="preserve"> </w:t>
      </w:r>
      <w:r>
        <w:rPr>
          <w:spacing w:val="-2"/>
        </w:rPr>
        <w:t>is</w:t>
      </w:r>
      <w:r>
        <w:rPr>
          <w:spacing w:val="-8"/>
        </w:rPr>
        <w:t xml:space="preserve"> </w:t>
      </w:r>
      <w:r>
        <w:rPr>
          <w:spacing w:val="-2"/>
        </w:rPr>
        <w:t>tasked</w:t>
      </w:r>
      <w:r>
        <w:rPr>
          <w:spacing w:val="-8"/>
        </w:rPr>
        <w:t xml:space="preserve"> </w:t>
      </w:r>
      <w:r>
        <w:rPr>
          <w:spacing w:val="-2"/>
        </w:rPr>
        <w:t>with</w:t>
      </w:r>
      <w:r>
        <w:rPr>
          <w:spacing w:val="-8"/>
        </w:rPr>
        <w:t xml:space="preserve"> </w:t>
      </w:r>
      <w:r>
        <w:rPr>
          <w:spacing w:val="-2"/>
        </w:rPr>
        <w:t>improving</w:t>
      </w:r>
      <w:r>
        <w:rPr>
          <w:spacing w:val="-8"/>
        </w:rPr>
        <w:t xml:space="preserve"> </w:t>
      </w:r>
      <w:r>
        <w:rPr>
          <w:spacing w:val="-2"/>
        </w:rPr>
        <w:t>the</w:t>
      </w:r>
      <w:r>
        <w:rPr>
          <w:spacing w:val="-8"/>
        </w:rPr>
        <w:t xml:space="preserve"> </w:t>
      </w:r>
      <w:r>
        <w:rPr>
          <w:spacing w:val="-2"/>
        </w:rPr>
        <w:t xml:space="preserve">competitive </w:t>
      </w:r>
      <w:r>
        <w:t>access</w:t>
      </w:r>
      <w:r>
        <w:rPr>
          <w:spacing w:val="-5"/>
        </w:rPr>
        <w:t xml:space="preserve"> </w:t>
      </w:r>
      <w:r>
        <w:t>and</w:t>
      </w:r>
      <w:r>
        <w:rPr>
          <w:spacing w:val="-5"/>
        </w:rPr>
        <w:t xml:space="preserve"> </w:t>
      </w:r>
      <w:r>
        <w:t>service</w:t>
      </w:r>
      <w:r>
        <w:rPr>
          <w:spacing w:val="-5"/>
        </w:rPr>
        <w:t xml:space="preserve"> </w:t>
      </w:r>
      <w:r>
        <w:t>arrangements</w:t>
      </w:r>
      <w:r>
        <w:rPr>
          <w:spacing w:val="-5"/>
        </w:rPr>
        <w:t xml:space="preserve"> </w:t>
      </w:r>
      <w:r>
        <w:t>of</w:t>
      </w:r>
      <w:r>
        <w:rPr>
          <w:spacing w:val="-5"/>
        </w:rPr>
        <w:t xml:space="preserve"> </w:t>
      </w:r>
      <w:r>
        <w:t xml:space="preserve">container </w:t>
      </w:r>
      <w:r>
        <w:rPr>
          <w:w w:val="95"/>
        </w:rPr>
        <w:t xml:space="preserve">movements between stevedores and transport carriers </w:t>
      </w:r>
      <w:r>
        <w:t>at Port Botany.</w:t>
      </w:r>
    </w:p>
    <w:p w:rsidR="002C1123" w:rsidRDefault="00F22F94">
      <w:pPr>
        <w:pStyle w:val="BodyText"/>
        <w:spacing w:before="148" w:line="249" w:lineRule="auto"/>
        <w:ind w:left="188" w:right="698"/>
      </w:pPr>
      <w:r>
        <w:t>Evidence</w:t>
      </w:r>
      <w:r>
        <w:rPr>
          <w:spacing w:val="-14"/>
        </w:rPr>
        <w:t xml:space="preserve"> </w:t>
      </w:r>
      <w:r>
        <w:t>shows</w:t>
      </w:r>
      <w:r>
        <w:rPr>
          <w:spacing w:val="-14"/>
        </w:rPr>
        <w:t xml:space="preserve"> </w:t>
      </w:r>
      <w:r>
        <w:t>that</w:t>
      </w:r>
      <w:r>
        <w:rPr>
          <w:spacing w:val="-14"/>
        </w:rPr>
        <w:t xml:space="preserve"> </w:t>
      </w:r>
      <w:r>
        <w:t>PBLIS</w:t>
      </w:r>
      <w:r>
        <w:rPr>
          <w:spacing w:val="-13"/>
        </w:rPr>
        <w:t xml:space="preserve"> </w:t>
      </w:r>
      <w:r>
        <w:t>has</w:t>
      </w:r>
      <w:r>
        <w:rPr>
          <w:spacing w:val="-14"/>
        </w:rPr>
        <w:t xml:space="preserve"> </w:t>
      </w:r>
      <w:r>
        <w:t>been</w:t>
      </w:r>
      <w:r>
        <w:rPr>
          <w:spacing w:val="-14"/>
        </w:rPr>
        <w:t xml:space="preserve"> </w:t>
      </w:r>
      <w:r>
        <w:t>extremely successful</w:t>
      </w:r>
      <w:r>
        <w:rPr>
          <w:spacing w:val="-11"/>
        </w:rPr>
        <w:t xml:space="preserve"> </w:t>
      </w:r>
      <w:r>
        <w:t>in</w:t>
      </w:r>
      <w:r>
        <w:rPr>
          <w:spacing w:val="-11"/>
        </w:rPr>
        <w:t xml:space="preserve"> </w:t>
      </w:r>
      <w:r>
        <w:t>improving</w:t>
      </w:r>
      <w:r>
        <w:rPr>
          <w:spacing w:val="-11"/>
        </w:rPr>
        <w:t xml:space="preserve"> </w:t>
      </w:r>
      <w:r>
        <w:t>the</w:t>
      </w:r>
      <w:r>
        <w:rPr>
          <w:spacing w:val="-11"/>
        </w:rPr>
        <w:t xml:space="preserve"> </w:t>
      </w:r>
      <w:r>
        <w:t>road</w:t>
      </w:r>
      <w:r>
        <w:rPr>
          <w:spacing w:val="-11"/>
        </w:rPr>
        <w:t xml:space="preserve"> </w:t>
      </w:r>
      <w:r>
        <w:t>transport</w:t>
      </w:r>
      <w:r>
        <w:rPr>
          <w:spacing w:val="-11"/>
        </w:rPr>
        <w:t xml:space="preserve"> </w:t>
      </w:r>
      <w:r>
        <w:t>interface</w:t>
      </w:r>
      <w:r>
        <w:rPr>
          <w:spacing w:val="-11"/>
        </w:rPr>
        <w:t xml:space="preserve"> </w:t>
      </w:r>
      <w:r>
        <w:t xml:space="preserve">at </w:t>
      </w:r>
      <w:r>
        <w:rPr>
          <w:w w:val="95"/>
        </w:rPr>
        <w:t>Port</w:t>
      </w:r>
      <w:r>
        <w:rPr>
          <w:spacing w:val="-5"/>
          <w:w w:val="95"/>
        </w:rPr>
        <w:t xml:space="preserve"> </w:t>
      </w:r>
      <w:r>
        <w:rPr>
          <w:w w:val="95"/>
        </w:rPr>
        <w:t>Botany,</w:t>
      </w:r>
      <w:r>
        <w:rPr>
          <w:spacing w:val="-5"/>
          <w:w w:val="95"/>
        </w:rPr>
        <w:t xml:space="preserve"> </w:t>
      </w:r>
      <w:r>
        <w:rPr>
          <w:w w:val="95"/>
        </w:rPr>
        <w:t>not</w:t>
      </w:r>
      <w:r>
        <w:rPr>
          <w:spacing w:val="-5"/>
          <w:w w:val="95"/>
        </w:rPr>
        <w:t xml:space="preserve"> </w:t>
      </w:r>
      <w:r>
        <w:rPr>
          <w:w w:val="95"/>
        </w:rPr>
        <w:t>only</w:t>
      </w:r>
      <w:r>
        <w:rPr>
          <w:spacing w:val="-5"/>
          <w:w w:val="95"/>
        </w:rPr>
        <w:t xml:space="preserve"> </w:t>
      </w:r>
      <w:r>
        <w:rPr>
          <w:w w:val="95"/>
        </w:rPr>
        <w:t>in</w:t>
      </w:r>
      <w:r>
        <w:rPr>
          <w:spacing w:val="-5"/>
          <w:w w:val="95"/>
        </w:rPr>
        <w:t xml:space="preserve"> </w:t>
      </w:r>
      <w:r>
        <w:rPr>
          <w:w w:val="95"/>
        </w:rPr>
        <w:t>truck</w:t>
      </w:r>
      <w:r>
        <w:rPr>
          <w:spacing w:val="-5"/>
          <w:w w:val="95"/>
        </w:rPr>
        <w:t xml:space="preserve"> </w:t>
      </w:r>
      <w:r>
        <w:rPr>
          <w:w w:val="95"/>
        </w:rPr>
        <w:t>efficiency</w:t>
      </w:r>
      <w:r>
        <w:rPr>
          <w:spacing w:val="-5"/>
          <w:w w:val="95"/>
        </w:rPr>
        <w:t xml:space="preserve"> </w:t>
      </w:r>
      <w:r>
        <w:rPr>
          <w:w w:val="95"/>
        </w:rPr>
        <w:t>through</w:t>
      </w:r>
      <w:r>
        <w:rPr>
          <w:spacing w:val="-5"/>
          <w:w w:val="95"/>
        </w:rPr>
        <w:t xml:space="preserve"> </w:t>
      </w:r>
      <w:r>
        <w:rPr>
          <w:w w:val="95"/>
        </w:rPr>
        <w:t>the</w:t>
      </w:r>
      <w:r>
        <w:rPr>
          <w:spacing w:val="-5"/>
          <w:w w:val="95"/>
        </w:rPr>
        <w:t xml:space="preserve"> </w:t>
      </w:r>
      <w:r>
        <w:rPr>
          <w:w w:val="95"/>
        </w:rPr>
        <w:t xml:space="preserve">gate </w:t>
      </w:r>
      <w:r>
        <w:t>but</w:t>
      </w:r>
      <w:r>
        <w:rPr>
          <w:spacing w:val="-12"/>
        </w:rPr>
        <w:t xml:space="preserve"> </w:t>
      </w:r>
      <w:r>
        <w:t>also</w:t>
      </w:r>
      <w:r>
        <w:rPr>
          <w:spacing w:val="-12"/>
        </w:rPr>
        <w:t xml:space="preserve"> </w:t>
      </w:r>
      <w:r>
        <w:t>in</w:t>
      </w:r>
      <w:r>
        <w:rPr>
          <w:spacing w:val="-12"/>
        </w:rPr>
        <w:t xml:space="preserve"> </w:t>
      </w:r>
      <w:r>
        <w:t>spreading</w:t>
      </w:r>
      <w:r>
        <w:rPr>
          <w:spacing w:val="-12"/>
        </w:rPr>
        <w:t xml:space="preserve"> </w:t>
      </w:r>
      <w:r>
        <w:t>the</w:t>
      </w:r>
      <w:r>
        <w:rPr>
          <w:spacing w:val="-12"/>
        </w:rPr>
        <w:t xml:space="preserve"> </w:t>
      </w:r>
      <w:r>
        <w:t>volume</w:t>
      </w:r>
      <w:r>
        <w:rPr>
          <w:spacing w:val="-12"/>
        </w:rPr>
        <w:t xml:space="preserve"> </w:t>
      </w:r>
      <w:r>
        <w:t>of</w:t>
      </w:r>
      <w:r>
        <w:rPr>
          <w:spacing w:val="-12"/>
        </w:rPr>
        <w:t xml:space="preserve"> </w:t>
      </w:r>
      <w:r>
        <w:t>traffic</w:t>
      </w:r>
      <w:r>
        <w:rPr>
          <w:spacing w:val="-12"/>
        </w:rPr>
        <w:t xml:space="preserve"> </w:t>
      </w:r>
      <w:r>
        <w:t>across</w:t>
      </w:r>
      <w:r>
        <w:rPr>
          <w:spacing w:val="-12"/>
        </w:rPr>
        <w:t xml:space="preserve"> </w:t>
      </w:r>
      <w:r>
        <w:t>the</w:t>
      </w:r>
    </w:p>
    <w:p w:rsidR="002C1123" w:rsidRDefault="00F22F94">
      <w:pPr>
        <w:pStyle w:val="BodyText"/>
        <w:spacing w:before="3"/>
        <w:ind w:left="188"/>
      </w:pPr>
      <w:r>
        <w:rPr>
          <w:w w:val="95"/>
        </w:rPr>
        <w:t>24-hour</w:t>
      </w:r>
      <w:r>
        <w:rPr>
          <w:spacing w:val="-2"/>
        </w:rPr>
        <w:t xml:space="preserve"> </w:t>
      </w:r>
      <w:r>
        <w:rPr>
          <w:spacing w:val="-2"/>
          <w:w w:val="95"/>
        </w:rPr>
        <w:t>period.</w:t>
      </w:r>
    </w:p>
    <w:p w:rsidR="002C1123" w:rsidRDefault="00F22F94">
      <w:pPr>
        <w:pStyle w:val="BodyText"/>
        <w:spacing w:before="152" w:line="249" w:lineRule="auto"/>
        <w:ind w:left="188" w:right="698"/>
      </w:pPr>
      <w:r>
        <w:t>SACL</w:t>
      </w:r>
      <w:r>
        <w:rPr>
          <w:spacing w:val="-14"/>
        </w:rPr>
        <w:t xml:space="preserve"> </w:t>
      </w:r>
      <w:r>
        <w:t>is</w:t>
      </w:r>
      <w:r>
        <w:rPr>
          <w:spacing w:val="-14"/>
        </w:rPr>
        <w:t xml:space="preserve"> </w:t>
      </w:r>
      <w:r>
        <w:t>preparing</w:t>
      </w:r>
      <w:r>
        <w:rPr>
          <w:spacing w:val="-14"/>
        </w:rPr>
        <w:t xml:space="preserve"> </w:t>
      </w:r>
      <w:r>
        <w:t>a</w:t>
      </w:r>
      <w:r>
        <w:rPr>
          <w:spacing w:val="-14"/>
        </w:rPr>
        <w:t xml:space="preserve"> </w:t>
      </w:r>
      <w:r>
        <w:t>revised</w:t>
      </w:r>
      <w:r>
        <w:rPr>
          <w:spacing w:val="-14"/>
        </w:rPr>
        <w:t xml:space="preserve"> </w:t>
      </w:r>
      <w:r>
        <w:t>Master</w:t>
      </w:r>
      <w:r>
        <w:rPr>
          <w:spacing w:val="-14"/>
        </w:rPr>
        <w:t xml:space="preserve"> </w:t>
      </w:r>
      <w:r>
        <w:t>Plan,</w:t>
      </w:r>
      <w:r>
        <w:rPr>
          <w:spacing w:val="-14"/>
        </w:rPr>
        <w:t xml:space="preserve"> </w:t>
      </w:r>
      <w:r>
        <w:t>which</w:t>
      </w:r>
      <w:r>
        <w:rPr>
          <w:spacing w:val="-14"/>
        </w:rPr>
        <w:t xml:space="preserve"> </w:t>
      </w:r>
      <w:r>
        <w:t>will include</w:t>
      </w:r>
      <w:r>
        <w:rPr>
          <w:spacing w:val="-9"/>
        </w:rPr>
        <w:t xml:space="preserve"> </w:t>
      </w:r>
      <w:r>
        <w:t>a</w:t>
      </w:r>
      <w:r>
        <w:rPr>
          <w:spacing w:val="-9"/>
        </w:rPr>
        <w:t xml:space="preserve"> </w:t>
      </w:r>
      <w:r>
        <w:t>ground</w:t>
      </w:r>
      <w:r>
        <w:rPr>
          <w:spacing w:val="-9"/>
        </w:rPr>
        <w:t xml:space="preserve"> </w:t>
      </w:r>
      <w:r>
        <w:t>transport</w:t>
      </w:r>
      <w:r>
        <w:rPr>
          <w:spacing w:val="-9"/>
        </w:rPr>
        <w:t xml:space="preserve"> </w:t>
      </w:r>
      <w:r>
        <w:t>plan,</w:t>
      </w:r>
      <w:r>
        <w:rPr>
          <w:spacing w:val="-9"/>
        </w:rPr>
        <w:t xml:space="preserve"> </w:t>
      </w:r>
      <w:r>
        <w:t>at</w:t>
      </w:r>
      <w:r>
        <w:rPr>
          <w:spacing w:val="-9"/>
        </w:rPr>
        <w:t xml:space="preserve"> </w:t>
      </w:r>
      <w:r>
        <w:t>the</w:t>
      </w:r>
      <w:r>
        <w:rPr>
          <w:spacing w:val="-9"/>
        </w:rPr>
        <w:t xml:space="preserve"> </w:t>
      </w:r>
      <w:r>
        <w:t>direction</w:t>
      </w:r>
      <w:r>
        <w:rPr>
          <w:spacing w:val="-9"/>
        </w:rPr>
        <w:t xml:space="preserve"> </w:t>
      </w:r>
      <w:r>
        <w:t>of</w:t>
      </w:r>
      <w:r>
        <w:rPr>
          <w:spacing w:val="-9"/>
        </w:rPr>
        <w:t xml:space="preserve"> </w:t>
      </w:r>
      <w:r>
        <w:t xml:space="preserve">the </w:t>
      </w:r>
      <w:r>
        <w:rPr>
          <w:w w:val="95"/>
        </w:rPr>
        <w:t>Federal</w:t>
      </w:r>
      <w:r>
        <w:rPr>
          <w:spacing w:val="-9"/>
          <w:w w:val="95"/>
        </w:rPr>
        <w:t xml:space="preserve"> </w:t>
      </w:r>
      <w:r>
        <w:rPr>
          <w:w w:val="95"/>
        </w:rPr>
        <w:t>Minister</w:t>
      </w:r>
      <w:r>
        <w:rPr>
          <w:spacing w:val="-9"/>
          <w:w w:val="95"/>
        </w:rPr>
        <w:t xml:space="preserve"> </w:t>
      </w:r>
      <w:r>
        <w:rPr>
          <w:w w:val="95"/>
        </w:rPr>
        <w:t>for</w:t>
      </w:r>
      <w:r>
        <w:rPr>
          <w:spacing w:val="-9"/>
          <w:w w:val="95"/>
        </w:rPr>
        <w:t xml:space="preserve"> </w:t>
      </w:r>
      <w:r>
        <w:rPr>
          <w:w w:val="95"/>
        </w:rPr>
        <w:t>Infrastructure</w:t>
      </w:r>
      <w:r>
        <w:rPr>
          <w:spacing w:val="-9"/>
          <w:w w:val="95"/>
        </w:rPr>
        <w:t xml:space="preserve"> </w:t>
      </w:r>
      <w:r>
        <w:rPr>
          <w:w w:val="95"/>
        </w:rPr>
        <w:t>and</w:t>
      </w:r>
      <w:r>
        <w:rPr>
          <w:spacing w:val="-9"/>
          <w:w w:val="95"/>
        </w:rPr>
        <w:t xml:space="preserve"> </w:t>
      </w:r>
      <w:r>
        <w:rPr>
          <w:w w:val="95"/>
        </w:rPr>
        <w:t>Transport.</w:t>
      </w:r>
      <w:r>
        <w:rPr>
          <w:spacing w:val="-9"/>
          <w:w w:val="95"/>
        </w:rPr>
        <w:t xml:space="preserve"> </w:t>
      </w:r>
      <w:r>
        <w:rPr>
          <w:w w:val="95"/>
        </w:rPr>
        <w:t>Its</w:t>
      </w:r>
      <w:r>
        <w:rPr>
          <w:spacing w:val="-9"/>
          <w:w w:val="95"/>
        </w:rPr>
        <w:t xml:space="preserve"> </w:t>
      </w:r>
      <w:r>
        <w:rPr>
          <w:w w:val="95"/>
        </w:rPr>
        <w:t xml:space="preserve">most </w:t>
      </w:r>
      <w:r>
        <w:t>recent</w:t>
      </w:r>
      <w:r>
        <w:rPr>
          <w:spacing w:val="-14"/>
        </w:rPr>
        <w:t xml:space="preserve"> </w:t>
      </w:r>
      <w:r>
        <w:t>Master</w:t>
      </w:r>
      <w:r>
        <w:rPr>
          <w:spacing w:val="-14"/>
        </w:rPr>
        <w:t xml:space="preserve"> </w:t>
      </w:r>
      <w:r>
        <w:t>Plan,</w:t>
      </w:r>
      <w:r>
        <w:rPr>
          <w:spacing w:val="-14"/>
        </w:rPr>
        <w:t xml:space="preserve"> </w:t>
      </w:r>
      <w:r>
        <w:t>(published</w:t>
      </w:r>
      <w:r>
        <w:rPr>
          <w:spacing w:val="-14"/>
        </w:rPr>
        <w:t xml:space="preserve"> </w:t>
      </w:r>
      <w:r>
        <w:t>in</w:t>
      </w:r>
      <w:r>
        <w:rPr>
          <w:spacing w:val="-14"/>
        </w:rPr>
        <w:t xml:space="preserve"> </w:t>
      </w:r>
      <w:r>
        <w:t>2009)</w:t>
      </w:r>
      <w:r>
        <w:rPr>
          <w:spacing w:val="-14"/>
        </w:rPr>
        <w:t xml:space="preserve"> </w:t>
      </w:r>
      <w:r>
        <w:t>set</w:t>
      </w:r>
      <w:r>
        <w:rPr>
          <w:spacing w:val="-14"/>
        </w:rPr>
        <w:t xml:space="preserve"> </w:t>
      </w:r>
      <w:r>
        <w:t>out</w:t>
      </w:r>
      <w:r>
        <w:rPr>
          <w:spacing w:val="-14"/>
        </w:rPr>
        <w:t xml:space="preserve"> </w:t>
      </w:r>
      <w:r>
        <w:t>a</w:t>
      </w:r>
      <w:r>
        <w:rPr>
          <w:spacing w:val="-14"/>
        </w:rPr>
        <w:t xml:space="preserve"> </w:t>
      </w:r>
      <w:r>
        <w:t>series of</w:t>
      </w:r>
      <w:r>
        <w:rPr>
          <w:spacing w:val="-10"/>
        </w:rPr>
        <w:t xml:space="preserve"> </w:t>
      </w:r>
      <w:r>
        <w:t>planned</w:t>
      </w:r>
      <w:r>
        <w:rPr>
          <w:spacing w:val="-10"/>
        </w:rPr>
        <w:t xml:space="preserve"> </w:t>
      </w:r>
      <w:r>
        <w:t>upgrades</w:t>
      </w:r>
      <w:r>
        <w:rPr>
          <w:spacing w:val="-10"/>
        </w:rPr>
        <w:t xml:space="preserve"> </w:t>
      </w:r>
      <w:r>
        <w:t>to</w:t>
      </w:r>
      <w:r>
        <w:rPr>
          <w:spacing w:val="-10"/>
        </w:rPr>
        <w:t xml:space="preserve"> </w:t>
      </w:r>
      <w:r>
        <w:t>the</w:t>
      </w:r>
      <w:r>
        <w:rPr>
          <w:spacing w:val="-10"/>
        </w:rPr>
        <w:t xml:space="preserve"> </w:t>
      </w:r>
      <w:r>
        <w:t>internal</w:t>
      </w:r>
      <w:r>
        <w:rPr>
          <w:spacing w:val="-10"/>
        </w:rPr>
        <w:t xml:space="preserve"> </w:t>
      </w:r>
      <w:r>
        <w:t>road</w:t>
      </w:r>
      <w:r>
        <w:rPr>
          <w:spacing w:val="-10"/>
        </w:rPr>
        <w:t xml:space="preserve"> </w:t>
      </w:r>
      <w:r>
        <w:t>networks</w:t>
      </w:r>
      <w:r>
        <w:rPr>
          <w:spacing w:val="-10"/>
        </w:rPr>
        <w:t xml:space="preserve"> </w:t>
      </w:r>
      <w:r>
        <w:t xml:space="preserve">that </w:t>
      </w:r>
      <w:r>
        <w:rPr>
          <w:spacing w:val="-2"/>
        </w:rPr>
        <w:t>serve</w:t>
      </w:r>
      <w:r>
        <w:rPr>
          <w:spacing w:val="-8"/>
        </w:rPr>
        <w:t xml:space="preserve"> </w:t>
      </w:r>
      <w:r>
        <w:rPr>
          <w:spacing w:val="-2"/>
        </w:rPr>
        <w:t>the</w:t>
      </w:r>
      <w:r>
        <w:rPr>
          <w:spacing w:val="-8"/>
        </w:rPr>
        <w:t xml:space="preserve"> </w:t>
      </w:r>
      <w:r>
        <w:rPr>
          <w:spacing w:val="-2"/>
        </w:rPr>
        <w:t>Domestic</w:t>
      </w:r>
      <w:r>
        <w:rPr>
          <w:spacing w:val="-8"/>
        </w:rPr>
        <w:t xml:space="preserve"> </w:t>
      </w:r>
      <w:r>
        <w:rPr>
          <w:spacing w:val="-2"/>
        </w:rPr>
        <w:t>and</w:t>
      </w:r>
      <w:r>
        <w:rPr>
          <w:spacing w:val="-8"/>
        </w:rPr>
        <w:t xml:space="preserve"> </w:t>
      </w:r>
      <w:r>
        <w:rPr>
          <w:spacing w:val="-2"/>
        </w:rPr>
        <w:t>International</w:t>
      </w:r>
      <w:r>
        <w:rPr>
          <w:spacing w:val="-8"/>
        </w:rPr>
        <w:t xml:space="preserve"> </w:t>
      </w:r>
      <w:r>
        <w:rPr>
          <w:spacing w:val="-2"/>
        </w:rPr>
        <w:t>Terminals.</w:t>
      </w:r>
      <w:r>
        <w:rPr>
          <w:spacing w:val="-8"/>
        </w:rPr>
        <w:t xml:space="preserve"> </w:t>
      </w:r>
      <w:r>
        <w:rPr>
          <w:spacing w:val="-2"/>
        </w:rPr>
        <w:t xml:space="preserve">The </w:t>
      </w:r>
      <w:r>
        <w:t>proposed</w:t>
      </w:r>
      <w:r>
        <w:rPr>
          <w:spacing w:val="-9"/>
        </w:rPr>
        <w:t xml:space="preserve"> </w:t>
      </w:r>
      <w:r>
        <w:t>terminal</w:t>
      </w:r>
      <w:r>
        <w:rPr>
          <w:spacing w:val="-9"/>
        </w:rPr>
        <w:t xml:space="preserve"> </w:t>
      </w:r>
      <w:r>
        <w:t>realignment</w:t>
      </w:r>
      <w:r>
        <w:rPr>
          <w:spacing w:val="-9"/>
        </w:rPr>
        <w:t xml:space="preserve"> </w:t>
      </w:r>
      <w:r>
        <w:t>could</w:t>
      </w:r>
      <w:r>
        <w:rPr>
          <w:spacing w:val="-9"/>
        </w:rPr>
        <w:t xml:space="preserve"> </w:t>
      </w:r>
      <w:r>
        <w:t>improve</w:t>
      </w:r>
      <w:r>
        <w:rPr>
          <w:spacing w:val="-9"/>
        </w:rPr>
        <w:t xml:space="preserve"> </w:t>
      </w:r>
      <w:r>
        <w:t>traffic flows</w:t>
      </w:r>
      <w:r>
        <w:rPr>
          <w:spacing w:val="-14"/>
        </w:rPr>
        <w:t xml:space="preserve"> </w:t>
      </w:r>
      <w:r>
        <w:t>around</w:t>
      </w:r>
      <w:r>
        <w:rPr>
          <w:spacing w:val="-14"/>
        </w:rPr>
        <w:t xml:space="preserve"> </w:t>
      </w:r>
      <w:r>
        <w:t>Sydney</w:t>
      </w:r>
      <w:r>
        <w:rPr>
          <w:spacing w:val="-14"/>
        </w:rPr>
        <w:t xml:space="preserve"> </w:t>
      </w:r>
      <w:r>
        <w:t>Airport</w:t>
      </w:r>
      <w:r>
        <w:rPr>
          <w:spacing w:val="-14"/>
        </w:rPr>
        <w:t xml:space="preserve"> </w:t>
      </w:r>
      <w:r>
        <w:t>by</w:t>
      </w:r>
      <w:r>
        <w:rPr>
          <w:spacing w:val="-14"/>
        </w:rPr>
        <w:t xml:space="preserve"> </w:t>
      </w:r>
      <w:r>
        <w:t>more</w:t>
      </w:r>
      <w:r>
        <w:rPr>
          <w:spacing w:val="-13"/>
        </w:rPr>
        <w:t xml:space="preserve"> </w:t>
      </w:r>
      <w:r>
        <w:t>evenly</w:t>
      </w:r>
      <w:r>
        <w:rPr>
          <w:spacing w:val="-14"/>
        </w:rPr>
        <w:t xml:space="preserve"> </w:t>
      </w:r>
      <w:r>
        <w:t>spreading traffic between its terminals.</w:t>
      </w:r>
    </w:p>
    <w:p w:rsidR="002C1123" w:rsidRDefault="00F22F94">
      <w:pPr>
        <w:pStyle w:val="BodyText"/>
        <w:spacing w:before="149" w:line="249" w:lineRule="auto"/>
        <w:ind w:left="188" w:right="803"/>
      </w:pPr>
      <w:r>
        <w:rPr>
          <w:w w:val="95"/>
        </w:rPr>
        <w:t xml:space="preserve">Roads and Maritime Services is developing a package of short-term road “pinch point” investments that could </w:t>
      </w:r>
      <w:r>
        <w:t>relieve</w:t>
      </w:r>
      <w:r>
        <w:rPr>
          <w:spacing w:val="-11"/>
        </w:rPr>
        <w:t xml:space="preserve"> </w:t>
      </w:r>
      <w:r>
        <w:t>congestion</w:t>
      </w:r>
      <w:r>
        <w:rPr>
          <w:spacing w:val="-11"/>
        </w:rPr>
        <w:t xml:space="preserve"> </w:t>
      </w:r>
      <w:r>
        <w:t>on</w:t>
      </w:r>
      <w:r>
        <w:rPr>
          <w:spacing w:val="-11"/>
        </w:rPr>
        <w:t xml:space="preserve"> </w:t>
      </w:r>
      <w:r>
        <w:t>roads</w:t>
      </w:r>
      <w:r>
        <w:rPr>
          <w:spacing w:val="-11"/>
        </w:rPr>
        <w:t xml:space="preserve"> </w:t>
      </w:r>
      <w:r>
        <w:t>around</w:t>
      </w:r>
      <w:r>
        <w:rPr>
          <w:spacing w:val="-11"/>
        </w:rPr>
        <w:t xml:space="preserve"> </w:t>
      </w:r>
      <w:r>
        <w:t>Port</w:t>
      </w:r>
      <w:r>
        <w:rPr>
          <w:spacing w:val="-11"/>
        </w:rPr>
        <w:t xml:space="preserve"> </w:t>
      </w:r>
      <w:r>
        <w:t>Botany</w:t>
      </w:r>
      <w:r>
        <w:rPr>
          <w:spacing w:val="-11"/>
        </w:rPr>
        <w:t xml:space="preserve"> </w:t>
      </w:r>
      <w:r>
        <w:t>and Sydney</w:t>
      </w:r>
      <w:r>
        <w:rPr>
          <w:spacing w:val="-14"/>
        </w:rPr>
        <w:t xml:space="preserve"> </w:t>
      </w:r>
      <w:r>
        <w:t>Airport.</w:t>
      </w:r>
      <w:r>
        <w:rPr>
          <w:spacing w:val="-14"/>
        </w:rPr>
        <w:t xml:space="preserve"> </w:t>
      </w:r>
      <w:r>
        <w:t>This</w:t>
      </w:r>
      <w:r>
        <w:rPr>
          <w:spacing w:val="-14"/>
        </w:rPr>
        <w:t xml:space="preserve"> </w:t>
      </w:r>
      <w:r>
        <w:t>is</w:t>
      </w:r>
      <w:r>
        <w:rPr>
          <w:spacing w:val="-14"/>
        </w:rPr>
        <w:t xml:space="preserve"> </w:t>
      </w:r>
      <w:r>
        <w:t>shown</w:t>
      </w:r>
      <w:r>
        <w:rPr>
          <w:spacing w:val="-14"/>
        </w:rPr>
        <w:t xml:space="preserve"> </w:t>
      </w:r>
      <w:r>
        <w:t>in</w:t>
      </w:r>
      <w:r>
        <w:rPr>
          <w:spacing w:val="-14"/>
        </w:rPr>
        <w:t xml:space="preserve"> </w:t>
      </w:r>
      <w:r>
        <w:t>Figure</w:t>
      </w:r>
      <w:r>
        <w:rPr>
          <w:spacing w:val="-14"/>
        </w:rPr>
        <w:t xml:space="preserve"> </w:t>
      </w:r>
      <w:r>
        <w:t>9.1.</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274" w:space="40"/>
            <w:col w:w="5004" w:space="39"/>
            <w:col w:w="5703"/>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060EF">
      <w:pPr>
        <w:pStyle w:val="BodyText"/>
        <w:spacing w:before="106"/>
        <w:ind w:left="492"/>
      </w:pPr>
      <w:r>
        <w:pict>
          <v:group id="docshapegroup1511" o:spid="_x0000_s3681" style="position:absolute;left:0;text-align:left;margin-left:298.75pt;margin-top:6.05pt;width:493.35pt;height:414pt;z-index:251421696;mso-position-horizontal-relative:page" coordorigin="5975,121" coordsize="9867,8280">
            <v:shape id="docshape1512" o:spid="_x0000_s3720" type="#_x0000_t75" style="position:absolute;left:5975;top:121;width:9867;height:8280">
              <v:imagedata r:id="rId169" o:title=""/>
            </v:shape>
            <v:line id="_x0000_s3719" style="position:absolute" from="15807,4694" to="12403,4694" strokecolor="#2e3092" strokeweight="1.98pt"/>
            <v:shape id="docshape1513" o:spid="_x0000_s3718" style="position:absolute;left:12360;top:4665;width:52;height:60" coordorigin="12360,4665" coordsize="52,60" path="m12411,4665r-51,30l12411,4724r,-59xe" fillcolor="#2e3092" stroked="f">
              <v:path arrowok="t"/>
            </v:shape>
            <v:line id="_x0000_s3717" style="position:absolute" from="12948,1388" to="12590,1746" strokecolor="#2e3092" strokeweight="1.98pt"/>
            <v:shape id="docshape1514" o:spid="_x0000_s3716" style="position:absolute;left:12560;top:1718;width:58;height:58" coordorigin="12560,1719" coordsize="58,58" path="m12575,1719r-15,57l12617,1761r-42,-42xe" fillcolor="#2e3092" stroked="f">
              <v:path arrowok="t"/>
            </v:shape>
            <v:line id="_x0000_s3715" style="position:absolute" from="12914,1422" to="12472,1544" strokecolor="#2e3092" strokeweight="1.98pt"/>
            <v:shape id="docshape1515" o:spid="_x0000_s3714" style="position:absolute;left:12431;top:1512;width:58;height:58" coordorigin="12431,1513" coordsize="58,58" path="m12473,1513r-42,42l12489,1570r-16,-57xe" fillcolor="#2e3092" stroked="f">
              <v:path arrowok="t"/>
            </v:shape>
            <v:shape id="docshape1516" o:spid="_x0000_s3713" type="#_x0000_t202" style="position:absolute;left:6116;top:216;width:7331;height:213" filled="f" stroked="f">
              <v:textbox inset="0,0,0,0">
                <w:txbxContent>
                  <w:p w:rsidR="00F22F94" w:rsidRDefault="00F22F94">
                    <w:pPr>
                      <w:spacing w:before="5"/>
                      <w:rPr>
                        <w:b/>
                        <w:sz w:val="18"/>
                      </w:rPr>
                    </w:pPr>
                    <w:r>
                      <w:rPr>
                        <w:b/>
                        <w:sz w:val="18"/>
                      </w:rPr>
                      <w:t>Figure</w:t>
                    </w:r>
                    <w:r>
                      <w:rPr>
                        <w:b/>
                        <w:spacing w:val="-13"/>
                        <w:sz w:val="18"/>
                      </w:rPr>
                      <w:t xml:space="preserve"> </w:t>
                    </w:r>
                    <w:r>
                      <w:rPr>
                        <w:b/>
                        <w:sz w:val="18"/>
                      </w:rPr>
                      <w:t>9.1</w:t>
                    </w:r>
                    <w:r>
                      <w:rPr>
                        <w:b/>
                        <w:spacing w:val="27"/>
                        <w:sz w:val="18"/>
                      </w:rPr>
                      <w:t xml:space="preserve"> </w:t>
                    </w:r>
                    <w:r>
                      <w:rPr>
                        <w:b/>
                        <w:sz w:val="18"/>
                      </w:rPr>
                      <w:t>Short</w:t>
                    </w:r>
                    <w:r>
                      <w:rPr>
                        <w:b/>
                        <w:spacing w:val="-13"/>
                        <w:sz w:val="18"/>
                      </w:rPr>
                      <w:t xml:space="preserve"> </w:t>
                    </w:r>
                    <w:r>
                      <w:rPr>
                        <w:b/>
                        <w:sz w:val="18"/>
                      </w:rPr>
                      <w:t>term</w:t>
                    </w:r>
                    <w:r>
                      <w:rPr>
                        <w:b/>
                        <w:spacing w:val="-12"/>
                        <w:sz w:val="18"/>
                      </w:rPr>
                      <w:t xml:space="preserve"> </w:t>
                    </w:r>
                    <w:r>
                      <w:rPr>
                        <w:b/>
                        <w:sz w:val="18"/>
                      </w:rPr>
                      <w:t>transport</w:t>
                    </w:r>
                    <w:r>
                      <w:rPr>
                        <w:b/>
                        <w:spacing w:val="-12"/>
                        <w:sz w:val="18"/>
                      </w:rPr>
                      <w:t xml:space="preserve"> </w:t>
                    </w:r>
                    <w:r>
                      <w:rPr>
                        <w:b/>
                        <w:sz w:val="18"/>
                      </w:rPr>
                      <w:t>improvements</w:t>
                    </w:r>
                    <w:r>
                      <w:rPr>
                        <w:b/>
                        <w:spacing w:val="-12"/>
                        <w:sz w:val="18"/>
                      </w:rPr>
                      <w:t xml:space="preserve"> </w:t>
                    </w:r>
                    <w:r>
                      <w:rPr>
                        <w:b/>
                        <w:sz w:val="18"/>
                      </w:rPr>
                      <w:t>around</w:t>
                    </w:r>
                    <w:r>
                      <w:rPr>
                        <w:b/>
                        <w:spacing w:val="-12"/>
                        <w:sz w:val="18"/>
                      </w:rPr>
                      <w:t xml:space="preserve"> </w:t>
                    </w:r>
                    <w:r>
                      <w:rPr>
                        <w:b/>
                        <w:sz w:val="18"/>
                      </w:rPr>
                      <w:t>Sydney</w:t>
                    </w:r>
                    <w:r>
                      <w:rPr>
                        <w:b/>
                        <w:spacing w:val="-13"/>
                        <w:sz w:val="18"/>
                      </w:rPr>
                      <w:t xml:space="preserve"> </w:t>
                    </w:r>
                    <w:r>
                      <w:rPr>
                        <w:b/>
                        <w:sz w:val="18"/>
                      </w:rPr>
                      <w:t>Airport</w:t>
                    </w:r>
                    <w:r>
                      <w:rPr>
                        <w:b/>
                        <w:spacing w:val="-12"/>
                        <w:sz w:val="18"/>
                      </w:rPr>
                      <w:t xml:space="preserve"> </w:t>
                    </w:r>
                    <w:r>
                      <w:rPr>
                        <w:b/>
                        <w:sz w:val="18"/>
                      </w:rPr>
                      <w:t>and</w:t>
                    </w:r>
                    <w:r>
                      <w:rPr>
                        <w:b/>
                        <w:spacing w:val="-12"/>
                        <w:sz w:val="18"/>
                      </w:rPr>
                      <w:t xml:space="preserve"> </w:t>
                    </w:r>
                    <w:r>
                      <w:rPr>
                        <w:b/>
                        <w:sz w:val="18"/>
                      </w:rPr>
                      <w:t>Port</w:t>
                    </w:r>
                    <w:r>
                      <w:rPr>
                        <w:b/>
                        <w:spacing w:val="-12"/>
                        <w:sz w:val="18"/>
                      </w:rPr>
                      <w:t xml:space="preserve"> </w:t>
                    </w:r>
                    <w:r>
                      <w:rPr>
                        <w:b/>
                        <w:spacing w:val="-2"/>
                        <w:sz w:val="18"/>
                      </w:rPr>
                      <w:t>Botany</w:t>
                    </w:r>
                  </w:p>
                </w:txbxContent>
              </v:textbox>
            </v:shape>
            <v:shape id="docshape1517" o:spid="_x0000_s3712" type="#_x0000_t202" style="position:absolute;left:12021;top:889;width:567;height:168" filled="f" stroked="f">
              <v:textbox inset="0,0,0,0">
                <w:txbxContent>
                  <w:p w:rsidR="00F22F94" w:rsidRDefault="00F22F94">
                    <w:pPr>
                      <w:spacing w:line="168" w:lineRule="exact"/>
                      <w:rPr>
                        <w:sz w:val="15"/>
                      </w:rPr>
                    </w:pPr>
                    <w:r>
                      <w:rPr>
                        <w:color w:val="737577"/>
                        <w:spacing w:val="-2"/>
                        <w:w w:val="75"/>
                        <w:sz w:val="15"/>
                      </w:rPr>
                      <w:t>Alexandria</w:t>
                    </w:r>
                  </w:p>
                </w:txbxContent>
              </v:textbox>
            </v:shape>
            <v:shape id="docshape1518" o:spid="_x0000_s3711" type="#_x0000_t202" style="position:absolute;left:13982;top:823;width:625;height:168" filled="f" stroked="f">
              <v:textbox inset="0,0,0,0">
                <w:txbxContent>
                  <w:p w:rsidR="00F22F94" w:rsidRDefault="00F22F94">
                    <w:pPr>
                      <w:spacing w:line="168" w:lineRule="exact"/>
                      <w:rPr>
                        <w:sz w:val="15"/>
                      </w:rPr>
                    </w:pPr>
                    <w:r>
                      <w:rPr>
                        <w:color w:val="737577"/>
                        <w:w w:val="75"/>
                        <w:sz w:val="15"/>
                      </w:rPr>
                      <w:t>Moore</w:t>
                    </w:r>
                    <w:r>
                      <w:rPr>
                        <w:color w:val="737577"/>
                        <w:spacing w:val="5"/>
                        <w:sz w:val="15"/>
                      </w:rPr>
                      <w:t xml:space="preserve"> </w:t>
                    </w:r>
                    <w:r>
                      <w:rPr>
                        <w:color w:val="737577"/>
                        <w:spacing w:val="-4"/>
                        <w:w w:val="80"/>
                        <w:sz w:val="15"/>
                      </w:rPr>
                      <w:t>Park</w:t>
                    </w:r>
                  </w:p>
                </w:txbxContent>
              </v:textbox>
            </v:shape>
            <v:shape id="docshape1519" o:spid="_x0000_s3710" type="#_x0000_t202" style="position:absolute;left:7502;top:1032;width:630;height:168" filled="f" stroked="f">
              <v:textbox inset="0,0,0,0">
                <w:txbxContent>
                  <w:p w:rsidR="00F22F94" w:rsidRDefault="00F22F94">
                    <w:pPr>
                      <w:spacing w:line="168" w:lineRule="exact"/>
                      <w:rPr>
                        <w:sz w:val="15"/>
                      </w:rPr>
                    </w:pPr>
                    <w:r>
                      <w:rPr>
                        <w:color w:val="737577"/>
                        <w:w w:val="75"/>
                        <w:sz w:val="15"/>
                      </w:rPr>
                      <w:t>Dulwich</w:t>
                    </w:r>
                    <w:r>
                      <w:rPr>
                        <w:color w:val="737577"/>
                        <w:spacing w:val="8"/>
                        <w:sz w:val="15"/>
                      </w:rPr>
                      <w:t xml:space="preserve"> </w:t>
                    </w:r>
                    <w:r>
                      <w:rPr>
                        <w:color w:val="737577"/>
                        <w:spacing w:val="-4"/>
                        <w:w w:val="80"/>
                        <w:sz w:val="15"/>
                      </w:rPr>
                      <w:t>Hill</w:t>
                    </w:r>
                  </w:p>
                </w:txbxContent>
              </v:textbox>
            </v:shape>
            <v:shape id="docshape1520" o:spid="_x0000_s3709" type="#_x0000_t202" style="position:absolute;left:13026;top:1149;width:2020;height:227" filled="f" stroked="f">
              <v:textbox inset="0,0,0,0">
                <w:txbxContent>
                  <w:p w:rsidR="00F22F94" w:rsidRDefault="00F22F94">
                    <w:pPr>
                      <w:spacing w:line="227" w:lineRule="exact"/>
                      <w:rPr>
                        <w:sz w:val="20"/>
                      </w:rPr>
                    </w:pPr>
                    <w:r>
                      <w:rPr>
                        <w:color w:val="FFFFFF"/>
                        <w:w w:val="80"/>
                        <w:sz w:val="20"/>
                      </w:rPr>
                      <w:t>Convert</w:t>
                    </w:r>
                    <w:r>
                      <w:rPr>
                        <w:color w:val="FFFFFF"/>
                        <w:sz w:val="20"/>
                      </w:rPr>
                      <w:t xml:space="preserve"> </w:t>
                    </w:r>
                    <w:r>
                      <w:rPr>
                        <w:color w:val="FFFFFF"/>
                        <w:w w:val="80"/>
                        <w:sz w:val="20"/>
                      </w:rPr>
                      <w:t>to</w:t>
                    </w:r>
                    <w:r>
                      <w:rPr>
                        <w:color w:val="FFFFFF"/>
                        <w:sz w:val="20"/>
                      </w:rPr>
                      <w:t xml:space="preserve"> </w:t>
                    </w:r>
                    <w:r>
                      <w:rPr>
                        <w:color w:val="FFFFFF"/>
                        <w:w w:val="80"/>
                        <w:sz w:val="20"/>
                      </w:rPr>
                      <w:t>one-way</w:t>
                    </w:r>
                    <w:r>
                      <w:rPr>
                        <w:color w:val="FFFFFF"/>
                        <w:sz w:val="20"/>
                      </w:rPr>
                      <w:t xml:space="preserve"> </w:t>
                    </w:r>
                    <w:r>
                      <w:rPr>
                        <w:color w:val="FFFFFF"/>
                        <w:spacing w:val="-2"/>
                        <w:w w:val="80"/>
                        <w:sz w:val="20"/>
                      </w:rPr>
                      <w:t>system</w:t>
                    </w:r>
                  </w:p>
                </w:txbxContent>
              </v:textbox>
            </v:shape>
            <v:shape id="docshape1521" o:spid="_x0000_s3708" type="#_x0000_t202" style="position:absolute;left:8617;top:1799;width:617;height:168" filled="f" stroked="f">
              <v:textbox inset="0,0,0,0">
                <w:txbxContent>
                  <w:p w:rsidR="00F22F94" w:rsidRDefault="00F22F94">
                    <w:pPr>
                      <w:spacing w:line="168" w:lineRule="exact"/>
                      <w:rPr>
                        <w:sz w:val="15"/>
                      </w:rPr>
                    </w:pPr>
                    <w:r>
                      <w:rPr>
                        <w:color w:val="737577"/>
                        <w:spacing w:val="-2"/>
                        <w:w w:val="80"/>
                        <w:sz w:val="15"/>
                      </w:rPr>
                      <w:t>Marrickville</w:t>
                    </w:r>
                  </w:p>
                </w:txbxContent>
              </v:textbox>
            </v:shape>
            <v:shape id="docshape1522" o:spid="_x0000_s3707" type="#_x0000_t202" style="position:absolute;left:13422;top:1702;width:603;height:168" filled="f" stroked="f">
              <v:textbox inset="0,0,0,0">
                <w:txbxContent>
                  <w:p w:rsidR="00F22F94" w:rsidRDefault="00F22F94">
                    <w:pPr>
                      <w:spacing w:line="168" w:lineRule="exact"/>
                      <w:rPr>
                        <w:sz w:val="15"/>
                      </w:rPr>
                    </w:pPr>
                    <w:r>
                      <w:rPr>
                        <w:color w:val="737577"/>
                        <w:spacing w:val="-2"/>
                        <w:w w:val="80"/>
                        <w:sz w:val="15"/>
                      </w:rPr>
                      <w:t>Kensington</w:t>
                    </w:r>
                  </w:p>
                </w:txbxContent>
              </v:textbox>
            </v:shape>
            <v:shape id="docshape1523" o:spid="_x0000_s3706" type="#_x0000_t202" style="position:absolute;left:7013;top:2133;width:1834;height:227" filled="f" stroked="f">
              <v:textbox inset="0,0,0,0">
                <w:txbxContent>
                  <w:p w:rsidR="00F22F94" w:rsidRDefault="00F22F94">
                    <w:pPr>
                      <w:spacing w:line="227" w:lineRule="exact"/>
                      <w:rPr>
                        <w:sz w:val="20"/>
                      </w:rPr>
                    </w:pPr>
                    <w:r>
                      <w:rPr>
                        <w:color w:val="FFFFFF"/>
                        <w:w w:val="80"/>
                        <w:sz w:val="20"/>
                      </w:rPr>
                      <w:t>New</w:t>
                    </w:r>
                    <w:r>
                      <w:rPr>
                        <w:color w:val="FFFFFF"/>
                        <w:sz w:val="20"/>
                      </w:rPr>
                      <w:t xml:space="preserve"> </w:t>
                    </w:r>
                    <w:r>
                      <w:rPr>
                        <w:color w:val="FFFFFF"/>
                        <w:w w:val="80"/>
                        <w:sz w:val="20"/>
                      </w:rPr>
                      <w:t>airport</w:t>
                    </w:r>
                    <w:r>
                      <w:rPr>
                        <w:color w:val="FFFFFF"/>
                        <w:spacing w:val="1"/>
                        <w:sz w:val="20"/>
                      </w:rPr>
                      <w:t xml:space="preserve"> </w:t>
                    </w:r>
                    <w:r>
                      <w:rPr>
                        <w:color w:val="FFFFFF"/>
                        <w:w w:val="80"/>
                        <w:sz w:val="20"/>
                      </w:rPr>
                      <w:t>bus</w:t>
                    </w:r>
                    <w:r>
                      <w:rPr>
                        <w:color w:val="FFFFFF"/>
                        <w:spacing w:val="1"/>
                        <w:sz w:val="20"/>
                      </w:rPr>
                      <w:t xml:space="preserve"> </w:t>
                    </w:r>
                    <w:r>
                      <w:rPr>
                        <w:color w:val="FFFFFF"/>
                        <w:spacing w:val="-2"/>
                        <w:w w:val="80"/>
                        <w:sz w:val="20"/>
                      </w:rPr>
                      <w:t>services</w:t>
                    </w:r>
                  </w:p>
                </w:txbxContent>
              </v:textbox>
            </v:shape>
            <v:shape id="docshape1524" o:spid="_x0000_s3705" type="#_x0000_t202" style="position:absolute;left:14475;top:2030;width:526;height:168" filled="f" stroked="f">
              <v:textbox inset="0,0,0,0">
                <w:txbxContent>
                  <w:p w:rsidR="00F22F94" w:rsidRDefault="00F22F94">
                    <w:pPr>
                      <w:spacing w:line="168" w:lineRule="exact"/>
                      <w:rPr>
                        <w:sz w:val="15"/>
                      </w:rPr>
                    </w:pPr>
                    <w:r>
                      <w:rPr>
                        <w:color w:val="737577"/>
                        <w:spacing w:val="-2"/>
                        <w:w w:val="80"/>
                        <w:sz w:val="15"/>
                      </w:rPr>
                      <w:t>Randwick</w:t>
                    </w:r>
                  </w:p>
                </w:txbxContent>
              </v:textbox>
            </v:shape>
            <v:shape id="docshape1525" o:spid="_x0000_s3704" type="#_x0000_t202" style="position:absolute;left:9807;top:2268;width:573;height:168" filled="f" stroked="f">
              <v:textbox inset="0,0,0,0">
                <w:txbxContent>
                  <w:p w:rsidR="00F22F94" w:rsidRDefault="00F22F94">
                    <w:pPr>
                      <w:spacing w:line="168" w:lineRule="exact"/>
                      <w:rPr>
                        <w:sz w:val="15"/>
                      </w:rPr>
                    </w:pPr>
                    <w:r>
                      <w:rPr>
                        <w:color w:val="737577"/>
                        <w:spacing w:val="-2"/>
                        <w:w w:val="75"/>
                        <w:sz w:val="15"/>
                      </w:rPr>
                      <w:t>Sydenham</w:t>
                    </w:r>
                  </w:p>
                </w:txbxContent>
              </v:textbox>
            </v:shape>
            <v:shape id="docshape1526" o:spid="_x0000_s3703" type="#_x0000_t202" style="position:absolute;left:12837;top:2717;width:507;height:168" filled="f" stroked="f">
              <v:textbox inset="0,0,0,0">
                <w:txbxContent>
                  <w:p w:rsidR="00F22F94" w:rsidRDefault="00F22F94">
                    <w:pPr>
                      <w:spacing w:line="168" w:lineRule="exact"/>
                      <w:rPr>
                        <w:sz w:val="15"/>
                      </w:rPr>
                    </w:pPr>
                    <w:r>
                      <w:rPr>
                        <w:color w:val="737577"/>
                        <w:spacing w:val="-2"/>
                        <w:w w:val="75"/>
                        <w:sz w:val="15"/>
                      </w:rPr>
                      <w:t>Rosebery</w:t>
                    </w:r>
                  </w:p>
                </w:txbxContent>
              </v:textbox>
            </v:shape>
            <v:shape id="docshape1527" o:spid="_x0000_s3702" type="#_x0000_t202" style="position:absolute;left:14199;top:2941;width:515;height:168" filled="f" stroked="f">
              <v:textbox inset="0,0,0,0">
                <w:txbxContent>
                  <w:p w:rsidR="00F22F94" w:rsidRDefault="00F22F94">
                    <w:pPr>
                      <w:spacing w:line="168" w:lineRule="exact"/>
                      <w:rPr>
                        <w:sz w:val="15"/>
                      </w:rPr>
                    </w:pPr>
                    <w:r>
                      <w:rPr>
                        <w:color w:val="737577"/>
                        <w:spacing w:val="-2"/>
                        <w:w w:val="80"/>
                        <w:sz w:val="15"/>
                      </w:rPr>
                      <w:t>Kingsford</w:t>
                    </w:r>
                  </w:p>
                </w:txbxContent>
              </v:textbox>
            </v:shape>
            <v:shape id="docshape1528" o:spid="_x0000_s3701" type="#_x0000_t202" style="position:absolute;left:9381;top:3383;width:370;height:168" filled="f" stroked="f">
              <v:textbox inset="0,0,0,0">
                <w:txbxContent>
                  <w:p w:rsidR="00F22F94" w:rsidRDefault="00F22F94">
                    <w:pPr>
                      <w:spacing w:line="168" w:lineRule="exact"/>
                      <w:rPr>
                        <w:sz w:val="15"/>
                      </w:rPr>
                    </w:pPr>
                    <w:r>
                      <w:rPr>
                        <w:color w:val="737577"/>
                        <w:spacing w:val="-4"/>
                        <w:w w:val="80"/>
                        <w:sz w:val="15"/>
                      </w:rPr>
                      <w:t>Tempe</w:t>
                    </w:r>
                  </w:p>
                </w:txbxContent>
              </v:textbox>
            </v:shape>
            <v:shape id="docshape1529" o:spid="_x0000_s3700" type="#_x0000_t202" style="position:absolute;left:11636;top:3432;width:1461;height:740" filled="f" stroked="f">
              <v:textbox inset="0,0,0,0">
                <w:txbxContent>
                  <w:p w:rsidR="00F22F94" w:rsidRDefault="00F22F94">
                    <w:pPr>
                      <w:spacing w:before="6" w:line="228" w:lineRule="auto"/>
                      <w:ind w:left="51" w:hanging="52"/>
                      <w:rPr>
                        <w:sz w:val="20"/>
                      </w:rPr>
                    </w:pPr>
                    <w:r>
                      <w:rPr>
                        <w:color w:val="FFFFFF"/>
                        <w:w w:val="80"/>
                        <w:sz w:val="20"/>
                      </w:rPr>
                      <w:t>Reduction of airport station</w:t>
                    </w:r>
                    <w:r>
                      <w:rPr>
                        <w:color w:val="FFFFFF"/>
                        <w:spacing w:val="1"/>
                        <w:sz w:val="20"/>
                      </w:rPr>
                      <w:t xml:space="preserve"> </w:t>
                    </w:r>
                    <w:r>
                      <w:rPr>
                        <w:color w:val="FFFFFF"/>
                        <w:w w:val="80"/>
                        <w:sz w:val="20"/>
                      </w:rPr>
                      <w:t>usage</w:t>
                    </w:r>
                    <w:r>
                      <w:rPr>
                        <w:color w:val="FFFFFF"/>
                        <w:spacing w:val="1"/>
                        <w:sz w:val="20"/>
                      </w:rPr>
                      <w:t xml:space="preserve"> </w:t>
                    </w:r>
                    <w:r>
                      <w:rPr>
                        <w:color w:val="FFFFFF"/>
                        <w:spacing w:val="-4"/>
                        <w:w w:val="80"/>
                        <w:sz w:val="20"/>
                      </w:rPr>
                      <w:t>fees</w:t>
                    </w:r>
                  </w:p>
                  <w:p w:rsidR="00F22F94" w:rsidRDefault="00F22F94">
                    <w:pPr>
                      <w:spacing w:before="125" w:line="171" w:lineRule="exact"/>
                      <w:ind w:left="708"/>
                      <w:rPr>
                        <w:sz w:val="15"/>
                      </w:rPr>
                    </w:pPr>
                    <w:r>
                      <w:rPr>
                        <w:color w:val="737577"/>
                        <w:spacing w:val="-2"/>
                        <w:w w:val="90"/>
                        <w:sz w:val="15"/>
                      </w:rPr>
                      <w:t>Mascot</w:t>
                    </w:r>
                  </w:p>
                </w:txbxContent>
              </v:textbox>
            </v:shape>
            <v:shape id="docshape1530" o:spid="_x0000_s3699" type="#_x0000_t202" style="position:absolute;left:13304;top:3407;width:515;height:168" filled="f" stroked="f">
              <v:textbox inset="0,0,0,0">
                <w:txbxContent>
                  <w:p w:rsidR="00F22F94" w:rsidRDefault="00F22F94">
                    <w:pPr>
                      <w:spacing w:line="168" w:lineRule="exact"/>
                      <w:rPr>
                        <w:sz w:val="15"/>
                      </w:rPr>
                    </w:pPr>
                    <w:r>
                      <w:rPr>
                        <w:color w:val="737577"/>
                        <w:spacing w:val="-2"/>
                        <w:w w:val="75"/>
                        <w:sz w:val="15"/>
                      </w:rPr>
                      <w:t>Eastlakes</w:t>
                    </w:r>
                  </w:p>
                </w:txbxContent>
              </v:textbox>
            </v:shape>
            <v:shape id="docshape1531" o:spid="_x0000_s3698" type="#_x0000_t202" style="position:absolute;left:13862;top:4421;width:1834;height:227" filled="f" stroked="f">
              <v:textbox inset="0,0,0,0">
                <w:txbxContent>
                  <w:p w:rsidR="00F22F94" w:rsidRDefault="00F22F94">
                    <w:pPr>
                      <w:spacing w:line="227" w:lineRule="exact"/>
                      <w:rPr>
                        <w:sz w:val="20"/>
                      </w:rPr>
                    </w:pPr>
                    <w:r>
                      <w:rPr>
                        <w:color w:val="FFFFFF"/>
                        <w:w w:val="80"/>
                        <w:sz w:val="20"/>
                      </w:rPr>
                      <w:t>New</w:t>
                    </w:r>
                    <w:r>
                      <w:rPr>
                        <w:color w:val="FFFFFF"/>
                        <w:sz w:val="20"/>
                      </w:rPr>
                      <w:t xml:space="preserve"> </w:t>
                    </w:r>
                    <w:r>
                      <w:rPr>
                        <w:color w:val="FFFFFF"/>
                        <w:w w:val="80"/>
                        <w:sz w:val="20"/>
                      </w:rPr>
                      <w:t>airport</w:t>
                    </w:r>
                    <w:r>
                      <w:rPr>
                        <w:color w:val="FFFFFF"/>
                        <w:spacing w:val="1"/>
                        <w:sz w:val="20"/>
                      </w:rPr>
                      <w:t xml:space="preserve"> </w:t>
                    </w:r>
                    <w:r>
                      <w:rPr>
                        <w:color w:val="FFFFFF"/>
                        <w:w w:val="80"/>
                        <w:sz w:val="20"/>
                      </w:rPr>
                      <w:t>bus</w:t>
                    </w:r>
                    <w:r>
                      <w:rPr>
                        <w:color w:val="FFFFFF"/>
                        <w:spacing w:val="1"/>
                        <w:sz w:val="20"/>
                      </w:rPr>
                      <w:t xml:space="preserve"> </w:t>
                    </w:r>
                    <w:r>
                      <w:rPr>
                        <w:color w:val="FFFFFF"/>
                        <w:spacing w:val="-2"/>
                        <w:w w:val="80"/>
                        <w:sz w:val="20"/>
                      </w:rPr>
                      <w:t>services</w:t>
                    </w:r>
                  </w:p>
                </w:txbxContent>
              </v:textbox>
            </v:shape>
            <v:shape id="docshape1532" o:spid="_x0000_s3697" type="#_x0000_t202" style="position:absolute;left:7456;top:4743;width:452;height:168" filled="f" stroked="f">
              <v:textbox inset="0,0,0,0">
                <w:txbxContent>
                  <w:p w:rsidR="00F22F94" w:rsidRDefault="00F22F94">
                    <w:pPr>
                      <w:spacing w:line="168" w:lineRule="exact"/>
                      <w:rPr>
                        <w:sz w:val="15"/>
                      </w:rPr>
                    </w:pPr>
                    <w:r>
                      <w:rPr>
                        <w:color w:val="737577"/>
                        <w:spacing w:val="-2"/>
                        <w:w w:val="80"/>
                        <w:sz w:val="15"/>
                      </w:rPr>
                      <w:t>Arncliffe</w:t>
                    </w:r>
                  </w:p>
                </w:txbxContent>
              </v:textbox>
            </v:shape>
            <v:shape id="docshape1533" o:spid="_x0000_s3696" type="#_x0000_t202" style="position:absolute;left:9295;top:4841;width:1973;height:445" filled="f" stroked="f">
              <v:textbox inset="0,0,0,0">
                <w:txbxContent>
                  <w:p w:rsidR="00F22F94" w:rsidRDefault="00F22F94">
                    <w:pPr>
                      <w:spacing w:before="6" w:line="228" w:lineRule="auto"/>
                      <w:ind w:left="60" w:hanging="61"/>
                      <w:rPr>
                        <w:sz w:val="20"/>
                      </w:rPr>
                    </w:pPr>
                    <w:r>
                      <w:rPr>
                        <w:color w:val="FFFFFF"/>
                        <w:w w:val="80"/>
                        <w:sz w:val="20"/>
                      </w:rPr>
                      <w:t>General</w:t>
                    </w:r>
                    <w:r>
                      <w:rPr>
                        <w:color w:val="FFFFFF"/>
                        <w:spacing w:val="-3"/>
                        <w:w w:val="80"/>
                        <w:sz w:val="20"/>
                      </w:rPr>
                      <w:t xml:space="preserve"> </w:t>
                    </w:r>
                    <w:r>
                      <w:rPr>
                        <w:color w:val="FFFFFF"/>
                        <w:w w:val="80"/>
                        <w:sz w:val="20"/>
                      </w:rPr>
                      <w:t>Holmes</w:t>
                    </w:r>
                    <w:r>
                      <w:rPr>
                        <w:color w:val="FFFFFF"/>
                        <w:spacing w:val="-3"/>
                        <w:w w:val="80"/>
                        <w:sz w:val="20"/>
                      </w:rPr>
                      <w:t xml:space="preserve"> </w:t>
                    </w:r>
                    <w:r>
                      <w:rPr>
                        <w:color w:val="FFFFFF"/>
                        <w:w w:val="80"/>
                        <w:sz w:val="20"/>
                      </w:rPr>
                      <w:t>Drive</w:t>
                    </w:r>
                    <w:r>
                      <w:rPr>
                        <w:color w:val="FFFFFF"/>
                        <w:spacing w:val="-3"/>
                        <w:w w:val="80"/>
                        <w:sz w:val="20"/>
                      </w:rPr>
                      <w:t xml:space="preserve"> </w:t>
                    </w:r>
                    <w:r>
                      <w:rPr>
                        <w:color w:val="FFFFFF"/>
                        <w:w w:val="80"/>
                        <w:sz w:val="20"/>
                      </w:rPr>
                      <w:t xml:space="preserve">road </w:t>
                    </w:r>
                    <w:r>
                      <w:rPr>
                        <w:color w:val="FFFFFF"/>
                        <w:w w:val="85"/>
                        <w:sz w:val="20"/>
                      </w:rPr>
                      <w:t>underpass</w:t>
                    </w:r>
                    <w:r>
                      <w:rPr>
                        <w:color w:val="FFFFFF"/>
                        <w:spacing w:val="-6"/>
                        <w:w w:val="85"/>
                        <w:sz w:val="20"/>
                      </w:rPr>
                      <w:t xml:space="preserve"> </w:t>
                    </w:r>
                    <w:r>
                      <w:rPr>
                        <w:color w:val="FFFFFF"/>
                        <w:w w:val="85"/>
                        <w:sz w:val="20"/>
                      </w:rPr>
                      <w:t>below</w:t>
                    </w:r>
                    <w:r>
                      <w:rPr>
                        <w:color w:val="FFFFFF"/>
                        <w:spacing w:val="-5"/>
                        <w:w w:val="85"/>
                        <w:sz w:val="20"/>
                      </w:rPr>
                      <w:t xml:space="preserve"> </w:t>
                    </w:r>
                    <w:r>
                      <w:rPr>
                        <w:color w:val="FFFFFF"/>
                        <w:w w:val="85"/>
                        <w:sz w:val="20"/>
                      </w:rPr>
                      <w:t>rail</w:t>
                    </w:r>
                    <w:r>
                      <w:rPr>
                        <w:color w:val="FFFFFF"/>
                        <w:spacing w:val="-6"/>
                        <w:w w:val="85"/>
                        <w:sz w:val="20"/>
                      </w:rPr>
                      <w:t xml:space="preserve"> </w:t>
                    </w:r>
                    <w:r>
                      <w:rPr>
                        <w:color w:val="FFFFFF"/>
                        <w:w w:val="85"/>
                        <w:sz w:val="20"/>
                      </w:rPr>
                      <w:t>line</w:t>
                    </w:r>
                  </w:p>
                </w:txbxContent>
              </v:textbox>
            </v:shape>
            <v:shape id="docshape1534" o:spid="_x0000_s3695" type="#_x0000_t202" style="position:absolute;left:12479;top:4894;width:1611;height:464" filled="f" stroked="f">
              <v:textbox inset="0,0,0,0">
                <w:txbxContent>
                  <w:p w:rsidR="00F22F94" w:rsidRDefault="00F22F94">
                    <w:pPr>
                      <w:spacing w:line="169" w:lineRule="exact"/>
                      <w:ind w:left="784"/>
                      <w:rPr>
                        <w:sz w:val="15"/>
                      </w:rPr>
                    </w:pPr>
                    <w:r>
                      <w:rPr>
                        <w:color w:val="737577"/>
                        <w:spacing w:val="-2"/>
                        <w:w w:val="85"/>
                        <w:sz w:val="15"/>
                      </w:rPr>
                      <w:t>Pagewood</w:t>
                    </w:r>
                  </w:p>
                  <w:p w:rsidR="00F22F94" w:rsidRDefault="00F22F94">
                    <w:pPr>
                      <w:spacing w:before="64" w:line="230" w:lineRule="exact"/>
                      <w:rPr>
                        <w:sz w:val="20"/>
                      </w:rPr>
                    </w:pPr>
                    <w:r>
                      <w:rPr>
                        <w:color w:val="FFFFFF"/>
                        <w:w w:val="80"/>
                        <w:sz w:val="20"/>
                      </w:rPr>
                      <w:t>Widen</w:t>
                    </w:r>
                    <w:r>
                      <w:rPr>
                        <w:color w:val="FFFFFF"/>
                        <w:spacing w:val="-8"/>
                        <w:sz w:val="20"/>
                      </w:rPr>
                      <w:t xml:space="preserve"> </w:t>
                    </w:r>
                    <w:r>
                      <w:rPr>
                        <w:color w:val="FFFFFF"/>
                        <w:w w:val="80"/>
                        <w:sz w:val="20"/>
                      </w:rPr>
                      <w:t>Mill</w:t>
                    </w:r>
                    <w:r>
                      <w:rPr>
                        <w:color w:val="FFFFFF"/>
                        <w:spacing w:val="-7"/>
                        <w:sz w:val="20"/>
                      </w:rPr>
                      <w:t xml:space="preserve"> </w:t>
                    </w:r>
                    <w:r>
                      <w:rPr>
                        <w:color w:val="FFFFFF"/>
                        <w:w w:val="80"/>
                        <w:sz w:val="20"/>
                      </w:rPr>
                      <w:t>Pond</w:t>
                    </w:r>
                    <w:r>
                      <w:rPr>
                        <w:color w:val="FFFFFF"/>
                        <w:spacing w:val="-7"/>
                        <w:sz w:val="20"/>
                      </w:rPr>
                      <w:t xml:space="preserve"> </w:t>
                    </w:r>
                    <w:r>
                      <w:rPr>
                        <w:color w:val="FFFFFF"/>
                        <w:spacing w:val="-4"/>
                        <w:w w:val="80"/>
                        <w:sz w:val="20"/>
                      </w:rPr>
                      <w:t>Road</w:t>
                    </w:r>
                  </w:p>
                </w:txbxContent>
              </v:textbox>
            </v:shape>
            <v:shape id="docshape1535" o:spid="_x0000_s3694" type="#_x0000_t202" style="position:absolute;left:14777;top:5093;width:527;height:168" filled="f" stroked="f">
              <v:textbox inset="0,0,0,0">
                <w:txbxContent>
                  <w:p w:rsidR="00F22F94" w:rsidRDefault="00F22F94">
                    <w:pPr>
                      <w:spacing w:line="168" w:lineRule="exact"/>
                      <w:rPr>
                        <w:sz w:val="15"/>
                      </w:rPr>
                    </w:pPr>
                    <w:r>
                      <w:rPr>
                        <w:color w:val="737577"/>
                        <w:spacing w:val="-2"/>
                        <w:w w:val="80"/>
                        <w:sz w:val="15"/>
                      </w:rPr>
                      <w:t>Maroubra</w:t>
                    </w:r>
                  </w:p>
                </w:txbxContent>
              </v:textbox>
            </v:shape>
            <v:shape id="docshape1536" o:spid="_x0000_s3693" type="#_x0000_t202" style="position:absolute;left:12519;top:5499;width:378;height:168" filled="f" stroked="f">
              <v:textbox inset="0,0,0,0">
                <w:txbxContent>
                  <w:p w:rsidR="00F22F94" w:rsidRDefault="00F22F94">
                    <w:pPr>
                      <w:spacing w:line="168" w:lineRule="exact"/>
                      <w:rPr>
                        <w:sz w:val="15"/>
                      </w:rPr>
                    </w:pPr>
                    <w:r>
                      <w:rPr>
                        <w:color w:val="737577"/>
                        <w:spacing w:val="-2"/>
                        <w:w w:val="80"/>
                        <w:sz w:val="15"/>
                      </w:rPr>
                      <w:t>Botany</w:t>
                    </w:r>
                  </w:p>
                </w:txbxContent>
              </v:textbox>
            </v:shape>
            <v:shape id="docshape1537" o:spid="_x0000_s3692" type="#_x0000_t202" style="position:absolute;left:14117;top:5568;width:667;height:168" filled="f" stroked="f">
              <v:textbox inset="0,0,0,0">
                <w:txbxContent>
                  <w:p w:rsidR="00F22F94" w:rsidRDefault="00F22F94">
                    <w:pPr>
                      <w:spacing w:line="168" w:lineRule="exact"/>
                      <w:rPr>
                        <w:sz w:val="15"/>
                      </w:rPr>
                    </w:pPr>
                    <w:r>
                      <w:rPr>
                        <w:color w:val="737577"/>
                        <w:spacing w:val="-2"/>
                        <w:w w:val="75"/>
                        <w:sz w:val="15"/>
                      </w:rPr>
                      <w:t>Eastgardens</w:t>
                    </w:r>
                  </w:p>
                </w:txbxContent>
              </v:textbox>
            </v:shape>
            <v:shape id="docshape1538" o:spid="_x0000_s3691" type="#_x0000_t202" style="position:absolute;left:7501;top:5925;width:499;height:168" filled="f" stroked="f">
              <v:textbox inset="0,0,0,0">
                <w:txbxContent>
                  <w:p w:rsidR="00F22F94" w:rsidRDefault="00F22F94">
                    <w:pPr>
                      <w:spacing w:line="168" w:lineRule="exact"/>
                      <w:rPr>
                        <w:sz w:val="15"/>
                      </w:rPr>
                    </w:pPr>
                    <w:r>
                      <w:rPr>
                        <w:color w:val="737577"/>
                        <w:spacing w:val="-2"/>
                        <w:w w:val="75"/>
                        <w:sz w:val="15"/>
                      </w:rPr>
                      <w:t>Rockdale</w:t>
                    </w:r>
                  </w:p>
                </w:txbxContent>
              </v:textbox>
            </v:shape>
            <v:shape id="docshape1539" o:spid="_x0000_s3690" type="#_x0000_t202" style="position:absolute;left:10543;top:5747;width:1028;height:224" filled="f" stroked="f">
              <v:textbox inset="0,0,0,0">
                <w:txbxContent>
                  <w:p w:rsidR="00F22F94" w:rsidRDefault="00F22F94">
                    <w:pPr>
                      <w:spacing w:line="224" w:lineRule="exact"/>
                      <w:rPr>
                        <w:sz w:val="20"/>
                      </w:rPr>
                    </w:pPr>
                    <w:r>
                      <w:rPr>
                        <w:color w:val="737577"/>
                        <w:w w:val="75"/>
                        <w:sz w:val="20"/>
                      </w:rPr>
                      <w:t>Sydney</w:t>
                    </w:r>
                    <w:r>
                      <w:rPr>
                        <w:color w:val="737577"/>
                        <w:spacing w:val="-3"/>
                        <w:w w:val="75"/>
                        <w:sz w:val="20"/>
                      </w:rPr>
                      <w:t xml:space="preserve"> </w:t>
                    </w:r>
                    <w:r>
                      <w:rPr>
                        <w:color w:val="737577"/>
                        <w:spacing w:val="-2"/>
                        <w:w w:val="80"/>
                        <w:sz w:val="20"/>
                      </w:rPr>
                      <w:t>Airport</w:t>
                    </w:r>
                  </w:p>
                </w:txbxContent>
              </v:textbox>
            </v:shape>
            <v:shape id="docshape1540" o:spid="_x0000_s3689" type="#_x0000_t202" style="position:absolute;left:13330;top:6822;width:788;height:168" filled="f" stroked="f">
              <v:textbox inset="0,0,0,0">
                <w:txbxContent>
                  <w:p w:rsidR="00F22F94" w:rsidRDefault="00F22F94">
                    <w:pPr>
                      <w:spacing w:line="168" w:lineRule="exact"/>
                      <w:rPr>
                        <w:sz w:val="15"/>
                      </w:rPr>
                    </w:pPr>
                    <w:r>
                      <w:rPr>
                        <w:color w:val="737577"/>
                        <w:spacing w:val="-2"/>
                        <w:w w:val="80"/>
                        <w:sz w:val="15"/>
                      </w:rPr>
                      <w:t>Banksmeadow</w:t>
                    </w:r>
                  </w:p>
                </w:txbxContent>
              </v:textbox>
            </v:shape>
            <v:shape id="docshape1541" o:spid="_x0000_s3688" type="#_x0000_t202" style="position:absolute;left:7792;top:6990;width:1010;height:168" filled="f" stroked="f">
              <v:textbox inset="0,0,0,0">
                <w:txbxContent>
                  <w:p w:rsidR="00F22F94" w:rsidRDefault="00F22F94">
                    <w:pPr>
                      <w:spacing w:line="168" w:lineRule="exact"/>
                      <w:rPr>
                        <w:sz w:val="15"/>
                      </w:rPr>
                    </w:pPr>
                    <w:r>
                      <w:rPr>
                        <w:color w:val="737577"/>
                        <w:w w:val="75"/>
                        <w:sz w:val="15"/>
                      </w:rPr>
                      <w:t>Brighton-Le-</w:t>
                    </w:r>
                    <w:r>
                      <w:rPr>
                        <w:color w:val="737577"/>
                        <w:spacing w:val="-2"/>
                        <w:w w:val="75"/>
                        <w:sz w:val="15"/>
                      </w:rPr>
                      <w:t>Sands</w:t>
                    </w:r>
                  </w:p>
                </w:txbxContent>
              </v:textbox>
            </v:shape>
            <v:shape id="docshape1542" o:spid="_x0000_s3687" type="#_x0000_t202" style="position:absolute;left:14965;top:6913;width:526;height:168" filled="f" stroked="f">
              <v:textbox inset="0,0,0,0">
                <w:txbxContent>
                  <w:p w:rsidR="00F22F94" w:rsidRDefault="00F22F94">
                    <w:pPr>
                      <w:spacing w:line="168" w:lineRule="exact"/>
                      <w:rPr>
                        <w:sz w:val="15"/>
                      </w:rPr>
                    </w:pPr>
                    <w:r>
                      <w:rPr>
                        <w:color w:val="737577"/>
                        <w:spacing w:val="-2"/>
                        <w:w w:val="80"/>
                        <w:sz w:val="15"/>
                      </w:rPr>
                      <w:t>Matraville</w:t>
                    </w:r>
                  </w:p>
                </w:txbxContent>
              </v:textbox>
            </v:shape>
            <v:shape id="docshape1543" o:spid="_x0000_s3686" type="#_x0000_t202" style="position:absolute;left:11381;top:7358;width:1335;height:445" filled="f" stroked="f">
              <v:textbox inset="0,0,0,0">
                <w:txbxContent>
                  <w:p w:rsidR="00F22F94" w:rsidRDefault="00F22F94">
                    <w:pPr>
                      <w:spacing w:before="6" w:line="228" w:lineRule="auto"/>
                      <w:ind w:firstLine="85"/>
                      <w:rPr>
                        <w:sz w:val="20"/>
                      </w:rPr>
                    </w:pPr>
                    <w:r>
                      <w:rPr>
                        <w:color w:val="FFFFFF"/>
                        <w:spacing w:val="-2"/>
                        <w:w w:val="85"/>
                        <w:sz w:val="20"/>
                      </w:rPr>
                      <w:t>Foreshore</w:t>
                    </w:r>
                    <w:r>
                      <w:rPr>
                        <w:color w:val="FFFFFF"/>
                        <w:spacing w:val="-4"/>
                        <w:w w:val="85"/>
                        <w:sz w:val="20"/>
                      </w:rPr>
                      <w:t xml:space="preserve"> </w:t>
                    </w:r>
                    <w:r>
                      <w:rPr>
                        <w:color w:val="FFFFFF"/>
                        <w:spacing w:val="-2"/>
                        <w:w w:val="85"/>
                        <w:sz w:val="20"/>
                      </w:rPr>
                      <w:t xml:space="preserve">Road </w:t>
                    </w:r>
                    <w:r>
                      <w:rPr>
                        <w:color w:val="FFFFFF"/>
                        <w:w w:val="80"/>
                        <w:sz w:val="20"/>
                      </w:rPr>
                      <w:t>truck</w:t>
                    </w:r>
                    <w:r>
                      <w:rPr>
                        <w:color w:val="FFFFFF"/>
                        <w:spacing w:val="7"/>
                        <w:sz w:val="20"/>
                      </w:rPr>
                      <w:t xml:space="preserve"> </w:t>
                    </w:r>
                    <w:r>
                      <w:rPr>
                        <w:color w:val="FFFFFF"/>
                        <w:w w:val="80"/>
                        <w:sz w:val="20"/>
                      </w:rPr>
                      <w:t>layover</w:t>
                    </w:r>
                    <w:r>
                      <w:rPr>
                        <w:color w:val="FFFFFF"/>
                        <w:spacing w:val="7"/>
                        <w:sz w:val="20"/>
                      </w:rPr>
                      <w:t xml:space="preserve"> </w:t>
                    </w:r>
                    <w:r>
                      <w:rPr>
                        <w:color w:val="FFFFFF"/>
                        <w:spacing w:val="-4"/>
                        <w:w w:val="80"/>
                        <w:sz w:val="20"/>
                      </w:rPr>
                      <w:t>area</w:t>
                    </w:r>
                  </w:p>
                </w:txbxContent>
              </v:textbox>
            </v:shape>
            <v:shape id="docshape1544" o:spid="_x0000_s3685" type="#_x0000_t202" style="position:absolute;left:7863;top:7822;width:510;height:168" filled="f" stroked="f">
              <v:textbox inset="0,0,0,0">
                <w:txbxContent>
                  <w:p w:rsidR="00F22F94" w:rsidRDefault="00F22F94">
                    <w:pPr>
                      <w:spacing w:line="168" w:lineRule="exact"/>
                      <w:rPr>
                        <w:sz w:val="15"/>
                      </w:rPr>
                    </w:pPr>
                    <w:r>
                      <w:rPr>
                        <w:color w:val="737577"/>
                        <w:spacing w:val="-2"/>
                        <w:w w:val="80"/>
                        <w:sz w:val="15"/>
                      </w:rPr>
                      <w:t>Monterey</w:t>
                    </w:r>
                  </w:p>
                </w:txbxContent>
              </v:textbox>
            </v:shape>
            <v:shape id="docshape1545" o:spid="_x0000_s3684" type="#_x0000_t202" style="position:absolute;left:6116;top:7993;width:1682;height:164" filled="f" stroked="f">
              <v:textbox inset="0,0,0,0">
                <w:txbxContent>
                  <w:p w:rsidR="00F22F94" w:rsidRDefault="00F22F94">
                    <w:pPr>
                      <w:spacing w:before="2"/>
                      <w:rPr>
                        <w:sz w:val="14"/>
                      </w:rPr>
                    </w:pPr>
                    <w:r>
                      <w:rPr>
                        <w:w w:val="95"/>
                        <w:sz w:val="14"/>
                      </w:rPr>
                      <w:t>Source:</w:t>
                    </w:r>
                    <w:r>
                      <w:rPr>
                        <w:sz w:val="14"/>
                      </w:rPr>
                      <w:t xml:space="preserve"> </w:t>
                    </w:r>
                    <w:r>
                      <w:rPr>
                        <w:w w:val="95"/>
                        <w:sz w:val="14"/>
                      </w:rPr>
                      <w:t>Transport</w:t>
                    </w:r>
                    <w:r>
                      <w:rPr>
                        <w:spacing w:val="1"/>
                        <w:sz w:val="14"/>
                      </w:rPr>
                      <w:t xml:space="preserve"> </w:t>
                    </w:r>
                    <w:r>
                      <w:rPr>
                        <w:w w:val="95"/>
                        <w:sz w:val="14"/>
                      </w:rPr>
                      <w:t>for</w:t>
                    </w:r>
                    <w:r>
                      <w:rPr>
                        <w:sz w:val="14"/>
                      </w:rPr>
                      <w:t xml:space="preserve"> </w:t>
                    </w:r>
                    <w:r>
                      <w:rPr>
                        <w:spacing w:val="-4"/>
                        <w:w w:val="95"/>
                        <w:sz w:val="14"/>
                      </w:rPr>
                      <w:t>NSW.</w:t>
                    </w:r>
                  </w:p>
                </w:txbxContent>
              </v:textbox>
            </v:shape>
            <v:shape id="docshape1546" o:spid="_x0000_s3683" type="#_x0000_t202" style="position:absolute;left:9631;top:7822;width:807;height:224" filled="f" stroked="f">
              <v:textbox inset="0,0,0,0">
                <w:txbxContent>
                  <w:p w:rsidR="00F22F94" w:rsidRDefault="00F22F94">
                    <w:pPr>
                      <w:spacing w:line="224" w:lineRule="exact"/>
                      <w:rPr>
                        <w:sz w:val="20"/>
                      </w:rPr>
                    </w:pPr>
                    <w:r>
                      <w:rPr>
                        <w:color w:val="737577"/>
                        <w:w w:val="75"/>
                        <w:sz w:val="20"/>
                      </w:rPr>
                      <w:t>Botany</w:t>
                    </w:r>
                    <w:r>
                      <w:rPr>
                        <w:color w:val="737577"/>
                        <w:sz w:val="20"/>
                      </w:rPr>
                      <w:t xml:space="preserve"> </w:t>
                    </w:r>
                    <w:r>
                      <w:rPr>
                        <w:color w:val="737577"/>
                        <w:spacing w:val="-5"/>
                        <w:w w:val="80"/>
                        <w:sz w:val="20"/>
                      </w:rPr>
                      <w:t>Bay</w:t>
                    </w:r>
                  </w:p>
                </w:txbxContent>
              </v:textbox>
            </v:shape>
            <v:shape id="docshape1547" o:spid="_x0000_s3682" type="#_x0000_t202" style="position:absolute;left:14311;top:7944;width:838;height:224" filled="f" stroked="f">
              <v:textbox inset="0,0,0,0">
                <w:txbxContent>
                  <w:p w:rsidR="00F22F94" w:rsidRDefault="00F22F94">
                    <w:pPr>
                      <w:spacing w:line="224" w:lineRule="exact"/>
                      <w:rPr>
                        <w:sz w:val="20"/>
                      </w:rPr>
                    </w:pPr>
                    <w:r>
                      <w:rPr>
                        <w:color w:val="737577"/>
                        <w:w w:val="75"/>
                        <w:sz w:val="20"/>
                      </w:rPr>
                      <w:t>Port</w:t>
                    </w:r>
                    <w:r>
                      <w:rPr>
                        <w:color w:val="737577"/>
                        <w:spacing w:val="1"/>
                        <w:sz w:val="20"/>
                      </w:rPr>
                      <w:t xml:space="preserve"> </w:t>
                    </w:r>
                    <w:r>
                      <w:rPr>
                        <w:color w:val="737577"/>
                        <w:spacing w:val="-2"/>
                        <w:w w:val="80"/>
                        <w:sz w:val="20"/>
                      </w:rPr>
                      <w:t>Botany</w:t>
                    </w:r>
                  </w:p>
                </w:txbxContent>
              </v:textbox>
            </v:shape>
            <w10:wrap anchorx="page"/>
          </v:group>
        </w:pict>
      </w:r>
      <w:bookmarkStart w:id="249" w:name="_bookmark176"/>
      <w:bookmarkEnd w:id="249"/>
      <w:r w:rsidR="00F22F94">
        <w:rPr>
          <w:w w:val="95"/>
        </w:rPr>
        <w:t>Potential</w:t>
      </w:r>
      <w:r w:rsidR="00F22F94">
        <w:rPr>
          <w:spacing w:val="-8"/>
          <w:w w:val="95"/>
        </w:rPr>
        <w:t xml:space="preserve"> </w:t>
      </w:r>
      <w:r w:rsidR="00F22F94">
        <w:rPr>
          <w:w w:val="95"/>
        </w:rPr>
        <w:t>projects</w:t>
      </w:r>
      <w:r w:rsidR="00F22F94">
        <w:rPr>
          <w:spacing w:val="-7"/>
          <w:w w:val="95"/>
        </w:rPr>
        <w:t xml:space="preserve"> </w:t>
      </w:r>
      <w:r w:rsidR="00F22F94">
        <w:rPr>
          <w:spacing w:val="-2"/>
          <w:w w:val="95"/>
        </w:rPr>
        <w:t>include:</w:t>
      </w:r>
    </w:p>
    <w:p w:rsidR="002C1123" w:rsidRDefault="002060EF">
      <w:pPr>
        <w:pStyle w:val="ListParagraph"/>
        <w:numPr>
          <w:ilvl w:val="0"/>
          <w:numId w:val="76"/>
        </w:numPr>
        <w:tabs>
          <w:tab w:val="left" w:pos="776"/>
        </w:tabs>
        <w:spacing w:before="82" w:line="249" w:lineRule="auto"/>
        <w:ind w:right="11101"/>
        <w:rPr>
          <w:sz w:val="20"/>
        </w:rPr>
      </w:pPr>
      <w:r>
        <w:pict>
          <v:shape id="_x0000_s3680" type="#_x0000_t136" style="position:absolute;left:0;text-align:left;margin-left:458pt;margin-top:63.4pt;width:10.4pt;height:7.95pt;rotation:34;z-index:251430912;mso-position-horizontal-relative:page" fillcolor="black" stroked="f">
            <o:extrusion v:ext="view" autorotationcenter="t"/>
            <v:textpath style="font-family:&quot;Arial&quot;;font-size:8pt;v-text-kern:t;mso-text-shadow:auto" string="oad"/>
            <w10:wrap anchorx="page"/>
          </v:shape>
        </w:pict>
      </w:r>
      <w:r>
        <w:pict>
          <v:shape id="_x0000_s3679" type="#_x0000_t136" style="position:absolute;left:0;text-align:left;margin-left:430.5pt;margin-top:46.25pt;width:35.45pt;height:7.95pt;rotation:51;z-index:251437056;mso-position-horizontal-relative:page" fillcolor="black" stroked="f">
            <o:extrusion v:ext="view" autorotationcenter="t"/>
            <v:textpath style="font-family:&quot;Arial&quot;;font-size:8pt;v-text-kern:t;mso-text-shadow:auto" string="Sydenham R"/>
            <w10:wrap anchorx="page"/>
          </v:shape>
        </w:pict>
      </w:r>
      <w:r w:rsidR="00F22F94">
        <w:rPr>
          <w:sz w:val="20"/>
        </w:rPr>
        <w:t>A road underpass of the rail line at General Holmes</w:t>
      </w:r>
      <w:r w:rsidR="00F22F94">
        <w:rPr>
          <w:spacing w:val="-6"/>
          <w:sz w:val="20"/>
        </w:rPr>
        <w:t xml:space="preserve"> </w:t>
      </w:r>
      <w:r w:rsidR="00F22F94">
        <w:rPr>
          <w:sz w:val="20"/>
        </w:rPr>
        <w:t>Drive</w:t>
      </w:r>
      <w:r w:rsidR="00F22F94">
        <w:rPr>
          <w:spacing w:val="-6"/>
          <w:sz w:val="20"/>
        </w:rPr>
        <w:t xml:space="preserve"> </w:t>
      </w:r>
      <w:r w:rsidR="00F22F94">
        <w:rPr>
          <w:sz w:val="20"/>
        </w:rPr>
        <w:t>level</w:t>
      </w:r>
      <w:r w:rsidR="00F22F94">
        <w:rPr>
          <w:spacing w:val="-6"/>
          <w:sz w:val="20"/>
        </w:rPr>
        <w:t xml:space="preserve"> </w:t>
      </w:r>
      <w:r w:rsidR="00F22F94">
        <w:rPr>
          <w:sz w:val="20"/>
        </w:rPr>
        <w:t>crossing.</w:t>
      </w:r>
      <w:r w:rsidR="00F22F94">
        <w:rPr>
          <w:spacing w:val="-6"/>
          <w:sz w:val="20"/>
        </w:rPr>
        <w:t xml:space="preserve"> </w:t>
      </w:r>
      <w:r w:rsidR="00F22F94">
        <w:rPr>
          <w:sz w:val="20"/>
        </w:rPr>
        <w:t>Closure</w:t>
      </w:r>
      <w:r w:rsidR="00F22F94">
        <w:rPr>
          <w:spacing w:val="-6"/>
          <w:sz w:val="20"/>
        </w:rPr>
        <w:t xml:space="preserve"> </w:t>
      </w:r>
      <w:r w:rsidR="00F22F94">
        <w:rPr>
          <w:sz w:val="20"/>
        </w:rPr>
        <w:t>of</w:t>
      </w:r>
      <w:r w:rsidR="00F22F94">
        <w:rPr>
          <w:spacing w:val="-6"/>
          <w:sz w:val="20"/>
        </w:rPr>
        <w:t xml:space="preserve"> </w:t>
      </w:r>
      <w:r w:rsidR="00F22F94">
        <w:rPr>
          <w:sz w:val="20"/>
        </w:rPr>
        <w:t>this</w:t>
      </w:r>
      <w:r w:rsidR="00F22F94">
        <w:rPr>
          <w:spacing w:val="-6"/>
          <w:sz w:val="20"/>
        </w:rPr>
        <w:t xml:space="preserve"> </w:t>
      </w:r>
      <w:r w:rsidR="00F22F94">
        <w:rPr>
          <w:sz w:val="20"/>
        </w:rPr>
        <w:t xml:space="preserve">rail </w:t>
      </w:r>
      <w:r w:rsidR="00F22F94">
        <w:rPr>
          <w:w w:val="95"/>
          <w:sz w:val="20"/>
        </w:rPr>
        <w:t>level crossing will improve road movements, and provide</w:t>
      </w:r>
      <w:r w:rsidR="00F22F94">
        <w:rPr>
          <w:spacing w:val="-9"/>
          <w:w w:val="95"/>
          <w:sz w:val="20"/>
        </w:rPr>
        <w:t xml:space="preserve"> </w:t>
      </w:r>
      <w:r w:rsidR="00F22F94">
        <w:rPr>
          <w:w w:val="95"/>
          <w:sz w:val="20"/>
        </w:rPr>
        <w:t>benefits</w:t>
      </w:r>
      <w:r w:rsidR="00F22F94">
        <w:rPr>
          <w:spacing w:val="-9"/>
          <w:w w:val="95"/>
          <w:sz w:val="20"/>
        </w:rPr>
        <w:t xml:space="preserve"> </w:t>
      </w:r>
      <w:r w:rsidR="00F22F94">
        <w:rPr>
          <w:w w:val="95"/>
          <w:sz w:val="20"/>
        </w:rPr>
        <w:t>to</w:t>
      </w:r>
      <w:r w:rsidR="00F22F94">
        <w:rPr>
          <w:spacing w:val="-9"/>
          <w:w w:val="95"/>
          <w:sz w:val="20"/>
        </w:rPr>
        <w:t xml:space="preserve"> </w:t>
      </w:r>
      <w:r w:rsidR="00F22F94">
        <w:rPr>
          <w:w w:val="95"/>
          <w:sz w:val="20"/>
        </w:rPr>
        <w:t>rail</w:t>
      </w:r>
      <w:r w:rsidR="00F22F94">
        <w:rPr>
          <w:spacing w:val="-9"/>
          <w:w w:val="95"/>
          <w:sz w:val="20"/>
        </w:rPr>
        <w:t xml:space="preserve"> </w:t>
      </w:r>
      <w:r w:rsidR="00F22F94">
        <w:rPr>
          <w:w w:val="95"/>
          <w:sz w:val="20"/>
        </w:rPr>
        <w:t>freight</w:t>
      </w:r>
      <w:r w:rsidR="00F22F94">
        <w:rPr>
          <w:spacing w:val="-9"/>
          <w:w w:val="95"/>
          <w:sz w:val="20"/>
        </w:rPr>
        <w:t xml:space="preserve"> </w:t>
      </w:r>
      <w:r w:rsidR="00F22F94">
        <w:rPr>
          <w:w w:val="95"/>
          <w:sz w:val="20"/>
        </w:rPr>
        <w:t>by</w:t>
      </w:r>
      <w:r w:rsidR="00F22F94">
        <w:rPr>
          <w:spacing w:val="-9"/>
          <w:w w:val="95"/>
          <w:sz w:val="20"/>
        </w:rPr>
        <w:t xml:space="preserve"> </w:t>
      </w:r>
      <w:r w:rsidR="00F22F94">
        <w:rPr>
          <w:w w:val="95"/>
          <w:sz w:val="20"/>
        </w:rPr>
        <w:t>removing</w:t>
      </w:r>
      <w:r w:rsidR="00F22F94">
        <w:rPr>
          <w:spacing w:val="-9"/>
          <w:w w:val="95"/>
          <w:sz w:val="20"/>
        </w:rPr>
        <w:t xml:space="preserve"> </w:t>
      </w:r>
      <w:r w:rsidR="00F22F94">
        <w:rPr>
          <w:w w:val="95"/>
          <w:sz w:val="20"/>
        </w:rPr>
        <w:t>a</w:t>
      </w:r>
      <w:r w:rsidR="00F22F94">
        <w:rPr>
          <w:spacing w:val="-9"/>
          <w:w w:val="95"/>
          <w:sz w:val="20"/>
        </w:rPr>
        <w:t xml:space="preserve"> </w:t>
      </w:r>
      <w:r w:rsidR="00F22F94">
        <w:rPr>
          <w:w w:val="95"/>
          <w:sz w:val="20"/>
        </w:rPr>
        <w:t xml:space="preserve">major </w:t>
      </w:r>
      <w:r w:rsidR="00F22F94">
        <w:rPr>
          <w:sz w:val="20"/>
        </w:rPr>
        <w:t>pinch point from the rail network.</w:t>
      </w:r>
    </w:p>
    <w:p w:rsidR="002C1123" w:rsidRDefault="002060EF">
      <w:pPr>
        <w:pStyle w:val="ListParagraph"/>
        <w:numPr>
          <w:ilvl w:val="0"/>
          <w:numId w:val="76"/>
        </w:numPr>
        <w:tabs>
          <w:tab w:val="left" w:pos="776"/>
        </w:tabs>
        <w:spacing w:before="76" w:line="249" w:lineRule="auto"/>
        <w:ind w:right="10948"/>
        <w:rPr>
          <w:sz w:val="20"/>
        </w:rPr>
      </w:pPr>
      <w:r>
        <w:pict>
          <v:shape id="_x0000_s3678" type="#_x0000_t136" style="position:absolute;left:0;text-align:left;margin-left:727.9pt;margin-top:50.15pt;width:31.15pt;height:7.95pt;rotation:80;z-index:251439104;mso-position-horizontal-relative:page" fillcolor="black" stroked="f">
            <o:extrusion v:ext="view" autorotationcenter="t"/>
            <v:textpath style="font-family:&quot;Arial&quot;;font-size:8pt;v-text-kern:t;mso-text-shadow:auto" string="nzac Pa d"/>
            <w10:wrap anchorx="page"/>
          </v:shape>
        </w:pict>
      </w:r>
      <w:r>
        <w:pict>
          <v:shape id="_x0000_s3677" type="#_x0000_t136" style="position:absolute;left:0;text-align:left;margin-left:738.65pt;margin-top:32.85pt;width:4.1pt;height:7.95pt;rotation:81;z-index:251440128;mso-position-horizontal-relative:page" fillcolor="black" stroked="f">
            <o:extrusion v:ext="view" autorotationcenter="t"/>
            <v:textpath style="font-family:&quot;Arial&quot;;font-size:8pt;v-text-kern:t;mso-text-shadow:auto" string="A"/>
            <w10:wrap anchorx="page"/>
          </v:shape>
        </w:pict>
      </w:r>
      <w:r>
        <w:pict>
          <v:shape id="_x0000_s3676" type="#_x0000_t136" style="position:absolute;left:0;text-align:left;margin-left:627.75pt;margin-top:35.5pt;width:12.25pt;height:7.95pt;rotation:285;z-index:251453440;mso-position-horizontal-relative:page" fillcolor="black" stroked="f">
            <o:extrusion v:ext="view" autorotationcenter="t"/>
            <v:textpath style="font-family:&quot;Arial&quot;;font-size:8pt;v-text-kern:t;mso-text-shadow:auto" string="otan"/>
            <w10:wrap anchorx="page"/>
          </v:shape>
        </w:pict>
      </w:r>
      <w:r>
        <w:pict>
          <v:shape id="_x0000_s3675" type="#_x0000_t136" style="position:absolute;left:0;text-align:left;margin-left:628.35pt;margin-top:20.4pt;width:19.2pt;height:7.95pt;rotation:286;z-index:251454464;mso-position-horizontal-relative:page" fillcolor="black" stroked="f">
            <o:extrusion v:ext="view" autorotationcenter="t"/>
            <v:textpath style="font-family:&quot;Arial&quot;;font-size:8pt;v-text-kern:t;mso-text-shadow:auto" string="y Road"/>
            <w10:wrap anchorx="page"/>
          </v:shape>
        </w:pict>
      </w:r>
      <w:r>
        <w:pict>
          <v:shape id="_x0000_s3674" type="#_x0000_t136" style="position:absolute;left:0;text-align:left;margin-left:629.75pt;margin-top:43.25pt;width:4pt;height:7.95pt;rotation:288;z-index:251456512;mso-position-horizontal-relative:page" fillcolor="black" stroked="f">
            <o:extrusion v:ext="view" autorotationcenter="t"/>
            <v:textpath style="font-family:&quot;Arial&quot;;font-size:8pt;v-text-kern:t;mso-text-shadow:auto" string="B"/>
            <w10:wrap anchorx="page"/>
          </v:shape>
        </w:pict>
      </w:r>
      <w:r>
        <w:pict>
          <v:shape id="_x0000_s3673" type="#_x0000_t136" style="position:absolute;left:0;text-align:left;margin-left:592.25pt;margin-top:35.3pt;width:35.45pt;height:7.95pt;rotation:298;z-index:251460608;mso-position-horizontal-relative:page" fillcolor="black" stroked="f">
            <o:extrusion v:ext="view" autorotationcenter="t"/>
            <v:textpath style="font-family:&quot;Arial&quot;;font-size:8pt;v-text-kern:t;mso-text-shadow:auto" string="O’Riordan St"/>
            <w10:wrap anchorx="page"/>
          </v:shape>
        </w:pict>
      </w:r>
      <w:r>
        <w:pict>
          <v:shape id="_x0000_s3672" type="#_x0000_t136" style="position:absolute;left:0;text-align:left;margin-left:617.35pt;margin-top:18.55pt;width:2.35pt;height:7.95pt;rotation:299;z-index:251462656;mso-position-horizontal-relative:page" fillcolor="black" stroked="f">
            <o:extrusion v:ext="view" autorotationcenter="t"/>
            <v:textpath style="font-family:&quot;Arial&quot;;font-size:8pt;v-text-kern:t;mso-text-shadow:auto" string="r"/>
            <w10:wrap anchorx="page"/>
          </v:shape>
        </w:pict>
      </w:r>
      <w:r>
        <w:pict>
          <v:shape id="_x0000_s3671" type="#_x0000_t136" style="position:absolute;left:0;text-align:left;margin-left:618.05pt;margin-top:16.15pt;width:3.55pt;height:7.95pt;rotation:300;z-index:251464704;mso-position-horizontal-relative:page" fillcolor="black" stroked="f">
            <o:extrusion v:ext="view" autorotationcenter="t"/>
            <v:textpath style="font-family:&quot;Arial&quot;;font-size:8pt;v-text-kern:t;mso-text-shadow:auto" string="e"/>
            <w10:wrap anchorx="page"/>
          </v:shape>
        </w:pict>
      </w:r>
      <w:r>
        <w:pict>
          <v:shape id="_x0000_s3670" type="#_x0000_t136" style="position:absolute;left:0;text-align:left;margin-left:619.8pt;margin-top:13.25pt;width:3.55pt;height:7.95pt;rotation:303;z-index:251468800;mso-position-horizontal-relative:page" fillcolor="black" stroked="f">
            <o:extrusion v:ext="view" autorotationcenter="t"/>
            <v:textpath style="font-family:&quot;Arial&quot;;font-size:8pt;v-text-kern:t;mso-text-shadow:auto" string="e"/>
            <w10:wrap anchorx="page"/>
          </v:shape>
        </w:pict>
      </w:r>
      <w:r>
        <w:pict>
          <v:shape id="_x0000_s3669" type="#_x0000_t136" style="position:absolute;left:0;text-align:left;margin-left:621.95pt;margin-top:11pt;width:2.05pt;height:7.95pt;rotation:304;z-index:251469824;mso-position-horizontal-relative:page" fillcolor="black" stroked="f">
            <o:extrusion v:ext="view" autorotationcenter="t"/>
            <v:textpath style="font-family:&quot;Arial&quot;;font-size:8pt;v-text-kern:t;mso-text-shadow:auto" string="t"/>
            <w10:wrap anchorx="page"/>
          </v:shape>
        </w:pict>
      </w:r>
      <w:r>
        <w:pict>
          <v:shape id="_x0000_s3668" type="#_x0000_t136" style="position:absolute;left:0;text-align:left;margin-left:578.9pt;margin-top:27.85pt;width:35.9pt;height:7.95pt;rotation:308;z-index:251475968;mso-position-horizontal-relative:page" fillcolor="black" stroked="f">
            <o:extrusion v:ext="view" autorotationcenter="t"/>
            <v:textpath style="font-family:&quot;Arial&quot;;font-size:8pt;v-text-kern:t;mso-text-shadow:auto" string="Bourke Road"/>
            <w10:wrap anchorx="page"/>
          </v:shape>
        </w:pict>
      </w:r>
      <w:r w:rsidR="00F22F94">
        <w:rPr>
          <w:sz w:val="20"/>
        </w:rPr>
        <w:t>A truck layover area in the Foreshore Rd area. This</w:t>
      </w:r>
      <w:r w:rsidR="00F22F94">
        <w:rPr>
          <w:spacing w:val="-10"/>
          <w:sz w:val="20"/>
        </w:rPr>
        <w:t xml:space="preserve"> </w:t>
      </w:r>
      <w:r w:rsidR="00F22F94">
        <w:rPr>
          <w:sz w:val="20"/>
        </w:rPr>
        <w:t>will</w:t>
      </w:r>
      <w:r w:rsidR="00F22F94">
        <w:rPr>
          <w:spacing w:val="-10"/>
          <w:sz w:val="20"/>
        </w:rPr>
        <w:t xml:space="preserve"> </w:t>
      </w:r>
      <w:r w:rsidR="00F22F94">
        <w:rPr>
          <w:sz w:val="20"/>
        </w:rPr>
        <w:t>reduce</w:t>
      </w:r>
      <w:r w:rsidR="00F22F94">
        <w:rPr>
          <w:spacing w:val="-10"/>
          <w:sz w:val="20"/>
        </w:rPr>
        <w:t xml:space="preserve"> </w:t>
      </w:r>
      <w:r w:rsidR="00F22F94">
        <w:rPr>
          <w:sz w:val="20"/>
        </w:rPr>
        <w:t>freight</w:t>
      </w:r>
      <w:r w:rsidR="00F22F94">
        <w:rPr>
          <w:spacing w:val="-10"/>
          <w:sz w:val="20"/>
        </w:rPr>
        <w:t xml:space="preserve"> </w:t>
      </w:r>
      <w:r w:rsidR="00F22F94">
        <w:rPr>
          <w:sz w:val="20"/>
        </w:rPr>
        <w:t>movements</w:t>
      </w:r>
      <w:r w:rsidR="00F22F94">
        <w:rPr>
          <w:spacing w:val="-10"/>
          <w:sz w:val="20"/>
        </w:rPr>
        <w:t xml:space="preserve"> </w:t>
      </w:r>
      <w:r w:rsidR="00F22F94">
        <w:rPr>
          <w:sz w:val="20"/>
        </w:rPr>
        <w:t>on</w:t>
      </w:r>
      <w:r w:rsidR="00F22F94">
        <w:rPr>
          <w:spacing w:val="-10"/>
          <w:sz w:val="20"/>
        </w:rPr>
        <w:t xml:space="preserve"> </w:t>
      </w:r>
      <w:r w:rsidR="00F22F94">
        <w:rPr>
          <w:sz w:val="20"/>
        </w:rPr>
        <w:t>the</w:t>
      </w:r>
      <w:r w:rsidR="00F22F94">
        <w:rPr>
          <w:spacing w:val="-10"/>
          <w:sz w:val="20"/>
        </w:rPr>
        <w:t xml:space="preserve"> </w:t>
      </w:r>
      <w:r w:rsidR="00F22F94">
        <w:rPr>
          <w:sz w:val="20"/>
        </w:rPr>
        <w:t xml:space="preserve">road </w:t>
      </w:r>
      <w:r w:rsidR="00F22F94">
        <w:rPr>
          <w:w w:val="95"/>
          <w:sz w:val="20"/>
        </w:rPr>
        <w:t>network</w:t>
      </w:r>
      <w:r w:rsidR="00F22F94">
        <w:rPr>
          <w:spacing w:val="-3"/>
          <w:w w:val="95"/>
          <w:sz w:val="20"/>
        </w:rPr>
        <w:t xml:space="preserve"> </w:t>
      </w:r>
      <w:r w:rsidR="00F22F94">
        <w:rPr>
          <w:w w:val="95"/>
          <w:sz w:val="20"/>
        </w:rPr>
        <w:t>by</w:t>
      </w:r>
      <w:r w:rsidR="00F22F94">
        <w:rPr>
          <w:spacing w:val="-3"/>
          <w:w w:val="95"/>
          <w:sz w:val="20"/>
        </w:rPr>
        <w:t xml:space="preserve"> </w:t>
      </w:r>
      <w:r w:rsidR="00F22F94">
        <w:rPr>
          <w:w w:val="95"/>
          <w:sz w:val="20"/>
        </w:rPr>
        <w:t>allowing</w:t>
      </w:r>
      <w:r w:rsidR="00F22F94">
        <w:rPr>
          <w:spacing w:val="-3"/>
          <w:w w:val="95"/>
          <w:sz w:val="20"/>
        </w:rPr>
        <w:t xml:space="preserve"> </w:t>
      </w:r>
      <w:r w:rsidR="00F22F94">
        <w:rPr>
          <w:w w:val="95"/>
          <w:sz w:val="20"/>
        </w:rPr>
        <w:t>container</w:t>
      </w:r>
      <w:r w:rsidR="00F22F94">
        <w:rPr>
          <w:spacing w:val="-3"/>
          <w:w w:val="95"/>
          <w:sz w:val="20"/>
        </w:rPr>
        <w:t xml:space="preserve"> </w:t>
      </w:r>
      <w:r w:rsidR="00F22F94">
        <w:rPr>
          <w:w w:val="95"/>
          <w:sz w:val="20"/>
        </w:rPr>
        <w:t>vehicle</w:t>
      </w:r>
      <w:r w:rsidR="00F22F94">
        <w:rPr>
          <w:spacing w:val="-3"/>
          <w:w w:val="95"/>
          <w:sz w:val="20"/>
        </w:rPr>
        <w:t xml:space="preserve"> </w:t>
      </w:r>
      <w:r w:rsidR="00F22F94">
        <w:rPr>
          <w:w w:val="95"/>
          <w:sz w:val="20"/>
        </w:rPr>
        <w:t>parking</w:t>
      </w:r>
      <w:r w:rsidR="00F22F94">
        <w:rPr>
          <w:spacing w:val="-3"/>
          <w:w w:val="95"/>
          <w:sz w:val="20"/>
        </w:rPr>
        <w:t xml:space="preserve"> </w:t>
      </w:r>
      <w:r w:rsidR="00F22F94">
        <w:rPr>
          <w:w w:val="95"/>
          <w:sz w:val="20"/>
        </w:rPr>
        <w:t xml:space="preserve">close </w:t>
      </w:r>
      <w:r w:rsidR="00F22F94">
        <w:rPr>
          <w:sz w:val="20"/>
        </w:rPr>
        <w:t>to the port terminal.</w:t>
      </w:r>
    </w:p>
    <w:p w:rsidR="002C1123" w:rsidRDefault="002060EF">
      <w:pPr>
        <w:pStyle w:val="ListParagraph"/>
        <w:numPr>
          <w:ilvl w:val="0"/>
          <w:numId w:val="76"/>
        </w:numPr>
        <w:tabs>
          <w:tab w:val="left" w:pos="776"/>
        </w:tabs>
        <w:spacing w:before="76" w:line="249" w:lineRule="auto"/>
        <w:ind w:right="10819"/>
        <w:rPr>
          <w:sz w:val="20"/>
        </w:rPr>
      </w:pPr>
      <w:r>
        <w:pict>
          <v:shape id="_x0000_s3667" type="#_x0000_t136" style="position:absolute;left:0;text-align:left;margin-left:627.3pt;margin-top:16.8pt;width:34.9pt;height:7.95pt;rotation:8;z-index:251424768;mso-position-horizontal-relative:page" fillcolor="black" stroked="f">
            <o:extrusion v:ext="view" autorotationcenter="t"/>
            <v:textpath style="font-family:&quot;Arial&quot;;font-size:8pt;v-text-kern:t;mso-text-shadow:auto" string="Gardeners R"/>
            <w10:wrap anchorx="page"/>
          </v:shape>
        </w:pict>
      </w:r>
      <w:r>
        <w:pict>
          <v:shape id="_x0000_s3666" type="#_x0000_t136" style="position:absolute;left:0;text-align:left;margin-left:661.85pt;margin-top:20.2pt;width:10.3pt;height:7.95pt;rotation:9;z-index:251425792;mso-position-horizontal-relative:page" fillcolor="black" stroked="f">
            <o:extrusion v:ext="view" autorotationcenter="t"/>
            <v:textpath style="font-family:&quot;Arial&quot;;font-size:8pt;v-text-kern:t;mso-text-shadow:auto" string="oad"/>
            <w10:wrap anchorx="page"/>
          </v:shape>
        </w:pict>
      </w:r>
      <w:r>
        <w:pict>
          <v:shape id="_x0000_s3665" type="#_x0000_t136" style="position:absolute;left:0;text-align:left;margin-left:744.8pt;margin-top:14.85pt;width:3.45pt;height:7.95pt;rotation:76;z-index:251438080;mso-position-horizontal-relative:page" fillcolor="black" stroked="f">
            <o:extrusion v:ext="view" autorotationcenter="t"/>
            <v:textpath style="font-family:&quot;Arial&quot;;font-size:8pt;v-text-kern:t;mso-text-shadow:auto" string="e"/>
            <w10:wrap anchorx="page"/>
          </v:shape>
        </w:pict>
      </w:r>
      <w:r>
        <w:pict>
          <v:shape id="_x0000_s3664" type="#_x0000_t136" style="position:absolute;left:0;text-align:left;margin-left:743.75pt;margin-top:5.35pt;width:2.3pt;height:7.95pt;rotation:81;z-index:251441152;mso-position-horizontal-relative:page" fillcolor="black" stroked="f">
            <o:extrusion v:ext="view" autorotationcenter="t"/>
            <v:textpath style="font-family:&quot;Arial&quot;;font-size:8pt;v-text-kern:t;mso-text-shadow:auto" string="r"/>
            <w10:wrap anchorx="page"/>
          </v:shape>
        </w:pict>
      </w:r>
      <w:r>
        <w:pict>
          <v:shape id="_x0000_s3663" type="#_x0000_t136" style="position:absolute;left:0;text-align:left;margin-left:743.55pt;margin-top:8.05pt;width:3.45pt;height:7.95pt;rotation:82;z-index:251442176;mso-position-horizontal-relative:page" fillcolor="black" stroked="f">
            <o:extrusion v:ext="view" autorotationcenter="t"/>
            <v:textpath style="font-family:&quot;Arial&quot;;font-size:8pt;v-text-kern:t;mso-text-shadow:auto" string="a"/>
            <w10:wrap anchorx="page"/>
          </v:shape>
        </w:pict>
      </w:r>
      <w:r>
        <w:pict>
          <v:shape id="_x0000_s3662" type="#_x0000_t136" style="position:absolute;left:0;text-align:left;margin-left:694.6pt;margin-top:39.15pt;width:3.45pt;height:7.95pt;rotation:278;z-index:251451392;mso-position-horizontal-relative:page" fillcolor="black" stroked="f">
            <o:extrusion v:ext="view" autorotationcenter="t"/>
            <v:textpath style="font-family:&quot;Arial&quot;;font-size:8pt;v-text-kern:t;mso-text-shadow:auto" string="e"/>
            <w10:wrap anchorx="page"/>
          </v:shape>
        </w:pict>
      </w:r>
      <w:r>
        <w:pict>
          <v:shape id="_x0000_s3661" type="#_x0000_t136" style="position:absolute;left:0;text-align:left;margin-left:694.2pt;margin-top:42.25pt;width:3pt;height:7.95pt;rotation:286;z-index:251455488;mso-position-horizontal-relative:page" fillcolor="black" stroked="f">
            <o:extrusion v:ext="view" autorotationcenter="t"/>
            <v:textpath style="font-family:&quot;Arial&quot;;font-size:8pt;v-text-kern:t;mso-text-shadow:auto" string="v"/>
            <w10:wrap anchorx="page"/>
          </v:shape>
        </w:pict>
      </w:r>
      <w:r>
        <w:pict>
          <v:shape id="_x0000_s3660" type="#_x0000_t136" style="position:absolute;left:0;text-align:left;margin-left:694.2pt;margin-top:44.35pt;width:1.6pt;height:7.95pt;rotation:290;z-index:251457536;mso-position-horizontal-relative:page" fillcolor="black" stroked="f">
            <o:extrusion v:ext="view" autorotationcenter="t"/>
            <v:textpath style="font-family:&quot;Arial&quot;;font-size:8pt;v-text-kern:t;mso-text-shadow:auto" string="i"/>
            <w10:wrap anchorx="page"/>
          </v:shape>
        </w:pict>
      </w:r>
      <w:r>
        <w:pict>
          <v:shape id="_x0000_s3659" type="#_x0000_t136" style="position:absolute;left:0;text-align:left;margin-left:693.2pt;margin-top:46.1pt;width:2.3pt;height:7.95pt;rotation:292;z-index:251458560;mso-position-horizontal-relative:page" fillcolor="black" stroked="f">
            <o:extrusion v:ext="view" autorotationcenter="t"/>
            <v:textpath style="font-family:&quot;Arial&quot;;font-size:8pt;v-text-kern:t;mso-text-shadow:auto" string="r"/>
            <w10:wrap anchorx="page"/>
          </v:shape>
        </w:pict>
      </w:r>
      <w:r>
        <w:pict>
          <v:shape id="_x0000_s3658" type="#_x0000_t136" style="position:absolute;left:0;text-align:left;margin-left:690.95pt;margin-top:49.05pt;width:4.35pt;height:7.95pt;rotation:295;z-index:251459584;mso-position-horizontal-relative:page" fillcolor="black" stroked="f">
            <o:extrusion v:ext="view" autorotationcenter="t"/>
            <v:textpath style="font-family:&quot;Arial&quot;;font-size:8pt;v-text-kern:t;mso-text-shadow:auto" string="D"/>
            <w10:wrap anchorx="page"/>
          </v:shape>
        </w:pict>
      </w:r>
      <w:r>
        <w:pict>
          <v:shape id="_x0000_s3657" type="#_x0000_t136" style="position:absolute;left:0;text-align:left;margin-left:689.05pt;margin-top:54.1pt;width:3.2pt;height:7.95pt;rotation:298;z-index:251461632;mso-position-horizontal-relative:page" fillcolor="black" stroked="f">
            <o:extrusion v:ext="view" autorotationcenter="t"/>
            <v:textpath style="font-family:&quot;Arial&quot;;font-size:8pt;v-text-kern:t;mso-text-shadow:auto" string="s"/>
            <w10:wrap anchorx="page"/>
          </v:shape>
        </w:pict>
      </w:r>
      <w:r>
        <w:pict>
          <v:shape id="_x0000_s3656" type="#_x0000_t136" style="position:absolute;left:0;text-align:left;margin-left:687.6pt;margin-top:56.8pt;width:3.2pt;height:7.95pt;rotation:299;z-index:251463680;mso-position-horizontal-relative:page" fillcolor="black" stroked="f">
            <o:extrusion v:ext="view" autorotationcenter="t"/>
            <v:textpath style="font-family:&quot;Arial&quot;;font-size:8pt;v-text-kern:t;mso-text-shadow:auto" string="s"/>
            <w10:wrap anchorx="page"/>
          </v:shape>
        </w:pict>
      </w:r>
      <w:r>
        <w:pict>
          <v:shape id="_x0000_s3655" type="#_x0000_t136" style="position:absolute;left:0;text-align:left;margin-left:681.2pt;margin-top:62.4pt;width:9.85pt;height:7.95pt;rotation:300;z-index:251465728;mso-position-horizontal-relative:page" fillcolor="black" stroked="f">
            <o:extrusion v:ext="view" autorotationcenter="t"/>
            <v:textpath style="font-family:&quot;Arial&quot;;font-size:8pt;v-text-kern:t;mso-text-shadow:auto" string="Cro"/>
            <w10:wrap anchorx="page"/>
          </v:shape>
        </w:pict>
      </w:r>
      <w:r>
        <w:pict>
          <v:shape id="_x0000_s3654" type="#_x0000_t136" style="position:absolute;left:0;text-align:left;margin-left:680.05pt;margin-top:69.75pt;width:3.6pt;height:7.95pt;rotation:302;z-index:251466752;mso-position-horizontal-relative:page" fillcolor="black" stroked="f">
            <o:extrusion v:ext="view" autorotationcenter="t"/>
            <v:textpath style="font-family:&quot;Arial&quot;;font-size:8pt;v-text-kern:t;mso-text-shadow:auto" string="n"/>
            <w10:wrap anchorx="page"/>
          </v:shape>
        </w:pict>
      </w:r>
      <w:r>
        <w:pict>
          <v:shape id="_x0000_s3653" type="#_x0000_t136" style="position:absolute;left:0;text-align:left;margin-left:451.4pt;margin-top:42.75pt;width:3.45pt;height:7.95pt;rotation:303;z-index:251467776;mso-position-horizontal-relative:page" fillcolor="black" stroked="f">
            <o:extrusion v:ext="view" autorotationcenter="t"/>
            <v:textpath style="font-family:&quot;Arial&quot;;font-size:8pt;v-text-kern:t;mso-text-shadow:auto" string="e"/>
            <w10:wrap anchorx="page"/>
          </v:shape>
        </w:pict>
      </w:r>
      <w:r>
        <w:pict>
          <v:shape id="_x0000_s3652" type="#_x0000_t136" style="position:absolute;left:0;text-align:left;margin-left:679.15pt;margin-top:72.15pt;width:2.35pt;height:7.95pt;rotation:304;z-index:251470848;mso-position-horizontal-relative:page" fillcolor="black" stroked="f">
            <o:extrusion v:ext="view" autorotationcenter="t"/>
            <v:textpath style="font-family:&quot;Arial&quot;;font-size:8pt;v-text-kern:t;mso-text-shadow:auto" string="r"/>
            <w10:wrap anchorx="page"/>
          </v:shape>
        </w:pict>
      </w:r>
      <w:r>
        <w:pict>
          <v:shape id="_x0000_s3651" type="#_x0000_t136" style="position:absolute;left:0;text-align:left;margin-left:453.3pt;margin-top:40.05pt;width:3.2pt;height:7.95pt;rotation:305;z-index:251471872;mso-position-horizontal-relative:page" fillcolor="black" stroked="f">
            <o:extrusion v:ext="view" autorotationcenter="t"/>
            <v:textpath style="font-family:&quot;Arial&quot;;font-size:8pt;v-text-kern:t;mso-text-shadow:auto" string="s"/>
            <w10:wrap anchorx="page"/>
          </v:shape>
        </w:pict>
      </w:r>
      <w:r>
        <w:pict>
          <v:shape id="_x0000_s3650" type="#_x0000_t136" style="position:absolute;left:0;text-align:left;margin-left:676.95pt;margin-top:74.5pt;width:3.55pt;height:7.95pt;rotation:306;z-index:251472896;mso-position-horizontal-relative:page" fillcolor="black" stroked="f">
            <o:extrusion v:ext="view" autorotationcenter="t"/>
            <v:textpath style="font-family:&quot;Arial&quot;;font-size:8pt;v-text-kern:t;mso-text-shadow:auto" string="e"/>
            <w10:wrap anchorx="page"/>
          </v:shape>
        </w:pict>
      </w:r>
      <w:r>
        <w:pict>
          <v:shape id="_x0000_s3649" type="#_x0000_t136" style="position:absolute;left:0;text-align:left;margin-left:456pt;margin-top:35.55pt;width:4.2pt;height:7.95pt;rotation:307;z-index:251473920;mso-position-horizontal-relative:page" fillcolor="black" stroked="f">
            <o:extrusion v:ext="view" autorotationcenter="t"/>
            <v:textpath style="font-family:&quot;Arial&quot;;font-size:8pt;v-text-kern:t;mso-text-shadow:auto" string="H"/>
            <w10:wrap anchorx="page"/>
          </v:shape>
        </w:pict>
      </w:r>
      <w:r>
        <w:pict>
          <v:shape id="_x0000_s3648" type="#_x0000_t136" style="position:absolute;left:0;text-align:left;margin-left:449.5pt;margin-top:45.4pt;width:3.35pt;height:7.95pt;rotation:308;z-index:251474944;mso-position-horizontal-relative:page" fillcolor="black" stroked="f">
            <o:extrusion v:ext="view" autorotationcenter="t"/>
            <v:textpath style="font-family:&quot;Arial&quot;;font-size:8pt;v-text-kern:t;mso-text-shadow:auto" string="c"/>
            <w10:wrap anchorx="page"/>
          </v:shape>
        </w:pict>
      </w:r>
      <w:r>
        <w:pict>
          <v:shape id="_x0000_s3647" type="#_x0000_t136" style="position:absolute;left:0;text-align:left;margin-left:459pt;margin-top:33.35pt;width:1.55pt;height:7.95pt;rotation:309;z-index:251476992;mso-position-horizontal-relative:page" fillcolor="black" stroked="f">
            <o:extrusion v:ext="view" autorotationcenter="t"/>
            <v:textpath style="font-family:&quot;Arial&quot;;font-size:8pt;v-text-kern:t;mso-text-shadow:auto" string="i"/>
            <w10:wrap anchorx="page"/>
          </v:shape>
        </w:pict>
      </w:r>
      <w:r>
        <w:pict>
          <v:shape id="_x0000_s3646" type="#_x0000_t136" style="position:absolute;left:0;text-align:left;margin-left:441.25pt;margin-top:51pt;width:11.15pt;height:7.95pt;rotation:309;z-index:251478016;mso-position-horizontal-relative:page" fillcolor="black" stroked="f">
            <o:extrusion v:ext="view" autorotationcenter="t"/>
            <v:textpath style="font-family:&quot;Arial&quot;;font-size:8pt;v-text-kern:t;mso-text-shadow:auto" string="Prin"/>
            <w10:wrap anchorx="page"/>
          </v:shape>
        </w:pict>
      </w:r>
      <w:r>
        <w:pict>
          <v:shape id="_x0000_s3645" type="#_x0000_t136" style="position:absolute;left:0;text-align:left;margin-left:459.65pt;margin-top:31.55pt;width:3.55pt;height:7.95pt;rotation:314;z-index:251482112;mso-position-horizontal-relative:page" fillcolor="black" stroked="f">
            <o:extrusion v:ext="view" autorotationcenter="t"/>
            <v:textpath style="font-family:&quot;Arial&quot;;font-size:8pt;v-text-kern:t;mso-text-shadow:auto" string="g"/>
            <w10:wrap anchorx="page"/>
          </v:shape>
        </w:pict>
      </w:r>
      <w:r>
        <w:pict>
          <v:shape id="_x0000_s3644" type="#_x0000_t136" style="position:absolute;left:0;text-align:left;margin-left:460.4pt;margin-top:25.1pt;width:14.65pt;height:7.95pt;rotation:315;z-index:251483136;mso-position-horizontal-relative:page" fillcolor="black" stroked="f">
            <o:extrusion v:ext="view" autorotationcenter="t"/>
            <v:textpath style="font-family:&quot;Arial&quot;;font-size:8pt;v-text-kern:t;mso-text-shadow:auto" string="hway"/>
            <w10:wrap anchorx="page"/>
          </v:shape>
        </w:pict>
      </w:r>
      <w:r w:rsidR="00F22F94">
        <w:rPr>
          <w:sz w:val="20"/>
        </w:rPr>
        <w:t xml:space="preserve">Implementing a one way system on airport approach roads. This option provides for </w:t>
      </w:r>
      <w:r w:rsidR="00F22F94">
        <w:rPr>
          <w:w w:val="95"/>
          <w:sz w:val="20"/>
        </w:rPr>
        <w:t>converting</w:t>
      </w:r>
      <w:r w:rsidR="00F22F94">
        <w:rPr>
          <w:spacing w:val="-4"/>
          <w:w w:val="95"/>
          <w:sz w:val="20"/>
        </w:rPr>
        <w:t xml:space="preserve"> </w:t>
      </w:r>
      <w:r w:rsidR="00F22F94">
        <w:rPr>
          <w:w w:val="95"/>
          <w:sz w:val="20"/>
        </w:rPr>
        <w:t>both</w:t>
      </w:r>
      <w:r w:rsidR="00F22F94">
        <w:rPr>
          <w:spacing w:val="-4"/>
          <w:w w:val="95"/>
          <w:sz w:val="20"/>
        </w:rPr>
        <w:t xml:space="preserve"> </w:t>
      </w:r>
      <w:r w:rsidR="00F22F94">
        <w:rPr>
          <w:w w:val="95"/>
          <w:sz w:val="20"/>
        </w:rPr>
        <w:t>Bourke</w:t>
      </w:r>
      <w:r w:rsidR="00F22F94">
        <w:rPr>
          <w:spacing w:val="-4"/>
          <w:w w:val="95"/>
          <w:sz w:val="20"/>
        </w:rPr>
        <w:t xml:space="preserve"> </w:t>
      </w:r>
      <w:r w:rsidR="00F22F94">
        <w:rPr>
          <w:w w:val="95"/>
          <w:sz w:val="20"/>
        </w:rPr>
        <w:t>Rd</w:t>
      </w:r>
      <w:r w:rsidR="00F22F94">
        <w:rPr>
          <w:spacing w:val="-4"/>
          <w:w w:val="95"/>
          <w:sz w:val="20"/>
        </w:rPr>
        <w:t xml:space="preserve"> </w:t>
      </w:r>
      <w:r w:rsidR="00F22F94">
        <w:rPr>
          <w:w w:val="95"/>
          <w:sz w:val="20"/>
        </w:rPr>
        <w:t>and</w:t>
      </w:r>
      <w:r w:rsidR="00F22F94">
        <w:rPr>
          <w:spacing w:val="-4"/>
          <w:w w:val="95"/>
          <w:sz w:val="20"/>
        </w:rPr>
        <w:t xml:space="preserve"> </w:t>
      </w:r>
      <w:r w:rsidR="00F22F94">
        <w:rPr>
          <w:w w:val="95"/>
          <w:sz w:val="20"/>
        </w:rPr>
        <w:t>O’Riordan</w:t>
      </w:r>
      <w:r w:rsidR="00F22F94">
        <w:rPr>
          <w:spacing w:val="-4"/>
          <w:w w:val="95"/>
          <w:sz w:val="20"/>
        </w:rPr>
        <w:t xml:space="preserve"> </w:t>
      </w:r>
      <w:r w:rsidR="00F22F94">
        <w:rPr>
          <w:w w:val="95"/>
          <w:sz w:val="20"/>
        </w:rPr>
        <w:t>St</w:t>
      </w:r>
      <w:r w:rsidR="00F22F94">
        <w:rPr>
          <w:spacing w:val="-4"/>
          <w:w w:val="95"/>
          <w:sz w:val="20"/>
        </w:rPr>
        <w:t xml:space="preserve"> </w:t>
      </w:r>
      <w:r w:rsidR="00F22F94">
        <w:rPr>
          <w:w w:val="95"/>
          <w:sz w:val="20"/>
        </w:rPr>
        <w:t>(to</w:t>
      </w:r>
      <w:r w:rsidR="00F22F94">
        <w:rPr>
          <w:spacing w:val="-4"/>
          <w:w w:val="95"/>
          <w:sz w:val="20"/>
        </w:rPr>
        <w:t xml:space="preserve"> </w:t>
      </w:r>
      <w:r w:rsidR="00F22F94">
        <w:rPr>
          <w:w w:val="95"/>
          <w:sz w:val="20"/>
        </w:rPr>
        <w:t xml:space="preserve">their intersection near Green Square) into three-lane one </w:t>
      </w:r>
      <w:r w:rsidR="00F22F94">
        <w:rPr>
          <w:spacing w:val="-2"/>
          <w:sz w:val="20"/>
        </w:rPr>
        <w:t>way</w:t>
      </w:r>
      <w:r w:rsidR="00F22F94">
        <w:rPr>
          <w:spacing w:val="-8"/>
          <w:sz w:val="20"/>
        </w:rPr>
        <w:t xml:space="preserve"> </w:t>
      </w:r>
      <w:r w:rsidR="00F22F94">
        <w:rPr>
          <w:spacing w:val="-2"/>
          <w:sz w:val="20"/>
        </w:rPr>
        <w:t>routes.</w:t>
      </w:r>
      <w:r w:rsidR="00F22F94">
        <w:rPr>
          <w:spacing w:val="-8"/>
          <w:sz w:val="20"/>
        </w:rPr>
        <w:t xml:space="preserve"> </w:t>
      </w:r>
      <w:r w:rsidR="00F22F94">
        <w:rPr>
          <w:spacing w:val="-2"/>
          <w:sz w:val="20"/>
        </w:rPr>
        <w:t>This</w:t>
      </w:r>
      <w:r w:rsidR="00F22F94">
        <w:rPr>
          <w:spacing w:val="-8"/>
          <w:sz w:val="20"/>
        </w:rPr>
        <w:t xml:space="preserve"> </w:t>
      </w:r>
      <w:r w:rsidR="00F22F94">
        <w:rPr>
          <w:spacing w:val="-2"/>
          <w:sz w:val="20"/>
        </w:rPr>
        <w:t>allows</w:t>
      </w:r>
      <w:r w:rsidR="00F22F94">
        <w:rPr>
          <w:spacing w:val="-8"/>
          <w:sz w:val="20"/>
        </w:rPr>
        <w:t xml:space="preserve"> </w:t>
      </w:r>
      <w:r w:rsidR="00F22F94">
        <w:rPr>
          <w:spacing w:val="-2"/>
          <w:sz w:val="20"/>
        </w:rPr>
        <w:t>greater</w:t>
      </w:r>
      <w:r w:rsidR="00F22F94">
        <w:rPr>
          <w:spacing w:val="-8"/>
          <w:sz w:val="20"/>
        </w:rPr>
        <w:t xml:space="preserve"> </w:t>
      </w:r>
      <w:r w:rsidR="00F22F94">
        <w:rPr>
          <w:spacing w:val="-2"/>
          <w:sz w:val="20"/>
        </w:rPr>
        <w:t>through</w:t>
      </w:r>
      <w:r w:rsidR="00F22F94">
        <w:rPr>
          <w:spacing w:val="-8"/>
          <w:sz w:val="20"/>
        </w:rPr>
        <w:t xml:space="preserve"> </w:t>
      </w:r>
      <w:r w:rsidR="00F22F94">
        <w:rPr>
          <w:spacing w:val="-2"/>
          <w:sz w:val="20"/>
        </w:rPr>
        <w:t>capacity</w:t>
      </w:r>
      <w:r w:rsidR="00F22F94">
        <w:rPr>
          <w:spacing w:val="-8"/>
          <w:sz w:val="20"/>
        </w:rPr>
        <w:t xml:space="preserve"> </w:t>
      </w:r>
      <w:r w:rsidR="00F22F94">
        <w:rPr>
          <w:spacing w:val="-2"/>
          <w:sz w:val="20"/>
        </w:rPr>
        <w:t xml:space="preserve">for </w:t>
      </w:r>
      <w:r w:rsidR="00F22F94">
        <w:rPr>
          <w:sz w:val="20"/>
        </w:rPr>
        <w:t>these</w:t>
      </w:r>
      <w:r w:rsidR="00F22F94">
        <w:rPr>
          <w:spacing w:val="-11"/>
          <w:sz w:val="20"/>
        </w:rPr>
        <w:t xml:space="preserve"> </w:t>
      </w:r>
      <w:r w:rsidR="00F22F94">
        <w:rPr>
          <w:sz w:val="20"/>
        </w:rPr>
        <w:t>roads.</w:t>
      </w:r>
    </w:p>
    <w:p w:rsidR="002C1123" w:rsidRDefault="002060EF">
      <w:pPr>
        <w:pStyle w:val="ListParagraph"/>
        <w:numPr>
          <w:ilvl w:val="0"/>
          <w:numId w:val="76"/>
        </w:numPr>
        <w:tabs>
          <w:tab w:val="left" w:pos="776"/>
        </w:tabs>
        <w:spacing w:before="77" w:line="249" w:lineRule="auto"/>
        <w:ind w:right="10768"/>
        <w:rPr>
          <w:sz w:val="20"/>
        </w:rPr>
      </w:pPr>
      <w:r>
        <w:pict>
          <v:shape id="_x0000_s3643" type="#_x0000_t136" style="position:absolute;left:0;text-align:left;margin-left:465.8pt;margin-top:52.05pt;width:5.6pt;height:7.95pt;rotation:33;z-index:-251474944;mso-position-horizontal-relative:page" fillcolor="black" stroked="f">
            <o:extrusion v:ext="view" autorotationcenter="t"/>
            <v:textpath style="font-family:&quot;Arial&quot;;font-size:8pt;v-text-kern:t;mso-text-shadow:auto" string="M"/>
            <w10:wrap anchorx="page"/>
          </v:shape>
        </w:pict>
      </w:r>
      <w:r>
        <w:pict>
          <v:shape id="_x0000_s3642" type="#_x0000_t136" style="position:absolute;left:0;text-align:left;margin-left:546.2pt;margin-top:61.85pt;width:3.4pt;height:7.95pt;rotation:1;z-index:251422720;mso-position-horizontal-relative:page" fillcolor="black" stroked="f">
            <o:extrusion v:ext="view" autorotationcenter="t"/>
            <v:textpath style="font-family:&quot;Arial&quot;;font-size:8pt;v-text-kern:t;mso-text-shadow:auto" string="e"/>
            <w10:wrap anchorx="page"/>
          </v:shape>
        </w:pict>
      </w:r>
      <w:r>
        <w:pict>
          <v:shape id="_x0000_s3641" type="#_x0000_t136" style="position:absolute;left:0;text-align:left;margin-left:541.85pt;margin-top:61.7pt;width:4.4pt;height:7.95pt;rotation:3;z-index:251423744;mso-position-horizontal-relative:page" fillcolor="black" stroked="f">
            <o:extrusion v:ext="view" autorotationcenter="t"/>
            <v:textpath style="font-family:&quot;Arial&quot;;font-size:8pt;v-text-kern:t;mso-text-shadow:auto" string="G"/>
            <w10:wrap anchorx="page"/>
          </v:shape>
        </w:pict>
      </w:r>
      <w:r>
        <w:pict>
          <v:shape id="_x0000_s3640" type="#_x0000_t136" style="position:absolute;left:0;text-align:left;margin-left:378.65pt;margin-top:160.75pt;width:20.95pt;height:7.95pt;rotation:9;z-index:251426816;mso-position-horizontal-relative:page" fillcolor="black" stroked="f">
            <o:extrusion v:ext="view" autorotationcenter="t"/>
            <v:textpath style="font-family:&quot;Arial&quot;;font-size:8pt;v-text-kern:t;mso-text-shadow:auto" string="Preside"/>
            <w10:wrap anchorx="page"/>
          </v:shape>
        </w:pict>
      </w:r>
      <w:r>
        <w:pict>
          <v:shape id="_x0000_s3639" type="#_x0000_t136" style="position:absolute;left:0;text-align:left;margin-left:399.2pt;margin-top:163.95pt;width:17.2pt;height:7.95pt;rotation:10;z-index:251427840;mso-position-horizontal-relative:page" fillcolor="black" stroked="f">
            <o:extrusion v:ext="view" autorotationcenter="t"/>
            <v:textpath style="font-family:&quot;Arial&quot;;font-size:8pt;v-text-kern:t;mso-text-shadow:auto" string="nt Ave"/>
            <w10:wrap anchorx="page"/>
          </v:shape>
        </w:pict>
      </w:r>
      <w:r>
        <w:pict>
          <v:shape id="_x0000_s3638" type="#_x0000_t136" style="position:absolute;left:0;text-align:left;margin-left:634.2pt;margin-top:121.4pt;width:3.45pt;height:7.95pt;rotation:33;z-index:251428864;mso-position-horizontal-relative:page" fillcolor="black" stroked="f">
            <o:extrusion v:ext="view" autorotationcenter="t"/>
            <v:textpath style="font-family:&quot;Arial&quot;;font-size:8pt;v-text-kern:t;mso-text-shadow:auto" string="o"/>
            <w10:wrap anchorx="page"/>
          </v:shape>
        </w:pict>
      </w:r>
      <w:r>
        <w:pict>
          <v:shape id="_x0000_s3637" type="#_x0000_t136" style="position:absolute;left:0;text-align:left;margin-left:470.5pt;margin-top:54.6pt;width:3.95pt;height:7.95pt;rotation:33;z-index:251429888;mso-position-horizontal-relative:page" fillcolor="black" stroked="f">
            <o:extrusion v:ext="view" autorotationcenter="t"/>
            <v:textpath style="font-family:&quot;Arial&quot;;font-size:8pt;v-text-kern:t;mso-text-shadow:auto" string="5"/>
            <w10:wrap anchorx="page"/>
          </v:shape>
        </w:pict>
      </w:r>
      <w:r>
        <w:pict>
          <v:shape id="_x0000_s3636" type="#_x0000_t136" style="position:absolute;left:0;text-align:left;margin-left:629.95pt;margin-top:122.2pt;width:14.3pt;height:7.95pt;rotation:34;z-index:251431936;mso-position-horizontal-relative:page" fillcolor="black" stroked="f">
            <o:extrusion v:ext="view" autorotationcenter="t"/>
            <v:textpath style="font-family:&quot;Arial&quot;;font-size:8pt;v-text-kern:t;mso-text-shadow:auto" string="R ad"/>
            <w10:wrap anchorx="page"/>
          </v:shape>
        </w:pict>
      </w:r>
      <w:r>
        <w:pict>
          <v:shape id="_x0000_s3635" type="#_x0000_t136" style="position:absolute;left:0;text-align:left;margin-left:621.45pt;margin-top:114.55pt;width:9.1pt;height:7.95pt;rotation:35;z-index:251432960;mso-position-horizontal-relative:page" fillcolor="black" stroked="f">
            <o:extrusion v:ext="view" autorotationcenter="t"/>
            <v:textpath style="font-family:&quot;Arial&quot;;font-size:8pt;v-text-kern:t;mso-text-shadow:auto" string="ore"/>
            <w10:wrap anchorx="page"/>
          </v:shape>
        </w:pict>
      </w:r>
      <w:r>
        <w:pict>
          <v:shape id="_x0000_s3634" type="#_x0000_t136" style="position:absolute;left:0;text-align:left;margin-left:616.35pt;margin-top:109.95pt;width:6.7pt;height:7.95pt;rotation:36;z-index:251433984;mso-position-horizontal-relative:page" fillcolor="black" stroked="f">
            <o:extrusion v:ext="view" autorotationcenter="t"/>
            <v:textpath style="font-family:&quot;Arial&quot;;font-size:8pt;v-text-kern:t;mso-text-shadow:auto" string="sh"/>
            <w10:wrap anchorx="page"/>
          </v:shape>
        </w:pict>
      </w:r>
      <w:r>
        <w:pict>
          <v:shape id="_x0000_s3633" type="#_x0000_t136" style="position:absolute;left:0;text-align:left;margin-left:609pt;margin-top:105.3pt;width:9.05pt;height:7.95pt;rotation:37;z-index:251435008;mso-position-horizontal-relative:page" fillcolor="black" stroked="f">
            <o:extrusion v:ext="view" autorotationcenter="t"/>
            <v:textpath style="font-family:&quot;Arial&quot;;font-size:8pt;v-text-kern:t;mso-text-shadow:auto" string="ore"/>
            <w10:wrap anchorx="page"/>
          </v:shape>
        </w:pict>
      </w:r>
      <w:r>
        <w:pict>
          <v:shape id="_x0000_s3632" type="#_x0000_t136" style="position:absolute;left:0;text-align:left;margin-left:606.9pt;margin-top:101.5pt;width:3.45pt;height:7.95pt;rotation:38;z-index:251436032;mso-position-horizontal-relative:page" fillcolor="black" stroked="f">
            <o:extrusion v:ext="view" autorotationcenter="t"/>
            <v:textpath style="font-family:&quot;Arial&quot;;font-size:8pt;v-text-kern:t;mso-text-shadow:auto" string="F"/>
            <w10:wrap anchorx="page"/>
          </v:shape>
        </w:pict>
      </w:r>
      <w:r>
        <w:pict>
          <v:shape id="_x0000_s3631" type="#_x0000_t136" style="position:absolute;left:0;text-align:left;margin-left:359.55pt;margin-top:117.3pt;width:13.2pt;height:7.95pt;rotation:267;z-index:251443200;mso-position-horizontal-relative:page" fillcolor="black" stroked="f">
            <o:extrusion v:ext="view" autorotationcenter="t"/>
            <v:textpath style="font-family:&quot;Arial&quot;;font-size:8pt;v-text-kern:t;mso-text-shadow:auto" string="ighw"/>
            <w10:wrap anchorx="page"/>
          </v:shape>
        </w:pict>
      </w:r>
      <w:r>
        <w:pict>
          <v:shape id="_x0000_s3630" type="#_x0000_t136" style="position:absolute;left:0;text-align:left;margin-left:364.5pt;margin-top:125.95pt;width:4.3pt;height:7.95pt;rotation:268;z-index:251444224;mso-position-horizontal-relative:page" fillcolor="black" stroked="f">
            <o:extrusion v:ext="view" autorotationcenter="t"/>
            <v:textpath style="font-family:&quot;Arial&quot;;font-size:8pt;v-text-kern:t;mso-text-shadow:auto" string="H"/>
            <w10:wrap anchorx="page"/>
          </v:shape>
        </w:pict>
      </w:r>
      <w:r>
        <w:pict>
          <v:shape id="_x0000_s3629" type="#_x0000_t136" style="position:absolute;left:0;text-align:left;margin-left:362.5pt;margin-top:107.6pt;width:6.4pt;height:7.95pt;rotation:268;z-index:251445248;mso-position-horizontal-relative:page" fillcolor="black" stroked="f">
            <o:extrusion v:ext="view" autorotationcenter="t"/>
            <v:textpath style="font-family:&quot;Arial&quot;;font-size:8pt;v-text-kern:t;mso-text-shadow:auto" string="ay"/>
            <w10:wrap anchorx="page"/>
          </v:shape>
        </w:pict>
      </w:r>
      <w:r>
        <w:pict>
          <v:shape id="docshape1548" o:spid="_x0000_s3628" type="#_x0000_t202" style="position:absolute;left:0;text-align:left;margin-left:361.1pt;margin-top:132.75pt;width:11.05pt;height:5.35pt;z-index:251446272;mso-position-horizontal-relative:page" filled="f" stroked="f">
            <v:textbox style="layout-flow:vertical;mso-layout-flow-alt:bottom-to-top" inset="0,0,0,0">
              <w:txbxContent>
                <w:p w:rsidR="00F22F94" w:rsidRDefault="00F22F94">
                  <w:pPr>
                    <w:spacing w:before="18"/>
                    <w:ind w:left="20"/>
                    <w:rPr>
                      <w:sz w:val="16"/>
                    </w:rPr>
                  </w:pPr>
                  <w:r>
                    <w:rPr>
                      <w:w w:val="77"/>
                      <w:sz w:val="16"/>
                    </w:rPr>
                    <w:t>s</w:t>
                  </w:r>
                </w:p>
              </w:txbxContent>
            </v:textbox>
            <w10:wrap anchorx="page"/>
          </v:shape>
        </w:pict>
      </w:r>
      <w:r>
        <w:pict>
          <v:shape id="_x0000_s3627" type="#_x0000_t136" style="position:absolute;left:0;text-align:left;margin-left:365.1pt;margin-top:134.7pt;width:3.55pt;height:7.95pt;rotation:274;z-index:251447296;mso-position-horizontal-relative:page" fillcolor="black" stroked="f">
            <o:extrusion v:ext="view" autorotationcenter="t"/>
            <v:textpath style="font-family:&quot;Arial&quot;;font-size:8pt;v-text-kern:t;mso-text-shadow:auto" string="e"/>
            <w10:wrap anchorx="page"/>
          </v:shape>
        </w:pict>
      </w:r>
      <w:r>
        <w:pict>
          <v:shape id="_x0000_s3626" type="#_x0000_t136" style="position:absolute;left:0;text-align:left;margin-left:364.95pt;margin-top:138pt;width:3.4pt;height:7.95pt;rotation:276;z-index:251448320;mso-position-horizontal-relative:page" fillcolor="black" stroked="f">
            <o:extrusion v:ext="view" autorotationcenter="t"/>
            <v:textpath style="font-family:&quot;Arial&quot;;font-size:8pt;v-text-kern:t;mso-text-shadow:auto" string="c"/>
            <w10:wrap anchorx="page"/>
          </v:shape>
        </w:pict>
      </w:r>
      <w:r>
        <w:pict>
          <v:shape id="_x0000_s3625" type="#_x0000_t136" style="position:absolute;left:0;text-align:left;margin-left:364.45pt;margin-top:141.35pt;width:3.65pt;height:7.95pt;rotation:277;z-index:251449344;mso-position-horizontal-relative:page" fillcolor="black" stroked="f">
            <o:extrusion v:ext="view" autorotationcenter="t"/>
            <v:textpath style="font-family:&quot;Arial&quot;;font-size:8pt;v-text-kern:t;mso-text-shadow:auto" string="n"/>
            <w10:wrap anchorx="page"/>
          </v:shape>
        </w:pict>
      </w:r>
      <w:r>
        <w:pict>
          <v:shape id="_x0000_s3624" type="#_x0000_t136" style="position:absolute;left:0;text-align:left;margin-left:363.95pt;margin-top:144.9pt;width:3.75pt;height:7.95pt;rotation:278;z-index:251450368;mso-position-horizontal-relative:page" fillcolor="black" stroked="f">
            <o:extrusion v:ext="view" autorotationcenter="t"/>
            <v:textpath style="font-family:&quot;Arial&quot;;font-size:8pt;v-text-kern:t;mso-text-shadow:auto" string="ri"/>
            <w10:wrap anchorx="page"/>
          </v:shape>
        </w:pict>
      </w:r>
      <w:r>
        <w:pict>
          <v:shape id="_x0000_s3623" type="#_x0000_t136" style="position:absolute;left:0;text-align:left;margin-left:363.35pt;margin-top:148.65pt;width:3.9pt;height:7.95pt;rotation:279;z-index:251452416;mso-position-horizontal-relative:page" fillcolor="black" stroked="f">
            <o:extrusion v:ext="view" autorotationcenter="t"/>
            <v:textpath style="font-family:&quot;Arial&quot;;font-size:8pt;v-text-kern:t;mso-text-shadow:auto" string="P"/>
            <w10:wrap anchorx="page"/>
          </v:shape>
        </w:pict>
      </w:r>
      <w:r>
        <w:pict>
          <v:shape id="_x0000_s3622" type="#_x0000_t136" style="position:absolute;left:0;text-align:left;margin-left:595.8pt;margin-top:46.2pt;width:3.55pt;height:7.95pt;rotation:309;z-index:251479040;mso-position-horizontal-relative:page" fillcolor="black" stroked="f">
            <o:extrusion v:ext="view" autorotationcenter="t"/>
            <v:textpath style="font-family:&quot;Arial&quot;;font-size:8pt;v-text-kern:t;mso-text-shadow:auto" string="e"/>
            <w10:wrap anchorx="page"/>
          </v:shape>
        </w:pict>
      </w:r>
      <w:r>
        <w:pict>
          <v:shape id="_x0000_s3621" type="#_x0000_t136" style="position:absolute;left:0;text-align:left;margin-left:674.9pt;margin-top:1.05pt;width:3.6pt;height:7.95pt;rotation:309;z-index:251480064;mso-position-horizontal-relative:page" fillcolor="black" stroked="f">
            <o:extrusion v:ext="view" autorotationcenter="t"/>
            <v:textpath style="font-family:&quot;Arial&quot;;font-size:8pt;v-text-kern:t;mso-text-shadow:auto" string="h"/>
            <w10:wrap anchorx="page"/>
          </v:shape>
        </w:pict>
      </w:r>
      <w:r>
        <w:pict>
          <v:shape id="_x0000_s3620" type="#_x0000_t136" style="position:absolute;left:0;text-align:left;margin-left:673.9pt;margin-top:3.15pt;width:2.05pt;height:7.95pt;rotation:313;z-index:251481088;mso-position-horizontal-relative:page" fillcolor="black" stroked="f">
            <o:extrusion v:ext="view" autorotationcenter="t"/>
            <v:textpath style="font-family:&quot;Arial&quot;;font-size:8pt;v-text-kern:t;mso-text-shadow:auto" string="t"/>
            <w10:wrap anchorx="page"/>
          </v:shape>
        </w:pict>
      </w:r>
      <w:r>
        <w:pict>
          <v:shape id="_x0000_s3619" type="#_x0000_t136" style="position:absolute;left:0;text-align:left;margin-left:671.15pt;margin-top:5.1pt;width:3.7pt;height:7.95pt;rotation:318;z-index:251484160;mso-position-horizontal-relative:page" fillcolor="black" stroked="f">
            <o:extrusion v:ext="view" autorotationcenter="t"/>
            <v:textpath style="font-family:&quot;Arial&quot;;font-size:8pt;v-text-kern:t;mso-text-shadow:auto" string="u"/>
            <w10:wrap anchorx="page"/>
          </v:shape>
        </w:pict>
      </w:r>
      <w:r>
        <w:pict>
          <v:shape id="_x0000_s3618" type="#_x0000_t136" style="position:absolute;left:0;text-align:left;margin-left:729.05pt;margin-top:124.2pt;width:4pt;height:7.95pt;rotation:318;z-index:251485184;mso-position-horizontal-relative:page" fillcolor="black" stroked="f">
            <o:extrusion v:ext="view" autorotationcenter="t"/>
            <v:textpath style="font-family:&quot;Arial&quot;;font-size:8pt;v-text-kern:t;mso-text-shadow:auto" string="B"/>
            <w10:wrap anchorx="page"/>
          </v:shape>
        </w:pict>
      </w:r>
      <w:r>
        <w:pict>
          <v:shape id="_x0000_s3617" type="#_x0000_t136" style="position:absolute;left:0;text-align:left;margin-left:593.8pt;margin-top:48.5pt;width:3.1pt;height:7.95pt;rotation:319;z-index:251486208;mso-position-horizontal-relative:page" fillcolor="black" stroked="f">
            <o:extrusion v:ext="view" autorotationcenter="t"/>
            <v:textpath style="font-family:&quot;Arial&quot;;font-size:8pt;v-text-kern:t;mso-text-shadow:auto" string="v"/>
            <w10:wrap anchorx="page"/>
          </v:shape>
        </w:pict>
      </w:r>
      <w:r>
        <w:pict>
          <v:shape id="_x0000_s3616" type="#_x0000_t136" style="position:absolute;left:0;text-align:left;margin-left:732.05pt;margin-top:121.75pt;width:3.45pt;height:7.95pt;rotation:319;z-index:251487232;mso-position-horizontal-relative:page" fillcolor="black" stroked="f">
            <o:extrusion v:ext="view" autorotationcenter="t"/>
            <v:textpath style="font-family:&quot;Arial&quot;;font-size:8pt;v-text-kern:t;mso-text-shadow:auto" string="e"/>
            <w10:wrap anchorx="page"/>
          </v:shape>
        </w:pict>
      </w:r>
      <w:r>
        <w:pict>
          <v:shape id="_x0000_s3615" type="#_x0000_t136" style="position:absolute;left:0;text-align:left;margin-left:734.6pt;margin-top:119.6pt;width:3.5pt;height:7.95pt;rotation:321;z-index:251488256;mso-position-horizontal-relative:page" fillcolor="black" stroked="f">
            <o:extrusion v:ext="view" autorotationcenter="t"/>
            <v:textpath style="font-family:&quot;Arial&quot;;font-size:8pt;v-text-kern:t;mso-text-shadow:auto" string="a"/>
            <w10:wrap anchorx="page"/>
          </v:shape>
        </w:pict>
      </w:r>
      <w:r>
        <w:pict>
          <v:shape id="_x0000_s3614" type="#_x0000_t136" style="position:absolute;left:0;text-align:left;margin-left:668.55pt;margin-top:7.3pt;width:3.45pt;height:7.95pt;rotation:326;z-index:251489280;mso-position-horizontal-relative:page" fillcolor="black" stroked="f">
            <o:extrusion v:ext="view" autorotationcenter="t"/>
            <v:textpath style="font-family:&quot;Arial&quot;;font-size:8pt;v-text-kern:t;mso-text-shadow:auto" string="o"/>
            <w10:wrap anchorx="page"/>
          </v:shape>
        </w:pict>
      </w:r>
      <w:r>
        <w:pict>
          <v:shape id="_x0000_s3613" type="#_x0000_t136" style="position:absolute;left:0;text-align:left;margin-left:737.3pt;margin-top:117.4pt;width:3.7pt;height:7.95pt;rotation:326;z-index:251490304;mso-position-horizontal-relative:page" fillcolor="black" stroked="f">
            <o:extrusion v:ext="view" autorotationcenter="t"/>
            <v:textpath style="font-family:&quot;Arial&quot;;font-size:8pt;v-text-kern:t;mso-text-shadow:auto" string="u"/>
            <w10:wrap anchorx="page"/>
          </v:shape>
        </w:pict>
      </w:r>
      <w:r>
        <w:pict>
          <v:shape id="_x0000_s3612" type="#_x0000_t136" style="position:absolute;left:0;text-align:left;margin-left:592.8pt;margin-top:49.8pt;width:1.5pt;height:7.95pt;rotation:330;z-index:251491328;mso-position-horizontal-relative:page" fillcolor="black" stroked="f">
            <o:extrusion v:ext="view" autorotationcenter="t"/>
            <v:textpath style="font-family:&quot;Arial&quot;;font-size:8pt;v-text-kern:t;mso-text-shadow:auto" string="i"/>
            <w10:wrap anchorx="page"/>
          </v:shape>
        </w:pict>
      </w:r>
      <w:r>
        <w:pict>
          <v:shape id="_x0000_s3611" type="#_x0000_t136" style="position:absolute;left:0;text-align:left;margin-left:590.8pt;margin-top:50.65pt;width:2.25pt;height:7.95pt;rotation:335;z-index:251492352;mso-position-horizontal-relative:page" fillcolor="black" stroked="f">
            <o:extrusion v:ext="view" autorotationcenter="t"/>
            <v:textpath style="font-family:&quot;Arial&quot;;font-size:8pt;v-text-kern:t;mso-text-shadow:auto" string="r"/>
            <w10:wrap anchorx="page"/>
          </v:shape>
        </w:pict>
      </w:r>
      <w:r>
        <w:pict>
          <v:shape id="_x0000_s3610" type="#_x0000_t136" style="position:absolute;left:0;text-align:left;margin-left:665.15pt;margin-top:9pt;width:3.85pt;height:7.95pt;rotation:339;z-index:251493376;mso-position-horizontal-relative:page" fillcolor="black" stroked="f">
            <o:extrusion v:ext="view" autorotationcenter="t"/>
            <v:textpath style="font-family:&quot;Arial&quot;;font-size:8pt;v-text-kern:t;mso-text-shadow:auto" string="S"/>
            <w10:wrap anchorx="page"/>
          </v:shape>
        </w:pict>
      </w:r>
      <w:r>
        <w:pict>
          <v:shape id="_x0000_s3609" type="#_x0000_t136" style="position:absolute;left:0;text-align:left;margin-left:586.75pt;margin-top:51.95pt;width:4.35pt;height:7.95pt;rotation:339;z-index:251494400;mso-position-horizontal-relative:page" fillcolor="black" stroked="f">
            <o:extrusion v:ext="view" autorotationcenter="t"/>
            <v:textpath style="font-family:&quot;Arial&quot;;font-size:8pt;v-text-kern:t;mso-text-shadow:auto" string="D"/>
            <w10:wrap anchorx="page"/>
          </v:shape>
        </w:pict>
      </w:r>
      <w:r>
        <w:pict>
          <v:shape id="_x0000_s3608" type="#_x0000_t136" style="position:absolute;left:0;text-align:left;margin-left:582.05pt;margin-top:53.8pt;width:3.2pt;height:7.95pt;rotation:342;z-index:251495424;mso-position-horizontal-relative:page" fillcolor="black" stroked="f">
            <o:extrusion v:ext="view" autorotationcenter="t"/>
            <v:textpath style="font-family:&quot;Arial&quot;;font-size:8pt;v-text-kern:t;mso-text-shadow:auto" string="s"/>
            <w10:wrap anchorx="page"/>
          </v:shape>
        </w:pict>
      </w:r>
      <w:r>
        <w:pict>
          <v:shape id="_x0000_s3607" type="#_x0000_t136" style="position:absolute;left:0;text-align:left;margin-left:578.85pt;margin-top:54.85pt;width:3.5pt;height:7.95pt;rotation:343;z-index:251496448;mso-position-horizontal-relative:page" fillcolor="black" stroked="f">
            <o:extrusion v:ext="view" autorotationcenter="t"/>
            <v:textpath style="font-family:&quot;Arial&quot;;font-size:8pt;v-text-kern:t;mso-text-shadow:auto" string="e"/>
            <w10:wrap anchorx="page"/>
          </v:shape>
        </w:pict>
      </w:r>
      <w:r>
        <w:pict>
          <v:shape id="_x0000_s3606" type="#_x0000_t136" style="position:absolute;left:0;text-align:left;margin-left:572.25pt;margin-top:56.35pt;width:7pt;height:7.95pt;rotation:344;z-index:251497472;mso-position-horizontal-relative:page" fillcolor="black" stroked="f">
            <o:extrusion v:ext="view" autorotationcenter="t"/>
            <v:textpath style="font-family:&quot;Arial&quot;;font-size:8pt;v-text-kern:t;mso-text-shadow:auto" string="lm"/>
            <w10:wrap anchorx="page"/>
          </v:shape>
        </w:pict>
      </w:r>
      <w:r>
        <w:pict>
          <v:shape id="_x0000_s3605" type="#_x0000_t136" style="position:absolute;left:0;text-align:left;margin-left:740.95pt;margin-top:115.95pt;width:3.35pt;height:7.95pt;rotation:344;z-index:251498496;mso-position-horizontal-relative:page" fillcolor="black" stroked="f">
            <o:extrusion v:ext="view" autorotationcenter="t"/>
            <v:textpath style="font-family:&quot;Arial&quot;;font-size:8pt;v-text-kern:t;mso-text-shadow:auto" string="c"/>
            <w10:wrap anchorx="page"/>
          </v:shape>
        </w:pict>
      </w:r>
      <w:r>
        <w:pict>
          <v:shape id="_x0000_s3604" type="#_x0000_t136" style="position:absolute;left:0;text-align:left;margin-left:565pt;margin-top:58.3pt;width:7.6pt;height:7.95pt;rotation:345;z-index:251499520;mso-position-horizontal-relative:page" fillcolor="black" stroked="f">
            <o:extrusion v:ext="view" autorotationcenter="t"/>
            <v:textpath style="font-family:&quot;Arial&quot;;font-size:8pt;v-text-kern:t;mso-text-shadow:auto" string="Ho"/>
            <w10:wrap anchorx="page"/>
          </v:shape>
        </w:pict>
      </w:r>
      <w:r>
        <w:pict>
          <v:shape id="_x0000_s3603" type="#_x0000_t136" style="position:absolute;left:0;text-align:left;margin-left:744.05pt;margin-top:115.05pt;width:3.6pt;height:7.95pt;rotation:345;z-index:251500544;mso-position-horizontal-relative:page" fillcolor="black" stroked="f">
            <o:extrusion v:ext="view" autorotationcenter="t"/>
            <v:textpath style="font-family:&quot;Arial&quot;;font-size:8pt;v-text-kern:t;mso-text-shadow:auto" string="h"/>
            <w10:wrap anchorx="page"/>
          </v:shape>
        </w:pict>
      </w:r>
      <w:r>
        <w:pict>
          <v:shape id="_x0000_s3602" type="#_x0000_t136" style="position:absolute;left:0;text-align:left;margin-left:561.85pt;margin-top:59.95pt;width:1.55pt;height:7.95pt;rotation:346;z-index:251501568;mso-position-horizontal-relative:page" fillcolor="black" stroked="f">
            <o:extrusion v:ext="view" autorotationcenter="t"/>
            <v:textpath style="font-family:&quot;Arial&quot;;font-size:8pt;v-text-kern:t;mso-text-shadow:auto" string="l"/>
            <w10:wrap anchorx="page"/>
          </v:shape>
        </w:pict>
      </w:r>
      <w:r>
        <w:pict>
          <v:shape id="_x0000_s3601" type="#_x0000_t136" style="position:absolute;left:0;text-align:left;margin-left:747.45pt;margin-top:114.15pt;width:3.4pt;height:7.95pt;rotation:346;z-index:251502592;mso-position-horizontal-relative:page" fillcolor="black" stroked="f">
            <o:extrusion v:ext="view" autorotationcenter="t"/>
            <v:textpath style="font-family:&quot;Arial&quot;;font-size:8pt;v-text-kern:t;mso-text-shadow:auto" string="a"/>
            <w10:wrap anchorx="page"/>
          </v:shape>
        </w:pict>
      </w:r>
      <w:r>
        <w:pict>
          <v:shape id="_x0000_s3600" type="#_x0000_t136" style="position:absolute;left:0;text-align:left;margin-left:558.55pt;margin-top:60.55pt;width:3.5pt;height:7.95pt;rotation:347;z-index:251503616;mso-position-horizontal-relative:page" fillcolor="black" stroked="f">
            <o:extrusion v:ext="view" autorotationcenter="t"/>
            <v:textpath style="font-family:&quot;Arial&quot;;font-size:8pt;v-text-kern:t;mso-text-shadow:auto" string="a"/>
            <w10:wrap anchorx="page"/>
          </v:shape>
        </w:pict>
      </w:r>
      <w:r>
        <w:pict>
          <v:shape id="_x0000_s3599" type="#_x0000_t136" style="position:absolute;left:0;text-align:left;margin-left:556.45pt;margin-top:61.2pt;width:2.25pt;height:7.95pt;rotation:348;z-index:251504640;mso-position-horizontal-relative:page" fillcolor="black" stroked="f">
            <o:extrusion v:ext="view" autorotationcenter="t"/>
            <v:textpath style="font-family:&quot;Arial&quot;;font-size:8pt;v-text-kern:t;mso-text-shadow:auto" string="r"/>
            <w10:wrap anchorx="page"/>
          </v:shape>
        </w:pict>
      </w:r>
      <w:r>
        <w:pict>
          <v:shape id="_x0000_s3598" type="#_x0000_t136" style="position:absolute;left:0;text-align:left;margin-left:750.65pt;margin-top:113.15pt;width:5.5pt;height:7.95pt;rotation:348;z-index:251505664;mso-position-horizontal-relative:page" fillcolor="black" stroked="f">
            <o:extrusion v:ext="view" autorotationcenter="t"/>
            <v:textpath style="font-family:&quot;Arial&quot;;font-size:8pt;v-text-kern:t;mso-text-shadow:auto" string="m"/>
            <w10:wrap anchorx="page"/>
          </v:shape>
        </w:pict>
      </w:r>
      <w:r>
        <w:pict>
          <v:shape id="_x0000_s3597" type="#_x0000_t136" style="position:absolute;left:0;text-align:left;margin-left:772pt;margin-top:109.7pt;width:3.55pt;height:7.95pt;rotation:348;z-index:251506688;mso-position-horizontal-relative:page" fillcolor="black" stroked="f">
            <o:extrusion v:ext="view" autorotationcenter="t"/>
            <v:textpath style="font-family:&quot;Arial&quot;;font-size:8pt;v-text-kern:t;mso-text-shadow:auto" string="d"/>
            <w10:wrap anchorx="page"/>
          </v:shape>
        </w:pict>
      </w:r>
      <w:r>
        <w:pict>
          <v:shape id="_x0000_s3596" type="#_x0000_t136" style="position:absolute;left:0;text-align:left;margin-left:768.65pt;margin-top:110.4pt;width:3.5pt;height:7.95pt;rotation:350;z-index:251507712;mso-position-horizontal-relative:page" fillcolor="black" stroked="f">
            <o:extrusion v:ext="view" autorotationcenter="t"/>
            <v:textpath style="font-family:&quot;Arial&quot;;font-size:8pt;v-text-kern:t;mso-text-shadow:auto" string="a"/>
            <w10:wrap anchorx="page"/>
          </v:shape>
        </w:pict>
      </w:r>
      <w:r>
        <w:pict>
          <v:shape id="_x0000_s3595" type="#_x0000_t136" style="position:absolute;left:0;text-align:left;margin-left:756pt;margin-top:111.65pt;width:12.9pt;height:7.95pt;rotation:351;z-index:251508736;mso-position-horizontal-relative:page" fillcolor="black" stroked="f">
            <o:extrusion v:ext="view" autorotationcenter="t"/>
            <v:textpath style="font-family:&quot;Arial&quot;;font-size:8pt;v-text-kern:t;mso-text-shadow:auto" string="p o"/>
            <w10:wrap anchorx="page"/>
          </v:shape>
        </w:pict>
      </w:r>
      <w:r>
        <w:pict>
          <v:shape id="_x0000_s3594" type="#_x0000_t136" style="position:absolute;left:0;text-align:left;margin-left:761.5pt;margin-top:111.55pt;width:4pt;height:7.95pt;rotation:352;z-index:251509760;mso-position-horizontal-relative:page" fillcolor="black" stroked="f">
            <o:extrusion v:ext="view" autorotationcenter="t"/>
            <v:textpath style="font-family:&quot;Arial&quot;;font-size:8pt;v-text-kern:t;mso-text-shadow:auto" string="R"/>
            <w10:wrap anchorx="page"/>
          </v:shape>
        </w:pict>
      </w:r>
      <w:r>
        <w:pict>
          <v:shape id="_x0000_s3593" type="#_x0000_t136" style="position:absolute;left:0;text-align:left;margin-left:553.1pt;margin-top:61.65pt;width:3.45pt;height:7.95pt;rotation:354;z-index:251510784;mso-position-horizontal-relative:page" fillcolor="black" stroked="f">
            <o:extrusion v:ext="view" autorotationcenter="t"/>
            <v:textpath style="font-family:&quot;Arial&quot;;font-size:8pt;v-text-kern:t;mso-text-shadow:auto" string="e"/>
            <w10:wrap anchorx="page"/>
          </v:shape>
        </w:pict>
      </w:r>
      <w:r>
        <w:pict>
          <v:shape id="_x0000_s3592" type="#_x0000_t136" style="position:absolute;left:0;text-align:left;margin-left:549.5pt;margin-top:61.85pt;width:3.65pt;height:7.95pt;rotation:359;z-index:251511808;mso-position-horizontal-relative:page" fillcolor="black" stroked="f">
            <o:extrusion v:ext="view" autorotationcenter="t"/>
            <v:textpath style="font-family:&quot;Arial&quot;;font-size:8pt;v-text-kern:t;mso-text-shadow:auto" string="n"/>
            <w10:wrap anchorx="page"/>
          </v:shape>
        </w:pict>
      </w:r>
      <w:r w:rsidR="00F22F94">
        <w:rPr>
          <w:sz w:val="20"/>
        </w:rPr>
        <w:t>Widening of Mill Pond Rd. This project includes for the</w:t>
      </w:r>
      <w:r w:rsidR="00F22F94">
        <w:rPr>
          <w:spacing w:val="-9"/>
          <w:sz w:val="20"/>
        </w:rPr>
        <w:t xml:space="preserve"> </w:t>
      </w:r>
      <w:r w:rsidR="00F22F94">
        <w:rPr>
          <w:sz w:val="20"/>
        </w:rPr>
        <w:t>provision</w:t>
      </w:r>
      <w:r w:rsidR="00F22F94">
        <w:rPr>
          <w:spacing w:val="-9"/>
          <w:sz w:val="20"/>
        </w:rPr>
        <w:t xml:space="preserve"> </w:t>
      </w:r>
      <w:r w:rsidR="00F22F94">
        <w:rPr>
          <w:sz w:val="20"/>
        </w:rPr>
        <w:t>for</w:t>
      </w:r>
      <w:r w:rsidR="00F22F94">
        <w:rPr>
          <w:spacing w:val="-9"/>
          <w:sz w:val="20"/>
        </w:rPr>
        <w:t xml:space="preserve"> </w:t>
      </w:r>
      <w:r w:rsidR="00F22F94">
        <w:rPr>
          <w:sz w:val="20"/>
        </w:rPr>
        <w:t>increased</w:t>
      </w:r>
      <w:r w:rsidR="00F22F94">
        <w:rPr>
          <w:spacing w:val="-9"/>
          <w:sz w:val="20"/>
        </w:rPr>
        <w:t xml:space="preserve"> </w:t>
      </w:r>
      <w:r w:rsidR="00F22F94">
        <w:rPr>
          <w:sz w:val="20"/>
        </w:rPr>
        <w:t>storage</w:t>
      </w:r>
      <w:r w:rsidR="00F22F94">
        <w:rPr>
          <w:spacing w:val="-9"/>
          <w:sz w:val="20"/>
        </w:rPr>
        <w:t xml:space="preserve"> </w:t>
      </w:r>
      <w:r w:rsidR="00F22F94">
        <w:rPr>
          <w:sz w:val="20"/>
        </w:rPr>
        <w:t>for</w:t>
      </w:r>
      <w:r w:rsidR="00F22F94">
        <w:rPr>
          <w:spacing w:val="-9"/>
          <w:sz w:val="20"/>
        </w:rPr>
        <w:t xml:space="preserve"> </w:t>
      </w:r>
      <w:r w:rsidR="00F22F94">
        <w:rPr>
          <w:sz w:val="20"/>
        </w:rPr>
        <w:t>city</w:t>
      </w:r>
      <w:r w:rsidR="00F22F94">
        <w:rPr>
          <w:spacing w:val="-9"/>
          <w:sz w:val="20"/>
        </w:rPr>
        <w:t xml:space="preserve"> </w:t>
      </w:r>
      <w:r w:rsidR="00F22F94">
        <w:rPr>
          <w:sz w:val="20"/>
        </w:rPr>
        <w:t xml:space="preserve">bound </w:t>
      </w:r>
      <w:r w:rsidR="00F22F94">
        <w:rPr>
          <w:w w:val="95"/>
          <w:sz w:val="20"/>
        </w:rPr>
        <w:t>traffic</w:t>
      </w:r>
      <w:r w:rsidR="00F22F94">
        <w:rPr>
          <w:spacing w:val="-9"/>
          <w:w w:val="95"/>
          <w:sz w:val="20"/>
        </w:rPr>
        <w:t xml:space="preserve"> </w:t>
      </w:r>
      <w:r w:rsidR="00F22F94">
        <w:rPr>
          <w:w w:val="95"/>
          <w:sz w:val="20"/>
        </w:rPr>
        <w:t>released</w:t>
      </w:r>
      <w:r w:rsidR="00F22F94">
        <w:rPr>
          <w:spacing w:val="-9"/>
          <w:w w:val="95"/>
          <w:sz w:val="20"/>
        </w:rPr>
        <w:t xml:space="preserve"> </w:t>
      </w:r>
      <w:r w:rsidR="00F22F94">
        <w:rPr>
          <w:w w:val="95"/>
          <w:sz w:val="20"/>
        </w:rPr>
        <w:t>from</w:t>
      </w:r>
      <w:r w:rsidR="00F22F94">
        <w:rPr>
          <w:spacing w:val="-10"/>
          <w:w w:val="95"/>
          <w:sz w:val="20"/>
        </w:rPr>
        <w:t xml:space="preserve"> </w:t>
      </w:r>
      <w:r w:rsidR="00F22F94">
        <w:rPr>
          <w:w w:val="95"/>
          <w:sz w:val="20"/>
        </w:rPr>
        <w:t>General</w:t>
      </w:r>
      <w:r w:rsidR="00F22F94">
        <w:rPr>
          <w:spacing w:val="-9"/>
          <w:w w:val="95"/>
          <w:sz w:val="20"/>
        </w:rPr>
        <w:t xml:space="preserve"> </w:t>
      </w:r>
      <w:r w:rsidR="00F22F94">
        <w:rPr>
          <w:w w:val="95"/>
          <w:sz w:val="20"/>
        </w:rPr>
        <w:t>Holmes</w:t>
      </w:r>
      <w:r w:rsidR="00F22F94">
        <w:rPr>
          <w:spacing w:val="-9"/>
          <w:w w:val="95"/>
          <w:sz w:val="20"/>
        </w:rPr>
        <w:t xml:space="preserve"> </w:t>
      </w:r>
      <w:r w:rsidR="00F22F94">
        <w:rPr>
          <w:w w:val="95"/>
          <w:sz w:val="20"/>
        </w:rPr>
        <w:t>Drive,</w:t>
      </w:r>
      <w:r w:rsidR="00F22F94">
        <w:rPr>
          <w:spacing w:val="-9"/>
          <w:w w:val="95"/>
          <w:sz w:val="20"/>
        </w:rPr>
        <w:t xml:space="preserve"> </w:t>
      </w:r>
      <w:r w:rsidR="00F22F94">
        <w:rPr>
          <w:w w:val="95"/>
          <w:sz w:val="20"/>
        </w:rPr>
        <w:t xml:space="preserve">improving </w:t>
      </w:r>
      <w:r w:rsidR="00F22F94">
        <w:rPr>
          <w:sz w:val="20"/>
        </w:rPr>
        <w:t>the</w:t>
      </w:r>
      <w:r w:rsidR="00F22F94">
        <w:rPr>
          <w:spacing w:val="-10"/>
          <w:sz w:val="20"/>
        </w:rPr>
        <w:t xml:space="preserve"> </w:t>
      </w:r>
      <w:r w:rsidR="00F22F94">
        <w:rPr>
          <w:sz w:val="20"/>
        </w:rPr>
        <w:t>efficiency</w:t>
      </w:r>
      <w:r w:rsidR="00F22F94">
        <w:rPr>
          <w:spacing w:val="-10"/>
          <w:sz w:val="20"/>
        </w:rPr>
        <w:t xml:space="preserve"> </w:t>
      </w:r>
      <w:r w:rsidR="00F22F94">
        <w:rPr>
          <w:sz w:val="20"/>
        </w:rPr>
        <w:t>of</w:t>
      </w:r>
      <w:r w:rsidR="00F22F94">
        <w:rPr>
          <w:spacing w:val="-10"/>
          <w:sz w:val="20"/>
        </w:rPr>
        <w:t xml:space="preserve"> </w:t>
      </w:r>
      <w:r w:rsidR="00F22F94">
        <w:rPr>
          <w:sz w:val="20"/>
        </w:rPr>
        <w:t>access</w:t>
      </w:r>
      <w:r w:rsidR="00F22F94">
        <w:rPr>
          <w:spacing w:val="-10"/>
          <w:sz w:val="20"/>
        </w:rPr>
        <w:t xml:space="preserve"> </w:t>
      </w:r>
      <w:r w:rsidR="00F22F94">
        <w:rPr>
          <w:sz w:val="20"/>
        </w:rPr>
        <w:t>to</w:t>
      </w:r>
      <w:r w:rsidR="00F22F94">
        <w:rPr>
          <w:spacing w:val="-10"/>
          <w:sz w:val="20"/>
        </w:rPr>
        <w:t xml:space="preserve"> </w:t>
      </w:r>
      <w:r w:rsidR="00F22F94">
        <w:rPr>
          <w:sz w:val="20"/>
        </w:rPr>
        <w:t>Botany</w:t>
      </w:r>
      <w:r w:rsidR="00F22F94">
        <w:rPr>
          <w:spacing w:val="-10"/>
          <w:sz w:val="20"/>
        </w:rPr>
        <w:t xml:space="preserve"> </w:t>
      </w:r>
      <w:r w:rsidR="00F22F94">
        <w:rPr>
          <w:sz w:val="20"/>
        </w:rPr>
        <w:t>Rd</w:t>
      </w:r>
      <w:r w:rsidR="00F22F94">
        <w:rPr>
          <w:spacing w:val="-10"/>
          <w:sz w:val="20"/>
        </w:rPr>
        <w:t xml:space="preserve"> </w:t>
      </w:r>
      <w:r w:rsidR="00F22F94">
        <w:rPr>
          <w:sz w:val="20"/>
        </w:rPr>
        <w:t>and</w:t>
      </w:r>
      <w:r w:rsidR="00F22F94">
        <w:rPr>
          <w:spacing w:val="-10"/>
          <w:sz w:val="20"/>
        </w:rPr>
        <w:t xml:space="preserve"> </w:t>
      </w:r>
      <w:r w:rsidR="00F22F94">
        <w:rPr>
          <w:sz w:val="20"/>
        </w:rPr>
        <w:t>Southern Cross</w:t>
      </w:r>
      <w:r w:rsidR="00F22F94">
        <w:rPr>
          <w:spacing w:val="-11"/>
          <w:sz w:val="20"/>
        </w:rPr>
        <w:t xml:space="preserve"> </w:t>
      </w:r>
      <w:r w:rsidR="00F22F94">
        <w:rPr>
          <w:sz w:val="20"/>
        </w:rPr>
        <w:t>Drive.</w:t>
      </w:r>
    </w:p>
    <w:p w:rsidR="002C1123" w:rsidRDefault="002060EF">
      <w:pPr>
        <w:pStyle w:val="BodyText"/>
        <w:rPr>
          <w:sz w:val="8"/>
        </w:rPr>
      </w:pPr>
      <w:r>
        <w:pict>
          <v:shape id="docshape1549" o:spid="_x0000_s3591" type="#_x0000_t202" style="position:absolute;margin-left:49.6pt;margin-top:5.8pt;width:239pt;height:66.5pt;z-index:-251366400;mso-wrap-distance-left:0;mso-wrap-distance-right:0;mso-position-horizontal-relative:page" fillcolor="#e1e0e1" stroked="f">
            <v:textbox inset="0,0,0,0">
              <w:txbxContent>
                <w:p w:rsidR="00F22F94" w:rsidRDefault="00F22F94">
                  <w:pPr>
                    <w:pStyle w:val="BodyText"/>
                    <w:spacing w:before="68" w:line="249" w:lineRule="auto"/>
                    <w:ind w:left="113" w:right="115"/>
                    <w:rPr>
                      <w:color w:val="000000"/>
                    </w:rPr>
                  </w:pPr>
                  <w:r>
                    <w:rPr>
                      <w:b/>
                      <w:color w:val="00AEEF"/>
                    </w:rPr>
                    <w:t>Recommendation</w:t>
                  </w:r>
                  <w:r>
                    <w:rPr>
                      <w:b/>
                      <w:color w:val="00AEEF"/>
                      <w:spacing w:val="40"/>
                    </w:rPr>
                    <w:t xml:space="preserve"> </w:t>
                  </w:r>
                  <w:r>
                    <w:rPr>
                      <w:color w:val="000000"/>
                    </w:rPr>
                    <w:t xml:space="preserve">Infrastructure NSW recommends the proposed road pinch points </w:t>
                  </w:r>
                  <w:r>
                    <w:rPr>
                      <w:color w:val="000000"/>
                      <w:w w:val="95"/>
                    </w:rPr>
                    <w:t>program around Sydney’s International Gateways is expedited</w:t>
                  </w:r>
                  <w:r>
                    <w:rPr>
                      <w:color w:val="000000"/>
                      <w:spacing w:val="-3"/>
                      <w:w w:val="95"/>
                    </w:rPr>
                    <w:t xml:space="preserve"> </w:t>
                  </w:r>
                  <w:r>
                    <w:rPr>
                      <w:color w:val="000000"/>
                      <w:w w:val="95"/>
                    </w:rPr>
                    <w:t>with</w:t>
                  </w:r>
                  <w:r>
                    <w:rPr>
                      <w:color w:val="000000"/>
                      <w:spacing w:val="-3"/>
                      <w:w w:val="95"/>
                    </w:rPr>
                    <w:t xml:space="preserve"> </w:t>
                  </w:r>
                  <w:r>
                    <w:rPr>
                      <w:color w:val="000000"/>
                      <w:w w:val="95"/>
                    </w:rPr>
                    <w:t>a</w:t>
                  </w:r>
                  <w:r>
                    <w:rPr>
                      <w:color w:val="000000"/>
                      <w:spacing w:val="-3"/>
                      <w:w w:val="95"/>
                    </w:rPr>
                    <w:t xml:space="preserve"> </w:t>
                  </w:r>
                  <w:r>
                    <w:rPr>
                      <w:color w:val="000000"/>
                      <w:w w:val="95"/>
                    </w:rPr>
                    <w:t>view</w:t>
                  </w:r>
                  <w:r>
                    <w:rPr>
                      <w:color w:val="000000"/>
                      <w:spacing w:val="-3"/>
                      <w:w w:val="95"/>
                    </w:rPr>
                    <w:t xml:space="preserve"> </w:t>
                  </w:r>
                  <w:r>
                    <w:rPr>
                      <w:color w:val="000000"/>
                      <w:w w:val="95"/>
                    </w:rPr>
                    <w:t>to</w:t>
                  </w:r>
                  <w:r>
                    <w:rPr>
                      <w:color w:val="000000"/>
                      <w:spacing w:val="-3"/>
                      <w:w w:val="95"/>
                    </w:rPr>
                    <w:t xml:space="preserve"> </w:t>
                  </w:r>
                  <w:r>
                    <w:rPr>
                      <w:color w:val="000000"/>
                      <w:w w:val="95"/>
                    </w:rPr>
                    <w:t>its</w:t>
                  </w:r>
                  <w:r>
                    <w:rPr>
                      <w:color w:val="000000"/>
                      <w:spacing w:val="-3"/>
                      <w:w w:val="95"/>
                    </w:rPr>
                    <w:t xml:space="preserve"> </w:t>
                  </w:r>
                  <w:r>
                    <w:rPr>
                      <w:color w:val="000000"/>
                      <w:w w:val="95"/>
                    </w:rPr>
                    <w:t>completion</w:t>
                  </w:r>
                  <w:r>
                    <w:rPr>
                      <w:color w:val="000000"/>
                      <w:spacing w:val="-3"/>
                      <w:w w:val="95"/>
                    </w:rPr>
                    <w:t xml:space="preserve"> </w:t>
                  </w:r>
                  <w:r>
                    <w:rPr>
                      <w:color w:val="000000"/>
                      <w:w w:val="95"/>
                    </w:rPr>
                    <w:t>within</w:t>
                  </w:r>
                  <w:r>
                    <w:rPr>
                      <w:color w:val="000000"/>
                      <w:spacing w:val="-3"/>
                      <w:w w:val="95"/>
                    </w:rPr>
                    <w:t xml:space="preserve"> </w:t>
                  </w:r>
                  <w:r>
                    <w:rPr>
                      <w:color w:val="000000"/>
                      <w:w w:val="95"/>
                    </w:rPr>
                    <w:t>three</w:t>
                  </w:r>
                  <w:r>
                    <w:rPr>
                      <w:color w:val="000000"/>
                      <w:spacing w:val="-3"/>
                      <w:w w:val="95"/>
                    </w:rPr>
                    <w:t xml:space="preserve"> </w:t>
                  </w:r>
                  <w:r>
                    <w:rPr>
                      <w:color w:val="000000"/>
                      <w:w w:val="95"/>
                    </w:rPr>
                    <w:t xml:space="preserve">to </w:t>
                  </w:r>
                  <w:r>
                    <w:rPr>
                      <w:color w:val="000000"/>
                    </w:rPr>
                    <w:t>five</w:t>
                  </w:r>
                  <w:r>
                    <w:rPr>
                      <w:color w:val="000000"/>
                      <w:spacing w:val="-11"/>
                    </w:rPr>
                    <w:t xml:space="preserve"> </w:t>
                  </w:r>
                  <w:r>
                    <w:rPr>
                      <w:color w:val="000000"/>
                    </w:rPr>
                    <w:t>years.</w:t>
                  </w:r>
                </w:p>
              </w:txbxContent>
            </v:textbox>
            <w10:wrap type="topAndBottom" anchorx="page"/>
          </v:shape>
        </w:pict>
      </w:r>
    </w:p>
    <w:p w:rsidR="002C1123" w:rsidRDefault="002C1123">
      <w:pPr>
        <w:rPr>
          <w:sz w:val="8"/>
        </w:rPr>
        <w:sectPr w:rsidR="002C1123">
          <w:pgSz w:w="16840" w:h="11910" w:orient="landscape"/>
          <w:pgMar w:top="560" w:right="280" w:bottom="700" w:left="500" w:header="0" w:footer="517"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BodyText"/>
        <w:spacing w:before="106" w:line="249" w:lineRule="auto"/>
        <w:ind w:left="492"/>
      </w:pPr>
      <w:bookmarkStart w:id="250" w:name="9.5__Freight_rail_infrastructure_around_"/>
      <w:bookmarkStart w:id="251" w:name="_bookmark178"/>
      <w:bookmarkStart w:id="252" w:name="_bookmark177"/>
      <w:bookmarkEnd w:id="250"/>
      <w:bookmarkEnd w:id="251"/>
      <w:bookmarkEnd w:id="252"/>
      <w:r>
        <w:t>In</w:t>
      </w:r>
      <w:r>
        <w:rPr>
          <w:spacing w:val="-9"/>
        </w:rPr>
        <w:t xml:space="preserve"> </w:t>
      </w:r>
      <w:r>
        <w:t>the</w:t>
      </w:r>
      <w:r>
        <w:rPr>
          <w:spacing w:val="-9"/>
        </w:rPr>
        <w:t xml:space="preserve"> </w:t>
      </w:r>
      <w:r>
        <w:t>medium</w:t>
      </w:r>
      <w:r>
        <w:rPr>
          <w:spacing w:val="-10"/>
        </w:rPr>
        <w:t xml:space="preserve"> </w:t>
      </w:r>
      <w:r>
        <w:t>and</w:t>
      </w:r>
      <w:r>
        <w:rPr>
          <w:spacing w:val="-9"/>
        </w:rPr>
        <w:t xml:space="preserve"> </w:t>
      </w:r>
      <w:r>
        <w:t>longer</w:t>
      </w:r>
      <w:r>
        <w:rPr>
          <w:spacing w:val="-9"/>
        </w:rPr>
        <w:t xml:space="preserve"> </w:t>
      </w:r>
      <w:r>
        <w:t>term,</w:t>
      </w:r>
      <w:r>
        <w:rPr>
          <w:spacing w:val="-9"/>
        </w:rPr>
        <w:t xml:space="preserve"> </w:t>
      </w:r>
      <w:r>
        <w:t>the</w:t>
      </w:r>
      <w:r>
        <w:rPr>
          <w:spacing w:val="-9"/>
        </w:rPr>
        <w:t xml:space="preserve"> </w:t>
      </w:r>
      <w:r>
        <w:t>principal</w:t>
      </w:r>
      <w:r>
        <w:rPr>
          <w:spacing w:val="-9"/>
        </w:rPr>
        <w:t xml:space="preserve"> </w:t>
      </w:r>
      <w:r>
        <w:t xml:space="preserve">road </w:t>
      </w:r>
      <w:r>
        <w:rPr>
          <w:spacing w:val="-2"/>
        </w:rPr>
        <w:t>infrastructure</w:t>
      </w:r>
      <w:r>
        <w:rPr>
          <w:spacing w:val="-9"/>
        </w:rPr>
        <w:t xml:space="preserve"> </w:t>
      </w:r>
      <w:r>
        <w:rPr>
          <w:spacing w:val="-2"/>
        </w:rPr>
        <w:t>solution</w:t>
      </w:r>
      <w:r>
        <w:rPr>
          <w:spacing w:val="-9"/>
        </w:rPr>
        <w:t xml:space="preserve"> </w:t>
      </w:r>
      <w:r>
        <w:rPr>
          <w:spacing w:val="-2"/>
        </w:rPr>
        <w:t>for</w:t>
      </w:r>
      <w:r>
        <w:rPr>
          <w:spacing w:val="-9"/>
        </w:rPr>
        <w:t xml:space="preserve"> </w:t>
      </w:r>
      <w:r>
        <w:rPr>
          <w:spacing w:val="-2"/>
        </w:rPr>
        <w:t>Sydney’s</w:t>
      </w:r>
      <w:r>
        <w:rPr>
          <w:spacing w:val="-9"/>
        </w:rPr>
        <w:t xml:space="preserve"> </w:t>
      </w:r>
      <w:r>
        <w:rPr>
          <w:spacing w:val="-2"/>
        </w:rPr>
        <w:t>Gateways</w:t>
      </w:r>
      <w:r>
        <w:rPr>
          <w:spacing w:val="-9"/>
        </w:rPr>
        <w:t xml:space="preserve"> </w:t>
      </w:r>
      <w:r>
        <w:rPr>
          <w:spacing w:val="-2"/>
        </w:rPr>
        <w:t>is</w:t>
      </w:r>
      <w:r>
        <w:rPr>
          <w:spacing w:val="-9"/>
        </w:rPr>
        <w:t xml:space="preserve"> </w:t>
      </w:r>
      <w:r>
        <w:rPr>
          <w:spacing w:val="-2"/>
        </w:rPr>
        <w:t xml:space="preserve">the </w:t>
      </w:r>
      <w:r>
        <w:rPr>
          <w:w w:val="95"/>
        </w:rPr>
        <w:t>construction of WestConnex as described in Section</w:t>
      </w:r>
    </w:p>
    <w:p w:rsidR="002C1123" w:rsidRDefault="00F22F94">
      <w:pPr>
        <w:pStyle w:val="BodyText"/>
        <w:spacing w:before="2" w:line="249" w:lineRule="auto"/>
        <w:ind w:left="492"/>
      </w:pPr>
      <w:r>
        <w:t>6.</w:t>
      </w:r>
      <w:r>
        <w:rPr>
          <w:spacing w:val="-9"/>
        </w:rPr>
        <w:t xml:space="preserve"> </w:t>
      </w:r>
      <w:r>
        <w:t>By</w:t>
      </w:r>
      <w:r>
        <w:rPr>
          <w:spacing w:val="-9"/>
        </w:rPr>
        <w:t xml:space="preserve"> </w:t>
      </w:r>
      <w:r>
        <w:t>the</w:t>
      </w:r>
      <w:r>
        <w:rPr>
          <w:spacing w:val="-9"/>
        </w:rPr>
        <w:t xml:space="preserve"> </w:t>
      </w:r>
      <w:r>
        <w:t>early</w:t>
      </w:r>
      <w:r>
        <w:rPr>
          <w:spacing w:val="-9"/>
        </w:rPr>
        <w:t xml:space="preserve"> </w:t>
      </w:r>
      <w:r>
        <w:t>2020s,</w:t>
      </w:r>
      <w:r>
        <w:rPr>
          <w:spacing w:val="-9"/>
        </w:rPr>
        <w:t xml:space="preserve"> </w:t>
      </w:r>
      <w:r>
        <w:t>this</w:t>
      </w:r>
      <w:r>
        <w:rPr>
          <w:spacing w:val="-9"/>
        </w:rPr>
        <w:t xml:space="preserve"> </w:t>
      </w:r>
      <w:r>
        <w:t>would</w:t>
      </w:r>
      <w:r>
        <w:rPr>
          <w:spacing w:val="-9"/>
        </w:rPr>
        <w:t xml:space="preserve"> </w:t>
      </w:r>
      <w:r>
        <w:t>provide</w:t>
      </w:r>
      <w:r>
        <w:rPr>
          <w:spacing w:val="-9"/>
        </w:rPr>
        <w:t xml:space="preserve"> </w:t>
      </w:r>
      <w:r>
        <w:t xml:space="preserve">motorway </w:t>
      </w:r>
      <w:r>
        <w:rPr>
          <w:w w:val="95"/>
        </w:rPr>
        <w:t>standard</w:t>
      </w:r>
      <w:r>
        <w:rPr>
          <w:spacing w:val="-1"/>
          <w:w w:val="95"/>
        </w:rPr>
        <w:t xml:space="preserve"> </w:t>
      </w:r>
      <w:r>
        <w:rPr>
          <w:w w:val="95"/>
        </w:rPr>
        <w:t>access</w:t>
      </w:r>
      <w:r>
        <w:rPr>
          <w:spacing w:val="-1"/>
          <w:w w:val="95"/>
        </w:rPr>
        <w:t xml:space="preserve"> </w:t>
      </w:r>
      <w:r>
        <w:rPr>
          <w:w w:val="95"/>
        </w:rPr>
        <w:t>from</w:t>
      </w:r>
      <w:r>
        <w:rPr>
          <w:spacing w:val="-2"/>
          <w:w w:val="95"/>
        </w:rPr>
        <w:t xml:space="preserve"> </w:t>
      </w:r>
      <w:r>
        <w:rPr>
          <w:w w:val="95"/>
        </w:rPr>
        <w:t>Port</w:t>
      </w:r>
      <w:r>
        <w:rPr>
          <w:spacing w:val="-1"/>
          <w:w w:val="95"/>
        </w:rPr>
        <w:t xml:space="preserve"> </w:t>
      </w:r>
      <w:r>
        <w:rPr>
          <w:w w:val="95"/>
        </w:rPr>
        <w:t>Botany</w:t>
      </w:r>
      <w:r>
        <w:rPr>
          <w:spacing w:val="-1"/>
          <w:w w:val="95"/>
        </w:rPr>
        <w:t xml:space="preserve"> </w:t>
      </w:r>
      <w:r>
        <w:rPr>
          <w:w w:val="95"/>
        </w:rPr>
        <w:t>to</w:t>
      </w:r>
      <w:r>
        <w:rPr>
          <w:spacing w:val="-1"/>
          <w:w w:val="95"/>
        </w:rPr>
        <w:t xml:space="preserve"> </w:t>
      </w:r>
      <w:r>
        <w:rPr>
          <w:w w:val="95"/>
        </w:rPr>
        <w:t>the</w:t>
      </w:r>
      <w:r>
        <w:rPr>
          <w:spacing w:val="-1"/>
          <w:w w:val="95"/>
        </w:rPr>
        <w:t xml:space="preserve"> </w:t>
      </w:r>
      <w:r>
        <w:rPr>
          <w:w w:val="95"/>
        </w:rPr>
        <w:t>industrial</w:t>
      </w:r>
      <w:r>
        <w:rPr>
          <w:spacing w:val="-1"/>
          <w:w w:val="95"/>
        </w:rPr>
        <w:t xml:space="preserve"> </w:t>
      </w:r>
      <w:r>
        <w:rPr>
          <w:w w:val="95"/>
        </w:rPr>
        <w:t xml:space="preserve">lands </w:t>
      </w:r>
      <w:r>
        <w:t>of</w:t>
      </w:r>
      <w:r>
        <w:rPr>
          <w:spacing w:val="-14"/>
        </w:rPr>
        <w:t xml:space="preserve"> </w:t>
      </w:r>
      <w:r>
        <w:t>Western</w:t>
      </w:r>
      <w:r>
        <w:rPr>
          <w:spacing w:val="-14"/>
        </w:rPr>
        <w:t xml:space="preserve"> </w:t>
      </w:r>
      <w:r>
        <w:t>and</w:t>
      </w:r>
      <w:r>
        <w:rPr>
          <w:spacing w:val="-14"/>
        </w:rPr>
        <w:t xml:space="preserve"> </w:t>
      </w:r>
      <w:r>
        <w:t>South-Western</w:t>
      </w:r>
      <w:r>
        <w:rPr>
          <w:spacing w:val="-14"/>
        </w:rPr>
        <w:t xml:space="preserve"> </w:t>
      </w:r>
      <w:r>
        <w:t>Sydney,</w:t>
      </w:r>
      <w:r>
        <w:rPr>
          <w:spacing w:val="-14"/>
        </w:rPr>
        <w:t xml:space="preserve"> </w:t>
      </w:r>
      <w:r>
        <w:t>and</w:t>
      </w:r>
      <w:r>
        <w:rPr>
          <w:spacing w:val="-14"/>
        </w:rPr>
        <w:t xml:space="preserve"> </w:t>
      </w:r>
      <w:r>
        <w:t>improve access</w:t>
      </w:r>
      <w:r>
        <w:rPr>
          <w:spacing w:val="-14"/>
        </w:rPr>
        <w:t xml:space="preserve"> </w:t>
      </w:r>
      <w:r>
        <w:t>by</w:t>
      </w:r>
      <w:r>
        <w:rPr>
          <w:spacing w:val="-14"/>
        </w:rPr>
        <w:t xml:space="preserve"> </w:t>
      </w:r>
      <w:r>
        <w:t>road</w:t>
      </w:r>
      <w:r>
        <w:rPr>
          <w:spacing w:val="-14"/>
        </w:rPr>
        <w:t xml:space="preserve"> </w:t>
      </w:r>
      <w:r>
        <w:t>to</w:t>
      </w:r>
      <w:r>
        <w:rPr>
          <w:spacing w:val="-14"/>
        </w:rPr>
        <w:t xml:space="preserve"> </w:t>
      </w:r>
      <w:r>
        <w:t>Sydney</w:t>
      </w:r>
      <w:r>
        <w:rPr>
          <w:spacing w:val="-14"/>
        </w:rPr>
        <w:t xml:space="preserve"> </w:t>
      </w:r>
      <w:r>
        <w:t>Airport</w:t>
      </w:r>
      <w:r>
        <w:rPr>
          <w:spacing w:val="-14"/>
        </w:rPr>
        <w:t xml:space="preserve"> </w:t>
      </w:r>
      <w:r>
        <w:t>from</w:t>
      </w:r>
      <w:r>
        <w:rPr>
          <w:spacing w:val="-14"/>
        </w:rPr>
        <w:t xml:space="preserve"> </w:t>
      </w:r>
      <w:r>
        <w:t>the</w:t>
      </w:r>
      <w:r>
        <w:rPr>
          <w:spacing w:val="-14"/>
        </w:rPr>
        <w:t xml:space="preserve"> </w:t>
      </w:r>
      <w:r>
        <w:t xml:space="preserve">South-West </w:t>
      </w:r>
      <w:r>
        <w:rPr>
          <w:spacing w:val="-2"/>
        </w:rPr>
        <w:t>(where</w:t>
      </w:r>
      <w:r>
        <w:rPr>
          <w:spacing w:val="-12"/>
        </w:rPr>
        <w:t xml:space="preserve"> </w:t>
      </w:r>
      <w:r>
        <w:rPr>
          <w:spacing w:val="-2"/>
        </w:rPr>
        <w:t>many</w:t>
      </w:r>
      <w:r>
        <w:rPr>
          <w:spacing w:val="-12"/>
        </w:rPr>
        <w:t xml:space="preserve"> </w:t>
      </w:r>
      <w:r>
        <w:rPr>
          <w:spacing w:val="-2"/>
        </w:rPr>
        <w:t>airport</w:t>
      </w:r>
      <w:r>
        <w:rPr>
          <w:spacing w:val="-12"/>
        </w:rPr>
        <w:t xml:space="preserve"> </w:t>
      </w:r>
      <w:r>
        <w:rPr>
          <w:spacing w:val="-2"/>
        </w:rPr>
        <w:t>employees</w:t>
      </w:r>
      <w:r>
        <w:rPr>
          <w:spacing w:val="-12"/>
        </w:rPr>
        <w:t xml:space="preserve"> </w:t>
      </w:r>
      <w:r>
        <w:rPr>
          <w:spacing w:val="-2"/>
        </w:rPr>
        <w:t>live),</w:t>
      </w:r>
      <w:r>
        <w:rPr>
          <w:spacing w:val="-12"/>
        </w:rPr>
        <w:t xml:space="preserve"> </w:t>
      </w:r>
      <w:r>
        <w:rPr>
          <w:spacing w:val="-2"/>
        </w:rPr>
        <w:t>Inner-West</w:t>
      </w:r>
      <w:r>
        <w:rPr>
          <w:spacing w:val="-12"/>
        </w:rPr>
        <w:t xml:space="preserve"> </w:t>
      </w:r>
      <w:r>
        <w:rPr>
          <w:spacing w:val="-2"/>
        </w:rPr>
        <w:t xml:space="preserve">and </w:t>
      </w:r>
      <w:r>
        <w:t>Southern</w:t>
      </w:r>
      <w:r>
        <w:rPr>
          <w:spacing w:val="-11"/>
        </w:rPr>
        <w:t xml:space="preserve"> </w:t>
      </w:r>
      <w:r>
        <w:t>CBD.</w:t>
      </w:r>
    </w:p>
    <w:p w:rsidR="002C1123" w:rsidRDefault="002C1123">
      <w:pPr>
        <w:pStyle w:val="BodyText"/>
        <w:spacing w:before="4"/>
        <w:rPr>
          <w:sz w:val="25"/>
        </w:rPr>
      </w:pPr>
    </w:p>
    <w:p w:rsidR="002C1123" w:rsidRDefault="00F22F94">
      <w:pPr>
        <w:pStyle w:val="Heading5"/>
        <w:numPr>
          <w:ilvl w:val="1"/>
          <w:numId w:val="80"/>
        </w:numPr>
        <w:tabs>
          <w:tab w:val="left" w:pos="942"/>
        </w:tabs>
        <w:spacing w:before="1" w:line="223" w:lineRule="auto"/>
        <w:ind w:right="1122"/>
        <w:jc w:val="left"/>
      </w:pPr>
      <w:r>
        <w:rPr>
          <w:color w:val="00AEEF"/>
          <w:spacing w:val="-6"/>
        </w:rPr>
        <w:t>Freight</w:t>
      </w:r>
      <w:r>
        <w:rPr>
          <w:color w:val="00AEEF"/>
          <w:spacing w:val="-13"/>
        </w:rPr>
        <w:t xml:space="preserve"> </w:t>
      </w:r>
      <w:r>
        <w:rPr>
          <w:color w:val="00AEEF"/>
          <w:spacing w:val="-6"/>
        </w:rPr>
        <w:t>rail</w:t>
      </w:r>
      <w:r>
        <w:rPr>
          <w:color w:val="00AEEF"/>
          <w:spacing w:val="-13"/>
        </w:rPr>
        <w:t xml:space="preserve"> </w:t>
      </w:r>
      <w:r>
        <w:rPr>
          <w:color w:val="00AEEF"/>
          <w:spacing w:val="-6"/>
        </w:rPr>
        <w:t xml:space="preserve">infrastructure </w:t>
      </w:r>
      <w:r>
        <w:rPr>
          <w:color w:val="00AEEF"/>
        </w:rPr>
        <w:t>around Port Botany</w:t>
      </w:r>
    </w:p>
    <w:p w:rsidR="002C1123" w:rsidRDefault="00F22F94">
      <w:pPr>
        <w:pStyle w:val="BodyText"/>
        <w:spacing w:before="139" w:line="249" w:lineRule="auto"/>
        <w:ind w:left="492"/>
        <w:jc w:val="both"/>
      </w:pPr>
      <w:r>
        <w:rPr>
          <w:w w:val="90"/>
        </w:rPr>
        <w:t>This</w:t>
      </w:r>
      <w:r>
        <w:rPr>
          <w:spacing w:val="-4"/>
          <w:w w:val="90"/>
        </w:rPr>
        <w:t xml:space="preserve"> </w:t>
      </w:r>
      <w:r>
        <w:rPr>
          <w:w w:val="90"/>
        </w:rPr>
        <w:t>section</w:t>
      </w:r>
      <w:r>
        <w:rPr>
          <w:spacing w:val="-4"/>
          <w:w w:val="90"/>
        </w:rPr>
        <w:t xml:space="preserve"> </w:t>
      </w:r>
      <w:r>
        <w:rPr>
          <w:w w:val="90"/>
        </w:rPr>
        <w:t>discusses</w:t>
      </w:r>
      <w:r>
        <w:rPr>
          <w:spacing w:val="-4"/>
          <w:w w:val="90"/>
        </w:rPr>
        <w:t xml:space="preserve"> </w:t>
      </w:r>
      <w:r>
        <w:rPr>
          <w:w w:val="90"/>
        </w:rPr>
        <w:t>infrastructure</w:t>
      </w:r>
      <w:r>
        <w:rPr>
          <w:spacing w:val="-4"/>
          <w:w w:val="90"/>
        </w:rPr>
        <w:t xml:space="preserve"> </w:t>
      </w:r>
      <w:r>
        <w:rPr>
          <w:w w:val="90"/>
        </w:rPr>
        <w:t>options</w:t>
      </w:r>
      <w:r>
        <w:rPr>
          <w:spacing w:val="-4"/>
          <w:w w:val="90"/>
        </w:rPr>
        <w:t xml:space="preserve"> </w:t>
      </w:r>
      <w:r>
        <w:rPr>
          <w:w w:val="90"/>
        </w:rPr>
        <w:t>to</w:t>
      </w:r>
      <w:r>
        <w:rPr>
          <w:spacing w:val="-4"/>
          <w:w w:val="90"/>
        </w:rPr>
        <w:t xml:space="preserve"> </w:t>
      </w:r>
      <w:r>
        <w:rPr>
          <w:w w:val="90"/>
        </w:rPr>
        <w:t>increase</w:t>
      </w:r>
      <w:r>
        <w:rPr>
          <w:spacing w:val="-4"/>
          <w:w w:val="90"/>
        </w:rPr>
        <w:t xml:space="preserve"> </w:t>
      </w:r>
      <w:r>
        <w:rPr>
          <w:w w:val="90"/>
        </w:rPr>
        <w:t xml:space="preserve">the proportion of container freight moved by rail, taking account </w:t>
      </w:r>
      <w:r>
        <w:rPr>
          <w:w w:val="95"/>
        </w:rPr>
        <w:t>of</w:t>
      </w:r>
      <w:r>
        <w:rPr>
          <w:spacing w:val="-11"/>
          <w:w w:val="95"/>
        </w:rPr>
        <w:t xml:space="preserve"> </w:t>
      </w:r>
      <w:r>
        <w:rPr>
          <w:w w:val="95"/>
        </w:rPr>
        <w:t>the</w:t>
      </w:r>
      <w:r>
        <w:rPr>
          <w:spacing w:val="-11"/>
          <w:w w:val="95"/>
        </w:rPr>
        <w:t xml:space="preserve"> </w:t>
      </w:r>
      <w:r>
        <w:rPr>
          <w:w w:val="95"/>
        </w:rPr>
        <w:t>dynamics</w:t>
      </w:r>
      <w:r>
        <w:rPr>
          <w:spacing w:val="-11"/>
          <w:w w:val="95"/>
        </w:rPr>
        <w:t xml:space="preserve"> </w:t>
      </w:r>
      <w:r>
        <w:rPr>
          <w:w w:val="95"/>
        </w:rPr>
        <w:t>of</w:t>
      </w:r>
      <w:r>
        <w:rPr>
          <w:spacing w:val="-11"/>
          <w:w w:val="95"/>
        </w:rPr>
        <w:t xml:space="preserve"> </w:t>
      </w:r>
      <w:r>
        <w:rPr>
          <w:w w:val="95"/>
        </w:rPr>
        <w:t>this</w:t>
      </w:r>
      <w:r>
        <w:rPr>
          <w:spacing w:val="-11"/>
          <w:w w:val="95"/>
        </w:rPr>
        <w:t xml:space="preserve"> </w:t>
      </w:r>
      <w:r>
        <w:rPr>
          <w:w w:val="95"/>
        </w:rPr>
        <w:t>market</w:t>
      </w:r>
      <w:r>
        <w:rPr>
          <w:spacing w:val="-11"/>
          <w:w w:val="95"/>
        </w:rPr>
        <w:t xml:space="preserve"> </w:t>
      </w:r>
      <w:r>
        <w:rPr>
          <w:w w:val="95"/>
        </w:rPr>
        <w:t>set</w:t>
      </w:r>
      <w:r>
        <w:rPr>
          <w:spacing w:val="-11"/>
          <w:w w:val="95"/>
        </w:rPr>
        <w:t xml:space="preserve"> </w:t>
      </w:r>
      <w:r>
        <w:rPr>
          <w:w w:val="95"/>
        </w:rPr>
        <w:t>out</w:t>
      </w:r>
      <w:r>
        <w:rPr>
          <w:spacing w:val="-11"/>
          <w:w w:val="95"/>
        </w:rPr>
        <w:t xml:space="preserve"> </w:t>
      </w:r>
      <w:r>
        <w:rPr>
          <w:w w:val="95"/>
        </w:rPr>
        <w:t>in</w:t>
      </w:r>
      <w:r>
        <w:rPr>
          <w:spacing w:val="-11"/>
          <w:w w:val="95"/>
        </w:rPr>
        <w:t xml:space="preserve"> </w:t>
      </w:r>
      <w:r>
        <w:rPr>
          <w:w w:val="95"/>
        </w:rPr>
        <w:t>Section</w:t>
      </w:r>
      <w:r>
        <w:rPr>
          <w:spacing w:val="-11"/>
          <w:w w:val="95"/>
        </w:rPr>
        <w:t xml:space="preserve"> </w:t>
      </w:r>
      <w:r>
        <w:rPr>
          <w:w w:val="95"/>
        </w:rPr>
        <w:t>9.2.</w:t>
      </w:r>
    </w:p>
    <w:p w:rsidR="002C1123" w:rsidRDefault="00F22F94">
      <w:pPr>
        <w:pStyle w:val="BodyText"/>
        <w:spacing w:before="144"/>
        <w:ind w:left="492"/>
        <w:jc w:val="both"/>
      </w:pPr>
      <w:r>
        <w:rPr>
          <w:w w:val="95"/>
        </w:rPr>
        <w:t>The</w:t>
      </w:r>
      <w:r>
        <w:rPr>
          <w:spacing w:val="-9"/>
          <w:w w:val="95"/>
        </w:rPr>
        <w:t xml:space="preserve"> </w:t>
      </w:r>
      <w:r>
        <w:rPr>
          <w:w w:val="95"/>
        </w:rPr>
        <w:t>freight</w:t>
      </w:r>
      <w:r>
        <w:rPr>
          <w:spacing w:val="-9"/>
          <w:w w:val="95"/>
        </w:rPr>
        <w:t xml:space="preserve"> </w:t>
      </w:r>
      <w:r>
        <w:rPr>
          <w:w w:val="95"/>
        </w:rPr>
        <w:t>rail</w:t>
      </w:r>
      <w:r>
        <w:rPr>
          <w:spacing w:val="-8"/>
          <w:w w:val="95"/>
        </w:rPr>
        <w:t xml:space="preserve"> </w:t>
      </w:r>
      <w:r>
        <w:rPr>
          <w:w w:val="95"/>
        </w:rPr>
        <w:t>infrastructure</w:t>
      </w:r>
      <w:r>
        <w:rPr>
          <w:spacing w:val="-9"/>
          <w:w w:val="95"/>
        </w:rPr>
        <w:t xml:space="preserve"> </w:t>
      </w:r>
      <w:r>
        <w:rPr>
          <w:w w:val="95"/>
        </w:rPr>
        <w:t>network</w:t>
      </w:r>
      <w:r>
        <w:rPr>
          <w:spacing w:val="-8"/>
          <w:w w:val="95"/>
        </w:rPr>
        <w:t xml:space="preserve"> </w:t>
      </w:r>
      <w:r>
        <w:rPr>
          <w:spacing w:val="-2"/>
          <w:w w:val="95"/>
        </w:rPr>
        <w:t>includes:</w:t>
      </w:r>
    </w:p>
    <w:p w:rsidR="002C1123" w:rsidRDefault="00F22F94">
      <w:pPr>
        <w:pStyle w:val="ListParagraph"/>
        <w:numPr>
          <w:ilvl w:val="0"/>
          <w:numId w:val="75"/>
        </w:numPr>
        <w:tabs>
          <w:tab w:val="left" w:pos="776"/>
        </w:tabs>
        <w:spacing w:before="140"/>
        <w:rPr>
          <w:sz w:val="20"/>
        </w:rPr>
      </w:pPr>
      <w:r>
        <w:rPr>
          <w:w w:val="95"/>
          <w:sz w:val="20"/>
        </w:rPr>
        <w:t>rail</w:t>
      </w:r>
      <w:r>
        <w:rPr>
          <w:spacing w:val="-11"/>
          <w:w w:val="95"/>
          <w:sz w:val="20"/>
        </w:rPr>
        <w:t xml:space="preserve"> </w:t>
      </w:r>
      <w:r>
        <w:rPr>
          <w:w w:val="95"/>
          <w:sz w:val="20"/>
        </w:rPr>
        <w:t>marshalling</w:t>
      </w:r>
      <w:r>
        <w:rPr>
          <w:spacing w:val="-11"/>
          <w:w w:val="95"/>
          <w:sz w:val="20"/>
        </w:rPr>
        <w:t xml:space="preserve"> </w:t>
      </w:r>
      <w:r>
        <w:rPr>
          <w:w w:val="95"/>
          <w:sz w:val="20"/>
        </w:rPr>
        <w:t>yards</w:t>
      </w:r>
      <w:r>
        <w:rPr>
          <w:spacing w:val="-10"/>
          <w:w w:val="95"/>
          <w:sz w:val="20"/>
        </w:rPr>
        <w:t xml:space="preserve"> </w:t>
      </w:r>
      <w:r>
        <w:rPr>
          <w:w w:val="95"/>
          <w:sz w:val="20"/>
        </w:rPr>
        <w:t>at</w:t>
      </w:r>
      <w:r>
        <w:rPr>
          <w:spacing w:val="-11"/>
          <w:w w:val="95"/>
          <w:sz w:val="20"/>
        </w:rPr>
        <w:t xml:space="preserve"> </w:t>
      </w:r>
      <w:r>
        <w:rPr>
          <w:w w:val="95"/>
          <w:sz w:val="20"/>
        </w:rPr>
        <w:t>Port</w:t>
      </w:r>
      <w:r>
        <w:rPr>
          <w:spacing w:val="-11"/>
          <w:w w:val="95"/>
          <w:sz w:val="20"/>
        </w:rPr>
        <w:t xml:space="preserve"> </w:t>
      </w:r>
      <w:r>
        <w:rPr>
          <w:spacing w:val="-2"/>
          <w:w w:val="95"/>
          <w:sz w:val="20"/>
        </w:rPr>
        <w:t>Botany</w:t>
      </w:r>
    </w:p>
    <w:p w:rsidR="002C1123" w:rsidRDefault="00F22F94">
      <w:pPr>
        <w:pStyle w:val="ListParagraph"/>
        <w:numPr>
          <w:ilvl w:val="0"/>
          <w:numId w:val="75"/>
        </w:numPr>
        <w:tabs>
          <w:tab w:val="left" w:pos="776"/>
        </w:tabs>
        <w:spacing w:before="139" w:line="249" w:lineRule="auto"/>
        <w:ind w:right="583"/>
        <w:rPr>
          <w:sz w:val="20"/>
        </w:rPr>
      </w:pPr>
      <w:r>
        <w:rPr>
          <w:sz w:val="20"/>
        </w:rPr>
        <w:t>dedicated</w:t>
      </w:r>
      <w:r>
        <w:rPr>
          <w:spacing w:val="-14"/>
          <w:sz w:val="20"/>
        </w:rPr>
        <w:t xml:space="preserve"> </w:t>
      </w:r>
      <w:r>
        <w:rPr>
          <w:sz w:val="20"/>
        </w:rPr>
        <w:t>freight</w:t>
      </w:r>
      <w:r>
        <w:rPr>
          <w:spacing w:val="-14"/>
          <w:sz w:val="20"/>
        </w:rPr>
        <w:t xml:space="preserve"> </w:t>
      </w:r>
      <w:r>
        <w:rPr>
          <w:sz w:val="20"/>
        </w:rPr>
        <w:t>rail</w:t>
      </w:r>
      <w:r>
        <w:rPr>
          <w:spacing w:val="-14"/>
          <w:sz w:val="20"/>
        </w:rPr>
        <w:t xml:space="preserve"> </w:t>
      </w:r>
      <w:r>
        <w:rPr>
          <w:sz w:val="20"/>
        </w:rPr>
        <w:t>lines</w:t>
      </w:r>
      <w:r>
        <w:rPr>
          <w:spacing w:val="-14"/>
          <w:sz w:val="20"/>
        </w:rPr>
        <w:t xml:space="preserve"> </w:t>
      </w:r>
      <w:r>
        <w:rPr>
          <w:sz w:val="20"/>
        </w:rPr>
        <w:t>in</w:t>
      </w:r>
      <w:r>
        <w:rPr>
          <w:spacing w:val="-14"/>
          <w:sz w:val="20"/>
        </w:rPr>
        <w:t xml:space="preserve"> </w:t>
      </w:r>
      <w:r>
        <w:rPr>
          <w:sz w:val="20"/>
        </w:rPr>
        <w:t>the</w:t>
      </w:r>
      <w:r>
        <w:rPr>
          <w:spacing w:val="-14"/>
          <w:sz w:val="20"/>
        </w:rPr>
        <w:t xml:space="preserve"> </w:t>
      </w:r>
      <w:r>
        <w:rPr>
          <w:sz w:val="20"/>
        </w:rPr>
        <w:t xml:space="preserve">metropolitan </w:t>
      </w:r>
      <w:r>
        <w:rPr>
          <w:w w:val="95"/>
          <w:sz w:val="20"/>
        </w:rPr>
        <w:t>area</w:t>
      </w:r>
      <w:r>
        <w:rPr>
          <w:spacing w:val="-3"/>
          <w:w w:val="95"/>
          <w:sz w:val="20"/>
        </w:rPr>
        <w:t xml:space="preserve"> </w:t>
      </w:r>
      <w:r>
        <w:rPr>
          <w:w w:val="95"/>
          <w:sz w:val="20"/>
        </w:rPr>
        <w:t>through</w:t>
      </w:r>
      <w:r>
        <w:rPr>
          <w:spacing w:val="-3"/>
          <w:w w:val="95"/>
          <w:sz w:val="20"/>
        </w:rPr>
        <w:t xml:space="preserve"> </w:t>
      </w:r>
      <w:r>
        <w:rPr>
          <w:w w:val="95"/>
          <w:sz w:val="20"/>
        </w:rPr>
        <w:t>the</w:t>
      </w:r>
      <w:r>
        <w:rPr>
          <w:spacing w:val="-3"/>
          <w:w w:val="95"/>
          <w:sz w:val="20"/>
        </w:rPr>
        <w:t xml:space="preserve"> </w:t>
      </w:r>
      <w:r>
        <w:rPr>
          <w:w w:val="95"/>
          <w:sz w:val="20"/>
        </w:rPr>
        <w:t>Metropolitan</w:t>
      </w:r>
      <w:r>
        <w:rPr>
          <w:spacing w:val="-3"/>
          <w:w w:val="95"/>
          <w:sz w:val="20"/>
        </w:rPr>
        <w:t xml:space="preserve"> </w:t>
      </w:r>
      <w:r>
        <w:rPr>
          <w:w w:val="95"/>
          <w:sz w:val="20"/>
        </w:rPr>
        <w:t>Freight</w:t>
      </w:r>
      <w:r>
        <w:rPr>
          <w:spacing w:val="-3"/>
          <w:w w:val="95"/>
          <w:sz w:val="20"/>
        </w:rPr>
        <w:t xml:space="preserve"> </w:t>
      </w:r>
      <w:r>
        <w:rPr>
          <w:w w:val="95"/>
          <w:sz w:val="20"/>
        </w:rPr>
        <w:t>Network</w:t>
      </w:r>
    </w:p>
    <w:p w:rsidR="002C1123" w:rsidRDefault="00F22F94">
      <w:pPr>
        <w:pStyle w:val="ListParagraph"/>
        <w:numPr>
          <w:ilvl w:val="0"/>
          <w:numId w:val="75"/>
        </w:numPr>
        <w:tabs>
          <w:tab w:val="left" w:pos="776"/>
        </w:tabs>
        <w:spacing w:before="130"/>
        <w:rPr>
          <w:sz w:val="20"/>
        </w:rPr>
      </w:pPr>
      <w:r>
        <w:rPr>
          <w:w w:val="95"/>
          <w:sz w:val="20"/>
        </w:rPr>
        <w:t>rail</w:t>
      </w:r>
      <w:r>
        <w:rPr>
          <w:spacing w:val="-10"/>
          <w:w w:val="95"/>
          <w:sz w:val="20"/>
        </w:rPr>
        <w:t xml:space="preserve"> </w:t>
      </w:r>
      <w:r>
        <w:rPr>
          <w:w w:val="95"/>
          <w:sz w:val="20"/>
        </w:rPr>
        <w:t>lines</w:t>
      </w:r>
      <w:r>
        <w:rPr>
          <w:spacing w:val="-9"/>
          <w:w w:val="95"/>
          <w:sz w:val="20"/>
        </w:rPr>
        <w:t xml:space="preserve"> </w:t>
      </w:r>
      <w:r>
        <w:rPr>
          <w:w w:val="95"/>
          <w:sz w:val="20"/>
        </w:rPr>
        <w:t>shared</w:t>
      </w:r>
      <w:r>
        <w:rPr>
          <w:spacing w:val="-10"/>
          <w:w w:val="95"/>
          <w:sz w:val="20"/>
        </w:rPr>
        <w:t xml:space="preserve"> </w:t>
      </w:r>
      <w:r>
        <w:rPr>
          <w:w w:val="95"/>
          <w:sz w:val="20"/>
        </w:rPr>
        <w:t>with</w:t>
      </w:r>
      <w:r>
        <w:rPr>
          <w:spacing w:val="-9"/>
          <w:w w:val="95"/>
          <w:sz w:val="20"/>
        </w:rPr>
        <w:t xml:space="preserve"> </w:t>
      </w:r>
      <w:r>
        <w:rPr>
          <w:w w:val="95"/>
          <w:sz w:val="20"/>
        </w:rPr>
        <w:t>passenger</w:t>
      </w:r>
      <w:r>
        <w:rPr>
          <w:spacing w:val="-10"/>
          <w:w w:val="95"/>
          <w:sz w:val="20"/>
        </w:rPr>
        <w:t xml:space="preserve"> </w:t>
      </w:r>
      <w:r>
        <w:rPr>
          <w:spacing w:val="-2"/>
          <w:w w:val="95"/>
          <w:sz w:val="20"/>
        </w:rPr>
        <w:t>trains</w:t>
      </w:r>
    </w:p>
    <w:p w:rsidR="002C1123" w:rsidRDefault="00F22F94">
      <w:pPr>
        <w:pStyle w:val="ListParagraph"/>
        <w:numPr>
          <w:ilvl w:val="0"/>
          <w:numId w:val="75"/>
        </w:numPr>
        <w:tabs>
          <w:tab w:val="left" w:pos="776"/>
        </w:tabs>
        <w:spacing w:before="140" w:line="249" w:lineRule="auto"/>
        <w:ind w:right="1333"/>
        <w:rPr>
          <w:sz w:val="20"/>
        </w:rPr>
      </w:pPr>
      <w:r>
        <w:rPr>
          <w:w w:val="95"/>
          <w:sz w:val="20"/>
        </w:rPr>
        <w:t>intermodal</w:t>
      </w:r>
      <w:r>
        <w:rPr>
          <w:spacing w:val="-4"/>
          <w:w w:val="95"/>
          <w:sz w:val="20"/>
        </w:rPr>
        <w:t xml:space="preserve"> </w:t>
      </w:r>
      <w:r>
        <w:rPr>
          <w:w w:val="95"/>
          <w:sz w:val="20"/>
        </w:rPr>
        <w:t>terminals</w:t>
      </w:r>
      <w:r>
        <w:rPr>
          <w:spacing w:val="-4"/>
          <w:w w:val="95"/>
          <w:sz w:val="20"/>
        </w:rPr>
        <w:t xml:space="preserve"> </w:t>
      </w:r>
      <w:r>
        <w:rPr>
          <w:w w:val="95"/>
          <w:sz w:val="20"/>
        </w:rPr>
        <w:t>and</w:t>
      </w:r>
      <w:r>
        <w:rPr>
          <w:spacing w:val="-4"/>
          <w:w w:val="95"/>
          <w:sz w:val="20"/>
        </w:rPr>
        <w:t xml:space="preserve"> </w:t>
      </w:r>
      <w:r>
        <w:rPr>
          <w:w w:val="95"/>
          <w:sz w:val="20"/>
        </w:rPr>
        <w:t xml:space="preserve">surrounding </w:t>
      </w:r>
      <w:r>
        <w:rPr>
          <w:sz w:val="20"/>
        </w:rPr>
        <w:t>warehousing</w:t>
      </w:r>
      <w:r>
        <w:rPr>
          <w:spacing w:val="-11"/>
          <w:sz w:val="20"/>
        </w:rPr>
        <w:t xml:space="preserve"> </w:t>
      </w:r>
      <w:r>
        <w:rPr>
          <w:sz w:val="20"/>
        </w:rPr>
        <w:t>infrastructure.</w:t>
      </w:r>
    </w:p>
    <w:p w:rsidR="002C1123" w:rsidRDefault="00F22F94">
      <w:pPr>
        <w:pStyle w:val="Heading6"/>
        <w:numPr>
          <w:ilvl w:val="2"/>
          <w:numId w:val="80"/>
        </w:numPr>
        <w:tabs>
          <w:tab w:val="left" w:pos="979"/>
        </w:tabs>
        <w:spacing w:before="143"/>
        <w:ind w:left="978" w:hanging="487"/>
        <w:jc w:val="left"/>
        <w:rPr>
          <w:color w:val="00AEEF"/>
        </w:rPr>
      </w:pPr>
      <w:r>
        <w:rPr>
          <w:color w:val="00AEEF"/>
          <w:spacing w:val="-2"/>
        </w:rPr>
        <w:t>The</w:t>
      </w:r>
      <w:r>
        <w:rPr>
          <w:color w:val="00AEEF"/>
          <w:spacing w:val="-11"/>
        </w:rPr>
        <w:t xml:space="preserve"> </w:t>
      </w:r>
      <w:r>
        <w:rPr>
          <w:color w:val="00AEEF"/>
          <w:spacing w:val="-2"/>
        </w:rPr>
        <w:t>vision</w:t>
      </w:r>
      <w:r>
        <w:rPr>
          <w:color w:val="00AEEF"/>
          <w:spacing w:val="-11"/>
        </w:rPr>
        <w:t xml:space="preserve"> </w:t>
      </w:r>
      <w:r>
        <w:rPr>
          <w:color w:val="00AEEF"/>
          <w:spacing w:val="-2"/>
        </w:rPr>
        <w:t>for</w:t>
      </w:r>
      <w:r>
        <w:rPr>
          <w:color w:val="00AEEF"/>
          <w:spacing w:val="-11"/>
        </w:rPr>
        <w:t xml:space="preserve"> </w:t>
      </w:r>
      <w:r>
        <w:rPr>
          <w:color w:val="00AEEF"/>
          <w:spacing w:val="-2"/>
        </w:rPr>
        <w:t>Intermodal</w:t>
      </w:r>
      <w:r>
        <w:rPr>
          <w:color w:val="00AEEF"/>
          <w:spacing w:val="-10"/>
        </w:rPr>
        <w:t xml:space="preserve"> </w:t>
      </w:r>
      <w:r>
        <w:rPr>
          <w:color w:val="00AEEF"/>
          <w:spacing w:val="-2"/>
        </w:rPr>
        <w:t>Terminals</w:t>
      </w:r>
    </w:p>
    <w:p w:rsidR="002C1123" w:rsidRDefault="00F22F94">
      <w:pPr>
        <w:pStyle w:val="BodyText"/>
        <w:spacing w:before="106" w:line="249" w:lineRule="auto"/>
        <w:ind w:left="206" w:right="12"/>
      </w:pPr>
      <w:r>
        <w:br w:type="column"/>
      </w:r>
      <w:r>
        <w:rPr>
          <w:w w:val="95"/>
        </w:rPr>
        <w:t>The private sector and the Commonwealth Government have separate schemes for a major intermodal terminal at</w:t>
      </w:r>
      <w:r>
        <w:rPr>
          <w:spacing w:val="-6"/>
          <w:w w:val="95"/>
        </w:rPr>
        <w:t xml:space="preserve"> </w:t>
      </w:r>
      <w:r>
        <w:rPr>
          <w:w w:val="95"/>
        </w:rPr>
        <w:t>Moorebank</w:t>
      </w:r>
      <w:r>
        <w:rPr>
          <w:spacing w:val="-6"/>
          <w:w w:val="95"/>
        </w:rPr>
        <w:t xml:space="preserve"> </w:t>
      </w:r>
      <w:r>
        <w:rPr>
          <w:w w:val="95"/>
        </w:rPr>
        <w:t>in</w:t>
      </w:r>
      <w:r>
        <w:rPr>
          <w:spacing w:val="-6"/>
          <w:w w:val="95"/>
        </w:rPr>
        <w:t xml:space="preserve"> </w:t>
      </w:r>
      <w:r>
        <w:rPr>
          <w:w w:val="95"/>
        </w:rPr>
        <w:t>Sydney’s</w:t>
      </w:r>
      <w:r>
        <w:rPr>
          <w:spacing w:val="-6"/>
          <w:w w:val="95"/>
        </w:rPr>
        <w:t xml:space="preserve"> </w:t>
      </w:r>
      <w:r>
        <w:rPr>
          <w:w w:val="95"/>
        </w:rPr>
        <w:t>South-West.</w:t>
      </w:r>
      <w:r>
        <w:rPr>
          <w:spacing w:val="-6"/>
          <w:w w:val="95"/>
        </w:rPr>
        <w:t xml:space="preserve"> </w:t>
      </w:r>
      <w:r>
        <w:rPr>
          <w:w w:val="95"/>
        </w:rPr>
        <w:t>Over</w:t>
      </w:r>
      <w:r>
        <w:rPr>
          <w:spacing w:val="-6"/>
          <w:w w:val="95"/>
        </w:rPr>
        <w:t xml:space="preserve"> </w:t>
      </w:r>
      <w:r>
        <w:rPr>
          <w:w w:val="95"/>
        </w:rPr>
        <w:t>the</w:t>
      </w:r>
      <w:r>
        <w:rPr>
          <w:spacing w:val="38"/>
        </w:rPr>
        <w:t xml:space="preserve"> </w:t>
      </w:r>
      <w:r>
        <w:rPr>
          <w:w w:val="95"/>
        </w:rPr>
        <w:t xml:space="preserve">longer- </w:t>
      </w:r>
      <w:r>
        <w:t>term,</w:t>
      </w:r>
      <w:r>
        <w:rPr>
          <w:spacing w:val="-14"/>
        </w:rPr>
        <w:t xml:space="preserve"> </w:t>
      </w:r>
      <w:r>
        <w:t>Eastern</w:t>
      </w:r>
      <w:r>
        <w:rPr>
          <w:spacing w:val="-14"/>
        </w:rPr>
        <w:t xml:space="preserve"> </w:t>
      </w:r>
      <w:r>
        <w:t>Creek</w:t>
      </w:r>
      <w:r>
        <w:rPr>
          <w:spacing w:val="-14"/>
        </w:rPr>
        <w:t xml:space="preserve"> </w:t>
      </w:r>
      <w:r>
        <w:t>(at</w:t>
      </w:r>
      <w:r>
        <w:rPr>
          <w:spacing w:val="-14"/>
        </w:rPr>
        <w:t xml:space="preserve"> </w:t>
      </w:r>
      <w:r>
        <w:t>the</w:t>
      </w:r>
      <w:r>
        <w:rPr>
          <w:spacing w:val="-14"/>
        </w:rPr>
        <w:t xml:space="preserve"> </w:t>
      </w:r>
      <w:r>
        <w:t>junction</w:t>
      </w:r>
      <w:r>
        <w:rPr>
          <w:spacing w:val="-14"/>
        </w:rPr>
        <w:t xml:space="preserve"> </w:t>
      </w:r>
      <w:r>
        <w:t>of</w:t>
      </w:r>
      <w:r>
        <w:rPr>
          <w:spacing w:val="-14"/>
        </w:rPr>
        <w:t xml:space="preserve"> </w:t>
      </w:r>
      <w:r>
        <w:t>the</w:t>
      </w:r>
      <w:r>
        <w:rPr>
          <w:spacing w:val="-14"/>
        </w:rPr>
        <w:t xml:space="preserve"> </w:t>
      </w:r>
      <w:r>
        <w:t>M4</w:t>
      </w:r>
      <w:r>
        <w:rPr>
          <w:spacing w:val="-14"/>
        </w:rPr>
        <w:t xml:space="preserve"> </w:t>
      </w:r>
      <w:r>
        <w:t>and</w:t>
      </w:r>
      <w:r>
        <w:rPr>
          <w:spacing w:val="-13"/>
        </w:rPr>
        <w:t xml:space="preserve"> </w:t>
      </w:r>
      <w:r>
        <w:t>M7 motorways)</w:t>
      </w:r>
      <w:r>
        <w:rPr>
          <w:spacing w:val="-14"/>
        </w:rPr>
        <w:t xml:space="preserve"> </w:t>
      </w:r>
      <w:r>
        <w:t>has</w:t>
      </w:r>
      <w:r>
        <w:rPr>
          <w:spacing w:val="-14"/>
        </w:rPr>
        <w:t xml:space="preserve"> </w:t>
      </w:r>
      <w:r>
        <w:t>been</w:t>
      </w:r>
      <w:r>
        <w:rPr>
          <w:spacing w:val="-14"/>
        </w:rPr>
        <w:t xml:space="preserve"> </w:t>
      </w:r>
      <w:r>
        <w:t>identified</w:t>
      </w:r>
      <w:r>
        <w:rPr>
          <w:spacing w:val="-14"/>
        </w:rPr>
        <w:t xml:space="preserve"> </w:t>
      </w:r>
      <w:r>
        <w:t>as</w:t>
      </w:r>
      <w:r>
        <w:rPr>
          <w:spacing w:val="-14"/>
        </w:rPr>
        <w:t xml:space="preserve"> </w:t>
      </w:r>
      <w:r>
        <w:t>another</w:t>
      </w:r>
      <w:r>
        <w:rPr>
          <w:spacing w:val="-14"/>
        </w:rPr>
        <w:t xml:space="preserve"> </w:t>
      </w:r>
      <w:r>
        <w:t xml:space="preserve">potential </w:t>
      </w:r>
      <w:r>
        <w:rPr>
          <w:w w:val="95"/>
        </w:rPr>
        <w:t>intermodal</w:t>
      </w:r>
      <w:r>
        <w:rPr>
          <w:spacing w:val="-1"/>
          <w:w w:val="95"/>
        </w:rPr>
        <w:t xml:space="preserve"> </w:t>
      </w:r>
      <w:r>
        <w:rPr>
          <w:w w:val="95"/>
        </w:rPr>
        <w:t>site</w:t>
      </w:r>
      <w:r>
        <w:rPr>
          <w:w w:val="95"/>
          <w:position w:val="7"/>
          <w:sz w:val="11"/>
        </w:rPr>
        <w:t>21</w:t>
      </w:r>
      <w:r>
        <w:rPr>
          <w:w w:val="95"/>
        </w:rPr>
        <w:t>.</w:t>
      </w:r>
      <w:r>
        <w:rPr>
          <w:spacing w:val="-1"/>
          <w:w w:val="95"/>
        </w:rPr>
        <w:t xml:space="preserve"> </w:t>
      </w:r>
      <w:r>
        <w:rPr>
          <w:w w:val="95"/>
        </w:rPr>
        <w:t>Figure</w:t>
      </w:r>
      <w:r>
        <w:rPr>
          <w:spacing w:val="-1"/>
          <w:w w:val="95"/>
        </w:rPr>
        <w:t xml:space="preserve"> </w:t>
      </w:r>
      <w:r>
        <w:rPr>
          <w:w w:val="95"/>
        </w:rPr>
        <w:t>9.2</w:t>
      </w:r>
      <w:r>
        <w:rPr>
          <w:spacing w:val="-1"/>
          <w:w w:val="95"/>
        </w:rPr>
        <w:t xml:space="preserve"> </w:t>
      </w:r>
      <w:r>
        <w:rPr>
          <w:w w:val="95"/>
        </w:rPr>
        <w:t>summarises</w:t>
      </w:r>
      <w:r>
        <w:rPr>
          <w:spacing w:val="-1"/>
          <w:w w:val="95"/>
        </w:rPr>
        <w:t xml:space="preserve"> </w:t>
      </w:r>
      <w:r>
        <w:rPr>
          <w:w w:val="95"/>
        </w:rPr>
        <w:t>the</w:t>
      </w:r>
      <w:r>
        <w:rPr>
          <w:spacing w:val="-1"/>
          <w:w w:val="95"/>
        </w:rPr>
        <w:t xml:space="preserve"> </w:t>
      </w:r>
      <w:r>
        <w:rPr>
          <w:w w:val="95"/>
        </w:rPr>
        <w:t>current</w:t>
      </w:r>
      <w:r>
        <w:rPr>
          <w:spacing w:val="-1"/>
          <w:w w:val="95"/>
        </w:rPr>
        <w:t xml:space="preserve"> </w:t>
      </w:r>
      <w:r>
        <w:rPr>
          <w:w w:val="95"/>
        </w:rPr>
        <w:t xml:space="preserve">and </w:t>
      </w:r>
      <w:r>
        <w:t>potential</w:t>
      </w:r>
      <w:r>
        <w:rPr>
          <w:spacing w:val="-14"/>
        </w:rPr>
        <w:t xml:space="preserve"> </w:t>
      </w:r>
      <w:r>
        <w:t>intermodal</w:t>
      </w:r>
      <w:r>
        <w:rPr>
          <w:spacing w:val="-14"/>
        </w:rPr>
        <w:t xml:space="preserve"> </w:t>
      </w:r>
      <w:r>
        <w:t>terminal</w:t>
      </w:r>
      <w:r>
        <w:rPr>
          <w:spacing w:val="-14"/>
        </w:rPr>
        <w:t xml:space="preserve"> </w:t>
      </w:r>
      <w:r>
        <w:t>locations</w:t>
      </w:r>
      <w:r>
        <w:rPr>
          <w:spacing w:val="-14"/>
        </w:rPr>
        <w:t xml:space="preserve"> </w:t>
      </w:r>
      <w:r>
        <w:t>in</w:t>
      </w:r>
      <w:r>
        <w:rPr>
          <w:spacing w:val="-14"/>
        </w:rPr>
        <w:t xml:space="preserve"> </w:t>
      </w:r>
      <w:r>
        <w:t>Sydney.</w:t>
      </w:r>
    </w:p>
    <w:p w:rsidR="002C1123" w:rsidRDefault="00F22F94">
      <w:pPr>
        <w:pStyle w:val="Heading6"/>
        <w:numPr>
          <w:ilvl w:val="2"/>
          <w:numId w:val="80"/>
        </w:numPr>
        <w:tabs>
          <w:tab w:val="left" w:pos="692"/>
        </w:tabs>
        <w:spacing w:before="147"/>
        <w:ind w:left="692" w:hanging="486"/>
        <w:jc w:val="left"/>
        <w:rPr>
          <w:color w:val="00AEEF"/>
        </w:rPr>
      </w:pPr>
      <w:r>
        <w:rPr>
          <w:color w:val="00AEEF"/>
          <w:spacing w:val="-2"/>
        </w:rPr>
        <w:t>Immediate</w:t>
      </w:r>
      <w:r>
        <w:rPr>
          <w:color w:val="00AEEF"/>
          <w:spacing w:val="-11"/>
        </w:rPr>
        <w:t xml:space="preserve"> </w:t>
      </w:r>
      <w:r>
        <w:rPr>
          <w:color w:val="00AEEF"/>
          <w:spacing w:val="-2"/>
        </w:rPr>
        <w:t>rail</w:t>
      </w:r>
      <w:r>
        <w:rPr>
          <w:color w:val="00AEEF"/>
          <w:spacing w:val="-10"/>
        </w:rPr>
        <w:t xml:space="preserve"> </w:t>
      </w:r>
      <w:r>
        <w:rPr>
          <w:color w:val="00AEEF"/>
          <w:spacing w:val="-2"/>
        </w:rPr>
        <w:t>infrastructure</w:t>
      </w:r>
      <w:r>
        <w:rPr>
          <w:color w:val="00AEEF"/>
          <w:spacing w:val="-10"/>
        </w:rPr>
        <w:t xml:space="preserve"> </w:t>
      </w:r>
      <w:r>
        <w:rPr>
          <w:color w:val="00AEEF"/>
          <w:spacing w:val="-2"/>
        </w:rPr>
        <w:t>options</w:t>
      </w:r>
    </w:p>
    <w:p w:rsidR="002C1123" w:rsidRDefault="00F22F94">
      <w:pPr>
        <w:pStyle w:val="BodyText"/>
        <w:spacing w:before="95" w:line="249" w:lineRule="auto"/>
        <w:ind w:left="205"/>
      </w:pPr>
      <w:r>
        <w:rPr>
          <w:w w:val="90"/>
        </w:rPr>
        <w:t xml:space="preserve">Infrastructure NSW is supportive of the intermodal concept. </w:t>
      </w:r>
      <w:r>
        <w:rPr>
          <w:w w:val="95"/>
        </w:rPr>
        <w:t>However,</w:t>
      </w:r>
      <w:r>
        <w:rPr>
          <w:spacing w:val="-13"/>
          <w:w w:val="95"/>
        </w:rPr>
        <w:t xml:space="preserve"> </w:t>
      </w:r>
      <w:r>
        <w:rPr>
          <w:w w:val="95"/>
        </w:rPr>
        <w:t>despite</w:t>
      </w:r>
      <w:r>
        <w:rPr>
          <w:spacing w:val="-12"/>
          <w:w w:val="95"/>
        </w:rPr>
        <w:t xml:space="preserve"> </w:t>
      </w:r>
      <w:r>
        <w:rPr>
          <w:w w:val="95"/>
        </w:rPr>
        <w:t>rail’s</w:t>
      </w:r>
      <w:r>
        <w:rPr>
          <w:spacing w:val="-12"/>
          <w:w w:val="95"/>
        </w:rPr>
        <w:t xml:space="preserve"> </w:t>
      </w:r>
      <w:r>
        <w:rPr>
          <w:w w:val="95"/>
        </w:rPr>
        <w:t>theoretical</w:t>
      </w:r>
      <w:r>
        <w:rPr>
          <w:spacing w:val="-12"/>
          <w:w w:val="95"/>
        </w:rPr>
        <w:t xml:space="preserve"> </w:t>
      </w:r>
      <w:r>
        <w:rPr>
          <w:w w:val="95"/>
        </w:rPr>
        <w:t>cost</w:t>
      </w:r>
      <w:r>
        <w:rPr>
          <w:spacing w:val="-13"/>
          <w:w w:val="95"/>
        </w:rPr>
        <w:t xml:space="preserve"> </w:t>
      </w:r>
      <w:r>
        <w:rPr>
          <w:w w:val="95"/>
        </w:rPr>
        <w:t>advantages discussed</w:t>
      </w:r>
      <w:r>
        <w:rPr>
          <w:spacing w:val="-7"/>
          <w:w w:val="95"/>
        </w:rPr>
        <w:t xml:space="preserve"> </w:t>
      </w:r>
      <w:r>
        <w:rPr>
          <w:w w:val="95"/>
        </w:rPr>
        <w:t>in</w:t>
      </w:r>
      <w:r>
        <w:rPr>
          <w:spacing w:val="-7"/>
          <w:w w:val="95"/>
        </w:rPr>
        <w:t xml:space="preserve"> </w:t>
      </w:r>
      <w:r>
        <w:rPr>
          <w:w w:val="95"/>
        </w:rPr>
        <w:t>section</w:t>
      </w:r>
      <w:r>
        <w:rPr>
          <w:spacing w:val="-7"/>
          <w:w w:val="95"/>
        </w:rPr>
        <w:t xml:space="preserve"> </w:t>
      </w:r>
      <w:r>
        <w:rPr>
          <w:w w:val="95"/>
        </w:rPr>
        <w:t>9.2,</w:t>
      </w:r>
      <w:r>
        <w:rPr>
          <w:spacing w:val="-7"/>
          <w:w w:val="95"/>
        </w:rPr>
        <w:t xml:space="preserve"> </w:t>
      </w:r>
      <w:r>
        <w:rPr>
          <w:w w:val="95"/>
        </w:rPr>
        <w:t>for</w:t>
      </w:r>
      <w:r>
        <w:rPr>
          <w:spacing w:val="-7"/>
          <w:w w:val="95"/>
        </w:rPr>
        <w:t xml:space="preserve"> </w:t>
      </w:r>
      <w:r>
        <w:rPr>
          <w:w w:val="95"/>
        </w:rPr>
        <w:t>some</w:t>
      </w:r>
      <w:r>
        <w:rPr>
          <w:spacing w:val="-7"/>
          <w:w w:val="95"/>
        </w:rPr>
        <w:t xml:space="preserve"> </w:t>
      </w:r>
      <w:r>
        <w:rPr>
          <w:w w:val="95"/>
        </w:rPr>
        <w:t>types</w:t>
      </w:r>
      <w:r>
        <w:rPr>
          <w:spacing w:val="-7"/>
          <w:w w:val="95"/>
        </w:rPr>
        <w:t xml:space="preserve"> </w:t>
      </w:r>
      <w:r>
        <w:rPr>
          <w:w w:val="95"/>
        </w:rPr>
        <w:t>of</w:t>
      </w:r>
      <w:r>
        <w:rPr>
          <w:spacing w:val="-7"/>
          <w:w w:val="95"/>
        </w:rPr>
        <w:t xml:space="preserve"> </w:t>
      </w:r>
      <w:r>
        <w:rPr>
          <w:w w:val="95"/>
        </w:rPr>
        <w:t xml:space="preserve">short-haul </w:t>
      </w:r>
      <w:r>
        <w:rPr>
          <w:spacing w:val="-2"/>
          <w:w w:val="95"/>
        </w:rPr>
        <w:t>freight,</w:t>
      </w:r>
      <w:r>
        <w:rPr>
          <w:spacing w:val="-8"/>
          <w:w w:val="95"/>
        </w:rPr>
        <w:t xml:space="preserve"> </w:t>
      </w:r>
      <w:r>
        <w:rPr>
          <w:spacing w:val="-2"/>
          <w:w w:val="95"/>
        </w:rPr>
        <w:t>this</w:t>
      </w:r>
      <w:r>
        <w:rPr>
          <w:spacing w:val="-8"/>
          <w:w w:val="95"/>
        </w:rPr>
        <w:t xml:space="preserve"> </w:t>
      </w:r>
      <w:r>
        <w:rPr>
          <w:spacing w:val="-2"/>
          <w:w w:val="95"/>
        </w:rPr>
        <w:t>market</w:t>
      </w:r>
      <w:r>
        <w:rPr>
          <w:spacing w:val="-8"/>
          <w:w w:val="95"/>
        </w:rPr>
        <w:t xml:space="preserve"> </w:t>
      </w:r>
      <w:r>
        <w:rPr>
          <w:spacing w:val="-2"/>
          <w:w w:val="95"/>
        </w:rPr>
        <w:t>is</w:t>
      </w:r>
      <w:r>
        <w:rPr>
          <w:spacing w:val="-8"/>
          <w:w w:val="95"/>
        </w:rPr>
        <w:t xml:space="preserve"> </w:t>
      </w:r>
      <w:r>
        <w:rPr>
          <w:spacing w:val="-2"/>
          <w:w w:val="95"/>
        </w:rPr>
        <w:t>essentially</w:t>
      </w:r>
      <w:r>
        <w:rPr>
          <w:spacing w:val="-8"/>
          <w:w w:val="95"/>
        </w:rPr>
        <w:t xml:space="preserve"> </w:t>
      </w:r>
      <w:r>
        <w:rPr>
          <w:spacing w:val="-2"/>
          <w:w w:val="95"/>
        </w:rPr>
        <w:t>unproven</w:t>
      </w:r>
      <w:r>
        <w:rPr>
          <w:spacing w:val="-8"/>
          <w:w w:val="95"/>
        </w:rPr>
        <w:t xml:space="preserve"> </w:t>
      </w:r>
      <w:r>
        <w:rPr>
          <w:spacing w:val="-2"/>
          <w:w w:val="95"/>
        </w:rPr>
        <w:t>in</w:t>
      </w:r>
      <w:r>
        <w:rPr>
          <w:spacing w:val="-8"/>
          <w:w w:val="95"/>
        </w:rPr>
        <w:t xml:space="preserve"> </w:t>
      </w:r>
      <w:r>
        <w:rPr>
          <w:spacing w:val="-2"/>
          <w:w w:val="95"/>
        </w:rPr>
        <w:t>Sydney.</w:t>
      </w:r>
      <w:r>
        <w:rPr>
          <w:spacing w:val="-8"/>
          <w:w w:val="95"/>
        </w:rPr>
        <w:t xml:space="preserve"> </w:t>
      </w:r>
      <w:r>
        <w:rPr>
          <w:spacing w:val="-2"/>
          <w:w w:val="95"/>
        </w:rPr>
        <w:t xml:space="preserve">At </w:t>
      </w:r>
      <w:r>
        <w:rPr>
          <w:w w:val="95"/>
        </w:rPr>
        <w:t>present,</w:t>
      </w:r>
      <w:r>
        <w:rPr>
          <w:spacing w:val="-12"/>
          <w:w w:val="95"/>
        </w:rPr>
        <w:t xml:space="preserve"> </w:t>
      </w:r>
      <w:r>
        <w:rPr>
          <w:w w:val="95"/>
        </w:rPr>
        <w:t>most</w:t>
      </w:r>
      <w:r>
        <w:rPr>
          <w:spacing w:val="-12"/>
          <w:w w:val="95"/>
        </w:rPr>
        <w:t xml:space="preserve"> </w:t>
      </w:r>
      <w:r>
        <w:rPr>
          <w:w w:val="95"/>
        </w:rPr>
        <w:t>intermodal</w:t>
      </w:r>
      <w:r>
        <w:rPr>
          <w:spacing w:val="-12"/>
          <w:w w:val="95"/>
        </w:rPr>
        <w:t xml:space="preserve"> </w:t>
      </w:r>
      <w:r>
        <w:rPr>
          <w:w w:val="95"/>
        </w:rPr>
        <w:t>demand</w:t>
      </w:r>
      <w:r>
        <w:rPr>
          <w:spacing w:val="-12"/>
          <w:w w:val="95"/>
        </w:rPr>
        <w:t xml:space="preserve"> </w:t>
      </w:r>
      <w:r>
        <w:rPr>
          <w:w w:val="95"/>
        </w:rPr>
        <w:t>in</w:t>
      </w:r>
      <w:r>
        <w:rPr>
          <w:spacing w:val="-12"/>
          <w:w w:val="95"/>
        </w:rPr>
        <w:t xml:space="preserve"> </w:t>
      </w:r>
      <w:r>
        <w:rPr>
          <w:w w:val="95"/>
        </w:rPr>
        <w:t>Sydney</w:t>
      </w:r>
      <w:r>
        <w:rPr>
          <w:spacing w:val="-12"/>
          <w:w w:val="95"/>
        </w:rPr>
        <w:t xml:space="preserve"> </w:t>
      </w:r>
      <w:r>
        <w:rPr>
          <w:w w:val="95"/>
        </w:rPr>
        <w:t>is</w:t>
      </w:r>
      <w:r>
        <w:rPr>
          <w:spacing w:val="-12"/>
          <w:w w:val="95"/>
        </w:rPr>
        <w:t xml:space="preserve"> </w:t>
      </w:r>
      <w:r>
        <w:rPr>
          <w:w w:val="95"/>
        </w:rPr>
        <w:t>for</w:t>
      </w:r>
      <w:r>
        <w:rPr>
          <w:spacing w:val="-12"/>
          <w:w w:val="95"/>
        </w:rPr>
        <w:t xml:space="preserve"> </w:t>
      </w:r>
      <w:r>
        <w:rPr>
          <w:w w:val="95"/>
        </w:rPr>
        <w:t xml:space="preserve">longer- </w:t>
      </w:r>
      <w:r>
        <w:rPr>
          <w:w w:val="90"/>
        </w:rPr>
        <w:t>haul</w:t>
      </w:r>
      <w:r>
        <w:rPr>
          <w:spacing w:val="-6"/>
          <w:w w:val="90"/>
        </w:rPr>
        <w:t xml:space="preserve"> </w:t>
      </w:r>
      <w:r>
        <w:rPr>
          <w:w w:val="90"/>
        </w:rPr>
        <w:t>export</w:t>
      </w:r>
      <w:r>
        <w:rPr>
          <w:spacing w:val="-6"/>
          <w:w w:val="90"/>
        </w:rPr>
        <w:t xml:space="preserve"> </w:t>
      </w:r>
      <w:r>
        <w:rPr>
          <w:w w:val="90"/>
        </w:rPr>
        <w:t>freight,</w:t>
      </w:r>
      <w:r>
        <w:rPr>
          <w:spacing w:val="-6"/>
          <w:w w:val="90"/>
        </w:rPr>
        <w:t xml:space="preserve"> </w:t>
      </w:r>
      <w:r>
        <w:rPr>
          <w:w w:val="90"/>
        </w:rPr>
        <w:t>and</w:t>
      </w:r>
      <w:r>
        <w:rPr>
          <w:spacing w:val="-6"/>
          <w:w w:val="90"/>
        </w:rPr>
        <w:t xml:space="preserve"> </w:t>
      </w:r>
      <w:r>
        <w:rPr>
          <w:w w:val="90"/>
        </w:rPr>
        <w:t>there</w:t>
      </w:r>
      <w:r>
        <w:rPr>
          <w:spacing w:val="-6"/>
          <w:w w:val="90"/>
        </w:rPr>
        <w:t xml:space="preserve"> </w:t>
      </w:r>
      <w:r>
        <w:rPr>
          <w:w w:val="90"/>
        </w:rPr>
        <w:t>is</w:t>
      </w:r>
      <w:r>
        <w:rPr>
          <w:spacing w:val="-6"/>
          <w:w w:val="90"/>
        </w:rPr>
        <w:t xml:space="preserve"> </w:t>
      </w:r>
      <w:r>
        <w:rPr>
          <w:w w:val="90"/>
        </w:rPr>
        <w:t>significant</w:t>
      </w:r>
      <w:r>
        <w:rPr>
          <w:spacing w:val="-6"/>
          <w:w w:val="90"/>
        </w:rPr>
        <w:t xml:space="preserve"> </w:t>
      </w:r>
      <w:r>
        <w:rPr>
          <w:w w:val="90"/>
        </w:rPr>
        <w:t>capacity</w:t>
      </w:r>
      <w:r>
        <w:rPr>
          <w:spacing w:val="-6"/>
          <w:w w:val="90"/>
        </w:rPr>
        <w:t xml:space="preserve"> </w:t>
      </w:r>
      <w:r>
        <w:rPr>
          <w:w w:val="90"/>
        </w:rPr>
        <w:t xml:space="preserve">available </w:t>
      </w:r>
      <w:r>
        <w:rPr>
          <w:w w:val="95"/>
        </w:rPr>
        <w:t>at</w:t>
      </w:r>
      <w:r>
        <w:rPr>
          <w:spacing w:val="-5"/>
          <w:w w:val="95"/>
        </w:rPr>
        <w:t xml:space="preserve"> </w:t>
      </w:r>
      <w:r>
        <w:rPr>
          <w:w w:val="95"/>
        </w:rPr>
        <w:t>a</w:t>
      </w:r>
      <w:r>
        <w:rPr>
          <w:spacing w:val="-5"/>
          <w:w w:val="95"/>
        </w:rPr>
        <w:t xml:space="preserve"> </w:t>
      </w:r>
      <w:r>
        <w:rPr>
          <w:w w:val="95"/>
        </w:rPr>
        <w:t>number</w:t>
      </w:r>
      <w:r>
        <w:rPr>
          <w:spacing w:val="-5"/>
          <w:w w:val="95"/>
        </w:rPr>
        <w:t xml:space="preserve"> </w:t>
      </w:r>
      <w:r>
        <w:rPr>
          <w:w w:val="95"/>
        </w:rPr>
        <w:t>of</w:t>
      </w:r>
      <w:r>
        <w:rPr>
          <w:spacing w:val="-5"/>
          <w:w w:val="95"/>
        </w:rPr>
        <w:t xml:space="preserve"> </w:t>
      </w:r>
      <w:r>
        <w:rPr>
          <w:w w:val="95"/>
        </w:rPr>
        <w:t>existing</w:t>
      </w:r>
      <w:r>
        <w:rPr>
          <w:spacing w:val="-5"/>
          <w:w w:val="95"/>
        </w:rPr>
        <w:t xml:space="preserve"> </w:t>
      </w:r>
      <w:r>
        <w:rPr>
          <w:w w:val="95"/>
        </w:rPr>
        <w:t>intermodal</w:t>
      </w:r>
      <w:r>
        <w:rPr>
          <w:spacing w:val="-5"/>
          <w:w w:val="95"/>
        </w:rPr>
        <w:t xml:space="preserve"> </w:t>
      </w:r>
      <w:r>
        <w:rPr>
          <w:w w:val="95"/>
        </w:rPr>
        <w:t>sites</w:t>
      </w:r>
      <w:r>
        <w:rPr>
          <w:w w:val="95"/>
          <w:position w:val="7"/>
          <w:sz w:val="11"/>
        </w:rPr>
        <w:t>22</w:t>
      </w:r>
      <w:r>
        <w:rPr>
          <w:w w:val="95"/>
        </w:rPr>
        <w:t>.</w:t>
      </w:r>
    </w:p>
    <w:p w:rsidR="002C1123" w:rsidRDefault="002060EF">
      <w:pPr>
        <w:pStyle w:val="BodyText"/>
        <w:spacing w:before="148" w:line="249" w:lineRule="auto"/>
        <w:ind w:left="205"/>
      </w:pPr>
      <w:r>
        <w:pict>
          <v:shape id="docshape1550" o:spid="_x0000_s3590" type="#_x0000_t202" style="position:absolute;left:0;text-align:left;margin-left:300.95pt;margin-top:63.85pt;width:239pt;height:81.35pt;z-index:251512832;mso-position-horizontal-relative:page" fillcolor="#e1e0e1" stroked="f">
            <v:textbox inset="0,0,0,0">
              <w:txbxContent>
                <w:p w:rsidR="00F22F94" w:rsidRDefault="00F22F94">
                  <w:pPr>
                    <w:pStyle w:val="BodyText"/>
                    <w:spacing w:before="68" w:line="249" w:lineRule="auto"/>
                    <w:ind w:left="113"/>
                    <w:rPr>
                      <w:color w:val="000000"/>
                    </w:rPr>
                  </w:pPr>
                  <w:r>
                    <w:rPr>
                      <w:b/>
                      <w:color w:val="00AEEF"/>
                      <w:w w:val="95"/>
                    </w:rPr>
                    <w:t>Recommendation</w:t>
                  </w:r>
                  <w:r>
                    <w:rPr>
                      <w:b/>
                      <w:color w:val="00AEEF"/>
                      <w:spacing w:val="40"/>
                    </w:rPr>
                    <w:t xml:space="preserve"> </w:t>
                  </w:r>
                  <w:r>
                    <w:rPr>
                      <w:color w:val="000000"/>
                      <w:w w:val="95"/>
                    </w:rPr>
                    <w:t>Infrastructure</w:t>
                  </w:r>
                  <w:r>
                    <w:rPr>
                      <w:color w:val="000000"/>
                      <w:spacing w:val="-12"/>
                      <w:w w:val="95"/>
                    </w:rPr>
                    <w:t xml:space="preserve"> </w:t>
                  </w:r>
                  <w:r>
                    <w:rPr>
                      <w:color w:val="000000"/>
                      <w:w w:val="95"/>
                    </w:rPr>
                    <w:t>NSW</w:t>
                  </w:r>
                  <w:r>
                    <w:rPr>
                      <w:color w:val="000000"/>
                      <w:spacing w:val="-12"/>
                      <w:w w:val="95"/>
                    </w:rPr>
                    <w:t xml:space="preserve"> </w:t>
                  </w:r>
                  <w:r>
                    <w:rPr>
                      <w:color w:val="000000"/>
                      <w:w w:val="95"/>
                    </w:rPr>
                    <w:t xml:space="preserve">recommends </w:t>
                  </w:r>
                  <w:r>
                    <w:rPr>
                      <w:color w:val="000000"/>
                    </w:rPr>
                    <w:t>that</w:t>
                  </w:r>
                  <w:r>
                    <w:rPr>
                      <w:color w:val="000000"/>
                      <w:spacing w:val="-9"/>
                    </w:rPr>
                    <w:t xml:space="preserve"> </w:t>
                  </w:r>
                  <w:r>
                    <w:rPr>
                      <w:color w:val="000000"/>
                    </w:rPr>
                    <w:t>State</w:t>
                  </w:r>
                  <w:r>
                    <w:rPr>
                      <w:color w:val="000000"/>
                      <w:spacing w:val="-9"/>
                    </w:rPr>
                    <w:t xml:space="preserve"> </w:t>
                  </w:r>
                  <w:r>
                    <w:rPr>
                      <w:color w:val="000000"/>
                    </w:rPr>
                    <w:t>public</w:t>
                  </w:r>
                  <w:r>
                    <w:rPr>
                      <w:color w:val="000000"/>
                      <w:spacing w:val="-9"/>
                    </w:rPr>
                    <w:t xml:space="preserve"> </w:t>
                  </w:r>
                  <w:r>
                    <w:rPr>
                      <w:color w:val="000000"/>
                    </w:rPr>
                    <w:t>funding</w:t>
                  </w:r>
                  <w:r>
                    <w:rPr>
                      <w:color w:val="000000"/>
                      <w:spacing w:val="-9"/>
                    </w:rPr>
                    <w:t xml:space="preserve"> </w:t>
                  </w:r>
                  <w:r>
                    <w:rPr>
                      <w:color w:val="000000"/>
                    </w:rPr>
                    <w:t>for</w:t>
                  </w:r>
                  <w:r>
                    <w:rPr>
                      <w:color w:val="000000"/>
                      <w:spacing w:val="-9"/>
                    </w:rPr>
                    <w:t xml:space="preserve"> </w:t>
                  </w:r>
                  <w:r>
                    <w:rPr>
                      <w:color w:val="000000"/>
                    </w:rPr>
                    <w:t>additional</w:t>
                  </w:r>
                  <w:r>
                    <w:rPr>
                      <w:color w:val="000000"/>
                      <w:spacing w:val="-9"/>
                    </w:rPr>
                    <w:t xml:space="preserve"> </w:t>
                  </w:r>
                  <w:r>
                    <w:rPr>
                      <w:color w:val="000000"/>
                    </w:rPr>
                    <w:t>intermodal terminal</w:t>
                  </w:r>
                  <w:r>
                    <w:rPr>
                      <w:color w:val="000000"/>
                      <w:spacing w:val="-14"/>
                    </w:rPr>
                    <w:t xml:space="preserve"> </w:t>
                  </w:r>
                  <w:r>
                    <w:rPr>
                      <w:color w:val="000000"/>
                    </w:rPr>
                    <w:t>capacity</w:t>
                  </w:r>
                  <w:r>
                    <w:rPr>
                      <w:color w:val="000000"/>
                      <w:spacing w:val="-14"/>
                    </w:rPr>
                    <w:t xml:space="preserve"> </w:t>
                  </w:r>
                  <w:r>
                    <w:rPr>
                      <w:color w:val="000000"/>
                    </w:rPr>
                    <w:t>in</w:t>
                  </w:r>
                  <w:r>
                    <w:rPr>
                      <w:color w:val="000000"/>
                      <w:spacing w:val="-14"/>
                    </w:rPr>
                    <w:t xml:space="preserve"> </w:t>
                  </w:r>
                  <w:r>
                    <w:rPr>
                      <w:color w:val="000000"/>
                    </w:rPr>
                    <w:t>Sydney</w:t>
                  </w:r>
                  <w:r>
                    <w:rPr>
                      <w:color w:val="000000"/>
                      <w:spacing w:val="-14"/>
                    </w:rPr>
                    <w:t xml:space="preserve"> </w:t>
                  </w:r>
                  <w:r>
                    <w:rPr>
                      <w:color w:val="000000"/>
                    </w:rPr>
                    <w:t>(including</w:t>
                  </w:r>
                  <w:r>
                    <w:rPr>
                      <w:color w:val="000000"/>
                      <w:spacing w:val="-14"/>
                    </w:rPr>
                    <w:t xml:space="preserve"> </w:t>
                  </w:r>
                  <w:r>
                    <w:rPr>
                      <w:color w:val="000000"/>
                    </w:rPr>
                    <w:t>in</w:t>
                  </w:r>
                  <w:r>
                    <w:rPr>
                      <w:color w:val="000000"/>
                      <w:spacing w:val="-14"/>
                    </w:rPr>
                    <w:t xml:space="preserve"> </w:t>
                  </w:r>
                  <w:r>
                    <w:rPr>
                      <w:color w:val="000000"/>
                    </w:rPr>
                    <w:t>relation</w:t>
                  </w:r>
                  <w:r>
                    <w:rPr>
                      <w:color w:val="000000"/>
                      <w:spacing w:val="-14"/>
                    </w:rPr>
                    <w:t xml:space="preserve"> </w:t>
                  </w:r>
                  <w:r>
                    <w:rPr>
                      <w:color w:val="000000"/>
                    </w:rPr>
                    <w:t xml:space="preserve">to </w:t>
                  </w:r>
                  <w:r>
                    <w:rPr>
                      <w:color w:val="000000"/>
                      <w:w w:val="95"/>
                    </w:rPr>
                    <w:t xml:space="preserve">supporting infrastructure) be minimised until there is </w:t>
                  </w:r>
                  <w:r>
                    <w:rPr>
                      <w:color w:val="000000"/>
                    </w:rPr>
                    <w:t>greater</w:t>
                  </w:r>
                  <w:r>
                    <w:rPr>
                      <w:color w:val="000000"/>
                      <w:spacing w:val="-14"/>
                    </w:rPr>
                    <w:t xml:space="preserve"> </w:t>
                  </w:r>
                  <w:r>
                    <w:rPr>
                      <w:color w:val="000000"/>
                    </w:rPr>
                    <w:t>clarity</w:t>
                  </w:r>
                  <w:r>
                    <w:rPr>
                      <w:color w:val="000000"/>
                      <w:spacing w:val="-14"/>
                    </w:rPr>
                    <w:t xml:space="preserve"> </w:t>
                  </w:r>
                  <w:r>
                    <w:rPr>
                      <w:color w:val="000000"/>
                    </w:rPr>
                    <w:t>on</w:t>
                  </w:r>
                  <w:r>
                    <w:rPr>
                      <w:color w:val="000000"/>
                      <w:spacing w:val="-14"/>
                    </w:rPr>
                    <w:t xml:space="preserve"> </w:t>
                  </w:r>
                  <w:r>
                    <w:rPr>
                      <w:color w:val="000000"/>
                    </w:rPr>
                    <w:t>whether</w:t>
                  </w:r>
                  <w:r>
                    <w:rPr>
                      <w:color w:val="000000"/>
                      <w:spacing w:val="-14"/>
                    </w:rPr>
                    <w:t xml:space="preserve"> </w:t>
                  </w:r>
                  <w:r>
                    <w:rPr>
                      <w:color w:val="000000"/>
                    </w:rPr>
                    <w:t>the</w:t>
                  </w:r>
                  <w:r>
                    <w:rPr>
                      <w:color w:val="000000"/>
                      <w:spacing w:val="-14"/>
                    </w:rPr>
                    <w:t xml:space="preserve"> </w:t>
                  </w:r>
                  <w:r>
                    <w:rPr>
                      <w:color w:val="000000"/>
                    </w:rPr>
                    <w:t>short-haul</w:t>
                  </w:r>
                  <w:r>
                    <w:rPr>
                      <w:color w:val="000000"/>
                      <w:spacing w:val="-13"/>
                    </w:rPr>
                    <w:t xml:space="preserve"> </w:t>
                  </w:r>
                  <w:r>
                    <w:rPr>
                      <w:color w:val="000000"/>
                    </w:rPr>
                    <w:t>rail</w:t>
                  </w:r>
                  <w:r>
                    <w:rPr>
                      <w:color w:val="000000"/>
                      <w:spacing w:val="-14"/>
                    </w:rPr>
                    <w:t xml:space="preserve"> </w:t>
                  </w:r>
                  <w:r>
                    <w:rPr>
                      <w:color w:val="000000"/>
                    </w:rPr>
                    <w:t>freight market is viable.</w:t>
                  </w:r>
                </w:p>
              </w:txbxContent>
            </v:textbox>
            <w10:wrap anchorx="page"/>
          </v:shape>
        </w:pict>
      </w:r>
      <w:r w:rsidR="00F22F94">
        <w:rPr>
          <w:w w:val="95"/>
        </w:rPr>
        <w:t>Sydney Ports and Hutchison are currently developing a 300,000 TEU per annum intermodal facility at Enfield</w:t>
      </w:r>
      <w:r w:rsidR="00F22F94">
        <w:rPr>
          <w:w w:val="95"/>
          <w:position w:val="7"/>
          <w:sz w:val="11"/>
        </w:rPr>
        <w:t>23</w:t>
      </w:r>
      <w:r w:rsidR="00F22F94">
        <w:rPr>
          <w:w w:val="95"/>
        </w:rPr>
        <w:t>, which</w:t>
      </w:r>
      <w:r w:rsidR="00F22F94">
        <w:rPr>
          <w:spacing w:val="-8"/>
          <w:w w:val="95"/>
        </w:rPr>
        <w:t xml:space="preserve"> </w:t>
      </w:r>
      <w:r w:rsidR="00F22F94">
        <w:rPr>
          <w:w w:val="95"/>
        </w:rPr>
        <w:t>will</w:t>
      </w:r>
      <w:r w:rsidR="00F22F94">
        <w:rPr>
          <w:spacing w:val="-8"/>
          <w:w w:val="95"/>
        </w:rPr>
        <w:t xml:space="preserve"> </w:t>
      </w:r>
      <w:r w:rsidR="00F22F94">
        <w:rPr>
          <w:w w:val="95"/>
        </w:rPr>
        <w:t>open</w:t>
      </w:r>
      <w:r w:rsidR="00F22F94">
        <w:rPr>
          <w:spacing w:val="-8"/>
          <w:w w:val="95"/>
        </w:rPr>
        <w:t xml:space="preserve"> </w:t>
      </w:r>
      <w:r w:rsidR="00F22F94">
        <w:rPr>
          <w:w w:val="95"/>
        </w:rPr>
        <w:t>in</w:t>
      </w:r>
      <w:r w:rsidR="00F22F94">
        <w:rPr>
          <w:spacing w:val="-8"/>
          <w:w w:val="95"/>
        </w:rPr>
        <w:t xml:space="preserve"> </w:t>
      </w:r>
      <w:r w:rsidR="00F22F94">
        <w:rPr>
          <w:w w:val="95"/>
        </w:rPr>
        <w:t>2013</w:t>
      </w:r>
      <w:r w:rsidR="00F22F94">
        <w:rPr>
          <w:w w:val="95"/>
          <w:position w:val="7"/>
          <w:sz w:val="11"/>
        </w:rPr>
        <w:t>24</w:t>
      </w:r>
      <w:r w:rsidR="00F22F94">
        <w:rPr>
          <w:w w:val="95"/>
        </w:rPr>
        <w:t>.</w:t>
      </w:r>
      <w:r w:rsidR="00F22F94">
        <w:rPr>
          <w:spacing w:val="-8"/>
          <w:w w:val="95"/>
        </w:rPr>
        <w:t xml:space="preserve"> </w:t>
      </w:r>
      <w:r w:rsidR="00F22F94">
        <w:rPr>
          <w:w w:val="95"/>
        </w:rPr>
        <w:t>Enfield</w:t>
      </w:r>
      <w:r w:rsidR="00F22F94">
        <w:rPr>
          <w:spacing w:val="-8"/>
          <w:w w:val="95"/>
        </w:rPr>
        <w:t xml:space="preserve"> </w:t>
      </w:r>
      <w:r w:rsidR="00F22F94">
        <w:rPr>
          <w:w w:val="95"/>
        </w:rPr>
        <w:t>provides</w:t>
      </w:r>
      <w:r w:rsidR="00F22F94">
        <w:rPr>
          <w:spacing w:val="-8"/>
          <w:w w:val="95"/>
        </w:rPr>
        <w:t xml:space="preserve"> </w:t>
      </w:r>
      <w:r w:rsidR="00F22F94">
        <w:rPr>
          <w:w w:val="95"/>
        </w:rPr>
        <w:t>a</w:t>
      </w:r>
      <w:r w:rsidR="00F22F94">
        <w:rPr>
          <w:spacing w:val="-8"/>
          <w:w w:val="95"/>
        </w:rPr>
        <w:t xml:space="preserve"> </w:t>
      </w:r>
      <w:r w:rsidR="00F22F94">
        <w:rPr>
          <w:w w:val="95"/>
        </w:rPr>
        <w:t>test</w:t>
      </w:r>
      <w:r w:rsidR="00F22F94">
        <w:rPr>
          <w:spacing w:val="-8"/>
          <w:w w:val="95"/>
        </w:rPr>
        <w:t xml:space="preserve"> </w:t>
      </w:r>
      <w:r w:rsidR="00F22F94">
        <w:rPr>
          <w:w w:val="95"/>
        </w:rPr>
        <w:t>case</w:t>
      </w:r>
      <w:r w:rsidR="00F22F94">
        <w:rPr>
          <w:spacing w:val="-8"/>
          <w:w w:val="95"/>
        </w:rPr>
        <w:t xml:space="preserve"> </w:t>
      </w:r>
      <w:r w:rsidR="00F22F94">
        <w:rPr>
          <w:w w:val="95"/>
        </w:rPr>
        <w:t xml:space="preserve">for </w:t>
      </w:r>
      <w:r w:rsidR="00F22F94">
        <w:t>larger</w:t>
      </w:r>
      <w:r w:rsidR="00F22F94">
        <w:rPr>
          <w:spacing w:val="-14"/>
        </w:rPr>
        <w:t xml:space="preserve"> </w:t>
      </w:r>
      <w:r w:rsidR="00F22F94">
        <w:t>scale</w:t>
      </w:r>
      <w:r w:rsidR="00F22F94">
        <w:rPr>
          <w:spacing w:val="-14"/>
        </w:rPr>
        <w:t xml:space="preserve"> </w:t>
      </w:r>
      <w:r w:rsidR="00F22F94">
        <w:t>short</w:t>
      </w:r>
      <w:r w:rsidR="00F22F94">
        <w:rPr>
          <w:spacing w:val="-14"/>
        </w:rPr>
        <w:t xml:space="preserve"> </w:t>
      </w:r>
      <w:r w:rsidR="00F22F94">
        <w:t>haul</w:t>
      </w:r>
      <w:r w:rsidR="00F22F94">
        <w:rPr>
          <w:spacing w:val="-14"/>
        </w:rPr>
        <w:t xml:space="preserve"> </w:t>
      </w:r>
      <w:r w:rsidR="00F22F94">
        <w:t>intermodal</w:t>
      </w:r>
      <w:r w:rsidR="00F22F94">
        <w:rPr>
          <w:spacing w:val="-14"/>
        </w:rPr>
        <w:t xml:space="preserve"> </w:t>
      </w:r>
      <w:r w:rsidR="00F22F94">
        <w:t>freight</w:t>
      </w:r>
      <w:r w:rsidR="00F22F94">
        <w:rPr>
          <w:spacing w:val="-14"/>
        </w:rPr>
        <w:t xml:space="preserve"> </w:t>
      </w:r>
      <w:r w:rsidR="00F22F94">
        <w:t>in</w:t>
      </w:r>
      <w:r w:rsidR="00F22F94">
        <w:rPr>
          <w:spacing w:val="-14"/>
        </w:rPr>
        <w:t xml:space="preserve"> </w:t>
      </w:r>
      <w:r w:rsidR="00F22F94">
        <w:t>Sydney.</w:t>
      </w:r>
    </w:p>
    <w:p w:rsidR="002C1123" w:rsidRDefault="00F22F94">
      <w:pPr>
        <w:pStyle w:val="BodyText"/>
        <w:spacing w:before="106" w:line="249" w:lineRule="auto"/>
        <w:ind w:left="188" w:right="756"/>
      </w:pPr>
      <w:r>
        <w:br w:type="column"/>
      </w:r>
      <w:r>
        <w:t>This</w:t>
      </w:r>
      <w:r>
        <w:rPr>
          <w:spacing w:val="-5"/>
        </w:rPr>
        <w:t xml:space="preserve"> </w:t>
      </w:r>
      <w:r>
        <w:t>approach</w:t>
      </w:r>
      <w:r>
        <w:rPr>
          <w:spacing w:val="-5"/>
        </w:rPr>
        <w:t xml:space="preserve"> </w:t>
      </w:r>
      <w:r>
        <w:t>does</w:t>
      </w:r>
      <w:r>
        <w:rPr>
          <w:spacing w:val="-5"/>
        </w:rPr>
        <w:t xml:space="preserve"> </w:t>
      </w:r>
      <w:r>
        <w:t>not</w:t>
      </w:r>
      <w:r>
        <w:rPr>
          <w:spacing w:val="-5"/>
        </w:rPr>
        <w:t xml:space="preserve"> </w:t>
      </w:r>
      <w:r>
        <w:t>contradict</w:t>
      </w:r>
      <w:r>
        <w:rPr>
          <w:spacing w:val="-5"/>
        </w:rPr>
        <w:t xml:space="preserve"> </w:t>
      </w:r>
      <w:r>
        <w:t>either</w:t>
      </w:r>
      <w:r>
        <w:rPr>
          <w:spacing w:val="-5"/>
        </w:rPr>
        <w:t xml:space="preserve"> </w:t>
      </w:r>
      <w:r>
        <w:t>of</w:t>
      </w:r>
      <w:r>
        <w:rPr>
          <w:spacing w:val="-5"/>
        </w:rPr>
        <w:t xml:space="preserve"> </w:t>
      </w:r>
      <w:r>
        <w:t>the proposed</w:t>
      </w:r>
      <w:r>
        <w:rPr>
          <w:spacing w:val="-4"/>
        </w:rPr>
        <w:t xml:space="preserve"> </w:t>
      </w:r>
      <w:r>
        <w:t>developments</w:t>
      </w:r>
      <w:r>
        <w:rPr>
          <w:spacing w:val="-4"/>
        </w:rPr>
        <w:t xml:space="preserve"> </w:t>
      </w:r>
      <w:r>
        <w:t>in</w:t>
      </w:r>
      <w:r>
        <w:rPr>
          <w:spacing w:val="-4"/>
        </w:rPr>
        <w:t xml:space="preserve"> </w:t>
      </w:r>
      <w:r>
        <w:t>the</w:t>
      </w:r>
      <w:r>
        <w:rPr>
          <w:spacing w:val="-4"/>
        </w:rPr>
        <w:t xml:space="preserve"> </w:t>
      </w:r>
      <w:r>
        <w:t>Moorebank</w:t>
      </w:r>
      <w:r>
        <w:rPr>
          <w:spacing w:val="-4"/>
        </w:rPr>
        <w:t xml:space="preserve"> </w:t>
      </w:r>
      <w:r>
        <w:t>Precinct, where</w:t>
      </w:r>
      <w:r>
        <w:rPr>
          <w:spacing w:val="-8"/>
        </w:rPr>
        <w:t xml:space="preserve"> </w:t>
      </w:r>
      <w:r>
        <w:t>project</w:t>
      </w:r>
      <w:r>
        <w:rPr>
          <w:spacing w:val="-8"/>
        </w:rPr>
        <w:t xml:space="preserve"> </w:t>
      </w:r>
      <w:r>
        <w:t>investors</w:t>
      </w:r>
      <w:r>
        <w:rPr>
          <w:spacing w:val="-8"/>
        </w:rPr>
        <w:t xml:space="preserve"> </w:t>
      </w:r>
      <w:r>
        <w:t>propose</w:t>
      </w:r>
      <w:r>
        <w:rPr>
          <w:spacing w:val="-8"/>
        </w:rPr>
        <w:t xml:space="preserve"> </w:t>
      </w:r>
      <w:r>
        <w:t>to</w:t>
      </w:r>
      <w:r>
        <w:rPr>
          <w:spacing w:val="-8"/>
        </w:rPr>
        <w:t xml:space="preserve"> </w:t>
      </w:r>
      <w:r>
        <w:t>fund</w:t>
      </w:r>
      <w:r>
        <w:rPr>
          <w:spacing w:val="-8"/>
        </w:rPr>
        <w:t xml:space="preserve"> </w:t>
      </w:r>
      <w:r>
        <w:t>immediate supporting</w:t>
      </w:r>
      <w:r>
        <w:rPr>
          <w:spacing w:val="-14"/>
        </w:rPr>
        <w:t xml:space="preserve"> </w:t>
      </w:r>
      <w:r>
        <w:t>infrastructure</w:t>
      </w:r>
      <w:r>
        <w:rPr>
          <w:spacing w:val="-14"/>
        </w:rPr>
        <w:t xml:space="preserve"> </w:t>
      </w:r>
      <w:r>
        <w:t>(for</w:t>
      </w:r>
      <w:r>
        <w:rPr>
          <w:spacing w:val="-14"/>
        </w:rPr>
        <w:t xml:space="preserve"> </w:t>
      </w:r>
      <w:r>
        <w:t>example</w:t>
      </w:r>
      <w:r>
        <w:rPr>
          <w:spacing w:val="-14"/>
        </w:rPr>
        <w:t xml:space="preserve"> </w:t>
      </w:r>
      <w:r>
        <w:t>rail</w:t>
      </w:r>
      <w:r>
        <w:rPr>
          <w:spacing w:val="-14"/>
        </w:rPr>
        <w:t xml:space="preserve"> </w:t>
      </w:r>
      <w:r>
        <w:t>lines</w:t>
      </w:r>
      <w:r>
        <w:rPr>
          <w:spacing w:val="-14"/>
        </w:rPr>
        <w:t xml:space="preserve"> </w:t>
      </w:r>
      <w:r>
        <w:t>and precinct</w:t>
      </w:r>
      <w:r>
        <w:rPr>
          <w:spacing w:val="-14"/>
        </w:rPr>
        <w:t xml:space="preserve"> </w:t>
      </w:r>
      <w:r>
        <w:t>roads).</w:t>
      </w:r>
      <w:r>
        <w:rPr>
          <w:spacing w:val="-14"/>
        </w:rPr>
        <w:t xml:space="preserve"> </w:t>
      </w:r>
      <w:r>
        <w:t>Until</w:t>
      </w:r>
      <w:r>
        <w:rPr>
          <w:spacing w:val="-14"/>
        </w:rPr>
        <w:t xml:space="preserve"> </w:t>
      </w:r>
      <w:r>
        <w:t>these</w:t>
      </w:r>
      <w:r>
        <w:rPr>
          <w:spacing w:val="-14"/>
        </w:rPr>
        <w:t xml:space="preserve"> </w:t>
      </w:r>
      <w:r>
        <w:t>facilities</w:t>
      </w:r>
      <w:r>
        <w:rPr>
          <w:spacing w:val="-14"/>
        </w:rPr>
        <w:t xml:space="preserve"> </w:t>
      </w:r>
      <w:r>
        <w:t>demonstrate commercial</w:t>
      </w:r>
      <w:r>
        <w:rPr>
          <w:spacing w:val="-6"/>
        </w:rPr>
        <w:t xml:space="preserve"> </w:t>
      </w:r>
      <w:r>
        <w:t>viability,</w:t>
      </w:r>
      <w:r>
        <w:rPr>
          <w:spacing w:val="-6"/>
        </w:rPr>
        <w:t xml:space="preserve"> </w:t>
      </w:r>
      <w:r>
        <w:t>it</w:t>
      </w:r>
      <w:r>
        <w:rPr>
          <w:spacing w:val="-6"/>
        </w:rPr>
        <w:t xml:space="preserve"> </w:t>
      </w:r>
      <w:r>
        <w:t>would</w:t>
      </w:r>
      <w:r>
        <w:rPr>
          <w:spacing w:val="-6"/>
        </w:rPr>
        <w:t xml:space="preserve"> </w:t>
      </w:r>
      <w:r>
        <w:t>be</w:t>
      </w:r>
      <w:r>
        <w:rPr>
          <w:spacing w:val="-6"/>
        </w:rPr>
        <w:t xml:space="preserve"> </w:t>
      </w:r>
      <w:r>
        <w:t>imprudent</w:t>
      </w:r>
      <w:r>
        <w:rPr>
          <w:spacing w:val="-6"/>
        </w:rPr>
        <w:t xml:space="preserve"> </w:t>
      </w:r>
      <w:r>
        <w:t>to</w:t>
      </w:r>
      <w:r>
        <w:rPr>
          <w:spacing w:val="-6"/>
        </w:rPr>
        <w:t xml:space="preserve"> </w:t>
      </w:r>
      <w:r>
        <w:t xml:space="preserve">commit </w:t>
      </w:r>
      <w:r>
        <w:rPr>
          <w:w w:val="95"/>
        </w:rPr>
        <w:t>significant</w:t>
      </w:r>
      <w:r>
        <w:rPr>
          <w:spacing w:val="-2"/>
          <w:w w:val="95"/>
        </w:rPr>
        <w:t xml:space="preserve"> </w:t>
      </w:r>
      <w:r>
        <w:rPr>
          <w:w w:val="95"/>
        </w:rPr>
        <w:t>State</w:t>
      </w:r>
      <w:r>
        <w:rPr>
          <w:spacing w:val="-2"/>
          <w:w w:val="95"/>
        </w:rPr>
        <w:t xml:space="preserve"> </w:t>
      </w:r>
      <w:r>
        <w:rPr>
          <w:w w:val="95"/>
        </w:rPr>
        <w:t>capital</w:t>
      </w:r>
      <w:r>
        <w:rPr>
          <w:spacing w:val="-2"/>
          <w:w w:val="95"/>
        </w:rPr>
        <w:t xml:space="preserve"> </w:t>
      </w:r>
      <w:r>
        <w:rPr>
          <w:w w:val="95"/>
        </w:rPr>
        <w:t>in</w:t>
      </w:r>
      <w:r>
        <w:rPr>
          <w:spacing w:val="-2"/>
          <w:w w:val="95"/>
        </w:rPr>
        <w:t xml:space="preserve"> </w:t>
      </w:r>
      <w:r>
        <w:rPr>
          <w:w w:val="95"/>
        </w:rPr>
        <w:t>wider</w:t>
      </w:r>
      <w:r>
        <w:rPr>
          <w:spacing w:val="-2"/>
          <w:w w:val="95"/>
        </w:rPr>
        <w:t xml:space="preserve"> </w:t>
      </w:r>
      <w:r>
        <w:rPr>
          <w:w w:val="95"/>
        </w:rPr>
        <w:t>infrastructure</w:t>
      </w:r>
      <w:r>
        <w:rPr>
          <w:spacing w:val="-2"/>
          <w:w w:val="95"/>
        </w:rPr>
        <w:t xml:space="preserve"> </w:t>
      </w:r>
      <w:r>
        <w:rPr>
          <w:w w:val="95"/>
        </w:rPr>
        <w:t>upgrades.</w:t>
      </w:r>
    </w:p>
    <w:p w:rsidR="002C1123" w:rsidRDefault="00F22F94">
      <w:pPr>
        <w:pStyle w:val="BodyText"/>
        <w:spacing w:before="147" w:line="249" w:lineRule="auto"/>
        <w:ind w:left="188" w:right="885"/>
      </w:pPr>
      <w:r>
        <w:t>Infrastructure</w:t>
      </w:r>
      <w:r>
        <w:rPr>
          <w:spacing w:val="-14"/>
        </w:rPr>
        <w:t xml:space="preserve"> </w:t>
      </w:r>
      <w:r>
        <w:t>NSW</w:t>
      </w:r>
      <w:r>
        <w:rPr>
          <w:spacing w:val="-14"/>
        </w:rPr>
        <w:t xml:space="preserve"> </w:t>
      </w:r>
      <w:r>
        <w:t>assumes</w:t>
      </w:r>
      <w:r>
        <w:rPr>
          <w:spacing w:val="-14"/>
        </w:rPr>
        <w:t xml:space="preserve"> </w:t>
      </w:r>
      <w:r>
        <w:t>that</w:t>
      </w:r>
      <w:r>
        <w:rPr>
          <w:spacing w:val="-14"/>
        </w:rPr>
        <w:t xml:space="preserve"> </w:t>
      </w:r>
      <w:r>
        <w:t>(in</w:t>
      </w:r>
      <w:r>
        <w:rPr>
          <w:spacing w:val="-14"/>
        </w:rPr>
        <w:t xml:space="preserve"> </w:t>
      </w:r>
      <w:r>
        <w:t>line</w:t>
      </w:r>
      <w:r>
        <w:rPr>
          <w:spacing w:val="-14"/>
        </w:rPr>
        <w:t xml:space="preserve"> </w:t>
      </w:r>
      <w:r>
        <w:t>with proponents’</w:t>
      </w:r>
      <w:r>
        <w:rPr>
          <w:spacing w:val="-14"/>
        </w:rPr>
        <w:t xml:space="preserve"> </w:t>
      </w:r>
      <w:r>
        <w:t>estimates)</w:t>
      </w:r>
      <w:r>
        <w:rPr>
          <w:spacing w:val="-14"/>
        </w:rPr>
        <w:t xml:space="preserve"> </w:t>
      </w:r>
      <w:r>
        <w:t>Moorebank</w:t>
      </w:r>
      <w:r>
        <w:rPr>
          <w:spacing w:val="-14"/>
        </w:rPr>
        <w:t xml:space="preserve"> </w:t>
      </w:r>
      <w:r>
        <w:t>will</w:t>
      </w:r>
      <w:r>
        <w:rPr>
          <w:spacing w:val="-14"/>
        </w:rPr>
        <w:t xml:space="preserve"> </w:t>
      </w:r>
      <w:r>
        <w:t>be</w:t>
      </w:r>
      <w:r>
        <w:rPr>
          <w:spacing w:val="-14"/>
        </w:rPr>
        <w:t xml:space="preserve"> </w:t>
      </w:r>
      <w:r>
        <w:t xml:space="preserve">developed </w:t>
      </w:r>
      <w:r>
        <w:rPr>
          <w:w w:val="95"/>
        </w:rPr>
        <w:t>over</w:t>
      </w:r>
      <w:r>
        <w:rPr>
          <w:spacing w:val="-12"/>
          <w:w w:val="95"/>
        </w:rPr>
        <w:t xml:space="preserve"> </w:t>
      </w:r>
      <w:r>
        <w:rPr>
          <w:w w:val="95"/>
        </w:rPr>
        <w:t>the</w:t>
      </w:r>
      <w:r>
        <w:rPr>
          <w:spacing w:val="-11"/>
          <w:w w:val="95"/>
        </w:rPr>
        <w:t xml:space="preserve"> </w:t>
      </w:r>
      <w:r>
        <w:rPr>
          <w:w w:val="95"/>
        </w:rPr>
        <w:t>next</w:t>
      </w:r>
      <w:r>
        <w:rPr>
          <w:spacing w:val="-11"/>
          <w:w w:val="95"/>
        </w:rPr>
        <w:t xml:space="preserve"> </w:t>
      </w:r>
      <w:r>
        <w:rPr>
          <w:w w:val="95"/>
        </w:rPr>
        <w:t>five</w:t>
      </w:r>
      <w:r>
        <w:rPr>
          <w:spacing w:val="-11"/>
          <w:w w:val="95"/>
        </w:rPr>
        <w:t xml:space="preserve"> </w:t>
      </w:r>
      <w:r>
        <w:rPr>
          <w:w w:val="95"/>
        </w:rPr>
        <w:t>years.</w:t>
      </w:r>
      <w:r>
        <w:rPr>
          <w:spacing w:val="-11"/>
          <w:w w:val="95"/>
        </w:rPr>
        <w:t xml:space="preserve"> </w:t>
      </w:r>
      <w:r>
        <w:rPr>
          <w:w w:val="95"/>
        </w:rPr>
        <w:t>It</w:t>
      </w:r>
      <w:r>
        <w:rPr>
          <w:spacing w:val="-11"/>
          <w:w w:val="95"/>
        </w:rPr>
        <w:t xml:space="preserve"> </w:t>
      </w:r>
      <w:r>
        <w:rPr>
          <w:w w:val="95"/>
        </w:rPr>
        <w:t>is</w:t>
      </w:r>
      <w:r>
        <w:rPr>
          <w:spacing w:val="-11"/>
          <w:w w:val="95"/>
        </w:rPr>
        <w:t xml:space="preserve"> </w:t>
      </w:r>
      <w:r>
        <w:rPr>
          <w:w w:val="95"/>
        </w:rPr>
        <w:t>likely</w:t>
      </w:r>
      <w:r>
        <w:rPr>
          <w:spacing w:val="-11"/>
          <w:w w:val="95"/>
        </w:rPr>
        <w:t xml:space="preserve"> </w:t>
      </w:r>
      <w:r>
        <w:rPr>
          <w:w w:val="95"/>
        </w:rPr>
        <w:t>that</w:t>
      </w:r>
      <w:r>
        <w:rPr>
          <w:spacing w:val="-12"/>
          <w:w w:val="95"/>
        </w:rPr>
        <w:t xml:space="preserve"> </w:t>
      </w:r>
      <w:r>
        <w:rPr>
          <w:w w:val="95"/>
        </w:rPr>
        <w:t>major</w:t>
      </w:r>
      <w:r>
        <w:rPr>
          <w:spacing w:val="-11"/>
          <w:w w:val="95"/>
        </w:rPr>
        <w:t xml:space="preserve"> </w:t>
      </w:r>
      <w:r>
        <w:rPr>
          <w:w w:val="95"/>
        </w:rPr>
        <w:t xml:space="preserve">investment in supporting infrastructure around this precinct, given </w:t>
      </w:r>
      <w:r>
        <w:t>ramp</w:t>
      </w:r>
      <w:r>
        <w:rPr>
          <w:spacing w:val="-14"/>
        </w:rPr>
        <w:t xml:space="preserve"> </w:t>
      </w:r>
      <w:r>
        <w:t>up,</w:t>
      </w:r>
      <w:r>
        <w:rPr>
          <w:spacing w:val="-14"/>
        </w:rPr>
        <w:t xml:space="preserve"> </w:t>
      </w:r>
      <w:r>
        <w:t>will</w:t>
      </w:r>
      <w:r>
        <w:rPr>
          <w:spacing w:val="-14"/>
        </w:rPr>
        <w:t xml:space="preserve"> </w:t>
      </w:r>
      <w:r>
        <w:t>not</w:t>
      </w:r>
      <w:r>
        <w:rPr>
          <w:spacing w:val="-14"/>
        </w:rPr>
        <w:t xml:space="preserve"> </w:t>
      </w:r>
      <w:r>
        <w:t>be</w:t>
      </w:r>
      <w:r>
        <w:rPr>
          <w:spacing w:val="-14"/>
        </w:rPr>
        <w:t xml:space="preserve"> </w:t>
      </w:r>
      <w:r>
        <w:t>required</w:t>
      </w:r>
      <w:r>
        <w:rPr>
          <w:spacing w:val="-14"/>
        </w:rPr>
        <w:t xml:space="preserve"> </w:t>
      </w:r>
      <w:r>
        <w:t>until</w:t>
      </w:r>
      <w:r>
        <w:rPr>
          <w:spacing w:val="-14"/>
        </w:rPr>
        <w:t xml:space="preserve"> </w:t>
      </w:r>
      <w:r>
        <w:t>after</w:t>
      </w:r>
      <w:r>
        <w:rPr>
          <w:spacing w:val="-14"/>
        </w:rPr>
        <w:t xml:space="preserve"> </w:t>
      </w:r>
      <w:r>
        <w:t>2017.</w:t>
      </w:r>
    </w:p>
    <w:p w:rsidR="002C1123" w:rsidRDefault="00F22F94">
      <w:pPr>
        <w:pStyle w:val="BodyText"/>
        <w:spacing w:before="146" w:line="249" w:lineRule="auto"/>
        <w:ind w:left="188" w:right="756"/>
      </w:pPr>
      <w:r>
        <w:rPr>
          <w:w w:val="95"/>
        </w:rPr>
        <w:t xml:space="preserve">Infrastructure NSW supports other incremental reforms </w:t>
      </w:r>
      <w:r>
        <w:t>and</w:t>
      </w:r>
      <w:r>
        <w:rPr>
          <w:spacing w:val="-14"/>
        </w:rPr>
        <w:t xml:space="preserve"> </w:t>
      </w:r>
      <w:r>
        <w:t>investments</w:t>
      </w:r>
      <w:r>
        <w:rPr>
          <w:spacing w:val="-14"/>
        </w:rPr>
        <w:t xml:space="preserve"> </w:t>
      </w:r>
      <w:r>
        <w:t>designed</w:t>
      </w:r>
      <w:r>
        <w:rPr>
          <w:spacing w:val="-14"/>
        </w:rPr>
        <w:t xml:space="preserve"> </w:t>
      </w:r>
      <w:r>
        <w:t>to</w:t>
      </w:r>
      <w:r>
        <w:rPr>
          <w:spacing w:val="-14"/>
        </w:rPr>
        <w:t xml:space="preserve"> </w:t>
      </w:r>
      <w:r>
        <w:t>improve</w:t>
      </w:r>
      <w:r>
        <w:rPr>
          <w:spacing w:val="-14"/>
        </w:rPr>
        <w:t xml:space="preserve"> </w:t>
      </w:r>
      <w:r>
        <w:t>the</w:t>
      </w:r>
      <w:r>
        <w:rPr>
          <w:spacing w:val="-14"/>
        </w:rPr>
        <w:t xml:space="preserve"> </w:t>
      </w:r>
      <w:r>
        <w:t>reliability</w:t>
      </w:r>
      <w:r>
        <w:rPr>
          <w:spacing w:val="-14"/>
        </w:rPr>
        <w:t xml:space="preserve"> </w:t>
      </w:r>
      <w:r>
        <w:t>of Port</w:t>
      </w:r>
      <w:r>
        <w:rPr>
          <w:spacing w:val="-11"/>
        </w:rPr>
        <w:t xml:space="preserve"> </w:t>
      </w:r>
      <w:r>
        <w:t>Botany</w:t>
      </w:r>
      <w:r>
        <w:rPr>
          <w:spacing w:val="-11"/>
        </w:rPr>
        <w:t xml:space="preserve"> </w:t>
      </w:r>
      <w:r>
        <w:t>rail</w:t>
      </w:r>
      <w:r>
        <w:rPr>
          <w:spacing w:val="-11"/>
        </w:rPr>
        <w:t xml:space="preserve"> </w:t>
      </w:r>
      <w:r>
        <w:t>freight</w:t>
      </w:r>
      <w:r>
        <w:rPr>
          <w:spacing w:val="-11"/>
        </w:rPr>
        <w:t xml:space="preserve"> </w:t>
      </w:r>
      <w:r>
        <w:t>in</w:t>
      </w:r>
      <w:r>
        <w:rPr>
          <w:spacing w:val="-11"/>
        </w:rPr>
        <w:t xml:space="preserve"> </w:t>
      </w:r>
      <w:r>
        <w:t>the</w:t>
      </w:r>
      <w:r>
        <w:rPr>
          <w:spacing w:val="-11"/>
        </w:rPr>
        <w:t xml:space="preserve"> </w:t>
      </w:r>
      <w:r>
        <w:t>short</w:t>
      </w:r>
      <w:r>
        <w:rPr>
          <w:spacing w:val="-11"/>
        </w:rPr>
        <w:t xml:space="preserve"> </w:t>
      </w:r>
      <w:r>
        <w:t>and</w:t>
      </w:r>
      <w:r>
        <w:rPr>
          <w:spacing w:val="-11"/>
        </w:rPr>
        <w:t xml:space="preserve"> </w:t>
      </w:r>
      <w:r>
        <w:t>medium</w:t>
      </w:r>
      <w:r>
        <w:rPr>
          <w:spacing w:val="-11"/>
        </w:rPr>
        <w:t xml:space="preserve"> </w:t>
      </w:r>
      <w:r>
        <w:t>term. These</w:t>
      </w:r>
      <w:r>
        <w:rPr>
          <w:spacing w:val="-11"/>
        </w:rPr>
        <w:t xml:space="preserve"> </w:t>
      </w:r>
      <w:r>
        <w:t>include:</w:t>
      </w:r>
    </w:p>
    <w:p w:rsidR="002C1123" w:rsidRDefault="00F22F94">
      <w:pPr>
        <w:pStyle w:val="ListParagraph"/>
        <w:numPr>
          <w:ilvl w:val="3"/>
          <w:numId w:val="80"/>
        </w:numPr>
        <w:tabs>
          <w:tab w:val="left" w:pos="473"/>
        </w:tabs>
        <w:spacing w:before="133" w:line="249" w:lineRule="auto"/>
        <w:ind w:right="1022" w:hanging="284"/>
        <w:rPr>
          <w:sz w:val="20"/>
        </w:rPr>
      </w:pPr>
      <w:r>
        <w:rPr>
          <w:w w:val="95"/>
          <w:sz w:val="20"/>
        </w:rPr>
        <w:t>the</w:t>
      </w:r>
      <w:r>
        <w:rPr>
          <w:spacing w:val="-5"/>
          <w:w w:val="95"/>
          <w:sz w:val="20"/>
        </w:rPr>
        <w:t xml:space="preserve"> </w:t>
      </w:r>
      <w:r>
        <w:rPr>
          <w:w w:val="95"/>
          <w:sz w:val="20"/>
        </w:rPr>
        <w:t>recent</w:t>
      </w:r>
      <w:r>
        <w:rPr>
          <w:spacing w:val="-5"/>
          <w:w w:val="95"/>
          <w:sz w:val="20"/>
        </w:rPr>
        <w:t xml:space="preserve"> </w:t>
      </w:r>
      <w:r>
        <w:rPr>
          <w:w w:val="95"/>
          <w:sz w:val="20"/>
        </w:rPr>
        <w:t>transfer</w:t>
      </w:r>
      <w:r>
        <w:rPr>
          <w:spacing w:val="-5"/>
          <w:w w:val="95"/>
          <w:sz w:val="20"/>
        </w:rPr>
        <w:t xml:space="preserve"> </w:t>
      </w:r>
      <w:r>
        <w:rPr>
          <w:w w:val="95"/>
          <w:sz w:val="20"/>
        </w:rPr>
        <w:t>of</w:t>
      </w:r>
      <w:r>
        <w:rPr>
          <w:spacing w:val="-5"/>
          <w:w w:val="95"/>
          <w:sz w:val="20"/>
        </w:rPr>
        <w:t xml:space="preserve"> </w:t>
      </w:r>
      <w:r>
        <w:rPr>
          <w:w w:val="95"/>
          <w:sz w:val="20"/>
        </w:rPr>
        <w:t>oversight</w:t>
      </w:r>
      <w:r>
        <w:rPr>
          <w:spacing w:val="-5"/>
          <w:w w:val="95"/>
          <w:sz w:val="20"/>
        </w:rPr>
        <w:t xml:space="preserve"> </w:t>
      </w:r>
      <w:r>
        <w:rPr>
          <w:w w:val="95"/>
          <w:sz w:val="20"/>
        </w:rPr>
        <w:t>of</w:t>
      </w:r>
      <w:r>
        <w:rPr>
          <w:spacing w:val="-5"/>
          <w:w w:val="95"/>
          <w:sz w:val="20"/>
        </w:rPr>
        <w:t xml:space="preserve"> </w:t>
      </w:r>
      <w:r>
        <w:rPr>
          <w:w w:val="95"/>
          <w:sz w:val="20"/>
        </w:rPr>
        <w:t>the</w:t>
      </w:r>
      <w:r>
        <w:rPr>
          <w:spacing w:val="-5"/>
          <w:w w:val="95"/>
          <w:sz w:val="20"/>
        </w:rPr>
        <w:t xml:space="preserve"> </w:t>
      </w:r>
      <w:r>
        <w:rPr>
          <w:w w:val="95"/>
          <w:sz w:val="20"/>
        </w:rPr>
        <w:t xml:space="preserve">Metropolitan </w:t>
      </w:r>
      <w:r>
        <w:rPr>
          <w:sz w:val="20"/>
        </w:rPr>
        <w:t>Freight</w:t>
      </w:r>
      <w:r>
        <w:rPr>
          <w:spacing w:val="-9"/>
          <w:sz w:val="20"/>
        </w:rPr>
        <w:t xml:space="preserve"> </w:t>
      </w:r>
      <w:r>
        <w:rPr>
          <w:sz w:val="20"/>
        </w:rPr>
        <w:t>Network</w:t>
      </w:r>
      <w:r>
        <w:rPr>
          <w:spacing w:val="-9"/>
          <w:sz w:val="20"/>
        </w:rPr>
        <w:t xml:space="preserve"> </w:t>
      </w:r>
      <w:r>
        <w:rPr>
          <w:sz w:val="20"/>
        </w:rPr>
        <w:t>from</w:t>
      </w:r>
      <w:r>
        <w:rPr>
          <w:spacing w:val="-10"/>
          <w:sz w:val="20"/>
        </w:rPr>
        <w:t xml:space="preserve"> </w:t>
      </w:r>
      <w:r>
        <w:rPr>
          <w:sz w:val="20"/>
        </w:rPr>
        <w:t>Railcorp</w:t>
      </w:r>
      <w:r>
        <w:rPr>
          <w:spacing w:val="-9"/>
          <w:sz w:val="20"/>
        </w:rPr>
        <w:t xml:space="preserve"> </w:t>
      </w:r>
      <w:r>
        <w:rPr>
          <w:sz w:val="20"/>
        </w:rPr>
        <w:t>to</w:t>
      </w:r>
      <w:r>
        <w:rPr>
          <w:spacing w:val="-9"/>
          <w:sz w:val="20"/>
        </w:rPr>
        <w:t xml:space="preserve"> </w:t>
      </w:r>
      <w:r>
        <w:rPr>
          <w:sz w:val="20"/>
        </w:rPr>
        <w:t>the</w:t>
      </w:r>
      <w:r>
        <w:rPr>
          <w:spacing w:val="-9"/>
          <w:sz w:val="20"/>
        </w:rPr>
        <w:t xml:space="preserve"> </w:t>
      </w:r>
      <w:r>
        <w:rPr>
          <w:sz w:val="20"/>
        </w:rPr>
        <w:t>ARTC</w:t>
      </w:r>
    </w:p>
    <w:p w:rsidR="002C1123" w:rsidRDefault="00F22F94">
      <w:pPr>
        <w:pStyle w:val="ListParagraph"/>
        <w:numPr>
          <w:ilvl w:val="3"/>
          <w:numId w:val="80"/>
        </w:numPr>
        <w:tabs>
          <w:tab w:val="left" w:pos="473"/>
        </w:tabs>
        <w:spacing w:before="130" w:line="249" w:lineRule="auto"/>
        <w:ind w:right="962" w:hanging="284"/>
        <w:rPr>
          <w:sz w:val="20"/>
        </w:rPr>
      </w:pPr>
      <w:r>
        <w:rPr>
          <w:sz w:val="20"/>
        </w:rPr>
        <w:t>completion</w:t>
      </w:r>
      <w:r>
        <w:rPr>
          <w:spacing w:val="-13"/>
          <w:sz w:val="20"/>
        </w:rPr>
        <w:t xml:space="preserve"> </w:t>
      </w:r>
      <w:r>
        <w:rPr>
          <w:sz w:val="20"/>
        </w:rPr>
        <w:t>of</w:t>
      </w:r>
      <w:r>
        <w:rPr>
          <w:spacing w:val="-13"/>
          <w:sz w:val="20"/>
        </w:rPr>
        <w:t xml:space="preserve"> </w:t>
      </w:r>
      <w:r>
        <w:rPr>
          <w:sz w:val="20"/>
        </w:rPr>
        <w:t>the</w:t>
      </w:r>
      <w:r>
        <w:rPr>
          <w:spacing w:val="-13"/>
          <w:sz w:val="20"/>
        </w:rPr>
        <w:t xml:space="preserve"> </w:t>
      </w:r>
      <w:r>
        <w:rPr>
          <w:sz w:val="20"/>
        </w:rPr>
        <w:t>Southern</w:t>
      </w:r>
      <w:r>
        <w:rPr>
          <w:spacing w:val="-13"/>
          <w:sz w:val="20"/>
        </w:rPr>
        <w:t xml:space="preserve"> </w:t>
      </w:r>
      <w:r>
        <w:rPr>
          <w:sz w:val="20"/>
        </w:rPr>
        <w:t>Sydney</w:t>
      </w:r>
      <w:r>
        <w:rPr>
          <w:spacing w:val="-13"/>
          <w:sz w:val="20"/>
        </w:rPr>
        <w:t xml:space="preserve"> </w:t>
      </w:r>
      <w:r>
        <w:rPr>
          <w:sz w:val="20"/>
        </w:rPr>
        <w:t>Freight</w:t>
      </w:r>
      <w:r>
        <w:rPr>
          <w:spacing w:val="-13"/>
          <w:sz w:val="20"/>
        </w:rPr>
        <w:t xml:space="preserve"> </w:t>
      </w:r>
      <w:r>
        <w:rPr>
          <w:sz w:val="20"/>
        </w:rPr>
        <w:t>Line, which</w:t>
      </w:r>
      <w:r>
        <w:rPr>
          <w:spacing w:val="-11"/>
          <w:sz w:val="20"/>
        </w:rPr>
        <w:t xml:space="preserve"> </w:t>
      </w:r>
      <w:r>
        <w:rPr>
          <w:sz w:val="20"/>
        </w:rPr>
        <w:t>will</w:t>
      </w:r>
      <w:r>
        <w:rPr>
          <w:spacing w:val="-11"/>
          <w:sz w:val="20"/>
        </w:rPr>
        <w:t xml:space="preserve"> </w:t>
      </w:r>
      <w:r>
        <w:rPr>
          <w:sz w:val="20"/>
        </w:rPr>
        <w:t>deliver</w:t>
      </w:r>
      <w:r>
        <w:rPr>
          <w:spacing w:val="-11"/>
          <w:sz w:val="20"/>
        </w:rPr>
        <w:t xml:space="preserve"> </w:t>
      </w:r>
      <w:r>
        <w:rPr>
          <w:sz w:val="20"/>
        </w:rPr>
        <w:t>a</w:t>
      </w:r>
      <w:r>
        <w:rPr>
          <w:spacing w:val="-11"/>
          <w:sz w:val="20"/>
        </w:rPr>
        <w:t xml:space="preserve"> </w:t>
      </w:r>
      <w:r>
        <w:rPr>
          <w:sz w:val="20"/>
        </w:rPr>
        <w:t>dedicated</w:t>
      </w:r>
      <w:r>
        <w:rPr>
          <w:spacing w:val="-11"/>
          <w:sz w:val="20"/>
        </w:rPr>
        <w:t xml:space="preserve"> </w:t>
      </w:r>
      <w:r>
        <w:rPr>
          <w:sz w:val="20"/>
        </w:rPr>
        <w:t>freight</w:t>
      </w:r>
      <w:r>
        <w:rPr>
          <w:spacing w:val="-11"/>
          <w:sz w:val="20"/>
        </w:rPr>
        <w:t xml:space="preserve"> </w:t>
      </w:r>
      <w:r>
        <w:rPr>
          <w:sz w:val="20"/>
        </w:rPr>
        <w:t>rail</w:t>
      </w:r>
      <w:r>
        <w:rPr>
          <w:spacing w:val="-11"/>
          <w:sz w:val="20"/>
        </w:rPr>
        <w:t xml:space="preserve"> </w:t>
      </w:r>
      <w:r>
        <w:rPr>
          <w:sz w:val="20"/>
        </w:rPr>
        <w:t xml:space="preserve">network </w:t>
      </w:r>
      <w:r>
        <w:rPr>
          <w:w w:val="95"/>
          <w:sz w:val="20"/>
        </w:rPr>
        <w:t xml:space="preserve">between Port Botany and Macarthur, in the South- </w:t>
      </w:r>
      <w:r>
        <w:rPr>
          <w:sz w:val="20"/>
        </w:rPr>
        <w:t>West of the metropolitan area</w:t>
      </w:r>
    </w:p>
    <w:p w:rsidR="002C1123" w:rsidRDefault="00F22F94">
      <w:pPr>
        <w:pStyle w:val="ListParagraph"/>
        <w:numPr>
          <w:ilvl w:val="3"/>
          <w:numId w:val="80"/>
        </w:numPr>
        <w:tabs>
          <w:tab w:val="left" w:pos="473"/>
        </w:tabs>
        <w:spacing w:before="132" w:line="249" w:lineRule="auto"/>
        <w:ind w:right="1238" w:hanging="284"/>
        <w:rPr>
          <w:sz w:val="20"/>
        </w:rPr>
      </w:pPr>
      <w:r>
        <w:rPr>
          <w:w w:val="95"/>
          <w:sz w:val="20"/>
        </w:rPr>
        <w:t xml:space="preserve">targeted investment to remove bottlenecks that </w:t>
      </w:r>
      <w:r>
        <w:rPr>
          <w:sz w:val="20"/>
        </w:rPr>
        <w:t>impact</w:t>
      </w:r>
      <w:r>
        <w:rPr>
          <w:spacing w:val="-6"/>
          <w:sz w:val="20"/>
        </w:rPr>
        <w:t xml:space="preserve"> </w:t>
      </w:r>
      <w:r>
        <w:rPr>
          <w:sz w:val="20"/>
        </w:rPr>
        <w:t>rail</w:t>
      </w:r>
      <w:r>
        <w:rPr>
          <w:spacing w:val="-6"/>
          <w:sz w:val="20"/>
        </w:rPr>
        <w:t xml:space="preserve"> </w:t>
      </w:r>
      <w:r>
        <w:rPr>
          <w:sz w:val="20"/>
        </w:rPr>
        <w:t>performance,</w:t>
      </w:r>
      <w:r>
        <w:rPr>
          <w:spacing w:val="-6"/>
          <w:sz w:val="20"/>
        </w:rPr>
        <w:t xml:space="preserve"> </w:t>
      </w:r>
      <w:r>
        <w:rPr>
          <w:sz w:val="20"/>
        </w:rPr>
        <w:t>for</w:t>
      </w:r>
      <w:r>
        <w:rPr>
          <w:spacing w:val="-6"/>
          <w:sz w:val="20"/>
        </w:rPr>
        <w:t xml:space="preserve"> </w:t>
      </w:r>
      <w:r>
        <w:rPr>
          <w:sz w:val="20"/>
        </w:rPr>
        <w:t>example</w:t>
      </w:r>
      <w:r>
        <w:rPr>
          <w:spacing w:val="-6"/>
          <w:sz w:val="20"/>
        </w:rPr>
        <w:t xml:space="preserve"> </w:t>
      </w:r>
      <w:r>
        <w:rPr>
          <w:sz w:val="20"/>
        </w:rPr>
        <w:t>through clearing</w:t>
      </w:r>
      <w:r>
        <w:rPr>
          <w:spacing w:val="-11"/>
          <w:sz w:val="20"/>
        </w:rPr>
        <w:t xml:space="preserve"> </w:t>
      </w:r>
      <w:r>
        <w:rPr>
          <w:sz w:val="20"/>
        </w:rPr>
        <w:t>the</w:t>
      </w:r>
      <w:r>
        <w:rPr>
          <w:spacing w:val="-11"/>
          <w:sz w:val="20"/>
        </w:rPr>
        <w:t xml:space="preserve"> </w:t>
      </w:r>
      <w:r>
        <w:rPr>
          <w:sz w:val="20"/>
        </w:rPr>
        <w:t>Enfield</w:t>
      </w:r>
      <w:r>
        <w:rPr>
          <w:spacing w:val="-11"/>
          <w:sz w:val="20"/>
        </w:rPr>
        <w:t xml:space="preserve"> </w:t>
      </w:r>
      <w:r>
        <w:rPr>
          <w:sz w:val="20"/>
        </w:rPr>
        <w:t>staging</w:t>
      </w:r>
      <w:r>
        <w:rPr>
          <w:spacing w:val="-11"/>
          <w:sz w:val="20"/>
        </w:rPr>
        <w:t xml:space="preserve"> </w:t>
      </w:r>
      <w:r>
        <w:rPr>
          <w:sz w:val="20"/>
        </w:rPr>
        <w:t>facility.</w:t>
      </w:r>
    </w:p>
    <w:p w:rsidR="002C1123" w:rsidRDefault="002C1123">
      <w:pPr>
        <w:spacing w:line="249" w:lineRule="auto"/>
        <w:rPr>
          <w:sz w:val="20"/>
        </w:rPr>
        <w:sectPr w:rsidR="002C1123">
          <w:type w:val="continuous"/>
          <w:pgSz w:w="16840" w:h="11910" w:orient="landscape"/>
          <w:pgMar w:top="560" w:right="280" w:bottom="280" w:left="500" w:header="0" w:footer="517" w:gutter="0"/>
          <w:cols w:num="3" w:space="720" w:equalWidth="0">
            <w:col w:w="5273" w:space="40"/>
            <w:col w:w="5004" w:space="39"/>
            <w:col w:w="5704"/>
          </w:cols>
        </w:sectPr>
      </w:pPr>
    </w:p>
    <w:p w:rsidR="002C1123" w:rsidRDefault="00F22F94">
      <w:pPr>
        <w:pStyle w:val="BodyText"/>
        <w:tabs>
          <w:tab w:val="left" w:pos="5518"/>
          <w:tab w:val="left" w:pos="6958"/>
        </w:tabs>
        <w:spacing w:before="54"/>
        <w:ind w:left="492"/>
      </w:pPr>
      <w:r>
        <w:rPr>
          <w:w w:val="95"/>
        </w:rPr>
        <w:t>The</w:t>
      </w:r>
      <w:r>
        <w:rPr>
          <w:spacing w:val="-8"/>
          <w:w w:val="95"/>
        </w:rPr>
        <w:t xml:space="preserve"> </w:t>
      </w:r>
      <w:r>
        <w:rPr>
          <w:w w:val="95"/>
        </w:rPr>
        <w:t>major</w:t>
      </w:r>
      <w:r>
        <w:rPr>
          <w:spacing w:val="-8"/>
          <w:w w:val="95"/>
        </w:rPr>
        <w:t xml:space="preserve"> </w:t>
      </w:r>
      <w:r>
        <w:rPr>
          <w:w w:val="95"/>
        </w:rPr>
        <w:t>infrastructure</w:t>
      </w:r>
      <w:r>
        <w:rPr>
          <w:spacing w:val="-7"/>
          <w:w w:val="95"/>
        </w:rPr>
        <w:t xml:space="preserve"> </w:t>
      </w:r>
      <w:r>
        <w:rPr>
          <w:w w:val="95"/>
        </w:rPr>
        <w:t>requirement</w:t>
      </w:r>
      <w:r>
        <w:rPr>
          <w:spacing w:val="-8"/>
          <w:w w:val="95"/>
        </w:rPr>
        <w:t xml:space="preserve"> </w:t>
      </w:r>
      <w:r>
        <w:rPr>
          <w:w w:val="95"/>
        </w:rPr>
        <w:t>identified</w:t>
      </w:r>
      <w:r>
        <w:rPr>
          <w:spacing w:val="-8"/>
          <w:w w:val="95"/>
        </w:rPr>
        <w:t xml:space="preserve"> </w:t>
      </w:r>
      <w:r>
        <w:rPr>
          <w:spacing w:val="-5"/>
          <w:w w:val="95"/>
        </w:rPr>
        <w:t>to</w:t>
      </w:r>
      <w:r>
        <w:tab/>
      </w:r>
      <w:r>
        <w:rPr>
          <w:u w:val="single" w:color="9C9C9D"/>
        </w:rPr>
        <w:tab/>
      </w:r>
    </w:p>
    <w:p w:rsidR="002C1123" w:rsidRDefault="00F22F94">
      <w:pPr>
        <w:pStyle w:val="Heading6"/>
        <w:numPr>
          <w:ilvl w:val="2"/>
          <w:numId w:val="80"/>
        </w:numPr>
        <w:tabs>
          <w:tab w:val="left" w:pos="979"/>
        </w:tabs>
        <w:spacing w:before="144" w:line="144" w:lineRule="exact"/>
        <w:ind w:left="978" w:hanging="487"/>
        <w:jc w:val="left"/>
        <w:rPr>
          <w:color w:val="00AEEF"/>
        </w:rPr>
      </w:pPr>
      <w:r>
        <w:rPr>
          <w:b w:val="0"/>
        </w:rPr>
        <w:br w:type="column"/>
      </w:r>
      <w:r>
        <w:rPr>
          <w:color w:val="00AEEF"/>
          <w:spacing w:val="-4"/>
        </w:rPr>
        <w:t>Longer-term</w:t>
      </w:r>
      <w:r>
        <w:rPr>
          <w:color w:val="00AEEF"/>
          <w:spacing w:val="4"/>
        </w:rPr>
        <w:t xml:space="preserve"> </w:t>
      </w:r>
      <w:r>
        <w:rPr>
          <w:color w:val="00AEEF"/>
          <w:spacing w:val="-4"/>
        </w:rPr>
        <w:t>rail</w:t>
      </w:r>
      <w:r>
        <w:rPr>
          <w:color w:val="00AEEF"/>
          <w:spacing w:val="4"/>
        </w:rPr>
        <w:t xml:space="preserve"> </w:t>
      </w:r>
      <w:r>
        <w:rPr>
          <w:color w:val="00AEEF"/>
          <w:spacing w:val="-4"/>
        </w:rPr>
        <w:t>infrastructure</w:t>
      </w:r>
      <w:r>
        <w:rPr>
          <w:color w:val="00AEEF"/>
          <w:spacing w:val="4"/>
        </w:rPr>
        <w:t xml:space="preserve"> </w:t>
      </w:r>
      <w:r>
        <w:rPr>
          <w:color w:val="00AEEF"/>
          <w:spacing w:val="-4"/>
        </w:rPr>
        <w:t>options</w:t>
      </w:r>
    </w:p>
    <w:p w:rsidR="002C1123" w:rsidRDefault="002C1123">
      <w:pPr>
        <w:spacing w:line="144" w:lineRule="exact"/>
        <w:sectPr w:rsidR="002C1123">
          <w:type w:val="continuous"/>
          <w:pgSz w:w="16840" w:h="11910" w:orient="landscape"/>
          <w:pgMar w:top="560" w:right="280" w:bottom="280" w:left="500" w:header="0" w:footer="517" w:gutter="0"/>
          <w:cols w:num="2" w:space="720" w:equalWidth="0">
            <w:col w:w="6999" w:space="3054"/>
            <w:col w:w="6007"/>
          </w:cols>
        </w:sectPr>
      </w:pPr>
    </w:p>
    <w:p w:rsidR="002C1123" w:rsidRDefault="00F22F94">
      <w:pPr>
        <w:pStyle w:val="BodyText"/>
        <w:spacing w:before="6" w:line="249" w:lineRule="auto"/>
        <w:ind w:left="492"/>
      </w:pPr>
      <w:r>
        <w:rPr>
          <w:w w:val="95"/>
        </w:rPr>
        <w:t>increase</w:t>
      </w:r>
      <w:r>
        <w:rPr>
          <w:spacing w:val="-2"/>
          <w:w w:val="95"/>
        </w:rPr>
        <w:t xml:space="preserve"> </w:t>
      </w:r>
      <w:r>
        <w:rPr>
          <w:w w:val="95"/>
        </w:rPr>
        <w:t>the</w:t>
      </w:r>
      <w:r>
        <w:rPr>
          <w:spacing w:val="-2"/>
          <w:w w:val="95"/>
        </w:rPr>
        <w:t xml:space="preserve"> </w:t>
      </w:r>
      <w:r>
        <w:rPr>
          <w:w w:val="95"/>
        </w:rPr>
        <w:t>proportion</w:t>
      </w:r>
      <w:r>
        <w:rPr>
          <w:spacing w:val="-2"/>
          <w:w w:val="95"/>
        </w:rPr>
        <w:t xml:space="preserve"> </w:t>
      </w:r>
      <w:r>
        <w:rPr>
          <w:w w:val="95"/>
        </w:rPr>
        <w:t>of</w:t>
      </w:r>
      <w:r>
        <w:rPr>
          <w:spacing w:val="-2"/>
          <w:w w:val="95"/>
        </w:rPr>
        <w:t xml:space="preserve"> </w:t>
      </w:r>
      <w:r>
        <w:rPr>
          <w:w w:val="95"/>
        </w:rPr>
        <w:t>container</w:t>
      </w:r>
      <w:r>
        <w:rPr>
          <w:spacing w:val="-2"/>
          <w:w w:val="95"/>
        </w:rPr>
        <w:t xml:space="preserve"> </w:t>
      </w:r>
      <w:r>
        <w:rPr>
          <w:w w:val="95"/>
        </w:rPr>
        <w:t>freight</w:t>
      </w:r>
      <w:r>
        <w:rPr>
          <w:spacing w:val="-2"/>
          <w:w w:val="95"/>
        </w:rPr>
        <w:t xml:space="preserve"> </w:t>
      </w:r>
      <w:r>
        <w:rPr>
          <w:w w:val="95"/>
        </w:rPr>
        <w:t>that</w:t>
      </w:r>
      <w:r>
        <w:rPr>
          <w:spacing w:val="-2"/>
          <w:w w:val="95"/>
        </w:rPr>
        <w:t xml:space="preserve"> </w:t>
      </w:r>
      <w:r>
        <w:rPr>
          <w:w w:val="95"/>
        </w:rPr>
        <w:t xml:space="preserve">moves </w:t>
      </w:r>
      <w:r>
        <w:t>by</w:t>
      </w:r>
      <w:r>
        <w:rPr>
          <w:spacing w:val="-13"/>
        </w:rPr>
        <w:t xml:space="preserve"> </w:t>
      </w:r>
      <w:r>
        <w:t>rail</w:t>
      </w:r>
      <w:r>
        <w:rPr>
          <w:spacing w:val="-13"/>
        </w:rPr>
        <w:t xml:space="preserve"> </w:t>
      </w:r>
      <w:r>
        <w:t>is</w:t>
      </w:r>
      <w:r>
        <w:rPr>
          <w:spacing w:val="-13"/>
        </w:rPr>
        <w:t xml:space="preserve"> </w:t>
      </w:r>
      <w:r>
        <w:t>investment</w:t>
      </w:r>
      <w:r>
        <w:rPr>
          <w:spacing w:val="-13"/>
        </w:rPr>
        <w:t xml:space="preserve"> </w:t>
      </w:r>
      <w:r>
        <w:t>in</w:t>
      </w:r>
      <w:r>
        <w:rPr>
          <w:spacing w:val="-13"/>
        </w:rPr>
        <w:t xml:space="preserve"> </w:t>
      </w:r>
      <w:r>
        <w:t>intermodal</w:t>
      </w:r>
      <w:r>
        <w:rPr>
          <w:spacing w:val="-13"/>
        </w:rPr>
        <w:t xml:space="preserve"> </w:t>
      </w:r>
      <w:r>
        <w:t>capacity.</w:t>
      </w:r>
    </w:p>
    <w:p w:rsidR="002C1123" w:rsidRDefault="00F22F94">
      <w:pPr>
        <w:pStyle w:val="BodyText"/>
        <w:spacing w:before="143" w:line="249" w:lineRule="auto"/>
        <w:ind w:left="492"/>
      </w:pPr>
      <w:r>
        <w:rPr>
          <w:w w:val="95"/>
        </w:rPr>
        <w:t>The</w:t>
      </w:r>
      <w:r>
        <w:rPr>
          <w:spacing w:val="-4"/>
          <w:w w:val="95"/>
        </w:rPr>
        <w:t xml:space="preserve"> </w:t>
      </w:r>
      <w:r>
        <w:rPr>
          <w:w w:val="95"/>
        </w:rPr>
        <w:t>concept</w:t>
      </w:r>
      <w:r>
        <w:rPr>
          <w:spacing w:val="-4"/>
          <w:w w:val="95"/>
        </w:rPr>
        <w:t xml:space="preserve"> </w:t>
      </w:r>
      <w:r>
        <w:rPr>
          <w:w w:val="95"/>
        </w:rPr>
        <w:t>of</w:t>
      </w:r>
      <w:r>
        <w:rPr>
          <w:spacing w:val="-4"/>
          <w:w w:val="95"/>
        </w:rPr>
        <w:t xml:space="preserve"> </w:t>
      </w:r>
      <w:r>
        <w:rPr>
          <w:w w:val="95"/>
        </w:rPr>
        <w:t>intermodal</w:t>
      </w:r>
      <w:r>
        <w:rPr>
          <w:spacing w:val="-4"/>
          <w:w w:val="95"/>
        </w:rPr>
        <w:t xml:space="preserve"> </w:t>
      </w:r>
      <w:r>
        <w:rPr>
          <w:w w:val="95"/>
        </w:rPr>
        <w:t>terminals</w:t>
      </w:r>
      <w:r>
        <w:rPr>
          <w:spacing w:val="-4"/>
          <w:w w:val="95"/>
        </w:rPr>
        <w:t xml:space="preserve"> </w:t>
      </w:r>
      <w:r>
        <w:rPr>
          <w:w w:val="95"/>
        </w:rPr>
        <w:t>as</w:t>
      </w:r>
      <w:r>
        <w:rPr>
          <w:spacing w:val="-4"/>
          <w:w w:val="95"/>
        </w:rPr>
        <w:t xml:space="preserve"> </w:t>
      </w:r>
      <w:r>
        <w:rPr>
          <w:w w:val="95"/>
        </w:rPr>
        <w:t>inland</w:t>
      </w:r>
      <w:r>
        <w:rPr>
          <w:spacing w:val="-4"/>
          <w:w w:val="95"/>
        </w:rPr>
        <w:t xml:space="preserve"> </w:t>
      </w:r>
      <w:r>
        <w:rPr>
          <w:w w:val="95"/>
        </w:rPr>
        <w:t>ports</w:t>
      </w:r>
      <w:r>
        <w:rPr>
          <w:spacing w:val="-4"/>
          <w:w w:val="95"/>
        </w:rPr>
        <w:t xml:space="preserve"> </w:t>
      </w:r>
      <w:r>
        <w:rPr>
          <w:w w:val="95"/>
        </w:rPr>
        <w:t xml:space="preserve">has </w:t>
      </w:r>
      <w:r>
        <w:t>attracted</w:t>
      </w:r>
      <w:r>
        <w:rPr>
          <w:spacing w:val="-8"/>
        </w:rPr>
        <w:t xml:space="preserve"> </w:t>
      </w:r>
      <w:r>
        <w:t>a</w:t>
      </w:r>
      <w:r>
        <w:rPr>
          <w:spacing w:val="-8"/>
        </w:rPr>
        <w:t xml:space="preserve"> </w:t>
      </w:r>
      <w:r>
        <w:t>great</w:t>
      </w:r>
      <w:r>
        <w:rPr>
          <w:spacing w:val="-8"/>
        </w:rPr>
        <w:t xml:space="preserve"> </w:t>
      </w:r>
      <w:r>
        <w:t>deal</w:t>
      </w:r>
      <w:r>
        <w:rPr>
          <w:spacing w:val="-8"/>
        </w:rPr>
        <w:t xml:space="preserve"> </w:t>
      </w:r>
      <w:r>
        <w:t>of</w:t>
      </w:r>
      <w:r>
        <w:rPr>
          <w:spacing w:val="-8"/>
        </w:rPr>
        <w:t xml:space="preserve"> </w:t>
      </w:r>
      <w:r>
        <w:t>support</w:t>
      </w:r>
      <w:r>
        <w:rPr>
          <w:spacing w:val="-8"/>
        </w:rPr>
        <w:t xml:space="preserve"> </w:t>
      </w:r>
      <w:r>
        <w:t>in</w:t>
      </w:r>
      <w:r>
        <w:rPr>
          <w:spacing w:val="-8"/>
        </w:rPr>
        <w:t xml:space="preserve"> </w:t>
      </w:r>
      <w:r>
        <w:t>recent</w:t>
      </w:r>
      <w:r>
        <w:rPr>
          <w:spacing w:val="-8"/>
        </w:rPr>
        <w:t xml:space="preserve"> </w:t>
      </w:r>
      <w:r>
        <w:t>years.</w:t>
      </w:r>
    </w:p>
    <w:p w:rsidR="002C1123" w:rsidRDefault="00F22F94">
      <w:pPr>
        <w:pStyle w:val="ListParagraph"/>
        <w:numPr>
          <w:ilvl w:val="0"/>
          <w:numId w:val="78"/>
        </w:numPr>
        <w:tabs>
          <w:tab w:val="left" w:pos="505"/>
        </w:tabs>
        <w:spacing w:before="19" w:line="161" w:lineRule="exact"/>
        <w:ind w:left="504" w:hanging="200"/>
        <w:jc w:val="left"/>
        <w:rPr>
          <w:sz w:val="14"/>
        </w:rPr>
      </w:pPr>
      <w:r>
        <w:br w:type="column"/>
      </w:r>
      <w:r>
        <w:rPr>
          <w:w w:val="95"/>
          <w:sz w:val="14"/>
        </w:rPr>
        <w:t>Transport</w:t>
      </w:r>
      <w:r>
        <w:rPr>
          <w:spacing w:val="-1"/>
          <w:sz w:val="14"/>
        </w:rPr>
        <w:t xml:space="preserve"> </w:t>
      </w:r>
      <w:r>
        <w:rPr>
          <w:w w:val="95"/>
          <w:sz w:val="14"/>
        </w:rPr>
        <w:t>for</w:t>
      </w:r>
      <w:r>
        <w:rPr>
          <w:spacing w:val="-1"/>
          <w:sz w:val="14"/>
        </w:rPr>
        <w:t xml:space="preserve"> </w:t>
      </w:r>
      <w:r>
        <w:rPr>
          <w:w w:val="95"/>
          <w:sz w:val="14"/>
        </w:rPr>
        <w:t>NSW</w:t>
      </w:r>
      <w:r>
        <w:rPr>
          <w:spacing w:val="-1"/>
          <w:sz w:val="14"/>
        </w:rPr>
        <w:t xml:space="preserve"> </w:t>
      </w:r>
      <w:r>
        <w:rPr>
          <w:w w:val="95"/>
          <w:sz w:val="14"/>
        </w:rPr>
        <w:t>2012,</w:t>
      </w:r>
      <w:r>
        <w:rPr>
          <w:spacing w:val="-1"/>
          <w:sz w:val="14"/>
        </w:rPr>
        <w:t xml:space="preserve"> </w:t>
      </w:r>
      <w:r>
        <w:rPr>
          <w:w w:val="95"/>
          <w:sz w:val="14"/>
        </w:rPr>
        <w:t>Draft</w:t>
      </w:r>
      <w:r>
        <w:rPr>
          <w:spacing w:val="-1"/>
          <w:sz w:val="14"/>
        </w:rPr>
        <w:t xml:space="preserve"> </w:t>
      </w:r>
      <w:r>
        <w:rPr>
          <w:w w:val="95"/>
          <w:sz w:val="14"/>
        </w:rPr>
        <w:t>Transport</w:t>
      </w:r>
      <w:r>
        <w:rPr>
          <w:spacing w:val="-1"/>
          <w:sz w:val="14"/>
        </w:rPr>
        <w:t xml:space="preserve"> </w:t>
      </w:r>
      <w:r>
        <w:rPr>
          <w:w w:val="95"/>
          <w:sz w:val="14"/>
        </w:rPr>
        <w:t>Master</w:t>
      </w:r>
      <w:r>
        <w:rPr>
          <w:spacing w:val="-1"/>
          <w:sz w:val="14"/>
        </w:rPr>
        <w:t xml:space="preserve"> </w:t>
      </w:r>
      <w:r>
        <w:rPr>
          <w:spacing w:val="-2"/>
          <w:w w:val="95"/>
          <w:sz w:val="14"/>
        </w:rPr>
        <w:t>Plan.</w:t>
      </w:r>
    </w:p>
    <w:p w:rsidR="002C1123" w:rsidRDefault="00F22F94">
      <w:pPr>
        <w:pStyle w:val="ListParagraph"/>
        <w:numPr>
          <w:ilvl w:val="0"/>
          <w:numId w:val="78"/>
        </w:numPr>
        <w:tabs>
          <w:tab w:val="left" w:pos="505"/>
        </w:tabs>
        <w:ind w:left="504" w:right="424"/>
        <w:jc w:val="left"/>
        <w:rPr>
          <w:sz w:val="14"/>
        </w:rPr>
      </w:pPr>
      <w:r>
        <w:rPr>
          <w:w w:val="95"/>
          <w:sz w:val="14"/>
        </w:rPr>
        <w:t>Shipping Australia and Sydney Ports Corporation 2010, The Future of</w:t>
      </w:r>
      <w:r>
        <w:rPr>
          <w:spacing w:val="40"/>
          <w:sz w:val="14"/>
        </w:rPr>
        <w:t xml:space="preserve"> </w:t>
      </w:r>
      <w:r>
        <w:rPr>
          <w:sz w:val="14"/>
        </w:rPr>
        <w:t>Sydney Ports: A 30 Year Horizon.</w:t>
      </w:r>
    </w:p>
    <w:p w:rsidR="002C1123" w:rsidRDefault="00F22F94">
      <w:pPr>
        <w:pStyle w:val="ListParagraph"/>
        <w:numPr>
          <w:ilvl w:val="0"/>
          <w:numId w:val="78"/>
        </w:numPr>
        <w:tabs>
          <w:tab w:val="left" w:pos="505"/>
        </w:tabs>
        <w:ind w:left="504"/>
        <w:jc w:val="left"/>
        <w:rPr>
          <w:sz w:val="14"/>
        </w:rPr>
      </w:pPr>
      <w:r>
        <w:rPr>
          <w:w w:val="95"/>
          <w:sz w:val="14"/>
        </w:rPr>
        <w:t>300,000 TEU is the maximum approved capacity for the Enfield International</w:t>
      </w:r>
      <w:r>
        <w:rPr>
          <w:spacing w:val="40"/>
          <w:sz w:val="14"/>
        </w:rPr>
        <w:t xml:space="preserve"> </w:t>
      </w:r>
      <w:r>
        <w:rPr>
          <w:w w:val="95"/>
          <w:sz w:val="14"/>
        </w:rPr>
        <w:t>Terminal. Management’s assessment is that maximum theoretical capacity</w:t>
      </w:r>
      <w:r>
        <w:rPr>
          <w:spacing w:val="40"/>
          <w:sz w:val="14"/>
        </w:rPr>
        <w:t xml:space="preserve"> </w:t>
      </w:r>
      <w:r>
        <w:rPr>
          <w:sz w:val="14"/>
        </w:rPr>
        <w:t>for this facility is 500,000 TEUs per annum.</w:t>
      </w:r>
    </w:p>
    <w:p w:rsidR="002C1123" w:rsidRDefault="00F22F94">
      <w:pPr>
        <w:pStyle w:val="ListParagraph"/>
        <w:numPr>
          <w:ilvl w:val="0"/>
          <w:numId w:val="78"/>
        </w:numPr>
        <w:tabs>
          <w:tab w:val="left" w:pos="505"/>
        </w:tabs>
        <w:spacing w:line="237" w:lineRule="auto"/>
        <w:ind w:left="504" w:right="468"/>
        <w:jc w:val="left"/>
        <w:rPr>
          <w:sz w:val="14"/>
        </w:rPr>
      </w:pPr>
      <w:r>
        <w:rPr>
          <w:w w:val="95"/>
          <w:sz w:val="14"/>
        </w:rPr>
        <w:t>Sydney Ports Corporation and Hutchison Port Holdings 2011, Media</w:t>
      </w:r>
      <w:r>
        <w:rPr>
          <w:spacing w:val="40"/>
          <w:sz w:val="14"/>
        </w:rPr>
        <w:t xml:space="preserve"> </w:t>
      </w:r>
      <w:r>
        <w:rPr>
          <w:sz w:val="14"/>
        </w:rPr>
        <w:t>Release:</w:t>
      </w:r>
      <w:r>
        <w:rPr>
          <w:spacing w:val="-7"/>
          <w:sz w:val="14"/>
        </w:rPr>
        <w:t xml:space="preserve"> </w:t>
      </w:r>
      <w:r>
        <w:rPr>
          <w:sz w:val="14"/>
        </w:rPr>
        <w:t>HPH</w:t>
      </w:r>
      <w:r>
        <w:rPr>
          <w:spacing w:val="-7"/>
          <w:sz w:val="14"/>
        </w:rPr>
        <w:t xml:space="preserve"> </w:t>
      </w:r>
      <w:r>
        <w:rPr>
          <w:sz w:val="14"/>
        </w:rPr>
        <w:t>to</w:t>
      </w:r>
      <w:r>
        <w:rPr>
          <w:spacing w:val="-7"/>
          <w:sz w:val="14"/>
        </w:rPr>
        <w:t xml:space="preserve"> </w:t>
      </w:r>
      <w:r>
        <w:rPr>
          <w:sz w:val="14"/>
        </w:rPr>
        <w:t>operate</w:t>
      </w:r>
      <w:r>
        <w:rPr>
          <w:spacing w:val="-7"/>
          <w:sz w:val="14"/>
        </w:rPr>
        <w:t xml:space="preserve"> </w:t>
      </w:r>
      <w:r>
        <w:rPr>
          <w:sz w:val="14"/>
        </w:rPr>
        <w:t>Enfield</w:t>
      </w:r>
      <w:r>
        <w:rPr>
          <w:spacing w:val="-7"/>
          <w:sz w:val="14"/>
        </w:rPr>
        <w:t xml:space="preserve"> </w:t>
      </w:r>
      <w:r>
        <w:rPr>
          <w:sz w:val="14"/>
        </w:rPr>
        <w:t>ILC,</w:t>
      </w:r>
      <w:r>
        <w:rPr>
          <w:spacing w:val="-7"/>
          <w:sz w:val="14"/>
        </w:rPr>
        <w:t xml:space="preserve"> </w:t>
      </w:r>
      <w:r>
        <w:rPr>
          <w:sz w:val="14"/>
        </w:rPr>
        <w:t>2</w:t>
      </w:r>
      <w:r>
        <w:rPr>
          <w:spacing w:val="-7"/>
          <w:sz w:val="14"/>
        </w:rPr>
        <w:t xml:space="preserve"> </w:t>
      </w:r>
      <w:r>
        <w:rPr>
          <w:sz w:val="14"/>
        </w:rPr>
        <w:t>August</w:t>
      </w:r>
      <w:r>
        <w:rPr>
          <w:spacing w:val="-7"/>
          <w:sz w:val="14"/>
        </w:rPr>
        <w:t xml:space="preserve"> </w:t>
      </w:r>
      <w:r>
        <w:rPr>
          <w:sz w:val="14"/>
        </w:rPr>
        <w:t>2012.</w:t>
      </w:r>
    </w:p>
    <w:p w:rsidR="002C1123" w:rsidRDefault="00F22F94">
      <w:pPr>
        <w:pStyle w:val="BodyText"/>
        <w:spacing w:before="181" w:line="249" w:lineRule="auto"/>
        <w:ind w:left="200" w:right="761"/>
      </w:pPr>
      <w:r>
        <w:br w:type="column"/>
      </w:r>
      <w:r>
        <w:t>Should</w:t>
      </w:r>
      <w:r>
        <w:rPr>
          <w:spacing w:val="-9"/>
        </w:rPr>
        <w:t xml:space="preserve"> </w:t>
      </w:r>
      <w:r>
        <w:t>the</w:t>
      </w:r>
      <w:r>
        <w:rPr>
          <w:spacing w:val="-9"/>
        </w:rPr>
        <w:t xml:space="preserve"> </w:t>
      </w:r>
      <w:r>
        <w:t>short</w:t>
      </w:r>
      <w:r>
        <w:rPr>
          <w:spacing w:val="-9"/>
        </w:rPr>
        <w:t xml:space="preserve"> </w:t>
      </w:r>
      <w:r>
        <w:t>haul</w:t>
      </w:r>
      <w:r>
        <w:rPr>
          <w:spacing w:val="-9"/>
        </w:rPr>
        <w:t xml:space="preserve"> </w:t>
      </w:r>
      <w:r>
        <w:t>import</w:t>
      </w:r>
      <w:r>
        <w:rPr>
          <w:spacing w:val="-9"/>
        </w:rPr>
        <w:t xml:space="preserve"> </w:t>
      </w:r>
      <w:r>
        <w:t>export</w:t>
      </w:r>
      <w:r>
        <w:rPr>
          <w:spacing w:val="-9"/>
        </w:rPr>
        <w:t xml:space="preserve"> </w:t>
      </w:r>
      <w:r>
        <w:t>intermodal</w:t>
      </w:r>
      <w:r>
        <w:rPr>
          <w:spacing w:val="-9"/>
        </w:rPr>
        <w:t xml:space="preserve"> </w:t>
      </w:r>
      <w:r>
        <w:t>market prove</w:t>
      </w:r>
      <w:r>
        <w:rPr>
          <w:spacing w:val="-14"/>
        </w:rPr>
        <w:t xml:space="preserve"> </w:t>
      </w:r>
      <w:r>
        <w:t>viable,</w:t>
      </w:r>
      <w:r>
        <w:rPr>
          <w:spacing w:val="-14"/>
        </w:rPr>
        <w:t xml:space="preserve"> </w:t>
      </w:r>
      <w:r>
        <w:t>either</w:t>
      </w:r>
      <w:r>
        <w:rPr>
          <w:spacing w:val="-14"/>
        </w:rPr>
        <w:t xml:space="preserve"> </w:t>
      </w:r>
      <w:r>
        <w:t>of</w:t>
      </w:r>
      <w:r>
        <w:rPr>
          <w:spacing w:val="-14"/>
        </w:rPr>
        <w:t xml:space="preserve"> </w:t>
      </w:r>
      <w:r>
        <w:t>the</w:t>
      </w:r>
      <w:r>
        <w:rPr>
          <w:spacing w:val="-14"/>
        </w:rPr>
        <w:t xml:space="preserve"> </w:t>
      </w:r>
      <w:r>
        <w:t>proposed</w:t>
      </w:r>
      <w:r>
        <w:rPr>
          <w:spacing w:val="-14"/>
        </w:rPr>
        <w:t xml:space="preserve"> </w:t>
      </w:r>
      <w:r>
        <w:t>investments</w:t>
      </w:r>
      <w:r>
        <w:rPr>
          <w:spacing w:val="-14"/>
        </w:rPr>
        <w:t xml:space="preserve"> </w:t>
      </w:r>
      <w:r>
        <w:t>in</w:t>
      </w:r>
      <w:r>
        <w:rPr>
          <w:spacing w:val="-14"/>
        </w:rPr>
        <w:t xml:space="preserve"> </w:t>
      </w:r>
      <w:r>
        <w:t xml:space="preserve">the </w:t>
      </w:r>
      <w:r>
        <w:rPr>
          <w:w w:val="95"/>
        </w:rPr>
        <w:t xml:space="preserve">Moorebank precinct, combined with Enfield and existing </w:t>
      </w:r>
      <w:r>
        <w:t>intermodal</w:t>
      </w:r>
      <w:r>
        <w:rPr>
          <w:spacing w:val="-14"/>
        </w:rPr>
        <w:t xml:space="preserve"> </w:t>
      </w:r>
      <w:r>
        <w:t>capacity,</w:t>
      </w:r>
      <w:r>
        <w:rPr>
          <w:spacing w:val="-14"/>
        </w:rPr>
        <w:t xml:space="preserve"> </w:t>
      </w:r>
      <w:r>
        <w:t>would</w:t>
      </w:r>
      <w:r>
        <w:rPr>
          <w:spacing w:val="-14"/>
        </w:rPr>
        <w:t xml:space="preserve"> </w:t>
      </w:r>
      <w:r>
        <w:t>create</w:t>
      </w:r>
      <w:r>
        <w:rPr>
          <w:spacing w:val="-14"/>
        </w:rPr>
        <w:t xml:space="preserve"> </w:t>
      </w:r>
      <w:r>
        <w:t>sufficient</w:t>
      </w:r>
      <w:r>
        <w:rPr>
          <w:spacing w:val="-14"/>
        </w:rPr>
        <w:t xml:space="preserve"> </w:t>
      </w:r>
      <w:r>
        <w:t>intermodal</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174" w:space="40"/>
            <w:col w:w="5093" w:space="39"/>
            <w:col w:w="5714"/>
          </w:cols>
        </w:sectPr>
      </w:pPr>
    </w:p>
    <w:p w:rsidR="002C1123" w:rsidRDefault="002C1123">
      <w:pPr>
        <w:pStyle w:val="BodyText"/>
      </w:pPr>
    </w:p>
    <w:p w:rsidR="002C1123" w:rsidRDefault="002C1123">
      <w:pPr>
        <w:pStyle w:val="BodyText"/>
        <w:spacing w:before="6"/>
        <w:rPr>
          <w:sz w:val="22"/>
        </w:rPr>
      </w:pPr>
    </w:p>
    <w:p w:rsidR="002C1123" w:rsidRDefault="002C1123">
      <w:pPr>
        <w:sectPr w:rsidR="002C1123">
          <w:pgSz w:w="16840" w:h="11910" w:orient="landscape"/>
          <w:pgMar w:top="560" w:right="280" w:bottom="700" w:left="500" w:header="0" w:footer="517" w:gutter="0"/>
          <w:cols w:space="720"/>
        </w:sectPr>
      </w:pPr>
    </w:p>
    <w:p w:rsidR="002C1123" w:rsidRDefault="00F22F94">
      <w:pPr>
        <w:spacing w:before="111"/>
        <w:ind w:left="793"/>
        <w:rPr>
          <w:b/>
          <w:sz w:val="17"/>
        </w:rPr>
      </w:pPr>
      <w:bookmarkStart w:id="253" w:name="_bookmark179"/>
      <w:bookmarkEnd w:id="253"/>
      <w:r>
        <w:rPr>
          <w:b/>
          <w:sz w:val="17"/>
        </w:rPr>
        <w:t>Figure</w:t>
      </w:r>
      <w:r>
        <w:rPr>
          <w:b/>
          <w:spacing w:val="4"/>
          <w:sz w:val="17"/>
        </w:rPr>
        <w:t xml:space="preserve"> </w:t>
      </w:r>
      <w:r>
        <w:rPr>
          <w:b/>
          <w:sz w:val="17"/>
        </w:rPr>
        <w:t>9.2</w:t>
      </w:r>
      <w:r>
        <w:rPr>
          <w:b/>
          <w:spacing w:val="58"/>
          <w:sz w:val="17"/>
        </w:rPr>
        <w:t xml:space="preserve"> </w:t>
      </w:r>
      <w:r>
        <w:rPr>
          <w:b/>
          <w:sz w:val="17"/>
        </w:rPr>
        <w:t>Sydney</w:t>
      </w:r>
      <w:r>
        <w:rPr>
          <w:b/>
          <w:spacing w:val="4"/>
          <w:sz w:val="17"/>
        </w:rPr>
        <w:t xml:space="preserve"> </w:t>
      </w:r>
      <w:r>
        <w:rPr>
          <w:b/>
          <w:sz w:val="17"/>
        </w:rPr>
        <w:t>Freight</w:t>
      </w:r>
      <w:r>
        <w:rPr>
          <w:b/>
          <w:spacing w:val="5"/>
          <w:sz w:val="17"/>
        </w:rPr>
        <w:t xml:space="preserve"> </w:t>
      </w:r>
      <w:r>
        <w:rPr>
          <w:b/>
          <w:spacing w:val="-2"/>
          <w:sz w:val="17"/>
        </w:rPr>
        <w:t>Network</w:t>
      </w:r>
    </w:p>
    <w:p w:rsidR="002C1123" w:rsidRDefault="00F22F94">
      <w:pPr>
        <w:tabs>
          <w:tab w:val="left" w:pos="7803"/>
        </w:tabs>
        <w:spacing w:before="227"/>
        <w:ind w:left="793"/>
        <w:rPr>
          <w:b/>
          <w:sz w:val="19"/>
        </w:rPr>
      </w:pPr>
      <w:r>
        <w:br w:type="column"/>
      </w:r>
      <w:r>
        <w:rPr>
          <w:color w:val="FFFFFF"/>
          <w:w w:val="90"/>
          <w:sz w:val="13"/>
        </w:rPr>
        <w:t>Northern</w:t>
      </w:r>
      <w:r>
        <w:rPr>
          <w:color w:val="FFFFFF"/>
          <w:spacing w:val="-4"/>
          <w:w w:val="90"/>
          <w:sz w:val="13"/>
        </w:rPr>
        <w:t xml:space="preserve"> </w:t>
      </w:r>
      <w:r>
        <w:rPr>
          <w:color w:val="FFFFFF"/>
          <w:w w:val="90"/>
          <w:sz w:val="13"/>
        </w:rPr>
        <w:t>Sydney</w:t>
      </w:r>
      <w:r>
        <w:rPr>
          <w:color w:val="FFFFFF"/>
          <w:spacing w:val="-3"/>
          <w:w w:val="90"/>
          <w:sz w:val="13"/>
        </w:rPr>
        <w:t xml:space="preserve"> </w:t>
      </w:r>
      <w:r>
        <w:rPr>
          <w:color w:val="FFFFFF"/>
          <w:w w:val="90"/>
          <w:sz w:val="13"/>
        </w:rPr>
        <w:t>Freight</w:t>
      </w:r>
      <w:r>
        <w:rPr>
          <w:color w:val="FFFFFF"/>
          <w:spacing w:val="-4"/>
          <w:w w:val="90"/>
          <w:sz w:val="13"/>
        </w:rPr>
        <w:t xml:space="preserve"> </w:t>
      </w:r>
      <w:r>
        <w:rPr>
          <w:color w:val="FFFFFF"/>
          <w:spacing w:val="-2"/>
          <w:w w:val="90"/>
          <w:sz w:val="13"/>
        </w:rPr>
        <w:t>Corridor</w:t>
      </w:r>
      <w:r>
        <w:rPr>
          <w:color w:val="FFFFFF"/>
          <w:sz w:val="13"/>
        </w:rPr>
        <w:tab/>
      </w:r>
      <w:r>
        <w:rPr>
          <w:b/>
          <w:color w:val="010101"/>
          <w:spacing w:val="-10"/>
          <w:position w:val="9"/>
          <w:sz w:val="19"/>
        </w:rPr>
        <w:t>N</w:t>
      </w:r>
    </w:p>
    <w:p w:rsidR="002C1123" w:rsidRDefault="002060EF">
      <w:pPr>
        <w:spacing w:before="6"/>
        <w:ind w:left="793"/>
        <w:rPr>
          <w:sz w:val="13"/>
        </w:rPr>
      </w:pPr>
      <w:r>
        <w:pict>
          <v:shape id="docshape1551" o:spid="_x0000_s3589" type="#_x0000_t202" style="position:absolute;left:0;text-align:left;margin-left:88.7pt;margin-top:5.25pt;width:648.65pt;height:419.85pt;z-index:-251473920;mso-position-horizontal-relative:page" filled="f" stroked="f">
            <v:textbox inset="0,0,0,0">
              <w:txbxContent>
                <w:p w:rsidR="00F22F94" w:rsidRDefault="00F22F94">
                  <w:pPr>
                    <w:tabs>
                      <w:tab w:val="left" w:pos="2155"/>
                    </w:tabs>
                    <w:spacing w:before="3" w:line="197" w:lineRule="exact"/>
                    <w:ind w:right="3993"/>
                    <w:jc w:val="center"/>
                    <w:rPr>
                      <w:sz w:val="15"/>
                    </w:rPr>
                  </w:pPr>
                  <w:r>
                    <w:rPr>
                      <w:w w:val="80"/>
                      <w:sz w:val="15"/>
                    </w:rPr>
                    <w:t>North</w:t>
                  </w:r>
                  <w:r>
                    <w:rPr>
                      <w:spacing w:val="-2"/>
                      <w:sz w:val="15"/>
                    </w:rPr>
                    <w:t xml:space="preserve"> </w:t>
                  </w:r>
                  <w:r>
                    <w:rPr>
                      <w:spacing w:val="-4"/>
                      <w:w w:val="90"/>
                      <w:sz w:val="15"/>
                    </w:rPr>
                    <w:t>West</w:t>
                  </w:r>
                  <w:r>
                    <w:rPr>
                      <w:sz w:val="15"/>
                    </w:rPr>
                    <w:tab/>
                  </w:r>
                  <w:r>
                    <w:rPr>
                      <w:w w:val="75"/>
                      <w:position w:val="-3"/>
                      <w:sz w:val="15"/>
                    </w:rPr>
                    <w:t>Rouse</w:t>
                  </w:r>
                  <w:r>
                    <w:rPr>
                      <w:spacing w:val="8"/>
                      <w:position w:val="-3"/>
                      <w:sz w:val="15"/>
                    </w:rPr>
                    <w:t xml:space="preserve"> </w:t>
                  </w:r>
                  <w:r>
                    <w:rPr>
                      <w:spacing w:val="-4"/>
                      <w:w w:val="90"/>
                      <w:position w:val="-3"/>
                      <w:sz w:val="15"/>
                    </w:rPr>
                    <w:t>Hill</w:t>
                  </w:r>
                </w:p>
                <w:p w:rsidR="00F22F94" w:rsidRDefault="00F22F94">
                  <w:pPr>
                    <w:tabs>
                      <w:tab w:val="left" w:pos="3049"/>
                      <w:tab w:val="left" w:pos="8723"/>
                    </w:tabs>
                    <w:spacing w:line="299" w:lineRule="exact"/>
                    <w:ind w:left="602"/>
                    <w:rPr>
                      <w:sz w:val="15"/>
                    </w:rPr>
                  </w:pPr>
                  <w:r>
                    <w:rPr>
                      <w:color w:val="FFFFFF"/>
                      <w:w w:val="85"/>
                      <w:sz w:val="16"/>
                    </w:rPr>
                    <w:t>Main</w:t>
                  </w:r>
                  <w:r>
                    <w:rPr>
                      <w:color w:val="FFFFFF"/>
                      <w:sz w:val="16"/>
                    </w:rPr>
                    <w:t xml:space="preserve"> </w:t>
                  </w:r>
                  <w:r>
                    <w:rPr>
                      <w:color w:val="FFFFFF"/>
                      <w:w w:val="85"/>
                      <w:sz w:val="16"/>
                    </w:rPr>
                    <w:t>West</w:t>
                  </w:r>
                  <w:r>
                    <w:rPr>
                      <w:color w:val="FFFFFF"/>
                      <w:spacing w:val="1"/>
                      <w:sz w:val="16"/>
                    </w:rPr>
                    <w:t xml:space="preserve"> </w:t>
                  </w:r>
                  <w:r>
                    <w:rPr>
                      <w:color w:val="FFFFFF"/>
                      <w:w w:val="85"/>
                      <w:sz w:val="16"/>
                    </w:rPr>
                    <w:t>to</w:t>
                  </w:r>
                  <w:r>
                    <w:rPr>
                      <w:color w:val="FFFFFF"/>
                      <w:spacing w:val="1"/>
                      <w:sz w:val="16"/>
                    </w:rPr>
                    <w:t xml:space="preserve"> </w:t>
                  </w:r>
                  <w:r>
                    <w:rPr>
                      <w:color w:val="FFFFFF"/>
                      <w:spacing w:val="-2"/>
                      <w:w w:val="85"/>
                      <w:sz w:val="16"/>
                    </w:rPr>
                    <w:t>Orbital</w:t>
                  </w:r>
                  <w:r>
                    <w:rPr>
                      <w:color w:val="FFFFFF"/>
                      <w:sz w:val="16"/>
                    </w:rPr>
                    <w:tab/>
                  </w:r>
                  <w:r>
                    <w:rPr>
                      <w:w w:val="80"/>
                      <w:position w:val="14"/>
                      <w:sz w:val="15"/>
                    </w:rPr>
                    <w:t>Growth</w:t>
                  </w:r>
                  <w:r>
                    <w:rPr>
                      <w:spacing w:val="-1"/>
                      <w:position w:val="14"/>
                      <w:sz w:val="15"/>
                    </w:rPr>
                    <w:t xml:space="preserve"> </w:t>
                  </w:r>
                  <w:r>
                    <w:rPr>
                      <w:spacing w:val="-2"/>
                      <w:w w:val="95"/>
                      <w:position w:val="14"/>
                      <w:sz w:val="15"/>
                    </w:rPr>
                    <w:t>Centre</w:t>
                  </w:r>
                  <w:r>
                    <w:rPr>
                      <w:position w:val="14"/>
                      <w:sz w:val="15"/>
                    </w:rPr>
                    <w:tab/>
                  </w:r>
                  <w:r>
                    <w:rPr>
                      <w:spacing w:val="-2"/>
                      <w:w w:val="95"/>
                      <w:position w:val="10"/>
                      <w:sz w:val="15"/>
                    </w:rPr>
                    <w:t>Hornsby</w:t>
                  </w:r>
                </w:p>
                <w:p w:rsidR="00F22F94" w:rsidRDefault="00F22F94">
                  <w:pPr>
                    <w:spacing w:before="4"/>
                    <w:ind w:right="10935"/>
                    <w:jc w:val="right"/>
                    <w:rPr>
                      <w:sz w:val="16"/>
                    </w:rPr>
                  </w:pPr>
                  <w:r>
                    <w:rPr>
                      <w:color w:val="FFFFFF"/>
                      <w:w w:val="85"/>
                      <w:sz w:val="16"/>
                    </w:rPr>
                    <w:t>Connection</w:t>
                  </w:r>
                  <w:r>
                    <w:rPr>
                      <w:color w:val="FFFFFF"/>
                      <w:spacing w:val="2"/>
                      <w:sz w:val="16"/>
                    </w:rPr>
                    <w:t xml:space="preserve"> </w:t>
                  </w:r>
                  <w:r>
                    <w:rPr>
                      <w:color w:val="FFFFFF"/>
                      <w:spacing w:val="-2"/>
                      <w:sz w:val="16"/>
                    </w:rPr>
                    <w:t>(indicative)</w:t>
                  </w:r>
                </w:p>
                <w:p w:rsidR="00F22F94" w:rsidRDefault="00F22F94">
                  <w:pPr>
                    <w:pStyle w:val="BodyText"/>
                    <w:rPr>
                      <w:sz w:val="18"/>
                    </w:rPr>
                  </w:pPr>
                </w:p>
                <w:p w:rsidR="00F22F94" w:rsidRDefault="00F22F94">
                  <w:pPr>
                    <w:spacing w:before="105" w:line="162" w:lineRule="exact"/>
                    <w:ind w:left="6045"/>
                    <w:rPr>
                      <w:sz w:val="15"/>
                    </w:rPr>
                  </w:pPr>
                  <w:r>
                    <w:rPr>
                      <w:spacing w:val="-2"/>
                      <w:w w:val="90"/>
                      <w:sz w:val="15"/>
                    </w:rPr>
                    <w:t>Norwest</w:t>
                  </w:r>
                </w:p>
                <w:p w:rsidR="00F22F94" w:rsidRDefault="00F22F94">
                  <w:pPr>
                    <w:spacing w:line="137" w:lineRule="exact"/>
                    <w:ind w:right="310"/>
                    <w:jc w:val="right"/>
                    <w:rPr>
                      <w:sz w:val="15"/>
                    </w:rPr>
                  </w:pPr>
                  <w:r>
                    <w:rPr>
                      <w:w w:val="75"/>
                      <w:sz w:val="15"/>
                    </w:rPr>
                    <w:t>Dee</w:t>
                  </w:r>
                  <w:r>
                    <w:rPr>
                      <w:spacing w:val="3"/>
                      <w:sz w:val="15"/>
                    </w:rPr>
                    <w:t xml:space="preserve"> </w:t>
                  </w:r>
                  <w:r>
                    <w:rPr>
                      <w:spacing w:val="-5"/>
                      <w:w w:val="90"/>
                      <w:sz w:val="15"/>
                    </w:rPr>
                    <w:t>Why</w:t>
                  </w:r>
                </w:p>
                <w:p w:rsidR="00F22F94" w:rsidRDefault="00F22F94">
                  <w:pPr>
                    <w:spacing w:line="135" w:lineRule="exact"/>
                    <w:ind w:left="11055"/>
                    <w:rPr>
                      <w:sz w:val="15"/>
                    </w:rPr>
                  </w:pPr>
                  <w:r>
                    <w:rPr>
                      <w:spacing w:val="-2"/>
                      <w:w w:val="90"/>
                      <w:sz w:val="15"/>
                    </w:rPr>
                    <w:t>Frenchs</w:t>
                  </w:r>
                </w:p>
                <w:p w:rsidR="00F22F94" w:rsidRDefault="00F22F94">
                  <w:pPr>
                    <w:tabs>
                      <w:tab w:val="left" w:pos="12102"/>
                    </w:tabs>
                    <w:spacing w:line="225" w:lineRule="exact"/>
                    <w:ind w:left="11055"/>
                    <w:rPr>
                      <w:sz w:val="15"/>
                    </w:rPr>
                  </w:pPr>
                  <w:r>
                    <w:rPr>
                      <w:spacing w:val="-2"/>
                      <w:w w:val="90"/>
                      <w:position w:val="7"/>
                      <w:sz w:val="15"/>
                    </w:rPr>
                    <w:t>Forest</w:t>
                  </w:r>
                  <w:r>
                    <w:rPr>
                      <w:position w:val="7"/>
                      <w:sz w:val="15"/>
                    </w:rPr>
                    <w:tab/>
                  </w:r>
                  <w:r>
                    <w:rPr>
                      <w:spacing w:val="-2"/>
                      <w:w w:val="90"/>
                      <w:sz w:val="15"/>
                    </w:rPr>
                    <w:t>Brookvale</w:t>
                  </w:r>
                </w:p>
                <w:p w:rsidR="00F22F94" w:rsidRDefault="00F22F94">
                  <w:pPr>
                    <w:tabs>
                      <w:tab w:val="left" w:pos="8839"/>
                    </w:tabs>
                    <w:spacing w:line="166" w:lineRule="exact"/>
                    <w:ind w:left="6039"/>
                    <w:rPr>
                      <w:sz w:val="15"/>
                    </w:rPr>
                  </w:pPr>
                  <w:r>
                    <w:rPr>
                      <w:color w:val="FFFFFF"/>
                      <w:w w:val="85"/>
                      <w:sz w:val="16"/>
                    </w:rPr>
                    <w:t>Epping</w:t>
                  </w:r>
                  <w:r>
                    <w:rPr>
                      <w:color w:val="FFFFFF"/>
                      <w:spacing w:val="5"/>
                      <w:sz w:val="16"/>
                    </w:rPr>
                    <w:t xml:space="preserve"> </w:t>
                  </w:r>
                  <w:r>
                    <w:rPr>
                      <w:color w:val="FFFFFF"/>
                      <w:w w:val="85"/>
                      <w:sz w:val="16"/>
                    </w:rPr>
                    <w:t>to</w:t>
                  </w:r>
                  <w:r>
                    <w:rPr>
                      <w:color w:val="FFFFFF"/>
                      <w:spacing w:val="5"/>
                      <w:sz w:val="16"/>
                    </w:rPr>
                    <w:t xml:space="preserve"> </w:t>
                  </w:r>
                  <w:r>
                    <w:rPr>
                      <w:color w:val="FFFFFF"/>
                      <w:w w:val="85"/>
                      <w:sz w:val="16"/>
                    </w:rPr>
                    <w:t>Thornleigh</w:t>
                  </w:r>
                  <w:r>
                    <w:rPr>
                      <w:color w:val="FFFFFF"/>
                      <w:spacing w:val="6"/>
                      <w:sz w:val="16"/>
                    </w:rPr>
                    <w:t xml:space="preserve"> </w:t>
                  </w:r>
                  <w:r>
                    <w:rPr>
                      <w:color w:val="FFFFFF"/>
                      <w:spacing w:val="-2"/>
                      <w:w w:val="85"/>
                      <w:sz w:val="16"/>
                    </w:rPr>
                    <w:t>third</w:t>
                  </w:r>
                  <w:r>
                    <w:rPr>
                      <w:color w:val="FFFFFF"/>
                      <w:sz w:val="16"/>
                    </w:rPr>
                    <w:tab/>
                  </w:r>
                  <w:r>
                    <w:rPr>
                      <w:spacing w:val="-2"/>
                      <w:position w:val="2"/>
                      <w:sz w:val="15"/>
                    </w:rPr>
                    <w:t>Macquarie</w:t>
                  </w:r>
                </w:p>
                <w:p w:rsidR="00F22F94" w:rsidRDefault="00F22F94">
                  <w:pPr>
                    <w:tabs>
                      <w:tab w:val="left" w:pos="6039"/>
                      <w:tab w:val="left" w:pos="9005"/>
                    </w:tabs>
                    <w:ind w:left="2233"/>
                    <w:rPr>
                      <w:sz w:val="15"/>
                    </w:rPr>
                  </w:pPr>
                  <w:r>
                    <w:rPr>
                      <w:w w:val="80"/>
                      <w:position w:val="-7"/>
                      <w:sz w:val="15"/>
                    </w:rPr>
                    <w:t>St</w:t>
                  </w:r>
                  <w:r>
                    <w:rPr>
                      <w:spacing w:val="-5"/>
                      <w:w w:val="95"/>
                      <w:position w:val="-7"/>
                      <w:sz w:val="15"/>
                    </w:rPr>
                    <w:t xml:space="preserve"> </w:t>
                  </w:r>
                  <w:r>
                    <w:rPr>
                      <w:spacing w:val="-2"/>
                      <w:w w:val="95"/>
                      <w:position w:val="-7"/>
                      <w:sz w:val="15"/>
                    </w:rPr>
                    <w:t>Marys</w:t>
                  </w:r>
                  <w:r>
                    <w:rPr>
                      <w:position w:val="-7"/>
                      <w:sz w:val="15"/>
                    </w:rPr>
                    <w:tab/>
                  </w:r>
                  <w:r>
                    <w:rPr>
                      <w:color w:val="FFFFFF"/>
                      <w:w w:val="90"/>
                      <w:sz w:val="16"/>
                    </w:rPr>
                    <w:t>track</w:t>
                  </w:r>
                  <w:r>
                    <w:rPr>
                      <w:color w:val="FFFFFF"/>
                      <w:spacing w:val="-6"/>
                      <w:w w:val="90"/>
                      <w:sz w:val="16"/>
                    </w:rPr>
                    <w:t xml:space="preserve"> </w:t>
                  </w:r>
                  <w:r>
                    <w:rPr>
                      <w:color w:val="FFFFFF"/>
                      <w:w w:val="90"/>
                      <w:sz w:val="16"/>
                    </w:rPr>
                    <w:t>(under</w:t>
                  </w:r>
                  <w:r>
                    <w:rPr>
                      <w:color w:val="FFFFFF"/>
                      <w:spacing w:val="-5"/>
                      <w:w w:val="90"/>
                      <w:sz w:val="16"/>
                    </w:rPr>
                    <w:t xml:space="preserve"> </w:t>
                  </w:r>
                  <w:r>
                    <w:rPr>
                      <w:color w:val="FFFFFF"/>
                      <w:spacing w:val="-2"/>
                      <w:w w:val="90"/>
                      <w:sz w:val="16"/>
                    </w:rPr>
                    <w:t>Construction)</w:t>
                  </w:r>
                  <w:r>
                    <w:rPr>
                      <w:color w:val="FFFFFF"/>
                      <w:sz w:val="16"/>
                    </w:rPr>
                    <w:tab/>
                  </w:r>
                  <w:r>
                    <w:rPr>
                      <w:spacing w:val="-4"/>
                      <w:w w:val="95"/>
                      <w:position w:val="6"/>
                      <w:sz w:val="15"/>
                    </w:rPr>
                    <w:t>Park</w:t>
                  </w:r>
                </w:p>
                <w:p w:rsidR="00F22F94" w:rsidRDefault="00F22F94">
                  <w:pPr>
                    <w:pStyle w:val="BodyText"/>
                    <w:rPr>
                      <w:sz w:val="30"/>
                    </w:rPr>
                  </w:pPr>
                </w:p>
                <w:p w:rsidR="00F22F94" w:rsidRDefault="00F22F94">
                  <w:pPr>
                    <w:pStyle w:val="BodyText"/>
                    <w:rPr>
                      <w:sz w:val="30"/>
                    </w:rPr>
                  </w:pPr>
                </w:p>
                <w:p w:rsidR="00F22F94" w:rsidRDefault="00F22F94">
                  <w:pPr>
                    <w:pStyle w:val="BodyText"/>
                    <w:spacing w:before="1"/>
                    <w:rPr>
                      <w:sz w:val="25"/>
                    </w:rPr>
                  </w:pPr>
                </w:p>
                <w:p w:rsidR="00F22F94" w:rsidRDefault="00F22F94">
                  <w:pPr>
                    <w:tabs>
                      <w:tab w:val="left" w:pos="8526"/>
                    </w:tabs>
                    <w:spacing w:before="1" w:line="209" w:lineRule="exact"/>
                    <w:ind w:right="4034"/>
                    <w:jc w:val="center"/>
                    <w:rPr>
                      <w:sz w:val="15"/>
                    </w:rPr>
                  </w:pPr>
                  <w:r>
                    <w:rPr>
                      <w:color w:val="FFFFFF"/>
                      <w:w w:val="85"/>
                      <w:sz w:val="16"/>
                    </w:rPr>
                    <w:t>Outer</w:t>
                  </w:r>
                  <w:r>
                    <w:rPr>
                      <w:color w:val="FFFFFF"/>
                      <w:spacing w:val="1"/>
                      <w:sz w:val="16"/>
                    </w:rPr>
                    <w:t xml:space="preserve"> </w:t>
                  </w:r>
                  <w:r>
                    <w:rPr>
                      <w:color w:val="FFFFFF"/>
                      <w:w w:val="85"/>
                      <w:sz w:val="16"/>
                    </w:rPr>
                    <w:t>Orbital</w:t>
                  </w:r>
                  <w:r>
                    <w:rPr>
                      <w:color w:val="FFFFFF"/>
                      <w:spacing w:val="1"/>
                      <w:sz w:val="16"/>
                    </w:rPr>
                    <w:t xml:space="preserve"> </w:t>
                  </w:r>
                  <w:r>
                    <w:rPr>
                      <w:color w:val="FFFFFF"/>
                      <w:spacing w:val="-2"/>
                      <w:w w:val="85"/>
                      <w:sz w:val="16"/>
                    </w:rPr>
                    <w:t>Corridor</w:t>
                  </w:r>
                  <w:r>
                    <w:rPr>
                      <w:color w:val="FFFFFF"/>
                      <w:sz w:val="16"/>
                    </w:rPr>
                    <w:tab/>
                  </w:r>
                  <w:r>
                    <w:rPr>
                      <w:spacing w:val="-2"/>
                      <w:w w:val="80"/>
                      <w:position w:val="-4"/>
                      <w:sz w:val="15"/>
                    </w:rPr>
                    <w:t>Rhodes</w:t>
                  </w:r>
                </w:p>
                <w:p w:rsidR="00F22F94" w:rsidRDefault="00F22F94">
                  <w:pPr>
                    <w:spacing w:line="162" w:lineRule="exact"/>
                    <w:rPr>
                      <w:sz w:val="16"/>
                    </w:rPr>
                  </w:pPr>
                  <w:r>
                    <w:rPr>
                      <w:color w:val="FFFFFF"/>
                      <w:w w:val="85"/>
                      <w:sz w:val="16"/>
                    </w:rPr>
                    <w:t>(Indicative</w:t>
                  </w:r>
                  <w:r>
                    <w:rPr>
                      <w:color w:val="FFFFFF"/>
                      <w:spacing w:val="15"/>
                      <w:sz w:val="16"/>
                    </w:rPr>
                    <w:t xml:space="preserve"> </w:t>
                  </w:r>
                  <w:r>
                    <w:rPr>
                      <w:color w:val="FFFFFF"/>
                      <w:spacing w:val="-2"/>
                      <w:sz w:val="16"/>
                    </w:rPr>
                    <w:t>alignment)</w:t>
                  </w:r>
                </w:p>
                <w:p w:rsidR="00F22F94" w:rsidRDefault="00F22F94">
                  <w:pPr>
                    <w:pStyle w:val="BodyText"/>
                    <w:spacing w:before="2"/>
                    <w:rPr>
                      <w:sz w:val="19"/>
                    </w:rPr>
                  </w:pPr>
                </w:p>
                <w:p w:rsidR="00F22F94" w:rsidRDefault="00F22F94">
                  <w:pPr>
                    <w:tabs>
                      <w:tab w:val="left" w:pos="8573"/>
                    </w:tabs>
                    <w:spacing w:line="251" w:lineRule="exact"/>
                    <w:ind w:left="4943"/>
                    <w:rPr>
                      <w:sz w:val="15"/>
                    </w:rPr>
                  </w:pPr>
                  <w:r>
                    <w:rPr>
                      <w:spacing w:val="-2"/>
                      <w:w w:val="95"/>
                      <w:position w:val="10"/>
                      <w:sz w:val="15"/>
                    </w:rPr>
                    <w:t>Smithfeld</w:t>
                  </w:r>
                  <w:r>
                    <w:rPr>
                      <w:position w:val="10"/>
                      <w:sz w:val="15"/>
                    </w:rPr>
                    <w:tab/>
                  </w:r>
                  <w:r>
                    <w:rPr>
                      <w:w w:val="80"/>
                      <w:sz w:val="15"/>
                    </w:rPr>
                    <w:t>Nth</w:t>
                  </w:r>
                  <w:r>
                    <w:rPr>
                      <w:spacing w:val="-1"/>
                      <w:w w:val="95"/>
                      <w:sz w:val="15"/>
                    </w:rPr>
                    <w:t xml:space="preserve"> </w:t>
                  </w:r>
                  <w:r>
                    <w:rPr>
                      <w:spacing w:val="-2"/>
                      <w:w w:val="95"/>
                      <w:sz w:val="15"/>
                    </w:rPr>
                    <w:t>Strathfeld</w:t>
                  </w:r>
                </w:p>
                <w:p w:rsidR="00F22F94" w:rsidRDefault="00F22F94">
                  <w:pPr>
                    <w:spacing w:line="163" w:lineRule="exact"/>
                    <w:ind w:right="610"/>
                    <w:jc w:val="right"/>
                    <w:rPr>
                      <w:sz w:val="16"/>
                    </w:rPr>
                  </w:pPr>
                  <w:r>
                    <w:rPr>
                      <w:color w:val="FFFFFF"/>
                      <w:w w:val="85"/>
                      <w:sz w:val="16"/>
                    </w:rPr>
                    <w:t>North</w:t>
                  </w:r>
                  <w:r>
                    <w:rPr>
                      <w:color w:val="FFFFFF"/>
                      <w:spacing w:val="6"/>
                      <w:sz w:val="16"/>
                    </w:rPr>
                    <w:t xml:space="preserve"> </w:t>
                  </w:r>
                  <w:r>
                    <w:rPr>
                      <w:color w:val="FFFFFF"/>
                      <w:w w:val="85"/>
                      <w:sz w:val="16"/>
                    </w:rPr>
                    <w:t>Strathfield</w:t>
                  </w:r>
                  <w:r>
                    <w:rPr>
                      <w:color w:val="FFFFFF"/>
                      <w:spacing w:val="7"/>
                      <w:sz w:val="16"/>
                    </w:rPr>
                    <w:t xml:space="preserve"> </w:t>
                  </w:r>
                  <w:r>
                    <w:rPr>
                      <w:color w:val="FFFFFF"/>
                      <w:w w:val="85"/>
                      <w:sz w:val="16"/>
                    </w:rPr>
                    <w:t>Rail</w:t>
                  </w:r>
                  <w:r>
                    <w:rPr>
                      <w:color w:val="FFFFFF"/>
                      <w:spacing w:val="7"/>
                      <w:sz w:val="16"/>
                    </w:rPr>
                    <w:t xml:space="preserve"> </w:t>
                  </w:r>
                  <w:r>
                    <w:rPr>
                      <w:color w:val="FFFFFF"/>
                      <w:w w:val="85"/>
                      <w:sz w:val="16"/>
                    </w:rPr>
                    <w:t>Underpass</w:t>
                  </w:r>
                  <w:r>
                    <w:rPr>
                      <w:color w:val="FFFFFF"/>
                      <w:spacing w:val="7"/>
                      <w:sz w:val="16"/>
                    </w:rPr>
                    <w:t xml:space="preserve"> </w:t>
                  </w:r>
                  <w:r>
                    <w:rPr>
                      <w:color w:val="FFFFFF"/>
                      <w:w w:val="85"/>
                      <w:sz w:val="16"/>
                    </w:rPr>
                    <w:t>(under</w:t>
                  </w:r>
                  <w:r>
                    <w:rPr>
                      <w:color w:val="FFFFFF"/>
                      <w:spacing w:val="7"/>
                      <w:sz w:val="16"/>
                    </w:rPr>
                    <w:t xml:space="preserve"> </w:t>
                  </w:r>
                  <w:r>
                    <w:rPr>
                      <w:color w:val="FFFFFF"/>
                      <w:spacing w:val="-2"/>
                      <w:w w:val="85"/>
                      <w:sz w:val="16"/>
                    </w:rPr>
                    <w:t>construction)</w:t>
                  </w:r>
                </w:p>
                <w:p w:rsidR="00F22F94" w:rsidRDefault="00F22F94">
                  <w:pPr>
                    <w:pStyle w:val="BodyText"/>
                    <w:rPr>
                      <w:sz w:val="18"/>
                    </w:rPr>
                  </w:pPr>
                </w:p>
                <w:p w:rsidR="00F22F94" w:rsidRDefault="00F22F94">
                  <w:pPr>
                    <w:pStyle w:val="BodyText"/>
                    <w:rPr>
                      <w:sz w:val="18"/>
                    </w:rPr>
                  </w:pPr>
                </w:p>
                <w:p w:rsidR="00F22F94" w:rsidRDefault="00F22F94">
                  <w:pPr>
                    <w:spacing w:before="115"/>
                    <w:ind w:left="11415"/>
                    <w:rPr>
                      <w:sz w:val="15"/>
                    </w:rPr>
                  </w:pPr>
                  <w:r>
                    <w:rPr>
                      <w:w w:val="80"/>
                      <w:sz w:val="15"/>
                    </w:rPr>
                    <w:t>Bondi</w:t>
                  </w:r>
                  <w:r>
                    <w:rPr>
                      <w:spacing w:val="-2"/>
                      <w:sz w:val="15"/>
                    </w:rPr>
                    <w:t xml:space="preserve"> </w:t>
                  </w:r>
                  <w:r>
                    <w:rPr>
                      <w:spacing w:val="-2"/>
                      <w:w w:val="90"/>
                      <w:sz w:val="15"/>
                    </w:rPr>
                    <w:t>Junction</w:t>
                  </w:r>
                </w:p>
                <w:p w:rsidR="00F22F94" w:rsidRDefault="00F22F94">
                  <w:pPr>
                    <w:spacing w:before="54" w:line="204" w:lineRule="auto"/>
                    <w:ind w:left="10776" w:right="1802" w:firstLine="30"/>
                    <w:rPr>
                      <w:sz w:val="15"/>
                    </w:rPr>
                  </w:pPr>
                  <w:r>
                    <w:rPr>
                      <w:spacing w:val="-2"/>
                      <w:w w:val="85"/>
                      <w:sz w:val="15"/>
                    </w:rPr>
                    <w:t>Green</w:t>
                  </w:r>
                  <w:r>
                    <w:rPr>
                      <w:sz w:val="15"/>
                    </w:rPr>
                    <w:t xml:space="preserve"> </w:t>
                  </w:r>
                  <w:r>
                    <w:rPr>
                      <w:spacing w:val="-2"/>
                      <w:w w:val="80"/>
                      <w:sz w:val="15"/>
                    </w:rPr>
                    <w:t>Square</w:t>
                  </w:r>
                </w:p>
                <w:p w:rsidR="00F22F94" w:rsidRDefault="00F22F94">
                  <w:pPr>
                    <w:spacing w:line="148" w:lineRule="exact"/>
                    <w:ind w:left="11258"/>
                    <w:rPr>
                      <w:sz w:val="15"/>
                    </w:rPr>
                  </w:pPr>
                  <w:r>
                    <w:rPr>
                      <w:spacing w:val="-2"/>
                      <w:w w:val="90"/>
                      <w:sz w:val="15"/>
                    </w:rPr>
                    <w:t>Randwick</w:t>
                  </w:r>
                </w:p>
                <w:p w:rsidR="00F22F94" w:rsidRDefault="00F22F94">
                  <w:pPr>
                    <w:pStyle w:val="BodyText"/>
                    <w:spacing w:before="10"/>
                    <w:rPr>
                      <w:sz w:val="23"/>
                    </w:rPr>
                  </w:pPr>
                </w:p>
                <w:p w:rsidR="00F22F94" w:rsidRDefault="00F22F94">
                  <w:pPr>
                    <w:tabs>
                      <w:tab w:val="left" w:pos="11206"/>
                    </w:tabs>
                    <w:spacing w:line="191" w:lineRule="exact"/>
                    <w:ind w:left="7607"/>
                    <w:rPr>
                      <w:sz w:val="16"/>
                    </w:rPr>
                  </w:pPr>
                  <w:r>
                    <w:rPr>
                      <w:spacing w:val="-2"/>
                      <w:w w:val="95"/>
                      <w:position w:val="3"/>
                      <w:sz w:val="15"/>
                    </w:rPr>
                    <w:t>Bankstown</w:t>
                  </w:r>
                  <w:r>
                    <w:rPr>
                      <w:position w:val="3"/>
                      <w:sz w:val="15"/>
                    </w:rPr>
                    <w:tab/>
                  </w:r>
                  <w:r>
                    <w:rPr>
                      <w:color w:val="FFFFFF"/>
                      <w:w w:val="85"/>
                      <w:sz w:val="16"/>
                    </w:rPr>
                    <w:t>General</w:t>
                  </w:r>
                  <w:r>
                    <w:rPr>
                      <w:color w:val="FFFFFF"/>
                      <w:spacing w:val="-5"/>
                      <w:sz w:val="16"/>
                    </w:rPr>
                    <w:t xml:space="preserve"> </w:t>
                  </w:r>
                  <w:r>
                    <w:rPr>
                      <w:color w:val="FFFFFF"/>
                      <w:w w:val="85"/>
                      <w:sz w:val="16"/>
                    </w:rPr>
                    <w:t>Holmes</w:t>
                  </w:r>
                  <w:r>
                    <w:rPr>
                      <w:color w:val="FFFFFF"/>
                      <w:spacing w:val="-5"/>
                      <w:sz w:val="16"/>
                    </w:rPr>
                    <w:t xml:space="preserve"> </w:t>
                  </w:r>
                  <w:r>
                    <w:rPr>
                      <w:color w:val="FFFFFF"/>
                      <w:w w:val="85"/>
                      <w:sz w:val="16"/>
                    </w:rPr>
                    <w:t>Drive</w:t>
                  </w:r>
                  <w:r>
                    <w:rPr>
                      <w:color w:val="FFFFFF"/>
                      <w:spacing w:val="-5"/>
                      <w:sz w:val="16"/>
                    </w:rPr>
                    <w:t xml:space="preserve"> </w:t>
                  </w:r>
                  <w:r>
                    <w:rPr>
                      <w:color w:val="FFFFFF"/>
                      <w:spacing w:val="-2"/>
                      <w:w w:val="85"/>
                      <w:sz w:val="16"/>
                    </w:rPr>
                    <w:t>Level</w:t>
                  </w:r>
                </w:p>
                <w:p w:rsidR="00F22F94" w:rsidRDefault="00F22F94">
                  <w:pPr>
                    <w:tabs>
                      <w:tab w:val="left" w:pos="9579"/>
                      <w:tab w:val="left" w:pos="11206"/>
                    </w:tabs>
                    <w:spacing w:before="7" w:line="122" w:lineRule="auto"/>
                    <w:ind w:left="2022"/>
                    <w:rPr>
                      <w:sz w:val="16"/>
                    </w:rPr>
                  </w:pPr>
                  <w:r>
                    <w:rPr>
                      <w:w w:val="80"/>
                      <w:position w:val="4"/>
                      <w:sz w:val="15"/>
                    </w:rPr>
                    <w:t>South</w:t>
                  </w:r>
                  <w:r>
                    <w:rPr>
                      <w:spacing w:val="-3"/>
                      <w:w w:val="95"/>
                      <w:position w:val="4"/>
                      <w:sz w:val="15"/>
                    </w:rPr>
                    <w:t xml:space="preserve"> </w:t>
                  </w:r>
                  <w:r>
                    <w:rPr>
                      <w:spacing w:val="-4"/>
                      <w:w w:val="95"/>
                      <w:position w:val="4"/>
                      <w:sz w:val="15"/>
                    </w:rPr>
                    <w:t>West</w:t>
                  </w:r>
                  <w:r>
                    <w:rPr>
                      <w:position w:val="4"/>
                      <w:sz w:val="15"/>
                    </w:rPr>
                    <w:tab/>
                  </w:r>
                  <w:r>
                    <w:rPr>
                      <w:spacing w:val="-2"/>
                      <w:w w:val="95"/>
                      <w:position w:val="-10"/>
                      <w:sz w:val="15"/>
                    </w:rPr>
                    <w:t>Rockdale</w:t>
                  </w:r>
                  <w:r>
                    <w:rPr>
                      <w:position w:val="-10"/>
                      <w:sz w:val="15"/>
                    </w:rPr>
                    <w:tab/>
                  </w:r>
                  <w:r>
                    <w:rPr>
                      <w:color w:val="FFFFFF"/>
                      <w:w w:val="85"/>
                      <w:sz w:val="16"/>
                    </w:rPr>
                    <w:t>Crossing</w:t>
                  </w:r>
                  <w:r>
                    <w:rPr>
                      <w:color w:val="FFFFFF"/>
                      <w:spacing w:val="-3"/>
                      <w:sz w:val="16"/>
                    </w:rPr>
                    <w:t xml:space="preserve"> </w:t>
                  </w:r>
                  <w:r>
                    <w:rPr>
                      <w:color w:val="FFFFFF"/>
                      <w:w w:val="85"/>
                      <w:sz w:val="16"/>
                    </w:rPr>
                    <w:t>Closure</w:t>
                  </w:r>
                  <w:r>
                    <w:rPr>
                      <w:color w:val="FFFFFF"/>
                      <w:spacing w:val="-3"/>
                      <w:sz w:val="16"/>
                    </w:rPr>
                    <w:t xml:space="preserve"> </w:t>
                  </w:r>
                  <w:r>
                    <w:rPr>
                      <w:color w:val="FFFFFF"/>
                      <w:spacing w:val="-2"/>
                      <w:w w:val="85"/>
                      <w:sz w:val="16"/>
                    </w:rPr>
                    <w:t>(proposed)</w:t>
                  </w:r>
                </w:p>
                <w:p w:rsidR="00F22F94" w:rsidRDefault="00F22F94">
                  <w:pPr>
                    <w:spacing w:line="91" w:lineRule="exact"/>
                    <w:ind w:left="1941"/>
                    <w:rPr>
                      <w:sz w:val="15"/>
                    </w:rPr>
                  </w:pPr>
                  <w:r>
                    <w:rPr>
                      <w:w w:val="80"/>
                      <w:sz w:val="15"/>
                    </w:rPr>
                    <w:t>Growth</w:t>
                  </w:r>
                  <w:r>
                    <w:rPr>
                      <w:spacing w:val="-1"/>
                      <w:sz w:val="15"/>
                    </w:rPr>
                    <w:t xml:space="preserve"> </w:t>
                  </w:r>
                  <w:r>
                    <w:rPr>
                      <w:spacing w:val="-2"/>
                      <w:w w:val="90"/>
                      <w:sz w:val="15"/>
                    </w:rPr>
                    <w:t>Centre</w:t>
                  </w:r>
                </w:p>
                <w:p w:rsidR="00F22F94" w:rsidRDefault="00F22F94">
                  <w:pPr>
                    <w:spacing w:line="160" w:lineRule="exact"/>
                    <w:ind w:left="8781"/>
                    <w:rPr>
                      <w:sz w:val="15"/>
                    </w:rPr>
                  </w:pPr>
                  <w:r>
                    <w:rPr>
                      <w:spacing w:val="-2"/>
                      <w:w w:val="90"/>
                      <w:sz w:val="15"/>
                    </w:rPr>
                    <w:t>Kogarah</w:t>
                  </w:r>
                </w:p>
                <w:p w:rsidR="00F22F94" w:rsidRDefault="00F22F94">
                  <w:pPr>
                    <w:pStyle w:val="BodyText"/>
                    <w:rPr>
                      <w:sz w:val="18"/>
                    </w:rPr>
                  </w:pPr>
                </w:p>
                <w:p w:rsidR="00F22F94" w:rsidRDefault="00F22F94">
                  <w:pPr>
                    <w:pStyle w:val="BodyText"/>
                    <w:spacing w:before="2"/>
                    <w:rPr>
                      <w:sz w:val="15"/>
                    </w:rPr>
                  </w:pPr>
                </w:p>
                <w:p w:rsidR="00F22F94" w:rsidRDefault="00F22F94">
                  <w:pPr>
                    <w:spacing w:line="148" w:lineRule="exact"/>
                    <w:ind w:left="8888"/>
                    <w:rPr>
                      <w:sz w:val="15"/>
                    </w:rPr>
                  </w:pPr>
                  <w:r>
                    <w:rPr>
                      <w:spacing w:val="-2"/>
                      <w:w w:val="90"/>
                      <w:sz w:val="15"/>
                    </w:rPr>
                    <w:t>Hurstville</w:t>
                  </w:r>
                </w:p>
                <w:p w:rsidR="00F22F94" w:rsidRDefault="00F22F94">
                  <w:pPr>
                    <w:spacing w:line="148" w:lineRule="exact"/>
                    <w:ind w:left="2754"/>
                    <w:rPr>
                      <w:sz w:val="15"/>
                    </w:rPr>
                  </w:pPr>
                  <w:r>
                    <w:rPr>
                      <w:spacing w:val="-2"/>
                      <w:w w:val="90"/>
                      <w:sz w:val="15"/>
                    </w:rPr>
                    <w:t>Leppington</w:t>
                  </w:r>
                </w:p>
                <w:p w:rsidR="00F22F94" w:rsidRDefault="00F22F94">
                  <w:pPr>
                    <w:pStyle w:val="BodyText"/>
                    <w:rPr>
                      <w:sz w:val="18"/>
                    </w:rPr>
                  </w:pPr>
                </w:p>
                <w:p w:rsidR="00F22F94" w:rsidRDefault="00F22F94">
                  <w:pPr>
                    <w:pStyle w:val="BodyText"/>
                    <w:rPr>
                      <w:sz w:val="18"/>
                    </w:rPr>
                  </w:pPr>
                </w:p>
                <w:p w:rsidR="00F22F94" w:rsidRDefault="00F22F94">
                  <w:pPr>
                    <w:pStyle w:val="BodyText"/>
                    <w:rPr>
                      <w:sz w:val="18"/>
                    </w:rPr>
                  </w:pPr>
                </w:p>
                <w:p w:rsidR="00F22F94" w:rsidRDefault="00F22F94">
                  <w:pPr>
                    <w:pStyle w:val="BodyText"/>
                    <w:rPr>
                      <w:sz w:val="18"/>
                    </w:rPr>
                  </w:pPr>
                </w:p>
                <w:p w:rsidR="00F22F94" w:rsidRDefault="00F22F94">
                  <w:pPr>
                    <w:pStyle w:val="BodyText"/>
                    <w:spacing w:before="6"/>
                    <w:rPr>
                      <w:sz w:val="15"/>
                    </w:rPr>
                  </w:pPr>
                </w:p>
                <w:p w:rsidR="00F22F94" w:rsidRDefault="00F22F94">
                  <w:pPr>
                    <w:ind w:left="5836" w:right="3993"/>
                    <w:jc w:val="center"/>
                    <w:rPr>
                      <w:sz w:val="15"/>
                    </w:rPr>
                  </w:pPr>
                  <w:r>
                    <w:rPr>
                      <w:spacing w:val="-2"/>
                      <w:w w:val="90"/>
                      <w:sz w:val="15"/>
                    </w:rPr>
                    <w:t>Sutherland</w:t>
                  </w:r>
                </w:p>
                <w:p w:rsidR="00F22F94" w:rsidRDefault="00F22F94">
                  <w:pPr>
                    <w:spacing w:before="93"/>
                    <w:ind w:right="11029"/>
                    <w:jc w:val="right"/>
                    <w:rPr>
                      <w:sz w:val="15"/>
                    </w:rPr>
                  </w:pPr>
                  <w:r>
                    <w:rPr>
                      <w:w w:val="80"/>
                      <w:sz w:val="15"/>
                    </w:rPr>
                    <w:t>Smeaton</w:t>
                  </w:r>
                  <w:r>
                    <w:rPr>
                      <w:spacing w:val="1"/>
                      <w:sz w:val="15"/>
                    </w:rPr>
                    <w:t xml:space="preserve"> </w:t>
                  </w:r>
                  <w:r>
                    <w:rPr>
                      <w:spacing w:val="-2"/>
                      <w:w w:val="90"/>
                      <w:sz w:val="15"/>
                    </w:rPr>
                    <w:t>Grange</w:t>
                  </w:r>
                </w:p>
              </w:txbxContent>
            </v:textbox>
            <w10:wrap anchorx="page"/>
          </v:shape>
        </w:pict>
      </w:r>
      <w:r w:rsidR="00F22F94">
        <w:rPr>
          <w:color w:val="FFFFFF"/>
          <w:w w:val="90"/>
          <w:sz w:val="13"/>
        </w:rPr>
        <w:t>Stage</w:t>
      </w:r>
      <w:r w:rsidR="00F22F94">
        <w:rPr>
          <w:color w:val="FFFFFF"/>
          <w:spacing w:val="-4"/>
          <w:w w:val="90"/>
          <w:sz w:val="13"/>
        </w:rPr>
        <w:t xml:space="preserve"> </w:t>
      </w:r>
      <w:r w:rsidR="00F22F94">
        <w:rPr>
          <w:color w:val="FFFFFF"/>
          <w:w w:val="90"/>
          <w:sz w:val="13"/>
        </w:rPr>
        <w:t>1</w:t>
      </w:r>
      <w:r w:rsidR="00F22F94">
        <w:rPr>
          <w:color w:val="FFFFFF"/>
          <w:spacing w:val="-4"/>
          <w:w w:val="90"/>
          <w:sz w:val="13"/>
        </w:rPr>
        <w:t xml:space="preserve"> </w:t>
      </w:r>
      <w:r w:rsidR="00F22F94">
        <w:rPr>
          <w:color w:val="FFFFFF"/>
          <w:w w:val="90"/>
          <w:sz w:val="13"/>
        </w:rPr>
        <w:t>(under</w:t>
      </w:r>
      <w:r w:rsidR="00F22F94">
        <w:rPr>
          <w:color w:val="FFFFFF"/>
          <w:spacing w:val="-4"/>
          <w:w w:val="90"/>
          <w:sz w:val="13"/>
        </w:rPr>
        <w:t xml:space="preserve"> </w:t>
      </w:r>
      <w:r w:rsidR="00F22F94">
        <w:rPr>
          <w:color w:val="FFFFFF"/>
          <w:spacing w:val="-2"/>
          <w:w w:val="90"/>
          <w:sz w:val="13"/>
        </w:rPr>
        <w:t>construction)</w:t>
      </w:r>
    </w:p>
    <w:p w:rsidR="002C1123" w:rsidRDefault="002C1123">
      <w:pPr>
        <w:rPr>
          <w:sz w:val="13"/>
        </w:rPr>
        <w:sectPr w:rsidR="002C1123">
          <w:type w:val="continuous"/>
          <w:pgSz w:w="16840" w:h="11910" w:orient="landscape"/>
          <w:pgMar w:top="560" w:right="280" w:bottom="280" w:left="500" w:header="0" w:footer="517" w:gutter="0"/>
          <w:cols w:num="2" w:space="720" w:equalWidth="0">
            <w:col w:w="3754" w:space="3355"/>
            <w:col w:w="8951"/>
          </w:cols>
        </w:sectPr>
      </w:pPr>
    </w:p>
    <w:p w:rsidR="002C1123" w:rsidRDefault="002C1123">
      <w:pPr>
        <w:pStyle w:val="BodyText"/>
      </w:pPr>
    </w:p>
    <w:p w:rsidR="002C1123" w:rsidRDefault="002C1123">
      <w:pPr>
        <w:pStyle w:val="BodyText"/>
        <w:spacing w:before="9"/>
        <w:rPr>
          <w:sz w:val="25"/>
        </w:rPr>
      </w:pPr>
    </w:p>
    <w:p w:rsidR="002C1123" w:rsidRDefault="00F22F94">
      <w:pPr>
        <w:spacing w:before="104"/>
        <w:ind w:left="1763" w:right="476"/>
        <w:jc w:val="center"/>
        <w:rPr>
          <w:sz w:val="15"/>
        </w:rPr>
      </w:pPr>
      <w:r>
        <w:rPr>
          <w:w w:val="80"/>
          <w:sz w:val="15"/>
        </w:rPr>
        <w:t>Castle</w:t>
      </w:r>
      <w:r>
        <w:rPr>
          <w:spacing w:val="-1"/>
          <w:w w:val="90"/>
          <w:sz w:val="15"/>
        </w:rPr>
        <w:t xml:space="preserve"> </w:t>
      </w:r>
      <w:r>
        <w:rPr>
          <w:spacing w:val="-4"/>
          <w:w w:val="90"/>
          <w:sz w:val="15"/>
        </w:rPr>
        <w:t>Hill</w:t>
      </w:r>
    </w:p>
    <w:p w:rsidR="002C1123" w:rsidRDefault="002C1123">
      <w:pPr>
        <w:pStyle w:val="BodyText"/>
      </w:pPr>
    </w:p>
    <w:p w:rsidR="002C1123" w:rsidRDefault="002C1123">
      <w:pPr>
        <w:pStyle w:val="BodyText"/>
      </w:pPr>
    </w:p>
    <w:p w:rsidR="002C1123" w:rsidRDefault="002C1123">
      <w:pPr>
        <w:pStyle w:val="BodyText"/>
        <w:spacing w:before="8"/>
      </w:pPr>
    </w:p>
    <w:p w:rsidR="002C1123" w:rsidRDefault="00F22F94">
      <w:pPr>
        <w:tabs>
          <w:tab w:val="left" w:pos="6234"/>
        </w:tabs>
        <w:spacing w:before="103"/>
        <w:ind w:left="1702"/>
        <w:rPr>
          <w:sz w:val="15"/>
        </w:rPr>
      </w:pPr>
      <w:r>
        <w:rPr>
          <w:spacing w:val="-2"/>
          <w:w w:val="90"/>
          <w:position w:val="5"/>
          <w:sz w:val="15"/>
        </w:rPr>
        <w:t>Penrith</w:t>
      </w:r>
      <w:r>
        <w:rPr>
          <w:position w:val="5"/>
          <w:sz w:val="15"/>
        </w:rPr>
        <w:tab/>
      </w:r>
      <w:r>
        <w:rPr>
          <w:spacing w:val="-2"/>
          <w:w w:val="90"/>
          <w:sz w:val="15"/>
        </w:rPr>
        <w:t>Blacktown</w:t>
      </w:r>
    </w:p>
    <w:p w:rsidR="002C1123" w:rsidRDefault="002C1123">
      <w:pPr>
        <w:pStyle w:val="BodyText"/>
        <w:spacing w:before="11"/>
        <w:rPr>
          <w:sz w:val="13"/>
        </w:rPr>
      </w:pPr>
    </w:p>
    <w:p w:rsidR="002C1123" w:rsidRDefault="00F22F94">
      <w:pPr>
        <w:spacing w:before="103"/>
        <w:ind w:right="3792"/>
        <w:jc w:val="right"/>
        <w:rPr>
          <w:sz w:val="15"/>
        </w:rPr>
      </w:pPr>
      <w:r>
        <w:rPr>
          <w:spacing w:val="-2"/>
          <w:w w:val="90"/>
          <w:sz w:val="15"/>
        </w:rPr>
        <w:t>Chatswood</w:t>
      </w:r>
    </w:p>
    <w:p w:rsidR="002C1123" w:rsidRDefault="002C1123">
      <w:pPr>
        <w:jc w:val="right"/>
        <w:rPr>
          <w:sz w:val="15"/>
        </w:rPr>
        <w:sectPr w:rsidR="002C1123">
          <w:type w:val="continuous"/>
          <w:pgSz w:w="16840" w:h="11910" w:orient="landscape"/>
          <w:pgMar w:top="560" w:right="280" w:bottom="280" w:left="500" w:header="0" w:footer="517" w:gutter="0"/>
          <w:cols w:space="720"/>
        </w:sectPr>
      </w:pPr>
    </w:p>
    <w:p w:rsidR="002C1123" w:rsidRDefault="002C1123">
      <w:pPr>
        <w:pStyle w:val="BodyText"/>
        <w:spacing w:before="3"/>
        <w:rPr>
          <w:sz w:val="15"/>
        </w:rPr>
      </w:pPr>
    </w:p>
    <w:p w:rsidR="002C1123" w:rsidRDefault="00F22F94">
      <w:pPr>
        <w:spacing w:line="249" w:lineRule="auto"/>
        <w:ind w:left="4826"/>
        <w:rPr>
          <w:sz w:val="13"/>
        </w:rPr>
      </w:pPr>
      <w:r>
        <w:rPr>
          <w:color w:val="FFFFFF"/>
          <w:spacing w:val="-2"/>
          <w:w w:val="90"/>
          <w:sz w:val="13"/>
        </w:rPr>
        <w:t>Eastern Creek Intermodal</w:t>
      </w:r>
      <w:r>
        <w:rPr>
          <w:color w:val="FFFFFF"/>
          <w:spacing w:val="40"/>
          <w:sz w:val="13"/>
        </w:rPr>
        <w:t xml:space="preserve"> </w:t>
      </w:r>
      <w:r>
        <w:rPr>
          <w:color w:val="FFFFFF"/>
          <w:sz w:val="13"/>
        </w:rPr>
        <w:t>Terminal</w:t>
      </w:r>
      <w:r>
        <w:rPr>
          <w:color w:val="FFFFFF"/>
          <w:spacing w:val="-10"/>
          <w:sz w:val="13"/>
        </w:rPr>
        <w:t xml:space="preserve"> </w:t>
      </w:r>
      <w:r>
        <w:rPr>
          <w:color w:val="FFFFFF"/>
          <w:sz w:val="13"/>
        </w:rPr>
        <w:t>(proposed)</w:t>
      </w:r>
    </w:p>
    <w:p w:rsidR="002C1123" w:rsidRDefault="00F22F94">
      <w:pPr>
        <w:rPr>
          <w:sz w:val="18"/>
        </w:rPr>
      </w:pPr>
      <w:r>
        <w:br w:type="column"/>
      </w:r>
    </w:p>
    <w:p w:rsidR="002C1123" w:rsidRDefault="002C1123">
      <w:pPr>
        <w:pStyle w:val="BodyText"/>
        <w:rPr>
          <w:sz w:val="18"/>
        </w:rPr>
      </w:pPr>
    </w:p>
    <w:p w:rsidR="002C1123" w:rsidRDefault="002C1123">
      <w:pPr>
        <w:pStyle w:val="BodyText"/>
        <w:spacing w:before="3"/>
        <w:rPr>
          <w:sz w:val="17"/>
        </w:rPr>
      </w:pPr>
    </w:p>
    <w:p w:rsidR="002C1123" w:rsidRDefault="00F22F94">
      <w:pPr>
        <w:ind w:left="1055"/>
        <w:rPr>
          <w:sz w:val="15"/>
        </w:rPr>
      </w:pPr>
      <w:r>
        <w:rPr>
          <w:spacing w:val="-2"/>
          <w:w w:val="80"/>
          <w:sz w:val="15"/>
        </w:rPr>
        <w:t>Parramatta</w:t>
      </w:r>
    </w:p>
    <w:p w:rsidR="002C1123" w:rsidRDefault="002C1123">
      <w:pPr>
        <w:pStyle w:val="BodyText"/>
        <w:spacing w:before="5"/>
        <w:rPr>
          <w:sz w:val="18"/>
        </w:rPr>
      </w:pPr>
    </w:p>
    <w:p w:rsidR="002C1123" w:rsidRDefault="00F22F94">
      <w:pPr>
        <w:spacing w:before="1"/>
        <w:ind w:left="1020"/>
        <w:rPr>
          <w:sz w:val="13"/>
        </w:rPr>
      </w:pPr>
      <w:r>
        <w:rPr>
          <w:color w:val="FFFFFF"/>
          <w:spacing w:val="-2"/>
          <w:w w:val="95"/>
          <w:sz w:val="13"/>
        </w:rPr>
        <w:t>Yennora</w:t>
      </w:r>
    </w:p>
    <w:p w:rsidR="002C1123" w:rsidRDefault="00F22F94">
      <w:pPr>
        <w:rPr>
          <w:sz w:val="16"/>
        </w:rPr>
      </w:pPr>
      <w:r>
        <w:br w:type="column"/>
      </w:r>
    </w:p>
    <w:p w:rsidR="002C1123" w:rsidRDefault="002C1123">
      <w:pPr>
        <w:pStyle w:val="BodyText"/>
        <w:rPr>
          <w:sz w:val="16"/>
        </w:rPr>
      </w:pPr>
    </w:p>
    <w:p w:rsidR="002C1123" w:rsidRDefault="002C1123">
      <w:pPr>
        <w:pStyle w:val="BodyText"/>
        <w:rPr>
          <w:sz w:val="16"/>
        </w:rPr>
      </w:pPr>
    </w:p>
    <w:p w:rsidR="002C1123" w:rsidRDefault="002C1123">
      <w:pPr>
        <w:pStyle w:val="BodyText"/>
        <w:rPr>
          <w:sz w:val="16"/>
        </w:rPr>
      </w:pPr>
    </w:p>
    <w:p w:rsidR="002C1123" w:rsidRDefault="002C1123">
      <w:pPr>
        <w:pStyle w:val="BodyText"/>
        <w:spacing w:before="6"/>
        <w:rPr>
          <w:sz w:val="14"/>
        </w:rPr>
      </w:pPr>
    </w:p>
    <w:p w:rsidR="002C1123" w:rsidRDefault="00F22F94">
      <w:pPr>
        <w:jc w:val="right"/>
        <w:rPr>
          <w:sz w:val="13"/>
        </w:rPr>
      </w:pPr>
      <w:r>
        <w:rPr>
          <w:color w:val="FFFFFF"/>
          <w:spacing w:val="-2"/>
          <w:w w:val="95"/>
          <w:sz w:val="13"/>
        </w:rPr>
        <w:t>Clyde</w:t>
      </w:r>
    </w:p>
    <w:p w:rsidR="002C1123" w:rsidRDefault="00F22F94">
      <w:pPr>
        <w:rPr>
          <w:sz w:val="18"/>
        </w:rPr>
      </w:pPr>
      <w:r>
        <w:br w:type="column"/>
      </w: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F22F94">
      <w:pPr>
        <w:spacing w:before="1"/>
        <w:ind w:left="3129" w:right="3202"/>
        <w:jc w:val="center"/>
        <w:rPr>
          <w:sz w:val="15"/>
        </w:rPr>
      </w:pPr>
      <w:r>
        <w:rPr>
          <w:w w:val="80"/>
          <w:sz w:val="15"/>
        </w:rPr>
        <w:t>North</w:t>
      </w:r>
      <w:r>
        <w:rPr>
          <w:spacing w:val="-2"/>
          <w:sz w:val="15"/>
        </w:rPr>
        <w:t xml:space="preserve"> </w:t>
      </w:r>
      <w:r>
        <w:rPr>
          <w:spacing w:val="-2"/>
          <w:w w:val="90"/>
          <w:sz w:val="15"/>
        </w:rPr>
        <w:t>Sydney</w:t>
      </w:r>
    </w:p>
    <w:p w:rsidR="002C1123" w:rsidRDefault="002C1123">
      <w:pPr>
        <w:jc w:val="center"/>
        <w:rPr>
          <w:sz w:val="15"/>
        </w:rPr>
        <w:sectPr w:rsidR="002C1123">
          <w:type w:val="continuous"/>
          <w:pgSz w:w="16840" w:h="11910" w:orient="landscape"/>
          <w:pgMar w:top="560" w:right="280" w:bottom="280" w:left="500" w:header="0" w:footer="517" w:gutter="0"/>
          <w:cols w:num="4" w:space="720" w:equalWidth="0">
            <w:col w:w="6155" w:space="40"/>
            <w:col w:w="1665" w:space="39"/>
            <w:col w:w="979" w:space="39"/>
            <w:col w:w="7143"/>
          </w:cols>
        </w:sectPr>
      </w:pPr>
    </w:p>
    <w:p w:rsidR="002C1123" w:rsidRDefault="002C1123">
      <w:pPr>
        <w:pStyle w:val="BodyText"/>
        <w:spacing w:before="1"/>
        <w:rPr>
          <w:sz w:val="14"/>
        </w:rPr>
      </w:pPr>
    </w:p>
    <w:p w:rsidR="002C1123" w:rsidRDefault="002C1123">
      <w:pPr>
        <w:rPr>
          <w:sz w:val="14"/>
        </w:rPr>
        <w:sectPr w:rsidR="002C1123">
          <w:type w:val="continuous"/>
          <w:pgSz w:w="16840" w:h="11910" w:orient="landscape"/>
          <w:pgMar w:top="560" w:right="280" w:bottom="280" w:left="500" w:header="0" w:footer="517" w:gutter="0"/>
          <w:cols w:space="720"/>
        </w:sectPr>
      </w:pPr>
    </w:p>
    <w:p w:rsidR="002C1123" w:rsidRDefault="00F22F94">
      <w:pPr>
        <w:spacing w:before="108" w:line="249" w:lineRule="auto"/>
        <w:ind w:left="4086"/>
        <w:rPr>
          <w:sz w:val="13"/>
        </w:rPr>
      </w:pPr>
      <w:r>
        <w:rPr>
          <w:color w:val="FFFFFF"/>
          <w:w w:val="90"/>
          <w:sz w:val="13"/>
        </w:rPr>
        <w:t>Indicative</w:t>
      </w:r>
      <w:r>
        <w:rPr>
          <w:color w:val="FFFFFF"/>
          <w:spacing w:val="-3"/>
          <w:w w:val="90"/>
          <w:sz w:val="13"/>
        </w:rPr>
        <w:t xml:space="preserve"> </w:t>
      </w:r>
      <w:r>
        <w:rPr>
          <w:color w:val="FFFFFF"/>
          <w:w w:val="90"/>
          <w:sz w:val="13"/>
        </w:rPr>
        <w:t>alignment</w:t>
      </w:r>
      <w:r>
        <w:rPr>
          <w:color w:val="FFFFFF"/>
          <w:spacing w:val="-3"/>
          <w:w w:val="90"/>
          <w:sz w:val="13"/>
        </w:rPr>
        <w:t xml:space="preserve"> </w:t>
      </w:r>
      <w:r>
        <w:rPr>
          <w:color w:val="FFFFFF"/>
          <w:w w:val="90"/>
          <w:sz w:val="13"/>
        </w:rPr>
        <w:t>of</w:t>
      </w:r>
      <w:r>
        <w:rPr>
          <w:color w:val="FFFFFF"/>
          <w:spacing w:val="-3"/>
          <w:w w:val="90"/>
          <w:sz w:val="13"/>
        </w:rPr>
        <w:t xml:space="preserve"> </w:t>
      </w:r>
      <w:r>
        <w:rPr>
          <w:color w:val="FFFFFF"/>
          <w:w w:val="90"/>
          <w:sz w:val="13"/>
        </w:rPr>
        <w:t>the</w:t>
      </w:r>
      <w:r>
        <w:rPr>
          <w:color w:val="FFFFFF"/>
          <w:spacing w:val="-3"/>
          <w:w w:val="90"/>
          <w:sz w:val="13"/>
        </w:rPr>
        <w:t xml:space="preserve"> </w:t>
      </w:r>
      <w:r>
        <w:rPr>
          <w:color w:val="FFFFFF"/>
          <w:w w:val="90"/>
          <w:sz w:val="13"/>
        </w:rPr>
        <w:t>Western</w:t>
      </w:r>
      <w:r>
        <w:rPr>
          <w:color w:val="FFFFFF"/>
          <w:spacing w:val="40"/>
          <w:sz w:val="13"/>
        </w:rPr>
        <w:t xml:space="preserve"> </w:t>
      </w:r>
      <w:r>
        <w:rPr>
          <w:color w:val="FFFFFF"/>
          <w:w w:val="95"/>
          <w:sz w:val="13"/>
        </w:rPr>
        <w:t>Sydney Freight Line (proposed)</w:t>
      </w:r>
    </w:p>
    <w:p w:rsidR="002C1123" w:rsidRDefault="00F22F94">
      <w:pPr>
        <w:rPr>
          <w:sz w:val="18"/>
        </w:rPr>
      </w:pPr>
      <w:r>
        <w:br w:type="column"/>
      </w: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spacing w:before="4"/>
        <w:rPr>
          <w:sz w:val="17"/>
        </w:rPr>
      </w:pPr>
    </w:p>
    <w:p w:rsidR="002C1123" w:rsidRDefault="00F22F94">
      <w:pPr>
        <w:ind w:left="139"/>
        <w:rPr>
          <w:sz w:val="15"/>
        </w:rPr>
      </w:pPr>
      <w:r>
        <w:rPr>
          <w:spacing w:val="-2"/>
          <w:w w:val="80"/>
          <w:sz w:val="15"/>
        </w:rPr>
        <w:t>Liverpool</w:t>
      </w:r>
    </w:p>
    <w:p w:rsidR="002C1123" w:rsidRDefault="00F22F94">
      <w:pPr>
        <w:rPr>
          <w:sz w:val="16"/>
        </w:rPr>
      </w:pPr>
      <w:r>
        <w:br w:type="column"/>
      </w:r>
    </w:p>
    <w:p w:rsidR="002C1123" w:rsidRDefault="002C1123">
      <w:pPr>
        <w:pStyle w:val="BodyText"/>
        <w:rPr>
          <w:sz w:val="16"/>
        </w:rPr>
      </w:pPr>
    </w:p>
    <w:p w:rsidR="002C1123" w:rsidRDefault="002C1123">
      <w:pPr>
        <w:pStyle w:val="BodyText"/>
        <w:spacing w:before="11"/>
        <w:rPr>
          <w:sz w:val="14"/>
        </w:rPr>
      </w:pPr>
    </w:p>
    <w:p w:rsidR="002C1123" w:rsidRDefault="00F22F94">
      <w:pPr>
        <w:ind w:left="1250"/>
        <w:rPr>
          <w:sz w:val="13"/>
        </w:rPr>
      </w:pPr>
      <w:r>
        <w:rPr>
          <w:color w:val="FFFFFF"/>
          <w:spacing w:val="-2"/>
          <w:sz w:val="13"/>
        </w:rPr>
        <w:t>Villawood</w:t>
      </w:r>
    </w:p>
    <w:p w:rsidR="002C1123" w:rsidRDefault="002C1123">
      <w:pPr>
        <w:pStyle w:val="BodyText"/>
        <w:rPr>
          <w:sz w:val="16"/>
        </w:rPr>
      </w:pPr>
    </w:p>
    <w:p w:rsidR="002C1123" w:rsidRDefault="002C1123">
      <w:pPr>
        <w:pStyle w:val="BodyText"/>
        <w:rPr>
          <w:sz w:val="16"/>
        </w:rPr>
      </w:pPr>
    </w:p>
    <w:p w:rsidR="002C1123" w:rsidRDefault="00F22F94">
      <w:pPr>
        <w:spacing w:before="127"/>
        <w:jc w:val="right"/>
        <w:rPr>
          <w:sz w:val="13"/>
        </w:rPr>
      </w:pPr>
      <w:r>
        <w:rPr>
          <w:color w:val="FFFFFF"/>
          <w:spacing w:val="-2"/>
          <w:sz w:val="13"/>
        </w:rPr>
        <w:t>Chullora</w:t>
      </w:r>
    </w:p>
    <w:p w:rsidR="002C1123" w:rsidRDefault="00F22F94">
      <w:pPr>
        <w:rPr>
          <w:sz w:val="16"/>
        </w:rPr>
      </w:pPr>
      <w:r>
        <w:br w:type="column"/>
      </w:r>
    </w:p>
    <w:p w:rsidR="002C1123" w:rsidRDefault="002C1123">
      <w:pPr>
        <w:pStyle w:val="BodyText"/>
        <w:rPr>
          <w:sz w:val="16"/>
        </w:rPr>
      </w:pPr>
    </w:p>
    <w:p w:rsidR="002C1123" w:rsidRDefault="002C1123">
      <w:pPr>
        <w:pStyle w:val="BodyText"/>
        <w:rPr>
          <w:sz w:val="16"/>
        </w:rPr>
      </w:pPr>
    </w:p>
    <w:p w:rsidR="002C1123" w:rsidRDefault="002C1123">
      <w:pPr>
        <w:pStyle w:val="BodyText"/>
        <w:rPr>
          <w:sz w:val="16"/>
        </w:rPr>
      </w:pPr>
    </w:p>
    <w:p w:rsidR="002C1123" w:rsidRDefault="00F22F94">
      <w:pPr>
        <w:spacing w:before="115" w:line="249" w:lineRule="auto"/>
        <w:ind w:left="995" w:right="4602"/>
        <w:rPr>
          <w:sz w:val="13"/>
        </w:rPr>
      </w:pPr>
      <w:r>
        <w:rPr>
          <w:color w:val="FFFFFF"/>
          <w:w w:val="90"/>
          <w:sz w:val="13"/>
        </w:rPr>
        <w:t>Enfield</w:t>
      </w:r>
      <w:r>
        <w:rPr>
          <w:color w:val="FFFFFF"/>
          <w:spacing w:val="-6"/>
          <w:w w:val="90"/>
          <w:sz w:val="13"/>
        </w:rPr>
        <w:t xml:space="preserve"> </w:t>
      </w:r>
      <w:r>
        <w:rPr>
          <w:color w:val="FFFFFF"/>
          <w:w w:val="90"/>
          <w:sz w:val="13"/>
        </w:rPr>
        <w:t>Intermodal</w:t>
      </w:r>
      <w:r>
        <w:rPr>
          <w:color w:val="FFFFFF"/>
          <w:spacing w:val="-5"/>
          <w:w w:val="90"/>
          <w:sz w:val="13"/>
        </w:rPr>
        <w:t xml:space="preserve"> </w:t>
      </w:r>
      <w:r>
        <w:rPr>
          <w:color w:val="FFFFFF"/>
          <w:w w:val="90"/>
          <w:sz w:val="13"/>
        </w:rPr>
        <w:t>Logistics</w:t>
      </w:r>
      <w:r>
        <w:rPr>
          <w:color w:val="FFFFFF"/>
          <w:spacing w:val="40"/>
          <w:sz w:val="13"/>
        </w:rPr>
        <w:t xml:space="preserve"> </w:t>
      </w:r>
      <w:r>
        <w:rPr>
          <w:color w:val="FFFFFF"/>
          <w:w w:val="85"/>
          <w:sz w:val="13"/>
        </w:rPr>
        <w:t>Centre</w:t>
      </w:r>
      <w:r>
        <w:rPr>
          <w:color w:val="FFFFFF"/>
          <w:spacing w:val="9"/>
          <w:sz w:val="13"/>
        </w:rPr>
        <w:t xml:space="preserve"> </w:t>
      </w:r>
      <w:r>
        <w:rPr>
          <w:color w:val="FFFFFF"/>
          <w:w w:val="85"/>
          <w:sz w:val="13"/>
        </w:rPr>
        <w:t>(under</w:t>
      </w:r>
      <w:r>
        <w:rPr>
          <w:color w:val="FFFFFF"/>
          <w:spacing w:val="9"/>
          <w:sz w:val="13"/>
        </w:rPr>
        <w:t xml:space="preserve"> </w:t>
      </w:r>
      <w:r>
        <w:rPr>
          <w:color w:val="FFFFFF"/>
          <w:spacing w:val="-2"/>
          <w:w w:val="85"/>
          <w:sz w:val="13"/>
        </w:rPr>
        <w:t>construction)</w:t>
      </w:r>
    </w:p>
    <w:p w:rsidR="002C1123" w:rsidRDefault="002C1123">
      <w:pPr>
        <w:pStyle w:val="BodyText"/>
        <w:rPr>
          <w:sz w:val="16"/>
        </w:rPr>
      </w:pPr>
    </w:p>
    <w:p w:rsidR="002C1123" w:rsidRDefault="00F22F94">
      <w:pPr>
        <w:spacing w:before="103"/>
        <w:ind w:left="1532"/>
        <w:rPr>
          <w:sz w:val="13"/>
        </w:rPr>
      </w:pPr>
      <w:r>
        <w:rPr>
          <w:color w:val="FFFFFF"/>
          <w:w w:val="85"/>
          <w:sz w:val="13"/>
        </w:rPr>
        <w:t>Cooks</w:t>
      </w:r>
      <w:r>
        <w:rPr>
          <w:color w:val="FFFFFF"/>
          <w:spacing w:val="-1"/>
          <w:sz w:val="13"/>
        </w:rPr>
        <w:t xml:space="preserve"> </w:t>
      </w:r>
      <w:r>
        <w:rPr>
          <w:color w:val="FFFFFF"/>
          <w:spacing w:val="-2"/>
          <w:w w:val="90"/>
          <w:sz w:val="13"/>
        </w:rPr>
        <w:t>River</w:t>
      </w:r>
    </w:p>
    <w:p w:rsidR="002C1123" w:rsidRDefault="002C1123">
      <w:pPr>
        <w:rPr>
          <w:sz w:val="13"/>
        </w:rPr>
        <w:sectPr w:rsidR="002C1123">
          <w:type w:val="continuous"/>
          <w:pgSz w:w="16840" w:h="11910" w:orient="landscape"/>
          <w:pgMar w:top="560" w:right="280" w:bottom="280" w:left="500" w:header="0" w:footer="517" w:gutter="0"/>
          <w:cols w:num="4" w:space="720" w:equalWidth="0">
            <w:col w:w="5945" w:space="40"/>
            <w:col w:w="633" w:space="39"/>
            <w:col w:w="2035" w:space="39"/>
            <w:col w:w="7329"/>
          </w:cols>
        </w:sectPr>
      </w:pPr>
    </w:p>
    <w:p w:rsidR="002C1123" w:rsidRDefault="002C1123">
      <w:pPr>
        <w:pStyle w:val="BodyText"/>
        <w:rPr>
          <w:sz w:val="16"/>
        </w:rPr>
      </w:pPr>
    </w:p>
    <w:p w:rsidR="002C1123" w:rsidRDefault="002C1123">
      <w:pPr>
        <w:pStyle w:val="BodyText"/>
        <w:rPr>
          <w:sz w:val="16"/>
        </w:rPr>
      </w:pPr>
    </w:p>
    <w:p w:rsidR="002C1123" w:rsidRDefault="002C1123">
      <w:pPr>
        <w:pStyle w:val="BodyText"/>
        <w:rPr>
          <w:sz w:val="16"/>
        </w:rPr>
      </w:pPr>
    </w:p>
    <w:p w:rsidR="002C1123" w:rsidRDefault="002C1123">
      <w:pPr>
        <w:pStyle w:val="BodyText"/>
        <w:rPr>
          <w:sz w:val="16"/>
        </w:rPr>
      </w:pPr>
    </w:p>
    <w:p w:rsidR="002C1123" w:rsidRDefault="002C1123">
      <w:pPr>
        <w:pStyle w:val="BodyText"/>
        <w:spacing w:before="9"/>
      </w:pPr>
    </w:p>
    <w:p w:rsidR="002C1123" w:rsidRDefault="00F22F94">
      <w:pPr>
        <w:spacing w:line="249" w:lineRule="auto"/>
        <w:ind w:left="6669" w:right="-1"/>
        <w:rPr>
          <w:sz w:val="13"/>
        </w:rPr>
      </w:pPr>
      <w:r>
        <w:rPr>
          <w:color w:val="FFFFFF"/>
          <w:w w:val="90"/>
          <w:sz w:val="13"/>
        </w:rPr>
        <w:t>Moorebank</w:t>
      </w:r>
      <w:r>
        <w:rPr>
          <w:color w:val="FFFFFF"/>
          <w:spacing w:val="-6"/>
          <w:w w:val="90"/>
          <w:sz w:val="13"/>
        </w:rPr>
        <w:t xml:space="preserve"> </w:t>
      </w:r>
      <w:r>
        <w:rPr>
          <w:color w:val="FFFFFF"/>
          <w:w w:val="90"/>
          <w:sz w:val="13"/>
        </w:rPr>
        <w:t>Intermodal</w:t>
      </w:r>
      <w:r>
        <w:rPr>
          <w:color w:val="FFFFFF"/>
          <w:spacing w:val="40"/>
          <w:sz w:val="13"/>
        </w:rPr>
        <w:t xml:space="preserve"> </w:t>
      </w:r>
      <w:r>
        <w:rPr>
          <w:color w:val="FFFFFF"/>
          <w:w w:val="95"/>
          <w:sz w:val="13"/>
        </w:rPr>
        <w:t>Terminals</w:t>
      </w:r>
      <w:r>
        <w:rPr>
          <w:color w:val="FFFFFF"/>
          <w:spacing w:val="-8"/>
          <w:w w:val="95"/>
          <w:sz w:val="13"/>
        </w:rPr>
        <w:t xml:space="preserve"> </w:t>
      </w:r>
      <w:r>
        <w:rPr>
          <w:color w:val="FFFFFF"/>
          <w:w w:val="95"/>
          <w:sz w:val="13"/>
        </w:rPr>
        <w:t>(proposed)</w:t>
      </w:r>
    </w:p>
    <w:p w:rsidR="002C1123" w:rsidRDefault="00F22F94">
      <w:pPr>
        <w:rPr>
          <w:sz w:val="18"/>
        </w:rPr>
      </w:pPr>
      <w:r>
        <w:br w:type="column"/>
      </w:r>
    </w:p>
    <w:p w:rsidR="002C1123" w:rsidRDefault="002C1123">
      <w:pPr>
        <w:pStyle w:val="BodyText"/>
        <w:rPr>
          <w:sz w:val="18"/>
        </w:rPr>
      </w:pPr>
    </w:p>
    <w:p w:rsidR="002C1123" w:rsidRDefault="00F22F94">
      <w:pPr>
        <w:spacing w:before="111" w:line="204" w:lineRule="auto"/>
        <w:ind w:left="3338"/>
        <w:jc w:val="right"/>
        <w:rPr>
          <w:sz w:val="15"/>
        </w:rPr>
      </w:pPr>
      <w:r>
        <w:rPr>
          <w:spacing w:val="-2"/>
          <w:w w:val="75"/>
          <w:sz w:val="15"/>
        </w:rPr>
        <w:t>Sydney</w:t>
      </w:r>
      <w:r>
        <w:rPr>
          <w:sz w:val="15"/>
        </w:rPr>
        <w:t xml:space="preserve"> </w:t>
      </w:r>
      <w:r>
        <w:rPr>
          <w:spacing w:val="-2"/>
          <w:w w:val="85"/>
          <w:sz w:val="15"/>
        </w:rPr>
        <w:t>Airport</w:t>
      </w:r>
    </w:p>
    <w:p w:rsidR="002C1123" w:rsidRDefault="00F22F94">
      <w:pPr>
        <w:rPr>
          <w:sz w:val="16"/>
        </w:rPr>
      </w:pPr>
      <w:r>
        <w:br w:type="column"/>
      </w:r>
    </w:p>
    <w:p w:rsidR="002C1123" w:rsidRDefault="00F22F94">
      <w:pPr>
        <w:spacing w:before="1" w:line="249" w:lineRule="auto"/>
        <w:ind w:left="548" w:right="1106"/>
        <w:rPr>
          <w:sz w:val="13"/>
        </w:rPr>
      </w:pPr>
      <w:r>
        <w:rPr>
          <w:color w:val="FFFFFF"/>
          <w:w w:val="95"/>
          <w:sz w:val="13"/>
        </w:rPr>
        <w:t>Botany</w:t>
      </w:r>
      <w:r>
        <w:rPr>
          <w:color w:val="FFFFFF"/>
          <w:spacing w:val="-3"/>
          <w:w w:val="95"/>
          <w:sz w:val="13"/>
        </w:rPr>
        <w:t xml:space="preserve"> </w:t>
      </w:r>
      <w:r>
        <w:rPr>
          <w:color w:val="FFFFFF"/>
          <w:w w:val="95"/>
          <w:sz w:val="13"/>
        </w:rPr>
        <w:t>Freight</w:t>
      </w:r>
      <w:r>
        <w:rPr>
          <w:color w:val="FFFFFF"/>
          <w:spacing w:val="-3"/>
          <w:w w:val="95"/>
          <w:sz w:val="13"/>
        </w:rPr>
        <w:t xml:space="preserve"> </w:t>
      </w:r>
      <w:r>
        <w:rPr>
          <w:color w:val="FFFFFF"/>
          <w:w w:val="95"/>
          <w:sz w:val="13"/>
        </w:rPr>
        <w:t>Line</w:t>
      </w:r>
      <w:r>
        <w:rPr>
          <w:color w:val="FFFFFF"/>
          <w:spacing w:val="-3"/>
          <w:w w:val="95"/>
          <w:sz w:val="13"/>
        </w:rPr>
        <w:t xml:space="preserve"> </w:t>
      </w:r>
      <w:r>
        <w:rPr>
          <w:color w:val="FFFFFF"/>
          <w:w w:val="95"/>
          <w:sz w:val="13"/>
        </w:rPr>
        <w:t>and</w:t>
      </w:r>
      <w:r>
        <w:rPr>
          <w:color w:val="FFFFFF"/>
          <w:spacing w:val="-3"/>
          <w:w w:val="95"/>
          <w:sz w:val="13"/>
        </w:rPr>
        <w:t xml:space="preserve"> </w:t>
      </w:r>
      <w:r>
        <w:rPr>
          <w:color w:val="FFFFFF"/>
          <w:w w:val="95"/>
          <w:sz w:val="13"/>
        </w:rPr>
        <w:t>Botany</w:t>
      </w:r>
      <w:r>
        <w:rPr>
          <w:color w:val="FFFFFF"/>
          <w:spacing w:val="-3"/>
          <w:w w:val="95"/>
          <w:sz w:val="13"/>
        </w:rPr>
        <w:t xml:space="preserve"> </w:t>
      </w:r>
      <w:r>
        <w:rPr>
          <w:color w:val="FFFFFF"/>
          <w:w w:val="95"/>
          <w:sz w:val="13"/>
        </w:rPr>
        <w:t>Yard</w:t>
      </w:r>
      <w:r>
        <w:rPr>
          <w:color w:val="FFFFFF"/>
          <w:spacing w:val="40"/>
          <w:sz w:val="13"/>
        </w:rPr>
        <w:t xml:space="preserve"> </w:t>
      </w:r>
      <w:r>
        <w:rPr>
          <w:color w:val="FFFFFF"/>
          <w:spacing w:val="-2"/>
          <w:w w:val="90"/>
          <w:sz w:val="13"/>
        </w:rPr>
        <w:t>Capacity Upgrades (Under Construction)</w:t>
      </w:r>
    </w:p>
    <w:p w:rsidR="002C1123" w:rsidRDefault="002C1123">
      <w:pPr>
        <w:pStyle w:val="BodyText"/>
        <w:rPr>
          <w:sz w:val="16"/>
        </w:rPr>
      </w:pPr>
    </w:p>
    <w:p w:rsidR="002C1123" w:rsidRDefault="002C1123">
      <w:pPr>
        <w:pStyle w:val="BodyText"/>
        <w:rPr>
          <w:sz w:val="14"/>
        </w:rPr>
      </w:pPr>
    </w:p>
    <w:p w:rsidR="002C1123" w:rsidRDefault="00F22F94">
      <w:pPr>
        <w:ind w:left="445"/>
        <w:rPr>
          <w:sz w:val="15"/>
        </w:rPr>
      </w:pPr>
      <w:r>
        <w:rPr>
          <w:w w:val="80"/>
          <w:sz w:val="15"/>
        </w:rPr>
        <w:t>Port</w:t>
      </w:r>
      <w:r>
        <w:rPr>
          <w:spacing w:val="-1"/>
          <w:w w:val="90"/>
          <w:sz w:val="15"/>
        </w:rPr>
        <w:t xml:space="preserve"> </w:t>
      </w:r>
      <w:r>
        <w:rPr>
          <w:spacing w:val="-2"/>
          <w:w w:val="90"/>
          <w:sz w:val="15"/>
        </w:rPr>
        <w:t>Botany</w:t>
      </w:r>
    </w:p>
    <w:p w:rsidR="002C1123" w:rsidRDefault="002C1123">
      <w:pPr>
        <w:rPr>
          <w:sz w:val="15"/>
        </w:rPr>
        <w:sectPr w:rsidR="002C1123">
          <w:type w:val="continuous"/>
          <w:pgSz w:w="16840" w:h="11910" w:orient="landscape"/>
          <w:pgMar w:top="560" w:right="280" w:bottom="280" w:left="500" w:header="0" w:footer="517" w:gutter="0"/>
          <w:cols w:num="3" w:space="720" w:equalWidth="0">
            <w:col w:w="7854" w:space="40"/>
            <w:col w:w="4043" w:space="39"/>
            <w:col w:w="4084"/>
          </w:cols>
        </w:sectPr>
      </w:pPr>
    </w:p>
    <w:p w:rsidR="002C1123" w:rsidRDefault="002C1123">
      <w:pPr>
        <w:pStyle w:val="BodyText"/>
        <w:spacing w:before="1"/>
        <w:rPr>
          <w:sz w:val="28"/>
        </w:rPr>
      </w:pPr>
    </w:p>
    <w:p w:rsidR="002C1123" w:rsidRDefault="002C1123">
      <w:pPr>
        <w:rPr>
          <w:sz w:val="28"/>
        </w:rPr>
        <w:sectPr w:rsidR="002C1123">
          <w:type w:val="continuous"/>
          <w:pgSz w:w="16840" w:h="11910" w:orient="landscape"/>
          <w:pgMar w:top="560" w:right="280" w:bottom="280" w:left="500" w:header="0" w:footer="517" w:gutter="0"/>
          <w:cols w:space="720"/>
        </w:sectPr>
      </w:pPr>
    </w:p>
    <w:p w:rsidR="002C1123" w:rsidRDefault="00F22F94">
      <w:pPr>
        <w:spacing w:before="108" w:line="249" w:lineRule="auto"/>
        <w:ind w:left="6003" w:right="32"/>
        <w:rPr>
          <w:sz w:val="13"/>
        </w:rPr>
      </w:pPr>
      <w:r>
        <w:rPr>
          <w:color w:val="FFFFFF"/>
          <w:w w:val="90"/>
          <w:sz w:val="13"/>
        </w:rPr>
        <w:t>Southern</w:t>
      </w:r>
      <w:r>
        <w:rPr>
          <w:color w:val="FFFFFF"/>
          <w:spacing w:val="-6"/>
          <w:w w:val="90"/>
          <w:sz w:val="13"/>
        </w:rPr>
        <w:t xml:space="preserve"> </w:t>
      </w:r>
      <w:r>
        <w:rPr>
          <w:color w:val="FFFFFF"/>
          <w:w w:val="90"/>
          <w:sz w:val="13"/>
        </w:rPr>
        <w:t>Sydney</w:t>
      </w:r>
      <w:r>
        <w:rPr>
          <w:color w:val="FFFFFF"/>
          <w:spacing w:val="-5"/>
          <w:w w:val="90"/>
          <w:sz w:val="13"/>
        </w:rPr>
        <w:t xml:space="preserve"> </w:t>
      </w:r>
      <w:r>
        <w:rPr>
          <w:color w:val="FFFFFF"/>
          <w:w w:val="90"/>
          <w:sz w:val="13"/>
        </w:rPr>
        <w:t>Freight</w:t>
      </w:r>
      <w:r>
        <w:rPr>
          <w:color w:val="FFFFFF"/>
          <w:spacing w:val="-6"/>
          <w:w w:val="90"/>
          <w:sz w:val="13"/>
        </w:rPr>
        <w:t xml:space="preserve"> </w:t>
      </w:r>
      <w:r>
        <w:rPr>
          <w:color w:val="FFFFFF"/>
          <w:w w:val="90"/>
          <w:sz w:val="13"/>
        </w:rPr>
        <w:t>Line</w:t>
      </w:r>
      <w:r>
        <w:rPr>
          <w:color w:val="FFFFFF"/>
          <w:spacing w:val="40"/>
          <w:sz w:val="13"/>
        </w:rPr>
        <w:t xml:space="preserve"> </w:t>
      </w:r>
      <w:r>
        <w:rPr>
          <w:color w:val="FFFFFF"/>
          <w:sz w:val="13"/>
        </w:rPr>
        <w:t>(under</w:t>
      </w:r>
      <w:r>
        <w:rPr>
          <w:color w:val="FFFFFF"/>
          <w:spacing w:val="-10"/>
          <w:sz w:val="13"/>
        </w:rPr>
        <w:t xml:space="preserve"> </w:t>
      </w:r>
      <w:r>
        <w:rPr>
          <w:color w:val="FFFFFF"/>
          <w:sz w:val="13"/>
        </w:rPr>
        <w:t>construction)</w:t>
      </w:r>
    </w:p>
    <w:p w:rsidR="002C1123" w:rsidRDefault="002C1123">
      <w:pPr>
        <w:pStyle w:val="BodyText"/>
        <w:rPr>
          <w:sz w:val="16"/>
        </w:rPr>
      </w:pPr>
    </w:p>
    <w:p w:rsidR="002C1123" w:rsidRDefault="00F22F94">
      <w:pPr>
        <w:spacing w:before="137" w:line="249" w:lineRule="auto"/>
        <w:ind w:left="5280" w:right="1350"/>
        <w:rPr>
          <w:sz w:val="13"/>
        </w:rPr>
      </w:pPr>
      <w:r>
        <w:rPr>
          <w:color w:val="FFFFFF"/>
          <w:w w:val="95"/>
          <w:sz w:val="13"/>
        </w:rPr>
        <w:t>Minto</w:t>
      </w:r>
      <w:r>
        <w:rPr>
          <w:color w:val="FFFFFF"/>
          <w:spacing w:val="-8"/>
          <w:w w:val="95"/>
          <w:sz w:val="13"/>
        </w:rPr>
        <w:t xml:space="preserve"> </w:t>
      </w:r>
      <w:r>
        <w:rPr>
          <w:color w:val="FFFFFF"/>
          <w:w w:val="95"/>
          <w:sz w:val="13"/>
        </w:rPr>
        <w:t>Intermodal</w:t>
      </w:r>
      <w:r>
        <w:rPr>
          <w:color w:val="FFFFFF"/>
          <w:spacing w:val="40"/>
          <w:sz w:val="13"/>
        </w:rPr>
        <w:t xml:space="preserve"> </w:t>
      </w:r>
      <w:r>
        <w:rPr>
          <w:color w:val="FFFFFF"/>
          <w:w w:val="90"/>
          <w:sz w:val="13"/>
        </w:rPr>
        <w:t>Shipping</w:t>
      </w:r>
      <w:r>
        <w:rPr>
          <w:color w:val="FFFFFF"/>
          <w:spacing w:val="-1"/>
          <w:w w:val="90"/>
          <w:sz w:val="13"/>
        </w:rPr>
        <w:t xml:space="preserve"> </w:t>
      </w:r>
      <w:r>
        <w:rPr>
          <w:color w:val="FFFFFF"/>
          <w:spacing w:val="-4"/>
          <w:w w:val="95"/>
          <w:sz w:val="13"/>
        </w:rPr>
        <w:t>Terminal</w:t>
      </w:r>
    </w:p>
    <w:p w:rsidR="002C1123" w:rsidRDefault="00F22F94">
      <w:pPr>
        <w:spacing w:before="170"/>
        <w:jc w:val="right"/>
        <w:rPr>
          <w:b/>
          <w:sz w:val="17"/>
        </w:rPr>
      </w:pPr>
      <w:r>
        <w:br w:type="column"/>
      </w:r>
      <w:r>
        <w:rPr>
          <w:b/>
          <w:color w:val="2E3092"/>
          <w:spacing w:val="-5"/>
          <w:sz w:val="17"/>
        </w:rPr>
        <w:t>Key</w:t>
      </w:r>
    </w:p>
    <w:p w:rsidR="002C1123" w:rsidRDefault="00F22F94">
      <w:pPr>
        <w:rPr>
          <w:b/>
          <w:sz w:val="14"/>
        </w:rPr>
      </w:pPr>
      <w:r>
        <w:br w:type="column"/>
      </w:r>
    </w:p>
    <w:p w:rsidR="002C1123" w:rsidRDefault="002C1123">
      <w:pPr>
        <w:pStyle w:val="BodyText"/>
        <w:rPr>
          <w:b/>
          <w:sz w:val="14"/>
        </w:rPr>
      </w:pPr>
    </w:p>
    <w:p w:rsidR="002C1123" w:rsidRDefault="00F22F94">
      <w:pPr>
        <w:spacing w:before="98" w:line="312" w:lineRule="auto"/>
        <w:ind w:left="-7" w:right="1339"/>
        <w:rPr>
          <w:sz w:val="13"/>
        </w:rPr>
      </w:pPr>
      <w:r>
        <w:rPr>
          <w:spacing w:val="-2"/>
          <w:w w:val="95"/>
          <w:sz w:val="13"/>
        </w:rPr>
        <w:t>Dedicated</w:t>
      </w:r>
      <w:r>
        <w:rPr>
          <w:spacing w:val="-6"/>
          <w:w w:val="95"/>
          <w:sz w:val="13"/>
        </w:rPr>
        <w:t xml:space="preserve"> </w:t>
      </w:r>
      <w:r>
        <w:rPr>
          <w:spacing w:val="-2"/>
          <w:w w:val="95"/>
          <w:sz w:val="13"/>
        </w:rPr>
        <w:t>freight</w:t>
      </w:r>
      <w:r>
        <w:rPr>
          <w:spacing w:val="-5"/>
          <w:w w:val="95"/>
          <w:sz w:val="13"/>
        </w:rPr>
        <w:t xml:space="preserve"> </w:t>
      </w:r>
      <w:r>
        <w:rPr>
          <w:spacing w:val="-2"/>
          <w:w w:val="95"/>
          <w:sz w:val="13"/>
        </w:rPr>
        <w:t>rail</w:t>
      </w:r>
      <w:r>
        <w:rPr>
          <w:spacing w:val="40"/>
          <w:sz w:val="13"/>
        </w:rPr>
        <w:t xml:space="preserve"> </w:t>
      </w:r>
      <w:r>
        <w:rPr>
          <w:w w:val="95"/>
          <w:sz w:val="13"/>
        </w:rPr>
        <w:t>Shared</w:t>
      </w:r>
      <w:r>
        <w:rPr>
          <w:spacing w:val="-4"/>
          <w:w w:val="95"/>
          <w:sz w:val="13"/>
        </w:rPr>
        <w:t xml:space="preserve"> </w:t>
      </w:r>
      <w:r>
        <w:rPr>
          <w:w w:val="95"/>
          <w:sz w:val="13"/>
        </w:rPr>
        <w:t>freight</w:t>
      </w:r>
      <w:r>
        <w:rPr>
          <w:spacing w:val="-4"/>
          <w:w w:val="95"/>
          <w:sz w:val="13"/>
        </w:rPr>
        <w:t xml:space="preserve"> </w:t>
      </w:r>
      <w:r>
        <w:rPr>
          <w:w w:val="95"/>
          <w:sz w:val="13"/>
        </w:rPr>
        <w:t>rail</w:t>
      </w:r>
      <w:r>
        <w:rPr>
          <w:spacing w:val="40"/>
          <w:sz w:val="13"/>
        </w:rPr>
        <w:t xml:space="preserve"> </w:t>
      </w:r>
      <w:r>
        <w:rPr>
          <w:w w:val="95"/>
          <w:sz w:val="13"/>
        </w:rPr>
        <w:t>Major freight road</w:t>
      </w:r>
      <w:r>
        <w:rPr>
          <w:spacing w:val="40"/>
          <w:sz w:val="13"/>
        </w:rPr>
        <w:t xml:space="preserve"> </w:t>
      </w:r>
      <w:r>
        <w:rPr>
          <w:w w:val="95"/>
          <w:sz w:val="13"/>
        </w:rPr>
        <w:t>Intermodal</w:t>
      </w:r>
      <w:r>
        <w:rPr>
          <w:spacing w:val="-8"/>
          <w:w w:val="95"/>
          <w:sz w:val="13"/>
        </w:rPr>
        <w:t xml:space="preserve"> </w:t>
      </w:r>
      <w:r>
        <w:rPr>
          <w:w w:val="95"/>
          <w:sz w:val="13"/>
        </w:rPr>
        <w:t>terminal</w:t>
      </w:r>
      <w:r>
        <w:rPr>
          <w:spacing w:val="40"/>
          <w:sz w:val="13"/>
        </w:rPr>
        <w:t xml:space="preserve"> </w:t>
      </w:r>
      <w:r>
        <w:rPr>
          <w:spacing w:val="-2"/>
          <w:w w:val="85"/>
          <w:sz w:val="13"/>
        </w:rPr>
        <w:t>Freight</w:t>
      </w:r>
      <w:r>
        <w:rPr>
          <w:spacing w:val="-8"/>
          <w:sz w:val="13"/>
        </w:rPr>
        <w:t xml:space="preserve"> </w:t>
      </w:r>
      <w:r>
        <w:rPr>
          <w:spacing w:val="-2"/>
          <w:w w:val="85"/>
          <w:sz w:val="13"/>
        </w:rPr>
        <w:t>activity</w:t>
      </w:r>
      <w:r>
        <w:rPr>
          <w:spacing w:val="-7"/>
          <w:sz w:val="13"/>
        </w:rPr>
        <w:t xml:space="preserve"> </w:t>
      </w:r>
      <w:r>
        <w:rPr>
          <w:spacing w:val="-2"/>
          <w:w w:val="85"/>
          <w:sz w:val="13"/>
        </w:rPr>
        <w:t>precinct</w:t>
      </w:r>
    </w:p>
    <w:p w:rsidR="002C1123" w:rsidRDefault="002C1123">
      <w:pPr>
        <w:spacing w:line="312" w:lineRule="auto"/>
        <w:rPr>
          <w:sz w:val="13"/>
        </w:rPr>
        <w:sectPr w:rsidR="002C1123">
          <w:type w:val="continuous"/>
          <w:pgSz w:w="16840" w:h="11910" w:orient="landscape"/>
          <w:pgMar w:top="560" w:right="280" w:bottom="280" w:left="500" w:header="0" w:footer="517" w:gutter="0"/>
          <w:cols w:num="3" w:space="720" w:equalWidth="0">
            <w:col w:w="7586" w:space="252"/>
            <w:col w:w="5595" w:space="39"/>
            <w:col w:w="2588"/>
          </w:cols>
        </w:sectPr>
      </w:pPr>
    </w:p>
    <w:p w:rsidR="002C1123" w:rsidRDefault="002C1123">
      <w:pPr>
        <w:pStyle w:val="BodyText"/>
        <w:spacing w:before="5"/>
        <w:rPr>
          <w:sz w:val="25"/>
        </w:rPr>
      </w:pPr>
    </w:p>
    <w:p w:rsidR="002C1123" w:rsidRDefault="002C1123">
      <w:pPr>
        <w:rPr>
          <w:sz w:val="25"/>
        </w:rPr>
        <w:sectPr w:rsidR="002C1123">
          <w:type w:val="continuous"/>
          <w:pgSz w:w="16840" w:h="11910" w:orient="landscape"/>
          <w:pgMar w:top="560" w:right="280" w:bottom="280" w:left="500" w:header="0" w:footer="517" w:gutter="0"/>
          <w:cols w:space="720"/>
        </w:sectPr>
      </w:pPr>
    </w:p>
    <w:p w:rsidR="002C1123" w:rsidRDefault="002060EF">
      <w:pPr>
        <w:pStyle w:val="BodyText"/>
        <w:rPr>
          <w:sz w:val="16"/>
        </w:rPr>
      </w:pPr>
      <w:r>
        <w:pict>
          <v:group id="docshapegroup1552" o:spid="_x0000_s3569" style="position:absolute;margin-left:57.8pt;margin-top:49.95pt;width:724.9pt;height:501.75pt;z-index:-251472896;mso-position-horizontal-relative:page;mso-position-vertical-relative:page" coordorigin="1156,999" coordsize="14498,10035">
            <v:shape id="docshape1553" o:spid="_x0000_s3588" type="#_x0000_t75" style="position:absolute;left:8752;top:1076;width:4584;height:9952">
              <v:imagedata r:id="rId170" o:title=""/>
            </v:shape>
            <v:shape id="docshape1554" o:spid="_x0000_s3587" type="#_x0000_t75" style="position:absolute;left:1160;top:998;width:5509;height:10030">
              <v:imagedata r:id="rId171" o:title=""/>
            </v:shape>
            <v:rect id="docshape1555" o:spid="_x0000_s3586" style="position:absolute;left:1184;top:1100;width:14469;height:9904" fillcolor="#e1e0e1" stroked="f"/>
            <v:shape id="docshape1556" o:spid="_x0000_s3585" type="#_x0000_t75" style="position:absolute;left:10255;top:6596;width:2001;height:1256">
              <v:imagedata r:id="rId172" o:title=""/>
            </v:shape>
            <v:shape id="docshape1557" o:spid="_x0000_s3584" type="#_x0000_t75" style="position:absolute;left:6656;top:6613;width:1300;height:2738">
              <v:imagedata r:id="rId173" o:title=""/>
            </v:shape>
            <v:shape id="docshape1558" o:spid="_x0000_s3583" type="#_x0000_t75" style="position:absolute;left:6042;top:4541;width:744;height:596">
              <v:imagedata r:id="rId174" o:title=""/>
            </v:shape>
            <v:shape id="docshape1559" o:spid="_x0000_s3582" type="#_x0000_t75" style="position:absolute;left:1184;top:1111;width:2434;height:9892">
              <v:imagedata r:id="rId175" o:title=""/>
            </v:shape>
            <v:shape id="docshape1560" o:spid="_x0000_s3581" type="#_x0000_t75" style="position:absolute;left:13693;top:1924;width:735;height:510">
              <v:imagedata r:id="rId176" o:title=""/>
            </v:shape>
            <v:shape id="docshape1561" o:spid="_x0000_s3580" type="#_x0000_t75" style="position:absolute;left:14154;top:2928;width:215;height:133">
              <v:imagedata r:id="rId177" o:title=""/>
            </v:shape>
            <v:shape id="docshape1562" o:spid="_x0000_s3579" style="position:absolute;left:12151;top:2982;width:800;height:928" coordorigin="12151,2982" coordsize="800,928" path="m12152,2982r-1,4l12157,2998r2,2l12160,3003r4,3l12168,3008r6,4l12174,3013r14,10l12191,3026r,3l12192,3036r,4l12194,3054r1,5l12197,3062r5,3l12203,3067r4,1l12215,3068r3,l12223,3071r9,8l12233,3081r,1l12235,3086r1,4l12236,3094r-2,12l12229,3123r,5l12228,3129r,7l12229,3139r3,4l12238,3147r4,3l12244,3149r3,2l12264,3156r2,3l12267,3162r2,2l12269,3167r-3,3l12262,3171r-15,3l12239,3176r-6,3l12230,3181r-2,4l12227,3187r-2,4l12222,3195r-4,1l12217,3196r-36,26l12181,3224r-1,2l12179,3239r2,14l12186,3259r12,10l12201,3271r1,3l12201,3276r-1,7l12201,3286r1,2l12205,3290r4,1l12212,3293r13,12l12230,3311r8,3l12244,3319r7,7l12254,3330r6,3l12268,3335r22,6l12296,3343r1,1l12314,3345r6,4l12325,3356r4,6l12331,3366r,2l12333,3381r,3l12334,3396r,7l12335,3408r3,8l12338,3417r,2l12335,3429r1,4l12332,3447r1,12l12330,3467r,6l12333,3481r1,4l12334,3495r,1l12334,3498r2,3l12339,3503r12,2l12364,3505r5,l12371,3506r4,3l12376,3511r1,l12383,3518r9,7l12394,3527r10,9l12412,3545r4,4l12418,3551r2,7l12421,3559r3,6l12424,3567r5,12l12432,3590r1,11l12431,3606r-5,5l12423,3608r-3,l12418,3606r,1l12417,3610r2,3l12420,3618r3,4l12425,3625r5,2l12431,3628r2,l12442,3632r18,10l12461,3644r,-2l12464,3647r1,3l12467,3653r1,l12471,3654r12,6l12486,3662r3,4l12489,3666r5,8l12511,3689r2,4l12515,3702r,3l12514,3706r,1l12513,3709r-3,2l12504,3713r-3,2l12499,3719r,3l12503,3729r,1l12504,3731r,1l12506,3736r3,2l12513,3740r3,l12527,3736r12,-1l12551,3736r20,l12585,3738r3,1l12590,3740r9,20l12603,3770r,1l12605,3778r,6l12602,3798r-1,5l12601,3806r,4l12603,3812r2,4l12638,3869r4,2l12649,3872r2,1l12656,3873r8,-1l12668,3871r7,-4l12681,3869r3,9l12690,3884r9,4l12708,3892r10,5l12734,3896r16,-5l12760,3887r8,-1l12777,3894r12,5l12795,3907r10,3l12813,3908r9,-4l12841,3902r43,l12897,3898r12,-2l12921,3890r21,-8l12950,3879r-17,-52l12931,3829r,2l12930,3831r-10,2l12915,3835r-2,l12907,3837r-2,-1l12899,3839r-12,l12883,3837r-5,-2l12875,3834r-5,l12866,3836r-4,4l12861,3841r1,5l12861,3847r,2l12857,3851r-5,-2l12848,3849r-10,2l12836,3852r-3,-1l12803,3845r-2,l12776,3837r-5,-2l12770,3835r-1,l12764,3834r-9,-5l12752,3827r-5,-1l12744,3826r-2,1l12735,3827r-7,2l12713,3828r-5,-2l12705,3824r-8,-2l12694,3820r-2,l12680,3816r-4,l12674,3817r-3,l12664,3821r-3,1l12650,3821r-5,-4l12645,3815r,-4l12646,3807r2,-4l12653,3797r2,-8l12654,3786r-1,-7l12649,3772r-2,-1l12642,3762r-5,-7l12633,3751r-9,-11l12623,3736r-1,-1l12617,3727r-7,-12l12607,3711r-6,-17l12598,3692r-4,-2l12587,3689r-7,-3l12576,3684r-6,-8l12569,3674r-5,-13l12562,3657r-3,l12557,3656r-14,l12537,3661r-2,2l12531,3664r-1,1l12524,3665r-6,-1l12515,3661r-5,-4l12473,3632r,l12471,3632r-2,-2l12469,3623r-4,-7l12445,3580r3,-17l12448,3561r,-2l12447,3558r,-5l12442,3541r,-1l12431,3528r-7,-7l12420,3517r-7,-6l12407,3506r-9,-4l12380,3493r-7,-4l12366,3483r-13,-10l12350,3469r-2,-5l12346,3461r,-9l12348,3447r3,-8l12358,3431r2,-8l12360,3419r-1,-9l12359,3408r-6,-11l12346,3388r-2,-7l12344,3374r1,-1l12345,3367r,-8l12344,3357r,-2l12321,3336r-10,-6l12309,3330r-9,2l12289,3330r-2,-2l12281,3326r-7,-3l12272,3323r-5,-2l12261,3317r-3,-4l12256,3313r-5,-4l12233,3291r-8,-12l12221,3274r-8,-7l12205,3261r-10,-8l12191,3249r-3,-5l12186,3239r,-8l12208,3215r5,-3l12224,3206r5,-5l12232,3197r5,-9l12237,3188r2,-2l12246,3182r2,l12254,3180r2,l12264,3178r1,-1l12266,3177r10,-2l12281,3173r11,-3l12298,3167r1,l12302,3166r4,l12308,3165r,-5l12305,3160r-3,1l12297,3162r-1,1l12295,3163r-6,1l12288,3165r-6,2l12280,3167r-1,-2l12276,3163r-24,-23l12251,3141r-5,l12239,3138r-3,-4l12236,3132r,l12236,3127r1,-3l12237,3122r1,-2l12240,3114r,-3l12241,3110r,-8l12242,3101r,-3l12241,3092r,-2l12237,3079r-4,-5l12232,3073r-1,-1l12227,3069r-10,-5l12213,3062r-2,l12202,3060r-2,-2l12199,3055r1,-10l12196,3031r-2,-6l12191,3021r-2,-2l12184,3016r-8,-5l12172,3009r-3,-3l12161,2997r-2,-4l12152,2982xe" fillcolor="#d4effc" stroked="f">
              <v:path arrowok="t"/>
            </v:shape>
            <v:shape id="docshape1563" o:spid="_x0000_s3578" type="#_x0000_t75" style="position:absolute;left:13724;top:3682;width:320;height:184">
              <v:imagedata r:id="rId178" o:title=""/>
            </v:shape>
            <v:shape id="docshape1564" o:spid="_x0000_s3577" type="#_x0000_t75" style="position:absolute;left:13177;top:3545;width:268;height:277">
              <v:imagedata r:id="rId179" o:title=""/>
            </v:shape>
            <v:shape id="docshape1565" o:spid="_x0000_s3576" type="#_x0000_t75" style="position:absolute;left:12683;top:7194;width:127;height:162">
              <v:imagedata r:id="rId180" o:title=""/>
            </v:shape>
            <v:shape id="docshape1566" o:spid="_x0000_s3575" type="#_x0000_t75" style="position:absolute;left:10104;top:9893;width:1702;height:1110">
              <v:imagedata r:id="rId181" o:title=""/>
            </v:shape>
            <v:shape id="docshape1567" o:spid="_x0000_s3574" type="#_x0000_t75" style="position:absolute;left:8561;top:3912;width:3582;height:2260">
              <v:imagedata r:id="rId182" o:title=""/>
            </v:shape>
            <v:shape id="docshape1568" o:spid="_x0000_s3573" type="#_x0000_t75" style="position:absolute;left:9068;top:6428;width:115;height:147">
              <v:imagedata r:id="rId183" o:title=""/>
            </v:shape>
            <v:shape id="docshape1569" o:spid="_x0000_s3572" style="position:absolute;left:7558;top:6039;width:3558;height:4000" coordorigin="7558,6039" coordsize="3558,4000" o:spt="100" adj="0,,0" path="m8691,10019r-2,l8690,10039r3,l8691,10019xm8758,10019r-13,l8740,10039r9,l8758,10019xm8599,9999r-4,l8597,10019r3,l8599,9999xm8687,9999r-7,l8682,10019r9,l8687,9999xm8803,9999r-23,l8773,10019r23,l8803,9999xm8605,9979r-5,l8598,9999r3,l8605,9979xm8676,9983r1,16l8685,9999r-9,-16xm8846,9979r-11,l8824,9999r13,l8846,9979xm8675,9979r-2,l8676,9983r-1,-4xm8627,9959r-10,l8613,9979r11,l8627,9959xm8666,9959r-1,l8668,9979r5,l8666,9959xm8866,9959r-4,l8858,9979r6,l8866,9959xm8661,9939r-12,l8638,9959r26,l8661,9939xm8874,9899r-10,l8863,9919r1,20l8865,9939r,20l8872,9959r2,-20l8873,9919r-1,l8874,9899xm8884,9879r-11,l8868,9899r10,l8884,9879xm8902,9859r-16,l8882,9879r6,l8902,9859xm8919,9839r-20,l8896,9859r8,l8919,9839xm8935,9819r-12,l8916,9839r17,l8935,9819xm8992,9799r-39,l8932,9819r59,l8992,9799xm8986,9779r-5,l8981,9799r10,l8986,9779xm8978,9759r-17,l8968,9779r15,l8978,9759xm8963,9739r-15,l8950,9759r19,l8963,9739xm8951,9719r-14,l8941,9739r11,l8951,9719xm8947,9699r-11,l8934,9719r13,l8947,9699xm8955,9679r-9,l8942,9699r11,l8955,9679xm8984,9659r-15,l8956,9679r15,l8984,9659xm8999,9639r-11,l8976,9659r21,l8999,9639xm9004,9619r-10,l8994,9639r8,l9004,9619xm9462,9619r-43,l9430,9639r27,l9462,9619xm9021,9579r-21,l8999,9599r-5,l8994,9619r15,l9012,9599r9,-20xm9474,9599r-91,l9385,9619r87,l9474,9599xm9365,9579r-38,l9338,9599r41,l9365,9579xm9482,9579r-15,l9465,9599r13,l9482,9579xm9044,9559r-28,l9015,9579r13,l9044,9559xm9352,9559r-115,l9247,9579r109,l9352,9559xm9492,9559r-20,l9467,9579r19,l9492,9559xm9055,9539r-18,l9029,9559r39,l9055,9539xm9180,9539r-90,l9089,9559r89,l9180,9539xm9242,9539r-21,l9224,9559r26,l9242,9539xm9500,9539r-24,l9475,9559r19,l9500,9539xm9222,9519r-34,l9176,9539r47,l9222,9519xm9545,9479r-29,l9512,9499r-15,l9495,9519r-8,l9480,9539r26,l9533,9499r12,-20xm9561,9439r-26,l9528,9459r-2,20l9555,9479r4,-20l9563,9459r-2,-20xm10739,9459r-7,l10731,9479r6,l10739,9459xm10716,9439r-6,l10710,9459r6,l10716,9439xm10744,9439r-6,l10738,9459r6,l10744,9439xm9556,9419r-22,l9536,9439r19,l9556,9419xm10748,9419r-34,l10714,9439r33,l10748,9419xm10823,9419r-9,l10815,9439r8,l10823,9419xm9564,9399r-44,l9518,9419r44,l9564,9399xm10763,9399r-13,l10747,9419r15,l10763,9399xm10811,9399r-10,l10803,9419r9,l10811,9399xm9559,9379r-40,l9516,9399r49,l9559,9379xm10797,9379r-40,l10757,9399r41,l10797,9379xm9559,9359r-36,l9525,9379r33,l9559,9359xm10790,9359r-69,l10724,9379r66,l10790,9359xm9552,9339r-37,l9518,9359r37,l9552,9339xm9578,9339r-5,l9573,9359r5,l9578,9339xm10797,9339r-22,l10774,9359r22,l10797,9339xm9549,9319r-38,l9512,9339r39,l9549,9319xm9577,9319r-7,l9570,9339r7,l9577,9319xm10711,9319r-8,l10703,9339r7,l10711,9319xm10816,9319r-84,l10731,9339r83,l10816,9319xm9542,9299r-32,l9510,9319r33,l9542,9299xm9582,9299r-17,l9566,9319r18,l9582,9299xm10721,9299r-8,l10711,9319r9,l10721,9299xm10797,9299r-31,l10768,9319r28,l10797,9299xm10857,9299r-15,l10841,9319r14,l10857,9299xm9475,9279r-17,l9454,9299r21,l9475,9279xm9546,9279r-39,l9509,9299r35,l9546,9279xm9569,9279r-18,l9554,9299r21,l9569,9279xm10724,9279r-26,l10699,9299r26,l10724,9279xm10839,9279r-100,l10738,9299r97,l10839,9279xm10869,9279r-7,l10862,9299r7,l10869,9279xm10916,9279r-12,l10905,9299r8,l10916,9279xm9458,9259r2,20l9463,9279r-5,-20xm9472,9259r-7,l9463,9279r10,l9472,9259xm9548,9259r-48,l9506,9279r52,l9548,9259xm10629,9259r-7,l10622,9279r6,l10629,9259xm10684,9259r-7,l10677,9279r7,l10684,9259xm10756,9259r-8,l10748,9279r9,l10756,9259xm10816,9259r-42,l10773,9279r43,l10816,9259xm10863,9259r-34,l10828,9279r35,l10863,9259xm10936,9259r-51,l10888,9279r47,l10936,9259xm9463,9219r-7,l9456,9239r5,20l9467,9259r-3,-20l9463,9219xm9530,9239r-46,l9493,9259r50,l9530,9239xm10767,9239r-13,l10753,9259r13,l10767,9239xm10837,9239r-14,l10826,9259r12,l10837,9239xm10948,9239r-89,l10858,9259r89,l10948,9239xm9518,9219r-49,l9475,9239r52,l9518,9219xm10950,9219r-97,l10854,9239r96,l10950,9219xm9495,9199r-42,l9452,9219r46,l9495,9199xm10113,9199r-14,l10100,9219r7,l10113,9199xm10335,9199r-41,l10297,9219r35,l10335,9199xm10943,9199r-118,l10828,9219r116,l10943,9199xm9487,9179r-31,l9456,9199r33,l9487,9179xm10129,9179r-19,l10107,9199r16,l10129,9179xm10340,9179r-45,l10295,9199r44,l10340,9179xm10956,9179r-145,l10814,9199r141,l10956,9179xm9483,9159r-31,l9454,9179r31,l9483,9159xm10362,9139r-193,l10149,9159r-17,20l10156,9179r8,-20l10354,9159r8,-20xm10252,9159r-48,l10209,9179r41,l10252,9159xm10343,9159r-59,l10286,9179r55,l10343,9159xm10992,9159r-189,l10804,9179r187,l10992,9159xm9306,9139r-3,l9301,9159r4,l9306,9139xm9483,9139r-67,l9415,9159r66,l9483,9139xm9717,9139r-11,l9707,9159r1,l9717,9139xm11072,9059r-306,l10787,9079r8,l10806,9099r1,l10801,9119r-6,l10795,9139r4,l10800,9159r249,l11072,9059xm9310,9119r-4,l9305,9139r4,l9310,9119xm9489,9119r-62,l9418,9139r68,l9489,9119xm9555,9119r-36,l9518,9139r37,l9555,9119xm9713,9119r-18,l9698,9139r15,l9713,9119xm10198,9119r-16,l10181,9139r25,l10198,9119xm10372,9119r-96,l10268,9139r104,l10372,9119xm9324,9099r-14,l9309,9119r5,l9324,9099xm9509,9099r-100,l9425,9119r76,l9509,9099xm9549,9079r-53,l9494,9099r28,l9521,9119r29,l9548,9099r1,-20xm9703,9099r-68,l9638,9119r72,l9703,9099xm10367,9099r-95,l10275,9119r93,l10367,9099xm9355,9079r-13,l9320,9099r17,l9355,9079xm9380,9081r11,18l9424,9099r-44,-18xm9692,9079r-66,l9630,9099r70,l9692,9079xm10371,9079r-154,l10217,9099r152,l10371,9079xm9378,9079r-3,l9380,9081r-2,-2xm9585,9059r-85,l9499,9079r72,l9585,9059xm9693,9059r-91,l9604,9079r88,l9693,9059xm10387,9059r-162,l10228,9079r158,l10387,9059xm10507,9059r-37,l10474,9079r24,l10507,9059xm10630,9059r-103,l10544,9079r79,l10630,9059xm10737,9059r-60,l10690,9079r42,l10737,9059xm9689,9039r-182,l9505,9059r186,l9689,9039xm10275,9039r-51,l10217,9059r65,l10275,9039xm10406,9039r-98,l10311,9059r93,l10406,9039xm10745,9039r-285,l10461,9059r279,l10745,9039xm11055,9039r-294,l10764,9059r300,l11055,9039xm9670,9019r-142,l9520,9039r160,l9670,9019xm10268,9019r-31,l10235,9039r34,l10268,9019xm10425,9019r-119,l10306,9039r113,l10425,9019xm11027,8999r-557,l10463,9019r-1,20l11052,9039r-14,-20l11035,9019r-8,-20xm8739,8979r-4,l8734,8999r-4,l8730,9019r4,l8735,8999r4,-20xm9662,8999r-55,l9598,9019r70,l9662,8999xm10435,8999r-97,l10337,9019r97,l10435,8999xm9661,8979r-42,l9616,8999r45,l9661,8979xm9951,8979r-21,l9932,8999r18,l9951,8979xm10432,8979r-80,l10346,8999r88,l10432,8979xm11015,8979r-542,l10472,8999r545,l11015,8979xm8745,8959r-5,l8736,8979r9,l8745,8959xm9669,8959r-36,l9626,8979r36,l9669,8959xm9977,8959r-37,l9929,8979r30,l9977,8959xm10430,8959r-77,l10354,8979r78,l10430,8959xm10990,8959r-518,l10475,8979r515,l10990,8959xm8754,8939r-10,l8743,8959r7,l8754,8939xm9622,8939r-33,l9588,8959r30,l9622,8939xm9684,8939r-41,l9640,8959r38,l9684,8939xm9991,8939r-44,l9945,8959r34,l9991,8939xm10098,8939r-33,l10070,8959r22,l10098,8939xm10431,8939r-116,l10316,8959r117,l10431,8939xm10561,8939r-91,l10470,8959r94,l10561,8939xm10793,8939r-195,l10596,8959r200,l10793,8939xm10973,8939r-157,l10816,8959r158,l10973,8939xm8811,8919r-11,l8796,8939r8,l8811,8919xm9731,8899r-116,l9614,8919r-6,20l9629,8939r2,-20l9728,8919r3,-20xm9702,8919r-57,l9644,8939r51,l9702,8919xm10015,8919r-77,l9943,8939r52,l10015,8919xm10115,8919r-59,l10058,8939r60,l10115,8919xm10419,8919r-103,l10315,8939r115,l10419,8919xm10571,8919r-104,l10467,8939r100,l10571,8919xm10644,8919r-27,l10610,8939r40,l10644,8919xm10799,8919r-92,l10701,8939r97,l10799,8919xm10963,8899r-135,l10827,8919r-7,l10817,8939r147,l10963,8919r,-20xm8820,8905r-5,14l8817,8919r3,-14xm10018,8899r-94,l9926,8919r91,l10018,8899xm10102,8899r-55,l10048,8919r59,l10102,8899xm10410,8899r-90,l10317,8919r96,l10410,8899xm10593,8899r-117,l10469,8919r115,l10593,8899xm10802,8899r-55,l10744,8919r58,l10802,8899xm8821,8899r-1,l8820,8905r1,-6xm8827,8879r-2,l8825,8899r,l8827,8879xm9774,8879r-129,l9639,8899r130,l9774,8879xm10028,8879r-80,l9946,8899r78,l10028,8879xm10099,8879r-55,l10046,8899r53,l10099,8879xm10398,8879r-84,l10316,8899r90,l10398,8879xm10597,8879r-123,l10477,8899r122,l10597,8879xm10806,8879r-55,l10751,8899r55,l10806,8879xm10960,8879r-136,l10825,8899r135,l10960,8879xm8835,8859r-4,l8830,8879r,l8835,8859xm9877,8859r-205,l9668,8879r197,l9877,8859xm10097,8859r-164,l9937,8879r160,l10097,8859xm10602,8859r-305,l10306,8879r295,l10602,8859xm10812,8859r-92,l10726,8879r85,l10812,8859xm10970,8859r-136,l10832,8879r136,l10970,8859xm8844,8842r-8,17l8839,8859r5,-17xm9902,8839r-209,l9680,8859r218,l9902,8839xm10169,8839r-249,l9924,8859r219,l10169,8839xm10596,8819r-897,l9699,8839r500,l10210,8859r394,l10600,8839r-4,-20xm10798,8839r-67,l10720,8859r81,l10798,8839xm10965,8839r-112,l10852,8859r115,l10965,8839xm8846,8839r-1,l8844,8842r2,-3xm8856,8838r-1,1l8856,8839r,-1xm10969,8819r-116,l10854,8839r119,l10969,8819xm8866,8819r-8,l8856,8838r10,-19xm8888,8799r-6,l8866,8819r15,l8888,8799xm9634,8799r-150,l9481,8819r141,l9634,8799xm9959,8799r-108,l9847,8819r114,l9959,8799xm10593,8799r-622,l9968,8819r626,l10593,8799xm10998,8799r-144,l10854,8819r127,l10998,8799xm8903,8779r-3,l8891,8799r10,l8903,8779xm9301,8779r-74,l9235,8799r63,l9301,8779xm9654,8779r-280,l9382,8799r269,l9654,8779xm9943,8759r-90,l9854,8779r-1,l9852,8799r97,l9948,8779r-5,-20xm10029,8779r-39,l9981,8799r55,l10029,8779xm10565,8779r-489,l10074,8799r507,l10565,8779xm11017,8779r-168,l10851,8799r157,l11017,8779xm8903,8759r-4,l8901,8779r2,l8903,8759xm9681,8759r-490,l9192,8779r486,l9681,8759xm10033,8759r-32,l9994,8779r31,l10033,8759xm10460,8759r-265,l10170,8779r302,l10460,8759xm10553,8759r-51,l10501,8779r52,l10553,8759xm11029,8759r-192,l10837,8779r187,l11029,8759xm8905,8739r-4,l8900,8759r4,l8905,8739xm9374,8739r-181,l9192,8759r205,l9374,8739xm9539,8739r-117,l9411,8759r134,l9539,8739xm9697,8739r-114,l9575,8759r118,l9697,8739xm9925,8739r-82,l9852,8759r88,l9925,8739xm10299,8739r-83,l10220,8759r83,l10299,8739xm10439,8719r-39,l10395,8739r-48,l10345,8759r90,l10439,8719xm10572,8739r-68,l10503,8759r61,l10572,8739xm11034,8739r-180,l10850,8759r182,l11034,8739xm8915,8719r-9,l8906,8739r4,l8915,8719xm9270,8719r-62,l9203,8739r67,l9270,8719xm9475,8719r-25,l9449,8739r34,l9475,8719xm9705,8719r-88,l9605,8739r95,l9705,8719xm9919,8719r-147,l9773,8739r148,l9919,8719xm10255,8719r-46,l10211,8739r48,l10255,8719xm10358,8719r-10,l10348,8739r15,l10358,8719xm10375,8719r-4,l10370,8739r8,l10375,8719xm10590,8719r-78,l10508,8739r82,l10590,8719xm11048,8719r-187,l10857,8739r189,l11048,8719xm8919,8699r-8,l8911,8719r8,l8919,8699xm9266,8699r-55,l9210,8719r57,l9266,8699xm9719,8699r-95,l9622,8719r91,l9719,8699xm9922,8699r-163,l9761,8719r157,l9922,8699xm10235,8699r-45,l10199,8719r43,l10235,8699xm10436,8699r-24,l10407,8719r31,l10436,8699xm10586,8699r-50,l10537,8719r50,l10586,8699xm10893,8699r-31,l10862,8719r32,l10893,8699xm11078,8679r-161,l10918,8699r1,l10920,8719r139,l11071,8699r7,-20xm8909,8679r-3,l8907,8699r4,l8909,8679xm9250,8679r-106,l9149,8699r109,l9250,8679xm9728,8679r-89,l9638,8699r88,l9728,8679xm9943,8679r-190,l9755,8699r182,l9943,8679xm10234,8679r-71,l10161,8699r73,l10234,8679xm10584,8679r-49,l10535,8699r50,l10584,8679xm8903,8659r-9,l8897,8679r8,l8903,8659xm9227,8659r-90,l9138,8679r93,l9227,8659xm9949,8659r-334,l9622,8679r326,l9949,8659xm10268,8659r-91,l10173,8679r89,l10268,8659xm10550,8659r-7,l10539,8679r14,l10550,8659xm11090,8659r-164,l10922,8679r163,l11090,8659xm8877,8599r-9,l8868,8619r4,l8875,8639r8,l8886,8659r11,l8893,8639r-9,-20l8877,8599xm9230,8579r-77,l9146,8599r-8,20l9135,8639r,20l9220,8659r1,-20l9284,8639r-4,-20l9210,8619r-1,-20l9219,8599r11,-20xm9259,8639r-20,l9246,8659r10,l9259,8639xm9288,8639r-22,l9276,8659r11,l9288,8639xm9812,8639r-209,l9606,8659r211,l9812,8639xm9964,8639r-83,l9881,8659r79,l9964,8639xm10277,8639r-85,l10186,8659r90,l10277,8639xm11093,8639r-155,l10938,8659r155,l11093,8639xm9809,8619r-212,l9599,8639r211,l9809,8619xm9909,8619r-28,l9882,8639r28,l9909,8619xm9971,8619r-36,l9928,8639r39,l9971,8619xm10312,8599r-50,l10247,8619r-10,20l10281,8639r3,-20l10305,8619r7,-20xm11110,8599r-115,l10991,8619r-4,l10981,8639r114,l11106,8619r4,-20xm9622,8599r-36,l9586,8619r41,l9622,8599xm9808,8599r-110,l9697,8619r111,l9808,8599xm9975,8599r-23,l9950,8619r25,l9975,8599xm8825,8579r-55,l8776,8599r36,l8825,8579xm8874,8579r-11,l8865,8599r10,l8874,8579xm9617,8579r-37,l9584,8599r33,l9617,8579xm9821,8579r-115,l9700,8599r110,l9821,8579xm9983,8579r-28,l9954,8599r24,l9983,8579xm10387,8579r-99,l10286,8599r100,l10387,8579xm11116,8579r-105,l11010,8599r104,l11116,8579xm8580,8559r-66,l8520,8579r39,l8580,8559xm8708,8559r-43,l8668,8579r14,l8708,8559xm8779,8559r-52,l8729,8579r57,l8779,8559xm8873,8559r-64,l8799,8579r72,l8873,8559xm9334,8559r-142,l9177,8579r155,l9334,8559xm9621,8559r-45,l9576,8579r42,l9621,8559xm9828,8559r-119,l9709,8579r117,l9828,8559xm9966,8559r-18,l9946,8579r29,l9966,8559xm10323,8559r-35,l10289,8579r44,l10323,8559xm10391,8559r-15,l10372,8579r24,l10391,8559xm11113,8559r-79,l11032,8579r83,l11113,8559xm8510,8539r-32,l8486,8559r31,l8510,8539xm8601,8539r-18,l8580,8559r17,l8601,8539xm8685,8539r-31,l8657,8559r33,l8685,8539xm8773,8539r-57,l8709,8559r65,l8773,8539xm8889,8539r-38,l8845,8559r39,l8889,8539xm9341,8539r-136,l9202,8559r137,l9341,8539xm9656,8539r-99,l9568,8559r84,l9656,8539xm9774,8539r-39,l9724,8559r54,l9774,8539xm9832,8539r-11,l9815,8559r21,l9832,8539xm10312,8539r-41,l10278,8559r36,l10312,8539xm11098,8539r-25,l11069,8559r39,l11098,8539xm8488,8519r-25,l8469,8539r25,l8488,8519xm8611,8519r-21,l8585,8539r22,l8611,8519xm8669,8499r-16,l8653,8519r-1,l8652,8539r22,l8671,8519r-2,-20xm8947,8459r-33,l8899,8479r-16,20l8879,8519r-9,l8864,8539r34,l8909,8519r25,-20l8941,8479r1,l8947,8459xm9342,8519r-47,l9297,8539r45,l9342,8519xm9573,8519r-25,l9551,8539r26,l9573,8519xm9666,8519r-44,l9619,8539r47,l9666,8519xm10313,8519r-5,20l10313,8539r,-20xm8472,8499r-18,l8458,8519r20,l8472,8499xm8626,8499r-27,l8592,8519r27,l8626,8499xm9336,8499r-69,l9269,8519r72,l9336,8499xm9545,8499r-7,l9542,8519r17,l9545,8499xm9693,8499r-60,l9630,8519r61,l9693,8499xm8462,8479r-16,l8447,8499r16,l8462,8479xm8659,8479r-44,l8606,8499r57,l8659,8479xm9330,8479r-72,l9267,8499r67,l9330,8479xm9539,8479r-8,l9533,8499r7,l9539,8479xm9708,8479r-26,l9671,8499r33,l9708,8479xm8468,8459r-23,l8445,8479r19,l8468,8459xm8644,8459r-3,l8638,8479r7,l8644,8459xm9287,8459r-39,l9256,8479r37,l9287,8459xm9712,8459r-23,l9687,8479r24,l9712,8459xm8488,8439r-38,l8447,8459r33,l8488,8439xm8966,8439r-47,l8916,8459r44,l8966,8439xm9183,8439r-162,l9046,8459r130,l9183,8439xm9288,8439r-47,l9244,8459r41,l9288,8439xm9725,8419r-20,l9697,8459r20,l9720,8439r5,l9725,8419xm8511,8419r-48,l8456,8439r44,l8511,8419xm8996,8419r-63,l8927,8439r68,l8996,8419xm9033,8419r-37,l9000,8439r36,l9033,8419xm9307,8419r-226,l9070,8439r233,l9307,8419xm8537,8399r-37,l8471,8419r50,l8537,8399xm9033,8399r-88,l8939,8419r92,l9033,8399xm9320,8399r-165,l9150,8419r165,l9320,8399xm9773,8399r-57,l9716,8419r54,l9773,8399xm8543,8379r-29,l8514,8399r29,l8543,8379xm9046,8339r-103,l8942,8359r27,l8972,8379r-2,20l9040,8399r-1,-20l9033,8379r,-20l9046,8339xm9344,8379r-163,l9179,8399r152,l9344,8379xm9810,8379r-62,l9747,8399r66,l9810,8379xm8411,8359r-4,l8404,8379r4,l8411,8359xm8536,8359r-35,l8505,8379r32,l8536,8359xm8963,8359r-49,l8916,8379r42,l8963,8359xm9292,8359r-30,l9257,8379r40,l9292,8359xm9381,8359r-79,l9297,8379r78,l9381,8359xm8418,8339r-6,l8409,8359r6,l8418,8339xm8507,8339r-47,l8468,8359r47,l8507,8339xm9392,8339r-56,l9330,8359r59,l9392,8339xm8429,8319r-8,l8419,8339r5,l8429,8319xm8478,8319r-37,l8452,8339r35,l8478,8319xm9059,8319r-60,l8984,8339r76,l9059,8319xm9406,8319r-42,l9363,8339r41,l9406,8319xm8468,8299r-38,l8430,8319r42,l8468,8299xm9054,8299r-38,l9017,8319r37,l9054,8299xm9410,8299r-46,l9367,8319r42,l9410,8299xm8448,8279r-37,l8411,8299r50,l8448,8279xm9033,8279r-18,l9011,8299r19,l9033,8279xm9055,8279r-6,l9048,8299r8,l9055,8279xm9448,8279r-89,l9358,8299r82,l9448,8279xm8429,8259r-34,l8403,8279r36,l8429,8259xm9055,8259r-34,l9020,8279r33,l9055,8259xm9462,8259r-79,l9377,8279r81,l9462,8259xm8416,8239r-29,l8391,8259r31,l8416,8239xm9060,8219r-43,l9022,8239r1,l9022,8259r36,l9060,8239r,-20xm9464,8219r-45,l9423,8239r1,l9421,8259r43,l9464,8239r,-20xm8406,8219r-29,l8380,8239r28,l8406,8219xm8390,8199r-26,l8366,8219r27,l8390,8199xm9054,8199r-40,l9016,8219r41,l9054,8199xm9448,8199r-46,l9408,8219r53,l9448,8199xm8364,8179r-17,l8353,8199r27,l8364,8179xm9019,8159r-20,l8999,8179r,20l9050,8199r-1,-20l9036,8179r-17,-20xm9440,8179r-46,l9398,8199r42,l9440,8179xm8355,8159r-164,l8208,8179r148,l8355,8159xm9421,8139r-51,l9379,8159r13,20l9450,8179r5,-20l9425,8159r-4,-20xm7948,8119r-2,l7946,8139r-1,20l7951,8159r-3,-20l7948,8119xm8197,8139r-19,l8181,8159r23,l8197,8139xm8303,8139r-4,l8298,8159r6,l8303,8139xm8999,8119r-3,l8995,8139r,20l9017,8159r-3,-20l9006,8139r-7,-20xm8187,8119r-18,l8169,8139r22,l8187,8119xm9402,8099r-43,l9367,8139r40,l9405,8119r-2,l9402,8099xm7945,8099r-3,l7944,8119r2,l7945,8099xm8185,8079r-20,l8166,8099r2,20l8186,8119r-1,-20l8185,8099r,-20xm7933,8079r-7,l7932,8099r3,l7933,8079xm9373,8079r-30,l9348,8099r21,l9373,8079xm9405,8079r-15,l9384,8099r19,l9405,8079xm7922,8059r-9,l7921,8079r7,l7922,8059xm8188,8059r-21,l8165,8079r21,l8188,8059xm9380,8059r-38,l9342,8079r39,l9380,8059xm7913,8039r-7,l7909,8059r8,l7913,8039xm8214,7999r-19,l8186,8019r-6,l8170,8059r20,l8193,8039r4,l8201,8019r13,-20xm9372,8039r-36,l9337,8059r41,l9372,8039xm7907,7999r-4,l7903,8019r2,20l7910,8039r-2,-20l7909,8019r-2,-20xm9370,8019r-34,l9336,8039r34,l9370,8019xm9382,7999r-44,l9337,8019r40,l9382,7999xm7893,7979r-8,l7887,7999r2,l7893,7979xm7903,7979r-10,l7897,7999r8,l7903,7979xm8240,7959r-25,l8207,7979r-9,20l8224,7999r8,-20l8240,7959xm9384,7979r-32,l9349,7999r39,l9384,7979xm7879,7939r-4,l7874,7959r2,20l7879,7979r-1,-20l7879,7939xm9384,7959r-16,l9368,7979r16,l9384,7959xm8242,7939r-32,l8216,7959r26,l8242,7939xm9377,7939r-29,l9348,7959r31,l9377,7939xm7890,7919r-5,l7885,7939r3,l7890,7919xm8244,7919r-61,l8192,7939r49,l8244,7919xm9379,7899r-28,l9351,7919r1,l9351,7939r21,l9376,7919r3,-20xm7904,7899r-6,l7890,7919r7,l7904,7899xm7932,7899r-9,l7931,7919r2,l7932,7899xm7973,7899r-17,l7947,7919r23,l7973,7899xm8207,7899r-55,l8162,7919r48,l8207,7899xm8291,7899r-13,l8268,7919r17,l8291,7899xm7999,7879r-13,l7978,7899r14,l7999,7879xm8107,7879r-48,l8063,7899r42,l8107,7879xm8177,7879r-55,l8123,7899r73,l8177,7879xm8318,7879r-22,l8293,7899r7,l8318,7879xm9388,7859r-32,l9356,7879r-5,l9350,7899r34,l9388,7859xm8013,7859r-12,l7999,7879r6,l8013,7859xm8140,7859r-107,l8037,7879r109,l8140,7859xm8302,7859r-1,20l8302,7879r,-20xm8332,7839r-6,l8325,7859r-5,l8318,7879r4,l8328,7859r4,-20xm8046,7839r-25,l8021,7859r33,l8046,7839xm9385,7839r-36,l9351,7859r34,l9385,7839xm8038,7819r-28,l8016,7839r23,l8038,7819xm8355,7799r-2,l8343,7819r-4,20l8342,7839r7,-20l8353,7819r2,-20xm9380,7819r-28,l9352,7839r25,l9380,7819xm8005,7759r-17,l7990,7779r19,40l8033,7819r-7,-20l8018,7799r-3,-20l8006,7779r-1,-20xm9392,7799r-30,l9359,7819r33,l9392,7799xm9398,7779r-32,l9365,7799r29,l9398,7779xm9403,7759r-41,l9362,7779r40,l9403,7759xm7994,7739r-16,l7978,7759r18,l7994,7739xm9411,7739r-64,l9351,7759r60,l9411,7739xm7962,7699r-41,l7950,7719r9,l7969,7739r15,l7968,7719r-6,-20xm9390,7719r-58,l9335,7739r55,l9390,7719xm9384,7699r-73,l9314,7719r70,l9384,7699xm7928,7679r-30,l7914,7699r32,l7928,7679xm9365,7659r-40,l9325,7679r2,l9329,7699r42,l9370,7679r-5,-20xm7903,7659r-18,l7887,7679r18,l7903,7659xm7898,7639r-15,l7883,7659r16,l7898,7639xm9358,7639r-31,l9325,7659r35,l9358,7639xm7904,7619r-17,l7884,7639r16,l7904,7619xm9344,7619r-6,l9337,7639r15,l9344,7619xm7925,7599r-28,l7889,7619r21,l7925,7599xm9335,7599r1,20l9339,7619r-4,-20xm7940,7579r-24,l7908,7599r24,l7940,7579xm7950,7559r-21,l7923,7579r23,l7950,7559xm7953,7519r-18,l7933,7559r18,l7953,7539r,-20xm7950,7499r-24,l7931,7519r19,l7950,7499xm7940,7479r-19,l7924,7499r19,l7940,7479xm7931,7459r-17,l7916,7479r17,l7931,7459xm7929,7419r-23,l7906,7439r2,l7909,7459r20,l7929,7419xm7941,7379r-27,l7912,7399r-4,l7907,7419r23,l7932,7399r9,-20xm7968,7359r-31,l7929,7379r25,l7968,7359xm8000,7339r-40,l7955,7359r26,l8000,7339xm8136,7339r-51,l8090,7359r36,l8136,7339xm8081,7319r-99,l7978,7339r106,l8081,7319xm8147,7319r-16,l8130,7339r16,l8147,7319xm8128,7259r-22,l8109,7279r9,l8123,7299r6,l8132,7319r15,l8145,7299r-8,-20l8128,7259xm8114,7239r-21,l8097,7259r25,l8114,7239xm8100,7219r-19,l8088,7239r21,l8100,7219xm8086,7199r-19,l8072,7219r17,l8086,7199xm8066,7159r-18,l8053,7179r7,l8062,7199r17,l8066,7159xm8047,7099r-17,l8032,7119r4,l8037,7139r3,l8044,7159r19,l8057,7139r-6,-20l8047,7099xm8042,7079r-17,l8028,7099r18,l8042,7079xm8039,7059r-16,l8023,7079r17,l8039,7059xm8037,7039r-17,l8021,7059r17,l8037,7039xm8036,7019r-15,l8020,7039r16,l8036,7019xm8039,6999r-13,l8025,7019r12,l8039,6999xm8046,6959r-13,l8030,6979r-2,20l8038,6999r2,-20l8042,6979r4,-20xm8047,6939r-37,l8014,6959r33,l8047,6939xm8046,6919r-37,l8009,6939r38,l8046,6919xm7981,6899r-76,l7916,6919r53,l7981,6899xm8048,6899r-53,l7997,6919r52,l8048,6899xm8033,6879r-19,l7988,6899r59,l8033,6879xm8018,6819r-8,l8011,6839r2,l8016,6859r1,20l8026,6879r-1,-20l8023,6859r-5,-20l8018,6819xm8090,6859r-16,l8077,6879r6,l8090,6859xm8062,6839r-5,l8061,6859r3,l8062,6839xm8110,6839r-7,l8102,6859r3,l8110,6839xm8049,6819r-8,l8047,6839r5,l8049,6819xm8118,6828r-8,11l8113,6839r5,-11xm8124,6819r-2,l8118,6828r6,-9xm8025,6799r-4,l8015,6819r13,l8025,6799xm8130,6799r-5,l8124,6819r3,l8130,6799xm8136,6779r-10,l8126,6799r10,l8136,6779xm8122,6759r-22,l8111,6779r16,l8122,6759xm8094,6739r-17,l8085,6759r22,l8094,6739xm8066,6719r-5,l8067,6739r8,l8066,6719xm8048,6703r2,16l8053,6719r-5,-16xm8047,6699r-1,l8048,6703r-1,-4xm8025,6684r7,15l8040,6699r-15,-15xm8023,6679r-3,l8025,6684r-2,-5xm8009,6659r-6,l8008,6679r9,l8009,6659xm8002,6619r-4,l7998,6639r2,20l8006,6659r-3,-20l8002,6619xm7998,6599r-5,l7994,6619r6,l7998,6599xm7952,6579r-12,l7949,6599r14,l7952,6579xm7916,6559r-4,l7913,6579r6,l7916,6559xm7915,6499r-7,l7908,6519r,20l7909,6539r1,20l7915,6559r1,-20l7916,6519r-1,-20xm7918,6479r-6,l7908,6499r9,l7918,6479xm7922,6459r-13,l7914,6479r9,l7922,6459xm7913,6439r-8,l7908,6459r8,l7913,6439xm7742,6419r-15,l7729,6439r20,l7742,6419xm7852,6419r-15,l7826,6439r21,l7852,6419xm7894,6419r-8,l7888,6439r13,l7894,6419xm7735,6399r-12,l7723,6419r11,l7735,6399xm7719,6379r-7,l7711,6399r6,l7719,6379xm7743,6379r-14,l7729,6399r13,l7743,6379xm7795,6359r-11,l7769,6379r24,l7795,6359xm7803,6339r-8,l7795,6359r8,l7803,6339xm7725,6319r-8,l7724,6339r3,l7725,6319xm7790,6319r-31,l7759,6339r35,l7790,6319xm7715,6259r-7,l7710,6279r2,20l7711,6319r5,l7716,6299r1,l7717,6279r-2,-20xm7589,6279r-23,l7569,6299r16,l7589,6279xm7564,6259r-6,l7560,6279r4,l7564,6259xm7602,6259r-3,l7599,6279r4,l7602,6259xm7595,6239r-4,l7592,6259r7,l7595,6239xm7664,6239r-46,l7629,6259r26,l7664,6239xm7711,6239r-6,l7706,6259r6,l7711,6239xm7690,6219r-11,l7675,6239r26,l7690,6219xm7731,6219r-16,l7712,6239r10,l7731,6219xm7732,6199r-5,l7729,6219r9,l7732,6199xm7724,6159r-6,l7721,6179r1,20l7727,6199r-1,-20l7725,6179r-1,-20xm7751,6159r-5,l7746,6179r5,l7751,6159xm7788,6159r-12,l7771,6179r2,l7788,6159xm7721,6139r-6,l7716,6159r5,l7721,6139xm7759,6139r-8,l7753,6159r6,l7759,6139xm7802,6139r-5,l7791,6159r9,l7802,6139xm7766,6119r-11,l7759,6139r9,l7766,6119xm7796,6119r-7,l7782,6139r11,l7796,6119xm7804,6119r-8,l7802,6139r2,l7804,6119xm7788,6099r-18,l7767,6119r14,l7788,6099xm7814,6079r-4,l7804,6099r2,l7814,6079xm7808,6059r-8,l7802,6079r3,l7808,6059xm7827,6059r-10,l7818,6079r5,l7827,6059xm7796,6039r-5,l7793,6059r5,l7796,6039xm7831,6039r-3,l7829,6059r5,l7831,6039xe" fillcolor="#d4effc" stroked="f">
              <v:stroke joinstyle="round"/>
              <v:formulas/>
              <v:path arrowok="t" o:connecttype="segments"/>
            </v:shape>
            <v:shape id="docshape1570" o:spid="_x0000_s3571" type="#_x0000_t75" style="position:absolute;left:1155;top:1071;width:14498;height:9962">
              <v:imagedata r:id="rId184" o:title=""/>
            </v:shape>
            <v:shape id="docshape1571" o:spid="_x0000_s3570" style="position:absolute;left:1184;top:1100;width:2;height:9904" coordorigin="1185,1100" coordsize="0,9904" path="m1185,1100r,9904e" stroked="f">
              <v:path arrowok="t"/>
            </v:shape>
            <w10:wrap anchorx="page" anchory="page"/>
          </v:group>
        </w:pict>
      </w:r>
    </w:p>
    <w:p w:rsidR="002C1123" w:rsidRDefault="002C1123">
      <w:pPr>
        <w:pStyle w:val="BodyText"/>
        <w:spacing w:before="8"/>
        <w:rPr>
          <w:sz w:val="16"/>
        </w:rPr>
      </w:pPr>
    </w:p>
    <w:p w:rsidR="002C1123" w:rsidRDefault="00F22F94">
      <w:pPr>
        <w:ind w:left="793"/>
        <w:rPr>
          <w:sz w:val="13"/>
        </w:rPr>
      </w:pPr>
      <w:r>
        <w:rPr>
          <w:sz w:val="13"/>
        </w:rPr>
        <w:t>Source:</w:t>
      </w:r>
      <w:r>
        <w:rPr>
          <w:spacing w:val="6"/>
          <w:sz w:val="13"/>
        </w:rPr>
        <w:t xml:space="preserve"> </w:t>
      </w:r>
      <w:r>
        <w:rPr>
          <w:sz w:val="13"/>
        </w:rPr>
        <w:t>Transport</w:t>
      </w:r>
      <w:r>
        <w:rPr>
          <w:spacing w:val="6"/>
          <w:sz w:val="13"/>
        </w:rPr>
        <w:t xml:space="preserve"> </w:t>
      </w:r>
      <w:r>
        <w:rPr>
          <w:sz w:val="13"/>
        </w:rPr>
        <w:t>for</w:t>
      </w:r>
      <w:r>
        <w:rPr>
          <w:spacing w:val="7"/>
          <w:sz w:val="13"/>
        </w:rPr>
        <w:t xml:space="preserve"> </w:t>
      </w:r>
      <w:r>
        <w:rPr>
          <w:spacing w:val="-4"/>
          <w:sz w:val="13"/>
        </w:rPr>
        <w:t>NSW.</w:t>
      </w:r>
    </w:p>
    <w:p w:rsidR="002C1123" w:rsidRDefault="00F22F94">
      <w:pPr>
        <w:spacing w:before="103" w:line="362" w:lineRule="auto"/>
        <w:ind w:left="793" w:firstLine="210"/>
        <w:rPr>
          <w:sz w:val="15"/>
        </w:rPr>
      </w:pPr>
      <w:r>
        <w:br w:type="column"/>
      </w:r>
      <w:r>
        <w:rPr>
          <w:spacing w:val="-2"/>
          <w:w w:val="80"/>
          <w:sz w:val="15"/>
        </w:rPr>
        <w:t>Campbelltown</w:t>
      </w:r>
      <w:r>
        <w:rPr>
          <w:sz w:val="15"/>
        </w:rPr>
        <w:t xml:space="preserve"> </w:t>
      </w:r>
      <w:r>
        <w:rPr>
          <w:spacing w:val="-2"/>
          <w:w w:val="95"/>
          <w:sz w:val="15"/>
        </w:rPr>
        <w:t>Macarthur</w:t>
      </w:r>
    </w:p>
    <w:p w:rsidR="002C1123" w:rsidRDefault="00F22F94">
      <w:pPr>
        <w:rPr>
          <w:sz w:val="12"/>
        </w:rPr>
      </w:pPr>
      <w:r>
        <w:br w:type="column"/>
      </w:r>
    </w:p>
    <w:p w:rsidR="002C1123" w:rsidRDefault="002C1123">
      <w:pPr>
        <w:pStyle w:val="BodyText"/>
        <w:spacing w:before="5"/>
        <w:rPr>
          <w:sz w:val="15"/>
        </w:rPr>
      </w:pPr>
    </w:p>
    <w:p w:rsidR="002C1123" w:rsidRDefault="00F22F94">
      <w:pPr>
        <w:tabs>
          <w:tab w:val="left" w:pos="1143"/>
          <w:tab w:val="left" w:pos="1493"/>
          <w:tab w:val="left" w:pos="1843"/>
          <w:tab w:val="left" w:pos="2192"/>
        </w:tabs>
        <w:ind w:left="793"/>
        <w:rPr>
          <w:rFonts w:ascii="Trebuchet MS"/>
          <w:sz w:val="11"/>
        </w:rPr>
      </w:pPr>
      <w:r>
        <w:rPr>
          <w:rFonts w:ascii="Trebuchet MS"/>
          <w:spacing w:val="-10"/>
          <w:sz w:val="11"/>
        </w:rPr>
        <w:t>0</w:t>
      </w:r>
      <w:r>
        <w:rPr>
          <w:rFonts w:ascii="Trebuchet MS"/>
          <w:sz w:val="11"/>
        </w:rPr>
        <w:tab/>
      </w:r>
      <w:r>
        <w:rPr>
          <w:rFonts w:ascii="Trebuchet MS"/>
          <w:spacing w:val="-10"/>
          <w:sz w:val="11"/>
        </w:rPr>
        <w:t>2</w:t>
      </w:r>
      <w:r>
        <w:rPr>
          <w:rFonts w:ascii="Trebuchet MS"/>
          <w:sz w:val="11"/>
        </w:rPr>
        <w:tab/>
      </w:r>
      <w:r>
        <w:rPr>
          <w:rFonts w:ascii="Trebuchet MS"/>
          <w:spacing w:val="-10"/>
          <w:sz w:val="11"/>
        </w:rPr>
        <w:t>4</w:t>
      </w:r>
      <w:r>
        <w:rPr>
          <w:rFonts w:ascii="Trebuchet MS"/>
          <w:sz w:val="11"/>
        </w:rPr>
        <w:tab/>
      </w:r>
      <w:r>
        <w:rPr>
          <w:rFonts w:ascii="Trebuchet MS"/>
          <w:spacing w:val="-10"/>
          <w:sz w:val="11"/>
        </w:rPr>
        <w:t>6</w:t>
      </w:r>
      <w:r>
        <w:rPr>
          <w:rFonts w:ascii="Trebuchet MS"/>
          <w:sz w:val="11"/>
        </w:rPr>
        <w:tab/>
        <w:t>8</w:t>
      </w:r>
      <w:r>
        <w:rPr>
          <w:rFonts w:ascii="Trebuchet MS"/>
          <w:spacing w:val="47"/>
          <w:sz w:val="11"/>
        </w:rPr>
        <w:t xml:space="preserve">  </w:t>
      </w:r>
      <w:r>
        <w:rPr>
          <w:rFonts w:ascii="Trebuchet MS"/>
          <w:sz w:val="11"/>
        </w:rPr>
        <w:t>10</w:t>
      </w:r>
      <w:r>
        <w:rPr>
          <w:rFonts w:ascii="Trebuchet MS"/>
          <w:spacing w:val="-7"/>
          <w:sz w:val="11"/>
        </w:rPr>
        <w:t xml:space="preserve"> </w:t>
      </w:r>
      <w:r>
        <w:rPr>
          <w:rFonts w:ascii="Trebuchet MS"/>
          <w:spacing w:val="-5"/>
          <w:sz w:val="11"/>
        </w:rPr>
        <w:t>kms</w:t>
      </w:r>
    </w:p>
    <w:p w:rsidR="002C1123" w:rsidRDefault="002C1123">
      <w:pPr>
        <w:rPr>
          <w:rFonts w:ascii="Trebuchet MS"/>
          <w:sz w:val="11"/>
        </w:rPr>
        <w:sectPr w:rsidR="002C1123">
          <w:type w:val="continuous"/>
          <w:pgSz w:w="16840" w:h="11910" w:orient="landscape"/>
          <w:pgMar w:top="560" w:right="280" w:bottom="280" w:left="500" w:header="0" w:footer="517" w:gutter="0"/>
          <w:cols w:num="3" w:space="720" w:equalWidth="0">
            <w:col w:w="2469" w:space="1083"/>
            <w:col w:w="1826" w:space="6953"/>
            <w:col w:w="3729"/>
          </w:cols>
        </w:sectPr>
      </w:pPr>
    </w:p>
    <w:p w:rsidR="002C1123" w:rsidRDefault="002C1123">
      <w:pPr>
        <w:pStyle w:val="BodyText"/>
        <w:rPr>
          <w:rFonts w:ascii="Trebuchet MS"/>
        </w:rPr>
      </w:pPr>
    </w:p>
    <w:p w:rsidR="002C1123" w:rsidRDefault="002C1123">
      <w:pPr>
        <w:pStyle w:val="BodyText"/>
        <w:rPr>
          <w:rFonts w:ascii="Trebuchet MS"/>
        </w:rPr>
      </w:pPr>
    </w:p>
    <w:p w:rsidR="002C1123" w:rsidRDefault="002C1123">
      <w:pPr>
        <w:pStyle w:val="BodyText"/>
        <w:rPr>
          <w:rFonts w:ascii="Trebuchet MS"/>
        </w:rPr>
      </w:pPr>
    </w:p>
    <w:p w:rsidR="002C1123" w:rsidRDefault="002C1123">
      <w:pPr>
        <w:pStyle w:val="BodyText"/>
        <w:rPr>
          <w:rFonts w:ascii="Trebuchet MS"/>
        </w:rPr>
      </w:pPr>
    </w:p>
    <w:p w:rsidR="002C1123" w:rsidRDefault="002C1123">
      <w:pPr>
        <w:pStyle w:val="BodyText"/>
        <w:rPr>
          <w:rFonts w:ascii="Trebuchet MS"/>
        </w:rPr>
      </w:pPr>
    </w:p>
    <w:p w:rsidR="002C1123" w:rsidRDefault="002C1123">
      <w:pPr>
        <w:pStyle w:val="BodyText"/>
        <w:rPr>
          <w:rFonts w:ascii="Trebuchet MS"/>
        </w:rPr>
      </w:pPr>
    </w:p>
    <w:p w:rsidR="002C1123" w:rsidRDefault="002C1123">
      <w:pPr>
        <w:pStyle w:val="BodyText"/>
        <w:rPr>
          <w:rFonts w:ascii="Trebuchet MS"/>
        </w:rPr>
      </w:pPr>
    </w:p>
    <w:p w:rsidR="002C1123" w:rsidRDefault="002C1123">
      <w:pPr>
        <w:pStyle w:val="BodyText"/>
        <w:spacing w:before="11"/>
        <w:rPr>
          <w:rFonts w:ascii="Trebuchet MS"/>
          <w:sz w:val="15"/>
        </w:rPr>
      </w:pPr>
    </w:p>
    <w:p w:rsidR="002C1123" w:rsidRDefault="002C1123">
      <w:pPr>
        <w:rPr>
          <w:rFonts w:ascii="Trebuchet MS"/>
          <w:sz w:val="15"/>
        </w:rPr>
        <w:sectPr w:rsidR="002C1123">
          <w:pgSz w:w="16840" w:h="11910" w:orient="landscape"/>
          <w:pgMar w:top="560" w:right="280" w:bottom="700" w:left="500" w:header="0" w:footer="517" w:gutter="0"/>
          <w:cols w:space="720"/>
        </w:sectPr>
      </w:pPr>
    </w:p>
    <w:p w:rsidR="002C1123" w:rsidRDefault="00F22F94">
      <w:pPr>
        <w:pStyle w:val="BodyText"/>
        <w:spacing w:before="128" w:line="249" w:lineRule="auto"/>
        <w:ind w:left="492" w:right="339"/>
        <w:jc w:val="both"/>
      </w:pPr>
      <w:bookmarkStart w:id="254" w:name="9.6__Supplementary_container_port_capaci"/>
      <w:bookmarkStart w:id="255" w:name="_bookmark181"/>
      <w:bookmarkStart w:id="256" w:name="_bookmark180"/>
      <w:bookmarkEnd w:id="254"/>
      <w:bookmarkEnd w:id="255"/>
      <w:bookmarkEnd w:id="256"/>
      <w:r>
        <w:rPr>
          <w:w w:val="95"/>
        </w:rPr>
        <w:t>capacity to accommodate growth in demand for rail freight</w:t>
      </w:r>
      <w:r>
        <w:rPr>
          <w:spacing w:val="-2"/>
          <w:w w:val="95"/>
        </w:rPr>
        <w:t xml:space="preserve"> </w:t>
      </w:r>
      <w:r>
        <w:rPr>
          <w:w w:val="95"/>
        </w:rPr>
        <w:t>until</w:t>
      </w:r>
      <w:r>
        <w:rPr>
          <w:spacing w:val="-2"/>
          <w:w w:val="95"/>
        </w:rPr>
        <w:t xml:space="preserve"> </w:t>
      </w:r>
      <w:r>
        <w:rPr>
          <w:w w:val="95"/>
        </w:rPr>
        <w:t>the</w:t>
      </w:r>
      <w:r>
        <w:rPr>
          <w:spacing w:val="-2"/>
          <w:w w:val="95"/>
        </w:rPr>
        <w:t xml:space="preserve"> </w:t>
      </w:r>
      <w:r>
        <w:rPr>
          <w:w w:val="95"/>
        </w:rPr>
        <w:t>late</w:t>
      </w:r>
      <w:r>
        <w:rPr>
          <w:spacing w:val="-2"/>
          <w:w w:val="95"/>
        </w:rPr>
        <w:t xml:space="preserve"> </w:t>
      </w:r>
      <w:r>
        <w:rPr>
          <w:w w:val="95"/>
        </w:rPr>
        <w:t>2020s,</w:t>
      </w:r>
      <w:r>
        <w:rPr>
          <w:spacing w:val="-2"/>
          <w:w w:val="95"/>
        </w:rPr>
        <w:t xml:space="preserve"> </w:t>
      </w:r>
      <w:r>
        <w:rPr>
          <w:w w:val="95"/>
        </w:rPr>
        <w:t>even</w:t>
      </w:r>
      <w:r>
        <w:rPr>
          <w:spacing w:val="-2"/>
          <w:w w:val="95"/>
        </w:rPr>
        <w:t xml:space="preserve"> </w:t>
      </w:r>
      <w:r>
        <w:rPr>
          <w:w w:val="95"/>
        </w:rPr>
        <w:t>under</w:t>
      </w:r>
      <w:r>
        <w:rPr>
          <w:spacing w:val="-2"/>
          <w:w w:val="95"/>
        </w:rPr>
        <w:t xml:space="preserve"> </w:t>
      </w:r>
      <w:r>
        <w:rPr>
          <w:w w:val="95"/>
        </w:rPr>
        <w:t>an</w:t>
      </w:r>
      <w:r>
        <w:rPr>
          <w:spacing w:val="-2"/>
          <w:w w:val="95"/>
        </w:rPr>
        <w:t xml:space="preserve"> </w:t>
      </w:r>
      <w:r>
        <w:rPr>
          <w:w w:val="95"/>
        </w:rPr>
        <w:t xml:space="preserve">optimistic </w:t>
      </w:r>
      <w:r>
        <w:t>scenario.</w:t>
      </w:r>
      <w:r>
        <w:rPr>
          <w:spacing w:val="-10"/>
        </w:rPr>
        <w:t xml:space="preserve"> </w:t>
      </w:r>
      <w:r>
        <w:t>This</w:t>
      </w:r>
      <w:r>
        <w:rPr>
          <w:spacing w:val="-10"/>
        </w:rPr>
        <w:t xml:space="preserve"> </w:t>
      </w:r>
      <w:r>
        <w:t>is</w:t>
      </w:r>
      <w:r>
        <w:rPr>
          <w:spacing w:val="-10"/>
        </w:rPr>
        <w:t xml:space="preserve"> </w:t>
      </w:r>
      <w:r>
        <w:t>shown</w:t>
      </w:r>
      <w:r>
        <w:rPr>
          <w:spacing w:val="-10"/>
        </w:rPr>
        <w:t xml:space="preserve"> </w:t>
      </w:r>
      <w:r>
        <w:t>in</w:t>
      </w:r>
      <w:r>
        <w:rPr>
          <w:spacing w:val="-10"/>
        </w:rPr>
        <w:t xml:space="preserve"> </w:t>
      </w:r>
      <w:r>
        <w:t>Figure</w:t>
      </w:r>
      <w:r>
        <w:rPr>
          <w:spacing w:val="-10"/>
        </w:rPr>
        <w:t xml:space="preserve"> </w:t>
      </w:r>
      <w:r>
        <w:t>9.3.</w:t>
      </w:r>
    </w:p>
    <w:p w:rsidR="002C1123" w:rsidRDefault="00F22F94">
      <w:pPr>
        <w:pStyle w:val="BodyText"/>
        <w:spacing w:before="145" w:line="249" w:lineRule="auto"/>
        <w:ind w:left="492"/>
      </w:pPr>
      <w:r>
        <w:rPr>
          <w:spacing w:val="-2"/>
        </w:rPr>
        <w:t>This</w:t>
      </w:r>
      <w:r>
        <w:rPr>
          <w:spacing w:val="-7"/>
        </w:rPr>
        <w:t xml:space="preserve"> </w:t>
      </w:r>
      <w:r>
        <w:rPr>
          <w:spacing w:val="-2"/>
        </w:rPr>
        <w:t>analysis</w:t>
      </w:r>
      <w:r>
        <w:rPr>
          <w:spacing w:val="-7"/>
        </w:rPr>
        <w:t xml:space="preserve"> </w:t>
      </w:r>
      <w:r>
        <w:rPr>
          <w:spacing w:val="-2"/>
        </w:rPr>
        <w:t>indicates</w:t>
      </w:r>
      <w:r>
        <w:rPr>
          <w:spacing w:val="-7"/>
        </w:rPr>
        <w:t xml:space="preserve"> </w:t>
      </w:r>
      <w:r>
        <w:rPr>
          <w:spacing w:val="-2"/>
        </w:rPr>
        <w:t>that</w:t>
      </w:r>
      <w:r>
        <w:rPr>
          <w:spacing w:val="-7"/>
        </w:rPr>
        <w:t xml:space="preserve"> </w:t>
      </w:r>
      <w:r>
        <w:rPr>
          <w:spacing w:val="-2"/>
        </w:rPr>
        <w:t>investment</w:t>
      </w:r>
      <w:r>
        <w:rPr>
          <w:spacing w:val="-7"/>
        </w:rPr>
        <w:t xml:space="preserve"> </w:t>
      </w:r>
      <w:r>
        <w:rPr>
          <w:spacing w:val="-2"/>
        </w:rPr>
        <w:t>will</w:t>
      </w:r>
      <w:r>
        <w:rPr>
          <w:spacing w:val="-7"/>
        </w:rPr>
        <w:t xml:space="preserve"> </w:t>
      </w:r>
      <w:r>
        <w:rPr>
          <w:spacing w:val="-2"/>
        </w:rPr>
        <w:t>be</w:t>
      </w:r>
      <w:r>
        <w:rPr>
          <w:spacing w:val="-7"/>
        </w:rPr>
        <w:t xml:space="preserve"> </w:t>
      </w:r>
      <w:r>
        <w:rPr>
          <w:spacing w:val="-2"/>
        </w:rPr>
        <w:t xml:space="preserve">required </w:t>
      </w:r>
      <w:r>
        <w:t>in</w:t>
      </w:r>
      <w:r>
        <w:rPr>
          <w:spacing w:val="-13"/>
        </w:rPr>
        <w:t xml:space="preserve"> </w:t>
      </w:r>
      <w:r>
        <w:t>the</w:t>
      </w:r>
      <w:r>
        <w:rPr>
          <w:spacing w:val="-13"/>
        </w:rPr>
        <w:t xml:space="preserve"> </w:t>
      </w:r>
      <w:r>
        <w:t>Metropolitan</w:t>
      </w:r>
      <w:r>
        <w:rPr>
          <w:spacing w:val="-13"/>
        </w:rPr>
        <w:t xml:space="preserve"> </w:t>
      </w:r>
      <w:r>
        <w:t>Freight</w:t>
      </w:r>
      <w:r>
        <w:rPr>
          <w:spacing w:val="-13"/>
        </w:rPr>
        <w:t xml:space="preserve"> </w:t>
      </w:r>
      <w:r>
        <w:t>Network</w:t>
      </w:r>
      <w:r>
        <w:rPr>
          <w:spacing w:val="-13"/>
        </w:rPr>
        <w:t xml:space="preserve"> </w:t>
      </w:r>
      <w:r>
        <w:t>by</w:t>
      </w:r>
      <w:r>
        <w:rPr>
          <w:spacing w:val="-14"/>
        </w:rPr>
        <w:t xml:space="preserve"> </w:t>
      </w:r>
      <w:r>
        <w:t>the</w:t>
      </w:r>
      <w:r>
        <w:rPr>
          <w:spacing w:val="-13"/>
        </w:rPr>
        <w:t xml:space="preserve"> </w:t>
      </w:r>
      <w:r>
        <w:t>mid-2020s. Potential</w:t>
      </w:r>
      <w:r>
        <w:rPr>
          <w:spacing w:val="-14"/>
        </w:rPr>
        <w:t xml:space="preserve"> </w:t>
      </w:r>
      <w:r>
        <w:t>investments</w:t>
      </w:r>
      <w:r>
        <w:rPr>
          <w:spacing w:val="-14"/>
        </w:rPr>
        <w:t xml:space="preserve"> </w:t>
      </w:r>
      <w:r>
        <w:t>would</w:t>
      </w:r>
      <w:r>
        <w:rPr>
          <w:spacing w:val="-14"/>
        </w:rPr>
        <w:t xml:space="preserve"> </w:t>
      </w:r>
      <w:r>
        <w:t>be</w:t>
      </w:r>
      <w:r>
        <w:rPr>
          <w:spacing w:val="-14"/>
        </w:rPr>
        <w:t xml:space="preserve"> </w:t>
      </w:r>
      <w:r>
        <w:t>likely</w:t>
      </w:r>
      <w:r>
        <w:rPr>
          <w:spacing w:val="-14"/>
        </w:rPr>
        <w:t xml:space="preserve"> </w:t>
      </w:r>
      <w:r>
        <w:t>to</w:t>
      </w:r>
      <w:r>
        <w:rPr>
          <w:spacing w:val="-14"/>
        </w:rPr>
        <w:t xml:space="preserve"> </w:t>
      </w:r>
      <w:r>
        <w:t xml:space="preserve">include </w:t>
      </w:r>
      <w:r>
        <w:rPr>
          <w:w w:val="95"/>
        </w:rPr>
        <w:t>duplicating</w:t>
      </w:r>
      <w:r>
        <w:rPr>
          <w:spacing w:val="-1"/>
          <w:w w:val="95"/>
        </w:rPr>
        <w:t xml:space="preserve"> </w:t>
      </w:r>
      <w:r>
        <w:rPr>
          <w:w w:val="95"/>
        </w:rPr>
        <w:t>the</w:t>
      </w:r>
      <w:r>
        <w:rPr>
          <w:spacing w:val="-1"/>
          <w:w w:val="95"/>
        </w:rPr>
        <w:t xml:space="preserve"> </w:t>
      </w:r>
      <w:r>
        <w:rPr>
          <w:w w:val="95"/>
        </w:rPr>
        <w:t>Port</w:t>
      </w:r>
      <w:r>
        <w:rPr>
          <w:spacing w:val="-1"/>
          <w:w w:val="95"/>
        </w:rPr>
        <w:t xml:space="preserve"> </w:t>
      </w:r>
      <w:r>
        <w:rPr>
          <w:w w:val="95"/>
        </w:rPr>
        <w:t>Botany</w:t>
      </w:r>
      <w:r>
        <w:rPr>
          <w:spacing w:val="-1"/>
          <w:w w:val="95"/>
        </w:rPr>
        <w:t xml:space="preserve"> </w:t>
      </w:r>
      <w:r>
        <w:rPr>
          <w:w w:val="95"/>
        </w:rPr>
        <w:t>line</w:t>
      </w:r>
      <w:r>
        <w:rPr>
          <w:spacing w:val="-1"/>
          <w:w w:val="95"/>
        </w:rPr>
        <w:t xml:space="preserve"> </w:t>
      </w:r>
      <w:r>
        <w:rPr>
          <w:w w:val="95"/>
        </w:rPr>
        <w:t>and</w:t>
      </w:r>
      <w:r>
        <w:rPr>
          <w:spacing w:val="-1"/>
          <w:w w:val="95"/>
        </w:rPr>
        <w:t xml:space="preserve"> </w:t>
      </w:r>
      <w:r>
        <w:rPr>
          <w:w w:val="95"/>
        </w:rPr>
        <w:t>expanding</w:t>
      </w:r>
      <w:r>
        <w:rPr>
          <w:spacing w:val="-1"/>
          <w:w w:val="95"/>
        </w:rPr>
        <w:t xml:space="preserve"> </w:t>
      </w:r>
      <w:r>
        <w:rPr>
          <w:w w:val="95"/>
        </w:rPr>
        <w:t xml:space="preserve">capacity </w:t>
      </w:r>
      <w:r>
        <w:t>on</w:t>
      </w:r>
      <w:r>
        <w:rPr>
          <w:spacing w:val="-9"/>
        </w:rPr>
        <w:t xml:space="preserve"> </w:t>
      </w:r>
      <w:r>
        <w:t>the</w:t>
      </w:r>
      <w:r>
        <w:rPr>
          <w:spacing w:val="-9"/>
        </w:rPr>
        <w:t xml:space="preserve"> </w:t>
      </w:r>
      <w:r>
        <w:t>Southern</w:t>
      </w:r>
      <w:r>
        <w:rPr>
          <w:spacing w:val="-9"/>
        </w:rPr>
        <w:t xml:space="preserve"> </w:t>
      </w:r>
      <w:r>
        <w:t>Sydney</w:t>
      </w:r>
      <w:r>
        <w:rPr>
          <w:spacing w:val="-9"/>
        </w:rPr>
        <w:t xml:space="preserve"> </w:t>
      </w:r>
      <w:r>
        <w:t>Freight</w:t>
      </w:r>
      <w:r>
        <w:rPr>
          <w:spacing w:val="-9"/>
        </w:rPr>
        <w:t xml:space="preserve"> </w:t>
      </w:r>
      <w:r>
        <w:t>Line.</w:t>
      </w:r>
    </w:p>
    <w:p w:rsidR="002C1123" w:rsidRDefault="00F22F94">
      <w:pPr>
        <w:pStyle w:val="BodyText"/>
        <w:spacing w:before="146" w:line="249" w:lineRule="auto"/>
        <w:ind w:left="492" w:right="209"/>
      </w:pPr>
      <w:r>
        <w:t>Longer-term</w:t>
      </w:r>
      <w:r>
        <w:rPr>
          <w:spacing w:val="-13"/>
        </w:rPr>
        <w:t xml:space="preserve"> </w:t>
      </w:r>
      <w:r>
        <w:t>major</w:t>
      </w:r>
      <w:r>
        <w:rPr>
          <w:spacing w:val="-12"/>
        </w:rPr>
        <w:t xml:space="preserve"> </w:t>
      </w:r>
      <w:r>
        <w:t>investment</w:t>
      </w:r>
      <w:r>
        <w:rPr>
          <w:spacing w:val="-12"/>
        </w:rPr>
        <w:t xml:space="preserve"> </w:t>
      </w:r>
      <w:r>
        <w:t>in</w:t>
      </w:r>
      <w:r>
        <w:rPr>
          <w:spacing w:val="-12"/>
        </w:rPr>
        <w:t xml:space="preserve"> </w:t>
      </w:r>
      <w:r>
        <w:t>connecting</w:t>
      </w:r>
      <w:r>
        <w:rPr>
          <w:spacing w:val="-12"/>
        </w:rPr>
        <w:t xml:space="preserve"> </w:t>
      </w:r>
      <w:r>
        <w:t xml:space="preserve">rail </w:t>
      </w:r>
      <w:r>
        <w:rPr>
          <w:w w:val="95"/>
        </w:rPr>
        <w:t>infrastructure</w:t>
      </w:r>
      <w:r>
        <w:rPr>
          <w:spacing w:val="-11"/>
          <w:w w:val="95"/>
        </w:rPr>
        <w:t xml:space="preserve"> </w:t>
      </w:r>
      <w:r>
        <w:rPr>
          <w:w w:val="95"/>
        </w:rPr>
        <w:t>(known</w:t>
      </w:r>
      <w:r>
        <w:rPr>
          <w:spacing w:val="-11"/>
          <w:w w:val="95"/>
        </w:rPr>
        <w:t xml:space="preserve"> </w:t>
      </w:r>
      <w:r>
        <w:rPr>
          <w:w w:val="95"/>
        </w:rPr>
        <w:t>as</w:t>
      </w:r>
      <w:r>
        <w:rPr>
          <w:spacing w:val="-11"/>
          <w:w w:val="95"/>
        </w:rPr>
        <w:t xml:space="preserve"> </w:t>
      </w:r>
      <w:r>
        <w:rPr>
          <w:w w:val="95"/>
        </w:rPr>
        <w:t>the</w:t>
      </w:r>
      <w:r>
        <w:rPr>
          <w:spacing w:val="-11"/>
          <w:w w:val="95"/>
        </w:rPr>
        <w:t xml:space="preserve"> </w:t>
      </w:r>
      <w:r>
        <w:rPr>
          <w:w w:val="95"/>
        </w:rPr>
        <w:t>Western</w:t>
      </w:r>
      <w:r>
        <w:rPr>
          <w:spacing w:val="-11"/>
          <w:w w:val="95"/>
        </w:rPr>
        <w:t xml:space="preserve"> </w:t>
      </w:r>
      <w:r>
        <w:rPr>
          <w:w w:val="95"/>
        </w:rPr>
        <w:t>Sydney</w:t>
      </w:r>
      <w:r>
        <w:rPr>
          <w:spacing w:val="-11"/>
          <w:w w:val="95"/>
        </w:rPr>
        <w:t xml:space="preserve"> </w:t>
      </w:r>
      <w:r>
        <w:rPr>
          <w:w w:val="95"/>
        </w:rPr>
        <w:t xml:space="preserve">Freight </w:t>
      </w:r>
      <w:r>
        <w:t>Line)</w:t>
      </w:r>
      <w:r>
        <w:rPr>
          <w:spacing w:val="-11"/>
        </w:rPr>
        <w:t xml:space="preserve"> </w:t>
      </w:r>
      <w:r>
        <w:t>would</w:t>
      </w:r>
      <w:r>
        <w:rPr>
          <w:spacing w:val="-11"/>
        </w:rPr>
        <w:t xml:space="preserve"> </w:t>
      </w:r>
      <w:r>
        <w:t>be</w:t>
      </w:r>
      <w:r>
        <w:rPr>
          <w:spacing w:val="-11"/>
        </w:rPr>
        <w:t xml:space="preserve"> </w:t>
      </w:r>
      <w:r>
        <w:t>required</w:t>
      </w:r>
      <w:r>
        <w:rPr>
          <w:spacing w:val="-11"/>
        </w:rPr>
        <w:t xml:space="preserve"> </w:t>
      </w:r>
      <w:r>
        <w:t>to</w:t>
      </w:r>
      <w:r>
        <w:rPr>
          <w:spacing w:val="-11"/>
        </w:rPr>
        <w:t xml:space="preserve"> </w:t>
      </w:r>
      <w:r>
        <w:t>make</w:t>
      </w:r>
      <w:r>
        <w:rPr>
          <w:spacing w:val="-11"/>
        </w:rPr>
        <w:t xml:space="preserve"> </w:t>
      </w:r>
      <w:r>
        <w:t>the</w:t>
      </w:r>
      <w:r>
        <w:rPr>
          <w:spacing w:val="-11"/>
        </w:rPr>
        <w:t xml:space="preserve"> </w:t>
      </w:r>
      <w:r>
        <w:t>proposed</w:t>
      </w:r>
      <w:r>
        <w:rPr>
          <w:spacing w:val="-11"/>
        </w:rPr>
        <w:t xml:space="preserve"> </w:t>
      </w:r>
      <w:r>
        <w:t xml:space="preserve">site </w:t>
      </w:r>
      <w:r>
        <w:rPr>
          <w:w w:val="95"/>
        </w:rPr>
        <w:t>at</w:t>
      </w:r>
      <w:r>
        <w:rPr>
          <w:spacing w:val="-10"/>
          <w:w w:val="95"/>
        </w:rPr>
        <w:t xml:space="preserve"> </w:t>
      </w:r>
      <w:r>
        <w:rPr>
          <w:w w:val="95"/>
        </w:rPr>
        <w:t>Eastern</w:t>
      </w:r>
      <w:r>
        <w:rPr>
          <w:spacing w:val="-10"/>
          <w:w w:val="95"/>
        </w:rPr>
        <w:t xml:space="preserve"> </w:t>
      </w:r>
      <w:r>
        <w:rPr>
          <w:w w:val="95"/>
        </w:rPr>
        <w:t>Creek</w:t>
      </w:r>
      <w:r>
        <w:rPr>
          <w:spacing w:val="-10"/>
          <w:w w:val="95"/>
        </w:rPr>
        <w:t xml:space="preserve"> </w:t>
      </w:r>
      <w:r>
        <w:rPr>
          <w:w w:val="95"/>
        </w:rPr>
        <w:t>viable.</w:t>
      </w:r>
      <w:r>
        <w:rPr>
          <w:spacing w:val="-10"/>
          <w:w w:val="95"/>
        </w:rPr>
        <w:t xml:space="preserve"> </w:t>
      </w:r>
      <w:r>
        <w:rPr>
          <w:w w:val="95"/>
        </w:rPr>
        <w:t>This</w:t>
      </w:r>
      <w:r>
        <w:rPr>
          <w:spacing w:val="-10"/>
          <w:w w:val="95"/>
        </w:rPr>
        <w:t xml:space="preserve"> </w:t>
      </w:r>
      <w:r>
        <w:rPr>
          <w:w w:val="95"/>
        </w:rPr>
        <w:t>decision</w:t>
      </w:r>
      <w:r>
        <w:rPr>
          <w:spacing w:val="-10"/>
          <w:w w:val="95"/>
        </w:rPr>
        <w:t xml:space="preserve"> </w:t>
      </w:r>
      <w:r>
        <w:rPr>
          <w:w w:val="95"/>
        </w:rPr>
        <w:t>is</w:t>
      </w:r>
      <w:r>
        <w:rPr>
          <w:spacing w:val="-10"/>
          <w:w w:val="95"/>
        </w:rPr>
        <w:t xml:space="preserve"> </w:t>
      </w:r>
      <w:r>
        <w:rPr>
          <w:w w:val="95"/>
        </w:rPr>
        <w:t>not</w:t>
      </w:r>
      <w:r>
        <w:rPr>
          <w:spacing w:val="-10"/>
          <w:w w:val="95"/>
        </w:rPr>
        <w:t xml:space="preserve"> </w:t>
      </w:r>
      <w:r>
        <w:rPr>
          <w:w w:val="95"/>
        </w:rPr>
        <w:t>possible</w:t>
      </w:r>
    </w:p>
    <w:p w:rsidR="002C1123" w:rsidRDefault="00F22F94">
      <w:pPr>
        <w:pStyle w:val="BodyText"/>
        <w:spacing w:before="3" w:line="249" w:lineRule="auto"/>
        <w:ind w:left="492"/>
      </w:pPr>
      <w:r>
        <w:rPr>
          <w:w w:val="95"/>
        </w:rPr>
        <w:t>now,</w:t>
      </w:r>
      <w:r>
        <w:rPr>
          <w:spacing w:val="-3"/>
          <w:w w:val="95"/>
        </w:rPr>
        <w:t xml:space="preserve"> </w:t>
      </w:r>
      <w:r>
        <w:rPr>
          <w:w w:val="95"/>
        </w:rPr>
        <w:t>given</w:t>
      </w:r>
      <w:r>
        <w:rPr>
          <w:spacing w:val="-3"/>
          <w:w w:val="95"/>
        </w:rPr>
        <w:t xml:space="preserve"> </w:t>
      </w:r>
      <w:r>
        <w:rPr>
          <w:w w:val="95"/>
        </w:rPr>
        <w:t>the</w:t>
      </w:r>
      <w:r>
        <w:rPr>
          <w:spacing w:val="-3"/>
          <w:w w:val="95"/>
        </w:rPr>
        <w:t xml:space="preserve"> </w:t>
      </w:r>
      <w:r>
        <w:rPr>
          <w:w w:val="95"/>
        </w:rPr>
        <w:t>uncertainty</w:t>
      </w:r>
      <w:r>
        <w:rPr>
          <w:spacing w:val="-3"/>
          <w:w w:val="95"/>
        </w:rPr>
        <w:t xml:space="preserve"> </w:t>
      </w:r>
      <w:r>
        <w:rPr>
          <w:w w:val="95"/>
        </w:rPr>
        <w:t>over</w:t>
      </w:r>
      <w:r>
        <w:rPr>
          <w:spacing w:val="-3"/>
          <w:w w:val="95"/>
        </w:rPr>
        <w:t xml:space="preserve"> </w:t>
      </w:r>
      <w:r>
        <w:rPr>
          <w:w w:val="95"/>
        </w:rPr>
        <w:t>demand</w:t>
      </w:r>
      <w:r>
        <w:rPr>
          <w:spacing w:val="-3"/>
          <w:w w:val="95"/>
        </w:rPr>
        <w:t xml:space="preserve"> </w:t>
      </w:r>
      <w:r>
        <w:rPr>
          <w:w w:val="95"/>
        </w:rPr>
        <w:t>for</w:t>
      </w:r>
      <w:r>
        <w:rPr>
          <w:spacing w:val="-3"/>
          <w:w w:val="95"/>
        </w:rPr>
        <w:t xml:space="preserve"> </w:t>
      </w:r>
      <w:r>
        <w:rPr>
          <w:w w:val="95"/>
        </w:rPr>
        <w:t xml:space="preserve">short-haul </w:t>
      </w:r>
      <w:r>
        <w:t>intermodal</w:t>
      </w:r>
      <w:r>
        <w:rPr>
          <w:spacing w:val="-11"/>
        </w:rPr>
        <w:t xml:space="preserve"> </w:t>
      </w:r>
      <w:r>
        <w:t>freight.</w:t>
      </w:r>
    </w:p>
    <w:p w:rsidR="002C1123" w:rsidRDefault="00F22F94">
      <w:pPr>
        <w:spacing w:before="10"/>
        <w:rPr>
          <w:sz w:val="19"/>
        </w:rPr>
      </w:pPr>
      <w:r>
        <w:br w:type="column"/>
      </w:r>
    </w:p>
    <w:p w:rsidR="002C1123" w:rsidRDefault="00F22F94">
      <w:pPr>
        <w:spacing w:line="249" w:lineRule="auto"/>
        <w:ind w:left="1247" w:hanging="941"/>
        <w:rPr>
          <w:b/>
          <w:sz w:val="18"/>
        </w:rPr>
      </w:pPr>
      <w:r>
        <w:rPr>
          <w:b/>
          <w:sz w:val="18"/>
        </w:rPr>
        <w:t>Figure</w:t>
      </w:r>
      <w:r>
        <w:rPr>
          <w:b/>
          <w:spacing w:val="-6"/>
          <w:sz w:val="18"/>
        </w:rPr>
        <w:t xml:space="preserve"> </w:t>
      </w:r>
      <w:r>
        <w:rPr>
          <w:b/>
          <w:sz w:val="18"/>
        </w:rPr>
        <w:t>9.3</w:t>
      </w:r>
      <w:r>
        <w:rPr>
          <w:b/>
          <w:spacing w:val="39"/>
          <w:sz w:val="18"/>
        </w:rPr>
        <w:t xml:space="preserve"> </w:t>
      </w:r>
      <w:r>
        <w:rPr>
          <w:b/>
          <w:sz w:val="18"/>
        </w:rPr>
        <w:t>Forecast</w:t>
      </w:r>
      <w:r>
        <w:rPr>
          <w:b/>
          <w:spacing w:val="-6"/>
          <w:sz w:val="18"/>
        </w:rPr>
        <w:t xml:space="preserve"> </w:t>
      </w:r>
      <w:r>
        <w:rPr>
          <w:b/>
          <w:sz w:val="18"/>
        </w:rPr>
        <w:t>container</w:t>
      </w:r>
      <w:r>
        <w:rPr>
          <w:b/>
          <w:spacing w:val="-6"/>
          <w:sz w:val="18"/>
        </w:rPr>
        <w:t xml:space="preserve"> </w:t>
      </w:r>
      <w:r>
        <w:rPr>
          <w:b/>
          <w:sz w:val="18"/>
        </w:rPr>
        <w:t>growth,</w:t>
      </w:r>
      <w:r>
        <w:rPr>
          <w:b/>
          <w:spacing w:val="-6"/>
          <w:sz w:val="18"/>
        </w:rPr>
        <w:t xml:space="preserve"> </w:t>
      </w:r>
      <w:r>
        <w:rPr>
          <w:b/>
          <w:sz w:val="18"/>
        </w:rPr>
        <w:t>forecast mode share and intermodal supply</w:t>
      </w:r>
    </w:p>
    <w:p w:rsidR="002C1123" w:rsidRDefault="002C1123">
      <w:pPr>
        <w:pStyle w:val="BodyText"/>
        <w:spacing w:before="3"/>
        <w:rPr>
          <w:b/>
          <w:sz w:val="22"/>
        </w:rPr>
      </w:pPr>
    </w:p>
    <w:p w:rsidR="002C1123" w:rsidRDefault="00F22F94">
      <w:pPr>
        <w:spacing w:before="1"/>
        <w:ind w:left="490"/>
        <w:rPr>
          <w:sz w:val="16"/>
        </w:rPr>
      </w:pPr>
      <w:r>
        <w:rPr>
          <w:spacing w:val="-4"/>
          <w:w w:val="95"/>
          <w:sz w:val="16"/>
        </w:rPr>
        <w:t>10.0</w:t>
      </w:r>
    </w:p>
    <w:p w:rsidR="002C1123" w:rsidRDefault="002C1123">
      <w:pPr>
        <w:pStyle w:val="BodyText"/>
        <w:rPr>
          <w:sz w:val="18"/>
        </w:rPr>
      </w:pPr>
    </w:p>
    <w:p w:rsidR="002C1123" w:rsidRDefault="002C1123">
      <w:pPr>
        <w:pStyle w:val="BodyText"/>
        <w:spacing w:before="7"/>
        <w:rPr>
          <w:sz w:val="22"/>
        </w:rPr>
      </w:pPr>
    </w:p>
    <w:p w:rsidR="002C1123" w:rsidRDefault="002060EF">
      <w:pPr>
        <w:ind w:left="567"/>
        <w:rPr>
          <w:sz w:val="16"/>
        </w:rPr>
      </w:pPr>
      <w:r>
        <w:pict>
          <v:shape id="docshape1572" o:spid="_x0000_s3568" type="#_x0000_t202" style="position:absolute;left:0;text-align:left;margin-left:301.7pt;margin-top:18.05pt;width:11.05pt;height:74.1pt;z-index:251522048;mso-position-horizontal-relative:page" filled="f" stroked="f">
            <v:textbox style="layout-flow:vertical;mso-layout-flow-alt:bottom-to-top" inset="0,0,0,0">
              <w:txbxContent>
                <w:p w:rsidR="00F22F94" w:rsidRDefault="00F22F94">
                  <w:pPr>
                    <w:spacing w:before="18"/>
                    <w:ind w:left="20"/>
                    <w:rPr>
                      <w:sz w:val="16"/>
                    </w:rPr>
                  </w:pPr>
                  <w:r>
                    <w:rPr>
                      <w:w w:val="75"/>
                      <w:sz w:val="16"/>
                    </w:rPr>
                    <w:t>Total</w:t>
                  </w:r>
                  <w:r>
                    <w:rPr>
                      <w:spacing w:val="-7"/>
                      <w:sz w:val="16"/>
                    </w:rPr>
                    <w:t xml:space="preserve"> </w:t>
                  </w:r>
                  <w:r>
                    <w:rPr>
                      <w:w w:val="75"/>
                      <w:sz w:val="16"/>
                    </w:rPr>
                    <w:t>trade</w:t>
                  </w:r>
                  <w:r>
                    <w:rPr>
                      <w:spacing w:val="-7"/>
                      <w:sz w:val="16"/>
                    </w:rPr>
                    <w:t xml:space="preserve"> </w:t>
                  </w:r>
                  <w:r>
                    <w:rPr>
                      <w:w w:val="75"/>
                      <w:sz w:val="16"/>
                    </w:rPr>
                    <w:t>(TEU,</w:t>
                  </w:r>
                  <w:r>
                    <w:rPr>
                      <w:spacing w:val="-7"/>
                      <w:sz w:val="16"/>
                    </w:rPr>
                    <w:t xml:space="preserve"> </w:t>
                  </w:r>
                  <w:r>
                    <w:rPr>
                      <w:spacing w:val="-2"/>
                      <w:w w:val="75"/>
                      <w:sz w:val="16"/>
                    </w:rPr>
                    <w:t>millions)</w:t>
                  </w:r>
                </w:p>
              </w:txbxContent>
            </v:textbox>
            <w10:wrap anchorx="page"/>
          </v:shape>
        </w:pict>
      </w:r>
      <w:r w:rsidR="00F22F94">
        <w:rPr>
          <w:spacing w:val="-5"/>
          <w:w w:val="95"/>
          <w:sz w:val="16"/>
        </w:rPr>
        <w:t>8.0</w:t>
      </w:r>
    </w:p>
    <w:p w:rsidR="002C1123" w:rsidRDefault="002C1123">
      <w:pPr>
        <w:pStyle w:val="BodyText"/>
        <w:rPr>
          <w:sz w:val="18"/>
        </w:rPr>
      </w:pPr>
    </w:p>
    <w:p w:rsidR="002C1123" w:rsidRDefault="002C1123">
      <w:pPr>
        <w:pStyle w:val="BodyText"/>
        <w:spacing w:before="9"/>
        <w:rPr>
          <w:sz w:val="23"/>
        </w:rPr>
      </w:pPr>
    </w:p>
    <w:p w:rsidR="002C1123" w:rsidRDefault="00F22F94">
      <w:pPr>
        <w:ind w:left="575"/>
        <w:rPr>
          <w:sz w:val="16"/>
        </w:rPr>
      </w:pPr>
      <w:r>
        <w:rPr>
          <w:spacing w:val="-5"/>
          <w:w w:val="95"/>
          <w:sz w:val="16"/>
        </w:rPr>
        <w:t>6.0</w:t>
      </w:r>
    </w:p>
    <w:p w:rsidR="002C1123" w:rsidRDefault="002C1123">
      <w:pPr>
        <w:pStyle w:val="BodyText"/>
        <w:rPr>
          <w:sz w:val="18"/>
        </w:rPr>
      </w:pPr>
    </w:p>
    <w:p w:rsidR="002C1123" w:rsidRDefault="002C1123">
      <w:pPr>
        <w:pStyle w:val="BodyText"/>
        <w:spacing w:before="5"/>
        <w:rPr>
          <w:sz w:val="23"/>
        </w:rPr>
      </w:pPr>
    </w:p>
    <w:p w:rsidR="002C1123" w:rsidRDefault="00F22F94">
      <w:pPr>
        <w:spacing w:before="1"/>
        <w:ind w:left="567"/>
        <w:rPr>
          <w:sz w:val="16"/>
        </w:rPr>
      </w:pPr>
      <w:r>
        <w:rPr>
          <w:spacing w:val="-5"/>
          <w:w w:val="95"/>
          <w:sz w:val="16"/>
        </w:rPr>
        <w:t>4.0</w:t>
      </w:r>
    </w:p>
    <w:p w:rsidR="002C1123" w:rsidRDefault="002C1123">
      <w:pPr>
        <w:pStyle w:val="BodyText"/>
        <w:rPr>
          <w:sz w:val="18"/>
        </w:rPr>
      </w:pPr>
    </w:p>
    <w:p w:rsidR="002C1123" w:rsidRDefault="002C1123">
      <w:pPr>
        <w:pStyle w:val="BodyText"/>
        <w:rPr>
          <w:sz w:val="25"/>
        </w:rPr>
      </w:pPr>
    </w:p>
    <w:p w:rsidR="002C1123" w:rsidRDefault="002060EF">
      <w:pPr>
        <w:ind w:left="567"/>
        <w:rPr>
          <w:sz w:val="16"/>
        </w:rPr>
      </w:pPr>
      <w:r>
        <w:pict>
          <v:shape id="docshape1573" o:spid="_x0000_s3567" type="#_x0000_t202" style="position:absolute;left:0;text-align:left;margin-left:49.6pt;margin-top:18.5pt;width:239pt;height:81.35pt;z-index:251521024;mso-position-horizontal-relative:page" fillcolor="#e1e0e1" stroked="f">
            <v:textbox inset="0,0,0,0">
              <w:txbxContent>
                <w:p w:rsidR="00F22F94" w:rsidRDefault="00F22F94">
                  <w:pPr>
                    <w:pStyle w:val="BodyText"/>
                    <w:spacing w:before="68" w:line="249" w:lineRule="auto"/>
                    <w:ind w:left="113" w:right="131"/>
                    <w:rPr>
                      <w:color w:val="000000"/>
                    </w:rPr>
                  </w:pPr>
                  <w:r>
                    <w:rPr>
                      <w:b/>
                      <w:color w:val="00AEEF"/>
                    </w:rPr>
                    <w:t>Recommendation</w:t>
                  </w:r>
                  <w:r>
                    <w:rPr>
                      <w:b/>
                      <w:color w:val="00AEEF"/>
                      <w:spacing w:val="40"/>
                    </w:rPr>
                    <w:t xml:space="preserve"> </w:t>
                  </w:r>
                  <w:r>
                    <w:rPr>
                      <w:color w:val="000000"/>
                    </w:rPr>
                    <w:t>Infrastructure NSW recommends</w:t>
                  </w:r>
                  <w:r>
                    <w:rPr>
                      <w:color w:val="000000"/>
                      <w:spacing w:val="-6"/>
                    </w:rPr>
                    <w:t xml:space="preserve"> </w:t>
                  </w:r>
                  <w:r>
                    <w:rPr>
                      <w:color w:val="000000"/>
                    </w:rPr>
                    <w:t>that</w:t>
                  </w:r>
                  <w:r>
                    <w:rPr>
                      <w:color w:val="000000"/>
                      <w:spacing w:val="-6"/>
                    </w:rPr>
                    <w:t xml:space="preserve"> </w:t>
                  </w:r>
                  <w:r>
                    <w:rPr>
                      <w:color w:val="000000"/>
                    </w:rPr>
                    <w:t>action</w:t>
                  </w:r>
                  <w:r>
                    <w:rPr>
                      <w:color w:val="000000"/>
                      <w:spacing w:val="-6"/>
                    </w:rPr>
                    <w:t xml:space="preserve"> </w:t>
                  </w:r>
                  <w:r>
                    <w:rPr>
                      <w:color w:val="000000"/>
                    </w:rPr>
                    <w:t>be</w:t>
                  </w:r>
                  <w:r>
                    <w:rPr>
                      <w:color w:val="000000"/>
                      <w:spacing w:val="-6"/>
                    </w:rPr>
                    <w:t xml:space="preserve"> </w:t>
                  </w:r>
                  <w:r>
                    <w:rPr>
                      <w:color w:val="000000"/>
                    </w:rPr>
                    <w:t>taken</w:t>
                  </w:r>
                  <w:r>
                    <w:rPr>
                      <w:color w:val="000000"/>
                      <w:spacing w:val="-6"/>
                    </w:rPr>
                    <w:t xml:space="preserve"> </w:t>
                  </w:r>
                  <w:r>
                    <w:rPr>
                      <w:color w:val="000000"/>
                    </w:rPr>
                    <w:t>in</w:t>
                  </w:r>
                  <w:r>
                    <w:rPr>
                      <w:color w:val="000000"/>
                      <w:spacing w:val="-6"/>
                    </w:rPr>
                    <w:t xml:space="preserve"> </w:t>
                  </w:r>
                  <w:r>
                    <w:rPr>
                      <w:color w:val="000000"/>
                    </w:rPr>
                    <w:t>the</w:t>
                  </w:r>
                  <w:r>
                    <w:rPr>
                      <w:color w:val="000000"/>
                      <w:spacing w:val="-6"/>
                    </w:rPr>
                    <w:t xml:space="preserve"> </w:t>
                  </w:r>
                  <w:r>
                    <w:rPr>
                      <w:color w:val="000000"/>
                    </w:rPr>
                    <w:t>short</w:t>
                  </w:r>
                  <w:r>
                    <w:rPr>
                      <w:color w:val="000000"/>
                      <w:spacing w:val="-6"/>
                    </w:rPr>
                    <w:t xml:space="preserve"> </w:t>
                  </w:r>
                  <w:r>
                    <w:rPr>
                      <w:color w:val="000000"/>
                    </w:rPr>
                    <w:t xml:space="preserve">term </w:t>
                  </w:r>
                  <w:r>
                    <w:rPr>
                      <w:color w:val="000000"/>
                      <w:w w:val="95"/>
                    </w:rPr>
                    <w:t>to</w:t>
                  </w:r>
                  <w:r>
                    <w:rPr>
                      <w:color w:val="000000"/>
                      <w:spacing w:val="-8"/>
                      <w:w w:val="95"/>
                    </w:rPr>
                    <w:t xml:space="preserve"> </w:t>
                  </w:r>
                  <w:r>
                    <w:rPr>
                      <w:color w:val="000000"/>
                      <w:w w:val="95"/>
                    </w:rPr>
                    <w:t>identify</w:t>
                  </w:r>
                  <w:r>
                    <w:rPr>
                      <w:color w:val="000000"/>
                      <w:spacing w:val="-8"/>
                      <w:w w:val="95"/>
                    </w:rPr>
                    <w:t xml:space="preserve"> </w:t>
                  </w:r>
                  <w:r>
                    <w:rPr>
                      <w:color w:val="000000"/>
                      <w:w w:val="95"/>
                    </w:rPr>
                    <w:t>and</w:t>
                  </w:r>
                  <w:r>
                    <w:rPr>
                      <w:color w:val="000000"/>
                      <w:spacing w:val="-8"/>
                      <w:w w:val="95"/>
                    </w:rPr>
                    <w:t xml:space="preserve"> </w:t>
                  </w:r>
                  <w:r>
                    <w:rPr>
                      <w:color w:val="000000"/>
                      <w:w w:val="95"/>
                    </w:rPr>
                    <w:t>preserve</w:t>
                  </w:r>
                  <w:r>
                    <w:rPr>
                      <w:color w:val="000000"/>
                      <w:spacing w:val="-8"/>
                      <w:w w:val="95"/>
                    </w:rPr>
                    <w:t xml:space="preserve"> </w:t>
                  </w:r>
                  <w:r>
                    <w:rPr>
                      <w:color w:val="000000"/>
                      <w:w w:val="95"/>
                    </w:rPr>
                    <w:t>a</w:t>
                  </w:r>
                  <w:r>
                    <w:rPr>
                      <w:color w:val="000000"/>
                      <w:spacing w:val="-8"/>
                      <w:w w:val="95"/>
                    </w:rPr>
                    <w:t xml:space="preserve"> </w:t>
                  </w:r>
                  <w:r>
                    <w:rPr>
                      <w:color w:val="000000"/>
                      <w:w w:val="95"/>
                    </w:rPr>
                    <w:t>rail</w:t>
                  </w:r>
                  <w:r>
                    <w:rPr>
                      <w:color w:val="000000"/>
                      <w:spacing w:val="-8"/>
                      <w:w w:val="95"/>
                    </w:rPr>
                    <w:t xml:space="preserve"> </w:t>
                  </w:r>
                  <w:r>
                    <w:rPr>
                      <w:color w:val="000000"/>
                      <w:w w:val="95"/>
                    </w:rPr>
                    <w:t>corridor</w:t>
                  </w:r>
                  <w:r>
                    <w:rPr>
                      <w:color w:val="000000"/>
                      <w:spacing w:val="-8"/>
                      <w:w w:val="95"/>
                    </w:rPr>
                    <w:t xml:space="preserve"> </w:t>
                  </w:r>
                  <w:r>
                    <w:rPr>
                      <w:color w:val="000000"/>
                      <w:w w:val="95"/>
                    </w:rPr>
                    <w:t>for</w:t>
                  </w:r>
                  <w:r>
                    <w:rPr>
                      <w:color w:val="000000"/>
                      <w:spacing w:val="-8"/>
                      <w:w w:val="95"/>
                    </w:rPr>
                    <w:t xml:space="preserve"> </w:t>
                  </w:r>
                  <w:r>
                    <w:rPr>
                      <w:color w:val="000000"/>
                      <w:w w:val="95"/>
                    </w:rPr>
                    <w:t>the</w:t>
                  </w:r>
                  <w:r>
                    <w:rPr>
                      <w:color w:val="000000"/>
                      <w:spacing w:val="-8"/>
                      <w:w w:val="95"/>
                    </w:rPr>
                    <w:t xml:space="preserve"> </w:t>
                  </w:r>
                  <w:r>
                    <w:rPr>
                      <w:color w:val="000000"/>
                      <w:w w:val="95"/>
                    </w:rPr>
                    <w:t xml:space="preserve">Western </w:t>
                  </w:r>
                  <w:r>
                    <w:rPr>
                      <w:color w:val="000000"/>
                    </w:rPr>
                    <w:t>Sydney</w:t>
                  </w:r>
                  <w:r>
                    <w:rPr>
                      <w:color w:val="000000"/>
                      <w:spacing w:val="-14"/>
                    </w:rPr>
                    <w:t xml:space="preserve"> </w:t>
                  </w:r>
                  <w:r>
                    <w:rPr>
                      <w:color w:val="000000"/>
                    </w:rPr>
                    <w:t>Freight</w:t>
                  </w:r>
                  <w:r>
                    <w:rPr>
                      <w:color w:val="000000"/>
                      <w:spacing w:val="-14"/>
                    </w:rPr>
                    <w:t xml:space="preserve"> </w:t>
                  </w:r>
                  <w:r>
                    <w:rPr>
                      <w:color w:val="000000"/>
                    </w:rPr>
                    <w:t>Line</w:t>
                  </w:r>
                  <w:r>
                    <w:rPr>
                      <w:color w:val="000000"/>
                      <w:spacing w:val="-14"/>
                    </w:rPr>
                    <w:t xml:space="preserve"> </w:t>
                  </w:r>
                  <w:r>
                    <w:rPr>
                      <w:color w:val="000000"/>
                    </w:rPr>
                    <w:t>and</w:t>
                  </w:r>
                  <w:r>
                    <w:rPr>
                      <w:color w:val="000000"/>
                      <w:spacing w:val="-14"/>
                    </w:rPr>
                    <w:t xml:space="preserve"> </w:t>
                  </w:r>
                  <w:r>
                    <w:rPr>
                      <w:color w:val="000000"/>
                    </w:rPr>
                    <w:t>land</w:t>
                  </w:r>
                  <w:r>
                    <w:rPr>
                      <w:color w:val="000000"/>
                      <w:spacing w:val="-14"/>
                    </w:rPr>
                    <w:t xml:space="preserve"> </w:t>
                  </w:r>
                  <w:r>
                    <w:rPr>
                      <w:color w:val="000000"/>
                    </w:rPr>
                    <w:t>for</w:t>
                  </w:r>
                  <w:r>
                    <w:rPr>
                      <w:color w:val="000000"/>
                      <w:spacing w:val="-14"/>
                    </w:rPr>
                    <w:t xml:space="preserve"> </w:t>
                  </w:r>
                  <w:r>
                    <w:rPr>
                      <w:color w:val="000000"/>
                    </w:rPr>
                    <w:t>the</w:t>
                  </w:r>
                  <w:r>
                    <w:rPr>
                      <w:color w:val="000000"/>
                      <w:spacing w:val="-14"/>
                    </w:rPr>
                    <w:t xml:space="preserve"> </w:t>
                  </w:r>
                  <w:r>
                    <w:rPr>
                      <w:color w:val="000000"/>
                    </w:rPr>
                    <w:t>terminal</w:t>
                  </w:r>
                  <w:r>
                    <w:rPr>
                      <w:color w:val="000000"/>
                      <w:spacing w:val="-14"/>
                    </w:rPr>
                    <w:t xml:space="preserve"> </w:t>
                  </w:r>
                  <w:r>
                    <w:rPr>
                      <w:color w:val="000000"/>
                    </w:rPr>
                    <w:t>at</w:t>
                  </w:r>
                </w:p>
                <w:p w:rsidR="00F22F94" w:rsidRDefault="00F22F94">
                  <w:pPr>
                    <w:pStyle w:val="BodyText"/>
                    <w:spacing w:before="4" w:line="249" w:lineRule="auto"/>
                    <w:ind w:left="113"/>
                    <w:rPr>
                      <w:color w:val="000000"/>
                    </w:rPr>
                  </w:pPr>
                  <w:r>
                    <w:rPr>
                      <w:color w:val="000000"/>
                      <w:w w:val="95"/>
                    </w:rPr>
                    <w:t>Eastern</w:t>
                  </w:r>
                  <w:r>
                    <w:rPr>
                      <w:color w:val="000000"/>
                      <w:spacing w:val="-9"/>
                      <w:w w:val="95"/>
                    </w:rPr>
                    <w:t xml:space="preserve"> </w:t>
                  </w:r>
                  <w:r>
                    <w:rPr>
                      <w:color w:val="000000"/>
                      <w:w w:val="95"/>
                    </w:rPr>
                    <w:t>Creek,</w:t>
                  </w:r>
                  <w:r>
                    <w:rPr>
                      <w:color w:val="000000"/>
                      <w:spacing w:val="-9"/>
                      <w:w w:val="95"/>
                    </w:rPr>
                    <w:t xml:space="preserve"> </w:t>
                  </w:r>
                  <w:r>
                    <w:rPr>
                      <w:color w:val="000000"/>
                      <w:w w:val="95"/>
                    </w:rPr>
                    <w:t>given</w:t>
                  </w:r>
                  <w:r>
                    <w:rPr>
                      <w:color w:val="000000"/>
                      <w:spacing w:val="-9"/>
                      <w:w w:val="95"/>
                    </w:rPr>
                    <w:t xml:space="preserve"> </w:t>
                  </w:r>
                  <w:r>
                    <w:rPr>
                      <w:color w:val="000000"/>
                      <w:w w:val="95"/>
                    </w:rPr>
                    <w:t>the</w:t>
                  </w:r>
                  <w:r>
                    <w:rPr>
                      <w:color w:val="000000"/>
                      <w:spacing w:val="-9"/>
                      <w:w w:val="95"/>
                    </w:rPr>
                    <w:t xml:space="preserve"> </w:t>
                  </w:r>
                  <w:r>
                    <w:rPr>
                      <w:color w:val="000000"/>
                      <w:w w:val="95"/>
                    </w:rPr>
                    <w:t>paucity</w:t>
                  </w:r>
                  <w:r>
                    <w:rPr>
                      <w:color w:val="000000"/>
                      <w:spacing w:val="-9"/>
                      <w:w w:val="95"/>
                    </w:rPr>
                    <w:t xml:space="preserve"> </w:t>
                  </w:r>
                  <w:r>
                    <w:rPr>
                      <w:color w:val="000000"/>
                      <w:w w:val="95"/>
                    </w:rPr>
                    <w:t>of</w:t>
                  </w:r>
                  <w:r>
                    <w:rPr>
                      <w:color w:val="000000"/>
                      <w:spacing w:val="-9"/>
                      <w:w w:val="95"/>
                    </w:rPr>
                    <w:t xml:space="preserve"> </w:t>
                  </w:r>
                  <w:r>
                    <w:rPr>
                      <w:color w:val="000000"/>
                      <w:w w:val="95"/>
                    </w:rPr>
                    <w:t>alternative</w:t>
                  </w:r>
                  <w:r>
                    <w:rPr>
                      <w:color w:val="000000"/>
                      <w:spacing w:val="-9"/>
                      <w:w w:val="95"/>
                    </w:rPr>
                    <w:t xml:space="preserve"> </w:t>
                  </w:r>
                  <w:r>
                    <w:rPr>
                      <w:color w:val="000000"/>
                      <w:w w:val="95"/>
                    </w:rPr>
                    <w:t xml:space="preserve">options </w:t>
                  </w:r>
                  <w:r>
                    <w:rPr>
                      <w:color w:val="000000"/>
                    </w:rPr>
                    <w:t>should</w:t>
                  </w:r>
                  <w:r>
                    <w:rPr>
                      <w:color w:val="000000"/>
                      <w:spacing w:val="-12"/>
                    </w:rPr>
                    <w:t xml:space="preserve"> </w:t>
                  </w:r>
                  <w:r>
                    <w:rPr>
                      <w:color w:val="000000"/>
                    </w:rPr>
                    <w:t>the</w:t>
                  </w:r>
                  <w:r>
                    <w:rPr>
                      <w:color w:val="000000"/>
                      <w:spacing w:val="-12"/>
                    </w:rPr>
                    <w:t xml:space="preserve"> </w:t>
                  </w:r>
                  <w:r>
                    <w:rPr>
                      <w:color w:val="000000"/>
                    </w:rPr>
                    <w:t>short-haul</w:t>
                  </w:r>
                  <w:r>
                    <w:rPr>
                      <w:color w:val="000000"/>
                      <w:spacing w:val="-12"/>
                    </w:rPr>
                    <w:t xml:space="preserve"> </w:t>
                  </w:r>
                  <w:r>
                    <w:rPr>
                      <w:color w:val="000000"/>
                    </w:rPr>
                    <w:t>freight</w:t>
                  </w:r>
                  <w:r>
                    <w:rPr>
                      <w:color w:val="000000"/>
                      <w:spacing w:val="-12"/>
                    </w:rPr>
                    <w:t xml:space="preserve"> </w:t>
                  </w:r>
                  <w:r>
                    <w:rPr>
                      <w:color w:val="000000"/>
                    </w:rPr>
                    <w:t>market</w:t>
                  </w:r>
                  <w:r>
                    <w:rPr>
                      <w:color w:val="000000"/>
                      <w:spacing w:val="-12"/>
                    </w:rPr>
                    <w:t xml:space="preserve"> </w:t>
                  </w:r>
                  <w:r>
                    <w:rPr>
                      <w:color w:val="000000"/>
                    </w:rPr>
                    <w:t>prove</w:t>
                  </w:r>
                  <w:r>
                    <w:rPr>
                      <w:color w:val="000000"/>
                      <w:spacing w:val="-12"/>
                    </w:rPr>
                    <w:t xml:space="preserve"> </w:t>
                  </w:r>
                  <w:r>
                    <w:rPr>
                      <w:color w:val="000000"/>
                    </w:rPr>
                    <w:t>viable.</w:t>
                  </w:r>
                </w:p>
              </w:txbxContent>
            </v:textbox>
            <w10:wrap anchorx="page"/>
          </v:shape>
        </w:pict>
      </w:r>
      <w:r w:rsidR="00F22F94">
        <w:rPr>
          <w:spacing w:val="-5"/>
          <w:w w:val="95"/>
          <w:sz w:val="16"/>
        </w:rPr>
        <w:t>2.0</w:t>
      </w:r>
    </w:p>
    <w:p w:rsidR="002C1123" w:rsidRDefault="002C1123">
      <w:pPr>
        <w:pStyle w:val="BodyText"/>
        <w:rPr>
          <w:sz w:val="18"/>
        </w:rPr>
      </w:pPr>
    </w:p>
    <w:p w:rsidR="002C1123" w:rsidRDefault="002C1123">
      <w:pPr>
        <w:pStyle w:val="BodyText"/>
        <w:spacing w:before="4"/>
        <w:rPr>
          <w:sz w:val="23"/>
        </w:rPr>
      </w:pPr>
    </w:p>
    <w:p w:rsidR="002C1123" w:rsidRDefault="00F22F94">
      <w:pPr>
        <w:spacing w:before="1"/>
        <w:ind w:left="567"/>
        <w:rPr>
          <w:sz w:val="16"/>
        </w:rPr>
      </w:pPr>
      <w:r>
        <w:rPr>
          <w:spacing w:val="-5"/>
          <w:w w:val="95"/>
          <w:sz w:val="16"/>
        </w:rPr>
        <w:t>0.0</w:t>
      </w:r>
    </w:p>
    <w:p w:rsidR="002C1123" w:rsidRDefault="00F22F94">
      <w:pPr>
        <w:pStyle w:val="Heading5"/>
        <w:numPr>
          <w:ilvl w:val="1"/>
          <w:numId w:val="80"/>
        </w:numPr>
        <w:tabs>
          <w:tab w:val="left" w:pos="942"/>
        </w:tabs>
        <w:spacing w:before="129" w:line="223" w:lineRule="auto"/>
        <w:ind w:right="1804"/>
        <w:jc w:val="left"/>
      </w:pPr>
      <w:r>
        <w:rPr>
          <w:b w:val="0"/>
        </w:rPr>
        <w:br w:type="column"/>
      </w:r>
      <w:r>
        <w:rPr>
          <w:color w:val="00AEEF"/>
          <w:spacing w:val="-6"/>
        </w:rPr>
        <w:t>Supplementary</w:t>
      </w:r>
      <w:r>
        <w:rPr>
          <w:color w:val="00AEEF"/>
          <w:spacing w:val="-9"/>
        </w:rPr>
        <w:t xml:space="preserve"> </w:t>
      </w:r>
      <w:r>
        <w:rPr>
          <w:color w:val="00AEEF"/>
          <w:spacing w:val="-6"/>
        </w:rPr>
        <w:t xml:space="preserve">container </w:t>
      </w:r>
      <w:r>
        <w:rPr>
          <w:color w:val="00AEEF"/>
        </w:rPr>
        <w:t>port capacity</w:t>
      </w:r>
    </w:p>
    <w:p w:rsidR="002C1123" w:rsidRDefault="002060EF">
      <w:pPr>
        <w:pStyle w:val="BodyText"/>
        <w:spacing w:before="139" w:line="249" w:lineRule="auto"/>
        <w:ind w:left="492" w:right="646"/>
      </w:pPr>
      <w:r>
        <w:pict>
          <v:group id="docshapegroup1574" o:spid="_x0000_s3501" style="position:absolute;left:0;text-align:left;margin-left:331.5pt;margin-top:54.25pt;width:209.5pt;height:124.85pt;z-index:251513856;mso-position-horizontal-relative:page" coordorigin="6630,1085" coordsize="4190,2497">
            <v:shape id="docshape1575" o:spid="_x0000_s3566" style="position:absolute;left:6742;top:2590;width:4018;height:988" coordorigin="6743,2591" coordsize="4018,988" o:spt="100" adj="0,,0" path="m7695,3383r-632,l7063,3413r-320,l6743,3578r320,l7064,3578r631,l7695,3383xm10760,2591r-737,l10023,2921r-2327,l7696,3578r2327,l10023,3578r737,l10760,2591xe" fillcolor="#e0eecb" stroked="f">
              <v:stroke joinstyle="round"/>
              <v:formulas/>
              <v:path arrowok="t" o:connecttype="segments"/>
            </v:shape>
            <v:shape id="docshape1576" o:spid="_x0000_s3565" style="position:absolute;left:6629;top:2928;width:4190;height:653" coordorigin="6630,2929" coordsize="4190,653" o:spt="100" adj="0,,0" path="m10819,2929r-4189,l6630,2934r4189,l10819,2929xm10819,3576r-4185,l6634,3581r4185,l10819,3576xe" fillcolor="#b2b1b3" stroked="f">
              <v:stroke joinstyle="round"/>
              <v:formulas/>
              <v:path arrowok="t" o:connecttype="segments"/>
            </v:shape>
            <v:line id="_x0000_s3564" style="position:absolute" from="6954,3274" to="6743,3314" strokecolor="#00aeef" strokeweight=".73167mm"/>
            <v:line id="_x0000_s3563" style="position:absolute" from="7165,3254" to="6954,3274" strokecolor="#00aeef" strokeweight=".73167mm"/>
            <v:line id="_x0000_s3562" style="position:absolute" from="7376,3234" to="7165,3254" strokecolor="#00aeef" strokeweight=".73167mm"/>
            <v:line id="_x0000_s3561" style="position:absolute" from="7587,3211" to="7376,3234" strokecolor="#00aeef" strokeweight=".73167mm"/>
            <v:line id="_x0000_s3560" style="position:absolute" from="7798,3184" to="7587,3211" strokecolor="#00aeef" strokeweight=".73167mm"/>
            <v:line id="_x0000_s3559" style="position:absolute" from="8009,3158" to="7798,3184" strokecolor="#00aeef" strokeweight=".73167mm"/>
            <v:line id="_x0000_s3558" style="position:absolute" from="8220,3131" to="8009,3158" strokecolor="#00aeef" strokeweight=".73167mm"/>
            <v:line id="_x0000_s3557" style="position:absolute" from="8431,3101" to="8220,3131" strokecolor="#00aeef" strokeweight=".73167mm"/>
            <v:line id="_x0000_s3556" style="position:absolute" from="8642,3068" to="8431,3101" strokecolor="#00aeef" strokeweight=".73167mm"/>
            <v:line id="_x0000_s3555" style="position:absolute" from="8853,3032" to="8642,3068" strokecolor="#00aeef" strokeweight=".73167mm"/>
            <v:line id="_x0000_s3554" style="position:absolute" from="9064,2995" to="8853,3032" strokecolor="#00aeef" strokeweight=".73167mm"/>
            <v:line id="_x0000_s3553" style="position:absolute" from="9275,2956" to="9064,2995" strokecolor="#00aeef" strokeweight=".73167mm"/>
            <v:line id="_x0000_s3552" style="position:absolute" from="9486,2916" to="9275,2956" strokecolor="#00aeef" strokeweight=".73167mm"/>
            <v:line id="_x0000_s3551" style="position:absolute" from="9697,2869" to="9486,2916" strokecolor="#00aeef" strokeweight=".73167mm"/>
            <v:line id="_x0000_s3550" style="position:absolute" from="9908,2820" to="9697,2869" strokecolor="#00aeef" strokeweight=".73167mm"/>
            <v:line id="_x0000_s3549" style="position:absolute" from="10119,2770" to="9908,2820" strokecolor="#00aeef" strokeweight=".73167mm"/>
            <v:line id="_x0000_s3548" style="position:absolute" from="10330,2714" to="10119,2770" strokecolor="#00aeef" strokeweight=".73167mm"/>
            <v:line id="_x0000_s3547" style="position:absolute" from="10541,2654" to="10330,2714" strokecolor="#00aeef" strokeweight=".73167mm"/>
            <v:line id="_x0000_s3546" style="position:absolute" from="10752,2591" to="10541,2654" strokecolor="#00aeef" strokeweight=".73167mm"/>
            <v:line id="_x0000_s3545" style="position:absolute" from="6954,3390" to="6743,3413" strokecolor="#2e3092" strokeweight=".73167mm"/>
            <v:line id="_x0000_s3544" style="position:absolute" from="7165,3377" to="6954,3390" strokecolor="#2e3092" strokeweight=".73167mm"/>
            <v:line id="_x0000_s3543" style="position:absolute" from="7376,3363" to="7165,3377" strokecolor="#2e3092" strokeweight=".73167mm"/>
            <v:line id="_x0000_s3542" style="position:absolute" from="7587,3350" to="7376,3363" strokecolor="#2e3092" strokeweight=".73167mm"/>
            <v:line id="_x0000_s3541" style="position:absolute" from="7798,3334" to="7587,3350" strokecolor="#2e3092" strokeweight=".73167mm"/>
            <v:line id="_x0000_s3540" style="position:absolute" from="8009,3317" to="7798,3334" strokecolor="#2e3092" strokeweight=".73167mm"/>
            <v:line id="_x0000_s3539" style="position:absolute" from="8220,3300" to="8009,3317" strokecolor="#2e3092" strokeweight=".73167mm"/>
            <v:line id="_x0000_s3538" style="position:absolute" from="8431,3281" to="8220,3300" strokecolor="#2e3092" strokeweight=".73167mm"/>
            <v:line id="_x0000_s3537" style="position:absolute" from="8642,3261" to="8431,3280" strokecolor="#2e3092" strokeweight=".73167mm"/>
            <v:line id="_x0000_s3536" style="position:absolute" from="8853,3241" to="8642,3261" strokecolor="#2e3092" strokeweight=".73167mm"/>
            <v:line id="_x0000_s3535" style="position:absolute" from="9064,3218" to="8853,3241" strokecolor="#2e3092" strokeweight=".73167mm"/>
            <v:line id="_x0000_s3534" style="position:absolute" from="9275,3191" to="9064,3218" strokecolor="#2e3092" strokeweight=".73167mm"/>
            <v:line id="_x0000_s3533" style="position:absolute" from="9486,3164" to="9275,3191" strokecolor="#2e3092" strokeweight=".73167mm"/>
            <v:line id="_x0000_s3532" style="position:absolute" from="9697,3138" to="9486,3164" strokecolor="#2e3092" strokeweight=".73167mm"/>
            <v:line id="_x0000_s3531" style="position:absolute" from="9908,3108" to="9697,3138" strokecolor="#2e3092" strokeweight=".73167mm"/>
            <v:line id="_x0000_s3530" style="position:absolute" from="10119,3075" to="9908,3108" strokecolor="#2e3092" strokeweight=".73167mm"/>
            <v:line id="_x0000_s3529" style="position:absolute" from="10330,3039" to="10119,3075" strokecolor="#2e3092" strokeweight=".73167mm"/>
            <v:line id="_x0000_s3528" style="position:absolute" from="10541,3002" to="10330,3039" strokecolor="#2e3092" strokeweight=".73167mm"/>
            <v:line id="_x0000_s3527" style="position:absolute" from="10752,2962" to="10541,3002" strokecolor="#2e3092" strokeweight=".73167mm"/>
            <v:line id="_x0000_s3526" style="position:absolute" from="6954,2813" to="6743,2906" strokecolor="#f47920" strokeweight=".73167mm"/>
            <v:line id="_x0000_s3525" style="position:absolute" from="7165,2763" to="6954,2813" strokecolor="#f47920" strokeweight=".73167mm"/>
            <v:line id="_x0000_s3524" style="position:absolute" from="7376,2710" to="7165,2763" strokecolor="#f47920" strokeweight=".73167mm"/>
            <v:line id="_x0000_s3523" style="position:absolute" from="7587,2651" to="7376,2710" strokecolor="#f47920" strokeweight=".73167mm"/>
            <v:line id="_x0000_s3522" style="position:absolute" from="7798,2588" to="7587,2651" strokecolor="#f47920" strokeweight=".73167mm"/>
            <v:line id="_x0000_s3521" style="position:absolute" from="8009,2525" to="7798,2588" strokecolor="#f47920" strokeweight=".73167mm"/>
            <v:line id="_x0000_s3520" style="position:absolute" from="8220,2452" to="8009,2525" strokecolor="#f47920" strokeweight=".73167mm"/>
            <v:line id="_x0000_s3519" style="position:absolute" from="8431,2375" to="8220,2452" strokecolor="#f47920" strokeweight=".73167mm"/>
            <v:rect id="docshape1577" o:spid="_x0000_s3518" style="position:absolute;left:6629;top:2249;width:4190;height:6" fillcolor="#b2b1b3" stroked="f"/>
            <v:line id="_x0000_s3517" style="position:absolute" from="8642,2296" to="8431,2375" strokecolor="#f47920" strokeweight=".73167mm"/>
            <v:line id="_x0000_s3516" style="position:absolute" from="8853,2210" to="8642,2296" strokecolor="#f47920" strokeweight=".73167mm"/>
            <v:line id="_x0000_s3515" style="position:absolute" from="9064,2117" to="8853,2210" strokecolor="#f47920" strokeweight=".73167mm"/>
            <v:line id="_x0000_s3514" style="position:absolute" from="9275,2017" to="9064,2117" strokecolor="#f47920" strokeweight=".73167mm"/>
            <v:line id="_x0000_s3513" style="position:absolute" from="9486,1915" to="9275,2017" strokecolor="#f47920" strokeweight=".73167mm"/>
            <v:line id="_x0000_s3512" style="position:absolute" from="9697,1802" to="9486,1915" strokecolor="#f47920" strokeweight=".73167mm"/>
            <v:rect id="docshape1578" o:spid="_x0000_s3511" style="position:absolute;left:6633;top:1588;width:4186;height:6" fillcolor="#b2b1b3" stroked="f"/>
            <v:line id="_x0000_s3510" style="position:absolute" from="9908,1679" to="9697,1802" strokecolor="#f47920" strokeweight=".73167mm"/>
            <v:line id="_x0000_s3509" style="position:absolute" from="10119,1550" to="9908,1679" strokecolor="#f47920" strokeweight=".73167mm"/>
            <v:line id="_x0000_s3508" style="position:absolute" from="10330,1414" to="10119,1550" strokecolor="#f47920" strokeweight=".73167mm"/>
            <v:line id="_x0000_s3507" style="position:absolute" from="10541,1265" to="10330,1414" strokecolor="#f47920" strokeweight=".73167mm"/>
            <v:line id="_x0000_s3506" style="position:absolute" from="10752,1106" to="10541,1265" strokecolor="#f47920" strokeweight=".73167mm"/>
            <v:shape id="docshape1579" o:spid="_x0000_s3505" style="position:absolute;left:7694;top:1864;width:85;height:1071" coordorigin="7695,1865" coordsize="85,1071" path="m7780,2936r,-1071l7695,1865e" filled="f" strokeweight=".4pt">
              <v:path arrowok="t"/>
            </v:shape>
            <v:shape id="docshape1580" o:spid="_x0000_s3504" style="position:absolute;left:9937;top:1204;width:85;height:1387" coordorigin="9938,1205" coordsize="85,1387" path="m10023,2591r,-1386l9938,1205e" filled="f" strokeweight=".4pt">
              <v:path arrowok="t"/>
            </v:shape>
            <v:shape id="docshape1581" o:spid="_x0000_s3503" type="#_x0000_t202" style="position:absolute;left:8649;top:1138;width:1253;height:136" filled="f" stroked="f">
              <v:textbox inset="0,0,0,0">
                <w:txbxContent>
                  <w:p w:rsidR="00F22F94" w:rsidRDefault="00F22F94">
                    <w:pPr>
                      <w:spacing w:line="136" w:lineRule="exact"/>
                      <w:rPr>
                        <w:sz w:val="12"/>
                      </w:rPr>
                    </w:pPr>
                    <w:r>
                      <w:rPr>
                        <w:w w:val="75"/>
                        <w:sz w:val="12"/>
                      </w:rPr>
                      <w:t>Required</w:t>
                    </w:r>
                    <w:r>
                      <w:rPr>
                        <w:spacing w:val="10"/>
                        <w:sz w:val="12"/>
                      </w:rPr>
                      <w:t xml:space="preserve"> </w:t>
                    </w:r>
                    <w:r>
                      <w:rPr>
                        <w:w w:val="75"/>
                        <w:sz w:val="12"/>
                      </w:rPr>
                      <w:t>additional</w:t>
                    </w:r>
                    <w:r>
                      <w:rPr>
                        <w:spacing w:val="10"/>
                        <w:sz w:val="12"/>
                      </w:rPr>
                      <w:t xml:space="preserve"> </w:t>
                    </w:r>
                    <w:r>
                      <w:rPr>
                        <w:spacing w:val="-2"/>
                        <w:w w:val="75"/>
                        <w:sz w:val="12"/>
                      </w:rPr>
                      <w:t>capacity*</w:t>
                    </w:r>
                  </w:p>
                </w:txbxContent>
              </v:textbox>
            </v:shape>
            <v:shape id="docshape1582" o:spid="_x0000_s3502" type="#_x0000_t202" style="position:absolute;left:6902;top:1797;width:757;height:296" filled="f" stroked="f">
              <v:textbox inset="0,0,0,0">
                <w:txbxContent>
                  <w:p w:rsidR="00F22F94" w:rsidRDefault="00F22F94">
                    <w:pPr>
                      <w:spacing w:line="278" w:lineRule="auto"/>
                      <w:ind w:right="13" w:firstLine="125"/>
                      <w:rPr>
                        <w:sz w:val="12"/>
                      </w:rPr>
                    </w:pPr>
                    <w:r>
                      <w:rPr>
                        <w:spacing w:val="-2"/>
                        <w:w w:val="80"/>
                        <w:sz w:val="12"/>
                      </w:rPr>
                      <w:t>Moorbank</w:t>
                    </w:r>
                    <w:r>
                      <w:rPr>
                        <w:spacing w:val="-7"/>
                        <w:sz w:val="12"/>
                      </w:rPr>
                      <w:t xml:space="preserve"> </w:t>
                    </w:r>
                    <w:r>
                      <w:rPr>
                        <w:spacing w:val="-2"/>
                        <w:w w:val="80"/>
                        <w:sz w:val="12"/>
                      </w:rPr>
                      <w:t>IMT</w:t>
                    </w:r>
                    <w:r>
                      <w:rPr>
                        <w:spacing w:val="40"/>
                        <w:sz w:val="12"/>
                      </w:rPr>
                      <w:t xml:space="preserve"> </w:t>
                    </w:r>
                    <w:r>
                      <w:rPr>
                        <w:w w:val="80"/>
                        <w:sz w:val="12"/>
                      </w:rPr>
                      <w:t>(1.2</w:t>
                    </w:r>
                    <w:r>
                      <w:rPr>
                        <w:spacing w:val="-3"/>
                        <w:sz w:val="12"/>
                      </w:rPr>
                      <w:t xml:space="preserve"> </w:t>
                    </w:r>
                    <w:r>
                      <w:rPr>
                        <w:w w:val="80"/>
                        <w:sz w:val="12"/>
                      </w:rPr>
                      <w:t>million</w:t>
                    </w:r>
                    <w:r>
                      <w:rPr>
                        <w:spacing w:val="-3"/>
                        <w:sz w:val="12"/>
                      </w:rPr>
                      <w:t xml:space="preserve"> </w:t>
                    </w:r>
                    <w:r>
                      <w:rPr>
                        <w:spacing w:val="-4"/>
                        <w:w w:val="75"/>
                        <w:sz w:val="12"/>
                      </w:rPr>
                      <w:t>TEU)*</w:t>
                    </w:r>
                  </w:p>
                </w:txbxContent>
              </v:textbox>
            </v:shape>
            <w10:wrap anchorx="page"/>
          </v:group>
        </w:pict>
      </w:r>
      <w:r>
        <w:pict>
          <v:rect id="docshape1583" o:spid="_x0000_s3500" style="position:absolute;left:0;text-align:left;margin-left:331.5pt;margin-top:13.65pt;width:209.45pt;height:.3pt;z-index:251514880;mso-position-horizontal-relative:page" fillcolor="#b2b1b3" stroked="f">
            <w10:wrap anchorx="page"/>
          </v:rect>
        </w:pict>
      </w:r>
      <w:r>
        <w:pict>
          <v:rect id="docshape1584" o:spid="_x0000_s3499" style="position:absolute;left:0;text-align:left;margin-left:331.5pt;margin-top:46.2pt;width:209.45pt;height:.3pt;z-index:251515904;mso-position-horizontal-relative:page" fillcolor="#b2b1b3" stroked="f">
            <w10:wrap anchorx="page"/>
          </v:rect>
        </w:pict>
      </w:r>
      <w:r w:rsidR="00F22F94">
        <w:t>Beyond</w:t>
      </w:r>
      <w:r w:rsidR="00F22F94">
        <w:rPr>
          <w:spacing w:val="-14"/>
        </w:rPr>
        <w:t xml:space="preserve"> </w:t>
      </w:r>
      <w:r w:rsidR="00F22F94">
        <w:t>the</w:t>
      </w:r>
      <w:r w:rsidR="00F22F94">
        <w:rPr>
          <w:spacing w:val="-14"/>
        </w:rPr>
        <w:t xml:space="preserve"> </w:t>
      </w:r>
      <w:r w:rsidR="00F22F94">
        <w:t>timeframe</w:t>
      </w:r>
      <w:r w:rsidR="00F22F94">
        <w:rPr>
          <w:spacing w:val="-14"/>
        </w:rPr>
        <w:t xml:space="preserve"> </w:t>
      </w:r>
      <w:r w:rsidR="00F22F94">
        <w:t>of</w:t>
      </w:r>
      <w:r w:rsidR="00F22F94">
        <w:rPr>
          <w:spacing w:val="-14"/>
        </w:rPr>
        <w:t xml:space="preserve"> </w:t>
      </w:r>
      <w:r w:rsidR="00F22F94">
        <w:t>this</w:t>
      </w:r>
      <w:r w:rsidR="00F22F94">
        <w:rPr>
          <w:spacing w:val="-14"/>
        </w:rPr>
        <w:t xml:space="preserve"> </w:t>
      </w:r>
      <w:r w:rsidR="00F22F94">
        <w:t>Strategy,</w:t>
      </w:r>
      <w:r w:rsidR="00F22F94">
        <w:rPr>
          <w:spacing w:val="-14"/>
        </w:rPr>
        <w:t xml:space="preserve"> </w:t>
      </w:r>
      <w:r w:rsidR="00F22F94">
        <w:t>there</w:t>
      </w:r>
      <w:r w:rsidR="00F22F94">
        <w:rPr>
          <w:spacing w:val="-14"/>
        </w:rPr>
        <w:t xml:space="preserve"> </w:t>
      </w:r>
      <w:r w:rsidR="00F22F94">
        <w:t>may</w:t>
      </w:r>
      <w:r w:rsidR="00F22F94">
        <w:rPr>
          <w:spacing w:val="-14"/>
        </w:rPr>
        <w:t xml:space="preserve"> </w:t>
      </w:r>
      <w:r w:rsidR="00F22F94">
        <w:t>be some</w:t>
      </w:r>
      <w:r w:rsidR="00F22F94">
        <w:rPr>
          <w:spacing w:val="-7"/>
        </w:rPr>
        <w:t xml:space="preserve"> </w:t>
      </w:r>
      <w:r w:rsidR="00F22F94">
        <w:t>benefit</w:t>
      </w:r>
      <w:r w:rsidR="00F22F94">
        <w:rPr>
          <w:spacing w:val="-7"/>
        </w:rPr>
        <w:t xml:space="preserve"> </w:t>
      </w:r>
      <w:r w:rsidR="00F22F94">
        <w:t>to</w:t>
      </w:r>
      <w:r w:rsidR="00F22F94">
        <w:rPr>
          <w:spacing w:val="-7"/>
        </w:rPr>
        <w:t xml:space="preserve"> </w:t>
      </w:r>
      <w:r w:rsidR="00F22F94">
        <w:t>the</w:t>
      </w:r>
      <w:r w:rsidR="00F22F94">
        <w:rPr>
          <w:spacing w:val="-7"/>
        </w:rPr>
        <w:t xml:space="preserve"> </w:t>
      </w:r>
      <w:r w:rsidR="00F22F94">
        <w:t>development</w:t>
      </w:r>
      <w:r w:rsidR="00F22F94">
        <w:rPr>
          <w:spacing w:val="-7"/>
        </w:rPr>
        <w:t xml:space="preserve"> </w:t>
      </w:r>
      <w:r w:rsidR="00F22F94">
        <w:t>of</w:t>
      </w:r>
      <w:r w:rsidR="00F22F94">
        <w:rPr>
          <w:spacing w:val="-7"/>
        </w:rPr>
        <w:t xml:space="preserve"> </w:t>
      </w:r>
      <w:r w:rsidR="00F22F94">
        <w:t>supplementary container</w:t>
      </w:r>
      <w:r w:rsidR="00F22F94">
        <w:rPr>
          <w:spacing w:val="-11"/>
        </w:rPr>
        <w:t xml:space="preserve"> </w:t>
      </w:r>
      <w:r w:rsidR="00F22F94">
        <w:t>port</w:t>
      </w:r>
      <w:r w:rsidR="00F22F94">
        <w:rPr>
          <w:spacing w:val="-11"/>
        </w:rPr>
        <w:t xml:space="preserve"> </w:t>
      </w:r>
      <w:r w:rsidR="00F22F94">
        <w:t>capacity</w:t>
      </w:r>
      <w:r w:rsidR="00F22F94">
        <w:rPr>
          <w:spacing w:val="-11"/>
        </w:rPr>
        <w:t xml:space="preserve"> </w:t>
      </w:r>
      <w:r w:rsidR="00F22F94">
        <w:t>in</w:t>
      </w:r>
      <w:r w:rsidR="00F22F94">
        <w:rPr>
          <w:spacing w:val="-11"/>
        </w:rPr>
        <w:t xml:space="preserve"> </w:t>
      </w:r>
      <w:r w:rsidR="00F22F94">
        <w:t>NSW.</w:t>
      </w:r>
      <w:r w:rsidR="00F22F94">
        <w:rPr>
          <w:spacing w:val="-11"/>
        </w:rPr>
        <w:t xml:space="preserve"> </w:t>
      </w:r>
      <w:r w:rsidR="00F22F94">
        <w:t>For</w:t>
      </w:r>
      <w:r w:rsidR="00F22F94">
        <w:rPr>
          <w:spacing w:val="-11"/>
        </w:rPr>
        <w:t xml:space="preserve"> </w:t>
      </w:r>
      <w:r w:rsidR="00F22F94">
        <w:t>example,</w:t>
      </w:r>
      <w:r w:rsidR="00F22F94">
        <w:rPr>
          <w:spacing w:val="-11"/>
        </w:rPr>
        <w:t xml:space="preserve"> </w:t>
      </w:r>
      <w:r w:rsidR="00F22F94">
        <w:t xml:space="preserve">an </w:t>
      </w:r>
      <w:r w:rsidR="00F22F94">
        <w:rPr>
          <w:w w:val="95"/>
        </w:rPr>
        <w:t>alternative facility could improve the resilience of NSW’s infrastructure</w:t>
      </w:r>
      <w:r w:rsidR="00F22F94">
        <w:rPr>
          <w:spacing w:val="-4"/>
          <w:w w:val="95"/>
        </w:rPr>
        <w:t xml:space="preserve"> </w:t>
      </w:r>
      <w:r w:rsidR="00F22F94">
        <w:rPr>
          <w:w w:val="95"/>
        </w:rPr>
        <w:t>in</w:t>
      </w:r>
      <w:r w:rsidR="00F22F94">
        <w:rPr>
          <w:spacing w:val="-4"/>
          <w:w w:val="95"/>
        </w:rPr>
        <w:t xml:space="preserve"> </w:t>
      </w:r>
      <w:r w:rsidR="00F22F94">
        <w:rPr>
          <w:w w:val="95"/>
        </w:rPr>
        <w:t>the</w:t>
      </w:r>
      <w:r w:rsidR="00F22F94">
        <w:rPr>
          <w:spacing w:val="-4"/>
          <w:w w:val="95"/>
        </w:rPr>
        <w:t xml:space="preserve"> </w:t>
      </w:r>
      <w:r w:rsidR="00F22F94">
        <w:rPr>
          <w:w w:val="95"/>
        </w:rPr>
        <w:t>event</w:t>
      </w:r>
      <w:r w:rsidR="00F22F94">
        <w:rPr>
          <w:spacing w:val="-4"/>
          <w:w w:val="95"/>
        </w:rPr>
        <w:t xml:space="preserve"> </w:t>
      </w:r>
      <w:r w:rsidR="00F22F94">
        <w:rPr>
          <w:w w:val="95"/>
        </w:rPr>
        <w:t>that</w:t>
      </w:r>
      <w:r w:rsidR="00F22F94">
        <w:rPr>
          <w:spacing w:val="-4"/>
          <w:w w:val="95"/>
        </w:rPr>
        <w:t xml:space="preserve"> </w:t>
      </w:r>
      <w:r w:rsidR="00F22F94">
        <w:rPr>
          <w:w w:val="95"/>
        </w:rPr>
        <w:t>Port</w:t>
      </w:r>
      <w:r w:rsidR="00F22F94">
        <w:rPr>
          <w:spacing w:val="-4"/>
          <w:w w:val="95"/>
        </w:rPr>
        <w:t xml:space="preserve"> </w:t>
      </w:r>
      <w:r w:rsidR="00F22F94">
        <w:rPr>
          <w:w w:val="95"/>
        </w:rPr>
        <w:t>Botany</w:t>
      </w:r>
      <w:r w:rsidR="00F22F94">
        <w:rPr>
          <w:spacing w:val="-4"/>
          <w:w w:val="95"/>
        </w:rPr>
        <w:t xml:space="preserve"> </w:t>
      </w:r>
      <w:r w:rsidR="00F22F94">
        <w:rPr>
          <w:w w:val="95"/>
        </w:rPr>
        <w:t>wharfage</w:t>
      </w:r>
      <w:r w:rsidR="00F22F94">
        <w:rPr>
          <w:spacing w:val="-4"/>
          <w:w w:val="95"/>
        </w:rPr>
        <w:t xml:space="preserve"> </w:t>
      </w:r>
      <w:r w:rsidR="00F22F94">
        <w:rPr>
          <w:w w:val="95"/>
        </w:rPr>
        <w:t xml:space="preserve">was </w:t>
      </w:r>
      <w:r w:rsidR="00F22F94">
        <w:t>incapacitated.</w:t>
      </w:r>
      <w:r w:rsidR="00F22F94">
        <w:rPr>
          <w:spacing w:val="-14"/>
        </w:rPr>
        <w:t xml:space="preserve"> </w:t>
      </w:r>
      <w:r w:rsidR="00F22F94">
        <w:t>Planning</w:t>
      </w:r>
      <w:r w:rsidR="00F22F94">
        <w:rPr>
          <w:spacing w:val="-14"/>
        </w:rPr>
        <w:t xml:space="preserve"> </w:t>
      </w:r>
      <w:r w:rsidR="00F22F94">
        <w:t>for</w:t>
      </w:r>
      <w:r w:rsidR="00F22F94">
        <w:rPr>
          <w:spacing w:val="-14"/>
        </w:rPr>
        <w:t xml:space="preserve"> </w:t>
      </w:r>
      <w:r w:rsidR="00F22F94">
        <w:t>this</w:t>
      </w:r>
      <w:r w:rsidR="00F22F94">
        <w:rPr>
          <w:spacing w:val="-14"/>
        </w:rPr>
        <w:t xml:space="preserve"> </w:t>
      </w:r>
      <w:r w:rsidR="00F22F94">
        <w:t>investment</w:t>
      </w:r>
      <w:r w:rsidR="00F22F94">
        <w:rPr>
          <w:spacing w:val="-14"/>
        </w:rPr>
        <w:t xml:space="preserve"> </w:t>
      </w:r>
      <w:r w:rsidR="00F22F94">
        <w:t>will</w:t>
      </w:r>
      <w:r w:rsidR="00F22F94">
        <w:rPr>
          <w:spacing w:val="-14"/>
        </w:rPr>
        <w:t xml:space="preserve"> </w:t>
      </w:r>
      <w:r w:rsidR="00F22F94">
        <w:t>need</w:t>
      </w:r>
      <w:r w:rsidR="00F22F94">
        <w:rPr>
          <w:spacing w:val="-14"/>
        </w:rPr>
        <w:t xml:space="preserve"> </w:t>
      </w:r>
      <w:r w:rsidR="00F22F94">
        <w:t>to start in the 2020s.</w:t>
      </w:r>
    </w:p>
    <w:p w:rsidR="002C1123" w:rsidRDefault="00F22F94">
      <w:pPr>
        <w:pStyle w:val="BodyText"/>
        <w:spacing w:before="148" w:line="249" w:lineRule="auto"/>
        <w:ind w:left="492" w:right="835"/>
      </w:pPr>
      <w:r>
        <w:rPr>
          <w:w w:val="95"/>
        </w:rPr>
        <w:t xml:space="preserve">The Government has announced its expectation that </w:t>
      </w:r>
      <w:r>
        <w:t>Port</w:t>
      </w:r>
      <w:r>
        <w:rPr>
          <w:spacing w:val="-11"/>
        </w:rPr>
        <w:t xml:space="preserve"> </w:t>
      </w:r>
      <w:r>
        <w:t>Kembla</w:t>
      </w:r>
      <w:r>
        <w:rPr>
          <w:spacing w:val="-11"/>
        </w:rPr>
        <w:t xml:space="preserve"> </w:t>
      </w:r>
      <w:r>
        <w:t>will</w:t>
      </w:r>
      <w:r>
        <w:rPr>
          <w:spacing w:val="-11"/>
        </w:rPr>
        <w:t xml:space="preserve"> </w:t>
      </w:r>
      <w:r>
        <w:t>provide</w:t>
      </w:r>
      <w:r>
        <w:rPr>
          <w:spacing w:val="-11"/>
        </w:rPr>
        <w:t xml:space="preserve"> </w:t>
      </w:r>
      <w:r>
        <w:t>the</w:t>
      </w:r>
      <w:r>
        <w:rPr>
          <w:spacing w:val="-11"/>
        </w:rPr>
        <w:t xml:space="preserve"> </w:t>
      </w:r>
      <w:r>
        <w:t>next</w:t>
      </w:r>
      <w:r>
        <w:rPr>
          <w:spacing w:val="-11"/>
        </w:rPr>
        <w:t xml:space="preserve"> </w:t>
      </w:r>
      <w:r>
        <w:t>logical</w:t>
      </w:r>
      <w:r>
        <w:rPr>
          <w:spacing w:val="-11"/>
        </w:rPr>
        <w:t xml:space="preserve"> </w:t>
      </w:r>
      <w:r>
        <w:t>tranche</w:t>
      </w:r>
      <w:r>
        <w:rPr>
          <w:spacing w:val="-11"/>
        </w:rPr>
        <w:t xml:space="preserve"> </w:t>
      </w:r>
      <w:r>
        <w:t>of container</w:t>
      </w:r>
      <w:r>
        <w:rPr>
          <w:spacing w:val="-14"/>
        </w:rPr>
        <w:t xml:space="preserve"> </w:t>
      </w:r>
      <w:r>
        <w:t>capacity,</w:t>
      </w:r>
      <w:r>
        <w:rPr>
          <w:spacing w:val="-14"/>
        </w:rPr>
        <w:t xml:space="preserve"> </w:t>
      </w:r>
      <w:r>
        <w:t>once</w:t>
      </w:r>
      <w:r>
        <w:rPr>
          <w:spacing w:val="-14"/>
        </w:rPr>
        <w:t xml:space="preserve"> </w:t>
      </w:r>
      <w:r>
        <w:t>Port</w:t>
      </w:r>
      <w:r>
        <w:rPr>
          <w:spacing w:val="-14"/>
        </w:rPr>
        <w:t xml:space="preserve"> </w:t>
      </w:r>
      <w:r>
        <w:t>Botany</w:t>
      </w:r>
      <w:r>
        <w:rPr>
          <w:spacing w:val="-14"/>
        </w:rPr>
        <w:t xml:space="preserve"> </w:t>
      </w:r>
      <w:r>
        <w:t>is</w:t>
      </w:r>
      <w:r>
        <w:rPr>
          <w:spacing w:val="-14"/>
        </w:rPr>
        <w:t xml:space="preserve"> </w:t>
      </w:r>
      <w:r>
        <w:t>fully</w:t>
      </w:r>
      <w:r>
        <w:rPr>
          <w:spacing w:val="-14"/>
        </w:rPr>
        <w:t xml:space="preserve"> </w:t>
      </w:r>
      <w:r>
        <w:t xml:space="preserve">utilised. </w:t>
      </w:r>
      <w:r>
        <w:rPr>
          <w:w w:val="95"/>
        </w:rPr>
        <w:t>Significant</w:t>
      </w:r>
      <w:r>
        <w:rPr>
          <w:spacing w:val="-8"/>
          <w:w w:val="95"/>
        </w:rPr>
        <w:t xml:space="preserve"> </w:t>
      </w:r>
      <w:r>
        <w:rPr>
          <w:w w:val="95"/>
        </w:rPr>
        <w:t>investment</w:t>
      </w:r>
      <w:r>
        <w:rPr>
          <w:spacing w:val="-8"/>
          <w:w w:val="95"/>
        </w:rPr>
        <w:t xml:space="preserve"> </w:t>
      </w:r>
      <w:r>
        <w:rPr>
          <w:w w:val="95"/>
        </w:rPr>
        <w:t>in</w:t>
      </w:r>
      <w:r>
        <w:rPr>
          <w:spacing w:val="-8"/>
          <w:w w:val="95"/>
        </w:rPr>
        <w:t xml:space="preserve"> </w:t>
      </w:r>
      <w:r>
        <w:rPr>
          <w:w w:val="95"/>
        </w:rPr>
        <w:t>landside</w:t>
      </w:r>
      <w:r>
        <w:rPr>
          <w:spacing w:val="-8"/>
          <w:w w:val="95"/>
        </w:rPr>
        <w:t xml:space="preserve"> </w:t>
      </w:r>
      <w:r>
        <w:rPr>
          <w:w w:val="95"/>
        </w:rPr>
        <w:t>infrastructure</w:t>
      </w:r>
      <w:r>
        <w:rPr>
          <w:spacing w:val="-8"/>
          <w:w w:val="95"/>
        </w:rPr>
        <w:t xml:space="preserve"> </w:t>
      </w:r>
      <w:r>
        <w:rPr>
          <w:w w:val="95"/>
        </w:rPr>
        <w:t>will</w:t>
      </w:r>
      <w:r>
        <w:rPr>
          <w:spacing w:val="-8"/>
          <w:w w:val="95"/>
        </w:rPr>
        <w:t xml:space="preserve"> </w:t>
      </w:r>
      <w:r>
        <w:rPr>
          <w:w w:val="95"/>
        </w:rPr>
        <w:t xml:space="preserve">be </w:t>
      </w:r>
      <w:r>
        <w:t>required to support Port Kembla.</w:t>
      </w:r>
    </w:p>
    <w:p w:rsidR="002C1123" w:rsidRDefault="002060EF">
      <w:pPr>
        <w:pStyle w:val="BodyText"/>
        <w:spacing w:before="146" w:line="249" w:lineRule="auto"/>
        <w:ind w:left="492" w:right="1104"/>
      </w:pPr>
      <w:r>
        <w:pict>
          <v:shape id="docshape1585" o:spid="_x0000_s3498" type="#_x0000_t202" style="position:absolute;left:0;text-align:left;margin-left:328.7pt;margin-top:27.1pt;width:211.55pt;height:28.5pt;z-index:251523072;mso-position-horizontal-relative:page" filled="f" stroked="f">
            <v:textbox style="layout-flow:vertical;mso-layout-flow-alt:bottom-to-top" inset="0,0,0,0">
              <w:txbxContent>
                <w:p w:rsidR="00F22F94" w:rsidRDefault="00F22F94">
                  <w:pPr>
                    <w:spacing w:before="13" w:line="276" w:lineRule="auto"/>
                    <w:ind w:left="20" w:right="18"/>
                    <w:jc w:val="both"/>
                    <w:rPr>
                      <w:sz w:val="16"/>
                    </w:rPr>
                  </w:pPr>
                  <w:r>
                    <w:rPr>
                      <w:spacing w:val="-6"/>
                      <w:w w:val="85"/>
                      <w:sz w:val="16"/>
                    </w:rPr>
                    <w:t>FY</w:t>
                  </w:r>
                  <w:r>
                    <w:rPr>
                      <w:spacing w:val="-6"/>
                      <w:sz w:val="16"/>
                    </w:rPr>
                    <w:t xml:space="preserve"> </w:t>
                  </w:r>
                  <w:r>
                    <w:rPr>
                      <w:spacing w:val="-6"/>
                      <w:w w:val="85"/>
                      <w:sz w:val="16"/>
                    </w:rPr>
                    <w:t>11/12</w:t>
                  </w:r>
                  <w:r>
                    <w:rPr>
                      <w:sz w:val="16"/>
                    </w:rPr>
                    <w:t xml:space="preserve"> </w:t>
                  </w:r>
                  <w:r>
                    <w:rPr>
                      <w:spacing w:val="-6"/>
                      <w:w w:val="85"/>
                      <w:sz w:val="16"/>
                    </w:rPr>
                    <w:t>FY</w:t>
                  </w:r>
                  <w:r>
                    <w:rPr>
                      <w:spacing w:val="-6"/>
                      <w:sz w:val="16"/>
                    </w:rPr>
                    <w:t xml:space="preserve"> </w:t>
                  </w:r>
                  <w:r>
                    <w:rPr>
                      <w:spacing w:val="-6"/>
                      <w:w w:val="85"/>
                      <w:sz w:val="16"/>
                    </w:rPr>
                    <w:t>12/13</w:t>
                  </w:r>
                  <w:r>
                    <w:rPr>
                      <w:sz w:val="16"/>
                    </w:rPr>
                    <w:t xml:space="preserve"> </w:t>
                  </w:r>
                  <w:r>
                    <w:rPr>
                      <w:spacing w:val="-6"/>
                      <w:w w:val="85"/>
                      <w:sz w:val="16"/>
                    </w:rPr>
                    <w:t>FY</w:t>
                  </w:r>
                  <w:r>
                    <w:rPr>
                      <w:spacing w:val="-6"/>
                      <w:sz w:val="16"/>
                    </w:rPr>
                    <w:t xml:space="preserve"> </w:t>
                  </w:r>
                  <w:r>
                    <w:rPr>
                      <w:spacing w:val="-6"/>
                      <w:w w:val="85"/>
                      <w:sz w:val="16"/>
                    </w:rPr>
                    <w:t>13/14</w:t>
                  </w:r>
                  <w:r>
                    <w:rPr>
                      <w:sz w:val="16"/>
                    </w:rPr>
                    <w:t xml:space="preserve"> </w:t>
                  </w:r>
                  <w:r>
                    <w:rPr>
                      <w:spacing w:val="-6"/>
                      <w:w w:val="85"/>
                      <w:sz w:val="16"/>
                    </w:rPr>
                    <w:t>FY</w:t>
                  </w:r>
                  <w:r>
                    <w:rPr>
                      <w:spacing w:val="-6"/>
                      <w:sz w:val="16"/>
                    </w:rPr>
                    <w:t xml:space="preserve"> </w:t>
                  </w:r>
                  <w:r>
                    <w:rPr>
                      <w:spacing w:val="-6"/>
                      <w:w w:val="85"/>
                      <w:sz w:val="16"/>
                    </w:rPr>
                    <w:t>14/15</w:t>
                  </w:r>
                  <w:r>
                    <w:rPr>
                      <w:sz w:val="16"/>
                    </w:rPr>
                    <w:t xml:space="preserve"> </w:t>
                  </w:r>
                  <w:r>
                    <w:rPr>
                      <w:spacing w:val="-6"/>
                      <w:w w:val="85"/>
                      <w:sz w:val="16"/>
                    </w:rPr>
                    <w:t>FY</w:t>
                  </w:r>
                  <w:r>
                    <w:rPr>
                      <w:spacing w:val="-6"/>
                      <w:sz w:val="16"/>
                    </w:rPr>
                    <w:t xml:space="preserve"> </w:t>
                  </w:r>
                  <w:r>
                    <w:rPr>
                      <w:spacing w:val="-6"/>
                      <w:w w:val="85"/>
                      <w:sz w:val="16"/>
                    </w:rPr>
                    <w:t>15/16</w:t>
                  </w:r>
                  <w:r>
                    <w:rPr>
                      <w:sz w:val="16"/>
                    </w:rPr>
                    <w:t xml:space="preserve"> </w:t>
                  </w:r>
                  <w:r>
                    <w:rPr>
                      <w:spacing w:val="-6"/>
                      <w:w w:val="85"/>
                      <w:sz w:val="16"/>
                    </w:rPr>
                    <w:t>FY</w:t>
                  </w:r>
                  <w:r>
                    <w:rPr>
                      <w:spacing w:val="-6"/>
                      <w:sz w:val="16"/>
                    </w:rPr>
                    <w:t xml:space="preserve"> </w:t>
                  </w:r>
                  <w:r>
                    <w:rPr>
                      <w:spacing w:val="-6"/>
                      <w:w w:val="85"/>
                      <w:sz w:val="16"/>
                    </w:rPr>
                    <w:t>16/17</w:t>
                  </w:r>
                  <w:r>
                    <w:rPr>
                      <w:sz w:val="16"/>
                    </w:rPr>
                    <w:t xml:space="preserve"> </w:t>
                  </w:r>
                  <w:r>
                    <w:rPr>
                      <w:spacing w:val="-6"/>
                      <w:w w:val="85"/>
                      <w:sz w:val="16"/>
                    </w:rPr>
                    <w:t>FY</w:t>
                  </w:r>
                  <w:r>
                    <w:rPr>
                      <w:spacing w:val="-6"/>
                      <w:sz w:val="16"/>
                    </w:rPr>
                    <w:t xml:space="preserve"> </w:t>
                  </w:r>
                  <w:r>
                    <w:rPr>
                      <w:spacing w:val="-6"/>
                      <w:w w:val="85"/>
                      <w:sz w:val="16"/>
                    </w:rPr>
                    <w:t>17/18</w:t>
                  </w:r>
                  <w:r>
                    <w:rPr>
                      <w:sz w:val="16"/>
                    </w:rPr>
                    <w:t xml:space="preserve"> </w:t>
                  </w:r>
                  <w:r>
                    <w:rPr>
                      <w:spacing w:val="-6"/>
                      <w:w w:val="85"/>
                      <w:sz w:val="16"/>
                    </w:rPr>
                    <w:t>FY</w:t>
                  </w:r>
                  <w:r>
                    <w:rPr>
                      <w:spacing w:val="-6"/>
                      <w:sz w:val="16"/>
                    </w:rPr>
                    <w:t xml:space="preserve"> </w:t>
                  </w:r>
                  <w:r>
                    <w:rPr>
                      <w:spacing w:val="-6"/>
                      <w:w w:val="85"/>
                      <w:sz w:val="16"/>
                    </w:rPr>
                    <w:t>18/19</w:t>
                  </w:r>
                  <w:r>
                    <w:rPr>
                      <w:sz w:val="16"/>
                    </w:rPr>
                    <w:t xml:space="preserve"> </w:t>
                  </w:r>
                  <w:r>
                    <w:rPr>
                      <w:spacing w:val="-6"/>
                      <w:w w:val="85"/>
                      <w:sz w:val="16"/>
                    </w:rPr>
                    <w:t>FY</w:t>
                  </w:r>
                  <w:r>
                    <w:rPr>
                      <w:spacing w:val="-6"/>
                      <w:sz w:val="16"/>
                    </w:rPr>
                    <w:t xml:space="preserve"> </w:t>
                  </w:r>
                  <w:r>
                    <w:rPr>
                      <w:spacing w:val="-6"/>
                      <w:w w:val="85"/>
                      <w:sz w:val="16"/>
                    </w:rPr>
                    <w:t>19/20</w:t>
                  </w:r>
                  <w:r>
                    <w:rPr>
                      <w:sz w:val="16"/>
                    </w:rPr>
                    <w:t xml:space="preserve"> </w:t>
                  </w:r>
                  <w:r>
                    <w:rPr>
                      <w:spacing w:val="-6"/>
                      <w:w w:val="85"/>
                      <w:sz w:val="16"/>
                    </w:rPr>
                    <w:t>FY</w:t>
                  </w:r>
                  <w:r>
                    <w:rPr>
                      <w:spacing w:val="-6"/>
                      <w:sz w:val="16"/>
                    </w:rPr>
                    <w:t xml:space="preserve"> </w:t>
                  </w:r>
                  <w:r>
                    <w:rPr>
                      <w:spacing w:val="-6"/>
                      <w:w w:val="85"/>
                      <w:sz w:val="16"/>
                    </w:rPr>
                    <w:t>20/21</w:t>
                  </w:r>
                  <w:r>
                    <w:rPr>
                      <w:sz w:val="16"/>
                    </w:rPr>
                    <w:t xml:space="preserve"> </w:t>
                  </w:r>
                  <w:r>
                    <w:rPr>
                      <w:spacing w:val="-6"/>
                      <w:w w:val="85"/>
                      <w:sz w:val="16"/>
                    </w:rPr>
                    <w:t>FY</w:t>
                  </w:r>
                  <w:r>
                    <w:rPr>
                      <w:spacing w:val="-6"/>
                      <w:sz w:val="16"/>
                    </w:rPr>
                    <w:t xml:space="preserve"> </w:t>
                  </w:r>
                  <w:r>
                    <w:rPr>
                      <w:spacing w:val="-6"/>
                      <w:w w:val="85"/>
                      <w:sz w:val="16"/>
                    </w:rPr>
                    <w:t>21/22</w:t>
                  </w:r>
                  <w:r>
                    <w:rPr>
                      <w:sz w:val="16"/>
                    </w:rPr>
                    <w:t xml:space="preserve"> </w:t>
                  </w:r>
                  <w:r>
                    <w:rPr>
                      <w:spacing w:val="-6"/>
                      <w:w w:val="85"/>
                      <w:sz w:val="16"/>
                    </w:rPr>
                    <w:t>FY</w:t>
                  </w:r>
                  <w:r>
                    <w:rPr>
                      <w:spacing w:val="-6"/>
                      <w:sz w:val="16"/>
                    </w:rPr>
                    <w:t xml:space="preserve"> </w:t>
                  </w:r>
                  <w:r>
                    <w:rPr>
                      <w:spacing w:val="-6"/>
                      <w:w w:val="85"/>
                      <w:sz w:val="16"/>
                    </w:rPr>
                    <w:t>22/23</w:t>
                  </w:r>
                  <w:r>
                    <w:rPr>
                      <w:sz w:val="16"/>
                    </w:rPr>
                    <w:t xml:space="preserve"> </w:t>
                  </w:r>
                  <w:r>
                    <w:rPr>
                      <w:spacing w:val="-6"/>
                      <w:w w:val="85"/>
                      <w:sz w:val="16"/>
                    </w:rPr>
                    <w:t>FY</w:t>
                  </w:r>
                  <w:r>
                    <w:rPr>
                      <w:spacing w:val="-6"/>
                      <w:sz w:val="16"/>
                    </w:rPr>
                    <w:t xml:space="preserve"> </w:t>
                  </w:r>
                  <w:r>
                    <w:rPr>
                      <w:spacing w:val="-6"/>
                      <w:w w:val="85"/>
                      <w:sz w:val="16"/>
                    </w:rPr>
                    <w:t>23/24</w:t>
                  </w:r>
                  <w:r>
                    <w:rPr>
                      <w:sz w:val="16"/>
                    </w:rPr>
                    <w:t xml:space="preserve"> </w:t>
                  </w:r>
                  <w:r>
                    <w:rPr>
                      <w:spacing w:val="-6"/>
                      <w:w w:val="85"/>
                      <w:sz w:val="16"/>
                    </w:rPr>
                    <w:t>FY</w:t>
                  </w:r>
                  <w:r>
                    <w:rPr>
                      <w:spacing w:val="-6"/>
                      <w:sz w:val="16"/>
                    </w:rPr>
                    <w:t xml:space="preserve"> </w:t>
                  </w:r>
                  <w:r>
                    <w:rPr>
                      <w:spacing w:val="-6"/>
                      <w:w w:val="85"/>
                      <w:sz w:val="16"/>
                    </w:rPr>
                    <w:t>24/25</w:t>
                  </w:r>
                  <w:r>
                    <w:rPr>
                      <w:sz w:val="16"/>
                    </w:rPr>
                    <w:t xml:space="preserve"> </w:t>
                  </w:r>
                  <w:r>
                    <w:rPr>
                      <w:spacing w:val="-6"/>
                      <w:w w:val="85"/>
                      <w:sz w:val="16"/>
                    </w:rPr>
                    <w:t>FY</w:t>
                  </w:r>
                  <w:r>
                    <w:rPr>
                      <w:spacing w:val="-6"/>
                      <w:sz w:val="16"/>
                    </w:rPr>
                    <w:t xml:space="preserve"> </w:t>
                  </w:r>
                  <w:r>
                    <w:rPr>
                      <w:spacing w:val="-6"/>
                      <w:w w:val="85"/>
                      <w:sz w:val="16"/>
                    </w:rPr>
                    <w:t>25/26</w:t>
                  </w:r>
                  <w:r>
                    <w:rPr>
                      <w:sz w:val="16"/>
                    </w:rPr>
                    <w:t xml:space="preserve"> </w:t>
                  </w:r>
                  <w:r>
                    <w:rPr>
                      <w:spacing w:val="-6"/>
                      <w:w w:val="85"/>
                      <w:sz w:val="16"/>
                    </w:rPr>
                    <w:t>FY</w:t>
                  </w:r>
                  <w:r>
                    <w:rPr>
                      <w:spacing w:val="-6"/>
                      <w:sz w:val="16"/>
                    </w:rPr>
                    <w:t xml:space="preserve"> </w:t>
                  </w:r>
                  <w:r>
                    <w:rPr>
                      <w:spacing w:val="-6"/>
                      <w:w w:val="85"/>
                      <w:sz w:val="16"/>
                    </w:rPr>
                    <w:t>26/27</w:t>
                  </w:r>
                  <w:r>
                    <w:rPr>
                      <w:sz w:val="16"/>
                    </w:rPr>
                    <w:t xml:space="preserve"> </w:t>
                  </w:r>
                  <w:r>
                    <w:rPr>
                      <w:spacing w:val="-6"/>
                      <w:w w:val="85"/>
                      <w:sz w:val="16"/>
                    </w:rPr>
                    <w:t>FY</w:t>
                  </w:r>
                  <w:r>
                    <w:rPr>
                      <w:spacing w:val="-6"/>
                      <w:sz w:val="16"/>
                    </w:rPr>
                    <w:t xml:space="preserve"> </w:t>
                  </w:r>
                  <w:r>
                    <w:rPr>
                      <w:spacing w:val="-6"/>
                      <w:w w:val="85"/>
                      <w:sz w:val="16"/>
                    </w:rPr>
                    <w:t>27/28</w:t>
                  </w:r>
                  <w:r>
                    <w:rPr>
                      <w:sz w:val="16"/>
                    </w:rPr>
                    <w:t xml:space="preserve"> </w:t>
                  </w:r>
                  <w:r>
                    <w:rPr>
                      <w:spacing w:val="-6"/>
                      <w:w w:val="85"/>
                      <w:sz w:val="16"/>
                    </w:rPr>
                    <w:t>FY</w:t>
                  </w:r>
                  <w:r>
                    <w:rPr>
                      <w:spacing w:val="-6"/>
                      <w:sz w:val="16"/>
                    </w:rPr>
                    <w:t xml:space="preserve"> </w:t>
                  </w:r>
                  <w:r>
                    <w:rPr>
                      <w:spacing w:val="-6"/>
                      <w:w w:val="85"/>
                      <w:sz w:val="16"/>
                    </w:rPr>
                    <w:t>28/29</w:t>
                  </w:r>
                  <w:r>
                    <w:rPr>
                      <w:sz w:val="16"/>
                    </w:rPr>
                    <w:t xml:space="preserve"> </w:t>
                  </w:r>
                  <w:r>
                    <w:rPr>
                      <w:spacing w:val="-6"/>
                      <w:w w:val="85"/>
                      <w:sz w:val="16"/>
                    </w:rPr>
                    <w:t>FY</w:t>
                  </w:r>
                  <w:r>
                    <w:rPr>
                      <w:spacing w:val="-6"/>
                      <w:sz w:val="16"/>
                    </w:rPr>
                    <w:t xml:space="preserve"> </w:t>
                  </w:r>
                  <w:r>
                    <w:rPr>
                      <w:spacing w:val="-6"/>
                      <w:w w:val="85"/>
                      <w:sz w:val="16"/>
                    </w:rPr>
                    <w:t>29/30</w:t>
                  </w:r>
                  <w:r>
                    <w:rPr>
                      <w:sz w:val="16"/>
                    </w:rPr>
                    <w:t xml:space="preserve"> </w:t>
                  </w:r>
                  <w:r>
                    <w:rPr>
                      <w:w w:val="70"/>
                      <w:sz w:val="16"/>
                    </w:rPr>
                    <w:t>FY</w:t>
                  </w:r>
                  <w:r>
                    <w:rPr>
                      <w:spacing w:val="-7"/>
                      <w:w w:val="90"/>
                      <w:sz w:val="16"/>
                    </w:rPr>
                    <w:t xml:space="preserve"> </w:t>
                  </w:r>
                  <w:r>
                    <w:rPr>
                      <w:spacing w:val="-4"/>
                      <w:w w:val="90"/>
                      <w:sz w:val="16"/>
                    </w:rPr>
                    <w:t>30/31</w:t>
                  </w:r>
                </w:p>
              </w:txbxContent>
            </v:textbox>
            <w10:wrap anchorx="page"/>
          </v:shape>
        </w:pict>
      </w:r>
      <w:r w:rsidR="00F22F94">
        <w:t>The</w:t>
      </w:r>
      <w:r w:rsidR="00F22F94">
        <w:rPr>
          <w:spacing w:val="-14"/>
        </w:rPr>
        <w:t xml:space="preserve"> </w:t>
      </w:r>
      <w:r w:rsidR="00F22F94">
        <w:t>vast</w:t>
      </w:r>
      <w:r w:rsidR="00F22F94">
        <w:rPr>
          <w:spacing w:val="-14"/>
        </w:rPr>
        <w:t xml:space="preserve"> </w:t>
      </w:r>
      <w:r w:rsidR="00F22F94">
        <w:t>majority</w:t>
      </w:r>
      <w:r w:rsidR="00F22F94">
        <w:rPr>
          <w:spacing w:val="-14"/>
        </w:rPr>
        <w:t xml:space="preserve"> </w:t>
      </w:r>
      <w:r w:rsidR="00F22F94">
        <w:t>of</w:t>
      </w:r>
      <w:r w:rsidR="00F22F94">
        <w:rPr>
          <w:spacing w:val="-14"/>
        </w:rPr>
        <w:t xml:space="preserve"> </w:t>
      </w:r>
      <w:r w:rsidR="00F22F94">
        <w:t>containers</w:t>
      </w:r>
      <w:r w:rsidR="00F22F94">
        <w:rPr>
          <w:spacing w:val="-14"/>
        </w:rPr>
        <w:t xml:space="preserve"> </w:t>
      </w:r>
      <w:r w:rsidR="00F22F94">
        <w:t>to</w:t>
      </w:r>
      <w:r w:rsidR="00F22F94">
        <w:rPr>
          <w:spacing w:val="-14"/>
        </w:rPr>
        <w:t xml:space="preserve"> </w:t>
      </w:r>
      <w:r w:rsidR="00F22F94">
        <w:t>this</w:t>
      </w:r>
      <w:r w:rsidR="00F22F94">
        <w:rPr>
          <w:spacing w:val="-14"/>
        </w:rPr>
        <w:t xml:space="preserve"> </w:t>
      </w:r>
      <w:r w:rsidR="00F22F94">
        <w:t>facility</w:t>
      </w:r>
      <w:r w:rsidR="00F22F94">
        <w:rPr>
          <w:spacing w:val="-14"/>
        </w:rPr>
        <w:t xml:space="preserve"> </w:t>
      </w:r>
      <w:r w:rsidR="00F22F94">
        <w:t>would be</w:t>
      </w:r>
      <w:r w:rsidR="00F22F94">
        <w:rPr>
          <w:spacing w:val="-14"/>
        </w:rPr>
        <w:t xml:space="preserve"> </w:t>
      </w:r>
      <w:r w:rsidR="00F22F94">
        <w:t>expected</w:t>
      </w:r>
      <w:r w:rsidR="00F22F94">
        <w:rPr>
          <w:spacing w:val="-14"/>
        </w:rPr>
        <w:t xml:space="preserve"> </w:t>
      </w:r>
      <w:r w:rsidR="00F22F94">
        <w:t>to</w:t>
      </w:r>
      <w:r w:rsidR="00F22F94">
        <w:rPr>
          <w:spacing w:val="-14"/>
        </w:rPr>
        <w:t xml:space="preserve"> </w:t>
      </w:r>
      <w:r w:rsidR="00F22F94">
        <w:t>be</w:t>
      </w:r>
      <w:r w:rsidR="00F22F94">
        <w:rPr>
          <w:spacing w:val="-14"/>
        </w:rPr>
        <w:t xml:space="preserve"> </w:t>
      </w:r>
      <w:r w:rsidR="00F22F94">
        <w:t>destined</w:t>
      </w:r>
      <w:r w:rsidR="00F22F94">
        <w:rPr>
          <w:spacing w:val="-14"/>
        </w:rPr>
        <w:t xml:space="preserve"> </w:t>
      </w:r>
      <w:r w:rsidR="00F22F94">
        <w:t>for</w:t>
      </w:r>
      <w:r w:rsidR="00F22F94">
        <w:rPr>
          <w:spacing w:val="-14"/>
        </w:rPr>
        <w:t xml:space="preserve"> </w:t>
      </w:r>
      <w:r w:rsidR="00F22F94">
        <w:t>the</w:t>
      </w:r>
      <w:r w:rsidR="00F22F94">
        <w:rPr>
          <w:spacing w:val="-14"/>
        </w:rPr>
        <w:t xml:space="preserve"> </w:t>
      </w:r>
      <w:r w:rsidR="00F22F94">
        <w:t>Greater</w:t>
      </w:r>
      <w:r w:rsidR="00F22F94">
        <w:rPr>
          <w:spacing w:val="-14"/>
        </w:rPr>
        <w:t xml:space="preserve"> </w:t>
      </w:r>
      <w:r w:rsidR="00F22F94">
        <w:t xml:space="preserve">Sydney </w:t>
      </w:r>
      <w:r w:rsidR="00F22F94">
        <w:rPr>
          <w:w w:val="95"/>
        </w:rPr>
        <w:t>area. The recommended investments set out in this Strategy</w:t>
      </w:r>
      <w:r w:rsidR="00F22F94">
        <w:rPr>
          <w:spacing w:val="-12"/>
          <w:w w:val="95"/>
        </w:rPr>
        <w:t xml:space="preserve"> </w:t>
      </w:r>
      <w:r w:rsidR="00F22F94">
        <w:rPr>
          <w:w w:val="95"/>
        </w:rPr>
        <w:t>in</w:t>
      </w:r>
      <w:r w:rsidR="00F22F94">
        <w:rPr>
          <w:spacing w:val="-11"/>
          <w:w w:val="95"/>
        </w:rPr>
        <w:t xml:space="preserve"> </w:t>
      </w:r>
      <w:r w:rsidR="00F22F94">
        <w:rPr>
          <w:w w:val="95"/>
        </w:rPr>
        <w:t>WestConnex</w:t>
      </w:r>
      <w:r w:rsidR="00F22F94">
        <w:rPr>
          <w:spacing w:val="-11"/>
          <w:w w:val="95"/>
        </w:rPr>
        <w:t xml:space="preserve"> </w:t>
      </w:r>
      <w:r w:rsidR="00F22F94">
        <w:rPr>
          <w:w w:val="95"/>
        </w:rPr>
        <w:t>(over</w:t>
      </w:r>
      <w:r w:rsidR="00F22F94">
        <w:rPr>
          <w:spacing w:val="-11"/>
          <w:w w:val="95"/>
        </w:rPr>
        <w:t xml:space="preserve"> </w:t>
      </w:r>
      <w:r w:rsidR="00F22F94">
        <w:rPr>
          <w:w w:val="95"/>
        </w:rPr>
        <w:t>the</w:t>
      </w:r>
      <w:r w:rsidR="00F22F94">
        <w:rPr>
          <w:spacing w:val="-11"/>
          <w:w w:val="95"/>
        </w:rPr>
        <w:t xml:space="preserve"> </w:t>
      </w:r>
      <w:r w:rsidR="00F22F94">
        <w:rPr>
          <w:w w:val="95"/>
        </w:rPr>
        <w:t>next</w:t>
      </w:r>
      <w:r w:rsidR="00F22F94">
        <w:rPr>
          <w:spacing w:val="-11"/>
          <w:w w:val="95"/>
        </w:rPr>
        <w:t xml:space="preserve"> </w:t>
      </w:r>
      <w:r w:rsidR="00F22F94">
        <w:rPr>
          <w:w w:val="95"/>
        </w:rPr>
        <w:t>10</w:t>
      </w:r>
      <w:r w:rsidR="00F22F94">
        <w:rPr>
          <w:spacing w:val="-11"/>
          <w:w w:val="95"/>
        </w:rPr>
        <w:t xml:space="preserve"> </w:t>
      </w:r>
      <w:r w:rsidR="00F22F94">
        <w:rPr>
          <w:w w:val="95"/>
        </w:rPr>
        <w:t>years)</w:t>
      </w:r>
      <w:r w:rsidR="00F22F94">
        <w:rPr>
          <w:spacing w:val="-11"/>
          <w:w w:val="95"/>
        </w:rPr>
        <w:t xml:space="preserve"> </w:t>
      </w:r>
      <w:r w:rsidR="00F22F94">
        <w:rPr>
          <w:w w:val="95"/>
        </w:rPr>
        <w:t>and</w:t>
      </w:r>
    </w:p>
    <w:p w:rsidR="002C1123" w:rsidRDefault="002060EF">
      <w:pPr>
        <w:pStyle w:val="BodyText"/>
        <w:spacing w:before="3"/>
        <w:ind w:left="492"/>
      </w:pPr>
      <w:r>
        <w:pict>
          <v:line id="_x0000_s3497" style="position:absolute;left:0;text-align:left;z-index:251518976;mso-position-horizontal-relative:page" from="412.45pt,17.45pt" to="429.5pt,17.45pt" strokecolor="#00aeef" strokeweight=".73167mm">
            <w10:wrap anchorx="page"/>
          </v:line>
        </w:pict>
      </w:r>
      <w:r w:rsidR="00F22F94">
        <w:rPr>
          <w:w w:val="95"/>
        </w:rPr>
        <w:t>in</w:t>
      </w:r>
      <w:r w:rsidR="00F22F94">
        <w:rPr>
          <w:spacing w:val="-11"/>
          <w:w w:val="95"/>
        </w:rPr>
        <w:t xml:space="preserve"> </w:t>
      </w:r>
      <w:r w:rsidR="00F22F94">
        <w:rPr>
          <w:w w:val="95"/>
        </w:rPr>
        <w:t>the</w:t>
      </w:r>
      <w:r w:rsidR="00F22F94">
        <w:rPr>
          <w:spacing w:val="-10"/>
          <w:w w:val="95"/>
        </w:rPr>
        <w:t xml:space="preserve"> </w:t>
      </w:r>
      <w:r w:rsidR="00F22F94">
        <w:rPr>
          <w:w w:val="95"/>
        </w:rPr>
        <w:t>F6</w:t>
      </w:r>
      <w:r w:rsidR="00F22F94">
        <w:rPr>
          <w:spacing w:val="-10"/>
          <w:w w:val="95"/>
        </w:rPr>
        <w:t xml:space="preserve"> </w:t>
      </w:r>
      <w:r w:rsidR="00F22F94">
        <w:rPr>
          <w:w w:val="95"/>
        </w:rPr>
        <w:t>Extension</w:t>
      </w:r>
      <w:r w:rsidR="00F22F94">
        <w:rPr>
          <w:spacing w:val="-10"/>
          <w:w w:val="95"/>
        </w:rPr>
        <w:t xml:space="preserve"> </w:t>
      </w:r>
      <w:r w:rsidR="00F22F94">
        <w:rPr>
          <w:w w:val="95"/>
        </w:rPr>
        <w:t>(during</w:t>
      </w:r>
      <w:r w:rsidR="00F22F94">
        <w:rPr>
          <w:spacing w:val="-10"/>
          <w:w w:val="95"/>
        </w:rPr>
        <w:t xml:space="preserve"> </w:t>
      </w:r>
      <w:r w:rsidR="00F22F94">
        <w:rPr>
          <w:w w:val="95"/>
        </w:rPr>
        <w:t>the</w:t>
      </w:r>
      <w:r w:rsidR="00F22F94">
        <w:rPr>
          <w:spacing w:val="-10"/>
          <w:w w:val="95"/>
        </w:rPr>
        <w:t xml:space="preserve"> </w:t>
      </w:r>
      <w:r w:rsidR="00F22F94">
        <w:rPr>
          <w:w w:val="95"/>
        </w:rPr>
        <w:t>2020s),</w:t>
      </w:r>
      <w:r w:rsidR="00F22F94">
        <w:rPr>
          <w:spacing w:val="-10"/>
          <w:w w:val="95"/>
        </w:rPr>
        <w:t xml:space="preserve"> </w:t>
      </w:r>
      <w:r w:rsidR="00F22F94">
        <w:rPr>
          <w:w w:val="95"/>
        </w:rPr>
        <w:t>will</w:t>
      </w:r>
      <w:r w:rsidR="00F22F94">
        <w:rPr>
          <w:spacing w:val="-10"/>
          <w:w w:val="95"/>
        </w:rPr>
        <w:t xml:space="preserve"> </w:t>
      </w:r>
      <w:r w:rsidR="00F22F94">
        <w:rPr>
          <w:w w:val="95"/>
        </w:rPr>
        <w:t>support</w:t>
      </w:r>
      <w:r w:rsidR="00F22F94">
        <w:rPr>
          <w:spacing w:val="-10"/>
          <w:w w:val="95"/>
        </w:rPr>
        <w:t xml:space="preserve"> </w:t>
      </w:r>
      <w:r w:rsidR="00F22F94">
        <w:rPr>
          <w:spacing w:val="-5"/>
          <w:w w:val="95"/>
        </w:rPr>
        <w:t>the</w:t>
      </w:r>
    </w:p>
    <w:p w:rsidR="002C1123" w:rsidRDefault="002C1123">
      <w:pPr>
        <w:sectPr w:rsidR="002C1123">
          <w:type w:val="continuous"/>
          <w:pgSz w:w="16840" w:h="11910" w:orient="landscape"/>
          <w:pgMar w:top="560" w:right="280" w:bottom="280" w:left="500" w:header="0" w:footer="517" w:gutter="0"/>
          <w:cols w:num="3" w:space="720" w:equalWidth="0">
            <w:col w:w="5199" w:space="40"/>
            <w:col w:w="4365" w:space="450"/>
            <w:col w:w="6006"/>
          </w:cols>
        </w:sectPr>
      </w:pPr>
    </w:p>
    <w:p w:rsidR="002C1123" w:rsidRDefault="002060EF">
      <w:pPr>
        <w:spacing w:before="30" w:line="357" w:lineRule="auto"/>
        <w:ind w:left="5965"/>
        <w:rPr>
          <w:sz w:val="16"/>
        </w:rPr>
      </w:pPr>
      <w:r>
        <w:pict>
          <v:line id="_x0000_s3496" style="position:absolute;left:0;text-align:left;z-index:251516928;mso-position-horizontal-relative:page" from="412.45pt,19.55pt" to="429.5pt,19.55pt" strokecolor="#2e3092" strokeweight=".73167mm">
            <w10:wrap anchorx="page"/>
          </v:line>
        </w:pict>
      </w:r>
      <w:r>
        <w:pict>
          <v:line id="_x0000_s3495" style="position:absolute;left:0;text-align:left;z-index:251517952;mso-position-horizontal-relative:page" from="302pt,19.55pt" to="319pt,19.55pt" strokecolor="#f47920" strokeweight=".73167mm">
            <w10:wrap anchorx="page"/>
          </v:line>
        </w:pict>
      </w:r>
      <w:r>
        <w:pict>
          <v:line id="_x0000_s3494" style="position:absolute;left:0;text-align:left;z-index:251520000;mso-position-horizontal-relative:page" from="302pt,5.85pt" to="319pt,5.85pt" strokecolor="#c4df9b" strokeweight="3pt">
            <w10:wrap anchorx="page"/>
          </v:line>
        </w:pict>
      </w:r>
      <w:r w:rsidR="00F22F94">
        <w:rPr>
          <w:w w:val="90"/>
          <w:sz w:val="16"/>
        </w:rPr>
        <w:t>Intermodal</w:t>
      </w:r>
      <w:r w:rsidR="00F22F94">
        <w:rPr>
          <w:spacing w:val="-6"/>
          <w:w w:val="90"/>
          <w:sz w:val="16"/>
        </w:rPr>
        <w:t xml:space="preserve"> </w:t>
      </w:r>
      <w:r w:rsidR="00F22F94">
        <w:rPr>
          <w:w w:val="90"/>
          <w:sz w:val="16"/>
        </w:rPr>
        <w:t>supply</w:t>
      </w:r>
      <w:r w:rsidR="00F22F94">
        <w:rPr>
          <w:sz w:val="16"/>
        </w:rPr>
        <w:t xml:space="preserve"> </w:t>
      </w:r>
      <w:r w:rsidR="00F22F94">
        <w:rPr>
          <w:w w:val="75"/>
          <w:sz w:val="16"/>
        </w:rPr>
        <w:t>Forecast Container Growth</w:t>
      </w:r>
    </w:p>
    <w:p w:rsidR="002C1123" w:rsidRDefault="00F22F94">
      <w:pPr>
        <w:spacing w:before="30" w:line="357" w:lineRule="auto"/>
        <w:ind w:left="664" w:right="-1"/>
        <w:rPr>
          <w:sz w:val="16"/>
        </w:rPr>
      </w:pPr>
      <w:r>
        <w:br w:type="column"/>
      </w:r>
      <w:r>
        <w:rPr>
          <w:spacing w:val="-2"/>
          <w:w w:val="80"/>
          <w:sz w:val="16"/>
        </w:rPr>
        <w:t>28%</w:t>
      </w:r>
      <w:r>
        <w:rPr>
          <w:spacing w:val="-10"/>
          <w:sz w:val="16"/>
        </w:rPr>
        <w:t xml:space="preserve"> </w:t>
      </w:r>
      <w:r>
        <w:rPr>
          <w:spacing w:val="-2"/>
          <w:w w:val="80"/>
          <w:sz w:val="16"/>
        </w:rPr>
        <w:t>Rail</w:t>
      </w:r>
      <w:r>
        <w:rPr>
          <w:spacing w:val="-9"/>
          <w:sz w:val="16"/>
        </w:rPr>
        <w:t xml:space="preserve"> </w:t>
      </w:r>
      <w:r>
        <w:rPr>
          <w:spacing w:val="-2"/>
          <w:w w:val="80"/>
          <w:sz w:val="16"/>
        </w:rPr>
        <w:t>Modal</w:t>
      </w:r>
      <w:r>
        <w:rPr>
          <w:spacing w:val="-9"/>
          <w:sz w:val="16"/>
        </w:rPr>
        <w:t xml:space="preserve"> </w:t>
      </w:r>
      <w:r>
        <w:rPr>
          <w:spacing w:val="-2"/>
          <w:w w:val="80"/>
          <w:sz w:val="16"/>
        </w:rPr>
        <w:t>Share</w:t>
      </w:r>
      <w:r>
        <w:rPr>
          <w:sz w:val="16"/>
        </w:rPr>
        <w:t xml:space="preserve"> </w:t>
      </w:r>
      <w:r>
        <w:rPr>
          <w:w w:val="80"/>
          <w:sz w:val="16"/>
        </w:rPr>
        <w:t>40%</w:t>
      </w:r>
      <w:r>
        <w:rPr>
          <w:spacing w:val="-9"/>
          <w:sz w:val="16"/>
        </w:rPr>
        <w:t xml:space="preserve"> </w:t>
      </w:r>
      <w:r>
        <w:rPr>
          <w:w w:val="80"/>
          <w:sz w:val="16"/>
        </w:rPr>
        <w:t>Rail</w:t>
      </w:r>
      <w:r>
        <w:rPr>
          <w:spacing w:val="-9"/>
          <w:sz w:val="16"/>
        </w:rPr>
        <w:t xml:space="preserve"> </w:t>
      </w:r>
      <w:r>
        <w:rPr>
          <w:w w:val="80"/>
          <w:sz w:val="16"/>
        </w:rPr>
        <w:t>Modal</w:t>
      </w:r>
      <w:r>
        <w:rPr>
          <w:spacing w:val="-9"/>
          <w:sz w:val="16"/>
        </w:rPr>
        <w:t xml:space="preserve"> </w:t>
      </w:r>
      <w:r>
        <w:rPr>
          <w:spacing w:val="-5"/>
          <w:w w:val="80"/>
          <w:sz w:val="16"/>
        </w:rPr>
        <w:t>Share</w:t>
      </w:r>
    </w:p>
    <w:p w:rsidR="002C1123" w:rsidRDefault="00F22F94">
      <w:pPr>
        <w:pStyle w:val="BodyText"/>
        <w:spacing w:before="10" w:line="249" w:lineRule="auto"/>
        <w:ind w:left="1064" w:right="800"/>
      </w:pPr>
      <w:r>
        <w:br w:type="column"/>
      </w:r>
      <w:r>
        <w:rPr>
          <w:w w:val="95"/>
        </w:rPr>
        <w:t>development</w:t>
      </w:r>
      <w:r>
        <w:rPr>
          <w:spacing w:val="-8"/>
          <w:w w:val="95"/>
        </w:rPr>
        <w:t xml:space="preserve"> </w:t>
      </w:r>
      <w:r>
        <w:rPr>
          <w:w w:val="95"/>
        </w:rPr>
        <w:t>of</w:t>
      </w:r>
      <w:r>
        <w:rPr>
          <w:spacing w:val="-8"/>
          <w:w w:val="95"/>
        </w:rPr>
        <w:t xml:space="preserve"> </w:t>
      </w:r>
      <w:r>
        <w:rPr>
          <w:w w:val="95"/>
        </w:rPr>
        <w:t>Port</w:t>
      </w:r>
      <w:r>
        <w:rPr>
          <w:spacing w:val="-8"/>
          <w:w w:val="95"/>
        </w:rPr>
        <w:t xml:space="preserve"> </w:t>
      </w:r>
      <w:r>
        <w:rPr>
          <w:w w:val="95"/>
        </w:rPr>
        <w:t>Kembla.</w:t>
      </w:r>
      <w:r>
        <w:rPr>
          <w:spacing w:val="-8"/>
          <w:w w:val="95"/>
        </w:rPr>
        <w:t xml:space="preserve"> </w:t>
      </w:r>
      <w:r>
        <w:rPr>
          <w:w w:val="95"/>
        </w:rPr>
        <w:t>Potential</w:t>
      </w:r>
      <w:r>
        <w:rPr>
          <w:spacing w:val="-8"/>
          <w:w w:val="95"/>
        </w:rPr>
        <w:t xml:space="preserve"> </w:t>
      </w:r>
      <w:r>
        <w:rPr>
          <w:w w:val="95"/>
        </w:rPr>
        <w:t>rail</w:t>
      </w:r>
      <w:r>
        <w:rPr>
          <w:spacing w:val="-8"/>
          <w:w w:val="95"/>
        </w:rPr>
        <w:t xml:space="preserve"> </w:t>
      </w:r>
      <w:r>
        <w:rPr>
          <w:w w:val="95"/>
        </w:rPr>
        <w:t xml:space="preserve">investments </w:t>
      </w:r>
      <w:r>
        <w:t>to</w:t>
      </w:r>
      <w:r>
        <w:rPr>
          <w:spacing w:val="-9"/>
        </w:rPr>
        <w:t xml:space="preserve"> </w:t>
      </w:r>
      <w:r>
        <w:t>Port</w:t>
      </w:r>
      <w:r>
        <w:rPr>
          <w:spacing w:val="-9"/>
        </w:rPr>
        <w:t xml:space="preserve"> </w:t>
      </w:r>
      <w:r>
        <w:t>Kembla</w:t>
      </w:r>
      <w:r>
        <w:rPr>
          <w:spacing w:val="-9"/>
        </w:rPr>
        <w:t xml:space="preserve"> </w:t>
      </w:r>
      <w:r>
        <w:t>are</w:t>
      </w:r>
      <w:r>
        <w:rPr>
          <w:spacing w:val="-9"/>
        </w:rPr>
        <w:t xml:space="preserve"> </w:t>
      </w:r>
      <w:r>
        <w:t>assessed</w:t>
      </w:r>
      <w:r>
        <w:rPr>
          <w:spacing w:val="-9"/>
        </w:rPr>
        <w:t xml:space="preserve"> </w:t>
      </w:r>
      <w:r>
        <w:t>in</w:t>
      </w:r>
      <w:r>
        <w:rPr>
          <w:spacing w:val="-9"/>
        </w:rPr>
        <w:t xml:space="preserve"> </w:t>
      </w:r>
      <w:r>
        <w:t>Section</w:t>
      </w:r>
      <w:r>
        <w:rPr>
          <w:spacing w:val="-9"/>
        </w:rPr>
        <w:t xml:space="preserve"> </w:t>
      </w:r>
      <w:r>
        <w:t>10.</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7471" w:space="40"/>
            <w:col w:w="1932" w:space="39"/>
            <w:col w:w="6578"/>
          </w:cols>
        </w:sectPr>
      </w:pPr>
    </w:p>
    <w:p w:rsidR="002C1123" w:rsidRDefault="00F22F94">
      <w:pPr>
        <w:spacing w:before="123" w:line="161" w:lineRule="exact"/>
        <w:ind w:left="5545"/>
        <w:rPr>
          <w:sz w:val="14"/>
        </w:rPr>
      </w:pPr>
      <w:r>
        <w:rPr>
          <w:w w:val="95"/>
          <w:sz w:val="14"/>
        </w:rPr>
        <w:t>Source:</w:t>
      </w:r>
      <w:r>
        <w:rPr>
          <w:spacing w:val="5"/>
          <w:sz w:val="14"/>
        </w:rPr>
        <w:t xml:space="preserve"> </w:t>
      </w:r>
      <w:r>
        <w:rPr>
          <w:w w:val="95"/>
          <w:sz w:val="14"/>
        </w:rPr>
        <w:t>Sydney</w:t>
      </w:r>
      <w:r>
        <w:rPr>
          <w:spacing w:val="5"/>
          <w:sz w:val="14"/>
        </w:rPr>
        <w:t xml:space="preserve"> </w:t>
      </w:r>
      <w:r>
        <w:rPr>
          <w:w w:val="95"/>
          <w:sz w:val="14"/>
        </w:rPr>
        <w:t>Ports</w:t>
      </w:r>
      <w:r>
        <w:rPr>
          <w:spacing w:val="6"/>
          <w:sz w:val="14"/>
        </w:rPr>
        <w:t xml:space="preserve"> </w:t>
      </w:r>
      <w:r>
        <w:rPr>
          <w:spacing w:val="-2"/>
          <w:w w:val="95"/>
          <w:sz w:val="14"/>
        </w:rPr>
        <w:t>Corporation.</w:t>
      </w:r>
    </w:p>
    <w:p w:rsidR="002C1123" w:rsidRDefault="00F22F94">
      <w:pPr>
        <w:ind w:left="5623" w:right="6287" w:hanging="78"/>
        <w:rPr>
          <w:sz w:val="14"/>
        </w:rPr>
      </w:pPr>
      <w:r>
        <w:rPr>
          <w:w w:val="95"/>
          <w:sz w:val="14"/>
        </w:rPr>
        <w:t>* Assumes volumes as per Commonwealth Government Moorebank</w:t>
      </w:r>
      <w:r>
        <w:rPr>
          <w:spacing w:val="40"/>
          <w:sz w:val="14"/>
        </w:rPr>
        <w:t xml:space="preserve"> </w:t>
      </w:r>
      <w:r>
        <w:rPr>
          <w:sz w:val="14"/>
        </w:rPr>
        <w:t>IMT Business Case, 2012.</w:t>
      </w:r>
    </w:p>
    <w:p w:rsidR="002C1123" w:rsidRDefault="002C1123">
      <w:pPr>
        <w:rPr>
          <w:sz w:val="14"/>
        </w:rPr>
        <w:sectPr w:rsidR="002C1123">
          <w:type w:val="continuous"/>
          <w:pgSz w:w="16840" w:h="11910" w:orient="landscape"/>
          <w:pgMar w:top="560" w:right="280" w:bottom="280" w:left="500" w:header="0" w:footer="517"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7"/>
        </w:rPr>
      </w:pPr>
    </w:p>
    <w:p w:rsidR="002C1123" w:rsidRDefault="002C1123">
      <w:pPr>
        <w:rPr>
          <w:sz w:val="17"/>
        </w:rPr>
        <w:sectPr w:rsidR="002C1123">
          <w:pgSz w:w="16840" w:h="11910" w:orient="landscape"/>
          <w:pgMar w:top="560" w:right="280" w:bottom="700" w:left="500" w:header="0" w:footer="517" w:gutter="0"/>
          <w:cols w:space="720"/>
        </w:sectPr>
      </w:pPr>
    </w:p>
    <w:p w:rsidR="002C1123" w:rsidRDefault="00F22F94">
      <w:pPr>
        <w:pStyle w:val="Heading5"/>
        <w:numPr>
          <w:ilvl w:val="1"/>
          <w:numId w:val="80"/>
        </w:numPr>
        <w:tabs>
          <w:tab w:val="left" w:pos="942"/>
        </w:tabs>
        <w:jc w:val="left"/>
      </w:pPr>
      <w:bookmarkStart w:id="257" w:name="9.7_A_secondary_airport_for_Sydney"/>
      <w:bookmarkStart w:id="258" w:name="_bookmark183"/>
      <w:bookmarkStart w:id="259" w:name="_bookmark182"/>
      <w:bookmarkEnd w:id="257"/>
      <w:bookmarkEnd w:id="258"/>
      <w:bookmarkEnd w:id="259"/>
      <w:r>
        <w:rPr>
          <w:color w:val="00AEEF"/>
          <w:spacing w:val="-6"/>
        </w:rPr>
        <w:t>A secondary airport</w:t>
      </w:r>
      <w:r>
        <w:rPr>
          <w:color w:val="00AEEF"/>
          <w:spacing w:val="-5"/>
        </w:rPr>
        <w:t xml:space="preserve"> </w:t>
      </w:r>
      <w:r>
        <w:rPr>
          <w:color w:val="00AEEF"/>
          <w:spacing w:val="-6"/>
        </w:rPr>
        <w:t>for Sydney</w:t>
      </w:r>
    </w:p>
    <w:p w:rsidR="002C1123" w:rsidRDefault="00F22F94">
      <w:pPr>
        <w:pStyle w:val="Heading6"/>
        <w:numPr>
          <w:ilvl w:val="2"/>
          <w:numId w:val="80"/>
        </w:numPr>
        <w:tabs>
          <w:tab w:val="left" w:pos="955"/>
        </w:tabs>
        <w:spacing w:before="135"/>
        <w:ind w:hanging="463"/>
        <w:jc w:val="left"/>
      </w:pPr>
      <w:r>
        <w:rPr>
          <w:color w:val="00AEEF"/>
          <w:spacing w:val="-2"/>
          <w:w w:val="95"/>
        </w:rPr>
        <w:t>Considerations</w:t>
      </w:r>
      <w:r>
        <w:rPr>
          <w:color w:val="00AEEF"/>
          <w:spacing w:val="-10"/>
          <w:w w:val="95"/>
        </w:rPr>
        <w:t xml:space="preserve"> </w:t>
      </w:r>
      <w:r>
        <w:rPr>
          <w:color w:val="00AEEF"/>
          <w:spacing w:val="-2"/>
          <w:w w:val="95"/>
        </w:rPr>
        <w:t>for</w:t>
      </w:r>
      <w:r>
        <w:rPr>
          <w:color w:val="00AEEF"/>
          <w:spacing w:val="-9"/>
          <w:w w:val="95"/>
        </w:rPr>
        <w:t xml:space="preserve"> </w:t>
      </w:r>
      <w:r>
        <w:rPr>
          <w:color w:val="00AEEF"/>
          <w:spacing w:val="-2"/>
          <w:w w:val="95"/>
        </w:rPr>
        <w:t>a</w:t>
      </w:r>
      <w:r>
        <w:rPr>
          <w:color w:val="00AEEF"/>
          <w:spacing w:val="-9"/>
          <w:w w:val="95"/>
        </w:rPr>
        <w:t xml:space="preserve"> </w:t>
      </w:r>
      <w:r>
        <w:rPr>
          <w:color w:val="00AEEF"/>
          <w:spacing w:val="-2"/>
          <w:w w:val="95"/>
        </w:rPr>
        <w:t>Secondary</w:t>
      </w:r>
      <w:r>
        <w:rPr>
          <w:color w:val="00AEEF"/>
          <w:spacing w:val="-9"/>
          <w:w w:val="95"/>
        </w:rPr>
        <w:t xml:space="preserve"> </w:t>
      </w:r>
      <w:r>
        <w:rPr>
          <w:color w:val="00AEEF"/>
          <w:spacing w:val="-2"/>
          <w:w w:val="95"/>
        </w:rPr>
        <w:t>Sydney</w:t>
      </w:r>
      <w:r>
        <w:rPr>
          <w:color w:val="00AEEF"/>
          <w:spacing w:val="-9"/>
          <w:w w:val="95"/>
        </w:rPr>
        <w:t xml:space="preserve"> </w:t>
      </w:r>
      <w:r>
        <w:rPr>
          <w:color w:val="00AEEF"/>
          <w:spacing w:val="-2"/>
          <w:w w:val="95"/>
        </w:rPr>
        <w:t>Airport</w:t>
      </w:r>
    </w:p>
    <w:p w:rsidR="002C1123" w:rsidRDefault="00F22F94">
      <w:pPr>
        <w:pStyle w:val="BodyText"/>
        <w:spacing w:before="95" w:line="249" w:lineRule="auto"/>
        <w:ind w:left="492"/>
      </w:pPr>
      <w:r>
        <w:rPr>
          <w:w w:val="95"/>
        </w:rPr>
        <w:t>Whilst public discourse relating to a Secondary Sydney Airport</w:t>
      </w:r>
      <w:r>
        <w:rPr>
          <w:spacing w:val="-8"/>
          <w:w w:val="95"/>
        </w:rPr>
        <w:t xml:space="preserve"> </w:t>
      </w:r>
      <w:r>
        <w:rPr>
          <w:w w:val="95"/>
        </w:rPr>
        <w:t>(SSA)</w:t>
      </w:r>
      <w:r>
        <w:rPr>
          <w:spacing w:val="-8"/>
          <w:w w:val="95"/>
        </w:rPr>
        <w:t xml:space="preserve"> </w:t>
      </w:r>
      <w:r>
        <w:rPr>
          <w:w w:val="95"/>
        </w:rPr>
        <w:t>has</w:t>
      </w:r>
      <w:r>
        <w:rPr>
          <w:spacing w:val="-8"/>
          <w:w w:val="95"/>
        </w:rPr>
        <w:t xml:space="preserve"> </w:t>
      </w:r>
      <w:r>
        <w:rPr>
          <w:w w:val="95"/>
        </w:rPr>
        <w:t>been</w:t>
      </w:r>
      <w:r>
        <w:rPr>
          <w:spacing w:val="-8"/>
          <w:w w:val="95"/>
        </w:rPr>
        <w:t xml:space="preserve"> </w:t>
      </w:r>
      <w:r>
        <w:rPr>
          <w:w w:val="95"/>
        </w:rPr>
        <w:t>ongoing</w:t>
      </w:r>
      <w:r>
        <w:rPr>
          <w:spacing w:val="-8"/>
          <w:w w:val="95"/>
        </w:rPr>
        <w:t xml:space="preserve"> </w:t>
      </w:r>
      <w:r>
        <w:rPr>
          <w:w w:val="95"/>
        </w:rPr>
        <w:t>for</w:t>
      </w:r>
      <w:r>
        <w:rPr>
          <w:spacing w:val="-8"/>
          <w:w w:val="95"/>
        </w:rPr>
        <w:t xml:space="preserve"> </w:t>
      </w:r>
      <w:r>
        <w:rPr>
          <w:w w:val="95"/>
        </w:rPr>
        <w:t>around</w:t>
      </w:r>
      <w:r>
        <w:rPr>
          <w:spacing w:val="-8"/>
          <w:w w:val="95"/>
        </w:rPr>
        <w:t xml:space="preserve"> </w:t>
      </w:r>
      <w:r>
        <w:rPr>
          <w:w w:val="95"/>
        </w:rPr>
        <w:t>30</w:t>
      </w:r>
      <w:r>
        <w:rPr>
          <w:spacing w:val="-8"/>
          <w:w w:val="95"/>
        </w:rPr>
        <w:t xml:space="preserve"> </w:t>
      </w:r>
      <w:r>
        <w:rPr>
          <w:w w:val="95"/>
        </w:rPr>
        <w:t>years,</w:t>
      </w:r>
      <w:r>
        <w:rPr>
          <w:spacing w:val="-8"/>
          <w:w w:val="95"/>
        </w:rPr>
        <w:t xml:space="preserve"> </w:t>
      </w:r>
      <w:r>
        <w:rPr>
          <w:w w:val="95"/>
        </w:rPr>
        <w:t>the fact</w:t>
      </w:r>
      <w:r>
        <w:rPr>
          <w:spacing w:val="-1"/>
          <w:w w:val="95"/>
        </w:rPr>
        <w:t xml:space="preserve"> </w:t>
      </w:r>
      <w:r>
        <w:rPr>
          <w:w w:val="95"/>
        </w:rPr>
        <w:t>that</w:t>
      </w:r>
      <w:r>
        <w:rPr>
          <w:spacing w:val="-1"/>
          <w:w w:val="95"/>
        </w:rPr>
        <w:t xml:space="preserve"> </w:t>
      </w:r>
      <w:r>
        <w:rPr>
          <w:w w:val="95"/>
        </w:rPr>
        <w:t>a</w:t>
      </w:r>
      <w:r>
        <w:rPr>
          <w:spacing w:val="-1"/>
          <w:w w:val="95"/>
        </w:rPr>
        <w:t xml:space="preserve"> </w:t>
      </w:r>
      <w:r>
        <w:rPr>
          <w:w w:val="95"/>
        </w:rPr>
        <w:t>SSA</w:t>
      </w:r>
      <w:r>
        <w:rPr>
          <w:spacing w:val="-1"/>
          <w:w w:val="95"/>
        </w:rPr>
        <w:t xml:space="preserve"> </w:t>
      </w:r>
      <w:r>
        <w:rPr>
          <w:w w:val="95"/>
        </w:rPr>
        <w:t>has</w:t>
      </w:r>
      <w:r>
        <w:rPr>
          <w:spacing w:val="-1"/>
          <w:w w:val="95"/>
        </w:rPr>
        <w:t xml:space="preserve"> </w:t>
      </w:r>
      <w:r>
        <w:rPr>
          <w:w w:val="95"/>
        </w:rPr>
        <w:t>not</w:t>
      </w:r>
      <w:r>
        <w:rPr>
          <w:spacing w:val="-1"/>
          <w:w w:val="95"/>
        </w:rPr>
        <w:t xml:space="preserve"> </w:t>
      </w:r>
      <w:r>
        <w:rPr>
          <w:w w:val="95"/>
        </w:rPr>
        <w:t>been</w:t>
      </w:r>
      <w:r>
        <w:rPr>
          <w:spacing w:val="-1"/>
          <w:w w:val="95"/>
        </w:rPr>
        <w:t xml:space="preserve"> </w:t>
      </w:r>
      <w:r>
        <w:rPr>
          <w:w w:val="95"/>
        </w:rPr>
        <w:t>constructed</w:t>
      </w:r>
      <w:r>
        <w:rPr>
          <w:spacing w:val="-1"/>
          <w:w w:val="95"/>
        </w:rPr>
        <w:t xml:space="preserve"> </w:t>
      </w:r>
      <w:r>
        <w:rPr>
          <w:w w:val="95"/>
        </w:rPr>
        <w:t>is</w:t>
      </w:r>
      <w:r>
        <w:rPr>
          <w:spacing w:val="-1"/>
          <w:w w:val="95"/>
        </w:rPr>
        <w:t xml:space="preserve"> </w:t>
      </w:r>
      <w:r>
        <w:rPr>
          <w:w w:val="95"/>
        </w:rPr>
        <w:t>a</w:t>
      </w:r>
      <w:r>
        <w:rPr>
          <w:spacing w:val="-1"/>
          <w:w w:val="95"/>
        </w:rPr>
        <w:t xml:space="preserve"> </w:t>
      </w:r>
      <w:r>
        <w:rPr>
          <w:w w:val="95"/>
        </w:rPr>
        <w:t>result</w:t>
      </w:r>
      <w:r>
        <w:rPr>
          <w:spacing w:val="-1"/>
          <w:w w:val="95"/>
        </w:rPr>
        <w:t xml:space="preserve"> </w:t>
      </w:r>
      <w:r>
        <w:rPr>
          <w:w w:val="95"/>
        </w:rPr>
        <w:t>of</w:t>
      </w:r>
      <w:r>
        <w:rPr>
          <w:spacing w:val="-1"/>
          <w:w w:val="95"/>
        </w:rPr>
        <w:t xml:space="preserve"> </w:t>
      </w:r>
      <w:r>
        <w:rPr>
          <w:w w:val="95"/>
        </w:rPr>
        <w:t xml:space="preserve">a </w:t>
      </w:r>
      <w:r>
        <w:t>number of factors, including:</w:t>
      </w:r>
    </w:p>
    <w:p w:rsidR="002C1123" w:rsidRDefault="00F22F94">
      <w:pPr>
        <w:pStyle w:val="ListParagraph"/>
        <w:numPr>
          <w:ilvl w:val="3"/>
          <w:numId w:val="80"/>
        </w:numPr>
        <w:tabs>
          <w:tab w:val="left" w:pos="776"/>
        </w:tabs>
        <w:spacing w:before="132" w:line="249" w:lineRule="auto"/>
        <w:ind w:left="775" w:right="95" w:hanging="284"/>
        <w:rPr>
          <w:sz w:val="20"/>
        </w:rPr>
      </w:pPr>
      <w:r>
        <w:rPr>
          <w:w w:val="95"/>
          <w:sz w:val="20"/>
        </w:rPr>
        <w:t>inability</w:t>
      </w:r>
      <w:r>
        <w:rPr>
          <w:spacing w:val="-11"/>
          <w:w w:val="95"/>
          <w:sz w:val="20"/>
        </w:rPr>
        <w:t xml:space="preserve"> </w:t>
      </w:r>
      <w:r>
        <w:rPr>
          <w:w w:val="95"/>
          <w:sz w:val="20"/>
        </w:rPr>
        <w:t>to</w:t>
      </w:r>
      <w:r>
        <w:rPr>
          <w:spacing w:val="-11"/>
          <w:w w:val="95"/>
          <w:sz w:val="20"/>
        </w:rPr>
        <w:t xml:space="preserve"> </w:t>
      </w:r>
      <w:r>
        <w:rPr>
          <w:w w:val="95"/>
          <w:sz w:val="20"/>
        </w:rPr>
        <w:t>establish</w:t>
      </w:r>
      <w:r>
        <w:rPr>
          <w:spacing w:val="-11"/>
          <w:w w:val="95"/>
          <w:sz w:val="20"/>
        </w:rPr>
        <w:t xml:space="preserve"> </w:t>
      </w:r>
      <w:r>
        <w:rPr>
          <w:w w:val="95"/>
          <w:sz w:val="20"/>
        </w:rPr>
        <w:t>a</w:t>
      </w:r>
      <w:r>
        <w:rPr>
          <w:spacing w:val="-11"/>
          <w:w w:val="95"/>
          <w:sz w:val="20"/>
        </w:rPr>
        <w:t xml:space="preserve"> </w:t>
      </w:r>
      <w:r>
        <w:rPr>
          <w:w w:val="95"/>
          <w:sz w:val="20"/>
        </w:rPr>
        <w:t>viable</w:t>
      </w:r>
      <w:r>
        <w:rPr>
          <w:spacing w:val="-11"/>
          <w:w w:val="95"/>
          <w:sz w:val="20"/>
        </w:rPr>
        <w:t xml:space="preserve"> </w:t>
      </w:r>
      <w:r>
        <w:rPr>
          <w:w w:val="95"/>
          <w:sz w:val="20"/>
        </w:rPr>
        <w:t>business</w:t>
      </w:r>
      <w:r>
        <w:rPr>
          <w:spacing w:val="-11"/>
          <w:w w:val="95"/>
          <w:sz w:val="20"/>
        </w:rPr>
        <w:t xml:space="preserve"> </w:t>
      </w:r>
      <w:r>
        <w:rPr>
          <w:w w:val="95"/>
          <w:sz w:val="20"/>
        </w:rPr>
        <w:t>case</w:t>
      </w:r>
      <w:r>
        <w:rPr>
          <w:spacing w:val="-11"/>
          <w:w w:val="95"/>
          <w:sz w:val="20"/>
        </w:rPr>
        <w:t xml:space="preserve"> </w:t>
      </w:r>
      <w:r>
        <w:rPr>
          <w:w w:val="95"/>
          <w:sz w:val="20"/>
        </w:rPr>
        <w:t>for</w:t>
      </w:r>
      <w:r>
        <w:rPr>
          <w:spacing w:val="-11"/>
          <w:w w:val="95"/>
          <w:sz w:val="20"/>
        </w:rPr>
        <w:t xml:space="preserve"> </w:t>
      </w:r>
      <w:r>
        <w:rPr>
          <w:w w:val="95"/>
          <w:sz w:val="20"/>
        </w:rPr>
        <w:t>a</w:t>
      </w:r>
      <w:r>
        <w:rPr>
          <w:spacing w:val="-11"/>
          <w:w w:val="95"/>
          <w:sz w:val="20"/>
        </w:rPr>
        <w:t xml:space="preserve"> </w:t>
      </w:r>
      <w:r>
        <w:rPr>
          <w:w w:val="95"/>
          <w:sz w:val="20"/>
        </w:rPr>
        <w:t xml:space="preserve">SSA </w:t>
      </w:r>
      <w:r>
        <w:rPr>
          <w:sz w:val="20"/>
        </w:rPr>
        <w:t>that replaces Sydney Airport</w:t>
      </w:r>
    </w:p>
    <w:p w:rsidR="002C1123" w:rsidRDefault="00F22F94">
      <w:pPr>
        <w:pStyle w:val="ListParagraph"/>
        <w:numPr>
          <w:ilvl w:val="3"/>
          <w:numId w:val="80"/>
        </w:numPr>
        <w:tabs>
          <w:tab w:val="left" w:pos="776"/>
        </w:tabs>
        <w:spacing w:before="131" w:line="249" w:lineRule="auto"/>
        <w:ind w:left="775" w:right="180" w:hanging="284"/>
        <w:rPr>
          <w:sz w:val="20"/>
        </w:rPr>
      </w:pPr>
      <w:r>
        <w:rPr>
          <w:sz w:val="20"/>
        </w:rPr>
        <w:t>Sydney</w:t>
      </w:r>
      <w:r>
        <w:rPr>
          <w:spacing w:val="-10"/>
          <w:sz w:val="20"/>
        </w:rPr>
        <w:t xml:space="preserve"> </w:t>
      </w:r>
      <w:r>
        <w:rPr>
          <w:sz w:val="20"/>
        </w:rPr>
        <w:t>Airport’s</w:t>
      </w:r>
      <w:r>
        <w:rPr>
          <w:spacing w:val="-10"/>
          <w:sz w:val="20"/>
        </w:rPr>
        <w:t xml:space="preserve"> </w:t>
      </w:r>
      <w:r>
        <w:rPr>
          <w:sz w:val="20"/>
        </w:rPr>
        <w:t>attractive</w:t>
      </w:r>
      <w:r>
        <w:rPr>
          <w:spacing w:val="-10"/>
          <w:sz w:val="20"/>
        </w:rPr>
        <w:t xml:space="preserve"> </w:t>
      </w:r>
      <w:r>
        <w:rPr>
          <w:sz w:val="20"/>
        </w:rPr>
        <w:t>location</w:t>
      </w:r>
      <w:r>
        <w:rPr>
          <w:spacing w:val="-10"/>
          <w:sz w:val="20"/>
        </w:rPr>
        <w:t xml:space="preserve"> </w:t>
      </w:r>
      <w:r>
        <w:rPr>
          <w:sz w:val="20"/>
        </w:rPr>
        <w:t>for</w:t>
      </w:r>
      <w:r>
        <w:rPr>
          <w:spacing w:val="-10"/>
          <w:sz w:val="20"/>
        </w:rPr>
        <w:t xml:space="preserve"> </w:t>
      </w:r>
      <w:r>
        <w:rPr>
          <w:sz w:val="20"/>
        </w:rPr>
        <w:t xml:space="preserve">business, </w:t>
      </w:r>
      <w:r>
        <w:rPr>
          <w:w w:val="95"/>
          <w:sz w:val="20"/>
        </w:rPr>
        <w:t>situated</w:t>
      </w:r>
      <w:r>
        <w:rPr>
          <w:spacing w:val="-5"/>
          <w:w w:val="95"/>
          <w:sz w:val="20"/>
        </w:rPr>
        <w:t xml:space="preserve"> </w:t>
      </w:r>
      <w:r>
        <w:rPr>
          <w:w w:val="95"/>
          <w:sz w:val="20"/>
        </w:rPr>
        <w:t>around</w:t>
      </w:r>
      <w:r>
        <w:rPr>
          <w:spacing w:val="-5"/>
          <w:w w:val="95"/>
          <w:sz w:val="20"/>
        </w:rPr>
        <w:t xml:space="preserve"> </w:t>
      </w:r>
      <w:r>
        <w:rPr>
          <w:w w:val="95"/>
          <w:sz w:val="20"/>
        </w:rPr>
        <w:t>8</w:t>
      </w:r>
      <w:r>
        <w:rPr>
          <w:spacing w:val="-5"/>
          <w:w w:val="95"/>
          <w:sz w:val="20"/>
        </w:rPr>
        <w:t xml:space="preserve"> </w:t>
      </w:r>
      <w:r>
        <w:rPr>
          <w:w w:val="95"/>
          <w:sz w:val="20"/>
        </w:rPr>
        <w:t>kilometres</w:t>
      </w:r>
      <w:r>
        <w:rPr>
          <w:spacing w:val="-5"/>
          <w:w w:val="95"/>
          <w:sz w:val="20"/>
        </w:rPr>
        <w:t xml:space="preserve"> </w:t>
      </w:r>
      <w:r>
        <w:rPr>
          <w:w w:val="95"/>
          <w:sz w:val="20"/>
        </w:rPr>
        <w:t>from</w:t>
      </w:r>
      <w:r>
        <w:rPr>
          <w:spacing w:val="-6"/>
          <w:w w:val="95"/>
          <w:sz w:val="20"/>
        </w:rPr>
        <w:t xml:space="preserve"> </w:t>
      </w:r>
      <w:r>
        <w:rPr>
          <w:w w:val="95"/>
          <w:sz w:val="20"/>
        </w:rPr>
        <w:t>the</w:t>
      </w:r>
      <w:r>
        <w:rPr>
          <w:spacing w:val="-5"/>
          <w:w w:val="95"/>
          <w:sz w:val="20"/>
        </w:rPr>
        <w:t xml:space="preserve"> </w:t>
      </w:r>
      <w:r>
        <w:rPr>
          <w:w w:val="95"/>
          <w:sz w:val="20"/>
        </w:rPr>
        <w:t>Sydney</w:t>
      </w:r>
      <w:r>
        <w:rPr>
          <w:spacing w:val="-5"/>
          <w:w w:val="95"/>
          <w:sz w:val="20"/>
        </w:rPr>
        <w:t xml:space="preserve"> </w:t>
      </w:r>
      <w:r>
        <w:rPr>
          <w:w w:val="95"/>
          <w:sz w:val="20"/>
        </w:rPr>
        <w:t>CBD.</w:t>
      </w:r>
    </w:p>
    <w:p w:rsidR="002C1123" w:rsidRDefault="00F22F94">
      <w:pPr>
        <w:pStyle w:val="BodyText"/>
        <w:spacing w:before="143" w:line="249" w:lineRule="auto"/>
        <w:ind w:left="492" w:right="45"/>
      </w:pPr>
      <w:r>
        <w:t>When</w:t>
      </w:r>
      <w:r>
        <w:rPr>
          <w:spacing w:val="-13"/>
        </w:rPr>
        <w:t xml:space="preserve"> </w:t>
      </w:r>
      <w:r>
        <w:t>determining</w:t>
      </w:r>
      <w:r>
        <w:rPr>
          <w:spacing w:val="-13"/>
        </w:rPr>
        <w:t xml:space="preserve"> </w:t>
      </w:r>
      <w:r>
        <w:t>any</w:t>
      </w:r>
      <w:r>
        <w:rPr>
          <w:spacing w:val="-13"/>
        </w:rPr>
        <w:t xml:space="preserve"> </w:t>
      </w:r>
      <w:r>
        <w:t>future</w:t>
      </w:r>
      <w:r>
        <w:rPr>
          <w:spacing w:val="-13"/>
        </w:rPr>
        <w:t xml:space="preserve"> </w:t>
      </w:r>
      <w:r>
        <w:t>SSA,</w:t>
      </w:r>
      <w:r>
        <w:rPr>
          <w:spacing w:val="-13"/>
        </w:rPr>
        <w:t xml:space="preserve"> </w:t>
      </w:r>
      <w:r>
        <w:t xml:space="preserve">consideration </w:t>
      </w:r>
      <w:r>
        <w:rPr>
          <w:w w:val="95"/>
        </w:rPr>
        <w:t>should</w:t>
      </w:r>
      <w:r>
        <w:rPr>
          <w:spacing w:val="-4"/>
          <w:w w:val="95"/>
        </w:rPr>
        <w:t xml:space="preserve"> </w:t>
      </w:r>
      <w:r>
        <w:rPr>
          <w:w w:val="95"/>
        </w:rPr>
        <w:t>be</w:t>
      </w:r>
      <w:r>
        <w:rPr>
          <w:spacing w:val="-4"/>
          <w:w w:val="95"/>
        </w:rPr>
        <w:t xml:space="preserve"> </w:t>
      </w:r>
      <w:r>
        <w:rPr>
          <w:w w:val="95"/>
        </w:rPr>
        <w:t>given</w:t>
      </w:r>
      <w:r>
        <w:rPr>
          <w:spacing w:val="-4"/>
          <w:w w:val="95"/>
        </w:rPr>
        <w:t xml:space="preserve"> </w:t>
      </w:r>
      <w:r>
        <w:rPr>
          <w:w w:val="95"/>
        </w:rPr>
        <w:t>to</w:t>
      </w:r>
      <w:r>
        <w:rPr>
          <w:spacing w:val="-4"/>
          <w:w w:val="95"/>
        </w:rPr>
        <w:t xml:space="preserve"> </w:t>
      </w:r>
      <w:r>
        <w:rPr>
          <w:w w:val="95"/>
        </w:rPr>
        <w:t>the</w:t>
      </w:r>
      <w:r>
        <w:rPr>
          <w:spacing w:val="-4"/>
          <w:w w:val="95"/>
        </w:rPr>
        <w:t xml:space="preserve"> </w:t>
      </w:r>
      <w:r>
        <w:rPr>
          <w:w w:val="95"/>
        </w:rPr>
        <w:t>increasing</w:t>
      </w:r>
      <w:r>
        <w:rPr>
          <w:spacing w:val="-4"/>
          <w:w w:val="95"/>
        </w:rPr>
        <w:t xml:space="preserve"> </w:t>
      </w:r>
      <w:r>
        <w:rPr>
          <w:w w:val="95"/>
        </w:rPr>
        <w:t>number</w:t>
      </w:r>
      <w:r>
        <w:rPr>
          <w:spacing w:val="-4"/>
          <w:w w:val="95"/>
        </w:rPr>
        <w:t xml:space="preserve"> </w:t>
      </w:r>
      <w:r>
        <w:rPr>
          <w:w w:val="95"/>
        </w:rPr>
        <w:t>of</w:t>
      </w:r>
      <w:r>
        <w:rPr>
          <w:spacing w:val="-4"/>
          <w:w w:val="95"/>
        </w:rPr>
        <w:t xml:space="preserve"> </w:t>
      </w:r>
      <w:r>
        <w:rPr>
          <w:w w:val="95"/>
        </w:rPr>
        <w:t>Low</w:t>
      </w:r>
      <w:r>
        <w:rPr>
          <w:spacing w:val="-4"/>
          <w:w w:val="95"/>
        </w:rPr>
        <w:t xml:space="preserve"> </w:t>
      </w:r>
      <w:r>
        <w:rPr>
          <w:w w:val="95"/>
        </w:rPr>
        <w:t xml:space="preserve">Cost Carriers (LCC), as well as the importance of landside </w:t>
      </w:r>
      <w:r>
        <w:t>transport</w:t>
      </w:r>
      <w:r>
        <w:rPr>
          <w:spacing w:val="-11"/>
        </w:rPr>
        <w:t xml:space="preserve"> </w:t>
      </w:r>
      <w:r>
        <w:t>infrastructure.</w:t>
      </w:r>
    </w:p>
    <w:p w:rsidR="002C1123" w:rsidRDefault="00F22F94">
      <w:pPr>
        <w:pStyle w:val="BodyText"/>
        <w:spacing w:before="145"/>
        <w:ind w:left="492"/>
      </w:pPr>
      <w:r>
        <w:rPr>
          <w:spacing w:val="-2"/>
          <w:w w:val="90"/>
        </w:rPr>
        <w:t>LCC</w:t>
      </w:r>
      <w:r>
        <w:rPr>
          <w:spacing w:val="-5"/>
          <w:w w:val="90"/>
        </w:rPr>
        <w:t xml:space="preserve"> </w:t>
      </w:r>
      <w:r>
        <w:rPr>
          <w:spacing w:val="-2"/>
          <w:w w:val="90"/>
        </w:rPr>
        <w:t>have</w:t>
      </w:r>
      <w:r>
        <w:rPr>
          <w:spacing w:val="-4"/>
          <w:w w:val="90"/>
        </w:rPr>
        <w:t xml:space="preserve"> </w:t>
      </w:r>
      <w:r>
        <w:rPr>
          <w:spacing w:val="-2"/>
          <w:w w:val="90"/>
        </w:rPr>
        <w:t>grown</w:t>
      </w:r>
      <w:r>
        <w:rPr>
          <w:spacing w:val="-4"/>
          <w:w w:val="90"/>
        </w:rPr>
        <w:t xml:space="preserve"> </w:t>
      </w:r>
      <w:r>
        <w:rPr>
          <w:spacing w:val="-2"/>
          <w:w w:val="90"/>
        </w:rPr>
        <w:t>significantly,</w:t>
      </w:r>
      <w:r>
        <w:rPr>
          <w:spacing w:val="-4"/>
          <w:w w:val="90"/>
        </w:rPr>
        <w:t xml:space="preserve"> </w:t>
      </w:r>
      <w:r>
        <w:rPr>
          <w:spacing w:val="-2"/>
          <w:w w:val="90"/>
        </w:rPr>
        <w:t>accounting</w:t>
      </w:r>
      <w:r>
        <w:rPr>
          <w:spacing w:val="-4"/>
          <w:w w:val="90"/>
        </w:rPr>
        <w:t xml:space="preserve"> </w:t>
      </w:r>
      <w:r>
        <w:rPr>
          <w:spacing w:val="-2"/>
          <w:w w:val="90"/>
        </w:rPr>
        <w:t>for</w:t>
      </w:r>
      <w:r>
        <w:rPr>
          <w:spacing w:val="-4"/>
          <w:w w:val="90"/>
        </w:rPr>
        <w:t xml:space="preserve"> </w:t>
      </w:r>
      <w:r>
        <w:rPr>
          <w:spacing w:val="-2"/>
          <w:w w:val="90"/>
        </w:rPr>
        <w:t>nearly</w:t>
      </w:r>
    </w:p>
    <w:p w:rsidR="002C1123" w:rsidRDefault="00F22F94">
      <w:pPr>
        <w:pStyle w:val="BodyText"/>
        <w:spacing w:before="10"/>
        <w:ind w:left="492"/>
      </w:pPr>
      <w:r>
        <w:rPr>
          <w:w w:val="90"/>
        </w:rPr>
        <w:t>35</w:t>
      </w:r>
      <w:r>
        <w:rPr>
          <w:spacing w:val="-8"/>
          <w:w w:val="90"/>
        </w:rPr>
        <w:t xml:space="preserve"> </w:t>
      </w:r>
      <w:r>
        <w:rPr>
          <w:w w:val="90"/>
        </w:rPr>
        <w:t>percent</w:t>
      </w:r>
      <w:r>
        <w:rPr>
          <w:spacing w:val="-8"/>
          <w:w w:val="90"/>
        </w:rPr>
        <w:t xml:space="preserve"> </w:t>
      </w:r>
      <w:r>
        <w:rPr>
          <w:w w:val="90"/>
        </w:rPr>
        <w:t>of</w:t>
      </w:r>
      <w:r>
        <w:rPr>
          <w:spacing w:val="-8"/>
          <w:w w:val="90"/>
        </w:rPr>
        <w:t xml:space="preserve"> </w:t>
      </w:r>
      <w:r>
        <w:rPr>
          <w:w w:val="90"/>
        </w:rPr>
        <w:t>scheduled</w:t>
      </w:r>
      <w:r>
        <w:rPr>
          <w:spacing w:val="-8"/>
          <w:w w:val="90"/>
        </w:rPr>
        <w:t xml:space="preserve"> </w:t>
      </w:r>
      <w:r>
        <w:rPr>
          <w:w w:val="90"/>
        </w:rPr>
        <w:t>seat</w:t>
      </w:r>
      <w:r>
        <w:rPr>
          <w:spacing w:val="-8"/>
          <w:w w:val="90"/>
        </w:rPr>
        <w:t xml:space="preserve"> </w:t>
      </w:r>
      <w:r>
        <w:rPr>
          <w:w w:val="90"/>
        </w:rPr>
        <w:t>capacity</w:t>
      </w:r>
      <w:r>
        <w:rPr>
          <w:spacing w:val="-8"/>
          <w:w w:val="90"/>
        </w:rPr>
        <w:t xml:space="preserve"> </w:t>
      </w:r>
      <w:r>
        <w:rPr>
          <w:w w:val="90"/>
        </w:rPr>
        <w:t>in</w:t>
      </w:r>
      <w:r>
        <w:rPr>
          <w:spacing w:val="-8"/>
          <w:w w:val="90"/>
        </w:rPr>
        <w:t xml:space="preserve"> </w:t>
      </w:r>
      <w:r>
        <w:rPr>
          <w:w w:val="90"/>
        </w:rPr>
        <w:t>2010</w:t>
      </w:r>
      <w:r>
        <w:rPr>
          <w:spacing w:val="-8"/>
          <w:w w:val="90"/>
        </w:rPr>
        <w:t xml:space="preserve"> </w:t>
      </w:r>
      <w:r>
        <w:rPr>
          <w:w w:val="90"/>
        </w:rPr>
        <w:t>up</w:t>
      </w:r>
      <w:r>
        <w:rPr>
          <w:spacing w:val="-8"/>
          <w:w w:val="90"/>
        </w:rPr>
        <w:t xml:space="preserve"> </w:t>
      </w:r>
      <w:r>
        <w:rPr>
          <w:spacing w:val="-4"/>
          <w:w w:val="90"/>
        </w:rPr>
        <w:t>from</w:t>
      </w:r>
    </w:p>
    <w:p w:rsidR="002C1123" w:rsidRDefault="00F22F94">
      <w:pPr>
        <w:pStyle w:val="BodyText"/>
        <w:spacing w:before="10" w:line="249" w:lineRule="auto"/>
        <w:ind w:left="492" w:right="45" w:hanging="1"/>
      </w:pPr>
      <w:r>
        <w:rPr>
          <w:w w:val="90"/>
        </w:rPr>
        <w:t>24</w:t>
      </w:r>
      <w:r>
        <w:rPr>
          <w:spacing w:val="-13"/>
          <w:w w:val="90"/>
        </w:rPr>
        <w:t xml:space="preserve"> </w:t>
      </w:r>
      <w:r>
        <w:rPr>
          <w:w w:val="90"/>
        </w:rPr>
        <w:t>percent</w:t>
      </w:r>
      <w:r>
        <w:rPr>
          <w:spacing w:val="-12"/>
          <w:w w:val="90"/>
        </w:rPr>
        <w:t xml:space="preserve"> </w:t>
      </w:r>
      <w:r>
        <w:rPr>
          <w:w w:val="90"/>
        </w:rPr>
        <w:t>in</w:t>
      </w:r>
      <w:r>
        <w:rPr>
          <w:spacing w:val="-13"/>
          <w:w w:val="90"/>
        </w:rPr>
        <w:t xml:space="preserve"> </w:t>
      </w:r>
      <w:r>
        <w:rPr>
          <w:w w:val="90"/>
        </w:rPr>
        <w:t>2004</w:t>
      </w:r>
      <w:r>
        <w:rPr>
          <w:w w:val="90"/>
          <w:position w:val="7"/>
          <w:sz w:val="11"/>
        </w:rPr>
        <w:t>25</w:t>
      </w:r>
      <w:r>
        <w:rPr>
          <w:spacing w:val="-1"/>
          <w:position w:val="7"/>
          <w:sz w:val="11"/>
        </w:rPr>
        <w:t xml:space="preserve"> </w:t>
      </w:r>
      <w:r>
        <w:rPr>
          <w:w w:val="90"/>
        </w:rPr>
        <w:t>(refer</w:t>
      </w:r>
      <w:r>
        <w:rPr>
          <w:spacing w:val="-12"/>
          <w:w w:val="90"/>
        </w:rPr>
        <w:t xml:space="preserve"> </w:t>
      </w:r>
      <w:r>
        <w:rPr>
          <w:w w:val="90"/>
        </w:rPr>
        <w:t>figure</w:t>
      </w:r>
      <w:r>
        <w:rPr>
          <w:spacing w:val="-13"/>
          <w:w w:val="90"/>
        </w:rPr>
        <w:t xml:space="preserve"> </w:t>
      </w:r>
      <w:r>
        <w:rPr>
          <w:w w:val="90"/>
        </w:rPr>
        <w:t>9.4).</w:t>
      </w:r>
      <w:r>
        <w:rPr>
          <w:spacing w:val="-12"/>
          <w:w w:val="90"/>
        </w:rPr>
        <w:t xml:space="preserve"> </w:t>
      </w:r>
      <w:r>
        <w:rPr>
          <w:w w:val="90"/>
        </w:rPr>
        <w:t>LCC</w:t>
      </w:r>
      <w:r>
        <w:rPr>
          <w:spacing w:val="-13"/>
          <w:w w:val="90"/>
        </w:rPr>
        <w:t xml:space="preserve"> </w:t>
      </w:r>
      <w:r>
        <w:rPr>
          <w:w w:val="90"/>
        </w:rPr>
        <w:t>passengers</w:t>
      </w:r>
      <w:r>
        <w:rPr>
          <w:spacing w:val="-12"/>
          <w:w w:val="90"/>
        </w:rPr>
        <w:t xml:space="preserve"> </w:t>
      </w:r>
      <w:r>
        <w:rPr>
          <w:w w:val="90"/>
        </w:rPr>
        <w:t>tend to</w:t>
      </w:r>
      <w:r>
        <w:rPr>
          <w:spacing w:val="-2"/>
          <w:w w:val="90"/>
        </w:rPr>
        <w:t xml:space="preserve"> </w:t>
      </w:r>
      <w:r>
        <w:rPr>
          <w:w w:val="90"/>
        </w:rPr>
        <w:t>be</w:t>
      </w:r>
      <w:r>
        <w:rPr>
          <w:spacing w:val="-2"/>
          <w:w w:val="90"/>
        </w:rPr>
        <w:t xml:space="preserve"> </w:t>
      </w:r>
      <w:r>
        <w:rPr>
          <w:w w:val="90"/>
        </w:rPr>
        <w:t>more</w:t>
      </w:r>
      <w:r>
        <w:rPr>
          <w:spacing w:val="-2"/>
          <w:w w:val="90"/>
        </w:rPr>
        <w:t xml:space="preserve"> </w:t>
      </w:r>
      <w:r>
        <w:rPr>
          <w:w w:val="90"/>
        </w:rPr>
        <w:t>sensitive</w:t>
      </w:r>
      <w:r>
        <w:rPr>
          <w:spacing w:val="-2"/>
          <w:w w:val="90"/>
        </w:rPr>
        <w:t xml:space="preserve"> </w:t>
      </w:r>
      <w:r>
        <w:rPr>
          <w:w w:val="90"/>
        </w:rPr>
        <w:t>to</w:t>
      </w:r>
      <w:r>
        <w:rPr>
          <w:spacing w:val="-2"/>
          <w:w w:val="90"/>
        </w:rPr>
        <w:t xml:space="preserve"> </w:t>
      </w:r>
      <w:r>
        <w:rPr>
          <w:w w:val="90"/>
        </w:rPr>
        <w:t>pricing</w:t>
      </w:r>
      <w:r>
        <w:rPr>
          <w:spacing w:val="-2"/>
          <w:w w:val="90"/>
        </w:rPr>
        <w:t xml:space="preserve"> </w:t>
      </w:r>
      <w:r>
        <w:rPr>
          <w:w w:val="90"/>
        </w:rPr>
        <w:t>than</w:t>
      </w:r>
      <w:r>
        <w:rPr>
          <w:spacing w:val="-2"/>
          <w:w w:val="90"/>
        </w:rPr>
        <w:t xml:space="preserve"> </w:t>
      </w:r>
      <w:r>
        <w:rPr>
          <w:w w:val="90"/>
        </w:rPr>
        <w:t>full</w:t>
      </w:r>
      <w:r>
        <w:rPr>
          <w:spacing w:val="-2"/>
          <w:w w:val="90"/>
        </w:rPr>
        <w:t xml:space="preserve"> </w:t>
      </w:r>
      <w:r>
        <w:rPr>
          <w:w w:val="90"/>
        </w:rPr>
        <w:t>service</w:t>
      </w:r>
      <w:r>
        <w:rPr>
          <w:spacing w:val="-2"/>
          <w:w w:val="90"/>
        </w:rPr>
        <w:t xml:space="preserve"> </w:t>
      </w:r>
      <w:r>
        <w:rPr>
          <w:w w:val="90"/>
        </w:rPr>
        <w:t xml:space="preserve">passengers </w:t>
      </w:r>
      <w:r>
        <w:rPr>
          <w:w w:val="95"/>
        </w:rPr>
        <w:t>with</w:t>
      </w:r>
      <w:r>
        <w:rPr>
          <w:spacing w:val="-16"/>
          <w:w w:val="95"/>
        </w:rPr>
        <w:t xml:space="preserve"> </w:t>
      </w:r>
      <w:r>
        <w:rPr>
          <w:w w:val="95"/>
        </w:rPr>
        <w:t>a</w:t>
      </w:r>
      <w:r>
        <w:rPr>
          <w:spacing w:val="-15"/>
          <w:w w:val="95"/>
        </w:rPr>
        <w:t xml:space="preserve"> </w:t>
      </w:r>
      <w:r>
        <w:rPr>
          <w:w w:val="95"/>
        </w:rPr>
        <w:t>relatively</w:t>
      </w:r>
      <w:r>
        <w:rPr>
          <w:spacing w:val="-15"/>
          <w:w w:val="95"/>
        </w:rPr>
        <w:t xml:space="preserve"> </w:t>
      </w:r>
      <w:r>
        <w:rPr>
          <w:w w:val="95"/>
        </w:rPr>
        <w:t>lower</w:t>
      </w:r>
      <w:r>
        <w:rPr>
          <w:spacing w:val="-15"/>
          <w:w w:val="95"/>
        </w:rPr>
        <w:t xml:space="preserve"> </w:t>
      </w:r>
      <w:r>
        <w:rPr>
          <w:w w:val="95"/>
        </w:rPr>
        <w:t>time</w:t>
      </w:r>
      <w:r>
        <w:rPr>
          <w:spacing w:val="-16"/>
          <w:w w:val="95"/>
        </w:rPr>
        <w:t xml:space="preserve"> </w:t>
      </w:r>
      <w:r>
        <w:rPr>
          <w:w w:val="95"/>
        </w:rPr>
        <w:t>opportunity</w:t>
      </w:r>
      <w:r>
        <w:rPr>
          <w:spacing w:val="-15"/>
          <w:w w:val="95"/>
        </w:rPr>
        <w:t xml:space="preserve"> </w:t>
      </w:r>
      <w:r>
        <w:rPr>
          <w:w w:val="95"/>
        </w:rPr>
        <w:t>cost.</w:t>
      </w:r>
      <w:r>
        <w:rPr>
          <w:spacing w:val="-15"/>
          <w:w w:val="95"/>
        </w:rPr>
        <w:t xml:space="preserve"> </w:t>
      </w:r>
      <w:r>
        <w:rPr>
          <w:w w:val="95"/>
        </w:rPr>
        <w:t xml:space="preserve">LCC </w:t>
      </w:r>
      <w:r>
        <w:rPr>
          <w:w w:val="90"/>
        </w:rPr>
        <w:t>passengers</w:t>
      </w:r>
      <w:r>
        <w:rPr>
          <w:spacing w:val="-6"/>
          <w:w w:val="90"/>
        </w:rPr>
        <w:t xml:space="preserve"> </w:t>
      </w:r>
      <w:r>
        <w:rPr>
          <w:w w:val="90"/>
        </w:rPr>
        <w:t>tend</w:t>
      </w:r>
      <w:r>
        <w:rPr>
          <w:spacing w:val="-6"/>
          <w:w w:val="90"/>
        </w:rPr>
        <w:t xml:space="preserve"> </w:t>
      </w:r>
      <w:r>
        <w:rPr>
          <w:w w:val="90"/>
        </w:rPr>
        <w:t>to</w:t>
      </w:r>
      <w:r>
        <w:rPr>
          <w:spacing w:val="-6"/>
          <w:w w:val="90"/>
        </w:rPr>
        <w:t xml:space="preserve"> </w:t>
      </w:r>
      <w:r>
        <w:rPr>
          <w:w w:val="90"/>
        </w:rPr>
        <w:t>be</w:t>
      </w:r>
      <w:r>
        <w:rPr>
          <w:spacing w:val="-6"/>
          <w:w w:val="90"/>
        </w:rPr>
        <w:t xml:space="preserve"> </w:t>
      </w:r>
      <w:r>
        <w:rPr>
          <w:w w:val="90"/>
        </w:rPr>
        <w:t>more</w:t>
      </w:r>
      <w:r>
        <w:rPr>
          <w:spacing w:val="-6"/>
          <w:w w:val="90"/>
        </w:rPr>
        <w:t xml:space="preserve"> </w:t>
      </w:r>
      <w:r>
        <w:rPr>
          <w:w w:val="90"/>
        </w:rPr>
        <w:t>flexible</w:t>
      </w:r>
      <w:r>
        <w:rPr>
          <w:spacing w:val="-6"/>
          <w:w w:val="90"/>
        </w:rPr>
        <w:t xml:space="preserve"> </w:t>
      </w:r>
      <w:r>
        <w:rPr>
          <w:w w:val="90"/>
        </w:rPr>
        <w:t>in</w:t>
      </w:r>
      <w:r>
        <w:rPr>
          <w:spacing w:val="-6"/>
          <w:w w:val="90"/>
        </w:rPr>
        <w:t xml:space="preserve"> </w:t>
      </w:r>
      <w:r>
        <w:rPr>
          <w:w w:val="90"/>
        </w:rPr>
        <w:t>terms</w:t>
      </w:r>
      <w:r>
        <w:rPr>
          <w:spacing w:val="-6"/>
          <w:w w:val="90"/>
        </w:rPr>
        <w:t xml:space="preserve"> </w:t>
      </w:r>
      <w:r>
        <w:rPr>
          <w:w w:val="90"/>
        </w:rPr>
        <w:t>of</w:t>
      </w:r>
      <w:r>
        <w:rPr>
          <w:spacing w:val="-6"/>
          <w:w w:val="90"/>
        </w:rPr>
        <w:t xml:space="preserve"> </w:t>
      </w:r>
      <w:r>
        <w:rPr>
          <w:w w:val="90"/>
        </w:rPr>
        <w:t>travel</w:t>
      </w:r>
      <w:r>
        <w:rPr>
          <w:spacing w:val="-6"/>
          <w:w w:val="90"/>
        </w:rPr>
        <w:t xml:space="preserve"> </w:t>
      </w:r>
      <w:r>
        <w:rPr>
          <w:w w:val="90"/>
        </w:rPr>
        <w:t>times and</w:t>
      </w:r>
      <w:r>
        <w:rPr>
          <w:spacing w:val="-11"/>
          <w:w w:val="90"/>
        </w:rPr>
        <w:t xml:space="preserve"> </w:t>
      </w:r>
      <w:r>
        <w:rPr>
          <w:w w:val="90"/>
        </w:rPr>
        <w:t>dates,</w:t>
      </w:r>
      <w:r>
        <w:rPr>
          <w:spacing w:val="-11"/>
          <w:w w:val="90"/>
        </w:rPr>
        <w:t xml:space="preserve"> </w:t>
      </w:r>
      <w:r>
        <w:rPr>
          <w:w w:val="90"/>
        </w:rPr>
        <w:t>and</w:t>
      </w:r>
      <w:r>
        <w:rPr>
          <w:spacing w:val="-11"/>
          <w:w w:val="90"/>
        </w:rPr>
        <w:t xml:space="preserve"> </w:t>
      </w:r>
      <w:r>
        <w:rPr>
          <w:w w:val="90"/>
        </w:rPr>
        <w:t>more</w:t>
      </w:r>
      <w:r>
        <w:rPr>
          <w:spacing w:val="-11"/>
          <w:w w:val="90"/>
        </w:rPr>
        <w:t xml:space="preserve"> </w:t>
      </w:r>
      <w:r>
        <w:rPr>
          <w:w w:val="90"/>
        </w:rPr>
        <w:t>amenable</w:t>
      </w:r>
      <w:r>
        <w:rPr>
          <w:spacing w:val="-11"/>
          <w:w w:val="90"/>
        </w:rPr>
        <w:t xml:space="preserve"> </w:t>
      </w:r>
      <w:r>
        <w:rPr>
          <w:w w:val="90"/>
        </w:rPr>
        <w:t>to</w:t>
      </w:r>
      <w:r>
        <w:rPr>
          <w:spacing w:val="-11"/>
          <w:w w:val="90"/>
        </w:rPr>
        <w:t xml:space="preserve"> </w:t>
      </w:r>
      <w:r>
        <w:rPr>
          <w:w w:val="90"/>
        </w:rPr>
        <w:t>longer</w:t>
      </w:r>
      <w:r>
        <w:rPr>
          <w:spacing w:val="-11"/>
          <w:w w:val="90"/>
        </w:rPr>
        <w:t xml:space="preserve"> </w:t>
      </w:r>
      <w:r>
        <w:rPr>
          <w:w w:val="90"/>
        </w:rPr>
        <w:t>travel</w:t>
      </w:r>
      <w:r>
        <w:rPr>
          <w:spacing w:val="-11"/>
          <w:w w:val="90"/>
        </w:rPr>
        <w:t xml:space="preserve"> </w:t>
      </w:r>
      <w:r>
        <w:rPr>
          <w:w w:val="90"/>
        </w:rPr>
        <w:t>times</w:t>
      </w:r>
      <w:r>
        <w:rPr>
          <w:spacing w:val="-11"/>
          <w:w w:val="90"/>
        </w:rPr>
        <w:t xml:space="preserve"> </w:t>
      </w:r>
      <w:r>
        <w:rPr>
          <w:w w:val="90"/>
        </w:rPr>
        <w:t>to</w:t>
      </w:r>
      <w:r>
        <w:rPr>
          <w:spacing w:val="-11"/>
          <w:w w:val="90"/>
        </w:rPr>
        <w:t xml:space="preserve"> </w:t>
      </w:r>
      <w:r>
        <w:rPr>
          <w:w w:val="90"/>
        </w:rPr>
        <w:t xml:space="preserve">and </w:t>
      </w:r>
      <w:r>
        <w:rPr>
          <w:w w:val="95"/>
        </w:rPr>
        <w:t>from</w:t>
      </w:r>
      <w:r>
        <w:rPr>
          <w:spacing w:val="-12"/>
          <w:w w:val="95"/>
        </w:rPr>
        <w:t xml:space="preserve"> </w:t>
      </w:r>
      <w:r>
        <w:rPr>
          <w:w w:val="95"/>
        </w:rPr>
        <w:t>airport</w:t>
      </w:r>
      <w:r>
        <w:rPr>
          <w:spacing w:val="-12"/>
          <w:w w:val="95"/>
        </w:rPr>
        <w:t xml:space="preserve"> </w:t>
      </w:r>
      <w:r>
        <w:rPr>
          <w:w w:val="95"/>
        </w:rPr>
        <w:t>in</w:t>
      </w:r>
      <w:r>
        <w:rPr>
          <w:spacing w:val="-12"/>
          <w:w w:val="95"/>
        </w:rPr>
        <w:t xml:space="preserve"> </w:t>
      </w:r>
      <w:r>
        <w:rPr>
          <w:w w:val="95"/>
        </w:rPr>
        <w:t>return</w:t>
      </w:r>
      <w:r>
        <w:rPr>
          <w:spacing w:val="-12"/>
          <w:w w:val="95"/>
        </w:rPr>
        <w:t xml:space="preserve"> </w:t>
      </w:r>
      <w:r>
        <w:rPr>
          <w:w w:val="95"/>
        </w:rPr>
        <w:t>for</w:t>
      </w:r>
      <w:r>
        <w:rPr>
          <w:spacing w:val="-12"/>
          <w:w w:val="95"/>
        </w:rPr>
        <w:t xml:space="preserve"> </w:t>
      </w:r>
      <w:r>
        <w:rPr>
          <w:w w:val="95"/>
        </w:rPr>
        <w:t>cheaper</w:t>
      </w:r>
      <w:r>
        <w:rPr>
          <w:spacing w:val="-12"/>
          <w:w w:val="95"/>
        </w:rPr>
        <w:t xml:space="preserve"> </w:t>
      </w:r>
      <w:r>
        <w:rPr>
          <w:w w:val="95"/>
        </w:rPr>
        <w:t>fares.</w:t>
      </w:r>
    </w:p>
    <w:p w:rsidR="002C1123" w:rsidRDefault="00F22F94">
      <w:pPr>
        <w:pStyle w:val="BodyText"/>
        <w:spacing w:before="146" w:line="249" w:lineRule="auto"/>
        <w:ind w:left="492"/>
      </w:pPr>
      <w:r>
        <w:rPr>
          <w:w w:val="95"/>
        </w:rPr>
        <w:t>In</w:t>
      </w:r>
      <w:r>
        <w:rPr>
          <w:spacing w:val="-10"/>
          <w:w w:val="95"/>
        </w:rPr>
        <w:t xml:space="preserve"> </w:t>
      </w:r>
      <w:r>
        <w:rPr>
          <w:w w:val="95"/>
        </w:rPr>
        <w:t>various</w:t>
      </w:r>
      <w:r>
        <w:rPr>
          <w:spacing w:val="-10"/>
          <w:w w:val="95"/>
        </w:rPr>
        <w:t xml:space="preserve"> </w:t>
      </w:r>
      <w:r>
        <w:rPr>
          <w:w w:val="95"/>
        </w:rPr>
        <w:t>international</w:t>
      </w:r>
      <w:r>
        <w:rPr>
          <w:spacing w:val="-10"/>
          <w:w w:val="95"/>
        </w:rPr>
        <w:t xml:space="preserve"> </w:t>
      </w:r>
      <w:r>
        <w:rPr>
          <w:w w:val="95"/>
        </w:rPr>
        <w:t>cities</w:t>
      </w:r>
      <w:r>
        <w:rPr>
          <w:spacing w:val="-10"/>
          <w:w w:val="95"/>
        </w:rPr>
        <w:t xml:space="preserve"> </w:t>
      </w:r>
      <w:r>
        <w:rPr>
          <w:w w:val="95"/>
        </w:rPr>
        <w:t>exists</w:t>
      </w:r>
      <w:r>
        <w:rPr>
          <w:spacing w:val="-10"/>
          <w:w w:val="95"/>
        </w:rPr>
        <w:t xml:space="preserve"> </w:t>
      </w:r>
      <w:r>
        <w:rPr>
          <w:w w:val="95"/>
        </w:rPr>
        <w:t>a</w:t>
      </w:r>
      <w:r>
        <w:rPr>
          <w:spacing w:val="-10"/>
          <w:w w:val="95"/>
        </w:rPr>
        <w:t xml:space="preserve"> </w:t>
      </w:r>
      <w:r>
        <w:rPr>
          <w:w w:val="95"/>
        </w:rPr>
        <w:t>hub</w:t>
      </w:r>
      <w:r>
        <w:rPr>
          <w:spacing w:val="-10"/>
          <w:w w:val="95"/>
        </w:rPr>
        <w:t xml:space="preserve"> </w:t>
      </w:r>
      <w:r>
        <w:rPr>
          <w:w w:val="95"/>
        </w:rPr>
        <w:t>airport,</w:t>
      </w:r>
      <w:r>
        <w:rPr>
          <w:spacing w:val="-10"/>
          <w:w w:val="95"/>
        </w:rPr>
        <w:t xml:space="preserve"> </w:t>
      </w:r>
      <w:r>
        <w:rPr>
          <w:w w:val="95"/>
        </w:rPr>
        <w:t xml:space="preserve">catering </w:t>
      </w:r>
      <w:r>
        <w:t>to</w:t>
      </w:r>
      <w:r>
        <w:rPr>
          <w:spacing w:val="-6"/>
        </w:rPr>
        <w:t xml:space="preserve"> </w:t>
      </w:r>
      <w:r>
        <w:t>full</w:t>
      </w:r>
      <w:r>
        <w:rPr>
          <w:spacing w:val="-6"/>
        </w:rPr>
        <w:t xml:space="preserve"> </w:t>
      </w:r>
      <w:r>
        <w:t>service</w:t>
      </w:r>
      <w:r>
        <w:rPr>
          <w:spacing w:val="-6"/>
        </w:rPr>
        <w:t xml:space="preserve"> </w:t>
      </w:r>
      <w:r>
        <w:t>passengers</w:t>
      </w:r>
      <w:r>
        <w:rPr>
          <w:spacing w:val="-6"/>
        </w:rPr>
        <w:t xml:space="preserve"> </w:t>
      </w:r>
      <w:r>
        <w:t>and</w:t>
      </w:r>
      <w:r>
        <w:rPr>
          <w:spacing w:val="-6"/>
        </w:rPr>
        <w:t xml:space="preserve"> </w:t>
      </w:r>
      <w:r>
        <w:t>secondary</w:t>
      </w:r>
      <w:r>
        <w:rPr>
          <w:spacing w:val="-6"/>
        </w:rPr>
        <w:t xml:space="preserve"> </w:t>
      </w:r>
      <w:r>
        <w:t>airports servicing LCC and freight aircraft.</w:t>
      </w:r>
    </w:p>
    <w:p w:rsidR="002C1123" w:rsidRDefault="00F22F94">
      <w:pPr>
        <w:pStyle w:val="BodyText"/>
        <w:spacing w:before="145" w:line="249" w:lineRule="auto"/>
        <w:ind w:left="492" w:right="129"/>
      </w:pPr>
      <w:r>
        <w:t>In</w:t>
      </w:r>
      <w:r>
        <w:rPr>
          <w:spacing w:val="-14"/>
        </w:rPr>
        <w:t xml:space="preserve"> </w:t>
      </w:r>
      <w:r>
        <w:t>Melbourne,</w:t>
      </w:r>
      <w:r>
        <w:rPr>
          <w:spacing w:val="-13"/>
        </w:rPr>
        <w:t xml:space="preserve"> </w:t>
      </w:r>
      <w:r>
        <w:t>Avalon</w:t>
      </w:r>
      <w:r>
        <w:rPr>
          <w:spacing w:val="-14"/>
        </w:rPr>
        <w:t xml:space="preserve"> </w:t>
      </w:r>
      <w:r>
        <w:t>has</w:t>
      </w:r>
      <w:r>
        <w:rPr>
          <w:spacing w:val="-13"/>
        </w:rPr>
        <w:t xml:space="preserve"> </w:t>
      </w:r>
      <w:r>
        <w:t>been</w:t>
      </w:r>
      <w:r>
        <w:rPr>
          <w:spacing w:val="-14"/>
        </w:rPr>
        <w:t xml:space="preserve"> </w:t>
      </w:r>
      <w:r>
        <w:t>able</w:t>
      </w:r>
      <w:r>
        <w:rPr>
          <w:spacing w:val="-13"/>
        </w:rPr>
        <w:t xml:space="preserve"> </w:t>
      </w:r>
      <w:r>
        <w:t>to</w:t>
      </w:r>
      <w:r>
        <w:rPr>
          <w:spacing w:val="-14"/>
        </w:rPr>
        <w:t xml:space="preserve"> </w:t>
      </w:r>
      <w:r>
        <w:t>attract</w:t>
      </w:r>
      <w:r>
        <w:rPr>
          <w:spacing w:val="-13"/>
        </w:rPr>
        <w:t xml:space="preserve"> </w:t>
      </w:r>
      <w:r>
        <w:t xml:space="preserve">LCC </w:t>
      </w:r>
      <w:r>
        <w:rPr>
          <w:w w:val="95"/>
        </w:rPr>
        <w:t>and</w:t>
      </w:r>
      <w:r>
        <w:rPr>
          <w:spacing w:val="-3"/>
          <w:w w:val="95"/>
        </w:rPr>
        <w:t xml:space="preserve"> </w:t>
      </w:r>
      <w:r>
        <w:rPr>
          <w:w w:val="95"/>
        </w:rPr>
        <w:t>freight</w:t>
      </w:r>
      <w:r>
        <w:rPr>
          <w:spacing w:val="-3"/>
          <w:w w:val="95"/>
        </w:rPr>
        <w:t xml:space="preserve"> </w:t>
      </w:r>
      <w:r>
        <w:rPr>
          <w:w w:val="95"/>
        </w:rPr>
        <w:t>aircraft,</w:t>
      </w:r>
      <w:r>
        <w:rPr>
          <w:spacing w:val="-3"/>
          <w:w w:val="95"/>
        </w:rPr>
        <w:t xml:space="preserve"> </w:t>
      </w:r>
      <w:r>
        <w:rPr>
          <w:w w:val="95"/>
        </w:rPr>
        <w:t>against</w:t>
      </w:r>
      <w:r>
        <w:rPr>
          <w:spacing w:val="-3"/>
          <w:w w:val="95"/>
        </w:rPr>
        <w:t xml:space="preserve"> </w:t>
      </w:r>
      <w:r>
        <w:rPr>
          <w:w w:val="95"/>
        </w:rPr>
        <w:t>the</w:t>
      </w:r>
      <w:r>
        <w:rPr>
          <w:spacing w:val="-3"/>
          <w:w w:val="95"/>
        </w:rPr>
        <w:t xml:space="preserve"> </w:t>
      </w:r>
      <w:r>
        <w:rPr>
          <w:w w:val="95"/>
        </w:rPr>
        <w:t>backdrop</w:t>
      </w:r>
      <w:r>
        <w:rPr>
          <w:spacing w:val="-3"/>
          <w:w w:val="95"/>
        </w:rPr>
        <w:t xml:space="preserve"> </w:t>
      </w:r>
      <w:r>
        <w:rPr>
          <w:w w:val="95"/>
        </w:rPr>
        <w:t>of</w:t>
      </w:r>
      <w:r>
        <w:rPr>
          <w:spacing w:val="-3"/>
          <w:w w:val="95"/>
        </w:rPr>
        <w:t xml:space="preserve"> </w:t>
      </w:r>
      <w:r>
        <w:rPr>
          <w:w w:val="95"/>
        </w:rPr>
        <w:t>significant</w:t>
      </w:r>
    </w:p>
    <w:p w:rsidR="002C1123" w:rsidRDefault="00F22F94">
      <w:pPr>
        <w:spacing w:before="170" w:line="249" w:lineRule="auto"/>
        <w:ind w:left="1301" w:hanging="938"/>
        <w:rPr>
          <w:b/>
          <w:sz w:val="18"/>
        </w:rPr>
      </w:pPr>
      <w:r>
        <w:br w:type="column"/>
      </w:r>
      <w:r>
        <w:rPr>
          <w:b/>
          <w:sz w:val="18"/>
        </w:rPr>
        <w:t>Figure</w:t>
      </w:r>
      <w:r>
        <w:rPr>
          <w:b/>
          <w:spacing w:val="-7"/>
          <w:sz w:val="18"/>
        </w:rPr>
        <w:t xml:space="preserve"> </w:t>
      </w:r>
      <w:r>
        <w:rPr>
          <w:b/>
          <w:sz w:val="18"/>
        </w:rPr>
        <w:t>9.4</w:t>
      </w:r>
      <w:r>
        <w:rPr>
          <w:b/>
          <w:spacing w:val="36"/>
          <w:sz w:val="18"/>
        </w:rPr>
        <w:t xml:space="preserve"> </w:t>
      </w:r>
      <w:r>
        <w:rPr>
          <w:b/>
          <w:sz w:val="18"/>
        </w:rPr>
        <w:t>Sydney</w:t>
      </w:r>
      <w:r>
        <w:rPr>
          <w:b/>
          <w:spacing w:val="-7"/>
          <w:sz w:val="18"/>
        </w:rPr>
        <w:t xml:space="preserve"> </w:t>
      </w:r>
      <w:r>
        <w:rPr>
          <w:b/>
          <w:sz w:val="18"/>
        </w:rPr>
        <w:t>region</w:t>
      </w:r>
      <w:r>
        <w:rPr>
          <w:b/>
          <w:spacing w:val="-7"/>
          <w:sz w:val="18"/>
        </w:rPr>
        <w:t xml:space="preserve"> </w:t>
      </w:r>
      <w:r>
        <w:rPr>
          <w:b/>
          <w:sz w:val="18"/>
        </w:rPr>
        <w:t>–</w:t>
      </w:r>
      <w:r>
        <w:rPr>
          <w:b/>
          <w:spacing w:val="-7"/>
          <w:sz w:val="18"/>
        </w:rPr>
        <w:t xml:space="preserve"> </w:t>
      </w:r>
      <w:r>
        <w:rPr>
          <w:b/>
          <w:sz w:val="18"/>
        </w:rPr>
        <w:t>Low</w:t>
      </w:r>
      <w:r>
        <w:rPr>
          <w:b/>
          <w:spacing w:val="-7"/>
          <w:sz w:val="18"/>
        </w:rPr>
        <w:t xml:space="preserve"> </w:t>
      </w:r>
      <w:r>
        <w:rPr>
          <w:b/>
          <w:sz w:val="18"/>
        </w:rPr>
        <w:t>Cost</w:t>
      </w:r>
      <w:r>
        <w:rPr>
          <w:b/>
          <w:spacing w:val="-7"/>
          <w:sz w:val="18"/>
        </w:rPr>
        <w:t xml:space="preserve"> </w:t>
      </w:r>
      <w:r>
        <w:rPr>
          <w:b/>
          <w:sz w:val="18"/>
        </w:rPr>
        <w:t>Carrier</w:t>
      </w:r>
      <w:r>
        <w:rPr>
          <w:b/>
          <w:spacing w:val="-7"/>
          <w:sz w:val="18"/>
        </w:rPr>
        <w:t xml:space="preserve"> </w:t>
      </w:r>
      <w:r>
        <w:rPr>
          <w:b/>
          <w:sz w:val="18"/>
        </w:rPr>
        <w:t>share</w:t>
      </w:r>
      <w:r>
        <w:rPr>
          <w:b/>
          <w:spacing w:val="-7"/>
          <w:sz w:val="18"/>
        </w:rPr>
        <w:t xml:space="preserve"> </w:t>
      </w:r>
      <w:r>
        <w:rPr>
          <w:b/>
          <w:sz w:val="18"/>
        </w:rPr>
        <w:t>of scheduled seat capacity 2004-10</w:t>
      </w:r>
    </w:p>
    <w:p w:rsidR="002C1123" w:rsidRDefault="002C1123">
      <w:pPr>
        <w:pStyle w:val="BodyText"/>
        <w:spacing w:before="7"/>
        <w:rPr>
          <w:b/>
          <w:sz w:val="22"/>
        </w:rPr>
      </w:pPr>
    </w:p>
    <w:p w:rsidR="002C1123" w:rsidRDefault="002060EF">
      <w:pPr>
        <w:spacing w:before="1"/>
        <w:ind w:left="659"/>
        <w:rPr>
          <w:sz w:val="16"/>
        </w:rPr>
      </w:pPr>
      <w:r>
        <w:pict>
          <v:rect id="docshape1586" o:spid="_x0000_s3493" style="position:absolute;left:0;text-align:left;margin-left:339.3pt;margin-top:4.7pt;width:201.65pt;height:.4pt;z-index:251526144;mso-position-horizontal-relative:page" fillcolor="#b2b1b3" stroked="f">
            <w10:wrap anchorx="page"/>
          </v:rect>
        </w:pict>
      </w:r>
      <w:r w:rsidR="00F22F94">
        <w:rPr>
          <w:spacing w:val="-5"/>
          <w:w w:val="95"/>
          <w:sz w:val="16"/>
        </w:rPr>
        <w:t>60</w:t>
      </w:r>
    </w:p>
    <w:p w:rsidR="002C1123" w:rsidRDefault="002C1123">
      <w:pPr>
        <w:pStyle w:val="BodyText"/>
        <w:spacing w:before="8"/>
        <w:rPr>
          <w:sz w:val="26"/>
        </w:rPr>
      </w:pPr>
    </w:p>
    <w:p w:rsidR="002C1123" w:rsidRDefault="00F22F94">
      <w:pPr>
        <w:ind w:right="51"/>
        <w:jc w:val="right"/>
        <w:rPr>
          <w:sz w:val="12"/>
        </w:rPr>
      </w:pPr>
      <w:r>
        <w:rPr>
          <w:spacing w:val="-4"/>
          <w:w w:val="95"/>
          <w:sz w:val="12"/>
        </w:rPr>
        <w:t>51.7</w:t>
      </w:r>
    </w:p>
    <w:p w:rsidR="002C1123" w:rsidRDefault="002060EF">
      <w:pPr>
        <w:spacing w:before="68"/>
        <w:ind w:left="659"/>
        <w:rPr>
          <w:sz w:val="16"/>
        </w:rPr>
      </w:pPr>
      <w:r>
        <w:pict>
          <v:group id="docshapegroup1587" o:spid="_x0000_s3457" style="position:absolute;left:0;text-align:left;margin-left:339.3pt;margin-top:2.3pt;width:201.65pt;height:180.8pt;z-index:251524096;mso-position-horizontal-relative:page" coordorigin="6786,46" coordsize="4033,3616">
            <v:shape id="docshape1588" o:spid="_x0000_s3492" style="position:absolute;left:6786;top:3645;width:4033;height:16" coordorigin="6786,3646" coordsize="4033,16" path="m10819,3654r-255,l10564,3646r-346,l10218,3654r-259,l9959,3646r-346,l9613,3654r-259,l9354,3646r-346,l9008,3654r-258,l8750,3646r-347,l8403,3654r-258,l8145,3646r-346,l7799,3654r-259,l7540,3646r-754,l6786,3654r,8l10819,3662r,-8xe" fillcolor="#b2b1b3" stroked="f">
              <v:path arrowok="t"/>
            </v:shape>
            <v:shape id="docshape1589" o:spid="_x0000_s3491" style="position:absolute;left:6786;top:3653;width:114;height:2" coordorigin="6786,3654" coordsize="114,0" path="m6899,3654r-113,e" fillcolor="#2e3092" stroked="f">
              <v:path arrowok="t"/>
            </v:shape>
            <v:shape id="docshape1590" o:spid="_x0000_s3490" style="position:absolute;left:6786;top:1556;width:754;height:1404" coordorigin="6786,1556" coordsize="754,1404" o:spt="100" adj="0,,0" path="m6935,2952r-149,l6786,2960r149,l6935,2952xm6935,2254r-149,l6786,2262r149,l6935,2254xm6935,1556r-149,l6786,1564r149,l6935,1556xm7540,2952r-347,l7193,2960r347,l7540,2952xm7540,2254r-347,l7193,2262r347,l7540,2254xm7540,1556r-347,l7193,1564r347,l7540,1556xe" fillcolor="#b2b1b3" stroked="f">
              <v:stroke joinstyle="round"/>
              <v:formulas/>
              <v:path arrowok="t" o:connecttype="segments"/>
            </v:shape>
            <v:rect id="docshape1591" o:spid="_x0000_s3489" style="position:absolute;left:6934;top:1553;width:259;height:2101" fillcolor="#00aeef" stroked="f"/>
            <v:shape id="docshape1592" o:spid="_x0000_s3488" style="position:absolute;left:7798;top:1556;width:347;height:1404" coordorigin="7799,1556" coordsize="347,1404" o:spt="100" adj="0,,0" path="m8145,2952r-346,l7799,2960r346,l8145,2952xm8145,2254r-346,l7799,2262r346,l8145,2254xm8145,1556r-346,l7799,1564r346,l8145,1556xe" fillcolor="#b2b1b3" stroked="f">
              <v:stroke joinstyle="round"/>
              <v:formulas/>
              <v:path arrowok="t" o:connecttype="segments"/>
            </v:shape>
            <v:rect id="docshape1593" o:spid="_x0000_s3487" style="position:absolute;left:7539;top:1543;width:259;height:2111" fillcolor="#00aeef" stroked="f"/>
            <v:shape id="docshape1594" o:spid="_x0000_s3486" style="position:absolute;left:8403;top:1556;width:347;height:1404" coordorigin="8403,1556" coordsize="347,1404" o:spt="100" adj="0,,0" path="m8750,2952r-347,l8403,2960r347,l8750,2952xm8750,2254r-347,l8403,2262r347,l8750,2254xm8750,1556r-347,l8403,1564r347,l8750,1556xe" fillcolor="#b2b1b3" stroked="f">
              <v:stroke joinstyle="round"/>
              <v:formulas/>
              <v:path arrowok="t" o:connecttype="segments"/>
            </v:shape>
            <v:rect id="docshape1595" o:spid="_x0000_s3485" style="position:absolute;left:8144;top:1543;width:259;height:2111" fillcolor="#00aeef" stroked="f"/>
            <v:shape id="docshape1596" o:spid="_x0000_s3484" style="position:absolute;left:9008;top:1556;width:347;height:1404" coordorigin="9008,1556" coordsize="347,1404" o:spt="100" adj="0,,0" path="m9354,2952r-346,l9008,2960r346,l9354,2952xm9354,2254r-346,l9008,2262r346,l9354,2254xm9354,1556r-346,l9008,1564r346,l9354,1556xe" fillcolor="#b2b1b3" stroked="f">
              <v:stroke joinstyle="round"/>
              <v:formulas/>
              <v:path arrowok="t" o:connecttype="segments"/>
            </v:shape>
            <v:rect id="docshape1597" o:spid="_x0000_s3483" style="position:absolute;left:8749;top:1528;width:259;height:2126" fillcolor="#00aeef" stroked="f"/>
            <v:shape id="docshape1598" o:spid="_x0000_s3482" style="position:absolute;left:9612;top:1556;width:347;height:1404" coordorigin="9613,1556" coordsize="347,1404" o:spt="100" adj="0,,0" path="m9959,2952r-346,l9613,2960r346,l9959,2952xm9959,2254r-346,l9613,2262r346,l9959,2254xm9959,1556r-346,l9613,1564r346,l9959,1556xe" fillcolor="#b2b1b3" stroked="f">
              <v:stroke joinstyle="round"/>
              <v:formulas/>
              <v:path arrowok="t" o:connecttype="segments"/>
            </v:shape>
            <v:rect id="docshape1599" o:spid="_x0000_s3481" style="position:absolute;left:9354;top:1443;width:259;height:2211" fillcolor="#00aeef" stroked="f"/>
            <v:shape id="docshape1600" o:spid="_x0000_s3480" style="position:absolute;left:10217;top:1556;width:347;height:1404" coordorigin="10218,1556" coordsize="347,1404" o:spt="100" adj="0,,0" path="m10564,2952r-346,l10218,2960r346,l10564,2952xm10564,2254r-346,l10218,2262r346,l10564,2254xm10564,1556r-346,l10218,1564r346,l10564,1556xe" fillcolor="#b2b1b3" stroked="f">
              <v:stroke joinstyle="round"/>
              <v:formulas/>
              <v:path arrowok="t" o:connecttype="segments"/>
            </v:shape>
            <v:shape id="docshape1601" o:spid="_x0000_s3479" style="position:absolute;left:9959;top:1308;width:860;height:2346" coordorigin="9959,1309" coordsize="860,2346" o:spt="100" adj="0,,0" path="m10218,1513r-259,l9959,3654r259,l10218,1513xm10819,1309r-255,l10564,3654r255,l10819,1309xe" fillcolor="#00aeef" stroked="f">
              <v:stroke joinstyle="round"/>
              <v:formulas/>
              <v:path arrowok="t" o:connecttype="segments"/>
            </v:shape>
            <v:rect id="docshape1602" o:spid="_x0000_s3478" style="position:absolute;left:6786;top:858;width:754;height:8" fillcolor="#b2b1b3" stroked="f"/>
            <v:rect id="docshape1603" o:spid="_x0000_s3477" style="position:absolute;left:6934;top:890;width:259;height:664" fillcolor="#2e3092" stroked="f"/>
            <v:rect id="docshape1604" o:spid="_x0000_s3476" style="position:absolute;left:7798;top:858;width:347;height:8" fillcolor="#b2b1b3" stroked="f"/>
            <v:rect id="docshape1605" o:spid="_x0000_s3475" style="position:absolute;left:7539;top:723;width:259;height:821" fillcolor="#2e3092" stroked="f"/>
            <v:rect id="docshape1606" o:spid="_x0000_s3474" style="position:absolute;left:8403;top:858;width:347;height:8" fillcolor="#b2b1b3" stroked="f"/>
            <v:rect id="docshape1607" o:spid="_x0000_s3473" style="position:absolute;left:8144;top:639;width:259;height:905" fillcolor="#2e3092" stroked="f"/>
            <v:rect id="docshape1608" o:spid="_x0000_s3472" style="position:absolute;left:9008;top:858;width:347;height:8" fillcolor="#b2b1b3" stroked="f"/>
            <v:rect id="docshape1609" o:spid="_x0000_s3471" style="position:absolute;left:8749;top:527;width:259;height:1001" fillcolor="#2e3092" stroked="f"/>
            <v:rect id="docshape1610" o:spid="_x0000_s3470" style="position:absolute;left:9612;top:858;width:347;height:8" fillcolor="#b2b1b3" stroked="f"/>
            <v:rect id="docshape1611" o:spid="_x0000_s3469" style="position:absolute;left:9354;top:304;width:259;height:1139" fillcolor="#2e3092" stroked="f"/>
            <v:rect id="docshape1612" o:spid="_x0000_s3468" style="position:absolute;left:10217;top:858;width:347;height:8" fillcolor="#b2b1b3" stroked="f"/>
            <v:rect id="docshape1613" o:spid="_x0000_s3467" style="position:absolute;left:9959;top:360;width:259;height:1153" fillcolor="#2e3092" stroked="f"/>
            <v:rect id="docshape1614" o:spid="_x0000_s3466" style="position:absolute;left:9612;top:160;width:951;height:8" fillcolor="#b2b1b3" stroked="f"/>
            <v:rect id="docshape1615" o:spid="_x0000_s3465" style="position:absolute;left:10563;top:46;width:256;height:1263" fillcolor="#2e3092" stroked="f"/>
            <v:shape id="docshape1616" o:spid="_x0000_s3464" type="#_x0000_t202" style="position:absolute;left:9382;top:121;width:222;height:136" filled="f" stroked="f">
              <v:textbox inset="0,0,0,0">
                <w:txbxContent>
                  <w:p w:rsidR="00F22F94" w:rsidRDefault="00F22F94">
                    <w:pPr>
                      <w:spacing w:line="136" w:lineRule="exact"/>
                      <w:rPr>
                        <w:sz w:val="12"/>
                      </w:rPr>
                    </w:pPr>
                    <w:r>
                      <w:rPr>
                        <w:spacing w:val="-4"/>
                        <w:w w:val="95"/>
                        <w:sz w:val="12"/>
                      </w:rPr>
                      <w:t>48.0</w:t>
                    </w:r>
                  </w:p>
                </w:txbxContent>
              </v:textbox>
            </v:shape>
            <v:shape id="docshape1617" o:spid="_x0000_s3463" type="#_x0000_t202" style="position:absolute;left:9987;top:177;width:222;height:136" filled="f" stroked="f">
              <v:textbox inset="0,0,0,0">
                <w:txbxContent>
                  <w:p w:rsidR="00F22F94" w:rsidRDefault="00F22F94">
                    <w:pPr>
                      <w:spacing w:line="136" w:lineRule="exact"/>
                      <w:rPr>
                        <w:sz w:val="12"/>
                      </w:rPr>
                    </w:pPr>
                    <w:r>
                      <w:rPr>
                        <w:spacing w:val="-4"/>
                        <w:w w:val="95"/>
                        <w:sz w:val="12"/>
                      </w:rPr>
                      <w:t>47.2</w:t>
                    </w:r>
                  </w:p>
                </w:txbxContent>
              </v:textbox>
            </v:shape>
            <v:shape id="docshape1618" o:spid="_x0000_s3462" type="#_x0000_t202" style="position:absolute;left:8777;top:344;width:222;height:136" filled="f" stroked="f">
              <v:textbox inset="0,0,0,0">
                <w:txbxContent>
                  <w:p w:rsidR="00F22F94" w:rsidRDefault="00F22F94">
                    <w:pPr>
                      <w:spacing w:line="136" w:lineRule="exact"/>
                      <w:rPr>
                        <w:sz w:val="12"/>
                      </w:rPr>
                    </w:pPr>
                    <w:r>
                      <w:rPr>
                        <w:spacing w:val="-4"/>
                        <w:w w:val="95"/>
                        <w:sz w:val="12"/>
                      </w:rPr>
                      <w:t>44.8</w:t>
                    </w:r>
                  </w:p>
                </w:txbxContent>
              </v:textbox>
            </v:shape>
            <v:shape id="docshape1619" o:spid="_x0000_s3461" type="#_x0000_t202" style="position:absolute;left:7567;top:540;width:222;height:136" filled="f" stroked="f">
              <v:textbox inset="0,0,0,0">
                <w:txbxContent>
                  <w:p w:rsidR="00F22F94" w:rsidRDefault="00F22F94">
                    <w:pPr>
                      <w:spacing w:line="136" w:lineRule="exact"/>
                      <w:rPr>
                        <w:sz w:val="12"/>
                      </w:rPr>
                    </w:pPr>
                    <w:r>
                      <w:rPr>
                        <w:spacing w:val="-4"/>
                        <w:w w:val="95"/>
                        <w:sz w:val="12"/>
                      </w:rPr>
                      <w:t>42.0</w:t>
                    </w:r>
                  </w:p>
                </w:txbxContent>
              </v:textbox>
            </v:shape>
            <v:shape id="docshape1620" o:spid="_x0000_s3460" type="#_x0000_t202" style="position:absolute;left:8172;top:456;width:222;height:136" filled="f" stroked="f">
              <v:textbox inset="0,0,0,0">
                <w:txbxContent>
                  <w:p w:rsidR="00F22F94" w:rsidRDefault="00F22F94">
                    <w:pPr>
                      <w:spacing w:line="136" w:lineRule="exact"/>
                      <w:rPr>
                        <w:sz w:val="12"/>
                      </w:rPr>
                    </w:pPr>
                    <w:r>
                      <w:rPr>
                        <w:spacing w:val="-4"/>
                        <w:w w:val="95"/>
                        <w:sz w:val="12"/>
                      </w:rPr>
                      <w:t>43.2</w:t>
                    </w:r>
                  </w:p>
                </w:txbxContent>
              </v:textbox>
            </v:shape>
            <v:shape id="docshape1621" o:spid="_x0000_s3459" type="#_x0000_t202" style="position:absolute;left:6961;top:706;width:3855;height:557" filled="f" stroked="f">
              <v:textbox inset="0,0,0,0">
                <w:txbxContent>
                  <w:p w:rsidR="00F22F94" w:rsidRDefault="00F22F94">
                    <w:pPr>
                      <w:spacing w:line="137" w:lineRule="exact"/>
                      <w:ind w:left="2"/>
                      <w:rPr>
                        <w:sz w:val="12"/>
                      </w:rPr>
                    </w:pPr>
                    <w:r>
                      <w:rPr>
                        <w:spacing w:val="-4"/>
                        <w:w w:val="95"/>
                        <w:sz w:val="12"/>
                      </w:rPr>
                      <w:t>39.6</w:t>
                    </w:r>
                  </w:p>
                  <w:p w:rsidR="00F22F94" w:rsidRDefault="00F22F94">
                    <w:pPr>
                      <w:rPr>
                        <w:sz w:val="14"/>
                      </w:rPr>
                    </w:pPr>
                  </w:p>
                  <w:p w:rsidR="00F22F94" w:rsidRDefault="00F22F94">
                    <w:pPr>
                      <w:tabs>
                        <w:tab w:val="left" w:pos="605"/>
                        <w:tab w:val="left" w:pos="1209"/>
                        <w:tab w:val="left" w:pos="1814"/>
                        <w:tab w:val="left" w:pos="2418"/>
                        <w:tab w:val="left" w:pos="3023"/>
                        <w:tab w:val="left" w:pos="3628"/>
                      </w:tabs>
                      <w:spacing w:before="120"/>
                      <w:rPr>
                        <w:sz w:val="12"/>
                      </w:rPr>
                    </w:pPr>
                    <w:r>
                      <w:rPr>
                        <w:color w:val="FFFFFF"/>
                        <w:spacing w:val="-5"/>
                        <w:w w:val="95"/>
                        <w:sz w:val="12"/>
                      </w:rPr>
                      <w:t>24%</w:t>
                    </w:r>
                    <w:r>
                      <w:rPr>
                        <w:color w:val="FFFFFF"/>
                        <w:sz w:val="12"/>
                      </w:rPr>
                      <w:tab/>
                    </w:r>
                    <w:r>
                      <w:rPr>
                        <w:color w:val="FFFFFF"/>
                        <w:spacing w:val="-5"/>
                        <w:w w:val="95"/>
                        <w:sz w:val="12"/>
                      </w:rPr>
                      <w:t>28%</w:t>
                    </w:r>
                    <w:r>
                      <w:rPr>
                        <w:color w:val="FFFFFF"/>
                        <w:sz w:val="12"/>
                      </w:rPr>
                      <w:tab/>
                    </w:r>
                    <w:r>
                      <w:rPr>
                        <w:color w:val="FFFFFF"/>
                        <w:spacing w:val="-5"/>
                        <w:w w:val="95"/>
                        <w:sz w:val="12"/>
                      </w:rPr>
                      <w:t>30%</w:t>
                    </w:r>
                    <w:r>
                      <w:rPr>
                        <w:color w:val="FFFFFF"/>
                        <w:sz w:val="12"/>
                      </w:rPr>
                      <w:tab/>
                    </w:r>
                    <w:r>
                      <w:rPr>
                        <w:color w:val="FFFFFF"/>
                        <w:spacing w:val="-5"/>
                        <w:w w:val="90"/>
                        <w:sz w:val="12"/>
                      </w:rPr>
                      <w:t>32%</w:t>
                    </w:r>
                    <w:r>
                      <w:rPr>
                        <w:color w:val="FFFFFF"/>
                        <w:sz w:val="12"/>
                      </w:rPr>
                      <w:tab/>
                    </w:r>
                    <w:r>
                      <w:rPr>
                        <w:color w:val="FFFFFF"/>
                        <w:spacing w:val="-5"/>
                        <w:w w:val="95"/>
                        <w:sz w:val="12"/>
                      </w:rPr>
                      <w:t>34%</w:t>
                    </w:r>
                    <w:r>
                      <w:rPr>
                        <w:color w:val="FFFFFF"/>
                        <w:sz w:val="12"/>
                      </w:rPr>
                      <w:tab/>
                    </w:r>
                    <w:r>
                      <w:rPr>
                        <w:color w:val="FFFFFF"/>
                        <w:spacing w:val="-5"/>
                        <w:w w:val="95"/>
                        <w:sz w:val="12"/>
                      </w:rPr>
                      <w:t>35%</w:t>
                    </w:r>
                    <w:r>
                      <w:rPr>
                        <w:color w:val="FFFFFF"/>
                        <w:sz w:val="12"/>
                      </w:rPr>
                      <w:tab/>
                    </w:r>
                    <w:r>
                      <w:rPr>
                        <w:color w:val="FFFFFF"/>
                        <w:spacing w:val="-5"/>
                        <w:w w:val="90"/>
                        <w:sz w:val="12"/>
                      </w:rPr>
                      <w:t>35%</w:t>
                    </w:r>
                  </w:p>
                </w:txbxContent>
              </v:textbox>
            </v:shape>
            <v:shape id="docshape1622" o:spid="_x0000_s3458" type="#_x0000_t202" style="position:absolute;left:6961;top:1930;width:3855;height:138" filled="f" stroked="f">
              <v:textbox inset="0,0,0,0">
                <w:txbxContent>
                  <w:p w:rsidR="00F22F94" w:rsidRDefault="00F22F94">
                    <w:pPr>
                      <w:tabs>
                        <w:tab w:val="left" w:pos="605"/>
                        <w:tab w:val="left" w:pos="1209"/>
                        <w:tab w:val="left" w:pos="1814"/>
                        <w:tab w:val="left" w:pos="2418"/>
                        <w:tab w:val="left" w:pos="3023"/>
                        <w:tab w:val="left" w:pos="3627"/>
                      </w:tabs>
                      <w:spacing w:line="137" w:lineRule="exact"/>
                      <w:rPr>
                        <w:sz w:val="12"/>
                      </w:rPr>
                    </w:pPr>
                    <w:r>
                      <w:rPr>
                        <w:color w:val="FFFFFF"/>
                        <w:spacing w:val="-5"/>
                        <w:w w:val="95"/>
                        <w:sz w:val="12"/>
                      </w:rPr>
                      <w:t>76%</w:t>
                    </w:r>
                    <w:r>
                      <w:rPr>
                        <w:color w:val="FFFFFF"/>
                        <w:sz w:val="12"/>
                      </w:rPr>
                      <w:tab/>
                    </w:r>
                    <w:r>
                      <w:rPr>
                        <w:color w:val="FFFFFF"/>
                        <w:spacing w:val="-5"/>
                        <w:w w:val="95"/>
                        <w:sz w:val="12"/>
                      </w:rPr>
                      <w:t>72%</w:t>
                    </w:r>
                    <w:r>
                      <w:rPr>
                        <w:color w:val="FFFFFF"/>
                        <w:sz w:val="12"/>
                      </w:rPr>
                      <w:tab/>
                    </w:r>
                    <w:r>
                      <w:rPr>
                        <w:color w:val="FFFFFF"/>
                        <w:spacing w:val="-5"/>
                        <w:w w:val="95"/>
                        <w:sz w:val="12"/>
                      </w:rPr>
                      <w:t>70%</w:t>
                    </w:r>
                    <w:r>
                      <w:rPr>
                        <w:color w:val="FFFFFF"/>
                        <w:sz w:val="12"/>
                      </w:rPr>
                      <w:tab/>
                    </w:r>
                    <w:r>
                      <w:rPr>
                        <w:color w:val="FFFFFF"/>
                        <w:spacing w:val="-5"/>
                        <w:w w:val="90"/>
                        <w:sz w:val="12"/>
                      </w:rPr>
                      <w:t>68%</w:t>
                    </w:r>
                    <w:r>
                      <w:rPr>
                        <w:color w:val="FFFFFF"/>
                        <w:sz w:val="12"/>
                      </w:rPr>
                      <w:tab/>
                    </w:r>
                    <w:r>
                      <w:rPr>
                        <w:color w:val="FFFFFF"/>
                        <w:spacing w:val="-5"/>
                        <w:w w:val="95"/>
                        <w:sz w:val="12"/>
                      </w:rPr>
                      <w:t>66%</w:t>
                    </w:r>
                    <w:r>
                      <w:rPr>
                        <w:color w:val="FFFFFF"/>
                        <w:sz w:val="12"/>
                      </w:rPr>
                      <w:tab/>
                    </w:r>
                    <w:r>
                      <w:rPr>
                        <w:color w:val="FFFFFF"/>
                        <w:spacing w:val="-5"/>
                        <w:w w:val="95"/>
                        <w:sz w:val="12"/>
                      </w:rPr>
                      <w:t>65%</w:t>
                    </w:r>
                    <w:r>
                      <w:rPr>
                        <w:color w:val="FFFFFF"/>
                        <w:sz w:val="12"/>
                      </w:rPr>
                      <w:tab/>
                    </w:r>
                    <w:r>
                      <w:rPr>
                        <w:color w:val="FFFFFF"/>
                        <w:spacing w:val="-5"/>
                        <w:w w:val="90"/>
                        <w:sz w:val="12"/>
                      </w:rPr>
                      <w:t>65%</w:t>
                    </w:r>
                  </w:p>
                </w:txbxContent>
              </v:textbox>
            </v:shape>
            <w10:wrap anchorx="page"/>
          </v:group>
        </w:pict>
      </w:r>
      <w:r>
        <w:pict>
          <v:rect id="docshape1623" o:spid="_x0000_s3456" style="position:absolute;left:0;text-align:left;margin-left:339.3pt;margin-top:8.05pt;width:128.35pt;height:.4pt;z-index:251525120;mso-position-horizontal-relative:page" fillcolor="#b2b1b3" stroked="f">
            <w10:wrap anchorx="page"/>
          </v:rect>
        </w:pict>
      </w:r>
      <w:r w:rsidR="00F22F94">
        <w:rPr>
          <w:spacing w:val="-5"/>
          <w:w w:val="95"/>
          <w:sz w:val="16"/>
        </w:rPr>
        <w:t>50</w:t>
      </w:r>
    </w:p>
    <w:p w:rsidR="002C1123" w:rsidRDefault="002C1123">
      <w:pPr>
        <w:pStyle w:val="BodyText"/>
        <w:rPr>
          <w:sz w:val="18"/>
        </w:rPr>
      </w:pPr>
    </w:p>
    <w:p w:rsidR="002C1123" w:rsidRDefault="002C1123">
      <w:pPr>
        <w:pStyle w:val="BodyText"/>
        <w:spacing w:before="8"/>
        <w:rPr>
          <w:sz w:val="26"/>
        </w:rPr>
      </w:pPr>
    </w:p>
    <w:p w:rsidR="002C1123" w:rsidRDefault="002060EF">
      <w:pPr>
        <w:ind w:left="659"/>
        <w:rPr>
          <w:sz w:val="16"/>
        </w:rPr>
      </w:pPr>
      <w:r>
        <w:pict>
          <v:shape id="docshape1624" o:spid="_x0000_s3455" type="#_x0000_t202" style="position:absolute;left:0;text-align:left;margin-left:308.3pt;margin-top:2.2pt;width:11.05pt;height:75.4pt;z-index:251528192;mso-position-horizontal-relative:page" filled="f" stroked="f">
            <v:textbox style="layout-flow:vertical;mso-layout-flow-alt:bottom-to-top" inset="0,0,0,0">
              <w:txbxContent>
                <w:p w:rsidR="00F22F94" w:rsidRDefault="00F22F94">
                  <w:pPr>
                    <w:spacing w:before="18"/>
                    <w:ind w:left="20"/>
                    <w:rPr>
                      <w:sz w:val="16"/>
                    </w:rPr>
                  </w:pPr>
                  <w:r>
                    <w:rPr>
                      <w:w w:val="75"/>
                      <w:sz w:val="16"/>
                    </w:rPr>
                    <w:t>Scheduled</w:t>
                  </w:r>
                  <w:r>
                    <w:rPr>
                      <w:spacing w:val="10"/>
                      <w:sz w:val="16"/>
                    </w:rPr>
                    <w:t xml:space="preserve"> </w:t>
                  </w:r>
                  <w:r>
                    <w:rPr>
                      <w:w w:val="75"/>
                      <w:sz w:val="16"/>
                    </w:rPr>
                    <w:t>seats</w:t>
                  </w:r>
                  <w:r>
                    <w:rPr>
                      <w:spacing w:val="10"/>
                      <w:sz w:val="16"/>
                    </w:rPr>
                    <w:t xml:space="preserve"> </w:t>
                  </w:r>
                  <w:r>
                    <w:rPr>
                      <w:spacing w:val="-2"/>
                      <w:w w:val="75"/>
                      <w:sz w:val="16"/>
                    </w:rPr>
                    <w:t>(millions)</w:t>
                  </w:r>
                </w:p>
              </w:txbxContent>
            </v:textbox>
            <w10:wrap anchorx="page"/>
          </v:shape>
        </w:pict>
      </w:r>
      <w:r w:rsidR="00F22F94">
        <w:rPr>
          <w:spacing w:val="-5"/>
          <w:w w:val="95"/>
          <w:sz w:val="16"/>
        </w:rPr>
        <w:t>40</w:t>
      </w:r>
    </w:p>
    <w:p w:rsidR="002C1123" w:rsidRDefault="002C1123">
      <w:pPr>
        <w:pStyle w:val="BodyText"/>
        <w:rPr>
          <w:sz w:val="18"/>
        </w:rPr>
      </w:pPr>
    </w:p>
    <w:p w:rsidR="002C1123" w:rsidRDefault="002C1123">
      <w:pPr>
        <w:pStyle w:val="BodyText"/>
        <w:spacing w:before="8"/>
        <w:rPr>
          <w:sz w:val="26"/>
        </w:rPr>
      </w:pPr>
    </w:p>
    <w:p w:rsidR="002C1123" w:rsidRDefault="00F22F94">
      <w:pPr>
        <w:ind w:left="659"/>
        <w:rPr>
          <w:sz w:val="16"/>
        </w:rPr>
      </w:pPr>
      <w:r>
        <w:rPr>
          <w:spacing w:val="-5"/>
          <w:w w:val="95"/>
          <w:sz w:val="16"/>
        </w:rPr>
        <w:t>30</w:t>
      </w:r>
    </w:p>
    <w:p w:rsidR="002C1123" w:rsidRDefault="002C1123">
      <w:pPr>
        <w:pStyle w:val="BodyText"/>
        <w:rPr>
          <w:sz w:val="18"/>
        </w:rPr>
      </w:pPr>
    </w:p>
    <w:p w:rsidR="002C1123" w:rsidRDefault="002C1123">
      <w:pPr>
        <w:pStyle w:val="BodyText"/>
        <w:spacing w:before="8"/>
        <w:rPr>
          <w:sz w:val="26"/>
        </w:rPr>
      </w:pPr>
    </w:p>
    <w:p w:rsidR="002C1123" w:rsidRDefault="00F22F94">
      <w:pPr>
        <w:ind w:left="659"/>
        <w:rPr>
          <w:sz w:val="16"/>
        </w:rPr>
      </w:pPr>
      <w:r>
        <w:rPr>
          <w:spacing w:val="-5"/>
          <w:w w:val="95"/>
          <w:sz w:val="16"/>
        </w:rPr>
        <w:t>20</w:t>
      </w:r>
    </w:p>
    <w:p w:rsidR="002C1123" w:rsidRDefault="002C1123">
      <w:pPr>
        <w:pStyle w:val="BodyText"/>
        <w:rPr>
          <w:sz w:val="18"/>
        </w:rPr>
      </w:pPr>
    </w:p>
    <w:p w:rsidR="002C1123" w:rsidRDefault="002C1123">
      <w:pPr>
        <w:pStyle w:val="BodyText"/>
        <w:spacing w:before="7"/>
        <w:rPr>
          <w:sz w:val="26"/>
        </w:rPr>
      </w:pPr>
    </w:p>
    <w:p w:rsidR="002C1123" w:rsidRDefault="00F22F94">
      <w:pPr>
        <w:spacing w:before="1"/>
        <w:ind w:left="659"/>
        <w:rPr>
          <w:sz w:val="16"/>
        </w:rPr>
      </w:pPr>
      <w:r>
        <w:rPr>
          <w:spacing w:val="-5"/>
          <w:w w:val="95"/>
          <w:sz w:val="16"/>
        </w:rPr>
        <w:t>10</w:t>
      </w:r>
    </w:p>
    <w:p w:rsidR="002C1123" w:rsidRDefault="002C1123">
      <w:pPr>
        <w:pStyle w:val="BodyText"/>
        <w:rPr>
          <w:sz w:val="18"/>
        </w:rPr>
      </w:pPr>
    </w:p>
    <w:p w:rsidR="002C1123" w:rsidRDefault="002C1123">
      <w:pPr>
        <w:pStyle w:val="BodyText"/>
        <w:spacing w:before="7"/>
        <w:rPr>
          <w:sz w:val="26"/>
        </w:rPr>
      </w:pPr>
    </w:p>
    <w:p w:rsidR="002C1123" w:rsidRDefault="00F22F94">
      <w:pPr>
        <w:ind w:left="736"/>
        <w:rPr>
          <w:sz w:val="16"/>
        </w:rPr>
      </w:pPr>
      <w:r>
        <w:rPr>
          <w:w w:val="86"/>
          <w:sz w:val="16"/>
        </w:rPr>
        <w:t>0</w:t>
      </w:r>
    </w:p>
    <w:p w:rsidR="002C1123" w:rsidRDefault="00F22F94">
      <w:pPr>
        <w:tabs>
          <w:tab w:val="left" w:pos="1686"/>
          <w:tab w:val="left" w:pos="2290"/>
          <w:tab w:val="left" w:pos="2895"/>
          <w:tab w:val="left" w:pos="3499"/>
          <w:tab w:val="left" w:pos="4103"/>
          <w:tab w:val="left" w:pos="4708"/>
        </w:tabs>
        <w:spacing w:before="35"/>
        <w:ind w:left="1081"/>
        <w:rPr>
          <w:sz w:val="16"/>
        </w:rPr>
      </w:pPr>
      <w:r>
        <w:rPr>
          <w:spacing w:val="-4"/>
          <w:w w:val="95"/>
          <w:sz w:val="16"/>
        </w:rPr>
        <w:t>2004</w:t>
      </w:r>
      <w:r>
        <w:rPr>
          <w:sz w:val="16"/>
        </w:rPr>
        <w:tab/>
      </w:r>
      <w:r>
        <w:rPr>
          <w:spacing w:val="-4"/>
          <w:w w:val="95"/>
          <w:sz w:val="16"/>
        </w:rPr>
        <w:t>2005</w:t>
      </w:r>
      <w:r>
        <w:rPr>
          <w:sz w:val="16"/>
        </w:rPr>
        <w:tab/>
      </w:r>
      <w:r>
        <w:rPr>
          <w:spacing w:val="-4"/>
          <w:w w:val="95"/>
          <w:sz w:val="16"/>
        </w:rPr>
        <w:t>2006</w:t>
      </w:r>
      <w:r>
        <w:rPr>
          <w:sz w:val="16"/>
        </w:rPr>
        <w:tab/>
      </w:r>
      <w:r>
        <w:rPr>
          <w:spacing w:val="-4"/>
          <w:w w:val="95"/>
          <w:sz w:val="16"/>
        </w:rPr>
        <w:t>2007</w:t>
      </w:r>
      <w:r>
        <w:rPr>
          <w:sz w:val="16"/>
        </w:rPr>
        <w:tab/>
      </w:r>
      <w:r>
        <w:rPr>
          <w:spacing w:val="-4"/>
          <w:w w:val="95"/>
          <w:sz w:val="16"/>
        </w:rPr>
        <w:t>2008</w:t>
      </w:r>
      <w:r>
        <w:rPr>
          <w:sz w:val="16"/>
        </w:rPr>
        <w:tab/>
      </w:r>
      <w:r>
        <w:rPr>
          <w:spacing w:val="-4"/>
          <w:w w:val="95"/>
          <w:sz w:val="16"/>
        </w:rPr>
        <w:t>2009</w:t>
      </w:r>
      <w:r>
        <w:rPr>
          <w:sz w:val="16"/>
        </w:rPr>
        <w:tab/>
      </w:r>
      <w:r>
        <w:rPr>
          <w:spacing w:val="-7"/>
          <w:w w:val="90"/>
          <w:sz w:val="16"/>
        </w:rPr>
        <w:t>2010</w:t>
      </w:r>
    </w:p>
    <w:p w:rsidR="002C1123" w:rsidRDefault="002C1123">
      <w:pPr>
        <w:pStyle w:val="BodyText"/>
        <w:spacing w:before="11"/>
      </w:pPr>
    </w:p>
    <w:p w:rsidR="002C1123" w:rsidRDefault="002060EF">
      <w:pPr>
        <w:tabs>
          <w:tab w:val="left" w:pos="2658"/>
        </w:tabs>
        <w:ind w:left="1212"/>
        <w:rPr>
          <w:sz w:val="16"/>
        </w:rPr>
      </w:pPr>
      <w:r>
        <w:pict>
          <v:rect id="docshape1625" o:spid="_x0000_s3454" style="position:absolute;left:0;text-align:left;margin-left:411.65pt;margin-top:.4pt;width:8.5pt;height:8.5pt;z-index:-251471872;mso-position-horizontal-relative:page" fillcolor="#00aeef" stroked="f">
            <w10:wrap anchorx="page"/>
          </v:rect>
        </w:pict>
      </w:r>
      <w:r>
        <w:pict>
          <v:rect id="docshape1626" o:spid="_x0000_s3453" style="position:absolute;left:0;text-align:left;margin-left:339.4pt;margin-top:.4pt;width:8.5pt;height:8.5pt;z-index:251527168;mso-position-horizontal-relative:page" fillcolor="#2e3092" stroked="f">
            <w10:wrap anchorx="page"/>
          </v:rect>
        </w:pict>
      </w:r>
      <w:r w:rsidR="00F22F94">
        <w:rPr>
          <w:w w:val="75"/>
          <w:sz w:val="16"/>
        </w:rPr>
        <w:t>Low</w:t>
      </w:r>
      <w:r w:rsidR="00F22F94">
        <w:rPr>
          <w:spacing w:val="3"/>
          <w:sz w:val="16"/>
        </w:rPr>
        <w:t xml:space="preserve"> </w:t>
      </w:r>
      <w:r w:rsidR="00F22F94">
        <w:rPr>
          <w:w w:val="75"/>
          <w:sz w:val="16"/>
        </w:rPr>
        <w:t>cost</w:t>
      </w:r>
      <w:r w:rsidR="00F22F94">
        <w:rPr>
          <w:spacing w:val="3"/>
          <w:sz w:val="16"/>
        </w:rPr>
        <w:t xml:space="preserve"> </w:t>
      </w:r>
      <w:r w:rsidR="00F22F94">
        <w:rPr>
          <w:spacing w:val="-2"/>
          <w:w w:val="75"/>
          <w:sz w:val="16"/>
        </w:rPr>
        <w:t>carrier</w:t>
      </w:r>
      <w:r w:rsidR="00F22F94">
        <w:rPr>
          <w:sz w:val="16"/>
        </w:rPr>
        <w:tab/>
      </w:r>
      <w:r w:rsidR="00F22F94">
        <w:rPr>
          <w:spacing w:val="-2"/>
          <w:w w:val="90"/>
          <w:sz w:val="16"/>
        </w:rPr>
        <w:t>Other</w:t>
      </w:r>
    </w:p>
    <w:p w:rsidR="002C1123" w:rsidRDefault="002C1123">
      <w:pPr>
        <w:pStyle w:val="BodyText"/>
        <w:spacing w:before="1"/>
        <w:rPr>
          <w:sz w:val="21"/>
        </w:rPr>
      </w:pPr>
    </w:p>
    <w:p w:rsidR="002C1123" w:rsidRDefault="00F22F94">
      <w:pPr>
        <w:ind w:left="386"/>
        <w:jc w:val="both"/>
        <w:rPr>
          <w:sz w:val="16"/>
        </w:rPr>
      </w:pPr>
      <w:r>
        <w:rPr>
          <w:w w:val="75"/>
          <w:sz w:val="16"/>
        </w:rPr>
        <w:t>Source:</w:t>
      </w:r>
      <w:r>
        <w:rPr>
          <w:spacing w:val="4"/>
          <w:sz w:val="16"/>
        </w:rPr>
        <w:t xml:space="preserve"> </w:t>
      </w:r>
      <w:r>
        <w:rPr>
          <w:w w:val="75"/>
          <w:sz w:val="16"/>
        </w:rPr>
        <w:t>Booz</w:t>
      </w:r>
      <w:r>
        <w:rPr>
          <w:spacing w:val="5"/>
          <w:sz w:val="16"/>
        </w:rPr>
        <w:t xml:space="preserve"> </w:t>
      </w:r>
      <w:r>
        <w:rPr>
          <w:w w:val="75"/>
          <w:sz w:val="16"/>
        </w:rPr>
        <w:t>&amp;</w:t>
      </w:r>
      <w:r>
        <w:rPr>
          <w:spacing w:val="4"/>
          <w:sz w:val="16"/>
        </w:rPr>
        <w:t xml:space="preserve"> </w:t>
      </w:r>
      <w:r>
        <w:rPr>
          <w:w w:val="75"/>
          <w:sz w:val="16"/>
        </w:rPr>
        <w:t>Company;</w:t>
      </w:r>
      <w:r>
        <w:rPr>
          <w:spacing w:val="5"/>
          <w:sz w:val="16"/>
        </w:rPr>
        <w:t xml:space="preserve"> </w:t>
      </w:r>
      <w:r>
        <w:rPr>
          <w:w w:val="75"/>
          <w:sz w:val="16"/>
        </w:rPr>
        <w:t>Referenced</w:t>
      </w:r>
      <w:r>
        <w:rPr>
          <w:spacing w:val="4"/>
          <w:sz w:val="16"/>
        </w:rPr>
        <w:t xml:space="preserve"> </w:t>
      </w:r>
      <w:r>
        <w:rPr>
          <w:w w:val="75"/>
          <w:sz w:val="16"/>
        </w:rPr>
        <w:t>in</w:t>
      </w:r>
      <w:r>
        <w:rPr>
          <w:spacing w:val="5"/>
          <w:sz w:val="16"/>
        </w:rPr>
        <w:t xml:space="preserve"> </w:t>
      </w:r>
      <w:r>
        <w:rPr>
          <w:w w:val="75"/>
          <w:sz w:val="16"/>
        </w:rPr>
        <w:t>Steering</w:t>
      </w:r>
      <w:r>
        <w:rPr>
          <w:spacing w:val="4"/>
          <w:sz w:val="16"/>
        </w:rPr>
        <w:t xml:space="preserve"> </w:t>
      </w:r>
      <w:r>
        <w:rPr>
          <w:spacing w:val="-2"/>
          <w:w w:val="75"/>
          <w:sz w:val="16"/>
        </w:rPr>
        <w:t>Committee.</w:t>
      </w:r>
    </w:p>
    <w:p w:rsidR="002C1123" w:rsidRDefault="00F22F94">
      <w:pPr>
        <w:spacing w:before="46" w:line="247" w:lineRule="auto"/>
        <w:ind w:left="386" w:right="141"/>
        <w:jc w:val="both"/>
        <w:rPr>
          <w:sz w:val="16"/>
        </w:rPr>
      </w:pPr>
      <w:r>
        <w:rPr>
          <w:w w:val="75"/>
          <w:sz w:val="16"/>
        </w:rPr>
        <w:t>Note: Shows seats available</w:t>
      </w:r>
      <w:r>
        <w:rPr>
          <w:sz w:val="16"/>
        </w:rPr>
        <w:t xml:space="preserve"> </w:t>
      </w:r>
      <w:r>
        <w:rPr>
          <w:w w:val="75"/>
          <w:sz w:val="16"/>
        </w:rPr>
        <w:t>for</w:t>
      </w:r>
      <w:r>
        <w:rPr>
          <w:sz w:val="16"/>
        </w:rPr>
        <w:t xml:space="preserve"> </w:t>
      </w:r>
      <w:r>
        <w:rPr>
          <w:w w:val="75"/>
          <w:sz w:val="16"/>
        </w:rPr>
        <w:t>sale</w:t>
      </w:r>
      <w:r>
        <w:rPr>
          <w:sz w:val="16"/>
        </w:rPr>
        <w:t xml:space="preserve"> </w:t>
      </w:r>
      <w:r>
        <w:rPr>
          <w:w w:val="75"/>
          <w:sz w:val="16"/>
        </w:rPr>
        <w:t>by</w:t>
      </w:r>
      <w:r>
        <w:rPr>
          <w:sz w:val="16"/>
        </w:rPr>
        <w:t xml:space="preserve"> </w:t>
      </w:r>
      <w:r>
        <w:rPr>
          <w:w w:val="75"/>
          <w:sz w:val="16"/>
        </w:rPr>
        <w:t>airlines</w:t>
      </w:r>
      <w:r>
        <w:rPr>
          <w:sz w:val="16"/>
        </w:rPr>
        <w:t xml:space="preserve"> </w:t>
      </w:r>
      <w:r>
        <w:rPr>
          <w:w w:val="75"/>
          <w:sz w:val="16"/>
        </w:rPr>
        <w:t>(rather</w:t>
      </w:r>
      <w:r>
        <w:rPr>
          <w:sz w:val="16"/>
        </w:rPr>
        <w:t xml:space="preserve"> </w:t>
      </w:r>
      <w:r>
        <w:rPr>
          <w:w w:val="75"/>
          <w:sz w:val="16"/>
        </w:rPr>
        <w:t>than actual movements).</w:t>
      </w:r>
      <w:r>
        <w:rPr>
          <w:sz w:val="16"/>
        </w:rPr>
        <w:t xml:space="preserve"> </w:t>
      </w:r>
      <w:r>
        <w:rPr>
          <w:spacing w:val="-2"/>
          <w:w w:val="80"/>
          <w:sz w:val="16"/>
        </w:rPr>
        <w:t>Includes</w:t>
      </w:r>
      <w:r>
        <w:rPr>
          <w:spacing w:val="-2"/>
          <w:sz w:val="16"/>
        </w:rPr>
        <w:t xml:space="preserve"> </w:t>
      </w:r>
      <w:r>
        <w:rPr>
          <w:spacing w:val="-2"/>
          <w:w w:val="80"/>
          <w:sz w:val="16"/>
        </w:rPr>
        <w:t>services</w:t>
      </w:r>
      <w:r>
        <w:rPr>
          <w:spacing w:val="-2"/>
          <w:sz w:val="16"/>
        </w:rPr>
        <w:t xml:space="preserve"> </w:t>
      </w:r>
      <w:r>
        <w:rPr>
          <w:spacing w:val="-2"/>
          <w:w w:val="80"/>
          <w:sz w:val="16"/>
        </w:rPr>
        <w:t>provided</w:t>
      </w:r>
      <w:r>
        <w:rPr>
          <w:spacing w:val="-2"/>
          <w:sz w:val="16"/>
        </w:rPr>
        <w:t xml:space="preserve"> </w:t>
      </w:r>
      <w:r>
        <w:rPr>
          <w:spacing w:val="-2"/>
          <w:w w:val="80"/>
          <w:sz w:val="16"/>
        </w:rPr>
        <w:t>by</w:t>
      </w:r>
      <w:r>
        <w:rPr>
          <w:spacing w:val="-2"/>
          <w:sz w:val="16"/>
        </w:rPr>
        <w:t xml:space="preserve"> </w:t>
      </w:r>
      <w:r>
        <w:rPr>
          <w:spacing w:val="-2"/>
          <w:w w:val="80"/>
          <w:sz w:val="16"/>
        </w:rPr>
        <w:t>Virgin</w:t>
      </w:r>
      <w:r>
        <w:rPr>
          <w:spacing w:val="-2"/>
          <w:sz w:val="16"/>
        </w:rPr>
        <w:t xml:space="preserve"> </w:t>
      </w:r>
      <w:r>
        <w:rPr>
          <w:spacing w:val="-2"/>
          <w:w w:val="80"/>
          <w:sz w:val="16"/>
        </w:rPr>
        <w:t>Australia</w:t>
      </w:r>
      <w:r>
        <w:rPr>
          <w:spacing w:val="-2"/>
          <w:sz w:val="16"/>
        </w:rPr>
        <w:t xml:space="preserve"> </w:t>
      </w:r>
      <w:r>
        <w:rPr>
          <w:spacing w:val="-2"/>
          <w:w w:val="80"/>
          <w:sz w:val="16"/>
        </w:rPr>
        <w:t>(then</w:t>
      </w:r>
      <w:r>
        <w:rPr>
          <w:spacing w:val="-2"/>
          <w:sz w:val="16"/>
        </w:rPr>
        <w:t xml:space="preserve"> </w:t>
      </w:r>
      <w:r>
        <w:rPr>
          <w:spacing w:val="-2"/>
          <w:w w:val="80"/>
          <w:sz w:val="16"/>
        </w:rPr>
        <w:t>called</w:t>
      </w:r>
      <w:r>
        <w:rPr>
          <w:spacing w:val="-2"/>
          <w:sz w:val="16"/>
        </w:rPr>
        <w:t xml:space="preserve"> </w:t>
      </w:r>
      <w:r>
        <w:rPr>
          <w:spacing w:val="-2"/>
          <w:w w:val="80"/>
          <w:sz w:val="16"/>
        </w:rPr>
        <w:t>Virgin</w:t>
      </w:r>
      <w:r>
        <w:rPr>
          <w:spacing w:val="-2"/>
          <w:sz w:val="16"/>
        </w:rPr>
        <w:t xml:space="preserve"> </w:t>
      </w:r>
      <w:r>
        <w:rPr>
          <w:spacing w:val="-2"/>
          <w:w w:val="80"/>
          <w:sz w:val="16"/>
        </w:rPr>
        <w:t>Blue),</w:t>
      </w:r>
      <w:r>
        <w:rPr>
          <w:spacing w:val="-2"/>
          <w:sz w:val="16"/>
        </w:rPr>
        <w:t xml:space="preserve"> </w:t>
      </w:r>
      <w:r>
        <w:rPr>
          <w:spacing w:val="-2"/>
          <w:w w:val="80"/>
          <w:sz w:val="16"/>
        </w:rPr>
        <w:t>which</w:t>
      </w:r>
      <w:r>
        <w:rPr>
          <w:spacing w:val="-2"/>
          <w:sz w:val="16"/>
        </w:rPr>
        <w:t xml:space="preserve"> </w:t>
      </w:r>
      <w:r>
        <w:rPr>
          <w:spacing w:val="-2"/>
          <w:w w:val="80"/>
          <w:sz w:val="16"/>
        </w:rPr>
        <w:t>at</w:t>
      </w:r>
      <w:r>
        <w:rPr>
          <w:sz w:val="16"/>
        </w:rPr>
        <w:t xml:space="preserve"> </w:t>
      </w:r>
      <w:r>
        <w:rPr>
          <w:w w:val="85"/>
          <w:sz w:val="16"/>
        </w:rPr>
        <w:t>the</w:t>
      </w:r>
      <w:r>
        <w:rPr>
          <w:spacing w:val="-3"/>
          <w:w w:val="85"/>
          <w:sz w:val="16"/>
        </w:rPr>
        <w:t xml:space="preserve"> </w:t>
      </w:r>
      <w:r>
        <w:rPr>
          <w:w w:val="85"/>
          <w:sz w:val="16"/>
        </w:rPr>
        <w:t>time</w:t>
      </w:r>
      <w:r>
        <w:rPr>
          <w:spacing w:val="-3"/>
          <w:w w:val="85"/>
          <w:sz w:val="16"/>
        </w:rPr>
        <w:t xml:space="preserve"> </w:t>
      </w:r>
      <w:r>
        <w:rPr>
          <w:w w:val="85"/>
          <w:sz w:val="16"/>
        </w:rPr>
        <w:t>was</w:t>
      </w:r>
      <w:r>
        <w:rPr>
          <w:spacing w:val="-3"/>
          <w:w w:val="85"/>
          <w:sz w:val="16"/>
        </w:rPr>
        <w:t xml:space="preserve"> </w:t>
      </w:r>
      <w:r>
        <w:rPr>
          <w:w w:val="85"/>
          <w:sz w:val="16"/>
        </w:rPr>
        <w:t>branded</w:t>
      </w:r>
      <w:r>
        <w:rPr>
          <w:spacing w:val="-3"/>
          <w:w w:val="85"/>
          <w:sz w:val="16"/>
        </w:rPr>
        <w:t xml:space="preserve"> </w:t>
      </w:r>
      <w:r>
        <w:rPr>
          <w:w w:val="85"/>
          <w:sz w:val="16"/>
        </w:rPr>
        <w:t>a</w:t>
      </w:r>
      <w:r>
        <w:rPr>
          <w:spacing w:val="-3"/>
          <w:w w:val="85"/>
          <w:sz w:val="16"/>
        </w:rPr>
        <w:t xml:space="preserve"> </w:t>
      </w:r>
      <w:r>
        <w:rPr>
          <w:w w:val="85"/>
          <w:sz w:val="16"/>
        </w:rPr>
        <w:t>Low</w:t>
      </w:r>
      <w:r>
        <w:rPr>
          <w:spacing w:val="-3"/>
          <w:w w:val="85"/>
          <w:sz w:val="16"/>
        </w:rPr>
        <w:t xml:space="preserve"> </w:t>
      </w:r>
      <w:r>
        <w:rPr>
          <w:w w:val="85"/>
          <w:sz w:val="16"/>
        </w:rPr>
        <w:t>Cost</w:t>
      </w:r>
      <w:r>
        <w:rPr>
          <w:spacing w:val="-3"/>
          <w:w w:val="85"/>
          <w:sz w:val="16"/>
        </w:rPr>
        <w:t xml:space="preserve"> </w:t>
      </w:r>
      <w:r>
        <w:rPr>
          <w:w w:val="85"/>
          <w:sz w:val="16"/>
        </w:rPr>
        <w:t>Carrier.</w:t>
      </w:r>
    </w:p>
    <w:p w:rsidR="002C1123" w:rsidRDefault="00F22F94">
      <w:pPr>
        <w:pStyle w:val="BodyText"/>
        <w:spacing w:before="129" w:line="249" w:lineRule="auto"/>
        <w:ind w:left="159" w:right="713"/>
      </w:pPr>
      <w:r>
        <w:br w:type="column"/>
      </w:r>
      <w:r>
        <w:rPr>
          <w:w w:val="95"/>
        </w:rPr>
        <w:t xml:space="preserve">access issues. About 55 kilometres from the Melbourne </w:t>
      </w:r>
      <w:r>
        <w:t>CBD,</w:t>
      </w:r>
      <w:r>
        <w:rPr>
          <w:spacing w:val="-9"/>
        </w:rPr>
        <w:t xml:space="preserve"> </w:t>
      </w:r>
      <w:r>
        <w:t>Avalon</w:t>
      </w:r>
      <w:r>
        <w:rPr>
          <w:spacing w:val="-9"/>
        </w:rPr>
        <w:t xml:space="preserve"> </w:t>
      </w:r>
      <w:r>
        <w:t>is</w:t>
      </w:r>
      <w:r>
        <w:rPr>
          <w:spacing w:val="-9"/>
        </w:rPr>
        <w:t xml:space="preserve"> </w:t>
      </w:r>
      <w:r>
        <w:t>unserviced</w:t>
      </w:r>
      <w:r>
        <w:rPr>
          <w:spacing w:val="-9"/>
        </w:rPr>
        <w:t xml:space="preserve"> </w:t>
      </w:r>
      <w:r>
        <w:t>by</w:t>
      </w:r>
      <w:r>
        <w:rPr>
          <w:spacing w:val="-9"/>
        </w:rPr>
        <w:t xml:space="preserve"> </w:t>
      </w:r>
      <w:r>
        <w:t>public</w:t>
      </w:r>
      <w:r>
        <w:rPr>
          <w:spacing w:val="-9"/>
        </w:rPr>
        <w:t xml:space="preserve"> </w:t>
      </w:r>
      <w:r>
        <w:t>transport</w:t>
      </w:r>
      <w:r>
        <w:rPr>
          <w:spacing w:val="-9"/>
        </w:rPr>
        <w:t xml:space="preserve"> </w:t>
      </w:r>
      <w:r>
        <w:t xml:space="preserve">and </w:t>
      </w:r>
      <w:r>
        <w:rPr>
          <w:spacing w:val="-2"/>
        </w:rPr>
        <w:t>competes</w:t>
      </w:r>
      <w:r>
        <w:rPr>
          <w:spacing w:val="-9"/>
        </w:rPr>
        <w:t xml:space="preserve"> </w:t>
      </w:r>
      <w:r>
        <w:rPr>
          <w:spacing w:val="-2"/>
        </w:rPr>
        <w:t>against</w:t>
      </w:r>
      <w:r>
        <w:rPr>
          <w:spacing w:val="-9"/>
        </w:rPr>
        <w:t xml:space="preserve"> </w:t>
      </w:r>
      <w:r>
        <w:rPr>
          <w:spacing w:val="-2"/>
        </w:rPr>
        <w:t>an</w:t>
      </w:r>
      <w:r>
        <w:rPr>
          <w:spacing w:val="-9"/>
        </w:rPr>
        <w:t xml:space="preserve"> </w:t>
      </w:r>
      <w:r>
        <w:rPr>
          <w:spacing w:val="-2"/>
        </w:rPr>
        <w:t>airport</w:t>
      </w:r>
      <w:r>
        <w:rPr>
          <w:spacing w:val="-9"/>
        </w:rPr>
        <w:t xml:space="preserve"> </w:t>
      </w:r>
      <w:r>
        <w:rPr>
          <w:spacing w:val="-2"/>
        </w:rPr>
        <w:t>at</w:t>
      </w:r>
      <w:r>
        <w:rPr>
          <w:spacing w:val="-9"/>
        </w:rPr>
        <w:t xml:space="preserve"> </w:t>
      </w:r>
      <w:r>
        <w:rPr>
          <w:spacing w:val="-2"/>
        </w:rPr>
        <w:t>Tullamarine</w:t>
      </w:r>
      <w:r>
        <w:rPr>
          <w:spacing w:val="-9"/>
        </w:rPr>
        <w:t xml:space="preserve"> </w:t>
      </w:r>
      <w:r>
        <w:rPr>
          <w:spacing w:val="-2"/>
        </w:rPr>
        <w:t>that</w:t>
      </w:r>
      <w:r>
        <w:rPr>
          <w:spacing w:val="-9"/>
        </w:rPr>
        <w:t xml:space="preserve"> </w:t>
      </w:r>
      <w:r>
        <w:rPr>
          <w:spacing w:val="-2"/>
        </w:rPr>
        <w:t>has</w:t>
      </w:r>
      <w:r>
        <w:rPr>
          <w:spacing w:val="-9"/>
        </w:rPr>
        <w:t xml:space="preserve"> </w:t>
      </w:r>
      <w:r>
        <w:rPr>
          <w:spacing w:val="-2"/>
        </w:rPr>
        <w:t xml:space="preserve">an </w:t>
      </w:r>
      <w:r>
        <w:t>unconstrained</w:t>
      </w:r>
      <w:r>
        <w:rPr>
          <w:spacing w:val="-2"/>
        </w:rPr>
        <w:t xml:space="preserve"> </w:t>
      </w:r>
      <w:r>
        <w:t>capacity</w:t>
      </w:r>
      <w:r>
        <w:rPr>
          <w:spacing w:val="-2"/>
        </w:rPr>
        <w:t xml:space="preserve"> </w:t>
      </w:r>
      <w:r>
        <w:t>and</w:t>
      </w:r>
      <w:r>
        <w:rPr>
          <w:spacing w:val="-2"/>
        </w:rPr>
        <w:t xml:space="preserve"> </w:t>
      </w:r>
      <w:r>
        <w:t>is</w:t>
      </w:r>
      <w:r>
        <w:rPr>
          <w:spacing w:val="-2"/>
        </w:rPr>
        <w:t xml:space="preserve"> </w:t>
      </w:r>
      <w:r>
        <w:t>curfew</w:t>
      </w:r>
      <w:r>
        <w:rPr>
          <w:spacing w:val="-2"/>
        </w:rPr>
        <w:t xml:space="preserve"> </w:t>
      </w:r>
      <w:r>
        <w:t>free.</w:t>
      </w:r>
    </w:p>
    <w:p w:rsidR="002C1123" w:rsidRDefault="00F22F94">
      <w:pPr>
        <w:pStyle w:val="BodyText"/>
        <w:spacing w:before="145" w:line="249" w:lineRule="auto"/>
        <w:ind w:left="159" w:right="713"/>
      </w:pPr>
      <w:r>
        <w:rPr>
          <w:w w:val="95"/>
        </w:rPr>
        <w:t>In</w:t>
      </w:r>
      <w:r>
        <w:rPr>
          <w:spacing w:val="-4"/>
          <w:w w:val="95"/>
        </w:rPr>
        <w:t xml:space="preserve"> </w:t>
      </w:r>
      <w:r>
        <w:rPr>
          <w:w w:val="95"/>
        </w:rPr>
        <w:t>London,</w:t>
      </w:r>
      <w:r>
        <w:rPr>
          <w:spacing w:val="-4"/>
          <w:w w:val="95"/>
        </w:rPr>
        <w:t xml:space="preserve"> </w:t>
      </w:r>
      <w:r>
        <w:rPr>
          <w:w w:val="95"/>
        </w:rPr>
        <w:t>Heathrow</w:t>
      </w:r>
      <w:r>
        <w:rPr>
          <w:spacing w:val="-4"/>
          <w:w w:val="95"/>
        </w:rPr>
        <w:t xml:space="preserve"> </w:t>
      </w:r>
      <w:r>
        <w:rPr>
          <w:w w:val="95"/>
        </w:rPr>
        <w:t>has</w:t>
      </w:r>
      <w:r>
        <w:rPr>
          <w:spacing w:val="-4"/>
          <w:w w:val="95"/>
        </w:rPr>
        <w:t xml:space="preserve"> </w:t>
      </w:r>
      <w:r>
        <w:rPr>
          <w:w w:val="95"/>
        </w:rPr>
        <w:t>operational</w:t>
      </w:r>
      <w:r>
        <w:rPr>
          <w:spacing w:val="-4"/>
          <w:w w:val="95"/>
        </w:rPr>
        <w:t xml:space="preserve"> </w:t>
      </w:r>
      <w:r>
        <w:rPr>
          <w:w w:val="95"/>
        </w:rPr>
        <w:t>constraints</w:t>
      </w:r>
      <w:r>
        <w:rPr>
          <w:spacing w:val="-4"/>
          <w:w w:val="95"/>
        </w:rPr>
        <w:t xml:space="preserve"> </w:t>
      </w:r>
      <w:r>
        <w:rPr>
          <w:w w:val="95"/>
        </w:rPr>
        <w:t xml:space="preserve">similar to that of Sydney. Over time, excess demand has been transferred to secondary airports, whilst the hub airport </w:t>
      </w:r>
      <w:r>
        <w:t>has</w:t>
      </w:r>
      <w:r>
        <w:rPr>
          <w:spacing w:val="-14"/>
        </w:rPr>
        <w:t xml:space="preserve"> </w:t>
      </w:r>
      <w:r>
        <w:t>remained</w:t>
      </w:r>
      <w:r>
        <w:rPr>
          <w:spacing w:val="-14"/>
        </w:rPr>
        <w:t xml:space="preserve"> </w:t>
      </w:r>
      <w:r>
        <w:t>at</w:t>
      </w:r>
      <w:r>
        <w:rPr>
          <w:spacing w:val="-14"/>
        </w:rPr>
        <w:t xml:space="preserve"> </w:t>
      </w:r>
      <w:r>
        <w:t>Heathrow.</w:t>
      </w:r>
      <w:r>
        <w:rPr>
          <w:spacing w:val="-14"/>
        </w:rPr>
        <w:t xml:space="preserve"> </w:t>
      </w:r>
      <w:r>
        <w:t>Today</w:t>
      </w:r>
      <w:r>
        <w:rPr>
          <w:spacing w:val="-14"/>
        </w:rPr>
        <w:t xml:space="preserve"> </w:t>
      </w:r>
      <w:r>
        <w:t>Heathrow</w:t>
      </w:r>
      <w:r>
        <w:rPr>
          <w:spacing w:val="-14"/>
        </w:rPr>
        <w:t xml:space="preserve"> </w:t>
      </w:r>
      <w:r>
        <w:t xml:space="preserve">serves </w:t>
      </w:r>
      <w:r>
        <w:rPr>
          <w:w w:val="95"/>
        </w:rPr>
        <w:t xml:space="preserve">only 60 percent of the total London area passengers of </w:t>
      </w:r>
      <w:r>
        <w:t>128 million per annum</w:t>
      </w:r>
      <w:r>
        <w:rPr>
          <w:position w:val="7"/>
          <w:sz w:val="11"/>
        </w:rPr>
        <w:t>26</w:t>
      </w:r>
      <w:r>
        <w:t>.</w:t>
      </w:r>
    </w:p>
    <w:p w:rsidR="002C1123" w:rsidRDefault="00F22F94">
      <w:pPr>
        <w:pStyle w:val="BodyText"/>
        <w:spacing w:before="147" w:line="249" w:lineRule="auto"/>
        <w:ind w:left="159" w:right="713"/>
      </w:pPr>
      <w:r>
        <w:t>Heathrow</w:t>
      </w:r>
      <w:r>
        <w:rPr>
          <w:spacing w:val="-14"/>
        </w:rPr>
        <w:t xml:space="preserve"> </w:t>
      </w:r>
      <w:r>
        <w:t>has</w:t>
      </w:r>
      <w:r>
        <w:rPr>
          <w:spacing w:val="-14"/>
        </w:rPr>
        <w:t xml:space="preserve"> </w:t>
      </w:r>
      <w:r>
        <w:t>remained</w:t>
      </w:r>
      <w:r>
        <w:rPr>
          <w:spacing w:val="-14"/>
        </w:rPr>
        <w:t xml:space="preserve"> </w:t>
      </w:r>
      <w:r>
        <w:t>the</w:t>
      </w:r>
      <w:r>
        <w:rPr>
          <w:spacing w:val="-14"/>
        </w:rPr>
        <w:t xml:space="preserve"> </w:t>
      </w:r>
      <w:r>
        <w:t>specialised</w:t>
      </w:r>
      <w:r>
        <w:rPr>
          <w:spacing w:val="-14"/>
        </w:rPr>
        <w:t xml:space="preserve"> </w:t>
      </w:r>
      <w:r>
        <w:t xml:space="preserve">international </w:t>
      </w:r>
      <w:r>
        <w:rPr>
          <w:w w:val="95"/>
        </w:rPr>
        <w:t>and</w:t>
      </w:r>
      <w:r>
        <w:rPr>
          <w:spacing w:val="-5"/>
          <w:w w:val="95"/>
        </w:rPr>
        <w:t xml:space="preserve"> </w:t>
      </w:r>
      <w:r>
        <w:rPr>
          <w:w w:val="95"/>
        </w:rPr>
        <w:t>business</w:t>
      </w:r>
      <w:r>
        <w:rPr>
          <w:spacing w:val="-5"/>
          <w:w w:val="95"/>
        </w:rPr>
        <w:t xml:space="preserve"> </w:t>
      </w:r>
      <w:r>
        <w:rPr>
          <w:w w:val="95"/>
        </w:rPr>
        <w:t>hub,</w:t>
      </w:r>
      <w:r>
        <w:rPr>
          <w:spacing w:val="-5"/>
          <w:w w:val="95"/>
        </w:rPr>
        <w:t xml:space="preserve"> </w:t>
      </w:r>
      <w:r>
        <w:rPr>
          <w:w w:val="95"/>
        </w:rPr>
        <w:t>while</w:t>
      </w:r>
      <w:r>
        <w:rPr>
          <w:spacing w:val="-5"/>
          <w:w w:val="95"/>
        </w:rPr>
        <w:t xml:space="preserve"> </w:t>
      </w:r>
      <w:r>
        <w:rPr>
          <w:w w:val="95"/>
        </w:rPr>
        <w:t>the</w:t>
      </w:r>
      <w:r>
        <w:rPr>
          <w:spacing w:val="-5"/>
          <w:w w:val="95"/>
        </w:rPr>
        <w:t xml:space="preserve"> </w:t>
      </w:r>
      <w:r>
        <w:rPr>
          <w:w w:val="95"/>
        </w:rPr>
        <w:t>other</w:t>
      </w:r>
      <w:r>
        <w:rPr>
          <w:spacing w:val="-5"/>
          <w:w w:val="95"/>
        </w:rPr>
        <w:t xml:space="preserve"> </w:t>
      </w:r>
      <w:r>
        <w:rPr>
          <w:w w:val="95"/>
        </w:rPr>
        <w:t>airports</w:t>
      </w:r>
      <w:r>
        <w:rPr>
          <w:spacing w:val="-5"/>
          <w:w w:val="95"/>
        </w:rPr>
        <w:t xml:space="preserve"> </w:t>
      </w:r>
      <w:r>
        <w:rPr>
          <w:w w:val="95"/>
        </w:rPr>
        <w:t>have</w:t>
      </w:r>
      <w:r>
        <w:rPr>
          <w:spacing w:val="-5"/>
          <w:w w:val="95"/>
        </w:rPr>
        <w:t xml:space="preserve"> </w:t>
      </w:r>
      <w:r>
        <w:rPr>
          <w:w w:val="95"/>
        </w:rPr>
        <w:t xml:space="preserve">skewed </w:t>
      </w:r>
      <w:r>
        <w:t>towards low cost and charter businesses.</w:t>
      </w:r>
    </w:p>
    <w:p w:rsidR="002C1123" w:rsidRDefault="00F22F94">
      <w:pPr>
        <w:pStyle w:val="BodyText"/>
        <w:spacing w:before="144" w:line="249" w:lineRule="auto"/>
        <w:ind w:left="159" w:right="715"/>
      </w:pPr>
      <w:r>
        <w:rPr>
          <w:w w:val="95"/>
        </w:rPr>
        <w:t>Infrastructure</w:t>
      </w:r>
      <w:r>
        <w:rPr>
          <w:spacing w:val="-4"/>
          <w:w w:val="95"/>
        </w:rPr>
        <w:t xml:space="preserve"> </w:t>
      </w:r>
      <w:r>
        <w:rPr>
          <w:w w:val="95"/>
        </w:rPr>
        <w:t>NSW</w:t>
      </w:r>
      <w:r>
        <w:rPr>
          <w:spacing w:val="-4"/>
          <w:w w:val="95"/>
        </w:rPr>
        <w:t xml:space="preserve"> </w:t>
      </w:r>
      <w:r>
        <w:rPr>
          <w:w w:val="95"/>
        </w:rPr>
        <w:t>expects</w:t>
      </w:r>
      <w:r>
        <w:rPr>
          <w:spacing w:val="-4"/>
          <w:w w:val="95"/>
        </w:rPr>
        <w:t xml:space="preserve"> </w:t>
      </w:r>
      <w:r>
        <w:rPr>
          <w:w w:val="95"/>
        </w:rPr>
        <w:t>a</w:t>
      </w:r>
      <w:r>
        <w:rPr>
          <w:spacing w:val="-4"/>
          <w:w w:val="95"/>
        </w:rPr>
        <w:t xml:space="preserve"> </w:t>
      </w:r>
      <w:r>
        <w:rPr>
          <w:w w:val="95"/>
        </w:rPr>
        <w:t>similar</w:t>
      </w:r>
      <w:r>
        <w:rPr>
          <w:spacing w:val="-4"/>
          <w:w w:val="95"/>
        </w:rPr>
        <w:t xml:space="preserve"> </w:t>
      </w:r>
      <w:r>
        <w:rPr>
          <w:w w:val="95"/>
        </w:rPr>
        <w:t>trend</w:t>
      </w:r>
      <w:r>
        <w:rPr>
          <w:spacing w:val="-4"/>
          <w:w w:val="95"/>
        </w:rPr>
        <w:t xml:space="preserve"> </w:t>
      </w:r>
      <w:r>
        <w:rPr>
          <w:w w:val="95"/>
        </w:rPr>
        <w:t>in</w:t>
      </w:r>
      <w:r>
        <w:rPr>
          <w:spacing w:val="-4"/>
          <w:w w:val="95"/>
        </w:rPr>
        <w:t xml:space="preserve"> </w:t>
      </w:r>
      <w:r>
        <w:rPr>
          <w:w w:val="95"/>
        </w:rPr>
        <w:t>Sydney, with</w:t>
      </w:r>
      <w:r>
        <w:rPr>
          <w:spacing w:val="-4"/>
          <w:w w:val="95"/>
        </w:rPr>
        <w:t xml:space="preserve"> </w:t>
      </w:r>
      <w:r>
        <w:rPr>
          <w:w w:val="95"/>
        </w:rPr>
        <w:t>segmentation</w:t>
      </w:r>
      <w:r>
        <w:rPr>
          <w:spacing w:val="-4"/>
          <w:w w:val="95"/>
        </w:rPr>
        <w:t xml:space="preserve"> </w:t>
      </w:r>
      <w:r>
        <w:rPr>
          <w:w w:val="95"/>
        </w:rPr>
        <w:t>of</w:t>
      </w:r>
      <w:r>
        <w:rPr>
          <w:spacing w:val="-4"/>
          <w:w w:val="95"/>
        </w:rPr>
        <w:t xml:space="preserve"> </w:t>
      </w:r>
      <w:r>
        <w:rPr>
          <w:w w:val="95"/>
        </w:rPr>
        <w:t>the</w:t>
      </w:r>
      <w:r>
        <w:rPr>
          <w:spacing w:val="-4"/>
          <w:w w:val="95"/>
        </w:rPr>
        <w:t xml:space="preserve"> </w:t>
      </w:r>
      <w:r>
        <w:rPr>
          <w:w w:val="95"/>
        </w:rPr>
        <w:t>market</w:t>
      </w:r>
      <w:r>
        <w:rPr>
          <w:spacing w:val="-4"/>
          <w:w w:val="95"/>
        </w:rPr>
        <w:t xml:space="preserve"> </w:t>
      </w:r>
      <w:r>
        <w:rPr>
          <w:w w:val="95"/>
        </w:rPr>
        <w:t>summarised</w:t>
      </w:r>
      <w:r>
        <w:rPr>
          <w:spacing w:val="-4"/>
          <w:w w:val="95"/>
        </w:rPr>
        <w:t xml:space="preserve"> </w:t>
      </w:r>
      <w:r>
        <w:rPr>
          <w:w w:val="95"/>
        </w:rPr>
        <w:t>in</w:t>
      </w:r>
      <w:r>
        <w:rPr>
          <w:spacing w:val="-4"/>
          <w:w w:val="95"/>
        </w:rPr>
        <w:t xml:space="preserve"> </w:t>
      </w:r>
      <w:r>
        <w:rPr>
          <w:w w:val="95"/>
        </w:rPr>
        <w:t>figure</w:t>
      </w:r>
    </w:p>
    <w:p w:rsidR="002C1123" w:rsidRDefault="00F22F94">
      <w:pPr>
        <w:pStyle w:val="BodyText"/>
        <w:spacing w:before="1" w:line="249" w:lineRule="auto"/>
        <w:ind w:left="159" w:right="713"/>
      </w:pPr>
      <w:r>
        <w:rPr>
          <w:w w:val="95"/>
        </w:rPr>
        <w:t>9.5.</w:t>
      </w:r>
      <w:r>
        <w:rPr>
          <w:spacing w:val="-3"/>
          <w:w w:val="95"/>
        </w:rPr>
        <w:t xml:space="preserve"> </w:t>
      </w:r>
      <w:r>
        <w:rPr>
          <w:w w:val="95"/>
        </w:rPr>
        <w:t>Sydney</w:t>
      </w:r>
      <w:r>
        <w:rPr>
          <w:spacing w:val="-3"/>
          <w:w w:val="95"/>
        </w:rPr>
        <w:t xml:space="preserve"> </w:t>
      </w:r>
      <w:r>
        <w:rPr>
          <w:w w:val="95"/>
        </w:rPr>
        <w:t>Airport</w:t>
      </w:r>
      <w:r>
        <w:rPr>
          <w:spacing w:val="-3"/>
          <w:w w:val="95"/>
        </w:rPr>
        <w:t xml:space="preserve"> </w:t>
      </w:r>
      <w:r>
        <w:rPr>
          <w:w w:val="95"/>
        </w:rPr>
        <w:t>will</w:t>
      </w:r>
      <w:r>
        <w:rPr>
          <w:spacing w:val="-3"/>
          <w:w w:val="95"/>
        </w:rPr>
        <w:t xml:space="preserve"> </w:t>
      </w:r>
      <w:r>
        <w:rPr>
          <w:w w:val="95"/>
        </w:rPr>
        <w:t>remain</w:t>
      </w:r>
      <w:r>
        <w:rPr>
          <w:spacing w:val="-3"/>
          <w:w w:val="95"/>
        </w:rPr>
        <w:t xml:space="preserve"> </w:t>
      </w:r>
      <w:r>
        <w:rPr>
          <w:w w:val="95"/>
        </w:rPr>
        <w:t>the</w:t>
      </w:r>
      <w:r>
        <w:rPr>
          <w:spacing w:val="-3"/>
          <w:w w:val="95"/>
        </w:rPr>
        <w:t xml:space="preserve"> </w:t>
      </w:r>
      <w:r>
        <w:rPr>
          <w:w w:val="95"/>
        </w:rPr>
        <w:t>hub,</w:t>
      </w:r>
      <w:r>
        <w:rPr>
          <w:spacing w:val="-3"/>
          <w:w w:val="95"/>
        </w:rPr>
        <w:t xml:space="preserve"> </w:t>
      </w:r>
      <w:r>
        <w:rPr>
          <w:w w:val="95"/>
        </w:rPr>
        <w:t>supported</w:t>
      </w:r>
      <w:r>
        <w:rPr>
          <w:spacing w:val="-3"/>
          <w:w w:val="95"/>
        </w:rPr>
        <w:t xml:space="preserve"> </w:t>
      </w:r>
      <w:r>
        <w:rPr>
          <w:w w:val="95"/>
        </w:rPr>
        <w:t xml:space="preserve">by </w:t>
      </w:r>
      <w:r>
        <w:t>secondary</w:t>
      </w:r>
      <w:r>
        <w:rPr>
          <w:spacing w:val="-13"/>
        </w:rPr>
        <w:t xml:space="preserve"> </w:t>
      </w:r>
      <w:r>
        <w:t>facilities</w:t>
      </w:r>
      <w:r>
        <w:rPr>
          <w:spacing w:val="-13"/>
        </w:rPr>
        <w:t xml:space="preserve"> </w:t>
      </w:r>
      <w:r>
        <w:t>to</w:t>
      </w:r>
      <w:r>
        <w:rPr>
          <w:spacing w:val="-13"/>
        </w:rPr>
        <w:t xml:space="preserve"> </w:t>
      </w:r>
      <w:r>
        <w:t>serve</w:t>
      </w:r>
      <w:r>
        <w:rPr>
          <w:spacing w:val="-13"/>
        </w:rPr>
        <w:t xml:space="preserve"> </w:t>
      </w:r>
      <w:r>
        <w:t>LCC,</w:t>
      </w:r>
      <w:r>
        <w:rPr>
          <w:spacing w:val="-13"/>
        </w:rPr>
        <w:t xml:space="preserve"> </w:t>
      </w:r>
      <w:r>
        <w:t>freight</w:t>
      </w:r>
      <w:r>
        <w:rPr>
          <w:spacing w:val="-13"/>
        </w:rPr>
        <w:t xml:space="preserve"> </w:t>
      </w:r>
      <w:r>
        <w:t>and</w:t>
      </w:r>
      <w:r>
        <w:rPr>
          <w:spacing w:val="-13"/>
        </w:rPr>
        <w:t xml:space="preserve"> </w:t>
      </w:r>
      <w:r>
        <w:t>some regional</w:t>
      </w:r>
      <w:r>
        <w:rPr>
          <w:spacing w:val="-11"/>
        </w:rPr>
        <w:t xml:space="preserve"> </w:t>
      </w:r>
      <w:r>
        <w:t>flights.</w:t>
      </w:r>
    </w:p>
    <w:p w:rsidR="002C1123" w:rsidRDefault="00F22F94">
      <w:pPr>
        <w:pStyle w:val="Heading6"/>
        <w:numPr>
          <w:ilvl w:val="2"/>
          <w:numId w:val="80"/>
        </w:numPr>
        <w:tabs>
          <w:tab w:val="left" w:pos="646"/>
        </w:tabs>
        <w:spacing w:before="145"/>
        <w:ind w:left="645" w:hanging="487"/>
        <w:jc w:val="left"/>
      </w:pPr>
      <w:r>
        <w:rPr>
          <w:color w:val="00AEEF"/>
          <w:w w:val="95"/>
        </w:rPr>
        <w:t>Western</w:t>
      </w:r>
      <w:r>
        <w:rPr>
          <w:color w:val="00AEEF"/>
          <w:spacing w:val="3"/>
        </w:rPr>
        <w:t xml:space="preserve"> </w:t>
      </w:r>
      <w:r>
        <w:rPr>
          <w:color w:val="00AEEF"/>
          <w:w w:val="95"/>
        </w:rPr>
        <w:t>Sydney</w:t>
      </w:r>
      <w:r>
        <w:rPr>
          <w:color w:val="00AEEF"/>
          <w:spacing w:val="4"/>
        </w:rPr>
        <w:t xml:space="preserve"> </w:t>
      </w:r>
      <w:r>
        <w:rPr>
          <w:color w:val="00AEEF"/>
          <w:w w:val="95"/>
        </w:rPr>
        <w:t>regional</w:t>
      </w:r>
      <w:r>
        <w:rPr>
          <w:color w:val="00AEEF"/>
          <w:spacing w:val="3"/>
        </w:rPr>
        <w:t xml:space="preserve"> </w:t>
      </w:r>
      <w:r>
        <w:rPr>
          <w:color w:val="00AEEF"/>
          <w:spacing w:val="-2"/>
          <w:w w:val="95"/>
        </w:rPr>
        <w:t>airport</w:t>
      </w:r>
    </w:p>
    <w:p w:rsidR="002C1123" w:rsidRDefault="00F22F94">
      <w:pPr>
        <w:pStyle w:val="BodyText"/>
        <w:spacing w:before="95"/>
        <w:ind w:left="159"/>
      </w:pPr>
      <w:r>
        <w:rPr>
          <w:w w:val="95"/>
        </w:rPr>
        <w:t>As</w:t>
      </w:r>
      <w:r>
        <w:rPr>
          <w:spacing w:val="-7"/>
          <w:w w:val="95"/>
        </w:rPr>
        <w:t xml:space="preserve"> </w:t>
      </w:r>
      <w:r>
        <w:rPr>
          <w:w w:val="95"/>
        </w:rPr>
        <w:t>a</w:t>
      </w:r>
      <w:r>
        <w:rPr>
          <w:spacing w:val="-6"/>
          <w:w w:val="95"/>
        </w:rPr>
        <w:t xml:space="preserve"> </w:t>
      </w:r>
      <w:r>
        <w:rPr>
          <w:w w:val="95"/>
        </w:rPr>
        <w:t>conurbation</w:t>
      </w:r>
      <w:r>
        <w:rPr>
          <w:spacing w:val="-6"/>
          <w:w w:val="95"/>
        </w:rPr>
        <w:t xml:space="preserve"> </w:t>
      </w:r>
      <w:r>
        <w:rPr>
          <w:w w:val="95"/>
        </w:rPr>
        <w:t>of</w:t>
      </w:r>
      <w:r>
        <w:rPr>
          <w:spacing w:val="-7"/>
          <w:w w:val="95"/>
        </w:rPr>
        <w:t xml:space="preserve"> </w:t>
      </w:r>
      <w:r>
        <w:rPr>
          <w:w w:val="95"/>
        </w:rPr>
        <w:t>over</w:t>
      </w:r>
      <w:r>
        <w:rPr>
          <w:spacing w:val="-6"/>
          <w:w w:val="95"/>
        </w:rPr>
        <w:t xml:space="preserve"> </w:t>
      </w:r>
      <w:r>
        <w:rPr>
          <w:w w:val="95"/>
        </w:rPr>
        <w:t>two</w:t>
      </w:r>
      <w:r>
        <w:rPr>
          <w:spacing w:val="-6"/>
          <w:w w:val="95"/>
        </w:rPr>
        <w:t xml:space="preserve"> </w:t>
      </w:r>
      <w:r>
        <w:rPr>
          <w:w w:val="95"/>
        </w:rPr>
        <w:t>million</w:t>
      </w:r>
      <w:r>
        <w:rPr>
          <w:spacing w:val="-6"/>
          <w:w w:val="95"/>
        </w:rPr>
        <w:t xml:space="preserve"> </w:t>
      </w:r>
      <w:r>
        <w:rPr>
          <w:spacing w:val="-2"/>
          <w:w w:val="95"/>
        </w:rPr>
        <w:t>people,</w:t>
      </w:r>
    </w:p>
    <w:p w:rsidR="002C1123" w:rsidRDefault="00F22F94">
      <w:pPr>
        <w:pStyle w:val="BodyText"/>
        <w:spacing w:before="10" w:line="249" w:lineRule="auto"/>
        <w:ind w:left="159" w:right="713"/>
      </w:pPr>
      <w:r>
        <w:rPr>
          <w:w w:val="95"/>
        </w:rPr>
        <w:t>Western</w:t>
      </w:r>
      <w:r>
        <w:rPr>
          <w:spacing w:val="-6"/>
          <w:w w:val="95"/>
        </w:rPr>
        <w:t xml:space="preserve"> </w:t>
      </w:r>
      <w:r>
        <w:rPr>
          <w:w w:val="95"/>
        </w:rPr>
        <w:t>Sydney</w:t>
      </w:r>
      <w:r>
        <w:rPr>
          <w:spacing w:val="-6"/>
          <w:w w:val="95"/>
        </w:rPr>
        <w:t xml:space="preserve"> </w:t>
      </w:r>
      <w:r>
        <w:rPr>
          <w:w w:val="95"/>
        </w:rPr>
        <w:t>has</w:t>
      </w:r>
      <w:r>
        <w:rPr>
          <w:spacing w:val="-6"/>
          <w:w w:val="95"/>
        </w:rPr>
        <w:t xml:space="preserve"> </w:t>
      </w:r>
      <w:r>
        <w:rPr>
          <w:w w:val="95"/>
        </w:rPr>
        <w:t>a</w:t>
      </w:r>
      <w:r>
        <w:rPr>
          <w:spacing w:val="-6"/>
          <w:w w:val="95"/>
        </w:rPr>
        <w:t xml:space="preserve"> </w:t>
      </w:r>
      <w:r>
        <w:rPr>
          <w:w w:val="95"/>
        </w:rPr>
        <w:t>strong</w:t>
      </w:r>
      <w:r>
        <w:rPr>
          <w:spacing w:val="-6"/>
          <w:w w:val="95"/>
        </w:rPr>
        <w:t xml:space="preserve"> </w:t>
      </w:r>
      <w:r>
        <w:rPr>
          <w:w w:val="95"/>
        </w:rPr>
        <w:t>claim</w:t>
      </w:r>
      <w:r>
        <w:rPr>
          <w:spacing w:val="-7"/>
          <w:w w:val="95"/>
        </w:rPr>
        <w:t xml:space="preserve"> </w:t>
      </w:r>
      <w:r>
        <w:rPr>
          <w:w w:val="95"/>
        </w:rPr>
        <w:t>for</w:t>
      </w:r>
      <w:r>
        <w:rPr>
          <w:spacing w:val="-6"/>
          <w:w w:val="95"/>
        </w:rPr>
        <w:t xml:space="preserve"> </w:t>
      </w:r>
      <w:r>
        <w:rPr>
          <w:w w:val="95"/>
        </w:rPr>
        <w:t>its</w:t>
      </w:r>
      <w:r>
        <w:rPr>
          <w:spacing w:val="-6"/>
          <w:w w:val="95"/>
        </w:rPr>
        <w:t xml:space="preserve"> </w:t>
      </w:r>
      <w:r>
        <w:rPr>
          <w:w w:val="95"/>
        </w:rPr>
        <w:t>own</w:t>
      </w:r>
      <w:r>
        <w:rPr>
          <w:spacing w:val="-6"/>
          <w:w w:val="95"/>
        </w:rPr>
        <w:t xml:space="preserve"> </w:t>
      </w:r>
      <w:r>
        <w:rPr>
          <w:w w:val="95"/>
        </w:rPr>
        <w:t xml:space="preserve">airport, </w:t>
      </w:r>
      <w:r>
        <w:t>over</w:t>
      </w:r>
      <w:r>
        <w:rPr>
          <w:spacing w:val="-10"/>
        </w:rPr>
        <w:t xml:space="preserve"> </w:t>
      </w:r>
      <w:r>
        <w:t>and</w:t>
      </w:r>
      <w:r>
        <w:rPr>
          <w:spacing w:val="-10"/>
        </w:rPr>
        <w:t xml:space="preserve"> </w:t>
      </w:r>
      <w:r>
        <w:t>above</w:t>
      </w:r>
      <w:r>
        <w:rPr>
          <w:spacing w:val="-10"/>
        </w:rPr>
        <w:t xml:space="preserve"> </w:t>
      </w:r>
      <w:r>
        <w:t>the</w:t>
      </w:r>
      <w:r>
        <w:rPr>
          <w:spacing w:val="-10"/>
        </w:rPr>
        <w:t xml:space="preserve"> </w:t>
      </w:r>
      <w:r>
        <w:t>long</w:t>
      </w:r>
      <w:r>
        <w:rPr>
          <w:spacing w:val="-10"/>
        </w:rPr>
        <w:t xml:space="preserve"> </w:t>
      </w:r>
      <w:r>
        <w:t>term</w:t>
      </w:r>
      <w:r>
        <w:rPr>
          <w:spacing w:val="-11"/>
        </w:rPr>
        <w:t xml:space="preserve"> </w:t>
      </w:r>
      <w:r>
        <w:t>need</w:t>
      </w:r>
      <w:r>
        <w:rPr>
          <w:spacing w:val="-10"/>
        </w:rPr>
        <w:t xml:space="preserve"> </w:t>
      </w:r>
      <w:r>
        <w:t>for</w:t>
      </w:r>
      <w:r>
        <w:rPr>
          <w:spacing w:val="-10"/>
        </w:rPr>
        <w:t xml:space="preserve"> </w:t>
      </w:r>
      <w:r>
        <w:t>a</w:t>
      </w:r>
      <w:r>
        <w:rPr>
          <w:spacing w:val="-10"/>
        </w:rPr>
        <w:t xml:space="preserve"> </w:t>
      </w:r>
      <w:r>
        <w:t>secondary airport</w:t>
      </w:r>
      <w:r>
        <w:rPr>
          <w:spacing w:val="-10"/>
        </w:rPr>
        <w:t xml:space="preserve"> </w:t>
      </w:r>
      <w:r>
        <w:t>to</w:t>
      </w:r>
      <w:r>
        <w:rPr>
          <w:spacing w:val="-10"/>
        </w:rPr>
        <w:t xml:space="preserve"> </w:t>
      </w:r>
      <w:r>
        <w:t>take</w:t>
      </w:r>
      <w:r>
        <w:rPr>
          <w:spacing w:val="-10"/>
        </w:rPr>
        <w:t xml:space="preserve"> </w:t>
      </w:r>
      <w:r>
        <w:t>overspill</w:t>
      </w:r>
      <w:r>
        <w:rPr>
          <w:spacing w:val="-10"/>
        </w:rPr>
        <w:t xml:space="preserve"> </w:t>
      </w:r>
      <w:r>
        <w:t>traffic</w:t>
      </w:r>
      <w:r>
        <w:rPr>
          <w:spacing w:val="-10"/>
        </w:rPr>
        <w:t xml:space="preserve"> </w:t>
      </w:r>
      <w:r>
        <w:t>from</w:t>
      </w:r>
      <w:r>
        <w:rPr>
          <w:spacing w:val="-11"/>
        </w:rPr>
        <w:t xml:space="preserve"> </w:t>
      </w:r>
      <w:r>
        <w:t>Sydney</w:t>
      </w:r>
      <w:r>
        <w:rPr>
          <w:spacing w:val="-10"/>
        </w:rPr>
        <w:t xml:space="preserve"> </w:t>
      </w:r>
      <w:r>
        <w:t>Airport.</w:t>
      </w:r>
    </w:p>
    <w:p w:rsidR="002C1123" w:rsidRDefault="00F22F94">
      <w:pPr>
        <w:pStyle w:val="BodyText"/>
        <w:spacing w:before="2" w:line="249" w:lineRule="auto"/>
        <w:ind w:left="159" w:right="713"/>
      </w:pPr>
      <w:r>
        <w:t>A</w:t>
      </w:r>
      <w:r>
        <w:rPr>
          <w:spacing w:val="-10"/>
        </w:rPr>
        <w:t xml:space="preserve"> </w:t>
      </w:r>
      <w:r>
        <w:t>secondary</w:t>
      </w:r>
      <w:r>
        <w:rPr>
          <w:spacing w:val="-10"/>
        </w:rPr>
        <w:t xml:space="preserve"> </w:t>
      </w:r>
      <w:r>
        <w:t>airport</w:t>
      </w:r>
      <w:r>
        <w:rPr>
          <w:spacing w:val="-10"/>
        </w:rPr>
        <w:t xml:space="preserve"> </w:t>
      </w:r>
      <w:r>
        <w:t>to</w:t>
      </w:r>
      <w:r>
        <w:rPr>
          <w:spacing w:val="-10"/>
        </w:rPr>
        <w:t xml:space="preserve"> </w:t>
      </w:r>
      <w:r>
        <w:t>serve</w:t>
      </w:r>
      <w:r>
        <w:rPr>
          <w:spacing w:val="-10"/>
        </w:rPr>
        <w:t xml:space="preserve"> </w:t>
      </w:r>
      <w:r>
        <w:t>Western</w:t>
      </w:r>
      <w:r>
        <w:rPr>
          <w:spacing w:val="-10"/>
        </w:rPr>
        <w:t xml:space="preserve"> </w:t>
      </w:r>
      <w:r>
        <w:t>Sydney</w:t>
      </w:r>
      <w:r>
        <w:rPr>
          <w:spacing w:val="-10"/>
        </w:rPr>
        <w:t xml:space="preserve"> </w:t>
      </w:r>
      <w:r>
        <w:t>and surrounding</w:t>
      </w:r>
      <w:r>
        <w:rPr>
          <w:spacing w:val="-10"/>
        </w:rPr>
        <w:t xml:space="preserve"> </w:t>
      </w:r>
      <w:r>
        <w:t>areas</w:t>
      </w:r>
      <w:r>
        <w:rPr>
          <w:spacing w:val="-10"/>
        </w:rPr>
        <w:t xml:space="preserve"> </w:t>
      </w:r>
      <w:r>
        <w:t>would</w:t>
      </w:r>
      <w:r>
        <w:rPr>
          <w:spacing w:val="-10"/>
        </w:rPr>
        <w:t xml:space="preserve"> </w:t>
      </w:r>
      <w:r>
        <w:t>generate</w:t>
      </w:r>
      <w:r>
        <w:rPr>
          <w:spacing w:val="-10"/>
        </w:rPr>
        <w:t xml:space="preserve"> </w:t>
      </w:r>
      <w:r>
        <w:t xml:space="preserve">substantial </w:t>
      </w:r>
      <w:r>
        <w:rPr>
          <w:w w:val="95"/>
        </w:rPr>
        <w:t xml:space="preserve">economic gains for local communities and create both </w:t>
      </w:r>
      <w:r>
        <w:t>direct and indirect employment.</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292" w:space="40"/>
            <w:col w:w="5016" w:space="39"/>
            <w:col w:w="5673"/>
          </w:cols>
        </w:sectPr>
      </w:pPr>
    </w:p>
    <w:p w:rsidR="002C1123" w:rsidRDefault="002C1123">
      <w:pPr>
        <w:pStyle w:val="BodyText"/>
        <w:spacing w:before="10"/>
        <w:rPr>
          <w:sz w:val="28"/>
        </w:rPr>
      </w:pPr>
    </w:p>
    <w:p w:rsidR="002C1123" w:rsidRDefault="002060EF">
      <w:pPr>
        <w:pStyle w:val="BodyText"/>
        <w:spacing w:line="20" w:lineRule="exact"/>
        <w:ind w:left="492"/>
        <w:rPr>
          <w:sz w:val="2"/>
        </w:rPr>
      </w:pPr>
      <w:r>
        <w:rPr>
          <w:sz w:val="2"/>
        </w:rPr>
      </w:r>
      <w:r>
        <w:rPr>
          <w:sz w:val="2"/>
        </w:rPr>
        <w:pict>
          <v:group id="docshapegroup1627" o:spid="_x0000_s3451" style="width:1in;height:.5pt;mso-position-horizontal-relative:char;mso-position-vertical-relative:line" coordsize="1440,10">
            <v:line id="_x0000_s3452" style="position:absolute" from="0,5" to="1440,5" strokecolor="#9c9c9d" strokeweight=".5pt"/>
            <w10:anchorlock/>
          </v:group>
        </w:pict>
      </w:r>
    </w:p>
    <w:p w:rsidR="002C1123" w:rsidRDefault="002C1123">
      <w:pPr>
        <w:spacing w:line="20" w:lineRule="exact"/>
        <w:rPr>
          <w:sz w:val="2"/>
        </w:rPr>
        <w:sectPr w:rsidR="002C1123">
          <w:type w:val="continuous"/>
          <w:pgSz w:w="16840" w:h="11910" w:orient="landscape"/>
          <w:pgMar w:top="560" w:right="280" w:bottom="280" w:left="500" w:header="0" w:footer="517" w:gutter="0"/>
          <w:cols w:space="720"/>
        </w:sectPr>
      </w:pPr>
    </w:p>
    <w:p w:rsidR="002C1123" w:rsidRDefault="00F22F94">
      <w:pPr>
        <w:spacing w:before="8"/>
        <w:ind w:left="690" w:hanging="199"/>
        <w:rPr>
          <w:sz w:val="14"/>
        </w:rPr>
      </w:pPr>
      <w:r>
        <w:rPr>
          <w:w w:val="95"/>
          <w:sz w:val="14"/>
        </w:rPr>
        <w:t>25</w:t>
      </w:r>
      <w:r>
        <w:rPr>
          <w:spacing w:val="22"/>
          <w:sz w:val="14"/>
        </w:rPr>
        <w:t xml:space="preserve"> </w:t>
      </w:r>
      <w:r>
        <w:rPr>
          <w:w w:val="95"/>
          <w:sz w:val="14"/>
        </w:rPr>
        <w:t>Steering Committee 2012, Joint Study on Aviation Capacity for the Sydney</w:t>
      </w:r>
      <w:r>
        <w:rPr>
          <w:spacing w:val="40"/>
          <w:sz w:val="14"/>
        </w:rPr>
        <w:t xml:space="preserve"> </w:t>
      </w:r>
      <w:r>
        <w:rPr>
          <w:sz w:val="14"/>
        </w:rPr>
        <w:t>Region, Department of Infrastructure and Transport.</w:t>
      </w:r>
    </w:p>
    <w:p w:rsidR="002C1123" w:rsidRDefault="00F22F94">
      <w:pPr>
        <w:spacing w:before="1" w:after="24"/>
        <w:rPr>
          <w:sz w:val="10"/>
        </w:rPr>
      </w:pPr>
      <w:r>
        <w:br w:type="column"/>
      </w:r>
    </w:p>
    <w:p w:rsidR="002C1123" w:rsidRDefault="002060EF">
      <w:pPr>
        <w:pStyle w:val="BodyText"/>
        <w:spacing w:line="20" w:lineRule="exact"/>
        <w:ind w:left="492"/>
        <w:rPr>
          <w:sz w:val="2"/>
        </w:rPr>
      </w:pPr>
      <w:r>
        <w:rPr>
          <w:sz w:val="2"/>
        </w:rPr>
      </w:r>
      <w:r>
        <w:rPr>
          <w:sz w:val="2"/>
        </w:rPr>
        <w:pict>
          <v:group id="docshapegroup1628" o:spid="_x0000_s3449" style="width:1in;height:.5pt;mso-position-horizontal-relative:char;mso-position-vertical-relative:line" coordsize="1440,10">
            <v:line id="_x0000_s3450" style="position:absolute" from="0,5" to="1440,5" strokecolor="#9c9c9d" strokeweight=".5pt"/>
            <w10:anchorlock/>
          </v:group>
        </w:pict>
      </w:r>
    </w:p>
    <w:p w:rsidR="002C1123" w:rsidRDefault="00F22F94">
      <w:pPr>
        <w:spacing w:before="8"/>
        <w:ind w:left="492"/>
        <w:rPr>
          <w:sz w:val="14"/>
        </w:rPr>
      </w:pPr>
      <w:r>
        <w:rPr>
          <w:w w:val="95"/>
          <w:sz w:val="14"/>
        </w:rPr>
        <w:t>26</w:t>
      </w:r>
      <w:r>
        <w:rPr>
          <w:spacing w:val="-3"/>
          <w:w w:val="95"/>
          <w:sz w:val="14"/>
        </w:rPr>
        <w:t xml:space="preserve"> </w:t>
      </w:r>
      <w:r>
        <w:rPr>
          <w:w w:val="95"/>
          <w:sz w:val="14"/>
        </w:rPr>
        <w:t>UK</w:t>
      </w:r>
      <w:r>
        <w:rPr>
          <w:spacing w:val="-2"/>
          <w:w w:val="95"/>
          <w:sz w:val="14"/>
        </w:rPr>
        <w:t xml:space="preserve"> </w:t>
      </w:r>
      <w:r>
        <w:rPr>
          <w:w w:val="95"/>
          <w:sz w:val="14"/>
        </w:rPr>
        <w:t>Civil</w:t>
      </w:r>
      <w:r>
        <w:rPr>
          <w:spacing w:val="-2"/>
          <w:w w:val="95"/>
          <w:sz w:val="14"/>
        </w:rPr>
        <w:t xml:space="preserve"> </w:t>
      </w:r>
      <w:r>
        <w:rPr>
          <w:w w:val="95"/>
          <w:sz w:val="14"/>
        </w:rPr>
        <w:t>Aviation</w:t>
      </w:r>
      <w:r>
        <w:rPr>
          <w:spacing w:val="-3"/>
          <w:w w:val="95"/>
          <w:sz w:val="14"/>
        </w:rPr>
        <w:t xml:space="preserve"> </w:t>
      </w:r>
      <w:r>
        <w:rPr>
          <w:w w:val="95"/>
          <w:sz w:val="14"/>
        </w:rPr>
        <w:t>Authority</w:t>
      </w:r>
      <w:r>
        <w:rPr>
          <w:spacing w:val="-2"/>
          <w:w w:val="95"/>
          <w:sz w:val="14"/>
        </w:rPr>
        <w:t xml:space="preserve"> 2010.</w:t>
      </w:r>
    </w:p>
    <w:p w:rsidR="002C1123" w:rsidRDefault="002C1123">
      <w:pPr>
        <w:rPr>
          <w:sz w:val="14"/>
        </w:rPr>
        <w:sectPr w:rsidR="002C1123">
          <w:type w:val="continuous"/>
          <w:pgSz w:w="16840" w:h="11910" w:orient="landscape"/>
          <w:pgMar w:top="560" w:right="280" w:bottom="280" w:left="500" w:header="0" w:footer="517" w:gutter="0"/>
          <w:cols w:num="2" w:space="720" w:equalWidth="0">
            <w:col w:w="5201" w:space="4852"/>
            <w:col w:w="6007"/>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2C1123">
      <w:pPr>
        <w:pStyle w:val="BodyText"/>
        <w:spacing w:before="4"/>
        <w:rPr>
          <w:sz w:val="16"/>
        </w:rPr>
      </w:pPr>
    </w:p>
    <w:p w:rsidR="002C1123" w:rsidRDefault="00F22F94">
      <w:pPr>
        <w:ind w:left="479"/>
        <w:rPr>
          <w:b/>
          <w:sz w:val="18"/>
        </w:rPr>
      </w:pPr>
      <w:bookmarkStart w:id="260" w:name="9.8_Conclusions"/>
      <w:bookmarkStart w:id="261" w:name="_bookmark185"/>
      <w:bookmarkStart w:id="262" w:name="_bookmark184"/>
      <w:bookmarkEnd w:id="260"/>
      <w:bookmarkEnd w:id="261"/>
      <w:bookmarkEnd w:id="262"/>
      <w:r>
        <w:rPr>
          <w:b/>
          <w:sz w:val="18"/>
        </w:rPr>
        <w:t>Figure</w:t>
      </w:r>
      <w:r>
        <w:rPr>
          <w:b/>
          <w:spacing w:val="-8"/>
          <w:sz w:val="18"/>
        </w:rPr>
        <w:t xml:space="preserve"> </w:t>
      </w:r>
      <w:r>
        <w:rPr>
          <w:b/>
          <w:sz w:val="18"/>
        </w:rPr>
        <w:t>9.5</w:t>
      </w:r>
      <w:r>
        <w:rPr>
          <w:b/>
          <w:spacing w:val="35"/>
          <w:sz w:val="18"/>
        </w:rPr>
        <w:t xml:space="preserve"> </w:t>
      </w:r>
      <w:r>
        <w:rPr>
          <w:b/>
          <w:sz w:val="18"/>
        </w:rPr>
        <w:t>Sydney</w:t>
      </w:r>
      <w:r>
        <w:rPr>
          <w:b/>
          <w:spacing w:val="-7"/>
          <w:sz w:val="18"/>
        </w:rPr>
        <w:t xml:space="preserve"> </w:t>
      </w:r>
      <w:r>
        <w:rPr>
          <w:b/>
          <w:sz w:val="18"/>
        </w:rPr>
        <w:t>region</w:t>
      </w:r>
      <w:r>
        <w:rPr>
          <w:b/>
          <w:spacing w:val="-8"/>
          <w:sz w:val="18"/>
        </w:rPr>
        <w:t xml:space="preserve"> </w:t>
      </w:r>
      <w:r>
        <w:rPr>
          <w:b/>
          <w:sz w:val="18"/>
        </w:rPr>
        <w:t>–</w:t>
      </w:r>
      <w:r>
        <w:rPr>
          <w:b/>
          <w:spacing w:val="-7"/>
          <w:sz w:val="18"/>
        </w:rPr>
        <w:t xml:space="preserve"> </w:t>
      </w:r>
      <w:r>
        <w:rPr>
          <w:b/>
          <w:sz w:val="18"/>
        </w:rPr>
        <w:t>Airline</w:t>
      </w:r>
      <w:r>
        <w:rPr>
          <w:b/>
          <w:spacing w:val="-8"/>
          <w:sz w:val="18"/>
        </w:rPr>
        <w:t xml:space="preserve"> </w:t>
      </w:r>
      <w:r>
        <w:rPr>
          <w:b/>
          <w:sz w:val="18"/>
        </w:rPr>
        <w:t>market</w:t>
      </w:r>
      <w:r>
        <w:rPr>
          <w:b/>
          <w:spacing w:val="-7"/>
          <w:sz w:val="18"/>
        </w:rPr>
        <w:t xml:space="preserve"> </w:t>
      </w:r>
      <w:r>
        <w:rPr>
          <w:b/>
          <w:sz w:val="18"/>
        </w:rPr>
        <w:t>shares</w:t>
      </w:r>
      <w:r>
        <w:rPr>
          <w:b/>
          <w:spacing w:val="-8"/>
          <w:sz w:val="18"/>
        </w:rPr>
        <w:t xml:space="preserve"> </w:t>
      </w:r>
      <w:r>
        <w:rPr>
          <w:b/>
          <w:sz w:val="18"/>
        </w:rPr>
        <w:t>for</w:t>
      </w:r>
      <w:r>
        <w:rPr>
          <w:b/>
          <w:spacing w:val="-7"/>
          <w:sz w:val="18"/>
        </w:rPr>
        <w:t xml:space="preserve"> </w:t>
      </w:r>
      <w:r>
        <w:rPr>
          <w:b/>
          <w:spacing w:val="-2"/>
          <w:sz w:val="18"/>
        </w:rPr>
        <w:t>passengers</w:t>
      </w:r>
    </w:p>
    <w:p w:rsidR="002C1123" w:rsidRDefault="002C1123">
      <w:pPr>
        <w:pStyle w:val="BodyText"/>
        <w:spacing w:before="2"/>
        <w:rPr>
          <w:b/>
          <w:sz w:val="23"/>
        </w:rPr>
      </w:pPr>
    </w:p>
    <w:p w:rsidR="002C1123" w:rsidRDefault="00F22F94">
      <w:pPr>
        <w:spacing w:before="1" w:line="247" w:lineRule="auto"/>
        <w:ind w:left="479" w:right="4310" w:firstLine="19"/>
        <w:jc w:val="right"/>
        <w:rPr>
          <w:sz w:val="16"/>
        </w:rPr>
      </w:pPr>
      <w:r>
        <w:rPr>
          <w:spacing w:val="-2"/>
          <w:w w:val="80"/>
          <w:sz w:val="16"/>
        </w:rPr>
        <w:t>Domestic</w:t>
      </w:r>
      <w:r>
        <w:rPr>
          <w:spacing w:val="-10"/>
          <w:sz w:val="16"/>
        </w:rPr>
        <w:t xml:space="preserve"> </w:t>
      </w:r>
      <w:r>
        <w:rPr>
          <w:spacing w:val="-2"/>
          <w:w w:val="80"/>
          <w:sz w:val="16"/>
        </w:rPr>
        <w:t>passengers</w:t>
      </w:r>
      <w:r>
        <w:rPr>
          <w:sz w:val="16"/>
        </w:rPr>
        <w:t xml:space="preserve"> </w:t>
      </w:r>
      <w:r>
        <w:rPr>
          <w:w w:val="80"/>
          <w:sz w:val="16"/>
        </w:rPr>
        <w:t>travelling</w:t>
      </w:r>
      <w:r>
        <w:rPr>
          <w:spacing w:val="-2"/>
          <w:w w:val="80"/>
          <w:sz w:val="16"/>
        </w:rPr>
        <w:t xml:space="preserve"> </w:t>
      </w:r>
      <w:r>
        <w:rPr>
          <w:w w:val="80"/>
          <w:sz w:val="16"/>
        </w:rPr>
        <w:t>for</w:t>
      </w:r>
      <w:r>
        <w:rPr>
          <w:spacing w:val="-1"/>
          <w:w w:val="80"/>
          <w:sz w:val="16"/>
        </w:rPr>
        <w:t xml:space="preserve"> </w:t>
      </w:r>
      <w:r>
        <w:rPr>
          <w:spacing w:val="-2"/>
          <w:w w:val="80"/>
          <w:sz w:val="16"/>
        </w:rPr>
        <w:t>business</w:t>
      </w:r>
    </w:p>
    <w:p w:rsidR="002C1123" w:rsidRDefault="002C1123">
      <w:pPr>
        <w:pStyle w:val="BodyText"/>
        <w:rPr>
          <w:sz w:val="18"/>
        </w:rPr>
      </w:pPr>
    </w:p>
    <w:p w:rsidR="002C1123" w:rsidRDefault="002C1123">
      <w:pPr>
        <w:pStyle w:val="BodyText"/>
        <w:spacing w:before="3"/>
        <w:rPr>
          <w:sz w:val="15"/>
        </w:rPr>
      </w:pPr>
    </w:p>
    <w:p w:rsidR="002C1123" w:rsidRDefault="00F22F94">
      <w:pPr>
        <w:spacing w:before="1" w:line="247" w:lineRule="auto"/>
        <w:ind w:left="1065" w:right="4310" w:firstLine="121"/>
        <w:jc w:val="right"/>
        <w:rPr>
          <w:sz w:val="16"/>
        </w:rPr>
      </w:pPr>
      <w:r>
        <w:rPr>
          <w:spacing w:val="-2"/>
          <w:w w:val="75"/>
          <w:sz w:val="16"/>
        </w:rPr>
        <w:t>Domestic</w:t>
      </w:r>
      <w:r>
        <w:rPr>
          <w:sz w:val="16"/>
        </w:rPr>
        <w:t xml:space="preserve"> </w:t>
      </w:r>
      <w:r>
        <w:rPr>
          <w:spacing w:val="-2"/>
          <w:w w:val="75"/>
          <w:sz w:val="16"/>
        </w:rPr>
        <w:t>passengers</w:t>
      </w:r>
    </w:p>
    <w:p w:rsidR="002C1123" w:rsidRDefault="00F22F94">
      <w:pPr>
        <w:pStyle w:val="BodyText"/>
        <w:spacing w:before="106" w:line="249" w:lineRule="auto"/>
        <w:ind w:left="914" w:right="934"/>
      </w:pPr>
      <w:r>
        <w:br w:type="column"/>
      </w:r>
      <w:r>
        <w:t>of</w:t>
      </w:r>
      <w:r>
        <w:rPr>
          <w:spacing w:val="-14"/>
        </w:rPr>
        <w:t xml:space="preserve"> </w:t>
      </w:r>
      <w:r>
        <w:t>the</w:t>
      </w:r>
      <w:r>
        <w:rPr>
          <w:spacing w:val="-14"/>
        </w:rPr>
        <w:t xml:space="preserve"> </w:t>
      </w:r>
      <w:r>
        <w:t>Western</w:t>
      </w:r>
      <w:r>
        <w:rPr>
          <w:spacing w:val="-14"/>
        </w:rPr>
        <w:t xml:space="preserve"> </w:t>
      </w:r>
      <w:r>
        <w:t>Sydney</w:t>
      </w:r>
      <w:r>
        <w:rPr>
          <w:spacing w:val="-14"/>
        </w:rPr>
        <w:t xml:space="preserve"> </w:t>
      </w:r>
      <w:r>
        <w:t>regional</w:t>
      </w:r>
      <w:r>
        <w:rPr>
          <w:spacing w:val="-14"/>
        </w:rPr>
        <w:t xml:space="preserve"> </w:t>
      </w:r>
      <w:r>
        <w:t>airport</w:t>
      </w:r>
      <w:r>
        <w:rPr>
          <w:spacing w:val="-14"/>
        </w:rPr>
        <w:t xml:space="preserve"> </w:t>
      </w:r>
      <w:r>
        <w:t>should</w:t>
      </w:r>
      <w:r>
        <w:rPr>
          <w:spacing w:val="-14"/>
        </w:rPr>
        <w:t xml:space="preserve"> </w:t>
      </w:r>
      <w:r>
        <w:t>occur. Further</w:t>
      </w:r>
      <w:r>
        <w:rPr>
          <w:spacing w:val="-11"/>
        </w:rPr>
        <w:t xml:space="preserve"> </w:t>
      </w:r>
      <w:r>
        <w:t>detailed</w:t>
      </w:r>
      <w:r>
        <w:rPr>
          <w:spacing w:val="-11"/>
        </w:rPr>
        <w:t xml:space="preserve"> </w:t>
      </w:r>
      <w:r>
        <w:t>assessment</w:t>
      </w:r>
      <w:r>
        <w:rPr>
          <w:spacing w:val="-11"/>
        </w:rPr>
        <w:t xml:space="preserve"> </w:t>
      </w:r>
      <w:r>
        <w:t>should</w:t>
      </w:r>
      <w:r>
        <w:rPr>
          <w:spacing w:val="-11"/>
        </w:rPr>
        <w:t xml:space="preserve"> </w:t>
      </w:r>
      <w:r>
        <w:t>be</w:t>
      </w:r>
      <w:r>
        <w:rPr>
          <w:spacing w:val="-11"/>
        </w:rPr>
        <w:t xml:space="preserve"> </w:t>
      </w:r>
      <w:r>
        <w:t>made</w:t>
      </w:r>
      <w:r>
        <w:rPr>
          <w:spacing w:val="-11"/>
        </w:rPr>
        <w:t xml:space="preserve"> </w:t>
      </w:r>
      <w:r>
        <w:t>of</w:t>
      </w:r>
      <w:r>
        <w:rPr>
          <w:spacing w:val="-11"/>
        </w:rPr>
        <w:t xml:space="preserve"> </w:t>
      </w:r>
      <w:r>
        <w:t xml:space="preserve">the </w:t>
      </w:r>
      <w:r>
        <w:rPr>
          <w:w w:val="95"/>
        </w:rPr>
        <w:t>options</w:t>
      </w:r>
      <w:r>
        <w:rPr>
          <w:spacing w:val="-3"/>
          <w:w w:val="95"/>
        </w:rPr>
        <w:t xml:space="preserve"> </w:t>
      </w:r>
      <w:r>
        <w:rPr>
          <w:w w:val="95"/>
        </w:rPr>
        <w:t>for</w:t>
      </w:r>
      <w:r>
        <w:rPr>
          <w:spacing w:val="-3"/>
          <w:w w:val="95"/>
        </w:rPr>
        <w:t xml:space="preserve"> </w:t>
      </w:r>
      <w:r>
        <w:rPr>
          <w:w w:val="95"/>
        </w:rPr>
        <w:t>the</w:t>
      </w:r>
      <w:r>
        <w:rPr>
          <w:spacing w:val="-3"/>
          <w:w w:val="95"/>
        </w:rPr>
        <w:t xml:space="preserve"> </w:t>
      </w:r>
      <w:r>
        <w:rPr>
          <w:w w:val="95"/>
        </w:rPr>
        <w:t>RAAF</w:t>
      </w:r>
      <w:r>
        <w:rPr>
          <w:spacing w:val="-3"/>
          <w:w w:val="95"/>
        </w:rPr>
        <w:t xml:space="preserve"> </w:t>
      </w:r>
      <w:r>
        <w:rPr>
          <w:w w:val="95"/>
        </w:rPr>
        <w:t>Base</w:t>
      </w:r>
      <w:r>
        <w:rPr>
          <w:spacing w:val="-3"/>
          <w:w w:val="95"/>
        </w:rPr>
        <w:t xml:space="preserve"> </w:t>
      </w:r>
      <w:r>
        <w:rPr>
          <w:w w:val="95"/>
        </w:rPr>
        <w:t>Richmond</w:t>
      </w:r>
      <w:r>
        <w:rPr>
          <w:spacing w:val="-3"/>
          <w:w w:val="95"/>
        </w:rPr>
        <w:t xml:space="preserve"> </w:t>
      </w:r>
      <w:r>
        <w:rPr>
          <w:w w:val="95"/>
        </w:rPr>
        <w:t>to</w:t>
      </w:r>
      <w:r>
        <w:rPr>
          <w:spacing w:val="-3"/>
          <w:w w:val="95"/>
        </w:rPr>
        <w:t xml:space="preserve"> </w:t>
      </w:r>
      <w:r>
        <w:rPr>
          <w:w w:val="95"/>
        </w:rPr>
        <w:t>take</w:t>
      </w:r>
      <w:r>
        <w:rPr>
          <w:spacing w:val="-3"/>
          <w:w w:val="95"/>
        </w:rPr>
        <w:t xml:space="preserve"> </w:t>
      </w:r>
      <w:r>
        <w:rPr>
          <w:w w:val="95"/>
        </w:rPr>
        <w:t>on</w:t>
      </w:r>
      <w:r>
        <w:rPr>
          <w:spacing w:val="-3"/>
          <w:w w:val="95"/>
        </w:rPr>
        <w:t xml:space="preserve"> </w:t>
      </w:r>
      <w:r>
        <w:rPr>
          <w:w w:val="95"/>
        </w:rPr>
        <w:t>some</w:t>
      </w:r>
    </w:p>
    <w:p w:rsidR="002C1123" w:rsidRDefault="002060EF">
      <w:pPr>
        <w:pStyle w:val="BodyText"/>
        <w:tabs>
          <w:tab w:val="left" w:pos="914"/>
        </w:tabs>
        <w:spacing w:before="2" w:line="249" w:lineRule="auto"/>
        <w:ind w:left="914" w:right="728" w:hanging="435"/>
      </w:pPr>
      <w:r>
        <w:pict>
          <v:group id="docshapegroup1629" o:spid="_x0000_s3444" style="position:absolute;left:0;text-align:left;margin-left:119.6pt;margin-top:-3.7pt;width:408pt;height:11.35pt;z-index:251530240;mso-position-horizontal-relative:page" coordorigin="2392,-74" coordsize="8160,227">
            <v:rect id="docshape1630" o:spid="_x0000_s3448" style="position:absolute;left:10306;top:-75;width:245;height:227" fillcolor="#b9e5fa" stroked="f"/>
            <v:shape id="docshape1631" o:spid="_x0000_s3447" type="#_x0000_t202" style="position:absolute;left:9735;top:-75;width:572;height:227" fillcolor="#bbb8dc" stroked="f">
              <v:textbox inset="0,0,0,0">
                <w:txbxContent>
                  <w:p w:rsidR="00F22F94" w:rsidRDefault="00F22F94">
                    <w:pPr>
                      <w:spacing w:before="31"/>
                      <w:ind w:left="335"/>
                      <w:rPr>
                        <w:color w:val="000000"/>
                        <w:sz w:val="14"/>
                      </w:rPr>
                    </w:pPr>
                    <w:r>
                      <w:rPr>
                        <w:color w:val="FFFFFF"/>
                        <w:spacing w:val="-5"/>
                        <w:w w:val="95"/>
                        <w:sz w:val="14"/>
                      </w:rPr>
                      <w:t>7%</w:t>
                    </w:r>
                  </w:p>
                </w:txbxContent>
              </v:textbox>
            </v:shape>
            <v:shape id="docshape1632" o:spid="_x0000_s3446" type="#_x0000_t202" style="position:absolute;left:7450;top:-75;width:2285;height:227" fillcolor="#00aeef" stroked="f">
              <v:textbox inset="0,0,0,0">
                <w:txbxContent>
                  <w:p w:rsidR="00F22F94" w:rsidRDefault="00F22F94">
                    <w:pPr>
                      <w:spacing w:before="31"/>
                      <w:ind w:right="60"/>
                      <w:jc w:val="right"/>
                      <w:rPr>
                        <w:color w:val="000000"/>
                        <w:sz w:val="14"/>
                      </w:rPr>
                    </w:pPr>
                    <w:r>
                      <w:rPr>
                        <w:color w:val="FFFFFF"/>
                        <w:spacing w:val="-5"/>
                        <w:w w:val="95"/>
                        <w:sz w:val="14"/>
                      </w:rPr>
                      <w:t>28%</w:t>
                    </w:r>
                  </w:p>
                </w:txbxContent>
              </v:textbox>
            </v:shape>
            <v:shape id="docshape1633" o:spid="_x0000_s3445" type="#_x0000_t202" style="position:absolute;left:2391;top:-75;width:5060;height:227" fillcolor="#2e3092" stroked="f">
              <v:textbox inset="0,0,0,0">
                <w:txbxContent>
                  <w:p w:rsidR="00F22F94" w:rsidRDefault="00F22F94">
                    <w:pPr>
                      <w:spacing w:before="31"/>
                      <w:ind w:right="60"/>
                      <w:jc w:val="right"/>
                      <w:rPr>
                        <w:color w:val="000000"/>
                        <w:sz w:val="14"/>
                      </w:rPr>
                    </w:pPr>
                    <w:r>
                      <w:rPr>
                        <w:color w:val="FFFFFF"/>
                        <w:spacing w:val="-5"/>
                        <w:w w:val="95"/>
                        <w:sz w:val="14"/>
                      </w:rPr>
                      <w:t>62%</w:t>
                    </w:r>
                  </w:p>
                </w:txbxContent>
              </v:textbox>
            </v:shape>
            <w10:wrap anchorx="page"/>
          </v:group>
        </w:pict>
      </w:r>
      <w:r w:rsidR="00F22F94">
        <w:rPr>
          <w:spacing w:val="-6"/>
          <w:vertAlign w:val="superscript"/>
        </w:rPr>
        <w:t>3%</w:t>
      </w:r>
      <w:r w:rsidR="00F22F94">
        <w:tab/>
      </w:r>
      <w:r w:rsidR="00F22F94">
        <w:rPr>
          <w:w w:val="95"/>
        </w:rPr>
        <w:t>aspects</w:t>
      </w:r>
      <w:r w:rsidR="00F22F94">
        <w:rPr>
          <w:spacing w:val="-2"/>
          <w:w w:val="95"/>
        </w:rPr>
        <w:t xml:space="preserve"> </w:t>
      </w:r>
      <w:r w:rsidR="00F22F94">
        <w:rPr>
          <w:w w:val="95"/>
        </w:rPr>
        <w:t>of</w:t>
      </w:r>
      <w:r w:rsidR="00F22F94">
        <w:rPr>
          <w:spacing w:val="-2"/>
          <w:w w:val="95"/>
        </w:rPr>
        <w:t xml:space="preserve"> </w:t>
      </w:r>
      <w:r w:rsidR="00F22F94">
        <w:rPr>
          <w:w w:val="95"/>
        </w:rPr>
        <w:t>this</w:t>
      </w:r>
      <w:r w:rsidR="00F22F94">
        <w:rPr>
          <w:spacing w:val="-2"/>
          <w:w w:val="95"/>
        </w:rPr>
        <w:t xml:space="preserve"> </w:t>
      </w:r>
      <w:r w:rsidR="00F22F94">
        <w:rPr>
          <w:w w:val="95"/>
        </w:rPr>
        <w:t>role</w:t>
      </w:r>
      <w:r w:rsidR="00F22F94">
        <w:rPr>
          <w:spacing w:val="-2"/>
          <w:w w:val="95"/>
        </w:rPr>
        <w:t xml:space="preserve"> </w:t>
      </w:r>
      <w:r w:rsidR="00F22F94">
        <w:rPr>
          <w:w w:val="95"/>
        </w:rPr>
        <w:t>prior</w:t>
      </w:r>
      <w:r w:rsidR="00F22F94">
        <w:rPr>
          <w:spacing w:val="-2"/>
          <w:w w:val="95"/>
        </w:rPr>
        <w:t xml:space="preserve"> </w:t>
      </w:r>
      <w:r w:rsidR="00F22F94">
        <w:rPr>
          <w:w w:val="95"/>
        </w:rPr>
        <w:t>to</w:t>
      </w:r>
      <w:r w:rsidR="00F22F94">
        <w:rPr>
          <w:spacing w:val="-2"/>
          <w:w w:val="95"/>
        </w:rPr>
        <w:t xml:space="preserve"> </w:t>
      </w:r>
      <w:r w:rsidR="00F22F94">
        <w:rPr>
          <w:w w:val="95"/>
        </w:rPr>
        <w:t>the</w:t>
      </w:r>
      <w:r w:rsidR="00F22F94">
        <w:rPr>
          <w:spacing w:val="-2"/>
          <w:w w:val="95"/>
        </w:rPr>
        <w:t xml:space="preserve"> </w:t>
      </w:r>
      <w:r w:rsidR="00F22F94">
        <w:rPr>
          <w:w w:val="95"/>
        </w:rPr>
        <w:t>completion</w:t>
      </w:r>
      <w:r w:rsidR="00F22F94">
        <w:rPr>
          <w:spacing w:val="-2"/>
          <w:w w:val="95"/>
        </w:rPr>
        <w:t xml:space="preserve"> </w:t>
      </w:r>
      <w:r w:rsidR="00F22F94">
        <w:rPr>
          <w:w w:val="95"/>
        </w:rPr>
        <w:t>of</w:t>
      </w:r>
      <w:r w:rsidR="00F22F94">
        <w:rPr>
          <w:spacing w:val="-2"/>
          <w:w w:val="95"/>
        </w:rPr>
        <w:t xml:space="preserve"> </w:t>
      </w:r>
      <w:r w:rsidR="00F22F94">
        <w:rPr>
          <w:w w:val="95"/>
        </w:rPr>
        <w:t>a</w:t>
      </w:r>
      <w:r w:rsidR="00F22F94">
        <w:rPr>
          <w:spacing w:val="-2"/>
          <w:w w:val="95"/>
        </w:rPr>
        <w:t xml:space="preserve"> </w:t>
      </w:r>
      <w:r w:rsidR="00F22F94">
        <w:rPr>
          <w:w w:val="95"/>
        </w:rPr>
        <w:t xml:space="preserve">dedicated </w:t>
      </w:r>
      <w:r w:rsidR="00F22F94">
        <w:t>new</w:t>
      </w:r>
      <w:r w:rsidR="00F22F94">
        <w:rPr>
          <w:spacing w:val="-8"/>
        </w:rPr>
        <w:t xml:space="preserve"> </w:t>
      </w:r>
      <w:r w:rsidR="00F22F94">
        <w:t>facility</w:t>
      </w:r>
      <w:r w:rsidR="00F22F94">
        <w:rPr>
          <w:spacing w:val="-8"/>
        </w:rPr>
        <w:t xml:space="preserve"> </w:t>
      </w:r>
      <w:r w:rsidR="00F22F94">
        <w:t>in</w:t>
      </w:r>
      <w:r w:rsidR="00F22F94">
        <w:rPr>
          <w:spacing w:val="-8"/>
        </w:rPr>
        <w:t xml:space="preserve"> </w:t>
      </w:r>
      <w:r w:rsidR="00F22F94">
        <w:t>Western</w:t>
      </w:r>
      <w:r w:rsidR="00F22F94">
        <w:rPr>
          <w:spacing w:val="-8"/>
        </w:rPr>
        <w:t xml:space="preserve"> </w:t>
      </w:r>
      <w:r w:rsidR="00F22F94">
        <w:t>Sydney.</w:t>
      </w:r>
    </w:p>
    <w:p w:rsidR="002C1123" w:rsidRDefault="002C1123">
      <w:pPr>
        <w:pStyle w:val="BodyText"/>
        <w:spacing w:before="8"/>
      </w:pPr>
    </w:p>
    <w:p w:rsidR="002C1123" w:rsidRDefault="002060EF">
      <w:pPr>
        <w:ind w:left="479"/>
        <w:rPr>
          <w:sz w:val="14"/>
        </w:rPr>
      </w:pPr>
      <w:r>
        <w:pict>
          <v:group id="docshapegroup1634" o:spid="_x0000_s3439" style="position:absolute;left:0;text-align:left;margin-left:119.6pt;margin-top:-1.5pt;width:408pt;height:11.35pt;z-index:251531264;mso-position-horizontal-relative:page" coordorigin="2392,-30" coordsize="8160,227">
            <v:rect id="docshape1635" o:spid="_x0000_s3443" style="position:absolute;left:10388;top:-31;width:164;height:227" fillcolor="#b9e5fa" stroked="f"/>
            <v:shape id="docshape1636" o:spid="_x0000_s3442" type="#_x0000_t202" style="position:absolute;left:9001;top:-31;width:1388;height:227" fillcolor="#bbb8dc" stroked="f">
              <v:textbox inset="0,0,0,0">
                <w:txbxContent>
                  <w:p w:rsidR="00F22F94" w:rsidRDefault="00F22F94">
                    <w:pPr>
                      <w:spacing w:before="31"/>
                      <w:ind w:right="60"/>
                      <w:jc w:val="right"/>
                      <w:rPr>
                        <w:color w:val="000000"/>
                        <w:sz w:val="14"/>
                      </w:rPr>
                    </w:pPr>
                    <w:r>
                      <w:rPr>
                        <w:color w:val="FFFFFF"/>
                        <w:spacing w:val="-5"/>
                        <w:w w:val="95"/>
                        <w:sz w:val="14"/>
                      </w:rPr>
                      <w:t>17%</w:t>
                    </w:r>
                  </w:p>
                </w:txbxContent>
              </v:textbox>
            </v:shape>
            <v:shape id="docshape1637" o:spid="_x0000_s3441" type="#_x0000_t202" style="position:absolute;left:6226;top:-31;width:2775;height:227" fillcolor="#00aeef" stroked="f">
              <v:textbox inset="0,0,0,0">
                <w:txbxContent>
                  <w:p w:rsidR="00F22F94" w:rsidRDefault="00F22F94">
                    <w:pPr>
                      <w:spacing w:before="31"/>
                      <w:ind w:right="60"/>
                      <w:jc w:val="right"/>
                      <w:rPr>
                        <w:color w:val="000000"/>
                        <w:sz w:val="14"/>
                      </w:rPr>
                    </w:pPr>
                    <w:r>
                      <w:rPr>
                        <w:color w:val="FFFFFF"/>
                        <w:spacing w:val="-5"/>
                        <w:w w:val="95"/>
                        <w:sz w:val="14"/>
                      </w:rPr>
                      <w:t>34%</w:t>
                    </w:r>
                  </w:p>
                </w:txbxContent>
              </v:textbox>
            </v:shape>
            <v:shape id="docshape1638" o:spid="_x0000_s3440" type="#_x0000_t202" style="position:absolute;left:2391;top:-31;width:3836;height:227" fillcolor="#2e3092" stroked="f">
              <v:textbox inset="0,0,0,0">
                <w:txbxContent>
                  <w:p w:rsidR="00F22F94" w:rsidRDefault="00F22F94">
                    <w:pPr>
                      <w:spacing w:before="31"/>
                      <w:ind w:right="60"/>
                      <w:jc w:val="right"/>
                      <w:rPr>
                        <w:color w:val="000000"/>
                        <w:sz w:val="14"/>
                      </w:rPr>
                    </w:pPr>
                    <w:r>
                      <w:rPr>
                        <w:color w:val="FFFFFF"/>
                        <w:spacing w:val="-5"/>
                        <w:w w:val="95"/>
                        <w:sz w:val="14"/>
                      </w:rPr>
                      <w:t>47%</w:t>
                    </w:r>
                  </w:p>
                </w:txbxContent>
              </v:textbox>
            </v:shape>
            <w10:wrap anchorx="page"/>
          </v:group>
        </w:pict>
      </w:r>
      <w:r>
        <w:pict>
          <v:shape id="docshape1639" o:spid="_x0000_s3438" type="#_x0000_t202" style="position:absolute;left:0;text-align:left;margin-left:552.3pt;margin-top:-3.35pt;width:239pt;height:174.65pt;z-index:251539456;mso-position-horizontal-relative:page" fillcolor="#e1e0e1" stroked="f">
            <v:textbox inset="0,0,0,0">
              <w:txbxContent>
                <w:p w:rsidR="00F22F94" w:rsidRDefault="00F22F94">
                  <w:pPr>
                    <w:pStyle w:val="BodyText"/>
                    <w:spacing w:before="68" w:line="249" w:lineRule="auto"/>
                    <w:ind w:left="113" w:right="115"/>
                    <w:rPr>
                      <w:color w:val="000000"/>
                    </w:rPr>
                  </w:pPr>
                  <w:r>
                    <w:rPr>
                      <w:b/>
                      <w:color w:val="00AEEF"/>
                    </w:rPr>
                    <w:t>Recommendation</w:t>
                  </w:r>
                  <w:r>
                    <w:rPr>
                      <w:b/>
                      <w:color w:val="00AEEF"/>
                      <w:spacing w:val="40"/>
                    </w:rPr>
                    <w:t xml:space="preserve"> </w:t>
                  </w:r>
                  <w:r>
                    <w:rPr>
                      <w:color w:val="000000"/>
                    </w:rPr>
                    <w:t>Infrastructure NSW recommends</w:t>
                  </w:r>
                  <w:r>
                    <w:rPr>
                      <w:color w:val="000000"/>
                      <w:spacing w:val="-1"/>
                    </w:rPr>
                    <w:t xml:space="preserve"> </w:t>
                  </w:r>
                  <w:r>
                    <w:rPr>
                      <w:color w:val="000000"/>
                    </w:rPr>
                    <w:t>that</w:t>
                  </w:r>
                  <w:r>
                    <w:rPr>
                      <w:color w:val="000000"/>
                      <w:spacing w:val="-1"/>
                    </w:rPr>
                    <w:t xml:space="preserve"> </w:t>
                  </w:r>
                  <w:r>
                    <w:rPr>
                      <w:color w:val="000000"/>
                    </w:rPr>
                    <w:t>the</w:t>
                  </w:r>
                  <w:r>
                    <w:rPr>
                      <w:color w:val="000000"/>
                      <w:spacing w:val="-1"/>
                    </w:rPr>
                    <w:t xml:space="preserve"> </w:t>
                  </w:r>
                  <w:r>
                    <w:rPr>
                      <w:color w:val="000000"/>
                    </w:rPr>
                    <w:t>NSW</w:t>
                  </w:r>
                  <w:r>
                    <w:rPr>
                      <w:color w:val="000000"/>
                      <w:spacing w:val="-1"/>
                    </w:rPr>
                    <w:t xml:space="preserve"> </w:t>
                  </w:r>
                  <w:r>
                    <w:rPr>
                      <w:color w:val="000000"/>
                    </w:rPr>
                    <w:t>and</w:t>
                  </w:r>
                  <w:r>
                    <w:rPr>
                      <w:color w:val="000000"/>
                      <w:spacing w:val="-1"/>
                    </w:rPr>
                    <w:t xml:space="preserve"> </w:t>
                  </w:r>
                  <w:r>
                    <w:rPr>
                      <w:color w:val="000000"/>
                    </w:rPr>
                    <w:t xml:space="preserve">Commonwealth </w:t>
                  </w:r>
                  <w:r>
                    <w:rPr>
                      <w:color w:val="000000"/>
                      <w:w w:val="95"/>
                    </w:rPr>
                    <w:t>Governments</w:t>
                  </w:r>
                  <w:r>
                    <w:rPr>
                      <w:color w:val="000000"/>
                      <w:spacing w:val="-2"/>
                      <w:w w:val="95"/>
                    </w:rPr>
                    <w:t xml:space="preserve"> </w:t>
                  </w:r>
                  <w:r>
                    <w:rPr>
                      <w:color w:val="000000"/>
                      <w:w w:val="95"/>
                    </w:rPr>
                    <w:t>conduct</w:t>
                  </w:r>
                  <w:r>
                    <w:rPr>
                      <w:color w:val="000000"/>
                      <w:spacing w:val="-2"/>
                      <w:w w:val="95"/>
                    </w:rPr>
                    <w:t xml:space="preserve"> </w:t>
                  </w:r>
                  <w:r>
                    <w:rPr>
                      <w:color w:val="000000"/>
                      <w:w w:val="95"/>
                    </w:rPr>
                    <w:t>a</w:t>
                  </w:r>
                  <w:r>
                    <w:rPr>
                      <w:color w:val="000000"/>
                      <w:spacing w:val="-2"/>
                      <w:w w:val="95"/>
                    </w:rPr>
                    <w:t xml:space="preserve"> </w:t>
                  </w:r>
                  <w:r>
                    <w:rPr>
                      <w:color w:val="000000"/>
                      <w:w w:val="95"/>
                    </w:rPr>
                    <w:t>strategic</w:t>
                  </w:r>
                  <w:r>
                    <w:rPr>
                      <w:color w:val="000000"/>
                      <w:spacing w:val="-2"/>
                      <w:w w:val="95"/>
                    </w:rPr>
                    <w:t xml:space="preserve"> </w:t>
                  </w:r>
                  <w:r>
                    <w:rPr>
                      <w:color w:val="000000"/>
                      <w:w w:val="95"/>
                    </w:rPr>
                    <w:t>planning</w:t>
                  </w:r>
                  <w:r>
                    <w:rPr>
                      <w:color w:val="000000"/>
                      <w:spacing w:val="-2"/>
                      <w:w w:val="95"/>
                    </w:rPr>
                    <w:t xml:space="preserve"> </w:t>
                  </w:r>
                  <w:r>
                    <w:rPr>
                      <w:color w:val="000000"/>
                      <w:w w:val="95"/>
                    </w:rPr>
                    <w:t>review</w:t>
                  </w:r>
                  <w:r>
                    <w:rPr>
                      <w:color w:val="000000"/>
                      <w:spacing w:val="-2"/>
                      <w:w w:val="95"/>
                    </w:rPr>
                    <w:t xml:space="preserve"> </w:t>
                  </w:r>
                  <w:r>
                    <w:rPr>
                      <w:color w:val="000000"/>
                      <w:w w:val="95"/>
                    </w:rPr>
                    <w:t xml:space="preserve">for RAAF Base Richmond to assess how this site could </w:t>
                  </w:r>
                  <w:r>
                    <w:rPr>
                      <w:color w:val="000000"/>
                      <w:spacing w:val="-2"/>
                    </w:rPr>
                    <w:t xml:space="preserve">progressively accommodate passenger flights from </w:t>
                  </w:r>
                  <w:r>
                    <w:rPr>
                      <w:color w:val="000000"/>
                    </w:rPr>
                    <w:t>the late 2020s.</w:t>
                  </w:r>
                </w:p>
                <w:p w:rsidR="00F22F94" w:rsidRDefault="00F22F94">
                  <w:pPr>
                    <w:pStyle w:val="BodyText"/>
                    <w:spacing w:before="191" w:line="249" w:lineRule="auto"/>
                    <w:ind w:left="113" w:right="140"/>
                    <w:rPr>
                      <w:color w:val="000000"/>
                    </w:rPr>
                  </w:pPr>
                  <w:r>
                    <w:rPr>
                      <w:b/>
                      <w:color w:val="00AEEF"/>
                    </w:rPr>
                    <w:t>Recommendation</w:t>
                  </w:r>
                  <w:r>
                    <w:rPr>
                      <w:b/>
                      <w:color w:val="00AEEF"/>
                      <w:spacing w:val="40"/>
                    </w:rPr>
                    <w:t xml:space="preserve"> </w:t>
                  </w:r>
                  <w:r>
                    <w:rPr>
                      <w:color w:val="000000"/>
                    </w:rPr>
                    <w:t>Infrastructure NSW recommends</w:t>
                  </w:r>
                  <w:r>
                    <w:rPr>
                      <w:color w:val="000000"/>
                      <w:spacing w:val="-4"/>
                    </w:rPr>
                    <w:t xml:space="preserve"> </w:t>
                  </w:r>
                  <w:r>
                    <w:rPr>
                      <w:color w:val="000000"/>
                    </w:rPr>
                    <w:t>that</w:t>
                  </w:r>
                  <w:r>
                    <w:rPr>
                      <w:color w:val="000000"/>
                      <w:spacing w:val="-4"/>
                    </w:rPr>
                    <w:t xml:space="preserve"> </w:t>
                  </w:r>
                  <w:r>
                    <w:rPr>
                      <w:color w:val="000000"/>
                    </w:rPr>
                    <w:t>the</w:t>
                  </w:r>
                  <w:r>
                    <w:rPr>
                      <w:color w:val="000000"/>
                      <w:spacing w:val="-4"/>
                    </w:rPr>
                    <w:t xml:space="preserve"> </w:t>
                  </w:r>
                  <w:r>
                    <w:rPr>
                      <w:color w:val="000000"/>
                    </w:rPr>
                    <w:t>integrity</w:t>
                  </w:r>
                  <w:r>
                    <w:rPr>
                      <w:color w:val="000000"/>
                      <w:spacing w:val="-4"/>
                    </w:rPr>
                    <w:t xml:space="preserve"> </w:t>
                  </w:r>
                  <w:r>
                    <w:rPr>
                      <w:color w:val="000000"/>
                    </w:rPr>
                    <w:t>of</w:t>
                  </w:r>
                  <w:r>
                    <w:rPr>
                      <w:color w:val="000000"/>
                      <w:spacing w:val="-4"/>
                    </w:rPr>
                    <w:t xml:space="preserve"> </w:t>
                  </w:r>
                  <w:r>
                    <w:rPr>
                      <w:color w:val="000000"/>
                    </w:rPr>
                    <w:t>the</w:t>
                  </w:r>
                  <w:r>
                    <w:rPr>
                      <w:color w:val="000000"/>
                      <w:spacing w:val="-4"/>
                    </w:rPr>
                    <w:t xml:space="preserve"> </w:t>
                  </w:r>
                  <w:r>
                    <w:rPr>
                      <w:color w:val="000000"/>
                    </w:rPr>
                    <w:t xml:space="preserve">Badgerys </w:t>
                  </w:r>
                  <w:r>
                    <w:rPr>
                      <w:color w:val="000000"/>
                      <w:w w:val="95"/>
                    </w:rPr>
                    <w:t>Creek</w:t>
                  </w:r>
                  <w:r>
                    <w:rPr>
                      <w:color w:val="000000"/>
                      <w:spacing w:val="-5"/>
                      <w:w w:val="95"/>
                    </w:rPr>
                    <w:t xml:space="preserve"> </w:t>
                  </w:r>
                  <w:r>
                    <w:rPr>
                      <w:color w:val="000000"/>
                      <w:w w:val="95"/>
                    </w:rPr>
                    <w:t>site</w:t>
                  </w:r>
                  <w:r>
                    <w:rPr>
                      <w:color w:val="000000"/>
                      <w:spacing w:val="-5"/>
                      <w:w w:val="95"/>
                    </w:rPr>
                    <w:t xml:space="preserve"> </w:t>
                  </w:r>
                  <w:r>
                    <w:rPr>
                      <w:color w:val="000000"/>
                      <w:w w:val="95"/>
                    </w:rPr>
                    <w:t>is</w:t>
                  </w:r>
                  <w:r>
                    <w:rPr>
                      <w:color w:val="000000"/>
                      <w:spacing w:val="-5"/>
                      <w:w w:val="95"/>
                    </w:rPr>
                    <w:t xml:space="preserve"> </w:t>
                  </w:r>
                  <w:r>
                    <w:rPr>
                      <w:color w:val="000000"/>
                      <w:w w:val="95"/>
                    </w:rPr>
                    <w:t>preserved</w:t>
                  </w:r>
                  <w:r>
                    <w:rPr>
                      <w:color w:val="000000"/>
                      <w:spacing w:val="-5"/>
                      <w:w w:val="95"/>
                    </w:rPr>
                    <w:t xml:space="preserve"> </w:t>
                  </w:r>
                  <w:r>
                    <w:rPr>
                      <w:color w:val="000000"/>
                      <w:w w:val="95"/>
                    </w:rPr>
                    <w:t>to</w:t>
                  </w:r>
                  <w:r>
                    <w:rPr>
                      <w:color w:val="000000"/>
                      <w:spacing w:val="-5"/>
                      <w:w w:val="95"/>
                    </w:rPr>
                    <w:t xml:space="preserve"> </w:t>
                  </w:r>
                  <w:r>
                    <w:rPr>
                      <w:color w:val="000000"/>
                      <w:w w:val="95"/>
                    </w:rPr>
                    <w:t>meet</w:t>
                  </w:r>
                  <w:r>
                    <w:rPr>
                      <w:color w:val="000000"/>
                      <w:spacing w:val="-5"/>
                      <w:w w:val="95"/>
                    </w:rPr>
                    <w:t xml:space="preserve"> </w:t>
                  </w:r>
                  <w:r>
                    <w:rPr>
                      <w:color w:val="000000"/>
                      <w:w w:val="95"/>
                    </w:rPr>
                    <w:t>Sydney’s</w:t>
                  </w:r>
                  <w:r>
                    <w:rPr>
                      <w:color w:val="000000"/>
                      <w:spacing w:val="-5"/>
                      <w:w w:val="95"/>
                    </w:rPr>
                    <w:t xml:space="preserve"> </w:t>
                  </w:r>
                  <w:r>
                    <w:rPr>
                      <w:color w:val="000000"/>
                      <w:w w:val="95"/>
                    </w:rPr>
                    <w:t xml:space="preserve">longer-term aviation needs. On current supply/demand forecasts, </w:t>
                  </w:r>
                  <w:r>
                    <w:rPr>
                      <w:color w:val="000000"/>
                    </w:rPr>
                    <w:t>it</w:t>
                  </w:r>
                  <w:r>
                    <w:rPr>
                      <w:color w:val="000000"/>
                      <w:spacing w:val="-14"/>
                    </w:rPr>
                    <w:t xml:space="preserve"> </w:t>
                  </w:r>
                  <w:r>
                    <w:rPr>
                      <w:color w:val="000000"/>
                    </w:rPr>
                    <w:t>is</w:t>
                  </w:r>
                  <w:r>
                    <w:rPr>
                      <w:color w:val="000000"/>
                      <w:spacing w:val="-14"/>
                    </w:rPr>
                    <w:t xml:space="preserve"> </w:t>
                  </w:r>
                  <w:r>
                    <w:rPr>
                      <w:color w:val="000000"/>
                    </w:rPr>
                    <w:t>likely</w:t>
                  </w:r>
                  <w:r>
                    <w:rPr>
                      <w:color w:val="000000"/>
                      <w:spacing w:val="-14"/>
                    </w:rPr>
                    <w:t xml:space="preserve"> </w:t>
                  </w:r>
                  <w:r>
                    <w:rPr>
                      <w:color w:val="000000"/>
                    </w:rPr>
                    <w:t>detailed</w:t>
                  </w:r>
                  <w:r>
                    <w:rPr>
                      <w:color w:val="000000"/>
                      <w:spacing w:val="-14"/>
                    </w:rPr>
                    <w:t xml:space="preserve"> </w:t>
                  </w:r>
                  <w:r>
                    <w:rPr>
                      <w:color w:val="000000"/>
                    </w:rPr>
                    <w:t>planning</w:t>
                  </w:r>
                  <w:r>
                    <w:rPr>
                      <w:color w:val="000000"/>
                      <w:spacing w:val="-14"/>
                    </w:rPr>
                    <w:t xml:space="preserve"> </w:t>
                  </w:r>
                  <w:r>
                    <w:rPr>
                      <w:color w:val="000000"/>
                    </w:rPr>
                    <w:t>for</w:t>
                  </w:r>
                  <w:r>
                    <w:rPr>
                      <w:color w:val="000000"/>
                      <w:spacing w:val="-14"/>
                    </w:rPr>
                    <w:t xml:space="preserve"> </w:t>
                  </w:r>
                  <w:r>
                    <w:rPr>
                      <w:color w:val="000000"/>
                    </w:rPr>
                    <w:t>this</w:t>
                  </w:r>
                  <w:r>
                    <w:rPr>
                      <w:color w:val="000000"/>
                      <w:spacing w:val="-14"/>
                    </w:rPr>
                    <w:t xml:space="preserve"> </w:t>
                  </w:r>
                  <w:r>
                    <w:rPr>
                      <w:color w:val="000000"/>
                    </w:rPr>
                    <w:t>site</w:t>
                  </w:r>
                  <w:r>
                    <w:rPr>
                      <w:color w:val="000000"/>
                      <w:spacing w:val="-14"/>
                    </w:rPr>
                    <w:t xml:space="preserve"> </w:t>
                  </w:r>
                  <w:r>
                    <w:rPr>
                      <w:color w:val="000000"/>
                    </w:rPr>
                    <w:t>will</w:t>
                  </w:r>
                  <w:r>
                    <w:rPr>
                      <w:color w:val="000000"/>
                      <w:spacing w:val="-14"/>
                    </w:rPr>
                    <w:t xml:space="preserve"> </w:t>
                  </w:r>
                  <w:r>
                    <w:rPr>
                      <w:color w:val="000000"/>
                    </w:rPr>
                    <w:t>need</w:t>
                  </w:r>
                  <w:r>
                    <w:rPr>
                      <w:color w:val="000000"/>
                      <w:spacing w:val="-13"/>
                    </w:rPr>
                    <w:t xml:space="preserve"> </w:t>
                  </w:r>
                  <w:r>
                    <w:rPr>
                      <w:color w:val="000000"/>
                    </w:rPr>
                    <w:t>to commence</w:t>
                  </w:r>
                  <w:r>
                    <w:rPr>
                      <w:color w:val="000000"/>
                      <w:spacing w:val="-10"/>
                    </w:rPr>
                    <w:t xml:space="preserve"> </w:t>
                  </w:r>
                  <w:r>
                    <w:rPr>
                      <w:color w:val="000000"/>
                    </w:rPr>
                    <w:t>by</w:t>
                  </w:r>
                  <w:r>
                    <w:rPr>
                      <w:color w:val="000000"/>
                      <w:spacing w:val="-10"/>
                    </w:rPr>
                    <w:t xml:space="preserve"> </w:t>
                  </w:r>
                  <w:r>
                    <w:rPr>
                      <w:color w:val="000000"/>
                    </w:rPr>
                    <w:t>the</w:t>
                  </w:r>
                  <w:r>
                    <w:rPr>
                      <w:color w:val="000000"/>
                      <w:spacing w:val="-10"/>
                    </w:rPr>
                    <w:t xml:space="preserve"> </w:t>
                  </w:r>
                  <w:r>
                    <w:rPr>
                      <w:color w:val="000000"/>
                    </w:rPr>
                    <w:t>2020s,</w:t>
                  </w:r>
                  <w:r>
                    <w:rPr>
                      <w:color w:val="000000"/>
                      <w:spacing w:val="-10"/>
                    </w:rPr>
                    <w:t xml:space="preserve"> </w:t>
                  </w:r>
                  <w:r>
                    <w:rPr>
                      <w:color w:val="000000"/>
                    </w:rPr>
                    <w:t>recognising</w:t>
                  </w:r>
                  <w:r>
                    <w:rPr>
                      <w:color w:val="000000"/>
                      <w:spacing w:val="-10"/>
                    </w:rPr>
                    <w:t xml:space="preserve"> </w:t>
                  </w:r>
                  <w:r>
                    <w:rPr>
                      <w:color w:val="000000"/>
                    </w:rPr>
                    <w:t>the</w:t>
                  </w:r>
                  <w:r>
                    <w:rPr>
                      <w:color w:val="000000"/>
                      <w:spacing w:val="-10"/>
                    </w:rPr>
                    <w:t xml:space="preserve"> </w:t>
                  </w:r>
                  <w:r>
                    <w:rPr>
                      <w:color w:val="000000"/>
                    </w:rPr>
                    <w:t>long</w:t>
                  </w:r>
                  <w:r>
                    <w:rPr>
                      <w:color w:val="000000"/>
                      <w:spacing w:val="-10"/>
                    </w:rPr>
                    <w:t xml:space="preserve"> </w:t>
                  </w:r>
                  <w:r>
                    <w:rPr>
                      <w:color w:val="000000"/>
                    </w:rPr>
                    <w:t>lead times associated with airport development.</w:t>
                  </w:r>
                </w:p>
              </w:txbxContent>
            </v:textbox>
            <w10:wrap anchorx="page"/>
          </v:shape>
        </w:pict>
      </w:r>
      <w:r w:rsidR="00F22F94">
        <w:rPr>
          <w:spacing w:val="-5"/>
          <w:w w:val="95"/>
          <w:sz w:val="14"/>
        </w:rPr>
        <w:t>2%</w:t>
      </w:r>
    </w:p>
    <w:p w:rsidR="002C1123" w:rsidRDefault="002C1123">
      <w:pPr>
        <w:rPr>
          <w:sz w:val="14"/>
        </w:rPr>
        <w:sectPr w:rsidR="002C1123">
          <w:type w:val="continuous"/>
          <w:pgSz w:w="16840" w:h="11910" w:orient="landscape"/>
          <w:pgMar w:top="560" w:right="280" w:bottom="280" w:left="500" w:header="0" w:footer="517" w:gutter="0"/>
          <w:cols w:num="2" w:space="720" w:equalWidth="0">
            <w:col w:w="6027" w:space="3605"/>
            <w:col w:w="6428"/>
          </w:cols>
        </w:sectPr>
      </w:pPr>
    </w:p>
    <w:p w:rsidR="002C1123" w:rsidRDefault="002C1123">
      <w:pPr>
        <w:pStyle w:val="BodyText"/>
        <w:spacing w:before="2"/>
        <w:rPr>
          <w:sz w:val="15"/>
        </w:rPr>
      </w:pPr>
    </w:p>
    <w:p w:rsidR="002C1123" w:rsidRDefault="00F22F94">
      <w:pPr>
        <w:spacing w:before="98" w:line="136" w:lineRule="exact"/>
        <w:ind w:left="4221"/>
        <w:rPr>
          <w:sz w:val="14"/>
        </w:rPr>
      </w:pPr>
      <w:r>
        <w:rPr>
          <w:spacing w:val="-5"/>
          <w:w w:val="95"/>
          <w:sz w:val="14"/>
        </w:rPr>
        <w:t>1%</w:t>
      </w:r>
    </w:p>
    <w:p w:rsidR="002C1123" w:rsidRDefault="002060EF">
      <w:pPr>
        <w:spacing w:line="159" w:lineRule="exact"/>
        <w:ind w:left="1018"/>
        <w:rPr>
          <w:sz w:val="16"/>
        </w:rPr>
      </w:pPr>
      <w:r>
        <w:pict>
          <v:rect id="docshape1640" o:spid="_x0000_s3437" style="position:absolute;left:0;text-align:left;margin-left:237.9pt;margin-top:3.1pt;width:4.1pt;height:11.35pt;z-index:251534336;mso-position-horizontal-relative:page" fillcolor="#00aeef" stroked="f">
            <w10:wrap anchorx="page"/>
          </v:rect>
        </w:pict>
      </w:r>
      <w:r>
        <w:pict>
          <v:group id="docshapegroup1641" o:spid="_x0000_s3434" style="position:absolute;left:0;text-align:left;margin-left:242pt;margin-top:3.1pt;width:285.6pt;height:11.35pt;z-index:251537408;mso-position-horizontal-relative:page" coordorigin="4840,62" coordsize="5712,227">
            <v:shape id="docshape1642" o:spid="_x0000_s3436" type="#_x0000_t202" style="position:absolute;left:5492;top:62;width:5060;height:227" fillcolor="#b9e5fa" stroked="f">
              <v:textbox inset="0,0,0,0">
                <w:txbxContent>
                  <w:p w:rsidR="00F22F94" w:rsidRDefault="00F22F94">
                    <w:pPr>
                      <w:spacing w:before="31"/>
                      <w:ind w:right="60"/>
                      <w:jc w:val="right"/>
                      <w:rPr>
                        <w:color w:val="000000"/>
                        <w:sz w:val="14"/>
                      </w:rPr>
                    </w:pPr>
                    <w:r>
                      <w:rPr>
                        <w:color w:val="FFFFFF"/>
                        <w:spacing w:val="-5"/>
                        <w:w w:val="95"/>
                        <w:sz w:val="14"/>
                      </w:rPr>
                      <w:t>62%</w:t>
                    </w:r>
                  </w:p>
                </w:txbxContent>
              </v:textbox>
            </v:shape>
            <v:shape id="docshape1643" o:spid="_x0000_s3435" type="#_x0000_t202" style="position:absolute;left:4839;top:62;width:653;height:227" fillcolor="#bbb8dc" stroked="f">
              <v:textbox inset="0,0,0,0">
                <w:txbxContent>
                  <w:p w:rsidR="00F22F94" w:rsidRDefault="00F22F94">
                    <w:pPr>
                      <w:spacing w:before="31"/>
                      <w:ind w:left="416"/>
                      <w:rPr>
                        <w:color w:val="000000"/>
                        <w:sz w:val="14"/>
                      </w:rPr>
                    </w:pPr>
                    <w:r>
                      <w:rPr>
                        <w:color w:val="FFFFFF"/>
                        <w:spacing w:val="-5"/>
                        <w:w w:val="95"/>
                        <w:sz w:val="14"/>
                      </w:rPr>
                      <w:t>8%</w:t>
                    </w:r>
                  </w:p>
                </w:txbxContent>
              </v:textbox>
            </v:shape>
            <w10:wrap anchorx="page"/>
          </v:group>
        </w:pict>
      </w:r>
      <w:r>
        <w:pict>
          <v:shape id="docshape1644" o:spid="_x0000_s3433" type="#_x0000_t202" style="position:absolute;left:0;text-align:left;margin-left:119.6pt;margin-top:3.1pt;width:118.35pt;height:11.35pt;z-index:251538432;mso-position-horizontal-relative:page" fillcolor="#2e3092" stroked="f">
            <v:textbox inset="0,0,0,0">
              <w:txbxContent>
                <w:p w:rsidR="00F22F94" w:rsidRDefault="00F22F94">
                  <w:pPr>
                    <w:spacing w:before="31"/>
                    <w:ind w:right="60"/>
                    <w:jc w:val="right"/>
                    <w:rPr>
                      <w:color w:val="000000"/>
                      <w:sz w:val="14"/>
                    </w:rPr>
                  </w:pPr>
                  <w:r>
                    <w:rPr>
                      <w:color w:val="FFFFFF"/>
                      <w:spacing w:val="-5"/>
                      <w:w w:val="95"/>
                      <w:sz w:val="14"/>
                    </w:rPr>
                    <w:t>29%</w:t>
                  </w:r>
                </w:p>
              </w:txbxContent>
            </v:textbox>
            <w10:wrap anchorx="page"/>
          </v:shape>
        </w:pict>
      </w:r>
      <w:r w:rsidR="00F22F94">
        <w:rPr>
          <w:spacing w:val="-2"/>
          <w:w w:val="90"/>
          <w:sz w:val="16"/>
        </w:rPr>
        <w:t>International</w:t>
      </w:r>
    </w:p>
    <w:p w:rsidR="002C1123" w:rsidRDefault="00F22F94">
      <w:pPr>
        <w:spacing w:before="6"/>
        <w:ind w:left="1065"/>
        <w:rPr>
          <w:sz w:val="16"/>
        </w:rPr>
      </w:pPr>
      <w:r>
        <w:rPr>
          <w:spacing w:val="-2"/>
          <w:w w:val="90"/>
          <w:sz w:val="16"/>
        </w:rPr>
        <w:t>passengers</w:t>
      </w:r>
    </w:p>
    <w:p w:rsidR="002C1123" w:rsidRDefault="002C1123">
      <w:pPr>
        <w:pStyle w:val="BodyText"/>
      </w:pPr>
    </w:p>
    <w:p w:rsidR="002C1123" w:rsidRDefault="002C1123">
      <w:pPr>
        <w:pStyle w:val="BodyText"/>
        <w:spacing w:before="6"/>
        <w:rPr>
          <w:sz w:val="21"/>
        </w:rPr>
      </w:pPr>
    </w:p>
    <w:p w:rsidR="002C1123" w:rsidRDefault="002060EF">
      <w:pPr>
        <w:ind w:left="888"/>
        <w:rPr>
          <w:sz w:val="16"/>
        </w:rPr>
      </w:pPr>
      <w:r>
        <w:pict>
          <v:group id="docshapegroup1645" o:spid="_x0000_s3428" style="position:absolute;left:0;text-align:left;margin-left:119.6pt;margin-top:-.05pt;width:408pt;height:11.35pt;z-index:251536384;mso-position-horizontal-relative:page" coordorigin="2392,-1" coordsize="8160,227">
            <v:shape id="docshape1646" o:spid="_x0000_s3432" type="#_x0000_t202" style="position:absolute;left:8838;top:-1;width:1714;height:227" fillcolor="#b9e5fa" stroked="f">
              <v:textbox inset="0,0,0,0">
                <w:txbxContent>
                  <w:p w:rsidR="00F22F94" w:rsidRDefault="00F22F94">
                    <w:pPr>
                      <w:spacing w:before="31"/>
                      <w:ind w:right="60"/>
                      <w:jc w:val="right"/>
                      <w:rPr>
                        <w:color w:val="000000"/>
                        <w:sz w:val="14"/>
                      </w:rPr>
                    </w:pPr>
                    <w:r>
                      <w:rPr>
                        <w:color w:val="FFFFFF"/>
                        <w:spacing w:val="-5"/>
                        <w:w w:val="95"/>
                        <w:sz w:val="14"/>
                      </w:rPr>
                      <w:t>21%</w:t>
                    </w:r>
                  </w:p>
                </w:txbxContent>
              </v:textbox>
            </v:shape>
            <v:shape id="docshape1647" o:spid="_x0000_s3431" type="#_x0000_t202" style="position:absolute;left:7695;top:-1;width:1143;height:227" fillcolor="#bbb8dc" stroked="f">
              <v:textbox inset="0,0,0,0">
                <w:txbxContent>
                  <w:p w:rsidR="00F22F94" w:rsidRDefault="00F22F94">
                    <w:pPr>
                      <w:spacing w:before="31"/>
                      <w:ind w:right="60"/>
                      <w:jc w:val="right"/>
                      <w:rPr>
                        <w:color w:val="000000"/>
                        <w:sz w:val="14"/>
                      </w:rPr>
                    </w:pPr>
                    <w:r>
                      <w:rPr>
                        <w:color w:val="FFFFFF"/>
                        <w:spacing w:val="-5"/>
                        <w:w w:val="95"/>
                        <w:sz w:val="14"/>
                      </w:rPr>
                      <w:t>14%</w:t>
                    </w:r>
                  </w:p>
                </w:txbxContent>
              </v:textbox>
            </v:shape>
            <v:shape id="docshape1648" o:spid="_x0000_s3430" type="#_x0000_t202" style="position:absolute;left:5737;top:-1;width:1959;height:227" fillcolor="#00aeef" stroked="f">
              <v:textbox inset="0,0,0,0">
                <w:txbxContent>
                  <w:p w:rsidR="00F22F94" w:rsidRDefault="00F22F94">
                    <w:pPr>
                      <w:spacing w:before="31"/>
                      <w:ind w:right="60"/>
                      <w:jc w:val="right"/>
                      <w:rPr>
                        <w:color w:val="000000"/>
                        <w:sz w:val="14"/>
                      </w:rPr>
                    </w:pPr>
                    <w:r>
                      <w:rPr>
                        <w:color w:val="FFFFFF"/>
                        <w:spacing w:val="-5"/>
                        <w:w w:val="95"/>
                        <w:sz w:val="14"/>
                      </w:rPr>
                      <w:t>24%</w:t>
                    </w:r>
                  </w:p>
                </w:txbxContent>
              </v:textbox>
            </v:shape>
            <v:shape id="docshape1649" o:spid="_x0000_s3429" type="#_x0000_t202" style="position:absolute;left:2391;top:-1;width:3346;height:227" fillcolor="#2e3092" stroked="f">
              <v:textbox inset="0,0,0,0">
                <w:txbxContent>
                  <w:p w:rsidR="00F22F94" w:rsidRDefault="00F22F94">
                    <w:pPr>
                      <w:spacing w:before="31"/>
                      <w:ind w:right="60"/>
                      <w:jc w:val="right"/>
                      <w:rPr>
                        <w:color w:val="000000"/>
                        <w:sz w:val="14"/>
                      </w:rPr>
                    </w:pPr>
                    <w:r>
                      <w:rPr>
                        <w:color w:val="FFFFFF"/>
                        <w:spacing w:val="-5"/>
                        <w:w w:val="95"/>
                        <w:sz w:val="14"/>
                      </w:rPr>
                      <w:t>41%</w:t>
                    </w:r>
                  </w:p>
                </w:txbxContent>
              </v:textbox>
            </v:shape>
            <w10:wrap anchorx="page"/>
          </v:group>
        </w:pict>
      </w:r>
      <w:r w:rsidR="00F22F94">
        <w:rPr>
          <w:w w:val="80"/>
          <w:sz w:val="16"/>
        </w:rPr>
        <w:t>All</w:t>
      </w:r>
      <w:r w:rsidR="00F22F94">
        <w:rPr>
          <w:spacing w:val="-2"/>
          <w:w w:val="80"/>
          <w:sz w:val="16"/>
        </w:rPr>
        <w:t xml:space="preserve"> </w:t>
      </w:r>
      <w:r w:rsidR="00F22F94">
        <w:rPr>
          <w:spacing w:val="-2"/>
          <w:w w:val="90"/>
          <w:sz w:val="16"/>
        </w:rPr>
        <w:t>passengers</w:t>
      </w:r>
    </w:p>
    <w:p w:rsidR="002C1123" w:rsidRDefault="002060EF">
      <w:pPr>
        <w:pStyle w:val="BodyText"/>
        <w:spacing w:before="4"/>
        <w:rPr>
          <w:sz w:val="27"/>
        </w:rPr>
      </w:pPr>
      <w:r>
        <w:pict>
          <v:shape id="docshape1650" o:spid="_x0000_s3427" style="position:absolute;margin-left:119.6pt;margin-top:16.95pt;width:408pt;height:.1pt;z-index:-251365376;mso-wrap-distance-left:0;mso-wrap-distance-right:0;mso-position-horizontal-relative:page" coordorigin="2392,339" coordsize="8160,0" path="m2392,339r8160,e" filled="f" strokecolor="#b2b1b3" strokeweight=".8pt">
            <v:path arrowok="t"/>
            <w10:wrap type="topAndBottom" anchorx="page"/>
          </v:shape>
        </w:pict>
      </w:r>
    </w:p>
    <w:p w:rsidR="002C1123" w:rsidRDefault="00F22F94">
      <w:pPr>
        <w:tabs>
          <w:tab w:val="left" w:pos="3389"/>
          <w:tab w:val="left" w:pos="5021"/>
          <w:tab w:val="left" w:pos="6653"/>
          <w:tab w:val="left" w:pos="8285"/>
          <w:tab w:val="left" w:pos="9878"/>
        </w:tabs>
        <w:spacing w:before="98"/>
        <w:ind w:left="1795"/>
        <w:rPr>
          <w:sz w:val="16"/>
        </w:rPr>
      </w:pPr>
      <w:r>
        <w:rPr>
          <w:spacing w:val="-5"/>
          <w:w w:val="95"/>
          <w:sz w:val="16"/>
        </w:rPr>
        <w:t>0%</w:t>
      </w:r>
      <w:r>
        <w:rPr>
          <w:sz w:val="16"/>
        </w:rPr>
        <w:tab/>
      </w:r>
      <w:r>
        <w:rPr>
          <w:spacing w:val="-5"/>
          <w:w w:val="95"/>
          <w:sz w:val="16"/>
        </w:rPr>
        <w:t>20%</w:t>
      </w:r>
      <w:r>
        <w:rPr>
          <w:sz w:val="16"/>
        </w:rPr>
        <w:tab/>
      </w:r>
      <w:r>
        <w:rPr>
          <w:spacing w:val="-5"/>
          <w:w w:val="95"/>
          <w:sz w:val="16"/>
        </w:rPr>
        <w:t>40%</w:t>
      </w:r>
      <w:r>
        <w:rPr>
          <w:sz w:val="16"/>
        </w:rPr>
        <w:tab/>
      </w:r>
      <w:r>
        <w:rPr>
          <w:spacing w:val="-5"/>
          <w:w w:val="95"/>
          <w:sz w:val="16"/>
        </w:rPr>
        <w:t>60%</w:t>
      </w:r>
      <w:r>
        <w:rPr>
          <w:sz w:val="16"/>
        </w:rPr>
        <w:tab/>
      </w:r>
      <w:r>
        <w:rPr>
          <w:spacing w:val="-5"/>
          <w:w w:val="95"/>
          <w:sz w:val="16"/>
        </w:rPr>
        <w:t>80%</w:t>
      </w:r>
      <w:r>
        <w:rPr>
          <w:sz w:val="16"/>
        </w:rPr>
        <w:tab/>
      </w:r>
      <w:r>
        <w:rPr>
          <w:spacing w:val="-4"/>
          <w:w w:val="95"/>
          <w:sz w:val="16"/>
        </w:rPr>
        <w:t>100%</w:t>
      </w:r>
    </w:p>
    <w:p w:rsidR="002C1123" w:rsidRDefault="002C1123">
      <w:pPr>
        <w:pStyle w:val="BodyText"/>
        <w:spacing w:before="10"/>
        <w:rPr>
          <w:sz w:val="10"/>
        </w:rPr>
      </w:pPr>
    </w:p>
    <w:p w:rsidR="002C1123" w:rsidRDefault="002C1123">
      <w:pPr>
        <w:rPr>
          <w:sz w:val="10"/>
        </w:rPr>
        <w:sectPr w:rsidR="002C1123">
          <w:type w:val="continuous"/>
          <w:pgSz w:w="16840" w:h="11910" w:orient="landscape"/>
          <w:pgMar w:top="560" w:right="280" w:bottom="280" w:left="500" w:header="0" w:footer="517" w:gutter="0"/>
          <w:cols w:space="720"/>
        </w:sectPr>
      </w:pPr>
    </w:p>
    <w:p w:rsidR="002C1123" w:rsidRDefault="002060EF">
      <w:pPr>
        <w:spacing w:before="101"/>
        <w:ind w:left="2131"/>
        <w:rPr>
          <w:sz w:val="16"/>
        </w:rPr>
      </w:pPr>
      <w:r>
        <w:pict>
          <v:rect id="docshape1651" o:spid="_x0000_s3426" style="position:absolute;left:0;text-align:left;margin-left:119pt;margin-top:5.4pt;width:8.5pt;height:8.5pt;z-index:251535360;mso-position-horizontal-relative:page" fillcolor="#2e3092" stroked="f">
            <w10:wrap anchorx="page"/>
          </v:rect>
        </w:pict>
      </w:r>
      <w:r w:rsidR="00F22F94">
        <w:rPr>
          <w:w w:val="75"/>
          <w:sz w:val="16"/>
        </w:rPr>
        <w:t>Qantas</w:t>
      </w:r>
      <w:r w:rsidR="00F22F94">
        <w:rPr>
          <w:spacing w:val="1"/>
          <w:sz w:val="16"/>
        </w:rPr>
        <w:t xml:space="preserve"> </w:t>
      </w:r>
      <w:r w:rsidR="00F22F94">
        <w:rPr>
          <w:w w:val="75"/>
          <w:sz w:val="16"/>
        </w:rPr>
        <w:t>/</w:t>
      </w:r>
      <w:r w:rsidR="00F22F94">
        <w:rPr>
          <w:spacing w:val="1"/>
          <w:sz w:val="16"/>
        </w:rPr>
        <w:t xml:space="preserve"> </w:t>
      </w:r>
      <w:r w:rsidR="00F22F94">
        <w:rPr>
          <w:spacing w:val="-2"/>
          <w:w w:val="75"/>
          <w:sz w:val="16"/>
        </w:rPr>
        <w:t>QantasLink</w:t>
      </w:r>
    </w:p>
    <w:p w:rsidR="002C1123" w:rsidRDefault="00F22F94">
      <w:pPr>
        <w:spacing w:before="102"/>
        <w:ind w:left="536"/>
        <w:rPr>
          <w:sz w:val="16"/>
        </w:rPr>
      </w:pPr>
      <w:r>
        <w:br w:type="column"/>
      </w:r>
      <w:r>
        <w:rPr>
          <w:w w:val="75"/>
          <w:sz w:val="16"/>
        </w:rPr>
        <w:t>Virgin</w:t>
      </w:r>
      <w:r>
        <w:rPr>
          <w:spacing w:val="-2"/>
          <w:sz w:val="16"/>
        </w:rPr>
        <w:t xml:space="preserve"> </w:t>
      </w:r>
      <w:r>
        <w:rPr>
          <w:w w:val="75"/>
          <w:sz w:val="16"/>
        </w:rPr>
        <w:t>Blue</w:t>
      </w:r>
      <w:r>
        <w:rPr>
          <w:spacing w:val="-1"/>
          <w:sz w:val="16"/>
        </w:rPr>
        <w:t xml:space="preserve"> </w:t>
      </w:r>
      <w:r>
        <w:rPr>
          <w:w w:val="75"/>
          <w:sz w:val="16"/>
        </w:rPr>
        <w:t>/</w:t>
      </w:r>
      <w:r>
        <w:rPr>
          <w:spacing w:val="-1"/>
          <w:sz w:val="16"/>
        </w:rPr>
        <w:t xml:space="preserve"> </w:t>
      </w:r>
      <w:r>
        <w:rPr>
          <w:w w:val="75"/>
          <w:sz w:val="16"/>
        </w:rPr>
        <w:t>V</w:t>
      </w:r>
      <w:r>
        <w:rPr>
          <w:spacing w:val="-1"/>
          <w:sz w:val="16"/>
        </w:rPr>
        <w:t xml:space="preserve"> </w:t>
      </w:r>
      <w:r>
        <w:rPr>
          <w:spacing w:val="-2"/>
          <w:w w:val="75"/>
          <w:sz w:val="16"/>
        </w:rPr>
        <w:t>Australia</w:t>
      </w:r>
    </w:p>
    <w:p w:rsidR="002C1123" w:rsidRDefault="00F22F94">
      <w:pPr>
        <w:spacing w:before="99"/>
        <w:ind w:left="488"/>
        <w:rPr>
          <w:sz w:val="16"/>
        </w:rPr>
      </w:pPr>
      <w:r>
        <w:br w:type="column"/>
      </w:r>
      <w:r>
        <w:rPr>
          <w:w w:val="75"/>
          <w:sz w:val="16"/>
        </w:rPr>
        <w:t>Low</w:t>
      </w:r>
      <w:r>
        <w:rPr>
          <w:spacing w:val="3"/>
          <w:sz w:val="16"/>
        </w:rPr>
        <w:t xml:space="preserve"> </w:t>
      </w:r>
      <w:r>
        <w:rPr>
          <w:w w:val="75"/>
          <w:sz w:val="16"/>
        </w:rPr>
        <w:t>cost</w:t>
      </w:r>
      <w:r>
        <w:rPr>
          <w:spacing w:val="3"/>
          <w:sz w:val="16"/>
        </w:rPr>
        <w:t xml:space="preserve"> </w:t>
      </w:r>
      <w:r>
        <w:rPr>
          <w:spacing w:val="-2"/>
          <w:w w:val="75"/>
          <w:sz w:val="16"/>
        </w:rPr>
        <w:t>carrier</w:t>
      </w:r>
    </w:p>
    <w:p w:rsidR="002C1123" w:rsidRDefault="00F22F94">
      <w:pPr>
        <w:spacing w:before="99"/>
        <w:ind w:left="507"/>
        <w:rPr>
          <w:sz w:val="16"/>
        </w:rPr>
      </w:pPr>
      <w:r>
        <w:br w:type="column"/>
      </w:r>
      <w:r>
        <w:rPr>
          <w:w w:val="75"/>
          <w:sz w:val="16"/>
        </w:rPr>
        <w:t>Other</w:t>
      </w:r>
      <w:r>
        <w:rPr>
          <w:spacing w:val="1"/>
          <w:sz w:val="16"/>
        </w:rPr>
        <w:t xml:space="preserve"> </w:t>
      </w:r>
      <w:r>
        <w:rPr>
          <w:spacing w:val="-2"/>
          <w:w w:val="90"/>
          <w:sz w:val="16"/>
        </w:rPr>
        <w:t>airlines</w:t>
      </w:r>
    </w:p>
    <w:p w:rsidR="002C1123" w:rsidRDefault="002C1123">
      <w:pPr>
        <w:rPr>
          <w:sz w:val="16"/>
        </w:rPr>
        <w:sectPr w:rsidR="002C1123">
          <w:type w:val="continuous"/>
          <w:pgSz w:w="16840" w:h="11910" w:orient="landscape"/>
          <w:pgMar w:top="560" w:right="280" w:bottom="280" w:left="500" w:header="0" w:footer="517" w:gutter="0"/>
          <w:cols w:num="4" w:space="720" w:equalWidth="0">
            <w:col w:w="3281" w:space="40"/>
            <w:col w:w="1869" w:space="39"/>
            <w:col w:w="1396" w:space="39"/>
            <w:col w:w="9396"/>
          </w:cols>
        </w:sectPr>
      </w:pPr>
    </w:p>
    <w:p w:rsidR="002C1123" w:rsidRDefault="002C1123">
      <w:pPr>
        <w:pStyle w:val="BodyText"/>
        <w:spacing w:before="4"/>
        <w:rPr>
          <w:sz w:val="12"/>
        </w:rPr>
      </w:pPr>
    </w:p>
    <w:p w:rsidR="002C1123" w:rsidRDefault="002060EF">
      <w:pPr>
        <w:spacing w:before="104"/>
        <w:ind w:left="492"/>
        <w:rPr>
          <w:sz w:val="14"/>
        </w:rPr>
      </w:pPr>
      <w:r>
        <w:pict>
          <v:rect id="docshape1652" o:spid="_x0000_s3425" style="position:absolute;left:0;text-align:left;margin-left:370.8pt;margin-top:-16.05pt;width:8.5pt;height:8.5pt;z-index:251529216;mso-position-horizontal-relative:page" fillcolor="#b9e5fa" stroked="f">
            <w10:wrap anchorx="page"/>
          </v:rect>
        </w:pict>
      </w:r>
      <w:r>
        <w:pict>
          <v:rect id="docshape1653" o:spid="_x0000_s3424" style="position:absolute;left:0;text-align:left;margin-left:298.2pt;margin-top:-16.05pt;width:8.5pt;height:8.5pt;z-index:251532288;mso-position-horizontal-relative:page" fillcolor="#bbb8dc" stroked="f">
            <w10:wrap anchorx="page"/>
          </v:rect>
        </w:pict>
      </w:r>
      <w:r>
        <w:pict>
          <v:rect id="docshape1654" o:spid="_x0000_s3423" style="position:absolute;left:0;text-align:left;margin-left:205pt;margin-top:-16.05pt;width:8.5pt;height:8.5pt;z-index:251533312;mso-position-horizontal-relative:page" fillcolor="#00aeef" stroked="f">
            <w10:wrap anchorx="page"/>
          </v:rect>
        </w:pict>
      </w:r>
      <w:r w:rsidR="00F22F94">
        <w:rPr>
          <w:w w:val="95"/>
          <w:sz w:val="14"/>
        </w:rPr>
        <w:t>Source:</w:t>
      </w:r>
      <w:r w:rsidR="00F22F94">
        <w:rPr>
          <w:spacing w:val="-2"/>
          <w:sz w:val="14"/>
        </w:rPr>
        <w:t xml:space="preserve"> </w:t>
      </w:r>
      <w:r w:rsidR="00F22F94">
        <w:rPr>
          <w:w w:val="95"/>
          <w:sz w:val="14"/>
        </w:rPr>
        <w:t>BITRE</w:t>
      </w:r>
      <w:r w:rsidR="00F22F94">
        <w:rPr>
          <w:spacing w:val="-1"/>
          <w:sz w:val="14"/>
        </w:rPr>
        <w:t xml:space="preserve"> </w:t>
      </w:r>
      <w:r w:rsidR="00F22F94">
        <w:rPr>
          <w:w w:val="95"/>
          <w:sz w:val="14"/>
        </w:rPr>
        <w:t>and</w:t>
      </w:r>
      <w:r w:rsidR="00F22F94">
        <w:rPr>
          <w:spacing w:val="-1"/>
          <w:sz w:val="14"/>
        </w:rPr>
        <w:t xml:space="preserve"> </w:t>
      </w:r>
      <w:r w:rsidR="00F22F94">
        <w:rPr>
          <w:w w:val="95"/>
          <w:sz w:val="14"/>
        </w:rPr>
        <w:t>Tourism</w:t>
      </w:r>
      <w:r w:rsidR="00F22F94">
        <w:rPr>
          <w:spacing w:val="-2"/>
          <w:sz w:val="14"/>
        </w:rPr>
        <w:t xml:space="preserve"> </w:t>
      </w:r>
      <w:r w:rsidR="00F22F94">
        <w:rPr>
          <w:w w:val="95"/>
          <w:sz w:val="14"/>
        </w:rPr>
        <w:t>Research</w:t>
      </w:r>
      <w:r w:rsidR="00F22F94">
        <w:rPr>
          <w:spacing w:val="-1"/>
          <w:sz w:val="14"/>
        </w:rPr>
        <w:t xml:space="preserve"> </w:t>
      </w:r>
      <w:r w:rsidR="00F22F94">
        <w:rPr>
          <w:w w:val="95"/>
          <w:sz w:val="14"/>
        </w:rPr>
        <w:t>Australia;</w:t>
      </w:r>
      <w:r w:rsidR="00F22F94">
        <w:rPr>
          <w:spacing w:val="-1"/>
          <w:sz w:val="14"/>
        </w:rPr>
        <w:t xml:space="preserve"> </w:t>
      </w:r>
      <w:r w:rsidR="00F22F94">
        <w:rPr>
          <w:w w:val="95"/>
          <w:sz w:val="14"/>
        </w:rPr>
        <w:t>Referenced</w:t>
      </w:r>
      <w:r w:rsidR="00F22F94">
        <w:rPr>
          <w:spacing w:val="-1"/>
          <w:sz w:val="14"/>
        </w:rPr>
        <w:t xml:space="preserve"> </w:t>
      </w:r>
      <w:r w:rsidR="00F22F94">
        <w:rPr>
          <w:w w:val="95"/>
          <w:sz w:val="14"/>
        </w:rPr>
        <w:t>in</w:t>
      </w:r>
      <w:r w:rsidR="00F22F94">
        <w:rPr>
          <w:spacing w:val="-2"/>
          <w:sz w:val="14"/>
        </w:rPr>
        <w:t xml:space="preserve"> </w:t>
      </w:r>
      <w:r w:rsidR="00F22F94">
        <w:rPr>
          <w:w w:val="95"/>
          <w:sz w:val="14"/>
        </w:rPr>
        <w:t>Steering</w:t>
      </w:r>
      <w:r w:rsidR="00F22F94">
        <w:rPr>
          <w:spacing w:val="-1"/>
          <w:sz w:val="14"/>
        </w:rPr>
        <w:t xml:space="preserve"> </w:t>
      </w:r>
      <w:r w:rsidR="00F22F94">
        <w:rPr>
          <w:spacing w:val="-2"/>
          <w:w w:val="95"/>
          <w:sz w:val="14"/>
        </w:rPr>
        <w:t>Committee.</w:t>
      </w:r>
    </w:p>
    <w:p w:rsidR="002C1123" w:rsidRDefault="002C1123">
      <w:pPr>
        <w:pStyle w:val="BodyText"/>
      </w:pPr>
    </w:p>
    <w:p w:rsidR="002C1123" w:rsidRDefault="002C1123">
      <w:pPr>
        <w:pStyle w:val="BodyText"/>
        <w:rPr>
          <w:sz w:val="16"/>
        </w:rPr>
      </w:pPr>
    </w:p>
    <w:p w:rsidR="002C1123" w:rsidRDefault="002C1123">
      <w:pPr>
        <w:rPr>
          <w:sz w:val="16"/>
        </w:rPr>
        <w:sectPr w:rsidR="002C1123">
          <w:type w:val="continuous"/>
          <w:pgSz w:w="16840" w:h="11910" w:orient="landscape"/>
          <w:pgMar w:top="560" w:right="280" w:bottom="280" w:left="500" w:header="0" w:footer="517" w:gutter="0"/>
          <w:cols w:space="720"/>
        </w:sectPr>
      </w:pPr>
    </w:p>
    <w:p w:rsidR="002C1123" w:rsidRDefault="00F22F94">
      <w:pPr>
        <w:pStyle w:val="BodyText"/>
        <w:spacing w:before="106" w:line="249" w:lineRule="auto"/>
        <w:ind w:left="492"/>
      </w:pPr>
      <w:r>
        <w:rPr>
          <w:w w:val="90"/>
        </w:rPr>
        <w:t xml:space="preserve">Infrastructure NSW believes that economic considerations </w:t>
      </w:r>
      <w:r>
        <w:t>should</w:t>
      </w:r>
      <w:r>
        <w:rPr>
          <w:spacing w:val="-14"/>
        </w:rPr>
        <w:t xml:space="preserve"> </w:t>
      </w:r>
      <w:r>
        <w:t>be</w:t>
      </w:r>
      <w:r>
        <w:rPr>
          <w:spacing w:val="-13"/>
        </w:rPr>
        <w:t xml:space="preserve"> </w:t>
      </w:r>
      <w:r>
        <w:t>given</w:t>
      </w:r>
      <w:r>
        <w:rPr>
          <w:spacing w:val="-14"/>
        </w:rPr>
        <w:t xml:space="preserve"> </w:t>
      </w:r>
      <w:r>
        <w:t>primacy</w:t>
      </w:r>
      <w:r>
        <w:rPr>
          <w:spacing w:val="-13"/>
        </w:rPr>
        <w:t xml:space="preserve"> </w:t>
      </w:r>
      <w:r>
        <w:t>in</w:t>
      </w:r>
      <w:r>
        <w:rPr>
          <w:spacing w:val="-14"/>
        </w:rPr>
        <w:t xml:space="preserve"> </w:t>
      </w:r>
      <w:r>
        <w:t>the</w:t>
      </w:r>
      <w:r>
        <w:rPr>
          <w:spacing w:val="-13"/>
        </w:rPr>
        <w:t xml:space="preserve"> </w:t>
      </w:r>
      <w:r>
        <w:t>location</w:t>
      </w:r>
      <w:r>
        <w:rPr>
          <w:spacing w:val="-14"/>
        </w:rPr>
        <w:t xml:space="preserve"> </w:t>
      </w:r>
      <w:r>
        <w:t>of</w:t>
      </w:r>
      <w:r>
        <w:rPr>
          <w:spacing w:val="-13"/>
        </w:rPr>
        <w:t xml:space="preserve"> </w:t>
      </w:r>
      <w:r>
        <w:t>a</w:t>
      </w:r>
      <w:r>
        <w:rPr>
          <w:spacing w:val="-14"/>
        </w:rPr>
        <w:t xml:space="preserve"> </w:t>
      </w:r>
      <w:r>
        <w:t>Western Sydney</w:t>
      </w:r>
      <w:r>
        <w:rPr>
          <w:spacing w:val="-13"/>
        </w:rPr>
        <w:t xml:space="preserve"> </w:t>
      </w:r>
      <w:r>
        <w:t>regional</w:t>
      </w:r>
      <w:r>
        <w:rPr>
          <w:spacing w:val="-13"/>
        </w:rPr>
        <w:t xml:space="preserve"> </w:t>
      </w:r>
      <w:r>
        <w:t>airport.</w:t>
      </w:r>
      <w:r>
        <w:rPr>
          <w:spacing w:val="-13"/>
        </w:rPr>
        <w:t xml:space="preserve"> </w:t>
      </w:r>
      <w:r>
        <w:t>Accordingly</w:t>
      </w:r>
      <w:r>
        <w:rPr>
          <w:spacing w:val="-13"/>
        </w:rPr>
        <w:t xml:space="preserve"> </w:t>
      </w:r>
      <w:r>
        <w:t xml:space="preserve">relevant </w:t>
      </w:r>
      <w:r>
        <w:rPr>
          <w:spacing w:val="-2"/>
        </w:rPr>
        <w:t>considerations</w:t>
      </w:r>
      <w:r>
        <w:rPr>
          <w:spacing w:val="-4"/>
        </w:rPr>
        <w:t xml:space="preserve"> </w:t>
      </w:r>
      <w:r>
        <w:rPr>
          <w:spacing w:val="-2"/>
        </w:rPr>
        <w:t>include</w:t>
      </w:r>
      <w:r>
        <w:rPr>
          <w:spacing w:val="-4"/>
        </w:rPr>
        <w:t xml:space="preserve"> </w:t>
      </w:r>
      <w:r>
        <w:rPr>
          <w:spacing w:val="-2"/>
        </w:rPr>
        <w:t>customer</w:t>
      </w:r>
      <w:r>
        <w:rPr>
          <w:spacing w:val="-4"/>
        </w:rPr>
        <w:t xml:space="preserve"> </w:t>
      </w:r>
      <w:r>
        <w:rPr>
          <w:spacing w:val="-2"/>
        </w:rPr>
        <w:t>catchment</w:t>
      </w:r>
      <w:r>
        <w:rPr>
          <w:spacing w:val="-4"/>
        </w:rPr>
        <w:t xml:space="preserve"> </w:t>
      </w:r>
      <w:r>
        <w:rPr>
          <w:spacing w:val="-2"/>
        </w:rPr>
        <w:t>area,</w:t>
      </w:r>
      <w:r>
        <w:rPr>
          <w:spacing w:val="-4"/>
        </w:rPr>
        <w:t xml:space="preserve"> </w:t>
      </w:r>
      <w:r>
        <w:rPr>
          <w:spacing w:val="-2"/>
        </w:rPr>
        <w:t xml:space="preserve">ease </w:t>
      </w:r>
      <w:r>
        <w:t>of</w:t>
      </w:r>
      <w:r>
        <w:rPr>
          <w:spacing w:val="-10"/>
        </w:rPr>
        <w:t xml:space="preserve"> </w:t>
      </w:r>
      <w:r>
        <w:t>access</w:t>
      </w:r>
      <w:r>
        <w:rPr>
          <w:spacing w:val="-10"/>
        </w:rPr>
        <w:t xml:space="preserve"> </w:t>
      </w:r>
      <w:r>
        <w:t>to</w:t>
      </w:r>
      <w:r>
        <w:rPr>
          <w:spacing w:val="-10"/>
        </w:rPr>
        <w:t xml:space="preserve"> </w:t>
      </w:r>
      <w:r>
        <w:t>the</w:t>
      </w:r>
      <w:r>
        <w:rPr>
          <w:spacing w:val="-10"/>
        </w:rPr>
        <w:t xml:space="preserve"> </w:t>
      </w:r>
      <w:r>
        <w:t>Sydney</w:t>
      </w:r>
      <w:r>
        <w:rPr>
          <w:spacing w:val="-10"/>
        </w:rPr>
        <w:t xml:space="preserve"> </w:t>
      </w:r>
      <w:r>
        <w:t>Strategic</w:t>
      </w:r>
      <w:r>
        <w:rPr>
          <w:spacing w:val="-10"/>
        </w:rPr>
        <w:t xml:space="preserve"> </w:t>
      </w:r>
      <w:r>
        <w:t>Road</w:t>
      </w:r>
      <w:r>
        <w:rPr>
          <w:spacing w:val="-10"/>
        </w:rPr>
        <w:t xml:space="preserve"> </w:t>
      </w:r>
      <w:r>
        <w:t>Network,</w:t>
      </w:r>
      <w:r>
        <w:rPr>
          <w:spacing w:val="-10"/>
        </w:rPr>
        <w:t xml:space="preserve"> </w:t>
      </w:r>
      <w:r>
        <w:t>and attractiveness</w:t>
      </w:r>
      <w:r>
        <w:rPr>
          <w:spacing w:val="-10"/>
        </w:rPr>
        <w:t xml:space="preserve"> </w:t>
      </w:r>
      <w:r>
        <w:t>as</w:t>
      </w:r>
      <w:r>
        <w:rPr>
          <w:spacing w:val="-10"/>
        </w:rPr>
        <w:t xml:space="preserve"> </w:t>
      </w:r>
      <w:r>
        <w:t>part</w:t>
      </w:r>
      <w:r>
        <w:rPr>
          <w:spacing w:val="-10"/>
        </w:rPr>
        <w:t xml:space="preserve"> </w:t>
      </w:r>
      <w:r>
        <w:t>of</w:t>
      </w:r>
      <w:r>
        <w:rPr>
          <w:spacing w:val="-10"/>
        </w:rPr>
        <w:t xml:space="preserve"> </w:t>
      </w:r>
      <w:r>
        <w:t>the</w:t>
      </w:r>
      <w:r>
        <w:rPr>
          <w:spacing w:val="-10"/>
        </w:rPr>
        <w:t xml:space="preserve"> </w:t>
      </w:r>
      <w:r>
        <w:t>logistics</w:t>
      </w:r>
      <w:r>
        <w:rPr>
          <w:spacing w:val="-10"/>
        </w:rPr>
        <w:t xml:space="preserve"> </w:t>
      </w:r>
      <w:r>
        <w:t>supply</w:t>
      </w:r>
      <w:r>
        <w:rPr>
          <w:spacing w:val="-10"/>
        </w:rPr>
        <w:t xml:space="preserve"> </w:t>
      </w:r>
      <w:r>
        <w:t>chain.</w:t>
      </w:r>
    </w:p>
    <w:p w:rsidR="002C1123" w:rsidRDefault="00F22F94">
      <w:pPr>
        <w:pStyle w:val="BodyText"/>
        <w:spacing w:before="147" w:line="249" w:lineRule="auto"/>
        <w:ind w:left="492" w:right="256"/>
      </w:pPr>
      <w:r>
        <w:rPr>
          <w:w w:val="95"/>
        </w:rPr>
        <w:t>Having</w:t>
      </w:r>
      <w:r>
        <w:rPr>
          <w:spacing w:val="-5"/>
          <w:w w:val="95"/>
        </w:rPr>
        <w:t xml:space="preserve"> </w:t>
      </w:r>
      <w:r>
        <w:rPr>
          <w:w w:val="95"/>
        </w:rPr>
        <w:t>regard</w:t>
      </w:r>
      <w:r>
        <w:rPr>
          <w:spacing w:val="-5"/>
          <w:w w:val="95"/>
        </w:rPr>
        <w:t xml:space="preserve"> </w:t>
      </w:r>
      <w:r>
        <w:rPr>
          <w:w w:val="95"/>
        </w:rPr>
        <w:t>to</w:t>
      </w:r>
      <w:r>
        <w:rPr>
          <w:spacing w:val="-5"/>
          <w:w w:val="95"/>
        </w:rPr>
        <w:t xml:space="preserve"> </w:t>
      </w:r>
      <w:r>
        <w:rPr>
          <w:w w:val="95"/>
        </w:rPr>
        <w:t>these</w:t>
      </w:r>
      <w:r>
        <w:rPr>
          <w:spacing w:val="-5"/>
          <w:w w:val="95"/>
        </w:rPr>
        <w:t xml:space="preserve"> </w:t>
      </w:r>
      <w:r>
        <w:rPr>
          <w:w w:val="95"/>
        </w:rPr>
        <w:t>considerations,</w:t>
      </w:r>
      <w:r>
        <w:rPr>
          <w:spacing w:val="-5"/>
          <w:w w:val="95"/>
        </w:rPr>
        <w:t xml:space="preserve"> </w:t>
      </w:r>
      <w:r>
        <w:rPr>
          <w:w w:val="95"/>
        </w:rPr>
        <w:t xml:space="preserve">Infrastructure </w:t>
      </w:r>
      <w:r>
        <w:t>NSW</w:t>
      </w:r>
      <w:r>
        <w:rPr>
          <w:spacing w:val="-6"/>
        </w:rPr>
        <w:t xml:space="preserve"> </w:t>
      </w:r>
      <w:r>
        <w:t>is</w:t>
      </w:r>
      <w:r>
        <w:rPr>
          <w:spacing w:val="-6"/>
        </w:rPr>
        <w:t xml:space="preserve"> </w:t>
      </w:r>
      <w:r>
        <w:t>supportive</w:t>
      </w:r>
      <w:r>
        <w:rPr>
          <w:spacing w:val="-6"/>
        </w:rPr>
        <w:t xml:space="preserve"> </w:t>
      </w:r>
      <w:r>
        <w:t>of</w:t>
      </w:r>
      <w:r>
        <w:rPr>
          <w:spacing w:val="-6"/>
        </w:rPr>
        <w:t xml:space="preserve"> </w:t>
      </w:r>
      <w:r>
        <w:t>the</w:t>
      </w:r>
      <w:r>
        <w:rPr>
          <w:spacing w:val="-6"/>
        </w:rPr>
        <w:t xml:space="preserve"> </w:t>
      </w:r>
      <w:r>
        <w:t>concept</w:t>
      </w:r>
      <w:r>
        <w:rPr>
          <w:spacing w:val="-6"/>
        </w:rPr>
        <w:t xml:space="preserve"> </w:t>
      </w:r>
      <w:r>
        <w:t>of</w:t>
      </w:r>
      <w:r>
        <w:rPr>
          <w:spacing w:val="-6"/>
        </w:rPr>
        <w:t xml:space="preserve"> </w:t>
      </w:r>
      <w:r>
        <w:t>a</w:t>
      </w:r>
      <w:r>
        <w:rPr>
          <w:spacing w:val="-6"/>
        </w:rPr>
        <w:t xml:space="preserve"> </w:t>
      </w:r>
      <w:r>
        <w:t xml:space="preserve">secondary </w:t>
      </w:r>
      <w:r>
        <w:rPr>
          <w:w w:val="95"/>
        </w:rPr>
        <w:t xml:space="preserve">airport for the metropolitan area in Western Sydney. The Joint Study concludes that the preferable site is </w:t>
      </w:r>
      <w:r>
        <w:t>at</w:t>
      </w:r>
      <w:r>
        <w:rPr>
          <w:spacing w:val="-14"/>
        </w:rPr>
        <w:t xml:space="preserve"> </w:t>
      </w:r>
      <w:r>
        <w:t>Badgerys</w:t>
      </w:r>
      <w:r>
        <w:rPr>
          <w:spacing w:val="-14"/>
        </w:rPr>
        <w:t xml:space="preserve"> </w:t>
      </w:r>
      <w:r>
        <w:t>Creek.</w:t>
      </w:r>
      <w:r>
        <w:rPr>
          <w:spacing w:val="-14"/>
        </w:rPr>
        <w:t xml:space="preserve"> </w:t>
      </w:r>
      <w:r>
        <w:t>All</w:t>
      </w:r>
      <w:r>
        <w:rPr>
          <w:spacing w:val="-14"/>
        </w:rPr>
        <w:t xml:space="preserve"> </w:t>
      </w:r>
      <w:r>
        <w:t>the</w:t>
      </w:r>
      <w:r>
        <w:rPr>
          <w:spacing w:val="-14"/>
        </w:rPr>
        <w:t xml:space="preserve"> </w:t>
      </w:r>
      <w:r>
        <w:t>land</w:t>
      </w:r>
      <w:r>
        <w:rPr>
          <w:spacing w:val="-14"/>
        </w:rPr>
        <w:t xml:space="preserve"> </w:t>
      </w:r>
      <w:r>
        <w:t>required</w:t>
      </w:r>
      <w:r>
        <w:rPr>
          <w:spacing w:val="-14"/>
        </w:rPr>
        <w:t xml:space="preserve"> </w:t>
      </w:r>
      <w:r>
        <w:t>is</w:t>
      </w:r>
      <w:r>
        <w:rPr>
          <w:spacing w:val="-14"/>
        </w:rPr>
        <w:t xml:space="preserve"> </w:t>
      </w:r>
      <w:r>
        <w:t>already</w:t>
      </w:r>
    </w:p>
    <w:p w:rsidR="002C1123" w:rsidRDefault="00F22F94">
      <w:pPr>
        <w:pStyle w:val="BodyText"/>
        <w:spacing w:before="106" w:line="249" w:lineRule="auto"/>
        <w:ind w:left="222"/>
      </w:pPr>
      <w:r>
        <w:br w:type="column"/>
      </w:r>
      <w:r>
        <w:t>owned</w:t>
      </w:r>
      <w:r>
        <w:rPr>
          <w:spacing w:val="-9"/>
        </w:rPr>
        <w:t xml:space="preserve"> </w:t>
      </w:r>
      <w:r>
        <w:t>by</w:t>
      </w:r>
      <w:r>
        <w:rPr>
          <w:spacing w:val="-9"/>
        </w:rPr>
        <w:t xml:space="preserve"> </w:t>
      </w:r>
      <w:r>
        <w:t>the</w:t>
      </w:r>
      <w:r>
        <w:rPr>
          <w:spacing w:val="-9"/>
        </w:rPr>
        <w:t xml:space="preserve"> </w:t>
      </w:r>
      <w:r>
        <w:t>Commonwealth,</w:t>
      </w:r>
      <w:r>
        <w:rPr>
          <w:spacing w:val="-9"/>
        </w:rPr>
        <w:t xml:space="preserve"> </w:t>
      </w:r>
      <w:r>
        <w:t>the</w:t>
      </w:r>
      <w:r>
        <w:rPr>
          <w:spacing w:val="-9"/>
        </w:rPr>
        <w:t xml:space="preserve"> </w:t>
      </w:r>
      <w:r>
        <w:t>site</w:t>
      </w:r>
      <w:r>
        <w:rPr>
          <w:spacing w:val="-9"/>
        </w:rPr>
        <w:t xml:space="preserve"> </w:t>
      </w:r>
      <w:r>
        <w:t>is</w:t>
      </w:r>
      <w:r>
        <w:rPr>
          <w:spacing w:val="-9"/>
        </w:rPr>
        <w:t xml:space="preserve"> </w:t>
      </w:r>
      <w:r>
        <w:t>accessible from</w:t>
      </w:r>
      <w:r>
        <w:rPr>
          <w:spacing w:val="-10"/>
        </w:rPr>
        <w:t xml:space="preserve"> </w:t>
      </w:r>
      <w:r>
        <w:t>the</w:t>
      </w:r>
      <w:r>
        <w:rPr>
          <w:spacing w:val="-9"/>
        </w:rPr>
        <w:t xml:space="preserve"> </w:t>
      </w:r>
      <w:r>
        <w:t>M7</w:t>
      </w:r>
      <w:r>
        <w:rPr>
          <w:spacing w:val="-9"/>
        </w:rPr>
        <w:t xml:space="preserve"> </w:t>
      </w:r>
      <w:r>
        <w:t>Motorway</w:t>
      </w:r>
      <w:r>
        <w:rPr>
          <w:spacing w:val="-9"/>
        </w:rPr>
        <w:t xml:space="preserve"> </w:t>
      </w:r>
      <w:r>
        <w:t>and</w:t>
      </w:r>
      <w:r>
        <w:rPr>
          <w:spacing w:val="-9"/>
        </w:rPr>
        <w:t xml:space="preserve"> </w:t>
      </w:r>
      <w:r>
        <w:t>is</w:t>
      </w:r>
      <w:r>
        <w:rPr>
          <w:spacing w:val="-9"/>
        </w:rPr>
        <w:t xml:space="preserve"> </w:t>
      </w:r>
      <w:r>
        <w:t>close</w:t>
      </w:r>
      <w:r>
        <w:rPr>
          <w:spacing w:val="-9"/>
        </w:rPr>
        <w:t xml:space="preserve"> </w:t>
      </w:r>
      <w:r>
        <w:t>to</w:t>
      </w:r>
      <w:r>
        <w:rPr>
          <w:spacing w:val="-9"/>
        </w:rPr>
        <w:t xml:space="preserve"> </w:t>
      </w:r>
      <w:r>
        <w:t>the</w:t>
      </w:r>
      <w:r>
        <w:rPr>
          <w:spacing w:val="-9"/>
        </w:rPr>
        <w:t xml:space="preserve"> </w:t>
      </w:r>
      <w:r>
        <w:t xml:space="preserve">Western </w:t>
      </w:r>
      <w:r>
        <w:rPr>
          <w:w w:val="95"/>
        </w:rPr>
        <w:t>Sydney</w:t>
      </w:r>
      <w:r>
        <w:rPr>
          <w:spacing w:val="-9"/>
          <w:w w:val="95"/>
        </w:rPr>
        <w:t xml:space="preserve"> </w:t>
      </w:r>
      <w:r>
        <w:rPr>
          <w:w w:val="95"/>
        </w:rPr>
        <w:t>logistics</w:t>
      </w:r>
      <w:r>
        <w:rPr>
          <w:spacing w:val="-9"/>
          <w:w w:val="95"/>
        </w:rPr>
        <w:t xml:space="preserve"> </w:t>
      </w:r>
      <w:r>
        <w:rPr>
          <w:w w:val="95"/>
        </w:rPr>
        <w:t>hub.</w:t>
      </w:r>
      <w:r>
        <w:rPr>
          <w:spacing w:val="-9"/>
          <w:w w:val="95"/>
        </w:rPr>
        <w:t xml:space="preserve"> </w:t>
      </w:r>
      <w:r>
        <w:rPr>
          <w:w w:val="95"/>
        </w:rPr>
        <w:t>The</w:t>
      </w:r>
      <w:r>
        <w:rPr>
          <w:spacing w:val="-9"/>
          <w:w w:val="95"/>
        </w:rPr>
        <w:t xml:space="preserve"> </w:t>
      </w:r>
      <w:r>
        <w:rPr>
          <w:w w:val="95"/>
        </w:rPr>
        <w:t>study</w:t>
      </w:r>
      <w:r>
        <w:rPr>
          <w:spacing w:val="-9"/>
          <w:w w:val="95"/>
        </w:rPr>
        <w:t xml:space="preserve"> </w:t>
      </w:r>
      <w:r>
        <w:rPr>
          <w:w w:val="95"/>
        </w:rPr>
        <w:t>also</w:t>
      </w:r>
      <w:r>
        <w:rPr>
          <w:spacing w:val="-9"/>
          <w:w w:val="95"/>
        </w:rPr>
        <w:t xml:space="preserve"> </w:t>
      </w:r>
      <w:r>
        <w:rPr>
          <w:w w:val="95"/>
        </w:rPr>
        <w:t>raises</w:t>
      </w:r>
      <w:r>
        <w:rPr>
          <w:spacing w:val="-9"/>
          <w:w w:val="95"/>
        </w:rPr>
        <w:t xml:space="preserve"> </w:t>
      </w:r>
      <w:r>
        <w:rPr>
          <w:w w:val="95"/>
        </w:rPr>
        <w:t>the</w:t>
      </w:r>
      <w:r>
        <w:rPr>
          <w:spacing w:val="-9"/>
          <w:w w:val="95"/>
        </w:rPr>
        <w:t xml:space="preserve"> </w:t>
      </w:r>
      <w:r>
        <w:rPr>
          <w:w w:val="95"/>
        </w:rPr>
        <w:t xml:space="preserve">potential </w:t>
      </w:r>
      <w:r>
        <w:t>for</w:t>
      </w:r>
      <w:r>
        <w:rPr>
          <w:spacing w:val="-10"/>
        </w:rPr>
        <w:t xml:space="preserve"> </w:t>
      </w:r>
      <w:r>
        <w:t>RAAF</w:t>
      </w:r>
      <w:r>
        <w:rPr>
          <w:spacing w:val="-10"/>
        </w:rPr>
        <w:t xml:space="preserve"> </w:t>
      </w:r>
      <w:r>
        <w:t>Base</w:t>
      </w:r>
      <w:r>
        <w:rPr>
          <w:spacing w:val="-10"/>
        </w:rPr>
        <w:t xml:space="preserve"> </w:t>
      </w:r>
      <w:r>
        <w:t>Richmond</w:t>
      </w:r>
      <w:r>
        <w:rPr>
          <w:spacing w:val="-10"/>
        </w:rPr>
        <w:t xml:space="preserve"> </w:t>
      </w:r>
      <w:r>
        <w:t>to</w:t>
      </w:r>
      <w:r>
        <w:rPr>
          <w:spacing w:val="-10"/>
        </w:rPr>
        <w:t xml:space="preserve"> </w:t>
      </w:r>
      <w:r>
        <w:t>play</w:t>
      </w:r>
      <w:r>
        <w:rPr>
          <w:spacing w:val="-10"/>
        </w:rPr>
        <w:t xml:space="preserve"> </w:t>
      </w:r>
      <w:r>
        <w:t>a</w:t>
      </w:r>
      <w:r>
        <w:rPr>
          <w:spacing w:val="-10"/>
        </w:rPr>
        <w:t xml:space="preserve"> </w:t>
      </w:r>
      <w:r>
        <w:t>supporting</w:t>
      </w:r>
      <w:r>
        <w:rPr>
          <w:spacing w:val="-10"/>
        </w:rPr>
        <w:t xml:space="preserve"> </w:t>
      </w:r>
      <w:r>
        <w:t>role</w:t>
      </w:r>
      <w:r>
        <w:rPr>
          <w:spacing w:val="-10"/>
        </w:rPr>
        <w:t xml:space="preserve"> </w:t>
      </w:r>
      <w:r>
        <w:t>to Sydney</w:t>
      </w:r>
      <w:r>
        <w:rPr>
          <w:spacing w:val="-11"/>
        </w:rPr>
        <w:t xml:space="preserve"> </w:t>
      </w:r>
      <w:r>
        <w:t>Airport.</w:t>
      </w:r>
    </w:p>
    <w:p w:rsidR="002C1123" w:rsidRDefault="00F22F94">
      <w:pPr>
        <w:pStyle w:val="BodyText"/>
        <w:spacing w:before="146" w:line="249" w:lineRule="auto"/>
        <w:ind w:left="222" w:right="176"/>
      </w:pPr>
      <w:r>
        <w:rPr>
          <w:w w:val="95"/>
        </w:rPr>
        <w:t>The</w:t>
      </w:r>
      <w:r>
        <w:rPr>
          <w:spacing w:val="-11"/>
          <w:w w:val="95"/>
        </w:rPr>
        <w:t xml:space="preserve"> </w:t>
      </w:r>
      <w:r>
        <w:rPr>
          <w:w w:val="95"/>
        </w:rPr>
        <w:t>main</w:t>
      </w:r>
      <w:r>
        <w:rPr>
          <w:spacing w:val="-11"/>
          <w:w w:val="95"/>
        </w:rPr>
        <w:t xml:space="preserve"> </w:t>
      </w:r>
      <w:r>
        <w:rPr>
          <w:w w:val="95"/>
        </w:rPr>
        <w:t>issue</w:t>
      </w:r>
      <w:r>
        <w:rPr>
          <w:spacing w:val="-11"/>
          <w:w w:val="95"/>
        </w:rPr>
        <w:t xml:space="preserve"> </w:t>
      </w:r>
      <w:r>
        <w:rPr>
          <w:w w:val="95"/>
        </w:rPr>
        <w:t>for</w:t>
      </w:r>
      <w:r>
        <w:rPr>
          <w:spacing w:val="-11"/>
          <w:w w:val="95"/>
        </w:rPr>
        <w:t xml:space="preserve"> </w:t>
      </w:r>
      <w:r>
        <w:rPr>
          <w:w w:val="95"/>
        </w:rPr>
        <w:t>a</w:t>
      </w:r>
      <w:r>
        <w:rPr>
          <w:spacing w:val="-11"/>
          <w:w w:val="95"/>
        </w:rPr>
        <w:t xml:space="preserve"> </w:t>
      </w:r>
      <w:r>
        <w:rPr>
          <w:w w:val="95"/>
        </w:rPr>
        <w:t>Western</w:t>
      </w:r>
      <w:r>
        <w:rPr>
          <w:spacing w:val="-11"/>
          <w:w w:val="95"/>
        </w:rPr>
        <w:t xml:space="preserve"> </w:t>
      </w:r>
      <w:r>
        <w:rPr>
          <w:w w:val="95"/>
        </w:rPr>
        <w:t>Sydney</w:t>
      </w:r>
      <w:r>
        <w:rPr>
          <w:spacing w:val="-11"/>
          <w:w w:val="95"/>
        </w:rPr>
        <w:t xml:space="preserve"> </w:t>
      </w:r>
      <w:r>
        <w:rPr>
          <w:w w:val="95"/>
        </w:rPr>
        <w:t>regional</w:t>
      </w:r>
      <w:r>
        <w:rPr>
          <w:spacing w:val="-11"/>
          <w:w w:val="95"/>
        </w:rPr>
        <w:t xml:space="preserve"> </w:t>
      </w:r>
      <w:r>
        <w:rPr>
          <w:w w:val="95"/>
        </w:rPr>
        <w:t xml:space="preserve">airport is timing. The short term recommendation is for both State and Commonwealth Governments to maintain </w:t>
      </w:r>
      <w:r>
        <w:t>the</w:t>
      </w:r>
      <w:r>
        <w:rPr>
          <w:spacing w:val="-14"/>
        </w:rPr>
        <w:t xml:space="preserve"> </w:t>
      </w:r>
      <w:r>
        <w:t>integrity</w:t>
      </w:r>
      <w:r>
        <w:rPr>
          <w:spacing w:val="-14"/>
        </w:rPr>
        <w:t xml:space="preserve"> </w:t>
      </w:r>
      <w:r>
        <w:t>of</w:t>
      </w:r>
      <w:r>
        <w:rPr>
          <w:spacing w:val="-14"/>
        </w:rPr>
        <w:t xml:space="preserve"> </w:t>
      </w:r>
      <w:r>
        <w:t>the</w:t>
      </w:r>
      <w:r>
        <w:rPr>
          <w:spacing w:val="-14"/>
        </w:rPr>
        <w:t xml:space="preserve"> </w:t>
      </w:r>
      <w:r>
        <w:t>Badgerys</w:t>
      </w:r>
      <w:r>
        <w:rPr>
          <w:spacing w:val="-14"/>
        </w:rPr>
        <w:t xml:space="preserve"> </w:t>
      </w:r>
      <w:r>
        <w:t>Creek</w:t>
      </w:r>
      <w:r>
        <w:rPr>
          <w:spacing w:val="-14"/>
        </w:rPr>
        <w:t xml:space="preserve"> </w:t>
      </w:r>
      <w:r>
        <w:t>site,</w:t>
      </w:r>
      <w:r>
        <w:rPr>
          <w:spacing w:val="-14"/>
        </w:rPr>
        <w:t xml:space="preserve"> </w:t>
      </w:r>
      <w:r>
        <w:t>and</w:t>
      </w:r>
      <w:r>
        <w:rPr>
          <w:spacing w:val="-14"/>
        </w:rPr>
        <w:t xml:space="preserve"> </w:t>
      </w:r>
      <w:r>
        <w:t xml:space="preserve">review </w:t>
      </w:r>
      <w:r>
        <w:rPr>
          <w:w w:val="95"/>
        </w:rPr>
        <w:t>the supply/demand balance on a five yearly basis to</w:t>
      </w:r>
    </w:p>
    <w:p w:rsidR="002C1123" w:rsidRDefault="00F22F94">
      <w:pPr>
        <w:pStyle w:val="BodyText"/>
        <w:spacing w:before="4"/>
        <w:ind w:left="222"/>
      </w:pPr>
      <w:r>
        <w:rPr>
          <w:w w:val="95"/>
        </w:rPr>
        <w:t>determine</w:t>
      </w:r>
      <w:r>
        <w:rPr>
          <w:spacing w:val="-5"/>
          <w:w w:val="95"/>
        </w:rPr>
        <w:t xml:space="preserve"> </w:t>
      </w:r>
      <w:r>
        <w:rPr>
          <w:w w:val="95"/>
        </w:rPr>
        <w:t>when</w:t>
      </w:r>
      <w:r>
        <w:rPr>
          <w:spacing w:val="-5"/>
          <w:w w:val="95"/>
        </w:rPr>
        <w:t xml:space="preserve"> </w:t>
      </w:r>
      <w:r>
        <w:rPr>
          <w:w w:val="95"/>
        </w:rPr>
        <w:t>detailed</w:t>
      </w:r>
      <w:r>
        <w:rPr>
          <w:spacing w:val="-5"/>
          <w:w w:val="95"/>
        </w:rPr>
        <w:t xml:space="preserve"> </w:t>
      </w:r>
      <w:r>
        <w:rPr>
          <w:w w:val="95"/>
        </w:rPr>
        <w:t>planning</w:t>
      </w:r>
      <w:r>
        <w:rPr>
          <w:spacing w:val="-4"/>
          <w:w w:val="95"/>
        </w:rPr>
        <w:t xml:space="preserve"> </w:t>
      </w:r>
      <w:r>
        <w:rPr>
          <w:w w:val="95"/>
        </w:rPr>
        <w:t>for</w:t>
      </w:r>
      <w:r>
        <w:rPr>
          <w:spacing w:val="-5"/>
          <w:w w:val="95"/>
        </w:rPr>
        <w:t xml:space="preserve"> </w:t>
      </w:r>
      <w:r>
        <w:rPr>
          <w:w w:val="95"/>
        </w:rPr>
        <w:t>the</w:t>
      </w:r>
      <w:r>
        <w:rPr>
          <w:spacing w:val="-5"/>
          <w:w w:val="95"/>
        </w:rPr>
        <w:t xml:space="preserve"> </w:t>
      </w:r>
      <w:r>
        <w:rPr>
          <w:spacing w:val="-2"/>
          <w:w w:val="95"/>
        </w:rPr>
        <w:t>development</w:t>
      </w:r>
    </w:p>
    <w:p w:rsidR="002C1123" w:rsidRDefault="00F22F94">
      <w:pPr>
        <w:pStyle w:val="Heading5"/>
        <w:numPr>
          <w:ilvl w:val="1"/>
          <w:numId w:val="80"/>
        </w:numPr>
        <w:tabs>
          <w:tab w:val="left" w:pos="745"/>
        </w:tabs>
        <w:spacing w:before="267"/>
        <w:ind w:left="744"/>
        <w:jc w:val="left"/>
      </w:pPr>
      <w:r>
        <w:rPr>
          <w:b w:val="0"/>
        </w:rPr>
        <w:br w:type="column"/>
      </w:r>
      <w:r>
        <w:rPr>
          <w:color w:val="00AEEF"/>
          <w:spacing w:val="-2"/>
        </w:rPr>
        <w:t>Conclusions</w:t>
      </w:r>
    </w:p>
    <w:p w:rsidR="002C1123" w:rsidRDefault="00F22F94">
      <w:pPr>
        <w:pStyle w:val="Heading6"/>
        <w:numPr>
          <w:ilvl w:val="2"/>
          <w:numId w:val="80"/>
        </w:numPr>
        <w:tabs>
          <w:tab w:val="left" w:pos="782"/>
        </w:tabs>
        <w:spacing w:before="135"/>
        <w:ind w:left="781" w:hanging="487"/>
        <w:jc w:val="left"/>
        <w:rPr>
          <w:color w:val="00AEEF"/>
        </w:rPr>
      </w:pPr>
      <w:r>
        <w:rPr>
          <w:color w:val="00AEEF"/>
          <w:spacing w:val="-2"/>
        </w:rPr>
        <w:t>Summary</w:t>
      </w:r>
      <w:r>
        <w:rPr>
          <w:color w:val="00AEEF"/>
          <w:spacing w:val="-12"/>
        </w:rPr>
        <w:t xml:space="preserve"> </w:t>
      </w:r>
      <w:r>
        <w:rPr>
          <w:color w:val="00AEEF"/>
          <w:spacing w:val="-2"/>
        </w:rPr>
        <w:t>of</w:t>
      </w:r>
      <w:r>
        <w:rPr>
          <w:color w:val="00AEEF"/>
          <w:spacing w:val="-11"/>
        </w:rPr>
        <w:t xml:space="preserve"> </w:t>
      </w:r>
      <w:r>
        <w:rPr>
          <w:color w:val="00AEEF"/>
          <w:spacing w:val="-2"/>
        </w:rPr>
        <w:t>findings</w:t>
      </w:r>
    </w:p>
    <w:p w:rsidR="002C1123" w:rsidRDefault="00F22F94">
      <w:pPr>
        <w:pStyle w:val="BodyText"/>
        <w:spacing w:before="95" w:line="249" w:lineRule="auto"/>
        <w:ind w:left="295" w:right="756"/>
      </w:pPr>
      <w:r>
        <w:rPr>
          <w:w w:val="95"/>
        </w:rPr>
        <w:t xml:space="preserve">NSW has resilient infrastructure at its key international </w:t>
      </w:r>
      <w:r>
        <w:t>gateways.</w:t>
      </w:r>
      <w:r>
        <w:rPr>
          <w:spacing w:val="-13"/>
        </w:rPr>
        <w:t xml:space="preserve"> </w:t>
      </w:r>
      <w:r>
        <w:t>Port</w:t>
      </w:r>
      <w:r>
        <w:rPr>
          <w:spacing w:val="-13"/>
        </w:rPr>
        <w:t xml:space="preserve"> </w:t>
      </w:r>
      <w:r>
        <w:t>Botany</w:t>
      </w:r>
      <w:r>
        <w:rPr>
          <w:spacing w:val="-13"/>
        </w:rPr>
        <w:t xml:space="preserve"> </w:t>
      </w:r>
      <w:r>
        <w:t>and</w:t>
      </w:r>
      <w:r>
        <w:rPr>
          <w:spacing w:val="-13"/>
        </w:rPr>
        <w:t xml:space="preserve"> </w:t>
      </w:r>
      <w:r>
        <w:t>Sydney</w:t>
      </w:r>
      <w:r>
        <w:rPr>
          <w:spacing w:val="-13"/>
        </w:rPr>
        <w:t xml:space="preserve"> </w:t>
      </w:r>
      <w:r>
        <w:t>Airport</w:t>
      </w:r>
      <w:r>
        <w:rPr>
          <w:spacing w:val="-13"/>
        </w:rPr>
        <w:t xml:space="preserve"> </w:t>
      </w:r>
      <w:r>
        <w:t>are</w:t>
      </w:r>
      <w:r>
        <w:rPr>
          <w:spacing w:val="-13"/>
        </w:rPr>
        <w:t xml:space="preserve"> </w:t>
      </w:r>
      <w:r>
        <w:t>well located</w:t>
      </w:r>
      <w:r>
        <w:rPr>
          <w:spacing w:val="-11"/>
        </w:rPr>
        <w:t xml:space="preserve"> </w:t>
      </w:r>
      <w:r>
        <w:t>to</w:t>
      </w:r>
      <w:r>
        <w:rPr>
          <w:spacing w:val="-11"/>
        </w:rPr>
        <w:t xml:space="preserve"> </w:t>
      </w:r>
      <w:r>
        <w:t>serve</w:t>
      </w:r>
      <w:r>
        <w:rPr>
          <w:spacing w:val="-11"/>
        </w:rPr>
        <w:t xml:space="preserve"> </w:t>
      </w:r>
      <w:r>
        <w:t>the</w:t>
      </w:r>
      <w:r>
        <w:rPr>
          <w:spacing w:val="-11"/>
        </w:rPr>
        <w:t xml:space="preserve"> </w:t>
      </w:r>
      <w:r>
        <w:t>economy</w:t>
      </w:r>
      <w:r>
        <w:rPr>
          <w:spacing w:val="-11"/>
        </w:rPr>
        <w:t xml:space="preserve"> </w:t>
      </w:r>
      <w:r>
        <w:t>of</w:t>
      </w:r>
      <w:r>
        <w:rPr>
          <w:spacing w:val="-11"/>
        </w:rPr>
        <w:t xml:space="preserve"> </w:t>
      </w:r>
      <w:r>
        <w:t>Sydney</w:t>
      </w:r>
      <w:r>
        <w:rPr>
          <w:spacing w:val="-11"/>
        </w:rPr>
        <w:t xml:space="preserve"> </w:t>
      </w:r>
      <w:r>
        <w:t>and</w:t>
      </w:r>
      <w:r>
        <w:rPr>
          <w:spacing w:val="-11"/>
        </w:rPr>
        <w:t xml:space="preserve"> </w:t>
      </w:r>
      <w:r>
        <w:t>NSW more</w:t>
      </w:r>
      <w:r>
        <w:rPr>
          <w:spacing w:val="-9"/>
        </w:rPr>
        <w:t xml:space="preserve"> </w:t>
      </w:r>
      <w:r>
        <w:t>broadly.</w:t>
      </w:r>
      <w:r>
        <w:rPr>
          <w:spacing w:val="-9"/>
        </w:rPr>
        <w:t xml:space="preserve"> </w:t>
      </w:r>
      <w:r>
        <w:t>Port</w:t>
      </w:r>
      <w:r>
        <w:rPr>
          <w:spacing w:val="-9"/>
        </w:rPr>
        <w:t xml:space="preserve"> </w:t>
      </w:r>
      <w:r>
        <w:t>Botany</w:t>
      </w:r>
      <w:r>
        <w:rPr>
          <w:spacing w:val="-9"/>
        </w:rPr>
        <w:t xml:space="preserve"> </w:t>
      </w:r>
      <w:r>
        <w:t>has</w:t>
      </w:r>
      <w:r>
        <w:rPr>
          <w:spacing w:val="-9"/>
        </w:rPr>
        <w:t xml:space="preserve"> </w:t>
      </w:r>
      <w:r>
        <w:t>capacity</w:t>
      </w:r>
      <w:r>
        <w:rPr>
          <w:spacing w:val="-9"/>
        </w:rPr>
        <w:t xml:space="preserve"> </w:t>
      </w:r>
      <w:r>
        <w:t>to</w:t>
      </w:r>
      <w:r>
        <w:rPr>
          <w:spacing w:val="-9"/>
        </w:rPr>
        <w:t xml:space="preserve"> </w:t>
      </w:r>
      <w:r>
        <w:t>more</w:t>
      </w:r>
      <w:r>
        <w:rPr>
          <w:spacing w:val="-9"/>
        </w:rPr>
        <w:t xml:space="preserve"> </w:t>
      </w:r>
      <w:r>
        <w:t>than triple</w:t>
      </w:r>
      <w:r>
        <w:rPr>
          <w:spacing w:val="-8"/>
        </w:rPr>
        <w:t xml:space="preserve"> </w:t>
      </w:r>
      <w:r>
        <w:t>container</w:t>
      </w:r>
      <w:r>
        <w:rPr>
          <w:spacing w:val="-8"/>
        </w:rPr>
        <w:t xml:space="preserve"> </w:t>
      </w:r>
      <w:r>
        <w:t>demand</w:t>
      </w:r>
      <w:r>
        <w:rPr>
          <w:spacing w:val="-8"/>
        </w:rPr>
        <w:t xml:space="preserve"> </w:t>
      </w:r>
      <w:r>
        <w:t>and</w:t>
      </w:r>
      <w:r>
        <w:rPr>
          <w:spacing w:val="-8"/>
        </w:rPr>
        <w:t xml:space="preserve"> </w:t>
      </w:r>
      <w:r>
        <w:t>Sydney</w:t>
      </w:r>
      <w:r>
        <w:rPr>
          <w:spacing w:val="-8"/>
        </w:rPr>
        <w:t xml:space="preserve"> </w:t>
      </w:r>
      <w:r>
        <w:t>Airport,</w:t>
      </w:r>
      <w:r>
        <w:rPr>
          <w:spacing w:val="-8"/>
        </w:rPr>
        <w:t xml:space="preserve"> </w:t>
      </w:r>
      <w:r>
        <w:t>with</w:t>
      </w:r>
      <w:r>
        <w:rPr>
          <w:spacing w:val="-8"/>
        </w:rPr>
        <w:t xml:space="preserve"> </w:t>
      </w:r>
      <w:r>
        <w:t>its impossible</w:t>
      </w:r>
      <w:r>
        <w:rPr>
          <w:spacing w:val="-10"/>
        </w:rPr>
        <w:t xml:space="preserve"> </w:t>
      </w:r>
      <w:r>
        <w:t>to</w:t>
      </w:r>
      <w:r>
        <w:rPr>
          <w:spacing w:val="-10"/>
        </w:rPr>
        <w:t xml:space="preserve"> </w:t>
      </w:r>
      <w:r>
        <w:t>replicate</w:t>
      </w:r>
      <w:r>
        <w:rPr>
          <w:spacing w:val="-10"/>
        </w:rPr>
        <w:t xml:space="preserve"> </w:t>
      </w:r>
      <w:r>
        <w:t>geographical</w:t>
      </w:r>
      <w:r>
        <w:rPr>
          <w:spacing w:val="-10"/>
        </w:rPr>
        <w:t xml:space="preserve"> </w:t>
      </w:r>
      <w:r>
        <w:t xml:space="preserve">advantages, </w:t>
      </w:r>
      <w:r>
        <w:rPr>
          <w:w w:val="95"/>
        </w:rPr>
        <w:t>retains</w:t>
      </w:r>
      <w:r>
        <w:rPr>
          <w:spacing w:val="-5"/>
          <w:w w:val="95"/>
        </w:rPr>
        <w:t xml:space="preserve"> </w:t>
      </w:r>
      <w:r>
        <w:rPr>
          <w:w w:val="95"/>
        </w:rPr>
        <w:t>capacity</w:t>
      </w:r>
      <w:r>
        <w:rPr>
          <w:spacing w:val="-5"/>
          <w:w w:val="95"/>
        </w:rPr>
        <w:t xml:space="preserve"> </w:t>
      </w:r>
      <w:r>
        <w:rPr>
          <w:w w:val="95"/>
        </w:rPr>
        <w:t>to</w:t>
      </w:r>
      <w:r>
        <w:rPr>
          <w:spacing w:val="-5"/>
          <w:w w:val="95"/>
        </w:rPr>
        <w:t xml:space="preserve"> </w:t>
      </w:r>
      <w:r>
        <w:rPr>
          <w:w w:val="95"/>
        </w:rPr>
        <w:t>grow</w:t>
      </w:r>
      <w:r>
        <w:rPr>
          <w:spacing w:val="-5"/>
          <w:w w:val="95"/>
        </w:rPr>
        <w:t xml:space="preserve"> </w:t>
      </w:r>
      <w:r>
        <w:rPr>
          <w:w w:val="95"/>
        </w:rPr>
        <w:t>substantially</w:t>
      </w:r>
      <w:r>
        <w:rPr>
          <w:spacing w:val="-5"/>
          <w:w w:val="95"/>
        </w:rPr>
        <w:t xml:space="preserve"> </w:t>
      </w:r>
      <w:r>
        <w:rPr>
          <w:w w:val="95"/>
        </w:rPr>
        <w:t>during</w:t>
      </w:r>
      <w:r>
        <w:rPr>
          <w:spacing w:val="-5"/>
          <w:w w:val="95"/>
        </w:rPr>
        <w:t xml:space="preserve"> </w:t>
      </w:r>
      <w:r>
        <w:rPr>
          <w:w w:val="95"/>
        </w:rPr>
        <w:t>the</w:t>
      </w:r>
      <w:r>
        <w:rPr>
          <w:spacing w:val="-5"/>
          <w:w w:val="95"/>
        </w:rPr>
        <w:t xml:space="preserve"> </w:t>
      </w:r>
      <w:r>
        <w:rPr>
          <w:w w:val="95"/>
        </w:rPr>
        <w:t xml:space="preserve">lifetime </w:t>
      </w:r>
      <w:r>
        <w:t>of this Strategy.</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257" w:space="40"/>
            <w:col w:w="4914" w:space="39"/>
            <w:col w:w="5810"/>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BodyText"/>
        <w:spacing w:before="106" w:line="249" w:lineRule="auto"/>
        <w:ind w:left="492" w:right="41"/>
        <w:jc w:val="both"/>
      </w:pPr>
      <w:bookmarkStart w:id="263" w:name="_bookmark186"/>
      <w:bookmarkEnd w:id="263"/>
      <w:r>
        <w:rPr>
          <w:w w:val="95"/>
        </w:rPr>
        <w:t>Focus</w:t>
      </w:r>
      <w:r>
        <w:rPr>
          <w:spacing w:val="-1"/>
          <w:w w:val="95"/>
        </w:rPr>
        <w:t xml:space="preserve"> </w:t>
      </w:r>
      <w:r>
        <w:rPr>
          <w:w w:val="95"/>
        </w:rPr>
        <w:t>is</w:t>
      </w:r>
      <w:r>
        <w:rPr>
          <w:spacing w:val="-1"/>
          <w:w w:val="95"/>
        </w:rPr>
        <w:t xml:space="preserve"> </w:t>
      </w:r>
      <w:r>
        <w:rPr>
          <w:w w:val="95"/>
        </w:rPr>
        <w:t>needed</w:t>
      </w:r>
      <w:r>
        <w:rPr>
          <w:spacing w:val="-1"/>
          <w:w w:val="95"/>
        </w:rPr>
        <w:t xml:space="preserve"> </w:t>
      </w:r>
      <w:r>
        <w:rPr>
          <w:w w:val="95"/>
        </w:rPr>
        <w:t>on</w:t>
      </w:r>
      <w:r>
        <w:rPr>
          <w:spacing w:val="-1"/>
          <w:w w:val="95"/>
        </w:rPr>
        <w:t xml:space="preserve"> </w:t>
      </w:r>
      <w:r>
        <w:rPr>
          <w:w w:val="95"/>
        </w:rPr>
        <w:t>meeting</w:t>
      </w:r>
      <w:r>
        <w:rPr>
          <w:spacing w:val="-1"/>
          <w:w w:val="95"/>
        </w:rPr>
        <w:t xml:space="preserve"> </w:t>
      </w:r>
      <w:r>
        <w:rPr>
          <w:w w:val="95"/>
        </w:rPr>
        <w:t>the</w:t>
      </w:r>
      <w:r>
        <w:rPr>
          <w:spacing w:val="-1"/>
          <w:w w:val="95"/>
        </w:rPr>
        <w:t xml:space="preserve"> </w:t>
      </w:r>
      <w:r>
        <w:rPr>
          <w:w w:val="95"/>
        </w:rPr>
        <w:t>landside</w:t>
      </w:r>
      <w:r>
        <w:rPr>
          <w:spacing w:val="-1"/>
          <w:w w:val="95"/>
        </w:rPr>
        <w:t xml:space="preserve"> </w:t>
      </w:r>
      <w:r>
        <w:rPr>
          <w:w w:val="95"/>
        </w:rPr>
        <w:t>infrastructure demands of these gateways. However consideration is needed</w:t>
      </w:r>
      <w:r>
        <w:rPr>
          <w:spacing w:val="-2"/>
          <w:w w:val="95"/>
        </w:rPr>
        <w:t xml:space="preserve"> </w:t>
      </w:r>
      <w:r>
        <w:rPr>
          <w:w w:val="95"/>
        </w:rPr>
        <w:t>of</w:t>
      </w:r>
      <w:r>
        <w:rPr>
          <w:spacing w:val="-2"/>
          <w:w w:val="95"/>
        </w:rPr>
        <w:t xml:space="preserve"> </w:t>
      </w:r>
      <w:r>
        <w:rPr>
          <w:w w:val="95"/>
        </w:rPr>
        <w:t>the</w:t>
      </w:r>
      <w:r>
        <w:rPr>
          <w:spacing w:val="-2"/>
          <w:w w:val="95"/>
        </w:rPr>
        <w:t xml:space="preserve"> </w:t>
      </w:r>
      <w:r>
        <w:rPr>
          <w:w w:val="95"/>
        </w:rPr>
        <w:t>market</w:t>
      </w:r>
      <w:r>
        <w:rPr>
          <w:spacing w:val="-2"/>
          <w:w w:val="95"/>
        </w:rPr>
        <w:t xml:space="preserve"> </w:t>
      </w:r>
      <w:r>
        <w:rPr>
          <w:w w:val="95"/>
        </w:rPr>
        <w:t>dynamics</w:t>
      </w:r>
      <w:r>
        <w:rPr>
          <w:spacing w:val="-2"/>
          <w:w w:val="95"/>
        </w:rPr>
        <w:t xml:space="preserve"> </w:t>
      </w:r>
      <w:r>
        <w:rPr>
          <w:w w:val="95"/>
        </w:rPr>
        <w:t>of</w:t>
      </w:r>
      <w:r>
        <w:rPr>
          <w:spacing w:val="-2"/>
          <w:w w:val="95"/>
        </w:rPr>
        <w:t xml:space="preserve"> </w:t>
      </w:r>
      <w:r>
        <w:rPr>
          <w:w w:val="95"/>
        </w:rPr>
        <w:t>the</w:t>
      </w:r>
      <w:r>
        <w:rPr>
          <w:spacing w:val="-2"/>
          <w:w w:val="95"/>
        </w:rPr>
        <w:t xml:space="preserve"> </w:t>
      </w:r>
      <w:r>
        <w:rPr>
          <w:w w:val="95"/>
        </w:rPr>
        <w:t>different</w:t>
      </w:r>
      <w:r>
        <w:rPr>
          <w:spacing w:val="-2"/>
          <w:w w:val="95"/>
        </w:rPr>
        <w:t xml:space="preserve"> </w:t>
      </w:r>
      <w:r>
        <w:rPr>
          <w:w w:val="95"/>
        </w:rPr>
        <w:t>types</w:t>
      </w:r>
      <w:r>
        <w:rPr>
          <w:spacing w:val="-2"/>
          <w:w w:val="95"/>
        </w:rPr>
        <w:t xml:space="preserve"> </w:t>
      </w:r>
      <w:r>
        <w:rPr>
          <w:w w:val="95"/>
        </w:rPr>
        <w:t xml:space="preserve">of </w:t>
      </w:r>
      <w:r>
        <w:t>passenger and freight travel.</w:t>
      </w:r>
    </w:p>
    <w:p w:rsidR="002C1123" w:rsidRDefault="00F22F94">
      <w:pPr>
        <w:pStyle w:val="BodyText"/>
        <w:spacing w:before="145" w:line="249" w:lineRule="auto"/>
        <w:ind w:left="492" w:right="-1"/>
      </w:pPr>
      <w:r>
        <w:t>Infrastructure</w:t>
      </w:r>
      <w:r>
        <w:rPr>
          <w:spacing w:val="-14"/>
        </w:rPr>
        <w:t xml:space="preserve"> </w:t>
      </w:r>
      <w:r>
        <w:t>NSW</w:t>
      </w:r>
      <w:r>
        <w:rPr>
          <w:spacing w:val="-14"/>
        </w:rPr>
        <w:t xml:space="preserve"> </w:t>
      </w:r>
      <w:r>
        <w:t>believes</w:t>
      </w:r>
      <w:r>
        <w:rPr>
          <w:spacing w:val="-14"/>
        </w:rPr>
        <w:t xml:space="preserve"> </w:t>
      </w:r>
      <w:r>
        <w:t>too</w:t>
      </w:r>
      <w:r>
        <w:rPr>
          <w:spacing w:val="-14"/>
        </w:rPr>
        <w:t xml:space="preserve"> </w:t>
      </w:r>
      <w:r>
        <w:t>much</w:t>
      </w:r>
      <w:r>
        <w:rPr>
          <w:spacing w:val="-14"/>
        </w:rPr>
        <w:t xml:space="preserve"> </w:t>
      </w:r>
      <w:r>
        <w:t>focus</w:t>
      </w:r>
      <w:r>
        <w:rPr>
          <w:spacing w:val="-14"/>
        </w:rPr>
        <w:t xml:space="preserve"> </w:t>
      </w:r>
      <w:r>
        <w:t>has</w:t>
      </w:r>
      <w:r>
        <w:rPr>
          <w:spacing w:val="-14"/>
        </w:rPr>
        <w:t xml:space="preserve"> </w:t>
      </w:r>
      <w:r>
        <w:t>been placed</w:t>
      </w:r>
      <w:r>
        <w:rPr>
          <w:spacing w:val="-11"/>
        </w:rPr>
        <w:t xml:space="preserve"> </w:t>
      </w:r>
      <w:r>
        <w:t>on</w:t>
      </w:r>
      <w:r>
        <w:rPr>
          <w:spacing w:val="-9"/>
        </w:rPr>
        <w:t xml:space="preserve"> </w:t>
      </w:r>
      <w:r>
        <w:t>trying</w:t>
      </w:r>
      <w:r>
        <w:rPr>
          <w:spacing w:val="-9"/>
        </w:rPr>
        <w:t xml:space="preserve"> </w:t>
      </w:r>
      <w:r>
        <w:t>to</w:t>
      </w:r>
      <w:r>
        <w:rPr>
          <w:spacing w:val="-9"/>
        </w:rPr>
        <w:t xml:space="preserve"> </w:t>
      </w:r>
      <w:r>
        <w:t>get</w:t>
      </w:r>
      <w:r>
        <w:rPr>
          <w:spacing w:val="-9"/>
        </w:rPr>
        <w:t xml:space="preserve"> </w:t>
      </w:r>
      <w:r>
        <w:t>container</w:t>
      </w:r>
      <w:r>
        <w:rPr>
          <w:spacing w:val="-9"/>
        </w:rPr>
        <w:t xml:space="preserve"> </w:t>
      </w:r>
      <w:r>
        <w:t>freight</w:t>
      </w:r>
      <w:r>
        <w:rPr>
          <w:spacing w:val="-9"/>
        </w:rPr>
        <w:t xml:space="preserve"> </w:t>
      </w:r>
      <w:r>
        <w:t>off</w:t>
      </w:r>
      <w:r>
        <w:rPr>
          <w:spacing w:val="-9"/>
        </w:rPr>
        <w:t xml:space="preserve"> </w:t>
      </w:r>
      <w:r>
        <w:t xml:space="preserve">Sydney’s </w:t>
      </w:r>
      <w:r>
        <w:rPr>
          <w:w w:val="95"/>
        </w:rPr>
        <w:t>strategic road network, without adequate consideration as</w:t>
      </w:r>
      <w:r>
        <w:rPr>
          <w:spacing w:val="-7"/>
          <w:w w:val="95"/>
        </w:rPr>
        <w:t xml:space="preserve"> </w:t>
      </w:r>
      <w:r>
        <w:rPr>
          <w:w w:val="95"/>
        </w:rPr>
        <w:t>to</w:t>
      </w:r>
      <w:r>
        <w:rPr>
          <w:spacing w:val="-7"/>
          <w:w w:val="95"/>
        </w:rPr>
        <w:t xml:space="preserve"> </w:t>
      </w:r>
      <w:r>
        <w:rPr>
          <w:w w:val="95"/>
        </w:rPr>
        <w:t>why</w:t>
      </w:r>
      <w:r>
        <w:rPr>
          <w:spacing w:val="-7"/>
          <w:w w:val="95"/>
        </w:rPr>
        <w:t xml:space="preserve"> </w:t>
      </w:r>
      <w:r>
        <w:rPr>
          <w:w w:val="95"/>
        </w:rPr>
        <w:t>it</w:t>
      </w:r>
      <w:r>
        <w:rPr>
          <w:spacing w:val="-7"/>
          <w:w w:val="95"/>
        </w:rPr>
        <w:t xml:space="preserve"> </w:t>
      </w:r>
      <w:r>
        <w:rPr>
          <w:w w:val="95"/>
        </w:rPr>
        <w:t>is</w:t>
      </w:r>
      <w:r>
        <w:rPr>
          <w:spacing w:val="-7"/>
          <w:w w:val="95"/>
        </w:rPr>
        <w:t xml:space="preserve"> </w:t>
      </w:r>
      <w:r>
        <w:rPr>
          <w:w w:val="95"/>
        </w:rPr>
        <w:t>there</w:t>
      </w:r>
      <w:r>
        <w:rPr>
          <w:spacing w:val="-7"/>
          <w:w w:val="95"/>
        </w:rPr>
        <w:t xml:space="preserve"> </w:t>
      </w:r>
      <w:r>
        <w:rPr>
          <w:w w:val="95"/>
        </w:rPr>
        <w:t>–</w:t>
      </w:r>
      <w:r>
        <w:rPr>
          <w:spacing w:val="-7"/>
          <w:w w:val="95"/>
        </w:rPr>
        <w:t xml:space="preserve"> </w:t>
      </w:r>
      <w:r>
        <w:rPr>
          <w:w w:val="95"/>
        </w:rPr>
        <w:t>or</w:t>
      </w:r>
      <w:r>
        <w:rPr>
          <w:spacing w:val="-7"/>
          <w:w w:val="95"/>
        </w:rPr>
        <w:t xml:space="preserve"> </w:t>
      </w:r>
      <w:r>
        <w:rPr>
          <w:w w:val="95"/>
        </w:rPr>
        <w:t>what</w:t>
      </w:r>
      <w:r>
        <w:rPr>
          <w:spacing w:val="-7"/>
          <w:w w:val="95"/>
        </w:rPr>
        <w:t xml:space="preserve"> </w:t>
      </w:r>
      <w:r>
        <w:rPr>
          <w:w w:val="95"/>
        </w:rPr>
        <w:t>the</w:t>
      </w:r>
      <w:r>
        <w:rPr>
          <w:spacing w:val="-7"/>
          <w:w w:val="95"/>
        </w:rPr>
        <w:t xml:space="preserve"> </w:t>
      </w:r>
      <w:r>
        <w:rPr>
          <w:w w:val="95"/>
        </w:rPr>
        <w:t>true</w:t>
      </w:r>
      <w:r>
        <w:rPr>
          <w:spacing w:val="-7"/>
          <w:w w:val="95"/>
        </w:rPr>
        <w:t xml:space="preserve"> </w:t>
      </w:r>
      <w:r>
        <w:rPr>
          <w:w w:val="95"/>
        </w:rPr>
        <w:t>benefits</w:t>
      </w:r>
      <w:r>
        <w:rPr>
          <w:spacing w:val="-7"/>
          <w:w w:val="95"/>
        </w:rPr>
        <w:t xml:space="preserve"> </w:t>
      </w:r>
      <w:r>
        <w:rPr>
          <w:w w:val="95"/>
        </w:rPr>
        <w:t>and</w:t>
      </w:r>
      <w:r>
        <w:rPr>
          <w:spacing w:val="-7"/>
          <w:w w:val="95"/>
        </w:rPr>
        <w:t xml:space="preserve"> </w:t>
      </w:r>
      <w:r>
        <w:rPr>
          <w:w w:val="95"/>
        </w:rPr>
        <w:t xml:space="preserve">costs </w:t>
      </w:r>
      <w:r>
        <w:t>would be of such modal shift.</w:t>
      </w:r>
    </w:p>
    <w:p w:rsidR="002C1123" w:rsidRDefault="00F22F94">
      <w:pPr>
        <w:pStyle w:val="BodyText"/>
        <w:spacing w:before="146" w:line="249" w:lineRule="auto"/>
        <w:ind w:left="492" w:right="320"/>
      </w:pPr>
      <w:r>
        <w:t>Conversely,</w:t>
      </w:r>
      <w:r>
        <w:rPr>
          <w:spacing w:val="-12"/>
        </w:rPr>
        <w:t xml:space="preserve"> </w:t>
      </w:r>
      <w:r>
        <w:t>too</w:t>
      </w:r>
      <w:r>
        <w:rPr>
          <w:spacing w:val="-12"/>
        </w:rPr>
        <w:t xml:space="preserve"> </w:t>
      </w:r>
      <w:r>
        <w:t>little</w:t>
      </w:r>
      <w:r>
        <w:rPr>
          <w:spacing w:val="-12"/>
        </w:rPr>
        <w:t xml:space="preserve"> </w:t>
      </w:r>
      <w:r>
        <w:t>has</w:t>
      </w:r>
      <w:r>
        <w:rPr>
          <w:spacing w:val="-12"/>
        </w:rPr>
        <w:t xml:space="preserve"> </w:t>
      </w:r>
      <w:r>
        <w:t>been</w:t>
      </w:r>
      <w:r>
        <w:rPr>
          <w:spacing w:val="-12"/>
        </w:rPr>
        <w:t xml:space="preserve"> </w:t>
      </w:r>
      <w:r>
        <w:t>done</w:t>
      </w:r>
      <w:r>
        <w:rPr>
          <w:spacing w:val="-12"/>
        </w:rPr>
        <w:t xml:space="preserve"> </w:t>
      </w:r>
      <w:r>
        <w:t>to</w:t>
      </w:r>
      <w:r>
        <w:rPr>
          <w:spacing w:val="-12"/>
        </w:rPr>
        <w:t xml:space="preserve"> </w:t>
      </w:r>
      <w:r>
        <w:t xml:space="preserve">move </w:t>
      </w:r>
      <w:r>
        <w:rPr>
          <w:w w:val="95"/>
        </w:rPr>
        <w:t>airport passengers onto public transport – despite</w:t>
      </w:r>
    </w:p>
    <w:p w:rsidR="002C1123" w:rsidRDefault="00F22F94">
      <w:pPr>
        <w:pStyle w:val="BodyText"/>
        <w:spacing w:before="106" w:line="249" w:lineRule="auto"/>
        <w:ind w:left="289" w:right="716"/>
      </w:pPr>
      <w:r>
        <w:br w:type="column"/>
      </w:r>
      <w:r>
        <w:rPr>
          <w:w w:val="95"/>
        </w:rPr>
        <w:t>the</w:t>
      </w:r>
      <w:r>
        <w:rPr>
          <w:spacing w:val="-8"/>
          <w:w w:val="95"/>
        </w:rPr>
        <w:t xml:space="preserve"> </w:t>
      </w:r>
      <w:r>
        <w:rPr>
          <w:w w:val="95"/>
        </w:rPr>
        <w:t>potentially</w:t>
      </w:r>
      <w:r>
        <w:rPr>
          <w:spacing w:val="-8"/>
          <w:w w:val="95"/>
        </w:rPr>
        <w:t xml:space="preserve"> </w:t>
      </w:r>
      <w:r>
        <w:rPr>
          <w:w w:val="95"/>
        </w:rPr>
        <w:t>greater</w:t>
      </w:r>
      <w:r>
        <w:rPr>
          <w:spacing w:val="-8"/>
          <w:w w:val="95"/>
        </w:rPr>
        <w:t xml:space="preserve"> </w:t>
      </w:r>
      <w:r>
        <w:rPr>
          <w:w w:val="95"/>
        </w:rPr>
        <w:t>impacts</w:t>
      </w:r>
      <w:r>
        <w:rPr>
          <w:spacing w:val="-8"/>
          <w:w w:val="95"/>
        </w:rPr>
        <w:t xml:space="preserve"> </w:t>
      </w:r>
      <w:r>
        <w:rPr>
          <w:w w:val="95"/>
        </w:rPr>
        <w:t>this</w:t>
      </w:r>
      <w:r>
        <w:rPr>
          <w:spacing w:val="-8"/>
          <w:w w:val="95"/>
        </w:rPr>
        <w:t xml:space="preserve"> </w:t>
      </w:r>
      <w:r>
        <w:rPr>
          <w:w w:val="95"/>
        </w:rPr>
        <w:t>could</w:t>
      </w:r>
      <w:r>
        <w:rPr>
          <w:spacing w:val="-8"/>
          <w:w w:val="95"/>
        </w:rPr>
        <w:t xml:space="preserve"> </w:t>
      </w:r>
      <w:r>
        <w:rPr>
          <w:w w:val="95"/>
        </w:rPr>
        <w:t xml:space="preserve">have </w:t>
      </w:r>
      <w:r>
        <w:t>on</w:t>
      </w:r>
      <w:r>
        <w:rPr>
          <w:spacing w:val="-11"/>
        </w:rPr>
        <w:t xml:space="preserve"> </w:t>
      </w:r>
      <w:r>
        <w:t>congestion.</w:t>
      </w:r>
    </w:p>
    <w:p w:rsidR="002C1123" w:rsidRDefault="00F22F94">
      <w:pPr>
        <w:pStyle w:val="BodyText"/>
        <w:spacing w:before="143" w:line="249" w:lineRule="auto"/>
        <w:ind w:left="289"/>
      </w:pPr>
      <w:r>
        <w:rPr>
          <w:w w:val="95"/>
        </w:rPr>
        <w:t>Even</w:t>
      </w:r>
      <w:r>
        <w:rPr>
          <w:spacing w:val="-10"/>
          <w:w w:val="95"/>
        </w:rPr>
        <w:t xml:space="preserve"> </w:t>
      </w:r>
      <w:r>
        <w:rPr>
          <w:w w:val="95"/>
        </w:rPr>
        <w:t>with</w:t>
      </w:r>
      <w:r>
        <w:rPr>
          <w:spacing w:val="-10"/>
          <w:w w:val="95"/>
        </w:rPr>
        <w:t xml:space="preserve"> </w:t>
      </w:r>
      <w:r>
        <w:rPr>
          <w:w w:val="95"/>
        </w:rPr>
        <w:t>significant</w:t>
      </w:r>
      <w:r>
        <w:rPr>
          <w:spacing w:val="-10"/>
          <w:w w:val="95"/>
        </w:rPr>
        <w:t xml:space="preserve"> </w:t>
      </w:r>
      <w:r>
        <w:rPr>
          <w:w w:val="95"/>
        </w:rPr>
        <w:t>modal</w:t>
      </w:r>
      <w:r>
        <w:rPr>
          <w:spacing w:val="-10"/>
          <w:w w:val="95"/>
        </w:rPr>
        <w:t xml:space="preserve"> </w:t>
      </w:r>
      <w:r>
        <w:rPr>
          <w:w w:val="95"/>
        </w:rPr>
        <w:t>shift,</w:t>
      </w:r>
      <w:r>
        <w:rPr>
          <w:spacing w:val="-10"/>
          <w:w w:val="95"/>
        </w:rPr>
        <w:t xml:space="preserve"> </w:t>
      </w:r>
      <w:r>
        <w:rPr>
          <w:w w:val="95"/>
        </w:rPr>
        <w:t>however,</w:t>
      </w:r>
      <w:r>
        <w:rPr>
          <w:spacing w:val="-10"/>
          <w:w w:val="95"/>
        </w:rPr>
        <w:t xml:space="preserve"> </w:t>
      </w:r>
      <w:r>
        <w:rPr>
          <w:w w:val="95"/>
        </w:rPr>
        <w:t xml:space="preserve">Infrastructure </w:t>
      </w:r>
      <w:r>
        <w:rPr>
          <w:spacing w:val="-2"/>
        </w:rPr>
        <w:t>NSW</w:t>
      </w:r>
      <w:r>
        <w:rPr>
          <w:spacing w:val="-6"/>
        </w:rPr>
        <w:t xml:space="preserve"> </w:t>
      </w:r>
      <w:r>
        <w:rPr>
          <w:spacing w:val="-2"/>
        </w:rPr>
        <w:t>sees</w:t>
      </w:r>
      <w:r>
        <w:rPr>
          <w:spacing w:val="-6"/>
        </w:rPr>
        <w:t xml:space="preserve"> </w:t>
      </w:r>
      <w:r>
        <w:rPr>
          <w:spacing w:val="-2"/>
        </w:rPr>
        <w:t>no</w:t>
      </w:r>
      <w:r>
        <w:rPr>
          <w:spacing w:val="-6"/>
        </w:rPr>
        <w:t xml:space="preserve"> </w:t>
      </w:r>
      <w:r>
        <w:rPr>
          <w:spacing w:val="-2"/>
        </w:rPr>
        <w:t>alternative</w:t>
      </w:r>
      <w:r>
        <w:rPr>
          <w:spacing w:val="-6"/>
        </w:rPr>
        <w:t xml:space="preserve"> </w:t>
      </w:r>
      <w:r>
        <w:rPr>
          <w:spacing w:val="-2"/>
        </w:rPr>
        <w:t>to</w:t>
      </w:r>
      <w:r>
        <w:rPr>
          <w:spacing w:val="-6"/>
        </w:rPr>
        <w:t xml:space="preserve"> </w:t>
      </w:r>
      <w:r>
        <w:rPr>
          <w:spacing w:val="-2"/>
        </w:rPr>
        <w:t>significant</w:t>
      </w:r>
      <w:r>
        <w:rPr>
          <w:spacing w:val="-6"/>
        </w:rPr>
        <w:t xml:space="preserve"> </w:t>
      </w:r>
      <w:r>
        <w:rPr>
          <w:spacing w:val="-2"/>
        </w:rPr>
        <w:t>investment</w:t>
      </w:r>
      <w:r>
        <w:rPr>
          <w:spacing w:val="-6"/>
        </w:rPr>
        <w:t xml:space="preserve"> </w:t>
      </w:r>
      <w:r>
        <w:rPr>
          <w:spacing w:val="-2"/>
        </w:rPr>
        <w:t xml:space="preserve">in </w:t>
      </w:r>
      <w:r>
        <w:t>road</w:t>
      </w:r>
      <w:r>
        <w:rPr>
          <w:spacing w:val="-11"/>
        </w:rPr>
        <w:t xml:space="preserve"> </w:t>
      </w:r>
      <w:r>
        <w:t>capacity.</w:t>
      </w:r>
      <w:r>
        <w:rPr>
          <w:spacing w:val="-11"/>
        </w:rPr>
        <w:t xml:space="preserve"> </w:t>
      </w:r>
      <w:r>
        <w:t>In</w:t>
      </w:r>
      <w:r>
        <w:rPr>
          <w:spacing w:val="-11"/>
        </w:rPr>
        <w:t xml:space="preserve"> </w:t>
      </w:r>
      <w:r>
        <w:t>the</w:t>
      </w:r>
      <w:r>
        <w:rPr>
          <w:spacing w:val="-11"/>
        </w:rPr>
        <w:t xml:space="preserve"> </w:t>
      </w:r>
      <w:r>
        <w:t>short-term</w:t>
      </w:r>
      <w:r>
        <w:rPr>
          <w:spacing w:val="-12"/>
        </w:rPr>
        <w:t xml:space="preserve"> </w:t>
      </w:r>
      <w:r>
        <w:t>this</w:t>
      </w:r>
      <w:r>
        <w:rPr>
          <w:spacing w:val="-11"/>
        </w:rPr>
        <w:t xml:space="preserve"> </w:t>
      </w:r>
      <w:r>
        <w:t>means</w:t>
      </w:r>
      <w:r>
        <w:rPr>
          <w:spacing w:val="-11"/>
        </w:rPr>
        <w:t xml:space="preserve"> </w:t>
      </w:r>
      <w:r>
        <w:t>a</w:t>
      </w:r>
      <w:r>
        <w:rPr>
          <w:spacing w:val="-11"/>
        </w:rPr>
        <w:t xml:space="preserve"> </w:t>
      </w:r>
      <w:r>
        <w:t>targeted program</w:t>
      </w:r>
      <w:r>
        <w:rPr>
          <w:spacing w:val="-3"/>
        </w:rPr>
        <w:t xml:space="preserve"> </w:t>
      </w:r>
      <w:r>
        <w:t>of</w:t>
      </w:r>
      <w:r>
        <w:rPr>
          <w:spacing w:val="-2"/>
        </w:rPr>
        <w:t xml:space="preserve"> </w:t>
      </w:r>
      <w:r>
        <w:t>‘pinch</w:t>
      </w:r>
      <w:r>
        <w:rPr>
          <w:spacing w:val="-2"/>
        </w:rPr>
        <w:t xml:space="preserve"> </w:t>
      </w:r>
      <w:r>
        <w:t>point’</w:t>
      </w:r>
      <w:r>
        <w:rPr>
          <w:spacing w:val="-2"/>
        </w:rPr>
        <w:t xml:space="preserve"> </w:t>
      </w:r>
      <w:r>
        <w:t>investments</w:t>
      </w:r>
      <w:r>
        <w:rPr>
          <w:spacing w:val="-2"/>
        </w:rPr>
        <w:t xml:space="preserve"> </w:t>
      </w:r>
      <w:r>
        <w:t>around</w:t>
      </w:r>
      <w:r>
        <w:rPr>
          <w:spacing w:val="-2"/>
        </w:rPr>
        <w:t xml:space="preserve"> </w:t>
      </w:r>
      <w:r>
        <w:t>the</w:t>
      </w:r>
      <w:r>
        <w:rPr>
          <w:spacing w:val="-2"/>
        </w:rPr>
        <w:t xml:space="preserve"> </w:t>
      </w:r>
      <w:r>
        <w:t>port and</w:t>
      </w:r>
      <w:r>
        <w:rPr>
          <w:spacing w:val="-14"/>
        </w:rPr>
        <w:t xml:space="preserve"> </w:t>
      </w:r>
      <w:r>
        <w:t>airport.</w:t>
      </w:r>
      <w:r>
        <w:rPr>
          <w:spacing w:val="-14"/>
        </w:rPr>
        <w:t xml:space="preserve"> </w:t>
      </w:r>
      <w:r>
        <w:t>In</w:t>
      </w:r>
      <w:r>
        <w:rPr>
          <w:spacing w:val="-14"/>
        </w:rPr>
        <w:t xml:space="preserve"> </w:t>
      </w:r>
      <w:r>
        <w:t>the</w:t>
      </w:r>
      <w:r>
        <w:rPr>
          <w:spacing w:val="-14"/>
        </w:rPr>
        <w:t xml:space="preserve"> </w:t>
      </w:r>
      <w:r>
        <w:t>longer-term,</w:t>
      </w:r>
      <w:r>
        <w:rPr>
          <w:spacing w:val="-14"/>
        </w:rPr>
        <w:t xml:space="preserve"> </w:t>
      </w:r>
      <w:r>
        <w:t>Infrastructure</w:t>
      </w:r>
      <w:r>
        <w:rPr>
          <w:spacing w:val="-14"/>
        </w:rPr>
        <w:t xml:space="preserve"> </w:t>
      </w:r>
      <w:r>
        <w:t>NSW recommends</w:t>
      </w:r>
      <w:r>
        <w:rPr>
          <w:spacing w:val="-7"/>
        </w:rPr>
        <w:t xml:space="preserve"> </w:t>
      </w:r>
      <w:r>
        <w:t>the</w:t>
      </w:r>
      <w:r>
        <w:rPr>
          <w:spacing w:val="-8"/>
        </w:rPr>
        <w:t xml:space="preserve"> </w:t>
      </w:r>
      <w:r>
        <w:t>WestConnex</w:t>
      </w:r>
      <w:r>
        <w:rPr>
          <w:spacing w:val="-7"/>
        </w:rPr>
        <w:t xml:space="preserve"> </w:t>
      </w:r>
      <w:r>
        <w:t>scheme</w:t>
      </w:r>
      <w:r>
        <w:rPr>
          <w:spacing w:val="-8"/>
        </w:rPr>
        <w:t xml:space="preserve"> </w:t>
      </w:r>
      <w:r>
        <w:t>to</w:t>
      </w:r>
      <w:r>
        <w:rPr>
          <w:spacing w:val="-7"/>
        </w:rPr>
        <w:t xml:space="preserve"> </w:t>
      </w:r>
      <w:r>
        <w:t>keep</w:t>
      </w:r>
      <w:r>
        <w:rPr>
          <w:spacing w:val="-8"/>
        </w:rPr>
        <w:t xml:space="preserve"> </w:t>
      </w:r>
      <w:r>
        <w:t>traffic moving</w:t>
      </w:r>
      <w:r>
        <w:rPr>
          <w:spacing w:val="-10"/>
        </w:rPr>
        <w:t xml:space="preserve"> </w:t>
      </w:r>
      <w:r>
        <w:t>around</w:t>
      </w:r>
      <w:r>
        <w:rPr>
          <w:spacing w:val="-10"/>
        </w:rPr>
        <w:t xml:space="preserve"> </w:t>
      </w:r>
      <w:r>
        <w:t>these</w:t>
      </w:r>
      <w:r>
        <w:rPr>
          <w:spacing w:val="-10"/>
        </w:rPr>
        <w:t xml:space="preserve"> </w:t>
      </w:r>
      <w:r>
        <w:t>essential</w:t>
      </w:r>
      <w:r>
        <w:rPr>
          <w:spacing w:val="-10"/>
        </w:rPr>
        <w:t xml:space="preserve"> </w:t>
      </w:r>
      <w:r>
        <w:t>gateways.</w:t>
      </w:r>
    </w:p>
    <w:p w:rsidR="002C1123" w:rsidRDefault="00F22F94">
      <w:pPr>
        <w:pStyle w:val="BodyText"/>
        <w:spacing w:before="148" w:line="249" w:lineRule="auto"/>
        <w:ind w:left="289"/>
      </w:pPr>
      <w:r>
        <w:rPr>
          <w:w w:val="95"/>
        </w:rPr>
        <w:t>Once</w:t>
      </w:r>
      <w:r>
        <w:rPr>
          <w:spacing w:val="-2"/>
          <w:w w:val="95"/>
        </w:rPr>
        <w:t xml:space="preserve"> </w:t>
      </w:r>
      <w:r>
        <w:rPr>
          <w:w w:val="95"/>
        </w:rPr>
        <w:t>Port</w:t>
      </w:r>
      <w:r>
        <w:rPr>
          <w:spacing w:val="-2"/>
          <w:w w:val="95"/>
        </w:rPr>
        <w:t xml:space="preserve"> </w:t>
      </w:r>
      <w:r>
        <w:rPr>
          <w:w w:val="95"/>
        </w:rPr>
        <w:t>Botany</w:t>
      </w:r>
      <w:r>
        <w:rPr>
          <w:spacing w:val="-2"/>
          <w:w w:val="95"/>
        </w:rPr>
        <w:t xml:space="preserve"> </w:t>
      </w:r>
      <w:r>
        <w:rPr>
          <w:w w:val="95"/>
        </w:rPr>
        <w:t>reaches</w:t>
      </w:r>
      <w:r>
        <w:rPr>
          <w:spacing w:val="-2"/>
          <w:w w:val="95"/>
        </w:rPr>
        <w:t xml:space="preserve"> </w:t>
      </w:r>
      <w:r>
        <w:rPr>
          <w:w w:val="95"/>
        </w:rPr>
        <w:t>capacity,</w:t>
      </w:r>
      <w:r>
        <w:rPr>
          <w:spacing w:val="-2"/>
          <w:w w:val="95"/>
        </w:rPr>
        <w:t xml:space="preserve"> </w:t>
      </w:r>
      <w:r>
        <w:rPr>
          <w:w w:val="95"/>
        </w:rPr>
        <w:t>which</w:t>
      </w:r>
      <w:r>
        <w:rPr>
          <w:spacing w:val="-2"/>
          <w:w w:val="95"/>
        </w:rPr>
        <w:t xml:space="preserve"> </w:t>
      </w:r>
      <w:r>
        <w:rPr>
          <w:w w:val="95"/>
        </w:rPr>
        <w:t>is</w:t>
      </w:r>
      <w:r>
        <w:rPr>
          <w:spacing w:val="-2"/>
          <w:w w:val="95"/>
        </w:rPr>
        <w:t xml:space="preserve"> </w:t>
      </w:r>
      <w:r>
        <w:rPr>
          <w:w w:val="95"/>
        </w:rPr>
        <w:t>not expected to happen during the timeframe of this</w:t>
      </w:r>
    </w:p>
    <w:p w:rsidR="002C1123" w:rsidRDefault="00F22F94">
      <w:pPr>
        <w:pStyle w:val="BodyText"/>
        <w:spacing w:before="106" w:line="249" w:lineRule="auto"/>
        <w:ind w:left="266" w:right="888"/>
      </w:pPr>
      <w:r>
        <w:br w:type="column"/>
      </w:r>
      <w:r>
        <w:rPr>
          <w:w w:val="95"/>
        </w:rPr>
        <w:t>Strategy,</w:t>
      </w:r>
      <w:r>
        <w:rPr>
          <w:spacing w:val="-4"/>
          <w:w w:val="95"/>
        </w:rPr>
        <w:t xml:space="preserve"> </w:t>
      </w:r>
      <w:r>
        <w:rPr>
          <w:w w:val="95"/>
        </w:rPr>
        <w:t>Port</w:t>
      </w:r>
      <w:r>
        <w:rPr>
          <w:spacing w:val="-4"/>
          <w:w w:val="95"/>
        </w:rPr>
        <w:t xml:space="preserve"> </w:t>
      </w:r>
      <w:r>
        <w:rPr>
          <w:w w:val="95"/>
        </w:rPr>
        <w:t>Kembla</w:t>
      </w:r>
      <w:r>
        <w:rPr>
          <w:spacing w:val="-4"/>
          <w:w w:val="95"/>
        </w:rPr>
        <w:t xml:space="preserve"> </w:t>
      </w:r>
      <w:r>
        <w:rPr>
          <w:w w:val="95"/>
        </w:rPr>
        <w:t>is</w:t>
      </w:r>
      <w:r>
        <w:rPr>
          <w:spacing w:val="-4"/>
          <w:w w:val="95"/>
        </w:rPr>
        <w:t xml:space="preserve"> </w:t>
      </w:r>
      <w:r>
        <w:rPr>
          <w:w w:val="95"/>
        </w:rPr>
        <w:t>expected</w:t>
      </w:r>
      <w:r>
        <w:rPr>
          <w:spacing w:val="-4"/>
          <w:w w:val="95"/>
        </w:rPr>
        <w:t xml:space="preserve"> </w:t>
      </w:r>
      <w:r>
        <w:rPr>
          <w:w w:val="95"/>
        </w:rPr>
        <w:t>to</w:t>
      </w:r>
      <w:r>
        <w:rPr>
          <w:spacing w:val="-4"/>
          <w:w w:val="95"/>
        </w:rPr>
        <w:t xml:space="preserve"> </w:t>
      </w:r>
      <w:r>
        <w:rPr>
          <w:w w:val="95"/>
        </w:rPr>
        <w:t>become</w:t>
      </w:r>
      <w:r>
        <w:rPr>
          <w:spacing w:val="-4"/>
          <w:w w:val="95"/>
        </w:rPr>
        <w:t xml:space="preserve"> </w:t>
      </w:r>
      <w:r>
        <w:rPr>
          <w:w w:val="95"/>
        </w:rPr>
        <w:t xml:space="preserve">a </w:t>
      </w:r>
      <w:r>
        <w:t>supplementary container port for NSW.</w:t>
      </w:r>
    </w:p>
    <w:p w:rsidR="002C1123" w:rsidRDefault="00F22F94">
      <w:pPr>
        <w:pStyle w:val="BodyText"/>
        <w:spacing w:before="144" w:line="249" w:lineRule="auto"/>
        <w:ind w:left="266" w:right="888"/>
      </w:pPr>
      <w:r>
        <w:t>Finally,</w:t>
      </w:r>
      <w:r>
        <w:rPr>
          <w:spacing w:val="-14"/>
        </w:rPr>
        <w:t xml:space="preserve"> </w:t>
      </w:r>
      <w:r>
        <w:t>while</w:t>
      </w:r>
      <w:r>
        <w:rPr>
          <w:spacing w:val="-14"/>
        </w:rPr>
        <w:t xml:space="preserve"> </w:t>
      </w:r>
      <w:r>
        <w:t>there</w:t>
      </w:r>
      <w:r>
        <w:rPr>
          <w:spacing w:val="-14"/>
        </w:rPr>
        <w:t xml:space="preserve"> </w:t>
      </w:r>
      <w:r>
        <w:t>is</w:t>
      </w:r>
      <w:r>
        <w:rPr>
          <w:spacing w:val="-14"/>
        </w:rPr>
        <w:t xml:space="preserve"> </w:t>
      </w:r>
      <w:r>
        <w:t>no</w:t>
      </w:r>
      <w:r>
        <w:rPr>
          <w:spacing w:val="-14"/>
        </w:rPr>
        <w:t xml:space="preserve"> </w:t>
      </w:r>
      <w:r>
        <w:t>immediate</w:t>
      </w:r>
      <w:r>
        <w:rPr>
          <w:spacing w:val="-14"/>
        </w:rPr>
        <w:t xml:space="preserve"> </w:t>
      </w:r>
      <w:r>
        <w:t>need</w:t>
      </w:r>
      <w:r>
        <w:rPr>
          <w:spacing w:val="-14"/>
        </w:rPr>
        <w:t xml:space="preserve"> </w:t>
      </w:r>
      <w:r>
        <w:t xml:space="preserve">for </w:t>
      </w:r>
      <w:r>
        <w:rPr>
          <w:w w:val="95"/>
        </w:rPr>
        <w:t>supplementary airport capacity in Sydney, the growth of</w:t>
      </w:r>
      <w:r>
        <w:rPr>
          <w:spacing w:val="-7"/>
          <w:w w:val="95"/>
        </w:rPr>
        <w:t xml:space="preserve"> </w:t>
      </w:r>
      <w:r>
        <w:rPr>
          <w:w w:val="95"/>
        </w:rPr>
        <w:t>Western</w:t>
      </w:r>
      <w:r>
        <w:rPr>
          <w:spacing w:val="-7"/>
          <w:w w:val="95"/>
        </w:rPr>
        <w:t xml:space="preserve"> </w:t>
      </w:r>
      <w:r>
        <w:rPr>
          <w:w w:val="95"/>
        </w:rPr>
        <w:t>Sydney</w:t>
      </w:r>
      <w:r>
        <w:rPr>
          <w:spacing w:val="-7"/>
          <w:w w:val="95"/>
        </w:rPr>
        <w:t xml:space="preserve"> </w:t>
      </w:r>
      <w:r>
        <w:rPr>
          <w:w w:val="95"/>
        </w:rPr>
        <w:t>will</w:t>
      </w:r>
      <w:r>
        <w:rPr>
          <w:spacing w:val="-7"/>
          <w:w w:val="95"/>
        </w:rPr>
        <w:t xml:space="preserve"> </w:t>
      </w:r>
      <w:r>
        <w:rPr>
          <w:w w:val="95"/>
        </w:rPr>
        <w:t>support</w:t>
      </w:r>
      <w:r>
        <w:rPr>
          <w:spacing w:val="-7"/>
          <w:w w:val="95"/>
        </w:rPr>
        <w:t xml:space="preserve"> </w:t>
      </w:r>
      <w:r>
        <w:rPr>
          <w:w w:val="95"/>
        </w:rPr>
        <w:t>a</w:t>
      </w:r>
      <w:r>
        <w:rPr>
          <w:spacing w:val="-7"/>
          <w:w w:val="95"/>
        </w:rPr>
        <w:t xml:space="preserve"> </w:t>
      </w:r>
      <w:r>
        <w:rPr>
          <w:w w:val="95"/>
        </w:rPr>
        <w:t>regional</w:t>
      </w:r>
      <w:r>
        <w:rPr>
          <w:spacing w:val="-7"/>
          <w:w w:val="95"/>
        </w:rPr>
        <w:t xml:space="preserve"> </w:t>
      </w:r>
      <w:r>
        <w:rPr>
          <w:w w:val="95"/>
        </w:rPr>
        <w:t>airport</w:t>
      </w:r>
      <w:r>
        <w:rPr>
          <w:spacing w:val="-7"/>
          <w:w w:val="95"/>
        </w:rPr>
        <w:t xml:space="preserve"> </w:t>
      </w:r>
      <w:r>
        <w:rPr>
          <w:w w:val="95"/>
        </w:rPr>
        <w:t>in</w:t>
      </w:r>
      <w:r>
        <w:rPr>
          <w:spacing w:val="-7"/>
          <w:w w:val="95"/>
        </w:rPr>
        <w:t xml:space="preserve"> </w:t>
      </w:r>
      <w:r>
        <w:rPr>
          <w:w w:val="95"/>
        </w:rPr>
        <w:t xml:space="preserve">this </w:t>
      </w:r>
      <w:r>
        <w:t>area over the longer term.</w:t>
      </w:r>
    </w:p>
    <w:p w:rsidR="002C1123" w:rsidRDefault="00F22F94">
      <w:pPr>
        <w:pStyle w:val="BodyText"/>
        <w:spacing w:before="145" w:line="249" w:lineRule="auto"/>
        <w:ind w:left="266" w:right="510"/>
      </w:pPr>
      <w:r>
        <w:rPr>
          <w:w w:val="95"/>
        </w:rPr>
        <w:t>Preserving</w:t>
      </w:r>
      <w:r>
        <w:rPr>
          <w:spacing w:val="-4"/>
          <w:w w:val="95"/>
        </w:rPr>
        <w:t xml:space="preserve"> </w:t>
      </w:r>
      <w:r>
        <w:rPr>
          <w:w w:val="95"/>
        </w:rPr>
        <w:t>optionality</w:t>
      </w:r>
      <w:r>
        <w:rPr>
          <w:spacing w:val="-4"/>
          <w:w w:val="95"/>
        </w:rPr>
        <w:t xml:space="preserve"> </w:t>
      </w:r>
      <w:r>
        <w:rPr>
          <w:w w:val="95"/>
        </w:rPr>
        <w:t>is</w:t>
      </w:r>
      <w:r>
        <w:rPr>
          <w:spacing w:val="-4"/>
          <w:w w:val="95"/>
        </w:rPr>
        <w:t xml:space="preserve"> </w:t>
      </w:r>
      <w:r>
        <w:rPr>
          <w:w w:val="95"/>
        </w:rPr>
        <w:t>critical</w:t>
      </w:r>
      <w:r>
        <w:rPr>
          <w:spacing w:val="-4"/>
          <w:w w:val="95"/>
        </w:rPr>
        <w:t xml:space="preserve"> </w:t>
      </w:r>
      <w:r>
        <w:rPr>
          <w:w w:val="95"/>
        </w:rPr>
        <w:t>given</w:t>
      </w:r>
      <w:r>
        <w:rPr>
          <w:spacing w:val="-4"/>
          <w:w w:val="95"/>
        </w:rPr>
        <w:t xml:space="preserve"> </w:t>
      </w:r>
      <w:r>
        <w:rPr>
          <w:w w:val="95"/>
        </w:rPr>
        <w:t>the</w:t>
      </w:r>
      <w:r>
        <w:rPr>
          <w:spacing w:val="-4"/>
          <w:w w:val="95"/>
        </w:rPr>
        <w:t xml:space="preserve"> </w:t>
      </w:r>
      <w:r>
        <w:rPr>
          <w:w w:val="95"/>
        </w:rPr>
        <w:t>paucity</w:t>
      </w:r>
      <w:r>
        <w:rPr>
          <w:spacing w:val="-4"/>
          <w:w w:val="95"/>
        </w:rPr>
        <w:t xml:space="preserve"> </w:t>
      </w:r>
      <w:r>
        <w:rPr>
          <w:w w:val="95"/>
        </w:rPr>
        <w:t>of</w:t>
      </w:r>
      <w:r>
        <w:rPr>
          <w:spacing w:val="-4"/>
          <w:w w:val="95"/>
        </w:rPr>
        <w:t xml:space="preserve"> </w:t>
      </w:r>
      <w:r>
        <w:rPr>
          <w:w w:val="95"/>
        </w:rPr>
        <w:t>sites that</w:t>
      </w:r>
      <w:r>
        <w:rPr>
          <w:spacing w:val="-10"/>
          <w:w w:val="95"/>
        </w:rPr>
        <w:t xml:space="preserve"> </w:t>
      </w:r>
      <w:r>
        <w:rPr>
          <w:w w:val="95"/>
        </w:rPr>
        <w:t>have</w:t>
      </w:r>
      <w:r>
        <w:rPr>
          <w:spacing w:val="-10"/>
          <w:w w:val="95"/>
        </w:rPr>
        <w:t xml:space="preserve"> </w:t>
      </w:r>
      <w:r>
        <w:rPr>
          <w:w w:val="95"/>
        </w:rPr>
        <w:t>a</w:t>
      </w:r>
      <w:r>
        <w:rPr>
          <w:spacing w:val="-10"/>
          <w:w w:val="95"/>
        </w:rPr>
        <w:t xml:space="preserve"> </w:t>
      </w:r>
      <w:r>
        <w:rPr>
          <w:w w:val="95"/>
        </w:rPr>
        <w:t>viable</w:t>
      </w:r>
      <w:r>
        <w:rPr>
          <w:spacing w:val="-10"/>
          <w:w w:val="95"/>
        </w:rPr>
        <w:t xml:space="preserve"> </w:t>
      </w:r>
      <w:r>
        <w:rPr>
          <w:w w:val="95"/>
        </w:rPr>
        <w:t>business</w:t>
      </w:r>
      <w:r>
        <w:rPr>
          <w:spacing w:val="-10"/>
          <w:w w:val="95"/>
        </w:rPr>
        <w:t xml:space="preserve"> </w:t>
      </w:r>
      <w:r>
        <w:rPr>
          <w:w w:val="95"/>
        </w:rPr>
        <w:t>case.</w:t>
      </w:r>
      <w:r>
        <w:rPr>
          <w:spacing w:val="-10"/>
          <w:w w:val="95"/>
        </w:rPr>
        <w:t xml:space="preserve"> </w:t>
      </w:r>
      <w:r>
        <w:rPr>
          <w:w w:val="95"/>
        </w:rPr>
        <w:t>This</w:t>
      </w:r>
      <w:r>
        <w:rPr>
          <w:spacing w:val="-10"/>
          <w:w w:val="95"/>
        </w:rPr>
        <w:t xml:space="preserve"> </w:t>
      </w:r>
      <w:r>
        <w:rPr>
          <w:w w:val="95"/>
        </w:rPr>
        <w:t>means</w:t>
      </w:r>
      <w:r>
        <w:rPr>
          <w:spacing w:val="-10"/>
          <w:w w:val="95"/>
        </w:rPr>
        <w:t xml:space="preserve"> </w:t>
      </w:r>
      <w:r>
        <w:rPr>
          <w:w w:val="95"/>
        </w:rPr>
        <w:t xml:space="preserve">preserving </w:t>
      </w:r>
      <w:r>
        <w:t>planning</w:t>
      </w:r>
      <w:r>
        <w:rPr>
          <w:spacing w:val="-14"/>
        </w:rPr>
        <w:t xml:space="preserve"> </w:t>
      </w:r>
      <w:r>
        <w:t>constraints</w:t>
      </w:r>
      <w:r>
        <w:rPr>
          <w:spacing w:val="-14"/>
        </w:rPr>
        <w:t xml:space="preserve"> </w:t>
      </w:r>
      <w:r>
        <w:t>that</w:t>
      </w:r>
      <w:r>
        <w:rPr>
          <w:spacing w:val="-14"/>
        </w:rPr>
        <w:t xml:space="preserve"> </w:t>
      </w:r>
      <w:r>
        <w:t>limit</w:t>
      </w:r>
      <w:r>
        <w:rPr>
          <w:spacing w:val="-14"/>
        </w:rPr>
        <w:t xml:space="preserve"> </w:t>
      </w:r>
      <w:r>
        <w:t>development</w:t>
      </w:r>
      <w:r>
        <w:rPr>
          <w:spacing w:val="-14"/>
        </w:rPr>
        <w:t xml:space="preserve"> </w:t>
      </w:r>
      <w:r>
        <w:t>around</w:t>
      </w:r>
      <w:r>
        <w:rPr>
          <w:spacing w:val="-14"/>
        </w:rPr>
        <w:t xml:space="preserve"> </w:t>
      </w:r>
      <w:r>
        <w:t xml:space="preserve">the </w:t>
      </w:r>
      <w:r>
        <w:rPr>
          <w:w w:val="95"/>
        </w:rPr>
        <w:t xml:space="preserve">most viable site, Badgerys Creek, and preparing RAAF </w:t>
      </w:r>
      <w:r>
        <w:t>Base</w:t>
      </w:r>
      <w:r>
        <w:rPr>
          <w:spacing w:val="-5"/>
        </w:rPr>
        <w:t xml:space="preserve"> </w:t>
      </w:r>
      <w:r>
        <w:t>Richmond</w:t>
      </w:r>
      <w:r>
        <w:rPr>
          <w:spacing w:val="-5"/>
        </w:rPr>
        <w:t xml:space="preserve"> </w:t>
      </w:r>
      <w:r>
        <w:t>for</w:t>
      </w:r>
      <w:r>
        <w:rPr>
          <w:spacing w:val="-5"/>
        </w:rPr>
        <w:t xml:space="preserve"> </w:t>
      </w:r>
      <w:r>
        <w:t>passenger</w:t>
      </w:r>
      <w:r>
        <w:rPr>
          <w:spacing w:val="-5"/>
        </w:rPr>
        <w:t xml:space="preserve"> </w:t>
      </w:r>
      <w:r>
        <w:t>aviation.</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194" w:space="40"/>
            <w:col w:w="5015" w:space="39"/>
            <w:col w:w="5772"/>
          </w:cols>
        </w:sectPr>
      </w:pPr>
    </w:p>
    <w:p w:rsidR="002C1123" w:rsidRDefault="002C1123">
      <w:pPr>
        <w:pStyle w:val="BodyText"/>
      </w:pPr>
    </w:p>
    <w:p w:rsidR="002C1123" w:rsidRDefault="002C1123">
      <w:pPr>
        <w:pStyle w:val="BodyText"/>
        <w:spacing w:before="8"/>
        <w:rPr>
          <w:sz w:val="21"/>
        </w:rPr>
      </w:pPr>
    </w:p>
    <w:p w:rsidR="002C1123" w:rsidRDefault="00F22F94">
      <w:pPr>
        <w:pStyle w:val="Heading6"/>
        <w:numPr>
          <w:ilvl w:val="2"/>
          <w:numId w:val="80"/>
        </w:numPr>
        <w:tabs>
          <w:tab w:val="left" w:pos="979"/>
        </w:tabs>
        <w:spacing w:before="0"/>
        <w:ind w:left="978" w:hanging="487"/>
        <w:jc w:val="left"/>
        <w:rPr>
          <w:color w:val="00AEEF"/>
        </w:rPr>
      </w:pPr>
      <w:r>
        <w:rPr>
          <w:color w:val="00AEEF"/>
          <w:spacing w:val="-2"/>
        </w:rPr>
        <w:t>Recommended</w:t>
      </w:r>
      <w:r>
        <w:rPr>
          <w:color w:val="00AEEF"/>
          <w:spacing w:val="1"/>
        </w:rPr>
        <w:t xml:space="preserve"> </w:t>
      </w:r>
      <w:r>
        <w:rPr>
          <w:color w:val="00AEEF"/>
          <w:spacing w:val="-2"/>
        </w:rPr>
        <w:t>actions</w:t>
      </w:r>
    </w:p>
    <w:p w:rsidR="002C1123" w:rsidRDefault="00F22F94">
      <w:pPr>
        <w:tabs>
          <w:tab w:val="left" w:pos="6681"/>
          <w:tab w:val="left" w:pos="7864"/>
          <w:tab w:val="left" w:pos="9175"/>
        </w:tabs>
        <w:spacing w:before="196"/>
        <w:ind w:left="512"/>
        <w:rPr>
          <w:b/>
          <w:sz w:val="18"/>
        </w:rPr>
      </w:pPr>
      <w:r>
        <w:rPr>
          <w:b/>
          <w:color w:val="2E3092"/>
          <w:spacing w:val="-2"/>
          <w:sz w:val="18"/>
        </w:rPr>
        <w:t>Recommendations</w:t>
      </w:r>
      <w:r>
        <w:rPr>
          <w:b/>
          <w:color w:val="2E3092"/>
          <w:sz w:val="18"/>
        </w:rPr>
        <w:tab/>
      </w:r>
      <w:r>
        <w:rPr>
          <w:b/>
          <w:color w:val="2E3092"/>
          <w:spacing w:val="-2"/>
          <w:sz w:val="18"/>
        </w:rPr>
        <w:t>Years</w:t>
      </w:r>
      <w:r>
        <w:rPr>
          <w:b/>
          <w:color w:val="2E3092"/>
          <w:sz w:val="18"/>
        </w:rPr>
        <w:tab/>
      </w:r>
      <w:r>
        <w:rPr>
          <w:b/>
          <w:color w:val="2E3092"/>
          <w:spacing w:val="-4"/>
          <w:sz w:val="18"/>
        </w:rPr>
        <w:t>Type</w:t>
      </w:r>
      <w:r>
        <w:rPr>
          <w:b/>
          <w:color w:val="2E3092"/>
          <w:sz w:val="18"/>
        </w:rPr>
        <w:tab/>
      </w:r>
      <w:r>
        <w:rPr>
          <w:b/>
          <w:color w:val="2E3092"/>
          <w:spacing w:val="-2"/>
          <w:sz w:val="18"/>
        </w:rPr>
        <w:t>Cost</w:t>
      </w:r>
      <w:r>
        <w:rPr>
          <w:b/>
          <w:color w:val="2E3092"/>
          <w:spacing w:val="-4"/>
          <w:sz w:val="18"/>
        </w:rPr>
        <w:t xml:space="preserve"> </w:t>
      </w:r>
      <w:r>
        <w:rPr>
          <w:b/>
          <w:color w:val="2E3092"/>
          <w:spacing w:val="-2"/>
          <w:sz w:val="18"/>
        </w:rPr>
        <w:t>and</w:t>
      </w:r>
      <w:r>
        <w:rPr>
          <w:b/>
          <w:color w:val="2E3092"/>
          <w:spacing w:val="-3"/>
          <w:sz w:val="18"/>
        </w:rPr>
        <w:t xml:space="preserve"> </w:t>
      </w:r>
      <w:r>
        <w:rPr>
          <w:b/>
          <w:color w:val="2E3092"/>
          <w:spacing w:val="-2"/>
          <w:sz w:val="18"/>
        </w:rPr>
        <w:t>Funding</w:t>
      </w:r>
      <w:r>
        <w:rPr>
          <w:b/>
          <w:color w:val="2E3092"/>
          <w:spacing w:val="-4"/>
          <w:sz w:val="18"/>
        </w:rPr>
        <w:t xml:space="preserve"> </w:t>
      </w:r>
      <w:r>
        <w:rPr>
          <w:b/>
          <w:color w:val="2E3092"/>
          <w:spacing w:val="-2"/>
          <w:sz w:val="18"/>
        </w:rPr>
        <w:t>Implications</w:t>
      </w:r>
    </w:p>
    <w:p w:rsidR="002C1123" w:rsidRDefault="002C1123">
      <w:pPr>
        <w:pStyle w:val="BodyText"/>
        <w:spacing w:before="7"/>
        <w:rPr>
          <w:b/>
          <w:sz w:val="5"/>
        </w:rPr>
      </w:pPr>
    </w:p>
    <w:tbl>
      <w:tblPr>
        <w:tblW w:w="0" w:type="auto"/>
        <w:tblInd w:w="5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10"/>
        <w:gridCol w:w="5556"/>
        <w:gridCol w:w="1134"/>
        <w:gridCol w:w="1361"/>
        <w:gridCol w:w="6259"/>
      </w:tblGrid>
      <w:tr w:rsidR="002C1123">
        <w:trPr>
          <w:trHeight w:val="331"/>
        </w:trPr>
        <w:tc>
          <w:tcPr>
            <w:tcW w:w="510" w:type="dxa"/>
            <w:tcBorders>
              <w:top w:val="nil"/>
            </w:tcBorders>
            <w:shd w:val="clear" w:color="auto" w:fill="E1E0E1"/>
          </w:tcPr>
          <w:p w:rsidR="002C1123" w:rsidRDefault="00F22F94">
            <w:pPr>
              <w:pStyle w:val="TableParagraph"/>
              <w:spacing w:before="77"/>
              <w:rPr>
                <w:sz w:val="16"/>
              </w:rPr>
            </w:pPr>
            <w:r>
              <w:rPr>
                <w:spacing w:val="-5"/>
                <w:sz w:val="16"/>
              </w:rPr>
              <w:t>26</w:t>
            </w:r>
          </w:p>
        </w:tc>
        <w:tc>
          <w:tcPr>
            <w:tcW w:w="5556" w:type="dxa"/>
            <w:tcBorders>
              <w:top w:val="nil"/>
            </w:tcBorders>
            <w:shd w:val="clear" w:color="auto" w:fill="C9C8C9"/>
          </w:tcPr>
          <w:p w:rsidR="002C1123" w:rsidRDefault="00F22F94">
            <w:pPr>
              <w:pStyle w:val="TableParagraph"/>
              <w:spacing w:before="77"/>
              <w:rPr>
                <w:sz w:val="16"/>
              </w:rPr>
            </w:pPr>
            <w:r>
              <w:rPr>
                <w:spacing w:val="-2"/>
                <w:w w:val="105"/>
                <w:sz w:val="16"/>
              </w:rPr>
              <w:t>Port</w:t>
            </w:r>
            <w:r>
              <w:rPr>
                <w:spacing w:val="-6"/>
                <w:w w:val="105"/>
                <w:sz w:val="16"/>
              </w:rPr>
              <w:t xml:space="preserve"> </w:t>
            </w:r>
            <w:r>
              <w:rPr>
                <w:spacing w:val="-2"/>
                <w:w w:val="105"/>
                <w:sz w:val="16"/>
              </w:rPr>
              <w:t>Botany-Sydney</w:t>
            </w:r>
            <w:r>
              <w:rPr>
                <w:spacing w:val="-6"/>
                <w:w w:val="105"/>
                <w:sz w:val="16"/>
              </w:rPr>
              <w:t xml:space="preserve"> </w:t>
            </w:r>
            <w:r>
              <w:rPr>
                <w:spacing w:val="-2"/>
                <w:w w:val="105"/>
                <w:sz w:val="16"/>
              </w:rPr>
              <w:t>Airport</w:t>
            </w:r>
            <w:r>
              <w:rPr>
                <w:spacing w:val="-5"/>
                <w:w w:val="105"/>
                <w:sz w:val="16"/>
              </w:rPr>
              <w:t xml:space="preserve"> </w:t>
            </w:r>
            <w:r>
              <w:rPr>
                <w:spacing w:val="-2"/>
                <w:w w:val="105"/>
                <w:sz w:val="16"/>
              </w:rPr>
              <w:t>Roads</w:t>
            </w:r>
            <w:r>
              <w:rPr>
                <w:spacing w:val="-6"/>
                <w:w w:val="105"/>
                <w:sz w:val="16"/>
              </w:rPr>
              <w:t xml:space="preserve"> </w:t>
            </w:r>
            <w:r>
              <w:rPr>
                <w:spacing w:val="-2"/>
                <w:w w:val="105"/>
                <w:sz w:val="16"/>
              </w:rPr>
              <w:t>Pinch</w:t>
            </w:r>
            <w:r>
              <w:rPr>
                <w:spacing w:val="-5"/>
                <w:w w:val="105"/>
                <w:sz w:val="16"/>
              </w:rPr>
              <w:t xml:space="preserve"> </w:t>
            </w:r>
            <w:r>
              <w:rPr>
                <w:spacing w:val="-2"/>
                <w:w w:val="105"/>
                <w:sz w:val="16"/>
              </w:rPr>
              <w:t>points</w:t>
            </w:r>
            <w:r>
              <w:rPr>
                <w:spacing w:val="-6"/>
                <w:w w:val="105"/>
                <w:sz w:val="16"/>
              </w:rPr>
              <w:t xml:space="preserve"> </w:t>
            </w:r>
            <w:r>
              <w:rPr>
                <w:spacing w:val="-2"/>
                <w:w w:val="105"/>
                <w:sz w:val="16"/>
              </w:rPr>
              <w:t>Program</w:t>
            </w:r>
          </w:p>
        </w:tc>
        <w:tc>
          <w:tcPr>
            <w:tcW w:w="1134" w:type="dxa"/>
            <w:tcBorders>
              <w:top w:val="nil"/>
            </w:tcBorders>
            <w:shd w:val="clear" w:color="auto" w:fill="E1E0E1"/>
          </w:tcPr>
          <w:p w:rsidR="002C1123" w:rsidRDefault="00F22F94">
            <w:pPr>
              <w:pStyle w:val="TableParagraph"/>
              <w:spacing w:before="77"/>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361" w:type="dxa"/>
            <w:tcBorders>
              <w:top w:val="nil"/>
            </w:tcBorders>
            <w:shd w:val="clear" w:color="auto" w:fill="E1E0E1"/>
          </w:tcPr>
          <w:p w:rsidR="002C1123" w:rsidRDefault="00F22F94">
            <w:pPr>
              <w:pStyle w:val="TableParagraph"/>
              <w:spacing w:before="77"/>
              <w:rPr>
                <w:sz w:val="16"/>
              </w:rPr>
            </w:pPr>
            <w:r>
              <w:rPr>
                <w:spacing w:val="-2"/>
                <w:sz w:val="16"/>
              </w:rPr>
              <w:t>Program</w:t>
            </w:r>
          </w:p>
        </w:tc>
        <w:tc>
          <w:tcPr>
            <w:tcW w:w="6259" w:type="dxa"/>
            <w:tcBorders>
              <w:top w:val="nil"/>
            </w:tcBorders>
            <w:shd w:val="clear" w:color="auto" w:fill="E1E0E1"/>
          </w:tcPr>
          <w:p w:rsidR="002C1123" w:rsidRDefault="00F22F94">
            <w:pPr>
              <w:pStyle w:val="TableParagraph"/>
              <w:spacing w:before="77"/>
              <w:rPr>
                <w:sz w:val="16"/>
              </w:rPr>
            </w:pPr>
            <w:r>
              <w:rPr>
                <w:w w:val="95"/>
                <w:sz w:val="16"/>
              </w:rPr>
              <w:t>Estimate</w:t>
            </w:r>
            <w:r>
              <w:rPr>
                <w:spacing w:val="-1"/>
                <w:sz w:val="16"/>
              </w:rPr>
              <w:t xml:space="preserve"> </w:t>
            </w:r>
            <w:r>
              <w:rPr>
                <w:w w:val="95"/>
                <w:sz w:val="16"/>
              </w:rPr>
              <w:t>of</w:t>
            </w:r>
            <w:r>
              <w:rPr>
                <w:sz w:val="16"/>
              </w:rPr>
              <w:t xml:space="preserve"> </w:t>
            </w:r>
            <w:r>
              <w:rPr>
                <w:w w:val="95"/>
                <w:sz w:val="16"/>
              </w:rPr>
              <w:t>$330</w:t>
            </w:r>
            <w:r>
              <w:rPr>
                <w:sz w:val="16"/>
              </w:rPr>
              <w:t xml:space="preserve"> </w:t>
            </w:r>
            <w:r>
              <w:rPr>
                <w:spacing w:val="-2"/>
                <w:w w:val="95"/>
                <w:sz w:val="16"/>
              </w:rPr>
              <w:t>million</w:t>
            </w:r>
          </w:p>
        </w:tc>
      </w:tr>
      <w:tr w:rsidR="002C1123">
        <w:trPr>
          <w:trHeight w:val="501"/>
        </w:trPr>
        <w:tc>
          <w:tcPr>
            <w:tcW w:w="510" w:type="dxa"/>
            <w:shd w:val="clear" w:color="auto" w:fill="E1E0E1"/>
          </w:tcPr>
          <w:p w:rsidR="002C1123" w:rsidRDefault="00F22F94">
            <w:pPr>
              <w:pStyle w:val="TableParagraph"/>
              <w:rPr>
                <w:sz w:val="16"/>
              </w:rPr>
            </w:pPr>
            <w:r>
              <w:rPr>
                <w:spacing w:val="-5"/>
                <w:sz w:val="16"/>
              </w:rPr>
              <w:t>27</w:t>
            </w:r>
          </w:p>
        </w:tc>
        <w:tc>
          <w:tcPr>
            <w:tcW w:w="5556" w:type="dxa"/>
            <w:shd w:val="clear" w:color="auto" w:fill="C9C8C9"/>
          </w:tcPr>
          <w:p w:rsidR="002C1123" w:rsidRDefault="00F22F94">
            <w:pPr>
              <w:pStyle w:val="TableParagraph"/>
              <w:rPr>
                <w:sz w:val="16"/>
              </w:rPr>
            </w:pPr>
            <w:r>
              <w:rPr>
                <w:sz w:val="16"/>
              </w:rPr>
              <w:t>Reduce</w:t>
            </w:r>
            <w:r>
              <w:rPr>
                <w:spacing w:val="4"/>
                <w:sz w:val="16"/>
              </w:rPr>
              <w:t xml:space="preserve"> </w:t>
            </w:r>
            <w:r>
              <w:rPr>
                <w:sz w:val="16"/>
              </w:rPr>
              <w:t>or</w:t>
            </w:r>
            <w:r>
              <w:rPr>
                <w:spacing w:val="4"/>
                <w:sz w:val="16"/>
              </w:rPr>
              <w:t xml:space="preserve"> </w:t>
            </w:r>
            <w:r>
              <w:rPr>
                <w:sz w:val="16"/>
              </w:rPr>
              <w:t>remove</w:t>
            </w:r>
            <w:r>
              <w:rPr>
                <w:spacing w:val="4"/>
                <w:sz w:val="16"/>
              </w:rPr>
              <w:t xml:space="preserve"> </w:t>
            </w:r>
            <w:r>
              <w:rPr>
                <w:sz w:val="16"/>
              </w:rPr>
              <w:t>Airport</w:t>
            </w:r>
            <w:r>
              <w:rPr>
                <w:spacing w:val="4"/>
                <w:sz w:val="16"/>
              </w:rPr>
              <w:t xml:space="preserve"> </w:t>
            </w:r>
            <w:r>
              <w:rPr>
                <w:sz w:val="16"/>
              </w:rPr>
              <w:t>Stations</w:t>
            </w:r>
            <w:r>
              <w:rPr>
                <w:spacing w:val="4"/>
                <w:sz w:val="16"/>
              </w:rPr>
              <w:t xml:space="preserve"> </w:t>
            </w:r>
            <w:r>
              <w:rPr>
                <w:sz w:val="16"/>
              </w:rPr>
              <w:t>usage</w:t>
            </w:r>
            <w:r>
              <w:rPr>
                <w:spacing w:val="5"/>
                <w:sz w:val="16"/>
              </w:rPr>
              <w:t xml:space="preserve"> </w:t>
            </w:r>
            <w:r>
              <w:rPr>
                <w:spacing w:val="-5"/>
                <w:sz w:val="16"/>
              </w:rPr>
              <w:t>fee</w:t>
            </w:r>
          </w:p>
        </w:tc>
        <w:tc>
          <w:tcPr>
            <w:tcW w:w="1134" w:type="dxa"/>
            <w:shd w:val="clear" w:color="auto" w:fill="E1E0E1"/>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361" w:type="dxa"/>
            <w:shd w:val="clear" w:color="auto" w:fill="E1E0E1"/>
          </w:tcPr>
          <w:p w:rsidR="002C1123" w:rsidRDefault="00F22F94">
            <w:pPr>
              <w:pStyle w:val="TableParagraph"/>
              <w:rPr>
                <w:sz w:val="16"/>
              </w:rPr>
            </w:pPr>
            <w:r>
              <w:rPr>
                <w:w w:val="95"/>
                <w:sz w:val="16"/>
              </w:rPr>
              <w:t>Asset</w:t>
            </w:r>
            <w:r>
              <w:rPr>
                <w:spacing w:val="-1"/>
                <w:sz w:val="16"/>
              </w:rPr>
              <w:t xml:space="preserve"> </w:t>
            </w:r>
            <w:r>
              <w:rPr>
                <w:spacing w:val="-2"/>
                <w:sz w:val="16"/>
              </w:rPr>
              <w:t>utilisation</w:t>
            </w:r>
          </w:p>
        </w:tc>
        <w:tc>
          <w:tcPr>
            <w:tcW w:w="6259" w:type="dxa"/>
            <w:shd w:val="clear" w:color="auto" w:fill="E1E0E1"/>
          </w:tcPr>
          <w:p w:rsidR="002C1123" w:rsidRDefault="00F22F94">
            <w:pPr>
              <w:pStyle w:val="TableParagraph"/>
              <w:spacing w:before="70" w:line="235" w:lineRule="auto"/>
              <w:ind w:right="138"/>
              <w:rPr>
                <w:sz w:val="16"/>
              </w:rPr>
            </w:pPr>
            <w:r>
              <w:rPr>
                <w:w w:val="95"/>
                <w:sz w:val="16"/>
              </w:rPr>
              <w:t xml:space="preserve">Assumes that the cost of this measure can be offset by a mix of alternative airport </w:t>
            </w:r>
            <w:r>
              <w:rPr>
                <w:sz w:val="16"/>
              </w:rPr>
              <w:t>funding</w:t>
            </w:r>
            <w:r>
              <w:rPr>
                <w:spacing w:val="-1"/>
                <w:sz w:val="16"/>
              </w:rPr>
              <w:t xml:space="preserve"> </w:t>
            </w:r>
            <w:r>
              <w:rPr>
                <w:sz w:val="16"/>
              </w:rPr>
              <w:t>sources,</w:t>
            </w:r>
            <w:r>
              <w:rPr>
                <w:spacing w:val="-1"/>
                <w:sz w:val="16"/>
              </w:rPr>
              <w:t xml:space="preserve"> </w:t>
            </w:r>
            <w:r>
              <w:rPr>
                <w:sz w:val="16"/>
              </w:rPr>
              <w:t>passenger</w:t>
            </w:r>
            <w:r>
              <w:rPr>
                <w:spacing w:val="-1"/>
                <w:sz w:val="16"/>
              </w:rPr>
              <w:t xml:space="preserve"> </w:t>
            </w:r>
            <w:r>
              <w:rPr>
                <w:sz w:val="16"/>
              </w:rPr>
              <w:t>growth</w:t>
            </w:r>
            <w:r>
              <w:rPr>
                <w:spacing w:val="-1"/>
                <w:sz w:val="16"/>
              </w:rPr>
              <w:t xml:space="preserve"> </w:t>
            </w:r>
            <w:r>
              <w:rPr>
                <w:sz w:val="16"/>
              </w:rPr>
              <w:t>and</w:t>
            </w:r>
            <w:r>
              <w:rPr>
                <w:spacing w:val="-1"/>
                <w:sz w:val="16"/>
              </w:rPr>
              <w:t xml:space="preserve"> </w:t>
            </w:r>
            <w:r>
              <w:rPr>
                <w:sz w:val="16"/>
              </w:rPr>
              <w:t>adjustments</w:t>
            </w:r>
            <w:r>
              <w:rPr>
                <w:spacing w:val="-1"/>
                <w:sz w:val="16"/>
              </w:rPr>
              <w:t xml:space="preserve"> </w:t>
            </w:r>
            <w:r>
              <w:rPr>
                <w:sz w:val="16"/>
              </w:rPr>
              <w:t>to</w:t>
            </w:r>
            <w:r>
              <w:rPr>
                <w:spacing w:val="-1"/>
                <w:sz w:val="16"/>
              </w:rPr>
              <w:t xml:space="preserve"> </w:t>
            </w:r>
            <w:r>
              <w:rPr>
                <w:sz w:val="16"/>
              </w:rPr>
              <w:t>other</w:t>
            </w:r>
            <w:r>
              <w:rPr>
                <w:spacing w:val="-1"/>
                <w:sz w:val="16"/>
              </w:rPr>
              <w:t xml:space="preserve"> </w:t>
            </w:r>
            <w:r>
              <w:rPr>
                <w:sz w:val="16"/>
              </w:rPr>
              <w:t>fares</w:t>
            </w:r>
          </w:p>
        </w:tc>
      </w:tr>
      <w:tr w:rsidR="002C1123">
        <w:trPr>
          <w:trHeight w:val="321"/>
        </w:trPr>
        <w:tc>
          <w:tcPr>
            <w:tcW w:w="510" w:type="dxa"/>
            <w:shd w:val="clear" w:color="auto" w:fill="E1E0E1"/>
          </w:tcPr>
          <w:p w:rsidR="002C1123" w:rsidRDefault="00F22F94">
            <w:pPr>
              <w:pStyle w:val="TableParagraph"/>
              <w:rPr>
                <w:sz w:val="16"/>
              </w:rPr>
            </w:pPr>
            <w:r>
              <w:rPr>
                <w:spacing w:val="-5"/>
                <w:sz w:val="16"/>
              </w:rPr>
              <w:t>28</w:t>
            </w:r>
          </w:p>
        </w:tc>
        <w:tc>
          <w:tcPr>
            <w:tcW w:w="5556" w:type="dxa"/>
            <w:shd w:val="clear" w:color="auto" w:fill="C9C8C9"/>
          </w:tcPr>
          <w:p w:rsidR="002C1123" w:rsidRDefault="00F22F94">
            <w:pPr>
              <w:pStyle w:val="TableParagraph"/>
              <w:rPr>
                <w:sz w:val="16"/>
              </w:rPr>
            </w:pPr>
            <w:r>
              <w:rPr>
                <w:sz w:val="16"/>
              </w:rPr>
              <w:t>Expand</w:t>
            </w:r>
            <w:r>
              <w:rPr>
                <w:spacing w:val="3"/>
                <w:sz w:val="16"/>
              </w:rPr>
              <w:t xml:space="preserve"> </w:t>
            </w:r>
            <w:r>
              <w:rPr>
                <w:sz w:val="16"/>
              </w:rPr>
              <w:t>bus</w:t>
            </w:r>
            <w:r>
              <w:rPr>
                <w:spacing w:val="4"/>
                <w:sz w:val="16"/>
              </w:rPr>
              <w:t xml:space="preserve"> </w:t>
            </w:r>
            <w:r>
              <w:rPr>
                <w:sz w:val="16"/>
              </w:rPr>
              <w:t>services</w:t>
            </w:r>
            <w:r>
              <w:rPr>
                <w:spacing w:val="3"/>
                <w:sz w:val="16"/>
              </w:rPr>
              <w:t xml:space="preserve"> </w:t>
            </w:r>
            <w:r>
              <w:rPr>
                <w:sz w:val="16"/>
              </w:rPr>
              <w:t>to</w:t>
            </w:r>
            <w:r>
              <w:rPr>
                <w:spacing w:val="4"/>
                <w:sz w:val="16"/>
              </w:rPr>
              <w:t xml:space="preserve"> </w:t>
            </w:r>
            <w:r>
              <w:rPr>
                <w:sz w:val="16"/>
              </w:rPr>
              <w:t>Sydney</w:t>
            </w:r>
            <w:r>
              <w:rPr>
                <w:spacing w:val="4"/>
                <w:sz w:val="16"/>
              </w:rPr>
              <w:t xml:space="preserve"> </w:t>
            </w:r>
            <w:r>
              <w:rPr>
                <w:spacing w:val="-2"/>
                <w:sz w:val="16"/>
              </w:rPr>
              <w:t>Airport</w:t>
            </w:r>
          </w:p>
        </w:tc>
        <w:tc>
          <w:tcPr>
            <w:tcW w:w="1134" w:type="dxa"/>
            <w:shd w:val="clear" w:color="auto" w:fill="E1E0E1"/>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361" w:type="dxa"/>
            <w:shd w:val="clear" w:color="auto" w:fill="E1E0E1"/>
          </w:tcPr>
          <w:p w:rsidR="002C1123" w:rsidRDefault="00F22F94">
            <w:pPr>
              <w:pStyle w:val="TableParagraph"/>
              <w:rPr>
                <w:sz w:val="16"/>
              </w:rPr>
            </w:pPr>
            <w:r>
              <w:rPr>
                <w:w w:val="95"/>
                <w:sz w:val="16"/>
              </w:rPr>
              <w:t>Asset</w:t>
            </w:r>
            <w:r>
              <w:rPr>
                <w:spacing w:val="-1"/>
                <w:sz w:val="16"/>
              </w:rPr>
              <w:t xml:space="preserve"> </w:t>
            </w:r>
            <w:r>
              <w:rPr>
                <w:spacing w:val="-2"/>
                <w:sz w:val="16"/>
              </w:rPr>
              <w:t>utilisation</w:t>
            </w:r>
          </w:p>
        </w:tc>
        <w:tc>
          <w:tcPr>
            <w:tcW w:w="6259" w:type="dxa"/>
            <w:shd w:val="clear" w:color="auto" w:fill="E1E0E1"/>
          </w:tcPr>
          <w:p w:rsidR="002C1123" w:rsidRDefault="00F22F94">
            <w:pPr>
              <w:pStyle w:val="TableParagraph"/>
              <w:rPr>
                <w:sz w:val="16"/>
              </w:rPr>
            </w:pPr>
            <w:r>
              <w:rPr>
                <w:w w:val="95"/>
                <w:sz w:val="16"/>
              </w:rPr>
              <w:t>Operational</w:t>
            </w:r>
            <w:r>
              <w:rPr>
                <w:sz w:val="16"/>
              </w:rPr>
              <w:t xml:space="preserve"> </w:t>
            </w:r>
            <w:r>
              <w:rPr>
                <w:w w:val="95"/>
                <w:sz w:val="16"/>
              </w:rPr>
              <w:t>reform</w:t>
            </w:r>
            <w:r>
              <w:rPr>
                <w:spacing w:val="-1"/>
                <w:sz w:val="16"/>
              </w:rPr>
              <w:t xml:space="preserve"> </w:t>
            </w:r>
            <w:r>
              <w:rPr>
                <w:w w:val="95"/>
                <w:sz w:val="16"/>
              </w:rPr>
              <w:t>–</w:t>
            </w:r>
            <w:r>
              <w:rPr>
                <w:sz w:val="16"/>
              </w:rPr>
              <w:t xml:space="preserve"> </w:t>
            </w:r>
            <w:r>
              <w:rPr>
                <w:w w:val="95"/>
                <w:sz w:val="16"/>
              </w:rPr>
              <w:t>no</w:t>
            </w:r>
            <w:r>
              <w:rPr>
                <w:spacing w:val="1"/>
                <w:sz w:val="16"/>
              </w:rPr>
              <w:t xml:space="preserve"> </w:t>
            </w:r>
            <w:r>
              <w:rPr>
                <w:w w:val="95"/>
                <w:sz w:val="16"/>
              </w:rPr>
              <w:t>major</w:t>
            </w:r>
            <w:r>
              <w:rPr>
                <w:sz w:val="16"/>
              </w:rPr>
              <w:t xml:space="preserve"> </w:t>
            </w:r>
            <w:r>
              <w:rPr>
                <w:w w:val="95"/>
                <w:sz w:val="16"/>
              </w:rPr>
              <w:t>capital</w:t>
            </w:r>
            <w:r>
              <w:rPr>
                <w:sz w:val="16"/>
              </w:rPr>
              <w:t xml:space="preserve"> </w:t>
            </w:r>
            <w:r>
              <w:rPr>
                <w:w w:val="95"/>
                <w:sz w:val="16"/>
              </w:rPr>
              <w:t>works</w:t>
            </w:r>
            <w:r>
              <w:rPr>
                <w:sz w:val="16"/>
              </w:rPr>
              <w:t xml:space="preserve"> </w:t>
            </w:r>
            <w:r>
              <w:rPr>
                <w:spacing w:val="-2"/>
                <w:w w:val="95"/>
                <w:sz w:val="16"/>
              </w:rPr>
              <w:t>proposed</w:t>
            </w:r>
          </w:p>
        </w:tc>
      </w:tr>
      <w:tr w:rsidR="002C1123">
        <w:trPr>
          <w:trHeight w:val="321"/>
        </w:trPr>
        <w:tc>
          <w:tcPr>
            <w:tcW w:w="510" w:type="dxa"/>
            <w:shd w:val="clear" w:color="auto" w:fill="E1E0E1"/>
          </w:tcPr>
          <w:p w:rsidR="002C1123" w:rsidRDefault="00F22F94">
            <w:pPr>
              <w:pStyle w:val="TableParagraph"/>
              <w:rPr>
                <w:sz w:val="16"/>
              </w:rPr>
            </w:pPr>
            <w:r>
              <w:rPr>
                <w:spacing w:val="-5"/>
                <w:sz w:val="16"/>
              </w:rPr>
              <w:t>29</w:t>
            </w:r>
          </w:p>
        </w:tc>
        <w:tc>
          <w:tcPr>
            <w:tcW w:w="5556" w:type="dxa"/>
            <w:shd w:val="clear" w:color="auto" w:fill="C9C8C9"/>
          </w:tcPr>
          <w:p w:rsidR="002C1123" w:rsidRDefault="00F22F94">
            <w:pPr>
              <w:pStyle w:val="TableParagraph"/>
              <w:rPr>
                <w:sz w:val="16"/>
              </w:rPr>
            </w:pPr>
            <w:r>
              <w:rPr>
                <w:sz w:val="16"/>
              </w:rPr>
              <w:t>Moorebank</w:t>
            </w:r>
            <w:r>
              <w:rPr>
                <w:spacing w:val="2"/>
                <w:sz w:val="16"/>
              </w:rPr>
              <w:t xml:space="preserve"> </w:t>
            </w:r>
            <w:r>
              <w:rPr>
                <w:sz w:val="16"/>
              </w:rPr>
              <w:t>Intermodal</w:t>
            </w:r>
            <w:r>
              <w:rPr>
                <w:spacing w:val="3"/>
                <w:sz w:val="16"/>
              </w:rPr>
              <w:t xml:space="preserve"> </w:t>
            </w:r>
            <w:r>
              <w:rPr>
                <w:sz w:val="16"/>
              </w:rPr>
              <w:t>Terminal:</w:t>
            </w:r>
            <w:r>
              <w:rPr>
                <w:spacing w:val="3"/>
                <w:sz w:val="16"/>
              </w:rPr>
              <w:t xml:space="preserve"> </w:t>
            </w:r>
            <w:r>
              <w:rPr>
                <w:sz w:val="16"/>
              </w:rPr>
              <w:t>site</w:t>
            </w:r>
            <w:r>
              <w:rPr>
                <w:spacing w:val="2"/>
                <w:sz w:val="16"/>
              </w:rPr>
              <w:t xml:space="preserve"> </w:t>
            </w:r>
            <w:r>
              <w:rPr>
                <w:spacing w:val="-2"/>
                <w:sz w:val="16"/>
              </w:rPr>
              <w:t>development</w:t>
            </w:r>
          </w:p>
        </w:tc>
        <w:tc>
          <w:tcPr>
            <w:tcW w:w="1134" w:type="dxa"/>
            <w:shd w:val="clear" w:color="auto" w:fill="E1E0E1"/>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361" w:type="dxa"/>
            <w:shd w:val="clear" w:color="auto" w:fill="E1E0E1"/>
          </w:tcPr>
          <w:p w:rsidR="002C1123" w:rsidRDefault="00F22F94">
            <w:pPr>
              <w:pStyle w:val="TableParagraph"/>
              <w:rPr>
                <w:sz w:val="16"/>
              </w:rPr>
            </w:pPr>
            <w:r>
              <w:rPr>
                <w:w w:val="95"/>
                <w:sz w:val="16"/>
              </w:rPr>
              <w:t>Major</w:t>
            </w:r>
            <w:r>
              <w:rPr>
                <w:spacing w:val="-2"/>
                <w:sz w:val="16"/>
              </w:rPr>
              <w:t xml:space="preserve"> </w:t>
            </w:r>
            <w:r>
              <w:rPr>
                <w:spacing w:val="-2"/>
                <w:w w:val="95"/>
                <w:sz w:val="16"/>
              </w:rPr>
              <w:t>project</w:t>
            </w:r>
          </w:p>
        </w:tc>
        <w:tc>
          <w:tcPr>
            <w:tcW w:w="6259" w:type="dxa"/>
            <w:shd w:val="clear" w:color="auto" w:fill="E1E0E1"/>
          </w:tcPr>
          <w:p w:rsidR="002C1123" w:rsidRDefault="00F22F94">
            <w:pPr>
              <w:pStyle w:val="TableParagraph"/>
              <w:rPr>
                <w:sz w:val="16"/>
              </w:rPr>
            </w:pPr>
            <w:r>
              <w:rPr>
                <w:w w:val="95"/>
                <w:sz w:val="16"/>
              </w:rPr>
              <w:t>Terminal</w:t>
            </w:r>
            <w:r>
              <w:rPr>
                <w:sz w:val="16"/>
              </w:rPr>
              <w:t xml:space="preserve"> </w:t>
            </w:r>
            <w:r>
              <w:rPr>
                <w:w w:val="95"/>
                <w:sz w:val="16"/>
              </w:rPr>
              <w:t>to</w:t>
            </w:r>
            <w:r>
              <w:rPr>
                <w:spacing w:val="1"/>
                <w:sz w:val="16"/>
              </w:rPr>
              <w:t xml:space="preserve"> </w:t>
            </w:r>
            <w:r>
              <w:rPr>
                <w:w w:val="95"/>
                <w:sz w:val="16"/>
              </w:rPr>
              <w:t>be</w:t>
            </w:r>
            <w:r>
              <w:rPr>
                <w:sz w:val="16"/>
              </w:rPr>
              <w:t xml:space="preserve"> </w:t>
            </w:r>
            <w:r>
              <w:rPr>
                <w:w w:val="95"/>
                <w:sz w:val="16"/>
              </w:rPr>
              <w:t>funded</w:t>
            </w:r>
            <w:r>
              <w:rPr>
                <w:spacing w:val="1"/>
                <w:sz w:val="16"/>
              </w:rPr>
              <w:t xml:space="preserve"> </w:t>
            </w:r>
            <w:r>
              <w:rPr>
                <w:w w:val="95"/>
                <w:sz w:val="16"/>
              </w:rPr>
              <w:t>by</w:t>
            </w:r>
            <w:r>
              <w:rPr>
                <w:sz w:val="16"/>
              </w:rPr>
              <w:t xml:space="preserve"> </w:t>
            </w:r>
            <w:r>
              <w:rPr>
                <w:w w:val="95"/>
                <w:sz w:val="16"/>
              </w:rPr>
              <w:t>Commonwealth</w:t>
            </w:r>
            <w:r>
              <w:rPr>
                <w:spacing w:val="1"/>
                <w:sz w:val="16"/>
              </w:rPr>
              <w:t xml:space="preserve"> </w:t>
            </w:r>
            <w:r>
              <w:rPr>
                <w:w w:val="95"/>
                <w:sz w:val="16"/>
              </w:rPr>
              <w:t>and</w:t>
            </w:r>
            <w:r>
              <w:rPr>
                <w:sz w:val="16"/>
              </w:rPr>
              <w:t xml:space="preserve"> </w:t>
            </w:r>
            <w:r>
              <w:rPr>
                <w:w w:val="95"/>
                <w:sz w:val="16"/>
              </w:rPr>
              <w:t>private</w:t>
            </w:r>
            <w:r>
              <w:rPr>
                <w:spacing w:val="1"/>
                <w:sz w:val="16"/>
              </w:rPr>
              <w:t xml:space="preserve"> </w:t>
            </w:r>
            <w:r>
              <w:rPr>
                <w:spacing w:val="-2"/>
                <w:w w:val="95"/>
                <w:sz w:val="16"/>
              </w:rPr>
              <w:t>sector</w:t>
            </w:r>
          </w:p>
        </w:tc>
      </w:tr>
      <w:tr w:rsidR="002C1123">
        <w:trPr>
          <w:trHeight w:val="541"/>
        </w:trPr>
        <w:tc>
          <w:tcPr>
            <w:tcW w:w="510" w:type="dxa"/>
            <w:shd w:val="clear" w:color="auto" w:fill="E1E0E1"/>
          </w:tcPr>
          <w:p w:rsidR="002C1123" w:rsidRDefault="00F22F94">
            <w:pPr>
              <w:pStyle w:val="TableParagraph"/>
              <w:rPr>
                <w:sz w:val="16"/>
              </w:rPr>
            </w:pPr>
            <w:r>
              <w:rPr>
                <w:spacing w:val="-5"/>
                <w:sz w:val="16"/>
              </w:rPr>
              <w:t>30</w:t>
            </w:r>
          </w:p>
        </w:tc>
        <w:tc>
          <w:tcPr>
            <w:tcW w:w="5556" w:type="dxa"/>
            <w:shd w:val="clear" w:color="auto" w:fill="C9C8C9"/>
          </w:tcPr>
          <w:p w:rsidR="002C1123" w:rsidRDefault="00F22F94">
            <w:pPr>
              <w:pStyle w:val="TableParagraph"/>
              <w:spacing w:line="288" w:lineRule="auto"/>
              <w:rPr>
                <w:sz w:val="16"/>
              </w:rPr>
            </w:pPr>
            <w:r>
              <w:rPr>
                <w:spacing w:val="-2"/>
                <w:w w:val="105"/>
                <w:sz w:val="16"/>
              </w:rPr>
              <w:t>Preserve</w:t>
            </w:r>
            <w:r>
              <w:rPr>
                <w:spacing w:val="-9"/>
                <w:w w:val="105"/>
                <w:sz w:val="16"/>
              </w:rPr>
              <w:t xml:space="preserve"> </w:t>
            </w:r>
            <w:r>
              <w:rPr>
                <w:spacing w:val="-2"/>
                <w:w w:val="105"/>
                <w:sz w:val="16"/>
              </w:rPr>
              <w:t>rail</w:t>
            </w:r>
            <w:r>
              <w:rPr>
                <w:spacing w:val="-9"/>
                <w:w w:val="105"/>
                <w:sz w:val="16"/>
              </w:rPr>
              <w:t xml:space="preserve"> </w:t>
            </w:r>
            <w:r>
              <w:rPr>
                <w:spacing w:val="-2"/>
                <w:w w:val="105"/>
                <w:sz w:val="16"/>
              </w:rPr>
              <w:t>corridor</w:t>
            </w:r>
            <w:r>
              <w:rPr>
                <w:spacing w:val="-9"/>
                <w:w w:val="105"/>
                <w:sz w:val="16"/>
              </w:rPr>
              <w:t xml:space="preserve"> </w:t>
            </w:r>
            <w:r>
              <w:rPr>
                <w:spacing w:val="-2"/>
                <w:w w:val="105"/>
                <w:sz w:val="16"/>
              </w:rPr>
              <w:t>for</w:t>
            </w:r>
            <w:r>
              <w:rPr>
                <w:spacing w:val="-9"/>
                <w:w w:val="105"/>
                <w:sz w:val="16"/>
              </w:rPr>
              <w:t xml:space="preserve"> </w:t>
            </w:r>
            <w:r>
              <w:rPr>
                <w:spacing w:val="-2"/>
                <w:w w:val="105"/>
                <w:sz w:val="16"/>
              </w:rPr>
              <w:t>the</w:t>
            </w:r>
            <w:r>
              <w:rPr>
                <w:spacing w:val="-9"/>
                <w:w w:val="105"/>
                <w:sz w:val="16"/>
              </w:rPr>
              <w:t xml:space="preserve"> </w:t>
            </w:r>
            <w:r>
              <w:rPr>
                <w:spacing w:val="-2"/>
                <w:w w:val="105"/>
                <w:sz w:val="16"/>
              </w:rPr>
              <w:t>Western</w:t>
            </w:r>
            <w:r>
              <w:rPr>
                <w:spacing w:val="-9"/>
                <w:w w:val="105"/>
                <w:sz w:val="16"/>
              </w:rPr>
              <w:t xml:space="preserve"> </w:t>
            </w:r>
            <w:r>
              <w:rPr>
                <w:spacing w:val="-2"/>
                <w:w w:val="105"/>
                <w:sz w:val="16"/>
              </w:rPr>
              <w:t>Sydney</w:t>
            </w:r>
            <w:r>
              <w:rPr>
                <w:spacing w:val="-9"/>
                <w:w w:val="105"/>
                <w:sz w:val="16"/>
              </w:rPr>
              <w:t xml:space="preserve"> </w:t>
            </w:r>
            <w:r>
              <w:rPr>
                <w:spacing w:val="-2"/>
                <w:w w:val="105"/>
                <w:sz w:val="16"/>
              </w:rPr>
              <w:t>Freight</w:t>
            </w:r>
            <w:r>
              <w:rPr>
                <w:spacing w:val="-9"/>
                <w:w w:val="105"/>
                <w:sz w:val="16"/>
              </w:rPr>
              <w:t xml:space="preserve"> </w:t>
            </w:r>
            <w:r>
              <w:rPr>
                <w:spacing w:val="-2"/>
                <w:w w:val="105"/>
                <w:sz w:val="16"/>
              </w:rPr>
              <w:t>Line</w:t>
            </w:r>
            <w:r>
              <w:rPr>
                <w:spacing w:val="-9"/>
                <w:w w:val="105"/>
                <w:sz w:val="16"/>
              </w:rPr>
              <w:t xml:space="preserve"> </w:t>
            </w:r>
            <w:r>
              <w:rPr>
                <w:spacing w:val="-2"/>
                <w:w w:val="105"/>
                <w:sz w:val="16"/>
              </w:rPr>
              <w:t>and</w:t>
            </w:r>
            <w:r>
              <w:rPr>
                <w:spacing w:val="-9"/>
                <w:w w:val="105"/>
                <w:sz w:val="16"/>
              </w:rPr>
              <w:t xml:space="preserve"> </w:t>
            </w:r>
            <w:r>
              <w:rPr>
                <w:spacing w:val="-2"/>
                <w:w w:val="105"/>
                <w:sz w:val="16"/>
              </w:rPr>
              <w:t>site</w:t>
            </w:r>
            <w:r>
              <w:rPr>
                <w:spacing w:val="-9"/>
                <w:w w:val="105"/>
                <w:sz w:val="16"/>
              </w:rPr>
              <w:t xml:space="preserve"> </w:t>
            </w:r>
            <w:r>
              <w:rPr>
                <w:spacing w:val="-2"/>
                <w:w w:val="105"/>
                <w:sz w:val="16"/>
              </w:rPr>
              <w:t xml:space="preserve">for </w:t>
            </w:r>
            <w:r>
              <w:rPr>
                <w:w w:val="105"/>
                <w:sz w:val="16"/>
              </w:rPr>
              <w:t>Eastern Creek Intermodal Terminal</w:t>
            </w:r>
          </w:p>
        </w:tc>
        <w:tc>
          <w:tcPr>
            <w:tcW w:w="1134" w:type="dxa"/>
            <w:shd w:val="clear" w:color="auto" w:fill="E1E0E1"/>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361" w:type="dxa"/>
            <w:shd w:val="clear" w:color="auto" w:fill="E1E0E1"/>
          </w:tcPr>
          <w:p w:rsidR="002C1123" w:rsidRDefault="00F22F94">
            <w:pPr>
              <w:pStyle w:val="TableParagraph"/>
              <w:rPr>
                <w:sz w:val="16"/>
              </w:rPr>
            </w:pPr>
            <w:r>
              <w:rPr>
                <w:spacing w:val="-2"/>
                <w:sz w:val="16"/>
              </w:rPr>
              <w:t>Corridor</w:t>
            </w:r>
          </w:p>
        </w:tc>
        <w:tc>
          <w:tcPr>
            <w:tcW w:w="6259" w:type="dxa"/>
            <w:shd w:val="clear" w:color="auto" w:fill="E1E0E1"/>
          </w:tcPr>
          <w:p w:rsidR="002C1123" w:rsidRDefault="00F22F94">
            <w:pPr>
              <w:pStyle w:val="TableParagraph"/>
              <w:spacing w:before="70" w:line="235" w:lineRule="auto"/>
              <w:ind w:right="138"/>
              <w:rPr>
                <w:sz w:val="16"/>
              </w:rPr>
            </w:pPr>
            <w:r>
              <w:rPr>
                <w:w w:val="95"/>
                <w:sz w:val="16"/>
              </w:rPr>
              <w:t xml:space="preserve">Cost of corridor planning is not material. No assessment of land acquisition costs has </w:t>
            </w:r>
            <w:r>
              <w:rPr>
                <w:sz w:val="16"/>
              </w:rPr>
              <w:t>been</w:t>
            </w:r>
            <w:r>
              <w:rPr>
                <w:spacing w:val="-4"/>
                <w:sz w:val="16"/>
              </w:rPr>
              <w:t xml:space="preserve"> </w:t>
            </w:r>
            <w:r>
              <w:rPr>
                <w:sz w:val="16"/>
              </w:rPr>
              <w:t>made</w:t>
            </w:r>
          </w:p>
        </w:tc>
      </w:tr>
      <w:tr w:rsidR="002C1123">
        <w:trPr>
          <w:trHeight w:val="321"/>
        </w:trPr>
        <w:tc>
          <w:tcPr>
            <w:tcW w:w="510" w:type="dxa"/>
            <w:shd w:val="clear" w:color="auto" w:fill="E1E0E1"/>
          </w:tcPr>
          <w:p w:rsidR="002C1123" w:rsidRDefault="00F22F94">
            <w:pPr>
              <w:pStyle w:val="TableParagraph"/>
              <w:rPr>
                <w:sz w:val="16"/>
              </w:rPr>
            </w:pPr>
            <w:r>
              <w:rPr>
                <w:spacing w:val="-5"/>
                <w:sz w:val="16"/>
              </w:rPr>
              <w:t>31</w:t>
            </w:r>
          </w:p>
        </w:tc>
        <w:tc>
          <w:tcPr>
            <w:tcW w:w="5556" w:type="dxa"/>
            <w:shd w:val="clear" w:color="auto" w:fill="C9C8C9"/>
          </w:tcPr>
          <w:p w:rsidR="002C1123" w:rsidRDefault="00F22F94">
            <w:pPr>
              <w:pStyle w:val="TableParagraph"/>
              <w:rPr>
                <w:sz w:val="16"/>
              </w:rPr>
            </w:pPr>
            <w:r>
              <w:rPr>
                <w:sz w:val="16"/>
              </w:rPr>
              <w:t>Preserve</w:t>
            </w:r>
            <w:r>
              <w:rPr>
                <w:spacing w:val="2"/>
                <w:sz w:val="16"/>
              </w:rPr>
              <w:t xml:space="preserve"> </w:t>
            </w:r>
            <w:r>
              <w:rPr>
                <w:sz w:val="16"/>
              </w:rPr>
              <w:t>integrity</w:t>
            </w:r>
            <w:r>
              <w:rPr>
                <w:spacing w:val="2"/>
                <w:sz w:val="16"/>
              </w:rPr>
              <w:t xml:space="preserve"> </w:t>
            </w:r>
            <w:r>
              <w:rPr>
                <w:sz w:val="16"/>
              </w:rPr>
              <w:t>of</w:t>
            </w:r>
            <w:r>
              <w:rPr>
                <w:spacing w:val="2"/>
                <w:sz w:val="16"/>
              </w:rPr>
              <w:t xml:space="preserve"> </w:t>
            </w:r>
            <w:r>
              <w:rPr>
                <w:sz w:val="16"/>
              </w:rPr>
              <w:t>Badgerys</w:t>
            </w:r>
            <w:r>
              <w:rPr>
                <w:spacing w:val="3"/>
                <w:sz w:val="16"/>
              </w:rPr>
              <w:t xml:space="preserve"> </w:t>
            </w:r>
            <w:r>
              <w:rPr>
                <w:sz w:val="16"/>
              </w:rPr>
              <w:t>Creek</w:t>
            </w:r>
            <w:r>
              <w:rPr>
                <w:spacing w:val="2"/>
                <w:sz w:val="16"/>
              </w:rPr>
              <w:t xml:space="preserve"> </w:t>
            </w:r>
            <w:r>
              <w:rPr>
                <w:sz w:val="16"/>
              </w:rPr>
              <w:t>site</w:t>
            </w:r>
            <w:r>
              <w:rPr>
                <w:spacing w:val="2"/>
                <w:sz w:val="16"/>
              </w:rPr>
              <w:t xml:space="preserve"> </w:t>
            </w:r>
            <w:r>
              <w:rPr>
                <w:sz w:val="16"/>
              </w:rPr>
              <w:t>for</w:t>
            </w:r>
            <w:r>
              <w:rPr>
                <w:spacing w:val="3"/>
                <w:sz w:val="16"/>
              </w:rPr>
              <w:t xml:space="preserve"> </w:t>
            </w:r>
            <w:r>
              <w:rPr>
                <w:sz w:val="16"/>
              </w:rPr>
              <w:t>future</w:t>
            </w:r>
            <w:r>
              <w:rPr>
                <w:spacing w:val="2"/>
                <w:sz w:val="16"/>
              </w:rPr>
              <w:t xml:space="preserve"> </w:t>
            </w:r>
            <w:r>
              <w:rPr>
                <w:sz w:val="16"/>
              </w:rPr>
              <w:t>aviation</w:t>
            </w:r>
            <w:r>
              <w:rPr>
                <w:spacing w:val="2"/>
                <w:sz w:val="16"/>
              </w:rPr>
              <w:t xml:space="preserve"> </w:t>
            </w:r>
            <w:r>
              <w:rPr>
                <w:spacing w:val="-5"/>
                <w:sz w:val="16"/>
              </w:rPr>
              <w:t>use</w:t>
            </w:r>
          </w:p>
        </w:tc>
        <w:tc>
          <w:tcPr>
            <w:tcW w:w="1134" w:type="dxa"/>
            <w:shd w:val="clear" w:color="auto" w:fill="E1E0E1"/>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361" w:type="dxa"/>
            <w:shd w:val="clear" w:color="auto" w:fill="E1E0E1"/>
          </w:tcPr>
          <w:p w:rsidR="002C1123" w:rsidRDefault="00F22F94">
            <w:pPr>
              <w:pStyle w:val="TableParagraph"/>
              <w:rPr>
                <w:sz w:val="16"/>
              </w:rPr>
            </w:pPr>
            <w:r>
              <w:rPr>
                <w:spacing w:val="-2"/>
                <w:sz w:val="16"/>
              </w:rPr>
              <w:t>Corridor</w:t>
            </w:r>
          </w:p>
        </w:tc>
        <w:tc>
          <w:tcPr>
            <w:tcW w:w="6259" w:type="dxa"/>
            <w:shd w:val="clear" w:color="auto" w:fill="E1E0E1"/>
          </w:tcPr>
          <w:p w:rsidR="002C1123" w:rsidRDefault="00F22F94">
            <w:pPr>
              <w:pStyle w:val="TableParagraph"/>
              <w:rPr>
                <w:sz w:val="16"/>
              </w:rPr>
            </w:pPr>
            <w:r>
              <w:rPr>
                <w:sz w:val="16"/>
              </w:rPr>
              <w:t>Cost</w:t>
            </w:r>
            <w:r>
              <w:rPr>
                <w:spacing w:val="-8"/>
                <w:sz w:val="16"/>
              </w:rPr>
              <w:t xml:space="preserve"> </w:t>
            </w:r>
            <w:r>
              <w:rPr>
                <w:spacing w:val="-2"/>
                <w:sz w:val="16"/>
              </w:rPr>
              <w:t>neutral</w:t>
            </w:r>
          </w:p>
        </w:tc>
      </w:tr>
      <w:tr w:rsidR="002C1123">
        <w:trPr>
          <w:trHeight w:val="321"/>
        </w:trPr>
        <w:tc>
          <w:tcPr>
            <w:tcW w:w="510" w:type="dxa"/>
            <w:shd w:val="clear" w:color="auto" w:fill="E1E0E1"/>
          </w:tcPr>
          <w:p w:rsidR="002C1123" w:rsidRDefault="00F22F94">
            <w:pPr>
              <w:pStyle w:val="TableParagraph"/>
              <w:rPr>
                <w:sz w:val="16"/>
              </w:rPr>
            </w:pPr>
            <w:r>
              <w:rPr>
                <w:spacing w:val="-5"/>
                <w:sz w:val="16"/>
              </w:rPr>
              <w:t>32</w:t>
            </w:r>
          </w:p>
        </w:tc>
        <w:tc>
          <w:tcPr>
            <w:tcW w:w="5556" w:type="dxa"/>
            <w:shd w:val="clear" w:color="auto" w:fill="C9C8C9"/>
          </w:tcPr>
          <w:p w:rsidR="002C1123" w:rsidRDefault="00F22F94">
            <w:pPr>
              <w:pStyle w:val="TableParagraph"/>
              <w:rPr>
                <w:sz w:val="16"/>
              </w:rPr>
            </w:pPr>
            <w:r>
              <w:rPr>
                <w:sz w:val="16"/>
              </w:rPr>
              <w:t>Assess passenger travel options at RAAF</w:t>
            </w:r>
            <w:r>
              <w:rPr>
                <w:spacing w:val="1"/>
                <w:sz w:val="16"/>
              </w:rPr>
              <w:t xml:space="preserve"> </w:t>
            </w:r>
            <w:r>
              <w:rPr>
                <w:sz w:val="16"/>
              </w:rPr>
              <w:t xml:space="preserve">Base </w:t>
            </w:r>
            <w:r>
              <w:rPr>
                <w:spacing w:val="-2"/>
                <w:sz w:val="16"/>
              </w:rPr>
              <w:t>Richmond</w:t>
            </w:r>
          </w:p>
        </w:tc>
        <w:tc>
          <w:tcPr>
            <w:tcW w:w="1134" w:type="dxa"/>
            <w:shd w:val="clear" w:color="auto" w:fill="E1E0E1"/>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361" w:type="dxa"/>
            <w:shd w:val="clear" w:color="auto" w:fill="E1E0E1"/>
          </w:tcPr>
          <w:p w:rsidR="002C1123" w:rsidRDefault="00F22F94">
            <w:pPr>
              <w:pStyle w:val="TableParagraph"/>
              <w:rPr>
                <w:sz w:val="16"/>
              </w:rPr>
            </w:pPr>
            <w:r>
              <w:rPr>
                <w:spacing w:val="-2"/>
                <w:sz w:val="16"/>
              </w:rPr>
              <w:t>Planning</w:t>
            </w:r>
          </w:p>
        </w:tc>
        <w:tc>
          <w:tcPr>
            <w:tcW w:w="6259" w:type="dxa"/>
            <w:shd w:val="clear" w:color="auto" w:fill="E1E0E1"/>
          </w:tcPr>
          <w:p w:rsidR="002C1123" w:rsidRDefault="00F22F94">
            <w:pPr>
              <w:pStyle w:val="TableParagraph"/>
              <w:rPr>
                <w:sz w:val="16"/>
              </w:rPr>
            </w:pPr>
            <w:r>
              <w:rPr>
                <w:w w:val="95"/>
                <w:sz w:val="16"/>
              </w:rPr>
              <w:t>Cost</w:t>
            </w:r>
            <w:r>
              <w:rPr>
                <w:spacing w:val="1"/>
                <w:sz w:val="16"/>
              </w:rPr>
              <w:t xml:space="preserve"> </w:t>
            </w:r>
            <w:r>
              <w:rPr>
                <w:w w:val="95"/>
                <w:sz w:val="16"/>
              </w:rPr>
              <w:t>of</w:t>
            </w:r>
            <w:r>
              <w:rPr>
                <w:spacing w:val="2"/>
                <w:sz w:val="16"/>
              </w:rPr>
              <w:t xml:space="preserve"> </w:t>
            </w:r>
            <w:r>
              <w:rPr>
                <w:w w:val="95"/>
                <w:sz w:val="16"/>
              </w:rPr>
              <w:t>planning</w:t>
            </w:r>
            <w:r>
              <w:rPr>
                <w:spacing w:val="2"/>
                <w:sz w:val="16"/>
              </w:rPr>
              <w:t xml:space="preserve"> </w:t>
            </w:r>
            <w:r>
              <w:rPr>
                <w:w w:val="95"/>
                <w:sz w:val="16"/>
              </w:rPr>
              <w:t>work</w:t>
            </w:r>
            <w:r>
              <w:rPr>
                <w:spacing w:val="2"/>
                <w:sz w:val="16"/>
              </w:rPr>
              <w:t xml:space="preserve"> </w:t>
            </w:r>
            <w:r>
              <w:rPr>
                <w:w w:val="95"/>
                <w:sz w:val="16"/>
              </w:rPr>
              <w:t>is</w:t>
            </w:r>
            <w:r>
              <w:rPr>
                <w:spacing w:val="2"/>
                <w:sz w:val="16"/>
              </w:rPr>
              <w:t xml:space="preserve"> </w:t>
            </w:r>
            <w:r>
              <w:rPr>
                <w:w w:val="95"/>
                <w:sz w:val="16"/>
              </w:rPr>
              <w:t>not</w:t>
            </w:r>
            <w:r>
              <w:rPr>
                <w:spacing w:val="2"/>
                <w:sz w:val="16"/>
              </w:rPr>
              <w:t xml:space="preserve"> </w:t>
            </w:r>
            <w:r>
              <w:rPr>
                <w:spacing w:val="-2"/>
                <w:w w:val="95"/>
                <w:sz w:val="16"/>
              </w:rPr>
              <w:t>material</w:t>
            </w:r>
          </w:p>
        </w:tc>
      </w:tr>
      <w:tr w:rsidR="002C1123">
        <w:trPr>
          <w:trHeight w:val="321"/>
        </w:trPr>
        <w:tc>
          <w:tcPr>
            <w:tcW w:w="510" w:type="dxa"/>
            <w:shd w:val="clear" w:color="auto" w:fill="E1E0E1"/>
          </w:tcPr>
          <w:p w:rsidR="002C1123" w:rsidRDefault="00F22F94">
            <w:pPr>
              <w:pStyle w:val="TableParagraph"/>
              <w:rPr>
                <w:sz w:val="16"/>
              </w:rPr>
            </w:pPr>
            <w:r>
              <w:rPr>
                <w:spacing w:val="-5"/>
                <w:sz w:val="16"/>
              </w:rPr>
              <w:t>33</w:t>
            </w:r>
          </w:p>
        </w:tc>
        <w:tc>
          <w:tcPr>
            <w:tcW w:w="5556" w:type="dxa"/>
            <w:shd w:val="clear" w:color="auto" w:fill="C9C8C9"/>
          </w:tcPr>
          <w:p w:rsidR="002C1123" w:rsidRDefault="00F22F94">
            <w:pPr>
              <w:pStyle w:val="TableParagraph"/>
              <w:rPr>
                <w:sz w:val="16"/>
              </w:rPr>
            </w:pPr>
            <w:r>
              <w:rPr>
                <w:spacing w:val="-4"/>
                <w:w w:val="105"/>
                <w:sz w:val="16"/>
              </w:rPr>
              <w:t>Moorebank</w:t>
            </w:r>
            <w:r>
              <w:rPr>
                <w:spacing w:val="8"/>
                <w:w w:val="105"/>
                <w:sz w:val="16"/>
              </w:rPr>
              <w:t xml:space="preserve"> </w:t>
            </w:r>
            <w:r>
              <w:rPr>
                <w:spacing w:val="-4"/>
                <w:w w:val="105"/>
                <w:sz w:val="16"/>
              </w:rPr>
              <w:t>Intermodal</w:t>
            </w:r>
            <w:r>
              <w:rPr>
                <w:spacing w:val="8"/>
                <w:w w:val="105"/>
                <w:sz w:val="16"/>
              </w:rPr>
              <w:t xml:space="preserve"> </w:t>
            </w:r>
            <w:r>
              <w:rPr>
                <w:spacing w:val="-4"/>
                <w:w w:val="105"/>
                <w:sz w:val="16"/>
              </w:rPr>
              <w:t>Terminal:</w:t>
            </w:r>
            <w:r>
              <w:rPr>
                <w:spacing w:val="8"/>
                <w:w w:val="105"/>
                <w:sz w:val="16"/>
              </w:rPr>
              <w:t xml:space="preserve"> </w:t>
            </w:r>
            <w:r>
              <w:rPr>
                <w:spacing w:val="-4"/>
                <w:w w:val="105"/>
                <w:sz w:val="16"/>
              </w:rPr>
              <w:t>supporting</w:t>
            </w:r>
            <w:r>
              <w:rPr>
                <w:spacing w:val="9"/>
                <w:w w:val="105"/>
                <w:sz w:val="16"/>
              </w:rPr>
              <w:t xml:space="preserve"> </w:t>
            </w:r>
            <w:r>
              <w:rPr>
                <w:spacing w:val="-4"/>
                <w:w w:val="105"/>
                <w:sz w:val="16"/>
              </w:rPr>
              <w:t>infrastructure</w:t>
            </w:r>
          </w:p>
        </w:tc>
        <w:tc>
          <w:tcPr>
            <w:tcW w:w="1134" w:type="dxa"/>
            <w:shd w:val="clear" w:color="auto" w:fill="E1E0E1"/>
          </w:tcPr>
          <w:p w:rsidR="002C1123" w:rsidRDefault="00F22F94">
            <w:pPr>
              <w:pStyle w:val="TableParagraph"/>
              <w:rPr>
                <w:sz w:val="16"/>
              </w:rPr>
            </w:pPr>
            <w:r>
              <w:rPr>
                <w:sz w:val="16"/>
              </w:rPr>
              <w:t>5</w:t>
            </w:r>
            <w:r>
              <w:rPr>
                <w:spacing w:val="-10"/>
                <w:sz w:val="16"/>
              </w:rPr>
              <w:t xml:space="preserve"> </w:t>
            </w:r>
            <w:r>
              <w:rPr>
                <w:sz w:val="16"/>
              </w:rPr>
              <w:t>–</w:t>
            </w:r>
            <w:r>
              <w:rPr>
                <w:spacing w:val="-9"/>
                <w:sz w:val="16"/>
              </w:rPr>
              <w:t xml:space="preserve"> </w:t>
            </w:r>
            <w:r>
              <w:rPr>
                <w:spacing w:val="-5"/>
                <w:sz w:val="16"/>
              </w:rPr>
              <w:t>10</w:t>
            </w:r>
          </w:p>
        </w:tc>
        <w:tc>
          <w:tcPr>
            <w:tcW w:w="1361" w:type="dxa"/>
            <w:shd w:val="clear" w:color="auto" w:fill="E1E0E1"/>
          </w:tcPr>
          <w:p w:rsidR="002C1123" w:rsidRDefault="00F22F94">
            <w:pPr>
              <w:pStyle w:val="TableParagraph"/>
              <w:rPr>
                <w:sz w:val="16"/>
              </w:rPr>
            </w:pPr>
            <w:r>
              <w:rPr>
                <w:spacing w:val="-2"/>
                <w:sz w:val="16"/>
              </w:rPr>
              <w:t>Program</w:t>
            </w:r>
          </w:p>
        </w:tc>
        <w:tc>
          <w:tcPr>
            <w:tcW w:w="6259" w:type="dxa"/>
            <w:shd w:val="clear" w:color="auto" w:fill="E1E0E1"/>
          </w:tcPr>
          <w:p w:rsidR="002C1123" w:rsidRDefault="00F22F94">
            <w:pPr>
              <w:pStyle w:val="TableParagraph"/>
              <w:rPr>
                <w:sz w:val="16"/>
              </w:rPr>
            </w:pPr>
            <w:r>
              <w:rPr>
                <w:w w:val="95"/>
                <w:sz w:val="16"/>
              </w:rPr>
              <w:t>Estimate</w:t>
            </w:r>
            <w:r>
              <w:rPr>
                <w:sz w:val="16"/>
              </w:rPr>
              <w:t xml:space="preserve"> </w:t>
            </w:r>
            <w:r>
              <w:rPr>
                <w:w w:val="95"/>
                <w:sz w:val="16"/>
              </w:rPr>
              <w:t>of</w:t>
            </w:r>
            <w:r>
              <w:rPr>
                <w:sz w:val="16"/>
              </w:rPr>
              <w:t xml:space="preserve"> </w:t>
            </w:r>
            <w:r>
              <w:rPr>
                <w:w w:val="95"/>
                <w:sz w:val="16"/>
              </w:rPr>
              <w:t>$300</w:t>
            </w:r>
            <w:r>
              <w:rPr>
                <w:spacing w:val="1"/>
                <w:sz w:val="16"/>
              </w:rPr>
              <w:t xml:space="preserve"> </w:t>
            </w:r>
            <w:r>
              <w:rPr>
                <w:spacing w:val="-2"/>
                <w:w w:val="95"/>
                <w:sz w:val="16"/>
              </w:rPr>
              <w:t>million</w:t>
            </w:r>
          </w:p>
        </w:tc>
      </w:tr>
      <w:tr w:rsidR="002C1123">
        <w:trPr>
          <w:trHeight w:val="321"/>
        </w:trPr>
        <w:tc>
          <w:tcPr>
            <w:tcW w:w="510" w:type="dxa"/>
            <w:shd w:val="clear" w:color="auto" w:fill="E1E0E1"/>
          </w:tcPr>
          <w:p w:rsidR="002C1123" w:rsidRDefault="00F22F94">
            <w:pPr>
              <w:pStyle w:val="TableParagraph"/>
              <w:rPr>
                <w:sz w:val="16"/>
              </w:rPr>
            </w:pPr>
            <w:r>
              <w:rPr>
                <w:spacing w:val="-5"/>
                <w:sz w:val="16"/>
              </w:rPr>
              <w:t>34</w:t>
            </w:r>
          </w:p>
        </w:tc>
        <w:tc>
          <w:tcPr>
            <w:tcW w:w="5556" w:type="dxa"/>
            <w:shd w:val="clear" w:color="auto" w:fill="C9C8C9"/>
          </w:tcPr>
          <w:p w:rsidR="002C1123" w:rsidRDefault="00F22F94">
            <w:pPr>
              <w:pStyle w:val="TableParagraph"/>
              <w:rPr>
                <w:sz w:val="16"/>
              </w:rPr>
            </w:pPr>
            <w:r>
              <w:rPr>
                <w:spacing w:val="-2"/>
                <w:w w:val="105"/>
                <w:sz w:val="16"/>
              </w:rPr>
              <w:t>Incremental</w:t>
            </w:r>
            <w:r>
              <w:rPr>
                <w:spacing w:val="-9"/>
                <w:w w:val="105"/>
                <w:sz w:val="16"/>
              </w:rPr>
              <w:t xml:space="preserve"> </w:t>
            </w:r>
            <w:r>
              <w:rPr>
                <w:spacing w:val="-2"/>
                <w:w w:val="105"/>
                <w:sz w:val="16"/>
              </w:rPr>
              <w:t>capacity</w:t>
            </w:r>
            <w:r>
              <w:rPr>
                <w:spacing w:val="-8"/>
                <w:w w:val="105"/>
                <w:sz w:val="16"/>
              </w:rPr>
              <w:t xml:space="preserve"> </w:t>
            </w:r>
            <w:r>
              <w:rPr>
                <w:spacing w:val="-2"/>
                <w:w w:val="105"/>
                <w:sz w:val="16"/>
              </w:rPr>
              <w:t>upgrades</w:t>
            </w:r>
            <w:r>
              <w:rPr>
                <w:spacing w:val="-8"/>
                <w:w w:val="105"/>
                <w:sz w:val="16"/>
              </w:rPr>
              <w:t xml:space="preserve"> </w:t>
            </w:r>
            <w:r>
              <w:rPr>
                <w:spacing w:val="-2"/>
                <w:w w:val="105"/>
                <w:sz w:val="16"/>
              </w:rPr>
              <w:t>on</w:t>
            </w:r>
            <w:r>
              <w:rPr>
                <w:spacing w:val="-8"/>
                <w:w w:val="105"/>
                <w:sz w:val="16"/>
              </w:rPr>
              <w:t xml:space="preserve"> </w:t>
            </w:r>
            <w:r>
              <w:rPr>
                <w:spacing w:val="-2"/>
                <w:w w:val="105"/>
                <w:sz w:val="16"/>
              </w:rPr>
              <w:t>freight</w:t>
            </w:r>
            <w:r>
              <w:rPr>
                <w:spacing w:val="-9"/>
                <w:w w:val="105"/>
                <w:sz w:val="16"/>
              </w:rPr>
              <w:t xml:space="preserve"> </w:t>
            </w:r>
            <w:r>
              <w:rPr>
                <w:spacing w:val="-2"/>
                <w:w w:val="105"/>
                <w:sz w:val="16"/>
              </w:rPr>
              <w:t>rail</w:t>
            </w:r>
            <w:r>
              <w:rPr>
                <w:spacing w:val="-8"/>
                <w:w w:val="105"/>
                <w:sz w:val="16"/>
              </w:rPr>
              <w:t xml:space="preserve"> </w:t>
            </w:r>
            <w:r>
              <w:rPr>
                <w:spacing w:val="-2"/>
                <w:w w:val="105"/>
                <w:sz w:val="16"/>
              </w:rPr>
              <w:t>lines</w:t>
            </w:r>
            <w:r>
              <w:rPr>
                <w:spacing w:val="-8"/>
                <w:w w:val="105"/>
                <w:sz w:val="16"/>
              </w:rPr>
              <w:t xml:space="preserve"> </w:t>
            </w:r>
            <w:r>
              <w:rPr>
                <w:spacing w:val="-2"/>
                <w:w w:val="105"/>
                <w:sz w:val="16"/>
              </w:rPr>
              <w:t>in</w:t>
            </w:r>
            <w:r>
              <w:rPr>
                <w:spacing w:val="-8"/>
                <w:w w:val="105"/>
                <w:sz w:val="16"/>
              </w:rPr>
              <w:t xml:space="preserve"> </w:t>
            </w:r>
            <w:r>
              <w:rPr>
                <w:spacing w:val="-2"/>
                <w:w w:val="105"/>
                <w:sz w:val="16"/>
              </w:rPr>
              <w:t>Sydney</w:t>
            </w:r>
            <w:r>
              <w:rPr>
                <w:spacing w:val="-9"/>
                <w:w w:val="105"/>
                <w:sz w:val="16"/>
              </w:rPr>
              <w:t xml:space="preserve"> </w:t>
            </w:r>
            <w:r>
              <w:rPr>
                <w:spacing w:val="-4"/>
                <w:w w:val="105"/>
                <w:sz w:val="16"/>
              </w:rPr>
              <w:t>area</w:t>
            </w:r>
          </w:p>
        </w:tc>
        <w:tc>
          <w:tcPr>
            <w:tcW w:w="1134" w:type="dxa"/>
            <w:shd w:val="clear" w:color="auto" w:fill="E1E0E1"/>
          </w:tcPr>
          <w:p w:rsidR="002C1123" w:rsidRDefault="00F22F94">
            <w:pPr>
              <w:pStyle w:val="TableParagraph"/>
              <w:rPr>
                <w:sz w:val="16"/>
              </w:rPr>
            </w:pPr>
            <w:r>
              <w:rPr>
                <w:sz w:val="16"/>
              </w:rPr>
              <w:t>5</w:t>
            </w:r>
            <w:r>
              <w:rPr>
                <w:spacing w:val="-10"/>
                <w:sz w:val="16"/>
              </w:rPr>
              <w:t xml:space="preserve"> </w:t>
            </w:r>
            <w:r>
              <w:rPr>
                <w:sz w:val="16"/>
              </w:rPr>
              <w:t>–</w:t>
            </w:r>
            <w:r>
              <w:rPr>
                <w:spacing w:val="-9"/>
                <w:sz w:val="16"/>
              </w:rPr>
              <w:t xml:space="preserve"> </w:t>
            </w:r>
            <w:r>
              <w:rPr>
                <w:spacing w:val="-5"/>
                <w:sz w:val="16"/>
              </w:rPr>
              <w:t>10</w:t>
            </w:r>
          </w:p>
        </w:tc>
        <w:tc>
          <w:tcPr>
            <w:tcW w:w="1361" w:type="dxa"/>
            <w:shd w:val="clear" w:color="auto" w:fill="E1E0E1"/>
          </w:tcPr>
          <w:p w:rsidR="002C1123" w:rsidRDefault="00F22F94">
            <w:pPr>
              <w:pStyle w:val="TableParagraph"/>
              <w:rPr>
                <w:sz w:val="16"/>
              </w:rPr>
            </w:pPr>
            <w:r>
              <w:rPr>
                <w:spacing w:val="-2"/>
                <w:sz w:val="16"/>
              </w:rPr>
              <w:t>Program</w:t>
            </w:r>
          </w:p>
        </w:tc>
        <w:tc>
          <w:tcPr>
            <w:tcW w:w="6259" w:type="dxa"/>
            <w:shd w:val="clear" w:color="auto" w:fill="E1E0E1"/>
          </w:tcPr>
          <w:p w:rsidR="002C1123" w:rsidRDefault="00F22F94">
            <w:pPr>
              <w:pStyle w:val="TableParagraph"/>
              <w:rPr>
                <w:sz w:val="16"/>
              </w:rPr>
            </w:pPr>
            <w:r>
              <w:rPr>
                <w:w w:val="95"/>
                <w:sz w:val="16"/>
              </w:rPr>
              <w:t>Assume</w:t>
            </w:r>
            <w:r>
              <w:rPr>
                <w:spacing w:val="-2"/>
                <w:sz w:val="16"/>
              </w:rPr>
              <w:t xml:space="preserve"> </w:t>
            </w:r>
            <w:r>
              <w:rPr>
                <w:w w:val="95"/>
                <w:sz w:val="16"/>
              </w:rPr>
              <w:t>delivery</w:t>
            </w:r>
            <w:r>
              <w:rPr>
                <w:spacing w:val="-2"/>
                <w:sz w:val="16"/>
              </w:rPr>
              <w:t xml:space="preserve"> </w:t>
            </w:r>
            <w:r>
              <w:rPr>
                <w:w w:val="95"/>
                <w:sz w:val="16"/>
              </w:rPr>
              <w:t>by</w:t>
            </w:r>
            <w:r>
              <w:rPr>
                <w:spacing w:val="-1"/>
                <w:sz w:val="16"/>
              </w:rPr>
              <w:t xml:space="preserve"> </w:t>
            </w:r>
            <w:r>
              <w:rPr>
                <w:w w:val="95"/>
                <w:sz w:val="16"/>
              </w:rPr>
              <w:t>ARTC</w:t>
            </w:r>
            <w:r>
              <w:rPr>
                <w:spacing w:val="-2"/>
                <w:sz w:val="16"/>
              </w:rPr>
              <w:t xml:space="preserve"> </w:t>
            </w:r>
            <w:r>
              <w:rPr>
                <w:w w:val="95"/>
                <w:sz w:val="16"/>
              </w:rPr>
              <w:t>based</w:t>
            </w:r>
            <w:r>
              <w:rPr>
                <w:spacing w:val="-1"/>
                <w:sz w:val="16"/>
              </w:rPr>
              <w:t xml:space="preserve"> </w:t>
            </w:r>
            <w:r>
              <w:rPr>
                <w:w w:val="95"/>
                <w:sz w:val="16"/>
              </w:rPr>
              <w:t>on</w:t>
            </w:r>
            <w:r>
              <w:rPr>
                <w:spacing w:val="-2"/>
                <w:sz w:val="16"/>
              </w:rPr>
              <w:t xml:space="preserve"> </w:t>
            </w:r>
            <w:r>
              <w:rPr>
                <w:w w:val="95"/>
                <w:sz w:val="16"/>
              </w:rPr>
              <w:t>user</w:t>
            </w:r>
            <w:r>
              <w:rPr>
                <w:spacing w:val="-1"/>
                <w:sz w:val="16"/>
              </w:rPr>
              <w:t xml:space="preserve"> </w:t>
            </w:r>
            <w:r>
              <w:rPr>
                <w:w w:val="95"/>
                <w:sz w:val="16"/>
              </w:rPr>
              <w:t>funding</w:t>
            </w:r>
            <w:r>
              <w:rPr>
                <w:spacing w:val="-2"/>
                <w:sz w:val="16"/>
              </w:rPr>
              <w:t xml:space="preserve"> </w:t>
            </w:r>
            <w:r>
              <w:rPr>
                <w:spacing w:val="-2"/>
                <w:w w:val="95"/>
                <w:sz w:val="16"/>
              </w:rPr>
              <w:t>model</w:t>
            </w:r>
          </w:p>
        </w:tc>
      </w:tr>
      <w:tr w:rsidR="002C1123">
        <w:trPr>
          <w:trHeight w:val="321"/>
        </w:trPr>
        <w:tc>
          <w:tcPr>
            <w:tcW w:w="510" w:type="dxa"/>
            <w:shd w:val="clear" w:color="auto" w:fill="E1E0E1"/>
          </w:tcPr>
          <w:p w:rsidR="002C1123" w:rsidRDefault="00F22F94">
            <w:pPr>
              <w:pStyle w:val="TableParagraph"/>
              <w:rPr>
                <w:sz w:val="16"/>
              </w:rPr>
            </w:pPr>
            <w:r>
              <w:rPr>
                <w:spacing w:val="-5"/>
                <w:sz w:val="16"/>
              </w:rPr>
              <w:t>35</w:t>
            </w:r>
          </w:p>
        </w:tc>
        <w:tc>
          <w:tcPr>
            <w:tcW w:w="5556" w:type="dxa"/>
            <w:shd w:val="clear" w:color="auto" w:fill="C9C8C9"/>
          </w:tcPr>
          <w:p w:rsidR="002C1123" w:rsidRDefault="00F22F94">
            <w:pPr>
              <w:pStyle w:val="TableParagraph"/>
              <w:rPr>
                <w:sz w:val="16"/>
              </w:rPr>
            </w:pPr>
            <w:r>
              <w:rPr>
                <w:sz w:val="16"/>
              </w:rPr>
              <w:t>Eastern Creek</w:t>
            </w:r>
            <w:r>
              <w:rPr>
                <w:spacing w:val="1"/>
                <w:sz w:val="16"/>
              </w:rPr>
              <w:t xml:space="preserve"> </w:t>
            </w:r>
            <w:r>
              <w:rPr>
                <w:sz w:val="16"/>
              </w:rPr>
              <w:t xml:space="preserve">Intermodal </w:t>
            </w:r>
            <w:r>
              <w:rPr>
                <w:spacing w:val="-2"/>
                <w:sz w:val="16"/>
              </w:rPr>
              <w:t>Terminal</w:t>
            </w:r>
          </w:p>
        </w:tc>
        <w:tc>
          <w:tcPr>
            <w:tcW w:w="1134" w:type="dxa"/>
            <w:shd w:val="clear" w:color="auto" w:fill="E1E0E1"/>
          </w:tcPr>
          <w:p w:rsidR="002C1123" w:rsidRDefault="00F22F94">
            <w:pPr>
              <w:pStyle w:val="TableParagraph"/>
              <w:rPr>
                <w:sz w:val="16"/>
              </w:rPr>
            </w:pPr>
            <w:r>
              <w:rPr>
                <w:w w:val="95"/>
                <w:sz w:val="16"/>
              </w:rPr>
              <w:t>10</w:t>
            </w:r>
            <w:r>
              <w:rPr>
                <w:spacing w:val="-6"/>
                <w:w w:val="95"/>
                <w:sz w:val="16"/>
              </w:rPr>
              <w:t xml:space="preserve"> </w:t>
            </w:r>
            <w:r>
              <w:rPr>
                <w:w w:val="95"/>
                <w:sz w:val="16"/>
              </w:rPr>
              <w:t>–</w:t>
            </w:r>
            <w:r>
              <w:rPr>
                <w:spacing w:val="-5"/>
                <w:w w:val="95"/>
                <w:sz w:val="16"/>
              </w:rPr>
              <w:t xml:space="preserve"> 20</w:t>
            </w:r>
          </w:p>
        </w:tc>
        <w:tc>
          <w:tcPr>
            <w:tcW w:w="1361" w:type="dxa"/>
            <w:shd w:val="clear" w:color="auto" w:fill="E1E0E1"/>
          </w:tcPr>
          <w:p w:rsidR="002C1123" w:rsidRDefault="00F22F94">
            <w:pPr>
              <w:pStyle w:val="TableParagraph"/>
              <w:rPr>
                <w:sz w:val="16"/>
              </w:rPr>
            </w:pPr>
            <w:r>
              <w:rPr>
                <w:w w:val="95"/>
                <w:sz w:val="16"/>
              </w:rPr>
              <w:t>Major</w:t>
            </w:r>
            <w:r>
              <w:rPr>
                <w:spacing w:val="-2"/>
                <w:sz w:val="16"/>
              </w:rPr>
              <w:t xml:space="preserve"> </w:t>
            </w:r>
            <w:r>
              <w:rPr>
                <w:spacing w:val="-2"/>
                <w:w w:val="95"/>
                <w:sz w:val="16"/>
              </w:rPr>
              <w:t>project</w:t>
            </w:r>
          </w:p>
        </w:tc>
        <w:tc>
          <w:tcPr>
            <w:tcW w:w="6259" w:type="dxa"/>
            <w:shd w:val="clear" w:color="auto" w:fill="E1E0E1"/>
          </w:tcPr>
          <w:p w:rsidR="002C1123" w:rsidRDefault="00F22F94">
            <w:pPr>
              <w:pStyle w:val="TableParagraph"/>
              <w:rPr>
                <w:sz w:val="16"/>
              </w:rPr>
            </w:pPr>
            <w:r>
              <w:rPr>
                <w:w w:val="95"/>
                <w:sz w:val="16"/>
              </w:rPr>
              <w:t>Assume</w:t>
            </w:r>
            <w:r>
              <w:rPr>
                <w:spacing w:val="-2"/>
                <w:sz w:val="16"/>
              </w:rPr>
              <w:t xml:space="preserve"> </w:t>
            </w:r>
            <w:r>
              <w:rPr>
                <w:w w:val="95"/>
                <w:sz w:val="16"/>
              </w:rPr>
              <w:t>delivery</w:t>
            </w:r>
            <w:r>
              <w:rPr>
                <w:spacing w:val="-2"/>
                <w:sz w:val="16"/>
              </w:rPr>
              <w:t xml:space="preserve"> </w:t>
            </w:r>
            <w:r>
              <w:rPr>
                <w:w w:val="95"/>
                <w:sz w:val="16"/>
              </w:rPr>
              <w:t>by</w:t>
            </w:r>
            <w:r>
              <w:rPr>
                <w:spacing w:val="-1"/>
                <w:sz w:val="16"/>
              </w:rPr>
              <w:t xml:space="preserve"> </w:t>
            </w:r>
            <w:r>
              <w:rPr>
                <w:w w:val="95"/>
                <w:sz w:val="16"/>
              </w:rPr>
              <w:t>ARTC</w:t>
            </w:r>
            <w:r>
              <w:rPr>
                <w:spacing w:val="-2"/>
                <w:sz w:val="16"/>
              </w:rPr>
              <w:t xml:space="preserve"> </w:t>
            </w:r>
            <w:r>
              <w:rPr>
                <w:w w:val="95"/>
                <w:sz w:val="16"/>
              </w:rPr>
              <w:t>based</w:t>
            </w:r>
            <w:r>
              <w:rPr>
                <w:spacing w:val="-1"/>
                <w:sz w:val="16"/>
              </w:rPr>
              <w:t xml:space="preserve"> </w:t>
            </w:r>
            <w:r>
              <w:rPr>
                <w:w w:val="95"/>
                <w:sz w:val="16"/>
              </w:rPr>
              <w:t>on</w:t>
            </w:r>
            <w:r>
              <w:rPr>
                <w:spacing w:val="-2"/>
                <w:sz w:val="16"/>
              </w:rPr>
              <w:t xml:space="preserve"> </w:t>
            </w:r>
            <w:r>
              <w:rPr>
                <w:w w:val="95"/>
                <w:sz w:val="16"/>
              </w:rPr>
              <w:t>user</w:t>
            </w:r>
            <w:r>
              <w:rPr>
                <w:spacing w:val="-1"/>
                <w:sz w:val="16"/>
              </w:rPr>
              <w:t xml:space="preserve"> </w:t>
            </w:r>
            <w:r>
              <w:rPr>
                <w:w w:val="95"/>
                <w:sz w:val="16"/>
              </w:rPr>
              <w:t>funding</w:t>
            </w:r>
            <w:r>
              <w:rPr>
                <w:spacing w:val="-2"/>
                <w:sz w:val="16"/>
              </w:rPr>
              <w:t xml:space="preserve"> </w:t>
            </w:r>
            <w:r>
              <w:rPr>
                <w:spacing w:val="-2"/>
                <w:w w:val="95"/>
                <w:sz w:val="16"/>
              </w:rPr>
              <w:t>model</w:t>
            </w:r>
          </w:p>
        </w:tc>
      </w:tr>
      <w:tr w:rsidR="002C1123">
        <w:trPr>
          <w:trHeight w:val="321"/>
        </w:trPr>
        <w:tc>
          <w:tcPr>
            <w:tcW w:w="510" w:type="dxa"/>
            <w:shd w:val="clear" w:color="auto" w:fill="E1E0E1"/>
          </w:tcPr>
          <w:p w:rsidR="002C1123" w:rsidRDefault="00F22F94">
            <w:pPr>
              <w:pStyle w:val="TableParagraph"/>
              <w:rPr>
                <w:sz w:val="16"/>
              </w:rPr>
            </w:pPr>
            <w:r>
              <w:rPr>
                <w:spacing w:val="-5"/>
                <w:sz w:val="16"/>
              </w:rPr>
              <w:t>36</w:t>
            </w:r>
          </w:p>
        </w:tc>
        <w:tc>
          <w:tcPr>
            <w:tcW w:w="5556" w:type="dxa"/>
            <w:shd w:val="clear" w:color="auto" w:fill="C9C8C9"/>
          </w:tcPr>
          <w:p w:rsidR="002C1123" w:rsidRDefault="00F22F94">
            <w:pPr>
              <w:pStyle w:val="TableParagraph"/>
              <w:rPr>
                <w:sz w:val="16"/>
              </w:rPr>
            </w:pPr>
            <w:r>
              <w:rPr>
                <w:sz w:val="16"/>
              </w:rPr>
              <w:t>Develop</w:t>
            </w:r>
            <w:r>
              <w:rPr>
                <w:spacing w:val="-2"/>
                <w:sz w:val="16"/>
              </w:rPr>
              <w:t xml:space="preserve"> </w:t>
            </w:r>
            <w:r>
              <w:rPr>
                <w:sz w:val="16"/>
              </w:rPr>
              <w:t>Western</w:t>
            </w:r>
            <w:r>
              <w:rPr>
                <w:spacing w:val="-2"/>
                <w:sz w:val="16"/>
              </w:rPr>
              <w:t xml:space="preserve"> </w:t>
            </w:r>
            <w:r>
              <w:rPr>
                <w:sz w:val="16"/>
              </w:rPr>
              <w:t>Sydney</w:t>
            </w:r>
            <w:r>
              <w:rPr>
                <w:spacing w:val="-1"/>
                <w:sz w:val="16"/>
              </w:rPr>
              <w:t xml:space="preserve"> </w:t>
            </w:r>
            <w:r>
              <w:rPr>
                <w:sz w:val="16"/>
              </w:rPr>
              <w:t>Regional</w:t>
            </w:r>
            <w:r>
              <w:rPr>
                <w:spacing w:val="-2"/>
                <w:sz w:val="16"/>
              </w:rPr>
              <w:t xml:space="preserve"> Airport</w:t>
            </w:r>
          </w:p>
        </w:tc>
        <w:tc>
          <w:tcPr>
            <w:tcW w:w="1134" w:type="dxa"/>
            <w:shd w:val="clear" w:color="auto" w:fill="E1E0E1"/>
          </w:tcPr>
          <w:p w:rsidR="002C1123" w:rsidRDefault="00F22F94">
            <w:pPr>
              <w:pStyle w:val="TableParagraph"/>
              <w:rPr>
                <w:sz w:val="16"/>
              </w:rPr>
            </w:pPr>
            <w:r>
              <w:rPr>
                <w:w w:val="95"/>
                <w:sz w:val="16"/>
              </w:rPr>
              <w:t>10</w:t>
            </w:r>
            <w:r>
              <w:rPr>
                <w:spacing w:val="-6"/>
                <w:w w:val="95"/>
                <w:sz w:val="16"/>
              </w:rPr>
              <w:t xml:space="preserve"> </w:t>
            </w:r>
            <w:r>
              <w:rPr>
                <w:w w:val="95"/>
                <w:sz w:val="16"/>
              </w:rPr>
              <w:t>–</w:t>
            </w:r>
            <w:r>
              <w:rPr>
                <w:spacing w:val="-5"/>
                <w:w w:val="95"/>
                <w:sz w:val="16"/>
              </w:rPr>
              <w:t xml:space="preserve"> 20</w:t>
            </w:r>
          </w:p>
        </w:tc>
        <w:tc>
          <w:tcPr>
            <w:tcW w:w="1361" w:type="dxa"/>
            <w:shd w:val="clear" w:color="auto" w:fill="E1E0E1"/>
          </w:tcPr>
          <w:p w:rsidR="002C1123" w:rsidRDefault="00F22F94">
            <w:pPr>
              <w:pStyle w:val="TableParagraph"/>
              <w:rPr>
                <w:sz w:val="16"/>
              </w:rPr>
            </w:pPr>
            <w:r>
              <w:rPr>
                <w:spacing w:val="-2"/>
                <w:sz w:val="16"/>
              </w:rPr>
              <w:t>Planning</w:t>
            </w:r>
          </w:p>
        </w:tc>
        <w:tc>
          <w:tcPr>
            <w:tcW w:w="6259" w:type="dxa"/>
            <w:shd w:val="clear" w:color="auto" w:fill="E1E0E1"/>
          </w:tcPr>
          <w:p w:rsidR="002C1123" w:rsidRDefault="00F22F94">
            <w:pPr>
              <w:pStyle w:val="TableParagraph"/>
              <w:rPr>
                <w:sz w:val="16"/>
              </w:rPr>
            </w:pPr>
            <w:r>
              <w:rPr>
                <w:w w:val="95"/>
                <w:sz w:val="16"/>
              </w:rPr>
              <w:t>Cost</w:t>
            </w:r>
            <w:r>
              <w:rPr>
                <w:spacing w:val="1"/>
                <w:sz w:val="16"/>
              </w:rPr>
              <w:t xml:space="preserve"> </w:t>
            </w:r>
            <w:r>
              <w:rPr>
                <w:w w:val="95"/>
                <w:sz w:val="16"/>
              </w:rPr>
              <w:t>of</w:t>
            </w:r>
            <w:r>
              <w:rPr>
                <w:spacing w:val="2"/>
                <w:sz w:val="16"/>
              </w:rPr>
              <w:t xml:space="preserve"> </w:t>
            </w:r>
            <w:r>
              <w:rPr>
                <w:w w:val="95"/>
                <w:sz w:val="16"/>
              </w:rPr>
              <w:t>planning</w:t>
            </w:r>
            <w:r>
              <w:rPr>
                <w:spacing w:val="2"/>
                <w:sz w:val="16"/>
              </w:rPr>
              <w:t xml:space="preserve"> </w:t>
            </w:r>
            <w:r>
              <w:rPr>
                <w:w w:val="95"/>
                <w:sz w:val="16"/>
              </w:rPr>
              <w:t>work</w:t>
            </w:r>
            <w:r>
              <w:rPr>
                <w:spacing w:val="2"/>
                <w:sz w:val="16"/>
              </w:rPr>
              <w:t xml:space="preserve"> </w:t>
            </w:r>
            <w:r>
              <w:rPr>
                <w:w w:val="95"/>
                <w:sz w:val="16"/>
              </w:rPr>
              <w:t>is</w:t>
            </w:r>
            <w:r>
              <w:rPr>
                <w:spacing w:val="2"/>
                <w:sz w:val="16"/>
              </w:rPr>
              <w:t xml:space="preserve"> </w:t>
            </w:r>
            <w:r>
              <w:rPr>
                <w:w w:val="95"/>
                <w:sz w:val="16"/>
              </w:rPr>
              <w:t>not</w:t>
            </w:r>
            <w:r>
              <w:rPr>
                <w:spacing w:val="2"/>
                <w:sz w:val="16"/>
              </w:rPr>
              <w:t xml:space="preserve"> </w:t>
            </w:r>
            <w:r>
              <w:rPr>
                <w:spacing w:val="-2"/>
                <w:w w:val="95"/>
                <w:sz w:val="16"/>
              </w:rPr>
              <w:t>material</w:t>
            </w:r>
          </w:p>
        </w:tc>
      </w:tr>
    </w:tbl>
    <w:p w:rsidR="002C1123" w:rsidRDefault="002C1123">
      <w:pPr>
        <w:rPr>
          <w:sz w:val="16"/>
        </w:rPr>
        <w:sectPr w:rsidR="002C1123">
          <w:type w:val="continuous"/>
          <w:pgSz w:w="16840" w:h="11910" w:orient="landscape"/>
          <w:pgMar w:top="560" w:right="280" w:bottom="280" w:left="500" w:header="0" w:footer="517" w:gutter="0"/>
          <w:cols w:space="720"/>
        </w:sectPr>
      </w:pPr>
    </w:p>
    <w:p w:rsidR="002C1123" w:rsidRDefault="002C1123">
      <w:pPr>
        <w:pStyle w:val="BodyText"/>
        <w:rPr>
          <w:b/>
        </w:rPr>
      </w:pPr>
    </w:p>
    <w:p w:rsidR="002C1123" w:rsidRDefault="00F22F94">
      <w:pPr>
        <w:pStyle w:val="Heading1"/>
      </w:pPr>
      <w:bookmarkStart w:id="264" w:name="10.0_Regional_and_interstate_transport_"/>
      <w:bookmarkStart w:id="265" w:name="10.1_Snapshot"/>
      <w:bookmarkStart w:id="266" w:name="_bookmark188"/>
      <w:bookmarkStart w:id="267" w:name="_bookmark187"/>
      <w:bookmarkEnd w:id="264"/>
      <w:bookmarkEnd w:id="265"/>
      <w:bookmarkEnd w:id="266"/>
      <w:bookmarkEnd w:id="267"/>
      <w:r>
        <w:rPr>
          <w:color w:val="2E3092"/>
          <w:spacing w:val="-4"/>
          <w:w w:val="55"/>
        </w:rPr>
        <w:t>10.0</w:t>
      </w:r>
      <w:r>
        <w:rPr>
          <w:color w:val="2E3092"/>
          <w:spacing w:val="-8"/>
          <w:w w:val="55"/>
        </w:rPr>
        <w:t xml:space="preserve"> </w:t>
      </w:r>
      <w:r>
        <w:rPr>
          <w:color w:val="00AEEF"/>
          <w:spacing w:val="-4"/>
          <w:w w:val="55"/>
        </w:rPr>
        <w:t>Regional</w:t>
      </w:r>
      <w:r>
        <w:rPr>
          <w:color w:val="00AEEF"/>
          <w:spacing w:val="-14"/>
          <w:w w:val="55"/>
        </w:rPr>
        <w:t xml:space="preserve"> </w:t>
      </w:r>
      <w:r>
        <w:rPr>
          <w:color w:val="00AEEF"/>
          <w:spacing w:val="-4"/>
          <w:w w:val="55"/>
        </w:rPr>
        <w:t>and</w:t>
      </w:r>
      <w:r>
        <w:rPr>
          <w:color w:val="00AEEF"/>
          <w:spacing w:val="-13"/>
          <w:w w:val="55"/>
        </w:rPr>
        <w:t xml:space="preserve"> </w:t>
      </w:r>
      <w:r>
        <w:rPr>
          <w:color w:val="00AEEF"/>
          <w:spacing w:val="-4"/>
          <w:w w:val="55"/>
        </w:rPr>
        <w:t>interstate</w:t>
      </w:r>
      <w:r>
        <w:rPr>
          <w:color w:val="00AEEF"/>
          <w:spacing w:val="-14"/>
          <w:w w:val="55"/>
        </w:rPr>
        <w:t xml:space="preserve"> </w:t>
      </w:r>
      <w:r>
        <w:rPr>
          <w:color w:val="00AEEF"/>
          <w:spacing w:val="-4"/>
          <w:w w:val="55"/>
        </w:rPr>
        <w:t>transport</w:t>
      </w:r>
    </w:p>
    <w:p w:rsidR="002C1123" w:rsidRDefault="002C1123">
      <w:pPr>
        <w:sectPr w:rsidR="002C1123">
          <w:headerReference w:type="default" r:id="rId185"/>
          <w:footerReference w:type="default" r:id="rId186"/>
          <w:pgSz w:w="16840" w:h="11910" w:orient="landscape"/>
          <w:pgMar w:top="560" w:right="280" w:bottom="700" w:left="500" w:header="0" w:footer="517" w:gutter="0"/>
          <w:cols w:space="720"/>
        </w:sectPr>
      </w:pPr>
    </w:p>
    <w:p w:rsidR="002C1123" w:rsidRDefault="002060EF">
      <w:pPr>
        <w:pStyle w:val="Heading5"/>
        <w:spacing w:before="153"/>
        <w:ind w:left="492" w:firstLine="0"/>
      </w:pPr>
      <w:r>
        <w:pict>
          <v:rect id="docshape1666" o:spid="_x0000_s3422" style="position:absolute;left:0;text-align:left;margin-left:38.25pt;margin-top:-.55pt;width:502.7pt;height:420.75pt;z-index:-251470848;mso-position-horizontal-relative:page" fillcolor="#e1e0e1" stroked="f">
            <w10:wrap anchorx="page"/>
          </v:rect>
        </w:pict>
      </w:r>
      <w:r w:rsidR="00F22F94">
        <w:rPr>
          <w:color w:val="00AEEF"/>
          <w:spacing w:val="-2"/>
        </w:rPr>
        <w:t>Summary</w:t>
      </w:r>
    </w:p>
    <w:p w:rsidR="002C1123" w:rsidRDefault="00F22F94">
      <w:pPr>
        <w:pStyle w:val="ListParagraph"/>
        <w:numPr>
          <w:ilvl w:val="0"/>
          <w:numId w:val="6"/>
        </w:numPr>
        <w:tabs>
          <w:tab w:val="left" w:pos="776"/>
        </w:tabs>
        <w:spacing w:before="123" w:line="249" w:lineRule="auto"/>
        <w:ind w:right="338"/>
        <w:rPr>
          <w:sz w:val="20"/>
        </w:rPr>
      </w:pPr>
      <w:r>
        <w:rPr>
          <w:w w:val="95"/>
          <w:sz w:val="20"/>
        </w:rPr>
        <w:t xml:space="preserve">Regional and interstate transport infrastructure </w:t>
      </w:r>
      <w:r>
        <w:rPr>
          <w:sz w:val="20"/>
        </w:rPr>
        <w:t>supports</w:t>
      </w:r>
      <w:r>
        <w:rPr>
          <w:spacing w:val="-4"/>
          <w:sz w:val="20"/>
        </w:rPr>
        <w:t xml:space="preserve"> </w:t>
      </w:r>
      <w:r>
        <w:rPr>
          <w:sz w:val="20"/>
        </w:rPr>
        <w:t>the</w:t>
      </w:r>
      <w:r>
        <w:rPr>
          <w:spacing w:val="-4"/>
          <w:sz w:val="20"/>
        </w:rPr>
        <w:t xml:space="preserve"> </w:t>
      </w:r>
      <w:r>
        <w:rPr>
          <w:sz w:val="20"/>
        </w:rPr>
        <w:t>economy</w:t>
      </w:r>
      <w:r>
        <w:rPr>
          <w:spacing w:val="-4"/>
          <w:sz w:val="20"/>
        </w:rPr>
        <w:t xml:space="preserve"> </w:t>
      </w:r>
      <w:r>
        <w:rPr>
          <w:sz w:val="20"/>
        </w:rPr>
        <w:t>and</w:t>
      </w:r>
      <w:r>
        <w:rPr>
          <w:spacing w:val="-4"/>
          <w:sz w:val="20"/>
        </w:rPr>
        <w:t xml:space="preserve"> </w:t>
      </w:r>
      <w:r>
        <w:rPr>
          <w:sz w:val="20"/>
        </w:rPr>
        <w:t>quality</w:t>
      </w:r>
      <w:r>
        <w:rPr>
          <w:spacing w:val="-4"/>
          <w:sz w:val="20"/>
        </w:rPr>
        <w:t xml:space="preserve"> </w:t>
      </w:r>
      <w:r>
        <w:rPr>
          <w:sz w:val="20"/>
        </w:rPr>
        <w:t>of</w:t>
      </w:r>
      <w:r>
        <w:rPr>
          <w:spacing w:val="-4"/>
          <w:sz w:val="20"/>
        </w:rPr>
        <w:t xml:space="preserve"> </w:t>
      </w:r>
      <w:r>
        <w:rPr>
          <w:sz w:val="20"/>
        </w:rPr>
        <w:t>life</w:t>
      </w:r>
      <w:r>
        <w:rPr>
          <w:spacing w:val="-4"/>
          <w:sz w:val="20"/>
        </w:rPr>
        <w:t xml:space="preserve"> </w:t>
      </w:r>
      <w:r>
        <w:rPr>
          <w:sz w:val="20"/>
        </w:rPr>
        <w:t xml:space="preserve">of </w:t>
      </w:r>
      <w:r>
        <w:rPr>
          <w:w w:val="95"/>
          <w:sz w:val="20"/>
        </w:rPr>
        <w:t xml:space="preserve">NSW by allowing people to access employment opportunities, connecting regional communities </w:t>
      </w:r>
      <w:r>
        <w:rPr>
          <w:sz w:val="20"/>
        </w:rPr>
        <w:t>and supporting freight movements.</w:t>
      </w:r>
    </w:p>
    <w:p w:rsidR="002C1123" w:rsidRDefault="00F22F94">
      <w:pPr>
        <w:pStyle w:val="ListParagraph"/>
        <w:numPr>
          <w:ilvl w:val="0"/>
          <w:numId w:val="6"/>
        </w:numPr>
        <w:tabs>
          <w:tab w:val="left" w:pos="776"/>
        </w:tabs>
        <w:spacing w:before="132" w:line="249" w:lineRule="auto"/>
        <w:ind w:right="205"/>
        <w:rPr>
          <w:sz w:val="20"/>
        </w:rPr>
      </w:pPr>
      <w:r>
        <w:rPr>
          <w:w w:val="95"/>
          <w:sz w:val="20"/>
        </w:rPr>
        <w:t>Regional</w:t>
      </w:r>
      <w:r>
        <w:rPr>
          <w:spacing w:val="-11"/>
          <w:w w:val="95"/>
          <w:sz w:val="20"/>
        </w:rPr>
        <w:t xml:space="preserve"> </w:t>
      </w:r>
      <w:r>
        <w:rPr>
          <w:w w:val="95"/>
          <w:sz w:val="20"/>
        </w:rPr>
        <w:t>NSW</w:t>
      </w:r>
      <w:r>
        <w:rPr>
          <w:spacing w:val="-11"/>
          <w:w w:val="95"/>
          <w:sz w:val="20"/>
        </w:rPr>
        <w:t xml:space="preserve"> </w:t>
      </w:r>
      <w:r>
        <w:rPr>
          <w:w w:val="95"/>
          <w:sz w:val="20"/>
        </w:rPr>
        <w:t>has</w:t>
      </w:r>
      <w:r>
        <w:rPr>
          <w:spacing w:val="-11"/>
          <w:w w:val="95"/>
          <w:sz w:val="20"/>
        </w:rPr>
        <w:t xml:space="preserve"> </w:t>
      </w:r>
      <w:r>
        <w:rPr>
          <w:w w:val="95"/>
          <w:sz w:val="20"/>
        </w:rPr>
        <w:t>extensive</w:t>
      </w:r>
      <w:r>
        <w:rPr>
          <w:spacing w:val="-11"/>
          <w:w w:val="95"/>
          <w:sz w:val="20"/>
        </w:rPr>
        <w:t xml:space="preserve"> </w:t>
      </w:r>
      <w:r>
        <w:rPr>
          <w:w w:val="95"/>
          <w:sz w:val="20"/>
        </w:rPr>
        <w:t>and</w:t>
      </w:r>
      <w:r>
        <w:rPr>
          <w:spacing w:val="-11"/>
          <w:w w:val="95"/>
          <w:sz w:val="20"/>
        </w:rPr>
        <w:t xml:space="preserve"> </w:t>
      </w:r>
      <w:r>
        <w:rPr>
          <w:w w:val="95"/>
          <w:sz w:val="20"/>
        </w:rPr>
        <w:t xml:space="preserve">well–developed </w:t>
      </w:r>
      <w:r>
        <w:rPr>
          <w:sz w:val="20"/>
        </w:rPr>
        <w:t>regional</w:t>
      </w:r>
      <w:r>
        <w:rPr>
          <w:spacing w:val="-3"/>
          <w:sz w:val="20"/>
        </w:rPr>
        <w:t xml:space="preserve"> </w:t>
      </w:r>
      <w:r>
        <w:rPr>
          <w:sz w:val="20"/>
        </w:rPr>
        <w:t>road</w:t>
      </w:r>
      <w:r>
        <w:rPr>
          <w:spacing w:val="-3"/>
          <w:sz w:val="20"/>
        </w:rPr>
        <w:t xml:space="preserve"> </w:t>
      </w:r>
      <w:r>
        <w:rPr>
          <w:sz w:val="20"/>
        </w:rPr>
        <w:t>and</w:t>
      </w:r>
      <w:r>
        <w:rPr>
          <w:spacing w:val="-3"/>
          <w:sz w:val="20"/>
        </w:rPr>
        <w:t xml:space="preserve"> </w:t>
      </w:r>
      <w:r>
        <w:rPr>
          <w:sz w:val="20"/>
        </w:rPr>
        <w:t>rail</w:t>
      </w:r>
      <w:r>
        <w:rPr>
          <w:spacing w:val="-3"/>
          <w:sz w:val="20"/>
        </w:rPr>
        <w:t xml:space="preserve"> </w:t>
      </w:r>
      <w:r>
        <w:rPr>
          <w:sz w:val="20"/>
        </w:rPr>
        <w:t>networks</w:t>
      </w:r>
      <w:r>
        <w:rPr>
          <w:spacing w:val="-3"/>
          <w:sz w:val="20"/>
        </w:rPr>
        <w:t xml:space="preserve"> </w:t>
      </w:r>
      <w:r>
        <w:rPr>
          <w:sz w:val="20"/>
        </w:rPr>
        <w:t>connecting population and employment centres across</w:t>
      </w:r>
    </w:p>
    <w:p w:rsidR="002C1123" w:rsidRDefault="00F22F94">
      <w:pPr>
        <w:pStyle w:val="BodyText"/>
        <w:spacing w:before="2" w:line="249" w:lineRule="auto"/>
        <w:ind w:left="775"/>
      </w:pPr>
      <w:r>
        <w:t>the</w:t>
      </w:r>
      <w:r>
        <w:rPr>
          <w:spacing w:val="-13"/>
        </w:rPr>
        <w:t xml:space="preserve"> </w:t>
      </w:r>
      <w:r>
        <w:t>state.</w:t>
      </w:r>
      <w:r>
        <w:rPr>
          <w:spacing w:val="-13"/>
        </w:rPr>
        <w:t xml:space="preserve"> </w:t>
      </w:r>
      <w:r>
        <w:t>In</w:t>
      </w:r>
      <w:r>
        <w:rPr>
          <w:spacing w:val="-13"/>
        </w:rPr>
        <w:t xml:space="preserve"> </w:t>
      </w:r>
      <w:r>
        <w:t>recent</w:t>
      </w:r>
      <w:r>
        <w:rPr>
          <w:spacing w:val="-13"/>
        </w:rPr>
        <w:t xml:space="preserve"> </w:t>
      </w:r>
      <w:r>
        <w:t>years,</w:t>
      </w:r>
      <w:r>
        <w:rPr>
          <w:spacing w:val="-13"/>
        </w:rPr>
        <w:t xml:space="preserve"> </w:t>
      </w:r>
      <w:r>
        <w:t>the</w:t>
      </w:r>
      <w:r>
        <w:rPr>
          <w:spacing w:val="-13"/>
        </w:rPr>
        <w:t xml:space="preserve"> </w:t>
      </w:r>
      <w:r>
        <w:t>NSW</w:t>
      </w:r>
      <w:r>
        <w:rPr>
          <w:spacing w:val="-13"/>
        </w:rPr>
        <w:t xml:space="preserve"> </w:t>
      </w:r>
      <w:r>
        <w:t>State</w:t>
      </w:r>
      <w:r>
        <w:rPr>
          <w:spacing w:val="-13"/>
        </w:rPr>
        <w:t xml:space="preserve"> </w:t>
      </w:r>
      <w:r>
        <w:t xml:space="preserve">and </w:t>
      </w:r>
      <w:r>
        <w:rPr>
          <w:w w:val="95"/>
        </w:rPr>
        <w:t xml:space="preserve">Commonwealth Governments have undertaken </w:t>
      </w:r>
      <w:r>
        <w:t>major</w:t>
      </w:r>
      <w:r>
        <w:rPr>
          <w:spacing w:val="-8"/>
        </w:rPr>
        <w:t xml:space="preserve"> </w:t>
      </w:r>
      <w:r>
        <w:t>investment</w:t>
      </w:r>
      <w:r>
        <w:rPr>
          <w:spacing w:val="-8"/>
        </w:rPr>
        <w:t xml:space="preserve"> </w:t>
      </w:r>
      <w:r>
        <w:t>to</w:t>
      </w:r>
      <w:r>
        <w:rPr>
          <w:spacing w:val="-8"/>
        </w:rPr>
        <w:t xml:space="preserve"> </w:t>
      </w:r>
      <w:r>
        <w:t>improve</w:t>
      </w:r>
      <w:r>
        <w:rPr>
          <w:spacing w:val="-8"/>
        </w:rPr>
        <w:t xml:space="preserve"> </w:t>
      </w:r>
      <w:r>
        <w:t>the</w:t>
      </w:r>
      <w:r>
        <w:rPr>
          <w:spacing w:val="-8"/>
        </w:rPr>
        <w:t xml:space="preserve"> </w:t>
      </w:r>
      <w:r>
        <w:t>quality</w:t>
      </w:r>
      <w:r>
        <w:rPr>
          <w:spacing w:val="-8"/>
        </w:rPr>
        <w:t xml:space="preserve"> </w:t>
      </w:r>
      <w:r>
        <w:t>and capacity of these networks.</w:t>
      </w:r>
    </w:p>
    <w:p w:rsidR="002C1123" w:rsidRDefault="00F22F94">
      <w:pPr>
        <w:pStyle w:val="ListParagraph"/>
        <w:numPr>
          <w:ilvl w:val="0"/>
          <w:numId w:val="6"/>
        </w:numPr>
        <w:tabs>
          <w:tab w:val="left" w:pos="776"/>
        </w:tabs>
        <w:spacing w:before="133" w:line="249" w:lineRule="auto"/>
        <w:ind w:right="190"/>
        <w:rPr>
          <w:sz w:val="20"/>
        </w:rPr>
      </w:pPr>
      <w:r>
        <w:rPr>
          <w:sz w:val="20"/>
        </w:rPr>
        <w:t>The</w:t>
      </w:r>
      <w:r>
        <w:rPr>
          <w:spacing w:val="-7"/>
          <w:sz w:val="20"/>
        </w:rPr>
        <w:t xml:space="preserve"> </w:t>
      </w:r>
      <w:r>
        <w:rPr>
          <w:sz w:val="20"/>
        </w:rPr>
        <w:t>road</w:t>
      </w:r>
      <w:r>
        <w:rPr>
          <w:spacing w:val="-7"/>
          <w:sz w:val="20"/>
        </w:rPr>
        <w:t xml:space="preserve"> </w:t>
      </w:r>
      <w:r>
        <w:rPr>
          <w:sz w:val="20"/>
        </w:rPr>
        <w:t>network</w:t>
      </w:r>
      <w:r>
        <w:rPr>
          <w:spacing w:val="-7"/>
          <w:sz w:val="20"/>
        </w:rPr>
        <w:t xml:space="preserve"> </w:t>
      </w:r>
      <w:r>
        <w:rPr>
          <w:sz w:val="20"/>
        </w:rPr>
        <w:t>is</w:t>
      </w:r>
      <w:r>
        <w:rPr>
          <w:spacing w:val="-7"/>
          <w:sz w:val="20"/>
        </w:rPr>
        <w:t xml:space="preserve"> </w:t>
      </w:r>
      <w:r>
        <w:rPr>
          <w:sz w:val="20"/>
        </w:rPr>
        <w:t>the</w:t>
      </w:r>
      <w:r>
        <w:rPr>
          <w:spacing w:val="-7"/>
          <w:sz w:val="20"/>
        </w:rPr>
        <w:t xml:space="preserve"> </w:t>
      </w:r>
      <w:r>
        <w:rPr>
          <w:sz w:val="20"/>
        </w:rPr>
        <w:t>backbone</w:t>
      </w:r>
      <w:r>
        <w:rPr>
          <w:spacing w:val="-7"/>
          <w:sz w:val="20"/>
        </w:rPr>
        <w:t xml:space="preserve"> </w:t>
      </w:r>
      <w:r>
        <w:rPr>
          <w:sz w:val="20"/>
        </w:rPr>
        <w:t>of</w:t>
      </w:r>
      <w:r>
        <w:rPr>
          <w:spacing w:val="-7"/>
          <w:sz w:val="20"/>
        </w:rPr>
        <w:t xml:space="preserve"> </w:t>
      </w:r>
      <w:r>
        <w:rPr>
          <w:sz w:val="20"/>
        </w:rPr>
        <w:t xml:space="preserve">regional </w:t>
      </w:r>
      <w:r>
        <w:rPr>
          <w:w w:val="95"/>
          <w:sz w:val="20"/>
        </w:rPr>
        <w:t xml:space="preserve">transport. Over 90 percent of passenger trips and </w:t>
      </w:r>
      <w:r>
        <w:rPr>
          <w:sz w:val="20"/>
        </w:rPr>
        <w:t>almost</w:t>
      </w:r>
      <w:r>
        <w:rPr>
          <w:spacing w:val="-14"/>
          <w:sz w:val="20"/>
        </w:rPr>
        <w:t xml:space="preserve"> </w:t>
      </w:r>
      <w:r>
        <w:rPr>
          <w:sz w:val="20"/>
        </w:rPr>
        <w:t>two</w:t>
      </w:r>
      <w:r>
        <w:rPr>
          <w:spacing w:val="-14"/>
          <w:sz w:val="20"/>
        </w:rPr>
        <w:t xml:space="preserve"> </w:t>
      </w:r>
      <w:r>
        <w:rPr>
          <w:sz w:val="20"/>
        </w:rPr>
        <w:t>thirds</w:t>
      </w:r>
      <w:r>
        <w:rPr>
          <w:spacing w:val="-14"/>
          <w:sz w:val="20"/>
        </w:rPr>
        <w:t xml:space="preserve"> </w:t>
      </w:r>
      <w:r>
        <w:rPr>
          <w:sz w:val="20"/>
        </w:rPr>
        <w:t>of</w:t>
      </w:r>
      <w:r>
        <w:rPr>
          <w:spacing w:val="-14"/>
          <w:sz w:val="20"/>
        </w:rPr>
        <w:t xml:space="preserve"> </w:t>
      </w:r>
      <w:r>
        <w:rPr>
          <w:sz w:val="20"/>
        </w:rPr>
        <w:t>freight</w:t>
      </w:r>
      <w:r>
        <w:rPr>
          <w:spacing w:val="-14"/>
          <w:sz w:val="20"/>
        </w:rPr>
        <w:t xml:space="preserve"> </w:t>
      </w:r>
      <w:r>
        <w:rPr>
          <w:sz w:val="20"/>
        </w:rPr>
        <w:t>journeys</w:t>
      </w:r>
      <w:r>
        <w:rPr>
          <w:spacing w:val="-14"/>
          <w:sz w:val="20"/>
        </w:rPr>
        <w:t xml:space="preserve"> </w:t>
      </w:r>
      <w:r>
        <w:rPr>
          <w:sz w:val="20"/>
        </w:rPr>
        <w:t>are</w:t>
      </w:r>
      <w:r>
        <w:rPr>
          <w:spacing w:val="-14"/>
          <w:sz w:val="20"/>
        </w:rPr>
        <w:t xml:space="preserve"> </w:t>
      </w:r>
      <w:r>
        <w:rPr>
          <w:sz w:val="20"/>
        </w:rPr>
        <w:t>by</w:t>
      </w:r>
      <w:r>
        <w:rPr>
          <w:spacing w:val="-14"/>
          <w:sz w:val="20"/>
        </w:rPr>
        <w:t xml:space="preserve"> </w:t>
      </w:r>
      <w:r>
        <w:rPr>
          <w:sz w:val="20"/>
        </w:rPr>
        <w:t xml:space="preserve">road. </w:t>
      </w:r>
      <w:r>
        <w:rPr>
          <w:spacing w:val="-2"/>
          <w:sz w:val="20"/>
        </w:rPr>
        <w:t>Rail</w:t>
      </w:r>
      <w:r>
        <w:rPr>
          <w:spacing w:val="-7"/>
          <w:sz w:val="20"/>
        </w:rPr>
        <w:t xml:space="preserve"> </w:t>
      </w:r>
      <w:r>
        <w:rPr>
          <w:spacing w:val="-2"/>
          <w:sz w:val="20"/>
        </w:rPr>
        <w:t>primarily</w:t>
      </w:r>
      <w:r>
        <w:rPr>
          <w:spacing w:val="-7"/>
          <w:sz w:val="20"/>
        </w:rPr>
        <w:t xml:space="preserve"> </w:t>
      </w:r>
      <w:r>
        <w:rPr>
          <w:spacing w:val="-2"/>
          <w:sz w:val="20"/>
        </w:rPr>
        <w:t>moves</w:t>
      </w:r>
      <w:r>
        <w:rPr>
          <w:spacing w:val="-7"/>
          <w:sz w:val="20"/>
        </w:rPr>
        <w:t xml:space="preserve"> </w:t>
      </w:r>
      <w:r>
        <w:rPr>
          <w:spacing w:val="-2"/>
          <w:sz w:val="20"/>
        </w:rPr>
        <w:t>bulk</w:t>
      </w:r>
      <w:r>
        <w:rPr>
          <w:spacing w:val="-7"/>
          <w:sz w:val="20"/>
        </w:rPr>
        <w:t xml:space="preserve"> </w:t>
      </w:r>
      <w:r>
        <w:rPr>
          <w:spacing w:val="-2"/>
          <w:sz w:val="20"/>
        </w:rPr>
        <w:t>freight</w:t>
      </w:r>
      <w:r>
        <w:rPr>
          <w:spacing w:val="-7"/>
          <w:sz w:val="20"/>
        </w:rPr>
        <w:t xml:space="preserve"> </w:t>
      </w:r>
      <w:r>
        <w:rPr>
          <w:spacing w:val="-2"/>
          <w:sz w:val="20"/>
        </w:rPr>
        <w:t>to</w:t>
      </w:r>
      <w:r>
        <w:rPr>
          <w:spacing w:val="-7"/>
          <w:sz w:val="20"/>
        </w:rPr>
        <w:t xml:space="preserve"> </w:t>
      </w:r>
      <w:r>
        <w:rPr>
          <w:spacing w:val="-2"/>
          <w:sz w:val="20"/>
        </w:rPr>
        <w:t>local</w:t>
      </w:r>
      <w:r>
        <w:rPr>
          <w:spacing w:val="-7"/>
          <w:sz w:val="20"/>
        </w:rPr>
        <w:t xml:space="preserve"> </w:t>
      </w:r>
      <w:r>
        <w:rPr>
          <w:spacing w:val="-2"/>
          <w:sz w:val="20"/>
        </w:rPr>
        <w:t xml:space="preserve">markets </w:t>
      </w:r>
      <w:r>
        <w:rPr>
          <w:sz w:val="20"/>
        </w:rPr>
        <w:t>and port gateways for export.</w:t>
      </w:r>
    </w:p>
    <w:p w:rsidR="002C1123" w:rsidRDefault="00F22F94">
      <w:pPr>
        <w:pStyle w:val="ListParagraph"/>
        <w:numPr>
          <w:ilvl w:val="0"/>
          <w:numId w:val="6"/>
        </w:numPr>
        <w:tabs>
          <w:tab w:val="left" w:pos="776"/>
        </w:tabs>
        <w:spacing w:before="133" w:line="249" w:lineRule="auto"/>
        <w:rPr>
          <w:sz w:val="20"/>
        </w:rPr>
      </w:pPr>
      <w:r>
        <w:rPr>
          <w:w w:val="95"/>
          <w:sz w:val="20"/>
        </w:rPr>
        <w:t>NSW’s</w:t>
      </w:r>
      <w:r>
        <w:rPr>
          <w:spacing w:val="-7"/>
          <w:w w:val="95"/>
          <w:sz w:val="20"/>
        </w:rPr>
        <w:t xml:space="preserve"> </w:t>
      </w:r>
      <w:r>
        <w:rPr>
          <w:w w:val="95"/>
          <w:sz w:val="20"/>
        </w:rPr>
        <w:t>economic</w:t>
      </w:r>
      <w:r>
        <w:rPr>
          <w:spacing w:val="-7"/>
          <w:w w:val="95"/>
          <w:sz w:val="20"/>
        </w:rPr>
        <w:t xml:space="preserve"> </w:t>
      </w:r>
      <w:r>
        <w:rPr>
          <w:w w:val="95"/>
          <w:sz w:val="20"/>
        </w:rPr>
        <w:t>success</w:t>
      </w:r>
      <w:r>
        <w:rPr>
          <w:spacing w:val="-7"/>
          <w:w w:val="95"/>
          <w:sz w:val="20"/>
        </w:rPr>
        <w:t xml:space="preserve"> </w:t>
      </w:r>
      <w:r>
        <w:rPr>
          <w:w w:val="95"/>
          <w:sz w:val="20"/>
        </w:rPr>
        <w:t>relies</w:t>
      </w:r>
      <w:r>
        <w:rPr>
          <w:spacing w:val="-7"/>
          <w:w w:val="95"/>
          <w:sz w:val="20"/>
        </w:rPr>
        <w:t xml:space="preserve"> </w:t>
      </w:r>
      <w:r>
        <w:rPr>
          <w:w w:val="95"/>
          <w:sz w:val="20"/>
        </w:rPr>
        <w:t>on</w:t>
      </w:r>
      <w:r>
        <w:rPr>
          <w:spacing w:val="-7"/>
          <w:w w:val="95"/>
          <w:sz w:val="20"/>
        </w:rPr>
        <w:t xml:space="preserve"> </w:t>
      </w:r>
      <w:r>
        <w:rPr>
          <w:w w:val="95"/>
          <w:sz w:val="20"/>
        </w:rPr>
        <w:t>reliable,</w:t>
      </w:r>
      <w:r>
        <w:rPr>
          <w:spacing w:val="-7"/>
          <w:w w:val="95"/>
          <w:sz w:val="20"/>
        </w:rPr>
        <w:t xml:space="preserve"> </w:t>
      </w:r>
      <w:r>
        <w:rPr>
          <w:w w:val="95"/>
          <w:sz w:val="20"/>
        </w:rPr>
        <w:t xml:space="preserve">efficient </w:t>
      </w:r>
      <w:r>
        <w:rPr>
          <w:sz w:val="20"/>
        </w:rPr>
        <w:t>rail</w:t>
      </w:r>
      <w:r>
        <w:rPr>
          <w:spacing w:val="-9"/>
          <w:sz w:val="20"/>
        </w:rPr>
        <w:t xml:space="preserve"> </w:t>
      </w:r>
      <w:r>
        <w:rPr>
          <w:sz w:val="20"/>
        </w:rPr>
        <w:t>connections</w:t>
      </w:r>
      <w:r>
        <w:rPr>
          <w:spacing w:val="-9"/>
          <w:sz w:val="20"/>
        </w:rPr>
        <w:t xml:space="preserve"> </w:t>
      </w:r>
      <w:r>
        <w:rPr>
          <w:sz w:val="20"/>
        </w:rPr>
        <w:t>between</w:t>
      </w:r>
      <w:r>
        <w:rPr>
          <w:spacing w:val="-9"/>
          <w:sz w:val="20"/>
        </w:rPr>
        <w:t xml:space="preserve"> </w:t>
      </w:r>
      <w:r>
        <w:rPr>
          <w:sz w:val="20"/>
        </w:rPr>
        <w:t>the</w:t>
      </w:r>
      <w:r>
        <w:rPr>
          <w:spacing w:val="-9"/>
          <w:sz w:val="20"/>
        </w:rPr>
        <w:t xml:space="preserve"> </w:t>
      </w:r>
      <w:r>
        <w:rPr>
          <w:sz w:val="20"/>
        </w:rPr>
        <w:t>regions</w:t>
      </w:r>
      <w:r>
        <w:rPr>
          <w:spacing w:val="-9"/>
          <w:sz w:val="20"/>
        </w:rPr>
        <w:t xml:space="preserve"> </w:t>
      </w:r>
      <w:r>
        <w:rPr>
          <w:sz w:val="20"/>
        </w:rPr>
        <w:t>and</w:t>
      </w:r>
      <w:r>
        <w:rPr>
          <w:spacing w:val="-9"/>
          <w:sz w:val="20"/>
        </w:rPr>
        <w:t xml:space="preserve"> </w:t>
      </w:r>
      <w:r>
        <w:rPr>
          <w:sz w:val="20"/>
        </w:rPr>
        <w:t>NSW’s export</w:t>
      </w:r>
      <w:r>
        <w:rPr>
          <w:spacing w:val="-14"/>
          <w:sz w:val="20"/>
        </w:rPr>
        <w:t xml:space="preserve"> </w:t>
      </w:r>
      <w:r>
        <w:rPr>
          <w:sz w:val="20"/>
        </w:rPr>
        <w:t>ports.</w:t>
      </w:r>
      <w:r>
        <w:rPr>
          <w:spacing w:val="-14"/>
          <w:sz w:val="20"/>
        </w:rPr>
        <w:t xml:space="preserve"> </w:t>
      </w:r>
      <w:r>
        <w:rPr>
          <w:sz w:val="20"/>
        </w:rPr>
        <w:t>The</w:t>
      </w:r>
      <w:r>
        <w:rPr>
          <w:spacing w:val="-14"/>
          <w:sz w:val="20"/>
        </w:rPr>
        <w:t xml:space="preserve"> </w:t>
      </w:r>
      <w:r>
        <w:rPr>
          <w:sz w:val="20"/>
        </w:rPr>
        <w:t>Hunter</w:t>
      </w:r>
      <w:r>
        <w:rPr>
          <w:spacing w:val="-14"/>
          <w:sz w:val="20"/>
        </w:rPr>
        <w:t xml:space="preserve"> </w:t>
      </w:r>
      <w:r>
        <w:rPr>
          <w:sz w:val="20"/>
        </w:rPr>
        <w:t>Valley</w:t>
      </w:r>
      <w:r>
        <w:rPr>
          <w:spacing w:val="-14"/>
          <w:sz w:val="20"/>
        </w:rPr>
        <w:t xml:space="preserve"> </w:t>
      </w:r>
      <w:r>
        <w:rPr>
          <w:sz w:val="20"/>
        </w:rPr>
        <w:t>Coal</w:t>
      </w:r>
      <w:r>
        <w:rPr>
          <w:spacing w:val="-14"/>
          <w:sz w:val="20"/>
        </w:rPr>
        <w:t xml:space="preserve"> </w:t>
      </w:r>
      <w:r>
        <w:rPr>
          <w:sz w:val="20"/>
        </w:rPr>
        <w:t>Chain</w:t>
      </w:r>
      <w:r>
        <w:rPr>
          <w:spacing w:val="-14"/>
          <w:sz w:val="20"/>
        </w:rPr>
        <w:t xml:space="preserve"> </w:t>
      </w:r>
      <w:r>
        <w:rPr>
          <w:sz w:val="20"/>
        </w:rPr>
        <w:t>has been</w:t>
      </w:r>
      <w:r>
        <w:rPr>
          <w:spacing w:val="-8"/>
          <w:sz w:val="20"/>
        </w:rPr>
        <w:t xml:space="preserve"> </w:t>
      </w:r>
      <w:r>
        <w:rPr>
          <w:sz w:val="20"/>
        </w:rPr>
        <w:t>a</w:t>
      </w:r>
      <w:r>
        <w:rPr>
          <w:spacing w:val="-8"/>
          <w:sz w:val="20"/>
        </w:rPr>
        <w:t xml:space="preserve"> </w:t>
      </w:r>
      <w:r>
        <w:rPr>
          <w:sz w:val="20"/>
        </w:rPr>
        <w:t>good</w:t>
      </w:r>
      <w:r>
        <w:rPr>
          <w:spacing w:val="-8"/>
          <w:sz w:val="20"/>
        </w:rPr>
        <w:t xml:space="preserve"> </w:t>
      </w:r>
      <w:r>
        <w:rPr>
          <w:sz w:val="20"/>
        </w:rPr>
        <w:t>example</w:t>
      </w:r>
      <w:r>
        <w:rPr>
          <w:spacing w:val="-8"/>
          <w:sz w:val="20"/>
        </w:rPr>
        <w:t xml:space="preserve"> </w:t>
      </w:r>
      <w:r>
        <w:rPr>
          <w:sz w:val="20"/>
        </w:rPr>
        <w:t>of</w:t>
      </w:r>
      <w:r>
        <w:rPr>
          <w:spacing w:val="-8"/>
          <w:sz w:val="20"/>
        </w:rPr>
        <w:t xml:space="preserve"> </w:t>
      </w:r>
      <w:r>
        <w:rPr>
          <w:sz w:val="20"/>
        </w:rPr>
        <w:t>the</w:t>
      </w:r>
      <w:r>
        <w:rPr>
          <w:spacing w:val="-8"/>
          <w:sz w:val="20"/>
        </w:rPr>
        <w:t xml:space="preserve"> </w:t>
      </w:r>
      <w:r>
        <w:rPr>
          <w:sz w:val="20"/>
        </w:rPr>
        <w:t>private</w:t>
      </w:r>
      <w:r>
        <w:rPr>
          <w:spacing w:val="-8"/>
          <w:sz w:val="20"/>
        </w:rPr>
        <w:t xml:space="preserve"> </w:t>
      </w:r>
      <w:r>
        <w:rPr>
          <w:sz w:val="20"/>
        </w:rPr>
        <w:t>and</w:t>
      </w:r>
      <w:r>
        <w:rPr>
          <w:spacing w:val="-8"/>
          <w:sz w:val="20"/>
        </w:rPr>
        <w:t xml:space="preserve"> </w:t>
      </w:r>
      <w:r>
        <w:rPr>
          <w:sz w:val="20"/>
        </w:rPr>
        <w:t xml:space="preserve">public </w:t>
      </w:r>
      <w:r>
        <w:rPr>
          <w:spacing w:val="-2"/>
          <w:sz w:val="20"/>
        </w:rPr>
        <w:t>sector</w:t>
      </w:r>
      <w:r>
        <w:rPr>
          <w:spacing w:val="-10"/>
          <w:sz w:val="20"/>
        </w:rPr>
        <w:t xml:space="preserve"> </w:t>
      </w:r>
      <w:r>
        <w:rPr>
          <w:spacing w:val="-2"/>
          <w:sz w:val="20"/>
        </w:rPr>
        <w:t>working</w:t>
      </w:r>
      <w:r>
        <w:rPr>
          <w:spacing w:val="-10"/>
          <w:sz w:val="20"/>
        </w:rPr>
        <w:t xml:space="preserve"> </w:t>
      </w:r>
      <w:r>
        <w:rPr>
          <w:spacing w:val="-2"/>
          <w:sz w:val="20"/>
        </w:rPr>
        <w:t>together</w:t>
      </w:r>
      <w:r>
        <w:rPr>
          <w:spacing w:val="-10"/>
          <w:sz w:val="20"/>
        </w:rPr>
        <w:t xml:space="preserve"> </w:t>
      </w:r>
      <w:r>
        <w:rPr>
          <w:spacing w:val="-2"/>
          <w:sz w:val="20"/>
        </w:rPr>
        <w:t>to</w:t>
      </w:r>
      <w:r>
        <w:rPr>
          <w:spacing w:val="-10"/>
          <w:sz w:val="20"/>
        </w:rPr>
        <w:t xml:space="preserve"> </w:t>
      </w:r>
      <w:r>
        <w:rPr>
          <w:spacing w:val="-2"/>
          <w:sz w:val="20"/>
        </w:rPr>
        <w:t>achieve</w:t>
      </w:r>
      <w:r>
        <w:rPr>
          <w:spacing w:val="-10"/>
          <w:sz w:val="20"/>
        </w:rPr>
        <w:t xml:space="preserve"> </w:t>
      </w:r>
      <w:r>
        <w:rPr>
          <w:spacing w:val="-2"/>
          <w:sz w:val="20"/>
        </w:rPr>
        <w:t>this.</w:t>
      </w:r>
      <w:r>
        <w:rPr>
          <w:spacing w:val="-10"/>
          <w:sz w:val="20"/>
        </w:rPr>
        <w:t xml:space="preserve"> </w:t>
      </w:r>
      <w:r>
        <w:rPr>
          <w:spacing w:val="-2"/>
          <w:sz w:val="20"/>
        </w:rPr>
        <w:t>This</w:t>
      </w:r>
      <w:r>
        <w:rPr>
          <w:spacing w:val="-10"/>
          <w:sz w:val="20"/>
        </w:rPr>
        <w:t xml:space="preserve"> </w:t>
      </w:r>
      <w:r>
        <w:rPr>
          <w:spacing w:val="-2"/>
          <w:sz w:val="20"/>
        </w:rPr>
        <w:t xml:space="preserve">model </w:t>
      </w:r>
      <w:r>
        <w:rPr>
          <w:sz w:val="20"/>
        </w:rPr>
        <w:t>may</w:t>
      </w:r>
      <w:r>
        <w:rPr>
          <w:spacing w:val="-13"/>
          <w:sz w:val="20"/>
        </w:rPr>
        <w:t xml:space="preserve"> </w:t>
      </w:r>
      <w:r>
        <w:rPr>
          <w:sz w:val="20"/>
        </w:rPr>
        <w:t>be</w:t>
      </w:r>
      <w:r>
        <w:rPr>
          <w:spacing w:val="-13"/>
          <w:sz w:val="20"/>
        </w:rPr>
        <w:t xml:space="preserve"> </w:t>
      </w:r>
      <w:r>
        <w:rPr>
          <w:sz w:val="20"/>
        </w:rPr>
        <w:t>suitable</w:t>
      </w:r>
      <w:r>
        <w:rPr>
          <w:spacing w:val="-13"/>
          <w:sz w:val="20"/>
        </w:rPr>
        <w:t xml:space="preserve"> </w:t>
      </w:r>
      <w:r>
        <w:rPr>
          <w:sz w:val="20"/>
        </w:rPr>
        <w:t>for</w:t>
      </w:r>
      <w:r>
        <w:rPr>
          <w:spacing w:val="-13"/>
          <w:sz w:val="20"/>
        </w:rPr>
        <w:t xml:space="preserve"> </w:t>
      </w:r>
      <w:r>
        <w:rPr>
          <w:sz w:val="20"/>
        </w:rPr>
        <w:t>the</w:t>
      </w:r>
      <w:r>
        <w:rPr>
          <w:spacing w:val="-13"/>
          <w:sz w:val="20"/>
        </w:rPr>
        <w:t xml:space="preserve"> </w:t>
      </w:r>
      <w:r>
        <w:rPr>
          <w:sz w:val="20"/>
        </w:rPr>
        <w:t>rail</w:t>
      </w:r>
      <w:r>
        <w:rPr>
          <w:spacing w:val="-13"/>
          <w:sz w:val="20"/>
        </w:rPr>
        <w:t xml:space="preserve"> </w:t>
      </w:r>
      <w:r>
        <w:rPr>
          <w:sz w:val="20"/>
        </w:rPr>
        <w:t>lines</w:t>
      </w:r>
      <w:r>
        <w:rPr>
          <w:spacing w:val="-13"/>
          <w:sz w:val="20"/>
        </w:rPr>
        <w:t xml:space="preserve"> </w:t>
      </w:r>
      <w:r>
        <w:rPr>
          <w:sz w:val="20"/>
        </w:rPr>
        <w:t>to</w:t>
      </w:r>
      <w:r>
        <w:rPr>
          <w:spacing w:val="-13"/>
          <w:sz w:val="20"/>
        </w:rPr>
        <w:t xml:space="preserve"> </w:t>
      </w:r>
      <w:r>
        <w:rPr>
          <w:sz w:val="20"/>
        </w:rPr>
        <w:t>Port</w:t>
      </w:r>
      <w:r>
        <w:rPr>
          <w:spacing w:val="-13"/>
          <w:sz w:val="20"/>
        </w:rPr>
        <w:t xml:space="preserve"> </w:t>
      </w:r>
      <w:r>
        <w:rPr>
          <w:sz w:val="20"/>
        </w:rPr>
        <w:t>Kembla.</w:t>
      </w:r>
    </w:p>
    <w:p w:rsidR="002C1123" w:rsidRDefault="00F22F94">
      <w:pPr>
        <w:rPr>
          <w:sz w:val="24"/>
        </w:rPr>
      </w:pPr>
      <w:r>
        <w:br w:type="column"/>
      </w:r>
    </w:p>
    <w:p w:rsidR="002C1123" w:rsidRDefault="002C1123">
      <w:pPr>
        <w:pStyle w:val="BodyText"/>
        <w:rPr>
          <w:sz w:val="28"/>
        </w:rPr>
      </w:pPr>
    </w:p>
    <w:p w:rsidR="002C1123" w:rsidRDefault="00F22F94">
      <w:pPr>
        <w:pStyle w:val="ListParagraph"/>
        <w:numPr>
          <w:ilvl w:val="0"/>
          <w:numId w:val="6"/>
        </w:numPr>
        <w:tabs>
          <w:tab w:val="left" w:pos="479"/>
        </w:tabs>
        <w:spacing w:line="249" w:lineRule="auto"/>
        <w:ind w:left="478" w:right="87"/>
        <w:rPr>
          <w:sz w:val="20"/>
        </w:rPr>
      </w:pPr>
      <w:r>
        <w:rPr>
          <w:sz w:val="20"/>
        </w:rPr>
        <w:t>A</w:t>
      </w:r>
      <w:r>
        <w:rPr>
          <w:spacing w:val="-14"/>
          <w:sz w:val="20"/>
        </w:rPr>
        <w:t xml:space="preserve"> </w:t>
      </w:r>
      <w:r>
        <w:rPr>
          <w:sz w:val="20"/>
        </w:rPr>
        <w:t>number</w:t>
      </w:r>
      <w:r>
        <w:rPr>
          <w:spacing w:val="-14"/>
          <w:sz w:val="20"/>
        </w:rPr>
        <w:t xml:space="preserve"> </w:t>
      </w:r>
      <w:r>
        <w:rPr>
          <w:sz w:val="20"/>
        </w:rPr>
        <w:t>of</w:t>
      </w:r>
      <w:r>
        <w:rPr>
          <w:spacing w:val="-14"/>
          <w:sz w:val="20"/>
        </w:rPr>
        <w:t xml:space="preserve"> </w:t>
      </w:r>
      <w:r>
        <w:rPr>
          <w:sz w:val="20"/>
        </w:rPr>
        <w:t>major</w:t>
      </w:r>
      <w:r>
        <w:rPr>
          <w:spacing w:val="-14"/>
          <w:sz w:val="20"/>
        </w:rPr>
        <w:t xml:space="preserve"> </w:t>
      </w:r>
      <w:r>
        <w:rPr>
          <w:sz w:val="20"/>
        </w:rPr>
        <w:t>road</w:t>
      </w:r>
      <w:r>
        <w:rPr>
          <w:spacing w:val="-14"/>
          <w:sz w:val="20"/>
        </w:rPr>
        <w:t xml:space="preserve"> </w:t>
      </w:r>
      <w:r>
        <w:rPr>
          <w:sz w:val="20"/>
        </w:rPr>
        <w:t>programs</w:t>
      </w:r>
      <w:r>
        <w:rPr>
          <w:spacing w:val="-14"/>
          <w:sz w:val="20"/>
        </w:rPr>
        <w:t xml:space="preserve"> </w:t>
      </w:r>
      <w:r>
        <w:rPr>
          <w:sz w:val="20"/>
        </w:rPr>
        <w:t>are</w:t>
      </w:r>
      <w:r>
        <w:rPr>
          <w:spacing w:val="-14"/>
          <w:sz w:val="20"/>
        </w:rPr>
        <w:t xml:space="preserve"> </w:t>
      </w:r>
      <w:r>
        <w:rPr>
          <w:sz w:val="20"/>
        </w:rPr>
        <w:t>underway. These</w:t>
      </w:r>
      <w:r>
        <w:rPr>
          <w:spacing w:val="-12"/>
          <w:sz w:val="20"/>
        </w:rPr>
        <w:t xml:space="preserve"> </w:t>
      </w:r>
      <w:r>
        <w:rPr>
          <w:sz w:val="20"/>
        </w:rPr>
        <w:t>include</w:t>
      </w:r>
      <w:r>
        <w:rPr>
          <w:spacing w:val="-12"/>
          <w:sz w:val="20"/>
        </w:rPr>
        <w:t xml:space="preserve"> </w:t>
      </w:r>
      <w:r>
        <w:rPr>
          <w:sz w:val="20"/>
        </w:rPr>
        <w:t>upgrades</w:t>
      </w:r>
      <w:r>
        <w:rPr>
          <w:spacing w:val="-12"/>
          <w:sz w:val="20"/>
        </w:rPr>
        <w:t xml:space="preserve"> </w:t>
      </w:r>
      <w:r>
        <w:rPr>
          <w:sz w:val="20"/>
        </w:rPr>
        <w:t>to</w:t>
      </w:r>
      <w:r>
        <w:rPr>
          <w:spacing w:val="-12"/>
          <w:sz w:val="20"/>
        </w:rPr>
        <w:t xml:space="preserve"> </w:t>
      </w:r>
      <w:r>
        <w:rPr>
          <w:sz w:val="20"/>
        </w:rPr>
        <w:t>the</w:t>
      </w:r>
      <w:r>
        <w:rPr>
          <w:spacing w:val="-12"/>
          <w:sz w:val="20"/>
        </w:rPr>
        <w:t xml:space="preserve"> </w:t>
      </w:r>
      <w:r>
        <w:rPr>
          <w:sz w:val="20"/>
        </w:rPr>
        <w:t>Pacific</w:t>
      </w:r>
      <w:r>
        <w:rPr>
          <w:spacing w:val="-12"/>
          <w:sz w:val="20"/>
        </w:rPr>
        <w:t xml:space="preserve"> </w:t>
      </w:r>
      <w:r>
        <w:rPr>
          <w:sz w:val="20"/>
        </w:rPr>
        <w:t>Highway and</w:t>
      </w:r>
      <w:r>
        <w:rPr>
          <w:spacing w:val="-13"/>
          <w:sz w:val="20"/>
        </w:rPr>
        <w:t xml:space="preserve"> </w:t>
      </w:r>
      <w:r>
        <w:rPr>
          <w:sz w:val="20"/>
        </w:rPr>
        <w:t>Princes</w:t>
      </w:r>
      <w:r>
        <w:rPr>
          <w:spacing w:val="-13"/>
          <w:sz w:val="20"/>
        </w:rPr>
        <w:t xml:space="preserve"> </w:t>
      </w:r>
      <w:r>
        <w:rPr>
          <w:sz w:val="20"/>
        </w:rPr>
        <w:t>Highway.</w:t>
      </w:r>
      <w:r>
        <w:rPr>
          <w:spacing w:val="-13"/>
          <w:sz w:val="20"/>
        </w:rPr>
        <w:t xml:space="preserve"> </w:t>
      </w:r>
      <w:r>
        <w:rPr>
          <w:sz w:val="20"/>
        </w:rPr>
        <w:t>Getting</w:t>
      </w:r>
      <w:r>
        <w:rPr>
          <w:spacing w:val="-13"/>
          <w:sz w:val="20"/>
        </w:rPr>
        <w:t xml:space="preserve"> </w:t>
      </w:r>
      <w:r>
        <w:rPr>
          <w:sz w:val="20"/>
        </w:rPr>
        <w:t>the</w:t>
      </w:r>
      <w:r>
        <w:rPr>
          <w:spacing w:val="-13"/>
          <w:sz w:val="20"/>
        </w:rPr>
        <w:t xml:space="preserve"> </w:t>
      </w:r>
      <w:r>
        <w:rPr>
          <w:sz w:val="20"/>
        </w:rPr>
        <w:t>best</w:t>
      </w:r>
      <w:r>
        <w:rPr>
          <w:spacing w:val="-13"/>
          <w:sz w:val="20"/>
        </w:rPr>
        <w:t xml:space="preserve"> </w:t>
      </w:r>
      <w:r>
        <w:rPr>
          <w:sz w:val="20"/>
        </w:rPr>
        <w:t>value</w:t>
      </w:r>
      <w:r>
        <w:rPr>
          <w:spacing w:val="-13"/>
          <w:sz w:val="20"/>
        </w:rPr>
        <w:t xml:space="preserve"> </w:t>
      </w:r>
      <w:r>
        <w:rPr>
          <w:sz w:val="20"/>
        </w:rPr>
        <w:t xml:space="preserve">for </w:t>
      </w:r>
      <w:r>
        <w:rPr>
          <w:w w:val="95"/>
          <w:sz w:val="20"/>
        </w:rPr>
        <w:t>these</w:t>
      </w:r>
      <w:r>
        <w:rPr>
          <w:spacing w:val="-11"/>
          <w:w w:val="95"/>
          <w:sz w:val="20"/>
        </w:rPr>
        <w:t xml:space="preserve"> </w:t>
      </w:r>
      <w:r>
        <w:rPr>
          <w:w w:val="95"/>
          <w:sz w:val="20"/>
        </w:rPr>
        <w:t>major</w:t>
      </w:r>
      <w:r>
        <w:rPr>
          <w:spacing w:val="-11"/>
          <w:w w:val="95"/>
          <w:sz w:val="20"/>
        </w:rPr>
        <w:t xml:space="preserve"> </w:t>
      </w:r>
      <w:r>
        <w:rPr>
          <w:w w:val="95"/>
          <w:sz w:val="20"/>
        </w:rPr>
        <w:t>investments</w:t>
      </w:r>
      <w:r>
        <w:rPr>
          <w:spacing w:val="-11"/>
          <w:w w:val="95"/>
          <w:sz w:val="20"/>
        </w:rPr>
        <w:t xml:space="preserve"> </w:t>
      </w:r>
      <w:r>
        <w:rPr>
          <w:w w:val="95"/>
          <w:sz w:val="20"/>
        </w:rPr>
        <w:t>is</w:t>
      </w:r>
      <w:r>
        <w:rPr>
          <w:spacing w:val="-11"/>
          <w:w w:val="95"/>
          <w:sz w:val="20"/>
        </w:rPr>
        <w:t xml:space="preserve"> </w:t>
      </w:r>
      <w:r>
        <w:rPr>
          <w:w w:val="95"/>
          <w:sz w:val="20"/>
        </w:rPr>
        <w:t>essential.</w:t>
      </w:r>
      <w:r>
        <w:rPr>
          <w:spacing w:val="-11"/>
          <w:w w:val="95"/>
          <w:sz w:val="20"/>
        </w:rPr>
        <w:t xml:space="preserve"> </w:t>
      </w:r>
      <w:r>
        <w:rPr>
          <w:w w:val="95"/>
          <w:sz w:val="20"/>
        </w:rPr>
        <w:t xml:space="preserve">Infrastructure </w:t>
      </w:r>
      <w:r>
        <w:rPr>
          <w:sz w:val="20"/>
        </w:rPr>
        <w:t>NSW</w:t>
      </w:r>
      <w:r>
        <w:rPr>
          <w:spacing w:val="-7"/>
          <w:sz w:val="20"/>
        </w:rPr>
        <w:t xml:space="preserve"> </w:t>
      </w:r>
      <w:r>
        <w:rPr>
          <w:sz w:val="20"/>
        </w:rPr>
        <w:t>is</w:t>
      </w:r>
      <w:r>
        <w:rPr>
          <w:spacing w:val="-7"/>
          <w:sz w:val="20"/>
        </w:rPr>
        <w:t xml:space="preserve"> </w:t>
      </w:r>
      <w:r>
        <w:rPr>
          <w:sz w:val="20"/>
        </w:rPr>
        <w:t>concerned</w:t>
      </w:r>
      <w:r>
        <w:rPr>
          <w:spacing w:val="-7"/>
          <w:sz w:val="20"/>
        </w:rPr>
        <w:t xml:space="preserve"> </w:t>
      </w:r>
      <w:r>
        <w:rPr>
          <w:sz w:val="20"/>
        </w:rPr>
        <w:t>that</w:t>
      </w:r>
      <w:r>
        <w:rPr>
          <w:spacing w:val="-7"/>
          <w:sz w:val="20"/>
        </w:rPr>
        <w:t xml:space="preserve"> </w:t>
      </w:r>
      <w:r>
        <w:rPr>
          <w:sz w:val="20"/>
        </w:rPr>
        <w:t>cost</w:t>
      </w:r>
      <w:r>
        <w:rPr>
          <w:spacing w:val="-7"/>
          <w:sz w:val="20"/>
        </w:rPr>
        <w:t xml:space="preserve"> </w:t>
      </w:r>
      <w:r>
        <w:rPr>
          <w:sz w:val="20"/>
        </w:rPr>
        <w:t>estimates</w:t>
      </w:r>
      <w:r>
        <w:rPr>
          <w:spacing w:val="-7"/>
          <w:sz w:val="20"/>
        </w:rPr>
        <w:t xml:space="preserve"> </w:t>
      </w:r>
      <w:r>
        <w:rPr>
          <w:sz w:val="20"/>
        </w:rPr>
        <w:t>for</w:t>
      </w:r>
      <w:r>
        <w:rPr>
          <w:spacing w:val="-7"/>
          <w:sz w:val="20"/>
        </w:rPr>
        <w:t xml:space="preserve"> </w:t>
      </w:r>
      <w:r>
        <w:rPr>
          <w:sz w:val="20"/>
        </w:rPr>
        <w:t>these programs appear very high.</w:t>
      </w:r>
    </w:p>
    <w:p w:rsidR="002C1123" w:rsidRDefault="00F22F94">
      <w:pPr>
        <w:pStyle w:val="ListParagraph"/>
        <w:numPr>
          <w:ilvl w:val="0"/>
          <w:numId w:val="6"/>
        </w:numPr>
        <w:tabs>
          <w:tab w:val="left" w:pos="479"/>
        </w:tabs>
        <w:spacing w:before="133" w:line="249" w:lineRule="auto"/>
        <w:ind w:left="478" w:right="35"/>
        <w:rPr>
          <w:sz w:val="20"/>
        </w:rPr>
      </w:pPr>
      <w:r>
        <w:rPr>
          <w:sz w:val="20"/>
        </w:rPr>
        <w:t>Unlocking</w:t>
      </w:r>
      <w:r>
        <w:rPr>
          <w:spacing w:val="-9"/>
          <w:sz w:val="20"/>
        </w:rPr>
        <w:t xml:space="preserve"> </w:t>
      </w:r>
      <w:r>
        <w:rPr>
          <w:sz w:val="20"/>
        </w:rPr>
        <w:t>the</w:t>
      </w:r>
      <w:r>
        <w:rPr>
          <w:spacing w:val="-9"/>
          <w:sz w:val="20"/>
        </w:rPr>
        <w:t xml:space="preserve"> </w:t>
      </w:r>
      <w:r>
        <w:rPr>
          <w:sz w:val="20"/>
        </w:rPr>
        <w:t>key</w:t>
      </w:r>
      <w:r>
        <w:rPr>
          <w:spacing w:val="-9"/>
          <w:sz w:val="20"/>
        </w:rPr>
        <w:t xml:space="preserve"> </w:t>
      </w:r>
      <w:r>
        <w:rPr>
          <w:sz w:val="20"/>
        </w:rPr>
        <w:t>constraints</w:t>
      </w:r>
      <w:r>
        <w:rPr>
          <w:spacing w:val="-9"/>
          <w:sz w:val="20"/>
        </w:rPr>
        <w:t xml:space="preserve"> </w:t>
      </w:r>
      <w:r>
        <w:rPr>
          <w:sz w:val="20"/>
        </w:rPr>
        <w:t>along</w:t>
      </w:r>
      <w:r>
        <w:rPr>
          <w:spacing w:val="-9"/>
          <w:sz w:val="20"/>
        </w:rPr>
        <w:t xml:space="preserve"> </w:t>
      </w:r>
      <w:r>
        <w:rPr>
          <w:sz w:val="20"/>
        </w:rPr>
        <w:t>the</w:t>
      </w:r>
      <w:r>
        <w:rPr>
          <w:spacing w:val="-9"/>
          <w:sz w:val="20"/>
        </w:rPr>
        <w:t xml:space="preserve"> </w:t>
      </w:r>
      <w:r>
        <w:rPr>
          <w:sz w:val="20"/>
        </w:rPr>
        <w:t>road</w:t>
      </w:r>
      <w:r>
        <w:rPr>
          <w:spacing w:val="-9"/>
          <w:sz w:val="20"/>
        </w:rPr>
        <w:t xml:space="preserve"> </w:t>
      </w:r>
      <w:r>
        <w:rPr>
          <w:sz w:val="20"/>
        </w:rPr>
        <w:t xml:space="preserve">and </w:t>
      </w:r>
      <w:r>
        <w:rPr>
          <w:w w:val="95"/>
          <w:sz w:val="20"/>
        </w:rPr>
        <w:t xml:space="preserve">rail networks that limit freight movements are likely </w:t>
      </w:r>
      <w:r>
        <w:rPr>
          <w:sz w:val="20"/>
        </w:rPr>
        <w:t>to</w:t>
      </w:r>
      <w:r>
        <w:rPr>
          <w:spacing w:val="-10"/>
          <w:sz w:val="20"/>
        </w:rPr>
        <w:t xml:space="preserve"> </w:t>
      </w:r>
      <w:r>
        <w:rPr>
          <w:sz w:val="20"/>
        </w:rPr>
        <w:t>have</w:t>
      </w:r>
      <w:r>
        <w:rPr>
          <w:spacing w:val="-10"/>
          <w:sz w:val="20"/>
        </w:rPr>
        <w:t xml:space="preserve"> </w:t>
      </w:r>
      <w:r>
        <w:rPr>
          <w:sz w:val="20"/>
        </w:rPr>
        <w:t>some</w:t>
      </w:r>
      <w:r>
        <w:rPr>
          <w:spacing w:val="-10"/>
          <w:sz w:val="20"/>
        </w:rPr>
        <w:t xml:space="preserve"> </w:t>
      </w:r>
      <w:r>
        <w:rPr>
          <w:sz w:val="20"/>
        </w:rPr>
        <w:t>of</w:t>
      </w:r>
      <w:r>
        <w:rPr>
          <w:spacing w:val="-10"/>
          <w:sz w:val="20"/>
        </w:rPr>
        <w:t xml:space="preserve"> </w:t>
      </w:r>
      <w:r>
        <w:rPr>
          <w:sz w:val="20"/>
        </w:rPr>
        <w:t>the</w:t>
      </w:r>
      <w:r>
        <w:rPr>
          <w:spacing w:val="-10"/>
          <w:sz w:val="20"/>
        </w:rPr>
        <w:t xml:space="preserve"> </w:t>
      </w:r>
      <w:r>
        <w:rPr>
          <w:sz w:val="20"/>
        </w:rPr>
        <w:t>highest</w:t>
      </w:r>
      <w:r>
        <w:rPr>
          <w:spacing w:val="-10"/>
          <w:sz w:val="20"/>
        </w:rPr>
        <w:t xml:space="preserve"> </w:t>
      </w:r>
      <w:r>
        <w:rPr>
          <w:sz w:val="20"/>
        </w:rPr>
        <w:t>economic</w:t>
      </w:r>
      <w:r>
        <w:rPr>
          <w:spacing w:val="-10"/>
          <w:sz w:val="20"/>
        </w:rPr>
        <w:t xml:space="preserve"> </w:t>
      </w:r>
      <w:r>
        <w:rPr>
          <w:sz w:val="20"/>
        </w:rPr>
        <w:t>benefits</w:t>
      </w:r>
      <w:r>
        <w:rPr>
          <w:spacing w:val="-10"/>
          <w:sz w:val="20"/>
        </w:rPr>
        <w:t xml:space="preserve"> </w:t>
      </w:r>
      <w:r>
        <w:rPr>
          <w:sz w:val="20"/>
        </w:rPr>
        <w:t xml:space="preserve">in </w:t>
      </w:r>
      <w:r>
        <w:rPr>
          <w:w w:val="95"/>
          <w:sz w:val="20"/>
        </w:rPr>
        <w:t>the</w:t>
      </w:r>
      <w:r>
        <w:rPr>
          <w:spacing w:val="-1"/>
          <w:w w:val="95"/>
          <w:sz w:val="20"/>
        </w:rPr>
        <w:t xml:space="preserve"> </w:t>
      </w:r>
      <w:r>
        <w:rPr>
          <w:w w:val="95"/>
          <w:sz w:val="20"/>
        </w:rPr>
        <w:t>regions.</w:t>
      </w:r>
      <w:r>
        <w:rPr>
          <w:spacing w:val="-1"/>
          <w:w w:val="95"/>
          <w:sz w:val="20"/>
        </w:rPr>
        <w:t xml:space="preserve"> </w:t>
      </w:r>
      <w:r>
        <w:rPr>
          <w:w w:val="95"/>
          <w:sz w:val="20"/>
        </w:rPr>
        <w:t>This</w:t>
      </w:r>
      <w:r>
        <w:rPr>
          <w:spacing w:val="-1"/>
          <w:w w:val="95"/>
          <w:sz w:val="20"/>
        </w:rPr>
        <w:t xml:space="preserve"> </w:t>
      </w:r>
      <w:r>
        <w:rPr>
          <w:w w:val="95"/>
          <w:sz w:val="20"/>
        </w:rPr>
        <w:t>includes</w:t>
      </w:r>
      <w:r>
        <w:rPr>
          <w:spacing w:val="-1"/>
          <w:w w:val="95"/>
          <w:sz w:val="20"/>
        </w:rPr>
        <w:t xml:space="preserve"> </w:t>
      </w:r>
      <w:r>
        <w:rPr>
          <w:w w:val="95"/>
          <w:sz w:val="20"/>
        </w:rPr>
        <w:t>upgrading</w:t>
      </w:r>
      <w:r>
        <w:rPr>
          <w:spacing w:val="-1"/>
          <w:w w:val="95"/>
          <w:sz w:val="20"/>
        </w:rPr>
        <w:t xml:space="preserve"> </w:t>
      </w:r>
      <w:r>
        <w:rPr>
          <w:w w:val="95"/>
          <w:sz w:val="20"/>
        </w:rPr>
        <w:t xml:space="preserve">understrength </w:t>
      </w:r>
      <w:r>
        <w:rPr>
          <w:sz w:val="20"/>
        </w:rPr>
        <w:t>road</w:t>
      </w:r>
      <w:r>
        <w:rPr>
          <w:spacing w:val="-6"/>
          <w:sz w:val="20"/>
        </w:rPr>
        <w:t xml:space="preserve"> </w:t>
      </w:r>
      <w:r>
        <w:rPr>
          <w:sz w:val="20"/>
        </w:rPr>
        <w:t>bridges,</w:t>
      </w:r>
      <w:r>
        <w:rPr>
          <w:spacing w:val="-6"/>
          <w:sz w:val="20"/>
        </w:rPr>
        <w:t xml:space="preserve"> </w:t>
      </w:r>
      <w:r>
        <w:rPr>
          <w:sz w:val="20"/>
        </w:rPr>
        <w:t>providing</w:t>
      </w:r>
      <w:r>
        <w:rPr>
          <w:spacing w:val="-6"/>
          <w:sz w:val="20"/>
        </w:rPr>
        <w:t xml:space="preserve"> </w:t>
      </w:r>
      <w:r>
        <w:rPr>
          <w:sz w:val="20"/>
        </w:rPr>
        <w:t>rail</w:t>
      </w:r>
      <w:r>
        <w:rPr>
          <w:spacing w:val="-6"/>
          <w:sz w:val="20"/>
        </w:rPr>
        <w:t xml:space="preserve"> </w:t>
      </w:r>
      <w:r>
        <w:rPr>
          <w:sz w:val="20"/>
        </w:rPr>
        <w:t>passing</w:t>
      </w:r>
      <w:r>
        <w:rPr>
          <w:spacing w:val="-6"/>
          <w:sz w:val="20"/>
        </w:rPr>
        <w:t xml:space="preserve"> </w:t>
      </w:r>
      <w:r>
        <w:rPr>
          <w:sz w:val="20"/>
        </w:rPr>
        <w:t>loops</w:t>
      </w:r>
      <w:r>
        <w:rPr>
          <w:spacing w:val="-6"/>
          <w:sz w:val="20"/>
        </w:rPr>
        <w:t xml:space="preserve"> </w:t>
      </w:r>
      <w:r>
        <w:rPr>
          <w:sz w:val="20"/>
        </w:rPr>
        <w:t>and ensuring</w:t>
      </w:r>
      <w:r>
        <w:rPr>
          <w:spacing w:val="-14"/>
          <w:sz w:val="20"/>
        </w:rPr>
        <w:t xml:space="preserve"> </w:t>
      </w:r>
      <w:r>
        <w:rPr>
          <w:sz w:val="20"/>
        </w:rPr>
        <w:t>roads</w:t>
      </w:r>
      <w:r>
        <w:rPr>
          <w:spacing w:val="-14"/>
          <w:sz w:val="20"/>
        </w:rPr>
        <w:t xml:space="preserve"> </w:t>
      </w:r>
      <w:r>
        <w:rPr>
          <w:sz w:val="20"/>
        </w:rPr>
        <w:t>and</w:t>
      </w:r>
      <w:r>
        <w:rPr>
          <w:spacing w:val="-14"/>
          <w:sz w:val="20"/>
        </w:rPr>
        <w:t xml:space="preserve"> </w:t>
      </w:r>
      <w:r>
        <w:rPr>
          <w:sz w:val="20"/>
        </w:rPr>
        <w:t>rail</w:t>
      </w:r>
      <w:r>
        <w:rPr>
          <w:spacing w:val="-14"/>
          <w:sz w:val="20"/>
        </w:rPr>
        <w:t xml:space="preserve"> </w:t>
      </w:r>
      <w:r>
        <w:rPr>
          <w:sz w:val="20"/>
        </w:rPr>
        <w:t>lines</w:t>
      </w:r>
      <w:r>
        <w:rPr>
          <w:spacing w:val="-14"/>
          <w:sz w:val="20"/>
        </w:rPr>
        <w:t xml:space="preserve"> </w:t>
      </w:r>
      <w:r>
        <w:rPr>
          <w:sz w:val="20"/>
        </w:rPr>
        <w:t>are</w:t>
      </w:r>
      <w:r>
        <w:rPr>
          <w:spacing w:val="-14"/>
          <w:sz w:val="20"/>
        </w:rPr>
        <w:t xml:space="preserve"> </w:t>
      </w:r>
      <w:r>
        <w:rPr>
          <w:sz w:val="20"/>
        </w:rPr>
        <w:t>well-maintained and effectively managed.</w:t>
      </w:r>
    </w:p>
    <w:p w:rsidR="002C1123" w:rsidRDefault="00F22F94">
      <w:pPr>
        <w:pStyle w:val="ListParagraph"/>
        <w:numPr>
          <w:ilvl w:val="0"/>
          <w:numId w:val="6"/>
        </w:numPr>
        <w:tabs>
          <w:tab w:val="left" w:pos="479"/>
        </w:tabs>
        <w:spacing w:before="135" w:line="249" w:lineRule="auto"/>
        <w:ind w:left="478" w:right="39"/>
        <w:rPr>
          <w:sz w:val="20"/>
        </w:rPr>
      </w:pPr>
      <w:r>
        <w:rPr>
          <w:sz w:val="20"/>
        </w:rPr>
        <w:t>Incremental</w:t>
      </w:r>
      <w:r>
        <w:rPr>
          <w:spacing w:val="-14"/>
          <w:sz w:val="20"/>
        </w:rPr>
        <w:t xml:space="preserve"> </w:t>
      </w:r>
      <w:r>
        <w:rPr>
          <w:sz w:val="20"/>
        </w:rPr>
        <w:t>measures</w:t>
      </w:r>
      <w:r>
        <w:rPr>
          <w:spacing w:val="-14"/>
          <w:sz w:val="20"/>
        </w:rPr>
        <w:t xml:space="preserve"> </w:t>
      </w:r>
      <w:r>
        <w:rPr>
          <w:sz w:val="20"/>
        </w:rPr>
        <w:t>to</w:t>
      </w:r>
      <w:r>
        <w:rPr>
          <w:spacing w:val="-14"/>
          <w:sz w:val="20"/>
        </w:rPr>
        <w:t xml:space="preserve"> </w:t>
      </w:r>
      <w:r>
        <w:rPr>
          <w:sz w:val="20"/>
        </w:rPr>
        <w:t>relieve</w:t>
      </w:r>
      <w:r>
        <w:rPr>
          <w:spacing w:val="-14"/>
          <w:sz w:val="20"/>
        </w:rPr>
        <w:t xml:space="preserve"> </w:t>
      </w:r>
      <w:r>
        <w:rPr>
          <w:sz w:val="20"/>
        </w:rPr>
        <w:t>pinch</w:t>
      </w:r>
      <w:r>
        <w:rPr>
          <w:spacing w:val="-14"/>
          <w:sz w:val="20"/>
        </w:rPr>
        <w:t xml:space="preserve"> </w:t>
      </w:r>
      <w:r>
        <w:rPr>
          <w:sz w:val="20"/>
        </w:rPr>
        <w:t>points</w:t>
      </w:r>
      <w:r>
        <w:rPr>
          <w:spacing w:val="-14"/>
          <w:sz w:val="20"/>
        </w:rPr>
        <w:t xml:space="preserve"> </w:t>
      </w:r>
      <w:r>
        <w:rPr>
          <w:sz w:val="20"/>
        </w:rPr>
        <w:t xml:space="preserve">are </w:t>
      </w:r>
      <w:r>
        <w:rPr>
          <w:w w:val="95"/>
          <w:sz w:val="20"/>
        </w:rPr>
        <w:t xml:space="preserve">recommended over new major ‘single’ investments </w:t>
      </w:r>
      <w:r>
        <w:rPr>
          <w:sz w:val="20"/>
        </w:rPr>
        <w:t>such</w:t>
      </w:r>
      <w:r>
        <w:rPr>
          <w:spacing w:val="-8"/>
          <w:sz w:val="20"/>
        </w:rPr>
        <w:t xml:space="preserve"> </w:t>
      </w:r>
      <w:r>
        <w:rPr>
          <w:sz w:val="20"/>
        </w:rPr>
        <w:t>as</w:t>
      </w:r>
      <w:r>
        <w:rPr>
          <w:spacing w:val="-8"/>
          <w:sz w:val="20"/>
        </w:rPr>
        <w:t xml:space="preserve"> </w:t>
      </w:r>
      <w:r>
        <w:rPr>
          <w:sz w:val="20"/>
        </w:rPr>
        <w:t>the</w:t>
      </w:r>
      <w:r>
        <w:rPr>
          <w:spacing w:val="-8"/>
          <w:sz w:val="20"/>
        </w:rPr>
        <w:t xml:space="preserve"> </w:t>
      </w:r>
      <w:r>
        <w:rPr>
          <w:sz w:val="20"/>
        </w:rPr>
        <w:t>proposed</w:t>
      </w:r>
      <w:r>
        <w:rPr>
          <w:spacing w:val="-8"/>
          <w:sz w:val="20"/>
        </w:rPr>
        <w:t xml:space="preserve"> </w:t>
      </w:r>
      <w:r>
        <w:rPr>
          <w:sz w:val="20"/>
        </w:rPr>
        <w:t>high</w:t>
      </w:r>
      <w:r>
        <w:rPr>
          <w:spacing w:val="-8"/>
          <w:sz w:val="20"/>
        </w:rPr>
        <w:t xml:space="preserve"> </w:t>
      </w:r>
      <w:r>
        <w:rPr>
          <w:sz w:val="20"/>
        </w:rPr>
        <w:t>speed</w:t>
      </w:r>
      <w:r>
        <w:rPr>
          <w:spacing w:val="-8"/>
          <w:sz w:val="20"/>
        </w:rPr>
        <w:t xml:space="preserve"> </w:t>
      </w:r>
      <w:r>
        <w:rPr>
          <w:sz w:val="20"/>
        </w:rPr>
        <w:t>rail</w:t>
      </w:r>
      <w:r>
        <w:rPr>
          <w:spacing w:val="-8"/>
          <w:sz w:val="20"/>
        </w:rPr>
        <w:t xml:space="preserve"> </w:t>
      </w:r>
      <w:r>
        <w:rPr>
          <w:sz w:val="20"/>
        </w:rPr>
        <w:t>and</w:t>
      </w:r>
      <w:r>
        <w:rPr>
          <w:spacing w:val="-8"/>
          <w:sz w:val="20"/>
        </w:rPr>
        <w:t xml:space="preserve"> </w:t>
      </w:r>
      <w:r>
        <w:rPr>
          <w:sz w:val="20"/>
        </w:rPr>
        <w:t>inland rail</w:t>
      </w:r>
      <w:r>
        <w:rPr>
          <w:spacing w:val="-3"/>
          <w:sz w:val="20"/>
        </w:rPr>
        <w:t xml:space="preserve"> </w:t>
      </w:r>
      <w:r>
        <w:rPr>
          <w:sz w:val="20"/>
        </w:rPr>
        <w:t>projects</w:t>
      </w:r>
      <w:r>
        <w:rPr>
          <w:spacing w:val="-3"/>
          <w:sz w:val="20"/>
        </w:rPr>
        <w:t xml:space="preserve"> </w:t>
      </w:r>
      <w:r>
        <w:rPr>
          <w:sz w:val="20"/>
        </w:rPr>
        <w:t>although</w:t>
      </w:r>
      <w:r>
        <w:rPr>
          <w:spacing w:val="-3"/>
          <w:sz w:val="20"/>
        </w:rPr>
        <w:t xml:space="preserve"> </w:t>
      </w:r>
      <w:r>
        <w:rPr>
          <w:sz w:val="20"/>
        </w:rPr>
        <w:t>corridor</w:t>
      </w:r>
      <w:r>
        <w:rPr>
          <w:spacing w:val="-3"/>
          <w:sz w:val="20"/>
        </w:rPr>
        <w:t xml:space="preserve"> </w:t>
      </w:r>
      <w:r>
        <w:rPr>
          <w:sz w:val="20"/>
        </w:rPr>
        <w:t>preservation</w:t>
      </w:r>
    </w:p>
    <w:p w:rsidR="002C1123" w:rsidRDefault="00F22F94">
      <w:pPr>
        <w:pStyle w:val="BodyText"/>
        <w:spacing w:before="3" w:line="249" w:lineRule="auto"/>
        <w:ind w:left="478" w:right="373"/>
      </w:pPr>
      <w:r>
        <w:rPr>
          <w:w w:val="95"/>
        </w:rPr>
        <w:t>is</w:t>
      </w:r>
      <w:r>
        <w:rPr>
          <w:spacing w:val="-2"/>
          <w:w w:val="95"/>
        </w:rPr>
        <w:t xml:space="preserve"> </w:t>
      </w:r>
      <w:r>
        <w:rPr>
          <w:w w:val="95"/>
        </w:rPr>
        <w:t>recommended</w:t>
      </w:r>
      <w:r>
        <w:rPr>
          <w:spacing w:val="-2"/>
          <w:w w:val="95"/>
        </w:rPr>
        <w:t xml:space="preserve"> </w:t>
      </w:r>
      <w:r>
        <w:rPr>
          <w:w w:val="95"/>
        </w:rPr>
        <w:t>to</w:t>
      </w:r>
      <w:r>
        <w:rPr>
          <w:spacing w:val="-2"/>
          <w:w w:val="95"/>
        </w:rPr>
        <w:t xml:space="preserve"> </w:t>
      </w:r>
      <w:r>
        <w:rPr>
          <w:w w:val="95"/>
        </w:rPr>
        <w:t>preserve</w:t>
      </w:r>
      <w:r>
        <w:rPr>
          <w:spacing w:val="-2"/>
          <w:w w:val="95"/>
        </w:rPr>
        <w:t xml:space="preserve"> </w:t>
      </w:r>
      <w:r>
        <w:rPr>
          <w:w w:val="95"/>
        </w:rPr>
        <w:t>optionality</w:t>
      </w:r>
      <w:r>
        <w:rPr>
          <w:spacing w:val="-2"/>
          <w:w w:val="95"/>
        </w:rPr>
        <w:t xml:space="preserve"> </w:t>
      </w:r>
      <w:r>
        <w:rPr>
          <w:w w:val="95"/>
        </w:rPr>
        <w:t xml:space="preserve">in </w:t>
      </w:r>
      <w:r>
        <w:t>some</w:t>
      </w:r>
      <w:r>
        <w:rPr>
          <w:spacing w:val="-11"/>
        </w:rPr>
        <w:t xml:space="preserve"> </w:t>
      </w:r>
      <w:r>
        <w:t>cases.</w:t>
      </w:r>
    </w:p>
    <w:p w:rsidR="002C1123" w:rsidRDefault="00F22F94">
      <w:pPr>
        <w:pStyle w:val="ListParagraph"/>
        <w:numPr>
          <w:ilvl w:val="0"/>
          <w:numId w:val="6"/>
        </w:numPr>
        <w:tabs>
          <w:tab w:val="left" w:pos="479"/>
        </w:tabs>
        <w:spacing w:before="131" w:line="249" w:lineRule="auto"/>
        <w:ind w:left="478"/>
        <w:rPr>
          <w:sz w:val="20"/>
        </w:rPr>
      </w:pPr>
      <w:r>
        <w:rPr>
          <w:w w:val="95"/>
          <w:sz w:val="20"/>
        </w:rPr>
        <w:t>Growing</w:t>
      </w:r>
      <w:r>
        <w:rPr>
          <w:spacing w:val="-1"/>
          <w:w w:val="95"/>
          <w:sz w:val="20"/>
        </w:rPr>
        <w:t xml:space="preserve"> </w:t>
      </w:r>
      <w:r>
        <w:rPr>
          <w:w w:val="95"/>
          <w:sz w:val="20"/>
        </w:rPr>
        <w:t>freight</w:t>
      </w:r>
      <w:r>
        <w:rPr>
          <w:spacing w:val="-1"/>
          <w:w w:val="95"/>
          <w:sz w:val="20"/>
        </w:rPr>
        <w:t xml:space="preserve"> </w:t>
      </w:r>
      <w:r>
        <w:rPr>
          <w:w w:val="95"/>
          <w:sz w:val="20"/>
        </w:rPr>
        <w:t>movements</w:t>
      </w:r>
      <w:r>
        <w:rPr>
          <w:spacing w:val="-1"/>
          <w:w w:val="95"/>
          <w:sz w:val="20"/>
        </w:rPr>
        <w:t xml:space="preserve"> </w:t>
      </w:r>
      <w:r>
        <w:rPr>
          <w:w w:val="95"/>
          <w:sz w:val="20"/>
        </w:rPr>
        <w:t>bring</w:t>
      </w:r>
      <w:r>
        <w:rPr>
          <w:spacing w:val="-1"/>
          <w:w w:val="95"/>
          <w:sz w:val="20"/>
        </w:rPr>
        <w:t xml:space="preserve"> </w:t>
      </w:r>
      <w:r>
        <w:rPr>
          <w:w w:val="95"/>
          <w:sz w:val="20"/>
        </w:rPr>
        <w:t>both</w:t>
      </w:r>
      <w:r>
        <w:rPr>
          <w:spacing w:val="-1"/>
          <w:w w:val="95"/>
          <w:sz w:val="20"/>
        </w:rPr>
        <w:t xml:space="preserve"> </w:t>
      </w:r>
      <w:r>
        <w:rPr>
          <w:w w:val="95"/>
          <w:sz w:val="20"/>
        </w:rPr>
        <w:t>benefits</w:t>
      </w:r>
      <w:r>
        <w:rPr>
          <w:spacing w:val="-1"/>
          <w:w w:val="95"/>
          <w:sz w:val="20"/>
        </w:rPr>
        <w:t xml:space="preserve"> </w:t>
      </w:r>
      <w:r>
        <w:rPr>
          <w:w w:val="95"/>
          <w:sz w:val="20"/>
        </w:rPr>
        <w:t xml:space="preserve">and </w:t>
      </w:r>
      <w:r>
        <w:rPr>
          <w:sz w:val="20"/>
        </w:rPr>
        <w:t>challenges</w:t>
      </w:r>
      <w:r>
        <w:rPr>
          <w:spacing w:val="-10"/>
          <w:sz w:val="20"/>
        </w:rPr>
        <w:t xml:space="preserve"> </w:t>
      </w:r>
      <w:r>
        <w:rPr>
          <w:sz w:val="20"/>
        </w:rPr>
        <w:t>to</w:t>
      </w:r>
      <w:r>
        <w:rPr>
          <w:spacing w:val="-10"/>
          <w:sz w:val="20"/>
        </w:rPr>
        <w:t xml:space="preserve"> </w:t>
      </w:r>
      <w:r>
        <w:rPr>
          <w:sz w:val="20"/>
        </w:rPr>
        <w:t>local</w:t>
      </w:r>
      <w:r>
        <w:rPr>
          <w:spacing w:val="-10"/>
          <w:sz w:val="20"/>
        </w:rPr>
        <w:t xml:space="preserve"> </w:t>
      </w:r>
      <w:r>
        <w:rPr>
          <w:sz w:val="20"/>
        </w:rPr>
        <w:t>communities.</w:t>
      </w:r>
      <w:r>
        <w:rPr>
          <w:spacing w:val="-10"/>
          <w:sz w:val="20"/>
        </w:rPr>
        <w:t xml:space="preserve"> </w:t>
      </w:r>
      <w:r>
        <w:rPr>
          <w:sz w:val="20"/>
        </w:rPr>
        <w:t>The</w:t>
      </w:r>
      <w:r>
        <w:rPr>
          <w:spacing w:val="-10"/>
          <w:sz w:val="20"/>
        </w:rPr>
        <w:t xml:space="preserve"> </w:t>
      </w:r>
      <w:r>
        <w:rPr>
          <w:sz w:val="20"/>
        </w:rPr>
        <w:t>local</w:t>
      </w:r>
      <w:r>
        <w:rPr>
          <w:spacing w:val="-10"/>
          <w:sz w:val="20"/>
        </w:rPr>
        <w:t xml:space="preserve"> </w:t>
      </w:r>
      <w:r>
        <w:rPr>
          <w:sz w:val="20"/>
        </w:rPr>
        <w:t xml:space="preserve">road </w:t>
      </w:r>
      <w:r>
        <w:rPr>
          <w:w w:val="95"/>
          <w:sz w:val="20"/>
        </w:rPr>
        <w:t xml:space="preserve">and rail infrastructure of communities in coal areas </w:t>
      </w:r>
      <w:r>
        <w:rPr>
          <w:sz w:val="20"/>
        </w:rPr>
        <w:t>or</w:t>
      </w:r>
      <w:r>
        <w:rPr>
          <w:spacing w:val="-14"/>
          <w:sz w:val="20"/>
        </w:rPr>
        <w:t xml:space="preserve"> </w:t>
      </w:r>
      <w:r>
        <w:rPr>
          <w:sz w:val="20"/>
        </w:rPr>
        <w:t>along</w:t>
      </w:r>
      <w:r>
        <w:rPr>
          <w:spacing w:val="-14"/>
          <w:sz w:val="20"/>
        </w:rPr>
        <w:t xml:space="preserve"> </w:t>
      </w:r>
      <w:r>
        <w:rPr>
          <w:sz w:val="20"/>
        </w:rPr>
        <w:t>key</w:t>
      </w:r>
      <w:r>
        <w:rPr>
          <w:spacing w:val="-14"/>
          <w:sz w:val="20"/>
        </w:rPr>
        <w:t xml:space="preserve"> </w:t>
      </w:r>
      <w:r>
        <w:rPr>
          <w:sz w:val="20"/>
        </w:rPr>
        <w:t>highways</w:t>
      </w:r>
      <w:r>
        <w:rPr>
          <w:spacing w:val="-14"/>
          <w:sz w:val="20"/>
        </w:rPr>
        <w:t xml:space="preserve"> </w:t>
      </w:r>
      <w:r>
        <w:rPr>
          <w:sz w:val="20"/>
        </w:rPr>
        <w:t>may</w:t>
      </w:r>
      <w:r>
        <w:rPr>
          <w:spacing w:val="-14"/>
          <w:sz w:val="20"/>
        </w:rPr>
        <w:t xml:space="preserve"> </w:t>
      </w:r>
      <w:r>
        <w:rPr>
          <w:sz w:val="20"/>
        </w:rPr>
        <w:t>require</w:t>
      </w:r>
      <w:r>
        <w:rPr>
          <w:spacing w:val="-14"/>
          <w:sz w:val="20"/>
        </w:rPr>
        <w:t xml:space="preserve"> </w:t>
      </w:r>
      <w:r>
        <w:rPr>
          <w:sz w:val="20"/>
        </w:rPr>
        <w:t>investment</w:t>
      </w:r>
      <w:r>
        <w:rPr>
          <w:spacing w:val="-14"/>
          <w:sz w:val="20"/>
        </w:rPr>
        <w:t xml:space="preserve"> </w:t>
      </w:r>
      <w:r>
        <w:rPr>
          <w:sz w:val="20"/>
        </w:rPr>
        <w:t>as trade</w:t>
      </w:r>
      <w:r>
        <w:rPr>
          <w:spacing w:val="-11"/>
          <w:sz w:val="20"/>
        </w:rPr>
        <w:t xml:space="preserve"> </w:t>
      </w:r>
      <w:r>
        <w:rPr>
          <w:sz w:val="20"/>
        </w:rPr>
        <w:t>grows.</w:t>
      </w:r>
    </w:p>
    <w:p w:rsidR="002C1123" w:rsidRDefault="00F22F94">
      <w:pPr>
        <w:pStyle w:val="Heading5"/>
        <w:numPr>
          <w:ilvl w:val="1"/>
          <w:numId w:val="74"/>
        </w:numPr>
        <w:tabs>
          <w:tab w:val="left" w:pos="1079"/>
        </w:tabs>
        <w:spacing w:before="153"/>
        <w:jc w:val="left"/>
      </w:pPr>
      <w:r>
        <w:rPr>
          <w:b w:val="0"/>
        </w:rPr>
        <w:br w:type="column"/>
      </w:r>
      <w:r>
        <w:rPr>
          <w:color w:val="00AEEF"/>
          <w:spacing w:val="-2"/>
        </w:rPr>
        <w:t>Snapshot</w:t>
      </w:r>
    </w:p>
    <w:p w:rsidR="002C1123" w:rsidRDefault="00F22F94">
      <w:pPr>
        <w:pStyle w:val="ListParagraph"/>
        <w:numPr>
          <w:ilvl w:val="0"/>
          <w:numId w:val="72"/>
        </w:numPr>
        <w:tabs>
          <w:tab w:val="left" w:pos="762"/>
        </w:tabs>
        <w:spacing w:before="123" w:line="249" w:lineRule="auto"/>
        <w:ind w:right="862"/>
        <w:rPr>
          <w:sz w:val="20"/>
        </w:rPr>
      </w:pPr>
      <w:r>
        <w:rPr>
          <w:sz w:val="20"/>
        </w:rPr>
        <w:t>Long</w:t>
      </w:r>
      <w:r>
        <w:rPr>
          <w:spacing w:val="-6"/>
          <w:sz w:val="20"/>
        </w:rPr>
        <w:t xml:space="preserve"> </w:t>
      </w:r>
      <w:r>
        <w:rPr>
          <w:sz w:val="20"/>
        </w:rPr>
        <w:t>distances,</w:t>
      </w:r>
      <w:r>
        <w:rPr>
          <w:spacing w:val="-6"/>
          <w:sz w:val="20"/>
        </w:rPr>
        <w:t xml:space="preserve"> </w:t>
      </w:r>
      <w:r>
        <w:rPr>
          <w:sz w:val="20"/>
        </w:rPr>
        <w:t>low</w:t>
      </w:r>
      <w:r>
        <w:rPr>
          <w:spacing w:val="-6"/>
          <w:sz w:val="20"/>
        </w:rPr>
        <w:t xml:space="preserve"> </w:t>
      </w:r>
      <w:r>
        <w:rPr>
          <w:sz w:val="20"/>
        </w:rPr>
        <w:t>population</w:t>
      </w:r>
      <w:r>
        <w:rPr>
          <w:spacing w:val="-6"/>
          <w:sz w:val="20"/>
        </w:rPr>
        <w:t xml:space="preserve"> </w:t>
      </w:r>
      <w:r>
        <w:rPr>
          <w:sz w:val="20"/>
        </w:rPr>
        <w:t>densities</w:t>
      </w:r>
      <w:r>
        <w:rPr>
          <w:spacing w:val="-6"/>
          <w:sz w:val="20"/>
        </w:rPr>
        <w:t xml:space="preserve"> </w:t>
      </w:r>
      <w:r>
        <w:rPr>
          <w:sz w:val="20"/>
        </w:rPr>
        <w:t>and</w:t>
      </w:r>
      <w:r>
        <w:rPr>
          <w:spacing w:val="-6"/>
          <w:sz w:val="20"/>
        </w:rPr>
        <w:t xml:space="preserve"> </w:t>
      </w:r>
      <w:r>
        <w:rPr>
          <w:sz w:val="20"/>
        </w:rPr>
        <w:t xml:space="preserve">the </w:t>
      </w:r>
      <w:r>
        <w:rPr>
          <w:w w:val="95"/>
          <w:sz w:val="20"/>
        </w:rPr>
        <w:t>nature</w:t>
      </w:r>
      <w:r>
        <w:rPr>
          <w:spacing w:val="-2"/>
          <w:w w:val="95"/>
          <w:sz w:val="20"/>
        </w:rPr>
        <w:t xml:space="preserve"> </w:t>
      </w:r>
      <w:r>
        <w:rPr>
          <w:w w:val="95"/>
          <w:sz w:val="20"/>
        </w:rPr>
        <w:t>of</w:t>
      </w:r>
      <w:r>
        <w:rPr>
          <w:spacing w:val="-2"/>
          <w:w w:val="95"/>
          <w:sz w:val="20"/>
        </w:rPr>
        <w:t xml:space="preserve"> </w:t>
      </w:r>
      <w:r>
        <w:rPr>
          <w:w w:val="95"/>
          <w:sz w:val="20"/>
        </w:rPr>
        <w:t>regional</w:t>
      </w:r>
      <w:r>
        <w:rPr>
          <w:spacing w:val="-2"/>
          <w:w w:val="95"/>
          <w:sz w:val="20"/>
        </w:rPr>
        <w:t xml:space="preserve"> </w:t>
      </w:r>
      <w:r>
        <w:rPr>
          <w:w w:val="95"/>
          <w:sz w:val="20"/>
        </w:rPr>
        <w:t>employment</w:t>
      </w:r>
      <w:r>
        <w:rPr>
          <w:spacing w:val="-2"/>
          <w:w w:val="95"/>
          <w:sz w:val="20"/>
        </w:rPr>
        <w:t xml:space="preserve"> </w:t>
      </w:r>
      <w:r>
        <w:rPr>
          <w:w w:val="95"/>
          <w:sz w:val="20"/>
        </w:rPr>
        <w:t>means</w:t>
      </w:r>
      <w:r>
        <w:rPr>
          <w:spacing w:val="-2"/>
          <w:w w:val="95"/>
          <w:sz w:val="20"/>
        </w:rPr>
        <w:t xml:space="preserve"> </w:t>
      </w:r>
      <w:r>
        <w:rPr>
          <w:w w:val="95"/>
          <w:sz w:val="20"/>
        </w:rPr>
        <w:t>the</w:t>
      </w:r>
      <w:r>
        <w:rPr>
          <w:spacing w:val="-2"/>
          <w:w w:val="95"/>
          <w:sz w:val="20"/>
        </w:rPr>
        <w:t xml:space="preserve"> </w:t>
      </w:r>
      <w:r>
        <w:rPr>
          <w:w w:val="95"/>
          <w:sz w:val="20"/>
        </w:rPr>
        <w:t xml:space="preserve">demands </w:t>
      </w:r>
      <w:r>
        <w:rPr>
          <w:sz w:val="20"/>
        </w:rPr>
        <w:t>placed</w:t>
      </w:r>
      <w:r>
        <w:rPr>
          <w:spacing w:val="-1"/>
          <w:sz w:val="20"/>
        </w:rPr>
        <w:t xml:space="preserve"> </w:t>
      </w:r>
      <w:r>
        <w:rPr>
          <w:sz w:val="20"/>
        </w:rPr>
        <w:t>by</w:t>
      </w:r>
      <w:r>
        <w:rPr>
          <w:spacing w:val="-1"/>
          <w:sz w:val="20"/>
        </w:rPr>
        <w:t xml:space="preserve"> </w:t>
      </w:r>
      <w:r>
        <w:rPr>
          <w:sz w:val="20"/>
        </w:rPr>
        <w:t>passengers</w:t>
      </w:r>
      <w:r>
        <w:rPr>
          <w:spacing w:val="-1"/>
          <w:sz w:val="20"/>
        </w:rPr>
        <w:t xml:space="preserve"> </w:t>
      </w:r>
      <w:r>
        <w:rPr>
          <w:sz w:val="20"/>
        </w:rPr>
        <w:t>on</w:t>
      </w:r>
      <w:r>
        <w:rPr>
          <w:spacing w:val="-1"/>
          <w:sz w:val="20"/>
        </w:rPr>
        <w:t xml:space="preserve"> </w:t>
      </w:r>
      <w:r>
        <w:rPr>
          <w:sz w:val="20"/>
        </w:rPr>
        <w:t>the</w:t>
      </w:r>
      <w:r>
        <w:rPr>
          <w:spacing w:val="-1"/>
          <w:sz w:val="20"/>
        </w:rPr>
        <w:t xml:space="preserve"> </w:t>
      </w:r>
      <w:r>
        <w:rPr>
          <w:sz w:val="20"/>
        </w:rPr>
        <w:t>transport</w:t>
      </w:r>
      <w:r>
        <w:rPr>
          <w:spacing w:val="-1"/>
          <w:sz w:val="20"/>
        </w:rPr>
        <w:t xml:space="preserve"> </w:t>
      </w:r>
      <w:r>
        <w:rPr>
          <w:sz w:val="20"/>
        </w:rPr>
        <w:t>networks</w:t>
      </w:r>
    </w:p>
    <w:p w:rsidR="002C1123" w:rsidRDefault="00F22F94">
      <w:pPr>
        <w:pStyle w:val="BodyText"/>
        <w:spacing w:before="2" w:line="249" w:lineRule="auto"/>
        <w:ind w:left="761" w:right="363"/>
      </w:pPr>
      <w:r>
        <w:rPr>
          <w:w w:val="95"/>
        </w:rPr>
        <w:t>of</w:t>
      </w:r>
      <w:r>
        <w:rPr>
          <w:spacing w:val="-11"/>
          <w:w w:val="95"/>
        </w:rPr>
        <w:t xml:space="preserve"> </w:t>
      </w:r>
      <w:r>
        <w:rPr>
          <w:w w:val="95"/>
        </w:rPr>
        <w:t>Regional</w:t>
      </w:r>
      <w:r>
        <w:rPr>
          <w:spacing w:val="-11"/>
          <w:w w:val="95"/>
        </w:rPr>
        <w:t xml:space="preserve"> </w:t>
      </w:r>
      <w:r>
        <w:rPr>
          <w:w w:val="95"/>
        </w:rPr>
        <w:t>NSW</w:t>
      </w:r>
      <w:r>
        <w:rPr>
          <w:spacing w:val="-11"/>
          <w:w w:val="95"/>
        </w:rPr>
        <w:t xml:space="preserve"> </w:t>
      </w:r>
      <w:r>
        <w:rPr>
          <w:w w:val="95"/>
        </w:rPr>
        <w:t>are</w:t>
      </w:r>
      <w:r>
        <w:rPr>
          <w:spacing w:val="-11"/>
          <w:w w:val="95"/>
        </w:rPr>
        <w:t xml:space="preserve"> </w:t>
      </w:r>
      <w:r>
        <w:rPr>
          <w:w w:val="95"/>
        </w:rPr>
        <w:t>very</w:t>
      </w:r>
      <w:r>
        <w:rPr>
          <w:spacing w:val="-11"/>
          <w:w w:val="95"/>
        </w:rPr>
        <w:t xml:space="preserve"> </w:t>
      </w:r>
      <w:r>
        <w:rPr>
          <w:w w:val="95"/>
        </w:rPr>
        <w:t>different</w:t>
      </w:r>
      <w:r>
        <w:rPr>
          <w:spacing w:val="-11"/>
          <w:w w:val="95"/>
        </w:rPr>
        <w:t xml:space="preserve"> </w:t>
      </w:r>
      <w:r>
        <w:rPr>
          <w:w w:val="95"/>
        </w:rPr>
        <w:t>to</w:t>
      </w:r>
      <w:r>
        <w:rPr>
          <w:spacing w:val="-11"/>
          <w:w w:val="95"/>
        </w:rPr>
        <w:t xml:space="preserve"> </w:t>
      </w:r>
      <w:r>
        <w:rPr>
          <w:w w:val="95"/>
        </w:rPr>
        <w:t>those</w:t>
      </w:r>
      <w:r>
        <w:rPr>
          <w:spacing w:val="-11"/>
          <w:w w:val="95"/>
        </w:rPr>
        <w:t xml:space="preserve"> </w:t>
      </w:r>
      <w:r>
        <w:rPr>
          <w:w w:val="95"/>
        </w:rPr>
        <w:t xml:space="preserve">of </w:t>
      </w:r>
      <w:r>
        <w:t>metropolitan</w:t>
      </w:r>
      <w:r>
        <w:rPr>
          <w:spacing w:val="-11"/>
        </w:rPr>
        <w:t xml:space="preserve"> </w:t>
      </w:r>
      <w:r>
        <w:t>NSW.</w:t>
      </w:r>
    </w:p>
    <w:p w:rsidR="002C1123" w:rsidRDefault="00F22F94">
      <w:pPr>
        <w:pStyle w:val="ListParagraph"/>
        <w:numPr>
          <w:ilvl w:val="0"/>
          <w:numId w:val="72"/>
        </w:numPr>
        <w:tabs>
          <w:tab w:val="left" w:pos="762"/>
        </w:tabs>
        <w:spacing w:before="130" w:line="249" w:lineRule="auto"/>
        <w:ind w:right="862"/>
        <w:rPr>
          <w:sz w:val="20"/>
        </w:rPr>
      </w:pPr>
      <w:r>
        <w:rPr>
          <w:w w:val="95"/>
          <w:sz w:val="20"/>
        </w:rPr>
        <w:t>The</w:t>
      </w:r>
      <w:r>
        <w:rPr>
          <w:spacing w:val="-3"/>
          <w:w w:val="95"/>
          <w:sz w:val="20"/>
        </w:rPr>
        <w:t xml:space="preserve"> </w:t>
      </w:r>
      <w:r>
        <w:rPr>
          <w:w w:val="95"/>
          <w:sz w:val="20"/>
        </w:rPr>
        <w:t>road</w:t>
      </w:r>
      <w:r>
        <w:rPr>
          <w:spacing w:val="-3"/>
          <w:w w:val="95"/>
          <w:sz w:val="20"/>
        </w:rPr>
        <w:t xml:space="preserve"> </w:t>
      </w:r>
      <w:r>
        <w:rPr>
          <w:w w:val="95"/>
          <w:sz w:val="20"/>
        </w:rPr>
        <w:t>network</w:t>
      </w:r>
      <w:r>
        <w:rPr>
          <w:spacing w:val="-3"/>
          <w:w w:val="95"/>
          <w:sz w:val="20"/>
        </w:rPr>
        <w:t xml:space="preserve"> </w:t>
      </w:r>
      <w:r>
        <w:rPr>
          <w:w w:val="95"/>
          <w:sz w:val="20"/>
        </w:rPr>
        <w:t>is</w:t>
      </w:r>
      <w:r>
        <w:rPr>
          <w:spacing w:val="-3"/>
          <w:w w:val="95"/>
          <w:sz w:val="20"/>
        </w:rPr>
        <w:t xml:space="preserve"> </w:t>
      </w:r>
      <w:r>
        <w:rPr>
          <w:w w:val="95"/>
          <w:sz w:val="20"/>
        </w:rPr>
        <w:t>the</w:t>
      </w:r>
      <w:r>
        <w:rPr>
          <w:spacing w:val="-3"/>
          <w:w w:val="95"/>
          <w:sz w:val="20"/>
        </w:rPr>
        <w:t xml:space="preserve"> </w:t>
      </w:r>
      <w:r>
        <w:rPr>
          <w:w w:val="95"/>
          <w:sz w:val="20"/>
        </w:rPr>
        <w:t>dominant</w:t>
      </w:r>
      <w:r>
        <w:rPr>
          <w:spacing w:val="-3"/>
          <w:w w:val="95"/>
          <w:sz w:val="20"/>
        </w:rPr>
        <w:t xml:space="preserve"> </w:t>
      </w:r>
      <w:r>
        <w:rPr>
          <w:w w:val="95"/>
          <w:sz w:val="20"/>
        </w:rPr>
        <w:t>mode</w:t>
      </w:r>
      <w:r>
        <w:rPr>
          <w:spacing w:val="-3"/>
          <w:w w:val="95"/>
          <w:sz w:val="20"/>
        </w:rPr>
        <w:t xml:space="preserve"> </w:t>
      </w:r>
      <w:r>
        <w:rPr>
          <w:w w:val="95"/>
          <w:sz w:val="20"/>
        </w:rPr>
        <w:t>for</w:t>
      </w:r>
      <w:r>
        <w:rPr>
          <w:spacing w:val="-3"/>
          <w:w w:val="95"/>
          <w:sz w:val="20"/>
        </w:rPr>
        <w:t xml:space="preserve"> </w:t>
      </w:r>
      <w:r>
        <w:rPr>
          <w:w w:val="95"/>
          <w:sz w:val="20"/>
        </w:rPr>
        <w:t xml:space="preserve">regional passenger travel. Over 90 percent of the 7.5 million </w:t>
      </w:r>
      <w:r>
        <w:rPr>
          <w:sz w:val="20"/>
        </w:rPr>
        <w:t>journeys</w:t>
      </w:r>
      <w:r>
        <w:rPr>
          <w:spacing w:val="-6"/>
          <w:sz w:val="20"/>
        </w:rPr>
        <w:t xml:space="preserve"> </w:t>
      </w:r>
      <w:r>
        <w:rPr>
          <w:sz w:val="20"/>
        </w:rPr>
        <w:t>made</w:t>
      </w:r>
      <w:r>
        <w:rPr>
          <w:spacing w:val="-6"/>
          <w:sz w:val="20"/>
        </w:rPr>
        <w:t xml:space="preserve"> </w:t>
      </w:r>
      <w:r>
        <w:rPr>
          <w:sz w:val="20"/>
        </w:rPr>
        <w:t>each</w:t>
      </w:r>
      <w:r>
        <w:rPr>
          <w:spacing w:val="-6"/>
          <w:sz w:val="20"/>
        </w:rPr>
        <w:t xml:space="preserve"> </w:t>
      </w:r>
      <w:r>
        <w:rPr>
          <w:sz w:val="20"/>
        </w:rPr>
        <w:t>day</w:t>
      </w:r>
      <w:r>
        <w:rPr>
          <w:spacing w:val="-6"/>
          <w:sz w:val="20"/>
        </w:rPr>
        <w:t xml:space="preserve"> </w:t>
      </w:r>
      <w:r>
        <w:rPr>
          <w:sz w:val="20"/>
        </w:rPr>
        <w:t>are</w:t>
      </w:r>
      <w:r>
        <w:rPr>
          <w:spacing w:val="-6"/>
          <w:sz w:val="20"/>
        </w:rPr>
        <w:t xml:space="preserve"> </w:t>
      </w:r>
      <w:r>
        <w:rPr>
          <w:sz w:val="20"/>
        </w:rPr>
        <w:t>by</w:t>
      </w:r>
      <w:r>
        <w:rPr>
          <w:spacing w:val="-6"/>
          <w:sz w:val="20"/>
        </w:rPr>
        <w:t xml:space="preserve"> </w:t>
      </w:r>
      <w:r>
        <w:rPr>
          <w:sz w:val="20"/>
        </w:rPr>
        <w:t>car</w:t>
      </w:r>
      <w:r>
        <w:rPr>
          <w:position w:val="7"/>
          <w:sz w:val="11"/>
        </w:rPr>
        <w:t>1</w:t>
      </w:r>
      <w:r>
        <w:rPr>
          <w:sz w:val="20"/>
        </w:rPr>
        <w:t>.</w:t>
      </w:r>
    </w:p>
    <w:p w:rsidR="002C1123" w:rsidRDefault="00F22F94">
      <w:pPr>
        <w:pStyle w:val="ListParagraph"/>
        <w:numPr>
          <w:ilvl w:val="0"/>
          <w:numId w:val="72"/>
        </w:numPr>
        <w:tabs>
          <w:tab w:val="left" w:pos="762"/>
        </w:tabs>
        <w:spacing w:before="132" w:line="249" w:lineRule="auto"/>
        <w:ind w:right="715"/>
        <w:rPr>
          <w:sz w:val="20"/>
        </w:rPr>
      </w:pPr>
      <w:r>
        <w:rPr>
          <w:w w:val="95"/>
          <w:sz w:val="20"/>
        </w:rPr>
        <w:t>There</w:t>
      </w:r>
      <w:r>
        <w:rPr>
          <w:spacing w:val="-10"/>
          <w:w w:val="95"/>
          <w:sz w:val="20"/>
        </w:rPr>
        <w:t xml:space="preserve"> </w:t>
      </w:r>
      <w:r>
        <w:rPr>
          <w:w w:val="95"/>
          <w:sz w:val="20"/>
        </w:rPr>
        <w:t>is</w:t>
      </w:r>
      <w:r>
        <w:rPr>
          <w:spacing w:val="-10"/>
          <w:w w:val="95"/>
          <w:sz w:val="20"/>
        </w:rPr>
        <w:t xml:space="preserve"> </w:t>
      </w:r>
      <w:r>
        <w:rPr>
          <w:w w:val="95"/>
          <w:sz w:val="20"/>
        </w:rPr>
        <w:t>limited</w:t>
      </w:r>
      <w:r>
        <w:rPr>
          <w:spacing w:val="-10"/>
          <w:w w:val="95"/>
          <w:sz w:val="20"/>
        </w:rPr>
        <w:t xml:space="preserve"> </w:t>
      </w:r>
      <w:r>
        <w:rPr>
          <w:w w:val="95"/>
          <w:sz w:val="20"/>
        </w:rPr>
        <w:t>usage</w:t>
      </w:r>
      <w:r>
        <w:rPr>
          <w:spacing w:val="-10"/>
          <w:w w:val="95"/>
          <w:sz w:val="20"/>
        </w:rPr>
        <w:t xml:space="preserve"> </w:t>
      </w:r>
      <w:r>
        <w:rPr>
          <w:w w:val="95"/>
          <w:sz w:val="20"/>
        </w:rPr>
        <w:t>of</w:t>
      </w:r>
      <w:r>
        <w:rPr>
          <w:spacing w:val="-10"/>
          <w:w w:val="95"/>
          <w:sz w:val="20"/>
        </w:rPr>
        <w:t xml:space="preserve"> </w:t>
      </w:r>
      <w:r>
        <w:rPr>
          <w:w w:val="95"/>
          <w:sz w:val="20"/>
        </w:rPr>
        <w:t>regional</w:t>
      </w:r>
      <w:r>
        <w:rPr>
          <w:spacing w:val="-10"/>
          <w:w w:val="95"/>
          <w:sz w:val="20"/>
        </w:rPr>
        <w:t xml:space="preserve"> </w:t>
      </w:r>
      <w:r>
        <w:rPr>
          <w:w w:val="95"/>
          <w:sz w:val="20"/>
        </w:rPr>
        <w:t>and</w:t>
      </w:r>
      <w:r>
        <w:rPr>
          <w:spacing w:val="-10"/>
          <w:w w:val="95"/>
          <w:sz w:val="20"/>
        </w:rPr>
        <w:t xml:space="preserve"> </w:t>
      </w:r>
      <w:r>
        <w:rPr>
          <w:w w:val="95"/>
          <w:sz w:val="20"/>
        </w:rPr>
        <w:t>interstate</w:t>
      </w:r>
      <w:r>
        <w:rPr>
          <w:spacing w:val="-10"/>
          <w:w w:val="95"/>
          <w:sz w:val="20"/>
        </w:rPr>
        <w:t xml:space="preserve"> </w:t>
      </w:r>
      <w:r>
        <w:rPr>
          <w:w w:val="95"/>
          <w:sz w:val="20"/>
        </w:rPr>
        <w:t xml:space="preserve">public </w:t>
      </w:r>
      <w:r>
        <w:rPr>
          <w:sz w:val="20"/>
        </w:rPr>
        <w:t>transport.</w:t>
      </w:r>
      <w:r>
        <w:rPr>
          <w:spacing w:val="-11"/>
          <w:sz w:val="20"/>
        </w:rPr>
        <w:t xml:space="preserve"> </w:t>
      </w:r>
      <w:r>
        <w:rPr>
          <w:sz w:val="20"/>
        </w:rPr>
        <w:t>Regional</w:t>
      </w:r>
      <w:r>
        <w:rPr>
          <w:spacing w:val="-11"/>
          <w:sz w:val="20"/>
        </w:rPr>
        <w:t xml:space="preserve"> </w:t>
      </w:r>
      <w:r>
        <w:rPr>
          <w:sz w:val="20"/>
        </w:rPr>
        <w:t>train</w:t>
      </w:r>
      <w:r>
        <w:rPr>
          <w:spacing w:val="-11"/>
          <w:sz w:val="20"/>
        </w:rPr>
        <w:t xml:space="preserve"> </w:t>
      </w:r>
      <w:r>
        <w:rPr>
          <w:sz w:val="20"/>
        </w:rPr>
        <w:t>services</w:t>
      </w:r>
      <w:r>
        <w:rPr>
          <w:spacing w:val="-11"/>
          <w:sz w:val="20"/>
        </w:rPr>
        <w:t xml:space="preserve"> </w:t>
      </w:r>
      <w:r>
        <w:rPr>
          <w:sz w:val="20"/>
        </w:rPr>
        <w:t>carry</w:t>
      </w:r>
      <w:r>
        <w:rPr>
          <w:spacing w:val="-11"/>
          <w:sz w:val="20"/>
        </w:rPr>
        <w:t xml:space="preserve"> </w:t>
      </w:r>
      <w:r>
        <w:rPr>
          <w:sz w:val="20"/>
        </w:rPr>
        <w:t>less</w:t>
      </w:r>
      <w:r>
        <w:rPr>
          <w:spacing w:val="-11"/>
          <w:sz w:val="20"/>
        </w:rPr>
        <w:t xml:space="preserve"> </w:t>
      </w:r>
      <w:r>
        <w:rPr>
          <w:sz w:val="20"/>
        </w:rPr>
        <w:t>than 6,000</w:t>
      </w:r>
      <w:r>
        <w:rPr>
          <w:spacing w:val="-9"/>
          <w:sz w:val="20"/>
        </w:rPr>
        <w:t xml:space="preserve"> </w:t>
      </w:r>
      <w:r>
        <w:rPr>
          <w:sz w:val="20"/>
        </w:rPr>
        <w:t>passengers</w:t>
      </w:r>
      <w:r>
        <w:rPr>
          <w:spacing w:val="-9"/>
          <w:sz w:val="20"/>
        </w:rPr>
        <w:t xml:space="preserve"> </w:t>
      </w:r>
      <w:r>
        <w:rPr>
          <w:sz w:val="20"/>
        </w:rPr>
        <w:t>a</w:t>
      </w:r>
      <w:r>
        <w:rPr>
          <w:spacing w:val="-9"/>
          <w:sz w:val="20"/>
        </w:rPr>
        <w:t xml:space="preserve"> </w:t>
      </w:r>
      <w:r>
        <w:rPr>
          <w:sz w:val="20"/>
        </w:rPr>
        <w:t>day.</w:t>
      </w:r>
      <w:r>
        <w:rPr>
          <w:spacing w:val="-9"/>
          <w:sz w:val="20"/>
        </w:rPr>
        <w:t xml:space="preserve"> </w:t>
      </w:r>
      <w:r>
        <w:rPr>
          <w:sz w:val="20"/>
        </w:rPr>
        <w:t>Regional</w:t>
      </w:r>
      <w:r>
        <w:rPr>
          <w:spacing w:val="-9"/>
          <w:sz w:val="20"/>
        </w:rPr>
        <w:t xml:space="preserve"> </w:t>
      </w:r>
      <w:r>
        <w:rPr>
          <w:sz w:val="20"/>
        </w:rPr>
        <w:t>bus</w:t>
      </w:r>
      <w:r>
        <w:rPr>
          <w:spacing w:val="-9"/>
          <w:sz w:val="20"/>
        </w:rPr>
        <w:t xml:space="preserve"> </w:t>
      </w:r>
      <w:r>
        <w:rPr>
          <w:sz w:val="20"/>
        </w:rPr>
        <w:t>and</w:t>
      </w:r>
      <w:r>
        <w:rPr>
          <w:spacing w:val="-9"/>
          <w:sz w:val="20"/>
        </w:rPr>
        <w:t xml:space="preserve"> </w:t>
      </w:r>
      <w:r>
        <w:rPr>
          <w:sz w:val="20"/>
        </w:rPr>
        <w:t>coach services</w:t>
      </w:r>
      <w:r>
        <w:rPr>
          <w:spacing w:val="-6"/>
          <w:sz w:val="20"/>
        </w:rPr>
        <w:t xml:space="preserve"> </w:t>
      </w:r>
      <w:r>
        <w:rPr>
          <w:sz w:val="20"/>
        </w:rPr>
        <w:t>transport</w:t>
      </w:r>
      <w:r>
        <w:rPr>
          <w:spacing w:val="-6"/>
          <w:sz w:val="20"/>
        </w:rPr>
        <w:t xml:space="preserve"> </w:t>
      </w:r>
      <w:r>
        <w:rPr>
          <w:sz w:val="20"/>
        </w:rPr>
        <w:t>around</w:t>
      </w:r>
      <w:r>
        <w:rPr>
          <w:spacing w:val="-6"/>
          <w:sz w:val="20"/>
        </w:rPr>
        <w:t xml:space="preserve"> </w:t>
      </w:r>
      <w:r>
        <w:rPr>
          <w:sz w:val="20"/>
        </w:rPr>
        <w:t>almost</w:t>
      </w:r>
      <w:r>
        <w:rPr>
          <w:spacing w:val="-6"/>
          <w:sz w:val="20"/>
        </w:rPr>
        <w:t xml:space="preserve"> </w:t>
      </w:r>
      <w:r>
        <w:rPr>
          <w:sz w:val="20"/>
        </w:rPr>
        <w:t>three</w:t>
      </w:r>
      <w:r>
        <w:rPr>
          <w:spacing w:val="-6"/>
          <w:sz w:val="20"/>
        </w:rPr>
        <w:t xml:space="preserve"> </w:t>
      </w:r>
      <w:r>
        <w:rPr>
          <w:sz w:val="20"/>
        </w:rPr>
        <w:t>times</w:t>
      </w:r>
      <w:r>
        <w:rPr>
          <w:spacing w:val="-6"/>
          <w:sz w:val="20"/>
        </w:rPr>
        <w:t xml:space="preserve"> </w:t>
      </w:r>
      <w:r>
        <w:rPr>
          <w:sz w:val="20"/>
        </w:rPr>
        <w:t>as many,</w:t>
      </w:r>
      <w:r>
        <w:rPr>
          <w:spacing w:val="-14"/>
          <w:sz w:val="20"/>
        </w:rPr>
        <w:t xml:space="preserve"> </w:t>
      </w:r>
      <w:r>
        <w:rPr>
          <w:sz w:val="20"/>
        </w:rPr>
        <w:t>approximately</w:t>
      </w:r>
      <w:r>
        <w:rPr>
          <w:spacing w:val="-14"/>
          <w:sz w:val="20"/>
        </w:rPr>
        <w:t xml:space="preserve"> </w:t>
      </w:r>
      <w:r>
        <w:rPr>
          <w:sz w:val="20"/>
        </w:rPr>
        <w:t>15,000</w:t>
      </w:r>
      <w:r>
        <w:rPr>
          <w:spacing w:val="-14"/>
          <w:sz w:val="20"/>
        </w:rPr>
        <w:t xml:space="preserve"> </w:t>
      </w:r>
      <w:r>
        <w:rPr>
          <w:sz w:val="20"/>
        </w:rPr>
        <w:t>passengers</w:t>
      </w:r>
      <w:r>
        <w:rPr>
          <w:spacing w:val="-14"/>
          <w:sz w:val="20"/>
        </w:rPr>
        <w:t xml:space="preserve"> </w:t>
      </w:r>
      <w:r>
        <w:rPr>
          <w:sz w:val="20"/>
        </w:rPr>
        <w:t>a</w:t>
      </w:r>
      <w:r>
        <w:rPr>
          <w:spacing w:val="-14"/>
          <w:sz w:val="20"/>
        </w:rPr>
        <w:t xml:space="preserve"> </w:t>
      </w:r>
      <w:r>
        <w:rPr>
          <w:sz w:val="20"/>
        </w:rPr>
        <w:t>day</w:t>
      </w:r>
      <w:r>
        <w:rPr>
          <w:position w:val="7"/>
          <w:sz w:val="11"/>
        </w:rPr>
        <w:t>2</w:t>
      </w:r>
      <w:r>
        <w:rPr>
          <w:sz w:val="20"/>
        </w:rPr>
        <w:t>.</w:t>
      </w:r>
    </w:p>
    <w:p w:rsidR="002C1123" w:rsidRDefault="00F22F94">
      <w:pPr>
        <w:pStyle w:val="ListParagraph"/>
        <w:numPr>
          <w:ilvl w:val="0"/>
          <w:numId w:val="72"/>
        </w:numPr>
        <w:tabs>
          <w:tab w:val="left" w:pos="762"/>
        </w:tabs>
        <w:spacing w:before="133" w:line="249" w:lineRule="auto"/>
        <w:ind w:right="749"/>
        <w:rPr>
          <w:sz w:val="20"/>
        </w:rPr>
      </w:pPr>
      <w:r>
        <w:rPr>
          <w:sz w:val="20"/>
        </w:rPr>
        <w:t>63</w:t>
      </w:r>
      <w:r>
        <w:rPr>
          <w:spacing w:val="-12"/>
          <w:sz w:val="20"/>
        </w:rPr>
        <w:t xml:space="preserve"> </w:t>
      </w:r>
      <w:r>
        <w:rPr>
          <w:sz w:val="20"/>
        </w:rPr>
        <w:t>percent</w:t>
      </w:r>
      <w:r>
        <w:rPr>
          <w:spacing w:val="-12"/>
          <w:sz w:val="20"/>
        </w:rPr>
        <w:t xml:space="preserve"> </w:t>
      </w:r>
      <w:r>
        <w:rPr>
          <w:sz w:val="20"/>
        </w:rPr>
        <w:t>of</w:t>
      </w:r>
      <w:r>
        <w:rPr>
          <w:spacing w:val="-12"/>
          <w:sz w:val="20"/>
        </w:rPr>
        <w:t xml:space="preserve"> </w:t>
      </w:r>
      <w:r>
        <w:rPr>
          <w:sz w:val="20"/>
        </w:rPr>
        <w:t>freight</w:t>
      </w:r>
      <w:r>
        <w:rPr>
          <w:spacing w:val="-12"/>
          <w:sz w:val="20"/>
        </w:rPr>
        <w:t xml:space="preserve"> </w:t>
      </w:r>
      <w:r>
        <w:rPr>
          <w:sz w:val="20"/>
        </w:rPr>
        <w:t>movements</w:t>
      </w:r>
      <w:r>
        <w:rPr>
          <w:spacing w:val="-12"/>
          <w:sz w:val="20"/>
        </w:rPr>
        <w:t xml:space="preserve"> </w:t>
      </w:r>
      <w:r>
        <w:rPr>
          <w:sz w:val="20"/>
        </w:rPr>
        <w:t>in</w:t>
      </w:r>
      <w:r>
        <w:rPr>
          <w:spacing w:val="-12"/>
          <w:sz w:val="20"/>
        </w:rPr>
        <w:t xml:space="preserve"> </w:t>
      </w:r>
      <w:r>
        <w:rPr>
          <w:sz w:val="20"/>
        </w:rPr>
        <w:t>Regional</w:t>
      </w:r>
      <w:r>
        <w:rPr>
          <w:spacing w:val="-12"/>
          <w:sz w:val="20"/>
        </w:rPr>
        <w:t xml:space="preserve"> </w:t>
      </w:r>
      <w:r>
        <w:rPr>
          <w:sz w:val="20"/>
        </w:rPr>
        <w:t>NSW by</w:t>
      </w:r>
      <w:r>
        <w:rPr>
          <w:spacing w:val="-13"/>
          <w:sz w:val="20"/>
        </w:rPr>
        <w:t xml:space="preserve"> </w:t>
      </w:r>
      <w:r>
        <w:rPr>
          <w:sz w:val="20"/>
        </w:rPr>
        <w:t>volume</w:t>
      </w:r>
      <w:r>
        <w:rPr>
          <w:spacing w:val="-13"/>
          <w:sz w:val="20"/>
        </w:rPr>
        <w:t xml:space="preserve"> </w:t>
      </w:r>
      <w:r>
        <w:rPr>
          <w:sz w:val="20"/>
        </w:rPr>
        <w:t>are</w:t>
      </w:r>
      <w:r>
        <w:rPr>
          <w:spacing w:val="-13"/>
          <w:sz w:val="20"/>
        </w:rPr>
        <w:t xml:space="preserve"> </w:t>
      </w:r>
      <w:r>
        <w:rPr>
          <w:sz w:val="20"/>
        </w:rPr>
        <w:t>by</w:t>
      </w:r>
      <w:r>
        <w:rPr>
          <w:spacing w:val="-13"/>
          <w:sz w:val="20"/>
        </w:rPr>
        <w:t xml:space="preserve"> </w:t>
      </w:r>
      <w:r>
        <w:rPr>
          <w:sz w:val="20"/>
        </w:rPr>
        <w:t>road,</w:t>
      </w:r>
      <w:r>
        <w:rPr>
          <w:spacing w:val="-13"/>
          <w:sz w:val="20"/>
        </w:rPr>
        <w:t xml:space="preserve"> </w:t>
      </w:r>
      <w:r>
        <w:rPr>
          <w:sz w:val="20"/>
        </w:rPr>
        <w:t>33</w:t>
      </w:r>
      <w:r>
        <w:rPr>
          <w:spacing w:val="-13"/>
          <w:sz w:val="20"/>
        </w:rPr>
        <w:t xml:space="preserve"> </w:t>
      </w:r>
      <w:r>
        <w:rPr>
          <w:sz w:val="20"/>
        </w:rPr>
        <w:t>percent</w:t>
      </w:r>
      <w:r>
        <w:rPr>
          <w:spacing w:val="-13"/>
          <w:sz w:val="20"/>
        </w:rPr>
        <w:t xml:space="preserve"> </w:t>
      </w:r>
      <w:r>
        <w:rPr>
          <w:sz w:val="20"/>
        </w:rPr>
        <w:t>by</w:t>
      </w:r>
      <w:r>
        <w:rPr>
          <w:spacing w:val="-13"/>
          <w:sz w:val="20"/>
        </w:rPr>
        <w:t xml:space="preserve"> </w:t>
      </w:r>
      <w:r>
        <w:rPr>
          <w:sz w:val="20"/>
        </w:rPr>
        <w:t>rail</w:t>
      </w:r>
      <w:r>
        <w:rPr>
          <w:position w:val="7"/>
          <w:sz w:val="11"/>
        </w:rPr>
        <w:t>3</w:t>
      </w:r>
      <w:r>
        <w:rPr>
          <w:sz w:val="20"/>
        </w:rPr>
        <w:t>.</w:t>
      </w:r>
      <w:r>
        <w:rPr>
          <w:spacing w:val="-13"/>
          <w:sz w:val="20"/>
        </w:rPr>
        <w:t xml:space="preserve"> </w:t>
      </w:r>
      <w:r>
        <w:rPr>
          <w:sz w:val="20"/>
        </w:rPr>
        <w:t>Freight modal</w:t>
      </w:r>
      <w:r>
        <w:rPr>
          <w:spacing w:val="-13"/>
          <w:sz w:val="20"/>
        </w:rPr>
        <w:t xml:space="preserve"> </w:t>
      </w:r>
      <w:r>
        <w:rPr>
          <w:sz w:val="20"/>
        </w:rPr>
        <w:t>share</w:t>
      </w:r>
      <w:r>
        <w:rPr>
          <w:spacing w:val="-13"/>
          <w:sz w:val="20"/>
        </w:rPr>
        <w:t xml:space="preserve"> </w:t>
      </w:r>
      <w:r>
        <w:rPr>
          <w:sz w:val="20"/>
        </w:rPr>
        <w:t>varies</w:t>
      </w:r>
      <w:r>
        <w:rPr>
          <w:spacing w:val="-13"/>
          <w:sz w:val="20"/>
        </w:rPr>
        <w:t xml:space="preserve"> </w:t>
      </w:r>
      <w:r>
        <w:rPr>
          <w:sz w:val="20"/>
        </w:rPr>
        <w:t>substantially</w:t>
      </w:r>
      <w:r>
        <w:rPr>
          <w:spacing w:val="-13"/>
          <w:sz w:val="20"/>
        </w:rPr>
        <w:t xml:space="preserve"> </w:t>
      </w:r>
      <w:r>
        <w:rPr>
          <w:sz w:val="20"/>
        </w:rPr>
        <w:t>depending</w:t>
      </w:r>
      <w:r>
        <w:rPr>
          <w:spacing w:val="-13"/>
          <w:sz w:val="20"/>
        </w:rPr>
        <w:t xml:space="preserve"> </w:t>
      </w:r>
      <w:r>
        <w:rPr>
          <w:sz w:val="20"/>
        </w:rPr>
        <w:t>on</w:t>
      </w:r>
      <w:r>
        <w:rPr>
          <w:spacing w:val="-13"/>
          <w:sz w:val="20"/>
        </w:rPr>
        <w:t xml:space="preserve"> </w:t>
      </w:r>
      <w:r>
        <w:rPr>
          <w:sz w:val="20"/>
        </w:rPr>
        <w:t xml:space="preserve">the </w:t>
      </w:r>
      <w:r>
        <w:rPr>
          <w:w w:val="95"/>
          <w:sz w:val="20"/>
        </w:rPr>
        <w:t>task.</w:t>
      </w:r>
      <w:r>
        <w:rPr>
          <w:spacing w:val="-6"/>
          <w:w w:val="95"/>
          <w:sz w:val="20"/>
        </w:rPr>
        <w:t xml:space="preserve"> </w:t>
      </w:r>
      <w:r>
        <w:rPr>
          <w:w w:val="95"/>
          <w:sz w:val="20"/>
        </w:rPr>
        <w:t>Most</w:t>
      </w:r>
      <w:r>
        <w:rPr>
          <w:spacing w:val="-6"/>
          <w:w w:val="95"/>
          <w:sz w:val="20"/>
        </w:rPr>
        <w:t xml:space="preserve"> </w:t>
      </w:r>
      <w:r>
        <w:rPr>
          <w:w w:val="95"/>
          <w:sz w:val="20"/>
        </w:rPr>
        <w:t>bulk</w:t>
      </w:r>
      <w:r>
        <w:rPr>
          <w:spacing w:val="-6"/>
          <w:w w:val="95"/>
          <w:sz w:val="20"/>
        </w:rPr>
        <w:t xml:space="preserve"> </w:t>
      </w:r>
      <w:r>
        <w:rPr>
          <w:w w:val="95"/>
          <w:sz w:val="20"/>
        </w:rPr>
        <w:t>freight,</w:t>
      </w:r>
      <w:r>
        <w:rPr>
          <w:spacing w:val="-6"/>
          <w:w w:val="95"/>
          <w:sz w:val="20"/>
        </w:rPr>
        <w:t xml:space="preserve"> </w:t>
      </w:r>
      <w:r>
        <w:rPr>
          <w:w w:val="95"/>
          <w:sz w:val="20"/>
        </w:rPr>
        <w:t>is</w:t>
      </w:r>
      <w:r>
        <w:rPr>
          <w:spacing w:val="-6"/>
          <w:w w:val="95"/>
          <w:sz w:val="20"/>
        </w:rPr>
        <w:t xml:space="preserve"> </w:t>
      </w:r>
      <w:r>
        <w:rPr>
          <w:w w:val="95"/>
          <w:sz w:val="20"/>
        </w:rPr>
        <w:t>transported</w:t>
      </w:r>
      <w:r>
        <w:rPr>
          <w:spacing w:val="-6"/>
          <w:w w:val="95"/>
          <w:sz w:val="20"/>
        </w:rPr>
        <w:t xml:space="preserve"> </w:t>
      </w:r>
      <w:r>
        <w:rPr>
          <w:w w:val="95"/>
          <w:sz w:val="20"/>
        </w:rPr>
        <w:t>via</w:t>
      </w:r>
      <w:r>
        <w:rPr>
          <w:spacing w:val="-6"/>
          <w:w w:val="95"/>
          <w:sz w:val="20"/>
        </w:rPr>
        <w:t xml:space="preserve"> </w:t>
      </w:r>
      <w:r>
        <w:rPr>
          <w:w w:val="95"/>
          <w:sz w:val="20"/>
        </w:rPr>
        <w:t>rail</w:t>
      </w:r>
      <w:r>
        <w:rPr>
          <w:spacing w:val="-6"/>
          <w:w w:val="95"/>
          <w:sz w:val="20"/>
        </w:rPr>
        <w:t xml:space="preserve"> </w:t>
      </w:r>
      <w:r>
        <w:rPr>
          <w:w w:val="95"/>
          <w:sz w:val="20"/>
        </w:rPr>
        <w:t>and</w:t>
      </w:r>
      <w:r>
        <w:rPr>
          <w:spacing w:val="-6"/>
          <w:w w:val="95"/>
          <w:sz w:val="20"/>
        </w:rPr>
        <w:t xml:space="preserve"> </w:t>
      </w:r>
      <w:r>
        <w:rPr>
          <w:w w:val="95"/>
          <w:sz w:val="20"/>
        </w:rPr>
        <w:t xml:space="preserve">sea, </w:t>
      </w:r>
      <w:r>
        <w:rPr>
          <w:sz w:val="20"/>
        </w:rPr>
        <w:t>whereas</w:t>
      </w:r>
      <w:r>
        <w:rPr>
          <w:spacing w:val="-7"/>
          <w:sz w:val="20"/>
        </w:rPr>
        <w:t xml:space="preserve"> </w:t>
      </w:r>
      <w:r>
        <w:rPr>
          <w:sz w:val="20"/>
        </w:rPr>
        <w:t>most</w:t>
      </w:r>
      <w:r>
        <w:rPr>
          <w:spacing w:val="-7"/>
          <w:sz w:val="20"/>
        </w:rPr>
        <w:t xml:space="preserve"> </w:t>
      </w:r>
      <w:r>
        <w:rPr>
          <w:sz w:val="20"/>
        </w:rPr>
        <w:t>non-bulk</w:t>
      </w:r>
      <w:r>
        <w:rPr>
          <w:spacing w:val="-7"/>
          <w:sz w:val="20"/>
        </w:rPr>
        <w:t xml:space="preserve"> </w:t>
      </w:r>
      <w:r>
        <w:rPr>
          <w:sz w:val="20"/>
        </w:rPr>
        <w:t>freight</w:t>
      </w:r>
      <w:r>
        <w:rPr>
          <w:spacing w:val="-7"/>
          <w:sz w:val="20"/>
        </w:rPr>
        <w:t xml:space="preserve"> </w:t>
      </w:r>
      <w:r>
        <w:rPr>
          <w:sz w:val="20"/>
        </w:rPr>
        <w:t>is</w:t>
      </w:r>
      <w:r>
        <w:rPr>
          <w:spacing w:val="-7"/>
          <w:sz w:val="20"/>
        </w:rPr>
        <w:t xml:space="preserve"> </w:t>
      </w:r>
      <w:r>
        <w:rPr>
          <w:sz w:val="20"/>
        </w:rPr>
        <w:t>moved</w:t>
      </w:r>
      <w:r>
        <w:rPr>
          <w:spacing w:val="-7"/>
          <w:sz w:val="20"/>
        </w:rPr>
        <w:t xml:space="preserve"> </w:t>
      </w:r>
      <w:r>
        <w:rPr>
          <w:sz w:val="20"/>
        </w:rPr>
        <w:t>by</w:t>
      </w:r>
      <w:r>
        <w:rPr>
          <w:spacing w:val="-7"/>
          <w:sz w:val="20"/>
        </w:rPr>
        <w:t xml:space="preserve"> </w:t>
      </w:r>
      <w:r>
        <w:rPr>
          <w:sz w:val="20"/>
        </w:rPr>
        <w:t>road.</w:t>
      </w:r>
    </w:p>
    <w:p w:rsidR="002C1123" w:rsidRDefault="00F22F94">
      <w:pPr>
        <w:pStyle w:val="BodyText"/>
        <w:spacing w:before="3"/>
        <w:ind w:left="762"/>
      </w:pPr>
      <w:r>
        <w:rPr>
          <w:w w:val="90"/>
        </w:rPr>
        <w:t>For</w:t>
      </w:r>
      <w:r>
        <w:rPr>
          <w:spacing w:val="-1"/>
          <w:w w:val="90"/>
        </w:rPr>
        <w:t xml:space="preserve"> </w:t>
      </w:r>
      <w:r>
        <w:rPr>
          <w:spacing w:val="-2"/>
        </w:rPr>
        <w:t>example:</w:t>
      </w:r>
    </w:p>
    <w:p w:rsidR="002C1123" w:rsidRDefault="00F22F94">
      <w:pPr>
        <w:pStyle w:val="ListParagraph"/>
        <w:numPr>
          <w:ilvl w:val="1"/>
          <w:numId w:val="72"/>
        </w:numPr>
        <w:tabs>
          <w:tab w:val="left" w:pos="1046"/>
        </w:tabs>
        <w:spacing w:before="152"/>
        <w:rPr>
          <w:sz w:val="20"/>
        </w:rPr>
      </w:pPr>
      <w:r>
        <w:rPr>
          <w:w w:val="90"/>
          <w:sz w:val="20"/>
        </w:rPr>
        <w:t>70</w:t>
      </w:r>
      <w:r>
        <w:rPr>
          <w:spacing w:val="-3"/>
          <w:sz w:val="20"/>
        </w:rPr>
        <w:t xml:space="preserve"> </w:t>
      </w:r>
      <w:r>
        <w:rPr>
          <w:w w:val="90"/>
          <w:sz w:val="20"/>
        </w:rPr>
        <w:t>percent</w:t>
      </w:r>
      <w:r>
        <w:rPr>
          <w:spacing w:val="-3"/>
          <w:sz w:val="20"/>
        </w:rPr>
        <w:t xml:space="preserve"> </w:t>
      </w:r>
      <w:r>
        <w:rPr>
          <w:w w:val="90"/>
          <w:sz w:val="20"/>
        </w:rPr>
        <w:t>of</w:t>
      </w:r>
      <w:r>
        <w:rPr>
          <w:spacing w:val="-3"/>
          <w:sz w:val="20"/>
        </w:rPr>
        <w:t xml:space="preserve"> </w:t>
      </w:r>
      <w:r>
        <w:rPr>
          <w:w w:val="90"/>
          <w:sz w:val="20"/>
        </w:rPr>
        <w:t>coal</w:t>
      </w:r>
      <w:r>
        <w:rPr>
          <w:spacing w:val="-2"/>
          <w:sz w:val="20"/>
        </w:rPr>
        <w:t xml:space="preserve"> </w:t>
      </w:r>
      <w:r>
        <w:rPr>
          <w:w w:val="90"/>
          <w:sz w:val="20"/>
        </w:rPr>
        <w:t>movements</w:t>
      </w:r>
      <w:r>
        <w:rPr>
          <w:spacing w:val="-3"/>
          <w:sz w:val="20"/>
        </w:rPr>
        <w:t xml:space="preserve"> </w:t>
      </w:r>
      <w:r>
        <w:rPr>
          <w:w w:val="90"/>
          <w:sz w:val="20"/>
        </w:rPr>
        <w:t>by</w:t>
      </w:r>
      <w:r>
        <w:rPr>
          <w:spacing w:val="-3"/>
          <w:sz w:val="20"/>
        </w:rPr>
        <w:t xml:space="preserve"> </w:t>
      </w:r>
      <w:r>
        <w:rPr>
          <w:w w:val="90"/>
          <w:sz w:val="20"/>
        </w:rPr>
        <w:t>volume</w:t>
      </w:r>
      <w:r>
        <w:rPr>
          <w:spacing w:val="-3"/>
          <w:sz w:val="20"/>
        </w:rPr>
        <w:t xml:space="preserve"> </w:t>
      </w:r>
      <w:r>
        <w:rPr>
          <w:w w:val="90"/>
          <w:sz w:val="20"/>
        </w:rPr>
        <w:t>are</w:t>
      </w:r>
      <w:r>
        <w:rPr>
          <w:spacing w:val="-2"/>
          <w:sz w:val="20"/>
        </w:rPr>
        <w:t xml:space="preserve"> </w:t>
      </w:r>
      <w:r>
        <w:rPr>
          <w:w w:val="90"/>
          <w:sz w:val="20"/>
        </w:rPr>
        <w:t>by</w:t>
      </w:r>
      <w:r>
        <w:rPr>
          <w:spacing w:val="-3"/>
          <w:sz w:val="20"/>
        </w:rPr>
        <w:t xml:space="preserve"> </w:t>
      </w:r>
      <w:r>
        <w:rPr>
          <w:spacing w:val="-4"/>
          <w:w w:val="90"/>
          <w:sz w:val="20"/>
        </w:rPr>
        <w:t>rail</w:t>
      </w:r>
    </w:p>
    <w:p w:rsidR="002C1123" w:rsidRDefault="00F22F94">
      <w:pPr>
        <w:pStyle w:val="ListParagraph"/>
        <w:numPr>
          <w:ilvl w:val="1"/>
          <w:numId w:val="72"/>
        </w:numPr>
        <w:tabs>
          <w:tab w:val="left" w:pos="1046"/>
        </w:tabs>
        <w:spacing w:before="152" w:line="249" w:lineRule="auto"/>
        <w:ind w:right="1363"/>
        <w:rPr>
          <w:sz w:val="20"/>
        </w:rPr>
      </w:pPr>
      <w:r>
        <w:rPr>
          <w:w w:val="95"/>
          <w:sz w:val="20"/>
        </w:rPr>
        <w:t>80</w:t>
      </w:r>
      <w:r>
        <w:rPr>
          <w:spacing w:val="-3"/>
          <w:w w:val="95"/>
          <w:sz w:val="20"/>
        </w:rPr>
        <w:t xml:space="preserve"> </w:t>
      </w:r>
      <w:r>
        <w:rPr>
          <w:w w:val="95"/>
          <w:sz w:val="20"/>
        </w:rPr>
        <w:t>percent</w:t>
      </w:r>
      <w:r>
        <w:rPr>
          <w:spacing w:val="-3"/>
          <w:w w:val="95"/>
          <w:sz w:val="20"/>
        </w:rPr>
        <w:t xml:space="preserve"> </w:t>
      </w:r>
      <w:r>
        <w:rPr>
          <w:w w:val="95"/>
          <w:sz w:val="20"/>
        </w:rPr>
        <w:t>of</w:t>
      </w:r>
      <w:r>
        <w:rPr>
          <w:spacing w:val="-3"/>
          <w:w w:val="95"/>
          <w:sz w:val="20"/>
        </w:rPr>
        <w:t xml:space="preserve"> </w:t>
      </w:r>
      <w:r>
        <w:rPr>
          <w:w w:val="95"/>
          <w:sz w:val="20"/>
        </w:rPr>
        <w:t>interstate</w:t>
      </w:r>
      <w:r>
        <w:rPr>
          <w:spacing w:val="-3"/>
          <w:w w:val="95"/>
          <w:sz w:val="20"/>
        </w:rPr>
        <w:t xml:space="preserve"> </w:t>
      </w:r>
      <w:r>
        <w:rPr>
          <w:w w:val="95"/>
          <w:sz w:val="20"/>
        </w:rPr>
        <w:t>freight</w:t>
      </w:r>
      <w:r>
        <w:rPr>
          <w:spacing w:val="-3"/>
          <w:w w:val="95"/>
          <w:sz w:val="20"/>
        </w:rPr>
        <w:t xml:space="preserve"> </w:t>
      </w:r>
      <w:r>
        <w:rPr>
          <w:w w:val="95"/>
          <w:sz w:val="20"/>
        </w:rPr>
        <w:t xml:space="preserve">movements </w:t>
      </w:r>
      <w:r>
        <w:rPr>
          <w:sz w:val="20"/>
        </w:rPr>
        <w:t>(by</w:t>
      </w:r>
      <w:r>
        <w:rPr>
          <w:spacing w:val="-2"/>
          <w:sz w:val="20"/>
        </w:rPr>
        <w:t xml:space="preserve"> </w:t>
      </w:r>
      <w:r>
        <w:rPr>
          <w:sz w:val="20"/>
        </w:rPr>
        <w:t>volume)</w:t>
      </w:r>
      <w:r>
        <w:rPr>
          <w:spacing w:val="-2"/>
          <w:sz w:val="20"/>
        </w:rPr>
        <w:t xml:space="preserve"> </w:t>
      </w:r>
      <w:r>
        <w:rPr>
          <w:sz w:val="20"/>
        </w:rPr>
        <w:t>are</w:t>
      </w:r>
      <w:r>
        <w:rPr>
          <w:spacing w:val="-2"/>
          <w:sz w:val="20"/>
        </w:rPr>
        <w:t xml:space="preserve"> </w:t>
      </w:r>
      <w:r>
        <w:rPr>
          <w:sz w:val="20"/>
        </w:rPr>
        <w:t>by</w:t>
      </w:r>
      <w:r>
        <w:rPr>
          <w:spacing w:val="-2"/>
          <w:sz w:val="20"/>
        </w:rPr>
        <w:t xml:space="preserve"> </w:t>
      </w:r>
      <w:r>
        <w:rPr>
          <w:sz w:val="20"/>
        </w:rPr>
        <w:t>road</w:t>
      </w:r>
    </w:p>
    <w:p w:rsidR="002C1123" w:rsidRDefault="00F22F94">
      <w:pPr>
        <w:pStyle w:val="ListParagraph"/>
        <w:numPr>
          <w:ilvl w:val="0"/>
          <w:numId w:val="72"/>
        </w:numPr>
        <w:tabs>
          <w:tab w:val="left" w:pos="762"/>
        </w:tabs>
        <w:spacing w:before="131" w:line="249" w:lineRule="auto"/>
        <w:ind w:right="1579"/>
        <w:jc w:val="both"/>
        <w:rPr>
          <w:sz w:val="20"/>
        </w:rPr>
      </w:pPr>
      <w:r>
        <w:rPr>
          <w:w w:val="95"/>
          <w:sz w:val="20"/>
        </w:rPr>
        <w:t>Air</w:t>
      </w:r>
      <w:r>
        <w:rPr>
          <w:spacing w:val="-12"/>
          <w:w w:val="95"/>
          <w:sz w:val="20"/>
        </w:rPr>
        <w:t xml:space="preserve"> </w:t>
      </w:r>
      <w:r>
        <w:rPr>
          <w:w w:val="95"/>
          <w:sz w:val="20"/>
        </w:rPr>
        <w:t>travel</w:t>
      </w:r>
      <w:r>
        <w:rPr>
          <w:spacing w:val="-11"/>
          <w:w w:val="95"/>
          <w:sz w:val="20"/>
        </w:rPr>
        <w:t xml:space="preserve"> </w:t>
      </w:r>
      <w:r>
        <w:rPr>
          <w:w w:val="95"/>
          <w:sz w:val="20"/>
        </w:rPr>
        <w:t>plays</w:t>
      </w:r>
      <w:r>
        <w:rPr>
          <w:spacing w:val="-11"/>
          <w:w w:val="95"/>
          <w:sz w:val="20"/>
        </w:rPr>
        <w:t xml:space="preserve"> </w:t>
      </w:r>
      <w:r>
        <w:rPr>
          <w:w w:val="95"/>
          <w:sz w:val="20"/>
        </w:rPr>
        <w:t>a</w:t>
      </w:r>
      <w:r>
        <w:rPr>
          <w:spacing w:val="-11"/>
          <w:w w:val="95"/>
          <w:sz w:val="20"/>
        </w:rPr>
        <w:t xml:space="preserve"> </w:t>
      </w:r>
      <w:r>
        <w:rPr>
          <w:w w:val="95"/>
          <w:sz w:val="20"/>
        </w:rPr>
        <w:t>limited</w:t>
      </w:r>
      <w:r>
        <w:rPr>
          <w:spacing w:val="-11"/>
          <w:w w:val="95"/>
          <w:sz w:val="20"/>
        </w:rPr>
        <w:t xml:space="preserve"> </w:t>
      </w:r>
      <w:r>
        <w:rPr>
          <w:w w:val="95"/>
          <w:sz w:val="20"/>
        </w:rPr>
        <w:t>but</w:t>
      </w:r>
      <w:r>
        <w:rPr>
          <w:spacing w:val="-11"/>
          <w:w w:val="95"/>
          <w:sz w:val="20"/>
        </w:rPr>
        <w:t xml:space="preserve"> </w:t>
      </w:r>
      <w:r>
        <w:rPr>
          <w:w w:val="95"/>
          <w:sz w:val="20"/>
        </w:rPr>
        <w:t>valuable</w:t>
      </w:r>
      <w:r>
        <w:rPr>
          <w:spacing w:val="-11"/>
          <w:w w:val="95"/>
          <w:sz w:val="20"/>
        </w:rPr>
        <w:t xml:space="preserve"> </w:t>
      </w:r>
      <w:r>
        <w:rPr>
          <w:w w:val="95"/>
          <w:sz w:val="20"/>
        </w:rPr>
        <w:t>role</w:t>
      </w:r>
      <w:r>
        <w:rPr>
          <w:spacing w:val="-11"/>
          <w:w w:val="95"/>
          <w:sz w:val="20"/>
        </w:rPr>
        <w:t xml:space="preserve"> </w:t>
      </w:r>
      <w:r>
        <w:rPr>
          <w:w w:val="95"/>
          <w:sz w:val="20"/>
        </w:rPr>
        <w:t>for travel</w:t>
      </w:r>
      <w:r>
        <w:rPr>
          <w:spacing w:val="-7"/>
          <w:w w:val="95"/>
          <w:sz w:val="20"/>
        </w:rPr>
        <w:t xml:space="preserve"> </w:t>
      </w:r>
      <w:r>
        <w:rPr>
          <w:w w:val="95"/>
          <w:sz w:val="20"/>
        </w:rPr>
        <w:t>within</w:t>
      </w:r>
      <w:r>
        <w:rPr>
          <w:spacing w:val="-7"/>
          <w:w w:val="95"/>
          <w:sz w:val="20"/>
        </w:rPr>
        <w:t xml:space="preserve"> </w:t>
      </w:r>
      <w:r>
        <w:rPr>
          <w:w w:val="95"/>
          <w:sz w:val="20"/>
        </w:rPr>
        <w:t>NSW,</w:t>
      </w:r>
      <w:r>
        <w:rPr>
          <w:spacing w:val="-7"/>
          <w:w w:val="95"/>
          <w:sz w:val="20"/>
        </w:rPr>
        <w:t xml:space="preserve"> </w:t>
      </w:r>
      <w:r>
        <w:rPr>
          <w:w w:val="95"/>
          <w:sz w:val="20"/>
        </w:rPr>
        <w:t>both</w:t>
      </w:r>
      <w:r>
        <w:rPr>
          <w:spacing w:val="-7"/>
          <w:w w:val="95"/>
          <w:sz w:val="20"/>
        </w:rPr>
        <w:t xml:space="preserve"> </w:t>
      </w:r>
      <w:r>
        <w:rPr>
          <w:w w:val="95"/>
          <w:sz w:val="20"/>
        </w:rPr>
        <w:t>for</w:t>
      </w:r>
      <w:r>
        <w:rPr>
          <w:spacing w:val="-7"/>
          <w:w w:val="95"/>
          <w:sz w:val="20"/>
        </w:rPr>
        <w:t xml:space="preserve"> </w:t>
      </w:r>
      <w:r>
        <w:rPr>
          <w:w w:val="95"/>
          <w:sz w:val="20"/>
        </w:rPr>
        <w:t>passengers</w:t>
      </w:r>
      <w:r>
        <w:rPr>
          <w:spacing w:val="-7"/>
          <w:w w:val="95"/>
          <w:sz w:val="20"/>
        </w:rPr>
        <w:t xml:space="preserve"> </w:t>
      </w:r>
      <w:r>
        <w:rPr>
          <w:w w:val="95"/>
          <w:sz w:val="20"/>
        </w:rPr>
        <w:t xml:space="preserve">and </w:t>
      </w:r>
      <w:r>
        <w:rPr>
          <w:sz w:val="20"/>
        </w:rPr>
        <w:t>freight</w:t>
      </w:r>
      <w:r>
        <w:rPr>
          <w:spacing w:val="-11"/>
          <w:sz w:val="20"/>
        </w:rPr>
        <w:t xml:space="preserve"> </w:t>
      </w:r>
      <w:r>
        <w:rPr>
          <w:sz w:val="20"/>
        </w:rPr>
        <w:t>movements.</w:t>
      </w:r>
    </w:p>
    <w:p w:rsidR="002C1123" w:rsidRDefault="002C1123">
      <w:pPr>
        <w:spacing w:line="249" w:lineRule="auto"/>
        <w:jc w:val="both"/>
        <w:rPr>
          <w:sz w:val="20"/>
        </w:rPr>
        <w:sectPr w:rsidR="002C1123">
          <w:type w:val="continuous"/>
          <w:pgSz w:w="16840" w:h="11910" w:orient="landscape"/>
          <w:pgMar w:top="560" w:right="280" w:bottom="280" w:left="500" w:header="0" w:footer="517" w:gutter="0"/>
          <w:cols w:num="3" w:space="720" w:equalWidth="0">
            <w:col w:w="5161" w:space="40"/>
            <w:col w:w="4827" w:space="39"/>
            <w:col w:w="5993"/>
          </w:cols>
        </w:sectPr>
      </w:pPr>
    </w:p>
    <w:p w:rsidR="002C1123" w:rsidRDefault="002C1123">
      <w:pPr>
        <w:pStyle w:val="BodyText"/>
      </w:pPr>
    </w:p>
    <w:p w:rsidR="002C1123" w:rsidRDefault="002C1123">
      <w:pPr>
        <w:pStyle w:val="BodyText"/>
        <w:spacing w:before="3"/>
        <w:rPr>
          <w:sz w:val="23"/>
        </w:rPr>
      </w:pPr>
    </w:p>
    <w:p w:rsidR="002C1123" w:rsidRDefault="002060EF">
      <w:pPr>
        <w:pStyle w:val="BodyText"/>
        <w:spacing w:line="20" w:lineRule="exact"/>
        <w:ind w:left="10545"/>
        <w:rPr>
          <w:sz w:val="2"/>
        </w:rPr>
      </w:pPr>
      <w:r>
        <w:rPr>
          <w:sz w:val="2"/>
        </w:rPr>
      </w:r>
      <w:r>
        <w:rPr>
          <w:sz w:val="2"/>
        </w:rPr>
        <w:pict>
          <v:group id="docshapegroup1667" o:spid="_x0000_s3420" style="width:1in;height:.5pt;mso-position-horizontal-relative:char;mso-position-vertical-relative:line" coordsize="1440,10">
            <v:line id="_x0000_s3421" style="position:absolute" from="0,5" to="1440,5" strokecolor="#9c9c9d" strokeweight=".5pt"/>
            <w10:anchorlock/>
          </v:group>
        </w:pict>
      </w:r>
    </w:p>
    <w:p w:rsidR="002C1123" w:rsidRDefault="00F22F94">
      <w:pPr>
        <w:pStyle w:val="ListParagraph"/>
        <w:numPr>
          <w:ilvl w:val="0"/>
          <w:numId w:val="73"/>
        </w:numPr>
        <w:tabs>
          <w:tab w:val="left" w:pos="10745"/>
        </w:tabs>
        <w:spacing w:before="8" w:line="160" w:lineRule="exact"/>
        <w:ind w:hanging="200"/>
        <w:jc w:val="left"/>
        <w:rPr>
          <w:sz w:val="14"/>
        </w:rPr>
      </w:pPr>
      <w:r>
        <w:rPr>
          <w:w w:val="90"/>
          <w:sz w:val="14"/>
        </w:rPr>
        <w:t>NSW</w:t>
      </w:r>
      <w:r>
        <w:rPr>
          <w:spacing w:val="6"/>
          <w:sz w:val="14"/>
        </w:rPr>
        <w:t xml:space="preserve"> </w:t>
      </w:r>
      <w:r>
        <w:rPr>
          <w:w w:val="90"/>
          <w:sz w:val="14"/>
        </w:rPr>
        <w:t>Bureau</w:t>
      </w:r>
      <w:r>
        <w:rPr>
          <w:spacing w:val="6"/>
          <w:sz w:val="14"/>
        </w:rPr>
        <w:t xml:space="preserve"> </w:t>
      </w:r>
      <w:r>
        <w:rPr>
          <w:w w:val="90"/>
          <w:sz w:val="14"/>
        </w:rPr>
        <w:t>of</w:t>
      </w:r>
      <w:r>
        <w:rPr>
          <w:spacing w:val="6"/>
          <w:sz w:val="14"/>
        </w:rPr>
        <w:t xml:space="preserve"> </w:t>
      </w:r>
      <w:r>
        <w:rPr>
          <w:w w:val="90"/>
          <w:sz w:val="14"/>
        </w:rPr>
        <w:t>Transport</w:t>
      </w:r>
      <w:r>
        <w:rPr>
          <w:spacing w:val="6"/>
          <w:sz w:val="14"/>
        </w:rPr>
        <w:t xml:space="preserve"> </w:t>
      </w:r>
      <w:r>
        <w:rPr>
          <w:w w:val="90"/>
          <w:sz w:val="14"/>
        </w:rPr>
        <w:t>Statistics</w:t>
      </w:r>
      <w:r>
        <w:rPr>
          <w:spacing w:val="7"/>
          <w:sz w:val="14"/>
        </w:rPr>
        <w:t xml:space="preserve"> </w:t>
      </w:r>
      <w:r>
        <w:rPr>
          <w:w w:val="90"/>
          <w:sz w:val="14"/>
        </w:rPr>
        <w:t>2006,</w:t>
      </w:r>
      <w:r>
        <w:rPr>
          <w:spacing w:val="6"/>
          <w:sz w:val="14"/>
        </w:rPr>
        <w:t xml:space="preserve"> </w:t>
      </w:r>
      <w:r>
        <w:rPr>
          <w:w w:val="90"/>
          <w:sz w:val="14"/>
        </w:rPr>
        <w:t>Journeys</w:t>
      </w:r>
      <w:r>
        <w:rPr>
          <w:spacing w:val="6"/>
          <w:sz w:val="14"/>
        </w:rPr>
        <w:t xml:space="preserve"> </w:t>
      </w:r>
      <w:r>
        <w:rPr>
          <w:w w:val="90"/>
          <w:sz w:val="14"/>
        </w:rPr>
        <w:t>to</w:t>
      </w:r>
      <w:r>
        <w:rPr>
          <w:spacing w:val="6"/>
          <w:sz w:val="14"/>
        </w:rPr>
        <w:t xml:space="preserve"> </w:t>
      </w:r>
      <w:r>
        <w:rPr>
          <w:w w:val="90"/>
          <w:sz w:val="14"/>
        </w:rPr>
        <w:t>Work</w:t>
      </w:r>
      <w:r>
        <w:rPr>
          <w:spacing w:val="7"/>
          <w:sz w:val="14"/>
        </w:rPr>
        <w:t xml:space="preserve"> </w:t>
      </w:r>
      <w:r>
        <w:rPr>
          <w:w w:val="90"/>
          <w:sz w:val="14"/>
        </w:rPr>
        <w:t>in</w:t>
      </w:r>
      <w:r>
        <w:rPr>
          <w:spacing w:val="6"/>
          <w:sz w:val="14"/>
        </w:rPr>
        <w:t xml:space="preserve"> </w:t>
      </w:r>
      <w:r>
        <w:rPr>
          <w:w w:val="90"/>
          <w:sz w:val="14"/>
        </w:rPr>
        <w:t>Regional</w:t>
      </w:r>
      <w:r>
        <w:rPr>
          <w:spacing w:val="6"/>
          <w:sz w:val="14"/>
        </w:rPr>
        <w:t xml:space="preserve"> </w:t>
      </w:r>
      <w:r>
        <w:rPr>
          <w:spacing w:val="-4"/>
          <w:w w:val="90"/>
          <w:sz w:val="14"/>
        </w:rPr>
        <w:t>NSW.</w:t>
      </w:r>
    </w:p>
    <w:p w:rsidR="002C1123" w:rsidRDefault="00F22F94">
      <w:pPr>
        <w:pStyle w:val="ListParagraph"/>
        <w:numPr>
          <w:ilvl w:val="0"/>
          <w:numId w:val="73"/>
        </w:numPr>
        <w:tabs>
          <w:tab w:val="left" w:pos="10745"/>
        </w:tabs>
        <w:spacing w:line="160" w:lineRule="exact"/>
        <w:ind w:hanging="200"/>
        <w:jc w:val="left"/>
        <w:rPr>
          <w:sz w:val="14"/>
        </w:rPr>
      </w:pPr>
      <w:r>
        <w:rPr>
          <w:w w:val="90"/>
          <w:sz w:val="14"/>
        </w:rPr>
        <w:t>NSW</w:t>
      </w:r>
      <w:r>
        <w:rPr>
          <w:spacing w:val="6"/>
          <w:sz w:val="14"/>
        </w:rPr>
        <w:t xml:space="preserve"> </w:t>
      </w:r>
      <w:r>
        <w:rPr>
          <w:w w:val="90"/>
          <w:sz w:val="14"/>
        </w:rPr>
        <w:t>Bureau</w:t>
      </w:r>
      <w:r>
        <w:rPr>
          <w:spacing w:val="6"/>
          <w:sz w:val="14"/>
        </w:rPr>
        <w:t xml:space="preserve"> </w:t>
      </w:r>
      <w:r>
        <w:rPr>
          <w:w w:val="90"/>
          <w:sz w:val="14"/>
        </w:rPr>
        <w:t>of</w:t>
      </w:r>
      <w:r>
        <w:rPr>
          <w:spacing w:val="6"/>
          <w:sz w:val="14"/>
        </w:rPr>
        <w:t xml:space="preserve"> </w:t>
      </w:r>
      <w:r>
        <w:rPr>
          <w:w w:val="90"/>
          <w:sz w:val="14"/>
        </w:rPr>
        <w:t>Transport</w:t>
      </w:r>
      <w:r>
        <w:rPr>
          <w:spacing w:val="6"/>
          <w:sz w:val="14"/>
        </w:rPr>
        <w:t xml:space="preserve"> </w:t>
      </w:r>
      <w:r>
        <w:rPr>
          <w:w w:val="90"/>
          <w:sz w:val="14"/>
        </w:rPr>
        <w:t>Statistics</w:t>
      </w:r>
      <w:r>
        <w:rPr>
          <w:spacing w:val="7"/>
          <w:sz w:val="14"/>
        </w:rPr>
        <w:t xml:space="preserve"> </w:t>
      </w:r>
      <w:r>
        <w:rPr>
          <w:w w:val="90"/>
          <w:sz w:val="14"/>
        </w:rPr>
        <w:t>2006,</w:t>
      </w:r>
      <w:r>
        <w:rPr>
          <w:spacing w:val="6"/>
          <w:sz w:val="14"/>
        </w:rPr>
        <w:t xml:space="preserve"> </w:t>
      </w:r>
      <w:r>
        <w:rPr>
          <w:w w:val="90"/>
          <w:sz w:val="14"/>
        </w:rPr>
        <w:t>Journeys</w:t>
      </w:r>
      <w:r>
        <w:rPr>
          <w:spacing w:val="6"/>
          <w:sz w:val="14"/>
        </w:rPr>
        <w:t xml:space="preserve"> </w:t>
      </w:r>
      <w:r>
        <w:rPr>
          <w:w w:val="90"/>
          <w:sz w:val="14"/>
        </w:rPr>
        <w:t>to</w:t>
      </w:r>
      <w:r>
        <w:rPr>
          <w:spacing w:val="6"/>
          <w:sz w:val="14"/>
        </w:rPr>
        <w:t xml:space="preserve"> </w:t>
      </w:r>
      <w:r>
        <w:rPr>
          <w:w w:val="90"/>
          <w:sz w:val="14"/>
        </w:rPr>
        <w:t>Work</w:t>
      </w:r>
      <w:r>
        <w:rPr>
          <w:spacing w:val="7"/>
          <w:sz w:val="14"/>
        </w:rPr>
        <w:t xml:space="preserve"> </w:t>
      </w:r>
      <w:r>
        <w:rPr>
          <w:w w:val="90"/>
          <w:sz w:val="14"/>
        </w:rPr>
        <w:t>in</w:t>
      </w:r>
      <w:r>
        <w:rPr>
          <w:spacing w:val="6"/>
          <w:sz w:val="14"/>
        </w:rPr>
        <w:t xml:space="preserve"> </w:t>
      </w:r>
      <w:r>
        <w:rPr>
          <w:w w:val="90"/>
          <w:sz w:val="14"/>
        </w:rPr>
        <w:t>Regional</w:t>
      </w:r>
      <w:r>
        <w:rPr>
          <w:spacing w:val="6"/>
          <w:sz w:val="14"/>
        </w:rPr>
        <w:t xml:space="preserve"> </w:t>
      </w:r>
      <w:r>
        <w:rPr>
          <w:spacing w:val="-4"/>
          <w:w w:val="90"/>
          <w:sz w:val="14"/>
        </w:rPr>
        <w:t>NSW.</w:t>
      </w:r>
    </w:p>
    <w:p w:rsidR="002C1123" w:rsidRDefault="00F22F94">
      <w:pPr>
        <w:pStyle w:val="ListParagraph"/>
        <w:numPr>
          <w:ilvl w:val="0"/>
          <w:numId w:val="73"/>
        </w:numPr>
        <w:tabs>
          <w:tab w:val="left" w:pos="10745"/>
        </w:tabs>
        <w:spacing w:line="160" w:lineRule="exact"/>
        <w:ind w:hanging="200"/>
        <w:jc w:val="left"/>
        <w:rPr>
          <w:sz w:val="14"/>
        </w:rPr>
      </w:pPr>
      <w:r>
        <w:rPr>
          <w:w w:val="95"/>
          <w:sz w:val="14"/>
        </w:rPr>
        <w:t>Transport</w:t>
      </w:r>
      <w:r>
        <w:rPr>
          <w:spacing w:val="-1"/>
          <w:sz w:val="14"/>
        </w:rPr>
        <w:t xml:space="preserve"> </w:t>
      </w:r>
      <w:r>
        <w:rPr>
          <w:w w:val="95"/>
          <w:sz w:val="14"/>
        </w:rPr>
        <w:t>for</w:t>
      </w:r>
      <w:r>
        <w:rPr>
          <w:spacing w:val="-1"/>
          <w:sz w:val="14"/>
        </w:rPr>
        <w:t xml:space="preserve"> </w:t>
      </w:r>
      <w:r>
        <w:rPr>
          <w:w w:val="95"/>
          <w:sz w:val="14"/>
        </w:rPr>
        <w:t>NSW</w:t>
      </w:r>
      <w:r>
        <w:rPr>
          <w:spacing w:val="-1"/>
          <w:sz w:val="14"/>
        </w:rPr>
        <w:t xml:space="preserve"> </w:t>
      </w:r>
      <w:r>
        <w:rPr>
          <w:w w:val="95"/>
          <w:sz w:val="14"/>
        </w:rPr>
        <w:t>2012,</w:t>
      </w:r>
      <w:r>
        <w:rPr>
          <w:spacing w:val="-1"/>
          <w:sz w:val="14"/>
        </w:rPr>
        <w:t xml:space="preserve"> </w:t>
      </w:r>
      <w:r>
        <w:rPr>
          <w:w w:val="95"/>
          <w:sz w:val="14"/>
        </w:rPr>
        <w:t>Draft</w:t>
      </w:r>
      <w:r>
        <w:rPr>
          <w:spacing w:val="-1"/>
          <w:sz w:val="14"/>
        </w:rPr>
        <w:t xml:space="preserve"> </w:t>
      </w:r>
      <w:r>
        <w:rPr>
          <w:w w:val="95"/>
          <w:sz w:val="14"/>
        </w:rPr>
        <w:t>Transport</w:t>
      </w:r>
      <w:r>
        <w:rPr>
          <w:spacing w:val="-1"/>
          <w:sz w:val="14"/>
        </w:rPr>
        <w:t xml:space="preserve"> </w:t>
      </w:r>
      <w:r>
        <w:rPr>
          <w:w w:val="95"/>
          <w:sz w:val="14"/>
        </w:rPr>
        <w:t>Master</w:t>
      </w:r>
      <w:r>
        <w:rPr>
          <w:spacing w:val="-1"/>
          <w:sz w:val="14"/>
        </w:rPr>
        <w:t xml:space="preserve"> </w:t>
      </w:r>
      <w:r>
        <w:rPr>
          <w:spacing w:val="-2"/>
          <w:w w:val="95"/>
          <w:sz w:val="14"/>
        </w:rPr>
        <w:t>Plan.</w:t>
      </w:r>
    </w:p>
    <w:p w:rsidR="002C1123" w:rsidRDefault="002C1123">
      <w:pPr>
        <w:spacing w:line="160" w:lineRule="exact"/>
        <w:rPr>
          <w:sz w:val="14"/>
        </w:rPr>
        <w:sectPr w:rsidR="002C1123">
          <w:type w:val="continuous"/>
          <w:pgSz w:w="16840" w:h="11910" w:orient="landscape"/>
          <w:pgMar w:top="560" w:right="280" w:bottom="280" w:left="500" w:header="0" w:footer="517"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7"/>
        </w:rPr>
      </w:pPr>
    </w:p>
    <w:p w:rsidR="002C1123" w:rsidRDefault="002C1123">
      <w:pPr>
        <w:rPr>
          <w:sz w:val="17"/>
        </w:rPr>
        <w:sectPr w:rsidR="002C1123">
          <w:pgSz w:w="16840" w:h="11910" w:orient="landscape"/>
          <w:pgMar w:top="560" w:right="280" w:bottom="700" w:left="500" w:header="0" w:footer="517" w:gutter="0"/>
          <w:cols w:space="720"/>
        </w:sectPr>
      </w:pPr>
    </w:p>
    <w:p w:rsidR="002C1123" w:rsidRDefault="00F22F94">
      <w:pPr>
        <w:pStyle w:val="ListParagraph"/>
        <w:numPr>
          <w:ilvl w:val="0"/>
          <w:numId w:val="72"/>
        </w:numPr>
        <w:tabs>
          <w:tab w:val="left" w:pos="776"/>
        </w:tabs>
        <w:spacing w:before="116" w:line="249" w:lineRule="auto"/>
        <w:ind w:left="775" w:right="247"/>
        <w:rPr>
          <w:sz w:val="20"/>
        </w:rPr>
      </w:pPr>
      <w:bookmarkStart w:id="268" w:name="10.2__Transport_infrastructure_in_Region"/>
      <w:bookmarkStart w:id="269" w:name="_bookmark190"/>
      <w:bookmarkStart w:id="270" w:name="_bookmark189"/>
      <w:bookmarkEnd w:id="268"/>
      <w:bookmarkEnd w:id="269"/>
      <w:bookmarkEnd w:id="270"/>
      <w:r>
        <w:rPr>
          <w:w w:val="95"/>
          <w:sz w:val="20"/>
        </w:rPr>
        <w:t>Regional passenger transport demand is forecast to</w:t>
      </w:r>
      <w:r>
        <w:rPr>
          <w:spacing w:val="-4"/>
          <w:w w:val="95"/>
          <w:sz w:val="20"/>
        </w:rPr>
        <w:t xml:space="preserve"> </w:t>
      </w:r>
      <w:r>
        <w:rPr>
          <w:w w:val="95"/>
          <w:sz w:val="20"/>
        </w:rPr>
        <w:t>grow</w:t>
      </w:r>
      <w:r>
        <w:rPr>
          <w:spacing w:val="-4"/>
          <w:w w:val="95"/>
          <w:sz w:val="20"/>
        </w:rPr>
        <w:t xml:space="preserve"> </w:t>
      </w:r>
      <w:r>
        <w:rPr>
          <w:w w:val="95"/>
          <w:sz w:val="20"/>
        </w:rPr>
        <w:t>relatively</w:t>
      </w:r>
      <w:r>
        <w:rPr>
          <w:spacing w:val="-4"/>
          <w:w w:val="95"/>
          <w:sz w:val="20"/>
        </w:rPr>
        <w:t xml:space="preserve"> </w:t>
      </w:r>
      <w:r>
        <w:rPr>
          <w:w w:val="95"/>
          <w:sz w:val="20"/>
        </w:rPr>
        <w:t>slowly</w:t>
      </w:r>
      <w:r>
        <w:rPr>
          <w:spacing w:val="-4"/>
          <w:w w:val="95"/>
          <w:sz w:val="20"/>
        </w:rPr>
        <w:t xml:space="preserve"> </w:t>
      </w:r>
      <w:r>
        <w:rPr>
          <w:w w:val="95"/>
          <w:sz w:val="20"/>
        </w:rPr>
        <w:t>over</w:t>
      </w:r>
      <w:r>
        <w:rPr>
          <w:spacing w:val="-4"/>
          <w:w w:val="95"/>
          <w:sz w:val="20"/>
        </w:rPr>
        <w:t xml:space="preserve"> </w:t>
      </w:r>
      <w:r>
        <w:rPr>
          <w:w w:val="95"/>
          <w:sz w:val="20"/>
        </w:rPr>
        <w:t>the</w:t>
      </w:r>
      <w:r>
        <w:rPr>
          <w:spacing w:val="-4"/>
          <w:w w:val="95"/>
          <w:sz w:val="20"/>
        </w:rPr>
        <w:t xml:space="preserve"> </w:t>
      </w:r>
      <w:r>
        <w:rPr>
          <w:w w:val="95"/>
          <w:sz w:val="20"/>
        </w:rPr>
        <w:t>next</w:t>
      </w:r>
      <w:r>
        <w:rPr>
          <w:spacing w:val="-4"/>
          <w:w w:val="95"/>
          <w:sz w:val="20"/>
        </w:rPr>
        <w:t xml:space="preserve"> </w:t>
      </w:r>
      <w:r>
        <w:rPr>
          <w:w w:val="95"/>
          <w:sz w:val="20"/>
        </w:rPr>
        <w:t>20</w:t>
      </w:r>
      <w:r>
        <w:rPr>
          <w:spacing w:val="-4"/>
          <w:w w:val="95"/>
          <w:sz w:val="20"/>
        </w:rPr>
        <w:t xml:space="preserve"> </w:t>
      </w:r>
      <w:r>
        <w:rPr>
          <w:w w:val="95"/>
          <w:sz w:val="20"/>
        </w:rPr>
        <w:t>years,</w:t>
      </w:r>
      <w:r>
        <w:rPr>
          <w:spacing w:val="-4"/>
          <w:w w:val="95"/>
          <w:sz w:val="20"/>
        </w:rPr>
        <w:t xml:space="preserve"> </w:t>
      </w:r>
      <w:r>
        <w:rPr>
          <w:w w:val="95"/>
          <w:sz w:val="20"/>
        </w:rPr>
        <w:t xml:space="preserve">at </w:t>
      </w:r>
      <w:r>
        <w:rPr>
          <w:sz w:val="20"/>
        </w:rPr>
        <w:t>around one percent per annum</w:t>
      </w:r>
      <w:r>
        <w:rPr>
          <w:position w:val="7"/>
          <w:sz w:val="11"/>
        </w:rPr>
        <w:t>4</w:t>
      </w:r>
      <w:r>
        <w:rPr>
          <w:sz w:val="20"/>
        </w:rPr>
        <w:t>.</w:t>
      </w:r>
    </w:p>
    <w:p w:rsidR="002C1123" w:rsidRDefault="00F22F94">
      <w:pPr>
        <w:pStyle w:val="ListParagraph"/>
        <w:numPr>
          <w:ilvl w:val="0"/>
          <w:numId w:val="72"/>
        </w:numPr>
        <w:tabs>
          <w:tab w:val="left" w:pos="776"/>
        </w:tabs>
        <w:spacing w:before="132" w:line="249" w:lineRule="auto"/>
        <w:ind w:left="775"/>
        <w:rPr>
          <w:sz w:val="20"/>
        </w:rPr>
      </w:pPr>
      <w:r>
        <w:rPr>
          <w:sz w:val="20"/>
        </w:rPr>
        <w:t>Freight</w:t>
      </w:r>
      <w:r>
        <w:rPr>
          <w:spacing w:val="-9"/>
          <w:sz w:val="20"/>
        </w:rPr>
        <w:t xml:space="preserve"> </w:t>
      </w:r>
      <w:r>
        <w:rPr>
          <w:sz w:val="20"/>
        </w:rPr>
        <w:t>demand</w:t>
      </w:r>
      <w:r>
        <w:rPr>
          <w:spacing w:val="-9"/>
          <w:sz w:val="20"/>
        </w:rPr>
        <w:t xml:space="preserve"> </w:t>
      </w:r>
      <w:r>
        <w:rPr>
          <w:sz w:val="20"/>
        </w:rPr>
        <w:t>is</w:t>
      </w:r>
      <w:r>
        <w:rPr>
          <w:spacing w:val="-9"/>
          <w:sz w:val="20"/>
        </w:rPr>
        <w:t xml:space="preserve"> </w:t>
      </w:r>
      <w:r>
        <w:rPr>
          <w:sz w:val="20"/>
        </w:rPr>
        <w:t>forecast</w:t>
      </w:r>
      <w:r>
        <w:rPr>
          <w:spacing w:val="-9"/>
          <w:sz w:val="20"/>
        </w:rPr>
        <w:t xml:space="preserve"> </w:t>
      </w:r>
      <w:r>
        <w:rPr>
          <w:sz w:val="20"/>
        </w:rPr>
        <w:t>to</w:t>
      </w:r>
      <w:r>
        <w:rPr>
          <w:spacing w:val="-9"/>
          <w:sz w:val="20"/>
        </w:rPr>
        <w:t xml:space="preserve"> </w:t>
      </w:r>
      <w:r>
        <w:rPr>
          <w:sz w:val="20"/>
        </w:rPr>
        <w:t>grow</w:t>
      </w:r>
      <w:r>
        <w:rPr>
          <w:spacing w:val="-9"/>
          <w:sz w:val="20"/>
        </w:rPr>
        <w:t xml:space="preserve"> </w:t>
      </w:r>
      <w:r>
        <w:rPr>
          <w:sz w:val="20"/>
        </w:rPr>
        <w:t>more</w:t>
      </w:r>
      <w:r>
        <w:rPr>
          <w:spacing w:val="-9"/>
          <w:sz w:val="20"/>
        </w:rPr>
        <w:t xml:space="preserve"> </w:t>
      </w:r>
      <w:r>
        <w:rPr>
          <w:sz w:val="20"/>
        </w:rPr>
        <w:t xml:space="preserve">rapidly </w:t>
      </w:r>
      <w:r>
        <w:rPr>
          <w:w w:val="95"/>
          <w:sz w:val="20"/>
        </w:rPr>
        <w:t>than</w:t>
      </w:r>
      <w:r>
        <w:rPr>
          <w:spacing w:val="-5"/>
          <w:w w:val="95"/>
          <w:sz w:val="20"/>
        </w:rPr>
        <w:t xml:space="preserve"> </w:t>
      </w:r>
      <w:r>
        <w:rPr>
          <w:w w:val="95"/>
          <w:sz w:val="20"/>
        </w:rPr>
        <w:t>passenger</w:t>
      </w:r>
      <w:r>
        <w:rPr>
          <w:spacing w:val="-5"/>
          <w:w w:val="95"/>
          <w:sz w:val="20"/>
        </w:rPr>
        <w:t xml:space="preserve"> </w:t>
      </w:r>
      <w:r>
        <w:rPr>
          <w:w w:val="95"/>
          <w:sz w:val="20"/>
        </w:rPr>
        <w:t>demand.</w:t>
      </w:r>
      <w:r>
        <w:rPr>
          <w:spacing w:val="-5"/>
          <w:w w:val="95"/>
          <w:sz w:val="20"/>
        </w:rPr>
        <w:t xml:space="preserve"> </w:t>
      </w:r>
      <w:r>
        <w:rPr>
          <w:w w:val="95"/>
          <w:sz w:val="20"/>
        </w:rPr>
        <w:t>Over</w:t>
      </w:r>
      <w:r>
        <w:rPr>
          <w:spacing w:val="-5"/>
          <w:w w:val="95"/>
          <w:sz w:val="20"/>
        </w:rPr>
        <w:t xml:space="preserve"> </w:t>
      </w:r>
      <w:r>
        <w:rPr>
          <w:w w:val="95"/>
          <w:sz w:val="20"/>
        </w:rPr>
        <w:t>the</w:t>
      </w:r>
      <w:r>
        <w:rPr>
          <w:spacing w:val="-5"/>
          <w:w w:val="95"/>
          <w:sz w:val="20"/>
        </w:rPr>
        <w:t xml:space="preserve"> </w:t>
      </w:r>
      <w:r>
        <w:rPr>
          <w:w w:val="95"/>
          <w:sz w:val="20"/>
        </w:rPr>
        <w:t>next</w:t>
      </w:r>
      <w:r>
        <w:rPr>
          <w:spacing w:val="-5"/>
          <w:w w:val="95"/>
          <w:sz w:val="20"/>
        </w:rPr>
        <w:t xml:space="preserve"> </w:t>
      </w:r>
      <w:r>
        <w:rPr>
          <w:w w:val="95"/>
          <w:sz w:val="20"/>
        </w:rPr>
        <w:t>20</w:t>
      </w:r>
      <w:r>
        <w:rPr>
          <w:spacing w:val="-5"/>
          <w:w w:val="95"/>
          <w:sz w:val="20"/>
        </w:rPr>
        <w:t xml:space="preserve"> </w:t>
      </w:r>
      <w:r>
        <w:rPr>
          <w:w w:val="95"/>
          <w:sz w:val="20"/>
        </w:rPr>
        <w:t>years,</w:t>
      </w:r>
      <w:r>
        <w:rPr>
          <w:spacing w:val="-5"/>
          <w:w w:val="95"/>
          <w:sz w:val="20"/>
        </w:rPr>
        <w:t xml:space="preserve"> </w:t>
      </w:r>
      <w:r>
        <w:rPr>
          <w:w w:val="95"/>
          <w:sz w:val="20"/>
        </w:rPr>
        <w:t xml:space="preserve">the </w:t>
      </w:r>
      <w:r>
        <w:rPr>
          <w:sz w:val="20"/>
        </w:rPr>
        <w:t>volume</w:t>
      </w:r>
      <w:r>
        <w:rPr>
          <w:spacing w:val="-12"/>
          <w:sz w:val="20"/>
        </w:rPr>
        <w:t xml:space="preserve"> </w:t>
      </w:r>
      <w:r>
        <w:rPr>
          <w:sz w:val="20"/>
        </w:rPr>
        <w:t>of</w:t>
      </w:r>
      <w:r>
        <w:rPr>
          <w:spacing w:val="-12"/>
          <w:sz w:val="20"/>
        </w:rPr>
        <w:t xml:space="preserve"> </w:t>
      </w:r>
      <w:r>
        <w:rPr>
          <w:sz w:val="20"/>
        </w:rPr>
        <w:t>freight</w:t>
      </w:r>
      <w:r>
        <w:rPr>
          <w:spacing w:val="-12"/>
          <w:sz w:val="20"/>
        </w:rPr>
        <w:t xml:space="preserve"> </w:t>
      </w:r>
      <w:r>
        <w:rPr>
          <w:sz w:val="20"/>
        </w:rPr>
        <w:t>being</w:t>
      </w:r>
      <w:r>
        <w:rPr>
          <w:spacing w:val="-12"/>
          <w:sz w:val="20"/>
        </w:rPr>
        <w:t xml:space="preserve"> </w:t>
      </w:r>
      <w:r>
        <w:rPr>
          <w:sz w:val="20"/>
        </w:rPr>
        <w:t>moved</w:t>
      </w:r>
      <w:r>
        <w:rPr>
          <w:spacing w:val="-12"/>
          <w:sz w:val="20"/>
        </w:rPr>
        <w:t xml:space="preserve"> </w:t>
      </w:r>
      <w:r>
        <w:rPr>
          <w:sz w:val="20"/>
        </w:rPr>
        <w:t>in</w:t>
      </w:r>
      <w:r>
        <w:rPr>
          <w:spacing w:val="-12"/>
          <w:sz w:val="20"/>
        </w:rPr>
        <w:t xml:space="preserve"> </w:t>
      </w:r>
      <w:r>
        <w:rPr>
          <w:sz w:val="20"/>
        </w:rPr>
        <w:t>NSW</w:t>
      </w:r>
      <w:r>
        <w:rPr>
          <w:spacing w:val="-12"/>
          <w:sz w:val="20"/>
        </w:rPr>
        <w:t xml:space="preserve"> </w:t>
      </w:r>
      <w:r>
        <w:rPr>
          <w:sz w:val="20"/>
        </w:rPr>
        <w:t>is</w:t>
      </w:r>
      <w:r>
        <w:rPr>
          <w:spacing w:val="-12"/>
          <w:sz w:val="20"/>
        </w:rPr>
        <w:t xml:space="preserve"> </w:t>
      </w:r>
      <w:r>
        <w:rPr>
          <w:sz w:val="20"/>
        </w:rPr>
        <w:t>expected almost to double</w:t>
      </w:r>
      <w:r>
        <w:rPr>
          <w:position w:val="7"/>
          <w:sz w:val="11"/>
        </w:rPr>
        <w:t>5</w:t>
      </w:r>
      <w:r>
        <w:rPr>
          <w:sz w:val="20"/>
        </w:rPr>
        <w:t>.</w:t>
      </w:r>
    </w:p>
    <w:p w:rsidR="002C1123" w:rsidRDefault="00F22F94">
      <w:pPr>
        <w:pStyle w:val="ListParagraph"/>
        <w:numPr>
          <w:ilvl w:val="0"/>
          <w:numId w:val="72"/>
        </w:numPr>
        <w:tabs>
          <w:tab w:val="left" w:pos="776"/>
        </w:tabs>
        <w:spacing w:before="132" w:line="249" w:lineRule="auto"/>
        <w:ind w:left="775"/>
        <w:rPr>
          <w:sz w:val="20"/>
        </w:rPr>
      </w:pPr>
      <w:r>
        <w:rPr>
          <w:w w:val="90"/>
          <w:sz w:val="20"/>
        </w:rPr>
        <w:t xml:space="preserve">Major investment has been undertaken in recent years </w:t>
      </w:r>
      <w:r>
        <w:rPr>
          <w:w w:val="95"/>
          <w:sz w:val="20"/>
        </w:rPr>
        <w:t>on</w:t>
      </w:r>
      <w:r>
        <w:rPr>
          <w:spacing w:val="-5"/>
          <w:w w:val="95"/>
          <w:sz w:val="20"/>
        </w:rPr>
        <w:t xml:space="preserve"> </w:t>
      </w:r>
      <w:r>
        <w:rPr>
          <w:w w:val="95"/>
          <w:sz w:val="20"/>
        </w:rPr>
        <w:t>the</w:t>
      </w:r>
      <w:r>
        <w:rPr>
          <w:spacing w:val="-5"/>
          <w:w w:val="95"/>
          <w:sz w:val="20"/>
        </w:rPr>
        <w:t xml:space="preserve"> </w:t>
      </w:r>
      <w:r>
        <w:rPr>
          <w:w w:val="95"/>
          <w:sz w:val="20"/>
        </w:rPr>
        <w:t>regional</w:t>
      </w:r>
      <w:r>
        <w:rPr>
          <w:spacing w:val="-5"/>
          <w:w w:val="95"/>
          <w:sz w:val="20"/>
        </w:rPr>
        <w:t xml:space="preserve"> </w:t>
      </w:r>
      <w:r>
        <w:rPr>
          <w:w w:val="95"/>
          <w:sz w:val="20"/>
        </w:rPr>
        <w:t>road</w:t>
      </w:r>
      <w:r>
        <w:rPr>
          <w:spacing w:val="-5"/>
          <w:w w:val="95"/>
          <w:sz w:val="20"/>
        </w:rPr>
        <w:t xml:space="preserve"> </w:t>
      </w:r>
      <w:r>
        <w:rPr>
          <w:w w:val="95"/>
          <w:sz w:val="20"/>
        </w:rPr>
        <w:t>network</w:t>
      </w:r>
      <w:r>
        <w:rPr>
          <w:spacing w:val="-5"/>
          <w:w w:val="95"/>
          <w:sz w:val="20"/>
        </w:rPr>
        <w:t xml:space="preserve"> </w:t>
      </w:r>
      <w:r>
        <w:rPr>
          <w:w w:val="95"/>
          <w:sz w:val="20"/>
        </w:rPr>
        <w:t>in</w:t>
      </w:r>
      <w:r>
        <w:rPr>
          <w:spacing w:val="-5"/>
          <w:w w:val="95"/>
          <w:sz w:val="20"/>
        </w:rPr>
        <w:t xml:space="preserve"> </w:t>
      </w:r>
      <w:r>
        <w:rPr>
          <w:w w:val="95"/>
          <w:sz w:val="20"/>
        </w:rPr>
        <w:t>Regional</w:t>
      </w:r>
      <w:r>
        <w:rPr>
          <w:spacing w:val="-5"/>
          <w:w w:val="95"/>
          <w:sz w:val="20"/>
        </w:rPr>
        <w:t xml:space="preserve"> </w:t>
      </w:r>
      <w:r>
        <w:rPr>
          <w:w w:val="95"/>
          <w:sz w:val="20"/>
        </w:rPr>
        <w:t>NSW.</w:t>
      </w:r>
      <w:r>
        <w:rPr>
          <w:spacing w:val="-5"/>
          <w:w w:val="95"/>
          <w:sz w:val="20"/>
        </w:rPr>
        <w:t xml:space="preserve"> </w:t>
      </w:r>
      <w:r>
        <w:rPr>
          <w:w w:val="95"/>
          <w:sz w:val="20"/>
        </w:rPr>
        <w:t>This has been supported by Commonwealth Government funding through the Nation Building Program, which will</w:t>
      </w:r>
      <w:r>
        <w:rPr>
          <w:spacing w:val="-9"/>
          <w:w w:val="95"/>
          <w:sz w:val="20"/>
        </w:rPr>
        <w:t xml:space="preserve"> </w:t>
      </w:r>
      <w:r>
        <w:rPr>
          <w:w w:val="95"/>
          <w:sz w:val="20"/>
        </w:rPr>
        <w:t>invest</w:t>
      </w:r>
      <w:r>
        <w:rPr>
          <w:spacing w:val="-9"/>
          <w:w w:val="95"/>
          <w:sz w:val="20"/>
        </w:rPr>
        <w:t xml:space="preserve"> </w:t>
      </w:r>
      <w:r>
        <w:rPr>
          <w:w w:val="95"/>
          <w:sz w:val="20"/>
        </w:rPr>
        <w:t>around</w:t>
      </w:r>
      <w:r>
        <w:rPr>
          <w:spacing w:val="-9"/>
          <w:w w:val="95"/>
          <w:sz w:val="20"/>
        </w:rPr>
        <w:t xml:space="preserve"> </w:t>
      </w:r>
      <w:r>
        <w:rPr>
          <w:w w:val="95"/>
          <w:sz w:val="20"/>
        </w:rPr>
        <w:t>$11</w:t>
      </w:r>
      <w:r>
        <w:rPr>
          <w:spacing w:val="-9"/>
          <w:w w:val="95"/>
          <w:sz w:val="20"/>
        </w:rPr>
        <w:t xml:space="preserve"> </w:t>
      </w:r>
      <w:r>
        <w:rPr>
          <w:w w:val="95"/>
          <w:sz w:val="20"/>
        </w:rPr>
        <w:t>billion</w:t>
      </w:r>
      <w:r>
        <w:rPr>
          <w:spacing w:val="-9"/>
          <w:w w:val="95"/>
          <w:sz w:val="20"/>
        </w:rPr>
        <w:t xml:space="preserve"> </w:t>
      </w:r>
      <w:r>
        <w:rPr>
          <w:w w:val="95"/>
          <w:sz w:val="20"/>
        </w:rPr>
        <w:t>in</w:t>
      </w:r>
      <w:r>
        <w:rPr>
          <w:spacing w:val="-9"/>
          <w:w w:val="95"/>
          <w:sz w:val="20"/>
        </w:rPr>
        <w:t xml:space="preserve"> </w:t>
      </w:r>
      <w:r>
        <w:rPr>
          <w:w w:val="95"/>
          <w:sz w:val="20"/>
        </w:rPr>
        <w:t>regional</w:t>
      </w:r>
      <w:r>
        <w:rPr>
          <w:spacing w:val="-9"/>
          <w:w w:val="95"/>
          <w:sz w:val="20"/>
        </w:rPr>
        <w:t xml:space="preserve"> </w:t>
      </w:r>
      <w:r>
        <w:rPr>
          <w:w w:val="95"/>
          <w:sz w:val="20"/>
        </w:rPr>
        <w:t>NSW’s</w:t>
      </w:r>
      <w:r>
        <w:rPr>
          <w:spacing w:val="-9"/>
          <w:w w:val="95"/>
          <w:sz w:val="20"/>
        </w:rPr>
        <w:t xml:space="preserve"> </w:t>
      </w:r>
      <w:r>
        <w:rPr>
          <w:w w:val="95"/>
          <w:sz w:val="20"/>
        </w:rPr>
        <w:t xml:space="preserve">roads </w:t>
      </w:r>
      <w:r>
        <w:rPr>
          <w:spacing w:val="-2"/>
          <w:sz w:val="20"/>
        </w:rPr>
        <w:t>over</w:t>
      </w:r>
      <w:r>
        <w:rPr>
          <w:spacing w:val="-15"/>
          <w:sz w:val="20"/>
        </w:rPr>
        <w:t xml:space="preserve"> </w:t>
      </w:r>
      <w:r>
        <w:rPr>
          <w:spacing w:val="-2"/>
          <w:sz w:val="20"/>
        </w:rPr>
        <w:t>the</w:t>
      </w:r>
      <w:r>
        <w:rPr>
          <w:spacing w:val="-15"/>
          <w:sz w:val="20"/>
        </w:rPr>
        <w:t xml:space="preserve"> </w:t>
      </w:r>
      <w:r>
        <w:rPr>
          <w:spacing w:val="-2"/>
          <w:sz w:val="20"/>
        </w:rPr>
        <w:t>period</w:t>
      </w:r>
      <w:r>
        <w:rPr>
          <w:spacing w:val="-15"/>
          <w:sz w:val="20"/>
        </w:rPr>
        <w:t xml:space="preserve"> </w:t>
      </w:r>
      <w:r>
        <w:rPr>
          <w:spacing w:val="-2"/>
          <w:sz w:val="20"/>
        </w:rPr>
        <w:t>from</w:t>
      </w:r>
      <w:r>
        <w:rPr>
          <w:spacing w:val="-15"/>
          <w:sz w:val="20"/>
        </w:rPr>
        <w:t xml:space="preserve"> </w:t>
      </w:r>
      <w:r>
        <w:rPr>
          <w:spacing w:val="-2"/>
          <w:sz w:val="20"/>
        </w:rPr>
        <w:t>2008-09</w:t>
      </w:r>
      <w:r>
        <w:rPr>
          <w:spacing w:val="-15"/>
          <w:sz w:val="20"/>
        </w:rPr>
        <w:t xml:space="preserve"> </w:t>
      </w:r>
      <w:r>
        <w:rPr>
          <w:spacing w:val="-2"/>
          <w:sz w:val="20"/>
        </w:rPr>
        <w:t>to</w:t>
      </w:r>
      <w:r>
        <w:rPr>
          <w:spacing w:val="-15"/>
          <w:sz w:val="20"/>
        </w:rPr>
        <w:t xml:space="preserve"> </w:t>
      </w:r>
      <w:r>
        <w:rPr>
          <w:spacing w:val="-2"/>
          <w:sz w:val="20"/>
        </w:rPr>
        <w:t>2013-14.</w:t>
      </w:r>
      <w:r>
        <w:rPr>
          <w:spacing w:val="-15"/>
          <w:sz w:val="20"/>
        </w:rPr>
        <w:t xml:space="preserve"> </w:t>
      </w:r>
      <w:r>
        <w:rPr>
          <w:spacing w:val="-2"/>
          <w:sz w:val="20"/>
        </w:rPr>
        <w:t xml:space="preserve">Projects </w:t>
      </w:r>
      <w:r>
        <w:rPr>
          <w:w w:val="95"/>
          <w:sz w:val="20"/>
        </w:rPr>
        <w:t>have included investment in the duplication of the Hume</w:t>
      </w:r>
      <w:r>
        <w:rPr>
          <w:spacing w:val="-3"/>
          <w:w w:val="95"/>
          <w:sz w:val="20"/>
        </w:rPr>
        <w:t xml:space="preserve"> </w:t>
      </w:r>
      <w:r>
        <w:rPr>
          <w:w w:val="95"/>
          <w:sz w:val="20"/>
        </w:rPr>
        <w:t>and</w:t>
      </w:r>
      <w:r>
        <w:rPr>
          <w:spacing w:val="-3"/>
          <w:w w:val="95"/>
          <w:sz w:val="20"/>
        </w:rPr>
        <w:t xml:space="preserve"> </w:t>
      </w:r>
      <w:r>
        <w:rPr>
          <w:w w:val="95"/>
          <w:sz w:val="20"/>
        </w:rPr>
        <w:t>Pacific</w:t>
      </w:r>
      <w:r>
        <w:rPr>
          <w:spacing w:val="-3"/>
          <w:w w:val="95"/>
          <w:sz w:val="20"/>
        </w:rPr>
        <w:t xml:space="preserve"> </w:t>
      </w:r>
      <w:r>
        <w:rPr>
          <w:w w:val="95"/>
          <w:sz w:val="20"/>
        </w:rPr>
        <w:t>Highways,</w:t>
      </w:r>
      <w:r>
        <w:rPr>
          <w:spacing w:val="-3"/>
          <w:w w:val="95"/>
          <w:sz w:val="20"/>
        </w:rPr>
        <w:t xml:space="preserve"> </w:t>
      </w:r>
      <w:r>
        <w:rPr>
          <w:w w:val="95"/>
          <w:sz w:val="20"/>
        </w:rPr>
        <w:t>and</w:t>
      </w:r>
      <w:r>
        <w:rPr>
          <w:spacing w:val="-3"/>
          <w:w w:val="95"/>
          <w:sz w:val="20"/>
        </w:rPr>
        <w:t xml:space="preserve"> </w:t>
      </w:r>
      <w:r>
        <w:rPr>
          <w:w w:val="95"/>
          <w:sz w:val="20"/>
        </w:rPr>
        <w:t>in</w:t>
      </w:r>
      <w:r>
        <w:rPr>
          <w:spacing w:val="-3"/>
          <w:w w:val="95"/>
          <w:sz w:val="20"/>
        </w:rPr>
        <w:t xml:space="preserve"> </w:t>
      </w:r>
      <w:r>
        <w:rPr>
          <w:w w:val="95"/>
          <w:sz w:val="20"/>
        </w:rPr>
        <w:t>new</w:t>
      </w:r>
      <w:r>
        <w:rPr>
          <w:spacing w:val="-3"/>
          <w:w w:val="95"/>
          <w:sz w:val="20"/>
        </w:rPr>
        <w:t xml:space="preserve"> </w:t>
      </w:r>
      <w:r>
        <w:rPr>
          <w:w w:val="95"/>
          <w:sz w:val="20"/>
        </w:rPr>
        <w:t>routes</w:t>
      </w:r>
      <w:r>
        <w:rPr>
          <w:spacing w:val="-3"/>
          <w:w w:val="95"/>
          <w:sz w:val="20"/>
        </w:rPr>
        <w:t xml:space="preserve"> </w:t>
      </w:r>
      <w:r>
        <w:rPr>
          <w:w w:val="95"/>
          <w:sz w:val="20"/>
        </w:rPr>
        <w:t xml:space="preserve">such </w:t>
      </w:r>
      <w:r>
        <w:rPr>
          <w:sz w:val="20"/>
        </w:rPr>
        <w:t>as</w:t>
      </w:r>
      <w:r>
        <w:rPr>
          <w:spacing w:val="-15"/>
          <w:sz w:val="20"/>
        </w:rPr>
        <w:t xml:space="preserve"> </w:t>
      </w:r>
      <w:r>
        <w:rPr>
          <w:sz w:val="20"/>
        </w:rPr>
        <w:t>the</w:t>
      </w:r>
      <w:r>
        <w:rPr>
          <w:spacing w:val="-15"/>
          <w:sz w:val="20"/>
        </w:rPr>
        <w:t xml:space="preserve"> </w:t>
      </w:r>
      <w:r>
        <w:rPr>
          <w:sz w:val="20"/>
        </w:rPr>
        <w:t>Hunter</w:t>
      </w:r>
      <w:r>
        <w:rPr>
          <w:spacing w:val="-15"/>
          <w:sz w:val="20"/>
        </w:rPr>
        <w:t xml:space="preserve"> </w:t>
      </w:r>
      <w:r>
        <w:rPr>
          <w:sz w:val="20"/>
        </w:rPr>
        <w:t>Expressway.</w:t>
      </w:r>
    </w:p>
    <w:p w:rsidR="002C1123" w:rsidRDefault="00F22F94">
      <w:pPr>
        <w:pStyle w:val="ListParagraph"/>
        <w:numPr>
          <w:ilvl w:val="0"/>
          <w:numId w:val="72"/>
        </w:numPr>
        <w:tabs>
          <w:tab w:val="left" w:pos="776"/>
        </w:tabs>
        <w:spacing w:before="136" w:line="249" w:lineRule="auto"/>
        <w:ind w:left="775" w:right="128"/>
        <w:rPr>
          <w:sz w:val="20"/>
        </w:rPr>
      </w:pPr>
      <w:r>
        <w:rPr>
          <w:w w:val="95"/>
          <w:sz w:val="20"/>
        </w:rPr>
        <w:t>Significant</w:t>
      </w:r>
      <w:r>
        <w:rPr>
          <w:spacing w:val="-2"/>
          <w:w w:val="95"/>
          <w:sz w:val="20"/>
        </w:rPr>
        <w:t xml:space="preserve"> </w:t>
      </w:r>
      <w:r>
        <w:rPr>
          <w:w w:val="95"/>
          <w:sz w:val="20"/>
        </w:rPr>
        <w:t>investment</w:t>
      </w:r>
      <w:r>
        <w:rPr>
          <w:spacing w:val="-2"/>
          <w:w w:val="95"/>
          <w:sz w:val="20"/>
        </w:rPr>
        <w:t xml:space="preserve"> </w:t>
      </w:r>
      <w:r>
        <w:rPr>
          <w:w w:val="95"/>
          <w:sz w:val="20"/>
        </w:rPr>
        <w:t>has</w:t>
      </w:r>
      <w:r>
        <w:rPr>
          <w:spacing w:val="-2"/>
          <w:w w:val="95"/>
          <w:sz w:val="20"/>
        </w:rPr>
        <w:t xml:space="preserve"> </w:t>
      </w:r>
      <w:r>
        <w:rPr>
          <w:w w:val="95"/>
          <w:sz w:val="20"/>
        </w:rPr>
        <w:t>also</w:t>
      </w:r>
      <w:r>
        <w:rPr>
          <w:spacing w:val="-2"/>
          <w:w w:val="95"/>
          <w:sz w:val="20"/>
        </w:rPr>
        <w:t xml:space="preserve"> </w:t>
      </w:r>
      <w:r>
        <w:rPr>
          <w:w w:val="95"/>
          <w:sz w:val="20"/>
        </w:rPr>
        <w:t>been</w:t>
      </w:r>
      <w:r>
        <w:rPr>
          <w:spacing w:val="-2"/>
          <w:w w:val="95"/>
          <w:sz w:val="20"/>
        </w:rPr>
        <w:t xml:space="preserve"> </w:t>
      </w:r>
      <w:r>
        <w:rPr>
          <w:w w:val="95"/>
          <w:sz w:val="20"/>
        </w:rPr>
        <w:t>undertaken</w:t>
      </w:r>
      <w:r>
        <w:rPr>
          <w:spacing w:val="-2"/>
          <w:w w:val="95"/>
          <w:sz w:val="20"/>
        </w:rPr>
        <w:t xml:space="preserve"> </w:t>
      </w:r>
      <w:r>
        <w:rPr>
          <w:w w:val="95"/>
          <w:sz w:val="20"/>
        </w:rPr>
        <w:t xml:space="preserve">in NSW’s regional and interstate rail freight networks </w:t>
      </w:r>
      <w:r>
        <w:rPr>
          <w:sz w:val="20"/>
        </w:rPr>
        <w:t>during</w:t>
      </w:r>
      <w:r>
        <w:rPr>
          <w:spacing w:val="-14"/>
          <w:sz w:val="20"/>
        </w:rPr>
        <w:t xml:space="preserve"> </w:t>
      </w:r>
      <w:r>
        <w:rPr>
          <w:sz w:val="20"/>
        </w:rPr>
        <w:t>the</w:t>
      </w:r>
      <w:r>
        <w:rPr>
          <w:spacing w:val="-14"/>
          <w:sz w:val="20"/>
        </w:rPr>
        <w:t xml:space="preserve"> </w:t>
      </w:r>
      <w:r>
        <w:rPr>
          <w:sz w:val="20"/>
        </w:rPr>
        <w:t>same</w:t>
      </w:r>
      <w:r>
        <w:rPr>
          <w:spacing w:val="-14"/>
          <w:sz w:val="20"/>
        </w:rPr>
        <w:t xml:space="preserve"> </w:t>
      </w:r>
      <w:r>
        <w:rPr>
          <w:sz w:val="20"/>
        </w:rPr>
        <w:t>period.</w:t>
      </w:r>
      <w:r>
        <w:rPr>
          <w:spacing w:val="-14"/>
          <w:sz w:val="20"/>
        </w:rPr>
        <w:t xml:space="preserve"> </w:t>
      </w:r>
      <w:r>
        <w:rPr>
          <w:sz w:val="20"/>
        </w:rPr>
        <w:t>The</w:t>
      </w:r>
      <w:r>
        <w:rPr>
          <w:spacing w:val="-14"/>
          <w:sz w:val="20"/>
        </w:rPr>
        <w:t xml:space="preserve"> </w:t>
      </w:r>
      <w:r>
        <w:rPr>
          <w:sz w:val="20"/>
        </w:rPr>
        <w:t>Australian</w:t>
      </w:r>
      <w:r>
        <w:rPr>
          <w:spacing w:val="-14"/>
          <w:sz w:val="20"/>
        </w:rPr>
        <w:t xml:space="preserve"> </w:t>
      </w:r>
      <w:r>
        <w:rPr>
          <w:sz w:val="20"/>
        </w:rPr>
        <w:t>Rail</w:t>
      </w:r>
      <w:r>
        <w:rPr>
          <w:spacing w:val="-14"/>
          <w:sz w:val="20"/>
        </w:rPr>
        <w:t xml:space="preserve"> </w:t>
      </w:r>
      <w:r>
        <w:rPr>
          <w:sz w:val="20"/>
        </w:rPr>
        <w:t xml:space="preserve">Track </w:t>
      </w:r>
      <w:r>
        <w:rPr>
          <w:w w:val="95"/>
          <w:sz w:val="20"/>
        </w:rPr>
        <w:t>Corporation</w:t>
      </w:r>
      <w:r>
        <w:rPr>
          <w:spacing w:val="-12"/>
          <w:w w:val="95"/>
          <w:sz w:val="20"/>
        </w:rPr>
        <w:t xml:space="preserve"> </w:t>
      </w:r>
      <w:r>
        <w:rPr>
          <w:w w:val="95"/>
          <w:sz w:val="20"/>
        </w:rPr>
        <w:t>(ARTC)</w:t>
      </w:r>
      <w:r>
        <w:rPr>
          <w:spacing w:val="-11"/>
          <w:w w:val="95"/>
          <w:sz w:val="20"/>
        </w:rPr>
        <w:t xml:space="preserve"> </w:t>
      </w:r>
      <w:r>
        <w:rPr>
          <w:w w:val="95"/>
          <w:sz w:val="20"/>
        </w:rPr>
        <w:t>is</w:t>
      </w:r>
      <w:r>
        <w:rPr>
          <w:spacing w:val="-11"/>
          <w:w w:val="95"/>
          <w:sz w:val="20"/>
        </w:rPr>
        <w:t xml:space="preserve"> </w:t>
      </w:r>
      <w:r>
        <w:rPr>
          <w:w w:val="95"/>
          <w:sz w:val="20"/>
        </w:rPr>
        <w:t>making</w:t>
      </w:r>
      <w:r>
        <w:rPr>
          <w:spacing w:val="-11"/>
          <w:w w:val="95"/>
          <w:sz w:val="20"/>
        </w:rPr>
        <w:t xml:space="preserve"> </w:t>
      </w:r>
      <w:r>
        <w:rPr>
          <w:w w:val="95"/>
          <w:sz w:val="20"/>
        </w:rPr>
        <w:t>major</w:t>
      </w:r>
      <w:r>
        <w:rPr>
          <w:spacing w:val="-11"/>
          <w:w w:val="95"/>
          <w:sz w:val="20"/>
        </w:rPr>
        <w:t xml:space="preserve"> </w:t>
      </w:r>
      <w:r>
        <w:rPr>
          <w:w w:val="95"/>
          <w:sz w:val="20"/>
        </w:rPr>
        <w:t>investments</w:t>
      </w:r>
      <w:r>
        <w:rPr>
          <w:spacing w:val="-11"/>
          <w:w w:val="95"/>
          <w:sz w:val="20"/>
        </w:rPr>
        <w:t xml:space="preserve"> </w:t>
      </w:r>
      <w:r>
        <w:rPr>
          <w:w w:val="95"/>
          <w:sz w:val="20"/>
        </w:rPr>
        <w:t xml:space="preserve">to upgrade rail links between Sydney and Melbourne </w:t>
      </w:r>
      <w:r>
        <w:rPr>
          <w:sz w:val="20"/>
        </w:rPr>
        <w:t>as</w:t>
      </w:r>
      <w:r>
        <w:rPr>
          <w:spacing w:val="-11"/>
          <w:sz w:val="20"/>
        </w:rPr>
        <w:t xml:space="preserve"> </w:t>
      </w:r>
      <w:r>
        <w:rPr>
          <w:sz w:val="20"/>
        </w:rPr>
        <w:t>well</w:t>
      </w:r>
      <w:r>
        <w:rPr>
          <w:spacing w:val="-11"/>
          <w:sz w:val="20"/>
        </w:rPr>
        <w:t xml:space="preserve"> </w:t>
      </w:r>
      <w:r>
        <w:rPr>
          <w:sz w:val="20"/>
        </w:rPr>
        <w:t>as</w:t>
      </w:r>
      <w:r>
        <w:rPr>
          <w:spacing w:val="-11"/>
          <w:sz w:val="20"/>
        </w:rPr>
        <w:t xml:space="preserve"> </w:t>
      </w:r>
      <w:r>
        <w:rPr>
          <w:sz w:val="20"/>
        </w:rPr>
        <w:t>between</w:t>
      </w:r>
      <w:r>
        <w:rPr>
          <w:spacing w:val="-11"/>
          <w:sz w:val="20"/>
        </w:rPr>
        <w:t xml:space="preserve"> </w:t>
      </w:r>
      <w:r>
        <w:rPr>
          <w:sz w:val="20"/>
        </w:rPr>
        <w:t>Sydney</w:t>
      </w:r>
      <w:r>
        <w:rPr>
          <w:spacing w:val="-11"/>
          <w:sz w:val="20"/>
        </w:rPr>
        <w:t xml:space="preserve"> </w:t>
      </w:r>
      <w:r>
        <w:rPr>
          <w:sz w:val="20"/>
        </w:rPr>
        <w:t>and</w:t>
      </w:r>
      <w:r>
        <w:rPr>
          <w:spacing w:val="-11"/>
          <w:sz w:val="20"/>
        </w:rPr>
        <w:t xml:space="preserve"> </w:t>
      </w:r>
      <w:r>
        <w:rPr>
          <w:sz w:val="20"/>
        </w:rPr>
        <w:t>Brisbane,</w:t>
      </w:r>
      <w:r>
        <w:rPr>
          <w:spacing w:val="-11"/>
          <w:sz w:val="20"/>
        </w:rPr>
        <w:t xml:space="preserve"> </w:t>
      </w:r>
      <w:r>
        <w:rPr>
          <w:sz w:val="20"/>
        </w:rPr>
        <w:t>and</w:t>
      </w:r>
      <w:r>
        <w:rPr>
          <w:spacing w:val="-11"/>
          <w:sz w:val="20"/>
        </w:rPr>
        <w:t xml:space="preserve"> </w:t>
      </w:r>
      <w:r>
        <w:rPr>
          <w:sz w:val="20"/>
        </w:rPr>
        <w:t xml:space="preserve">to </w:t>
      </w:r>
      <w:r>
        <w:rPr>
          <w:w w:val="95"/>
          <w:sz w:val="20"/>
        </w:rPr>
        <w:t>increase capacity in the Hunter Valley Coal Chain.</w:t>
      </w: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060EF">
      <w:pPr>
        <w:pStyle w:val="BodyText"/>
        <w:spacing w:before="5"/>
        <w:rPr>
          <w:sz w:val="24"/>
        </w:rPr>
      </w:pPr>
      <w:r>
        <w:pict>
          <v:shape id="docshape1668" o:spid="_x0000_s3419" style="position:absolute;margin-left:49.6pt;margin-top:15.3pt;width:1in;height:.1pt;z-index:-251364352;mso-wrap-distance-left:0;mso-wrap-distance-right:0;mso-position-horizontal-relative:page" coordorigin="992,306" coordsize="1440,0" path="m992,306r1440,e" filled="f" strokecolor="#9c9c9d" strokeweight=".5pt">
            <v:path arrowok="t"/>
            <w10:wrap type="topAndBottom" anchorx="page"/>
          </v:shape>
        </w:pict>
      </w:r>
    </w:p>
    <w:p w:rsidR="002C1123" w:rsidRDefault="00F22F94">
      <w:pPr>
        <w:pStyle w:val="ListParagraph"/>
        <w:numPr>
          <w:ilvl w:val="0"/>
          <w:numId w:val="73"/>
        </w:numPr>
        <w:tabs>
          <w:tab w:val="left" w:pos="691"/>
        </w:tabs>
        <w:spacing w:before="23"/>
        <w:ind w:left="690" w:right="428"/>
        <w:jc w:val="left"/>
        <w:rPr>
          <w:sz w:val="14"/>
        </w:rPr>
      </w:pPr>
      <w:r>
        <w:rPr>
          <w:w w:val="95"/>
          <w:sz w:val="14"/>
        </w:rPr>
        <w:t>BITRE 2002, Regional Public Transport in Australia: Long – Distance</w:t>
      </w:r>
      <w:r>
        <w:rPr>
          <w:spacing w:val="40"/>
          <w:sz w:val="14"/>
        </w:rPr>
        <w:t xml:space="preserve"> </w:t>
      </w:r>
      <w:r>
        <w:rPr>
          <w:sz w:val="14"/>
        </w:rPr>
        <w:t>Services, Trends and Projections.</w:t>
      </w:r>
    </w:p>
    <w:p w:rsidR="002C1123" w:rsidRDefault="00F22F94">
      <w:pPr>
        <w:pStyle w:val="ListParagraph"/>
        <w:numPr>
          <w:ilvl w:val="0"/>
          <w:numId w:val="73"/>
        </w:numPr>
        <w:tabs>
          <w:tab w:val="left" w:pos="691"/>
        </w:tabs>
        <w:ind w:left="690" w:right="282"/>
        <w:jc w:val="left"/>
        <w:rPr>
          <w:sz w:val="14"/>
        </w:rPr>
      </w:pPr>
      <w:r>
        <w:rPr>
          <w:w w:val="95"/>
          <w:sz w:val="14"/>
        </w:rPr>
        <w:t>Infrastructure Partnerships Australia and PwC 2009, Meeting the 2050</w:t>
      </w:r>
      <w:r>
        <w:rPr>
          <w:spacing w:val="40"/>
          <w:sz w:val="14"/>
        </w:rPr>
        <w:t xml:space="preserve"> </w:t>
      </w:r>
      <w:r>
        <w:rPr>
          <w:sz w:val="14"/>
        </w:rPr>
        <w:t>Freight</w:t>
      </w:r>
      <w:r>
        <w:rPr>
          <w:spacing w:val="-10"/>
          <w:sz w:val="14"/>
        </w:rPr>
        <w:t xml:space="preserve"> </w:t>
      </w:r>
      <w:r>
        <w:rPr>
          <w:sz w:val="14"/>
        </w:rPr>
        <w:t>Challenge.</w:t>
      </w:r>
    </w:p>
    <w:p w:rsidR="002C1123" w:rsidRDefault="00F22F94">
      <w:pPr>
        <w:pStyle w:val="Heading5"/>
        <w:numPr>
          <w:ilvl w:val="1"/>
          <w:numId w:val="74"/>
        </w:numPr>
        <w:tabs>
          <w:tab w:val="left" w:pos="859"/>
        </w:tabs>
        <w:spacing w:before="129" w:line="223" w:lineRule="auto"/>
        <w:ind w:left="858" w:right="6865"/>
        <w:jc w:val="left"/>
      </w:pPr>
      <w:r>
        <w:rPr>
          <w:b w:val="0"/>
        </w:rPr>
        <w:br w:type="column"/>
      </w:r>
      <w:r>
        <w:rPr>
          <w:color w:val="00AEEF"/>
          <w:spacing w:val="-6"/>
        </w:rPr>
        <w:t>Transport</w:t>
      </w:r>
      <w:r>
        <w:rPr>
          <w:color w:val="00AEEF"/>
          <w:spacing w:val="-14"/>
        </w:rPr>
        <w:t xml:space="preserve"> </w:t>
      </w:r>
      <w:r>
        <w:rPr>
          <w:color w:val="00AEEF"/>
          <w:spacing w:val="-6"/>
        </w:rPr>
        <w:t xml:space="preserve">infrastructure </w:t>
      </w:r>
      <w:r>
        <w:rPr>
          <w:color w:val="00AEEF"/>
        </w:rPr>
        <w:t>in Regional NSW</w:t>
      </w:r>
    </w:p>
    <w:p w:rsidR="002C1123" w:rsidRDefault="00F22F94">
      <w:pPr>
        <w:pStyle w:val="Heading6"/>
        <w:numPr>
          <w:ilvl w:val="2"/>
          <w:numId w:val="74"/>
        </w:numPr>
        <w:tabs>
          <w:tab w:val="left" w:pos="853"/>
        </w:tabs>
        <w:spacing w:before="140"/>
        <w:ind w:left="852" w:hanging="596"/>
        <w:jc w:val="left"/>
        <w:rPr>
          <w:color w:val="00AEEF"/>
        </w:rPr>
      </w:pPr>
      <w:r>
        <w:rPr>
          <w:color w:val="00AEEF"/>
          <w:spacing w:val="-2"/>
        </w:rPr>
        <w:t>Introduction</w:t>
      </w:r>
    </w:p>
    <w:p w:rsidR="002C1123" w:rsidRDefault="00F22F94">
      <w:pPr>
        <w:pStyle w:val="BodyText"/>
        <w:spacing w:before="95" w:line="249" w:lineRule="auto"/>
        <w:ind w:left="257" w:right="6107"/>
      </w:pPr>
      <w:r>
        <w:rPr>
          <w:w w:val="95"/>
        </w:rPr>
        <w:t>The</w:t>
      </w:r>
      <w:r>
        <w:rPr>
          <w:spacing w:val="-1"/>
          <w:w w:val="95"/>
        </w:rPr>
        <w:t xml:space="preserve"> </w:t>
      </w:r>
      <w:r>
        <w:rPr>
          <w:w w:val="95"/>
        </w:rPr>
        <w:t>passenger</w:t>
      </w:r>
      <w:r>
        <w:rPr>
          <w:spacing w:val="-1"/>
          <w:w w:val="95"/>
        </w:rPr>
        <w:t xml:space="preserve"> </w:t>
      </w:r>
      <w:r>
        <w:rPr>
          <w:w w:val="95"/>
        </w:rPr>
        <w:t>and</w:t>
      </w:r>
      <w:r>
        <w:rPr>
          <w:spacing w:val="-1"/>
          <w:w w:val="95"/>
        </w:rPr>
        <w:t xml:space="preserve"> </w:t>
      </w:r>
      <w:r>
        <w:rPr>
          <w:w w:val="95"/>
        </w:rPr>
        <w:t>freight</w:t>
      </w:r>
      <w:r>
        <w:rPr>
          <w:spacing w:val="-1"/>
          <w:w w:val="95"/>
        </w:rPr>
        <w:t xml:space="preserve"> </w:t>
      </w:r>
      <w:r>
        <w:rPr>
          <w:w w:val="95"/>
        </w:rPr>
        <w:t>transport</w:t>
      </w:r>
      <w:r>
        <w:rPr>
          <w:spacing w:val="-1"/>
          <w:w w:val="95"/>
        </w:rPr>
        <w:t xml:space="preserve"> </w:t>
      </w:r>
      <w:r>
        <w:rPr>
          <w:w w:val="95"/>
        </w:rPr>
        <w:t xml:space="preserve">infrastructure </w:t>
      </w:r>
      <w:r>
        <w:rPr>
          <w:spacing w:val="-2"/>
        </w:rPr>
        <w:t>networks</w:t>
      </w:r>
      <w:r>
        <w:rPr>
          <w:spacing w:val="-8"/>
        </w:rPr>
        <w:t xml:space="preserve"> </w:t>
      </w:r>
      <w:r>
        <w:rPr>
          <w:spacing w:val="-2"/>
        </w:rPr>
        <w:t>of</w:t>
      </w:r>
      <w:r>
        <w:rPr>
          <w:spacing w:val="-8"/>
        </w:rPr>
        <w:t xml:space="preserve"> </w:t>
      </w:r>
      <w:r>
        <w:rPr>
          <w:spacing w:val="-2"/>
        </w:rPr>
        <w:t>Regional</w:t>
      </w:r>
      <w:r>
        <w:rPr>
          <w:spacing w:val="-8"/>
        </w:rPr>
        <w:t xml:space="preserve"> </w:t>
      </w:r>
      <w:r>
        <w:rPr>
          <w:spacing w:val="-2"/>
        </w:rPr>
        <w:t>NSW</w:t>
      </w:r>
      <w:r>
        <w:rPr>
          <w:spacing w:val="-8"/>
        </w:rPr>
        <w:t xml:space="preserve"> </w:t>
      </w:r>
      <w:r>
        <w:rPr>
          <w:spacing w:val="-2"/>
        </w:rPr>
        <w:t>are</w:t>
      </w:r>
      <w:r>
        <w:rPr>
          <w:spacing w:val="-8"/>
        </w:rPr>
        <w:t xml:space="preserve"> </w:t>
      </w:r>
      <w:r>
        <w:rPr>
          <w:spacing w:val="-2"/>
        </w:rPr>
        <w:t>intertwined.</w:t>
      </w:r>
      <w:r>
        <w:rPr>
          <w:spacing w:val="-8"/>
        </w:rPr>
        <w:t xml:space="preserve"> </w:t>
      </w:r>
      <w:r>
        <w:rPr>
          <w:spacing w:val="-2"/>
        </w:rPr>
        <w:t>All</w:t>
      </w:r>
      <w:r>
        <w:rPr>
          <w:spacing w:val="-8"/>
        </w:rPr>
        <w:t xml:space="preserve"> </w:t>
      </w:r>
      <w:r>
        <w:rPr>
          <w:spacing w:val="-2"/>
        </w:rPr>
        <w:t xml:space="preserve">of </w:t>
      </w:r>
      <w:r>
        <w:t>the</w:t>
      </w:r>
      <w:r>
        <w:rPr>
          <w:spacing w:val="-5"/>
        </w:rPr>
        <w:t xml:space="preserve"> </w:t>
      </w:r>
      <w:r>
        <w:t>road</w:t>
      </w:r>
      <w:r>
        <w:rPr>
          <w:spacing w:val="-5"/>
        </w:rPr>
        <w:t xml:space="preserve"> </w:t>
      </w:r>
      <w:r>
        <w:t>network,</w:t>
      </w:r>
      <w:r>
        <w:rPr>
          <w:spacing w:val="-5"/>
        </w:rPr>
        <w:t xml:space="preserve"> </w:t>
      </w:r>
      <w:r>
        <w:t>and</w:t>
      </w:r>
      <w:r>
        <w:rPr>
          <w:spacing w:val="-5"/>
        </w:rPr>
        <w:t xml:space="preserve"> </w:t>
      </w:r>
      <w:r>
        <w:t>much</w:t>
      </w:r>
      <w:r>
        <w:rPr>
          <w:spacing w:val="-5"/>
        </w:rPr>
        <w:t xml:space="preserve"> </w:t>
      </w:r>
      <w:r>
        <w:t>of</w:t>
      </w:r>
      <w:r>
        <w:rPr>
          <w:spacing w:val="-5"/>
        </w:rPr>
        <w:t xml:space="preserve"> </w:t>
      </w:r>
      <w:r>
        <w:t>the</w:t>
      </w:r>
      <w:r>
        <w:rPr>
          <w:spacing w:val="-5"/>
        </w:rPr>
        <w:t xml:space="preserve"> </w:t>
      </w:r>
      <w:r>
        <w:t>rail</w:t>
      </w:r>
      <w:r>
        <w:rPr>
          <w:spacing w:val="-5"/>
        </w:rPr>
        <w:t xml:space="preserve"> </w:t>
      </w:r>
      <w:r>
        <w:t>network accommodates both forms of transport. These</w:t>
      </w:r>
    </w:p>
    <w:p w:rsidR="002C1123" w:rsidRDefault="00F22F94">
      <w:pPr>
        <w:pStyle w:val="BodyText"/>
        <w:spacing w:before="3" w:line="249" w:lineRule="auto"/>
        <w:ind w:left="257" w:right="5691"/>
      </w:pPr>
      <w:r>
        <w:t>infrastructure</w:t>
      </w:r>
      <w:r>
        <w:rPr>
          <w:spacing w:val="-5"/>
        </w:rPr>
        <w:t xml:space="preserve"> </w:t>
      </w:r>
      <w:r>
        <w:t>networks</w:t>
      </w:r>
      <w:r>
        <w:rPr>
          <w:spacing w:val="-5"/>
        </w:rPr>
        <w:t xml:space="preserve"> </w:t>
      </w:r>
      <w:r>
        <w:t>interconnect</w:t>
      </w:r>
      <w:r>
        <w:rPr>
          <w:spacing w:val="-5"/>
        </w:rPr>
        <w:t xml:space="preserve"> </w:t>
      </w:r>
      <w:r>
        <w:t>with</w:t>
      </w:r>
      <w:r>
        <w:rPr>
          <w:spacing w:val="-5"/>
        </w:rPr>
        <w:t xml:space="preserve"> </w:t>
      </w:r>
      <w:r>
        <w:t>the</w:t>
      </w:r>
      <w:r>
        <w:rPr>
          <w:spacing w:val="-5"/>
        </w:rPr>
        <w:t xml:space="preserve"> </w:t>
      </w:r>
      <w:r>
        <w:t xml:space="preserve">transport </w:t>
      </w:r>
      <w:r>
        <w:rPr>
          <w:w w:val="95"/>
        </w:rPr>
        <w:t>networks</w:t>
      </w:r>
      <w:r>
        <w:rPr>
          <w:spacing w:val="-2"/>
          <w:w w:val="95"/>
        </w:rPr>
        <w:t xml:space="preserve"> </w:t>
      </w:r>
      <w:r>
        <w:rPr>
          <w:w w:val="95"/>
        </w:rPr>
        <w:t>of</w:t>
      </w:r>
      <w:r>
        <w:rPr>
          <w:spacing w:val="-2"/>
          <w:w w:val="95"/>
        </w:rPr>
        <w:t xml:space="preserve"> </w:t>
      </w:r>
      <w:r>
        <w:rPr>
          <w:w w:val="95"/>
        </w:rPr>
        <w:t>both</w:t>
      </w:r>
      <w:r>
        <w:rPr>
          <w:spacing w:val="-2"/>
          <w:w w:val="95"/>
        </w:rPr>
        <w:t xml:space="preserve"> </w:t>
      </w:r>
      <w:r>
        <w:rPr>
          <w:w w:val="95"/>
        </w:rPr>
        <w:t>the</w:t>
      </w:r>
      <w:r>
        <w:rPr>
          <w:spacing w:val="-2"/>
          <w:w w:val="95"/>
        </w:rPr>
        <w:t xml:space="preserve"> </w:t>
      </w:r>
      <w:r>
        <w:rPr>
          <w:w w:val="95"/>
        </w:rPr>
        <w:t>metropolitan</w:t>
      </w:r>
      <w:r>
        <w:rPr>
          <w:spacing w:val="-2"/>
          <w:w w:val="95"/>
        </w:rPr>
        <w:t xml:space="preserve"> </w:t>
      </w:r>
      <w:r>
        <w:rPr>
          <w:w w:val="95"/>
        </w:rPr>
        <w:t>area</w:t>
      </w:r>
      <w:r>
        <w:rPr>
          <w:spacing w:val="-2"/>
          <w:w w:val="95"/>
        </w:rPr>
        <w:t xml:space="preserve"> </w:t>
      </w:r>
      <w:r>
        <w:rPr>
          <w:w w:val="95"/>
        </w:rPr>
        <w:t>and</w:t>
      </w:r>
      <w:r>
        <w:rPr>
          <w:spacing w:val="-2"/>
          <w:w w:val="95"/>
        </w:rPr>
        <w:t xml:space="preserve"> </w:t>
      </w:r>
      <w:r>
        <w:rPr>
          <w:w w:val="95"/>
        </w:rPr>
        <w:t>other</w:t>
      </w:r>
      <w:r>
        <w:rPr>
          <w:spacing w:val="-2"/>
          <w:w w:val="95"/>
        </w:rPr>
        <w:t xml:space="preserve"> </w:t>
      </w:r>
      <w:r>
        <w:rPr>
          <w:w w:val="95"/>
        </w:rPr>
        <w:t>States.</w:t>
      </w:r>
    </w:p>
    <w:p w:rsidR="002C1123" w:rsidRDefault="00F22F94">
      <w:pPr>
        <w:pStyle w:val="BodyText"/>
        <w:spacing w:before="144" w:line="249" w:lineRule="auto"/>
        <w:ind w:left="257" w:right="5691"/>
      </w:pPr>
      <w:r>
        <w:rPr>
          <w:w w:val="95"/>
        </w:rPr>
        <w:t xml:space="preserve">The road network underpins travel in Regional NSW. It serves both passenger and freight demand, particularly </w:t>
      </w:r>
      <w:r>
        <w:t>for</w:t>
      </w:r>
      <w:r>
        <w:rPr>
          <w:spacing w:val="-14"/>
        </w:rPr>
        <w:t xml:space="preserve"> </w:t>
      </w:r>
      <w:r>
        <w:t>intrastate</w:t>
      </w:r>
      <w:r>
        <w:rPr>
          <w:spacing w:val="-14"/>
        </w:rPr>
        <w:t xml:space="preserve"> </w:t>
      </w:r>
      <w:r>
        <w:t>and</w:t>
      </w:r>
      <w:r>
        <w:rPr>
          <w:spacing w:val="-14"/>
        </w:rPr>
        <w:t xml:space="preserve"> </w:t>
      </w:r>
      <w:r>
        <w:t>interstate</w:t>
      </w:r>
      <w:r>
        <w:rPr>
          <w:spacing w:val="-14"/>
        </w:rPr>
        <w:t xml:space="preserve"> </w:t>
      </w:r>
      <w:r>
        <w:t>freight</w:t>
      </w:r>
      <w:r>
        <w:rPr>
          <w:spacing w:val="-14"/>
        </w:rPr>
        <w:t xml:space="preserve"> </w:t>
      </w:r>
      <w:r>
        <w:t>movements.</w:t>
      </w:r>
      <w:r>
        <w:rPr>
          <w:spacing w:val="-14"/>
        </w:rPr>
        <w:t xml:space="preserve"> </w:t>
      </w:r>
      <w:r>
        <w:t>The</w:t>
      </w:r>
    </w:p>
    <w:p w:rsidR="002C1123" w:rsidRDefault="00F22F94">
      <w:pPr>
        <w:pStyle w:val="BodyText"/>
        <w:spacing w:before="2" w:line="249" w:lineRule="auto"/>
        <w:ind w:left="257" w:right="5691"/>
      </w:pPr>
      <w:r>
        <w:t>rail</w:t>
      </w:r>
      <w:r>
        <w:rPr>
          <w:spacing w:val="-12"/>
        </w:rPr>
        <w:t xml:space="preserve"> </w:t>
      </w:r>
      <w:r>
        <w:t>network</w:t>
      </w:r>
      <w:r>
        <w:rPr>
          <w:spacing w:val="-12"/>
        </w:rPr>
        <w:t xml:space="preserve"> </w:t>
      </w:r>
      <w:r>
        <w:t>is</w:t>
      </w:r>
      <w:r>
        <w:rPr>
          <w:spacing w:val="-12"/>
        </w:rPr>
        <w:t xml:space="preserve"> </w:t>
      </w:r>
      <w:r>
        <w:t>primarily</w:t>
      </w:r>
      <w:r>
        <w:rPr>
          <w:spacing w:val="-12"/>
        </w:rPr>
        <w:t xml:space="preserve"> </w:t>
      </w:r>
      <w:r>
        <w:t>used</w:t>
      </w:r>
      <w:r>
        <w:rPr>
          <w:spacing w:val="-12"/>
        </w:rPr>
        <w:t xml:space="preserve"> </w:t>
      </w:r>
      <w:r>
        <w:t>for</w:t>
      </w:r>
      <w:r>
        <w:rPr>
          <w:spacing w:val="-12"/>
        </w:rPr>
        <w:t xml:space="preserve"> </w:t>
      </w:r>
      <w:r>
        <w:t>the</w:t>
      </w:r>
      <w:r>
        <w:rPr>
          <w:spacing w:val="-12"/>
        </w:rPr>
        <w:t xml:space="preserve"> </w:t>
      </w:r>
      <w:r>
        <w:t>important</w:t>
      </w:r>
      <w:r>
        <w:rPr>
          <w:spacing w:val="-12"/>
        </w:rPr>
        <w:t xml:space="preserve"> </w:t>
      </w:r>
      <w:r>
        <w:t>role</w:t>
      </w:r>
      <w:r>
        <w:rPr>
          <w:spacing w:val="-12"/>
        </w:rPr>
        <w:t xml:space="preserve"> </w:t>
      </w:r>
      <w:r>
        <w:t xml:space="preserve">of </w:t>
      </w:r>
      <w:r>
        <w:rPr>
          <w:w w:val="95"/>
        </w:rPr>
        <w:t>carrying</w:t>
      </w:r>
      <w:r>
        <w:rPr>
          <w:spacing w:val="-7"/>
          <w:w w:val="95"/>
        </w:rPr>
        <w:t xml:space="preserve"> </w:t>
      </w:r>
      <w:r>
        <w:rPr>
          <w:w w:val="95"/>
        </w:rPr>
        <w:t>bulk</w:t>
      </w:r>
      <w:r>
        <w:rPr>
          <w:spacing w:val="-7"/>
          <w:w w:val="95"/>
        </w:rPr>
        <w:t xml:space="preserve"> </w:t>
      </w:r>
      <w:r>
        <w:rPr>
          <w:w w:val="95"/>
        </w:rPr>
        <w:t>freight</w:t>
      </w:r>
      <w:r>
        <w:rPr>
          <w:spacing w:val="-7"/>
          <w:w w:val="95"/>
        </w:rPr>
        <w:t xml:space="preserve"> </w:t>
      </w:r>
      <w:r>
        <w:rPr>
          <w:w w:val="95"/>
        </w:rPr>
        <w:t>from</w:t>
      </w:r>
      <w:r>
        <w:rPr>
          <w:spacing w:val="-7"/>
          <w:w w:val="95"/>
        </w:rPr>
        <w:t xml:space="preserve"> </w:t>
      </w:r>
      <w:r>
        <w:rPr>
          <w:w w:val="95"/>
        </w:rPr>
        <w:t>regional</w:t>
      </w:r>
      <w:r>
        <w:rPr>
          <w:spacing w:val="-7"/>
          <w:w w:val="95"/>
        </w:rPr>
        <w:t xml:space="preserve"> </w:t>
      </w:r>
      <w:r>
        <w:rPr>
          <w:w w:val="95"/>
        </w:rPr>
        <w:t>operations</w:t>
      </w:r>
      <w:r>
        <w:rPr>
          <w:spacing w:val="-7"/>
          <w:w w:val="95"/>
        </w:rPr>
        <w:t xml:space="preserve"> </w:t>
      </w:r>
      <w:r>
        <w:rPr>
          <w:w w:val="95"/>
        </w:rPr>
        <w:t xml:space="preserve">(agricultural </w:t>
      </w:r>
      <w:r>
        <w:t>and</w:t>
      </w:r>
      <w:r>
        <w:rPr>
          <w:spacing w:val="-6"/>
        </w:rPr>
        <w:t xml:space="preserve"> </w:t>
      </w:r>
      <w:r>
        <w:t>resource</w:t>
      </w:r>
      <w:r>
        <w:rPr>
          <w:spacing w:val="-6"/>
        </w:rPr>
        <w:t xml:space="preserve"> </w:t>
      </w:r>
      <w:r>
        <w:t>based)</w:t>
      </w:r>
      <w:r>
        <w:rPr>
          <w:spacing w:val="-6"/>
        </w:rPr>
        <w:t xml:space="preserve"> </w:t>
      </w:r>
      <w:r>
        <w:t>to</w:t>
      </w:r>
      <w:r>
        <w:rPr>
          <w:spacing w:val="-6"/>
        </w:rPr>
        <w:t xml:space="preserve"> </w:t>
      </w:r>
      <w:r>
        <w:t>access</w:t>
      </w:r>
      <w:r>
        <w:rPr>
          <w:spacing w:val="-6"/>
        </w:rPr>
        <w:t xml:space="preserve"> </w:t>
      </w:r>
      <w:r>
        <w:t>domestic</w:t>
      </w:r>
      <w:r>
        <w:rPr>
          <w:spacing w:val="-6"/>
        </w:rPr>
        <w:t xml:space="preserve"> </w:t>
      </w:r>
      <w:r>
        <w:t>processing, local markets, and port gateways.</w:t>
      </w:r>
    </w:p>
    <w:p w:rsidR="002C1123" w:rsidRDefault="00F22F94">
      <w:pPr>
        <w:pStyle w:val="BodyText"/>
        <w:spacing w:before="145" w:line="249" w:lineRule="auto"/>
        <w:ind w:left="257" w:right="5691"/>
      </w:pPr>
      <w:r>
        <w:rPr>
          <w:w w:val="95"/>
        </w:rPr>
        <w:t xml:space="preserve">Investment in regional transport infrastructure has to be </w:t>
      </w:r>
      <w:r>
        <w:t>appropriate</w:t>
      </w:r>
      <w:r>
        <w:rPr>
          <w:spacing w:val="-8"/>
        </w:rPr>
        <w:t xml:space="preserve"> </w:t>
      </w:r>
      <w:r>
        <w:t>to</w:t>
      </w:r>
      <w:r>
        <w:rPr>
          <w:spacing w:val="-8"/>
        </w:rPr>
        <w:t xml:space="preserve"> </w:t>
      </w:r>
      <w:r>
        <w:t>the</w:t>
      </w:r>
      <w:r>
        <w:rPr>
          <w:spacing w:val="-8"/>
        </w:rPr>
        <w:t xml:space="preserve"> </w:t>
      </w:r>
      <w:r>
        <w:t>tasks</w:t>
      </w:r>
      <w:r>
        <w:rPr>
          <w:spacing w:val="-8"/>
        </w:rPr>
        <w:t xml:space="preserve"> </w:t>
      </w:r>
      <w:r>
        <w:t>placed</w:t>
      </w:r>
      <w:r>
        <w:rPr>
          <w:spacing w:val="-8"/>
        </w:rPr>
        <w:t xml:space="preserve"> </w:t>
      </w:r>
      <w:r>
        <w:t>on</w:t>
      </w:r>
      <w:r>
        <w:rPr>
          <w:spacing w:val="-8"/>
        </w:rPr>
        <w:t xml:space="preserve"> </w:t>
      </w:r>
      <w:r>
        <w:t>it.</w:t>
      </w:r>
      <w:r>
        <w:rPr>
          <w:spacing w:val="-8"/>
        </w:rPr>
        <w:t xml:space="preserve"> </w:t>
      </w:r>
      <w:r>
        <w:t>Section</w:t>
      </w:r>
      <w:r>
        <w:rPr>
          <w:spacing w:val="-8"/>
        </w:rPr>
        <w:t xml:space="preserve"> </w:t>
      </w:r>
      <w:r>
        <w:t>5</w:t>
      </w:r>
      <w:r>
        <w:rPr>
          <w:spacing w:val="-8"/>
        </w:rPr>
        <w:t xml:space="preserve"> </w:t>
      </w:r>
      <w:r>
        <w:t>noted that</w:t>
      </w:r>
      <w:r>
        <w:rPr>
          <w:spacing w:val="-12"/>
        </w:rPr>
        <w:t xml:space="preserve"> </w:t>
      </w:r>
      <w:r>
        <w:t>focus</w:t>
      </w:r>
      <w:r>
        <w:rPr>
          <w:spacing w:val="-12"/>
        </w:rPr>
        <w:t xml:space="preserve"> </w:t>
      </w:r>
      <w:r>
        <w:t>is</w:t>
      </w:r>
      <w:r>
        <w:rPr>
          <w:spacing w:val="-12"/>
        </w:rPr>
        <w:t xml:space="preserve"> </w:t>
      </w:r>
      <w:r>
        <w:t>needed</w:t>
      </w:r>
      <w:r>
        <w:rPr>
          <w:spacing w:val="-12"/>
        </w:rPr>
        <w:t xml:space="preserve"> </w:t>
      </w:r>
      <w:r>
        <w:t>on</w:t>
      </w:r>
      <w:r>
        <w:rPr>
          <w:spacing w:val="-12"/>
        </w:rPr>
        <w:t xml:space="preserve"> </w:t>
      </w:r>
      <w:r>
        <w:t>investing</w:t>
      </w:r>
      <w:r>
        <w:rPr>
          <w:spacing w:val="-12"/>
        </w:rPr>
        <w:t xml:space="preserve"> </w:t>
      </w:r>
      <w:r>
        <w:t>in</w:t>
      </w:r>
      <w:r>
        <w:rPr>
          <w:spacing w:val="-12"/>
        </w:rPr>
        <w:t xml:space="preserve"> </w:t>
      </w:r>
      <w:r>
        <w:t>support</w:t>
      </w:r>
      <w:r>
        <w:rPr>
          <w:spacing w:val="-12"/>
        </w:rPr>
        <w:t xml:space="preserve"> </w:t>
      </w:r>
      <w:r>
        <w:t>of</w:t>
      </w:r>
      <w:r>
        <w:rPr>
          <w:spacing w:val="-12"/>
        </w:rPr>
        <w:t xml:space="preserve"> </w:t>
      </w:r>
      <w:r>
        <w:t>growing regions</w:t>
      </w:r>
      <w:r>
        <w:rPr>
          <w:spacing w:val="-14"/>
        </w:rPr>
        <w:t xml:space="preserve"> </w:t>
      </w:r>
      <w:r>
        <w:t>(particularly</w:t>
      </w:r>
      <w:r>
        <w:rPr>
          <w:spacing w:val="-14"/>
        </w:rPr>
        <w:t xml:space="preserve"> </w:t>
      </w:r>
      <w:r>
        <w:t>those</w:t>
      </w:r>
      <w:r>
        <w:rPr>
          <w:spacing w:val="-14"/>
        </w:rPr>
        <w:t xml:space="preserve"> </w:t>
      </w:r>
      <w:r>
        <w:t>around</w:t>
      </w:r>
      <w:r>
        <w:rPr>
          <w:spacing w:val="-14"/>
        </w:rPr>
        <w:t xml:space="preserve"> </w:t>
      </w:r>
      <w:r>
        <w:t>Sydney,</w:t>
      </w:r>
      <w:r>
        <w:rPr>
          <w:spacing w:val="-14"/>
        </w:rPr>
        <w:t xml:space="preserve"> </w:t>
      </w:r>
      <w:r>
        <w:t>along</w:t>
      </w:r>
      <w:r>
        <w:rPr>
          <w:spacing w:val="-14"/>
        </w:rPr>
        <w:t xml:space="preserve"> </w:t>
      </w:r>
      <w:r>
        <w:t xml:space="preserve">the </w:t>
      </w:r>
      <w:r>
        <w:rPr>
          <w:w w:val="95"/>
        </w:rPr>
        <w:t>coast,</w:t>
      </w:r>
      <w:r>
        <w:rPr>
          <w:spacing w:val="-8"/>
          <w:w w:val="95"/>
        </w:rPr>
        <w:t xml:space="preserve"> </w:t>
      </w:r>
      <w:r>
        <w:rPr>
          <w:w w:val="95"/>
        </w:rPr>
        <w:t>and</w:t>
      </w:r>
      <w:r>
        <w:rPr>
          <w:spacing w:val="-8"/>
          <w:w w:val="95"/>
        </w:rPr>
        <w:t xml:space="preserve"> </w:t>
      </w:r>
      <w:r>
        <w:rPr>
          <w:w w:val="95"/>
        </w:rPr>
        <w:t>in</w:t>
      </w:r>
      <w:r>
        <w:rPr>
          <w:spacing w:val="-8"/>
          <w:w w:val="95"/>
        </w:rPr>
        <w:t xml:space="preserve"> </w:t>
      </w:r>
      <w:r>
        <w:rPr>
          <w:w w:val="95"/>
        </w:rPr>
        <w:t>mining</w:t>
      </w:r>
      <w:r>
        <w:rPr>
          <w:spacing w:val="-8"/>
          <w:w w:val="95"/>
        </w:rPr>
        <w:t xml:space="preserve"> </w:t>
      </w:r>
      <w:r>
        <w:rPr>
          <w:w w:val="95"/>
        </w:rPr>
        <w:t>regions)</w:t>
      </w:r>
      <w:r>
        <w:rPr>
          <w:spacing w:val="-8"/>
          <w:w w:val="95"/>
        </w:rPr>
        <w:t xml:space="preserve"> </w:t>
      </w:r>
      <w:r>
        <w:rPr>
          <w:w w:val="95"/>
        </w:rPr>
        <w:t>while</w:t>
      </w:r>
      <w:r>
        <w:rPr>
          <w:spacing w:val="-8"/>
          <w:w w:val="95"/>
        </w:rPr>
        <w:t xml:space="preserve"> </w:t>
      </w:r>
      <w:r>
        <w:rPr>
          <w:w w:val="95"/>
        </w:rPr>
        <w:t>ensuring</w:t>
      </w:r>
      <w:r>
        <w:rPr>
          <w:spacing w:val="-8"/>
          <w:w w:val="95"/>
        </w:rPr>
        <w:t xml:space="preserve"> </w:t>
      </w:r>
      <w:r>
        <w:rPr>
          <w:w w:val="95"/>
        </w:rPr>
        <w:t>wider</w:t>
      </w:r>
      <w:r>
        <w:rPr>
          <w:spacing w:val="-8"/>
          <w:w w:val="95"/>
        </w:rPr>
        <w:t xml:space="preserve"> </w:t>
      </w:r>
      <w:r>
        <w:rPr>
          <w:w w:val="95"/>
        </w:rPr>
        <w:t xml:space="preserve">freight </w:t>
      </w:r>
      <w:r>
        <w:t>and</w:t>
      </w:r>
      <w:r>
        <w:rPr>
          <w:spacing w:val="-7"/>
        </w:rPr>
        <w:t xml:space="preserve"> </w:t>
      </w:r>
      <w:r>
        <w:t>passenger</w:t>
      </w:r>
      <w:r>
        <w:rPr>
          <w:spacing w:val="-7"/>
        </w:rPr>
        <w:t xml:space="preserve"> </w:t>
      </w:r>
      <w:r>
        <w:t>networks</w:t>
      </w:r>
      <w:r>
        <w:rPr>
          <w:spacing w:val="-7"/>
        </w:rPr>
        <w:t xml:space="preserve"> </w:t>
      </w:r>
      <w:r>
        <w:t>function</w:t>
      </w:r>
      <w:r>
        <w:rPr>
          <w:spacing w:val="-7"/>
        </w:rPr>
        <w:t xml:space="preserve"> </w:t>
      </w:r>
      <w:r>
        <w:t>effectively.</w:t>
      </w:r>
    </w:p>
    <w:p w:rsidR="002C1123" w:rsidRDefault="00F22F94">
      <w:pPr>
        <w:pStyle w:val="BodyText"/>
        <w:spacing w:before="147" w:line="249" w:lineRule="auto"/>
        <w:ind w:left="257" w:right="5691"/>
      </w:pPr>
      <w:r>
        <w:t>In</w:t>
      </w:r>
      <w:r>
        <w:rPr>
          <w:spacing w:val="-14"/>
        </w:rPr>
        <w:t xml:space="preserve"> </w:t>
      </w:r>
      <w:r>
        <w:t>developing</w:t>
      </w:r>
      <w:r>
        <w:rPr>
          <w:spacing w:val="-14"/>
        </w:rPr>
        <w:t xml:space="preserve"> </w:t>
      </w:r>
      <w:r>
        <w:t>the</w:t>
      </w:r>
      <w:r>
        <w:rPr>
          <w:spacing w:val="-14"/>
        </w:rPr>
        <w:t xml:space="preserve"> </w:t>
      </w:r>
      <w:r>
        <w:t>regional</w:t>
      </w:r>
      <w:r>
        <w:rPr>
          <w:spacing w:val="-14"/>
        </w:rPr>
        <w:t xml:space="preserve"> </w:t>
      </w:r>
      <w:r>
        <w:t>perspective,</w:t>
      </w:r>
      <w:r>
        <w:rPr>
          <w:spacing w:val="-14"/>
        </w:rPr>
        <w:t xml:space="preserve"> </w:t>
      </w:r>
      <w:r>
        <w:t>Infrastructure NSW</w:t>
      </w:r>
      <w:r>
        <w:rPr>
          <w:spacing w:val="-14"/>
        </w:rPr>
        <w:t xml:space="preserve"> </w:t>
      </w:r>
      <w:r>
        <w:t>engaged</w:t>
      </w:r>
      <w:r>
        <w:rPr>
          <w:spacing w:val="-14"/>
        </w:rPr>
        <w:t xml:space="preserve"> </w:t>
      </w:r>
      <w:r>
        <w:t>with</w:t>
      </w:r>
      <w:r>
        <w:rPr>
          <w:spacing w:val="-14"/>
        </w:rPr>
        <w:t xml:space="preserve"> </w:t>
      </w:r>
      <w:r>
        <w:t>representatives</w:t>
      </w:r>
      <w:r>
        <w:rPr>
          <w:spacing w:val="-14"/>
        </w:rPr>
        <w:t xml:space="preserve"> </w:t>
      </w:r>
      <w:r>
        <w:t>of</w:t>
      </w:r>
      <w:r>
        <w:rPr>
          <w:spacing w:val="-14"/>
        </w:rPr>
        <w:t xml:space="preserve"> </w:t>
      </w:r>
      <w:r>
        <w:t>Regional Development</w:t>
      </w:r>
      <w:r>
        <w:rPr>
          <w:spacing w:val="-13"/>
        </w:rPr>
        <w:t xml:space="preserve"> </w:t>
      </w:r>
      <w:r>
        <w:t>Australia</w:t>
      </w:r>
      <w:r>
        <w:rPr>
          <w:spacing w:val="-13"/>
        </w:rPr>
        <w:t xml:space="preserve"> </w:t>
      </w:r>
      <w:r>
        <w:t>across</w:t>
      </w:r>
      <w:r>
        <w:rPr>
          <w:spacing w:val="-13"/>
        </w:rPr>
        <w:t xml:space="preserve"> </w:t>
      </w:r>
      <w:r>
        <w:t>the</w:t>
      </w:r>
      <w:r>
        <w:rPr>
          <w:spacing w:val="-13"/>
        </w:rPr>
        <w:t xml:space="preserve"> </w:t>
      </w:r>
      <w:r>
        <w:t>State.</w:t>
      </w:r>
      <w:r>
        <w:rPr>
          <w:spacing w:val="-13"/>
        </w:rPr>
        <w:t xml:space="preserve"> </w:t>
      </w:r>
      <w:r>
        <w:t>A</w:t>
      </w:r>
      <w:r>
        <w:rPr>
          <w:spacing w:val="-13"/>
        </w:rPr>
        <w:t xml:space="preserve"> </w:t>
      </w:r>
      <w:r>
        <w:t>common theme</w:t>
      </w:r>
      <w:r>
        <w:rPr>
          <w:spacing w:val="-6"/>
        </w:rPr>
        <w:t xml:space="preserve"> </w:t>
      </w:r>
      <w:r>
        <w:t>that</w:t>
      </w:r>
      <w:r>
        <w:rPr>
          <w:spacing w:val="-6"/>
        </w:rPr>
        <w:t xml:space="preserve"> </w:t>
      </w:r>
      <w:r>
        <w:t>emerged</w:t>
      </w:r>
      <w:r>
        <w:rPr>
          <w:spacing w:val="-6"/>
        </w:rPr>
        <w:t xml:space="preserve"> </w:t>
      </w:r>
      <w:r>
        <w:t>from</w:t>
      </w:r>
      <w:r>
        <w:rPr>
          <w:spacing w:val="-6"/>
        </w:rPr>
        <w:t xml:space="preserve"> </w:t>
      </w:r>
      <w:r>
        <w:t>these</w:t>
      </w:r>
      <w:r>
        <w:rPr>
          <w:spacing w:val="-6"/>
        </w:rPr>
        <w:t xml:space="preserve"> </w:t>
      </w:r>
      <w:r>
        <w:t>discussions</w:t>
      </w:r>
      <w:r>
        <w:rPr>
          <w:spacing w:val="-6"/>
        </w:rPr>
        <w:t xml:space="preserve"> </w:t>
      </w:r>
      <w:r>
        <w:t xml:space="preserve">was </w:t>
      </w:r>
      <w:r>
        <w:rPr>
          <w:w w:val="95"/>
        </w:rPr>
        <w:t xml:space="preserve">perceived constraints in the current road freight network. </w:t>
      </w:r>
      <w:r>
        <w:t>Other</w:t>
      </w:r>
      <w:r>
        <w:rPr>
          <w:spacing w:val="-9"/>
        </w:rPr>
        <w:t xml:space="preserve"> </w:t>
      </w:r>
      <w:r>
        <w:t>specific</w:t>
      </w:r>
      <w:r>
        <w:rPr>
          <w:spacing w:val="-9"/>
        </w:rPr>
        <w:t xml:space="preserve"> </w:t>
      </w:r>
      <w:r>
        <w:t>proposals</w:t>
      </w:r>
      <w:r>
        <w:rPr>
          <w:spacing w:val="-9"/>
        </w:rPr>
        <w:t xml:space="preserve"> </w:t>
      </w:r>
      <w:r>
        <w:t>are</w:t>
      </w:r>
      <w:r>
        <w:rPr>
          <w:spacing w:val="-9"/>
        </w:rPr>
        <w:t xml:space="preserve"> </w:t>
      </w:r>
      <w:r>
        <w:t>outlined</w:t>
      </w:r>
      <w:r>
        <w:rPr>
          <w:spacing w:val="-9"/>
        </w:rPr>
        <w:t xml:space="preserve"> </w:t>
      </w:r>
      <w:r>
        <w:t>in</w:t>
      </w:r>
      <w:r>
        <w:rPr>
          <w:spacing w:val="-9"/>
        </w:rPr>
        <w:t xml:space="preserve"> </w:t>
      </w:r>
      <w:r>
        <w:t>Sections</w:t>
      </w:r>
    </w:p>
    <w:p w:rsidR="002C1123" w:rsidRDefault="00F22F94">
      <w:pPr>
        <w:pStyle w:val="ListParagraph"/>
        <w:numPr>
          <w:ilvl w:val="2"/>
          <w:numId w:val="74"/>
        </w:numPr>
        <w:tabs>
          <w:tab w:val="left" w:pos="790"/>
        </w:tabs>
        <w:spacing w:before="5"/>
        <w:ind w:left="789" w:hanging="533"/>
        <w:jc w:val="left"/>
        <w:rPr>
          <w:sz w:val="18"/>
        </w:rPr>
      </w:pPr>
      <w:r>
        <w:rPr>
          <w:spacing w:val="-2"/>
          <w:sz w:val="20"/>
        </w:rPr>
        <w:t>–10.2.4.</w:t>
      </w:r>
    </w:p>
    <w:p w:rsidR="002C1123" w:rsidRDefault="002C1123">
      <w:pPr>
        <w:rPr>
          <w:sz w:val="18"/>
        </w:rPr>
        <w:sectPr w:rsidR="002C1123">
          <w:type w:val="continuous"/>
          <w:pgSz w:w="16840" w:h="11910" w:orient="landscape"/>
          <w:pgMar w:top="560" w:right="280" w:bottom="280" w:left="500" w:header="0" w:footer="517" w:gutter="0"/>
          <w:cols w:num="2" w:space="720" w:equalWidth="0">
            <w:col w:w="5222" w:space="40"/>
            <w:col w:w="10798"/>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3"/>
        <w:rPr>
          <w:sz w:val="19"/>
        </w:rPr>
      </w:pPr>
    </w:p>
    <w:p w:rsidR="002C1123" w:rsidRDefault="002060EF">
      <w:pPr>
        <w:pStyle w:val="Heading6"/>
        <w:numPr>
          <w:ilvl w:val="2"/>
          <w:numId w:val="71"/>
        </w:numPr>
        <w:tabs>
          <w:tab w:val="left" w:pos="1087"/>
        </w:tabs>
      </w:pPr>
      <w:r>
        <w:pict>
          <v:group id="docshapegroup1669" o:spid="_x0000_s3388" style="position:absolute;left:0;text-align:left;margin-left:301.2pt;margin-top:7.65pt;width:491.45pt;height:410.8pt;z-index:251540480;mso-position-horizontal-relative:page" coordorigin="6024,153" coordsize="9829,8216">
            <v:shape id="docshape1670" o:spid="_x0000_s3418" type="#_x0000_t75" style="position:absolute;left:6024;top:152;width:9829;height:8216">
              <v:imagedata r:id="rId187" o:title=""/>
            </v:shape>
            <v:shape id="docshape1671" o:spid="_x0000_s3417" type="#_x0000_t202" style="position:absolute;left:6137;top:277;width:3514;height:215" filled="f" stroked="f">
              <v:textbox inset="0,0,0,0">
                <w:txbxContent>
                  <w:p w:rsidR="00F22F94" w:rsidRDefault="00F22F94">
                    <w:pPr>
                      <w:spacing w:before="6"/>
                      <w:rPr>
                        <w:b/>
                        <w:sz w:val="18"/>
                      </w:rPr>
                    </w:pPr>
                    <w:r>
                      <w:rPr>
                        <w:b/>
                        <w:sz w:val="18"/>
                      </w:rPr>
                      <w:t>Figure 10.1</w:t>
                    </w:r>
                    <w:r>
                      <w:rPr>
                        <w:b/>
                        <w:spacing w:val="51"/>
                        <w:sz w:val="18"/>
                      </w:rPr>
                      <w:t xml:space="preserve"> </w:t>
                    </w:r>
                    <w:r>
                      <w:rPr>
                        <w:b/>
                        <w:sz w:val="18"/>
                      </w:rPr>
                      <w:t>Major Road Network</w:t>
                    </w:r>
                    <w:r>
                      <w:rPr>
                        <w:b/>
                        <w:spacing w:val="1"/>
                        <w:sz w:val="18"/>
                      </w:rPr>
                      <w:t xml:space="preserve"> </w:t>
                    </w:r>
                    <w:r>
                      <w:rPr>
                        <w:b/>
                        <w:sz w:val="18"/>
                      </w:rPr>
                      <w:t xml:space="preserve">in </w:t>
                    </w:r>
                    <w:r>
                      <w:rPr>
                        <w:b/>
                        <w:spacing w:val="-5"/>
                        <w:sz w:val="18"/>
                      </w:rPr>
                      <w:t>NSW</w:t>
                    </w:r>
                  </w:p>
                </w:txbxContent>
              </v:textbox>
            </v:shape>
            <v:shape id="docshape1672" o:spid="_x0000_s3416" type="#_x0000_t202" style="position:absolute;left:14939;top:386;width:774;height:668" filled="f" stroked="f">
              <v:textbox inset="0,0,0,0">
                <w:txbxContent>
                  <w:p w:rsidR="00F22F94" w:rsidRDefault="00F22F94">
                    <w:pPr>
                      <w:spacing w:before="4"/>
                      <w:ind w:left="469"/>
                      <w:rPr>
                        <w:b/>
                        <w:sz w:val="16"/>
                      </w:rPr>
                    </w:pPr>
                    <w:r>
                      <w:rPr>
                        <w:b/>
                        <w:color w:val="2E3092"/>
                        <w:w w:val="101"/>
                        <w:sz w:val="16"/>
                      </w:rPr>
                      <w:t>N</w:t>
                    </w:r>
                  </w:p>
                  <w:p w:rsidR="00F22F94" w:rsidRDefault="00F22F94">
                    <w:pPr>
                      <w:spacing w:before="10"/>
                      <w:rPr>
                        <w:b/>
                        <w:sz w:val="18"/>
                      </w:rPr>
                    </w:pPr>
                  </w:p>
                  <w:p w:rsidR="00F22F94" w:rsidRDefault="00F22F94">
                    <w:pPr>
                      <w:spacing w:line="192" w:lineRule="auto"/>
                      <w:ind w:left="79" w:right="16" w:hanging="80"/>
                      <w:rPr>
                        <w:sz w:val="14"/>
                      </w:rPr>
                    </w:pPr>
                    <w:r>
                      <w:rPr>
                        <w:spacing w:val="-4"/>
                        <w:w w:val="75"/>
                        <w:sz w:val="14"/>
                      </w:rPr>
                      <w:t>Gold</w:t>
                    </w:r>
                    <w:r>
                      <w:rPr>
                        <w:spacing w:val="-11"/>
                        <w:sz w:val="14"/>
                      </w:rPr>
                      <w:t xml:space="preserve"> </w:t>
                    </w:r>
                    <w:r>
                      <w:rPr>
                        <w:spacing w:val="-4"/>
                        <w:w w:val="75"/>
                        <w:sz w:val="14"/>
                      </w:rPr>
                      <w:t>Coast</w:t>
                    </w:r>
                    <w:r>
                      <w:rPr>
                        <w:spacing w:val="-11"/>
                        <w:sz w:val="14"/>
                      </w:rPr>
                      <w:t xml:space="preserve"> </w:t>
                    </w:r>
                    <w:r>
                      <w:rPr>
                        <w:spacing w:val="-4"/>
                        <w:w w:val="75"/>
                        <w:sz w:val="14"/>
                      </w:rPr>
                      <w:t>(Qld)</w:t>
                    </w:r>
                    <w:r>
                      <w:rPr>
                        <w:spacing w:val="40"/>
                        <w:sz w:val="14"/>
                      </w:rPr>
                      <w:t xml:space="preserve"> </w:t>
                    </w:r>
                    <w:r>
                      <w:rPr>
                        <w:w w:val="75"/>
                        <w:sz w:val="14"/>
                      </w:rPr>
                      <w:t>Tweed</w:t>
                    </w:r>
                    <w:r>
                      <w:rPr>
                        <w:spacing w:val="-2"/>
                        <w:w w:val="80"/>
                        <w:sz w:val="14"/>
                      </w:rPr>
                      <w:t xml:space="preserve"> Heads</w:t>
                    </w:r>
                  </w:p>
                </w:txbxContent>
              </v:textbox>
            </v:shape>
            <v:shape id="docshape1673" o:spid="_x0000_s3415" type="#_x0000_t202" style="position:absolute;left:14165;top:1275;width:415;height:159" filled="f" stroked="f">
              <v:textbox inset="0,0,0,0">
                <w:txbxContent>
                  <w:p w:rsidR="00F22F94" w:rsidRDefault="00F22F94">
                    <w:pPr>
                      <w:spacing w:line="158" w:lineRule="exact"/>
                      <w:rPr>
                        <w:sz w:val="14"/>
                      </w:rPr>
                    </w:pPr>
                    <w:r>
                      <w:rPr>
                        <w:spacing w:val="-2"/>
                        <w:w w:val="80"/>
                        <w:sz w:val="14"/>
                      </w:rPr>
                      <w:t>Lismore</w:t>
                    </w:r>
                  </w:p>
                </w:txbxContent>
              </v:textbox>
            </v:shape>
            <v:shape id="docshape1674" o:spid="_x0000_s3414" type="#_x0000_t202" style="position:absolute;left:12060;top:1731;width:334;height:159" filled="f" stroked="f">
              <v:textbox inset="0,0,0,0">
                <w:txbxContent>
                  <w:p w:rsidR="00F22F94" w:rsidRDefault="00F22F94">
                    <w:pPr>
                      <w:spacing w:line="158" w:lineRule="exact"/>
                      <w:rPr>
                        <w:sz w:val="14"/>
                      </w:rPr>
                    </w:pPr>
                    <w:r>
                      <w:rPr>
                        <w:spacing w:val="-2"/>
                        <w:w w:val="80"/>
                        <w:sz w:val="14"/>
                      </w:rPr>
                      <w:t>Moree</w:t>
                    </w:r>
                  </w:p>
                </w:txbxContent>
              </v:textbox>
            </v:shape>
            <v:shape id="docshape1675" o:spid="_x0000_s3413" type="#_x0000_t202" style="position:absolute;left:14668;top:1943;width:384;height:159" filled="f" stroked="f">
              <v:textbox inset="0,0,0,0">
                <w:txbxContent>
                  <w:p w:rsidR="00F22F94" w:rsidRDefault="00F22F94">
                    <w:pPr>
                      <w:spacing w:line="158" w:lineRule="exact"/>
                      <w:rPr>
                        <w:sz w:val="14"/>
                      </w:rPr>
                    </w:pPr>
                    <w:r>
                      <w:rPr>
                        <w:spacing w:val="-2"/>
                        <w:w w:val="80"/>
                        <w:sz w:val="14"/>
                      </w:rPr>
                      <w:t>Grafton</w:t>
                    </w:r>
                  </w:p>
                </w:txbxContent>
              </v:textbox>
            </v:shape>
            <v:shape id="docshape1676" o:spid="_x0000_s3412" type="#_x0000_t202" style="position:absolute;left:9306;top:2201;width:368;height:159" filled="f" stroked="f">
              <v:textbox inset="0,0,0,0">
                <w:txbxContent>
                  <w:p w:rsidR="00F22F94" w:rsidRDefault="00F22F94">
                    <w:pPr>
                      <w:spacing w:line="158" w:lineRule="exact"/>
                      <w:rPr>
                        <w:sz w:val="14"/>
                      </w:rPr>
                    </w:pPr>
                    <w:r>
                      <w:rPr>
                        <w:spacing w:val="-2"/>
                        <w:w w:val="80"/>
                        <w:sz w:val="14"/>
                      </w:rPr>
                      <w:t>Bourke</w:t>
                    </w:r>
                  </w:p>
                </w:txbxContent>
              </v:textbox>
            </v:shape>
            <v:shape id="docshape1677" o:spid="_x0000_s3411" type="#_x0000_t202" style="position:absolute;left:13150;top:2456;width:458;height:159" filled="f" stroked="f">
              <v:textbox inset="0,0,0,0">
                <w:txbxContent>
                  <w:p w:rsidR="00F22F94" w:rsidRDefault="00F22F94">
                    <w:pPr>
                      <w:spacing w:line="158" w:lineRule="exact"/>
                      <w:rPr>
                        <w:sz w:val="14"/>
                      </w:rPr>
                    </w:pPr>
                    <w:r>
                      <w:rPr>
                        <w:spacing w:val="-2"/>
                        <w:w w:val="80"/>
                        <w:sz w:val="14"/>
                      </w:rPr>
                      <w:t>Armidale</w:t>
                    </w:r>
                  </w:p>
                </w:txbxContent>
              </v:textbox>
            </v:shape>
            <v:shape id="docshape1678" o:spid="_x0000_s3410" type="#_x0000_t202" style="position:absolute;left:14679;top:2472;width:702;height:159" filled="f" stroked="f">
              <v:textbox inset="0,0,0,0">
                <w:txbxContent>
                  <w:p w:rsidR="00F22F94" w:rsidRDefault="00F22F94">
                    <w:pPr>
                      <w:spacing w:line="158" w:lineRule="exact"/>
                      <w:rPr>
                        <w:sz w:val="14"/>
                      </w:rPr>
                    </w:pPr>
                    <w:r>
                      <w:rPr>
                        <w:w w:val="75"/>
                        <w:sz w:val="14"/>
                      </w:rPr>
                      <w:t>Coffs</w:t>
                    </w:r>
                    <w:r>
                      <w:rPr>
                        <w:sz w:val="14"/>
                      </w:rPr>
                      <w:t xml:space="preserve"> </w:t>
                    </w:r>
                    <w:r>
                      <w:rPr>
                        <w:spacing w:val="-2"/>
                        <w:w w:val="80"/>
                        <w:sz w:val="14"/>
                      </w:rPr>
                      <w:t>Harbour</w:t>
                    </w:r>
                  </w:p>
                </w:txbxContent>
              </v:textbox>
            </v:shape>
            <v:shape id="docshape1679" o:spid="_x0000_s3409" type="#_x0000_t202" style="position:absolute;left:13196;top:3015;width:505;height:159" filled="f" stroked="f">
              <v:textbox inset="0,0,0,0">
                <w:txbxContent>
                  <w:p w:rsidR="00F22F94" w:rsidRDefault="00F22F94">
                    <w:pPr>
                      <w:spacing w:line="158" w:lineRule="exact"/>
                      <w:rPr>
                        <w:sz w:val="14"/>
                      </w:rPr>
                    </w:pPr>
                    <w:r>
                      <w:rPr>
                        <w:spacing w:val="-2"/>
                        <w:w w:val="80"/>
                        <w:sz w:val="14"/>
                      </w:rPr>
                      <w:t>Tamworth</w:t>
                    </w:r>
                  </w:p>
                </w:txbxContent>
              </v:textbox>
            </v:shape>
            <v:shape id="docshape1680" o:spid="_x0000_s3408" type="#_x0000_t202" style="position:absolute;left:14607;top:3138;width:775;height:159" filled="f" stroked="f">
              <v:textbox inset="0,0,0,0">
                <w:txbxContent>
                  <w:p w:rsidR="00F22F94" w:rsidRDefault="00F22F94">
                    <w:pPr>
                      <w:spacing w:line="158" w:lineRule="exact"/>
                      <w:rPr>
                        <w:sz w:val="14"/>
                      </w:rPr>
                    </w:pPr>
                    <w:r>
                      <w:rPr>
                        <w:w w:val="75"/>
                        <w:sz w:val="14"/>
                      </w:rPr>
                      <w:t>Port</w:t>
                    </w:r>
                    <w:r>
                      <w:rPr>
                        <w:spacing w:val="-1"/>
                        <w:sz w:val="14"/>
                      </w:rPr>
                      <w:t xml:space="preserve"> </w:t>
                    </w:r>
                    <w:r>
                      <w:rPr>
                        <w:spacing w:val="-2"/>
                        <w:w w:val="80"/>
                        <w:sz w:val="14"/>
                      </w:rPr>
                      <w:t>Macquarie</w:t>
                    </w:r>
                  </w:p>
                </w:txbxContent>
              </v:textbox>
            </v:shape>
            <v:shape id="docshape1681" o:spid="_x0000_s3407" type="#_x0000_t202" style="position:absolute;left:13946;top:3423;width:290;height:159" filled="f" stroked="f">
              <v:textbox inset="0,0,0,0">
                <w:txbxContent>
                  <w:p w:rsidR="00F22F94" w:rsidRDefault="00F22F94">
                    <w:pPr>
                      <w:spacing w:line="158" w:lineRule="exact"/>
                      <w:rPr>
                        <w:sz w:val="14"/>
                      </w:rPr>
                    </w:pPr>
                    <w:r>
                      <w:rPr>
                        <w:spacing w:val="-4"/>
                        <w:w w:val="80"/>
                        <w:sz w:val="14"/>
                      </w:rPr>
                      <w:t>Taree</w:t>
                    </w:r>
                  </w:p>
                </w:txbxContent>
              </v:textbox>
            </v:shape>
            <v:shape id="docshape1682" o:spid="_x0000_s3406" type="#_x0000_t202" style="position:absolute;left:6645;top:3554;width:551;height:159" filled="f" stroked="f">
              <v:textbox inset="0,0,0,0">
                <w:txbxContent>
                  <w:p w:rsidR="00F22F94" w:rsidRDefault="00F22F94">
                    <w:pPr>
                      <w:spacing w:line="158" w:lineRule="exact"/>
                      <w:rPr>
                        <w:sz w:val="14"/>
                      </w:rPr>
                    </w:pPr>
                    <w:r>
                      <w:rPr>
                        <w:w w:val="75"/>
                        <w:sz w:val="14"/>
                      </w:rPr>
                      <w:t>Broken</w:t>
                    </w:r>
                    <w:r>
                      <w:rPr>
                        <w:spacing w:val="7"/>
                        <w:sz w:val="14"/>
                      </w:rPr>
                      <w:t xml:space="preserve"> </w:t>
                    </w:r>
                    <w:r>
                      <w:rPr>
                        <w:spacing w:val="-4"/>
                        <w:w w:val="85"/>
                        <w:sz w:val="14"/>
                      </w:rPr>
                      <w:t>Hill</w:t>
                    </w:r>
                  </w:p>
                </w:txbxContent>
              </v:textbox>
            </v:shape>
            <v:shape id="docshape1683" o:spid="_x0000_s3405" type="#_x0000_t202" style="position:absolute;left:11640;top:3673;width:342;height:159" filled="f" stroked="f">
              <v:textbox inset="0,0,0,0">
                <w:txbxContent>
                  <w:p w:rsidR="00F22F94" w:rsidRDefault="00F22F94">
                    <w:pPr>
                      <w:spacing w:line="158" w:lineRule="exact"/>
                      <w:rPr>
                        <w:sz w:val="14"/>
                      </w:rPr>
                    </w:pPr>
                    <w:r>
                      <w:rPr>
                        <w:spacing w:val="-2"/>
                        <w:w w:val="80"/>
                        <w:sz w:val="14"/>
                      </w:rPr>
                      <w:t>Dubbo</w:t>
                    </w:r>
                  </w:p>
                </w:txbxContent>
              </v:textbox>
            </v:shape>
            <v:shape id="docshape1684" o:spid="_x0000_s3404" type="#_x0000_t202" style="position:absolute;left:14335;top:3687;width:834;height:159" filled="f" stroked="f">
              <v:textbox inset="0,0,0,0">
                <w:txbxContent>
                  <w:p w:rsidR="00F22F94" w:rsidRDefault="00F22F94">
                    <w:pPr>
                      <w:spacing w:line="158" w:lineRule="exact"/>
                      <w:rPr>
                        <w:sz w:val="14"/>
                      </w:rPr>
                    </w:pPr>
                    <w:r>
                      <w:rPr>
                        <w:w w:val="75"/>
                        <w:sz w:val="14"/>
                      </w:rPr>
                      <w:t>Forster-</w:t>
                    </w:r>
                    <w:r>
                      <w:rPr>
                        <w:spacing w:val="-2"/>
                        <w:w w:val="80"/>
                        <w:sz w:val="14"/>
                      </w:rPr>
                      <w:t>Tuncurry</w:t>
                    </w:r>
                  </w:p>
                </w:txbxContent>
              </v:textbox>
            </v:shape>
            <v:shape id="docshape1685" o:spid="_x0000_s3403" type="#_x0000_t202" style="position:absolute;left:13812;top:4184;width:528;height:159" filled="f" stroked="f">
              <v:textbox inset="0,0,0,0">
                <w:txbxContent>
                  <w:p w:rsidR="00F22F94" w:rsidRDefault="00F22F94">
                    <w:pPr>
                      <w:spacing w:line="158" w:lineRule="exact"/>
                      <w:rPr>
                        <w:sz w:val="14"/>
                      </w:rPr>
                    </w:pPr>
                    <w:r>
                      <w:rPr>
                        <w:spacing w:val="-2"/>
                        <w:w w:val="80"/>
                        <w:sz w:val="14"/>
                      </w:rPr>
                      <w:t>Newcastle</w:t>
                    </w:r>
                  </w:p>
                </w:txbxContent>
              </v:textbox>
            </v:shape>
            <v:shape id="docshape1686" o:spid="_x0000_s3402" type="#_x0000_t202" style="position:absolute;left:11897;top:4345;width:381;height:159" filled="f" stroked="f">
              <v:textbox inset="0,0,0,0">
                <w:txbxContent>
                  <w:p w:rsidR="00F22F94" w:rsidRDefault="00F22F94">
                    <w:pPr>
                      <w:spacing w:line="158" w:lineRule="exact"/>
                      <w:rPr>
                        <w:sz w:val="14"/>
                      </w:rPr>
                    </w:pPr>
                    <w:r>
                      <w:rPr>
                        <w:spacing w:val="-2"/>
                        <w:w w:val="80"/>
                        <w:sz w:val="14"/>
                      </w:rPr>
                      <w:t>Orange</w:t>
                    </w:r>
                  </w:p>
                </w:txbxContent>
              </v:textbox>
            </v:shape>
            <v:shape id="docshape1687" o:spid="_x0000_s3401" type="#_x0000_t202" style="position:absolute;left:12278;top:4467;width:435;height:159" filled="f" stroked="f">
              <v:textbox inset="0,0,0,0">
                <w:txbxContent>
                  <w:p w:rsidR="00F22F94" w:rsidRDefault="00F22F94">
                    <w:pPr>
                      <w:spacing w:line="158" w:lineRule="exact"/>
                      <w:rPr>
                        <w:sz w:val="14"/>
                      </w:rPr>
                    </w:pPr>
                    <w:r>
                      <w:rPr>
                        <w:spacing w:val="-2"/>
                        <w:w w:val="80"/>
                        <w:sz w:val="14"/>
                      </w:rPr>
                      <w:t>Bathurst</w:t>
                    </w:r>
                  </w:p>
                </w:txbxContent>
              </v:textbox>
            </v:shape>
            <v:shape id="docshape1688" o:spid="_x0000_s3400" type="#_x0000_t202" style="position:absolute;left:13419;top:4562;width:434;height:458" filled="f" stroked="f">
              <v:textbox inset="0,0,0,0">
                <w:txbxContent>
                  <w:p w:rsidR="00F22F94" w:rsidRDefault="00F22F94">
                    <w:pPr>
                      <w:spacing w:line="159" w:lineRule="exact"/>
                      <w:ind w:left="29"/>
                      <w:rPr>
                        <w:sz w:val="14"/>
                      </w:rPr>
                    </w:pPr>
                    <w:r>
                      <w:rPr>
                        <w:spacing w:val="-2"/>
                        <w:w w:val="80"/>
                        <w:sz w:val="14"/>
                      </w:rPr>
                      <w:t>Gosford</w:t>
                    </w:r>
                  </w:p>
                  <w:p w:rsidR="00F22F94" w:rsidRDefault="00F22F94">
                    <w:pPr>
                      <w:spacing w:before="138" w:line="160" w:lineRule="exact"/>
                      <w:rPr>
                        <w:sz w:val="14"/>
                      </w:rPr>
                    </w:pPr>
                    <w:r>
                      <w:rPr>
                        <w:spacing w:val="-2"/>
                        <w:w w:val="85"/>
                        <w:sz w:val="14"/>
                      </w:rPr>
                      <w:t>Sydney</w:t>
                    </w:r>
                  </w:p>
                </w:txbxContent>
              </v:textbox>
            </v:shape>
            <v:shape id="docshape1689" o:spid="_x0000_s3399" type="#_x0000_t202" style="position:absolute;left:6441;top:5094;width:634;height:159" filled="f" stroked="f">
              <v:textbox inset="0,0,0,0">
                <w:txbxContent>
                  <w:p w:rsidR="00F22F94" w:rsidRDefault="00F22F94">
                    <w:pPr>
                      <w:spacing w:line="158" w:lineRule="exact"/>
                      <w:rPr>
                        <w:sz w:val="14"/>
                      </w:rPr>
                    </w:pPr>
                    <w:r>
                      <w:rPr>
                        <w:w w:val="80"/>
                        <w:sz w:val="14"/>
                      </w:rPr>
                      <w:t>Mildura</w:t>
                    </w:r>
                    <w:r>
                      <w:rPr>
                        <w:spacing w:val="-6"/>
                        <w:sz w:val="14"/>
                      </w:rPr>
                      <w:t xml:space="preserve"> </w:t>
                    </w:r>
                    <w:r>
                      <w:rPr>
                        <w:spacing w:val="-2"/>
                        <w:w w:val="80"/>
                        <w:sz w:val="14"/>
                      </w:rPr>
                      <w:t>(Vic)</w:t>
                    </w:r>
                  </w:p>
                </w:txbxContent>
              </v:textbox>
            </v:shape>
            <v:shape id="docshape1690" o:spid="_x0000_s3398" type="#_x0000_t202" style="position:absolute;left:9380;top:5149;width:350;height:159" filled="f" stroked="f">
              <v:textbox inset="0,0,0,0">
                <w:txbxContent>
                  <w:p w:rsidR="00F22F94" w:rsidRDefault="00F22F94">
                    <w:pPr>
                      <w:spacing w:line="158" w:lineRule="exact"/>
                      <w:rPr>
                        <w:sz w:val="14"/>
                      </w:rPr>
                    </w:pPr>
                    <w:r>
                      <w:rPr>
                        <w:spacing w:val="-2"/>
                        <w:w w:val="90"/>
                        <w:sz w:val="14"/>
                      </w:rPr>
                      <w:t>Griffth</w:t>
                    </w:r>
                  </w:p>
                </w:txbxContent>
              </v:textbox>
            </v:shape>
            <v:shape id="docshape1691" o:spid="_x0000_s3397" type="#_x0000_t202" style="position:absolute;left:13208;top:5220;width:598;height:159" filled="f" stroked="f">
              <v:textbox inset="0,0,0,0">
                <w:txbxContent>
                  <w:p w:rsidR="00F22F94" w:rsidRDefault="00F22F94">
                    <w:pPr>
                      <w:spacing w:line="158" w:lineRule="exact"/>
                      <w:rPr>
                        <w:sz w:val="14"/>
                      </w:rPr>
                    </w:pPr>
                    <w:r>
                      <w:rPr>
                        <w:spacing w:val="-2"/>
                        <w:w w:val="80"/>
                        <w:sz w:val="14"/>
                      </w:rPr>
                      <w:t>Wollongong</w:t>
                    </w:r>
                  </w:p>
                </w:txbxContent>
              </v:textbox>
            </v:shape>
            <v:shape id="docshape1692" o:spid="_x0000_s3396" type="#_x0000_t202" style="position:absolute;left:12370;top:5513;width:469;height:159" filled="f" stroked="f">
              <v:textbox inset="0,0,0,0">
                <w:txbxContent>
                  <w:p w:rsidR="00F22F94" w:rsidRDefault="00F22F94">
                    <w:pPr>
                      <w:spacing w:line="158" w:lineRule="exact"/>
                      <w:rPr>
                        <w:sz w:val="14"/>
                      </w:rPr>
                    </w:pPr>
                    <w:r>
                      <w:rPr>
                        <w:spacing w:val="-2"/>
                        <w:w w:val="80"/>
                        <w:sz w:val="14"/>
                      </w:rPr>
                      <w:t>Goulburn</w:t>
                    </w:r>
                  </w:p>
                </w:txbxContent>
              </v:textbox>
            </v:shape>
            <v:shape id="docshape1693" o:spid="_x0000_s3395" type="#_x0000_t202" style="position:absolute;left:9843;top:5769;width:733;height:159" filled="f" stroked="f">
              <v:textbox inset="0,0,0,0">
                <w:txbxContent>
                  <w:p w:rsidR="00F22F94" w:rsidRDefault="00F22F94">
                    <w:pPr>
                      <w:spacing w:line="158" w:lineRule="exact"/>
                      <w:rPr>
                        <w:sz w:val="14"/>
                      </w:rPr>
                    </w:pPr>
                    <w:r>
                      <w:rPr>
                        <w:w w:val="75"/>
                        <w:sz w:val="14"/>
                      </w:rPr>
                      <w:t>Wagga</w:t>
                    </w:r>
                    <w:r>
                      <w:rPr>
                        <w:spacing w:val="-4"/>
                        <w:sz w:val="14"/>
                      </w:rPr>
                      <w:t xml:space="preserve"> </w:t>
                    </w:r>
                    <w:r>
                      <w:rPr>
                        <w:spacing w:val="-2"/>
                        <w:w w:val="80"/>
                        <w:sz w:val="14"/>
                      </w:rPr>
                      <w:t>Wagga</w:t>
                    </w:r>
                  </w:p>
                </w:txbxContent>
              </v:textbox>
            </v:shape>
            <v:shape id="docshape1694" o:spid="_x0000_s3394" type="#_x0000_t202" style="position:absolute;left:11407;top:5845;width:1222;height:231" filled="f" stroked="f">
              <v:textbox inset="0,0,0,0">
                <w:txbxContent>
                  <w:p w:rsidR="00F22F94" w:rsidRDefault="00F22F94">
                    <w:pPr>
                      <w:spacing w:before="1" w:line="230" w:lineRule="exact"/>
                      <w:rPr>
                        <w:sz w:val="14"/>
                      </w:rPr>
                    </w:pPr>
                    <w:r>
                      <w:rPr>
                        <w:w w:val="80"/>
                        <w:position w:val="7"/>
                        <w:sz w:val="14"/>
                      </w:rPr>
                      <w:t>Canberra</w:t>
                    </w:r>
                    <w:r>
                      <w:rPr>
                        <w:spacing w:val="72"/>
                        <w:position w:val="7"/>
                        <w:sz w:val="14"/>
                      </w:rPr>
                      <w:t xml:space="preserve"> </w:t>
                    </w:r>
                    <w:r>
                      <w:rPr>
                        <w:spacing w:val="-2"/>
                        <w:w w:val="80"/>
                        <w:sz w:val="14"/>
                      </w:rPr>
                      <w:t>Queanbeyan</w:t>
                    </w:r>
                  </w:p>
                </w:txbxContent>
              </v:textbox>
            </v:shape>
            <v:shape id="docshape1695" o:spid="_x0000_s3393" type="#_x0000_t202" style="position:absolute;left:11627;top:5993;width:287;height:159" filled="f" stroked="f">
              <v:textbox inset="0,0,0,0">
                <w:txbxContent>
                  <w:p w:rsidR="00F22F94" w:rsidRDefault="00F22F94">
                    <w:pPr>
                      <w:spacing w:line="158" w:lineRule="exact"/>
                      <w:rPr>
                        <w:sz w:val="14"/>
                      </w:rPr>
                    </w:pPr>
                    <w:r>
                      <w:rPr>
                        <w:spacing w:val="-2"/>
                        <w:w w:val="75"/>
                        <w:sz w:val="14"/>
                      </w:rPr>
                      <w:t>(ACT)</w:t>
                    </w:r>
                  </w:p>
                </w:txbxContent>
              </v:textbox>
            </v:shape>
            <v:shape id="docshape1696" o:spid="_x0000_s3392" type="#_x0000_t202" style="position:absolute;left:8225;top:6384;width:624;height:159" filled="f" stroked="f">
              <v:textbox inset="0,0,0,0">
                <w:txbxContent>
                  <w:p w:rsidR="00F22F94" w:rsidRDefault="00F22F94">
                    <w:pPr>
                      <w:spacing w:line="158" w:lineRule="exact"/>
                      <w:rPr>
                        <w:sz w:val="14"/>
                      </w:rPr>
                    </w:pPr>
                    <w:r>
                      <w:rPr>
                        <w:w w:val="75"/>
                        <w:sz w:val="14"/>
                      </w:rPr>
                      <w:t>Echuca</w:t>
                    </w:r>
                    <w:r>
                      <w:rPr>
                        <w:spacing w:val="3"/>
                        <w:sz w:val="14"/>
                      </w:rPr>
                      <w:t xml:space="preserve"> </w:t>
                    </w:r>
                    <w:r>
                      <w:rPr>
                        <w:spacing w:val="-2"/>
                        <w:w w:val="80"/>
                        <w:sz w:val="14"/>
                      </w:rPr>
                      <w:t>(Vic)</w:t>
                    </w:r>
                  </w:p>
                </w:txbxContent>
              </v:textbox>
            </v:shape>
            <v:shape id="docshape1697" o:spid="_x0000_s3391" type="#_x0000_t202" style="position:absolute;left:10436;top:6410;width:334;height:159" filled="f" stroked="f">
              <v:textbox inset="0,0,0,0">
                <w:txbxContent>
                  <w:p w:rsidR="00F22F94" w:rsidRDefault="00F22F94">
                    <w:pPr>
                      <w:spacing w:line="158" w:lineRule="exact"/>
                      <w:rPr>
                        <w:sz w:val="14"/>
                      </w:rPr>
                    </w:pPr>
                    <w:r>
                      <w:rPr>
                        <w:spacing w:val="-2"/>
                        <w:w w:val="80"/>
                        <w:sz w:val="14"/>
                      </w:rPr>
                      <w:t>Albury</w:t>
                    </w:r>
                  </w:p>
                </w:txbxContent>
              </v:textbox>
            </v:shape>
            <v:shape id="docshape1698" o:spid="_x0000_s3390" type="#_x0000_t202" style="position:absolute;left:12448;top:6766;width:272;height:159" filled="f" stroked="f">
              <v:textbox inset="0,0,0,0">
                <w:txbxContent>
                  <w:p w:rsidR="00F22F94" w:rsidRDefault="00F22F94">
                    <w:pPr>
                      <w:spacing w:line="158" w:lineRule="exact"/>
                      <w:rPr>
                        <w:sz w:val="14"/>
                      </w:rPr>
                    </w:pPr>
                    <w:r>
                      <w:rPr>
                        <w:spacing w:val="-4"/>
                        <w:w w:val="80"/>
                        <w:sz w:val="14"/>
                      </w:rPr>
                      <w:t>Bega</w:t>
                    </w:r>
                  </w:p>
                </w:txbxContent>
              </v:textbox>
            </v:shape>
            <v:shape id="docshape1699" o:spid="_x0000_s3389" type="#_x0000_t202" style="position:absolute;left:6137;top:7284;width:1793;height:890" filled="f" stroked="f">
              <v:textbox inset="0,0,0,0">
                <w:txbxContent>
                  <w:p w:rsidR="00F22F94" w:rsidRDefault="00F22F94">
                    <w:pPr>
                      <w:spacing w:before="6"/>
                      <w:ind w:left="46"/>
                      <w:rPr>
                        <w:b/>
                        <w:sz w:val="18"/>
                      </w:rPr>
                    </w:pPr>
                    <w:r>
                      <w:rPr>
                        <w:b/>
                        <w:color w:val="2E3092"/>
                        <w:spacing w:val="-5"/>
                        <w:sz w:val="18"/>
                      </w:rPr>
                      <w:t>Key</w:t>
                    </w:r>
                  </w:p>
                  <w:p w:rsidR="00F22F94" w:rsidRDefault="00F22F94">
                    <w:pPr>
                      <w:spacing w:before="24" w:line="297" w:lineRule="auto"/>
                      <w:ind w:left="406"/>
                      <w:rPr>
                        <w:sz w:val="14"/>
                      </w:rPr>
                    </w:pPr>
                    <w:r>
                      <w:rPr>
                        <w:spacing w:val="-2"/>
                        <w:w w:val="85"/>
                        <w:sz w:val="14"/>
                      </w:rPr>
                      <w:t>National</w:t>
                    </w:r>
                    <w:r>
                      <w:rPr>
                        <w:spacing w:val="-8"/>
                        <w:sz w:val="14"/>
                      </w:rPr>
                      <w:t xml:space="preserve"> </w:t>
                    </w:r>
                    <w:r>
                      <w:rPr>
                        <w:spacing w:val="-2"/>
                        <w:w w:val="85"/>
                        <w:sz w:val="14"/>
                      </w:rPr>
                      <w:t>Highway</w:t>
                    </w:r>
                    <w:r>
                      <w:rPr>
                        <w:spacing w:val="-8"/>
                        <w:sz w:val="14"/>
                      </w:rPr>
                      <w:t xml:space="preserve"> </w:t>
                    </w:r>
                    <w:r>
                      <w:rPr>
                        <w:spacing w:val="-2"/>
                        <w:w w:val="85"/>
                        <w:sz w:val="14"/>
                      </w:rPr>
                      <w:t>Network</w:t>
                    </w:r>
                    <w:r>
                      <w:rPr>
                        <w:spacing w:val="40"/>
                        <w:sz w:val="14"/>
                      </w:rPr>
                      <w:t xml:space="preserve"> </w:t>
                    </w:r>
                    <w:r>
                      <w:rPr>
                        <w:w w:val="90"/>
                        <w:sz w:val="14"/>
                      </w:rPr>
                      <w:t>Other State Roads</w:t>
                    </w:r>
                  </w:p>
                  <w:p w:rsidR="00F22F94" w:rsidRDefault="00F22F94">
                    <w:pPr>
                      <w:spacing w:before="91"/>
                      <w:rPr>
                        <w:sz w:val="14"/>
                      </w:rPr>
                    </w:pPr>
                    <w:r>
                      <w:rPr>
                        <w:w w:val="95"/>
                        <w:sz w:val="14"/>
                      </w:rPr>
                      <w:t>Source:</w:t>
                    </w:r>
                    <w:r>
                      <w:rPr>
                        <w:spacing w:val="5"/>
                        <w:sz w:val="14"/>
                      </w:rPr>
                      <w:t xml:space="preserve"> </w:t>
                    </w:r>
                    <w:r>
                      <w:rPr>
                        <w:w w:val="95"/>
                        <w:sz w:val="14"/>
                      </w:rPr>
                      <w:t>Transport</w:t>
                    </w:r>
                    <w:r>
                      <w:rPr>
                        <w:spacing w:val="6"/>
                        <w:sz w:val="14"/>
                      </w:rPr>
                      <w:t xml:space="preserve"> </w:t>
                    </w:r>
                    <w:r>
                      <w:rPr>
                        <w:w w:val="95"/>
                        <w:sz w:val="14"/>
                      </w:rPr>
                      <w:t>for</w:t>
                    </w:r>
                    <w:r>
                      <w:rPr>
                        <w:spacing w:val="6"/>
                        <w:sz w:val="14"/>
                      </w:rPr>
                      <w:t xml:space="preserve"> </w:t>
                    </w:r>
                    <w:r>
                      <w:rPr>
                        <w:spacing w:val="-4"/>
                        <w:w w:val="95"/>
                        <w:sz w:val="14"/>
                      </w:rPr>
                      <w:t>NSW.</w:t>
                    </w:r>
                  </w:p>
                </w:txbxContent>
              </v:textbox>
            </v:shape>
            <w10:wrap anchorx="page"/>
          </v:group>
        </w:pict>
      </w:r>
      <w:bookmarkStart w:id="271" w:name="_bookmark191"/>
      <w:bookmarkEnd w:id="271"/>
      <w:r w:rsidR="00F22F94">
        <w:rPr>
          <w:color w:val="00AEEF"/>
          <w:spacing w:val="-2"/>
        </w:rPr>
        <w:t>NSW</w:t>
      </w:r>
      <w:r w:rsidR="00F22F94">
        <w:rPr>
          <w:color w:val="00AEEF"/>
          <w:spacing w:val="-12"/>
        </w:rPr>
        <w:t xml:space="preserve"> </w:t>
      </w:r>
      <w:r w:rsidR="00F22F94">
        <w:rPr>
          <w:color w:val="00AEEF"/>
          <w:spacing w:val="-2"/>
        </w:rPr>
        <w:t>Highway</w:t>
      </w:r>
      <w:r w:rsidR="00F22F94">
        <w:rPr>
          <w:color w:val="00AEEF"/>
          <w:spacing w:val="-11"/>
        </w:rPr>
        <w:t xml:space="preserve"> </w:t>
      </w:r>
      <w:r w:rsidR="00F22F94">
        <w:rPr>
          <w:color w:val="00AEEF"/>
          <w:spacing w:val="-2"/>
        </w:rPr>
        <w:t>Network</w:t>
      </w:r>
    </w:p>
    <w:p w:rsidR="002C1123" w:rsidRDefault="00F22F94">
      <w:pPr>
        <w:pStyle w:val="BodyText"/>
        <w:spacing w:before="95" w:line="249" w:lineRule="auto"/>
        <w:ind w:left="492" w:right="10835"/>
      </w:pPr>
      <w:r>
        <w:t>NSW</w:t>
      </w:r>
      <w:r>
        <w:rPr>
          <w:spacing w:val="-13"/>
        </w:rPr>
        <w:t xml:space="preserve"> </w:t>
      </w:r>
      <w:r>
        <w:t>has</w:t>
      </w:r>
      <w:r>
        <w:rPr>
          <w:spacing w:val="-13"/>
        </w:rPr>
        <w:t xml:space="preserve"> </w:t>
      </w:r>
      <w:r>
        <w:t>an</w:t>
      </w:r>
      <w:r>
        <w:rPr>
          <w:spacing w:val="-13"/>
        </w:rPr>
        <w:t xml:space="preserve"> </w:t>
      </w:r>
      <w:r>
        <w:t>extensive,</w:t>
      </w:r>
      <w:r>
        <w:rPr>
          <w:spacing w:val="-13"/>
        </w:rPr>
        <w:t xml:space="preserve"> </w:t>
      </w:r>
      <w:r>
        <w:t>well-developed</w:t>
      </w:r>
      <w:r>
        <w:rPr>
          <w:spacing w:val="-13"/>
        </w:rPr>
        <w:t xml:space="preserve"> </w:t>
      </w:r>
      <w:r>
        <w:t>network</w:t>
      </w:r>
      <w:r>
        <w:rPr>
          <w:spacing w:val="-13"/>
        </w:rPr>
        <w:t xml:space="preserve"> </w:t>
      </w:r>
      <w:r>
        <w:t>of highways</w:t>
      </w:r>
      <w:r>
        <w:rPr>
          <w:spacing w:val="-10"/>
        </w:rPr>
        <w:t xml:space="preserve"> </w:t>
      </w:r>
      <w:r>
        <w:t>connecting</w:t>
      </w:r>
      <w:r>
        <w:rPr>
          <w:spacing w:val="-10"/>
        </w:rPr>
        <w:t xml:space="preserve"> </w:t>
      </w:r>
      <w:r>
        <w:t>the</w:t>
      </w:r>
      <w:r>
        <w:rPr>
          <w:spacing w:val="-10"/>
        </w:rPr>
        <w:t xml:space="preserve"> </w:t>
      </w:r>
      <w:r>
        <w:t>State’s</w:t>
      </w:r>
      <w:r>
        <w:rPr>
          <w:spacing w:val="-10"/>
        </w:rPr>
        <w:t xml:space="preserve"> </w:t>
      </w:r>
      <w:r>
        <w:t>major</w:t>
      </w:r>
      <w:r>
        <w:rPr>
          <w:spacing w:val="-10"/>
        </w:rPr>
        <w:t xml:space="preserve"> </w:t>
      </w:r>
      <w:r>
        <w:t>population centres.</w:t>
      </w:r>
      <w:r>
        <w:rPr>
          <w:spacing w:val="-14"/>
        </w:rPr>
        <w:t xml:space="preserve"> </w:t>
      </w:r>
      <w:r>
        <w:t>In</w:t>
      </w:r>
      <w:r>
        <w:rPr>
          <w:spacing w:val="-14"/>
        </w:rPr>
        <w:t xml:space="preserve"> </w:t>
      </w:r>
      <w:r>
        <w:t>total,</w:t>
      </w:r>
      <w:r>
        <w:rPr>
          <w:spacing w:val="-14"/>
        </w:rPr>
        <w:t xml:space="preserve"> </w:t>
      </w:r>
      <w:r>
        <w:t>NSW</w:t>
      </w:r>
      <w:r>
        <w:rPr>
          <w:spacing w:val="-14"/>
        </w:rPr>
        <w:t xml:space="preserve"> </w:t>
      </w:r>
      <w:r>
        <w:t>has</w:t>
      </w:r>
      <w:r>
        <w:rPr>
          <w:spacing w:val="-14"/>
        </w:rPr>
        <w:t xml:space="preserve"> </w:t>
      </w:r>
      <w:r>
        <w:t>over</w:t>
      </w:r>
      <w:r>
        <w:rPr>
          <w:spacing w:val="-14"/>
        </w:rPr>
        <w:t xml:space="preserve"> </w:t>
      </w:r>
      <w:r>
        <w:t>18,000</w:t>
      </w:r>
      <w:r>
        <w:rPr>
          <w:spacing w:val="-14"/>
        </w:rPr>
        <w:t xml:space="preserve"> </w:t>
      </w:r>
      <w:r>
        <w:t>kilometres</w:t>
      </w:r>
      <w:r>
        <w:rPr>
          <w:spacing w:val="-14"/>
        </w:rPr>
        <w:t xml:space="preserve"> </w:t>
      </w:r>
      <w:r>
        <w:t>of State</w:t>
      </w:r>
      <w:r>
        <w:rPr>
          <w:spacing w:val="-12"/>
        </w:rPr>
        <w:t xml:space="preserve"> </w:t>
      </w:r>
      <w:r>
        <w:t>roads</w:t>
      </w:r>
      <w:r>
        <w:rPr>
          <w:spacing w:val="-12"/>
        </w:rPr>
        <w:t xml:space="preserve"> </w:t>
      </w:r>
      <w:r>
        <w:t>and</w:t>
      </w:r>
      <w:r>
        <w:rPr>
          <w:spacing w:val="-12"/>
        </w:rPr>
        <w:t xml:space="preserve"> </w:t>
      </w:r>
      <w:r>
        <w:t>3,000</w:t>
      </w:r>
      <w:r>
        <w:rPr>
          <w:spacing w:val="-12"/>
        </w:rPr>
        <w:t xml:space="preserve"> </w:t>
      </w:r>
      <w:r>
        <w:t>kilometres</w:t>
      </w:r>
      <w:r>
        <w:rPr>
          <w:spacing w:val="-12"/>
        </w:rPr>
        <w:t xml:space="preserve"> </w:t>
      </w:r>
      <w:r>
        <w:t>of</w:t>
      </w:r>
      <w:r>
        <w:rPr>
          <w:spacing w:val="-12"/>
        </w:rPr>
        <w:t xml:space="preserve"> </w:t>
      </w:r>
      <w:r>
        <w:t>regional</w:t>
      </w:r>
      <w:r>
        <w:rPr>
          <w:spacing w:val="-12"/>
        </w:rPr>
        <w:t xml:space="preserve"> </w:t>
      </w:r>
      <w:r>
        <w:t>and</w:t>
      </w:r>
      <w:r>
        <w:rPr>
          <w:spacing w:val="-12"/>
        </w:rPr>
        <w:t xml:space="preserve"> </w:t>
      </w:r>
      <w:r>
        <w:t xml:space="preserve">local </w:t>
      </w:r>
      <w:r>
        <w:rPr>
          <w:w w:val="95"/>
        </w:rPr>
        <w:t xml:space="preserve">roads, and over 5,000 bridges. Around 4,200 kilometres </w:t>
      </w:r>
      <w:r>
        <w:t>of</w:t>
      </w:r>
      <w:r>
        <w:rPr>
          <w:spacing w:val="-9"/>
        </w:rPr>
        <w:t xml:space="preserve"> </w:t>
      </w:r>
      <w:r>
        <w:t>these</w:t>
      </w:r>
      <w:r>
        <w:rPr>
          <w:spacing w:val="-9"/>
        </w:rPr>
        <w:t xml:space="preserve"> </w:t>
      </w:r>
      <w:r>
        <w:t>roads</w:t>
      </w:r>
      <w:r>
        <w:rPr>
          <w:spacing w:val="-9"/>
        </w:rPr>
        <w:t xml:space="preserve"> </w:t>
      </w:r>
      <w:r>
        <w:t>comprise</w:t>
      </w:r>
      <w:r>
        <w:rPr>
          <w:spacing w:val="-9"/>
        </w:rPr>
        <w:t xml:space="preserve"> </w:t>
      </w:r>
      <w:r>
        <w:t>the</w:t>
      </w:r>
      <w:r>
        <w:rPr>
          <w:spacing w:val="-9"/>
        </w:rPr>
        <w:t xml:space="preserve"> </w:t>
      </w:r>
      <w:r>
        <w:t>National</w:t>
      </w:r>
      <w:r>
        <w:rPr>
          <w:spacing w:val="-9"/>
        </w:rPr>
        <w:t xml:space="preserve"> </w:t>
      </w:r>
      <w:r>
        <w:t>Highway</w:t>
      </w:r>
    </w:p>
    <w:p w:rsidR="002C1123" w:rsidRDefault="00F22F94">
      <w:pPr>
        <w:pStyle w:val="BodyText"/>
        <w:spacing w:before="5" w:line="249" w:lineRule="auto"/>
        <w:ind w:left="492" w:right="11140"/>
      </w:pPr>
      <w:r>
        <w:rPr>
          <w:w w:val="95"/>
        </w:rPr>
        <w:t xml:space="preserve">Network. State managed roads also connect to over </w:t>
      </w:r>
      <w:r>
        <w:t>160,000</w:t>
      </w:r>
      <w:r>
        <w:rPr>
          <w:spacing w:val="-14"/>
        </w:rPr>
        <w:t xml:space="preserve"> </w:t>
      </w:r>
      <w:r>
        <w:t>kilometres</w:t>
      </w:r>
      <w:r>
        <w:rPr>
          <w:spacing w:val="-14"/>
        </w:rPr>
        <w:t xml:space="preserve"> </w:t>
      </w:r>
      <w:r>
        <w:t>of</w:t>
      </w:r>
      <w:r>
        <w:rPr>
          <w:spacing w:val="-14"/>
        </w:rPr>
        <w:t xml:space="preserve"> </w:t>
      </w:r>
      <w:r>
        <w:t>council</w:t>
      </w:r>
      <w:r>
        <w:rPr>
          <w:spacing w:val="-14"/>
        </w:rPr>
        <w:t xml:space="preserve"> </w:t>
      </w:r>
      <w:r>
        <w:t>managed</w:t>
      </w:r>
      <w:r>
        <w:rPr>
          <w:spacing w:val="-14"/>
        </w:rPr>
        <w:t xml:space="preserve"> </w:t>
      </w:r>
      <w:r>
        <w:t>roads.</w:t>
      </w:r>
      <w:r>
        <w:rPr>
          <w:spacing w:val="-14"/>
        </w:rPr>
        <w:t xml:space="preserve"> </w:t>
      </w:r>
      <w:r>
        <w:t>The network</w:t>
      </w:r>
      <w:r>
        <w:rPr>
          <w:spacing w:val="-14"/>
        </w:rPr>
        <w:t xml:space="preserve"> </w:t>
      </w:r>
      <w:r>
        <w:t>of</w:t>
      </w:r>
      <w:r>
        <w:rPr>
          <w:spacing w:val="-14"/>
        </w:rPr>
        <w:t xml:space="preserve"> </w:t>
      </w:r>
      <w:r>
        <w:t>major</w:t>
      </w:r>
      <w:r>
        <w:rPr>
          <w:spacing w:val="-14"/>
        </w:rPr>
        <w:t xml:space="preserve"> </w:t>
      </w:r>
      <w:r>
        <w:t>roads</w:t>
      </w:r>
      <w:r>
        <w:rPr>
          <w:spacing w:val="-14"/>
        </w:rPr>
        <w:t xml:space="preserve"> </w:t>
      </w:r>
      <w:r>
        <w:t>is</w:t>
      </w:r>
      <w:r>
        <w:rPr>
          <w:spacing w:val="-14"/>
        </w:rPr>
        <w:t xml:space="preserve"> </w:t>
      </w:r>
      <w:r>
        <w:t>shown</w:t>
      </w:r>
      <w:r>
        <w:rPr>
          <w:spacing w:val="-14"/>
        </w:rPr>
        <w:t xml:space="preserve"> </w:t>
      </w:r>
      <w:r>
        <w:t>in</w:t>
      </w:r>
      <w:r>
        <w:rPr>
          <w:spacing w:val="-14"/>
        </w:rPr>
        <w:t xml:space="preserve"> </w:t>
      </w:r>
      <w:r>
        <w:t>Figure</w:t>
      </w:r>
      <w:r>
        <w:rPr>
          <w:spacing w:val="-14"/>
        </w:rPr>
        <w:t xml:space="preserve"> </w:t>
      </w:r>
      <w:r>
        <w:t>10.1.</w:t>
      </w:r>
    </w:p>
    <w:p w:rsidR="002C1123" w:rsidRDefault="00F22F94">
      <w:pPr>
        <w:pStyle w:val="BodyText"/>
        <w:spacing w:before="144" w:line="249" w:lineRule="auto"/>
        <w:ind w:left="492" w:right="10730"/>
      </w:pPr>
      <w:r>
        <w:rPr>
          <w:w w:val="95"/>
        </w:rPr>
        <w:t>Principal</w:t>
      </w:r>
      <w:r>
        <w:rPr>
          <w:spacing w:val="-3"/>
          <w:w w:val="95"/>
        </w:rPr>
        <w:t xml:space="preserve"> </w:t>
      </w:r>
      <w:r>
        <w:rPr>
          <w:w w:val="95"/>
        </w:rPr>
        <w:t>highways</w:t>
      </w:r>
      <w:r>
        <w:rPr>
          <w:spacing w:val="-3"/>
          <w:w w:val="95"/>
        </w:rPr>
        <w:t xml:space="preserve"> </w:t>
      </w:r>
      <w:r>
        <w:rPr>
          <w:w w:val="95"/>
        </w:rPr>
        <w:t>that</w:t>
      </w:r>
      <w:r>
        <w:rPr>
          <w:spacing w:val="-3"/>
          <w:w w:val="95"/>
        </w:rPr>
        <w:t xml:space="preserve"> </w:t>
      </w:r>
      <w:r>
        <w:rPr>
          <w:w w:val="95"/>
        </w:rPr>
        <w:t>form</w:t>
      </w:r>
      <w:r>
        <w:rPr>
          <w:spacing w:val="-4"/>
          <w:w w:val="95"/>
        </w:rPr>
        <w:t xml:space="preserve"> </w:t>
      </w:r>
      <w:r>
        <w:rPr>
          <w:w w:val="95"/>
        </w:rPr>
        <w:t>part</w:t>
      </w:r>
      <w:r>
        <w:rPr>
          <w:spacing w:val="-3"/>
          <w:w w:val="95"/>
        </w:rPr>
        <w:t xml:space="preserve"> </w:t>
      </w:r>
      <w:r>
        <w:rPr>
          <w:w w:val="95"/>
        </w:rPr>
        <w:t>of</w:t>
      </w:r>
      <w:r>
        <w:rPr>
          <w:spacing w:val="-3"/>
          <w:w w:val="95"/>
        </w:rPr>
        <w:t xml:space="preserve"> </w:t>
      </w:r>
      <w:r>
        <w:rPr>
          <w:w w:val="95"/>
        </w:rPr>
        <w:t>the</w:t>
      </w:r>
      <w:r>
        <w:rPr>
          <w:spacing w:val="-3"/>
          <w:w w:val="95"/>
        </w:rPr>
        <w:t xml:space="preserve"> </w:t>
      </w:r>
      <w:r>
        <w:rPr>
          <w:w w:val="95"/>
        </w:rPr>
        <w:t>National</w:t>
      </w:r>
      <w:r>
        <w:rPr>
          <w:spacing w:val="-3"/>
          <w:w w:val="95"/>
        </w:rPr>
        <w:t xml:space="preserve"> </w:t>
      </w:r>
      <w:r>
        <w:rPr>
          <w:w w:val="95"/>
        </w:rPr>
        <w:t xml:space="preserve">Network </w:t>
      </w:r>
      <w:r>
        <w:rPr>
          <w:spacing w:val="-2"/>
        </w:rPr>
        <w:t>include</w:t>
      </w:r>
      <w:r>
        <w:rPr>
          <w:spacing w:val="-6"/>
        </w:rPr>
        <w:t xml:space="preserve"> </w:t>
      </w:r>
      <w:r>
        <w:rPr>
          <w:spacing w:val="-2"/>
        </w:rPr>
        <w:t>the</w:t>
      </w:r>
      <w:r>
        <w:rPr>
          <w:spacing w:val="-6"/>
        </w:rPr>
        <w:t xml:space="preserve"> </w:t>
      </w:r>
      <w:r>
        <w:rPr>
          <w:spacing w:val="-2"/>
        </w:rPr>
        <w:t>Pacific</w:t>
      </w:r>
      <w:r>
        <w:rPr>
          <w:spacing w:val="-6"/>
        </w:rPr>
        <w:t xml:space="preserve"> </w:t>
      </w:r>
      <w:r>
        <w:rPr>
          <w:spacing w:val="-2"/>
        </w:rPr>
        <w:t>Highway,</w:t>
      </w:r>
      <w:r>
        <w:rPr>
          <w:spacing w:val="-6"/>
        </w:rPr>
        <w:t xml:space="preserve"> </w:t>
      </w:r>
      <w:r>
        <w:rPr>
          <w:spacing w:val="-2"/>
        </w:rPr>
        <w:t>New</w:t>
      </w:r>
      <w:r>
        <w:rPr>
          <w:spacing w:val="-6"/>
        </w:rPr>
        <w:t xml:space="preserve"> </w:t>
      </w:r>
      <w:r>
        <w:rPr>
          <w:spacing w:val="-2"/>
        </w:rPr>
        <w:t>England</w:t>
      </w:r>
      <w:r>
        <w:rPr>
          <w:spacing w:val="-6"/>
        </w:rPr>
        <w:t xml:space="preserve"> </w:t>
      </w:r>
      <w:r>
        <w:rPr>
          <w:spacing w:val="-2"/>
        </w:rPr>
        <w:t>Highway, Hume</w:t>
      </w:r>
      <w:r>
        <w:rPr>
          <w:spacing w:val="-8"/>
        </w:rPr>
        <w:t xml:space="preserve"> </w:t>
      </w:r>
      <w:r>
        <w:rPr>
          <w:spacing w:val="-2"/>
        </w:rPr>
        <w:t>Highway,</w:t>
      </w:r>
      <w:r>
        <w:rPr>
          <w:spacing w:val="-8"/>
        </w:rPr>
        <w:t xml:space="preserve"> </w:t>
      </w:r>
      <w:r>
        <w:rPr>
          <w:spacing w:val="-2"/>
        </w:rPr>
        <w:t>Great</w:t>
      </w:r>
      <w:r>
        <w:rPr>
          <w:spacing w:val="-8"/>
        </w:rPr>
        <w:t xml:space="preserve"> </w:t>
      </w:r>
      <w:r>
        <w:rPr>
          <w:spacing w:val="-2"/>
        </w:rPr>
        <w:t>Western</w:t>
      </w:r>
      <w:r>
        <w:rPr>
          <w:spacing w:val="-8"/>
        </w:rPr>
        <w:t xml:space="preserve"> </w:t>
      </w:r>
      <w:r>
        <w:rPr>
          <w:spacing w:val="-2"/>
        </w:rPr>
        <w:t>Highway,</w:t>
      </w:r>
      <w:r>
        <w:rPr>
          <w:spacing w:val="-8"/>
        </w:rPr>
        <w:t xml:space="preserve"> </w:t>
      </w:r>
      <w:r>
        <w:rPr>
          <w:spacing w:val="-2"/>
        </w:rPr>
        <w:t xml:space="preserve">Newell </w:t>
      </w:r>
      <w:r>
        <w:t>Highway and Sturt Highway.</w:t>
      </w:r>
    </w:p>
    <w:p w:rsidR="002C1123" w:rsidRDefault="00F22F94">
      <w:pPr>
        <w:pStyle w:val="BodyText"/>
        <w:spacing w:before="145" w:line="249" w:lineRule="auto"/>
        <w:ind w:left="492" w:right="10730"/>
      </w:pPr>
      <w:r>
        <w:t>A</w:t>
      </w:r>
      <w:r>
        <w:rPr>
          <w:spacing w:val="-10"/>
        </w:rPr>
        <w:t xml:space="preserve"> </w:t>
      </w:r>
      <w:r>
        <w:t>number</w:t>
      </w:r>
      <w:r>
        <w:rPr>
          <w:spacing w:val="-10"/>
        </w:rPr>
        <w:t xml:space="preserve"> </w:t>
      </w:r>
      <w:r>
        <w:t>of</w:t>
      </w:r>
      <w:r>
        <w:rPr>
          <w:spacing w:val="-10"/>
        </w:rPr>
        <w:t xml:space="preserve"> </w:t>
      </w:r>
      <w:r>
        <w:t>investments</w:t>
      </w:r>
      <w:r>
        <w:rPr>
          <w:spacing w:val="-10"/>
        </w:rPr>
        <w:t xml:space="preserve"> </w:t>
      </w:r>
      <w:r>
        <w:t>have</w:t>
      </w:r>
      <w:r>
        <w:rPr>
          <w:spacing w:val="-10"/>
        </w:rPr>
        <w:t xml:space="preserve"> </w:t>
      </w:r>
      <w:r>
        <w:t>been</w:t>
      </w:r>
      <w:r>
        <w:rPr>
          <w:spacing w:val="-10"/>
        </w:rPr>
        <w:t xml:space="preserve"> </w:t>
      </w:r>
      <w:r>
        <w:t>proposed</w:t>
      </w:r>
      <w:r>
        <w:rPr>
          <w:spacing w:val="-10"/>
        </w:rPr>
        <w:t xml:space="preserve"> </w:t>
      </w:r>
      <w:r>
        <w:t xml:space="preserve">by </w:t>
      </w:r>
      <w:r>
        <w:rPr>
          <w:w w:val="95"/>
        </w:rPr>
        <w:t>regional</w:t>
      </w:r>
      <w:r>
        <w:rPr>
          <w:spacing w:val="-5"/>
          <w:w w:val="95"/>
        </w:rPr>
        <w:t xml:space="preserve"> </w:t>
      </w:r>
      <w:r>
        <w:rPr>
          <w:w w:val="95"/>
        </w:rPr>
        <w:t>authorities</w:t>
      </w:r>
      <w:r>
        <w:rPr>
          <w:spacing w:val="-5"/>
          <w:w w:val="95"/>
        </w:rPr>
        <w:t xml:space="preserve"> </w:t>
      </w:r>
      <w:r>
        <w:rPr>
          <w:w w:val="95"/>
        </w:rPr>
        <w:t>to</w:t>
      </w:r>
      <w:r>
        <w:rPr>
          <w:spacing w:val="-5"/>
          <w:w w:val="95"/>
        </w:rPr>
        <w:t xml:space="preserve"> </w:t>
      </w:r>
      <w:r>
        <w:rPr>
          <w:w w:val="95"/>
        </w:rPr>
        <w:t>upgrade</w:t>
      </w:r>
      <w:r>
        <w:rPr>
          <w:spacing w:val="-5"/>
          <w:w w:val="95"/>
        </w:rPr>
        <w:t xml:space="preserve"> </w:t>
      </w:r>
      <w:r>
        <w:rPr>
          <w:w w:val="95"/>
        </w:rPr>
        <w:t>these</w:t>
      </w:r>
      <w:r>
        <w:rPr>
          <w:spacing w:val="-5"/>
          <w:w w:val="95"/>
        </w:rPr>
        <w:t xml:space="preserve"> </w:t>
      </w:r>
      <w:r>
        <w:rPr>
          <w:w w:val="95"/>
        </w:rPr>
        <w:t>highways</w:t>
      </w:r>
      <w:r>
        <w:rPr>
          <w:spacing w:val="-5"/>
          <w:w w:val="95"/>
        </w:rPr>
        <w:t xml:space="preserve"> </w:t>
      </w:r>
      <w:r>
        <w:rPr>
          <w:w w:val="95"/>
        </w:rPr>
        <w:t>and</w:t>
      </w:r>
      <w:r>
        <w:rPr>
          <w:spacing w:val="-5"/>
          <w:w w:val="95"/>
        </w:rPr>
        <w:t xml:space="preserve"> </w:t>
      </w:r>
      <w:r>
        <w:rPr>
          <w:w w:val="95"/>
        </w:rPr>
        <w:t xml:space="preserve">other </w:t>
      </w:r>
      <w:r>
        <w:t>regional</w:t>
      </w:r>
      <w:r>
        <w:rPr>
          <w:spacing w:val="-14"/>
        </w:rPr>
        <w:t xml:space="preserve"> </w:t>
      </w:r>
      <w:r>
        <w:t>and</w:t>
      </w:r>
      <w:r>
        <w:rPr>
          <w:spacing w:val="-14"/>
        </w:rPr>
        <w:t xml:space="preserve"> </w:t>
      </w:r>
      <w:r>
        <w:t>rural</w:t>
      </w:r>
      <w:r>
        <w:rPr>
          <w:spacing w:val="-14"/>
        </w:rPr>
        <w:t xml:space="preserve"> </w:t>
      </w:r>
      <w:r>
        <w:t>roads,such</w:t>
      </w:r>
      <w:r>
        <w:rPr>
          <w:spacing w:val="-14"/>
        </w:rPr>
        <w:t xml:space="preserve"> </w:t>
      </w:r>
      <w:r>
        <w:t>as</w:t>
      </w:r>
      <w:r>
        <w:rPr>
          <w:spacing w:val="-14"/>
        </w:rPr>
        <w:t xml:space="preserve"> </w:t>
      </w:r>
      <w:r>
        <w:t>through</w:t>
      </w:r>
      <w:r>
        <w:rPr>
          <w:spacing w:val="-14"/>
        </w:rPr>
        <w:t xml:space="preserve"> </w:t>
      </w:r>
      <w:r>
        <w:t>the</w:t>
      </w:r>
      <w:r>
        <w:rPr>
          <w:spacing w:val="-14"/>
        </w:rPr>
        <w:t xml:space="preserve"> </w:t>
      </w:r>
      <w:r>
        <w:t>provision</w:t>
      </w:r>
    </w:p>
    <w:p w:rsidR="002C1123" w:rsidRDefault="00F22F94">
      <w:pPr>
        <w:pStyle w:val="BodyText"/>
        <w:spacing w:before="3" w:line="249" w:lineRule="auto"/>
        <w:ind w:left="492" w:right="10835"/>
      </w:pPr>
      <w:r>
        <w:t>of</w:t>
      </w:r>
      <w:r>
        <w:rPr>
          <w:spacing w:val="-7"/>
        </w:rPr>
        <w:t xml:space="preserve"> </w:t>
      </w:r>
      <w:r>
        <w:t>passing</w:t>
      </w:r>
      <w:r>
        <w:rPr>
          <w:spacing w:val="-7"/>
        </w:rPr>
        <w:t xml:space="preserve"> </w:t>
      </w:r>
      <w:r>
        <w:t>lanes,</w:t>
      </w:r>
      <w:r>
        <w:rPr>
          <w:spacing w:val="-7"/>
        </w:rPr>
        <w:t xml:space="preserve"> </w:t>
      </w:r>
      <w:r>
        <w:t>route</w:t>
      </w:r>
      <w:r>
        <w:rPr>
          <w:spacing w:val="-7"/>
        </w:rPr>
        <w:t xml:space="preserve"> </w:t>
      </w:r>
      <w:r>
        <w:t>duplication</w:t>
      </w:r>
      <w:r>
        <w:rPr>
          <w:spacing w:val="-7"/>
        </w:rPr>
        <w:t xml:space="preserve"> </w:t>
      </w:r>
      <w:r>
        <w:t>or</w:t>
      </w:r>
      <w:r>
        <w:rPr>
          <w:spacing w:val="-7"/>
        </w:rPr>
        <w:t xml:space="preserve"> </w:t>
      </w:r>
      <w:r>
        <w:t xml:space="preserve">community </w:t>
      </w:r>
      <w:r>
        <w:rPr>
          <w:w w:val="95"/>
        </w:rPr>
        <w:t>bypasses.</w:t>
      </w:r>
      <w:r>
        <w:rPr>
          <w:spacing w:val="-1"/>
          <w:w w:val="95"/>
        </w:rPr>
        <w:t xml:space="preserve"> </w:t>
      </w:r>
      <w:r>
        <w:rPr>
          <w:w w:val="95"/>
        </w:rPr>
        <w:t>The</w:t>
      </w:r>
      <w:r>
        <w:rPr>
          <w:spacing w:val="-1"/>
          <w:w w:val="95"/>
        </w:rPr>
        <w:t xml:space="preserve"> </w:t>
      </w:r>
      <w:r>
        <w:rPr>
          <w:w w:val="95"/>
        </w:rPr>
        <w:t>ongoing</w:t>
      </w:r>
      <w:r>
        <w:rPr>
          <w:spacing w:val="-1"/>
          <w:w w:val="95"/>
        </w:rPr>
        <w:t xml:space="preserve"> </w:t>
      </w:r>
      <w:r>
        <w:rPr>
          <w:w w:val="95"/>
        </w:rPr>
        <w:t>Pacific</w:t>
      </w:r>
      <w:r>
        <w:rPr>
          <w:spacing w:val="-1"/>
          <w:w w:val="95"/>
        </w:rPr>
        <w:t xml:space="preserve"> </w:t>
      </w:r>
      <w:r>
        <w:rPr>
          <w:w w:val="95"/>
        </w:rPr>
        <w:t>Highway</w:t>
      </w:r>
      <w:r>
        <w:rPr>
          <w:spacing w:val="-1"/>
          <w:w w:val="95"/>
        </w:rPr>
        <w:t xml:space="preserve"> </w:t>
      </w:r>
      <w:r>
        <w:rPr>
          <w:w w:val="95"/>
        </w:rPr>
        <w:t>duplication</w:t>
      </w:r>
      <w:r>
        <w:rPr>
          <w:spacing w:val="-1"/>
          <w:w w:val="95"/>
        </w:rPr>
        <w:t xml:space="preserve"> </w:t>
      </w:r>
      <w:r>
        <w:rPr>
          <w:w w:val="95"/>
        </w:rPr>
        <w:t>is one</w:t>
      </w:r>
      <w:r>
        <w:rPr>
          <w:spacing w:val="-7"/>
          <w:w w:val="95"/>
        </w:rPr>
        <w:t xml:space="preserve"> </w:t>
      </w:r>
      <w:r>
        <w:rPr>
          <w:w w:val="95"/>
        </w:rPr>
        <w:t>of</w:t>
      </w:r>
      <w:r>
        <w:rPr>
          <w:spacing w:val="-6"/>
          <w:w w:val="95"/>
        </w:rPr>
        <w:t xml:space="preserve"> </w:t>
      </w:r>
      <w:r>
        <w:rPr>
          <w:w w:val="95"/>
        </w:rPr>
        <w:t>the</w:t>
      </w:r>
      <w:r>
        <w:rPr>
          <w:spacing w:val="-7"/>
          <w:w w:val="95"/>
        </w:rPr>
        <w:t xml:space="preserve"> </w:t>
      </w:r>
      <w:r>
        <w:rPr>
          <w:w w:val="95"/>
        </w:rPr>
        <w:t>largest</w:t>
      </w:r>
      <w:r>
        <w:rPr>
          <w:spacing w:val="-6"/>
          <w:w w:val="95"/>
        </w:rPr>
        <w:t xml:space="preserve"> </w:t>
      </w:r>
      <w:r>
        <w:rPr>
          <w:w w:val="95"/>
        </w:rPr>
        <w:t>infrastructure</w:t>
      </w:r>
      <w:r>
        <w:rPr>
          <w:spacing w:val="-7"/>
          <w:w w:val="95"/>
        </w:rPr>
        <w:t xml:space="preserve"> </w:t>
      </w:r>
      <w:r>
        <w:rPr>
          <w:w w:val="95"/>
        </w:rPr>
        <w:t>programs</w:t>
      </w:r>
      <w:r>
        <w:rPr>
          <w:spacing w:val="-6"/>
          <w:w w:val="95"/>
        </w:rPr>
        <w:t xml:space="preserve"> </w:t>
      </w:r>
      <w:r>
        <w:rPr>
          <w:w w:val="95"/>
        </w:rPr>
        <w:t>in</w:t>
      </w:r>
      <w:r>
        <w:rPr>
          <w:spacing w:val="-7"/>
          <w:w w:val="95"/>
        </w:rPr>
        <w:t xml:space="preserve"> </w:t>
      </w:r>
      <w:r>
        <w:rPr>
          <w:w w:val="95"/>
        </w:rPr>
        <w:t>the</w:t>
      </w:r>
      <w:r>
        <w:rPr>
          <w:spacing w:val="-6"/>
          <w:w w:val="95"/>
        </w:rPr>
        <w:t xml:space="preserve"> </w:t>
      </w:r>
      <w:r>
        <w:rPr>
          <w:spacing w:val="-2"/>
          <w:w w:val="95"/>
        </w:rPr>
        <w:t>State.</w:t>
      </w:r>
    </w:p>
    <w:p w:rsidR="002C1123" w:rsidRDefault="002C1123">
      <w:pPr>
        <w:spacing w:line="249" w:lineRule="auto"/>
        <w:sectPr w:rsidR="002C1123">
          <w:pgSz w:w="16840" w:h="11910" w:orient="landscape"/>
          <w:pgMar w:top="560" w:right="280" w:bottom="700" w:left="500" w:header="0" w:footer="517"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3"/>
        <w:rPr>
          <w:sz w:val="19"/>
        </w:rPr>
      </w:pPr>
    </w:p>
    <w:p w:rsidR="002C1123" w:rsidRDefault="002060EF">
      <w:pPr>
        <w:pStyle w:val="Heading6"/>
        <w:numPr>
          <w:ilvl w:val="2"/>
          <w:numId w:val="71"/>
        </w:numPr>
        <w:tabs>
          <w:tab w:val="left" w:pos="1087"/>
        </w:tabs>
      </w:pPr>
      <w:r>
        <w:pict>
          <v:group id="docshapegroup1700" o:spid="_x0000_s3356" style="position:absolute;left:0;text-align:left;margin-left:300.85pt;margin-top:7.65pt;width:491.45pt;height:411.1pt;z-index:251541504;mso-position-horizontal-relative:page" coordorigin="6017,153" coordsize="9829,8222">
            <v:shape id="docshape1701" o:spid="_x0000_s3387" type="#_x0000_t75" style="position:absolute;left:6017;top:152;width:9829;height:8222">
              <v:imagedata r:id="rId188" o:title=""/>
            </v:shape>
            <v:shape id="docshape1702" o:spid="_x0000_s3386" type="#_x0000_t202" style="position:absolute;left:6123;top:230;width:4244;height:215" filled="f" stroked="f">
              <v:textbox inset="0,0,0,0">
                <w:txbxContent>
                  <w:p w:rsidR="00F22F94" w:rsidRDefault="00F22F94">
                    <w:pPr>
                      <w:spacing w:before="6"/>
                      <w:rPr>
                        <w:b/>
                        <w:sz w:val="18"/>
                      </w:rPr>
                    </w:pPr>
                    <w:r>
                      <w:rPr>
                        <w:b/>
                        <w:sz w:val="18"/>
                      </w:rPr>
                      <w:t>Figure</w:t>
                    </w:r>
                    <w:r>
                      <w:rPr>
                        <w:b/>
                        <w:spacing w:val="-6"/>
                        <w:sz w:val="18"/>
                      </w:rPr>
                      <w:t xml:space="preserve"> </w:t>
                    </w:r>
                    <w:r>
                      <w:rPr>
                        <w:b/>
                        <w:sz w:val="18"/>
                      </w:rPr>
                      <w:t>10.2</w:t>
                    </w:r>
                    <w:r>
                      <w:rPr>
                        <w:b/>
                        <w:spacing w:val="38"/>
                        <w:sz w:val="18"/>
                      </w:rPr>
                      <w:t xml:space="preserve"> </w:t>
                    </w:r>
                    <w:r>
                      <w:rPr>
                        <w:b/>
                        <w:sz w:val="18"/>
                      </w:rPr>
                      <w:t>CountryLink</w:t>
                    </w:r>
                    <w:r>
                      <w:rPr>
                        <w:b/>
                        <w:spacing w:val="-6"/>
                        <w:sz w:val="18"/>
                      </w:rPr>
                      <w:t xml:space="preserve"> </w:t>
                    </w:r>
                    <w:r>
                      <w:rPr>
                        <w:b/>
                        <w:sz w:val="18"/>
                      </w:rPr>
                      <w:t>Rail</w:t>
                    </w:r>
                    <w:r>
                      <w:rPr>
                        <w:b/>
                        <w:spacing w:val="-5"/>
                        <w:sz w:val="18"/>
                      </w:rPr>
                      <w:t xml:space="preserve"> </w:t>
                    </w:r>
                    <w:r>
                      <w:rPr>
                        <w:b/>
                        <w:sz w:val="18"/>
                      </w:rPr>
                      <w:t>and</w:t>
                    </w:r>
                    <w:r>
                      <w:rPr>
                        <w:b/>
                        <w:spacing w:val="-6"/>
                        <w:sz w:val="18"/>
                      </w:rPr>
                      <w:t xml:space="preserve"> </w:t>
                    </w:r>
                    <w:r>
                      <w:rPr>
                        <w:b/>
                        <w:sz w:val="18"/>
                      </w:rPr>
                      <w:t>Coach</w:t>
                    </w:r>
                    <w:r>
                      <w:rPr>
                        <w:b/>
                        <w:spacing w:val="-6"/>
                        <w:sz w:val="18"/>
                      </w:rPr>
                      <w:t xml:space="preserve"> </w:t>
                    </w:r>
                    <w:r>
                      <w:rPr>
                        <w:b/>
                        <w:spacing w:val="-2"/>
                        <w:sz w:val="18"/>
                      </w:rPr>
                      <w:t>Services</w:t>
                    </w:r>
                  </w:p>
                </w:txbxContent>
              </v:textbox>
            </v:shape>
            <v:shape id="docshape1703" o:spid="_x0000_s3385" type="#_x0000_t202" style="position:absolute;left:14711;top:391;width:852;height:926" filled="f" stroked="f">
              <v:textbox inset="0,0,0,0">
                <w:txbxContent>
                  <w:p w:rsidR="00F22F94" w:rsidRDefault="00F22F94">
                    <w:pPr>
                      <w:spacing w:before="4"/>
                      <w:ind w:right="49"/>
                      <w:jc w:val="right"/>
                      <w:rPr>
                        <w:b/>
                        <w:sz w:val="16"/>
                      </w:rPr>
                    </w:pPr>
                    <w:r>
                      <w:rPr>
                        <w:b/>
                        <w:color w:val="2E3092"/>
                        <w:w w:val="101"/>
                        <w:sz w:val="16"/>
                      </w:rPr>
                      <w:t>N</w:t>
                    </w:r>
                  </w:p>
                  <w:p w:rsidR="00F22F94" w:rsidRDefault="00F22F94">
                    <w:pPr>
                      <w:spacing w:before="54"/>
                      <w:ind w:left="133" w:hanging="56"/>
                      <w:rPr>
                        <w:sz w:val="14"/>
                      </w:rPr>
                    </w:pPr>
                    <w:r>
                      <w:rPr>
                        <w:spacing w:val="-70"/>
                        <w:w w:val="75"/>
                        <w:sz w:val="14"/>
                      </w:rPr>
                      <w:t>G</w:t>
                    </w:r>
                    <w:r>
                      <w:rPr>
                        <w:spacing w:val="4"/>
                        <w:w w:val="75"/>
                        <w:sz w:val="14"/>
                        <w:u w:val="single" w:color="00AEEF"/>
                      </w:rPr>
                      <w:t xml:space="preserve"> </w:t>
                    </w:r>
                    <w:r>
                      <w:rPr>
                        <w:spacing w:val="-6"/>
                        <w:sz w:val="14"/>
                      </w:rPr>
                      <w:t xml:space="preserve"> </w:t>
                    </w:r>
                    <w:r>
                      <w:rPr>
                        <w:spacing w:val="-4"/>
                        <w:w w:val="75"/>
                        <w:sz w:val="14"/>
                      </w:rPr>
                      <w:t>old</w:t>
                    </w:r>
                    <w:r>
                      <w:rPr>
                        <w:spacing w:val="-11"/>
                        <w:sz w:val="14"/>
                      </w:rPr>
                      <w:t xml:space="preserve"> </w:t>
                    </w:r>
                    <w:r>
                      <w:rPr>
                        <w:spacing w:val="-4"/>
                        <w:w w:val="75"/>
                        <w:sz w:val="14"/>
                      </w:rPr>
                      <w:t>Coast</w:t>
                    </w:r>
                    <w:r>
                      <w:rPr>
                        <w:spacing w:val="-11"/>
                        <w:sz w:val="14"/>
                      </w:rPr>
                      <w:t xml:space="preserve"> </w:t>
                    </w:r>
                    <w:r>
                      <w:rPr>
                        <w:spacing w:val="-4"/>
                        <w:w w:val="75"/>
                        <w:sz w:val="14"/>
                      </w:rPr>
                      <w:t>(Qld)</w:t>
                    </w:r>
                    <w:r>
                      <w:rPr>
                        <w:spacing w:val="40"/>
                        <w:sz w:val="14"/>
                      </w:rPr>
                      <w:t xml:space="preserve"> </w:t>
                    </w:r>
                    <w:r>
                      <w:rPr>
                        <w:w w:val="75"/>
                        <w:sz w:val="14"/>
                      </w:rPr>
                      <w:t>Tweed</w:t>
                    </w:r>
                    <w:r>
                      <w:rPr>
                        <w:spacing w:val="-4"/>
                        <w:w w:val="85"/>
                        <w:sz w:val="14"/>
                      </w:rPr>
                      <w:t xml:space="preserve"> </w:t>
                    </w:r>
                    <w:r>
                      <w:rPr>
                        <w:spacing w:val="-2"/>
                        <w:w w:val="85"/>
                        <w:sz w:val="14"/>
                      </w:rPr>
                      <w:t>Heads</w:t>
                    </w:r>
                  </w:p>
                  <w:p w:rsidR="00F22F94" w:rsidRDefault="00F22F94">
                    <w:pPr>
                      <w:spacing w:before="6"/>
                      <w:rPr>
                        <w:sz w:val="17"/>
                      </w:rPr>
                    </w:pPr>
                  </w:p>
                  <w:p w:rsidR="00F22F94" w:rsidRDefault="00F22F94">
                    <w:pPr>
                      <w:spacing w:line="160" w:lineRule="exact"/>
                      <w:rPr>
                        <w:sz w:val="14"/>
                      </w:rPr>
                    </w:pPr>
                    <w:r>
                      <w:rPr>
                        <w:spacing w:val="-2"/>
                        <w:w w:val="90"/>
                        <w:sz w:val="14"/>
                      </w:rPr>
                      <w:t>Lismore</w:t>
                    </w:r>
                  </w:p>
                </w:txbxContent>
              </v:textbox>
            </v:shape>
            <v:shape id="docshape1704" o:spid="_x0000_s3384" type="#_x0000_t202" style="position:absolute;left:10161;top:1581;width:790;height:159" filled="f" stroked="f">
              <v:textbox inset="0,0,0,0">
                <w:txbxContent>
                  <w:p w:rsidR="00F22F94" w:rsidRDefault="00F22F94">
                    <w:pPr>
                      <w:spacing w:line="158" w:lineRule="exact"/>
                      <w:rPr>
                        <w:sz w:val="14"/>
                      </w:rPr>
                    </w:pPr>
                    <w:r>
                      <w:rPr>
                        <w:w w:val="80"/>
                        <w:sz w:val="14"/>
                      </w:rPr>
                      <w:t>Lightning</w:t>
                    </w:r>
                    <w:r>
                      <w:rPr>
                        <w:spacing w:val="-6"/>
                        <w:sz w:val="14"/>
                      </w:rPr>
                      <w:t xml:space="preserve"> </w:t>
                    </w:r>
                    <w:r>
                      <w:rPr>
                        <w:spacing w:val="-2"/>
                        <w:w w:val="80"/>
                        <w:sz w:val="14"/>
                      </w:rPr>
                      <w:t>Ridge</w:t>
                    </w:r>
                  </w:p>
                </w:txbxContent>
              </v:textbox>
            </v:shape>
            <v:shape id="docshape1705" o:spid="_x0000_s3383" type="#_x0000_t202" style="position:absolute;left:11933;top:1599;width:334;height:159" filled="f" stroked="f">
              <v:textbox inset="0,0,0,0">
                <w:txbxContent>
                  <w:p w:rsidR="00F22F94" w:rsidRDefault="00F22F94">
                    <w:pPr>
                      <w:spacing w:line="158" w:lineRule="exact"/>
                      <w:rPr>
                        <w:sz w:val="14"/>
                      </w:rPr>
                    </w:pPr>
                    <w:r>
                      <w:rPr>
                        <w:spacing w:val="-2"/>
                        <w:w w:val="80"/>
                        <w:sz w:val="14"/>
                      </w:rPr>
                      <w:t>Moree</w:t>
                    </w:r>
                  </w:p>
                </w:txbxContent>
              </v:textbox>
            </v:shape>
            <v:shape id="docshape1706" o:spid="_x0000_s3382" type="#_x0000_t202" style="position:absolute;left:14462;top:1775;width:384;height:159" filled="f" stroked="f">
              <v:textbox inset="0,0,0,0">
                <w:txbxContent>
                  <w:p w:rsidR="00F22F94" w:rsidRDefault="00F22F94">
                    <w:pPr>
                      <w:spacing w:line="158" w:lineRule="exact"/>
                      <w:rPr>
                        <w:sz w:val="14"/>
                      </w:rPr>
                    </w:pPr>
                    <w:r>
                      <w:rPr>
                        <w:spacing w:val="-2"/>
                        <w:w w:val="80"/>
                        <w:sz w:val="14"/>
                      </w:rPr>
                      <w:t>Grafton</w:t>
                    </w:r>
                  </w:p>
                </w:txbxContent>
              </v:textbox>
            </v:shape>
            <v:shape id="docshape1707" o:spid="_x0000_s3381" type="#_x0000_t202" style="position:absolute;left:9271;top:2024;width:368;height:159" filled="f" stroked="f">
              <v:textbox inset="0,0,0,0">
                <w:txbxContent>
                  <w:p w:rsidR="00F22F94" w:rsidRDefault="00F22F94">
                    <w:pPr>
                      <w:spacing w:line="158" w:lineRule="exact"/>
                      <w:rPr>
                        <w:sz w:val="14"/>
                      </w:rPr>
                    </w:pPr>
                    <w:r>
                      <w:rPr>
                        <w:spacing w:val="-2"/>
                        <w:w w:val="80"/>
                        <w:sz w:val="14"/>
                      </w:rPr>
                      <w:t>Bourke</w:t>
                    </w:r>
                  </w:p>
                </w:txbxContent>
              </v:textbox>
            </v:shape>
            <v:shape id="docshape1708" o:spid="_x0000_s3380" type="#_x0000_t202" style="position:absolute;left:14569;top:2159;width:702;height:159" filled="f" stroked="f">
              <v:textbox inset="0,0,0,0">
                <w:txbxContent>
                  <w:p w:rsidR="00F22F94" w:rsidRDefault="00F22F94">
                    <w:pPr>
                      <w:spacing w:line="158" w:lineRule="exact"/>
                      <w:rPr>
                        <w:sz w:val="14"/>
                      </w:rPr>
                    </w:pPr>
                    <w:r>
                      <w:rPr>
                        <w:w w:val="75"/>
                        <w:sz w:val="14"/>
                      </w:rPr>
                      <w:t>Coffs</w:t>
                    </w:r>
                    <w:r>
                      <w:rPr>
                        <w:sz w:val="14"/>
                      </w:rPr>
                      <w:t xml:space="preserve"> </w:t>
                    </w:r>
                    <w:r>
                      <w:rPr>
                        <w:spacing w:val="-2"/>
                        <w:w w:val="80"/>
                        <w:sz w:val="14"/>
                      </w:rPr>
                      <w:t>Harbour</w:t>
                    </w:r>
                  </w:p>
                </w:txbxContent>
              </v:textbox>
            </v:shape>
            <v:shape id="docshape1709" o:spid="_x0000_s3379" type="#_x0000_t202" style="position:absolute;left:13587;top:2332;width:458;height:159" filled="f" stroked="f">
              <v:textbox inset="0,0,0,0">
                <w:txbxContent>
                  <w:p w:rsidR="00F22F94" w:rsidRDefault="00F22F94">
                    <w:pPr>
                      <w:spacing w:line="158" w:lineRule="exact"/>
                      <w:rPr>
                        <w:sz w:val="14"/>
                      </w:rPr>
                    </w:pPr>
                    <w:r>
                      <w:rPr>
                        <w:spacing w:val="-2"/>
                        <w:w w:val="80"/>
                        <w:sz w:val="14"/>
                      </w:rPr>
                      <w:t>Armidale</w:t>
                    </w:r>
                  </w:p>
                </w:txbxContent>
              </v:textbox>
            </v:shape>
            <v:shape id="docshape1710" o:spid="_x0000_s3378" type="#_x0000_t202" style="position:absolute;left:13061;top:2839;width:505;height:159" filled="f" stroked="f">
              <v:textbox inset="0,0,0,0">
                <w:txbxContent>
                  <w:p w:rsidR="00F22F94" w:rsidRDefault="00F22F94">
                    <w:pPr>
                      <w:spacing w:line="158" w:lineRule="exact"/>
                      <w:rPr>
                        <w:sz w:val="14"/>
                      </w:rPr>
                    </w:pPr>
                    <w:r>
                      <w:rPr>
                        <w:spacing w:val="-2"/>
                        <w:w w:val="80"/>
                        <w:sz w:val="14"/>
                      </w:rPr>
                      <w:t>Tamworth</w:t>
                    </w:r>
                  </w:p>
                </w:txbxContent>
              </v:textbox>
            </v:shape>
            <v:shape id="docshape1711" o:spid="_x0000_s3377" type="#_x0000_t202" style="position:absolute;left:14419;top:2944;width:775;height:159" filled="f" stroked="f">
              <v:textbox inset="0,0,0,0">
                <w:txbxContent>
                  <w:p w:rsidR="00F22F94" w:rsidRDefault="00F22F94">
                    <w:pPr>
                      <w:spacing w:line="158" w:lineRule="exact"/>
                      <w:rPr>
                        <w:sz w:val="14"/>
                      </w:rPr>
                    </w:pPr>
                    <w:r>
                      <w:rPr>
                        <w:w w:val="75"/>
                        <w:sz w:val="14"/>
                      </w:rPr>
                      <w:t>Port</w:t>
                    </w:r>
                    <w:r>
                      <w:rPr>
                        <w:spacing w:val="-1"/>
                        <w:sz w:val="14"/>
                      </w:rPr>
                      <w:t xml:space="preserve"> </w:t>
                    </w:r>
                    <w:r>
                      <w:rPr>
                        <w:spacing w:val="-2"/>
                        <w:w w:val="80"/>
                        <w:sz w:val="14"/>
                      </w:rPr>
                      <w:t>Macquarie</w:t>
                    </w:r>
                  </w:p>
                </w:txbxContent>
              </v:textbox>
            </v:shape>
            <v:shape id="docshape1712" o:spid="_x0000_s3376" type="#_x0000_t202" style="position:absolute;left:13821;top:3160;width:290;height:159" filled="f" stroked="f">
              <v:textbox inset="0,0,0,0">
                <w:txbxContent>
                  <w:p w:rsidR="00F22F94" w:rsidRDefault="00F22F94">
                    <w:pPr>
                      <w:spacing w:line="158" w:lineRule="exact"/>
                      <w:rPr>
                        <w:sz w:val="14"/>
                      </w:rPr>
                    </w:pPr>
                    <w:r>
                      <w:rPr>
                        <w:spacing w:val="-4"/>
                        <w:w w:val="80"/>
                        <w:sz w:val="14"/>
                      </w:rPr>
                      <w:t>Taree</w:t>
                    </w:r>
                  </w:p>
                </w:txbxContent>
              </v:textbox>
            </v:shape>
            <v:shape id="docshape1713" o:spid="_x0000_s3375" type="#_x0000_t202" style="position:absolute;left:6355;top:3401;width:551;height:159" filled="f" stroked="f">
              <v:textbox inset="0,0,0,0">
                <w:txbxContent>
                  <w:p w:rsidR="00F22F94" w:rsidRDefault="00F22F94">
                    <w:pPr>
                      <w:spacing w:line="158" w:lineRule="exact"/>
                      <w:rPr>
                        <w:sz w:val="14"/>
                      </w:rPr>
                    </w:pPr>
                    <w:r>
                      <w:rPr>
                        <w:w w:val="75"/>
                        <w:sz w:val="14"/>
                      </w:rPr>
                      <w:t>Broken</w:t>
                    </w:r>
                    <w:r>
                      <w:rPr>
                        <w:spacing w:val="7"/>
                        <w:sz w:val="14"/>
                      </w:rPr>
                      <w:t xml:space="preserve"> </w:t>
                    </w:r>
                    <w:r>
                      <w:rPr>
                        <w:spacing w:val="-4"/>
                        <w:w w:val="85"/>
                        <w:sz w:val="14"/>
                      </w:rPr>
                      <w:t>Hill</w:t>
                    </w:r>
                  </w:p>
                </w:txbxContent>
              </v:textbox>
            </v:shape>
            <v:shape id="docshape1714" o:spid="_x0000_s3374" type="#_x0000_t202" style="position:absolute;left:11534;top:3447;width:342;height:159" filled="f" stroked="f">
              <v:textbox inset="0,0,0,0">
                <w:txbxContent>
                  <w:p w:rsidR="00F22F94" w:rsidRDefault="00F22F94">
                    <w:pPr>
                      <w:spacing w:line="158" w:lineRule="exact"/>
                      <w:rPr>
                        <w:sz w:val="14"/>
                      </w:rPr>
                    </w:pPr>
                    <w:r>
                      <w:rPr>
                        <w:spacing w:val="-2"/>
                        <w:w w:val="80"/>
                        <w:sz w:val="14"/>
                      </w:rPr>
                      <w:t>Dubbo</w:t>
                    </w:r>
                  </w:p>
                </w:txbxContent>
              </v:textbox>
            </v:shape>
            <v:shape id="docshape1715" o:spid="_x0000_s3373" type="#_x0000_t202" style="position:absolute;left:14178;top:3454;width:834;height:159" filled="f" stroked="f">
              <v:textbox inset="0,0,0,0">
                <w:txbxContent>
                  <w:p w:rsidR="00F22F94" w:rsidRDefault="00F22F94">
                    <w:pPr>
                      <w:spacing w:line="158" w:lineRule="exact"/>
                      <w:rPr>
                        <w:sz w:val="14"/>
                      </w:rPr>
                    </w:pPr>
                    <w:r>
                      <w:rPr>
                        <w:w w:val="75"/>
                        <w:sz w:val="14"/>
                      </w:rPr>
                      <w:t>Forster-</w:t>
                    </w:r>
                    <w:r>
                      <w:rPr>
                        <w:spacing w:val="-2"/>
                        <w:w w:val="80"/>
                        <w:sz w:val="14"/>
                      </w:rPr>
                      <w:t>Tuncurry</w:t>
                    </w:r>
                  </w:p>
                </w:txbxContent>
              </v:textbox>
            </v:shape>
            <v:shape id="docshape1716" o:spid="_x0000_s3372" type="#_x0000_t202" style="position:absolute;left:13650;top:3967;width:528;height:159" filled="f" stroked="f">
              <v:textbox inset="0,0,0,0">
                <w:txbxContent>
                  <w:p w:rsidR="00F22F94" w:rsidRDefault="00F22F94">
                    <w:pPr>
                      <w:spacing w:line="158" w:lineRule="exact"/>
                      <w:rPr>
                        <w:sz w:val="14"/>
                      </w:rPr>
                    </w:pPr>
                    <w:r>
                      <w:rPr>
                        <w:spacing w:val="-2"/>
                        <w:w w:val="80"/>
                        <w:sz w:val="14"/>
                      </w:rPr>
                      <w:t>Newcastle</w:t>
                    </w:r>
                  </w:p>
                </w:txbxContent>
              </v:textbox>
            </v:shape>
            <v:shape id="docshape1717" o:spid="_x0000_s3371" type="#_x0000_t202" style="position:absolute;left:11851;top:4173;width:724;height:396" filled="f" stroked="f">
              <v:textbox inset="0,0,0,0">
                <w:txbxContent>
                  <w:p w:rsidR="00F22F94" w:rsidRDefault="00F22F94">
                    <w:pPr>
                      <w:spacing w:line="159" w:lineRule="exact"/>
                      <w:rPr>
                        <w:sz w:val="14"/>
                      </w:rPr>
                    </w:pPr>
                    <w:r>
                      <w:rPr>
                        <w:spacing w:val="-2"/>
                        <w:w w:val="85"/>
                        <w:sz w:val="14"/>
                      </w:rPr>
                      <w:t>Orange</w:t>
                    </w:r>
                  </w:p>
                  <w:p w:rsidR="00F22F94" w:rsidRDefault="00F22F94">
                    <w:pPr>
                      <w:spacing w:before="76" w:line="160" w:lineRule="exact"/>
                      <w:ind w:left="289"/>
                      <w:rPr>
                        <w:sz w:val="14"/>
                      </w:rPr>
                    </w:pPr>
                    <w:r>
                      <w:rPr>
                        <w:spacing w:val="-2"/>
                        <w:w w:val="80"/>
                        <w:sz w:val="14"/>
                      </w:rPr>
                      <w:t>Bathurst</w:t>
                    </w:r>
                  </w:p>
                </w:txbxContent>
              </v:textbox>
            </v:shape>
            <v:shape id="docshape1718" o:spid="_x0000_s3370" type="#_x0000_t202" style="position:absolute;left:13288;top:4259;width:549;height:513" filled="f" stroked="f">
              <v:textbox inset="0,0,0,0">
                <w:txbxContent>
                  <w:p w:rsidR="00F22F94" w:rsidRDefault="00F22F94">
                    <w:pPr>
                      <w:spacing w:line="159" w:lineRule="exact"/>
                      <w:ind w:left="144"/>
                      <w:rPr>
                        <w:sz w:val="14"/>
                      </w:rPr>
                    </w:pPr>
                    <w:r>
                      <w:rPr>
                        <w:spacing w:val="-2"/>
                        <w:w w:val="80"/>
                        <w:sz w:val="14"/>
                      </w:rPr>
                      <w:t>Gosford</w:t>
                    </w:r>
                  </w:p>
                  <w:p w:rsidR="00F22F94" w:rsidRDefault="00F22F94">
                    <w:pPr>
                      <w:spacing w:before="9"/>
                      <w:rPr>
                        <w:sz w:val="16"/>
                      </w:rPr>
                    </w:pPr>
                  </w:p>
                  <w:p w:rsidR="00F22F94" w:rsidRDefault="00F22F94">
                    <w:pPr>
                      <w:spacing w:line="160" w:lineRule="exact"/>
                      <w:rPr>
                        <w:sz w:val="14"/>
                      </w:rPr>
                    </w:pPr>
                    <w:r>
                      <w:rPr>
                        <w:spacing w:val="-2"/>
                        <w:w w:val="85"/>
                        <w:sz w:val="14"/>
                      </w:rPr>
                      <w:t>Sydney</w:t>
                    </w:r>
                  </w:p>
                </w:txbxContent>
              </v:textbox>
            </v:shape>
            <v:shape id="docshape1719" o:spid="_x0000_s3369" type="#_x0000_t202" style="position:absolute;left:6440;top:4820;width:634;height:159" filled="f" stroked="f">
              <v:textbox inset="0,0,0,0">
                <w:txbxContent>
                  <w:p w:rsidR="00F22F94" w:rsidRDefault="00F22F94">
                    <w:pPr>
                      <w:spacing w:line="158" w:lineRule="exact"/>
                      <w:rPr>
                        <w:sz w:val="14"/>
                      </w:rPr>
                    </w:pPr>
                    <w:r>
                      <w:rPr>
                        <w:w w:val="80"/>
                        <w:sz w:val="14"/>
                      </w:rPr>
                      <w:t>Mildura</w:t>
                    </w:r>
                    <w:r>
                      <w:rPr>
                        <w:spacing w:val="-6"/>
                        <w:sz w:val="14"/>
                      </w:rPr>
                      <w:t xml:space="preserve"> </w:t>
                    </w:r>
                    <w:r>
                      <w:rPr>
                        <w:spacing w:val="-2"/>
                        <w:w w:val="80"/>
                        <w:sz w:val="14"/>
                      </w:rPr>
                      <w:t>(Vic)</w:t>
                    </w:r>
                  </w:p>
                </w:txbxContent>
              </v:textbox>
            </v:shape>
            <v:shape id="docshape1720" o:spid="_x0000_s3368" type="#_x0000_t202" style="position:absolute;left:9340;top:4878;width:350;height:159" filled="f" stroked="f">
              <v:textbox inset="0,0,0,0">
                <w:txbxContent>
                  <w:p w:rsidR="00F22F94" w:rsidRDefault="00F22F94">
                    <w:pPr>
                      <w:spacing w:line="158" w:lineRule="exact"/>
                      <w:rPr>
                        <w:sz w:val="14"/>
                      </w:rPr>
                    </w:pPr>
                    <w:r>
                      <w:rPr>
                        <w:spacing w:val="-2"/>
                        <w:w w:val="90"/>
                        <w:sz w:val="14"/>
                      </w:rPr>
                      <w:t>Griffth</w:t>
                    </w:r>
                  </w:p>
                </w:txbxContent>
              </v:textbox>
            </v:shape>
            <v:shape id="docshape1721" o:spid="_x0000_s3367" type="#_x0000_t202" style="position:absolute;left:13057;top:4993;width:598;height:159" filled="f" stroked="f">
              <v:textbox inset="0,0,0,0">
                <w:txbxContent>
                  <w:p w:rsidR="00F22F94" w:rsidRDefault="00F22F94">
                    <w:pPr>
                      <w:spacing w:line="158" w:lineRule="exact"/>
                      <w:rPr>
                        <w:sz w:val="14"/>
                      </w:rPr>
                    </w:pPr>
                    <w:r>
                      <w:rPr>
                        <w:spacing w:val="-2"/>
                        <w:w w:val="80"/>
                        <w:sz w:val="14"/>
                      </w:rPr>
                      <w:t>Wollongong</w:t>
                    </w:r>
                  </w:p>
                </w:txbxContent>
              </v:textbox>
            </v:shape>
            <v:shape id="docshape1722" o:spid="_x0000_s3366" type="#_x0000_t202" style="position:absolute;left:12274;top:5245;width:469;height:159" filled="f" stroked="f">
              <v:textbox inset="0,0,0,0">
                <w:txbxContent>
                  <w:p w:rsidR="00F22F94" w:rsidRDefault="00F22F94">
                    <w:pPr>
                      <w:spacing w:line="158" w:lineRule="exact"/>
                      <w:rPr>
                        <w:sz w:val="14"/>
                      </w:rPr>
                    </w:pPr>
                    <w:r>
                      <w:rPr>
                        <w:spacing w:val="-2"/>
                        <w:w w:val="80"/>
                        <w:sz w:val="14"/>
                      </w:rPr>
                      <w:t>Goulburn</w:t>
                    </w:r>
                  </w:p>
                </w:txbxContent>
              </v:textbox>
            </v:shape>
            <v:shape id="docshape1723" o:spid="_x0000_s3365" type="#_x0000_t202" style="position:absolute;left:9899;top:5371;width:733;height:159" filled="f" stroked="f">
              <v:textbox inset="0,0,0,0">
                <w:txbxContent>
                  <w:p w:rsidR="00F22F94" w:rsidRDefault="00F22F94">
                    <w:pPr>
                      <w:spacing w:line="158" w:lineRule="exact"/>
                      <w:rPr>
                        <w:sz w:val="14"/>
                      </w:rPr>
                    </w:pPr>
                    <w:r>
                      <w:rPr>
                        <w:w w:val="75"/>
                        <w:sz w:val="14"/>
                      </w:rPr>
                      <w:t>Wagga</w:t>
                    </w:r>
                    <w:r>
                      <w:rPr>
                        <w:spacing w:val="-4"/>
                        <w:sz w:val="14"/>
                      </w:rPr>
                      <w:t xml:space="preserve"> </w:t>
                    </w:r>
                    <w:r>
                      <w:rPr>
                        <w:spacing w:val="-2"/>
                        <w:w w:val="80"/>
                        <w:sz w:val="14"/>
                      </w:rPr>
                      <w:t>Wagga</w:t>
                    </w:r>
                  </w:p>
                </w:txbxContent>
              </v:textbox>
            </v:shape>
            <v:shape id="docshape1724" o:spid="_x0000_s3364" type="#_x0000_t202" style="position:absolute;left:11325;top:5566;width:1231;height:319" filled="f" stroked="f">
              <v:textbox inset="0,0,0,0">
                <w:txbxContent>
                  <w:p w:rsidR="00F22F94" w:rsidRDefault="00F22F94">
                    <w:pPr>
                      <w:spacing w:line="147" w:lineRule="exact"/>
                      <w:rPr>
                        <w:sz w:val="14"/>
                      </w:rPr>
                    </w:pPr>
                    <w:r>
                      <w:rPr>
                        <w:spacing w:val="-2"/>
                        <w:w w:val="85"/>
                        <w:sz w:val="14"/>
                      </w:rPr>
                      <w:t>Canberra</w:t>
                    </w:r>
                  </w:p>
                  <w:p w:rsidR="00F22F94" w:rsidRDefault="00F22F94">
                    <w:pPr>
                      <w:spacing w:line="169" w:lineRule="exact"/>
                      <w:ind w:left="220"/>
                      <w:rPr>
                        <w:sz w:val="14"/>
                      </w:rPr>
                    </w:pPr>
                    <w:r>
                      <w:rPr>
                        <w:w w:val="80"/>
                        <w:position w:val="-1"/>
                        <w:sz w:val="14"/>
                      </w:rPr>
                      <w:t>(ACT)</w:t>
                    </w:r>
                    <w:r>
                      <w:rPr>
                        <w:spacing w:val="33"/>
                        <w:position w:val="-1"/>
                        <w:sz w:val="14"/>
                      </w:rPr>
                      <w:t xml:space="preserve"> </w:t>
                    </w:r>
                    <w:r>
                      <w:rPr>
                        <w:spacing w:val="-2"/>
                        <w:w w:val="75"/>
                        <w:sz w:val="14"/>
                      </w:rPr>
                      <w:t>Queanbeyan</w:t>
                    </w:r>
                  </w:p>
                </w:txbxContent>
              </v:textbox>
            </v:shape>
            <v:shape id="docshape1725" o:spid="_x0000_s3363" type="#_x0000_t202" style="position:absolute;left:8201;top:6133;width:624;height:159" filled="f" stroked="f">
              <v:textbox inset="0,0,0,0">
                <w:txbxContent>
                  <w:p w:rsidR="00F22F94" w:rsidRDefault="00F22F94">
                    <w:pPr>
                      <w:spacing w:line="158" w:lineRule="exact"/>
                      <w:rPr>
                        <w:sz w:val="14"/>
                      </w:rPr>
                    </w:pPr>
                    <w:r>
                      <w:rPr>
                        <w:w w:val="75"/>
                        <w:sz w:val="14"/>
                      </w:rPr>
                      <w:t>Echuca</w:t>
                    </w:r>
                    <w:r>
                      <w:rPr>
                        <w:spacing w:val="3"/>
                        <w:sz w:val="14"/>
                      </w:rPr>
                      <w:t xml:space="preserve"> </w:t>
                    </w:r>
                    <w:r>
                      <w:rPr>
                        <w:spacing w:val="-2"/>
                        <w:w w:val="80"/>
                        <w:sz w:val="14"/>
                      </w:rPr>
                      <w:t>(Vic)</w:t>
                    </w:r>
                  </w:p>
                </w:txbxContent>
              </v:textbox>
            </v:shape>
            <v:shape id="docshape1726" o:spid="_x0000_s3362" type="#_x0000_t202" style="position:absolute;left:10403;top:6075;width:334;height:159" filled="f" stroked="f">
              <v:textbox inset="0,0,0,0">
                <w:txbxContent>
                  <w:p w:rsidR="00F22F94" w:rsidRDefault="00F22F94">
                    <w:pPr>
                      <w:spacing w:line="158" w:lineRule="exact"/>
                      <w:rPr>
                        <w:sz w:val="14"/>
                      </w:rPr>
                    </w:pPr>
                    <w:r>
                      <w:rPr>
                        <w:spacing w:val="-2"/>
                        <w:w w:val="80"/>
                        <w:sz w:val="14"/>
                      </w:rPr>
                      <w:t>Albury</w:t>
                    </w:r>
                  </w:p>
                </w:txbxContent>
              </v:textbox>
            </v:shape>
            <v:shape id="docshape1727" o:spid="_x0000_s3361" type="#_x0000_t202" style="position:absolute;left:12357;top:6475;width:272;height:159" filled="f" stroked="f">
              <v:textbox inset="0,0,0,0">
                <w:txbxContent>
                  <w:p w:rsidR="00F22F94" w:rsidRDefault="00F22F94">
                    <w:pPr>
                      <w:spacing w:line="158" w:lineRule="exact"/>
                      <w:rPr>
                        <w:sz w:val="14"/>
                      </w:rPr>
                    </w:pPr>
                    <w:r>
                      <w:rPr>
                        <w:spacing w:val="-4"/>
                        <w:w w:val="80"/>
                        <w:sz w:val="14"/>
                      </w:rPr>
                      <w:t>Bega</w:t>
                    </w:r>
                  </w:p>
                </w:txbxContent>
              </v:textbox>
            </v:shape>
            <v:shape id="docshape1728" o:spid="_x0000_s3360" type="#_x0000_t202" style="position:absolute;left:6169;top:7256;width:343;height:215" filled="f" stroked="f">
              <v:textbox inset="0,0,0,0">
                <w:txbxContent>
                  <w:p w:rsidR="00F22F94" w:rsidRDefault="00F22F94">
                    <w:pPr>
                      <w:spacing w:before="6"/>
                      <w:rPr>
                        <w:b/>
                        <w:sz w:val="18"/>
                      </w:rPr>
                    </w:pPr>
                    <w:r>
                      <w:rPr>
                        <w:b/>
                        <w:color w:val="2E3092"/>
                        <w:spacing w:val="-5"/>
                        <w:sz w:val="18"/>
                      </w:rPr>
                      <w:t>Key</w:t>
                    </w:r>
                  </w:p>
                </w:txbxContent>
              </v:textbox>
            </v:shape>
            <v:shape id="docshape1729" o:spid="_x0000_s3359" type="#_x0000_t202" style="position:absolute;left:6529;top:7494;width:1407;height:361" filled="f" stroked="f">
              <v:textbox inset="0,0,0,0">
                <w:txbxContent>
                  <w:p w:rsidR="00F22F94" w:rsidRDefault="00F22F94">
                    <w:pPr>
                      <w:spacing w:line="160" w:lineRule="exact"/>
                      <w:rPr>
                        <w:sz w:val="14"/>
                      </w:rPr>
                    </w:pPr>
                    <w:r>
                      <w:rPr>
                        <w:w w:val="80"/>
                        <w:sz w:val="14"/>
                      </w:rPr>
                      <w:t>CountryLink</w:t>
                    </w:r>
                    <w:r>
                      <w:rPr>
                        <w:sz w:val="14"/>
                      </w:rPr>
                      <w:t xml:space="preserve"> </w:t>
                    </w:r>
                    <w:r>
                      <w:rPr>
                        <w:w w:val="80"/>
                        <w:sz w:val="14"/>
                      </w:rPr>
                      <w:t>Rail</w:t>
                    </w:r>
                    <w:r>
                      <w:rPr>
                        <w:sz w:val="14"/>
                      </w:rPr>
                      <w:t xml:space="preserve"> </w:t>
                    </w:r>
                    <w:r>
                      <w:rPr>
                        <w:spacing w:val="-2"/>
                        <w:w w:val="80"/>
                        <w:sz w:val="14"/>
                      </w:rPr>
                      <w:t>Service</w:t>
                    </w:r>
                  </w:p>
                  <w:p w:rsidR="00F22F94" w:rsidRDefault="00F22F94">
                    <w:pPr>
                      <w:spacing w:before="39"/>
                      <w:rPr>
                        <w:sz w:val="14"/>
                      </w:rPr>
                    </w:pPr>
                    <w:r>
                      <w:rPr>
                        <w:w w:val="80"/>
                        <w:sz w:val="14"/>
                      </w:rPr>
                      <w:t>CountryLink</w:t>
                    </w:r>
                    <w:r>
                      <w:rPr>
                        <w:spacing w:val="-1"/>
                        <w:sz w:val="14"/>
                      </w:rPr>
                      <w:t xml:space="preserve"> </w:t>
                    </w:r>
                    <w:r>
                      <w:rPr>
                        <w:w w:val="80"/>
                        <w:sz w:val="14"/>
                      </w:rPr>
                      <w:t>Coach</w:t>
                    </w:r>
                    <w:r>
                      <w:rPr>
                        <w:spacing w:val="-1"/>
                        <w:sz w:val="14"/>
                      </w:rPr>
                      <w:t xml:space="preserve"> </w:t>
                    </w:r>
                    <w:r>
                      <w:rPr>
                        <w:spacing w:val="-2"/>
                        <w:w w:val="80"/>
                        <w:sz w:val="14"/>
                      </w:rPr>
                      <w:t>Service</w:t>
                    </w:r>
                  </w:p>
                </w:txbxContent>
              </v:textbox>
            </v:shape>
            <v:shape id="docshape1730" o:spid="_x0000_s3358" type="#_x0000_t202" style="position:absolute;left:14062;top:7904;width:1438;height:136" filled="f" stroked="f">
              <v:textbox inset="0,0,0,0">
                <w:txbxContent>
                  <w:p w:rsidR="00F22F94" w:rsidRDefault="00F22F94">
                    <w:pPr>
                      <w:tabs>
                        <w:tab w:val="left" w:pos="264"/>
                      </w:tabs>
                      <w:spacing w:line="136" w:lineRule="exact"/>
                      <w:rPr>
                        <w:sz w:val="12"/>
                      </w:rPr>
                    </w:pPr>
                    <w:r>
                      <w:rPr>
                        <w:spacing w:val="-10"/>
                        <w:w w:val="95"/>
                        <w:sz w:val="12"/>
                      </w:rPr>
                      <w:t>0</w:t>
                    </w:r>
                    <w:r>
                      <w:rPr>
                        <w:sz w:val="12"/>
                      </w:rPr>
                      <w:tab/>
                    </w:r>
                    <w:r>
                      <w:rPr>
                        <w:w w:val="95"/>
                        <w:sz w:val="12"/>
                      </w:rPr>
                      <w:t>50</w:t>
                    </w:r>
                    <w:r>
                      <w:rPr>
                        <w:spacing w:val="79"/>
                        <w:w w:val="150"/>
                        <w:sz w:val="12"/>
                      </w:rPr>
                      <w:t xml:space="preserve"> </w:t>
                    </w:r>
                    <w:r>
                      <w:rPr>
                        <w:w w:val="95"/>
                        <w:sz w:val="12"/>
                      </w:rPr>
                      <w:t>100</w:t>
                    </w:r>
                    <w:r>
                      <w:rPr>
                        <w:spacing w:val="67"/>
                        <w:w w:val="150"/>
                        <w:sz w:val="12"/>
                      </w:rPr>
                      <w:t xml:space="preserve"> </w:t>
                    </w:r>
                    <w:r>
                      <w:rPr>
                        <w:w w:val="95"/>
                        <w:sz w:val="12"/>
                      </w:rPr>
                      <w:t>150</w:t>
                    </w:r>
                    <w:r>
                      <w:rPr>
                        <w:spacing w:val="55"/>
                        <w:sz w:val="12"/>
                      </w:rPr>
                      <w:t xml:space="preserve"> </w:t>
                    </w:r>
                    <w:r>
                      <w:rPr>
                        <w:spacing w:val="-2"/>
                        <w:w w:val="90"/>
                        <w:sz w:val="12"/>
                      </w:rPr>
                      <w:t>200km</w:t>
                    </w:r>
                  </w:p>
                </w:txbxContent>
              </v:textbox>
            </v:shape>
            <v:shape id="docshape1731" o:spid="_x0000_s3357" type="#_x0000_t202" style="position:absolute;left:6123;top:8001;width:1699;height:166" filled="f" stroked="f">
              <v:textbox inset="0,0,0,0">
                <w:txbxContent>
                  <w:p w:rsidR="00F22F94" w:rsidRDefault="00F22F94">
                    <w:pPr>
                      <w:spacing w:before="4"/>
                      <w:rPr>
                        <w:sz w:val="14"/>
                      </w:rPr>
                    </w:pPr>
                    <w:r>
                      <w:rPr>
                        <w:w w:val="95"/>
                        <w:sz w:val="14"/>
                      </w:rPr>
                      <w:t>Source:</w:t>
                    </w:r>
                    <w:r>
                      <w:rPr>
                        <w:spacing w:val="5"/>
                        <w:sz w:val="14"/>
                      </w:rPr>
                      <w:t xml:space="preserve"> </w:t>
                    </w:r>
                    <w:r>
                      <w:rPr>
                        <w:w w:val="95"/>
                        <w:sz w:val="14"/>
                      </w:rPr>
                      <w:t>Transport</w:t>
                    </w:r>
                    <w:r>
                      <w:rPr>
                        <w:spacing w:val="6"/>
                        <w:sz w:val="14"/>
                      </w:rPr>
                      <w:t xml:space="preserve"> </w:t>
                    </w:r>
                    <w:r>
                      <w:rPr>
                        <w:w w:val="95"/>
                        <w:sz w:val="14"/>
                      </w:rPr>
                      <w:t>for</w:t>
                    </w:r>
                    <w:r>
                      <w:rPr>
                        <w:spacing w:val="6"/>
                        <w:sz w:val="14"/>
                      </w:rPr>
                      <w:t xml:space="preserve"> </w:t>
                    </w:r>
                    <w:r>
                      <w:rPr>
                        <w:spacing w:val="-4"/>
                        <w:w w:val="95"/>
                        <w:sz w:val="14"/>
                      </w:rPr>
                      <w:t>NSW.</w:t>
                    </w:r>
                  </w:p>
                </w:txbxContent>
              </v:textbox>
            </v:shape>
            <w10:wrap anchorx="page"/>
          </v:group>
        </w:pict>
      </w:r>
      <w:bookmarkStart w:id="272" w:name="_bookmark192"/>
      <w:bookmarkEnd w:id="272"/>
      <w:r w:rsidR="00F22F94">
        <w:rPr>
          <w:color w:val="00AEEF"/>
          <w:w w:val="95"/>
        </w:rPr>
        <w:t>Public</w:t>
      </w:r>
      <w:r w:rsidR="00F22F94">
        <w:rPr>
          <w:color w:val="00AEEF"/>
          <w:spacing w:val="-3"/>
        </w:rPr>
        <w:t xml:space="preserve"> </w:t>
      </w:r>
      <w:r w:rsidR="00F22F94">
        <w:rPr>
          <w:color w:val="00AEEF"/>
          <w:w w:val="95"/>
        </w:rPr>
        <w:t>Transport</w:t>
      </w:r>
      <w:r w:rsidR="00F22F94">
        <w:rPr>
          <w:color w:val="00AEEF"/>
          <w:spacing w:val="-1"/>
          <w:w w:val="95"/>
        </w:rPr>
        <w:t xml:space="preserve"> </w:t>
      </w:r>
      <w:r w:rsidR="00F22F94">
        <w:rPr>
          <w:color w:val="00AEEF"/>
          <w:w w:val="95"/>
        </w:rPr>
        <w:t>in</w:t>
      </w:r>
      <w:r w:rsidR="00F22F94">
        <w:rPr>
          <w:color w:val="00AEEF"/>
          <w:spacing w:val="-2"/>
        </w:rPr>
        <w:t xml:space="preserve"> </w:t>
      </w:r>
      <w:r w:rsidR="00F22F94">
        <w:rPr>
          <w:color w:val="00AEEF"/>
          <w:w w:val="95"/>
        </w:rPr>
        <w:t>Regional</w:t>
      </w:r>
      <w:r w:rsidR="00F22F94">
        <w:rPr>
          <w:color w:val="00AEEF"/>
          <w:spacing w:val="-3"/>
        </w:rPr>
        <w:t xml:space="preserve"> </w:t>
      </w:r>
      <w:r w:rsidR="00F22F94">
        <w:rPr>
          <w:color w:val="00AEEF"/>
          <w:spacing w:val="-5"/>
          <w:w w:val="95"/>
        </w:rPr>
        <w:t>NSW</w:t>
      </w:r>
    </w:p>
    <w:p w:rsidR="002C1123" w:rsidRDefault="00F22F94">
      <w:pPr>
        <w:pStyle w:val="BodyText"/>
        <w:spacing w:before="95" w:line="249" w:lineRule="auto"/>
        <w:ind w:left="492" w:right="10730"/>
      </w:pPr>
      <w:r>
        <w:t>Outside</w:t>
      </w:r>
      <w:r>
        <w:rPr>
          <w:spacing w:val="-14"/>
        </w:rPr>
        <w:t xml:space="preserve"> </w:t>
      </w:r>
      <w:r>
        <w:t>of</w:t>
      </w:r>
      <w:r>
        <w:rPr>
          <w:spacing w:val="-14"/>
        </w:rPr>
        <w:t xml:space="preserve"> </w:t>
      </w:r>
      <w:r>
        <w:t>Sydney,</w:t>
      </w:r>
      <w:r>
        <w:rPr>
          <w:spacing w:val="-14"/>
        </w:rPr>
        <w:t xml:space="preserve"> </w:t>
      </w:r>
      <w:r>
        <w:t>the</w:t>
      </w:r>
      <w:r>
        <w:rPr>
          <w:spacing w:val="-14"/>
        </w:rPr>
        <w:t xml:space="preserve"> </w:t>
      </w:r>
      <w:r>
        <w:t>passenger</w:t>
      </w:r>
      <w:r>
        <w:rPr>
          <w:spacing w:val="-14"/>
        </w:rPr>
        <w:t xml:space="preserve"> </w:t>
      </w:r>
      <w:r>
        <w:t>rail</w:t>
      </w:r>
      <w:r>
        <w:rPr>
          <w:spacing w:val="-14"/>
        </w:rPr>
        <w:t xml:space="preserve"> </w:t>
      </w:r>
      <w:r>
        <w:t>network</w:t>
      </w:r>
      <w:r>
        <w:rPr>
          <w:spacing w:val="-14"/>
        </w:rPr>
        <w:t xml:space="preserve"> </w:t>
      </w:r>
      <w:r>
        <w:t xml:space="preserve">totals </w:t>
      </w:r>
      <w:r>
        <w:rPr>
          <w:w w:val="95"/>
        </w:rPr>
        <w:t>3,450</w:t>
      </w:r>
      <w:r>
        <w:rPr>
          <w:spacing w:val="-2"/>
          <w:w w:val="95"/>
        </w:rPr>
        <w:t xml:space="preserve"> </w:t>
      </w:r>
      <w:r>
        <w:rPr>
          <w:w w:val="95"/>
        </w:rPr>
        <w:t>kilometres</w:t>
      </w:r>
      <w:r>
        <w:rPr>
          <w:spacing w:val="-2"/>
          <w:w w:val="95"/>
        </w:rPr>
        <w:t xml:space="preserve"> </w:t>
      </w:r>
      <w:r>
        <w:rPr>
          <w:w w:val="95"/>
        </w:rPr>
        <w:t>of</w:t>
      </w:r>
      <w:r>
        <w:rPr>
          <w:spacing w:val="-2"/>
          <w:w w:val="95"/>
        </w:rPr>
        <w:t xml:space="preserve"> </w:t>
      </w:r>
      <w:r>
        <w:rPr>
          <w:w w:val="95"/>
        </w:rPr>
        <w:t>track.</w:t>
      </w:r>
      <w:r>
        <w:rPr>
          <w:spacing w:val="-2"/>
          <w:w w:val="95"/>
        </w:rPr>
        <w:t xml:space="preserve"> </w:t>
      </w:r>
      <w:r>
        <w:rPr>
          <w:w w:val="95"/>
        </w:rPr>
        <w:t>Much</w:t>
      </w:r>
      <w:r>
        <w:rPr>
          <w:spacing w:val="-2"/>
          <w:w w:val="95"/>
        </w:rPr>
        <w:t xml:space="preserve"> </w:t>
      </w:r>
      <w:r>
        <w:rPr>
          <w:w w:val="95"/>
        </w:rPr>
        <w:t>of</w:t>
      </w:r>
      <w:r>
        <w:rPr>
          <w:spacing w:val="-2"/>
          <w:w w:val="95"/>
        </w:rPr>
        <w:t xml:space="preserve"> </w:t>
      </w:r>
      <w:r>
        <w:rPr>
          <w:w w:val="95"/>
        </w:rPr>
        <w:t>this</w:t>
      </w:r>
      <w:r>
        <w:rPr>
          <w:spacing w:val="-2"/>
          <w:w w:val="95"/>
        </w:rPr>
        <w:t xml:space="preserve"> </w:t>
      </w:r>
      <w:r>
        <w:rPr>
          <w:w w:val="95"/>
        </w:rPr>
        <w:t>network</w:t>
      </w:r>
      <w:r>
        <w:rPr>
          <w:spacing w:val="-2"/>
          <w:w w:val="95"/>
        </w:rPr>
        <w:t xml:space="preserve"> </w:t>
      </w:r>
      <w:r>
        <w:rPr>
          <w:w w:val="95"/>
        </w:rPr>
        <w:t>is</w:t>
      </w:r>
      <w:r>
        <w:rPr>
          <w:spacing w:val="-2"/>
          <w:w w:val="95"/>
        </w:rPr>
        <w:t xml:space="preserve"> </w:t>
      </w:r>
      <w:r>
        <w:rPr>
          <w:w w:val="95"/>
        </w:rPr>
        <w:t>leased by</w:t>
      </w:r>
      <w:r>
        <w:rPr>
          <w:spacing w:val="-10"/>
          <w:w w:val="95"/>
        </w:rPr>
        <w:t xml:space="preserve"> </w:t>
      </w:r>
      <w:r>
        <w:rPr>
          <w:w w:val="95"/>
        </w:rPr>
        <w:t>the</w:t>
      </w:r>
      <w:r>
        <w:rPr>
          <w:spacing w:val="-10"/>
          <w:w w:val="95"/>
        </w:rPr>
        <w:t xml:space="preserve"> </w:t>
      </w:r>
      <w:r>
        <w:rPr>
          <w:w w:val="95"/>
        </w:rPr>
        <w:t>ARTC.</w:t>
      </w:r>
      <w:r>
        <w:rPr>
          <w:spacing w:val="-10"/>
          <w:w w:val="95"/>
        </w:rPr>
        <w:t xml:space="preserve"> </w:t>
      </w:r>
      <w:r>
        <w:rPr>
          <w:w w:val="95"/>
        </w:rPr>
        <w:t>In</w:t>
      </w:r>
      <w:r>
        <w:rPr>
          <w:spacing w:val="-10"/>
          <w:w w:val="95"/>
        </w:rPr>
        <w:t xml:space="preserve"> </w:t>
      </w:r>
      <w:r>
        <w:rPr>
          <w:w w:val="95"/>
        </w:rPr>
        <w:t>2012,</w:t>
      </w:r>
      <w:r>
        <w:rPr>
          <w:spacing w:val="-10"/>
          <w:w w:val="95"/>
        </w:rPr>
        <w:t xml:space="preserve"> </w:t>
      </w:r>
      <w:r>
        <w:rPr>
          <w:w w:val="95"/>
        </w:rPr>
        <w:t>the</w:t>
      </w:r>
      <w:r>
        <w:rPr>
          <w:spacing w:val="-10"/>
          <w:w w:val="95"/>
        </w:rPr>
        <w:t xml:space="preserve"> </w:t>
      </w:r>
      <w:r>
        <w:rPr>
          <w:w w:val="95"/>
        </w:rPr>
        <w:t>NSW</w:t>
      </w:r>
      <w:r>
        <w:rPr>
          <w:spacing w:val="-10"/>
          <w:w w:val="95"/>
        </w:rPr>
        <w:t xml:space="preserve"> </w:t>
      </w:r>
      <w:r>
        <w:rPr>
          <w:w w:val="95"/>
        </w:rPr>
        <w:t>Government</w:t>
      </w:r>
      <w:r>
        <w:rPr>
          <w:spacing w:val="-10"/>
          <w:w w:val="95"/>
        </w:rPr>
        <w:t xml:space="preserve"> </w:t>
      </w:r>
      <w:r>
        <w:rPr>
          <w:w w:val="95"/>
        </w:rPr>
        <w:t xml:space="preserve">announced </w:t>
      </w:r>
      <w:r>
        <w:t>that</w:t>
      </w:r>
      <w:r>
        <w:rPr>
          <w:spacing w:val="-14"/>
        </w:rPr>
        <w:t xml:space="preserve"> </w:t>
      </w:r>
      <w:r>
        <w:t>NSW</w:t>
      </w:r>
      <w:r>
        <w:rPr>
          <w:spacing w:val="-14"/>
        </w:rPr>
        <w:t xml:space="preserve"> </w:t>
      </w:r>
      <w:r>
        <w:t>Trains</w:t>
      </w:r>
      <w:r>
        <w:rPr>
          <w:spacing w:val="-14"/>
        </w:rPr>
        <w:t xml:space="preserve"> </w:t>
      </w:r>
      <w:r>
        <w:t>would</w:t>
      </w:r>
      <w:r>
        <w:rPr>
          <w:spacing w:val="-14"/>
        </w:rPr>
        <w:t xml:space="preserve"> </w:t>
      </w:r>
      <w:r>
        <w:t>be</w:t>
      </w:r>
      <w:r>
        <w:rPr>
          <w:spacing w:val="-13"/>
        </w:rPr>
        <w:t xml:space="preserve"> </w:t>
      </w:r>
      <w:r>
        <w:t>established,</w:t>
      </w:r>
      <w:r>
        <w:rPr>
          <w:spacing w:val="-14"/>
        </w:rPr>
        <w:t xml:space="preserve"> </w:t>
      </w:r>
      <w:r>
        <w:t>taking</w:t>
      </w:r>
      <w:r>
        <w:rPr>
          <w:spacing w:val="-14"/>
        </w:rPr>
        <w:t xml:space="preserve"> </w:t>
      </w:r>
      <w:r>
        <w:t>on</w:t>
      </w:r>
      <w:r>
        <w:rPr>
          <w:spacing w:val="-14"/>
        </w:rPr>
        <w:t xml:space="preserve"> </w:t>
      </w:r>
      <w:r>
        <w:t>the role</w:t>
      </w:r>
      <w:r>
        <w:rPr>
          <w:spacing w:val="-14"/>
        </w:rPr>
        <w:t xml:space="preserve"> </w:t>
      </w:r>
      <w:r>
        <w:t>of</w:t>
      </w:r>
      <w:r>
        <w:rPr>
          <w:spacing w:val="-14"/>
        </w:rPr>
        <w:t xml:space="preserve"> </w:t>
      </w:r>
      <w:r>
        <w:t>CountryLink</w:t>
      </w:r>
      <w:r>
        <w:rPr>
          <w:spacing w:val="-14"/>
        </w:rPr>
        <w:t xml:space="preserve"> </w:t>
      </w:r>
      <w:r>
        <w:t>in</w:t>
      </w:r>
      <w:r>
        <w:rPr>
          <w:spacing w:val="-14"/>
        </w:rPr>
        <w:t xml:space="preserve"> </w:t>
      </w:r>
      <w:r>
        <w:t>providing</w:t>
      </w:r>
      <w:r>
        <w:rPr>
          <w:spacing w:val="-14"/>
        </w:rPr>
        <w:t xml:space="preserve"> </w:t>
      </w:r>
      <w:r>
        <w:t>regional</w:t>
      </w:r>
      <w:r>
        <w:rPr>
          <w:spacing w:val="-13"/>
        </w:rPr>
        <w:t xml:space="preserve"> </w:t>
      </w:r>
      <w:r>
        <w:t>services</w:t>
      </w:r>
      <w:r>
        <w:rPr>
          <w:spacing w:val="-14"/>
        </w:rPr>
        <w:t xml:space="preserve"> </w:t>
      </w:r>
      <w:r>
        <w:t xml:space="preserve">and </w:t>
      </w:r>
      <w:r>
        <w:rPr>
          <w:w w:val="95"/>
        </w:rPr>
        <w:t>CityRail’s intercity routes. CountryLink also offers coach services to regional centres not currently served by rail.</w:t>
      </w:r>
    </w:p>
    <w:p w:rsidR="002C1123" w:rsidRDefault="00F22F94">
      <w:pPr>
        <w:pStyle w:val="BodyText"/>
        <w:spacing w:before="147" w:line="249" w:lineRule="auto"/>
        <w:ind w:left="492" w:right="10730"/>
      </w:pPr>
      <w:r>
        <w:rPr>
          <w:w w:val="95"/>
        </w:rPr>
        <w:t>Countrylink’s</w:t>
      </w:r>
      <w:r>
        <w:rPr>
          <w:spacing w:val="-4"/>
          <w:w w:val="95"/>
        </w:rPr>
        <w:t xml:space="preserve"> </w:t>
      </w:r>
      <w:r>
        <w:rPr>
          <w:w w:val="95"/>
        </w:rPr>
        <w:t>regional</w:t>
      </w:r>
      <w:r>
        <w:rPr>
          <w:spacing w:val="-4"/>
          <w:w w:val="95"/>
        </w:rPr>
        <w:t xml:space="preserve"> </w:t>
      </w:r>
      <w:r>
        <w:rPr>
          <w:w w:val="95"/>
        </w:rPr>
        <w:t>rail</w:t>
      </w:r>
      <w:r>
        <w:rPr>
          <w:spacing w:val="-4"/>
          <w:w w:val="95"/>
        </w:rPr>
        <w:t xml:space="preserve"> </w:t>
      </w:r>
      <w:r>
        <w:rPr>
          <w:w w:val="95"/>
        </w:rPr>
        <w:t>and</w:t>
      </w:r>
      <w:r>
        <w:rPr>
          <w:spacing w:val="-4"/>
          <w:w w:val="95"/>
        </w:rPr>
        <w:t xml:space="preserve"> </w:t>
      </w:r>
      <w:r>
        <w:rPr>
          <w:w w:val="95"/>
        </w:rPr>
        <w:t>coach</w:t>
      </w:r>
      <w:r>
        <w:rPr>
          <w:spacing w:val="-4"/>
          <w:w w:val="95"/>
        </w:rPr>
        <w:t xml:space="preserve"> </w:t>
      </w:r>
      <w:r>
        <w:rPr>
          <w:w w:val="95"/>
        </w:rPr>
        <w:t>network</w:t>
      </w:r>
      <w:r>
        <w:rPr>
          <w:spacing w:val="-4"/>
          <w:w w:val="95"/>
        </w:rPr>
        <w:t xml:space="preserve"> </w:t>
      </w:r>
      <w:r>
        <w:rPr>
          <w:w w:val="95"/>
        </w:rPr>
        <w:t>is</w:t>
      </w:r>
      <w:r>
        <w:rPr>
          <w:spacing w:val="-4"/>
          <w:w w:val="95"/>
        </w:rPr>
        <w:t xml:space="preserve"> </w:t>
      </w:r>
      <w:r>
        <w:rPr>
          <w:w w:val="95"/>
        </w:rPr>
        <w:t>shown</w:t>
      </w:r>
      <w:r>
        <w:rPr>
          <w:spacing w:val="-4"/>
          <w:w w:val="95"/>
        </w:rPr>
        <w:t xml:space="preserve"> </w:t>
      </w:r>
      <w:r>
        <w:rPr>
          <w:w w:val="95"/>
        </w:rPr>
        <w:t xml:space="preserve">in </w:t>
      </w:r>
      <w:r>
        <w:t>Figure</w:t>
      </w:r>
      <w:r>
        <w:rPr>
          <w:spacing w:val="-11"/>
        </w:rPr>
        <w:t xml:space="preserve"> </w:t>
      </w:r>
      <w:r>
        <w:t>10.2.</w:t>
      </w:r>
    </w:p>
    <w:p w:rsidR="002C1123" w:rsidRDefault="00F22F94">
      <w:pPr>
        <w:pStyle w:val="BodyText"/>
        <w:spacing w:before="144" w:line="249" w:lineRule="auto"/>
        <w:ind w:left="492" w:right="10835"/>
      </w:pPr>
      <w:r>
        <w:t>The</w:t>
      </w:r>
      <w:r>
        <w:rPr>
          <w:spacing w:val="-14"/>
        </w:rPr>
        <w:t xml:space="preserve"> </w:t>
      </w:r>
      <w:r>
        <w:t>rolling</w:t>
      </w:r>
      <w:r>
        <w:rPr>
          <w:spacing w:val="-14"/>
        </w:rPr>
        <w:t xml:space="preserve"> </w:t>
      </w:r>
      <w:r>
        <w:t>stock</w:t>
      </w:r>
      <w:r>
        <w:rPr>
          <w:spacing w:val="-14"/>
        </w:rPr>
        <w:t xml:space="preserve"> </w:t>
      </w:r>
      <w:r>
        <w:t>used</w:t>
      </w:r>
      <w:r>
        <w:rPr>
          <w:spacing w:val="-14"/>
        </w:rPr>
        <w:t xml:space="preserve"> </w:t>
      </w:r>
      <w:r>
        <w:t>on</w:t>
      </w:r>
      <w:r>
        <w:rPr>
          <w:spacing w:val="-14"/>
        </w:rPr>
        <w:t xml:space="preserve"> </w:t>
      </w:r>
      <w:r>
        <w:t>longer</w:t>
      </w:r>
      <w:r>
        <w:rPr>
          <w:spacing w:val="-14"/>
        </w:rPr>
        <w:t xml:space="preserve"> </w:t>
      </w:r>
      <w:r>
        <w:t>distance</w:t>
      </w:r>
      <w:r>
        <w:rPr>
          <w:spacing w:val="-14"/>
        </w:rPr>
        <w:t xml:space="preserve"> </w:t>
      </w:r>
      <w:r>
        <w:t>rail</w:t>
      </w:r>
      <w:r>
        <w:rPr>
          <w:spacing w:val="-14"/>
        </w:rPr>
        <w:t xml:space="preserve"> </w:t>
      </w:r>
      <w:r>
        <w:t xml:space="preserve">services </w:t>
      </w:r>
      <w:r>
        <w:rPr>
          <w:w w:val="95"/>
        </w:rPr>
        <w:t>is</w:t>
      </w:r>
      <w:r>
        <w:rPr>
          <w:spacing w:val="-6"/>
          <w:w w:val="95"/>
        </w:rPr>
        <w:t xml:space="preserve"> </w:t>
      </w:r>
      <w:r>
        <w:rPr>
          <w:w w:val="95"/>
        </w:rPr>
        <w:t>close</w:t>
      </w:r>
      <w:r>
        <w:rPr>
          <w:spacing w:val="-6"/>
          <w:w w:val="95"/>
        </w:rPr>
        <w:t xml:space="preserve"> </w:t>
      </w:r>
      <w:r>
        <w:rPr>
          <w:w w:val="95"/>
        </w:rPr>
        <w:t>to</w:t>
      </w:r>
      <w:r>
        <w:rPr>
          <w:spacing w:val="-6"/>
          <w:w w:val="95"/>
        </w:rPr>
        <w:t xml:space="preserve"> </w:t>
      </w:r>
      <w:r>
        <w:rPr>
          <w:w w:val="95"/>
        </w:rPr>
        <w:t>age</w:t>
      </w:r>
      <w:r>
        <w:rPr>
          <w:spacing w:val="-6"/>
          <w:w w:val="95"/>
        </w:rPr>
        <w:t xml:space="preserve"> </w:t>
      </w:r>
      <w:r>
        <w:rPr>
          <w:w w:val="95"/>
        </w:rPr>
        <w:t>expired,</w:t>
      </w:r>
      <w:r>
        <w:rPr>
          <w:spacing w:val="-6"/>
          <w:w w:val="95"/>
        </w:rPr>
        <w:t xml:space="preserve"> </w:t>
      </w:r>
      <w:r>
        <w:rPr>
          <w:w w:val="95"/>
        </w:rPr>
        <w:t>and</w:t>
      </w:r>
      <w:r>
        <w:rPr>
          <w:spacing w:val="-6"/>
          <w:w w:val="95"/>
        </w:rPr>
        <w:t xml:space="preserve"> </w:t>
      </w:r>
      <w:r>
        <w:rPr>
          <w:w w:val="95"/>
        </w:rPr>
        <w:t>a</w:t>
      </w:r>
      <w:r>
        <w:rPr>
          <w:spacing w:val="-6"/>
          <w:w w:val="95"/>
        </w:rPr>
        <w:t xml:space="preserve"> </w:t>
      </w:r>
      <w:r>
        <w:rPr>
          <w:w w:val="95"/>
        </w:rPr>
        <w:t>decision</w:t>
      </w:r>
      <w:r>
        <w:rPr>
          <w:spacing w:val="-6"/>
          <w:w w:val="95"/>
        </w:rPr>
        <w:t xml:space="preserve"> </w:t>
      </w:r>
      <w:r>
        <w:rPr>
          <w:w w:val="95"/>
        </w:rPr>
        <w:t>is</w:t>
      </w:r>
      <w:r>
        <w:rPr>
          <w:spacing w:val="-6"/>
          <w:w w:val="95"/>
        </w:rPr>
        <w:t xml:space="preserve"> </w:t>
      </w:r>
      <w:r>
        <w:rPr>
          <w:w w:val="95"/>
        </w:rPr>
        <w:t>needed</w:t>
      </w:r>
      <w:r>
        <w:rPr>
          <w:spacing w:val="-6"/>
          <w:w w:val="95"/>
        </w:rPr>
        <w:t xml:space="preserve"> </w:t>
      </w:r>
      <w:r>
        <w:rPr>
          <w:w w:val="95"/>
        </w:rPr>
        <w:t>on</w:t>
      </w:r>
      <w:r>
        <w:rPr>
          <w:spacing w:val="-6"/>
          <w:w w:val="95"/>
        </w:rPr>
        <w:t xml:space="preserve"> </w:t>
      </w:r>
      <w:r>
        <w:rPr>
          <w:w w:val="95"/>
        </w:rPr>
        <w:t xml:space="preserve">the </w:t>
      </w:r>
      <w:r>
        <w:t>future</w:t>
      </w:r>
      <w:r>
        <w:rPr>
          <w:spacing w:val="-11"/>
        </w:rPr>
        <w:t xml:space="preserve"> </w:t>
      </w:r>
      <w:r>
        <w:t>of</w:t>
      </w:r>
      <w:r>
        <w:rPr>
          <w:spacing w:val="-11"/>
        </w:rPr>
        <w:t xml:space="preserve"> </w:t>
      </w:r>
      <w:r>
        <w:t>these</w:t>
      </w:r>
      <w:r>
        <w:rPr>
          <w:spacing w:val="-11"/>
        </w:rPr>
        <w:t xml:space="preserve"> </w:t>
      </w:r>
      <w:r>
        <w:t>services.</w:t>
      </w:r>
      <w:r>
        <w:rPr>
          <w:spacing w:val="-11"/>
        </w:rPr>
        <w:t xml:space="preserve"> </w:t>
      </w:r>
      <w:r>
        <w:t>Options</w:t>
      </w:r>
      <w:r>
        <w:rPr>
          <w:spacing w:val="-11"/>
        </w:rPr>
        <w:t xml:space="preserve"> </w:t>
      </w:r>
      <w:r>
        <w:t>to</w:t>
      </w:r>
      <w:r>
        <w:rPr>
          <w:spacing w:val="-11"/>
        </w:rPr>
        <w:t xml:space="preserve"> </w:t>
      </w:r>
      <w:r>
        <w:t>re-open</w:t>
      </w:r>
      <w:r>
        <w:rPr>
          <w:spacing w:val="-11"/>
        </w:rPr>
        <w:t xml:space="preserve"> </w:t>
      </w:r>
      <w:r>
        <w:t>regional rail</w:t>
      </w:r>
      <w:r>
        <w:rPr>
          <w:spacing w:val="-14"/>
        </w:rPr>
        <w:t xml:space="preserve"> </w:t>
      </w:r>
      <w:r>
        <w:t>lines</w:t>
      </w:r>
      <w:r>
        <w:rPr>
          <w:spacing w:val="-14"/>
        </w:rPr>
        <w:t xml:space="preserve"> </w:t>
      </w:r>
      <w:r>
        <w:t>to</w:t>
      </w:r>
      <w:r>
        <w:rPr>
          <w:spacing w:val="-14"/>
        </w:rPr>
        <w:t xml:space="preserve"> </w:t>
      </w:r>
      <w:r>
        <w:t>passenger</w:t>
      </w:r>
      <w:r>
        <w:rPr>
          <w:spacing w:val="-14"/>
        </w:rPr>
        <w:t xml:space="preserve"> </w:t>
      </w:r>
      <w:r>
        <w:t>traffic</w:t>
      </w:r>
      <w:r>
        <w:rPr>
          <w:spacing w:val="-14"/>
        </w:rPr>
        <w:t xml:space="preserve"> </w:t>
      </w:r>
      <w:r>
        <w:t>have</w:t>
      </w:r>
      <w:r>
        <w:rPr>
          <w:spacing w:val="-14"/>
        </w:rPr>
        <w:t xml:space="preserve"> </w:t>
      </w:r>
      <w:r>
        <w:t>been</w:t>
      </w:r>
      <w:r>
        <w:rPr>
          <w:spacing w:val="-14"/>
        </w:rPr>
        <w:t xml:space="preserve"> </w:t>
      </w:r>
      <w:r>
        <w:t>advocated</w:t>
      </w:r>
      <w:r>
        <w:rPr>
          <w:spacing w:val="-14"/>
        </w:rPr>
        <w:t xml:space="preserve"> </w:t>
      </w:r>
      <w:r>
        <w:t xml:space="preserve">by </w:t>
      </w:r>
      <w:r>
        <w:rPr>
          <w:w w:val="95"/>
        </w:rPr>
        <w:t xml:space="preserve">regional authorities and the private sector, for example </w:t>
      </w:r>
      <w:r>
        <w:t>the</w:t>
      </w:r>
      <w:r>
        <w:rPr>
          <w:spacing w:val="-10"/>
        </w:rPr>
        <w:t xml:space="preserve"> </w:t>
      </w:r>
      <w:r>
        <w:t>Casino</w:t>
      </w:r>
      <w:r>
        <w:rPr>
          <w:spacing w:val="-10"/>
        </w:rPr>
        <w:t xml:space="preserve"> </w:t>
      </w:r>
      <w:r>
        <w:t>to</w:t>
      </w:r>
      <w:r>
        <w:rPr>
          <w:spacing w:val="-10"/>
        </w:rPr>
        <w:t xml:space="preserve"> </w:t>
      </w:r>
      <w:r>
        <w:t>Murwillumbah</w:t>
      </w:r>
      <w:r>
        <w:rPr>
          <w:spacing w:val="-10"/>
        </w:rPr>
        <w:t xml:space="preserve"> </w:t>
      </w:r>
      <w:r>
        <w:t>Line</w:t>
      </w:r>
      <w:r>
        <w:rPr>
          <w:spacing w:val="-10"/>
        </w:rPr>
        <w:t xml:space="preserve"> </w:t>
      </w:r>
      <w:r>
        <w:t>on</w:t>
      </w:r>
      <w:r>
        <w:rPr>
          <w:spacing w:val="-10"/>
        </w:rPr>
        <w:t xml:space="preserve"> </w:t>
      </w:r>
      <w:r>
        <w:t>the</w:t>
      </w:r>
      <w:r>
        <w:rPr>
          <w:spacing w:val="-10"/>
        </w:rPr>
        <w:t xml:space="preserve"> </w:t>
      </w:r>
      <w:r>
        <w:t>North</w:t>
      </w:r>
      <w:r>
        <w:rPr>
          <w:spacing w:val="-10"/>
        </w:rPr>
        <w:t xml:space="preserve"> </w:t>
      </w:r>
      <w:r>
        <w:t>Coast.</w:t>
      </w:r>
    </w:p>
    <w:p w:rsidR="002C1123" w:rsidRDefault="00F22F94">
      <w:pPr>
        <w:pStyle w:val="BodyText"/>
        <w:spacing w:before="147" w:line="249" w:lineRule="auto"/>
        <w:ind w:left="492" w:right="11019"/>
      </w:pPr>
      <w:r>
        <w:t>In</w:t>
      </w:r>
      <w:r>
        <w:rPr>
          <w:spacing w:val="-14"/>
        </w:rPr>
        <w:t xml:space="preserve"> </w:t>
      </w:r>
      <w:r>
        <w:t>addition,</w:t>
      </w:r>
      <w:r>
        <w:rPr>
          <w:spacing w:val="-14"/>
        </w:rPr>
        <w:t xml:space="preserve"> </w:t>
      </w:r>
      <w:r>
        <w:t>a</w:t>
      </w:r>
      <w:r>
        <w:rPr>
          <w:spacing w:val="-14"/>
        </w:rPr>
        <w:t xml:space="preserve"> </w:t>
      </w:r>
      <w:r>
        <w:t>variety</w:t>
      </w:r>
      <w:r>
        <w:rPr>
          <w:spacing w:val="-14"/>
        </w:rPr>
        <w:t xml:space="preserve"> </w:t>
      </w:r>
      <w:r>
        <w:t>of</w:t>
      </w:r>
      <w:r>
        <w:rPr>
          <w:spacing w:val="-14"/>
        </w:rPr>
        <w:t xml:space="preserve"> </w:t>
      </w:r>
      <w:r>
        <w:t>regulated</w:t>
      </w:r>
      <w:r>
        <w:rPr>
          <w:spacing w:val="-14"/>
        </w:rPr>
        <w:t xml:space="preserve"> </w:t>
      </w:r>
      <w:r>
        <w:t>and</w:t>
      </w:r>
      <w:r>
        <w:rPr>
          <w:spacing w:val="-14"/>
        </w:rPr>
        <w:t xml:space="preserve"> </w:t>
      </w:r>
      <w:r>
        <w:t xml:space="preserve">deregulated </w:t>
      </w:r>
      <w:r>
        <w:rPr>
          <w:w w:val="95"/>
        </w:rPr>
        <w:t>private</w:t>
      </w:r>
      <w:r>
        <w:rPr>
          <w:spacing w:val="-5"/>
          <w:w w:val="95"/>
        </w:rPr>
        <w:t xml:space="preserve"> </w:t>
      </w:r>
      <w:r>
        <w:rPr>
          <w:w w:val="95"/>
        </w:rPr>
        <w:t>operators</w:t>
      </w:r>
      <w:r>
        <w:rPr>
          <w:spacing w:val="-5"/>
          <w:w w:val="95"/>
        </w:rPr>
        <w:t xml:space="preserve"> </w:t>
      </w:r>
      <w:r>
        <w:rPr>
          <w:w w:val="95"/>
        </w:rPr>
        <w:t>run</w:t>
      </w:r>
      <w:r>
        <w:rPr>
          <w:spacing w:val="-5"/>
          <w:w w:val="95"/>
        </w:rPr>
        <w:t xml:space="preserve"> </w:t>
      </w:r>
      <w:r>
        <w:rPr>
          <w:w w:val="95"/>
        </w:rPr>
        <w:t>bus</w:t>
      </w:r>
      <w:r>
        <w:rPr>
          <w:spacing w:val="-5"/>
          <w:w w:val="95"/>
        </w:rPr>
        <w:t xml:space="preserve"> </w:t>
      </w:r>
      <w:r>
        <w:rPr>
          <w:w w:val="95"/>
        </w:rPr>
        <w:t>and</w:t>
      </w:r>
      <w:r>
        <w:rPr>
          <w:spacing w:val="-5"/>
          <w:w w:val="95"/>
        </w:rPr>
        <w:t xml:space="preserve"> </w:t>
      </w:r>
      <w:r>
        <w:rPr>
          <w:w w:val="95"/>
        </w:rPr>
        <w:t>coach</w:t>
      </w:r>
      <w:r>
        <w:rPr>
          <w:spacing w:val="-5"/>
          <w:w w:val="95"/>
        </w:rPr>
        <w:t xml:space="preserve"> </w:t>
      </w:r>
      <w:r>
        <w:rPr>
          <w:w w:val="95"/>
        </w:rPr>
        <w:t>services</w:t>
      </w:r>
      <w:r>
        <w:rPr>
          <w:spacing w:val="-5"/>
          <w:w w:val="95"/>
        </w:rPr>
        <w:t xml:space="preserve"> </w:t>
      </w:r>
      <w:r>
        <w:rPr>
          <w:w w:val="95"/>
        </w:rPr>
        <w:t>in</w:t>
      </w:r>
      <w:r>
        <w:rPr>
          <w:spacing w:val="-5"/>
          <w:w w:val="95"/>
        </w:rPr>
        <w:t xml:space="preserve"> </w:t>
      </w:r>
      <w:r>
        <w:rPr>
          <w:w w:val="95"/>
        </w:rPr>
        <w:t xml:space="preserve">NSW. </w:t>
      </w:r>
      <w:r>
        <w:t>Community</w:t>
      </w:r>
      <w:r>
        <w:rPr>
          <w:spacing w:val="-14"/>
        </w:rPr>
        <w:t xml:space="preserve"> </w:t>
      </w:r>
      <w:r>
        <w:t>transport</w:t>
      </w:r>
      <w:r>
        <w:rPr>
          <w:spacing w:val="-14"/>
        </w:rPr>
        <w:t xml:space="preserve"> </w:t>
      </w:r>
      <w:r>
        <w:t>is</w:t>
      </w:r>
      <w:r>
        <w:rPr>
          <w:spacing w:val="-14"/>
        </w:rPr>
        <w:t xml:space="preserve"> </w:t>
      </w:r>
      <w:r>
        <w:t>also</w:t>
      </w:r>
      <w:r>
        <w:rPr>
          <w:spacing w:val="-14"/>
        </w:rPr>
        <w:t xml:space="preserve"> </w:t>
      </w:r>
      <w:r>
        <w:t>available,</w:t>
      </w:r>
      <w:r>
        <w:rPr>
          <w:spacing w:val="-14"/>
        </w:rPr>
        <w:t xml:space="preserve"> </w:t>
      </w:r>
      <w:r>
        <w:t>particularly</w:t>
      </w:r>
      <w:r>
        <w:rPr>
          <w:spacing w:val="-14"/>
        </w:rPr>
        <w:t xml:space="preserve"> </w:t>
      </w:r>
      <w:r>
        <w:t>in remote</w:t>
      </w:r>
      <w:r>
        <w:rPr>
          <w:spacing w:val="-11"/>
        </w:rPr>
        <w:t xml:space="preserve"> </w:t>
      </w:r>
      <w:r>
        <w:t>communities.</w:t>
      </w:r>
    </w:p>
    <w:p w:rsidR="002C1123" w:rsidRDefault="002C1123">
      <w:pPr>
        <w:spacing w:line="249" w:lineRule="auto"/>
        <w:sectPr w:rsidR="002C1123">
          <w:pgSz w:w="16840" w:h="11910" w:orient="landscape"/>
          <w:pgMar w:top="560" w:right="280" w:bottom="700" w:left="500" w:header="0" w:footer="517"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3"/>
        <w:rPr>
          <w:sz w:val="19"/>
        </w:rPr>
      </w:pPr>
    </w:p>
    <w:p w:rsidR="002C1123" w:rsidRDefault="002060EF">
      <w:pPr>
        <w:pStyle w:val="Heading6"/>
        <w:numPr>
          <w:ilvl w:val="2"/>
          <w:numId w:val="71"/>
        </w:numPr>
        <w:tabs>
          <w:tab w:val="left" w:pos="1087"/>
        </w:tabs>
      </w:pPr>
      <w:r>
        <w:pict>
          <v:group id="docshapegroup1732" o:spid="_x0000_s3246" style="position:absolute;left:0;text-align:left;margin-left:300.95pt;margin-top:7.65pt;width:491.35pt;height:411.05pt;z-index:251542528;mso-position-horizontal-relative:page" coordorigin="6019,153" coordsize="9827,8221">
            <v:rect id="docshape1733" o:spid="_x0000_s3355" style="position:absolute;left:6018;top:152;width:9827;height:8221" fillcolor="#c9c8c9" stroked="f"/>
            <v:shape id="docshape1734" o:spid="_x0000_s3354" style="position:absolute;left:6331;top:731;width:8842;height:6537" coordorigin="6332,731" coordsize="8842,6537" o:spt="100" adj="0,,0" path="m7296,5071r-3,-2l7289,5069r-1,2l7286,5071r1,2l7290,5073r1,-2l7296,5071xm11218,6246r,2l11218,6248r,-2xm11224,6282r-1,l11223,6284r1,l11224,6282xm11374,6644r,-2l11372,6642r-1,2l11374,6644xm12154,1115r-2,l12152,1117r2,l12154,1115xm12351,1033r-1,-2l12350,1033r1,xm12434,1049r-1,-2l12432,1047r,2l12434,1049xm12469,1049r,-2l12468,1047r,2l12469,1049xm12561,1053r-1,-2l12560,1053r1,xm12587,6880r,l12587,6882r,-2xm12590,6928r,l12590,6930r,-2xm12666,6626r-1,-1l12666,6626r,xm12725,6428r-1,l12724,6430r1,l12725,6428xm12725,6428r,2l12725,6430r,-2xm12731,6402r,l12731,6400r-1,l12730,6394r-1,-2l12729,6392r-1,-2l12729,6388r,l12729,6386r1,-2l12730,6384r,-2l12730,6382r,-2l12729,6380r-1,-4l12727,6376r-1,-2l12726,6370r1,l12727,6368r-3,l12722,6364r,-2l12720,6362r,-4l12720,6358r,-2l12720,6354r,l12720,6352r1,-2l12720,6350r,-2l12721,6346r-1,-2l12720,6342r1,l12720,6340r1,l12721,6338r2,l12722,6336r-2,l12720,6334r1,l12721,6332r-2,l12718,6330r-2,l12716,6328r-1,l12715,6326r,-4l12715,6322r,-2l12715,6318r,l12715,6316r,-4l12716,6310r,-2l12717,6304r,l12717,6302r1,-4l12719,6298r,-2l12719,6296r1,-2l12721,6292r,l12722,6290r1,l12724,6288r-1,l12723,6286r1,-2l12726,6284r1,-2l12723,6282r-1,-2l12721,6278r2,l12723,6276r-1,l12722,6274r-1,l12721,6272r-119,l12602,6768r-1,l12601,6767r,-1l12601,6766r,1l12602,6768r,-496l11227,6272r,24l11227,6298r-3,l11226,6296r-1,-2l11226,6294r,2l11227,6296r,-24l11221,6272r-4,l11216,6272r,2l11219,6274r,2l11215,6276r,2l11217,6278r,2l11219,6280r1,2l11222,6282r1,-2l11224,6280r1,2l11224,6282r1,2l11226,6284r,2l11226,6286r,2l11226,6288r1,2l11225,6290r1,2l11225,6292r-1,2l11224,6294r,2l11224,6298r1,2l11222,6300r1,2l11226,6302r,2l11227,6304r2,-2l11229,6304r-1,2l11229,6306r1,2l11231,6308r,2l11230,6312r-1,l11229,6314r5,l11235,6312r1,l11236,6314r2,-2l11239,6312r1,2l11241,6314r1,2l11244,6316r,-2l11248,6314r,4l11250,6318r1,-2l11252,6316r2,-2l11255,6316r-2,2l11254,6320r-1,l11254,6322r-1,2l11253,6324r-2,-2l11250,6322r-1,2l11249,6324r,2l11248,6326r-1,-2l11245,6324r1,2l11246,6328r1,2l11253,6330r,2l11249,6332r,2l11246,6334r-1,2l11247,6338r,2l11246,6340r-1,-2l11245,6338r-1,2l11244,6342r1,l11244,6344r2,l11246,6346r,l11246,6348r4,l11250,6350r1,l11251,6352r3,l11254,6354r,l11255,6356r1,-2l11256,6356r-1,2l11256,6358r1,4l11257,6362r-2,2l11256,6364r,2l11254,6366r,2l11252,6368r,2l11251,6370r-1,2l11247,6372r,2l11249,6374r,2l11251,6376r,4l11253,6380r,2l11253,6384r-1,2l11250,6386r-1,2l11249,6390r3,l11254,6392r,2l11253,6396r1,l11255,6398r1,l11256,6400r-2,l11254,6402r-2,l11252,6404r,l11253,6408r-1,l11252,6410r2,2l11255,6412r,2l11254,6412r-1,l11252,6414r1,l11253,6416r4,l11256,6418r,l11256,6420r1,l11257,6422r-1,l11255,6420r-2,l11253,6422r1,l11256,6426r1,l11259,6430r-4,l11254,6432r-1,2l11254,6436r6,l11261,6438r1,l11261,6440r3,l11266,6438r2,l11270,6440r,l11270,6442r-4,l11265,6444r,2l11266,6448r2,2l11267,6450r-1,2l11266,6454r,l11266,6456r-2,l11262,6460r1,l11262,6462r-1,l11262,6464r1,l11263,6466r-1,l11261,6464r-1,l11259,6466r-1,l11258,6468r-1,2l11256,6472r-1,2l11259,6474r1,-2l11261,6472r,2l11259,6474r-1,2l11257,6476r,2l11259,6478r,2l11256,6480r,2l11260,6482r1,2l11259,6486r-2,l11255,6488r,2l11262,6490r-1,2l11261,6494r2,2l11267,6496r2,2l11269,6500r,l11269,6502r-2,l11268,6504r1,2l11271,6508r9,l11281,6510r2,l11284,6512r1,l11284,6514r2,l11286,6518r3,l11290,6522r-1,2l11290,6526r,2l11289,6528r1,2l11290,6532r2,2l11295,6534r2,2l11306,6536r3,2l11310,6538r1,2l11315,6540r,2l11316,6542r-2,4l11315,6548r1,4l11315,6554r-1,l11316,6556r1,l11316,6558r,2l11313,6560r-1,2l11311,6562r,2l11314,6564r1,2l11316,6566r,2l11318,6568r,2l11318,6572r,l11319,6576r1,2l11321,6578r1,2l11323,6580r1,2l11325,6582r1,2l11326,6584r-1,2l11325,6586r-1,2l11324,6588r-1,2l11322,6590r,2l11322,6592r,2l11321,6594r-1,2l11319,6596r-1,2l11318,6598r-1,2l11315,6600r,2l11316,6604r2,2l11319,6608r2,l11321,6610r1,l11321,6612r8,l11333,6610r,-2l11335,6608r1,2l11337,6610r2,2l11340,6612r,2l11339,6614r,2l11342,6616r,2l11342,6618r,2l11341,6620r,2l11343,6622r1,-2l11344,6620r,-2l11348,6618r,2l11352,6620r1,2l11358,6622r3,-2l11362,6620r,2l11361,6622r,2l11362,6626r4,l11368,6628r3,l11371,6630r1,l11373,6632r1,l11375,6630r4,4l11381,6634r,2l11378,6636r,2l11379,6640r-3,l11374,6644r4,l11378,6646r,l11380,6648r-1,l11378,6650r5,l11382,6652r1,2l11382,6654r-1,2l11380,6656r-1,4l11377,6660r1,2l11379,6662r1,2l11377,6664r-1,2l11376,6666r,2l11376,6670r,2l11374,6672r-1,2l11371,6674r,2l11369,6676r,2l11370,6678r1,2l11368,6680r-1,2l11366,6682r,2l11367,6684r1,2l11366,6686r-2,2l11361,6688r,2l11361,6692r-3,2l11357,6694r1,2l11359,6696r-1,2l11359,6698r-1,2l11356,6700r-1,4l11354,6704r-1,2l11351,6706r-1,2l11348,6714r-1,2l11346,6716r-1,-2l11342,6714r,2l11341,6718r-2,l11337,6720r-5,l11332,6722r-2,l11329,6724r,l11329,6726r-1,l11326,6728r-4,l11321,6730r-1,l11322,6732r2,l11324,6734r-1,l11323,6736r-2,l11321,6738r1,l11321,6740r,2l11318,6742r,2l11313,6744r-1,2l11312,6748r4,l11314,6750r-1,l11313,6752r-3,l11308,6754r-1,l11307,6756r-1,l11306,6758r-2,2l11304,6760r-1,2l11302,6762r,2l11302,6766r-1,l11301,6768r-1,l11298,6766r-1,l11297,6768r,l11298,6770r3,l11301,6768r1,l11303,6770r,2l11304,6772r1,2l11306,6774r,2l11308,6776r,2l11311,6778r,2l11312,6780r2,-2l11314,6778r,-2l11316,6776r,2l11317,6778r,-2l11317,6776r,-2l11318,6774r1,-2l11321,6774r2,l11322,6772r11,l11332,6770r5,l11339,6768r,2l11339,6770r1,2l11341,6770r2,l11342,6772r3,l11346,6770r1,l11348,6772r2,l11351,6774r3,l11355,6776r1,2l11356,6780r1,l11359,6778r1,l11362,6776r1,-2l11369,6774r,2l11523,6838r2,l11765,6936r32,12l11798,6948r,2l11818,6956r10,6l11876,6980r,l11880,6982r2,l11899,6990r12,4l11912,6994r28,12l11946,7008r19,8l11996,7028r2,l11999,7030r2,l12004,7032r3,l12044,7048r24,8l12120,7078r7,2l12153,7090r123,50l12278,7140r33,12l12383,7182r19,6l12402,7188r145,56l12590,7260r5,2l12599,7264r12,4l12612,7268r,-2l12610,7266r-1,-2l12608,7264r1,-2l12611,7262r,-2l12610,7258r,l12610,7254r,-2l12610,7250r1,-2l12610,7244r-3,l12607,7242r,l12609,7238r1,l12611,7236r,l12611,7234r-1,l12610,7232r,l12610,7230r-1,l12609,7228r,-2l12609,7226r,-2l12607,7224r-1,2l12606,7224r-1,l12604,7222r1,l12603,7220r-1,l12601,7216r-1,l12600,7214r-1,l12597,7212r,-2l12597,7210r,-4l12596,7206r,-2l12596,7204r-1,-2l12595,7200r1,l12596,7198r,l12596,7196r,-2l12596,7194r,-2l12595,7192r,-4l12596,7188r,-2l12596,7186r,-2l12595,7184r,-2l12594,7182r,-2l12593,7178r,l12594,7172r1,-4l12595,7168r1,-2l12596,7164r1,l12597,7162r1,-2l12600,7158r2,-4l12602,7154r1,-2l12606,7152r1,-2l12607,7148r-1,l12606,7146r2,l12608,7144r,l12607,7142r,-2l12606,7140r,-2l12605,7138r,-2l12606,7136r,-2l12607,7132r-3,l12603,7130r,l12602,7128r-1,l12600,7126r-1,l12598,7124r-3,l12594,7122r,l12594,7120r,l12594,7118r-2,l12592,7116r-2,l12589,7114r,-6l12591,7106r1,-2l12592,7102r1,l12602,7092r3,l12605,7090r1,l12607,7088r2,l12610,7086r4,l12615,7084r6,l12622,7086r,l12623,7088r4,l12627,7090r1,-2l12628,7090r4,l12633,7092r,-2l12633,7090r1,2l12635,7090r,2l12636,7094r4,l12641,7096r5,l12646,7098r1,l12647,7096r1,2l12648,7096r7,l12655,7098r1,l12656,7096r1,l12658,7098r2,l12661,7100r3,l12664,7098r-2,l12662,7096r-1,l12661,7094r-2,l12659,7092r-2,l12657,7090r-1,l12656,7088r-3,l12653,7086r-1,l12652,7084r-1,l12651,7082r-1,l12650,7084r,-2l12650,7080r-1,l12649,7078r-1,l12648,7076r1,l12649,7074r-1,l12647,7072r,l12646,7070r-3,l12642,7068r,l12642,7066r-1,l12641,7064r1,l12643,7066r1,l12644,7064r-1,l12643,7062r,l12643,7060r-1,l12642,7058r-2,l12640,7066r,2l12640,7066r-1,2l12638,7068r,-2l12640,7066r,l12640,7058r,-2l12640,7058r-2,l12639,7056r1,l12640,7054r1,l12641,7052r-1,l12641,7050r1,l12642,7048r,l12642,7046r,l12642,7044r-5,l12637,7066r-1,l12636,7064r1,l12637,7066r,-22l12637,7042r-1,l12636,7040r,l12635,7038r-1,l12634,7036r-3,l12629,7034r1,-2l12629,7030r5,l12634,7028r-1,l12633,7026r-1,l12632,7022r1,l12632,7018r-1,l12630,7016r-2,l12628,7014r-1,l12627,7016r-1,-2l12624,7014r-1,-2l12622,7012r,2l12619,7014r-1,-2l12617,7012r-1,-2l12615,7010r-1,-2l12611,7008r,-2l12610,7006r,-2l12609,7004r,2l12607,7006r-1,-2l12606,7004r,-2l12607,7002r,-2l12608,7000r,-2l12604,6998r,-2l12602,6996r,2l12601,6998r,-2l12599,6996r,-2l12598,6994r,-2l12594,6992r,-2l12595,6990r,-4l12595,6986r-1,2l12589,6988r-1,2l12587,6990r,-2l12586,6988r,-2l12585,6986r,-2l12584,6984r-1,2l12578,6986r-1,2l12578,6988r,2l12579,6990r,2l12578,6992r,2l12572,6994r,-2l12571,6992r,2l12570,6994r,-2l12569,6992r,2l12568,6994r-1,-2l12567,6994r-4,l12562,6992r-3,l12557,6988r-2,l12555,6986r-1,l12554,6984r-1,l12551,6986r-1,l12550,6988r-7,l12542,6986r-1,l12539,6982r-1,-2l12539,6980r,-2l12539,6978r,-4l12541,6974r1,-4l12551,6970r,-2l12555,6968r,-2l12558,6966r1,-2l12560,6964r,2l12565,6966r-1,2l12565,6968r1,2l12566,6970r1,-2l12567,6968r,2l12568,6970r,-2l12570,6968r,-2l12567,6966r,-2l12566,6964r,2l12565,6966r,-2l12566,6964r1,-2l12565,6962r,-2l12564,6960r1,-2l12566,6956r1,l12569,6952r1,l12571,6950r1,l12573,6948r3,l12576,6950r4,l12581,6952r1,-2l12583,6950r1,2l12585,6952r1,2l12587,6954r,2l12588,6956r1,-2l12589,6950r-1,l12588,6948r-1,l12587,6946r2,l12589,6944r-4,l12585,6942r1,l12586,6940r1,l12587,6938r-1,l12587,6936r-1,l12587,6934r1,l12588,6932r1,l12589,6930r-1,l12588,6928r-3,l12585,6926r-1,l12584,6924r1,l12584,6922r-5,l12579,6920r-2,-2l12577,6914r-1,-2l12577,6906r,-2l12578,6898r,-2l12580,6892r,-2l12582,6886r3,-4l12586,6882r1,-2l12584,6880r-1,-2l12580,6878r,-2l12574,6876r,2l12568,6878r-1,-2l12565,6876r,-2l12564,6874r-3,-6l12561,6866r-1,-4l12560,6860r2,-8l12563,6852r1,-2l12565,6850r,-2l12566,6846r1,l12568,6844r2,l12571,6842r1,l12574,6844r3,l12577,6846r2,l12579,6848r5,l12584,6846r-3,l12580,6844r-1,l12579,6842r,-2l12579,6838r2,l12581,6836r2,-2l12579,6834r,-2l12579,6828r,l12580,6826r,l12581,6822r1,-2l12583,6820r,-2l12584,6818r,-2l12586,6816r1,-2l12589,6814r,2l12593,6816r,-2l12589,6814r1,-2l12586,6812r,-2l12585,6810r1,-2l12582,6808r,-2l12582,6804r-1,l12582,6798r2,-4l12585,6792r3,l12587,6790r-2,l12585,6788r1,-4l12588,6780r1,-2l12590,6776r1,l12594,6772r1,-2l12597,6770r,-2l12599,6768r,2l12602,6770r,-2l12604,6768r1,-2l12606,6766r,-2l12608,6762r,l12609,6760r-1,-2l12610,6758r-1,-2l12611,6756r1,-4l12613,6752r,-2l12614,6750r,-2l12614,6746r1,l12615,6744r1,l12616,6742r-1,l12616,6740r,l12616,6738r-1,l12615,6736r2,l12616,6734r,l12616,6732r2,l12617,6730r2,l12619,6728r2,l12621,6724r1,l12621,6722r,l12620,6724r-6,l12614,6722r-1,l12613,6720r,l12613,6716r,-2l12614,6712r,l12614,6710r1,-2l12617,6708r2,-2l12619,6706r1,-2l12622,6704r,-2l12624,6702r,-2l12624,6700r-1,-2l12623,6696r4,l12627,6694r,l12626,6692r,2l12625,6692r-1,l12624,6690r,l12625,6688r1,-2l12626,6684r1,l12627,6682r1,l12628,6680r1,l12629,6678r1,l12630,6676r2,l12632,6674r1,l12634,6672r-1,l12634,6670r1,l12636,6668r3,l12639,6664r,-2l12640,6660r1,l12641,6658r,l12643,6654r1,l12645,6652r1,l12647,6650r1,l12648,6648r,l12648,6646r1,l12649,6644r1,-2l12652,6642r,-2l12653,6640r1,-2l12654,6638r,-2l12655,6636r1,-2l12657,6634r,-2l12659,6632r,-2l12658,6630r1,-2l12660,6626r3,l12664,6624r1,l12665,6625r,-1l12667,6624r,-2l12668,6622r-1,-4l12666,6618r,-2l12667,6616r1,-2l12668,6612r2,-2l12670,6610r1,-4l12672,6606r1,-2l12675,6604r,-2l12674,6600r-1,-2l12668,6598r,-2l12667,6596r-1,-2l12666,6588r1,l12667,6586r1,l12668,6584r2,l12670,6582r,-2l12670,6580r-1,-2l12670,6578r-1,-2l12670,6574r-1,l12669,6572r2,l12671,6570r-1,l12670,6568r,l12669,6570r-1,-2l12667,6568r,-2l12668,6568r1,-2l12670,6566r,-2l12667,6564r-1,-4l12666,6558r1,l12667,6556r,-4l12669,6548r1,l12672,6544r1,-2l12675,6542r,-2l12677,6540r1,-2l12678,6540r1,-2l12679,6536r-1,l12678,6534r1,-2l12678,6532r,-2l12679,6530r,-2l12678,6528r1,-2l12681,6526r-1,-2l12681,6522r1,-2l12685,6520r,-2l12687,6518r,-2l12686,6516r,-2l12686,6514r,-2l12684,6512r-1,2l12680,6514r,-2l12676,6512r-1,-2l12675,6510r,-2l12674,6508r,-2l12674,6506r,-4l12674,6498r2,-6l12676,6492r,-2l12677,6490r1,-2l12679,6486r,l12681,6482r2,l12684,6480r,-2l12685,6478r1,-2l12683,6476r,-2l12684,6474r1,-2l12687,6468r1,l12689,6466r1,l12691,6464r,-2l12694,6460r1,-2l12696,6458r1,-2l12698,6456r2,-2l12700,6452r2,l12703,6450r1,l12706,6448r3,l12709,6446r-1,l12709,6444r2,l12712,6442r2,l12715,6440r1,l12716,6442r,l12716,6440r1,l12718,6438r2,l12720,6436r2,l12723,6434r,-2l12724,6432r-1,-4l12722,6428r,-2l12722,6426r,-2l12721,6424r,-2l12721,6420r-2,l12720,6416r1,-2l12722,6414r,-2l12723,6412r1,-2l12724,6410r1,-2l12727,6408r,-2l12728,6406r1,-2l12731,6404r,-2xm12743,6224r-1,2l12742,6226r1,-2xm12789,6078r,l12789,6080r,l12789,6078xm12790,6078r,l12790,6080r,-2xm12791,6074r-1,l12790,6076r1,-2xm12792,6078r-2,l12791,6080r1,l12792,6078xm12792,6070r,-2l11996,6068r2,2l11998,6072r,l11997,6074r-1,l11996,6076r2,2l11999,6078r,2l11998,6080r,2l11997,6082r1,2l11998,6086r,2l11995,6088r,2l11995,6090r-1,2l11993,6094r1,2l11994,6098r,l11994,6100r-1,l11992,6102r1,l11993,6104r2,l11994,6106r1,l11995,6108r-1,2l11993,6108r,2l11988,6110r,2l11987,6112r,2l11986,6114r-2,4l11982,6118r-1,2l11980,6122r-1,l11977,6126r-2,l11975,6128r-2,l11973,6130r-1,2l11971,6132r,2l11972,6136r-1,l11970,6138r1,2l11971,6142r-2,l11969,6144r-2,l11966,6146r-1,l11965,6148r-1,l11965,6150r1,l11968,6152r-1,l11967,6154r,l11967,6156r-1,l11965,6158r-1,l11964,6160r-5,l11959,6158r-1,l11957,6156r-4,l11952,6154r-4,l11947,6156r-1,-2l11945,6152r,l11944,6150r-2,l11940,6148r-1,l11938,6146r-2,l11934,6148r-8,l11926,6146r1,-2l11919,6144r-1,-2l11913,6142r-2,-2l11909,6142r-4,l11905,6144r-6,l11900,6142r-1,l11899,6140r-2,l11896,6138r-2,l11894,6136r-1,l11891,6134r-1,l11887,6132r-2,-4l11881,6128r,-2l11879,6124r-2,l11877,6122r-1,l11875,6120r-2,l11872,6118r,l11872,6116r-5,l11866,6114r-2,l11864,6112r,l11863,6110r1,l11863,6108r-2,l11861,6106r,l11862,6104r-1,l11861,6102r-1,l11860,6100r2,l11863,6098r-1,-2l11861,6094r-5,l11856,6092r,-4l11853,6088r-1,-2l11850,6084r-1,l11851,6082r,-2l11852,6078r-782,l11070,6188r-1,2l11069,6188r1,l11070,6078r-1564,l9504,6080r1,2l9509,6082r1,2l9507,6088r-1,2l9506,6090r1,2l9510,6092r1,-4l9512,6086r12,l9525,6088r-3,l9521,6090r-1,l9522,6092r,2l9521,6094r,2l9523,6096r2,-2l9527,6094r1,2l9525,6100r3,l9529,6102r3,l9533,6104r3,4l9537,6110r9,l9546,6112r,4l9544,6116r-2,2l9541,6118r,2l9545,6120r1,-2l9547,6118r2,2l9549,6120r-1,2l9547,6124r,2l9548,6126r1,2l9550,6128r2,2l9553,6128r-1,l9551,6126r,-2l9553,6124r2,2l9556,6126r2,-2l9558,6124r1,-2l9563,6122r2,-2l9568,6120r2,2l9570,6122r,2l9564,6124r-3,4l9562,6130r1,l9564,6128r5,l9570,6130r-2,l9567,6132r-2,l9564,6134r1,2l9566,6136r2,-2l9569,6132r2,l9572,6136r,2l9576,6138r1,2l9577,6142r7,l9585,6146r5,l9591,6148r1,4l9593,6152r,2l9594,6156r2,l9597,6154r1,l9598,6156r1,l9598,6160r2,l9603,6158r3,l9606,6160r-2,2l9602,6162r-1,2l9604,6164r2,2l9607,6166r1,2l9611,6168r,-2l9610,6164r1,-2l9615,6162r1,-2l9618,6160r1,2l9621,6162r1,2l9622,6165r-2,l9620,6165r-1,-1l9617,6164r,2l9618,6166r-1,5l9619,6172r5,-4l9625,6168r2,2l9630,6172r2,-1l9633,6170r2,l9635,6171r,1l9636,6174r2,1l9639,6178r-1,1l9635,6177r-2,l9631,6179r,1l9633,6181r1,l9636,6183r2,l9639,6182r2,-1l9644,6182r1,2l9645,6184r-1,1l9643,6185r-2,1l9642,6187r,l9643,6188r1,l9645,6187r2,l9650,6187r1,l9651,6188r-1,1l9651,6190r2,l9657,6189r3,-3l9661,6186r1,1l9664,6189r1,3l9665,6192r1,l9667,6191r,-1l9669,6190r3,-1l9673,6188r2,l9677,6190r,1l9675,6193r,1l9674,6196r,l9679,6196r1,2l9681,6198r1,l9684,6196r1,1l9685,6199r,3l9685,6203r1,1l9689,6204r2,l9693,6204r2,l9696,6205r-1,2l9695,6209r2,1l9700,6210r1,-2l9701,6207r-1,l9700,6206r-1,l9699,6205r,l9699,6205r,l9699,6204r2,-1l9702,6203r3,2l9707,6205r3,-2l9710,6202r-2,l9706,6201r,l9708,6199r1,l9711,6199r1,1l9714,6199r2,1l9715,6203r1,1l9721,6204r2,-1l9723,6201r-3,-3l9720,6198r1,-1l9723,6197r3,2l9728,6199r3,-1l9731,6196r-2,l9728,6196r-5,-2l9723,6193r4,-1l9726,6188r2,-1l9730,6187r1,1l9732,6188r2,-1l9737,6186r1,-1l9741,6184r2,l9744,6185r1,1l9746,6186r,l9748,6186r1,-2l9750,6184r2,2l9753,6184r2,-1l9759,6183r1,-1l9762,6182r5,2l9767,6185r-1,1l9764,6188r-2,l9761,6189r-1,1l9761,6192r1,2l9762,6191r1,-1l9765,6190r1,2l9767,6192r2,2l9770,6194r-1,-3l9770,6190r1,l9772,6191r2,l9775,6190r3,1l9780,6192r,1l9778,6194r,1l9778,6197r1,l9780,6196r1,l9782,6197r1,l9784,6196r,-2l9785,6194r1,l9788,6192r1,l9789,6192r1,2l9793,6195r1,1l9796,6199r,2l9793,6201r-1,1l9793,6205r,l9794,6204r2,-1l9796,6204r1,1l9797,6210r,l9799,6210r2,2l9802,6213r3,l9806,6213r,1l9805,6215r,l9801,6219r,2l9803,6222r1,l9807,6220r2,-1l9812,6221r-3,2l9808,6225r2,2l9811,6226r1,-3l9814,6222r1,l9817,6224r4,1l9826,6223r3,-1l9829,6222r2,-1l9831,6221r4,-5l9839,6214r6,-4l9849,6208r5,l9861,6209r6,2l9883,6218r6,1l9898,6219r11,-1l9910,6220r-2,3l9906,6224r-1,2l9906,6226r1,l9913,6228r1,l9915,6228r,-2l9916,6225r1,-2l9917,6223r2,-1l9920,6221r1,-1l9921,6219r,-1l9924,6217r2,1l9927,6219r1,3l9928,6223r,l9926,6223r-3,l9922,6224r,l9923,6226r-1,2l9922,6229r1,l9926,6228r1,l9929,6227r1,-1l9931,6225r1,l9933,6226r-1,2l9932,6229r1,2l9935,6232r1,1l9937,6233r2,-2l9941,6231r1,1l9943,6232r5,-1l9949,6229r2,l9952,6230r1,3l9955,6237r-1,2l9955,6239r1,l9957,6240r,1l9956,6241r-1,l9954,6242r,l9956,6243r3,2l9960,6245r1,-1l9963,6241r2,-1l9966,6239r1,-2l9968,6235r2,l9971,6235r2,1l9973,6236r-1,l9971,6236r-1,l9968,6237r1,l9969,6238r1,1l9970,6239r-1,2l9969,6242r4,1l9973,6242r,-1l9975,6239r2,-3l9979,6236r2,3l9981,6239r-1,1l9979,6240r-1,l9977,6241r,2l9978,6243r1,-2l9980,6241r1,l9984,6241r,-2l9983,6238r1,-1l9985,6237r3,-1l9990,6236r,3l9990,6239r1,l9991,6239r1,-3l9994,6235r3,l9998,6236r2,l10000,6234r-2,-1l9998,6232r4,1l10004,6233r1,-1l10004,6231r-2,l10000,6230r,-2l10001,6228r1,l10004,6228r1,1l10005,6229r1,-1l10006,6227r3,-2l10009,6224r1,l10010,6226r2,1l10013,6228r-1,2l10013,6231r2,-1l10017,6230r,1l10017,6233r1,1l10020,6234r2,-1l10023,6233r1,-1l10024,6231r-2,l10021,6231r,-1l10023,6228r,-1l10022,6225r1,-1l10028,6224r,l10025,6225r,1l10025,6227r1,l10027,6227r1,-1l10029,6226r1,l10032,6227r,1l10032,6229r2,1l10033,6231r-3,l10028,6232r-1,1l10027,6234r2,1l10034,6233r,l10034,6235r1,2l10034,6237r-2,l10032,6237r-1,l10030,6237r,2l10031,6240r2,l10034,6241r-1,l10033,6242r-2,-1l10029,6242r-1,1l10028,6244r,1l10028,6245r1,l10030,6244r2,-1l10033,6243r1,l10033,6246r2,2l10038,6249r1,l10041,6248r,-1l10040,6247r-1,l10038,6247r-1,l10038,6246r-1,-2l10039,6242r1,-1l10041,6242r-1,2l10041,6246r2,l10044,6246r-1,-2l10044,6243r1,l10046,6244r1,2l10048,6247r1,1l10050,6247r,-4l10050,6243r1,l10052,6244r1,1l10056,6245r2,1l10060,6246r,-2l10061,6243r,-2l10060,6241r-3,l10057,6240r,-1l10058,6238r1,-1l10060,6236r1,-2l10062,6234r1,1l10064,6235r1,-1l10068,6234r1,1l10072,6236r1,4l10073,6243r2,2l10078,6244r2,l10083,6246r2,3l10087,6251r1,l10090,6249r5,-2l10095,6247r,-1l10092,6244r,-1l10093,6242r1,l10097,6243r1,l10099,6243r2,-2l10099,6239r-2,-1l10095,6236r,-2l10094,6233r,-2l10096,6224r4,-3l10104,6220r1,1l10107,6221r,l10108,6221r1,-2l10109,6218r-1,-2l10108,6215r,-2l10112,6208r1,-1l10115,6207r5,-2l10120,6204r-2,-1l10118,6203r,-1l10119,6202r1,-1l10119,6199r1,-1l10121,6199r,1l10122,6201r2,-1l10124,6200r-2,-2l10123,6197r2,1l10126,6198r1,-1l10127,6197r-2,-3l10124,6193r1,-1l10127,6191r1,-1l10130,6192r5,l10137,6193r,1l10137,6198r1,1l10140,6199r2,-2l10142,6194r,-2l10144,6191r1,l10147,6189r1,l10148,6190r1,2l10150,6192r1,-1l10153,6191r1,2l10154,6193r-1,1l10153,6195r3,2l10159,6199r,1l10156,6201r,1l10156,6204r1,1l10158,6205r,-2l10158,6202r1,l10160,6204r1,l10163,6203r1,1l10164,6205r1,l10167,6205r2,l10170,6205r1,1l10171,6208r3,2l10181,6209r1,-2l10182,6206r-1,-2l10177,6207r-1,-1l10174,6206r,l10174,6205r2,-1l10177,6203r1,l10179,6202r1,-1l10179,6200r-2,-1l10177,6197r1,-1l10177,6193r1,-1l10180,6191r,-5l10181,6186r5,3l10188,6191r1,l10190,6190r2,-2l10193,6188r2,2l10195,6191r-1,2l10194,6194r,1l10196,6195r2,l10200,6197r3,2l10202,6203r,2l10204,6205r1,-2l10206,6203r1,1l10207,6205r3,2l10211,6208r2,1l10214,6210r1,l10218,6209r,-1l10218,6207r-1,l10216,6208r-1,l10214,6206r1,-1l10217,6206r1,-1l10218,6204r-2,-2l10216,6201r1,l10220,6201r1,-1l10221,6199r-1,-3l10221,6196r1,-1l10223,6194r1,l10225,6195r,l10226,6196r-3,1l10223,6199r1,l10226,6198r1,l10228,6199r,2l10228,6201r2,l10234,6201r1,2l10238,6204r2,l10240,6203r,-1l10238,6200r,-2l10240,6198r2,-1l10246,6198r3,-3l10249,6195r1,4l10251,6199r,-1l10252,6197r1,l10254,6198r1,l10257,6196r5,2l10262,6199r-1,1l10260,6200r-3,1l10257,6202r1,1l10260,6202r1,1l10260,6204r,l10255,6206r,1l10255,6208r2,1l10258,6209r1,l10259,6211r,2l10260,6214r1,-2l10262,6211r1,l10265,6212r,2l10264,6214r,2l10265,6216r1,-1l10266,6215r1,-2l10268,6213r,2l10269,6216r2,l10271,6216r2,l10273,6216r,1l10271,6218r,1l10272,6219r2,l10276,6221r2,2l10278,6222r1,l10279,6222r-1,-2l10278,6219r,l10279,6219r1,2l10282,6222r1,-1l10284,6221r1,l10285,6222r-1,1l10284,6225r1,1l10290,6226r,1l10289,6229r-1,l10287,6228r-1,l10284,6229r,1l10286,6231r2,l10289,6231r1,l10290,6232r-2,2l10288,6234r5,l10293,6235r,1l10294,6236r2,l10296,6236r1,l10298,6235r-1,l10297,6234r-1,l10295,6232r,-3l10295,6229r1,l10297,6228r,l10298,6229r,l10297,6230r,2l10299,6234r1,l10300,6232r1,-1l10305,6231r1,1l10307,6234r-1,1l10304,6235r-2,1l10302,6237r3,-1l10307,6236r,1l10307,6237r-2,2l10305,6240r2,3l10310,6244r1,l10312,6244r,-1l10314,6241r1,-1l10315,6239r-1,l10313,6239r,l10311,6238r1,-1l10313,6238r3,-1l10317,6238r,1l10318,6239r2,l10322,6240r1,1l10325,6240r1,l10326,6239r-1,l10325,6238r-1,l10324,6236r3,l10329,6236r1,-1l10330,6234r2,1l10333,6236r2,l10336,6235r2,-1l10339,6233r1,-1l10341,6232r1,1l10342,6234r-1,1l10340,6235r-1,2l10340,6237r2,l10342,6238r,2l10344,6241r,l10343,6242r-1,l10341,6244r,3l10341,6248r2,l10344,6249r1,l10346,6248r1,-1l10349,6249r1,l10352,6248r,-2l10354,6245r2,l10357,6246r-2,2l10355,6249r-1,1l10355,6251r-1,1l10353,6253r-1,2l10352,6256r,1l10353,6258r1,l10354,6259r2,l10357,6258r,-1l10357,6256r-1,-1l10356,6255r,-1l10357,6254r1,1l10359,6255r1,l10360,6254r-2,-1l10358,6252r1,l10360,6252r2,l10362,6252r1,l10363,6253r,1l10361,6255r,1l10361,6256r3,1l10365,6257r-1,-2l10365,6255r,l10366,6254r,1l10367,6256r,1l10368,6257r1,-1l10372,6257r2,1l10375,6260r1,1l10377,6260r,l10375,6259r,-1l10376,6258r1,l10378,6257r3,l10381,6258r,1l10380,6260r,1l10381,6260r3,l10385,6261r2,l10388,6260r,l10387,6259r-3,l10385,6257r1,-1l10386,6256r1,l10388,6257r2,l10391,6254r1,l10392,6256r,l10392,6256r2,2l10399,6260r1,1l10398,6262r,1l10399,6263r1,l10401,6263r1,1l10402,6264r-1,1l10400,6265r-1,l10400,6268r1,l10404,6266r1,-2l10407,6265r,1l10407,6267r-1,1l10406,6269r,l10408,6269r,1l10408,6271r-4,3l10404,6275r1,2l10407,6278r1,-1l10410,6276r2,l10414,6273r2,l10417,6274r1,1l10420,6275r2,1l10423,6276r1,-1l10425,6274r3,1l10431,6274r,-2l10431,6271r-2,l10428,6270r1,-1l10431,6267r1,l10432,6269r-1,l10431,6270r2,1l10434,6270r1,l10435,6270r-2,-3l10434,6267r2,l10437,6267r3,l10440,6268r1,l10441,6269r,1l10443,6272r,2l10443,6275r1,l10446,6277r1,l10448,6277r,-1l10450,6277r2,l10455,6276r2,l10458,6275r1,-1l10463,6274r1,2l10464,6276r-2,l10461,6277r,1l10463,6278r,1l10463,6280r-1,4l10462,6285r2,l10465,6285r,2l10466,6288r1,l10468,6289r,1l10467,6291r-2,-1l10464,6291r,1l10465,6294r2,l10470,6294r1,-1l10471,6292r,-1l10472,6291r1,1l10475,6292r1,-1l10476,6289r-2,-2l10474,6286r2,-2l10477,6284r1,l10480,6285r,1l10479,6288r,2l10482,6292r2,2l10487,6295r1,1l10489,6297r2,-1l10492,6295r3,-2l10495,6292r-2,-2l10492,6288r2,-2l10495,6286r,-1l10494,6281r1,l10496,6280r3,1l10499,6280r1,l10500,6280r-1,-1l10498,6279r-1,l10497,6278r2,-1l10500,6275r,-1l10499,6273r-1,-2l10498,6271r,-1l10499,6270r2,1l10501,6272r1,1l10502,6273r1,-1l10504,6272r1,2l10505,6274r2,l10508,6273r2,l10510,6274r1,l10511,6274r1,1l10513,6275r,3l10514,6281r2,1l10517,6282r1,-1l10520,6278r2,-2l10524,6276r4,1l10530,6276r1,-2l10534,6274r1,1l10535,6276r-1,1l10533,6277r1,1l10535,6278r2,-1l10538,6277r3,1l10541,6280r-2,2l10538,6283r2,3l10539,6288r,1l10540,6290r1,l10541,6289r,-3l10542,6285r1,l10544,6285r3,2l10547,6289r3,2l10552,6294r,1l10553,6296r2,-1l10564,6287r6,-8l10572,6275r1,-8l10576,6262r11,-12l10592,6246r3,-4l10595,6238r-1,-4l10595,6231r2,-5l10601,6223r3,-3l10607,6219r3,-1l10613,6218r3,l10618,6220r1,4l10621,6230r8,8l10632,6240r7,l10650,6240r5,l10660,6242r6,4l10671,6250r5,l10680,6250r9,-3l10694,6245r4,l10710,6245r5,-1l10720,6244r7,l10732,6246r5,2l10740,6250r5,7l10749,6258r6,-2l10758,6255r2,-1l10763,6250r9,-13l10773,6233r,-4l10772,6226r1,-2l10777,6221r,-2l10776,6217r,-2l10779,6209r2,-3l10788,6202r5,-4l10799,6196r3,-3l10802,6189r2,-8l10810,6178r19,3l10841,6185r4,l10847,6184r,-2l10848,6181r1,-1l10851,6178r1,-1l10854,6177r1,l10859,6176r2,l10862,6176r1,-1l10864,6175r1,1l10865,6177r3,3l10870,6180r3,-4l10875,6176r3,2l10879,6180r,1l10880,6181r1,1l10883,6183r1,2l10884,6187r3,2l10887,6190r1,l10888,6189r1,-2l10890,6187r4,2l10895,6189r1,1l10897,6192r-2,l10894,6192r,l10893,6192r,l10893,6192r,1l10893,6193r,2l10892,6196r-1,l10890,6198r,2l10892,6201r1,1l10892,6204r1,2l10894,6207r1,l10896,6206r1,l10898,6207r2,1l10900,6209r2,1l10904,6211r,l10905,6212r2,1l10909,6214r2,l10912,6215r,1l10913,6218r1,1l10917,6218r2,-2l10922,6215r1,-2l10925,6212r1,-2l10928,6209r2,l10935,6207r2,-1l10937,6205r-1,-4l10936,6201r-11,l10925,6201r-1,l10922,6198r-2,-1l10919,6197r-3,2l10912,6201r,l10911,6200r1,-2l10914,6197r1,-2l10912,6194r,-2l10913,6191r1,l10916,6193r3,l10921,6194r1,l10923,6195r2,l10927,6194r2,l10930,6195r,1l10929,6196r,1l10930,6197r,1l10930,6198r,l10933,6198r,l10934,6198r,-2l10933,6196r-1,-1l10933,6195r1,-1l10937,6193r3,2l10945,6195r1,l10946,6196r,l10946,6196r1,l10947,6197r,l10947,6198r-1,1l10946,6199r3,2l10950,6201r13,-8l10965,6193r2,-2l10968,6191r1,l10971,6191r1,-1l10973,6190r2,-1l10976,6188r,-2l10978,6183r,-3l10981,6178r4,-1l10990,6176r4,l10995,6176r5,l11001,6177r4,l11006,6176r,-1l11009,6173r2,-1l11011,6172r4,-1l11020,6168r,l11022,6166r4,l11027,6168r1,2l11029,6172r2,2l11031,6174r-1,2l11031,6178r2,l11034,6180r6,l11043,6182r1,2l11047,6186r10,l11058,6184r1,l11061,6186r1,l11063,6188r4,l11066,6190r-1,l11066,6192r4,l11072,6194r2,l11074,6192r3,l11079,6194r2,l11082,6192r1,l11086,6190r2,2l11094,6192r2,2l11097,6194r1,2l11100,6196r,2l11099,6198r-1,2l11099,6200r1,2l11113,6202r3,2l11117,6204r,-2l11118,6202r,2l11124,6204r,2l11123,6206r,2l11132,6208r,2l11136,6210r1,2l11138,6212r1,-2l11140,6210r1,2l11142,6212r3,2l11146,6214r,2l11146,6218r3,l11149,6216r-1,l11149,6214r2,l11152,6216r2,-2l11155,6216r3,l11158,6212r1,l11160,6210r2,4l11166,6214r1,-2l11168,6214r,l11168,6216r-3,l11165,6218r4,l11169,6220r1,l11169,6222r1,2l11171,6224r-1,2l11169,6226r-1,4l11168,6230r-1,2l11169,6232r,2l11167,6234r2,2l11175,6236r2,2l11179,6240r1,l11181,6242r-3,l11178,6244r-3,l11175,6246r2,l11178,6248r3,l11182,6250r1,l11185,6248r-1,-2l11188,6246r2,2l11193,6248r1,-2l11195,6248r1,-2l11197,6246r3,-2l11201,6246r-3,l11200,6248r2,l11204,6250r,l11205,6248r,-2l11208,6246r2,-2l11211,6244r-1,2l11211,6246r-1,2l11211,6250r1,-2l11214,6248r1,-4l11216,6244r,2l11216,6246r,2l11216,6248r1,-2l11218,6246r2,l11220,6248r,l11219,6252r1,l11220,6250r1,l11222,6252r1,2l11223,6252r-1,l11223,6250r3,l11227,6248r2,l11229,6250r-2,l11227,6252r,2l11227,6256r1,2l11227,6258r,2l11223,6260r-1,4l11221,6264r,2l11222,6266r,2l11223,6268r,2l12721,6270r,-2l12722,6266r,-2l12722,6264r1,-2l12724,6262r1,-2l12726,6260r,2l12727,6262r,-2l12726,6260r1,-2l12727,6258r,-2l12729,6256r-2,-2l12727,6252r,l12727,6250r,-2l12728,6248r2,-8l12732,6238r,-2l12733,6236r,-2l12734,6234r1,-2l12737,6230r,l12737,6228r2,l12739,6226r2,l12740,6224r-2,l12738,6222r,-2l12738,6218r1,l12739,6216r,l12739,6214r2,l12742,6212r-2,l12740,6210r-2,l12737,6212r-1,l12735,6208r,-2l12734,6202r,-2l12735,6200r-1,-2l12737,6188r1,l12739,6186r1,l12742,6184r,-2l12740,6182r-1,2l12738,6184r-2,-4l12736,6176r1,-2l12738,6174r,-2l12740,6170r,-2l12739,6168r-1,-4l12737,6160r,-2l12738,6156r1,-2l12739,6154r2,-2l12735,6152r-1,-2l12733,6150r-1,-4l12733,6140r,-2l12736,6132r1,-2l12738,6128r3,-4l12742,6124r4,-4l12747,6120r1,-2l12751,6118r1,2l12754,6120r,-2l12759,6118r1,2l12760,6120r1,-2l12762,6118r,-2l12762,6116r-1,-2l12760,6114r,2l12759,6114r-1,2l12754,6116r-1,-2l12752,6110r1,-4l12756,6106r,-2l12760,6104r,-2l12757,6102r1,-2l12758,6100r2,-2l12761,6100r1,l12761,6098r3,l12765,6096r5,l12771,6098r-1,l12770,6100r1,l12771,6098r2,l12774,6102r1,l12775,6100r,l12775,6098r3,l12779,6100r,-2l12781,6098r,2l12782,6100r,-2l12784,6098r,2l12784,6098r1,l12785,6100r1,l12786,6098r1,l12787,6100r2,l12789,6102r3,l12791,6100r-1,l12790,6098r-1,l12789,6096r-4,l12785,6094r2,l12787,6092r-2,l12785,6090r4,l12788,6088r-1,l12786,6086r,-2l12785,6082r2,l12788,6080r-2,l12787,6078r,l12788,6080r,l12788,6078r1,l12789,6076r,l12790,6074r-1,-2l12789,6070r3,xm12842,5987r-2,l12841,5989r1,l12842,5987xm12869,5941r-2,-2l12868,5941r1,xm12902,5897r-2,l12901,5899r1,l12902,5897xm12910,5839r-1,-2l12909,5837r,2l12910,5839xm12918,5829r-1,-2l12917,5827r,2l12918,5829xm13008,5691r-1,l13007,5693r1,-2xm13163,5607r-1,-2l13156,5605r,-2l13156,5603r-1,2l13153,5605r,2l13152,5609r-1,l13150,5611r,l13149,5613r-12,l13137,5611r-1,l13135,5613r-2,l13132,5611r-3,l13128,5609r-1,-2l13126,5607r-2,-2l13043,5605r,38l13043,5645r-1,l13042,5647r-1,l13041,5645r,l13041,5643r2,l13043,5605r-1026,l12018,5607r7,l12025,5609r1,l12025,5611r,2l12028,5613r1,-2l12030,5611r,2l12032,5613r1,2l12033,5617r-2,l12031,5619r7,l12038,5617r5,l12043,5619r-1,l12042,5621r1,l12043,5623r-1,l12042,5625r1,l12043,5627r2,l12045,5629r11,l12057,5631r1,l12060,5633r,2l12059,5637r-1,2l12057,5641r1,l12060,5643r3,l12063,5645r1,l12065,5647r1,l12066,5651r-3,2l12061,5653r,2l12062,5655r,2l12061,5657r,2l12067,5659r2,2l12069,5663r2,l12072,5665r2,l12074,5667r-1,2l12072,5669r,2l12071,5673r-1,l12070,5675r,l12071,5677r2,l12075,5675r1,l12076,5673r2,-2l12087,5671r1,2l12096,5673r1,2l12098,5675r2,2l12101,5677r-1,2l12098,5679r,2l12097,5681r,2l12095,5683r,2l12092,5685r,2l12095,5687r1,2l12099,5689r1,2l12101,5689r2,2l12104,5693r1,l12106,5695r1,2l12112,5697r,2l12119,5699r,2l12120,5701r,2l12119,5703r,2l12119,5705r,4l12122,5709r,-2l12128,5707r1,2l12130,5709r,2l12131,5711r,-2l12142,5709r,2l12145,5711r,2l12145,5713r,-2l12149,5711r,2l12149,5715r2,l12151,5717r2,l12153,5719r1,l12155,5717r1,l12156,5715r2,l12158,5717r4,l12162,5719r3,l12165,5717r1,l12166,5719r1,l12167,5721r5,l12172,5723r1,l12173,5727r5,l12178,5729r3,l12181,5731r-1,l12180,5733r8,l12188,5731r9,l12198,5729r6,l12204,5731r,l12204,5733r,l12205,5735r1,l12206,5737r-1,l12206,5739r,2l12206,5741r,2l12206,5745r-1,l12204,5747r-2,l12202,5749r-4,l12198,5751r-3,l12193,5753r-3,l12189,5755r-4,l12183,5757r,4l12179,5761r-1,2l12171,5763r-1,-2l12168,5761r-1,-2l12166,5759r-1,-2l12164,5755r-8,l12154,5753r-14,l12140,5751r-8,l12131,5753r-4,l12127,5755r-2,l12124,5753r-8,l12116,5751r-3,l12112,5749r-10,l12100,5751r-1,l12099,5753r-2,l12090,5757r-13,l12073,5759r-1,l12071,5761r,l12068,5765r-3,6l12060,5779r-2,2l12057,5783r-1,l12055,5785r-1,2l12051,5789r-3,4l12047,5793r-5,6l12042,5799r-2,2l12038,5803r-1,l12036,5805r-2,l12033,5807r-2,2l12030,5809r,2l12029,5815r-1,l12026,5817r-1,l12025,5819r1,2l12036,5821r1,2l12036,5823r,2l12035,5825r,2l12035,5829r-6,l12029,5831r,2l12024,5833r,2l12023,5835r,2l12024,5837r,4l12025,5841r,2l12025,5845r1,l12026,5847r2,l12030,5851r,2l12031,5853r1,4l12034,5861r,12l12034,5873r,2l12033,5875r-1,4l12025,5893r-1,4l12023,5899r-1,l12020,5903r,4l12021,5911r1,2l12024,5919r1,4l12025,5925r1,2l12027,5931r1,2l12024,5931r-5,l12019,5933r-3,-2l12016,5931r,-2l12014,5929r-5,-2l12007,5927r,2l12004,5929r-1,-2l12004,5927r-9,-2l11988,5925r-1,-2l11986,5927r-3,l11983,5929r,4l11983,5935r1,l11983,5937r1,2l11984,5941r,l11984,5943r,l11985,5945r,l11986,5947r1,l11988,5949r-1,l11987,5951r1,l11987,5953r1,l11988,5955r1,2l11989,5961r1,l11989,5963r,l11989,5965r1,2l11992,5965r3,l11995,5967r,2l11996,5971r,l11996,5973r-1,2l11995,5975r1,2l11997,5977r,2l11995,5979r,2l11996,5981r,2l11995,5983r,4l11996,5987r,2l11995,5991r,l11995,5993r,l11998,5997r3,l12001,5999r,2l12002,6001r1,2l12004,6003r,2l12004,6005r,2l12004,6007r,2l12002,6009r,2l12000,6011r,2l11999,6013r,2l11999,6015r,2l11998,6017r,2l11998,6019r1,2l11999,6021r1,2l12001,6023r,2l12000,6027r-3,l11997,6029r1,2l11999,6033r-1,l11997,6035r,l11996,6037r-1,l11995,6039r1,2l11995,6041r,2l11995,6043r1,2l11994,6045r,2l11993,6049r,2l11992,6053r,2l11993,6055r,2l11992,6059r3,2l11996,6061r-1,2l11995,6063r-1,2l11993,6065r,2l12791,6067r1,-2l12790,6065r,-2l12792,6063r,-2l12791,6061r-1,-2l12791,6057r-5,l12785,6055r-3,l12782,6053r,l12782,6051r-6,l12776,6049r,l12776,6047r,l12776,6045r,-2l12779,6043r,-2l12778,6041r,-2l12779,6039r,-2l12776,6037r,-2l12777,6035r-1,-2l12776,6033r,2l12775,6035r,-2l12773,6033r,-2l12773,6029r-6,l12767,6027r-1,-4l12766,6021r-1,-2l12760,6019r,-2l12759,6017r-2,-2l12754,6015r,-2l12753,6013r,-2l12752,6011r,-2l12751,6009r2,-2l12753,6007r,2l12754,6009r1,2l12756,6011r,2l12759,6011r4,l12764,6009r11,l12774,6013r,2l12776,6015r,-2l12779,6013r2,-2l12783,6011r4,-2l12791,6009r1,2l12794,6011r,2l12796,6013r,2l12797,6015r1,-2l12799,6015r4,l12803,6019r-2,l12801,6021r3,l12804,6019r7,l12811,6021r-1,l12811,6023r1,l12812,6025r1,l12813,6023r1,l12815,6021r3,l12819,6023r2,l12822,6021r-1,-2l12821,6019r,-4l12824,6015r,-2l12823,6013r,-2l12824,6009r3,l12827,6007r1,l12828,6005r1,l12828,6007r1,l12830,6005r,l12830,6003r4,l12835,6005r,l12835,6003r1,-2l12835,5997r1,l12837,5995r1,l12839,5997r1,l12840,5995r-2,l12838,5993r3,l12841,5991r-3,l12838,5989r,l12839,5987r1,2l12840,5989r,-2l12841,5985r-3,l12838,5983r-3,l12834,5981r,-2l12835,5979r,-2l12834,5977r1,-4l12835,5973r1,-2l12837,5969r,l12840,5967r1,-2l12842,5965r1,-2l12844,5963r2,-2l12851,5961r1,2l12851,5963r,2l12854,5965r1,-2l12855,5963r1,-2l12858,5959r-1,-2l12856,5959r,-2l12857,5957r-1,-2l12855,5957r-1,l12853,5955r,-2l12854,5953r,-2l12855,5951r,-2l12853,5949r,-2l12854,5947r,-2l12855,5947r1,-2l12856,5945r1,-2l12860,5943r,2l12861,5945r1,-2l12861,5943r,-2l12861,5941r,-2l12861,5939r3,2l12865,5941r,-2l12866,5939r1,-2l12865,5937r,-2l12867,5935r1,-2l12870,5933r,-2l12870,5931r,-2l12873,5929r,-2l12874,5925r1,l12876,5923r1,l12879,5921r2,l12881,5919r1,l12883,5917r8,l12892,5915r-2,l12890,5913r,l12891,5911r5,l12896,5913r1,-2l12898,5911r,-2l12898,5909r-1,-2l12895,5909r,l12895,5907r-1,l12895,5905r,l12895,5903r1,-2l12897,5899r1,l12899,5897r1,l12900,5895r1,-2l12902,5893r1,-2l12907,5891r1,-2l12910,5889r,2l12912,5891r-1,-2l12912,5889r,-2l12911,5887r,-2l12909,5885r,-2l12908,5883r,-2l12908,5881r,-2l12906,5879r,-2l12908,5877r,-2l12906,5875r,-2l12908,5873r,-2l12902,5871r,-2l12901,5869r,-2l12901,5867r,-2l12901,5865r,-2l12903,5863r-1,-2l12900,5861r,-2l12900,5857r1,-2l12904,5855r,-2l12903,5853r,-2l12903,5851r-1,-2l12901,5849r,-4l12902,5843r,-2l12905,5841r-1,-2l12906,5839r1,-2l12909,5837r-2,-2l12908,5835r1,-2l12909,5831r1,l12912,5829r4,l12915,5827r-1,-2l12914,5823r1,l12915,5821r1,l12917,5819r2,-2l12920,5815r1,l12922,5813r1,l12924,5811r,l12926,5809r2,l12929,5807r1,l12931,5805r3,l12935,5803r,2l12939,5805r,-2l12941,5803r,-2l12941,5801r-1,-2l12941,5799r1,-2l12941,5797r,-2l12941,5793r-1,2l12940,5793r5,-4l12947,5787r1,l12949,5785r2,-2l12953,5781r4,l12958,5779r,l12960,5777r1,l12961,5775r5,l12967,5773r1,l12968,5775r4,l12972,5773r-1,l12970,5771r,l12969,5769r-7,l12962,5767r-2,l12960,5765r7,l12966,5763r-2,l12964,5761r-4,l12960,5759r1,l12962,5757r,-2l12959,5755r,-2l12961,5747r1,l12963,5745r3,l12967,5747r,-2l12968,5745r-1,-2l12963,5743r,-2l12959,5741r,-2l12957,5739r,-4l12958,5735r,-2l12959,5731r2,l12960,5729r-1,l12960,5725r,l12961,5723r1,-2l12963,5721r1,-2l12966,5717r1,l12968,5715r1,l12970,5713r1,l12972,5711r3,l12976,5709r2,l12981,5707r,l12983,5705r,2l12984,5705r1,l12986,5707r,l12986,5705r1,l12987,5703r1,-2l12989,5701r1,-2l12996,5699r-1,-2l12996,5697r1,-2l12998,5695r1,-2l13006,5693r1,-2l13006,5689r1,l13007,5687r-2,l13004,5689r-3,l13000,5687r-1,l12999,5683r-1,l12998,5681r1,l12999,5679r1,-2l13000,5677r1,-2l13002,5675r,-2l13004,5673r2,-2l13005,5671r,-2l13005,5669r2,-2l13008,5667r2,-2l13013,5665r,-2l13014,5665r,-2l13015,5663r,-2l13018,5661r1,-2l13020,5659r2,-2l13023,5655r2,l13026,5653r3,l13029,5651r6,l13036,5649r3,l13040,5651r5,l13045,5649r-2,l13043,5647r,l13044,5645r3,-2l13048,5641r3,l13052,5639r3,l13056,5637r3,l13062,5635r7,l13070,5633r9,l13081,5631r9,l13091,5633r2,l13094,5631r2,l13097,5633r3,l13100,5635r4,l13104,5633r2,l13107,5635r-1,l13105,5637r6,l13110,5639r,2l13111,5641r,2l13112,5643r,-2l13114,5641r,2l13113,5643r,2l13115,5645r-1,2l13113,5647r,2l13114,5649r,2l13113,5651r-1,2l13112,5653r,2l13111,5655r1,2l13116,5657r1,-2l13119,5655r,-2l13120,5653r1,-2l13123,5651r2,-2l13124,5647r2,l13127,5645r1,l13129,5643r3,l13133,5641r1,l13134,5639r4,l13139,5641r,l13139,5643r6,l13145,5641r1,l13147,5639r1,l13149,5641r,l13150,5639r1,l13152,5637r4,l13157,5635r1,-2l13159,5631r,-2l13158,5629r,-2l13158,5625r3,l13161,5623r-1,l13160,5621r1,-2l13161,5617r,l13162,5615r1,l13162,5613r1,l13163,5611r-1,l13162,5609r1,l13163,5607xm13260,5235r-1,l13259,5237r1,l13260,5235xm13272,5163r-2,l13271,5165r1,l13272,5163xm13436,4822r-2,l13435,4824r1,l13436,4822xm13436,4822r,l13436,4824r,l13436,4822xm13461,4822r,2l13461,4824r,-2xm13462,4824r-1,l13462,4826r,-2xm13464,4722r-1,l13462,4724r2,-2xm13488,4810r-1,l13487,4812r,l13488,4810xm13489,4812r-1,l13488,4814r1,l13489,4812xm13506,4722r-1,2l13506,4724r,-2xm13524,1285r-1,-2l13521,1281r-1,-2l13518,1277r-5,l13513,1275r-4,l13505,1271r-3,l13499,1269r-1,l13496,1267r-1,-2l13495,1263r1,l13494,1257r-1,l13492,1255r-2,l13488,1257r-5,l13478,1255r-4,-4l13473,1251r-1,-4l13472,1247r-1,-2l13470,1243r-1,l13466,1241r,l13464,1239r-3,l13457,1237r-2,l13455,1235r-1,2l13449,1237r-4,-4l13445,1233r-1,-2l13441,1231r,-2l13441,1227r-9,l13430,1225r-2,-2l13427,1223r-1,2l13425,1225r-6,-2l13417,1219r-1,l13414,1217r-6,l13408,1215r-4,-2l13404,1211r-1,l13401,1213r-1,-2l13400,1209r-1,-2l13398,1207r-2,2l13394,1207r-2,l13391,1205r-5,l13384,1207r-2,l13378,1209r,2l13378,1213r-6,l13369,1215r-2,l13365,1217r,l13364,1215r-3,-2l13359,1213r,-2l13358,1209r-3,l13354,1207r3,l13357,1205r1,l13357,1203r-3,l13353,1201r,-4l13353,1195r3,-2l13356,1193r,-2l13356,1189r,-2l13357,1181r-1,l13354,1179r-2,l13351,1177r-7,l13346,1173r,-2l13344,1167r,-2l13343,1165r-2,-2l13340,1163r1,-2l13347,1161r1,-2l13347,1157r,-2l13346,1153r-1,-4l13344,1149r-2,-2l13340,1145r-3,l13334,1141r-4,l13329,1139r-3,l13326,1137r-2,l13324,1139r-1,l13322,1137r-8,l13314,1135r-3,l13311,1133r-5,l13305,1135r-1,l13303,1137r-5,l13298,1135r-1,l13296,1137r-3,l13292,1135r-2,l13290,1133r,l13289,1131r-3,l13286,1133r-2,l13284,1129r-2,l13282,1127r-2,l13280,1121r-1,l13279,1115r-1,l13278,1113r-2,l13275,1111r-7,l13268,1109r-1,l13265,1107r-1,l13264,1105r-1,l13263,1103r-10,l13252,1105r-1,l13251,1107r-2,l13249,1109r-2,l13246,1107r1,l13247,1105r-1,l13245,1103r-2,l13242,1105r-1,l13241,1107r-3,l13238,1103r-1,l13236,1101r-2,l13233,1103r-2,l13230,1101r-2,l13227,1099r-2,l13225,1097r-1,l13224,1095r-2,l13222,1093r-3,l13218,1091r-6,l13211,1089r-6,l13205,1087r-2,l13203,1089r-2,l13201,1087r-1,l13199,1085r,-2l13201,1083r,-2l13193,1081r,-2l13187,1079r-2,2l13184,1081r-1,-2l13182,1079r,-2l13180,1077r-1,-2l13176,1075r-1,-2l13168,1073r-1,-2l13167,1071r-2,-2l13164,1069r,-2l13163,1067r-1,2l13155,1069r,-2l13154,1067r,-2l13137,1065r-2,4l13134,1069r-2,2l13130,1071r-3,2l13124,1073r-1,2l13124,1077r,l13122,1079r-10,l13110,1081r-1,l13108,1083r-2,l13104,1085r,l13102,1083r-1,-2l13100,1079r1,l13100,1077r-2,l13096,1079r-2,l13093,1081r-3,l13088,1083r-4,l13083,1085r-3,l13078,1087r-2,l13074,1089r-2,2l13072,1093r-1,2l13069,1095r-1,-2l13066,1091r,l13066,1089r-5,l13060,1093r-2,l13056,1091r-9,l13047,1089r1,l13047,1087r-2,l13044,1085r-2,-2l13038,1083r-1,-2l13031,1081r-1,2l13025,1083r-1,2l13019,1085r,-2l13018,1083r,-2l13017,1081r,-2l13013,1079r-1,2l13011,1081r,2l13012,1083r2,2l13014,1089r,l13013,1091r-16,l12996,1089r-1,l12995,1087r2,l12999,1085r5,l13004,1083r1,l13004,1081r-7,l12996,1079r-3,l12991,1081r,2l12991,1083r-1,2l12980,1085r-1,-2l12971,1083r-2,-2l12967,1081r-1,2l12966,1085r-5,l12958,1083r,l12957,1085r-2,l12954,1087r-2,l12951,1089r-3,l12948,1087r-1,l12947,1085r-1,2l12938,1087r-3,-2l12934,1085r-1,-2l12929,1079r-1,-2l12917,1077r,-2l12917,1075r1,-4l12918,1069r,-2l12917,1065r-4,l12910,1063r,-2l12905,1061r,2l12903,1063r-1,2l12898,1065r-1,-2l12898,1061r,-2l12896,1059r-2,2l12893,1061r-2,-2l12890,1057r-3,l12886,1055r-1,-4l12885,1049r-1,l12884,1047r-3,l12882,1045r1,l12885,1041r-1,-2l12881,1039r1,-4l12881,1033r-1,l12879,1035r-1,l12876,1033r-2,l12872,1029r,-2l12872,1025r1,l12873,1023r-1,l12870,1025r-1,l12866,1023r-6,l12858,1021r-3,-2l12854,1019r-2,-4l12852,1013r,-2l12848,1011r-2,-2l12845,1009r-1,-2l12842,1007r-1,-2l12837,1005r-2,-2l12835,1001r-1,-2l12834,999r-2,-2l12829,997r-2,2l12826,999r,2l12820,1001r-2,-2l12814,999r-1,2l12810,1003r-4,l12805,1005r-2,l12800,1009r-3,l12797,1007r-1,2l12792,1009r,2l12795,1011r,2l12793,1013r-1,-2l12788,1011r1,2l12791,1013r-1,2l12789,1015r-1,2l12788,1019r-6,l12781,1017r,2l12777,1019r,2l12777,1023r-7,l12769,1021r-1,-2l12760,1019r1,2l12759,1023r-1,l12757,1021r-2,l12755,1019r4,l12758,1017r-4,l12753,1015r1,l12754,1013r2,-2l12753,1011r-1,2l12751,1013r-1,-2l12749,1011r-1,2l12748,1015r-1,l12746,1013r,-2l12745,1011r,-2l12747,1009r-1,-2l12744,1007r-1,2l12742,1009r,2l12741,1009r-3,l12737,1011r-1,-2l12736,1009r,2l12734,1011r,-2l12736,1009r-1,-2l12732,1007r-1,2l12731,1009r,2l12731,1013r-1,-2l12728,1011r,2l12728,1013r,2l12727,1015r-1,-2l12725,1013r,2l12725,1017r-2,l12723,1015r1,l12723,1013r-1,l12721,1015r-3,l12716,1017r-1,-2l12715,1015r-2,-2l12712,1013r,2l12707,1015r1,2l12709,1017r-1,2l12706,1019r,2l12705,1021r-1,-2l12701,1019r,-2l12697,1017r-1,-2l12694,1015r-1,2l12692,1017r-1,2l12693,1023r-1,4l12690,1027r1,-2l12689,1025r,2l12686,1027r-1,-2l12684,1025r,4l12685,1029r-1,2l12682,1031r-1,-2l12680,1029r,-2l12678,1027r1,-2l12677,1025r-1,2l12676,1027r-1,-2l12674,1025r-1,2l12673,1025r-2,l12668,1027r,l12668,1031r-5,l12663,1033r-4,l12659,1031r,l12660,1029r-2,l12658,1031r-3,l12656,1029r-2,l12654,1031r-2,l12652,1029r-1,l12650,1031r,l12648,1029r1,l12649,1027r-3,l12645,1029r-4,l12640,1027r-2,l12638,1029r-1,l12637,1031r-2,l12634,1035r-2,l12632,1033r-2,l12629,1035r1,l12629,1037r-1,-2l12627,1035r,2l12624,1037r,2l12623,1039r1,2l12623,1041r-1,2l12617,1043r1,2l12615,1045r,2l12613,1047r-1,2l12612,1051r-1,l12610,1049r-1,-2l12607,1047r,2l12606,1049r,-2l12605,1047r-1,2l12602,1049r,2l12601,1049r1,l12602,1047r-1,l12601,1049r-3,l12598,1047r-3,l12595,1049r-1,-2l12593,1047r-1,2l12592,1051r-4,l12588,1053r-1,2l12587,1055r-2,-2l12584,1053r-1,-2l12583,1049r-1,l12581,1051r-1,l12579,1049r,2l12578,1051r-1,-2l12575,1049r,-2l12575,1047r-1,2l12570,1049r,-2l12569,1047r-1,2l12567,1047r-1,2l12564,1049r-1,2l12561,1051r,2l12561,1055r-4,l12558,1057r-2,l12556,1055r-2,l12554,1053r-3,l12551,1055r-1,l12550,1053r-2,l12548,1051r1,l12548,1049r,2l12545,1051r,-2l12541,1049r1,-2l12540,1047r,-2l12540,1043r-1,l12538,1045r,2l12537,1047r,-2l12537,1045r-2,2l12533,1043r-2,l12532,1045r-2,l12530,1047r-1,l12528,1045r-5,l12523,1047r-2,l12520,1049r-2,l12518,1047r-2,-2l12516,1045r-1,-2l12514,1045r-1,l12511,1043r-1,l12509,1045r-1,l12506,1047r-3,l12503,1049r-1,l12501,1051r1,2l12500,1053r,-2l12499,1051r-1,-4l12496,1047r,-2l12495,1045r,2l12490,1047r-1,2l12488,1049r,-2l12487,1047r-1,2l12478,1049r,2l12476,1051r,-2l12475,1049r,2l12474,1049r-2,l12472,1051r-2,l12470,1049r-1,l12468,1051r-1,l12465,1049r,l12465,1051r-4,l12460,1053r-1,-2l12459,1051r-2,-2l12455,1049r1,2l12454,1051r,-2l12453,1049r,2l12453,1051r-1,-2l12452,1049r-1,2l12450,1049r-1,2l12449,1051r,2l12450,1053r,2l12449,1055r-1,-2l12447,1053r,-2l12445,1051r,2l12441,1053r,-2l12440,1051r,2l12438,1053r,-2l12437,1053r-1,l12436,1051r1,l12436,1049r1,l12435,1047r-1,2l12434,1049r,2l12432,1051r,-2l12431,1049r-1,2l12429,1051r-1,2l12426,1053r1,-2l12427,1049r-2,2l12425,1051r,4l12424,1057r-1,l12423,1055r2,l12425,1051r-1,l12422,1053r-2,l12420,1055r1,l12422,1057r-1,l12422,1059r-2,l12421,1061r,l12422,1063r,l12421,1065r-3,l12418,1063r-1,l12417,1065r-1,l12415,1063r-1,l12414,1065r-1,l12413,1063r-1,l12412,1065r-1,l12411,1063r,-2l12409,1061r,2l12410,1063r,2l12408,1065r,-2l12408,1063r,-2l12407,1061r,2l12404,1063r,2l12402,1065r,-2l12399,1063r,2l12398,1065r,-2l12397,1063r,2l12395,1065r-1,-2l12397,1063r-1,-2l12395,1061r1,-2l12399,1059r,-2l12397,1057r,-2l12393,1055r-1,-2l12393,1053r-1,-2l12392,1049r-2,l12390,1047r-1,2l12388,1049r1,2l12387,1051r,2l12387,1053r-2,-2l12382,1051r-1,-2l12380,1049r-1,-2l12380,1045r-1,l12378,1043r,-2l12373,1041r-1,-2l12370,1039r-1,2l12369,1039r,-2l12368,1039r-2,l12365,1037r,l12365,1039r-1,l12364,1037r-1,l12362,1039r-1,l12361,1041r-5,l12355,1043r,-2l12355,1039r-2,l12352,1041r-1,l12351,1039r1,-2l12352,1035r-2,l12350,1033r-4,l12346,1031r,-2l12347,1029r-1,-2l12345,1027r-1,-2l12340,1025r,-2l12329,1023r,-2l12325,1021r,2l12323,1023r-1,2l12321,1023r-1,l12320,1025r-2,l12319,1027r-2,l12316,1025r-1,l12315,1027r-2,l12313,1025r-8,l12304,1023r,2l12303,1025r,-2l12302,1023r,2l12299,1025r-1,-2l12297,1023r-1,2l12297,1025r-1,2l12292,1027r-1,2l12291,1029r-1,-2l12288,1027r,2l12287,1029r,-4l12281,1025r-1,-2l12280,1023r-1,2l12280,1025r,2l12278,1027r-1,-2l12277,1027r-4,l12272,1029r,l12271,1031r-2,l12268,1029r-3,l12265,1031r,2l12264,1033r,2l12263,1035r,-2l12261,1033r,2l12260,1037r-4,l12256,1035r-1,l12254,1037r1,2l12254,1039r-1,-2l12251,1037r,-2l12251,1035r-2,2l12246,1037r1,2l12246,1039r-1,-2l12244,1037r1,4l12244,1041r,2l12244,1045r-5,l12238,1047r-1,l12236,1049r-1,l12235,1051r,2l12236,1053r,2l12238,1055r-1,2l12234,1057r,2l12231,1059r-1,2l12229,1061r,-2l12229,1059r-1,2l12227,1061r,2l12228,1063r1,2l12231,1065r,2l12228,1067r,2l12228,1069r,2l12227,1071r,2l12227,1075r-2,l12226,1077r-1,l12224,1075r,4l12223,1081r-2,l12221,1079r3,l12224,1075r-1,2l12220,1077r,2l12219,1081r,l12219,1083r1,l12219,1085r-1,l12218,1089r-2,l12217,1087r,l12218,1089r,-4l12215,1085r,4l12215,1089r-1,2l12212,1091r,2l12211,1093r-1,2l12209,1095r-1,-2l12206,1093r-1,2l12203,1095r,2l12204,1097r-1,2l12204,1101r-1,2l12201,1105r,2l12199,1107r,2l12198,1109r,-2l12197,1107r,-2l12193,1105r,-2l12193,1103r-1,2l12189,1105r,-2l12185,1103r1,2l12184,1105r-1,-2l12182,1103r1,2l12182,1105r-1,-4l12177,1101r-1,2l12174,1103r1,2l12174,1107r-1,l12173,1105r-2,l12171,1107r-1,l12170,1109r-3,l12166,1107r-1,2l12160,1109r-1,2l12160,1113r,l12159,1115r-1,l12158,1117r-4,l12151,1119r,2l12149,1121r1,-2l12150,1119r,-2l12150,1117r-1,2l12141,1119r-1,-2l12139,1117r,2l12137,1119r,-2l12136,1119r-2,l12133,1121r-1,2l12132,1123r,2l12129,1125r,2l12130,1129r-3,l12126,1131r,l12127,1133r1,l12127,1135r-1,l12126,1133r-2,l12124,1135r-2,l12123,1133r-1,l12121,1135r-3,l12118,1137r1,l12119,1139r-1,l12118,1141r-4,l12114,1139r-1,l12113,1137r1,l12113,1135r-1,2l12112,1135r-1,l12111,1137r-3,l12108,1139r-2,l12106,1141r-1,l12105,1139r-2,l12103,1141r-1,-2l12100,1139r,2l12099,1141r-1,2l12098,1143r1,2l12098,1145r-1,-2l12096,1145r-2,l12094,1147r-2,l12092,1145r-1,l12091,1147r-2,l12091,1151r-1,l12089,1149r-1,l12088,1151r1,l12089,1153r-1,l12088,1155r-3,l12086,1157r-4,l12082,1155r-3,l12079,1157r-1,-2l12078,1155r,2l12077,1157r-1,2l12075,1159r-1,-2l12073,1157r,2l12071,1159r-1,2l12069,1161r-1,-2l12068,1159r-1,2l12064,1161r,2l12060,1163r,2l12061,1165r1,2l12062,1165r,2l12062,1169r-3,l12059,1171r,l12058,1173r-1,2l12059,1175r,2l12056,1177r,2l12055,1179r-1,2l12054,1183r-4,l12048,1185r-1,l12047,1187r-5,l12042,1185r-1,l12041,1189r-2,l12039,1187r-7,l12032,1185r-1,l12031,1187r-2,l12029,1185r-1,l12027,1187r-1,-2l12026,1187r-1,l12026,1189r-2,l12025,1191r1,l12026,1193r1,l12027,1191r,l12028,1193r,l12028,1195r-1,l12026,1197r2,l12028,1199r-3,l12026,1201r-4,l12021,1203r,l12020,1201r,2l12018,1203r,4l12017,1205r-3,l12014,1203r-1,l12013,1205r-2,l12011,1203r1,l12012,1201r-1,l12010,1203r-3,l12007,1205r-4,l12000,1209r,-2l12000,1207r,-2l11999,1203r-1,2l11997,1205r,-2l11995,1203r1,2l11993,1205r-2,2l11990,1207r-1,2l11989,1211r-5,l11985,1213r,2l11984,1215r,6l11984,1221r-1,2l11981,1223r-2,4l11978,1231r-2,2l11974,1233r,2l11972,1237r-3,l11966,1241r1,l11968,1243r2,-2l11971,1243r2,l11972,1245r-2,l11969,1247r1,l11970,1249r-1,l11968,1251r-1,l11967,1253r1,l11969,1255r-1,l11969,1257r,2l11967,1259r-1,2l11965,1263r-3,l11961,1265r,4l11959,1269r-1,2l11958,1273r2,l11960,1275r-1,l11959,1279r-3,l11956,1281r-1,l11954,1283r-1,l11952,1285r1,l11953,1287r-1,l11952,1289r,l11951,1291r-2,l11948,1289r,l11945,1291r-2,l11942,1293r,l11940,1291r-6,l11934,1293r-2,l11931,1295r1,l11932,1297r-1,2l11929,1299r-1,2l11927,1301r-1,2l11925,1303r-2,-2l11922,1301r-1,2l11918,1303r,2l11911,1305r,2l11908,1307r,4l11905,1311r,2l11906,1313r,2l11903,1315r1,2l11903,1317r,2l13522,1319r-1,-2l13521,1315r-1,-2l13521,1311r,l13521,1309r1,l13522,1307r,-2l13520,1305r-1,-2l13519,1303r-1,-2l13519,1299r3,l13522,1297r,-2l13523,1293r,-2l13523,1289r1,l13524,1285xm13556,4572r-18,l13538,4574r2,l13539,4576r1,l13540,4578r1,l13541,4576r,4l13542,4580r,2l13543,4582r1,2l13545,4584r,2l13544,4586r,-2l13543,4584r-1,-2l13541,4582r,-2l13540,4580r,2l13540,4584r-1,l13539,4582r1,l13540,4580r-6,l13534,4578r-2,l13532,4576r-3,l13529,4574r-7,l13522,4574r1,2l13522,4576r,-2l13521,4574r-1,l13520,4576r-1,l13519,4578r-1,l13518,4576r1,l13519,4574r-1,l13518,4572r1,l13519,4570r2,l13521,4568r2,l13522,4566r2,l13524,4564r-4,l13519,4562r-1,l13518,4560r10,l13529,4558r-1,l13526,4556r-1,l13525,4554r4,l13529,4552r9,l13537,4550r,l13537,4548r2,l13539,4546r-1,l13538,4544r2,l13526,4542r6,l13532,4540r2,l13534,4538r2,l13536,4536r1,l13537,4534r2,l13537,4532r-31,l13504,4530r-2,l13499,4524r9,-6l13499,4518r,162l13499,4682r-1,4l13497,4686r,-2l13493,4684r-1,2l13492,4686r,2l13493,4688r1,2l13487,4690r-1,2l13485,4692r,2l13484,4694r,-2l13480,4692r,-2l13483,4690r,-2l13484,4688r1,2l13486,4690r,-2l13488,4688r,-2l13488,4686r,-2l13489,4684r,-2l13483,4682r-1,2l13482,4682r1,l13482,4680r6,l13487,4676r1,l13487,4674r,l13487,4676r-5,l13483,4674r2,l13485,4672r5,l13489,4670r-1,l13488,4668r,l13487,4666r1,-4l13487,4660r1,l13489,4662r,l13489,4666r1,l13490,4668r1,l13492,4670r,l13492,4672r,2l13491,4674r1,2l13493,4676r,2l13493,4678r-2,2l13491,4682r5,l13497,4680r2,l13499,4518r-17,l13482,4674r-1,l13481,4682r,2l13480,4684r,-2l13481,4682r,-8l13480,4672r2,l13482,4674r,-156l13480,4518r,154l13480,4674r-2,l13478,4706r,2l13477,4708r1,-2l13478,4706r,-32l13477,4672r3,l13480,4518r-7146,l6334,4834r2,l6337,4836r2,l6340,4834r,2l6341,4836r,2l6335,4838r,2l6335,4840r,2l6335,4844r-1,l6334,4846r2,l6336,4848r1,l6340,4850r3,l6344,4852r2,l6346,4854r1,2l6347,4854r2,l6352,4852r2,l6354,4850r-1,-2l6354,4848r,-2l6354,4846r,-2l6360,4844r2,2l6362,4848r1,l6363,4850r,l6362,4852r,l6361,4854r-1,l6360,4856r1,l6361,4858r,2l6362,4862r4,l6367,4860r1,l6368,4858r6,l6375,4856r2,l6377,4854r2,l6380,4856r,2l6380,4860r1,l6382,4862r9,l6391,4860r2,l6393,4858r,l6394,4856r1,l6397,4854r6,l6404,4856r1,l6406,4860r2,l6408,4862r6,l6415,4864r5,l6423,4862r2,l6426,4860r2,l6428,4858r1,l6429,4860r,l6429,4862r4,l6433,4858r2,l6437,4856r3,l6440,4858r-1,l6439,4862r1,l6440,4864r-4,l6435,4866r5,l6440,4872r,l6440,4874r,2l6442,4876r1,2l6445,4878r1,-2l6449,4876r2,-4l6451,4870r4,l6455,4872r,2l6455,4876r1,l6457,4878r,l6457,4880r1,l6459,4882r7,l6467,4880r1,l6468,4878r-1,l6466,4876r-2,l6463,4874r3,l6467,4872r,-2l6471,4870r,-2l6472,4868r,-2l6473,4866r,-2l6473,4864r3,-2l6477,4862r1,-2l6480,4860r,2l6482,4862r,2l6483,4864r2,-2l6488,4862r,2l6488,4864r,2l6488,4866r1,2l6490,4868r1,2l6495,4870r1,-2l6498,4866r,-4l6502,4862r2,2l6504,4866r1,2l6506,4870r-1,l6505,4872r-2,2l6502,4876r,2l6502,4880r3,l6506,4878r1,-4l6508,4874r1,-2l6513,4872r1,2l6516,4874r2,4l6518,4878r2,4l6521,4882r1,2l6523,4884r1,2l6526,4886r1,2l6529,4888r1,2l6531,4890r1,2l6540,4892r1,2l6542,4894r-1,2l6542,4898r5,l6548,4896r7,l6556,4898r,2l6555,4902r-1,l6553,4904r-1,l6552,4906r2,l6554,4908r1,-2l6561,4906r,2l6561,4908r,2l6559,4912r,2l6560,4914r,2l6561,4916r1,-2l6563,4914r,-2l6564,4912r,-2l6565,4910r1,-2l6571,4908r1,-2l6574,4906r1,-2l6575,4898r1,-2l6586,4896r1,4l6587,4902r1,l6589,4906r1,l6591,4908r,l6592,4906r-1,l6591,4904r-1,l6591,4902r2,l6598,4904r2,l6602,4906r,l6602,4908r1,l6603,4910r-1,l6603,4912r4,l6608,4910r2,l6612,4908r1,l6614,4906r3,l6618,4908r1,l6620,4910r,2l6619,4912r-1,2l6617,4916r,2l6617,4918r,2l6618,4920r,2l6621,4922r2,2l6625,4924r1,-2l6629,4922r2,-2l6637,4920r,2l6636,4922r-1,2l6635,4926r,l6635,4928r,2l6639,4932r1,2l6642,4934r2,2l6646,4936r,-2l6646,4932r1,-2l6648,4930r3,2l6653,4932r1,2l6659,4934r2,-2l6661,4930r3,l6667,4932r5,l6672,4930r,-4l6681,4926r1,2l6683,4928r,2l6684,4930r1,2l6686,4936r,l6687,4938r1,2l6689,4940r1,2l6692,4944r2,l6696,4946r-1,l6694,4948r-5,l6687,4952r1,2l6690,4956r2,l6695,4958r,2l6695,4962r,l6693,4964r-3,l6687,4966r,l6687,4968r7,l6695,4966r10,l6707,4964r,-2l6706,4958r-1,l6704,4956r-1,l6703,4954r1,l6704,4952r5,l6710,4954r1,2l6712,4956r1,2l6717,4958r2,-2l6722,4956r,-4l6730,4952r1,2l6733,4954r1,2l6743,4956r,-2l6744,4954r,-2l6743,4952r,-2l6745,4948r2,l6748,4952r4,l6755,4950r1,-2l6755,4948r-1,-2l6746,4946r-2,-4l6744,4940r2,l6748,4938r2,l6752,4936r2,l6754,4934r-2,-6l6747,4928r-1,2l6743,4930r,-2l6742,4928r-1,-2l6740,4926r,-2l6745,4924r2,2l6751,4926r1,-2l6753,4922r4,l6758,4924r1,l6759,4926r3,l6762,4928r1,-2l6766,4926r,-2l6766,4924r-1,-2l6764,4920r-1,-2l6761,4918r-1,-2l6760,4914r3,l6764,4916r1,l6765,4918r2,2l6772,4920r2,-4l6774,4914r-1,l6773,4912r,-6l6773,4904r1,-2l6781,4902r3,-2l6790,4900r1,-2l6793,4898r3,-2l6799,4894r3,-2l6804,4890r1,l6806,4888r2,l6810,4890r4,l6814,4888r3,l6819,4886r5,l6825,4884r3,l6829,4886r1,l6830,4888r,4l6831,4892r,4l6832,4898r5,l6839,4896r1,-2l6841,4894r1,-2l6843,4892r,-2l6842,4890r-2,-2l6840,4886r-1,l6839,4884r1,l6840,4882r6,l6847,4884r7,6l6860,4890r,-2l6862,4886r4,l6866,4888r,2l6863,4890r-2,2l6860,4892r,2l6861,4896r5,l6869,4892r1,l6872,4890r6,l6878,4892r,l6876,4894r,2l6875,4896r,2l6875,4898r,2l6878,4900r1,-2l6880,4898r1,-2l6884,4896r,2l6893,4898r2,2l6896,4902r7,l6905,4904r1,l6907,4906r1,l6910,4908r6,l6919,4910r4,l6924,4908r2,-2l6927,4904r1,l6929,4906r,2l6929,4908r,2l6931,4910r2,-2l6939,4908r4,2l6943,4910r2,2l6947,4912r1,-2l6948,4910r1,-2l6951,4908r2,-2l6954,4906r,-2l6952,4902r-1,-2l6951,4900r,-2l6958,4898r1,-2l6967,4896r1,2l6979,4898r1,2l6981,4904r1,l6983,4906r1,l6983,4908r-1,2l6981,4910r,2l6982,4914r6,l6989,4912r,-2l6988,4910r,-4l6989,4906r1,-2l6990,4902r7,l6998,4904r,2l6999,4908r3,2l7003,4910r2,2l7006,4912r,2l7011,4914r1,-2l7012,4910r-1,l7010,4906r,-2l7010,4902r1,-2l7012,4900r,-2l7014,4898r3,-2l7021,4896r2,2l7024,4900r2,2l7029,4902r1,-2l7032,4900r1,2l7034,4902r1,2l7040,4904r2,2l7048,4906r1,-2l7048,4904r,-2l7043,4902r,-2l7042,4898r,-4l7040,4894r,-2l7042,4892r1,-2l7043,4890r3,2l7051,4892r3,-2l7055,4890r1,-2l7060,4888r1,2l7062,4890r,2l7062,4892r-1,2l7059,4894r-1,2l7056,4896r,2l7055,4898r-2,4l7052,4902r,1l7052,4904r,l7053,4905r1,2l7055,4907r1,2l7060,4909r1,-2l7065,4907r1,-2l7076,4905r3,2l7081,4907r4,2l7085,4911r1,l7087,4913r,2l7086,4917r-2,2l7079,4919r-1,2l7078,4923r1,l7079,4925r2,l7081,4927r5,l7087,4929r,l7087,4931r1,2l7089,4935r,2l7090,4939r11,l7102,4941r2,l7105,4943r1,l7106,4941r9,l7116,4939r,-2l7115,4933r-1,-2l7115,4929r,-2l7120,4927r3,2l7124,4931r3,l7128,4929r1,l7130,4927r,-2l7131,4925r1,-2l7134,4923r1,-2l7136,4921r1,2l7142,4923r1,2l7144,4925r,-2l7146,4923r1,2l7149,4925r,2l7148,4927r-2,4l7146,4931r-1,2l7144,4935r,l7144,4939r2,l7147,4937r1,l7149,4939r-1,2l7147,4941r,2l7147,4945r4,l7153,4947r2,l7156,4945r1,l7157,4943r1,l7158,4941r4,l7163,4943r1,l7166,4945r21,l7187,4947r1,l7191,4951r,4l7191,4955r,2l7192,4959r,2l7192,4963r1,2l7194,4963r1,l7195,4961r5,l7201,4963r1,l7203,4965r,4l7202,4969r,2l7200,4971r-3,4l7198,4975r2,2l7201,4977r1,2l7203,4981r,2l7203,4985r-1,6l7200,4991r-2,2l7197,4993r-2,2l7194,4995r,2l7200,4997r1,2l7204,4999r,2l7205,5001r2,4l7205,5009r-1,l7204,5011r-1,l7203,5013r1,l7204,5015r1,l7206,5017r,2l7203,5023r-2,l7199,5025r-4,l7195,5031r1,l7197,5033r9,l7208,5031r3,l7215,5027r1,l7218,5025r3,l7221,5027r,2l7222,5029r1,2l7225,5031r3,-4l7230,5025r3,l7234,5027r1,2l7237,5029r3,2l7241,5031r,2l7233,5033r-1,2l7231,5035r,2l7230,5039r-2,l7228,5043r1,2l7230,5045r1,2l7232,5047r,-2l7235,5045r2,-2l7237,5043r1,2l7239,5045r2,2l7245,5047r1,2l7255,5049r,2l7255,5051r2,2l7258,5053r,2l7273,5055r1,-2l7275,5053r2,-2l7280,5051r1,-2l7283,5049r1,-2l7291,5047r1,2l7299,5049r1,2l7307,5051r,2l7309,5053r1,2l7310,5059r-8,l7301,5061r,2l7302,5063r,2l7303,5067r1,2l7305,5069r1,2l7304,5073r-4,l7299,5071r-3,l7296,5073r1,l7297,5075r-2,l7291,5077r-1,l7290,5079r1,l7291,5081r,l7291,5085r,l7292,5087r1,l7293,5089r,2l7292,5091r-1,-2l7289,5089r-1,-2l7287,5087r-1,2l7286,5089r-2,2l7281,5093r-2,l7278,5095r-1,l7277,5097r4,l7281,5099r-1,l7278,5101r,2l7281,5103r1,2l7284,5105r,2l7283,5107r-1,2l7280,5109r-2,2l7278,5113r9,l7287,5115r-1,2l7284,5119r,2l7288,5121r1,2l7288,5123r-1,2l7286,5125r-2,2l7285,5129r2,l7287,5133r-1,2l7285,5139r-1,2l7282,5141r-2,2l7279,5143r,2l7279,5145r,2l7280,5147r1,2l7281,5149r3,-2l7287,5147r,-2l7288,5147r7,l7295,5145r3,l7298,5147r2,2l7300,5151r,l7300,5153r-4,l7295,5151r-1,2l7293,5153r-2,2l7289,5155r-1,2l7287,5157r-1,2l7285,5159r-2,4l7283,5165r1,2l7285,5167r3,2l7289,5171r1,l7290,5169r1,l7291,5167r1,-4l7294,5163r1,-2l7305,5161r2,2l7308,5165r-3,l7304,5167r-1,l7302,5169r-2,4l7299,5175r-1,l7296,5177r-1,l7294,5179r1,l7296,5181r5,l7302,5179r5,l7309,5181r1,l7310,5183r2,l7312,5185r-15,l7294,5187r-5,l7289,5189r1,2l7291,5191r1,2l7293,5193r2,-4l7296,5189r1,2l7296,5193r-1,l7295,5195r1,2l7298,5197r2,2l7303,5199r,2l7311,5201r1,-2l7313,5199r,-2l7316,5197r,4l7317,5201r1,2l7319,5203r,2l7320,5205r-2,4l7317,5209r-1,4l7317,5215r7,l7325,5213r3,-2l7330,5211r2,4l7333,5215r,2l7332,5217r,2l7333,5219r1,2l7339,5221r1,-2l7341,5219r1,2l7344,5221r1,2l7346,5223r,2l7347,5225r,2l7352,5227r,-2l7352,5225r-1,-2l7349,5223r-1,-2l7348,5221r-1,-2l7346,5217r,-2l7346,5215r-1,-4l7345,5209r1,l7347,5207r2,l7351,5209r3,l7356,5211r2,l7360,5213r2,6l7363,5221r,l7363,5223r-2,l7360,5225r-1,l7358,5227r-1,l7357,5229r1,l7359,5231r1,l7362,5233r,2l7360,5235r,2l7361,5237r,2l7360,5239r-1,2l7355,5241r,2l7356,5245r3,l7360,5247r-2,l7356,5249r-3,l7353,5251r1,2l7356,5253r1,2l7357,5257r-1,l7354,5259r-4,l7349,5261r,l7349,5263r4,l7354,5261r4,l7358,5263r1,2l7364,5265r1,-2l7367,5263r1,-2l7369,5261r1,2l7371,5263r,2l7370,5265r-3,2l7366,5267r-1,2l7365,5269r-2,4l7362,5273r,2l7363,5275r,4l7362,5283r1,4l7363,5287r1,2l7376,5289r2,-2l7378,5287r,-2l7379,5287r2,l7380,5289r,4l7381,5295r7,l7388,5297r,l7389,5299r1,l7391,5301r1,l7392,5303r-1,2l7389,5305r-1,2l7381,5307r,2l7382,5309r,2l7385,5311r1,-2l7388,5309r1,-2l7393,5307r1,2l7396,5309r-1,2l7389,5317r,2l7390,5319r1,2l7392,5323r-1,2l7388,5327r-4,4l7382,5335r1,l7383,5337r4,l7388,5335r1,l7390,5337r1,l7391,5339r,l7388,5341r-1,l7389,5343r2,l7392,5345r1,l7394,5347r2,l7397,5349r4,l7403,5347r,-2l7405,5345r1,2l7407,5349r,2l7416,5351r1,2l7417,5353r,4l7418,5357r2,2l7421,5361r2,l7423,5359r1,l7424,5357r1,-2l7431,5355r1,2l7446,5357r1,2l7449,5359r2,2l7452,5361r2,2l7455,5363r1,2l7457,5365r2,2l7475,5367r1,-2l7477,5365r1,-2l7479,5363r2,-2l7482,5361r,-2l7482,5355r1,-2l7482,5351r-2,-2l7476,5349r-3,2l7467,5351r-1,-2l7465,5349r-1,-2l7464,5345r,-2l7464,5341r1,l7465,5339r-3,-6l7463,5333r,-2l7464,5327r6,l7472,5329r2,2l7479,5331r2,-2l7487,5329r1,-2l7489,5327r1,-2l7491,5325r2,-2l7497,5323r,6l7498,5331r1,l7499,5333r3,l7504,5335r3,l7508,5333r3,l7512,5331r-3,l7508,5329r-3,l7504,5327r,-2l7505,5325r1,-2l7510,5323r3,2l7520,5325r,-2l7519,5323r-1,-2l7514,5321r-2,-2l7511,5317r-1,l7510,5315r1,-2l7512,5313r2,-2l7514,5311r1,-2l7514,5307r-2,-2l7511,5305r-2,-4l7507,5299r-1,-4l7506,5293r1,-4l7509,5287r6,l7517,5289r2,2l7522,5291r2,2l7527,5293r1,-2l7529,5291r,-6l7528,5283r-4,-4l7517,5279r,-2l7515,5277r,-2l7514,5275r,-2l7514,5273r1,-2l7517,5269r1,-2l7519,5267r,-2l7518,5265r,-2l7519,5261r,l7521,5257r,-2l7522,5255r1,-2l7527,5253r,-2l7514,5251r,-2l7514,5249r2,-2l7518,5247r1,2l7521,5249r1,-2l7524,5247r,-2l7523,5245r,-2l7522,5241r-1,l7521,5239r,-2l7522,5237r1,-2l7526,5235r1,2l7533,5237r1,-2l7534,5235r2,-2l7537,5231r2,l7541,5235r2,2l7545,5237r4,2l7561,5239r2,-2l7565,5237r,-2l7566,5235r,-4l7555,5231r,-2l7553,5229r,-4l7554,5223r1,l7555,5221r3,l7559,5223r21,l7580,5221r-2,l7575,5219r-3,l7571,5217r-1,-2l7571,5215r,-2l7573,5213r1,2l7577,5215r,-2l7579,5213r,-2l7579,5211r1,-2l7582,5209r1,-2l7584,5207r-1,-2l7583,5205r,-2l7585,5199r1,l7587,5201r,l7588,5203r5,l7595,5205r1,l7597,5207r1,2l7599,5209r,2l7597,5211r-1,2l7593,5213r,2l7592,5215r-1,2l7590,5217r,2l7591,5219r1,2l7593,5221r,2l7592,5223r-2,2l7583,5225r-1,2l7582,5229r1,l7585,5231r1,2l7589,5235r2,l7592,5233r,l7593,5229r6,l7600,5231r,l7600,5233r-1,l7599,5235r-1,l7596,5237r-1,l7594,5239r,2l7596,5243r1,l7598,5245r7,l7604,5241r,-2l7606,5237r3,l7609,5239r1,l7610,5241r-1,2l7610,5243r1,2l7618,5245r1,2l7620,5251r,l7620,5255r4,l7624,5253r,l7624,5251r6,l7631,5253r2,2l7634,5257r6,l7638,5259r-1,l7637,5261r-3,l7633,5263r-2,l7631,5265r,2l7632,5269r1,l7633,5267r,l7633,5265r4,l7637,5267r,2l7638,5269r2,2l7642,5271r,2l7642,5275r,l7641,5277r-1,2l7638,5279r-2,2l7634,5283r1,2l7636,5285r2,-2l7643,5283r,2l7642,5285r1,4l7649,5289r1,-2l7652,5287r1,2l7652,5291r-1,l7652,5293r5,l7656,5291r-1,l7654,5289r1,-2l7657,5287r2,2l7660,5289r1,-2l7660,5287r-1,-2l7656,5285r,-2l7660,5283r1,-2l7661,5281r,-2l7662,5277r1,-2l7664,5275r2,-2l7675,5273r1,-2l7679,5271r,2l7679,5273r-2,2l7676,5277r9,l7686,5279r1,2l7692,5281r1,2l7693,5283r2,2l7696,5287r1,l7698,5285r2,-2l7703,5283r-1,4l7704,5289r1,l7706,5291r1,4l7707,5295r2,6l7711,5303r1,l7713,5305r1,-2l7716,5303r,-2l7716,5299r1,l7718,5297r,l7718,5293r,l7717,5291r-1,l7713,5289r,-2l7718,5287r2,-2l7722,5285r1,-2l7723,5281r2,l7725,5283r,2l7726,5287r1,2l7729,5289r1,-2l7742,5287r1,2l7743,5289r1,2l7743,5291r-1,2l7741,5293r,2l7740,5295r-1,2l7738,5297r-1,2l7737,5301r1,2l7746,5303r,-2l7747,5299r,-2l7747,5297r1,-2l7754,5295r1,2l7754,5297r-1,2l7752,5299r,2l7753,5303r,l7755,5305r2,2l7757,5307r1,2l7761,5309r,-2l7760,5305r-2,l7758,5303r-1,l7757,5301r,-2l7758,5299r1,-2l7761,5297r2,4l7763,5303r1,2l7765,5305r1,2l7769,5307r2,-2l7772,5305r1,-2l7775,5301r,l7777,5297r,-4l7782,5293r,6l7783,5303r2,2l7786,5305r2,2l7792,5307r2,2l7796,5309r,-2l7797,5307r1,-2l7800,5305r2,-2l7805,5303r,-2l7806,5301r2,-6l7812,5295r3,2l7816,5299r-7,l7809,5301r,2l7807,5305r-1,2l7806,5309r1,l7809,5307r2,l7812,5305r2,l7816,5303r5,l7821,5305r-5,l7815,5307r-1,l7813,5309r6,l7820,5307r5,l7825,5309r,2l7826,5313r1,l7829,5315r1,l7832,5317r2,l7834,5315r,-2l7837,5313r1,-2l7839,5311r1,-4l7841,5307r1,-2l7844,5305r1,2l7847,5307r1,2l7848,5315r-1,l7846,5317r,2l7847,5319r,2l7853,5321r1,-4l7854,5317r1,-2l7858,5315r,2l7857,5317r-1,2l7858,5319r2,-2l7868,5317r2,2l7871,5319r,2l7869,5321r,2l7870,5323r,2l7870,5327r2,4l7876,5331r2,-2l7880,5329r3,-2l7885,5327r,2l7887,5329r,2l7884,5331r-1,2l7881,5333r,2l7883,5335r2,2l7886,5337r,2l7886,5341r-1,2l7885,5345r1,2l7887,5347r1,2l7891,5349r,-4l7890,5345r,-2l7890,5343r2,-2l7898,5341r1,-2l7900,5339r1,2l7902,5341r,4l7903,5347r5,l7909,5345r4,l7914,5343r2,l7916,5341r2,l7919,5343r3,l7922,5345r-3,l7919,5347r1,l7921,5349r,2l7918,5351r-1,2l7912,5353r-2,2l7908,5355r,2l7908,5357r,2l7908,5359r1,2l7910,5361r1,2l7913,5363r1,-2l7915,5359r2,l7918,5361r5,l7922,5363r1,l7923,5365r2,l7923,5367r,2l7923,5371r1,l7925,5373r4,l7930,5375r1,l7932,5373r-1,l7930,5369r,l7930,5367r3,l7935,5369r1,2l7937,5371r,-2l7938,5367r4,l7943,5365r3,-2l7950,5363r1,2l7951,5369r1,l7953,5371r4,l7958,5369r5,l7963,5371r1,l7964,5373r5,l7970,5371r4,l7976,5373r1,l7977,5375r,2l7976,5379r-1,l7974,5381r,2l7975,5383r1,2l7981,5385r,2l7982,5387r,2l7983,5389r,2l7980,5391r,20l7977,5411r1,-2l7979,5409r1,2l7980,5391r-1,l7978,5393r,l7978,5397r1,2l7979,5399r-1,2l7977,5401r,2l7977,5403r,2l7976,5405r-2,2l7973,5409r-3,l7970,5411r5,l7974,5413r-1,2l7973,5415r1,2l7977,5417r1,2l7976,5419r-1,2l7975,5421r,2l7973,5423r,2l7970,5425r-1,2l7968,5427r,2l7967,5429r,2l7969,5431r,-2l7970,5429r,2l7971,5431r-1,2l7971,5433r-1,2l7967,5435r,-2l7967,5433r-1,2l7966,5439r-2,l7964,5437r-3,l7961,5435r-1,l7960,5437r-2,l7957,5439r-1,l7956,5441r1,l7957,5443r3,l7961,5445r-1,l7959,5447r2,l7961,5449r1,l7962,5451r1,l7962,5453r2,l7964,5455r1,l7965,5457r5,l7970,5459r1,2l7970,5461r,2l7969,5463r,2l7969,5465r,2l7971,5471r,l7970,5473r-3,l7967,5475r2,l7970,5477r,l7967,5479r-1,l7965,5477r,l7965,5475r-1,l7964,5477r-2,l7962,5475r-1,2l7959,5477r,2l7958,5479r-1,-2l7956,5477r,2l7957,5479r,2l7956,5481r,2l7957,5483r-1,2l7954,5485r1,2l7955,5493r,2l7955,5497r2,l7957,5499r-1,l7957,5501r,2l7958,5503r,2l7956,5505r,2l7955,5507r-1,2l7954,5511r,l7954,5513r5198,l13153,5511r3,l13157,5513r5,l13163,5515r1,l13167,5517r1,2l13169,5519r-1,2l13170,5521r,-2l13172,5519r,2l13171,5523r,2l13170,5525r-1,2l13165,5527r-1,2l13165,5529r,2l13165,5531r1,2l13169,5533r,2l13170,5535r,2l13175,5537r,2l13177,5539r,2l13178,5543r-1,4l13176,5547r,2l13174,5549r,2l13174,5551r-1,2l13173,5553r,2l13172,5557r-1,l13171,5559r-1,-2l13170,5559r,2l13169,5563r-1,2l13168,5569r1,4l13171,5573r,2l13171,5575r,-2l13174,5573r,-4l13178,5569r1,4l13180,5571r1,l13182,5573r,l13182,5571r1,l13183,5573r,l13184,5575r1,l13185,5573r,2l13186,5575r,-2l13186,5575r1,2l13187,5575r,4l13186,5579r1,2l13188,5583r5,l13193,5581r1,l13194,5579r3,l13198,5577r3,l13201,5575r,l13204,5573r1,-2l13210,5571r1,-2l13210,5569r1,-2l13212,5565r1,-2l13214,5563r,-2l13215,5561r,-2l13216,5559r,-4l13217,5555r,-2l13213,5553r,-2l13212,5551r,-2l13211,5549r,-2l13212,5545r,-4l13213,5539r1,l13214,5537r,-2l13216,5535r,-2l13218,5533r,-2l13219,5531r,-2l13222,5529r,-2l13220,5527r,-4l13219,5523r-1,-2l13216,5521r,2l13214,5523r-1,-2l13211,5521r,26l13211,5549r-1,l13210,5547r1,l13211,5521r-3,l13208,5519r,2l13207,5523r-1,l13206,5525r-1,l13204,5527r-2,l13202,5529r-4,l13198,5527r-3,l13192,5525r-1,l13190,5523r-2,l13187,5521r-1,l13184,5517r-1,l13182,5515r-1,l13180,5513r,l13179,5511r-1,l13176,5509r,-2l13175,5505r-2,-4l13172,5497r,-2l13173,5495r1,-2l13172,5493r-1,-4l13171,5479r,-2l13173,5473r,-2l13176,5471r1,-2l13172,5469r-1,2l13171,5471r-1,-2l13168,5469r-2,-2l13164,5463r,l13164,5461r-1,l13163,5455r1,-2l13164,5451r2,l13166,5449r,l13167,5447r-1,l13166,5445r,2l13165,5447r,2l13163,5449r,2l13160,5451r-1,2l13159,5449r-1,-2l13157,5447r-2,-2l13154,5443r-1,-2l13153,5441r-1,-4l13151,5435r,-6l13151,5429r1,-6l13152,5417r1,-6l13154,5409r,-2l13154,5405r1,-2l13156,5401r1,-4l13162,5387r3,-4l13166,5383r1,-2l13168,5379r3,-4l13174,5373r1,-2l13176,5371r1,-2l13178,5369r1,-2l13181,5365r3,l13185,5363r1,l13189,5361r2,l13192,5359r8,l13200,5361r1,l13201,5363r1,l13202,5365r1,l13203,5363r1,l13204,5361r,l13204,5359r1,l13205,5357r2,l13207,5353r-1,l13206,5351r2,l13208,5349r2,l13210,5347r3,l13213,5345r-2,l13210,5343r2,l13212,5339r-1,l13210,5337r,-2l13211,5335r,-2l13212,5331r3,-2l13216,5329r1,-2l13219,5327r1,-4l13221,5323r-1,-2l13219,5319r2,l13223,5317r,-2l13222,5315r,-2l13224,5313r-1,-2l13222,5311r1,-2l13226,5309r,-2l13223,5307r1,-2l13227,5305r,-2l13225,5303r,-2l13229,5301r1,-2l13228,5299r1,-2l13228,5297r1,-2l13226,5295r,-2l13226,5293r,-2l13229,5291r-1,-2l13232,5289r,-2l13227,5287r,-2l13227,5285r-1,-2l13225,5281r1,-2l13227,5277r1,-2l13231,5275r,-2l13233,5273r-1,-2l13231,5271r-1,2l13229,5273r-2,-2l13227,5269r,l13226,5267r1,-2l13227,5263r1,l13229,5261r1,l13230,5257r-1,l13228,5255r-1,-2l13226,5249r,-2l13228,5247r2,-2l13233,5245r,-2l13233,5243r,-2l13238,5241r1,2l13247,5243r,-2l13246,5241r,-2l13249,5239r,-2l13251,5237r1,2l13254,5239r1,-2l13257,5237r,-2l13257,5235r1,2l13259,5233r-3,l13254,5235r,l13253,5233r-11,l13240,5231r-1,-2l13239,5225r2,l13240,5223r-3,l13237,5221r-2,-2l13235,5215r,l13236,5213r2,l13239,5211r-1,l13238,5209r-1,2l13236,5211r-1,-4l13236,5201r3,-2l13239,5199r,-4l13241,5189r,-2l13242,5185r1,l13247,5177r2,-2l13250,5173r2,-2l13254,5169r2,-2l13258,5167r1,-2l13261,5165r1,-2l13270,5163r,-2l13269,5159r-1,l13268,5157r,l13267,5155r,l13267,5153r1,l13267,5151r-1,l13267,5149r,-6l13266,5143r,4l13266,5151r,-2l13265,5149r,2l13261,5151r,-2l13260,5149r-2,-2l13258,5147r-1,-2l13257,5143r-3,l13249,5139r-3,l13246,5137r1,l13247,5135r3,l13250,5137r3,l13253,5135r2,l13255,5137r,l13255,5139r1,2l13258,5143r3,l13261,5141r-3,l13258,5139r,-2l13257,5135r1,-2l13257,5133r,-4l13258,5127r,l13258,5125r2,-6l13261,5117r,l13261,5115r2,l13263,5113r,l13262,5111r-1,2l13260,5113r,-2l13259,5111r,-2l13258,5109r1,-4l13259,5105r,-2l13259,5099r1,-2l13261,5097r,-2l13262,5095r1,-2l13263,5093r1,-2l13265,5091r1,-2l13269,5089r-1,-2l13269,5085r1,l13270,5083r2,l13274,5081r2,l13276,5079r1,l13277,5077r2,l13279,5075r-4,l13274,5073r-2,l13271,5069r,l13271,5067r,-2l13271,5063r1,l13272,5061r1,l13273,5059r,l13274,5057r1,l13275,5055r,l13275,5053r,-2l13277,5049r-2,l13275,5047r-1,l13275,5043r,-2l13276,5041r1,-2l13278,5037r2,l13280,5035r1,l13281,5033r1,l13283,5031r1,l13284,5029r2,l13286,5025r2,l13288,5023r2,l13290,5021r1,l13291,5019r2,l13293,5017r2,l13295,5015r1,l13296,5013r1,l13297,5011r1,l13299,5009r1,l13300,5007r2,l13302,5005r2,l13304,5003r1,l13305,5001r2,l13308,4999r1,l13308,4997r1,-2l13310,4995r,-2l13312,4993r,-2l13311,4991r,-2l13312,4989r1,-2l13314,4987r3,-2l13318,4983r,-2l13320,4979r2,l13322,4977r5,l13327,4975r1,l13330,4973r3,l13333,4971r2,l13336,4967r1,l13338,4965r2,l13341,4963r1,-2l13346,4961r,-2l13348,4957r1,l13350,4955r4,l13355,4953r,-2l13357,4951r,-2l13362,4949r1,-2l13364,4947r1,2l13365,4947r,l13365,4945r1,l13366,4943r5,l13372,4941r1,-2l13375,4939r,-2l13380,4937r1,-2l13385,4935r1,-2l13388,4933r1,-2l13392,4931r,-2l13395,4929r,-2l13396,4925r1,2l13397,4927r1,-2l13401,4925r1,-2l13405,4923r1,-2l13405,4921r1,-2l13409,4919r1,-2l13412,4917r,-2l13413,4915r,-2l13414,4915r3,l13417,4913r,l13417,4909r2,l13420,4907r1,l13421,4905r2,l13423,4903r-1,l13422,4902r2,l13425,4900r7,l13432,4898r,l13433,4896r1,-2l13436,4894r,-2l13437,4892r,-2l13439,4890r,-2l13442,4888r-1,-2l13442,4886r1,-2l13444,4884r1,-2l13446,4882r,-2l13447,4878r,-2l13446,4876r,-2l13446,4872r-1,l13445,4870r,2l13442,4872r,2l13443,4874r-1,2l13442,4876r-2,-4l13437,4868r,-2l13437,4866r,-2l13436,4864r,-2l13437,4862r,-2l13438,4860r-1,-2l13436,4858r,-2l13436,4856r,-2l13437,4854r2,-4l13441,4850r,-2l13443,4848r,-2l13447,4846r,-2l13456,4844r1,-2l13458,4842r,2l13463,4844r2,2l13467,4846r1,-2l13468,4846r3,l13472,4848r5,l13477,4846r5,l13482,4844r1,l13484,4842r1,l13485,4840r1,l13486,4838r2,l13488,4836r-1,l13488,4834r,-2l13488,4830r1,l13488,4828r,-2l13487,4826r,-4l13486,4822r-1,-2l13479,4820r,2l13477,4822r,2l13463,4824r,2l13466,4826r-1,2l13470,4828r1,2l13467,4830r-1,2l13461,4832r,-2l13460,4830r,2l13457,4832r-1,2l13455,4834r-1,2l13450,4836r-1,-2l13449,4834r,-2l13446,4832r,2l13439,4834r-1,-2l13436,4832r,-2l13437,4830r,-2l13446,4828r,2l13447,4830r1,-2l13452,4828r,-2l13448,4826r1,-2l13448,4824r-2,-2l13445,4822r-1,-2l13443,4820r-1,-2l13440,4818r,2l13439,4820r,2l13442,4822r-1,2l13440,4824r,2l13437,4826r,2l13432,4828r,2l13432,4830r,-2l13426,4828r,2l13427,4830r1,2l13431,4832r1,2l13435,4834r1,2l13437,4836r1,2l13440,4838r,2l13439,4840r,2l13436,4842r,2l13435,4842r,l13435,4844r-1,l13434,4846r-3,l13431,4844r-1,l13430,4846r-2,l13427,4844r-3,l13422,4842r-1,l13420,4840r-1,-4l13420,4836r1,-2l13417,4834r,-2l13416,4832r-1,-2l13415,4830r,-2l13417,4828r,-2l13416,4826r1,-4l13422,4822r,-2l13425,4820r,-2l13426,4818r,-2l13431,4816r,-2l13431,4814r,-2l13431,4806r1,-2l13432,4804r,-2l13432,4802r2,-4l13435,4798r,-2l13435,4796r1,-2l13436,4792r,l13437,4790r1,l13439,4788r2,-2l13442,4784r3,l13445,4782r4,l13450,4788r2,6l13453,4796r3,l13457,4794r,-2l13455,4792r,-2l13454,4790r-1,-2l13453,4786r2,-2l13457,4784r4,16l13463,4800r,-4l13461,4788r1,l13461,4786r2,l13463,4788r3,l13466,4790r4,l13470,4792r2,l13472,4794r-2,l13471,4796r1,l13472,4798r2,-2l13481,4796r-7,2l13475,4800r,2l13474,4802r,4l13473,4806r1,2l13476,4808r,-2l13477,4804r1,l13480,4802r6,l13487,4804r,2l13488,4808r,l13488,4810r,l13489,4812r1,l13490,4810r1,l13492,4812r1,l13493,4814r,l13493,4816r,l13493,4818r4,l13497,4816r2,l13499,4818r,l13500,4816r,2l13500,4820r2,l13502,4818r-1,l13502,4816r,l13503,4814r,l13504,4812r-1,l13503,4810r,l13503,4808r1,l13504,4806r1,l13503,4804r2,l13505,4802r3,l13508,4800r-1,l13507,4798r-1,l13506,4796r-2,l13504,4794r3,l13507,4796r6,l13512,4794r,-2l13511,4792r,-2l13512,4790r,-2l13510,4788r,-2l13507,4786r,-2l13507,4782r,-2l13511,4780r,-2l13512,4778r-1,-2l13509,4776r,-2l13510,4774r,-2l13509,4772r,-2l13508,4770r,-2l13509,4768r,-2l13508,4766r-1,-2l13507,4764r1,-2l13510,4762r,-2l13509,4758r2,l13512,4760r2,l13514,4758r3,l13516,4756r-1,l13516,4754r,-2l13515,4752r,-2l13516,4750r,-2l13520,4748r,-2l13519,4746r,-2l13520,4744r,-2l13524,4742r,2l13526,4744r,-2l13527,4740r,-2l13526,4738r,-2l13525,4736r,-2l13525,4734r,-2l13526,4730r,-2l13525,4728r,-6l13526,4722r,-2l13526,4720r1,-2l13527,4718r,-4l13528,4714r-1,-4l13526,4710r,-4l13525,4706r-1,-2l13524,4704r,-2l13522,4702r,2l13521,4704r1,2l13520,4706r,2l13524,4708r,2l13523,4712r-2,l13520,4714r-1,l13519,4712r,l13518,4716r-1,l13517,4714r-1,l13516,4712r-2,l13514,4714r-2,l13512,4716r1,l13513,4718r2,l13515,4720r-1,l13515,4722r,l13516,4724r,l13516,4726r-1,l13514,4728r-10,l13504,4726r1,l13505,4724r-4,l13501,4726r,l13501,4728r-2,l13499,4730r-4,l13495,4728r1,l13496,4726r-1,l13495,4724r-1,2l13491,4726r,4l13488,4730r1,-2l13487,4728r-1,-2l13487,4726r-1,-2l13487,4722r1,-2l13486,4720r-1,2l13484,4722r-1,4l13481,4726r,-2l13482,4722r1,l13483,4720r-2,l13481,4722r-3,l13479,4720r-2,-2l13477,4718r-1,2l13475,4720r,72l13475,4794r-2,l13473,4792r2,l13475,4720r,l13474,4722r,l13474,4720r,l13473,4722r,-2l13474,4720r,-2l13474,4718r,-2l13471,4716r,2l13470,4716r1,2l13470,4718r-1,-2l13469,4718r-1,l13468,4716r-1,2l13467,4722r,2l13468,4726r,l13468,4728r,2l13467,4730r,-2l13466,4728r,-2l13465,4726r1,-2l13465,4724r-1,2l13464,4726r1,-2l13464,4722r-1,2l13462,4724r1,-2l13462,4722r-1,2l13460,4724r-2,2l13458,4726r,2l13461,4728r,2l13459,4730r,2l13459,4732r,-2l13457,4730r-1,-2l13453,4728r-1,l13451,4730r-2,l13449,4728r,l13453,4726r,2l13454,4726r3,l13457,4724r1,-2l13461,4722r,-2l13464,4720r,-2l13463,4718r,-2l13461,4716r,2l13458,4718r,-2l13460,4716r,-2l13457,4714r,8l13454,4723r,1l13452,4724r2,-1l13455,4722r2,l13457,4714r-2,l13455,4712r2,l13457,4710r-1,l13458,4708r-1,l13457,4706r,-2l13458,4704r,-2l13459,4702r-1,2l13459,4704r,2l13458,4706r1,2l13459,4708r,-2l13460,4706r,-2l13461,4704r,2l13461,4706r,-2l13462,4704r,2l13463,4706r,2l13462,4708r,2l13462,4712r3,l13464,4710r1,l13465,4708r2,l13467,4710r1,l13468,4712r1,2l13469,4712r2,l13471,4710r2,l13473,4712r1,l13475,4714r4,l13479,4716r1,l13480,4714r1,l13481,4712r-2,l13479,4710r,l13479,4708r3,l13482,4710r1,l13484,4712r,-2l13484,4708r,-2l13485,4706r,2l13485,4708r,2l13487,4710r1,2l13490,4712r-2,-2l13488,4710r,-2l13487,4706r,-2l13490,4704r,2l13489,4706r1,4l13491,4710r,-2l13492,4706r1,l13493,4708r-1,2l13496,4710r1,2l13498,4712r-1,2l13498,4716r2,l13500,4714r-1,l13500,4712r,l13500,4710r-1,l13499,4708r2,l13502,4710r3,l13505,4708r-2,l13503,4706r6,l13509,4704r1,l13509,4702r,-2l13512,4700r,-2l13515,4698r-1,-2l13510,4696r-1,2l13508,4698r,-2l13507,4696r,2l13503,4698r,-2l13503,4696r1,-2l13503,4694r,-2l13504,4692r,-2l13501,4690r,-2l13500,4688r,-2l13501,4684r-1,l13499,4682r,-2l13501,4680r,-2l13502,4678r,2l13503,4680r,2l13503,4682r-1,2l13503,4684r1,2l13508,4686r,2l13509,4688r,2l13509,4692r1,l13510,4690r1,l13511,4688r4,l13515,4686r2,l13517,4688r1,l13518,4686r1,l13519,4684r,l13517,4682r-1,l13516,4680r-1,l13514,4678r1,-2l13515,4678r2,l13518,4680r,l13519,4678r7,l13527,4680r-1,l13525,4682r,2l13528,4684r,2l13529,4684r1,l13529,4688r-2,l13527,4690r,l13526,4692r2,2l13530,4694r,-2l13531,4694r4,l13535,4696r1,l13536,4694r1,2l13537,4694r,-2l13538,4692r,-2l13539,4690r,-4l13541,4686r,-2l13539,4684r,-2l13538,4682r,-2l13537,4680r-1,-2l13533,4678r-1,2l13532,4678r-3,l13529,4676r,l13528,4674r,-4l13529,4670r,-2l13530,4670r,l13530,4668r,l13530,4666r4,l13533,4664r-1,l13532,4660r,-2l13534,4658r1,-2l13538,4656r,-2l13538,4652r,-2l13537,4650r,-2l13536,4648r,-2l13535,4646r,-2l13536,4644r1,-2l13539,4642r1,-2l13543,4640r1,-2l13548,4638r-2,-2l13542,4636r-1,-2l13541,4634r,-2l13539,4632r-1,-2l13537,4630r-1,-4l13536,4624r1,-4l13537,4618r1,l13538,4616r1,l13539,4614r1,l13541,4612r,l13542,4610r,l13542,4612r1,-2l13543,4610r,-2l13544,4608r,-2l13546,4606r,-2l13544,4604r,-2l13543,4602r,-2l13543,4600r1,-2l13544,4598r1,-2l13546,4596r,-2l13548,4594r,-2l13550,4592r1,-2l13550,4590r,-2l13549,4588r,-2l13550,4586r1,-2l13554,4584r1,-2l13555,4580r-2,l13553,4578r,l13553,4576r,-2l13555,4574r1,-2xm13602,1443r-17,l13584,1441r-9,l13575,1443r-6,l13568,1445r34,l13602,1443xm13888,4077r-3,-20l13885,4077r3,xm15009,1457r-1455,l13553,1437r-5,l13548,1417r-19,l13529,1397r-8,l13521,1377r8,l13530,1357r-12,l13518,1337r-7186,l6332,1477r,700l6332,2257r1,760l6333,3037r,580l6333,3657r1,540l6334,4237r,280l13542,4517r,-20l13566,4497r,20l13569,4517r1,-20l13621,4497r,-20l13639,4477r,-20l13637,4457r1,-20l13642,4437r1,-20l13665,4417r1,-20l13670,4397r1,-20l13679,4377r1,-20l13696,4357r,-20l13726,4337r1,-20l13721,4317r,-20l13733,4297r,-20l13760,4277r1,-20l13769,4257r,-20l13776,4237r-1,-20l13779,4217r,-20l13791,4197r-2,-20l13792,4177r,-20l13815,4157r2,-20l13838,4137r,-20l13837,4117r4,-20l13862,4097r1,-20l13880,4077r-1,-20l13885,4057r1,l13887,4037r32,l13920,4017r44,l13966,3997r54,l14022,3977r86,l14110,3957r36,l14147,3937r-150,l13999,3917r-5,l13994,3897r65,l14060,3877r113,l14178,3857r36,l14216,3837r18,l14235,3817r12,l14249,3797r27,l14276,3777r40,l14317,3757r60,l14377,3737r13,l14389,3717r,-20l14398,3697r,-20l14406,3677r,-20l14394,3657r-1,-20l14394,3637r,-20l14403,3617r1,-20l14422,3597r,-20l14406,3577r,-20l14382,3557r,-20l14380,3537r1,-20l14386,3517r,-20l14401,3497r2,-20l14409,3477r-1,-20l14410,3457r,-20l14425,3437r,-20l14441,3417r2,-20l14455,3397r1,-20l14475,3377r2,-20l14504,3357r1,-20l14535,3337r1,-20l14540,3317r-1,-20l14544,3297r2,-20l14560,3277r1,-20l14579,3257r1,-20l14581,3237r,-20l14588,3217r2,-20l14605,3197r2,-20l14610,3177r,-20l14620,3157r-1,-20l14618,3137r2,-20l14632,3117r2,-20l14652,3097r2,-20l14673,3077r1,-20l14679,3057r-1,-20l14666,3037r,-20l14668,3017r1,-20l14678,2997r1,-20l14692,2977r1,-20l14704,2957r-2,-20l14704,2937r1,-20l14704,2917r1,-20l14699,2897r3,-20l14707,2877r1,-20l14710,2857r1,-20l14720,2837r2,-20l14734,2817r5,-20l14755,2797r2,-20l14771,2777r-8,-20l14752,2757r,-20l14754,2737r1,-20l14760,2717r4,-20l14775,2697r1,-20l14788,2677r,-20l14757,2657r-5,-20l14734,2637r-1,-20l14727,2617r,-20l14726,2597r,-20l14724,2577r1,-20l14719,2557r-1,-20l14718,2537r1,-20l14722,2517r2,-20l14733,2497r1,-20l14735,2477r,-20l14735,2457r1,-20l14736,2437r1,-20l14744,2417r,-20l14746,2397r1,-20l14752,2377r1,-20l14764,2357r1,-20l14777,2337r-1,-20l14783,2317r1,-20l14798,2297r,-20l14803,2277r2,-20l14829,2257r-3,-20l14825,2237r,-20l14824,2217r,-20l14834,2197r1,-20l14842,2177r1,-20l14859,2157r,-20l14865,2137r1,-20l14874,2117r,-20l14867,2097r,-20l14864,2077r-1,-20l14869,2057r1,-20l14881,2037r1,-20l14893,2017r2,-20l14908,1997r,-20l14916,1977r,-20l14913,1957r-1,-20l14915,1937r2,-20l14931,1917r1,-20l14927,1897r1,-20l14933,1877r,-20l14932,1857r1,-20l14941,1837r1,-20l14957,1817r,-20l14950,1797r1,-20l14956,1777r1,-20l14958,1757r,-20l14962,1737r1,-20l14970,1717r1,-20l14978,1697r,-20l14981,1677r,-20l14980,1657r,-20l14979,1637r,-20l14987,1617r,-20l14988,1597r1,-20l14966,1577r-1,-20l14964,1557r1,-20l14970,1537r1,-20l14981,1517r1,-20l14996,1497r1,-20l15007,1477r2,-20xm15126,761r-1,-2l15125,761r1,xm15173,1063r-1,l15172,1065r-7,l15165,1067r,2l15153,1069r-1,-2l15150,1067r-1,-2l15146,1065r-1,-2l15143,1061r-1,l15141,1059r-2,l15140,1057r-2,-2l15137,1055r-3,-6l15132,1047r-1,l15130,1045r-5,-8l15124,1035r-2,-6l15121,1027r-1,-4l15117,1011r-1,-12l15116,997r-1,l15115,995r-1,l15113,991r-1,-4l15112,977r,-2l15112,965r,-2l15112,955r1,-4l15113,947r,-4l15114,943r,-6l15115,931r2,-6l15117,921r2,-6l15120,913r,-2l15121,907r1,-4l15122,901r,-2l15123,899r,-2l15124,895r1,-4l15126,885r1,-2l15127,881r1,l15128,879r3,-4l15132,875r,-2l15130,873r,-2l15129,871r-1,-2l15128,861r1,-4l15130,855r-3,l15126,853r,l15126,851r-1,l15125,847r2,-14l15128,829r1,-4l15129,825r1,-4l15130,819r1,-2l15133,809r2,-4l15135,803r1,-2l15135,801r,-2l15135,799r,2l15134,801r,l15134,801r-1,2l15133,801r1,l15134,801r-1,-2l15130,799r-2,-2l15127,795r-1,l15125,793r,-4l15124,789r,102l15124,893r,-2l15124,891r,-102l15124,787r-1,-2l15123,781r,-10l15124,765r1,-2l15125,761r-2,-2l15122,757r,l15121,755r-1,l15120,753r-1,l15117,749r-1,-4l15115,741r,l15115,739r-2,l15112,741r,l15111,739r2,l15113,737r-6,l15106,739r-1,l15104,741r-1,l15101,743r,2l15098,745r-1,-2l15095,743r-2,-2l15089,741r-3,-2l15077,735r-1,l15073,733r-1,l15066,731r-8,l15058,733r-1,l15056,735r-1,-2l15055,735r-3,l15051,739r-1,l15049,741r-1,l15047,743r,2l15046,747r-3,l15040,749r-1,l15038,751r-5,l15031,753r-1,l15028,755r-1,l15026,757r-2,l15023,759r-2,l15021,761r-2,l15019,763r-1,l15016,767r-4,l15010,769r-2,l15008,771r-2,2l15005,773r-5,8l14998,781r,2l14999,783r,2l14998,785r-1,2l14994,787r-2,2l14988,789r-1,2l14984,791r-1,2l14980,793r-1,2l14960,795r,-2l14958,793r-1,-4l14957,787r-16,l14941,789r-4,l14937,787r-2,l14935,785r-2,l14933,783r-3,l14930,785r-7,l14923,783r-3,l14920,785r-1,l14919,787r-4,l14915,789r-4,l14911,791r-1,l14910,793r-14,l14896,795r-2,l14893,797r-1,l14891,799r,l14890,801r,4l14878,805r,-2l14876,803r-1,-2l14874,801r-2,-4l14869,797r,2l14863,799r-1,-2l14861,797r,-2l14858,795r,-2l14857,793r-1,2l14850,795r-1,2l14849,797r-1,2l14848,799r-1,4l14847,803r,2l14847,807r2,2l14848,811r1,2l14846,815r-1,-2l14844,815r-2,l14840,817r-1,l14841,819r1,l14841,821r3,2l14844,825r,l14843,827r-1,l14841,829r-1,l14840,827r-6,l14834,831r-3,l14830,833r-4,l14825,835r1,l14827,839r-2,l14824,837r-1,l14823,839r-2,l14819,843r-5,l14813,845r-1,l14812,847r4,4l14815,851r-1,4l14813,855r,2l14812,857r-3,2l14807,859r,2l14806,861r,2l14805,865r,2l14804,867r,2l14802,869r-1,2l14800,871r-1,-2l14798,871r-3,-2l14790,869r,-2l14788,867r-1,2l14785,869r-1,-2l14782,869r-1,l14781,867r-3,l14776,865r-1,-2l14773,863r-1,-2l14763,861r-1,-2l14760,859r-3,-2l14752,861r-2,-2l14747,859r-4,-2l14741,857r-8,2l14723,859r-1,-2l14720,857r-1,-2l14718,857r-5,l14710,853r-13,l14697,855r-1,-2l14694,853r-1,2l14693,855r-1,-2l14692,853r-1,2l14681,855r-1,2l14678,855r-2,l14675,853r-7,l14668,851r-4,l14663,849r-7,l14655,847r-1,l14654,845r-2,l14652,843r-3,l14649,841r-2,l14646,839r-3,l14642,837r-1,l14641,839r-21,l14620,841r-1,l14619,843r-2,l14616,845r-9,l14606,847r,l14606,849r-2,l14603,851r,2l14603,853r,2l14598,855r,2l14595,857r-1,2l14593,859r,2l14592,861r,2l14592,863r,2l14592,867r-6,l14586,869r,l14586,867r-4,l14582,869r-24,-2l14557,869r1,l14559,871r,2l14557,875r-7,l14550,873r-1,l14544,871r-1,l14542,869r-1,l14540,867r,2l14538,869r,-2l14537,867r,-2l14535,865r,-2l14533,863r,-2l14530,861r,2l14530,863r,-2l14526,861r,-2l14524,859r-2,2l14521,861r,-2l14520,859r-1,-2l14516,857r,-2l14508,855r,-2l14507,853r,-2l14500,851r,-2l14498,849r,-6l14497,843r-2,-2l14494,841r,-2l14491,839r,-2l14484,837r,2l14473,839r,-2l14471,837r,-2l14469,835r-1,-2l14466,833r,-2l14464,831r-1,-2l14463,827r-1,l14462,825r1,l14463,823r-1,l14462,821r-1,l14461,819r-3,l14458,813r-1,l14457,811r,l14457,809r-1,l14456,811r-2,l14454,813r-2,l14452,815r-3,l14449,817r-2,l14447,819r-1,l14446,821r-1,l14445,823r,l14445,827r,2l14445,831r1,l14446,833r1,l14447,835r1,l14448,837r-3,l14445,839r-1,l14444,841r,2l14442,843r,2l14441,845r,2l14440,847r-1,2l14437,849r,2l14435,851r-1,2l14434,855r-1,l14432,857r-2,l14430,855r-1,l14428,853r,-2l14427,851r,-2l14426,849r,-2l14415,847r,-2l14415,845r,-2l14413,843r,2l14408,845r,-2l14406,843r,-2l14405,841r,-2l14403,839r-1,-2l14397,837r,-2l14394,835r,-2l14394,831r1,l14396,829r1,l14396,827r,-2l14397,825r,-2l14396,823r,-2l14397,819r2,-2l14399,817r,-6l14400,811r,-2l14401,809r,-4l14398,805r-2,-2l14392,803r-2,-2l14388,801r-1,-4l14386,795r-6,l14379,797r-12,l14367,799r-2,l14365,801r-13,l14351,803r-2,l14349,805r-1,l14348,809r,l14348,811r-1,l14346,813r-1,l14345,815r-3,l14341,817r,l14340,819r-1,l14338,821r,l14337,823r-1,l14336,827r1,l14337,829r-13,l14324,831r-2,l14321,829r-4,l14316,831r-1,l14315,833r1,l14316,835r-1,l14315,837r-1,l14314,839r-1,l14313,841r,l14314,845r1,l14317,849r,l14318,851r,l14319,853r-1,l14317,855r-2,2l14314,859r-1,l14312,861r-1,l14307,863r-1,l14306,865r-1,2l14304,867r-1,2l14303,869r,2l14302,871r,2l14300,873r,2l14298,877r-1,2l14293,879r-1,-2l14280,877r,-2l14277,875r,-2l14274,873r-1,2l14270,875r,2l14267,877r-1,2l14265,879r-1,-2l14259,877r-1,2l14258,879r-1,-2l14248,877r,-2l14242,875r,2l14242,877r-1,2l14240,879r,2l14237,881r-1,2l14235,883r-1,2l14232,885r-1,2l14230,887r,2l14229,889r,2l14229,893r,l14229,895r-13,l14215,893r-2,l14213,895r-1,l14212,897r-1,l14209,899r,2l14208,901r-2,2l14205,903r,2l14203,905r,2l14203,909r-5,l14196,911r-2,l14194,913r,l14194,915r-1,l14193,917r-2,l14190,919r-1,l14187,921r,2l14187,925r-1,l14186,927r-2,l14182,929r-1,2l14181,931r-1,2l14178,935r-1,l14176,933r-5,l14171,931r-1,-2l14169,927r-7,l14162,925r-4,l14156,927r-4,l14150,925r-7,l14142,923r-4,l14137,925r-2,l14134,927r-5,l14127,931r-3,l14124,933r-1,l14123,935r-2,l14121,937r-3,l14118,939r-3,l14114,941r-1,l14111,943r-1,2l14097,945r-1,2l14093,947r,2l14074,949r,2l14074,953r,l14074,955r-1,2l14074,957r,2l14073,961r-1,l14071,963r-1,l14068,965r-5,l14059,967r-1,2l14057,969r,2l14054,971r,2l14053,973r-2,2l14047,979r-4,l14043,981r-1,l14040,983r-1,l14040,985r-1,2l14038,989r-10,l14026,991r,-2l14022,989r-2,-2l14020,987r-2,2l14018,987r-1,l14017,985r-2,-2l14015,981r1,-2l14015,975r,l14015,973r-6,l14008,975r-1,l14006,977r-2,l14002,979r-1,2l13997,981r,2l13996,983r-1,2l13995,985r,2l13996,987r,2l13997,989r-1,2l13995,991r-1,4l13994,995r-1,2l13994,999r,l13994,1001r2,l13996,1003r-1,l13994,1005r,2l13996,1009r1,2l13997,1013r,l13996,1015r1,l13998,1017r3,l14002,1019r1,2l14010,1021r,2l14011,1023r1,2l14014,1025r1,2l14017,1027r-1,2l14017,1029r,2l14018,1031r,4l14020,1037r1,l14020,1039r,l14020,1041r-1,l14019,1043r,2l14020,1045r,2l14022,1047r,2l14022,1051r-1,l14021,1053r-1,l14020,1055r,l14020,1057r4,4l14025,1063r,l14026,1065r,l14028,1069r,4l14029,1073r-1,2l14029,1077r2,l14032,1079r1,2l14034,1083r1,l14034,1085r2,2l14036,1087r2,-2l14044,1085r,2l14049,1087r5,-2l14054,1085r3,2l14058,1089r1,2l14058,1091r1,2l14060,1093r2,2l14064,1097r5,l14070,1095r1,l14072,1097r1,l14073,1099r1,l14074,1101r-1,l14072,1103r1,2l14072,1105r1,2l14073,1107r,2l14074,1111r3,2l14077,1113r1,2l14079,1115r1,2l14077,1121r-3,l14070,1123r-1,l14067,1125r,l14067,1127r-2,l14064,1129r-4,2l14057,1131r,2l14059,1133r1,4l14060,1139r-1,l14059,1141r-1,l14058,1143r-3,l14055,1147r,2l14053,1149r-1,2l14052,1153r1,2l14053,1155r,2l14053,1159r,l14054,1161r-2,2l14052,1165r1,l14055,1167r,2l14054,1171r-2,2l14050,1173r-1,2l14051,1175r2,4l14052,1183r,4l14052,1187r-1,4l14052,1191r,2l14051,1193r-1,2l14050,1197r,2l14050,1201r-3,l14046,1203r-3,l14041,1205r1,l14041,1207r-2,l14039,1211r,2l14039,1213r-1,2l14038,1215r,2l14041,1217r2,2l14045,1221r2,l14047,1219r2,l14053,1217r1,l14054,1219r,2l14053,1221r,2l14054,1223r-1,2l14052,1225r-1,2l14050,1227r-1,2l14049,1229r,2l14049,1231r,2l14047,1233r,2l14046,1237r,l14046,1239r-1,2l14044,1241r1,2l14044,1243r-2,2l14038,1245r1,2l14039,1247r-1,2l14037,1249r,2l14036,1253r-1,l14035,1255r-3,l14031,1257r-2,l14028,1255r-1,-2l14028,1249r-1,-2l14025,1247r-1,2l14024,1249r-8,6l14015,1255r-1,2l14014,1257r-2,-2l14009,1257r-1,l14006,1261r-2,l14002,1263r-9,l13988,1265r-6,l13978,1267r-2,l13975,1269r-3,l13970,1271r-2,l13968,1269r1,-2l13966,1265r-4,-2l13959,1261r-4,l13954,1259r-2,2l13951,1261r-7,-2l13934,1259r-3,-2l13929,1255r-7,l13919,1257r-2,l13916,1259r-1,l13912,1265r,2l13911,1269r,4l13911,1273r,2l13911,1275r,2l13913,1277r1,2l13914,1281r-1,l13911,1285r1,l13911,1289r,l13911,1291r-1,l13909,1293r-1,l13905,1295r-2,-2l13896,1293r,-2l13895,1289r2,l13897,1285r-3,l13893,1283r-1,-2l13886,1283r-1,2l13884,1283r-1,2l13881,1285r-1,2l13874,1287r-4,4l13868,1291r-1,-2l13866,1289r1,-2l13866,1287r1,-2l13868,1285r,-2l13868,1281r,l13868,1277r-3,l13863,1275r-3,l13859,1273r-2,-2l13858,1269r-1,l13855,1267r,-2l13854,1267r-2,l13851,1265r-2,l13847,1263r1,l13849,1261r-1,-2l13847,1257r,-2l13846,1255r,-2l13845,1253r,-2l13846,1249r-1,-2l13843,1247r-1,-2l13841,1243r-1,l13840,1241r-1,-2l13839,1239r1,-2l13840,1235r,l13841,1233r,-2l13840,1231r-2,-2l13837,1229r,-2l13833,1227r-1,2l13831,1229r-2,2l13827,1231r-2,2l13825,1231r-1,l13823,1229r-2,2l13820,1233r-1,l13818,1235r,2l13818,1237r-3,2l13813,1239r,2l13813,1243r-1,l13809,1241r,l13807,1243r-2,4l13803,1247r-2,4l13801,1251r,2l13799,1253r,2l13790,1255r-1,2l13787,1259r-1,l13785,1261r-2,l13783,1263r-1,l13780,1261r-1,l13777,1263r-1,l13773,1265r,l13772,1267r1,l13772,1269r-1,l13771,1271r-1,l13768,1269r-2,l13765,1267r-3,l13761,1269r-2,l13757,1267r-6,l13750,1269r-1,l13747,1271r-7,l13739,1273r-1,l13738,1275r-1,l13736,1277r-1,l13733,1279r,2l13725,1281r-1,-2l13721,1281r,l13720,1283r-2,l13715,1285r-2,l13712,1287r-5,l13706,1289r,2l13706,1293r,2l13706,1297r-1,2l13703,1301r-1,l13702,1305r-2,l13699,1307r-5,l13694,1309r-3,l13691,1311r-3,2l13687,1315r,2l13688,1317r-1,2l13684,1323r-1,l13683,1325r-2,l13680,1327r,l13680,1329r-1,l13679,1331r,l13678,1333r-2,l13675,1335r,4l13674,1339r,2l13673,1341r,4l13674,1345r,2l13674,1349r,2l13673,1351r,2l13672,1353r,2l13672,1355r,2l13671,1357r-1,2l13670,1359r,2l13672,1361r1,2l13675,1365r3,l13678,1367r1,l13679,1369r-2,2l13675,1371r,-2l13673,1369r,2l13672,1371r1,2l13671,1375r-1,l13670,1377r-1,l13668,1381r-1,l13667,1383r-5,l13662,1385r-4,l13657,1387r-4,l13653,1389r-3,l13650,1391r,2l13649,1393r,2l13649,1395r,2l13648,1397r,2l13648,1399r,2l13647,1401r,2l13646,1405r-1,l13645,1407r-1,l13644,1409r-4,4l13637,1413r-1,2l13634,1415r-1,2l13630,1417r,2l13628,1419r-1,4l13624,1423r,2l13621,1425r-1,-2l13620,1425r-4,l13615,1427r-1,l13613,1429r-1,l13612,1431r,l13611,1433r-1,l13610,1435r-2,l13608,1439r,l13608,1441r-2,l13605,1443r-2,l13603,1445r1415,l15019,1443r1,l15025,1439r1,-2l15029,1435r1,-2l15031,1433r6,-6l15038,1427r2,-4l15041,1423r1,-2l15042,1421r2,-2l15045,1419r1,-2l15042,1417r-1,-2l15040,1415r,-2l15039,1413r1,-2l15040,1409r,l15041,1405r,-2l15040,1403r,-2l15032,1401r,-2l15031,1401r-1,l15031,1399r-1,l15029,1395r,-4l15029,1387r1,-6l15031,1379r1,-6l15033,1371r,-2l15034,1367r1,-2l15035,1365r1,-2l15037,1361r,l15037,1359r1,l15038,1357r1,l15039,1355r,l15040,1353r1,-2l15042,1351r1,-4l15044,1347r3,-6l15047,1339r1,l15048,1337r1,-2l15050,1335r1,-2l15051,1331r1,l15053,1329r1,l15054,1327r2,-2l15057,1323r1,l15059,1321r2,-2l15063,1315r1,l15065,1313r1,-2l15067,1311r2,-4l15072,1303r2,-2l15076,1299r2,-2l15078,1295r3,-2l15082,1291r1,l15084,1289r1,-2l15087,1285r4,-4l15092,1279r1,l15094,1277r4,-4l15099,1271r1,l15100,1269r3,-2l15103,1267r2,-2l15106,1263r2,-2l15109,1261r1,-2l15112,1257r1,-2l15114,1255r2,-2l15117,1251r5,-4l15123,1245r2,-2l15126,1243r,-2l15128,1241r1,-2l15131,1239r1,-2l15132,1237r2,-2l15138,1235r-2,-2l15135,1233r1,-2l15137,1231r1,2l15139,1233r,-2l15140,1229r1,l15141,1227r,-2l15142,1225r1,-2l15144,1223r1,-2l15145,1219r1,-2l15146,1217r,-2l15147,1215r1,-2l15149,1213r1,-2l15151,1211r,-2l15149,1209r,-2l15149,1203r1,l15150,1201r1,-4l15150,1197r,-2l15149,1195r-1,-2l15149,1191r,l15150,1189r,-2l15149,1185r-1,l15146,1183r-1,l15144,1181r-1,l15142,1179r-1,-8l15142,1165r1,-2l15143,1161r1,-4l15145,1155r1,-4l15147,1147r1,-2l15149,1143r,l15149,1141r1,-2l15151,1139r1,-2l15153,1135r,-2l15154,1131r1,l15155,1129r2,l15157,1127r1,l15159,1125r-1,l15157,1123r,-2l15158,1121r,-2l15158,1119r,-2l15158,1117r1,-2l15158,1113r-2,l15155,1111r,-4l15155,1107r,-2l15156,1103r1,-2l15157,1099r,l15158,1095r2,-6l15162,1085r3,-6l15165,1077r1,l15167,1075r,l15168,1073r,l15169,1071r3,l15172,1069r1,-4l15172,1065r1,-2xe" fillcolor="#e1e0e1" stroked="f">
              <v:stroke joinstyle="round"/>
              <v:formulas/>
              <v:path arrowok="t" o:connecttype="segments"/>
            </v:shape>
            <v:shape id="docshape1735" o:spid="_x0000_s3353" type="#_x0000_t75" style="position:absolute;left:13995;top:3872;width:202;height:101">
              <v:imagedata r:id="rId189" o:title=""/>
            </v:shape>
            <v:shape id="docshape1736" o:spid="_x0000_s3352" style="position:absolute;left:7956;top:5511;width:5186;height:795" coordorigin="7957,5511" coordsize="5186,795" path="m13143,5511r-5183,l7962,5514r,1l7963,5515r,l7963,5516r1,l7964,5516r1,2l7966,5518r,l7966,5518r,2l7967,5520r,1l7967,5523r1,l7968,5524r-1,1l7967,5526r-2,2l7965,5530r1,1l7964,5532r,l7964,5534r1,l7965,5535r,l7964,5536r,l7965,5536r,1l7966,5537r,2l7965,5539r,1l7966,5540r,2l7966,5543r-4,l7962,5542r,l7961,5542r,-1l7961,5540r-1,1l7959,5541r-1,l7957,5542r,l7957,5542r1,1l7960,5543r1,1l7960,5544r-1,1l7959,5546r1,l7960,5546r2,-1l7962,5546r-1,l7961,5547r,l7961,5548r3,l7966,5546r,l7967,5547r,l7966,5548r-1,l7964,5549r,1l7964,5552r-1,1l7963,5554r,1l7964,5555r1,-1l7965,5554r,-1l7965,5552r,-1l7965,5550r2,l7967,5551r1,l7968,5552r,l7969,5553r,1l7969,5555r,1l7969,5557r-2,1l7967,5559r1,1l7968,5560r1,l7969,5560r,1l7970,5562r,l7970,5562r-1,l7969,5563r,1l7969,5564r-1,1l7969,5565r,1l7970,5566r1,l7973,5568r,1l7973,5569r-2,1l7971,5572r-1,l7970,5572r-2,l7968,5573r,l7968,5573r1,1l7969,5574r1,l7972,5574r,1l7971,5575r,l7971,5576r,1l7973,5577r,1l7970,5578r,l7970,5579r,l7971,5580r1,l7972,5581r1,l7974,5582r-1,l7971,5582r,1l7970,5583r,l7971,5584r1,l7972,5586r1,1l7973,5588r1,1l7974,5589r,1l7976,5590r,-1l7975,5588r,l7975,5587r,l7976,5587r1,1l7978,5588r,l7978,5588r,-2l7979,5586r1,1l7982,5587r1,1l7984,5588r,1l7982,5589r,1l7982,5590r,2l7983,5592r,2l7985,5596r,2l7986,5599r,1l7987,5600r,l7990,5600r1,1l7991,5601r1,1l7992,5602r1,1l7993,5604r1,1l7997,5609r1,l8000,5611r2,1l8002,5614r,1l8002,5617r2,l8005,5618r,l8005,5619r,l8005,5620r-4,3l8001,5623r-2,2l7999,5626r1,1l8001,5627r1,l8002,5628r,l8001,5629r-1,l8000,5629r-1,l7999,5630r1,l8000,5630r3,l8001,5631r,1l8001,5632r,1l7999,5635r,1l7999,5637r,1l8000,5638r,-1l8000,5636r1,l8002,5637r1,l8003,5636r1,l8004,5636r1,l8005,5637r1,l8006,5639r1,1l8007,5641r,l8005,5643r-2,1l8002,5644r,1l8003,5646r,l8004,5646r1,-1l8006,5646r,l8006,5647r-1,l8005,5648r1,1l8007,5650r,l8008,5651r1,l8011,5649r1,l8014,5652r6,l8021,5652r3,l8026,5651r1,-1l8028,5649r2,l8030,5649r,1l8031,5651r1,1l8033,5652r1,l8034,5650r1,-1l8037,5650r1,-1l8041,5649r1,l8043,5649r1,-1l8046,5648r,3l8047,5652r2,1l8050,5653r2,3l8052,5657r1,2l8055,5658r1,l8057,5658r,2l8057,5661r,3l8058,5665r,1l8059,5667r,l8060,5669r1,l8061,5670r1,l8062,5669r4,l8067,5670r1,l8068,5669r6,l8075,5670r1,l8076,5670r1,l8079,5669r2,l8082,5668r1,l8084,5666r,l8086,5666r,l8087,5666r1,l8088,5665r1,l8090,5665r1,l8091,5665r1,l8092,5665r1,l8093,5664r1,l8095,5665r1,3l8097,5668r,1l8098,5670r,l8099,5670r2,l8101,5670r1,l8102,5669r1,l8103,5669r2,l8105,5668r2,l8108,5668r3,l8112,5667r,l8114,5666r,l8115,5666r,l8115,5665r1,l8116,5664r-1,l8115,5664r,l8115,5663r-1,l8114,5663r,-1l8113,5661r1,l8116,5661r,-1l8117,5660r,l8118,5660r,l8119,5660r,l8119,5660r1,-1l8120,5659r1,l8122,5659r,-1l8125,5658r1,l8126,5658r,l8127,5659r1,l8130,5661r,l8131,5661r,l8132,5662r,l8135,5665r1,l8137,5666r,l8137,5668r1,1l8138,5671r-1,l8137,5672r-1,l8136,5672r,l8136,5673r-1,1l8135,5674r-1,1l8134,5677r1,l8135,5678r,l8136,5678r,1l8135,5679r,l8134,5679r,1l8133,5680r,1l8133,5681r-1,l8131,5681r-1,l8129,5681r,l8127,5681r-1,1l8126,5683r1,1l8128,5684r,1l8127,5685r,l8126,5686r2,2l8128,5688r1,l8130,5688r,1l8130,5692r1,1l8131,5694r1,1l8133,5696r,1l8132,5698r,1l8132,5702r-1,1l8132,5705r1,l8133,5704r,l8133,5703r,l8133,5702r2,l8135,5703r1,l8136,5704r1,-1l8139,5702r,l8140,5702r,1l8138,5705r,l8139,5707r,l8139,5708r2,l8142,5707r2,l8145,5708r,1l8144,5709r,l8142,5711r-1,l8140,5711r,1l8141,5712r2,l8144,5713r,l8145,5713r,1l8144,5715r-2,1l8142,5716r,1l8141,5718r-1,-1l8139,5718r,l8139,5719r-1,1l8139,5721r-2,1l8137,5723r1,1l8138,5724r1,2l8135,5726r,2l8136,5729r-3,l8132,5728r-2,l8130,5729r1,1l8132,5730r,l8132,5731r,l8130,5732r-2,2l8128,5737r-2,1l8126,5739r-1,1l8126,5740r,3l8125,5743r,2l8125,5745r,l8126,5745r,1l8126,5747r,1l8126,5748r,1l8126,5750r-1,2l8125,5753r1,1l8126,5755r1,1l8127,5756r,1l8129,5757r1,-1l8130,5756r,-1l8131,5755r,-2l8131,5753r,l8133,5753r,l8133,5754r,l8133,5755r1,l8134,5755r1,l8135,5755r,l8136,5754r1,l8137,5755r1,l8138,5755r1,l8139,5757r1,1l8140,5758r,1l8143,5759r,l8144,5759r,2l8144,5761r,1l8149,5762r1,1l8150,5764r,l8150,5765r-1,l8150,5765r,1l8151,5766r,1l8152,5768r1,l8153,5769r,l8153,5770r1,l8154,5771r-1,l8153,5772r3,l8157,5773r,2l8158,5775r,l8159,5774r1,l8160,5774r1,l8162,5775r1,1l8163,5777r-1,l8162,5778r,1l8162,5779r-1,l8161,5781r,l8162,5781r,1l8162,5782r,l8163,5782r,1l8164,5783r,1l8164,5784r1,l8165,5785r-1,1l8164,5786r1,1l8165,5787r,l8166,5787r1,1l8168,5788r,-1l8168,5787r,-1l8168,5784r,l8168,5784r1,-1l8169,5783r,-1l8170,5782r,1l8171,5784r,l8172,5785r1,l8173,5784r1,l8174,5785r1,l8175,5786r,l8176,5787r,l8175,5787r-2,2l8173,5789r-1,l8172,5790r,1l8172,5791r,l8173,5792r,1l8174,5794r4,l8178,5794r,1l8179,5796r,l8180,5797r,l8181,5797r,l8182,5796r,l8182,5796r2,l8184,5795r,-1l8185,5793r1,l8186,5792r1,l8187,5793r1,l8188,5792r,-1l8188,5791r-1,l8187,5790r3,l8190,5789r,-1l8190,5787r1,l8191,5786r1,l8192,5786r1,l8194,5787r,-1l8195,5786r,l8196,5786r,l8196,5786r1,1l8198,5787r,-1l8199,5786r,l8198,5785r,l8197,5784r,-1l8197,5783r,-1l8198,5782r,l8197,5781r-1,l8196,5781r,-1l8197,5780r,-1l8198,5779r,-2l8198,5777r,-1l8200,5776r1,l8201,5776r3,l8204,5776r1,l8205,5776r1,1l8207,5777r,1l8209,5778r,-1l8209,5774r2,l8212,5775r1,l8213,5776r,l8213,5777r1,l8214,5781r2,l8216,5781r,3l8217,5785r2,l8219,5784r,l8219,5783r2,-1l8221,5782r,l8221,5782r1,-1l8223,5781r,l8224,5781r,2l8223,5784r-1,2l8222,5787r1,1l8223,5789r2,l8225,5787r1,l8226,5787r1,-1l8227,5786r,-1l8228,5785r1,1l8229,5786r1,1l8230,5787r-1,l8229,5787r-1,l8228,5788r,1l8227,5789r,2l8228,5791r1,l8230,5791r,l8234,5791r,l8236,5791r,-1l8238,5790r1,-1l8242,5789r1,1l8243,5791r,1l8243,5792r1,l8244,5792r1,l8245,5791r2,l8248,5792r1,l8249,5791r1,-1l8252,5790r,-1l8252,5789r,-1l8252,5787r,l8252,5787r1,l8253,5788r1,l8254,5787r3,l8257,5788r,l8257,5789r,1l8258,5791r1,l8260,5792r,l8261,5792r1,l8263,5792r,l8264,5791r,l8264,5791r2,l8267,5792r-1,l8266,5792r,1l8266,5796r-1,l8265,5797r1,l8266,5797r1,l8268,5797r,l8269,5797r,1l8269,5798r-1,1l8268,5801r1,1l8269,5802r,l8268,5802r-1,l8267,5803r,l8266,5804r,l8266,5803r-1,l8264,5804r,l8263,5804r,2l8263,5806r,1l8262,5807r,l8263,5809r1,l8264,5808r1,l8266,5807r1,l8267,5807r1,1l8268,5809r-2,1l8266,5810r-1,l8265,5812r2,l8268,5811r2,l8271,5812r1,l8272,5813r,-1l8274,5812r,1l8275,5813r1,-1l8278,5812r,l8281,5812r,l8284,5812r,1l8285,5813r,1l8286,5814r,l8286,5816r1,l8287,5817r2,l8289,5817r1,l8290,5818r1,1l8292,5819r,1l8294,5820r,-1l8298,5819r1,1l8301,5820r,1l8301,5821r1,1l8303,5822r,l8304,5822r,1l8305,5823r,1l8304,5824r,l8304,5825r-1,l8302,5826r-1,l8301,5827r-1,l8300,5827r,1l8300,5828r1,1l8302,5829r1,-1l8305,5828r2,l8307,5828r,1l8307,5829r,2l8309,5834r2,1l8313,5835r,l8315,5835r1,1l8319,5836r2,2l8321,5838r3,2l8326,5840r,l8327,5840r,-1l8328,5839r,l8329,5839r1,l8330,5839r,3l8330,5843r-1,l8329,5845r1,l8331,5846r,l8332,5846r,1l8332,5847r1,l8334,5848r,1l8333,5849r,l8333,5850r-1,l8332,5852r2,l8334,5851r,l8335,5850r,l8336,5850r2,2l8338,5853r2,l8340,5850r1,l8341,5851r1,l8342,5852r,l8342,5853r,l8343,5853r,l8343,5854r1,l8344,5856r1,l8345,5856r,1l8348,5857r,-1l8350,5855r2,l8352,5856r,l8354,5858r1,l8356,5859r,l8357,5860r,l8358,5861r1,l8359,5861r1,1l8362,5862r,l8363,5862r1,-1l8365,5861r1,1l8366,5863r-1,l8365,5862r-1,l8364,5864r,l8364,5865r1,l8366,5865r1,l8368,5865r1,l8369,5864r-1,-1l8368,5862r2,l8371,5863r1,l8373,5864r,1l8372,5865r2,1l8375,5866r1,-1l8378,5867r1,-1l8381,5867r2,-2l8384,5865r,l8385,5866r1,l8385,5867r-1,l8383,5867r1,3l8385,5870r,l8386,5868r1,-1l8391,5867r1,l8393,5867r1,-1l8395,5866r3,2l8402,5868r1,l8402,5865r1,l8404,5865r2,2l8407,5867r1,l8408,5867r-1,-1l8407,5866r3,l8410,5867r-1,2l8410,5871r1,1l8411,5872r-1,1l8408,5873r-1,-1l8406,5872r-2,3l8405,5876r1,2l8407,5878r1,l8410,5880r,l8409,5881r,1l8410,5883r2,4l8413,5889r2,l8419,5889r3,1l8422,5890r2,l8424,5889r1,l8428,5890r1,1l8429,5893r-1,2l8430,5897r,1l8428,5901r-1,l8424,5902r,1l8424,5904r1,1l8428,5905r2,1l8431,5907r,l8433,5909r3,l8437,5910r1,l8439,5909r,-1l8438,5908r-1,-2l8440,5904r1,l8442,5904r1,-1l8444,5903r5,1l8450,5904r1,1l8452,5905r,-1l8453,5904r1,1l8455,5905r2,-5l8458,5900r1,1l8458,5903r,1l8461,5905r,-2l8462,5902r,l8464,5906r,1l8464,5910r1,1l8467,5912r1,l8471,5913r1,1l8475,5915r1,1l8474,5917r,2l8475,5919r2,1l8479,5922r,l8480,5921r1,l8482,5922r1,l8485,5923r1,2l8490,5925r6,2l8498,5927r1,1l8501,5928r,l8501,5929r1,1l8503,5930r,-1l8505,5930r,1l8505,5933r,l8503,5934r,l8505,5934r3,1l8508,5936r-1,l8508,5937r2,l8510,5940r-1,l8508,5941r3,3l8512,5945r-1,2l8510,5947r1,2l8512,5950r1,l8513,5949r1,1l8514,5951r-1,1l8513,5954r4,3l8519,5958r1,2l8521,5960r,-1l8523,5959r-1,1l8523,5964r,l8524,5964r1,l8526,5964r2,1l8530,5968r4,l8534,5968r-1,-1l8534,5967r2,-2l8537,5965r1,1l8537,5966r-1,1l8536,5968r2,l8539,5969r2,3l8540,5972r-1,-1l8539,5971r-2,2l8537,5973r1,1l8539,5975r2,1l8542,5979r1,1l8545,5983r-1,2l8545,5986r1,l8547,5985r1,l8549,5986r2,l8553,5988r1,-2l8555,5986r1,1l8557,5987r4,-2l8562,5985r,2l8563,5987r1,l8563,5988r-1,l8562,5989r,l8563,5989r,3l8565,5992r2,2l8567,5996r3,l8571,5996r1,-1l8573,5995r,l8573,5997r1,l8575,5996r1,l8576,5996r1,1l8578,5997r1,-1l8580,5996r1,3l8582,6000r3,l8586,6001r-1,1l8584,6002r-2,1l8582,6004r1,l8584,6005r,1l8583,6006r-1,1l8582,6009r,1l8585,6011r2,2l8589,6013r3,3l8594,6017r5,2l8601,6019r1,1l8603,6020r1,l8605,6021r-1,1l8604,6024r,1l8605,6027r1,l8608,6026r,1l8607,6028r1,1l8609,6030r,3l8612,6034r1,2l8614,6038r,2l8615,6041r2,2l8618,6043r1,l8620,6043r,-2l8621,6040r1,-2l8625,6037r,-3l8626,6034r2,l8630,6032r1,l8632,6032r4,l8637,6032r1,l8639,6033r2,2l8642,6036r-1,1l8639,6040r-2,1l8637,6042r,2l8638,6044r1,-2l8642,6043r1,2l8645,6046r1,-1l8647,6042r1,-2l8650,6040r1,1l8650,6043r,l8650,6045r1,l8652,6045r,-2l8652,6042r2,l8655,6043r6,l8661,6044r-1,1l8656,6046r,1l8657,6050r-1,1l8655,6051r-1,l8654,6052r1,1l8657,6054r1,-1l8659,6052r1,-1l8662,6051r1,1l8665,6055r1,l8667,6053r1,-2l8669,6050r1,1l8669,6054r,1l8671,6056r1,-1l8673,6053r1,l8675,6053r,1l8675,6056r,1l8674,6058r,l8674,6059r3,-1l8678,6059r,2l8677,6065r,1l8678,6067r2,-1l8681,6065r2,l8683,6066r-1,l8680,6067r,1l8680,6068r4,3l8684,6072r1,1l8686,6072r2,-2l8690,6069r3,l8694,6070r1,3l8693,6074r-1,1l8693,6076r1,l8694,6078r-2,2l8691,6082r-1,1l8689,6083r-2,1l8689,6085r1,-1l8695,6084r,l8695,6085r,1l8693,6086r-1,-1l8689,6085r-2,2l8686,6089r,2l8687,6092r1,1l8689,6093r2,-1l8690,6089r,-1l8692,6088r,l8693,6090r1,l8697,6089r2,l8700,6089r,1l8699,6091r-3,l8695,6092r-2,2l8693,6095r1,l8695,6095r1,1l8694,6096r-1,1l8692,6097r,1l8692,6099r1,1l8695,6098r2,l8698,6099r,3l8696,6101r-3,l8692,6101r,2l8693,6104r2,l8697,6104r1,1l8700,6105r-1,1l8698,6106r,1l8699,6107r1,1l8698,6111r,1l8701,6114r1,l8702,6113r,-1l8703,6111r1,l8704,6114r-1,2l8704,6117r2,1l8709,6117r1,2l8710,6119r1,-1l8716,6116r2,l8719,6117r,1l8718,6118r-1,l8717,6118r-2,l8715,6118r-1,l8715,6119r1,2l8716,6122r-1,l8713,6123r-1,l8712,6124r1,1l8714,6125r3,-1l8719,6125r-1,2l8717,6127r-3,1l8714,6129r2,-1l8717,6128r,1l8715,6130r-1,2l8714,6133r2,l8717,6132r2,l8719,6133r-2,l8716,6134r,l8719,6136r1,4l8723,6140r1,1l8724,6141r-3,1l8723,6143r,1l8722,6145r-2,-1l8718,6144r-1,1l8716,6146r,2l8717,6149r4,l8722,6148r1,-2l8724,6145r3,l8728,6146r1,1l8728,6148r-2,l8724,6149r-1,1l8722,6152r1,1l8725,6153r,-3l8726,6149r1,l8727,6150r,2l8727,6153r,1l8730,6155r-1,3l8730,6159r1,l8733,6159r1,1l8735,6162r1,1l8739,6163r,1l8738,6166r,1l8739,6168r2,l8741,6167r1,l8743,6168r,1l8743,6170r1,l8747,6171r3,l8751,6171r1,2l8753,6173r,-3l8755,6169r3,l8758,6171r-2,1l8755,6173r,1l8756,6175r2,-2l8760,6173r1,1l8761,6174r,1l8761,6175r-3,1l8757,6177r2,1l8760,6178r1,l8763,6179r1,-2l8766,6177r1,1l8767,6179r-1,2l8765,6182r1,1l8767,6183r,-1l8767,6181r2,-1l8771,6180r1,1l8772,6182r,l8768,6182r,1l8769,6184r,1l8768,6186r,1l8769,6187r3,-2l8773,6186r-1,5l8775,6192r1,1l8777,6194r1,l8780,6192r,-3l8780,6188r1,-2l8782,6186r1,1l8783,6190r-1,1l8781,6192r-1,1l8780,6194r1,1l8784,6196r3,-2l8788,6192r1,-1l8791,6191r1,1l8791,6193r-2,1l8788,6195r,2l8788,6197r2,1l8793,6194r1,l8795,6195r1,1l8796,6198r-2,1l8793,6201r-1,1l8792,6204r1,2l8790,6208r,l8791,6210r1,2l8793,6213r2,l8799,6211r1,l8803,6213r2,2l8806,6215r1,1l8810,6217r1,l8812,6216r3,l8814,6219r,l8815,6219r2,-1l8818,6218r2,2l8820,6223r,2l8822,6225r1,l8823,6221r1,l8824,6221r2,l8827,6223r,2l8826,6227r,1l8827,6228r2,-1l8830,6228r,4l8831,6233r3,-2l8836,6230r2,1l8838,6232r4,3l8841,6237r-3,l8839,6239r,4l8839,6243r3,-1l8843,6243r1,2l8845,6246r1,-1l8849,6242r2,l8853,6245r1,1l8856,6245r1,-1l8857,6244r-2,-1l8855,6242r2,-2l8859,6239r2,-1l8862,6238r,3l8864,6243r,l8864,6244r-4,1l8860,6246r2,1l8863,6249r,1l8861,6252r-1,2l8859,6255r-1,3l8857,6260r,1l8859,6262r3,l8862,6263r-3,2l8858,6265r,1l8859,6267r2,l8861,6268r2,2l8865,6270r1,-1l8865,6266r5,-4l8870,6262r-1,-1l8866,6261r-2,-1l8863,6259r,-1l8864,6257r2,1l8867,6259r2,l8869,6259r1,-2l8868,6254r,-2l8868,6252r3,l8874,6249r1,l8876,6249r1,l8880,6255r1,l8883,6255r-1,-2l8883,6252r1,-1l8886,6252r2,1l8888,6257r-1,3l8889,6262r-1,6l8889,6268r1,l8890,6265r1,l8893,6266r,3l8895,6270r2,-1l8896,6266r1,-1l8898,6264r1,l8899,6265r,1l8900,6266r2,-2l8902,6264r1,-1l8905,6264r1,-2l8905,6260r1,-1l8911,6259r1,l8913,6259r1,1l8913,6262r,1l8915,6264r,3l8913,6268r-1,1l8911,6269r,3l8911,6273r-2,2l8909,6276r1,2l8910,6280r,3l8910,6283r2,l8914,6282r1,-2l8916,6280r2,1l8919,6281r,-4l8920,6277r2,1l8923,6280r2,1l8926,6281r3,-1l8931,6277r,-1l8932,6276r1,l8934,6276r1,l8935,6278r-1,1l8935,6279r3,-1l8939,6279r,1l8938,6281r,l8937,6282r,1l8939,6285r,l8936,6286r-1,l8934,6287r1,4l8933,6293r,1l8934,6295r1,1l8937,6295r1,-1l8939,6294r,3l8939,6298r1,l8941,6298r3,l8945,6297r,l8943,6295r-1,l8942,6294r1,l8944,6294r1,-1l8946,6292r2,-1l8949,6291r3,1l8951,6294r2,4l8955,6301r3,l8960,6299r3,l8966,6299r3,-2l8970,6297r1,l8972,6298r-2,1l8970,6299r3,2l8972,6303r3,3l8978,6305r2,l8981,6304r,-1l8980,6302r,l8980,6301r2,l8984,6302r1,-1l8985,6300r1,-2l8986,6298r1,l8987,6297r,l8987,6296r1,l8988,6295r3,l8991,6297r-1,l8990,6297r-2,l8988,6298r,l8987,6298r1,2l8991,6300r1,l8993,6302r1,l8995,6302r1,l8997,6299r2,-2l8999,6295r-2,l8996,6296r-1,-1l8995,6294r,-2l8994,6292r,-1l8995,6291r1,l9000,6293r1,l9001,6293r,-1l8997,6289r,-2l8998,6287r2,1l9002,6289r2,2l9005,6291r2,-3l9011,6288r3,-2l9015,6285r2,1l9019,6286r1,l9020,6283r,l9019,6283r-1,-1l9018,6282r2,-1l9021,6280r-1,l9020,6279r-1,-2l9020,6276r-1,-2l9020,6274r1,l9022,6273r1,l9025,6273r,l9025,6272r,-2l9023,6268r,-1l9023,6266r1,l9025,6266r1,l9027,6268r2,l9030,6267r,l9028,6266r,-1l9028,6263r2,-1l9032,6262r1,l9033,6263r-2,l9031,6264r,l9032,6266r1,l9033,6266r-1,-1l9032,6265r1,-1l9034,6264r1,-1l9034,6260r1,-1l9034,6258r,-1l9035,6257r2,1l9038,6257r2,l9041,6256r3,1l9045,6258r2,l9049,6259r2,l9052,6260r5,l9058,6260r2,l9062,6260r,-1l9062,6259r2,l9065,6260r1,1l9067,6261r1,-1l9070,6260r1,1l9073,6261r2,1l9076,6262r1,l9078,6262r1,l9080,6263r3,l9084,6264r1,l9087,6265r,2l9086,6269r1,l9088,6271r1,l9092,6272r1,2l9094,6274r1,l9096,6274r1,-2l9098,6271r3,1l9103,6271r3,l9110,6269r2,l9113,6268r1,-1l9116,6267r1,l9119,6263r1,-1l9120,6261r1,l9120,6256r-1,-1l9118,6254r,-2l9118,6251r-3,-2l9113,6249r-1,-1l9110,6248r-1,-1l9108,6246r-1,-2l9106,6243r,-1l9106,6240r,-3l9106,6236r-1,l9104,6236r-1,-4l9103,6229r,l9100,6230r-1,-1l9098,6229r,-2l9096,6227r-1,l9092,6225r,-2l9093,6223r,-1l9093,6220r-1,-1l9089,6217r-1,l9085,6216r-1,-2l9082,6212r,-1l9080,6209r-3,l9076,6208r1,-2l9077,6203r2,-6l9080,6196r,-1l9081,6194r1,-1l9083,6193r1,l9085,6193r1,-1l9087,6193r1,l9091,6190r1,l9096,6190r2,-1l9099,6189r1,l9100,6187r-1,-2l9098,6183r,-3l9098,6178r-1,l9096,6176r-1,-1l9096,6170r-2,-1l9095,6164r1,-1l9096,6163r1,-3l9096,6160r1,-3l9099,6156r1,-2l9101,6154r2,l9103,6153r1,-1l9105,6150r2,-1l9107,6146r-2,-2l9105,6143r2,-2l9108,6140r3,-3l9112,6134r-3,-3l9109,6131r,-1l9109,6129r1,-1l9110,6127r-2,-1l9108,6123r-1,-1l9109,6120r,-2l9112,6119r4,-2l9117,6117r2,-1l9121,6116r3,1l9123,6115r,-1l9123,6114r1,1l9125,6114r,l9124,6113r,-1l9126,6112r3,2l9130,6114r,-3l9130,6110r2,1l9134,6114r1,1l9138,6115r1,1l9140,6115r3,l9145,6114r1,-2l9147,6110r,-1l9147,6109r1,-1l9150,6110r1,l9154,6109r1,l9156,6107r,-2l9157,6103r1,l9158,6105r1,l9163,6102r,-2l9164,6100r1,-1l9166,6099r,1l9165,6102r,l9165,6103r3,-1l9167,6101r1,-1l9170,6100r1,1l9172,6102r1,l9176,6101r1,l9180,6099r1,-2l9181,6095r1,-1l9183,6095r,2l9183,6098r1,l9184,6097r,-2l9186,6095r2,l9190,6095r2,-2l9195,6094r1,1l9196,6096r-1,l9193,6097r,1l9194,6101r1,l9196,6098r3,-2l9199,6094r1,l9201,6095r2,1l9204,6094r3,-2l9209,6090r2,l9211,6091r-1,2l9210,6094r1,l9212,6093r3,-3l9216,6090r,4l9216,6096r1,l9218,6096r1,l9218,6094r,-3l9218,6090r1,l9220,6091r,3l9220,6095r2,l9224,6095r,1l9224,6098r1,1l9226,6099r1,l9227,6096r1,l9230,6097r1,1l9234,6099r1,-1l9238,6097r1,l9242,6098r,l9241,6100r-1,3l9239,6104r-1,l9237,6105r,l9239,6105r1,l9242,6105r2,1l9246,6106r2,-1l9249,6103r1,l9255,6105r2,l9257,6102r,-1l9258,6100r5,l9265,6102r1,l9267,6100r2,l9270,6101r2,1l9273,6102r3,l9277,6102r1,-1l9280,6101r2,1l9281,6105r1,l9285,6105r1,l9287,6104r-4,-2l9284,6101r1,l9286,6100r1,-1l9287,6098r3,1l9295,6096r,l9296,6099r1,l9298,6099r4,-2l9303,6097r4,3l9310,6101r3,-1l9313,6101r-1,2l9315,6105r,l9313,6108r-2,1l9311,6111r,l9312,6111r2,l9315,6112r1,l9317,6112r1,-2l9319,6108r2,-1l9322,6108r3,3l9325,6113r,l9326,6113r3,-2l9330,6112r-2,3l9329,6115r5,-2l9335,6113r,1l9335,6116r1,1l9338,6118r2,-1l9342,6117r3,1l9346,6118r1,-1l9347,6115r2,-1l9352,6114r2,-1l9356,6111r1,l9358,6112r,1l9363,6114r2,3l9370,6120r3,-2l9375,6118r1,2l9377,6121r1,1l9379,6123r2,-2l9382,6119r,l9382,6118r3,l9387,6117r3,-1l9391,6117r2,l9394,6117r2,-3l9399,6112r1,-1l9401,6111r2,l9403,6111r2,l9407,6111r1,-1l9410,6110r3,1l9414,6111r4,-2l9418,6108r-2,-2l9417,6104r-1,-2l9417,6101r1,l9421,6102r2,l9424,6102r,-1l9420,6099r-1,-2l9422,6098r,-1l9423,6096r,-1l9425,6095r1,1l9428,6096r1,3l9430,6100r1,l9433,6097r1,-1l9436,6096r,1l9438,6100r1,1l9440,6099r3,-1l9443,6097r,-3l9445,6091r,-1l9446,6090r1,1l9448,6092r1,1l9453,6095r1,-1l9454,6093r,-1l9455,6090r1,l9458,6088r-1,-3l9459,6084r1,-2l9460,6082r1,l9461,6082r,2l9463,6084r1,-1l9466,6083r2,2l9469,6085r1,-1l9471,6084r1,1l9473,6086r1,l9475,6086r1,-1l9476,6083r1,-1l9478,6082r2,1l9482,6083r3,1l9488,6084r1,2l9490,6088r3,1l9495,6089r2,-1l9496,6086r,-1l9498,6085r1,-1l9498,6081r1,l9502,6079r1,-1l9504,6077r2349,l11853,6075r1,l11856,6073r,-2l11856,6070r-1,-1l11855,6068r,-1l11855,6063r-1,-1l11855,6061r-1,-1l11855,6060r,-1l11854,6057r,-1l11855,6055r3,-2l11858,6052r2,-2l11860,6050r-1,-1l11860,6047r,-1l11857,6042r-3,l11853,6040r,-2l11852,6037r,-3l11850,6032r,-3l11853,6027r,-1l11851,6023r,-1l11850,6021r-1,-2l11847,6018r-3,-1l11844,6017r-1,l11842,6016r-2,4l11839,6021r,1l11838,6023r,1l11836,6027r,1l11836,6028r-1,l11834,6028r-1,2l11835,6032r,1l11835,6034r-2,2l11833,6040r-2,1l11831,6044r1,2l11830,6048r-1,1l11827,6049r-1,-2l11827,6043r-1,-1l11822,6042r-3,-2l11818,6039r-1,l11815,6037r-1,-1l11812,6034r-1,-3l11811,6030r-1,l11809,6027r,-1l11808,6024r-2,l11804,6022r,l11804,6021r,l11803,6020r-3,-1l11799,6020r-2,l11796,6019r,l11795,6019r-3,-3l11791,6016r-2,-2l11789,6014r-1,l11788,6014r-1,-1l11787,6013r-2,-1l11786,6012r-1,-1l11785,6011r-1,-1l11784,6010r-1,l11783,6009r,l11783,6009r-1,l11782,6008r,l11781,6008r,-1l11781,6006r,l11780,6004r1,-1l11781,6002r1,-1l11782,6001r,-1l11782,6000r,l11782,5999r,l11783,5998r,-1l11784,5996r,l11786,5993r,-2l11787,5991r,-3l11786,5987r,-3l11787,5983r,l11785,5981r1,l11784,5980r,l11783,5979r-1,-1l11781,5977r,1l11779,5978r-1,-1l11779,5976r-1,l11778,5976r-1,l11776,5975r,l11775,5975r,l11773,5975r-1,l11769,5975r,-1l11769,5974r,-2l11769,5971r-2,l11766,5970r,-1l11765,5969r1,-1l11768,5968r,-1l11768,5965r,-1l11768,5964r3,-2l11771,5961r3,-2l11775,5957r1,l11776,5957r,-2l11776,5954r-1,l11774,5953r,-2l11774,5950r,-2l11773,5945r-3,-2l11769,5943r-1,-2l11766,5938r,l11769,5937r,-1l11770,5935r,l11771,5934r1,l11776,5933r1,-2l11779,5929r1,-1l11780,5927r,l11780,5926r-1,l11779,5925r,l11779,5924r-1,-1l11777,5923r-1,l11776,5921r-2,-1l11774,5920r-2,-3l11769,5914r,-1l11773,5910r,-3l11771,5904r,l11771,5903r-2,-3l11768,5899r-1,-2l11767,5893r1,-4l11769,5887r-2,-2l11765,5882r1,-1l11765,5880r,-2l11765,5877r,-2l11764,5874r2,-2l11766,5871r-2,-1l11763,5868r,-2l11763,5864r-1,-1l11763,5862r,-2l11765,5859r1,-1l11767,5857r1,l11770,5856r,l11770,5855r-2,-2l11767,5851r,-2l11767,5848r-2,-2l11765,5843r,-1l11769,5840r,-1l11769,5837r1,-1l11770,5835r1,-1l11770,5832r-1,-1l11770,5829r,l11770,5825r2,-1l11773,5822r,l11774,5821r1,-2l11778,5818r,-1l11778,5816r2,-2l11779,5812r1,-1l11781,5810r-1,-1l11781,5807r-2,-1l11778,5805r,-3l11781,5802r4,-1l11785,5792r1,-1l11790,5789r1,l11791,5786r3,-2l11794,5784r,-2l11793,5782r-1,l11791,5779r,-2l11791,5776r,-2l11792,5774r,-2l11789,5770r,-1l11788,5768r-2,-1l11786,5766r1,-1l11788,5764r,-2l11787,5760r-1,-1l11785,5757r-1,-3l11784,5753r1,-1l11786,5750r1,-1l11789,5747r1,-3l11789,5742r1,-2l11790,5739r3,-5l11793,5734r2,-2l11823,5716r2,-2l11855,5696r1,l11862,5692r1,l11864,5691r,l11864,5691r2,-1l11872,5687r1,-1l11876,5684r,l11880,5682r6,-4l11886,5678r1,l11887,5678r5,-3l11893,5674r,l11901,5670r3,-3l11916,5661r5,-4l11922,5657r11,-6l11933,5651r27,-16l11960,5634r3,-1l11971,5628r,l11979,5624r3,-3l11992,5616r1,-1l11993,5614r2,-1l11998,5612r2,-1l12000,5610r3,-2l12005,5608r,l12006,5608r,-1l12007,5606r,l12007,5606r2,-1l12010,5605r1,l12012,5604r1112,-1l13124,5603r,-1l13121,5602r,1l13119,5603r-1,-1l13118,5602r-2,-2l13114,5594r-1,-2l13113,5592r,-5l13112,5587r1,-1l13113,5586r,l13113,5585r-1,-1l13113,5581r,l13113,5581r,-2l13112,5579r,l13112,5578r,-1l13112,5575r,l13111,5575r,-1l13112,5574r,-4l13114,5568r1,-1l13115,5567r1,-1l13116,5566r-3,l13113,5566r-1,l13112,5567r-2,l13110,5566r,1l13109,5567r-1,-1l13108,5566r-2,-1l13105,5565r-1,l13101,5565r-1,-2l13099,5558r2,-5l13102,5551r1,l13103,5551r-2,l13100,5549r1,-2l13101,5547r,-1l13100,5545r,l13100,5545r-1,l13098,5544r1,l13099,5543r-1,l13097,5543r,-1l13098,5541r,-2l13100,5535r1,l13106,5530r3,-2l13110,5527r2,-1l13114,5525r,l13116,5524r,l13123,5522r2,l13126,5521r2,1l13129,5521r,1l13130,5522r,l13129,5522r,1l13128,5523r,-1l13128,5523r-1,l13127,5524r1,l13128,5523r1,1l13130,5524r,-1l13130,5523r1,-1l13132,5522r,l13134,5522r,-1l13135,5522r2,l13137,5521r-1,l13136,5521r,l13136,5520r-1,l13135,5519r1,l13136,5518r-1,l13135,5518r,l13134,5517r,-2l13136,5514r3,-2l13140,5512r3,-1xe" fillcolor="#e1e0e1" stroked="f">
              <v:path arrowok="t"/>
            </v:shape>
            <v:shape id="docshape1737" o:spid="_x0000_s3351" style="position:absolute;left:13369;top:1245;width:2271;height:3492" coordorigin="13370,1246" coordsize="2271,3492" path="m15105,1246r48,55l15200,1358r44,59l15286,1478r40,63l15364,1605r36,66l15434,1738r31,69l15494,1877r26,72l15544,2022r22,74l15584,2172r17,76l15614,2326r11,78l15633,2483r5,81l15641,2645r-1,81l15636,2809r-6,78l15622,2964r-12,76l15596,3116r-16,74l15561,3263r-21,72l15517,3406r-26,70l15463,3544r-30,67l15401,3676r-34,64l15330,3803r-38,61l15252,3923r-42,58l15167,4037r-46,54l15074,4143r-49,51l14975,4242r-52,47l14870,4334r-55,42l14759,4417r-58,38l14643,4491r-60,34l14521,4557r-62,29l14396,4613r-65,24l14266,4659r-66,19l14133,4695r-68,14l13996,4720r-69,9l13856,4735r-70,3l13715,4738r-72,-3l13573,4729r-68,-8l13437,4710r-67,-14e" filled="f" strokecolor="#00aeef" strokeweight=".5pt">
              <v:path arrowok="t"/>
            </v:shape>
            <v:shape id="docshape1738" o:spid="_x0000_s3350" style="position:absolute;left:13477;top:1176;width:2009;height:3524" coordorigin="13477,1176" coordsize="2009,3524" path="m14885,1176r52,54l14987,1287r48,58l15081,1405r44,61l15166,1530r40,65l15243,1661r34,68l15309,1799r30,71l15366,1942r25,74l15413,2090r19,76l15448,2243r14,79l15472,2401r8,80l15485,2562r1,81l15485,2720r-4,77l15474,2872r-10,75l15452,3021r-14,73l15421,3166r-20,71l15379,3307r-24,69l15328,3444r-29,66l15268,3575r-33,64l15200,3702r-38,61l15123,3823r-41,58l15038,3937r-45,55l14946,4046r-48,51l14847,4147r-52,48l14741,4241r-55,45l14629,4328r-58,40l14511,4406r-61,37l14388,4477r-64,31l14259,4538r-66,27l14126,4590r-69,22l13988,4632r-70,18l13846,4665r-72,12l13701,4687r-74,7l13552,4698r-75,1e" filled="f" strokecolor="#00aeef" strokeweight=".5pt">
              <v:path arrowok="t"/>
            </v:shape>
            <v:shape id="docshape1739" o:spid="_x0000_s3349" style="position:absolute;left:12556;top:4698;width:972;height:2129" coordorigin="12556,4699" coordsize="972,2129" path="m13480,4699r17,84l13511,4869r9,87l13526,5044r2,89l13527,5213r-5,79l13514,5370r-11,78l13489,5524r-16,75l13453,5673r-22,73l13406,5818r-28,70l13347,5957r-33,68l13279,6091r-38,65l13201,6219r-43,61l13114,6339r-47,58l13018,6453r-51,54l12914,6559r-55,50l12802,6657r-59,46l12682,6747r-62,41l12556,6827e" filled="f" strokecolor="#00aeef" strokeweight=".5pt">
              <v:path arrowok="t"/>
            </v:shape>
            <v:shape id="docshape1740" o:spid="_x0000_s3348" style="position:absolute;left:12459;top:2219;width:1000;height:2475" coordorigin="12459,2219" coordsize=",2475" path="m13458,4694r-49,-57l13360,4579r-47,-59l13266,4460r-45,-61l13177,4337r-43,-62l13092,4211r-40,-65l13012,4081r-38,-66l12937,3948r-36,-68l12867,3812r-33,-70l12802,3672r-31,-71l12742,3530r-28,-72l12687,3385r-25,-74l12638,3237r-23,-75l12594,3086r-20,-76l12556,2934r-17,-78l12524,2778r-14,-78l12498,2621r-11,-79l12478,2462r-8,-81l12464,2301r-5,-82e" filled="f" strokecolor="#00aeef" strokeweight=".5pt">
              <v:path arrowok="t"/>
            </v:shape>
            <v:shape id="docshape1741" o:spid="_x0000_s3347" style="position:absolute;left:13902;top:1230;width:1190;height:2744" coordorigin="13903,1230" coordsize="1190,2744" path="m13903,3974r14,-66l13932,3842r16,-67l13965,3707r18,-67l14002,3571r20,-68l14043,3433r21,-69l14087,3294r24,-71l14135,3152r26,-71l14187,3010r28,-72l14243,2866r29,-73l14302,2720r31,-73l14365,2574r33,-73l14432,2427r34,-74l14502,2279r36,-75l14575,2130r39,-75l14653,1981r40,-75l14734,1831r41,-75l14818,1681r44,-75l14906,1531r45,-76l14997,1380r47,-75l15092,1230e" filled="f" strokecolor="#00aeef" strokeweight=".5pt">
              <v:path arrowok="t"/>
            </v:shape>
            <v:shape id="docshape1742" o:spid="_x0000_s3346" style="position:absolute;left:11659;top:3586;width:1820;height:1111" coordorigin="11659,3586" coordsize="1820,1111" path="m13478,4697r-80,-4l13318,4685r-79,-10l13161,4663r-77,-16l13008,4629r-75,-21l12859,4584r-72,-26l12715,4530r-70,-31l12576,4466r-67,-36l12443,4392r-65,-40l12315,4310r-61,-45l12194,4219r-58,-49l12080,4120r-55,-53l11972,4013r-51,-56l11873,3899r-47,-59l11781,3779r-43,-63l11698,3652r-39,-66e" filled="f" strokecolor="#00aeef" strokeweight=".5pt">
              <v:path arrowok="t"/>
            </v:shape>
            <v:shape id="docshape1743" o:spid="_x0000_s3345" style="position:absolute;left:11342;top:4201;width:2136;height:527" coordorigin="11343,4202" coordsize="2136,527" path="m13478,4693r-74,10l13329,4712r-76,7l13177,4724r-77,3l13023,4728r-81,-1l12861,4723r-80,-5l12702,4710r-79,-9l12545,4689r-78,-14l12390,4660r-76,-18l12239,4622r-75,-21l12091,4577r-73,-25l11946,4524r-71,-29l11805,4465r-69,-33l11667,4398r-67,-36l11534,4324r-65,-39l11405,4244r-62,-42e" filled="f" strokecolor="#00aeef" strokeweight=".5pt">
              <v:path arrowok="t"/>
            </v:shape>
            <v:shape id="docshape1744" o:spid="_x0000_s3344" style="position:absolute;left:12017;top:4694;width:1441;height:1653" coordorigin="12018,4694" coordsize="1441,1653" path="m13458,4694r-18,76l13418,4845r-23,73l13369,4991r-28,71l13310,5132r-32,69l13243,5269r-37,66l13167,5400r-41,64l13083,5526r-45,61l12991,5646r-49,58l12891,5760r-52,54l12785,5867r-56,51l12672,5967r-59,47l12552,6059r-62,43l12427,6144r-65,39l12295,6220r-67,35l12159,6288r-70,31l12018,6347e" filled="f" strokecolor="#00aeef" strokeweight=".5pt">
              <v:path arrowok="t"/>
            </v:shape>
            <v:shape id="docshape1745" o:spid="_x0000_s3343" style="position:absolute;left:10465;top:4700;width:3001;height:1558" coordorigin="10466,4700" coordsize="3001,1558" path="m13466,4700r-37,66l13390,4831r-40,63l13308,4957r-43,61l13220,5079r-46,59l13126,5196r-49,56l13026,5308r-52,54l12921,5415r-55,51l12810,5516r-57,49l12695,5612r-60,46l12575,5703r-62,43l12450,5787r-64,40l12321,5865r-66,37l12188,5937r-69,33l12050,6002r-70,30l11910,6060r-72,26l11765,6111r-73,23l11617,6155r-75,19l11467,6191r-77,15l11313,6220r-78,11l11157,6241r-79,7l10998,6253r-80,3l10837,6257r-75,-1l10687,6254r-74,-5l10539,6243r-73,-8e" filled="f" strokecolor="#00aeef" strokeweight=".5pt">
              <v:path arrowok="t"/>
            </v:shape>
            <v:shape id="docshape1746" o:spid="_x0000_s3342" style="position:absolute;left:12668;top:4693;width:791;height:1460" coordorigin="12668,4694" coordsize="791,1460" path="m13454,4694r2,31l13458,4756r1,32l13459,4819r-2,82l13451,4981r-11,80l13426,5139r-19,76l13385,5290r-26,73l13329,5435r-33,69l13260,5572r-40,66l13178,5701r-46,61l13083,5820r-52,57l12977,5930r-57,51l12861,6028r-62,45l12735,6115r-67,38e" filled="f" strokecolor="#00aeef" strokeweight=".5pt">
              <v:path arrowok="t"/>
            </v:shape>
            <v:shape id="docshape1747" o:spid="_x0000_s3341" style="position:absolute;left:13258;top:2769;width:274;height:1949" coordorigin="13259,2770" coordsize="274,1949" path="m13259,2770r32,68l13321,2907r28,70l13375,3048r25,72l13422,3192r21,74l13461,3341r17,76l13492,3493r12,77l13514,3648r8,79l13528,3806r3,80l13532,3967r-1,78l13528,4123r-5,76l13515,4276r-9,75l13494,4426r-13,74l13465,4574r-17,72l13429,4718e" filled="f" strokecolor="#00aeef" strokeweight=".5pt">
              <v:path arrowok="t"/>
            </v:shape>
            <v:shape id="docshape1748" o:spid="_x0000_s3340" style="position:absolute;left:13433;top:2367;width:408;height:2322" coordorigin="13433,2368" coordsize="408,2322" path="m13786,2368r12,73l13809,2515r10,74l13826,2664r6,76l13837,2815r3,77l13841,2969r,77l13839,3124r-4,78l13830,3280r-7,78l13814,3437r-11,79l13791,3596r-14,79l13761,3755r-17,79l13724,3917r-22,82l13678,4080r-25,80l13626,4239r-28,78l13568,4393r-31,76l13504,4543r-35,74l13433,4689e" filled="f" strokecolor="#00aeef" strokeweight=".5pt">
              <v:path arrowok="t"/>
            </v:shape>
            <v:shape id="docshape1749" o:spid="_x0000_s3339" style="position:absolute;left:12333;top:3832;width:1107;height:891" coordorigin="12333,3832" coordsize="1107,891" path="m12333,3832r75,23l12481,3881r72,30l12624,3943r68,35l12759,4015r65,41l12888,4099r61,45l13008,4192r58,51l13121,4295r53,55l13224,4407r49,60l13318,4528r43,63l13402,4656r38,67e" filled="f" strokecolor="#00aeef" strokeweight=".5pt">
              <v:path arrowok="t"/>
            </v:shape>
            <v:shape id="docshape1750" o:spid="_x0000_s3338" style="position:absolute;left:9697;top:2974;width:3758;height:1747" coordorigin="9697,2974" coordsize="3758,1747" path="m9697,3038r73,-13l9844,3013r75,-10l9994,2994r75,-7l10145,2981r76,-4l10298,2975r77,-1l10456,2975r81,3l10618,2982r80,6l10778,2996r79,10l10936,3018r78,13l11091,3046r77,16l11244,3080r76,20l11395,3121r74,23l11543,3168r72,26l11688,3222r71,29l11830,3281r69,32l11968,3347r68,34l12104,3417r66,38l12236,3494r64,40l12364,3576r63,43l12489,3663r61,45l12609,3755r59,48l12726,3852r57,50l12838,3954r55,52l12946,4060r52,55l13050,4171r50,57l13148,4286r48,59l13242,4406r45,61l13331,4529r42,63l13414,4656r40,65e" filled="f" strokecolor="#00aeef" strokeweight=".5pt">
              <v:path arrowok="t"/>
            </v:shape>
            <v:shape id="docshape1751" o:spid="_x0000_s3337" style="position:absolute;left:13477;top:3008;width:1680;height:1682" coordorigin="13478,3009" coordsize="1680,1682" path="m15157,3009r-6,77l15142,3162r-13,75l15114,3311r-19,73l15074,3456r-25,70l15022,3595r-30,67l14959,3728r-35,65l14886,3856r-40,61l14804,3976r-45,58l14712,4089r-50,54l14611,4194r-54,50l14502,4291r-58,45l14385,4379r-61,40l14261,4457r-64,35l14131,4525r-68,30l13994,4582r-70,25l13853,4628r-73,19l13706,4663r-75,12l13555,4685r-77,6e" filled="f" strokecolor="#00aeef" strokeweight=".5pt">
              <v:path arrowok="t"/>
            </v:shape>
            <v:shape id="docshape1752" o:spid="_x0000_s3336" style="position:absolute;left:13480;top:2205;width:1864;height:2487" coordorigin="13481,2205" coordsize="1864,2487" path="m13481,4691r79,-5l13638,4677r78,-12l13792,4651r75,-17l13941,4614r73,-23l14086,4566r70,-27l14224,4509r67,-33l14357,4442r64,-37l14483,4366r61,-41l14603,4281r57,-45l14715,4188r53,-49l14818,4088r49,-53l14914,3981r44,-57l15000,3866r40,-59l15077,3746r35,-63l15144,3619r29,-65l15200,3488r24,-68l15246,3351r18,-69l15279,3211r13,-72l15301,3066r6,-74l15344,2685r-41,-184l15134,2366r-345,-161e" filled="f" strokecolor="#00aeef" strokeweight=".5pt">
              <v:path arrowok="t"/>
            </v:shape>
            <v:shape id="docshape1753" o:spid="_x0000_s3335" style="position:absolute;left:13458;top:3016;width:1214;height:1666" coordorigin="13458,3017" coordsize="1214,1666" path="m14662,3017r4,43l14670,3104r2,44l14672,3193r-2,78l14664,3348r-9,76l14641,3499r-17,74l14604,3645r-24,71l14553,3785r-31,67l14489,3917r-37,64l14412,4043r-42,59l14325,4160r-48,55l14227,4268r-53,50l14119,4366r-58,45l14002,4453r-62,40l13877,4530r-66,33l13744,4594r-69,27l13604,4645r-72,20l13458,4682e" filled="f" strokecolor="#00aeef" strokeweight=".5pt">
              <v:path arrowok="t"/>
            </v:shape>
            <v:shape id="docshape1754" o:spid="_x0000_s3334" style="position:absolute;left:12539;top:6151;width:126;height:677" coordorigin="12539,6151" coordsize="126,677" path="m12556,6827r-7,-46l12543,6735r-3,-47l12539,6640r4,-87l12554,6467r18,-83l12596,6303r31,-78l12665,6151e" filled="f" strokecolor="#00aeef" strokeweight=".5pt">
              <v:path arrowok="t"/>
            </v:shape>
            <v:shape id="docshape1755" o:spid="_x0000_s3333" type="#_x0000_t75" style="position:absolute;left:9852;top:4978;width:361;height:354">
              <v:imagedata r:id="rId190" o:title=""/>
            </v:shape>
            <v:shape id="docshape1756" o:spid="_x0000_s3332" style="position:absolute;left:11975;top:4702;width:1494;height:984" coordorigin="11976,4703" coordsize="1494,984" path="m13469,4703r-51,59l13365,4820r-54,56l13256,4932r-57,53l13141,5038r-60,51l13020,5138r-62,48l12895,5233r-64,45l12765,5321r-66,42l12631,5403r-69,39l12492,5478r-71,35l12349,5547r-73,31l12203,5608r-75,28l12052,5662r-76,24e" filled="f" strokecolor="#00aeef" strokeweight=".5pt">
              <v:path arrowok="t"/>
            </v:shape>
            <v:shape id="docshape1757" o:spid="_x0000_s3331" style="position:absolute;left:10780;top:4691;width:2674;height:890" coordorigin="10781,4691" coordsize="2674,890" path="m13454,4691r-62,46l13328,4782r-63,44l13200,4869r-66,41l13068,4951r-67,39l12933,5029r-68,37l12795,5102r-70,34l12654,5170r-71,32l12511,5233r-73,30l12365,5292r-74,27l12216,5345r-75,25l12065,5394r-77,22l11911,5437r-77,19l11755,5474r-78,17l11598,5506r-80,14l11438,5533r-81,11l11276,5554r-82,8l11112,5569r-82,5l10947,5578r-83,2l10781,5581e" filled="f" strokecolor="#00aeef" strokeweight=".5pt">
              <v:path arrowok="t"/>
            </v:shape>
            <v:shape id="docshape1758" o:spid="_x0000_s3330" style="position:absolute;left:10206;top:4697;width:3252;height:657" coordorigin="10207,4698" coordsize="3252,657" path="m13458,4698r-70,35l13318,4768r-71,34l13176,4834r-72,32l13032,4897r-73,30l12886,4956r-74,28l12738,5011r-75,27l12588,5063r-76,24l12436,5110r-76,22l12283,5153r-77,21l12128,5193r-78,18l11971,5228r-79,16l11813,5259r-79,14l11654,5286r-81,11l11493,5308r-81,10l11330,5326r-82,8l11166,5340r-82,5l11002,5349r-83,3l10835,5354r-83,l10673,5354r-78,-2l10517,5350r-78,-4l10361,5341r-77,-5l10207,5329e" filled="f" strokecolor="#00aeef" strokeweight=".5pt">
              <v:path arrowok="t"/>
            </v:shape>
            <v:shape id="docshape1759" o:spid="_x0000_s3329" style="position:absolute;left:9850;top:4691;width:3605;height:440" coordorigin="9850,4691" coordsize="3605,440" path="m13455,4691r-73,29l13308,4748r-74,27l13159,4801r-75,25l13009,4851r-76,23l12857,4896r-77,22l12703,4938r-78,19l12548,4976r-79,17l12391,5010r-79,15l12232,5039r-79,14l12073,5065r-81,11l11912,5087r-81,9l11749,5104r-81,7l11586,5117r-83,5l11421,5126r-83,3l11255,5130r-83,1l11092,5130r-80,-1l10933,5126r-80,-3l10775,5118r-79,-5l10617,5106r-78,-7l10462,5090r-78,-9l10307,5070r-77,-11l10153,5047r-76,-14l10001,5019r-75,-15l9850,4988e" filled="f" strokecolor="#00aeef" strokeweight=".5pt">
              <v:path arrowok="t"/>
            </v:shape>
            <v:shape id="docshape1760" o:spid="_x0000_s3328" style="position:absolute;left:6676;top:3372;width:4986;height:556" coordorigin="6676,3372" coordsize="4986,556" path="m11662,3585r-75,23l11512,3631r-75,22l11361,3674r-76,20l11209,3714r-77,18l11055,3750r-77,17l10900,3783r-77,16l10744,3813r-78,14l10587,3840r-79,12l10429,3863r-80,10l10269,3883r-80,8l10109,3899r-81,7l9947,3911r-81,5l9785,3921r-82,3l9621,3926r-82,1l9457,3928r-82,-1l9293,3926r-81,-2l9130,3921r-81,-5l8968,3912r-80,-6l8807,3899r-80,-8l8647,3883r-80,-9l8488,3863r-79,-11l8330,3840r-78,-12l8173,3814r-78,-14l8018,3784r-78,-16l7863,3751r-76,-18l7710,3715r-76,-19l7558,3675r-75,-21l7408,3633r-75,-23l7259,3587r-75,-24l7111,3538r-74,-26l6964,3486r-72,-28l6819,3430r-71,-28l6676,3372e" filled="f" strokecolor="#00aeef" strokeweight=".5pt">
              <v:path arrowok="t"/>
            </v:shape>
            <v:shape id="docshape1761" o:spid="_x0000_s3327" style="position:absolute;left:6673;top:3376;width:6806;height:1387" coordorigin="6673,3377" coordsize="6806,1387" path="m13479,4701r-81,8l13317,4717r-81,7l13155,4730r-82,6l12992,4741r-82,5l12828,4750r-81,4l12664,4757r-82,2l12500,4761r-83,2l12335,4763r-83,1l12169,4763r-82,l12004,4761r-82,-2l11839,4757r-82,-3l11675,4750r-81,-4l11512,4741r-82,-5l11349,4730r-81,-7l11187,4717r-81,-8l11025,4701r-80,-8l10864,4684r-80,-10l10704,4664r-80,-11l10544,4642r-80,-12l10385,4618r-79,-13l10227,4592r-79,-14l10069,4564r-78,-15l9912,4534r-78,-16l9756,4501r-78,-17l9601,4467r-78,-18l9446,4431r-77,-19l9292,4392r-76,-19l9139,4352r-76,-21l8987,4310r-76,-22l8836,4266r-76,-23l8685,4219r-75,-23l8535,4171r-74,-24l8386,4121r-74,-25l8238,4069r-73,-26l8091,4016r-73,-28l7945,3960r-72,-29l7800,3902r-72,-29l7656,3843r-72,-30l7512,3782r-71,-32l7370,3719r-71,-33l7229,3654r-71,-33l7088,3587r-69,-34l6949,3519r-69,-35l6811,3449r-69,-36l6673,3377e" filled="f" strokecolor="#00aeef" strokeweight=".5pt">
              <v:path arrowok="t"/>
            </v:shape>
            <v:shape id="docshape1762" o:spid="_x0000_s3326" style="position:absolute;left:12321;top:4396;width:1135;height:285" coordorigin="12321,4397" coordsize="1135,285" path="m13455,4680r-14,1l13426,4681r-15,l13396,4681r-83,-1l13230,4675r-82,-8l13068,4656r-80,-13l12909,4626r-78,-19l12754,4585r-75,-25l12605,4532r-73,-30l12460,4470r-70,-36l12321,4397e" filled="f" strokecolor="#00aeef" strokeweight=".5pt">
              <v:path arrowok="t"/>
            </v:shape>
            <v:shape id="docshape1763" o:spid="_x0000_s3325" style="position:absolute;left:11988;top:4311;width:1455;height:423" coordorigin="11989,4312" coordsize="1455,423" path="m13443,4727r-41,3l13360,4732r-42,1l13275,4734r-80,-2l13116,4728r-78,-7l12960,4711r-76,-13l12808,4683r-75,-18l12659,4645r-73,-23l12515,4597r-70,-28l12375,4539r-68,-33l12241,4472r-65,-37l12112,4396r-62,-41l11989,4312e" filled="f" strokecolor="#00aeef" strokeweight=".5pt">
              <v:path arrowok="t"/>
            </v:shape>
            <v:shape id="docshape1764" o:spid="_x0000_s3324" style="position:absolute;left:13462;top:3365;width:878;height:1318" coordorigin="13462,3366" coordsize="878,1318" path="m13462,4683r18,-77l13501,4530r24,-75l13551,4382r29,-72l13611,4239r33,-70l13680,4101r39,-67l13759,3968r43,-63l13847,3843r47,-61l13943,3723r51,-56l14047,3611r55,-53l14159,3507r59,-49l14278,3411r62,-45e" filled="f" strokecolor="#00aeef" strokeweight=".5pt">
              <v:path arrowok="t"/>
            </v:shape>
            <v:shape id="docshape1765" o:spid="_x0000_s3323" style="position:absolute;left:14298;top:1769;width:395;height:1598" coordorigin="14299,1769" coordsize="395,1598" path="m14332,3367r-12,-74l14311,3219r-7,-76l14300,3067r-1,-77l14300,2910r5,-79l14312,2752r10,-78l14335,2598r16,-76l14370,2447r21,-73l14415,2301r26,-71l14470,2160r32,-69l14536,2024r36,-66l14610,1893r41,-63l14693,1769e" filled="f" strokecolor="#00aeef" strokeweight=".5pt">
              <v:path arrowok="t"/>
            </v:shape>
            <v:shape id="docshape1766" o:spid="_x0000_s3322" style="position:absolute;left:12516;top:1626;width:911;height:3097" coordorigin="12516,1627" coordsize="911,3097" path="m12516,1627r41,66l12597,1760r39,67l12674,1895r38,68l12748,2032r36,69l12819,2171r34,71l12886,2313r32,71l12949,2456r30,73l13009,2602r28,73l13065,2749r26,74l13117,2898r24,75l13165,3049r23,76l13210,3201r20,77l13250,3355r19,78l13287,3511r16,78l13319,3668r15,79l13347,3827r13,80l13371,3987r11,80l13391,4148r9,82l13407,4311r6,82l13418,4475r4,82l13425,4640r2,83e" filled="f" strokecolor="#00aeef" strokeweight=".5pt">
              <v:path arrowok="t"/>
            </v:shape>
            <v:shape id="docshape1767" o:spid="_x0000_s3321" style="position:absolute;left:14661;top:2951;width:495;height:65" coordorigin="14661,2952" coordsize="495,65" path="m14661,3016r58,-28l14781,2968r65,-12l14913,2952r65,4l15040,2967r60,19l15156,3011e" filled="f" strokecolor="#00aeef" strokeweight=".5pt">
              <v:path arrowok="t"/>
            </v:shape>
            <v:shape id="docshape1768" o:spid="_x0000_s3320" style="position:absolute;left:10465;top:5674;width:1528;height:570" coordorigin="10466,5674" coordsize="1528,570" path="m11993,5674r-56,55l11880,5781r-60,49l11758,5878r-64,44l11629,5964r-68,40l11492,6041r-71,34l11349,6106r-74,28l11199,6159r-77,22l11044,6200r-79,15l10885,6227r-82,9l10721,6242r-84,1l10594,6243r-43,-2l10508,6239r-42,-3e" filled="f" strokecolor="#00aeef" strokeweight=".5pt">
              <v:path arrowok="t"/>
            </v:shape>
            <v:shape id="docshape1769" o:spid="_x0000_s3319" style="position:absolute;left:11976;top:3974;width:1932;height:1713" coordorigin="11977,3974" coordsize="1932,1713" path="m13909,3974r-11,76l13885,4125r-17,73l13849,4271r-21,72l13803,4413r-27,69l13747,4550r-32,66l13681,4681r-37,64l13605,4807r-41,60l13520,4926r-45,57l13427,5038r-49,53l13326,5143r-53,49l13218,5240r-57,45l13102,5329r-61,41l12980,5409r-64,36l12851,5480r-66,32l12717,5541r-69,27l12577,5592r-71,22l12433,5633r-73,16l12285,5662r-76,11l12132,5680r-77,5l11977,5687e" filled="f" strokecolor="#00aeef" strokeweight=".5pt">
              <v:path arrowok="t"/>
            </v:shape>
            <v:shape id="docshape1770" o:spid="_x0000_s3318" style="position:absolute;left:13456;top:3973;width:451;height:719" coordorigin="13457,3974" coordsize="451,719" path="m13907,3974r-24,76l13856,4124r-31,72l13790,4266r-38,68l13710,4400r-44,64l13618,4525r-51,59l13513,4639r-56,54e" filled="f" strokecolor="#00aeef" strokeweight=".5pt">
              <v:path arrowok="t"/>
            </v:shape>
            <v:shape id="docshape1771" o:spid="_x0000_s3317" type="#_x0000_t75" style="position:absolute;left:13353;top:4593;width:203;height:206">
              <v:imagedata r:id="rId191" o:title=""/>
            </v:shape>
            <v:shape id="docshape1772" o:spid="_x0000_s3316" type="#_x0000_t75" style="position:absolute;left:13806;top:3850;width:203;height:206">
              <v:imagedata r:id="rId192" o:title=""/>
            </v:shape>
            <v:shape id="docshape1773" o:spid="_x0000_s3315" type="#_x0000_t75" style="position:absolute;left:13166;top:2653;width:203;height:206">
              <v:imagedata r:id="rId193" o:title=""/>
            </v:shape>
            <v:shape id="docshape1774" o:spid="_x0000_s3314" type="#_x0000_t75" style="position:absolute;left:13684;top:2254;width:203;height:206">
              <v:imagedata r:id="rId194" o:title=""/>
            </v:shape>
            <v:shape id="docshape1775" o:spid="_x0000_s3313" type="#_x0000_t75" style="position:absolute;left:14686;top:2103;width:203;height:206">
              <v:imagedata r:id="rId195" o:title=""/>
            </v:shape>
            <v:shape id="docshape1776" o:spid="_x0000_s3312" type="#_x0000_t75" style="position:absolute;left:14556;top:2915;width:203;height:206">
              <v:imagedata r:id="rId195" o:title=""/>
            </v:shape>
            <v:shape id="docshape1777" o:spid="_x0000_s3311" type="#_x0000_t75" style="position:absolute;left:11544;top:3475;width:203;height:206">
              <v:imagedata r:id="rId196" o:title=""/>
            </v:shape>
            <v:shape id="docshape1778" o:spid="_x0000_s3310" type="#_x0000_t75" style="position:absolute;left:11888;top:4196;width:203;height:206">
              <v:imagedata r:id="rId195" o:title=""/>
            </v:shape>
            <v:shape id="docshape1779" o:spid="_x0000_s3309" type="#_x0000_t75" style="position:absolute;left:9751;top:4893;width:203;height:206">
              <v:imagedata r:id="rId194" o:title=""/>
            </v:shape>
            <v:shape id="docshape1780" o:spid="_x0000_s3308" type="#_x0000_t75" style="position:absolute;left:6560;top:3266;width:203;height:206">
              <v:imagedata r:id="rId197" o:title=""/>
            </v:shape>
            <v:shape id="docshape1781" o:spid="_x0000_s3307" type="#_x0000_t75" style="position:absolute;left:10668;top:5470;width:203;height:206">
              <v:imagedata r:id="rId195" o:title=""/>
            </v:shape>
            <v:shape id="docshape1782" o:spid="_x0000_s3306" type="#_x0000_t75" style="position:absolute;left:11880;top:5580;width:203;height:206">
              <v:imagedata r:id="rId195" o:title=""/>
            </v:shape>
            <v:shape id="docshape1783" o:spid="_x0000_s3305" style="position:absolute;left:12455;top:6713;width:203;height:203" coordorigin="12456,6713" coordsize="203,203" path="m12557,6713r-40,8l12485,6743r-21,32l12456,6814r8,40l12485,6886r32,21l12557,6915r39,-8l12628,6886r22,-32l12658,6814r-8,-39l12628,6743r-32,-22l12557,6713xe" fillcolor="#2e3092" stroked="f">
              <v:path arrowok="t"/>
            </v:shape>
            <v:shape id="docshape1784" o:spid="_x0000_s3304" style="position:absolute;left:12465;top:6710;width:184;height:187" coordorigin="12465,6710" coordsize="184,187" path="m12558,6710r-3,l12554,6711r-6,7l12545,6725r,50l12465,6838r,19l12545,6827r,31l12546,6861r1,2l12519,6882r,15l12557,6882r38,15l12595,6882r-29,-19l12567,6861r1,-3l12568,6827r80,30l12648,6838r-80,-63l12568,6725r-3,-7l12560,6712r-1,-1l12558,6710xe" stroked="f">
              <v:path arrowok="t"/>
            </v:shape>
            <v:shape id="docshape1785" o:spid="_x0000_s3303" type="#_x0000_t75" style="position:absolute;left:14997;top:1121;width:203;height:206">
              <v:imagedata r:id="rId197" o:title=""/>
            </v:shape>
            <v:shape id="docshape1786" o:spid="_x0000_s3302" type="#_x0000_t75" style="position:absolute;left:14830;top:1113;width:129;height:129">
              <v:imagedata r:id="rId198" o:title=""/>
            </v:shape>
            <v:shape id="docshape1787" o:spid="_x0000_s3301" type="#_x0000_t75" style="position:absolute;left:14606;top:1721;width:129;height:129">
              <v:imagedata r:id="rId198" o:title=""/>
            </v:shape>
            <v:shape id="docshape1788" o:spid="_x0000_s3300" type="#_x0000_t75" style="position:absolute;left:15078;top:2935;width:129;height:129">
              <v:imagedata r:id="rId198" o:title=""/>
            </v:shape>
            <v:shape id="docshape1789" o:spid="_x0000_s3299" type="#_x0000_t75" style="position:absolute;left:14272;top:3286;width:129;height:129">
              <v:imagedata r:id="rId198" o:title=""/>
            </v:shape>
            <v:shape id="docshape1790" o:spid="_x0000_s3298" type="#_x0000_t75" style="position:absolute;left:12401;top:2168;width:129;height:129">
              <v:imagedata r:id="rId199" o:title=""/>
            </v:shape>
            <v:shape id="docshape1791" o:spid="_x0000_s3297" type="#_x0000_t75" style="position:absolute;left:12262;top:4323;width:129;height:129">
              <v:imagedata r:id="rId198" o:title=""/>
            </v:shape>
            <v:shape id="docshape1792" o:spid="_x0000_s3296" type="#_x0000_t75" style="position:absolute;left:12264;top:3757;width:129;height:129">
              <v:imagedata r:id="rId200" o:title=""/>
            </v:shape>
            <v:shape id="docshape1793" o:spid="_x0000_s3295" type="#_x0000_t75" style="position:absolute;left:11278;top:4131;width:129;height:129">
              <v:imagedata r:id="rId198" o:title=""/>
            </v:shape>
            <v:shape id="docshape1794" o:spid="_x0000_s3294" type="#_x0000_t75" style="position:absolute;left:11948;top:6290;width:129;height:129">
              <v:imagedata r:id="rId198" o:title=""/>
            </v:shape>
            <v:shape id="docshape1795" o:spid="_x0000_s3293" type="#_x0000_t75" style="position:absolute;left:12605;top:6073;width:129;height:129">
              <v:imagedata r:id="rId198" o:title=""/>
            </v:shape>
            <v:shape id="docshape1796" o:spid="_x0000_s3292" type="#_x0000_t75" style="position:absolute;left:10141;top:5249;width:129;height:129">
              <v:imagedata r:id="rId198" o:title=""/>
            </v:shape>
            <v:shape id="docshape1797" o:spid="_x0000_s3291" type="#_x0000_t75" style="position:absolute;left:9655;top:2976;width:129;height:129">
              <v:imagedata r:id="rId198" o:title=""/>
            </v:shape>
            <v:shape id="docshape1798" o:spid="_x0000_s3290" type="#_x0000_t75" style="position:absolute;left:10403;top:6176;width:129;height:129">
              <v:imagedata r:id="rId198" o:title=""/>
            </v:shape>
            <v:shape id="docshape1799" o:spid="_x0000_s3289" type="#_x0000_t75" style="position:absolute;left:12446;top:1573;width:129;height:129">
              <v:imagedata r:id="rId199" o:title=""/>
            </v:shape>
            <v:shape id="docshape1800" o:spid="_x0000_s3288" style="position:absolute;left:12575;top:555;width:2560;height:6484" coordorigin="12575,556" coordsize="2560,6484" o:spt="100" adj="0,,0" path="m12576,6986r,l12575,6987r1,-1xm12586,6880r,-1l12585,6879r1,1xm12636,7039r,l12636,7039r,xm14582,624r-1,l14581,624r,-1l14580,623r-1,l14579,622r-2,l14577,621r,-1l14575,620r-1,l14574,620r,-1l14573,619r-1,l14570,619r,-1l14570,618r,1l14569,619r-1,l14568,619r,1l14567,620r-1,l14565,620r-1,1l14564,621r,l14563,621r-1,1l14561,622r-1,l14559,622r-1,2l14582,624xm15135,556r-1,l15135,556r,xe" fillcolor="#efebe7" stroked="f">
              <v:stroke joinstyle="round"/>
              <v:formulas/>
              <v:path arrowok="t" o:connecttype="segments"/>
            </v:shape>
            <v:shape id="docshape1801" o:spid="_x0000_s3287" style="position:absolute;left:15415;top:331;width:94;height:66" coordorigin="15416,331" coordsize="94,66" path="m15462,331r-46,65l15509,396r-47,-65xe" fillcolor="#2e3092" stroked="f">
              <v:path arrowok="t"/>
            </v:shape>
            <v:rect id="docshape1802" o:spid="_x0000_s3286" style="position:absolute;left:14025;top:7775;width:312;height:19" fillcolor="#676a6b" stroked="f"/>
            <v:rect id="docshape1803" o:spid="_x0000_s3285" style="position:absolute;left:14025;top:7775;width:312;height:19" filled="f" strokecolor="#9c9c9d" strokeweight=".03775mm"/>
            <v:rect id="docshape1804" o:spid="_x0000_s3284" style="position:absolute;left:14337;top:7775;width:312;height:19" stroked="f"/>
            <v:rect id="docshape1805" o:spid="_x0000_s3283" style="position:absolute;left:14337;top:7775;width:312;height:19" filled="f" strokecolor="#9c9c9d" strokeweight=".03775mm"/>
            <v:rect id="docshape1806" o:spid="_x0000_s3282" style="position:absolute;left:14648;top:7775;width:312;height:19" fillcolor="#676a6b" stroked="f"/>
            <v:rect id="docshape1807" o:spid="_x0000_s3281" style="position:absolute;left:14648;top:7775;width:312;height:19" filled="f" strokecolor="#9c9c9d" strokeweight=".03775mm"/>
            <v:rect id="docshape1808" o:spid="_x0000_s3280" style="position:absolute;left:14960;top:7775;width:312;height:19" stroked="f"/>
            <v:rect id="docshape1809" o:spid="_x0000_s3279" style="position:absolute;left:14960;top:7775;width:312;height:19" filled="f" strokecolor="#9c9c9d" strokeweight=".03775mm"/>
            <v:shape id="docshape1810" o:spid="_x0000_s3278" type="#_x0000_t75" style="position:absolute;left:6178;top:7594;width:203;height:206">
              <v:imagedata r:id="rId196" o:title=""/>
            </v:shape>
            <v:shape id="docshape1811" o:spid="_x0000_s3277" type="#_x0000_t75" style="position:absolute;left:6215;top:7395;width:129;height:129">
              <v:imagedata r:id="rId200" o:title=""/>
            </v:shape>
            <v:shape id="docshape1812" o:spid="_x0000_s3276" type="#_x0000_t202" style="position:absolute;left:6132;top:229;width:4014;height:215" filled="f" stroked="f">
              <v:textbox inset="0,0,0,0">
                <w:txbxContent>
                  <w:p w:rsidR="00F22F94" w:rsidRDefault="00F22F94">
                    <w:pPr>
                      <w:spacing w:before="6"/>
                      <w:rPr>
                        <w:b/>
                        <w:sz w:val="18"/>
                      </w:rPr>
                    </w:pPr>
                    <w:r>
                      <w:rPr>
                        <w:b/>
                        <w:sz w:val="18"/>
                      </w:rPr>
                      <w:t>Figure</w:t>
                    </w:r>
                    <w:r>
                      <w:rPr>
                        <w:b/>
                        <w:spacing w:val="-10"/>
                        <w:sz w:val="18"/>
                      </w:rPr>
                      <w:t xml:space="preserve"> </w:t>
                    </w:r>
                    <w:r>
                      <w:rPr>
                        <w:b/>
                        <w:sz w:val="18"/>
                      </w:rPr>
                      <w:t>10.3</w:t>
                    </w:r>
                    <w:r>
                      <w:rPr>
                        <w:b/>
                        <w:spacing w:val="32"/>
                        <w:sz w:val="18"/>
                      </w:rPr>
                      <w:t xml:space="preserve"> </w:t>
                    </w:r>
                    <w:r>
                      <w:rPr>
                        <w:b/>
                        <w:sz w:val="18"/>
                      </w:rPr>
                      <w:t>Regional</w:t>
                    </w:r>
                    <w:r>
                      <w:rPr>
                        <w:b/>
                        <w:spacing w:val="-9"/>
                        <w:sz w:val="18"/>
                      </w:rPr>
                      <w:t xml:space="preserve"> </w:t>
                    </w:r>
                    <w:r>
                      <w:rPr>
                        <w:b/>
                        <w:sz w:val="18"/>
                      </w:rPr>
                      <w:t>Aviation</w:t>
                    </w:r>
                    <w:r>
                      <w:rPr>
                        <w:b/>
                        <w:spacing w:val="-9"/>
                        <w:sz w:val="18"/>
                      </w:rPr>
                      <w:t xml:space="preserve"> </w:t>
                    </w:r>
                    <w:r>
                      <w:rPr>
                        <w:b/>
                        <w:sz w:val="18"/>
                      </w:rPr>
                      <w:t>Services</w:t>
                    </w:r>
                    <w:r>
                      <w:rPr>
                        <w:b/>
                        <w:spacing w:val="-10"/>
                        <w:sz w:val="18"/>
                      </w:rPr>
                      <w:t xml:space="preserve"> </w:t>
                    </w:r>
                    <w:r>
                      <w:rPr>
                        <w:b/>
                        <w:sz w:val="18"/>
                      </w:rPr>
                      <w:t>in</w:t>
                    </w:r>
                    <w:r>
                      <w:rPr>
                        <w:b/>
                        <w:spacing w:val="-9"/>
                        <w:sz w:val="18"/>
                      </w:rPr>
                      <w:t xml:space="preserve"> </w:t>
                    </w:r>
                    <w:r>
                      <w:rPr>
                        <w:b/>
                        <w:spacing w:val="-5"/>
                        <w:sz w:val="18"/>
                      </w:rPr>
                      <w:t>NSW</w:t>
                    </w:r>
                  </w:p>
                </w:txbxContent>
              </v:textbox>
            </v:shape>
            <v:shape id="docshape1813" o:spid="_x0000_s3275" type="#_x0000_t202" style="position:absolute;left:15404;top:390;width:138;height:189" filled="f" stroked="f">
              <v:textbox inset="0,0,0,0">
                <w:txbxContent>
                  <w:p w:rsidR="00F22F94" w:rsidRDefault="00F22F94">
                    <w:pPr>
                      <w:spacing w:before="4"/>
                      <w:rPr>
                        <w:b/>
                        <w:sz w:val="16"/>
                      </w:rPr>
                    </w:pPr>
                    <w:r>
                      <w:rPr>
                        <w:b/>
                        <w:color w:val="2E3092"/>
                        <w:w w:val="101"/>
                        <w:sz w:val="16"/>
                      </w:rPr>
                      <w:t>N</w:t>
                    </w:r>
                  </w:p>
                </w:txbxContent>
              </v:textbox>
            </v:shape>
            <v:shape id="docshape1814" o:spid="_x0000_s3274" type="#_x0000_t202" style="position:absolute;left:15090;top:954;width:349;height:159" filled="f" stroked="f">
              <v:textbox inset="0,0,0,0">
                <w:txbxContent>
                  <w:p w:rsidR="00F22F94" w:rsidRDefault="00F22F94">
                    <w:pPr>
                      <w:spacing w:line="158" w:lineRule="exact"/>
                      <w:rPr>
                        <w:sz w:val="14"/>
                      </w:rPr>
                    </w:pPr>
                    <w:r>
                      <w:rPr>
                        <w:spacing w:val="-2"/>
                        <w:w w:val="80"/>
                        <w:sz w:val="14"/>
                      </w:rPr>
                      <w:t>Ballina</w:t>
                    </w:r>
                  </w:p>
                </w:txbxContent>
              </v:textbox>
            </v:shape>
            <v:shape id="docshape1815" o:spid="_x0000_s3273" type="#_x0000_t202" style="position:absolute;left:12359;top:1388;width:334;height:159" filled="f" stroked="f">
              <v:textbox inset="0,0,0,0">
                <w:txbxContent>
                  <w:p w:rsidR="00F22F94" w:rsidRDefault="00F22F94">
                    <w:pPr>
                      <w:spacing w:line="158" w:lineRule="exact"/>
                      <w:rPr>
                        <w:sz w:val="14"/>
                      </w:rPr>
                    </w:pPr>
                    <w:r>
                      <w:rPr>
                        <w:spacing w:val="-2"/>
                        <w:w w:val="80"/>
                        <w:sz w:val="14"/>
                      </w:rPr>
                      <w:t>Moree</w:t>
                    </w:r>
                  </w:p>
                </w:txbxContent>
              </v:textbox>
            </v:shape>
            <v:shape id="docshape1816" o:spid="_x0000_s3272" type="#_x0000_t202" style="position:absolute;left:12282;top:2002;width:420;height:159" filled="f" stroked="f">
              <v:textbox inset="0,0,0,0">
                <w:txbxContent>
                  <w:p w:rsidR="00F22F94" w:rsidRDefault="00F22F94">
                    <w:pPr>
                      <w:spacing w:line="158" w:lineRule="exact"/>
                      <w:rPr>
                        <w:sz w:val="14"/>
                      </w:rPr>
                    </w:pPr>
                    <w:r>
                      <w:rPr>
                        <w:spacing w:val="-2"/>
                        <w:w w:val="80"/>
                        <w:sz w:val="14"/>
                      </w:rPr>
                      <w:t>Narrabri</w:t>
                    </w:r>
                  </w:p>
                </w:txbxContent>
              </v:textbox>
            </v:shape>
            <v:shape id="docshape1817" o:spid="_x0000_s3271" type="#_x0000_t202" style="position:absolute;left:14509;top:1918;width:702;height:159" filled="f" stroked="f">
              <v:textbox inset="0,0,0,0">
                <w:txbxContent>
                  <w:p w:rsidR="00F22F94" w:rsidRDefault="00F22F94">
                    <w:pPr>
                      <w:spacing w:line="158" w:lineRule="exact"/>
                      <w:rPr>
                        <w:sz w:val="14"/>
                      </w:rPr>
                    </w:pPr>
                    <w:r>
                      <w:rPr>
                        <w:w w:val="75"/>
                        <w:sz w:val="14"/>
                      </w:rPr>
                      <w:t>Coffs</w:t>
                    </w:r>
                    <w:r>
                      <w:rPr>
                        <w:sz w:val="14"/>
                      </w:rPr>
                      <w:t xml:space="preserve"> </w:t>
                    </w:r>
                    <w:r>
                      <w:rPr>
                        <w:spacing w:val="-2"/>
                        <w:w w:val="80"/>
                        <w:sz w:val="14"/>
                      </w:rPr>
                      <w:t>Harbour</w:t>
                    </w:r>
                  </w:p>
                </w:txbxContent>
              </v:textbox>
            </v:shape>
            <v:shape id="docshape1818" o:spid="_x0000_s3270" type="#_x0000_t202" style="position:absolute;left:13595;top:2082;width:458;height:159" filled="f" stroked="f">
              <v:textbox inset="0,0,0,0">
                <w:txbxContent>
                  <w:p w:rsidR="00F22F94" w:rsidRDefault="00F22F94">
                    <w:pPr>
                      <w:spacing w:line="158" w:lineRule="exact"/>
                      <w:rPr>
                        <w:sz w:val="14"/>
                      </w:rPr>
                    </w:pPr>
                    <w:r>
                      <w:rPr>
                        <w:spacing w:val="-2"/>
                        <w:w w:val="80"/>
                        <w:sz w:val="14"/>
                      </w:rPr>
                      <w:t>Armidale</w:t>
                    </w:r>
                  </w:p>
                </w:txbxContent>
              </v:textbox>
            </v:shape>
            <v:shape id="docshape1819" o:spid="_x0000_s3269" type="#_x0000_t202" style="position:absolute;left:13065;top:2474;width:516;height:159" filled="f" stroked="f">
              <v:textbox inset="0,0,0,0">
                <w:txbxContent>
                  <w:p w:rsidR="00F22F94" w:rsidRDefault="00F22F94">
                    <w:pPr>
                      <w:spacing w:line="158" w:lineRule="exact"/>
                      <w:rPr>
                        <w:sz w:val="14"/>
                      </w:rPr>
                    </w:pPr>
                    <w:r>
                      <w:rPr>
                        <w:spacing w:val="-2"/>
                        <w:w w:val="80"/>
                        <w:sz w:val="14"/>
                      </w:rPr>
                      <w:t>Tamworth</w:t>
                    </w:r>
                  </w:p>
                </w:txbxContent>
              </v:textbox>
            </v:shape>
            <v:shape id="docshape1820" o:spid="_x0000_s3268" type="#_x0000_t202" style="position:absolute;left:14550;top:2535;width:220;height:159" filled="f" stroked="f">
              <v:textbox inset="0,0,0,0">
                <w:txbxContent>
                  <w:p w:rsidR="00F22F94" w:rsidRDefault="00F22F94">
                    <w:pPr>
                      <w:spacing w:line="158" w:lineRule="exact"/>
                      <w:rPr>
                        <w:sz w:val="14"/>
                      </w:rPr>
                    </w:pPr>
                    <w:r>
                      <w:rPr>
                        <w:spacing w:val="-4"/>
                        <w:w w:val="85"/>
                        <w:sz w:val="14"/>
                      </w:rPr>
                      <w:t>Port</w:t>
                    </w:r>
                  </w:p>
                </w:txbxContent>
              </v:textbox>
            </v:shape>
            <v:shape id="docshape1821" o:spid="_x0000_s3267" type="#_x0000_t202" style="position:absolute;left:15055;top:2426;width:241;height:159" filled="f" stroked="f">
              <v:textbox inset="0,0,0,0">
                <w:txbxContent>
                  <w:p w:rsidR="00F22F94" w:rsidRDefault="00F22F94">
                    <w:pPr>
                      <w:spacing w:line="158" w:lineRule="exact"/>
                      <w:rPr>
                        <w:sz w:val="14"/>
                      </w:rPr>
                    </w:pPr>
                    <w:r>
                      <w:rPr>
                        <w:spacing w:val="-4"/>
                        <w:w w:val="85"/>
                        <w:sz w:val="14"/>
                      </w:rPr>
                      <w:t>Lord</w:t>
                    </w:r>
                  </w:p>
                </w:txbxContent>
              </v:textbox>
            </v:shape>
            <v:shape id="docshape1822" o:spid="_x0000_s3266" type="#_x0000_t202" style="position:absolute;left:9604;top:2834;width:314;height:159" filled="f" stroked="f">
              <v:textbox inset="0,0,0,0">
                <w:txbxContent>
                  <w:p w:rsidR="00F22F94" w:rsidRDefault="00F22F94">
                    <w:pPr>
                      <w:spacing w:line="158" w:lineRule="exact"/>
                      <w:rPr>
                        <w:sz w:val="14"/>
                      </w:rPr>
                    </w:pPr>
                    <w:r>
                      <w:rPr>
                        <w:spacing w:val="-2"/>
                        <w:w w:val="80"/>
                        <w:sz w:val="14"/>
                      </w:rPr>
                      <w:t>Cobar</w:t>
                    </w:r>
                  </w:p>
                </w:txbxContent>
              </v:textbox>
            </v:shape>
            <v:shape id="docshape1823" o:spid="_x0000_s3265" type="#_x0000_t202" style="position:absolute;left:14406;top:2695;width:925;height:210" filled="f" stroked="f">
              <v:textbox inset="0,0,0,0">
                <w:txbxContent>
                  <w:p w:rsidR="00F22F94" w:rsidRDefault="00F22F94">
                    <w:pPr>
                      <w:spacing w:line="235" w:lineRule="auto"/>
                      <w:rPr>
                        <w:sz w:val="14"/>
                      </w:rPr>
                    </w:pPr>
                    <w:r>
                      <w:rPr>
                        <w:w w:val="80"/>
                        <w:sz w:val="14"/>
                      </w:rPr>
                      <w:t>Macquarie</w:t>
                    </w:r>
                    <w:r>
                      <w:rPr>
                        <w:spacing w:val="47"/>
                        <w:sz w:val="14"/>
                      </w:rPr>
                      <w:t xml:space="preserve"> </w:t>
                    </w:r>
                    <w:r>
                      <w:rPr>
                        <w:spacing w:val="-2"/>
                        <w:w w:val="80"/>
                        <w:position w:val="-4"/>
                        <w:sz w:val="14"/>
                      </w:rPr>
                      <w:t>Island</w:t>
                    </w:r>
                  </w:p>
                </w:txbxContent>
              </v:textbox>
            </v:shape>
            <v:shape id="docshape1824" o:spid="_x0000_s3264" type="#_x0000_t202" style="position:absolute;left:15028;top:2586;width:295;height:159" filled="f" stroked="f">
              <v:textbox inset="0,0,0,0">
                <w:txbxContent>
                  <w:p w:rsidR="00F22F94" w:rsidRDefault="00F22F94">
                    <w:pPr>
                      <w:spacing w:line="158" w:lineRule="exact"/>
                      <w:rPr>
                        <w:sz w:val="14"/>
                      </w:rPr>
                    </w:pPr>
                    <w:r>
                      <w:rPr>
                        <w:spacing w:val="-4"/>
                        <w:w w:val="80"/>
                        <w:sz w:val="14"/>
                      </w:rPr>
                      <w:t>Howe</w:t>
                    </w:r>
                  </w:p>
                </w:txbxContent>
              </v:textbox>
            </v:shape>
            <v:shape id="docshape1825" o:spid="_x0000_s3263" type="#_x0000_t202" style="position:absolute;left:6455;top:3128;width:551;height:159" filled="f" stroked="f">
              <v:textbox inset="0,0,0,0">
                <w:txbxContent>
                  <w:p w:rsidR="00F22F94" w:rsidRDefault="00F22F94">
                    <w:pPr>
                      <w:spacing w:line="158" w:lineRule="exact"/>
                      <w:rPr>
                        <w:sz w:val="14"/>
                      </w:rPr>
                    </w:pPr>
                    <w:r>
                      <w:rPr>
                        <w:w w:val="75"/>
                        <w:sz w:val="14"/>
                      </w:rPr>
                      <w:t>Broken</w:t>
                    </w:r>
                    <w:r>
                      <w:rPr>
                        <w:spacing w:val="7"/>
                        <w:sz w:val="14"/>
                      </w:rPr>
                      <w:t xml:space="preserve"> </w:t>
                    </w:r>
                    <w:r>
                      <w:rPr>
                        <w:spacing w:val="-4"/>
                        <w:w w:val="85"/>
                        <w:sz w:val="14"/>
                      </w:rPr>
                      <w:t>Hill</w:t>
                    </w:r>
                  </w:p>
                </w:txbxContent>
              </v:textbox>
            </v:shape>
            <v:shape id="docshape1826" o:spid="_x0000_s3262" type="#_x0000_t202" style="position:absolute;left:14221;top:3094;width:300;height:159" filled="f" stroked="f">
              <v:textbox inset="0,0,0,0">
                <w:txbxContent>
                  <w:p w:rsidR="00F22F94" w:rsidRDefault="00F22F94">
                    <w:pPr>
                      <w:spacing w:line="158" w:lineRule="exact"/>
                      <w:rPr>
                        <w:sz w:val="14"/>
                      </w:rPr>
                    </w:pPr>
                    <w:r>
                      <w:rPr>
                        <w:spacing w:val="-2"/>
                        <w:w w:val="80"/>
                        <w:sz w:val="14"/>
                      </w:rPr>
                      <w:t>Taree</w:t>
                    </w:r>
                  </w:p>
                </w:txbxContent>
              </v:textbox>
            </v:shape>
            <v:shape id="docshape1827" o:spid="_x0000_s3261" type="#_x0000_t202" style="position:absolute;left:11522;top:3324;width:342;height:159" filled="f" stroked="f">
              <v:textbox inset="0,0,0,0">
                <w:txbxContent>
                  <w:p w:rsidR="00F22F94" w:rsidRDefault="00F22F94">
                    <w:pPr>
                      <w:spacing w:line="158" w:lineRule="exact"/>
                      <w:rPr>
                        <w:sz w:val="14"/>
                      </w:rPr>
                    </w:pPr>
                    <w:r>
                      <w:rPr>
                        <w:spacing w:val="-2"/>
                        <w:w w:val="80"/>
                        <w:sz w:val="14"/>
                      </w:rPr>
                      <w:t>Dubbo</w:t>
                    </w:r>
                  </w:p>
                </w:txbxContent>
              </v:textbox>
            </v:shape>
            <v:shape id="docshape1828" o:spid="_x0000_s3260" type="#_x0000_t202" style="position:absolute;left:12163;top:3570;width:422;height:159" filled="f" stroked="f">
              <v:textbox inset="0,0,0,0">
                <w:txbxContent>
                  <w:p w:rsidR="00F22F94" w:rsidRDefault="00F22F94">
                    <w:pPr>
                      <w:spacing w:line="158" w:lineRule="exact"/>
                      <w:rPr>
                        <w:sz w:val="14"/>
                      </w:rPr>
                    </w:pPr>
                    <w:r>
                      <w:rPr>
                        <w:spacing w:val="-2"/>
                        <w:w w:val="80"/>
                        <w:sz w:val="14"/>
                      </w:rPr>
                      <w:t>Mudgee</w:t>
                    </w:r>
                  </w:p>
                </w:txbxContent>
              </v:textbox>
            </v:shape>
            <v:shape id="docshape1829" o:spid="_x0000_s3259" type="#_x0000_t202" style="position:absolute;left:13578;top:3503;width:681;height:319" filled="f" stroked="f">
              <v:textbox inset="0,0,0,0">
                <w:txbxContent>
                  <w:p w:rsidR="00F22F94" w:rsidRDefault="00F22F94">
                    <w:pPr>
                      <w:ind w:firstLine="76"/>
                      <w:rPr>
                        <w:sz w:val="14"/>
                      </w:rPr>
                    </w:pPr>
                    <w:r>
                      <w:rPr>
                        <w:spacing w:val="-2"/>
                        <w:w w:val="90"/>
                        <w:sz w:val="14"/>
                      </w:rPr>
                      <w:t>Newcastle</w:t>
                    </w:r>
                    <w:r>
                      <w:rPr>
                        <w:spacing w:val="40"/>
                        <w:sz w:val="14"/>
                      </w:rPr>
                      <w:t xml:space="preserve"> </w:t>
                    </w:r>
                    <w:r>
                      <w:rPr>
                        <w:spacing w:val="-2"/>
                        <w:w w:val="75"/>
                        <w:sz w:val="14"/>
                      </w:rPr>
                      <w:t>(Williamtown)</w:t>
                    </w:r>
                  </w:p>
                </w:txbxContent>
              </v:textbox>
            </v:shape>
            <v:shape id="docshape1830" o:spid="_x0000_s3258" type="#_x0000_t202" style="position:absolute;left:11185;top:3953;width:357;height:159" filled="f" stroked="f">
              <v:textbox inset="0,0,0,0">
                <w:txbxContent>
                  <w:p w:rsidR="00F22F94" w:rsidRDefault="00F22F94">
                    <w:pPr>
                      <w:spacing w:line="158" w:lineRule="exact"/>
                      <w:rPr>
                        <w:sz w:val="14"/>
                      </w:rPr>
                    </w:pPr>
                    <w:r>
                      <w:rPr>
                        <w:spacing w:val="-2"/>
                        <w:w w:val="80"/>
                        <w:sz w:val="14"/>
                      </w:rPr>
                      <w:t>Parkes</w:t>
                    </w:r>
                  </w:p>
                </w:txbxContent>
              </v:textbox>
            </v:shape>
            <v:shape id="docshape1831" o:spid="_x0000_s3257" type="#_x0000_t202" style="position:absolute;left:11801;top:4013;width:381;height:159" filled="f" stroked="f">
              <v:textbox inset="0,0,0,0">
                <w:txbxContent>
                  <w:p w:rsidR="00F22F94" w:rsidRDefault="00F22F94">
                    <w:pPr>
                      <w:spacing w:line="158" w:lineRule="exact"/>
                      <w:rPr>
                        <w:sz w:val="14"/>
                      </w:rPr>
                    </w:pPr>
                    <w:r>
                      <w:rPr>
                        <w:spacing w:val="-2"/>
                        <w:w w:val="80"/>
                        <w:sz w:val="14"/>
                      </w:rPr>
                      <w:t>Orange</w:t>
                    </w:r>
                  </w:p>
                </w:txbxContent>
              </v:textbox>
            </v:shape>
            <v:shape id="docshape1832" o:spid="_x0000_s3256" type="#_x0000_t202" style="position:absolute;left:12163;top:4150;width:435;height:159" filled="f" stroked="f">
              <v:textbox inset="0,0,0,0">
                <w:txbxContent>
                  <w:p w:rsidR="00F22F94" w:rsidRDefault="00F22F94">
                    <w:pPr>
                      <w:spacing w:line="158" w:lineRule="exact"/>
                      <w:rPr>
                        <w:sz w:val="14"/>
                      </w:rPr>
                    </w:pPr>
                    <w:r>
                      <w:rPr>
                        <w:spacing w:val="-2"/>
                        <w:w w:val="80"/>
                        <w:sz w:val="14"/>
                      </w:rPr>
                      <w:t>Bathurst</w:t>
                    </w:r>
                  </w:p>
                </w:txbxContent>
              </v:textbox>
            </v:shape>
            <v:shape id="docshape1833" o:spid="_x0000_s3255" type="#_x0000_t202" style="position:absolute;left:9668;top:4715;width:350;height:159" filled="f" stroked="f">
              <v:textbox inset="0,0,0,0">
                <w:txbxContent>
                  <w:p w:rsidR="00F22F94" w:rsidRDefault="00F22F94">
                    <w:pPr>
                      <w:spacing w:line="158" w:lineRule="exact"/>
                      <w:rPr>
                        <w:sz w:val="14"/>
                      </w:rPr>
                    </w:pPr>
                    <w:r>
                      <w:rPr>
                        <w:spacing w:val="-2"/>
                        <w:w w:val="90"/>
                        <w:sz w:val="14"/>
                      </w:rPr>
                      <w:t>Griffth</w:t>
                    </w:r>
                  </w:p>
                </w:txbxContent>
              </v:textbox>
            </v:shape>
            <v:shape id="docshape1834" o:spid="_x0000_s3254" type="#_x0000_t202" style="position:absolute;left:13637;top:4756;width:375;height:159" filled="f" stroked="f">
              <v:textbox inset="0,0,0,0">
                <w:txbxContent>
                  <w:p w:rsidR="00F22F94" w:rsidRDefault="00F22F94">
                    <w:pPr>
                      <w:spacing w:line="158" w:lineRule="exact"/>
                      <w:rPr>
                        <w:sz w:val="14"/>
                      </w:rPr>
                    </w:pPr>
                    <w:r>
                      <w:rPr>
                        <w:spacing w:val="-2"/>
                        <w:w w:val="80"/>
                        <w:sz w:val="14"/>
                      </w:rPr>
                      <w:t>Sydney</w:t>
                    </w:r>
                  </w:p>
                </w:txbxContent>
              </v:textbox>
            </v:shape>
            <v:shape id="docshape1835" o:spid="_x0000_s3253" type="#_x0000_t202" style="position:absolute;left:10102;top:5059;width:2221;height:520" filled="f" stroked="f">
              <v:textbox inset="0,0,0,0">
                <w:txbxContent>
                  <w:p w:rsidR="00F22F94" w:rsidRDefault="00F22F94">
                    <w:pPr>
                      <w:spacing w:line="159" w:lineRule="exact"/>
                      <w:rPr>
                        <w:sz w:val="14"/>
                      </w:rPr>
                    </w:pPr>
                    <w:r>
                      <w:rPr>
                        <w:spacing w:val="-2"/>
                        <w:w w:val="90"/>
                        <w:sz w:val="14"/>
                      </w:rPr>
                      <w:t>Narrandera</w:t>
                    </w:r>
                  </w:p>
                  <w:p w:rsidR="00F22F94" w:rsidRDefault="00F22F94">
                    <w:pPr>
                      <w:tabs>
                        <w:tab w:val="left" w:pos="1583"/>
                      </w:tabs>
                      <w:spacing w:before="56" w:line="218" w:lineRule="auto"/>
                      <w:ind w:left="1633" w:right="18" w:hanging="1251"/>
                      <w:rPr>
                        <w:sz w:val="14"/>
                      </w:rPr>
                    </w:pPr>
                    <w:r>
                      <w:rPr>
                        <w:w w:val="85"/>
                        <w:sz w:val="14"/>
                      </w:rPr>
                      <w:t>Wagga</w:t>
                    </w:r>
                    <w:r>
                      <w:rPr>
                        <w:spacing w:val="-4"/>
                        <w:w w:val="85"/>
                        <w:sz w:val="14"/>
                      </w:rPr>
                      <w:t xml:space="preserve"> </w:t>
                    </w:r>
                    <w:r>
                      <w:rPr>
                        <w:w w:val="85"/>
                        <w:sz w:val="14"/>
                      </w:rPr>
                      <w:t>Wagga</w:t>
                    </w:r>
                    <w:r>
                      <w:rPr>
                        <w:sz w:val="14"/>
                      </w:rPr>
                      <w:tab/>
                    </w:r>
                    <w:r>
                      <w:rPr>
                        <w:spacing w:val="-2"/>
                        <w:w w:val="75"/>
                        <w:position w:val="1"/>
                        <w:sz w:val="14"/>
                      </w:rPr>
                      <w:t>Queanbeyan</w:t>
                    </w:r>
                    <w:r>
                      <w:rPr>
                        <w:spacing w:val="40"/>
                        <w:position w:val="1"/>
                        <w:sz w:val="14"/>
                      </w:rPr>
                      <w:t xml:space="preserve"> </w:t>
                    </w:r>
                    <w:r>
                      <w:rPr>
                        <w:spacing w:val="-2"/>
                        <w:w w:val="80"/>
                        <w:sz w:val="14"/>
                      </w:rPr>
                      <w:t>(Canberra)</w:t>
                    </w:r>
                  </w:p>
                </w:txbxContent>
              </v:textbox>
            </v:shape>
            <v:shape id="docshape1836" o:spid="_x0000_s3252" type="#_x0000_t202" style="position:absolute;left:10326;top:5992;width:331;height:159" filled="f" stroked="f">
              <v:textbox inset="0,0,0,0">
                <w:txbxContent>
                  <w:p w:rsidR="00F22F94" w:rsidRDefault="00F22F94">
                    <w:pPr>
                      <w:spacing w:line="158" w:lineRule="exact"/>
                      <w:rPr>
                        <w:sz w:val="14"/>
                      </w:rPr>
                    </w:pPr>
                    <w:r>
                      <w:rPr>
                        <w:spacing w:val="-2"/>
                        <w:w w:val="80"/>
                        <w:sz w:val="14"/>
                      </w:rPr>
                      <w:t>Albury</w:t>
                    </w:r>
                  </w:p>
                </w:txbxContent>
              </v:textbox>
            </v:shape>
            <v:shape id="docshape1837" o:spid="_x0000_s3251" type="#_x0000_t202" style="position:absolute;left:11815;top:5813;width:398;height:449" filled="f" stroked="f">
              <v:textbox inset="0,0,0,0">
                <w:txbxContent>
                  <w:p w:rsidR="00F22F94" w:rsidRDefault="00F22F94">
                    <w:pPr>
                      <w:spacing w:line="159" w:lineRule="exact"/>
                      <w:rPr>
                        <w:sz w:val="14"/>
                      </w:rPr>
                    </w:pPr>
                    <w:r>
                      <w:rPr>
                        <w:spacing w:val="-5"/>
                        <w:w w:val="85"/>
                        <w:sz w:val="14"/>
                      </w:rPr>
                      <w:t>ACT</w:t>
                    </w:r>
                  </w:p>
                  <w:p w:rsidR="00F22F94" w:rsidRDefault="00F22F94">
                    <w:pPr>
                      <w:spacing w:before="129" w:line="160" w:lineRule="exact"/>
                      <w:ind w:left="30"/>
                      <w:rPr>
                        <w:sz w:val="14"/>
                      </w:rPr>
                    </w:pPr>
                    <w:r>
                      <w:rPr>
                        <w:spacing w:val="-2"/>
                        <w:w w:val="80"/>
                        <w:sz w:val="14"/>
                      </w:rPr>
                      <w:t>Cooma</w:t>
                    </w:r>
                  </w:p>
                </w:txbxContent>
              </v:textbox>
            </v:shape>
            <v:shape id="docshape1838" o:spid="_x0000_s3250" type="#_x0000_t202" style="position:absolute;left:12481;top:5882;width:389;height:159" filled="f" stroked="f">
              <v:textbox inset="0,0,0,0">
                <w:txbxContent>
                  <w:p w:rsidR="00F22F94" w:rsidRDefault="00F22F94">
                    <w:pPr>
                      <w:spacing w:line="158" w:lineRule="exact"/>
                      <w:rPr>
                        <w:sz w:val="14"/>
                      </w:rPr>
                    </w:pPr>
                    <w:r>
                      <w:rPr>
                        <w:spacing w:val="-2"/>
                        <w:w w:val="80"/>
                        <w:sz w:val="14"/>
                      </w:rPr>
                      <w:t>Moruya</w:t>
                    </w:r>
                  </w:p>
                </w:txbxContent>
              </v:textbox>
            </v:shape>
            <v:shape id="docshape1839" o:spid="_x0000_s3249" type="#_x0000_t202" style="position:absolute;left:12280;top:6524;width:547;height:159" filled="f" stroked="f">
              <v:textbox inset="0,0,0,0">
                <w:txbxContent>
                  <w:p w:rsidR="00F22F94" w:rsidRDefault="00F22F94">
                    <w:pPr>
                      <w:spacing w:line="158" w:lineRule="exact"/>
                      <w:rPr>
                        <w:sz w:val="14"/>
                      </w:rPr>
                    </w:pPr>
                    <w:r>
                      <w:rPr>
                        <w:spacing w:val="-2"/>
                        <w:w w:val="80"/>
                        <w:sz w:val="14"/>
                      </w:rPr>
                      <w:t>Merimbula</w:t>
                    </w:r>
                  </w:p>
                </w:txbxContent>
              </v:textbox>
            </v:shape>
            <v:shape id="docshape1840" o:spid="_x0000_s3248" type="#_x0000_t202" style="position:absolute;left:6171;top:7129;width:3143;height:1104" filled="f" stroked="f">
              <v:textbox inset="0,0,0,0">
                <w:txbxContent>
                  <w:p w:rsidR="00F22F94" w:rsidRDefault="00F22F94">
                    <w:pPr>
                      <w:spacing w:before="6"/>
                      <w:ind w:left="6"/>
                      <w:rPr>
                        <w:b/>
                        <w:sz w:val="18"/>
                      </w:rPr>
                    </w:pPr>
                    <w:r>
                      <w:rPr>
                        <w:b/>
                        <w:color w:val="2E3092"/>
                        <w:spacing w:val="-5"/>
                        <w:sz w:val="18"/>
                      </w:rPr>
                      <w:t>Key</w:t>
                    </w:r>
                  </w:p>
                  <w:p w:rsidR="00F22F94" w:rsidRDefault="00F22F94">
                    <w:pPr>
                      <w:spacing w:before="35" w:line="297" w:lineRule="auto"/>
                      <w:ind w:left="406"/>
                      <w:rPr>
                        <w:sz w:val="14"/>
                      </w:rPr>
                    </w:pPr>
                    <w:r>
                      <w:rPr>
                        <w:w w:val="85"/>
                        <w:sz w:val="14"/>
                      </w:rPr>
                      <w:t>Airport</w:t>
                    </w:r>
                    <w:r>
                      <w:rPr>
                        <w:spacing w:val="-4"/>
                        <w:w w:val="85"/>
                        <w:sz w:val="14"/>
                      </w:rPr>
                      <w:t xml:space="preserve"> </w:t>
                    </w:r>
                    <w:r>
                      <w:rPr>
                        <w:w w:val="85"/>
                        <w:sz w:val="14"/>
                      </w:rPr>
                      <w:t>serving</w:t>
                    </w:r>
                    <w:r>
                      <w:rPr>
                        <w:spacing w:val="-4"/>
                        <w:w w:val="85"/>
                        <w:sz w:val="14"/>
                      </w:rPr>
                      <w:t xml:space="preserve"> </w:t>
                    </w:r>
                    <w:r>
                      <w:rPr>
                        <w:w w:val="85"/>
                        <w:sz w:val="14"/>
                      </w:rPr>
                      <w:t>less</w:t>
                    </w:r>
                    <w:r>
                      <w:rPr>
                        <w:spacing w:val="-4"/>
                        <w:w w:val="85"/>
                        <w:sz w:val="14"/>
                      </w:rPr>
                      <w:t xml:space="preserve"> </w:t>
                    </w:r>
                    <w:r>
                      <w:rPr>
                        <w:w w:val="85"/>
                        <w:sz w:val="14"/>
                      </w:rPr>
                      <w:t>than</w:t>
                    </w:r>
                    <w:r>
                      <w:rPr>
                        <w:spacing w:val="-4"/>
                        <w:w w:val="85"/>
                        <w:sz w:val="14"/>
                      </w:rPr>
                      <w:t xml:space="preserve"> </w:t>
                    </w:r>
                    <w:r>
                      <w:rPr>
                        <w:w w:val="85"/>
                        <w:sz w:val="14"/>
                      </w:rPr>
                      <w:t>50,000</w:t>
                    </w:r>
                    <w:r>
                      <w:rPr>
                        <w:spacing w:val="-3"/>
                        <w:w w:val="85"/>
                        <w:sz w:val="14"/>
                      </w:rPr>
                      <w:t xml:space="preserve"> </w:t>
                    </w:r>
                    <w:r>
                      <w:rPr>
                        <w:w w:val="85"/>
                        <w:sz w:val="14"/>
                      </w:rPr>
                      <w:t>passengers</w:t>
                    </w:r>
                    <w:r>
                      <w:rPr>
                        <w:spacing w:val="-4"/>
                        <w:w w:val="85"/>
                        <w:sz w:val="14"/>
                      </w:rPr>
                      <w:t xml:space="preserve"> </w:t>
                    </w:r>
                    <w:r>
                      <w:rPr>
                        <w:w w:val="85"/>
                        <w:sz w:val="14"/>
                      </w:rPr>
                      <w:t>(2011)</w:t>
                    </w:r>
                    <w:r>
                      <w:rPr>
                        <w:spacing w:val="40"/>
                        <w:sz w:val="14"/>
                      </w:rPr>
                      <w:t xml:space="preserve"> </w:t>
                    </w:r>
                    <w:r>
                      <w:rPr>
                        <w:w w:val="80"/>
                        <w:sz w:val="14"/>
                      </w:rPr>
                      <w:t>Airport</w:t>
                    </w:r>
                    <w:r>
                      <w:rPr>
                        <w:spacing w:val="6"/>
                        <w:sz w:val="14"/>
                      </w:rPr>
                      <w:t xml:space="preserve"> </w:t>
                    </w:r>
                    <w:r>
                      <w:rPr>
                        <w:w w:val="80"/>
                        <w:sz w:val="14"/>
                      </w:rPr>
                      <w:t>serving</w:t>
                    </w:r>
                    <w:r>
                      <w:rPr>
                        <w:spacing w:val="7"/>
                        <w:sz w:val="14"/>
                      </w:rPr>
                      <w:t xml:space="preserve"> </w:t>
                    </w:r>
                    <w:r>
                      <w:rPr>
                        <w:w w:val="80"/>
                        <w:sz w:val="14"/>
                      </w:rPr>
                      <w:t>more</w:t>
                    </w:r>
                    <w:r>
                      <w:rPr>
                        <w:spacing w:val="7"/>
                        <w:sz w:val="14"/>
                      </w:rPr>
                      <w:t xml:space="preserve"> </w:t>
                    </w:r>
                    <w:r>
                      <w:rPr>
                        <w:w w:val="80"/>
                        <w:sz w:val="14"/>
                      </w:rPr>
                      <w:t>than</w:t>
                    </w:r>
                    <w:r>
                      <w:rPr>
                        <w:spacing w:val="7"/>
                        <w:sz w:val="14"/>
                      </w:rPr>
                      <w:t xml:space="preserve"> </w:t>
                    </w:r>
                    <w:r>
                      <w:rPr>
                        <w:w w:val="80"/>
                        <w:sz w:val="14"/>
                      </w:rPr>
                      <w:t>50,000</w:t>
                    </w:r>
                    <w:r>
                      <w:rPr>
                        <w:spacing w:val="6"/>
                        <w:sz w:val="14"/>
                      </w:rPr>
                      <w:t xml:space="preserve"> </w:t>
                    </w:r>
                    <w:r>
                      <w:rPr>
                        <w:w w:val="80"/>
                        <w:sz w:val="14"/>
                      </w:rPr>
                      <w:t>passengers</w:t>
                    </w:r>
                    <w:r>
                      <w:rPr>
                        <w:spacing w:val="7"/>
                        <w:sz w:val="14"/>
                      </w:rPr>
                      <w:t xml:space="preserve"> </w:t>
                    </w:r>
                    <w:r>
                      <w:rPr>
                        <w:spacing w:val="-2"/>
                        <w:w w:val="80"/>
                        <w:sz w:val="14"/>
                      </w:rPr>
                      <w:t>(2011)</w:t>
                    </w:r>
                  </w:p>
                  <w:p w:rsidR="00F22F94" w:rsidRDefault="00F22F94">
                    <w:pPr>
                      <w:tabs>
                        <w:tab w:val="left" w:pos="272"/>
                      </w:tabs>
                      <w:ind w:left="6"/>
                      <w:rPr>
                        <w:sz w:val="14"/>
                      </w:rPr>
                    </w:pPr>
                    <w:r>
                      <w:rPr>
                        <w:sz w:val="14"/>
                        <w:u w:val="single" w:color="00AEEF"/>
                      </w:rPr>
                      <w:tab/>
                    </w:r>
                    <w:r>
                      <w:rPr>
                        <w:spacing w:val="80"/>
                        <w:w w:val="150"/>
                        <w:sz w:val="14"/>
                      </w:rPr>
                      <w:t xml:space="preserve"> </w:t>
                    </w:r>
                    <w:r>
                      <w:rPr>
                        <w:w w:val="80"/>
                        <w:sz w:val="14"/>
                      </w:rPr>
                      <w:t>Regional</w:t>
                    </w:r>
                    <w:r>
                      <w:rPr>
                        <w:sz w:val="14"/>
                      </w:rPr>
                      <w:t xml:space="preserve"> </w:t>
                    </w:r>
                    <w:r>
                      <w:rPr>
                        <w:w w:val="80"/>
                        <w:sz w:val="14"/>
                      </w:rPr>
                      <w:t>commercial</w:t>
                    </w:r>
                    <w:r>
                      <w:rPr>
                        <w:sz w:val="14"/>
                      </w:rPr>
                      <w:t xml:space="preserve"> </w:t>
                    </w:r>
                    <w:r>
                      <w:rPr>
                        <w:w w:val="80"/>
                        <w:sz w:val="14"/>
                      </w:rPr>
                      <w:t>air</w:t>
                    </w:r>
                    <w:r>
                      <w:rPr>
                        <w:sz w:val="14"/>
                      </w:rPr>
                      <w:t xml:space="preserve"> </w:t>
                    </w:r>
                    <w:r>
                      <w:rPr>
                        <w:w w:val="80"/>
                        <w:sz w:val="14"/>
                      </w:rPr>
                      <w:t>route</w:t>
                    </w:r>
                  </w:p>
                  <w:p w:rsidR="00F22F94" w:rsidRDefault="00F22F94">
                    <w:pPr>
                      <w:spacing w:before="134"/>
                      <w:rPr>
                        <w:sz w:val="14"/>
                      </w:rPr>
                    </w:pPr>
                    <w:r>
                      <w:rPr>
                        <w:w w:val="95"/>
                        <w:sz w:val="14"/>
                      </w:rPr>
                      <w:t>Source:</w:t>
                    </w:r>
                    <w:r>
                      <w:rPr>
                        <w:spacing w:val="5"/>
                        <w:sz w:val="14"/>
                      </w:rPr>
                      <w:t xml:space="preserve"> </w:t>
                    </w:r>
                    <w:r>
                      <w:rPr>
                        <w:w w:val="95"/>
                        <w:sz w:val="14"/>
                      </w:rPr>
                      <w:t>Transport</w:t>
                    </w:r>
                    <w:r>
                      <w:rPr>
                        <w:spacing w:val="6"/>
                        <w:sz w:val="14"/>
                      </w:rPr>
                      <w:t xml:space="preserve"> </w:t>
                    </w:r>
                    <w:r>
                      <w:rPr>
                        <w:w w:val="95"/>
                        <w:sz w:val="14"/>
                      </w:rPr>
                      <w:t>for</w:t>
                    </w:r>
                    <w:r>
                      <w:rPr>
                        <w:spacing w:val="6"/>
                        <w:sz w:val="14"/>
                      </w:rPr>
                      <w:t xml:space="preserve"> </w:t>
                    </w:r>
                    <w:r>
                      <w:rPr>
                        <w:spacing w:val="-4"/>
                        <w:w w:val="95"/>
                        <w:sz w:val="14"/>
                      </w:rPr>
                      <w:t>NSW.</w:t>
                    </w:r>
                  </w:p>
                </w:txbxContent>
              </v:textbox>
            </v:shape>
            <v:shape id="docshape1841" o:spid="_x0000_s3247" type="#_x0000_t202" style="position:absolute;left:14007;top:7808;width:1606;height:159" filled="f" stroked="f">
              <v:textbox inset="0,0,0,0">
                <w:txbxContent>
                  <w:p w:rsidR="00F22F94" w:rsidRDefault="00F22F94">
                    <w:pPr>
                      <w:tabs>
                        <w:tab w:val="left" w:pos="283"/>
                      </w:tabs>
                      <w:spacing w:line="158" w:lineRule="exact"/>
                      <w:rPr>
                        <w:sz w:val="14"/>
                      </w:rPr>
                    </w:pPr>
                    <w:r>
                      <w:rPr>
                        <w:spacing w:val="-10"/>
                        <w:w w:val="95"/>
                        <w:sz w:val="14"/>
                      </w:rPr>
                      <w:t>0</w:t>
                    </w:r>
                    <w:r>
                      <w:rPr>
                        <w:sz w:val="14"/>
                      </w:rPr>
                      <w:tab/>
                    </w:r>
                    <w:r>
                      <w:rPr>
                        <w:w w:val="95"/>
                        <w:sz w:val="14"/>
                      </w:rPr>
                      <w:t>50</w:t>
                    </w:r>
                    <w:r>
                      <w:rPr>
                        <w:spacing w:val="60"/>
                        <w:sz w:val="14"/>
                      </w:rPr>
                      <w:t xml:space="preserve"> </w:t>
                    </w:r>
                    <w:r>
                      <w:rPr>
                        <w:w w:val="95"/>
                        <w:sz w:val="14"/>
                      </w:rPr>
                      <w:t>100</w:t>
                    </w:r>
                    <w:r>
                      <w:rPr>
                        <w:spacing w:val="58"/>
                        <w:sz w:val="14"/>
                      </w:rPr>
                      <w:t xml:space="preserve"> </w:t>
                    </w:r>
                    <w:r>
                      <w:rPr>
                        <w:w w:val="95"/>
                        <w:sz w:val="14"/>
                      </w:rPr>
                      <w:t>150</w:t>
                    </w:r>
                    <w:r>
                      <w:rPr>
                        <w:spacing w:val="37"/>
                        <w:sz w:val="14"/>
                      </w:rPr>
                      <w:t xml:space="preserve">  </w:t>
                    </w:r>
                    <w:r>
                      <w:rPr>
                        <w:spacing w:val="-2"/>
                        <w:w w:val="90"/>
                        <w:sz w:val="14"/>
                      </w:rPr>
                      <w:t>200km</w:t>
                    </w:r>
                  </w:p>
                </w:txbxContent>
              </v:textbox>
            </v:shape>
            <w10:wrap anchorx="page"/>
          </v:group>
        </w:pict>
      </w:r>
      <w:bookmarkStart w:id="273" w:name="_bookmark193"/>
      <w:bookmarkEnd w:id="273"/>
      <w:r w:rsidR="00F22F94">
        <w:rPr>
          <w:color w:val="00AEEF"/>
          <w:w w:val="95"/>
        </w:rPr>
        <w:t>Regional</w:t>
      </w:r>
      <w:r w:rsidR="00F22F94">
        <w:rPr>
          <w:color w:val="00AEEF"/>
          <w:spacing w:val="-2"/>
        </w:rPr>
        <w:t xml:space="preserve"> </w:t>
      </w:r>
      <w:r w:rsidR="00F22F94">
        <w:rPr>
          <w:color w:val="00AEEF"/>
          <w:w w:val="95"/>
        </w:rPr>
        <w:t>Air</w:t>
      </w:r>
      <w:r w:rsidR="00F22F94">
        <w:rPr>
          <w:color w:val="00AEEF"/>
          <w:spacing w:val="-2"/>
        </w:rPr>
        <w:t xml:space="preserve"> </w:t>
      </w:r>
      <w:r w:rsidR="00F22F94">
        <w:rPr>
          <w:color w:val="00AEEF"/>
          <w:spacing w:val="-2"/>
          <w:w w:val="95"/>
        </w:rPr>
        <w:t>Travel</w:t>
      </w:r>
    </w:p>
    <w:p w:rsidR="002C1123" w:rsidRDefault="00F22F94">
      <w:pPr>
        <w:pStyle w:val="BodyText"/>
        <w:spacing w:before="95" w:line="249" w:lineRule="auto"/>
        <w:ind w:left="492" w:right="10835"/>
      </w:pPr>
      <w:r>
        <w:rPr>
          <w:w w:val="95"/>
        </w:rPr>
        <w:t xml:space="preserve">Regional aviation infrastructure supports scheduled </w:t>
      </w:r>
      <w:r>
        <w:rPr>
          <w:spacing w:val="-2"/>
        </w:rPr>
        <w:t>services</w:t>
      </w:r>
      <w:r>
        <w:rPr>
          <w:spacing w:val="-6"/>
        </w:rPr>
        <w:t xml:space="preserve"> </w:t>
      </w:r>
      <w:r>
        <w:rPr>
          <w:spacing w:val="-2"/>
        </w:rPr>
        <w:t>within</w:t>
      </w:r>
      <w:r>
        <w:rPr>
          <w:spacing w:val="-6"/>
        </w:rPr>
        <w:t xml:space="preserve"> </w:t>
      </w:r>
      <w:r>
        <w:rPr>
          <w:spacing w:val="-2"/>
        </w:rPr>
        <w:t>NSW</w:t>
      </w:r>
      <w:r>
        <w:rPr>
          <w:spacing w:val="-6"/>
        </w:rPr>
        <w:t xml:space="preserve"> </w:t>
      </w:r>
      <w:r>
        <w:rPr>
          <w:spacing w:val="-2"/>
        </w:rPr>
        <w:t>(primarily</w:t>
      </w:r>
      <w:r>
        <w:rPr>
          <w:spacing w:val="-6"/>
        </w:rPr>
        <w:t xml:space="preserve"> </w:t>
      </w:r>
      <w:r>
        <w:rPr>
          <w:spacing w:val="-2"/>
        </w:rPr>
        <w:t>to</w:t>
      </w:r>
      <w:r>
        <w:rPr>
          <w:spacing w:val="-6"/>
        </w:rPr>
        <w:t xml:space="preserve"> </w:t>
      </w:r>
      <w:r>
        <w:rPr>
          <w:spacing w:val="-2"/>
        </w:rPr>
        <w:t>Sydney),</w:t>
      </w:r>
      <w:r>
        <w:rPr>
          <w:spacing w:val="-6"/>
        </w:rPr>
        <w:t xml:space="preserve"> </w:t>
      </w:r>
      <w:r>
        <w:rPr>
          <w:spacing w:val="-2"/>
        </w:rPr>
        <w:t xml:space="preserve">across </w:t>
      </w:r>
      <w:r>
        <w:t>Australia</w:t>
      </w:r>
      <w:r>
        <w:rPr>
          <w:spacing w:val="-14"/>
        </w:rPr>
        <w:t xml:space="preserve"> </w:t>
      </w:r>
      <w:r>
        <w:t>and</w:t>
      </w:r>
      <w:r>
        <w:rPr>
          <w:spacing w:val="-14"/>
        </w:rPr>
        <w:t xml:space="preserve"> </w:t>
      </w:r>
      <w:r>
        <w:t>general</w:t>
      </w:r>
      <w:r>
        <w:rPr>
          <w:spacing w:val="-14"/>
        </w:rPr>
        <w:t xml:space="preserve"> </w:t>
      </w:r>
      <w:r>
        <w:t>aviation</w:t>
      </w:r>
      <w:r>
        <w:rPr>
          <w:spacing w:val="-14"/>
        </w:rPr>
        <w:t xml:space="preserve"> </w:t>
      </w:r>
      <w:r>
        <w:t>services.</w:t>
      </w:r>
      <w:r>
        <w:rPr>
          <w:spacing w:val="-14"/>
        </w:rPr>
        <w:t xml:space="preserve"> </w:t>
      </w:r>
      <w:r>
        <w:t>Current scheduled</w:t>
      </w:r>
      <w:r>
        <w:rPr>
          <w:spacing w:val="-12"/>
        </w:rPr>
        <w:t xml:space="preserve"> </w:t>
      </w:r>
      <w:r>
        <w:t>services</w:t>
      </w:r>
      <w:r>
        <w:rPr>
          <w:spacing w:val="-12"/>
        </w:rPr>
        <w:t xml:space="preserve"> </w:t>
      </w:r>
      <w:r>
        <w:t>are</w:t>
      </w:r>
      <w:r>
        <w:rPr>
          <w:spacing w:val="-12"/>
        </w:rPr>
        <w:t xml:space="preserve"> </w:t>
      </w:r>
      <w:r>
        <w:t>shown</w:t>
      </w:r>
      <w:r>
        <w:rPr>
          <w:spacing w:val="-12"/>
        </w:rPr>
        <w:t xml:space="preserve"> </w:t>
      </w:r>
      <w:r>
        <w:t>in</w:t>
      </w:r>
      <w:r>
        <w:rPr>
          <w:spacing w:val="-12"/>
        </w:rPr>
        <w:t xml:space="preserve"> </w:t>
      </w:r>
      <w:r>
        <w:t>Figure</w:t>
      </w:r>
      <w:r>
        <w:rPr>
          <w:spacing w:val="-12"/>
        </w:rPr>
        <w:t xml:space="preserve"> </w:t>
      </w:r>
      <w:r>
        <w:t>10.3.</w:t>
      </w:r>
    </w:p>
    <w:p w:rsidR="002C1123" w:rsidRDefault="00F22F94">
      <w:pPr>
        <w:pStyle w:val="BodyText"/>
        <w:spacing w:before="145" w:line="249" w:lineRule="auto"/>
        <w:ind w:left="492" w:right="10835"/>
      </w:pPr>
      <w:r>
        <w:rPr>
          <w:w w:val="95"/>
        </w:rPr>
        <w:t>Air</w:t>
      </w:r>
      <w:r>
        <w:rPr>
          <w:spacing w:val="-12"/>
          <w:w w:val="95"/>
        </w:rPr>
        <w:t xml:space="preserve"> </w:t>
      </w:r>
      <w:r>
        <w:rPr>
          <w:w w:val="95"/>
        </w:rPr>
        <w:t>travel</w:t>
      </w:r>
      <w:r>
        <w:rPr>
          <w:spacing w:val="-11"/>
          <w:w w:val="95"/>
        </w:rPr>
        <w:t xml:space="preserve"> </w:t>
      </w:r>
      <w:r>
        <w:rPr>
          <w:w w:val="95"/>
        </w:rPr>
        <w:t>is</w:t>
      </w:r>
      <w:r>
        <w:rPr>
          <w:spacing w:val="-11"/>
          <w:w w:val="95"/>
        </w:rPr>
        <w:t xml:space="preserve"> </w:t>
      </w:r>
      <w:r>
        <w:rPr>
          <w:w w:val="95"/>
        </w:rPr>
        <w:t>an</w:t>
      </w:r>
      <w:r>
        <w:rPr>
          <w:spacing w:val="-11"/>
          <w:w w:val="95"/>
        </w:rPr>
        <w:t xml:space="preserve"> </w:t>
      </w:r>
      <w:r>
        <w:rPr>
          <w:w w:val="95"/>
        </w:rPr>
        <w:t>effective</w:t>
      </w:r>
      <w:r>
        <w:rPr>
          <w:spacing w:val="-11"/>
          <w:w w:val="95"/>
        </w:rPr>
        <w:t xml:space="preserve"> </w:t>
      </w:r>
      <w:r>
        <w:rPr>
          <w:w w:val="95"/>
        </w:rPr>
        <w:t>way</w:t>
      </w:r>
      <w:r>
        <w:rPr>
          <w:spacing w:val="-11"/>
          <w:w w:val="95"/>
        </w:rPr>
        <w:t xml:space="preserve"> </w:t>
      </w:r>
      <w:r>
        <w:rPr>
          <w:w w:val="95"/>
        </w:rPr>
        <w:t>of</w:t>
      </w:r>
      <w:r>
        <w:rPr>
          <w:spacing w:val="-11"/>
          <w:w w:val="95"/>
        </w:rPr>
        <w:t xml:space="preserve"> </w:t>
      </w:r>
      <w:r>
        <w:rPr>
          <w:w w:val="95"/>
        </w:rPr>
        <w:t>moving</w:t>
      </w:r>
      <w:r>
        <w:rPr>
          <w:spacing w:val="-11"/>
          <w:w w:val="95"/>
        </w:rPr>
        <w:t xml:space="preserve"> </w:t>
      </w:r>
      <w:r>
        <w:rPr>
          <w:w w:val="95"/>
        </w:rPr>
        <w:t>high</w:t>
      </w:r>
      <w:r>
        <w:rPr>
          <w:spacing w:val="-12"/>
          <w:w w:val="95"/>
        </w:rPr>
        <w:t xml:space="preserve"> </w:t>
      </w:r>
      <w:r>
        <w:rPr>
          <w:w w:val="95"/>
        </w:rPr>
        <w:t>value</w:t>
      </w:r>
      <w:r>
        <w:rPr>
          <w:spacing w:val="-11"/>
          <w:w w:val="95"/>
        </w:rPr>
        <w:t xml:space="preserve"> </w:t>
      </w:r>
      <w:r>
        <w:rPr>
          <w:w w:val="95"/>
        </w:rPr>
        <w:t>freight and passenger movements between NSW’s dispersed regional</w:t>
      </w:r>
      <w:r>
        <w:rPr>
          <w:spacing w:val="-4"/>
          <w:w w:val="95"/>
        </w:rPr>
        <w:t xml:space="preserve"> </w:t>
      </w:r>
      <w:r>
        <w:rPr>
          <w:w w:val="95"/>
        </w:rPr>
        <w:t>centres.</w:t>
      </w:r>
      <w:r>
        <w:rPr>
          <w:spacing w:val="-4"/>
          <w:w w:val="95"/>
        </w:rPr>
        <w:t xml:space="preserve"> </w:t>
      </w:r>
      <w:r>
        <w:rPr>
          <w:w w:val="95"/>
        </w:rPr>
        <w:t>It</w:t>
      </w:r>
      <w:r>
        <w:rPr>
          <w:spacing w:val="-4"/>
          <w:w w:val="95"/>
        </w:rPr>
        <w:t xml:space="preserve"> </w:t>
      </w:r>
      <w:r>
        <w:rPr>
          <w:w w:val="95"/>
        </w:rPr>
        <w:t>also</w:t>
      </w:r>
      <w:r>
        <w:rPr>
          <w:spacing w:val="-4"/>
          <w:w w:val="95"/>
        </w:rPr>
        <w:t xml:space="preserve"> </w:t>
      </w:r>
      <w:r>
        <w:rPr>
          <w:w w:val="95"/>
        </w:rPr>
        <w:t>allows</w:t>
      </w:r>
      <w:r>
        <w:rPr>
          <w:spacing w:val="-4"/>
          <w:w w:val="95"/>
        </w:rPr>
        <w:t xml:space="preserve"> </w:t>
      </w:r>
      <w:r>
        <w:rPr>
          <w:w w:val="95"/>
        </w:rPr>
        <w:t>efficient</w:t>
      </w:r>
      <w:r>
        <w:rPr>
          <w:spacing w:val="-4"/>
          <w:w w:val="95"/>
        </w:rPr>
        <w:t xml:space="preserve"> </w:t>
      </w:r>
      <w:r>
        <w:rPr>
          <w:w w:val="95"/>
        </w:rPr>
        <w:t>travel</w:t>
      </w:r>
      <w:r>
        <w:rPr>
          <w:spacing w:val="-4"/>
          <w:w w:val="95"/>
        </w:rPr>
        <w:t xml:space="preserve"> </w:t>
      </w:r>
      <w:r>
        <w:rPr>
          <w:w w:val="95"/>
        </w:rPr>
        <w:t>to</w:t>
      </w:r>
      <w:r>
        <w:rPr>
          <w:spacing w:val="-4"/>
          <w:w w:val="95"/>
        </w:rPr>
        <w:t xml:space="preserve"> </w:t>
      </w:r>
      <w:r>
        <w:rPr>
          <w:w w:val="95"/>
        </w:rPr>
        <w:t xml:space="preserve">remote </w:t>
      </w:r>
      <w:r>
        <w:t>worksite,</w:t>
      </w:r>
      <w:r>
        <w:rPr>
          <w:spacing w:val="-12"/>
        </w:rPr>
        <w:t xml:space="preserve"> </w:t>
      </w:r>
      <w:r>
        <w:t>for</w:t>
      </w:r>
      <w:r>
        <w:rPr>
          <w:spacing w:val="-12"/>
        </w:rPr>
        <w:t xml:space="preserve"> </w:t>
      </w:r>
      <w:r>
        <w:t>example</w:t>
      </w:r>
      <w:r>
        <w:rPr>
          <w:spacing w:val="-12"/>
        </w:rPr>
        <w:t xml:space="preserve"> </w:t>
      </w:r>
      <w:r>
        <w:t>for</w:t>
      </w:r>
      <w:r>
        <w:rPr>
          <w:spacing w:val="-12"/>
        </w:rPr>
        <w:t xml:space="preserve"> </w:t>
      </w:r>
      <w:r>
        <w:t>fly-in-fly-out</w:t>
      </w:r>
      <w:r>
        <w:rPr>
          <w:spacing w:val="-12"/>
        </w:rPr>
        <w:t xml:space="preserve"> </w:t>
      </w:r>
      <w:r>
        <w:t>movements.</w:t>
      </w:r>
    </w:p>
    <w:p w:rsidR="002C1123" w:rsidRDefault="00F22F94">
      <w:pPr>
        <w:pStyle w:val="BodyText"/>
        <w:spacing w:before="145"/>
        <w:ind w:left="492"/>
      </w:pPr>
      <w:r>
        <w:rPr>
          <w:w w:val="95"/>
        </w:rPr>
        <w:t>Most</w:t>
      </w:r>
      <w:r>
        <w:rPr>
          <w:spacing w:val="-4"/>
          <w:w w:val="95"/>
        </w:rPr>
        <w:t xml:space="preserve"> </w:t>
      </w:r>
      <w:r>
        <w:rPr>
          <w:w w:val="95"/>
        </w:rPr>
        <w:t>regional</w:t>
      </w:r>
      <w:r>
        <w:rPr>
          <w:spacing w:val="-3"/>
          <w:w w:val="95"/>
        </w:rPr>
        <w:t xml:space="preserve"> </w:t>
      </w:r>
      <w:r>
        <w:rPr>
          <w:w w:val="95"/>
        </w:rPr>
        <w:t>airports</w:t>
      </w:r>
      <w:r>
        <w:rPr>
          <w:spacing w:val="-4"/>
          <w:w w:val="95"/>
        </w:rPr>
        <w:t xml:space="preserve"> </w:t>
      </w:r>
      <w:r>
        <w:rPr>
          <w:w w:val="95"/>
        </w:rPr>
        <w:t>are</w:t>
      </w:r>
      <w:r>
        <w:rPr>
          <w:spacing w:val="-3"/>
          <w:w w:val="95"/>
        </w:rPr>
        <w:t xml:space="preserve"> </w:t>
      </w:r>
      <w:r>
        <w:rPr>
          <w:w w:val="95"/>
        </w:rPr>
        <w:t>owned</w:t>
      </w:r>
      <w:r>
        <w:rPr>
          <w:spacing w:val="-4"/>
          <w:w w:val="95"/>
        </w:rPr>
        <w:t xml:space="preserve"> </w:t>
      </w:r>
      <w:r>
        <w:rPr>
          <w:w w:val="95"/>
        </w:rPr>
        <w:t>by</w:t>
      </w:r>
      <w:r>
        <w:rPr>
          <w:spacing w:val="-3"/>
          <w:w w:val="95"/>
        </w:rPr>
        <w:t xml:space="preserve"> </w:t>
      </w:r>
      <w:r>
        <w:rPr>
          <w:w w:val="95"/>
        </w:rPr>
        <w:t>local</w:t>
      </w:r>
      <w:r>
        <w:rPr>
          <w:spacing w:val="-4"/>
          <w:w w:val="95"/>
        </w:rPr>
        <w:t xml:space="preserve"> </w:t>
      </w:r>
      <w:r>
        <w:rPr>
          <w:spacing w:val="-2"/>
          <w:w w:val="95"/>
        </w:rPr>
        <w:t>governments.</w:t>
      </w:r>
    </w:p>
    <w:p w:rsidR="002C1123" w:rsidRDefault="00F22F94">
      <w:pPr>
        <w:pStyle w:val="BodyText"/>
        <w:spacing w:line="240" w:lineRule="atLeast"/>
        <w:ind w:left="492" w:right="11066"/>
      </w:pPr>
      <w:r>
        <w:rPr>
          <w:spacing w:val="-2"/>
        </w:rPr>
        <w:t>In</w:t>
      </w:r>
      <w:r>
        <w:rPr>
          <w:spacing w:val="-6"/>
        </w:rPr>
        <w:t xml:space="preserve"> </w:t>
      </w:r>
      <w:r>
        <w:rPr>
          <w:spacing w:val="-2"/>
        </w:rPr>
        <w:t>some</w:t>
      </w:r>
      <w:r>
        <w:rPr>
          <w:spacing w:val="-6"/>
        </w:rPr>
        <w:t xml:space="preserve"> </w:t>
      </w:r>
      <w:r>
        <w:rPr>
          <w:spacing w:val="-2"/>
        </w:rPr>
        <w:t>areas,</w:t>
      </w:r>
      <w:r>
        <w:rPr>
          <w:spacing w:val="-6"/>
        </w:rPr>
        <w:t xml:space="preserve"> </w:t>
      </w:r>
      <w:r>
        <w:rPr>
          <w:spacing w:val="-2"/>
        </w:rPr>
        <w:t>regional</w:t>
      </w:r>
      <w:r>
        <w:rPr>
          <w:spacing w:val="-6"/>
        </w:rPr>
        <w:t xml:space="preserve"> </w:t>
      </w:r>
      <w:r>
        <w:rPr>
          <w:spacing w:val="-2"/>
        </w:rPr>
        <w:t>authorities</w:t>
      </w:r>
      <w:r>
        <w:rPr>
          <w:spacing w:val="-6"/>
        </w:rPr>
        <w:t xml:space="preserve"> </w:t>
      </w:r>
      <w:r>
        <w:rPr>
          <w:spacing w:val="-2"/>
        </w:rPr>
        <w:t>have</w:t>
      </w:r>
      <w:r>
        <w:rPr>
          <w:spacing w:val="-6"/>
        </w:rPr>
        <w:t xml:space="preserve"> </w:t>
      </w:r>
      <w:r>
        <w:rPr>
          <w:spacing w:val="-2"/>
        </w:rPr>
        <w:t xml:space="preserve">identified </w:t>
      </w:r>
      <w:r>
        <w:rPr>
          <w:w w:val="95"/>
        </w:rPr>
        <w:t>that</w:t>
      </w:r>
      <w:r>
        <w:rPr>
          <w:spacing w:val="-6"/>
          <w:w w:val="95"/>
        </w:rPr>
        <w:t xml:space="preserve"> </w:t>
      </w:r>
      <w:r>
        <w:rPr>
          <w:w w:val="95"/>
        </w:rPr>
        <w:t>these</w:t>
      </w:r>
      <w:r>
        <w:rPr>
          <w:spacing w:val="-6"/>
          <w:w w:val="95"/>
        </w:rPr>
        <w:t xml:space="preserve"> </w:t>
      </w:r>
      <w:r>
        <w:rPr>
          <w:w w:val="95"/>
        </w:rPr>
        <w:t>facilities,</w:t>
      </w:r>
      <w:r>
        <w:rPr>
          <w:spacing w:val="-6"/>
          <w:w w:val="95"/>
        </w:rPr>
        <w:t xml:space="preserve"> </w:t>
      </w:r>
      <w:r>
        <w:rPr>
          <w:w w:val="95"/>
        </w:rPr>
        <w:t>and/or</w:t>
      </w:r>
      <w:r>
        <w:rPr>
          <w:spacing w:val="-6"/>
          <w:w w:val="95"/>
        </w:rPr>
        <w:t xml:space="preserve"> </w:t>
      </w:r>
      <w:r>
        <w:rPr>
          <w:w w:val="95"/>
        </w:rPr>
        <w:t>the</w:t>
      </w:r>
      <w:r>
        <w:rPr>
          <w:spacing w:val="-6"/>
          <w:w w:val="95"/>
        </w:rPr>
        <w:t xml:space="preserve"> </w:t>
      </w:r>
      <w:r>
        <w:rPr>
          <w:w w:val="95"/>
        </w:rPr>
        <w:t>landside</w:t>
      </w:r>
      <w:r>
        <w:rPr>
          <w:spacing w:val="-6"/>
          <w:w w:val="95"/>
        </w:rPr>
        <w:t xml:space="preserve"> </w:t>
      </w:r>
      <w:r>
        <w:rPr>
          <w:w w:val="95"/>
        </w:rPr>
        <w:t xml:space="preserve">infrastructure </w:t>
      </w:r>
      <w:r>
        <w:rPr>
          <w:spacing w:val="-2"/>
        </w:rPr>
        <w:t>that</w:t>
      </w:r>
      <w:r>
        <w:rPr>
          <w:spacing w:val="-6"/>
        </w:rPr>
        <w:t xml:space="preserve"> </w:t>
      </w:r>
      <w:r>
        <w:rPr>
          <w:spacing w:val="-2"/>
        </w:rPr>
        <w:t>support</w:t>
      </w:r>
      <w:r>
        <w:rPr>
          <w:spacing w:val="-6"/>
        </w:rPr>
        <w:t xml:space="preserve"> </w:t>
      </w:r>
      <w:r>
        <w:rPr>
          <w:spacing w:val="-2"/>
        </w:rPr>
        <w:t>them,</w:t>
      </w:r>
      <w:r>
        <w:rPr>
          <w:spacing w:val="-6"/>
        </w:rPr>
        <w:t xml:space="preserve"> </w:t>
      </w:r>
      <w:r>
        <w:rPr>
          <w:spacing w:val="-2"/>
        </w:rPr>
        <w:t>may</w:t>
      </w:r>
      <w:r>
        <w:rPr>
          <w:spacing w:val="-6"/>
        </w:rPr>
        <w:t xml:space="preserve"> </w:t>
      </w:r>
      <w:r>
        <w:rPr>
          <w:spacing w:val="-2"/>
        </w:rPr>
        <w:t>have</w:t>
      </w:r>
      <w:r>
        <w:rPr>
          <w:spacing w:val="-6"/>
        </w:rPr>
        <w:t xml:space="preserve"> </w:t>
      </w:r>
      <w:r>
        <w:rPr>
          <w:spacing w:val="-2"/>
        </w:rPr>
        <w:t>insufficient</w:t>
      </w:r>
      <w:r>
        <w:rPr>
          <w:spacing w:val="-6"/>
        </w:rPr>
        <w:t xml:space="preserve"> </w:t>
      </w:r>
      <w:r>
        <w:rPr>
          <w:spacing w:val="-2"/>
        </w:rPr>
        <w:t>capacity</w:t>
      </w:r>
      <w:r>
        <w:rPr>
          <w:spacing w:val="-6"/>
        </w:rPr>
        <w:t xml:space="preserve"> </w:t>
      </w:r>
      <w:r>
        <w:rPr>
          <w:spacing w:val="-2"/>
        </w:rPr>
        <w:t>to</w:t>
      </w:r>
    </w:p>
    <w:p w:rsidR="002C1123" w:rsidRDefault="00F22F94">
      <w:pPr>
        <w:pStyle w:val="BodyText"/>
        <w:spacing w:before="10"/>
        <w:ind w:left="492"/>
      </w:pPr>
      <w:r>
        <w:rPr>
          <w:w w:val="95"/>
        </w:rPr>
        <w:t>accommodate</w:t>
      </w:r>
      <w:r>
        <w:t xml:space="preserve"> </w:t>
      </w:r>
      <w:r>
        <w:rPr>
          <w:w w:val="95"/>
        </w:rPr>
        <w:t>demand</w:t>
      </w:r>
      <w:r>
        <w:rPr>
          <w:spacing w:val="1"/>
        </w:rPr>
        <w:t xml:space="preserve"> </w:t>
      </w:r>
      <w:r>
        <w:rPr>
          <w:w w:val="95"/>
        </w:rPr>
        <w:t>growth</w:t>
      </w:r>
      <w:r>
        <w:rPr>
          <w:spacing w:val="1"/>
        </w:rPr>
        <w:t xml:space="preserve"> </w:t>
      </w:r>
      <w:r>
        <w:rPr>
          <w:w w:val="95"/>
        </w:rPr>
        <w:t>over</w:t>
      </w:r>
      <w:r>
        <w:rPr>
          <w:spacing w:val="1"/>
        </w:rPr>
        <w:t xml:space="preserve"> </w:t>
      </w:r>
      <w:r>
        <w:rPr>
          <w:w w:val="95"/>
        </w:rPr>
        <w:t>the</w:t>
      </w:r>
      <w:r>
        <w:rPr>
          <w:spacing w:val="1"/>
        </w:rPr>
        <w:t xml:space="preserve"> </w:t>
      </w:r>
      <w:r>
        <w:rPr>
          <w:w w:val="95"/>
        </w:rPr>
        <w:t>next</w:t>
      </w:r>
      <w:r>
        <w:t xml:space="preserve"> </w:t>
      </w:r>
      <w:r>
        <w:rPr>
          <w:w w:val="95"/>
        </w:rPr>
        <w:t>20</w:t>
      </w:r>
      <w:r>
        <w:rPr>
          <w:spacing w:val="1"/>
        </w:rPr>
        <w:t xml:space="preserve"> </w:t>
      </w:r>
      <w:r>
        <w:rPr>
          <w:spacing w:val="-2"/>
          <w:w w:val="95"/>
        </w:rPr>
        <w:t>years.</w:t>
      </w:r>
    </w:p>
    <w:p w:rsidR="002C1123" w:rsidRDefault="00F22F94">
      <w:pPr>
        <w:pStyle w:val="BodyText"/>
        <w:spacing w:before="152" w:line="249" w:lineRule="auto"/>
        <w:ind w:left="492" w:right="10835"/>
      </w:pPr>
      <w:r>
        <w:rPr>
          <w:w w:val="95"/>
        </w:rPr>
        <w:t>These</w:t>
      </w:r>
      <w:r>
        <w:rPr>
          <w:spacing w:val="-4"/>
          <w:w w:val="95"/>
        </w:rPr>
        <w:t xml:space="preserve"> </w:t>
      </w:r>
      <w:r>
        <w:rPr>
          <w:w w:val="95"/>
        </w:rPr>
        <w:t>include</w:t>
      </w:r>
      <w:r>
        <w:rPr>
          <w:spacing w:val="-4"/>
          <w:w w:val="95"/>
        </w:rPr>
        <w:t xml:space="preserve"> </w:t>
      </w:r>
      <w:r>
        <w:rPr>
          <w:w w:val="95"/>
        </w:rPr>
        <w:t>airports</w:t>
      </w:r>
      <w:r>
        <w:rPr>
          <w:spacing w:val="-4"/>
          <w:w w:val="95"/>
        </w:rPr>
        <w:t xml:space="preserve"> </w:t>
      </w:r>
      <w:r>
        <w:rPr>
          <w:w w:val="95"/>
        </w:rPr>
        <w:t>at</w:t>
      </w:r>
      <w:r>
        <w:rPr>
          <w:spacing w:val="-4"/>
          <w:w w:val="95"/>
        </w:rPr>
        <w:t xml:space="preserve"> </w:t>
      </w:r>
      <w:r>
        <w:rPr>
          <w:w w:val="95"/>
        </w:rPr>
        <w:t>Wagga</w:t>
      </w:r>
      <w:r>
        <w:rPr>
          <w:spacing w:val="-4"/>
          <w:w w:val="95"/>
        </w:rPr>
        <w:t xml:space="preserve"> </w:t>
      </w:r>
      <w:r>
        <w:rPr>
          <w:w w:val="95"/>
        </w:rPr>
        <w:t>Wagga,</w:t>
      </w:r>
      <w:r>
        <w:rPr>
          <w:spacing w:val="-4"/>
          <w:w w:val="95"/>
        </w:rPr>
        <w:t xml:space="preserve"> </w:t>
      </w:r>
      <w:r>
        <w:rPr>
          <w:w w:val="95"/>
        </w:rPr>
        <w:t xml:space="preserve">Dubbo, </w:t>
      </w:r>
      <w:r>
        <w:t>Parkes, Orange and Cowra.</w:t>
      </w:r>
    </w:p>
    <w:p w:rsidR="002C1123" w:rsidRDefault="002C1123">
      <w:pPr>
        <w:spacing w:line="249" w:lineRule="auto"/>
        <w:sectPr w:rsidR="002C1123">
          <w:pgSz w:w="16840" w:h="11910" w:orient="landscape"/>
          <w:pgMar w:top="560" w:right="280" w:bottom="700" w:left="500" w:header="0" w:footer="517"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3"/>
        <w:rPr>
          <w:sz w:val="19"/>
        </w:rPr>
      </w:pPr>
    </w:p>
    <w:p w:rsidR="002C1123" w:rsidRDefault="002060EF">
      <w:pPr>
        <w:pStyle w:val="Heading6"/>
        <w:numPr>
          <w:ilvl w:val="2"/>
          <w:numId w:val="71"/>
        </w:numPr>
        <w:tabs>
          <w:tab w:val="left" w:pos="1087"/>
        </w:tabs>
      </w:pPr>
      <w:r>
        <w:pict>
          <v:group id="docshapegroup1842" o:spid="_x0000_s3223" style="position:absolute;left:0;text-align:left;margin-left:300.7pt;margin-top:7.65pt;width:491.15pt;height:410.8pt;z-index:251543552;mso-position-horizontal-relative:page" coordorigin="6014,153" coordsize="9823,8216">
            <v:shape id="docshape1843" o:spid="_x0000_s3245" type="#_x0000_t75" style="position:absolute;left:6014;top:152;width:9823;height:8216">
              <v:imagedata r:id="rId201" o:title=""/>
            </v:shape>
            <v:shape id="docshape1844" o:spid="_x0000_s3244" type="#_x0000_t202" style="position:absolute;left:6127;top:242;width:2914;height:215" filled="f" stroked="f">
              <v:textbox inset="0,0,0,0">
                <w:txbxContent>
                  <w:p w:rsidR="00F22F94" w:rsidRDefault="00F22F94">
                    <w:pPr>
                      <w:spacing w:before="6"/>
                      <w:rPr>
                        <w:b/>
                        <w:sz w:val="18"/>
                      </w:rPr>
                    </w:pPr>
                    <w:r>
                      <w:rPr>
                        <w:b/>
                        <w:sz w:val="18"/>
                      </w:rPr>
                      <w:t>Figure</w:t>
                    </w:r>
                    <w:r>
                      <w:rPr>
                        <w:b/>
                        <w:spacing w:val="-6"/>
                        <w:sz w:val="18"/>
                      </w:rPr>
                      <w:t xml:space="preserve"> </w:t>
                    </w:r>
                    <w:r>
                      <w:rPr>
                        <w:b/>
                        <w:sz w:val="18"/>
                      </w:rPr>
                      <w:t>10.4</w:t>
                    </w:r>
                    <w:r>
                      <w:rPr>
                        <w:b/>
                        <w:spacing w:val="38"/>
                        <w:sz w:val="18"/>
                      </w:rPr>
                      <w:t xml:space="preserve"> </w:t>
                    </w:r>
                    <w:r>
                      <w:rPr>
                        <w:b/>
                        <w:sz w:val="18"/>
                      </w:rPr>
                      <w:t>NSW</w:t>
                    </w:r>
                    <w:r>
                      <w:rPr>
                        <w:b/>
                        <w:spacing w:val="-6"/>
                        <w:sz w:val="18"/>
                      </w:rPr>
                      <w:t xml:space="preserve"> </w:t>
                    </w:r>
                    <w:r>
                      <w:rPr>
                        <w:b/>
                        <w:sz w:val="18"/>
                      </w:rPr>
                      <w:t>Freight</w:t>
                    </w:r>
                    <w:r>
                      <w:rPr>
                        <w:b/>
                        <w:spacing w:val="-6"/>
                        <w:sz w:val="18"/>
                      </w:rPr>
                      <w:t xml:space="preserve"> </w:t>
                    </w:r>
                    <w:r>
                      <w:rPr>
                        <w:b/>
                        <w:spacing w:val="-2"/>
                        <w:sz w:val="18"/>
                      </w:rPr>
                      <w:t>Network</w:t>
                    </w:r>
                  </w:p>
                </w:txbxContent>
              </v:textbox>
            </v:shape>
            <v:shape id="docshape1845" o:spid="_x0000_s3243" type="#_x0000_t202" style="position:absolute;left:14655;top:341;width:834;height:533" filled="f" stroked="f">
              <v:textbox inset="0,0,0,0">
                <w:txbxContent>
                  <w:p w:rsidR="00F22F94" w:rsidRDefault="00F22F94">
                    <w:pPr>
                      <w:spacing w:before="4"/>
                      <w:ind w:right="79"/>
                      <w:jc w:val="right"/>
                      <w:rPr>
                        <w:b/>
                        <w:sz w:val="16"/>
                      </w:rPr>
                    </w:pPr>
                    <w:r>
                      <w:rPr>
                        <w:b/>
                        <w:color w:val="2E3092"/>
                        <w:w w:val="101"/>
                        <w:sz w:val="16"/>
                      </w:rPr>
                      <w:t>N</w:t>
                    </w:r>
                  </w:p>
                  <w:p w:rsidR="00F22F94" w:rsidRDefault="00F22F94">
                    <w:pPr>
                      <w:rPr>
                        <w:b/>
                        <w:sz w:val="16"/>
                      </w:rPr>
                    </w:pPr>
                  </w:p>
                  <w:p w:rsidR="00F22F94" w:rsidRDefault="00F22F94">
                    <w:pPr>
                      <w:spacing w:before="1" w:line="160" w:lineRule="exact"/>
                      <w:rPr>
                        <w:sz w:val="14"/>
                      </w:rPr>
                    </w:pPr>
                    <w:r>
                      <w:rPr>
                        <w:w w:val="75"/>
                        <w:sz w:val="14"/>
                      </w:rPr>
                      <w:t>Bromelton</w:t>
                    </w:r>
                    <w:r>
                      <w:rPr>
                        <w:spacing w:val="19"/>
                        <w:sz w:val="14"/>
                      </w:rPr>
                      <w:t xml:space="preserve"> </w:t>
                    </w:r>
                    <w:r>
                      <w:rPr>
                        <w:spacing w:val="-2"/>
                        <w:w w:val="75"/>
                        <w:sz w:val="14"/>
                      </w:rPr>
                      <w:t>(QLD)</w:t>
                    </w:r>
                  </w:p>
                </w:txbxContent>
              </v:textbox>
            </v:shape>
            <v:shape id="docshape1846" o:spid="_x0000_s3242" type="#_x0000_t202" style="position:absolute;left:14704;top:1388;width:355;height:159" filled="f" stroked="f">
              <v:textbox inset="0,0,0,0">
                <w:txbxContent>
                  <w:p w:rsidR="00F22F94" w:rsidRDefault="00F22F94">
                    <w:pPr>
                      <w:spacing w:line="158" w:lineRule="exact"/>
                      <w:rPr>
                        <w:sz w:val="14"/>
                      </w:rPr>
                    </w:pPr>
                    <w:r>
                      <w:rPr>
                        <w:spacing w:val="-2"/>
                        <w:w w:val="80"/>
                        <w:sz w:val="14"/>
                      </w:rPr>
                      <w:t>Casino</w:t>
                    </w:r>
                  </w:p>
                </w:txbxContent>
              </v:textbox>
            </v:shape>
            <v:shape id="docshape1847" o:spid="_x0000_s3241" type="#_x0000_t202" style="position:absolute;left:12130;top:1768;width:334;height:159" filled="f" stroked="f">
              <v:textbox inset="0,0,0,0">
                <w:txbxContent>
                  <w:p w:rsidR="00F22F94" w:rsidRDefault="00F22F94">
                    <w:pPr>
                      <w:spacing w:line="158" w:lineRule="exact"/>
                      <w:rPr>
                        <w:sz w:val="14"/>
                      </w:rPr>
                    </w:pPr>
                    <w:r>
                      <w:rPr>
                        <w:spacing w:val="-2"/>
                        <w:w w:val="80"/>
                        <w:sz w:val="14"/>
                      </w:rPr>
                      <w:t>Moree</w:t>
                    </w:r>
                  </w:p>
                </w:txbxContent>
              </v:textbox>
            </v:shape>
            <v:shape id="docshape1848" o:spid="_x0000_s3240" type="#_x0000_t202" style="position:absolute;left:14945;top:1767;width:352;height:159" filled="f" stroked="f">
              <v:textbox inset="0,0,0,0">
                <w:txbxContent>
                  <w:p w:rsidR="00F22F94" w:rsidRDefault="00F22F94">
                    <w:pPr>
                      <w:spacing w:line="158" w:lineRule="exact"/>
                      <w:rPr>
                        <w:sz w:val="14"/>
                      </w:rPr>
                    </w:pPr>
                    <w:r>
                      <w:rPr>
                        <w:spacing w:val="-4"/>
                        <w:w w:val="80"/>
                        <w:sz w:val="14"/>
                      </w:rPr>
                      <w:t>Yamba</w:t>
                    </w:r>
                  </w:p>
                </w:txbxContent>
              </v:textbox>
            </v:shape>
            <v:shape id="docshape1849" o:spid="_x0000_s3239" type="#_x0000_t202" style="position:absolute;left:11782;top:2404;width:2285;height:714" filled="f" stroked="f">
              <v:textbox inset="0,0,0,0">
                <w:txbxContent>
                  <w:p w:rsidR="00F22F94" w:rsidRDefault="00F22F94">
                    <w:pPr>
                      <w:tabs>
                        <w:tab w:val="left" w:pos="752"/>
                      </w:tabs>
                      <w:spacing w:line="189" w:lineRule="exact"/>
                      <w:rPr>
                        <w:sz w:val="14"/>
                      </w:rPr>
                    </w:pPr>
                    <w:r>
                      <w:rPr>
                        <w:spacing w:val="-2"/>
                        <w:w w:val="75"/>
                        <w:position w:val="-2"/>
                        <w:sz w:val="14"/>
                      </w:rPr>
                      <w:t>Wee</w:t>
                    </w:r>
                    <w:r>
                      <w:rPr>
                        <w:spacing w:val="-6"/>
                        <w:position w:val="-2"/>
                        <w:sz w:val="14"/>
                      </w:rPr>
                      <w:t xml:space="preserve"> </w:t>
                    </w:r>
                    <w:r>
                      <w:rPr>
                        <w:spacing w:val="-5"/>
                        <w:w w:val="90"/>
                        <w:position w:val="-2"/>
                        <w:sz w:val="14"/>
                      </w:rPr>
                      <w:t>Waa</w:t>
                    </w:r>
                    <w:r>
                      <w:rPr>
                        <w:position w:val="-2"/>
                        <w:sz w:val="14"/>
                      </w:rPr>
                      <w:tab/>
                    </w:r>
                    <w:r>
                      <w:rPr>
                        <w:w w:val="75"/>
                        <w:sz w:val="14"/>
                      </w:rPr>
                      <w:t>Narrabri</w:t>
                    </w:r>
                    <w:r>
                      <w:rPr>
                        <w:spacing w:val="9"/>
                        <w:sz w:val="14"/>
                      </w:rPr>
                      <w:t xml:space="preserve"> </w:t>
                    </w:r>
                    <w:r>
                      <w:rPr>
                        <w:spacing w:val="-2"/>
                        <w:w w:val="90"/>
                        <w:sz w:val="14"/>
                      </w:rPr>
                      <w:t>Junction</w:t>
                    </w:r>
                  </w:p>
                  <w:p w:rsidR="00F22F94" w:rsidRDefault="00F22F94">
                    <w:pPr>
                      <w:rPr>
                        <w:sz w:val="18"/>
                      </w:rPr>
                    </w:pPr>
                  </w:p>
                  <w:p w:rsidR="00F22F94" w:rsidRDefault="00F22F94">
                    <w:pPr>
                      <w:spacing w:before="157" w:line="160" w:lineRule="exact"/>
                      <w:ind w:left="1504"/>
                      <w:rPr>
                        <w:sz w:val="14"/>
                      </w:rPr>
                    </w:pPr>
                    <w:r>
                      <w:rPr>
                        <w:w w:val="75"/>
                        <w:sz w:val="14"/>
                      </w:rPr>
                      <w:t>West</w:t>
                    </w:r>
                    <w:r>
                      <w:rPr>
                        <w:spacing w:val="-6"/>
                        <w:sz w:val="14"/>
                      </w:rPr>
                      <w:t xml:space="preserve"> </w:t>
                    </w:r>
                    <w:r>
                      <w:rPr>
                        <w:spacing w:val="-2"/>
                        <w:w w:val="80"/>
                        <w:sz w:val="14"/>
                      </w:rPr>
                      <w:t>Tamworth</w:t>
                    </w:r>
                  </w:p>
                </w:txbxContent>
              </v:textbox>
            </v:shape>
            <v:shape id="docshape1850" o:spid="_x0000_s3238" type="#_x0000_t202" style="position:absolute;left:10883;top:3199;width:1214;height:1602" filled="f" stroked="f">
              <v:textbox inset="0,0,0,0">
                <w:txbxContent>
                  <w:p w:rsidR="00F22F94" w:rsidRDefault="00F22F94">
                    <w:pPr>
                      <w:spacing w:line="159" w:lineRule="exact"/>
                      <w:rPr>
                        <w:sz w:val="14"/>
                      </w:rPr>
                    </w:pPr>
                    <w:r>
                      <w:rPr>
                        <w:spacing w:val="-2"/>
                        <w:w w:val="90"/>
                        <w:sz w:val="14"/>
                      </w:rPr>
                      <w:t>Warren</w:t>
                    </w:r>
                  </w:p>
                  <w:p w:rsidR="00F22F94" w:rsidRDefault="00F22F94">
                    <w:pPr>
                      <w:spacing w:before="9"/>
                      <w:rPr>
                        <w:sz w:val="18"/>
                      </w:rPr>
                    </w:pPr>
                  </w:p>
                  <w:p w:rsidR="00F22F94" w:rsidRDefault="00F22F94">
                    <w:pPr>
                      <w:ind w:left="31"/>
                      <w:rPr>
                        <w:sz w:val="14"/>
                      </w:rPr>
                    </w:pPr>
                    <w:r>
                      <w:rPr>
                        <w:spacing w:val="-2"/>
                        <w:w w:val="90"/>
                        <w:sz w:val="14"/>
                      </w:rPr>
                      <w:t>Narromine</w:t>
                    </w:r>
                  </w:p>
                  <w:p w:rsidR="00F22F94" w:rsidRDefault="00F22F94">
                    <w:pPr>
                      <w:spacing w:before="14"/>
                      <w:ind w:left="871"/>
                      <w:rPr>
                        <w:sz w:val="14"/>
                      </w:rPr>
                    </w:pPr>
                    <w:r>
                      <w:rPr>
                        <w:spacing w:val="-2"/>
                        <w:w w:val="80"/>
                        <w:sz w:val="14"/>
                      </w:rPr>
                      <w:t>Dubbo</w:t>
                    </w:r>
                  </w:p>
                  <w:p w:rsidR="00F22F94" w:rsidRDefault="00F22F94">
                    <w:pPr>
                      <w:rPr>
                        <w:sz w:val="16"/>
                      </w:rPr>
                    </w:pPr>
                  </w:p>
                  <w:p w:rsidR="00F22F94" w:rsidRDefault="00F22F94">
                    <w:pPr>
                      <w:spacing w:before="131" w:line="328" w:lineRule="auto"/>
                      <w:ind w:left="433" w:right="60" w:firstLine="67"/>
                      <w:rPr>
                        <w:sz w:val="14"/>
                      </w:rPr>
                    </w:pPr>
                    <w:r>
                      <w:rPr>
                        <w:spacing w:val="-2"/>
                        <w:w w:val="75"/>
                        <w:sz w:val="14"/>
                      </w:rPr>
                      <w:t>Parkes</w:t>
                    </w:r>
                    <w:r>
                      <w:rPr>
                        <w:spacing w:val="40"/>
                        <w:sz w:val="14"/>
                      </w:rPr>
                      <w:t xml:space="preserve"> </w:t>
                    </w:r>
                    <w:r>
                      <w:rPr>
                        <w:spacing w:val="-2"/>
                        <w:w w:val="85"/>
                        <w:sz w:val="14"/>
                      </w:rPr>
                      <w:t>Forbes</w:t>
                    </w:r>
                  </w:p>
                  <w:p w:rsidR="00F22F94" w:rsidRDefault="00F22F94">
                    <w:pPr>
                      <w:spacing w:line="133" w:lineRule="exact"/>
                      <w:ind w:left="751"/>
                      <w:rPr>
                        <w:sz w:val="14"/>
                      </w:rPr>
                    </w:pPr>
                    <w:r>
                      <w:rPr>
                        <w:spacing w:val="-2"/>
                        <w:w w:val="85"/>
                        <w:sz w:val="14"/>
                      </w:rPr>
                      <w:t>Blayney</w:t>
                    </w:r>
                  </w:p>
                </w:txbxContent>
              </v:textbox>
            </v:shape>
            <v:shape id="docshape1851" o:spid="_x0000_s3237" type="#_x0000_t202" style="position:absolute;left:13998;top:4161;width:528;height:159" filled="f" stroked="f">
              <v:textbox inset="0,0,0,0">
                <w:txbxContent>
                  <w:p w:rsidR="00F22F94" w:rsidRDefault="00F22F94">
                    <w:pPr>
                      <w:spacing w:line="158" w:lineRule="exact"/>
                      <w:rPr>
                        <w:sz w:val="14"/>
                      </w:rPr>
                    </w:pPr>
                    <w:r>
                      <w:rPr>
                        <w:spacing w:val="-2"/>
                        <w:w w:val="80"/>
                        <w:sz w:val="14"/>
                      </w:rPr>
                      <w:t>Newcastle</w:t>
                    </w:r>
                  </w:p>
                </w:txbxContent>
              </v:textbox>
            </v:shape>
            <v:shape id="docshape1852" o:spid="_x0000_s3236" type="#_x0000_t202" style="position:absolute;left:12145;top:4357;width:435;height:159" filled="f" stroked="f">
              <v:textbox inset="0,0,0,0">
                <w:txbxContent>
                  <w:p w:rsidR="00F22F94" w:rsidRDefault="00F22F94">
                    <w:pPr>
                      <w:spacing w:line="158" w:lineRule="exact"/>
                      <w:rPr>
                        <w:sz w:val="14"/>
                      </w:rPr>
                    </w:pPr>
                    <w:r>
                      <w:rPr>
                        <w:spacing w:val="-2"/>
                        <w:w w:val="80"/>
                        <w:sz w:val="14"/>
                      </w:rPr>
                      <w:t>Bathurst</w:t>
                    </w:r>
                  </w:p>
                </w:txbxContent>
              </v:textbox>
            </v:shape>
            <v:shape id="docshape1853" o:spid="_x0000_s3235" type="#_x0000_t202" style="position:absolute;left:13628;top:4808;width:375;height:159" filled="f" stroked="f">
              <v:textbox inset="0,0,0,0">
                <w:txbxContent>
                  <w:p w:rsidR="00F22F94" w:rsidRDefault="00F22F94">
                    <w:pPr>
                      <w:spacing w:line="158" w:lineRule="exact"/>
                      <w:rPr>
                        <w:sz w:val="14"/>
                      </w:rPr>
                    </w:pPr>
                    <w:r>
                      <w:rPr>
                        <w:spacing w:val="-2"/>
                        <w:w w:val="80"/>
                        <w:sz w:val="14"/>
                      </w:rPr>
                      <w:t>Sydney</w:t>
                    </w:r>
                  </w:p>
                </w:txbxContent>
              </v:textbox>
            </v:shape>
            <v:shape id="docshape1854" o:spid="_x0000_s3234" type="#_x0000_t202" style="position:absolute;left:9504;top:5053;width:350;height:159" filled="f" stroked="f">
              <v:textbox inset="0,0,0,0">
                <w:txbxContent>
                  <w:p w:rsidR="00F22F94" w:rsidRDefault="00F22F94">
                    <w:pPr>
                      <w:spacing w:line="158" w:lineRule="exact"/>
                      <w:rPr>
                        <w:sz w:val="14"/>
                      </w:rPr>
                    </w:pPr>
                    <w:r>
                      <w:rPr>
                        <w:spacing w:val="-2"/>
                        <w:w w:val="90"/>
                        <w:sz w:val="14"/>
                      </w:rPr>
                      <w:t>Griffth</w:t>
                    </w:r>
                  </w:p>
                </w:txbxContent>
              </v:textbox>
            </v:shape>
            <v:shape id="docshape1855" o:spid="_x0000_s3233" type="#_x0000_t202" style="position:absolute;left:10810;top:5464;width:1007;height:474" filled="f" stroked="f">
              <v:textbox inset="0,0,0,0">
                <w:txbxContent>
                  <w:p w:rsidR="00F22F94" w:rsidRDefault="00F22F94">
                    <w:pPr>
                      <w:spacing w:before="10" w:line="218" w:lineRule="auto"/>
                      <w:ind w:left="176" w:firstLine="143"/>
                      <w:rPr>
                        <w:sz w:val="14"/>
                      </w:rPr>
                    </w:pPr>
                    <w:r>
                      <w:rPr>
                        <w:spacing w:val="-2"/>
                        <w:w w:val="75"/>
                        <w:sz w:val="14"/>
                      </w:rPr>
                      <w:t>Cootamundra</w:t>
                    </w:r>
                    <w:r>
                      <w:rPr>
                        <w:spacing w:val="40"/>
                        <w:sz w:val="14"/>
                      </w:rPr>
                      <w:t xml:space="preserve"> </w:t>
                    </w:r>
                    <w:r>
                      <w:rPr>
                        <w:spacing w:val="-2"/>
                        <w:w w:val="90"/>
                        <w:sz w:val="14"/>
                      </w:rPr>
                      <w:t>Harefeld</w:t>
                    </w:r>
                  </w:p>
                  <w:p w:rsidR="00F22F94" w:rsidRDefault="00F22F94">
                    <w:pPr>
                      <w:spacing w:before="11" w:line="160" w:lineRule="exact"/>
                      <w:rPr>
                        <w:sz w:val="14"/>
                      </w:rPr>
                    </w:pPr>
                    <w:r>
                      <w:rPr>
                        <w:w w:val="75"/>
                        <w:sz w:val="14"/>
                      </w:rPr>
                      <w:t>Wagga</w:t>
                    </w:r>
                    <w:r>
                      <w:rPr>
                        <w:spacing w:val="-4"/>
                        <w:sz w:val="14"/>
                      </w:rPr>
                      <w:t xml:space="preserve"> </w:t>
                    </w:r>
                    <w:r>
                      <w:rPr>
                        <w:spacing w:val="-2"/>
                        <w:w w:val="90"/>
                        <w:sz w:val="14"/>
                      </w:rPr>
                      <w:t>Wagga</w:t>
                    </w:r>
                  </w:p>
                </w:txbxContent>
              </v:textbox>
            </v:shape>
            <v:shape id="docshape1856" o:spid="_x0000_s3232" type="#_x0000_t202" style="position:absolute;left:6147;top:6001;width:343;height:215" filled="f" stroked="f">
              <v:textbox inset="0,0,0,0">
                <w:txbxContent>
                  <w:p w:rsidR="00F22F94" w:rsidRDefault="00F22F94">
                    <w:pPr>
                      <w:spacing w:before="6"/>
                      <w:rPr>
                        <w:b/>
                        <w:sz w:val="18"/>
                      </w:rPr>
                    </w:pPr>
                    <w:r>
                      <w:rPr>
                        <w:b/>
                        <w:color w:val="2E3092"/>
                        <w:spacing w:val="-5"/>
                        <w:sz w:val="18"/>
                      </w:rPr>
                      <w:t>Key</w:t>
                    </w:r>
                  </w:p>
                </w:txbxContent>
              </v:textbox>
            </v:shape>
            <v:shape id="docshape1857" o:spid="_x0000_s3231" type="#_x0000_t202" style="position:absolute;left:9370;top:5942;width:515;height:159" filled="f" stroked="f">
              <v:textbox inset="0,0,0,0">
                <w:txbxContent>
                  <w:p w:rsidR="00F22F94" w:rsidRDefault="00F22F94">
                    <w:pPr>
                      <w:spacing w:line="158" w:lineRule="exact"/>
                      <w:rPr>
                        <w:sz w:val="14"/>
                      </w:rPr>
                    </w:pPr>
                    <w:r>
                      <w:rPr>
                        <w:spacing w:val="-2"/>
                        <w:w w:val="80"/>
                        <w:sz w:val="14"/>
                      </w:rPr>
                      <w:t>Tocumwal</w:t>
                    </w:r>
                  </w:p>
                </w:txbxContent>
              </v:textbox>
            </v:shape>
            <v:shape id="docshape1858" o:spid="_x0000_s3230" type="#_x0000_t202" style="position:absolute;left:11986;top:5176;width:906;height:865" filled="f" stroked="f">
              <v:textbox inset="0,0,0,0">
                <w:txbxContent>
                  <w:p w:rsidR="00F22F94" w:rsidRDefault="00F22F94">
                    <w:pPr>
                      <w:spacing w:line="159" w:lineRule="exact"/>
                      <w:ind w:left="268"/>
                      <w:rPr>
                        <w:sz w:val="14"/>
                      </w:rPr>
                    </w:pPr>
                    <w:r>
                      <w:rPr>
                        <w:w w:val="75"/>
                        <w:sz w:val="14"/>
                      </w:rPr>
                      <w:t>Moss</w:t>
                    </w:r>
                    <w:r>
                      <w:rPr>
                        <w:spacing w:val="2"/>
                        <w:sz w:val="14"/>
                      </w:rPr>
                      <w:t xml:space="preserve"> </w:t>
                    </w:r>
                    <w:r>
                      <w:rPr>
                        <w:spacing w:val="-4"/>
                        <w:w w:val="85"/>
                        <w:sz w:val="14"/>
                      </w:rPr>
                      <w:t>Vale</w:t>
                    </w:r>
                  </w:p>
                  <w:p w:rsidR="00F22F94" w:rsidRDefault="00F22F94">
                    <w:pPr>
                      <w:spacing w:before="136" w:line="264" w:lineRule="auto"/>
                      <w:ind w:left="429" w:firstLine="7"/>
                      <w:rPr>
                        <w:sz w:val="14"/>
                      </w:rPr>
                    </w:pPr>
                    <w:r>
                      <w:rPr>
                        <w:spacing w:val="-2"/>
                        <w:w w:val="75"/>
                        <w:sz w:val="14"/>
                      </w:rPr>
                      <w:t>Goulburn</w:t>
                    </w:r>
                    <w:r>
                      <w:rPr>
                        <w:spacing w:val="40"/>
                        <w:sz w:val="14"/>
                      </w:rPr>
                      <w:t xml:space="preserve"> </w:t>
                    </w:r>
                    <w:r>
                      <w:rPr>
                        <w:spacing w:val="-2"/>
                        <w:w w:val="85"/>
                        <w:sz w:val="14"/>
                      </w:rPr>
                      <w:t>Tarago</w:t>
                    </w:r>
                  </w:p>
                  <w:p w:rsidR="00F22F94" w:rsidRDefault="00F22F94">
                    <w:pPr>
                      <w:spacing w:before="54" w:line="160" w:lineRule="exact"/>
                      <w:rPr>
                        <w:sz w:val="14"/>
                      </w:rPr>
                    </w:pPr>
                    <w:r>
                      <w:rPr>
                        <w:w w:val="75"/>
                        <w:sz w:val="14"/>
                      </w:rPr>
                      <w:t>Canberra</w:t>
                    </w:r>
                    <w:r>
                      <w:rPr>
                        <w:spacing w:val="5"/>
                        <w:sz w:val="14"/>
                      </w:rPr>
                      <w:t xml:space="preserve"> </w:t>
                    </w:r>
                    <w:r>
                      <w:rPr>
                        <w:spacing w:val="-2"/>
                        <w:w w:val="85"/>
                        <w:sz w:val="14"/>
                      </w:rPr>
                      <w:t>(ACT)</w:t>
                    </w:r>
                  </w:p>
                </w:txbxContent>
              </v:textbox>
            </v:shape>
            <v:shape id="docshape1859" o:spid="_x0000_s3229" type="#_x0000_t202" style="position:absolute;left:13406;top:5195;width:624;height:159" filled="f" stroked="f">
              <v:textbox inset="0,0,0,0">
                <w:txbxContent>
                  <w:p w:rsidR="00F22F94" w:rsidRDefault="00F22F94">
                    <w:pPr>
                      <w:spacing w:line="158" w:lineRule="exact"/>
                      <w:rPr>
                        <w:sz w:val="14"/>
                      </w:rPr>
                    </w:pPr>
                    <w:r>
                      <w:rPr>
                        <w:w w:val="75"/>
                        <w:sz w:val="14"/>
                      </w:rPr>
                      <w:t>Port</w:t>
                    </w:r>
                    <w:r>
                      <w:rPr>
                        <w:spacing w:val="-1"/>
                        <w:sz w:val="14"/>
                      </w:rPr>
                      <w:t xml:space="preserve"> </w:t>
                    </w:r>
                    <w:r>
                      <w:rPr>
                        <w:spacing w:val="-2"/>
                        <w:w w:val="80"/>
                        <w:sz w:val="14"/>
                      </w:rPr>
                      <w:t>Kembla</w:t>
                    </w:r>
                  </w:p>
                </w:txbxContent>
              </v:textbox>
            </v:shape>
            <v:shape id="docshape1860" o:spid="_x0000_s3228" type="#_x0000_t202" style="position:absolute;left:6547;top:6270;width:2171;height:1601" filled="f" stroked="f">
              <v:textbox inset="0,0,0,0">
                <w:txbxContent>
                  <w:p w:rsidR="00F22F94" w:rsidRDefault="00F22F94">
                    <w:pPr>
                      <w:spacing w:line="268" w:lineRule="auto"/>
                      <w:rPr>
                        <w:sz w:val="14"/>
                      </w:rPr>
                    </w:pPr>
                    <w:r>
                      <w:rPr>
                        <w:w w:val="80"/>
                        <w:sz w:val="14"/>
                      </w:rPr>
                      <w:t>Australian Rail Track Corporation network</w:t>
                    </w:r>
                    <w:r>
                      <w:rPr>
                        <w:spacing w:val="40"/>
                        <w:sz w:val="14"/>
                      </w:rPr>
                      <w:t xml:space="preserve"> </w:t>
                    </w:r>
                    <w:r>
                      <w:rPr>
                        <w:w w:val="85"/>
                        <w:sz w:val="14"/>
                      </w:rPr>
                      <w:t>Country Regional Network – operational</w:t>
                    </w:r>
                    <w:r>
                      <w:rPr>
                        <w:spacing w:val="40"/>
                        <w:sz w:val="14"/>
                      </w:rPr>
                      <w:t xml:space="preserve"> </w:t>
                    </w:r>
                    <w:r>
                      <w:rPr>
                        <w:w w:val="95"/>
                        <w:sz w:val="14"/>
                      </w:rPr>
                      <w:t>RailCorp</w:t>
                    </w:r>
                    <w:r>
                      <w:rPr>
                        <w:spacing w:val="-8"/>
                        <w:w w:val="95"/>
                        <w:sz w:val="14"/>
                      </w:rPr>
                      <w:t xml:space="preserve"> </w:t>
                    </w:r>
                    <w:r>
                      <w:rPr>
                        <w:w w:val="95"/>
                        <w:sz w:val="14"/>
                      </w:rPr>
                      <w:t>Network</w:t>
                    </w:r>
                  </w:p>
                  <w:p w:rsidR="00F22F94" w:rsidRDefault="00F22F94">
                    <w:pPr>
                      <w:spacing w:line="160" w:lineRule="exact"/>
                      <w:rPr>
                        <w:sz w:val="14"/>
                      </w:rPr>
                    </w:pPr>
                    <w:r>
                      <w:rPr>
                        <w:w w:val="80"/>
                        <w:sz w:val="14"/>
                      </w:rPr>
                      <w:t>Other</w:t>
                    </w:r>
                    <w:r>
                      <w:rPr>
                        <w:spacing w:val="-5"/>
                        <w:w w:val="95"/>
                        <w:sz w:val="14"/>
                      </w:rPr>
                      <w:t xml:space="preserve"> </w:t>
                    </w:r>
                    <w:r>
                      <w:rPr>
                        <w:spacing w:val="-4"/>
                        <w:w w:val="95"/>
                        <w:sz w:val="14"/>
                      </w:rPr>
                      <w:t>rail</w:t>
                    </w:r>
                  </w:p>
                  <w:p w:rsidR="00F22F94" w:rsidRDefault="00F22F94">
                    <w:pPr>
                      <w:spacing w:before="18" w:line="268" w:lineRule="auto"/>
                      <w:rPr>
                        <w:sz w:val="14"/>
                      </w:rPr>
                    </w:pPr>
                    <w:r>
                      <w:rPr>
                        <w:w w:val="80"/>
                        <w:sz w:val="14"/>
                      </w:rPr>
                      <w:t>National and state roads and highways</w:t>
                    </w:r>
                    <w:r>
                      <w:rPr>
                        <w:spacing w:val="40"/>
                        <w:sz w:val="14"/>
                      </w:rPr>
                      <w:t xml:space="preserve"> </w:t>
                    </w:r>
                    <w:r>
                      <w:rPr>
                        <w:w w:val="90"/>
                        <w:sz w:val="14"/>
                      </w:rPr>
                      <w:t>Freight</w:t>
                    </w:r>
                    <w:r>
                      <w:rPr>
                        <w:spacing w:val="-6"/>
                        <w:w w:val="90"/>
                        <w:sz w:val="14"/>
                      </w:rPr>
                      <w:t xml:space="preserve"> </w:t>
                    </w:r>
                    <w:r>
                      <w:rPr>
                        <w:w w:val="90"/>
                        <w:sz w:val="14"/>
                      </w:rPr>
                      <w:t>centres</w:t>
                    </w:r>
                  </w:p>
                  <w:p w:rsidR="00F22F94" w:rsidRDefault="00F22F94">
                    <w:pPr>
                      <w:spacing w:line="268" w:lineRule="auto"/>
                      <w:ind w:right="589"/>
                      <w:rPr>
                        <w:sz w:val="14"/>
                      </w:rPr>
                    </w:pPr>
                    <w:r>
                      <w:rPr>
                        <w:w w:val="80"/>
                        <w:sz w:val="14"/>
                      </w:rPr>
                      <w:t>Operational</w:t>
                    </w:r>
                    <w:r>
                      <w:rPr>
                        <w:spacing w:val="-2"/>
                        <w:w w:val="80"/>
                        <w:sz w:val="14"/>
                      </w:rPr>
                      <w:t xml:space="preserve"> </w:t>
                    </w:r>
                    <w:r>
                      <w:rPr>
                        <w:w w:val="80"/>
                        <w:sz w:val="14"/>
                      </w:rPr>
                      <w:t>terminals</w:t>
                    </w:r>
                    <w:r>
                      <w:rPr>
                        <w:spacing w:val="40"/>
                        <w:sz w:val="14"/>
                      </w:rPr>
                      <w:t xml:space="preserve"> </w:t>
                    </w:r>
                    <w:r>
                      <w:rPr>
                        <w:w w:val="90"/>
                        <w:sz w:val="14"/>
                      </w:rPr>
                      <w:t>Proposed</w:t>
                    </w:r>
                    <w:r>
                      <w:rPr>
                        <w:spacing w:val="-6"/>
                        <w:w w:val="90"/>
                        <w:sz w:val="14"/>
                      </w:rPr>
                      <w:t xml:space="preserve"> </w:t>
                    </w:r>
                    <w:r>
                      <w:rPr>
                        <w:w w:val="90"/>
                        <w:sz w:val="14"/>
                      </w:rPr>
                      <w:t>terminals</w:t>
                    </w:r>
                  </w:p>
                  <w:p w:rsidR="00F22F94" w:rsidRDefault="00F22F94">
                    <w:pPr>
                      <w:spacing w:line="160" w:lineRule="exact"/>
                      <w:rPr>
                        <w:sz w:val="14"/>
                      </w:rPr>
                    </w:pPr>
                    <w:r>
                      <w:rPr>
                        <w:w w:val="80"/>
                        <w:sz w:val="14"/>
                      </w:rPr>
                      <w:t>Non-operational</w:t>
                    </w:r>
                    <w:r>
                      <w:rPr>
                        <w:spacing w:val="23"/>
                        <w:sz w:val="14"/>
                      </w:rPr>
                      <w:t xml:space="preserve"> </w:t>
                    </w:r>
                    <w:r>
                      <w:rPr>
                        <w:spacing w:val="-2"/>
                        <w:w w:val="80"/>
                        <w:sz w:val="14"/>
                      </w:rPr>
                      <w:t>terminals</w:t>
                    </w:r>
                  </w:p>
                </w:txbxContent>
              </v:textbox>
            </v:shape>
            <v:shape id="docshape1861" o:spid="_x0000_s3227" type="#_x0000_t202" style="position:absolute;left:10600;top:6222;width:484;height:484" filled="f" stroked="f">
              <v:textbox inset="0,0,0,0">
                <w:txbxContent>
                  <w:p w:rsidR="00F22F94" w:rsidRDefault="00F22F94">
                    <w:pPr>
                      <w:spacing w:line="247" w:lineRule="auto"/>
                      <w:ind w:firstLine="31"/>
                      <w:rPr>
                        <w:sz w:val="14"/>
                      </w:rPr>
                    </w:pPr>
                    <w:r>
                      <w:rPr>
                        <w:spacing w:val="-2"/>
                        <w:w w:val="90"/>
                        <w:sz w:val="14"/>
                      </w:rPr>
                      <w:t>Albury</w:t>
                    </w:r>
                    <w:r>
                      <w:rPr>
                        <w:spacing w:val="40"/>
                        <w:sz w:val="14"/>
                      </w:rPr>
                      <w:t xml:space="preserve"> </w:t>
                    </w:r>
                    <w:r>
                      <w:rPr>
                        <w:spacing w:val="-2"/>
                        <w:w w:val="75"/>
                        <w:sz w:val="14"/>
                      </w:rPr>
                      <w:t>Wodonga</w:t>
                    </w:r>
                  </w:p>
                  <w:p w:rsidR="00F22F94" w:rsidRDefault="00F22F94">
                    <w:pPr>
                      <w:spacing w:line="154" w:lineRule="exact"/>
                      <w:ind w:left="238"/>
                      <w:rPr>
                        <w:sz w:val="14"/>
                      </w:rPr>
                    </w:pPr>
                    <w:r>
                      <w:rPr>
                        <w:spacing w:val="-2"/>
                        <w:w w:val="75"/>
                        <w:sz w:val="14"/>
                      </w:rPr>
                      <w:t>(VIC)</w:t>
                    </w:r>
                  </w:p>
                </w:txbxContent>
              </v:textbox>
            </v:shape>
            <v:shape id="docshape1862" o:spid="_x0000_s3226" type="#_x0000_t202" style="position:absolute;left:12634;top:6920;width:267;height:159" filled="f" stroked="f">
              <v:textbox inset="0,0,0,0">
                <w:txbxContent>
                  <w:p w:rsidR="00F22F94" w:rsidRDefault="00F22F94">
                    <w:pPr>
                      <w:spacing w:line="158" w:lineRule="exact"/>
                      <w:rPr>
                        <w:sz w:val="14"/>
                      </w:rPr>
                    </w:pPr>
                    <w:r>
                      <w:rPr>
                        <w:spacing w:val="-4"/>
                        <w:w w:val="80"/>
                        <w:sz w:val="14"/>
                      </w:rPr>
                      <w:t>Eden</w:t>
                    </w:r>
                  </w:p>
                </w:txbxContent>
              </v:textbox>
            </v:shape>
            <v:shape id="docshape1863" o:spid="_x0000_s3225" type="#_x0000_t202" style="position:absolute;left:14067;top:7891;width:1564;height:159" filled="f" stroked="f">
              <v:textbox inset="0,0,0,0">
                <w:txbxContent>
                  <w:p w:rsidR="00F22F94" w:rsidRDefault="00F22F94">
                    <w:pPr>
                      <w:tabs>
                        <w:tab w:val="left" w:pos="298"/>
                      </w:tabs>
                      <w:spacing w:line="158" w:lineRule="exact"/>
                      <w:rPr>
                        <w:sz w:val="14"/>
                      </w:rPr>
                    </w:pPr>
                    <w:r>
                      <w:rPr>
                        <w:spacing w:val="-10"/>
                        <w:w w:val="95"/>
                        <w:sz w:val="14"/>
                      </w:rPr>
                      <w:t>0</w:t>
                    </w:r>
                    <w:r>
                      <w:rPr>
                        <w:sz w:val="14"/>
                      </w:rPr>
                      <w:tab/>
                    </w:r>
                    <w:r>
                      <w:rPr>
                        <w:w w:val="95"/>
                        <w:sz w:val="14"/>
                      </w:rPr>
                      <w:t>50</w:t>
                    </w:r>
                    <w:r>
                      <w:rPr>
                        <w:spacing w:val="71"/>
                        <w:sz w:val="14"/>
                      </w:rPr>
                      <w:t xml:space="preserve"> </w:t>
                    </w:r>
                    <w:r>
                      <w:rPr>
                        <w:w w:val="95"/>
                        <w:sz w:val="14"/>
                      </w:rPr>
                      <w:t>100</w:t>
                    </w:r>
                    <w:r>
                      <w:rPr>
                        <w:spacing w:val="39"/>
                        <w:sz w:val="14"/>
                      </w:rPr>
                      <w:t xml:space="preserve"> </w:t>
                    </w:r>
                    <w:r>
                      <w:rPr>
                        <w:w w:val="95"/>
                        <w:sz w:val="14"/>
                      </w:rPr>
                      <w:t>150</w:t>
                    </w:r>
                    <w:r>
                      <w:rPr>
                        <w:spacing w:val="15"/>
                        <w:sz w:val="14"/>
                      </w:rPr>
                      <w:t xml:space="preserve"> </w:t>
                    </w:r>
                    <w:r>
                      <w:rPr>
                        <w:w w:val="95"/>
                        <w:sz w:val="14"/>
                      </w:rPr>
                      <w:t>200</w:t>
                    </w:r>
                    <w:r>
                      <w:rPr>
                        <w:spacing w:val="-8"/>
                        <w:w w:val="95"/>
                        <w:sz w:val="14"/>
                      </w:rPr>
                      <w:t xml:space="preserve"> </w:t>
                    </w:r>
                    <w:r>
                      <w:rPr>
                        <w:spacing w:val="-5"/>
                        <w:w w:val="95"/>
                        <w:sz w:val="14"/>
                      </w:rPr>
                      <w:t>km</w:t>
                    </w:r>
                  </w:p>
                </w:txbxContent>
              </v:textbox>
            </v:shape>
            <v:shape id="docshape1864" o:spid="_x0000_s3224" type="#_x0000_t202" style="position:absolute;left:6127;top:8017;width:1699;height:166" filled="f" stroked="f">
              <v:textbox inset="0,0,0,0">
                <w:txbxContent>
                  <w:p w:rsidR="00F22F94" w:rsidRDefault="00F22F94">
                    <w:pPr>
                      <w:spacing w:before="4"/>
                      <w:rPr>
                        <w:sz w:val="14"/>
                      </w:rPr>
                    </w:pPr>
                    <w:r>
                      <w:rPr>
                        <w:w w:val="95"/>
                        <w:sz w:val="14"/>
                      </w:rPr>
                      <w:t>Source:</w:t>
                    </w:r>
                    <w:r>
                      <w:rPr>
                        <w:spacing w:val="5"/>
                        <w:sz w:val="14"/>
                      </w:rPr>
                      <w:t xml:space="preserve"> </w:t>
                    </w:r>
                    <w:r>
                      <w:rPr>
                        <w:w w:val="95"/>
                        <w:sz w:val="14"/>
                      </w:rPr>
                      <w:t>Transport</w:t>
                    </w:r>
                    <w:r>
                      <w:rPr>
                        <w:spacing w:val="6"/>
                        <w:sz w:val="14"/>
                      </w:rPr>
                      <w:t xml:space="preserve"> </w:t>
                    </w:r>
                    <w:r>
                      <w:rPr>
                        <w:w w:val="95"/>
                        <w:sz w:val="14"/>
                      </w:rPr>
                      <w:t>for</w:t>
                    </w:r>
                    <w:r>
                      <w:rPr>
                        <w:spacing w:val="6"/>
                        <w:sz w:val="14"/>
                      </w:rPr>
                      <w:t xml:space="preserve"> </w:t>
                    </w:r>
                    <w:r>
                      <w:rPr>
                        <w:spacing w:val="-4"/>
                        <w:w w:val="95"/>
                        <w:sz w:val="14"/>
                      </w:rPr>
                      <w:t>NSW.</w:t>
                    </w:r>
                  </w:p>
                </w:txbxContent>
              </v:textbox>
            </v:shape>
            <w10:wrap anchorx="page"/>
          </v:group>
        </w:pict>
      </w:r>
      <w:bookmarkStart w:id="274" w:name="_bookmark194"/>
      <w:bookmarkEnd w:id="274"/>
      <w:r w:rsidR="00F22F94">
        <w:rPr>
          <w:color w:val="00AEEF"/>
          <w:spacing w:val="-4"/>
        </w:rPr>
        <w:t>NSW</w:t>
      </w:r>
      <w:r w:rsidR="00F22F94">
        <w:rPr>
          <w:color w:val="00AEEF"/>
          <w:spacing w:val="-3"/>
        </w:rPr>
        <w:t xml:space="preserve"> </w:t>
      </w:r>
      <w:r w:rsidR="00F22F94">
        <w:rPr>
          <w:color w:val="00AEEF"/>
          <w:spacing w:val="-4"/>
        </w:rPr>
        <w:t>Freight</w:t>
      </w:r>
      <w:r w:rsidR="00F22F94">
        <w:rPr>
          <w:color w:val="00AEEF"/>
          <w:spacing w:val="-3"/>
        </w:rPr>
        <w:t xml:space="preserve"> </w:t>
      </w:r>
      <w:r w:rsidR="00F22F94">
        <w:rPr>
          <w:color w:val="00AEEF"/>
          <w:spacing w:val="-4"/>
        </w:rPr>
        <w:t>Network</w:t>
      </w:r>
    </w:p>
    <w:p w:rsidR="002C1123" w:rsidRDefault="00F22F94">
      <w:pPr>
        <w:pStyle w:val="BodyText"/>
        <w:spacing w:before="95" w:line="249" w:lineRule="auto"/>
        <w:ind w:left="492" w:right="10835"/>
      </w:pPr>
      <w:r>
        <w:rPr>
          <w:w w:val="95"/>
        </w:rPr>
        <w:t xml:space="preserve">The NSW freight network shares much of the road and </w:t>
      </w:r>
      <w:r>
        <w:t>rail</w:t>
      </w:r>
      <w:r>
        <w:rPr>
          <w:spacing w:val="-7"/>
        </w:rPr>
        <w:t xml:space="preserve"> </w:t>
      </w:r>
      <w:r>
        <w:t>networks</w:t>
      </w:r>
      <w:r>
        <w:rPr>
          <w:spacing w:val="-7"/>
        </w:rPr>
        <w:t xml:space="preserve"> </w:t>
      </w:r>
      <w:r>
        <w:t>shown</w:t>
      </w:r>
      <w:r>
        <w:rPr>
          <w:spacing w:val="-7"/>
        </w:rPr>
        <w:t xml:space="preserve"> </w:t>
      </w:r>
      <w:r>
        <w:t>in</w:t>
      </w:r>
      <w:r>
        <w:rPr>
          <w:spacing w:val="-7"/>
        </w:rPr>
        <w:t xml:space="preserve"> </w:t>
      </w:r>
      <w:r>
        <w:t>Sections</w:t>
      </w:r>
      <w:r>
        <w:rPr>
          <w:spacing w:val="-7"/>
        </w:rPr>
        <w:t xml:space="preserve"> </w:t>
      </w:r>
      <w:r>
        <w:t>10.2.2</w:t>
      </w:r>
      <w:r>
        <w:rPr>
          <w:spacing w:val="-7"/>
        </w:rPr>
        <w:t xml:space="preserve"> </w:t>
      </w:r>
      <w:r>
        <w:t>and</w:t>
      </w:r>
      <w:r>
        <w:rPr>
          <w:spacing w:val="-7"/>
        </w:rPr>
        <w:t xml:space="preserve"> </w:t>
      </w:r>
      <w:r>
        <w:t>10.2.3.</w:t>
      </w:r>
    </w:p>
    <w:p w:rsidR="002C1123" w:rsidRDefault="00F22F94">
      <w:pPr>
        <w:pStyle w:val="BodyText"/>
        <w:spacing w:before="1" w:line="249" w:lineRule="auto"/>
        <w:ind w:left="492" w:right="10835"/>
      </w:pPr>
      <w:r>
        <w:t>It</w:t>
      </w:r>
      <w:r>
        <w:rPr>
          <w:spacing w:val="-10"/>
        </w:rPr>
        <w:t xml:space="preserve"> </w:t>
      </w:r>
      <w:r>
        <w:t>also</w:t>
      </w:r>
      <w:r>
        <w:rPr>
          <w:spacing w:val="-10"/>
        </w:rPr>
        <w:t xml:space="preserve"> </w:t>
      </w:r>
      <w:r>
        <w:t>includes</w:t>
      </w:r>
      <w:r>
        <w:rPr>
          <w:spacing w:val="-10"/>
        </w:rPr>
        <w:t xml:space="preserve"> </w:t>
      </w:r>
      <w:r>
        <w:t>the</w:t>
      </w:r>
      <w:r>
        <w:rPr>
          <w:spacing w:val="-10"/>
        </w:rPr>
        <w:t xml:space="preserve"> </w:t>
      </w:r>
      <w:r>
        <w:t>parts</w:t>
      </w:r>
      <w:r>
        <w:rPr>
          <w:spacing w:val="-10"/>
        </w:rPr>
        <w:t xml:space="preserve"> </w:t>
      </w:r>
      <w:r>
        <w:t>of</w:t>
      </w:r>
      <w:r>
        <w:rPr>
          <w:spacing w:val="-10"/>
        </w:rPr>
        <w:t xml:space="preserve"> </w:t>
      </w:r>
      <w:r>
        <w:t>the</w:t>
      </w:r>
      <w:r>
        <w:rPr>
          <w:spacing w:val="-10"/>
        </w:rPr>
        <w:t xml:space="preserve"> </w:t>
      </w:r>
      <w:r>
        <w:t>regional</w:t>
      </w:r>
      <w:r>
        <w:rPr>
          <w:spacing w:val="-10"/>
        </w:rPr>
        <w:t xml:space="preserve"> </w:t>
      </w:r>
      <w:r>
        <w:t>rail</w:t>
      </w:r>
      <w:r>
        <w:rPr>
          <w:spacing w:val="-10"/>
        </w:rPr>
        <w:t xml:space="preserve"> </w:t>
      </w:r>
      <w:r>
        <w:t>managed by</w:t>
      </w:r>
      <w:r>
        <w:rPr>
          <w:spacing w:val="-7"/>
        </w:rPr>
        <w:t xml:space="preserve"> </w:t>
      </w:r>
      <w:r>
        <w:t>the</w:t>
      </w:r>
      <w:r>
        <w:rPr>
          <w:spacing w:val="-7"/>
        </w:rPr>
        <w:t xml:space="preserve"> </w:t>
      </w:r>
      <w:r>
        <w:t>ARTC</w:t>
      </w:r>
      <w:r>
        <w:rPr>
          <w:spacing w:val="-7"/>
        </w:rPr>
        <w:t xml:space="preserve"> </w:t>
      </w:r>
      <w:r>
        <w:t>and</w:t>
      </w:r>
      <w:r>
        <w:rPr>
          <w:spacing w:val="-7"/>
        </w:rPr>
        <w:t xml:space="preserve"> </w:t>
      </w:r>
      <w:r>
        <w:t>the</w:t>
      </w:r>
      <w:r>
        <w:rPr>
          <w:spacing w:val="-7"/>
        </w:rPr>
        <w:t xml:space="preserve"> </w:t>
      </w:r>
      <w:r>
        <w:t>Country</w:t>
      </w:r>
      <w:r>
        <w:rPr>
          <w:spacing w:val="-7"/>
        </w:rPr>
        <w:t xml:space="preserve"> </w:t>
      </w:r>
      <w:r>
        <w:t>Regional</w:t>
      </w:r>
      <w:r>
        <w:rPr>
          <w:spacing w:val="-7"/>
        </w:rPr>
        <w:t xml:space="preserve"> </w:t>
      </w:r>
      <w:r>
        <w:t>Network</w:t>
      </w:r>
      <w:r>
        <w:rPr>
          <w:spacing w:val="-7"/>
        </w:rPr>
        <w:t xml:space="preserve"> </w:t>
      </w:r>
      <w:r>
        <w:t xml:space="preserve">that </w:t>
      </w:r>
      <w:r>
        <w:rPr>
          <w:w w:val="95"/>
        </w:rPr>
        <w:t xml:space="preserve">do not offer passenger services. In addition, the freight </w:t>
      </w:r>
      <w:r>
        <w:t>network</w:t>
      </w:r>
      <w:r>
        <w:rPr>
          <w:spacing w:val="-9"/>
        </w:rPr>
        <w:t xml:space="preserve"> </w:t>
      </w:r>
      <w:r>
        <w:t>includes:</w:t>
      </w:r>
    </w:p>
    <w:p w:rsidR="002C1123" w:rsidRDefault="00F22F94">
      <w:pPr>
        <w:pStyle w:val="ListParagraph"/>
        <w:numPr>
          <w:ilvl w:val="3"/>
          <w:numId w:val="71"/>
        </w:numPr>
        <w:tabs>
          <w:tab w:val="left" w:pos="776"/>
        </w:tabs>
        <w:spacing w:before="133" w:line="249" w:lineRule="auto"/>
        <w:ind w:right="10955"/>
        <w:rPr>
          <w:sz w:val="20"/>
        </w:rPr>
      </w:pPr>
      <w:r>
        <w:rPr>
          <w:w w:val="95"/>
          <w:sz w:val="20"/>
        </w:rPr>
        <w:t>NSW’s</w:t>
      </w:r>
      <w:r>
        <w:rPr>
          <w:spacing w:val="-11"/>
          <w:w w:val="95"/>
          <w:sz w:val="20"/>
        </w:rPr>
        <w:t xml:space="preserve"> </w:t>
      </w:r>
      <w:r>
        <w:rPr>
          <w:w w:val="95"/>
          <w:sz w:val="20"/>
        </w:rPr>
        <w:t>primary</w:t>
      </w:r>
      <w:r>
        <w:rPr>
          <w:spacing w:val="-11"/>
          <w:w w:val="95"/>
          <w:sz w:val="20"/>
        </w:rPr>
        <w:t xml:space="preserve"> </w:t>
      </w:r>
      <w:r>
        <w:rPr>
          <w:w w:val="95"/>
          <w:sz w:val="20"/>
        </w:rPr>
        <w:t>sea</w:t>
      </w:r>
      <w:r>
        <w:rPr>
          <w:spacing w:val="-11"/>
          <w:w w:val="95"/>
          <w:sz w:val="20"/>
        </w:rPr>
        <w:t xml:space="preserve"> </w:t>
      </w:r>
      <w:r>
        <w:rPr>
          <w:w w:val="95"/>
          <w:sz w:val="20"/>
        </w:rPr>
        <w:t>ports</w:t>
      </w:r>
      <w:r>
        <w:rPr>
          <w:spacing w:val="-11"/>
          <w:w w:val="95"/>
          <w:sz w:val="20"/>
        </w:rPr>
        <w:t xml:space="preserve"> </w:t>
      </w:r>
      <w:r>
        <w:rPr>
          <w:w w:val="95"/>
          <w:sz w:val="20"/>
        </w:rPr>
        <w:t>(Port</w:t>
      </w:r>
      <w:r>
        <w:rPr>
          <w:spacing w:val="-11"/>
          <w:w w:val="95"/>
          <w:sz w:val="20"/>
        </w:rPr>
        <w:t xml:space="preserve"> </w:t>
      </w:r>
      <w:r>
        <w:rPr>
          <w:w w:val="95"/>
          <w:sz w:val="20"/>
        </w:rPr>
        <w:t>Botany,</w:t>
      </w:r>
      <w:r>
        <w:rPr>
          <w:spacing w:val="-11"/>
          <w:w w:val="95"/>
          <w:sz w:val="20"/>
        </w:rPr>
        <w:t xml:space="preserve"> </w:t>
      </w:r>
      <w:r>
        <w:rPr>
          <w:w w:val="95"/>
          <w:sz w:val="20"/>
        </w:rPr>
        <w:t>Port</w:t>
      </w:r>
      <w:r>
        <w:rPr>
          <w:spacing w:val="-11"/>
          <w:w w:val="95"/>
          <w:sz w:val="20"/>
        </w:rPr>
        <w:t xml:space="preserve"> </w:t>
      </w:r>
      <w:r>
        <w:rPr>
          <w:w w:val="95"/>
          <w:sz w:val="20"/>
        </w:rPr>
        <w:t xml:space="preserve">Kembla </w:t>
      </w:r>
      <w:r>
        <w:rPr>
          <w:spacing w:val="-2"/>
          <w:sz w:val="20"/>
        </w:rPr>
        <w:t>and</w:t>
      </w:r>
      <w:r>
        <w:rPr>
          <w:spacing w:val="-9"/>
          <w:sz w:val="20"/>
        </w:rPr>
        <w:t xml:space="preserve"> </w:t>
      </w:r>
      <w:r>
        <w:rPr>
          <w:spacing w:val="-2"/>
          <w:sz w:val="20"/>
        </w:rPr>
        <w:t>the</w:t>
      </w:r>
      <w:r>
        <w:rPr>
          <w:spacing w:val="-9"/>
          <w:sz w:val="20"/>
        </w:rPr>
        <w:t xml:space="preserve"> </w:t>
      </w:r>
      <w:r>
        <w:rPr>
          <w:spacing w:val="-2"/>
          <w:sz w:val="20"/>
        </w:rPr>
        <w:t>Port</w:t>
      </w:r>
      <w:r>
        <w:rPr>
          <w:spacing w:val="-9"/>
          <w:sz w:val="20"/>
        </w:rPr>
        <w:t xml:space="preserve"> </w:t>
      </w:r>
      <w:r>
        <w:rPr>
          <w:spacing w:val="-2"/>
          <w:sz w:val="20"/>
        </w:rPr>
        <w:t>of</w:t>
      </w:r>
      <w:r>
        <w:rPr>
          <w:spacing w:val="-9"/>
          <w:sz w:val="20"/>
        </w:rPr>
        <w:t xml:space="preserve"> </w:t>
      </w:r>
      <w:r>
        <w:rPr>
          <w:spacing w:val="-2"/>
          <w:sz w:val="20"/>
        </w:rPr>
        <w:t>Newcastle),</w:t>
      </w:r>
      <w:r>
        <w:rPr>
          <w:spacing w:val="-9"/>
          <w:sz w:val="20"/>
        </w:rPr>
        <w:t xml:space="preserve"> </w:t>
      </w:r>
      <w:r>
        <w:rPr>
          <w:spacing w:val="-2"/>
          <w:sz w:val="20"/>
        </w:rPr>
        <w:t>along</w:t>
      </w:r>
      <w:r>
        <w:rPr>
          <w:spacing w:val="-9"/>
          <w:sz w:val="20"/>
        </w:rPr>
        <w:t xml:space="preserve"> </w:t>
      </w:r>
      <w:r>
        <w:rPr>
          <w:spacing w:val="-2"/>
          <w:sz w:val="20"/>
        </w:rPr>
        <w:t>with</w:t>
      </w:r>
      <w:r>
        <w:rPr>
          <w:spacing w:val="-9"/>
          <w:sz w:val="20"/>
        </w:rPr>
        <w:t xml:space="preserve"> </w:t>
      </w:r>
      <w:r>
        <w:rPr>
          <w:spacing w:val="-2"/>
          <w:sz w:val="20"/>
        </w:rPr>
        <w:t>28</w:t>
      </w:r>
      <w:r>
        <w:rPr>
          <w:spacing w:val="-9"/>
          <w:sz w:val="20"/>
        </w:rPr>
        <w:t xml:space="preserve"> </w:t>
      </w:r>
      <w:r>
        <w:rPr>
          <w:spacing w:val="-2"/>
          <w:sz w:val="20"/>
        </w:rPr>
        <w:t>smaller ports</w:t>
      </w:r>
      <w:r>
        <w:rPr>
          <w:spacing w:val="-9"/>
          <w:sz w:val="20"/>
        </w:rPr>
        <w:t xml:space="preserve"> </w:t>
      </w:r>
      <w:r>
        <w:rPr>
          <w:spacing w:val="-2"/>
          <w:sz w:val="20"/>
        </w:rPr>
        <w:t>and</w:t>
      </w:r>
      <w:r>
        <w:rPr>
          <w:spacing w:val="-9"/>
          <w:sz w:val="20"/>
        </w:rPr>
        <w:t xml:space="preserve"> </w:t>
      </w:r>
      <w:r>
        <w:rPr>
          <w:spacing w:val="-2"/>
          <w:sz w:val="20"/>
        </w:rPr>
        <w:t>harbours</w:t>
      </w:r>
      <w:r>
        <w:rPr>
          <w:spacing w:val="-9"/>
          <w:sz w:val="20"/>
        </w:rPr>
        <w:t xml:space="preserve"> </w:t>
      </w:r>
      <w:r>
        <w:rPr>
          <w:spacing w:val="-2"/>
          <w:sz w:val="20"/>
        </w:rPr>
        <w:t>(such</w:t>
      </w:r>
      <w:r>
        <w:rPr>
          <w:spacing w:val="-9"/>
          <w:sz w:val="20"/>
        </w:rPr>
        <w:t xml:space="preserve"> </w:t>
      </w:r>
      <w:r>
        <w:rPr>
          <w:spacing w:val="-2"/>
          <w:sz w:val="20"/>
        </w:rPr>
        <w:t>as</w:t>
      </w:r>
      <w:r>
        <w:rPr>
          <w:spacing w:val="-9"/>
          <w:sz w:val="20"/>
        </w:rPr>
        <w:t xml:space="preserve"> </w:t>
      </w:r>
      <w:r>
        <w:rPr>
          <w:spacing w:val="-2"/>
          <w:sz w:val="20"/>
        </w:rPr>
        <w:t>Eden</w:t>
      </w:r>
      <w:r>
        <w:rPr>
          <w:spacing w:val="-9"/>
          <w:sz w:val="20"/>
        </w:rPr>
        <w:t xml:space="preserve"> </w:t>
      </w:r>
      <w:r>
        <w:rPr>
          <w:spacing w:val="-2"/>
          <w:sz w:val="20"/>
        </w:rPr>
        <w:t>and</w:t>
      </w:r>
      <w:r>
        <w:rPr>
          <w:spacing w:val="-9"/>
          <w:sz w:val="20"/>
        </w:rPr>
        <w:t xml:space="preserve"> </w:t>
      </w:r>
      <w:r>
        <w:rPr>
          <w:spacing w:val="-2"/>
          <w:sz w:val="20"/>
        </w:rPr>
        <w:t>Yamba)</w:t>
      </w:r>
    </w:p>
    <w:p w:rsidR="002C1123" w:rsidRDefault="00F22F94">
      <w:pPr>
        <w:pStyle w:val="ListParagraph"/>
        <w:numPr>
          <w:ilvl w:val="3"/>
          <w:numId w:val="71"/>
        </w:numPr>
        <w:tabs>
          <w:tab w:val="left" w:pos="776"/>
        </w:tabs>
        <w:spacing w:before="131"/>
        <w:rPr>
          <w:sz w:val="20"/>
        </w:rPr>
      </w:pPr>
      <w:r>
        <w:rPr>
          <w:spacing w:val="-2"/>
          <w:w w:val="95"/>
          <w:sz w:val="20"/>
        </w:rPr>
        <w:t>Sydney</w:t>
      </w:r>
      <w:r>
        <w:rPr>
          <w:spacing w:val="-5"/>
          <w:sz w:val="20"/>
        </w:rPr>
        <w:t xml:space="preserve"> </w:t>
      </w:r>
      <w:r>
        <w:rPr>
          <w:spacing w:val="-2"/>
          <w:sz w:val="20"/>
        </w:rPr>
        <w:t>Airport</w:t>
      </w:r>
    </w:p>
    <w:p w:rsidR="002C1123" w:rsidRDefault="00F22F94">
      <w:pPr>
        <w:pStyle w:val="ListParagraph"/>
        <w:numPr>
          <w:ilvl w:val="3"/>
          <w:numId w:val="71"/>
        </w:numPr>
        <w:tabs>
          <w:tab w:val="left" w:pos="776"/>
        </w:tabs>
        <w:spacing w:before="140"/>
        <w:rPr>
          <w:sz w:val="20"/>
        </w:rPr>
      </w:pPr>
      <w:r>
        <w:rPr>
          <w:w w:val="95"/>
          <w:sz w:val="20"/>
        </w:rPr>
        <w:t>23</w:t>
      </w:r>
      <w:r>
        <w:rPr>
          <w:spacing w:val="-6"/>
          <w:w w:val="95"/>
          <w:sz w:val="20"/>
        </w:rPr>
        <w:t xml:space="preserve"> </w:t>
      </w:r>
      <w:r>
        <w:rPr>
          <w:w w:val="95"/>
          <w:sz w:val="20"/>
        </w:rPr>
        <w:t>intermodal</w:t>
      </w:r>
      <w:r>
        <w:rPr>
          <w:spacing w:val="-6"/>
          <w:w w:val="95"/>
          <w:sz w:val="20"/>
        </w:rPr>
        <w:t xml:space="preserve"> </w:t>
      </w:r>
      <w:r>
        <w:rPr>
          <w:w w:val="95"/>
          <w:sz w:val="20"/>
        </w:rPr>
        <w:t>freight</w:t>
      </w:r>
      <w:r>
        <w:rPr>
          <w:spacing w:val="-5"/>
          <w:w w:val="95"/>
          <w:sz w:val="20"/>
        </w:rPr>
        <w:t xml:space="preserve"> </w:t>
      </w:r>
      <w:r>
        <w:rPr>
          <w:spacing w:val="-2"/>
          <w:w w:val="95"/>
          <w:sz w:val="20"/>
        </w:rPr>
        <w:t>terminals.</w:t>
      </w:r>
    </w:p>
    <w:p w:rsidR="002C1123" w:rsidRDefault="00F22F94">
      <w:pPr>
        <w:pStyle w:val="BodyText"/>
        <w:spacing w:before="151"/>
        <w:ind w:left="492"/>
      </w:pPr>
      <w:r>
        <w:rPr>
          <w:w w:val="95"/>
        </w:rPr>
        <w:t>The</w:t>
      </w:r>
      <w:r>
        <w:rPr>
          <w:spacing w:val="-8"/>
          <w:w w:val="95"/>
        </w:rPr>
        <w:t xml:space="preserve"> </w:t>
      </w:r>
      <w:r>
        <w:rPr>
          <w:w w:val="95"/>
        </w:rPr>
        <w:t>NSW</w:t>
      </w:r>
      <w:r>
        <w:rPr>
          <w:spacing w:val="-7"/>
          <w:w w:val="95"/>
        </w:rPr>
        <w:t xml:space="preserve"> </w:t>
      </w:r>
      <w:r>
        <w:rPr>
          <w:w w:val="95"/>
        </w:rPr>
        <w:t>freight</w:t>
      </w:r>
      <w:r>
        <w:rPr>
          <w:spacing w:val="-8"/>
          <w:w w:val="95"/>
        </w:rPr>
        <w:t xml:space="preserve"> </w:t>
      </w:r>
      <w:r>
        <w:rPr>
          <w:w w:val="95"/>
        </w:rPr>
        <w:t>network</w:t>
      </w:r>
      <w:r>
        <w:rPr>
          <w:spacing w:val="-7"/>
          <w:w w:val="95"/>
        </w:rPr>
        <w:t xml:space="preserve"> </w:t>
      </w:r>
      <w:r>
        <w:rPr>
          <w:w w:val="95"/>
        </w:rPr>
        <w:t>is</w:t>
      </w:r>
      <w:r>
        <w:rPr>
          <w:spacing w:val="-7"/>
          <w:w w:val="95"/>
        </w:rPr>
        <w:t xml:space="preserve"> </w:t>
      </w:r>
      <w:r>
        <w:rPr>
          <w:w w:val="95"/>
        </w:rPr>
        <w:t>shown</w:t>
      </w:r>
      <w:r>
        <w:rPr>
          <w:spacing w:val="-8"/>
          <w:w w:val="95"/>
        </w:rPr>
        <w:t xml:space="preserve"> </w:t>
      </w:r>
      <w:r>
        <w:rPr>
          <w:w w:val="95"/>
        </w:rPr>
        <w:t>in</w:t>
      </w:r>
      <w:r>
        <w:rPr>
          <w:spacing w:val="-7"/>
          <w:w w:val="95"/>
        </w:rPr>
        <w:t xml:space="preserve"> </w:t>
      </w:r>
      <w:r>
        <w:rPr>
          <w:w w:val="95"/>
        </w:rPr>
        <w:t>figure</w:t>
      </w:r>
      <w:r>
        <w:rPr>
          <w:spacing w:val="-8"/>
          <w:w w:val="95"/>
        </w:rPr>
        <w:t xml:space="preserve"> </w:t>
      </w:r>
      <w:r>
        <w:rPr>
          <w:spacing w:val="-4"/>
          <w:w w:val="95"/>
        </w:rPr>
        <w:t>10.4</w:t>
      </w:r>
    </w:p>
    <w:p w:rsidR="002C1123" w:rsidRDefault="00F22F94">
      <w:pPr>
        <w:pStyle w:val="BodyText"/>
        <w:spacing w:before="152" w:line="249" w:lineRule="auto"/>
        <w:ind w:left="492" w:right="10730"/>
      </w:pPr>
      <w:r>
        <w:t>A</w:t>
      </w:r>
      <w:r>
        <w:rPr>
          <w:spacing w:val="-10"/>
        </w:rPr>
        <w:t xml:space="preserve"> </w:t>
      </w:r>
      <w:r>
        <w:t>number</w:t>
      </w:r>
      <w:r>
        <w:rPr>
          <w:spacing w:val="-10"/>
        </w:rPr>
        <w:t xml:space="preserve"> </w:t>
      </w:r>
      <w:r>
        <w:t>of</w:t>
      </w:r>
      <w:r>
        <w:rPr>
          <w:spacing w:val="-10"/>
        </w:rPr>
        <w:t xml:space="preserve"> </w:t>
      </w:r>
      <w:r>
        <w:t>potential</w:t>
      </w:r>
      <w:r>
        <w:rPr>
          <w:spacing w:val="-10"/>
        </w:rPr>
        <w:t xml:space="preserve"> </w:t>
      </w:r>
      <w:r>
        <w:t>upgrades</w:t>
      </w:r>
      <w:r>
        <w:rPr>
          <w:spacing w:val="-10"/>
        </w:rPr>
        <w:t xml:space="preserve"> </w:t>
      </w:r>
      <w:r>
        <w:t>to</w:t>
      </w:r>
      <w:r>
        <w:rPr>
          <w:spacing w:val="-10"/>
        </w:rPr>
        <w:t xml:space="preserve"> </w:t>
      </w:r>
      <w:r>
        <w:t>this</w:t>
      </w:r>
      <w:r>
        <w:rPr>
          <w:spacing w:val="-10"/>
        </w:rPr>
        <w:t xml:space="preserve"> </w:t>
      </w:r>
      <w:r>
        <w:t>network</w:t>
      </w:r>
      <w:r>
        <w:rPr>
          <w:spacing w:val="-10"/>
        </w:rPr>
        <w:t xml:space="preserve"> </w:t>
      </w:r>
      <w:r>
        <w:t xml:space="preserve">have </w:t>
      </w:r>
      <w:r>
        <w:rPr>
          <w:w w:val="95"/>
        </w:rPr>
        <w:t>been</w:t>
      </w:r>
      <w:r>
        <w:rPr>
          <w:spacing w:val="-5"/>
          <w:w w:val="95"/>
        </w:rPr>
        <w:t xml:space="preserve"> </w:t>
      </w:r>
      <w:r>
        <w:rPr>
          <w:w w:val="95"/>
        </w:rPr>
        <w:t>suggested</w:t>
      </w:r>
      <w:r>
        <w:rPr>
          <w:spacing w:val="-5"/>
          <w:w w:val="95"/>
        </w:rPr>
        <w:t xml:space="preserve"> </w:t>
      </w:r>
      <w:r>
        <w:rPr>
          <w:w w:val="95"/>
        </w:rPr>
        <w:t>by</w:t>
      </w:r>
      <w:r>
        <w:rPr>
          <w:spacing w:val="-5"/>
          <w:w w:val="95"/>
        </w:rPr>
        <w:t xml:space="preserve"> </w:t>
      </w:r>
      <w:r>
        <w:rPr>
          <w:w w:val="95"/>
        </w:rPr>
        <w:t>regional</w:t>
      </w:r>
      <w:r>
        <w:rPr>
          <w:spacing w:val="-5"/>
          <w:w w:val="95"/>
        </w:rPr>
        <w:t xml:space="preserve"> </w:t>
      </w:r>
      <w:r>
        <w:rPr>
          <w:w w:val="95"/>
        </w:rPr>
        <w:t>authorities</w:t>
      </w:r>
      <w:r>
        <w:rPr>
          <w:spacing w:val="-5"/>
          <w:w w:val="95"/>
        </w:rPr>
        <w:t xml:space="preserve"> </w:t>
      </w:r>
      <w:r>
        <w:rPr>
          <w:w w:val="95"/>
        </w:rPr>
        <w:t>and/or</w:t>
      </w:r>
      <w:r>
        <w:rPr>
          <w:spacing w:val="-5"/>
          <w:w w:val="95"/>
        </w:rPr>
        <w:t xml:space="preserve"> </w:t>
      </w:r>
      <w:r>
        <w:rPr>
          <w:w w:val="95"/>
        </w:rPr>
        <w:t>the</w:t>
      </w:r>
      <w:r>
        <w:rPr>
          <w:spacing w:val="-5"/>
          <w:w w:val="95"/>
        </w:rPr>
        <w:t xml:space="preserve"> </w:t>
      </w:r>
      <w:r>
        <w:rPr>
          <w:w w:val="95"/>
        </w:rPr>
        <w:t xml:space="preserve">private sector, including investment to create an inland rail route </w:t>
      </w:r>
      <w:r>
        <w:t>for</w:t>
      </w:r>
      <w:r>
        <w:rPr>
          <w:spacing w:val="-12"/>
        </w:rPr>
        <w:t xml:space="preserve"> </w:t>
      </w:r>
      <w:r>
        <w:t>interstate</w:t>
      </w:r>
      <w:r>
        <w:rPr>
          <w:spacing w:val="-12"/>
        </w:rPr>
        <w:t xml:space="preserve"> </w:t>
      </w:r>
      <w:r>
        <w:t>freight</w:t>
      </w:r>
      <w:r>
        <w:rPr>
          <w:spacing w:val="-12"/>
        </w:rPr>
        <w:t xml:space="preserve"> </w:t>
      </w:r>
      <w:r>
        <w:t>between</w:t>
      </w:r>
      <w:r>
        <w:rPr>
          <w:spacing w:val="-12"/>
        </w:rPr>
        <w:t xml:space="preserve"> </w:t>
      </w:r>
      <w:r>
        <w:t>Brisbane</w:t>
      </w:r>
      <w:r>
        <w:rPr>
          <w:spacing w:val="-12"/>
        </w:rPr>
        <w:t xml:space="preserve"> </w:t>
      </w:r>
      <w:r>
        <w:t>and</w:t>
      </w:r>
      <w:r>
        <w:rPr>
          <w:spacing w:val="-12"/>
        </w:rPr>
        <w:t xml:space="preserve"> </w:t>
      </w:r>
      <w:r>
        <w:t>Melbourne through</w:t>
      </w:r>
      <w:r>
        <w:rPr>
          <w:spacing w:val="-14"/>
        </w:rPr>
        <w:t xml:space="preserve"> </w:t>
      </w:r>
      <w:r>
        <w:t>regional</w:t>
      </w:r>
      <w:r>
        <w:rPr>
          <w:spacing w:val="-14"/>
        </w:rPr>
        <w:t xml:space="preserve"> </w:t>
      </w:r>
      <w:r>
        <w:t>NSW,</w:t>
      </w:r>
      <w:r>
        <w:rPr>
          <w:spacing w:val="-14"/>
        </w:rPr>
        <w:t xml:space="preserve"> </w:t>
      </w:r>
      <w:r>
        <w:t>and</w:t>
      </w:r>
      <w:r>
        <w:rPr>
          <w:spacing w:val="-14"/>
        </w:rPr>
        <w:t xml:space="preserve"> </w:t>
      </w:r>
      <w:r>
        <w:t>investment</w:t>
      </w:r>
      <w:r>
        <w:rPr>
          <w:spacing w:val="-13"/>
        </w:rPr>
        <w:t xml:space="preserve"> </w:t>
      </w:r>
      <w:r>
        <w:t>to</w:t>
      </w:r>
      <w:r>
        <w:rPr>
          <w:spacing w:val="-14"/>
        </w:rPr>
        <w:t xml:space="preserve"> </w:t>
      </w:r>
      <w:r>
        <w:t>upgrade</w:t>
      </w:r>
      <w:r>
        <w:rPr>
          <w:spacing w:val="-14"/>
        </w:rPr>
        <w:t xml:space="preserve"> </w:t>
      </w:r>
      <w:r>
        <w:t>the coastal</w:t>
      </w:r>
      <w:r>
        <w:rPr>
          <w:spacing w:val="-10"/>
        </w:rPr>
        <w:t xml:space="preserve"> </w:t>
      </w:r>
      <w:r>
        <w:t>rail</w:t>
      </w:r>
      <w:r>
        <w:rPr>
          <w:spacing w:val="-10"/>
        </w:rPr>
        <w:t xml:space="preserve"> </w:t>
      </w:r>
      <w:r>
        <w:t>corridor</w:t>
      </w:r>
      <w:r>
        <w:rPr>
          <w:spacing w:val="-10"/>
        </w:rPr>
        <w:t xml:space="preserve"> </w:t>
      </w:r>
      <w:r>
        <w:t>between</w:t>
      </w:r>
      <w:r>
        <w:rPr>
          <w:spacing w:val="-10"/>
        </w:rPr>
        <w:t xml:space="preserve"> </w:t>
      </w:r>
      <w:r>
        <w:t>Sydney</w:t>
      </w:r>
      <w:r>
        <w:rPr>
          <w:spacing w:val="-10"/>
        </w:rPr>
        <w:t xml:space="preserve"> </w:t>
      </w:r>
      <w:r>
        <w:t>and</w:t>
      </w:r>
      <w:r>
        <w:rPr>
          <w:spacing w:val="-10"/>
        </w:rPr>
        <w:t xml:space="preserve"> </w:t>
      </w:r>
      <w:r>
        <w:t>Brisbane.</w:t>
      </w:r>
    </w:p>
    <w:p w:rsidR="002C1123" w:rsidRDefault="00F22F94">
      <w:pPr>
        <w:pStyle w:val="BodyText"/>
        <w:spacing w:before="147" w:line="249" w:lineRule="auto"/>
        <w:ind w:left="492" w:right="11295"/>
      </w:pPr>
      <w:r>
        <w:t>It</w:t>
      </w:r>
      <w:r>
        <w:rPr>
          <w:spacing w:val="-11"/>
        </w:rPr>
        <w:t xml:space="preserve"> </w:t>
      </w:r>
      <w:r>
        <w:t>should</w:t>
      </w:r>
      <w:r>
        <w:rPr>
          <w:spacing w:val="-11"/>
        </w:rPr>
        <w:t xml:space="preserve"> </w:t>
      </w:r>
      <w:r>
        <w:t>also</w:t>
      </w:r>
      <w:r>
        <w:rPr>
          <w:spacing w:val="-11"/>
        </w:rPr>
        <w:t xml:space="preserve"> </w:t>
      </w:r>
      <w:r>
        <w:t>be</w:t>
      </w:r>
      <w:r>
        <w:rPr>
          <w:spacing w:val="-11"/>
        </w:rPr>
        <w:t xml:space="preserve"> </w:t>
      </w:r>
      <w:r>
        <w:t>noted</w:t>
      </w:r>
      <w:r>
        <w:rPr>
          <w:spacing w:val="-11"/>
        </w:rPr>
        <w:t xml:space="preserve"> </w:t>
      </w:r>
      <w:r>
        <w:t>that</w:t>
      </w:r>
      <w:r>
        <w:rPr>
          <w:spacing w:val="-11"/>
        </w:rPr>
        <w:t xml:space="preserve"> </w:t>
      </w:r>
      <w:r>
        <w:t>regional</w:t>
      </w:r>
      <w:r>
        <w:rPr>
          <w:spacing w:val="-11"/>
        </w:rPr>
        <w:t xml:space="preserve"> </w:t>
      </w:r>
      <w:r>
        <w:t>road</w:t>
      </w:r>
      <w:r>
        <w:rPr>
          <w:spacing w:val="-11"/>
        </w:rPr>
        <w:t xml:space="preserve"> </w:t>
      </w:r>
      <w:r>
        <w:t xml:space="preserve">freight </w:t>
      </w:r>
      <w:r>
        <w:rPr>
          <w:w w:val="95"/>
        </w:rPr>
        <w:t>will</w:t>
      </w:r>
      <w:r>
        <w:rPr>
          <w:spacing w:val="-4"/>
          <w:w w:val="95"/>
        </w:rPr>
        <w:t xml:space="preserve"> </w:t>
      </w:r>
      <w:r>
        <w:rPr>
          <w:w w:val="95"/>
        </w:rPr>
        <w:t>benefit</w:t>
      </w:r>
      <w:r>
        <w:rPr>
          <w:spacing w:val="-4"/>
          <w:w w:val="95"/>
        </w:rPr>
        <w:t xml:space="preserve"> </w:t>
      </w:r>
      <w:r>
        <w:rPr>
          <w:w w:val="95"/>
        </w:rPr>
        <w:t>from</w:t>
      </w:r>
      <w:r>
        <w:rPr>
          <w:spacing w:val="-4"/>
          <w:w w:val="95"/>
        </w:rPr>
        <w:t xml:space="preserve"> </w:t>
      </w:r>
      <w:r>
        <w:rPr>
          <w:w w:val="95"/>
        </w:rPr>
        <w:t>ongoing</w:t>
      </w:r>
      <w:r>
        <w:rPr>
          <w:spacing w:val="-4"/>
          <w:w w:val="95"/>
        </w:rPr>
        <w:t xml:space="preserve"> </w:t>
      </w:r>
      <w:r>
        <w:rPr>
          <w:w w:val="95"/>
        </w:rPr>
        <w:t>upgrades</w:t>
      </w:r>
      <w:r>
        <w:rPr>
          <w:spacing w:val="-4"/>
          <w:w w:val="95"/>
        </w:rPr>
        <w:t xml:space="preserve"> </w:t>
      </w:r>
      <w:r>
        <w:rPr>
          <w:w w:val="95"/>
        </w:rPr>
        <w:t>to</w:t>
      </w:r>
      <w:r>
        <w:rPr>
          <w:spacing w:val="-4"/>
          <w:w w:val="95"/>
        </w:rPr>
        <w:t xml:space="preserve"> </w:t>
      </w:r>
      <w:r>
        <w:rPr>
          <w:w w:val="95"/>
        </w:rPr>
        <w:t>the</w:t>
      </w:r>
      <w:r>
        <w:rPr>
          <w:spacing w:val="-4"/>
          <w:w w:val="95"/>
        </w:rPr>
        <w:t xml:space="preserve"> </w:t>
      </w:r>
      <w:r>
        <w:rPr>
          <w:w w:val="95"/>
        </w:rPr>
        <w:t xml:space="preserve">National </w:t>
      </w:r>
      <w:r>
        <w:t>Highway</w:t>
      </w:r>
      <w:r>
        <w:rPr>
          <w:spacing w:val="-11"/>
        </w:rPr>
        <w:t xml:space="preserve"> </w:t>
      </w:r>
      <w:r>
        <w:t>Network.</w:t>
      </w:r>
    </w:p>
    <w:p w:rsidR="002C1123" w:rsidRDefault="002C1123">
      <w:pPr>
        <w:spacing w:line="249" w:lineRule="auto"/>
        <w:sectPr w:rsidR="002C1123">
          <w:pgSz w:w="16840" w:h="11910" w:orient="landscape"/>
          <w:pgMar w:top="560" w:right="280" w:bottom="700" w:left="500" w:header="0" w:footer="517"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7"/>
        </w:rPr>
      </w:pPr>
    </w:p>
    <w:p w:rsidR="002C1123" w:rsidRDefault="002C1123">
      <w:pPr>
        <w:rPr>
          <w:sz w:val="17"/>
        </w:rPr>
        <w:sectPr w:rsidR="002C1123">
          <w:pgSz w:w="16840" w:h="11910" w:orient="landscape"/>
          <w:pgMar w:top="560" w:right="280" w:bottom="700" w:left="500" w:header="0" w:footer="517" w:gutter="0"/>
          <w:cols w:space="720"/>
        </w:sectPr>
      </w:pPr>
    </w:p>
    <w:p w:rsidR="002C1123" w:rsidRDefault="00F22F94">
      <w:pPr>
        <w:pStyle w:val="Heading5"/>
        <w:numPr>
          <w:ilvl w:val="1"/>
          <w:numId w:val="74"/>
        </w:numPr>
        <w:tabs>
          <w:tab w:val="left" w:pos="1093"/>
        </w:tabs>
        <w:ind w:left="1092"/>
        <w:jc w:val="left"/>
      </w:pPr>
      <w:bookmarkStart w:id="275" w:name="10.3_Connecting_people_"/>
      <w:bookmarkStart w:id="276" w:name="_bookmark196"/>
      <w:bookmarkStart w:id="277" w:name="_bookmark195"/>
      <w:bookmarkEnd w:id="275"/>
      <w:bookmarkEnd w:id="276"/>
      <w:bookmarkEnd w:id="277"/>
      <w:r>
        <w:rPr>
          <w:color w:val="00AEEF"/>
          <w:spacing w:val="-5"/>
        </w:rPr>
        <w:t>Connecting</w:t>
      </w:r>
      <w:r>
        <w:rPr>
          <w:color w:val="00AEEF"/>
          <w:spacing w:val="-4"/>
        </w:rPr>
        <w:t xml:space="preserve"> </w:t>
      </w:r>
      <w:r>
        <w:rPr>
          <w:color w:val="00AEEF"/>
          <w:spacing w:val="-2"/>
        </w:rPr>
        <w:t>people</w:t>
      </w:r>
    </w:p>
    <w:p w:rsidR="002C1123" w:rsidRDefault="00F22F94">
      <w:pPr>
        <w:pStyle w:val="BodyText"/>
        <w:spacing w:before="135" w:line="249" w:lineRule="auto"/>
        <w:ind w:left="492" w:right="571"/>
        <w:jc w:val="both"/>
      </w:pPr>
      <w:r>
        <w:rPr>
          <w:w w:val="95"/>
        </w:rPr>
        <w:t xml:space="preserve">This section considers infrastructure investments that could improve connections between regional </w:t>
      </w:r>
      <w:r>
        <w:t>communities</w:t>
      </w:r>
      <w:r>
        <w:rPr>
          <w:spacing w:val="-11"/>
        </w:rPr>
        <w:t xml:space="preserve"> </w:t>
      </w:r>
      <w:r>
        <w:t>and</w:t>
      </w:r>
      <w:r>
        <w:rPr>
          <w:spacing w:val="-11"/>
        </w:rPr>
        <w:t xml:space="preserve"> </w:t>
      </w:r>
      <w:r>
        <w:t>improve</w:t>
      </w:r>
      <w:r>
        <w:rPr>
          <w:spacing w:val="-11"/>
        </w:rPr>
        <w:t xml:space="preserve"> </w:t>
      </w:r>
      <w:r>
        <w:t>interstate</w:t>
      </w:r>
      <w:r>
        <w:rPr>
          <w:spacing w:val="-11"/>
        </w:rPr>
        <w:t xml:space="preserve"> </w:t>
      </w:r>
      <w:r>
        <w:t>travel.</w:t>
      </w:r>
    </w:p>
    <w:p w:rsidR="002C1123" w:rsidRDefault="00F22F94">
      <w:pPr>
        <w:pStyle w:val="BodyText"/>
        <w:spacing w:before="144" w:line="249" w:lineRule="auto"/>
        <w:ind w:left="492"/>
      </w:pPr>
      <w:r>
        <w:t>Investments</w:t>
      </w:r>
      <w:r>
        <w:rPr>
          <w:spacing w:val="-10"/>
        </w:rPr>
        <w:t xml:space="preserve"> </w:t>
      </w:r>
      <w:r>
        <w:t>proposed</w:t>
      </w:r>
      <w:r>
        <w:rPr>
          <w:spacing w:val="-10"/>
        </w:rPr>
        <w:t xml:space="preserve"> </w:t>
      </w:r>
      <w:r>
        <w:t>or</w:t>
      </w:r>
      <w:r>
        <w:rPr>
          <w:spacing w:val="-10"/>
        </w:rPr>
        <w:t xml:space="preserve"> </w:t>
      </w:r>
      <w:r>
        <w:t>underway</w:t>
      </w:r>
      <w:r>
        <w:rPr>
          <w:spacing w:val="-10"/>
        </w:rPr>
        <w:t xml:space="preserve"> </w:t>
      </w:r>
      <w:r>
        <w:t>for</w:t>
      </w:r>
      <w:r>
        <w:rPr>
          <w:spacing w:val="-10"/>
        </w:rPr>
        <w:t xml:space="preserve"> </w:t>
      </w:r>
      <w:r>
        <w:t>the</w:t>
      </w:r>
      <w:r>
        <w:rPr>
          <w:spacing w:val="-10"/>
        </w:rPr>
        <w:t xml:space="preserve"> </w:t>
      </w:r>
      <w:r>
        <w:t xml:space="preserve">National </w:t>
      </w:r>
      <w:r>
        <w:rPr>
          <w:w w:val="95"/>
        </w:rPr>
        <w:t>Highway</w:t>
      </w:r>
      <w:r>
        <w:rPr>
          <w:spacing w:val="-4"/>
          <w:w w:val="95"/>
        </w:rPr>
        <w:t xml:space="preserve"> </w:t>
      </w:r>
      <w:r>
        <w:rPr>
          <w:w w:val="95"/>
        </w:rPr>
        <w:t>Network</w:t>
      </w:r>
      <w:r>
        <w:rPr>
          <w:spacing w:val="-4"/>
          <w:w w:val="95"/>
        </w:rPr>
        <w:t xml:space="preserve"> </w:t>
      </w:r>
      <w:r>
        <w:rPr>
          <w:w w:val="95"/>
        </w:rPr>
        <w:t>are</w:t>
      </w:r>
      <w:r>
        <w:rPr>
          <w:spacing w:val="-4"/>
          <w:w w:val="95"/>
        </w:rPr>
        <w:t xml:space="preserve"> </w:t>
      </w:r>
      <w:r>
        <w:rPr>
          <w:w w:val="95"/>
        </w:rPr>
        <w:t>discussed</w:t>
      </w:r>
      <w:r>
        <w:rPr>
          <w:spacing w:val="-4"/>
          <w:w w:val="95"/>
        </w:rPr>
        <w:t xml:space="preserve"> </w:t>
      </w:r>
      <w:r>
        <w:rPr>
          <w:w w:val="95"/>
        </w:rPr>
        <w:t>in</w:t>
      </w:r>
      <w:r>
        <w:rPr>
          <w:spacing w:val="-4"/>
          <w:w w:val="95"/>
        </w:rPr>
        <w:t xml:space="preserve"> </w:t>
      </w:r>
      <w:r>
        <w:rPr>
          <w:w w:val="95"/>
        </w:rPr>
        <w:t>Section</w:t>
      </w:r>
      <w:r>
        <w:rPr>
          <w:spacing w:val="-4"/>
          <w:w w:val="95"/>
        </w:rPr>
        <w:t xml:space="preserve"> </w:t>
      </w:r>
      <w:r>
        <w:rPr>
          <w:w w:val="95"/>
        </w:rPr>
        <w:t>10.6,</w:t>
      </w:r>
      <w:r>
        <w:rPr>
          <w:spacing w:val="-4"/>
          <w:w w:val="95"/>
        </w:rPr>
        <w:t xml:space="preserve"> </w:t>
      </w:r>
      <w:r>
        <w:rPr>
          <w:w w:val="95"/>
        </w:rPr>
        <w:t>due</w:t>
      </w:r>
      <w:r>
        <w:rPr>
          <w:spacing w:val="-4"/>
          <w:w w:val="95"/>
        </w:rPr>
        <w:t xml:space="preserve"> </w:t>
      </w:r>
      <w:r>
        <w:rPr>
          <w:w w:val="95"/>
        </w:rPr>
        <w:t xml:space="preserve">to </w:t>
      </w:r>
      <w:r>
        <w:t>their</w:t>
      </w:r>
      <w:r>
        <w:rPr>
          <w:spacing w:val="-2"/>
        </w:rPr>
        <w:t xml:space="preserve"> </w:t>
      </w:r>
      <w:r>
        <w:t>important</w:t>
      </w:r>
      <w:r>
        <w:rPr>
          <w:spacing w:val="-2"/>
        </w:rPr>
        <w:t xml:space="preserve"> </w:t>
      </w:r>
      <w:r>
        <w:t>function</w:t>
      </w:r>
      <w:r>
        <w:rPr>
          <w:spacing w:val="-2"/>
        </w:rPr>
        <w:t xml:space="preserve"> </w:t>
      </w:r>
      <w:r>
        <w:t>as</w:t>
      </w:r>
      <w:r>
        <w:rPr>
          <w:spacing w:val="-2"/>
        </w:rPr>
        <w:t xml:space="preserve"> </w:t>
      </w:r>
      <w:r>
        <w:t>freight</w:t>
      </w:r>
      <w:r>
        <w:rPr>
          <w:spacing w:val="-2"/>
        </w:rPr>
        <w:t xml:space="preserve"> </w:t>
      </w:r>
      <w:r>
        <w:t>routes.</w:t>
      </w:r>
    </w:p>
    <w:p w:rsidR="002C1123" w:rsidRDefault="00F22F94">
      <w:pPr>
        <w:pStyle w:val="Heading6"/>
        <w:numPr>
          <w:ilvl w:val="2"/>
          <w:numId w:val="74"/>
        </w:numPr>
        <w:tabs>
          <w:tab w:val="left" w:pos="1087"/>
        </w:tabs>
        <w:spacing w:before="144"/>
        <w:jc w:val="left"/>
        <w:rPr>
          <w:color w:val="00AEEF"/>
        </w:rPr>
      </w:pPr>
      <w:r>
        <w:rPr>
          <w:color w:val="00AEEF"/>
          <w:spacing w:val="-2"/>
        </w:rPr>
        <w:t>Improving</w:t>
      </w:r>
      <w:r>
        <w:rPr>
          <w:color w:val="00AEEF"/>
          <w:spacing w:val="-8"/>
        </w:rPr>
        <w:t xml:space="preserve"> </w:t>
      </w:r>
      <w:r>
        <w:rPr>
          <w:color w:val="00AEEF"/>
          <w:spacing w:val="-2"/>
        </w:rPr>
        <w:t>access</w:t>
      </w:r>
      <w:r>
        <w:rPr>
          <w:color w:val="00AEEF"/>
          <w:spacing w:val="-8"/>
        </w:rPr>
        <w:t xml:space="preserve"> </w:t>
      </w:r>
      <w:r>
        <w:rPr>
          <w:color w:val="00AEEF"/>
          <w:spacing w:val="-2"/>
        </w:rPr>
        <w:t>to</w:t>
      </w:r>
      <w:r>
        <w:rPr>
          <w:color w:val="00AEEF"/>
          <w:spacing w:val="-8"/>
        </w:rPr>
        <w:t xml:space="preserve"> </w:t>
      </w:r>
      <w:r>
        <w:rPr>
          <w:color w:val="00AEEF"/>
          <w:spacing w:val="-2"/>
        </w:rPr>
        <w:t>the</w:t>
      </w:r>
      <w:r>
        <w:rPr>
          <w:color w:val="00AEEF"/>
          <w:spacing w:val="-8"/>
        </w:rPr>
        <w:t xml:space="preserve"> </w:t>
      </w:r>
      <w:r>
        <w:rPr>
          <w:color w:val="00AEEF"/>
          <w:spacing w:val="-2"/>
        </w:rPr>
        <w:t>Metropolitan</w:t>
      </w:r>
      <w:r>
        <w:rPr>
          <w:color w:val="00AEEF"/>
          <w:spacing w:val="-8"/>
        </w:rPr>
        <w:t xml:space="preserve"> </w:t>
      </w:r>
      <w:r>
        <w:rPr>
          <w:color w:val="00AEEF"/>
          <w:spacing w:val="-4"/>
        </w:rPr>
        <w:t>Area</w:t>
      </w:r>
    </w:p>
    <w:p w:rsidR="002C1123" w:rsidRDefault="00F22F94">
      <w:pPr>
        <w:pStyle w:val="BodyText"/>
        <w:spacing w:before="95" w:line="249" w:lineRule="auto"/>
        <w:ind w:left="492"/>
      </w:pPr>
      <w:r>
        <w:t>Section</w:t>
      </w:r>
      <w:r>
        <w:rPr>
          <w:spacing w:val="-11"/>
        </w:rPr>
        <w:t xml:space="preserve"> </w:t>
      </w:r>
      <w:r>
        <w:t>5</w:t>
      </w:r>
      <w:r>
        <w:rPr>
          <w:spacing w:val="-11"/>
        </w:rPr>
        <w:t xml:space="preserve"> </w:t>
      </w:r>
      <w:r>
        <w:t>highlights</w:t>
      </w:r>
      <w:r>
        <w:rPr>
          <w:spacing w:val="-11"/>
        </w:rPr>
        <w:t xml:space="preserve"> </w:t>
      </w:r>
      <w:r>
        <w:t>the</w:t>
      </w:r>
      <w:r>
        <w:rPr>
          <w:spacing w:val="-11"/>
        </w:rPr>
        <w:t xml:space="preserve"> </w:t>
      </w:r>
      <w:r>
        <w:t>importance</w:t>
      </w:r>
      <w:r>
        <w:rPr>
          <w:spacing w:val="-11"/>
        </w:rPr>
        <w:t xml:space="preserve"> </w:t>
      </w:r>
      <w:r>
        <w:t>of</w:t>
      </w:r>
      <w:r>
        <w:rPr>
          <w:spacing w:val="-11"/>
        </w:rPr>
        <w:t xml:space="preserve"> </w:t>
      </w:r>
      <w:r>
        <w:t xml:space="preserve">connecting </w:t>
      </w:r>
      <w:r>
        <w:rPr>
          <w:w w:val="95"/>
        </w:rPr>
        <w:t>regional</w:t>
      </w:r>
      <w:r>
        <w:rPr>
          <w:spacing w:val="-5"/>
          <w:w w:val="95"/>
        </w:rPr>
        <w:t xml:space="preserve"> </w:t>
      </w:r>
      <w:r>
        <w:rPr>
          <w:w w:val="95"/>
        </w:rPr>
        <w:t>areas</w:t>
      </w:r>
      <w:r>
        <w:rPr>
          <w:spacing w:val="-5"/>
          <w:w w:val="95"/>
        </w:rPr>
        <w:t xml:space="preserve"> </w:t>
      </w:r>
      <w:r>
        <w:rPr>
          <w:w w:val="95"/>
        </w:rPr>
        <w:t>to</w:t>
      </w:r>
      <w:r>
        <w:rPr>
          <w:spacing w:val="-5"/>
          <w:w w:val="95"/>
        </w:rPr>
        <w:t xml:space="preserve"> </w:t>
      </w:r>
      <w:r>
        <w:rPr>
          <w:w w:val="95"/>
        </w:rPr>
        <w:t>Sydney,</w:t>
      </w:r>
      <w:r>
        <w:rPr>
          <w:spacing w:val="-5"/>
          <w:w w:val="95"/>
        </w:rPr>
        <w:t xml:space="preserve"> </w:t>
      </w:r>
      <w:r>
        <w:rPr>
          <w:w w:val="95"/>
        </w:rPr>
        <w:t>particularly</w:t>
      </w:r>
      <w:r>
        <w:rPr>
          <w:spacing w:val="-5"/>
          <w:w w:val="95"/>
        </w:rPr>
        <w:t xml:space="preserve"> </w:t>
      </w:r>
      <w:r>
        <w:rPr>
          <w:w w:val="95"/>
        </w:rPr>
        <w:t>those</w:t>
      </w:r>
      <w:r>
        <w:rPr>
          <w:spacing w:val="-5"/>
          <w:w w:val="95"/>
        </w:rPr>
        <w:t xml:space="preserve"> </w:t>
      </w:r>
      <w:r>
        <w:rPr>
          <w:w w:val="95"/>
        </w:rPr>
        <w:t>proximate</w:t>
      </w:r>
      <w:r>
        <w:rPr>
          <w:spacing w:val="-5"/>
          <w:w w:val="95"/>
        </w:rPr>
        <w:t xml:space="preserve"> </w:t>
      </w:r>
      <w:r>
        <w:rPr>
          <w:w w:val="95"/>
        </w:rPr>
        <w:t xml:space="preserve">to </w:t>
      </w:r>
      <w:r>
        <w:rPr>
          <w:spacing w:val="-2"/>
          <w:w w:val="95"/>
        </w:rPr>
        <w:t>the</w:t>
      </w:r>
      <w:r>
        <w:rPr>
          <w:spacing w:val="-5"/>
          <w:w w:val="95"/>
        </w:rPr>
        <w:t xml:space="preserve"> </w:t>
      </w:r>
      <w:r>
        <w:rPr>
          <w:spacing w:val="-2"/>
          <w:w w:val="95"/>
        </w:rPr>
        <w:t>metropolitan</w:t>
      </w:r>
      <w:r>
        <w:rPr>
          <w:spacing w:val="-5"/>
          <w:w w:val="95"/>
        </w:rPr>
        <w:t xml:space="preserve"> </w:t>
      </w:r>
      <w:r>
        <w:rPr>
          <w:spacing w:val="-2"/>
          <w:w w:val="95"/>
        </w:rPr>
        <w:t>area.</w:t>
      </w:r>
      <w:r>
        <w:rPr>
          <w:spacing w:val="-5"/>
          <w:w w:val="95"/>
        </w:rPr>
        <w:t xml:space="preserve"> </w:t>
      </w:r>
      <w:r>
        <w:rPr>
          <w:spacing w:val="-2"/>
          <w:w w:val="95"/>
        </w:rPr>
        <w:t>Already,</w:t>
      </w:r>
      <w:r>
        <w:rPr>
          <w:spacing w:val="-5"/>
          <w:w w:val="95"/>
        </w:rPr>
        <w:t xml:space="preserve"> </w:t>
      </w:r>
      <w:r>
        <w:rPr>
          <w:spacing w:val="-2"/>
          <w:w w:val="95"/>
        </w:rPr>
        <w:t>17</w:t>
      </w:r>
      <w:r>
        <w:rPr>
          <w:spacing w:val="-5"/>
          <w:w w:val="95"/>
        </w:rPr>
        <w:t xml:space="preserve"> </w:t>
      </w:r>
      <w:r>
        <w:rPr>
          <w:spacing w:val="-2"/>
          <w:w w:val="95"/>
        </w:rPr>
        <w:t>percent</w:t>
      </w:r>
      <w:r>
        <w:rPr>
          <w:spacing w:val="-5"/>
          <w:w w:val="95"/>
        </w:rPr>
        <w:t xml:space="preserve"> </w:t>
      </w:r>
      <w:r>
        <w:rPr>
          <w:spacing w:val="-2"/>
          <w:w w:val="95"/>
        </w:rPr>
        <w:t>of</w:t>
      </w:r>
      <w:r>
        <w:rPr>
          <w:spacing w:val="-5"/>
          <w:w w:val="95"/>
        </w:rPr>
        <w:t xml:space="preserve"> </w:t>
      </w:r>
      <w:r>
        <w:rPr>
          <w:spacing w:val="-2"/>
          <w:w w:val="95"/>
        </w:rPr>
        <w:t>the</w:t>
      </w:r>
      <w:r>
        <w:rPr>
          <w:spacing w:val="-5"/>
          <w:w w:val="95"/>
        </w:rPr>
        <w:t xml:space="preserve"> </w:t>
      </w:r>
      <w:r>
        <w:rPr>
          <w:spacing w:val="-2"/>
          <w:w w:val="95"/>
        </w:rPr>
        <w:t xml:space="preserve">Illawarra </w:t>
      </w:r>
      <w:r>
        <w:t>workforce</w:t>
      </w:r>
      <w:r>
        <w:rPr>
          <w:spacing w:val="-14"/>
        </w:rPr>
        <w:t xml:space="preserve"> </w:t>
      </w:r>
      <w:r>
        <w:t>travel</w:t>
      </w:r>
      <w:r>
        <w:rPr>
          <w:spacing w:val="-14"/>
        </w:rPr>
        <w:t xml:space="preserve"> </w:t>
      </w:r>
      <w:r>
        <w:t>to</w:t>
      </w:r>
      <w:r>
        <w:rPr>
          <w:spacing w:val="-14"/>
        </w:rPr>
        <w:t xml:space="preserve"> </w:t>
      </w:r>
      <w:r>
        <w:t>Sydney</w:t>
      </w:r>
      <w:r>
        <w:rPr>
          <w:spacing w:val="-14"/>
        </w:rPr>
        <w:t xml:space="preserve"> </w:t>
      </w:r>
      <w:r>
        <w:t>for</w:t>
      </w:r>
      <w:r>
        <w:rPr>
          <w:spacing w:val="-14"/>
        </w:rPr>
        <w:t xml:space="preserve"> </w:t>
      </w:r>
      <w:r>
        <w:t>work</w:t>
      </w:r>
      <w:r>
        <w:rPr>
          <w:spacing w:val="-14"/>
        </w:rPr>
        <w:t xml:space="preserve"> </w:t>
      </w:r>
      <w:r>
        <w:t>each</w:t>
      </w:r>
      <w:r>
        <w:rPr>
          <w:spacing w:val="-14"/>
        </w:rPr>
        <w:t xml:space="preserve"> </w:t>
      </w:r>
      <w:r>
        <w:t>weekday</w:t>
      </w:r>
      <w:r>
        <w:rPr>
          <w:spacing w:val="-37"/>
        </w:rPr>
        <w:t xml:space="preserve"> </w:t>
      </w:r>
      <w:r>
        <w:rPr>
          <w:position w:val="7"/>
          <w:sz w:val="11"/>
        </w:rPr>
        <w:t>6</w:t>
      </w:r>
      <w:r>
        <w:t>.</w:t>
      </w:r>
    </w:p>
    <w:p w:rsidR="002C1123" w:rsidRDefault="00F22F94">
      <w:pPr>
        <w:pStyle w:val="BodyText"/>
        <w:spacing w:before="145" w:line="249" w:lineRule="auto"/>
        <w:ind w:left="492"/>
      </w:pPr>
      <w:r>
        <w:t>The</w:t>
      </w:r>
      <w:r>
        <w:rPr>
          <w:spacing w:val="-9"/>
        </w:rPr>
        <w:t xml:space="preserve"> </w:t>
      </w:r>
      <w:r>
        <w:t>Grattan</w:t>
      </w:r>
      <w:r>
        <w:rPr>
          <w:spacing w:val="-9"/>
        </w:rPr>
        <w:t xml:space="preserve"> </w:t>
      </w:r>
      <w:r>
        <w:t>Institute</w:t>
      </w:r>
      <w:r>
        <w:rPr>
          <w:spacing w:val="-9"/>
        </w:rPr>
        <w:t xml:space="preserve"> </w:t>
      </w:r>
      <w:r>
        <w:t>has</w:t>
      </w:r>
      <w:r>
        <w:rPr>
          <w:spacing w:val="-9"/>
        </w:rPr>
        <w:t xml:space="preserve"> </w:t>
      </w:r>
      <w:r>
        <w:t>shown</w:t>
      </w:r>
      <w:r>
        <w:rPr>
          <w:spacing w:val="-9"/>
        </w:rPr>
        <w:t xml:space="preserve"> </w:t>
      </w:r>
      <w:r>
        <w:t>how</w:t>
      </w:r>
      <w:r>
        <w:rPr>
          <w:spacing w:val="-9"/>
        </w:rPr>
        <w:t xml:space="preserve"> </w:t>
      </w:r>
      <w:r>
        <w:t xml:space="preserve">improved </w:t>
      </w:r>
      <w:r>
        <w:rPr>
          <w:w w:val="95"/>
        </w:rPr>
        <w:t xml:space="preserve">connectivity can improve economic outcomes for both </w:t>
      </w:r>
      <w:r>
        <w:rPr>
          <w:spacing w:val="-2"/>
        </w:rPr>
        <w:t>State</w:t>
      </w:r>
      <w:r>
        <w:rPr>
          <w:spacing w:val="-8"/>
        </w:rPr>
        <w:t xml:space="preserve"> </w:t>
      </w:r>
      <w:r>
        <w:rPr>
          <w:spacing w:val="-2"/>
        </w:rPr>
        <w:t>capitals</w:t>
      </w:r>
      <w:r>
        <w:rPr>
          <w:spacing w:val="-8"/>
        </w:rPr>
        <w:t xml:space="preserve"> </w:t>
      </w:r>
      <w:r>
        <w:rPr>
          <w:spacing w:val="-2"/>
        </w:rPr>
        <w:t>and</w:t>
      </w:r>
      <w:r>
        <w:rPr>
          <w:spacing w:val="-8"/>
        </w:rPr>
        <w:t xml:space="preserve"> </w:t>
      </w:r>
      <w:r>
        <w:rPr>
          <w:spacing w:val="-2"/>
        </w:rPr>
        <w:t>their</w:t>
      </w:r>
      <w:r>
        <w:rPr>
          <w:spacing w:val="-8"/>
        </w:rPr>
        <w:t xml:space="preserve"> </w:t>
      </w:r>
      <w:r>
        <w:rPr>
          <w:spacing w:val="-2"/>
        </w:rPr>
        <w:t>satellite</w:t>
      </w:r>
      <w:r>
        <w:rPr>
          <w:spacing w:val="-8"/>
        </w:rPr>
        <w:t xml:space="preserve"> </w:t>
      </w:r>
      <w:r>
        <w:rPr>
          <w:spacing w:val="-2"/>
        </w:rPr>
        <w:t>areas</w:t>
      </w:r>
      <w:r>
        <w:rPr>
          <w:spacing w:val="-2"/>
          <w:position w:val="7"/>
          <w:sz w:val="11"/>
        </w:rPr>
        <w:t>7</w:t>
      </w:r>
      <w:r>
        <w:rPr>
          <w:spacing w:val="-2"/>
        </w:rPr>
        <w:t>.</w:t>
      </w:r>
      <w:r>
        <w:rPr>
          <w:spacing w:val="-8"/>
        </w:rPr>
        <w:t xml:space="preserve"> </w:t>
      </w:r>
      <w:r>
        <w:rPr>
          <w:spacing w:val="-2"/>
        </w:rPr>
        <w:t>For</w:t>
      </w:r>
      <w:r>
        <w:rPr>
          <w:spacing w:val="-8"/>
        </w:rPr>
        <w:t xml:space="preserve"> </w:t>
      </w:r>
      <w:r>
        <w:rPr>
          <w:spacing w:val="-2"/>
        </w:rPr>
        <w:t xml:space="preserve">example, </w:t>
      </w:r>
      <w:r>
        <w:t>Ballarat</w:t>
      </w:r>
      <w:r>
        <w:rPr>
          <w:spacing w:val="-14"/>
        </w:rPr>
        <w:t xml:space="preserve"> </w:t>
      </w:r>
      <w:r>
        <w:t>in</w:t>
      </w:r>
      <w:r>
        <w:rPr>
          <w:spacing w:val="-14"/>
        </w:rPr>
        <w:t xml:space="preserve"> </w:t>
      </w:r>
      <w:r>
        <w:t>Victoria</w:t>
      </w:r>
      <w:r>
        <w:rPr>
          <w:spacing w:val="-14"/>
        </w:rPr>
        <w:t xml:space="preserve"> </w:t>
      </w:r>
      <w:r>
        <w:t>has</w:t>
      </w:r>
      <w:r>
        <w:rPr>
          <w:spacing w:val="-14"/>
        </w:rPr>
        <w:t xml:space="preserve"> </w:t>
      </w:r>
      <w:r>
        <w:t>benefited</w:t>
      </w:r>
      <w:r>
        <w:rPr>
          <w:spacing w:val="-14"/>
        </w:rPr>
        <w:t xml:space="preserve"> </w:t>
      </w:r>
      <w:r>
        <w:t>by</w:t>
      </w:r>
      <w:r>
        <w:rPr>
          <w:spacing w:val="-14"/>
        </w:rPr>
        <w:t xml:space="preserve"> </w:t>
      </w:r>
      <w:r>
        <w:t>investments</w:t>
      </w:r>
      <w:r>
        <w:rPr>
          <w:spacing w:val="-14"/>
        </w:rPr>
        <w:t xml:space="preserve"> </w:t>
      </w:r>
      <w:r>
        <w:t xml:space="preserve">to </w:t>
      </w:r>
      <w:r>
        <w:rPr>
          <w:w w:val="95"/>
        </w:rPr>
        <w:t>improve</w:t>
      </w:r>
      <w:r>
        <w:rPr>
          <w:spacing w:val="-7"/>
          <w:w w:val="95"/>
        </w:rPr>
        <w:t xml:space="preserve"> </w:t>
      </w:r>
      <w:r>
        <w:rPr>
          <w:w w:val="95"/>
        </w:rPr>
        <w:t>its</w:t>
      </w:r>
      <w:r>
        <w:rPr>
          <w:spacing w:val="-7"/>
          <w:w w:val="95"/>
        </w:rPr>
        <w:t xml:space="preserve"> </w:t>
      </w:r>
      <w:r>
        <w:rPr>
          <w:w w:val="95"/>
        </w:rPr>
        <w:t>road</w:t>
      </w:r>
      <w:r>
        <w:rPr>
          <w:spacing w:val="-7"/>
          <w:w w:val="95"/>
        </w:rPr>
        <w:t xml:space="preserve"> </w:t>
      </w:r>
      <w:r>
        <w:rPr>
          <w:w w:val="95"/>
        </w:rPr>
        <w:t>and</w:t>
      </w:r>
      <w:r>
        <w:rPr>
          <w:spacing w:val="-7"/>
          <w:w w:val="95"/>
        </w:rPr>
        <w:t xml:space="preserve"> </w:t>
      </w:r>
      <w:r>
        <w:rPr>
          <w:w w:val="95"/>
        </w:rPr>
        <w:t>rail</w:t>
      </w:r>
      <w:r>
        <w:rPr>
          <w:spacing w:val="-7"/>
          <w:w w:val="95"/>
        </w:rPr>
        <w:t xml:space="preserve"> </w:t>
      </w:r>
      <w:r>
        <w:rPr>
          <w:w w:val="95"/>
        </w:rPr>
        <w:t>links</w:t>
      </w:r>
      <w:r>
        <w:rPr>
          <w:spacing w:val="-7"/>
          <w:w w:val="95"/>
        </w:rPr>
        <w:t xml:space="preserve"> </w:t>
      </w:r>
      <w:r>
        <w:rPr>
          <w:w w:val="95"/>
        </w:rPr>
        <w:t>to</w:t>
      </w:r>
      <w:r>
        <w:rPr>
          <w:spacing w:val="-7"/>
          <w:w w:val="95"/>
        </w:rPr>
        <w:t xml:space="preserve"> </w:t>
      </w:r>
      <w:r>
        <w:rPr>
          <w:w w:val="95"/>
        </w:rPr>
        <w:t>Melbourne,</w:t>
      </w:r>
      <w:r>
        <w:rPr>
          <w:spacing w:val="-7"/>
          <w:w w:val="95"/>
        </w:rPr>
        <w:t xml:space="preserve"> </w:t>
      </w:r>
      <w:r>
        <w:rPr>
          <w:w w:val="95"/>
        </w:rPr>
        <w:t>and</w:t>
      </w:r>
      <w:r>
        <w:rPr>
          <w:spacing w:val="-7"/>
          <w:w w:val="95"/>
        </w:rPr>
        <w:t xml:space="preserve"> </w:t>
      </w:r>
      <w:r>
        <w:rPr>
          <w:w w:val="95"/>
        </w:rPr>
        <w:t>is</w:t>
      </w:r>
      <w:r>
        <w:rPr>
          <w:spacing w:val="-7"/>
          <w:w w:val="95"/>
        </w:rPr>
        <w:t xml:space="preserve"> </w:t>
      </w:r>
      <w:r>
        <w:rPr>
          <w:w w:val="95"/>
        </w:rPr>
        <w:t xml:space="preserve">now </w:t>
      </w:r>
      <w:r>
        <w:t>one</w:t>
      </w:r>
      <w:r>
        <w:rPr>
          <w:spacing w:val="-12"/>
        </w:rPr>
        <w:t xml:space="preserve"> </w:t>
      </w:r>
      <w:r>
        <w:t>of</w:t>
      </w:r>
      <w:r>
        <w:rPr>
          <w:spacing w:val="-12"/>
        </w:rPr>
        <w:t xml:space="preserve"> </w:t>
      </w:r>
      <w:r>
        <w:t>the</w:t>
      </w:r>
      <w:r>
        <w:rPr>
          <w:spacing w:val="-12"/>
        </w:rPr>
        <w:t xml:space="preserve"> </w:t>
      </w:r>
      <w:r>
        <w:t>fastest</w:t>
      </w:r>
      <w:r>
        <w:rPr>
          <w:spacing w:val="-12"/>
        </w:rPr>
        <w:t xml:space="preserve"> </w:t>
      </w:r>
      <w:r>
        <w:t>growing</w:t>
      </w:r>
      <w:r>
        <w:rPr>
          <w:spacing w:val="-12"/>
        </w:rPr>
        <w:t xml:space="preserve"> </w:t>
      </w:r>
      <w:r>
        <w:t>areas</w:t>
      </w:r>
      <w:r>
        <w:rPr>
          <w:spacing w:val="-12"/>
        </w:rPr>
        <w:t xml:space="preserve"> </w:t>
      </w:r>
      <w:r>
        <w:t>in</w:t>
      </w:r>
      <w:r>
        <w:rPr>
          <w:spacing w:val="-12"/>
        </w:rPr>
        <w:t xml:space="preserve"> </w:t>
      </w:r>
      <w:r>
        <w:t>Victoria.</w:t>
      </w:r>
    </w:p>
    <w:p w:rsidR="002C1123" w:rsidRDefault="00F22F94">
      <w:pPr>
        <w:pStyle w:val="BodyText"/>
        <w:spacing w:before="147" w:line="249" w:lineRule="auto"/>
        <w:ind w:left="492"/>
      </w:pPr>
      <w:r>
        <w:rPr>
          <w:w w:val="95"/>
        </w:rPr>
        <w:t>The</w:t>
      </w:r>
      <w:r>
        <w:rPr>
          <w:spacing w:val="-3"/>
          <w:w w:val="95"/>
        </w:rPr>
        <w:t xml:space="preserve"> </w:t>
      </w:r>
      <w:r>
        <w:rPr>
          <w:w w:val="95"/>
        </w:rPr>
        <w:t>Illawarra</w:t>
      </w:r>
      <w:r>
        <w:rPr>
          <w:spacing w:val="-3"/>
          <w:w w:val="95"/>
        </w:rPr>
        <w:t xml:space="preserve"> </w:t>
      </w:r>
      <w:r>
        <w:rPr>
          <w:w w:val="95"/>
        </w:rPr>
        <w:t>and</w:t>
      </w:r>
      <w:r>
        <w:rPr>
          <w:spacing w:val="-3"/>
          <w:w w:val="95"/>
        </w:rPr>
        <w:t xml:space="preserve"> </w:t>
      </w:r>
      <w:r>
        <w:rPr>
          <w:w w:val="95"/>
        </w:rPr>
        <w:t>lower</w:t>
      </w:r>
      <w:r>
        <w:rPr>
          <w:spacing w:val="-3"/>
          <w:w w:val="95"/>
        </w:rPr>
        <w:t xml:space="preserve"> </w:t>
      </w:r>
      <w:r>
        <w:rPr>
          <w:w w:val="95"/>
        </w:rPr>
        <w:t>Hunter</w:t>
      </w:r>
      <w:r>
        <w:rPr>
          <w:spacing w:val="-3"/>
          <w:w w:val="95"/>
        </w:rPr>
        <w:t xml:space="preserve"> </w:t>
      </w:r>
      <w:r>
        <w:rPr>
          <w:w w:val="95"/>
        </w:rPr>
        <w:t>regions</w:t>
      </w:r>
      <w:r>
        <w:rPr>
          <w:spacing w:val="-3"/>
          <w:w w:val="95"/>
        </w:rPr>
        <w:t xml:space="preserve"> </w:t>
      </w:r>
      <w:r>
        <w:rPr>
          <w:w w:val="95"/>
        </w:rPr>
        <w:t>are</w:t>
      </w:r>
      <w:r>
        <w:rPr>
          <w:spacing w:val="-3"/>
          <w:w w:val="95"/>
        </w:rPr>
        <w:t xml:space="preserve"> </w:t>
      </w:r>
      <w:r>
        <w:rPr>
          <w:w w:val="95"/>
        </w:rPr>
        <w:t>blessed</w:t>
      </w:r>
      <w:r>
        <w:rPr>
          <w:spacing w:val="-3"/>
          <w:w w:val="95"/>
        </w:rPr>
        <w:t xml:space="preserve"> </w:t>
      </w:r>
      <w:r>
        <w:rPr>
          <w:w w:val="95"/>
        </w:rPr>
        <w:t>by natural</w:t>
      </w:r>
      <w:r>
        <w:rPr>
          <w:spacing w:val="-7"/>
          <w:w w:val="95"/>
        </w:rPr>
        <w:t xml:space="preserve"> </w:t>
      </w:r>
      <w:r>
        <w:rPr>
          <w:w w:val="95"/>
        </w:rPr>
        <w:t>beauty</w:t>
      </w:r>
      <w:r>
        <w:rPr>
          <w:spacing w:val="-7"/>
          <w:w w:val="95"/>
        </w:rPr>
        <w:t xml:space="preserve"> </w:t>
      </w:r>
      <w:r>
        <w:rPr>
          <w:w w:val="95"/>
        </w:rPr>
        <w:t>that</w:t>
      </w:r>
      <w:r>
        <w:rPr>
          <w:spacing w:val="-7"/>
          <w:w w:val="95"/>
        </w:rPr>
        <w:t xml:space="preserve"> </w:t>
      </w:r>
      <w:r>
        <w:rPr>
          <w:w w:val="95"/>
        </w:rPr>
        <w:t>make</w:t>
      </w:r>
      <w:r>
        <w:rPr>
          <w:spacing w:val="-7"/>
          <w:w w:val="95"/>
        </w:rPr>
        <w:t xml:space="preserve"> </w:t>
      </w:r>
      <w:r>
        <w:rPr>
          <w:w w:val="95"/>
        </w:rPr>
        <w:t>them</w:t>
      </w:r>
      <w:r>
        <w:rPr>
          <w:spacing w:val="-7"/>
          <w:w w:val="95"/>
        </w:rPr>
        <w:t xml:space="preserve"> </w:t>
      </w:r>
      <w:r>
        <w:rPr>
          <w:w w:val="95"/>
        </w:rPr>
        <w:t>attractive</w:t>
      </w:r>
      <w:r>
        <w:rPr>
          <w:spacing w:val="-7"/>
          <w:w w:val="95"/>
        </w:rPr>
        <w:t xml:space="preserve"> </w:t>
      </w:r>
      <w:r>
        <w:rPr>
          <w:w w:val="95"/>
        </w:rPr>
        <w:t>places</w:t>
      </w:r>
      <w:r>
        <w:rPr>
          <w:spacing w:val="-7"/>
          <w:w w:val="95"/>
        </w:rPr>
        <w:t xml:space="preserve"> </w:t>
      </w:r>
      <w:r>
        <w:rPr>
          <w:w w:val="95"/>
        </w:rPr>
        <w:t>to</w:t>
      </w:r>
      <w:r>
        <w:rPr>
          <w:spacing w:val="-7"/>
          <w:w w:val="95"/>
        </w:rPr>
        <w:t xml:space="preserve"> </w:t>
      </w:r>
      <w:r>
        <w:rPr>
          <w:w w:val="95"/>
        </w:rPr>
        <w:t>live.</w:t>
      </w:r>
    </w:p>
    <w:p w:rsidR="002C1123" w:rsidRDefault="00F22F94">
      <w:pPr>
        <w:pStyle w:val="BodyText"/>
        <w:spacing w:before="143" w:line="249" w:lineRule="auto"/>
        <w:ind w:left="492"/>
      </w:pPr>
      <w:r>
        <w:rPr>
          <w:w w:val="95"/>
        </w:rPr>
        <w:t>At</w:t>
      </w:r>
      <w:r>
        <w:rPr>
          <w:spacing w:val="-9"/>
          <w:w w:val="95"/>
        </w:rPr>
        <w:t xml:space="preserve"> </w:t>
      </w:r>
      <w:r>
        <w:rPr>
          <w:w w:val="95"/>
        </w:rPr>
        <w:t>present,</w:t>
      </w:r>
      <w:r>
        <w:rPr>
          <w:spacing w:val="-9"/>
          <w:w w:val="95"/>
        </w:rPr>
        <w:t xml:space="preserve"> </w:t>
      </w:r>
      <w:r>
        <w:rPr>
          <w:w w:val="95"/>
        </w:rPr>
        <w:t>80</w:t>
      </w:r>
      <w:r>
        <w:rPr>
          <w:spacing w:val="-9"/>
          <w:w w:val="95"/>
        </w:rPr>
        <w:t xml:space="preserve"> </w:t>
      </w:r>
      <w:r>
        <w:rPr>
          <w:w w:val="95"/>
        </w:rPr>
        <w:t>percent</w:t>
      </w:r>
      <w:r>
        <w:rPr>
          <w:spacing w:val="-9"/>
          <w:w w:val="95"/>
        </w:rPr>
        <w:t xml:space="preserve"> </w:t>
      </w:r>
      <w:r>
        <w:rPr>
          <w:w w:val="95"/>
        </w:rPr>
        <w:t>of</w:t>
      </w:r>
      <w:r>
        <w:rPr>
          <w:spacing w:val="-9"/>
          <w:w w:val="95"/>
        </w:rPr>
        <w:t xml:space="preserve"> </w:t>
      </w:r>
      <w:r>
        <w:rPr>
          <w:w w:val="95"/>
        </w:rPr>
        <w:t>journeys</w:t>
      </w:r>
      <w:r>
        <w:rPr>
          <w:spacing w:val="-9"/>
          <w:w w:val="95"/>
        </w:rPr>
        <w:t xml:space="preserve"> </w:t>
      </w:r>
      <w:r>
        <w:rPr>
          <w:w w:val="95"/>
        </w:rPr>
        <w:t>from</w:t>
      </w:r>
      <w:r>
        <w:rPr>
          <w:spacing w:val="-9"/>
          <w:w w:val="95"/>
        </w:rPr>
        <w:t xml:space="preserve"> </w:t>
      </w:r>
      <w:r>
        <w:rPr>
          <w:w w:val="95"/>
        </w:rPr>
        <w:t>the</w:t>
      </w:r>
      <w:r>
        <w:rPr>
          <w:spacing w:val="-9"/>
          <w:w w:val="95"/>
        </w:rPr>
        <w:t xml:space="preserve"> </w:t>
      </w:r>
      <w:r>
        <w:rPr>
          <w:w w:val="95"/>
        </w:rPr>
        <w:t>Illawarra</w:t>
      </w:r>
      <w:r>
        <w:rPr>
          <w:spacing w:val="-9"/>
          <w:w w:val="95"/>
        </w:rPr>
        <w:t xml:space="preserve"> </w:t>
      </w:r>
      <w:r>
        <w:rPr>
          <w:w w:val="95"/>
        </w:rPr>
        <w:t xml:space="preserve">are </w:t>
      </w:r>
      <w:r>
        <w:t>by</w:t>
      </w:r>
      <w:r>
        <w:rPr>
          <w:spacing w:val="-11"/>
        </w:rPr>
        <w:t xml:space="preserve"> </w:t>
      </w:r>
      <w:r>
        <w:t>car</w:t>
      </w:r>
      <w:r>
        <w:rPr>
          <w:spacing w:val="-34"/>
        </w:rPr>
        <w:t xml:space="preserve"> </w:t>
      </w:r>
      <w:r>
        <w:rPr>
          <w:position w:val="7"/>
          <w:sz w:val="11"/>
        </w:rPr>
        <w:t>8</w:t>
      </w:r>
      <w:r>
        <w:t>.</w:t>
      </w:r>
      <w:r>
        <w:rPr>
          <w:spacing w:val="-11"/>
        </w:rPr>
        <w:t xml:space="preserve"> </w:t>
      </w:r>
      <w:r>
        <w:t>The</w:t>
      </w:r>
      <w:r>
        <w:rPr>
          <w:spacing w:val="-11"/>
        </w:rPr>
        <w:t xml:space="preserve"> </w:t>
      </w:r>
      <w:r>
        <w:t>area</w:t>
      </w:r>
      <w:r>
        <w:rPr>
          <w:spacing w:val="-11"/>
        </w:rPr>
        <w:t xml:space="preserve"> </w:t>
      </w:r>
      <w:r>
        <w:t>will</w:t>
      </w:r>
      <w:r>
        <w:rPr>
          <w:spacing w:val="-11"/>
        </w:rPr>
        <w:t xml:space="preserve"> </w:t>
      </w:r>
      <w:r>
        <w:t>also</w:t>
      </w:r>
      <w:r>
        <w:rPr>
          <w:spacing w:val="-11"/>
        </w:rPr>
        <w:t xml:space="preserve"> </w:t>
      </w:r>
      <w:r>
        <w:t>benefit</w:t>
      </w:r>
      <w:r>
        <w:rPr>
          <w:spacing w:val="-11"/>
        </w:rPr>
        <w:t xml:space="preserve"> </w:t>
      </w:r>
      <w:r>
        <w:t>from</w:t>
      </w:r>
      <w:r>
        <w:rPr>
          <w:spacing w:val="-12"/>
        </w:rPr>
        <w:t xml:space="preserve"> </w:t>
      </w:r>
      <w:r>
        <w:t>the</w:t>
      </w:r>
      <w:r>
        <w:rPr>
          <w:spacing w:val="-11"/>
        </w:rPr>
        <w:t xml:space="preserve"> </w:t>
      </w:r>
      <w:r>
        <w:t>proposed extension</w:t>
      </w:r>
      <w:r>
        <w:rPr>
          <w:spacing w:val="-8"/>
        </w:rPr>
        <w:t xml:space="preserve"> </w:t>
      </w:r>
      <w:r>
        <w:t>of</w:t>
      </w:r>
      <w:r>
        <w:rPr>
          <w:spacing w:val="-8"/>
        </w:rPr>
        <w:t xml:space="preserve"> </w:t>
      </w:r>
      <w:r>
        <w:t>the</w:t>
      </w:r>
      <w:r>
        <w:rPr>
          <w:spacing w:val="-8"/>
        </w:rPr>
        <w:t xml:space="preserve"> </w:t>
      </w:r>
      <w:r>
        <w:t>F6</w:t>
      </w:r>
      <w:r>
        <w:rPr>
          <w:spacing w:val="-8"/>
        </w:rPr>
        <w:t xml:space="preserve"> </w:t>
      </w:r>
      <w:r>
        <w:t>recommended</w:t>
      </w:r>
      <w:r>
        <w:rPr>
          <w:spacing w:val="-8"/>
        </w:rPr>
        <w:t xml:space="preserve"> </w:t>
      </w:r>
      <w:r>
        <w:t>in</w:t>
      </w:r>
      <w:r>
        <w:rPr>
          <w:spacing w:val="-8"/>
        </w:rPr>
        <w:t xml:space="preserve"> </w:t>
      </w:r>
      <w:r>
        <w:t>Section</w:t>
      </w:r>
      <w:r>
        <w:rPr>
          <w:spacing w:val="-8"/>
        </w:rPr>
        <w:t xml:space="preserve"> </w:t>
      </w:r>
      <w:r>
        <w:t>6, particularly</w:t>
      </w:r>
      <w:r>
        <w:rPr>
          <w:spacing w:val="-14"/>
        </w:rPr>
        <w:t xml:space="preserve"> </w:t>
      </w:r>
      <w:r>
        <w:t>for</w:t>
      </w:r>
      <w:r>
        <w:rPr>
          <w:spacing w:val="-14"/>
        </w:rPr>
        <w:t xml:space="preserve"> </w:t>
      </w:r>
      <w:r>
        <w:t>journeys</w:t>
      </w:r>
      <w:r>
        <w:rPr>
          <w:spacing w:val="-14"/>
        </w:rPr>
        <w:t xml:space="preserve"> </w:t>
      </w:r>
      <w:r>
        <w:t>to</w:t>
      </w:r>
      <w:r>
        <w:rPr>
          <w:spacing w:val="-14"/>
        </w:rPr>
        <w:t xml:space="preserve"> </w:t>
      </w:r>
      <w:r>
        <w:t>some</w:t>
      </w:r>
      <w:r>
        <w:rPr>
          <w:spacing w:val="-14"/>
        </w:rPr>
        <w:t xml:space="preserve"> </w:t>
      </w:r>
      <w:r>
        <w:t>of</w:t>
      </w:r>
      <w:r>
        <w:rPr>
          <w:spacing w:val="-14"/>
        </w:rPr>
        <w:t xml:space="preserve"> </w:t>
      </w:r>
      <w:r>
        <w:t>Greater</w:t>
      </w:r>
      <w:r>
        <w:rPr>
          <w:spacing w:val="-14"/>
        </w:rPr>
        <w:t xml:space="preserve"> </w:t>
      </w:r>
      <w:r>
        <w:t>Sydney’s dispersed employment opportunities.</w:t>
      </w:r>
    </w:p>
    <w:p w:rsidR="002C1123" w:rsidRDefault="002C1123">
      <w:pPr>
        <w:pStyle w:val="BodyText"/>
      </w:pPr>
    </w:p>
    <w:p w:rsidR="002C1123" w:rsidRDefault="002C1123">
      <w:pPr>
        <w:pStyle w:val="BodyText"/>
      </w:pPr>
    </w:p>
    <w:p w:rsidR="002C1123" w:rsidRDefault="002060EF">
      <w:pPr>
        <w:pStyle w:val="BodyText"/>
        <w:spacing w:before="2"/>
        <w:rPr>
          <w:sz w:val="27"/>
        </w:rPr>
      </w:pPr>
      <w:r>
        <w:pict>
          <v:shape id="docshape1865" o:spid="_x0000_s3222" style="position:absolute;margin-left:49.6pt;margin-top:16.85pt;width:1in;height:.1pt;z-index:-251363328;mso-wrap-distance-left:0;mso-wrap-distance-right:0;mso-position-horizontal-relative:page" coordorigin="992,337" coordsize="1440,0" path="m992,337r1440,e" filled="f" strokecolor="#9c9c9d" strokeweight=".5pt">
            <v:path arrowok="t"/>
            <w10:wrap type="topAndBottom" anchorx="page"/>
          </v:shape>
        </w:pict>
      </w:r>
    </w:p>
    <w:p w:rsidR="002C1123" w:rsidRDefault="00F22F94">
      <w:pPr>
        <w:pStyle w:val="ListParagraph"/>
        <w:numPr>
          <w:ilvl w:val="0"/>
          <w:numId w:val="73"/>
        </w:numPr>
        <w:tabs>
          <w:tab w:val="left" w:pos="691"/>
        </w:tabs>
        <w:spacing w:before="23" w:line="161" w:lineRule="exact"/>
        <w:ind w:left="690"/>
        <w:jc w:val="left"/>
        <w:rPr>
          <w:sz w:val="14"/>
        </w:rPr>
      </w:pPr>
      <w:r>
        <w:rPr>
          <w:w w:val="95"/>
          <w:sz w:val="14"/>
        </w:rPr>
        <w:t>NSW</w:t>
      </w:r>
      <w:r>
        <w:rPr>
          <w:spacing w:val="-1"/>
          <w:w w:val="95"/>
          <w:sz w:val="14"/>
        </w:rPr>
        <w:t xml:space="preserve"> </w:t>
      </w:r>
      <w:r>
        <w:rPr>
          <w:w w:val="95"/>
          <w:sz w:val="14"/>
        </w:rPr>
        <w:t>Bureau</w:t>
      </w:r>
      <w:r>
        <w:rPr>
          <w:spacing w:val="-2"/>
          <w:sz w:val="14"/>
        </w:rPr>
        <w:t xml:space="preserve"> </w:t>
      </w:r>
      <w:r>
        <w:rPr>
          <w:w w:val="95"/>
          <w:sz w:val="14"/>
        </w:rPr>
        <w:t>of</w:t>
      </w:r>
      <w:r>
        <w:rPr>
          <w:spacing w:val="-2"/>
          <w:sz w:val="14"/>
        </w:rPr>
        <w:t xml:space="preserve"> </w:t>
      </w:r>
      <w:r>
        <w:rPr>
          <w:w w:val="95"/>
          <w:sz w:val="14"/>
        </w:rPr>
        <w:t>Transport</w:t>
      </w:r>
      <w:r>
        <w:rPr>
          <w:spacing w:val="-2"/>
          <w:sz w:val="14"/>
        </w:rPr>
        <w:t xml:space="preserve"> </w:t>
      </w:r>
      <w:r>
        <w:rPr>
          <w:w w:val="95"/>
          <w:sz w:val="14"/>
        </w:rPr>
        <w:t>Statistics</w:t>
      </w:r>
      <w:r>
        <w:rPr>
          <w:spacing w:val="-2"/>
          <w:sz w:val="14"/>
        </w:rPr>
        <w:t xml:space="preserve"> </w:t>
      </w:r>
      <w:r>
        <w:rPr>
          <w:w w:val="95"/>
          <w:sz w:val="14"/>
        </w:rPr>
        <w:t>2011,</w:t>
      </w:r>
      <w:r>
        <w:rPr>
          <w:spacing w:val="-2"/>
          <w:sz w:val="14"/>
        </w:rPr>
        <w:t xml:space="preserve"> </w:t>
      </w:r>
      <w:r>
        <w:rPr>
          <w:w w:val="95"/>
          <w:sz w:val="14"/>
        </w:rPr>
        <w:t>Journey</w:t>
      </w:r>
      <w:r>
        <w:rPr>
          <w:spacing w:val="-1"/>
          <w:w w:val="95"/>
          <w:sz w:val="14"/>
        </w:rPr>
        <w:t xml:space="preserve"> </w:t>
      </w:r>
      <w:r>
        <w:rPr>
          <w:w w:val="95"/>
          <w:sz w:val="14"/>
        </w:rPr>
        <w:t>to</w:t>
      </w:r>
      <w:r>
        <w:rPr>
          <w:spacing w:val="-2"/>
          <w:sz w:val="14"/>
        </w:rPr>
        <w:t xml:space="preserve"> </w:t>
      </w:r>
      <w:r>
        <w:rPr>
          <w:w w:val="95"/>
          <w:sz w:val="14"/>
        </w:rPr>
        <w:t>Work</w:t>
      </w:r>
      <w:r>
        <w:rPr>
          <w:spacing w:val="-2"/>
          <w:sz w:val="14"/>
        </w:rPr>
        <w:t xml:space="preserve"> </w:t>
      </w:r>
      <w:r>
        <w:rPr>
          <w:spacing w:val="-4"/>
          <w:w w:val="95"/>
          <w:sz w:val="14"/>
        </w:rPr>
        <w:t>data.</w:t>
      </w:r>
    </w:p>
    <w:p w:rsidR="002C1123" w:rsidRDefault="00F22F94">
      <w:pPr>
        <w:pStyle w:val="ListParagraph"/>
        <w:numPr>
          <w:ilvl w:val="0"/>
          <w:numId w:val="73"/>
        </w:numPr>
        <w:tabs>
          <w:tab w:val="left" w:pos="691"/>
        </w:tabs>
        <w:spacing w:line="160" w:lineRule="exact"/>
        <w:ind w:left="690"/>
        <w:jc w:val="left"/>
        <w:rPr>
          <w:sz w:val="14"/>
        </w:rPr>
      </w:pPr>
      <w:r>
        <w:rPr>
          <w:w w:val="95"/>
          <w:sz w:val="14"/>
        </w:rPr>
        <w:t>Grattan</w:t>
      </w:r>
      <w:r>
        <w:rPr>
          <w:spacing w:val="-3"/>
          <w:w w:val="95"/>
          <w:sz w:val="14"/>
        </w:rPr>
        <w:t xml:space="preserve"> </w:t>
      </w:r>
      <w:r>
        <w:rPr>
          <w:w w:val="95"/>
          <w:sz w:val="14"/>
        </w:rPr>
        <w:t>Institute</w:t>
      </w:r>
      <w:r>
        <w:rPr>
          <w:spacing w:val="-3"/>
          <w:w w:val="95"/>
          <w:sz w:val="14"/>
        </w:rPr>
        <w:t xml:space="preserve"> </w:t>
      </w:r>
      <w:r>
        <w:rPr>
          <w:w w:val="95"/>
          <w:sz w:val="14"/>
        </w:rPr>
        <w:t>2011,</w:t>
      </w:r>
      <w:r>
        <w:rPr>
          <w:spacing w:val="-2"/>
          <w:w w:val="95"/>
          <w:sz w:val="14"/>
        </w:rPr>
        <w:t xml:space="preserve"> </w:t>
      </w:r>
      <w:r>
        <w:rPr>
          <w:w w:val="95"/>
          <w:sz w:val="14"/>
        </w:rPr>
        <w:t>Investing</w:t>
      </w:r>
      <w:r>
        <w:rPr>
          <w:spacing w:val="-3"/>
          <w:w w:val="95"/>
          <w:sz w:val="14"/>
        </w:rPr>
        <w:t xml:space="preserve"> </w:t>
      </w:r>
      <w:r>
        <w:rPr>
          <w:w w:val="95"/>
          <w:sz w:val="14"/>
        </w:rPr>
        <w:t>in</w:t>
      </w:r>
      <w:r>
        <w:rPr>
          <w:spacing w:val="-3"/>
          <w:w w:val="95"/>
          <w:sz w:val="14"/>
        </w:rPr>
        <w:t xml:space="preserve"> </w:t>
      </w:r>
      <w:r>
        <w:rPr>
          <w:w w:val="95"/>
          <w:sz w:val="14"/>
        </w:rPr>
        <w:t>Regions:</w:t>
      </w:r>
      <w:r>
        <w:rPr>
          <w:spacing w:val="-2"/>
          <w:w w:val="95"/>
          <w:sz w:val="14"/>
        </w:rPr>
        <w:t xml:space="preserve"> </w:t>
      </w:r>
      <w:r>
        <w:rPr>
          <w:w w:val="95"/>
          <w:sz w:val="14"/>
        </w:rPr>
        <w:t>Making</w:t>
      </w:r>
      <w:r>
        <w:rPr>
          <w:spacing w:val="-3"/>
          <w:w w:val="95"/>
          <w:sz w:val="14"/>
        </w:rPr>
        <w:t xml:space="preserve"> </w:t>
      </w:r>
      <w:r>
        <w:rPr>
          <w:w w:val="95"/>
          <w:sz w:val="14"/>
        </w:rPr>
        <w:t>a</w:t>
      </w:r>
      <w:r>
        <w:rPr>
          <w:spacing w:val="-2"/>
          <w:w w:val="95"/>
          <w:sz w:val="14"/>
        </w:rPr>
        <w:t xml:space="preserve"> Difference.</w:t>
      </w:r>
    </w:p>
    <w:p w:rsidR="002C1123" w:rsidRDefault="00F22F94">
      <w:pPr>
        <w:pStyle w:val="ListParagraph"/>
        <w:numPr>
          <w:ilvl w:val="0"/>
          <w:numId w:val="73"/>
        </w:numPr>
        <w:tabs>
          <w:tab w:val="left" w:pos="691"/>
        </w:tabs>
        <w:spacing w:line="161" w:lineRule="exact"/>
        <w:ind w:left="690"/>
        <w:jc w:val="left"/>
        <w:rPr>
          <w:sz w:val="14"/>
        </w:rPr>
      </w:pPr>
      <w:r>
        <w:rPr>
          <w:w w:val="95"/>
          <w:sz w:val="14"/>
        </w:rPr>
        <w:t>NSW</w:t>
      </w:r>
      <w:r>
        <w:rPr>
          <w:spacing w:val="-1"/>
          <w:w w:val="95"/>
          <w:sz w:val="14"/>
        </w:rPr>
        <w:t xml:space="preserve"> </w:t>
      </w:r>
      <w:r>
        <w:rPr>
          <w:w w:val="95"/>
          <w:sz w:val="14"/>
        </w:rPr>
        <w:t>Bureau</w:t>
      </w:r>
      <w:r>
        <w:rPr>
          <w:spacing w:val="-2"/>
          <w:sz w:val="14"/>
        </w:rPr>
        <w:t xml:space="preserve"> </w:t>
      </w:r>
      <w:r>
        <w:rPr>
          <w:w w:val="95"/>
          <w:sz w:val="14"/>
        </w:rPr>
        <w:t>of</w:t>
      </w:r>
      <w:r>
        <w:rPr>
          <w:spacing w:val="-2"/>
          <w:sz w:val="14"/>
        </w:rPr>
        <w:t xml:space="preserve"> </w:t>
      </w:r>
      <w:r>
        <w:rPr>
          <w:w w:val="95"/>
          <w:sz w:val="14"/>
        </w:rPr>
        <w:t>Transport</w:t>
      </w:r>
      <w:r>
        <w:rPr>
          <w:spacing w:val="-2"/>
          <w:sz w:val="14"/>
        </w:rPr>
        <w:t xml:space="preserve"> </w:t>
      </w:r>
      <w:r>
        <w:rPr>
          <w:w w:val="95"/>
          <w:sz w:val="14"/>
        </w:rPr>
        <w:t>Statistics</w:t>
      </w:r>
      <w:r>
        <w:rPr>
          <w:spacing w:val="-2"/>
          <w:sz w:val="14"/>
        </w:rPr>
        <w:t xml:space="preserve"> </w:t>
      </w:r>
      <w:r>
        <w:rPr>
          <w:w w:val="95"/>
          <w:sz w:val="14"/>
        </w:rPr>
        <w:t>2011,</w:t>
      </w:r>
      <w:r>
        <w:rPr>
          <w:spacing w:val="-2"/>
          <w:sz w:val="14"/>
        </w:rPr>
        <w:t xml:space="preserve"> </w:t>
      </w:r>
      <w:r>
        <w:rPr>
          <w:w w:val="95"/>
          <w:sz w:val="14"/>
        </w:rPr>
        <w:t>Journey</w:t>
      </w:r>
      <w:r>
        <w:rPr>
          <w:spacing w:val="-1"/>
          <w:w w:val="95"/>
          <w:sz w:val="14"/>
        </w:rPr>
        <w:t xml:space="preserve"> </w:t>
      </w:r>
      <w:r>
        <w:rPr>
          <w:w w:val="95"/>
          <w:sz w:val="14"/>
        </w:rPr>
        <w:t>to</w:t>
      </w:r>
      <w:r>
        <w:rPr>
          <w:spacing w:val="-2"/>
          <w:sz w:val="14"/>
        </w:rPr>
        <w:t xml:space="preserve"> </w:t>
      </w:r>
      <w:r>
        <w:rPr>
          <w:w w:val="95"/>
          <w:sz w:val="14"/>
        </w:rPr>
        <w:t>Work</w:t>
      </w:r>
      <w:r>
        <w:rPr>
          <w:spacing w:val="-2"/>
          <w:sz w:val="14"/>
        </w:rPr>
        <w:t xml:space="preserve"> </w:t>
      </w:r>
      <w:r>
        <w:rPr>
          <w:spacing w:val="-4"/>
          <w:w w:val="95"/>
          <w:sz w:val="14"/>
        </w:rPr>
        <w:t>data.</w:t>
      </w:r>
    </w:p>
    <w:p w:rsidR="002C1123" w:rsidRDefault="00F22F94">
      <w:pPr>
        <w:pStyle w:val="BodyText"/>
        <w:spacing w:before="129" w:line="249" w:lineRule="auto"/>
        <w:ind w:left="239" w:right="128"/>
      </w:pPr>
      <w:r>
        <w:br w:type="column"/>
      </w:r>
      <w:r>
        <w:t>Section</w:t>
      </w:r>
      <w:r>
        <w:rPr>
          <w:spacing w:val="-11"/>
        </w:rPr>
        <w:t xml:space="preserve"> </w:t>
      </w:r>
      <w:r>
        <w:t>8</w:t>
      </w:r>
      <w:r>
        <w:rPr>
          <w:spacing w:val="-11"/>
        </w:rPr>
        <w:t xml:space="preserve"> </w:t>
      </w:r>
      <w:r>
        <w:t>sets</w:t>
      </w:r>
      <w:r>
        <w:rPr>
          <w:spacing w:val="-11"/>
        </w:rPr>
        <w:t xml:space="preserve"> </w:t>
      </w:r>
      <w:r>
        <w:t>out</w:t>
      </w:r>
      <w:r>
        <w:rPr>
          <w:spacing w:val="-11"/>
        </w:rPr>
        <w:t xml:space="preserve"> </w:t>
      </w:r>
      <w:r>
        <w:t>options</w:t>
      </w:r>
      <w:r>
        <w:rPr>
          <w:spacing w:val="-11"/>
        </w:rPr>
        <w:t xml:space="preserve"> </w:t>
      </w:r>
      <w:r>
        <w:t>to</w:t>
      </w:r>
      <w:r>
        <w:rPr>
          <w:spacing w:val="-11"/>
        </w:rPr>
        <w:t xml:space="preserve"> </w:t>
      </w:r>
      <w:r>
        <w:t>accelerate</w:t>
      </w:r>
      <w:r>
        <w:rPr>
          <w:spacing w:val="-11"/>
        </w:rPr>
        <w:t xml:space="preserve"> </w:t>
      </w:r>
      <w:r>
        <w:t>rail</w:t>
      </w:r>
      <w:r>
        <w:rPr>
          <w:spacing w:val="-11"/>
        </w:rPr>
        <w:t xml:space="preserve"> </w:t>
      </w:r>
      <w:r>
        <w:t xml:space="preserve">services </w:t>
      </w:r>
      <w:r>
        <w:rPr>
          <w:w w:val="95"/>
        </w:rPr>
        <w:t>to</w:t>
      </w:r>
      <w:r>
        <w:rPr>
          <w:spacing w:val="-9"/>
          <w:w w:val="95"/>
        </w:rPr>
        <w:t xml:space="preserve"> </w:t>
      </w:r>
      <w:r>
        <w:rPr>
          <w:w w:val="95"/>
        </w:rPr>
        <w:t>the</w:t>
      </w:r>
      <w:r>
        <w:rPr>
          <w:spacing w:val="-9"/>
          <w:w w:val="95"/>
        </w:rPr>
        <w:t xml:space="preserve"> </w:t>
      </w:r>
      <w:r>
        <w:rPr>
          <w:w w:val="95"/>
        </w:rPr>
        <w:t>Illawarra</w:t>
      </w:r>
      <w:r>
        <w:rPr>
          <w:spacing w:val="-9"/>
          <w:w w:val="95"/>
        </w:rPr>
        <w:t xml:space="preserve"> </w:t>
      </w:r>
      <w:r>
        <w:rPr>
          <w:w w:val="95"/>
        </w:rPr>
        <w:t>and,</w:t>
      </w:r>
      <w:r>
        <w:rPr>
          <w:spacing w:val="-9"/>
          <w:w w:val="95"/>
        </w:rPr>
        <w:t xml:space="preserve"> </w:t>
      </w:r>
      <w:r>
        <w:rPr>
          <w:w w:val="95"/>
        </w:rPr>
        <w:t>over</w:t>
      </w:r>
      <w:r>
        <w:rPr>
          <w:spacing w:val="-9"/>
          <w:w w:val="95"/>
        </w:rPr>
        <w:t xml:space="preserve"> </w:t>
      </w:r>
      <w:r>
        <w:rPr>
          <w:w w:val="95"/>
        </w:rPr>
        <w:t>the</w:t>
      </w:r>
      <w:r>
        <w:rPr>
          <w:spacing w:val="-9"/>
          <w:w w:val="95"/>
        </w:rPr>
        <w:t xml:space="preserve"> </w:t>
      </w:r>
      <w:r>
        <w:rPr>
          <w:w w:val="95"/>
        </w:rPr>
        <w:t>longer</w:t>
      </w:r>
      <w:r>
        <w:rPr>
          <w:spacing w:val="-9"/>
          <w:w w:val="95"/>
        </w:rPr>
        <w:t xml:space="preserve"> </w:t>
      </w:r>
      <w:r>
        <w:rPr>
          <w:w w:val="95"/>
        </w:rPr>
        <w:t>term,</w:t>
      </w:r>
      <w:r>
        <w:rPr>
          <w:spacing w:val="-9"/>
          <w:w w:val="95"/>
        </w:rPr>
        <w:t xml:space="preserve"> </w:t>
      </w:r>
      <w:r>
        <w:rPr>
          <w:w w:val="95"/>
        </w:rPr>
        <w:t>to</w:t>
      </w:r>
      <w:r>
        <w:rPr>
          <w:spacing w:val="-9"/>
          <w:w w:val="95"/>
        </w:rPr>
        <w:t xml:space="preserve"> </w:t>
      </w:r>
      <w:r>
        <w:rPr>
          <w:w w:val="95"/>
        </w:rPr>
        <w:t>the</w:t>
      </w:r>
      <w:r>
        <w:rPr>
          <w:spacing w:val="-9"/>
          <w:w w:val="95"/>
        </w:rPr>
        <w:t xml:space="preserve"> </w:t>
      </w:r>
      <w:r>
        <w:rPr>
          <w:w w:val="95"/>
        </w:rPr>
        <w:t xml:space="preserve">Hunter </w:t>
      </w:r>
      <w:r>
        <w:t>region,</w:t>
      </w:r>
      <w:r>
        <w:rPr>
          <w:spacing w:val="-13"/>
        </w:rPr>
        <w:t xml:space="preserve"> </w:t>
      </w:r>
      <w:r>
        <w:t>which</w:t>
      </w:r>
      <w:r>
        <w:rPr>
          <w:spacing w:val="-13"/>
        </w:rPr>
        <w:t xml:space="preserve"> </w:t>
      </w:r>
      <w:r>
        <w:t>will</w:t>
      </w:r>
      <w:r>
        <w:rPr>
          <w:spacing w:val="-13"/>
        </w:rPr>
        <w:t xml:space="preserve"> </w:t>
      </w:r>
      <w:r>
        <w:t>improve</w:t>
      </w:r>
      <w:r>
        <w:rPr>
          <w:spacing w:val="-13"/>
        </w:rPr>
        <w:t xml:space="preserve"> </w:t>
      </w:r>
      <w:r>
        <w:t>access</w:t>
      </w:r>
      <w:r>
        <w:rPr>
          <w:spacing w:val="-13"/>
        </w:rPr>
        <w:t xml:space="preserve"> </w:t>
      </w:r>
      <w:r>
        <w:t>to</w:t>
      </w:r>
      <w:r>
        <w:rPr>
          <w:spacing w:val="-13"/>
        </w:rPr>
        <w:t xml:space="preserve"> </w:t>
      </w:r>
      <w:r>
        <w:t>Global</w:t>
      </w:r>
      <w:r>
        <w:rPr>
          <w:spacing w:val="-13"/>
        </w:rPr>
        <w:t xml:space="preserve"> </w:t>
      </w:r>
      <w:r>
        <w:t>Sydney from these regions.</w:t>
      </w:r>
    </w:p>
    <w:p w:rsidR="002C1123" w:rsidRDefault="00F22F94">
      <w:pPr>
        <w:pStyle w:val="Heading6"/>
        <w:numPr>
          <w:ilvl w:val="2"/>
          <w:numId w:val="74"/>
        </w:numPr>
        <w:tabs>
          <w:tab w:val="left" w:pos="834"/>
        </w:tabs>
        <w:spacing w:before="145" w:line="249" w:lineRule="auto"/>
        <w:ind w:left="833" w:right="1104"/>
        <w:jc w:val="left"/>
        <w:rPr>
          <w:color w:val="00AEEF"/>
        </w:rPr>
      </w:pPr>
      <w:r>
        <w:rPr>
          <w:color w:val="00AEEF"/>
          <w:spacing w:val="-2"/>
        </w:rPr>
        <w:t>Improving</w:t>
      </w:r>
      <w:r>
        <w:rPr>
          <w:color w:val="00AEEF"/>
          <w:spacing w:val="-12"/>
        </w:rPr>
        <w:t xml:space="preserve"> </w:t>
      </w:r>
      <w:r>
        <w:rPr>
          <w:color w:val="00AEEF"/>
          <w:spacing w:val="-2"/>
        </w:rPr>
        <w:t>regional</w:t>
      </w:r>
      <w:r>
        <w:rPr>
          <w:color w:val="00AEEF"/>
          <w:spacing w:val="-12"/>
        </w:rPr>
        <w:t xml:space="preserve"> </w:t>
      </w:r>
      <w:r>
        <w:rPr>
          <w:color w:val="00AEEF"/>
          <w:spacing w:val="-2"/>
        </w:rPr>
        <w:t>and</w:t>
      </w:r>
      <w:r>
        <w:rPr>
          <w:color w:val="00AEEF"/>
          <w:spacing w:val="-12"/>
        </w:rPr>
        <w:t xml:space="preserve"> </w:t>
      </w:r>
      <w:r>
        <w:rPr>
          <w:color w:val="00AEEF"/>
          <w:spacing w:val="-2"/>
        </w:rPr>
        <w:t xml:space="preserve">interstate </w:t>
      </w:r>
      <w:r>
        <w:rPr>
          <w:color w:val="00AEEF"/>
        </w:rPr>
        <w:t>public transport</w:t>
      </w:r>
    </w:p>
    <w:p w:rsidR="002C1123" w:rsidRDefault="00F22F94">
      <w:pPr>
        <w:pStyle w:val="BodyText"/>
        <w:spacing w:before="86"/>
        <w:ind w:left="239"/>
      </w:pPr>
      <w:r>
        <w:rPr>
          <w:w w:val="90"/>
        </w:rPr>
        <w:t>Over</w:t>
      </w:r>
      <w:r>
        <w:rPr>
          <w:spacing w:val="-5"/>
        </w:rPr>
        <w:t xml:space="preserve"> </w:t>
      </w:r>
      <w:r>
        <w:rPr>
          <w:w w:val="90"/>
        </w:rPr>
        <w:t>the</w:t>
      </w:r>
      <w:r>
        <w:rPr>
          <w:spacing w:val="-5"/>
        </w:rPr>
        <w:t xml:space="preserve"> </w:t>
      </w:r>
      <w:r>
        <w:rPr>
          <w:w w:val="90"/>
        </w:rPr>
        <w:t>next</w:t>
      </w:r>
      <w:r>
        <w:rPr>
          <w:spacing w:val="-4"/>
        </w:rPr>
        <w:t xml:space="preserve"> </w:t>
      </w:r>
      <w:r>
        <w:rPr>
          <w:w w:val="90"/>
        </w:rPr>
        <w:t>10</w:t>
      </w:r>
      <w:r>
        <w:rPr>
          <w:spacing w:val="-5"/>
        </w:rPr>
        <w:t xml:space="preserve"> </w:t>
      </w:r>
      <w:r>
        <w:rPr>
          <w:w w:val="90"/>
        </w:rPr>
        <w:t>years,</w:t>
      </w:r>
      <w:r>
        <w:rPr>
          <w:spacing w:val="-4"/>
        </w:rPr>
        <w:t xml:space="preserve"> </w:t>
      </w:r>
      <w:r>
        <w:rPr>
          <w:w w:val="90"/>
        </w:rPr>
        <w:t>the</w:t>
      </w:r>
      <w:r>
        <w:rPr>
          <w:spacing w:val="-5"/>
        </w:rPr>
        <w:t xml:space="preserve"> </w:t>
      </w:r>
      <w:r>
        <w:rPr>
          <w:w w:val="90"/>
        </w:rPr>
        <w:t>XPT</w:t>
      </w:r>
      <w:r>
        <w:rPr>
          <w:spacing w:val="-4"/>
        </w:rPr>
        <w:t xml:space="preserve"> </w:t>
      </w:r>
      <w:r>
        <w:rPr>
          <w:w w:val="90"/>
        </w:rPr>
        <w:t>fleet</w:t>
      </w:r>
      <w:r>
        <w:rPr>
          <w:spacing w:val="-5"/>
        </w:rPr>
        <w:t xml:space="preserve"> </w:t>
      </w:r>
      <w:r>
        <w:rPr>
          <w:w w:val="90"/>
        </w:rPr>
        <w:t>used</w:t>
      </w:r>
      <w:r>
        <w:rPr>
          <w:spacing w:val="-5"/>
        </w:rPr>
        <w:t xml:space="preserve"> </w:t>
      </w:r>
      <w:r>
        <w:rPr>
          <w:spacing w:val="-5"/>
          <w:w w:val="90"/>
        </w:rPr>
        <w:t>on</w:t>
      </w:r>
    </w:p>
    <w:p w:rsidR="002C1123" w:rsidRDefault="00F22F94">
      <w:pPr>
        <w:pStyle w:val="BodyText"/>
        <w:spacing w:before="11" w:line="249" w:lineRule="auto"/>
        <w:ind w:left="239" w:right="3"/>
      </w:pPr>
      <w:r>
        <w:rPr>
          <w:w w:val="95"/>
        </w:rPr>
        <w:t>long distance rail services will approach the end of its economic</w:t>
      </w:r>
      <w:r>
        <w:rPr>
          <w:spacing w:val="-12"/>
          <w:w w:val="95"/>
        </w:rPr>
        <w:t xml:space="preserve"> </w:t>
      </w:r>
      <w:r>
        <w:rPr>
          <w:w w:val="95"/>
        </w:rPr>
        <w:t>life.</w:t>
      </w:r>
      <w:r>
        <w:rPr>
          <w:spacing w:val="-11"/>
          <w:w w:val="95"/>
        </w:rPr>
        <w:t xml:space="preserve"> </w:t>
      </w:r>
      <w:r>
        <w:rPr>
          <w:w w:val="95"/>
        </w:rPr>
        <w:t>A</w:t>
      </w:r>
      <w:r>
        <w:rPr>
          <w:spacing w:val="-11"/>
          <w:w w:val="95"/>
        </w:rPr>
        <w:t xml:space="preserve"> </w:t>
      </w:r>
      <w:r>
        <w:rPr>
          <w:w w:val="95"/>
        </w:rPr>
        <w:t>decision</w:t>
      </w:r>
      <w:r>
        <w:rPr>
          <w:spacing w:val="-11"/>
          <w:w w:val="95"/>
        </w:rPr>
        <w:t xml:space="preserve"> </w:t>
      </w:r>
      <w:r>
        <w:rPr>
          <w:w w:val="95"/>
        </w:rPr>
        <w:t>will</w:t>
      </w:r>
      <w:r>
        <w:rPr>
          <w:spacing w:val="-12"/>
          <w:w w:val="95"/>
        </w:rPr>
        <w:t xml:space="preserve"> </w:t>
      </w:r>
      <w:r>
        <w:rPr>
          <w:w w:val="95"/>
        </w:rPr>
        <w:t>need</w:t>
      </w:r>
      <w:r>
        <w:rPr>
          <w:spacing w:val="-11"/>
          <w:w w:val="95"/>
        </w:rPr>
        <w:t xml:space="preserve"> </w:t>
      </w:r>
      <w:r>
        <w:rPr>
          <w:w w:val="95"/>
        </w:rPr>
        <w:t>to</w:t>
      </w:r>
      <w:r>
        <w:rPr>
          <w:spacing w:val="-11"/>
          <w:w w:val="95"/>
        </w:rPr>
        <w:t xml:space="preserve"> </w:t>
      </w:r>
      <w:r>
        <w:rPr>
          <w:w w:val="95"/>
        </w:rPr>
        <w:t>be</w:t>
      </w:r>
      <w:r>
        <w:rPr>
          <w:spacing w:val="-11"/>
          <w:w w:val="95"/>
        </w:rPr>
        <w:t xml:space="preserve"> </w:t>
      </w:r>
      <w:r>
        <w:rPr>
          <w:w w:val="95"/>
        </w:rPr>
        <w:t>taken</w:t>
      </w:r>
      <w:r>
        <w:rPr>
          <w:spacing w:val="-11"/>
          <w:w w:val="95"/>
        </w:rPr>
        <w:t xml:space="preserve"> </w:t>
      </w:r>
      <w:r>
        <w:rPr>
          <w:w w:val="95"/>
        </w:rPr>
        <w:t>on</w:t>
      </w:r>
      <w:r>
        <w:rPr>
          <w:spacing w:val="-12"/>
          <w:w w:val="95"/>
        </w:rPr>
        <w:t xml:space="preserve"> </w:t>
      </w:r>
      <w:r>
        <w:rPr>
          <w:w w:val="95"/>
        </w:rPr>
        <w:t xml:space="preserve">whether </w:t>
      </w:r>
      <w:r>
        <w:rPr>
          <w:spacing w:val="-2"/>
          <w:w w:val="95"/>
        </w:rPr>
        <w:t>the</w:t>
      </w:r>
      <w:r>
        <w:rPr>
          <w:spacing w:val="-5"/>
          <w:w w:val="95"/>
        </w:rPr>
        <w:t xml:space="preserve"> </w:t>
      </w:r>
      <w:r>
        <w:rPr>
          <w:spacing w:val="-2"/>
          <w:w w:val="95"/>
        </w:rPr>
        <w:t>substantial</w:t>
      </w:r>
      <w:r>
        <w:rPr>
          <w:spacing w:val="-5"/>
          <w:w w:val="95"/>
        </w:rPr>
        <w:t xml:space="preserve"> </w:t>
      </w:r>
      <w:r>
        <w:rPr>
          <w:spacing w:val="-2"/>
          <w:w w:val="95"/>
        </w:rPr>
        <w:t>investment</w:t>
      </w:r>
      <w:r>
        <w:rPr>
          <w:spacing w:val="-5"/>
          <w:w w:val="95"/>
        </w:rPr>
        <w:t xml:space="preserve"> </w:t>
      </w:r>
      <w:r>
        <w:rPr>
          <w:spacing w:val="-2"/>
          <w:w w:val="95"/>
        </w:rPr>
        <w:t>required</w:t>
      </w:r>
      <w:r>
        <w:rPr>
          <w:spacing w:val="-5"/>
          <w:w w:val="95"/>
        </w:rPr>
        <w:t xml:space="preserve"> </w:t>
      </w:r>
      <w:r>
        <w:rPr>
          <w:spacing w:val="-2"/>
          <w:w w:val="95"/>
        </w:rPr>
        <w:t>for</w:t>
      </w:r>
      <w:r>
        <w:rPr>
          <w:spacing w:val="-5"/>
          <w:w w:val="95"/>
        </w:rPr>
        <w:t xml:space="preserve"> </w:t>
      </w:r>
      <w:r>
        <w:rPr>
          <w:spacing w:val="-2"/>
          <w:w w:val="95"/>
        </w:rPr>
        <w:t>new</w:t>
      </w:r>
      <w:r>
        <w:rPr>
          <w:spacing w:val="-5"/>
          <w:w w:val="95"/>
        </w:rPr>
        <w:t xml:space="preserve"> </w:t>
      </w:r>
      <w:r>
        <w:rPr>
          <w:spacing w:val="-2"/>
          <w:w w:val="95"/>
        </w:rPr>
        <w:t>rolling</w:t>
      </w:r>
      <w:r>
        <w:rPr>
          <w:spacing w:val="-5"/>
          <w:w w:val="95"/>
        </w:rPr>
        <w:t xml:space="preserve"> </w:t>
      </w:r>
      <w:r>
        <w:rPr>
          <w:spacing w:val="-2"/>
          <w:w w:val="95"/>
        </w:rPr>
        <w:t>stock</w:t>
      </w:r>
      <w:r>
        <w:rPr>
          <w:spacing w:val="-5"/>
          <w:w w:val="95"/>
        </w:rPr>
        <w:t xml:space="preserve"> </w:t>
      </w:r>
      <w:r>
        <w:rPr>
          <w:spacing w:val="-2"/>
          <w:w w:val="95"/>
        </w:rPr>
        <w:t xml:space="preserve">is </w:t>
      </w:r>
      <w:r>
        <w:rPr>
          <w:w w:val="95"/>
        </w:rPr>
        <w:t>justified</w:t>
      </w:r>
      <w:r>
        <w:rPr>
          <w:spacing w:val="-12"/>
          <w:w w:val="95"/>
        </w:rPr>
        <w:t xml:space="preserve"> </w:t>
      </w:r>
      <w:r>
        <w:rPr>
          <w:w w:val="95"/>
        </w:rPr>
        <w:t>given</w:t>
      </w:r>
      <w:r>
        <w:rPr>
          <w:spacing w:val="-11"/>
          <w:w w:val="95"/>
        </w:rPr>
        <w:t xml:space="preserve"> </w:t>
      </w:r>
      <w:r>
        <w:rPr>
          <w:w w:val="95"/>
        </w:rPr>
        <w:t>very</w:t>
      </w:r>
      <w:r>
        <w:rPr>
          <w:spacing w:val="-11"/>
          <w:w w:val="95"/>
        </w:rPr>
        <w:t xml:space="preserve"> </w:t>
      </w:r>
      <w:r>
        <w:rPr>
          <w:w w:val="95"/>
        </w:rPr>
        <w:t>low</w:t>
      </w:r>
      <w:r>
        <w:rPr>
          <w:spacing w:val="-11"/>
          <w:w w:val="95"/>
        </w:rPr>
        <w:t xml:space="preserve"> </w:t>
      </w:r>
      <w:r>
        <w:rPr>
          <w:w w:val="95"/>
        </w:rPr>
        <w:t>regional</w:t>
      </w:r>
      <w:r>
        <w:rPr>
          <w:spacing w:val="-12"/>
          <w:w w:val="95"/>
        </w:rPr>
        <w:t xml:space="preserve"> </w:t>
      </w:r>
      <w:r>
        <w:rPr>
          <w:w w:val="95"/>
        </w:rPr>
        <w:t>rail</w:t>
      </w:r>
      <w:r>
        <w:rPr>
          <w:spacing w:val="-11"/>
          <w:w w:val="95"/>
        </w:rPr>
        <w:t xml:space="preserve"> </w:t>
      </w:r>
      <w:r>
        <w:rPr>
          <w:w w:val="95"/>
        </w:rPr>
        <w:t>patronage,</w:t>
      </w:r>
      <w:r>
        <w:rPr>
          <w:spacing w:val="-11"/>
          <w:w w:val="95"/>
        </w:rPr>
        <w:t xml:space="preserve"> </w:t>
      </w:r>
      <w:r>
        <w:rPr>
          <w:w w:val="95"/>
        </w:rPr>
        <w:t>or</w:t>
      </w:r>
      <w:r>
        <w:rPr>
          <w:spacing w:val="-11"/>
          <w:w w:val="95"/>
        </w:rPr>
        <w:t xml:space="preserve"> </w:t>
      </w:r>
      <w:r>
        <w:rPr>
          <w:w w:val="95"/>
        </w:rPr>
        <w:t xml:space="preserve">whether </w:t>
      </w:r>
      <w:r>
        <w:rPr>
          <w:spacing w:val="-2"/>
        </w:rPr>
        <w:t>alternative</w:t>
      </w:r>
      <w:r>
        <w:rPr>
          <w:spacing w:val="-9"/>
        </w:rPr>
        <w:t xml:space="preserve"> </w:t>
      </w:r>
      <w:r>
        <w:rPr>
          <w:spacing w:val="-2"/>
        </w:rPr>
        <w:t>approaches</w:t>
      </w:r>
      <w:r>
        <w:rPr>
          <w:spacing w:val="-9"/>
        </w:rPr>
        <w:t xml:space="preserve"> </w:t>
      </w:r>
      <w:r>
        <w:rPr>
          <w:spacing w:val="-2"/>
        </w:rPr>
        <w:t>should</w:t>
      </w:r>
      <w:r>
        <w:rPr>
          <w:spacing w:val="-9"/>
        </w:rPr>
        <w:t xml:space="preserve"> </w:t>
      </w:r>
      <w:r>
        <w:rPr>
          <w:spacing w:val="-2"/>
        </w:rPr>
        <w:t>be</w:t>
      </w:r>
      <w:r>
        <w:rPr>
          <w:spacing w:val="-9"/>
        </w:rPr>
        <w:t xml:space="preserve"> </w:t>
      </w:r>
      <w:r>
        <w:rPr>
          <w:spacing w:val="-2"/>
        </w:rPr>
        <w:t>a</w:t>
      </w:r>
      <w:r>
        <w:rPr>
          <w:spacing w:val="-9"/>
        </w:rPr>
        <w:t xml:space="preserve"> </w:t>
      </w:r>
      <w:r>
        <w:rPr>
          <w:spacing w:val="-2"/>
        </w:rPr>
        <w:t>priority.</w:t>
      </w:r>
    </w:p>
    <w:p w:rsidR="002C1123" w:rsidRDefault="00F22F94">
      <w:pPr>
        <w:pStyle w:val="BodyText"/>
        <w:spacing w:before="145" w:line="249" w:lineRule="auto"/>
        <w:ind w:left="239"/>
      </w:pPr>
      <w:r>
        <w:rPr>
          <w:w w:val="95"/>
        </w:rPr>
        <w:t xml:space="preserve">Alternatives could include greater use of coach services </w:t>
      </w:r>
      <w:r>
        <w:t>or</w:t>
      </w:r>
      <w:r>
        <w:rPr>
          <w:spacing w:val="-14"/>
        </w:rPr>
        <w:t xml:space="preserve"> </w:t>
      </w:r>
      <w:r>
        <w:t>service</w:t>
      </w:r>
      <w:r>
        <w:rPr>
          <w:spacing w:val="-14"/>
        </w:rPr>
        <w:t xml:space="preserve"> </w:t>
      </w:r>
      <w:r>
        <w:t>sharing</w:t>
      </w:r>
      <w:r>
        <w:rPr>
          <w:spacing w:val="-14"/>
        </w:rPr>
        <w:t xml:space="preserve"> </w:t>
      </w:r>
      <w:r>
        <w:t>on</w:t>
      </w:r>
      <w:r>
        <w:rPr>
          <w:spacing w:val="-13"/>
        </w:rPr>
        <w:t xml:space="preserve"> </w:t>
      </w:r>
      <w:r>
        <w:t>some</w:t>
      </w:r>
      <w:r>
        <w:rPr>
          <w:spacing w:val="-14"/>
        </w:rPr>
        <w:t xml:space="preserve"> </w:t>
      </w:r>
      <w:r>
        <w:t>routes</w:t>
      </w:r>
      <w:r>
        <w:rPr>
          <w:spacing w:val="-14"/>
        </w:rPr>
        <w:t xml:space="preserve"> </w:t>
      </w:r>
      <w:r>
        <w:t>with</w:t>
      </w:r>
      <w:r>
        <w:rPr>
          <w:spacing w:val="-14"/>
        </w:rPr>
        <w:t xml:space="preserve"> </w:t>
      </w:r>
      <w:r>
        <w:t>Great</w:t>
      </w:r>
      <w:r>
        <w:rPr>
          <w:spacing w:val="-13"/>
        </w:rPr>
        <w:t xml:space="preserve"> </w:t>
      </w:r>
      <w:r>
        <w:t xml:space="preserve">Southern </w:t>
      </w:r>
      <w:r>
        <w:rPr>
          <w:w w:val="95"/>
        </w:rPr>
        <w:t>Railway,</w:t>
      </w:r>
      <w:r>
        <w:rPr>
          <w:spacing w:val="-11"/>
          <w:w w:val="95"/>
        </w:rPr>
        <w:t xml:space="preserve"> </w:t>
      </w:r>
      <w:r>
        <w:rPr>
          <w:w w:val="95"/>
        </w:rPr>
        <w:t>a</w:t>
      </w:r>
      <w:r>
        <w:rPr>
          <w:spacing w:val="-11"/>
          <w:w w:val="95"/>
        </w:rPr>
        <w:t xml:space="preserve"> </w:t>
      </w:r>
      <w:r>
        <w:rPr>
          <w:w w:val="95"/>
        </w:rPr>
        <w:t>private</w:t>
      </w:r>
      <w:r>
        <w:rPr>
          <w:spacing w:val="-11"/>
          <w:w w:val="95"/>
        </w:rPr>
        <w:t xml:space="preserve"> </w:t>
      </w:r>
      <w:r>
        <w:rPr>
          <w:w w:val="95"/>
        </w:rPr>
        <w:t>sector</w:t>
      </w:r>
      <w:r>
        <w:rPr>
          <w:spacing w:val="-11"/>
          <w:w w:val="95"/>
        </w:rPr>
        <w:t xml:space="preserve"> </w:t>
      </w:r>
      <w:r>
        <w:rPr>
          <w:w w:val="95"/>
        </w:rPr>
        <w:t>operator</w:t>
      </w:r>
      <w:r>
        <w:rPr>
          <w:spacing w:val="-11"/>
          <w:w w:val="95"/>
        </w:rPr>
        <w:t xml:space="preserve"> </w:t>
      </w:r>
      <w:r>
        <w:rPr>
          <w:w w:val="95"/>
        </w:rPr>
        <w:t>of</w:t>
      </w:r>
      <w:r>
        <w:rPr>
          <w:spacing w:val="-11"/>
          <w:w w:val="95"/>
        </w:rPr>
        <w:t xml:space="preserve"> </w:t>
      </w:r>
      <w:r>
        <w:rPr>
          <w:w w:val="95"/>
        </w:rPr>
        <w:t>interstate</w:t>
      </w:r>
      <w:r>
        <w:rPr>
          <w:spacing w:val="-11"/>
          <w:w w:val="95"/>
        </w:rPr>
        <w:t xml:space="preserve"> </w:t>
      </w:r>
      <w:r>
        <w:rPr>
          <w:w w:val="95"/>
        </w:rPr>
        <w:t xml:space="preserve">passenger </w:t>
      </w:r>
      <w:r>
        <w:rPr>
          <w:spacing w:val="-2"/>
        </w:rPr>
        <w:t>trains.</w:t>
      </w:r>
      <w:r>
        <w:rPr>
          <w:spacing w:val="-6"/>
        </w:rPr>
        <w:t xml:space="preserve"> </w:t>
      </w:r>
      <w:r>
        <w:rPr>
          <w:spacing w:val="-2"/>
        </w:rPr>
        <w:t>These</w:t>
      </w:r>
      <w:r>
        <w:rPr>
          <w:spacing w:val="-6"/>
        </w:rPr>
        <w:t xml:space="preserve"> </w:t>
      </w:r>
      <w:r>
        <w:rPr>
          <w:spacing w:val="-2"/>
        </w:rPr>
        <w:t>options</w:t>
      </w:r>
      <w:r>
        <w:rPr>
          <w:spacing w:val="-6"/>
        </w:rPr>
        <w:t xml:space="preserve"> </w:t>
      </w:r>
      <w:r>
        <w:rPr>
          <w:spacing w:val="-2"/>
        </w:rPr>
        <w:t>may</w:t>
      </w:r>
      <w:r>
        <w:rPr>
          <w:spacing w:val="-6"/>
        </w:rPr>
        <w:t xml:space="preserve"> </w:t>
      </w:r>
      <w:r>
        <w:rPr>
          <w:spacing w:val="-2"/>
        </w:rPr>
        <w:t>be</w:t>
      </w:r>
      <w:r>
        <w:rPr>
          <w:spacing w:val="-6"/>
        </w:rPr>
        <w:t xml:space="preserve"> </w:t>
      </w:r>
      <w:r>
        <w:rPr>
          <w:spacing w:val="-2"/>
        </w:rPr>
        <w:t>more</w:t>
      </w:r>
      <w:r>
        <w:rPr>
          <w:spacing w:val="-6"/>
        </w:rPr>
        <w:t xml:space="preserve"> </w:t>
      </w:r>
      <w:r>
        <w:rPr>
          <w:spacing w:val="-2"/>
        </w:rPr>
        <w:t>economically</w:t>
      </w:r>
      <w:r>
        <w:rPr>
          <w:spacing w:val="-6"/>
        </w:rPr>
        <w:t xml:space="preserve"> </w:t>
      </w:r>
      <w:r>
        <w:rPr>
          <w:spacing w:val="-2"/>
        </w:rPr>
        <w:t xml:space="preserve">viable </w:t>
      </w:r>
      <w:r>
        <w:t>and</w:t>
      </w:r>
      <w:r>
        <w:rPr>
          <w:spacing w:val="-5"/>
        </w:rPr>
        <w:t xml:space="preserve"> </w:t>
      </w:r>
      <w:r>
        <w:t>could</w:t>
      </w:r>
      <w:r>
        <w:rPr>
          <w:spacing w:val="-5"/>
        </w:rPr>
        <w:t xml:space="preserve"> </w:t>
      </w:r>
      <w:r>
        <w:t>provide</w:t>
      </w:r>
      <w:r>
        <w:rPr>
          <w:spacing w:val="-5"/>
        </w:rPr>
        <w:t xml:space="preserve"> </w:t>
      </w:r>
      <w:r>
        <w:t>faster</w:t>
      </w:r>
      <w:r>
        <w:rPr>
          <w:spacing w:val="-5"/>
        </w:rPr>
        <w:t xml:space="preserve"> </w:t>
      </w:r>
      <w:r>
        <w:t>journey</w:t>
      </w:r>
      <w:r>
        <w:rPr>
          <w:spacing w:val="-5"/>
        </w:rPr>
        <w:t xml:space="preserve"> </w:t>
      </w:r>
      <w:r>
        <w:t>times.</w:t>
      </w:r>
    </w:p>
    <w:p w:rsidR="002C1123" w:rsidRDefault="00F22F94">
      <w:pPr>
        <w:pStyle w:val="BodyText"/>
        <w:spacing w:before="146" w:line="249" w:lineRule="auto"/>
        <w:ind w:left="239" w:right="52"/>
      </w:pPr>
      <w:r>
        <w:rPr>
          <w:spacing w:val="-2"/>
        </w:rPr>
        <w:t>The</w:t>
      </w:r>
      <w:r>
        <w:rPr>
          <w:spacing w:val="-7"/>
        </w:rPr>
        <w:t xml:space="preserve"> </w:t>
      </w:r>
      <w:r>
        <w:rPr>
          <w:spacing w:val="-2"/>
        </w:rPr>
        <w:t>very</w:t>
      </w:r>
      <w:r>
        <w:rPr>
          <w:spacing w:val="-7"/>
        </w:rPr>
        <w:t xml:space="preserve"> </w:t>
      </w:r>
      <w:r>
        <w:rPr>
          <w:spacing w:val="-2"/>
        </w:rPr>
        <w:t>limited</w:t>
      </w:r>
      <w:r>
        <w:rPr>
          <w:spacing w:val="-7"/>
        </w:rPr>
        <w:t xml:space="preserve"> </w:t>
      </w:r>
      <w:r>
        <w:rPr>
          <w:spacing w:val="-2"/>
        </w:rPr>
        <w:t>role</w:t>
      </w:r>
      <w:r>
        <w:rPr>
          <w:spacing w:val="-7"/>
        </w:rPr>
        <w:t xml:space="preserve"> </w:t>
      </w:r>
      <w:r>
        <w:rPr>
          <w:spacing w:val="-2"/>
        </w:rPr>
        <w:t>rail</w:t>
      </w:r>
      <w:r>
        <w:rPr>
          <w:spacing w:val="-7"/>
        </w:rPr>
        <w:t xml:space="preserve"> </w:t>
      </w:r>
      <w:r>
        <w:rPr>
          <w:spacing w:val="-2"/>
        </w:rPr>
        <w:t>plays</w:t>
      </w:r>
      <w:r>
        <w:rPr>
          <w:spacing w:val="-7"/>
        </w:rPr>
        <w:t xml:space="preserve"> </w:t>
      </w:r>
      <w:r>
        <w:rPr>
          <w:spacing w:val="-2"/>
        </w:rPr>
        <w:t>in</w:t>
      </w:r>
      <w:r>
        <w:rPr>
          <w:spacing w:val="-7"/>
        </w:rPr>
        <w:t xml:space="preserve"> </w:t>
      </w:r>
      <w:r>
        <w:rPr>
          <w:spacing w:val="-2"/>
        </w:rPr>
        <w:t>regional</w:t>
      </w:r>
      <w:r>
        <w:rPr>
          <w:spacing w:val="-7"/>
        </w:rPr>
        <w:t xml:space="preserve"> </w:t>
      </w:r>
      <w:r>
        <w:rPr>
          <w:spacing w:val="-2"/>
        </w:rPr>
        <w:t xml:space="preserve">transport </w:t>
      </w:r>
      <w:r>
        <w:rPr>
          <w:w w:val="95"/>
        </w:rPr>
        <w:t>leads</w:t>
      </w:r>
      <w:r>
        <w:rPr>
          <w:spacing w:val="-5"/>
          <w:w w:val="95"/>
        </w:rPr>
        <w:t xml:space="preserve"> </w:t>
      </w:r>
      <w:r>
        <w:rPr>
          <w:w w:val="95"/>
        </w:rPr>
        <w:t>Infrastructure</w:t>
      </w:r>
      <w:r>
        <w:rPr>
          <w:spacing w:val="-5"/>
          <w:w w:val="95"/>
        </w:rPr>
        <w:t xml:space="preserve"> </w:t>
      </w:r>
      <w:r>
        <w:rPr>
          <w:w w:val="95"/>
        </w:rPr>
        <w:t>NSW</w:t>
      </w:r>
      <w:r>
        <w:rPr>
          <w:spacing w:val="-5"/>
          <w:w w:val="95"/>
        </w:rPr>
        <w:t xml:space="preserve"> </w:t>
      </w:r>
      <w:r>
        <w:rPr>
          <w:w w:val="95"/>
        </w:rPr>
        <w:t>to</w:t>
      </w:r>
      <w:r>
        <w:rPr>
          <w:spacing w:val="-5"/>
          <w:w w:val="95"/>
        </w:rPr>
        <w:t xml:space="preserve"> </w:t>
      </w:r>
      <w:r>
        <w:rPr>
          <w:w w:val="95"/>
        </w:rPr>
        <w:t>conclude</w:t>
      </w:r>
      <w:r>
        <w:rPr>
          <w:spacing w:val="-5"/>
          <w:w w:val="95"/>
        </w:rPr>
        <w:t xml:space="preserve"> </w:t>
      </w:r>
      <w:r>
        <w:rPr>
          <w:w w:val="95"/>
        </w:rPr>
        <w:t>that</w:t>
      </w:r>
      <w:r>
        <w:rPr>
          <w:spacing w:val="-5"/>
          <w:w w:val="95"/>
        </w:rPr>
        <w:t xml:space="preserve"> </w:t>
      </w:r>
      <w:r>
        <w:rPr>
          <w:w w:val="95"/>
        </w:rPr>
        <w:t>the</w:t>
      </w:r>
      <w:r>
        <w:rPr>
          <w:spacing w:val="-5"/>
          <w:w w:val="95"/>
        </w:rPr>
        <w:t xml:space="preserve"> </w:t>
      </w:r>
      <w:r>
        <w:rPr>
          <w:w w:val="95"/>
        </w:rPr>
        <w:t>case</w:t>
      </w:r>
      <w:r>
        <w:rPr>
          <w:spacing w:val="-5"/>
          <w:w w:val="95"/>
        </w:rPr>
        <w:t xml:space="preserve"> </w:t>
      </w:r>
      <w:r>
        <w:rPr>
          <w:w w:val="95"/>
        </w:rPr>
        <w:t>for</w:t>
      </w:r>
    </w:p>
    <w:p w:rsidR="002C1123" w:rsidRDefault="00F22F94">
      <w:pPr>
        <w:pStyle w:val="BodyText"/>
        <w:spacing w:before="2" w:line="249" w:lineRule="auto"/>
        <w:ind w:left="239"/>
      </w:pPr>
      <w:r>
        <w:rPr>
          <w:w w:val="95"/>
        </w:rPr>
        <w:t>investment</w:t>
      </w:r>
      <w:r>
        <w:rPr>
          <w:spacing w:val="-8"/>
          <w:w w:val="95"/>
        </w:rPr>
        <w:t xml:space="preserve"> </w:t>
      </w:r>
      <w:r>
        <w:rPr>
          <w:w w:val="95"/>
        </w:rPr>
        <w:t>to</w:t>
      </w:r>
      <w:r>
        <w:rPr>
          <w:spacing w:val="-8"/>
          <w:w w:val="95"/>
        </w:rPr>
        <w:t xml:space="preserve"> </w:t>
      </w:r>
      <w:r>
        <w:rPr>
          <w:w w:val="95"/>
        </w:rPr>
        <w:t>reopen</w:t>
      </w:r>
      <w:r>
        <w:rPr>
          <w:spacing w:val="-8"/>
          <w:w w:val="95"/>
        </w:rPr>
        <w:t xml:space="preserve"> </w:t>
      </w:r>
      <w:r>
        <w:rPr>
          <w:w w:val="95"/>
        </w:rPr>
        <w:t>historic</w:t>
      </w:r>
      <w:r>
        <w:rPr>
          <w:spacing w:val="-8"/>
          <w:w w:val="95"/>
        </w:rPr>
        <w:t xml:space="preserve"> </w:t>
      </w:r>
      <w:r>
        <w:rPr>
          <w:w w:val="95"/>
        </w:rPr>
        <w:t>railways</w:t>
      </w:r>
      <w:r>
        <w:rPr>
          <w:spacing w:val="-8"/>
          <w:w w:val="95"/>
        </w:rPr>
        <w:t xml:space="preserve"> </w:t>
      </w:r>
      <w:r>
        <w:rPr>
          <w:w w:val="95"/>
        </w:rPr>
        <w:t>lines</w:t>
      </w:r>
      <w:r>
        <w:rPr>
          <w:spacing w:val="-8"/>
          <w:w w:val="95"/>
        </w:rPr>
        <w:t xml:space="preserve"> </w:t>
      </w:r>
      <w:r>
        <w:rPr>
          <w:w w:val="95"/>
        </w:rPr>
        <w:t>to</w:t>
      </w:r>
      <w:r>
        <w:rPr>
          <w:spacing w:val="-8"/>
          <w:w w:val="95"/>
        </w:rPr>
        <w:t xml:space="preserve"> </w:t>
      </w:r>
      <w:r>
        <w:rPr>
          <w:w w:val="95"/>
        </w:rPr>
        <w:t xml:space="preserve">passenger </w:t>
      </w:r>
      <w:r>
        <w:t>traffic</w:t>
      </w:r>
      <w:r>
        <w:rPr>
          <w:spacing w:val="-13"/>
        </w:rPr>
        <w:t xml:space="preserve"> </w:t>
      </w:r>
      <w:r>
        <w:t>will</w:t>
      </w:r>
      <w:r>
        <w:rPr>
          <w:spacing w:val="-13"/>
        </w:rPr>
        <w:t xml:space="preserve"> </w:t>
      </w:r>
      <w:r>
        <w:t>need</w:t>
      </w:r>
      <w:r>
        <w:rPr>
          <w:spacing w:val="-13"/>
        </w:rPr>
        <w:t xml:space="preserve"> </w:t>
      </w:r>
      <w:r>
        <w:t>careful</w:t>
      </w:r>
      <w:r>
        <w:rPr>
          <w:spacing w:val="-13"/>
        </w:rPr>
        <w:t xml:space="preserve"> </w:t>
      </w:r>
      <w:r>
        <w:t>assessment</w:t>
      </w:r>
      <w:r>
        <w:rPr>
          <w:spacing w:val="-13"/>
        </w:rPr>
        <w:t xml:space="preserve"> </w:t>
      </w:r>
      <w:r>
        <w:t>on</w:t>
      </w:r>
      <w:r>
        <w:rPr>
          <w:spacing w:val="-13"/>
        </w:rPr>
        <w:t xml:space="preserve"> </w:t>
      </w:r>
      <w:r>
        <w:t>a</w:t>
      </w:r>
      <w:r>
        <w:rPr>
          <w:spacing w:val="-13"/>
        </w:rPr>
        <w:t xml:space="preserve"> </w:t>
      </w:r>
      <w:r>
        <w:t>case</w:t>
      </w:r>
      <w:r>
        <w:rPr>
          <w:spacing w:val="-13"/>
        </w:rPr>
        <w:t xml:space="preserve"> </w:t>
      </w:r>
      <w:r>
        <w:t>by</w:t>
      </w:r>
      <w:r>
        <w:rPr>
          <w:spacing w:val="-13"/>
        </w:rPr>
        <w:t xml:space="preserve"> </w:t>
      </w:r>
      <w:r>
        <w:t>case basis</w:t>
      </w:r>
      <w:r>
        <w:rPr>
          <w:spacing w:val="-13"/>
        </w:rPr>
        <w:t xml:space="preserve"> </w:t>
      </w:r>
      <w:r>
        <w:t>and</w:t>
      </w:r>
      <w:r>
        <w:rPr>
          <w:spacing w:val="-13"/>
        </w:rPr>
        <w:t xml:space="preserve"> </w:t>
      </w:r>
      <w:r>
        <w:t>is</w:t>
      </w:r>
      <w:r>
        <w:rPr>
          <w:spacing w:val="-13"/>
        </w:rPr>
        <w:t xml:space="preserve"> </w:t>
      </w:r>
      <w:r>
        <w:t>unlikely</w:t>
      </w:r>
      <w:r>
        <w:rPr>
          <w:spacing w:val="-13"/>
        </w:rPr>
        <w:t xml:space="preserve"> </w:t>
      </w:r>
      <w:r>
        <w:t>to</w:t>
      </w:r>
      <w:r>
        <w:rPr>
          <w:spacing w:val="-13"/>
        </w:rPr>
        <w:t xml:space="preserve"> </w:t>
      </w:r>
      <w:r>
        <w:t>be</w:t>
      </w:r>
      <w:r>
        <w:rPr>
          <w:spacing w:val="-13"/>
        </w:rPr>
        <w:t xml:space="preserve"> </w:t>
      </w:r>
      <w:r>
        <w:t>viable</w:t>
      </w:r>
      <w:r>
        <w:rPr>
          <w:spacing w:val="-13"/>
        </w:rPr>
        <w:t xml:space="preserve"> </w:t>
      </w:r>
      <w:r>
        <w:t>in</w:t>
      </w:r>
      <w:r>
        <w:rPr>
          <w:spacing w:val="-13"/>
        </w:rPr>
        <w:t xml:space="preserve"> </w:t>
      </w:r>
      <w:r>
        <w:t>most</w:t>
      </w:r>
      <w:r>
        <w:rPr>
          <w:spacing w:val="-13"/>
        </w:rPr>
        <w:t xml:space="preserve"> </w:t>
      </w:r>
      <w:r>
        <w:t>cases.</w:t>
      </w:r>
    </w:p>
    <w:p w:rsidR="002C1123" w:rsidRDefault="00F22F94">
      <w:pPr>
        <w:pStyle w:val="BodyText"/>
        <w:spacing w:before="144" w:line="249" w:lineRule="auto"/>
        <w:ind w:left="239" w:right="52"/>
      </w:pPr>
      <w:r>
        <w:t>Infrastructure</w:t>
      </w:r>
      <w:r>
        <w:rPr>
          <w:spacing w:val="-14"/>
        </w:rPr>
        <w:t xml:space="preserve"> </w:t>
      </w:r>
      <w:r>
        <w:t>NSW</w:t>
      </w:r>
      <w:r>
        <w:rPr>
          <w:spacing w:val="-14"/>
        </w:rPr>
        <w:t xml:space="preserve"> </w:t>
      </w:r>
      <w:r>
        <w:t>has</w:t>
      </w:r>
      <w:r>
        <w:rPr>
          <w:spacing w:val="-14"/>
        </w:rPr>
        <w:t xml:space="preserve"> </w:t>
      </w:r>
      <w:r>
        <w:t>not</w:t>
      </w:r>
      <w:r>
        <w:rPr>
          <w:spacing w:val="-14"/>
        </w:rPr>
        <w:t xml:space="preserve"> </w:t>
      </w:r>
      <w:r>
        <w:t>assessed</w:t>
      </w:r>
      <w:r>
        <w:rPr>
          <w:spacing w:val="-14"/>
        </w:rPr>
        <w:t xml:space="preserve"> </w:t>
      </w:r>
      <w:r>
        <w:t>any</w:t>
      </w:r>
      <w:r>
        <w:rPr>
          <w:spacing w:val="-14"/>
        </w:rPr>
        <w:t xml:space="preserve"> </w:t>
      </w:r>
      <w:r>
        <w:t>of</w:t>
      </w:r>
      <w:r>
        <w:rPr>
          <w:spacing w:val="-14"/>
        </w:rPr>
        <w:t xml:space="preserve"> </w:t>
      </w:r>
      <w:r>
        <w:t xml:space="preserve">these </w:t>
      </w:r>
      <w:r>
        <w:rPr>
          <w:w w:val="95"/>
        </w:rPr>
        <w:t>proposed projects due to the absence, at this stage, of sufficiently</w:t>
      </w:r>
      <w:r>
        <w:rPr>
          <w:spacing w:val="-7"/>
          <w:w w:val="95"/>
        </w:rPr>
        <w:t xml:space="preserve"> </w:t>
      </w:r>
      <w:r>
        <w:rPr>
          <w:w w:val="95"/>
        </w:rPr>
        <w:t>detailed</w:t>
      </w:r>
      <w:r>
        <w:rPr>
          <w:spacing w:val="-7"/>
          <w:w w:val="95"/>
        </w:rPr>
        <w:t xml:space="preserve"> </w:t>
      </w:r>
      <w:r>
        <w:rPr>
          <w:w w:val="95"/>
        </w:rPr>
        <w:t>business</w:t>
      </w:r>
      <w:r>
        <w:rPr>
          <w:spacing w:val="-7"/>
          <w:w w:val="95"/>
        </w:rPr>
        <w:t xml:space="preserve"> </w:t>
      </w:r>
      <w:r>
        <w:rPr>
          <w:w w:val="95"/>
        </w:rPr>
        <w:t>cases.</w:t>
      </w:r>
      <w:r>
        <w:rPr>
          <w:spacing w:val="-7"/>
          <w:w w:val="95"/>
        </w:rPr>
        <w:t xml:space="preserve"> </w:t>
      </w:r>
      <w:r>
        <w:rPr>
          <w:w w:val="95"/>
        </w:rPr>
        <w:t>Transport</w:t>
      </w:r>
      <w:r>
        <w:rPr>
          <w:spacing w:val="-7"/>
          <w:w w:val="95"/>
        </w:rPr>
        <w:t xml:space="preserve"> </w:t>
      </w:r>
      <w:r>
        <w:rPr>
          <w:w w:val="95"/>
        </w:rPr>
        <w:t>for</w:t>
      </w:r>
      <w:r>
        <w:rPr>
          <w:spacing w:val="-7"/>
          <w:w w:val="95"/>
        </w:rPr>
        <w:t xml:space="preserve"> </w:t>
      </w:r>
      <w:r>
        <w:rPr>
          <w:w w:val="95"/>
        </w:rPr>
        <w:t xml:space="preserve">NSW </w:t>
      </w:r>
      <w:r>
        <w:t>is</w:t>
      </w:r>
      <w:r>
        <w:rPr>
          <w:spacing w:val="-11"/>
        </w:rPr>
        <w:t xml:space="preserve"> </w:t>
      </w:r>
      <w:r>
        <w:t>currently</w:t>
      </w:r>
      <w:r>
        <w:rPr>
          <w:spacing w:val="-11"/>
        </w:rPr>
        <w:t xml:space="preserve"> </w:t>
      </w:r>
      <w:r>
        <w:t>assessing</w:t>
      </w:r>
      <w:r>
        <w:rPr>
          <w:spacing w:val="-11"/>
        </w:rPr>
        <w:t xml:space="preserve"> </w:t>
      </w:r>
      <w:r>
        <w:t>the</w:t>
      </w:r>
      <w:r>
        <w:rPr>
          <w:spacing w:val="-11"/>
        </w:rPr>
        <w:t xml:space="preserve"> </w:t>
      </w:r>
      <w:r>
        <w:t>proposed</w:t>
      </w:r>
      <w:r>
        <w:rPr>
          <w:spacing w:val="-11"/>
        </w:rPr>
        <w:t xml:space="preserve"> </w:t>
      </w:r>
      <w:r>
        <w:t>reopening</w:t>
      </w:r>
      <w:r>
        <w:rPr>
          <w:spacing w:val="-11"/>
        </w:rPr>
        <w:t xml:space="preserve"> </w:t>
      </w:r>
      <w:r>
        <w:t>of</w:t>
      </w:r>
      <w:r>
        <w:rPr>
          <w:spacing w:val="-11"/>
        </w:rPr>
        <w:t xml:space="preserve"> </w:t>
      </w:r>
      <w:r>
        <w:t>the Casino</w:t>
      </w:r>
      <w:r>
        <w:rPr>
          <w:spacing w:val="-2"/>
        </w:rPr>
        <w:t xml:space="preserve"> </w:t>
      </w:r>
      <w:r>
        <w:t>to</w:t>
      </w:r>
      <w:r>
        <w:rPr>
          <w:spacing w:val="-2"/>
        </w:rPr>
        <w:t xml:space="preserve"> </w:t>
      </w:r>
      <w:r>
        <w:t>Murwillumbah</w:t>
      </w:r>
      <w:r>
        <w:rPr>
          <w:spacing w:val="-2"/>
        </w:rPr>
        <w:t xml:space="preserve"> </w:t>
      </w:r>
      <w:r>
        <w:t>rail</w:t>
      </w:r>
      <w:r>
        <w:rPr>
          <w:spacing w:val="-2"/>
        </w:rPr>
        <w:t xml:space="preserve"> </w:t>
      </w:r>
      <w:r>
        <w:t>corridor.</w:t>
      </w:r>
    </w:p>
    <w:p w:rsidR="002C1123" w:rsidRDefault="00F22F94">
      <w:pPr>
        <w:pStyle w:val="Heading6"/>
        <w:numPr>
          <w:ilvl w:val="2"/>
          <w:numId w:val="74"/>
        </w:numPr>
        <w:tabs>
          <w:tab w:val="left" w:pos="834"/>
        </w:tabs>
        <w:spacing w:before="146"/>
        <w:ind w:left="833"/>
        <w:jc w:val="left"/>
        <w:rPr>
          <w:color w:val="00AEEF"/>
        </w:rPr>
      </w:pPr>
      <w:r>
        <w:rPr>
          <w:color w:val="00AEEF"/>
          <w:w w:val="95"/>
        </w:rPr>
        <w:t>Supporting</w:t>
      </w:r>
      <w:r>
        <w:rPr>
          <w:color w:val="00AEEF"/>
          <w:spacing w:val="1"/>
        </w:rPr>
        <w:t xml:space="preserve"> </w:t>
      </w:r>
      <w:r>
        <w:rPr>
          <w:color w:val="00AEEF"/>
          <w:w w:val="95"/>
        </w:rPr>
        <w:t>regional</w:t>
      </w:r>
      <w:r>
        <w:rPr>
          <w:color w:val="00AEEF"/>
          <w:spacing w:val="1"/>
        </w:rPr>
        <w:t xml:space="preserve"> </w:t>
      </w:r>
      <w:r>
        <w:rPr>
          <w:color w:val="00AEEF"/>
          <w:spacing w:val="-2"/>
          <w:w w:val="95"/>
        </w:rPr>
        <w:t>aviation</w:t>
      </w:r>
    </w:p>
    <w:p w:rsidR="002C1123" w:rsidRDefault="00F22F94">
      <w:pPr>
        <w:pStyle w:val="BodyText"/>
        <w:spacing w:before="95" w:line="249" w:lineRule="auto"/>
        <w:ind w:left="239"/>
      </w:pPr>
      <w:r>
        <w:rPr>
          <w:w w:val="95"/>
        </w:rPr>
        <w:t>As</w:t>
      </w:r>
      <w:r>
        <w:rPr>
          <w:spacing w:val="-12"/>
          <w:w w:val="95"/>
        </w:rPr>
        <w:t xml:space="preserve"> </w:t>
      </w:r>
      <w:r>
        <w:rPr>
          <w:w w:val="95"/>
        </w:rPr>
        <w:t>Section</w:t>
      </w:r>
      <w:r>
        <w:rPr>
          <w:spacing w:val="-11"/>
          <w:w w:val="95"/>
        </w:rPr>
        <w:t xml:space="preserve"> </w:t>
      </w:r>
      <w:r>
        <w:rPr>
          <w:w w:val="95"/>
        </w:rPr>
        <w:t>5</w:t>
      </w:r>
      <w:r>
        <w:rPr>
          <w:spacing w:val="-11"/>
          <w:w w:val="95"/>
        </w:rPr>
        <w:t xml:space="preserve"> </w:t>
      </w:r>
      <w:r>
        <w:rPr>
          <w:w w:val="95"/>
        </w:rPr>
        <w:t>notes,</w:t>
      </w:r>
      <w:r>
        <w:rPr>
          <w:spacing w:val="-11"/>
          <w:w w:val="95"/>
        </w:rPr>
        <w:t xml:space="preserve"> </w:t>
      </w:r>
      <w:r>
        <w:rPr>
          <w:w w:val="95"/>
        </w:rPr>
        <w:t>regional</w:t>
      </w:r>
      <w:r>
        <w:rPr>
          <w:spacing w:val="-12"/>
          <w:w w:val="95"/>
        </w:rPr>
        <w:t xml:space="preserve"> </w:t>
      </w:r>
      <w:r>
        <w:rPr>
          <w:w w:val="95"/>
        </w:rPr>
        <w:t>air</w:t>
      </w:r>
      <w:r>
        <w:rPr>
          <w:spacing w:val="-11"/>
          <w:w w:val="95"/>
        </w:rPr>
        <w:t xml:space="preserve"> </w:t>
      </w:r>
      <w:r>
        <w:rPr>
          <w:w w:val="95"/>
        </w:rPr>
        <w:t>travel</w:t>
      </w:r>
      <w:r>
        <w:rPr>
          <w:spacing w:val="-11"/>
          <w:w w:val="95"/>
        </w:rPr>
        <w:t xml:space="preserve"> </w:t>
      </w:r>
      <w:r>
        <w:rPr>
          <w:w w:val="95"/>
        </w:rPr>
        <w:t>access</w:t>
      </w:r>
      <w:r>
        <w:rPr>
          <w:spacing w:val="-11"/>
          <w:w w:val="95"/>
        </w:rPr>
        <w:t xml:space="preserve"> </w:t>
      </w:r>
      <w:r>
        <w:rPr>
          <w:w w:val="95"/>
        </w:rPr>
        <w:t>is</w:t>
      </w:r>
      <w:r>
        <w:rPr>
          <w:spacing w:val="-11"/>
          <w:w w:val="95"/>
        </w:rPr>
        <w:t xml:space="preserve"> </w:t>
      </w:r>
      <w:r>
        <w:rPr>
          <w:w w:val="95"/>
        </w:rPr>
        <w:t xml:space="preserve">needed </w:t>
      </w:r>
      <w:r>
        <w:t>not</w:t>
      </w:r>
      <w:r>
        <w:rPr>
          <w:spacing w:val="-10"/>
        </w:rPr>
        <w:t xml:space="preserve"> </w:t>
      </w:r>
      <w:r>
        <w:t>only</w:t>
      </w:r>
      <w:r>
        <w:rPr>
          <w:spacing w:val="-10"/>
        </w:rPr>
        <w:t xml:space="preserve"> </w:t>
      </w:r>
      <w:r>
        <w:t>to</w:t>
      </w:r>
      <w:r>
        <w:rPr>
          <w:spacing w:val="-10"/>
        </w:rPr>
        <w:t xml:space="preserve"> </w:t>
      </w:r>
      <w:r>
        <w:t>connect</w:t>
      </w:r>
      <w:r>
        <w:rPr>
          <w:spacing w:val="-10"/>
        </w:rPr>
        <w:t xml:space="preserve"> </w:t>
      </w:r>
      <w:r>
        <w:t>people</w:t>
      </w:r>
      <w:r>
        <w:rPr>
          <w:spacing w:val="-10"/>
        </w:rPr>
        <w:t xml:space="preserve"> </w:t>
      </w:r>
      <w:r>
        <w:t>to</w:t>
      </w:r>
      <w:r>
        <w:rPr>
          <w:spacing w:val="-10"/>
        </w:rPr>
        <w:t xml:space="preserve"> </w:t>
      </w:r>
      <w:r>
        <w:t>and</w:t>
      </w:r>
      <w:r>
        <w:rPr>
          <w:spacing w:val="-10"/>
        </w:rPr>
        <w:t xml:space="preserve"> </w:t>
      </w:r>
      <w:r>
        <w:t>from</w:t>
      </w:r>
      <w:r>
        <w:rPr>
          <w:spacing w:val="-10"/>
        </w:rPr>
        <w:t xml:space="preserve"> </w:t>
      </w:r>
      <w:r>
        <w:t>jobs</w:t>
      </w:r>
      <w:r>
        <w:rPr>
          <w:spacing w:val="-10"/>
        </w:rPr>
        <w:t xml:space="preserve"> </w:t>
      </w:r>
      <w:r>
        <w:t>across</w:t>
      </w:r>
    </w:p>
    <w:p w:rsidR="002C1123" w:rsidRDefault="00F22F94">
      <w:pPr>
        <w:pStyle w:val="BodyText"/>
        <w:spacing w:before="129" w:line="249" w:lineRule="auto"/>
        <w:ind w:left="206" w:right="749"/>
      </w:pPr>
      <w:r>
        <w:br w:type="column"/>
      </w:r>
      <w:r>
        <w:rPr>
          <w:w w:val="90"/>
        </w:rPr>
        <w:t xml:space="preserve">NSW and interstate (including for Fly-In-Fly-Out (FIFO) </w:t>
      </w:r>
      <w:r>
        <w:t>employment),</w:t>
      </w:r>
      <w:r>
        <w:rPr>
          <w:spacing w:val="-14"/>
        </w:rPr>
        <w:t xml:space="preserve"> </w:t>
      </w:r>
      <w:r>
        <w:t>but</w:t>
      </w:r>
      <w:r>
        <w:rPr>
          <w:spacing w:val="-14"/>
        </w:rPr>
        <w:t xml:space="preserve"> </w:t>
      </w:r>
      <w:r>
        <w:t>also</w:t>
      </w:r>
      <w:r>
        <w:rPr>
          <w:spacing w:val="-14"/>
        </w:rPr>
        <w:t xml:space="preserve"> </w:t>
      </w:r>
      <w:r>
        <w:t>to</w:t>
      </w:r>
      <w:r>
        <w:rPr>
          <w:spacing w:val="-14"/>
        </w:rPr>
        <w:t xml:space="preserve"> </w:t>
      </w:r>
      <w:r>
        <w:t>bring</w:t>
      </w:r>
      <w:r>
        <w:rPr>
          <w:spacing w:val="-14"/>
        </w:rPr>
        <w:t xml:space="preserve"> </w:t>
      </w:r>
      <w:r>
        <w:t>health</w:t>
      </w:r>
      <w:r>
        <w:rPr>
          <w:spacing w:val="-14"/>
        </w:rPr>
        <w:t xml:space="preserve"> </w:t>
      </w:r>
      <w:r>
        <w:t>and</w:t>
      </w:r>
      <w:r>
        <w:rPr>
          <w:spacing w:val="-14"/>
        </w:rPr>
        <w:t xml:space="preserve"> </w:t>
      </w:r>
      <w:r>
        <w:t>other professional</w:t>
      </w:r>
      <w:r>
        <w:rPr>
          <w:spacing w:val="-6"/>
        </w:rPr>
        <w:t xml:space="preserve"> </w:t>
      </w:r>
      <w:r>
        <w:t>services</w:t>
      </w:r>
      <w:r>
        <w:rPr>
          <w:spacing w:val="-6"/>
        </w:rPr>
        <w:t xml:space="preserve"> </w:t>
      </w:r>
      <w:r>
        <w:t>to</w:t>
      </w:r>
      <w:r>
        <w:rPr>
          <w:spacing w:val="-6"/>
        </w:rPr>
        <w:t xml:space="preserve"> </w:t>
      </w:r>
      <w:r>
        <w:t>regions.</w:t>
      </w:r>
    </w:p>
    <w:p w:rsidR="002C1123" w:rsidRDefault="00F22F94">
      <w:pPr>
        <w:pStyle w:val="BodyText"/>
        <w:spacing w:before="144" w:line="249" w:lineRule="auto"/>
        <w:ind w:left="206" w:right="749"/>
      </w:pPr>
      <w:r>
        <w:t>The</w:t>
      </w:r>
      <w:r>
        <w:rPr>
          <w:spacing w:val="-14"/>
        </w:rPr>
        <w:t xml:space="preserve"> </w:t>
      </w:r>
      <w:r>
        <w:t>role</w:t>
      </w:r>
      <w:r>
        <w:rPr>
          <w:spacing w:val="-14"/>
        </w:rPr>
        <w:t xml:space="preserve"> </w:t>
      </w:r>
      <w:r>
        <w:t>of</w:t>
      </w:r>
      <w:r>
        <w:rPr>
          <w:spacing w:val="-14"/>
        </w:rPr>
        <w:t xml:space="preserve"> </w:t>
      </w:r>
      <w:r>
        <w:t>the</w:t>
      </w:r>
      <w:r>
        <w:rPr>
          <w:spacing w:val="-14"/>
        </w:rPr>
        <w:t xml:space="preserve"> </w:t>
      </w:r>
      <w:r>
        <w:t>NSW</w:t>
      </w:r>
      <w:r>
        <w:rPr>
          <w:spacing w:val="-14"/>
        </w:rPr>
        <w:t xml:space="preserve"> </w:t>
      </w:r>
      <w:r>
        <w:t>Government</w:t>
      </w:r>
      <w:r>
        <w:rPr>
          <w:spacing w:val="-14"/>
        </w:rPr>
        <w:t xml:space="preserve"> </w:t>
      </w:r>
      <w:r>
        <w:t>in</w:t>
      </w:r>
      <w:r>
        <w:rPr>
          <w:spacing w:val="-14"/>
        </w:rPr>
        <w:t xml:space="preserve"> </w:t>
      </w:r>
      <w:r>
        <w:t>this</w:t>
      </w:r>
      <w:r>
        <w:rPr>
          <w:spacing w:val="-13"/>
        </w:rPr>
        <w:t xml:space="preserve"> </w:t>
      </w:r>
      <w:r>
        <w:t>sector</w:t>
      </w:r>
      <w:r>
        <w:rPr>
          <w:spacing w:val="-14"/>
        </w:rPr>
        <w:t xml:space="preserve"> </w:t>
      </w:r>
      <w:r>
        <w:t xml:space="preserve">is </w:t>
      </w:r>
      <w:r>
        <w:rPr>
          <w:spacing w:val="-2"/>
        </w:rPr>
        <w:t>limited</w:t>
      </w:r>
      <w:r>
        <w:rPr>
          <w:spacing w:val="-6"/>
        </w:rPr>
        <w:t xml:space="preserve"> </w:t>
      </w:r>
      <w:r>
        <w:rPr>
          <w:spacing w:val="-2"/>
        </w:rPr>
        <w:t>to</w:t>
      </w:r>
      <w:r>
        <w:rPr>
          <w:spacing w:val="-6"/>
        </w:rPr>
        <w:t xml:space="preserve"> </w:t>
      </w:r>
      <w:r>
        <w:rPr>
          <w:spacing w:val="-2"/>
        </w:rPr>
        <w:t>its</w:t>
      </w:r>
      <w:r>
        <w:rPr>
          <w:spacing w:val="-6"/>
        </w:rPr>
        <w:t xml:space="preserve"> </w:t>
      </w:r>
      <w:r>
        <w:rPr>
          <w:spacing w:val="-2"/>
        </w:rPr>
        <w:t>role</w:t>
      </w:r>
      <w:r>
        <w:rPr>
          <w:spacing w:val="-6"/>
        </w:rPr>
        <w:t xml:space="preserve"> </w:t>
      </w:r>
      <w:r>
        <w:rPr>
          <w:spacing w:val="-2"/>
        </w:rPr>
        <w:t>in</w:t>
      </w:r>
      <w:r>
        <w:rPr>
          <w:spacing w:val="-6"/>
        </w:rPr>
        <w:t xml:space="preserve"> </w:t>
      </w:r>
      <w:r>
        <w:rPr>
          <w:spacing w:val="-2"/>
        </w:rPr>
        <w:t>licencing</w:t>
      </w:r>
      <w:r>
        <w:rPr>
          <w:spacing w:val="-6"/>
        </w:rPr>
        <w:t xml:space="preserve"> </w:t>
      </w:r>
      <w:r>
        <w:rPr>
          <w:spacing w:val="-2"/>
        </w:rPr>
        <w:t>regional</w:t>
      </w:r>
      <w:r>
        <w:rPr>
          <w:spacing w:val="-6"/>
        </w:rPr>
        <w:t xml:space="preserve"> </w:t>
      </w:r>
      <w:r>
        <w:rPr>
          <w:spacing w:val="-2"/>
        </w:rPr>
        <w:t>aviation.</w:t>
      </w:r>
      <w:r>
        <w:rPr>
          <w:spacing w:val="-6"/>
        </w:rPr>
        <w:t xml:space="preserve"> </w:t>
      </w:r>
      <w:r>
        <w:rPr>
          <w:spacing w:val="-2"/>
        </w:rPr>
        <w:t xml:space="preserve">Market </w:t>
      </w:r>
      <w:r>
        <w:rPr>
          <w:w w:val="95"/>
        </w:rPr>
        <w:t>driven</w:t>
      </w:r>
      <w:r>
        <w:rPr>
          <w:spacing w:val="-1"/>
          <w:w w:val="95"/>
        </w:rPr>
        <w:t xml:space="preserve"> </w:t>
      </w:r>
      <w:r>
        <w:rPr>
          <w:w w:val="95"/>
        </w:rPr>
        <w:t>investment</w:t>
      </w:r>
      <w:r>
        <w:rPr>
          <w:spacing w:val="-1"/>
          <w:w w:val="95"/>
        </w:rPr>
        <w:t xml:space="preserve"> </w:t>
      </w:r>
      <w:r>
        <w:rPr>
          <w:w w:val="95"/>
        </w:rPr>
        <w:t>should</w:t>
      </w:r>
      <w:r>
        <w:rPr>
          <w:spacing w:val="-1"/>
          <w:w w:val="95"/>
        </w:rPr>
        <w:t xml:space="preserve"> </w:t>
      </w:r>
      <w:r>
        <w:rPr>
          <w:w w:val="95"/>
        </w:rPr>
        <w:t>fund</w:t>
      </w:r>
      <w:r>
        <w:rPr>
          <w:spacing w:val="-1"/>
          <w:w w:val="95"/>
        </w:rPr>
        <w:t xml:space="preserve"> </w:t>
      </w:r>
      <w:r>
        <w:rPr>
          <w:w w:val="95"/>
        </w:rPr>
        <w:t>airport</w:t>
      </w:r>
      <w:r>
        <w:rPr>
          <w:spacing w:val="-1"/>
          <w:w w:val="95"/>
        </w:rPr>
        <w:t xml:space="preserve"> </w:t>
      </w:r>
      <w:r>
        <w:rPr>
          <w:w w:val="95"/>
        </w:rPr>
        <w:t>expansion</w:t>
      </w:r>
      <w:r>
        <w:rPr>
          <w:spacing w:val="-1"/>
          <w:w w:val="95"/>
        </w:rPr>
        <w:t xml:space="preserve"> </w:t>
      </w:r>
      <w:r>
        <w:rPr>
          <w:w w:val="95"/>
        </w:rPr>
        <w:t xml:space="preserve">where </w:t>
      </w:r>
      <w:r>
        <w:t>required.</w:t>
      </w:r>
      <w:r>
        <w:rPr>
          <w:spacing w:val="-8"/>
        </w:rPr>
        <w:t xml:space="preserve"> </w:t>
      </w:r>
      <w:r>
        <w:t>Landside</w:t>
      </w:r>
      <w:r>
        <w:rPr>
          <w:spacing w:val="-8"/>
        </w:rPr>
        <w:t xml:space="preserve"> </w:t>
      </w:r>
      <w:r>
        <w:t>infrastructure</w:t>
      </w:r>
      <w:r>
        <w:rPr>
          <w:spacing w:val="-8"/>
        </w:rPr>
        <w:t xml:space="preserve"> </w:t>
      </w:r>
      <w:r>
        <w:t>upgrades</w:t>
      </w:r>
      <w:r>
        <w:rPr>
          <w:spacing w:val="-8"/>
        </w:rPr>
        <w:t xml:space="preserve"> </w:t>
      </w:r>
      <w:r>
        <w:t>around airports</w:t>
      </w:r>
      <w:r>
        <w:rPr>
          <w:spacing w:val="-5"/>
        </w:rPr>
        <w:t xml:space="preserve"> </w:t>
      </w:r>
      <w:r>
        <w:t>will</w:t>
      </w:r>
      <w:r>
        <w:rPr>
          <w:spacing w:val="-5"/>
        </w:rPr>
        <w:t xml:space="preserve"> </w:t>
      </w:r>
      <w:r>
        <w:t>primarily</w:t>
      </w:r>
      <w:r>
        <w:rPr>
          <w:spacing w:val="-5"/>
        </w:rPr>
        <w:t xml:space="preserve"> </w:t>
      </w:r>
      <w:r>
        <w:t>be</w:t>
      </w:r>
      <w:r>
        <w:rPr>
          <w:spacing w:val="-5"/>
        </w:rPr>
        <w:t xml:space="preserve"> </w:t>
      </w:r>
      <w:r>
        <w:t>on</w:t>
      </w:r>
      <w:r>
        <w:rPr>
          <w:spacing w:val="-5"/>
        </w:rPr>
        <w:t xml:space="preserve"> </w:t>
      </w:r>
      <w:r>
        <w:t>local</w:t>
      </w:r>
      <w:r>
        <w:rPr>
          <w:spacing w:val="-5"/>
        </w:rPr>
        <w:t xml:space="preserve"> </w:t>
      </w:r>
      <w:r>
        <w:t>roads.</w:t>
      </w:r>
    </w:p>
    <w:p w:rsidR="002C1123" w:rsidRDefault="00F22F94">
      <w:pPr>
        <w:pStyle w:val="BodyText"/>
        <w:spacing w:before="146" w:line="249" w:lineRule="auto"/>
        <w:ind w:left="206" w:right="1044"/>
      </w:pPr>
      <w:r>
        <w:t>As</w:t>
      </w:r>
      <w:r>
        <w:rPr>
          <w:spacing w:val="-14"/>
        </w:rPr>
        <w:t xml:space="preserve"> </w:t>
      </w:r>
      <w:r>
        <w:t>Section</w:t>
      </w:r>
      <w:r>
        <w:rPr>
          <w:spacing w:val="-14"/>
        </w:rPr>
        <w:t xml:space="preserve"> </w:t>
      </w:r>
      <w:r>
        <w:t>9</w:t>
      </w:r>
      <w:r>
        <w:rPr>
          <w:spacing w:val="-14"/>
        </w:rPr>
        <w:t xml:space="preserve"> </w:t>
      </w:r>
      <w:r>
        <w:t>notes,</w:t>
      </w:r>
      <w:r>
        <w:rPr>
          <w:spacing w:val="-14"/>
        </w:rPr>
        <w:t xml:space="preserve"> </w:t>
      </w:r>
      <w:r>
        <w:t>however,</w:t>
      </w:r>
      <w:r>
        <w:rPr>
          <w:spacing w:val="-14"/>
        </w:rPr>
        <w:t xml:space="preserve"> </w:t>
      </w:r>
      <w:r>
        <w:t>there</w:t>
      </w:r>
      <w:r>
        <w:rPr>
          <w:spacing w:val="-14"/>
        </w:rPr>
        <w:t xml:space="preserve"> </w:t>
      </w:r>
      <w:r>
        <w:t>is</w:t>
      </w:r>
      <w:r>
        <w:rPr>
          <w:spacing w:val="-14"/>
        </w:rPr>
        <w:t xml:space="preserve"> </w:t>
      </w:r>
      <w:r>
        <w:t>a</w:t>
      </w:r>
      <w:r>
        <w:rPr>
          <w:spacing w:val="-14"/>
        </w:rPr>
        <w:t xml:space="preserve"> </w:t>
      </w:r>
      <w:r>
        <w:t>case</w:t>
      </w:r>
      <w:r>
        <w:rPr>
          <w:spacing w:val="-14"/>
        </w:rPr>
        <w:t xml:space="preserve"> </w:t>
      </w:r>
      <w:r>
        <w:t>for expanding</w:t>
      </w:r>
      <w:r>
        <w:rPr>
          <w:spacing w:val="-14"/>
        </w:rPr>
        <w:t xml:space="preserve"> </w:t>
      </w:r>
      <w:r>
        <w:t>aviation</w:t>
      </w:r>
      <w:r>
        <w:rPr>
          <w:spacing w:val="-14"/>
        </w:rPr>
        <w:t xml:space="preserve"> </w:t>
      </w:r>
      <w:r>
        <w:t>capacity</w:t>
      </w:r>
      <w:r>
        <w:rPr>
          <w:spacing w:val="-14"/>
        </w:rPr>
        <w:t xml:space="preserve"> </w:t>
      </w:r>
      <w:r>
        <w:t>in</w:t>
      </w:r>
      <w:r>
        <w:rPr>
          <w:spacing w:val="-14"/>
        </w:rPr>
        <w:t xml:space="preserve"> </w:t>
      </w:r>
      <w:r>
        <w:t>Western</w:t>
      </w:r>
      <w:r>
        <w:rPr>
          <w:spacing w:val="-14"/>
        </w:rPr>
        <w:t xml:space="preserve"> </w:t>
      </w:r>
      <w:r>
        <w:t xml:space="preserve">Sydney </w:t>
      </w:r>
      <w:r>
        <w:rPr>
          <w:w w:val="95"/>
        </w:rPr>
        <w:t>over</w:t>
      </w:r>
      <w:r>
        <w:rPr>
          <w:spacing w:val="-5"/>
          <w:w w:val="95"/>
        </w:rPr>
        <w:t xml:space="preserve"> </w:t>
      </w:r>
      <w:r>
        <w:rPr>
          <w:w w:val="95"/>
        </w:rPr>
        <w:t>the</w:t>
      </w:r>
      <w:r>
        <w:rPr>
          <w:spacing w:val="-5"/>
          <w:w w:val="95"/>
        </w:rPr>
        <w:t xml:space="preserve"> </w:t>
      </w:r>
      <w:r>
        <w:rPr>
          <w:w w:val="95"/>
        </w:rPr>
        <w:t>longer</w:t>
      </w:r>
      <w:r>
        <w:rPr>
          <w:spacing w:val="-5"/>
          <w:w w:val="95"/>
        </w:rPr>
        <w:t xml:space="preserve"> </w:t>
      </w:r>
      <w:r>
        <w:rPr>
          <w:w w:val="95"/>
        </w:rPr>
        <w:t>term.</w:t>
      </w:r>
      <w:r>
        <w:rPr>
          <w:spacing w:val="-5"/>
          <w:w w:val="95"/>
        </w:rPr>
        <w:t xml:space="preserve"> </w:t>
      </w:r>
      <w:r>
        <w:rPr>
          <w:w w:val="95"/>
        </w:rPr>
        <w:t>State</w:t>
      </w:r>
      <w:r>
        <w:rPr>
          <w:spacing w:val="-5"/>
          <w:w w:val="95"/>
        </w:rPr>
        <w:t xml:space="preserve"> </w:t>
      </w:r>
      <w:r>
        <w:rPr>
          <w:w w:val="95"/>
        </w:rPr>
        <w:t>investment</w:t>
      </w:r>
      <w:r>
        <w:rPr>
          <w:spacing w:val="-5"/>
          <w:w w:val="95"/>
        </w:rPr>
        <w:t xml:space="preserve"> </w:t>
      </w:r>
      <w:r>
        <w:rPr>
          <w:w w:val="95"/>
        </w:rPr>
        <w:t>in</w:t>
      </w:r>
      <w:r>
        <w:rPr>
          <w:spacing w:val="-5"/>
          <w:w w:val="95"/>
        </w:rPr>
        <w:t xml:space="preserve"> </w:t>
      </w:r>
      <w:r>
        <w:rPr>
          <w:w w:val="95"/>
        </w:rPr>
        <w:t xml:space="preserve">supporting </w:t>
      </w:r>
      <w:r>
        <w:t>infrastructure</w:t>
      </w:r>
      <w:r>
        <w:rPr>
          <w:spacing w:val="-7"/>
        </w:rPr>
        <w:t xml:space="preserve"> </w:t>
      </w:r>
      <w:r>
        <w:t>would</w:t>
      </w:r>
      <w:r>
        <w:rPr>
          <w:spacing w:val="-7"/>
        </w:rPr>
        <w:t xml:space="preserve"> </w:t>
      </w:r>
      <w:r>
        <w:t>be</w:t>
      </w:r>
      <w:r>
        <w:rPr>
          <w:spacing w:val="-7"/>
        </w:rPr>
        <w:t xml:space="preserve"> </w:t>
      </w:r>
      <w:r>
        <w:t>needed</w:t>
      </w:r>
      <w:r>
        <w:rPr>
          <w:spacing w:val="-7"/>
        </w:rPr>
        <w:t xml:space="preserve"> </w:t>
      </w:r>
      <w:r>
        <w:t>to</w:t>
      </w:r>
      <w:r>
        <w:rPr>
          <w:spacing w:val="-7"/>
        </w:rPr>
        <w:t xml:space="preserve"> </w:t>
      </w:r>
      <w:r>
        <w:t>enable</w:t>
      </w:r>
      <w:r>
        <w:rPr>
          <w:spacing w:val="-7"/>
        </w:rPr>
        <w:t xml:space="preserve"> </w:t>
      </w:r>
      <w:r>
        <w:t>this.</w:t>
      </w:r>
    </w:p>
    <w:p w:rsidR="002C1123" w:rsidRDefault="00F22F94">
      <w:pPr>
        <w:pStyle w:val="BodyText"/>
        <w:spacing w:before="145" w:line="249" w:lineRule="auto"/>
        <w:ind w:left="206" w:right="739"/>
        <w:jc w:val="both"/>
      </w:pPr>
      <w:r>
        <w:rPr>
          <w:w w:val="95"/>
        </w:rPr>
        <w:t>From a regional perspective, additional aviation capacity in</w:t>
      </w:r>
      <w:r>
        <w:rPr>
          <w:spacing w:val="-1"/>
          <w:w w:val="95"/>
        </w:rPr>
        <w:t xml:space="preserve"> </w:t>
      </w:r>
      <w:r>
        <w:rPr>
          <w:w w:val="95"/>
        </w:rPr>
        <w:t>Sydney</w:t>
      </w:r>
      <w:r>
        <w:rPr>
          <w:spacing w:val="-1"/>
          <w:w w:val="95"/>
        </w:rPr>
        <w:t xml:space="preserve"> </w:t>
      </w:r>
      <w:r>
        <w:rPr>
          <w:w w:val="95"/>
        </w:rPr>
        <w:t>could</w:t>
      </w:r>
      <w:r>
        <w:rPr>
          <w:spacing w:val="-1"/>
          <w:w w:val="95"/>
        </w:rPr>
        <w:t xml:space="preserve"> </w:t>
      </w:r>
      <w:r>
        <w:rPr>
          <w:w w:val="95"/>
        </w:rPr>
        <w:t>improve</w:t>
      </w:r>
      <w:r>
        <w:rPr>
          <w:spacing w:val="-1"/>
          <w:w w:val="95"/>
        </w:rPr>
        <w:t xml:space="preserve"> </w:t>
      </w:r>
      <w:r>
        <w:rPr>
          <w:w w:val="95"/>
        </w:rPr>
        <w:t>connectivity</w:t>
      </w:r>
      <w:r>
        <w:rPr>
          <w:spacing w:val="-1"/>
          <w:w w:val="95"/>
        </w:rPr>
        <w:t xml:space="preserve"> </w:t>
      </w:r>
      <w:r>
        <w:rPr>
          <w:w w:val="95"/>
        </w:rPr>
        <w:t>to</w:t>
      </w:r>
      <w:r>
        <w:rPr>
          <w:spacing w:val="-1"/>
          <w:w w:val="95"/>
        </w:rPr>
        <w:t xml:space="preserve"> </w:t>
      </w:r>
      <w:r>
        <w:rPr>
          <w:w w:val="95"/>
        </w:rPr>
        <w:t>the</w:t>
      </w:r>
      <w:r>
        <w:rPr>
          <w:spacing w:val="-1"/>
          <w:w w:val="95"/>
        </w:rPr>
        <w:t xml:space="preserve"> </w:t>
      </w:r>
      <w:r>
        <w:rPr>
          <w:w w:val="95"/>
        </w:rPr>
        <w:t xml:space="preserve">metropolitan </w:t>
      </w:r>
      <w:r>
        <w:rPr>
          <w:spacing w:val="-2"/>
        </w:rPr>
        <w:t>area.</w:t>
      </w:r>
      <w:r>
        <w:rPr>
          <w:spacing w:val="-11"/>
        </w:rPr>
        <w:t xml:space="preserve"> </w:t>
      </w:r>
      <w:r>
        <w:rPr>
          <w:spacing w:val="-2"/>
        </w:rPr>
        <w:t>Potentially,</w:t>
      </w:r>
      <w:r>
        <w:rPr>
          <w:spacing w:val="-11"/>
        </w:rPr>
        <w:t xml:space="preserve"> </w:t>
      </w:r>
      <w:r>
        <w:rPr>
          <w:spacing w:val="-2"/>
        </w:rPr>
        <w:t>a</w:t>
      </w:r>
      <w:r>
        <w:rPr>
          <w:spacing w:val="-11"/>
        </w:rPr>
        <w:t xml:space="preserve"> </w:t>
      </w:r>
      <w:r>
        <w:rPr>
          <w:spacing w:val="-2"/>
        </w:rPr>
        <w:t>Western</w:t>
      </w:r>
      <w:r>
        <w:rPr>
          <w:spacing w:val="-11"/>
        </w:rPr>
        <w:t xml:space="preserve"> </w:t>
      </w:r>
      <w:r>
        <w:rPr>
          <w:spacing w:val="-2"/>
        </w:rPr>
        <w:t>Sydney</w:t>
      </w:r>
      <w:r>
        <w:rPr>
          <w:spacing w:val="-11"/>
        </w:rPr>
        <w:t xml:space="preserve"> </w:t>
      </w:r>
      <w:r>
        <w:rPr>
          <w:spacing w:val="-2"/>
        </w:rPr>
        <w:t>Regional</w:t>
      </w:r>
    </w:p>
    <w:p w:rsidR="002C1123" w:rsidRDefault="00F22F94">
      <w:pPr>
        <w:pStyle w:val="BodyText"/>
        <w:spacing w:before="2" w:line="249" w:lineRule="auto"/>
        <w:ind w:left="206" w:right="1197"/>
        <w:jc w:val="both"/>
      </w:pPr>
      <w:r>
        <w:rPr>
          <w:w w:val="95"/>
        </w:rPr>
        <w:t>Airport</w:t>
      </w:r>
      <w:r>
        <w:rPr>
          <w:spacing w:val="-8"/>
          <w:w w:val="95"/>
        </w:rPr>
        <w:t xml:space="preserve"> </w:t>
      </w:r>
      <w:r>
        <w:rPr>
          <w:w w:val="95"/>
        </w:rPr>
        <w:t>could</w:t>
      </w:r>
      <w:r>
        <w:rPr>
          <w:spacing w:val="-8"/>
          <w:w w:val="95"/>
        </w:rPr>
        <w:t xml:space="preserve"> </w:t>
      </w:r>
      <w:r>
        <w:rPr>
          <w:w w:val="95"/>
        </w:rPr>
        <w:t>also</w:t>
      </w:r>
      <w:r>
        <w:rPr>
          <w:spacing w:val="-8"/>
          <w:w w:val="95"/>
        </w:rPr>
        <w:t xml:space="preserve"> </w:t>
      </w:r>
      <w:r>
        <w:rPr>
          <w:w w:val="95"/>
        </w:rPr>
        <w:t>be</w:t>
      </w:r>
      <w:r>
        <w:rPr>
          <w:spacing w:val="-8"/>
          <w:w w:val="95"/>
        </w:rPr>
        <w:t xml:space="preserve"> </w:t>
      </w:r>
      <w:r>
        <w:rPr>
          <w:w w:val="95"/>
        </w:rPr>
        <w:t>used</w:t>
      </w:r>
      <w:r>
        <w:rPr>
          <w:spacing w:val="-8"/>
          <w:w w:val="95"/>
        </w:rPr>
        <w:t xml:space="preserve"> </w:t>
      </w:r>
      <w:r>
        <w:rPr>
          <w:w w:val="95"/>
        </w:rPr>
        <w:t>as</w:t>
      </w:r>
      <w:r>
        <w:rPr>
          <w:spacing w:val="-8"/>
          <w:w w:val="95"/>
        </w:rPr>
        <w:t xml:space="preserve"> </w:t>
      </w:r>
      <w:r>
        <w:rPr>
          <w:w w:val="95"/>
        </w:rPr>
        <w:t>a</w:t>
      </w:r>
      <w:r>
        <w:rPr>
          <w:spacing w:val="-8"/>
          <w:w w:val="95"/>
        </w:rPr>
        <w:t xml:space="preserve"> </w:t>
      </w:r>
      <w:r>
        <w:rPr>
          <w:w w:val="95"/>
        </w:rPr>
        <w:t>hub</w:t>
      </w:r>
      <w:r>
        <w:rPr>
          <w:spacing w:val="-8"/>
          <w:w w:val="95"/>
        </w:rPr>
        <w:t xml:space="preserve"> </w:t>
      </w:r>
      <w:r>
        <w:rPr>
          <w:w w:val="95"/>
        </w:rPr>
        <w:t>for</w:t>
      </w:r>
      <w:r>
        <w:rPr>
          <w:spacing w:val="-8"/>
          <w:w w:val="95"/>
        </w:rPr>
        <w:t xml:space="preserve"> </w:t>
      </w:r>
      <w:r>
        <w:rPr>
          <w:w w:val="95"/>
        </w:rPr>
        <w:t>FIFO</w:t>
      </w:r>
      <w:r>
        <w:rPr>
          <w:spacing w:val="-8"/>
          <w:w w:val="95"/>
        </w:rPr>
        <w:t xml:space="preserve"> </w:t>
      </w:r>
      <w:r>
        <w:rPr>
          <w:w w:val="95"/>
        </w:rPr>
        <w:t>mining flights,</w:t>
      </w:r>
      <w:r>
        <w:rPr>
          <w:spacing w:val="-2"/>
          <w:w w:val="95"/>
        </w:rPr>
        <w:t xml:space="preserve"> </w:t>
      </w:r>
      <w:r>
        <w:rPr>
          <w:w w:val="95"/>
        </w:rPr>
        <w:t>improving</w:t>
      </w:r>
      <w:r>
        <w:rPr>
          <w:spacing w:val="-2"/>
          <w:w w:val="95"/>
        </w:rPr>
        <w:t xml:space="preserve"> </w:t>
      </w:r>
      <w:r>
        <w:rPr>
          <w:w w:val="95"/>
        </w:rPr>
        <w:t>regional</w:t>
      </w:r>
      <w:r>
        <w:rPr>
          <w:spacing w:val="-2"/>
          <w:w w:val="95"/>
        </w:rPr>
        <w:t xml:space="preserve"> </w:t>
      </w:r>
      <w:r>
        <w:rPr>
          <w:w w:val="95"/>
        </w:rPr>
        <w:t>access</w:t>
      </w:r>
      <w:r>
        <w:rPr>
          <w:spacing w:val="-2"/>
          <w:w w:val="95"/>
        </w:rPr>
        <w:t xml:space="preserve"> </w:t>
      </w:r>
      <w:r>
        <w:rPr>
          <w:w w:val="95"/>
        </w:rPr>
        <w:t>to</w:t>
      </w:r>
      <w:r>
        <w:rPr>
          <w:spacing w:val="-2"/>
          <w:w w:val="95"/>
        </w:rPr>
        <w:t xml:space="preserve"> </w:t>
      </w:r>
      <w:r>
        <w:rPr>
          <w:w w:val="95"/>
        </w:rPr>
        <w:t>these</w:t>
      </w:r>
      <w:r>
        <w:rPr>
          <w:spacing w:val="-2"/>
          <w:w w:val="95"/>
        </w:rPr>
        <w:t xml:space="preserve"> </w:t>
      </w:r>
      <w:r>
        <w:rPr>
          <w:w w:val="95"/>
        </w:rPr>
        <w:t xml:space="preserve">valuable </w:t>
      </w:r>
      <w:r>
        <w:t>employment</w:t>
      </w:r>
      <w:r>
        <w:rPr>
          <w:spacing w:val="40"/>
        </w:rPr>
        <w:t xml:space="preserve"> </w:t>
      </w:r>
      <w:r>
        <w:t>opportunities.</w:t>
      </w:r>
    </w:p>
    <w:p w:rsidR="002C1123" w:rsidRDefault="00F22F94">
      <w:pPr>
        <w:pStyle w:val="Heading6"/>
        <w:numPr>
          <w:ilvl w:val="2"/>
          <w:numId w:val="74"/>
        </w:numPr>
        <w:tabs>
          <w:tab w:val="left" w:pos="802"/>
        </w:tabs>
        <w:spacing w:before="145"/>
        <w:ind w:left="801" w:hanging="596"/>
        <w:jc w:val="left"/>
        <w:rPr>
          <w:color w:val="00AEEF"/>
        </w:rPr>
      </w:pPr>
      <w:r>
        <w:rPr>
          <w:color w:val="00AEEF"/>
          <w:w w:val="95"/>
        </w:rPr>
        <w:t>Assessing</w:t>
      </w:r>
      <w:r>
        <w:rPr>
          <w:color w:val="00AEEF"/>
          <w:spacing w:val="3"/>
        </w:rPr>
        <w:t xml:space="preserve"> </w:t>
      </w:r>
      <w:r>
        <w:rPr>
          <w:color w:val="00AEEF"/>
          <w:w w:val="95"/>
        </w:rPr>
        <w:t>the</w:t>
      </w:r>
      <w:r>
        <w:rPr>
          <w:color w:val="00AEEF"/>
          <w:spacing w:val="3"/>
        </w:rPr>
        <w:t xml:space="preserve"> </w:t>
      </w:r>
      <w:r>
        <w:rPr>
          <w:color w:val="00AEEF"/>
          <w:w w:val="95"/>
        </w:rPr>
        <w:t>potential</w:t>
      </w:r>
      <w:r>
        <w:rPr>
          <w:color w:val="00AEEF"/>
          <w:spacing w:val="3"/>
        </w:rPr>
        <w:t xml:space="preserve"> </w:t>
      </w:r>
      <w:r>
        <w:rPr>
          <w:color w:val="00AEEF"/>
          <w:w w:val="95"/>
        </w:rPr>
        <w:t>for</w:t>
      </w:r>
      <w:r>
        <w:rPr>
          <w:color w:val="00AEEF"/>
          <w:spacing w:val="3"/>
        </w:rPr>
        <w:t xml:space="preserve"> </w:t>
      </w:r>
      <w:r>
        <w:rPr>
          <w:color w:val="00AEEF"/>
          <w:w w:val="95"/>
        </w:rPr>
        <w:t>high</w:t>
      </w:r>
      <w:r>
        <w:rPr>
          <w:color w:val="00AEEF"/>
          <w:spacing w:val="4"/>
        </w:rPr>
        <w:t xml:space="preserve"> </w:t>
      </w:r>
      <w:r>
        <w:rPr>
          <w:color w:val="00AEEF"/>
          <w:w w:val="95"/>
        </w:rPr>
        <w:t>speed</w:t>
      </w:r>
      <w:r>
        <w:rPr>
          <w:color w:val="00AEEF"/>
          <w:spacing w:val="3"/>
        </w:rPr>
        <w:t xml:space="preserve"> </w:t>
      </w:r>
      <w:r>
        <w:rPr>
          <w:color w:val="00AEEF"/>
          <w:spacing w:val="-4"/>
          <w:w w:val="95"/>
        </w:rPr>
        <w:t>rail</w:t>
      </w:r>
    </w:p>
    <w:p w:rsidR="002C1123" w:rsidRDefault="00F22F94">
      <w:pPr>
        <w:pStyle w:val="BodyText"/>
        <w:spacing w:before="95" w:line="249" w:lineRule="auto"/>
        <w:ind w:left="206" w:right="657"/>
      </w:pPr>
      <w:r>
        <w:rPr>
          <w:w w:val="95"/>
        </w:rPr>
        <w:t>The Commonwealth Government has been considering the</w:t>
      </w:r>
      <w:r>
        <w:rPr>
          <w:spacing w:val="-4"/>
          <w:w w:val="95"/>
        </w:rPr>
        <w:t xml:space="preserve"> </w:t>
      </w:r>
      <w:r>
        <w:rPr>
          <w:w w:val="95"/>
        </w:rPr>
        <w:t>potential</w:t>
      </w:r>
      <w:r>
        <w:rPr>
          <w:spacing w:val="-4"/>
          <w:w w:val="95"/>
        </w:rPr>
        <w:t xml:space="preserve"> </w:t>
      </w:r>
      <w:r>
        <w:rPr>
          <w:w w:val="95"/>
        </w:rPr>
        <w:t>to</w:t>
      </w:r>
      <w:r>
        <w:rPr>
          <w:spacing w:val="-4"/>
          <w:w w:val="95"/>
        </w:rPr>
        <w:t xml:space="preserve"> </w:t>
      </w:r>
      <w:r>
        <w:rPr>
          <w:w w:val="95"/>
        </w:rPr>
        <w:t>develop</w:t>
      </w:r>
      <w:r>
        <w:rPr>
          <w:spacing w:val="-4"/>
          <w:w w:val="95"/>
        </w:rPr>
        <w:t xml:space="preserve"> </w:t>
      </w:r>
      <w:r>
        <w:rPr>
          <w:w w:val="95"/>
        </w:rPr>
        <w:t>high</w:t>
      </w:r>
      <w:r>
        <w:rPr>
          <w:spacing w:val="-4"/>
          <w:w w:val="95"/>
        </w:rPr>
        <w:t xml:space="preserve"> </w:t>
      </w:r>
      <w:r>
        <w:rPr>
          <w:w w:val="95"/>
        </w:rPr>
        <w:t>speed</w:t>
      </w:r>
      <w:r>
        <w:rPr>
          <w:spacing w:val="-4"/>
          <w:w w:val="95"/>
        </w:rPr>
        <w:t xml:space="preserve"> </w:t>
      </w:r>
      <w:r>
        <w:rPr>
          <w:w w:val="95"/>
        </w:rPr>
        <w:t>rail</w:t>
      </w:r>
      <w:r>
        <w:rPr>
          <w:spacing w:val="-4"/>
          <w:w w:val="95"/>
        </w:rPr>
        <w:t xml:space="preserve"> </w:t>
      </w:r>
      <w:r>
        <w:rPr>
          <w:w w:val="95"/>
        </w:rPr>
        <w:t>services</w:t>
      </w:r>
      <w:r>
        <w:rPr>
          <w:spacing w:val="-4"/>
          <w:w w:val="95"/>
        </w:rPr>
        <w:t xml:space="preserve"> </w:t>
      </w:r>
      <w:r>
        <w:rPr>
          <w:w w:val="95"/>
        </w:rPr>
        <w:t xml:space="preserve">between Melbourne and Brisbane via Sydney. By definition, most </w:t>
      </w:r>
      <w:r>
        <w:t>of</w:t>
      </w:r>
      <w:r>
        <w:rPr>
          <w:spacing w:val="-8"/>
        </w:rPr>
        <w:t xml:space="preserve"> </w:t>
      </w:r>
      <w:r>
        <w:t>this</w:t>
      </w:r>
      <w:r>
        <w:rPr>
          <w:spacing w:val="-8"/>
        </w:rPr>
        <w:t xml:space="preserve"> </w:t>
      </w:r>
      <w:r>
        <w:t>infrastructure</w:t>
      </w:r>
      <w:r>
        <w:rPr>
          <w:spacing w:val="-8"/>
        </w:rPr>
        <w:t xml:space="preserve"> </w:t>
      </w:r>
      <w:r>
        <w:t>would</w:t>
      </w:r>
      <w:r>
        <w:rPr>
          <w:spacing w:val="-8"/>
        </w:rPr>
        <w:t xml:space="preserve"> </w:t>
      </w:r>
      <w:r>
        <w:t>be</w:t>
      </w:r>
      <w:r>
        <w:rPr>
          <w:spacing w:val="-8"/>
        </w:rPr>
        <w:t xml:space="preserve"> </w:t>
      </w:r>
      <w:r>
        <w:t>in</w:t>
      </w:r>
      <w:r>
        <w:rPr>
          <w:spacing w:val="-8"/>
        </w:rPr>
        <w:t xml:space="preserve"> </w:t>
      </w:r>
      <w:r>
        <w:t>NSW.</w:t>
      </w:r>
    </w:p>
    <w:p w:rsidR="002C1123" w:rsidRDefault="00F22F94">
      <w:pPr>
        <w:pStyle w:val="BodyText"/>
        <w:spacing w:before="145" w:line="249" w:lineRule="auto"/>
        <w:ind w:left="206" w:right="1044"/>
      </w:pPr>
      <w:r>
        <w:rPr>
          <w:w w:val="95"/>
        </w:rPr>
        <w:t>Project</w:t>
      </w:r>
      <w:r>
        <w:rPr>
          <w:spacing w:val="-1"/>
          <w:w w:val="95"/>
        </w:rPr>
        <w:t xml:space="preserve"> </w:t>
      </w:r>
      <w:r>
        <w:rPr>
          <w:w w:val="95"/>
        </w:rPr>
        <w:t>proponents</w:t>
      </w:r>
      <w:r>
        <w:rPr>
          <w:spacing w:val="-1"/>
          <w:w w:val="95"/>
        </w:rPr>
        <w:t xml:space="preserve"> </w:t>
      </w:r>
      <w:r>
        <w:rPr>
          <w:w w:val="95"/>
        </w:rPr>
        <w:t>argue</w:t>
      </w:r>
      <w:r>
        <w:rPr>
          <w:spacing w:val="-1"/>
          <w:w w:val="95"/>
        </w:rPr>
        <w:t xml:space="preserve"> </w:t>
      </w:r>
      <w:r>
        <w:rPr>
          <w:w w:val="95"/>
        </w:rPr>
        <w:t>that</w:t>
      </w:r>
      <w:r>
        <w:rPr>
          <w:spacing w:val="-1"/>
          <w:w w:val="95"/>
        </w:rPr>
        <w:t xml:space="preserve"> </w:t>
      </w:r>
      <w:r>
        <w:rPr>
          <w:w w:val="95"/>
        </w:rPr>
        <w:t>high</w:t>
      </w:r>
      <w:r>
        <w:rPr>
          <w:spacing w:val="-1"/>
          <w:w w:val="95"/>
        </w:rPr>
        <w:t xml:space="preserve"> </w:t>
      </w:r>
      <w:r>
        <w:rPr>
          <w:w w:val="95"/>
        </w:rPr>
        <w:t>speed</w:t>
      </w:r>
      <w:r>
        <w:rPr>
          <w:spacing w:val="-1"/>
          <w:w w:val="95"/>
        </w:rPr>
        <w:t xml:space="preserve"> </w:t>
      </w:r>
      <w:r>
        <w:rPr>
          <w:w w:val="95"/>
        </w:rPr>
        <w:t>rail</w:t>
      </w:r>
      <w:r>
        <w:rPr>
          <w:spacing w:val="-1"/>
          <w:w w:val="95"/>
        </w:rPr>
        <w:t xml:space="preserve"> </w:t>
      </w:r>
      <w:r>
        <w:rPr>
          <w:w w:val="95"/>
        </w:rPr>
        <w:t xml:space="preserve">could </w:t>
      </w:r>
      <w:r>
        <w:t>transform</w:t>
      </w:r>
      <w:r>
        <w:rPr>
          <w:spacing w:val="-10"/>
        </w:rPr>
        <w:t xml:space="preserve"> </w:t>
      </w:r>
      <w:r>
        <w:t>connectivity</w:t>
      </w:r>
      <w:r>
        <w:rPr>
          <w:spacing w:val="-9"/>
        </w:rPr>
        <w:t xml:space="preserve"> </w:t>
      </w:r>
      <w:r>
        <w:t>along</w:t>
      </w:r>
      <w:r>
        <w:rPr>
          <w:spacing w:val="-9"/>
        </w:rPr>
        <w:t xml:space="preserve"> </w:t>
      </w:r>
      <w:r>
        <w:t>the</w:t>
      </w:r>
      <w:r>
        <w:rPr>
          <w:spacing w:val="-9"/>
        </w:rPr>
        <w:t xml:space="preserve"> </w:t>
      </w:r>
      <w:r>
        <w:t>east</w:t>
      </w:r>
      <w:r>
        <w:rPr>
          <w:spacing w:val="-9"/>
        </w:rPr>
        <w:t xml:space="preserve"> </w:t>
      </w:r>
      <w:r>
        <w:t>coast,</w:t>
      </w:r>
      <w:r>
        <w:rPr>
          <w:spacing w:val="-9"/>
        </w:rPr>
        <w:t xml:space="preserve"> </w:t>
      </w:r>
      <w:r>
        <w:t xml:space="preserve">open </w:t>
      </w:r>
      <w:r>
        <w:rPr>
          <w:w w:val="95"/>
        </w:rPr>
        <w:t>up</w:t>
      </w:r>
      <w:r>
        <w:rPr>
          <w:spacing w:val="-1"/>
          <w:w w:val="95"/>
        </w:rPr>
        <w:t xml:space="preserve"> </w:t>
      </w:r>
      <w:r>
        <w:rPr>
          <w:w w:val="95"/>
        </w:rPr>
        <w:t>regional</w:t>
      </w:r>
      <w:r>
        <w:rPr>
          <w:spacing w:val="-1"/>
          <w:w w:val="95"/>
        </w:rPr>
        <w:t xml:space="preserve"> </w:t>
      </w:r>
      <w:r>
        <w:rPr>
          <w:w w:val="95"/>
        </w:rPr>
        <w:t>areas</w:t>
      </w:r>
      <w:r>
        <w:rPr>
          <w:spacing w:val="-1"/>
          <w:w w:val="95"/>
        </w:rPr>
        <w:t xml:space="preserve"> </w:t>
      </w:r>
      <w:r>
        <w:rPr>
          <w:w w:val="95"/>
        </w:rPr>
        <w:t>for</w:t>
      </w:r>
      <w:r>
        <w:rPr>
          <w:spacing w:val="-1"/>
          <w:w w:val="95"/>
        </w:rPr>
        <w:t xml:space="preserve"> </w:t>
      </w:r>
      <w:r>
        <w:rPr>
          <w:w w:val="95"/>
        </w:rPr>
        <w:t>development</w:t>
      </w:r>
      <w:r>
        <w:rPr>
          <w:spacing w:val="-1"/>
          <w:w w:val="95"/>
        </w:rPr>
        <w:t xml:space="preserve"> </w:t>
      </w:r>
      <w:r>
        <w:rPr>
          <w:w w:val="95"/>
        </w:rPr>
        <w:t>and</w:t>
      </w:r>
      <w:r>
        <w:rPr>
          <w:spacing w:val="-1"/>
          <w:w w:val="95"/>
        </w:rPr>
        <w:t xml:space="preserve"> </w:t>
      </w:r>
      <w:r>
        <w:rPr>
          <w:w w:val="95"/>
        </w:rPr>
        <w:t>improve</w:t>
      </w:r>
      <w:r>
        <w:rPr>
          <w:spacing w:val="-1"/>
          <w:w w:val="95"/>
        </w:rPr>
        <w:t xml:space="preserve"> </w:t>
      </w:r>
      <w:r>
        <w:rPr>
          <w:w w:val="95"/>
        </w:rPr>
        <w:t>the</w:t>
      </w:r>
    </w:p>
    <w:p w:rsidR="002C1123" w:rsidRDefault="00F22F94">
      <w:pPr>
        <w:pStyle w:val="BodyText"/>
        <w:spacing w:before="2"/>
        <w:ind w:left="206"/>
      </w:pPr>
      <w:r>
        <w:rPr>
          <w:w w:val="95"/>
        </w:rPr>
        <w:t>productivity</w:t>
      </w:r>
      <w:r>
        <w:rPr>
          <w:spacing w:val="-4"/>
          <w:w w:val="95"/>
        </w:rPr>
        <w:t xml:space="preserve"> </w:t>
      </w:r>
      <w:r>
        <w:rPr>
          <w:w w:val="95"/>
        </w:rPr>
        <w:t>and</w:t>
      </w:r>
      <w:r>
        <w:rPr>
          <w:spacing w:val="-4"/>
          <w:w w:val="95"/>
        </w:rPr>
        <w:t xml:space="preserve"> </w:t>
      </w:r>
      <w:r>
        <w:rPr>
          <w:w w:val="95"/>
        </w:rPr>
        <w:t>competitiveness</w:t>
      </w:r>
      <w:r>
        <w:rPr>
          <w:spacing w:val="-4"/>
          <w:w w:val="95"/>
        </w:rPr>
        <w:t xml:space="preserve"> </w:t>
      </w:r>
      <w:r>
        <w:rPr>
          <w:w w:val="95"/>
        </w:rPr>
        <w:t>of</w:t>
      </w:r>
      <w:r>
        <w:rPr>
          <w:spacing w:val="-4"/>
          <w:w w:val="95"/>
        </w:rPr>
        <w:t xml:space="preserve"> </w:t>
      </w:r>
      <w:r>
        <w:rPr>
          <w:w w:val="95"/>
        </w:rPr>
        <w:t>Australia’s</w:t>
      </w:r>
      <w:r>
        <w:rPr>
          <w:spacing w:val="-4"/>
          <w:w w:val="95"/>
        </w:rPr>
        <w:t xml:space="preserve"> </w:t>
      </w:r>
      <w:r>
        <w:rPr>
          <w:spacing w:val="-2"/>
          <w:w w:val="95"/>
        </w:rPr>
        <w:t>economy.</w:t>
      </w:r>
    </w:p>
    <w:p w:rsidR="002C1123" w:rsidRDefault="00F22F94">
      <w:pPr>
        <w:pStyle w:val="BodyText"/>
        <w:spacing w:before="10" w:line="249" w:lineRule="auto"/>
        <w:ind w:left="206" w:right="1214"/>
      </w:pPr>
      <w:r>
        <w:rPr>
          <w:w w:val="95"/>
        </w:rPr>
        <w:t>The</w:t>
      </w:r>
      <w:r>
        <w:rPr>
          <w:spacing w:val="-9"/>
          <w:w w:val="95"/>
        </w:rPr>
        <w:t xml:space="preserve"> </w:t>
      </w:r>
      <w:r>
        <w:rPr>
          <w:w w:val="95"/>
        </w:rPr>
        <w:t>success</w:t>
      </w:r>
      <w:r>
        <w:rPr>
          <w:spacing w:val="-9"/>
          <w:w w:val="95"/>
        </w:rPr>
        <w:t xml:space="preserve"> </w:t>
      </w:r>
      <w:r>
        <w:rPr>
          <w:w w:val="95"/>
        </w:rPr>
        <w:t>of</w:t>
      </w:r>
      <w:r>
        <w:rPr>
          <w:spacing w:val="-9"/>
          <w:w w:val="95"/>
        </w:rPr>
        <w:t xml:space="preserve"> </w:t>
      </w:r>
      <w:r>
        <w:rPr>
          <w:w w:val="95"/>
        </w:rPr>
        <w:t>similar</w:t>
      </w:r>
      <w:r>
        <w:rPr>
          <w:spacing w:val="-9"/>
          <w:w w:val="95"/>
        </w:rPr>
        <w:t xml:space="preserve"> </w:t>
      </w:r>
      <w:r>
        <w:rPr>
          <w:w w:val="95"/>
        </w:rPr>
        <w:t>projects</w:t>
      </w:r>
      <w:r>
        <w:rPr>
          <w:spacing w:val="-9"/>
          <w:w w:val="95"/>
        </w:rPr>
        <w:t xml:space="preserve"> </w:t>
      </w:r>
      <w:r>
        <w:rPr>
          <w:w w:val="95"/>
        </w:rPr>
        <w:t>in</w:t>
      </w:r>
      <w:r>
        <w:rPr>
          <w:spacing w:val="-9"/>
          <w:w w:val="95"/>
        </w:rPr>
        <w:t xml:space="preserve"> </w:t>
      </w:r>
      <w:r>
        <w:rPr>
          <w:w w:val="95"/>
        </w:rPr>
        <w:t>Asia</w:t>
      </w:r>
      <w:r>
        <w:rPr>
          <w:spacing w:val="-9"/>
          <w:w w:val="95"/>
        </w:rPr>
        <w:t xml:space="preserve"> </w:t>
      </w:r>
      <w:r>
        <w:rPr>
          <w:w w:val="95"/>
        </w:rPr>
        <w:t>and</w:t>
      </w:r>
      <w:r>
        <w:rPr>
          <w:spacing w:val="-9"/>
          <w:w w:val="95"/>
        </w:rPr>
        <w:t xml:space="preserve"> </w:t>
      </w:r>
      <w:r>
        <w:rPr>
          <w:w w:val="95"/>
        </w:rPr>
        <w:t>Europe is</w:t>
      </w:r>
      <w:r>
        <w:rPr>
          <w:spacing w:val="-3"/>
          <w:w w:val="95"/>
        </w:rPr>
        <w:t xml:space="preserve"> </w:t>
      </w:r>
      <w:r>
        <w:rPr>
          <w:w w:val="95"/>
        </w:rPr>
        <w:t>often</w:t>
      </w:r>
      <w:r>
        <w:rPr>
          <w:spacing w:val="-3"/>
          <w:w w:val="95"/>
        </w:rPr>
        <w:t xml:space="preserve"> </w:t>
      </w:r>
      <w:r>
        <w:rPr>
          <w:w w:val="95"/>
        </w:rPr>
        <w:t>noted.</w:t>
      </w:r>
      <w:r>
        <w:rPr>
          <w:spacing w:val="-3"/>
          <w:w w:val="95"/>
        </w:rPr>
        <w:t xml:space="preserve"> </w:t>
      </w:r>
      <w:r>
        <w:rPr>
          <w:w w:val="95"/>
        </w:rPr>
        <w:t>This</w:t>
      </w:r>
      <w:r>
        <w:rPr>
          <w:spacing w:val="-3"/>
          <w:w w:val="95"/>
        </w:rPr>
        <w:t xml:space="preserve"> </w:t>
      </w:r>
      <w:r>
        <w:rPr>
          <w:w w:val="95"/>
        </w:rPr>
        <w:t>debate</w:t>
      </w:r>
      <w:r>
        <w:rPr>
          <w:spacing w:val="-3"/>
          <w:w w:val="95"/>
        </w:rPr>
        <w:t xml:space="preserve"> </w:t>
      </w:r>
      <w:r>
        <w:rPr>
          <w:w w:val="95"/>
        </w:rPr>
        <w:t>is</w:t>
      </w:r>
      <w:r>
        <w:rPr>
          <w:spacing w:val="-3"/>
          <w:w w:val="95"/>
        </w:rPr>
        <w:t xml:space="preserve"> </w:t>
      </w:r>
      <w:r>
        <w:rPr>
          <w:w w:val="95"/>
        </w:rPr>
        <w:t>not</w:t>
      </w:r>
      <w:r>
        <w:rPr>
          <w:spacing w:val="-3"/>
          <w:w w:val="95"/>
        </w:rPr>
        <w:t xml:space="preserve"> </w:t>
      </w:r>
      <w:r>
        <w:rPr>
          <w:w w:val="95"/>
        </w:rPr>
        <w:t>new.</w:t>
      </w:r>
      <w:r>
        <w:rPr>
          <w:spacing w:val="-3"/>
          <w:w w:val="95"/>
        </w:rPr>
        <w:t xml:space="preserve"> </w:t>
      </w:r>
      <w:r>
        <w:rPr>
          <w:w w:val="95"/>
        </w:rPr>
        <w:t>The</w:t>
      </w:r>
      <w:r>
        <w:rPr>
          <w:spacing w:val="-3"/>
          <w:w w:val="95"/>
        </w:rPr>
        <w:t xml:space="preserve"> </w:t>
      </w:r>
      <w:r>
        <w:rPr>
          <w:w w:val="95"/>
        </w:rPr>
        <w:t>Hawke</w:t>
      </w:r>
    </w:p>
    <w:p w:rsidR="002C1123" w:rsidRDefault="00F22F94">
      <w:pPr>
        <w:pStyle w:val="BodyText"/>
        <w:spacing w:before="2" w:line="249" w:lineRule="auto"/>
        <w:ind w:left="206" w:right="742"/>
      </w:pPr>
      <w:r>
        <w:rPr>
          <w:w w:val="95"/>
        </w:rPr>
        <w:t xml:space="preserve">Government considered the opportunities for a scheme </w:t>
      </w:r>
      <w:r>
        <w:t>in the 1980s.</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240" w:space="40"/>
            <w:col w:w="5020" w:space="39"/>
            <w:col w:w="5721"/>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BodyText"/>
        <w:spacing w:before="106" w:line="249" w:lineRule="auto"/>
        <w:ind w:left="492"/>
        <w:jc w:val="both"/>
      </w:pPr>
      <w:bookmarkStart w:id="278" w:name="10.4__Improving_local_transport_for_regi"/>
      <w:bookmarkStart w:id="279" w:name="_bookmark198"/>
      <w:bookmarkStart w:id="280" w:name="_bookmark197"/>
      <w:bookmarkEnd w:id="278"/>
      <w:bookmarkEnd w:id="279"/>
      <w:bookmarkEnd w:id="280"/>
      <w:r>
        <w:rPr>
          <w:w w:val="95"/>
        </w:rPr>
        <w:t>The</w:t>
      </w:r>
      <w:r>
        <w:rPr>
          <w:spacing w:val="-10"/>
          <w:w w:val="95"/>
        </w:rPr>
        <w:t xml:space="preserve"> </w:t>
      </w:r>
      <w:r>
        <w:rPr>
          <w:w w:val="95"/>
        </w:rPr>
        <w:t>proposed</w:t>
      </w:r>
      <w:r>
        <w:rPr>
          <w:spacing w:val="-10"/>
          <w:w w:val="95"/>
        </w:rPr>
        <w:t xml:space="preserve"> </w:t>
      </w:r>
      <w:r>
        <w:rPr>
          <w:w w:val="95"/>
        </w:rPr>
        <w:t>scheme</w:t>
      </w:r>
      <w:r>
        <w:rPr>
          <w:spacing w:val="-10"/>
          <w:w w:val="95"/>
        </w:rPr>
        <w:t xml:space="preserve"> </w:t>
      </w:r>
      <w:r>
        <w:rPr>
          <w:w w:val="95"/>
        </w:rPr>
        <w:t>is</w:t>
      </w:r>
      <w:r>
        <w:rPr>
          <w:spacing w:val="-10"/>
          <w:w w:val="95"/>
        </w:rPr>
        <w:t xml:space="preserve"> </w:t>
      </w:r>
      <w:r>
        <w:rPr>
          <w:w w:val="95"/>
        </w:rPr>
        <w:t>expensive</w:t>
      </w:r>
      <w:r>
        <w:rPr>
          <w:spacing w:val="-10"/>
          <w:w w:val="95"/>
        </w:rPr>
        <w:t xml:space="preserve"> </w:t>
      </w:r>
      <w:r>
        <w:rPr>
          <w:w w:val="95"/>
        </w:rPr>
        <w:t>($68</w:t>
      </w:r>
      <w:r>
        <w:rPr>
          <w:spacing w:val="-10"/>
          <w:w w:val="95"/>
        </w:rPr>
        <w:t xml:space="preserve"> </w:t>
      </w:r>
      <w:r>
        <w:rPr>
          <w:w w:val="95"/>
        </w:rPr>
        <w:t>–</w:t>
      </w:r>
      <w:r>
        <w:rPr>
          <w:spacing w:val="-10"/>
          <w:w w:val="95"/>
        </w:rPr>
        <w:t xml:space="preserve"> </w:t>
      </w:r>
      <w:r>
        <w:rPr>
          <w:w w:val="95"/>
        </w:rPr>
        <w:t>$108</w:t>
      </w:r>
      <w:r>
        <w:rPr>
          <w:spacing w:val="-10"/>
          <w:w w:val="95"/>
        </w:rPr>
        <w:t xml:space="preserve"> </w:t>
      </w:r>
      <w:r>
        <w:rPr>
          <w:w w:val="95"/>
        </w:rPr>
        <w:t>billion)</w:t>
      </w:r>
      <w:r>
        <w:rPr>
          <w:w w:val="95"/>
          <w:position w:val="7"/>
          <w:sz w:val="11"/>
        </w:rPr>
        <w:t>9</w:t>
      </w:r>
      <w:r>
        <w:rPr>
          <w:w w:val="95"/>
        </w:rPr>
        <w:t>. Operating</w:t>
      </w:r>
      <w:r>
        <w:rPr>
          <w:spacing w:val="-2"/>
          <w:w w:val="95"/>
        </w:rPr>
        <w:t xml:space="preserve"> </w:t>
      </w:r>
      <w:r>
        <w:rPr>
          <w:w w:val="95"/>
        </w:rPr>
        <w:t>costs</w:t>
      </w:r>
      <w:r>
        <w:rPr>
          <w:spacing w:val="-2"/>
          <w:w w:val="95"/>
        </w:rPr>
        <w:t xml:space="preserve"> </w:t>
      </w:r>
      <w:r>
        <w:rPr>
          <w:w w:val="95"/>
        </w:rPr>
        <w:t>(due</w:t>
      </w:r>
      <w:r>
        <w:rPr>
          <w:spacing w:val="-2"/>
          <w:w w:val="95"/>
        </w:rPr>
        <w:t xml:space="preserve"> </w:t>
      </w:r>
      <w:r>
        <w:rPr>
          <w:w w:val="95"/>
        </w:rPr>
        <w:t>to</w:t>
      </w:r>
      <w:r>
        <w:rPr>
          <w:spacing w:val="-2"/>
          <w:w w:val="95"/>
        </w:rPr>
        <w:t xml:space="preserve"> </w:t>
      </w:r>
      <w:r>
        <w:rPr>
          <w:w w:val="95"/>
        </w:rPr>
        <w:t>the</w:t>
      </w:r>
      <w:r>
        <w:rPr>
          <w:spacing w:val="-2"/>
          <w:w w:val="95"/>
        </w:rPr>
        <w:t xml:space="preserve"> </w:t>
      </w:r>
      <w:r>
        <w:rPr>
          <w:w w:val="95"/>
        </w:rPr>
        <w:t>long</w:t>
      </w:r>
      <w:r>
        <w:rPr>
          <w:spacing w:val="-2"/>
          <w:w w:val="95"/>
        </w:rPr>
        <w:t xml:space="preserve"> </w:t>
      </w:r>
      <w:r>
        <w:rPr>
          <w:w w:val="95"/>
        </w:rPr>
        <w:t>distances</w:t>
      </w:r>
      <w:r>
        <w:rPr>
          <w:spacing w:val="-2"/>
          <w:w w:val="95"/>
        </w:rPr>
        <w:t xml:space="preserve"> </w:t>
      </w:r>
      <w:r>
        <w:rPr>
          <w:w w:val="95"/>
        </w:rPr>
        <w:t>noted)</w:t>
      </w:r>
      <w:r>
        <w:rPr>
          <w:spacing w:val="-2"/>
          <w:w w:val="95"/>
        </w:rPr>
        <w:t xml:space="preserve"> </w:t>
      </w:r>
      <w:r>
        <w:rPr>
          <w:w w:val="95"/>
        </w:rPr>
        <w:t xml:space="preserve">would </w:t>
      </w:r>
      <w:r>
        <w:t>also</w:t>
      </w:r>
      <w:r>
        <w:rPr>
          <w:spacing w:val="-14"/>
        </w:rPr>
        <w:t xml:space="preserve"> </w:t>
      </w:r>
      <w:r>
        <w:t>be</w:t>
      </w:r>
      <w:r>
        <w:rPr>
          <w:spacing w:val="-14"/>
        </w:rPr>
        <w:t xml:space="preserve"> </w:t>
      </w:r>
      <w:r>
        <w:t>high,</w:t>
      </w:r>
      <w:r>
        <w:rPr>
          <w:spacing w:val="-14"/>
        </w:rPr>
        <w:t xml:space="preserve"> </w:t>
      </w:r>
      <w:r>
        <w:t>relative</w:t>
      </w:r>
      <w:r>
        <w:rPr>
          <w:spacing w:val="-14"/>
        </w:rPr>
        <w:t xml:space="preserve"> </w:t>
      </w:r>
      <w:r>
        <w:t>to</w:t>
      </w:r>
      <w:r>
        <w:rPr>
          <w:spacing w:val="-14"/>
        </w:rPr>
        <w:t xml:space="preserve"> </w:t>
      </w:r>
      <w:r>
        <w:t>air</w:t>
      </w:r>
      <w:r>
        <w:rPr>
          <w:spacing w:val="-14"/>
        </w:rPr>
        <w:t xml:space="preserve"> </w:t>
      </w:r>
      <w:r>
        <w:t>travel</w:t>
      </w:r>
      <w:r>
        <w:rPr>
          <w:position w:val="7"/>
          <w:sz w:val="11"/>
        </w:rPr>
        <w:t>10</w:t>
      </w:r>
      <w:r>
        <w:t>.</w:t>
      </w:r>
      <w:r>
        <w:rPr>
          <w:spacing w:val="-14"/>
        </w:rPr>
        <w:t xml:space="preserve"> </w:t>
      </w:r>
      <w:r>
        <w:t>A</w:t>
      </w:r>
      <w:r>
        <w:rPr>
          <w:spacing w:val="-14"/>
        </w:rPr>
        <w:t xml:space="preserve"> </w:t>
      </w:r>
      <w:r>
        <w:t>commitment</w:t>
      </w:r>
      <w:r>
        <w:rPr>
          <w:spacing w:val="-14"/>
        </w:rPr>
        <w:t xml:space="preserve"> </w:t>
      </w:r>
      <w:r>
        <w:t>of</w:t>
      </w:r>
    </w:p>
    <w:p w:rsidR="002C1123" w:rsidRDefault="00F22F94">
      <w:pPr>
        <w:pStyle w:val="BodyText"/>
        <w:spacing w:before="2" w:line="249" w:lineRule="auto"/>
        <w:ind w:left="492" w:right="203"/>
        <w:jc w:val="both"/>
      </w:pPr>
      <w:r>
        <w:rPr>
          <w:w w:val="95"/>
        </w:rPr>
        <w:t>this</w:t>
      </w:r>
      <w:r>
        <w:rPr>
          <w:spacing w:val="-8"/>
          <w:w w:val="95"/>
        </w:rPr>
        <w:t xml:space="preserve"> </w:t>
      </w:r>
      <w:r>
        <w:rPr>
          <w:w w:val="95"/>
        </w:rPr>
        <w:t>scale</w:t>
      </w:r>
      <w:r>
        <w:rPr>
          <w:spacing w:val="-8"/>
          <w:w w:val="95"/>
        </w:rPr>
        <w:t xml:space="preserve"> </w:t>
      </w:r>
      <w:r>
        <w:rPr>
          <w:w w:val="95"/>
        </w:rPr>
        <w:t>requires</w:t>
      </w:r>
      <w:r>
        <w:rPr>
          <w:spacing w:val="-8"/>
          <w:w w:val="95"/>
        </w:rPr>
        <w:t xml:space="preserve"> </w:t>
      </w:r>
      <w:r>
        <w:rPr>
          <w:w w:val="95"/>
        </w:rPr>
        <w:t>a</w:t>
      </w:r>
      <w:r>
        <w:rPr>
          <w:spacing w:val="-8"/>
          <w:w w:val="95"/>
        </w:rPr>
        <w:t xml:space="preserve"> </w:t>
      </w:r>
      <w:r>
        <w:rPr>
          <w:w w:val="95"/>
        </w:rPr>
        <w:t>high</w:t>
      </w:r>
      <w:r>
        <w:rPr>
          <w:spacing w:val="-8"/>
          <w:w w:val="95"/>
        </w:rPr>
        <w:t xml:space="preserve"> </w:t>
      </w:r>
      <w:r>
        <w:rPr>
          <w:w w:val="95"/>
        </w:rPr>
        <w:t>degree</w:t>
      </w:r>
      <w:r>
        <w:rPr>
          <w:spacing w:val="-8"/>
          <w:w w:val="95"/>
        </w:rPr>
        <w:t xml:space="preserve"> </w:t>
      </w:r>
      <w:r>
        <w:rPr>
          <w:w w:val="95"/>
        </w:rPr>
        <w:t>of</w:t>
      </w:r>
      <w:r>
        <w:rPr>
          <w:spacing w:val="-8"/>
          <w:w w:val="95"/>
        </w:rPr>
        <w:t xml:space="preserve"> </w:t>
      </w:r>
      <w:r>
        <w:rPr>
          <w:w w:val="95"/>
        </w:rPr>
        <w:t>certainty</w:t>
      </w:r>
      <w:r>
        <w:rPr>
          <w:spacing w:val="-8"/>
          <w:w w:val="95"/>
        </w:rPr>
        <w:t xml:space="preserve"> </w:t>
      </w:r>
      <w:r>
        <w:rPr>
          <w:w w:val="95"/>
        </w:rPr>
        <w:t>that</w:t>
      </w:r>
      <w:r>
        <w:rPr>
          <w:spacing w:val="-8"/>
          <w:w w:val="95"/>
        </w:rPr>
        <w:t xml:space="preserve"> </w:t>
      </w:r>
      <w:r>
        <w:rPr>
          <w:w w:val="95"/>
        </w:rPr>
        <w:t>it</w:t>
      </w:r>
      <w:r>
        <w:rPr>
          <w:spacing w:val="-8"/>
          <w:w w:val="95"/>
        </w:rPr>
        <w:t xml:space="preserve"> </w:t>
      </w:r>
      <w:r>
        <w:rPr>
          <w:w w:val="95"/>
        </w:rPr>
        <w:t xml:space="preserve">will </w:t>
      </w:r>
      <w:r>
        <w:t>achieve</w:t>
      </w:r>
      <w:r>
        <w:rPr>
          <w:spacing w:val="-1"/>
        </w:rPr>
        <w:t xml:space="preserve"> </w:t>
      </w:r>
      <w:r>
        <w:t>its</w:t>
      </w:r>
      <w:r>
        <w:rPr>
          <w:spacing w:val="-1"/>
        </w:rPr>
        <w:t xml:space="preserve"> </w:t>
      </w:r>
      <w:r>
        <w:t>identified</w:t>
      </w:r>
      <w:r>
        <w:rPr>
          <w:spacing w:val="-1"/>
        </w:rPr>
        <w:t xml:space="preserve"> </w:t>
      </w:r>
      <w:r>
        <w:t>objectives.</w:t>
      </w:r>
    </w:p>
    <w:p w:rsidR="002C1123" w:rsidRDefault="00F22F94">
      <w:pPr>
        <w:pStyle w:val="BodyText"/>
        <w:spacing w:before="144" w:line="249" w:lineRule="auto"/>
        <w:ind w:left="492"/>
      </w:pPr>
      <w:r>
        <w:rPr>
          <w:w w:val="95"/>
        </w:rPr>
        <w:t>To</w:t>
      </w:r>
      <w:r>
        <w:rPr>
          <w:spacing w:val="-11"/>
          <w:w w:val="95"/>
        </w:rPr>
        <w:t xml:space="preserve"> </w:t>
      </w:r>
      <w:r>
        <w:rPr>
          <w:w w:val="95"/>
        </w:rPr>
        <w:t>date,</w:t>
      </w:r>
      <w:r>
        <w:rPr>
          <w:spacing w:val="-11"/>
          <w:w w:val="95"/>
        </w:rPr>
        <w:t xml:space="preserve"> </w:t>
      </w:r>
      <w:r>
        <w:rPr>
          <w:w w:val="95"/>
        </w:rPr>
        <w:t>Infrastructure</w:t>
      </w:r>
      <w:r>
        <w:rPr>
          <w:spacing w:val="-11"/>
          <w:w w:val="95"/>
        </w:rPr>
        <w:t xml:space="preserve"> </w:t>
      </w:r>
      <w:r>
        <w:rPr>
          <w:w w:val="95"/>
        </w:rPr>
        <w:t>NSW</w:t>
      </w:r>
      <w:r>
        <w:rPr>
          <w:spacing w:val="-11"/>
          <w:w w:val="95"/>
        </w:rPr>
        <w:t xml:space="preserve"> </w:t>
      </w:r>
      <w:r>
        <w:rPr>
          <w:w w:val="95"/>
        </w:rPr>
        <w:t>believes</w:t>
      </w:r>
      <w:r>
        <w:rPr>
          <w:spacing w:val="-11"/>
          <w:w w:val="95"/>
        </w:rPr>
        <w:t xml:space="preserve"> </w:t>
      </w:r>
      <w:r>
        <w:rPr>
          <w:w w:val="95"/>
        </w:rPr>
        <w:t>the</w:t>
      </w:r>
      <w:r>
        <w:rPr>
          <w:spacing w:val="-11"/>
          <w:w w:val="95"/>
        </w:rPr>
        <w:t xml:space="preserve"> </w:t>
      </w:r>
      <w:r>
        <w:rPr>
          <w:w w:val="95"/>
        </w:rPr>
        <w:t>case</w:t>
      </w:r>
      <w:r>
        <w:rPr>
          <w:spacing w:val="-11"/>
          <w:w w:val="95"/>
        </w:rPr>
        <w:t xml:space="preserve"> </w:t>
      </w:r>
      <w:r>
        <w:rPr>
          <w:w w:val="95"/>
        </w:rPr>
        <w:t>has</w:t>
      </w:r>
      <w:r>
        <w:rPr>
          <w:spacing w:val="-11"/>
          <w:w w:val="95"/>
        </w:rPr>
        <w:t xml:space="preserve"> </w:t>
      </w:r>
      <w:r>
        <w:rPr>
          <w:w w:val="95"/>
        </w:rPr>
        <w:t>not been</w:t>
      </w:r>
      <w:r>
        <w:rPr>
          <w:spacing w:val="-5"/>
          <w:w w:val="95"/>
        </w:rPr>
        <w:t xml:space="preserve"> </w:t>
      </w:r>
      <w:r>
        <w:rPr>
          <w:w w:val="95"/>
        </w:rPr>
        <w:t>made</w:t>
      </w:r>
      <w:r>
        <w:rPr>
          <w:spacing w:val="-5"/>
          <w:w w:val="95"/>
        </w:rPr>
        <w:t xml:space="preserve"> </w:t>
      </w:r>
      <w:r>
        <w:rPr>
          <w:w w:val="95"/>
        </w:rPr>
        <w:t>as</w:t>
      </w:r>
      <w:r>
        <w:rPr>
          <w:spacing w:val="-5"/>
          <w:w w:val="95"/>
        </w:rPr>
        <w:t xml:space="preserve"> </w:t>
      </w:r>
      <w:r>
        <w:rPr>
          <w:w w:val="95"/>
        </w:rPr>
        <w:t>to</w:t>
      </w:r>
      <w:r>
        <w:rPr>
          <w:spacing w:val="-5"/>
          <w:w w:val="95"/>
        </w:rPr>
        <w:t xml:space="preserve"> </w:t>
      </w:r>
      <w:r>
        <w:rPr>
          <w:w w:val="95"/>
        </w:rPr>
        <w:t>why</w:t>
      </w:r>
      <w:r>
        <w:rPr>
          <w:spacing w:val="-5"/>
          <w:w w:val="95"/>
        </w:rPr>
        <w:t xml:space="preserve"> </w:t>
      </w:r>
      <w:r>
        <w:rPr>
          <w:w w:val="95"/>
        </w:rPr>
        <w:t>a</w:t>
      </w:r>
      <w:r>
        <w:rPr>
          <w:spacing w:val="-5"/>
          <w:w w:val="95"/>
        </w:rPr>
        <w:t xml:space="preserve"> </w:t>
      </w:r>
      <w:r>
        <w:rPr>
          <w:w w:val="95"/>
        </w:rPr>
        <w:t>rail</w:t>
      </w:r>
      <w:r>
        <w:rPr>
          <w:spacing w:val="-5"/>
          <w:w w:val="95"/>
        </w:rPr>
        <w:t xml:space="preserve"> </w:t>
      </w:r>
      <w:r>
        <w:rPr>
          <w:w w:val="95"/>
        </w:rPr>
        <w:t>option</w:t>
      </w:r>
      <w:r>
        <w:rPr>
          <w:spacing w:val="-5"/>
          <w:w w:val="95"/>
        </w:rPr>
        <w:t xml:space="preserve"> </w:t>
      </w:r>
      <w:r>
        <w:rPr>
          <w:w w:val="95"/>
        </w:rPr>
        <w:t>would</w:t>
      </w:r>
      <w:r>
        <w:rPr>
          <w:spacing w:val="-5"/>
          <w:w w:val="95"/>
        </w:rPr>
        <w:t xml:space="preserve"> </w:t>
      </w:r>
      <w:r>
        <w:rPr>
          <w:w w:val="95"/>
        </w:rPr>
        <w:t>provide</w:t>
      </w:r>
      <w:r>
        <w:rPr>
          <w:spacing w:val="-5"/>
          <w:w w:val="95"/>
        </w:rPr>
        <w:t xml:space="preserve"> </w:t>
      </w:r>
      <w:r>
        <w:rPr>
          <w:w w:val="95"/>
        </w:rPr>
        <w:t xml:space="preserve">such </w:t>
      </w:r>
      <w:r>
        <w:t>transformative</w:t>
      </w:r>
      <w:r>
        <w:rPr>
          <w:spacing w:val="-7"/>
        </w:rPr>
        <w:t xml:space="preserve"> </w:t>
      </w:r>
      <w:r>
        <w:t>benefits</w:t>
      </w:r>
      <w:r>
        <w:rPr>
          <w:spacing w:val="-7"/>
        </w:rPr>
        <w:t xml:space="preserve"> </w:t>
      </w:r>
      <w:r>
        <w:t>that</w:t>
      </w:r>
      <w:r>
        <w:rPr>
          <w:spacing w:val="-7"/>
        </w:rPr>
        <w:t xml:space="preserve"> </w:t>
      </w:r>
      <w:r>
        <w:t>it</w:t>
      </w:r>
      <w:r>
        <w:rPr>
          <w:spacing w:val="-7"/>
        </w:rPr>
        <w:t xml:space="preserve"> </w:t>
      </w:r>
      <w:r>
        <w:t>would</w:t>
      </w:r>
      <w:r>
        <w:rPr>
          <w:spacing w:val="-7"/>
        </w:rPr>
        <w:t xml:space="preserve"> </w:t>
      </w:r>
      <w:r>
        <w:t>compete</w:t>
      </w:r>
      <w:r>
        <w:rPr>
          <w:spacing w:val="-7"/>
        </w:rPr>
        <w:t xml:space="preserve"> </w:t>
      </w:r>
      <w:r>
        <w:t>with aviation,</w:t>
      </w:r>
      <w:r>
        <w:rPr>
          <w:spacing w:val="-12"/>
        </w:rPr>
        <w:t xml:space="preserve"> </w:t>
      </w:r>
      <w:r>
        <w:t>even</w:t>
      </w:r>
      <w:r>
        <w:rPr>
          <w:spacing w:val="-12"/>
        </w:rPr>
        <w:t xml:space="preserve"> </w:t>
      </w:r>
      <w:r>
        <w:t>with</w:t>
      </w:r>
      <w:r>
        <w:rPr>
          <w:spacing w:val="-12"/>
        </w:rPr>
        <w:t xml:space="preserve"> </w:t>
      </w:r>
      <w:r>
        <w:t>a</w:t>
      </w:r>
      <w:r>
        <w:rPr>
          <w:spacing w:val="-12"/>
        </w:rPr>
        <w:t xml:space="preserve"> </w:t>
      </w:r>
      <w:r>
        <w:t>heavy</w:t>
      </w:r>
      <w:r>
        <w:rPr>
          <w:spacing w:val="-12"/>
        </w:rPr>
        <w:t xml:space="preserve"> </w:t>
      </w:r>
      <w:r>
        <w:t>subsidy.</w:t>
      </w:r>
    </w:p>
    <w:p w:rsidR="002C1123" w:rsidRDefault="00F22F94">
      <w:pPr>
        <w:pStyle w:val="BodyText"/>
        <w:spacing w:before="145" w:line="249" w:lineRule="auto"/>
        <w:ind w:left="492"/>
      </w:pPr>
      <w:r>
        <w:rPr>
          <w:w w:val="95"/>
        </w:rPr>
        <w:t>High</w:t>
      </w:r>
      <w:r>
        <w:rPr>
          <w:spacing w:val="-2"/>
          <w:w w:val="95"/>
        </w:rPr>
        <w:t xml:space="preserve"> </w:t>
      </w:r>
      <w:r>
        <w:rPr>
          <w:w w:val="95"/>
        </w:rPr>
        <w:t>speed</w:t>
      </w:r>
      <w:r>
        <w:rPr>
          <w:spacing w:val="-2"/>
          <w:w w:val="95"/>
        </w:rPr>
        <w:t xml:space="preserve"> </w:t>
      </w:r>
      <w:r>
        <w:rPr>
          <w:w w:val="95"/>
        </w:rPr>
        <w:t>rail</w:t>
      </w:r>
      <w:r>
        <w:rPr>
          <w:spacing w:val="-2"/>
          <w:w w:val="95"/>
        </w:rPr>
        <w:t xml:space="preserve"> </w:t>
      </w:r>
      <w:r>
        <w:rPr>
          <w:w w:val="95"/>
        </w:rPr>
        <w:t>services</w:t>
      </w:r>
      <w:r>
        <w:rPr>
          <w:spacing w:val="-2"/>
          <w:w w:val="95"/>
        </w:rPr>
        <w:t xml:space="preserve"> </w:t>
      </w:r>
      <w:r>
        <w:rPr>
          <w:w w:val="95"/>
        </w:rPr>
        <w:t>are</w:t>
      </w:r>
      <w:r>
        <w:rPr>
          <w:spacing w:val="-2"/>
          <w:w w:val="95"/>
        </w:rPr>
        <w:t xml:space="preserve"> </w:t>
      </w:r>
      <w:r>
        <w:rPr>
          <w:w w:val="95"/>
        </w:rPr>
        <w:t>most</w:t>
      </w:r>
      <w:r>
        <w:rPr>
          <w:spacing w:val="-2"/>
          <w:w w:val="95"/>
        </w:rPr>
        <w:t xml:space="preserve"> </w:t>
      </w:r>
      <w:r>
        <w:rPr>
          <w:w w:val="95"/>
        </w:rPr>
        <w:t>competitive</w:t>
      </w:r>
      <w:r>
        <w:rPr>
          <w:spacing w:val="-2"/>
          <w:w w:val="95"/>
        </w:rPr>
        <w:t xml:space="preserve"> </w:t>
      </w:r>
      <w:r>
        <w:rPr>
          <w:w w:val="95"/>
        </w:rPr>
        <w:t>with</w:t>
      </w:r>
      <w:r>
        <w:rPr>
          <w:spacing w:val="-2"/>
          <w:w w:val="95"/>
        </w:rPr>
        <w:t xml:space="preserve"> </w:t>
      </w:r>
      <w:r>
        <w:rPr>
          <w:w w:val="95"/>
        </w:rPr>
        <w:t xml:space="preserve">short </w:t>
      </w:r>
      <w:r>
        <w:rPr>
          <w:spacing w:val="-2"/>
        </w:rPr>
        <w:t>haul</w:t>
      </w:r>
      <w:r>
        <w:rPr>
          <w:spacing w:val="-8"/>
        </w:rPr>
        <w:t xml:space="preserve"> </w:t>
      </w:r>
      <w:r>
        <w:rPr>
          <w:spacing w:val="-2"/>
        </w:rPr>
        <w:t>air</w:t>
      </w:r>
      <w:r>
        <w:rPr>
          <w:spacing w:val="-8"/>
        </w:rPr>
        <w:t xml:space="preserve"> </w:t>
      </w:r>
      <w:r>
        <w:rPr>
          <w:spacing w:val="-2"/>
        </w:rPr>
        <w:t>travel</w:t>
      </w:r>
      <w:r>
        <w:rPr>
          <w:spacing w:val="-8"/>
        </w:rPr>
        <w:t xml:space="preserve"> </w:t>
      </w:r>
      <w:r>
        <w:rPr>
          <w:spacing w:val="-2"/>
        </w:rPr>
        <w:t>where</w:t>
      </w:r>
      <w:r>
        <w:rPr>
          <w:spacing w:val="-8"/>
        </w:rPr>
        <w:t xml:space="preserve"> </w:t>
      </w:r>
      <w:r>
        <w:rPr>
          <w:spacing w:val="-2"/>
        </w:rPr>
        <w:t>journey</w:t>
      </w:r>
      <w:r>
        <w:rPr>
          <w:spacing w:val="-8"/>
        </w:rPr>
        <w:t xml:space="preserve"> </w:t>
      </w:r>
      <w:r>
        <w:rPr>
          <w:spacing w:val="-2"/>
        </w:rPr>
        <w:t>times</w:t>
      </w:r>
      <w:r>
        <w:rPr>
          <w:spacing w:val="-8"/>
        </w:rPr>
        <w:t xml:space="preserve"> </w:t>
      </w:r>
      <w:r>
        <w:rPr>
          <w:spacing w:val="-2"/>
        </w:rPr>
        <w:t>are</w:t>
      </w:r>
      <w:r>
        <w:rPr>
          <w:spacing w:val="-8"/>
        </w:rPr>
        <w:t xml:space="preserve"> </w:t>
      </w:r>
      <w:r>
        <w:rPr>
          <w:spacing w:val="-2"/>
        </w:rPr>
        <w:t>around</w:t>
      </w:r>
      <w:r>
        <w:rPr>
          <w:spacing w:val="-8"/>
        </w:rPr>
        <w:t xml:space="preserve"> </w:t>
      </w:r>
      <w:r>
        <w:rPr>
          <w:spacing w:val="-2"/>
        </w:rPr>
        <w:t xml:space="preserve">three </w:t>
      </w:r>
      <w:r>
        <w:t>hours or below</w:t>
      </w:r>
      <w:r>
        <w:rPr>
          <w:position w:val="7"/>
          <w:sz w:val="11"/>
        </w:rPr>
        <w:t>11</w:t>
      </w:r>
      <w:r>
        <w:t>.</w:t>
      </w:r>
    </w:p>
    <w:p w:rsidR="002C1123" w:rsidRDefault="00F22F94">
      <w:pPr>
        <w:pStyle w:val="BodyText"/>
        <w:spacing w:before="144" w:line="249" w:lineRule="auto"/>
        <w:ind w:left="492" w:right="24"/>
      </w:pPr>
      <w:r>
        <w:rPr>
          <w:spacing w:val="-2"/>
        </w:rPr>
        <w:t>These</w:t>
      </w:r>
      <w:r>
        <w:rPr>
          <w:spacing w:val="-8"/>
        </w:rPr>
        <w:t xml:space="preserve"> </w:t>
      </w:r>
      <w:r>
        <w:rPr>
          <w:spacing w:val="-2"/>
        </w:rPr>
        <w:t>journey</w:t>
      </w:r>
      <w:r>
        <w:rPr>
          <w:spacing w:val="-8"/>
        </w:rPr>
        <w:t xml:space="preserve"> </w:t>
      </w:r>
      <w:r>
        <w:rPr>
          <w:spacing w:val="-2"/>
        </w:rPr>
        <w:t>times</w:t>
      </w:r>
      <w:r>
        <w:rPr>
          <w:spacing w:val="-8"/>
        </w:rPr>
        <w:t xml:space="preserve"> </w:t>
      </w:r>
      <w:r>
        <w:rPr>
          <w:spacing w:val="-2"/>
        </w:rPr>
        <w:t>are</w:t>
      </w:r>
      <w:r>
        <w:rPr>
          <w:spacing w:val="-8"/>
        </w:rPr>
        <w:t xml:space="preserve"> </w:t>
      </w:r>
      <w:r>
        <w:rPr>
          <w:spacing w:val="-2"/>
        </w:rPr>
        <w:t>challenging</w:t>
      </w:r>
      <w:r>
        <w:rPr>
          <w:spacing w:val="-8"/>
        </w:rPr>
        <w:t xml:space="preserve"> </w:t>
      </w:r>
      <w:r>
        <w:rPr>
          <w:spacing w:val="-2"/>
        </w:rPr>
        <w:t>to</w:t>
      </w:r>
      <w:r>
        <w:rPr>
          <w:spacing w:val="-8"/>
        </w:rPr>
        <w:t xml:space="preserve"> </w:t>
      </w:r>
      <w:r>
        <w:rPr>
          <w:spacing w:val="-2"/>
        </w:rPr>
        <w:t>achieve</w:t>
      </w:r>
      <w:r>
        <w:rPr>
          <w:spacing w:val="-8"/>
        </w:rPr>
        <w:t xml:space="preserve"> </w:t>
      </w:r>
      <w:r>
        <w:rPr>
          <w:spacing w:val="-2"/>
        </w:rPr>
        <w:t xml:space="preserve">along </w:t>
      </w:r>
      <w:r>
        <w:t>the</w:t>
      </w:r>
      <w:r>
        <w:rPr>
          <w:spacing w:val="-11"/>
        </w:rPr>
        <w:t xml:space="preserve"> </w:t>
      </w:r>
      <w:r>
        <w:t>east</w:t>
      </w:r>
      <w:r>
        <w:rPr>
          <w:spacing w:val="-11"/>
        </w:rPr>
        <w:t xml:space="preserve"> </w:t>
      </w:r>
      <w:r>
        <w:t>coast</w:t>
      </w:r>
      <w:r>
        <w:rPr>
          <w:spacing w:val="-11"/>
        </w:rPr>
        <w:t xml:space="preserve"> </w:t>
      </w:r>
      <w:r>
        <w:t>using</w:t>
      </w:r>
      <w:r>
        <w:rPr>
          <w:spacing w:val="-11"/>
        </w:rPr>
        <w:t xml:space="preserve"> </w:t>
      </w:r>
      <w:r>
        <w:t>proven</w:t>
      </w:r>
      <w:r>
        <w:rPr>
          <w:spacing w:val="-11"/>
        </w:rPr>
        <w:t xml:space="preserve"> </w:t>
      </w:r>
      <w:r>
        <w:t>technology</w:t>
      </w:r>
      <w:r>
        <w:rPr>
          <w:spacing w:val="-11"/>
        </w:rPr>
        <w:t xml:space="preserve"> </w:t>
      </w:r>
      <w:r>
        <w:t>as</w:t>
      </w:r>
      <w:r>
        <w:rPr>
          <w:spacing w:val="-11"/>
        </w:rPr>
        <w:t xml:space="preserve"> </w:t>
      </w:r>
      <w:r>
        <w:t>the</w:t>
      </w:r>
      <w:r>
        <w:rPr>
          <w:spacing w:val="-11"/>
        </w:rPr>
        <w:t xml:space="preserve"> </w:t>
      </w:r>
      <w:r>
        <w:t>major capital</w:t>
      </w:r>
      <w:r>
        <w:rPr>
          <w:spacing w:val="-11"/>
        </w:rPr>
        <w:t xml:space="preserve"> </w:t>
      </w:r>
      <w:r>
        <w:t>cities</w:t>
      </w:r>
      <w:r>
        <w:rPr>
          <w:spacing w:val="-11"/>
        </w:rPr>
        <w:t xml:space="preserve"> </w:t>
      </w:r>
      <w:r>
        <w:t>are</w:t>
      </w:r>
      <w:r>
        <w:rPr>
          <w:spacing w:val="-11"/>
        </w:rPr>
        <w:t xml:space="preserve"> </w:t>
      </w:r>
      <w:r>
        <w:t>so</w:t>
      </w:r>
      <w:r>
        <w:rPr>
          <w:spacing w:val="-11"/>
        </w:rPr>
        <w:t xml:space="preserve"> </w:t>
      </w:r>
      <w:r>
        <w:t>far</w:t>
      </w:r>
      <w:r>
        <w:rPr>
          <w:spacing w:val="-11"/>
        </w:rPr>
        <w:t xml:space="preserve"> </w:t>
      </w:r>
      <w:r>
        <w:t>apart.</w:t>
      </w:r>
      <w:r>
        <w:rPr>
          <w:spacing w:val="-11"/>
        </w:rPr>
        <w:t xml:space="preserve"> </w:t>
      </w:r>
      <w:r>
        <w:t>By</w:t>
      </w:r>
      <w:r>
        <w:rPr>
          <w:spacing w:val="-11"/>
        </w:rPr>
        <w:t xml:space="preserve"> </w:t>
      </w:r>
      <w:r>
        <w:t>way</w:t>
      </w:r>
      <w:r>
        <w:rPr>
          <w:spacing w:val="-11"/>
        </w:rPr>
        <w:t xml:space="preserve"> </w:t>
      </w:r>
      <w:r>
        <w:t>of</w:t>
      </w:r>
      <w:r>
        <w:rPr>
          <w:spacing w:val="-11"/>
        </w:rPr>
        <w:t xml:space="preserve"> </w:t>
      </w:r>
      <w:r>
        <w:t>comparison, the</w:t>
      </w:r>
      <w:r>
        <w:rPr>
          <w:spacing w:val="-11"/>
        </w:rPr>
        <w:t xml:space="preserve"> </w:t>
      </w:r>
      <w:r>
        <w:t>distance</w:t>
      </w:r>
      <w:r>
        <w:rPr>
          <w:spacing w:val="-11"/>
        </w:rPr>
        <w:t xml:space="preserve"> </w:t>
      </w:r>
      <w:r>
        <w:t>from</w:t>
      </w:r>
      <w:r>
        <w:rPr>
          <w:spacing w:val="-12"/>
        </w:rPr>
        <w:t xml:space="preserve"> </w:t>
      </w:r>
      <w:r>
        <w:t>Paris</w:t>
      </w:r>
      <w:r>
        <w:rPr>
          <w:spacing w:val="-11"/>
        </w:rPr>
        <w:t xml:space="preserve"> </w:t>
      </w:r>
      <w:r>
        <w:t>to</w:t>
      </w:r>
      <w:r>
        <w:rPr>
          <w:spacing w:val="-11"/>
        </w:rPr>
        <w:t xml:space="preserve"> </w:t>
      </w:r>
      <w:r>
        <w:t>Lyon,</w:t>
      </w:r>
      <w:r>
        <w:rPr>
          <w:spacing w:val="-11"/>
        </w:rPr>
        <w:t xml:space="preserve"> </w:t>
      </w:r>
      <w:r>
        <w:t>one</w:t>
      </w:r>
      <w:r>
        <w:rPr>
          <w:spacing w:val="-11"/>
        </w:rPr>
        <w:t xml:space="preserve"> </w:t>
      </w:r>
      <w:r>
        <w:t>of</w:t>
      </w:r>
      <w:r>
        <w:rPr>
          <w:spacing w:val="-11"/>
        </w:rPr>
        <w:t xml:space="preserve"> </w:t>
      </w:r>
      <w:r>
        <w:t>the</w:t>
      </w:r>
      <w:r>
        <w:rPr>
          <w:spacing w:val="-11"/>
        </w:rPr>
        <w:t xml:space="preserve"> </w:t>
      </w:r>
      <w:r>
        <w:t xml:space="preserve">world’s </w:t>
      </w:r>
      <w:r>
        <w:rPr>
          <w:w w:val="95"/>
        </w:rPr>
        <w:t>most successful high speed services, is 465 kilometre, whereas</w:t>
      </w:r>
      <w:r>
        <w:rPr>
          <w:spacing w:val="-5"/>
          <w:w w:val="95"/>
        </w:rPr>
        <w:t xml:space="preserve"> </w:t>
      </w:r>
      <w:r>
        <w:rPr>
          <w:w w:val="95"/>
        </w:rPr>
        <w:t>the</w:t>
      </w:r>
      <w:r>
        <w:rPr>
          <w:spacing w:val="-5"/>
          <w:w w:val="95"/>
        </w:rPr>
        <w:t xml:space="preserve"> </w:t>
      </w:r>
      <w:r>
        <w:rPr>
          <w:w w:val="95"/>
        </w:rPr>
        <w:t>identified</w:t>
      </w:r>
      <w:r>
        <w:rPr>
          <w:spacing w:val="-5"/>
          <w:w w:val="95"/>
        </w:rPr>
        <w:t xml:space="preserve"> </w:t>
      </w:r>
      <w:r>
        <w:rPr>
          <w:w w:val="95"/>
        </w:rPr>
        <w:t>route</w:t>
      </w:r>
      <w:r>
        <w:rPr>
          <w:spacing w:val="-5"/>
          <w:w w:val="95"/>
        </w:rPr>
        <w:t xml:space="preserve"> </w:t>
      </w:r>
      <w:r>
        <w:rPr>
          <w:w w:val="95"/>
        </w:rPr>
        <w:t>from</w:t>
      </w:r>
      <w:r>
        <w:rPr>
          <w:spacing w:val="-5"/>
          <w:w w:val="95"/>
        </w:rPr>
        <w:t xml:space="preserve"> </w:t>
      </w:r>
      <w:r>
        <w:rPr>
          <w:w w:val="95"/>
        </w:rPr>
        <w:t>Sydney</w:t>
      </w:r>
      <w:r>
        <w:rPr>
          <w:spacing w:val="-5"/>
          <w:w w:val="95"/>
        </w:rPr>
        <w:t xml:space="preserve"> </w:t>
      </w:r>
      <w:r>
        <w:rPr>
          <w:w w:val="95"/>
        </w:rPr>
        <w:t>to</w:t>
      </w:r>
      <w:r>
        <w:rPr>
          <w:spacing w:val="-5"/>
          <w:w w:val="95"/>
        </w:rPr>
        <w:t xml:space="preserve"> </w:t>
      </w:r>
      <w:r>
        <w:rPr>
          <w:w w:val="95"/>
        </w:rPr>
        <w:t xml:space="preserve">Melbourne </w:t>
      </w:r>
      <w:r>
        <w:t>is</w:t>
      </w:r>
      <w:r>
        <w:rPr>
          <w:spacing w:val="-11"/>
        </w:rPr>
        <w:t xml:space="preserve"> </w:t>
      </w:r>
      <w:r>
        <w:t>823</w:t>
      </w:r>
      <w:r>
        <w:rPr>
          <w:spacing w:val="-11"/>
        </w:rPr>
        <w:t xml:space="preserve"> </w:t>
      </w:r>
      <w:r>
        <w:t>kilometre</w:t>
      </w:r>
      <w:r>
        <w:rPr>
          <w:spacing w:val="-11"/>
        </w:rPr>
        <w:t xml:space="preserve"> </w:t>
      </w:r>
      <w:r>
        <w:t>and</w:t>
      </w:r>
      <w:r>
        <w:rPr>
          <w:spacing w:val="-11"/>
        </w:rPr>
        <w:t xml:space="preserve"> </w:t>
      </w:r>
      <w:r>
        <w:t>that</w:t>
      </w:r>
      <w:r>
        <w:rPr>
          <w:spacing w:val="-11"/>
        </w:rPr>
        <w:t xml:space="preserve"> </w:t>
      </w:r>
      <w:r>
        <w:t>from</w:t>
      </w:r>
      <w:r>
        <w:rPr>
          <w:spacing w:val="-11"/>
        </w:rPr>
        <w:t xml:space="preserve"> </w:t>
      </w:r>
      <w:r>
        <w:t>Sydney</w:t>
      </w:r>
      <w:r>
        <w:rPr>
          <w:spacing w:val="-11"/>
        </w:rPr>
        <w:t xml:space="preserve"> </w:t>
      </w:r>
      <w:r>
        <w:t>to</w:t>
      </w:r>
      <w:r>
        <w:rPr>
          <w:spacing w:val="-11"/>
        </w:rPr>
        <w:t xml:space="preserve"> </w:t>
      </w:r>
      <w:r>
        <w:t>Brisbane</w:t>
      </w:r>
    </w:p>
    <w:p w:rsidR="002C1123" w:rsidRDefault="00F22F94">
      <w:pPr>
        <w:pStyle w:val="BodyText"/>
        <w:spacing w:before="6"/>
        <w:ind w:left="492"/>
      </w:pPr>
      <w:r>
        <w:rPr>
          <w:w w:val="95"/>
        </w:rPr>
        <w:t>821</w:t>
      </w:r>
      <w:r>
        <w:rPr>
          <w:spacing w:val="-9"/>
          <w:w w:val="95"/>
        </w:rPr>
        <w:t xml:space="preserve"> </w:t>
      </w:r>
      <w:r>
        <w:rPr>
          <w:spacing w:val="-2"/>
        </w:rPr>
        <w:t>kilometre</w:t>
      </w:r>
      <w:r>
        <w:rPr>
          <w:spacing w:val="-2"/>
          <w:position w:val="7"/>
          <w:sz w:val="11"/>
        </w:rPr>
        <w:t>12</w:t>
      </w:r>
      <w:r>
        <w:rPr>
          <w:spacing w:val="-2"/>
        </w:rPr>
        <w:t>.</w:t>
      </w:r>
    </w:p>
    <w:p w:rsidR="002C1123" w:rsidRDefault="00F22F94">
      <w:pPr>
        <w:pStyle w:val="BodyText"/>
        <w:spacing w:before="151" w:line="249" w:lineRule="auto"/>
        <w:ind w:left="492" w:right="181"/>
      </w:pPr>
      <w:r>
        <w:t>In</w:t>
      </w:r>
      <w:r>
        <w:rPr>
          <w:spacing w:val="-11"/>
        </w:rPr>
        <w:t xml:space="preserve"> </w:t>
      </w:r>
      <w:r>
        <w:t>addition,</w:t>
      </w:r>
      <w:r>
        <w:rPr>
          <w:spacing w:val="-11"/>
        </w:rPr>
        <w:t xml:space="preserve"> </w:t>
      </w:r>
      <w:r>
        <w:t>there</w:t>
      </w:r>
      <w:r>
        <w:rPr>
          <w:spacing w:val="-11"/>
        </w:rPr>
        <w:t xml:space="preserve"> </w:t>
      </w:r>
      <w:r>
        <w:t>is</w:t>
      </w:r>
      <w:r>
        <w:rPr>
          <w:spacing w:val="-11"/>
        </w:rPr>
        <w:t xml:space="preserve"> </w:t>
      </w:r>
      <w:r>
        <w:t>a</w:t>
      </w:r>
      <w:r>
        <w:rPr>
          <w:spacing w:val="-11"/>
        </w:rPr>
        <w:t xml:space="preserve"> </w:t>
      </w:r>
      <w:r>
        <w:t>trade</w:t>
      </w:r>
      <w:r>
        <w:rPr>
          <w:spacing w:val="-11"/>
        </w:rPr>
        <w:t xml:space="preserve"> </w:t>
      </w:r>
      <w:r>
        <w:t>off</w:t>
      </w:r>
      <w:r>
        <w:rPr>
          <w:spacing w:val="-11"/>
        </w:rPr>
        <w:t xml:space="preserve"> </w:t>
      </w:r>
      <w:r>
        <w:t>between</w:t>
      </w:r>
      <w:r>
        <w:rPr>
          <w:spacing w:val="-11"/>
        </w:rPr>
        <w:t xml:space="preserve"> </w:t>
      </w:r>
      <w:r>
        <w:t xml:space="preserve">offering </w:t>
      </w:r>
      <w:r>
        <w:rPr>
          <w:w w:val="95"/>
        </w:rPr>
        <w:t>faster</w:t>
      </w:r>
      <w:r>
        <w:rPr>
          <w:spacing w:val="-7"/>
          <w:w w:val="95"/>
        </w:rPr>
        <w:t xml:space="preserve"> </w:t>
      </w:r>
      <w:r>
        <w:rPr>
          <w:w w:val="95"/>
        </w:rPr>
        <w:t>end</w:t>
      </w:r>
      <w:r>
        <w:rPr>
          <w:spacing w:val="-7"/>
          <w:w w:val="95"/>
        </w:rPr>
        <w:t xml:space="preserve"> </w:t>
      </w:r>
      <w:r>
        <w:rPr>
          <w:w w:val="95"/>
        </w:rPr>
        <w:t>to</w:t>
      </w:r>
      <w:r>
        <w:rPr>
          <w:spacing w:val="-7"/>
          <w:w w:val="95"/>
        </w:rPr>
        <w:t xml:space="preserve"> </w:t>
      </w:r>
      <w:r>
        <w:rPr>
          <w:w w:val="95"/>
        </w:rPr>
        <w:t>end</w:t>
      </w:r>
      <w:r>
        <w:rPr>
          <w:spacing w:val="-7"/>
          <w:w w:val="95"/>
        </w:rPr>
        <w:t xml:space="preserve"> </w:t>
      </w:r>
      <w:r>
        <w:rPr>
          <w:w w:val="95"/>
        </w:rPr>
        <w:t>journey</w:t>
      </w:r>
      <w:r>
        <w:rPr>
          <w:spacing w:val="-7"/>
          <w:w w:val="95"/>
        </w:rPr>
        <w:t xml:space="preserve"> </w:t>
      </w:r>
      <w:r>
        <w:rPr>
          <w:w w:val="95"/>
        </w:rPr>
        <w:t>times,</w:t>
      </w:r>
      <w:r>
        <w:rPr>
          <w:spacing w:val="-7"/>
          <w:w w:val="95"/>
        </w:rPr>
        <w:t xml:space="preserve"> </w:t>
      </w:r>
      <w:r>
        <w:rPr>
          <w:w w:val="95"/>
        </w:rPr>
        <w:t>which</w:t>
      </w:r>
      <w:r>
        <w:rPr>
          <w:spacing w:val="-7"/>
          <w:w w:val="95"/>
        </w:rPr>
        <w:t xml:space="preserve"> </w:t>
      </w:r>
      <w:r>
        <w:rPr>
          <w:w w:val="95"/>
        </w:rPr>
        <w:t>implies</w:t>
      </w:r>
      <w:r>
        <w:rPr>
          <w:spacing w:val="-7"/>
          <w:w w:val="95"/>
        </w:rPr>
        <w:t xml:space="preserve"> </w:t>
      </w:r>
      <w:r>
        <w:rPr>
          <w:w w:val="95"/>
        </w:rPr>
        <w:t xml:space="preserve">fewer </w:t>
      </w:r>
      <w:r>
        <w:t>intermediate</w:t>
      </w:r>
      <w:r>
        <w:rPr>
          <w:spacing w:val="-11"/>
        </w:rPr>
        <w:t xml:space="preserve"> </w:t>
      </w:r>
      <w:r>
        <w:t>stops,</w:t>
      </w:r>
      <w:r>
        <w:rPr>
          <w:spacing w:val="-11"/>
        </w:rPr>
        <w:t xml:space="preserve"> </w:t>
      </w:r>
      <w:r>
        <w:t>and</w:t>
      </w:r>
      <w:r>
        <w:rPr>
          <w:spacing w:val="-11"/>
        </w:rPr>
        <w:t xml:space="preserve"> </w:t>
      </w:r>
      <w:r>
        <w:t>the</w:t>
      </w:r>
      <w:r>
        <w:rPr>
          <w:spacing w:val="-11"/>
        </w:rPr>
        <w:t xml:space="preserve"> </w:t>
      </w:r>
      <w:r>
        <w:t>achievement</w:t>
      </w:r>
      <w:r>
        <w:rPr>
          <w:spacing w:val="-11"/>
        </w:rPr>
        <w:t xml:space="preserve"> </w:t>
      </w:r>
      <w:r>
        <w:t>of</w:t>
      </w:r>
      <w:r>
        <w:rPr>
          <w:spacing w:val="-11"/>
        </w:rPr>
        <w:t xml:space="preserve"> </w:t>
      </w:r>
      <w:r>
        <w:t>the perceived regional economic benefits.</w:t>
      </w:r>
    </w:p>
    <w:p w:rsidR="002C1123" w:rsidRDefault="002C1123">
      <w:pPr>
        <w:pStyle w:val="BodyText"/>
      </w:pPr>
    </w:p>
    <w:p w:rsidR="002C1123" w:rsidRDefault="002C1123">
      <w:pPr>
        <w:pStyle w:val="BodyText"/>
      </w:pPr>
    </w:p>
    <w:p w:rsidR="002C1123" w:rsidRDefault="002060EF">
      <w:pPr>
        <w:pStyle w:val="BodyText"/>
        <w:spacing w:before="5"/>
        <w:rPr>
          <w:sz w:val="15"/>
        </w:rPr>
      </w:pPr>
      <w:r>
        <w:pict>
          <v:shape id="docshape1866" o:spid="_x0000_s3221" style="position:absolute;margin-left:49.6pt;margin-top:10.1pt;width:1in;height:.1pt;z-index:-251362304;mso-wrap-distance-left:0;mso-wrap-distance-right:0;mso-position-horizontal-relative:page" coordorigin="992,202" coordsize="1440,0" path="m992,202r1440,e" filled="f" strokecolor="#9c9c9d" strokeweight=".5pt">
            <v:path arrowok="t"/>
            <w10:wrap type="topAndBottom" anchorx="page"/>
          </v:shape>
        </w:pict>
      </w:r>
    </w:p>
    <w:p w:rsidR="002C1123" w:rsidRDefault="00F22F94">
      <w:pPr>
        <w:pStyle w:val="ListParagraph"/>
        <w:numPr>
          <w:ilvl w:val="0"/>
          <w:numId w:val="73"/>
        </w:numPr>
        <w:tabs>
          <w:tab w:val="left" w:pos="691"/>
        </w:tabs>
        <w:spacing w:before="23"/>
        <w:ind w:left="690" w:right="136"/>
        <w:jc w:val="left"/>
        <w:rPr>
          <w:sz w:val="14"/>
        </w:rPr>
      </w:pPr>
      <w:r>
        <w:rPr>
          <w:w w:val="95"/>
          <w:sz w:val="14"/>
        </w:rPr>
        <w:t>Department of Infrastructure and Transport 2011, High Speed Rail Study:</w:t>
      </w:r>
      <w:r>
        <w:rPr>
          <w:spacing w:val="40"/>
          <w:sz w:val="14"/>
        </w:rPr>
        <w:t xml:space="preserve"> </w:t>
      </w:r>
      <w:r>
        <w:rPr>
          <w:sz w:val="14"/>
        </w:rPr>
        <w:t>Phase</w:t>
      </w:r>
      <w:r>
        <w:rPr>
          <w:spacing w:val="-10"/>
          <w:sz w:val="14"/>
        </w:rPr>
        <w:t xml:space="preserve"> </w:t>
      </w:r>
      <w:r>
        <w:rPr>
          <w:sz w:val="14"/>
        </w:rPr>
        <w:t>1.</w:t>
      </w:r>
    </w:p>
    <w:p w:rsidR="002C1123" w:rsidRDefault="00F22F94">
      <w:pPr>
        <w:pStyle w:val="ListParagraph"/>
        <w:numPr>
          <w:ilvl w:val="0"/>
          <w:numId w:val="73"/>
        </w:numPr>
        <w:tabs>
          <w:tab w:val="left" w:pos="691"/>
        </w:tabs>
        <w:ind w:left="690" w:right="45"/>
        <w:jc w:val="left"/>
        <w:rPr>
          <w:sz w:val="14"/>
        </w:rPr>
      </w:pPr>
      <w:r>
        <w:rPr>
          <w:w w:val="95"/>
          <w:sz w:val="14"/>
        </w:rPr>
        <w:t>Steer Davies Gleave 2006, Air and Rail Comparison and Complementarity,</w:t>
      </w:r>
      <w:r>
        <w:rPr>
          <w:spacing w:val="40"/>
          <w:sz w:val="14"/>
        </w:rPr>
        <w:t xml:space="preserve"> </w:t>
      </w:r>
      <w:r>
        <w:rPr>
          <w:sz w:val="14"/>
        </w:rPr>
        <w:t>prepared for the European Commission.</w:t>
      </w:r>
    </w:p>
    <w:p w:rsidR="002C1123" w:rsidRDefault="00F22F94">
      <w:pPr>
        <w:pStyle w:val="ListParagraph"/>
        <w:numPr>
          <w:ilvl w:val="0"/>
          <w:numId w:val="73"/>
        </w:numPr>
        <w:tabs>
          <w:tab w:val="left" w:pos="691"/>
        </w:tabs>
        <w:ind w:left="690" w:right="45"/>
        <w:jc w:val="left"/>
        <w:rPr>
          <w:sz w:val="14"/>
        </w:rPr>
      </w:pPr>
      <w:r>
        <w:rPr>
          <w:w w:val="95"/>
          <w:sz w:val="14"/>
        </w:rPr>
        <w:t>Steer Davies Gleave 2006, Air and Rail Comparison and Complementarity,</w:t>
      </w:r>
      <w:r>
        <w:rPr>
          <w:spacing w:val="40"/>
          <w:sz w:val="14"/>
        </w:rPr>
        <w:t xml:space="preserve"> </w:t>
      </w:r>
      <w:r>
        <w:rPr>
          <w:sz w:val="14"/>
        </w:rPr>
        <w:t>prepared for the European Commission.</w:t>
      </w:r>
    </w:p>
    <w:p w:rsidR="002C1123" w:rsidRDefault="00F22F94">
      <w:pPr>
        <w:pStyle w:val="ListParagraph"/>
        <w:numPr>
          <w:ilvl w:val="0"/>
          <w:numId w:val="73"/>
        </w:numPr>
        <w:tabs>
          <w:tab w:val="left" w:pos="691"/>
        </w:tabs>
        <w:ind w:left="690" w:right="136"/>
        <w:jc w:val="left"/>
        <w:rPr>
          <w:sz w:val="14"/>
        </w:rPr>
      </w:pPr>
      <w:r>
        <w:rPr>
          <w:w w:val="95"/>
          <w:sz w:val="14"/>
        </w:rPr>
        <w:t>Department of Infrastructure and Transport 2011, High Speed Rail Study:</w:t>
      </w:r>
      <w:r>
        <w:rPr>
          <w:spacing w:val="40"/>
          <w:sz w:val="14"/>
        </w:rPr>
        <w:t xml:space="preserve"> </w:t>
      </w:r>
      <w:r>
        <w:rPr>
          <w:sz w:val="14"/>
        </w:rPr>
        <w:t>Phase</w:t>
      </w:r>
      <w:r>
        <w:rPr>
          <w:spacing w:val="-10"/>
          <w:sz w:val="14"/>
        </w:rPr>
        <w:t xml:space="preserve"> </w:t>
      </w:r>
      <w:r>
        <w:rPr>
          <w:sz w:val="14"/>
        </w:rPr>
        <w:t>1.</w:t>
      </w:r>
    </w:p>
    <w:p w:rsidR="002C1123" w:rsidRDefault="00F22F94">
      <w:pPr>
        <w:pStyle w:val="BodyText"/>
        <w:spacing w:before="106" w:line="249" w:lineRule="auto"/>
        <w:ind w:left="258" w:right="73"/>
      </w:pPr>
      <w:r>
        <w:br w:type="column"/>
      </w:r>
      <w:r>
        <w:rPr>
          <w:w w:val="95"/>
        </w:rPr>
        <w:t>For</w:t>
      </w:r>
      <w:r>
        <w:rPr>
          <w:spacing w:val="-2"/>
          <w:w w:val="95"/>
        </w:rPr>
        <w:t xml:space="preserve"> </w:t>
      </w:r>
      <w:r>
        <w:rPr>
          <w:w w:val="95"/>
        </w:rPr>
        <w:t>these</w:t>
      </w:r>
      <w:r>
        <w:rPr>
          <w:spacing w:val="-2"/>
          <w:w w:val="95"/>
        </w:rPr>
        <w:t xml:space="preserve"> </w:t>
      </w:r>
      <w:r>
        <w:rPr>
          <w:w w:val="95"/>
        </w:rPr>
        <w:t>reasons,</w:t>
      </w:r>
      <w:r>
        <w:rPr>
          <w:spacing w:val="-2"/>
          <w:w w:val="95"/>
        </w:rPr>
        <w:t xml:space="preserve"> </w:t>
      </w:r>
      <w:r>
        <w:rPr>
          <w:w w:val="95"/>
        </w:rPr>
        <w:t>Infrastructure</w:t>
      </w:r>
      <w:r>
        <w:rPr>
          <w:spacing w:val="-2"/>
          <w:w w:val="95"/>
        </w:rPr>
        <w:t xml:space="preserve"> </w:t>
      </w:r>
      <w:r>
        <w:rPr>
          <w:w w:val="95"/>
        </w:rPr>
        <w:t>NSW</w:t>
      </w:r>
      <w:r>
        <w:rPr>
          <w:spacing w:val="-2"/>
          <w:w w:val="95"/>
        </w:rPr>
        <w:t xml:space="preserve"> </w:t>
      </w:r>
      <w:r>
        <w:rPr>
          <w:w w:val="95"/>
        </w:rPr>
        <w:t>does</w:t>
      </w:r>
      <w:r>
        <w:rPr>
          <w:spacing w:val="-2"/>
          <w:w w:val="95"/>
        </w:rPr>
        <w:t xml:space="preserve"> </w:t>
      </w:r>
      <w:r>
        <w:rPr>
          <w:w w:val="95"/>
        </w:rPr>
        <w:t>not</w:t>
      </w:r>
      <w:r>
        <w:rPr>
          <w:spacing w:val="-2"/>
          <w:w w:val="95"/>
        </w:rPr>
        <w:t xml:space="preserve"> </w:t>
      </w:r>
      <w:r>
        <w:rPr>
          <w:w w:val="95"/>
        </w:rPr>
        <w:t xml:space="preserve">see </w:t>
      </w:r>
      <w:r>
        <w:rPr>
          <w:w w:val="90"/>
        </w:rPr>
        <w:t>high speed rail as a priority for State investment over the next</w:t>
      </w:r>
      <w:r>
        <w:rPr>
          <w:spacing w:val="-1"/>
        </w:rPr>
        <w:t xml:space="preserve"> </w:t>
      </w:r>
      <w:r>
        <w:rPr>
          <w:w w:val="90"/>
        </w:rPr>
        <w:t>20</w:t>
      </w:r>
      <w:r>
        <w:t xml:space="preserve"> </w:t>
      </w:r>
      <w:r>
        <w:rPr>
          <w:w w:val="90"/>
        </w:rPr>
        <w:t>years.</w:t>
      </w:r>
      <w:r>
        <w:t xml:space="preserve"> </w:t>
      </w:r>
      <w:r>
        <w:rPr>
          <w:w w:val="90"/>
        </w:rPr>
        <w:t>Incremental</w:t>
      </w:r>
      <w:r>
        <w:t xml:space="preserve"> </w:t>
      </w:r>
      <w:r>
        <w:rPr>
          <w:w w:val="90"/>
        </w:rPr>
        <w:t>improvements</w:t>
      </w:r>
      <w:r>
        <w:t xml:space="preserve"> </w:t>
      </w:r>
      <w:r>
        <w:rPr>
          <w:w w:val="90"/>
        </w:rPr>
        <w:t>to</w:t>
      </w:r>
      <w:r>
        <w:t xml:space="preserve"> </w:t>
      </w:r>
      <w:r>
        <w:rPr>
          <w:w w:val="90"/>
        </w:rPr>
        <w:t>the</w:t>
      </w:r>
      <w:r>
        <w:t xml:space="preserve"> </w:t>
      </w:r>
      <w:r>
        <w:rPr>
          <w:spacing w:val="-2"/>
          <w:w w:val="90"/>
        </w:rPr>
        <w:t>existing</w:t>
      </w:r>
    </w:p>
    <w:p w:rsidR="002C1123" w:rsidRDefault="00F22F94">
      <w:pPr>
        <w:pStyle w:val="BodyText"/>
        <w:spacing w:before="2" w:line="249" w:lineRule="auto"/>
        <w:ind w:left="258"/>
      </w:pPr>
      <w:r>
        <w:rPr>
          <w:w w:val="90"/>
        </w:rPr>
        <w:t xml:space="preserve">National Highway Network and intercity rail lines, reflecting </w:t>
      </w:r>
      <w:r>
        <w:rPr>
          <w:w w:val="95"/>
        </w:rPr>
        <w:t>our “first things first” approach, should take priority.</w:t>
      </w:r>
    </w:p>
    <w:p w:rsidR="002C1123" w:rsidRDefault="002C1123">
      <w:pPr>
        <w:pStyle w:val="BodyText"/>
        <w:spacing w:before="1"/>
        <w:rPr>
          <w:sz w:val="25"/>
        </w:rPr>
      </w:pPr>
    </w:p>
    <w:p w:rsidR="002C1123" w:rsidRDefault="00F22F94">
      <w:pPr>
        <w:pStyle w:val="Heading5"/>
        <w:numPr>
          <w:ilvl w:val="1"/>
          <w:numId w:val="74"/>
        </w:numPr>
        <w:tabs>
          <w:tab w:val="left" w:pos="859"/>
        </w:tabs>
        <w:spacing w:before="0" w:line="223" w:lineRule="auto"/>
        <w:ind w:left="858" w:right="918"/>
        <w:jc w:val="left"/>
      </w:pPr>
      <w:r>
        <w:rPr>
          <w:color w:val="00AEEF"/>
          <w:spacing w:val="-6"/>
        </w:rPr>
        <w:t>Improving</w:t>
      </w:r>
      <w:r>
        <w:rPr>
          <w:color w:val="00AEEF"/>
          <w:spacing w:val="-12"/>
        </w:rPr>
        <w:t xml:space="preserve"> </w:t>
      </w:r>
      <w:r>
        <w:rPr>
          <w:color w:val="00AEEF"/>
          <w:spacing w:val="-6"/>
        </w:rPr>
        <w:t>local</w:t>
      </w:r>
      <w:r>
        <w:rPr>
          <w:color w:val="00AEEF"/>
          <w:spacing w:val="-12"/>
        </w:rPr>
        <w:t xml:space="preserve"> </w:t>
      </w:r>
      <w:r>
        <w:rPr>
          <w:color w:val="00AEEF"/>
          <w:spacing w:val="-6"/>
        </w:rPr>
        <w:t xml:space="preserve">transport </w:t>
      </w:r>
      <w:r>
        <w:rPr>
          <w:color w:val="00AEEF"/>
          <w:spacing w:val="-4"/>
        </w:rPr>
        <w:t>for</w:t>
      </w:r>
      <w:r>
        <w:rPr>
          <w:color w:val="00AEEF"/>
          <w:spacing w:val="-16"/>
        </w:rPr>
        <w:t xml:space="preserve"> </w:t>
      </w:r>
      <w:r>
        <w:rPr>
          <w:color w:val="00AEEF"/>
          <w:spacing w:val="-4"/>
        </w:rPr>
        <w:t>regional</w:t>
      </w:r>
      <w:r>
        <w:rPr>
          <w:color w:val="00AEEF"/>
          <w:spacing w:val="-15"/>
        </w:rPr>
        <w:t xml:space="preserve"> </w:t>
      </w:r>
      <w:r>
        <w:rPr>
          <w:color w:val="00AEEF"/>
          <w:spacing w:val="-4"/>
        </w:rPr>
        <w:t>communities</w:t>
      </w:r>
    </w:p>
    <w:p w:rsidR="002C1123" w:rsidRDefault="00F22F94">
      <w:pPr>
        <w:pStyle w:val="BodyText"/>
        <w:spacing w:before="140" w:line="249" w:lineRule="auto"/>
        <w:ind w:left="258"/>
      </w:pPr>
      <w:r>
        <w:t>This</w:t>
      </w:r>
      <w:r>
        <w:rPr>
          <w:spacing w:val="-14"/>
        </w:rPr>
        <w:t xml:space="preserve"> </w:t>
      </w:r>
      <w:r>
        <w:t>section</w:t>
      </w:r>
      <w:r>
        <w:rPr>
          <w:spacing w:val="-14"/>
        </w:rPr>
        <w:t xml:space="preserve"> </w:t>
      </w:r>
      <w:r>
        <w:t>considers</w:t>
      </w:r>
      <w:r>
        <w:rPr>
          <w:spacing w:val="-14"/>
        </w:rPr>
        <w:t xml:space="preserve"> </w:t>
      </w:r>
      <w:r>
        <w:t>options</w:t>
      </w:r>
      <w:r>
        <w:rPr>
          <w:spacing w:val="-14"/>
        </w:rPr>
        <w:t xml:space="preserve"> </w:t>
      </w:r>
      <w:r>
        <w:t>to</w:t>
      </w:r>
      <w:r>
        <w:rPr>
          <w:spacing w:val="-14"/>
        </w:rPr>
        <w:t xml:space="preserve"> </w:t>
      </w:r>
      <w:r>
        <w:t>reduce</w:t>
      </w:r>
      <w:r>
        <w:rPr>
          <w:spacing w:val="-14"/>
        </w:rPr>
        <w:t xml:space="preserve"> </w:t>
      </w:r>
      <w:r>
        <w:t xml:space="preserve">localised </w:t>
      </w:r>
      <w:r>
        <w:rPr>
          <w:w w:val="95"/>
        </w:rPr>
        <w:t>congestion,</w:t>
      </w:r>
      <w:r>
        <w:rPr>
          <w:spacing w:val="-8"/>
          <w:w w:val="95"/>
        </w:rPr>
        <w:t xml:space="preserve"> </w:t>
      </w:r>
      <w:r>
        <w:rPr>
          <w:w w:val="95"/>
        </w:rPr>
        <w:t>improve</w:t>
      </w:r>
      <w:r>
        <w:rPr>
          <w:spacing w:val="-8"/>
          <w:w w:val="95"/>
        </w:rPr>
        <w:t xml:space="preserve"> </w:t>
      </w:r>
      <w:r>
        <w:rPr>
          <w:w w:val="95"/>
        </w:rPr>
        <w:t>safety</w:t>
      </w:r>
      <w:r>
        <w:rPr>
          <w:spacing w:val="-8"/>
          <w:w w:val="95"/>
        </w:rPr>
        <w:t xml:space="preserve"> </w:t>
      </w:r>
      <w:r>
        <w:rPr>
          <w:w w:val="95"/>
        </w:rPr>
        <w:t>and</w:t>
      </w:r>
      <w:r>
        <w:rPr>
          <w:spacing w:val="-8"/>
          <w:w w:val="95"/>
        </w:rPr>
        <w:t xml:space="preserve"> </w:t>
      </w:r>
      <w:r>
        <w:rPr>
          <w:w w:val="95"/>
        </w:rPr>
        <w:t>mitigate</w:t>
      </w:r>
      <w:r>
        <w:rPr>
          <w:spacing w:val="-8"/>
          <w:w w:val="95"/>
        </w:rPr>
        <w:t xml:space="preserve"> </w:t>
      </w:r>
      <w:r>
        <w:rPr>
          <w:w w:val="95"/>
        </w:rPr>
        <w:t>amenity</w:t>
      </w:r>
      <w:r>
        <w:rPr>
          <w:spacing w:val="-8"/>
          <w:w w:val="95"/>
        </w:rPr>
        <w:t xml:space="preserve"> </w:t>
      </w:r>
      <w:r>
        <w:rPr>
          <w:w w:val="95"/>
        </w:rPr>
        <w:t xml:space="preserve">impacts in regional communities, particularly those experiencing </w:t>
      </w:r>
      <w:r>
        <w:rPr>
          <w:spacing w:val="-2"/>
        </w:rPr>
        <w:t>rapid</w:t>
      </w:r>
      <w:r>
        <w:rPr>
          <w:spacing w:val="-9"/>
        </w:rPr>
        <w:t xml:space="preserve"> </w:t>
      </w:r>
      <w:r>
        <w:rPr>
          <w:spacing w:val="-2"/>
        </w:rPr>
        <w:t>increases</w:t>
      </w:r>
      <w:r>
        <w:rPr>
          <w:spacing w:val="-9"/>
        </w:rPr>
        <w:t xml:space="preserve"> </w:t>
      </w:r>
      <w:r>
        <w:rPr>
          <w:spacing w:val="-2"/>
        </w:rPr>
        <w:t>in</w:t>
      </w:r>
      <w:r>
        <w:rPr>
          <w:spacing w:val="-9"/>
        </w:rPr>
        <w:t xml:space="preserve"> </w:t>
      </w:r>
      <w:r>
        <w:rPr>
          <w:spacing w:val="-2"/>
        </w:rPr>
        <w:t>demand,</w:t>
      </w:r>
      <w:r>
        <w:rPr>
          <w:spacing w:val="-9"/>
        </w:rPr>
        <w:t xml:space="preserve"> </w:t>
      </w:r>
      <w:r>
        <w:rPr>
          <w:spacing w:val="-2"/>
        </w:rPr>
        <w:t>such</w:t>
      </w:r>
      <w:r>
        <w:rPr>
          <w:spacing w:val="-9"/>
        </w:rPr>
        <w:t xml:space="preserve"> </w:t>
      </w:r>
      <w:r>
        <w:rPr>
          <w:spacing w:val="-2"/>
        </w:rPr>
        <w:t>as</w:t>
      </w:r>
      <w:r>
        <w:rPr>
          <w:spacing w:val="-9"/>
        </w:rPr>
        <w:t xml:space="preserve"> </w:t>
      </w:r>
      <w:r>
        <w:rPr>
          <w:spacing w:val="-2"/>
        </w:rPr>
        <w:t>in</w:t>
      </w:r>
      <w:r>
        <w:rPr>
          <w:spacing w:val="-9"/>
        </w:rPr>
        <w:t xml:space="preserve"> </w:t>
      </w:r>
      <w:r>
        <w:rPr>
          <w:spacing w:val="-2"/>
        </w:rPr>
        <w:t>mining</w:t>
      </w:r>
      <w:r>
        <w:rPr>
          <w:spacing w:val="-9"/>
        </w:rPr>
        <w:t xml:space="preserve"> </w:t>
      </w:r>
      <w:r>
        <w:rPr>
          <w:spacing w:val="-2"/>
        </w:rPr>
        <w:t>regions.</w:t>
      </w:r>
    </w:p>
    <w:p w:rsidR="002C1123" w:rsidRDefault="00F22F94">
      <w:pPr>
        <w:pStyle w:val="Heading6"/>
        <w:numPr>
          <w:ilvl w:val="2"/>
          <w:numId w:val="70"/>
        </w:numPr>
        <w:tabs>
          <w:tab w:val="left" w:pos="881"/>
        </w:tabs>
        <w:spacing w:before="145"/>
      </w:pPr>
      <w:r>
        <w:rPr>
          <w:color w:val="00AEEF"/>
          <w:spacing w:val="-4"/>
          <w:w w:val="95"/>
        </w:rPr>
        <w:t>Bypassing</w:t>
      </w:r>
      <w:r>
        <w:rPr>
          <w:color w:val="00AEEF"/>
          <w:spacing w:val="1"/>
        </w:rPr>
        <w:t xml:space="preserve"> </w:t>
      </w:r>
      <w:r>
        <w:rPr>
          <w:color w:val="00AEEF"/>
          <w:spacing w:val="-4"/>
          <w:w w:val="95"/>
        </w:rPr>
        <w:t>communities</w:t>
      </w:r>
      <w:r>
        <w:rPr>
          <w:color w:val="00AEEF"/>
          <w:spacing w:val="1"/>
        </w:rPr>
        <w:t xml:space="preserve"> </w:t>
      </w:r>
      <w:r>
        <w:rPr>
          <w:color w:val="00AEEF"/>
          <w:spacing w:val="-4"/>
          <w:w w:val="95"/>
        </w:rPr>
        <w:t>along</w:t>
      </w:r>
      <w:r>
        <w:rPr>
          <w:color w:val="00AEEF"/>
          <w:spacing w:val="1"/>
        </w:rPr>
        <w:t xml:space="preserve"> </w:t>
      </w:r>
      <w:r>
        <w:rPr>
          <w:color w:val="00AEEF"/>
          <w:spacing w:val="-4"/>
          <w:w w:val="95"/>
        </w:rPr>
        <w:t>major</w:t>
      </w:r>
      <w:r>
        <w:rPr>
          <w:color w:val="00AEEF"/>
          <w:spacing w:val="1"/>
        </w:rPr>
        <w:t xml:space="preserve"> </w:t>
      </w:r>
      <w:r>
        <w:rPr>
          <w:color w:val="00AEEF"/>
          <w:spacing w:val="-4"/>
          <w:w w:val="95"/>
        </w:rPr>
        <w:t>highways</w:t>
      </w:r>
    </w:p>
    <w:p w:rsidR="002C1123" w:rsidRDefault="00F22F94">
      <w:pPr>
        <w:pStyle w:val="BodyText"/>
        <w:spacing w:before="95" w:line="249" w:lineRule="auto"/>
        <w:ind w:left="258" w:right="73"/>
      </w:pPr>
      <w:r>
        <w:rPr>
          <w:w w:val="90"/>
        </w:rPr>
        <w:t>In</w:t>
      </w:r>
      <w:r>
        <w:rPr>
          <w:spacing w:val="-13"/>
          <w:w w:val="90"/>
        </w:rPr>
        <w:t xml:space="preserve"> </w:t>
      </w:r>
      <w:r>
        <w:rPr>
          <w:w w:val="90"/>
        </w:rPr>
        <w:t>recent</w:t>
      </w:r>
      <w:r>
        <w:rPr>
          <w:spacing w:val="-12"/>
          <w:w w:val="90"/>
        </w:rPr>
        <w:t xml:space="preserve"> </w:t>
      </w:r>
      <w:r>
        <w:rPr>
          <w:w w:val="90"/>
        </w:rPr>
        <w:t>years,</w:t>
      </w:r>
      <w:r>
        <w:rPr>
          <w:spacing w:val="-13"/>
          <w:w w:val="90"/>
        </w:rPr>
        <w:t xml:space="preserve"> </w:t>
      </w:r>
      <w:r>
        <w:rPr>
          <w:w w:val="90"/>
        </w:rPr>
        <w:t>significant</w:t>
      </w:r>
      <w:r>
        <w:rPr>
          <w:spacing w:val="-12"/>
          <w:w w:val="90"/>
        </w:rPr>
        <w:t xml:space="preserve"> </w:t>
      </w:r>
      <w:r>
        <w:rPr>
          <w:w w:val="90"/>
        </w:rPr>
        <w:t>investment</w:t>
      </w:r>
      <w:r>
        <w:rPr>
          <w:spacing w:val="-13"/>
          <w:w w:val="90"/>
        </w:rPr>
        <w:t xml:space="preserve"> </w:t>
      </w:r>
      <w:r>
        <w:rPr>
          <w:w w:val="90"/>
        </w:rPr>
        <w:t>has</w:t>
      </w:r>
      <w:r>
        <w:rPr>
          <w:spacing w:val="-12"/>
          <w:w w:val="90"/>
        </w:rPr>
        <w:t xml:space="preserve"> </w:t>
      </w:r>
      <w:r>
        <w:rPr>
          <w:w w:val="90"/>
        </w:rPr>
        <w:t>been</w:t>
      </w:r>
      <w:r>
        <w:rPr>
          <w:spacing w:val="-13"/>
          <w:w w:val="90"/>
        </w:rPr>
        <w:t xml:space="preserve"> </w:t>
      </w:r>
      <w:r>
        <w:rPr>
          <w:w w:val="90"/>
        </w:rPr>
        <w:t>made</w:t>
      </w:r>
      <w:r>
        <w:rPr>
          <w:spacing w:val="-12"/>
          <w:w w:val="90"/>
        </w:rPr>
        <w:t xml:space="preserve"> </w:t>
      </w:r>
      <w:r>
        <w:rPr>
          <w:w w:val="90"/>
        </w:rPr>
        <w:t>to</w:t>
      </w:r>
      <w:r>
        <w:rPr>
          <w:spacing w:val="-12"/>
          <w:w w:val="90"/>
        </w:rPr>
        <w:t xml:space="preserve"> </w:t>
      </w:r>
      <w:r>
        <w:rPr>
          <w:w w:val="90"/>
        </w:rPr>
        <w:t>by pass</w:t>
      </w:r>
      <w:r>
        <w:rPr>
          <w:spacing w:val="-4"/>
          <w:w w:val="90"/>
        </w:rPr>
        <w:t xml:space="preserve"> </w:t>
      </w:r>
      <w:r>
        <w:rPr>
          <w:w w:val="90"/>
        </w:rPr>
        <w:t>communities,</w:t>
      </w:r>
      <w:r>
        <w:rPr>
          <w:spacing w:val="-4"/>
          <w:w w:val="90"/>
        </w:rPr>
        <w:t xml:space="preserve"> </w:t>
      </w:r>
      <w:r>
        <w:rPr>
          <w:w w:val="90"/>
        </w:rPr>
        <w:t>for</w:t>
      </w:r>
      <w:r>
        <w:rPr>
          <w:spacing w:val="-4"/>
          <w:w w:val="90"/>
        </w:rPr>
        <w:t xml:space="preserve"> </w:t>
      </w:r>
      <w:r>
        <w:rPr>
          <w:w w:val="90"/>
        </w:rPr>
        <w:t>example</w:t>
      </w:r>
      <w:r>
        <w:rPr>
          <w:spacing w:val="-4"/>
          <w:w w:val="90"/>
        </w:rPr>
        <w:t xml:space="preserve"> </w:t>
      </w:r>
      <w:r>
        <w:rPr>
          <w:w w:val="90"/>
        </w:rPr>
        <w:t>along</w:t>
      </w:r>
      <w:r>
        <w:rPr>
          <w:spacing w:val="-4"/>
          <w:w w:val="90"/>
        </w:rPr>
        <w:t xml:space="preserve"> </w:t>
      </w:r>
      <w:r>
        <w:rPr>
          <w:w w:val="90"/>
        </w:rPr>
        <w:t>the</w:t>
      </w:r>
      <w:r>
        <w:rPr>
          <w:spacing w:val="-4"/>
          <w:w w:val="90"/>
        </w:rPr>
        <w:t xml:space="preserve"> </w:t>
      </w:r>
      <w:r>
        <w:rPr>
          <w:w w:val="90"/>
        </w:rPr>
        <w:t>Newell</w:t>
      </w:r>
      <w:r>
        <w:rPr>
          <w:spacing w:val="-4"/>
          <w:w w:val="90"/>
        </w:rPr>
        <w:t xml:space="preserve"> </w:t>
      </w:r>
      <w:r>
        <w:rPr>
          <w:w w:val="90"/>
        </w:rPr>
        <w:t xml:space="preserve">Highway. </w:t>
      </w:r>
      <w:r>
        <w:rPr>
          <w:spacing w:val="-2"/>
          <w:w w:val="95"/>
        </w:rPr>
        <w:t>However</w:t>
      </w:r>
      <w:r>
        <w:rPr>
          <w:spacing w:val="-11"/>
          <w:w w:val="95"/>
        </w:rPr>
        <w:t xml:space="preserve"> </w:t>
      </w:r>
      <w:r>
        <w:rPr>
          <w:spacing w:val="-2"/>
          <w:w w:val="95"/>
        </w:rPr>
        <w:t>town</w:t>
      </w:r>
      <w:r>
        <w:rPr>
          <w:spacing w:val="-11"/>
          <w:w w:val="95"/>
        </w:rPr>
        <w:t xml:space="preserve"> </w:t>
      </w:r>
      <w:r>
        <w:rPr>
          <w:spacing w:val="-2"/>
          <w:w w:val="95"/>
        </w:rPr>
        <w:t>bypasses</w:t>
      </w:r>
      <w:r>
        <w:rPr>
          <w:spacing w:val="-11"/>
          <w:w w:val="95"/>
        </w:rPr>
        <w:t xml:space="preserve"> </w:t>
      </w:r>
      <w:r>
        <w:rPr>
          <w:spacing w:val="-2"/>
          <w:w w:val="95"/>
        </w:rPr>
        <w:t>are</w:t>
      </w:r>
      <w:r>
        <w:rPr>
          <w:spacing w:val="-11"/>
          <w:w w:val="95"/>
        </w:rPr>
        <w:t xml:space="preserve"> </w:t>
      </w:r>
      <w:r>
        <w:rPr>
          <w:spacing w:val="-2"/>
          <w:w w:val="95"/>
        </w:rPr>
        <w:t>not</w:t>
      </w:r>
      <w:r>
        <w:rPr>
          <w:spacing w:val="-11"/>
          <w:w w:val="95"/>
        </w:rPr>
        <w:t xml:space="preserve"> </w:t>
      </w:r>
      <w:r>
        <w:rPr>
          <w:spacing w:val="-2"/>
          <w:w w:val="95"/>
        </w:rPr>
        <w:t>appropriate</w:t>
      </w:r>
      <w:r>
        <w:rPr>
          <w:spacing w:val="-11"/>
          <w:w w:val="95"/>
        </w:rPr>
        <w:t xml:space="preserve"> </w:t>
      </w:r>
      <w:r>
        <w:rPr>
          <w:spacing w:val="-2"/>
          <w:w w:val="95"/>
        </w:rPr>
        <w:t>in</w:t>
      </w:r>
      <w:r>
        <w:rPr>
          <w:spacing w:val="-11"/>
          <w:w w:val="95"/>
        </w:rPr>
        <w:t xml:space="preserve"> </w:t>
      </w:r>
      <w:r>
        <w:rPr>
          <w:spacing w:val="-2"/>
          <w:w w:val="95"/>
        </w:rPr>
        <w:t>all</w:t>
      </w:r>
      <w:r>
        <w:rPr>
          <w:spacing w:val="-11"/>
          <w:w w:val="95"/>
        </w:rPr>
        <w:t xml:space="preserve"> </w:t>
      </w:r>
      <w:r>
        <w:rPr>
          <w:spacing w:val="-2"/>
          <w:w w:val="95"/>
        </w:rPr>
        <w:t>areas.</w:t>
      </w:r>
    </w:p>
    <w:p w:rsidR="002C1123" w:rsidRDefault="00F22F94">
      <w:pPr>
        <w:pStyle w:val="BodyText"/>
        <w:spacing w:before="144" w:line="249" w:lineRule="auto"/>
        <w:ind w:left="258"/>
      </w:pPr>
      <w:r>
        <w:rPr>
          <w:w w:val="95"/>
        </w:rPr>
        <w:t xml:space="preserve">Bypasses can benefit regional communities by reducing </w:t>
      </w:r>
      <w:r>
        <w:t>the</w:t>
      </w:r>
      <w:r>
        <w:rPr>
          <w:spacing w:val="-9"/>
        </w:rPr>
        <w:t xml:space="preserve"> </w:t>
      </w:r>
      <w:r>
        <w:t>number</w:t>
      </w:r>
      <w:r>
        <w:rPr>
          <w:spacing w:val="-9"/>
        </w:rPr>
        <w:t xml:space="preserve"> </w:t>
      </w:r>
      <w:r>
        <w:t>of</w:t>
      </w:r>
      <w:r>
        <w:rPr>
          <w:spacing w:val="-9"/>
        </w:rPr>
        <w:t xml:space="preserve"> </w:t>
      </w:r>
      <w:r>
        <w:t>trucks</w:t>
      </w:r>
      <w:r>
        <w:rPr>
          <w:spacing w:val="-9"/>
        </w:rPr>
        <w:t xml:space="preserve"> </w:t>
      </w:r>
      <w:r>
        <w:t>that</w:t>
      </w:r>
      <w:r>
        <w:rPr>
          <w:spacing w:val="-9"/>
        </w:rPr>
        <w:t xml:space="preserve"> </w:t>
      </w:r>
      <w:r>
        <w:t>travel</w:t>
      </w:r>
      <w:r>
        <w:rPr>
          <w:spacing w:val="-9"/>
        </w:rPr>
        <w:t xml:space="preserve"> </w:t>
      </w:r>
      <w:r>
        <w:t>through</w:t>
      </w:r>
      <w:r>
        <w:rPr>
          <w:spacing w:val="-9"/>
        </w:rPr>
        <w:t xml:space="preserve"> </w:t>
      </w:r>
      <w:r>
        <w:t>town</w:t>
      </w:r>
      <w:r>
        <w:rPr>
          <w:spacing w:val="-9"/>
        </w:rPr>
        <w:t xml:space="preserve"> </w:t>
      </w:r>
      <w:r>
        <w:t>centres, improving</w:t>
      </w:r>
      <w:r>
        <w:rPr>
          <w:spacing w:val="-11"/>
        </w:rPr>
        <w:t xml:space="preserve"> </w:t>
      </w:r>
      <w:r>
        <w:t>the</w:t>
      </w:r>
      <w:r>
        <w:rPr>
          <w:spacing w:val="-11"/>
        </w:rPr>
        <w:t xml:space="preserve"> </w:t>
      </w:r>
      <w:r>
        <w:t>amenity</w:t>
      </w:r>
      <w:r>
        <w:rPr>
          <w:spacing w:val="-11"/>
        </w:rPr>
        <w:t xml:space="preserve"> </w:t>
      </w:r>
      <w:r>
        <w:t>of</w:t>
      </w:r>
      <w:r>
        <w:rPr>
          <w:spacing w:val="-11"/>
        </w:rPr>
        <w:t xml:space="preserve"> </w:t>
      </w:r>
      <w:r>
        <w:t>regional</w:t>
      </w:r>
      <w:r>
        <w:rPr>
          <w:spacing w:val="-11"/>
        </w:rPr>
        <w:t xml:space="preserve"> </w:t>
      </w:r>
      <w:r>
        <w:t>towns,</w:t>
      </w:r>
      <w:r>
        <w:rPr>
          <w:spacing w:val="-11"/>
        </w:rPr>
        <w:t xml:space="preserve"> </w:t>
      </w:r>
      <w:r>
        <w:t>and,</w:t>
      </w:r>
      <w:r>
        <w:rPr>
          <w:spacing w:val="-11"/>
        </w:rPr>
        <w:t xml:space="preserve"> </w:t>
      </w:r>
      <w:r>
        <w:t xml:space="preserve">more </w:t>
      </w:r>
      <w:r>
        <w:rPr>
          <w:w w:val="95"/>
        </w:rPr>
        <w:t>widely,</w:t>
      </w:r>
      <w:r>
        <w:rPr>
          <w:spacing w:val="-7"/>
          <w:w w:val="95"/>
        </w:rPr>
        <w:t xml:space="preserve"> </w:t>
      </w:r>
      <w:r>
        <w:rPr>
          <w:w w:val="95"/>
        </w:rPr>
        <w:t>can</w:t>
      </w:r>
      <w:r>
        <w:rPr>
          <w:spacing w:val="-7"/>
          <w:w w:val="95"/>
        </w:rPr>
        <w:t xml:space="preserve"> </w:t>
      </w:r>
      <w:r>
        <w:rPr>
          <w:w w:val="95"/>
        </w:rPr>
        <w:t>improve</w:t>
      </w:r>
      <w:r>
        <w:rPr>
          <w:spacing w:val="-7"/>
          <w:w w:val="95"/>
        </w:rPr>
        <w:t xml:space="preserve"> </w:t>
      </w:r>
      <w:r>
        <w:rPr>
          <w:w w:val="95"/>
        </w:rPr>
        <w:t>freight</w:t>
      </w:r>
      <w:r>
        <w:rPr>
          <w:spacing w:val="-7"/>
          <w:w w:val="95"/>
        </w:rPr>
        <w:t xml:space="preserve"> </w:t>
      </w:r>
      <w:r>
        <w:rPr>
          <w:w w:val="95"/>
        </w:rPr>
        <w:t>and</w:t>
      </w:r>
      <w:r>
        <w:rPr>
          <w:spacing w:val="-7"/>
          <w:w w:val="95"/>
        </w:rPr>
        <w:t xml:space="preserve"> </w:t>
      </w:r>
      <w:r>
        <w:rPr>
          <w:w w:val="95"/>
        </w:rPr>
        <w:t>passenger</w:t>
      </w:r>
      <w:r>
        <w:rPr>
          <w:spacing w:val="-7"/>
          <w:w w:val="95"/>
        </w:rPr>
        <w:t xml:space="preserve"> </w:t>
      </w:r>
      <w:r>
        <w:rPr>
          <w:w w:val="95"/>
        </w:rPr>
        <w:t>journey</w:t>
      </w:r>
      <w:r>
        <w:rPr>
          <w:spacing w:val="-7"/>
          <w:w w:val="95"/>
        </w:rPr>
        <w:t xml:space="preserve"> </w:t>
      </w:r>
      <w:r>
        <w:rPr>
          <w:w w:val="95"/>
        </w:rPr>
        <w:t xml:space="preserve">times </w:t>
      </w:r>
      <w:r>
        <w:t>along major highways.</w:t>
      </w:r>
    </w:p>
    <w:p w:rsidR="002C1123" w:rsidRDefault="00F22F94">
      <w:pPr>
        <w:pStyle w:val="BodyText"/>
        <w:spacing w:before="146" w:line="249" w:lineRule="auto"/>
        <w:ind w:left="258"/>
      </w:pPr>
      <w:r>
        <w:rPr>
          <w:w w:val="95"/>
        </w:rPr>
        <w:t>Conversely,</w:t>
      </w:r>
      <w:r>
        <w:rPr>
          <w:spacing w:val="-5"/>
          <w:w w:val="95"/>
        </w:rPr>
        <w:t xml:space="preserve"> </w:t>
      </w:r>
      <w:r>
        <w:rPr>
          <w:w w:val="95"/>
        </w:rPr>
        <w:t>bypasses</w:t>
      </w:r>
      <w:r>
        <w:rPr>
          <w:spacing w:val="-5"/>
          <w:w w:val="95"/>
        </w:rPr>
        <w:t xml:space="preserve"> </w:t>
      </w:r>
      <w:r>
        <w:rPr>
          <w:w w:val="95"/>
        </w:rPr>
        <w:t>can</w:t>
      </w:r>
      <w:r>
        <w:rPr>
          <w:spacing w:val="-5"/>
          <w:w w:val="95"/>
        </w:rPr>
        <w:t xml:space="preserve"> </w:t>
      </w:r>
      <w:r>
        <w:rPr>
          <w:w w:val="95"/>
        </w:rPr>
        <w:t>also</w:t>
      </w:r>
      <w:r>
        <w:rPr>
          <w:spacing w:val="-5"/>
          <w:w w:val="95"/>
        </w:rPr>
        <w:t xml:space="preserve"> </w:t>
      </w:r>
      <w:r>
        <w:rPr>
          <w:w w:val="95"/>
        </w:rPr>
        <w:t>reduce</w:t>
      </w:r>
      <w:r>
        <w:rPr>
          <w:spacing w:val="-5"/>
          <w:w w:val="95"/>
        </w:rPr>
        <w:t xml:space="preserve"> </w:t>
      </w:r>
      <w:r>
        <w:rPr>
          <w:w w:val="95"/>
        </w:rPr>
        <w:t>‘passing</w:t>
      </w:r>
      <w:r>
        <w:rPr>
          <w:spacing w:val="-5"/>
          <w:w w:val="95"/>
        </w:rPr>
        <w:t xml:space="preserve"> </w:t>
      </w:r>
      <w:r>
        <w:rPr>
          <w:w w:val="95"/>
        </w:rPr>
        <w:t>trade’</w:t>
      </w:r>
      <w:r>
        <w:rPr>
          <w:spacing w:val="-5"/>
          <w:w w:val="95"/>
        </w:rPr>
        <w:t xml:space="preserve"> </w:t>
      </w:r>
      <w:r>
        <w:rPr>
          <w:w w:val="95"/>
        </w:rPr>
        <w:t xml:space="preserve">in </w:t>
      </w:r>
      <w:r>
        <w:t>these bypassed communities.</w:t>
      </w:r>
    </w:p>
    <w:p w:rsidR="002C1123" w:rsidRDefault="00F22F94">
      <w:pPr>
        <w:pStyle w:val="BodyText"/>
        <w:spacing w:before="143" w:line="249" w:lineRule="auto"/>
        <w:ind w:left="258" w:right="175"/>
      </w:pPr>
      <w:r>
        <w:t>Transport</w:t>
      </w:r>
      <w:r>
        <w:rPr>
          <w:spacing w:val="-11"/>
        </w:rPr>
        <w:t xml:space="preserve"> </w:t>
      </w:r>
      <w:r>
        <w:t>for</w:t>
      </w:r>
      <w:r>
        <w:rPr>
          <w:spacing w:val="-11"/>
        </w:rPr>
        <w:t xml:space="preserve"> </w:t>
      </w:r>
      <w:r>
        <w:t>NSW</w:t>
      </w:r>
      <w:r>
        <w:rPr>
          <w:spacing w:val="-11"/>
        </w:rPr>
        <w:t xml:space="preserve"> </w:t>
      </w:r>
      <w:r>
        <w:t>has</w:t>
      </w:r>
      <w:r>
        <w:rPr>
          <w:spacing w:val="-11"/>
        </w:rPr>
        <w:t xml:space="preserve"> </w:t>
      </w:r>
      <w:r>
        <w:t>set</w:t>
      </w:r>
      <w:r>
        <w:rPr>
          <w:spacing w:val="-11"/>
        </w:rPr>
        <w:t xml:space="preserve"> </w:t>
      </w:r>
      <w:r>
        <w:t>out</w:t>
      </w:r>
      <w:r>
        <w:rPr>
          <w:spacing w:val="-11"/>
        </w:rPr>
        <w:t xml:space="preserve"> </w:t>
      </w:r>
      <w:r>
        <w:t>the</w:t>
      </w:r>
      <w:r>
        <w:rPr>
          <w:spacing w:val="-11"/>
        </w:rPr>
        <w:t xml:space="preserve"> </w:t>
      </w:r>
      <w:r>
        <w:t>approach</w:t>
      </w:r>
      <w:r>
        <w:rPr>
          <w:spacing w:val="-11"/>
        </w:rPr>
        <w:t xml:space="preserve"> </w:t>
      </w:r>
      <w:r>
        <w:t>it</w:t>
      </w:r>
      <w:r>
        <w:rPr>
          <w:spacing w:val="-11"/>
        </w:rPr>
        <w:t xml:space="preserve"> </w:t>
      </w:r>
      <w:r>
        <w:t xml:space="preserve">uses </w:t>
      </w:r>
      <w:r>
        <w:rPr>
          <w:w w:val="95"/>
        </w:rPr>
        <w:t>to prioritise which communities along major highways are</w:t>
      </w:r>
      <w:r>
        <w:rPr>
          <w:spacing w:val="-5"/>
          <w:w w:val="95"/>
        </w:rPr>
        <w:t xml:space="preserve"> </w:t>
      </w:r>
      <w:r>
        <w:rPr>
          <w:w w:val="95"/>
        </w:rPr>
        <w:t>bypassed</w:t>
      </w:r>
      <w:r>
        <w:rPr>
          <w:spacing w:val="-5"/>
          <w:w w:val="95"/>
        </w:rPr>
        <w:t xml:space="preserve"> </w:t>
      </w:r>
      <w:r>
        <w:rPr>
          <w:w w:val="95"/>
        </w:rPr>
        <w:t>and</w:t>
      </w:r>
      <w:r>
        <w:rPr>
          <w:spacing w:val="-5"/>
          <w:w w:val="95"/>
        </w:rPr>
        <w:t xml:space="preserve"> </w:t>
      </w:r>
      <w:r>
        <w:rPr>
          <w:w w:val="95"/>
        </w:rPr>
        <w:t>the</w:t>
      </w:r>
      <w:r>
        <w:rPr>
          <w:spacing w:val="-5"/>
          <w:w w:val="95"/>
        </w:rPr>
        <w:t xml:space="preserve"> </w:t>
      </w:r>
      <w:r>
        <w:rPr>
          <w:w w:val="95"/>
        </w:rPr>
        <w:t>type</w:t>
      </w:r>
      <w:r>
        <w:rPr>
          <w:spacing w:val="-5"/>
          <w:w w:val="95"/>
        </w:rPr>
        <w:t xml:space="preserve"> </w:t>
      </w:r>
      <w:r>
        <w:rPr>
          <w:w w:val="95"/>
        </w:rPr>
        <w:t>of</w:t>
      </w:r>
      <w:r>
        <w:rPr>
          <w:spacing w:val="-5"/>
          <w:w w:val="95"/>
        </w:rPr>
        <w:t xml:space="preserve"> </w:t>
      </w:r>
      <w:r>
        <w:rPr>
          <w:w w:val="95"/>
        </w:rPr>
        <w:t>bypass</w:t>
      </w:r>
      <w:r>
        <w:rPr>
          <w:spacing w:val="-5"/>
          <w:w w:val="95"/>
        </w:rPr>
        <w:t xml:space="preserve"> </w:t>
      </w:r>
      <w:r>
        <w:rPr>
          <w:w w:val="95"/>
        </w:rPr>
        <w:t>it</w:t>
      </w:r>
      <w:r>
        <w:rPr>
          <w:spacing w:val="-5"/>
          <w:w w:val="95"/>
        </w:rPr>
        <w:t xml:space="preserve"> </w:t>
      </w:r>
      <w:r>
        <w:rPr>
          <w:w w:val="95"/>
        </w:rPr>
        <w:t>builds.</w:t>
      </w:r>
      <w:r>
        <w:rPr>
          <w:spacing w:val="-5"/>
          <w:w w:val="95"/>
        </w:rPr>
        <w:t xml:space="preserve"> </w:t>
      </w:r>
      <w:r>
        <w:rPr>
          <w:w w:val="95"/>
        </w:rPr>
        <w:t xml:space="preserve">Criteria </w:t>
      </w:r>
      <w:r>
        <w:t>include</w:t>
      </w:r>
      <w:r>
        <w:rPr>
          <w:spacing w:val="-14"/>
        </w:rPr>
        <w:t xml:space="preserve"> </w:t>
      </w:r>
      <w:r>
        <w:t>traffic</w:t>
      </w:r>
      <w:r>
        <w:rPr>
          <w:spacing w:val="-14"/>
        </w:rPr>
        <w:t xml:space="preserve"> </w:t>
      </w:r>
      <w:r>
        <w:t>volumes</w:t>
      </w:r>
      <w:r>
        <w:rPr>
          <w:spacing w:val="-14"/>
        </w:rPr>
        <w:t xml:space="preserve"> </w:t>
      </w:r>
      <w:r>
        <w:t>in</w:t>
      </w:r>
      <w:r>
        <w:rPr>
          <w:spacing w:val="-14"/>
        </w:rPr>
        <w:t xml:space="preserve"> </w:t>
      </w:r>
      <w:r>
        <w:t>the</w:t>
      </w:r>
      <w:r>
        <w:rPr>
          <w:spacing w:val="-14"/>
        </w:rPr>
        <w:t xml:space="preserve"> </w:t>
      </w:r>
      <w:r>
        <w:t>area,</w:t>
      </w:r>
      <w:r>
        <w:rPr>
          <w:spacing w:val="-14"/>
        </w:rPr>
        <w:t xml:space="preserve"> </w:t>
      </w:r>
      <w:r>
        <w:t>the</w:t>
      </w:r>
      <w:r>
        <w:rPr>
          <w:spacing w:val="-14"/>
        </w:rPr>
        <w:t xml:space="preserve"> </w:t>
      </w:r>
      <w:r>
        <w:t>hierarchy classification</w:t>
      </w:r>
      <w:r>
        <w:rPr>
          <w:spacing w:val="-9"/>
        </w:rPr>
        <w:t xml:space="preserve"> </w:t>
      </w:r>
      <w:r>
        <w:t>of</w:t>
      </w:r>
      <w:r>
        <w:rPr>
          <w:spacing w:val="-9"/>
        </w:rPr>
        <w:t xml:space="preserve"> </w:t>
      </w:r>
      <w:r>
        <w:t>the</w:t>
      </w:r>
      <w:r>
        <w:rPr>
          <w:spacing w:val="-9"/>
        </w:rPr>
        <w:t xml:space="preserve"> </w:t>
      </w:r>
      <w:r>
        <w:t>road</w:t>
      </w:r>
      <w:r>
        <w:rPr>
          <w:spacing w:val="-9"/>
        </w:rPr>
        <w:t xml:space="preserve"> </w:t>
      </w:r>
      <w:r>
        <w:t>and</w:t>
      </w:r>
      <w:r>
        <w:rPr>
          <w:spacing w:val="-9"/>
        </w:rPr>
        <w:t xml:space="preserve"> </w:t>
      </w:r>
      <w:r>
        <w:t>the</w:t>
      </w:r>
      <w:r>
        <w:rPr>
          <w:spacing w:val="-9"/>
        </w:rPr>
        <w:t xml:space="preserve"> </w:t>
      </w:r>
      <w:r>
        <w:t>town</w:t>
      </w:r>
      <w:r>
        <w:rPr>
          <w:spacing w:val="-9"/>
        </w:rPr>
        <w:t xml:space="preserve"> </w:t>
      </w:r>
      <w:r>
        <w:t>size.</w:t>
      </w:r>
    </w:p>
    <w:p w:rsidR="002C1123" w:rsidRDefault="00F22F94">
      <w:pPr>
        <w:pStyle w:val="BodyText"/>
        <w:spacing w:before="146" w:line="249" w:lineRule="auto"/>
        <w:ind w:left="258" w:right="73"/>
      </w:pPr>
      <w:r>
        <w:rPr>
          <w:w w:val="95"/>
        </w:rPr>
        <w:t>Infrastructure NSW endorses this approach. Transport for</w:t>
      </w:r>
      <w:r>
        <w:rPr>
          <w:spacing w:val="-4"/>
          <w:w w:val="95"/>
        </w:rPr>
        <w:t xml:space="preserve"> </w:t>
      </w:r>
      <w:r>
        <w:rPr>
          <w:w w:val="95"/>
        </w:rPr>
        <w:t>NSW</w:t>
      </w:r>
      <w:r>
        <w:rPr>
          <w:spacing w:val="-4"/>
          <w:w w:val="95"/>
        </w:rPr>
        <w:t xml:space="preserve"> </w:t>
      </w:r>
      <w:r>
        <w:rPr>
          <w:w w:val="95"/>
        </w:rPr>
        <w:t>intends</w:t>
      </w:r>
      <w:r>
        <w:rPr>
          <w:spacing w:val="-4"/>
          <w:w w:val="95"/>
        </w:rPr>
        <w:t xml:space="preserve"> </w:t>
      </w:r>
      <w:r>
        <w:rPr>
          <w:w w:val="95"/>
        </w:rPr>
        <w:t>to</w:t>
      </w:r>
      <w:r>
        <w:rPr>
          <w:spacing w:val="-4"/>
          <w:w w:val="95"/>
        </w:rPr>
        <w:t xml:space="preserve"> </w:t>
      </w:r>
      <w:r>
        <w:rPr>
          <w:w w:val="95"/>
        </w:rPr>
        <w:t>set</w:t>
      </w:r>
      <w:r>
        <w:rPr>
          <w:spacing w:val="-4"/>
          <w:w w:val="95"/>
        </w:rPr>
        <w:t xml:space="preserve"> </w:t>
      </w:r>
      <w:r>
        <w:rPr>
          <w:w w:val="95"/>
        </w:rPr>
        <w:t>out</w:t>
      </w:r>
      <w:r>
        <w:rPr>
          <w:spacing w:val="-4"/>
          <w:w w:val="95"/>
        </w:rPr>
        <w:t xml:space="preserve"> </w:t>
      </w:r>
      <w:r>
        <w:rPr>
          <w:w w:val="95"/>
        </w:rPr>
        <w:t>its</w:t>
      </w:r>
      <w:r>
        <w:rPr>
          <w:spacing w:val="-4"/>
          <w:w w:val="95"/>
        </w:rPr>
        <w:t xml:space="preserve"> </w:t>
      </w:r>
      <w:r>
        <w:rPr>
          <w:w w:val="95"/>
        </w:rPr>
        <w:t>final</w:t>
      </w:r>
      <w:r>
        <w:rPr>
          <w:spacing w:val="-4"/>
          <w:w w:val="95"/>
        </w:rPr>
        <w:t xml:space="preserve"> </w:t>
      </w:r>
      <w:r>
        <w:rPr>
          <w:w w:val="95"/>
        </w:rPr>
        <w:t>program</w:t>
      </w:r>
      <w:r>
        <w:rPr>
          <w:spacing w:val="-5"/>
          <w:w w:val="95"/>
        </w:rPr>
        <w:t xml:space="preserve"> </w:t>
      </w:r>
      <w:r>
        <w:rPr>
          <w:w w:val="95"/>
        </w:rPr>
        <w:t>of</w:t>
      </w:r>
      <w:r>
        <w:rPr>
          <w:spacing w:val="-4"/>
          <w:w w:val="95"/>
        </w:rPr>
        <w:t xml:space="preserve"> </w:t>
      </w:r>
      <w:r>
        <w:rPr>
          <w:w w:val="95"/>
        </w:rPr>
        <w:t>proposed</w:t>
      </w:r>
    </w:p>
    <w:p w:rsidR="002C1123" w:rsidRDefault="00F22F94">
      <w:pPr>
        <w:pStyle w:val="BodyText"/>
        <w:spacing w:before="106" w:line="249" w:lineRule="auto"/>
        <w:ind w:left="214" w:right="785"/>
      </w:pPr>
      <w:r>
        <w:br w:type="column"/>
      </w:r>
      <w:r>
        <w:rPr>
          <w:w w:val="95"/>
        </w:rPr>
        <w:t>town</w:t>
      </w:r>
      <w:r>
        <w:rPr>
          <w:spacing w:val="-9"/>
          <w:w w:val="95"/>
        </w:rPr>
        <w:t xml:space="preserve"> </w:t>
      </w:r>
      <w:r>
        <w:rPr>
          <w:w w:val="95"/>
        </w:rPr>
        <w:t>bypasses</w:t>
      </w:r>
      <w:r>
        <w:rPr>
          <w:spacing w:val="-9"/>
          <w:w w:val="95"/>
        </w:rPr>
        <w:t xml:space="preserve"> </w:t>
      </w:r>
      <w:r>
        <w:rPr>
          <w:w w:val="95"/>
        </w:rPr>
        <w:t>in</w:t>
      </w:r>
      <w:r>
        <w:rPr>
          <w:spacing w:val="-9"/>
          <w:w w:val="95"/>
        </w:rPr>
        <w:t xml:space="preserve"> </w:t>
      </w:r>
      <w:r>
        <w:rPr>
          <w:w w:val="95"/>
        </w:rPr>
        <w:t>the</w:t>
      </w:r>
      <w:r>
        <w:rPr>
          <w:spacing w:val="-9"/>
          <w:w w:val="95"/>
        </w:rPr>
        <w:t xml:space="preserve"> </w:t>
      </w:r>
      <w:r>
        <w:rPr>
          <w:w w:val="95"/>
        </w:rPr>
        <w:t>final</w:t>
      </w:r>
      <w:r>
        <w:rPr>
          <w:spacing w:val="-9"/>
          <w:w w:val="95"/>
        </w:rPr>
        <w:t xml:space="preserve"> </w:t>
      </w:r>
      <w:r>
        <w:rPr>
          <w:w w:val="95"/>
        </w:rPr>
        <w:t>Long</w:t>
      </w:r>
      <w:r>
        <w:rPr>
          <w:spacing w:val="-9"/>
          <w:w w:val="95"/>
        </w:rPr>
        <w:t xml:space="preserve"> </w:t>
      </w:r>
      <w:r>
        <w:rPr>
          <w:w w:val="95"/>
        </w:rPr>
        <w:t>Term</w:t>
      </w:r>
      <w:r>
        <w:rPr>
          <w:spacing w:val="-9"/>
          <w:w w:val="95"/>
        </w:rPr>
        <w:t xml:space="preserve"> </w:t>
      </w:r>
      <w:r>
        <w:rPr>
          <w:w w:val="95"/>
        </w:rPr>
        <w:t>Transport</w:t>
      </w:r>
      <w:r>
        <w:rPr>
          <w:spacing w:val="-9"/>
          <w:w w:val="95"/>
        </w:rPr>
        <w:t xml:space="preserve"> </w:t>
      </w:r>
      <w:r>
        <w:rPr>
          <w:w w:val="95"/>
        </w:rPr>
        <w:t xml:space="preserve">Master </w:t>
      </w:r>
      <w:r>
        <w:t>Plan by the end of 2012.</w:t>
      </w:r>
    </w:p>
    <w:p w:rsidR="002C1123" w:rsidRDefault="00F22F94">
      <w:pPr>
        <w:pStyle w:val="Heading6"/>
        <w:numPr>
          <w:ilvl w:val="2"/>
          <w:numId w:val="70"/>
        </w:numPr>
        <w:tabs>
          <w:tab w:val="left" w:pos="863"/>
        </w:tabs>
        <w:spacing w:before="144" w:line="249" w:lineRule="auto"/>
        <w:ind w:left="214" w:right="1055" w:firstLine="0"/>
      </w:pPr>
      <w:r>
        <w:rPr>
          <w:color w:val="00AEEF"/>
          <w:spacing w:val="-2"/>
        </w:rPr>
        <w:t>Managing</w:t>
      </w:r>
      <w:r>
        <w:rPr>
          <w:color w:val="00AEEF"/>
          <w:spacing w:val="-10"/>
        </w:rPr>
        <w:t xml:space="preserve"> </w:t>
      </w:r>
      <w:r>
        <w:rPr>
          <w:color w:val="00AEEF"/>
          <w:spacing w:val="-2"/>
        </w:rPr>
        <w:t>the</w:t>
      </w:r>
      <w:r>
        <w:rPr>
          <w:color w:val="00AEEF"/>
          <w:spacing w:val="-10"/>
        </w:rPr>
        <w:t xml:space="preserve"> </w:t>
      </w:r>
      <w:r>
        <w:rPr>
          <w:color w:val="00AEEF"/>
          <w:spacing w:val="-2"/>
        </w:rPr>
        <w:t>transport</w:t>
      </w:r>
      <w:r>
        <w:rPr>
          <w:color w:val="00AEEF"/>
          <w:spacing w:val="-10"/>
        </w:rPr>
        <w:t xml:space="preserve"> </w:t>
      </w:r>
      <w:r>
        <w:rPr>
          <w:color w:val="00AEEF"/>
          <w:spacing w:val="-2"/>
        </w:rPr>
        <w:t>challenge</w:t>
      </w:r>
      <w:r>
        <w:rPr>
          <w:color w:val="00AEEF"/>
          <w:spacing w:val="-10"/>
        </w:rPr>
        <w:t xml:space="preserve"> </w:t>
      </w:r>
      <w:r>
        <w:rPr>
          <w:color w:val="00AEEF"/>
          <w:spacing w:val="-2"/>
        </w:rPr>
        <w:t>in</w:t>
      </w:r>
      <w:r>
        <w:rPr>
          <w:color w:val="00AEEF"/>
          <w:spacing w:val="-10"/>
        </w:rPr>
        <w:t xml:space="preserve"> </w:t>
      </w:r>
      <w:r>
        <w:rPr>
          <w:color w:val="00AEEF"/>
          <w:spacing w:val="-2"/>
        </w:rPr>
        <w:t>coal communities</w:t>
      </w:r>
    </w:p>
    <w:p w:rsidR="002C1123" w:rsidRDefault="00F22F94">
      <w:pPr>
        <w:pStyle w:val="BodyText"/>
        <w:spacing w:before="86" w:line="249" w:lineRule="auto"/>
        <w:ind w:left="214" w:right="785"/>
      </w:pPr>
      <w:r>
        <w:rPr>
          <w:w w:val="95"/>
        </w:rPr>
        <w:t>Coal</w:t>
      </w:r>
      <w:r>
        <w:rPr>
          <w:spacing w:val="-5"/>
          <w:w w:val="95"/>
        </w:rPr>
        <w:t xml:space="preserve"> </w:t>
      </w:r>
      <w:r>
        <w:rPr>
          <w:w w:val="95"/>
        </w:rPr>
        <w:t>communities,</w:t>
      </w:r>
      <w:r>
        <w:rPr>
          <w:spacing w:val="-5"/>
          <w:w w:val="95"/>
        </w:rPr>
        <w:t xml:space="preserve"> </w:t>
      </w:r>
      <w:r>
        <w:rPr>
          <w:w w:val="95"/>
        </w:rPr>
        <w:t>particularly</w:t>
      </w:r>
      <w:r>
        <w:rPr>
          <w:spacing w:val="-5"/>
          <w:w w:val="95"/>
        </w:rPr>
        <w:t xml:space="preserve"> </w:t>
      </w:r>
      <w:r>
        <w:rPr>
          <w:w w:val="95"/>
        </w:rPr>
        <w:t>in</w:t>
      </w:r>
      <w:r>
        <w:rPr>
          <w:spacing w:val="-5"/>
          <w:w w:val="95"/>
        </w:rPr>
        <w:t xml:space="preserve"> </w:t>
      </w:r>
      <w:r>
        <w:rPr>
          <w:w w:val="95"/>
        </w:rPr>
        <w:t>the</w:t>
      </w:r>
      <w:r>
        <w:rPr>
          <w:spacing w:val="-5"/>
          <w:w w:val="95"/>
        </w:rPr>
        <w:t xml:space="preserve"> </w:t>
      </w:r>
      <w:r>
        <w:rPr>
          <w:w w:val="95"/>
        </w:rPr>
        <w:t>Hunter</w:t>
      </w:r>
      <w:r>
        <w:rPr>
          <w:spacing w:val="-5"/>
          <w:w w:val="95"/>
        </w:rPr>
        <w:t xml:space="preserve"> </w:t>
      </w:r>
      <w:r>
        <w:rPr>
          <w:w w:val="95"/>
        </w:rPr>
        <w:t>region,</w:t>
      </w:r>
      <w:r>
        <w:rPr>
          <w:spacing w:val="-5"/>
          <w:w w:val="95"/>
        </w:rPr>
        <w:t xml:space="preserve"> </w:t>
      </w:r>
      <w:r>
        <w:rPr>
          <w:w w:val="95"/>
        </w:rPr>
        <w:t xml:space="preserve">face a specific set of transport challenges. Rapid population </w:t>
      </w:r>
      <w:r>
        <w:t xml:space="preserve">growth, combined with increased through-traffic </w:t>
      </w:r>
      <w:r>
        <w:rPr>
          <w:w w:val="95"/>
        </w:rPr>
        <w:t xml:space="preserve">(particularly for heavy vehicles and on the rail network) </w:t>
      </w:r>
      <w:r>
        <w:t>can</w:t>
      </w:r>
      <w:r>
        <w:rPr>
          <w:spacing w:val="-14"/>
        </w:rPr>
        <w:t xml:space="preserve"> </w:t>
      </w:r>
      <w:r>
        <w:t>have</w:t>
      </w:r>
      <w:r>
        <w:rPr>
          <w:spacing w:val="-12"/>
        </w:rPr>
        <w:t xml:space="preserve"> </w:t>
      </w:r>
      <w:r>
        <w:t>adverse</w:t>
      </w:r>
      <w:r>
        <w:rPr>
          <w:spacing w:val="-12"/>
        </w:rPr>
        <w:t xml:space="preserve"> </w:t>
      </w:r>
      <w:r>
        <w:t>congestion,</w:t>
      </w:r>
      <w:r>
        <w:rPr>
          <w:spacing w:val="-12"/>
        </w:rPr>
        <w:t xml:space="preserve"> </w:t>
      </w:r>
      <w:r>
        <w:t>safety</w:t>
      </w:r>
      <w:r>
        <w:rPr>
          <w:spacing w:val="-12"/>
        </w:rPr>
        <w:t xml:space="preserve"> </w:t>
      </w:r>
      <w:r>
        <w:t>and</w:t>
      </w:r>
      <w:r>
        <w:rPr>
          <w:spacing w:val="-12"/>
        </w:rPr>
        <w:t xml:space="preserve"> </w:t>
      </w:r>
      <w:r>
        <w:t>amenity impacts</w:t>
      </w:r>
      <w:r>
        <w:rPr>
          <w:spacing w:val="-8"/>
        </w:rPr>
        <w:t xml:space="preserve"> </w:t>
      </w:r>
      <w:r>
        <w:t>that</w:t>
      </w:r>
      <w:r>
        <w:rPr>
          <w:spacing w:val="-8"/>
        </w:rPr>
        <w:t xml:space="preserve"> </w:t>
      </w:r>
      <w:r>
        <w:t>emerge</w:t>
      </w:r>
      <w:r>
        <w:rPr>
          <w:spacing w:val="-8"/>
        </w:rPr>
        <w:t xml:space="preserve"> </w:t>
      </w:r>
      <w:r>
        <w:t>relatively</w:t>
      </w:r>
      <w:r>
        <w:rPr>
          <w:spacing w:val="-8"/>
        </w:rPr>
        <w:t xml:space="preserve"> </w:t>
      </w:r>
      <w:r>
        <w:t>quickly.</w:t>
      </w:r>
    </w:p>
    <w:p w:rsidR="002C1123" w:rsidRDefault="00F22F94">
      <w:pPr>
        <w:pStyle w:val="BodyText"/>
        <w:spacing w:before="147" w:line="249" w:lineRule="auto"/>
        <w:ind w:left="214" w:right="655"/>
      </w:pPr>
      <w:r>
        <w:rPr>
          <w:w w:val="95"/>
        </w:rPr>
        <w:t>For</w:t>
      </w:r>
      <w:r>
        <w:rPr>
          <w:spacing w:val="-6"/>
          <w:w w:val="95"/>
        </w:rPr>
        <w:t xml:space="preserve"> </w:t>
      </w:r>
      <w:r>
        <w:rPr>
          <w:w w:val="95"/>
        </w:rPr>
        <w:t>example,</w:t>
      </w:r>
      <w:r>
        <w:rPr>
          <w:spacing w:val="-6"/>
          <w:w w:val="95"/>
        </w:rPr>
        <w:t xml:space="preserve"> </w:t>
      </w:r>
      <w:r>
        <w:rPr>
          <w:w w:val="95"/>
        </w:rPr>
        <w:t>it</w:t>
      </w:r>
      <w:r>
        <w:rPr>
          <w:spacing w:val="-6"/>
          <w:w w:val="95"/>
        </w:rPr>
        <w:t xml:space="preserve"> </w:t>
      </w:r>
      <w:r>
        <w:rPr>
          <w:w w:val="95"/>
        </w:rPr>
        <w:t>is</w:t>
      </w:r>
      <w:r>
        <w:rPr>
          <w:spacing w:val="-6"/>
          <w:w w:val="95"/>
        </w:rPr>
        <w:t xml:space="preserve"> </w:t>
      </w:r>
      <w:r>
        <w:rPr>
          <w:w w:val="95"/>
        </w:rPr>
        <w:t>reported</w:t>
      </w:r>
      <w:r>
        <w:rPr>
          <w:spacing w:val="-6"/>
          <w:w w:val="95"/>
        </w:rPr>
        <w:t xml:space="preserve"> </w:t>
      </w:r>
      <w:r>
        <w:rPr>
          <w:w w:val="95"/>
        </w:rPr>
        <w:t>that</w:t>
      </w:r>
      <w:r>
        <w:rPr>
          <w:spacing w:val="-6"/>
          <w:w w:val="95"/>
        </w:rPr>
        <w:t xml:space="preserve"> </w:t>
      </w:r>
      <w:r>
        <w:rPr>
          <w:w w:val="95"/>
        </w:rPr>
        <w:t>Scone,</w:t>
      </w:r>
      <w:r>
        <w:rPr>
          <w:spacing w:val="-6"/>
          <w:w w:val="95"/>
        </w:rPr>
        <w:t xml:space="preserve"> </w:t>
      </w:r>
      <w:r>
        <w:rPr>
          <w:w w:val="95"/>
        </w:rPr>
        <w:t>which</w:t>
      </w:r>
      <w:r>
        <w:rPr>
          <w:spacing w:val="-6"/>
          <w:w w:val="95"/>
        </w:rPr>
        <w:t xml:space="preserve"> </w:t>
      </w:r>
      <w:r>
        <w:rPr>
          <w:w w:val="95"/>
        </w:rPr>
        <w:t>has</w:t>
      </w:r>
      <w:r>
        <w:rPr>
          <w:spacing w:val="-6"/>
          <w:w w:val="95"/>
        </w:rPr>
        <w:t xml:space="preserve"> </w:t>
      </w:r>
      <w:r>
        <w:rPr>
          <w:w w:val="95"/>
        </w:rPr>
        <w:t>the</w:t>
      </w:r>
      <w:r>
        <w:rPr>
          <w:spacing w:val="-6"/>
          <w:w w:val="95"/>
        </w:rPr>
        <w:t xml:space="preserve"> </w:t>
      </w:r>
      <w:r>
        <w:rPr>
          <w:w w:val="95"/>
        </w:rPr>
        <w:t xml:space="preserve">last </w:t>
      </w:r>
      <w:r>
        <w:t>rail</w:t>
      </w:r>
      <w:r>
        <w:rPr>
          <w:spacing w:val="-14"/>
        </w:rPr>
        <w:t xml:space="preserve"> </w:t>
      </w:r>
      <w:r>
        <w:t>level</w:t>
      </w:r>
      <w:r>
        <w:rPr>
          <w:spacing w:val="-14"/>
        </w:rPr>
        <w:t xml:space="preserve"> </w:t>
      </w:r>
      <w:r>
        <w:t>crossing</w:t>
      </w:r>
      <w:r>
        <w:rPr>
          <w:spacing w:val="-14"/>
        </w:rPr>
        <w:t xml:space="preserve"> </w:t>
      </w:r>
      <w:r>
        <w:t>on</w:t>
      </w:r>
      <w:r>
        <w:rPr>
          <w:spacing w:val="-14"/>
        </w:rPr>
        <w:t xml:space="preserve"> </w:t>
      </w:r>
      <w:r>
        <w:t>the</w:t>
      </w:r>
      <w:r>
        <w:rPr>
          <w:spacing w:val="-14"/>
        </w:rPr>
        <w:t xml:space="preserve"> </w:t>
      </w:r>
      <w:r>
        <w:t>New</w:t>
      </w:r>
      <w:r>
        <w:rPr>
          <w:spacing w:val="-14"/>
        </w:rPr>
        <w:t xml:space="preserve"> </w:t>
      </w:r>
      <w:r>
        <w:t>England</w:t>
      </w:r>
      <w:r>
        <w:rPr>
          <w:spacing w:val="-14"/>
        </w:rPr>
        <w:t xml:space="preserve"> </w:t>
      </w:r>
      <w:r>
        <w:t>Highway,</w:t>
      </w:r>
      <w:r>
        <w:rPr>
          <w:spacing w:val="-14"/>
        </w:rPr>
        <w:t xml:space="preserve"> </w:t>
      </w:r>
      <w:r>
        <w:t>could soon</w:t>
      </w:r>
      <w:r>
        <w:rPr>
          <w:spacing w:val="-7"/>
        </w:rPr>
        <w:t xml:space="preserve"> </w:t>
      </w:r>
      <w:r>
        <w:t>be</w:t>
      </w:r>
      <w:r>
        <w:rPr>
          <w:spacing w:val="-7"/>
        </w:rPr>
        <w:t xml:space="preserve"> </w:t>
      </w:r>
      <w:r>
        <w:t>‘cut</w:t>
      </w:r>
      <w:r>
        <w:rPr>
          <w:spacing w:val="-7"/>
        </w:rPr>
        <w:t xml:space="preserve"> </w:t>
      </w:r>
      <w:r>
        <w:t>off’</w:t>
      </w:r>
      <w:r>
        <w:rPr>
          <w:spacing w:val="-7"/>
        </w:rPr>
        <w:t xml:space="preserve"> </w:t>
      </w:r>
      <w:r>
        <w:t>for</w:t>
      </w:r>
      <w:r>
        <w:rPr>
          <w:spacing w:val="-7"/>
        </w:rPr>
        <w:t xml:space="preserve"> </w:t>
      </w:r>
      <w:r>
        <w:t>up</w:t>
      </w:r>
      <w:r>
        <w:rPr>
          <w:spacing w:val="-7"/>
        </w:rPr>
        <w:t xml:space="preserve"> </w:t>
      </w:r>
      <w:r>
        <w:t>to</w:t>
      </w:r>
      <w:r>
        <w:rPr>
          <w:spacing w:val="-7"/>
        </w:rPr>
        <w:t xml:space="preserve"> </w:t>
      </w:r>
      <w:r>
        <w:t>four</w:t>
      </w:r>
      <w:r>
        <w:rPr>
          <w:spacing w:val="-7"/>
        </w:rPr>
        <w:t xml:space="preserve"> </w:t>
      </w:r>
      <w:r>
        <w:t>hours</w:t>
      </w:r>
      <w:r>
        <w:rPr>
          <w:spacing w:val="-7"/>
        </w:rPr>
        <w:t xml:space="preserve"> </w:t>
      </w:r>
      <w:r>
        <w:t>a</w:t>
      </w:r>
      <w:r>
        <w:rPr>
          <w:spacing w:val="-7"/>
        </w:rPr>
        <w:t xml:space="preserve"> </w:t>
      </w:r>
      <w:r>
        <w:t>day</w:t>
      </w:r>
      <w:r>
        <w:rPr>
          <w:spacing w:val="-7"/>
        </w:rPr>
        <w:t xml:space="preserve"> </w:t>
      </w:r>
      <w:r>
        <w:t>due</w:t>
      </w:r>
      <w:r>
        <w:rPr>
          <w:spacing w:val="-7"/>
        </w:rPr>
        <w:t xml:space="preserve"> </w:t>
      </w:r>
      <w:r>
        <w:t>to</w:t>
      </w:r>
      <w:r>
        <w:rPr>
          <w:spacing w:val="-7"/>
        </w:rPr>
        <w:t xml:space="preserve"> </w:t>
      </w:r>
      <w:r>
        <w:t>the projected</w:t>
      </w:r>
      <w:r>
        <w:rPr>
          <w:spacing w:val="-14"/>
        </w:rPr>
        <w:t xml:space="preserve"> </w:t>
      </w:r>
      <w:r>
        <w:t>increase</w:t>
      </w:r>
      <w:r>
        <w:rPr>
          <w:spacing w:val="-14"/>
        </w:rPr>
        <w:t xml:space="preserve"> </w:t>
      </w:r>
      <w:r>
        <w:t>in</w:t>
      </w:r>
      <w:r>
        <w:rPr>
          <w:spacing w:val="-14"/>
        </w:rPr>
        <w:t xml:space="preserve"> </w:t>
      </w:r>
      <w:r>
        <w:t>the</w:t>
      </w:r>
      <w:r>
        <w:rPr>
          <w:spacing w:val="-13"/>
        </w:rPr>
        <w:t xml:space="preserve"> </w:t>
      </w:r>
      <w:r>
        <w:t>number</w:t>
      </w:r>
      <w:r>
        <w:rPr>
          <w:spacing w:val="-14"/>
        </w:rPr>
        <w:t xml:space="preserve"> </w:t>
      </w:r>
      <w:r>
        <w:t>of</w:t>
      </w:r>
      <w:r>
        <w:rPr>
          <w:spacing w:val="-14"/>
        </w:rPr>
        <w:t xml:space="preserve"> </w:t>
      </w:r>
      <w:r>
        <w:t>coal</w:t>
      </w:r>
      <w:r>
        <w:rPr>
          <w:spacing w:val="-14"/>
        </w:rPr>
        <w:t xml:space="preserve"> </w:t>
      </w:r>
      <w:r>
        <w:t>trains</w:t>
      </w:r>
      <w:r>
        <w:rPr>
          <w:position w:val="7"/>
          <w:sz w:val="11"/>
        </w:rPr>
        <w:t>13</w:t>
      </w:r>
      <w:r>
        <w:t>.</w:t>
      </w:r>
      <w:r>
        <w:rPr>
          <w:spacing w:val="-13"/>
        </w:rPr>
        <w:t xml:space="preserve"> </w:t>
      </w:r>
      <w:r>
        <w:t>Other towns</w:t>
      </w:r>
      <w:r>
        <w:rPr>
          <w:spacing w:val="-14"/>
        </w:rPr>
        <w:t xml:space="preserve"> </w:t>
      </w:r>
      <w:r>
        <w:t>heavily</w:t>
      </w:r>
      <w:r>
        <w:rPr>
          <w:spacing w:val="-14"/>
        </w:rPr>
        <w:t xml:space="preserve"> </w:t>
      </w:r>
      <w:r>
        <w:t>affected</w:t>
      </w:r>
      <w:r>
        <w:rPr>
          <w:spacing w:val="-14"/>
        </w:rPr>
        <w:t xml:space="preserve"> </w:t>
      </w:r>
      <w:r>
        <w:t>by</w:t>
      </w:r>
      <w:r>
        <w:rPr>
          <w:spacing w:val="-14"/>
        </w:rPr>
        <w:t xml:space="preserve"> </w:t>
      </w:r>
      <w:r>
        <w:t>coal</w:t>
      </w:r>
      <w:r>
        <w:rPr>
          <w:spacing w:val="-14"/>
        </w:rPr>
        <w:t xml:space="preserve"> </w:t>
      </w:r>
      <w:r>
        <w:t>traffic</w:t>
      </w:r>
      <w:r>
        <w:rPr>
          <w:spacing w:val="-14"/>
        </w:rPr>
        <w:t xml:space="preserve"> </w:t>
      </w:r>
      <w:r>
        <w:t>include</w:t>
      </w:r>
      <w:r>
        <w:rPr>
          <w:spacing w:val="-14"/>
        </w:rPr>
        <w:t xml:space="preserve"> </w:t>
      </w:r>
      <w:r>
        <w:t>Singleton and</w:t>
      </w:r>
      <w:r>
        <w:rPr>
          <w:spacing w:val="-11"/>
        </w:rPr>
        <w:t xml:space="preserve"> </w:t>
      </w:r>
      <w:r>
        <w:t>Muswellbrook.</w:t>
      </w:r>
    </w:p>
    <w:p w:rsidR="002C1123" w:rsidRDefault="002060EF">
      <w:pPr>
        <w:pStyle w:val="BodyText"/>
        <w:rPr>
          <w:sz w:val="13"/>
        </w:rPr>
      </w:pPr>
      <w:r>
        <w:pict>
          <v:shape id="docshape1867" o:spid="_x0000_s3220" type="#_x0000_t202" style="position:absolute;margin-left:552.3pt;margin-top:8.7pt;width:239pt;height:45.35pt;z-index:-251361280;mso-wrap-distance-left:0;mso-wrap-distance-right:0;mso-position-horizontal-relative:page" fillcolor="#e1e0e1" stroked="f">
            <v:textbox inset="0,0,0,0">
              <w:txbxContent>
                <w:p w:rsidR="00F22F94" w:rsidRDefault="00F22F94">
                  <w:pPr>
                    <w:pStyle w:val="BodyText"/>
                    <w:spacing w:before="68" w:line="249" w:lineRule="auto"/>
                    <w:ind w:left="113" w:right="115"/>
                    <w:rPr>
                      <w:color w:val="000000"/>
                    </w:rPr>
                  </w:pPr>
                  <w:r>
                    <w:rPr>
                      <w:b/>
                      <w:color w:val="00AEEF"/>
                    </w:rPr>
                    <w:t>Recommendation</w:t>
                  </w:r>
                  <w:r>
                    <w:rPr>
                      <w:b/>
                      <w:color w:val="00AEEF"/>
                      <w:spacing w:val="40"/>
                    </w:rPr>
                    <w:t xml:space="preserve"> </w:t>
                  </w:r>
                  <w:r>
                    <w:rPr>
                      <w:color w:val="000000"/>
                    </w:rPr>
                    <w:t>Infrastructure NSW recommends</w:t>
                  </w:r>
                  <w:r>
                    <w:rPr>
                      <w:color w:val="000000"/>
                      <w:spacing w:val="-14"/>
                    </w:rPr>
                    <w:t xml:space="preserve"> </w:t>
                  </w:r>
                  <w:r>
                    <w:rPr>
                      <w:color w:val="000000"/>
                    </w:rPr>
                    <w:t>that</w:t>
                  </w:r>
                  <w:r>
                    <w:rPr>
                      <w:color w:val="000000"/>
                      <w:spacing w:val="-14"/>
                    </w:rPr>
                    <w:t xml:space="preserve"> </w:t>
                  </w:r>
                  <w:r>
                    <w:rPr>
                      <w:color w:val="000000"/>
                    </w:rPr>
                    <w:t>targeted</w:t>
                  </w:r>
                  <w:r>
                    <w:rPr>
                      <w:color w:val="000000"/>
                      <w:spacing w:val="-14"/>
                    </w:rPr>
                    <w:t xml:space="preserve"> </w:t>
                  </w:r>
                  <w:r>
                    <w:rPr>
                      <w:color w:val="000000"/>
                    </w:rPr>
                    <w:t>investments</w:t>
                  </w:r>
                  <w:r>
                    <w:rPr>
                      <w:color w:val="000000"/>
                      <w:spacing w:val="-14"/>
                    </w:rPr>
                    <w:t xml:space="preserve"> </w:t>
                  </w:r>
                  <w:r>
                    <w:rPr>
                      <w:color w:val="000000"/>
                    </w:rPr>
                    <w:t>are</w:t>
                  </w:r>
                  <w:r>
                    <w:rPr>
                      <w:color w:val="000000"/>
                      <w:spacing w:val="-14"/>
                    </w:rPr>
                    <w:t xml:space="preserve"> </w:t>
                  </w:r>
                  <w:r>
                    <w:rPr>
                      <w:color w:val="000000"/>
                    </w:rPr>
                    <w:t>made</w:t>
                  </w:r>
                  <w:r>
                    <w:rPr>
                      <w:color w:val="000000"/>
                      <w:spacing w:val="-14"/>
                    </w:rPr>
                    <w:t xml:space="preserve"> </w:t>
                  </w:r>
                  <w:r>
                    <w:rPr>
                      <w:color w:val="000000"/>
                    </w:rPr>
                    <w:t xml:space="preserve">to </w:t>
                  </w:r>
                  <w:r>
                    <w:rPr>
                      <w:color w:val="000000"/>
                      <w:w w:val="95"/>
                    </w:rPr>
                    <w:t>improve local infrastructure in coal community towns.</w:t>
                  </w:r>
                </w:p>
              </w:txbxContent>
            </v:textbox>
            <w10:wrap type="topAndBottom" anchorx="page"/>
          </v:shape>
        </w:pict>
      </w:r>
    </w:p>
    <w:p w:rsidR="002C1123" w:rsidRDefault="002C1123">
      <w:pPr>
        <w:pStyle w:val="BodyText"/>
        <w:spacing w:before="2"/>
        <w:rPr>
          <w:sz w:val="22"/>
        </w:rPr>
      </w:pPr>
    </w:p>
    <w:p w:rsidR="002C1123" w:rsidRDefault="00F22F94">
      <w:pPr>
        <w:pStyle w:val="BodyText"/>
        <w:spacing w:before="1" w:line="249" w:lineRule="auto"/>
        <w:ind w:left="214" w:right="653"/>
      </w:pPr>
      <w:r>
        <w:rPr>
          <w:w w:val="95"/>
        </w:rPr>
        <w:t xml:space="preserve">There is also the need to improve the connectivity of the </w:t>
      </w:r>
      <w:r>
        <w:rPr>
          <w:spacing w:val="-2"/>
        </w:rPr>
        <w:t>Hunter</w:t>
      </w:r>
      <w:r>
        <w:rPr>
          <w:spacing w:val="-10"/>
        </w:rPr>
        <w:t xml:space="preserve"> </w:t>
      </w:r>
      <w:r>
        <w:rPr>
          <w:spacing w:val="-2"/>
        </w:rPr>
        <w:t>Valley</w:t>
      </w:r>
      <w:r>
        <w:rPr>
          <w:spacing w:val="-10"/>
        </w:rPr>
        <w:t xml:space="preserve"> </w:t>
      </w:r>
      <w:r>
        <w:rPr>
          <w:spacing w:val="-2"/>
        </w:rPr>
        <w:t>to</w:t>
      </w:r>
      <w:r>
        <w:rPr>
          <w:spacing w:val="-10"/>
        </w:rPr>
        <w:t xml:space="preserve"> </w:t>
      </w:r>
      <w:r>
        <w:rPr>
          <w:spacing w:val="-2"/>
        </w:rPr>
        <w:t>Newcastle.</w:t>
      </w:r>
      <w:r>
        <w:rPr>
          <w:spacing w:val="-10"/>
        </w:rPr>
        <w:t xml:space="preserve"> </w:t>
      </w:r>
      <w:r>
        <w:rPr>
          <w:spacing w:val="-2"/>
        </w:rPr>
        <w:t>The</w:t>
      </w:r>
      <w:r>
        <w:rPr>
          <w:spacing w:val="-10"/>
        </w:rPr>
        <w:t xml:space="preserve"> </w:t>
      </w:r>
      <w:r>
        <w:rPr>
          <w:spacing w:val="-2"/>
        </w:rPr>
        <w:t>Hunter</w:t>
      </w:r>
      <w:r>
        <w:rPr>
          <w:spacing w:val="-10"/>
        </w:rPr>
        <w:t xml:space="preserve"> </w:t>
      </w:r>
      <w:r>
        <w:rPr>
          <w:spacing w:val="-2"/>
        </w:rPr>
        <w:t>Expressway, due</w:t>
      </w:r>
      <w:r>
        <w:rPr>
          <w:spacing w:val="-13"/>
        </w:rPr>
        <w:t xml:space="preserve"> </w:t>
      </w:r>
      <w:r>
        <w:rPr>
          <w:spacing w:val="-2"/>
        </w:rPr>
        <w:t>to</w:t>
      </w:r>
      <w:r>
        <w:rPr>
          <w:spacing w:val="-13"/>
        </w:rPr>
        <w:t xml:space="preserve"> </w:t>
      </w:r>
      <w:r>
        <w:rPr>
          <w:spacing w:val="-2"/>
        </w:rPr>
        <w:t>open</w:t>
      </w:r>
      <w:r>
        <w:rPr>
          <w:spacing w:val="-13"/>
        </w:rPr>
        <w:t xml:space="preserve"> </w:t>
      </w:r>
      <w:r>
        <w:rPr>
          <w:spacing w:val="-2"/>
        </w:rPr>
        <w:t>in</w:t>
      </w:r>
      <w:r>
        <w:rPr>
          <w:spacing w:val="-13"/>
        </w:rPr>
        <w:t xml:space="preserve"> </w:t>
      </w:r>
      <w:r>
        <w:rPr>
          <w:spacing w:val="-2"/>
        </w:rPr>
        <w:t>2013,</w:t>
      </w:r>
      <w:r>
        <w:rPr>
          <w:spacing w:val="-13"/>
        </w:rPr>
        <w:t xml:space="preserve"> </w:t>
      </w:r>
      <w:r>
        <w:rPr>
          <w:spacing w:val="-2"/>
        </w:rPr>
        <w:t>will</w:t>
      </w:r>
      <w:r>
        <w:rPr>
          <w:spacing w:val="-13"/>
        </w:rPr>
        <w:t xml:space="preserve"> </w:t>
      </w:r>
      <w:r>
        <w:rPr>
          <w:spacing w:val="-2"/>
        </w:rPr>
        <w:t>improve</w:t>
      </w:r>
      <w:r>
        <w:rPr>
          <w:spacing w:val="-13"/>
        </w:rPr>
        <w:t xml:space="preserve"> </w:t>
      </w:r>
      <w:r>
        <w:rPr>
          <w:spacing w:val="-2"/>
        </w:rPr>
        <w:t>east-west</w:t>
      </w:r>
      <w:r>
        <w:rPr>
          <w:spacing w:val="-13"/>
        </w:rPr>
        <w:t xml:space="preserve"> </w:t>
      </w:r>
      <w:r>
        <w:rPr>
          <w:spacing w:val="-2"/>
        </w:rPr>
        <w:t xml:space="preserve">connectivity </w:t>
      </w:r>
      <w:r>
        <w:rPr>
          <w:w w:val="95"/>
        </w:rPr>
        <w:t>between</w:t>
      </w:r>
      <w:r>
        <w:rPr>
          <w:spacing w:val="-1"/>
          <w:w w:val="95"/>
        </w:rPr>
        <w:t xml:space="preserve"> </w:t>
      </w:r>
      <w:r>
        <w:rPr>
          <w:w w:val="95"/>
        </w:rPr>
        <w:t>the</w:t>
      </w:r>
      <w:r>
        <w:rPr>
          <w:spacing w:val="-1"/>
          <w:w w:val="95"/>
        </w:rPr>
        <w:t xml:space="preserve"> </w:t>
      </w:r>
      <w:r>
        <w:rPr>
          <w:w w:val="95"/>
        </w:rPr>
        <w:t>Lower</w:t>
      </w:r>
      <w:r>
        <w:rPr>
          <w:spacing w:val="-1"/>
          <w:w w:val="95"/>
        </w:rPr>
        <w:t xml:space="preserve"> </w:t>
      </w:r>
      <w:r>
        <w:rPr>
          <w:w w:val="95"/>
        </w:rPr>
        <w:t>Hunter</w:t>
      </w:r>
      <w:r>
        <w:rPr>
          <w:spacing w:val="-1"/>
          <w:w w:val="95"/>
        </w:rPr>
        <w:t xml:space="preserve"> </w:t>
      </w:r>
      <w:r>
        <w:rPr>
          <w:w w:val="95"/>
        </w:rPr>
        <w:t>and</w:t>
      </w:r>
      <w:r>
        <w:rPr>
          <w:spacing w:val="-1"/>
          <w:w w:val="95"/>
        </w:rPr>
        <w:t xml:space="preserve"> </w:t>
      </w:r>
      <w:r>
        <w:rPr>
          <w:w w:val="95"/>
        </w:rPr>
        <w:t>Newcastle</w:t>
      </w:r>
      <w:r>
        <w:rPr>
          <w:spacing w:val="-1"/>
          <w:w w:val="95"/>
        </w:rPr>
        <w:t xml:space="preserve"> </w:t>
      </w:r>
      <w:r>
        <w:rPr>
          <w:w w:val="95"/>
        </w:rPr>
        <w:t>for</w:t>
      </w:r>
      <w:r>
        <w:rPr>
          <w:spacing w:val="-1"/>
          <w:w w:val="95"/>
        </w:rPr>
        <w:t xml:space="preserve"> </w:t>
      </w:r>
      <w:r>
        <w:rPr>
          <w:w w:val="95"/>
        </w:rPr>
        <w:t xml:space="preserve">passenger </w:t>
      </w:r>
      <w:r>
        <w:t>and</w:t>
      </w:r>
      <w:r>
        <w:rPr>
          <w:spacing w:val="-12"/>
        </w:rPr>
        <w:t xml:space="preserve"> </w:t>
      </w:r>
      <w:r>
        <w:t>freight</w:t>
      </w:r>
      <w:r>
        <w:rPr>
          <w:spacing w:val="-12"/>
        </w:rPr>
        <w:t xml:space="preserve"> </w:t>
      </w:r>
      <w:r>
        <w:t>movements,</w:t>
      </w:r>
      <w:r>
        <w:rPr>
          <w:spacing w:val="-12"/>
        </w:rPr>
        <w:t xml:space="preserve"> </w:t>
      </w:r>
      <w:r>
        <w:t>providing</w:t>
      </w:r>
      <w:r>
        <w:rPr>
          <w:spacing w:val="-12"/>
        </w:rPr>
        <w:t xml:space="preserve"> </w:t>
      </w:r>
      <w:r>
        <w:t>relief</w:t>
      </w:r>
      <w:r>
        <w:rPr>
          <w:spacing w:val="-12"/>
        </w:rPr>
        <w:t xml:space="preserve"> </w:t>
      </w:r>
      <w:r>
        <w:t>to</w:t>
      </w:r>
      <w:r>
        <w:rPr>
          <w:spacing w:val="-12"/>
        </w:rPr>
        <w:t xml:space="preserve"> </w:t>
      </w:r>
      <w:r>
        <w:t>the</w:t>
      </w:r>
      <w:r>
        <w:rPr>
          <w:spacing w:val="-12"/>
        </w:rPr>
        <w:t xml:space="preserve"> </w:t>
      </w:r>
      <w:r>
        <w:t>New England</w:t>
      </w:r>
      <w:r>
        <w:rPr>
          <w:spacing w:val="-3"/>
        </w:rPr>
        <w:t xml:space="preserve"> </w:t>
      </w:r>
      <w:r>
        <w:t>Highway</w:t>
      </w:r>
      <w:r>
        <w:rPr>
          <w:spacing w:val="-3"/>
        </w:rPr>
        <w:t xml:space="preserve"> </w:t>
      </w:r>
      <w:r>
        <w:t>in</w:t>
      </w:r>
      <w:r>
        <w:rPr>
          <w:spacing w:val="-3"/>
        </w:rPr>
        <w:t xml:space="preserve"> </w:t>
      </w:r>
      <w:r>
        <w:t>this</w:t>
      </w:r>
      <w:r>
        <w:rPr>
          <w:spacing w:val="-3"/>
        </w:rPr>
        <w:t xml:space="preserve"> </w:t>
      </w:r>
      <w:r>
        <w:t>area.</w:t>
      </w:r>
    </w:p>
    <w:p w:rsidR="002C1123" w:rsidRDefault="00F22F94">
      <w:pPr>
        <w:pStyle w:val="BodyText"/>
        <w:spacing w:before="146" w:line="249" w:lineRule="auto"/>
        <w:ind w:left="214" w:right="763"/>
      </w:pPr>
      <w:r>
        <w:t>Further</w:t>
      </w:r>
      <w:r>
        <w:rPr>
          <w:spacing w:val="-12"/>
        </w:rPr>
        <w:t xml:space="preserve"> </w:t>
      </w:r>
      <w:r>
        <w:t>investment</w:t>
      </w:r>
      <w:r>
        <w:rPr>
          <w:spacing w:val="-12"/>
        </w:rPr>
        <w:t xml:space="preserve"> </w:t>
      </w:r>
      <w:r>
        <w:t>to</w:t>
      </w:r>
      <w:r>
        <w:rPr>
          <w:spacing w:val="-12"/>
        </w:rPr>
        <w:t xml:space="preserve"> </w:t>
      </w:r>
      <w:r>
        <w:t>augment</w:t>
      </w:r>
      <w:r>
        <w:rPr>
          <w:spacing w:val="-12"/>
        </w:rPr>
        <w:t xml:space="preserve"> </w:t>
      </w:r>
      <w:r>
        <w:t>the</w:t>
      </w:r>
      <w:r>
        <w:rPr>
          <w:spacing w:val="-12"/>
        </w:rPr>
        <w:t xml:space="preserve"> </w:t>
      </w:r>
      <w:r>
        <w:t>New</w:t>
      </w:r>
      <w:r>
        <w:rPr>
          <w:spacing w:val="-12"/>
        </w:rPr>
        <w:t xml:space="preserve"> </w:t>
      </w:r>
      <w:r>
        <w:t xml:space="preserve">England </w:t>
      </w:r>
      <w:r>
        <w:rPr>
          <w:w w:val="95"/>
        </w:rPr>
        <w:t>Highway</w:t>
      </w:r>
      <w:r>
        <w:rPr>
          <w:spacing w:val="-6"/>
          <w:w w:val="95"/>
        </w:rPr>
        <w:t xml:space="preserve"> </w:t>
      </w:r>
      <w:r>
        <w:rPr>
          <w:w w:val="95"/>
        </w:rPr>
        <w:t>may</w:t>
      </w:r>
      <w:r>
        <w:rPr>
          <w:spacing w:val="-6"/>
          <w:w w:val="95"/>
        </w:rPr>
        <w:t xml:space="preserve"> </w:t>
      </w:r>
      <w:r>
        <w:rPr>
          <w:w w:val="95"/>
        </w:rPr>
        <w:t>also</w:t>
      </w:r>
      <w:r>
        <w:rPr>
          <w:spacing w:val="-6"/>
          <w:w w:val="95"/>
        </w:rPr>
        <w:t xml:space="preserve"> </w:t>
      </w:r>
      <w:r>
        <w:rPr>
          <w:w w:val="95"/>
        </w:rPr>
        <w:t>be</w:t>
      </w:r>
      <w:r>
        <w:rPr>
          <w:spacing w:val="-6"/>
          <w:w w:val="95"/>
        </w:rPr>
        <w:t xml:space="preserve"> </w:t>
      </w:r>
      <w:r>
        <w:rPr>
          <w:w w:val="95"/>
        </w:rPr>
        <w:t>needed</w:t>
      </w:r>
      <w:r>
        <w:rPr>
          <w:spacing w:val="-6"/>
          <w:w w:val="95"/>
        </w:rPr>
        <w:t xml:space="preserve"> </w:t>
      </w:r>
      <w:r>
        <w:rPr>
          <w:w w:val="95"/>
        </w:rPr>
        <w:t>over</w:t>
      </w:r>
      <w:r>
        <w:rPr>
          <w:spacing w:val="-6"/>
          <w:w w:val="95"/>
        </w:rPr>
        <w:t xml:space="preserve"> </w:t>
      </w:r>
      <w:r>
        <w:rPr>
          <w:w w:val="95"/>
        </w:rPr>
        <w:t>the</w:t>
      </w:r>
      <w:r>
        <w:rPr>
          <w:spacing w:val="-6"/>
          <w:w w:val="95"/>
        </w:rPr>
        <w:t xml:space="preserve"> </w:t>
      </w:r>
      <w:r>
        <w:rPr>
          <w:w w:val="95"/>
        </w:rPr>
        <w:t>next</w:t>
      </w:r>
      <w:r>
        <w:rPr>
          <w:spacing w:val="-6"/>
          <w:w w:val="95"/>
        </w:rPr>
        <w:t xml:space="preserve"> </w:t>
      </w:r>
      <w:r>
        <w:rPr>
          <w:w w:val="95"/>
        </w:rPr>
        <w:t>decade</w:t>
      </w:r>
      <w:r>
        <w:rPr>
          <w:spacing w:val="-6"/>
          <w:w w:val="95"/>
        </w:rPr>
        <w:t xml:space="preserve"> </w:t>
      </w:r>
      <w:r>
        <w:rPr>
          <w:w w:val="95"/>
        </w:rPr>
        <w:t xml:space="preserve">as </w:t>
      </w:r>
      <w:r>
        <w:t>the coal sector grows.</w:t>
      </w:r>
    </w:p>
    <w:p w:rsidR="002C1123" w:rsidRDefault="002060EF">
      <w:pPr>
        <w:pStyle w:val="BodyText"/>
        <w:spacing w:before="1"/>
        <w:rPr>
          <w:sz w:val="21"/>
        </w:rPr>
      </w:pPr>
      <w:r>
        <w:pict>
          <v:shape id="docshape1868" o:spid="_x0000_s3219" style="position:absolute;margin-left:552.3pt;margin-top:13.35pt;width:1in;height:.1pt;z-index:-251360256;mso-wrap-distance-left:0;mso-wrap-distance-right:0;mso-position-horizontal-relative:page" coordorigin="11046,267" coordsize="1440,0" path="m11046,267r1440,e" filled="f" strokecolor="#9c9c9d" strokeweight=".5pt">
            <v:path arrowok="t"/>
            <w10:wrap type="topAndBottom" anchorx="page"/>
          </v:shape>
        </w:pict>
      </w:r>
    </w:p>
    <w:p w:rsidR="002C1123" w:rsidRDefault="00F22F94">
      <w:pPr>
        <w:pStyle w:val="ListParagraph"/>
        <w:numPr>
          <w:ilvl w:val="0"/>
          <w:numId w:val="73"/>
        </w:numPr>
        <w:tabs>
          <w:tab w:val="left" w:pos="413"/>
        </w:tabs>
        <w:spacing w:before="23"/>
        <w:ind w:left="412"/>
        <w:jc w:val="left"/>
        <w:rPr>
          <w:sz w:val="14"/>
        </w:rPr>
      </w:pPr>
      <w:r>
        <w:rPr>
          <w:w w:val="90"/>
          <w:sz w:val="14"/>
        </w:rPr>
        <w:t>Hunter</w:t>
      </w:r>
      <w:r>
        <w:rPr>
          <w:spacing w:val="21"/>
          <w:sz w:val="14"/>
        </w:rPr>
        <w:t xml:space="preserve"> </w:t>
      </w:r>
      <w:r>
        <w:rPr>
          <w:w w:val="90"/>
          <w:sz w:val="14"/>
        </w:rPr>
        <w:t>Valley</w:t>
      </w:r>
      <w:r>
        <w:rPr>
          <w:spacing w:val="22"/>
          <w:sz w:val="14"/>
        </w:rPr>
        <w:t xml:space="preserve"> </w:t>
      </w:r>
      <w:r>
        <w:rPr>
          <w:w w:val="90"/>
          <w:sz w:val="14"/>
        </w:rPr>
        <w:t>Research</w:t>
      </w:r>
      <w:r>
        <w:rPr>
          <w:spacing w:val="22"/>
          <w:sz w:val="14"/>
        </w:rPr>
        <w:t xml:space="preserve"> </w:t>
      </w:r>
      <w:r>
        <w:rPr>
          <w:w w:val="90"/>
          <w:sz w:val="14"/>
        </w:rPr>
        <w:t>Foundation</w:t>
      </w:r>
      <w:r>
        <w:rPr>
          <w:spacing w:val="21"/>
          <w:sz w:val="14"/>
        </w:rPr>
        <w:t xml:space="preserve"> </w:t>
      </w:r>
      <w:r>
        <w:rPr>
          <w:spacing w:val="-2"/>
          <w:w w:val="90"/>
          <w:sz w:val="14"/>
        </w:rPr>
        <w:t>2010.</w:t>
      </w:r>
    </w:p>
    <w:p w:rsidR="002C1123" w:rsidRDefault="002C1123">
      <w:pPr>
        <w:rPr>
          <w:sz w:val="14"/>
        </w:rPr>
        <w:sectPr w:rsidR="002C1123">
          <w:type w:val="continuous"/>
          <w:pgSz w:w="16840" w:h="11910" w:orient="landscape"/>
          <w:pgMar w:top="560" w:right="280" w:bottom="280" w:left="500" w:header="0" w:footer="517" w:gutter="0"/>
          <w:cols w:num="3" w:space="720" w:equalWidth="0">
            <w:col w:w="5221" w:space="40"/>
            <w:col w:w="5031" w:space="39"/>
            <w:col w:w="5729"/>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3"/>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Heading6"/>
        <w:ind w:left="492"/>
      </w:pPr>
      <w:bookmarkStart w:id="281" w:name="_bookmark199"/>
      <w:bookmarkEnd w:id="281"/>
      <w:r>
        <w:rPr>
          <w:color w:val="00AEEF"/>
          <w:spacing w:val="-4"/>
        </w:rPr>
        <w:t>10.4.3</w:t>
      </w:r>
      <w:r>
        <w:rPr>
          <w:color w:val="00AEEF"/>
          <w:spacing w:val="-1"/>
        </w:rPr>
        <w:t xml:space="preserve"> </w:t>
      </w:r>
      <w:r>
        <w:rPr>
          <w:color w:val="00AEEF"/>
          <w:spacing w:val="-4"/>
        </w:rPr>
        <w:t>Upgrading</w:t>
      </w:r>
      <w:r>
        <w:rPr>
          <w:color w:val="00AEEF"/>
          <w:spacing w:val="-1"/>
        </w:rPr>
        <w:t xml:space="preserve"> </w:t>
      </w:r>
      <w:r>
        <w:rPr>
          <w:color w:val="00AEEF"/>
          <w:spacing w:val="-4"/>
        </w:rPr>
        <w:t>the</w:t>
      </w:r>
      <w:r>
        <w:rPr>
          <w:color w:val="00AEEF"/>
          <w:spacing w:val="-1"/>
        </w:rPr>
        <w:t xml:space="preserve"> </w:t>
      </w:r>
      <w:r>
        <w:rPr>
          <w:color w:val="00AEEF"/>
          <w:spacing w:val="-4"/>
        </w:rPr>
        <w:t>Princes</w:t>
      </w:r>
      <w:r>
        <w:rPr>
          <w:color w:val="00AEEF"/>
        </w:rPr>
        <w:t xml:space="preserve"> </w:t>
      </w:r>
      <w:r>
        <w:rPr>
          <w:color w:val="00AEEF"/>
          <w:spacing w:val="-4"/>
        </w:rPr>
        <w:t>Highway</w:t>
      </w:r>
    </w:p>
    <w:p w:rsidR="002C1123" w:rsidRDefault="00F22F94">
      <w:pPr>
        <w:pStyle w:val="BodyText"/>
        <w:spacing w:before="95" w:line="249" w:lineRule="auto"/>
        <w:ind w:left="492" w:right="317"/>
      </w:pPr>
      <w:r>
        <w:t>One</w:t>
      </w:r>
      <w:r>
        <w:rPr>
          <w:spacing w:val="-2"/>
        </w:rPr>
        <w:t xml:space="preserve"> </w:t>
      </w:r>
      <w:r>
        <w:t>of</w:t>
      </w:r>
      <w:r>
        <w:rPr>
          <w:spacing w:val="-2"/>
        </w:rPr>
        <w:t xml:space="preserve"> </w:t>
      </w:r>
      <w:r>
        <w:t>the</w:t>
      </w:r>
      <w:r>
        <w:rPr>
          <w:spacing w:val="-2"/>
        </w:rPr>
        <w:t xml:space="preserve"> </w:t>
      </w:r>
      <w:r>
        <w:t>largest</w:t>
      </w:r>
      <w:r>
        <w:rPr>
          <w:spacing w:val="-2"/>
        </w:rPr>
        <w:t xml:space="preserve"> </w:t>
      </w:r>
      <w:r>
        <w:t>road</w:t>
      </w:r>
      <w:r>
        <w:rPr>
          <w:spacing w:val="-2"/>
        </w:rPr>
        <w:t xml:space="preserve"> </w:t>
      </w:r>
      <w:r>
        <w:t>programs</w:t>
      </w:r>
      <w:r>
        <w:rPr>
          <w:spacing w:val="-2"/>
        </w:rPr>
        <w:t xml:space="preserve"> </w:t>
      </w:r>
      <w:r>
        <w:t xml:space="preserve">proposed </w:t>
      </w:r>
      <w:r>
        <w:rPr>
          <w:w w:val="95"/>
        </w:rPr>
        <w:t>outside</w:t>
      </w:r>
      <w:r>
        <w:rPr>
          <w:spacing w:val="-7"/>
          <w:w w:val="95"/>
        </w:rPr>
        <w:t xml:space="preserve"> </w:t>
      </w:r>
      <w:r>
        <w:rPr>
          <w:w w:val="95"/>
        </w:rPr>
        <w:t>of</w:t>
      </w:r>
      <w:r>
        <w:rPr>
          <w:spacing w:val="-5"/>
          <w:w w:val="95"/>
        </w:rPr>
        <w:t xml:space="preserve"> </w:t>
      </w:r>
      <w:r>
        <w:rPr>
          <w:w w:val="95"/>
        </w:rPr>
        <w:t>the</w:t>
      </w:r>
      <w:r>
        <w:rPr>
          <w:spacing w:val="-5"/>
          <w:w w:val="95"/>
        </w:rPr>
        <w:t xml:space="preserve"> </w:t>
      </w:r>
      <w:r>
        <w:rPr>
          <w:w w:val="95"/>
        </w:rPr>
        <w:t>National</w:t>
      </w:r>
      <w:r>
        <w:rPr>
          <w:spacing w:val="-5"/>
          <w:w w:val="95"/>
        </w:rPr>
        <w:t xml:space="preserve"> </w:t>
      </w:r>
      <w:r>
        <w:rPr>
          <w:w w:val="95"/>
        </w:rPr>
        <w:t>Highway</w:t>
      </w:r>
      <w:r>
        <w:rPr>
          <w:spacing w:val="-5"/>
          <w:w w:val="95"/>
        </w:rPr>
        <w:t xml:space="preserve"> </w:t>
      </w:r>
      <w:r>
        <w:rPr>
          <w:w w:val="95"/>
        </w:rPr>
        <w:t>Network</w:t>
      </w:r>
      <w:r>
        <w:rPr>
          <w:spacing w:val="-5"/>
          <w:w w:val="95"/>
        </w:rPr>
        <w:t xml:space="preserve"> </w:t>
      </w:r>
      <w:r>
        <w:rPr>
          <w:w w:val="95"/>
        </w:rPr>
        <w:t>is</w:t>
      </w:r>
      <w:r>
        <w:rPr>
          <w:spacing w:val="-5"/>
          <w:w w:val="95"/>
        </w:rPr>
        <w:t xml:space="preserve"> </w:t>
      </w:r>
      <w:r>
        <w:rPr>
          <w:w w:val="95"/>
        </w:rPr>
        <w:t>on</w:t>
      </w:r>
      <w:r>
        <w:rPr>
          <w:spacing w:val="-5"/>
          <w:w w:val="95"/>
        </w:rPr>
        <w:t xml:space="preserve"> </w:t>
      </w:r>
      <w:r>
        <w:rPr>
          <w:w w:val="95"/>
        </w:rPr>
        <w:t xml:space="preserve">the </w:t>
      </w:r>
      <w:r>
        <w:t>Princes</w:t>
      </w:r>
      <w:r>
        <w:rPr>
          <w:spacing w:val="-11"/>
        </w:rPr>
        <w:t xml:space="preserve"> </w:t>
      </w:r>
      <w:r>
        <w:t>Highway.</w:t>
      </w:r>
    </w:p>
    <w:p w:rsidR="002C1123" w:rsidRDefault="00F22F94">
      <w:pPr>
        <w:pStyle w:val="BodyText"/>
        <w:spacing w:before="144" w:line="249" w:lineRule="auto"/>
        <w:ind w:left="492"/>
      </w:pPr>
      <w:r>
        <w:rPr>
          <w:w w:val="95"/>
        </w:rPr>
        <w:t>This</w:t>
      </w:r>
      <w:r>
        <w:rPr>
          <w:spacing w:val="-2"/>
          <w:w w:val="95"/>
        </w:rPr>
        <w:t xml:space="preserve"> </w:t>
      </w:r>
      <w:r>
        <w:rPr>
          <w:w w:val="95"/>
        </w:rPr>
        <w:t>road,</w:t>
      </w:r>
      <w:r>
        <w:rPr>
          <w:spacing w:val="-2"/>
          <w:w w:val="95"/>
        </w:rPr>
        <w:t xml:space="preserve"> </w:t>
      </w:r>
      <w:r>
        <w:rPr>
          <w:w w:val="95"/>
        </w:rPr>
        <w:t>which</w:t>
      </w:r>
      <w:r>
        <w:rPr>
          <w:spacing w:val="-2"/>
          <w:w w:val="95"/>
        </w:rPr>
        <w:t xml:space="preserve"> </w:t>
      </w:r>
      <w:r>
        <w:rPr>
          <w:w w:val="95"/>
        </w:rPr>
        <w:t>connects</w:t>
      </w:r>
      <w:r>
        <w:rPr>
          <w:spacing w:val="-2"/>
          <w:w w:val="95"/>
        </w:rPr>
        <w:t xml:space="preserve"> </w:t>
      </w:r>
      <w:r>
        <w:rPr>
          <w:w w:val="95"/>
        </w:rPr>
        <w:t>Sydney</w:t>
      </w:r>
      <w:r>
        <w:rPr>
          <w:spacing w:val="-2"/>
          <w:w w:val="95"/>
        </w:rPr>
        <w:t xml:space="preserve"> </w:t>
      </w:r>
      <w:r>
        <w:rPr>
          <w:w w:val="95"/>
        </w:rPr>
        <w:t>to</w:t>
      </w:r>
      <w:r>
        <w:rPr>
          <w:spacing w:val="-2"/>
          <w:w w:val="95"/>
        </w:rPr>
        <w:t xml:space="preserve"> </w:t>
      </w:r>
      <w:r>
        <w:rPr>
          <w:w w:val="95"/>
        </w:rPr>
        <w:t>the</w:t>
      </w:r>
      <w:r>
        <w:rPr>
          <w:spacing w:val="-2"/>
          <w:w w:val="95"/>
        </w:rPr>
        <w:t xml:space="preserve"> </w:t>
      </w:r>
      <w:r>
        <w:rPr>
          <w:w w:val="95"/>
        </w:rPr>
        <w:t>South</w:t>
      </w:r>
      <w:r>
        <w:rPr>
          <w:spacing w:val="-2"/>
          <w:w w:val="95"/>
        </w:rPr>
        <w:t xml:space="preserve"> </w:t>
      </w:r>
      <w:r>
        <w:rPr>
          <w:w w:val="95"/>
        </w:rPr>
        <w:t xml:space="preserve">Coast, suffers congestion at peak periods primarily from local and holiday traffic, and also has a number of accident </w:t>
      </w:r>
      <w:r>
        <w:t>black</w:t>
      </w:r>
      <w:r>
        <w:rPr>
          <w:spacing w:val="-11"/>
        </w:rPr>
        <w:t xml:space="preserve"> </w:t>
      </w:r>
      <w:r>
        <w:t>spots.</w:t>
      </w:r>
    </w:p>
    <w:p w:rsidR="002C1123" w:rsidRDefault="00F22F94">
      <w:pPr>
        <w:pStyle w:val="BodyText"/>
        <w:spacing w:before="145" w:line="249" w:lineRule="auto"/>
        <w:ind w:left="492"/>
      </w:pPr>
      <w:r>
        <w:t>Freight</w:t>
      </w:r>
      <w:r>
        <w:rPr>
          <w:spacing w:val="-12"/>
        </w:rPr>
        <w:t xml:space="preserve"> </w:t>
      </w:r>
      <w:r>
        <w:t>traffic</w:t>
      </w:r>
      <w:r>
        <w:rPr>
          <w:spacing w:val="-12"/>
        </w:rPr>
        <w:t xml:space="preserve"> </w:t>
      </w:r>
      <w:r>
        <w:t>on</w:t>
      </w:r>
      <w:r>
        <w:rPr>
          <w:spacing w:val="-12"/>
        </w:rPr>
        <w:t xml:space="preserve"> </w:t>
      </w:r>
      <w:r>
        <w:t>this</w:t>
      </w:r>
      <w:r>
        <w:rPr>
          <w:spacing w:val="-12"/>
        </w:rPr>
        <w:t xml:space="preserve"> </w:t>
      </w:r>
      <w:r>
        <w:t>route</w:t>
      </w:r>
      <w:r>
        <w:rPr>
          <w:spacing w:val="-12"/>
        </w:rPr>
        <w:t xml:space="preserve"> </w:t>
      </w:r>
      <w:r>
        <w:t>is</w:t>
      </w:r>
      <w:r>
        <w:rPr>
          <w:spacing w:val="-12"/>
        </w:rPr>
        <w:t xml:space="preserve"> </w:t>
      </w:r>
      <w:r>
        <w:t>limited,</w:t>
      </w:r>
      <w:r>
        <w:rPr>
          <w:spacing w:val="-12"/>
        </w:rPr>
        <w:t xml:space="preserve"> </w:t>
      </w:r>
      <w:r>
        <w:t>with</w:t>
      </w:r>
      <w:r>
        <w:rPr>
          <w:spacing w:val="-12"/>
        </w:rPr>
        <w:t xml:space="preserve"> </w:t>
      </w:r>
      <w:r>
        <w:t>most</w:t>
      </w:r>
      <w:r>
        <w:rPr>
          <w:spacing w:val="-12"/>
        </w:rPr>
        <w:t xml:space="preserve"> </w:t>
      </w:r>
      <w:r>
        <w:t xml:space="preserve">Port </w:t>
      </w:r>
      <w:r>
        <w:rPr>
          <w:spacing w:val="-2"/>
        </w:rPr>
        <w:t>Kembla</w:t>
      </w:r>
      <w:r>
        <w:rPr>
          <w:spacing w:val="-5"/>
        </w:rPr>
        <w:t xml:space="preserve"> </w:t>
      </w:r>
      <w:r>
        <w:rPr>
          <w:spacing w:val="-2"/>
        </w:rPr>
        <w:t>related</w:t>
      </w:r>
      <w:r>
        <w:rPr>
          <w:spacing w:val="-5"/>
        </w:rPr>
        <w:t xml:space="preserve"> </w:t>
      </w:r>
      <w:r>
        <w:rPr>
          <w:spacing w:val="-2"/>
        </w:rPr>
        <w:t>freight</w:t>
      </w:r>
      <w:r>
        <w:rPr>
          <w:spacing w:val="-5"/>
        </w:rPr>
        <w:t xml:space="preserve"> </w:t>
      </w:r>
      <w:r>
        <w:rPr>
          <w:spacing w:val="-2"/>
        </w:rPr>
        <w:t>travelling</w:t>
      </w:r>
      <w:r>
        <w:rPr>
          <w:spacing w:val="-5"/>
        </w:rPr>
        <w:t xml:space="preserve"> </w:t>
      </w:r>
      <w:r>
        <w:rPr>
          <w:spacing w:val="-2"/>
        </w:rPr>
        <w:t>along</w:t>
      </w:r>
      <w:r>
        <w:rPr>
          <w:spacing w:val="-5"/>
        </w:rPr>
        <w:t xml:space="preserve"> </w:t>
      </w:r>
      <w:r>
        <w:rPr>
          <w:spacing w:val="-2"/>
        </w:rPr>
        <w:t>Mount</w:t>
      </w:r>
      <w:r>
        <w:rPr>
          <w:spacing w:val="-5"/>
        </w:rPr>
        <w:t xml:space="preserve"> </w:t>
      </w:r>
      <w:r>
        <w:rPr>
          <w:spacing w:val="-2"/>
        </w:rPr>
        <w:t xml:space="preserve">Ousley </w:t>
      </w:r>
      <w:r>
        <w:rPr>
          <w:w w:val="95"/>
        </w:rPr>
        <w:t>Road</w:t>
      </w:r>
      <w:r>
        <w:rPr>
          <w:spacing w:val="-6"/>
          <w:w w:val="95"/>
        </w:rPr>
        <w:t xml:space="preserve"> </w:t>
      </w:r>
      <w:r>
        <w:rPr>
          <w:w w:val="95"/>
        </w:rPr>
        <w:t>and</w:t>
      </w:r>
      <w:r>
        <w:rPr>
          <w:spacing w:val="-6"/>
          <w:w w:val="95"/>
        </w:rPr>
        <w:t xml:space="preserve"> </w:t>
      </w:r>
      <w:r>
        <w:rPr>
          <w:w w:val="95"/>
        </w:rPr>
        <w:t>then</w:t>
      </w:r>
      <w:r>
        <w:rPr>
          <w:spacing w:val="-6"/>
          <w:w w:val="95"/>
        </w:rPr>
        <w:t xml:space="preserve"> </w:t>
      </w:r>
      <w:r>
        <w:rPr>
          <w:w w:val="95"/>
        </w:rPr>
        <w:t>via</w:t>
      </w:r>
      <w:r>
        <w:rPr>
          <w:spacing w:val="-6"/>
          <w:w w:val="95"/>
        </w:rPr>
        <w:t xml:space="preserve"> </w:t>
      </w:r>
      <w:r>
        <w:rPr>
          <w:w w:val="95"/>
        </w:rPr>
        <w:t>Picton</w:t>
      </w:r>
      <w:r>
        <w:rPr>
          <w:spacing w:val="-6"/>
          <w:w w:val="95"/>
        </w:rPr>
        <w:t xml:space="preserve"> </w:t>
      </w:r>
      <w:r>
        <w:rPr>
          <w:w w:val="95"/>
        </w:rPr>
        <w:t>Road</w:t>
      </w:r>
      <w:r>
        <w:rPr>
          <w:spacing w:val="-6"/>
          <w:w w:val="95"/>
        </w:rPr>
        <w:t xml:space="preserve"> </w:t>
      </w:r>
      <w:r>
        <w:rPr>
          <w:w w:val="95"/>
        </w:rPr>
        <w:t>or</w:t>
      </w:r>
      <w:r>
        <w:rPr>
          <w:spacing w:val="-6"/>
          <w:w w:val="95"/>
        </w:rPr>
        <w:t xml:space="preserve"> </w:t>
      </w:r>
      <w:r>
        <w:rPr>
          <w:w w:val="95"/>
        </w:rPr>
        <w:t>Appin</w:t>
      </w:r>
      <w:r>
        <w:rPr>
          <w:spacing w:val="-6"/>
          <w:w w:val="95"/>
        </w:rPr>
        <w:t xml:space="preserve"> </w:t>
      </w:r>
      <w:r>
        <w:rPr>
          <w:w w:val="95"/>
        </w:rPr>
        <w:t>Road</w:t>
      </w:r>
      <w:r>
        <w:rPr>
          <w:spacing w:val="-6"/>
          <w:w w:val="95"/>
        </w:rPr>
        <w:t xml:space="preserve"> </w:t>
      </w:r>
      <w:r>
        <w:rPr>
          <w:w w:val="95"/>
        </w:rPr>
        <w:t>and</w:t>
      </w:r>
      <w:r>
        <w:rPr>
          <w:spacing w:val="-6"/>
          <w:w w:val="95"/>
        </w:rPr>
        <w:t xml:space="preserve"> </w:t>
      </w:r>
      <w:r>
        <w:rPr>
          <w:w w:val="95"/>
        </w:rPr>
        <w:t xml:space="preserve">the </w:t>
      </w:r>
      <w:r>
        <w:t>Hume</w:t>
      </w:r>
      <w:r>
        <w:rPr>
          <w:spacing w:val="-11"/>
        </w:rPr>
        <w:t xml:space="preserve"> </w:t>
      </w:r>
      <w:r>
        <w:t>Highway.</w:t>
      </w:r>
    </w:p>
    <w:p w:rsidR="002C1123" w:rsidRDefault="00F22F94">
      <w:pPr>
        <w:pStyle w:val="BodyText"/>
        <w:spacing w:before="145" w:line="249" w:lineRule="auto"/>
        <w:ind w:left="492"/>
      </w:pPr>
      <w:r>
        <w:rPr>
          <w:w w:val="95"/>
        </w:rPr>
        <w:t>A strategic needs assessment has been conducted into duplicating</w:t>
      </w:r>
      <w:r>
        <w:rPr>
          <w:spacing w:val="-1"/>
          <w:w w:val="95"/>
        </w:rPr>
        <w:t xml:space="preserve"> </w:t>
      </w:r>
      <w:r>
        <w:rPr>
          <w:w w:val="95"/>
        </w:rPr>
        <w:t>the</w:t>
      </w:r>
      <w:r>
        <w:rPr>
          <w:spacing w:val="-1"/>
          <w:w w:val="95"/>
        </w:rPr>
        <w:t xml:space="preserve"> </w:t>
      </w:r>
      <w:r>
        <w:rPr>
          <w:w w:val="95"/>
        </w:rPr>
        <w:t>Princes</w:t>
      </w:r>
      <w:r>
        <w:rPr>
          <w:spacing w:val="-1"/>
          <w:w w:val="95"/>
        </w:rPr>
        <w:t xml:space="preserve"> </w:t>
      </w:r>
      <w:r>
        <w:rPr>
          <w:w w:val="95"/>
        </w:rPr>
        <w:t>Highway</w:t>
      </w:r>
      <w:r>
        <w:rPr>
          <w:spacing w:val="-1"/>
          <w:w w:val="95"/>
        </w:rPr>
        <w:t xml:space="preserve"> </w:t>
      </w:r>
      <w:r>
        <w:rPr>
          <w:w w:val="95"/>
        </w:rPr>
        <w:t>from</w:t>
      </w:r>
      <w:r>
        <w:rPr>
          <w:spacing w:val="-2"/>
          <w:w w:val="95"/>
        </w:rPr>
        <w:t xml:space="preserve"> </w:t>
      </w:r>
      <w:r>
        <w:rPr>
          <w:w w:val="95"/>
        </w:rPr>
        <w:t>Wollongong</w:t>
      </w:r>
      <w:r>
        <w:rPr>
          <w:spacing w:val="-1"/>
          <w:w w:val="95"/>
        </w:rPr>
        <w:t xml:space="preserve"> </w:t>
      </w:r>
      <w:r>
        <w:rPr>
          <w:w w:val="95"/>
        </w:rPr>
        <w:t>south to</w:t>
      </w:r>
      <w:r>
        <w:rPr>
          <w:spacing w:val="-7"/>
          <w:w w:val="95"/>
        </w:rPr>
        <w:t xml:space="preserve"> </w:t>
      </w:r>
      <w:r>
        <w:rPr>
          <w:w w:val="95"/>
        </w:rPr>
        <w:t>the</w:t>
      </w:r>
      <w:r>
        <w:rPr>
          <w:spacing w:val="-7"/>
          <w:w w:val="95"/>
        </w:rPr>
        <w:t xml:space="preserve"> </w:t>
      </w:r>
      <w:r>
        <w:rPr>
          <w:w w:val="95"/>
        </w:rPr>
        <w:t>turn</w:t>
      </w:r>
      <w:r>
        <w:rPr>
          <w:spacing w:val="-7"/>
          <w:w w:val="95"/>
        </w:rPr>
        <w:t xml:space="preserve"> </w:t>
      </w:r>
      <w:r>
        <w:rPr>
          <w:w w:val="95"/>
        </w:rPr>
        <w:t>off</w:t>
      </w:r>
      <w:r>
        <w:rPr>
          <w:spacing w:val="-7"/>
          <w:w w:val="95"/>
        </w:rPr>
        <w:t xml:space="preserve"> </w:t>
      </w:r>
      <w:r>
        <w:rPr>
          <w:w w:val="95"/>
        </w:rPr>
        <w:t>at</w:t>
      </w:r>
      <w:r>
        <w:rPr>
          <w:spacing w:val="-7"/>
          <w:w w:val="95"/>
        </w:rPr>
        <w:t xml:space="preserve"> </w:t>
      </w:r>
      <w:r>
        <w:rPr>
          <w:w w:val="95"/>
        </w:rPr>
        <w:t>Jervis</w:t>
      </w:r>
      <w:r>
        <w:rPr>
          <w:spacing w:val="-7"/>
          <w:w w:val="95"/>
        </w:rPr>
        <w:t xml:space="preserve"> </w:t>
      </w:r>
      <w:r>
        <w:rPr>
          <w:w w:val="95"/>
        </w:rPr>
        <w:t>Bay</w:t>
      </w:r>
      <w:r>
        <w:rPr>
          <w:w w:val="95"/>
          <w:position w:val="7"/>
          <w:sz w:val="11"/>
        </w:rPr>
        <w:t>14</w:t>
      </w:r>
      <w:r>
        <w:rPr>
          <w:w w:val="95"/>
        </w:rPr>
        <w:t>.</w:t>
      </w:r>
      <w:r>
        <w:rPr>
          <w:spacing w:val="-7"/>
          <w:w w:val="95"/>
        </w:rPr>
        <w:t xml:space="preserve"> </w:t>
      </w:r>
      <w:r>
        <w:rPr>
          <w:w w:val="95"/>
        </w:rPr>
        <w:t>The</w:t>
      </w:r>
      <w:r>
        <w:rPr>
          <w:spacing w:val="-7"/>
          <w:w w:val="95"/>
        </w:rPr>
        <w:t xml:space="preserve"> </w:t>
      </w:r>
      <w:r>
        <w:rPr>
          <w:w w:val="95"/>
        </w:rPr>
        <w:t>analysis</w:t>
      </w:r>
      <w:r>
        <w:rPr>
          <w:spacing w:val="-7"/>
          <w:w w:val="95"/>
        </w:rPr>
        <w:t xml:space="preserve"> </w:t>
      </w:r>
      <w:r>
        <w:rPr>
          <w:w w:val="95"/>
        </w:rPr>
        <w:t xml:space="preserve">demonstrates </w:t>
      </w:r>
      <w:r>
        <w:t>that</w:t>
      </w:r>
      <w:r>
        <w:rPr>
          <w:spacing w:val="-14"/>
        </w:rPr>
        <w:t xml:space="preserve"> </w:t>
      </w:r>
      <w:r>
        <w:t>traffic</w:t>
      </w:r>
      <w:r>
        <w:rPr>
          <w:spacing w:val="-14"/>
        </w:rPr>
        <w:t xml:space="preserve"> </w:t>
      </w:r>
      <w:r>
        <w:t>flows</w:t>
      </w:r>
      <w:r>
        <w:rPr>
          <w:spacing w:val="-14"/>
        </w:rPr>
        <w:t xml:space="preserve"> </w:t>
      </w:r>
      <w:r>
        <w:t>south</w:t>
      </w:r>
      <w:r>
        <w:rPr>
          <w:spacing w:val="-14"/>
        </w:rPr>
        <w:t xml:space="preserve"> </w:t>
      </w:r>
      <w:r>
        <w:t>of</w:t>
      </w:r>
      <w:r>
        <w:rPr>
          <w:spacing w:val="-14"/>
        </w:rPr>
        <w:t xml:space="preserve"> </w:t>
      </w:r>
      <w:r>
        <w:t>Wollongong</w:t>
      </w:r>
      <w:r>
        <w:rPr>
          <w:spacing w:val="-14"/>
        </w:rPr>
        <w:t xml:space="preserve"> </w:t>
      </w:r>
      <w:r>
        <w:t>are</w:t>
      </w:r>
      <w:r>
        <w:rPr>
          <w:spacing w:val="-14"/>
        </w:rPr>
        <w:t xml:space="preserve"> </w:t>
      </w:r>
      <w:r>
        <w:t>relatively</w:t>
      </w:r>
      <w:r>
        <w:rPr>
          <w:spacing w:val="-14"/>
        </w:rPr>
        <w:t xml:space="preserve"> </w:t>
      </w:r>
      <w:r>
        <w:t>low outside of holiday periods.</w:t>
      </w:r>
    </w:p>
    <w:p w:rsidR="002C1123" w:rsidRDefault="00F22F94">
      <w:pPr>
        <w:pStyle w:val="BodyText"/>
        <w:spacing w:before="146" w:line="249" w:lineRule="auto"/>
        <w:ind w:left="492"/>
      </w:pPr>
      <w:r>
        <w:t>Construction</w:t>
      </w:r>
      <w:r>
        <w:rPr>
          <w:spacing w:val="-6"/>
        </w:rPr>
        <w:t xml:space="preserve"> </w:t>
      </w:r>
      <w:r>
        <w:t>costs</w:t>
      </w:r>
      <w:r>
        <w:rPr>
          <w:spacing w:val="-6"/>
        </w:rPr>
        <w:t xml:space="preserve"> </w:t>
      </w:r>
      <w:r>
        <w:t>for</w:t>
      </w:r>
      <w:r>
        <w:rPr>
          <w:spacing w:val="-6"/>
        </w:rPr>
        <w:t xml:space="preserve"> </w:t>
      </w:r>
      <w:r>
        <w:t>duplicating</w:t>
      </w:r>
      <w:r>
        <w:rPr>
          <w:spacing w:val="-6"/>
        </w:rPr>
        <w:t xml:space="preserve"> </w:t>
      </w:r>
      <w:r>
        <w:t>this</w:t>
      </w:r>
      <w:r>
        <w:rPr>
          <w:spacing w:val="-6"/>
        </w:rPr>
        <w:t xml:space="preserve"> </w:t>
      </w:r>
      <w:r>
        <w:t>section</w:t>
      </w:r>
      <w:r>
        <w:rPr>
          <w:spacing w:val="-6"/>
        </w:rPr>
        <w:t xml:space="preserve"> </w:t>
      </w:r>
      <w:r>
        <w:t>of</w:t>
      </w:r>
      <w:r>
        <w:rPr>
          <w:spacing w:val="-6"/>
        </w:rPr>
        <w:t xml:space="preserve"> </w:t>
      </w:r>
      <w:r>
        <w:t xml:space="preserve">the </w:t>
      </w:r>
      <w:r>
        <w:rPr>
          <w:w w:val="95"/>
        </w:rPr>
        <w:t>Princes</w:t>
      </w:r>
      <w:r>
        <w:rPr>
          <w:spacing w:val="-10"/>
          <w:w w:val="95"/>
        </w:rPr>
        <w:t xml:space="preserve"> </w:t>
      </w:r>
      <w:r>
        <w:rPr>
          <w:w w:val="95"/>
        </w:rPr>
        <w:t>Highway</w:t>
      </w:r>
      <w:r>
        <w:rPr>
          <w:spacing w:val="-10"/>
          <w:w w:val="95"/>
        </w:rPr>
        <w:t xml:space="preserve"> </w:t>
      </w:r>
      <w:r>
        <w:rPr>
          <w:w w:val="95"/>
        </w:rPr>
        <w:t>are</w:t>
      </w:r>
      <w:r>
        <w:rPr>
          <w:spacing w:val="-10"/>
          <w:w w:val="95"/>
        </w:rPr>
        <w:t xml:space="preserve"> </w:t>
      </w:r>
      <w:r>
        <w:rPr>
          <w:w w:val="95"/>
        </w:rPr>
        <w:t>magnified</w:t>
      </w:r>
      <w:r>
        <w:rPr>
          <w:spacing w:val="-10"/>
          <w:w w:val="95"/>
        </w:rPr>
        <w:t xml:space="preserve"> </w:t>
      </w:r>
      <w:r>
        <w:rPr>
          <w:w w:val="95"/>
        </w:rPr>
        <w:t>by</w:t>
      </w:r>
      <w:r>
        <w:rPr>
          <w:spacing w:val="-10"/>
          <w:w w:val="95"/>
        </w:rPr>
        <w:t xml:space="preserve"> </w:t>
      </w:r>
      <w:r>
        <w:rPr>
          <w:w w:val="95"/>
        </w:rPr>
        <w:t>the</w:t>
      </w:r>
      <w:r>
        <w:rPr>
          <w:spacing w:val="-10"/>
          <w:w w:val="95"/>
        </w:rPr>
        <w:t xml:space="preserve"> </w:t>
      </w:r>
      <w:r>
        <w:rPr>
          <w:w w:val="95"/>
        </w:rPr>
        <w:t>area’s</w:t>
      </w:r>
      <w:r>
        <w:rPr>
          <w:spacing w:val="-10"/>
          <w:w w:val="95"/>
        </w:rPr>
        <w:t xml:space="preserve"> </w:t>
      </w:r>
      <w:r>
        <w:rPr>
          <w:w w:val="95"/>
        </w:rPr>
        <w:t xml:space="preserve">undulating geography and environmental sensitivity. For example, </w:t>
      </w:r>
      <w:r>
        <w:t>the</w:t>
      </w:r>
      <w:r>
        <w:rPr>
          <w:spacing w:val="-9"/>
        </w:rPr>
        <w:t xml:space="preserve"> </w:t>
      </w:r>
      <w:r>
        <w:t>Foxground</w:t>
      </w:r>
      <w:r>
        <w:rPr>
          <w:spacing w:val="-9"/>
        </w:rPr>
        <w:t xml:space="preserve"> </w:t>
      </w:r>
      <w:r>
        <w:t>to</w:t>
      </w:r>
      <w:r>
        <w:rPr>
          <w:spacing w:val="-9"/>
        </w:rPr>
        <w:t xml:space="preserve"> </w:t>
      </w:r>
      <w:r>
        <w:t>Berry</w:t>
      </w:r>
      <w:r>
        <w:rPr>
          <w:spacing w:val="-9"/>
        </w:rPr>
        <w:t xml:space="preserve"> </w:t>
      </w:r>
      <w:r>
        <w:t>Bypass</w:t>
      </w:r>
      <w:r>
        <w:rPr>
          <w:spacing w:val="-9"/>
        </w:rPr>
        <w:t xml:space="preserve"> </w:t>
      </w:r>
      <w:r>
        <w:t>is</w:t>
      </w:r>
      <w:r>
        <w:rPr>
          <w:spacing w:val="-9"/>
        </w:rPr>
        <w:t xml:space="preserve"> </w:t>
      </w:r>
      <w:r>
        <w:t>estimated</w:t>
      </w:r>
      <w:r>
        <w:rPr>
          <w:spacing w:val="-9"/>
        </w:rPr>
        <w:t xml:space="preserve"> </w:t>
      </w:r>
      <w:r>
        <w:t>to</w:t>
      </w:r>
      <w:r>
        <w:rPr>
          <w:spacing w:val="-9"/>
        </w:rPr>
        <w:t xml:space="preserve"> </w:t>
      </w:r>
      <w:r>
        <w:t>cost</w:t>
      </w:r>
    </w:p>
    <w:p w:rsidR="002C1123" w:rsidRDefault="00F22F94">
      <w:pPr>
        <w:pStyle w:val="BodyText"/>
        <w:spacing w:before="3" w:line="249" w:lineRule="auto"/>
        <w:ind w:left="492"/>
      </w:pPr>
      <w:r>
        <w:rPr>
          <w:w w:val="95"/>
        </w:rPr>
        <w:t>$550</w:t>
      </w:r>
      <w:r>
        <w:rPr>
          <w:spacing w:val="-2"/>
          <w:w w:val="95"/>
        </w:rPr>
        <w:t xml:space="preserve"> </w:t>
      </w:r>
      <w:r>
        <w:rPr>
          <w:w w:val="95"/>
        </w:rPr>
        <w:t>million</w:t>
      </w:r>
      <w:r>
        <w:rPr>
          <w:spacing w:val="-2"/>
          <w:w w:val="95"/>
        </w:rPr>
        <w:t xml:space="preserve"> </w:t>
      </w:r>
      <w:r>
        <w:rPr>
          <w:w w:val="95"/>
        </w:rPr>
        <w:t>to</w:t>
      </w:r>
      <w:r>
        <w:rPr>
          <w:spacing w:val="-2"/>
          <w:w w:val="95"/>
        </w:rPr>
        <w:t xml:space="preserve"> </w:t>
      </w:r>
      <w:r>
        <w:rPr>
          <w:w w:val="95"/>
        </w:rPr>
        <w:t>bypass</w:t>
      </w:r>
      <w:r>
        <w:rPr>
          <w:spacing w:val="-2"/>
          <w:w w:val="95"/>
        </w:rPr>
        <w:t xml:space="preserve"> </w:t>
      </w:r>
      <w:r>
        <w:rPr>
          <w:w w:val="95"/>
        </w:rPr>
        <w:t>a</w:t>
      </w:r>
      <w:r>
        <w:rPr>
          <w:spacing w:val="-2"/>
          <w:w w:val="95"/>
        </w:rPr>
        <w:t xml:space="preserve"> </w:t>
      </w:r>
      <w:r>
        <w:rPr>
          <w:w w:val="95"/>
        </w:rPr>
        <w:t>community</w:t>
      </w:r>
      <w:r>
        <w:rPr>
          <w:spacing w:val="-2"/>
          <w:w w:val="95"/>
        </w:rPr>
        <w:t xml:space="preserve"> </w:t>
      </w:r>
      <w:r>
        <w:rPr>
          <w:w w:val="95"/>
        </w:rPr>
        <w:t>of</w:t>
      </w:r>
      <w:r>
        <w:rPr>
          <w:spacing w:val="-2"/>
          <w:w w:val="95"/>
        </w:rPr>
        <w:t xml:space="preserve"> </w:t>
      </w:r>
      <w:r>
        <w:rPr>
          <w:w w:val="95"/>
        </w:rPr>
        <w:t>1,500</w:t>
      </w:r>
      <w:r>
        <w:rPr>
          <w:spacing w:val="-2"/>
          <w:w w:val="95"/>
        </w:rPr>
        <w:t xml:space="preserve"> </w:t>
      </w:r>
      <w:r>
        <w:rPr>
          <w:w w:val="95"/>
        </w:rPr>
        <w:t>people</w:t>
      </w:r>
      <w:r>
        <w:rPr>
          <w:w w:val="95"/>
          <w:position w:val="7"/>
          <w:sz w:val="11"/>
        </w:rPr>
        <w:t>15</w:t>
      </w:r>
      <w:r>
        <w:rPr>
          <w:w w:val="95"/>
        </w:rPr>
        <w:t xml:space="preserve">. </w:t>
      </w:r>
      <w:r>
        <w:t>Total</w:t>
      </w:r>
      <w:r>
        <w:rPr>
          <w:spacing w:val="-7"/>
        </w:rPr>
        <w:t xml:space="preserve"> </w:t>
      </w:r>
      <w:r>
        <w:t>project</w:t>
      </w:r>
      <w:r>
        <w:rPr>
          <w:spacing w:val="-7"/>
        </w:rPr>
        <w:t xml:space="preserve"> </w:t>
      </w:r>
      <w:r>
        <w:t>costs</w:t>
      </w:r>
      <w:r>
        <w:rPr>
          <w:spacing w:val="-7"/>
        </w:rPr>
        <w:t xml:space="preserve"> </w:t>
      </w:r>
      <w:r>
        <w:t>for</w:t>
      </w:r>
      <w:r>
        <w:rPr>
          <w:spacing w:val="-7"/>
        </w:rPr>
        <w:t xml:space="preserve"> </w:t>
      </w:r>
      <w:r>
        <w:t>the</w:t>
      </w:r>
      <w:r>
        <w:rPr>
          <w:spacing w:val="-7"/>
        </w:rPr>
        <w:t xml:space="preserve"> </w:t>
      </w:r>
      <w:r>
        <w:t>proposed</w:t>
      </w:r>
      <w:r>
        <w:rPr>
          <w:spacing w:val="-7"/>
        </w:rPr>
        <w:t xml:space="preserve"> </w:t>
      </w:r>
      <w:r>
        <w:t>upgrade</w:t>
      </w:r>
      <w:r>
        <w:rPr>
          <w:spacing w:val="-7"/>
        </w:rPr>
        <w:t xml:space="preserve"> </w:t>
      </w:r>
      <w:r>
        <w:t>to</w:t>
      </w:r>
      <w:r>
        <w:rPr>
          <w:spacing w:val="-7"/>
        </w:rPr>
        <w:t xml:space="preserve"> </w:t>
      </w:r>
      <w:r>
        <w:t>the Princes</w:t>
      </w:r>
      <w:r>
        <w:rPr>
          <w:spacing w:val="-14"/>
        </w:rPr>
        <w:t xml:space="preserve"> </w:t>
      </w:r>
      <w:r>
        <w:t>Highway</w:t>
      </w:r>
      <w:r>
        <w:rPr>
          <w:spacing w:val="-14"/>
        </w:rPr>
        <w:t xml:space="preserve"> </w:t>
      </w:r>
      <w:r>
        <w:t>exceed</w:t>
      </w:r>
      <w:r>
        <w:rPr>
          <w:spacing w:val="-14"/>
        </w:rPr>
        <w:t xml:space="preserve"> </w:t>
      </w:r>
      <w:r>
        <w:t>$1.1</w:t>
      </w:r>
      <w:r>
        <w:rPr>
          <w:spacing w:val="-14"/>
        </w:rPr>
        <w:t xml:space="preserve"> </w:t>
      </w:r>
      <w:r>
        <w:t>billion.</w:t>
      </w:r>
    </w:p>
    <w:p w:rsidR="002C1123" w:rsidRDefault="00F22F94">
      <w:pPr>
        <w:pStyle w:val="BodyText"/>
        <w:spacing w:before="144" w:line="249" w:lineRule="auto"/>
        <w:ind w:left="492"/>
      </w:pPr>
      <w:r>
        <w:rPr>
          <w:w w:val="95"/>
        </w:rPr>
        <w:t>Infrastructure</w:t>
      </w:r>
      <w:r>
        <w:rPr>
          <w:spacing w:val="-5"/>
          <w:w w:val="95"/>
        </w:rPr>
        <w:t xml:space="preserve"> </w:t>
      </w:r>
      <w:r>
        <w:rPr>
          <w:w w:val="95"/>
        </w:rPr>
        <w:t>NSW</w:t>
      </w:r>
      <w:r>
        <w:rPr>
          <w:spacing w:val="-5"/>
          <w:w w:val="95"/>
        </w:rPr>
        <w:t xml:space="preserve"> </w:t>
      </w:r>
      <w:r>
        <w:rPr>
          <w:w w:val="95"/>
        </w:rPr>
        <w:t>expects</w:t>
      </w:r>
      <w:r>
        <w:rPr>
          <w:spacing w:val="-5"/>
          <w:w w:val="95"/>
        </w:rPr>
        <w:t xml:space="preserve"> </w:t>
      </w:r>
      <w:r>
        <w:rPr>
          <w:w w:val="95"/>
        </w:rPr>
        <w:t>that</w:t>
      </w:r>
      <w:r>
        <w:rPr>
          <w:spacing w:val="-5"/>
          <w:w w:val="95"/>
        </w:rPr>
        <w:t xml:space="preserve"> </w:t>
      </w:r>
      <w:r>
        <w:rPr>
          <w:w w:val="95"/>
        </w:rPr>
        <w:t>this</w:t>
      </w:r>
      <w:r>
        <w:rPr>
          <w:spacing w:val="-5"/>
          <w:w w:val="95"/>
        </w:rPr>
        <w:t xml:space="preserve"> </w:t>
      </w:r>
      <w:r>
        <w:rPr>
          <w:w w:val="95"/>
        </w:rPr>
        <w:t>upgrade</w:t>
      </w:r>
      <w:r>
        <w:rPr>
          <w:spacing w:val="-5"/>
          <w:w w:val="95"/>
        </w:rPr>
        <w:t xml:space="preserve"> </w:t>
      </w:r>
      <w:r>
        <w:rPr>
          <w:w w:val="95"/>
        </w:rPr>
        <w:t>will</w:t>
      </w:r>
      <w:r>
        <w:rPr>
          <w:spacing w:val="-5"/>
          <w:w w:val="95"/>
        </w:rPr>
        <w:t xml:space="preserve"> </w:t>
      </w:r>
      <w:r>
        <w:rPr>
          <w:w w:val="95"/>
        </w:rPr>
        <w:t xml:space="preserve">be </w:t>
      </w:r>
      <w:r>
        <w:rPr>
          <w:w w:val="90"/>
        </w:rPr>
        <w:t xml:space="preserve">completed during the early 2020s, noting other pressures </w:t>
      </w:r>
      <w:r>
        <w:t>on</w:t>
      </w:r>
      <w:r>
        <w:rPr>
          <w:spacing w:val="-15"/>
        </w:rPr>
        <w:t xml:space="preserve"> </w:t>
      </w:r>
      <w:r>
        <w:t>the</w:t>
      </w:r>
      <w:r>
        <w:rPr>
          <w:spacing w:val="-15"/>
        </w:rPr>
        <w:t xml:space="preserve"> </w:t>
      </w:r>
      <w:r>
        <w:t>State’s</w:t>
      </w:r>
      <w:r>
        <w:rPr>
          <w:spacing w:val="-15"/>
        </w:rPr>
        <w:t xml:space="preserve"> </w:t>
      </w:r>
      <w:r>
        <w:t>capital</w:t>
      </w:r>
      <w:r>
        <w:rPr>
          <w:spacing w:val="-15"/>
        </w:rPr>
        <w:t xml:space="preserve"> </w:t>
      </w:r>
      <w:r>
        <w:t>budget.</w:t>
      </w:r>
    </w:p>
    <w:p w:rsidR="002C1123" w:rsidRDefault="002C1123">
      <w:pPr>
        <w:pStyle w:val="BodyText"/>
      </w:pPr>
    </w:p>
    <w:p w:rsidR="002C1123" w:rsidRDefault="002060EF">
      <w:pPr>
        <w:pStyle w:val="BodyText"/>
        <w:spacing w:before="7"/>
        <w:rPr>
          <w:sz w:val="22"/>
        </w:rPr>
      </w:pPr>
      <w:r>
        <w:pict>
          <v:shape id="docshape1869" o:spid="_x0000_s3218" style="position:absolute;margin-left:49.6pt;margin-top:14.25pt;width:1in;height:.1pt;z-index:-251359232;mso-wrap-distance-left:0;mso-wrap-distance-right:0;mso-position-horizontal-relative:page" coordorigin="992,285" coordsize="1440,0" path="m992,285r1440,e" filled="f" strokecolor="#9c9c9d" strokeweight=".5pt">
            <v:path arrowok="t"/>
            <w10:wrap type="topAndBottom" anchorx="page"/>
          </v:shape>
        </w:pict>
      </w:r>
    </w:p>
    <w:p w:rsidR="002C1123" w:rsidRDefault="00F22F94">
      <w:pPr>
        <w:pStyle w:val="ListParagraph"/>
        <w:numPr>
          <w:ilvl w:val="0"/>
          <w:numId w:val="73"/>
        </w:numPr>
        <w:tabs>
          <w:tab w:val="left" w:pos="691"/>
        </w:tabs>
        <w:spacing w:before="23" w:line="161" w:lineRule="exact"/>
        <w:ind w:left="690"/>
        <w:jc w:val="left"/>
        <w:rPr>
          <w:sz w:val="14"/>
        </w:rPr>
      </w:pPr>
      <w:r>
        <w:rPr>
          <w:w w:val="95"/>
          <w:sz w:val="14"/>
        </w:rPr>
        <w:t>Roads</w:t>
      </w:r>
      <w:r>
        <w:rPr>
          <w:sz w:val="14"/>
        </w:rPr>
        <w:t xml:space="preserve"> </w:t>
      </w:r>
      <w:r>
        <w:rPr>
          <w:w w:val="95"/>
          <w:sz w:val="14"/>
        </w:rPr>
        <w:t>&amp;</w:t>
      </w:r>
      <w:r>
        <w:rPr>
          <w:sz w:val="14"/>
        </w:rPr>
        <w:t xml:space="preserve"> </w:t>
      </w:r>
      <w:r>
        <w:rPr>
          <w:w w:val="95"/>
          <w:sz w:val="14"/>
        </w:rPr>
        <w:t>Maritime</w:t>
      </w:r>
      <w:r>
        <w:rPr>
          <w:sz w:val="14"/>
        </w:rPr>
        <w:t xml:space="preserve"> </w:t>
      </w:r>
      <w:r>
        <w:rPr>
          <w:w w:val="95"/>
          <w:sz w:val="14"/>
        </w:rPr>
        <w:t>Services</w:t>
      </w:r>
      <w:r>
        <w:rPr>
          <w:spacing w:val="1"/>
          <w:sz w:val="14"/>
        </w:rPr>
        <w:t xml:space="preserve"> </w:t>
      </w:r>
      <w:r>
        <w:rPr>
          <w:w w:val="95"/>
          <w:sz w:val="14"/>
        </w:rPr>
        <w:t>2011,</w:t>
      </w:r>
      <w:r>
        <w:rPr>
          <w:sz w:val="14"/>
        </w:rPr>
        <w:t xml:space="preserve"> </w:t>
      </w:r>
      <w:r>
        <w:rPr>
          <w:w w:val="95"/>
          <w:sz w:val="14"/>
        </w:rPr>
        <w:t>Southern</w:t>
      </w:r>
      <w:r>
        <w:rPr>
          <w:sz w:val="14"/>
        </w:rPr>
        <w:t xml:space="preserve"> </w:t>
      </w:r>
      <w:r>
        <w:rPr>
          <w:w w:val="95"/>
          <w:sz w:val="14"/>
        </w:rPr>
        <w:t>Coastal</w:t>
      </w:r>
      <w:r>
        <w:rPr>
          <w:sz w:val="14"/>
        </w:rPr>
        <w:t xml:space="preserve"> </w:t>
      </w:r>
      <w:r>
        <w:rPr>
          <w:w w:val="95"/>
          <w:sz w:val="14"/>
        </w:rPr>
        <w:t>Corridor</w:t>
      </w:r>
      <w:r>
        <w:rPr>
          <w:spacing w:val="1"/>
          <w:sz w:val="14"/>
        </w:rPr>
        <w:t xml:space="preserve"> </w:t>
      </w:r>
      <w:r>
        <w:rPr>
          <w:spacing w:val="-2"/>
          <w:w w:val="95"/>
          <w:sz w:val="14"/>
        </w:rPr>
        <w:t>Strategy.</w:t>
      </w:r>
    </w:p>
    <w:p w:rsidR="002C1123" w:rsidRDefault="00F22F94">
      <w:pPr>
        <w:pStyle w:val="ListParagraph"/>
        <w:numPr>
          <w:ilvl w:val="0"/>
          <w:numId w:val="73"/>
        </w:numPr>
        <w:tabs>
          <w:tab w:val="left" w:pos="691"/>
        </w:tabs>
        <w:ind w:left="690" w:right="519"/>
        <w:jc w:val="left"/>
        <w:rPr>
          <w:sz w:val="14"/>
        </w:rPr>
      </w:pPr>
      <w:r>
        <w:rPr>
          <w:w w:val="95"/>
          <w:sz w:val="14"/>
        </w:rPr>
        <w:t>Roads &amp; Maritime Services, Princes Highway Upgrade – Proposed</w:t>
      </w:r>
      <w:r>
        <w:rPr>
          <w:spacing w:val="40"/>
          <w:sz w:val="14"/>
        </w:rPr>
        <w:t xml:space="preserve"> </w:t>
      </w:r>
      <w:r>
        <w:rPr>
          <w:sz w:val="14"/>
        </w:rPr>
        <w:t>Foxground and Berry Bypass.</w:t>
      </w:r>
    </w:p>
    <w:p w:rsidR="002C1123" w:rsidRDefault="00F22F94">
      <w:pPr>
        <w:spacing w:before="2" w:after="24"/>
        <w:rPr>
          <w:sz w:val="11"/>
        </w:rPr>
      </w:pPr>
      <w:r>
        <w:br w:type="column"/>
      </w:r>
    </w:p>
    <w:p w:rsidR="002C1123" w:rsidRDefault="002060EF">
      <w:pPr>
        <w:pStyle w:val="BodyText"/>
        <w:ind w:left="253" w:right="-44"/>
      </w:pPr>
      <w:r>
        <w:pict>
          <v:shape id="docshape1870" o:spid="_x0000_s5266" type="#_x0000_t202" style="width:239pt;height:46.8pt;mso-left-percent:-10001;mso-top-percent:-10001;mso-position-horizontal:absolute;mso-position-horizontal-relative:char;mso-position-vertical:absolute;mso-position-vertical-relative:line;mso-left-percent:-10001;mso-top-percent:-10001" fillcolor="#e1e0e1" stroked="f">
            <v:textbox inset="0,0,0,0">
              <w:txbxContent>
                <w:p w:rsidR="00F22F94" w:rsidRDefault="00F22F94">
                  <w:pPr>
                    <w:pStyle w:val="BodyText"/>
                    <w:spacing w:before="68" w:line="249" w:lineRule="auto"/>
                    <w:ind w:left="113" w:right="115"/>
                    <w:rPr>
                      <w:color w:val="000000"/>
                    </w:rPr>
                  </w:pPr>
                  <w:r>
                    <w:rPr>
                      <w:b/>
                      <w:color w:val="00AEEF"/>
                    </w:rPr>
                    <w:t>Recommendation</w:t>
                  </w:r>
                  <w:r>
                    <w:rPr>
                      <w:b/>
                      <w:color w:val="00AEEF"/>
                      <w:spacing w:val="40"/>
                    </w:rPr>
                    <w:t xml:space="preserve"> </w:t>
                  </w:r>
                  <w:r>
                    <w:rPr>
                      <w:color w:val="000000"/>
                    </w:rPr>
                    <w:t xml:space="preserve">Infrastructure NSW </w:t>
                  </w:r>
                  <w:r>
                    <w:rPr>
                      <w:color w:val="000000"/>
                      <w:w w:val="95"/>
                    </w:rPr>
                    <w:t>recommends</w:t>
                  </w:r>
                  <w:r>
                    <w:rPr>
                      <w:color w:val="000000"/>
                      <w:spacing w:val="-2"/>
                      <w:w w:val="95"/>
                    </w:rPr>
                    <w:t xml:space="preserve"> </w:t>
                  </w:r>
                  <w:r>
                    <w:rPr>
                      <w:color w:val="000000"/>
                      <w:w w:val="95"/>
                    </w:rPr>
                    <w:t>a</w:t>
                  </w:r>
                  <w:r>
                    <w:rPr>
                      <w:color w:val="000000"/>
                      <w:spacing w:val="-2"/>
                      <w:w w:val="95"/>
                    </w:rPr>
                    <w:t xml:space="preserve"> </w:t>
                  </w:r>
                  <w:r>
                    <w:rPr>
                      <w:color w:val="000000"/>
                      <w:w w:val="95"/>
                    </w:rPr>
                    <w:t>review</w:t>
                  </w:r>
                  <w:r>
                    <w:rPr>
                      <w:color w:val="000000"/>
                      <w:spacing w:val="-2"/>
                      <w:w w:val="95"/>
                    </w:rPr>
                    <w:t xml:space="preserve"> </w:t>
                  </w:r>
                  <w:r>
                    <w:rPr>
                      <w:color w:val="000000"/>
                      <w:w w:val="95"/>
                    </w:rPr>
                    <w:t>of</w:t>
                  </w:r>
                  <w:r>
                    <w:rPr>
                      <w:color w:val="000000"/>
                      <w:spacing w:val="-2"/>
                      <w:w w:val="95"/>
                    </w:rPr>
                    <w:t xml:space="preserve"> </w:t>
                  </w:r>
                  <w:r>
                    <w:rPr>
                      <w:color w:val="000000"/>
                      <w:w w:val="95"/>
                    </w:rPr>
                    <w:t>costs</w:t>
                  </w:r>
                  <w:r>
                    <w:rPr>
                      <w:color w:val="000000"/>
                      <w:spacing w:val="-2"/>
                      <w:w w:val="95"/>
                    </w:rPr>
                    <w:t xml:space="preserve"> </w:t>
                  </w:r>
                  <w:r>
                    <w:rPr>
                      <w:color w:val="000000"/>
                      <w:w w:val="95"/>
                    </w:rPr>
                    <w:t>and</w:t>
                  </w:r>
                  <w:r>
                    <w:rPr>
                      <w:color w:val="000000"/>
                      <w:spacing w:val="-2"/>
                      <w:w w:val="95"/>
                    </w:rPr>
                    <w:t xml:space="preserve"> </w:t>
                  </w:r>
                  <w:r>
                    <w:rPr>
                      <w:color w:val="000000"/>
                      <w:w w:val="95"/>
                    </w:rPr>
                    <w:t>scope</w:t>
                  </w:r>
                  <w:r>
                    <w:rPr>
                      <w:color w:val="000000"/>
                      <w:spacing w:val="-2"/>
                      <w:w w:val="95"/>
                    </w:rPr>
                    <w:t xml:space="preserve"> </w:t>
                  </w:r>
                  <w:r>
                    <w:rPr>
                      <w:color w:val="000000"/>
                      <w:w w:val="95"/>
                    </w:rPr>
                    <w:t>of</w:t>
                  </w:r>
                  <w:r>
                    <w:rPr>
                      <w:color w:val="000000"/>
                      <w:spacing w:val="-2"/>
                      <w:w w:val="95"/>
                    </w:rPr>
                    <w:t xml:space="preserve"> </w:t>
                  </w:r>
                  <w:r>
                    <w:rPr>
                      <w:color w:val="000000"/>
                      <w:w w:val="95"/>
                    </w:rPr>
                    <w:t xml:space="preserve">the </w:t>
                  </w:r>
                  <w:r>
                    <w:rPr>
                      <w:color w:val="000000"/>
                    </w:rPr>
                    <w:t>Princes Highway program.</w:t>
                  </w:r>
                </w:p>
              </w:txbxContent>
            </v:textbox>
            <w10:anchorlock/>
          </v:shape>
        </w:pict>
      </w:r>
    </w:p>
    <w:p w:rsidR="002C1123" w:rsidRDefault="002C1123">
      <w:pPr>
        <w:pStyle w:val="BodyText"/>
        <w:spacing w:before="1"/>
      </w:pPr>
    </w:p>
    <w:p w:rsidR="002C1123" w:rsidRDefault="00F22F94">
      <w:pPr>
        <w:pStyle w:val="Heading6"/>
        <w:spacing w:before="0"/>
        <w:ind w:left="253"/>
      </w:pPr>
      <w:r>
        <w:rPr>
          <w:color w:val="00AEEF"/>
          <w:spacing w:val="-2"/>
        </w:rPr>
        <w:t>10.4.4</w:t>
      </w:r>
      <w:r>
        <w:rPr>
          <w:color w:val="00AEEF"/>
          <w:spacing w:val="-8"/>
        </w:rPr>
        <w:t xml:space="preserve"> </w:t>
      </w:r>
      <w:r>
        <w:rPr>
          <w:color w:val="00AEEF"/>
          <w:spacing w:val="-2"/>
        </w:rPr>
        <w:t>Maintaining</w:t>
      </w:r>
      <w:r>
        <w:rPr>
          <w:color w:val="00AEEF"/>
          <w:spacing w:val="-7"/>
        </w:rPr>
        <w:t xml:space="preserve"> </w:t>
      </w:r>
      <w:r>
        <w:rPr>
          <w:color w:val="00AEEF"/>
          <w:spacing w:val="-2"/>
        </w:rPr>
        <w:t>the</w:t>
      </w:r>
      <w:r>
        <w:rPr>
          <w:color w:val="00AEEF"/>
          <w:spacing w:val="-7"/>
        </w:rPr>
        <w:t xml:space="preserve"> </w:t>
      </w:r>
      <w:r>
        <w:rPr>
          <w:color w:val="00AEEF"/>
          <w:spacing w:val="-2"/>
        </w:rPr>
        <w:t>road</w:t>
      </w:r>
      <w:r>
        <w:rPr>
          <w:color w:val="00AEEF"/>
          <w:spacing w:val="-7"/>
        </w:rPr>
        <w:t xml:space="preserve"> </w:t>
      </w:r>
      <w:r>
        <w:rPr>
          <w:color w:val="00AEEF"/>
          <w:spacing w:val="-2"/>
        </w:rPr>
        <w:t>network</w:t>
      </w:r>
      <w:r>
        <w:rPr>
          <w:color w:val="00AEEF"/>
          <w:spacing w:val="-8"/>
        </w:rPr>
        <w:t xml:space="preserve"> </w:t>
      </w:r>
      <w:r>
        <w:rPr>
          <w:color w:val="00AEEF"/>
          <w:spacing w:val="-2"/>
        </w:rPr>
        <w:t>effectively</w:t>
      </w:r>
    </w:p>
    <w:p w:rsidR="002C1123" w:rsidRDefault="00F22F94">
      <w:pPr>
        <w:pStyle w:val="BodyText"/>
        <w:spacing w:before="95" w:line="249" w:lineRule="auto"/>
        <w:ind w:left="253"/>
      </w:pPr>
      <w:r>
        <w:rPr>
          <w:w w:val="95"/>
        </w:rPr>
        <w:t>The</w:t>
      </w:r>
      <w:r>
        <w:rPr>
          <w:spacing w:val="-2"/>
          <w:w w:val="95"/>
        </w:rPr>
        <w:t xml:space="preserve"> </w:t>
      </w:r>
      <w:r>
        <w:rPr>
          <w:w w:val="95"/>
        </w:rPr>
        <w:t>condition</w:t>
      </w:r>
      <w:r>
        <w:rPr>
          <w:spacing w:val="-2"/>
          <w:w w:val="95"/>
        </w:rPr>
        <w:t xml:space="preserve"> </w:t>
      </w:r>
      <w:r>
        <w:rPr>
          <w:w w:val="95"/>
        </w:rPr>
        <w:t>of</w:t>
      </w:r>
      <w:r>
        <w:rPr>
          <w:spacing w:val="-2"/>
          <w:w w:val="95"/>
        </w:rPr>
        <w:t xml:space="preserve"> </w:t>
      </w:r>
      <w:r>
        <w:rPr>
          <w:w w:val="95"/>
        </w:rPr>
        <w:t>the</w:t>
      </w:r>
      <w:r>
        <w:rPr>
          <w:spacing w:val="-2"/>
          <w:w w:val="95"/>
        </w:rPr>
        <w:t xml:space="preserve"> </w:t>
      </w:r>
      <w:r>
        <w:rPr>
          <w:w w:val="95"/>
        </w:rPr>
        <w:t>regional</w:t>
      </w:r>
      <w:r>
        <w:rPr>
          <w:spacing w:val="-2"/>
          <w:w w:val="95"/>
        </w:rPr>
        <w:t xml:space="preserve"> </w:t>
      </w:r>
      <w:r>
        <w:rPr>
          <w:w w:val="95"/>
        </w:rPr>
        <w:t>and</w:t>
      </w:r>
      <w:r>
        <w:rPr>
          <w:spacing w:val="-2"/>
          <w:w w:val="95"/>
        </w:rPr>
        <w:t xml:space="preserve"> </w:t>
      </w:r>
      <w:r>
        <w:rPr>
          <w:w w:val="95"/>
        </w:rPr>
        <w:t>interstate</w:t>
      </w:r>
      <w:r>
        <w:rPr>
          <w:spacing w:val="-2"/>
          <w:w w:val="95"/>
        </w:rPr>
        <w:t xml:space="preserve"> </w:t>
      </w:r>
      <w:r>
        <w:rPr>
          <w:w w:val="95"/>
        </w:rPr>
        <w:t>road</w:t>
      </w:r>
      <w:r>
        <w:rPr>
          <w:spacing w:val="-2"/>
          <w:w w:val="95"/>
        </w:rPr>
        <w:t xml:space="preserve"> </w:t>
      </w:r>
      <w:r>
        <w:rPr>
          <w:w w:val="95"/>
        </w:rPr>
        <w:t xml:space="preserve">network is fundamental to supporting freight and other economic </w:t>
      </w:r>
      <w:r>
        <w:rPr>
          <w:spacing w:val="-2"/>
          <w:w w:val="95"/>
        </w:rPr>
        <w:t>activity,</w:t>
      </w:r>
      <w:r>
        <w:rPr>
          <w:spacing w:val="-6"/>
          <w:w w:val="95"/>
        </w:rPr>
        <w:t xml:space="preserve"> </w:t>
      </w:r>
      <w:r>
        <w:rPr>
          <w:spacing w:val="-2"/>
          <w:w w:val="95"/>
        </w:rPr>
        <w:t>and</w:t>
      </w:r>
      <w:r>
        <w:rPr>
          <w:spacing w:val="-6"/>
          <w:w w:val="95"/>
        </w:rPr>
        <w:t xml:space="preserve"> </w:t>
      </w:r>
      <w:r>
        <w:rPr>
          <w:spacing w:val="-2"/>
          <w:w w:val="95"/>
        </w:rPr>
        <w:t>also</w:t>
      </w:r>
      <w:r>
        <w:rPr>
          <w:spacing w:val="-6"/>
          <w:w w:val="95"/>
        </w:rPr>
        <w:t xml:space="preserve"> </w:t>
      </w:r>
      <w:r>
        <w:rPr>
          <w:spacing w:val="-2"/>
          <w:w w:val="95"/>
        </w:rPr>
        <w:t>for</w:t>
      </w:r>
      <w:r>
        <w:rPr>
          <w:spacing w:val="-6"/>
          <w:w w:val="95"/>
        </w:rPr>
        <w:t xml:space="preserve"> </w:t>
      </w:r>
      <w:r>
        <w:rPr>
          <w:spacing w:val="-2"/>
          <w:w w:val="95"/>
        </w:rPr>
        <w:t>road</w:t>
      </w:r>
      <w:r>
        <w:rPr>
          <w:spacing w:val="-6"/>
          <w:w w:val="95"/>
        </w:rPr>
        <w:t xml:space="preserve"> </w:t>
      </w:r>
      <w:r>
        <w:rPr>
          <w:spacing w:val="-2"/>
          <w:w w:val="95"/>
        </w:rPr>
        <w:t>safety.</w:t>
      </w:r>
      <w:r>
        <w:rPr>
          <w:spacing w:val="-6"/>
          <w:w w:val="95"/>
        </w:rPr>
        <w:t xml:space="preserve"> </w:t>
      </w:r>
      <w:r>
        <w:rPr>
          <w:spacing w:val="-2"/>
          <w:w w:val="95"/>
        </w:rPr>
        <w:t>The</w:t>
      </w:r>
      <w:r>
        <w:rPr>
          <w:spacing w:val="-6"/>
          <w:w w:val="95"/>
        </w:rPr>
        <w:t xml:space="preserve"> </w:t>
      </w:r>
      <w:r>
        <w:rPr>
          <w:spacing w:val="-2"/>
          <w:w w:val="95"/>
        </w:rPr>
        <w:t>extent</w:t>
      </w:r>
      <w:r>
        <w:rPr>
          <w:spacing w:val="-6"/>
          <w:w w:val="95"/>
        </w:rPr>
        <w:t xml:space="preserve"> </w:t>
      </w:r>
      <w:r>
        <w:rPr>
          <w:spacing w:val="-2"/>
          <w:w w:val="95"/>
        </w:rPr>
        <w:t>of</w:t>
      </w:r>
      <w:r>
        <w:rPr>
          <w:spacing w:val="-6"/>
          <w:w w:val="95"/>
        </w:rPr>
        <w:t xml:space="preserve"> </w:t>
      </w:r>
      <w:r>
        <w:rPr>
          <w:spacing w:val="-2"/>
          <w:w w:val="95"/>
        </w:rPr>
        <w:t>the</w:t>
      </w:r>
      <w:r>
        <w:rPr>
          <w:spacing w:val="-6"/>
          <w:w w:val="95"/>
        </w:rPr>
        <w:t xml:space="preserve"> </w:t>
      </w:r>
      <w:r>
        <w:rPr>
          <w:spacing w:val="-2"/>
          <w:w w:val="95"/>
        </w:rPr>
        <w:t xml:space="preserve">existing </w:t>
      </w:r>
      <w:r>
        <w:rPr>
          <w:spacing w:val="-2"/>
        </w:rPr>
        <w:t>network</w:t>
      </w:r>
      <w:r>
        <w:rPr>
          <w:spacing w:val="-5"/>
        </w:rPr>
        <w:t xml:space="preserve"> </w:t>
      </w:r>
      <w:r>
        <w:rPr>
          <w:spacing w:val="-2"/>
        </w:rPr>
        <w:t>means</w:t>
      </w:r>
      <w:r>
        <w:rPr>
          <w:spacing w:val="-5"/>
        </w:rPr>
        <w:t xml:space="preserve"> </w:t>
      </w:r>
      <w:r>
        <w:rPr>
          <w:spacing w:val="-2"/>
        </w:rPr>
        <w:t>that</w:t>
      </w:r>
      <w:r>
        <w:rPr>
          <w:spacing w:val="-5"/>
        </w:rPr>
        <w:t xml:space="preserve"> </w:t>
      </w:r>
      <w:r>
        <w:rPr>
          <w:spacing w:val="-2"/>
        </w:rPr>
        <w:t>maintenance</w:t>
      </w:r>
      <w:r>
        <w:rPr>
          <w:spacing w:val="-5"/>
        </w:rPr>
        <w:t xml:space="preserve"> </w:t>
      </w:r>
      <w:r>
        <w:rPr>
          <w:spacing w:val="-2"/>
        </w:rPr>
        <w:t>and</w:t>
      </w:r>
      <w:r>
        <w:rPr>
          <w:spacing w:val="-5"/>
        </w:rPr>
        <w:t xml:space="preserve"> </w:t>
      </w:r>
      <w:r>
        <w:rPr>
          <w:spacing w:val="-2"/>
        </w:rPr>
        <w:t>renewal</w:t>
      </w:r>
      <w:r>
        <w:rPr>
          <w:spacing w:val="-5"/>
        </w:rPr>
        <w:t xml:space="preserve"> </w:t>
      </w:r>
      <w:r>
        <w:rPr>
          <w:spacing w:val="-2"/>
        </w:rPr>
        <w:t xml:space="preserve">activity </w:t>
      </w:r>
      <w:r>
        <w:t>will</w:t>
      </w:r>
      <w:r>
        <w:rPr>
          <w:spacing w:val="-14"/>
        </w:rPr>
        <w:t xml:space="preserve"> </w:t>
      </w:r>
      <w:r>
        <w:t>be</w:t>
      </w:r>
      <w:r>
        <w:rPr>
          <w:spacing w:val="-14"/>
        </w:rPr>
        <w:t xml:space="preserve"> </w:t>
      </w:r>
      <w:r>
        <w:t>an</w:t>
      </w:r>
      <w:r>
        <w:rPr>
          <w:spacing w:val="-14"/>
        </w:rPr>
        <w:t xml:space="preserve"> </w:t>
      </w:r>
      <w:r>
        <w:t>important</w:t>
      </w:r>
      <w:r>
        <w:rPr>
          <w:spacing w:val="-14"/>
        </w:rPr>
        <w:t xml:space="preserve"> </w:t>
      </w:r>
      <w:r>
        <w:t>priority</w:t>
      </w:r>
      <w:r>
        <w:rPr>
          <w:spacing w:val="-14"/>
        </w:rPr>
        <w:t xml:space="preserve"> </w:t>
      </w:r>
      <w:r>
        <w:t>over</w:t>
      </w:r>
      <w:r>
        <w:rPr>
          <w:spacing w:val="-14"/>
        </w:rPr>
        <w:t xml:space="preserve"> </w:t>
      </w:r>
      <w:r>
        <w:t>the</w:t>
      </w:r>
      <w:r>
        <w:rPr>
          <w:spacing w:val="-14"/>
        </w:rPr>
        <w:t xml:space="preserve"> </w:t>
      </w:r>
      <w:r>
        <w:t>next</w:t>
      </w:r>
      <w:r>
        <w:rPr>
          <w:spacing w:val="-14"/>
        </w:rPr>
        <w:t xml:space="preserve"> </w:t>
      </w:r>
      <w:r>
        <w:t>20</w:t>
      </w:r>
      <w:r>
        <w:rPr>
          <w:spacing w:val="-14"/>
        </w:rPr>
        <w:t xml:space="preserve"> </w:t>
      </w:r>
      <w:r>
        <w:t>years.</w:t>
      </w:r>
    </w:p>
    <w:p w:rsidR="002C1123" w:rsidRDefault="00F22F94">
      <w:pPr>
        <w:pStyle w:val="Heading6"/>
        <w:spacing w:before="146"/>
        <w:ind w:left="253"/>
      </w:pPr>
      <w:r>
        <w:t>State</w:t>
      </w:r>
      <w:r>
        <w:rPr>
          <w:spacing w:val="-6"/>
        </w:rPr>
        <w:t xml:space="preserve"> </w:t>
      </w:r>
      <w:r>
        <w:t>and</w:t>
      </w:r>
      <w:r>
        <w:rPr>
          <w:spacing w:val="-6"/>
        </w:rPr>
        <w:t xml:space="preserve"> </w:t>
      </w:r>
      <w:r>
        <w:t>Regional</w:t>
      </w:r>
      <w:r>
        <w:rPr>
          <w:spacing w:val="-6"/>
        </w:rPr>
        <w:t xml:space="preserve"> </w:t>
      </w:r>
      <w:r>
        <w:rPr>
          <w:spacing w:val="-4"/>
        </w:rPr>
        <w:t>Roads</w:t>
      </w:r>
    </w:p>
    <w:p w:rsidR="002C1123" w:rsidRDefault="00F22F94">
      <w:pPr>
        <w:pStyle w:val="BodyText"/>
        <w:spacing w:before="10" w:line="249" w:lineRule="auto"/>
        <w:ind w:left="253"/>
      </w:pPr>
      <w:r>
        <w:rPr>
          <w:w w:val="95"/>
        </w:rPr>
        <w:t>Table</w:t>
      </w:r>
      <w:r>
        <w:rPr>
          <w:spacing w:val="-9"/>
          <w:w w:val="95"/>
        </w:rPr>
        <w:t xml:space="preserve"> </w:t>
      </w:r>
      <w:r>
        <w:rPr>
          <w:w w:val="95"/>
        </w:rPr>
        <w:t>10.1</w:t>
      </w:r>
      <w:r>
        <w:rPr>
          <w:spacing w:val="-9"/>
          <w:w w:val="95"/>
        </w:rPr>
        <w:t xml:space="preserve"> </w:t>
      </w:r>
      <w:r>
        <w:rPr>
          <w:w w:val="95"/>
        </w:rPr>
        <w:t>shows</w:t>
      </w:r>
      <w:r>
        <w:rPr>
          <w:spacing w:val="-9"/>
          <w:w w:val="95"/>
        </w:rPr>
        <w:t xml:space="preserve"> </w:t>
      </w:r>
      <w:r>
        <w:rPr>
          <w:w w:val="95"/>
        </w:rPr>
        <w:t>NSW</w:t>
      </w:r>
      <w:r>
        <w:rPr>
          <w:spacing w:val="-9"/>
          <w:w w:val="95"/>
        </w:rPr>
        <w:t xml:space="preserve"> </w:t>
      </w:r>
      <w:r>
        <w:rPr>
          <w:w w:val="95"/>
        </w:rPr>
        <w:t>Government</w:t>
      </w:r>
      <w:r>
        <w:rPr>
          <w:spacing w:val="-9"/>
          <w:w w:val="95"/>
        </w:rPr>
        <w:t xml:space="preserve"> </w:t>
      </w:r>
      <w:r>
        <w:rPr>
          <w:w w:val="95"/>
        </w:rPr>
        <w:t>is</w:t>
      </w:r>
      <w:r>
        <w:rPr>
          <w:spacing w:val="-9"/>
          <w:w w:val="95"/>
        </w:rPr>
        <w:t xml:space="preserve"> </w:t>
      </w:r>
      <w:r>
        <w:rPr>
          <w:w w:val="95"/>
        </w:rPr>
        <w:t>spending</w:t>
      </w:r>
      <w:r>
        <w:rPr>
          <w:spacing w:val="-9"/>
          <w:w w:val="95"/>
        </w:rPr>
        <w:t xml:space="preserve"> </w:t>
      </w:r>
      <w:r>
        <w:rPr>
          <w:w w:val="95"/>
        </w:rPr>
        <w:t>more</w:t>
      </w:r>
      <w:r>
        <w:rPr>
          <w:spacing w:val="-9"/>
          <w:w w:val="95"/>
        </w:rPr>
        <w:t xml:space="preserve"> </w:t>
      </w:r>
      <w:r>
        <w:rPr>
          <w:w w:val="95"/>
        </w:rPr>
        <w:t>to maintain</w:t>
      </w:r>
      <w:r>
        <w:rPr>
          <w:spacing w:val="-6"/>
          <w:w w:val="95"/>
        </w:rPr>
        <w:t xml:space="preserve"> </w:t>
      </w:r>
      <w:r>
        <w:rPr>
          <w:w w:val="95"/>
        </w:rPr>
        <w:t>state</w:t>
      </w:r>
      <w:r>
        <w:rPr>
          <w:spacing w:val="-6"/>
          <w:w w:val="95"/>
        </w:rPr>
        <w:t xml:space="preserve"> </w:t>
      </w:r>
      <w:r>
        <w:rPr>
          <w:w w:val="95"/>
        </w:rPr>
        <w:t>and</w:t>
      </w:r>
      <w:r>
        <w:rPr>
          <w:spacing w:val="-6"/>
          <w:w w:val="95"/>
        </w:rPr>
        <w:t xml:space="preserve"> </w:t>
      </w:r>
      <w:r>
        <w:rPr>
          <w:w w:val="95"/>
        </w:rPr>
        <w:t>regional</w:t>
      </w:r>
      <w:r>
        <w:rPr>
          <w:spacing w:val="-6"/>
          <w:w w:val="95"/>
        </w:rPr>
        <w:t xml:space="preserve"> </w:t>
      </w:r>
      <w:r>
        <w:rPr>
          <w:w w:val="95"/>
        </w:rPr>
        <w:t>roads</w:t>
      </w:r>
      <w:r>
        <w:rPr>
          <w:spacing w:val="-6"/>
          <w:w w:val="95"/>
        </w:rPr>
        <w:t xml:space="preserve"> </w:t>
      </w:r>
      <w:r>
        <w:rPr>
          <w:w w:val="95"/>
        </w:rPr>
        <w:t>than</w:t>
      </w:r>
      <w:r>
        <w:rPr>
          <w:spacing w:val="-6"/>
          <w:w w:val="95"/>
        </w:rPr>
        <w:t xml:space="preserve"> </w:t>
      </w:r>
      <w:r>
        <w:rPr>
          <w:w w:val="95"/>
        </w:rPr>
        <w:t>other</w:t>
      </w:r>
      <w:r>
        <w:rPr>
          <w:spacing w:val="-6"/>
          <w:w w:val="95"/>
        </w:rPr>
        <w:t xml:space="preserve"> </w:t>
      </w:r>
      <w:r>
        <w:rPr>
          <w:w w:val="95"/>
        </w:rPr>
        <w:t xml:space="preserve">jurisdictions </w:t>
      </w:r>
      <w:r>
        <w:t>for</w:t>
      </w:r>
      <w:r>
        <w:rPr>
          <w:spacing w:val="-11"/>
        </w:rPr>
        <w:t xml:space="preserve"> </w:t>
      </w:r>
      <w:r>
        <w:t>the</w:t>
      </w:r>
      <w:r>
        <w:rPr>
          <w:spacing w:val="-11"/>
        </w:rPr>
        <w:t xml:space="preserve"> </w:t>
      </w:r>
      <w:r>
        <w:t>same</w:t>
      </w:r>
      <w:r>
        <w:rPr>
          <w:spacing w:val="-11"/>
        </w:rPr>
        <w:t xml:space="preserve"> </w:t>
      </w:r>
      <w:r>
        <w:t>or</w:t>
      </w:r>
      <w:r>
        <w:rPr>
          <w:spacing w:val="-11"/>
        </w:rPr>
        <w:t xml:space="preserve"> </w:t>
      </w:r>
      <w:r>
        <w:t>lesser</w:t>
      </w:r>
      <w:r>
        <w:rPr>
          <w:spacing w:val="-11"/>
        </w:rPr>
        <w:t xml:space="preserve"> </w:t>
      </w:r>
      <w:r>
        <w:t>road</w:t>
      </w:r>
      <w:r>
        <w:rPr>
          <w:spacing w:val="-11"/>
        </w:rPr>
        <w:t xml:space="preserve"> </w:t>
      </w:r>
      <w:r>
        <w:t>quality</w:t>
      </w:r>
      <w:r>
        <w:rPr>
          <w:spacing w:val="-11"/>
        </w:rPr>
        <w:t xml:space="preserve"> </w:t>
      </w:r>
      <w:r>
        <w:t>outcomes.</w:t>
      </w:r>
      <w:r>
        <w:rPr>
          <w:spacing w:val="-11"/>
        </w:rPr>
        <w:t xml:space="preserve"> </w:t>
      </w:r>
      <w:r>
        <w:t>A</w:t>
      </w:r>
      <w:r>
        <w:rPr>
          <w:spacing w:val="-11"/>
        </w:rPr>
        <w:t xml:space="preserve"> </w:t>
      </w:r>
      <w:r>
        <w:t>major reason</w:t>
      </w:r>
      <w:r>
        <w:rPr>
          <w:spacing w:val="-14"/>
        </w:rPr>
        <w:t xml:space="preserve"> </w:t>
      </w:r>
      <w:r>
        <w:t>for</w:t>
      </w:r>
      <w:r>
        <w:rPr>
          <w:spacing w:val="-14"/>
        </w:rPr>
        <w:t xml:space="preserve"> </w:t>
      </w:r>
      <w:r>
        <w:t>this</w:t>
      </w:r>
      <w:r>
        <w:rPr>
          <w:spacing w:val="-14"/>
        </w:rPr>
        <w:t xml:space="preserve"> </w:t>
      </w:r>
      <w:r>
        <w:t>difference</w:t>
      </w:r>
      <w:r>
        <w:rPr>
          <w:spacing w:val="-14"/>
        </w:rPr>
        <w:t xml:space="preserve"> </w:t>
      </w:r>
      <w:r>
        <w:t>is</w:t>
      </w:r>
      <w:r>
        <w:rPr>
          <w:spacing w:val="-14"/>
        </w:rPr>
        <w:t xml:space="preserve"> </w:t>
      </w:r>
      <w:r>
        <w:t>the</w:t>
      </w:r>
      <w:r>
        <w:rPr>
          <w:spacing w:val="-14"/>
        </w:rPr>
        <w:t xml:space="preserve"> </w:t>
      </w:r>
      <w:r>
        <w:t>higher</w:t>
      </w:r>
      <w:r>
        <w:rPr>
          <w:spacing w:val="-14"/>
        </w:rPr>
        <w:t xml:space="preserve"> </w:t>
      </w:r>
      <w:r>
        <w:t>freight</w:t>
      </w:r>
      <w:r>
        <w:rPr>
          <w:spacing w:val="-14"/>
        </w:rPr>
        <w:t xml:space="preserve"> </w:t>
      </w:r>
      <w:r>
        <w:t>task</w:t>
      </w:r>
      <w:r>
        <w:rPr>
          <w:spacing w:val="-14"/>
        </w:rPr>
        <w:t xml:space="preserve"> </w:t>
      </w:r>
      <w:r>
        <w:t xml:space="preserve">in </w:t>
      </w:r>
      <w:r>
        <w:rPr>
          <w:w w:val="95"/>
        </w:rPr>
        <w:t xml:space="preserve">NSW than other jurisdictions, but higher costs may also </w:t>
      </w:r>
      <w:r>
        <w:t>be</w:t>
      </w:r>
      <w:r>
        <w:rPr>
          <w:spacing w:val="-11"/>
        </w:rPr>
        <w:t xml:space="preserve"> </w:t>
      </w:r>
      <w:r>
        <w:t>partly</w:t>
      </w:r>
      <w:r>
        <w:rPr>
          <w:spacing w:val="-11"/>
        </w:rPr>
        <w:t xml:space="preserve"> </w:t>
      </w:r>
      <w:r>
        <w:t>due</w:t>
      </w:r>
      <w:r>
        <w:rPr>
          <w:spacing w:val="-11"/>
        </w:rPr>
        <w:t xml:space="preserve"> </w:t>
      </w:r>
      <w:r>
        <w:t>to</w:t>
      </w:r>
      <w:r>
        <w:rPr>
          <w:spacing w:val="-11"/>
        </w:rPr>
        <w:t xml:space="preserve"> </w:t>
      </w:r>
      <w:r>
        <w:t>less</w:t>
      </w:r>
      <w:r>
        <w:rPr>
          <w:spacing w:val="-11"/>
        </w:rPr>
        <w:t xml:space="preserve"> </w:t>
      </w:r>
      <w:r>
        <w:t>efficient</w:t>
      </w:r>
      <w:r>
        <w:rPr>
          <w:spacing w:val="-11"/>
        </w:rPr>
        <w:t xml:space="preserve"> </w:t>
      </w:r>
      <w:r>
        <w:t>procurement</w:t>
      </w:r>
      <w:r>
        <w:rPr>
          <w:spacing w:val="-11"/>
        </w:rPr>
        <w:t xml:space="preserve"> </w:t>
      </w:r>
      <w:r>
        <w:t>in</w:t>
      </w:r>
      <w:r>
        <w:rPr>
          <w:spacing w:val="-11"/>
        </w:rPr>
        <w:t xml:space="preserve"> </w:t>
      </w:r>
      <w:r>
        <w:t>NSW.</w:t>
      </w:r>
    </w:p>
    <w:p w:rsidR="002C1123" w:rsidRDefault="00F22F94">
      <w:pPr>
        <w:spacing w:before="134"/>
        <w:ind w:left="273"/>
        <w:rPr>
          <w:b/>
          <w:sz w:val="18"/>
        </w:rPr>
      </w:pPr>
      <w:r>
        <w:rPr>
          <w:b/>
          <w:sz w:val="18"/>
        </w:rPr>
        <w:t>Table</w:t>
      </w:r>
      <w:r>
        <w:rPr>
          <w:b/>
          <w:spacing w:val="-19"/>
          <w:sz w:val="18"/>
        </w:rPr>
        <w:t xml:space="preserve"> </w:t>
      </w:r>
      <w:r>
        <w:rPr>
          <w:b/>
          <w:sz w:val="18"/>
        </w:rPr>
        <w:t>10.1</w:t>
      </w:r>
      <w:r>
        <w:rPr>
          <w:b/>
          <w:spacing w:val="7"/>
          <w:sz w:val="18"/>
        </w:rPr>
        <w:t xml:space="preserve"> </w:t>
      </w:r>
      <w:r>
        <w:rPr>
          <w:b/>
          <w:sz w:val="18"/>
        </w:rPr>
        <w:t>Road</w:t>
      </w:r>
      <w:r>
        <w:rPr>
          <w:b/>
          <w:spacing w:val="-19"/>
          <w:sz w:val="18"/>
        </w:rPr>
        <w:t xml:space="preserve"> </w:t>
      </w:r>
      <w:r>
        <w:rPr>
          <w:b/>
          <w:sz w:val="18"/>
        </w:rPr>
        <w:t>maintenance</w:t>
      </w:r>
      <w:r>
        <w:rPr>
          <w:b/>
          <w:spacing w:val="-19"/>
          <w:sz w:val="18"/>
        </w:rPr>
        <w:t xml:space="preserve"> </w:t>
      </w:r>
      <w:r>
        <w:rPr>
          <w:b/>
          <w:sz w:val="18"/>
        </w:rPr>
        <w:t>in</w:t>
      </w:r>
      <w:r>
        <w:rPr>
          <w:b/>
          <w:spacing w:val="-19"/>
          <w:sz w:val="18"/>
        </w:rPr>
        <w:t xml:space="preserve"> </w:t>
      </w:r>
      <w:r>
        <w:rPr>
          <w:b/>
          <w:sz w:val="18"/>
        </w:rPr>
        <w:t>selected</w:t>
      </w:r>
      <w:r>
        <w:rPr>
          <w:b/>
          <w:spacing w:val="-19"/>
          <w:sz w:val="18"/>
        </w:rPr>
        <w:t xml:space="preserve"> </w:t>
      </w:r>
      <w:r>
        <w:rPr>
          <w:b/>
          <w:spacing w:val="-2"/>
          <w:sz w:val="18"/>
        </w:rPr>
        <w:t>jurisdictions</w:t>
      </w:r>
    </w:p>
    <w:p w:rsidR="002C1123" w:rsidRDefault="00F22F94">
      <w:pPr>
        <w:tabs>
          <w:tab w:val="left" w:pos="3155"/>
          <w:tab w:val="left" w:pos="3778"/>
          <w:tab w:val="left" w:pos="4459"/>
        </w:tabs>
        <w:spacing w:before="149"/>
        <w:ind w:left="2531"/>
        <w:rPr>
          <w:b/>
          <w:sz w:val="16"/>
        </w:rPr>
      </w:pPr>
      <w:r>
        <w:rPr>
          <w:b/>
          <w:color w:val="2E3092"/>
          <w:spacing w:val="-5"/>
          <w:sz w:val="16"/>
        </w:rPr>
        <w:t>WA</w:t>
      </w:r>
      <w:r>
        <w:rPr>
          <w:b/>
          <w:color w:val="2E3092"/>
          <w:sz w:val="16"/>
        </w:rPr>
        <w:tab/>
      </w:r>
      <w:r>
        <w:rPr>
          <w:b/>
          <w:color w:val="2E3092"/>
          <w:spacing w:val="-5"/>
          <w:sz w:val="16"/>
        </w:rPr>
        <w:t>VIC</w:t>
      </w:r>
      <w:r>
        <w:rPr>
          <w:b/>
          <w:color w:val="2E3092"/>
          <w:sz w:val="16"/>
        </w:rPr>
        <w:tab/>
      </w:r>
      <w:r>
        <w:rPr>
          <w:b/>
          <w:color w:val="2E3092"/>
          <w:spacing w:val="-5"/>
          <w:sz w:val="16"/>
        </w:rPr>
        <w:t>QLD</w:t>
      </w:r>
      <w:r>
        <w:rPr>
          <w:b/>
          <w:color w:val="2E3092"/>
          <w:sz w:val="16"/>
        </w:rPr>
        <w:tab/>
      </w:r>
      <w:r>
        <w:rPr>
          <w:b/>
          <w:color w:val="2E3092"/>
          <w:spacing w:val="-5"/>
          <w:sz w:val="16"/>
        </w:rPr>
        <w:t>NSW</w:t>
      </w: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rPr>
          <w:b/>
          <w:sz w:val="18"/>
        </w:rPr>
      </w:pPr>
    </w:p>
    <w:p w:rsidR="002C1123" w:rsidRDefault="002C1123">
      <w:pPr>
        <w:pStyle w:val="BodyText"/>
        <w:spacing w:before="7"/>
        <w:rPr>
          <w:b/>
          <w:sz w:val="24"/>
        </w:rPr>
      </w:pPr>
    </w:p>
    <w:p w:rsidR="002C1123" w:rsidRDefault="00F22F94">
      <w:pPr>
        <w:ind w:left="263"/>
        <w:rPr>
          <w:sz w:val="14"/>
        </w:rPr>
      </w:pPr>
      <w:r>
        <w:rPr>
          <w:w w:val="95"/>
          <w:sz w:val="14"/>
        </w:rPr>
        <w:t>Source:</w:t>
      </w:r>
      <w:r>
        <w:rPr>
          <w:spacing w:val="15"/>
          <w:sz w:val="14"/>
        </w:rPr>
        <w:t xml:space="preserve"> </w:t>
      </w:r>
      <w:r>
        <w:rPr>
          <w:w w:val="95"/>
          <w:sz w:val="14"/>
        </w:rPr>
        <w:t>Third</w:t>
      </w:r>
      <w:r>
        <w:rPr>
          <w:spacing w:val="16"/>
          <w:sz w:val="14"/>
        </w:rPr>
        <w:t xml:space="preserve"> </w:t>
      </w:r>
      <w:r>
        <w:rPr>
          <w:w w:val="95"/>
          <w:sz w:val="14"/>
        </w:rPr>
        <w:t>Horizon</w:t>
      </w:r>
      <w:r>
        <w:rPr>
          <w:spacing w:val="15"/>
          <w:sz w:val="14"/>
        </w:rPr>
        <w:t xml:space="preserve"> </w:t>
      </w:r>
      <w:r>
        <w:rPr>
          <w:w w:val="95"/>
          <w:sz w:val="14"/>
        </w:rPr>
        <w:t>Consulting</w:t>
      </w:r>
      <w:r>
        <w:rPr>
          <w:spacing w:val="16"/>
          <w:sz w:val="14"/>
        </w:rPr>
        <w:t xml:space="preserve"> </w:t>
      </w:r>
      <w:r>
        <w:rPr>
          <w:spacing w:val="-2"/>
          <w:w w:val="95"/>
          <w:sz w:val="14"/>
        </w:rPr>
        <w:t>Partners.</w:t>
      </w:r>
    </w:p>
    <w:p w:rsidR="002C1123" w:rsidRDefault="00F22F94">
      <w:pPr>
        <w:pStyle w:val="BodyText"/>
        <w:spacing w:before="108" w:line="249" w:lineRule="auto"/>
        <w:ind w:left="203" w:right="719"/>
      </w:pPr>
      <w:r>
        <w:br w:type="column"/>
      </w:r>
      <w:r>
        <w:rPr>
          <w:w w:val="95"/>
        </w:rPr>
        <w:t>Of</w:t>
      </w:r>
      <w:r>
        <w:rPr>
          <w:spacing w:val="-2"/>
          <w:w w:val="95"/>
        </w:rPr>
        <w:t xml:space="preserve"> </w:t>
      </w:r>
      <w:r>
        <w:rPr>
          <w:w w:val="95"/>
        </w:rPr>
        <w:t>the</w:t>
      </w:r>
      <w:r>
        <w:rPr>
          <w:spacing w:val="-2"/>
          <w:w w:val="95"/>
        </w:rPr>
        <w:t xml:space="preserve"> </w:t>
      </w:r>
      <w:r>
        <w:rPr>
          <w:w w:val="95"/>
        </w:rPr>
        <w:t>total</w:t>
      </w:r>
      <w:r>
        <w:rPr>
          <w:spacing w:val="-2"/>
          <w:w w:val="95"/>
        </w:rPr>
        <w:t xml:space="preserve"> </w:t>
      </w:r>
      <w:r>
        <w:rPr>
          <w:w w:val="95"/>
        </w:rPr>
        <w:t>road</w:t>
      </w:r>
      <w:r>
        <w:rPr>
          <w:spacing w:val="-2"/>
          <w:w w:val="95"/>
        </w:rPr>
        <w:t xml:space="preserve"> </w:t>
      </w:r>
      <w:r>
        <w:rPr>
          <w:w w:val="95"/>
        </w:rPr>
        <w:t>maintenance</w:t>
      </w:r>
      <w:r>
        <w:rPr>
          <w:spacing w:val="-2"/>
          <w:w w:val="95"/>
        </w:rPr>
        <w:t xml:space="preserve"> </w:t>
      </w:r>
      <w:r>
        <w:rPr>
          <w:w w:val="95"/>
        </w:rPr>
        <w:t>managed</w:t>
      </w:r>
      <w:r>
        <w:rPr>
          <w:spacing w:val="-2"/>
          <w:w w:val="95"/>
        </w:rPr>
        <w:t xml:space="preserve"> </w:t>
      </w:r>
      <w:r>
        <w:rPr>
          <w:w w:val="95"/>
        </w:rPr>
        <w:t>by</w:t>
      </w:r>
      <w:r>
        <w:rPr>
          <w:spacing w:val="-2"/>
          <w:w w:val="95"/>
        </w:rPr>
        <w:t xml:space="preserve"> </w:t>
      </w:r>
      <w:r>
        <w:rPr>
          <w:w w:val="95"/>
        </w:rPr>
        <w:t>NSW</w:t>
      </w:r>
      <w:r>
        <w:rPr>
          <w:spacing w:val="-2"/>
          <w:w w:val="95"/>
        </w:rPr>
        <w:t xml:space="preserve"> </w:t>
      </w:r>
      <w:r>
        <w:rPr>
          <w:w w:val="95"/>
        </w:rPr>
        <w:t>Roads and Maritime Services (RMS), 63 percent is carried out by</w:t>
      </w:r>
      <w:r>
        <w:rPr>
          <w:spacing w:val="-7"/>
          <w:w w:val="95"/>
        </w:rPr>
        <w:t xml:space="preserve"> </w:t>
      </w:r>
      <w:r>
        <w:rPr>
          <w:w w:val="95"/>
        </w:rPr>
        <w:t>an</w:t>
      </w:r>
      <w:r>
        <w:rPr>
          <w:spacing w:val="-7"/>
          <w:w w:val="95"/>
        </w:rPr>
        <w:t xml:space="preserve"> </w:t>
      </w:r>
      <w:r>
        <w:rPr>
          <w:w w:val="95"/>
        </w:rPr>
        <w:t>internal</w:t>
      </w:r>
      <w:r>
        <w:rPr>
          <w:spacing w:val="-7"/>
          <w:w w:val="95"/>
        </w:rPr>
        <w:t xml:space="preserve"> </w:t>
      </w:r>
      <w:r>
        <w:rPr>
          <w:w w:val="95"/>
        </w:rPr>
        <w:t>RMS</w:t>
      </w:r>
      <w:r>
        <w:rPr>
          <w:spacing w:val="-7"/>
          <w:w w:val="95"/>
        </w:rPr>
        <w:t xml:space="preserve"> </w:t>
      </w:r>
      <w:r>
        <w:rPr>
          <w:w w:val="95"/>
        </w:rPr>
        <w:t>labour</w:t>
      </w:r>
      <w:r>
        <w:rPr>
          <w:spacing w:val="-7"/>
          <w:w w:val="95"/>
        </w:rPr>
        <w:t xml:space="preserve"> </w:t>
      </w:r>
      <w:r>
        <w:rPr>
          <w:w w:val="95"/>
        </w:rPr>
        <w:t>force</w:t>
      </w:r>
      <w:r>
        <w:rPr>
          <w:spacing w:val="-7"/>
          <w:w w:val="95"/>
        </w:rPr>
        <w:t xml:space="preserve"> </w:t>
      </w:r>
      <w:r>
        <w:rPr>
          <w:w w:val="95"/>
        </w:rPr>
        <w:t>and</w:t>
      </w:r>
      <w:r>
        <w:rPr>
          <w:spacing w:val="-7"/>
          <w:w w:val="95"/>
        </w:rPr>
        <w:t xml:space="preserve"> </w:t>
      </w:r>
      <w:r>
        <w:rPr>
          <w:w w:val="95"/>
        </w:rPr>
        <w:t>a</w:t>
      </w:r>
      <w:r>
        <w:rPr>
          <w:spacing w:val="-7"/>
          <w:w w:val="95"/>
        </w:rPr>
        <w:t xml:space="preserve"> </w:t>
      </w:r>
      <w:r>
        <w:rPr>
          <w:w w:val="95"/>
        </w:rPr>
        <w:t>further</w:t>
      </w:r>
      <w:r>
        <w:rPr>
          <w:spacing w:val="-7"/>
          <w:w w:val="95"/>
        </w:rPr>
        <w:t xml:space="preserve"> </w:t>
      </w:r>
      <w:r>
        <w:rPr>
          <w:w w:val="95"/>
        </w:rPr>
        <w:t>17</w:t>
      </w:r>
      <w:r>
        <w:rPr>
          <w:spacing w:val="-7"/>
          <w:w w:val="95"/>
        </w:rPr>
        <w:t xml:space="preserve"> </w:t>
      </w:r>
      <w:r>
        <w:rPr>
          <w:w w:val="95"/>
        </w:rPr>
        <w:t xml:space="preserve">percent </w:t>
      </w:r>
      <w:r>
        <w:t>is</w:t>
      </w:r>
      <w:r>
        <w:rPr>
          <w:spacing w:val="-5"/>
        </w:rPr>
        <w:t xml:space="preserve"> </w:t>
      </w:r>
      <w:r>
        <w:t>contracted</w:t>
      </w:r>
      <w:r>
        <w:rPr>
          <w:spacing w:val="-5"/>
        </w:rPr>
        <w:t xml:space="preserve"> </w:t>
      </w:r>
      <w:r>
        <w:t>to</w:t>
      </w:r>
      <w:r>
        <w:rPr>
          <w:spacing w:val="-5"/>
        </w:rPr>
        <w:t xml:space="preserve"> </w:t>
      </w:r>
      <w:r>
        <w:t>local</w:t>
      </w:r>
      <w:r>
        <w:rPr>
          <w:spacing w:val="-5"/>
        </w:rPr>
        <w:t xml:space="preserve"> </w:t>
      </w:r>
      <w:r>
        <w:t>councils</w:t>
      </w:r>
      <w:r>
        <w:rPr>
          <w:spacing w:val="-5"/>
        </w:rPr>
        <w:t xml:space="preserve"> </w:t>
      </w:r>
      <w:r>
        <w:t>on</w:t>
      </w:r>
      <w:r>
        <w:rPr>
          <w:spacing w:val="-5"/>
        </w:rPr>
        <w:t xml:space="preserve"> </w:t>
      </w:r>
      <w:r>
        <w:t>a</w:t>
      </w:r>
      <w:r>
        <w:rPr>
          <w:spacing w:val="-5"/>
        </w:rPr>
        <w:t xml:space="preserve"> </w:t>
      </w:r>
      <w:r>
        <w:t>non-competitive basis.</w:t>
      </w:r>
      <w:r>
        <w:rPr>
          <w:spacing w:val="-10"/>
        </w:rPr>
        <w:t xml:space="preserve"> </w:t>
      </w:r>
      <w:r>
        <w:t>Only</w:t>
      </w:r>
      <w:r>
        <w:rPr>
          <w:spacing w:val="-10"/>
        </w:rPr>
        <w:t xml:space="preserve"> </w:t>
      </w:r>
      <w:r>
        <w:t>19</w:t>
      </w:r>
      <w:r>
        <w:rPr>
          <w:spacing w:val="-10"/>
        </w:rPr>
        <w:t xml:space="preserve"> </w:t>
      </w:r>
      <w:r>
        <w:t>percent</w:t>
      </w:r>
      <w:r>
        <w:rPr>
          <w:spacing w:val="-10"/>
        </w:rPr>
        <w:t xml:space="preserve"> </w:t>
      </w:r>
      <w:r>
        <w:t>is</w:t>
      </w:r>
      <w:r>
        <w:rPr>
          <w:spacing w:val="-10"/>
        </w:rPr>
        <w:t xml:space="preserve"> </w:t>
      </w:r>
      <w:r>
        <w:t>competitively</w:t>
      </w:r>
      <w:r>
        <w:rPr>
          <w:spacing w:val="-10"/>
        </w:rPr>
        <w:t xml:space="preserve"> </w:t>
      </w:r>
      <w:r>
        <w:t>outsourced, through</w:t>
      </w:r>
      <w:r>
        <w:rPr>
          <w:spacing w:val="-11"/>
        </w:rPr>
        <w:t xml:space="preserve"> </w:t>
      </w:r>
      <w:r>
        <w:t>a</w:t>
      </w:r>
      <w:r>
        <w:rPr>
          <w:spacing w:val="-11"/>
        </w:rPr>
        <w:t xml:space="preserve"> </w:t>
      </w:r>
      <w:r>
        <w:t>single</w:t>
      </w:r>
      <w:r>
        <w:rPr>
          <w:spacing w:val="-11"/>
        </w:rPr>
        <w:t xml:space="preserve"> </w:t>
      </w:r>
      <w:r>
        <w:t>contract</w:t>
      </w:r>
      <w:r>
        <w:rPr>
          <w:spacing w:val="-11"/>
        </w:rPr>
        <w:t xml:space="preserve"> </w:t>
      </w:r>
      <w:r>
        <w:t>for</w:t>
      </w:r>
      <w:r>
        <w:rPr>
          <w:spacing w:val="-11"/>
        </w:rPr>
        <w:t xml:space="preserve"> </w:t>
      </w:r>
      <w:r>
        <w:t>northern</w:t>
      </w:r>
      <w:r>
        <w:rPr>
          <w:spacing w:val="-11"/>
        </w:rPr>
        <w:t xml:space="preserve"> </w:t>
      </w:r>
      <w:r>
        <w:t>Sydney</w:t>
      </w:r>
      <w:r>
        <w:rPr>
          <w:spacing w:val="-11"/>
        </w:rPr>
        <w:t xml:space="preserve"> </w:t>
      </w:r>
      <w:r>
        <w:t>roads</w:t>
      </w:r>
      <w:r>
        <w:rPr>
          <w:position w:val="7"/>
          <w:sz w:val="11"/>
        </w:rPr>
        <w:t>16</w:t>
      </w:r>
      <w:r>
        <w:t>.</w:t>
      </w:r>
    </w:p>
    <w:p w:rsidR="002C1123" w:rsidRDefault="00F22F94">
      <w:pPr>
        <w:pStyle w:val="BodyText"/>
        <w:spacing w:before="147" w:line="249" w:lineRule="auto"/>
        <w:ind w:left="203" w:right="719"/>
      </w:pPr>
      <w:r>
        <w:t>Inefficient</w:t>
      </w:r>
      <w:r>
        <w:rPr>
          <w:spacing w:val="-12"/>
        </w:rPr>
        <w:t xml:space="preserve"> </w:t>
      </w:r>
      <w:r>
        <w:t>maintenance</w:t>
      </w:r>
      <w:r>
        <w:rPr>
          <w:spacing w:val="-12"/>
        </w:rPr>
        <w:t xml:space="preserve"> </w:t>
      </w:r>
      <w:r>
        <w:t>practices</w:t>
      </w:r>
      <w:r>
        <w:rPr>
          <w:spacing w:val="-12"/>
        </w:rPr>
        <w:t xml:space="preserve"> </w:t>
      </w:r>
      <w:r>
        <w:t>can</w:t>
      </w:r>
      <w:r>
        <w:rPr>
          <w:spacing w:val="-12"/>
        </w:rPr>
        <w:t xml:space="preserve"> </w:t>
      </w:r>
      <w:r>
        <w:t>lead</w:t>
      </w:r>
      <w:r>
        <w:rPr>
          <w:spacing w:val="-12"/>
        </w:rPr>
        <w:t xml:space="preserve"> </w:t>
      </w:r>
      <w:r>
        <w:t>to</w:t>
      </w:r>
      <w:r>
        <w:rPr>
          <w:spacing w:val="-12"/>
        </w:rPr>
        <w:t xml:space="preserve"> </w:t>
      </w:r>
      <w:r>
        <w:t>asset deterioration</w:t>
      </w:r>
      <w:r>
        <w:rPr>
          <w:spacing w:val="-12"/>
        </w:rPr>
        <w:t xml:space="preserve"> </w:t>
      </w:r>
      <w:r>
        <w:t>and/or</w:t>
      </w:r>
      <w:r>
        <w:rPr>
          <w:spacing w:val="-12"/>
        </w:rPr>
        <w:t xml:space="preserve"> </w:t>
      </w:r>
      <w:r>
        <w:t>higher</w:t>
      </w:r>
      <w:r>
        <w:rPr>
          <w:spacing w:val="-12"/>
        </w:rPr>
        <w:t xml:space="preserve"> </w:t>
      </w:r>
      <w:r>
        <w:t>longer</w:t>
      </w:r>
      <w:r>
        <w:rPr>
          <w:spacing w:val="-12"/>
        </w:rPr>
        <w:t xml:space="preserve"> </w:t>
      </w:r>
      <w:r>
        <w:t>term</w:t>
      </w:r>
      <w:r>
        <w:rPr>
          <w:spacing w:val="-12"/>
        </w:rPr>
        <w:t xml:space="preserve"> </w:t>
      </w:r>
      <w:r>
        <w:t xml:space="preserve">rectification costs. Longer term condition-based contracts could </w:t>
      </w:r>
      <w:r>
        <w:rPr>
          <w:w w:val="95"/>
        </w:rPr>
        <w:t>help</w:t>
      </w:r>
      <w:r>
        <w:rPr>
          <w:spacing w:val="-2"/>
          <w:w w:val="95"/>
        </w:rPr>
        <w:t xml:space="preserve"> </w:t>
      </w:r>
      <w:r>
        <w:rPr>
          <w:w w:val="95"/>
        </w:rPr>
        <w:t>to</w:t>
      </w:r>
      <w:r>
        <w:rPr>
          <w:spacing w:val="-2"/>
          <w:w w:val="95"/>
        </w:rPr>
        <w:t xml:space="preserve"> </w:t>
      </w:r>
      <w:r>
        <w:rPr>
          <w:w w:val="95"/>
        </w:rPr>
        <w:t>lock</w:t>
      </w:r>
      <w:r>
        <w:rPr>
          <w:spacing w:val="-2"/>
          <w:w w:val="95"/>
        </w:rPr>
        <w:t xml:space="preserve"> </w:t>
      </w:r>
      <w:r>
        <w:rPr>
          <w:w w:val="95"/>
        </w:rPr>
        <w:t>in</w:t>
      </w:r>
      <w:r>
        <w:rPr>
          <w:spacing w:val="-2"/>
          <w:w w:val="95"/>
        </w:rPr>
        <w:t xml:space="preserve"> </w:t>
      </w:r>
      <w:r>
        <w:rPr>
          <w:w w:val="95"/>
        </w:rPr>
        <w:t>a</w:t>
      </w:r>
      <w:r>
        <w:rPr>
          <w:spacing w:val="-2"/>
          <w:w w:val="95"/>
        </w:rPr>
        <w:t xml:space="preserve"> </w:t>
      </w:r>
      <w:r>
        <w:rPr>
          <w:w w:val="95"/>
        </w:rPr>
        <w:t>minimum</w:t>
      </w:r>
      <w:r>
        <w:rPr>
          <w:spacing w:val="-3"/>
          <w:w w:val="95"/>
        </w:rPr>
        <w:t xml:space="preserve"> </w:t>
      </w:r>
      <w:r>
        <w:rPr>
          <w:w w:val="95"/>
        </w:rPr>
        <w:t>level</w:t>
      </w:r>
      <w:r>
        <w:rPr>
          <w:spacing w:val="-2"/>
          <w:w w:val="95"/>
        </w:rPr>
        <w:t xml:space="preserve"> </w:t>
      </w:r>
      <w:r>
        <w:rPr>
          <w:w w:val="95"/>
        </w:rPr>
        <w:t>of</w:t>
      </w:r>
      <w:r>
        <w:rPr>
          <w:spacing w:val="-2"/>
          <w:w w:val="95"/>
        </w:rPr>
        <w:t xml:space="preserve"> </w:t>
      </w:r>
      <w:r>
        <w:rPr>
          <w:w w:val="95"/>
        </w:rPr>
        <w:t>economically</w:t>
      </w:r>
      <w:r>
        <w:rPr>
          <w:spacing w:val="-2"/>
          <w:w w:val="95"/>
        </w:rPr>
        <w:t xml:space="preserve"> </w:t>
      </w:r>
      <w:r>
        <w:rPr>
          <w:w w:val="95"/>
        </w:rPr>
        <w:t>efficient maintenance</w:t>
      </w:r>
      <w:r>
        <w:rPr>
          <w:spacing w:val="-7"/>
          <w:w w:val="95"/>
        </w:rPr>
        <w:t xml:space="preserve"> </w:t>
      </w:r>
      <w:r>
        <w:rPr>
          <w:w w:val="95"/>
        </w:rPr>
        <w:t>work,</w:t>
      </w:r>
      <w:r>
        <w:rPr>
          <w:spacing w:val="-7"/>
          <w:w w:val="95"/>
        </w:rPr>
        <w:t xml:space="preserve"> </w:t>
      </w:r>
      <w:r>
        <w:rPr>
          <w:w w:val="95"/>
        </w:rPr>
        <w:t>whilst</w:t>
      </w:r>
      <w:r>
        <w:rPr>
          <w:spacing w:val="-7"/>
          <w:w w:val="95"/>
        </w:rPr>
        <w:t xml:space="preserve"> </w:t>
      </w:r>
      <w:r>
        <w:rPr>
          <w:w w:val="95"/>
        </w:rPr>
        <w:t>still</w:t>
      </w:r>
      <w:r>
        <w:rPr>
          <w:spacing w:val="-7"/>
          <w:w w:val="95"/>
        </w:rPr>
        <w:t xml:space="preserve"> </w:t>
      </w:r>
      <w:r>
        <w:rPr>
          <w:w w:val="95"/>
        </w:rPr>
        <w:t>allowing</w:t>
      </w:r>
      <w:r>
        <w:rPr>
          <w:spacing w:val="-7"/>
          <w:w w:val="95"/>
        </w:rPr>
        <w:t xml:space="preserve"> </w:t>
      </w:r>
      <w:r>
        <w:rPr>
          <w:w w:val="95"/>
        </w:rPr>
        <w:t>some</w:t>
      </w:r>
      <w:r>
        <w:rPr>
          <w:spacing w:val="-7"/>
          <w:w w:val="95"/>
        </w:rPr>
        <w:t xml:space="preserve"> </w:t>
      </w:r>
      <w:r>
        <w:rPr>
          <w:w w:val="95"/>
        </w:rPr>
        <w:t>flexibility</w:t>
      </w:r>
      <w:r>
        <w:rPr>
          <w:spacing w:val="-7"/>
          <w:w w:val="95"/>
        </w:rPr>
        <w:t xml:space="preserve"> </w:t>
      </w:r>
      <w:r>
        <w:rPr>
          <w:w w:val="95"/>
        </w:rPr>
        <w:t xml:space="preserve">to </w:t>
      </w:r>
      <w:r>
        <w:t>vary discretionary asset standards.</w:t>
      </w:r>
    </w:p>
    <w:p w:rsidR="002C1123" w:rsidRDefault="00F22F94">
      <w:pPr>
        <w:pStyle w:val="BodyText"/>
        <w:spacing w:before="146" w:line="249" w:lineRule="auto"/>
        <w:ind w:left="203" w:right="719"/>
      </w:pPr>
      <w:r>
        <w:t>Infrastructure</w:t>
      </w:r>
      <w:r>
        <w:rPr>
          <w:spacing w:val="-14"/>
        </w:rPr>
        <w:t xml:space="preserve"> </w:t>
      </w:r>
      <w:r>
        <w:t>NSW</w:t>
      </w:r>
      <w:r>
        <w:rPr>
          <w:spacing w:val="-14"/>
        </w:rPr>
        <w:t xml:space="preserve"> </w:t>
      </w:r>
      <w:r>
        <w:t>therefore</w:t>
      </w:r>
      <w:r>
        <w:rPr>
          <w:spacing w:val="-14"/>
        </w:rPr>
        <w:t xml:space="preserve"> </w:t>
      </w:r>
      <w:r>
        <w:t>endorses</w:t>
      </w:r>
      <w:r>
        <w:rPr>
          <w:spacing w:val="-14"/>
        </w:rPr>
        <w:t xml:space="preserve"> </w:t>
      </w:r>
      <w:r>
        <w:t>the</w:t>
      </w:r>
      <w:r>
        <w:rPr>
          <w:spacing w:val="-14"/>
        </w:rPr>
        <w:t xml:space="preserve"> </w:t>
      </w:r>
      <w:r>
        <w:t>finding</w:t>
      </w:r>
      <w:r>
        <w:rPr>
          <w:spacing w:val="-14"/>
        </w:rPr>
        <w:t xml:space="preserve"> </w:t>
      </w:r>
      <w:r>
        <w:t xml:space="preserve">of </w:t>
      </w:r>
      <w:r>
        <w:rPr>
          <w:w w:val="95"/>
        </w:rPr>
        <w:t>the</w:t>
      </w:r>
      <w:r>
        <w:rPr>
          <w:spacing w:val="-4"/>
          <w:w w:val="95"/>
        </w:rPr>
        <w:t xml:space="preserve"> </w:t>
      </w:r>
      <w:r>
        <w:rPr>
          <w:w w:val="95"/>
        </w:rPr>
        <w:t>NSW</w:t>
      </w:r>
      <w:r>
        <w:rPr>
          <w:spacing w:val="-4"/>
          <w:w w:val="95"/>
        </w:rPr>
        <w:t xml:space="preserve"> </w:t>
      </w:r>
      <w:r>
        <w:rPr>
          <w:w w:val="95"/>
        </w:rPr>
        <w:t>Commission</w:t>
      </w:r>
      <w:r>
        <w:rPr>
          <w:spacing w:val="-4"/>
          <w:w w:val="95"/>
        </w:rPr>
        <w:t xml:space="preserve"> </w:t>
      </w:r>
      <w:r>
        <w:rPr>
          <w:w w:val="95"/>
        </w:rPr>
        <w:t>of</w:t>
      </w:r>
      <w:r>
        <w:rPr>
          <w:spacing w:val="-4"/>
          <w:w w:val="95"/>
        </w:rPr>
        <w:t xml:space="preserve"> </w:t>
      </w:r>
      <w:r>
        <w:rPr>
          <w:w w:val="95"/>
        </w:rPr>
        <w:t>Audit</w:t>
      </w:r>
      <w:r>
        <w:rPr>
          <w:spacing w:val="-4"/>
          <w:w w:val="95"/>
        </w:rPr>
        <w:t xml:space="preserve"> </w:t>
      </w:r>
      <w:r>
        <w:rPr>
          <w:w w:val="95"/>
        </w:rPr>
        <w:t>for</w:t>
      </w:r>
      <w:r>
        <w:rPr>
          <w:spacing w:val="-4"/>
          <w:w w:val="95"/>
        </w:rPr>
        <w:t xml:space="preserve"> </w:t>
      </w:r>
      <w:r>
        <w:rPr>
          <w:w w:val="95"/>
        </w:rPr>
        <w:t>Roads</w:t>
      </w:r>
      <w:r>
        <w:rPr>
          <w:spacing w:val="-4"/>
          <w:w w:val="95"/>
        </w:rPr>
        <w:t xml:space="preserve"> </w:t>
      </w:r>
      <w:r>
        <w:rPr>
          <w:w w:val="95"/>
        </w:rPr>
        <w:t>and</w:t>
      </w:r>
      <w:r>
        <w:rPr>
          <w:spacing w:val="-4"/>
          <w:w w:val="95"/>
        </w:rPr>
        <w:t xml:space="preserve"> </w:t>
      </w:r>
      <w:r>
        <w:rPr>
          <w:w w:val="95"/>
        </w:rPr>
        <w:t xml:space="preserve">Maritime </w:t>
      </w:r>
      <w:r>
        <w:t>Services</w:t>
      </w:r>
      <w:r>
        <w:rPr>
          <w:spacing w:val="-14"/>
        </w:rPr>
        <w:t xml:space="preserve"> </w:t>
      </w:r>
      <w:r>
        <w:t>(RMS)</w:t>
      </w:r>
      <w:r>
        <w:rPr>
          <w:spacing w:val="-14"/>
        </w:rPr>
        <w:t xml:space="preserve"> </w:t>
      </w:r>
      <w:r>
        <w:t>to</w:t>
      </w:r>
      <w:r>
        <w:rPr>
          <w:spacing w:val="-14"/>
        </w:rPr>
        <w:t xml:space="preserve"> </w:t>
      </w:r>
      <w:r>
        <w:t>extend</w:t>
      </w:r>
      <w:r>
        <w:rPr>
          <w:spacing w:val="-14"/>
        </w:rPr>
        <w:t xml:space="preserve"> </w:t>
      </w:r>
      <w:r>
        <w:t>competitive</w:t>
      </w:r>
      <w:r>
        <w:rPr>
          <w:spacing w:val="-14"/>
        </w:rPr>
        <w:t xml:space="preserve"> </w:t>
      </w:r>
      <w:r>
        <w:t>tendering</w:t>
      </w:r>
      <w:r>
        <w:rPr>
          <w:spacing w:val="-14"/>
        </w:rPr>
        <w:t xml:space="preserve"> </w:t>
      </w:r>
      <w:r>
        <w:t>for roads maintenance in NSW.</w:t>
      </w:r>
    </w:p>
    <w:p w:rsidR="002C1123" w:rsidRDefault="00F22F94">
      <w:pPr>
        <w:pStyle w:val="Heading6"/>
        <w:spacing w:before="145"/>
        <w:ind w:left="203"/>
      </w:pPr>
      <w:r>
        <w:t>Local</w:t>
      </w:r>
      <w:r>
        <w:rPr>
          <w:spacing w:val="-12"/>
        </w:rPr>
        <w:t xml:space="preserve"> </w:t>
      </w:r>
      <w:r>
        <w:rPr>
          <w:spacing w:val="-2"/>
        </w:rPr>
        <w:t>Roads</w:t>
      </w:r>
    </w:p>
    <w:p w:rsidR="002C1123" w:rsidRDefault="002060EF">
      <w:pPr>
        <w:pStyle w:val="BodyText"/>
        <w:spacing w:before="10" w:line="249" w:lineRule="auto"/>
        <w:ind w:left="203" w:right="719"/>
      </w:pPr>
      <w:r>
        <w:pict>
          <v:shape id="docshape1871" o:spid="_x0000_s3216" type="#_x0000_t202" style="position:absolute;left:0;text-align:left;margin-left:300.95pt;margin-top:41.3pt;width:241.95pt;height:101.6pt;z-index:251544576;mso-position-horizontal-relative:page" filled="f" stroked="f">
            <v:textbox inset="0,0,0,0">
              <w:txbxContent>
                <w:tbl>
                  <w:tblPr>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154"/>
                    <w:gridCol w:w="623"/>
                    <w:gridCol w:w="623"/>
                    <w:gridCol w:w="680"/>
                    <w:gridCol w:w="737"/>
                  </w:tblGrid>
                  <w:tr w:rsidR="00F22F94">
                    <w:trPr>
                      <w:trHeight w:val="608"/>
                    </w:trPr>
                    <w:tc>
                      <w:tcPr>
                        <w:tcW w:w="2154" w:type="dxa"/>
                        <w:tcBorders>
                          <w:left w:val="nil"/>
                        </w:tcBorders>
                        <w:shd w:val="clear" w:color="auto" w:fill="C9C8C9"/>
                      </w:tcPr>
                      <w:p w:rsidR="00F22F94" w:rsidRDefault="00F22F94">
                        <w:pPr>
                          <w:pStyle w:val="TableParagraph"/>
                          <w:spacing w:line="261" w:lineRule="auto"/>
                          <w:ind w:right="388"/>
                          <w:rPr>
                            <w:sz w:val="16"/>
                          </w:rPr>
                        </w:pPr>
                        <w:r>
                          <w:rPr>
                            <w:w w:val="105"/>
                            <w:sz w:val="16"/>
                          </w:rPr>
                          <w:t>Roads</w:t>
                        </w:r>
                        <w:r>
                          <w:rPr>
                            <w:spacing w:val="-6"/>
                            <w:w w:val="105"/>
                            <w:sz w:val="16"/>
                          </w:rPr>
                          <w:t xml:space="preserve"> </w:t>
                        </w:r>
                        <w:r>
                          <w:rPr>
                            <w:w w:val="105"/>
                            <w:sz w:val="16"/>
                          </w:rPr>
                          <w:t xml:space="preserve">managed </w:t>
                        </w:r>
                        <w:r>
                          <w:rPr>
                            <w:sz w:val="16"/>
                          </w:rPr>
                          <w:t>(000’s</w:t>
                        </w:r>
                        <w:r>
                          <w:rPr>
                            <w:spacing w:val="-12"/>
                            <w:sz w:val="16"/>
                          </w:rPr>
                          <w:t xml:space="preserve"> </w:t>
                        </w:r>
                        <w:r>
                          <w:rPr>
                            <w:sz w:val="16"/>
                          </w:rPr>
                          <w:t>of</w:t>
                        </w:r>
                        <w:r>
                          <w:rPr>
                            <w:spacing w:val="-11"/>
                            <w:sz w:val="16"/>
                          </w:rPr>
                          <w:t xml:space="preserve"> </w:t>
                        </w:r>
                        <w:r>
                          <w:rPr>
                            <w:sz w:val="16"/>
                          </w:rPr>
                          <w:t>lane</w:t>
                        </w:r>
                        <w:r>
                          <w:rPr>
                            <w:spacing w:val="-11"/>
                            <w:sz w:val="16"/>
                          </w:rPr>
                          <w:t xml:space="preserve"> </w:t>
                        </w:r>
                        <w:r>
                          <w:rPr>
                            <w:sz w:val="16"/>
                          </w:rPr>
                          <w:t>km)</w:t>
                        </w:r>
                      </w:p>
                    </w:tc>
                    <w:tc>
                      <w:tcPr>
                        <w:tcW w:w="623" w:type="dxa"/>
                        <w:shd w:val="clear" w:color="auto" w:fill="E1E0E1"/>
                      </w:tcPr>
                      <w:p w:rsidR="00F22F94" w:rsidRDefault="00F22F94">
                        <w:pPr>
                          <w:pStyle w:val="TableParagraph"/>
                          <w:rPr>
                            <w:sz w:val="16"/>
                          </w:rPr>
                        </w:pPr>
                        <w:r>
                          <w:rPr>
                            <w:spacing w:val="-5"/>
                            <w:sz w:val="16"/>
                          </w:rPr>
                          <w:t>53</w:t>
                        </w:r>
                      </w:p>
                    </w:tc>
                    <w:tc>
                      <w:tcPr>
                        <w:tcW w:w="623" w:type="dxa"/>
                        <w:shd w:val="clear" w:color="auto" w:fill="E1E0E1"/>
                      </w:tcPr>
                      <w:p w:rsidR="00F22F94" w:rsidRDefault="00F22F94">
                        <w:pPr>
                          <w:pStyle w:val="TableParagraph"/>
                          <w:ind w:left="114"/>
                          <w:rPr>
                            <w:sz w:val="16"/>
                          </w:rPr>
                        </w:pPr>
                        <w:r>
                          <w:rPr>
                            <w:spacing w:val="-5"/>
                            <w:sz w:val="16"/>
                          </w:rPr>
                          <w:t>51</w:t>
                        </w:r>
                      </w:p>
                    </w:tc>
                    <w:tc>
                      <w:tcPr>
                        <w:tcW w:w="680" w:type="dxa"/>
                        <w:shd w:val="clear" w:color="auto" w:fill="E1E0E1"/>
                      </w:tcPr>
                      <w:p w:rsidR="00F22F94" w:rsidRDefault="00F22F94">
                        <w:pPr>
                          <w:pStyle w:val="TableParagraph"/>
                          <w:ind w:left="115"/>
                          <w:rPr>
                            <w:sz w:val="16"/>
                          </w:rPr>
                        </w:pPr>
                        <w:r>
                          <w:rPr>
                            <w:spacing w:val="-5"/>
                            <w:sz w:val="16"/>
                          </w:rPr>
                          <w:t>71</w:t>
                        </w:r>
                      </w:p>
                    </w:tc>
                    <w:tc>
                      <w:tcPr>
                        <w:tcW w:w="737" w:type="dxa"/>
                        <w:shd w:val="clear" w:color="auto" w:fill="E1E0E1"/>
                      </w:tcPr>
                      <w:p w:rsidR="00F22F94" w:rsidRDefault="00F22F94">
                        <w:pPr>
                          <w:pStyle w:val="TableParagraph"/>
                          <w:ind w:left="115"/>
                          <w:rPr>
                            <w:sz w:val="16"/>
                          </w:rPr>
                        </w:pPr>
                        <w:r>
                          <w:rPr>
                            <w:spacing w:val="-5"/>
                            <w:sz w:val="16"/>
                          </w:rPr>
                          <w:t>80</w:t>
                        </w:r>
                      </w:p>
                    </w:tc>
                  </w:tr>
                  <w:tr w:rsidR="00F22F94">
                    <w:trPr>
                      <w:trHeight w:val="698"/>
                    </w:trPr>
                    <w:tc>
                      <w:tcPr>
                        <w:tcW w:w="2154" w:type="dxa"/>
                        <w:tcBorders>
                          <w:left w:val="nil"/>
                        </w:tcBorders>
                        <w:shd w:val="clear" w:color="auto" w:fill="C9C8C9"/>
                      </w:tcPr>
                      <w:p w:rsidR="00F22F94" w:rsidRDefault="00F22F94">
                        <w:pPr>
                          <w:pStyle w:val="TableParagraph"/>
                          <w:spacing w:line="261" w:lineRule="auto"/>
                          <w:ind w:right="305"/>
                          <w:rPr>
                            <w:sz w:val="16"/>
                          </w:rPr>
                        </w:pPr>
                        <w:r>
                          <w:rPr>
                            <w:spacing w:val="-2"/>
                            <w:w w:val="105"/>
                            <w:sz w:val="16"/>
                          </w:rPr>
                          <w:t>Estimated</w:t>
                        </w:r>
                        <w:r>
                          <w:rPr>
                            <w:spacing w:val="-10"/>
                            <w:w w:val="105"/>
                            <w:sz w:val="16"/>
                          </w:rPr>
                          <w:t xml:space="preserve"> </w:t>
                        </w:r>
                        <w:r>
                          <w:rPr>
                            <w:spacing w:val="-2"/>
                            <w:w w:val="105"/>
                            <w:sz w:val="16"/>
                          </w:rPr>
                          <w:t xml:space="preserve">maintenance </w:t>
                        </w:r>
                        <w:r>
                          <w:rPr>
                            <w:sz w:val="16"/>
                          </w:rPr>
                          <w:t>spend</w:t>
                        </w:r>
                        <w:r>
                          <w:rPr>
                            <w:spacing w:val="-7"/>
                            <w:sz w:val="16"/>
                          </w:rPr>
                          <w:t xml:space="preserve"> </w:t>
                        </w:r>
                        <w:r>
                          <w:rPr>
                            <w:sz w:val="16"/>
                          </w:rPr>
                          <w:t>($,000’s/lane</w:t>
                        </w:r>
                        <w:r>
                          <w:rPr>
                            <w:spacing w:val="-7"/>
                            <w:sz w:val="16"/>
                          </w:rPr>
                          <w:t xml:space="preserve"> </w:t>
                        </w:r>
                        <w:r>
                          <w:rPr>
                            <w:spacing w:val="-5"/>
                            <w:sz w:val="16"/>
                          </w:rPr>
                          <w:t>km)</w:t>
                        </w:r>
                      </w:p>
                    </w:tc>
                    <w:tc>
                      <w:tcPr>
                        <w:tcW w:w="623" w:type="dxa"/>
                        <w:shd w:val="clear" w:color="auto" w:fill="E1E0E1"/>
                      </w:tcPr>
                      <w:p w:rsidR="00F22F94" w:rsidRDefault="00F22F94">
                        <w:pPr>
                          <w:pStyle w:val="TableParagraph"/>
                          <w:ind w:left="114"/>
                          <w:rPr>
                            <w:sz w:val="16"/>
                          </w:rPr>
                        </w:pPr>
                        <w:r>
                          <w:rPr>
                            <w:w w:val="99"/>
                            <w:sz w:val="16"/>
                          </w:rPr>
                          <w:t>5</w:t>
                        </w:r>
                      </w:p>
                    </w:tc>
                    <w:tc>
                      <w:tcPr>
                        <w:tcW w:w="623" w:type="dxa"/>
                        <w:shd w:val="clear" w:color="auto" w:fill="E1E0E1"/>
                      </w:tcPr>
                      <w:p w:rsidR="00F22F94" w:rsidRDefault="00F22F94">
                        <w:pPr>
                          <w:pStyle w:val="TableParagraph"/>
                          <w:ind w:left="114"/>
                          <w:rPr>
                            <w:sz w:val="16"/>
                          </w:rPr>
                        </w:pPr>
                        <w:r>
                          <w:rPr>
                            <w:spacing w:val="-5"/>
                            <w:sz w:val="16"/>
                          </w:rPr>
                          <w:t>4.5</w:t>
                        </w:r>
                      </w:p>
                    </w:tc>
                    <w:tc>
                      <w:tcPr>
                        <w:tcW w:w="680" w:type="dxa"/>
                        <w:shd w:val="clear" w:color="auto" w:fill="E1E0E1"/>
                      </w:tcPr>
                      <w:p w:rsidR="00F22F94" w:rsidRDefault="00F22F94">
                        <w:pPr>
                          <w:pStyle w:val="TableParagraph"/>
                          <w:ind w:left="115"/>
                          <w:rPr>
                            <w:sz w:val="16"/>
                          </w:rPr>
                        </w:pPr>
                        <w:r>
                          <w:rPr>
                            <w:w w:val="99"/>
                            <w:sz w:val="16"/>
                          </w:rPr>
                          <w:t>6</w:t>
                        </w:r>
                      </w:p>
                    </w:tc>
                    <w:tc>
                      <w:tcPr>
                        <w:tcW w:w="737" w:type="dxa"/>
                        <w:shd w:val="clear" w:color="auto" w:fill="E1E0E1"/>
                      </w:tcPr>
                      <w:p w:rsidR="00F22F94" w:rsidRDefault="00F22F94">
                        <w:pPr>
                          <w:pStyle w:val="TableParagraph"/>
                          <w:ind w:left="115"/>
                          <w:rPr>
                            <w:sz w:val="16"/>
                          </w:rPr>
                        </w:pPr>
                        <w:r>
                          <w:rPr>
                            <w:w w:val="99"/>
                            <w:sz w:val="16"/>
                          </w:rPr>
                          <w:t>7</w:t>
                        </w:r>
                      </w:p>
                    </w:tc>
                  </w:tr>
                  <w:tr w:rsidR="00F22F94">
                    <w:trPr>
                      <w:trHeight w:val="646"/>
                    </w:trPr>
                    <w:tc>
                      <w:tcPr>
                        <w:tcW w:w="2154" w:type="dxa"/>
                        <w:tcBorders>
                          <w:left w:val="nil"/>
                        </w:tcBorders>
                        <w:shd w:val="clear" w:color="auto" w:fill="C9C8C9"/>
                      </w:tcPr>
                      <w:p w:rsidR="00F22F94" w:rsidRDefault="00F22F94">
                        <w:pPr>
                          <w:pStyle w:val="TableParagraph"/>
                          <w:rPr>
                            <w:sz w:val="16"/>
                          </w:rPr>
                        </w:pPr>
                        <w:r>
                          <w:rPr>
                            <w:sz w:val="16"/>
                          </w:rPr>
                          <w:t>Road</w:t>
                        </w:r>
                        <w:r>
                          <w:rPr>
                            <w:spacing w:val="1"/>
                            <w:sz w:val="16"/>
                          </w:rPr>
                          <w:t xml:space="preserve"> </w:t>
                        </w:r>
                        <w:r>
                          <w:rPr>
                            <w:sz w:val="16"/>
                          </w:rPr>
                          <w:t>quality</w:t>
                        </w:r>
                        <w:r>
                          <w:rPr>
                            <w:spacing w:val="1"/>
                            <w:sz w:val="16"/>
                          </w:rPr>
                          <w:t xml:space="preserve"> </w:t>
                        </w:r>
                        <w:r>
                          <w:rPr>
                            <w:sz w:val="16"/>
                          </w:rPr>
                          <w:t>measure</w:t>
                        </w:r>
                        <w:r>
                          <w:rPr>
                            <w:spacing w:val="2"/>
                            <w:sz w:val="16"/>
                          </w:rPr>
                          <w:t xml:space="preserve"> </w:t>
                        </w:r>
                        <w:r>
                          <w:rPr>
                            <w:spacing w:val="-5"/>
                            <w:sz w:val="16"/>
                          </w:rPr>
                          <w:t>(%)</w:t>
                        </w:r>
                      </w:p>
                    </w:tc>
                    <w:tc>
                      <w:tcPr>
                        <w:tcW w:w="623" w:type="dxa"/>
                        <w:shd w:val="clear" w:color="auto" w:fill="E1E0E1"/>
                      </w:tcPr>
                      <w:p w:rsidR="00F22F94" w:rsidRDefault="00F22F94">
                        <w:pPr>
                          <w:pStyle w:val="TableParagraph"/>
                          <w:ind w:left="114"/>
                          <w:rPr>
                            <w:sz w:val="16"/>
                          </w:rPr>
                        </w:pPr>
                        <w:r>
                          <w:rPr>
                            <w:spacing w:val="-5"/>
                            <w:sz w:val="16"/>
                          </w:rPr>
                          <w:t>99</w:t>
                        </w:r>
                      </w:p>
                    </w:tc>
                    <w:tc>
                      <w:tcPr>
                        <w:tcW w:w="623" w:type="dxa"/>
                        <w:shd w:val="clear" w:color="auto" w:fill="E1E0E1"/>
                      </w:tcPr>
                      <w:p w:rsidR="00F22F94" w:rsidRDefault="00F22F94">
                        <w:pPr>
                          <w:pStyle w:val="TableParagraph"/>
                          <w:ind w:left="114"/>
                          <w:rPr>
                            <w:sz w:val="16"/>
                          </w:rPr>
                        </w:pPr>
                        <w:r>
                          <w:rPr>
                            <w:spacing w:val="-5"/>
                            <w:sz w:val="16"/>
                          </w:rPr>
                          <w:t>91</w:t>
                        </w:r>
                      </w:p>
                    </w:tc>
                    <w:tc>
                      <w:tcPr>
                        <w:tcW w:w="680" w:type="dxa"/>
                        <w:shd w:val="clear" w:color="auto" w:fill="E1E0E1"/>
                      </w:tcPr>
                      <w:p w:rsidR="00F22F94" w:rsidRDefault="00F22F94">
                        <w:pPr>
                          <w:pStyle w:val="TableParagraph"/>
                          <w:ind w:left="115"/>
                          <w:rPr>
                            <w:sz w:val="16"/>
                          </w:rPr>
                        </w:pPr>
                        <w:r>
                          <w:rPr>
                            <w:spacing w:val="-5"/>
                            <w:sz w:val="16"/>
                          </w:rPr>
                          <w:t>94</w:t>
                        </w:r>
                      </w:p>
                    </w:tc>
                    <w:tc>
                      <w:tcPr>
                        <w:tcW w:w="737" w:type="dxa"/>
                        <w:shd w:val="clear" w:color="auto" w:fill="E1E0E1"/>
                      </w:tcPr>
                      <w:p w:rsidR="00F22F94" w:rsidRDefault="00F22F94">
                        <w:pPr>
                          <w:pStyle w:val="TableParagraph"/>
                          <w:ind w:left="115"/>
                          <w:rPr>
                            <w:sz w:val="16"/>
                          </w:rPr>
                        </w:pPr>
                        <w:r>
                          <w:rPr>
                            <w:spacing w:val="-5"/>
                            <w:sz w:val="16"/>
                          </w:rPr>
                          <w:t>91</w:t>
                        </w:r>
                      </w:p>
                    </w:tc>
                  </w:tr>
                </w:tbl>
                <w:p w:rsidR="00F22F94" w:rsidRDefault="00F22F94">
                  <w:pPr>
                    <w:pStyle w:val="BodyText"/>
                  </w:pPr>
                </w:p>
              </w:txbxContent>
            </v:textbox>
            <w10:wrap anchorx="page"/>
          </v:shape>
        </w:pict>
      </w:r>
      <w:r w:rsidR="00F22F94">
        <w:t>Prioritising</w:t>
      </w:r>
      <w:r w:rsidR="00F22F94">
        <w:rPr>
          <w:spacing w:val="-14"/>
        </w:rPr>
        <w:t xml:space="preserve"> </w:t>
      </w:r>
      <w:r w:rsidR="00F22F94">
        <w:t>and</w:t>
      </w:r>
      <w:r w:rsidR="00F22F94">
        <w:rPr>
          <w:spacing w:val="-14"/>
        </w:rPr>
        <w:t xml:space="preserve"> </w:t>
      </w:r>
      <w:r w:rsidR="00F22F94">
        <w:t>funding</w:t>
      </w:r>
      <w:r w:rsidR="00F22F94">
        <w:rPr>
          <w:spacing w:val="-14"/>
        </w:rPr>
        <w:t xml:space="preserve"> </w:t>
      </w:r>
      <w:r w:rsidR="00F22F94">
        <w:t>road</w:t>
      </w:r>
      <w:r w:rsidR="00F22F94">
        <w:rPr>
          <w:spacing w:val="-14"/>
        </w:rPr>
        <w:t xml:space="preserve"> </w:t>
      </w:r>
      <w:r w:rsidR="00F22F94">
        <w:t>maintenance</w:t>
      </w:r>
      <w:r w:rsidR="00F22F94">
        <w:rPr>
          <w:spacing w:val="-14"/>
        </w:rPr>
        <w:t xml:space="preserve"> </w:t>
      </w:r>
      <w:r w:rsidR="00F22F94">
        <w:t>in</w:t>
      </w:r>
      <w:r w:rsidR="00F22F94">
        <w:rPr>
          <w:spacing w:val="-14"/>
        </w:rPr>
        <w:t xml:space="preserve"> </w:t>
      </w:r>
      <w:r w:rsidR="00F22F94">
        <w:t>regional NSW</w:t>
      </w:r>
      <w:r w:rsidR="00F22F94">
        <w:rPr>
          <w:spacing w:val="-14"/>
        </w:rPr>
        <w:t xml:space="preserve"> </w:t>
      </w:r>
      <w:r w:rsidR="00F22F94">
        <w:t>is</w:t>
      </w:r>
      <w:r w:rsidR="00F22F94">
        <w:rPr>
          <w:spacing w:val="-14"/>
        </w:rPr>
        <w:t xml:space="preserve"> </w:t>
      </w:r>
      <w:r w:rsidR="00F22F94">
        <w:t>challenging,</w:t>
      </w:r>
      <w:r w:rsidR="00F22F94">
        <w:rPr>
          <w:spacing w:val="-14"/>
        </w:rPr>
        <w:t xml:space="preserve"> </w:t>
      </w:r>
      <w:r w:rsidR="00F22F94">
        <w:t>given</w:t>
      </w:r>
      <w:r w:rsidR="00F22F94">
        <w:rPr>
          <w:spacing w:val="-14"/>
        </w:rPr>
        <w:t xml:space="preserve"> </w:t>
      </w:r>
      <w:r w:rsidR="00F22F94">
        <w:t>the</w:t>
      </w:r>
      <w:r w:rsidR="00F22F94">
        <w:rPr>
          <w:spacing w:val="-14"/>
        </w:rPr>
        <w:t xml:space="preserve"> </w:t>
      </w:r>
      <w:r w:rsidR="00F22F94">
        <w:t>lower</w:t>
      </w:r>
      <w:r w:rsidR="00F22F94">
        <w:rPr>
          <w:spacing w:val="-14"/>
        </w:rPr>
        <w:t xml:space="preserve"> </w:t>
      </w:r>
      <w:r w:rsidR="00F22F94">
        <w:t>population,</w:t>
      </w:r>
      <w:r w:rsidR="00F22F94">
        <w:rPr>
          <w:spacing w:val="-14"/>
        </w:rPr>
        <w:t xml:space="preserve"> </w:t>
      </w:r>
      <w:r w:rsidR="00F22F94">
        <w:t xml:space="preserve">traffic </w:t>
      </w:r>
      <w:r w:rsidR="00F22F94">
        <w:rPr>
          <w:w w:val="95"/>
        </w:rPr>
        <w:t>levels</w:t>
      </w:r>
      <w:r w:rsidR="00F22F94">
        <w:rPr>
          <w:spacing w:val="-10"/>
          <w:w w:val="95"/>
        </w:rPr>
        <w:t xml:space="preserve"> </w:t>
      </w:r>
      <w:r w:rsidR="00F22F94">
        <w:rPr>
          <w:w w:val="95"/>
        </w:rPr>
        <w:t>and</w:t>
      </w:r>
      <w:r w:rsidR="00F22F94">
        <w:rPr>
          <w:spacing w:val="-10"/>
          <w:w w:val="95"/>
        </w:rPr>
        <w:t xml:space="preserve"> </w:t>
      </w:r>
      <w:r w:rsidR="00F22F94">
        <w:rPr>
          <w:w w:val="95"/>
        </w:rPr>
        <w:t>rate</w:t>
      </w:r>
      <w:r w:rsidR="00F22F94">
        <w:rPr>
          <w:spacing w:val="-10"/>
          <w:w w:val="95"/>
        </w:rPr>
        <w:t xml:space="preserve"> </w:t>
      </w:r>
      <w:r w:rsidR="00F22F94">
        <w:rPr>
          <w:w w:val="95"/>
        </w:rPr>
        <w:t>base.</w:t>
      </w:r>
      <w:r w:rsidR="00F22F94">
        <w:rPr>
          <w:spacing w:val="-10"/>
          <w:w w:val="95"/>
        </w:rPr>
        <w:t xml:space="preserve"> </w:t>
      </w:r>
      <w:r w:rsidR="00F22F94">
        <w:rPr>
          <w:w w:val="95"/>
        </w:rPr>
        <w:t>These</w:t>
      </w:r>
      <w:r w:rsidR="00F22F94">
        <w:rPr>
          <w:spacing w:val="-10"/>
          <w:w w:val="95"/>
        </w:rPr>
        <w:t xml:space="preserve"> </w:t>
      </w:r>
      <w:r w:rsidR="00F22F94">
        <w:rPr>
          <w:w w:val="95"/>
        </w:rPr>
        <w:t>issues</w:t>
      </w:r>
      <w:r w:rsidR="00F22F94">
        <w:rPr>
          <w:spacing w:val="-10"/>
          <w:w w:val="95"/>
        </w:rPr>
        <w:t xml:space="preserve"> </w:t>
      </w:r>
      <w:r w:rsidR="00F22F94">
        <w:rPr>
          <w:w w:val="95"/>
        </w:rPr>
        <w:t>are</w:t>
      </w:r>
      <w:r w:rsidR="00F22F94">
        <w:rPr>
          <w:spacing w:val="-10"/>
          <w:w w:val="95"/>
        </w:rPr>
        <w:t xml:space="preserve"> </w:t>
      </w:r>
      <w:r w:rsidR="00F22F94">
        <w:rPr>
          <w:w w:val="95"/>
        </w:rPr>
        <w:t>important</w:t>
      </w:r>
      <w:r w:rsidR="00F22F94">
        <w:rPr>
          <w:spacing w:val="-10"/>
          <w:w w:val="95"/>
        </w:rPr>
        <w:t xml:space="preserve"> </w:t>
      </w:r>
      <w:r w:rsidR="00F22F94">
        <w:rPr>
          <w:w w:val="95"/>
        </w:rPr>
        <w:t>and</w:t>
      </w:r>
      <w:r w:rsidR="00F22F94">
        <w:rPr>
          <w:spacing w:val="-10"/>
          <w:w w:val="95"/>
        </w:rPr>
        <w:t xml:space="preserve"> </w:t>
      </w:r>
      <w:r w:rsidR="00F22F94">
        <w:rPr>
          <w:w w:val="95"/>
        </w:rPr>
        <w:t xml:space="preserve">are </w:t>
      </w:r>
      <w:r w:rsidR="00F22F94">
        <w:t>often</w:t>
      </w:r>
      <w:r w:rsidR="00F22F94">
        <w:rPr>
          <w:spacing w:val="-11"/>
        </w:rPr>
        <w:t xml:space="preserve"> </w:t>
      </w:r>
      <w:r w:rsidR="00F22F94">
        <w:t>as</w:t>
      </w:r>
      <w:r w:rsidR="00F22F94">
        <w:rPr>
          <w:spacing w:val="-11"/>
        </w:rPr>
        <w:t xml:space="preserve"> </w:t>
      </w:r>
      <w:r w:rsidR="00F22F94">
        <w:t>much</w:t>
      </w:r>
      <w:r w:rsidR="00F22F94">
        <w:rPr>
          <w:spacing w:val="-11"/>
        </w:rPr>
        <w:t xml:space="preserve"> </w:t>
      </w:r>
      <w:r w:rsidR="00F22F94">
        <w:t>about</w:t>
      </w:r>
      <w:r w:rsidR="00F22F94">
        <w:rPr>
          <w:spacing w:val="-11"/>
        </w:rPr>
        <w:t xml:space="preserve"> </w:t>
      </w:r>
      <w:r w:rsidR="00F22F94">
        <w:t>governance</w:t>
      </w:r>
      <w:r w:rsidR="00F22F94">
        <w:rPr>
          <w:spacing w:val="-11"/>
        </w:rPr>
        <w:t xml:space="preserve"> </w:t>
      </w:r>
      <w:r w:rsidR="00F22F94">
        <w:t>(who</w:t>
      </w:r>
      <w:r w:rsidR="00F22F94">
        <w:rPr>
          <w:spacing w:val="-11"/>
        </w:rPr>
        <w:t xml:space="preserve"> </w:t>
      </w:r>
      <w:r w:rsidR="00F22F94">
        <w:t>is</w:t>
      </w:r>
      <w:r w:rsidR="00F22F94">
        <w:rPr>
          <w:spacing w:val="-11"/>
        </w:rPr>
        <w:t xml:space="preserve"> </w:t>
      </w:r>
      <w:r w:rsidR="00F22F94">
        <w:t>responsible for</w:t>
      </w:r>
      <w:r w:rsidR="00F22F94">
        <w:rPr>
          <w:spacing w:val="-13"/>
        </w:rPr>
        <w:t xml:space="preserve"> </w:t>
      </w:r>
      <w:r w:rsidR="00F22F94">
        <w:t>what)</w:t>
      </w:r>
      <w:r w:rsidR="00F22F94">
        <w:rPr>
          <w:spacing w:val="-13"/>
        </w:rPr>
        <w:t xml:space="preserve"> </w:t>
      </w:r>
      <w:r w:rsidR="00F22F94">
        <w:t>and</w:t>
      </w:r>
      <w:r w:rsidR="00F22F94">
        <w:rPr>
          <w:spacing w:val="-13"/>
        </w:rPr>
        <w:t xml:space="preserve"> </w:t>
      </w:r>
      <w:r w:rsidR="00F22F94">
        <w:t>funding</w:t>
      </w:r>
      <w:r w:rsidR="00F22F94">
        <w:rPr>
          <w:spacing w:val="-13"/>
        </w:rPr>
        <w:t xml:space="preserve"> </w:t>
      </w:r>
      <w:r w:rsidR="00F22F94">
        <w:t>arrangements</w:t>
      </w:r>
      <w:r w:rsidR="00F22F94">
        <w:rPr>
          <w:spacing w:val="-13"/>
        </w:rPr>
        <w:t xml:space="preserve"> </w:t>
      </w:r>
      <w:r w:rsidR="00F22F94">
        <w:t>as</w:t>
      </w:r>
      <w:r w:rsidR="00F22F94">
        <w:rPr>
          <w:spacing w:val="-13"/>
        </w:rPr>
        <w:t xml:space="preserve"> </w:t>
      </w:r>
      <w:r w:rsidR="00F22F94">
        <w:t>they</w:t>
      </w:r>
      <w:r w:rsidR="00F22F94">
        <w:rPr>
          <w:spacing w:val="-13"/>
        </w:rPr>
        <w:t xml:space="preserve"> </w:t>
      </w:r>
      <w:r w:rsidR="00F22F94">
        <w:t>are</w:t>
      </w:r>
      <w:r w:rsidR="00F22F94">
        <w:rPr>
          <w:spacing w:val="-13"/>
        </w:rPr>
        <w:t xml:space="preserve"> </w:t>
      </w:r>
      <w:r w:rsidR="00F22F94">
        <w:t>about procurement</w:t>
      </w:r>
      <w:r w:rsidR="00F22F94">
        <w:rPr>
          <w:spacing w:val="-11"/>
        </w:rPr>
        <w:t xml:space="preserve"> </w:t>
      </w:r>
      <w:r w:rsidR="00F22F94">
        <w:t>approach.</w:t>
      </w:r>
    </w:p>
    <w:p w:rsidR="002C1123" w:rsidRDefault="00F22F94">
      <w:pPr>
        <w:pStyle w:val="BodyText"/>
        <w:spacing w:before="147" w:line="249" w:lineRule="auto"/>
        <w:ind w:left="203" w:right="997"/>
        <w:jc w:val="both"/>
      </w:pPr>
      <w:r>
        <w:rPr>
          <w:w w:val="95"/>
        </w:rPr>
        <w:t>Consultation</w:t>
      </w:r>
      <w:r>
        <w:rPr>
          <w:spacing w:val="-1"/>
          <w:w w:val="95"/>
        </w:rPr>
        <w:t xml:space="preserve"> </w:t>
      </w:r>
      <w:r>
        <w:rPr>
          <w:w w:val="95"/>
        </w:rPr>
        <w:t>with</w:t>
      </w:r>
      <w:r>
        <w:rPr>
          <w:spacing w:val="-1"/>
          <w:w w:val="95"/>
        </w:rPr>
        <w:t xml:space="preserve"> </w:t>
      </w:r>
      <w:r>
        <w:rPr>
          <w:w w:val="95"/>
        </w:rPr>
        <w:t>regional</w:t>
      </w:r>
      <w:r>
        <w:rPr>
          <w:spacing w:val="-1"/>
          <w:w w:val="95"/>
        </w:rPr>
        <w:t xml:space="preserve"> </w:t>
      </w:r>
      <w:r>
        <w:rPr>
          <w:w w:val="95"/>
        </w:rPr>
        <w:t>local</w:t>
      </w:r>
      <w:r>
        <w:rPr>
          <w:spacing w:val="-1"/>
          <w:w w:val="95"/>
        </w:rPr>
        <w:t xml:space="preserve"> </w:t>
      </w:r>
      <w:r>
        <w:rPr>
          <w:w w:val="95"/>
        </w:rPr>
        <w:t>councils,</w:t>
      </w:r>
      <w:r>
        <w:rPr>
          <w:spacing w:val="-1"/>
          <w:w w:val="95"/>
        </w:rPr>
        <w:t xml:space="preserve"> </w:t>
      </w:r>
      <w:r>
        <w:rPr>
          <w:w w:val="95"/>
        </w:rPr>
        <w:t>(undertaken as</w:t>
      </w:r>
      <w:r>
        <w:rPr>
          <w:spacing w:val="-12"/>
          <w:w w:val="95"/>
        </w:rPr>
        <w:t xml:space="preserve"> </w:t>
      </w:r>
      <w:r>
        <w:rPr>
          <w:w w:val="95"/>
        </w:rPr>
        <w:t>part</w:t>
      </w:r>
      <w:r>
        <w:rPr>
          <w:spacing w:val="-11"/>
          <w:w w:val="95"/>
        </w:rPr>
        <w:t xml:space="preserve"> </w:t>
      </w:r>
      <w:r>
        <w:rPr>
          <w:w w:val="95"/>
        </w:rPr>
        <w:t>of</w:t>
      </w:r>
      <w:r>
        <w:rPr>
          <w:spacing w:val="-11"/>
          <w:w w:val="95"/>
        </w:rPr>
        <w:t xml:space="preserve"> </w:t>
      </w:r>
      <w:r>
        <w:rPr>
          <w:w w:val="95"/>
        </w:rPr>
        <w:t>the</w:t>
      </w:r>
      <w:r>
        <w:rPr>
          <w:spacing w:val="-11"/>
          <w:w w:val="95"/>
        </w:rPr>
        <w:t xml:space="preserve"> </w:t>
      </w:r>
      <w:r>
        <w:rPr>
          <w:w w:val="95"/>
        </w:rPr>
        <w:t>COAG</w:t>
      </w:r>
      <w:r>
        <w:rPr>
          <w:spacing w:val="-11"/>
          <w:w w:val="95"/>
        </w:rPr>
        <w:t xml:space="preserve"> </w:t>
      </w:r>
      <w:r>
        <w:rPr>
          <w:w w:val="95"/>
        </w:rPr>
        <w:t>Road</w:t>
      </w:r>
      <w:r>
        <w:rPr>
          <w:spacing w:val="-11"/>
          <w:w w:val="95"/>
        </w:rPr>
        <w:t xml:space="preserve"> </w:t>
      </w:r>
      <w:r>
        <w:rPr>
          <w:w w:val="95"/>
        </w:rPr>
        <w:t>Reform</w:t>
      </w:r>
      <w:r>
        <w:rPr>
          <w:spacing w:val="-11"/>
          <w:w w:val="95"/>
        </w:rPr>
        <w:t xml:space="preserve"> </w:t>
      </w:r>
      <w:r>
        <w:rPr>
          <w:w w:val="95"/>
        </w:rPr>
        <w:t>Plan),</w:t>
      </w:r>
      <w:r>
        <w:rPr>
          <w:spacing w:val="-11"/>
          <w:w w:val="95"/>
        </w:rPr>
        <w:t xml:space="preserve"> </w:t>
      </w:r>
      <w:r>
        <w:rPr>
          <w:w w:val="95"/>
        </w:rPr>
        <w:t>identified</w:t>
      </w:r>
      <w:r>
        <w:rPr>
          <w:spacing w:val="-12"/>
          <w:w w:val="95"/>
        </w:rPr>
        <w:t xml:space="preserve"> </w:t>
      </w:r>
      <w:r>
        <w:rPr>
          <w:w w:val="95"/>
        </w:rPr>
        <w:t xml:space="preserve">the </w:t>
      </w:r>
      <w:r>
        <w:t>following overarching issues:</w:t>
      </w:r>
    </w:p>
    <w:p w:rsidR="002C1123" w:rsidRDefault="00F22F94">
      <w:pPr>
        <w:pStyle w:val="ListParagraph"/>
        <w:numPr>
          <w:ilvl w:val="0"/>
          <w:numId w:val="69"/>
        </w:numPr>
        <w:tabs>
          <w:tab w:val="left" w:pos="488"/>
        </w:tabs>
        <w:spacing w:before="132" w:line="249" w:lineRule="auto"/>
        <w:ind w:right="716"/>
        <w:rPr>
          <w:sz w:val="20"/>
        </w:rPr>
      </w:pPr>
      <w:r>
        <w:rPr>
          <w:sz w:val="20"/>
        </w:rPr>
        <w:t>Shortfall of funding to cover life cycle cost of</w:t>
      </w:r>
      <w:r>
        <w:rPr>
          <w:spacing w:val="80"/>
          <w:sz w:val="20"/>
        </w:rPr>
        <w:t xml:space="preserve"> </w:t>
      </w:r>
      <w:r>
        <w:rPr>
          <w:w w:val="95"/>
          <w:sz w:val="20"/>
        </w:rPr>
        <w:t xml:space="preserve">roads: The Australian Local Government Association </w:t>
      </w:r>
      <w:r>
        <w:rPr>
          <w:sz w:val="20"/>
        </w:rPr>
        <w:t>states</w:t>
      </w:r>
      <w:r>
        <w:rPr>
          <w:spacing w:val="-14"/>
          <w:sz w:val="20"/>
        </w:rPr>
        <w:t xml:space="preserve"> </w:t>
      </w:r>
      <w:r>
        <w:rPr>
          <w:sz w:val="20"/>
        </w:rPr>
        <w:t>that</w:t>
      </w:r>
      <w:r>
        <w:rPr>
          <w:spacing w:val="-14"/>
          <w:sz w:val="20"/>
        </w:rPr>
        <w:t xml:space="preserve"> </w:t>
      </w:r>
      <w:r>
        <w:rPr>
          <w:sz w:val="20"/>
        </w:rPr>
        <w:t>expenditure</w:t>
      </w:r>
      <w:r>
        <w:rPr>
          <w:spacing w:val="-14"/>
          <w:sz w:val="20"/>
        </w:rPr>
        <w:t xml:space="preserve"> </w:t>
      </w:r>
      <w:r>
        <w:rPr>
          <w:sz w:val="20"/>
        </w:rPr>
        <w:t>on</w:t>
      </w:r>
      <w:r>
        <w:rPr>
          <w:spacing w:val="-14"/>
          <w:sz w:val="20"/>
        </w:rPr>
        <w:t xml:space="preserve"> </w:t>
      </w:r>
      <w:r>
        <w:rPr>
          <w:sz w:val="20"/>
        </w:rPr>
        <w:t>roads</w:t>
      </w:r>
      <w:r>
        <w:rPr>
          <w:spacing w:val="-14"/>
          <w:sz w:val="20"/>
        </w:rPr>
        <w:t xml:space="preserve"> </w:t>
      </w:r>
      <w:r>
        <w:rPr>
          <w:sz w:val="20"/>
        </w:rPr>
        <w:t>has</w:t>
      </w:r>
      <w:r>
        <w:rPr>
          <w:spacing w:val="-14"/>
          <w:sz w:val="20"/>
        </w:rPr>
        <w:t xml:space="preserve"> </w:t>
      </w:r>
      <w:r>
        <w:rPr>
          <w:sz w:val="20"/>
        </w:rPr>
        <w:t>been</w:t>
      </w:r>
      <w:r>
        <w:rPr>
          <w:spacing w:val="-14"/>
          <w:sz w:val="20"/>
        </w:rPr>
        <w:t xml:space="preserve"> </w:t>
      </w:r>
      <w:r>
        <w:rPr>
          <w:sz w:val="20"/>
        </w:rPr>
        <w:t>less</w:t>
      </w:r>
      <w:r>
        <w:rPr>
          <w:spacing w:val="-14"/>
          <w:sz w:val="20"/>
        </w:rPr>
        <w:t xml:space="preserve"> </w:t>
      </w:r>
      <w:r>
        <w:rPr>
          <w:sz w:val="20"/>
        </w:rPr>
        <w:t xml:space="preserve">than </w:t>
      </w:r>
      <w:r>
        <w:rPr>
          <w:w w:val="95"/>
          <w:sz w:val="20"/>
        </w:rPr>
        <w:t>the</w:t>
      </w:r>
      <w:r>
        <w:rPr>
          <w:spacing w:val="-1"/>
          <w:w w:val="95"/>
          <w:sz w:val="20"/>
        </w:rPr>
        <w:t xml:space="preserve"> </w:t>
      </w:r>
      <w:r>
        <w:rPr>
          <w:w w:val="95"/>
          <w:sz w:val="20"/>
        </w:rPr>
        <w:t>funding</w:t>
      </w:r>
      <w:r>
        <w:rPr>
          <w:spacing w:val="-1"/>
          <w:w w:val="95"/>
          <w:sz w:val="20"/>
        </w:rPr>
        <w:t xml:space="preserve"> </w:t>
      </w:r>
      <w:r>
        <w:rPr>
          <w:w w:val="95"/>
          <w:sz w:val="20"/>
        </w:rPr>
        <w:t>needed</w:t>
      </w:r>
      <w:r>
        <w:rPr>
          <w:spacing w:val="-1"/>
          <w:w w:val="95"/>
          <w:sz w:val="20"/>
        </w:rPr>
        <w:t xml:space="preserve"> </w:t>
      </w:r>
      <w:r>
        <w:rPr>
          <w:w w:val="95"/>
          <w:sz w:val="20"/>
        </w:rPr>
        <w:t>to</w:t>
      </w:r>
      <w:r>
        <w:rPr>
          <w:spacing w:val="-1"/>
          <w:w w:val="95"/>
          <w:sz w:val="20"/>
        </w:rPr>
        <w:t xml:space="preserve"> </w:t>
      </w:r>
      <w:r>
        <w:rPr>
          <w:w w:val="95"/>
          <w:sz w:val="20"/>
        </w:rPr>
        <w:t>sustain</w:t>
      </w:r>
      <w:r>
        <w:rPr>
          <w:spacing w:val="-1"/>
          <w:w w:val="95"/>
          <w:sz w:val="20"/>
        </w:rPr>
        <w:t xml:space="preserve"> </w:t>
      </w:r>
      <w:r>
        <w:rPr>
          <w:w w:val="95"/>
          <w:sz w:val="20"/>
        </w:rPr>
        <w:t>the</w:t>
      </w:r>
      <w:r>
        <w:rPr>
          <w:spacing w:val="-1"/>
          <w:w w:val="95"/>
          <w:sz w:val="20"/>
        </w:rPr>
        <w:t xml:space="preserve"> </w:t>
      </w:r>
      <w:r>
        <w:rPr>
          <w:w w:val="95"/>
          <w:sz w:val="20"/>
        </w:rPr>
        <w:t>networks</w:t>
      </w:r>
      <w:r>
        <w:rPr>
          <w:spacing w:val="-1"/>
          <w:w w:val="95"/>
          <w:sz w:val="20"/>
        </w:rPr>
        <w:t xml:space="preserve"> </w:t>
      </w:r>
      <w:r>
        <w:rPr>
          <w:w w:val="95"/>
          <w:sz w:val="20"/>
        </w:rPr>
        <w:t>at</w:t>
      </w:r>
      <w:r>
        <w:rPr>
          <w:spacing w:val="-1"/>
          <w:w w:val="95"/>
          <w:sz w:val="20"/>
        </w:rPr>
        <w:t xml:space="preserve"> </w:t>
      </w:r>
      <w:r>
        <w:rPr>
          <w:w w:val="95"/>
          <w:sz w:val="20"/>
        </w:rPr>
        <w:t>current</w:t>
      </w:r>
    </w:p>
    <w:p w:rsidR="002C1123" w:rsidRDefault="002060EF">
      <w:pPr>
        <w:pStyle w:val="BodyText"/>
        <w:spacing w:before="2"/>
        <w:rPr>
          <w:sz w:val="15"/>
        </w:rPr>
      </w:pPr>
      <w:r>
        <w:pict>
          <v:shape id="docshape1872" o:spid="_x0000_s3215" style="position:absolute;margin-left:552.3pt;margin-top:9.95pt;width:1in;height:.1pt;z-index:-251358208;mso-wrap-distance-left:0;mso-wrap-distance-right:0;mso-position-horizontal-relative:page" coordorigin="11046,199" coordsize="1440,0" path="m11046,199r1440,e" filled="f" strokecolor="#9c9c9d" strokeweight=".5pt">
            <v:path arrowok="t"/>
            <w10:wrap type="topAndBottom" anchorx="page"/>
          </v:shape>
        </w:pict>
      </w:r>
    </w:p>
    <w:p w:rsidR="002C1123" w:rsidRDefault="00F22F94">
      <w:pPr>
        <w:pStyle w:val="ListParagraph"/>
        <w:numPr>
          <w:ilvl w:val="0"/>
          <w:numId w:val="73"/>
        </w:numPr>
        <w:tabs>
          <w:tab w:val="left" w:pos="403"/>
        </w:tabs>
        <w:spacing w:before="23"/>
        <w:ind w:left="402" w:hanging="200"/>
        <w:jc w:val="both"/>
        <w:rPr>
          <w:sz w:val="14"/>
        </w:rPr>
      </w:pPr>
      <w:r>
        <w:rPr>
          <w:w w:val="95"/>
          <w:sz w:val="14"/>
        </w:rPr>
        <w:t>Third</w:t>
      </w:r>
      <w:r>
        <w:rPr>
          <w:spacing w:val="-4"/>
          <w:w w:val="95"/>
          <w:sz w:val="14"/>
        </w:rPr>
        <w:t xml:space="preserve"> </w:t>
      </w:r>
      <w:r>
        <w:rPr>
          <w:w w:val="95"/>
          <w:sz w:val="14"/>
        </w:rPr>
        <w:t>Horizon</w:t>
      </w:r>
      <w:r>
        <w:rPr>
          <w:spacing w:val="-1"/>
          <w:w w:val="95"/>
          <w:sz w:val="14"/>
        </w:rPr>
        <w:t xml:space="preserve"> </w:t>
      </w:r>
      <w:r>
        <w:rPr>
          <w:w w:val="95"/>
          <w:sz w:val="14"/>
        </w:rPr>
        <w:t>Consulting</w:t>
      </w:r>
      <w:r>
        <w:rPr>
          <w:spacing w:val="-1"/>
          <w:w w:val="95"/>
          <w:sz w:val="14"/>
        </w:rPr>
        <w:t xml:space="preserve"> </w:t>
      </w:r>
      <w:r>
        <w:rPr>
          <w:w w:val="95"/>
          <w:sz w:val="14"/>
        </w:rPr>
        <w:t>Partners</w:t>
      </w:r>
      <w:r>
        <w:rPr>
          <w:spacing w:val="-1"/>
          <w:w w:val="95"/>
          <w:sz w:val="14"/>
        </w:rPr>
        <w:t xml:space="preserve"> </w:t>
      </w:r>
      <w:r>
        <w:rPr>
          <w:w w:val="95"/>
          <w:sz w:val="14"/>
        </w:rPr>
        <w:t>2010,</w:t>
      </w:r>
      <w:r>
        <w:rPr>
          <w:spacing w:val="-1"/>
          <w:w w:val="95"/>
          <w:sz w:val="14"/>
        </w:rPr>
        <w:t xml:space="preserve"> </w:t>
      </w:r>
      <w:r>
        <w:rPr>
          <w:w w:val="95"/>
          <w:sz w:val="14"/>
        </w:rPr>
        <w:t>RTA</w:t>
      </w:r>
      <w:r>
        <w:rPr>
          <w:spacing w:val="-1"/>
          <w:w w:val="95"/>
          <w:sz w:val="14"/>
        </w:rPr>
        <w:t xml:space="preserve"> </w:t>
      </w:r>
      <w:r>
        <w:rPr>
          <w:w w:val="95"/>
          <w:sz w:val="14"/>
        </w:rPr>
        <w:t>Efficiency</w:t>
      </w:r>
      <w:r>
        <w:rPr>
          <w:spacing w:val="-1"/>
          <w:w w:val="95"/>
          <w:sz w:val="14"/>
        </w:rPr>
        <w:t xml:space="preserve"> </w:t>
      </w:r>
      <w:r>
        <w:rPr>
          <w:spacing w:val="-2"/>
          <w:w w:val="95"/>
          <w:sz w:val="14"/>
        </w:rPr>
        <w:t>Review.</w:t>
      </w:r>
    </w:p>
    <w:p w:rsidR="002C1123" w:rsidRDefault="002C1123">
      <w:pPr>
        <w:jc w:val="both"/>
        <w:rPr>
          <w:sz w:val="14"/>
        </w:rPr>
        <w:sectPr w:rsidR="002C1123">
          <w:type w:val="continuous"/>
          <w:pgSz w:w="16840" w:h="11910" w:orient="landscape"/>
          <w:pgMar w:top="560" w:right="280" w:bottom="280" w:left="500" w:header="0" w:footer="517" w:gutter="0"/>
          <w:cols w:num="3" w:space="720" w:equalWidth="0">
            <w:col w:w="5226" w:space="40"/>
            <w:col w:w="5037" w:space="39"/>
            <w:col w:w="5718"/>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BodyText"/>
        <w:spacing w:before="106" w:line="249" w:lineRule="auto"/>
        <w:ind w:left="775"/>
      </w:pPr>
      <w:bookmarkStart w:id="282" w:name="10.5__Access_to_markets:_bulk_export_fre"/>
      <w:bookmarkStart w:id="283" w:name="_bookmark201"/>
      <w:bookmarkStart w:id="284" w:name="_bookmark200"/>
      <w:bookmarkEnd w:id="282"/>
      <w:bookmarkEnd w:id="283"/>
      <w:bookmarkEnd w:id="284"/>
      <w:r>
        <w:rPr>
          <w:w w:val="95"/>
        </w:rPr>
        <w:t>levels</w:t>
      </w:r>
      <w:r>
        <w:rPr>
          <w:spacing w:val="-12"/>
          <w:w w:val="95"/>
        </w:rPr>
        <w:t xml:space="preserve"> </w:t>
      </w:r>
      <w:r>
        <w:rPr>
          <w:w w:val="95"/>
        </w:rPr>
        <w:t>of</w:t>
      </w:r>
      <w:r>
        <w:rPr>
          <w:spacing w:val="-11"/>
          <w:w w:val="95"/>
        </w:rPr>
        <w:t xml:space="preserve"> </w:t>
      </w:r>
      <w:r>
        <w:rPr>
          <w:w w:val="95"/>
        </w:rPr>
        <w:t>service.</w:t>
      </w:r>
      <w:r>
        <w:rPr>
          <w:spacing w:val="-11"/>
          <w:w w:val="95"/>
        </w:rPr>
        <w:t xml:space="preserve"> </w:t>
      </w:r>
      <w:r>
        <w:rPr>
          <w:w w:val="95"/>
        </w:rPr>
        <w:t>For</w:t>
      </w:r>
      <w:r>
        <w:rPr>
          <w:spacing w:val="-11"/>
          <w:w w:val="95"/>
        </w:rPr>
        <w:t xml:space="preserve"> </w:t>
      </w:r>
      <w:r>
        <w:rPr>
          <w:w w:val="95"/>
        </w:rPr>
        <w:t>instance,</w:t>
      </w:r>
      <w:r>
        <w:rPr>
          <w:spacing w:val="-11"/>
          <w:w w:val="95"/>
        </w:rPr>
        <w:t xml:space="preserve"> </w:t>
      </w:r>
      <w:r>
        <w:rPr>
          <w:w w:val="95"/>
        </w:rPr>
        <w:t>life</w:t>
      </w:r>
      <w:r>
        <w:rPr>
          <w:spacing w:val="-11"/>
          <w:w w:val="95"/>
        </w:rPr>
        <w:t xml:space="preserve"> </w:t>
      </w:r>
      <w:r>
        <w:rPr>
          <w:w w:val="95"/>
        </w:rPr>
        <w:t>cycle</w:t>
      </w:r>
      <w:r>
        <w:rPr>
          <w:spacing w:val="-11"/>
          <w:w w:val="95"/>
        </w:rPr>
        <w:t xml:space="preserve"> </w:t>
      </w:r>
      <w:r>
        <w:rPr>
          <w:w w:val="95"/>
        </w:rPr>
        <w:t xml:space="preserve">expenditure </w:t>
      </w:r>
      <w:r>
        <w:t>(maintenance</w:t>
      </w:r>
      <w:r>
        <w:rPr>
          <w:spacing w:val="-10"/>
        </w:rPr>
        <w:t xml:space="preserve"> </w:t>
      </w:r>
      <w:r>
        <w:t>and</w:t>
      </w:r>
      <w:r>
        <w:rPr>
          <w:spacing w:val="-10"/>
        </w:rPr>
        <w:t xml:space="preserve"> </w:t>
      </w:r>
      <w:r>
        <w:t>renewal)</w:t>
      </w:r>
      <w:r>
        <w:rPr>
          <w:spacing w:val="-10"/>
        </w:rPr>
        <w:t xml:space="preserve"> </w:t>
      </w:r>
      <w:r>
        <w:t>for</w:t>
      </w:r>
      <w:r>
        <w:rPr>
          <w:spacing w:val="-10"/>
        </w:rPr>
        <w:t xml:space="preserve"> </w:t>
      </w:r>
      <w:r>
        <w:t>2008–09</w:t>
      </w:r>
      <w:r>
        <w:rPr>
          <w:spacing w:val="-10"/>
        </w:rPr>
        <w:t xml:space="preserve"> </w:t>
      </w:r>
      <w:r>
        <w:t>was estimated</w:t>
      </w:r>
      <w:r>
        <w:rPr>
          <w:spacing w:val="-9"/>
        </w:rPr>
        <w:t xml:space="preserve"> </w:t>
      </w:r>
      <w:r>
        <w:t>to</w:t>
      </w:r>
      <w:r>
        <w:rPr>
          <w:spacing w:val="-9"/>
        </w:rPr>
        <w:t xml:space="preserve"> </w:t>
      </w:r>
      <w:r>
        <w:t>be</w:t>
      </w:r>
      <w:r>
        <w:rPr>
          <w:spacing w:val="-9"/>
        </w:rPr>
        <w:t xml:space="preserve"> </w:t>
      </w:r>
      <w:r>
        <w:t>79</w:t>
      </w:r>
      <w:r>
        <w:rPr>
          <w:spacing w:val="-9"/>
        </w:rPr>
        <w:t xml:space="preserve"> </w:t>
      </w:r>
      <w:r>
        <w:t>percent</w:t>
      </w:r>
      <w:r>
        <w:rPr>
          <w:spacing w:val="-9"/>
        </w:rPr>
        <w:t xml:space="preserve"> </w:t>
      </w:r>
      <w:r>
        <w:t>of</w:t>
      </w:r>
      <w:r>
        <w:rPr>
          <w:spacing w:val="-9"/>
        </w:rPr>
        <w:t xml:space="preserve"> </w:t>
      </w:r>
      <w:r>
        <w:t>life</w:t>
      </w:r>
      <w:r>
        <w:rPr>
          <w:spacing w:val="-9"/>
        </w:rPr>
        <w:t xml:space="preserve"> </w:t>
      </w:r>
      <w:r>
        <w:t>cycle</w:t>
      </w:r>
      <w:r>
        <w:rPr>
          <w:spacing w:val="-9"/>
        </w:rPr>
        <w:t xml:space="preserve"> </w:t>
      </w:r>
      <w:r>
        <w:t>cost</w:t>
      </w:r>
      <w:r>
        <w:rPr>
          <w:position w:val="7"/>
          <w:sz w:val="11"/>
        </w:rPr>
        <w:t>17</w:t>
      </w:r>
      <w:r>
        <w:t>.</w:t>
      </w:r>
    </w:p>
    <w:p w:rsidR="002C1123" w:rsidRDefault="00F22F94">
      <w:pPr>
        <w:pStyle w:val="ListParagraph"/>
        <w:numPr>
          <w:ilvl w:val="1"/>
          <w:numId w:val="73"/>
        </w:numPr>
        <w:tabs>
          <w:tab w:val="left" w:pos="776"/>
        </w:tabs>
        <w:spacing w:before="132" w:line="249" w:lineRule="auto"/>
        <w:ind w:right="44"/>
        <w:rPr>
          <w:rFonts w:ascii="Tahoma" w:hAnsi="Tahoma"/>
          <w:sz w:val="20"/>
        </w:rPr>
      </w:pPr>
      <w:r>
        <w:rPr>
          <w:sz w:val="20"/>
        </w:rPr>
        <w:t xml:space="preserve">Weak link between users and funding: Much road </w:t>
      </w:r>
      <w:r>
        <w:rPr>
          <w:w w:val="95"/>
          <w:sz w:val="20"/>
        </w:rPr>
        <w:t>damage</w:t>
      </w:r>
      <w:r>
        <w:rPr>
          <w:spacing w:val="-3"/>
          <w:w w:val="95"/>
          <w:sz w:val="20"/>
        </w:rPr>
        <w:t xml:space="preserve"> </w:t>
      </w:r>
      <w:r>
        <w:rPr>
          <w:w w:val="95"/>
          <w:sz w:val="20"/>
        </w:rPr>
        <w:t>on</w:t>
      </w:r>
      <w:r>
        <w:rPr>
          <w:spacing w:val="-3"/>
          <w:w w:val="95"/>
          <w:sz w:val="20"/>
        </w:rPr>
        <w:t xml:space="preserve"> </w:t>
      </w:r>
      <w:r>
        <w:rPr>
          <w:w w:val="95"/>
          <w:sz w:val="20"/>
        </w:rPr>
        <w:t>regional</w:t>
      </w:r>
      <w:r>
        <w:rPr>
          <w:spacing w:val="-3"/>
          <w:w w:val="95"/>
          <w:sz w:val="20"/>
        </w:rPr>
        <w:t xml:space="preserve"> </w:t>
      </w:r>
      <w:r>
        <w:rPr>
          <w:w w:val="95"/>
          <w:sz w:val="20"/>
        </w:rPr>
        <w:t>roads</w:t>
      </w:r>
      <w:r>
        <w:rPr>
          <w:spacing w:val="-3"/>
          <w:w w:val="95"/>
          <w:sz w:val="20"/>
        </w:rPr>
        <w:t xml:space="preserve"> </w:t>
      </w:r>
      <w:r>
        <w:rPr>
          <w:w w:val="95"/>
          <w:sz w:val="20"/>
        </w:rPr>
        <w:t>can</w:t>
      </w:r>
      <w:r>
        <w:rPr>
          <w:spacing w:val="-3"/>
          <w:w w:val="95"/>
          <w:sz w:val="20"/>
        </w:rPr>
        <w:t xml:space="preserve"> </w:t>
      </w:r>
      <w:r>
        <w:rPr>
          <w:w w:val="95"/>
          <w:sz w:val="20"/>
        </w:rPr>
        <w:t>be</w:t>
      </w:r>
      <w:r>
        <w:rPr>
          <w:spacing w:val="-3"/>
          <w:w w:val="95"/>
          <w:sz w:val="20"/>
        </w:rPr>
        <w:t xml:space="preserve"> </w:t>
      </w:r>
      <w:r>
        <w:rPr>
          <w:w w:val="95"/>
          <w:sz w:val="20"/>
        </w:rPr>
        <w:t>attributed</w:t>
      </w:r>
      <w:r>
        <w:rPr>
          <w:spacing w:val="-3"/>
          <w:w w:val="95"/>
          <w:sz w:val="20"/>
        </w:rPr>
        <w:t xml:space="preserve"> </w:t>
      </w:r>
      <w:r>
        <w:rPr>
          <w:w w:val="95"/>
          <w:sz w:val="20"/>
        </w:rPr>
        <w:t>to</w:t>
      </w:r>
      <w:r>
        <w:rPr>
          <w:spacing w:val="-3"/>
          <w:w w:val="95"/>
          <w:sz w:val="20"/>
        </w:rPr>
        <w:t xml:space="preserve"> </w:t>
      </w:r>
      <w:r>
        <w:rPr>
          <w:w w:val="95"/>
          <w:sz w:val="20"/>
        </w:rPr>
        <w:t xml:space="preserve">heavy vehicles. However fees, charges and taxes imposed </w:t>
      </w:r>
      <w:r>
        <w:rPr>
          <w:sz w:val="20"/>
        </w:rPr>
        <w:t>on</w:t>
      </w:r>
      <w:r>
        <w:rPr>
          <w:spacing w:val="-14"/>
          <w:sz w:val="20"/>
        </w:rPr>
        <w:t xml:space="preserve"> </w:t>
      </w:r>
      <w:r>
        <w:rPr>
          <w:sz w:val="20"/>
        </w:rPr>
        <w:t>heavy</w:t>
      </w:r>
      <w:r>
        <w:rPr>
          <w:spacing w:val="-14"/>
          <w:sz w:val="20"/>
        </w:rPr>
        <w:t xml:space="preserve"> </w:t>
      </w:r>
      <w:r>
        <w:rPr>
          <w:sz w:val="20"/>
        </w:rPr>
        <w:t>vehicles</w:t>
      </w:r>
      <w:r>
        <w:rPr>
          <w:spacing w:val="-14"/>
          <w:sz w:val="20"/>
        </w:rPr>
        <w:t xml:space="preserve"> </w:t>
      </w:r>
      <w:r>
        <w:rPr>
          <w:sz w:val="20"/>
        </w:rPr>
        <w:t>are</w:t>
      </w:r>
      <w:r>
        <w:rPr>
          <w:spacing w:val="-14"/>
          <w:sz w:val="20"/>
        </w:rPr>
        <w:t xml:space="preserve"> </w:t>
      </w:r>
      <w:r>
        <w:rPr>
          <w:sz w:val="20"/>
        </w:rPr>
        <w:t>collected</w:t>
      </w:r>
      <w:r>
        <w:rPr>
          <w:spacing w:val="-14"/>
          <w:sz w:val="20"/>
        </w:rPr>
        <w:t xml:space="preserve"> </w:t>
      </w:r>
      <w:r>
        <w:rPr>
          <w:sz w:val="20"/>
        </w:rPr>
        <w:t>at</w:t>
      </w:r>
      <w:r>
        <w:rPr>
          <w:spacing w:val="-14"/>
          <w:sz w:val="20"/>
        </w:rPr>
        <w:t xml:space="preserve"> </w:t>
      </w:r>
      <w:r>
        <w:rPr>
          <w:sz w:val="20"/>
        </w:rPr>
        <w:t>the</w:t>
      </w:r>
      <w:r>
        <w:rPr>
          <w:spacing w:val="-14"/>
          <w:sz w:val="20"/>
        </w:rPr>
        <w:t xml:space="preserve"> </w:t>
      </w:r>
      <w:r>
        <w:rPr>
          <w:sz w:val="20"/>
        </w:rPr>
        <w:t>State</w:t>
      </w:r>
      <w:r>
        <w:rPr>
          <w:spacing w:val="-14"/>
          <w:sz w:val="20"/>
        </w:rPr>
        <w:t xml:space="preserve"> </w:t>
      </w:r>
      <w:r>
        <w:rPr>
          <w:sz w:val="20"/>
        </w:rPr>
        <w:t>level.</w:t>
      </w:r>
    </w:p>
    <w:p w:rsidR="002C1123" w:rsidRDefault="00F22F94">
      <w:pPr>
        <w:pStyle w:val="BodyText"/>
        <w:spacing w:before="144" w:line="249" w:lineRule="auto"/>
        <w:ind w:left="492" w:right="442"/>
      </w:pPr>
      <w:r>
        <w:t>International</w:t>
      </w:r>
      <w:r>
        <w:rPr>
          <w:spacing w:val="-9"/>
        </w:rPr>
        <w:t xml:space="preserve"> </w:t>
      </w:r>
      <w:r>
        <w:t>and</w:t>
      </w:r>
      <w:r>
        <w:rPr>
          <w:spacing w:val="-9"/>
        </w:rPr>
        <w:t xml:space="preserve"> </w:t>
      </w:r>
      <w:r>
        <w:t>domestic</w:t>
      </w:r>
      <w:r>
        <w:rPr>
          <w:spacing w:val="-9"/>
        </w:rPr>
        <w:t xml:space="preserve"> </w:t>
      </w:r>
      <w:r>
        <w:t>experience</w:t>
      </w:r>
      <w:r>
        <w:rPr>
          <w:spacing w:val="-9"/>
        </w:rPr>
        <w:t xml:space="preserve"> </w:t>
      </w:r>
      <w:r>
        <w:t xml:space="preserve">suggests </w:t>
      </w:r>
      <w:r>
        <w:rPr>
          <w:w w:val="95"/>
        </w:rPr>
        <w:t>outsourcing of road maintenance has the potential to</w:t>
      </w:r>
      <w:r>
        <w:rPr>
          <w:spacing w:val="-4"/>
          <w:w w:val="95"/>
        </w:rPr>
        <w:t xml:space="preserve"> </w:t>
      </w:r>
      <w:r>
        <w:rPr>
          <w:w w:val="95"/>
        </w:rPr>
        <w:t>deliver</w:t>
      </w:r>
      <w:r>
        <w:rPr>
          <w:spacing w:val="-4"/>
          <w:w w:val="95"/>
        </w:rPr>
        <w:t xml:space="preserve"> </w:t>
      </w:r>
      <w:r>
        <w:rPr>
          <w:w w:val="95"/>
        </w:rPr>
        <w:t>cost</w:t>
      </w:r>
      <w:r>
        <w:rPr>
          <w:spacing w:val="-4"/>
          <w:w w:val="95"/>
        </w:rPr>
        <w:t xml:space="preserve"> </w:t>
      </w:r>
      <w:r>
        <w:rPr>
          <w:w w:val="95"/>
        </w:rPr>
        <w:t>efficiencies</w:t>
      </w:r>
      <w:r>
        <w:rPr>
          <w:spacing w:val="-4"/>
          <w:w w:val="95"/>
        </w:rPr>
        <w:t xml:space="preserve"> </w:t>
      </w:r>
      <w:r>
        <w:rPr>
          <w:w w:val="95"/>
        </w:rPr>
        <w:t>and</w:t>
      </w:r>
      <w:r>
        <w:rPr>
          <w:spacing w:val="-4"/>
          <w:w w:val="95"/>
        </w:rPr>
        <w:t xml:space="preserve"> </w:t>
      </w:r>
      <w:r>
        <w:rPr>
          <w:w w:val="95"/>
        </w:rPr>
        <w:t>(where</w:t>
      </w:r>
      <w:r>
        <w:rPr>
          <w:spacing w:val="-4"/>
          <w:w w:val="95"/>
        </w:rPr>
        <w:t xml:space="preserve"> </w:t>
      </w:r>
      <w:r>
        <w:rPr>
          <w:w w:val="95"/>
        </w:rPr>
        <w:t>performance</w:t>
      </w:r>
    </w:p>
    <w:p w:rsidR="002C1123" w:rsidRDefault="00F22F94">
      <w:pPr>
        <w:pStyle w:val="BodyText"/>
        <w:spacing w:before="3" w:line="249" w:lineRule="auto"/>
        <w:ind w:left="492"/>
      </w:pPr>
      <w:r>
        <w:rPr>
          <w:w w:val="95"/>
        </w:rPr>
        <w:t xml:space="preserve">contracts are adequately designed and benchmarked) </w:t>
      </w:r>
      <w:r>
        <w:t>improved asset conditions.</w:t>
      </w:r>
    </w:p>
    <w:p w:rsidR="002C1123" w:rsidRDefault="00F22F94">
      <w:pPr>
        <w:pStyle w:val="BodyText"/>
        <w:spacing w:before="143" w:line="249" w:lineRule="auto"/>
        <w:ind w:left="492"/>
      </w:pPr>
      <w:r>
        <w:rPr>
          <w:w w:val="95"/>
        </w:rPr>
        <w:t xml:space="preserve">Infrastructure NSW supports the approach set out by the </w:t>
      </w:r>
      <w:r>
        <w:t>NSW</w:t>
      </w:r>
      <w:r>
        <w:rPr>
          <w:spacing w:val="-14"/>
        </w:rPr>
        <w:t xml:space="preserve"> </w:t>
      </w:r>
      <w:r>
        <w:t>Commission</w:t>
      </w:r>
      <w:r>
        <w:rPr>
          <w:spacing w:val="-14"/>
        </w:rPr>
        <w:t xml:space="preserve"> </w:t>
      </w:r>
      <w:r>
        <w:t>of</w:t>
      </w:r>
      <w:r>
        <w:rPr>
          <w:spacing w:val="-14"/>
        </w:rPr>
        <w:t xml:space="preserve"> </w:t>
      </w:r>
      <w:r>
        <w:t>Audit</w:t>
      </w:r>
      <w:r>
        <w:rPr>
          <w:spacing w:val="-14"/>
        </w:rPr>
        <w:t xml:space="preserve"> </w:t>
      </w:r>
      <w:r>
        <w:t>to</w:t>
      </w:r>
      <w:r>
        <w:rPr>
          <w:spacing w:val="-14"/>
        </w:rPr>
        <w:t xml:space="preserve"> </w:t>
      </w:r>
      <w:r>
        <w:t>improve</w:t>
      </w:r>
      <w:r>
        <w:rPr>
          <w:spacing w:val="-14"/>
        </w:rPr>
        <w:t xml:space="preserve"> </w:t>
      </w:r>
      <w:r>
        <w:t>the</w:t>
      </w:r>
      <w:r>
        <w:rPr>
          <w:spacing w:val="-14"/>
        </w:rPr>
        <w:t xml:space="preserve"> </w:t>
      </w:r>
      <w:r>
        <w:t>efficiency,</w:t>
      </w:r>
      <w:r>
        <w:rPr>
          <w:spacing w:val="-14"/>
        </w:rPr>
        <w:t xml:space="preserve"> </w:t>
      </w:r>
      <w:r>
        <w:t>of local</w:t>
      </w:r>
      <w:r>
        <w:rPr>
          <w:spacing w:val="-14"/>
        </w:rPr>
        <w:t xml:space="preserve"> </w:t>
      </w:r>
      <w:r>
        <w:t>road</w:t>
      </w:r>
      <w:r>
        <w:rPr>
          <w:spacing w:val="-14"/>
        </w:rPr>
        <w:t xml:space="preserve"> </w:t>
      </w:r>
      <w:r>
        <w:t>maintenance.</w:t>
      </w:r>
      <w:r>
        <w:rPr>
          <w:spacing w:val="-14"/>
        </w:rPr>
        <w:t xml:space="preserve"> </w:t>
      </w:r>
      <w:r>
        <w:t>This</w:t>
      </w:r>
      <w:r>
        <w:rPr>
          <w:spacing w:val="-14"/>
        </w:rPr>
        <w:t xml:space="preserve"> </w:t>
      </w:r>
      <w:r>
        <w:t>includes</w:t>
      </w:r>
      <w:r>
        <w:rPr>
          <w:spacing w:val="-14"/>
        </w:rPr>
        <w:t xml:space="preserve"> </w:t>
      </w:r>
      <w:r>
        <w:t>greater</w:t>
      </w:r>
      <w:r>
        <w:rPr>
          <w:spacing w:val="-14"/>
        </w:rPr>
        <w:t xml:space="preserve"> </w:t>
      </w:r>
      <w:r>
        <w:t>bundling of</w:t>
      </w:r>
      <w:r>
        <w:rPr>
          <w:spacing w:val="-11"/>
        </w:rPr>
        <w:t xml:space="preserve"> </w:t>
      </w:r>
      <w:r>
        <w:t>multiple</w:t>
      </w:r>
      <w:r>
        <w:rPr>
          <w:spacing w:val="-11"/>
        </w:rPr>
        <w:t xml:space="preserve"> </w:t>
      </w:r>
      <w:r>
        <w:t>council</w:t>
      </w:r>
      <w:r>
        <w:rPr>
          <w:spacing w:val="-11"/>
        </w:rPr>
        <w:t xml:space="preserve"> </w:t>
      </w:r>
      <w:r>
        <w:t>road</w:t>
      </w:r>
      <w:r>
        <w:rPr>
          <w:spacing w:val="-11"/>
        </w:rPr>
        <w:t xml:space="preserve"> </w:t>
      </w:r>
      <w:r>
        <w:t>contracts</w:t>
      </w:r>
      <w:r>
        <w:rPr>
          <w:spacing w:val="-11"/>
        </w:rPr>
        <w:t xml:space="preserve"> </w:t>
      </w:r>
      <w:r>
        <w:t>to</w:t>
      </w:r>
      <w:r>
        <w:rPr>
          <w:spacing w:val="-11"/>
        </w:rPr>
        <w:t xml:space="preserve"> </w:t>
      </w:r>
      <w:r>
        <w:t>realise</w:t>
      </w:r>
      <w:r>
        <w:rPr>
          <w:spacing w:val="-11"/>
        </w:rPr>
        <w:t xml:space="preserve"> </w:t>
      </w:r>
      <w:r>
        <w:t>economies of</w:t>
      </w:r>
      <w:r>
        <w:rPr>
          <w:spacing w:val="-11"/>
        </w:rPr>
        <w:t xml:space="preserve"> </w:t>
      </w:r>
      <w:r>
        <w:t>scale.</w:t>
      </w:r>
    </w:p>
    <w:p w:rsidR="002C1123" w:rsidRDefault="002C1123">
      <w:pPr>
        <w:pStyle w:val="BodyText"/>
        <w:spacing w:before="3"/>
        <w:rPr>
          <w:sz w:val="25"/>
        </w:rPr>
      </w:pPr>
    </w:p>
    <w:p w:rsidR="002C1123" w:rsidRDefault="00F22F94">
      <w:pPr>
        <w:pStyle w:val="Heading5"/>
        <w:numPr>
          <w:ilvl w:val="1"/>
          <w:numId w:val="68"/>
        </w:numPr>
        <w:tabs>
          <w:tab w:val="left" w:pos="1093"/>
        </w:tabs>
        <w:spacing w:before="0" w:line="223" w:lineRule="auto"/>
        <w:ind w:right="1701"/>
        <w:jc w:val="left"/>
      </w:pPr>
      <w:r>
        <w:rPr>
          <w:color w:val="00AEEF"/>
          <w:spacing w:val="-4"/>
        </w:rPr>
        <w:t>Access</w:t>
      </w:r>
      <w:r>
        <w:rPr>
          <w:color w:val="00AEEF"/>
          <w:spacing w:val="-16"/>
        </w:rPr>
        <w:t xml:space="preserve"> </w:t>
      </w:r>
      <w:r>
        <w:rPr>
          <w:color w:val="00AEEF"/>
          <w:spacing w:val="-4"/>
        </w:rPr>
        <w:t>to</w:t>
      </w:r>
      <w:r>
        <w:rPr>
          <w:color w:val="00AEEF"/>
          <w:spacing w:val="-15"/>
        </w:rPr>
        <w:t xml:space="preserve"> </w:t>
      </w:r>
      <w:r>
        <w:rPr>
          <w:color w:val="00AEEF"/>
          <w:spacing w:val="-4"/>
        </w:rPr>
        <w:t xml:space="preserve">markets: </w:t>
      </w:r>
      <w:r>
        <w:rPr>
          <w:color w:val="00AEEF"/>
        </w:rPr>
        <w:t>bulk</w:t>
      </w:r>
      <w:r>
        <w:rPr>
          <w:color w:val="00AEEF"/>
          <w:spacing w:val="-3"/>
        </w:rPr>
        <w:t xml:space="preserve"> </w:t>
      </w:r>
      <w:r>
        <w:rPr>
          <w:color w:val="00AEEF"/>
        </w:rPr>
        <w:t>export</w:t>
      </w:r>
      <w:r>
        <w:rPr>
          <w:color w:val="00AEEF"/>
          <w:spacing w:val="-3"/>
        </w:rPr>
        <w:t xml:space="preserve"> </w:t>
      </w:r>
      <w:r>
        <w:rPr>
          <w:color w:val="00AEEF"/>
        </w:rPr>
        <w:t>freight</w:t>
      </w:r>
    </w:p>
    <w:p w:rsidR="002C1123" w:rsidRDefault="00F22F94">
      <w:pPr>
        <w:pStyle w:val="BodyText"/>
        <w:spacing w:before="140" w:line="249" w:lineRule="auto"/>
        <w:ind w:left="492"/>
      </w:pPr>
      <w:r>
        <w:t>This</w:t>
      </w:r>
      <w:r>
        <w:rPr>
          <w:spacing w:val="-6"/>
        </w:rPr>
        <w:t xml:space="preserve"> </w:t>
      </w:r>
      <w:r>
        <w:t>section</w:t>
      </w:r>
      <w:r>
        <w:rPr>
          <w:spacing w:val="-6"/>
        </w:rPr>
        <w:t xml:space="preserve"> </w:t>
      </w:r>
      <w:r>
        <w:t>considers</w:t>
      </w:r>
      <w:r>
        <w:rPr>
          <w:spacing w:val="-6"/>
        </w:rPr>
        <w:t xml:space="preserve"> </w:t>
      </w:r>
      <w:r>
        <w:t>the</w:t>
      </w:r>
      <w:r>
        <w:rPr>
          <w:spacing w:val="-6"/>
        </w:rPr>
        <w:t xml:space="preserve"> </w:t>
      </w:r>
      <w:r>
        <w:t>portside</w:t>
      </w:r>
      <w:r>
        <w:rPr>
          <w:spacing w:val="-6"/>
        </w:rPr>
        <w:t xml:space="preserve"> </w:t>
      </w:r>
      <w:r>
        <w:t>and</w:t>
      </w:r>
      <w:r>
        <w:rPr>
          <w:spacing w:val="-6"/>
        </w:rPr>
        <w:t xml:space="preserve"> </w:t>
      </w:r>
      <w:r>
        <w:t xml:space="preserve">landside </w:t>
      </w:r>
      <w:r>
        <w:rPr>
          <w:w w:val="95"/>
        </w:rPr>
        <w:t xml:space="preserve">infrastructure required to support bulk export freight </w:t>
      </w:r>
      <w:r>
        <w:t>movements</w:t>
      </w:r>
      <w:r>
        <w:rPr>
          <w:spacing w:val="-6"/>
        </w:rPr>
        <w:t xml:space="preserve"> </w:t>
      </w:r>
      <w:r>
        <w:t>through</w:t>
      </w:r>
      <w:r>
        <w:rPr>
          <w:spacing w:val="-6"/>
        </w:rPr>
        <w:t xml:space="preserve"> </w:t>
      </w:r>
      <w:r>
        <w:t>Port</w:t>
      </w:r>
      <w:r>
        <w:rPr>
          <w:spacing w:val="-6"/>
        </w:rPr>
        <w:t xml:space="preserve"> </w:t>
      </w:r>
      <w:r>
        <w:t>Kembla</w:t>
      </w:r>
      <w:r>
        <w:rPr>
          <w:spacing w:val="-6"/>
        </w:rPr>
        <w:t xml:space="preserve"> </w:t>
      </w:r>
      <w:r>
        <w:t>and</w:t>
      </w:r>
      <w:r>
        <w:rPr>
          <w:spacing w:val="-6"/>
        </w:rPr>
        <w:t xml:space="preserve"> </w:t>
      </w:r>
      <w:r>
        <w:t>the</w:t>
      </w:r>
      <w:r>
        <w:rPr>
          <w:spacing w:val="-6"/>
        </w:rPr>
        <w:t xml:space="preserve"> </w:t>
      </w:r>
      <w:r>
        <w:t>Port</w:t>
      </w:r>
      <w:r>
        <w:rPr>
          <w:spacing w:val="-6"/>
        </w:rPr>
        <w:t xml:space="preserve"> </w:t>
      </w:r>
      <w:r>
        <w:t xml:space="preserve">of </w:t>
      </w:r>
      <w:r>
        <w:rPr>
          <w:w w:val="95"/>
        </w:rPr>
        <w:t>Newcastle.</w:t>
      </w:r>
      <w:r>
        <w:rPr>
          <w:spacing w:val="-3"/>
          <w:w w:val="95"/>
        </w:rPr>
        <w:t xml:space="preserve"> </w:t>
      </w:r>
      <w:r>
        <w:rPr>
          <w:w w:val="95"/>
        </w:rPr>
        <w:t>These</w:t>
      </w:r>
      <w:r>
        <w:rPr>
          <w:spacing w:val="-3"/>
          <w:w w:val="95"/>
        </w:rPr>
        <w:t xml:space="preserve"> </w:t>
      </w:r>
      <w:r>
        <w:rPr>
          <w:w w:val="95"/>
        </w:rPr>
        <w:t>exports</w:t>
      </w:r>
      <w:r>
        <w:rPr>
          <w:spacing w:val="-3"/>
          <w:w w:val="95"/>
        </w:rPr>
        <w:t xml:space="preserve"> </w:t>
      </w:r>
      <w:r>
        <w:rPr>
          <w:w w:val="95"/>
        </w:rPr>
        <w:t>are</w:t>
      </w:r>
      <w:r>
        <w:rPr>
          <w:spacing w:val="-3"/>
          <w:w w:val="95"/>
        </w:rPr>
        <w:t xml:space="preserve"> </w:t>
      </w:r>
      <w:r>
        <w:rPr>
          <w:w w:val="95"/>
        </w:rPr>
        <w:t>important</w:t>
      </w:r>
      <w:r>
        <w:rPr>
          <w:spacing w:val="-3"/>
          <w:w w:val="95"/>
        </w:rPr>
        <w:t xml:space="preserve"> </w:t>
      </w:r>
      <w:r>
        <w:rPr>
          <w:w w:val="95"/>
        </w:rPr>
        <w:t>to</w:t>
      </w:r>
      <w:r>
        <w:rPr>
          <w:spacing w:val="-3"/>
          <w:w w:val="95"/>
        </w:rPr>
        <w:t xml:space="preserve"> </w:t>
      </w:r>
      <w:r>
        <w:rPr>
          <w:w w:val="95"/>
        </w:rPr>
        <w:t>the</w:t>
      </w:r>
      <w:r>
        <w:rPr>
          <w:spacing w:val="-3"/>
          <w:w w:val="95"/>
        </w:rPr>
        <w:t xml:space="preserve"> </w:t>
      </w:r>
      <w:r>
        <w:rPr>
          <w:w w:val="95"/>
        </w:rPr>
        <w:t xml:space="preserve">NSW </w:t>
      </w:r>
      <w:r>
        <w:t>economy</w:t>
      </w:r>
      <w:r>
        <w:rPr>
          <w:spacing w:val="-5"/>
        </w:rPr>
        <w:t xml:space="preserve"> </w:t>
      </w:r>
      <w:r>
        <w:t>and</w:t>
      </w:r>
      <w:r>
        <w:rPr>
          <w:spacing w:val="-5"/>
        </w:rPr>
        <w:t xml:space="preserve"> </w:t>
      </w:r>
      <w:r>
        <w:t>are</w:t>
      </w:r>
      <w:r>
        <w:rPr>
          <w:spacing w:val="-5"/>
        </w:rPr>
        <w:t xml:space="preserve"> </w:t>
      </w:r>
      <w:r>
        <w:t>forecast</w:t>
      </w:r>
      <w:r>
        <w:rPr>
          <w:spacing w:val="-5"/>
        </w:rPr>
        <w:t xml:space="preserve"> </w:t>
      </w:r>
      <w:r>
        <w:t>to</w:t>
      </w:r>
      <w:r>
        <w:rPr>
          <w:spacing w:val="-5"/>
        </w:rPr>
        <w:t xml:space="preserve"> </w:t>
      </w:r>
      <w:r>
        <w:t>grow</w:t>
      </w:r>
      <w:r>
        <w:rPr>
          <w:spacing w:val="-5"/>
        </w:rPr>
        <w:t xml:space="preserve"> </w:t>
      </w:r>
      <w:r>
        <w:t>rapidly.</w:t>
      </w:r>
    </w:p>
    <w:p w:rsidR="002C1123" w:rsidRDefault="00F22F94">
      <w:pPr>
        <w:pStyle w:val="BodyText"/>
        <w:spacing w:before="146" w:line="249" w:lineRule="auto"/>
        <w:ind w:left="492" w:right="41"/>
      </w:pPr>
      <w:r>
        <w:rPr>
          <w:w w:val="95"/>
        </w:rPr>
        <w:t>Bulk</w:t>
      </w:r>
      <w:r>
        <w:rPr>
          <w:spacing w:val="-4"/>
          <w:w w:val="95"/>
        </w:rPr>
        <w:t xml:space="preserve"> </w:t>
      </w:r>
      <w:r>
        <w:rPr>
          <w:w w:val="95"/>
        </w:rPr>
        <w:t>exports</w:t>
      </w:r>
      <w:r>
        <w:rPr>
          <w:spacing w:val="-4"/>
          <w:w w:val="95"/>
        </w:rPr>
        <w:t xml:space="preserve"> </w:t>
      </w:r>
      <w:r>
        <w:rPr>
          <w:w w:val="95"/>
        </w:rPr>
        <w:t>include</w:t>
      </w:r>
      <w:r>
        <w:rPr>
          <w:spacing w:val="-4"/>
          <w:w w:val="95"/>
        </w:rPr>
        <w:t xml:space="preserve"> </w:t>
      </w:r>
      <w:r>
        <w:rPr>
          <w:w w:val="95"/>
        </w:rPr>
        <w:t>coal,</w:t>
      </w:r>
      <w:r>
        <w:rPr>
          <w:spacing w:val="-4"/>
          <w:w w:val="95"/>
        </w:rPr>
        <w:t xml:space="preserve"> </w:t>
      </w:r>
      <w:r>
        <w:rPr>
          <w:w w:val="95"/>
        </w:rPr>
        <w:t>grain,</w:t>
      </w:r>
      <w:r>
        <w:rPr>
          <w:spacing w:val="-4"/>
          <w:w w:val="95"/>
        </w:rPr>
        <w:t xml:space="preserve"> </w:t>
      </w:r>
      <w:r>
        <w:rPr>
          <w:w w:val="95"/>
        </w:rPr>
        <w:t>timber</w:t>
      </w:r>
      <w:r>
        <w:rPr>
          <w:spacing w:val="-4"/>
          <w:w w:val="95"/>
        </w:rPr>
        <w:t xml:space="preserve"> </w:t>
      </w:r>
      <w:r>
        <w:rPr>
          <w:w w:val="95"/>
        </w:rPr>
        <w:t>and</w:t>
      </w:r>
      <w:r>
        <w:rPr>
          <w:spacing w:val="-4"/>
          <w:w w:val="95"/>
        </w:rPr>
        <w:t xml:space="preserve"> </w:t>
      </w:r>
      <w:r>
        <w:rPr>
          <w:w w:val="95"/>
        </w:rPr>
        <w:t xml:space="preserve">minerals. </w:t>
      </w:r>
      <w:r>
        <w:t>The</w:t>
      </w:r>
      <w:r>
        <w:rPr>
          <w:spacing w:val="-11"/>
        </w:rPr>
        <w:t xml:space="preserve"> </w:t>
      </w:r>
      <w:r>
        <w:t>majority</w:t>
      </w:r>
      <w:r>
        <w:rPr>
          <w:spacing w:val="-11"/>
        </w:rPr>
        <w:t xml:space="preserve"> </w:t>
      </w:r>
      <w:r>
        <w:t>of</w:t>
      </w:r>
      <w:r>
        <w:rPr>
          <w:spacing w:val="-11"/>
        </w:rPr>
        <w:t xml:space="preserve"> </w:t>
      </w:r>
      <w:r>
        <w:t>export</w:t>
      </w:r>
      <w:r>
        <w:rPr>
          <w:spacing w:val="-11"/>
        </w:rPr>
        <w:t xml:space="preserve"> </w:t>
      </w:r>
      <w:r>
        <w:t>bulk</w:t>
      </w:r>
      <w:r>
        <w:rPr>
          <w:spacing w:val="-11"/>
        </w:rPr>
        <w:t xml:space="preserve"> </w:t>
      </w:r>
      <w:r>
        <w:t>commodities</w:t>
      </w:r>
      <w:r>
        <w:rPr>
          <w:spacing w:val="-11"/>
        </w:rPr>
        <w:t xml:space="preserve"> </w:t>
      </w:r>
      <w:r>
        <w:t>utilise</w:t>
      </w:r>
      <w:r>
        <w:rPr>
          <w:spacing w:val="-11"/>
        </w:rPr>
        <w:t xml:space="preserve"> </w:t>
      </w:r>
      <w:r>
        <w:t xml:space="preserve">rail </w:t>
      </w:r>
      <w:r>
        <w:rPr>
          <w:w w:val="95"/>
        </w:rPr>
        <w:t>infrastructure</w:t>
      </w:r>
      <w:r>
        <w:rPr>
          <w:spacing w:val="-3"/>
          <w:w w:val="95"/>
        </w:rPr>
        <w:t xml:space="preserve"> </w:t>
      </w:r>
      <w:r>
        <w:rPr>
          <w:w w:val="95"/>
        </w:rPr>
        <w:t>to</w:t>
      </w:r>
      <w:r>
        <w:rPr>
          <w:spacing w:val="-3"/>
          <w:w w:val="95"/>
        </w:rPr>
        <w:t xml:space="preserve"> </w:t>
      </w:r>
      <w:r>
        <w:rPr>
          <w:w w:val="95"/>
        </w:rPr>
        <w:t>access</w:t>
      </w:r>
      <w:r>
        <w:rPr>
          <w:spacing w:val="-3"/>
          <w:w w:val="95"/>
        </w:rPr>
        <w:t xml:space="preserve"> </w:t>
      </w:r>
      <w:r>
        <w:rPr>
          <w:w w:val="95"/>
        </w:rPr>
        <w:t>the</w:t>
      </w:r>
      <w:r>
        <w:rPr>
          <w:spacing w:val="-3"/>
          <w:w w:val="95"/>
        </w:rPr>
        <w:t xml:space="preserve"> </w:t>
      </w:r>
      <w:r>
        <w:rPr>
          <w:w w:val="95"/>
        </w:rPr>
        <w:t>port</w:t>
      </w:r>
      <w:r>
        <w:rPr>
          <w:spacing w:val="-3"/>
          <w:w w:val="95"/>
        </w:rPr>
        <w:t xml:space="preserve"> </w:t>
      </w:r>
      <w:r>
        <w:rPr>
          <w:w w:val="95"/>
        </w:rPr>
        <w:t>gateways.</w:t>
      </w:r>
      <w:r>
        <w:rPr>
          <w:spacing w:val="-3"/>
          <w:w w:val="95"/>
        </w:rPr>
        <w:t xml:space="preserve"> </w:t>
      </w:r>
      <w:r>
        <w:rPr>
          <w:w w:val="95"/>
        </w:rPr>
        <w:t>Coal</w:t>
      </w:r>
      <w:r>
        <w:rPr>
          <w:spacing w:val="-3"/>
          <w:w w:val="95"/>
        </w:rPr>
        <w:t xml:space="preserve"> </w:t>
      </w:r>
      <w:r>
        <w:rPr>
          <w:w w:val="95"/>
        </w:rPr>
        <w:t>is</w:t>
      </w:r>
      <w:r>
        <w:rPr>
          <w:spacing w:val="-3"/>
          <w:w w:val="95"/>
        </w:rPr>
        <w:t xml:space="preserve"> </w:t>
      </w:r>
      <w:r>
        <w:rPr>
          <w:w w:val="95"/>
        </w:rPr>
        <w:t>by</w:t>
      </w:r>
    </w:p>
    <w:p w:rsidR="002C1123" w:rsidRDefault="002060EF">
      <w:pPr>
        <w:pStyle w:val="BodyText"/>
        <w:spacing w:before="9"/>
        <w:rPr>
          <w:sz w:val="28"/>
        </w:rPr>
      </w:pPr>
      <w:r>
        <w:pict>
          <v:shape id="docshape1873" o:spid="_x0000_s3214" style="position:absolute;margin-left:49.6pt;margin-top:17.8pt;width:1in;height:.1pt;z-index:-251357184;mso-wrap-distance-left:0;mso-wrap-distance-right:0;mso-position-horizontal-relative:page" coordorigin="992,356" coordsize="1440,0" path="m992,356r1440,e" filled="f" strokecolor="#9c9c9d" strokeweight=".5pt">
            <v:path arrowok="t"/>
            <w10:wrap type="topAndBottom" anchorx="page"/>
          </v:shape>
        </w:pict>
      </w:r>
    </w:p>
    <w:p w:rsidR="002C1123" w:rsidRDefault="00F22F94">
      <w:pPr>
        <w:pStyle w:val="ListParagraph"/>
        <w:numPr>
          <w:ilvl w:val="0"/>
          <w:numId w:val="73"/>
        </w:numPr>
        <w:tabs>
          <w:tab w:val="left" w:pos="691"/>
        </w:tabs>
        <w:spacing w:before="23"/>
        <w:ind w:left="690" w:right="148"/>
        <w:jc w:val="left"/>
        <w:rPr>
          <w:sz w:val="14"/>
        </w:rPr>
      </w:pPr>
      <w:r>
        <w:rPr>
          <w:w w:val="95"/>
          <w:sz w:val="14"/>
        </w:rPr>
        <w:t>Australian Local Government Association 2010, The Local Roads Funding</w:t>
      </w:r>
      <w:r>
        <w:rPr>
          <w:spacing w:val="40"/>
          <w:sz w:val="14"/>
        </w:rPr>
        <w:t xml:space="preserve"> </w:t>
      </w:r>
      <w:r>
        <w:rPr>
          <w:spacing w:val="-4"/>
          <w:sz w:val="14"/>
        </w:rPr>
        <w:t>Gap.</w:t>
      </w:r>
    </w:p>
    <w:p w:rsidR="002C1123" w:rsidRDefault="00F22F94">
      <w:pPr>
        <w:pStyle w:val="BodyText"/>
        <w:spacing w:before="106" w:line="249" w:lineRule="auto"/>
        <w:ind w:left="192"/>
      </w:pPr>
      <w:r>
        <w:br w:type="column"/>
      </w:r>
      <w:r>
        <w:rPr>
          <w:w w:val="95"/>
        </w:rPr>
        <w:t xml:space="preserve">far the largest export commodity by weight in NSW with </w:t>
      </w:r>
      <w:r>
        <w:t>over</w:t>
      </w:r>
      <w:r>
        <w:rPr>
          <w:spacing w:val="-11"/>
        </w:rPr>
        <w:t xml:space="preserve"> </w:t>
      </w:r>
      <w:r>
        <w:t>80</w:t>
      </w:r>
      <w:r>
        <w:rPr>
          <w:spacing w:val="-11"/>
        </w:rPr>
        <w:t xml:space="preserve"> </w:t>
      </w:r>
      <w:r>
        <w:t>percent</w:t>
      </w:r>
      <w:r>
        <w:rPr>
          <w:spacing w:val="-11"/>
        </w:rPr>
        <w:t xml:space="preserve"> </w:t>
      </w:r>
      <w:r>
        <w:t>of</w:t>
      </w:r>
      <w:r>
        <w:rPr>
          <w:spacing w:val="-11"/>
        </w:rPr>
        <w:t xml:space="preserve"> </w:t>
      </w:r>
      <w:r>
        <w:t>the</w:t>
      </w:r>
      <w:r>
        <w:rPr>
          <w:spacing w:val="-11"/>
        </w:rPr>
        <w:t xml:space="preserve"> </w:t>
      </w:r>
      <w:r>
        <w:t>total</w:t>
      </w:r>
      <w:r>
        <w:rPr>
          <w:spacing w:val="-11"/>
        </w:rPr>
        <w:t xml:space="preserve"> </w:t>
      </w:r>
      <w:r>
        <w:t>bulk</w:t>
      </w:r>
      <w:r>
        <w:rPr>
          <w:spacing w:val="-11"/>
        </w:rPr>
        <w:t xml:space="preserve"> </w:t>
      </w:r>
      <w:r>
        <w:t>export</w:t>
      </w:r>
      <w:r>
        <w:rPr>
          <w:spacing w:val="-11"/>
        </w:rPr>
        <w:t xml:space="preserve"> </w:t>
      </w:r>
      <w:r>
        <w:t>volume</w:t>
      </w:r>
      <w:r>
        <w:rPr>
          <w:spacing w:val="-11"/>
        </w:rPr>
        <w:t xml:space="preserve"> </w:t>
      </w:r>
      <w:r>
        <w:t>or</w:t>
      </w:r>
      <w:r>
        <w:rPr>
          <w:spacing w:val="-11"/>
        </w:rPr>
        <w:t xml:space="preserve"> </w:t>
      </w:r>
      <w:r>
        <w:t xml:space="preserve">over </w:t>
      </w:r>
      <w:r>
        <w:rPr>
          <w:w w:val="95"/>
        </w:rPr>
        <w:t>122</w:t>
      </w:r>
      <w:r>
        <w:rPr>
          <w:spacing w:val="-8"/>
          <w:w w:val="95"/>
        </w:rPr>
        <w:t xml:space="preserve"> </w:t>
      </w:r>
      <w:r>
        <w:rPr>
          <w:w w:val="95"/>
        </w:rPr>
        <w:t>million</w:t>
      </w:r>
      <w:r>
        <w:rPr>
          <w:spacing w:val="-8"/>
          <w:w w:val="95"/>
        </w:rPr>
        <w:t xml:space="preserve"> </w:t>
      </w:r>
      <w:r>
        <w:rPr>
          <w:w w:val="95"/>
        </w:rPr>
        <w:t>tonnes</w:t>
      </w:r>
      <w:r>
        <w:rPr>
          <w:spacing w:val="-8"/>
          <w:w w:val="95"/>
        </w:rPr>
        <w:t xml:space="preserve"> </w:t>
      </w:r>
      <w:r>
        <w:rPr>
          <w:w w:val="95"/>
        </w:rPr>
        <w:t>in</w:t>
      </w:r>
      <w:r>
        <w:rPr>
          <w:spacing w:val="-8"/>
          <w:w w:val="95"/>
        </w:rPr>
        <w:t xml:space="preserve"> </w:t>
      </w:r>
      <w:r>
        <w:rPr>
          <w:w w:val="95"/>
        </w:rPr>
        <w:t>2011,</w:t>
      </w:r>
      <w:r>
        <w:rPr>
          <w:spacing w:val="-8"/>
          <w:w w:val="95"/>
        </w:rPr>
        <w:t xml:space="preserve"> </w:t>
      </w:r>
      <w:r>
        <w:rPr>
          <w:w w:val="95"/>
        </w:rPr>
        <w:t>most</w:t>
      </w:r>
      <w:r>
        <w:rPr>
          <w:spacing w:val="-8"/>
          <w:w w:val="95"/>
        </w:rPr>
        <w:t xml:space="preserve"> </w:t>
      </w:r>
      <w:r>
        <w:rPr>
          <w:w w:val="95"/>
        </w:rPr>
        <w:t>of</w:t>
      </w:r>
      <w:r>
        <w:rPr>
          <w:spacing w:val="-8"/>
          <w:w w:val="95"/>
        </w:rPr>
        <w:t xml:space="preserve"> </w:t>
      </w:r>
      <w:r>
        <w:rPr>
          <w:w w:val="95"/>
        </w:rPr>
        <w:t>which</w:t>
      </w:r>
      <w:r>
        <w:rPr>
          <w:spacing w:val="-8"/>
          <w:w w:val="95"/>
        </w:rPr>
        <w:t xml:space="preserve"> </w:t>
      </w:r>
      <w:r>
        <w:rPr>
          <w:w w:val="95"/>
        </w:rPr>
        <w:t>moves</w:t>
      </w:r>
      <w:r>
        <w:rPr>
          <w:spacing w:val="-8"/>
          <w:w w:val="95"/>
        </w:rPr>
        <w:t xml:space="preserve"> </w:t>
      </w:r>
      <w:r>
        <w:rPr>
          <w:w w:val="95"/>
        </w:rPr>
        <w:t>through the</w:t>
      </w:r>
      <w:r>
        <w:rPr>
          <w:spacing w:val="-6"/>
          <w:w w:val="95"/>
        </w:rPr>
        <w:t xml:space="preserve"> </w:t>
      </w:r>
      <w:r>
        <w:rPr>
          <w:w w:val="95"/>
        </w:rPr>
        <w:t>Port</w:t>
      </w:r>
      <w:r>
        <w:rPr>
          <w:spacing w:val="-6"/>
          <w:w w:val="95"/>
        </w:rPr>
        <w:t xml:space="preserve"> </w:t>
      </w:r>
      <w:r>
        <w:rPr>
          <w:w w:val="95"/>
        </w:rPr>
        <w:t>of</w:t>
      </w:r>
      <w:r>
        <w:rPr>
          <w:spacing w:val="-6"/>
          <w:w w:val="95"/>
        </w:rPr>
        <w:t xml:space="preserve"> </w:t>
      </w:r>
      <w:r>
        <w:rPr>
          <w:w w:val="95"/>
        </w:rPr>
        <w:t>Newcastle.</w:t>
      </w:r>
      <w:r>
        <w:rPr>
          <w:spacing w:val="-6"/>
          <w:w w:val="95"/>
        </w:rPr>
        <w:t xml:space="preserve"> </w:t>
      </w:r>
      <w:r>
        <w:rPr>
          <w:w w:val="95"/>
        </w:rPr>
        <w:t>By</w:t>
      </w:r>
      <w:r>
        <w:rPr>
          <w:spacing w:val="-6"/>
          <w:w w:val="95"/>
        </w:rPr>
        <w:t xml:space="preserve"> </w:t>
      </w:r>
      <w:r>
        <w:rPr>
          <w:w w:val="95"/>
        </w:rPr>
        <w:t>2031,</w:t>
      </w:r>
      <w:r>
        <w:rPr>
          <w:spacing w:val="-6"/>
          <w:w w:val="95"/>
        </w:rPr>
        <w:t xml:space="preserve"> </w:t>
      </w:r>
      <w:r>
        <w:rPr>
          <w:w w:val="95"/>
        </w:rPr>
        <w:t>the</w:t>
      </w:r>
      <w:r>
        <w:rPr>
          <w:spacing w:val="-6"/>
          <w:w w:val="95"/>
        </w:rPr>
        <w:t xml:space="preserve"> </w:t>
      </w:r>
      <w:r>
        <w:rPr>
          <w:w w:val="95"/>
        </w:rPr>
        <w:t>total</w:t>
      </w:r>
      <w:r>
        <w:rPr>
          <w:spacing w:val="-6"/>
          <w:w w:val="95"/>
        </w:rPr>
        <w:t xml:space="preserve"> </w:t>
      </w:r>
      <w:r>
        <w:rPr>
          <w:w w:val="95"/>
        </w:rPr>
        <w:t>coal</w:t>
      </w:r>
      <w:r>
        <w:rPr>
          <w:spacing w:val="-6"/>
          <w:w w:val="95"/>
        </w:rPr>
        <w:t xml:space="preserve"> </w:t>
      </w:r>
      <w:r>
        <w:rPr>
          <w:w w:val="95"/>
        </w:rPr>
        <w:t>freight</w:t>
      </w:r>
      <w:r>
        <w:rPr>
          <w:spacing w:val="-6"/>
          <w:w w:val="95"/>
        </w:rPr>
        <w:t xml:space="preserve"> </w:t>
      </w:r>
      <w:r>
        <w:rPr>
          <w:w w:val="95"/>
        </w:rPr>
        <w:t xml:space="preserve">task </w:t>
      </w:r>
      <w:r>
        <w:t>in</w:t>
      </w:r>
      <w:r>
        <w:rPr>
          <w:spacing w:val="-12"/>
        </w:rPr>
        <w:t xml:space="preserve"> </w:t>
      </w:r>
      <w:r>
        <w:t>NSW</w:t>
      </w:r>
      <w:r>
        <w:rPr>
          <w:spacing w:val="-12"/>
        </w:rPr>
        <w:t xml:space="preserve"> </w:t>
      </w:r>
      <w:r>
        <w:t>is</w:t>
      </w:r>
      <w:r>
        <w:rPr>
          <w:spacing w:val="-12"/>
        </w:rPr>
        <w:t xml:space="preserve"> </w:t>
      </w:r>
      <w:r>
        <w:t>expected</w:t>
      </w:r>
      <w:r>
        <w:rPr>
          <w:spacing w:val="-12"/>
        </w:rPr>
        <w:t xml:space="preserve"> </w:t>
      </w:r>
      <w:r>
        <w:t>to</w:t>
      </w:r>
      <w:r>
        <w:rPr>
          <w:spacing w:val="-12"/>
        </w:rPr>
        <w:t xml:space="preserve"> </w:t>
      </w:r>
      <w:r>
        <w:t>grow</w:t>
      </w:r>
      <w:r>
        <w:rPr>
          <w:spacing w:val="-12"/>
        </w:rPr>
        <w:t xml:space="preserve"> </w:t>
      </w:r>
      <w:r>
        <w:t>to</w:t>
      </w:r>
      <w:r>
        <w:rPr>
          <w:spacing w:val="-12"/>
        </w:rPr>
        <w:t xml:space="preserve"> </w:t>
      </w:r>
      <w:r>
        <w:t>370</w:t>
      </w:r>
      <w:r>
        <w:rPr>
          <w:spacing w:val="-12"/>
        </w:rPr>
        <w:t xml:space="preserve"> </w:t>
      </w:r>
      <w:r>
        <w:t>million</w:t>
      </w:r>
      <w:r>
        <w:rPr>
          <w:spacing w:val="-12"/>
        </w:rPr>
        <w:t xml:space="preserve"> </w:t>
      </w:r>
      <w:r>
        <w:t>tonnes</w:t>
      </w:r>
      <w:r>
        <w:rPr>
          <w:position w:val="7"/>
          <w:sz w:val="11"/>
        </w:rPr>
        <w:t>18</w:t>
      </w:r>
      <w:r>
        <w:t>.</w:t>
      </w:r>
    </w:p>
    <w:p w:rsidR="002C1123" w:rsidRDefault="00F22F94">
      <w:pPr>
        <w:pStyle w:val="BodyText"/>
        <w:spacing w:before="146" w:line="249" w:lineRule="auto"/>
        <w:ind w:left="192" w:right="112"/>
      </w:pPr>
      <w:r>
        <w:rPr>
          <w:w w:val="95"/>
        </w:rPr>
        <w:t xml:space="preserve">Some NSW produce is exported through ports in other states, such as through Melbourne and Brisbane. Due </w:t>
      </w:r>
      <w:r>
        <w:t>to</w:t>
      </w:r>
      <w:r>
        <w:rPr>
          <w:spacing w:val="-4"/>
        </w:rPr>
        <w:t xml:space="preserve"> </w:t>
      </w:r>
      <w:r>
        <w:t>distance,</w:t>
      </w:r>
      <w:r>
        <w:rPr>
          <w:spacing w:val="-4"/>
        </w:rPr>
        <w:t xml:space="preserve"> </w:t>
      </w:r>
      <w:r>
        <w:t>transport</w:t>
      </w:r>
      <w:r>
        <w:rPr>
          <w:spacing w:val="-4"/>
        </w:rPr>
        <w:t xml:space="preserve"> </w:t>
      </w:r>
      <w:r>
        <w:t>costs</w:t>
      </w:r>
      <w:r>
        <w:rPr>
          <w:spacing w:val="-4"/>
        </w:rPr>
        <w:t xml:space="preserve"> </w:t>
      </w:r>
      <w:r>
        <w:t>can</w:t>
      </w:r>
      <w:r>
        <w:rPr>
          <w:spacing w:val="-4"/>
        </w:rPr>
        <w:t xml:space="preserve"> </w:t>
      </w:r>
      <w:r>
        <w:t>be</w:t>
      </w:r>
      <w:r>
        <w:rPr>
          <w:spacing w:val="-4"/>
        </w:rPr>
        <w:t xml:space="preserve"> </w:t>
      </w:r>
      <w:r>
        <w:t>lower</w:t>
      </w:r>
      <w:r>
        <w:rPr>
          <w:spacing w:val="-4"/>
        </w:rPr>
        <w:t xml:space="preserve"> </w:t>
      </w:r>
      <w:r>
        <w:t>to</w:t>
      </w:r>
      <w:r>
        <w:rPr>
          <w:spacing w:val="-4"/>
        </w:rPr>
        <w:t xml:space="preserve"> </w:t>
      </w:r>
      <w:r>
        <w:t>these ports</w:t>
      </w:r>
      <w:r>
        <w:rPr>
          <w:spacing w:val="-14"/>
        </w:rPr>
        <w:t xml:space="preserve"> </w:t>
      </w:r>
      <w:r>
        <w:t>than</w:t>
      </w:r>
      <w:r>
        <w:rPr>
          <w:spacing w:val="-14"/>
        </w:rPr>
        <w:t xml:space="preserve"> </w:t>
      </w:r>
      <w:r>
        <w:t>to</w:t>
      </w:r>
      <w:r>
        <w:rPr>
          <w:spacing w:val="-14"/>
        </w:rPr>
        <w:t xml:space="preserve"> </w:t>
      </w:r>
      <w:r>
        <w:t>NSW</w:t>
      </w:r>
      <w:r>
        <w:rPr>
          <w:spacing w:val="-14"/>
        </w:rPr>
        <w:t xml:space="preserve"> </w:t>
      </w:r>
      <w:r>
        <w:t>ports</w:t>
      </w:r>
      <w:r>
        <w:rPr>
          <w:spacing w:val="-14"/>
        </w:rPr>
        <w:t xml:space="preserve"> </w:t>
      </w:r>
      <w:r>
        <w:t>from</w:t>
      </w:r>
      <w:r>
        <w:rPr>
          <w:spacing w:val="-14"/>
        </w:rPr>
        <w:t xml:space="preserve"> </w:t>
      </w:r>
      <w:r>
        <w:t>some</w:t>
      </w:r>
      <w:r>
        <w:rPr>
          <w:spacing w:val="-14"/>
        </w:rPr>
        <w:t xml:space="preserve"> </w:t>
      </w:r>
      <w:r>
        <w:t>parts</w:t>
      </w:r>
      <w:r>
        <w:rPr>
          <w:spacing w:val="-14"/>
        </w:rPr>
        <w:t xml:space="preserve"> </w:t>
      </w:r>
      <w:r>
        <w:t>of</w:t>
      </w:r>
      <w:r>
        <w:rPr>
          <w:spacing w:val="-14"/>
        </w:rPr>
        <w:t xml:space="preserve"> </w:t>
      </w:r>
      <w:r>
        <w:t>the</w:t>
      </w:r>
      <w:r>
        <w:rPr>
          <w:spacing w:val="-13"/>
        </w:rPr>
        <w:t xml:space="preserve"> </w:t>
      </w:r>
      <w:r>
        <w:t xml:space="preserve">state. </w:t>
      </w:r>
      <w:r>
        <w:rPr>
          <w:w w:val="95"/>
        </w:rPr>
        <w:t xml:space="preserve">Infrastructure issues relating to these ports are outside </w:t>
      </w:r>
      <w:r>
        <w:t>the scope of this Strategy.</w:t>
      </w:r>
    </w:p>
    <w:p w:rsidR="002C1123" w:rsidRDefault="00F22F94">
      <w:pPr>
        <w:pStyle w:val="Heading6"/>
        <w:numPr>
          <w:ilvl w:val="2"/>
          <w:numId w:val="67"/>
        </w:numPr>
        <w:tabs>
          <w:tab w:val="left" w:pos="788"/>
        </w:tabs>
        <w:spacing w:before="146" w:line="249" w:lineRule="auto"/>
        <w:ind w:right="1788"/>
      </w:pPr>
      <w:r>
        <w:rPr>
          <w:color w:val="00AEEF"/>
        </w:rPr>
        <w:t>Port</w:t>
      </w:r>
      <w:r>
        <w:rPr>
          <w:color w:val="00AEEF"/>
          <w:spacing w:val="-14"/>
        </w:rPr>
        <w:t xml:space="preserve"> </w:t>
      </w:r>
      <w:r>
        <w:rPr>
          <w:color w:val="00AEEF"/>
        </w:rPr>
        <w:t>of</w:t>
      </w:r>
      <w:r>
        <w:rPr>
          <w:color w:val="00AEEF"/>
          <w:spacing w:val="-14"/>
        </w:rPr>
        <w:t xml:space="preserve"> </w:t>
      </w:r>
      <w:r>
        <w:rPr>
          <w:color w:val="00AEEF"/>
        </w:rPr>
        <w:t>Newcastle</w:t>
      </w:r>
      <w:r>
        <w:rPr>
          <w:color w:val="00AEEF"/>
          <w:spacing w:val="-14"/>
        </w:rPr>
        <w:t xml:space="preserve"> </w:t>
      </w:r>
      <w:r>
        <w:rPr>
          <w:color w:val="00AEEF"/>
        </w:rPr>
        <w:t>and</w:t>
      </w:r>
      <w:r>
        <w:rPr>
          <w:color w:val="00AEEF"/>
          <w:spacing w:val="-14"/>
        </w:rPr>
        <w:t xml:space="preserve"> </w:t>
      </w:r>
      <w:r>
        <w:rPr>
          <w:color w:val="00AEEF"/>
        </w:rPr>
        <w:t>the Hunter</w:t>
      </w:r>
      <w:r>
        <w:rPr>
          <w:color w:val="00AEEF"/>
          <w:spacing w:val="-1"/>
        </w:rPr>
        <w:t xml:space="preserve"> </w:t>
      </w:r>
      <w:r>
        <w:rPr>
          <w:color w:val="00AEEF"/>
        </w:rPr>
        <w:t>Valley</w:t>
      </w:r>
      <w:r>
        <w:rPr>
          <w:color w:val="00AEEF"/>
          <w:spacing w:val="-1"/>
        </w:rPr>
        <w:t xml:space="preserve"> </w:t>
      </w:r>
      <w:r>
        <w:rPr>
          <w:color w:val="00AEEF"/>
        </w:rPr>
        <w:t>Coal</w:t>
      </w:r>
      <w:r>
        <w:rPr>
          <w:color w:val="00AEEF"/>
          <w:spacing w:val="-1"/>
        </w:rPr>
        <w:t xml:space="preserve"> </w:t>
      </w:r>
      <w:r>
        <w:rPr>
          <w:color w:val="00AEEF"/>
        </w:rPr>
        <w:t>Chain</w:t>
      </w:r>
    </w:p>
    <w:p w:rsidR="002C1123" w:rsidRDefault="00F22F94">
      <w:pPr>
        <w:pStyle w:val="BodyText"/>
        <w:spacing w:before="87"/>
        <w:ind w:left="192"/>
      </w:pPr>
      <w:r>
        <w:rPr>
          <w:w w:val="95"/>
        </w:rPr>
        <w:t>Newcastle</w:t>
      </w:r>
      <w:r>
        <w:rPr>
          <w:spacing w:val="-4"/>
          <w:w w:val="95"/>
        </w:rPr>
        <w:t xml:space="preserve"> </w:t>
      </w:r>
      <w:r>
        <w:rPr>
          <w:w w:val="95"/>
        </w:rPr>
        <w:t>is</w:t>
      </w:r>
      <w:r>
        <w:rPr>
          <w:spacing w:val="-4"/>
          <w:w w:val="95"/>
        </w:rPr>
        <w:t xml:space="preserve"> </w:t>
      </w:r>
      <w:r>
        <w:rPr>
          <w:w w:val="95"/>
        </w:rPr>
        <w:t>the</w:t>
      </w:r>
      <w:r>
        <w:rPr>
          <w:spacing w:val="-4"/>
          <w:w w:val="95"/>
        </w:rPr>
        <w:t xml:space="preserve"> </w:t>
      </w:r>
      <w:r>
        <w:rPr>
          <w:w w:val="95"/>
        </w:rPr>
        <w:t>largest</w:t>
      </w:r>
      <w:r>
        <w:rPr>
          <w:spacing w:val="-4"/>
          <w:w w:val="95"/>
        </w:rPr>
        <w:t xml:space="preserve"> </w:t>
      </w:r>
      <w:r>
        <w:rPr>
          <w:w w:val="95"/>
        </w:rPr>
        <w:t>coal</w:t>
      </w:r>
      <w:r>
        <w:rPr>
          <w:spacing w:val="-4"/>
          <w:w w:val="95"/>
        </w:rPr>
        <w:t xml:space="preserve"> </w:t>
      </w:r>
      <w:r>
        <w:rPr>
          <w:w w:val="95"/>
        </w:rPr>
        <w:t>exporting</w:t>
      </w:r>
      <w:r>
        <w:rPr>
          <w:spacing w:val="-4"/>
          <w:w w:val="95"/>
        </w:rPr>
        <w:t xml:space="preserve"> </w:t>
      </w:r>
      <w:r>
        <w:rPr>
          <w:w w:val="95"/>
        </w:rPr>
        <w:t>port</w:t>
      </w:r>
      <w:r>
        <w:rPr>
          <w:spacing w:val="-4"/>
          <w:w w:val="95"/>
        </w:rPr>
        <w:t xml:space="preserve"> </w:t>
      </w:r>
      <w:r>
        <w:rPr>
          <w:w w:val="95"/>
        </w:rPr>
        <w:t>in</w:t>
      </w:r>
      <w:r>
        <w:rPr>
          <w:spacing w:val="-3"/>
          <w:w w:val="95"/>
        </w:rPr>
        <w:t xml:space="preserve"> </w:t>
      </w:r>
      <w:r>
        <w:rPr>
          <w:w w:val="95"/>
        </w:rPr>
        <w:t>the</w:t>
      </w:r>
      <w:r>
        <w:rPr>
          <w:spacing w:val="-4"/>
          <w:w w:val="95"/>
        </w:rPr>
        <w:t xml:space="preserve"> </w:t>
      </w:r>
      <w:r>
        <w:rPr>
          <w:spacing w:val="-2"/>
          <w:w w:val="95"/>
        </w:rPr>
        <w:t>world.</w:t>
      </w:r>
    </w:p>
    <w:p w:rsidR="002C1123" w:rsidRDefault="00F22F94">
      <w:pPr>
        <w:pStyle w:val="BodyText"/>
        <w:spacing w:before="10" w:line="249" w:lineRule="auto"/>
        <w:ind w:left="192" w:right="112"/>
      </w:pPr>
      <w:r>
        <w:t>The</w:t>
      </w:r>
      <w:r>
        <w:rPr>
          <w:spacing w:val="-6"/>
        </w:rPr>
        <w:t xml:space="preserve"> </w:t>
      </w:r>
      <w:r>
        <w:t>volume</w:t>
      </w:r>
      <w:r>
        <w:rPr>
          <w:spacing w:val="-6"/>
        </w:rPr>
        <w:t xml:space="preserve"> </w:t>
      </w:r>
      <w:r>
        <w:t>of</w:t>
      </w:r>
      <w:r>
        <w:rPr>
          <w:spacing w:val="-6"/>
        </w:rPr>
        <w:t xml:space="preserve"> </w:t>
      </w:r>
      <w:r>
        <w:t>coal</w:t>
      </w:r>
      <w:r>
        <w:rPr>
          <w:spacing w:val="-6"/>
        </w:rPr>
        <w:t xml:space="preserve"> </w:t>
      </w:r>
      <w:r>
        <w:t>moved</w:t>
      </w:r>
      <w:r>
        <w:rPr>
          <w:spacing w:val="-6"/>
        </w:rPr>
        <w:t xml:space="preserve"> </w:t>
      </w:r>
      <w:r>
        <w:t>through</w:t>
      </w:r>
      <w:r>
        <w:rPr>
          <w:spacing w:val="-6"/>
        </w:rPr>
        <w:t xml:space="preserve"> </w:t>
      </w:r>
      <w:r>
        <w:t>the</w:t>
      </w:r>
      <w:r>
        <w:rPr>
          <w:spacing w:val="-6"/>
        </w:rPr>
        <w:t xml:space="preserve"> </w:t>
      </w:r>
      <w:r>
        <w:t>port</w:t>
      </w:r>
      <w:r>
        <w:rPr>
          <w:spacing w:val="-6"/>
        </w:rPr>
        <w:t xml:space="preserve"> </w:t>
      </w:r>
      <w:r>
        <w:t xml:space="preserve">could </w:t>
      </w:r>
      <w:r>
        <w:rPr>
          <w:w w:val="95"/>
        </w:rPr>
        <w:t>more</w:t>
      </w:r>
      <w:r>
        <w:rPr>
          <w:spacing w:val="-1"/>
          <w:w w:val="95"/>
        </w:rPr>
        <w:t xml:space="preserve"> </w:t>
      </w:r>
      <w:r>
        <w:rPr>
          <w:w w:val="95"/>
        </w:rPr>
        <w:t>than</w:t>
      </w:r>
      <w:r>
        <w:rPr>
          <w:spacing w:val="-1"/>
          <w:w w:val="95"/>
        </w:rPr>
        <w:t xml:space="preserve"> </w:t>
      </w:r>
      <w:r>
        <w:rPr>
          <w:w w:val="95"/>
        </w:rPr>
        <w:t>double</w:t>
      </w:r>
      <w:r>
        <w:rPr>
          <w:spacing w:val="-1"/>
          <w:w w:val="95"/>
        </w:rPr>
        <w:t xml:space="preserve"> </w:t>
      </w:r>
      <w:r>
        <w:rPr>
          <w:w w:val="95"/>
        </w:rPr>
        <w:t>to</w:t>
      </w:r>
      <w:r>
        <w:rPr>
          <w:spacing w:val="-1"/>
          <w:w w:val="95"/>
        </w:rPr>
        <w:t xml:space="preserve"> </w:t>
      </w:r>
      <w:r>
        <w:rPr>
          <w:w w:val="95"/>
        </w:rPr>
        <w:t>275mtpa</w:t>
      </w:r>
      <w:r>
        <w:rPr>
          <w:spacing w:val="-1"/>
          <w:w w:val="95"/>
        </w:rPr>
        <w:t xml:space="preserve"> </w:t>
      </w:r>
      <w:r>
        <w:rPr>
          <w:w w:val="95"/>
        </w:rPr>
        <w:t>by</w:t>
      </w:r>
      <w:r>
        <w:rPr>
          <w:spacing w:val="-1"/>
          <w:w w:val="95"/>
        </w:rPr>
        <w:t xml:space="preserve"> </w:t>
      </w:r>
      <w:r>
        <w:rPr>
          <w:w w:val="95"/>
        </w:rPr>
        <w:t>2025</w:t>
      </w:r>
      <w:r>
        <w:rPr>
          <w:w w:val="95"/>
          <w:position w:val="7"/>
          <w:sz w:val="11"/>
        </w:rPr>
        <w:t>19</w:t>
      </w:r>
      <w:r>
        <w:rPr>
          <w:w w:val="95"/>
        </w:rPr>
        <w:t>.</w:t>
      </w:r>
      <w:r>
        <w:rPr>
          <w:spacing w:val="-1"/>
          <w:w w:val="95"/>
        </w:rPr>
        <w:t xml:space="preserve"> </w:t>
      </w:r>
      <w:r>
        <w:rPr>
          <w:w w:val="95"/>
        </w:rPr>
        <w:t>Coal</w:t>
      </w:r>
      <w:r>
        <w:rPr>
          <w:spacing w:val="-1"/>
          <w:w w:val="95"/>
        </w:rPr>
        <w:t xml:space="preserve"> </w:t>
      </w:r>
      <w:r>
        <w:rPr>
          <w:w w:val="95"/>
        </w:rPr>
        <w:t xml:space="preserve">exports </w:t>
      </w:r>
      <w:r>
        <w:t>currently</w:t>
      </w:r>
      <w:r>
        <w:rPr>
          <w:spacing w:val="-12"/>
        </w:rPr>
        <w:t xml:space="preserve"> </w:t>
      </w:r>
      <w:r>
        <w:t>represent</w:t>
      </w:r>
      <w:r>
        <w:rPr>
          <w:spacing w:val="-12"/>
        </w:rPr>
        <w:t xml:space="preserve"> </w:t>
      </w:r>
      <w:r>
        <w:t>95</w:t>
      </w:r>
      <w:r>
        <w:rPr>
          <w:spacing w:val="-12"/>
        </w:rPr>
        <w:t xml:space="preserve"> </w:t>
      </w:r>
      <w:r>
        <w:t>percent</w:t>
      </w:r>
      <w:r>
        <w:rPr>
          <w:spacing w:val="-12"/>
        </w:rPr>
        <w:t xml:space="preserve"> </w:t>
      </w:r>
      <w:r>
        <w:t>of</w:t>
      </w:r>
      <w:r>
        <w:rPr>
          <w:spacing w:val="-12"/>
        </w:rPr>
        <w:t xml:space="preserve"> </w:t>
      </w:r>
      <w:r>
        <w:t>the</w:t>
      </w:r>
      <w:r>
        <w:rPr>
          <w:spacing w:val="-12"/>
        </w:rPr>
        <w:t xml:space="preserve"> </w:t>
      </w:r>
      <w:r>
        <w:t>total</w:t>
      </w:r>
      <w:r>
        <w:rPr>
          <w:spacing w:val="-12"/>
        </w:rPr>
        <w:t xml:space="preserve"> </w:t>
      </w:r>
      <w:r>
        <w:t>volume</w:t>
      </w:r>
      <w:r>
        <w:rPr>
          <w:spacing w:val="-12"/>
        </w:rPr>
        <w:t xml:space="preserve"> </w:t>
      </w:r>
      <w:r>
        <w:t>of freight through the Port</w:t>
      </w:r>
      <w:r>
        <w:rPr>
          <w:position w:val="7"/>
          <w:sz w:val="11"/>
        </w:rPr>
        <w:t>20</w:t>
      </w:r>
      <w:r>
        <w:t>.</w:t>
      </w:r>
    </w:p>
    <w:p w:rsidR="002C1123" w:rsidRDefault="00F22F94">
      <w:pPr>
        <w:pStyle w:val="BodyText"/>
        <w:spacing w:before="145" w:line="249" w:lineRule="auto"/>
        <w:ind w:left="192"/>
      </w:pPr>
      <w:r>
        <w:t>Coal</w:t>
      </w:r>
      <w:r>
        <w:rPr>
          <w:spacing w:val="-14"/>
        </w:rPr>
        <w:t xml:space="preserve"> </w:t>
      </w:r>
      <w:r>
        <w:t>terminal</w:t>
      </w:r>
      <w:r>
        <w:rPr>
          <w:spacing w:val="-14"/>
        </w:rPr>
        <w:t xml:space="preserve"> </w:t>
      </w:r>
      <w:r>
        <w:t>owners</w:t>
      </w:r>
      <w:r>
        <w:rPr>
          <w:spacing w:val="-14"/>
        </w:rPr>
        <w:t xml:space="preserve"> </w:t>
      </w:r>
      <w:r>
        <w:t>have</w:t>
      </w:r>
      <w:r>
        <w:rPr>
          <w:spacing w:val="-14"/>
        </w:rPr>
        <w:t xml:space="preserve"> </w:t>
      </w:r>
      <w:r>
        <w:t>approved</w:t>
      </w:r>
      <w:r>
        <w:rPr>
          <w:spacing w:val="-14"/>
        </w:rPr>
        <w:t xml:space="preserve"> </w:t>
      </w:r>
      <w:r>
        <w:t>plans</w:t>
      </w:r>
      <w:r>
        <w:rPr>
          <w:spacing w:val="-14"/>
        </w:rPr>
        <w:t xml:space="preserve"> </w:t>
      </w:r>
      <w:r>
        <w:t>in</w:t>
      </w:r>
      <w:r>
        <w:rPr>
          <w:spacing w:val="-14"/>
        </w:rPr>
        <w:t xml:space="preserve"> </w:t>
      </w:r>
      <w:r>
        <w:t>place</w:t>
      </w:r>
      <w:r>
        <w:rPr>
          <w:spacing w:val="-14"/>
        </w:rPr>
        <w:t xml:space="preserve"> </w:t>
      </w:r>
      <w:r>
        <w:t xml:space="preserve">to </w:t>
      </w:r>
      <w:r>
        <w:rPr>
          <w:w w:val="95"/>
        </w:rPr>
        <w:t xml:space="preserve">develop portside infrastructure to deliver capacity in line </w:t>
      </w:r>
      <w:r>
        <w:rPr>
          <w:spacing w:val="-2"/>
        </w:rPr>
        <w:t>with</w:t>
      </w:r>
      <w:r>
        <w:rPr>
          <w:spacing w:val="-10"/>
        </w:rPr>
        <w:t xml:space="preserve"> </w:t>
      </w:r>
      <w:r>
        <w:rPr>
          <w:spacing w:val="-2"/>
        </w:rPr>
        <w:t>bulk</w:t>
      </w:r>
      <w:r>
        <w:rPr>
          <w:spacing w:val="-10"/>
        </w:rPr>
        <w:t xml:space="preserve"> </w:t>
      </w:r>
      <w:r>
        <w:rPr>
          <w:spacing w:val="-2"/>
        </w:rPr>
        <w:t>demand</w:t>
      </w:r>
      <w:r>
        <w:rPr>
          <w:spacing w:val="-10"/>
        </w:rPr>
        <w:t xml:space="preserve"> </w:t>
      </w:r>
      <w:r>
        <w:rPr>
          <w:spacing w:val="-2"/>
        </w:rPr>
        <w:t>forecasts.</w:t>
      </w:r>
      <w:r>
        <w:rPr>
          <w:spacing w:val="-10"/>
        </w:rPr>
        <w:t xml:space="preserve"> </w:t>
      </w:r>
      <w:r>
        <w:rPr>
          <w:spacing w:val="-2"/>
        </w:rPr>
        <w:t>By</w:t>
      </w:r>
      <w:r>
        <w:rPr>
          <w:spacing w:val="-10"/>
        </w:rPr>
        <w:t xml:space="preserve"> </w:t>
      </w:r>
      <w:r>
        <w:rPr>
          <w:spacing w:val="-2"/>
        </w:rPr>
        <w:t>2031,</w:t>
      </w:r>
      <w:r>
        <w:rPr>
          <w:spacing w:val="-10"/>
        </w:rPr>
        <w:t xml:space="preserve"> </w:t>
      </w:r>
      <w:r>
        <w:rPr>
          <w:spacing w:val="-2"/>
        </w:rPr>
        <w:t>the</w:t>
      </w:r>
      <w:r>
        <w:rPr>
          <w:spacing w:val="-10"/>
        </w:rPr>
        <w:t xml:space="preserve"> </w:t>
      </w:r>
      <w:r>
        <w:rPr>
          <w:spacing w:val="-2"/>
        </w:rPr>
        <w:t>Port</w:t>
      </w:r>
      <w:r>
        <w:rPr>
          <w:spacing w:val="-10"/>
        </w:rPr>
        <w:t xml:space="preserve"> </w:t>
      </w:r>
      <w:r>
        <w:rPr>
          <w:spacing w:val="-2"/>
        </w:rPr>
        <w:t>will</w:t>
      </w:r>
      <w:r>
        <w:rPr>
          <w:spacing w:val="-10"/>
        </w:rPr>
        <w:t xml:space="preserve"> </w:t>
      </w:r>
      <w:r>
        <w:rPr>
          <w:spacing w:val="-2"/>
        </w:rPr>
        <w:t xml:space="preserve">have </w:t>
      </w:r>
      <w:r>
        <w:rPr>
          <w:w w:val="95"/>
        </w:rPr>
        <w:t xml:space="preserve">potential coal export capacity of 330 mtpa. This includes </w:t>
      </w:r>
      <w:r>
        <w:rPr>
          <w:spacing w:val="-2"/>
        </w:rPr>
        <w:t>planned</w:t>
      </w:r>
      <w:r>
        <w:rPr>
          <w:spacing w:val="-8"/>
        </w:rPr>
        <w:t xml:space="preserve"> </w:t>
      </w:r>
      <w:r>
        <w:rPr>
          <w:spacing w:val="-2"/>
        </w:rPr>
        <w:t>investment</w:t>
      </w:r>
      <w:r>
        <w:rPr>
          <w:spacing w:val="-8"/>
        </w:rPr>
        <w:t xml:space="preserve"> </w:t>
      </w:r>
      <w:r>
        <w:rPr>
          <w:spacing w:val="-2"/>
        </w:rPr>
        <w:t>in</w:t>
      </w:r>
      <w:r>
        <w:rPr>
          <w:spacing w:val="-8"/>
        </w:rPr>
        <w:t xml:space="preserve"> </w:t>
      </w:r>
      <w:r>
        <w:rPr>
          <w:spacing w:val="-2"/>
        </w:rPr>
        <w:t>a</w:t>
      </w:r>
      <w:r>
        <w:rPr>
          <w:spacing w:val="-8"/>
        </w:rPr>
        <w:t xml:space="preserve"> </w:t>
      </w:r>
      <w:r>
        <w:rPr>
          <w:spacing w:val="-2"/>
        </w:rPr>
        <w:t>fourth</w:t>
      </w:r>
      <w:r>
        <w:rPr>
          <w:spacing w:val="-8"/>
        </w:rPr>
        <w:t xml:space="preserve"> </w:t>
      </w:r>
      <w:r>
        <w:rPr>
          <w:spacing w:val="-2"/>
        </w:rPr>
        <w:t>terminal</w:t>
      </w:r>
      <w:r>
        <w:rPr>
          <w:spacing w:val="-8"/>
        </w:rPr>
        <w:t xml:space="preserve"> </w:t>
      </w:r>
      <w:r>
        <w:rPr>
          <w:spacing w:val="-2"/>
        </w:rPr>
        <w:t>(T4)</w:t>
      </w:r>
      <w:r>
        <w:rPr>
          <w:spacing w:val="-8"/>
        </w:rPr>
        <w:t xml:space="preserve"> </w:t>
      </w:r>
      <w:r>
        <w:rPr>
          <w:spacing w:val="-2"/>
        </w:rPr>
        <w:t>by</w:t>
      </w:r>
      <w:r>
        <w:rPr>
          <w:spacing w:val="-8"/>
        </w:rPr>
        <w:t xml:space="preserve"> </w:t>
      </w:r>
      <w:r>
        <w:rPr>
          <w:spacing w:val="-2"/>
        </w:rPr>
        <w:t xml:space="preserve">Port </w:t>
      </w:r>
      <w:r>
        <w:rPr>
          <w:w w:val="95"/>
        </w:rPr>
        <w:t xml:space="preserve">Waratah Coal Services, which will increase capacity by </w:t>
      </w:r>
      <w:r>
        <w:t>60 to 120 mtpa by itself</w:t>
      </w:r>
      <w:r>
        <w:rPr>
          <w:spacing w:val="-9"/>
        </w:rPr>
        <w:t xml:space="preserve"> </w:t>
      </w:r>
      <w:r>
        <w:rPr>
          <w:position w:val="7"/>
          <w:sz w:val="11"/>
        </w:rPr>
        <w:t>21</w:t>
      </w:r>
      <w:r>
        <w:t>.</w:t>
      </w:r>
    </w:p>
    <w:p w:rsidR="002C1123" w:rsidRDefault="00F22F94">
      <w:pPr>
        <w:pStyle w:val="BodyText"/>
        <w:spacing w:before="147" w:line="249" w:lineRule="auto"/>
        <w:ind w:left="192"/>
        <w:jc w:val="both"/>
      </w:pPr>
      <w:r>
        <w:rPr>
          <w:spacing w:val="-2"/>
          <w:w w:val="95"/>
        </w:rPr>
        <w:t>As</w:t>
      </w:r>
      <w:r>
        <w:rPr>
          <w:spacing w:val="-7"/>
          <w:w w:val="95"/>
        </w:rPr>
        <w:t xml:space="preserve"> </w:t>
      </w:r>
      <w:r>
        <w:rPr>
          <w:spacing w:val="-2"/>
          <w:w w:val="95"/>
        </w:rPr>
        <w:t>with</w:t>
      </w:r>
      <w:r>
        <w:rPr>
          <w:spacing w:val="-7"/>
          <w:w w:val="95"/>
        </w:rPr>
        <w:t xml:space="preserve"> </w:t>
      </w:r>
      <w:r>
        <w:rPr>
          <w:spacing w:val="-2"/>
          <w:w w:val="95"/>
        </w:rPr>
        <w:t>other</w:t>
      </w:r>
      <w:r>
        <w:rPr>
          <w:spacing w:val="-7"/>
          <w:w w:val="95"/>
        </w:rPr>
        <w:t xml:space="preserve"> </w:t>
      </w:r>
      <w:r>
        <w:rPr>
          <w:spacing w:val="-2"/>
          <w:w w:val="95"/>
        </w:rPr>
        <w:t>NSW</w:t>
      </w:r>
      <w:r>
        <w:rPr>
          <w:spacing w:val="-7"/>
          <w:w w:val="95"/>
        </w:rPr>
        <w:t xml:space="preserve"> </w:t>
      </w:r>
      <w:r>
        <w:rPr>
          <w:spacing w:val="-2"/>
          <w:w w:val="95"/>
        </w:rPr>
        <w:t>export</w:t>
      </w:r>
      <w:r>
        <w:rPr>
          <w:spacing w:val="-7"/>
          <w:w w:val="95"/>
        </w:rPr>
        <w:t xml:space="preserve"> </w:t>
      </w:r>
      <w:r>
        <w:rPr>
          <w:spacing w:val="-2"/>
          <w:w w:val="95"/>
        </w:rPr>
        <w:t>gateways,</w:t>
      </w:r>
      <w:r>
        <w:rPr>
          <w:spacing w:val="-7"/>
          <w:w w:val="95"/>
        </w:rPr>
        <w:t xml:space="preserve"> </w:t>
      </w:r>
      <w:r>
        <w:rPr>
          <w:spacing w:val="-2"/>
          <w:w w:val="95"/>
        </w:rPr>
        <w:t>the</w:t>
      </w:r>
      <w:r>
        <w:rPr>
          <w:spacing w:val="-7"/>
          <w:w w:val="95"/>
        </w:rPr>
        <w:t xml:space="preserve"> </w:t>
      </w:r>
      <w:r>
        <w:rPr>
          <w:spacing w:val="-2"/>
          <w:w w:val="95"/>
        </w:rPr>
        <w:t>key</w:t>
      </w:r>
      <w:r>
        <w:rPr>
          <w:spacing w:val="-7"/>
          <w:w w:val="95"/>
        </w:rPr>
        <w:t xml:space="preserve"> </w:t>
      </w:r>
      <w:r>
        <w:rPr>
          <w:spacing w:val="-2"/>
          <w:w w:val="95"/>
        </w:rPr>
        <w:t xml:space="preserve">infrastructure </w:t>
      </w:r>
      <w:r>
        <w:rPr>
          <w:w w:val="90"/>
        </w:rPr>
        <w:t xml:space="preserve">issue for the Hunter region freight supply chains is efficient </w:t>
      </w:r>
      <w:r>
        <w:rPr>
          <w:w w:val="95"/>
        </w:rPr>
        <w:t>landside</w:t>
      </w:r>
      <w:r>
        <w:rPr>
          <w:spacing w:val="-5"/>
          <w:w w:val="95"/>
        </w:rPr>
        <w:t xml:space="preserve"> </w:t>
      </w:r>
      <w:r>
        <w:rPr>
          <w:w w:val="95"/>
        </w:rPr>
        <w:t>access</w:t>
      </w:r>
      <w:r>
        <w:rPr>
          <w:spacing w:val="-5"/>
          <w:w w:val="95"/>
        </w:rPr>
        <w:t xml:space="preserve"> </w:t>
      </w:r>
      <w:r>
        <w:rPr>
          <w:w w:val="95"/>
        </w:rPr>
        <w:t>to</w:t>
      </w:r>
      <w:r>
        <w:rPr>
          <w:spacing w:val="-5"/>
          <w:w w:val="95"/>
        </w:rPr>
        <w:t xml:space="preserve"> </w:t>
      </w:r>
      <w:r>
        <w:rPr>
          <w:w w:val="95"/>
        </w:rPr>
        <w:t>port</w:t>
      </w:r>
      <w:r>
        <w:rPr>
          <w:spacing w:val="-5"/>
          <w:w w:val="95"/>
        </w:rPr>
        <w:t xml:space="preserve"> </w:t>
      </w:r>
      <w:r>
        <w:rPr>
          <w:w w:val="95"/>
        </w:rPr>
        <w:t>facilities.</w:t>
      </w:r>
      <w:r>
        <w:rPr>
          <w:spacing w:val="-5"/>
          <w:w w:val="95"/>
        </w:rPr>
        <w:t xml:space="preserve"> </w:t>
      </w:r>
      <w:r>
        <w:rPr>
          <w:w w:val="95"/>
        </w:rPr>
        <w:t>Most</w:t>
      </w:r>
      <w:r>
        <w:rPr>
          <w:spacing w:val="-5"/>
          <w:w w:val="95"/>
        </w:rPr>
        <w:t xml:space="preserve"> </w:t>
      </w:r>
      <w:r>
        <w:rPr>
          <w:w w:val="95"/>
        </w:rPr>
        <w:t>coal</w:t>
      </w:r>
      <w:r>
        <w:rPr>
          <w:spacing w:val="-5"/>
          <w:w w:val="95"/>
        </w:rPr>
        <w:t xml:space="preserve"> </w:t>
      </w:r>
      <w:r>
        <w:rPr>
          <w:w w:val="95"/>
        </w:rPr>
        <w:t>is</w:t>
      </w:r>
      <w:r>
        <w:rPr>
          <w:spacing w:val="-5"/>
          <w:w w:val="95"/>
        </w:rPr>
        <w:t xml:space="preserve"> </w:t>
      </w:r>
      <w:r>
        <w:rPr>
          <w:w w:val="95"/>
        </w:rPr>
        <w:t>transported</w:t>
      </w:r>
    </w:p>
    <w:p w:rsidR="002C1123" w:rsidRDefault="002060EF">
      <w:pPr>
        <w:pStyle w:val="BodyText"/>
        <w:spacing w:before="2"/>
      </w:pPr>
      <w:r>
        <w:pict>
          <v:shape id="docshape1874" o:spid="_x0000_s3213" style="position:absolute;margin-left:300.95pt;margin-top:12.85pt;width:1in;height:.1pt;z-index:-251356160;mso-wrap-distance-left:0;mso-wrap-distance-right:0;mso-position-horizontal-relative:page" coordorigin="6019,257" coordsize="1440,0" path="m6019,257r1440,e" filled="f" strokecolor="#9c9c9d" strokeweight=".5pt">
            <v:path arrowok="t"/>
            <w10:wrap type="topAndBottom" anchorx="page"/>
          </v:shape>
        </w:pict>
      </w:r>
    </w:p>
    <w:p w:rsidR="002C1123" w:rsidRDefault="00F22F94">
      <w:pPr>
        <w:pStyle w:val="ListParagraph"/>
        <w:numPr>
          <w:ilvl w:val="0"/>
          <w:numId w:val="73"/>
        </w:numPr>
        <w:tabs>
          <w:tab w:val="left" w:pos="391"/>
        </w:tabs>
        <w:spacing w:before="23" w:line="161" w:lineRule="exact"/>
        <w:ind w:left="390"/>
        <w:jc w:val="left"/>
        <w:rPr>
          <w:sz w:val="14"/>
        </w:rPr>
      </w:pPr>
      <w:r>
        <w:rPr>
          <w:w w:val="95"/>
          <w:sz w:val="14"/>
        </w:rPr>
        <w:t>Ports</w:t>
      </w:r>
      <w:r>
        <w:rPr>
          <w:spacing w:val="-2"/>
          <w:w w:val="95"/>
          <w:sz w:val="14"/>
        </w:rPr>
        <w:t xml:space="preserve"> </w:t>
      </w:r>
      <w:r>
        <w:rPr>
          <w:w w:val="95"/>
          <w:sz w:val="14"/>
        </w:rPr>
        <w:t>Australia</w:t>
      </w:r>
      <w:r>
        <w:rPr>
          <w:spacing w:val="-2"/>
          <w:w w:val="95"/>
          <w:sz w:val="14"/>
        </w:rPr>
        <w:t xml:space="preserve"> </w:t>
      </w:r>
      <w:r>
        <w:rPr>
          <w:w w:val="95"/>
          <w:sz w:val="14"/>
        </w:rPr>
        <w:t>2011;</w:t>
      </w:r>
      <w:r>
        <w:rPr>
          <w:spacing w:val="-2"/>
          <w:w w:val="95"/>
          <w:sz w:val="14"/>
        </w:rPr>
        <w:t xml:space="preserve"> </w:t>
      </w:r>
      <w:r>
        <w:rPr>
          <w:w w:val="95"/>
          <w:sz w:val="14"/>
        </w:rPr>
        <w:t>Trade</w:t>
      </w:r>
      <w:r>
        <w:rPr>
          <w:spacing w:val="-2"/>
          <w:w w:val="95"/>
          <w:sz w:val="14"/>
        </w:rPr>
        <w:t xml:space="preserve"> </w:t>
      </w:r>
      <w:r>
        <w:rPr>
          <w:w w:val="95"/>
          <w:sz w:val="14"/>
        </w:rPr>
        <w:t>Statistics</w:t>
      </w:r>
      <w:r>
        <w:rPr>
          <w:spacing w:val="-1"/>
          <w:w w:val="95"/>
          <w:sz w:val="14"/>
        </w:rPr>
        <w:t xml:space="preserve"> </w:t>
      </w:r>
      <w:r>
        <w:rPr>
          <w:w w:val="95"/>
          <w:sz w:val="14"/>
        </w:rPr>
        <w:t>for</w:t>
      </w:r>
      <w:r>
        <w:rPr>
          <w:spacing w:val="-2"/>
          <w:w w:val="95"/>
          <w:sz w:val="14"/>
        </w:rPr>
        <w:t xml:space="preserve"> </w:t>
      </w:r>
      <w:r>
        <w:rPr>
          <w:w w:val="95"/>
          <w:sz w:val="14"/>
        </w:rPr>
        <w:t>Bulk</w:t>
      </w:r>
      <w:r>
        <w:rPr>
          <w:spacing w:val="-2"/>
          <w:w w:val="95"/>
          <w:sz w:val="14"/>
        </w:rPr>
        <w:t xml:space="preserve"> </w:t>
      </w:r>
      <w:r>
        <w:rPr>
          <w:w w:val="95"/>
          <w:sz w:val="14"/>
        </w:rPr>
        <w:t>Cargo</w:t>
      </w:r>
      <w:r>
        <w:rPr>
          <w:spacing w:val="-2"/>
          <w:w w:val="95"/>
          <w:sz w:val="14"/>
        </w:rPr>
        <w:t xml:space="preserve"> </w:t>
      </w:r>
      <w:r>
        <w:rPr>
          <w:w w:val="95"/>
          <w:sz w:val="14"/>
        </w:rPr>
        <w:t>and</w:t>
      </w:r>
      <w:r>
        <w:rPr>
          <w:spacing w:val="-2"/>
          <w:w w:val="95"/>
          <w:sz w:val="14"/>
        </w:rPr>
        <w:t xml:space="preserve"> </w:t>
      </w:r>
      <w:r>
        <w:rPr>
          <w:w w:val="95"/>
          <w:sz w:val="14"/>
        </w:rPr>
        <w:t>Coal</w:t>
      </w:r>
      <w:r>
        <w:rPr>
          <w:spacing w:val="-1"/>
          <w:w w:val="95"/>
          <w:sz w:val="14"/>
        </w:rPr>
        <w:t xml:space="preserve"> </w:t>
      </w:r>
      <w:r>
        <w:rPr>
          <w:spacing w:val="-2"/>
          <w:w w:val="95"/>
          <w:sz w:val="14"/>
        </w:rPr>
        <w:t>Exports.</w:t>
      </w:r>
    </w:p>
    <w:p w:rsidR="002C1123" w:rsidRDefault="00F22F94">
      <w:pPr>
        <w:pStyle w:val="ListParagraph"/>
        <w:numPr>
          <w:ilvl w:val="0"/>
          <w:numId w:val="73"/>
        </w:numPr>
        <w:tabs>
          <w:tab w:val="left" w:pos="392"/>
        </w:tabs>
        <w:spacing w:line="160" w:lineRule="exact"/>
        <w:ind w:left="391" w:hanging="200"/>
        <w:jc w:val="left"/>
        <w:rPr>
          <w:sz w:val="14"/>
        </w:rPr>
      </w:pPr>
      <w:r>
        <w:rPr>
          <w:w w:val="95"/>
          <w:sz w:val="14"/>
        </w:rPr>
        <w:t>Newcastle</w:t>
      </w:r>
      <w:r>
        <w:rPr>
          <w:spacing w:val="1"/>
          <w:sz w:val="14"/>
        </w:rPr>
        <w:t xml:space="preserve"> </w:t>
      </w:r>
      <w:r>
        <w:rPr>
          <w:w w:val="95"/>
          <w:sz w:val="14"/>
        </w:rPr>
        <w:t>Port</w:t>
      </w:r>
      <w:r>
        <w:rPr>
          <w:spacing w:val="2"/>
          <w:sz w:val="14"/>
        </w:rPr>
        <w:t xml:space="preserve"> </w:t>
      </w:r>
      <w:r>
        <w:rPr>
          <w:w w:val="95"/>
          <w:sz w:val="14"/>
        </w:rPr>
        <w:t>Corporation</w:t>
      </w:r>
      <w:r>
        <w:rPr>
          <w:spacing w:val="1"/>
          <w:sz w:val="14"/>
        </w:rPr>
        <w:t xml:space="preserve"> </w:t>
      </w:r>
      <w:r>
        <w:rPr>
          <w:w w:val="95"/>
          <w:sz w:val="14"/>
        </w:rPr>
        <w:t>2011,</w:t>
      </w:r>
      <w:r>
        <w:rPr>
          <w:spacing w:val="2"/>
          <w:sz w:val="14"/>
        </w:rPr>
        <w:t xml:space="preserve"> </w:t>
      </w:r>
      <w:r>
        <w:rPr>
          <w:w w:val="95"/>
          <w:sz w:val="14"/>
        </w:rPr>
        <w:t>Long</w:t>
      </w:r>
      <w:r>
        <w:rPr>
          <w:spacing w:val="1"/>
          <w:sz w:val="14"/>
        </w:rPr>
        <w:t xml:space="preserve"> </w:t>
      </w:r>
      <w:r>
        <w:rPr>
          <w:w w:val="95"/>
          <w:sz w:val="14"/>
        </w:rPr>
        <w:t>Term</w:t>
      </w:r>
      <w:r>
        <w:rPr>
          <w:spacing w:val="1"/>
          <w:sz w:val="14"/>
        </w:rPr>
        <w:t xml:space="preserve"> </w:t>
      </w:r>
      <w:r>
        <w:rPr>
          <w:w w:val="95"/>
          <w:sz w:val="14"/>
        </w:rPr>
        <w:t>Coal</w:t>
      </w:r>
      <w:r>
        <w:rPr>
          <w:spacing w:val="2"/>
          <w:sz w:val="14"/>
        </w:rPr>
        <w:t xml:space="preserve"> </w:t>
      </w:r>
      <w:r>
        <w:rPr>
          <w:w w:val="95"/>
          <w:sz w:val="14"/>
        </w:rPr>
        <w:t>Export</w:t>
      </w:r>
      <w:r>
        <w:rPr>
          <w:spacing w:val="1"/>
          <w:sz w:val="14"/>
        </w:rPr>
        <w:t xml:space="preserve"> </w:t>
      </w:r>
      <w:r>
        <w:rPr>
          <w:spacing w:val="-2"/>
          <w:w w:val="95"/>
          <w:sz w:val="14"/>
        </w:rPr>
        <w:t>Forecast.</w:t>
      </w:r>
    </w:p>
    <w:p w:rsidR="002C1123" w:rsidRDefault="00F22F94">
      <w:pPr>
        <w:pStyle w:val="ListParagraph"/>
        <w:numPr>
          <w:ilvl w:val="0"/>
          <w:numId w:val="73"/>
        </w:numPr>
        <w:tabs>
          <w:tab w:val="left" w:pos="392"/>
        </w:tabs>
        <w:spacing w:line="160" w:lineRule="exact"/>
        <w:ind w:left="391" w:hanging="200"/>
        <w:jc w:val="left"/>
        <w:rPr>
          <w:sz w:val="14"/>
        </w:rPr>
      </w:pPr>
      <w:r>
        <w:rPr>
          <w:w w:val="95"/>
          <w:sz w:val="14"/>
        </w:rPr>
        <w:t>Newcastle</w:t>
      </w:r>
      <w:r>
        <w:rPr>
          <w:spacing w:val="-1"/>
          <w:sz w:val="14"/>
        </w:rPr>
        <w:t xml:space="preserve"> </w:t>
      </w:r>
      <w:r>
        <w:rPr>
          <w:w w:val="95"/>
          <w:sz w:val="14"/>
        </w:rPr>
        <w:t>Port</w:t>
      </w:r>
      <w:r>
        <w:rPr>
          <w:sz w:val="14"/>
        </w:rPr>
        <w:t xml:space="preserve"> </w:t>
      </w:r>
      <w:r>
        <w:rPr>
          <w:w w:val="95"/>
          <w:sz w:val="14"/>
        </w:rPr>
        <w:t>Corporation</w:t>
      </w:r>
      <w:r>
        <w:rPr>
          <w:sz w:val="14"/>
        </w:rPr>
        <w:t xml:space="preserve"> </w:t>
      </w:r>
      <w:r>
        <w:rPr>
          <w:w w:val="95"/>
          <w:sz w:val="14"/>
        </w:rPr>
        <w:t>2011,</w:t>
      </w:r>
      <w:r>
        <w:rPr>
          <w:sz w:val="14"/>
        </w:rPr>
        <w:t xml:space="preserve"> </w:t>
      </w:r>
      <w:r>
        <w:rPr>
          <w:w w:val="95"/>
          <w:sz w:val="14"/>
        </w:rPr>
        <w:t>Trade</w:t>
      </w:r>
      <w:r>
        <w:rPr>
          <w:sz w:val="14"/>
        </w:rPr>
        <w:t xml:space="preserve"> </w:t>
      </w:r>
      <w:r>
        <w:rPr>
          <w:spacing w:val="-2"/>
          <w:w w:val="95"/>
          <w:sz w:val="14"/>
        </w:rPr>
        <w:t>Statistics.</w:t>
      </w:r>
    </w:p>
    <w:p w:rsidR="002C1123" w:rsidRDefault="00F22F94">
      <w:pPr>
        <w:pStyle w:val="ListParagraph"/>
        <w:numPr>
          <w:ilvl w:val="0"/>
          <w:numId w:val="73"/>
        </w:numPr>
        <w:tabs>
          <w:tab w:val="left" w:pos="392"/>
        </w:tabs>
        <w:spacing w:line="161" w:lineRule="exact"/>
        <w:ind w:left="391" w:hanging="200"/>
        <w:jc w:val="left"/>
        <w:rPr>
          <w:sz w:val="14"/>
        </w:rPr>
      </w:pPr>
      <w:r>
        <w:rPr>
          <w:w w:val="95"/>
          <w:sz w:val="14"/>
        </w:rPr>
        <w:t>Newcastle</w:t>
      </w:r>
      <w:r>
        <w:rPr>
          <w:spacing w:val="4"/>
          <w:sz w:val="14"/>
        </w:rPr>
        <w:t xml:space="preserve"> </w:t>
      </w:r>
      <w:r>
        <w:rPr>
          <w:w w:val="95"/>
          <w:sz w:val="14"/>
        </w:rPr>
        <w:t>Port</w:t>
      </w:r>
      <w:r>
        <w:rPr>
          <w:spacing w:val="4"/>
          <w:sz w:val="14"/>
        </w:rPr>
        <w:t xml:space="preserve"> </w:t>
      </w:r>
      <w:r>
        <w:rPr>
          <w:w w:val="95"/>
          <w:sz w:val="14"/>
        </w:rPr>
        <w:t>Corporation</w:t>
      </w:r>
      <w:r>
        <w:rPr>
          <w:spacing w:val="4"/>
          <w:sz w:val="14"/>
        </w:rPr>
        <w:t xml:space="preserve"> </w:t>
      </w:r>
      <w:r>
        <w:rPr>
          <w:w w:val="95"/>
          <w:sz w:val="14"/>
        </w:rPr>
        <w:t>2011,</w:t>
      </w:r>
      <w:r>
        <w:rPr>
          <w:spacing w:val="5"/>
          <w:sz w:val="14"/>
        </w:rPr>
        <w:t xml:space="preserve"> </w:t>
      </w:r>
      <w:r>
        <w:rPr>
          <w:w w:val="95"/>
          <w:sz w:val="14"/>
        </w:rPr>
        <w:t>Annual</w:t>
      </w:r>
      <w:r>
        <w:rPr>
          <w:spacing w:val="4"/>
          <w:sz w:val="14"/>
        </w:rPr>
        <w:t xml:space="preserve"> </w:t>
      </w:r>
      <w:r>
        <w:rPr>
          <w:w w:val="95"/>
          <w:sz w:val="14"/>
        </w:rPr>
        <w:t>Report</w:t>
      </w:r>
      <w:r>
        <w:rPr>
          <w:spacing w:val="4"/>
          <w:sz w:val="14"/>
        </w:rPr>
        <w:t xml:space="preserve"> </w:t>
      </w:r>
      <w:r>
        <w:rPr>
          <w:w w:val="95"/>
          <w:sz w:val="14"/>
        </w:rPr>
        <w:t>2010-</w:t>
      </w:r>
      <w:r>
        <w:rPr>
          <w:spacing w:val="-5"/>
          <w:w w:val="95"/>
          <w:sz w:val="14"/>
        </w:rPr>
        <w:t>11.</w:t>
      </w:r>
    </w:p>
    <w:p w:rsidR="002C1123" w:rsidRDefault="00F22F94">
      <w:pPr>
        <w:spacing w:after="24"/>
        <w:rPr>
          <w:sz w:val="10"/>
        </w:rPr>
      </w:pPr>
      <w:r>
        <w:br w:type="column"/>
      </w:r>
    </w:p>
    <w:p w:rsidR="002C1123" w:rsidRDefault="002060EF">
      <w:pPr>
        <w:pStyle w:val="BodyText"/>
        <w:ind w:left="170"/>
      </w:pPr>
      <w:r>
        <w:pict>
          <v:group id="docshapegroup1875" o:spid="_x0000_s3184" style="width:240.75pt;height:240.75pt;mso-position-horizontal-relative:char;mso-position-vertical-relative:line" coordsize="4815,4815">
            <v:rect id="docshape1876" o:spid="_x0000_s3212" style="position:absolute;left:11;top:11;width:4791;height:4791" fillcolor="#e1e0e1" stroked="f"/>
            <v:shape id="docshape1877" o:spid="_x0000_s3211" style="position:absolute;left:4633;top:1737;width:169;height:81" coordorigin="4634,1738" coordsize="169,81" path="m4802,1782r-4,-1l4791,1774r-2,-12l4787,1750r-8,-8l4768,1738r-8,4l4749,1746r-9,4l4738,1757r-9,3l4719,1761r-9,-2l4701,1756r-11,-1l4682,1756r-5,-1l4669,1759r-7,6l4659,1774r-2,10l4653,1793r-7,11l4641,1809r-7,9e" filled="f" strokecolor="#b9e5fa" strokeweight=".1312mm">
              <v:path arrowok="t"/>
            </v:shape>
            <v:shape id="docshape1878" o:spid="_x0000_s3210" type="#_x0000_t75" style="position:absolute;width:4815;height:4815">
              <v:imagedata r:id="rId202" o:title=""/>
            </v:shape>
            <v:rect id="docshape1879" o:spid="_x0000_s3209" style="position:absolute;left:11;top:4760;width:4791;height:42" stroked="f"/>
            <v:rect id="docshape1880" o:spid="_x0000_s3208" style="position:absolute;left:164;top:4612;width:186;height:45" fillcolor="black" stroked="f"/>
            <v:rect id="docshape1881" o:spid="_x0000_s3207" style="position:absolute;left:164;top:4612;width:186;height:45" filled="f" strokeweight=".1069mm"/>
            <v:rect id="docshape1882" o:spid="_x0000_s3206" style="position:absolute;left:349;top:4612;width:186;height:45" stroked="f"/>
            <v:rect id="docshape1883" o:spid="_x0000_s3205" style="position:absolute;left:349;top:4612;width:186;height:45" filled="f" strokeweight=".1069mm"/>
            <v:rect id="docshape1884" o:spid="_x0000_s3204" style="position:absolute;left:535;top:4612;width:186;height:45" fillcolor="black" stroked="f"/>
            <v:rect id="docshape1885" o:spid="_x0000_s3203" style="position:absolute;left:535;top:4612;width:186;height:45" filled="f" strokeweight=".1069mm"/>
            <v:rect id="docshape1886" o:spid="_x0000_s3202" style="position:absolute;left:720;top:4612;width:186;height:45" stroked="f"/>
            <v:rect id="docshape1887" o:spid="_x0000_s3201" style="position:absolute;left:720;top:4612;width:186;height:45" filled="f" strokeweight=".1069mm"/>
            <v:rect id="docshape1888" o:spid="_x0000_s3200" style="position:absolute;left:905;top:4612;width:186;height:45" fillcolor="black" stroked="f"/>
            <v:rect id="docshape1889" o:spid="_x0000_s3199" style="position:absolute;left:905;top:4612;width:186;height:45" filled="f" strokeweight=".1069mm"/>
            <v:line id="_x0000_s3198" style="position:absolute" from="107,3993" to="394,3993" strokecolor="#f47920" strokeweight="3.03pt"/>
            <v:shape id="docshape1890" o:spid="_x0000_s3197" type="#_x0000_t202" style="position:absolute;left:107;top:68;width:4211;height:727" filled="f" stroked="f">
              <v:textbox inset="0,0,0,0">
                <w:txbxContent>
                  <w:p w:rsidR="00F22F94" w:rsidRDefault="00F22F94">
                    <w:pPr>
                      <w:spacing w:before="8"/>
                      <w:rPr>
                        <w:b/>
                        <w:sz w:val="18"/>
                      </w:rPr>
                    </w:pPr>
                    <w:r>
                      <w:rPr>
                        <w:b/>
                        <w:sz w:val="18"/>
                      </w:rPr>
                      <w:t>Figure</w:t>
                    </w:r>
                    <w:r>
                      <w:rPr>
                        <w:b/>
                        <w:spacing w:val="-3"/>
                        <w:sz w:val="18"/>
                      </w:rPr>
                      <w:t xml:space="preserve"> </w:t>
                    </w:r>
                    <w:r>
                      <w:rPr>
                        <w:b/>
                        <w:sz w:val="18"/>
                      </w:rPr>
                      <w:t>10.5</w:t>
                    </w:r>
                    <w:r>
                      <w:rPr>
                        <w:b/>
                        <w:spacing w:val="45"/>
                        <w:sz w:val="18"/>
                      </w:rPr>
                      <w:t xml:space="preserve"> </w:t>
                    </w:r>
                    <w:r>
                      <w:rPr>
                        <w:b/>
                        <w:sz w:val="18"/>
                      </w:rPr>
                      <w:t>Hunter</w:t>
                    </w:r>
                    <w:r>
                      <w:rPr>
                        <w:b/>
                        <w:spacing w:val="-3"/>
                        <w:sz w:val="18"/>
                      </w:rPr>
                      <w:t xml:space="preserve"> </w:t>
                    </w:r>
                    <w:r>
                      <w:rPr>
                        <w:b/>
                        <w:sz w:val="18"/>
                      </w:rPr>
                      <w:t>Valley</w:t>
                    </w:r>
                    <w:r>
                      <w:rPr>
                        <w:b/>
                        <w:spacing w:val="-2"/>
                        <w:sz w:val="18"/>
                      </w:rPr>
                      <w:t xml:space="preserve"> </w:t>
                    </w:r>
                    <w:r>
                      <w:rPr>
                        <w:b/>
                        <w:sz w:val="18"/>
                      </w:rPr>
                      <w:t>Coal</w:t>
                    </w:r>
                    <w:r>
                      <w:rPr>
                        <w:b/>
                        <w:spacing w:val="-3"/>
                        <w:sz w:val="18"/>
                      </w:rPr>
                      <w:t xml:space="preserve"> </w:t>
                    </w:r>
                    <w:r>
                      <w:rPr>
                        <w:b/>
                        <w:sz w:val="18"/>
                      </w:rPr>
                      <w:t>Chain</w:t>
                    </w:r>
                    <w:r>
                      <w:rPr>
                        <w:b/>
                        <w:spacing w:val="-3"/>
                        <w:sz w:val="18"/>
                      </w:rPr>
                      <w:t xml:space="preserve"> </w:t>
                    </w:r>
                    <w:r>
                      <w:rPr>
                        <w:b/>
                        <w:spacing w:val="-2"/>
                        <w:sz w:val="18"/>
                      </w:rPr>
                      <w:t>(simplified)</w:t>
                    </w:r>
                  </w:p>
                  <w:p w:rsidR="00F22F94" w:rsidRDefault="00F22F94">
                    <w:pPr>
                      <w:spacing w:before="123"/>
                      <w:ind w:left="300" w:right="3046"/>
                      <w:jc w:val="center"/>
                      <w:rPr>
                        <w:sz w:val="16"/>
                      </w:rPr>
                    </w:pPr>
                    <w:r>
                      <w:rPr>
                        <w:spacing w:val="-2"/>
                        <w:sz w:val="16"/>
                      </w:rPr>
                      <w:t>Whitehaven</w:t>
                    </w:r>
                  </w:p>
                  <w:p w:rsidR="00F22F94" w:rsidRDefault="00F22F94">
                    <w:pPr>
                      <w:spacing w:before="21" w:line="183" w:lineRule="exact"/>
                      <w:ind w:left="300" w:right="728"/>
                      <w:jc w:val="center"/>
                      <w:rPr>
                        <w:sz w:val="16"/>
                      </w:rPr>
                    </w:pPr>
                    <w:r>
                      <w:rPr>
                        <w:spacing w:val="-2"/>
                        <w:sz w:val="16"/>
                      </w:rPr>
                      <w:t>Gunnedah</w:t>
                    </w:r>
                  </w:p>
                </w:txbxContent>
              </v:textbox>
            </v:shape>
            <v:shape id="docshape1891" o:spid="_x0000_s3196" type="#_x0000_t202" style="position:absolute;left:2293;top:1297;width:1659;height:614" filled="f" stroked="f">
              <v:textbox inset="0,0,0,0">
                <w:txbxContent>
                  <w:p w:rsidR="00F22F94" w:rsidRDefault="00F22F94">
                    <w:pPr>
                      <w:spacing w:line="184" w:lineRule="exact"/>
                      <w:rPr>
                        <w:sz w:val="16"/>
                      </w:rPr>
                    </w:pPr>
                    <w:r>
                      <w:rPr>
                        <w:spacing w:val="-2"/>
                        <w:sz w:val="16"/>
                      </w:rPr>
                      <w:t>Quirindi</w:t>
                    </w:r>
                  </w:p>
                  <w:p w:rsidR="00F22F94" w:rsidRDefault="00F22F94">
                    <w:pPr>
                      <w:spacing w:before="2"/>
                      <w:rPr>
                        <w:sz w:val="19"/>
                      </w:rPr>
                    </w:pPr>
                  </w:p>
                  <w:p w:rsidR="00F22F94" w:rsidRDefault="00F22F94">
                    <w:pPr>
                      <w:ind w:left="397"/>
                      <w:rPr>
                        <w:b/>
                        <w:sz w:val="18"/>
                      </w:rPr>
                    </w:pPr>
                    <w:r>
                      <w:rPr>
                        <w:b/>
                        <w:w w:val="80"/>
                        <w:sz w:val="18"/>
                      </w:rPr>
                      <w:t>Liverpool</w:t>
                    </w:r>
                    <w:r>
                      <w:rPr>
                        <w:b/>
                        <w:spacing w:val="1"/>
                        <w:sz w:val="18"/>
                      </w:rPr>
                      <w:t xml:space="preserve"> </w:t>
                    </w:r>
                    <w:r>
                      <w:rPr>
                        <w:b/>
                        <w:spacing w:val="-2"/>
                        <w:w w:val="85"/>
                        <w:sz w:val="18"/>
                      </w:rPr>
                      <w:t>Ranges</w:t>
                    </w:r>
                  </w:p>
                </w:txbxContent>
              </v:textbox>
            </v:shape>
            <v:shape id="docshape1892" o:spid="_x0000_s3195" type="#_x0000_t202" style="position:absolute;left:2695;top:2555;width:461;height:216" filled="f" stroked="f">
              <v:textbox inset="0,0,0,0">
                <w:txbxContent>
                  <w:p w:rsidR="00F22F94" w:rsidRDefault="00F22F94">
                    <w:pPr>
                      <w:spacing w:before="6"/>
                      <w:rPr>
                        <w:b/>
                        <w:sz w:val="18"/>
                      </w:rPr>
                    </w:pPr>
                    <w:r>
                      <w:rPr>
                        <w:b/>
                        <w:spacing w:val="-2"/>
                        <w:w w:val="85"/>
                        <w:sz w:val="18"/>
                      </w:rPr>
                      <w:t>Scone</w:t>
                    </w:r>
                  </w:p>
                </w:txbxContent>
              </v:textbox>
            </v:shape>
            <v:shape id="docshape1893" o:spid="_x0000_s3194" type="#_x0000_t202" style="position:absolute;left:3636;top:2432;width:628;height:183" filled="f" stroked="f">
              <v:textbox inset="0,0,0,0">
                <w:txbxContent>
                  <w:p w:rsidR="00F22F94" w:rsidRDefault="00F22F94">
                    <w:pPr>
                      <w:spacing w:line="183" w:lineRule="exact"/>
                      <w:rPr>
                        <w:sz w:val="16"/>
                      </w:rPr>
                    </w:pPr>
                    <w:r>
                      <w:rPr>
                        <w:spacing w:val="-2"/>
                        <w:w w:val="80"/>
                        <w:sz w:val="16"/>
                      </w:rPr>
                      <w:t>Gloucester</w:t>
                    </w:r>
                  </w:p>
                </w:txbxContent>
              </v:textbox>
            </v:shape>
            <v:shape id="docshape1894" o:spid="_x0000_s3193" type="#_x0000_t202" style="position:absolute;left:2749;top:2835;width:1043;height:216" filled="f" stroked="f">
              <v:textbox inset="0,0,0,0">
                <w:txbxContent>
                  <w:p w:rsidR="00F22F94" w:rsidRDefault="00F22F94">
                    <w:pPr>
                      <w:spacing w:before="6"/>
                      <w:rPr>
                        <w:b/>
                        <w:sz w:val="18"/>
                      </w:rPr>
                    </w:pPr>
                    <w:r>
                      <w:rPr>
                        <w:b/>
                        <w:spacing w:val="-2"/>
                        <w:w w:val="85"/>
                        <w:sz w:val="18"/>
                      </w:rPr>
                      <w:t>Muswellbrook</w:t>
                    </w:r>
                  </w:p>
                </w:txbxContent>
              </v:textbox>
            </v:shape>
            <v:shape id="docshape1895" o:spid="_x0000_s3192" type="#_x0000_t202" style="position:absolute;left:558;top:3317;width:272;height:183" filled="f" stroked="f">
              <v:textbox inset="0,0,0,0">
                <w:txbxContent>
                  <w:p w:rsidR="00F22F94" w:rsidRDefault="00F22F94">
                    <w:pPr>
                      <w:spacing w:line="183" w:lineRule="exact"/>
                      <w:rPr>
                        <w:sz w:val="16"/>
                      </w:rPr>
                    </w:pPr>
                    <w:r>
                      <w:rPr>
                        <w:spacing w:val="-6"/>
                        <w:w w:val="85"/>
                        <w:sz w:val="16"/>
                      </w:rPr>
                      <w:t>Ulan</w:t>
                    </w:r>
                  </w:p>
                </w:txbxContent>
              </v:textbox>
            </v:shape>
            <v:shape id="docshape1896" o:spid="_x0000_s3191" type="#_x0000_t202" style="position:absolute;left:2343;top:3517;width:700;height:216" filled="f" stroked="f">
              <v:textbox inset="0,0,0,0">
                <w:txbxContent>
                  <w:p w:rsidR="00F22F94" w:rsidRDefault="00F22F94">
                    <w:pPr>
                      <w:spacing w:before="6"/>
                      <w:rPr>
                        <w:b/>
                        <w:sz w:val="18"/>
                      </w:rPr>
                    </w:pPr>
                    <w:r>
                      <w:rPr>
                        <w:b/>
                        <w:spacing w:val="-2"/>
                        <w:w w:val="85"/>
                        <w:sz w:val="18"/>
                      </w:rPr>
                      <w:t>Singleton</w:t>
                    </w:r>
                  </w:p>
                </w:txbxContent>
              </v:textbox>
            </v:shape>
            <v:shape id="docshape1897" o:spid="_x0000_s3190" type="#_x0000_t202" style="position:absolute;left:471;top:3901;width:1061;height:717" filled="f" stroked="f">
              <v:textbox inset="0,0,0,0">
                <w:txbxContent>
                  <w:p w:rsidR="00F22F94" w:rsidRDefault="00F22F94">
                    <w:pPr>
                      <w:spacing w:line="249" w:lineRule="auto"/>
                      <w:rPr>
                        <w:sz w:val="16"/>
                      </w:rPr>
                    </w:pPr>
                    <w:r>
                      <w:rPr>
                        <w:spacing w:val="-4"/>
                        <w:w w:val="80"/>
                        <w:sz w:val="16"/>
                      </w:rPr>
                      <w:t>Hunter</w:t>
                    </w:r>
                    <w:r>
                      <w:rPr>
                        <w:spacing w:val="-8"/>
                        <w:sz w:val="16"/>
                      </w:rPr>
                      <w:t xml:space="preserve"> </w:t>
                    </w:r>
                    <w:r>
                      <w:rPr>
                        <w:spacing w:val="-4"/>
                        <w:w w:val="80"/>
                        <w:sz w:val="16"/>
                      </w:rPr>
                      <w:t>Valley</w:t>
                    </w:r>
                    <w:r>
                      <w:rPr>
                        <w:spacing w:val="-8"/>
                        <w:sz w:val="16"/>
                      </w:rPr>
                      <w:t xml:space="preserve"> </w:t>
                    </w:r>
                    <w:r>
                      <w:rPr>
                        <w:spacing w:val="-4"/>
                        <w:w w:val="80"/>
                        <w:sz w:val="16"/>
                      </w:rPr>
                      <w:t>Coal</w:t>
                    </w:r>
                    <w:r>
                      <w:rPr>
                        <w:sz w:val="16"/>
                      </w:rPr>
                      <w:t xml:space="preserve"> </w:t>
                    </w:r>
                    <w:r>
                      <w:rPr>
                        <w:w w:val="90"/>
                        <w:sz w:val="16"/>
                      </w:rPr>
                      <w:t>Chain</w:t>
                    </w:r>
                    <w:r>
                      <w:rPr>
                        <w:spacing w:val="-7"/>
                        <w:w w:val="90"/>
                        <w:sz w:val="16"/>
                      </w:rPr>
                      <w:t xml:space="preserve"> </w:t>
                    </w:r>
                    <w:r>
                      <w:rPr>
                        <w:w w:val="90"/>
                        <w:sz w:val="16"/>
                      </w:rPr>
                      <w:t>Main</w:t>
                    </w:r>
                    <w:r>
                      <w:rPr>
                        <w:spacing w:val="-7"/>
                        <w:w w:val="90"/>
                        <w:sz w:val="16"/>
                      </w:rPr>
                      <w:t xml:space="preserve"> </w:t>
                    </w:r>
                    <w:r>
                      <w:rPr>
                        <w:spacing w:val="-4"/>
                        <w:w w:val="90"/>
                        <w:sz w:val="16"/>
                      </w:rPr>
                      <w:t>Line</w:t>
                    </w:r>
                  </w:p>
                  <w:p w:rsidR="00F22F94" w:rsidRDefault="00F22F94">
                    <w:pPr>
                      <w:spacing w:before="151" w:line="183" w:lineRule="exact"/>
                      <w:ind w:left="407"/>
                      <w:rPr>
                        <w:sz w:val="16"/>
                      </w:rPr>
                    </w:pPr>
                    <w:r>
                      <w:rPr>
                        <w:w w:val="85"/>
                        <w:sz w:val="16"/>
                      </w:rPr>
                      <w:t>50</w:t>
                    </w:r>
                    <w:r>
                      <w:rPr>
                        <w:spacing w:val="-4"/>
                        <w:sz w:val="16"/>
                      </w:rPr>
                      <w:t xml:space="preserve"> </w:t>
                    </w:r>
                    <w:r>
                      <w:rPr>
                        <w:spacing w:val="-5"/>
                        <w:sz w:val="16"/>
                      </w:rPr>
                      <w:t>kms</w:t>
                    </w:r>
                  </w:p>
                </w:txbxContent>
              </v:textbox>
            </v:shape>
            <v:shape id="docshape1898" o:spid="_x0000_s3189" type="#_x0000_t202" style="position:absolute;left:3246;top:3940;width:511;height:183" filled="f" stroked="f">
              <v:textbox inset="0,0,0,0">
                <w:txbxContent>
                  <w:p w:rsidR="00F22F94" w:rsidRDefault="00F22F94">
                    <w:pPr>
                      <w:spacing w:line="183" w:lineRule="exact"/>
                      <w:rPr>
                        <w:sz w:val="16"/>
                      </w:rPr>
                    </w:pPr>
                    <w:r>
                      <w:rPr>
                        <w:spacing w:val="-2"/>
                        <w:w w:val="85"/>
                        <w:sz w:val="16"/>
                      </w:rPr>
                      <w:t>Maitland</w:t>
                    </w:r>
                  </w:p>
                </w:txbxContent>
              </v:textbox>
            </v:shape>
            <v:shape id="docshape1899" o:spid="_x0000_s3188" type="#_x0000_t202" style="position:absolute;left:3057;top:4286;width:768;height:183" filled="f" stroked="f">
              <v:textbox inset="0,0,0,0">
                <w:txbxContent>
                  <w:p w:rsidR="00F22F94" w:rsidRDefault="00F22F94">
                    <w:pPr>
                      <w:spacing w:line="183" w:lineRule="exact"/>
                      <w:rPr>
                        <w:sz w:val="16"/>
                      </w:rPr>
                    </w:pPr>
                    <w:r>
                      <w:rPr>
                        <w:w w:val="75"/>
                        <w:sz w:val="16"/>
                      </w:rPr>
                      <w:t>Port</w:t>
                    </w:r>
                    <w:r>
                      <w:rPr>
                        <w:spacing w:val="2"/>
                        <w:sz w:val="16"/>
                      </w:rPr>
                      <w:t xml:space="preserve"> </w:t>
                    </w:r>
                    <w:r>
                      <w:rPr>
                        <w:spacing w:val="-5"/>
                        <w:w w:val="85"/>
                        <w:sz w:val="16"/>
                      </w:rPr>
                      <w:t>Waratah</w:t>
                    </w:r>
                  </w:p>
                </w:txbxContent>
              </v:textbox>
            </v:shape>
            <v:shape id="docshape1900" o:spid="_x0000_s3187" type="#_x0000_t202" style="position:absolute;left:3998;top:4074;width:634;height:337" filled="f" stroked="f">
              <v:textbox inset="0,0,0,0">
                <w:txbxContent>
                  <w:p w:rsidR="00F22F94" w:rsidRDefault="00F22F94">
                    <w:pPr>
                      <w:spacing w:before="25" w:line="199" w:lineRule="auto"/>
                      <w:ind w:left="139" w:hanging="140"/>
                      <w:rPr>
                        <w:sz w:val="16"/>
                      </w:rPr>
                    </w:pPr>
                    <w:r>
                      <w:rPr>
                        <w:spacing w:val="-4"/>
                        <w:w w:val="80"/>
                        <w:sz w:val="16"/>
                      </w:rPr>
                      <w:t>Kooragang</w:t>
                    </w:r>
                    <w:r>
                      <w:rPr>
                        <w:spacing w:val="-2"/>
                        <w:w w:val="95"/>
                        <w:sz w:val="16"/>
                      </w:rPr>
                      <w:t xml:space="preserve"> Island</w:t>
                    </w:r>
                  </w:p>
                </w:txbxContent>
              </v:textbox>
            </v:shape>
            <v:shape id="docshape1901" o:spid="_x0000_s3186" type="#_x0000_t202" style="position:absolute;left:131;top:4435;width:98;height:183" filled="f" stroked="f">
              <v:textbox inset="0,0,0,0">
                <w:txbxContent>
                  <w:p w:rsidR="00F22F94" w:rsidRDefault="00F22F94">
                    <w:pPr>
                      <w:spacing w:line="183" w:lineRule="exact"/>
                      <w:rPr>
                        <w:sz w:val="16"/>
                      </w:rPr>
                    </w:pPr>
                    <w:r>
                      <w:rPr>
                        <w:w w:val="87"/>
                        <w:sz w:val="16"/>
                      </w:rPr>
                      <w:t>0</w:t>
                    </w:r>
                  </w:p>
                </w:txbxContent>
              </v:textbox>
            </v:shape>
            <v:shape id="docshape1902" o:spid="_x0000_s3185" type="#_x0000_t202" style="position:absolute;left:3753;top:4512;width:771;height:216" filled="f" stroked="f">
              <v:textbox inset="0,0,0,0">
                <w:txbxContent>
                  <w:p w:rsidR="00F22F94" w:rsidRDefault="00F22F94">
                    <w:pPr>
                      <w:spacing w:before="6"/>
                      <w:rPr>
                        <w:b/>
                        <w:sz w:val="18"/>
                      </w:rPr>
                    </w:pPr>
                    <w:r>
                      <w:rPr>
                        <w:b/>
                        <w:spacing w:val="-2"/>
                        <w:w w:val="85"/>
                        <w:sz w:val="18"/>
                      </w:rPr>
                      <w:t>Newcastle</w:t>
                    </w:r>
                  </w:p>
                </w:txbxContent>
              </v:textbox>
            </v:shape>
            <w10:anchorlock/>
          </v:group>
        </w:pict>
      </w:r>
    </w:p>
    <w:p w:rsidR="002C1123" w:rsidRDefault="00F22F94">
      <w:pPr>
        <w:pStyle w:val="BodyText"/>
        <w:spacing w:before="154" w:line="249" w:lineRule="auto"/>
        <w:ind w:left="187" w:right="796"/>
      </w:pPr>
      <w:r>
        <w:t>to</w:t>
      </w:r>
      <w:r>
        <w:rPr>
          <w:spacing w:val="-14"/>
        </w:rPr>
        <w:t xml:space="preserve"> </w:t>
      </w:r>
      <w:r>
        <w:t>the</w:t>
      </w:r>
      <w:r>
        <w:rPr>
          <w:spacing w:val="-14"/>
        </w:rPr>
        <w:t xml:space="preserve"> </w:t>
      </w:r>
      <w:r>
        <w:t>Port</w:t>
      </w:r>
      <w:r>
        <w:rPr>
          <w:spacing w:val="-14"/>
        </w:rPr>
        <w:t xml:space="preserve"> </w:t>
      </w:r>
      <w:r>
        <w:t>using</w:t>
      </w:r>
      <w:r>
        <w:rPr>
          <w:spacing w:val="-14"/>
        </w:rPr>
        <w:t xml:space="preserve"> </w:t>
      </w:r>
      <w:r>
        <w:t>the</w:t>
      </w:r>
      <w:r>
        <w:rPr>
          <w:spacing w:val="-14"/>
        </w:rPr>
        <w:t xml:space="preserve"> </w:t>
      </w:r>
      <w:r>
        <w:t>Hunter</w:t>
      </w:r>
      <w:r>
        <w:rPr>
          <w:spacing w:val="-14"/>
        </w:rPr>
        <w:t xml:space="preserve"> </w:t>
      </w:r>
      <w:r>
        <w:t>Valley</w:t>
      </w:r>
      <w:r>
        <w:rPr>
          <w:spacing w:val="-14"/>
        </w:rPr>
        <w:t xml:space="preserve"> </w:t>
      </w:r>
      <w:r>
        <w:t>Rail</w:t>
      </w:r>
      <w:r>
        <w:rPr>
          <w:spacing w:val="-14"/>
        </w:rPr>
        <w:t xml:space="preserve"> </w:t>
      </w:r>
      <w:r>
        <w:t xml:space="preserve">Network, </w:t>
      </w:r>
      <w:r>
        <w:rPr>
          <w:w w:val="95"/>
        </w:rPr>
        <w:t>managed</w:t>
      </w:r>
      <w:r>
        <w:rPr>
          <w:spacing w:val="-10"/>
          <w:w w:val="95"/>
        </w:rPr>
        <w:t xml:space="preserve"> </w:t>
      </w:r>
      <w:r>
        <w:rPr>
          <w:w w:val="95"/>
        </w:rPr>
        <w:t>by</w:t>
      </w:r>
      <w:r>
        <w:rPr>
          <w:spacing w:val="-10"/>
          <w:w w:val="95"/>
        </w:rPr>
        <w:t xml:space="preserve"> </w:t>
      </w:r>
      <w:r>
        <w:rPr>
          <w:w w:val="95"/>
        </w:rPr>
        <w:t>the</w:t>
      </w:r>
      <w:r>
        <w:rPr>
          <w:spacing w:val="-10"/>
          <w:w w:val="95"/>
        </w:rPr>
        <w:t xml:space="preserve"> </w:t>
      </w:r>
      <w:r>
        <w:rPr>
          <w:w w:val="95"/>
        </w:rPr>
        <w:t>ARTC.</w:t>
      </w:r>
      <w:r>
        <w:rPr>
          <w:spacing w:val="-10"/>
          <w:w w:val="95"/>
        </w:rPr>
        <w:t xml:space="preserve"> </w:t>
      </w:r>
      <w:r>
        <w:rPr>
          <w:w w:val="95"/>
        </w:rPr>
        <w:t>Branch</w:t>
      </w:r>
      <w:r>
        <w:rPr>
          <w:spacing w:val="-10"/>
          <w:w w:val="95"/>
        </w:rPr>
        <w:t xml:space="preserve"> </w:t>
      </w:r>
      <w:r>
        <w:rPr>
          <w:w w:val="95"/>
        </w:rPr>
        <w:t>lines</w:t>
      </w:r>
      <w:r>
        <w:rPr>
          <w:spacing w:val="-10"/>
          <w:w w:val="95"/>
        </w:rPr>
        <w:t xml:space="preserve"> </w:t>
      </w:r>
      <w:r>
        <w:rPr>
          <w:w w:val="95"/>
        </w:rPr>
        <w:t>feed</w:t>
      </w:r>
      <w:r>
        <w:rPr>
          <w:spacing w:val="-10"/>
          <w:w w:val="95"/>
        </w:rPr>
        <w:t xml:space="preserve"> </w:t>
      </w:r>
      <w:r>
        <w:rPr>
          <w:w w:val="95"/>
        </w:rPr>
        <w:t>off</w:t>
      </w:r>
      <w:r>
        <w:rPr>
          <w:spacing w:val="-10"/>
          <w:w w:val="95"/>
        </w:rPr>
        <w:t xml:space="preserve"> </w:t>
      </w:r>
      <w:r>
        <w:rPr>
          <w:w w:val="95"/>
        </w:rPr>
        <w:t>this</w:t>
      </w:r>
      <w:r>
        <w:rPr>
          <w:spacing w:val="-10"/>
          <w:w w:val="95"/>
        </w:rPr>
        <w:t xml:space="preserve"> </w:t>
      </w:r>
      <w:r>
        <w:rPr>
          <w:w w:val="95"/>
        </w:rPr>
        <w:t>line</w:t>
      </w:r>
      <w:r>
        <w:rPr>
          <w:spacing w:val="-10"/>
          <w:w w:val="95"/>
        </w:rPr>
        <w:t xml:space="preserve"> </w:t>
      </w:r>
      <w:r>
        <w:rPr>
          <w:w w:val="95"/>
        </w:rPr>
        <w:t xml:space="preserve">to </w:t>
      </w:r>
      <w:r>
        <w:rPr>
          <w:spacing w:val="-2"/>
        </w:rPr>
        <w:t>individual</w:t>
      </w:r>
      <w:r>
        <w:rPr>
          <w:spacing w:val="-3"/>
        </w:rPr>
        <w:t xml:space="preserve"> </w:t>
      </w:r>
      <w:r>
        <w:rPr>
          <w:spacing w:val="-2"/>
        </w:rPr>
        <w:t>coal</w:t>
      </w:r>
      <w:r>
        <w:rPr>
          <w:spacing w:val="-3"/>
        </w:rPr>
        <w:t xml:space="preserve"> </w:t>
      </w:r>
      <w:r>
        <w:rPr>
          <w:spacing w:val="-2"/>
        </w:rPr>
        <w:t>mines.</w:t>
      </w:r>
      <w:r>
        <w:rPr>
          <w:spacing w:val="-3"/>
        </w:rPr>
        <w:t xml:space="preserve"> </w:t>
      </w:r>
      <w:r>
        <w:rPr>
          <w:spacing w:val="-2"/>
        </w:rPr>
        <w:t>Collectively,</w:t>
      </w:r>
      <w:r>
        <w:rPr>
          <w:spacing w:val="-3"/>
        </w:rPr>
        <w:t xml:space="preserve"> </w:t>
      </w:r>
      <w:r>
        <w:rPr>
          <w:spacing w:val="-2"/>
        </w:rPr>
        <w:t>the</w:t>
      </w:r>
      <w:r>
        <w:rPr>
          <w:spacing w:val="-3"/>
        </w:rPr>
        <w:t xml:space="preserve"> </w:t>
      </w:r>
      <w:r>
        <w:rPr>
          <w:spacing w:val="-2"/>
        </w:rPr>
        <w:t>coal</w:t>
      </w:r>
      <w:r>
        <w:rPr>
          <w:spacing w:val="-3"/>
        </w:rPr>
        <w:t xml:space="preserve"> </w:t>
      </w:r>
      <w:r>
        <w:rPr>
          <w:spacing w:val="-2"/>
        </w:rPr>
        <w:t xml:space="preserve">extraction </w:t>
      </w:r>
      <w:r>
        <w:rPr>
          <w:w w:val="95"/>
        </w:rPr>
        <w:t xml:space="preserve">and distribution network is known as the Hunter Valley </w:t>
      </w:r>
      <w:r>
        <w:t>Coal</w:t>
      </w:r>
      <w:r>
        <w:rPr>
          <w:spacing w:val="-14"/>
        </w:rPr>
        <w:t xml:space="preserve"> </w:t>
      </w:r>
      <w:r>
        <w:t>Chain.</w:t>
      </w:r>
      <w:r>
        <w:rPr>
          <w:spacing w:val="-14"/>
        </w:rPr>
        <w:t xml:space="preserve"> </w:t>
      </w:r>
      <w:r>
        <w:t>This</w:t>
      </w:r>
      <w:r>
        <w:rPr>
          <w:spacing w:val="-13"/>
        </w:rPr>
        <w:t xml:space="preserve"> </w:t>
      </w:r>
      <w:r>
        <w:t>network</w:t>
      </w:r>
      <w:r>
        <w:rPr>
          <w:spacing w:val="-14"/>
        </w:rPr>
        <w:t xml:space="preserve"> </w:t>
      </w:r>
      <w:r>
        <w:t>is</w:t>
      </w:r>
      <w:r>
        <w:rPr>
          <w:spacing w:val="-14"/>
        </w:rPr>
        <w:t xml:space="preserve"> </w:t>
      </w:r>
      <w:r>
        <w:t>shown</w:t>
      </w:r>
      <w:r>
        <w:rPr>
          <w:spacing w:val="-13"/>
        </w:rPr>
        <w:t xml:space="preserve"> </w:t>
      </w:r>
      <w:r>
        <w:t>in</w:t>
      </w:r>
      <w:r>
        <w:rPr>
          <w:spacing w:val="-14"/>
        </w:rPr>
        <w:t xml:space="preserve"> </w:t>
      </w:r>
      <w:r>
        <w:t>figure</w:t>
      </w:r>
      <w:r>
        <w:rPr>
          <w:spacing w:val="-14"/>
        </w:rPr>
        <w:t xml:space="preserve"> </w:t>
      </w:r>
      <w:r>
        <w:t>10.5.</w:t>
      </w:r>
    </w:p>
    <w:p w:rsidR="002C1123" w:rsidRDefault="00F22F94">
      <w:pPr>
        <w:pStyle w:val="BodyText"/>
        <w:spacing w:before="146" w:line="249" w:lineRule="auto"/>
        <w:ind w:left="187" w:right="796"/>
      </w:pPr>
      <w:r>
        <w:t>Rail</w:t>
      </w:r>
      <w:r>
        <w:rPr>
          <w:spacing w:val="-14"/>
        </w:rPr>
        <w:t xml:space="preserve"> </w:t>
      </w:r>
      <w:r>
        <w:t>infrastructure</w:t>
      </w:r>
      <w:r>
        <w:rPr>
          <w:spacing w:val="-14"/>
        </w:rPr>
        <w:t xml:space="preserve"> </w:t>
      </w:r>
      <w:r>
        <w:t>investment</w:t>
      </w:r>
      <w:r>
        <w:rPr>
          <w:spacing w:val="-14"/>
        </w:rPr>
        <w:t xml:space="preserve"> </w:t>
      </w:r>
      <w:r>
        <w:t>planning</w:t>
      </w:r>
      <w:r>
        <w:rPr>
          <w:spacing w:val="-14"/>
        </w:rPr>
        <w:t xml:space="preserve"> </w:t>
      </w:r>
      <w:r>
        <w:t>for</w:t>
      </w:r>
      <w:r>
        <w:rPr>
          <w:spacing w:val="-14"/>
        </w:rPr>
        <w:t xml:space="preserve"> </w:t>
      </w:r>
      <w:r>
        <w:t>the</w:t>
      </w:r>
      <w:r>
        <w:rPr>
          <w:spacing w:val="-14"/>
        </w:rPr>
        <w:t xml:space="preserve"> </w:t>
      </w:r>
      <w:r>
        <w:t>Coal Chain</w:t>
      </w:r>
      <w:r>
        <w:rPr>
          <w:spacing w:val="-14"/>
        </w:rPr>
        <w:t xml:space="preserve"> </w:t>
      </w:r>
      <w:r>
        <w:t>is</w:t>
      </w:r>
      <w:r>
        <w:rPr>
          <w:spacing w:val="-14"/>
        </w:rPr>
        <w:t xml:space="preserve"> </w:t>
      </w:r>
      <w:r>
        <w:t>coordinated</w:t>
      </w:r>
      <w:r>
        <w:rPr>
          <w:spacing w:val="-14"/>
        </w:rPr>
        <w:t xml:space="preserve"> </w:t>
      </w:r>
      <w:r>
        <w:t>through</w:t>
      </w:r>
      <w:r>
        <w:rPr>
          <w:spacing w:val="-14"/>
        </w:rPr>
        <w:t xml:space="preserve"> </w:t>
      </w:r>
      <w:r>
        <w:t>the</w:t>
      </w:r>
      <w:r>
        <w:rPr>
          <w:spacing w:val="-14"/>
        </w:rPr>
        <w:t xml:space="preserve"> </w:t>
      </w:r>
      <w:r>
        <w:t>Hunter</w:t>
      </w:r>
      <w:r>
        <w:rPr>
          <w:spacing w:val="-14"/>
        </w:rPr>
        <w:t xml:space="preserve"> </w:t>
      </w:r>
      <w:r>
        <w:t>Valley</w:t>
      </w:r>
      <w:r>
        <w:rPr>
          <w:spacing w:val="-14"/>
        </w:rPr>
        <w:t xml:space="preserve"> </w:t>
      </w:r>
      <w:r>
        <w:t xml:space="preserve">Coal </w:t>
      </w:r>
      <w:r>
        <w:rPr>
          <w:w w:val="95"/>
        </w:rPr>
        <w:t>Chain Coordinator (HVCCC) with different participants, including</w:t>
      </w:r>
      <w:r>
        <w:rPr>
          <w:spacing w:val="-8"/>
          <w:w w:val="95"/>
        </w:rPr>
        <w:t xml:space="preserve"> </w:t>
      </w:r>
      <w:r>
        <w:rPr>
          <w:w w:val="95"/>
        </w:rPr>
        <w:t>the</w:t>
      </w:r>
      <w:r>
        <w:rPr>
          <w:spacing w:val="-8"/>
          <w:w w:val="95"/>
        </w:rPr>
        <w:t xml:space="preserve"> </w:t>
      </w:r>
      <w:r>
        <w:rPr>
          <w:w w:val="95"/>
        </w:rPr>
        <w:t>ARTC,</w:t>
      </w:r>
      <w:r>
        <w:rPr>
          <w:spacing w:val="-8"/>
          <w:w w:val="95"/>
        </w:rPr>
        <w:t xml:space="preserve"> </w:t>
      </w:r>
      <w:r>
        <w:rPr>
          <w:w w:val="95"/>
        </w:rPr>
        <w:t>the</w:t>
      </w:r>
      <w:r>
        <w:rPr>
          <w:spacing w:val="-8"/>
          <w:w w:val="95"/>
        </w:rPr>
        <w:t xml:space="preserve"> </w:t>
      </w:r>
      <w:r>
        <w:rPr>
          <w:w w:val="95"/>
        </w:rPr>
        <w:t>Port</w:t>
      </w:r>
      <w:r>
        <w:rPr>
          <w:spacing w:val="-8"/>
          <w:w w:val="95"/>
        </w:rPr>
        <w:t xml:space="preserve"> </w:t>
      </w:r>
      <w:r>
        <w:rPr>
          <w:w w:val="95"/>
        </w:rPr>
        <w:t>of</w:t>
      </w:r>
      <w:r>
        <w:rPr>
          <w:spacing w:val="-8"/>
          <w:w w:val="95"/>
        </w:rPr>
        <w:t xml:space="preserve"> </w:t>
      </w:r>
      <w:r>
        <w:rPr>
          <w:w w:val="95"/>
        </w:rPr>
        <w:t>Newcastle,</w:t>
      </w:r>
      <w:r>
        <w:rPr>
          <w:spacing w:val="-8"/>
          <w:w w:val="95"/>
        </w:rPr>
        <w:t xml:space="preserve"> </w:t>
      </w:r>
      <w:r>
        <w:rPr>
          <w:w w:val="95"/>
        </w:rPr>
        <w:t>coal</w:t>
      </w:r>
      <w:r>
        <w:rPr>
          <w:spacing w:val="-8"/>
          <w:w w:val="95"/>
        </w:rPr>
        <w:t xml:space="preserve"> </w:t>
      </w:r>
      <w:r>
        <w:rPr>
          <w:w w:val="95"/>
        </w:rPr>
        <w:t xml:space="preserve">terminal </w:t>
      </w:r>
      <w:r>
        <w:t>operators</w:t>
      </w:r>
      <w:r>
        <w:rPr>
          <w:spacing w:val="-6"/>
        </w:rPr>
        <w:t xml:space="preserve"> </w:t>
      </w:r>
      <w:r>
        <w:t>and</w:t>
      </w:r>
      <w:r>
        <w:rPr>
          <w:spacing w:val="-6"/>
        </w:rPr>
        <w:t xml:space="preserve"> </w:t>
      </w:r>
      <w:r>
        <w:t>train</w:t>
      </w:r>
      <w:r>
        <w:rPr>
          <w:spacing w:val="-6"/>
        </w:rPr>
        <w:t xml:space="preserve"> </w:t>
      </w:r>
      <w:r>
        <w:t>operators</w:t>
      </w:r>
      <w:r>
        <w:rPr>
          <w:spacing w:val="-6"/>
        </w:rPr>
        <w:t xml:space="preserve"> </w:t>
      </w:r>
      <w:r>
        <w:t>working</w:t>
      </w:r>
      <w:r>
        <w:rPr>
          <w:spacing w:val="-6"/>
        </w:rPr>
        <w:t xml:space="preserve"> </w:t>
      </w:r>
      <w:r>
        <w:t>together</w:t>
      </w:r>
      <w:r>
        <w:rPr>
          <w:spacing w:val="-6"/>
        </w:rPr>
        <w:t xml:space="preserve"> </w:t>
      </w:r>
      <w:r>
        <w:t>to manage</w:t>
      </w:r>
      <w:r>
        <w:rPr>
          <w:spacing w:val="-5"/>
        </w:rPr>
        <w:t xml:space="preserve"> </w:t>
      </w:r>
      <w:r>
        <w:t>and</w:t>
      </w:r>
      <w:r>
        <w:rPr>
          <w:spacing w:val="-5"/>
        </w:rPr>
        <w:t xml:space="preserve"> </w:t>
      </w:r>
      <w:r>
        <w:t>develop</w:t>
      </w:r>
      <w:r>
        <w:rPr>
          <w:spacing w:val="-5"/>
        </w:rPr>
        <w:t xml:space="preserve"> </w:t>
      </w:r>
      <w:r>
        <w:t>capacity</w:t>
      </w:r>
      <w:r>
        <w:rPr>
          <w:spacing w:val="-5"/>
        </w:rPr>
        <w:t xml:space="preserve"> </w:t>
      </w:r>
      <w:r>
        <w:t>that</w:t>
      </w:r>
      <w:r>
        <w:rPr>
          <w:spacing w:val="-5"/>
        </w:rPr>
        <w:t xml:space="preserve"> </w:t>
      </w:r>
      <w:r>
        <w:t>matches</w:t>
      </w:r>
      <w:r>
        <w:rPr>
          <w:spacing w:val="-5"/>
        </w:rPr>
        <w:t xml:space="preserve"> </w:t>
      </w:r>
      <w:r>
        <w:t>demand generated</w:t>
      </w:r>
      <w:r>
        <w:rPr>
          <w:spacing w:val="-8"/>
        </w:rPr>
        <w:t xml:space="preserve"> </w:t>
      </w:r>
      <w:r>
        <w:t>through</w:t>
      </w:r>
      <w:r>
        <w:rPr>
          <w:spacing w:val="-8"/>
        </w:rPr>
        <w:t xml:space="preserve"> </w:t>
      </w:r>
      <w:r>
        <w:t>agreed</w:t>
      </w:r>
      <w:r>
        <w:rPr>
          <w:spacing w:val="-8"/>
        </w:rPr>
        <w:t xml:space="preserve"> </w:t>
      </w:r>
      <w:r>
        <w:t>coal</w:t>
      </w:r>
      <w:r>
        <w:rPr>
          <w:spacing w:val="-8"/>
        </w:rPr>
        <w:t xml:space="preserve"> </w:t>
      </w:r>
      <w:r>
        <w:t>volume</w:t>
      </w:r>
      <w:r>
        <w:rPr>
          <w:spacing w:val="-8"/>
        </w:rPr>
        <w:t xml:space="preserve"> </w:t>
      </w:r>
      <w:r>
        <w:t>contracts</w:t>
      </w:r>
      <w:r>
        <w:rPr>
          <w:spacing w:val="-8"/>
        </w:rPr>
        <w:t xml:space="preserve"> </w:t>
      </w:r>
      <w:r>
        <w:t>with landside</w:t>
      </w:r>
      <w:r>
        <w:rPr>
          <w:spacing w:val="-5"/>
        </w:rPr>
        <w:t xml:space="preserve"> </w:t>
      </w:r>
      <w:r>
        <w:t>and</w:t>
      </w:r>
      <w:r>
        <w:rPr>
          <w:spacing w:val="-5"/>
        </w:rPr>
        <w:t xml:space="preserve"> </w:t>
      </w:r>
      <w:r>
        <w:t>terminal</w:t>
      </w:r>
      <w:r>
        <w:rPr>
          <w:spacing w:val="-5"/>
        </w:rPr>
        <w:t xml:space="preserve"> </w:t>
      </w:r>
      <w:r>
        <w:t>capacity</w:t>
      </w:r>
      <w:r>
        <w:rPr>
          <w:spacing w:val="-5"/>
        </w:rPr>
        <w:t xml:space="preserve"> </w:t>
      </w:r>
      <w:r>
        <w:t>at</w:t>
      </w:r>
      <w:r>
        <w:rPr>
          <w:spacing w:val="-5"/>
        </w:rPr>
        <w:t xml:space="preserve"> </w:t>
      </w:r>
      <w:r>
        <w:t>the</w:t>
      </w:r>
      <w:r>
        <w:rPr>
          <w:spacing w:val="-5"/>
        </w:rPr>
        <w:t xml:space="preserve"> </w:t>
      </w:r>
      <w:r>
        <w:t>Port.</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287" w:space="40"/>
            <w:col w:w="4993" w:space="39"/>
            <w:col w:w="5701"/>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BodyText"/>
        <w:spacing w:before="106" w:line="249" w:lineRule="auto"/>
        <w:ind w:left="492" w:right="124"/>
      </w:pPr>
      <w:bookmarkStart w:id="285" w:name="_bookmark202"/>
      <w:bookmarkEnd w:id="285"/>
      <w:r>
        <w:rPr>
          <w:w w:val="95"/>
        </w:rPr>
        <w:t>This</w:t>
      </w:r>
      <w:r>
        <w:rPr>
          <w:spacing w:val="-5"/>
          <w:w w:val="95"/>
        </w:rPr>
        <w:t xml:space="preserve"> </w:t>
      </w:r>
      <w:r>
        <w:rPr>
          <w:w w:val="95"/>
        </w:rPr>
        <w:t>capacity</w:t>
      </w:r>
      <w:r>
        <w:rPr>
          <w:spacing w:val="-5"/>
          <w:w w:val="95"/>
        </w:rPr>
        <w:t xml:space="preserve"> </w:t>
      </w:r>
      <w:r>
        <w:rPr>
          <w:w w:val="95"/>
        </w:rPr>
        <w:t>is</w:t>
      </w:r>
      <w:r>
        <w:rPr>
          <w:spacing w:val="-5"/>
          <w:w w:val="95"/>
        </w:rPr>
        <w:t xml:space="preserve"> </w:t>
      </w:r>
      <w:r>
        <w:rPr>
          <w:w w:val="95"/>
        </w:rPr>
        <w:t>aligned</w:t>
      </w:r>
      <w:r>
        <w:rPr>
          <w:spacing w:val="-5"/>
          <w:w w:val="95"/>
        </w:rPr>
        <w:t xml:space="preserve"> </w:t>
      </w:r>
      <w:r>
        <w:rPr>
          <w:w w:val="95"/>
        </w:rPr>
        <w:t>only</w:t>
      </w:r>
      <w:r>
        <w:rPr>
          <w:spacing w:val="-5"/>
          <w:w w:val="95"/>
        </w:rPr>
        <w:t xml:space="preserve"> </w:t>
      </w:r>
      <w:r>
        <w:rPr>
          <w:w w:val="95"/>
        </w:rPr>
        <w:t>to</w:t>
      </w:r>
      <w:r>
        <w:rPr>
          <w:spacing w:val="-5"/>
          <w:w w:val="95"/>
        </w:rPr>
        <w:t xml:space="preserve"> </w:t>
      </w:r>
      <w:r>
        <w:rPr>
          <w:w w:val="95"/>
        </w:rPr>
        <w:t>coal</w:t>
      </w:r>
      <w:r>
        <w:rPr>
          <w:spacing w:val="-5"/>
          <w:w w:val="95"/>
        </w:rPr>
        <w:t xml:space="preserve"> </w:t>
      </w:r>
      <w:r>
        <w:rPr>
          <w:w w:val="95"/>
        </w:rPr>
        <w:t>exports</w:t>
      </w:r>
      <w:r>
        <w:rPr>
          <w:spacing w:val="-5"/>
          <w:w w:val="95"/>
        </w:rPr>
        <w:t xml:space="preserve"> </w:t>
      </w:r>
      <w:r>
        <w:rPr>
          <w:w w:val="95"/>
        </w:rPr>
        <w:t>and</w:t>
      </w:r>
      <w:r>
        <w:rPr>
          <w:spacing w:val="-5"/>
          <w:w w:val="95"/>
        </w:rPr>
        <w:t xml:space="preserve"> </w:t>
      </w:r>
      <w:r>
        <w:rPr>
          <w:w w:val="95"/>
        </w:rPr>
        <w:t xml:space="preserve">allows </w:t>
      </w:r>
      <w:r>
        <w:t>limited</w:t>
      </w:r>
      <w:r>
        <w:rPr>
          <w:spacing w:val="-14"/>
        </w:rPr>
        <w:t xml:space="preserve"> </w:t>
      </w:r>
      <w:r>
        <w:t>access</w:t>
      </w:r>
      <w:r>
        <w:rPr>
          <w:spacing w:val="-14"/>
        </w:rPr>
        <w:t xml:space="preserve"> </w:t>
      </w:r>
      <w:r>
        <w:t>for</w:t>
      </w:r>
      <w:r>
        <w:rPr>
          <w:spacing w:val="-14"/>
        </w:rPr>
        <w:t xml:space="preserve"> </w:t>
      </w:r>
      <w:r>
        <w:t>the</w:t>
      </w:r>
      <w:r>
        <w:rPr>
          <w:spacing w:val="-14"/>
        </w:rPr>
        <w:t xml:space="preserve"> </w:t>
      </w:r>
      <w:r>
        <w:t>demands</w:t>
      </w:r>
      <w:r>
        <w:rPr>
          <w:spacing w:val="-14"/>
        </w:rPr>
        <w:t xml:space="preserve"> </w:t>
      </w:r>
      <w:r>
        <w:t>of</w:t>
      </w:r>
      <w:r>
        <w:rPr>
          <w:spacing w:val="-14"/>
        </w:rPr>
        <w:t xml:space="preserve"> </w:t>
      </w:r>
      <w:r>
        <w:t>the</w:t>
      </w:r>
      <w:r>
        <w:rPr>
          <w:spacing w:val="-14"/>
        </w:rPr>
        <w:t xml:space="preserve"> </w:t>
      </w:r>
      <w:r>
        <w:t>grain</w:t>
      </w:r>
      <w:r>
        <w:rPr>
          <w:spacing w:val="-14"/>
        </w:rPr>
        <w:t xml:space="preserve"> </w:t>
      </w:r>
      <w:r>
        <w:t>and</w:t>
      </w:r>
      <w:r>
        <w:rPr>
          <w:spacing w:val="-14"/>
        </w:rPr>
        <w:t xml:space="preserve"> </w:t>
      </w:r>
      <w:r>
        <w:t>other bulk commodity markets.</w:t>
      </w:r>
    </w:p>
    <w:p w:rsidR="002C1123" w:rsidRDefault="00F22F94">
      <w:pPr>
        <w:pStyle w:val="BodyText"/>
        <w:spacing w:before="144" w:line="249" w:lineRule="auto"/>
        <w:ind w:left="492" w:right="183"/>
      </w:pPr>
      <w:r>
        <w:rPr>
          <w:w w:val="95"/>
        </w:rPr>
        <w:t>The</w:t>
      </w:r>
      <w:r>
        <w:rPr>
          <w:spacing w:val="-12"/>
          <w:w w:val="95"/>
        </w:rPr>
        <w:t xml:space="preserve"> </w:t>
      </w:r>
      <w:r>
        <w:rPr>
          <w:w w:val="95"/>
        </w:rPr>
        <w:t>HVCCC</w:t>
      </w:r>
      <w:r>
        <w:rPr>
          <w:spacing w:val="-11"/>
          <w:w w:val="95"/>
        </w:rPr>
        <w:t xml:space="preserve"> </w:t>
      </w:r>
      <w:r>
        <w:rPr>
          <w:w w:val="95"/>
        </w:rPr>
        <w:t>has</w:t>
      </w:r>
      <w:r>
        <w:rPr>
          <w:spacing w:val="-11"/>
          <w:w w:val="95"/>
        </w:rPr>
        <w:t xml:space="preserve"> </w:t>
      </w:r>
      <w:r>
        <w:rPr>
          <w:w w:val="95"/>
        </w:rPr>
        <w:t>proven</w:t>
      </w:r>
      <w:r>
        <w:rPr>
          <w:spacing w:val="-11"/>
          <w:w w:val="95"/>
        </w:rPr>
        <w:t xml:space="preserve"> </w:t>
      </w:r>
      <w:r>
        <w:rPr>
          <w:w w:val="95"/>
        </w:rPr>
        <w:t>itself</w:t>
      </w:r>
      <w:r>
        <w:rPr>
          <w:spacing w:val="-11"/>
          <w:w w:val="95"/>
        </w:rPr>
        <w:t xml:space="preserve"> </w:t>
      </w:r>
      <w:r>
        <w:rPr>
          <w:w w:val="95"/>
        </w:rPr>
        <w:t>effective</w:t>
      </w:r>
      <w:r>
        <w:rPr>
          <w:spacing w:val="-11"/>
          <w:w w:val="95"/>
        </w:rPr>
        <w:t xml:space="preserve"> </w:t>
      </w:r>
      <w:r>
        <w:rPr>
          <w:w w:val="95"/>
        </w:rPr>
        <w:t>in</w:t>
      </w:r>
      <w:r>
        <w:rPr>
          <w:spacing w:val="-11"/>
          <w:w w:val="95"/>
        </w:rPr>
        <w:t xml:space="preserve"> </w:t>
      </w:r>
      <w:r>
        <w:rPr>
          <w:w w:val="95"/>
        </w:rPr>
        <w:t xml:space="preserve">expanding the Coal Chain capacity as demand has increased </w:t>
      </w:r>
      <w:r>
        <w:t>substantially in recent years.</w:t>
      </w:r>
    </w:p>
    <w:p w:rsidR="002C1123" w:rsidRDefault="00F22F94">
      <w:pPr>
        <w:pStyle w:val="BodyText"/>
        <w:spacing w:before="144" w:line="249" w:lineRule="auto"/>
        <w:ind w:left="492" w:right="32"/>
        <w:jc w:val="both"/>
      </w:pPr>
      <w:r>
        <w:rPr>
          <w:w w:val="95"/>
        </w:rPr>
        <w:t>Over</w:t>
      </w:r>
      <w:r>
        <w:rPr>
          <w:spacing w:val="-8"/>
          <w:w w:val="95"/>
        </w:rPr>
        <w:t xml:space="preserve"> </w:t>
      </w:r>
      <w:r>
        <w:rPr>
          <w:w w:val="95"/>
        </w:rPr>
        <w:t>the</w:t>
      </w:r>
      <w:r>
        <w:rPr>
          <w:spacing w:val="-8"/>
          <w:w w:val="95"/>
        </w:rPr>
        <w:t xml:space="preserve"> </w:t>
      </w:r>
      <w:r>
        <w:rPr>
          <w:w w:val="95"/>
        </w:rPr>
        <w:t>next</w:t>
      </w:r>
      <w:r>
        <w:rPr>
          <w:spacing w:val="-8"/>
          <w:w w:val="95"/>
        </w:rPr>
        <w:t xml:space="preserve"> </w:t>
      </w:r>
      <w:r>
        <w:rPr>
          <w:w w:val="95"/>
        </w:rPr>
        <w:t>20</w:t>
      </w:r>
      <w:r>
        <w:rPr>
          <w:spacing w:val="-8"/>
          <w:w w:val="95"/>
        </w:rPr>
        <w:t xml:space="preserve"> </w:t>
      </w:r>
      <w:r>
        <w:rPr>
          <w:w w:val="95"/>
        </w:rPr>
        <w:t>years,</w:t>
      </w:r>
      <w:r>
        <w:rPr>
          <w:spacing w:val="-8"/>
          <w:w w:val="95"/>
        </w:rPr>
        <w:t xml:space="preserve"> </w:t>
      </w:r>
      <w:r>
        <w:rPr>
          <w:w w:val="95"/>
        </w:rPr>
        <w:t>significant</w:t>
      </w:r>
      <w:r>
        <w:rPr>
          <w:spacing w:val="-8"/>
          <w:w w:val="95"/>
        </w:rPr>
        <w:t xml:space="preserve"> </w:t>
      </w:r>
      <w:r>
        <w:rPr>
          <w:w w:val="95"/>
        </w:rPr>
        <w:t>investment</w:t>
      </w:r>
      <w:r>
        <w:rPr>
          <w:spacing w:val="-8"/>
          <w:w w:val="95"/>
        </w:rPr>
        <w:t xml:space="preserve"> </w:t>
      </w:r>
      <w:r>
        <w:rPr>
          <w:w w:val="95"/>
        </w:rPr>
        <w:t>is</w:t>
      </w:r>
      <w:r>
        <w:rPr>
          <w:spacing w:val="-8"/>
          <w:w w:val="95"/>
        </w:rPr>
        <w:t xml:space="preserve"> </w:t>
      </w:r>
      <w:r>
        <w:rPr>
          <w:w w:val="95"/>
        </w:rPr>
        <w:t>needed to</w:t>
      </w:r>
      <w:r>
        <w:rPr>
          <w:spacing w:val="-6"/>
          <w:w w:val="95"/>
        </w:rPr>
        <w:t xml:space="preserve"> </w:t>
      </w:r>
      <w:r>
        <w:rPr>
          <w:w w:val="95"/>
        </w:rPr>
        <w:t>increase</w:t>
      </w:r>
      <w:r>
        <w:rPr>
          <w:spacing w:val="-6"/>
          <w:w w:val="95"/>
        </w:rPr>
        <w:t xml:space="preserve"> </w:t>
      </w:r>
      <w:r>
        <w:rPr>
          <w:w w:val="95"/>
        </w:rPr>
        <w:t>the</w:t>
      </w:r>
      <w:r>
        <w:rPr>
          <w:spacing w:val="-6"/>
          <w:w w:val="95"/>
        </w:rPr>
        <w:t xml:space="preserve"> </w:t>
      </w:r>
      <w:r>
        <w:rPr>
          <w:w w:val="95"/>
        </w:rPr>
        <w:t>capacity</w:t>
      </w:r>
      <w:r>
        <w:rPr>
          <w:spacing w:val="-6"/>
          <w:w w:val="95"/>
        </w:rPr>
        <w:t xml:space="preserve"> </w:t>
      </w:r>
      <w:r>
        <w:rPr>
          <w:w w:val="95"/>
        </w:rPr>
        <w:t>of</w:t>
      </w:r>
      <w:r>
        <w:rPr>
          <w:spacing w:val="-6"/>
          <w:w w:val="95"/>
        </w:rPr>
        <w:t xml:space="preserve"> </w:t>
      </w:r>
      <w:r>
        <w:rPr>
          <w:w w:val="95"/>
        </w:rPr>
        <w:t>the</w:t>
      </w:r>
      <w:r>
        <w:rPr>
          <w:spacing w:val="-6"/>
          <w:w w:val="95"/>
        </w:rPr>
        <w:t xml:space="preserve"> </w:t>
      </w:r>
      <w:r>
        <w:rPr>
          <w:w w:val="95"/>
        </w:rPr>
        <w:t>Hunter</w:t>
      </w:r>
      <w:r>
        <w:rPr>
          <w:spacing w:val="-6"/>
          <w:w w:val="95"/>
        </w:rPr>
        <w:t xml:space="preserve"> </w:t>
      </w:r>
      <w:r>
        <w:rPr>
          <w:w w:val="95"/>
        </w:rPr>
        <w:t>Valley</w:t>
      </w:r>
      <w:r>
        <w:rPr>
          <w:spacing w:val="-6"/>
          <w:w w:val="95"/>
        </w:rPr>
        <w:t xml:space="preserve"> </w:t>
      </w:r>
      <w:r>
        <w:rPr>
          <w:w w:val="95"/>
        </w:rPr>
        <w:t>Coal</w:t>
      </w:r>
      <w:r>
        <w:rPr>
          <w:spacing w:val="-6"/>
          <w:w w:val="95"/>
        </w:rPr>
        <w:t xml:space="preserve"> </w:t>
      </w:r>
      <w:r>
        <w:rPr>
          <w:w w:val="95"/>
        </w:rPr>
        <w:t xml:space="preserve">Chain </w:t>
      </w:r>
      <w:r>
        <w:t>rail</w:t>
      </w:r>
      <w:r>
        <w:rPr>
          <w:spacing w:val="-14"/>
        </w:rPr>
        <w:t xml:space="preserve"> </w:t>
      </w:r>
      <w:r>
        <w:t>network.</w:t>
      </w:r>
      <w:r>
        <w:rPr>
          <w:spacing w:val="-14"/>
        </w:rPr>
        <w:t xml:space="preserve"> </w:t>
      </w:r>
      <w:r>
        <w:t>This</w:t>
      </w:r>
      <w:r>
        <w:rPr>
          <w:spacing w:val="-14"/>
        </w:rPr>
        <w:t xml:space="preserve"> </w:t>
      </w:r>
      <w:r>
        <w:t>will</w:t>
      </w:r>
      <w:r>
        <w:rPr>
          <w:spacing w:val="-14"/>
        </w:rPr>
        <w:t xml:space="preserve"> </w:t>
      </w:r>
      <w:r>
        <w:t>be</w:t>
      </w:r>
      <w:r>
        <w:rPr>
          <w:spacing w:val="-14"/>
        </w:rPr>
        <w:t xml:space="preserve"> </w:t>
      </w:r>
      <w:r>
        <w:t>funded</w:t>
      </w:r>
      <w:r>
        <w:rPr>
          <w:spacing w:val="-14"/>
        </w:rPr>
        <w:t xml:space="preserve"> </w:t>
      </w:r>
      <w:r>
        <w:t>by</w:t>
      </w:r>
      <w:r>
        <w:rPr>
          <w:spacing w:val="-14"/>
        </w:rPr>
        <w:t xml:space="preserve"> </w:t>
      </w:r>
      <w:r>
        <w:t>the</w:t>
      </w:r>
      <w:r>
        <w:rPr>
          <w:spacing w:val="-14"/>
        </w:rPr>
        <w:t xml:space="preserve"> </w:t>
      </w:r>
      <w:r>
        <w:t>private</w:t>
      </w:r>
      <w:r>
        <w:rPr>
          <w:spacing w:val="-14"/>
        </w:rPr>
        <w:t xml:space="preserve"> </w:t>
      </w:r>
      <w:r>
        <w:t>sector.</w:t>
      </w:r>
    </w:p>
    <w:p w:rsidR="002C1123" w:rsidRDefault="00F22F94">
      <w:pPr>
        <w:pStyle w:val="BodyText"/>
        <w:spacing w:before="145" w:line="249" w:lineRule="auto"/>
        <w:ind w:left="492"/>
      </w:pPr>
      <w:r>
        <w:t>The</w:t>
      </w:r>
      <w:r>
        <w:rPr>
          <w:spacing w:val="-14"/>
        </w:rPr>
        <w:t xml:space="preserve"> </w:t>
      </w:r>
      <w:r>
        <w:t>ARTC</w:t>
      </w:r>
      <w:r>
        <w:rPr>
          <w:spacing w:val="-14"/>
        </w:rPr>
        <w:t xml:space="preserve"> </w:t>
      </w:r>
      <w:r>
        <w:t>has</w:t>
      </w:r>
      <w:r>
        <w:rPr>
          <w:spacing w:val="-14"/>
        </w:rPr>
        <w:t xml:space="preserve"> </w:t>
      </w:r>
      <w:r>
        <w:t>assessed</w:t>
      </w:r>
      <w:r>
        <w:rPr>
          <w:spacing w:val="-14"/>
        </w:rPr>
        <w:t xml:space="preserve"> </w:t>
      </w:r>
      <w:r>
        <w:t>options</w:t>
      </w:r>
      <w:r>
        <w:rPr>
          <w:spacing w:val="-14"/>
        </w:rPr>
        <w:t xml:space="preserve"> </w:t>
      </w:r>
      <w:r>
        <w:t>to</w:t>
      </w:r>
      <w:r>
        <w:rPr>
          <w:spacing w:val="-14"/>
        </w:rPr>
        <w:t xml:space="preserve"> </w:t>
      </w:r>
      <w:r>
        <w:t>increase</w:t>
      </w:r>
      <w:r>
        <w:rPr>
          <w:spacing w:val="-14"/>
        </w:rPr>
        <w:t xml:space="preserve"> </w:t>
      </w:r>
      <w:r>
        <w:t>capacity through</w:t>
      </w:r>
      <w:r>
        <w:rPr>
          <w:spacing w:val="-14"/>
        </w:rPr>
        <w:t xml:space="preserve"> </w:t>
      </w:r>
      <w:r>
        <w:t>the</w:t>
      </w:r>
      <w:r>
        <w:rPr>
          <w:spacing w:val="-14"/>
        </w:rPr>
        <w:t xml:space="preserve"> </w:t>
      </w:r>
      <w:r>
        <w:t>Liverpool</w:t>
      </w:r>
      <w:r>
        <w:rPr>
          <w:spacing w:val="-14"/>
        </w:rPr>
        <w:t xml:space="preserve"> </w:t>
      </w:r>
      <w:r>
        <w:t>Ranges</w:t>
      </w:r>
      <w:r>
        <w:rPr>
          <w:spacing w:val="-14"/>
        </w:rPr>
        <w:t xml:space="preserve"> </w:t>
      </w:r>
      <w:r>
        <w:t>to</w:t>
      </w:r>
      <w:r>
        <w:rPr>
          <w:spacing w:val="-14"/>
        </w:rPr>
        <w:t xml:space="preserve"> </w:t>
      </w:r>
      <w:r>
        <w:t>support</w:t>
      </w:r>
      <w:r>
        <w:rPr>
          <w:spacing w:val="-14"/>
        </w:rPr>
        <w:t xml:space="preserve"> </w:t>
      </w:r>
      <w:r>
        <w:t>coal</w:t>
      </w:r>
      <w:r>
        <w:rPr>
          <w:spacing w:val="-14"/>
        </w:rPr>
        <w:t xml:space="preserve"> </w:t>
      </w:r>
      <w:r>
        <w:t>volumes being</w:t>
      </w:r>
      <w:r>
        <w:rPr>
          <w:spacing w:val="-9"/>
        </w:rPr>
        <w:t xml:space="preserve"> </w:t>
      </w:r>
      <w:r>
        <w:t>transferred</w:t>
      </w:r>
      <w:r>
        <w:rPr>
          <w:spacing w:val="-9"/>
        </w:rPr>
        <w:t xml:space="preserve"> </w:t>
      </w:r>
      <w:r>
        <w:t>to</w:t>
      </w:r>
      <w:r>
        <w:rPr>
          <w:spacing w:val="-9"/>
        </w:rPr>
        <w:t xml:space="preserve"> </w:t>
      </w:r>
      <w:r>
        <w:t>the</w:t>
      </w:r>
      <w:r>
        <w:rPr>
          <w:spacing w:val="-9"/>
        </w:rPr>
        <w:t xml:space="preserve"> </w:t>
      </w:r>
      <w:r>
        <w:t>Port</w:t>
      </w:r>
      <w:r>
        <w:rPr>
          <w:spacing w:val="-9"/>
        </w:rPr>
        <w:t xml:space="preserve"> </w:t>
      </w:r>
      <w:r>
        <w:t>of</w:t>
      </w:r>
      <w:r>
        <w:rPr>
          <w:spacing w:val="-9"/>
        </w:rPr>
        <w:t xml:space="preserve"> </w:t>
      </w:r>
      <w:r>
        <w:t>Newcastle</w:t>
      </w:r>
      <w:r>
        <w:rPr>
          <w:spacing w:val="-9"/>
        </w:rPr>
        <w:t xml:space="preserve"> </w:t>
      </w:r>
      <w:r>
        <w:t>for</w:t>
      </w:r>
      <w:r>
        <w:rPr>
          <w:spacing w:val="-9"/>
        </w:rPr>
        <w:t xml:space="preserve"> </w:t>
      </w:r>
      <w:r>
        <w:t>export from</w:t>
      </w:r>
      <w:r>
        <w:rPr>
          <w:spacing w:val="-14"/>
        </w:rPr>
        <w:t xml:space="preserve"> </w:t>
      </w:r>
      <w:r>
        <w:t>the</w:t>
      </w:r>
      <w:r>
        <w:rPr>
          <w:spacing w:val="-13"/>
        </w:rPr>
        <w:t xml:space="preserve"> </w:t>
      </w:r>
      <w:r>
        <w:t>Gunnedah</w:t>
      </w:r>
      <w:r>
        <w:rPr>
          <w:spacing w:val="-13"/>
        </w:rPr>
        <w:t xml:space="preserve"> </w:t>
      </w:r>
      <w:r>
        <w:t>Basin.</w:t>
      </w:r>
      <w:r>
        <w:rPr>
          <w:spacing w:val="-13"/>
        </w:rPr>
        <w:t xml:space="preserve"> </w:t>
      </w:r>
      <w:r>
        <w:t>The</w:t>
      </w:r>
      <w:r>
        <w:rPr>
          <w:spacing w:val="-13"/>
        </w:rPr>
        <w:t xml:space="preserve"> </w:t>
      </w:r>
      <w:r>
        <w:t>ARTC</w:t>
      </w:r>
      <w:r>
        <w:rPr>
          <w:spacing w:val="-13"/>
        </w:rPr>
        <w:t xml:space="preserve"> </w:t>
      </w:r>
      <w:r>
        <w:t>has</w:t>
      </w:r>
      <w:r>
        <w:rPr>
          <w:spacing w:val="-13"/>
        </w:rPr>
        <w:t xml:space="preserve"> </w:t>
      </w:r>
      <w:r>
        <w:t xml:space="preserve">concluded </w:t>
      </w:r>
      <w:r>
        <w:rPr>
          <w:w w:val="95"/>
        </w:rPr>
        <w:t>that</w:t>
      </w:r>
      <w:r>
        <w:rPr>
          <w:spacing w:val="-7"/>
          <w:w w:val="95"/>
        </w:rPr>
        <w:t xml:space="preserve"> </w:t>
      </w:r>
      <w:r>
        <w:rPr>
          <w:w w:val="95"/>
        </w:rPr>
        <w:t>staged</w:t>
      </w:r>
      <w:r>
        <w:rPr>
          <w:spacing w:val="-7"/>
          <w:w w:val="95"/>
        </w:rPr>
        <w:t xml:space="preserve"> </w:t>
      </w:r>
      <w:r>
        <w:rPr>
          <w:w w:val="95"/>
        </w:rPr>
        <w:t>duplication</w:t>
      </w:r>
      <w:r>
        <w:rPr>
          <w:spacing w:val="-7"/>
          <w:w w:val="95"/>
        </w:rPr>
        <w:t xml:space="preserve"> </w:t>
      </w:r>
      <w:r>
        <w:rPr>
          <w:w w:val="95"/>
        </w:rPr>
        <w:t>of</w:t>
      </w:r>
      <w:r>
        <w:rPr>
          <w:spacing w:val="-7"/>
          <w:w w:val="95"/>
        </w:rPr>
        <w:t xml:space="preserve"> </w:t>
      </w:r>
      <w:r>
        <w:rPr>
          <w:w w:val="95"/>
        </w:rPr>
        <w:t>the</w:t>
      </w:r>
      <w:r>
        <w:rPr>
          <w:spacing w:val="-7"/>
          <w:w w:val="95"/>
        </w:rPr>
        <w:t xml:space="preserve"> </w:t>
      </w:r>
      <w:r>
        <w:rPr>
          <w:w w:val="95"/>
        </w:rPr>
        <w:t>existing</w:t>
      </w:r>
      <w:r>
        <w:rPr>
          <w:spacing w:val="-7"/>
          <w:w w:val="95"/>
        </w:rPr>
        <w:t xml:space="preserve"> </w:t>
      </w:r>
      <w:r>
        <w:rPr>
          <w:w w:val="95"/>
        </w:rPr>
        <w:t>line</w:t>
      </w:r>
      <w:r>
        <w:rPr>
          <w:spacing w:val="-7"/>
          <w:w w:val="95"/>
        </w:rPr>
        <w:t xml:space="preserve"> </w:t>
      </w:r>
      <w:r>
        <w:rPr>
          <w:w w:val="95"/>
        </w:rPr>
        <w:t>on</w:t>
      </w:r>
      <w:r>
        <w:rPr>
          <w:spacing w:val="-7"/>
          <w:w w:val="95"/>
        </w:rPr>
        <w:t xml:space="preserve"> </w:t>
      </w:r>
      <w:r>
        <w:rPr>
          <w:w w:val="95"/>
        </w:rPr>
        <w:t>the</w:t>
      </w:r>
      <w:r>
        <w:rPr>
          <w:spacing w:val="-7"/>
          <w:w w:val="95"/>
        </w:rPr>
        <w:t xml:space="preserve"> </w:t>
      </w:r>
      <w:r>
        <w:rPr>
          <w:w w:val="95"/>
        </w:rPr>
        <w:t xml:space="preserve">existing </w:t>
      </w:r>
      <w:r>
        <w:t>gradient</w:t>
      </w:r>
      <w:r>
        <w:rPr>
          <w:spacing w:val="-4"/>
        </w:rPr>
        <w:t xml:space="preserve"> </w:t>
      </w:r>
      <w:r>
        <w:t>is</w:t>
      </w:r>
      <w:r>
        <w:rPr>
          <w:spacing w:val="-4"/>
        </w:rPr>
        <w:t xml:space="preserve"> </w:t>
      </w:r>
      <w:r>
        <w:t>the</w:t>
      </w:r>
      <w:r>
        <w:rPr>
          <w:spacing w:val="-4"/>
        </w:rPr>
        <w:t xml:space="preserve"> </w:t>
      </w:r>
      <w:r>
        <w:t>best</w:t>
      </w:r>
      <w:r>
        <w:rPr>
          <w:spacing w:val="-4"/>
        </w:rPr>
        <w:t xml:space="preserve"> </w:t>
      </w:r>
      <w:r>
        <w:t>value</w:t>
      </w:r>
      <w:r>
        <w:rPr>
          <w:spacing w:val="-4"/>
        </w:rPr>
        <w:t xml:space="preserve"> </w:t>
      </w:r>
      <w:r>
        <w:t>solution.</w:t>
      </w:r>
    </w:p>
    <w:p w:rsidR="002C1123" w:rsidRDefault="00F22F94">
      <w:pPr>
        <w:pStyle w:val="BodyText"/>
        <w:spacing w:before="146" w:line="249" w:lineRule="auto"/>
        <w:ind w:left="492" w:right="183"/>
      </w:pPr>
      <w:r>
        <w:t>An</w:t>
      </w:r>
      <w:r>
        <w:rPr>
          <w:spacing w:val="-11"/>
        </w:rPr>
        <w:t xml:space="preserve"> </w:t>
      </w:r>
      <w:r>
        <w:t>alternative</w:t>
      </w:r>
      <w:r>
        <w:rPr>
          <w:spacing w:val="-11"/>
        </w:rPr>
        <w:t xml:space="preserve"> </w:t>
      </w:r>
      <w:r>
        <w:t>alignment</w:t>
      </w:r>
      <w:r>
        <w:rPr>
          <w:spacing w:val="-11"/>
        </w:rPr>
        <w:t xml:space="preserve"> </w:t>
      </w:r>
      <w:r>
        <w:t>has</w:t>
      </w:r>
      <w:r>
        <w:rPr>
          <w:spacing w:val="-11"/>
        </w:rPr>
        <w:t xml:space="preserve"> </w:t>
      </w:r>
      <w:r>
        <w:t>been</w:t>
      </w:r>
      <w:r>
        <w:rPr>
          <w:spacing w:val="-11"/>
        </w:rPr>
        <w:t xml:space="preserve"> </w:t>
      </w:r>
      <w:r>
        <w:t>proposed</w:t>
      </w:r>
      <w:r>
        <w:rPr>
          <w:spacing w:val="-11"/>
        </w:rPr>
        <w:t xml:space="preserve"> </w:t>
      </w:r>
      <w:r>
        <w:t>that involves</w:t>
      </w:r>
      <w:r>
        <w:rPr>
          <w:spacing w:val="-14"/>
        </w:rPr>
        <w:t xml:space="preserve"> </w:t>
      </w:r>
      <w:r>
        <w:t>tunnelling</w:t>
      </w:r>
      <w:r>
        <w:rPr>
          <w:spacing w:val="-14"/>
        </w:rPr>
        <w:t xml:space="preserve"> </w:t>
      </w:r>
      <w:r>
        <w:t>through</w:t>
      </w:r>
      <w:r>
        <w:rPr>
          <w:spacing w:val="-14"/>
        </w:rPr>
        <w:t xml:space="preserve"> </w:t>
      </w:r>
      <w:r>
        <w:t>the</w:t>
      </w:r>
      <w:r>
        <w:rPr>
          <w:spacing w:val="-14"/>
        </w:rPr>
        <w:t xml:space="preserve"> </w:t>
      </w:r>
      <w:r>
        <w:t>Liverpool</w:t>
      </w:r>
      <w:r>
        <w:rPr>
          <w:spacing w:val="-14"/>
        </w:rPr>
        <w:t xml:space="preserve"> </w:t>
      </w:r>
      <w:r>
        <w:t xml:space="preserve">Ranges. </w:t>
      </w:r>
      <w:r>
        <w:rPr>
          <w:w w:val="95"/>
        </w:rPr>
        <w:t>While this option is significantly more expensive than the</w:t>
      </w:r>
      <w:r>
        <w:rPr>
          <w:spacing w:val="-8"/>
          <w:w w:val="95"/>
        </w:rPr>
        <w:t xml:space="preserve"> </w:t>
      </w:r>
      <w:r>
        <w:rPr>
          <w:w w:val="95"/>
        </w:rPr>
        <w:t>ARTC’s</w:t>
      </w:r>
      <w:r>
        <w:rPr>
          <w:spacing w:val="-8"/>
          <w:w w:val="95"/>
        </w:rPr>
        <w:t xml:space="preserve"> </w:t>
      </w:r>
      <w:r>
        <w:rPr>
          <w:w w:val="95"/>
        </w:rPr>
        <w:t>preferred</w:t>
      </w:r>
      <w:r>
        <w:rPr>
          <w:spacing w:val="-8"/>
          <w:w w:val="95"/>
        </w:rPr>
        <w:t xml:space="preserve"> </w:t>
      </w:r>
      <w:r>
        <w:rPr>
          <w:w w:val="95"/>
        </w:rPr>
        <w:t>solution,</w:t>
      </w:r>
      <w:r>
        <w:rPr>
          <w:spacing w:val="-8"/>
          <w:w w:val="95"/>
        </w:rPr>
        <w:t xml:space="preserve"> </w:t>
      </w:r>
      <w:r>
        <w:rPr>
          <w:w w:val="95"/>
        </w:rPr>
        <w:t>it</w:t>
      </w:r>
      <w:r>
        <w:rPr>
          <w:spacing w:val="-8"/>
          <w:w w:val="95"/>
        </w:rPr>
        <w:t xml:space="preserve"> </w:t>
      </w:r>
      <w:r>
        <w:rPr>
          <w:w w:val="95"/>
        </w:rPr>
        <w:t>would</w:t>
      </w:r>
      <w:r>
        <w:rPr>
          <w:spacing w:val="-8"/>
          <w:w w:val="95"/>
        </w:rPr>
        <w:t xml:space="preserve"> </w:t>
      </w:r>
      <w:r>
        <w:rPr>
          <w:w w:val="95"/>
        </w:rPr>
        <w:t>provide</w:t>
      </w:r>
      <w:r>
        <w:rPr>
          <w:spacing w:val="-8"/>
          <w:w w:val="95"/>
        </w:rPr>
        <w:t xml:space="preserve"> </w:t>
      </w:r>
      <w:r>
        <w:rPr>
          <w:w w:val="95"/>
        </w:rPr>
        <w:t xml:space="preserve">higher </w:t>
      </w:r>
      <w:r>
        <w:t>line</w:t>
      </w:r>
      <w:r>
        <w:rPr>
          <w:spacing w:val="-11"/>
        </w:rPr>
        <w:t xml:space="preserve"> </w:t>
      </w:r>
      <w:r>
        <w:t>capacity</w:t>
      </w:r>
      <w:r>
        <w:rPr>
          <w:spacing w:val="-11"/>
        </w:rPr>
        <w:t xml:space="preserve"> </w:t>
      </w:r>
      <w:r>
        <w:t>to</w:t>
      </w:r>
      <w:r>
        <w:rPr>
          <w:spacing w:val="-11"/>
        </w:rPr>
        <w:t xml:space="preserve"> </w:t>
      </w:r>
      <w:r>
        <w:t>the</w:t>
      </w:r>
      <w:r>
        <w:rPr>
          <w:spacing w:val="-11"/>
        </w:rPr>
        <w:t xml:space="preserve"> </w:t>
      </w:r>
      <w:r>
        <w:t>Gunnedah</w:t>
      </w:r>
      <w:r>
        <w:rPr>
          <w:spacing w:val="-11"/>
        </w:rPr>
        <w:t xml:space="preserve"> </w:t>
      </w:r>
      <w:r>
        <w:t>Basin,</w:t>
      </w:r>
      <w:r>
        <w:rPr>
          <w:spacing w:val="-11"/>
        </w:rPr>
        <w:t xml:space="preserve"> </w:t>
      </w:r>
      <w:r>
        <w:t>operational cost</w:t>
      </w:r>
      <w:r>
        <w:rPr>
          <w:spacing w:val="-14"/>
        </w:rPr>
        <w:t xml:space="preserve"> </w:t>
      </w:r>
      <w:r>
        <w:t>savings</w:t>
      </w:r>
      <w:r>
        <w:rPr>
          <w:spacing w:val="-14"/>
        </w:rPr>
        <w:t xml:space="preserve"> </w:t>
      </w:r>
      <w:r>
        <w:t>and</w:t>
      </w:r>
      <w:r>
        <w:rPr>
          <w:spacing w:val="-14"/>
        </w:rPr>
        <w:t xml:space="preserve"> </w:t>
      </w:r>
      <w:r>
        <w:t>improved</w:t>
      </w:r>
      <w:r>
        <w:rPr>
          <w:spacing w:val="-14"/>
        </w:rPr>
        <w:t xml:space="preserve"> </w:t>
      </w:r>
      <w:r>
        <w:t>transit</w:t>
      </w:r>
      <w:r>
        <w:rPr>
          <w:spacing w:val="-14"/>
        </w:rPr>
        <w:t xml:space="preserve"> </w:t>
      </w:r>
      <w:r>
        <w:t>times</w:t>
      </w:r>
      <w:r>
        <w:rPr>
          <w:spacing w:val="-14"/>
        </w:rPr>
        <w:t xml:space="preserve"> </w:t>
      </w:r>
      <w:r>
        <w:t>(and</w:t>
      </w:r>
      <w:r>
        <w:rPr>
          <w:spacing w:val="-14"/>
        </w:rPr>
        <w:t xml:space="preserve"> </w:t>
      </w:r>
      <w:r>
        <w:t>hence productivity</w:t>
      </w:r>
      <w:r>
        <w:rPr>
          <w:spacing w:val="-11"/>
        </w:rPr>
        <w:t xml:space="preserve"> </w:t>
      </w:r>
      <w:r>
        <w:t>improvements).</w:t>
      </w:r>
    </w:p>
    <w:p w:rsidR="002C1123" w:rsidRDefault="00F22F94">
      <w:pPr>
        <w:pStyle w:val="BodyText"/>
        <w:spacing w:before="148" w:line="249" w:lineRule="auto"/>
        <w:ind w:left="492" w:right="608"/>
        <w:jc w:val="both"/>
      </w:pPr>
      <w:r>
        <w:rPr>
          <w:w w:val="95"/>
        </w:rPr>
        <w:t>Current</w:t>
      </w:r>
      <w:r>
        <w:rPr>
          <w:spacing w:val="-5"/>
          <w:w w:val="95"/>
        </w:rPr>
        <w:t xml:space="preserve"> </w:t>
      </w:r>
      <w:r>
        <w:rPr>
          <w:w w:val="95"/>
        </w:rPr>
        <w:t>arrangements</w:t>
      </w:r>
      <w:r>
        <w:rPr>
          <w:spacing w:val="-5"/>
          <w:w w:val="95"/>
        </w:rPr>
        <w:t xml:space="preserve"> </w:t>
      </w:r>
      <w:r>
        <w:rPr>
          <w:w w:val="95"/>
        </w:rPr>
        <w:t>can</w:t>
      </w:r>
      <w:r>
        <w:rPr>
          <w:spacing w:val="-5"/>
          <w:w w:val="95"/>
        </w:rPr>
        <w:t xml:space="preserve"> </w:t>
      </w:r>
      <w:r>
        <w:rPr>
          <w:w w:val="95"/>
        </w:rPr>
        <w:t>make</w:t>
      </w:r>
      <w:r>
        <w:rPr>
          <w:spacing w:val="-5"/>
          <w:w w:val="95"/>
        </w:rPr>
        <w:t xml:space="preserve"> </w:t>
      </w:r>
      <w:r>
        <w:rPr>
          <w:w w:val="95"/>
        </w:rPr>
        <w:t>it</w:t>
      </w:r>
      <w:r>
        <w:rPr>
          <w:spacing w:val="-5"/>
          <w:w w:val="95"/>
        </w:rPr>
        <w:t xml:space="preserve"> </w:t>
      </w:r>
      <w:r>
        <w:rPr>
          <w:w w:val="95"/>
        </w:rPr>
        <w:t>challenging</w:t>
      </w:r>
      <w:r>
        <w:rPr>
          <w:spacing w:val="-5"/>
          <w:w w:val="95"/>
        </w:rPr>
        <w:t xml:space="preserve"> </w:t>
      </w:r>
      <w:r>
        <w:rPr>
          <w:w w:val="95"/>
        </w:rPr>
        <w:t>to develop</w:t>
      </w:r>
      <w:r>
        <w:rPr>
          <w:spacing w:val="-1"/>
          <w:w w:val="95"/>
        </w:rPr>
        <w:t xml:space="preserve"> </w:t>
      </w:r>
      <w:r>
        <w:rPr>
          <w:w w:val="95"/>
        </w:rPr>
        <w:t>major</w:t>
      </w:r>
      <w:r>
        <w:rPr>
          <w:spacing w:val="-1"/>
          <w:w w:val="95"/>
        </w:rPr>
        <w:t xml:space="preserve"> </w:t>
      </w:r>
      <w:r>
        <w:rPr>
          <w:w w:val="95"/>
        </w:rPr>
        <w:t>rail</w:t>
      </w:r>
      <w:r>
        <w:rPr>
          <w:spacing w:val="-1"/>
          <w:w w:val="95"/>
        </w:rPr>
        <w:t xml:space="preserve"> </w:t>
      </w:r>
      <w:r>
        <w:rPr>
          <w:w w:val="95"/>
        </w:rPr>
        <w:t>projects</w:t>
      </w:r>
      <w:r>
        <w:rPr>
          <w:spacing w:val="-1"/>
          <w:w w:val="95"/>
        </w:rPr>
        <w:t xml:space="preserve"> </w:t>
      </w:r>
      <w:r>
        <w:rPr>
          <w:w w:val="95"/>
        </w:rPr>
        <w:t>such</w:t>
      </w:r>
      <w:r>
        <w:rPr>
          <w:spacing w:val="-1"/>
          <w:w w:val="95"/>
        </w:rPr>
        <w:t xml:space="preserve"> </w:t>
      </w:r>
      <w:r>
        <w:rPr>
          <w:w w:val="95"/>
        </w:rPr>
        <w:t>as</w:t>
      </w:r>
      <w:r>
        <w:rPr>
          <w:spacing w:val="-1"/>
          <w:w w:val="95"/>
        </w:rPr>
        <w:t xml:space="preserve"> </w:t>
      </w:r>
      <w:r>
        <w:rPr>
          <w:w w:val="95"/>
        </w:rPr>
        <w:t>the</w:t>
      </w:r>
      <w:r>
        <w:rPr>
          <w:spacing w:val="-1"/>
          <w:w w:val="95"/>
        </w:rPr>
        <w:t xml:space="preserve"> </w:t>
      </w:r>
      <w:r>
        <w:rPr>
          <w:w w:val="95"/>
        </w:rPr>
        <w:t xml:space="preserve">proposed </w:t>
      </w:r>
      <w:r>
        <w:t>Liverpool Ranges tunnel.</w:t>
      </w:r>
    </w:p>
    <w:p w:rsidR="002C1123" w:rsidRDefault="00F22F94">
      <w:pPr>
        <w:pStyle w:val="BodyText"/>
        <w:spacing w:before="140" w:line="249" w:lineRule="auto"/>
        <w:ind w:left="492"/>
      </w:pPr>
      <w:r>
        <w:rPr>
          <w:w w:val="95"/>
        </w:rPr>
        <w:t>At</w:t>
      </w:r>
      <w:r>
        <w:rPr>
          <w:spacing w:val="-7"/>
          <w:w w:val="95"/>
        </w:rPr>
        <w:t xml:space="preserve"> </w:t>
      </w:r>
      <w:r>
        <w:rPr>
          <w:w w:val="95"/>
        </w:rPr>
        <w:t>present,</w:t>
      </w:r>
      <w:r>
        <w:rPr>
          <w:spacing w:val="-7"/>
          <w:w w:val="95"/>
        </w:rPr>
        <w:t xml:space="preserve"> </w:t>
      </w:r>
      <w:r>
        <w:rPr>
          <w:w w:val="95"/>
        </w:rPr>
        <w:t>the</w:t>
      </w:r>
      <w:r>
        <w:rPr>
          <w:spacing w:val="-7"/>
          <w:w w:val="95"/>
        </w:rPr>
        <w:t xml:space="preserve"> </w:t>
      </w:r>
      <w:r>
        <w:rPr>
          <w:w w:val="95"/>
        </w:rPr>
        <w:t>forecast</w:t>
      </w:r>
      <w:r>
        <w:rPr>
          <w:spacing w:val="-7"/>
          <w:w w:val="95"/>
        </w:rPr>
        <w:t xml:space="preserve"> </w:t>
      </w:r>
      <w:r>
        <w:rPr>
          <w:w w:val="95"/>
        </w:rPr>
        <w:t>period</w:t>
      </w:r>
      <w:r>
        <w:rPr>
          <w:spacing w:val="-7"/>
          <w:w w:val="95"/>
        </w:rPr>
        <w:t xml:space="preserve"> </w:t>
      </w:r>
      <w:r>
        <w:rPr>
          <w:w w:val="95"/>
        </w:rPr>
        <w:t>used</w:t>
      </w:r>
      <w:r>
        <w:rPr>
          <w:spacing w:val="-7"/>
          <w:w w:val="95"/>
        </w:rPr>
        <w:t xml:space="preserve"> </w:t>
      </w:r>
      <w:r>
        <w:rPr>
          <w:w w:val="95"/>
        </w:rPr>
        <w:t>by</w:t>
      </w:r>
      <w:r>
        <w:rPr>
          <w:spacing w:val="-7"/>
          <w:w w:val="95"/>
        </w:rPr>
        <w:t xml:space="preserve"> </w:t>
      </w:r>
      <w:r>
        <w:rPr>
          <w:w w:val="95"/>
        </w:rPr>
        <w:t>the</w:t>
      </w:r>
      <w:r>
        <w:rPr>
          <w:spacing w:val="-7"/>
          <w:w w:val="95"/>
        </w:rPr>
        <w:t xml:space="preserve"> </w:t>
      </w:r>
      <w:r>
        <w:rPr>
          <w:w w:val="95"/>
        </w:rPr>
        <w:t>ARTC</w:t>
      </w:r>
      <w:r>
        <w:rPr>
          <w:spacing w:val="-7"/>
          <w:w w:val="95"/>
        </w:rPr>
        <w:t xml:space="preserve"> </w:t>
      </w:r>
      <w:r>
        <w:rPr>
          <w:w w:val="95"/>
        </w:rPr>
        <w:t>as</w:t>
      </w:r>
      <w:r>
        <w:rPr>
          <w:spacing w:val="-7"/>
          <w:w w:val="95"/>
        </w:rPr>
        <w:t xml:space="preserve"> </w:t>
      </w:r>
      <w:r>
        <w:rPr>
          <w:w w:val="95"/>
        </w:rPr>
        <w:t xml:space="preserve">the </w:t>
      </w:r>
      <w:r>
        <w:t>basis</w:t>
      </w:r>
      <w:r>
        <w:rPr>
          <w:spacing w:val="-14"/>
        </w:rPr>
        <w:t xml:space="preserve"> </w:t>
      </w:r>
      <w:r>
        <w:t>for</w:t>
      </w:r>
      <w:r>
        <w:rPr>
          <w:spacing w:val="-14"/>
        </w:rPr>
        <w:t xml:space="preserve"> </w:t>
      </w:r>
      <w:r>
        <w:t>their</w:t>
      </w:r>
      <w:r>
        <w:rPr>
          <w:spacing w:val="-14"/>
        </w:rPr>
        <w:t xml:space="preserve"> </w:t>
      </w:r>
      <w:r>
        <w:t>investment</w:t>
      </w:r>
      <w:r>
        <w:rPr>
          <w:spacing w:val="-14"/>
        </w:rPr>
        <w:t xml:space="preserve"> </w:t>
      </w:r>
      <w:r>
        <w:t>decisions</w:t>
      </w:r>
      <w:r>
        <w:rPr>
          <w:spacing w:val="-14"/>
        </w:rPr>
        <w:t xml:space="preserve"> </w:t>
      </w:r>
      <w:r>
        <w:t>only</w:t>
      </w:r>
      <w:r>
        <w:rPr>
          <w:spacing w:val="-14"/>
        </w:rPr>
        <w:t xml:space="preserve"> </w:t>
      </w:r>
      <w:r>
        <w:t>runs</w:t>
      </w:r>
      <w:r>
        <w:rPr>
          <w:spacing w:val="-13"/>
        </w:rPr>
        <w:t xml:space="preserve"> </w:t>
      </w:r>
      <w:r>
        <w:t>to</w:t>
      </w:r>
      <w:r>
        <w:rPr>
          <w:spacing w:val="-14"/>
        </w:rPr>
        <w:t xml:space="preserve"> </w:t>
      </w:r>
      <w:r>
        <w:t xml:space="preserve">2020. </w:t>
      </w:r>
      <w:r>
        <w:rPr>
          <w:w w:val="95"/>
        </w:rPr>
        <w:t>This</w:t>
      </w:r>
      <w:r>
        <w:rPr>
          <w:spacing w:val="-5"/>
          <w:w w:val="95"/>
        </w:rPr>
        <w:t xml:space="preserve"> </w:t>
      </w:r>
      <w:r>
        <w:rPr>
          <w:w w:val="95"/>
        </w:rPr>
        <w:t>relatively</w:t>
      </w:r>
      <w:r>
        <w:rPr>
          <w:spacing w:val="-5"/>
          <w:w w:val="95"/>
        </w:rPr>
        <w:t xml:space="preserve"> </w:t>
      </w:r>
      <w:r>
        <w:rPr>
          <w:w w:val="95"/>
        </w:rPr>
        <w:t>short</w:t>
      </w:r>
      <w:r>
        <w:rPr>
          <w:spacing w:val="-5"/>
          <w:w w:val="95"/>
        </w:rPr>
        <w:t xml:space="preserve"> </w:t>
      </w:r>
      <w:r>
        <w:rPr>
          <w:w w:val="95"/>
        </w:rPr>
        <w:t>forecast</w:t>
      </w:r>
      <w:r>
        <w:rPr>
          <w:spacing w:val="-5"/>
          <w:w w:val="95"/>
        </w:rPr>
        <w:t xml:space="preserve"> </w:t>
      </w:r>
      <w:r>
        <w:rPr>
          <w:w w:val="95"/>
        </w:rPr>
        <w:t>period</w:t>
      </w:r>
      <w:r>
        <w:rPr>
          <w:spacing w:val="-5"/>
          <w:w w:val="95"/>
        </w:rPr>
        <w:t xml:space="preserve"> </w:t>
      </w:r>
      <w:r>
        <w:rPr>
          <w:w w:val="95"/>
        </w:rPr>
        <w:t>is</w:t>
      </w:r>
      <w:r>
        <w:rPr>
          <w:spacing w:val="-5"/>
          <w:w w:val="95"/>
        </w:rPr>
        <w:t xml:space="preserve"> </w:t>
      </w:r>
      <w:r>
        <w:rPr>
          <w:w w:val="95"/>
        </w:rPr>
        <w:t>partly</w:t>
      </w:r>
      <w:r>
        <w:rPr>
          <w:spacing w:val="-5"/>
          <w:w w:val="95"/>
        </w:rPr>
        <w:t xml:space="preserve"> </w:t>
      </w:r>
      <w:r>
        <w:rPr>
          <w:w w:val="95"/>
        </w:rPr>
        <w:t>used</w:t>
      </w:r>
      <w:r>
        <w:rPr>
          <w:spacing w:val="-5"/>
          <w:w w:val="95"/>
        </w:rPr>
        <w:t xml:space="preserve"> </w:t>
      </w:r>
      <w:r>
        <w:rPr>
          <w:w w:val="95"/>
        </w:rPr>
        <w:t>due</w:t>
      </w:r>
      <w:r>
        <w:rPr>
          <w:spacing w:val="-5"/>
          <w:w w:val="95"/>
        </w:rPr>
        <w:t xml:space="preserve"> </w:t>
      </w:r>
      <w:r>
        <w:rPr>
          <w:w w:val="95"/>
        </w:rPr>
        <w:t xml:space="preserve">to </w:t>
      </w:r>
      <w:r>
        <w:t>the</w:t>
      </w:r>
      <w:r>
        <w:rPr>
          <w:spacing w:val="-3"/>
        </w:rPr>
        <w:t xml:space="preserve"> </w:t>
      </w:r>
      <w:r>
        <w:t>difficulty</w:t>
      </w:r>
      <w:r>
        <w:rPr>
          <w:spacing w:val="-3"/>
        </w:rPr>
        <w:t xml:space="preserve"> </w:t>
      </w:r>
      <w:r>
        <w:t>of</w:t>
      </w:r>
      <w:r>
        <w:rPr>
          <w:spacing w:val="-3"/>
        </w:rPr>
        <w:t xml:space="preserve"> </w:t>
      </w:r>
      <w:r>
        <w:t>getting</w:t>
      </w:r>
      <w:r>
        <w:rPr>
          <w:spacing w:val="-3"/>
        </w:rPr>
        <w:t xml:space="preserve"> </w:t>
      </w:r>
      <w:r>
        <w:t>contractual</w:t>
      </w:r>
      <w:r>
        <w:rPr>
          <w:spacing w:val="-3"/>
        </w:rPr>
        <w:t xml:space="preserve"> </w:t>
      </w:r>
      <w:r>
        <w:t>commitments</w:t>
      </w:r>
      <w:r>
        <w:rPr>
          <w:spacing w:val="-3"/>
        </w:rPr>
        <w:t xml:space="preserve"> </w:t>
      </w:r>
      <w:r>
        <w:t>from</w:t>
      </w:r>
    </w:p>
    <w:p w:rsidR="002C1123" w:rsidRDefault="00F22F94">
      <w:pPr>
        <w:pStyle w:val="BodyText"/>
        <w:spacing w:before="106" w:line="249" w:lineRule="auto"/>
        <w:ind w:left="255" w:right="136"/>
      </w:pPr>
      <w:r>
        <w:br w:type="column"/>
      </w:r>
      <w:r>
        <w:t>While</w:t>
      </w:r>
      <w:r>
        <w:rPr>
          <w:spacing w:val="-11"/>
        </w:rPr>
        <w:t xml:space="preserve"> </w:t>
      </w:r>
      <w:r>
        <w:t>this</w:t>
      </w:r>
      <w:r>
        <w:rPr>
          <w:spacing w:val="-11"/>
        </w:rPr>
        <w:t xml:space="preserve"> </w:t>
      </w:r>
      <w:r>
        <w:t>means</w:t>
      </w:r>
      <w:r>
        <w:rPr>
          <w:spacing w:val="-11"/>
        </w:rPr>
        <w:t xml:space="preserve"> </w:t>
      </w:r>
      <w:r>
        <w:t>that</w:t>
      </w:r>
      <w:r>
        <w:rPr>
          <w:spacing w:val="-11"/>
        </w:rPr>
        <w:t xml:space="preserve"> </w:t>
      </w:r>
      <w:r>
        <w:t>incremental</w:t>
      </w:r>
      <w:r>
        <w:rPr>
          <w:spacing w:val="-11"/>
        </w:rPr>
        <w:t xml:space="preserve"> </w:t>
      </w:r>
      <w:r>
        <w:t>approaches</w:t>
      </w:r>
      <w:r>
        <w:rPr>
          <w:spacing w:val="-11"/>
        </w:rPr>
        <w:t xml:space="preserve"> </w:t>
      </w:r>
      <w:r>
        <w:t xml:space="preserve">to </w:t>
      </w:r>
      <w:r>
        <w:rPr>
          <w:w w:val="95"/>
        </w:rPr>
        <w:t>capacity</w:t>
      </w:r>
      <w:r>
        <w:rPr>
          <w:spacing w:val="-6"/>
          <w:w w:val="95"/>
        </w:rPr>
        <w:t xml:space="preserve"> </w:t>
      </w:r>
      <w:r>
        <w:rPr>
          <w:w w:val="95"/>
        </w:rPr>
        <w:t>augmentation</w:t>
      </w:r>
      <w:r>
        <w:rPr>
          <w:spacing w:val="-6"/>
          <w:w w:val="95"/>
        </w:rPr>
        <w:t xml:space="preserve"> </w:t>
      </w:r>
      <w:r>
        <w:rPr>
          <w:w w:val="95"/>
        </w:rPr>
        <w:t>are</w:t>
      </w:r>
      <w:r>
        <w:rPr>
          <w:spacing w:val="-6"/>
          <w:w w:val="95"/>
        </w:rPr>
        <w:t xml:space="preserve"> </w:t>
      </w:r>
      <w:r>
        <w:rPr>
          <w:w w:val="95"/>
        </w:rPr>
        <w:t>generally</w:t>
      </w:r>
      <w:r>
        <w:rPr>
          <w:spacing w:val="-6"/>
          <w:w w:val="95"/>
        </w:rPr>
        <w:t xml:space="preserve"> </w:t>
      </w:r>
      <w:r>
        <w:rPr>
          <w:w w:val="95"/>
        </w:rPr>
        <w:t>favoured</w:t>
      </w:r>
      <w:r>
        <w:rPr>
          <w:spacing w:val="-6"/>
          <w:w w:val="95"/>
        </w:rPr>
        <w:t xml:space="preserve"> </w:t>
      </w:r>
      <w:r>
        <w:rPr>
          <w:w w:val="95"/>
        </w:rPr>
        <w:t>–</w:t>
      </w:r>
      <w:r>
        <w:rPr>
          <w:spacing w:val="-6"/>
          <w:w w:val="95"/>
        </w:rPr>
        <w:t xml:space="preserve"> </w:t>
      </w:r>
      <w:r>
        <w:rPr>
          <w:w w:val="95"/>
        </w:rPr>
        <w:t>which Infrastructure</w:t>
      </w:r>
      <w:r>
        <w:rPr>
          <w:spacing w:val="-2"/>
          <w:w w:val="95"/>
        </w:rPr>
        <w:t xml:space="preserve"> </w:t>
      </w:r>
      <w:r>
        <w:rPr>
          <w:w w:val="95"/>
        </w:rPr>
        <w:t>NSW</w:t>
      </w:r>
      <w:r>
        <w:rPr>
          <w:spacing w:val="-2"/>
          <w:w w:val="95"/>
        </w:rPr>
        <w:t xml:space="preserve"> </w:t>
      </w:r>
      <w:r>
        <w:rPr>
          <w:w w:val="95"/>
        </w:rPr>
        <w:t>supports</w:t>
      </w:r>
      <w:r>
        <w:rPr>
          <w:spacing w:val="-2"/>
          <w:w w:val="95"/>
        </w:rPr>
        <w:t xml:space="preserve"> </w:t>
      </w:r>
      <w:r>
        <w:rPr>
          <w:w w:val="95"/>
        </w:rPr>
        <w:t>–</w:t>
      </w:r>
      <w:r>
        <w:rPr>
          <w:spacing w:val="-2"/>
          <w:w w:val="95"/>
        </w:rPr>
        <w:t xml:space="preserve"> </w:t>
      </w:r>
      <w:r>
        <w:rPr>
          <w:w w:val="95"/>
        </w:rPr>
        <w:t>it</w:t>
      </w:r>
      <w:r>
        <w:rPr>
          <w:spacing w:val="-2"/>
          <w:w w:val="95"/>
        </w:rPr>
        <w:t xml:space="preserve"> </w:t>
      </w:r>
      <w:r>
        <w:rPr>
          <w:w w:val="95"/>
        </w:rPr>
        <w:t>risks,</w:t>
      </w:r>
      <w:r>
        <w:rPr>
          <w:spacing w:val="-2"/>
          <w:w w:val="95"/>
        </w:rPr>
        <w:t xml:space="preserve"> </w:t>
      </w:r>
      <w:r>
        <w:rPr>
          <w:w w:val="95"/>
        </w:rPr>
        <w:t>in</w:t>
      </w:r>
      <w:r>
        <w:rPr>
          <w:spacing w:val="-2"/>
          <w:w w:val="95"/>
        </w:rPr>
        <w:t xml:space="preserve"> </w:t>
      </w:r>
      <w:r>
        <w:rPr>
          <w:w w:val="95"/>
        </w:rPr>
        <w:t>some</w:t>
      </w:r>
      <w:r>
        <w:rPr>
          <w:spacing w:val="-2"/>
          <w:w w:val="95"/>
        </w:rPr>
        <w:t xml:space="preserve"> </w:t>
      </w:r>
      <w:r>
        <w:rPr>
          <w:w w:val="95"/>
        </w:rPr>
        <w:t xml:space="preserve">cases, necessary infrastructure not being provided in time to </w:t>
      </w:r>
      <w:r>
        <w:t>meet</w:t>
      </w:r>
      <w:r>
        <w:rPr>
          <w:spacing w:val="-11"/>
        </w:rPr>
        <w:t xml:space="preserve"> </w:t>
      </w:r>
      <w:r>
        <w:t>demand.</w:t>
      </w:r>
    </w:p>
    <w:p w:rsidR="002C1123" w:rsidRDefault="00F22F94">
      <w:pPr>
        <w:pStyle w:val="BodyText"/>
        <w:spacing w:before="146" w:line="249" w:lineRule="auto"/>
        <w:ind w:left="255" w:right="136"/>
      </w:pPr>
      <w:r>
        <w:t>One</w:t>
      </w:r>
      <w:r>
        <w:rPr>
          <w:spacing w:val="-1"/>
        </w:rPr>
        <w:t xml:space="preserve"> </w:t>
      </w:r>
      <w:r>
        <w:t>option</w:t>
      </w:r>
      <w:r>
        <w:rPr>
          <w:spacing w:val="-1"/>
        </w:rPr>
        <w:t xml:space="preserve"> </w:t>
      </w:r>
      <w:r>
        <w:t>could</w:t>
      </w:r>
      <w:r>
        <w:rPr>
          <w:spacing w:val="-1"/>
        </w:rPr>
        <w:t xml:space="preserve"> </w:t>
      </w:r>
      <w:r>
        <w:t>be</w:t>
      </w:r>
      <w:r>
        <w:rPr>
          <w:spacing w:val="-1"/>
        </w:rPr>
        <w:t xml:space="preserve"> </w:t>
      </w:r>
      <w:r>
        <w:t>for</w:t>
      </w:r>
      <w:r>
        <w:rPr>
          <w:spacing w:val="-1"/>
        </w:rPr>
        <w:t xml:space="preserve"> </w:t>
      </w:r>
      <w:r>
        <w:t>the</w:t>
      </w:r>
      <w:r>
        <w:rPr>
          <w:spacing w:val="-1"/>
        </w:rPr>
        <w:t xml:space="preserve"> </w:t>
      </w:r>
      <w:r>
        <w:t xml:space="preserve">Commonwealth </w:t>
      </w:r>
      <w:r>
        <w:rPr>
          <w:w w:val="95"/>
        </w:rPr>
        <w:t>Government to take a more active role in underwriting demand</w:t>
      </w:r>
      <w:r>
        <w:rPr>
          <w:spacing w:val="-4"/>
          <w:w w:val="95"/>
        </w:rPr>
        <w:t xml:space="preserve"> </w:t>
      </w:r>
      <w:r>
        <w:rPr>
          <w:w w:val="95"/>
        </w:rPr>
        <w:t>risk</w:t>
      </w:r>
      <w:r>
        <w:rPr>
          <w:spacing w:val="-4"/>
          <w:w w:val="95"/>
        </w:rPr>
        <w:t xml:space="preserve"> </w:t>
      </w:r>
      <w:r>
        <w:rPr>
          <w:w w:val="95"/>
        </w:rPr>
        <w:t>in</w:t>
      </w:r>
      <w:r>
        <w:rPr>
          <w:spacing w:val="-4"/>
          <w:w w:val="95"/>
        </w:rPr>
        <w:t xml:space="preserve"> </w:t>
      </w:r>
      <w:r>
        <w:rPr>
          <w:w w:val="95"/>
        </w:rPr>
        <w:t>some</w:t>
      </w:r>
      <w:r>
        <w:rPr>
          <w:spacing w:val="-4"/>
          <w:w w:val="95"/>
        </w:rPr>
        <w:t xml:space="preserve"> </w:t>
      </w:r>
      <w:r>
        <w:rPr>
          <w:w w:val="95"/>
        </w:rPr>
        <w:t>circumstances</w:t>
      </w:r>
      <w:r>
        <w:rPr>
          <w:spacing w:val="-4"/>
          <w:w w:val="95"/>
        </w:rPr>
        <w:t xml:space="preserve"> </w:t>
      </w:r>
      <w:r>
        <w:rPr>
          <w:w w:val="95"/>
        </w:rPr>
        <w:t>to</w:t>
      </w:r>
      <w:r>
        <w:rPr>
          <w:spacing w:val="-4"/>
          <w:w w:val="95"/>
        </w:rPr>
        <w:t xml:space="preserve"> </w:t>
      </w:r>
      <w:r>
        <w:rPr>
          <w:w w:val="95"/>
        </w:rPr>
        <w:t>allow</w:t>
      </w:r>
      <w:r>
        <w:rPr>
          <w:spacing w:val="-4"/>
          <w:w w:val="95"/>
        </w:rPr>
        <w:t xml:space="preserve"> </w:t>
      </w:r>
      <w:r>
        <w:rPr>
          <w:w w:val="95"/>
        </w:rPr>
        <w:t>the</w:t>
      </w:r>
      <w:r>
        <w:rPr>
          <w:spacing w:val="-4"/>
          <w:w w:val="95"/>
        </w:rPr>
        <w:t xml:space="preserve"> </w:t>
      </w:r>
      <w:r>
        <w:rPr>
          <w:w w:val="95"/>
        </w:rPr>
        <w:t xml:space="preserve">ARTC </w:t>
      </w:r>
      <w:r>
        <w:t>to</w:t>
      </w:r>
      <w:r>
        <w:rPr>
          <w:spacing w:val="-3"/>
        </w:rPr>
        <w:t xml:space="preserve"> </w:t>
      </w:r>
      <w:r>
        <w:t>proceed</w:t>
      </w:r>
      <w:r>
        <w:rPr>
          <w:spacing w:val="-3"/>
        </w:rPr>
        <w:t xml:space="preserve"> </w:t>
      </w:r>
      <w:r>
        <w:t>with</w:t>
      </w:r>
      <w:r>
        <w:rPr>
          <w:spacing w:val="-3"/>
        </w:rPr>
        <w:t xml:space="preserve"> </w:t>
      </w:r>
      <w:r>
        <w:t>major</w:t>
      </w:r>
      <w:r>
        <w:rPr>
          <w:spacing w:val="-3"/>
        </w:rPr>
        <w:t xml:space="preserve"> </w:t>
      </w:r>
      <w:r>
        <w:t>rail</w:t>
      </w:r>
      <w:r>
        <w:rPr>
          <w:spacing w:val="-3"/>
        </w:rPr>
        <w:t xml:space="preserve"> </w:t>
      </w:r>
      <w:r>
        <w:t>investments.</w:t>
      </w:r>
    </w:p>
    <w:p w:rsidR="002C1123" w:rsidRDefault="00F22F94">
      <w:pPr>
        <w:pStyle w:val="BodyText"/>
        <w:spacing w:before="145" w:line="249" w:lineRule="auto"/>
        <w:ind w:left="255" w:right="136"/>
      </w:pPr>
      <w:r>
        <w:t>This</w:t>
      </w:r>
      <w:r>
        <w:rPr>
          <w:spacing w:val="-14"/>
        </w:rPr>
        <w:t xml:space="preserve"> </w:t>
      </w:r>
      <w:r>
        <w:t>approach</w:t>
      </w:r>
      <w:r>
        <w:rPr>
          <w:spacing w:val="-14"/>
        </w:rPr>
        <w:t xml:space="preserve"> </w:t>
      </w:r>
      <w:r>
        <w:t>recognises</w:t>
      </w:r>
      <w:r>
        <w:rPr>
          <w:spacing w:val="-14"/>
        </w:rPr>
        <w:t xml:space="preserve"> </w:t>
      </w:r>
      <w:r>
        <w:t>Australia’s</w:t>
      </w:r>
      <w:r>
        <w:rPr>
          <w:spacing w:val="-14"/>
        </w:rPr>
        <w:t xml:space="preserve"> </w:t>
      </w:r>
      <w:r>
        <w:t xml:space="preserve">comparative </w:t>
      </w:r>
      <w:r>
        <w:rPr>
          <w:w w:val="95"/>
        </w:rPr>
        <w:t>advantages in resource extraction in some commodity sectors</w:t>
      </w:r>
      <w:r>
        <w:rPr>
          <w:spacing w:val="-4"/>
          <w:w w:val="95"/>
        </w:rPr>
        <w:t xml:space="preserve"> </w:t>
      </w:r>
      <w:r>
        <w:rPr>
          <w:w w:val="95"/>
        </w:rPr>
        <w:t>but</w:t>
      </w:r>
      <w:r>
        <w:rPr>
          <w:spacing w:val="-4"/>
          <w:w w:val="95"/>
        </w:rPr>
        <w:t xml:space="preserve"> </w:t>
      </w:r>
      <w:r>
        <w:rPr>
          <w:w w:val="95"/>
        </w:rPr>
        <w:t>relative</w:t>
      </w:r>
      <w:r>
        <w:rPr>
          <w:spacing w:val="-4"/>
          <w:w w:val="95"/>
        </w:rPr>
        <w:t xml:space="preserve"> </w:t>
      </w:r>
      <w:r>
        <w:rPr>
          <w:w w:val="95"/>
        </w:rPr>
        <w:t>disadvantages</w:t>
      </w:r>
      <w:r>
        <w:rPr>
          <w:spacing w:val="-4"/>
          <w:w w:val="95"/>
        </w:rPr>
        <w:t xml:space="preserve"> </w:t>
      </w:r>
      <w:r>
        <w:rPr>
          <w:w w:val="95"/>
        </w:rPr>
        <w:t>in</w:t>
      </w:r>
      <w:r>
        <w:rPr>
          <w:spacing w:val="-4"/>
          <w:w w:val="95"/>
        </w:rPr>
        <w:t xml:space="preserve"> </w:t>
      </w:r>
      <w:r>
        <w:rPr>
          <w:w w:val="95"/>
        </w:rPr>
        <w:t>getting</w:t>
      </w:r>
      <w:r>
        <w:rPr>
          <w:spacing w:val="-4"/>
          <w:w w:val="95"/>
        </w:rPr>
        <w:t xml:space="preserve"> </w:t>
      </w:r>
      <w:r>
        <w:rPr>
          <w:w w:val="95"/>
        </w:rPr>
        <w:t xml:space="preserve">resources </w:t>
      </w:r>
      <w:r>
        <w:t>from</w:t>
      </w:r>
      <w:r>
        <w:rPr>
          <w:spacing w:val="-6"/>
        </w:rPr>
        <w:t xml:space="preserve"> </w:t>
      </w:r>
      <w:r>
        <w:t>mine</w:t>
      </w:r>
      <w:r>
        <w:rPr>
          <w:spacing w:val="-5"/>
        </w:rPr>
        <w:t xml:space="preserve"> </w:t>
      </w:r>
      <w:r>
        <w:t>to</w:t>
      </w:r>
      <w:r>
        <w:rPr>
          <w:spacing w:val="-5"/>
        </w:rPr>
        <w:t xml:space="preserve"> </w:t>
      </w:r>
      <w:r>
        <w:t>market</w:t>
      </w:r>
      <w:r>
        <w:rPr>
          <w:spacing w:val="-5"/>
        </w:rPr>
        <w:t xml:space="preserve"> </w:t>
      </w:r>
      <w:r>
        <w:t>due</w:t>
      </w:r>
      <w:r>
        <w:rPr>
          <w:spacing w:val="-5"/>
        </w:rPr>
        <w:t xml:space="preserve"> </w:t>
      </w:r>
      <w:r>
        <w:t>to</w:t>
      </w:r>
      <w:r>
        <w:rPr>
          <w:spacing w:val="-5"/>
        </w:rPr>
        <w:t xml:space="preserve"> </w:t>
      </w:r>
      <w:r>
        <w:t>distance</w:t>
      </w:r>
      <w:r>
        <w:rPr>
          <w:spacing w:val="-5"/>
        </w:rPr>
        <w:t xml:space="preserve"> </w:t>
      </w:r>
      <w:r>
        <w:t>and</w:t>
      </w:r>
      <w:r>
        <w:rPr>
          <w:spacing w:val="-5"/>
        </w:rPr>
        <w:t xml:space="preserve"> </w:t>
      </w:r>
      <w:r>
        <w:t>other geographic</w:t>
      </w:r>
      <w:r>
        <w:rPr>
          <w:spacing w:val="-11"/>
        </w:rPr>
        <w:t xml:space="preserve"> </w:t>
      </w:r>
      <w:r>
        <w:t>factors.</w:t>
      </w:r>
    </w:p>
    <w:p w:rsidR="002C1123" w:rsidRDefault="00F22F94">
      <w:pPr>
        <w:pStyle w:val="BodyText"/>
        <w:spacing w:before="146" w:line="249" w:lineRule="auto"/>
        <w:ind w:left="255" w:right="136"/>
      </w:pPr>
      <w:r>
        <w:t>Any</w:t>
      </w:r>
      <w:r>
        <w:rPr>
          <w:spacing w:val="-14"/>
        </w:rPr>
        <w:t xml:space="preserve"> </w:t>
      </w:r>
      <w:r>
        <w:t>move</w:t>
      </w:r>
      <w:r>
        <w:rPr>
          <w:spacing w:val="-14"/>
        </w:rPr>
        <w:t xml:space="preserve"> </w:t>
      </w:r>
      <w:r>
        <w:t>towards</w:t>
      </w:r>
      <w:r>
        <w:rPr>
          <w:spacing w:val="-14"/>
        </w:rPr>
        <w:t xml:space="preserve"> </w:t>
      </w:r>
      <w:r>
        <w:t>this</w:t>
      </w:r>
      <w:r>
        <w:rPr>
          <w:spacing w:val="-14"/>
        </w:rPr>
        <w:t xml:space="preserve"> </w:t>
      </w:r>
      <w:r>
        <w:t>more</w:t>
      </w:r>
      <w:r>
        <w:rPr>
          <w:spacing w:val="-14"/>
        </w:rPr>
        <w:t xml:space="preserve"> </w:t>
      </w:r>
      <w:r>
        <w:t>interventionist</w:t>
      </w:r>
      <w:r>
        <w:rPr>
          <w:spacing w:val="-14"/>
        </w:rPr>
        <w:t xml:space="preserve"> </w:t>
      </w:r>
      <w:r>
        <w:t>approach would</w:t>
      </w:r>
      <w:r>
        <w:rPr>
          <w:spacing w:val="-9"/>
        </w:rPr>
        <w:t xml:space="preserve"> </w:t>
      </w:r>
      <w:r>
        <w:t>need</w:t>
      </w:r>
      <w:r>
        <w:rPr>
          <w:spacing w:val="-9"/>
        </w:rPr>
        <w:t xml:space="preserve"> </w:t>
      </w:r>
      <w:r>
        <w:t>to</w:t>
      </w:r>
      <w:r>
        <w:rPr>
          <w:spacing w:val="-9"/>
        </w:rPr>
        <w:t xml:space="preserve"> </w:t>
      </w:r>
      <w:r>
        <w:t>appropriately</w:t>
      </w:r>
      <w:r>
        <w:rPr>
          <w:spacing w:val="-9"/>
        </w:rPr>
        <w:t xml:space="preserve"> </w:t>
      </w:r>
      <w:r>
        <w:t>balance</w:t>
      </w:r>
      <w:r>
        <w:rPr>
          <w:spacing w:val="-9"/>
        </w:rPr>
        <w:t xml:space="preserve"> </w:t>
      </w:r>
      <w:r>
        <w:t>the</w:t>
      </w:r>
      <w:r>
        <w:rPr>
          <w:spacing w:val="-9"/>
        </w:rPr>
        <w:t xml:space="preserve"> </w:t>
      </w:r>
      <w:r>
        <w:t xml:space="preserve">increased </w:t>
      </w:r>
      <w:r>
        <w:rPr>
          <w:w w:val="95"/>
        </w:rPr>
        <w:t>risks</w:t>
      </w:r>
      <w:r>
        <w:rPr>
          <w:spacing w:val="-3"/>
          <w:w w:val="95"/>
        </w:rPr>
        <w:t xml:space="preserve"> </w:t>
      </w:r>
      <w:r>
        <w:rPr>
          <w:w w:val="95"/>
        </w:rPr>
        <w:t>being</w:t>
      </w:r>
      <w:r>
        <w:rPr>
          <w:spacing w:val="-3"/>
          <w:w w:val="95"/>
        </w:rPr>
        <w:t xml:space="preserve"> </w:t>
      </w:r>
      <w:r>
        <w:rPr>
          <w:w w:val="95"/>
        </w:rPr>
        <w:t>borne</w:t>
      </w:r>
      <w:r>
        <w:rPr>
          <w:spacing w:val="-3"/>
          <w:w w:val="95"/>
        </w:rPr>
        <w:t xml:space="preserve"> </w:t>
      </w:r>
      <w:r>
        <w:rPr>
          <w:w w:val="95"/>
        </w:rPr>
        <w:t>by</w:t>
      </w:r>
      <w:r>
        <w:rPr>
          <w:spacing w:val="-3"/>
          <w:w w:val="95"/>
        </w:rPr>
        <w:t xml:space="preserve"> </w:t>
      </w:r>
      <w:r>
        <w:rPr>
          <w:w w:val="95"/>
        </w:rPr>
        <w:t>the</w:t>
      </w:r>
      <w:r>
        <w:rPr>
          <w:spacing w:val="-3"/>
          <w:w w:val="95"/>
        </w:rPr>
        <w:t xml:space="preserve"> </w:t>
      </w:r>
      <w:r>
        <w:rPr>
          <w:w w:val="95"/>
        </w:rPr>
        <w:t>public</w:t>
      </w:r>
      <w:r>
        <w:rPr>
          <w:spacing w:val="-3"/>
          <w:w w:val="95"/>
        </w:rPr>
        <w:t xml:space="preserve"> </w:t>
      </w:r>
      <w:r>
        <w:rPr>
          <w:w w:val="95"/>
        </w:rPr>
        <w:t>sector</w:t>
      </w:r>
      <w:r>
        <w:rPr>
          <w:spacing w:val="-3"/>
          <w:w w:val="95"/>
        </w:rPr>
        <w:t xml:space="preserve"> </w:t>
      </w:r>
      <w:r>
        <w:rPr>
          <w:w w:val="95"/>
        </w:rPr>
        <w:t>with</w:t>
      </w:r>
      <w:r>
        <w:rPr>
          <w:spacing w:val="-3"/>
          <w:w w:val="95"/>
        </w:rPr>
        <w:t xml:space="preserve"> </w:t>
      </w:r>
      <w:r>
        <w:rPr>
          <w:w w:val="95"/>
        </w:rPr>
        <w:t>the</w:t>
      </w:r>
      <w:r>
        <w:rPr>
          <w:spacing w:val="-3"/>
          <w:w w:val="95"/>
        </w:rPr>
        <w:t xml:space="preserve"> </w:t>
      </w:r>
      <w:r>
        <w:rPr>
          <w:w w:val="95"/>
        </w:rPr>
        <w:t>potential</w:t>
      </w:r>
    </w:p>
    <w:p w:rsidR="002C1123" w:rsidRDefault="00F22F94">
      <w:pPr>
        <w:pStyle w:val="BodyText"/>
        <w:spacing w:before="3" w:line="249" w:lineRule="auto"/>
        <w:ind w:left="255"/>
      </w:pPr>
      <w:r>
        <w:rPr>
          <w:w w:val="95"/>
        </w:rPr>
        <w:t>rewards</w:t>
      </w:r>
      <w:r>
        <w:rPr>
          <w:spacing w:val="-10"/>
          <w:w w:val="95"/>
        </w:rPr>
        <w:t xml:space="preserve"> </w:t>
      </w:r>
      <w:r>
        <w:rPr>
          <w:w w:val="95"/>
        </w:rPr>
        <w:t>on</w:t>
      </w:r>
      <w:r>
        <w:rPr>
          <w:spacing w:val="-10"/>
          <w:w w:val="95"/>
        </w:rPr>
        <w:t xml:space="preserve"> </w:t>
      </w:r>
      <w:r>
        <w:rPr>
          <w:w w:val="95"/>
        </w:rPr>
        <w:t>offer.</w:t>
      </w:r>
      <w:r>
        <w:rPr>
          <w:spacing w:val="-10"/>
          <w:w w:val="95"/>
        </w:rPr>
        <w:t xml:space="preserve"> </w:t>
      </w:r>
      <w:r>
        <w:rPr>
          <w:w w:val="95"/>
        </w:rPr>
        <w:t>It</w:t>
      </w:r>
      <w:r>
        <w:rPr>
          <w:spacing w:val="-10"/>
          <w:w w:val="95"/>
        </w:rPr>
        <w:t xml:space="preserve"> </w:t>
      </w:r>
      <w:r>
        <w:rPr>
          <w:w w:val="95"/>
        </w:rPr>
        <w:t>is</w:t>
      </w:r>
      <w:r>
        <w:rPr>
          <w:spacing w:val="-10"/>
          <w:w w:val="95"/>
        </w:rPr>
        <w:t xml:space="preserve"> </w:t>
      </w:r>
      <w:r>
        <w:rPr>
          <w:w w:val="95"/>
        </w:rPr>
        <w:t>likely</w:t>
      </w:r>
      <w:r>
        <w:rPr>
          <w:spacing w:val="-10"/>
          <w:w w:val="95"/>
        </w:rPr>
        <w:t xml:space="preserve"> </w:t>
      </w:r>
      <w:r>
        <w:rPr>
          <w:w w:val="95"/>
        </w:rPr>
        <w:t>that</w:t>
      </w:r>
      <w:r>
        <w:rPr>
          <w:spacing w:val="-10"/>
          <w:w w:val="95"/>
        </w:rPr>
        <w:t xml:space="preserve"> </w:t>
      </w:r>
      <w:r>
        <w:rPr>
          <w:w w:val="95"/>
        </w:rPr>
        <w:t>the</w:t>
      </w:r>
      <w:r>
        <w:rPr>
          <w:spacing w:val="-10"/>
          <w:w w:val="95"/>
        </w:rPr>
        <w:t xml:space="preserve"> </w:t>
      </w:r>
      <w:r>
        <w:rPr>
          <w:w w:val="95"/>
        </w:rPr>
        <w:t>access</w:t>
      </w:r>
      <w:r>
        <w:rPr>
          <w:spacing w:val="-10"/>
          <w:w w:val="95"/>
        </w:rPr>
        <w:t xml:space="preserve"> </w:t>
      </w:r>
      <w:r>
        <w:rPr>
          <w:w w:val="95"/>
        </w:rPr>
        <w:t>pricing</w:t>
      </w:r>
      <w:r>
        <w:rPr>
          <w:spacing w:val="-10"/>
          <w:w w:val="95"/>
        </w:rPr>
        <w:t xml:space="preserve"> </w:t>
      </w:r>
      <w:r>
        <w:rPr>
          <w:w w:val="95"/>
        </w:rPr>
        <w:t>regime on</w:t>
      </w:r>
      <w:r>
        <w:rPr>
          <w:spacing w:val="-2"/>
          <w:w w:val="95"/>
        </w:rPr>
        <w:t xml:space="preserve"> </w:t>
      </w:r>
      <w:r>
        <w:rPr>
          <w:w w:val="95"/>
        </w:rPr>
        <w:t>any</w:t>
      </w:r>
      <w:r>
        <w:rPr>
          <w:spacing w:val="-2"/>
          <w:w w:val="95"/>
        </w:rPr>
        <w:t xml:space="preserve"> </w:t>
      </w:r>
      <w:r>
        <w:rPr>
          <w:w w:val="95"/>
        </w:rPr>
        <w:t>rail</w:t>
      </w:r>
      <w:r>
        <w:rPr>
          <w:spacing w:val="-2"/>
          <w:w w:val="95"/>
        </w:rPr>
        <w:t xml:space="preserve"> </w:t>
      </w:r>
      <w:r>
        <w:rPr>
          <w:w w:val="95"/>
        </w:rPr>
        <w:t>link</w:t>
      </w:r>
      <w:r>
        <w:rPr>
          <w:spacing w:val="-2"/>
          <w:w w:val="95"/>
        </w:rPr>
        <w:t xml:space="preserve"> </w:t>
      </w:r>
      <w:r>
        <w:rPr>
          <w:w w:val="95"/>
        </w:rPr>
        <w:t>financed</w:t>
      </w:r>
      <w:r>
        <w:rPr>
          <w:spacing w:val="-2"/>
          <w:w w:val="95"/>
        </w:rPr>
        <w:t xml:space="preserve"> </w:t>
      </w:r>
      <w:r>
        <w:rPr>
          <w:w w:val="95"/>
        </w:rPr>
        <w:t>in</w:t>
      </w:r>
      <w:r>
        <w:rPr>
          <w:spacing w:val="-2"/>
          <w:w w:val="95"/>
        </w:rPr>
        <w:t xml:space="preserve"> </w:t>
      </w:r>
      <w:r>
        <w:rPr>
          <w:w w:val="95"/>
        </w:rPr>
        <w:t>this</w:t>
      </w:r>
      <w:r>
        <w:rPr>
          <w:spacing w:val="-2"/>
          <w:w w:val="95"/>
        </w:rPr>
        <w:t xml:space="preserve"> </w:t>
      </w:r>
      <w:r>
        <w:rPr>
          <w:w w:val="95"/>
        </w:rPr>
        <w:t>way</w:t>
      </w:r>
      <w:r>
        <w:rPr>
          <w:spacing w:val="-2"/>
          <w:w w:val="95"/>
        </w:rPr>
        <w:t xml:space="preserve"> </w:t>
      </w:r>
      <w:r>
        <w:rPr>
          <w:w w:val="95"/>
        </w:rPr>
        <w:t>would</w:t>
      </w:r>
      <w:r>
        <w:rPr>
          <w:spacing w:val="-2"/>
          <w:w w:val="95"/>
        </w:rPr>
        <w:t xml:space="preserve"> </w:t>
      </w:r>
      <w:r>
        <w:rPr>
          <w:w w:val="95"/>
        </w:rPr>
        <w:t>differ</w:t>
      </w:r>
      <w:r>
        <w:rPr>
          <w:spacing w:val="-2"/>
          <w:w w:val="95"/>
        </w:rPr>
        <w:t xml:space="preserve"> </w:t>
      </w:r>
      <w:r>
        <w:rPr>
          <w:w w:val="95"/>
        </w:rPr>
        <w:t>from</w:t>
      </w:r>
      <w:r>
        <w:rPr>
          <w:spacing w:val="-3"/>
          <w:w w:val="95"/>
        </w:rPr>
        <w:t xml:space="preserve"> </w:t>
      </w:r>
      <w:r>
        <w:rPr>
          <w:w w:val="95"/>
        </w:rPr>
        <w:t xml:space="preserve">that </w:t>
      </w:r>
      <w:r>
        <w:t>on the wider freight rail network.</w:t>
      </w:r>
    </w:p>
    <w:p w:rsidR="002C1123" w:rsidRDefault="002C1123">
      <w:pPr>
        <w:pStyle w:val="BodyText"/>
        <w:spacing w:before="10"/>
        <w:rPr>
          <w:sz w:val="14"/>
        </w:rPr>
      </w:pPr>
    </w:p>
    <w:p w:rsidR="002C1123" w:rsidRDefault="002060EF">
      <w:pPr>
        <w:pStyle w:val="BodyText"/>
        <w:ind w:left="255" w:right="-58"/>
      </w:pPr>
      <w:r>
        <w:pict>
          <v:shape id="docshape1903" o:spid="_x0000_s5265" type="#_x0000_t202" style="width:239pt;height:45.35pt;mso-left-percent:-10001;mso-top-percent:-10001;mso-position-horizontal:absolute;mso-position-horizontal-relative:char;mso-position-vertical:absolute;mso-position-vertical-relative:line;mso-left-percent:-10001;mso-top-percent:-10001" fillcolor="#e1e0e1" stroked="f">
            <v:textbox inset="0,0,0,0">
              <w:txbxContent>
                <w:p w:rsidR="00F22F94" w:rsidRDefault="00F22F94">
                  <w:pPr>
                    <w:pStyle w:val="BodyText"/>
                    <w:spacing w:before="68" w:line="249" w:lineRule="auto"/>
                    <w:ind w:left="113" w:right="115"/>
                    <w:rPr>
                      <w:color w:val="000000"/>
                    </w:rPr>
                  </w:pPr>
                  <w:r>
                    <w:rPr>
                      <w:b/>
                      <w:color w:val="00AEEF"/>
                    </w:rPr>
                    <w:t>Recommendation</w:t>
                  </w:r>
                  <w:r>
                    <w:rPr>
                      <w:b/>
                      <w:color w:val="00AEEF"/>
                      <w:spacing w:val="40"/>
                    </w:rPr>
                    <w:t xml:space="preserve"> </w:t>
                  </w:r>
                  <w:r>
                    <w:rPr>
                      <w:color w:val="000000"/>
                    </w:rPr>
                    <w:t xml:space="preserve">Infrastructure NSW </w:t>
                  </w:r>
                  <w:r>
                    <w:rPr>
                      <w:color w:val="000000"/>
                      <w:w w:val="95"/>
                    </w:rPr>
                    <w:t>recommends</w:t>
                  </w:r>
                  <w:r>
                    <w:rPr>
                      <w:color w:val="000000"/>
                      <w:spacing w:val="-6"/>
                      <w:w w:val="95"/>
                    </w:rPr>
                    <w:t xml:space="preserve"> </w:t>
                  </w:r>
                  <w:r>
                    <w:rPr>
                      <w:color w:val="000000"/>
                      <w:w w:val="95"/>
                    </w:rPr>
                    <w:t>increased</w:t>
                  </w:r>
                  <w:r>
                    <w:rPr>
                      <w:color w:val="000000"/>
                      <w:spacing w:val="-6"/>
                      <w:w w:val="95"/>
                    </w:rPr>
                    <w:t xml:space="preserve"> </w:t>
                  </w:r>
                  <w:r>
                    <w:rPr>
                      <w:color w:val="000000"/>
                      <w:w w:val="95"/>
                    </w:rPr>
                    <w:t>capacity</w:t>
                  </w:r>
                  <w:r>
                    <w:rPr>
                      <w:color w:val="000000"/>
                      <w:spacing w:val="-6"/>
                      <w:w w:val="95"/>
                    </w:rPr>
                    <w:t xml:space="preserve"> </w:t>
                  </w:r>
                  <w:r>
                    <w:rPr>
                      <w:color w:val="000000"/>
                      <w:w w:val="95"/>
                    </w:rPr>
                    <w:t>in</w:t>
                  </w:r>
                  <w:r>
                    <w:rPr>
                      <w:color w:val="000000"/>
                      <w:spacing w:val="-6"/>
                      <w:w w:val="95"/>
                    </w:rPr>
                    <w:t xml:space="preserve"> </w:t>
                  </w:r>
                  <w:r>
                    <w:rPr>
                      <w:color w:val="000000"/>
                      <w:w w:val="95"/>
                    </w:rPr>
                    <w:t>the</w:t>
                  </w:r>
                  <w:r>
                    <w:rPr>
                      <w:color w:val="000000"/>
                      <w:spacing w:val="-6"/>
                      <w:w w:val="95"/>
                    </w:rPr>
                    <w:t xml:space="preserve"> </w:t>
                  </w:r>
                  <w:r>
                    <w:rPr>
                      <w:color w:val="000000"/>
                      <w:w w:val="95"/>
                    </w:rPr>
                    <w:t>Hunter</w:t>
                  </w:r>
                  <w:r>
                    <w:rPr>
                      <w:color w:val="000000"/>
                      <w:spacing w:val="-6"/>
                      <w:w w:val="95"/>
                    </w:rPr>
                    <w:t xml:space="preserve"> </w:t>
                  </w:r>
                  <w:r>
                    <w:rPr>
                      <w:color w:val="000000"/>
                      <w:w w:val="95"/>
                    </w:rPr>
                    <w:t xml:space="preserve">Valley </w:t>
                  </w:r>
                  <w:r>
                    <w:rPr>
                      <w:color w:val="000000"/>
                    </w:rPr>
                    <w:t>Coal Chain through the Liverpool Ranges.</w:t>
                  </w:r>
                </w:p>
              </w:txbxContent>
            </v:textbox>
            <w10:anchorlock/>
          </v:shape>
        </w:pict>
      </w:r>
    </w:p>
    <w:p w:rsidR="002C1123" w:rsidRDefault="00F22F94">
      <w:pPr>
        <w:pStyle w:val="BodyText"/>
        <w:spacing w:before="90" w:line="249" w:lineRule="auto"/>
        <w:ind w:left="255" w:right="47"/>
      </w:pPr>
      <w:r>
        <w:t>The</w:t>
      </w:r>
      <w:r>
        <w:rPr>
          <w:spacing w:val="-8"/>
        </w:rPr>
        <w:t xml:space="preserve"> </w:t>
      </w:r>
      <w:r>
        <w:t>rapid</w:t>
      </w:r>
      <w:r>
        <w:rPr>
          <w:spacing w:val="-9"/>
        </w:rPr>
        <w:t xml:space="preserve"> </w:t>
      </w:r>
      <w:r>
        <w:t>growth</w:t>
      </w:r>
      <w:r>
        <w:rPr>
          <w:spacing w:val="-8"/>
        </w:rPr>
        <w:t xml:space="preserve"> </w:t>
      </w:r>
      <w:r>
        <w:t>in</w:t>
      </w:r>
      <w:r>
        <w:rPr>
          <w:spacing w:val="-9"/>
        </w:rPr>
        <w:t xml:space="preserve"> </w:t>
      </w:r>
      <w:r>
        <w:t>demand</w:t>
      </w:r>
      <w:r>
        <w:rPr>
          <w:spacing w:val="-8"/>
        </w:rPr>
        <w:t xml:space="preserve"> </w:t>
      </w:r>
      <w:r>
        <w:t>for</w:t>
      </w:r>
      <w:r>
        <w:rPr>
          <w:spacing w:val="-9"/>
        </w:rPr>
        <w:t xml:space="preserve"> </w:t>
      </w:r>
      <w:r>
        <w:t>coal</w:t>
      </w:r>
      <w:r>
        <w:rPr>
          <w:spacing w:val="-8"/>
        </w:rPr>
        <w:t xml:space="preserve"> </w:t>
      </w:r>
      <w:r>
        <w:t>has</w:t>
      </w:r>
      <w:r>
        <w:rPr>
          <w:spacing w:val="-9"/>
        </w:rPr>
        <w:t xml:space="preserve"> </w:t>
      </w:r>
      <w:r>
        <w:t>priced</w:t>
      </w:r>
      <w:r>
        <w:rPr>
          <w:spacing w:val="-8"/>
        </w:rPr>
        <w:t xml:space="preserve"> </w:t>
      </w:r>
      <w:r>
        <w:t xml:space="preserve">grain </w:t>
      </w:r>
      <w:r>
        <w:rPr>
          <w:w w:val="95"/>
        </w:rPr>
        <w:t xml:space="preserve">off rail networks that supply the Port of Newcastle. This </w:t>
      </w:r>
      <w:r>
        <w:t>outcome</w:t>
      </w:r>
      <w:r>
        <w:rPr>
          <w:spacing w:val="-14"/>
        </w:rPr>
        <w:t xml:space="preserve"> </w:t>
      </w:r>
      <w:r>
        <w:t>reduces</w:t>
      </w:r>
      <w:r>
        <w:rPr>
          <w:spacing w:val="-14"/>
        </w:rPr>
        <w:t xml:space="preserve"> </w:t>
      </w:r>
      <w:r>
        <w:t>the</w:t>
      </w:r>
      <w:r>
        <w:rPr>
          <w:spacing w:val="-14"/>
        </w:rPr>
        <w:t xml:space="preserve"> </w:t>
      </w:r>
      <w:r>
        <w:t>competitiveness</w:t>
      </w:r>
      <w:r>
        <w:rPr>
          <w:spacing w:val="-14"/>
        </w:rPr>
        <w:t xml:space="preserve"> </w:t>
      </w:r>
      <w:r>
        <w:t>of</w:t>
      </w:r>
      <w:r>
        <w:rPr>
          <w:spacing w:val="-14"/>
        </w:rPr>
        <w:t xml:space="preserve"> </w:t>
      </w:r>
      <w:r>
        <w:t>grain</w:t>
      </w:r>
      <w:r>
        <w:rPr>
          <w:spacing w:val="-14"/>
        </w:rPr>
        <w:t xml:space="preserve"> </w:t>
      </w:r>
      <w:r>
        <w:t xml:space="preserve">exports </w:t>
      </w:r>
      <w:r>
        <w:rPr>
          <w:w w:val="95"/>
        </w:rPr>
        <w:t xml:space="preserve">through the port due to the higher costs associated with </w:t>
      </w:r>
      <w:r>
        <w:t>road</w:t>
      </w:r>
      <w:r>
        <w:rPr>
          <w:spacing w:val="-11"/>
        </w:rPr>
        <w:t xml:space="preserve"> </w:t>
      </w:r>
      <w:r>
        <w:t>transport.</w:t>
      </w:r>
    </w:p>
    <w:p w:rsidR="002C1123" w:rsidRDefault="00F22F94">
      <w:pPr>
        <w:pStyle w:val="BodyText"/>
        <w:spacing w:before="106" w:line="249" w:lineRule="auto"/>
        <w:ind w:left="212" w:right="811"/>
      </w:pPr>
      <w:r>
        <w:br w:type="column"/>
      </w:r>
      <w:r>
        <w:t>a</w:t>
      </w:r>
      <w:r>
        <w:rPr>
          <w:spacing w:val="-9"/>
        </w:rPr>
        <w:t xml:space="preserve"> </w:t>
      </w:r>
      <w:r>
        <w:t>comprehensive</w:t>
      </w:r>
      <w:r>
        <w:rPr>
          <w:spacing w:val="-9"/>
        </w:rPr>
        <w:t xml:space="preserve"> </w:t>
      </w:r>
      <w:r>
        <w:t>review</w:t>
      </w:r>
      <w:r>
        <w:rPr>
          <w:spacing w:val="-9"/>
        </w:rPr>
        <w:t xml:space="preserve"> </w:t>
      </w:r>
      <w:r>
        <w:t>by</w:t>
      </w:r>
      <w:r>
        <w:rPr>
          <w:spacing w:val="-9"/>
        </w:rPr>
        <w:t xml:space="preserve"> </w:t>
      </w:r>
      <w:r>
        <w:t>the</w:t>
      </w:r>
      <w:r>
        <w:rPr>
          <w:spacing w:val="-9"/>
        </w:rPr>
        <w:t xml:space="preserve"> </w:t>
      </w:r>
      <w:r>
        <w:t>Commonwealth Government.</w:t>
      </w:r>
      <w:r>
        <w:rPr>
          <w:spacing w:val="-14"/>
        </w:rPr>
        <w:t xml:space="preserve"> </w:t>
      </w:r>
      <w:r>
        <w:t>The</w:t>
      </w:r>
      <w:r>
        <w:rPr>
          <w:spacing w:val="-13"/>
        </w:rPr>
        <w:t xml:space="preserve"> </w:t>
      </w:r>
      <w:r>
        <w:t>previous</w:t>
      </w:r>
      <w:r>
        <w:rPr>
          <w:spacing w:val="-14"/>
        </w:rPr>
        <w:t xml:space="preserve"> </w:t>
      </w:r>
      <w:r>
        <w:t>NSW</w:t>
      </w:r>
      <w:r>
        <w:rPr>
          <w:spacing w:val="-13"/>
        </w:rPr>
        <w:t xml:space="preserve"> </w:t>
      </w:r>
      <w:r>
        <w:t xml:space="preserve">Government </w:t>
      </w:r>
      <w:r>
        <w:rPr>
          <w:w w:val="95"/>
        </w:rPr>
        <w:t>committed</w:t>
      </w:r>
      <w:r>
        <w:rPr>
          <w:spacing w:val="-3"/>
          <w:w w:val="95"/>
        </w:rPr>
        <w:t xml:space="preserve"> </w:t>
      </w:r>
      <w:r>
        <w:rPr>
          <w:w w:val="95"/>
        </w:rPr>
        <w:t>to</w:t>
      </w:r>
      <w:r>
        <w:rPr>
          <w:spacing w:val="-3"/>
          <w:w w:val="95"/>
        </w:rPr>
        <w:t xml:space="preserve"> </w:t>
      </w:r>
      <w:r>
        <w:rPr>
          <w:w w:val="95"/>
        </w:rPr>
        <w:t>stabilise</w:t>
      </w:r>
      <w:r>
        <w:rPr>
          <w:spacing w:val="-3"/>
          <w:w w:val="95"/>
        </w:rPr>
        <w:t xml:space="preserve"> </w:t>
      </w:r>
      <w:r>
        <w:rPr>
          <w:w w:val="95"/>
        </w:rPr>
        <w:t>grain</w:t>
      </w:r>
      <w:r>
        <w:rPr>
          <w:spacing w:val="-3"/>
          <w:w w:val="95"/>
        </w:rPr>
        <w:t xml:space="preserve"> </w:t>
      </w:r>
      <w:r>
        <w:rPr>
          <w:w w:val="95"/>
        </w:rPr>
        <w:t>freight</w:t>
      </w:r>
      <w:r>
        <w:rPr>
          <w:spacing w:val="-3"/>
          <w:w w:val="95"/>
        </w:rPr>
        <w:t xml:space="preserve"> </w:t>
      </w:r>
      <w:r>
        <w:rPr>
          <w:w w:val="95"/>
        </w:rPr>
        <w:t>lines,</w:t>
      </w:r>
      <w:r>
        <w:rPr>
          <w:spacing w:val="-3"/>
          <w:w w:val="95"/>
        </w:rPr>
        <w:t xml:space="preserve"> </w:t>
      </w:r>
      <w:r>
        <w:rPr>
          <w:w w:val="95"/>
        </w:rPr>
        <w:t>a</w:t>
      </w:r>
      <w:r>
        <w:rPr>
          <w:spacing w:val="-3"/>
          <w:w w:val="95"/>
        </w:rPr>
        <w:t xml:space="preserve"> </w:t>
      </w:r>
      <w:r>
        <w:rPr>
          <w:w w:val="95"/>
        </w:rPr>
        <w:t>process</w:t>
      </w:r>
      <w:r>
        <w:rPr>
          <w:spacing w:val="-3"/>
          <w:w w:val="95"/>
        </w:rPr>
        <w:t xml:space="preserve"> </w:t>
      </w:r>
      <w:r>
        <w:rPr>
          <w:w w:val="95"/>
        </w:rPr>
        <w:t xml:space="preserve">that </w:t>
      </w:r>
      <w:r>
        <w:t>is currently underway</w:t>
      </w:r>
      <w:r>
        <w:rPr>
          <w:position w:val="7"/>
          <w:sz w:val="11"/>
        </w:rPr>
        <w:t>22</w:t>
      </w:r>
      <w:r>
        <w:t>.</w:t>
      </w:r>
    </w:p>
    <w:p w:rsidR="002C1123" w:rsidRDefault="00F22F94">
      <w:pPr>
        <w:pStyle w:val="Heading6"/>
        <w:numPr>
          <w:ilvl w:val="2"/>
          <w:numId w:val="67"/>
        </w:numPr>
        <w:tabs>
          <w:tab w:val="left" w:pos="808"/>
        </w:tabs>
        <w:spacing w:before="145"/>
        <w:ind w:left="807" w:hanging="596"/>
        <w:jc w:val="both"/>
      </w:pPr>
      <w:r>
        <w:rPr>
          <w:color w:val="00AEEF"/>
          <w:spacing w:val="-2"/>
        </w:rPr>
        <w:t>Access</w:t>
      </w:r>
      <w:r>
        <w:rPr>
          <w:color w:val="00AEEF"/>
          <w:spacing w:val="-8"/>
        </w:rPr>
        <w:t xml:space="preserve"> </w:t>
      </w:r>
      <w:r>
        <w:rPr>
          <w:color w:val="00AEEF"/>
          <w:spacing w:val="-2"/>
        </w:rPr>
        <w:t>to</w:t>
      </w:r>
      <w:r>
        <w:rPr>
          <w:color w:val="00AEEF"/>
          <w:spacing w:val="-7"/>
        </w:rPr>
        <w:t xml:space="preserve"> </w:t>
      </w:r>
      <w:r>
        <w:rPr>
          <w:color w:val="00AEEF"/>
          <w:spacing w:val="-2"/>
        </w:rPr>
        <w:t>Port</w:t>
      </w:r>
      <w:r>
        <w:rPr>
          <w:color w:val="00AEEF"/>
          <w:spacing w:val="-7"/>
        </w:rPr>
        <w:t xml:space="preserve"> </w:t>
      </w:r>
      <w:r>
        <w:rPr>
          <w:color w:val="00AEEF"/>
          <w:spacing w:val="-2"/>
        </w:rPr>
        <w:t>Kembla</w:t>
      </w:r>
    </w:p>
    <w:p w:rsidR="002C1123" w:rsidRDefault="00F22F94">
      <w:pPr>
        <w:pStyle w:val="BodyText"/>
        <w:spacing w:before="95" w:line="249" w:lineRule="auto"/>
        <w:ind w:left="212" w:right="764"/>
        <w:jc w:val="both"/>
      </w:pPr>
      <w:r>
        <w:rPr>
          <w:w w:val="95"/>
        </w:rPr>
        <w:t>Exports</w:t>
      </w:r>
      <w:r>
        <w:rPr>
          <w:spacing w:val="-2"/>
          <w:w w:val="95"/>
        </w:rPr>
        <w:t xml:space="preserve"> </w:t>
      </w:r>
      <w:r>
        <w:rPr>
          <w:w w:val="95"/>
        </w:rPr>
        <w:t>through</w:t>
      </w:r>
      <w:r>
        <w:rPr>
          <w:spacing w:val="-2"/>
          <w:w w:val="95"/>
        </w:rPr>
        <w:t xml:space="preserve"> </w:t>
      </w:r>
      <w:r>
        <w:rPr>
          <w:w w:val="95"/>
        </w:rPr>
        <w:t>Port</w:t>
      </w:r>
      <w:r>
        <w:rPr>
          <w:spacing w:val="-2"/>
          <w:w w:val="95"/>
        </w:rPr>
        <w:t xml:space="preserve"> </w:t>
      </w:r>
      <w:r>
        <w:rPr>
          <w:w w:val="95"/>
        </w:rPr>
        <w:t>Kembla</w:t>
      </w:r>
      <w:r>
        <w:rPr>
          <w:spacing w:val="-2"/>
          <w:w w:val="95"/>
        </w:rPr>
        <w:t xml:space="preserve"> </w:t>
      </w:r>
      <w:r>
        <w:rPr>
          <w:w w:val="95"/>
        </w:rPr>
        <w:t>include</w:t>
      </w:r>
      <w:r>
        <w:rPr>
          <w:spacing w:val="-2"/>
          <w:w w:val="95"/>
        </w:rPr>
        <w:t xml:space="preserve"> </w:t>
      </w:r>
      <w:r>
        <w:rPr>
          <w:w w:val="95"/>
        </w:rPr>
        <w:t>coal,</w:t>
      </w:r>
      <w:r>
        <w:rPr>
          <w:spacing w:val="-2"/>
          <w:w w:val="95"/>
        </w:rPr>
        <w:t xml:space="preserve"> </w:t>
      </w:r>
      <w:r>
        <w:rPr>
          <w:w w:val="95"/>
        </w:rPr>
        <w:t>iron</w:t>
      </w:r>
      <w:r>
        <w:rPr>
          <w:spacing w:val="-2"/>
          <w:w w:val="95"/>
        </w:rPr>
        <w:t xml:space="preserve"> </w:t>
      </w:r>
      <w:r>
        <w:rPr>
          <w:w w:val="95"/>
        </w:rPr>
        <w:t>ore,</w:t>
      </w:r>
      <w:r>
        <w:rPr>
          <w:spacing w:val="-2"/>
          <w:w w:val="95"/>
        </w:rPr>
        <w:t xml:space="preserve"> </w:t>
      </w:r>
      <w:r>
        <w:rPr>
          <w:w w:val="95"/>
        </w:rPr>
        <w:t>and, to</w:t>
      </w:r>
      <w:r>
        <w:rPr>
          <w:spacing w:val="-8"/>
          <w:w w:val="95"/>
        </w:rPr>
        <w:t xml:space="preserve"> </w:t>
      </w:r>
      <w:r>
        <w:rPr>
          <w:w w:val="95"/>
        </w:rPr>
        <w:t>a</w:t>
      </w:r>
      <w:r>
        <w:rPr>
          <w:spacing w:val="-8"/>
          <w:w w:val="95"/>
        </w:rPr>
        <w:t xml:space="preserve"> </w:t>
      </w:r>
      <w:r>
        <w:rPr>
          <w:w w:val="95"/>
        </w:rPr>
        <w:t>less</w:t>
      </w:r>
      <w:r>
        <w:rPr>
          <w:spacing w:val="-8"/>
          <w:w w:val="95"/>
        </w:rPr>
        <w:t xml:space="preserve"> </w:t>
      </w:r>
      <w:r>
        <w:rPr>
          <w:w w:val="95"/>
        </w:rPr>
        <w:t>extent,</w:t>
      </w:r>
      <w:r>
        <w:rPr>
          <w:spacing w:val="-8"/>
          <w:w w:val="95"/>
        </w:rPr>
        <w:t xml:space="preserve"> </w:t>
      </w:r>
      <w:r>
        <w:rPr>
          <w:w w:val="95"/>
        </w:rPr>
        <w:t>minerals</w:t>
      </w:r>
      <w:r>
        <w:rPr>
          <w:spacing w:val="-8"/>
          <w:w w:val="95"/>
        </w:rPr>
        <w:t xml:space="preserve"> </w:t>
      </w:r>
      <w:r>
        <w:rPr>
          <w:w w:val="95"/>
        </w:rPr>
        <w:t>and</w:t>
      </w:r>
      <w:r>
        <w:rPr>
          <w:spacing w:val="-8"/>
          <w:w w:val="95"/>
        </w:rPr>
        <w:t xml:space="preserve"> </w:t>
      </w:r>
      <w:r>
        <w:rPr>
          <w:w w:val="95"/>
        </w:rPr>
        <w:t>grains.</w:t>
      </w:r>
      <w:r>
        <w:rPr>
          <w:spacing w:val="-8"/>
          <w:w w:val="95"/>
        </w:rPr>
        <w:t xml:space="preserve"> </w:t>
      </w:r>
      <w:r>
        <w:rPr>
          <w:w w:val="95"/>
        </w:rPr>
        <w:t>Port</w:t>
      </w:r>
      <w:r>
        <w:rPr>
          <w:spacing w:val="-8"/>
          <w:w w:val="95"/>
        </w:rPr>
        <w:t xml:space="preserve"> </w:t>
      </w:r>
      <w:r>
        <w:rPr>
          <w:w w:val="95"/>
        </w:rPr>
        <w:t>Kembla</w:t>
      </w:r>
      <w:r>
        <w:rPr>
          <w:spacing w:val="-8"/>
          <w:w w:val="95"/>
        </w:rPr>
        <w:t xml:space="preserve"> </w:t>
      </w:r>
      <w:r>
        <w:rPr>
          <w:w w:val="95"/>
        </w:rPr>
        <w:t>is</w:t>
      </w:r>
      <w:r>
        <w:rPr>
          <w:spacing w:val="-8"/>
          <w:w w:val="95"/>
        </w:rPr>
        <w:t xml:space="preserve"> </w:t>
      </w:r>
      <w:r>
        <w:rPr>
          <w:w w:val="95"/>
        </w:rPr>
        <w:t xml:space="preserve">also </w:t>
      </w:r>
      <w:r>
        <w:t>the NSW port for vehicle imports.</w:t>
      </w:r>
    </w:p>
    <w:p w:rsidR="002C1123" w:rsidRDefault="00F22F94">
      <w:pPr>
        <w:pStyle w:val="BodyText"/>
        <w:spacing w:before="144" w:line="249" w:lineRule="auto"/>
        <w:ind w:left="212" w:right="695"/>
      </w:pPr>
      <w:r>
        <w:rPr>
          <w:w w:val="95"/>
        </w:rPr>
        <w:t xml:space="preserve">Port Kembla Ports Corporation forecasts that volumes </w:t>
      </w:r>
      <w:r>
        <w:t>through</w:t>
      </w:r>
      <w:r>
        <w:rPr>
          <w:spacing w:val="-2"/>
        </w:rPr>
        <w:t xml:space="preserve"> </w:t>
      </w:r>
      <w:r>
        <w:t>the</w:t>
      </w:r>
      <w:r>
        <w:rPr>
          <w:spacing w:val="-2"/>
        </w:rPr>
        <w:t xml:space="preserve"> </w:t>
      </w:r>
      <w:r>
        <w:t>port</w:t>
      </w:r>
      <w:r>
        <w:rPr>
          <w:spacing w:val="-2"/>
        </w:rPr>
        <w:t xml:space="preserve"> </w:t>
      </w:r>
      <w:r>
        <w:t>could</w:t>
      </w:r>
      <w:r>
        <w:rPr>
          <w:spacing w:val="-2"/>
        </w:rPr>
        <w:t xml:space="preserve"> </w:t>
      </w:r>
      <w:r>
        <w:t>grow</w:t>
      </w:r>
      <w:r>
        <w:rPr>
          <w:spacing w:val="-2"/>
        </w:rPr>
        <w:t xml:space="preserve"> </w:t>
      </w:r>
      <w:r>
        <w:t>from</w:t>
      </w:r>
      <w:r>
        <w:rPr>
          <w:spacing w:val="-3"/>
        </w:rPr>
        <w:t xml:space="preserve"> </w:t>
      </w:r>
      <w:r>
        <w:t>the</w:t>
      </w:r>
      <w:r>
        <w:rPr>
          <w:spacing w:val="-2"/>
        </w:rPr>
        <w:t xml:space="preserve"> </w:t>
      </w:r>
      <w:r>
        <w:t>current</w:t>
      </w:r>
      <w:r>
        <w:rPr>
          <w:spacing w:val="-2"/>
        </w:rPr>
        <w:t xml:space="preserve"> </w:t>
      </w:r>
      <w:r>
        <w:t>33</w:t>
      </w:r>
      <w:r>
        <w:rPr>
          <w:spacing w:val="-2"/>
        </w:rPr>
        <w:t xml:space="preserve"> </w:t>
      </w:r>
      <w:r>
        <w:t xml:space="preserve">to </w:t>
      </w:r>
      <w:r>
        <w:rPr>
          <w:w w:val="95"/>
        </w:rPr>
        <w:t>between</w:t>
      </w:r>
      <w:r>
        <w:rPr>
          <w:spacing w:val="-1"/>
          <w:w w:val="95"/>
        </w:rPr>
        <w:t xml:space="preserve"> </w:t>
      </w:r>
      <w:r>
        <w:rPr>
          <w:w w:val="95"/>
        </w:rPr>
        <w:t>50–65</w:t>
      </w:r>
      <w:r>
        <w:rPr>
          <w:spacing w:val="-1"/>
          <w:w w:val="95"/>
        </w:rPr>
        <w:t xml:space="preserve"> </w:t>
      </w:r>
      <w:r>
        <w:rPr>
          <w:w w:val="95"/>
        </w:rPr>
        <w:t>million</w:t>
      </w:r>
      <w:r>
        <w:rPr>
          <w:spacing w:val="-1"/>
          <w:w w:val="95"/>
        </w:rPr>
        <w:t xml:space="preserve"> </w:t>
      </w:r>
      <w:r>
        <w:rPr>
          <w:w w:val="95"/>
        </w:rPr>
        <w:t>tonnes</w:t>
      </w:r>
      <w:r>
        <w:rPr>
          <w:spacing w:val="-1"/>
          <w:w w:val="95"/>
        </w:rPr>
        <w:t xml:space="preserve"> </w:t>
      </w:r>
      <w:r>
        <w:rPr>
          <w:w w:val="95"/>
        </w:rPr>
        <w:t>per</w:t>
      </w:r>
      <w:r>
        <w:rPr>
          <w:spacing w:val="-1"/>
          <w:w w:val="95"/>
        </w:rPr>
        <w:t xml:space="preserve"> </w:t>
      </w:r>
      <w:r>
        <w:rPr>
          <w:w w:val="95"/>
        </w:rPr>
        <w:t>annum</w:t>
      </w:r>
      <w:r>
        <w:rPr>
          <w:spacing w:val="-2"/>
          <w:w w:val="95"/>
        </w:rPr>
        <w:t xml:space="preserve"> </w:t>
      </w:r>
      <w:r>
        <w:rPr>
          <w:w w:val="95"/>
        </w:rPr>
        <w:t>over</w:t>
      </w:r>
      <w:r>
        <w:rPr>
          <w:spacing w:val="-1"/>
          <w:w w:val="95"/>
        </w:rPr>
        <w:t xml:space="preserve"> </w:t>
      </w:r>
      <w:r>
        <w:rPr>
          <w:w w:val="95"/>
        </w:rPr>
        <w:t>the</w:t>
      </w:r>
      <w:r>
        <w:rPr>
          <w:spacing w:val="-1"/>
          <w:w w:val="95"/>
        </w:rPr>
        <w:t xml:space="preserve"> </w:t>
      </w:r>
      <w:r>
        <w:rPr>
          <w:w w:val="95"/>
        </w:rPr>
        <w:t xml:space="preserve">next </w:t>
      </w:r>
      <w:r>
        <w:t>20</w:t>
      </w:r>
      <w:r>
        <w:rPr>
          <w:spacing w:val="-7"/>
        </w:rPr>
        <w:t xml:space="preserve"> </w:t>
      </w:r>
      <w:r>
        <w:t>years</w:t>
      </w:r>
      <w:r>
        <w:rPr>
          <w:position w:val="7"/>
          <w:sz w:val="11"/>
        </w:rPr>
        <w:t>23</w:t>
      </w:r>
      <w:r>
        <w:t>,</w:t>
      </w:r>
      <w:r>
        <w:rPr>
          <w:spacing w:val="-7"/>
        </w:rPr>
        <w:t xml:space="preserve"> </w:t>
      </w:r>
      <w:r>
        <w:t>depending</w:t>
      </w:r>
      <w:r>
        <w:rPr>
          <w:spacing w:val="-7"/>
        </w:rPr>
        <w:t xml:space="preserve"> </w:t>
      </w:r>
      <w:r>
        <w:t>on</w:t>
      </w:r>
      <w:r>
        <w:rPr>
          <w:spacing w:val="-7"/>
        </w:rPr>
        <w:t xml:space="preserve"> </w:t>
      </w:r>
      <w:r>
        <w:t>the</w:t>
      </w:r>
      <w:r>
        <w:rPr>
          <w:spacing w:val="-7"/>
        </w:rPr>
        <w:t xml:space="preserve"> </w:t>
      </w:r>
      <w:r>
        <w:t>Port’s</w:t>
      </w:r>
      <w:r>
        <w:rPr>
          <w:spacing w:val="-7"/>
        </w:rPr>
        <w:t xml:space="preserve"> </w:t>
      </w:r>
      <w:r>
        <w:t>ability</w:t>
      </w:r>
      <w:r>
        <w:rPr>
          <w:spacing w:val="-7"/>
        </w:rPr>
        <w:t xml:space="preserve"> </w:t>
      </w:r>
      <w:r>
        <w:t>to</w:t>
      </w:r>
      <w:r>
        <w:rPr>
          <w:spacing w:val="-7"/>
        </w:rPr>
        <w:t xml:space="preserve"> </w:t>
      </w:r>
      <w:r>
        <w:t>capture opportunities in the bulk export market.</w:t>
      </w:r>
    </w:p>
    <w:p w:rsidR="002C1123" w:rsidRDefault="00F22F94">
      <w:pPr>
        <w:pStyle w:val="BodyText"/>
        <w:spacing w:before="146" w:line="249" w:lineRule="auto"/>
        <w:ind w:left="212" w:right="1021"/>
      </w:pPr>
      <w:r>
        <w:rPr>
          <w:w w:val="95"/>
        </w:rPr>
        <w:t>The</w:t>
      </w:r>
      <w:r>
        <w:rPr>
          <w:spacing w:val="-8"/>
          <w:w w:val="95"/>
        </w:rPr>
        <w:t xml:space="preserve"> </w:t>
      </w:r>
      <w:r>
        <w:rPr>
          <w:w w:val="95"/>
        </w:rPr>
        <w:t>Government</w:t>
      </w:r>
      <w:r>
        <w:rPr>
          <w:spacing w:val="-8"/>
          <w:w w:val="95"/>
        </w:rPr>
        <w:t xml:space="preserve"> </w:t>
      </w:r>
      <w:r>
        <w:rPr>
          <w:w w:val="95"/>
        </w:rPr>
        <w:t>has</w:t>
      </w:r>
      <w:r>
        <w:rPr>
          <w:spacing w:val="-8"/>
          <w:w w:val="95"/>
        </w:rPr>
        <w:t xml:space="preserve"> </w:t>
      </w:r>
      <w:r>
        <w:rPr>
          <w:w w:val="95"/>
        </w:rPr>
        <w:t>also</w:t>
      </w:r>
      <w:r>
        <w:rPr>
          <w:spacing w:val="-8"/>
          <w:w w:val="95"/>
        </w:rPr>
        <w:t xml:space="preserve"> </w:t>
      </w:r>
      <w:r>
        <w:rPr>
          <w:w w:val="95"/>
        </w:rPr>
        <w:t>identified</w:t>
      </w:r>
      <w:r>
        <w:rPr>
          <w:spacing w:val="-8"/>
          <w:w w:val="95"/>
        </w:rPr>
        <w:t xml:space="preserve"> </w:t>
      </w:r>
      <w:r>
        <w:rPr>
          <w:w w:val="95"/>
        </w:rPr>
        <w:t>Port</w:t>
      </w:r>
      <w:r>
        <w:rPr>
          <w:spacing w:val="-8"/>
          <w:w w:val="95"/>
        </w:rPr>
        <w:t xml:space="preserve"> </w:t>
      </w:r>
      <w:r>
        <w:rPr>
          <w:w w:val="95"/>
        </w:rPr>
        <w:t>Kembla</w:t>
      </w:r>
      <w:r>
        <w:rPr>
          <w:spacing w:val="-8"/>
          <w:w w:val="95"/>
        </w:rPr>
        <w:t xml:space="preserve"> </w:t>
      </w:r>
      <w:r>
        <w:rPr>
          <w:w w:val="95"/>
        </w:rPr>
        <w:t>as</w:t>
      </w:r>
      <w:r>
        <w:rPr>
          <w:spacing w:val="-8"/>
          <w:w w:val="95"/>
        </w:rPr>
        <w:t xml:space="preserve"> </w:t>
      </w:r>
      <w:r>
        <w:rPr>
          <w:w w:val="95"/>
        </w:rPr>
        <w:t xml:space="preserve">a </w:t>
      </w:r>
      <w:r>
        <w:t>supplementary</w:t>
      </w:r>
      <w:r>
        <w:rPr>
          <w:spacing w:val="-14"/>
        </w:rPr>
        <w:t xml:space="preserve"> </w:t>
      </w:r>
      <w:r>
        <w:t>container</w:t>
      </w:r>
      <w:r>
        <w:rPr>
          <w:spacing w:val="-14"/>
        </w:rPr>
        <w:t xml:space="preserve"> </w:t>
      </w:r>
      <w:r>
        <w:t>port</w:t>
      </w:r>
      <w:r>
        <w:rPr>
          <w:spacing w:val="-14"/>
        </w:rPr>
        <w:t xml:space="preserve"> </w:t>
      </w:r>
      <w:r>
        <w:t>facility</w:t>
      </w:r>
      <w:r>
        <w:rPr>
          <w:spacing w:val="-14"/>
        </w:rPr>
        <w:t xml:space="preserve"> </w:t>
      </w:r>
      <w:r>
        <w:t>for</w:t>
      </w:r>
      <w:r>
        <w:rPr>
          <w:spacing w:val="-14"/>
        </w:rPr>
        <w:t xml:space="preserve"> </w:t>
      </w:r>
      <w:r>
        <w:t>NSW,</w:t>
      </w:r>
      <w:r>
        <w:rPr>
          <w:spacing w:val="-14"/>
        </w:rPr>
        <w:t xml:space="preserve"> </w:t>
      </w:r>
      <w:r>
        <w:t>once capacity</w:t>
      </w:r>
      <w:r>
        <w:rPr>
          <w:spacing w:val="-11"/>
        </w:rPr>
        <w:t xml:space="preserve"> </w:t>
      </w:r>
      <w:r>
        <w:t>at</w:t>
      </w:r>
      <w:r>
        <w:rPr>
          <w:spacing w:val="-11"/>
        </w:rPr>
        <w:t xml:space="preserve"> </w:t>
      </w:r>
      <w:r>
        <w:t>Port</w:t>
      </w:r>
      <w:r>
        <w:rPr>
          <w:spacing w:val="-11"/>
        </w:rPr>
        <w:t xml:space="preserve"> </w:t>
      </w:r>
      <w:r>
        <w:t>Botany</w:t>
      </w:r>
      <w:r>
        <w:rPr>
          <w:spacing w:val="-11"/>
        </w:rPr>
        <w:t xml:space="preserve"> </w:t>
      </w:r>
      <w:r>
        <w:t>is</w:t>
      </w:r>
      <w:r>
        <w:rPr>
          <w:spacing w:val="-11"/>
        </w:rPr>
        <w:t xml:space="preserve"> </w:t>
      </w:r>
      <w:r>
        <w:t>exhausted</w:t>
      </w:r>
      <w:r>
        <w:rPr>
          <w:spacing w:val="-11"/>
        </w:rPr>
        <w:t xml:space="preserve"> </w:t>
      </w:r>
      <w:r>
        <w:t>(discussed</w:t>
      </w:r>
      <w:r>
        <w:rPr>
          <w:spacing w:val="-11"/>
        </w:rPr>
        <w:t xml:space="preserve"> </w:t>
      </w:r>
      <w:r>
        <w:t>in Section</w:t>
      </w:r>
      <w:r>
        <w:rPr>
          <w:spacing w:val="-11"/>
        </w:rPr>
        <w:t xml:space="preserve"> </w:t>
      </w:r>
      <w:r>
        <w:t>9).</w:t>
      </w:r>
    </w:p>
    <w:p w:rsidR="002C1123" w:rsidRDefault="00F22F94">
      <w:pPr>
        <w:pStyle w:val="BodyText"/>
        <w:spacing w:before="145" w:line="249" w:lineRule="auto"/>
        <w:ind w:left="212" w:right="811"/>
      </w:pPr>
      <w:r>
        <w:rPr>
          <w:w w:val="95"/>
        </w:rPr>
        <w:t>Port</w:t>
      </w:r>
      <w:r>
        <w:rPr>
          <w:spacing w:val="-4"/>
          <w:w w:val="95"/>
        </w:rPr>
        <w:t xml:space="preserve"> </w:t>
      </w:r>
      <w:r>
        <w:rPr>
          <w:w w:val="95"/>
        </w:rPr>
        <w:t>Kembla</w:t>
      </w:r>
      <w:r>
        <w:rPr>
          <w:spacing w:val="-4"/>
          <w:w w:val="95"/>
        </w:rPr>
        <w:t xml:space="preserve"> </w:t>
      </w:r>
      <w:r>
        <w:rPr>
          <w:w w:val="95"/>
        </w:rPr>
        <w:t>has</w:t>
      </w:r>
      <w:r>
        <w:rPr>
          <w:spacing w:val="-4"/>
          <w:w w:val="95"/>
        </w:rPr>
        <w:t xml:space="preserve"> </w:t>
      </w:r>
      <w:r>
        <w:rPr>
          <w:w w:val="95"/>
        </w:rPr>
        <w:t>plans</w:t>
      </w:r>
      <w:r>
        <w:rPr>
          <w:spacing w:val="-4"/>
          <w:w w:val="95"/>
        </w:rPr>
        <w:t xml:space="preserve"> </w:t>
      </w:r>
      <w:r>
        <w:rPr>
          <w:w w:val="95"/>
        </w:rPr>
        <w:t>in</w:t>
      </w:r>
      <w:r>
        <w:rPr>
          <w:spacing w:val="-4"/>
          <w:w w:val="95"/>
        </w:rPr>
        <w:t xml:space="preserve"> </w:t>
      </w:r>
      <w:r>
        <w:rPr>
          <w:w w:val="95"/>
        </w:rPr>
        <w:t>place</w:t>
      </w:r>
      <w:r>
        <w:rPr>
          <w:spacing w:val="-4"/>
          <w:w w:val="95"/>
        </w:rPr>
        <w:t xml:space="preserve"> </w:t>
      </w:r>
      <w:r>
        <w:rPr>
          <w:w w:val="95"/>
        </w:rPr>
        <w:t>to</w:t>
      </w:r>
      <w:r>
        <w:rPr>
          <w:spacing w:val="-4"/>
          <w:w w:val="95"/>
        </w:rPr>
        <w:t xml:space="preserve"> </w:t>
      </w:r>
      <w:r>
        <w:rPr>
          <w:w w:val="95"/>
        </w:rPr>
        <w:t>provide</w:t>
      </w:r>
      <w:r>
        <w:rPr>
          <w:spacing w:val="-4"/>
          <w:w w:val="95"/>
        </w:rPr>
        <w:t xml:space="preserve"> </w:t>
      </w:r>
      <w:r>
        <w:rPr>
          <w:w w:val="95"/>
        </w:rPr>
        <w:t>the</w:t>
      </w:r>
      <w:r>
        <w:rPr>
          <w:spacing w:val="-4"/>
          <w:w w:val="95"/>
        </w:rPr>
        <w:t xml:space="preserve"> </w:t>
      </w:r>
      <w:r>
        <w:rPr>
          <w:w w:val="95"/>
        </w:rPr>
        <w:t xml:space="preserve">portside </w:t>
      </w:r>
      <w:r>
        <w:t>capacity</w:t>
      </w:r>
      <w:r>
        <w:rPr>
          <w:spacing w:val="-10"/>
        </w:rPr>
        <w:t xml:space="preserve"> </w:t>
      </w:r>
      <w:r>
        <w:t>that</w:t>
      </w:r>
      <w:r>
        <w:rPr>
          <w:spacing w:val="-10"/>
        </w:rPr>
        <w:t xml:space="preserve"> </w:t>
      </w:r>
      <w:r>
        <w:t>is</w:t>
      </w:r>
      <w:r>
        <w:rPr>
          <w:spacing w:val="-10"/>
        </w:rPr>
        <w:t xml:space="preserve"> </w:t>
      </w:r>
      <w:r>
        <w:t>forecast</w:t>
      </w:r>
      <w:r>
        <w:rPr>
          <w:spacing w:val="-10"/>
        </w:rPr>
        <w:t xml:space="preserve"> </w:t>
      </w:r>
      <w:r>
        <w:t>to</w:t>
      </w:r>
      <w:r>
        <w:rPr>
          <w:spacing w:val="-10"/>
        </w:rPr>
        <w:t xml:space="preserve"> </w:t>
      </w:r>
      <w:r>
        <w:t>be</w:t>
      </w:r>
      <w:r>
        <w:rPr>
          <w:spacing w:val="-10"/>
        </w:rPr>
        <w:t xml:space="preserve"> </w:t>
      </w:r>
      <w:r>
        <w:t>required</w:t>
      </w:r>
      <w:r>
        <w:rPr>
          <w:spacing w:val="-10"/>
        </w:rPr>
        <w:t xml:space="preserve"> </w:t>
      </w:r>
      <w:r>
        <w:t>over</w:t>
      </w:r>
      <w:r>
        <w:rPr>
          <w:spacing w:val="-10"/>
        </w:rPr>
        <w:t xml:space="preserve"> </w:t>
      </w:r>
      <w:r>
        <w:t>the</w:t>
      </w:r>
      <w:r>
        <w:rPr>
          <w:spacing w:val="-10"/>
        </w:rPr>
        <w:t xml:space="preserve"> </w:t>
      </w:r>
      <w:r>
        <w:t>next 20</w:t>
      </w:r>
      <w:r>
        <w:rPr>
          <w:spacing w:val="-11"/>
        </w:rPr>
        <w:t xml:space="preserve"> </w:t>
      </w:r>
      <w:r>
        <w:t>years.</w:t>
      </w:r>
    </w:p>
    <w:p w:rsidR="002C1123" w:rsidRDefault="00F22F94">
      <w:pPr>
        <w:pStyle w:val="BodyText"/>
        <w:spacing w:before="144" w:line="249" w:lineRule="auto"/>
        <w:ind w:left="212" w:right="695"/>
      </w:pPr>
      <w:r>
        <w:rPr>
          <w:w w:val="95"/>
        </w:rPr>
        <w:t>This</w:t>
      </w:r>
      <w:r>
        <w:rPr>
          <w:spacing w:val="-5"/>
          <w:w w:val="95"/>
        </w:rPr>
        <w:t xml:space="preserve"> </w:t>
      </w:r>
      <w:r>
        <w:rPr>
          <w:w w:val="95"/>
        </w:rPr>
        <w:t>will</w:t>
      </w:r>
      <w:r>
        <w:rPr>
          <w:spacing w:val="-5"/>
          <w:w w:val="95"/>
        </w:rPr>
        <w:t xml:space="preserve"> </w:t>
      </w:r>
      <w:r>
        <w:rPr>
          <w:w w:val="95"/>
        </w:rPr>
        <w:t>include</w:t>
      </w:r>
      <w:r>
        <w:rPr>
          <w:spacing w:val="-5"/>
          <w:w w:val="95"/>
        </w:rPr>
        <w:t xml:space="preserve"> </w:t>
      </w:r>
      <w:r>
        <w:rPr>
          <w:w w:val="95"/>
        </w:rPr>
        <w:t>expansion</w:t>
      </w:r>
      <w:r>
        <w:rPr>
          <w:spacing w:val="-5"/>
          <w:w w:val="95"/>
        </w:rPr>
        <w:t xml:space="preserve"> </w:t>
      </w:r>
      <w:r>
        <w:rPr>
          <w:w w:val="95"/>
        </w:rPr>
        <w:t>of</w:t>
      </w:r>
      <w:r>
        <w:rPr>
          <w:spacing w:val="-5"/>
          <w:w w:val="95"/>
        </w:rPr>
        <w:t xml:space="preserve"> </w:t>
      </w:r>
      <w:r>
        <w:rPr>
          <w:w w:val="95"/>
        </w:rPr>
        <w:t>capacity</w:t>
      </w:r>
      <w:r>
        <w:rPr>
          <w:spacing w:val="-5"/>
          <w:w w:val="95"/>
        </w:rPr>
        <w:t xml:space="preserve"> </w:t>
      </w:r>
      <w:r>
        <w:rPr>
          <w:w w:val="95"/>
        </w:rPr>
        <w:t>through</w:t>
      </w:r>
      <w:r>
        <w:rPr>
          <w:spacing w:val="-5"/>
          <w:w w:val="95"/>
        </w:rPr>
        <w:t xml:space="preserve"> </w:t>
      </w:r>
      <w:r>
        <w:rPr>
          <w:w w:val="95"/>
        </w:rPr>
        <w:t>its</w:t>
      </w:r>
      <w:r>
        <w:rPr>
          <w:spacing w:val="-5"/>
          <w:w w:val="95"/>
        </w:rPr>
        <w:t xml:space="preserve"> </w:t>
      </w:r>
      <w:r>
        <w:rPr>
          <w:w w:val="95"/>
        </w:rPr>
        <w:t xml:space="preserve">Outer </w:t>
      </w:r>
      <w:r>
        <w:t>Harbour</w:t>
      </w:r>
      <w:r>
        <w:rPr>
          <w:spacing w:val="-12"/>
        </w:rPr>
        <w:t xml:space="preserve"> </w:t>
      </w:r>
      <w:r>
        <w:t>development,</w:t>
      </w:r>
      <w:r>
        <w:rPr>
          <w:spacing w:val="-12"/>
        </w:rPr>
        <w:t xml:space="preserve"> </w:t>
      </w:r>
      <w:r>
        <w:t>and</w:t>
      </w:r>
      <w:r>
        <w:rPr>
          <w:spacing w:val="-12"/>
        </w:rPr>
        <w:t xml:space="preserve"> </w:t>
      </w:r>
      <w:r>
        <w:t>possible</w:t>
      </w:r>
      <w:r>
        <w:rPr>
          <w:spacing w:val="-12"/>
        </w:rPr>
        <w:t xml:space="preserve"> </w:t>
      </w:r>
      <w:r>
        <w:t>reuse</w:t>
      </w:r>
      <w:r>
        <w:rPr>
          <w:spacing w:val="-12"/>
        </w:rPr>
        <w:t xml:space="preserve"> </w:t>
      </w:r>
      <w:r>
        <w:t>of</w:t>
      </w:r>
      <w:r>
        <w:rPr>
          <w:spacing w:val="-12"/>
        </w:rPr>
        <w:t xml:space="preserve"> </w:t>
      </w:r>
      <w:r>
        <w:t xml:space="preserve">Inner </w:t>
      </w:r>
      <w:r>
        <w:rPr>
          <w:spacing w:val="-2"/>
        </w:rPr>
        <w:t>Harbour</w:t>
      </w:r>
      <w:r>
        <w:rPr>
          <w:spacing w:val="-7"/>
        </w:rPr>
        <w:t xml:space="preserve"> </w:t>
      </w:r>
      <w:r>
        <w:rPr>
          <w:spacing w:val="-2"/>
        </w:rPr>
        <w:t>quayside</w:t>
      </w:r>
      <w:r>
        <w:rPr>
          <w:spacing w:val="-7"/>
        </w:rPr>
        <w:t xml:space="preserve"> </w:t>
      </w:r>
      <w:r>
        <w:rPr>
          <w:spacing w:val="-2"/>
        </w:rPr>
        <w:t>land.</w:t>
      </w:r>
      <w:r>
        <w:rPr>
          <w:spacing w:val="-7"/>
        </w:rPr>
        <w:t xml:space="preserve"> </w:t>
      </w:r>
      <w:r>
        <w:rPr>
          <w:spacing w:val="-2"/>
        </w:rPr>
        <w:t>As</w:t>
      </w:r>
      <w:r>
        <w:rPr>
          <w:spacing w:val="-7"/>
        </w:rPr>
        <w:t xml:space="preserve"> </w:t>
      </w:r>
      <w:r>
        <w:rPr>
          <w:spacing w:val="-2"/>
        </w:rPr>
        <w:t>a</w:t>
      </w:r>
      <w:r>
        <w:rPr>
          <w:spacing w:val="-7"/>
        </w:rPr>
        <w:t xml:space="preserve"> </w:t>
      </w:r>
      <w:r>
        <w:rPr>
          <w:spacing w:val="-2"/>
        </w:rPr>
        <w:t>staged</w:t>
      </w:r>
      <w:r>
        <w:rPr>
          <w:spacing w:val="-7"/>
        </w:rPr>
        <w:t xml:space="preserve"> </w:t>
      </w:r>
      <w:r>
        <w:rPr>
          <w:spacing w:val="-2"/>
        </w:rPr>
        <w:t>development,</w:t>
      </w:r>
      <w:r>
        <w:rPr>
          <w:spacing w:val="-7"/>
        </w:rPr>
        <w:t xml:space="preserve"> </w:t>
      </w:r>
      <w:r>
        <w:rPr>
          <w:spacing w:val="-2"/>
        </w:rPr>
        <w:t xml:space="preserve">the </w:t>
      </w:r>
      <w:r>
        <w:t>Outer</w:t>
      </w:r>
      <w:r>
        <w:rPr>
          <w:spacing w:val="-13"/>
        </w:rPr>
        <w:t xml:space="preserve"> </w:t>
      </w:r>
      <w:r>
        <w:t>Harbour</w:t>
      </w:r>
      <w:r>
        <w:rPr>
          <w:spacing w:val="-13"/>
        </w:rPr>
        <w:t xml:space="preserve"> </w:t>
      </w:r>
      <w:r>
        <w:t>is</w:t>
      </w:r>
      <w:r>
        <w:rPr>
          <w:spacing w:val="-13"/>
        </w:rPr>
        <w:t xml:space="preserve"> </w:t>
      </w:r>
      <w:r>
        <w:t>well</w:t>
      </w:r>
      <w:r>
        <w:rPr>
          <w:spacing w:val="-13"/>
        </w:rPr>
        <w:t xml:space="preserve"> </w:t>
      </w:r>
      <w:r>
        <w:t>placed</w:t>
      </w:r>
      <w:r>
        <w:rPr>
          <w:spacing w:val="-13"/>
        </w:rPr>
        <w:t xml:space="preserve"> </w:t>
      </w:r>
      <w:r>
        <w:t>to</w:t>
      </w:r>
      <w:r>
        <w:rPr>
          <w:spacing w:val="-13"/>
        </w:rPr>
        <w:t xml:space="preserve"> </w:t>
      </w:r>
      <w:r>
        <w:t>deliver</w:t>
      </w:r>
      <w:r>
        <w:rPr>
          <w:spacing w:val="-13"/>
        </w:rPr>
        <w:t xml:space="preserve"> </w:t>
      </w:r>
      <w:r>
        <w:t>the</w:t>
      </w:r>
      <w:r>
        <w:rPr>
          <w:spacing w:val="-13"/>
        </w:rPr>
        <w:t xml:space="preserve"> </w:t>
      </w:r>
      <w:r>
        <w:t>required capacity</w:t>
      </w:r>
      <w:r>
        <w:rPr>
          <w:spacing w:val="-4"/>
        </w:rPr>
        <w:t xml:space="preserve"> </w:t>
      </w:r>
      <w:r>
        <w:t>uplift</w:t>
      </w:r>
      <w:r>
        <w:rPr>
          <w:spacing w:val="-4"/>
        </w:rPr>
        <w:t xml:space="preserve"> </w:t>
      </w:r>
      <w:r>
        <w:t>as</w:t>
      </w:r>
      <w:r>
        <w:rPr>
          <w:spacing w:val="-4"/>
        </w:rPr>
        <w:t xml:space="preserve"> </w:t>
      </w:r>
      <w:r>
        <w:t>demand</w:t>
      </w:r>
      <w:r>
        <w:rPr>
          <w:spacing w:val="-4"/>
        </w:rPr>
        <w:t xml:space="preserve"> </w:t>
      </w:r>
      <w:r>
        <w:t>grows</w:t>
      </w:r>
      <w:r>
        <w:rPr>
          <w:spacing w:val="-4"/>
        </w:rPr>
        <w:t xml:space="preserve"> </w:t>
      </w:r>
      <w:r>
        <w:t>through</w:t>
      </w:r>
      <w:r>
        <w:rPr>
          <w:spacing w:val="-4"/>
        </w:rPr>
        <w:t xml:space="preserve"> </w:t>
      </w:r>
      <w:r>
        <w:t>to</w:t>
      </w:r>
      <w:r>
        <w:rPr>
          <w:spacing w:val="-4"/>
        </w:rPr>
        <w:t xml:space="preserve"> </w:t>
      </w:r>
      <w:r>
        <w:t>2031.</w:t>
      </w:r>
    </w:p>
    <w:p w:rsidR="002C1123" w:rsidRDefault="00F22F94">
      <w:pPr>
        <w:pStyle w:val="BodyText"/>
        <w:spacing w:before="146" w:line="249" w:lineRule="auto"/>
        <w:ind w:left="212" w:right="551"/>
      </w:pPr>
      <w:r>
        <w:rPr>
          <w:w w:val="95"/>
        </w:rPr>
        <w:t>Growth</w:t>
      </w:r>
      <w:r>
        <w:rPr>
          <w:spacing w:val="-1"/>
          <w:w w:val="95"/>
        </w:rPr>
        <w:t xml:space="preserve"> </w:t>
      </w:r>
      <w:r>
        <w:rPr>
          <w:w w:val="95"/>
        </w:rPr>
        <w:t>at</w:t>
      </w:r>
      <w:r>
        <w:rPr>
          <w:spacing w:val="-1"/>
          <w:w w:val="95"/>
        </w:rPr>
        <w:t xml:space="preserve"> </w:t>
      </w:r>
      <w:r>
        <w:rPr>
          <w:w w:val="95"/>
        </w:rPr>
        <w:t>Port</w:t>
      </w:r>
      <w:r>
        <w:rPr>
          <w:spacing w:val="-1"/>
          <w:w w:val="95"/>
        </w:rPr>
        <w:t xml:space="preserve"> </w:t>
      </w:r>
      <w:r>
        <w:rPr>
          <w:w w:val="95"/>
        </w:rPr>
        <w:t>Kembla</w:t>
      </w:r>
      <w:r>
        <w:rPr>
          <w:spacing w:val="-1"/>
          <w:w w:val="95"/>
        </w:rPr>
        <w:t xml:space="preserve"> </w:t>
      </w:r>
      <w:r>
        <w:rPr>
          <w:w w:val="95"/>
        </w:rPr>
        <w:t>will</w:t>
      </w:r>
      <w:r>
        <w:rPr>
          <w:spacing w:val="-1"/>
          <w:w w:val="95"/>
        </w:rPr>
        <w:t xml:space="preserve"> </w:t>
      </w:r>
      <w:r>
        <w:rPr>
          <w:w w:val="95"/>
        </w:rPr>
        <w:t>increase</w:t>
      </w:r>
      <w:r>
        <w:rPr>
          <w:spacing w:val="-1"/>
          <w:w w:val="95"/>
        </w:rPr>
        <w:t xml:space="preserve"> </w:t>
      </w:r>
      <w:r>
        <w:rPr>
          <w:w w:val="95"/>
        </w:rPr>
        <w:t>the</w:t>
      </w:r>
      <w:r>
        <w:rPr>
          <w:spacing w:val="-1"/>
          <w:w w:val="95"/>
        </w:rPr>
        <w:t xml:space="preserve"> </w:t>
      </w:r>
      <w:r>
        <w:rPr>
          <w:w w:val="95"/>
        </w:rPr>
        <w:t>demands</w:t>
      </w:r>
      <w:r>
        <w:rPr>
          <w:spacing w:val="-1"/>
          <w:w w:val="95"/>
        </w:rPr>
        <w:t xml:space="preserve"> </w:t>
      </w:r>
      <w:r>
        <w:rPr>
          <w:w w:val="95"/>
        </w:rPr>
        <w:t xml:space="preserve">placed </w:t>
      </w:r>
      <w:r>
        <w:rPr>
          <w:spacing w:val="-2"/>
        </w:rPr>
        <w:t>on</w:t>
      </w:r>
      <w:r>
        <w:rPr>
          <w:spacing w:val="-8"/>
        </w:rPr>
        <w:t xml:space="preserve"> </w:t>
      </w:r>
      <w:r>
        <w:rPr>
          <w:spacing w:val="-2"/>
        </w:rPr>
        <w:t>the</w:t>
      </w:r>
      <w:r>
        <w:rPr>
          <w:spacing w:val="-8"/>
        </w:rPr>
        <w:t xml:space="preserve"> </w:t>
      </w:r>
      <w:r>
        <w:rPr>
          <w:spacing w:val="-2"/>
        </w:rPr>
        <w:t>road</w:t>
      </w:r>
      <w:r>
        <w:rPr>
          <w:spacing w:val="-8"/>
        </w:rPr>
        <w:t xml:space="preserve"> </w:t>
      </w:r>
      <w:r>
        <w:rPr>
          <w:spacing w:val="-2"/>
        </w:rPr>
        <w:t>networks</w:t>
      </w:r>
      <w:r>
        <w:rPr>
          <w:spacing w:val="-8"/>
        </w:rPr>
        <w:t xml:space="preserve"> </w:t>
      </w:r>
      <w:r>
        <w:rPr>
          <w:spacing w:val="-2"/>
        </w:rPr>
        <w:t>that</w:t>
      </w:r>
      <w:r>
        <w:rPr>
          <w:spacing w:val="-8"/>
        </w:rPr>
        <w:t xml:space="preserve"> </w:t>
      </w:r>
      <w:r>
        <w:rPr>
          <w:spacing w:val="-2"/>
        </w:rPr>
        <w:t>support</w:t>
      </w:r>
      <w:r>
        <w:rPr>
          <w:spacing w:val="-8"/>
        </w:rPr>
        <w:t xml:space="preserve"> </w:t>
      </w:r>
      <w:r>
        <w:rPr>
          <w:spacing w:val="-2"/>
        </w:rPr>
        <w:t>the</w:t>
      </w:r>
      <w:r>
        <w:rPr>
          <w:spacing w:val="-8"/>
        </w:rPr>
        <w:t xml:space="preserve"> </w:t>
      </w:r>
      <w:r>
        <w:rPr>
          <w:spacing w:val="-2"/>
        </w:rPr>
        <w:t>Port,</w:t>
      </w:r>
      <w:r>
        <w:rPr>
          <w:spacing w:val="-8"/>
        </w:rPr>
        <w:t xml:space="preserve"> </w:t>
      </w:r>
      <w:r>
        <w:rPr>
          <w:spacing w:val="-2"/>
        </w:rPr>
        <w:t>including</w:t>
      </w:r>
      <w:r>
        <w:rPr>
          <w:spacing w:val="-8"/>
        </w:rPr>
        <w:t xml:space="preserve"> </w:t>
      </w:r>
      <w:r>
        <w:rPr>
          <w:spacing w:val="-2"/>
        </w:rPr>
        <w:t xml:space="preserve">for </w:t>
      </w:r>
      <w:r>
        <w:rPr>
          <w:w w:val="95"/>
        </w:rPr>
        <w:t>journeys</w:t>
      </w:r>
      <w:r>
        <w:rPr>
          <w:spacing w:val="-11"/>
          <w:w w:val="95"/>
        </w:rPr>
        <w:t xml:space="preserve"> </w:t>
      </w:r>
      <w:r>
        <w:rPr>
          <w:w w:val="95"/>
        </w:rPr>
        <w:t>to</w:t>
      </w:r>
      <w:r>
        <w:rPr>
          <w:spacing w:val="-11"/>
          <w:w w:val="95"/>
        </w:rPr>
        <w:t xml:space="preserve"> </w:t>
      </w:r>
      <w:r>
        <w:rPr>
          <w:w w:val="95"/>
        </w:rPr>
        <w:t>Sydney</w:t>
      </w:r>
      <w:r>
        <w:rPr>
          <w:spacing w:val="-11"/>
          <w:w w:val="95"/>
        </w:rPr>
        <w:t xml:space="preserve"> </w:t>
      </w:r>
      <w:r>
        <w:rPr>
          <w:w w:val="95"/>
        </w:rPr>
        <w:t>(imported</w:t>
      </w:r>
      <w:r>
        <w:rPr>
          <w:spacing w:val="-11"/>
          <w:w w:val="95"/>
        </w:rPr>
        <w:t xml:space="preserve"> </w:t>
      </w:r>
      <w:r>
        <w:rPr>
          <w:w w:val="95"/>
        </w:rPr>
        <w:t>vehicles/cars)</w:t>
      </w:r>
      <w:r>
        <w:rPr>
          <w:spacing w:val="-11"/>
          <w:w w:val="95"/>
        </w:rPr>
        <w:t xml:space="preserve"> </w:t>
      </w:r>
      <w:r>
        <w:rPr>
          <w:w w:val="95"/>
        </w:rPr>
        <w:t>and</w:t>
      </w:r>
      <w:r>
        <w:rPr>
          <w:spacing w:val="-11"/>
          <w:w w:val="95"/>
        </w:rPr>
        <w:t xml:space="preserve"> </w:t>
      </w:r>
      <w:r>
        <w:rPr>
          <w:w w:val="95"/>
        </w:rPr>
        <w:t>journeys</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224" w:space="40"/>
            <w:col w:w="5030" w:space="39"/>
            <w:col w:w="5727"/>
          </w:cols>
        </w:sectPr>
      </w:pPr>
    </w:p>
    <w:p w:rsidR="002C1123" w:rsidRDefault="00F22F94">
      <w:pPr>
        <w:pStyle w:val="BodyText"/>
        <w:spacing w:before="7" w:line="159" w:lineRule="exact"/>
        <w:ind w:left="492"/>
      </w:pPr>
      <w:r>
        <w:rPr>
          <w:w w:val="95"/>
        </w:rPr>
        <w:t>potential</w:t>
      </w:r>
      <w:r>
        <w:rPr>
          <w:spacing w:val="-8"/>
          <w:w w:val="95"/>
        </w:rPr>
        <w:t xml:space="preserve"> </w:t>
      </w:r>
      <w:r>
        <w:rPr>
          <w:w w:val="95"/>
        </w:rPr>
        <w:t>rail</w:t>
      </w:r>
      <w:r>
        <w:rPr>
          <w:spacing w:val="-8"/>
          <w:w w:val="95"/>
        </w:rPr>
        <w:t xml:space="preserve"> </w:t>
      </w:r>
      <w:r>
        <w:rPr>
          <w:w w:val="95"/>
        </w:rPr>
        <w:t>users</w:t>
      </w:r>
      <w:r>
        <w:rPr>
          <w:spacing w:val="-8"/>
          <w:w w:val="95"/>
        </w:rPr>
        <w:t xml:space="preserve"> </w:t>
      </w:r>
      <w:r>
        <w:rPr>
          <w:w w:val="95"/>
        </w:rPr>
        <w:t>further</w:t>
      </w:r>
      <w:r>
        <w:rPr>
          <w:spacing w:val="-7"/>
          <w:w w:val="95"/>
        </w:rPr>
        <w:t xml:space="preserve"> </w:t>
      </w:r>
      <w:r>
        <w:rPr>
          <w:w w:val="95"/>
        </w:rPr>
        <w:t>in</w:t>
      </w:r>
      <w:r>
        <w:rPr>
          <w:spacing w:val="-8"/>
          <w:w w:val="95"/>
        </w:rPr>
        <w:t xml:space="preserve"> </w:t>
      </w:r>
      <w:r>
        <w:rPr>
          <w:w w:val="95"/>
        </w:rPr>
        <w:t>to</w:t>
      </w:r>
      <w:r>
        <w:rPr>
          <w:spacing w:val="-8"/>
          <w:w w:val="95"/>
        </w:rPr>
        <w:t xml:space="preserve"> </w:t>
      </w:r>
      <w:r>
        <w:rPr>
          <w:w w:val="95"/>
        </w:rPr>
        <w:t>the</w:t>
      </w:r>
      <w:r>
        <w:rPr>
          <w:spacing w:val="-7"/>
          <w:w w:val="95"/>
        </w:rPr>
        <w:t xml:space="preserve"> </w:t>
      </w:r>
      <w:r>
        <w:rPr>
          <w:w w:val="95"/>
        </w:rPr>
        <w:t>future</w:t>
      </w:r>
      <w:r>
        <w:rPr>
          <w:spacing w:val="-8"/>
          <w:w w:val="95"/>
        </w:rPr>
        <w:t xml:space="preserve"> </w:t>
      </w:r>
      <w:r>
        <w:rPr>
          <w:w w:val="95"/>
        </w:rPr>
        <w:t>and</w:t>
      </w:r>
      <w:r>
        <w:rPr>
          <w:spacing w:val="-8"/>
          <w:w w:val="95"/>
        </w:rPr>
        <w:t xml:space="preserve"> </w:t>
      </w:r>
      <w:r>
        <w:rPr>
          <w:w w:val="95"/>
        </w:rPr>
        <w:t>partly</w:t>
      </w:r>
      <w:r>
        <w:rPr>
          <w:spacing w:val="-8"/>
          <w:w w:val="95"/>
        </w:rPr>
        <w:t xml:space="preserve"> </w:t>
      </w:r>
      <w:r>
        <w:rPr>
          <w:spacing w:val="-5"/>
          <w:w w:val="95"/>
        </w:rPr>
        <w:t>due</w:t>
      </w:r>
    </w:p>
    <w:p w:rsidR="002C1123" w:rsidRDefault="00F22F94">
      <w:pPr>
        <w:pStyle w:val="BodyText"/>
        <w:tabs>
          <w:tab w:val="left" w:pos="5378"/>
          <w:tab w:val="left" w:pos="6818"/>
        </w:tabs>
        <w:spacing w:line="167" w:lineRule="exact"/>
        <w:ind w:left="351"/>
      </w:pPr>
      <w:r>
        <w:br w:type="column"/>
      </w:r>
      <w:r>
        <w:rPr>
          <w:w w:val="95"/>
        </w:rPr>
        <w:t>Infrastructure</w:t>
      </w:r>
      <w:r>
        <w:rPr>
          <w:spacing w:val="-6"/>
          <w:w w:val="95"/>
        </w:rPr>
        <w:t xml:space="preserve"> </w:t>
      </w:r>
      <w:r>
        <w:rPr>
          <w:w w:val="95"/>
        </w:rPr>
        <w:t>NSW</w:t>
      </w:r>
      <w:r>
        <w:rPr>
          <w:spacing w:val="-5"/>
          <w:w w:val="95"/>
        </w:rPr>
        <w:t xml:space="preserve"> </w:t>
      </w:r>
      <w:r>
        <w:rPr>
          <w:w w:val="95"/>
        </w:rPr>
        <w:t>has</w:t>
      </w:r>
      <w:r>
        <w:rPr>
          <w:spacing w:val="-6"/>
          <w:w w:val="95"/>
        </w:rPr>
        <w:t xml:space="preserve"> </w:t>
      </w:r>
      <w:r>
        <w:rPr>
          <w:w w:val="95"/>
        </w:rPr>
        <w:t>not</w:t>
      </w:r>
      <w:r>
        <w:rPr>
          <w:spacing w:val="-5"/>
          <w:w w:val="95"/>
        </w:rPr>
        <w:t xml:space="preserve"> </w:t>
      </w:r>
      <w:r>
        <w:rPr>
          <w:w w:val="95"/>
        </w:rPr>
        <w:t>considered</w:t>
      </w:r>
      <w:r>
        <w:rPr>
          <w:spacing w:val="-6"/>
          <w:w w:val="95"/>
        </w:rPr>
        <w:t xml:space="preserve"> </w:t>
      </w:r>
      <w:r>
        <w:rPr>
          <w:w w:val="95"/>
        </w:rPr>
        <w:t>issues</w:t>
      </w:r>
      <w:r>
        <w:rPr>
          <w:spacing w:val="-5"/>
          <w:w w:val="95"/>
        </w:rPr>
        <w:t xml:space="preserve"> </w:t>
      </w:r>
      <w:r>
        <w:rPr>
          <w:spacing w:val="-2"/>
          <w:w w:val="95"/>
        </w:rPr>
        <w:t>relating</w:t>
      </w:r>
      <w:r>
        <w:tab/>
      </w:r>
      <w:r>
        <w:rPr>
          <w:u w:val="single" w:color="9C9C9D"/>
        </w:rPr>
        <w:tab/>
      </w:r>
    </w:p>
    <w:p w:rsidR="002C1123" w:rsidRDefault="002C1123">
      <w:pPr>
        <w:spacing w:line="167" w:lineRule="exact"/>
        <w:sectPr w:rsidR="002C1123">
          <w:type w:val="continuous"/>
          <w:pgSz w:w="16840" w:h="11910" w:orient="landscape"/>
          <w:pgMar w:top="560" w:right="280" w:bottom="280" w:left="500" w:header="0" w:footer="517" w:gutter="0"/>
          <w:cols w:num="2" w:space="720" w:equalWidth="0">
            <w:col w:w="5128" w:space="40"/>
            <w:col w:w="10892"/>
          </w:cols>
        </w:sectPr>
      </w:pPr>
    </w:p>
    <w:p w:rsidR="002C1123" w:rsidRDefault="00F22F94">
      <w:pPr>
        <w:pStyle w:val="BodyText"/>
        <w:spacing w:before="81"/>
        <w:ind w:left="492"/>
      </w:pPr>
      <w:r>
        <w:rPr>
          <w:w w:val="95"/>
        </w:rPr>
        <w:t>to</w:t>
      </w:r>
      <w:r>
        <w:rPr>
          <w:spacing w:val="-7"/>
          <w:w w:val="95"/>
        </w:rPr>
        <w:t xml:space="preserve"> </w:t>
      </w:r>
      <w:r>
        <w:rPr>
          <w:w w:val="95"/>
        </w:rPr>
        <w:t>regulatory</w:t>
      </w:r>
      <w:r>
        <w:rPr>
          <w:spacing w:val="-7"/>
          <w:w w:val="95"/>
        </w:rPr>
        <w:t xml:space="preserve"> </w:t>
      </w:r>
      <w:r>
        <w:rPr>
          <w:spacing w:val="-2"/>
          <w:w w:val="95"/>
        </w:rPr>
        <w:t>timeframes.</w:t>
      </w:r>
    </w:p>
    <w:p w:rsidR="002C1123" w:rsidRDefault="00F22F94">
      <w:pPr>
        <w:pStyle w:val="BodyText"/>
        <w:spacing w:before="27"/>
        <w:ind w:left="492"/>
      </w:pPr>
      <w:r>
        <w:br w:type="column"/>
      </w:r>
      <w:r>
        <w:rPr>
          <w:w w:val="95"/>
        </w:rPr>
        <w:t>to</w:t>
      </w:r>
      <w:r>
        <w:rPr>
          <w:spacing w:val="-10"/>
          <w:w w:val="95"/>
        </w:rPr>
        <w:t xml:space="preserve"> </w:t>
      </w:r>
      <w:r>
        <w:rPr>
          <w:w w:val="95"/>
        </w:rPr>
        <w:t>the</w:t>
      </w:r>
      <w:r>
        <w:rPr>
          <w:spacing w:val="-10"/>
          <w:w w:val="95"/>
        </w:rPr>
        <w:t xml:space="preserve"> </w:t>
      </w:r>
      <w:r>
        <w:rPr>
          <w:w w:val="95"/>
        </w:rPr>
        <w:t>grain</w:t>
      </w:r>
      <w:r>
        <w:rPr>
          <w:spacing w:val="-9"/>
          <w:w w:val="95"/>
        </w:rPr>
        <w:t xml:space="preserve"> </w:t>
      </w:r>
      <w:r>
        <w:rPr>
          <w:w w:val="95"/>
        </w:rPr>
        <w:t>rail</w:t>
      </w:r>
      <w:r>
        <w:rPr>
          <w:spacing w:val="-10"/>
          <w:w w:val="95"/>
        </w:rPr>
        <w:t xml:space="preserve"> </w:t>
      </w:r>
      <w:r>
        <w:rPr>
          <w:w w:val="95"/>
        </w:rPr>
        <w:t>network</w:t>
      </w:r>
      <w:r>
        <w:rPr>
          <w:spacing w:val="-9"/>
          <w:w w:val="95"/>
        </w:rPr>
        <w:t xml:space="preserve"> </w:t>
      </w:r>
      <w:r>
        <w:rPr>
          <w:w w:val="95"/>
        </w:rPr>
        <w:t>in</w:t>
      </w:r>
      <w:r>
        <w:rPr>
          <w:spacing w:val="-10"/>
          <w:w w:val="95"/>
        </w:rPr>
        <w:t xml:space="preserve"> </w:t>
      </w:r>
      <w:r>
        <w:rPr>
          <w:w w:val="95"/>
        </w:rPr>
        <w:t>detail</w:t>
      </w:r>
      <w:r>
        <w:rPr>
          <w:spacing w:val="-9"/>
          <w:w w:val="95"/>
        </w:rPr>
        <w:t xml:space="preserve"> </w:t>
      </w:r>
      <w:r>
        <w:rPr>
          <w:w w:val="95"/>
        </w:rPr>
        <w:t>in</w:t>
      </w:r>
      <w:r>
        <w:rPr>
          <w:spacing w:val="-10"/>
          <w:w w:val="95"/>
        </w:rPr>
        <w:t xml:space="preserve"> </w:t>
      </w:r>
      <w:r>
        <w:rPr>
          <w:w w:val="95"/>
        </w:rPr>
        <w:t>this</w:t>
      </w:r>
      <w:r>
        <w:rPr>
          <w:spacing w:val="-9"/>
          <w:w w:val="95"/>
        </w:rPr>
        <w:t xml:space="preserve"> </w:t>
      </w:r>
      <w:r>
        <w:rPr>
          <w:w w:val="95"/>
        </w:rPr>
        <w:t>Strategy</w:t>
      </w:r>
      <w:r>
        <w:rPr>
          <w:spacing w:val="-10"/>
          <w:w w:val="95"/>
        </w:rPr>
        <w:t xml:space="preserve"> </w:t>
      </w:r>
      <w:r>
        <w:rPr>
          <w:spacing w:val="-2"/>
          <w:w w:val="95"/>
        </w:rPr>
        <w:t>following</w:t>
      </w:r>
    </w:p>
    <w:p w:rsidR="002C1123" w:rsidRDefault="00F22F94">
      <w:pPr>
        <w:pStyle w:val="ListParagraph"/>
        <w:numPr>
          <w:ilvl w:val="0"/>
          <w:numId w:val="73"/>
        </w:numPr>
        <w:tabs>
          <w:tab w:val="left" w:pos="453"/>
        </w:tabs>
        <w:spacing w:before="4" w:line="161" w:lineRule="exact"/>
        <w:ind w:left="452"/>
        <w:jc w:val="left"/>
        <w:rPr>
          <w:sz w:val="14"/>
        </w:rPr>
      </w:pPr>
      <w:r>
        <w:br w:type="column"/>
      </w:r>
      <w:r>
        <w:rPr>
          <w:w w:val="95"/>
          <w:sz w:val="14"/>
        </w:rPr>
        <w:t>Commonwealth</w:t>
      </w:r>
      <w:r>
        <w:rPr>
          <w:spacing w:val="2"/>
          <w:sz w:val="14"/>
        </w:rPr>
        <w:t xml:space="preserve"> </w:t>
      </w:r>
      <w:r>
        <w:rPr>
          <w:w w:val="95"/>
          <w:sz w:val="14"/>
        </w:rPr>
        <w:t>Government</w:t>
      </w:r>
      <w:r>
        <w:rPr>
          <w:spacing w:val="5"/>
          <w:sz w:val="14"/>
        </w:rPr>
        <w:t xml:space="preserve"> </w:t>
      </w:r>
      <w:r>
        <w:rPr>
          <w:w w:val="95"/>
          <w:sz w:val="14"/>
        </w:rPr>
        <w:t>2009,</w:t>
      </w:r>
      <w:r>
        <w:rPr>
          <w:spacing w:val="4"/>
          <w:sz w:val="14"/>
        </w:rPr>
        <w:t xml:space="preserve"> </w:t>
      </w:r>
      <w:r>
        <w:rPr>
          <w:w w:val="95"/>
          <w:sz w:val="14"/>
        </w:rPr>
        <w:t>NSW</w:t>
      </w:r>
      <w:r>
        <w:rPr>
          <w:spacing w:val="5"/>
          <w:sz w:val="14"/>
        </w:rPr>
        <w:t xml:space="preserve"> </w:t>
      </w:r>
      <w:r>
        <w:rPr>
          <w:w w:val="95"/>
          <w:sz w:val="14"/>
        </w:rPr>
        <w:t>Grain</w:t>
      </w:r>
      <w:r>
        <w:rPr>
          <w:spacing w:val="4"/>
          <w:sz w:val="14"/>
        </w:rPr>
        <w:t xml:space="preserve"> </w:t>
      </w:r>
      <w:r>
        <w:rPr>
          <w:w w:val="95"/>
          <w:sz w:val="14"/>
        </w:rPr>
        <w:t>Freight</w:t>
      </w:r>
      <w:r>
        <w:rPr>
          <w:spacing w:val="5"/>
          <w:sz w:val="14"/>
        </w:rPr>
        <w:t xml:space="preserve"> </w:t>
      </w:r>
      <w:r>
        <w:rPr>
          <w:spacing w:val="-2"/>
          <w:w w:val="95"/>
          <w:sz w:val="14"/>
        </w:rPr>
        <w:t>Review.</w:t>
      </w:r>
    </w:p>
    <w:p w:rsidR="002C1123" w:rsidRDefault="00F22F94">
      <w:pPr>
        <w:pStyle w:val="ListParagraph"/>
        <w:numPr>
          <w:ilvl w:val="0"/>
          <w:numId w:val="73"/>
        </w:numPr>
        <w:tabs>
          <w:tab w:val="left" w:pos="453"/>
        </w:tabs>
        <w:spacing w:line="161" w:lineRule="exact"/>
        <w:ind w:left="453"/>
        <w:jc w:val="left"/>
        <w:rPr>
          <w:sz w:val="14"/>
        </w:rPr>
      </w:pPr>
      <w:r>
        <w:rPr>
          <w:w w:val="90"/>
          <w:sz w:val="14"/>
        </w:rPr>
        <w:t>Port</w:t>
      </w:r>
      <w:r>
        <w:rPr>
          <w:spacing w:val="16"/>
          <w:sz w:val="14"/>
        </w:rPr>
        <w:t xml:space="preserve"> </w:t>
      </w:r>
      <w:r>
        <w:rPr>
          <w:w w:val="90"/>
          <w:sz w:val="14"/>
        </w:rPr>
        <w:t>Kembla</w:t>
      </w:r>
      <w:r>
        <w:rPr>
          <w:spacing w:val="17"/>
          <w:sz w:val="14"/>
        </w:rPr>
        <w:t xml:space="preserve"> </w:t>
      </w:r>
      <w:r>
        <w:rPr>
          <w:w w:val="90"/>
          <w:sz w:val="14"/>
        </w:rPr>
        <w:t>Ports</w:t>
      </w:r>
      <w:r>
        <w:rPr>
          <w:spacing w:val="17"/>
          <w:sz w:val="14"/>
        </w:rPr>
        <w:t xml:space="preserve"> </w:t>
      </w:r>
      <w:r>
        <w:rPr>
          <w:w w:val="90"/>
          <w:sz w:val="14"/>
        </w:rPr>
        <w:t>Corporation</w:t>
      </w:r>
      <w:r>
        <w:rPr>
          <w:spacing w:val="17"/>
          <w:sz w:val="14"/>
        </w:rPr>
        <w:t xml:space="preserve"> </w:t>
      </w:r>
      <w:r>
        <w:rPr>
          <w:spacing w:val="-2"/>
          <w:w w:val="90"/>
          <w:sz w:val="14"/>
        </w:rPr>
        <w:t>2012.</w:t>
      </w:r>
    </w:p>
    <w:p w:rsidR="002C1123" w:rsidRDefault="002C1123">
      <w:pPr>
        <w:spacing w:line="161" w:lineRule="exact"/>
        <w:rPr>
          <w:sz w:val="14"/>
        </w:rPr>
        <w:sectPr w:rsidR="002C1123">
          <w:type w:val="continuous"/>
          <w:pgSz w:w="16840" w:h="11910" w:orient="landscape"/>
          <w:pgMar w:top="560" w:right="280" w:bottom="280" w:left="500" w:header="0" w:footer="517" w:gutter="0"/>
          <w:cols w:num="3" w:space="720" w:equalWidth="0">
            <w:col w:w="2646" w:space="2380"/>
            <w:col w:w="5225" w:space="40"/>
            <w:col w:w="5769"/>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BodyText"/>
        <w:spacing w:before="106" w:line="249" w:lineRule="auto"/>
        <w:ind w:left="492"/>
      </w:pPr>
      <w:bookmarkStart w:id="286" w:name="_bookmark203"/>
      <w:bookmarkEnd w:id="286"/>
      <w:r>
        <w:rPr>
          <w:w w:val="95"/>
        </w:rPr>
        <w:t>from</w:t>
      </w:r>
      <w:r>
        <w:rPr>
          <w:spacing w:val="-8"/>
          <w:w w:val="95"/>
        </w:rPr>
        <w:t xml:space="preserve"> </w:t>
      </w:r>
      <w:r>
        <w:rPr>
          <w:w w:val="95"/>
        </w:rPr>
        <w:t>regional</w:t>
      </w:r>
      <w:r>
        <w:rPr>
          <w:spacing w:val="-7"/>
          <w:w w:val="95"/>
        </w:rPr>
        <w:t xml:space="preserve"> </w:t>
      </w:r>
      <w:r>
        <w:rPr>
          <w:w w:val="95"/>
        </w:rPr>
        <w:t>NSW</w:t>
      </w:r>
      <w:r>
        <w:rPr>
          <w:spacing w:val="-7"/>
          <w:w w:val="95"/>
        </w:rPr>
        <w:t xml:space="preserve"> </w:t>
      </w:r>
      <w:r>
        <w:rPr>
          <w:w w:val="95"/>
        </w:rPr>
        <w:t>(for</w:t>
      </w:r>
      <w:r>
        <w:rPr>
          <w:spacing w:val="-7"/>
          <w:w w:val="95"/>
        </w:rPr>
        <w:t xml:space="preserve"> </w:t>
      </w:r>
      <w:r>
        <w:rPr>
          <w:w w:val="95"/>
        </w:rPr>
        <w:t>bulk</w:t>
      </w:r>
      <w:r>
        <w:rPr>
          <w:spacing w:val="-7"/>
          <w:w w:val="95"/>
        </w:rPr>
        <w:t xml:space="preserve"> </w:t>
      </w:r>
      <w:r>
        <w:rPr>
          <w:w w:val="95"/>
        </w:rPr>
        <w:t>exports).</w:t>
      </w:r>
      <w:r>
        <w:rPr>
          <w:spacing w:val="-7"/>
          <w:w w:val="95"/>
        </w:rPr>
        <w:t xml:space="preserve"> </w:t>
      </w:r>
      <w:r>
        <w:rPr>
          <w:w w:val="95"/>
        </w:rPr>
        <w:t>Around</w:t>
      </w:r>
      <w:r>
        <w:rPr>
          <w:spacing w:val="-7"/>
          <w:w w:val="95"/>
        </w:rPr>
        <w:t xml:space="preserve"> </w:t>
      </w:r>
      <w:r>
        <w:rPr>
          <w:w w:val="95"/>
        </w:rPr>
        <w:t>20</w:t>
      </w:r>
      <w:r>
        <w:rPr>
          <w:spacing w:val="-7"/>
          <w:w w:val="95"/>
        </w:rPr>
        <w:t xml:space="preserve"> </w:t>
      </w:r>
      <w:r>
        <w:rPr>
          <w:w w:val="95"/>
        </w:rPr>
        <w:t xml:space="preserve">percent </w:t>
      </w:r>
      <w:r>
        <w:t>of</w:t>
      </w:r>
      <w:r>
        <w:rPr>
          <w:spacing w:val="-14"/>
        </w:rPr>
        <w:t xml:space="preserve"> </w:t>
      </w:r>
      <w:r>
        <w:t>traffic</w:t>
      </w:r>
      <w:r>
        <w:rPr>
          <w:spacing w:val="-14"/>
        </w:rPr>
        <w:t xml:space="preserve"> </w:t>
      </w:r>
      <w:r>
        <w:t>volumes</w:t>
      </w:r>
      <w:r>
        <w:rPr>
          <w:spacing w:val="-14"/>
        </w:rPr>
        <w:t xml:space="preserve"> </w:t>
      </w:r>
      <w:r>
        <w:t>on</w:t>
      </w:r>
      <w:r>
        <w:rPr>
          <w:spacing w:val="-14"/>
        </w:rPr>
        <w:t xml:space="preserve"> </w:t>
      </w:r>
      <w:r>
        <w:t>Wollongong’s</w:t>
      </w:r>
      <w:r>
        <w:rPr>
          <w:spacing w:val="-14"/>
        </w:rPr>
        <w:t xml:space="preserve"> </w:t>
      </w:r>
      <w:r>
        <w:t>arterial</w:t>
      </w:r>
      <w:r>
        <w:rPr>
          <w:spacing w:val="-14"/>
        </w:rPr>
        <w:t xml:space="preserve"> </w:t>
      </w:r>
      <w:r>
        <w:t>roads</w:t>
      </w:r>
      <w:r>
        <w:rPr>
          <w:spacing w:val="-14"/>
        </w:rPr>
        <w:t xml:space="preserve"> </w:t>
      </w:r>
      <w:r>
        <w:t>are heavy</w:t>
      </w:r>
      <w:r>
        <w:rPr>
          <w:spacing w:val="-11"/>
        </w:rPr>
        <w:t xml:space="preserve"> </w:t>
      </w:r>
      <w:r>
        <w:t>vehicles</w:t>
      </w:r>
      <w:r>
        <w:rPr>
          <w:position w:val="7"/>
          <w:sz w:val="11"/>
        </w:rPr>
        <w:t>24</w:t>
      </w:r>
      <w:r>
        <w:t>.</w:t>
      </w:r>
    </w:p>
    <w:p w:rsidR="002C1123" w:rsidRDefault="00F22F94">
      <w:pPr>
        <w:pStyle w:val="BodyText"/>
        <w:spacing w:before="144" w:line="249" w:lineRule="auto"/>
        <w:ind w:left="492"/>
      </w:pPr>
      <w:r>
        <w:t>Specific</w:t>
      </w:r>
      <w:r>
        <w:rPr>
          <w:spacing w:val="-11"/>
        </w:rPr>
        <w:t xml:space="preserve"> </w:t>
      </w:r>
      <w:r>
        <w:t>areas</w:t>
      </w:r>
      <w:r>
        <w:rPr>
          <w:spacing w:val="-11"/>
        </w:rPr>
        <w:t xml:space="preserve"> </w:t>
      </w:r>
      <w:r>
        <w:t>of</w:t>
      </w:r>
      <w:r>
        <w:rPr>
          <w:spacing w:val="-11"/>
        </w:rPr>
        <w:t xml:space="preserve"> </w:t>
      </w:r>
      <w:r>
        <w:t>the</w:t>
      </w:r>
      <w:r>
        <w:rPr>
          <w:spacing w:val="-11"/>
        </w:rPr>
        <w:t xml:space="preserve"> </w:t>
      </w:r>
      <w:r>
        <w:t>road</w:t>
      </w:r>
      <w:r>
        <w:rPr>
          <w:spacing w:val="-11"/>
        </w:rPr>
        <w:t xml:space="preserve"> </w:t>
      </w:r>
      <w:r>
        <w:t>network</w:t>
      </w:r>
      <w:r>
        <w:rPr>
          <w:spacing w:val="-11"/>
        </w:rPr>
        <w:t xml:space="preserve"> </w:t>
      </w:r>
      <w:r>
        <w:t>that</w:t>
      </w:r>
      <w:r>
        <w:rPr>
          <w:spacing w:val="-11"/>
        </w:rPr>
        <w:t xml:space="preserve"> </w:t>
      </w:r>
      <w:r>
        <w:t>will</w:t>
      </w:r>
      <w:r>
        <w:rPr>
          <w:spacing w:val="-11"/>
        </w:rPr>
        <w:t xml:space="preserve"> </w:t>
      </w:r>
      <w:r>
        <w:t>need</w:t>
      </w:r>
      <w:r>
        <w:rPr>
          <w:spacing w:val="-11"/>
        </w:rPr>
        <w:t xml:space="preserve"> </w:t>
      </w:r>
      <w:r>
        <w:t>to</w:t>
      </w:r>
      <w:r>
        <w:rPr>
          <w:spacing w:val="-11"/>
        </w:rPr>
        <w:t xml:space="preserve"> </w:t>
      </w:r>
      <w:r>
        <w:t xml:space="preserve">be </w:t>
      </w:r>
      <w:r>
        <w:rPr>
          <w:w w:val="95"/>
        </w:rPr>
        <w:t>prioritised</w:t>
      </w:r>
      <w:r>
        <w:rPr>
          <w:spacing w:val="-4"/>
          <w:w w:val="95"/>
        </w:rPr>
        <w:t xml:space="preserve"> </w:t>
      </w:r>
      <w:r>
        <w:rPr>
          <w:w w:val="95"/>
        </w:rPr>
        <w:t>include</w:t>
      </w:r>
      <w:r>
        <w:rPr>
          <w:spacing w:val="-4"/>
          <w:w w:val="95"/>
        </w:rPr>
        <w:t xml:space="preserve"> </w:t>
      </w:r>
      <w:r>
        <w:rPr>
          <w:w w:val="95"/>
        </w:rPr>
        <w:t>Mount</w:t>
      </w:r>
      <w:r>
        <w:rPr>
          <w:spacing w:val="-4"/>
          <w:w w:val="95"/>
        </w:rPr>
        <w:t xml:space="preserve"> </w:t>
      </w:r>
      <w:r>
        <w:rPr>
          <w:w w:val="95"/>
        </w:rPr>
        <w:t>Ousley</w:t>
      </w:r>
      <w:r>
        <w:rPr>
          <w:spacing w:val="-4"/>
          <w:w w:val="95"/>
        </w:rPr>
        <w:t xml:space="preserve"> </w:t>
      </w:r>
      <w:r>
        <w:rPr>
          <w:w w:val="95"/>
        </w:rPr>
        <w:t>Road</w:t>
      </w:r>
      <w:r>
        <w:rPr>
          <w:spacing w:val="-4"/>
          <w:w w:val="95"/>
        </w:rPr>
        <w:t xml:space="preserve"> </w:t>
      </w:r>
      <w:r>
        <w:rPr>
          <w:w w:val="95"/>
        </w:rPr>
        <w:t>and</w:t>
      </w:r>
      <w:r>
        <w:rPr>
          <w:spacing w:val="-4"/>
          <w:w w:val="95"/>
        </w:rPr>
        <w:t xml:space="preserve"> </w:t>
      </w:r>
      <w:r>
        <w:rPr>
          <w:w w:val="95"/>
        </w:rPr>
        <w:t>Picton</w:t>
      </w:r>
      <w:r>
        <w:rPr>
          <w:spacing w:val="-4"/>
          <w:w w:val="95"/>
        </w:rPr>
        <w:t xml:space="preserve"> </w:t>
      </w:r>
      <w:r>
        <w:rPr>
          <w:w w:val="95"/>
        </w:rPr>
        <w:t xml:space="preserve">Road, </w:t>
      </w:r>
      <w:r>
        <w:rPr>
          <w:spacing w:val="-2"/>
        </w:rPr>
        <w:t>which</w:t>
      </w:r>
      <w:r>
        <w:rPr>
          <w:spacing w:val="-7"/>
        </w:rPr>
        <w:t xml:space="preserve"> </w:t>
      </w:r>
      <w:r>
        <w:rPr>
          <w:spacing w:val="-2"/>
        </w:rPr>
        <w:t>are</w:t>
      </w:r>
      <w:r>
        <w:rPr>
          <w:spacing w:val="-7"/>
        </w:rPr>
        <w:t xml:space="preserve"> </w:t>
      </w:r>
      <w:r>
        <w:rPr>
          <w:spacing w:val="-2"/>
        </w:rPr>
        <w:t>already</w:t>
      </w:r>
      <w:r>
        <w:rPr>
          <w:spacing w:val="-7"/>
        </w:rPr>
        <w:t xml:space="preserve"> </w:t>
      </w:r>
      <w:r>
        <w:rPr>
          <w:spacing w:val="-2"/>
        </w:rPr>
        <w:t>heavily</w:t>
      </w:r>
      <w:r>
        <w:rPr>
          <w:spacing w:val="-7"/>
        </w:rPr>
        <w:t xml:space="preserve"> </w:t>
      </w:r>
      <w:r>
        <w:rPr>
          <w:spacing w:val="-2"/>
        </w:rPr>
        <w:t>used</w:t>
      </w:r>
      <w:r>
        <w:rPr>
          <w:spacing w:val="-7"/>
        </w:rPr>
        <w:t xml:space="preserve"> </w:t>
      </w:r>
      <w:r>
        <w:rPr>
          <w:spacing w:val="-2"/>
        </w:rPr>
        <w:t>by</w:t>
      </w:r>
      <w:r>
        <w:rPr>
          <w:spacing w:val="-7"/>
        </w:rPr>
        <w:t xml:space="preserve"> </w:t>
      </w:r>
      <w:r>
        <w:rPr>
          <w:spacing w:val="-2"/>
        </w:rPr>
        <w:t>freight.</w:t>
      </w:r>
      <w:r>
        <w:rPr>
          <w:spacing w:val="-7"/>
        </w:rPr>
        <w:t xml:space="preserve"> </w:t>
      </w:r>
      <w:r>
        <w:rPr>
          <w:spacing w:val="-2"/>
        </w:rPr>
        <w:t>Investment</w:t>
      </w:r>
    </w:p>
    <w:p w:rsidR="002C1123" w:rsidRDefault="00F22F94">
      <w:pPr>
        <w:pStyle w:val="BodyText"/>
        <w:spacing w:before="3" w:line="249" w:lineRule="auto"/>
        <w:ind w:left="492"/>
      </w:pPr>
      <w:r>
        <w:rPr>
          <w:w w:val="95"/>
        </w:rPr>
        <w:t>in</w:t>
      </w:r>
      <w:r>
        <w:rPr>
          <w:spacing w:val="-1"/>
          <w:w w:val="95"/>
        </w:rPr>
        <w:t xml:space="preserve"> </w:t>
      </w:r>
      <w:r>
        <w:rPr>
          <w:w w:val="95"/>
        </w:rPr>
        <w:t>the</w:t>
      </w:r>
      <w:r>
        <w:rPr>
          <w:spacing w:val="-1"/>
          <w:w w:val="95"/>
        </w:rPr>
        <w:t xml:space="preserve"> </w:t>
      </w:r>
      <w:r>
        <w:rPr>
          <w:w w:val="95"/>
        </w:rPr>
        <w:t>second</w:t>
      </w:r>
      <w:r>
        <w:rPr>
          <w:spacing w:val="-1"/>
          <w:w w:val="95"/>
        </w:rPr>
        <w:t xml:space="preserve"> </w:t>
      </w:r>
      <w:r>
        <w:rPr>
          <w:w w:val="95"/>
        </w:rPr>
        <w:t>half</w:t>
      </w:r>
      <w:r>
        <w:rPr>
          <w:spacing w:val="-1"/>
          <w:w w:val="95"/>
        </w:rPr>
        <w:t xml:space="preserve"> </w:t>
      </w:r>
      <w:r>
        <w:rPr>
          <w:w w:val="95"/>
        </w:rPr>
        <w:t>of</w:t>
      </w:r>
      <w:r>
        <w:rPr>
          <w:spacing w:val="-1"/>
          <w:w w:val="95"/>
        </w:rPr>
        <w:t xml:space="preserve"> </w:t>
      </w:r>
      <w:r>
        <w:rPr>
          <w:w w:val="95"/>
        </w:rPr>
        <w:t>this</w:t>
      </w:r>
      <w:r>
        <w:rPr>
          <w:spacing w:val="-1"/>
          <w:w w:val="95"/>
        </w:rPr>
        <w:t xml:space="preserve"> </w:t>
      </w:r>
      <w:r>
        <w:rPr>
          <w:w w:val="95"/>
        </w:rPr>
        <w:t>strategy</w:t>
      </w:r>
      <w:r>
        <w:rPr>
          <w:spacing w:val="-1"/>
          <w:w w:val="95"/>
        </w:rPr>
        <w:t xml:space="preserve"> </w:t>
      </w:r>
      <w:r>
        <w:rPr>
          <w:w w:val="95"/>
        </w:rPr>
        <w:t>in</w:t>
      </w:r>
      <w:r>
        <w:rPr>
          <w:spacing w:val="-1"/>
          <w:w w:val="95"/>
        </w:rPr>
        <w:t xml:space="preserve"> </w:t>
      </w:r>
      <w:r>
        <w:rPr>
          <w:w w:val="95"/>
        </w:rPr>
        <w:t>the</w:t>
      </w:r>
      <w:r>
        <w:rPr>
          <w:spacing w:val="-1"/>
          <w:w w:val="95"/>
        </w:rPr>
        <w:t xml:space="preserve"> </w:t>
      </w:r>
      <w:r>
        <w:rPr>
          <w:w w:val="95"/>
        </w:rPr>
        <w:t>F6</w:t>
      </w:r>
      <w:r>
        <w:rPr>
          <w:spacing w:val="-1"/>
          <w:w w:val="95"/>
        </w:rPr>
        <w:t xml:space="preserve"> </w:t>
      </w:r>
      <w:r>
        <w:rPr>
          <w:w w:val="95"/>
        </w:rPr>
        <w:t xml:space="preserve">Extension, </w:t>
      </w:r>
      <w:r>
        <w:t>discussed</w:t>
      </w:r>
      <w:r>
        <w:rPr>
          <w:spacing w:val="-6"/>
        </w:rPr>
        <w:t xml:space="preserve"> </w:t>
      </w:r>
      <w:r>
        <w:t>in</w:t>
      </w:r>
      <w:r>
        <w:rPr>
          <w:spacing w:val="-6"/>
        </w:rPr>
        <w:t xml:space="preserve"> </w:t>
      </w:r>
      <w:r>
        <w:t>Section</w:t>
      </w:r>
      <w:r>
        <w:rPr>
          <w:spacing w:val="-6"/>
        </w:rPr>
        <w:t xml:space="preserve"> </w:t>
      </w:r>
      <w:r>
        <w:t>6,</w:t>
      </w:r>
      <w:r>
        <w:rPr>
          <w:spacing w:val="-6"/>
        </w:rPr>
        <w:t xml:space="preserve"> </w:t>
      </w:r>
      <w:r>
        <w:t>will</w:t>
      </w:r>
      <w:r>
        <w:rPr>
          <w:spacing w:val="-6"/>
        </w:rPr>
        <w:t xml:space="preserve"> </w:t>
      </w:r>
      <w:r>
        <w:t>support</w:t>
      </w:r>
      <w:r>
        <w:rPr>
          <w:spacing w:val="-6"/>
        </w:rPr>
        <w:t xml:space="preserve"> </w:t>
      </w:r>
      <w:r>
        <w:t>Port</w:t>
      </w:r>
      <w:r>
        <w:rPr>
          <w:spacing w:val="-6"/>
        </w:rPr>
        <w:t xml:space="preserve"> </w:t>
      </w:r>
      <w:r>
        <w:t>Kembla</w:t>
      </w:r>
      <w:r>
        <w:rPr>
          <w:spacing w:val="-6"/>
        </w:rPr>
        <w:t xml:space="preserve"> </w:t>
      </w:r>
      <w:r>
        <w:t xml:space="preserve">by </w:t>
      </w:r>
      <w:r>
        <w:rPr>
          <w:w w:val="95"/>
        </w:rPr>
        <w:t>providing</w:t>
      </w:r>
      <w:r>
        <w:rPr>
          <w:spacing w:val="-8"/>
          <w:w w:val="95"/>
        </w:rPr>
        <w:t xml:space="preserve"> </w:t>
      </w:r>
      <w:r>
        <w:rPr>
          <w:w w:val="95"/>
        </w:rPr>
        <w:t>an</w:t>
      </w:r>
      <w:r>
        <w:rPr>
          <w:spacing w:val="-7"/>
          <w:w w:val="95"/>
        </w:rPr>
        <w:t xml:space="preserve"> </w:t>
      </w:r>
      <w:r>
        <w:rPr>
          <w:w w:val="95"/>
        </w:rPr>
        <w:t>alternative</w:t>
      </w:r>
      <w:r>
        <w:rPr>
          <w:spacing w:val="-7"/>
          <w:w w:val="95"/>
        </w:rPr>
        <w:t xml:space="preserve"> </w:t>
      </w:r>
      <w:r>
        <w:rPr>
          <w:w w:val="95"/>
        </w:rPr>
        <w:t>route</w:t>
      </w:r>
      <w:r>
        <w:rPr>
          <w:spacing w:val="-7"/>
          <w:w w:val="95"/>
        </w:rPr>
        <w:t xml:space="preserve"> </w:t>
      </w:r>
      <w:r>
        <w:rPr>
          <w:w w:val="95"/>
        </w:rPr>
        <w:t>to</w:t>
      </w:r>
      <w:r>
        <w:rPr>
          <w:spacing w:val="-7"/>
          <w:w w:val="95"/>
        </w:rPr>
        <w:t xml:space="preserve"> </w:t>
      </w:r>
      <w:r>
        <w:rPr>
          <w:w w:val="95"/>
        </w:rPr>
        <w:t>the</w:t>
      </w:r>
      <w:r>
        <w:rPr>
          <w:spacing w:val="-7"/>
          <w:w w:val="95"/>
        </w:rPr>
        <w:t xml:space="preserve"> </w:t>
      </w:r>
      <w:r>
        <w:rPr>
          <w:w w:val="95"/>
        </w:rPr>
        <w:t>metropolitan</w:t>
      </w:r>
      <w:r>
        <w:rPr>
          <w:spacing w:val="-8"/>
          <w:w w:val="95"/>
        </w:rPr>
        <w:t xml:space="preserve"> </w:t>
      </w:r>
      <w:r>
        <w:rPr>
          <w:spacing w:val="-4"/>
          <w:w w:val="95"/>
        </w:rPr>
        <w:t>area.</w:t>
      </w:r>
    </w:p>
    <w:p w:rsidR="002C1123" w:rsidRDefault="00F22F94">
      <w:pPr>
        <w:pStyle w:val="BodyText"/>
        <w:spacing w:before="144" w:line="249" w:lineRule="auto"/>
        <w:ind w:left="492"/>
      </w:pPr>
      <w:r>
        <w:t>The</w:t>
      </w:r>
      <w:r>
        <w:rPr>
          <w:spacing w:val="-9"/>
        </w:rPr>
        <w:t xml:space="preserve"> </w:t>
      </w:r>
      <w:r>
        <w:t>rail</w:t>
      </w:r>
      <w:r>
        <w:rPr>
          <w:spacing w:val="-9"/>
        </w:rPr>
        <w:t xml:space="preserve"> </w:t>
      </w:r>
      <w:r>
        <w:t>network</w:t>
      </w:r>
      <w:r>
        <w:rPr>
          <w:spacing w:val="-9"/>
        </w:rPr>
        <w:t xml:space="preserve"> </w:t>
      </w:r>
      <w:r>
        <w:t>has</w:t>
      </w:r>
      <w:r>
        <w:rPr>
          <w:spacing w:val="-9"/>
        </w:rPr>
        <w:t xml:space="preserve"> </w:t>
      </w:r>
      <w:r>
        <w:t>around</w:t>
      </w:r>
      <w:r>
        <w:rPr>
          <w:spacing w:val="-9"/>
        </w:rPr>
        <w:t xml:space="preserve"> </w:t>
      </w:r>
      <w:r>
        <w:t>a</w:t>
      </w:r>
      <w:r>
        <w:rPr>
          <w:spacing w:val="-9"/>
        </w:rPr>
        <w:t xml:space="preserve"> </w:t>
      </w:r>
      <w:r>
        <w:t>60</w:t>
      </w:r>
      <w:r>
        <w:rPr>
          <w:spacing w:val="-9"/>
        </w:rPr>
        <w:t xml:space="preserve"> </w:t>
      </w:r>
      <w:r>
        <w:t>to</w:t>
      </w:r>
      <w:r>
        <w:rPr>
          <w:spacing w:val="-9"/>
        </w:rPr>
        <w:t xml:space="preserve"> </w:t>
      </w:r>
      <w:r>
        <w:t>65</w:t>
      </w:r>
      <w:r>
        <w:rPr>
          <w:spacing w:val="-9"/>
        </w:rPr>
        <w:t xml:space="preserve"> </w:t>
      </w:r>
      <w:r>
        <w:t>percent</w:t>
      </w:r>
      <w:r>
        <w:rPr>
          <w:spacing w:val="-9"/>
        </w:rPr>
        <w:t xml:space="preserve"> </w:t>
      </w:r>
      <w:r>
        <w:t xml:space="preserve">modal </w:t>
      </w:r>
      <w:r>
        <w:rPr>
          <w:w w:val="95"/>
        </w:rPr>
        <w:t>share</w:t>
      </w:r>
      <w:r>
        <w:rPr>
          <w:spacing w:val="-1"/>
          <w:w w:val="95"/>
        </w:rPr>
        <w:t xml:space="preserve"> </w:t>
      </w:r>
      <w:r>
        <w:rPr>
          <w:w w:val="95"/>
        </w:rPr>
        <w:t>by</w:t>
      </w:r>
      <w:r>
        <w:rPr>
          <w:spacing w:val="-1"/>
          <w:w w:val="95"/>
        </w:rPr>
        <w:t xml:space="preserve"> </w:t>
      </w:r>
      <w:r>
        <w:rPr>
          <w:w w:val="95"/>
        </w:rPr>
        <w:t>volume</w:t>
      </w:r>
      <w:r>
        <w:rPr>
          <w:spacing w:val="-1"/>
          <w:w w:val="95"/>
        </w:rPr>
        <w:t xml:space="preserve"> </w:t>
      </w:r>
      <w:r>
        <w:rPr>
          <w:w w:val="95"/>
        </w:rPr>
        <w:t>for</w:t>
      </w:r>
      <w:r>
        <w:rPr>
          <w:spacing w:val="-1"/>
          <w:w w:val="95"/>
        </w:rPr>
        <w:t xml:space="preserve"> </w:t>
      </w:r>
      <w:r>
        <w:rPr>
          <w:w w:val="95"/>
        </w:rPr>
        <w:t>bulk</w:t>
      </w:r>
      <w:r>
        <w:rPr>
          <w:spacing w:val="-1"/>
          <w:w w:val="95"/>
        </w:rPr>
        <w:t xml:space="preserve"> </w:t>
      </w:r>
      <w:r>
        <w:rPr>
          <w:w w:val="95"/>
        </w:rPr>
        <w:t>exports</w:t>
      </w:r>
      <w:r>
        <w:rPr>
          <w:spacing w:val="-1"/>
          <w:w w:val="95"/>
        </w:rPr>
        <w:t xml:space="preserve"> </w:t>
      </w:r>
      <w:r>
        <w:rPr>
          <w:w w:val="95"/>
        </w:rPr>
        <w:t>through</w:t>
      </w:r>
      <w:r>
        <w:rPr>
          <w:spacing w:val="-1"/>
          <w:w w:val="95"/>
        </w:rPr>
        <w:t xml:space="preserve"> </w:t>
      </w:r>
      <w:r>
        <w:rPr>
          <w:w w:val="95"/>
        </w:rPr>
        <w:t>Port</w:t>
      </w:r>
      <w:r>
        <w:rPr>
          <w:spacing w:val="-1"/>
          <w:w w:val="95"/>
        </w:rPr>
        <w:t xml:space="preserve"> </w:t>
      </w:r>
      <w:r>
        <w:rPr>
          <w:w w:val="95"/>
        </w:rPr>
        <w:t>Kembla</w:t>
      </w:r>
      <w:r>
        <w:rPr>
          <w:w w:val="95"/>
          <w:position w:val="7"/>
          <w:sz w:val="11"/>
        </w:rPr>
        <w:t>25</w:t>
      </w:r>
      <w:r>
        <w:rPr>
          <w:w w:val="95"/>
        </w:rPr>
        <w:t xml:space="preserve">. </w:t>
      </w:r>
      <w:r>
        <w:t>The</w:t>
      </w:r>
      <w:r>
        <w:rPr>
          <w:spacing w:val="-14"/>
        </w:rPr>
        <w:t xml:space="preserve"> </w:t>
      </w:r>
      <w:r>
        <w:t>port</w:t>
      </w:r>
      <w:r>
        <w:rPr>
          <w:spacing w:val="-13"/>
        </w:rPr>
        <w:t xml:space="preserve"> </w:t>
      </w:r>
      <w:r>
        <w:t>is</w:t>
      </w:r>
      <w:r>
        <w:rPr>
          <w:spacing w:val="-14"/>
        </w:rPr>
        <w:t xml:space="preserve"> </w:t>
      </w:r>
      <w:r>
        <w:t>served</w:t>
      </w:r>
      <w:r>
        <w:rPr>
          <w:spacing w:val="-13"/>
        </w:rPr>
        <w:t xml:space="preserve"> </w:t>
      </w:r>
      <w:r>
        <w:t>by</w:t>
      </w:r>
      <w:r>
        <w:rPr>
          <w:spacing w:val="-14"/>
        </w:rPr>
        <w:t xml:space="preserve"> </w:t>
      </w:r>
      <w:r>
        <w:t>three</w:t>
      </w:r>
      <w:r>
        <w:rPr>
          <w:spacing w:val="-13"/>
        </w:rPr>
        <w:t xml:space="preserve"> </w:t>
      </w:r>
      <w:r>
        <w:t>rail</w:t>
      </w:r>
      <w:r>
        <w:rPr>
          <w:spacing w:val="-14"/>
        </w:rPr>
        <w:t xml:space="preserve"> </w:t>
      </w:r>
      <w:r>
        <w:t>lines,</w:t>
      </w:r>
      <w:r>
        <w:rPr>
          <w:spacing w:val="-13"/>
        </w:rPr>
        <w:t xml:space="preserve"> </w:t>
      </w:r>
      <w:r>
        <w:t>as</w:t>
      </w:r>
      <w:r>
        <w:rPr>
          <w:spacing w:val="-14"/>
        </w:rPr>
        <w:t xml:space="preserve"> </w:t>
      </w:r>
      <w:r>
        <w:t>shown</w:t>
      </w:r>
      <w:r>
        <w:rPr>
          <w:spacing w:val="-13"/>
        </w:rPr>
        <w:t xml:space="preserve"> </w:t>
      </w:r>
      <w:r>
        <w:t>in</w:t>
      </w:r>
    </w:p>
    <w:p w:rsidR="002C1123" w:rsidRDefault="00F22F94">
      <w:pPr>
        <w:pStyle w:val="BodyText"/>
        <w:spacing w:before="2"/>
        <w:ind w:left="492"/>
      </w:pPr>
      <w:r>
        <w:rPr>
          <w:w w:val="90"/>
        </w:rPr>
        <w:t>Figure</w:t>
      </w:r>
      <w:r>
        <w:rPr>
          <w:spacing w:val="2"/>
        </w:rPr>
        <w:t xml:space="preserve"> </w:t>
      </w:r>
      <w:r>
        <w:rPr>
          <w:spacing w:val="-4"/>
        </w:rPr>
        <w:t>10.6</w:t>
      </w:r>
    </w:p>
    <w:p w:rsidR="002C1123" w:rsidRDefault="00F22F94">
      <w:pPr>
        <w:pStyle w:val="BodyText"/>
        <w:spacing w:before="152" w:line="249" w:lineRule="auto"/>
        <w:ind w:left="492"/>
      </w:pPr>
      <w:r>
        <w:rPr>
          <w:spacing w:val="-2"/>
        </w:rPr>
        <w:t>The</w:t>
      </w:r>
      <w:r>
        <w:rPr>
          <w:spacing w:val="-6"/>
        </w:rPr>
        <w:t xml:space="preserve"> </w:t>
      </w:r>
      <w:r>
        <w:rPr>
          <w:spacing w:val="-2"/>
        </w:rPr>
        <w:t>Illawarra</w:t>
      </w:r>
      <w:r>
        <w:rPr>
          <w:spacing w:val="-6"/>
        </w:rPr>
        <w:t xml:space="preserve"> </w:t>
      </w:r>
      <w:r>
        <w:rPr>
          <w:spacing w:val="-2"/>
        </w:rPr>
        <w:t>line,</w:t>
      </w:r>
      <w:r>
        <w:rPr>
          <w:spacing w:val="-6"/>
        </w:rPr>
        <w:t xml:space="preserve"> </w:t>
      </w:r>
      <w:r>
        <w:rPr>
          <w:spacing w:val="-2"/>
        </w:rPr>
        <w:t>where</w:t>
      </w:r>
      <w:r>
        <w:rPr>
          <w:spacing w:val="-6"/>
        </w:rPr>
        <w:t xml:space="preserve"> </w:t>
      </w:r>
      <w:r>
        <w:rPr>
          <w:spacing w:val="-2"/>
        </w:rPr>
        <w:t>freight</w:t>
      </w:r>
      <w:r>
        <w:rPr>
          <w:spacing w:val="-6"/>
        </w:rPr>
        <w:t xml:space="preserve"> </w:t>
      </w:r>
      <w:r>
        <w:rPr>
          <w:spacing w:val="-2"/>
        </w:rPr>
        <w:t>and</w:t>
      </w:r>
      <w:r>
        <w:rPr>
          <w:spacing w:val="-6"/>
        </w:rPr>
        <w:t xml:space="preserve"> </w:t>
      </w:r>
      <w:r>
        <w:rPr>
          <w:spacing w:val="-2"/>
        </w:rPr>
        <w:t>passenger</w:t>
      </w:r>
      <w:r>
        <w:rPr>
          <w:spacing w:val="-6"/>
        </w:rPr>
        <w:t xml:space="preserve"> </w:t>
      </w:r>
      <w:r>
        <w:rPr>
          <w:spacing w:val="-2"/>
        </w:rPr>
        <w:t xml:space="preserve">traffic </w:t>
      </w:r>
      <w:r>
        <w:rPr>
          <w:w w:val="95"/>
        </w:rPr>
        <w:t>share</w:t>
      </w:r>
      <w:r>
        <w:rPr>
          <w:spacing w:val="-11"/>
          <w:w w:val="95"/>
        </w:rPr>
        <w:t xml:space="preserve"> </w:t>
      </w:r>
      <w:r>
        <w:rPr>
          <w:w w:val="95"/>
        </w:rPr>
        <w:t>rail</w:t>
      </w:r>
      <w:r>
        <w:rPr>
          <w:spacing w:val="-11"/>
          <w:w w:val="95"/>
        </w:rPr>
        <w:t xml:space="preserve"> </w:t>
      </w:r>
      <w:r>
        <w:rPr>
          <w:w w:val="95"/>
        </w:rPr>
        <w:t>paths,</w:t>
      </w:r>
      <w:r>
        <w:rPr>
          <w:spacing w:val="-11"/>
          <w:w w:val="95"/>
        </w:rPr>
        <w:t xml:space="preserve"> </w:t>
      </w:r>
      <w:r>
        <w:rPr>
          <w:w w:val="95"/>
        </w:rPr>
        <w:t>operates</w:t>
      </w:r>
      <w:r>
        <w:rPr>
          <w:spacing w:val="-11"/>
          <w:w w:val="95"/>
        </w:rPr>
        <w:t xml:space="preserve"> </w:t>
      </w:r>
      <w:r>
        <w:rPr>
          <w:w w:val="95"/>
        </w:rPr>
        <w:t>close</w:t>
      </w:r>
      <w:r>
        <w:rPr>
          <w:spacing w:val="-11"/>
          <w:w w:val="95"/>
        </w:rPr>
        <w:t xml:space="preserve"> </w:t>
      </w:r>
      <w:r>
        <w:rPr>
          <w:w w:val="95"/>
        </w:rPr>
        <w:t>to</w:t>
      </w:r>
      <w:r>
        <w:rPr>
          <w:spacing w:val="-11"/>
          <w:w w:val="95"/>
        </w:rPr>
        <w:t xml:space="preserve"> </w:t>
      </w:r>
      <w:r>
        <w:rPr>
          <w:w w:val="95"/>
        </w:rPr>
        <w:t>capacity.</w:t>
      </w:r>
      <w:r>
        <w:rPr>
          <w:spacing w:val="-11"/>
          <w:w w:val="95"/>
        </w:rPr>
        <w:t xml:space="preserve"> </w:t>
      </w:r>
      <w:r>
        <w:rPr>
          <w:w w:val="95"/>
        </w:rPr>
        <w:t>The</w:t>
      </w:r>
      <w:r>
        <w:rPr>
          <w:spacing w:val="-11"/>
          <w:w w:val="95"/>
        </w:rPr>
        <w:t xml:space="preserve"> </w:t>
      </w:r>
      <w:r>
        <w:rPr>
          <w:w w:val="95"/>
        </w:rPr>
        <w:t xml:space="preserve">Illawarra </w:t>
      </w:r>
      <w:r>
        <w:t>escarpment</w:t>
      </w:r>
      <w:r>
        <w:rPr>
          <w:spacing w:val="-7"/>
        </w:rPr>
        <w:t xml:space="preserve"> </w:t>
      </w:r>
      <w:r>
        <w:t>limits</w:t>
      </w:r>
      <w:r>
        <w:rPr>
          <w:spacing w:val="-7"/>
        </w:rPr>
        <w:t xml:space="preserve"> </w:t>
      </w:r>
      <w:r>
        <w:t>the</w:t>
      </w:r>
      <w:r>
        <w:rPr>
          <w:spacing w:val="-7"/>
        </w:rPr>
        <w:t xml:space="preserve"> </w:t>
      </w:r>
      <w:r>
        <w:t>additional</w:t>
      </w:r>
      <w:r>
        <w:rPr>
          <w:spacing w:val="-7"/>
        </w:rPr>
        <w:t xml:space="preserve"> </w:t>
      </w:r>
      <w:r>
        <w:t>capacity</w:t>
      </w:r>
      <w:r>
        <w:rPr>
          <w:spacing w:val="-7"/>
        </w:rPr>
        <w:t xml:space="preserve"> </w:t>
      </w:r>
      <w:r>
        <w:t>that</w:t>
      </w:r>
      <w:r>
        <w:rPr>
          <w:spacing w:val="-7"/>
        </w:rPr>
        <w:t xml:space="preserve"> </w:t>
      </w:r>
      <w:r>
        <w:t>can</w:t>
      </w:r>
      <w:r>
        <w:rPr>
          <w:spacing w:val="-7"/>
        </w:rPr>
        <w:t xml:space="preserve"> </w:t>
      </w:r>
      <w:r>
        <w:t xml:space="preserve">be </w:t>
      </w:r>
      <w:r>
        <w:rPr>
          <w:w w:val="95"/>
        </w:rPr>
        <w:t>provided</w:t>
      </w:r>
      <w:r>
        <w:rPr>
          <w:spacing w:val="-6"/>
          <w:w w:val="95"/>
        </w:rPr>
        <w:t xml:space="preserve"> </w:t>
      </w:r>
      <w:r>
        <w:rPr>
          <w:w w:val="95"/>
        </w:rPr>
        <w:t>cost–effectively</w:t>
      </w:r>
      <w:r>
        <w:rPr>
          <w:spacing w:val="-6"/>
          <w:w w:val="95"/>
        </w:rPr>
        <w:t xml:space="preserve"> </w:t>
      </w:r>
      <w:r>
        <w:rPr>
          <w:w w:val="95"/>
        </w:rPr>
        <w:t>along</w:t>
      </w:r>
      <w:r>
        <w:rPr>
          <w:spacing w:val="-6"/>
          <w:w w:val="95"/>
        </w:rPr>
        <w:t xml:space="preserve"> </w:t>
      </w:r>
      <w:r>
        <w:rPr>
          <w:w w:val="95"/>
        </w:rPr>
        <w:t>the</w:t>
      </w:r>
      <w:r>
        <w:rPr>
          <w:spacing w:val="-6"/>
          <w:w w:val="95"/>
        </w:rPr>
        <w:t xml:space="preserve"> </w:t>
      </w:r>
      <w:r>
        <w:rPr>
          <w:w w:val="95"/>
        </w:rPr>
        <w:t>Illawarra</w:t>
      </w:r>
      <w:r>
        <w:rPr>
          <w:spacing w:val="-6"/>
          <w:w w:val="95"/>
        </w:rPr>
        <w:t xml:space="preserve"> </w:t>
      </w:r>
      <w:r>
        <w:rPr>
          <w:w w:val="95"/>
        </w:rPr>
        <w:t>Line</w:t>
      </w:r>
      <w:r>
        <w:rPr>
          <w:spacing w:val="-6"/>
          <w:w w:val="95"/>
        </w:rPr>
        <w:t xml:space="preserve"> </w:t>
      </w:r>
      <w:r>
        <w:rPr>
          <w:w w:val="95"/>
        </w:rPr>
        <w:t xml:space="preserve">without significant investment. There are limited opportunities to </w:t>
      </w:r>
      <w:r>
        <w:t>expand</w:t>
      </w:r>
      <w:r>
        <w:rPr>
          <w:spacing w:val="-8"/>
        </w:rPr>
        <w:t xml:space="preserve"> </w:t>
      </w:r>
      <w:r>
        <w:t>freight</w:t>
      </w:r>
      <w:r>
        <w:rPr>
          <w:spacing w:val="-8"/>
        </w:rPr>
        <w:t xml:space="preserve"> </w:t>
      </w:r>
      <w:r>
        <w:t>volumes</w:t>
      </w:r>
      <w:r>
        <w:rPr>
          <w:spacing w:val="-8"/>
        </w:rPr>
        <w:t xml:space="preserve"> </w:t>
      </w:r>
      <w:r>
        <w:t>along</w:t>
      </w:r>
      <w:r>
        <w:rPr>
          <w:spacing w:val="-8"/>
        </w:rPr>
        <w:t xml:space="preserve"> </w:t>
      </w:r>
      <w:r>
        <w:t>this</w:t>
      </w:r>
      <w:r>
        <w:rPr>
          <w:spacing w:val="-8"/>
        </w:rPr>
        <w:t xml:space="preserve"> </w:t>
      </w:r>
      <w:r>
        <w:t>line.</w:t>
      </w:r>
    </w:p>
    <w:p w:rsidR="002C1123" w:rsidRDefault="00F22F94">
      <w:pPr>
        <w:pStyle w:val="BodyText"/>
        <w:spacing w:before="147" w:line="249" w:lineRule="auto"/>
        <w:ind w:left="492" w:right="285"/>
      </w:pPr>
      <w:r>
        <w:rPr>
          <w:w w:val="95"/>
        </w:rPr>
        <w:t>An</w:t>
      </w:r>
      <w:r>
        <w:rPr>
          <w:spacing w:val="-12"/>
          <w:w w:val="95"/>
        </w:rPr>
        <w:t xml:space="preserve"> </w:t>
      </w:r>
      <w:r>
        <w:rPr>
          <w:w w:val="95"/>
        </w:rPr>
        <w:t>alternative</w:t>
      </w:r>
      <w:r>
        <w:rPr>
          <w:spacing w:val="-11"/>
          <w:w w:val="95"/>
        </w:rPr>
        <w:t xml:space="preserve"> </w:t>
      </w:r>
      <w:r>
        <w:rPr>
          <w:w w:val="95"/>
        </w:rPr>
        <w:t>for</w:t>
      </w:r>
      <w:r>
        <w:rPr>
          <w:spacing w:val="-11"/>
          <w:w w:val="95"/>
        </w:rPr>
        <w:t xml:space="preserve"> </w:t>
      </w:r>
      <w:r>
        <w:rPr>
          <w:w w:val="95"/>
        </w:rPr>
        <w:t>freight</w:t>
      </w:r>
      <w:r>
        <w:rPr>
          <w:spacing w:val="-11"/>
          <w:w w:val="95"/>
        </w:rPr>
        <w:t xml:space="preserve"> </w:t>
      </w:r>
      <w:r>
        <w:rPr>
          <w:w w:val="95"/>
        </w:rPr>
        <w:t>is</w:t>
      </w:r>
      <w:r>
        <w:rPr>
          <w:spacing w:val="-11"/>
          <w:w w:val="95"/>
        </w:rPr>
        <w:t xml:space="preserve"> </w:t>
      </w:r>
      <w:r>
        <w:rPr>
          <w:w w:val="95"/>
        </w:rPr>
        <w:t>the</w:t>
      </w:r>
      <w:r>
        <w:rPr>
          <w:spacing w:val="-11"/>
          <w:w w:val="95"/>
        </w:rPr>
        <w:t xml:space="preserve"> </w:t>
      </w:r>
      <w:r>
        <w:rPr>
          <w:w w:val="95"/>
        </w:rPr>
        <w:t>Moss</w:t>
      </w:r>
      <w:r>
        <w:rPr>
          <w:spacing w:val="-11"/>
          <w:w w:val="95"/>
        </w:rPr>
        <w:t xml:space="preserve"> </w:t>
      </w:r>
      <w:r>
        <w:rPr>
          <w:w w:val="95"/>
        </w:rPr>
        <w:t xml:space="preserve">Vale–Unanderra </w:t>
      </w:r>
      <w:r>
        <w:t>line,</w:t>
      </w:r>
      <w:r>
        <w:rPr>
          <w:spacing w:val="-11"/>
        </w:rPr>
        <w:t xml:space="preserve"> </w:t>
      </w:r>
      <w:r>
        <w:t>which</w:t>
      </w:r>
      <w:r>
        <w:rPr>
          <w:spacing w:val="-11"/>
        </w:rPr>
        <w:t xml:space="preserve"> </w:t>
      </w:r>
      <w:r>
        <w:t>is</w:t>
      </w:r>
      <w:r>
        <w:rPr>
          <w:spacing w:val="-11"/>
        </w:rPr>
        <w:t xml:space="preserve"> </w:t>
      </w:r>
      <w:r>
        <w:t>underutilised</w:t>
      </w:r>
      <w:r>
        <w:rPr>
          <w:spacing w:val="-11"/>
        </w:rPr>
        <w:t xml:space="preserve"> </w:t>
      </w:r>
      <w:r>
        <w:t>and</w:t>
      </w:r>
      <w:r>
        <w:rPr>
          <w:spacing w:val="-11"/>
        </w:rPr>
        <w:t xml:space="preserve"> </w:t>
      </w:r>
      <w:r>
        <w:t>has</w:t>
      </w:r>
      <w:r>
        <w:rPr>
          <w:spacing w:val="-11"/>
        </w:rPr>
        <w:t xml:space="preserve"> </w:t>
      </w:r>
      <w:r>
        <w:t>spare</w:t>
      </w:r>
      <w:r>
        <w:rPr>
          <w:spacing w:val="-11"/>
        </w:rPr>
        <w:t xml:space="preserve"> </w:t>
      </w:r>
      <w:r>
        <w:t>capacity for</w:t>
      </w:r>
      <w:r>
        <w:rPr>
          <w:spacing w:val="-14"/>
        </w:rPr>
        <w:t xml:space="preserve"> </w:t>
      </w:r>
      <w:r>
        <w:t>approximately</w:t>
      </w:r>
      <w:r>
        <w:rPr>
          <w:spacing w:val="-14"/>
        </w:rPr>
        <w:t xml:space="preserve"> </w:t>
      </w:r>
      <w:r>
        <w:t>an</w:t>
      </w:r>
      <w:r>
        <w:rPr>
          <w:spacing w:val="-13"/>
        </w:rPr>
        <w:t xml:space="preserve"> </w:t>
      </w:r>
      <w:r>
        <w:t>additional</w:t>
      </w:r>
      <w:r>
        <w:rPr>
          <w:spacing w:val="-14"/>
        </w:rPr>
        <w:t xml:space="preserve"> </w:t>
      </w:r>
      <w:r>
        <w:t>6.5</w:t>
      </w:r>
      <w:r>
        <w:rPr>
          <w:spacing w:val="-14"/>
        </w:rPr>
        <w:t xml:space="preserve"> </w:t>
      </w:r>
      <w:r>
        <w:t>million</w:t>
      </w:r>
      <w:r>
        <w:rPr>
          <w:spacing w:val="-13"/>
        </w:rPr>
        <w:t xml:space="preserve"> </w:t>
      </w:r>
      <w:r>
        <w:t>tonnes per</w:t>
      </w:r>
      <w:r>
        <w:rPr>
          <w:spacing w:val="-11"/>
        </w:rPr>
        <w:t xml:space="preserve"> </w:t>
      </w:r>
      <w:r>
        <w:t>annum</w:t>
      </w:r>
      <w:r>
        <w:rPr>
          <w:position w:val="7"/>
          <w:sz w:val="11"/>
        </w:rPr>
        <w:t>26</w:t>
      </w:r>
      <w:r>
        <w:t>.</w:t>
      </w:r>
    </w:p>
    <w:p w:rsidR="002C1123" w:rsidRDefault="00F22F94">
      <w:pPr>
        <w:pStyle w:val="BodyText"/>
        <w:spacing w:before="106" w:line="249" w:lineRule="auto"/>
        <w:ind w:left="492" w:right="835"/>
      </w:pPr>
      <w:r>
        <w:br w:type="column"/>
      </w:r>
      <w:r>
        <w:rPr>
          <w:w w:val="95"/>
        </w:rPr>
        <w:t>Should</w:t>
      </w:r>
      <w:r>
        <w:rPr>
          <w:spacing w:val="-2"/>
          <w:w w:val="95"/>
        </w:rPr>
        <w:t xml:space="preserve"> </w:t>
      </w:r>
      <w:r>
        <w:rPr>
          <w:w w:val="95"/>
        </w:rPr>
        <w:t>Port</w:t>
      </w:r>
      <w:r>
        <w:rPr>
          <w:spacing w:val="-2"/>
          <w:w w:val="95"/>
        </w:rPr>
        <w:t xml:space="preserve"> </w:t>
      </w:r>
      <w:r>
        <w:rPr>
          <w:w w:val="95"/>
        </w:rPr>
        <w:t>Kembla</w:t>
      </w:r>
      <w:r>
        <w:rPr>
          <w:spacing w:val="-2"/>
          <w:w w:val="95"/>
        </w:rPr>
        <w:t xml:space="preserve"> </w:t>
      </w:r>
      <w:r>
        <w:rPr>
          <w:w w:val="95"/>
        </w:rPr>
        <w:t>grow</w:t>
      </w:r>
      <w:r>
        <w:rPr>
          <w:spacing w:val="-2"/>
          <w:w w:val="95"/>
        </w:rPr>
        <w:t xml:space="preserve"> </w:t>
      </w:r>
      <w:r>
        <w:rPr>
          <w:w w:val="95"/>
        </w:rPr>
        <w:t>as</w:t>
      </w:r>
      <w:r>
        <w:rPr>
          <w:spacing w:val="-2"/>
          <w:w w:val="95"/>
        </w:rPr>
        <w:t xml:space="preserve"> </w:t>
      </w:r>
      <w:r>
        <w:rPr>
          <w:w w:val="95"/>
        </w:rPr>
        <w:t>rapidly</w:t>
      </w:r>
      <w:r>
        <w:rPr>
          <w:spacing w:val="-2"/>
          <w:w w:val="95"/>
        </w:rPr>
        <w:t xml:space="preserve"> </w:t>
      </w:r>
      <w:r>
        <w:rPr>
          <w:w w:val="95"/>
        </w:rPr>
        <w:t>as</w:t>
      </w:r>
      <w:r>
        <w:rPr>
          <w:spacing w:val="-2"/>
          <w:w w:val="95"/>
        </w:rPr>
        <w:t xml:space="preserve"> </w:t>
      </w:r>
      <w:r>
        <w:rPr>
          <w:w w:val="95"/>
        </w:rPr>
        <w:t>forecast,</w:t>
      </w:r>
      <w:r>
        <w:rPr>
          <w:spacing w:val="-2"/>
          <w:w w:val="95"/>
        </w:rPr>
        <w:t xml:space="preserve"> </w:t>
      </w:r>
      <w:r>
        <w:rPr>
          <w:w w:val="95"/>
        </w:rPr>
        <w:t>there will</w:t>
      </w:r>
      <w:r>
        <w:rPr>
          <w:spacing w:val="-9"/>
          <w:w w:val="95"/>
        </w:rPr>
        <w:t xml:space="preserve"> </w:t>
      </w:r>
      <w:r>
        <w:rPr>
          <w:w w:val="95"/>
        </w:rPr>
        <w:t>be</w:t>
      </w:r>
      <w:r>
        <w:rPr>
          <w:spacing w:val="-9"/>
          <w:w w:val="95"/>
        </w:rPr>
        <w:t xml:space="preserve"> </w:t>
      </w:r>
      <w:r>
        <w:rPr>
          <w:w w:val="95"/>
        </w:rPr>
        <w:t>a</w:t>
      </w:r>
      <w:r>
        <w:rPr>
          <w:spacing w:val="-9"/>
          <w:w w:val="95"/>
        </w:rPr>
        <w:t xml:space="preserve"> </w:t>
      </w:r>
      <w:r>
        <w:rPr>
          <w:w w:val="95"/>
        </w:rPr>
        <w:t>need</w:t>
      </w:r>
      <w:r>
        <w:rPr>
          <w:spacing w:val="-9"/>
          <w:w w:val="95"/>
        </w:rPr>
        <w:t xml:space="preserve"> </w:t>
      </w:r>
      <w:r>
        <w:rPr>
          <w:w w:val="95"/>
        </w:rPr>
        <w:t>for</w:t>
      </w:r>
      <w:r>
        <w:rPr>
          <w:spacing w:val="-9"/>
          <w:w w:val="95"/>
        </w:rPr>
        <w:t xml:space="preserve"> </w:t>
      </w:r>
      <w:r>
        <w:rPr>
          <w:w w:val="95"/>
        </w:rPr>
        <w:t>major</w:t>
      </w:r>
      <w:r>
        <w:rPr>
          <w:spacing w:val="-9"/>
          <w:w w:val="95"/>
        </w:rPr>
        <w:t xml:space="preserve"> </w:t>
      </w:r>
      <w:r>
        <w:rPr>
          <w:w w:val="95"/>
        </w:rPr>
        <w:t>investment</w:t>
      </w:r>
      <w:r>
        <w:rPr>
          <w:spacing w:val="-9"/>
          <w:w w:val="95"/>
        </w:rPr>
        <w:t xml:space="preserve"> </w:t>
      </w:r>
      <w:r>
        <w:rPr>
          <w:w w:val="95"/>
        </w:rPr>
        <w:t>in</w:t>
      </w:r>
      <w:r>
        <w:rPr>
          <w:spacing w:val="-9"/>
          <w:w w:val="95"/>
        </w:rPr>
        <w:t xml:space="preserve"> </w:t>
      </w:r>
      <w:r>
        <w:rPr>
          <w:w w:val="95"/>
        </w:rPr>
        <w:t>rail</w:t>
      </w:r>
      <w:r>
        <w:rPr>
          <w:spacing w:val="-9"/>
          <w:w w:val="95"/>
        </w:rPr>
        <w:t xml:space="preserve"> </w:t>
      </w:r>
      <w:r>
        <w:rPr>
          <w:w w:val="95"/>
        </w:rPr>
        <w:t>capacity</w:t>
      </w:r>
      <w:r>
        <w:rPr>
          <w:spacing w:val="-9"/>
          <w:w w:val="95"/>
        </w:rPr>
        <w:t xml:space="preserve"> </w:t>
      </w:r>
      <w:r>
        <w:rPr>
          <w:w w:val="95"/>
        </w:rPr>
        <w:t xml:space="preserve">over </w:t>
      </w:r>
      <w:r>
        <w:t>and</w:t>
      </w:r>
      <w:r>
        <w:rPr>
          <w:spacing w:val="-14"/>
        </w:rPr>
        <w:t xml:space="preserve"> </w:t>
      </w:r>
      <w:r>
        <w:t>above</w:t>
      </w:r>
      <w:r>
        <w:rPr>
          <w:spacing w:val="-14"/>
        </w:rPr>
        <w:t xml:space="preserve"> </w:t>
      </w:r>
      <w:r>
        <w:t>the</w:t>
      </w:r>
      <w:r>
        <w:rPr>
          <w:spacing w:val="-14"/>
        </w:rPr>
        <w:t xml:space="preserve"> </w:t>
      </w:r>
      <w:r>
        <w:t>potential</w:t>
      </w:r>
      <w:r>
        <w:rPr>
          <w:spacing w:val="-14"/>
        </w:rPr>
        <w:t xml:space="preserve"> </w:t>
      </w:r>
      <w:r>
        <w:t>offered</w:t>
      </w:r>
      <w:r>
        <w:rPr>
          <w:spacing w:val="-14"/>
        </w:rPr>
        <w:t xml:space="preserve"> </w:t>
      </w:r>
      <w:r>
        <w:t>by</w:t>
      </w:r>
      <w:r>
        <w:rPr>
          <w:spacing w:val="-14"/>
        </w:rPr>
        <w:t xml:space="preserve"> </w:t>
      </w:r>
      <w:r>
        <w:t>the</w:t>
      </w:r>
      <w:r>
        <w:rPr>
          <w:spacing w:val="-13"/>
        </w:rPr>
        <w:t xml:space="preserve"> </w:t>
      </w:r>
      <w:r>
        <w:t>Moss</w:t>
      </w:r>
      <w:r>
        <w:rPr>
          <w:spacing w:val="-14"/>
        </w:rPr>
        <w:t xml:space="preserve"> </w:t>
      </w:r>
      <w:r>
        <w:t>Vale– Unanderra</w:t>
      </w:r>
      <w:r>
        <w:rPr>
          <w:spacing w:val="-6"/>
        </w:rPr>
        <w:t xml:space="preserve"> </w:t>
      </w:r>
      <w:r>
        <w:t>Line</w:t>
      </w:r>
      <w:r>
        <w:rPr>
          <w:spacing w:val="-6"/>
        </w:rPr>
        <w:t xml:space="preserve"> </w:t>
      </w:r>
      <w:r>
        <w:t>over</w:t>
      </w:r>
      <w:r>
        <w:rPr>
          <w:spacing w:val="-6"/>
        </w:rPr>
        <w:t xml:space="preserve"> </w:t>
      </w:r>
      <w:r>
        <w:t>the</w:t>
      </w:r>
      <w:r>
        <w:rPr>
          <w:spacing w:val="-6"/>
        </w:rPr>
        <w:t xml:space="preserve"> </w:t>
      </w:r>
      <w:r>
        <w:t>medium</w:t>
      </w:r>
      <w:r>
        <w:rPr>
          <w:spacing w:val="-6"/>
        </w:rPr>
        <w:t xml:space="preserve"> </w:t>
      </w:r>
      <w:r>
        <w:t>term.</w:t>
      </w:r>
    </w:p>
    <w:p w:rsidR="002C1123" w:rsidRDefault="002060EF">
      <w:pPr>
        <w:pStyle w:val="BodyText"/>
        <w:spacing w:before="145" w:line="249" w:lineRule="auto"/>
        <w:ind w:left="492" w:right="975"/>
      </w:pPr>
      <w:r>
        <w:pict>
          <v:group id="docshapegroup1904" o:spid="_x0000_s3171" style="position:absolute;left:0;text-align:left;margin-left:299.95pt;margin-top:-46.6pt;width:241pt;height:279.1pt;z-index:251545600;mso-position-horizontal-relative:page" coordorigin="5999,-932" coordsize="4820,5582">
            <v:shape id="docshape1905" o:spid="_x0000_s3182" type="#_x0000_t75" style="position:absolute;left:5998;top:-933;width:4820;height:5582">
              <v:imagedata r:id="rId203" o:title=""/>
            </v:shape>
            <v:shape id="docshape1906" o:spid="_x0000_s3181" type="#_x0000_t202" style="position:absolute;left:6626;top:299;width:490;height:281" filled="f" stroked="f">
              <v:textbox inset="0,0,0,0">
                <w:txbxContent>
                  <w:p w:rsidR="00F22F94" w:rsidRDefault="00F22F94">
                    <w:pPr>
                      <w:spacing w:before="1" w:line="242" w:lineRule="auto"/>
                      <w:rPr>
                        <w:sz w:val="12"/>
                      </w:rPr>
                    </w:pPr>
                    <w:r>
                      <w:rPr>
                        <w:color w:val="FFFFFF"/>
                        <w:spacing w:val="-2"/>
                        <w:w w:val="85"/>
                        <w:sz w:val="12"/>
                      </w:rPr>
                      <w:t>M5/Hume</w:t>
                    </w:r>
                    <w:r>
                      <w:rPr>
                        <w:color w:val="FFFFFF"/>
                        <w:spacing w:val="40"/>
                        <w:sz w:val="12"/>
                      </w:rPr>
                      <w:t xml:space="preserve"> </w:t>
                    </w:r>
                    <w:r>
                      <w:rPr>
                        <w:color w:val="FFFFFF"/>
                        <w:spacing w:val="-2"/>
                        <w:w w:val="95"/>
                        <w:sz w:val="12"/>
                      </w:rPr>
                      <w:t>Highway</w:t>
                    </w:r>
                  </w:p>
                </w:txbxContent>
              </v:textbox>
            </v:shape>
            <v:shape id="docshape1907" o:spid="_x0000_s3180" type="#_x0000_t202" style="position:absolute;left:6131;top:1247;width:793;height:398" filled="f" stroked="f">
              <v:textbox inset="0,0,0,0">
                <w:txbxContent>
                  <w:p w:rsidR="00F22F94" w:rsidRDefault="00F22F94">
                    <w:pPr>
                      <w:spacing w:line="182" w:lineRule="exact"/>
                      <w:rPr>
                        <w:sz w:val="16"/>
                      </w:rPr>
                    </w:pPr>
                    <w:r>
                      <w:rPr>
                        <w:spacing w:val="-2"/>
                        <w:w w:val="90"/>
                        <w:sz w:val="16"/>
                      </w:rPr>
                      <w:t>Picton</w:t>
                    </w:r>
                  </w:p>
                  <w:p w:rsidR="00F22F94" w:rsidRDefault="00F22F94">
                    <w:pPr>
                      <w:spacing w:before="33" w:line="183" w:lineRule="exact"/>
                      <w:ind w:left="346"/>
                      <w:rPr>
                        <w:sz w:val="16"/>
                      </w:rPr>
                    </w:pPr>
                    <w:r>
                      <w:rPr>
                        <w:spacing w:val="-2"/>
                        <w:w w:val="80"/>
                        <w:sz w:val="16"/>
                      </w:rPr>
                      <w:t>Maldon</w:t>
                    </w:r>
                  </w:p>
                </w:txbxContent>
              </v:textbox>
            </v:shape>
            <v:shape id="docshape1908" o:spid="_x0000_s3179" type="#_x0000_t202" style="position:absolute;left:7798;top:1258;width:717;height:496" filled="f" stroked="f">
              <v:textbox inset="0,0,0,0">
                <w:txbxContent>
                  <w:p w:rsidR="00F22F94" w:rsidRDefault="00F22F94">
                    <w:pPr>
                      <w:spacing w:before="1"/>
                      <w:rPr>
                        <w:sz w:val="12"/>
                      </w:rPr>
                    </w:pPr>
                    <w:r>
                      <w:rPr>
                        <w:color w:val="FFFFFF"/>
                        <w:w w:val="85"/>
                        <w:sz w:val="12"/>
                      </w:rPr>
                      <w:t>Appin</w:t>
                    </w:r>
                    <w:r>
                      <w:rPr>
                        <w:color w:val="FFFFFF"/>
                        <w:spacing w:val="4"/>
                        <w:sz w:val="12"/>
                      </w:rPr>
                      <w:t xml:space="preserve"> </w:t>
                    </w:r>
                    <w:r>
                      <w:rPr>
                        <w:color w:val="FFFFFF"/>
                        <w:spacing w:val="-4"/>
                        <w:w w:val="95"/>
                        <w:sz w:val="12"/>
                      </w:rPr>
                      <w:t>Road</w:t>
                    </w:r>
                  </w:p>
                  <w:p w:rsidR="00F22F94" w:rsidRDefault="00F22F94">
                    <w:pPr>
                      <w:spacing w:before="11"/>
                      <w:rPr>
                        <w:sz w:val="18"/>
                      </w:rPr>
                    </w:pPr>
                  </w:p>
                  <w:p w:rsidR="00F22F94" w:rsidRDefault="00F22F94">
                    <w:pPr>
                      <w:ind w:left="144"/>
                      <w:rPr>
                        <w:sz w:val="12"/>
                      </w:rPr>
                    </w:pPr>
                    <w:r>
                      <w:rPr>
                        <w:color w:val="FFFFFF"/>
                        <w:w w:val="80"/>
                        <w:sz w:val="12"/>
                      </w:rPr>
                      <w:t>F6</w:t>
                    </w:r>
                    <w:r>
                      <w:rPr>
                        <w:color w:val="FFFFFF"/>
                        <w:spacing w:val="-1"/>
                        <w:sz w:val="12"/>
                      </w:rPr>
                      <w:t xml:space="preserve"> </w:t>
                    </w:r>
                    <w:r>
                      <w:rPr>
                        <w:color w:val="FFFFFF"/>
                        <w:spacing w:val="-2"/>
                        <w:w w:val="90"/>
                        <w:sz w:val="12"/>
                      </w:rPr>
                      <w:t>Freeway</w:t>
                    </w:r>
                  </w:p>
                </w:txbxContent>
              </v:textbox>
            </v:shape>
            <v:shape id="docshape1909" o:spid="_x0000_s3178" type="#_x0000_t202" style="position:absolute;left:9464;top:1768;width:883;height:141" filled="f" stroked="f">
              <v:textbox inset="0,0,0,0">
                <w:txbxContent>
                  <w:p w:rsidR="00F22F94" w:rsidRDefault="00F22F94">
                    <w:pPr>
                      <w:spacing w:before="1"/>
                      <w:rPr>
                        <w:sz w:val="12"/>
                      </w:rPr>
                    </w:pPr>
                    <w:r>
                      <w:rPr>
                        <w:color w:val="FFFFFF"/>
                        <w:w w:val="85"/>
                        <w:sz w:val="12"/>
                      </w:rPr>
                      <w:t>Illawarra</w:t>
                    </w:r>
                    <w:r>
                      <w:rPr>
                        <w:color w:val="FFFFFF"/>
                        <w:spacing w:val="11"/>
                        <w:sz w:val="12"/>
                      </w:rPr>
                      <w:t xml:space="preserve"> </w:t>
                    </w:r>
                    <w:r>
                      <w:rPr>
                        <w:color w:val="FFFFFF"/>
                        <w:w w:val="85"/>
                        <w:sz w:val="12"/>
                      </w:rPr>
                      <w:t>Rail</w:t>
                    </w:r>
                    <w:r>
                      <w:rPr>
                        <w:color w:val="FFFFFF"/>
                        <w:spacing w:val="12"/>
                        <w:sz w:val="12"/>
                      </w:rPr>
                      <w:t xml:space="preserve"> </w:t>
                    </w:r>
                    <w:r>
                      <w:rPr>
                        <w:color w:val="FFFFFF"/>
                        <w:spacing w:val="-4"/>
                        <w:w w:val="85"/>
                        <w:sz w:val="12"/>
                      </w:rPr>
                      <w:t>Line</w:t>
                    </w:r>
                  </w:p>
                </w:txbxContent>
              </v:textbox>
            </v:shape>
            <v:shape id="docshape1910" o:spid="_x0000_s3177" type="#_x0000_t202" style="position:absolute;left:7413;top:2386;width:592;height:141" filled="f" stroked="f">
              <v:textbox inset="0,0,0,0">
                <w:txbxContent>
                  <w:p w:rsidR="00F22F94" w:rsidRDefault="00F22F94">
                    <w:pPr>
                      <w:spacing w:before="1"/>
                      <w:rPr>
                        <w:sz w:val="12"/>
                      </w:rPr>
                    </w:pPr>
                    <w:r>
                      <w:rPr>
                        <w:color w:val="FFFFFF"/>
                        <w:w w:val="85"/>
                        <w:sz w:val="12"/>
                      </w:rPr>
                      <w:t>Picton</w:t>
                    </w:r>
                    <w:r>
                      <w:rPr>
                        <w:color w:val="FFFFFF"/>
                        <w:spacing w:val="7"/>
                        <w:sz w:val="12"/>
                      </w:rPr>
                      <w:t xml:space="preserve"> </w:t>
                    </w:r>
                    <w:r>
                      <w:rPr>
                        <w:color w:val="FFFFFF"/>
                        <w:spacing w:val="-4"/>
                        <w:w w:val="90"/>
                        <w:sz w:val="12"/>
                      </w:rPr>
                      <w:t>Road</w:t>
                    </w:r>
                  </w:p>
                </w:txbxContent>
              </v:textbox>
            </v:shape>
            <v:shape id="docshape1911" o:spid="_x0000_s3176" type="#_x0000_t202" style="position:absolute;left:6166;top:3190;width:556;height:421" filled="f" stroked="f">
              <v:textbox inset="0,0,0,0">
                <w:txbxContent>
                  <w:p w:rsidR="00F22F94" w:rsidRDefault="00F22F94">
                    <w:pPr>
                      <w:spacing w:before="1" w:line="242" w:lineRule="auto"/>
                      <w:rPr>
                        <w:sz w:val="12"/>
                      </w:rPr>
                    </w:pPr>
                    <w:r>
                      <w:rPr>
                        <w:color w:val="FFFFFF"/>
                        <w:spacing w:val="-2"/>
                        <w:w w:val="95"/>
                        <w:sz w:val="12"/>
                      </w:rPr>
                      <w:t>Maldon</w:t>
                    </w:r>
                    <w:r>
                      <w:rPr>
                        <w:color w:val="FFFFFF"/>
                        <w:spacing w:val="40"/>
                        <w:sz w:val="12"/>
                      </w:rPr>
                      <w:t xml:space="preserve"> </w:t>
                    </w:r>
                    <w:r>
                      <w:rPr>
                        <w:color w:val="FFFFFF"/>
                        <w:spacing w:val="-2"/>
                        <w:w w:val="85"/>
                        <w:sz w:val="12"/>
                      </w:rPr>
                      <w:t>Dombarton</w:t>
                    </w:r>
                    <w:r>
                      <w:rPr>
                        <w:color w:val="FFFFFF"/>
                        <w:spacing w:val="40"/>
                        <w:sz w:val="12"/>
                      </w:rPr>
                      <w:t xml:space="preserve"> </w:t>
                    </w:r>
                    <w:r>
                      <w:rPr>
                        <w:color w:val="FFFFFF"/>
                        <w:spacing w:val="-2"/>
                        <w:w w:val="95"/>
                        <w:sz w:val="12"/>
                      </w:rPr>
                      <w:t>Railway</w:t>
                    </w:r>
                  </w:p>
                </w:txbxContent>
              </v:textbox>
            </v:shape>
            <v:shape id="docshape1912" o:spid="_x0000_s3175" type="#_x0000_t202" style="position:absolute;left:8444;top:3284;width:693;height:181" filled="f" stroked="f">
              <v:textbox inset="0,0,0,0">
                <w:txbxContent>
                  <w:p w:rsidR="00F22F94" w:rsidRDefault="00F22F94">
                    <w:pPr>
                      <w:spacing w:line="181" w:lineRule="exact"/>
                      <w:rPr>
                        <w:sz w:val="16"/>
                      </w:rPr>
                    </w:pPr>
                    <w:r>
                      <w:rPr>
                        <w:spacing w:val="-2"/>
                        <w:w w:val="80"/>
                        <w:sz w:val="16"/>
                      </w:rPr>
                      <w:t>Wollongong</w:t>
                    </w:r>
                  </w:p>
                </w:txbxContent>
              </v:textbox>
            </v:shape>
            <v:shape id="docshape1913" o:spid="_x0000_s3174" type="#_x0000_t202" style="position:absolute;left:6131;top:3742;width:2940;height:814" filled="f" stroked="f">
              <v:textbox inset="0,0,0,0">
                <w:txbxContent>
                  <w:p w:rsidR="00F22F94" w:rsidRDefault="00F22F94">
                    <w:pPr>
                      <w:tabs>
                        <w:tab w:val="left" w:pos="2213"/>
                      </w:tabs>
                      <w:spacing w:line="199" w:lineRule="exact"/>
                      <w:ind w:left="420"/>
                      <w:rPr>
                        <w:sz w:val="16"/>
                      </w:rPr>
                    </w:pPr>
                    <w:r>
                      <w:rPr>
                        <w:spacing w:val="-2"/>
                        <w:w w:val="90"/>
                        <w:position w:val="2"/>
                        <w:sz w:val="16"/>
                      </w:rPr>
                      <w:t>Dombarton</w:t>
                    </w:r>
                    <w:r>
                      <w:rPr>
                        <w:position w:val="2"/>
                        <w:sz w:val="16"/>
                      </w:rPr>
                      <w:tab/>
                    </w:r>
                    <w:r>
                      <w:rPr>
                        <w:w w:val="75"/>
                        <w:sz w:val="16"/>
                      </w:rPr>
                      <w:t>Port</w:t>
                    </w:r>
                    <w:r>
                      <w:rPr>
                        <w:spacing w:val="6"/>
                        <w:sz w:val="16"/>
                      </w:rPr>
                      <w:t xml:space="preserve"> </w:t>
                    </w:r>
                    <w:r>
                      <w:rPr>
                        <w:spacing w:val="-2"/>
                        <w:w w:val="80"/>
                        <w:sz w:val="16"/>
                      </w:rPr>
                      <w:t>Kembla</w:t>
                    </w:r>
                  </w:p>
                  <w:p w:rsidR="00F22F94" w:rsidRDefault="00F22F94">
                    <w:pPr>
                      <w:spacing w:before="1"/>
                      <w:rPr>
                        <w:sz w:val="17"/>
                      </w:rPr>
                    </w:pPr>
                  </w:p>
                  <w:p w:rsidR="00F22F94" w:rsidRDefault="00F22F94">
                    <w:pPr>
                      <w:ind w:left="1172"/>
                      <w:rPr>
                        <w:sz w:val="12"/>
                      </w:rPr>
                    </w:pPr>
                    <w:r>
                      <w:rPr>
                        <w:color w:val="FFFFFF"/>
                        <w:w w:val="80"/>
                        <w:sz w:val="12"/>
                      </w:rPr>
                      <w:t>Moss</w:t>
                    </w:r>
                    <w:r>
                      <w:rPr>
                        <w:color w:val="FFFFFF"/>
                        <w:spacing w:val="19"/>
                        <w:sz w:val="12"/>
                      </w:rPr>
                      <w:t xml:space="preserve"> </w:t>
                    </w:r>
                    <w:r>
                      <w:rPr>
                        <w:color w:val="FFFFFF"/>
                        <w:w w:val="80"/>
                        <w:sz w:val="12"/>
                      </w:rPr>
                      <w:t>Vale</w:t>
                    </w:r>
                    <w:r>
                      <w:rPr>
                        <w:color w:val="FFFFFF"/>
                        <w:spacing w:val="19"/>
                        <w:sz w:val="12"/>
                      </w:rPr>
                      <w:t xml:space="preserve"> </w:t>
                    </w:r>
                    <w:r>
                      <w:rPr>
                        <w:color w:val="FFFFFF"/>
                        <w:w w:val="80"/>
                        <w:sz w:val="12"/>
                      </w:rPr>
                      <w:t>Unanderra</w:t>
                    </w:r>
                    <w:r>
                      <w:rPr>
                        <w:color w:val="FFFFFF"/>
                        <w:spacing w:val="19"/>
                        <w:sz w:val="12"/>
                      </w:rPr>
                      <w:t xml:space="preserve"> </w:t>
                    </w:r>
                    <w:r>
                      <w:rPr>
                        <w:color w:val="FFFFFF"/>
                        <w:spacing w:val="-2"/>
                        <w:w w:val="80"/>
                        <w:sz w:val="12"/>
                      </w:rPr>
                      <w:t>Railway</w:t>
                    </w:r>
                  </w:p>
                  <w:p w:rsidR="00F22F94" w:rsidRDefault="00F22F94">
                    <w:pPr>
                      <w:spacing w:before="118"/>
                      <w:rPr>
                        <w:sz w:val="14"/>
                      </w:rPr>
                    </w:pPr>
                    <w:r>
                      <w:rPr>
                        <w:w w:val="95"/>
                        <w:sz w:val="14"/>
                      </w:rPr>
                      <w:t>Source:</w:t>
                    </w:r>
                    <w:r>
                      <w:rPr>
                        <w:spacing w:val="5"/>
                        <w:sz w:val="14"/>
                      </w:rPr>
                      <w:t xml:space="preserve"> </w:t>
                    </w:r>
                    <w:r>
                      <w:rPr>
                        <w:w w:val="95"/>
                        <w:sz w:val="14"/>
                      </w:rPr>
                      <w:t>Roads</w:t>
                    </w:r>
                    <w:r>
                      <w:rPr>
                        <w:spacing w:val="6"/>
                        <w:sz w:val="14"/>
                      </w:rPr>
                      <w:t xml:space="preserve"> </w:t>
                    </w:r>
                    <w:r>
                      <w:rPr>
                        <w:w w:val="95"/>
                        <w:sz w:val="14"/>
                      </w:rPr>
                      <w:t>and</w:t>
                    </w:r>
                    <w:r>
                      <w:rPr>
                        <w:spacing w:val="6"/>
                        <w:sz w:val="14"/>
                      </w:rPr>
                      <w:t xml:space="preserve"> </w:t>
                    </w:r>
                    <w:r>
                      <w:rPr>
                        <w:w w:val="95"/>
                        <w:sz w:val="14"/>
                      </w:rPr>
                      <w:t>Maritime</w:t>
                    </w:r>
                    <w:r>
                      <w:rPr>
                        <w:spacing w:val="6"/>
                        <w:sz w:val="14"/>
                      </w:rPr>
                      <w:t xml:space="preserve"> </w:t>
                    </w:r>
                    <w:r>
                      <w:rPr>
                        <w:spacing w:val="-2"/>
                        <w:w w:val="95"/>
                        <w:sz w:val="14"/>
                      </w:rPr>
                      <w:t>Services.</w:t>
                    </w:r>
                  </w:p>
                </w:txbxContent>
              </v:textbox>
            </v:shape>
            <v:shape id="docshape1914" o:spid="_x0000_s3173" type="#_x0000_t202" style="position:absolute;left:9465;top:2295;width:1253;height:2263" filled="f" stroked="f">
              <v:textbox inset="0,0,0,0">
                <w:txbxContent>
                  <w:p w:rsidR="00F22F94" w:rsidRDefault="00F22F94">
                    <w:pPr>
                      <w:spacing w:before="6"/>
                      <w:rPr>
                        <w:b/>
                        <w:sz w:val="18"/>
                      </w:rPr>
                    </w:pPr>
                    <w:r>
                      <w:rPr>
                        <w:b/>
                        <w:color w:val="2E3092"/>
                        <w:spacing w:val="-5"/>
                        <w:sz w:val="18"/>
                      </w:rPr>
                      <w:t>Key</w:t>
                    </w:r>
                  </w:p>
                  <w:p w:rsidR="00F22F94" w:rsidRDefault="00F22F94">
                    <w:pPr>
                      <w:spacing w:before="26" w:line="312" w:lineRule="auto"/>
                      <w:ind w:left="255"/>
                      <w:rPr>
                        <w:sz w:val="16"/>
                      </w:rPr>
                    </w:pPr>
                    <w:r>
                      <w:rPr>
                        <w:w w:val="75"/>
                        <w:sz w:val="16"/>
                      </w:rPr>
                      <w:t>Regional cities</w:t>
                    </w:r>
                    <w:r>
                      <w:rPr>
                        <w:sz w:val="16"/>
                      </w:rPr>
                      <w:t xml:space="preserve"> </w:t>
                    </w:r>
                    <w:r>
                      <w:rPr>
                        <w:w w:val="90"/>
                        <w:sz w:val="16"/>
                      </w:rPr>
                      <w:t>Major</w:t>
                    </w:r>
                    <w:r>
                      <w:rPr>
                        <w:spacing w:val="-6"/>
                        <w:w w:val="90"/>
                        <w:sz w:val="16"/>
                      </w:rPr>
                      <w:t xml:space="preserve"> </w:t>
                    </w:r>
                    <w:r>
                      <w:rPr>
                        <w:w w:val="90"/>
                        <w:sz w:val="16"/>
                      </w:rPr>
                      <w:t>centre</w:t>
                    </w:r>
                  </w:p>
                  <w:p w:rsidR="00F22F94" w:rsidRDefault="00F22F94">
                    <w:pPr>
                      <w:spacing w:before="21" w:line="208" w:lineRule="auto"/>
                      <w:ind w:left="255"/>
                      <w:rPr>
                        <w:sz w:val="16"/>
                      </w:rPr>
                    </w:pPr>
                    <w:r>
                      <w:rPr>
                        <w:spacing w:val="-2"/>
                        <w:w w:val="80"/>
                        <w:sz w:val="16"/>
                      </w:rPr>
                      <w:t>Planned</w:t>
                    </w:r>
                    <w:r>
                      <w:rPr>
                        <w:spacing w:val="-10"/>
                        <w:sz w:val="16"/>
                      </w:rPr>
                      <w:t xml:space="preserve"> </w:t>
                    </w:r>
                    <w:r>
                      <w:rPr>
                        <w:spacing w:val="-2"/>
                        <w:w w:val="80"/>
                        <w:sz w:val="16"/>
                      </w:rPr>
                      <w:t>major</w:t>
                    </w:r>
                    <w:r>
                      <w:rPr>
                        <w:sz w:val="16"/>
                      </w:rPr>
                      <w:t xml:space="preserve"> </w:t>
                    </w:r>
                    <w:r>
                      <w:rPr>
                        <w:spacing w:val="-2"/>
                        <w:w w:val="90"/>
                        <w:sz w:val="16"/>
                      </w:rPr>
                      <w:t>centre</w:t>
                    </w:r>
                  </w:p>
                  <w:p w:rsidR="00F22F94" w:rsidRDefault="00F22F94">
                    <w:pPr>
                      <w:spacing w:before="61" w:line="312" w:lineRule="auto"/>
                      <w:ind w:left="255" w:right="477"/>
                      <w:rPr>
                        <w:sz w:val="16"/>
                      </w:rPr>
                    </w:pPr>
                    <w:r>
                      <w:rPr>
                        <w:spacing w:val="-4"/>
                        <w:w w:val="85"/>
                        <w:sz w:val="16"/>
                      </w:rPr>
                      <w:t>Roads</w:t>
                    </w:r>
                    <w:r>
                      <w:rPr>
                        <w:sz w:val="16"/>
                      </w:rPr>
                      <w:t xml:space="preserve"> </w:t>
                    </w:r>
                    <w:r>
                      <w:rPr>
                        <w:spacing w:val="-2"/>
                        <w:w w:val="80"/>
                        <w:sz w:val="16"/>
                      </w:rPr>
                      <w:t>Rail</w:t>
                    </w:r>
                    <w:r>
                      <w:rPr>
                        <w:spacing w:val="-10"/>
                        <w:sz w:val="16"/>
                      </w:rPr>
                      <w:t xml:space="preserve"> </w:t>
                    </w:r>
                    <w:r>
                      <w:rPr>
                        <w:spacing w:val="-2"/>
                        <w:w w:val="80"/>
                        <w:sz w:val="16"/>
                      </w:rPr>
                      <w:t>lines</w:t>
                    </w:r>
                  </w:p>
                  <w:p w:rsidR="00F22F94" w:rsidRDefault="00F22F94">
                    <w:pPr>
                      <w:spacing w:before="1" w:line="312" w:lineRule="auto"/>
                      <w:ind w:left="255"/>
                      <w:rPr>
                        <w:sz w:val="16"/>
                      </w:rPr>
                    </w:pPr>
                    <w:r>
                      <w:rPr>
                        <w:spacing w:val="-2"/>
                        <w:w w:val="80"/>
                        <w:sz w:val="16"/>
                      </w:rPr>
                      <w:t>Planned</w:t>
                    </w:r>
                    <w:r>
                      <w:rPr>
                        <w:spacing w:val="-10"/>
                        <w:sz w:val="16"/>
                      </w:rPr>
                      <w:t xml:space="preserve"> </w:t>
                    </w:r>
                    <w:r>
                      <w:rPr>
                        <w:spacing w:val="-2"/>
                        <w:w w:val="80"/>
                        <w:sz w:val="16"/>
                      </w:rPr>
                      <w:t>rail</w:t>
                    </w:r>
                    <w:r>
                      <w:rPr>
                        <w:spacing w:val="-9"/>
                        <w:sz w:val="16"/>
                      </w:rPr>
                      <w:t xml:space="preserve"> </w:t>
                    </w:r>
                    <w:r>
                      <w:rPr>
                        <w:spacing w:val="-2"/>
                        <w:w w:val="80"/>
                        <w:sz w:val="16"/>
                      </w:rPr>
                      <w:t>lines</w:t>
                    </w:r>
                    <w:r>
                      <w:rPr>
                        <w:sz w:val="16"/>
                      </w:rPr>
                      <w:t xml:space="preserve"> </w:t>
                    </w:r>
                    <w:r>
                      <w:rPr>
                        <w:spacing w:val="-2"/>
                        <w:w w:val="90"/>
                        <w:sz w:val="16"/>
                      </w:rPr>
                      <w:t>Airports</w:t>
                    </w:r>
                  </w:p>
                  <w:p w:rsidR="00F22F94" w:rsidRDefault="00F22F94">
                    <w:pPr>
                      <w:spacing w:before="2" w:line="183" w:lineRule="exact"/>
                      <w:ind w:left="255"/>
                      <w:rPr>
                        <w:sz w:val="16"/>
                      </w:rPr>
                    </w:pPr>
                    <w:r>
                      <w:rPr>
                        <w:spacing w:val="-2"/>
                        <w:w w:val="90"/>
                        <w:sz w:val="16"/>
                      </w:rPr>
                      <w:t>Ports</w:t>
                    </w:r>
                  </w:p>
                </w:txbxContent>
              </v:textbox>
            </v:shape>
            <v:shape id="docshape1915" o:spid="_x0000_s3172" type="#_x0000_t202" style="position:absolute;left:6018;top:-913;width:3283;height:497" fillcolor="#e1e0e1" stroked="f">
              <v:fill opacity="26214f"/>
              <v:textbox inset="0,0,0,0">
                <w:txbxContent>
                  <w:p w:rsidR="00F22F94" w:rsidRDefault="00F22F94">
                    <w:pPr>
                      <w:spacing w:before="69"/>
                      <w:ind w:right="148"/>
                      <w:jc w:val="right"/>
                      <w:rPr>
                        <w:b/>
                        <w:color w:val="000000"/>
                        <w:sz w:val="18"/>
                      </w:rPr>
                    </w:pPr>
                    <w:r>
                      <w:rPr>
                        <w:b/>
                        <w:color w:val="000000"/>
                        <w:sz w:val="18"/>
                      </w:rPr>
                      <w:t>Figure</w:t>
                    </w:r>
                    <w:r>
                      <w:rPr>
                        <w:b/>
                        <w:color w:val="000000"/>
                        <w:spacing w:val="-5"/>
                        <w:sz w:val="18"/>
                      </w:rPr>
                      <w:t xml:space="preserve"> </w:t>
                    </w:r>
                    <w:r>
                      <w:rPr>
                        <w:b/>
                        <w:color w:val="000000"/>
                        <w:sz w:val="18"/>
                      </w:rPr>
                      <w:t>10.6</w:t>
                    </w:r>
                    <w:r>
                      <w:rPr>
                        <w:b/>
                        <w:color w:val="000000"/>
                        <w:spacing w:val="42"/>
                        <w:sz w:val="18"/>
                      </w:rPr>
                      <w:t xml:space="preserve"> </w:t>
                    </w:r>
                    <w:r>
                      <w:rPr>
                        <w:b/>
                        <w:color w:val="000000"/>
                        <w:sz w:val="18"/>
                      </w:rPr>
                      <w:t>Road</w:t>
                    </w:r>
                    <w:r>
                      <w:rPr>
                        <w:b/>
                        <w:color w:val="000000"/>
                        <w:spacing w:val="-4"/>
                        <w:sz w:val="18"/>
                      </w:rPr>
                      <w:t xml:space="preserve"> </w:t>
                    </w:r>
                    <w:r>
                      <w:rPr>
                        <w:b/>
                        <w:color w:val="000000"/>
                        <w:sz w:val="18"/>
                      </w:rPr>
                      <w:t>and</w:t>
                    </w:r>
                    <w:r>
                      <w:rPr>
                        <w:b/>
                        <w:color w:val="000000"/>
                        <w:spacing w:val="-4"/>
                        <w:sz w:val="18"/>
                      </w:rPr>
                      <w:t xml:space="preserve"> </w:t>
                    </w:r>
                    <w:r>
                      <w:rPr>
                        <w:b/>
                        <w:color w:val="000000"/>
                        <w:sz w:val="18"/>
                      </w:rPr>
                      <w:t>Rail</w:t>
                    </w:r>
                    <w:r>
                      <w:rPr>
                        <w:b/>
                        <w:color w:val="000000"/>
                        <w:spacing w:val="-4"/>
                        <w:sz w:val="18"/>
                      </w:rPr>
                      <w:t xml:space="preserve"> </w:t>
                    </w:r>
                    <w:r>
                      <w:rPr>
                        <w:b/>
                        <w:color w:val="000000"/>
                        <w:spacing w:val="-2"/>
                        <w:sz w:val="18"/>
                      </w:rPr>
                      <w:t>Network</w:t>
                    </w:r>
                  </w:p>
                  <w:p w:rsidR="00F22F94" w:rsidRDefault="00F22F94">
                    <w:pPr>
                      <w:spacing w:before="9"/>
                      <w:ind w:right="48"/>
                      <w:jc w:val="right"/>
                      <w:rPr>
                        <w:b/>
                        <w:color w:val="000000"/>
                        <w:sz w:val="18"/>
                      </w:rPr>
                    </w:pPr>
                    <w:r>
                      <w:rPr>
                        <w:b/>
                        <w:color w:val="000000"/>
                        <w:sz w:val="18"/>
                      </w:rPr>
                      <w:t>Supporting</w:t>
                    </w:r>
                    <w:r>
                      <w:rPr>
                        <w:b/>
                        <w:color w:val="000000"/>
                        <w:spacing w:val="-10"/>
                        <w:sz w:val="18"/>
                      </w:rPr>
                      <w:t xml:space="preserve"> </w:t>
                    </w:r>
                    <w:r>
                      <w:rPr>
                        <w:b/>
                        <w:color w:val="000000"/>
                        <w:sz w:val="18"/>
                      </w:rPr>
                      <w:t>Port</w:t>
                    </w:r>
                    <w:r>
                      <w:rPr>
                        <w:b/>
                        <w:color w:val="000000"/>
                        <w:spacing w:val="-10"/>
                        <w:sz w:val="18"/>
                      </w:rPr>
                      <w:t xml:space="preserve"> </w:t>
                    </w:r>
                    <w:r>
                      <w:rPr>
                        <w:b/>
                        <w:color w:val="000000"/>
                        <w:spacing w:val="-2"/>
                        <w:sz w:val="18"/>
                      </w:rPr>
                      <w:t>Kembla</w:t>
                    </w:r>
                  </w:p>
                </w:txbxContent>
              </v:textbox>
            </v:shape>
            <w10:wrap anchorx="page"/>
          </v:group>
        </w:pict>
      </w:r>
      <w:r w:rsidR="00F22F94">
        <w:t>The</w:t>
      </w:r>
      <w:r w:rsidR="00F22F94">
        <w:rPr>
          <w:spacing w:val="-13"/>
        </w:rPr>
        <w:t xml:space="preserve"> </w:t>
      </w:r>
      <w:r w:rsidR="00F22F94">
        <w:t>lead</w:t>
      </w:r>
      <w:r w:rsidR="00F22F94">
        <w:rPr>
          <w:spacing w:val="-13"/>
        </w:rPr>
        <w:t xml:space="preserve"> </w:t>
      </w:r>
      <w:r w:rsidR="00F22F94">
        <w:t>investment</w:t>
      </w:r>
      <w:r w:rsidR="00F22F94">
        <w:rPr>
          <w:spacing w:val="-13"/>
        </w:rPr>
        <w:t xml:space="preserve"> </w:t>
      </w:r>
      <w:r w:rsidR="00F22F94">
        <w:t>proposal</w:t>
      </w:r>
      <w:r w:rsidR="00F22F94">
        <w:rPr>
          <w:spacing w:val="-13"/>
        </w:rPr>
        <w:t xml:space="preserve"> </w:t>
      </w:r>
      <w:r w:rsidR="00F22F94">
        <w:t>is</w:t>
      </w:r>
      <w:r w:rsidR="00F22F94">
        <w:rPr>
          <w:spacing w:val="-13"/>
        </w:rPr>
        <w:t xml:space="preserve"> </w:t>
      </w:r>
      <w:r w:rsidR="00F22F94">
        <w:t>to</w:t>
      </w:r>
      <w:r w:rsidR="00F22F94">
        <w:rPr>
          <w:spacing w:val="-13"/>
        </w:rPr>
        <w:t xml:space="preserve"> </w:t>
      </w:r>
      <w:r w:rsidR="00F22F94">
        <w:t>construct</w:t>
      </w:r>
      <w:r w:rsidR="00F22F94">
        <w:rPr>
          <w:spacing w:val="-13"/>
        </w:rPr>
        <w:t xml:space="preserve"> </w:t>
      </w:r>
      <w:r w:rsidR="00F22F94">
        <w:t>a</w:t>
      </w:r>
      <w:r w:rsidR="00F22F94">
        <w:rPr>
          <w:spacing w:val="-13"/>
        </w:rPr>
        <w:t xml:space="preserve"> </w:t>
      </w:r>
      <w:r w:rsidR="00F22F94">
        <w:t>rail line</w:t>
      </w:r>
      <w:r w:rsidR="00F22F94">
        <w:rPr>
          <w:spacing w:val="-10"/>
        </w:rPr>
        <w:t xml:space="preserve"> </w:t>
      </w:r>
      <w:r w:rsidR="00F22F94">
        <w:t>from</w:t>
      </w:r>
      <w:r w:rsidR="00F22F94">
        <w:rPr>
          <w:spacing w:val="-11"/>
        </w:rPr>
        <w:t xml:space="preserve"> </w:t>
      </w:r>
      <w:r w:rsidR="00F22F94">
        <w:t>Maldon</w:t>
      </w:r>
      <w:r w:rsidR="00F22F94">
        <w:rPr>
          <w:spacing w:val="-10"/>
        </w:rPr>
        <w:t xml:space="preserve"> </w:t>
      </w:r>
      <w:r w:rsidR="00F22F94">
        <w:t>to</w:t>
      </w:r>
      <w:r w:rsidR="00F22F94">
        <w:rPr>
          <w:spacing w:val="-10"/>
        </w:rPr>
        <w:t xml:space="preserve"> </w:t>
      </w:r>
      <w:r w:rsidR="00F22F94">
        <w:t>Dombarton.</w:t>
      </w:r>
      <w:r w:rsidR="00F22F94">
        <w:rPr>
          <w:spacing w:val="-10"/>
        </w:rPr>
        <w:t xml:space="preserve"> </w:t>
      </w:r>
      <w:r w:rsidR="00F22F94">
        <w:t>This</w:t>
      </w:r>
      <w:r w:rsidR="00F22F94">
        <w:rPr>
          <w:spacing w:val="-10"/>
        </w:rPr>
        <w:t xml:space="preserve"> </w:t>
      </w:r>
      <w:r w:rsidR="00F22F94">
        <w:t>requires</w:t>
      </w:r>
      <w:r w:rsidR="00F22F94">
        <w:rPr>
          <w:spacing w:val="-10"/>
        </w:rPr>
        <w:t xml:space="preserve"> </w:t>
      </w:r>
      <w:r w:rsidR="00F22F94">
        <w:t>the construction</w:t>
      </w:r>
      <w:r w:rsidR="00F22F94">
        <w:rPr>
          <w:spacing w:val="-7"/>
        </w:rPr>
        <w:t xml:space="preserve"> </w:t>
      </w:r>
      <w:r w:rsidR="00F22F94">
        <w:t>of</w:t>
      </w:r>
      <w:r w:rsidR="00F22F94">
        <w:rPr>
          <w:spacing w:val="-7"/>
        </w:rPr>
        <w:t xml:space="preserve"> </w:t>
      </w:r>
      <w:r w:rsidR="00F22F94">
        <w:t>a</w:t>
      </w:r>
      <w:r w:rsidR="00F22F94">
        <w:rPr>
          <w:spacing w:val="-7"/>
        </w:rPr>
        <w:t xml:space="preserve"> </w:t>
      </w:r>
      <w:r w:rsidR="00F22F94">
        <w:t>4</w:t>
      </w:r>
      <w:r w:rsidR="00F22F94">
        <w:rPr>
          <w:spacing w:val="-7"/>
        </w:rPr>
        <w:t xml:space="preserve"> </w:t>
      </w:r>
      <w:r w:rsidR="00F22F94">
        <w:t>kilometre</w:t>
      </w:r>
      <w:r w:rsidR="00F22F94">
        <w:rPr>
          <w:spacing w:val="-7"/>
        </w:rPr>
        <w:t xml:space="preserve"> </w:t>
      </w:r>
      <w:r w:rsidR="00F22F94">
        <w:t>tunnel</w:t>
      </w:r>
      <w:r w:rsidR="00F22F94">
        <w:rPr>
          <w:spacing w:val="-7"/>
        </w:rPr>
        <w:t xml:space="preserve"> </w:t>
      </w:r>
      <w:r w:rsidR="00F22F94">
        <w:t>through</w:t>
      </w:r>
      <w:r w:rsidR="00F22F94">
        <w:rPr>
          <w:spacing w:val="-7"/>
        </w:rPr>
        <w:t xml:space="preserve"> </w:t>
      </w:r>
      <w:r w:rsidR="00F22F94">
        <w:t xml:space="preserve">the </w:t>
      </w:r>
      <w:r w:rsidR="00F22F94">
        <w:rPr>
          <w:w w:val="95"/>
        </w:rPr>
        <w:t>Illawarra</w:t>
      </w:r>
      <w:r w:rsidR="00F22F94">
        <w:rPr>
          <w:spacing w:val="-5"/>
          <w:w w:val="95"/>
        </w:rPr>
        <w:t xml:space="preserve"> </w:t>
      </w:r>
      <w:r w:rsidR="00F22F94">
        <w:rPr>
          <w:w w:val="95"/>
        </w:rPr>
        <w:t>escarpment</w:t>
      </w:r>
      <w:r w:rsidR="00F22F94">
        <w:rPr>
          <w:spacing w:val="-5"/>
          <w:w w:val="95"/>
        </w:rPr>
        <w:t xml:space="preserve"> </w:t>
      </w:r>
      <w:r w:rsidR="00F22F94">
        <w:rPr>
          <w:w w:val="95"/>
        </w:rPr>
        <w:t>and</w:t>
      </w:r>
      <w:r w:rsidR="00F22F94">
        <w:rPr>
          <w:spacing w:val="-5"/>
          <w:w w:val="95"/>
        </w:rPr>
        <w:t xml:space="preserve"> </w:t>
      </w:r>
      <w:r w:rsidR="00F22F94">
        <w:rPr>
          <w:w w:val="95"/>
        </w:rPr>
        <w:t>has</w:t>
      </w:r>
      <w:r w:rsidR="00F22F94">
        <w:rPr>
          <w:spacing w:val="-5"/>
          <w:w w:val="95"/>
        </w:rPr>
        <w:t xml:space="preserve"> </w:t>
      </w:r>
      <w:r w:rsidR="00F22F94">
        <w:rPr>
          <w:w w:val="95"/>
        </w:rPr>
        <w:t>a</w:t>
      </w:r>
      <w:r w:rsidR="00F22F94">
        <w:rPr>
          <w:spacing w:val="-5"/>
          <w:w w:val="95"/>
        </w:rPr>
        <w:t xml:space="preserve"> </w:t>
      </w:r>
      <w:r w:rsidR="00F22F94">
        <w:rPr>
          <w:w w:val="95"/>
        </w:rPr>
        <w:t>relatively</w:t>
      </w:r>
      <w:r w:rsidR="00F22F94">
        <w:rPr>
          <w:spacing w:val="-5"/>
          <w:w w:val="95"/>
        </w:rPr>
        <w:t xml:space="preserve"> </w:t>
      </w:r>
      <w:r w:rsidR="00F22F94">
        <w:rPr>
          <w:w w:val="95"/>
        </w:rPr>
        <w:t>high</w:t>
      </w:r>
      <w:r w:rsidR="00F22F94">
        <w:rPr>
          <w:spacing w:val="-5"/>
          <w:w w:val="95"/>
        </w:rPr>
        <w:t xml:space="preserve"> </w:t>
      </w:r>
      <w:r w:rsidR="00F22F94">
        <w:rPr>
          <w:w w:val="95"/>
        </w:rPr>
        <w:t>price tag</w:t>
      </w:r>
      <w:r w:rsidR="00F22F94">
        <w:rPr>
          <w:spacing w:val="-10"/>
          <w:w w:val="95"/>
        </w:rPr>
        <w:t xml:space="preserve"> </w:t>
      </w:r>
      <w:r w:rsidR="00F22F94">
        <w:rPr>
          <w:w w:val="95"/>
        </w:rPr>
        <w:t>of</w:t>
      </w:r>
      <w:r w:rsidR="00F22F94">
        <w:rPr>
          <w:spacing w:val="-10"/>
          <w:w w:val="95"/>
        </w:rPr>
        <w:t xml:space="preserve"> </w:t>
      </w:r>
      <w:r w:rsidR="00F22F94">
        <w:rPr>
          <w:w w:val="95"/>
        </w:rPr>
        <w:t>$625</w:t>
      </w:r>
      <w:r w:rsidR="00F22F94">
        <w:rPr>
          <w:spacing w:val="-10"/>
          <w:w w:val="95"/>
        </w:rPr>
        <w:t xml:space="preserve"> </w:t>
      </w:r>
      <w:r w:rsidR="00F22F94">
        <w:rPr>
          <w:w w:val="95"/>
        </w:rPr>
        <w:t>million</w:t>
      </w:r>
      <w:r w:rsidR="00F22F94">
        <w:rPr>
          <w:w w:val="95"/>
          <w:position w:val="7"/>
          <w:sz w:val="11"/>
        </w:rPr>
        <w:t>27</w:t>
      </w:r>
      <w:r w:rsidR="00F22F94">
        <w:rPr>
          <w:w w:val="95"/>
        </w:rPr>
        <w:t>.</w:t>
      </w:r>
      <w:r w:rsidR="00F22F94">
        <w:rPr>
          <w:spacing w:val="-10"/>
          <w:w w:val="95"/>
        </w:rPr>
        <w:t xml:space="preserve"> </w:t>
      </w:r>
      <w:r w:rsidR="00F22F94">
        <w:rPr>
          <w:w w:val="95"/>
        </w:rPr>
        <w:t>It</w:t>
      </w:r>
      <w:r w:rsidR="00F22F94">
        <w:rPr>
          <w:spacing w:val="-10"/>
          <w:w w:val="95"/>
        </w:rPr>
        <w:t xml:space="preserve"> </w:t>
      </w:r>
      <w:r w:rsidR="00F22F94">
        <w:rPr>
          <w:w w:val="95"/>
        </w:rPr>
        <w:t>is</w:t>
      </w:r>
      <w:r w:rsidR="00F22F94">
        <w:rPr>
          <w:spacing w:val="-10"/>
          <w:w w:val="95"/>
        </w:rPr>
        <w:t xml:space="preserve"> </w:t>
      </w:r>
      <w:r w:rsidR="00F22F94">
        <w:rPr>
          <w:w w:val="95"/>
        </w:rPr>
        <w:t>likely</w:t>
      </w:r>
      <w:r w:rsidR="00F22F94">
        <w:rPr>
          <w:spacing w:val="-10"/>
          <w:w w:val="95"/>
        </w:rPr>
        <w:t xml:space="preserve"> </w:t>
      </w:r>
      <w:r w:rsidR="00F22F94">
        <w:rPr>
          <w:w w:val="95"/>
        </w:rPr>
        <w:t>this</w:t>
      </w:r>
      <w:r w:rsidR="00F22F94">
        <w:rPr>
          <w:spacing w:val="-10"/>
          <w:w w:val="95"/>
        </w:rPr>
        <w:t xml:space="preserve"> </w:t>
      </w:r>
      <w:r w:rsidR="00F22F94">
        <w:rPr>
          <w:w w:val="95"/>
        </w:rPr>
        <w:t>project</w:t>
      </w:r>
      <w:r w:rsidR="00F22F94">
        <w:rPr>
          <w:spacing w:val="-10"/>
          <w:w w:val="95"/>
        </w:rPr>
        <w:t xml:space="preserve"> </w:t>
      </w:r>
      <w:r w:rsidR="00F22F94">
        <w:rPr>
          <w:w w:val="95"/>
        </w:rPr>
        <w:t>will</w:t>
      </w:r>
      <w:r w:rsidR="00F22F94">
        <w:rPr>
          <w:spacing w:val="-10"/>
          <w:w w:val="95"/>
        </w:rPr>
        <w:t xml:space="preserve"> </w:t>
      </w:r>
      <w:r w:rsidR="00F22F94">
        <w:rPr>
          <w:w w:val="95"/>
        </w:rPr>
        <w:t>not</w:t>
      </w:r>
      <w:r w:rsidR="00F22F94">
        <w:rPr>
          <w:spacing w:val="-10"/>
          <w:w w:val="95"/>
        </w:rPr>
        <w:t xml:space="preserve"> </w:t>
      </w:r>
      <w:r w:rsidR="00F22F94">
        <w:rPr>
          <w:w w:val="95"/>
        </w:rPr>
        <w:t xml:space="preserve">be </w:t>
      </w:r>
      <w:r w:rsidR="00F22F94">
        <w:t>progressed until the 2020s.</w:t>
      </w:r>
    </w:p>
    <w:p w:rsidR="002C1123" w:rsidRDefault="00F22F94">
      <w:pPr>
        <w:pStyle w:val="BodyText"/>
        <w:spacing w:before="147" w:line="249" w:lineRule="auto"/>
        <w:ind w:left="492" w:right="1249"/>
      </w:pPr>
      <w:r>
        <w:rPr>
          <w:w w:val="95"/>
        </w:rPr>
        <w:t xml:space="preserve">The funding model applied by the HVCCC, could </w:t>
      </w:r>
      <w:r>
        <w:t>be</w:t>
      </w:r>
      <w:r>
        <w:rPr>
          <w:spacing w:val="-4"/>
        </w:rPr>
        <w:t xml:space="preserve"> </w:t>
      </w:r>
      <w:r>
        <w:t>applied</w:t>
      </w:r>
      <w:r>
        <w:rPr>
          <w:spacing w:val="-4"/>
        </w:rPr>
        <w:t xml:space="preserve"> </w:t>
      </w:r>
      <w:r>
        <w:t>to</w:t>
      </w:r>
      <w:r>
        <w:rPr>
          <w:spacing w:val="-4"/>
        </w:rPr>
        <w:t xml:space="preserve"> </w:t>
      </w:r>
      <w:r>
        <w:t>this</w:t>
      </w:r>
      <w:r>
        <w:rPr>
          <w:spacing w:val="-4"/>
        </w:rPr>
        <w:t xml:space="preserve"> </w:t>
      </w:r>
      <w:r>
        <w:t>project,</w:t>
      </w:r>
      <w:r>
        <w:rPr>
          <w:spacing w:val="-4"/>
        </w:rPr>
        <w:t xml:space="preserve"> </w:t>
      </w:r>
      <w:r>
        <w:t>with</w:t>
      </w:r>
      <w:r>
        <w:rPr>
          <w:spacing w:val="-4"/>
        </w:rPr>
        <w:t xml:space="preserve"> </w:t>
      </w:r>
      <w:r>
        <w:t>an</w:t>
      </w:r>
      <w:r>
        <w:rPr>
          <w:spacing w:val="-4"/>
        </w:rPr>
        <w:t xml:space="preserve"> </w:t>
      </w:r>
      <w:r>
        <w:t>open</w:t>
      </w:r>
      <w:r>
        <w:rPr>
          <w:spacing w:val="-4"/>
        </w:rPr>
        <w:t xml:space="preserve"> </w:t>
      </w:r>
      <w:r>
        <w:t xml:space="preserve">access </w:t>
      </w:r>
      <w:r>
        <w:rPr>
          <w:w w:val="95"/>
        </w:rPr>
        <w:t>regime</w:t>
      </w:r>
      <w:r>
        <w:rPr>
          <w:spacing w:val="-2"/>
          <w:w w:val="95"/>
        </w:rPr>
        <w:t xml:space="preserve"> </w:t>
      </w:r>
      <w:r>
        <w:rPr>
          <w:w w:val="95"/>
        </w:rPr>
        <w:t>allowing</w:t>
      </w:r>
      <w:r>
        <w:rPr>
          <w:spacing w:val="-2"/>
          <w:w w:val="95"/>
        </w:rPr>
        <w:t xml:space="preserve"> </w:t>
      </w:r>
      <w:r>
        <w:rPr>
          <w:w w:val="95"/>
        </w:rPr>
        <w:t>cost</w:t>
      </w:r>
      <w:r>
        <w:rPr>
          <w:spacing w:val="-2"/>
          <w:w w:val="95"/>
        </w:rPr>
        <w:t xml:space="preserve"> </w:t>
      </w:r>
      <w:r>
        <w:rPr>
          <w:w w:val="95"/>
        </w:rPr>
        <w:t>and</w:t>
      </w:r>
      <w:r>
        <w:rPr>
          <w:spacing w:val="-2"/>
          <w:w w:val="95"/>
        </w:rPr>
        <w:t xml:space="preserve"> </w:t>
      </w:r>
      <w:r>
        <w:rPr>
          <w:w w:val="95"/>
        </w:rPr>
        <w:t>risk</w:t>
      </w:r>
      <w:r>
        <w:rPr>
          <w:spacing w:val="-2"/>
          <w:w w:val="95"/>
        </w:rPr>
        <w:t xml:space="preserve"> </w:t>
      </w:r>
      <w:r>
        <w:rPr>
          <w:w w:val="95"/>
        </w:rPr>
        <w:t>to</w:t>
      </w:r>
      <w:r>
        <w:rPr>
          <w:spacing w:val="-2"/>
          <w:w w:val="95"/>
        </w:rPr>
        <w:t xml:space="preserve"> </w:t>
      </w:r>
      <w:r>
        <w:rPr>
          <w:w w:val="95"/>
        </w:rPr>
        <w:t>be</w:t>
      </w:r>
      <w:r>
        <w:rPr>
          <w:spacing w:val="-2"/>
          <w:w w:val="95"/>
        </w:rPr>
        <w:t xml:space="preserve"> </w:t>
      </w:r>
      <w:r>
        <w:rPr>
          <w:w w:val="95"/>
        </w:rPr>
        <w:t>spread</w:t>
      </w:r>
      <w:r>
        <w:rPr>
          <w:spacing w:val="-2"/>
          <w:w w:val="95"/>
        </w:rPr>
        <w:t xml:space="preserve"> </w:t>
      </w:r>
      <w:r>
        <w:rPr>
          <w:w w:val="95"/>
        </w:rPr>
        <w:t xml:space="preserve">among </w:t>
      </w:r>
      <w:r>
        <w:t>multiple</w:t>
      </w:r>
      <w:r>
        <w:rPr>
          <w:spacing w:val="-11"/>
        </w:rPr>
        <w:t xml:space="preserve"> </w:t>
      </w:r>
      <w:r>
        <w:t>investors.</w:t>
      </w:r>
    </w:p>
    <w:p w:rsidR="002C1123" w:rsidRDefault="002060EF">
      <w:pPr>
        <w:pStyle w:val="BodyText"/>
        <w:spacing w:before="10"/>
        <w:rPr>
          <w:sz w:val="12"/>
        </w:rPr>
      </w:pPr>
      <w:r>
        <w:pict>
          <v:shape id="docshape1916" o:spid="_x0000_s3170" type="#_x0000_t202" style="position:absolute;margin-left:552.3pt;margin-top:8.6pt;width:239pt;height:57.35pt;z-index:-251355136;mso-wrap-distance-left:0;mso-wrap-distance-right:0;mso-position-horizontal-relative:page" fillcolor="#e1e0e1" stroked="f">
            <v:textbox inset="0,0,0,0">
              <w:txbxContent>
                <w:p w:rsidR="00F22F94" w:rsidRDefault="00F22F94">
                  <w:pPr>
                    <w:pStyle w:val="BodyText"/>
                    <w:spacing w:before="68" w:line="249" w:lineRule="auto"/>
                    <w:ind w:left="113" w:right="264"/>
                    <w:rPr>
                      <w:color w:val="000000"/>
                    </w:rPr>
                  </w:pPr>
                  <w:r>
                    <w:rPr>
                      <w:b/>
                      <w:color w:val="00AEEF"/>
                    </w:rPr>
                    <w:t>Recommendation</w:t>
                  </w:r>
                  <w:r>
                    <w:rPr>
                      <w:b/>
                      <w:color w:val="00AEEF"/>
                      <w:spacing w:val="40"/>
                    </w:rPr>
                    <w:t xml:space="preserve"> </w:t>
                  </w:r>
                  <w:r>
                    <w:rPr>
                      <w:color w:val="000000"/>
                    </w:rPr>
                    <w:t xml:space="preserve">Infrastructure NSW </w:t>
                  </w:r>
                  <w:r>
                    <w:rPr>
                      <w:color w:val="000000"/>
                      <w:w w:val="95"/>
                    </w:rPr>
                    <w:t>recommends</w:t>
                  </w:r>
                  <w:r>
                    <w:rPr>
                      <w:color w:val="000000"/>
                      <w:spacing w:val="-3"/>
                      <w:w w:val="95"/>
                    </w:rPr>
                    <w:t xml:space="preserve"> </w:t>
                  </w:r>
                  <w:r>
                    <w:rPr>
                      <w:color w:val="000000"/>
                      <w:w w:val="95"/>
                    </w:rPr>
                    <w:t>the</w:t>
                  </w:r>
                  <w:r>
                    <w:rPr>
                      <w:color w:val="000000"/>
                      <w:spacing w:val="-3"/>
                      <w:w w:val="95"/>
                    </w:rPr>
                    <w:t xml:space="preserve"> </w:t>
                  </w:r>
                  <w:r>
                    <w:rPr>
                      <w:color w:val="000000"/>
                      <w:w w:val="95"/>
                    </w:rPr>
                    <w:t>Maldon</w:t>
                  </w:r>
                  <w:r>
                    <w:rPr>
                      <w:color w:val="000000"/>
                      <w:spacing w:val="-4"/>
                      <w:w w:val="95"/>
                    </w:rPr>
                    <w:t xml:space="preserve"> </w:t>
                  </w:r>
                  <w:r>
                    <w:rPr>
                      <w:color w:val="000000"/>
                      <w:w w:val="95"/>
                    </w:rPr>
                    <w:t>to</w:t>
                  </w:r>
                  <w:r>
                    <w:rPr>
                      <w:color w:val="000000"/>
                      <w:spacing w:val="-3"/>
                      <w:w w:val="95"/>
                    </w:rPr>
                    <w:t xml:space="preserve"> </w:t>
                  </w:r>
                  <w:r>
                    <w:rPr>
                      <w:color w:val="000000"/>
                      <w:w w:val="95"/>
                    </w:rPr>
                    <w:t>Dombarton</w:t>
                  </w:r>
                  <w:r>
                    <w:rPr>
                      <w:color w:val="000000"/>
                      <w:spacing w:val="-3"/>
                      <w:w w:val="95"/>
                    </w:rPr>
                    <w:t xml:space="preserve"> </w:t>
                  </w:r>
                  <w:r>
                    <w:rPr>
                      <w:color w:val="000000"/>
                      <w:w w:val="95"/>
                    </w:rPr>
                    <w:t>rail</w:t>
                  </w:r>
                  <w:r>
                    <w:rPr>
                      <w:color w:val="000000"/>
                      <w:spacing w:val="-4"/>
                      <w:w w:val="95"/>
                    </w:rPr>
                    <w:t xml:space="preserve"> </w:t>
                  </w:r>
                  <w:r>
                    <w:rPr>
                      <w:color w:val="000000"/>
                      <w:w w:val="95"/>
                    </w:rPr>
                    <w:t>line</w:t>
                  </w:r>
                  <w:r>
                    <w:rPr>
                      <w:color w:val="000000"/>
                      <w:spacing w:val="-3"/>
                      <w:w w:val="95"/>
                    </w:rPr>
                    <w:t xml:space="preserve"> </w:t>
                  </w:r>
                  <w:r>
                    <w:rPr>
                      <w:color w:val="000000"/>
                      <w:w w:val="95"/>
                    </w:rPr>
                    <w:t>(not required</w:t>
                  </w:r>
                  <w:r>
                    <w:rPr>
                      <w:color w:val="000000"/>
                      <w:spacing w:val="-5"/>
                      <w:w w:val="95"/>
                    </w:rPr>
                    <w:t xml:space="preserve"> </w:t>
                  </w:r>
                  <w:r>
                    <w:rPr>
                      <w:color w:val="000000"/>
                      <w:w w:val="95"/>
                    </w:rPr>
                    <w:t>for</w:t>
                  </w:r>
                  <w:r>
                    <w:rPr>
                      <w:color w:val="000000"/>
                      <w:spacing w:val="-5"/>
                      <w:w w:val="95"/>
                    </w:rPr>
                    <w:t xml:space="preserve"> </w:t>
                  </w:r>
                  <w:r>
                    <w:rPr>
                      <w:color w:val="000000"/>
                      <w:w w:val="95"/>
                    </w:rPr>
                    <w:t>ten</w:t>
                  </w:r>
                  <w:r>
                    <w:rPr>
                      <w:color w:val="000000"/>
                      <w:spacing w:val="-5"/>
                      <w:w w:val="95"/>
                    </w:rPr>
                    <w:t xml:space="preserve"> </w:t>
                  </w:r>
                  <w:r>
                    <w:rPr>
                      <w:color w:val="000000"/>
                      <w:w w:val="95"/>
                    </w:rPr>
                    <w:t>years</w:t>
                  </w:r>
                  <w:r>
                    <w:rPr>
                      <w:color w:val="000000"/>
                      <w:spacing w:val="-5"/>
                      <w:w w:val="95"/>
                    </w:rPr>
                    <w:t xml:space="preserve"> </w:t>
                  </w:r>
                  <w:r>
                    <w:rPr>
                      <w:color w:val="000000"/>
                      <w:w w:val="95"/>
                    </w:rPr>
                    <w:t>on</w:t>
                  </w:r>
                  <w:r>
                    <w:rPr>
                      <w:color w:val="000000"/>
                      <w:spacing w:val="-5"/>
                      <w:w w:val="95"/>
                    </w:rPr>
                    <w:t xml:space="preserve"> </w:t>
                  </w:r>
                  <w:r>
                    <w:rPr>
                      <w:color w:val="000000"/>
                      <w:w w:val="95"/>
                    </w:rPr>
                    <w:t>current</w:t>
                  </w:r>
                  <w:r>
                    <w:rPr>
                      <w:color w:val="000000"/>
                      <w:spacing w:val="-5"/>
                      <w:w w:val="95"/>
                    </w:rPr>
                    <w:t xml:space="preserve"> </w:t>
                  </w:r>
                  <w:r>
                    <w:rPr>
                      <w:color w:val="000000"/>
                      <w:w w:val="95"/>
                    </w:rPr>
                    <w:t>demand</w:t>
                  </w:r>
                  <w:r>
                    <w:rPr>
                      <w:color w:val="000000"/>
                      <w:spacing w:val="-5"/>
                      <w:w w:val="95"/>
                    </w:rPr>
                    <w:t xml:space="preserve"> </w:t>
                  </w:r>
                  <w:r>
                    <w:rPr>
                      <w:color w:val="000000"/>
                      <w:w w:val="95"/>
                    </w:rPr>
                    <w:t xml:space="preserve">forecasts) </w:t>
                  </w:r>
                  <w:r>
                    <w:rPr>
                      <w:color w:val="000000"/>
                    </w:rPr>
                    <w:t>be</w:t>
                  </w:r>
                  <w:r>
                    <w:rPr>
                      <w:color w:val="000000"/>
                      <w:spacing w:val="-9"/>
                    </w:rPr>
                    <w:t xml:space="preserve"> </w:t>
                  </w:r>
                  <w:r>
                    <w:rPr>
                      <w:color w:val="000000"/>
                    </w:rPr>
                    <w:t>predominantly</w:t>
                  </w:r>
                  <w:r>
                    <w:rPr>
                      <w:color w:val="000000"/>
                      <w:spacing w:val="-9"/>
                    </w:rPr>
                    <w:t xml:space="preserve"> </w:t>
                  </w:r>
                  <w:r>
                    <w:rPr>
                      <w:color w:val="000000"/>
                    </w:rPr>
                    <w:t>funded</w:t>
                  </w:r>
                  <w:r>
                    <w:rPr>
                      <w:color w:val="000000"/>
                      <w:spacing w:val="-9"/>
                    </w:rPr>
                    <w:t xml:space="preserve"> </w:t>
                  </w:r>
                  <w:r>
                    <w:rPr>
                      <w:color w:val="000000"/>
                    </w:rPr>
                    <w:t>by</w:t>
                  </w:r>
                  <w:r>
                    <w:rPr>
                      <w:color w:val="000000"/>
                      <w:spacing w:val="-9"/>
                    </w:rPr>
                    <w:t xml:space="preserve"> </w:t>
                  </w:r>
                  <w:r>
                    <w:rPr>
                      <w:color w:val="000000"/>
                    </w:rPr>
                    <w:t>the</w:t>
                  </w:r>
                  <w:r>
                    <w:rPr>
                      <w:color w:val="000000"/>
                      <w:spacing w:val="-9"/>
                    </w:rPr>
                    <w:t xml:space="preserve"> </w:t>
                  </w:r>
                  <w:r>
                    <w:rPr>
                      <w:color w:val="000000"/>
                    </w:rPr>
                    <w:t>private</w:t>
                  </w:r>
                  <w:r>
                    <w:rPr>
                      <w:color w:val="000000"/>
                      <w:spacing w:val="-9"/>
                    </w:rPr>
                    <w:t xml:space="preserve"> </w:t>
                  </w:r>
                  <w:r>
                    <w:rPr>
                      <w:color w:val="000000"/>
                    </w:rPr>
                    <w:t>sector.</w:t>
                  </w:r>
                </w:p>
              </w:txbxContent>
            </v:textbox>
            <w10:wrap type="topAndBottom" anchorx="page"/>
          </v:shape>
        </w:pict>
      </w:r>
    </w:p>
    <w:p w:rsidR="002C1123" w:rsidRDefault="002C1123">
      <w:pPr>
        <w:pStyle w:val="BodyText"/>
        <w:spacing w:before="8"/>
        <w:rPr>
          <w:sz w:val="8"/>
        </w:rPr>
      </w:pPr>
    </w:p>
    <w:p w:rsidR="002C1123" w:rsidRDefault="002C1123">
      <w:pPr>
        <w:rPr>
          <w:sz w:val="8"/>
        </w:rPr>
        <w:sectPr w:rsidR="002C1123">
          <w:type w:val="continuous"/>
          <w:pgSz w:w="16840" w:h="11910" w:orient="landscape"/>
          <w:pgMar w:top="560" w:right="280" w:bottom="280" w:left="500" w:header="0" w:footer="517" w:gutter="0"/>
          <w:cols w:num="2" w:space="720" w:equalWidth="0">
            <w:col w:w="5292" w:space="4761"/>
            <w:col w:w="6007"/>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11"/>
        <w:rPr>
          <w:sz w:val="27"/>
        </w:rPr>
      </w:pPr>
    </w:p>
    <w:p w:rsidR="002C1123" w:rsidRDefault="002060EF">
      <w:pPr>
        <w:pStyle w:val="BodyText"/>
        <w:spacing w:line="20" w:lineRule="exact"/>
        <w:ind w:left="492"/>
        <w:rPr>
          <w:sz w:val="2"/>
        </w:rPr>
      </w:pPr>
      <w:r>
        <w:rPr>
          <w:sz w:val="2"/>
        </w:rPr>
      </w:r>
      <w:r>
        <w:rPr>
          <w:sz w:val="2"/>
        </w:rPr>
        <w:pict>
          <v:group id="docshapegroup1917" o:spid="_x0000_s3168" style="width:1in;height:.5pt;mso-position-horizontal-relative:char;mso-position-vertical-relative:line" coordsize="1440,10">
            <v:line id="_x0000_s3169" style="position:absolute" from="0,5" to="1440,5" strokecolor="#9c9c9d" strokeweight=".5pt"/>
            <w10:anchorlock/>
          </v:group>
        </w:pict>
      </w:r>
    </w:p>
    <w:p w:rsidR="002C1123" w:rsidRDefault="002C1123">
      <w:pPr>
        <w:spacing w:line="20" w:lineRule="exact"/>
        <w:rPr>
          <w:sz w:val="2"/>
        </w:rPr>
        <w:sectPr w:rsidR="002C1123">
          <w:type w:val="continuous"/>
          <w:pgSz w:w="16840" w:h="11910" w:orient="landscape"/>
          <w:pgMar w:top="560" w:right="280" w:bottom="280" w:left="500" w:header="0" w:footer="517" w:gutter="0"/>
          <w:cols w:space="720"/>
        </w:sectPr>
      </w:pPr>
    </w:p>
    <w:p w:rsidR="002C1123" w:rsidRDefault="002060EF">
      <w:pPr>
        <w:pStyle w:val="ListParagraph"/>
        <w:numPr>
          <w:ilvl w:val="0"/>
          <w:numId w:val="73"/>
        </w:numPr>
        <w:tabs>
          <w:tab w:val="left" w:pos="691"/>
        </w:tabs>
        <w:spacing w:before="8" w:line="161" w:lineRule="exact"/>
        <w:ind w:left="690"/>
        <w:jc w:val="left"/>
        <w:rPr>
          <w:sz w:val="14"/>
        </w:rPr>
      </w:pPr>
      <w:r>
        <w:pict>
          <v:shape id="docshape1918" o:spid="_x0000_s3167" type="#_x0000_t202" style="position:absolute;left:0;text-align:left;margin-left:300.95pt;margin-top:-99.65pt;width:239pt;height:81.35pt;z-index:251546624;mso-position-horizontal-relative:page" fillcolor="#e1e0e1" stroked="f">
            <v:textbox inset="0,0,0,0">
              <w:txbxContent>
                <w:p w:rsidR="00F22F94" w:rsidRDefault="00F22F94">
                  <w:pPr>
                    <w:pStyle w:val="BodyText"/>
                    <w:spacing w:before="68" w:line="249" w:lineRule="auto"/>
                    <w:ind w:left="113" w:right="115"/>
                    <w:rPr>
                      <w:color w:val="000000"/>
                    </w:rPr>
                  </w:pPr>
                  <w:r>
                    <w:rPr>
                      <w:b/>
                      <w:color w:val="00AEEF"/>
                    </w:rPr>
                    <w:t>Recommendation</w:t>
                  </w:r>
                  <w:r>
                    <w:rPr>
                      <w:b/>
                      <w:color w:val="00AEEF"/>
                      <w:spacing w:val="40"/>
                    </w:rPr>
                    <w:t xml:space="preserve"> </w:t>
                  </w:r>
                  <w:r>
                    <w:rPr>
                      <w:color w:val="000000"/>
                    </w:rPr>
                    <w:t>Infrastructure NSW recommends</w:t>
                  </w:r>
                  <w:r>
                    <w:rPr>
                      <w:color w:val="000000"/>
                      <w:spacing w:val="-10"/>
                    </w:rPr>
                    <w:t xml:space="preserve"> </w:t>
                  </w:r>
                  <w:r>
                    <w:rPr>
                      <w:color w:val="000000"/>
                    </w:rPr>
                    <w:t>the</w:t>
                  </w:r>
                  <w:r>
                    <w:rPr>
                      <w:color w:val="000000"/>
                      <w:spacing w:val="-10"/>
                    </w:rPr>
                    <w:t xml:space="preserve"> </w:t>
                  </w:r>
                  <w:r>
                    <w:rPr>
                      <w:color w:val="000000"/>
                    </w:rPr>
                    <w:t>ARTC</w:t>
                  </w:r>
                  <w:r>
                    <w:rPr>
                      <w:color w:val="000000"/>
                      <w:spacing w:val="-10"/>
                    </w:rPr>
                    <w:t xml:space="preserve"> </w:t>
                  </w:r>
                  <w:r>
                    <w:rPr>
                      <w:color w:val="000000"/>
                    </w:rPr>
                    <w:t>undertake</w:t>
                  </w:r>
                  <w:r>
                    <w:rPr>
                      <w:color w:val="000000"/>
                      <w:spacing w:val="-10"/>
                    </w:rPr>
                    <w:t xml:space="preserve"> </w:t>
                  </w:r>
                  <w:r>
                    <w:rPr>
                      <w:color w:val="000000"/>
                    </w:rPr>
                    <w:t>the</w:t>
                  </w:r>
                  <w:r>
                    <w:rPr>
                      <w:color w:val="000000"/>
                      <w:spacing w:val="-10"/>
                    </w:rPr>
                    <w:t xml:space="preserve"> </w:t>
                  </w:r>
                  <w:r>
                    <w:rPr>
                      <w:color w:val="000000"/>
                    </w:rPr>
                    <w:t>series</w:t>
                  </w:r>
                  <w:r>
                    <w:rPr>
                      <w:color w:val="000000"/>
                      <w:spacing w:val="-10"/>
                    </w:rPr>
                    <w:t xml:space="preserve"> </w:t>
                  </w:r>
                  <w:r>
                    <w:rPr>
                      <w:color w:val="000000"/>
                    </w:rPr>
                    <w:t xml:space="preserve">of </w:t>
                  </w:r>
                  <w:r>
                    <w:rPr>
                      <w:color w:val="000000"/>
                      <w:w w:val="95"/>
                    </w:rPr>
                    <w:t>incremental</w:t>
                  </w:r>
                  <w:r>
                    <w:rPr>
                      <w:color w:val="000000"/>
                      <w:spacing w:val="-7"/>
                      <w:w w:val="95"/>
                    </w:rPr>
                    <w:t xml:space="preserve"> </w:t>
                  </w:r>
                  <w:r>
                    <w:rPr>
                      <w:color w:val="000000"/>
                      <w:w w:val="95"/>
                    </w:rPr>
                    <w:t>investments</w:t>
                  </w:r>
                  <w:r>
                    <w:rPr>
                      <w:color w:val="000000"/>
                      <w:spacing w:val="-7"/>
                      <w:w w:val="95"/>
                    </w:rPr>
                    <w:t xml:space="preserve"> </w:t>
                  </w:r>
                  <w:r>
                    <w:rPr>
                      <w:color w:val="000000"/>
                      <w:w w:val="95"/>
                    </w:rPr>
                    <w:t>it</w:t>
                  </w:r>
                  <w:r>
                    <w:rPr>
                      <w:color w:val="000000"/>
                      <w:spacing w:val="-7"/>
                      <w:w w:val="95"/>
                    </w:rPr>
                    <w:t xml:space="preserve"> </w:t>
                  </w:r>
                  <w:r>
                    <w:rPr>
                      <w:color w:val="000000"/>
                      <w:w w:val="95"/>
                    </w:rPr>
                    <w:t>has</w:t>
                  </w:r>
                  <w:r>
                    <w:rPr>
                      <w:color w:val="000000"/>
                      <w:spacing w:val="-7"/>
                      <w:w w:val="95"/>
                    </w:rPr>
                    <w:t xml:space="preserve"> </w:t>
                  </w:r>
                  <w:r>
                    <w:rPr>
                      <w:color w:val="000000"/>
                      <w:w w:val="95"/>
                    </w:rPr>
                    <w:t>identified</w:t>
                  </w:r>
                  <w:r>
                    <w:rPr>
                      <w:color w:val="000000"/>
                      <w:spacing w:val="-7"/>
                      <w:w w:val="95"/>
                    </w:rPr>
                    <w:t xml:space="preserve"> </w:t>
                  </w:r>
                  <w:r>
                    <w:rPr>
                      <w:color w:val="000000"/>
                      <w:w w:val="95"/>
                    </w:rPr>
                    <w:t>for</w:t>
                  </w:r>
                  <w:r>
                    <w:rPr>
                      <w:color w:val="000000"/>
                      <w:spacing w:val="-7"/>
                      <w:w w:val="95"/>
                    </w:rPr>
                    <w:t xml:space="preserve"> </w:t>
                  </w:r>
                  <w:r>
                    <w:rPr>
                      <w:color w:val="000000"/>
                      <w:w w:val="95"/>
                    </w:rPr>
                    <w:t>the</w:t>
                  </w:r>
                  <w:r>
                    <w:rPr>
                      <w:color w:val="000000"/>
                      <w:spacing w:val="-7"/>
                      <w:w w:val="95"/>
                    </w:rPr>
                    <w:t xml:space="preserve"> </w:t>
                  </w:r>
                  <w:r>
                    <w:rPr>
                      <w:color w:val="000000"/>
                      <w:w w:val="95"/>
                    </w:rPr>
                    <w:t xml:space="preserve">Moss Vale–Unanderra line to increase its capacity. These </w:t>
                  </w:r>
                  <w:r>
                    <w:rPr>
                      <w:color w:val="000000"/>
                    </w:rPr>
                    <w:t>investments</w:t>
                  </w:r>
                  <w:r>
                    <w:rPr>
                      <w:color w:val="000000"/>
                      <w:spacing w:val="-11"/>
                    </w:rPr>
                    <w:t xml:space="preserve"> </w:t>
                  </w:r>
                  <w:r>
                    <w:rPr>
                      <w:color w:val="000000"/>
                    </w:rPr>
                    <w:t>are</w:t>
                  </w:r>
                  <w:r>
                    <w:rPr>
                      <w:color w:val="000000"/>
                      <w:spacing w:val="-11"/>
                    </w:rPr>
                    <w:t xml:space="preserve"> </w:t>
                  </w:r>
                  <w:r>
                    <w:rPr>
                      <w:color w:val="000000"/>
                    </w:rPr>
                    <w:t>estimated</w:t>
                  </w:r>
                  <w:r>
                    <w:rPr>
                      <w:color w:val="000000"/>
                      <w:spacing w:val="-11"/>
                    </w:rPr>
                    <w:t xml:space="preserve"> </w:t>
                  </w:r>
                  <w:r>
                    <w:rPr>
                      <w:color w:val="000000"/>
                    </w:rPr>
                    <w:t>to</w:t>
                  </w:r>
                  <w:r>
                    <w:rPr>
                      <w:color w:val="000000"/>
                      <w:spacing w:val="-11"/>
                    </w:rPr>
                    <w:t xml:space="preserve"> </w:t>
                  </w:r>
                  <w:r>
                    <w:rPr>
                      <w:color w:val="000000"/>
                    </w:rPr>
                    <w:t>cost</w:t>
                  </w:r>
                  <w:r>
                    <w:rPr>
                      <w:color w:val="000000"/>
                      <w:spacing w:val="-11"/>
                    </w:rPr>
                    <w:t xml:space="preserve"> </w:t>
                  </w:r>
                  <w:r>
                    <w:rPr>
                      <w:color w:val="000000"/>
                    </w:rPr>
                    <w:t>approximately</w:t>
                  </w:r>
                </w:p>
                <w:p w:rsidR="00F22F94" w:rsidRDefault="00F22F94">
                  <w:pPr>
                    <w:pStyle w:val="BodyText"/>
                    <w:spacing w:before="4"/>
                    <w:ind w:left="113"/>
                    <w:rPr>
                      <w:color w:val="000000"/>
                    </w:rPr>
                  </w:pPr>
                  <w:r>
                    <w:rPr>
                      <w:color w:val="000000"/>
                      <w:spacing w:val="-2"/>
                      <w:w w:val="95"/>
                    </w:rPr>
                    <w:t>$125</w:t>
                  </w:r>
                  <w:r>
                    <w:rPr>
                      <w:color w:val="000000"/>
                      <w:spacing w:val="-10"/>
                      <w:w w:val="95"/>
                    </w:rPr>
                    <w:t xml:space="preserve"> </w:t>
                  </w:r>
                  <w:r>
                    <w:rPr>
                      <w:color w:val="000000"/>
                      <w:spacing w:val="-2"/>
                      <w:w w:val="95"/>
                    </w:rPr>
                    <w:t>million</w:t>
                  </w:r>
                  <w:r>
                    <w:rPr>
                      <w:color w:val="000000"/>
                      <w:spacing w:val="-9"/>
                      <w:w w:val="95"/>
                    </w:rPr>
                    <w:t xml:space="preserve"> </w:t>
                  </w:r>
                  <w:r>
                    <w:rPr>
                      <w:color w:val="000000"/>
                      <w:spacing w:val="-2"/>
                      <w:w w:val="95"/>
                    </w:rPr>
                    <w:t>in</w:t>
                  </w:r>
                  <w:r>
                    <w:rPr>
                      <w:color w:val="000000"/>
                      <w:spacing w:val="-9"/>
                      <w:w w:val="95"/>
                    </w:rPr>
                    <w:t xml:space="preserve"> </w:t>
                  </w:r>
                  <w:r>
                    <w:rPr>
                      <w:color w:val="000000"/>
                      <w:spacing w:val="-2"/>
                      <w:w w:val="95"/>
                    </w:rPr>
                    <w:t>total.</w:t>
                  </w:r>
                </w:p>
              </w:txbxContent>
            </v:textbox>
            <w10:wrap anchorx="page"/>
          </v:shape>
        </w:pict>
      </w:r>
      <w:r w:rsidR="00F22F94">
        <w:rPr>
          <w:w w:val="95"/>
          <w:sz w:val="14"/>
        </w:rPr>
        <w:t>NSW</w:t>
      </w:r>
      <w:r w:rsidR="00F22F94">
        <w:rPr>
          <w:sz w:val="14"/>
        </w:rPr>
        <w:t xml:space="preserve"> </w:t>
      </w:r>
      <w:r w:rsidR="00F22F94">
        <w:rPr>
          <w:w w:val="95"/>
          <w:sz w:val="14"/>
        </w:rPr>
        <w:t>Bureau</w:t>
      </w:r>
      <w:r w:rsidR="00F22F94">
        <w:rPr>
          <w:spacing w:val="1"/>
          <w:sz w:val="14"/>
        </w:rPr>
        <w:t xml:space="preserve"> </w:t>
      </w:r>
      <w:r w:rsidR="00F22F94">
        <w:rPr>
          <w:w w:val="95"/>
          <w:sz w:val="14"/>
        </w:rPr>
        <w:t>of</w:t>
      </w:r>
      <w:r w:rsidR="00F22F94">
        <w:rPr>
          <w:spacing w:val="1"/>
          <w:sz w:val="14"/>
        </w:rPr>
        <w:t xml:space="preserve"> </w:t>
      </w:r>
      <w:r w:rsidR="00F22F94">
        <w:rPr>
          <w:w w:val="95"/>
          <w:sz w:val="14"/>
        </w:rPr>
        <w:t>Transport</w:t>
      </w:r>
      <w:r w:rsidR="00F22F94">
        <w:rPr>
          <w:spacing w:val="1"/>
          <w:sz w:val="14"/>
        </w:rPr>
        <w:t xml:space="preserve"> </w:t>
      </w:r>
      <w:r w:rsidR="00F22F94">
        <w:rPr>
          <w:w w:val="95"/>
          <w:sz w:val="14"/>
        </w:rPr>
        <w:t>Statistics,</w:t>
      </w:r>
      <w:r w:rsidR="00F22F94">
        <w:rPr>
          <w:spacing w:val="1"/>
          <w:sz w:val="14"/>
        </w:rPr>
        <w:t xml:space="preserve"> </w:t>
      </w:r>
      <w:r w:rsidR="00F22F94">
        <w:rPr>
          <w:spacing w:val="-2"/>
          <w:w w:val="95"/>
          <w:sz w:val="14"/>
        </w:rPr>
        <w:t>2011.</w:t>
      </w:r>
    </w:p>
    <w:p w:rsidR="002C1123" w:rsidRDefault="00F22F94">
      <w:pPr>
        <w:pStyle w:val="ListParagraph"/>
        <w:numPr>
          <w:ilvl w:val="0"/>
          <w:numId w:val="73"/>
        </w:numPr>
        <w:tabs>
          <w:tab w:val="left" w:pos="691"/>
        </w:tabs>
        <w:spacing w:line="160" w:lineRule="exact"/>
        <w:ind w:left="690"/>
        <w:jc w:val="left"/>
        <w:rPr>
          <w:sz w:val="14"/>
        </w:rPr>
      </w:pPr>
      <w:r>
        <w:rPr>
          <w:w w:val="95"/>
          <w:sz w:val="14"/>
        </w:rPr>
        <w:t>Port</w:t>
      </w:r>
      <w:r>
        <w:rPr>
          <w:spacing w:val="8"/>
          <w:sz w:val="14"/>
        </w:rPr>
        <w:t xml:space="preserve"> </w:t>
      </w:r>
      <w:r>
        <w:rPr>
          <w:w w:val="95"/>
          <w:sz w:val="14"/>
        </w:rPr>
        <w:t>Kembla</w:t>
      </w:r>
      <w:r>
        <w:rPr>
          <w:spacing w:val="9"/>
          <w:sz w:val="14"/>
        </w:rPr>
        <w:t xml:space="preserve"> </w:t>
      </w:r>
      <w:r>
        <w:rPr>
          <w:w w:val="95"/>
          <w:sz w:val="14"/>
        </w:rPr>
        <w:t>Ports</w:t>
      </w:r>
      <w:r>
        <w:rPr>
          <w:spacing w:val="8"/>
          <w:sz w:val="14"/>
        </w:rPr>
        <w:t xml:space="preserve"> </w:t>
      </w:r>
      <w:r>
        <w:rPr>
          <w:w w:val="95"/>
          <w:sz w:val="14"/>
        </w:rPr>
        <w:t>Corporation</w:t>
      </w:r>
      <w:r>
        <w:rPr>
          <w:spacing w:val="9"/>
          <w:sz w:val="14"/>
        </w:rPr>
        <w:t xml:space="preserve"> </w:t>
      </w:r>
      <w:r>
        <w:rPr>
          <w:spacing w:val="-2"/>
          <w:w w:val="95"/>
          <w:sz w:val="14"/>
        </w:rPr>
        <w:t>2011.</w:t>
      </w:r>
    </w:p>
    <w:p w:rsidR="002C1123" w:rsidRDefault="00F22F94">
      <w:pPr>
        <w:pStyle w:val="ListParagraph"/>
        <w:numPr>
          <w:ilvl w:val="0"/>
          <w:numId w:val="73"/>
        </w:numPr>
        <w:tabs>
          <w:tab w:val="left" w:pos="691"/>
        </w:tabs>
        <w:spacing w:line="161" w:lineRule="exact"/>
        <w:ind w:left="690"/>
        <w:jc w:val="left"/>
        <w:rPr>
          <w:sz w:val="14"/>
        </w:rPr>
      </w:pPr>
      <w:r>
        <w:rPr>
          <w:w w:val="90"/>
          <w:sz w:val="14"/>
        </w:rPr>
        <w:t>Hyder</w:t>
      </w:r>
      <w:r>
        <w:rPr>
          <w:spacing w:val="9"/>
          <w:sz w:val="14"/>
        </w:rPr>
        <w:t xml:space="preserve"> </w:t>
      </w:r>
      <w:r>
        <w:rPr>
          <w:w w:val="90"/>
          <w:sz w:val="14"/>
        </w:rPr>
        <w:t>and</w:t>
      </w:r>
      <w:r>
        <w:rPr>
          <w:spacing w:val="9"/>
          <w:sz w:val="14"/>
        </w:rPr>
        <w:t xml:space="preserve"> </w:t>
      </w:r>
      <w:r>
        <w:rPr>
          <w:w w:val="90"/>
          <w:sz w:val="14"/>
        </w:rPr>
        <w:t>Acil</w:t>
      </w:r>
      <w:r>
        <w:rPr>
          <w:spacing w:val="10"/>
          <w:sz w:val="14"/>
        </w:rPr>
        <w:t xml:space="preserve"> </w:t>
      </w:r>
      <w:r>
        <w:rPr>
          <w:w w:val="90"/>
          <w:sz w:val="14"/>
        </w:rPr>
        <w:t>Tasman</w:t>
      </w:r>
      <w:r>
        <w:rPr>
          <w:spacing w:val="9"/>
          <w:sz w:val="14"/>
        </w:rPr>
        <w:t xml:space="preserve"> </w:t>
      </w:r>
      <w:r>
        <w:rPr>
          <w:w w:val="90"/>
          <w:sz w:val="14"/>
        </w:rPr>
        <w:t>2011,</w:t>
      </w:r>
      <w:r>
        <w:rPr>
          <w:spacing w:val="10"/>
          <w:sz w:val="14"/>
        </w:rPr>
        <w:t xml:space="preserve"> </w:t>
      </w:r>
      <w:r>
        <w:rPr>
          <w:w w:val="90"/>
          <w:sz w:val="14"/>
        </w:rPr>
        <w:t>Maldon</w:t>
      </w:r>
      <w:r>
        <w:rPr>
          <w:spacing w:val="9"/>
          <w:sz w:val="14"/>
        </w:rPr>
        <w:t xml:space="preserve"> </w:t>
      </w:r>
      <w:r>
        <w:rPr>
          <w:w w:val="90"/>
          <w:sz w:val="14"/>
        </w:rPr>
        <w:t>–</w:t>
      </w:r>
      <w:r>
        <w:rPr>
          <w:spacing w:val="10"/>
          <w:sz w:val="14"/>
        </w:rPr>
        <w:t xml:space="preserve"> </w:t>
      </w:r>
      <w:r>
        <w:rPr>
          <w:w w:val="90"/>
          <w:sz w:val="14"/>
        </w:rPr>
        <w:t>Dombarton</w:t>
      </w:r>
      <w:r>
        <w:rPr>
          <w:spacing w:val="9"/>
          <w:sz w:val="14"/>
        </w:rPr>
        <w:t xml:space="preserve"> </w:t>
      </w:r>
      <w:r>
        <w:rPr>
          <w:w w:val="90"/>
          <w:sz w:val="14"/>
        </w:rPr>
        <w:t>Rail</w:t>
      </w:r>
      <w:r>
        <w:rPr>
          <w:spacing w:val="10"/>
          <w:sz w:val="14"/>
        </w:rPr>
        <w:t xml:space="preserve"> </w:t>
      </w:r>
      <w:r>
        <w:rPr>
          <w:w w:val="90"/>
          <w:sz w:val="14"/>
        </w:rPr>
        <w:t>Link</w:t>
      </w:r>
      <w:r>
        <w:rPr>
          <w:spacing w:val="9"/>
          <w:sz w:val="14"/>
        </w:rPr>
        <w:t xml:space="preserve"> </w:t>
      </w:r>
      <w:r>
        <w:rPr>
          <w:w w:val="90"/>
          <w:sz w:val="14"/>
        </w:rPr>
        <w:t>Feasibility</w:t>
      </w:r>
      <w:r>
        <w:rPr>
          <w:spacing w:val="10"/>
          <w:sz w:val="14"/>
        </w:rPr>
        <w:t xml:space="preserve"> </w:t>
      </w:r>
      <w:r>
        <w:rPr>
          <w:spacing w:val="-2"/>
          <w:w w:val="90"/>
          <w:sz w:val="14"/>
        </w:rPr>
        <w:t>Study.</w:t>
      </w:r>
    </w:p>
    <w:p w:rsidR="002C1123" w:rsidRDefault="00F22F94">
      <w:pPr>
        <w:spacing w:after="24"/>
        <w:rPr>
          <w:sz w:val="24"/>
        </w:rPr>
      </w:pPr>
      <w:r>
        <w:br w:type="column"/>
      </w:r>
    </w:p>
    <w:p w:rsidR="002C1123" w:rsidRDefault="002060EF">
      <w:pPr>
        <w:pStyle w:val="BodyText"/>
        <w:spacing w:line="20" w:lineRule="exact"/>
        <w:ind w:left="492"/>
        <w:rPr>
          <w:sz w:val="2"/>
        </w:rPr>
      </w:pPr>
      <w:r>
        <w:rPr>
          <w:sz w:val="2"/>
        </w:rPr>
      </w:r>
      <w:r>
        <w:rPr>
          <w:sz w:val="2"/>
        </w:rPr>
        <w:pict>
          <v:group id="docshapegroup1919" o:spid="_x0000_s3165" style="width:1in;height:.5pt;mso-position-horizontal-relative:char;mso-position-vertical-relative:line" coordsize="1440,10">
            <v:line id="_x0000_s3166" style="position:absolute" from="0,5" to="1440,5" strokecolor="#9c9c9d" strokeweight=".5pt"/>
            <w10:anchorlock/>
          </v:group>
        </w:pict>
      </w:r>
    </w:p>
    <w:p w:rsidR="002C1123" w:rsidRDefault="00F22F94">
      <w:pPr>
        <w:pStyle w:val="ListParagraph"/>
        <w:numPr>
          <w:ilvl w:val="0"/>
          <w:numId w:val="73"/>
        </w:numPr>
        <w:tabs>
          <w:tab w:val="left" w:pos="691"/>
        </w:tabs>
        <w:spacing w:before="8"/>
        <w:ind w:left="690"/>
        <w:jc w:val="left"/>
        <w:rPr>
          <w:sz w:val="14"/>
        </w:rPr>
      </w:pPr>
      <w:r>
        <w:rPr>
          <w:w w:val="90"/>
          <w:sz w:val="14"/>
        </w:rPr>
        <w:t>Hyder</w:t>
      </w:r>
      <w:r>
        <w:rPr>
          <w:spacing w:val="9"/>
          <w:sz w:val="14"/>
        </w:rPr>
        <w:t xml:space="preserve"> </w:t>
      </w:r>
      <w:r>
        <w:rPr>
          <w:w w:val="90"/>
          <w:sz w:val="14"/>
        </w:rPr>
        <w:t>and</w:t>
      </w:r>
      <w:r>
        <w:rPr>
          <w:spacing w:val="9"/>
          <w:sz w:val="14"/>
        </w:rPr>
        <w:t xml:space="preserve"> </w:t>
      </w:r>
      <w:r>
        <w:rPr>
          <w:w w:val="90"/>
          <w:sz w:val="14"/>
        </w:rPr>
        <w:t>Acil</w:t>
      </w:r>
      <w:r>
        <w:rPr>
          <w:spacing w:val="10"/>
          <w:sz w:val="14"/>
        </w:rPr>
        <w:t xml:space="preserve"> </w:t>
      </w:r>
      <w:r>
        <w:rPr>
          <w:w w:val="90"/>
          <w:sz w:val="14"/>
        </w:rPr>
        <w:t>Tasman</w:t>
      </w:r>
      <w:r>
        <w:rPr>
          <w:spacing w:val="9"/>
          <w:sz w:val="14"/>
        </w:rPr>
        <w:t xml:space="preserve"> </w:t>
      </w:r>
      <w:r>
        <w:rPr>
          <w:w w:val="90"/>
          <w:sz w:val="14"/>
        </w:rPr>
        <w:t>2011,</w:t>
      </w:r>
      <w:r>
        <w:rPr>
          <w:spacing w:val="10"/>
          <w:sz w:val="14"/>
        </w:rPr>
        <w:t xml:space="preserve"> </w:t>
      </w:r>
      <w:r>
        <w:rPr>
          <w:w w:val="90"/>
          <w:sz w:val="14"/>
        </w:rPr>
        <w:t>Maldon</w:t>
      </w:r>
      <w:r>
        <w:rPr>
          <w:spacing w:val="9"/>
          <w:sz w:val="14"/>
        </w:rPr>
        <w:t xml:space="preserve"> </w:t>
      </w:r>
      <w:r>
        <w:rPr>
          <w:w w:val="90"/>
          <w:sz w:val="14"/>
        </w:rPr>
        <w:t>–</w:t>
      </w:r>
      <w:r>
        <w:rPr>
          <w:spacing w:val="10"/>
          <w:sz w:val="14"/>
        </w:rPr>
        <w:t xml:space="preserve"> </w:t>
      </w:r>
      <w:r>
        <w:rPr>
          <w:w w:val="90"/>
          <w:sz w:val="14"/>
        </w:rPr>
        <w:t>Dombarton</w:t>
      </w:r>
      <w:r>
        <w:rPr>
          <w:spacing w:val="9"/>
          <w:sz w:val="14"/>
        </w:rPr>
        <w:t xml:space="preserve"> </w:t>
      </w:r>
      <w:r>
        <w:rPr>
          <w:w w:val="90"/>
          <w:sz w:val="14"/>
        </w:rPr>
        <w:t>Rail</w:t>
      </w:r>
      <w:r>
        <w:rPr>
          <w:spacing w:val="10"/>
          <w:sz w:val="14"/>
        </w:rPr>
        <w:t xml:space="preserve"> </w:t>
      </w:r>
      <w:r>
        <w:rPr>
          <w:w w:val="90"/>
          <w:sz w:val="14"/>
        </w:rPr>
        <w:t>Link</w:t>
      </w:r>
      <w:r>
        <w:rPr>
          <w:spacing w:val="9"/>
          <w:sz w:val="14"/>
        </w:rPr>
        <w:t xml:space="preserve"> </w:t>
      </w:r>
      <w:r>
        <w:rPr>
          <w:w w:val="90"/>
          <w:sz w:val="14"/>
        </w:rPr>
        <w:t>Feasibility</w:t>
      </w:r>
      <w:r>
        <w:rPr>
          <w:spacing w:val="10"/>
          <w:sz w:val="14"/>
        </w:rPr>
        <w:t xml:space="preserve"> </w:t>
      </w:r>
      <w:r>
        <w:rPr>
          <w:spacing w:val="-2"/>
          <w:w w:val="90"/>
          <w:sz w:val="14"/>
        </w:rPr>
        <w:t>Study.</w:t>
      </w:r>
    </w:p>
    <w:p w:rsidR="002C1123" w:rsidRDefault="002C1123">
      <w:pPr>
        <w:rPr>
          <w:sz w:val="14"/>
        </w:rPr>
        <w:sectPr w:rsidR="002C1123">
          <w:type w:val="continuous"/>
          <w:pgSz w:w="16840" w:h="11910" w:orient="landscape"/>
          <w:pgMar w:top="560" w:right="280" w:bottom="280" w:left="500" w:header="0" w:footer="517" w:gutter="0"/>
          <w:cols w:num="2" w:space="720" w:equalWidth="0">
            <w:col w:w="5332" w:space="4722"/>
            <w:col w:w="6006"/>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7"/>
        </w:rPr>
      </w:pPr>
    </w:p>
    <w:p w:rsidR="002C1123" w:rsidRDefault="002C1123">
      <w:pPr>
        <w:rPr>
          <w:sz w:val="17"/>
        </w:rPr>
        <w:sectPr w:rsidR="002C1123">
          <w:pgSz w:w="16840" w:h="11910" w:orient="landscape"/>
          <w:pgMar w:top="560" w:right="280" w:bottom="700" w:left="500" w:header="0" w:footer="517" w:gutter="0"/>
          <w:cols w:space="720"/>
        </w:sectPr>
      </w:pPr>
    </w:p>
    <w:p w:rsidR="002C1123" w:rsidRDefault="00F22F94">
      <w:pPr>
        <w:pStyle w:val="Heading5"/>
        <w:numPr>
          <w:ilvl w:val="1"/>
          <w:numId w:val="68"/>
        </w:numPr>
        <w:tabs>
          <w:tab w:val="left" w:pos="1093"/>
        </w:tabs>
        <w:spacing w:before="129" w:line="223" w:lineRule="auto"/>
        <w:ind w:right="401"/>
        <w:jc w:val="left"/>
      </w:pPr>
      <w:bookmarkStart w:id="287" w:name="10.6__Access_to_markets:_intrastate_and_"/>
      <w:bookmarkStart w:id="288" w:name="_bookmark205"/>
      <w:bookmarkStart w:id="289" w:name="_bookmark204"/>
      <w:bookmarkEnd w:id="287"/>
      <w:bookmarkEnd w:id="288"/>
      <w:bookmarkEnd w:id="289"/>
      <w:r>
        <w:rPr>
          <w:color w:val="00AEEF"/>
          <w:spacing w:val="-4"/>
        </w:rPr>
        <w:t>Access</w:t>
      </w:r>
      <w:r>
        <w:rPr>
          <w:color w:val="00AEEF"/>
          <w:spacing w:val="-15"/>
        </w:rPr>
        <w:t xml:space="preserve"> </w:t>
      </w:r>
      <w:r>
        <w:rPr>
          <w:color w:val="00AEEF"/>
          <w:spacing w:val="-4"/>
        </w:rPr>
        <w:t>to</w:t>
      </w:r>
      <w:r>
        <w:rPr>
          <w:color w:val="00AEEF"/>
          <w:spacing w:val="-15"/>
        </w:rPr>
        <w:t xml:space="preserve"> </w:t>
      </w:r>
      <w:r>
        <w:rPr>
          <w:color w:val="00AEEF"/>
          <w:spacing w:val="-4"/>
        </w:rPr>
        <w:t>markets:</w:t>
      </w:r>
      <w:r>
        <w:rPr>
          <w:color w:val="00AEEF"/>
          <w:spacing w:val="-15"/>
        </w:rPr>
        <w:t xml:space="preserve"> </w:t>
      </w:r>
      <w:r>
        <w:rPr>
          <w:color w:val="00AEEF"/>
          <w:spacing w:val="-4"/>
        </w:rPr>
        <w:t xml:space="preserve">intrastate </w:t>
      </w:r>
      <w:r>
        <w:rPr>
          <w:color w:val="00AEEF"/>
        </w:rPr>
        <w:t>and interstate freight</w:t>
      </w:r>
    </w:p>
    <w:p w:rsidR="002C1123" w:rsidRDefault="00F22F94">
      <w:pPr>
        <w:pStyle w:val="BodyText"/>
        <w:spacing w:before="140" w:line="249" w:lineRule="auto"/>
        <w:ind w:left="492"/>
      </w:pPr>
      <w:r>
        <w:t>This</w:t>
      </w:r>
      <w:r>
        <w:rPr>
          <w:spacing w:val="-7"/>
        </w:rPr>
        <w:t xml:space="preserve"> </w:t>
      </w:r>
      <w:r>
        <w:t>section</w:t>
      </w:r>
      <w:r>
        <w:rPr>
          <w:spacing w:val="-7"/>
        </w:rPr>
        <w:t xml:space="preserve"> </w:t>
      </w:r>
      <w:r>
        <w:t>assesses</w:t>
      </w:r>
      <w:r>
        <w:rPr>
          <w:spacing w:val="-7"/>
        </w:rPr>
        <w:t xml:space="preserve"> </w:t>
      </w:r>
      <w:r>
        <w:t>transport</w:t>
      </w:r>
      <w:r>
        <w:rPr>
          <w:spacing w:val="-7"/>
        </w:rPr>
        <w:t xml:space="preserve"> </w:t>
      </w:r>
      <w:r>
        <w:t xml:space="preserve">infrastructure </w:t>
      </w:r>
      <w:r>
        <w:rPr>
          <w:w w:val="95"/>
        </w:rPr>
        <w:t>investments</w:t>
      </w:r>
      <w:r>
        <w:rPr>
          <w:spacing w:val="-3"/>
          <w:w w:val="95"/>
        </w:rPr>
        <w:t xml:space="preserve"> </w:t>
      </w:r>
      <w:r>
        <w:rPr>
          <w:w w:val="95"/>
        </w:rPr>
        <w:t>to</w:t>
      </w:r>
      <w:r>
        <w:rPr>
          <w:spacing w:val="-3"/>
          <w:w w:val="95"/>
        </w:rPr>
        <w:t xml:space="preserve"> </w:t>
      </w:r>
      <w:r>
        <w:rPr>
          <w:w w:val="95"/>
        </w:rPr>
        <w:t>support</w:t>
      </w:r>
      <w:r>
        <w:rPr>
          <w:spacing w:val="-3"/>
          <w:w w:val="95"/>
        </w:rPr>
        <w:t xml:space="preserve"> </w:t>
      </w:r>
      <w:r>
        <w:rPr>
          <w:w w:val="95"/>
        </w:rPr>
        <w:t>intrastate</w:t>
      </w:r>
      <w:r>
        <w:rPr>
          <w:spacing w:val="-3"/>
          <w:w w:val="95"/>
        </w:rPr>
        <w:t xml:space="preserve"> </w:t>
      </w:r>
      <w:r>
        <w:rPr>
          <w:w w:val="95"/>
        </w:rPr>
        <w:t>and</w:t>
      </w:r>
      <w:r>
        <w:rPr>
          <w:spacing w:val="-3"/>
          <w:w w:val="95"/>
        </w:rPr>
        <w:t xml:space="preserve"> </w:t>
      </w:r>
      <w:r>
        <w:rPr>
          <w:w w:val="95"/>
        </w:rPr>
        <w:t>interstate</w:t>
      </w:r>
      <w:r>
        <w:rPr>
          <w:spacing w:val="-3"/>
          <w:w w:val="95"/>
        </w:rPr>
        <w:t xml:space="preserve"> </w:t>
      </w:r>
      <w:r>
        <w:rPr>
          <w:w w:val="95"/>
        </w:rPr>
        <w:t xml:space="preserve">freight movements. Intrastate freight comprises the majority </w:t>
      </w:r>
      <w:r>
        <w:t>(around</w:t>
      </w:r>
      <w:r>
        <w:rPr>
          <w:spacing w:val="-14"/>
        </w:rPr>
        <w:t xml:space="preserve"> </w:t>
      </w:r>
      <w:r>
        <w:t>60</w:t>
      </w:r>
      <w:r>
        <w:rPr>
          <w:spacing w:val="-14"/>
        </w:rPr>
        <w:t xml:space="preserve"> </w:t>
      </w:r>
      <w:r>
        <w:t>percent)</w:t>
      </w:r>
      <w:r>
        <w:rPr>
          <w:spacing w:val="-14"/>
        </w:rPr>
        <w:t xml:space="preserve"> </w:t>
      </w:r>
      <w:r>
        <w:t>of</w:t>
      </w:r>
      <w:r>
        <w:rPr>
          <w:spacing w:val="-13"/>
        </w:rPr>
        <w:t xml:space="preserve"> </w:t>
      </w:r>
      <w:r>
        <w:t>the</w:t>
      </w:r>
      <w:r>
        <w:rPr>
          <w:spacing w:val="-14"/>
        </w:rPr>
        <w:t xml:space="preserve"> </w:t>
      </w:r>
      <w:r>
        <w:t>freight</w:t>
      </w:r>
      <w:r>
        <w:rPr>
          <w:spacing w:val="-14"/>
        </w:rPr>
        <w:t xml:space="preserve"> </w:t>
      </w:r>
      <w:r>
        <w:t>task</w:t>
      </w:r>
      <w:r>
        <w:rPr>
          <w:spacing w:val="-14"/>
        </w:rPr>
        <w:t xml:space="preserve"> </w:t>
      </w:r>
      <w:r>
        <w:t>by</w:t>
      </w:r>
      <w:r>
        <w:rPr>
          <w:spacing w:val="-13"/>
        </w:rPr>
        <w:t xml:space="preserve"> </w:t>
      </w:r>
      <w:r>
        <w:t>volume.</w:t>
      </w:r>
    </w:p>
    <w:p w:rsidR="002C1123" w:rsidRDefault="00F22F94">
      <w:pPr>
        <w:pStyle w:val="BodyText"/>
        <w:spacing w:before="3" w:line="249" w:lineRule="auto"/>
        <w:ind w:left="492"/>
      </w:pPr>
      <w:r>
        <w:t>Interstate</w:t>
      </w:r>
      <w:r>
        <w:rPr>
          <w:spacing w:val="-9"/>
        </w:rPr>
        <w:t xml:space="preserve"> </w:t>
      </w:r>
      <w:r>
        <w:t>freight</w:t>
      </w:r>
      <w:r>
        <w:rPr>
          <w:spacing w:val="-9"/>
        </w:rPr>
        <w:t xml:space="preserve"> </w:t>
      </w:r>
      <w:r>
        <w:t>makes</w:t>
      </w:r>
      <w:r>
        <w:rPr>
          <w:spacing w:val="-9"/>
        </w:rPr>
        <w:t xml:space="preserve"> </w:t>
      </w:r>
      <w:r>
        <w:t>up</w:t>
      </w:r>
      <w:r>
        <w:rPr>
          <w:spacing w:val="-9"/>
        </w:rPr>
        <w:t xml:space="preserve"> </w:t>
      </w:r>
      <w:r>
        <w:t>around</w:t>
      </w:r>
      <w:r>
        <w:rPr>
          <w:spacing w:val="-9"/>
        </w:rPr>
        <w:t xml:space="preserve"> </w:t>
      </w:r>
      <w:r>
        <w:t>20</w:t>
      </w:r>
      <w:r>
        <w:rPr>
          <w:spacing w:val="-9"/>
        </w:rPr>
        <w:t xml:space="preserve"> </w:t>
      </w:r>
      <w:r>
        <w:t>percent</w:t>
      </w:r>
      <w:r>
        <w:rPr>
          <w:spacing w:val="-9"/>
        </w:rPr>
        <w:t xml:space="preserve"> </w:t>
      </w:r>
      <w:r>
        <w:t xml:space="preserve">of </w:t>
      </w:r>
      <w:r>
        <w:rPr>
          <w:w w:val="90"/>
        </w:rPr>
        <w:t>volumes</w:t>
      </w:r>
      <w:r>
        <w:rPr>
          <w:w w:val="90"/>
          <w:position w:val="7"/>
          <w:sz w:val="11"/>
        </w:rPr>
        <w:t>28</w:t>
      </w:r>
      <w:r>
        <w:rPr>
          <w:w w:val="90"/>
        </w:rPr>
        <w:t>.</w:t>
      </w:r>
      <w:r>
        <w:rPr>
          <w:spacing w:val="7"/>
        </w:rPr>
        <w:t xml:space="preserve"> </w:t>
      </w:r>
      <w:r>
        <w:rPr>
          <w:w w:val="90"/>
        </w:rPr>
        <w:t>These</w:t>
      </w:r>
      <w:r>
        <w:rPr>
          <w:spacing w:val="8"/>
        </w:rPr>
        <w:t xml:space="preserve"> </w:t>
      </w:r>
      <w:r>
        <w:rPr>
          <w:w w:val="90"/>
        </w:rPr>
        <w:t>movements</w:t>
      </w:r>
      <w:r>
        <w:rPr>
          <w:spacing w:val="8"/>
        </w:rPr>
        <w:t xml:space="preserve"> </w:t>
      </w:r>
      <w:r>
        <w:rPr>
          <w:w w:val="90"/>
        </w:rPr>
        <w:t>are</w:t>
      </w:r>
      <w:r>
        <w:rPr>
          <w:spacing w:val="8"/>
        </w:rPr>
        <w:t xml:space="preserve"> </w:t>
      </w:r>
      <w:r>
        <w:rPr>
          <w:w w:val="90"/>
        </w:rPr>
        <w:t>primarily</w:t>
      </w:r>
      <w:r>
        <w:rPr>
          <w:spacing w:val="8"/>
        </w:rPr>
        <w:t xml:space="preserve"> </w:t>
      </w:r>
      <w:r>
        <w:rPr>
          <w:w w:val="90"/>
        </w:rPr>
        <w:t>made</w:t>
      </w:r>
      <w:r>
        <w:rPr>
          <w:spacing w:val="8"/>
        </w:rPr>
        <w:t xml:space="preserve"> </w:t>
      </w:r>
      <w:r>
        <w:rPr>
          <w:w w:val="90"/>
        </w:rPr>
        <w:t>by</w:t>
      </w:r>
      <w:r>
        <w:rPr>
          <w:spacing w:val="8"/>
        </w:rPr>
        <w:t xml:space="preserve"> </w:t>
      </w:r>
      <w:r>
        <w:rPr>
          <w:spacing w:val="-4"/>
          <w:w w:val="90"/>
        </w:rPr>
        <w:t>road.</w:t>
      </w:r>
    </w:p>
    <w:p w:rsidR="002C1123" w:rsidRDefault="00F22F94">
      <w:pPr>
        <w:pStyle w:val="BodyText"/>
        <w:spacing w:before="143" w:line="249" w:lineRule="auto"/>
        <w:ind w:left="492"/>
      </w:pPr>
      <w:r>
        <w:rPr>
          <w:w w:val="95"/>
        </w:rPr>
        <w:t>This</w:t>
      </w:r>
      <w:r>
        <w:rPr>
          <w:spacing w:val="-7"/>
          <w:w w:val="95"/>
        </w:rPr>
        <w:t xml:space="preserve"> </w:t>
      </w:r>
      <w:r>
        <w:rPr>
          <w:w w:val="95"/>
        </w:rPr>
        <w:t>section</w:t>
      </w:r>
      <w:r>
        <w:rPr>
          <w:spacing w:val="-7"/>
          <w:w w:val="95"/>
        </w:rPr>
        <w:t xml:space="preserve"> </w:t>
      </w:r>
      <w:r>
        <w:rPr>
          <w:w w:val="95"/>
        </w:rPr>
        <w:t>also</w:t>
      </w:r>
      <w:r>
        <w:rPr>
          <w:spacing w:val="-7"/>
          <w:w w:val="95"/>
        </w:rPr>
        <w:t xml:space="preserve"> </w:t>
      </w:r>
      <w:r>
        <w:rPr>
          <w:w w:val="95"/>
        </w:rPr>
        <w:t>considers</w:t>
      </w:r>
      <w:r>
        <w:rPr>
          <w:spacing w:val="-7"/>
          <w:w w:val="95"/>
        </w:rPr>
        <w:t xml:space="preserve"> </w:t>
      </w:r>
      <w:r>
        <w:rPr>
          <w:w w:val="95"/>
        </w:rPr>
        <w:t>container</w:t>
      </w:r>
      <w:r>
        <w:rPr>
          <w:spacing w:val="-7"/>
          <w:w w:val="95"/>
        </w:rPr>
        <w:t xml:space="preserve"> </w:t>
      </w:r>
      <w:r>
        <w:rPr>
          <w:w w:val="95"/>
        </w:rPr>
        <w:t>freight</w:t>
      </w:r>
      <w:r>
        <w:rPr>
          <w:spacing w:val="-7"/>
          <w:w w:val="95"/>
        </w:rPr>
        <w:t xml:space="preserve"> </w:t>
      </w:r>
      <w:r>
        <w:rPr>
          <w:w w:val="95"/>
        </w:rPr>
        <w:t>exports</w:t>
      </w:r>
      <w:r>
        <w:rPr>
          <w:spacing w:val="-7"/>
          <w:w w:val="95"/>
        </w:rPr>
        <w:t xml:space="preserve"> </w:t>
      </w:r>
      <w:r>
        <w:rPr>
          <w:w w:val="95"/>
        </w:rPr>
        <w:t>from the</w:t>
      </w:r>
      <w:r>
        <w:rPr>
          <w:spacing w:val="-1"/>
          <w:w w:val="95"/>
        </w:rPr>
        <w:t xml:space="preserve"> </w:t>
      </w:r>
      <w:r>
        <w:rPr>
          <w:w w:val="95"/>
        </w:rPr>
        <w:t>regions</w:t>
      </w:r>
      <w:r>
        <w:rPr>
          <w:spacing w:val="-1"/>
          <w:w w:val="95"/>
        </w:rPr>
        <w:t xml:space="preserve"> </w:t>
      </w:r>
      <w:r>
        <w:rPr>
          <w:w w:val="95"/>
        </w:rPr>
        <w:t>through</w:t>
      </w:r>
      <w:r>
        <w:rPr>
          <w:spacing w:val="-1"/>
          <w:w w:val="95"/>
        </w:rPr>
        <w:t xml:space="preserve"> </w:t>
      </w:r>
      <w:r>
        <w:rPr>
          <w:w w:val="95"/>
        </w:rPr>
        <w:t>Port</w:t>
      </w:r>
      <w:r>
        <w:rPr>
          <w:spacing w:val="-1"/>
          <w:w w:val="95"/>
        </w:rPr>
        <w:t xml:space="preserve"> </w:t>
      </w:r>
      <w:r>
        <w:rPr>
          <w:w w:val="95"/>
        </w:rPr>
        <w:t>Botany.</w:t>
      </w:r>
      <w:r>
        <w:rPr>
          <w:spacing w:val="-1"/>
          <w:w w:val="95"/>
        </w:rPr>
        <w:t xml:space="preserve"> </w:t>
      </w:r>
      <w:r>
        <w:rPr>
          <w:w w:val="95"/>
        </w:rPr>
        <w:t>Wider</w:t>
      </w:r>
      <w:r>
        <w:rPr>
          <w:spacing w:val="-1"/>
          <w:w w:val="95"/>
        </w:rPr>
        <w:t xml:space="preserve"> </w:t>
      </w:r>
      <w:r>
        <w:rPr>
          <w:w w:val="95"/>
        </w:rPr>
        <w:t>issues</w:t>
      </w:r>
      <w:r>
        <w:rPr>
          <w:spacing w:val="-1"/>
          <w:w w:val="95"/>
        </w:rPr>
        <w:t xml:space="preserve"> </w:t>
      </w:r>
      <w:r>
        <w:rPr>
          <w:w w:val="95"/>
        </w:rPr>
        <w:t>relating</w:t>
      </w:r>
      <w:r>
        <w:rPr>
          <w:spacing w:val="-1"/>
          <w:w w:val="95"/>
        </w:rPr>
        <w:t xml:space="preserve"> </w:t>
      </w:r>
      <w:r>
        <w:rPr>
          <w:w w:val="95"/>
        </w:rPr>
        <w:t>to Port</w:t>
      </w:r>
      <w:r>
        <w:rPr>
          <w:spacing w:val="-7"/>
          <w:w w:val="95"/>
        </w:rPr>
        <w:t xml:space="preserve"> </w:t>
      </w:r>
      <w:r>
        <w:rPr>
          <w:w w:val="95"/>
        </w:rPr>
        <w:t>Botany</w:t>
      </w:r>
      <w:r>
        <w:rPr>
          <w:spacing w:val="-7"/>
          <w:w w:val="95"/>
        </w:rPr>
        <w:t xml:space="preserve"> </w:t>
      </w:r>
      <w:r>
        <w:rPr>
          <w:w w:val="95"/>
        </w:rPr>
        <w:t>are</w:t>
      </w:r>
      <w:r>
        <w:rPr>
          <w:spacing w:val="-7"/>
          <w:w w:val="95"/>
        </w:rPr>
        <w:t xml:space="preserve"> </w:t>
      </w:r>
      <w:r>
        <w:rPr>
          <w:w w:val="95"/>
        </w:rPr>
        <w:t>discussed</w:t>
      </w:r>
      <w:r>
        <w:rPr>
          <w:spacing w:val="-7"/>
          <w:w w:val="95"/>
        </w:rPr>
        <w:t xml:space="preserve"> </w:t>
      </w:r>
      <w:r>
        <w:rPr>
          <w:w w:val="95"/>
        </w:rPr>
        <w:t>in</w:t>
      </w:r>
      <w:r>
        <w:rPr>
          <w:spacing w:val="-7"/>
          <w:w w:val="95"/>
        </w:rPr>
        <w:t xml:space="preserve"> </w:t>
      </w:r>
      <w:r>
        <w:rPr>
          <w:w w:val="95"/>
        </w:rPr>
        <w:t>Section</w:t>
      </w:r>
      <w:r>
        <w:rPr>
          <w:spacing w:val="-7"/>
          <w:w w:val="95"/>
        </w:rPr>
        <w:t xml:space="preserve"> </w:t>
      </w:r>
      <w:r>
        <w:rPr>
          <w:w w:val="95"/>
        </w:rPr>
        <w:t>9.</w:t>
      </w:r>
      <w:r>
        <w:rPr>
          <w:spacing w:val="-7"/>
          <w:w w:val="95"/>
        </w:rPr>
        <w:t xml:space="preserve"> </w:t>
      </w:r>
      <w:r>
        <w:rPr>
          <w:w w:val="95"/>
        </w:rPr>
        <w:t>Almost</w:t>
      </w:r>
      <w:r>
        <w:rPr>
          <w:spacing w:val="-7"/>
          <w:w w:val="95"/>
        </w:rPr>
        <w:t xml:space="preserve"> </w:t>
      </w:r>
      <w:r>
        <w:rPr>
          <w:w w:val="95"/>
        </w:rPr>
        <w:t>two</w:t>
      </w:r>
      <w:r>
        <w:rPr>
          <w:spacing w:val="-7"/>
          <w:w w:val="95"/>
        </w:rPr>
        <w:t xml:space="preserve"> </w:t>
      </w:r>
      <w:r>
        <w:rPr>
          <w:w w:val="95"/>
        </w:rPr>
        <w:t xml:space="preserve">thirds </w:t>
      </w:r>
      <w:r>
        <w:t>of</w:t>
      </w:r>
      <w:r>
        <w:rPr>
          <w:spacing w:val="-12"/>
        </w:rPr>
        <w:t xml:space="preserve"> </w:t>
      </w:r>
      <w:r>
        <w:t>exports</w:t>
      </w:r>
      <w:r>
        <w:rPr>
          <w:spacing w:val="-12"/>
        </w:rPr>
        <w:t xml:space="preserve"> </w:t>
      </w:r>
      <w:r>
        <w:t>through</w:t>
      </w:r>
      <w:r>
        <w:rPr>
          <w:spacing w:val="-12"/>
        </w:rPr>
        <w:t xml:space="preserve"> </w:t>
      </w:r>
      <w:r>
        <w:t>Port</w:t>
      </w:r>
      <w:r>
        <w:rPr>
          <w:spacing w:val="-12"/>
        </w:rPr>
        <w:t xml:space="preserve"> </w:t>
      </w:r>
      <w:r>
        <w:t>Botany</w:t>
      </w:r>
      <w:r>
        <w:rPr>
          <w:spacing w:val="-12"/>
        </w:rPr>
        <w:t xml:space="preserve"> </w:t>
      </w:r>
      <w:r>
        <w:t>travel</w:t>
      </w:r>
      <w:r>
        <w:rPr>
          <w:spacing w:val="-12"/>
        </w:rPr>
        <w:t xml:space="preserve"> </w:t>
      </w:r>
      <w:r>
        <w:t>by</w:t>
      </w:r>
      <w:r>
        <w:rPr>
          <w:spacing w:val="-12"/>
        </w:rPr>
        <w:t xml:space="preserve"> </w:t>
      </w:r>
      <w:r>
        <w:t>road</w:t>
      </w:r>
      <w:r>
        <w:rPr>
          <w:position w:val="7"/>
          <w:sz w:val="11"/>
        </w:rPr>
        <w:t>29</w:t>
      </w:r>
      <w:r>
        <w:t>.</w:t>
      </w:r>
    </w:p>
    <w:p w:rsidR="002C1123" w:rsidRDefault="00F22F94">
      <w:pPr>
        <w:pStyle w:val="BodyText"/>
        <w:spacing w:before="145" w:line="249" w:lineRule="auto"/>
        <w:ind w:left="492" w:right="85"/>
      </w:pPr>
      <w:r>
        <w:t>The</w:t>
      </w:r>
      <w:r>
        <w:rPr>
          <w:spacing w:val="-14"/>
        </w:rPr>
        <w:t xml:space="preserve"> </w:t>
      </w:r>
      <w:r>
        <w:t>freight</w:t>
      </w:r>
      <w:r>
        <w:rPr>
          <w:spacing w:val="-14"/>
        </w:rPr>
        <w:t xml:space="preserve"> </w:t>
      </w:r>
      <w:r>
        <w:t>tasks</w:t>
      </w:r>
      <w:r>
        <w:rPr>
          <w:spacing w:val="-14"/>
        </w:rPr>
        <w:t xml:space="preserve"> </w:t>
      </w:r>
      <w:r>
        <w:t>discussed</w:t>
      </w:r>
      <w:r>
        <w:rPr>
          <w:spacing w:val="-14"/>
        </w:rPr>
        <w:t xml:space="preserve"> </w:t>
      </w:r>
      <w:r>
        <w:t>in</w:t>
      </w:r>
      <w:r>
        <w:rPr>
          <w:spacing w:val="-14"/>
        </w:rPr>
        <w:t xml:space="preserve"> </w:t>
      </w:r>
      <w:r>
        <w:t>this</w:t>
      </w:r>
      <w:r>
        <w:rPr>
          <w:spacing w:val="-14"/>
        </w:rPr>
        <w:t xml:space="preserve"> </w:t>
      </w:r>
      <w:r>
        <w:t>section</w:t>
      </w:r>
      <w:r>
        <w:rPr>
          <w:spacing w:val="-14"/>
        </w:rPr>
        <w:t xml:space="preserve"> </w:t>
      </w:r>
      <w:r>
        <w:t>are</w:t>
      </w:r>
      <w:r>
        <w:rPr>
          <w:spacing w:val="-14"/>
        </w:rPr>
        <w:t xml:space="preserve"> </w:t>
      </w:r>
      <w:r>
        <w:t>diverse. They</w:t>
      </w:r>
      <w:r>
        <w:rPr>
          <w:spacing w:val="-9"/>
        </w:rPr>
        <w:t xml:space="preserve"> </w:t>
      </w:r>
      <w:r>
        <w:t>include</w:t>
      </w:r>
      <w:r>
        <w:rPr>
          <w:spacing w:val="-9"/>
        </w:rPr>
        <w:t xml:space="preserve"> </w:t>
      </w:r>
      <w:r>
        <w:t>agricultural</w:t>
      </w:r>
      <w:r>
        <w:rPr>
          <w:spacing w:val="-9"/>
        </w:rPr>
        <w:t xml:space="preserve"> </w:t>
      </w:r>
      <w:r>
        <w:t>and</w:t>
      </w:r>
      <w:r>
        <w:rPr>
          <w:spacing w:val="-9"/>
        </w:rPr>
        <w:t xml:space="preserve"> </w:t>
      </w:r>
      <w:r>
        <w:t>manufactured</w:t>
      </w:r>
      <w:r>
        <w:rPr>
          <w:spacing w:val="-9"/>
        </w:rPr>
        <w:t xml:space="preserve"> </w:t>
      </w:r>
      <w:r>
        <w:t xml:space="preserve">products </w:t>
      </w:r>
      <w:r>
        <w:rPr>
          <w:w w:val="95"/>
        </w:rPr>
        <w:t xml:space="preserve">accessing urban markets or container ports, timber and </w:t>
      </w:r>
      <w:r>
        <w:t>construction</w:t>
      </w:r>
      <w:r>
        <w:rPr>
          <w:spacing w:val="-14"/>
        </w:rPr>
        <w:t xml:space="preserve"> </w:t>
      </w:r>
      <w:r>
        <w:t>materials,</w:t>
      </w:r>
      <w:r>
        <w:rPr>
          <w:spacing w:val="-14"/>
        </w:rPr>
        <w:t xml:space="preserve"> </w:t>
      </w:r>
      <w:r>
        <w:t>and</w:t>
      </w:r>
      <w:r>
        <w:rPr>
          <w:spacing w:val="-14"/>
        </w:rPr>
        <w:t xml:space="preserve"> </w:t>
      </w:r>
      <w:r>
        <w:t>bulk</w:t>
      </w:r>
      <w:r>
        <w:rPr>
          <w:spacing w:val="-14"/>
        </w:rPr>
        <w:t xml:space="preserve"> </w:t>
      </w:r>
      <w:r>
        <w:t>minerals</w:t>
      </w:r>
      <w:r>
        <w:rPr>
          <w:spacing w:val="-14"/>
        </w:rPr>
        <w:t xml:space="preserve"> </w:t>
      </w:r>
      <w:r>
        <w:t>such</w:t>
      </w:r>
      <w:r>
        <w:rPr>
          <w:spacing w:val="-14"/>
        </w:rPr>
        <w:t xml:space="preserve"> </w:t>
      </w:r>
      <w:r>
        <w:t>as</w:t>
      </w:r>
      <w:r>
        <w:rPr>
          <w:spacing w:val="-14"/>
        </w:rPr>
        <w:t xml:space="preserve"> </w:t>
      </w:r>
      <w:r>
        <w:t>coal for</w:t>
      </w:r>
      <w:r>
        <w:rPr>
          <w:spacing w:val="-13"/>
        </w:rPr>
        <w:t xml:space="preserve"> </w:t>
      </w:r>
      <w:r>
        <w:t>power</w:t>
      </w:r>
      <w:r>
        <w:rPr>
          <w:spacing w:val="-13"/>
        </w:rPr>
        <w:t xml:space="preserve"> </w:t>
      </w:r>
      <w:r>
        <w:t>stations</w:t>
      </w:r>
      <w:r>
        <w:rPr>
          <w:spacing w:val="-13"/>
        </w:rPr>
        <w:t xml:space="preserve"> </w:t>
      </w:r>
      <w:r>
        <w:t>and</w:t>
      </w:r>
      <w:r>
        <w:rPr>
          <w:spacing w:val="-13"/>
        </w:rPr>
        <w:t xml:space="preserve"> </w:t>
      </w:r>
      <w:r>
        <w:t>iron</w:t>
      </w:r>
      <w:r>
        <w:rPr>
          <w:spacing w:val="-13"/>
        </w:rPr>
        <w:t xml:space="preserve"> </w:t>
      </w:r>
      <w:r>
        <w:t>ore</w:t>
      </w:r>
      <w:r>
        <w:rPr>
          <w:spacing w:val="-13"/>
        </w:rPr>
        <w:t xml:space="preserve"> </w:t>
      </w:r>
      <w:r>
        <w:t>for</w:t>
      </w:r>
      <w:r>
        <w:rPr>
          <w:spacing w:val="-13"/>
        </w:rPr>
        <w:t xml:space="preserve"> </w:t>
      </w:r>
      <w:r>
        <w:t>the</w:t>
      </w:r>
      <w:r>
        <w:rPr>
          <w:spacing w:val="-13"/>
        </w:rPr>
        <w:t xml:space="preserve"> </w:t>
      </w:r>
      <w:r>
        <w:t>steel</w:t>
      </w:r>
      <w:r>
        <w:rPr>
          <w:spacing w:val="-13"/>
        </w:rPr>
        <w:t xml:space="preserve"> </w:t>
      </w:r>
      <w:r>
        <w:t>industry.</w:t>
      </w:r>
    </w:p>
    <w:p w:rsidR="002C1123" w:rsidRDefault="00F22F94">
      <w:pPr>
        <w:pStyle w:val="Heading6"/>
        <w:numPr>
          <w:ilvl w:val="2"/>
          <w:numId w:val="68"/>
        </w:numPr>
        <w:tabs>
          <w:tab w:val="left" w:pos="1087"/>
        </w:tabs>
        <w:spacing w:before="146" w:line="249" w:lineRule="auto"/>
        <w:ind w:right="1099"/>
        <w:rPr>
          <w:color w:val="00AEEF"/>
        </w:rPr>
      </w:pPr>
      <w:r>
        <w:rPr>
          <w:color w:val="00AEEF"/>
          <w:spacing w:val="-2"/>
        </w:rPr>
        <w:t>Road</w:t>
      </w:r>
      <w:r>
        <w:rPr>
          <w:color w:val="00AEEF"/>
          <w:spacing w:val="-12"/>
        </w:rPr>
        <w:t xml:space="preserve"> </w:t>
      </w:r>
      <w:r>
        <w:rPr>
          <w:color w:val="00AEEF"/>
          <w:spacing w:val="-2"/>
        </w:rPr>
        <w:t>and</w:t>
      </w:r>
      <w:r>
        <w:rPr>
          <w:color w:val="00AEEF"/>
          <w:spacing w:val="-12"/>
        </w:rPr>
        <w:t xml:space="preserve"> </w:t>
      </w:r>
      <w:r>
        <w:rPr>
          <w:color w:val="00AEEF"/>
          <w:spacing w:val="-2"/>
        </w:rPr>
        <w:t>Rail</w:t>
      </w:r>
      <w:r>
        <w:rPr>
          <w:color w:val="00AEEF"/>
          <w:spacing w:val="-12"/>
        </w:rPr>
        <w:t xml:space="preserve"> </w:t>
      </w:r>
      <w:r>
        <w:rPr>
          <w:color w:val="00AEEF"/>
          <w:spacing w:val="-2"/>
        </w:rPr>
        <w:t>freight</w:t>
      </w:r>
      <w:r>
        <w:rPr>
          <w:color w:val="00AEEF"/>
          <w:spacing w:val="-12"/>
        </w:rPr>
        <w:t xml:space="preserve"> </w:t>
      </w:r>
      <w:r>
        <w:rPr>
          <w:color w:val="00AEEF"/>
          <w:spacing w:val="-2"/>
        </w:rPr>
        <w:t xml:space="preserve">movements </w:t>
      </w:r>
      <w:r>
        <w:rPr>
          <w:color w:val="00AEEF"/>
        </w:rPr>
        <w:t>from Western NSW</w:t>
      </w:r>
    </w:p>
    <w:p w:rsidR="002C1123" w:rsidRDefault="00F22F94">
      <w:pPr>
        <w:pStyle w:val="BodyText"/>
        <w:spacing w:before="87" w:line="249" w:lineRule="auto"/>
        <w:ind w:left="492" w:right="118"/>
      </w:pPr>
      <w:r>
        <w:t>The</w:t>
      </w:r>
      <w:r>
        <w:rPr>
          <w:spacing w:val="-14"/>
        </w:rPr>
        <w:t xml:space="preserve"> </w:t>
      </w:r>
      <w:r>
        <w:t>Great</w:t>
      </w:r>
      <w:r>
        <w:rPr>
          <w:spacing w:val="-14"/>
        </w:rPr>
        <w:t xml:space="preserve"> </w:t>
      </w:r>
      <w:r>
        <w:t>Western</w:t>
      </w:r>
      <w:r>
        <w:rPr>
          <w:spacing w:val="-14"/>
        </w:rPr>
        <w:t xml:space="preserve"> </w:t>
      </w:r>
      <w:r>
        <w:t>Highway</w:t>
      </w:r>
      <w:r>
        <w:rPr>
          <w:spacing w:val="-14"/>
        </w:rPr>
        <w:t xml:space="preserve"> </w:t>
      </w:r>
      <w:r>
        <w:t>and</w:t>
      </w:r>
      <w:r>
        <w:rPr>
          <w:spacing w:val="-14"/>
        </w:rPr>
        <w:t xml:space="preserve"> </w:t>
      </w:r>
      <w:r>
        <w:t>Bells</w:t>
      </w:r>
      <w:r>
        <w:rPr>
          <w:spacing w:val="-14"/>
        </w:rPr>
        <w:t xml:space="preserve"> </w:t>
      </w:r>
      <w:r>
        <w:t>Line</w:t>
      </w:r>
      <w:r>
        <w:rPr>
          <w:spacing w:val="-14"/>
        </w:rPr>
        <w:t xml:space="preserve"> </w:t>
      </w:r>
      <w:r>
        <w:t>of</w:t>
      </w:r>
      <w:r>
        <w:rPr>
          <w:spacing w:val="-14"/>
        </w:rPr>
        <w:t xml:space="preserve"> </w:t>
      </w:r>
      <w:r>
        <w:t xml:space="preserve">Road </w:t>
      </w:r>
      <w:r>
        <w:rPr>
          <w:w w:val="95"/>
        </w:rPr>
        <w:t>form</w:t>
      </w:r>
      <w:r>
        <w:rPr>
          <w:spacing w:val="-5"/>
          <w:w w:val="95"/>
        </w:rPr>
        <w:t xml:space="preserve"> </w:t>
      </w:r>
      <w:r>
        <w:rPr>
          <w:w w:val="95"/>
        </w:rPr>
        <w:t>the</w:t>
      </w:r>
      <w:r>
        <w:rPr>
          <w:spacing w:val="-4"/>
          <w:w w:val="95"/>
        </w:rPr>
        <w:t xml:space="preserve"> </w:t>
      </w:r>
      <w:r>
        <w:rPr>
          <w:w w:val="95"/>
        </w:rPr>
        <w:t>main</w:t>
      </w:r>
      <w:r>
        <w:rPr>
          <w:spacing w:val="-4"/>
          <w:w w:val="95"/>
        </w:rPr>
        <w:t xml:space="preserve"> </w:t>
      </w:r>
      <w:r>
        <w:rPr>
          <w:w w:val="95"/>
        </w:rPr>
        <w:t>road</w:t>
      </w:r>
      <w:r>
        <w:rPr>
          <w:spacing w:val="-4"/>
          <w:w w:val="95"/>
        </w:rPr>
        <w:t xml:space="preserve"> </w:t>
      </w:r>
      <w:r>
        <w:rPr>
          <w:w w:val="95"/>
        </w:rPr>
        <w:t>freight</w:t>
      </w:r>
      <w:r>
        <w:rPr>
          <w:spacing w:val="-4"/>
          <w:w w:val="95"/>
        </w:rPr>
        <w:t xml:space="preserve"> </w:t>
      </w:r>
      <w:r>
        <w:rPr>
          <w:w w:val="95"/>
        </w:rPr>
        <w:t>corridors</w:t>
      </w:r>
      <w:r>
        <w:rPr>
          <w:spacing w:val="-4"/>
          <w:w w:val="95"/>
        </w:rPr>
        <w:t xml:space="preserve"> </w:t>
      </w:r>
      <w:r>
        <w:rPr>
          <w:w w:val="95"/>
        </w:rPr>
        <w:t>from</w:t>
      </w:r>
      <w:r>
        <w:rPr>
          <w:spacing w:val="-5"/>
          <w:w w:val="95"/>
        </w:rPr>
        <w:t xml:space="preserve"> </w:t>
      </w:r>
      <w:r>
        <w:rPr>
          <w:w w:val="95"/>
        </w:rPr>
        <w:t>Western</w:t>
      </w:r>
      <w:r>
        <w:rPr>
          <w:spacing w:val="-4"/>
          <w:w w:val="95"/>
        </w:rPr>
        <w:t xml:space="preserve"> </w:t>
      </w:r>
      <w:r>
        <w:rPr>
          <w:w w:val="95"/>
        </w:rPr>
        <w:t xml:space="preserve">NSW </w:t>
      </w:r>
      <w:r>
        <w:t>to</w:t>
      </w:r>
      <w:r>
        <w:rPr>
          <w:spacing w:val="-13"/>
        </w:rPr>
        <w:t xml:space="preserve"> </w:t>
      </w:r>
      <w:r>
        <w:t>Sydney</w:t>
      </w:r>
      <w:r>
        <w:rPr>
          <w:spacing w:val="-13"/>
        </w:rPr>
        <w:t xml:space="preserve"> </w:t>
      </w:r>
      <w:r>
        <w:t>and</w:t>
      </w:r>
      <w:r>
        <w:rPr>
          <w:spacing w:val="-13"/>
        </w:rPr>
        <w:t xml:space="preserve"> </w:t>
      </w:r>
      <w:r>
        <w:t>its</w:t>
      </w:r>
      <w:r>
        <w:rPr>
          <w:spacing w:val="-13"/>
        </w:rPr>
        <w:t xml:space="preserve"> </w:t>
      </w:r>
      <w:r>
        <w:t>ports.</w:t>
      </w:r>
      <w:r>
        <w:rPr>
          <w:spacing w:val="-13"/>
        </w:rPr>
        <w:t xml:space="preserve"> </w:t>
      </w:r>
      <w:r>
        <w:t>They</w:t>
      </w:r>
      <w:r>
        <w:rPr>
          <w:spacing w:val="-13"/>
        </w:rPr>
        <w:t xml:space="preserve"> </w:t>
      </w:r>
      <w:r>
        <w:t>are</w:t>
      </w:r>
      <w:r>
        <w:rPr>
          <w:spacing w:val="-13"/>
        </w:rPr>
        <w:t xml:space="preserve"> </w:t>
      </w:r>
      <w:r>
        <w:t>also</w:t>
      </w:r>
      <w:r>
        <w:rPr>
          <w:spacing w:val="-13"/>
        </w:rPr>
        <w:t xml:space="preserve"> </w:t>
      </w:r>
      <w:r>
        <w:t>the</w:t>
      </w:r>
      <w:r>
        <w:rPr>
          <w:spacing w:val="-13"/>
        </w:rPr>
        <w:t xml:space="preserve"> </w:t>
      </w:r>
      <w:r>
        <w:t>main</w:t>
      </w:r>
      <w:r>
        <w:rPr>
          <w:spacing w:val="-13"/>
        </w:rPr>
        <w:t xml:space="preserve"> </w:t>
      </w:r>
      <w:r>
        <w:t>road</w:t>
      </w:r>
    </w:p>
    <w:p w:rsidR="002C1123" w:rsidRDefault="00F22F94">
      <w:pPr>
        <w:pStyle w:val="BodyText"/>
        <w:spacing w:before="2" w:line="249" w:lineRule="auto"/>
        <w:ind w:left="492"/>
      </w:pPr>
      <w:r>
        <w:rPr>
          <w:w w:val="95"/>
        </w:rPr>
        <w:t>access</w:t>
      </w:r>
      <w:r>
        <w:rPr>
          <w:spacing w:val="-8"/>
          <w:w w:val="95"/>
        </w:rPr>
        <w:t xml:space="preserve"> </w:t>
      </w:r>
      <w:r>
        <w:rPr>
          <w:w w:val="95"/>
        </w:rPr>
        <w:t>routes</w:t>
      </w:r>
      <w:r>
        <w:rPr>
          <w:spacing w:val="-8"/>
          <w:w w:val="95"/>
        </w:rPr>
        <w:t xml:space="preserve"> </w:t>
      </w:r>
      <w:r>
        <w:rPr>
          <w:w w:val="95"/>
        </w:rPr>
        <w:t>for</w:t>
      </w:r>
      <w:r>
        <w:rPr>
          <w:spacing w:val="-8"/>
          <w:w w:val="95"/>
        </w:rPr>
        <w:t xml:space="preserve"> </w:t>
      </w:r>
      <w:r>
        <w:rPr>
          <w:w w:val="95"/>
        </w:rPr>
        <w:t>residents</w:t>
      </w:r>
      <w:r>
        <w:rPr>
          <w:spacing w:val="-8"/>
          <w:w w:val="95"/>
        </w:rPr>
        <w:t xml:space="preserve"> </w:t>
      </w:r>
      <w:r>
        <w:rPr>
          <w:w w:val="95"/>
        </w:rPr>
        <w:t>of</w:t>
      </w:r>
      <w:r>
        <w:rPr>
          <w:spacing w:val="-8"/>
          <w:w w:val="95"/>
        </w:rPr>
        <w:t xml:space="preserve"> </w:t>
      </w:r>
      <w:r>
        <w:rPr>
          <w:w w:val="95"/>
        </w:rPr>
        <w:t>these</w:t>
      </w:r>
      <w:r>
        <w:rPr>
          <w:spacing w:val="-8"/>
          <w:w w:val="95"/>
        </w:rPr>
        <w:t xml:space="preserve"> </w:t>
      </w:r>
      <w:r>
        <w:rPr>
          <w:w w:val="95"/>
        </w:rPr>
        <w:t>areas</w:t>
      </w:r>
      <w:r>
        <w:rPr>
          <w:spacing w:val="-8"/>
          <w:w w:val="95"/>
        </w:rPr>
        <w:t xml:space="preserve"> </w:t>
      </w:r>
      <w:r>
        <w:rPr>
          <w:w w:val="95"/>
        </w:rPr>
        <w:t>to</w:t>
      </w:r>
      <w:r>
        <w:rPr>
          <w:spacing w:val="-8"/>
          <w:w w:val="95"/>
        </w:rPr>
        <w:t xml:space="preserve"> </w:t>
      </w:r>
      <w:r>
        <w:rPr>
          <w:w w:val="95"/>
        </w:rPr>
        <w:t>the</w:t>
      </w:r>
      <w:r>
        <w:rPr>
          <w:spacing w:val="-8"/>
          <w:w w:val="95"/>
        </w:rPr>
        <w:t xml:space="preserve"> </w:t>
      </w:r>
      <w:r>
        <w:rPr>
          <w:w w:val="95"/>
        </w:rPr>
        <w:t>city</w:t>
      </w:r>
      <w:r>
        <w:rPr>
          <w:spacing w:val="-8"/>
          <w:w w:val="95"/>
        </w:rPr>
        <w:t xml:space="preserve"> </w:t>
      </w:r>
      <w:r>
        <w:rPr>
          <w:w w:val="95"/>
        </w:rPr>
        <w:t xml:space="preserve">(and </w:t>
      </w:r>
      <w:r>
        <w:t>vice</w:t>
      </w:r>
      <w:r>
        <w:rPr>
          <w:spacing w:val="-11"/>
        </w:rPr>
        <w:t xml:space="preserve"> </w:t>
      </w:r>
      <w:r>
        <w:t>versa).</w:t>
      </w:r>
    </w:p>
    <w:p w:rsidR="002C1123" w:rsidRDefault="00F22F94">
      <w:pPr>
        <w:pStyle w:val="BodyText"/>
        <w:spacing w:before="144" w:line="249" w:lineRule="auto"/>
        <w:ind w:left="492"/>
      </w:pPr>
      <w:r>
        <w:rPr>
          <w:w w:val="95"/>
        </w:rPr>
        <w:t xml:space="preserve">Both routes suffer from constraints that limit their freight </w:t>
      </w:r>
      <w:r>
        <w:rPr>
          <w:spacing w:val="-2"/>
        </w:rPr>
        <w:t>movements.</w:t>
      </w:r>
      <w:r>
        <w:rPr>
          <w:spacing w:val="-6"/>
        </w:rPr>
        <w:t xml:space="preserve"> </w:t>
      </w:r>
      <w:r>
        <w:rPr>
          <w:spacing w:val="-2"/>
        </w:rPr>
        <w:t>The</w:t>
      </w:r>
      <w:r>
        <w:rPr>
          <w:spacing w:val="-6"/>
        </w:rPr>
        <w:t xml:space="preserve"> </w:t>
      </w:r>
      <w:r>
        <w:rPr>
          <w:spacing w:val="-2"/>
        </w:rPr>
        <w:t>Great</w:t>
      </w:r>
      <w:r>
        <w:rPr>
          <w:spacing w:val="-6"/>
        </w:rPr>
        <w:t xml:space="preserve"> </w:t>
      </w:r>
      <w:r>
        <w:rPr>
          <w:spacing w:val="-2"/>
        </w:rPr>
        <w:t>Western</w:t>
      </w:r>
      <w:r>
        <w:rPr>
          <w:spacing w:val="-6"/>
        </w:rPr>
        <w:t xml:space="preserve"> </w:t>
      </w:r>
      <w:r>
        <w:rPr>
          <w:spacing w:val="-2"/>
        </w:rPr>
        <w:t>Highway</w:t>
      </w:r>
      <w:r>
        <w:rPr>
          <w:spacing w:val="-6"/>
        </w:rPr>
        <w:t xml:space="preserve"> </w:t>
      </w:r>
      <w:r>
        <w:rPr>
          <w:spacing w:val="-2"/>
        </w:rPr>
        <w:t>limits</w:t>
      </w:r>
      <w:r>
        <w:rPr>
          <w:spacing w:val="-6"/>
        </w:rPr>
        <w:t xml:space="preserve"> </w:t>
      </w:r>
      <w:r>
        <w:rPr>
          <w:spacing w:val="-2"/>
        </w:rPr>
        <w:t xml:space="preserve">over </w:t>
      </w:r>
      <w:r>
        <w:rPr>
          <w:w w:val="95"/>
        </w:rPr>
        <w:t xml:space="preserve">height freight vehicles due to low level bridges along its </w:t>
      </w:r>
      <w:r>
        <w:t>route.</w:t>
      </w:r>
      <w:r>
        <w:rPr>
          <w:spacing w:val="-14"/>
        </w:rPr>
        <w:t xml:space="preserve"> </w:t>
      </w:r>
      <w:r>
        <w:t>The</w:t>
      </w:r>
      <w:r>
        <w:rPr>
          <w:spacing w:val="-14"/>
        </w:rPr>
        <w:t xml:space="preserve"> </w:t>
      </w:r>
      <w:r>
        <w:t>Great</w:t>
      </w:r>
      <w:r>
        <w:rPr>
          <w:spacing w:val="-14"/>
        </w:rPr>
        <w:t xml:space="preserve"> </w:t>
      </w:r>
      <w:r>
        <w:t>Western</w:t>
      </w:r>
      <w:r>
        <w:rPr>
          <w:spacing w:val="-14"/>
        </w:rPr>
        <w:t xml:space="preserve"> </w:t>
      </w:r>
      <w:r>
        <w:t>Highway</w:t>
      </w:r>
      <w:r>
        <w:rPr>
          <w:spacing w:val="-14"/>
        </w:rPr>
        <w:t xml:space="preserve"> </w:t>
      </w:r>
      <w:r>
        <w:t>allows</w:t>
      </w:r>
      <w:r>
        <w:rPr>
          <w:spacing w:val="-14"/>
        </w:rPr>
        <w:t xml:space="preserve"> </w:t>
      </w:r>
      <w:r>
        <w:t>high</w:t>
      </w:r>
      <w:r>
        <w:rPr>
          <w:spacing w:val="-14"/>
        </w:rPr>
        <w:t xml:space="preserve"> </w:t>
      </w:r>
      <w:r>
        <w:t xml:space="preserve">mass </w:t>
      </w:r>
      <w:r>
        <w:rPr>
          <w:w w:val="95"/>
        </w:rPr>
        <w:t>vehicle</w:t>
      </w:r>
      <w:r>
        <w:rPr>
          <w:spacing w:val="-6"/>
          <w:w w:val="95"/>
        </w:rPr>
        <w:t xml:space="preserve"> </w:t>
      </w:r>
      <w:r>
        <w:rPr>
          <w:w w:val="95"/>
        </w:rPr>
        <w:t>movements,</w:t>
      </w:r>
      <w:r>
        <w:rPr>
          <w:spacing w:val="-6"/>
          <w:w w:val="95"/>
        </w:rPr>
        <w:t xml:space="preserve"> </w:t>
      </w:r>
      <w:r>
        <w:rPr>
          <w:w w:val="95"/>
        </w:rPr>
        <w:t>but</w:t>
      </w:r>
      <w:r>
        <w:rPr>
          <w:spacing w:val="-6"/>
          <w:w w:val="95"/>
        </w:rPr>
        <w:t xml:space="preserve"> </w:t>
      </w:r>
      <w:r>
        <w:rPr>
          <w:w w:val="95"/>
        </w:rPr>
        <w:t>these</w:t>
      </w:r>
      <w:r>
        <w:rPr>
          <w:spacing w:val="-6"/>
          <w:w w:val="95"/>
        </w:rPr>
        <w:t xml:space="preserve"> </w:t>
      </w:r>
      <w:r>
        <w:rPr>
          <w:w w:val="95"/>
        </w:rPr>
        <w:t>are</w:t>
      </w:r>
      <w:r>
        <w:rPr>
          <w:spacing w:val="-6"/>
          <w:w w:val="95"/>
        </w:rPr>
        <w:t xml:space="preserve"> </w:t>
      </w:r>
      <w:r>
        <w:rPr>
          <w:w w:val="95"/>
        </w:rPr>
        <w:t>restricted</w:t>
      </w:r>
      <w:r>
        <w:rPr>
          <w:spacing w:val="-6"/>
          <w:w w:val="95"/>
        </w:rPr>
        <w:t xml:space="preserve"> </w:t>
      </w:r>
      <w:r>
        <w:rPr>
          <w:w w:val="95"/>
        </w:rPr>
        <w:t>on</w:t>
      </w:r>
      <w:r>
        <w:rPr>
          <w:spacing w:val="-6"/>
          <w:w w:val="95"/>
        </w:rPr>
        <w:t xml:space="preserve"> </w:t>
      </w:r>
      <w:r>
        <w:rPr>
          <w:w w:val="95"/>
        </w:rPr>
        <w:t>the</w:t>
      </w:r>
      <w:r>
        <w:rPr>
          <w:spacing w:val="-6"/>
          <w:w w:val="95"/>
        </w:rPr>
        <w:t xml:space="preserve"> </w:t>
      </w:r>
      <w:r>
        <w:rPr>
          <w:w w:val="95"/>
        </w:rPr>
        <w:t>Bells</w:t>
      </w:r>
    </w:p>
    <w:p w:rsidR="002C1123" w:rsidRDefault="00F22F94">
      <w:pPr>
        <w:pStyle w:val="BodyText"/>
        <w:spacing w:before="129" w:line="249" w:lineRule="auto"/>
        <w:ind w:left="188" w:right="255"/>
      </w:pPr>
      <w:r>
        <w:br w:type="column"/>
      </w:r>
      <w:r>
        <w:t>Line</w:t>
      </w:r>
      <w:r>
        <w:rPr>
          <w:spacing w:val="-14"/>
        </w:rPr>
        <w:t xml:space="preserve"> </w:t>
      </w:r>
      <w:r>
        <w:t>of</w:t>
      </w:r>
      <w:r>
        <w:rPr>
          <w:spacing w:val="-14"/>
        </w:rPr>
        <w:t xml:space="preserve"> </w:t>
      </w:r>
      <w:r>
        <w:t>Road.</w:t>
      </w:r>
      <w:r>
        <w:rPr>
          <w:spacing w:val="-14"/>
        </w:rPr>
        <w:t xml:space="preserve"> </w:t>
      </w:r>
      <w:r>
        <w:t>Both</w:t>
      </w:r>
      <w:r>
        <w:rPr>
          <w:spacing w:val="-14"/>
        </w:rPr>
        <w:t xml:space="preserve"> </w:t>
      </w:r>
      <w:r>
        <w:t>the</w:t>
      </w:r>
      <w:r>
        <w:rPr>
          <w:spacing w:val="-14"/>
        </w:rPr>
        <w:t xml:space="preserve"> </w:t>
      </w:r>
      <w:r>
        <w:t>Great</w:t>
      </w:r>
      <w:r>
        <w:rPr>
          <w:spacing w:val="-14"/>
        </w:rPr>
        <w:t xml:space="preserve"> </w:t>
      </w:r>
      <w:r>
        <w:t>Western</w:t>
      </w:r>
      <w:r>
        <w:rPr>
          <w:spacing w:val="-14"/>
        </w:rPr>
        <w:t xml:space="preserve"> </w:t>
      </w:r>
      <w:r>
        <w:t>Highway</w:t>
      </w:r>
      <w:r>
        <w:rPr>
          <w:spacing w:val="-14"/>
        </w:rPr>
        <w:t xml:space="preserve"> </w:t>
      </w:r>
      <w:r>
        <w:t xml:space="preserve">and </w:t>
      </w:r>
      <w:r>
        <w:rPr>
          <w:w w:val="95"/>
        </w:rPr>
        <w:t>the</w:t>
      </w:r>
      <w:r>
        <w:rPr>
          <w:spacing w:val="-11"/>
          <w:w w:val="95"/>
        </w:rPr>
        <w:t xml:space="preserve"> </w:t>
      </w:r>
      <w:r>
        <w:rPr>
          <w:w w:val="95"/>
        </w:rPr>
        <w:t>Bells</w:t>
      </w:r>
      <w:r>
        <w:rPr>
          <w:spacing w:val="-12"/>
          <w:w w:val="95"/>
        </w:rPr>
        <w:t xml:space="preserve"> </w:t>
      </w:r>
      <w:r>
        <w:rPr>
          <w:w w:val="95"/>
        </w:rPr>
        <w:t>Line</w:t>
      </w:r>
      <w:r>
        <w:rPr>
          <w:spacing w:val="-11"/>
          <w:w w:val="95"/>
        </w:rPr>
        <w:t xml:space="preserve"> </w:t>
      </w:r>
      <w:r>
        <w:rPr>
          <w:w w:val="95"/>
        </w:rPr>
        <w:t>of</w:t>
      </w:r>
      <w:r>
        <w:rPr>
          <w:spacing w:val="-11"/>
          <w:w w:val="95"/>
        </w:rPr>
        <w:t xml:space="preserve"> </w:t>
      </w:r>
      <w:r>
        <w:rPr>
          <w:w w:val="95"/>
        </w:rPr>
        <w:t>Road</w:t>
      </w:r>
      <w:r>
        <w:rPr>
          <w:spacing w:val="-11"/>
          <w:w w:val="95"/>
        </w:rPr>
        <w:t xml:space="preserve"> </w:t>
      </w:r>
      <w:r>
        <w:rPr>
          <w:w w:val="95"/>
        </w:rPr>
        <w:t>constrain</w:t>
      </w:r>
      <w:r>
        <w:rPr>
          <w:spacing w:val="-11"/>
          <w:w w:val="95"/>
        </w:rPr>
        <w:t xml:space="preserve"> </w:t>
      </w:r>
      <w:r>
        <w:rPr>
          <w:w w:val="95"/>
        </w:rPr>
        <w:t>longer</w:t>
      </w:r>
      <w:r>
        <w:rPr>
          <w:spacing w:val="-11"/>
          <w:w w:val="95"/>
        </w:rPr>
        <w:t xml:space="preserve"> </w:t>
      </w:r>
      <w:r>
        <w:rPr>
          <w:w w:val="95"/>
        </w:rPr>
        <w:t>(19</w:t>
      </w:r>
      <w:r>
        <w:rPr>
          <w:spacing w:val="-11"/>
          <w:w w:val="95"/>
        </w:rPr>
        <w:t xml:space="preserve"> </w:t>
      </w:r>
      <w:r>
        <w:rPr>
          <w:w w:val="95"/>
        </w:rPr>
        <w:t>metre</w:t>
      </w:r>
      <w:r>
        <w:rPr>
          <w:spacing w:val="-11"/>
          <w:w w:val="95"/>
        </w:rPr>
        <w:t xml:space="preserve"> </w:t>
      </w:r>
      <w:r>
        <w:rPr>
          <w:w w:val="95"/>
        </w:rPr>
        <w:t xml:space="preserve">plus </w:t>
      </w:r>
      <w:r>
        <w:t>B</w:t>
      </w:r>
      <w:r>
        <w:rPr>
          <w:spacing w:val="-4"/>
        </w:rPr>
        <w:t xml:space="preserve"> </w:t>
      </w:r>
      <w:r>
        <w:t>–</w:t>
      </w:r>
      <w:r>
        <w:rPr>
          <w:spacing w:val="-4"/>
        </w:rPr>
        <w:t xml:space="preserve"> </w:t>
      </w:r>
      <w:r>
        <w:t>double)</w:t>
      </w:r>
      <w:r>
        <w:rPr>
          <w:spacing w:val="-4"/>
        </w:rPr>
        <w:t xml:space="preserve"> </w:t>
      </w:r>
      <w:r>
        <w:t>vehicle</w:t>
      </w:r>
      <w:r>
        <w:rPr>
          <w:spacing w:val="-4"/>
        </w:rPr>
        <w:t xml:space="preserve"> </w:t>
      </w:r>
      <w:r>
        <w:t>movements.</w:t>
      </w:r>
    </w:p>
    <w:p w:rsidR="002C1123" w:rsidRDefault="00F22F94">
      <w:pPr>
        <w:pStyle w:val="BodyText"/>
        <w:spacing w:before="144" w:line="249" w:lineRule="auto"/>
        <w:ind w:left="188" w:right="61"/>
      </w:pPr>
      <w:r>
        <w:rPr>
          <w:w w:val="95"/>
        </w:rPr>
        <w:t>Constraints</w:t>
      </w:r>
      <w:r>
        <w:rPr>
          <w:spacing w:val="-7"/>
          <w:w w:val="95"/>
        </w:rPr>
        <w:t xml:space="preserve"> </w:t>
      </w:r>
      <w:r>
        <w:rPr>
          <w:w w:val="95"/>
        </w:rPr>
        <w:t>for</w:t>
      </w:r>
      <w:r>
        <w:rPr>
          <w:spacing w:val="-7"/>
          <w:w w:val="95"/>
        </w:rPr>
        <w:t xml:space="preserve"> </w:t>
      </w:r>
      <w:r>
        <w:rPr>
          <w:w w:val="95"/>
        </w:rPr>
        <w:t>freight</w:t>
      </w:r>
      <w:r>
        <w:rPr>
          <w:spacing w:val="-7"/>
          <w:w w:val="95"/>
        </w:rPr>
        <w:t xml:space="preserve"> </w:t>
      </w:r>
      <w:r>
        <w:rPr>
          <w:w w:val="95"/>
        </w:rPr>
        <w:t>also</w:t>
      </w:r>
      <w:r>
        <w:rPr>
          <w:spacing w:val="-7"/>
          <w:w w:val="95"/>
        </w:rPr>
        <w:t xml:space="preserve"> </w:t>
      </w:r>
      <w:r>
        <w:rPr>
          <w:w w:val="95"/>
        </w:rPr>
        <w:t>exist</w:t>
      </w:r>
      <w:r>
        <w:rPr>
          <w:spacing w:val="-7"/>
          <w:w w:val="95"/>
        </w:rPr>
        <w:t xml:space="preserve"> </w:t>
      </w:r>
      <w:r>
        <w:rPr>
          <w:w w:val="95"/>
        </w:rPr>
        <w:t>on</w:t>
      </w:r>
      <w:r>
        <w:rPr>
          <w:spacing w:val="-7"/>
          <w:w w:val="95"/>
        </w:rPr>
        <w:t xml:space="preserve"> </w:t>
      </w:r>
      <w:r>
        <w:rPr>
          <w:w w:val="95"/>
        </w:rPr>
        <w:t>the</w:t>
      </w:r>
      <w:r>
        <w:rPr>
          <w:spacing w:val="-7"/>
          <w:w w:val="95"/>
        </w:rPr>
        <w:t xml:space="preserve"> </w:t>
      </w:r>
      <w:r>
        <w:rPr>
          <w:w w:val="95"/>
        </w:rPr>
        <w:t>rail</w:t>
      </w:r>
      <w:r>
        <w:rPr>
          <w:spacing w:val="-7"/>
          <w:w w:val="95"/>
        </w:rPr>
        <w:t xml:space="preserve"> </w:t>
      </w:r>
      <w:r>
        <w:rPr>
          <w:w w:val="95"/>
        </w:rPr>
        <w:t>network</w:t>
      </w:r>
      <w:r>
        <w:rPr>
          <w:spacing w:val="-7"/>
          <w:w w:val="95"/>
        </w:rPr>
        <w:t xml:space="preserve"> </w:t>
      </w:r>
      <w:r>
        <w:rPr>
          <w:w w:val="95"/>
        </w:rPr>
        <w:t xml:space="preserve">that </w:t>
      </w:r>
      <w:r>
        <w:t>connects</w:t>
      </w:r>
      <w:r>
        <w:rPr>
          <w:spacing w:val="-12"/>
        </w:rPr>
        <w:t xml:space="preserve"> </w:t>
      </w:r>
      <w:r>
        <w:t>Western</w:t>
      </w:r>
      <w:r>
        <w:rPr>
          <w:spacing w:val="-12"/>
        </w:rPr>
        <w:t xml:space="preserve"> </w:t>
      </w:r>
      <w:r>
        <w:t>NSW</w:t>
      </w:r>
      <w:r>
        <w:rPr>
          <w:spacing w:val="-12"/>
        </w:rPr>
        <w:t xml:space="preserve"> </w:t>
      </w:r>
      <w:r>
        <w:t>to</w:t>
      </w:r>
      <w:r>
        <w:rPr>
          <w:spacing w:val="-12"/>
        </w:rPr>
        <w:t xml:space="preserve"> </w:t>
      </w:r>
      <w:r>
        <w:t>Sydney</w:t>
      </w:r>
      <w:r>
        <w:rPr>
          <w:spacing w:val="-12"/>
        </w:rPr>
        <w:t xml:space="preserve"> </w:t>
      </w:r>
      <w:r>
        <w:t>and</w:t>
      </w:r>
      <w:r>
        <w:rPr>
          <w:spacing w:val="-12"/>
        </w:rPr>
        <w:t xml:space="preserve"> </w:t>
      </w:r>
      <w:r>
        <w:t>Port</w:t>
      </w:r>
      <w:r>
        <w:rPr>
          <w:spacing w:val="-12"/>
        </w:rPr>
        <w:t xml:space="preserve"> </w:t>
      </w:r>
      <w:r>
        <w:t>Botany.</w:t>
      </w:r>
    </w:p>
    <w:p w:rsidR="002C1123" w:rsidRDefault="00F22F94">
      <w:pPr>
        <w:pStyle w:val="BodyText"/>
        <w:spacing w:before="2" w:line="249" w:lineRule="auto"/>
        <w:ind w:left="188" w:right="-10"/>
      </w:pPr>
      <w:r>
        <w:rPr>
          <w:w w:val="95"/>
        </w:rPr>
        <w:t>These</w:t>
      </w:r>
      <w:r>
        <w:rPr>
          <w:spacing w:val="-6"/>
          <w:w w:val="95"/>
        </w:rPr>
        <w:t xml:space="preserve"> </w:t>
      </w:r>
      <w:r>
        <w:rPr>
          <w:w w:val="95"/>
        </w:rPr>
        <w:t>include</w:t>
      </w:r>
      <w:r>
        <w:rPr>
          <w:spacing w:val="-6"/>
          <w:w w:val="95"/>
        </w:rPr>
        <w:t xml:space="preserve"> </w:t>
      </w:r>
      <w:r>
        <w:rPr>
          <w:w w:val="95"/>
        </w:rPr>
        <w:t>delays</w:t>
      </w:r>
      <w:r>
        <w:rPr>
          <w:spacing w:val="-6"/>
          <w:w w:val="95"/>
        </w:rPr>
        <w:t xml:space="preserve"> </w:t>
      </w:r>
      <w:r>
        <w:rPr>
          <w:w w:val="95"/>
        </w:rPr>
        <w:t>due</w:t>
      </w:r>
      <w:r>
        <w:rPr>
          <w:spacing w:val="-6"/>
          <w:w w:val="95"/>
        </w:rPr>
        <w:t xml:space="preserve"> </w:t>
      </w:r>
      <w:r>
        <w:rPr>
          <w:w w:val="95"/>
        </w:rPr>
        <w:t>to</w:t>
      </w:r>
      <w:r>
        <w:rPr>
          <w:spacing w:val="-6"/>
          <w:w w:val="95"/>
        </w:rPr>
        <w:t xml:space="preserve"> </w:t>
      </w:r>
      <w:r>
        <w:rPr>
          <w:w w:val="95"/>
        </w:rPr>
        <w:t>passenger</w:t>
      </w:r>
      <w:r>
        <w:rPr>
          <w:spacing w:val="-6"/>
          <w:w w:val="95"/>
        </w:rPr>
        <w:t xml:space="preserve"> </w:t>
      </w:r>
      <w:r>
        <w:rPr>
          <w:w w:val="95"/>
        </w:rPr>
        <w:t>train</w:t>
      </w:r>
      <w:r>
        <w:rPr>
          <w:spacing w:val="-6"/>
          <w:w w:val="95"/>
        </w:rPr>
        <w:t xml:space="preserve"> </w:t>
      </w:r>
      <w:r>
        <w:rPr>
          <w:w w:val="95"/>
        </w:rPr>
        <w:t xml:space="preserve">movements </w:t>
      </w:r>
      <w:r>
        <w:rPr>
          <w:spacing w:val="-2"/>
        </w:rPr>
        <w:t>taking</w:t>
      </w:r>
      <w:r>
        <w:rPr>
          <w:spacing w:val="-5"/>
        </w:rPr>
        <w:t xml:space="preserve"> </w:t>
      </w:r>
      <w:r>
        <w:rPr>
          <w:spacing w:val="-2"/>
        </w:rPr>
        <w:t>priority,</w:t>
      </w:r>
      <w:r>
        <w:rPr>
          <w:spacing w:val="-5"/>
        </w:rPr>
        <w:t xml:space="preserve"> </w:t>
      </w:r>
      <w:r>
        <w:rPr>
          <w:spacing w:val="-2"/>
        </w:rPr>
        <w:t>steep</w:t>
      </w:r>
      <w:r>
        <w:rPr>
          <w:spacing w:val="-5"/>
        </w:rPr>
        <w:t xml:space="preserve"> </w:t>
      </w:r>
      <w:r>
        <w:rPr>
          <w:spacing w:val="-2"/>
        </w:rPr>
        <w:t>gradients</w:t>
      </w:r>
      <w:r>
        <w:rPr>
          <w:spacing w:val="-5"/>
        </w:rPr>
        <w:t xml:space="preserve"> </w:t>
      </w:r>
      <w:r>
        <w:rPr>
          <w:spacing w:val="-2"/>
        </w:rPr>
        <w:t>and</w:t>
      </w:r>
      <w:r>
        <w:rPr>
          <w:spacing w:val="-5"/>
        </w:rPr>
        <w:t xml:space="preserve"> </w:t>
      </w:r>
      <w:r>
        <w:rPr>
          <w:spacing w:val="-2"/>
        </w:rPr>
        <w:t>inadequate</w:t>
      </w:r>
      <w:r>
        <w:rPr>
          <w:spacing w:val="-5"/>
        </w:rPr>
        <w:t xml:space="preserve"> </w:t>
      </w:r>
      <w:r>
        <w:rPr>
          <w:spacing w:val="-2"/>
        </w:rPr>
        <w:t xml:space="preserve">passing </w:t>
      </w:r>
      <w:r>
        <w:t>loops on some sections of the network.</w:t>
      </w:r>
    </w:p>
    <w:p w:rsidR="002C1123" w:rsidRDefault="00F22F94">
      <w:pPr>
        <w:pStyle w:val="BodyText"/>
        <w:spacing w:before="144" w:line="249" w:lineRule="auto"/>
        <w:ind w:left="188" w:right="61"/>
      </w:pPr>
      <w:r>
        <w:rPr>
          <w:w w:val="95"/>
        </w:rPr>
        <w:t>The restrictions on the Great Western Highway as a freight</w:t>
      </w:r>
      <w:r>
        <w:rPr>
          <w:spacing w:val="-5"/>
          <w:w w:val="95"/>
        </w:rPr>
        <w:t xml:space="preserve"> </w:t>
      </w:r>
      <w:r>
        <w:rPr>
          <w:w w:val="95"/>
        </w:rPr>
        <w:t>route</w:t>
      </w:r>
      <w:r>
        <w:rPr>
          <w:spacing w:val="-5"/>
          <w:w w:val="95"/>
        </w:rPr>
        <w:t xml:space="preserve"> </w:t>
      </w:r>
      <w:r>
        <w:rPr>
          <w:w w:val="95"/>
        </w:rPr>
        <w:t>and</w:t>
      </w:r>
      <w:r>
        <w:rPr>
          <w:spacing w:val="-5"/>
          <w:w w:val="95"/>
        </w:rPr>
        <w:t xml:space="preserve"> </w:t>
      </w:r>
      <w:r>
        <w:rPr>
          <w:w w:val="95"/>
        </w:rPr>
        <w:t>the</w:t>
      </w:r>
      <w:r>
        <w:rPr>
          <w:spacing w:val="-5"/>
          <w:w w:val="95"/>
        </w:rPr>
        <w:t xml:space="preserve"> </w:t>
      </w:r>
      <w:r>
        <w:rPr>
          <w:w w:val="95"/>
        </w:rPr>
        <w:t>rail</w:t>
      </w:r>
      <w:r>
        <w:rPr>
          <w:spacing w:val="-5"/>
          <w:w w:val="95"/>
        </w:rPr>
        <w:t xml:space="preserve"> </w:t>
      </w:r>
      <w:r>
        <w:rPr>
          <w:w w:val="95"/>
        </w:rPr>
        <w:t>network</w:t>
      </w:r>
      <w:r>
        <w:rPr>
          <w:spacing w:val="-5"/>
          <w:w w:val="95"/>
        </w:rPr>
        <w:t xml:space="preserve"> </w:t>
      </w:r>
      <w:r>
        <w:rPr>
          <w:w w:val="95"/>
        </w:rPr>
        <w:t>have</w:t>
      </w:r>
      <w:r>
        <w:rPr>
          <w:spacing w:val="-5"/>
          <w:w w:val="95"/>
        </w:rPr>
        <w:t xml:space="preserve"> </w:t>
      </w:r>
      <w:r>
        <w:rPr>
          <w:w w:val="95"/>
        </w:rPr>
        <w:t>led</w:t>
      </w:r>
      <w:r>
        <w:rPr>
          <w:spacing w:val="-5"/>
          <w:w w:val="95"/>
        </w:rPr>
        <w:t xml:space="preserve"> </w:t>
      </w:r>
      <w:r>
        <w:rPr>
          <w:w w:val="95"/>
        </w:rPr>
        <w:t>for</w:t>
      </w:r>
      <w:r>
        <w:rPr>
          <w:spacing w:val="-5"/>
          <w:w w:val="95"/>
        </w:rPr>
        <w:t xml:space="preserve"> </w:t>
      </w:r>
      <w:r>
        <w:rPr>
          <w:w w:val="95"/>
        </w:rPr>
        <w:t>calls</w:t>
      </w:r>
      <w:r>
        <w:rPr>
          <w:spacing w:val="-5"/>
          <w:w w:val="95"/>
        </w:rPr>
        <w:t xml:space="preserve"> </w:t>
      </w:r>
      <w:r>
        <w:rPr>
          <w:w w:val="95"/>
        </w:rPr>
        <w:t xml:space="preserve">for </w:t>
      </w:r>
      <w:r>
        <w:rPr>
          <w:w w:val="90"/>
        </w:rPr>
        <w:t>investment in Bells Line of Road as an alternative route.</w:t>
      </w:r>
    </w:p>
    <w:p w:rsidR="002C1123" w:rsidRDefault="00F22F94">
      <w:pPr>
        <w:pStyle w:val="BodyText"/>
        <w:spacing w:before="144" w:line="249" w:lineRule="auto"/>
        <w:ind w:left="187" w:right="-10"/>
      </w:pPr>
      <w:r>
        <w:rPr>
          <w:w w:val="95"/>
        </w:rPr>
        <w:t>However</w:t>
      </w:r>
      <w:r>
        <w:rPr>
          <w:spacing w:val="-3"/>
          <w:w w:val="95"/>
        </w:rPr>
        <w:t xml:space="preserve"> </w:t>
      </w:r>
      <w:r>
        <w:rPr>
          <w:w w:val="95"/>
        </w:rPr>
        <w:t>a</w:t>
      </w:r>
      <w:r>
        <w:rPr>
          <w:spacing w:val="-3"/>
          <w:w w:val="95"/>
        </w:rPr>
        <w:t xml:space="preserve"> </w:t>
      </w:r>
      <w:r>
        <w:rPr>
          <w:w w:val="95"/>
        </w:rPr>
        <w:t>needs</w:t>
      </w:r>
      <w:r>
        <w:rPr>
          <w:spacing w:val="-3"/>
          <w:w w:val="95"/>
        </w:rPr>
        <w:t xml:space="preserve"> </w:t>
      </w:r>
      <w:r>
        <w:rPr>
          <w:w w:val="95"/>
        </w:rPr>
        <w:t>assessment</w:t>
      </w:r>
      <w:r>
        <w:rPr>
          <w:spacing w:val="-3"/>
          <w:w w:val="95"/>
        </w:rPr>
        <w:t xml:space="preserve"> </w:t>
      </w:r>
      <w:r>
        <w:rPr>
          <w:w w:val="95"/>
        </w:rPr>
        <w:t>led</w:t>
      </w:r>
      <w:r>
        <w:rPr>
          <w:spacing w:val="-3"/>
          <w:w w:val="95"/>
        </w:rPr>
        <w:t xml:space="preserve"> </w:t>
      </w:r>
      <w:r>
        <w:rPr>
          <w:w w:val="95"/>
        </w:rPr>
        <w:t>by</w:t>
      </w:r>
      <w:r>
        <w:rPr>
          <w:spacing w:val="-3"/>
          <w:w w:val="95"/>
        </w:rPr>
        <w:t xml:space="preserve"> </w:t>
      </w:r>
      <w:r>
        <w:rPr>
          <w:w w:val="95"/>
        </w:rPr>
        <w:t>Transport</w:t>
      </w:r>
      <w:r>
        <w:rPr>
          <w:spacing w:val="-3"/>
          <w:w w:val="95"/>
        </w:rPr>
        <w:t xml:space="preserve"> </w:t>
      </w:r>
      <w:r>
        <w:rPr>
          <w:w w:val="95"/>
        </w:rPr>
        <w:t>for</w:t>
      </w:r>
      <w:r>
        <w:rPr>
          <w:spacing w:val="-3"/>
          <w:w w:val="95"/>
        </w:rPr>
        <w:t xml:space="preserve"> </w:t>
      </w:r>
      <w:r>
        <w:rPr>
          <w:w w:val="95"/>
        </w:rPr>
        <w:t>NSW notes</w:t>
      </w:r>
      <w:r>
        <w:rPr>
          <w:spacing w:val="-13"/>
          <w:w w:val="95"/>
        </w:rPr>
        <w:t xml:space="preserve"> </w:t>
      </w:r>
      <w:r>
        <w:rPr>
          <w:w w:val="95"/>
        </w:rPr>
        <w:t>that</w:t>
      </w:r>
      <w:r>
        <w:rPr>
          <w:spacing w:val="-12"/>
          <w:w w:val="95"/>
        </w:rPr>
        <w:t xml:space="preserve"> </w:t>
      </w:r>
      <w:r>
        <w:rPr>
          <w:w w:val="95"/>
        </w:rPr>
        <w:t>these</w:t>
      </w:r>
      <w:r>
        <w:rPr>
          <w:spacing w:val="-12"/>
          <w:w w:val="95"/>
        </w:rPr>
        <w:t xml:space="preserve"> </w:t>
      </w:r>
      <w:r>
        <w:rPr>
          <w:w w:val="95"/>
        </w:rPr>
        <w:t>investments</w:t>
      </w:r>
      <w:r>
        <w:rPr>
          <w:spacing w:val="-12"/>
          <w:w w:val="95"/>
        </w:rPr>
        <w:t xml:space="preserve"> </w:t>
      </w:r>
      <w:r>
        <w:rPr>
          <w:w w:val="95"/>
        </w:rPr>
        <w:t>would</w:t>
      </w:r>
      <w:r>
        <w:rPr>
          <w:spacing w:val="-13"/>
          <w:w w:val="95"/>
        </w:rPr>
        <w:t xml:space="preserve"> </w:t>
      </w:r>
      <w:r>
        <w:rPr>
          <w:w w:val="95"/>
        </w:rPr>
        <w:t>be</w:t>
      </w:r>
      <w:r>
        <w:rPr>
          <w:spacing w:val="-12"/>
          <w:w w:val="95"/>
        </w:rPr>
        <w:t xml:space="preserve"> </w:t>
      </w:r>
      <w:r>
        <w:rPr>
          <w:w w:val="95"/>
        </w:rPr>
        <w:t>difficult</w:t>
      </w:r>
      <w:r>
        <w:rPr>
          <w:spacing w:val="-12"/>
          <w:w w:val="95"/>
        </w:rPr>
        <w:t xml:space="preserve"> </w:t>
      </w:r>
      <w:r>
        <w:rPr>
          <w:w w:val="95"/>
        </w:rPr>
        <w:t>to</w:t>
      </w:r>
      <w:r>
        <w:rPr>
          <w:spacing w:val="-12"/>
          <w:w w:val="95"/>
        </w:rPr>
        <w:t xml:space="preserve"> </w:t>
      </w:r>
      <w:r>
        <w:rPr>
          <w:w w:val="95"/>
        </w:rPr>
        <w:t>justify</w:t>
      </w:r>
      <w:r>
        <w:rPr>
          <w:spacing w:val="-12"/>
          <w:w w:val="95"/>
        </w:rPr>
        <w:t xml:space="preserve"> </w:t>
      </w:r>
      <w:r>
        <w:rPr>
          <w:w w:val="95"/>
        </w:rPr>
        <w:t xml:space="preserve">for </w:t>
      </w:r>
      <w:r>
        <w:rPr>
          <w:w w:val="90"/>
        </w:rPr>
        <w:t xml:space="preserve">the foreseeable future based on current low traffic volumes </w:t>
      </w:r>
      <w:r>
        <w:rPr>
          <w:w w:val="95"/>
        </w:rPr>
        <w:t>(below</w:t>
      </w:r>
      <w:r>
        <w:rPr>
          <w:spacing w:val="-5"/>
          <w:w w:val="95"/>
        </w:rPr>
        <w:t xml:space="preserve"> </w:t>
      </w:r>
      <w:r>
        <w:rPr>
          <w:w w:val="95"/>
        </w:rPr>
        <w:t>5,000</w:t>
      </w:r>
      <w:r>
        <w:rPr>
          <w:spacing w:val="-5"/>
          <w:w w:val="95"/>
        </w:rPr>
        <w:t xml:space="preserve"> </w:t>
      </w:r>
      <w:r>
        <w:rPr>
          <w:w w:val="95"/>
        </w:rPr>
        <w:t>vehicles</w:t>
      </w:r>
      <w:r>
        <w:rPr>
          <w:spacing w:val="-5"/>
          <w:w w:val="95"/>
        </w:rPr>
        <w:t xml:space="preserve"> </w:t>
      </w:r>
      <w:r>
        <w:rPr>
          <w:w w:val="95"/>
        </w:rPr>
        <w:t>per</w:t>
      </w:r>
      <w:r>
        <w:rPr>
          <w:spacing w:val="-5"/>
          <w:w w:val="95"/>
        </w:rPr>
        <w:t xml:space="preserve"> </w:t>
      </w:r>
      <w:r>
        <w:rPr>
          <w:w w:val="95"/>
        </w:rPr>
        <w:t>day)</w:t>
      </w:r>
      <w:r>
        <w:rPr>
          <w:w w:val="95"/>
          <w:position w:val="7"/>
          <w:sz w:val="11"/>
        </w:rPr>
        <w:t>30</w:t>
      </w:r>
      <w:r>
        <w:rPr>
          <w:w w:val="95"/>
        </w:rPr>
        <w:t>.</w:t>
      </w:r>
      <w:r>
        <w:rPr>
          <w:spacing w:val="-5"/>
          <w:w w:val="95"/>
        </w:rPr>
        <w:t xml:space="preserve"> </w:t>
      </w:r>
      <w:r>
        <w:rPr>
          <w:w w:val="95"/>
        </w:rPr>
        <w:t>The</w:t>
      </w:r>
      <w:r>
        <w:rPr>
          <w:spacing w:val="-5"/>
          <w:w w:val="95"/>
        </w:rPr>
        <w:t xml:space="preserve"> </w:t>
      </w:r>
      <w:r>
        <w:rPr>
          <w:w w:val="95"/>
        </w:rPr>
        <w:t>challenging</w:t>
      </w:r>
      <w:r>
        <w:rPr>
          <w:spacing w:val="-5"/>
          <w:w w:val="95"/>
        </w:rPr>
        <w:t xml:space="preserve"> </w:t>
      </w:r>
      <w:r>
        <w:rPr>
          <w:w w:val="95"/>
        </w:rPr>
        <w:t xml:space="preserve">terrain means that the costs of any substantial upgrade could </w:t>
      </w:r>
      <w:r>
        <w:t>outweigh</w:t>
      </w:r>
      <w:r>
        <w:rPr>
          <w:spacing w:val="-12"/>
        </w:rPr>
        <w:t xml:space="preserve"> </w:t>
      </w:r>
      <w:r>
        <w:t>the</w:t>
      </w:r>
      <w:r>
        <w:rPr>
          <w:spacing w:val="-12"/>
        </w:rPr>
        <w:t xml:space="preserve"> </w:t>
      </w:r>
      <w:r>
        <w:t>benefits</w:t>
      </w:r>
      <w:r>
        <w:rPr>
          <w:spacing w:val="-12"/>
        </w:rPr>
        <w:t xml:space="preserve"> </w:t>
      </w:r>
      <w:r>
        <w:t>provided.</w:t>
      </w:r>
    </w:p>
    <w:p w:rsidR="002C1123" w:rsidRDefault="00F22F94">
      <w:pPr>
        <w:pStyle w:val="BodyText"/>
        <w:spacing w:before="147" w:line="249" w:lineRule="auto"/>
        <w:ind w:left="188" w:right="-10"/>
      </w:pPr>
      <w:r>
        <w:rPr>
          <w:w w:val="95"/>
        </w:rPr>
        <w:t>Existing</w:t>
      </w:r>
      <w:r>
        <w:rPr>
          <w:spacing w:val="-5"/>
          <w:w w:val="95"/>
        </w:rPr>
        <w:t xml:space="preserve"> </w:t>
      </w:r>
      <w:r>
        <w:rPr>
          <w:w w:val="95"/>
        </w:rPr>
        <w:t>investment</w:t>
      </w:r>
      <w:r>
        <w:rPr>
          <w:spacing w:val="-5"/>
          <w:w w:val="95"/>
        </w:rPr>
        <w:t xml:space="preserve"> </w:t>
      </w:r>
      <w:r>
        <w:rPr>
          <w:w w:val="95"/>
        </w:rPr>
        <w:t>plans</w:t>
      </w:r>
      <w:r>
        <w:rPr>
          <w:spacing w:val="-5"/>
          <w:w w:val="95"/>
        </w:rPr>
        <w:t xml:space="preserve"> </w:t>
      </w:r>
      <w:r>
        <w:rPr>
          <w:w w:val="95"/>
        </w:rPr>
        <w:t>will</w:t>
      </w:r>
      <w:r>
        <w:rPr>
          <w:spacing w:val="-5"/>
          <w:w w:val="95"/>
        </w:rPr>
        <w:t xml:space="preserve"> </w:t>
      </w:r>
      <w:r>
        <w:rPr>
          <w:w w:val="95"/>
        </w:rPr>
        <w:t>complete</w:t>
      </w:r>
      <w:r>
        <w:rPr>
          <w:spacing w:val="-5"/>
          <w:w w:val="95"/>
        </w:rPr>
        <w:t xml:space="preserve"> </w:t>
      </w:r>
      <w:r>
        <w:rPr>
          <w:w w:val="95"/>
        </w:rPr>
        <w:t>the</w:t>
      </w:r>
      <w:r>
        <w:rPr>
          <w:spacing w:val="-5"/>
          <w:w w:val="95"/>
        </w:rPr>
        <w:t xml:space="preserve"> </w:t>
      </w:r>
      <w:r>
        <w:rPr>
          <w:w w:val="95"/>
        </w:rPr>
        <w:t>duplication</w:t>
      </w:r>
      <w:r>
        <w:rPr>
          <w:spacing w:val="-5"/>
          <w:w w:val="95"/>
        </w:rPr>
        <w:t xml:space="preserve"> </w:t>
      </w:r>
      <w:r>
        <w:rPr>
          <w:w w:val="95"/>
        </w:rPr>
        <w:t xml:space="preserve">of </w:t>
      </w:r>
      <w:r>
        <w:t>the</w:t>
      </w:r>
      <w:r>
        <w:rPr>
          <w:spacing w:val="-14"/>
        </w:rPr>
        <w:t xml:space="preserve"> </w:t>
      </w:r>
      <w:r>
        <w:t>Great</w:t>
      </w:r>
      <w:r>
        <w:rPr>
          <w:spacing w:val="-14"/>
        </w:rPr>
        <w:t xml:space="preserve"> </w:t>
      </w:r>
      <w:r>
        <w:t>Western</w:t>
      </w:r>
      <w:r>
        <w:rPr>
          <w:spacing w:val="-14"/>
        </w:rPr>
        <w:t xml:space="preserve"> </w:t>
      </w:r>
      <w:r>
        <w:t>Highway</w:t>
      </w:r>
      <w:r>
        <w:rPr>
          <w:spacing w:val="-14"/>
        </w:rPr>
        <w:t xml:space="preserve"> </w:t>
      </w:r>
      <w:r>
        <w:t>to</w:t>
      </w:r>
      <w:r>
        <w:rPr>
          <w:spacing w:val="-14"/>
        </w:rPr>
        <w:t xml:space="preserve"> </w:t>
      </w:r>
      <w:r>
        <w:t>Katoomba</w:t>
      </w:r>
      <w:r>
        <w:rPr>
          <w:spacing w:val="-14"/>
        </w:rPr>
        <w:t xml:space="preserve"> </w:t>
      </w:r>
      <w:r>
        <w:t>over</w:t>
      </w:r>
      <w:r>
        <w:rPr>
          <w:spacing w:val="-14"/>
        </w:rPr>
        <w:t xml:space="preserve"> </w:t>
      </w:r>
      <w:r>
        <w:t>the</w:t>
      </w:r>
      <w:r>
        <w:rPr>
          <w:spacing w:val="-14"/>
        </w:rPr>
        <w:t xml:space="preserve"> </w:t>
      </w:r>
      <w:r>
        <w:t>next five</w:t>
      </w:r>
      <w:r>
        <w:rPr>
          <w:spacing w:val="-11"/>
        </w:rPr>
        <w:t xml:space="preserve"> </w:t>
      </w:r>
      <w:r>
        <w:t>years.</w:t>
      </w:r>
    </w:p>
    <w:p w:rsidR="002C1123" w:rsidRDefault="00F22F94">
      <w:pPr>
        <w:pStyle w:val="BodyText"/>
        <w:spacing w:before="144" w:line="249" w:lineRule="auto"/>
        <w:ind w:left="188" w:right="560"/>
      </w:pPr>
      <w:r>
        <w:rPr>
          <w:spacing w:val="-2"/>
        </w:rPr>
        <w:t>As</w:t>
      </w:r>
      <w:r>
        <w:rPr>
          <w:spacing w:val="-11"/>
        </w:rPr>
        <w:t xml:space="preserve"> </w:t>
      </w:r>
      <w:r>
        <w:rPr>
          <w:spacing w:val="-2"/>
        </w:rPr>
        <w:t>noted</w:t>
      </w:r>
      <w:r>
        <w:rPr>
          <w:spacing w:val="-11"/>
        </w:rPr>
        <w:t xml:space="preserve"> </w:t>
      </w:r>
      <w:r>
        <w:rPr>
          <w:spacing w:val="-2"/>
        </w:rPr>
        <w:t>in</w:t>
      </w:r>
      <w:r>
        <w:rPr>
          <w:spacing w:val="-11"/>
        </w:rPr>
        <w:t xml:space="preserve"> </w:t>
      </w:r>
      <w:r>
        <w:rPr>
          <w:spacing w:val="-2"/>
        </w:rPr>
        <w:t>sections</w:t>
      </w:r>
      <w:r>
        <w:rPr>
          <w:spacing w:val="-11"/>
        </w:rPr>
        <w:t xml:space="preserve"> </w:t>
      </w:r>
      <w:r>
        <w:rPr>
          <w:spacing w:val="-2"/>
        </w:rPr>
        <w:t>10.6.3</w:t>
      </w:r>
      <w:r>
        <w:rPr>
          <w:spacing w:val="-11"/>
        </w:rPr>
        <w:t xml:space="preserve"> </w:t>
      </w:r>
      <w:r>
        <w:rPr>
          <w:spacing w:val="-2"/>
        </w:rPr>
        <w:t>and</w:t>
      </w:r>
      <w:r>
        <w:rPr>
          <w:spacing w:val="-11"/>
        </w:rPr>
        <w:t xml:space="preserve"> </w:t>
      </w:r>
      <w:r>
        <w:rPr>
          <w:spacing w:val="-2"/>
        </w:rPr>
        <w:t>10.6.4,</w:t>
      </w:r>
      <w:r>
        <w:rPr>
          <w:spacing w:val="-11"/>
        </w:rPr>
        <w:t xml:space="preserve"> </w:t>
      </w:r>
      <w:r>
        <w:rPr>
          <w:spacing w:val="-2"/>
        </w:rPr>
        <w:t xml:space="preserve">further </w:t>
      </w:r>
      <w:r>
        <w:rPr>
          <w:w w:val="95"/>
        </w:rPr>
        <w:t>investigation is needed as to what investment and reform</w:t>
      </w:r>
      <w:r>
        <w:rPr>
          <w:spacing w:val="-12"/>
          <w:w w:val="95"/>
        </w:rPr>
        <w:t xml:space="preserve"> </w:t>
      </w:r>
      <w:r>
        <w:rPr>
          <w:w w:val="95"/>
        </w:rPr>
        <w:t>is</w:t>
      </w:r>
      <w:r>
        <w:rPr>
          <w:spacing w:val="-11"/>
          <w:w w:val="95"/>
        </w:rPr>
        <w:t xml:space="preserve"> </w:t>
      </w:r>
      <w:r>
        <w:rPr>
          <w:w w:val="95"/>
        </w:rPr>
        <w:t>needed</w:t>
      </w:r>
      <w:r>
        <w:rPr>
          <w:spacing w:val="-11"/>
          <w:w w:val="95"/>
        </w:rPr>
        <w:t xml:space="preserve"> </w:t>
      </w:r>
      <w:r>
        <w:rPr>
          <w:w w:val="95"/>
        </w:rPr>
        <w:t>to</w:t>
      </w:r>
      <w:r>
        <w:rPr>
          <w:spacing w:val="-11"/>
          <w:w w:val="95"/>
        </w:rPr>
        <w:t xml:space="preserve"> </w:t>
      </w:r>
      <w:r>
        <w:rPr>
          <w:w w:val="95"/>
        </w:rPr>
        <w:t>support</w:t>
      </w:r>
      <w:r>
        <w:rPr>
          <w:spacing w:val="-12"/>
          <w:w w:val="95"/>
        </w:rPr>
        <w:t xml:space="preserve"> </w:t>
      </w:r>
      <w:r>
        <w:rPr>
          <w:w w:val="95"/>
        </w:rPr>
        <w:t>freight</w:t>
      </w:r>
      <w:r>
        <w:rPr>
          <w:spacing w:val="-11"/>
          <w:w w:val="95"/>
        </w:rPr>
        <w:t xml:space="preserve"> </w:t>
      </w:r>
      <w:r>
        <w:rPr>
          <w:w w:val="95"/>
        </w:rPr>
        <w:t>movement</w:t>
      </w:r>
      <w:r>
        <w:rPr>
          <w:spacing w:val="-11"/>
          <w:w w:val="95"/>
        </w:rPr>
        <w:t xml:space="preserve"> </w:t>
      </w:r>
      <w:r>
        <w:rPr>
          <w:w w:val="95"/>
        </w:rPr>
        <w:t>from Western</w:t>
      </w:r>
      <w:r>
        <w:rPr>
          <w:spacing w:val="-1"/>
          <w:w w:val="95"/>
        </w:rPr>
        <w:t xml:space="preserve"> </w:t>
      </w:r>
      <w:r>
        <w:rPr>
          <w:w w:val="95"/>
        </w:rPr>
        <w:t>NSW</w:t>
      </w:r>
      <w:r>
        <w:rPr>
          <w:spacing w:val="-1"/>
          <w:w w:val="95"/>
        </w:rPr>
        <w:t xml:space="preserve"> </w:t>
      </w:r>
      <w:r>
        <w:rPr>
          <w:w w:val="95"/>
        </w:rPr>
        <w:t>to</w:t>
      </w:r>
      <w:r>
        <w:rPr>
          <w:spacing w:val="-1"/>
          <w:w w:val="95"/>
        </w:rPr>
        <w:t xml:space="preserve"> </w:t>
      </w:r>
      <w:r>
        <w:rPr>
          <w:w w:val="95"/>
        </w:rPr>
        <w:t>Sydney</w:t>
      </w:r>
      <w:r>
        <w:rPr>
          <w:spacing w:val="-1"/>
          <w:w w:val="95"/>
        </w:rPr>
        <w:t xml:space="preserve"> </w:t>
      </w:r>
      <w:r>
        <w:rPr>
          <w:w w:val="95"/>
        </w:rPr>
        <w:t>and</w:t>
      </w:r>
      <w:r>
        <w:rPr>
          <w:spacing w:val="-1"/>
          <w:w w:val="95"/>
        </w:rPr>
        <w:t xml:space="preserve"> </w:t>
      </w:r>
      <w:r>
        <w:rPr>
          <w:w w:val="95"/>
        </w:rPr>
        <w:t>its</w:t>
      </w:r>
      <w:r>
        <w:rPr>
          <w:spacing w:val="-1"/>
          <w:w w:val="95"/>
        </w:rPr>
        <w:t xml:space="preserve"> </w:t>
      </w:r>
      <w:r>
        <w:rPr>
          <w:w w:val="95"/>
        </w:rPr>
        <w:t>ports.</w:t>
      </w:r>
      <w:r>
        <w:rPr>
          <w:spacing w:val="-1"/>
          <w:w w:val="95"/>
        </w:rPr>
        <w:t xml:space="preserve"> </w:t>
      </w:r>
      <w:r>
        <w:rPr>
          <w:w w:val="95"/>
        </w:rPr>
        <w:t>This</w:t>
      </w:r>
      <w:r>
        <w:rPr>
          <w:spacing w:val="-1"/>
          <w:w w:val="95"/>
        </w:rPr>
        <w:t xml:space="preserve"> </w:t>
      </w:r>
      <w:r>
        <w:rPr>
          <w:w w:val="95"/>
        </w:rPr>
        <w:t>would include</w:t>
      </w:r>
      <w:r>
        <w:rPr>
          <w:spacing w:val="-12"/>
          <w:w w:val="95"/>
        </w:rPr>
        <w:t xml:space="preserve"> </w:t>
      </w:r>
      <w:r>
        <w:rPr>
          <w:w w:val="95"/>
        </w:rPr>
        <w:t>assessment</w:t>
      </w:r>
      <w:r>
        <w:rPr>
          <w:spacing w:val="-11"/>
          <w:w w:val="95"/>
        </w:rPr>
        <w:t xml:space="preserve"> </w:t>
      </w:r>
      <w:r>
        <w:rPr>
          <w:w w:val="95"/>
        </w:rPr>
        <w:t>of</w:t>
      </w:r>
      <w:r>
        <w:rPr>
          <w:spacing w:val="-11"/>
          <w:w w:val="95"/>
        </w:rPr>
        <w:t xml:space="preserve"> </w:t>
      </w:r>
      <w:r>
        <w:rPr>
          <w:w w:val="95"/>
        </w:rPr>
        <w:t>rail</w:t>
      </w:r>
      <w:r>
        <w:rPr>
          <w:spacing w:val="-11"/>
          <w:w w:val="95"/>
        </w:rPr>
        <w:t xml:space="preserve"> </w:t>
      </w:r>
      <w:r>
        <w:rPr>
          <w:w w:val="95"/>
        </w:rPr>
        <w:t>alternatives</w:t>
      </w:r>
      <w:r>
        <w:rPr>
          <w:spacing w:val="-12"/>
          <w:w w:val="95"/>
        </w:rPr>
        <w:t xml:space="preserve"> </w:t>
      </w:r>
      <w:r>
        <w:rPr>
          <w:w w:val="95"/>
        </w:rPr>
        <w:t>to</w:t>
      </w:r>
      <w:r>
        <w:rPr>
          <w:spacing w:val="-11"/>
          <w:w w:val="95"/>
        </w:rPr>
        <w:t xml:space="preserve"> </w:t>
      </w:r>
      <w:r>
        <w:rPr>
          <w:w w:val="95"/>
        </w:rPr>
        <w:t>develop</w:t>
      </w:r>
      <w:r>
        <w:rPr>
          <w:spacing w:val="-11"/>
          <w:w w:val="95"/>
        </w:rPr>
        <w:t xml:space="preserve"> </w:t>
      </w:r>
      <w:r>
        <w:rPr>
          <w:w w:val="95"/>
        </w:rPr>
        <w:t xml:space="preserve">a </w:t>
      </w:r>
      <w:r>
        <w:t>holistic</w:t>
      </w:r>
      <w:r>
        <w:rPr>
          <w:spacing w:val="-13"/>
        </w:rPr>
        <w:t xml:space="preserve"> </w:t>
      </w:r>
      <w:r>
        <w:t>picture.</w:t>
      </w:r>
    </w:p>
    <w:p w:rsidR="002C1123" w:rsidRDefault="00F22F94">
      <w:pPr>
        <w:pStyle w:val="BodyText"/>
        <w:spacing w:before="129" w:line="249" w:lineRule="auto"/>
        <w:ind w:left="186" w:right="981"/>
      </w:pPr>
      <w:r>
        <w:br w:type="column"/>
      </w:r>
      <w:r>
        <w:rPr>
          <w:w w:val="95"/>
        </w:rPr>
        <w:t>Prior</w:t>
      </w:r>
      <w:r>
        <w:rPr>
          <w:spacing w:val="-9"/>
          <w:w w:val="95"/>
        </w:rPr>
        <w:t xml:space="preserve"> </w:t>
      </w:r>
      <w:r>
        <w:rPr>
          <w:w w:val="95"/>
        </w:rPr>
        <w:t>to</w:t>
      </w:r>
      <w:r>
        <w:rPr>
          <w:spacing w:val="-9"/>
          <w:w w:val="95"/>
        </w:rPr>
        <w:t xml:space="preserve"> </w:t>
      </w:r>
      <w:r>
        <w:rPr>
          <w:w w:val="95"/>
        </w:rPr>
        <w:t>this,</w:t>
      </w:r>
      <w:r>
        <w:rPr>
          <w:spacing w:val="-9"/>
          <w:w w:val="95"/>
        </w:rPr>
        <w:t xml:space="preserve"> </w:t>
      </w:r>
      <w:r>
        <w:rPr>
          <w:w w:val="95"/>
        </w:rPr>
        <w:t>the</w:t>
      </w:r>
      <w:r>
        <w:rPr>
          <w:spacing w:val="-9"/>
          <w:w w:val="95"/>
        </w:rPr>
        <w:t xml:space="preserve"> </w:t>
      </w:r>
      <w:r>
        <w:rPr>
          <w:w w:val="95"/>
        </w:rPr>
        <w:t>case</w:t>
      </w:r>
      <w:r>
        <w:rPr>
          <w:spacing w:val="-9"/>
          <w:w w:val="95"/>
        </w:rPr>
        <w:t xml:space="preserve"> </w:t>
      </w:r>
      <w:r>
        <w:rPr>
          <w:w w:val="95"/>
        </w:rPr>
        <w:t>for</w:t>
      </w:r>
      <w:r>
        <w:rPr>
          <w:spacing w:val="-9"/>
          <w:w w:val="95"/>
        </w:rPr>
        <w:t xml:space="preserve"> </w:t>
      </w:r>
      <w:r>
        <w:rPr>
          <w:w w:val="95"/>
        </w:rPr>
        <w:t>substantial</w:t>
      </w:r>
      <w:r>
        <w:rPr>
          <w:spacing w:val="-9"/>
          <w:w w:val="95"/>
        </w:rPr>
        <w:t xml:space="preserve"> </w:t>
      </w:r>
      <w:r>
        <w:rPr>
          <w:w w:val="95"/>
        </w:rPr>
        <w:t>investment</w:t>
      </w:r>
      <w:r>
        <w:rPr>
          <w:spacing w:val="-9"/>
          <w:w w:val="95"/>
        </w:rPr>
        <w:t xml:space="preserve"> </w:t>
      </w:r>
      <w:r>
        <w:rPr>
          <w:w w:val="95"/>
        </w:rPr>
        <w:t xml:space="preserve">in </w:t>
      </w:r>
      <w:r>
        <w:t>Bells</w:t>
      </w:r>
      <w:r>
        <w:rPr>
          <w:spacing w:val="-12"/>
        </w:rPr>
        <w:t xml:space="preserve"> </w:t>
      </w:r>
      <w:r>
        <w:t>Line</w:t>
      </w:r>
      <w:r>
        <w:rPr>
          <w:spacing w:val="-12"/>
        </w:rPr>
        <w:t xml:space="preserve"> </w:t>
      </w:r>
      <w:r>
        <w:t>of</w:t>
      </w:r>
      <w:r>
        <w:rPr>
          <w:spacing w:val="-12"/>
        </w:rPr>
        <w:t xml:space="preserve"> </w:t>
      </w:r>
      <w:r>
        <w:t>Road</w:t>
      </w:r>
      <w:r>
        <w:rPr>
          <w:spacing w:val="-12"/>
        </w:rPr>
        <w:t xml:space="preserve"> </w:t>
      </w:r>
      <w:r>
        <w:t>as</w:t>
      </w:r>
      <w:r>
        <w:rPr>
          <w:spacing w:val="-12"/>
        </w:rPr>
        <w:t xml:space="preserve"> </w:t>
      </w:r>
      <w:r>
        <w:t>a</w:t>
      </w:r>
      <w:r>
        <w:rPr>
          <w:spacing w:val="-12"/>
        </w:rPr>
        <w:t xml:space="preserve"> </w:t>
      </w:r>
      <w:r>
        <w:t>whole</w:t>
      </w:r>
      <w:r>
        <w:rPr>
          <w:spacing w:val="-12"/>
        </w:rPr>
        <w:t xml:space="preserve"> </w:t>
      </w:r>
      <w:r>
        <w:t>is</w:t>
      </w:r>
      <w:r>
        <w:rPr>
          <w:spacing w:val="-12"/>
        </w:rPr>
        <w:t xml:space="preserve"> </w:t>
      </w:r>
      <w:r>
        <w:t>unproven.</w:t>
      </w:r>
    </w:p>
    <w:p w:rsidR="002C1123" w:rsidRDefault="00F22F94">
      <w:pPr>
        <w:pStyle w:val="BodyText"/>
        <w:spacing w:before="143" w:line="249" w:lineRule="auto"/>
        <w:ind w:left="186" w:right="769"/>
      </w:pPr>
      <w:r>
        <w:rPr>
          <w:w w:val="95"/>
        </w:rPr>
        <w:t>It</w:t>
      </w:r>
      <w:r>
        <w:rPr>
          <w:spacing w:val="-12"/>
          <w:w w:val="95"/>
        </w:rPr>
        <w:t xml:space="preserve"> </w:t>
      </w:r>
      <w:r>
        <w:rPr>
          <w:w w:val="95"/>
        </w:rPr>
        <w:t>is</w:t>
      </w:r>
      <w:r>
        <w:rPr>
          <w:spacing w:val="-11"/>
          <w:w w:val="95"/>
        </w:rPr>
        <w:t xml:space="preserve"> </w:t>
      </w:r>
      <w:r>
        <w:rPr>
          <w:w w:val="95"/>
        </w:rPr>
        <w:t>sensible</w:t>
      </w:r>
      <w:r>
        <w:rPr>
          <w:spacing w:val="-11"/>
          <w:w w:val="95"/>
        </w:rPr>
        <w:t xml:space="preserve"> </w:t>
      </w:r>
      <w:r>
        <w:rPr>
          <w:w w:val="95"/>
        </w:rPr>
        <w:t>however,</w:t>
      </w:r>
      <w:r>
        <w:rPr>
          <w:spacing w:val="-11"/>
          <w:w w:val="95"/>
        </w:rPr>
        <w:t xml:space="preserve"> </w:t>
      </w:r>
      <w:r>
        <w:rPr>
          <w:w w:val="95"/>
        </w:rPr>
        <w:t>given</w:t>
      </w:r>
      <w:r>
        <w:rPr>
          <w:spacing w:val="-11"/>
          <w:w w:val="95"/>
        </w:rPr>
        <w:t xml:space="preserve"> </w:t>
      </w:r>
      <w:r>
        <w:rPr>
          <w:w w:val="95"/>
        </w:rPr>
        <w:t>the</w:t>
      </w:r>
      <w:r>
        <w:rPr>
          <w:spacing w:val="-11"/>
          <w:w w:val="95"/>
        </w:rPr>
        <w:t xml:space="preserve"> </w:t>
      </w:r>
      <w:r>
        <w:rPr>
          <w:w w:val="95"/>
        </w:rPr>
        <w:t>limited</w:t>
      </w:r>
      <w:r>
        <w:rPr>
          <w:spacing w:val="-11"/>
          <w:w w:val="95"/>
        </w:rPr>
        <w:t xml:space="preserve"> </w:t>
      </w:r>
      <w:r>
        <w:rPr>
          <w:w w:val="95"/>
        </w:rPr>
        <w:t>road</w:t>
      </w:r>
      <w:r>
        <w:rPr>
          <w:spacing w:val="-11"/>
          <w:w w:val="95"/>
        </w:rPr>
        <w:t xml:space="preserve"> </w:t>
      </w:r>
      <w:r>
        <w:rPr>
          <w:w w:val="95"/>
        </w:rPr>
        <w:t>alignments available</w:t>
      </w:r>
      <w:r>
        <w:rPr>
          <w:spacing w:val="-2"/>
          <w:w w:val="95"/>
        </w:rPr>
        <w:t xml:space="preserve"> </w:t>
      </w:r>
      <w:r>
        <w:rPr>
          <w:w w:val="95"/>
        </w:rPr>
        <w:t>over</w:t>
      </w:r>
      <w:r>
        <w:rPr>
          <w:spacing w:val="-2"/>
          <w:w w:val="95"/>
        </w:rPr>
        <w:t xml:space="preserve"> </w:t>
      </w:r>
      <w:r>
        <w:rPr>
          <w:w w:val="95"/>
        </w:rPr>
        <w:t>the</w:t>
      </w:r>
      <w:r>
        <w:rPr>
          <w:spacing w:val="-2"/>
          <w:w w:val="95"/>
        </w:rPr>
        <w:t xml:space="preserve"> </w:t>
      </w:r>
      <w:r>
        <w:rPr>
          <w:w w:val="95"/>
        </w:rPr>
        <w:t>Blue</w:t>
      </w:r>
      <w:r>
        <w:rPr>
          <w:spacing w:val="-2"/>
          <w:w w:val="95"/>
        </w:rPr>
        <w:t xml:space="preserve"> </w:t>
      </w:r>
      <w:r>
        <w:rPr>
          <w:w w:val="95"/>
        </w:rPr>
        <w:t>Mountains,</w:t>
      </w:r>
      <w:r>
        <w:rPr>
          <w:spacing w:val="-2"/>
          <w:w w:val="95"/>
        </w:rPr>
        <w:t xml:space="preserve"> </w:t>
      </w:r>
      <w:r>
        <w:rPr>
          <w:w w:val="95"/>
        </w:rPr>
        <w:t>that</w:t>
      </w:r>
      <w:r>
        <w:rPr>
          <w:spacing w:val="-2"/>
          <w:w w:val="95"/>
        </w:rPr>
        <w:t xml:space="preserve"> </w:t>
      </w:r>
      <w:r>
        <w:rPr>
          <w:w w:val="95"/>
        </w:rPr>
        <w:t>action</w:t>
      </w:r>
      <w:r>
        <w:rPr>
          <w:spacing w:val="-2"/>
          <w:w w:val="95"/>
        </w:rPr>
        <w:t xml:space="preserve"> </w:t>
      </w:r>
      <w:r>
        <w:rPr>
          <w:w w:val="95"/>
        </w:rPr>
        <w:t>be</w:t>
      </w:r>
      <w:r>
        <w:rPr>
          <w:spacing w:val="-2"/>
          <w:w w:val="95"/>
        </w:rPr>
        <w:t xml:space="preserve"> </w:t>
      </w:r>
      <w:r>
        <w:rPr>
          <w:w w:val="95"/>
        </w:rPr>
        <w:t xml:space="preserve">taken </w:t>
      </w:r>
      <w:r>
        <w:t>to</w:t>
      </w:r>
      <w:r>
        <w:rPr>
          <w:spacing w:val="-14"/>
        </w:rPr>
        <w:t xml:space="preserve"> </w:t>
      </w:r>
      <w:r>
        <w:t>identify</w:t>
      </w:r>
      <w:r>
        <w:rPr>
          <w:spacing w:val="-14"/>
        </w:rPr>
        <w:t xml:space="preserve"> </w:t>
      </w:r>
      <w:r>
        <w:t>a</w:t>
      </w:r>
      <w:r>
        <w:rPr>
          <w:spacing w:val="-14"/>
        </w:rPr>
        <w:t xml:space="preserve"> </w:t>
      </w:r>
      <w:r>
        <w:t>corridor,</w:t>
      </w:r>
      <w:r>
        <w:rPr>
          <w:spacing w:val="-14"/>
        </w:rPr>
        <w:t xml:space="preserve"> </w:t>
      </w:r>
      <w:r>
        <w:t>should</w:t>
      </w:r>
      <w:r>
        <w:rPr>
          <w:spacing w:val="-14"/>
        </w:rPr>
        <w:t xml:space="preserve"> </w:t>
      </w:r>
      <w:r>
        <w:t>the</w:t>
      </w:r>
      <w:r>
        <w:rPr>
          <w:spacing w:val="-14"/>
        </w:rPr>
        <w:t xml:space="preserve"> </w:t>
      </w:r>
      <w:r>
        <w:t>Bells</w:t>
      </w:r>
      <w:r>
        <w:rPr>
          <w:spacing w:val="-14"/>
        </w:rPr>
        <w:t xml:space="preserve"> </w:t>
      </w:r>
      <w:r>
        <w:t>Line</w:t>
      </w:r>
      <w:r>
        <w:rPr>
          <w:spacing w:val="-14"/>
        </w:rPr>
        <w:t xml:space="preserve"> </w:t>
      </w:r>
      <w:r>
        <w:t>of</w:t>
      </w:r>
      <w:r>
        <w:rPr>
          <w:spacing w:val="-14"/>
        </w:rPr>
        <w:t xml:space="preserve"> </w:t>
      </w:r>
      <w:r>
        <w:t>Road</w:t>
      </w:r>
      <w:r>
        <w:rPr>
          <w:spacing w:val="-13"/>
        </w:rPr>
        <w:t xml:space="preserve"> </w:t>
      </w:r>
      <w:r>
        <w:t>be needed</w:t>
      </w:r>
      <w:r>
        <w:rPr>
          <w:spacing w:val="-13"/>
        </w:rPr>
        <w:t xml:space="preserve"> </w:t>
      </w:r>
      <w:r>
        <w:t>in</w:t>
      </w:r>
      <w:r>
        <w:rPr>
          <w:spacing w:val="-13"/>
        </w:rPr>
        <w:t xml:space="preserve"> </w:t>
      </w:r>
      <w:r>
        <w:t>the</w:t>
      </w:r>
      <w:r>
        <w:rPr>
          <w:spacing w:val="-13"/>
        </w:rPr>
        <w:t xml:space="preserve"> </w:t>
      </w:r>
      <w:r>
        <w:t>future.</w:t>
      </w:r>
      <w:r>
        <w:rPr>
          <w:spacing w:val="-13"/>
        </w:rPr>
        <w:t xml:space="preserve"> </w:t>
      </w:r>
      <w:r>
        <w:t>This</w:t>
      </w:r>
      <w:r>
        <w:rPr>
          <w:spacing w:val="-13"/>
        </w:rPr>
        <w:t xml:space="preserve"> </w:t>
      </w:r>
      <w:r>
        <w:t>should</w:t>
      </w:r>
      <w:r>
        <w:rPr>
          <w:spacing w:val="-13"/>
        </w:rPr>
        <w:t xml:space="preserve"> </w:t>
      </w:r>
      <w:r>
        <w:t>include</w:t>
      </w:r>
      <w:r>
        <w:rPr>
          <w:spacing w:val="-13"/>
        </w:rPr>
        <w:t xml:space="preserve"> </w:t>
      </w:r>
      <w:r>
        <w:t>the</w:t>
      </w:r>
      <w:r>
        <w:rPr>
          <w:spacing w:val="-13"/>
        </w:rPr>
        <w:t xml:space="preserve"> </w:t>
      </w:r>
      <w:r>
        <w:t>western extent</w:t>
      </w:r>
      <w:r>
        <w:rPr>
          <w:spacing w:val="-13"/>
        </w:rPr>
        <w:t xml:space="preserve"> </w:t>
      </w:r>
      <w:r>
        <w:t>of</w:t>
      </w:r>
      <w:r>
        <w:rPr>
          <w:spacing w:val="-13"/>
        </w:rPr>
        <w:t xml:space="preserve"> </w:t>
      </w:r>
      <w:r>
        <w:t>the</w:t>
      </w:r>
      <w:r>
        <w:rPr>
          <w:spacing w:val="-13"/>
        </w:rPr>
        <w:t xml:space="preserve"> </w:t>
      </w:r>
      <w:r>
        <w:t>road</w:t>
      </w:r>
      <w:r>
        <w:rPr>
          <w:spacing w:val="-13"/>
        </w:rPr>
        <w:t xml:space="preserve"> </w:t>
      </w:r>
      <w:r>
        <w:t>between</w:t>
      </w:r>
      <w:r>
        <w:rPr>
          <w:spacing w:val="-13"/>
        </w:rPr>
        <w:t xml:space="preserve"> </w:t>
      </w:r>
      <w:r>
        <w:t>Kurrajong</w:t>
      </w:r>
      <w:r>
        <w:rPr>
          <w:spacing w:val="-13"/>
        </w:rPr>
        <w:t xml:space="preserve"> </w:t>
      </w:r>
      <w:r>
        <w:t>and</w:t>
      </w:r>
      <w:r>
        <w:rPr>
          <w:spacing w:val="-13"/>
        </w:rPr>
        <w:t xml:space="preserve"> </w:t>
      </w:r>
      <w:r>
        <w:t xml:space="preserve">Richmond, </w:t>
      </w:r>
      <w:r>
        <w:rPr>
          <w:spacing w:val="-2"/>
        </w:rPr>
        <w:t>which</w:t>
      </w:r>
      <w:r>
        <w:rPr>
          <w:spacing w:val="-8"/>
        </w:rPr>
        <w:t xml:space="preserve"> </w:t>
      </w:r>
      <w:r>
        <w:rPr>
          <w:spacing w:val="-2"/>
        </w:rPr>
        <w:t>has</w:t>
      </w:r>
      <w:r>
        <w:rPr>
          <w:spacing w:val="-8"/>
        </w:rPr>
        <w:t xml:space="preserve"> </w:t>
      </w:r>
      <w:r>
        <w:rPr>
          <w:spacing w:val="-2"/>
        </w:rPr>
        <w:t>been</w:t>
      </w:r>
      <w:r>
        <w:rPr>
          <w:spacing w:val="-8"/>
        </w:rPr>
        <w:t xml:space="preserve"> </w:t>
      </w:r>
      <w:r>
        <w:rPr>
          <w:spacing w:val="-2"/>
        </w:rPr>
        <w:t>designated</w:t>
      </w:r>
      <w:r>
        <w:rPr>
          <w:spacing w:val="-8"/>
        </w:rPr>
        <w:t xml:space="preserve"> </w:t>
      </w:r>
      <w:r>
        <w:rPr>
          <w:spacing w:val="-2"/>
        </w:rPr>
        <w:t>for</w:t>
      </w:r>
      <w:r>
        <w:rPr>
          <w:spacing w:val="-8"/>
        </w:rPr>
        <w:t xml:space="preserve"> </w:t>
      </w:r>
      <w:r>
        <w:rPr>
          <w:spacing w:val="-2"/>
        </w:rPr>
        <w:t>future</w:t>
      </w:r>
      <w:r>
        <w:rPr>
          <w:spacing w:val="-8"/>
        </w:rPr>
        <w:t xml:space="preserve"> </w:t>
      </w:r>
      <w:r>
        <w:rPr>
          <w:spacing w:val="-2"/>
        </w:rPr>
        <w:t>development</w:t>
      </w:r>
      <w:r>
        <w:rPr>
          <w:spacing w:val="-8"/>
        </w:rPr>
        <w:t xml:space="preserve"> </w:t>
      </w:r>
      <w:r>
        <w:rPr>
          <w:spacing w:val="-2"/>
        </w:rPr>
        <w:t xml:space="preserve">as </w:t>
      </w:r>
      <w:r>
        <w:t>the Castlereagh Freeway.</w:t>
      </w:r>
    </w:p>
    <w:p w:rsidR="002C1123" w:rsidRDefault="002060EF">
      <w:pPr>
        <w:pStyle w:val="BodyText"/>
        <w:spacing w:before="2"/>
        <w:rPr>
          <w:sz w:val="13"/>
        </w:rPr>
      </w:pPr>
      <w:r>
        <w:pict>
          <v:shape id="docshape1920" o:spid="_x0000_s3164" type="#_x0000_t202" style="position:absolute;margin-left:552.3pt;margin-top:8.8pt;width:239pt;height:46.8pt;z-index:-251354112;mso-wrap-distance-left:0;mso-wrap-distance-right:0;mso-position-horizontal-relative:page" fillcolor="#e1e0e1" stroked="f">
            <v:textbox inset="0,0,0,0">
              <w:txbxContent>
                <w:p w:rsidR="00F22F94" w:rsidRDefault="00F22F94">
                  <w:pPr>
                    <w:pStyle w:val="BodyText"/>
                    <w:spacing w:before="68" w:line="249" w:lineRule="auto"/>
                    <w:ind w:left="113" w:right="115"/>
                    <w:rPr>
                      <w:color w:val="000000"/>
                    </w:rPr>
                  </w:pPr>
                  <w:r>
                    <w:rPr>
                      <w:b/>
                      <w:color w:val="00AEEF"/>
                    </w:rPr>
                    <w:t>Recommendation</w:t>
                  </w:r>
                  <w:r>
                    <w:rPr>
                      <w:b/>
                      <w:color w:val="00AEEF"/>
                      <w:spacing w:val="40"/>
                    </w:rPr>
                    <w:t xml:space="preserve"> </w:t>
                  </w:r>
                  <w:r>
                    <w:rPr>
                      <w:color w:val="000000"/>
                    </w:rPr>
                    <w:t xml:space="preserve">Infrastructure NSW </w:t>
                  </w:r>
                  <w:r>
                    <w:rPr>
                      <w:color w:val="000000"/>
                      <w:w w:val="95"/>
                    </w:rPr>
                    <w:t>recommends that a potential corridor be identified for the</w:t>
                  </w:r>
                  <w:r>
                    <w:rPr>
                      <w:color w:val="000000"/>
                      <w:spacing w:val="-2"/>
                      <w:w w:val="95"/>
                    </w:rPr>
                    <w:t xml:space="preserve"> </w:t>
                  </w:r>
                  <w:r>
                    <w:rPr>
                      <w:color w:val="000000"/>
                      <w:w w:val="95"/>
                    </w:rPr>
                    <w:t>Bells</w:t>
                  </w:r>
                  <w:r>
                    <w:rPr>
                      <w:color w:val="000000"/>
                      <w:spacing w:val="-2"/>
                      <w:w w:val="95"/>
                    </w:rPr>
                    <w:t xml:space="preserve"> </w:t>
                  </w:r>
                  <w:r>
                    <w:rPr>
                      <w:color w:val="000000"/>
                      <w:w w:val="95"/>
                    </w:rPr>
                    <w:t>Line</w:t>
                  </w:r>
                  <w:r>
                    <w:rPr>
                      <w:color w:val="000000"/>
                      <w:spacing w:val="-2"/>
                      <w:w w:val="95"/>
                    </w:rPr>
                    <w:t xml:space="preserve"> </w:t>
                  </w:r>
                  <w:r>
                    <w:rPr>
                      <w:color w:val="000000"/>
                      <w:w w:val="95"/>
                    </w:rPr>
                    <w:t>of</w:t>
                  </w:r>
                  <w:r>
                    <w:rPr>
                      <w:color w:val="000000"/>
                      <w:spacing w:val="-2"/>
                      <w:w w:val="95"/>
                    </w:rPr>
                    <w:t xml:space="preserve"> </w:t>
                  </w:r>
                  <w:r>
                    <w:rPr>
                      <w:color w:val="000000"/>
                      <w:w w:val="95"/>
                    </w:rPr>
                    <w:t>Road</w:t>
                  </w:r>
                  <w:r>
                    <w:rPr>
                      <w:color w:val="000000"/>
                      <w:spacing w:val="-2"/>
                      <w:w w:val="95"/>
                    </w:rPr>
                    <w:t xml:space="preserve"> </w:t>
                  </w:r>
                  <w:r>
                    <w:rPr>
                      <w:color w:val="000000"/>
                      <w:w w:val="95"/>
                    </w:rPr>
                    <w:t>and</w:t>
                  </w:r>
                  <w:r>
                    <w:rPr>
                      <w:color w:val="000000"/>
                      <w:spacing w:val="-2"/>
                      <w:w w:val="95"/>
                    </w:rPr>
                    <w:t xml:space="preserve"> </w:t>
                  </w:r>
                  <w:r>
                    <w:rPr>
                      <w:color w:val="000000"/>
                      <w:w w:val="95"/>
                    </w:rPr>
                    <w:t>the</w:t>
                  </w:r>
                  <w:r>
                    <w:rPr>
                      <w:color w:val="000000"/>
                      <w:spacing w:val="-2"/>
                      <w:w w:val="95"/>
                    </w:rPr>
                    <w:t xml:space="preserve"> </w:t>
                  </w:r>
                  <w:r>
                    <w:rPr>
                      <w:color w:val="000000"/>
                      <w:w w:val="95"/>
                    </w:rPr>
                    <w:t>Castlereagh</w:t>
                  </w:r>
                  <w:r>
                    <w:rPr>
                      <w:color w:val="000000"/>
                      <w:spacing w:val="-2"/>
                      <w:w w:val="95"/>
                    </w:rPr>
                    <w:t xml:space="preserve"> </w:t>
                  </w:r>
                  <w:r>
                    <w:rPr>
                      <w:color w:val="000000"/>
                      <w:w w:val="95"/>
                    </w:rPr>
                    <w:t>Freeway.</w:t>
                  </w:r>
                </w:p>
              </w:txbxContent>
            </v:textbox>
            <w10:wrap type="topAndBottom" anchorx="page"/>
          </v:shape>
        </w:pict>
      </w:r>
    </w:p>
    <w:p w:rsidR="002C1123" w:rsidRDefault="00F22F94">
      <w:pPr>
        <w:pStyle w:val="Heading6"/>
        <w:numPr>
          <w:ilvl w:val="2"/>
          <w:numId w:val="66"/>
        </w:numPr>
        <w:tabs>
          <w:tab w:val="left" w:pos="835"/>
        </w:tabs>
        <w:spacing w:before="166" w:line="320" w:lineRule="atLeast"/>
        <w:ind w:right="1905" w:firstLine="0"/>
      </w:pPr>
      <w:r>
        <w:rPr>
          <w:color w:val="00AEEF"/>
          <w:spacing w:val="-2"/>
        </w:rPr>
        <w:t>Duplicating</w:t>
      </w:r>
      <w:r>
        <w:rPr>
          <w:color w:val="00AEEF"/>
          <w:spacing w:val="-12"/>
        </w:rPr>
        <w:t xml:space="preserve"> </w:t>
      </w:r>
      <w:r>
        <w:rPr>
          <w:color w:val="00AEEF"/>
          <w:spacing w:val="-2"/>
        </w:rPr>
        <w:t>the</w:t>
      </w:r>
      <w:r>
        <w:rPr>
          <w:color w:val="00AEEF"/>
          <w:spacing w:val="-12"/>
        </w:rPr>
        <w:t xml:space="preserve"> </w:t>
      </w:r>
      <w:r>
        <w:rPr>
          <w:color w:val="00AEEF"/>
          <w:spacing w:val="-2"/>
        </w:rPr>
        <w:t>Pacific</w:t>
      </w:r>
      <w:r>
        <w:rPr>
          <w:color w:val="00AEEF"/>
          <w:spacing w:val="-12"/>
        </w:rPr>
        <w:t xml:space="preserve"> </w:t>
      </w:r>
      <w:r>
        <w:rPr>
          <w:color w:val="00AEEF"/>
          <w:spacing w:val="-2"/>
        </w:rPr>
        <w:t xml:space="preserve">Highway </w:t>
      </w:r>
      <w:r>
        <w:t>Current Status</w:t>
      </w:r>
    </w:p>
    <w:p w:rsidR="002C1123" w:rsidRDefault="00F22F94">
      <w:pPr>
        <w:pStyle w:val="BodyText"/>
        <w:spacing w:before="15" w:line="249" w:lineRule="auto"/>
        <w:ind w:left="186" w:right="635"/>
      </w:pPr>
      <w:r>
        <w:rPr>
          <w:w w:val="95"/>
        </w:rPr>
        <w:t>The</w:t>
      </w:r>
      <w:r>
        <w:rPr>
          <w:spacing w:val="-11"/>
          <w:w w:val="95"/>
        </w:rPr>
        <w:t xml:space="preserve"> </w:t>
      </w:r>
      <w:r>
        <w:rPr>
          <w:w w:val="95"/>
        </w:rPr>
        <w:t>Pacific</w:t>
      </w:r>
      <w:r>
        <w:rPr>
          <w:spacing w:val="-11"/>
          <w:w w:val="95"/>
        </w:rPr>
        <w:t xml:space="preserve"> </w:t>
      </w:r>
      <w:r>
        <w:rPr>
          <w:w w:val="95"/>
        </w:rPr>
        <w:t>Highway</w:t>
      </w:r>
      <w:r>
        <w:rPr>
          <w:spacing w:val="-11"/>
          <w:w w:val="95"/>
        </w:rPr>
        <w:t xml:space="preserve"> </w:t>
      </w:r>
      <w:r>
        <w:rPr>
          <w:w w:val="95"/>
        </w:rPr>
        <w:t>runs</w:t>
      </w:r>
      <w:r>
        <w:rPr>
          <w:spacing w:val="-11"/>
          <w:w w:val="95"/>
        </w:rPr>
        <w:t xml:space="preserve"> </w:t>
      </w:r>
      <w:r>
        <w:rPr>
          <w:w w:val="95"/>
        </w:rPr>
        <w:t>670</w:t>
      </w:r>
      <w:r>
        <w:rPr>
          <w:spacing w:val="-11"/>
          <w:w w:val="95"/>
        </w:rPr>
        <w:t xml:space="preserve"> </w:t>
      </w:r>
      <w:r>
        <w:rPr>
          <w:w w:val="95"/>
        </w:rPr>
        <w:t>kilometres</w:t>
      </w:r>
      <w:r>
        <w:rPr>
          <w:spacing w:val="-11"/>
          <w:w w:val="95"/>
        </w:rPr>
        <w:t xml:space="preserve"> </w:t>
      </w:r>
      <w:r>
        <w:rPr>
          <w:w w:val="95"/>
        </w:rPr>
        <w:t>from</w:t>
      </w:r>
      <w:r>
        <w:rPr>
          <w:spacing w:val="-11"/>
          <w:w w:val="95"/>
        </w:rPr>
        <w:t xml:space="preserve"> </w:t>
      </w:r>
      <w:r>
        <w:rPr>
          <w:w w:val="95"/>
        </w:rPr>
        <w:t>the</w:t>
      </w:r>
      <w:r>
        <w:rPr>
          <w:spacing w:val="-11"/>
          <w:w w:val="95"/>
        </w:rPr>
        <w:t xml:space="preserve"> </w:t>
      </w:r>
      <w:r>
        <w:rPr>
          <w:w w:val="95"/>
        </w:rPr>
        <w:t>F3</w:t>
      </w:r>
      <w:r>
        <w:rPr>
          <w:spacing w:val="-11"/>
          <w:w w:val="95"/>
        </w:rPr>
        <w:t xml:space="preserve"> </w:t>
      </w:r>
      <w:r>
        <w:rPr>
          <w:w w:val="95"/>
        </w:rPr>
        <w:t>at Hexham</w:t>
      </w:r>
      <w:r>
        <w:rPr>
          <w:spacing w:val="-12"/>
          <w:w w:val="95"/>
        </w:rPr>
        <w:t xml:space="preserve"> </w:t>
      </w:r>
      <w:r>
        <w:rPr>
          <w:w w:val="95"/>
        </w:rPr>
        <w:t>to</w:t>
      </w:r>
      <w:r>
        <w:rPr>
          <w:spacing w:val="-12"/>
          <w:w w:val="95"/>
        </w:rPr>
        <w:t xml:space="preserve"> </w:t>
      </w:r>
      <w:r>
        <w:rPr>
          <w:w w:val="95"/>
        </w:rPr>
        <w:t>the</w:t>
      </w:r>
      <w:r>
        <w:rPr>
          <w:spacing w:val="-12"/>
          <w:w w:val="95"/>
        </w:rPr>
        <w:t xml:space="preserve"> </w:t>
      </w:r>
      <w:r>
        <w:rPr>
          <w:w w:val="95"/>
        </w:rPr>
        <w:t>Queensland</w:t>
      </w:r>
      <w:r>
        <w:rPr>
          <w:spacing w:val="-12"/>
          <w:w w:val="95"/>
        </w:rPr>
        <w:t xml:space="preserve"> </w:t>
      </w:r>
      <w:r>
        <w:rPr>
          <w:w w:val="95"/>
        </w:rPr>
        <w:t>border.</w:t>
      </w:r>
      <w:r>
        <w:rPr>
          <w:spacing w:val="-12"/>
          <w:w w:val="95"/>
        </w:rPr>
        <w:t xml:space="preserve"> </w:t>
      </w:r>
      <w:r>
        <w:rPr>
          <w:w w:val="95"/>
        </w:rPr>
        <w:t>It</w:t>
      </w:r>
      <w:r>
        <w:rPr>
          <w:spacing w:val="-12"/>
          <w:w w:val="95"/>
        </w:rPr>
        <w:t xml:space="preserve"> </w:t>
      </w:r>
      <w:r>
        <w:rPr>
          <w:w w:val="95"/>
        </w:rPr>
        <w:t>carries</w:t>
      </w:r>
      <w:r>
        <w:rPr>
          <w:spacing w:val="-12"/>
          <w:w w:val="95"/>
        </w:rPr>
        <w:t xml:space="preserve"> </w:t>
      </w:r>
      <w:r>
        <w:rPr>
          <w:w w:val="95"/>
        </w:rPr>
        <w:t>over</w:t>
      </w:r>
      <w:r>
        <w:rPr>
          <w:spacing w:val="-12"/>
          <w:w w:val="95"/>
        </w:rPr>
        <w:t xml:space="preserve"> </w:t>
      </w:r>
      <w:r>
        <w:rPr>
          <w:w w:val="95"/>
        </w:rPr>
        <w:t>half</w:t>
      </w:r>
      <w:r>
        <w:rPr>
          <w:spacing w:val="-12"/>
          <w:w w:val="95"/>
        </w:rPr>
        <w:t xml:space="preserve"> </w:t>
      </w:r>
      <w:r>
        <w:rPr>
          <w:w w:val="95"/>
        </w:rPr>
        <w:t xml:space="preserve">the </w:t>
      </w:r>
      <w:r>
        <w:rPr>
          <w:w w:val="90"/>
        </w:rPr>
        <w:t xml:space="preserve">freight task between Sydney and Brisbane, as well as a mix </w:t>
      </w:r>
      <w:r>
        <w:rPr>
          <w:w w:val="95"/>
        </w:rPr>
        <w:t>of</w:t>
      </w:r>
      <w:r>
        <w:rPr>
          <w:spacing w:val="-9"/>
          <w:w w:val="95"/>
        </w:rPr>
        <w:t xml:space="preserve"> </w:t>
      </w:r>
      <w:r>
        <w:rPr>
          <w:w w:val="95"/>
        </w:rPr>
        <w:t>long</w:t>
      </w:r>
      <w:r>
        <w:rPr>
          <w:spacing w:val="-9"/>
          <w:w w:val="95"/>
        </w:rPr>
        <w:t xml:space="preserve"> </w:t>
      </w:r>
      <w:r>
        <w:rPr>
          <w:w w:val="95"/>
        </w:rPr>
        <w:t>distance</w:t>
      </w:r>
      <w:r>
        <w:rPr>
          <w:spacing w:val="-9"/>
          <w:w w:val="95"/>
        </w:rPr>
        <w:t xml:space="preserve"> </w:t>
      </w:r>
      <w:r>
        <w:rPr>
          <w:w w:val="95"/>
        </w:rPr>
        <w:t>and</w:t>
      </w:r>
      <w:r>
        <w:rPr>
          <w:spacing w:val="-9"/>
          <w:w w:val="95"/>
        </w:rPr>
        <w:t xml:space="preserve"> </w:t>
      </w:r>
      <w:r>
        <w:rPr>
          <w:w w:val="95"/>
        </w:rPr>
        <w:t>local</w:t>
      </w:r>
      <w:r>
        <w:rPr>
          <w:spacing w:val="-9"/>
          <w:w w:val="95"/>
        </w:rPr>
        <w:t xml:space="preserve"> </w:t>
      </w:r>
      <w:r>
        <w:rPr>
          <w:w w:val="95"/>
        </w:rPr>
        <w:t>vehicle</w:t>
      </w:r>
      <w:r>
        <w:rPr>
          <w:spacing w:val="-9"/>
          <w:w w:val="95"/>
        </w:rPr>
        <w:t xml:space="preserve"> </w:t>
      </w:r>
      <w:r>
        <w:rPr>
          <w:w w:val="95"/>
        </w:rPr>
        <w:t>traffic.</w:t>
      </w:r>
      <w:r>
        <w:rPr>
          <w:spacing w:val="-9"/>
          <w:w w:val="95"/>
        </w:rPr>
        <w:t xml:space="preserve"> </w:t>
      </w:r>
      <w:r>
        <w:rPr>
          <w:w w:val="95"/>
        </w:rPr>
        <w:t>Road</w:t>
      </w:r>
      <w:r>
        <w:rPr>
          <w:spacing w:val="-9"/>
          <w:w w:val="95"/>
        </w:rPr>
        <w:t xml:space="preserve"> </w:t>
      </w:r>
      <w:r>
        <w:rPr>
          <w:w w:val="95"/>
        </w:rPr>
        <w:t>safety</w:t>
      </w:r>
      <w:r>
        <w:rPr>
          <w:spacing w:val="-9"/>
          <w:w w:val="95"/>
        </w:rPr>
        <w:t xml:space="preserve"> </w:t>
      </w:r>
      <w:r>
        <w:rPr>
          <w:w w:val="95"/>
        </w:rPr>
        <w:t>has been</w:t>
      </w:r>
      <w:r>
        <w:rPr>
          <w:spacing w:val="-9"/>
          <w:w w:val="95"/>
        </w:rPr>
        <w:t xml:space="preserve"> </w:t>
      </w:r>
      <w:r>
        <w:rPr>
          <w:w w:val="95"/>
        </w:rPr>
        <w:t>another</w:t>
      </w:r>
      <w:r>
        <w:rPr>
          <w:spacing w:val="-9"/>
          <w:w w:val="95"/>
        </w:rPr>
        <w:t xml:space="preserve"> </w:t>
      </w:r>
      <w:r>
        <w:rPr>
          <w:w w:val="95"/>
        </w:rPr>
        <w:t>major</w:t>
      </w:r>
      <w:r>
        <w:rPr>
          <w:spacing w:val="-9"/>
          <w:w w:val="95"/>
        </w:rPr>
        <w:t xml:space="preserve"> </w:t>
      </w:r>
      <w:r>
        <w:rPr>
          <w:w w:val="95"/>
        </w:rPr>
        <w:t>driver</w:t>
      </w:r>
      <w:r>
        <w:rPr>
          <w:spacing w:val="-9"/>
          <w:w w:val="95"/>
        </w:rPr>
        <w:t xml:space="preserve"> </w:t>
      </w:r>
      <w:r>
        <w:rPr>
          <w:w w:val="95"/>
        </w:rPr>
        <w:t>of</w:t>
      </w:r>
      <w:r>
        <w:rPr>
          <w:spacing w:val="-9"/>
          <w:w w:val="95"/>
        </w:rPr>
        <w:t xml:space="preserve"> </w:t>
      </w:r>
      <w:r>
        <w:rPr>
          <w:w w:val="95"/>
        </w:rPr>
        <w:t>investment</w:t>
      </w:r>
      <w:r>
        <w:rPr>
          <w:spacing w:val="-9"/>
          <w:w w:val="95"/>
        </w:rPr>
        <w:t xml:space="preserve"> </w:t>
      </w:r>
      <w:r>
        <w:rPr>
          <w:w w:val="95"/>
        </w:rPr>
        <w:t>in</w:t>
      </w:r>
      <w:r>
        <w:rPr>
          <w:spacing w:val="-9"/>
          <w:w w:val="95"/>
        </w:rPr>
        <w:t xml:space="preserve"> </w:t>
      </w:r>
      <w:r>
        <w:rPr>
          <w:w w:val="95"/>
        </w:rPr>
        <w:t>this</w:t>
      </w:r>
      <w:r>
        <w:rPr>
          <w:spacing w:val="-9"/>
          <w:w w:val="95"/>
        </w:rPr>
        <w:t xml:space="preserve"> </w:t>
      </w:r>
      <w:r>
        <w:rPr>
          <w:w w:val="95"/>
        </w:rPr>
        <w:t>corridor.</w:t>
      </w:r>
    </w:p>
    <w:p w:rsidR="002C1123" w:rsidRDefault="00F22F94">
      <w:pPr>
        <w:pStyle w:val="BodyText"/>
        <w:spacing w:before="145"/>
        <w:ind w:left="186"/>
      </w:pPr>
      <w:r>
        <w:rPr>
          <w:w w:val="95"/>
        </w:rPr>
        <w:t>As</w:t>
      </w:r>
      <w:r>
        <w:rPr>
          <w:spacing w:val="-9"/>
          <w:w w:val="95"/>
        </w:rPr>
        <w:t xml:space="preserve"> </w:t>
      </w:r>
      <w:r>
        <w:rPr>
          <w:w w:val="95"/>
        </w:rPr>
        <w:t>at</w:t>
      </w:r>
      <w:r>
        <w:rPr>
          <w:spacing w:val="-9"/>
          <w:w w:val="95"/>
        </w:rPr>
        <w:t xml:space="preserve"> </w:t>
      </w:r>
      <w:r>
        <w:rPr>
          <w:w w:val="95"/>
        </w:rPr>
        <w:t>April</w:t>
      </w:r>
      <w:r>
        <w:rPr>
          <w:spacing w:val="-8"/>
          <w:w w:val="95"/>
        </w:rPr>
        <w:t xml:space="preserve"> </w:t>
      </w:r>
      <w:r>
        <w:rPr>
          <w:w w:val="95"/>
        </w:rPr>
        <w:t>2012,</w:t>
      </w:r>
      <w:r>
        <w:rPr>
          <w:spacing w:val="-9"/>
          <w:w w:val="95"/>
        </w:rPr>
        <w:t xml:space="preserve"> </w:t>
      </w:r>
      <w:r>
        <w:rPr>
          <w:w w:val="95"/>
        </w:rPr>
        <w:t>52</w:t>
      </w:r>
      <w:r>
        <w:rPr>
          <w:spacing w:val="-9"/>
          <w:w w:val="95"/>
        </w:rPr>
        <w:t xml:space="preserve"> </w:t>
      </w:r>
      <w:r>
        <w:rPr>
          <w:w w:val="95"/>
        </w:rPr>
        <w:t>percent</w:t>
      </w:r>
      <w:r>
        <w:rPr>
          <w:spacing w:val="-8"/>
          <w:w w:val="95"/>
        </w:rPr>
        <w:t xml:space="preserve"> </w:t>
      </w:r>
      <w:r>
        <w:rPr>
          <w:w w:val="95"/>
        </w:rPr>
        <w:t>of</w:t>
      </w:r>
      <w:r>
        <w:rPr>
          <w:spacing w:val="-9"/>
          <w:w w:val="95"/>
        </w:rPr>
        <w:t xml:space="preserve"> </w:t>
      </w:r>
      <w:r>
        <w:rPr>
          <w:w w:val="95"/>
        </w:rPr>
        <w:t>the</w:t>
      </w:r>
      <w:r>
        <w:rPr>
          <w:spacing w:val="-9"/>
          <w:w w:val="95"/>
        </w:rPr>
        <w:t xml:space="preserve"> </w:t>
      </w:r>
      <w:r>
        <w:rPr>
          <w:spacing w:val="-2"/>
          <w:w w:val="95"/>
        </w:rPr>
        <w:t>Highway</w:t>
      </w:r>
    </w:p>
    <w:p w:rsidR="002C1123" w:rsidRDefault="00F22F94">
      <w:pPr>
        <w:pStyle w:val="BodyText"/>
        <w:spacing w:before="11" w:line="249" w:lineRule="auto"/>
        <w:ind w:left="186" w:right="769"/>
      </w:pPr>
      <w:r>
        <w:rPr>
          <w:w w:val="95"/>
        </w:rPr>
        <w:t>(346</w:t>
      </w:r>
      <w:r>
        <w:rPr>
          <w:spacing w:val="-5"/>
          <w:w w:val="95"/>
        </w:rPr>
        <w:t xml:space="preserve"> </w:t>
      </w:r>
      <w:r>
        <w:rPr>
          <w:w w:val="95"/>
        </w:rPr>
        <w:t>kilometre)</w:t>
      </w:r>
      <w:r>
        <w:rPr>
          <w:spacing w:val="-5"/>
          <w:w w:val="95"/>
        </w:rPr>
        <w:t xml:space="preserve"> </w:t>
      </w:r>
      <w:r>
        <w:rPr>
          <w:w w:val="95"/>
        </w:rPr>
        <w:t>had</w:t>
      </w:r>
      <w:r>
        <w:rPr>
          <w:spacing w:val="-5"/>
          <w:w w:val="95"/>
        </w:rPr>
        <w:t xml:space="preserve"> </w:t>
      </w:r>
      <w:r>
        <w:rPr>
          <w:w w:val="95"/>
        </w:rPr>
        <w:t>been</w:t>
      </w:r>
      <w:r>
        <w:rPr>
          <w:spacing w:val="-5"/>
          <w:w w:val="95"/>
        </w:rPr>
        <w:t xml:space="preserve"> </w:t>
      </w:r>
      <w:r>
        <w:rPr>
          <w:w w:val="95"/>
        </w:rPr>
        <w:t>upgraded</w:t>
      </w:r>
      <w:r>
        <w:rPr>
          <w:spacing w:val="-5"/>
          <w:w w:val="95"/>
        </w:rPr>
        <w:t xml:space="preserve"> </w:t>
      </w:r>
      <w:r>
        <w:rPr>
          <w:w w:val="95"/>
        </w:rPr>
        <w:t>to</w:t>
      </w:r>
      <w:r>
        <w:rPr>
          <w:spacing w:val="-5"/>
          <w:w w:val="95"/>
        </w:rPr>
        <w:t xml:space="preserve"> </w:t>
      </w:r>
      <w:r>
        <w:rPr>
          <w:w w:val="95"/>
        </w:rPr>
        <w:t>dual</w:t>
      </w:r>
      <w:r>
        <w:rPr>
          <w:spacing w:val="-5"/>
          <w:w w:val="95"/>
        </w:rPr>
        <w:t xml:space="preserve"> </w:t>
      </w:r>
      <w:r>
        <w:rPr>
          <w:w w:val="95"/>
        </w:rPr>
        <w:t xml:space="preserve">carriageway </w:t>
      </w:r>
      <w:r>
        <w:t>and</w:t>
      </w:r>
      <w:r>
        <w:rPr>
          <w:spacing w:val="-14"/>
        </w:rPr>
        <w:t xml:space="preserve"> </w:t>
      </w:r>
      <w:r>
        <w:t>another</w:t>
      </w:r>
      <w:r>
        <w:rPr>
          <w:spacing w:val="-14"/>
        </w:rPr>
        <w:t xml:space="preserve"> </w:t>
      </w:r>
      <w:r>
        <w:t>nine</w:t>
      </w:r>
      <w:r>
        <w:rPr>
          <w:spacing w:val="-14"/>
        </w:rPr>
        <w:t xml:space="preserve"> </w:t>
      </w:r>
      <w:r>
        <w:t>percent</w:t>
      </w:r>
      <w:r>
        <w:rPr>
          <w:spacing w:val="-14"/>
        </w:rPr>
        <w:t xml:space="preserve"> </w:t>
      </w:r>
      <w:r>
        <w:t>(60</w:t>
      </w:r>
      <w:r>
        <w:rPr>
          <w:spacing w:val="-14"/>
        </w:rPr>
        <w:t xml:space="preserve"> </w:t>
      </w:r>
      <w:r>
        <w:t>kilometre)</w:t>
      </w:r>
      <w:r>
        <w:rPr>
          <w:spacing w:val="-14"/>
        </w:rPr>
        <w:t xml:space="preserve"> </w:t>
      </w:r>
      <w:r>
        <w:t>was</w:t>
      </w:r>
      <w:r>
        <w:rPr>
          <w:spacing w:val="-14"/>
        </w:rPr>
        <w:t xml:space="preserve"> </w:t>
      </w:r>
      <w:r>
        <w:t>under construction.</w:t>
      </w:r>
      <w:r>
        <w:rPr>
          <w:spacing w:val="-13"/>
        </w:rPr>
        <w:t xml:space="preserve"> </w:t>
      </w:r>
      <w:r>
        <w:t>A</w:t>
      </w:r>
      <w:r>
        <w:rPr>
          <w:spacing w:val="-13"/>
        </w:rPr>
        <w:t xml:space="preserve"> </w:t>
      </w:r>
      <w:r>
        <w:t>further</w:t>
      </w:r>
      <w:r>
        <w:rPr>
          <w:spacing w:val="-13"/>
        </w:rPr>
        <w:t xml:space="preserve"> </w:t>
      </w:r>
      <w:r>
        <w:t>$7.7</w:t>
      </w:r>
      <w:r>
        <w:rPr>
          <w:spacing w:val="-13"/>
        </w:rPr>
        <w:t xml:space="preserve"> </w:t>
      </w:r>
      <w:r>
        <w:t>billion</w:t>
      </w:r>
      <w:r>
        <w:rPr>
          <w:spacing w:val="-13"/>
        </w:rPr>
        <w:t xml:space="preserve"> </w:t>
      </w:r>
      <w:r>
        <w:t>is</w:t>
      </w:r>
      <w:r>
        <w:rPr>
          <w:spacing w:val="-13"/>
        </w:rPr>
        <w:t xml:space="preserve"> </w:t>
      </w:r>
      <w:r>
        <w:t>forecast</w:t>
      </w:r>
      <w:r>
        <w:rPr>
          <w:spacing w:val="-13"/>
        </w:rPr>
        <w:t xml:space="preserve"> </w:t>
      </w:r>
      <w:r>
        <w:t>to</w:t>
      </w:r>
      <w:r>
        <w:rPr>
          <w:spacing w:val="-13"/>
        </w:rPr>
        <w:t xml:space="preserve"> </w:t>
      </w:r>
      <w:r>
        <w:t>be needed</w:t>
      </w:r>
      <w:r>
        <w:rPr>
          <w:spacing w:val="-14"/>
        </w:rPr>
        <w:t xml:space="preserve"> </w:t>
      </w:r>
      <w:r>
        <w:t>for</w:t>
      </w:r>
      <w:r>
        <w:rPr>
          <w:spacing w:val="-14"/>
        </w:rPr>
        <w:t xml:space="preserve"> </w:t>
      </w:r>
      <w:r>
        <w:t>remaining</w:t>
      </w:r>
      <w:r>
        <w:rPr>
          <w:spacing w:val="-13"/>
        </w:rPr>
        <w:t xml:space="preserve"> </w:t>
      </w:r>
      <w:r>
        <w:t>unfunded</w:t>
      </w:r>
      <w:r>
        <w:rPr>
          <w:spacing w:val="-14"/>
        </w:rPr>
        <w:t xml:space="preserve"> </w:t>
      </w:r>
      <w:r>
        <w:t>works</w:t>
      </w:r>
      <w:r>
        <w:rPr>
          <w:spacing w:val="-14"/>
        </w:rPr>
        <w:t xml:space="preserve"> </w:t>
      </w:r>
      <w:r>
        <w:t>(giving</w:t>
      </w:r>
      <w:r>
        <w:rPr>
          <w:spacing w:val="-13"/>
        </w:rPr>
        <w:t xml:space="preserve"> </w:t>
      </w:r>
      <w:r>
        <w:t>a</w:t>
      </w:r>
      <w:r>
        <w:rPr>
          <w:spacing w:val="-14"/>
        </w:rPr>
        <w:t xml:space="preserve"> </w:t>
      </w:r>
      <w:r>
        <w:t>total program</w:t>
      </w:r>
      <w:r>
        <w:rPr>
          <w:spacing w:val="-14"/>
        </w:rPr>
        <w:t xml:space="preserve"> </w:t>
      </w:r>
      <w:r>
        <w:t>cost</w:t>
      </w:r>
      <w:r>
        <w:rPr>
          <w:spacing w:val="-14"/>
        </w:rPr>
        <w:t xml:space="preserve"> </w:t>
      </w:r>
      <w:r>
        <w:t>of</w:t>
      </w:r>
      <w:r>
        <w:rPr>
          <w:spacing w:val="-14"/>
        </w:rPr>
        <w:t xml:space="preserve"> </w:t>
      </w:r>
      <w:r>
        <w:t>over</w:t>
      </w:r>
      <w:r>
        <w:rPr>
          <w:spacing w:val="-14"/>
        </w:rPr>
        <w:t xml:space="preserve"> </w:t>
      </w:r>
      <w:r>
        <w:t>$16</w:t>
      </w:r>
      <w:r>
        <w:rPr>
          <w:spacing w:val="-14"/>
        </w:rPr>
        <w:t xml:space="preserve"> </w:t>
      </w:r>
      <w:r>
        <w:t>billion).</w:t>
      </w:r>
      <w:r>
        <w:rPr>
          <w:spacing w:val="-14"/>
        </w:rPr>
        <w:t xml:space="preserve"> </w:t>
      </w:r>
      <w:r>
        <w:t>The</w:t>
      </w:r>
      <w:r>
        <w:rPr>
          <w:spacing w:val="-14"/>
        </w:rPr>
        <w:t xml:space="preserve"> </w:t>
      </w:r>
      <w:r>
        <w:t>NSW</w:t>
      </w:r>
      <w:r>
        <w:rPr>
          <w:spacing w:val="-14"/>
        </w:rPr>
        <w:t xml:space="preserve"> </w:t>
      </w:r>
      <w:r>
        <w:t xml:space="preserve">and </w:t>
      </w:r>
      <w:r>
        <w:rPr>
          <w:w w:val="95"/>
        </w:rPr>
        <w:t xml:space="preserve">Commonwealth Governments are in discussion around </w:t>
      </w:r>
      <w:r>
        <w:t>funding options for remaining works.</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291" w:space="40"/>
            <w:col w:w="4988" w:space="39"/>
            <w:col w:w="5702"/>
          </w:cols>
        </w:sectPr>
      </w:pPr>
    </w:p>
    <w:p w:rsidR="002C1123" w:rsidRDefault="002C1123">
      <w:pPr>
        <w:pStyle w:val="BodyText"/>
        <w:spacing w:before="8"/>
        <w:rPr>
          <w:sz w:val="16"/>
        </w:rPr>
      </w:pPr>
    </w:p>
    <w:p w:rsidR="002C1123" w:rsidRDefault="002060EF">
      <w:pPr>
        <w:tabs>
          <w:tab w:val="left" w:pos="5518"/>
        </w:tabs>
        <w:spacing w:line="20" w:lineRule="exact"/>
        <w:ind w:left="492"/>
        <w:rPr>
          <w:sz w:val="2"/>
        </w:rPr>
      </w:pPr>
      <w:r>
        <w:rPr>
          <w:sz w:val="2"/>
        </w:rPr>
      </w:r>
      <w:r>
        <w:rPr>
          <w:sz w:val="2"/>
        </w:rPr>
        <w:pict>
          <v:group id="docshapegroup1921" o:spid="_x0000_s3162" style="width:1in;height:.5pt;mso-position-horizontal-relative:char;mso-position-vertical-relative:line" coordsize="1440,10">
            <v:line id="_x0000_s3163" style="position:absolute" from="0,5" to="1440,5" strokecolor="#9c9c9d" strokeweight=".5pt"/>
            <w10:anchorlock/>
          </v:group>
        </w:pict>
      </w:r>
      <w:r w:rsidR="00F22F94">
        <w:rPr>
          <w:sz w:val="2"/>
        </w:rPr>
        <w:tab/>
      </w:r>
      <w:r>
        <w:rPr>
          <w:sz w:val="2"/>
        </w:rPr>
      </w:r>
      <w:r>
        <w:rPr>
          <w:sz w:val="2"/>
        </w:rPr>
        <w:pict>
          <v:group id="docshapegroup1922" o:spid="_x0000_s3160" style="width:1in;height:.5pt;mso-position-horizontal-relative:char;mso-position-vertical-relative:line" coordsize="1440,10">
            <v:line id="_x0000_s3161" style="position:absolute" from="0,5" to="1440,5" strokecolor="#9c9c9d" strokeweight=".5pt"/>
            <w10:anchorlock/>
          </v:group>
        </w:pict>
      </w:r>
    </w:p>
    <w:p w:rsidR="002C1123" w:rsidRDefault="002C1123">
      <w:pPr>
        <w:spacing w:line="20" w:lineRule="exact"/>
        <w:rPr>
          <w:sz w:val="2"/>
        </w:rPr>
        <w:sectPr w:rsidR="002C1123">
          <w:type w:val="continuous"/>
          <w:pgSz w:w="16840" w:h="11910" w:orient="landscape"/>
          <w:pgMar w:top="560" w:right="280" w:bottom="280" w:left="500" w:header="0" w:footer="517" w:gutter="0"/>
          <w:cols w:space="720"/>
        </w:sectPr>
      </w:pPr>
    </w:p>
    <w:p w:rsidR="002C1123" w:rsidRDefault="00F22F94">
      <w:pPr>
        <w:pStyle w:val="ListParagraph"/>
        <w:numPr>
          <w:ilvl w:val="0"/>
          <w:numId w:val="73"/>
        </w:numPr>
        <w:tabs>
          <w:tab w:val="left" w:pos="691"/>
        </w:tabs>
        <w:spacing w:before="8" w:line="161" w:lineRule="exact"/>
        <w:ind w:left="690"/>
        <w:jc w:val="left"/>
        <w:rPr>
          <w:sz w:val="14"/>
        </w:rPr>
      </w:pPr>
      <w:r>
        <w:rPr>
          <w:w w:val="95"/>
          <w:sz w:val="14"/>
        </w:rPr>
        <w:t>Saha</w:t>
      </w:r>
      <w:r>
        <w:rPr>
          <w:spacing w:val="-1"/>
          <w:w w:val="95"/>
          <w:sz w:val="14"/>
        </w:rPr>
        <w:t xml:space="preserve"> </w:t>
      </w:r>
      <w:r>
        <w:rPr>
          <w:w w:val="95"/>
          <w:sz w:val="14"/>
        </w:rPr>
        <w:t>International</w:t>
      </w:r>
      <w:r>
        <w:rPr>
          <w:spacing w:val="-2"/>
          <w:sz w:val="14"/>
        </w:rPr>
        <w:t xml:space="preserve"> </w:t>
      </w:r>
      <w:r>
        <w:rPr>
          <w:w w:val="95"/>
          <w:sz w:val="14"/>
        </w:rPr>
        <w:t>2008,</w:t>
      </w:r>
      <w:r>
        <w:rPr>
          <w:spacing w:val="-2"/>
          <w:sz w:val="14"/>
        </w:rPr>
        <w:t xml:space="preserve"> </w:t>
      </w:r>
      <w:r>
        <w:rPr>
          <w:w w:val="95"/>
          <w:sz w:val="14"/>
        </w:rPr>
        <w:t>Innovation</w:t>
      </w:r>
      <w:r>
        <w:rPr>
          <w:spacing w:val="-2"/>
          <w:sz w:val="14"/>
        </w:rPr>
        <w:t xml:space="preserve"> </w:t>
      </w:r>
      <w:r>
        <w:rPr>
          <w:w w:val="95"/>
          <w:sz w:val="14"/>
        </w:rPr>
        <w:t>in</w:t>
      </w:r>
      <w:r>
        <w:rPr>
          <w:spacing w:val="-2"/>
          <w:sz w:val="14"/>
        </w:rPr>
        <w:t xml:space="preserve"> </w:t>
      </w:r>
      <w:r>
        <w:rPr>
          <w:w w:val="95"/>
          <w:sz w:val="14"/>
        </w:rPr>
        <w:t>the</w:t>
      </w:r>
      <w:r>
        <w:rPr>
          <w:spacing w:val="-2"/>
          <w:sz w:val="14"/>
        </w:rPr>
        <w:t xml:space="preserve"> </w:t>
      </w:r>
      <w:r>
        <w:rPr>
          <w:w w:val="95"/>
          <w:sz w:val="14"/>
        </w:rPr>
        <w:t>NSW</w:t>
      </w:r>
      <w:r>
        <w:rPr>
          <w:spacing w:val="-2"/>
          <w:sz w:val="14"/>
        </w:rPr>
        <w:t xml:space="preserve"> </w:t>
      </w:r>
      <w:r>
        <w:rPr>
          <w:w w:val="95"/>
          <w:sz w:val="14"/>
        </w:rPr>
        <w:t>Freight</w:t>
      </w:r>
      <w:r>
        <w:rPr>
          <w:spacing w:val="-2"/>
          <w:sz w:val="14"/>
        </w:rPr>
        <w:t xml:space="preserve"> </w:t>
      </w:r>
      <w:r>
        <w:rPr>
          <w:w w:val="95"/>
          <w:sz w:val="14"/>
        </w:rPr>
        <w:t>Logistics</w:t>
      </w:r>
      <w:r>
        <w:rPr>
          <w:spacing w:val="-2"/>
          <w:sz w:val="14"/>
        </w:rPr>
        <w:t xml:space="preserve"> </w:t>
      </w:r>
      <w:r>
        <w:rPr>
          <w:spacing w:val="-2"/>
          <w:w w:val="95"/>
          <w:sz w:val="14"/>
        </w:rPr>
        <w:t>Industry.</w:t>
      </w:r>
    </w:p>
    <w:p w:rsidR="002C1123" w:rsidRDefault="00F22F94">
      <w:pPr>
        <w:pStyle w:val="ListParagraph"/>
        <w:numPr>
          <w:ilvl w:val="0"/>
          <w:numId w:val="73"/>
        </w:numPr>
        <w:tabs>
          <w:tab w:val="left" w:pos="691"/>
        </w:tabs>
        <w:spacing w:line="161" w:lineRule="exact"/>
        <w:ind w:left="690"/>
        <w:jc w:val="left"/>
        <w:rPr>
          <w:sz w:val="14"/>
        </w:rPr>
      </w:pPr>
      <w:r>
        <w:rPr>
          <w:w w:val="95"/>
          <w:sz w:val="14"/>
        </w:rPr>
        <w:t>Sydney</w:t>
      </w:r>
      <w:r>
        <w:rPr>
          <w:spacing w:val="7"/>
          <w:sz w:val="14"/>
        </w:rPr>
        <w:t xml:space="preserve"> </w:t>
      </w:r>
      <w:r>
        <w:rPr>
          <w:w w:val="95"/>
          <w:sz w:val="14"/>
        </w:rPr>
        <w:t>Ports</w:t>
      </w:r>
      <w:r>
        <w:rPr>
          <w:spacing w:val="7"/>
          <w:sz w:val="14"/>
        </w:rPr>
        <w:t xml:space="preserve"> </w:t>
      </w:r>
      <w:r>
        <w:rPr>
          <w:w w:val="95"/>
          <w:sz w:val="14"/>
        </w:rPr>
        <w:t>Corporation</w:t>
      </w:r>
      <w:r>
        <w:rPr>
          <w:spacing w:val="8"/>
          <w:sz w:val="14"/>
        </w:rPr>
        <w:t xml:space="preserve"> </w:t>
      </w:r>
      <w:r>
        <w:rPr>
          <w:spacing w:val="-2"/>
          <w:w w:val="95"/>
          <w:sz w:val="14"/>
        </w:rPr>
        <w:t>2011.</w:t>
      </w:r>
    </w:p>
    <w:p w:rsidR="002C1123" w:rsidRDefault="00F22F94">
      <w:pPr>
        <w:pStyle w:val="ListParagraph"/>
        <w:numPr>
          <w:ilvl w:val="0"/>
          <w:numId w:val="73"/>
        </w:numPr>
        <w:tabs>
          <w:tab w:val="left" w:pos="561"/>
        </w:tabs>
        <w:spacing w:before="8"/>
        <w:ind w:left="560" w:right="5942"/>
        <w:jc w:val="left"/>
        <w:rPr>
          <w:sz w:val="14"/>
        </w:rPr>
      </w:pPr>
      <w:r>
        <w:br w:type="column"/>
      </w:r>
      <w:r>
        <w:rPr>
          <w:w w:val="95"/>
          <w:sz w:val="14"/>
        </w:rPr>
        <w:t>Roads</w:t>
      </w:r>
      <w:r>
        <w:rPr>
          <w:spacing w:val="-1"/>
          <w:w w:val="95"/>
          <w:sz w:val="14"/>
        </w:rPr>
        <w:t xml:space="preserve"> </w:t>
      </w:r>
      <w:r>
        <w:rPr>
          <w:w w:val="95"/>
          <w:sz w:val="14"/>
        </w:rPr>
        <w:t>&amp;</w:t>
      </w:r>
      <w:r>
        <w:rPr>
          <w:spacing w:val="-1"/>
          <w:w w:val="95"/>
          <w:sz w:val="14"/>
        </w:rPr>
        <w:t xml:space="preserve"> </w:t>
      </w:r>
      <w:r>
        <w:rPr>
          <w:w w:val="95"/>
          <w:sz w:val="14"/>
        </w:rPr>
        <w:t>Maritime</w:t>
      </w:r>
      <w:r>
        <w:rPr>
          <w:spacing w:val="-1"/>
          <w:w w:val="95"/>
          <w:sz w:val="14"/>
        </w:rPr>
        <w:t xml:space="preserve"> </w:t>
      </w:r>
      <w:r>
        <w:rPr>
          <w:w w:val="95"/>
          <w:sz w:val="14"/>
        </w:rPr>
        <w:t>Services</w:t>
      </w:r>
      <w:r>
        <w:rPr>
          <w:spacing w:val="-1"/>
          <w:w w:val="95"/>
          <w:sz w:val="14"/>
        </w:rPr>
        <w:t xml:space="preserve"> </w:t>
      </w:r>
      <w:r>
        <w:rPr>
          <w:w w:val="95"/>
          <w:sz w:val="14"/>
        </w:rPr>
        <w:t>2011,</w:t>
      </w:r>
      <w:r>
        <w:rPr>
          <w:spacing w:val="-1"/>
          <w:w w:val="95"/>
          <w:sz w:val="14"/>
        </w:rPr>
        <w:t xml:space="preserve"> </w:t>
      </w:r>
      <w:r>
        <w:rPr>
          <w:w w:val="95"/>
          <w:sz w:val="14"/>
        </w:rPr>
        <w:t>Bells</w:t>
      </w:r>
      <w:r>
        <w:rPr>
          <w:spacing w:val="-1"/>
          <w:w w:val="95"/>
          <w:sz w:val="14"/>
        </w:rPr>
        <w:t xml:space="preserve"> </w:t>
      </w:r>
      <w:r>
        <w:rPr>
          <w:w w:val="95"/>
          <w:sz w:val="14"/>
        </w:rPr>
        <w:t>Line</w:t>
      </w:r>
      <w:r>
        <w:rPr>
          <w:spacing w:val="-1"/>
          <w:w w:val="95"/>
          <w:sz w:val="14"/>
        </w:rPr>
        <w:t xml:space="preserve"> </w:t>
      </w:r>
      <w:r>
        <w:rPr>
          <w:w w:val="95"/>
          <w:sz w:val="14"/>
        </w:rPr>
        <w:t>of</w:t>
      </w:r>
      <w:r>
        <w:rPr>
          <w:spacing w:val="-1"/>
          <w:w w:val="95"/>
          <w:sz w:val="14"/>
        </w:rPr>
        <w:t xml:space="preserve"> </w:t>
      </w:r>
      <w:r>
        <w:rPr>
          <w:w w:val="95"/>
          <w:sz w:val="14"/>
        </w:rPr>
        <w:t>Road:</w:t>
      </w:r>
      <w:r>
        <w:rPr>
          <w:spacing w:val="-1"/>
          <w:w w:val="95"/>
          <w:sz w:val="14"/>
        </w:rPr>
        <w:t xml:space="preserve"> </w:t>
      </w:r>
      <w:r>
        <w:rPr>
          <w:w w:val="95"/>
          <w:sz w:val="14"/>
        </w:rPr>
        <w:t>Long</w:t>
      </w:r>
      <w:r>
        <w:rPr>
          <w:spacing w:val="-1"/>
          <w:w w:val="95"/>
          <w:sz w:val="14"/>
        </w:rPr>
        <w:t xml:space="preserve"> </w:t>
      </w:r>
      <w:r>
        <w:rPr>
          <w:w w:val="95"/>
          <w:sz w:val="14"/>
        </w:rPr>
        <w:t>Term</w:t>
      </w:r>
      <w:r>
        <w:rPr>
          <w:spacing w:val="-2"/>
          <w:w w:val="95"/>
          <w:sz w:val="14"/>
        </w:rPr>
        <w:t xml:space="preserve"> </w:t>
      </w:r>
      <w:r>
        <w:rPr>
          <w:w w:val="95"/>
          <w:sz w:val="14"/>
        </w:rPr>
        <w:t>Strategic</w:t>
      </w:r>
      <w:r>
        <w:rPr>
          <w:spacing w:val="40"/>
          <w:sz w:val="14"/>
        </w:rPr>
        <w:t xml:space="preserve"> </w:t>
      </w:r>
      <w:r>
        <w:rPr>
          <w:sz w:val="14"/>
        </w:rPr>
        <w:t>Corridor</w:t>
      </w:r>
      <w:r>
        <w:rPr>
          <w:spacing w:val="-10"/>
          <w:sz w:val="14"/>
        </w:rPr>
        <w:t xml:space="preserve"> </w:t>
      </w:r>
      <w:r>
        <w:rPr>
          <w:sz w:val="14"/>
        </w:rPr>
        <w:t>Plan.</w:t>
      </w:r>
    </w:p>
    <w:p w:rsidR="002C1123" w:rsidRDefault="002C1123">
      <w:pPr>
        <w:rPr>
          <w:sz w:val="14"/>
        </w:rPr>
        <w:sectPr w:rsidR="002C1123">
          <w:type w:val="continuous"/>
          <w:pgSz w:w="16840" w:h="11910" w:orient="landscape"/>
          <w:pgMar w:top="560" w:right="280" w:bottom="280" w:left="500" w:header="0" w:footer="517" w:gutter="0"/>
          <w:cols w:num="2" w:space="720" w:equalWidth="0">
            <w:col w:w="5117" w:space="40"/>
            <w:col w:w="10903"/>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3"/>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Heading6"/>
        <w:ind w:left="492"/>
      </w:pPr>
      <w:bookmarkStart w:id="290" w:name="_bookmark206"/>
      <w:bookmarkEnd w:id="290"/>
      <w:r>
        <w:t>Scope</w:t>
      </w:r>
      <w:r>
        <w:rPr>
          <w:spacing w:val="-10"/>
        </w:rPr>
        <w:t xml:space="preserve"> </w:t>
      </w:r>
      <w:r>
        <w:t>of</w:t>
      </w:r>
      <w:r>
        <w:rPr>
          <w:spacing w:val="-10"/>
        </w:rPr>
        <w:t xml:space="preserve"> </w:t>
      </w:r>
      <w:r>
        <w:t>Remaining</w:t>
      </w:r>
      <w:r>
        <w:rPr>
          <w:spacing w:val="-10"/>
        </w:rPr>
        <w:t xml:space="preserve"> </w:t>
      </w:r>
      <w:r>
        <w:rPr>
          <w:spacing w:val="-4"/>
        </w:rPr>
        <w:t>Work</w:t>
      </w:r>
    </w:p>
    <w:p w:rsidR="002C1123" w:rsidRDefault="00F22F94">
      <w:pPr>
        <w:pStyle w:val="BodyText"/>
        <w:spacing w:before="10" w:line="249" w:lineRule="auto"/>
        <w:ind w:left="492"/>
      </w:pPr>
      <w:r>
        <w:rPr>
          <w:w w:val="95"/>
        </w:rPr>
        <w:t>The</w:t>
      </w:r>
      <w:r>
        <w:rPr>
          <w:spacing w:val="-7"/>
          <w:w w:val="95"/>
        </w:rPr>
        <w:t xml:space="preserve"> </w:t>
      </w:r>
      <w:r>
        <w:rPr>
          <w:w w:val="95"/>
        </w:rPr>
        <w:t>remaining</w:t>
      </w:r>
      <w:r>
        <w:rPr>
          <w:spacing w:val="-7"/>
          <w:w w:val="95"/>
        </w:rPr>
        <w:t xml:space="preserve"> </w:t>
      </w:r>
      <w:r>
        <w:rPr>
          <w:w w:val="95"/>
        </w:rPr>
        <w:t>undivided</w:t>
      </w:r>
      <w:r>
        <w:rPr>
          <w:spacing w:val="-7"/>
          <w:w w:val="95"/>
        </w:rPr>
        <w:t xml:space="preserve"> </w:t>
      </w:r>
      <w:r>
        <w:rPr>
          <w:w w:val="95"/>
        </w:rPr>
        <w:t>sections</w:t>
      </w:r>
      <w:r>
        <w:rPr>
          <w:spacing w:val="-7"/>
          <w:w w:val="95"/>
        </w:rPr>
        <w:t xml:space="preserve"> </w:t>
      </w:r>
      <w:r>
        <w:rPr>
          <w:w w:val="95"/>
        </w:rPr>
        <w:t>of</w:t>
      </w:r>
      <w:r>
        <w:rPr>
          <w:spacing w:val="-7"/>
          <w:w w:val="95"/>
        </w:rPr>
        <w:t xml:space="preserve"> </w:t>
      </w:r>
      <w:r>
        <w:rPr>
          <w:w w:val="95"/>
        </w:rPr>
        <w:t>the</w:t>
      </w:r>
      <w:r>
        <w:rPr>
          <w:spacing w:val="-7"/>
          <w:w w:val="95"/>
        </w:rPr>
        <w:t xml:space="preserve"> </w:t>
      </w:r>
      <w:r>
        <w:rPr>
          <w:w w:val="95"/>
        </w:rPr>
        <w:t>Pacific</w:t>
      </w:r>
      <w:r>
        <w:rPr>
          <w:spacing w:val="-7"/>
          <w:w w:val="95"/>
        </w:rPr>
        <w:t xml:space="preserve"> </w:t>
      </w:r>
      <w:r>
        <w:rPr>
          <w:w w:val="95"/>
        </w:rPr>
        <w:t xml:space="preserve">Highway </w:t>
      </w:r>
      <w:r>
        <w:t>comprise two main sections:</w:t>
      </w:r>
    </w:p>
    <w:p w:rsidR="002C1123" w:rsidRDefault="00F22F94">
      <w:pPr>
        <w:pStyle w:val="ListParagraph"/>
        <w:numPr>
          <w:ilvl w:val="1"/>
          <w:numId w:val="73"/>
        </w:numPr>
        <w:tabs>
          <w:tab w:val="left" w:pos="776"/>
        </w:tabs>
        <w:spacing w:before="74"/>
        <w:rPr>
          <w:rFonts w:ascii="Tahoma" w:hAnsi="Tahoma"/>
          <w:sz w:val="20"/>
        </w:rPr>
      </w:pPr>
      <w:r>
        <w:rPr>
          <w:w w:val="95"/>
          <w:sz w:val="20"/>
        </w:rPr>
        <w:t>Port</w:t>
      </w:r>
      <w:r>
        <w:rPr>
          <w:spacing w:val="-3"/>
          <w:sz w:val="20"/>
        </w:rPr>
        <w:t xml:space="preserve"> </w:t>
      </w:r>
      <w:r>
        <w:rPr>
          <w:w w:val="95"/>
          <w:sz w:val="20"/>
        </w:rPr>
        <w:t>Macquarie</w:t>
      </w:r>
      <w:r>
        <w:rPr>
          <w:spacing w:val="-2"/>
          <w:sz w:val="20"/>
        </w:rPr>
        <w:t xml:space="preserve"> </w:t>
      </w:r>
      <w:r>
        <w:rPr>
          <w:w w:val="95"/>
          <w:sz w:val="20"/>
        </w:rPr>
        <w:t>to</w:t>
      </w:r>
      <w:r>
        <w:rPr>
          <w:spacing w:val="-3"/>
          <w:sz w:val="20"/>
        </w:rPr>
        <w:t xml:space="preserve"> </w:t>
      </w:r>
      <w:r>
        <w:rPr>
          <w:spacing w:val="-2"/>
          <w:w w:val="95"/>
          <w:sz w:val="20"/>
        </w:rPr>
        <w:t>Urunga</w:t>
      </w:r>
    </w:p>
    <w:p w:rsidR="002C1123" w:rsidRDefault="00F22F94">
      <w:pPr>
        <w:pStyle w:val="ListParagraph"/>
        <w:numPr>
          <w:ilvl w:val="1"/>
          <w:numId w:val="73"/>
        </w:numPr>
        <w:tabs>
          <w:tab w:val="left" w:pos="776"/>
        </w:tabs>
        <w:spacing w:before="82"/>
        <w:rPr>
          <w:rFonts w:ascii="Tahoma" w:hAnsi="Tahoma"/>
          <w:sz w:val="20"/>
        </w:rPr>
      </w:pPr>
      <w:r>
        <w:rPr>
          <w:w w:val="95"/>
          <w:sz w:val="20"/>
        </w:rPr>
        <w:t>Woolgoolga</w:t>
      </w:r>
      <w:r>
        <w:rPr>
          <w:spacing w:val="-3"/>
          <w:w w:val="95"/>
          <w:sz w:val="20"/>
        </w:rPr>
        <w:t xml:space="preserve"> </w:t>
      </w:r>
      <w:r>
        <w:rPr>
          <w:w w:val="95"/>
          <w:sz w:val="20"/>
        </w:rPr>
        <w:t>to</w:t>
      </w:r>
      <w:r>
        <w:rPr>
          <w:spacing w:val="-2"/>
          <w:w w:val="95"/>
          <w:sz w:val="20"/>
        </w:rPr>
        <w:t xml:space="preserve"> Ballina</w:t>
      </w:r>
    </w:p>
    <w:p w:rsidR="002C1123" w:rsidRDefault="00F22F94">
      <w:pPr>
        <w:pStyle w:val="BodyText"/>
        <w:spacing w:before="96" w:line="249" w:lineRule="auto"/>
        <w:ind w:left="492" w:right="183"/>
      </w:pPr>
      <w:r>
        <w:t>The</w:t>
      </w:r>
      <w:r>
        <w:rPr>
          <w:spacing w:val="-10"/>
        </w:rPr>
        <w:t xml:space="preserve"> </w:t>
      </w:r>
      <w:r>
        <w:t>economic</w:t>
      </w:r>
      <w:r>
        <w:rPr>
          <w:spacing w:val="-10"/>
        </w:rPr>
        <w:t xml:space="preserve"> </w:t>
      </w:r>
      <w:r>
        <w:t>merit</w:t>
      </w:r>
      <w:r>
        <w:rPr>
          <w:spacing w:val="-10"/>
        </w:rPr>
        <w:t xml:space="preserve"> </w:t>
      </w:r>
      <w:r>
        <w:t>of</w:t>
      </w:r>
      <w:r>
        <w:rPr>
          <w:spacing w:val="-10"/>
        </w:rPr>
        <w:t xml:space="preserve"> </w:t>
      </w:r>
      <w:r>
        <w:t>the</w:t>
      </w:r>
      <w:r>
        <w:rPr>
          <w:spacing w:val="-10"/>
        </w:rPr>
        <w:t xml:space="preserve"> </w:t>
      </w:r>
      <w:r>
        <w:t>remaining</w:t>
      </w:r>
      <w:r>
        <w:rPr>
          <w:spacing w:val="-10"/>
        </w:rPr>
        <w:t xml:space="preserve"> </w:t>
      </w:r>
      <w:r>
        <w:t>sections</w:t>
      </w:r>
      <w:r>
        <w:rPr>
          <w:spacing w:val="-10"/>
        </w:rPr>
        <w:t xml:space="preserve"> </w:t>
      </w:r>
      <w:r>
        <w:t xml:space="preserve">is </w:t>
      </w:r>
      <w:r>
        <w:rPr>
          <w:w w:val="95"/>
        </w:rPr>
        <w:t>much</w:t>
      </w:r>
      <w:r>
        <w:rPr>
          <w:spacing w:val="-9"/>
          <w:w w:val="95"/>
        </w:rPr>
        <w:t xml:space="preserve"> </w:t>
      </w:r>
      <w:r>
        <w:rPr>
          <w:w w:val="95"/>
        </w:rPr>
        <w:t>lower</w:t>
      </w:r>
      <w:r>
        <w:rPr>
          <w:spacing w:val="-9"/>
          <w:w w:val="95"/>
        </w:rPr>
        <w:t xml:space="preserve"> </w:t>
      </w:r>
      <w:r>
        <w:rPr>
          <w:w w:val="95"/>
        </w:rPr>
        <w:t>at</w:t>
      </w:r>
      <w:r>
        <w:rPr>
          <w:spacing w:val="-9"/>
          <w:w w:val="95"/>
        </w:rPr>
        <w:t xml:space="preserve"> </w:t>
      </w:r>
      <w:r>
        <w:rPr>
          <w:w w:val="95"/>
        </w:rPr>
        <w:t>0.8</w:t>
      </w:r>
      <w:r>
        <w:rPr>
          <w:spacing w:val="-9"/>
          <w:w w:val="95"/>
        </w:rPr>
        <w:t xml:space="preserve"> </w:t>
      </w:r>
      <w:r>
        <w:rPr>
          <w:w w:val="95"/>
        </w:rPr>
        <w:t>(Benefit</w:t>
      </w:r>
      <w:r>
        <w:rPr>
          <w:spacing w:val="-9"/>
          <w:w w:val="95"/>
        </w:rPr>
        <w:t xml:space="preserve"> </w:t>
      </w:r>
      <w:r>
        <w:rPr>
          <w:w w:val="95"/>
        </w:rPr>
        <w:t>Cost</w:t>
      </w:r>
      <w:r>
        <w:rPr>
          <w:spacing w:val="-9"/>
          <w:w w:val="95"/>
        </w:rPr>
        <w:t xml:space="preserve"> </w:t>
      </w:r>
      <w:r>
        <w:rPr>
          <w:w w:val="95"/>
        </w:rPr>
        <w:t>Ratio)</w:t>
      </w:r>
      <w:r>
        <w:rPr>
          <w:spacing w:val="-9"/>
          <w:w w:val="95"/>
        </w:rPr>
        <w:t xml:space="preserve"> </w:t>
      </w:r>
      <w:r>
        <w:rPr>
          <w:w w:val="95"/>
        </w:rPr>
        <w:t>than</w:t>
      </w:r>
      <w:r>
        <w:rPr>
          <w:spacing w:val="-9"/>
          <w:w w:val="95"/>
        </w:rPr>
        <w:t xml:space="preserve"> </w:t>
      </w:r>
      <w:r>
        <w:rPr>
          <w:w w:val="95"/>
        </w:rPr>
        <w:t>that</w:t>
      </w:r>
      <w:r>
        <w:rPr>
          <w:spacing w:val="-9"/>
          <w:w w:val="95"/>
        </w:rPr>
        <w:t xml:space="preserve"> </w:t>
      </w:r>
      <w:r>
        <w:rPr>
          <w:w w:val="95"/>
        </w:rPr>
        <w:t>of</w:t>
      </w:r>
      <w:r>
        <w:rPr>
          <w:spacing w:val="-9"/>
          <w:w w:val="95"/>
        </w:rPr>
        <w:t xml:space="preserve"> </w:t>
      </w:r>
      <w:r>
        <w:rPr>
          <w:w w:val="95"/>
        </w:rPr>
        <w:t>the Highway as a whole</w:t>
      </w:r>
      <w:r>
        <w:rPr>
          <w:w w:val="95"/>
          <w:position w:val="7"/>
          <w:sz w:val="11"/>
        </w:rPr>
        <w:t>31</w:t>
      </w:r>
      <w:r>
        <w:rPr>
          <w:w w:val="95"/>
        </w:rPr>
        <w:t>. This reflects the relatively low</w:t>
      </w:r>
    </w:p>
    <w:p w:rsidR="002C1123" w:rsidRDefault="00F22F94">
      <w:pPr>
        <w:pStyle w:val="BodyText"/>
        <w:spacing w:before="2" w:line="249" w:lineRule="auto"/>
        <w:ind w:left="492" w:right="163"/>
        <w:jc w:val="both"/>
      </w:pPr>
      <w:r>
        <w:rPr>
          <w:w w:val="95"/>
        </w:rPr>
        <w:t>traffic</w:t>
      </w:r>
      <w:r>
        <w:rPr>
          <w:spacing w:val="-8"/>
          <w:w w:val="95"/>
        </w:rPr>
        <w:t xml:space="preserve"> </w:t>
      </w:r>
      <w:r>
        <w:rPr>
          <w:w w:val="95"/>
        </w:rPr>
        <w:t>volumes</w:t>
      </w:r>
      <w:r>
        <w:rPr>
          <w:spacing w:val="-8"/>
          <w:w w:val="95"/>
        </w:rPr>
        <w:t xml:space="preserve"> </w:t>
      </w:r>
      <w:r>
        <w:rPr>
          <w:w w:val="95"/>
        </w:rPr>
        <w:t>on</w:t>
      </w:r>
      <w:r>
        <w:rPr>
          <w:spacing w:val="-8"/>
          <w:w w:val="95"/>
        </w:rPr>
        <w:t xml:space="preserve"> </w:t>
      </w:r>
      <w:r>
        <w:rPr>
          <w:w w:val="95"/>
        </w:rPr>
        <w:t>the</w:t>
      </w:r>
      <w:r>
        <w:rPr>
          <w:spacing w:val="-8"/>
          <w:w w:val="95"/>
        </w:rPr>
        <w:t xml:space="preserve"> </w:t>
      </w:r>
      <w:r>
        <w:rPr>
          <w:w w:val="95"/>
        </w:rPr>
        <w:t>remaining</w:t>
      </w:r>
      <w:r>
        <w:rPr>
          <w:spacing w:val="-8"/>
          <w:w w:val="95"/>
        </w:rPr>
        <w:t xml:space="preserve"> </w:t>
      </w:r>
      <w:r>
        <w:rPr>
          <w:w w:val="95"/>
        </w:rPr>
        <w:t>sections</w:t>
      </w:r>
      <w:r>
        <w:rPr>
          <w:spacing w:val="-8"/>
          <w:w w:val="95"/>
        </w:rPr>
        <w:t xml:space="preserve"> </w:t>
      </w:r>
      <w:r>
        <w:rPr>
          <w:w w:val="95"/>
        </w:rPr>
        <w:t>–</w:t>
      </w:r>
      <w:r>
        <w:rPr>
          <w:spacing w:val="-8"/>
          <w:w w:val="95"/>
        </w:rPr>
        <w:t xml:space="preserve"> </w:t>
      </w:r>
      <w:r>
        <w:rPr>
          <w:w w:val="95"/>
        </w:rPr>
        <w:t>for</w:t>
      </w:r>
      <w:r>
        <w:rPr>
          <w:spacing w:val="-8"/>
          <w:w w:val="95"/>
        </w:rPr>
        <w:t xml:space="preserve"> </w:t>
      </w:r>
      <w:r>
        <w:rPr>
          <w:w w:val="95"/>
        </w:rPr>
        <w:t>example the</w:t>
      </w:r>
      <w:r>
        <w:rPr>
          <w:spacing w:val="-4"/>
          <w:w w:val="95"/>
        </w:rPr>
        <w:t xml:space="preserve"> </w:t>
      </w:r>
      <w:r>
        <w:rPr>
          <w:w w:val="95"/>
        </w:rPr>
        <w:t>traffic</w:t>
      </w:r>
      <w:r>
        <w:rPr>
          <w:spacing w:val="-4"/>
          <w:w w:val="95"/>
        </w:rPr>
        <w:t xml:space="preserve"> </w:t>
      </w:r>
      <w:r>
        <w:rPr>
          <w:w w:val="95"/>
        </w:rPr>
        <w:t>between</w:t>
      </w:r>
      <w:r>
        <w:rPr>
          <w:spacing w:val="-4"/>
          <w:w w:val="95"/>
        </w:rPr>
        <w:t xml:space="preserve"> </w:t>
      </w:r>
      <w:r>
        <w:rPr>
          <w:w w:val="95"/>
        </w:rPr>
        <w:t>Woolgoolga</w:t>
      </w:r>
      <w:r>
        <w:rPr>
          <w:spacing w:val="-4"/>
          <w:w w:val="95"/>
        </w:rPr>
        <w:t xml:space="preserve"> </w:t>
      </w:r>
      <w:r>
        <w:rPr>
          <w:w w:val="95"/>
        </w:rPr>
        <w:t>and</w:t>
      </w:r>
      <w:r>
        <w:rPr>
          <w:spacing w:val="-4"/>
          <w:w w:val="95"/>
        </w:rPr>
        <w:t xml:space="preserve"> </w:t>
      </w:r>
      <w:r>
        <w:rPr>
          <w:w w:val="95"/>
        </w:rPr>
        <w:t>Ballina</w:t>
      </w:r>
      <w:r>
        <w:rPr>
          <w:spacing w:val="-4"/>
          <w:w w:val="95"/>
        </w:rPr>
        <w:t xml:space="preserve"> </w:t>
      </w:r>
      <w:r>
        <w:rPr>
          <w:w w:val="95"/>
        </w:rPr>
        <w:t>is</w:t>
      </w:r>
      <w:r>
        <w:rPr>
          <w:spacing w:val="-4"/>
          <w:w w:val="95"/>
        </w:rPr>
        <w:t xml:space="preserve"> </w:t>
      </w:r>
      <w:r>
        <w:rPr>
          <w:w w:val="95"/>
        </w:rPr>
        <w:t xml:space="preserve">generally </w:t>
      </w:r>
      <w:r>
        <w:t>below 10,000 vehicles per day.</w:t>
      </w:r>
    </w:p>
    <w:p w:rsidR="002C1123" w:rsidRDefault="00F22F94">
      <w:pPr>
        <w:pStyle w:val="BodyText"/>
        <w:spacing w:before="88" w:line="249" w:lineRule="auto"/>
        <w:ind w:left="492"/>
      </w:pPr>
      <w:r>
        <w:rPr>
          <w:w w:val="95"/>
        </w:rPr>
        <w:t xml:space="preserve">Given competing priorities for NSW and Commonwealth </w:t>
      </w:r>
      <w:r>
        <w:t>Government</w:t>
      </w:r>
      <w:r>
        <w:rPr>
          <w:spacing w:val="-14"/>
        </w:rPr>
        <w:t xml:space="preserve"> </w:t>
      </w:r>
      <w:r>
        <w:t>funds,</w:t>
      </w:r>
      <w:r>
        <w:rPr>
          <w:spacing w:val="-14"/>
        </w:rPr>
        <w:t xml:space="preserve"> </w:t>
      </w:r>
      <w:r>
        <w:t>the</w:t>
      </w:r>
      <w:r>
        <w:rPr>
          <w:spacing w:val="-14"/>
        </w:rPr>
        <w:t xml:space="preserve"> </w:t>
      </w:r>
      <w:r>
        <w:t>high</w:t>
      </w:r>
      <w:r>
        <w:rPr>
          <w:spacing w:val="-14"/>
        </w:rPr>
        <w:t xml:space="preserve"> </w:t>
      </w:r>
      <w:r>
        <w:t>cost</w:t>
      </w:r>
      <w:r>
        <w:rPr>
          <w:spacing w:val="-14"/>
        </w:rPr>
        <w:t xml:space="preserve"> </w:t>
      </w:r>
      <w:r>
        <w:t>and</w:t>
      </w:r>
      <w:r>
        <w:rPr>
          <w:spacing w:val="-14"/>
        </w:rPr>
        <w:t xml:space="preserve"> </w:t>
      </w:r>
      <w:r>
        <w:t>relatively</w:t>
      </w:r>
      <w:r>
        <w:rPr>
          <w:spacing w:val="-14"/>
        </w:rPr>
        <w:t xml:space="preserve"> </w:t>
      </w:r>
      <w:r>
        <w:t>limited benefits</w:t>
      </w:r>
      <w:r>
        <w:rPr>
          <w:spacing w:val="-14"/>
        </w:rPr>
        <w:t xml:space="preserve"> </w:t>
      </w:r>
      <w:r>
        <w:t>of</w:t>
      </w:r>
      <w:r>
        <w:rPr>
          <w:spacing w:val="-14"/>
        </w:rPr>
        <w:t xml:space="preserve"> </w:t>
      </w:r>
      <w:r>
        <w:t>these</w:t>
      </w:r>
      <w:r>
        <w:rPr>
          <w:spacing w:val="-14"/>
        </w:rPr>
        <w:t xml:space="preserve"> </w:t>
      </w:r>
      <w:r>
        <w:t>remaining</w:t>
      </w:r>
      <w:r>
        <w:rPr>
          <w:spacing w:val="-14"/>
        </w:rPr>
        <w:t xml:space="preserve"> </w:t>
      </w:r>
      <w:r>
        <w:t>sections</w:t>
      </w:r>
      <w:r>
        <w:rPr>
          <w:spacing w:val="-14"/>
        </w:rPr>
        <w:t xml:space="preserve"> </w:t>
      </w:r>
      <w:r>
        <w:t>raises</w:t>
      </w:r>
      <w:r>
        <w:rPr>
          <w:spacing w:val="-14"/>
        </w:rPr>
        <w:t xml:space="preserve"> </w:t>
      </w:r>
      <w:r>
        <w:t>questions about</w:t>
      </w:r>
      <w:r>
        <w:rPr>
          <w:spacing w:val="-11"/>
        </w:rPr>
        <w:t xml:space="preserve"> </w:t>
      </w:r>
      <w:r>
        <w:t>the:</w:t>
      </w:r>
    </w:p>
    <w:p w:rsidR="002C1123" w:rsidRDefault="00F22F94">
      <w:pPr>
        <w:pStyle w:val="ListParagraph"/>
        <w:numPr>
          <w:ilvl w:val="1"/>
          <w:numId w:val="73"/>
        </w:numPr>
        <w:tabs>
          <w:tab w:val="left" w:pos="776"/>
        </w:tabs>
        <w:spacing w:before="75" w:line="249" w:lineRule="auto"/>
        <w:ind w:right="467"/>
        <w:rPr>
          <w:rFonts w:ascii="Tahoma" w:hAnsi="Tahoma"/>
          <w:sz w:val="20"/>
        </w:rPr>
      </w:pPr>
      <w:r>
        <w:rPr>
          <w:w w:val="95"/>
          <w:sz w:val="20"/>
        </w:rPr>
        <w:t>relative</w:t>
      </w:r>
      <w:r>
        <w:rPr>
          <w:spacing w:val="-9"/>
          <w:w w:val="95"/>
          <w:sz w:val="20"/>
        </w:rPr>
        <w:t xml:space="preserve"> </w:t>
      </w:r>
      <w:r>
        <w:rPr>
          <w:w w:val="95"/>
          <w:sz w:val="20"/>
        </w:rPr>
        <w:t>merit</w:t>
      </w:r>
      <w:r>
        <w:rPr>
          <w:spacing w:val="-9"/>
          <w:w w:val="95"/>
          <w:sz w:val="20"/>
        </w:rPr>
        <w:t xml:space="preserve"> </w:t>
      </w:r>
      <w:r>
        <w:rPr>
          <w:w w:val="95"/>
          <w:sz w:val="20"/>
        </w:rPr>
        <w:t>of</w:t>
      </w:r>
      <w:r>
        <w:rPr>
          <w:spacing w:val="-9"/>
          <w:w w:val="95"/>
          <w:sz w:val="20"/>
        </w:rPr>
        <w:t xml:space="preserve"> </w:t>
      </w:r>
      <w:r>
        <w:rPr>
          <w:w w:val="95"/>
          <w:sz w:val="20"/>
        </w:rPr>
        <w:t>prioritising</w:t>
      </w:r>
      <w:r>
        <w:rPr>
          <w:spacing w:val="-9"/>
          <w:w w:val="95"/>
          <w:sz w:val="20"/>
        </w:rPr>
        <w:t xml:space="preserve"> </w:t>
      </w:r>
      <w:r>
        <w:rPr>
          <w:w w:val="95"/>
          <w:sz w:val="20"/>
        </w:rPr>
        <w:t>busier</w:t>
      </w:r>
      <w:r>
        <w:rPr>
          <w:spacing w:val="-9"/>
          <w:w w:val="95"/>
          <w:sz w:val="20"/>
        </w:rPr>
        <w:t xml:space="preserve"> </w:t>
      </w:r>
      <w:r>
        <w:rPr>
          <w:w w:val="95"/>
          <w:sz w:val="20"/>
        </w:rPr>
        <w:t>sections</w:t>
      </w:r>
      <w:r>
        <w:rPr>
          <w:spacing w:val="-9"/>
          <w:w w:val="95"/>
          <w:sz w:val="20"/>
        </w:rPr>
        <w:t xml:space="preserve"> </w:t>
      </w:r>
      <w:r>
        <w:rPr>
          <w:w w:val="95"/>
          <w:sz w:val="20"/>
        </w:rPr>
        <w:t>of</w:t>
      </w:r>
      <w:r>
        <w:rPr>
          <w:spacing w:val="-9"/>
          <w:w w:val="95"/>
          <w:sz w:val="20"/>
        </w:rPr>
        <w:t xml:space="preserve"> </w:t>
      </w:r>
      <w:r>
        <w:rPr>
          <w:w w:val="95"/>
          <w:sz w:val="20"/>
        </w:rPr>
        <w:t xml:space="preserve">the </w:t>
      </w:r>
      <w:r>
        <w:rPr>
          <w:sz w:val="20"/>
        </w:rPr>
        <w:t>Pacific</w:t>
      </w:r>
      <w:r>
        <w:rPr>
          <w:spacing w:val="-8"/>
          <w:sz w:val="20"/>
        </w:rPr>
        <w:t xml:space="preserve"> </w:t>
      </w:r>
      <w:r>
        <w:rPr>
          <w:sz w:val="20"/>
        </w:rPr>
        <w:t>Highway</w:t>
      </w:r>
      <w:r>
        <w:rPr>
          <w:spacing w:val="-8"/>
          <w:sz w:val="20"/>
        </w:rPr>
        <w:t xml:space="preserve"> </w:t>
      </w:r>
      <w:r>
        <w:rPr>
          <w:sz w:val="20"/>
        </w:rPr>
        <w:t>corridor</w:t>
      </w:r>
      <w:r>
        <w:rPr>
          <w:spacing w:val="-8"/>
          <w:sz w:val="20"/>
        </w:rPr>
        <w:t xml:space="preserve"> </w:t>
      </w:r>
      <w:r>
        <w:rPr>
          <w:sz w:val="20"/>
        </w:rPr>
        <w:t>for</w:t>
      </w:r>
      <w:r>
        <w:rPr>
          <w:spacing w:val="-8"/>
          <w:sz w:val="20"/>
        </w:rPr>
        <w:t xml:space="preserve"> </w:t>
      </w:r>
      <w:r>
        <w:rPr>
          <w:sz w:val="20"/>
        </w:rPr>
        <w:t>upgrade</w:t>
      </w:r>
      <w:r>
        <w:rPr>
          <w:spacing w:val="-8"/>
          <w:sz w:val="20"/>
        </w:rPr>
        <w:t xml:space="preserve"> </w:t>
      </w:r>
      <w:r>
        <w:rPr>
          <w:sz w:val="20"/>
        </w:rPr>
        <w:t>sooner,</w:t>
      </w:r>
    </w:p>
    <w:p w:rsidR="002C1123" w:rsidRDefault="00F22F94">
      <w:pPr>
        <w:pStyle w:val="BodyText"/>
        <w:spacing w:before="2" w:line="249" w:lineRule="auto"/>
        <w:ind w:left="775" w:right="183"/>
      </w:pPr>
      <w:r>
        <w:rPr>
          <w:w w:val="95"/>
        </w:rPr>
        <w:t>(in</w:t>
      </w:r>
      <w:r>
        <w:rPr>
          <w:spacing w:val="-12"/>
          <w:w w:val="95"/>
        </w:rPr>
        <w:t xml:space="preserve"> </w:t>
      </w:r>
      <w:r>
        <w:rPr>
          <w:w w:val="95"/>
        </w:rPr>
        <w:t>particular</w:t>
      </w:r>
      <w:r>
        <w:rPr>
          <w:spacing w:val="-11"/>
          <w:w w:val="95"/>
        </w:rPr>
        <w:t xml:space="preserve"> </w:t>
      </w:r>
      <w:r>
        <w:rPr>
          <w:w w:val="95"/>
        </w:rPr>
        <w:t>from</w:t>
      </w:r>
      <w:r>
        <w:rPr>
          <w:spacing w:val="-11"/>
          <w:w w:val="95"/>
        </w:rPr>
        <w:t xml:space="preserve"> </w:t>
      </w:r>
      <w:r>
        <w:rPr>
          <w:w w:val="95"/>
        </w:rPr>
        <w:t>the</w:t>
      </w:r>
      <w:r>
        <w:rPr>
          <w:spacing w:val="-11"/>
          <w:w w:val="95"/>
        </w:rPr>
        <w:t xml:space="preserve"> </w:t>
      </w:r>
      <w:r>
        <w:rPr>
          <w:w w:val="95"/>
        </w:rPr>
        <w:t>F3</w:t>
      </w:r>
      <w:r>
        <w:rPr>
          <w:spacing w:val="-11"/>
          <w:w w:val="95"/>
        </w:rPr>
        <w:t xml:space="preserve"> </w:t>
      </w:r>
      <w:r>
        <w:rPr>
          <w:w w:val="95"/>
        </w:rPr>
        <w:t>to</w:t>
      </w:r>
      <w:r>
        <w:rPr>
          <w:spacing w:val="-11"/>
          <w:w w:val="95"/>
        </w:rPr>
        <w:t xml:space="preserve"> </w:t>
      </w:r>
      <w:r>
        <w:rPr>
          <w:w w:val="95"/>
        </w:rPr>
        <w:t>Raymond</w:t>
      </w:r>
      <w:r>
        <w:rPr>
          <w:spacing w:val="-11"/>
          <w:w w:val="95"/>
        </w:rPr>
        <w:t xml:space="preserve"> </w:t>
      </w:r>
      <w:r>
        <w:rPr>
          <w:w w:val="95"/>
        </w:rPr>
        <w:t xml:space="preserve">Terrace </w:t>
      </w:r>
      <w:r>
        <w:t>40,000 vehicles per day)</w:t>
      </w:r>
    </w:p>
    <w:p w:rsidR="002C1123" w:rsidRDefault="00F22F94">
      <w:pPr>
        <w:pStyle w:val="ListParagraph"/>
        <w:numPr>
          <w:ilvl w:val="1"/>
          <w:numId w:val="73"/>
        </w:numPr>
        <w:tabs>
          <w:tab w:val="left" w:pos="776"/>
        </w:tabs>
        <w:spacing w:before="74" w:line="249" w:lineRule="auto"/>
        <w:ind w:right="396"/>
        <w:rPr>
          <w:rFonts w:ascii="Tahoma" w:hAnsi="Tahoma"/>
          <w:sz w:val="20"/>
        </w:rPr>
      </w:pPr>
      <w:r>
        <w:rPr>
          <w:w w:val="95"/>
          <w:sz w:val="20"/>
        </w:rPr>
        <w:t xml:space="preserve">appropriate scope of works and priority for those </w:t>
      </w:r>
      <w:r>
        <w:rPr>
          <w:sz w:val="20"/>
        </w:rPr>
        <w:t>sections</w:t>
      </w:r>
      <w:r>
        <w:rPr>
          <w:spacing w:val="-6"/>
          <w:sz w:val="20"/>
        </w:rPr>
        <w:t xml:space="preserve"> </w:t>
      </w:r>
      <w:r>
        <w:rPr>
          <w:sz w:val="20"/>
        </w:rPr>
        <w:t>with</w:t>
      </w:r>
      <w:r>
        <w:rPr>
          <w:spacing w:val="-6"/>
          <w:sz w:val="20"/>
        </w:rPr>
        <w:t xml:space="preserve"> </w:t>
      </w:r>
      <w:r>
        <w:rPr>
          <w:sz w:val="20"/>
        </w:rPr>
        <w:t>relatively</w:t>
      </w:r>
      <w:r>
        <w:rPr>
          <w:spacing w:val="-6"/>
          <w:sz w:val="20"/>
        </w:rPr>
        <w:t xml:space="preserve"> </w:t>
      </w:r>
      <w:r>
        <w:rPr>
          <w:sz w:val="20"/>
        </w:rPr>
        <w:t>light</w:t>
      </w:r>
      <w:r>
        <w:rPr>
          <w:spacing w:val="-6"/>
          <w:sz w:val="20"/>
        </w:rPr>
        <w:t xml:space="preserve"> </w:t>
      </w:r>
      <w:r>
        <w:rPr>
          <w:sz w:val="20"/>
        </w:rPr>
        <w:t>traffic.</w:t>
      </w:r>
    </w:p>
    <w:p w:rsidR="002C1123" w:rsidRDefault="00F22F94">
      <w:pPr>
        <w:pStyle w:val="Heading6"/>
        <w:spacing w:before="86"/>
        <w:ind w:left="492"/>
      </w:pPr>
      <w:r>
        <w:t>F3</w:t>
      </w:r>
      <w:r>
        <w:rPr>
          <w:spacing w:val="-9"/>
        </w:rPr>
        <w:t xml:space="preserve"> </w:t>
      </w:r>
      <w:r>
        <w:t>Freeway</w:t>
      </w:r>
      <w:r>
        <w:rPr>
          <w:spacing w:val="-8"/>
        </w:rPr>
        <w:t xml:space="preserve"> </w:t>
      </w:r>
      <w:r>
        <w:t>to</w:t>
      </w:r>
      <w:r>
        <w:rPr>
          <w:spacing w:val="-9"/>
        </w:rPr>
        <w:t xml:space="preserve"> </w:t>
      </w:r>
      <w:r>
        <w:t>Raymond</w:t>
      </w:r>
      <w:r>
        <w:rPr>
          <w:spacing w:val="-8"/>
        </w:rPr>
        <w:t xml:space="preserve"> </w:t>
      </w:r>
      <w:r>
        <w:rPr>
          <w:spacing w:val="-2"/>
        </w:rPr>
        <w:t>Terrace</w:t>
      </w:r>
    </w:p>
    <w:p w:rsidR="002C1123" w:rsidRDefault="00F22F94">
      <w:pPr>
        <w:pStyle w:val="BodyText"/>
        <w:spacing w:before="10" w:line="249" w:lineRule="auto"/>
        <w:ind w:left="492"/>
      </w:pPr>
      <w:r>
        <w:rPr>
          <w:w w:val="95"/>
        </w:rPr>
        <w:t>The</w:t>
      </w:r>
      <w:r>
        <w:rPr>
          <w:spacing w:val="-3"/>
          <w:w w:val="95"/>
        </w:rPr>
        <w:t xml:space="preserve"> </w:t>
      </w:r>
      <w:r>
        <w:rPr>
          <w:w w:val="95"/>
        </w:rPr>
        <w:t>proposed</w:t>
      </w:r>
      <w:r>
        <w:rPr>
          <w:spacing w:val="-3"/>
          <w:w w:val="95"/>
        </w:rPr>
        <w:t xml:space="preserve"> </w:t>
      </w:r>
      <w:r>
        <w:rPr>
          <w:w w:val="95"/>
        </w:rPr>
        <w:t>investment</w:t>
      </w:r>
      <w:r>
        <w:rPr>
          <w:spacing w:val="-3"/>
          <w:w w:val="95"/>
        </w:rPr>
        <w:t xml:space="preserve"> </w:t>
      </w:r>
      <w:r>
        <w:rPr>
          <w:w w:val="95"/>
        </w:rPr>
        <w:t>to</w:t>
      </w:r>
      <w:r>
        <w:rPr>
          <w:spacing w:val="-3"/>
          <w:w w:val="95"/>
        </w:rPr>
        <w:t xml:space="preserve"> </w:t>
      </w:r>
      <w:r>
        <w:rPr>
          <w:w w:val="95"/>
        </w:rPr>
        <w:t>upgrade</w:t>
      </w:r>
      <w:r>
        <w:rPr>
          <w:spacing w:val="-3"/>
          <w:w w:val="95"/>
        </w:rPr>
        <w:t xml:space="preserve"> </w:t>
      </w:r>
      <w:r>
        <w:rPr>
          <w:w w:val="95"/>
        </w:rPr>
        <w:t>the</w:t>
      </w:r>
      <w:r>
        <w:rPr>
          <w:spacing w:val="-3"/>
          <w:w w:val="95"/>
        </w:rPr>
        <w:t xml:space="preserve"> </w:t>
      </w:r>
      <w:r>
        <w:rPr>
          <w:w w:val="95"/>
        </w:rPr>
        <w:t>F3</w:t>
      </w:r>
      <w:r>
        <w:rPr>
          <w:spacing w:val="-3"/>
          <w:w w:val="95"/>
        </w:rPr>
        <w:t xml:space="preserve"> </w:t>
      </w:r>
      <w:r>
        <w:rPr>
          <w:w w:val="95"/>
        </w:rPr>
        <w:t>to</w:t>
      </w:r>
      <w:r>
        <w:rPr>
          <w:spacing w:val="-3"/>
          <w:w w:val="95"/>
        </w:rPr>
        <w:t xml:space="preserve"> </w:t>
      </w:r>
      <w:r>
        <w:rPr>
          <w:w w:val="95"/>
        </w:rPr>
        <w:t xml:space="preserve">Raymond </w:t>
      </w:r>
      <w:r>
        <w:rPr>
          <w:spacing w:val="-2"/>
        </w:rPr>
        <w:t>Terrace</w:t>
      </w:r>
      <w:r>
        <w:rPr>
          <w:spacing w:val="-9"/>
        </w:rPr>
        <w:t xml:space="preserve"> </w:t>
      </w:r>
      <w:r>
        <w:rPr>
          <w:spacing w:val="-2"/>
        </w:rPr>
        <w:t>appears</w:t>
      </w:r>
      <w:r>
        <w:rPr>
          <w:spacing w:val="-9"/>
        </w:rPr>
        <w:t xml:space="preserve"> </w:t>
      </w:r>
      <w:r>
        <w:rPr>
          <w:spacing w:val="-2"/>
        </w:rPr>
        <w:t>to</w:t>
      </w:r>
      <w:r>
        <w:rPr>
          <w:spacing w:val="-9"/>
        </w:rPr>
        <w:t xml:space="preserve"> </w:t>
      </w:r>
      <w:r>
        <w:rPr>
          <w:spacing w:val="-2"/>
        </w:rPr>
        <w:t>have</w:t>
      </w:r>
      <w:r>
        <w:rPr>
          <w:spacing w:val="-9"/>
        </w:rPr>
        <w:t xml:space="preserve"> </w:t>
      </w:r>
      <w:r>
        <w:rPr>
          <w:spacing w:val="-2"/>
        </w:rPr>
        <w:t>a</w:t>
      </w:r>
      <w:r>
        <w:rPr>
          <w:spacing w:val="-9"/>
        </w:rPr>
        <w:t xml:space="preserve"> </w:t>
      </w:r>
      <w:r>
        <w:rPr>
          <w:spacing w:val="-2"/>
        </w:rPr>
        <w:t>lot</w:t>
      </w:r>
      <w:r>
        <w:rPr>
          <w:spacing w:val="-9"/>
        </w:rPr>
        <w:t xml:space="preserve"> </w:t>
      </w:r>
      <w:r>
        <w:rPr>
          <w:spacing w:val="-2"/>
        </w:rPr>
        <w:t>of</w:t>
      </w:r>
      <w:r>
        <w:rPr>
          <w:spacing w:val="-9"/>
        </w:rPr>
        <w:t xml:space="preserve"> </w:t>
      </w:r>
      <w:r>
        <w:rPr>
          <w:spacing w:val="-2"/>
        </w:rPr>
        <w:t>merit.</w:t>
      </w:r>
      <w:r>
        <w:rPr>
          <w:spacing w:val="-9"/>
        </w:rPr>
        <w:t xml:space="preserve"> </w:t>
      </w:r>
      <w:r>
        <w:rPr>
          <w:spacing w:val="-2"/>
        </w:rPr>
        <w:t>Traffic</w:t>
      </w:r>
      <w:r>
        <w:rPr>
          <w:spacing w:val="-9"/>
        </w:rPr>
        <w:t xml:space="preserve"> </w:t>
      </w:r>
      <w:r>
        <w:rPr>
          <w:spacing w:val="-2"/>
        </w:rPr>
        <w:t>flows</w:t>
      </w:r>
    </w:p>
    <w:p w:rsidR="002C1123" w:rsidRDefault="00F22F94">
      <w:pPr>
        <w:pStyle w:val="BodyText"/>
        <w:spacing w:before="1" w:line="249" w:lineRule="auto"/>
        <w:ind w:left="492"/>
      </w:pPr>
      <w:r>
        <w:rPr>
          <w:w w:val="95"/>
        </w:rPr>
        <w:t>along</w:t>
      </w:r>
      <w:r>
        <w:rPr>
          <w:spacing w:val="-8"/>
          <w:w w:val="95"/>
        </w:rPr>
        <w:t xml:space="preserve"> </w:t>
      </w:r>
      <w:r>
        <w:rPr>
          <w:w w:val="95"/>
        </w:rPr>
        <w:t>this</w:t>
      </w:r>
      <w:r>
        <w:rPr>
          <w:spacing w:val="-8"/>
          <w:w w:val="95"/>
        </w:rPr>
        <w:t xml:space="preserve"> </w:t>
      </w:r>
      <w:r>
        <w:rPr>
          <w:w w:val="95"/>
        </w:rPr>
        <w:t>section</w:t>
      </w:r>
      <w:r>
        <w:rPr>
          <w:spacing w:val="-8"/>
          <w:w w:val="95"/>
        </w:rPr>
        <w:t xml:space="preserve"> </w:t>
      </w:r>
      <w:r>
        <w:rPr>
          <w:w w:val="95"/>
        </w:rPr>
        <w:t>of</w:t>
      </w:r>
      <w:r>
        <w:rPr>
          <w:spacing w:val="-8"/>
          <w:w w:val="95"/>
        </w:rPr>
        <w:t xml:space="preserve"> </w:t>
      </w:r>
      <w:r>
        <w:rPr>
          <w:w w:val="95"/>
        </w:rPr>
        <w:t>the</w:t>
      </w:r>
      <w:r>
        <w:rPr>
          <w:spacing w:val="-8"/>
          <w:w w:val="95"/>
        </w:rPr>
        <w:t xml:space="preserve"> </w:t>
      </w:r>
      <w:r>
        <w:rPr>
          <w:w w:val="95"/>
        </w:rPr>
        <w:t>Pacific</w:t>
      </w:r>
      <w:r>
        <w:rPr>
          <w:spacing w:val="-8"/>
          <w:w w:val="95"/>
        </w:rPr>
        <w:t xml:space="preserve"> </w:t>
      </w:r>
      <w:r>
        <w:rPr>
          <w:w w:val="95"/>
        </w:rPr>
        <w:t>Highway</w:t>
      </w:r>
      <w:r>
        <w:rPr>
          <w:spacing w:val="-8"/>
          <w:w w:val="95"/>
        </w:rPr>
        <w:t xml:space="preserve"> </w:t>
      </w:r>
      <w:r>
        <w:rPr>
          <w:w w:val="95"/>
        </w:rPr>
        <w:t>are</w:t>
      </w:r>
      <w:r>
        <w:rPr>
          <w:spacing w:val="-8"/>
          <w:w w:val="95"/>
        </w:rPr>
        <w:t xml:space="preserve"> </w:t>
      </w:r>
      <w:r>
        <w:rPr>
          <w:w w:val="95"/>
        </w:rPr>
        <w:t>high</w:t>
      </w:r>
      <w:r>
        <w:rPr>
          <w:spacing w:val="-8"/>
          <w:w w:val="95"/>
        </w:rPr>
        <w:t xml:space="preserve"> </w:t>
      </w:r>
      <w:r>
        <w:rPr>
          <w:w w:val="95"/>
        </w:rPr>
        <w:t xml:space="preserve">and </w:t>
      </w:r>
      <w:r>
        <w:t>congestion</w:t>
      </w:r>
      <w:r>
        <w:rPr>
          <w:spacing w:val="-5"/>
        </w:rPr>
        <w:t xml:space="preserve"> </w:t>
      </w:r>
      <w:r>
        <w:t>can</w:t>
      </w:r>
      <w:r>
        <w:rPr>
          <w:spacing w:val="-5"/>
        </w:rPr>
        <w:t xml:space="preserve"> </w:t>
      </w:r>
      <w:r>
        <w:t>be</w:t>
      </w:r>
      <w:r>
        <w:rPr>
          <w:spacing w:val="-5"/>
        </w:rPr>
        <w:t xml:space="preserve"> </w:t>
      </w:r>
      <w:r>
        <w:t>an</w:t>
      </w:r>
      <w:r>
        <w:rPr>
          <w:spacing w:val="-5"/>
        </w:rPr>
        <w:t xml:space="preserve"> </w:t>
      </w:r>
      <w:r>
        <w:t>issue</w:t>
      </w:r>
      <w:r>
        <w:rPr>
          <w:spacing w:val="-5"/>
        </w:rPr>
        <w:t xml:space="preserve"> </w:t>
      </w:r>
      <w:r>
        <w:t>at</w:t>
      </w:r>
      <w:r>
        <w:rPr>
          <w:spacing w:val="-5"/>
        </w:rPr>
        <w:t xml:space="preserve"> </w:t>
      </w:r>
      <w:r>
        <w:t>peak</w:t>
      </w:r>
      <w:r>
        <w:rPr>
          <w:spacing w:val="-5"/>
        </w:rPr>
        <w:t xml:space="preserve"> </w:t>
      </w:r>
      <w:r>
        <w:t>hours.</w:t>
      </w:r>
    </w:p>
    <w:p w:rsidR="002C1123" w:rsidRDefault="00F22F94">
      <w:pPr>
        <w:pStyle w:val="BodyText"/>
        <w:spacing w:before="116" w:line="249" w:lineRule="auto"/>
        <w:ind w:left="492"/>
      </w:pPr>
      <w:r>
        <w:t>By</w:t>
      </w:r>
      <w:r>
        <w:rPr>
          <w:spacing w:val="-13"/>
        </w:rPr>
        <w:t xml:space="preserve"> </w:t>
      </w:r>
      <w:r>
        <w:t>providing</w:t>
      </w:r>
      <w:r>
        <w:rPr>
          <w:spacing w:val="-13"/>
        </w:rPr>
        <w:t xml:space="preserve"> </w:t>
      </w:r>
      <w:r>
        <w:t>an</w:t>
      </w:r>
      <w:r>
        <w:rPr>
          <w:spacing w:val="-13"/>
        </w:rPr>
        <w:t xml:space="preserve"> </w:t>
      </w:r>
      <w:r>
        <w:t>uninterrupted</w:t>
      </w:r>
      <w:r>
        <w:rPr>
          <w:spacing w:val="-13"/>
        </w:rPr>
        <w:t xml:space="preserve"> </w:t>
      </w:r>
      <w:r>
        <w:t>highway</w:t>
      </w:r>
      <w:r>
        <w:rPr>
          <w:spacing w:val="-13"/>
        </w:rPr>
        <w:t xml:space="preserve"> </w:t>
      </w:r>
      <w:r>
        <w:t>and</w:t>
      </w:r>
      <w:r>
        <w:rPr>
          <w:spacing w:val="-13"/>
        </w:rPr>
        <w:t xml:space="preserve"> </w:t>
      </w:r>
      <w:r>
        <w:t xml:space="preserve">improved </w:t>
      </w:r>
      <w:r>
        <w:rPr>
          <w:spacing w:val="-2"/>
        </w:rPr>
        <w:t>connectivity</w:t>
      </w:r>
      <w:r>
        <w:rPr>
          <w:spacing w:val="-6"/>
        </w:rPr>
        <w:t xml:space="preserve"> </w:t>
      </w:r>
      <w:r>
        <w:rPr>
          <w:spacing w:val="-2"/>
        </w:rPr>
        <w:t>between</w:t>
      </w:r>
      <w:r>
        <w:rPr>
          <w:spacing w:val="-6"/>
        </w:rPr>
        <w:t xml:space="preserve"> </w:t>
      </w:r>
      <w:r>
        <w:rPr>
          <w:spacing w:val="-2"/>
        </w:rPr>
        <w:t>the</w:t>
      </w:r>
      <w:r>
        <w:rPr>
          <w:spacing w:val="-6"/>
        </w:rPr>
        <w:t xml:space="preserve"> </w:t>
      </w:r>
      <w:r>
        <w:rPr>
          <w:spacing w:val="-2"/>
        </w:rPr>
        <w:t>F3</w:t>
      </w:r>
      <w:r>
        <w:rPr>
          <w:spacing w:val="-6"/>
        </w:rPr>
        <w:t xml:space="preserve"> </w:t>
      </w:r>
      <w:r>
        <w:rPr>
          <w:spacing w:val="-2"/>
        </w:rPr>
        <w:t>and</w:t>
      </w:r>
      <w:r>
        <w:rPr>
          <w:spacing w:val="-6"/>
        </w:rPr>
        <w:t xml:space="preserve"> </w:t>
      </w:r>
      <w:r>
        <w:rPr>
          <w:spacing w:val="-2"/>
        </w:rPr>
        <w:t>the</w:t>
      </w:r>
      <w:r>
        <w:rPr>
          <w:spacing w:val="-6"/>
        </w:rPr>
        <w:t xml:space="preserve"> </w:t>
      </w:r>
      <w:r>
        <w:rPr>
          <w:spacing w:val="-2"/>
        </w:rPr>
        <w:t>Pacific</w:t>
      </w:r>
      <w:r>
        <w:rPr>
          <w:spacing w:val="-6"/>
        </w:rPr>
        <w:t xml:space="preserve"> </w:t>
      </w:r>
      <w:r>
        <w:rPr>
          <w:spacing w:val="-2"/>
        </w:rPr>
        <w:t xml:space="preserve">Highway, </w:t>
      </w:r>
      <w:r>
        <w:rPr>
          <w:w w:val="95"/>
        </w:rPr>
        <w:t>the</w:t>
      </w:r>
      <w:r>
        <w:rPr>
          <w:spacing w:val="-6"/>
          <w:w w:val="95"/>
        </w:rPr>
        <w:t xml:space="preserve"> </w:t>
      </w:r>
      <w:r>
        <w:rPr>
          <w:w w:val="95"/>
        </w:rPr>
        <w:t>upgrade</w:t>
      </w:r>
      <w:r>
        <w:rPr>
          <w:spacing w:val="-6"/>
          <w:w w:val="95"/>
        </w:rPr>
        <w:t xml:space="preserve"> </w:t>
      </w:r>
      <w:r>
        <w:rPr>
          <w:w w:val="95"/>
        </w:rPr>
        <w:t>scheme</w:t>
      </w:r>
      <w:r>
        <w:rPr>
          <w:spacing w:val="-6"/>
          <w:w w:val="95"/>
        </w:rPr>
        <w:t xml:space="preserve"> </w:t>
      </w:r>
      <w:r>
        <w:rPr>
          <w:w w:val="95"/>
        </w:rPr>
        <w:t>would</w:t>
      </w:r>
      <w:r>
        <w:rPr>
          <w:spacing w:val="-6"/>
          <w:w w:val="95"/>
        </w:rPr>
        <w:t xml:space="preserve"> </w:t>
      </w:r>
      <w:r>
        <w:rPr>
          <w:w w:val="95"/>
        </w:rPr>
        <w:t>be</w:t>
      </w:r>
      <w:r>
        <w:rPr>
          <w:spacing w:val="-6"/>
          <w:w w:val="95"/>
        </w:rPr>
        <w:t xml:space="preserve"> </w:t>
      </w:r>
      <w:r>
        <w:rPr>
          <w:w w:val="95"/>
        </w:rPr>
        <w:t>likely</w:t>
      </w:r>
      <w:r>
        <w:rPr>
          <w:spacing w:val="-6"/>
          <w:w w:val="95"/>
        </w:rPr>
        <w:t xml:space="preserve"> </w:t>
      </w:r>
      <w:r>
        <w:rPr>
          <w:w w:val="95"/>
        </w:rPr>
        <w:t>to</w:t>
      </w:r>
      <w:r>
        <w:rPr>
          <w:spacing w:val="-6"/>
          <w:w w:val="95"/>
        </w:rPr>
        <w:t xml:space="preserve"> </w:t>
      </w:r>
      <w:r>
        <w:rPr>
          <w:w w:val="95"/>
        </w:rPr>
        <w:t>improve</w:t>
      </w:r>
      <w:r>
        <w:rPr>
          <w:spacing w:val="-6"/>
          <w:w w:val="95"/>
        </w:rPr>
        <w:t xml:space="preserve"> </w:t>
      </w:r>
      <w:r>
        <w:rPr>
          <w:w w:val="95"/>
        </w:rPr>
        <w:t xml:space="preserve">journey </w:t>
      </w:r>
      <w:r>
        <w:t>times and improve safety.</w:t>
      </w:r>
    </w:p>
    <w:p w:rsidR="002C1123" w:rsidRDefault="002060EF">
      <w:pPr>
        <w:pStyle w:val="BodyText"/>
        <w:spacing w:before="2"/>
        <w:rPr>
          <w:sz w:val="11"/>
        </w:rPr>
      </w:pPr>
      <w:r>
        <w:pict>
          <v:shape id="docshape1923" o:spid="_x0000_s3159" style="position:absolute;margin-left:49.6pt;margin-top:7.65pt;width:1in;height:.1pt;z-index:-251353088;mso-wrap-distance-left:0;mso-wrap-distance-right:0;mso-position-horizontal-relative:page" coordorigin="992,153" coordsize="1440,0" path="m992,153r1440,e" filled="f" strokecolor="#9c9c9d" strokeweight=".5pt">
            <v:path arrowok="t"/>
            <w10:wrap type="topAndBottom" anchorx="page"/>
          </v:shape>
        </w:pict>
      </w:r>
    </w:p>
    <w:p w:rsidR="002C1123" w:rsidRDefault="00F22F94">
      <w:pPr>
        <w:pStyle w:val="ListParagraph"/>
        <w:numPr>
          <w:ilvl w:val="0"/>
          <w:numId w:val="73"/>
        </w:numPr>
        <w:tabs>
          <w:tab w:val="left" w:pos="691"/>
        </w:tabs>
        <w:spacing w:before="23"/>
        <w:ind w:left="690" w:right="684"/>
        <w:jc w:val="left"/>
        <w:rPr>
          <w:sz w:val="14"/>
        </w:rPr>
      </w:pPr>
      <w:r>
        <w:rPr>
          <w:w w:val="95"/>
          <w:sz w:val="14"/>
        </w:rPr>
        <w:t>NSW Government 2011, Pacific Highway upgrade, submission to</w:t>
      </w:r>
      <w:r>
        <w:rPr>
          <w:spacing w:val="40"/>
          <w:sz w:val="14"/>
        </w:rPr>
        <w:t xml:space="preserve"> </w:t>
      </w:r>
      <w:r>
        <w:rPr>
          <w:sz w:val="14"/>
        </w:rPr>
        <w:t>Infrastructure</w:t>
      </w:r>
      <w:r>
        <w:rPr>
          <w:spacing w:val="-10"/>
          <w:sz w:val="14"/>
        </w:rPr>
        <w:t xml:space="preserve"> </w:t>
      </w:r>
      <w:r>
        <w:rPr>
          <w:sz w:val="14"/>
        </w:rPr>
        <w:t>Australia.</w:t>
      </w:r>
    </w:p>
    <w:p w:rsidR="002C1123" w:rsidRDefault="00F22F94">
      <w:pPr>
        <w:spacing w:before="2" w:after="24"/>
        <w:rPr>
          <w:sz w:val="11"/>
        </w:rPr>
      </w:pPr>
      <w:r>
        <w:br w:type="column"/>
      </w:r>
    </w:p>
    <w:p w:rsidR="002C1123" w:rsidRDefault="002060EF">
      <w:pPr>
        <w:pStyle w:val="BodyText"/>
        <w:ind w:left="194" w:right="-44"/>
      </w:pPr>
      <w:r>
        <w:pict>
          <v:shape id="docshape1924" o:spid="_x0000_s5264" type="#_x0000_t202" style="width:239pt;height:69.35pt;mso-left-percent:-10001;mso-top-percent:-10001;mso-position-horizontal:absolute;mso-position-horizontal-relative:char;mso-position-vertical:absolute;mso-position-vertical-relative:line;mso-left-percent:-10001;mso-top-percent:-10001" fillcolor="#e1e0e1" stroked="f">
            <v:textbox inset="0,0,0,0">
              <w:txbxContent>
                <w:p w:rsidR="00F22F94" w:rsidRDefault="00F22F94">
                  <w:pPr>
                    <w:pStyle w:val="BodyText"/>
                    <w:spacing w:before="68" w:line="249" w:lineRule="auto"/>
                    <w:ind w:left="113" w:right="264"/>
                    <w:rPr>
                      <w:color w:val="000000"/>
                    </w:rPr>
                  </w:pPr>
                  <w:r>
                    <w:rPr>
                      <w:b/>
                      <w:color w:val="00AEEF"/>
                    </w:rPr>
                    <w:t>Recommendation</w:t>
                  </w:r>
                  <w:r>
                    <w:rPr>
                      <w:b/>
                      <w:color w:val="00AEEF"/>
                      <w:spacing w:val="40"/>
                    </w:rPr>
                    <w:t xml:space="preserve"> </w:t>
                  </w:r>
                  <w:r>
                    <w:rPr>
                      <w:color w:val="000000"/>
                    </w:rPr>
                    <w:t xml:space="preserve">Infrastructure NSW recommends a detailed assessment of the </w:t>
                  </w:r>
                  <w:r>
                    <w:rPr>
                      <w:color w:val="000000"/>
                      <w:w w:val="95"/>
                    </w:rPr>
                    <w:t>proposed</w:t>
                  </w:r>
                  <w:r>
                    <w:rPr>
                      <w:color w:val="000000"/>
                      <w:spacing w:val="-5"/>
                      <w:w w:val="95"/>
                    </w:rPr>
                    <w:t xml:space="preserve"> </w:t>
                  </w:r>
                  <w:r>
                    <w:rPr>
                      <w:color w:val="000000"/>
                      <w:w w:val="95"/>
                    </w:rPr>
                    <w:t>upgrade</w:t>
                  </w:r>
                  <w:r>
                    <w:rPr>
                      <w:color w:val="000000"/>
                      <w:spacing w:val="-5"/>
                      <w:w w:val="95"/>
                    </w:rPr>
                    <w:t xml:space="preserve"> </w:t>
                  </w:r>
                  <w:r>
                    <w:rPr>
                      <w:color w:val="000000"/>
                      <w:w w:val="95"/>
                    </w:rPr>
                    <w:t>to</w:t>
                  </w:r>
                  <w:r>
                    <w:rPr>
                      <w:color w:val="000000"/>
                      <w:spacing w:val="-5"/>
                      <w:w w:val="95"/>
                    </w:rPr>
                    <w:t xml:space="preserve"> </w:t>
                  </w:r>
                  <w:r>
                    <w:rPr>
                      <w:color w:val="000000"/>
                      <w:w w:val="95"/>
                    </w:rPr>
                    <w:t>the</w:t>
                  </w:r>
                  <w:r>
                    <w:rPr>
                      <w:color w:val="000000"/>
                      <w:spacing w:val="-5"/>
                      <w:w w:val="95"/>
                    </w:rPr>
                    <w:t xml:space="preserve"> </w:t>
                  </w:r>
                  <w:r>
                    <w:rPr>
                      <w:color w:val="000000"/>
                      <w:w w:val="95"/>
                    </w:rPr>
                    <w:t>F3</w:t>
                  </w:r>
                  <w:r>
                    <w:rPr>
                      <w:color w:val="000000"/>
                      <w:spacing w:val="-5"/>
                      <w:w w:val="95"/>
                    </w:rPr>
                    <w:t xml:space="preserve"> </w:t>
                  </w:r>
                  <w:r>
                    <w:rPr>
                      <w:color w:val="000000"/>
                      <w:w w:val="95"/>
                    </w:rPr>
                    <w:t>to</w:t>
                  </w:r>
                  <w:r>
                    <w:rPr>
                      <w:color w:val="000000"/>
                      <w:spacing w:val="-5"/>
                      <w:w w:val="95"/>
                    </w:rPr>
                    <w:t xml:space="preserve"> </w:t>
                  </w:r>
                  <w:r>
                    <w:rPr>
                      <w:color w:val="000000"/>
                      <w:w w:val="95"/>
                    </w:rPr>
                    <w:t>Raymond</w:t>
                  </w:r>
                  <w:r>
                    <w:rPr>
                      <w:color w:val="000000"/>
                      <w:spacing w:val="-5"/>
                      <w:w w:val="95"/>
                    </w:rPr>
                    <w:t xml:space="preserve"> </w:t>
                  </w:r>
                  <w:r>
                    <w:rPr>
                      <w:color w:val="000000"/>
                      <w:w w:val="95"/>
                    </w:rPr>
                    <w:t>Terrace</w:t>
                  </w:r>
                  <w:r>
                    <w:rPr>
                      <w:color w:val="000000"/>
                      <w:spacing w:val="-5"/>
                      <w:w w:val="95"/>
                    </w:rPr>
                    <w:t xml:space="preserve"> </w:t>
                  </w:r>
                  <w:r>
                    <w:rPr>
                      <w:color w:val="000000"/>
                      <w:w w:val="95"/>
                    </w:rPr>
                    <w:t>be</w:t>
                  </w:r>
                </w:p>
                <w:p w:rsidR="00F22F94" w:rsidRDefault="00F22F94">
                  <w:pPr>
                    <w:pStyle w:val="BodyText"/>
                    <w:spacing w:before="3" w:line="249" w:lineRule="auto"/>
                    <w:ind w:left="113"/>
                    <w:rPr>
                      <w:color w:val="000000"/>
                    </w:rPr>
                  </w:pPr>
                  <w:r>
                    <w:rPr>
                      <w:color w:val="000000"/>
                      <w:w w:val="95"/>
                    </w:rPr>
                    <w:t>undertaken,</w:t>
                  </w:r>
                  <w:r>
                    <w:rPr>
                      <w:color w:val="000000"/>
                      <w:spacing w:val="-5"/>
                      <w:w w:val="95"/>
                    </w:rPr>
                    <w:t xml:space="preserve"> </w:t>
                  </w:r>
                  <w:r>
                    <w:rPr>
                      <w:color w:val="000000"/>
                      <w:w w:val="95"/>
                    </w:rPr>
                    <w:t>with</w:t>
                  </w:r>
                  <w:r>
                    <w:rPr>
                      <w:color w:val="000000"/>
                      <w:spacing w:val="-5"/>
                      <w:w w:val="95"/>
                    </w:rPr>
                    <w:t xml:space="preserve"> </w:t>
                  </w:r>
                  <w:r>
                    <w:rPr>
                      <w:color w:val="000000"/>
                      <w:w w:val="95"/>
                    </w:rPr>
                    <w:t>a</w:t>
                  </w:r>
                  <w:r>
                    <w:rPr>
                      <w:color w:val="000000"/>
                      <w:spacing w:val="-5"/>
                      <w:w w:val="95"/>
                    </w:rPr>
                    <w:t xml:space="preserve"> </w:t>
                  </w:r>
                  <w:r>
                    <w:rPr>
                      <w:color w:val="000000"/>
                      <w:w w:val="95"/>
                    </w:rPr>
                    <w:t>view</w:t>
                  </w:r>
                  <w:r>
                    <w:rPr>
                      <w:color w:val="000000"/>
                      <w:spacing w:val="-5"/>
                      <w:w w:val="95"/>
                    </w:rPr>
                    <w:t xml:space="preserve"> </w:t>
                  </w:r>
                  <w:r>
                    <w:rPr>
                      <w:color w:val="000000"/>
                      <w:w w:val="95"/>
                    </w:rPr>
                    <w:t>to</w:t>
                  </w:r>
                  <w:r>
                    <w:rPr>
                      <w:color w:val="000000"/>
                      <w:spacing w:val="-5"/>
                      <w:w w:val="95"/>
                    </w:rPr>
                    <w:t xml:space="preserve"> </w:t>
                  </w:r>
                  <w:r>
                    <w:rPr>
                      <w:color w:val="000000"/>
                      <w:w w:val="95"/>
                    </w:rPr>
                    <w:t>it</w:t>
                  </w:r>
                  <w:r>
                    <w:rPr>
                      <w:color w:val="000000"/>
                      <w:spacing w:val="-5"/>
                      <w:w w:val="95"/>
                    </w:rPr>
                    <w:t xml:space="preserve"> </w:t>
                  </w:r>
                  <w:r>
                    <w:rPr>
                      <w:color w:val="000000"/>
                      <w:w w:val="95"/>
                    </w:rPr>
                    <w:t>being</w:t>
                  </w:r>
                  <w:r>
                    <w:rPr>
                      <w:color w:val="000000"/>
                      <w:spacing w:val="-5"/>
                      <w:w w:val="95"/>
                    </w:rPr>
                    <w:t xml:space="preserve"> </w:t>
                  </w:r>
                  <w:r>
                    <w:rPr>
                      <w:color w:val="000000"/>
                      <w:w w:val="95"/>
                    </w:rPr>
                    <w:t>built</w:t>
                  </w:r>
                  <w:r>
                    <w:rPr>
                      <w:color w:val="000000"/>
                      <w:spacing w:val="-5"/>
                      <w:w w:val="95"/>
                    </w:rPr>
                    <w:t xml:space="preserve"> </w:t>
                  </w:r>
                  <w:r>
                    <w:rPr>
                      <w:color w:val="000000"/>
                      <w:w w:val="95"/>
                    </w:rPr>
                    <w:t>within</w:t>
                  </w:r>
                  <w:r>
                    <w:rPr>
                      <w:color w:val="000000"/>
                      <w:spacing w:val="-5"/>
                      <w:w w:val="95"/>
                    </w:rPr>
                    <w:t xml:space="preserve"> </w:t>
                  </w:r>
                  <w:r>
                    <w:rPr>
                      <w:color w:val="000000"/>
                      <w:w w:val="95"/>
                    </w:rPr>
                    <w:t>the</w:t>
                  </w:r>
                  <w:r>
                    <w:rPr>
                      <w:color w:val="000000"/>
                      <w:spacing w:val="-5"/>
                      <w:w w:val="95"/>
                    </w:rPr>
                    <w:t xml:space="preserve"> </w:t>
                  </w:r>
                  <w:r>
                    <w:rPr>
                      <w:color w:val="000000"/>
                      <w:w w:val="95"/>
                    </w:rPr>
                    <w:t xml:space="preserve">next </w:t>
                  </w:r>
                  <w:r>
                    <w:rPr>
                      <w:color w:val="000000"/>
                    </w:rPr>
                    <w:t>ten</w:t>
                  </w:r>
                  <w:r>
                    <w:rPr>
                      <w:color w:val="000000"/>
                      <w:spacing w:val="-7"/>
                    </w:rPr>
                    <w:t xml:space="preserve"> </w:t>
                  </w:r>
                  <w:r>
                    <w:rPr>
                      <w:color w:val="000000"/>
                    </w:rPr>
                    <w:t>years.</w:t>
                  </w:r>
                </w:p>
              </w:txbxContent>
            </v:textbox>
            <w10:anchorlock/>
          </v:shape>
        </w:pict>
      </w:r>
    </w:p>
    <w:p w:rsidR="002C1123" w:rsidRDefault="002C1123">
      <w:pPr>
        <w:pStyle w:val="BodyText"/>
        <w:spacing w:before="2"/>
      </w:pPr>
    </w:p>
    <w:p w:rsidR="002C1123" w:rsidRDefault="00F22F94">
      <w:pPr>
        <w:pStyle w:val="Heading6"/>
        <w:spacing w:before="0"/>
        <w:ind w:left="194"/>
      </w:pPr>
      <w:r>
        <w:rPr>
          <w:w w:val="95"/>
        </w:rPr>
        <w:t>Construction</w:t>
      </w:r>
      <w:r>
        <w:rPr>
          <w:spacing w:val="36"/>
        </w:rPr>
        <w:t xml:space="preserve"> </w:t>
      </w:r>
      <w:r>
        <w:rPr>
          <w:spacing w:val="-2"/>
        </w:rPr>
        <w:t>costs</w:t>
      </w:r>
    </w:p>
    <w:p w:rsidR="002C1123" w:rsidRDefault="00F22F94">
      <w:pPr>
        <w:pStyle w:val="BodyText"/>
        <w:spacing w:before="10" w:line="249" w:lineRule="auto"/>
        <w:ind w:left="194" w:right="2"/>
      </w:pPr>
      <w:r>
        <w:rPr>
          <w:w w:val="95"/>
        </w:rPr>
        <w:t>Construction</w:t>
      </w:r>
      <w:r>
        <w:rPr>
          <w:spacing w:val="-12"/>
          <w:w w:val="95"/>
        </w:rPr>
        <w:t xml:space="preserve"> </w:t>
      </w:r>
      <w:r>
        <w:rPr>
          <w:w w:val="95"/>
        </w:rPr>
        <w:t>costs</w:t>
      </w:r>
      <w:r>
        <w:rPr>
          <w:spacing w:val="-11"/>
          <w:w w:val="95"/>
        </w:rPr>
        <w:t xml:space="preserve"> </w:t>
      </w:r>
      <w:r>
        <w:rPr>
          <w:w w:val="95"/>
        </w:rPr>
        <w:t>on</w:t>
      </w:r>
      <w:r>
        <w:rPr>
          <w:spacing w:val="-11"/>
          <w:w w:val="95"/>
        </w:rPr>
        <w:t xml:space="preserve"> </w:t>
      </w:r>
      <w:r>
        <w:rPr>
          <w:w w:val="95"/>
        </w:rPr>
        <w:t>the</w:t>
      </w:r>
      <w:r>
        <w:rPr>
          <w:spacing w:val="-11"/>
          <w:w w:val="95"/>
        </w:rPr>
        <w:t xml:space="preserve"> </w:t>
      </w:r>
      <w:r>
        <w:rPr>
          <w:w w:val="95"/>
        </w:rPr>
        <w:t>Pacific</w:t>
      </w:r>
      <w:r>
        <w:rPr>
          <w:spacing w:val="-12"/>
          <w:w w:val="95"/>
        </w:rPr>
        <w:t xml:space="preserve"> </w:t>
      </w:r>
      <w:r>
        <w:rPr>
          <w:w w:val="95"/>
        </w:rPr>
        <w:t>Highway</w:t>
      </w:r>
      <w:r>
        <w:rPr>
          <w:spacing w:val="-11"/>
          <w:w w:val="95"/>
        </w:rPr>
        <w:t xml:space="preserve"> </w:t>
      </w:r>
      <w:r>
        <w:rPr>
          <w:w w:val="95"/>
        </w:rPr>
        <w:t>appear</w:t>
      </w:r>
      <w:r>
        <w:rPr>
          <w:spacing w:val="-11"/>
          <w:w w:val="95"/>
        </w:rPr>
        <w:t xml:space="preserve"> </w:t>
      </w:r>
      <w:r>
        <w:rPr>
          <w:w w:val="95"/>
        </w:rPr>
        <w:t>to</w:t>
      </w:r>
      <w:r>
        <w:rPr>
          <w:spacing w:val="-11"/>
          <w:w w:val="95"/>
        </w:rPr>
        <w:t xml:space="preserve"> </w:t>
      </w:r>
      <w:r>
        <w:rPr>
          <w:w w:val="95"/>
        </w:rPr>
        <w:t>have increased</w:t>
      </w:r>
      <w:r>
        <w:rPr>
          <w:spacing w:val="-9"/>
          <w:w w:val="95"/>
        </w:rPr>
        <w:t xml:space="preserve"> </w:t>
      </w:r>
      <w:r>
        <w:rPr>
          <w:w w:val="95"/>
        </w:rPr>
        <w:t>significantly</w:t>
      </w:r>
      <w:r>
        <w:rPr>
          <w:spacing w:val="-9"/>
          <w:w w:val="95"/>
        </w:rPr>
        <w:t xml:space="preserve"> </w:t>
      </w:r>
      <w:r>
        <w:rPr>
          <w:w w:val="95"/>
        </w:rPr>
        <w:t>as</w:t>
      </w:r>
      <w:r>
        <w:rPr>
          <w:spacing w:val="-9"/>
          <w:w w:val="95"/>
        </w:rPr>
        <w:t xml:space="preserve"> </w:t>
      </w:r>
      <w:r>
        <w:rPr>
          <w:w w:val="95"/>
        </w:rPr>
        <w:t>the</w:t>
      </w:r>
      <w:r>
        <w:rPr>
          <w:spacing w:val="-9"/>
          <w:w w:val="95"/>
        </w:rPr>
        <w:t xml:space="preserve"> </w:t>
      </w:r>
      <w:r>
        <w:rPr>
          <w:w w:val="95"/>
        </w:rPr>
        <w:t>upgrades</w:t>
      </w:r>
      <w:r>
        <w:rPr>
          <w:spacing w:val="-9"/>
          <w:w w:val="95"/>
        </w:rPr>
        <w:t xml:space="preserve"> </w:t>
      </w:r>
      <w:r>
        <w:rPr>
          <w:w w:val="95"/>
        </w:rPr>
        <w:t>have</w:t>
      </w:r>
      <w:r>
        <w:rPr>
          <w:spacing w:val="-9"/>
          <w:w w:val="95"/>
        </w:rPr>
        <w:t xml:space="preserve"> </w:t>
      </w:r>
      <w:r>
        <w:rPr>
          <w:w w:val="95"/>
        </w:rPr>
        <w:t>progressed. The</w:t>
      </w:r>
      <w:r>
        <w:rPr>
          <w:spacing w:val="-12"/>
          <w:w w:val="95"/>
        </w:rPr>
        <w:t xml:space="preserve"> </w:t>
      </w:r>
      <w:r>
        <w:rPr>
          <w:w w:val="95"/>
        </w:rPr>
        <w:t>cost</w:t>
      </w:r>
      <w:r>
        <w:rPr>
          <w:spacing w:val="-11"/>
          <w:w w:val="95"/>
        </w:rPr>
        <w:t xml:space="preserve"> </w:t>
      </w:r>
      <w:r>
        <w:rPr>
          <w:w w:val="95"/>
        </w:rPr>
        <w:t>of</w:t>
      </w:r>
      <w:r>
        <w:rPr>
          <w:spacing w:val="-11"/>
          <w:w w:val="95"/>
        </w:rPr>
        <w:t xml:space="preserve"> </w:t>
      </w:r>
      <w:r>
        <w:rPr>
          <w:w w:val="95"/>
        </w:rPr>
        <w:t>the</w:t>
      </w:r>
      <w:r>
        <w:rPr>
          <w:spacing w:val="-11"/>
          <w:w w:val="95"/>
        </w:rPr>
        <w:t xml:space="preserve"> </w:t>
      </w:r>
      <w:r>
        <w:rPr>
          <w:w w:val="95"/>
        </w:rPr>
        <w:t>currently</w:t>
      </w:r>
      <w:r>
        <w:rPr>
          <w:spacing w:val="-12"/>
          <w:w w:val="95"/>
        </w:rPr>
        <w:t xml:space="preserve"> </w:t>
      </w:r>
      <w:r>
        <w:rPr>
          <w:w w:val="95"/>
        </w:rPr>
        <w:t>unfunded</w:t>
      </w:r>
      <w:r>
        <w:rPr>
          <w:spacing w:val="-11"/>
          <w:w w:val="95"/>
        </w:rPr>
        <w:t xml:space="preserve"> </w:t>
      </w:r>
      <w:r>
        <w:rPr>
          <w:w w:val="95"/>
        </w:rPr>
        <w:t>sections</w:t>
      </w:r>
      <w:r>
        <w:rPr>
          <w:spacing w:val="-11"/>
          <w:w w:val="95"/>
        </w:rPr>
        <w:t xml:space="preserve"> </w:t>
      </w:r>
      <w:r>
        <w:rPr>
          <w:w w:val="95"/>
        </w:rPr>
        <w:t>are</w:t>
      </w:r>
      <w:r>
        <w:rPr>
          <w:spacing w:val="-11"/>
          <w:w w:val="95"/>
        </w:rPr>
        <w:t xml:space="preserve"> </w:t>
      </w:r>
      <w:r>
        <w:rPr>
          <w:w w:val="95"/>
        </w:rPr>
        <w:t xml:space="preserve">estimated </w:t>
      </w:r>
      <w:r>
        <w:t>to</w:t>
      </w:r>
      <w:r>
        <w:rPr>
          <w:spacing w:val="-10"/>
        </w:rPr>
        <w:t xml:space="preserve"> </w:t>
      </w:r>
      <w:r>
        <w:t>be</w:t>
      </w:r>
      <w:r>
        <w:rPr>
          <w:spacing w:val="-10"/>
        </w:rPr>
        <w:t xml:space="preserve"> </w:t>
      </w:r>
      <w:r>
        <w:t>some</w:t>
      </w:r>
      <w:r>
        <w:rPr>
          <w:spacing w:val="-10"/>
        </w:rPr>
        <w:t xml:space="preserve"> </w:t>
      </w:r>
      <w:r>
        <w:t>20–40</w:t>
      </w:r>
      <w:r>
        <w:rPr>
          <w:spacing w:val="-10"/>
        </w:rPr>
        <w:t xml:space="preserve"> </w:t>
      </w:r>
      <w:r>
        <w:t>percent</w:t>
      </w:r>
      <w:r>
        <w:rPr>
          <w:spacing w:val="-10"/>
        </w:rPr>
        <w:t xml:space="preserve"> </w:t>
      </w:r>
      <w:r>
        <w:t>more</w:t>
      </w:r>
      <w:r>
        <w:rPr>
          <w:spacing w:val="-10"/>
        </w:rPr>
        <w:t xml:space="preserve"> </w:t>
      </w:r>
      <w:r>
        <w:t>per</w:t>
      </w:r>
      <w:r>
        <w:rPr>
          <w:spacing w:val="-10"/>
        </w:rPr>
        <w:t xml:space="preserve"> </w:t>
      </w:r>
      <w:r>
        <w:t>kilometre</w:t>
      </w:r>
      <w:r>
        <w:rPr>
          <w:spacing w:val="-10"/>
        </w:rPr>
        <w:t xml:space="preserve"> </w:t>
      </w:r>
      <w:r>
        <w:t>than</w:t>
      </w:r>
      <w:r>
        <w:rPr>
          <w:spacing w:val="-10"/>
        </w:rPr>
        <w:t xml:space="preserve"> </w:t>
      </w:r>
      <w:r>
        <w:t>the already</w:t>
      </w:r>
      <w:r>
        <w:rPr>
          <w:spacing w:val="-13"/>
        </w:rPr>
        <w:t xml:space="preserve"> </w:t>
      </w:r>
      <w:r>
        <w:t>delivered</w:t>
      </w:r>
      <w:r>
        <w:rPr>
          <w:spacing w:val="-13"/>
        </w:rPr>
        <w:t xml:space="preserve"> </w:t>
      </w:r>
      <w:r>
        <w:t>or</w:t>
      </w:r>
      <w:r>
        <w:rPr>
          <w:spacing w:val="-13"/>
        </w:rPr>
        <w:t xml:space="preserve"> </w:t>
      </w:r>
      <w:r>
        <w:t>committed</w:t>
      </w:r>
      <w:r>
        <w:rPr>
          <w:spacing w:val="-13"/>
        </w:rPr>
        <w:t xml:space="preserve"> </w:t>
      </w:r>
      <w:r>
        <w:t>sections,</w:t>
      </w:r>
      <w:r>
        <w:rPr>
          <w:spacing w:val="-13"/>
        </w:rPr>
        <w:t xml:space="preserve"> </w:t>
      </w:r>
      <w:r>
        <w:t>even</w:t>
      </w:r>
      <w:r>
        <w:rPr>
          <w:spacing w:val="-13"/>
        </w:rPr>
        <w:t xml:space="preserve"> </w:t>
      </w:r>
      <w:r>
        <w:t>after allowing</w:t>
      </w:r>
      <w:r>
        <w:rPr>
          <w:spacing w:val="-4"/>
        </w:rPr>
        <w:t xml:space="preserve"> </w:t>
      </w:r>
      <w:r>
        <w:t>for</w:t>
      </w:r>
      <w:r>
        <w:rPr>
          <w:spacing w:val="-4"/>
        </w:rPr>
        <w:t xml:space="preserve"> </w:t>
      </w:r>
      <w:r>
        <w:t>normal</w:t>
      </w:r>
      <w:r>
        <w:rPr>
          <w:spacing w:val="-4"/>
        </w:rPr>
        <w:t xml:space="preserve"> </w:t>
      </w:r>
      <w:r>
        <w:t>industry</w:t>
      </w:r>
      <w:r>
        <w:rPr>
          <w:spacing w:val="-4"/>
        </w:rPr>
        <w:t xml:space="preserve"> </w:t>
      </w:r>
      <w:r>
        <w:t>cost</w:t>
      </w:r>
      <w:r>
        <w:rPr>
          <w:spacing w:val="-4"/>
        </w:rPr>
        <w:t xml:space="preserve"> </w:t>
      </w:r>
      <w:r>
        <w:t>escalation</w:t>
      </w:r>
      <w:r>
        <w:rPr>
          <w:position w:val="7"/>
          <w:sz w:val="11"/>
        </w:rPr>
        <w:t>32</w:t>
      </w:r>
      <w:r>
        <w:t>.</w:t>
      </w:r>
    </w:p>
    <w:p w:rsidR="002C1123" w:rsidRDefault="00F22F94">
      <w:pPr>
        <w:pStyle w:val="BodyText"/>
        <w:spacing w:before="118" w:line="249" w:lineRule="auto"/>
        <w:ind w:left="194" w:right="51"/>
      </w:pPr>
      <w:r>
        <w:t>Current</w:t>
      </w:r>
      <w:r>
        <w:rPr>
          <w:spacing w:val="-10"/>
        </w:rPr>
        <w:t xml:space="preserve"> </w:t>
      </w:r>
      <w:r>
        <w:t>highway</w:t>
      </w:r>
      <w:r>
        <w:rPr>
          <w:spacing w:val="-10"/>
        </w:rPr>
        <w:t xml:space="preserve"> </w:t>
      </w:r>
      <w:r>
        <w:t>planning</w:t>
      </w:r>
      <w:r>
        <w:rPr>
          <w:spacing w:val="-10"/>
        </w:rPr>
        <w:t xml:space="preserve"> </w:t>
      </w:r>
      <w:r>
        <w:t>seems</w:t>
      </w:r>
      <w:r>
        <w:rPr>
          <w:spacing w:val="-10"/>
        </w:rPr>
        <w:t xml:space="preserve"> </w:t>
      </w:r>
      <w:r>
        <w:t>more</w:t>
      </w:r>
      <w:r>
        <w:rPr>
          <w:spacing w:val="-10"/>
        </w:rPr>
        <w:t xml:space="preserve"> </w:t>
      </w:r>
      <w:r>
        <w:t>focussed</w:t>
      </w:r>
      <w:r>
        <w:rPr>
          <w:spacing w:val="-10"/>
        </w:rPr>
        <w:t xml:space="preserve"> </w:t>
      </w:r>
      <w:r>
        <w:t>on delivering</w:t>
      </w:r>
      <w:r>
        <w:rPr>
          <w:spacing w:val="-11"/>
        </w:rPr>
        <w:t xml:space="preserve"> </w:t>
      </w:r>
      <w:r>
        <w:t>an</w:t>
      </w:r>
      <w:r>
        <w:rPr>
          <w:spacing w:val="-11"/>
        </w:rPr>
        <w:t xml:space="preserve"> </w:t>
      </w:r>
      <w:r>
        <w:t>outstanding</w:t>
      </w:r>
      <w:r>
        <w:rPr>
          <w:spacing w:val="-11"/>
        </w:rPr>
        <w:t xml:space="preserve"> </w:t>
      </w:r>
      <w:r>
        <w:t>engineering</w:t>
      </w:r>
      <w:r>
        <w:rPr>
          <w:spacing w:val="-11"/>
        </w:rPr>
        <w:t xml:space="preserve"> </w:t>
      </w:r>
      <w:r>
        <w:t>outcome</w:t>
      </w:r>
      <w:r>
        <w:rPr>
          <w:spacing w:val="-11"/>
        </w:rPr>
        <w:t xml:space="preserve"> </w:t>
      </w:r>
      <w:r>
        <w:t>than on</w:t>
      </w:r>
      <w:r>
        <w:rPr>
          <w:spacing w:val="-12"/>
        </w:rPr>
        <w:t xml:space="preserve"> </w:t>
      </w:r>
      <w:r>
        <w:t>controlling</w:t>
      </w:r>
      <w:r>
        <w:rPr>
          <w:spacing w:val="-12"/>
        </w:rPr>
        <w:t xml:space="preserve"> </w:t>
      </w:r>
      <w:r>
        <w:t>costs.</w:t>
      </w:r>
      <w:r>
        <w:rPr>
          <w:spacing w:val="-12"/>
        </w:rPr>
        <w:t xml:space="preserve"> </w:t>
      </w:r>
      <w:r>
        <w:t>The</w:t>
      </w:r>
      <w:r>
        <w:rPr>
          <w:spacing w:val="-12"/>
        </w:rPr>
        <w:t xml:space="preserve"> </w:t>
      </w:r>
      <w:r>
        <w:t>Ballina</w:t>
      </w:r>
      <w:r>
        <w:rPr>
          <w:spacing w:val="-12"/>
        </w:rPr>
        <w:t xml:space="preserve"> </w:t>
      </w:r>
      <w:r>
        <w:t>Bypass</w:t>
      </w:r>
      <w:r>
        <w:rPr>
          <w:spacing w:val="-12"/>
        </w:rPr>
        <w:t xml:space="preserve"> </w:t>
      </w:r>
      <w:r>
        <w:t>provides</w:t>
      </w:r>
      <w:r>
        <w:rPr>
          <w:spacing w:val="-12"/>
        </w:rPr>
        <w:t xml:space="preserve"> </w:t>
      </w:r>
      <w:r>
        <w:t>a recent</w:t>
      </w:r>
      <w:r>
        <w:rPr>
          <w:spacing w:val="-14"/>
        </w:rPr>
        <w:t xml:space="preserve"> </w:t>
      </w:r>
      <w:r>
        <w:t>illustration</w:t>
      </w:r>
      <w:r>
        <w:rPr>
          <w:spacing w:val="-14"/>
        </w:rPr>
        <w:t xml:space="preserve"> </w:t>
      </w:r>
      <w:r>
        <w:t>of</w:t>
      </w:r>
      <w:r>
        <w:rPr>
          <w:spacing w:val="-14"/>
        </w:rPr>
        <w:t xml:space="preserve"> </w:t>
      </w:r>
      <w:r>
        <w:t>the</w:t>
      </w:r>
      <w:r>
        <w:rPr>
          <w:spacing w:val="-14"/>
        </w:rPr>
        <w:t xml:space="preserve"> </w:t>
      </w:r>
      <w:r>
        <w:t>consequences</w:t>
      </w:r>
      <w:r>
        <w:rPr>
          <w:spacing w:val="-14"/>
        </w:rPr>
        <w:t xml:space="preserve"> </w:t>
      </w:r>
      <w:r>
        <w:t>of</w:t>
      </w:r>
      <w:r>
        <w:rPr>
          <w:spacing w:val="-14"/>
        </w:rPr>
        <w:t xml:space="preserve"> </w:t>
      </w:r>
      <w:r>
        <w:t>having</w:t>
      </w:r>
      <w:r>
        <w:rPr>
          <w:spacing w:val="-14"/>
        </w:rPr>
        <w:t xml:space="preserve"> </w:t>
      </w:r>
      <w:r>
        <w:t xml:space="preserve">high </w:t>
      </w:r>
      <w:r>
        <w:rPr>
          <w:w w:val="95"/>
        </w:rPr>
        <w:t>performance</w:t>
      </w:r>
      <w:r>
        <w:rPr>
          <w:spacing w:val="-3"/>
          <w:w w:val="95"/>
        </w:rPr>
        <w:t xml:space="preserve"> </w:t>
      </w:r>
      <w:r>
        <w:rPr>
          <w:w w:val="95"/>
        </w:rPr>
        <w:t>standards.</w:t>
      </w:r>
      <w:r>
        <w:rPr>
          <w:spacing w:val="-3"/>
          <w:w w:val="95"/>
        </w:rPr>
        <w:t xml:space="preserve"> </w:t>
      </w:r>
      <w:r>
        <w:rPr>
          <w:w w:val="95"/>
        </w:rPr>
        <w:t>For</w:t>
      </w:r>
      <w:r>
        <w:rPr>
          <w:spacing w:val="-3"/>
          <w:w w:val="95"/>
        </w:rPr>
        <w:t xml:space="preserve"> </w:t>
      </w:r>
      <w:r>
        <w:rPr>
          <w:w w:val="95"/>
        </w:rPr>
        <w:t>12</w:t>
      </w:r>
      <w:r>
        <w:rPr>
          <w:spacing w:val="-3"/>
          <w:w w:val="95"/>
        </w:rPr>
        <w:t xml:space="preserve"> </w:t>
      </w:r>
      <w:r>
        <w:rPr>
          <w:w w:val="95"/>
        </w:rPr>
        <w:t>kilometres</w:t>
      </w:r>
      <w:r>
        <w:rPr>
          <w:spacing w:val="-3"/>
          <w:w w:val="95"/>
        </w:rPr>
        <w:t xml:space="preserve"> </w:t>
      </w:r>
      <w:r>
        <w:rPr>
          <w:w w:val="95"/>
        </w:rPr>
        <w:t>of</w:t>
      </w:r>
      <w:r>
        <w:rPr>
          <w:spacing w:val="-3"/>
          <w:w w:val="95"/>
        </w:rPr>
        <w:t xml:space="preserve"> </w:t>
      </w:r>
      <w:r>
        <w:rPr>
          <w:w w:val="95"/>
        </w:rPr>
        <w:t>new</w:t>
      </w:r>
      <w:r>
        <w:rPr>
          <w:spacing w:val="-3"/>
          <w:w w:val="95"/>
        </w:rPr>
        <w:t xml:space="preserve"> </w:t>
      </w:r>
      <w:r>
        <w:rPr>
          <w:w w:val="95"/>
        </w:rPr>
        <w:t>road,</w:t>
      </w:r>
    </w:p>
    <w:p w:rsidR="002C1123" w:rsidRDefault="00F22F94">
      <w:pPr>
        <w:pStyle w:val="BodyText"/>
        <w:spacing w:before="4" w:line="249" w:lineRule="auto"/>
        <w:ind w:left="194"/>
      </w:pPr>
      <w:r>
        <w:rPr>
          <w:w w:val="95"/>
        </w:rPr>
        <w:t>the</w:t>
      </w:r>
      <w:r>
        <w:rPr>
          <w:spacing w:val="-2"/>
          <w:w w:val="95"/>
        </w:rPr>
        <w:t xml:space="preserve"> </w:t>
      </w:r>
      <w:r>
        <w:rPr>
          <w:w w:val="95"/>
        </w:rPr>
        <w:t>cost</w:t>
      </w:r>
      <w:r>
        <w:rPr>
          <w:spacing w:val="-2"/>
          <w:w w:val="95"/>
        </w:rPr>
        <w:t xml:space="preserve"> </w:t>
      </w:r>
      <w:r>
        <w:rPr>
          <w:w w:val="95"/>
        </w:rPr>
        <w:t>was</w:t>
      </w:r>
      <w:r>
        <w:rPr>
          <w:spacing w:val="-2"/>
          <w:w w:val="95"/>
        </w:rPr>
        <w:t xml:space="preserve"> </w:t>
      </w:r>
      <w:r>
        <w:rPr>
          <w:w w:val="95"/>
        </w:rPr>
        <w:t>$640</w:t>
      </w:r>
      <w:r>
        <w:rPr>
          <w:spacing w:val="-2"/>
          <w:w w:val="95"/>
        </w:rPr>
        <w:t xml:space="preserve"> </w:t>
      </w:r>
      <w:r>
        <w:rPr>
          <w:w w:val="95"/>
        </w:rPr>
        <w:t>million</w:t>
      </w:r>
      <w:r>
        <w:rPr>
          <w:spacing w:val="-2"/>
          <w:w w:val="95"/>
        </w:rPr>
        <w:t xml:space="preserve"> </w:t>
      </w:r>
      <w:r>
        <w:rPr>
          <w:w w:val="95"/>
        </w:rPr>
        <w:t>–</w:t>
      </w:r>
      <w:r>
        <w:rPr>
          <w:spacing w:val="-2"/>
          <w:w w:val="95"/>
        </w:rPr>
        <w:t xml:space="preserve"> </w:t>
      </w:r>
      <w:r>
        <w:rPr>
          <w:w w:val="95"/>
        </w:rPr>
        <w:t>more</w:t>
      </w:r>
      <w:r>
        <w:rPr>
          <w:spacing w:val="-2"/>
          <w:w w:val="95"/>
        </w:rPr>
        <w:t xml:space="preserve"> </w:t>
      </w:r>
      <w:r>
        <w:rPr>
          <w:w w:val="95"/>
        </w:rPr>
        <w:t>than</w:t>
      </w:r>
      <w:r>
        <w:rPr>
          <w:spacing w:val="-2"/>
          <w:w w:val="95"/>
        </w:rPr>
        <w:t xml:space="preserve"> </w:t>
      </w:r>
      <w:r>
        <w:rPr>
          <w:w w:val="95"/>
        </w:rPr>
        <w:t>twice</w:t>
      </w:r>
      <w:r>
        <w:rPr>
          <w:spacing w:val="-2"/>
          <w:w w:val="95"/>
        </w:rPr>
        <w:t xml:space="preserve"> </w:t>
      </w:r>
      <w:r>
        <w:rPr>
          <w:w w:val="95"/>
        </w:rPr>
        <w:t>the</w:t>
      </w:r>
      <w:r>
        <w:rPr>
          <w:spacing w:val="-2"/>
          <w:w w:val="95"/>
        </w:rPr>
        <w:t xml:space="preserve"> </w:t>
      </w:r>
      <w:r>
        <w:rPr>
          <w:w w:val="95"/>
        </w:rPr>
        <w:t>cost</w:t>
      </w:r>
      <w:r>
        <w:rPr>
          <w:spacing w:val="-2"/>
          <w:w w:val="95"/>
        </w:rPr>
        <w:t xml:space="preserve"> </w:t>
      </w:r>
      <w:r>
        <w:rPr>
          <w:w w:val="95"/>
        </w:rPr>
        <w:t xml:space="preserve">per </w:t>
      </w:r>
      <w:r>
        <w:t>kilometre of previous sections</w:t>
      </w:r>
      <w:r>
        <w:rPr>
          <w:position w:val="7"/>
          <w:sz w:val="11"/>
        </w:rPr>
        <w:t>33</w:t>
      </w:r>
      <w:r>
        <w:t>.</w:t>
      </w:r>
    </w:p>
    <w:p w:rsidR="002C1123" w:rsidRDefault="00F22F94">
      <w:pPr>
        <w:pStyle w:val="BodyText"/>
        <w:spacing w:before="115" w:line="249" w:lineRule="auto"/>
        <w:ind w:left="194"/>
      </w:pPr>
      <w:r>
        <w:rPr>
          <w:spacing w:val="-2"/>
        </w:rPr>
        <w:t>Given</w:t>
      </w:r>
      <w:r>
        <w:rPr>
          <w:spacing w:val="-9"/>
        </w:rPr>
        <w:t xml:space="preserve"> </w:t>
      </w:r>
      <w:r>
        <w:rPr>
          <w:spacing w:val="-2"/>
        </w:rPr>
        <w:t>the</w:t>
      </w:r>
      <w:r>
        <w:rPr>
          <w:spacing w:val="-9"/>
        </w:rPr>
        <w:t xml:space="preserve"> </w:t>
      </w:r>
      <w:r>
        <w:rPr>
          <w:spacing w:val="-2"/>
        </w:rPr>
        <w:t>scale</w:t>
      </w:r>
      <w:r>
        <w:rPr>
          <w:spacing w:val="-9"/>
        </w:rPr>
        <w:t xml:space="preserve"> </w:t>
      </w:r>
      <w:r>
        <w:rPr>
          <w:spacing w:val="-2"/>
        </w:rPr>
        <w:t>of</w:t>
      </w:r>
      <w:r>
        <w:rPr>
          <w:spacing w:val="-9"/>
        </w:rPr>
        <w:t xml:space="preserve"> </w:t>
      </w:r>
      <w:r>
        <w:rPr>
          <w:spacing w:val="-2"/>
        </w:rPr>
        <w:t>the</w:t>
      </w:r>
      <w:r>
        <w:rPr>
          <w:spacing w:val="-9"/>
        </w:rPr>
        <w:t xml:space="preserve"> </w:t>
      </w:r>
      <w:r>
        <w:rPr>
          <w:spacing w:val="-2"/>
        </w:rPr>
        <w:t>forecast</w:t>
      </w:r>
      <w:r>
        <w:rPr>
          <w:spacing w:val="-9"/>
        </w:rPr>
        <w:t xml:space="preserve"> </w:t>
      </w:r>
      <w:r>
        <w:rPr>
          <w:spacing w:val="-2"/>
        </w:rPr>
        <w:t>spending</w:t>
      </w:r>
      <w:r>
        <w:rPr>
          <w:spacing w:val="-9"/>
        </w:rPr>
        <w:t xml:space="preserve"> </w:t>
      </w:r>
      <w:r>
        <w:rPr>
          <w:spacing w:val="-2"/>
        </w:rPr>
        <w:t>and</w:t>
      </w:r>
      <w:r>
        <w:rPr>
          <w:spacing w:val="-9"/>
        </w:rPr>
        <w:t xml:space="preserve"> </w:t>
      </w:r>
      <w:r>
        <w:rPr>
          <w:spacing w:val="-2"/>
        </w:rPr>
        <w:t>the</w:t>
      </w:r>
      <w:r>
        <w:rPr>
          <w:spacing w:val="-9"/>
        </w:rPr>
        <w:t xml:space="preserve"> </w:t>
      </w:r>
      <w:r>
        <w:rPr>
          <w:spacing w:val="-2"/>
        </w:rPr>
        <w:t xml:space="preserve">limited </w:t>
      </w:r>
      <w:r>
        <w:rPr>
          <w:w w:val="95"/>
        </w:rPr>
        <w:t>resources available, Infrastructure NSW recommends that</w:t>
      </w:r>
      <w:r>
        <w:rPr>
          <w:spacing w:val="-10"/>
          <w:w w:val="95"/>
        </w:rPr>
        <w:t xml:space="preserve"> </w:t>
      </w:r>
      <w:r>
        <w:rPr>
          <w:w w:val="95"/>
        </w:rPr>
        <w:t>now</w:t>
      </w:r>
      <w:r>
        <w:rPr>
          <w:spacing w:val="-10"/>
          <w:w w:val="95"/>
        </w:rPr>
        <w:t xml:space="preserve"> </w:t>
      </w:r>
      <w:r>
        <w:rPr>
          <w:w w:val="95"/>
        </w:rPr>
        <w:t>is</w:t>
      </w:r>
      <w:r>
        <w:rPr>
          <w:spacing w:val="-10"/>
          <w:w w:val="95"/>
        </w:rPr>
        <w:t xml:space="preserve"> </w:t>
      </w:r>
      <w:r>
        <w:rPr>
          <w:w w:val="95"/>
        </w:rPr>
        <w:t>an</w:t>
      </w:r>
      <w:r>
        <w:rPr>
          <w:spacing w:val="-10"/>
          <w:w w:val="95"/>
        </w:rPr>
        <w:t xml:space="preserve"> </w:t>
      </w:r>
      <w:r>
        <w:rPr>
          <w:w w:val="95"/>
        </w:rPr>
        <w:t>appropriate</w:t>
      </w:r>
      <w:r>
        <w:rPr>
          <w:spacing w:val="-10"/>
          <w:w w:val="95"/>
        </w:rPr>
        <w:t xml:space="preserve"> </w:t>
      </w:r>
      <w:r>
        <w:rPr>
          <w:w w:val="95"/>
        </w:rPr>
        <w:t>time</w:t>
      </w:r>
      <w:r>
        <w:rPr>
          <w:spacing w:val="-10"/>
          <w:w w:val="95"/>
        </w:rPr>
        <w:t xml:space="preserve"> </w:t>
      </w:r>
      <w:r>
        <w:rPr>
          <w:w w:val="95"/>
        </w:rPr>
        <w:t>for</w:t>
      </w:r>
      <w:r>
        <w:rPr>
          <w:spacing w:val="-10"/>
          <w:w w:val="95"/>
        </w:rPr>
        <w:t xml:space="preserve"> </w:t>
      </w:r>
      <w:r>
        <w:rPr>
          <w:w w:val="95"/>
        </w:rPr>
        <w:t>an</w:t>
      </w:r>
      <w:r>
        <w:rPr>
          <w:spacing w:val="-10"/>
          <w:w w:val="95"/>
        </w:rPr>
        <w:t xml:space="preserve"> </w:t>
      </w:r>
      <w:r>
        <w:rPr>
          <w:w w:val="95"/>
        </w:rPr>
        <w:t>independent</w:t>
      </w:r>
      <w:r>
        <w:rPr>
          <w:spacing w:val="-10"/>
          <w:w w:val="95"/>
        </w:rPr>
        <w:t xml:space="preserve"> </w:t>
      </w:r>
      <w:r>
        <w:rPr>
          <w:w w:val="95"/>
        </w:rPr>
        <w:t xml:space="preserve">review </w:t>
      </w:r>
      <w:r>
        <w:t>of</w:t>
      </w:r>
      <w:r>
        <w:rPr>
          <w:spacing w:val="-14"/>
        </w:rPr>
        <w:t xml:space="preserve"> </w:t>
      </w:r>
      <w:r>
        <w:t>the</w:t>
      </w:r>
      <w:r>
        <w:rPr>
          <w:spacing w:val="-14"/>
        </w:rPr>
        <w:t xml:space="preserve"> </w:t>
      </w:r>
      <w:r>
        <w:t>scope</w:t>
      </w:r>
      <w:r>
        <w:rPr>
          <w:spacing w:val="-14"/>
        </w:rPr>
        <w:t xml:space="preserve"> </w:t>
      </w:r>
      <w:r>
        <w:t>of</w:t>
      </w:r>
      <w:r>
        <w:rPr>
          <w:spacing w:val="-14"/>
        </w:rPr>
        <w:t xml:space="preserve"> </w:t>
      </w:r>
      <w:r>
        <w:t>work,</w:t>
      </w:r>
      <w:r>
        <w:rPr>
          <w:spacing w:val="-14"/>
        </w:rPr>
        <w:t xml:space="preserve"> </w:t>
      </w:r>
      <w:r>
        <w:t>with</w:t>
      </w:r>
      <w:r>
        <w:rPr>
          <w:spacing w:val="-14"/>
        </w:rPr>
        <w:t xml:space="preserve"> </w:t>
      </w:r>
      <w:r>
        <w:t>a</w:t>
      </w:r>
      <w:r>
        <w:rPr>
          <w:spacing w:val="-14"/>
        </w:rPr>
        <w:t xml:space="preserve"> </w:t>
      </w:r>
      <w:r>
        <w:t>focus</w:t>
      </w:r>
      <w:r>
        <w:rPr>
          <w:spacing w:val="-14"/>
        </w:rPr>
        <w:t xml:space="preserve"> </w:t>
      </w:r>
      <w:r>
        <w:t>on</w:t>
      </w:r>
      <w:r>
        <w:rPr>
          <w:spacing w:val="-14"/>
        </w:rPr>
        <w:t xml:space="preserve"> </w:t>
      </w:r>
      <w:r>
        <w:t>value</w:t>
      </w:r>
      <w:r>
        <w:rPr>
          <w:spacing w:val="-14"/>
        </w:rPr>
        <w:t xml:space="preserve"> </w:t>
      </w:r>
      <w:r>
        <w:t xml:space="preserve">engineering </w:t>
      </w:r>
      <w:r>
        <w:rPr>
          <w:w w:val="95"/>
        </w:rPr>
        <w:t>(discussed in section 16). The independent review</w:t>
      </w:r>
    </w:p>
    <w:p w:rsidR="002C1123" w:rsidRDefault="00F22F94">
      <w:pPr>
        <w:pStyle w:val="BodyText"/>
        <w:spacing w:before="4" w:line="249" w:lineRule="auto"/>
        <w:ind w:left="194" w:right="155"/>
      </w:pPr>
      <w:r>
        <w:t>should</w:t>
      </w:r>
      <w:r>
        <w:rPr>
          <w:spacing w:val="-12"/>
        </w:rPr>
        <w:t xml:space="preserve"> </w:t>
      </w:r>
      <w:r>
        <w:t>also</w:t>
      </w:r>
      <w:r>
        <w:rPr>
          <w:spacing w:val="-12"/>
        </w:rPr>
        <w:t xml:space="preserve"> </w:t>
      </w:r>
      <w:r>
        <w:t>consider</w:t>
      </w:r>
      <w:r>
        <w:rPr>
          <w:spacing w:val="-12"/>
        </w:rPr>
        <w:t xml:space="preserve"> </w:t>
      </w:r>
      <w:r>
        <w:t>how</w:t>
      </w:r>
      <w:r>
        <w:rPr>
          <w:spacing w:val="-12"/>
        </w:rPr>
        <w:t xml:space="preserve"> </w:t>
      </w:r>
      <w:r>
        <w:t>constraints</w:t>
      </w:r>
      <w:r>
        <w:rPr>
          <w:spacing w:val="-12"/>
        </w:rPr>
        <w:t xml:space="preserve"> </w:t>
      </w:r>
      <w:r>
        <w:t>such</w:t>
      </w:r>
      <w:r>
        <w:rPr>
          <w:spacing w:val="-12"/>
        </w:rPr>
        <w:t xml:space="preserve"> </w:t>
      </w:r>
      <w:r>
        <w:t>as</w:t>
      </w:r>
      <w:r>
        <w:rPr>
          <w:spacing w:val="-12"/>
        </w:rPr>
        <w:t xml:space="preserve"> </w:t>
      </w:r>
      <w:r>
        <w:t xml:space="preserve">work </w:t>
      </w:r>
      <w:r>
        <w:rPr>
          <w:w w:val="95"/>
        </w:rPr>
        <w:t>practices</w:t>
      </w:r>
      <w:r>
        <w:rPr>
          <w:spacing w:val="-7"/>
          <w:w w:val="95"/>
        </w:rPr>
        <w:t xml:space="preserve"> </w:t>
      </w:r>
      <w:r>
        <w:rPr>
          <w:w w:val="95"/>
        </w:rPr>
        <w:t>and</w:t>
      </w:r>
      <w:r>
        <w:rPr>
          <w:spacing w:val="-7"/>
          <w:w w:val="95"/>
        </w:rPr>
        <w:t xml:space="preserve"> </w:t>
      </w:r>
      <w:r>
        <w:rPr>
          <w:w w:val="95"/>
        </w:rPr>
        <w:t>planning</w:t>
      </w:r>
      <w:r>
        <w:rPr>
          <w:spacing w:val="-7"/>
          <w:w w:val="95"/>
        </w:rPr>
        <w:t xml:space="preserve"> </w:t>
      </w:r>
      <w:r>
        <w:rPr>
          <w:w w:val="95"/>
        </w:rPr>
        <w:t>approval</w:t>
      </w:r>
      <w:r>
        <w:rPr>
          <w:spacing w:val="-7"/>
          <w:w w:val="95"/>
        </w:rPr>
        <w:t xml:space="preserve"> </w:t>
      </w:r>
      <w:r>
        <w:rPr>
          <w:w w:val="95"/>
        </w:rPr>
        <w:t>conditions</w:t>
      </w:r>
      <w:r>
        <w:rPr>
          <w:spacing w:val="-7"/>
          <w:w w:val="95"/>
        </w:rPr>
        <w:t xml:space="preserve"> </w:t>
      </w:r>
      <w:r>
        <w:rPr>
          <w:w w:val="95"/>
        </w:rPr>
        <w:t>are</w:t>
      </w:r>
      <w:r>
        <w:rPr>
          <w:spacing w:val="-7"/>
          <w:w w:val="95"/>
        </w:rPr>
        <w:t xml:space="preserve"> </w:t>
      </w:r>
      <w:r>
        <w:rPr>
          <w:w w:val="95"/>
        </w:rPr>
        <w:t xml:space="preserve">adding </w:t>
      </w:r>
      <w:r>
        <w:t>to the budget.</w:t>
      </w:r>
    </w:p>
    <w:p w:rsidR="002C1123" w:rsidRDefault="00F22F94">
      <w:pPr>
        <w:pStyle w:val="BodyText"/>
        <w:spacing w:before="116" w:line="249" w:lineRule="auto"/>
        <w:ind w:left="194" w:right="2"/>
      </w:pPr>
      <w:r>
        <w:t>RMS</w:t>
      </w:r>
      <w:r>
        <w:rPr>
          <w:spacing w:val="-6"/>
        </w:rPr>
        <w:t xml:space="preserve"> </w:t>
      </w:r>
      <w:r>
        <w:t>should</w:t>
      </w:r>
      <w:r>
        <w:rPr>
          <w:spacing w:val="-6"/>
        </w:rPr>
        <w:t xml:space="preserve"> </w:t>
      </w:r>
      <w:r>
        <w:t>also</w:t>
      </w:r>
      <w:r>
        <w:rPr>
          <w:spacing w:val="-6"/>
        </w:rPr>
        <w:t xml:space="preserve"> </w:t>
      </w:r>
      <w:r>
        <w:t>consider</w:t>
      </w:r>
      <w:r>
        <w:rPr>
          <w:spacing w:val="-6"/>
        </w:rPr>
        <w:t xml:space="preserve"> </w:t>
      </w:r>
      <w:r>
        <w:t>options</w:t>
      </w:r>
      <w:r>
        <w:rPr>
          <w:spacing w:val="-6"/>
        </w:rPr>
        <w:t xml:space="preserve"> </w:t>
      </w:r>
      <w:r>
        <w:t>to</w:t>
      </w:r>
      <w:r>
        <w:rPr>
          <w:spacing w:val="-6"/>
        </w:rPr>
        <w:t xml:space="preserve"> </w:t>
      </w:r>
      <w:r>
        <w:t xml:space="preserve">improve </w:t>
      </w:r>
      <w:r>
        <w:rPr>
          <w:w w:val="95"/>
        </w:rPr>
        <w:t>contracting</w:t>
      </w:r>
      <w:r>
        <w:rPr>
          <w:spacing w:val="-7"/>
          <w:w w:val="95"/>
        </w:rPr>
        <w:t xml:space="preserve"> </w:t>
      </w:r>
      <w:r>
        <w:rPr>
          <w:w w:val="95"/>
        </w:rPr>
        <w:t>efficiency.</w:t>
      </w:r>
      <w:r>
        <w:rPr>
          <w:spacing w:val="-7"/>
          <w:w w:val="95"/>
        </w:rPr>
        <w:t xml:space="preserve"> </w:t>
      </w:r>
      <w:r>
        <w:rPr>
          <w:w w:val="95"/>
        </w:rPr>
        <w:t>Currently</w:t>
      </w:r>
      <w:r>
        <w:rPr>
          <w:spacing w:val="-7"/>
          <w:w w:val="95"/>
        </w:rPr>
        <w:t xml:space="preserve"> </w:t>
      </w:r>
      <w:r>
        <w:rPr>
          <w:w w:val="95"/>
        </w:rPr>
        <w:t>the</w:t>
      </w:r>
      <w:r>
        <w:rPr>
          <w:spacing w:val="-7"/>
          <w:w w:val="95"/>
        </w:rPr>
        <w:t xml:space="preserve"> </w:t>
      </w:r>
      <w:r>
        <w:rPr>
          <w:w w:val="95"/>
        </w:rPr>
        <w:t>Highway</w:t>
      </w:r>
      <w:r>
        <w:rPr>
          <w:spacing w:val="-7"/>
          <w:w w:val="95"/>
        </w:rPr>
        <w:t xml:space="preserve"> </w:t>
      </w:r>
      <w:r>
        <w:rPr>
          <w:w w:val="95"/>
        </w:rPr>
        <w:t>is</w:t>
      </w:r>
      <w:r>
        <w:rPr>
          <w:spacing w:val="-7"/>
          <w:w w:val="95"/>
        </w:rPr>
        <w:t xml:space="preserve"> </w:t>
      </w:r>
      <w:r>
        <w:rPr>
          <w:w w:val="95"/>
        </w:rPr>
        <w:t>being</w:t>
      </w:r>
    </w:p>
    <w:p w:rsidR="002C1123" w:rsidRDefault="002060EF">
      <w:pPr>
        <w:pStyle w:val="BodyText"/>
        <w:spacing w:before="8"/>
        <w:rPr>
          <w:sz w:val="21"/>
        </w:rPr>
      </w:pPr>
      <w:r>
        <w:pict>
          <v:shape id="docshape1925" o:spid="_x0000_s3157" style="position:absolute;margin-left:300.95pt;margin-top:13.7pt;width:1in;height:.1pt;z-index:-251352064;mso-wrap-distance-left:0;mso-wrap-distance-right:0;mso-position-horizontal-relative:page" coordorigin="6019,274" coordsize="1440,0" path="m6019,274r1440,e" filled="f" strokecolor="#9c9c9d" strokeweight=".5pt">
            <v:path arrowok="t"/>
            <w10:wrap type="topAndBottom" anchorx="page"/>
          </v:shape>
        </w:pict>
      </w:r>
    </w:p>
    <w:p w:rsidR="002C1123" w:rsidRDefault="00F22F94">
      <w:pPr>
        <w:pStyle w:val="ListParagraph"/>
        <w:numPr>
          <w:ilvl w:val="0"/>
          <w:numId w:val="73"/>
        </w:numPr>
        <w:tabs>
          <w:tab w:val="left" w:pos="393"/>
        </w:tabs>
        <w:spacing w:before="23" w:line="161" w:lineRule="exact"/>
        <w:ind w:left="392"/>
        <w:jc w:val="left"/>
        <w:rPr>
          <w:sz w:val="14"/>
        </w:rPr>
      </w:pPr>
      <w:r>
        <w:rPr>
          <w:w w:val="95"/>
          <w:sz w:val="14"/>
        </w:rPr>
        <w:t>Infrastructure</w:t>
      </w:r>
      <w:r>
        <w:rPr>
          <w:spacing w:val="2"/>
          <w:sz w:val="14"/>
        </w:rPr>
        <w:t xml:space="preserve"> </w:t>
      </w:r>
      <w:r>
        <w:rPr>
          <w:w w:val="95"/>
          <w:sz w:val="14"/>
        </w:rPr>
        <w:t>NSW</w:t>
      </w:r>
      <w:r>
        <w:rPr>
          <w:spacing w:val="3"/>
          <w:sz w:val="14"/>
        </w:rPr>
        <w:t xml:space="preserve"> </w:t>
      </w:r>
      <w:r>
        <w:rPr>
          <w:spacing w:val="-2"/>
          <w:w w:val="95"/>
          <w:sz w:val="14"/>
        </w:rPr>
        <w:t>analysis.</w:t>
      </w:r>
    </w:p>
    <w:p w:rsidR="002C1123" w:rsidRDefault="00F22F94">
      <w:pPr>
        <w:pStyle w:val="ListParagraph"/>
        <w:numPr>
          <w:ilvl w:val="0"/>
          <w:numId w:val="73"/>
        </w:numPr>
        <w:tabs>
          <w:tab w:val="left" w:pos="393"/>
        </w:tabs>
        <w:spacing w:line="161" w:lineRule="exact"/>
        <w:ind w:left="392"/>
        <w:jc w:val="left"/>
        <w:rPr>
          <w:sz w:val="14"/>
        </w:rPr>
      </w:pPr>
      <w:r>
        <w:rPr>
          <w:w w:val="95"/>
          <w:sz w:val="14"/>
        </w:rPr>
        <w:t>Infrastructure</w:t>
      </w:r>
      <w:r>
        <w:rPr>
          <w:spacing w:val="2"/>
          <w:sz w:val="14"/>
        </w:rPr>
        <w:t xml:space="preserve"> </w:t>
      </w:r>
      <w:r>
        <w:rPr>
          <w:w w:val="95"/>
          <w:sz w:val="14"/>
        </w:rPr>
        <w:t>NSW</w:t>
      </w:r>
      <w:r>
        <w:rPr>
          <w:spacing w:val="3"/>
          <w:sz w:val="14"/>
        </w:rPr>
        <w:t xml:space="preserve"> </w:t>
      </w:r>
      <w:r>
        <w:rPr>
          <w:spacing w:val="-2"/>
          <w:w w:val="95"/>
          <w:sz w:val="14"/>
        </w:rPr>
        <w:t>analysis.</w:t>
      </w:r>
    </w:p>
    <w:p w:rsidR="002C1123" w:rsidRDefault="00F22F94">
      <w:pPr>
        <w:pStyle w:val="BodyText"/>
        <w:spacing w:before="108" w:line="249" w:lineRule="auto"/>
        <w:ind w:left="196" w:right="1154"/>
      </w:pPr>
      <w:r>
        <w:br w:type="column"/>
      </w:r>
      <w:r>
        <w:t>constructed</w:t>
      </w:r>
      <w:r>
        <w:rPr>
          <w:spacing w:val="-5"/>
        </w:rPr>
        <w:t xml:space="preserve"> </w:t>
      </w:r>
      <w:r>
        <w:t>through</w:t>
      </w:r>
      <w:r>
        <w:rPr>
          <w:spacing w:val="-5"/>
        </w:rPr>
        <w:t xml:space="preserve"> </w:t>
      </w:r>
      <w:r>
        <w:t>a</w:t>
      </w:r>
      <w:r>
        <w:rPr>
          <w:spacing w:val="-5"/>
        </w:rPr>
        <w:t xml:space="preserve"> </w:t>
      </w:r>
      <w:r>
        <w:t>large</w:t>
      </w:r>
      <w:r>
        <w:rPr>
          <w:spacing w:val="-5"/>
        </w:rPr>
        <w:t xml:space="preserve"> </w:t>
      </w:r>
      <w:r>
        <w:t>number</w:t>
      </w:r>
      <w:r>
        <w:rPr>
          <w:spacing w:val="-5"/>
        </w:rPr>
        <w:t xml:space="preserve"> </w:t>
      </w:r>
      <w:r>
        <w:t>of</w:t>
      </w:r>
      <w:r>
        <w:rPr>
          <w:spacing w:val="-5"/>
        </w:rPr>
        <w:t xml:space="preserve"> </w:t>
      </w:r>
      <w:r>
        <w:t xml:space="preserve">different </w:t>
      </w:r>
      <w:r>
        <w:rPr>
          <w:w w:val="95"/>
        </w:rPr>
        <w:t xml:space="preserve">contracts, which reduces the scope for economies </w:t>
      </w:r>
      <w:r>
        <w:t>of</w:t>
      </w:r>
      <w:r>
        <w:rPr>
          <w:spacing w:val="-9"/>
        </w:rPr>
        <w:t xml:space="preserve"> </w:t>
      </w:r>
      <w:r>
        <w:t>scale</w:t>
      </w:r>
      <w:r>
        <w:rPr>
          <w:spacing w:val="-9"/>
        </w:rPr>
        <w:t xml:space="preserve"> </w:t>
      </w:r>
      <w:r>
        <w:t>and</w:t>
      </w:r>
      <w:r>
        <w:rPr>
          <w:spacing w:val="-9"/>
        </w:rPr>
        <w:t xml:space="preserve"> </w:t>
      </w:r>
      <w:r>
        <w:t>in</w:t>
      </w:r>
      <w:r>
        <w:rPr>
          <w:spacing w:val="-9"/>
        </w:rPr>
        <w:t xml:space="preserve"> </w:t>
      </w:r>
      <w:r>
        <w:t>practice</w:t>
      </w:r>
      <w:r>
        <w:rPr>
          <w:spacing w:val="-9"/>
        </w:rPr>
        <w:t xml:space="preserve"> </w:t>
      </w:r>
      <w:r>
        <w:t>limits</w:t>
      </w:r>
      <w:r>
        <w:rPr>
          <w:spacing w:val="-9"/>
        </w:rPr>
        <w:t xml:space="preserve"> </w:t>
      </w:r>
      <w:r>
        <w:t>potential</w:t>
      </w:r>
      <w:r>
        <w:rPr>
          <w:spacing w:val="-9"/>
        </w:rPr>
        <w:t xml:space="preserve"> </w:t>
      </w:r>
      <w:r>
        <w:t>bidders</w:t>
      </w:r>
      <w:r>
        <w:rPr>
          <w:spacing w:val="-9"/>
        </w:rPr>
        <w:t xml:space="preserve"> </w:t>
      </w:r>
      <w:r>
        <w:t>to local</w:t>
      </w:r>
      <w:r>
        <w:rPr>
          <w:spacing w:val="-11"/>
        </w:rPr>
        <w:t xml:space="preserve"> </w:t>
      </w:r>
      <w:r>
        <w:t>suppliers.</w:t>
      </w:r>
    </w:p>
    <w:p w:rsidR="002C1123" w:rsidRDefault="00F22F94">
      <w:pPr>
        <w:pStyle w:val="BodyText"/>
        <w:spacing w:before="135"/>
        <w:ind w:left="196" w:right="672"/>
      </w:pPr>
      <w:r>
        <w:rPr>
          <w:w w:val="95"/>
        </w:rPr>
        <w:t>Lower</w:t>
      </w:r>
      <w:r>
        <w:rPr>
          <w:spacing w:val="-4"/>
          <w:w w:val="95"/>
        </w:rPr>
        <w:t xml:space="preserve"> </w:t>
      </w:r>
      <w:r>
        <w:rPr>
          <w:w w:val="95"/>
        </w:rPr>
        <w:t>costs</w:t>
      </w:r>
      <w:r>
        <w:rPr>
          <w:spacing w:val="-4"/>
          <w:w w:val="95"/>
        </w:rPr>
        <w:t xml:space="preserve"> </w:t>
      </w:r>
      <w:r>
        <w:rPr>
          <w:w w:val="95"/>
        </w:rPr>
        <w:t>may</w:t>
      </w:r>
      <w:r>
        <w:rPr>
          <w:spacing w:val="-4"/>
          <w:w w:val="95"/>
        </w:rPr>
        <w:t xml:space="preserve"> </w:t>
      </w:r>
      <w:r>
        <w:rPr>
          <w:w w:val="95"/>
        </w:rPr>
        <w:t>be</w:t>
      </w:r>
      <w:r>
        <w:rPr>
          <w:spacing w:val="-4"/>
          <w:w w:val="95"/>
        </w:rPr>
        <w:t xml:space="preserve"> </w:t>
      </w:r>
      <w:r>
        <w:rPr>
          <w:w w:val="95"/>
        </w:rPr>
        <w:t>achieved</w:t>
      </w:r>
      <w:r>
        <w:rPr>
          <w:spacing w:val="-4"/>
          <w:w w:val="95"/>
        </w:rPr>
        <w:t xml:space="preserve"> </w:t>
      </w:r>
      <w:r>
        <w:rPr>
          <w:w w:val="95"/>
        </w:rPr>
        <w:t>if</w:t>
      </w:r>
      <w:r>
        <w:rPr>
          <w:spacing w:val="-4"/>
          <w:w w:val="95"/>
        </w:rPr>
        <w:t xml:space="preserve"> </w:t>
      </w:r>
      <w:r>
        <w:rPr>
          <w:w w:val="95"/>
        </w:rPr>
        <w:t>the</w:t>
      </w:r>
      <w:r>
        <w:rPr>
          <w:spacing w:val="-4"/>
          <w:w w:val="95"/>
        </w:rPr>
        <w:t xml:space="preserve"> </w:t>
      </w:r>
      <w:r>
        <w:rPr>
          <w:w w:val="95"/>
        </w:rPr>
        <w:t>remaining</w:t>
      </w:r>
      <w:r>
        <w:rPr>
          <w:spacing w:val="-4"/>
          <w:w w:val="95"/>
        </w:rPr>
        <w:t xml:space="preserve"> </w:t>
      </w:r>
      <w:r>
        <w:rPr>
          <w:w w:val="95"/>
        </w:rPr>
        <w:t xml:space="preserve">unfunded </w:t>
      </w:r>
      <w:r>
        <w:t>sections</w:t>
      </w:r>
      <w:r>
        <w:rPr>
          <w:spacing w:val="-11"/>
        </w:rPr>
        <w:t xml:space="preserve"> </w:t>
      </w:r>
      <w:r>
        <w:t>were</w:t>
      </w:r>
      <w:r>
        <w:rPr>
          <w:spacing w:val="-11"/>
        </w:rPr>
        <w:t xml:space="preserve"> </w:t>
      </w:r>
      <w:r>
        <w:t>issued</w:t>
      </w:r>
      <w:r>
        <w:rPr>
          <w:spacing w:val="-11"/>
        </w:rPr>
        <w:t xml:space="preserve"> </w:t>
      </w:r>
      <w:r>
        <w:t>as</w:t>
      </w:r>
      <w:r>
        <w:rPr>
          <w:spacing w:val="-11"/>
        </w:rPr>
        <w:t xml:space="preserve"> </w:t>
      </w:r>
      <w:r>
        <w:t>fewer,</w:t>
      </w:r>
      <w:r>
        <w:rPr>
          <w:spacing w:val="-11"/>
        </w:rPr>
        <w:t xml:space="preserve"> </w:t>
      </w:r>
      <w:r>
        <w:t>but</w:t>
      </w:r>
      <w:r>
        <w:rPr>
          <w:spacing w:val="-11"/>
        </w:rPr>
        <w:t xml:space="preserve"> </w:t>
      </w:r>
      <w:r>
        <w:t>much</w:t>
      </w:r>
      <w:r>
        <w:rPr>
          <w:spacing w:val="-11"/>
        </w:rPr>
        <w:t xml:space="preserve"> </w:t>
      </w:r>
      <w:r>
        <w:t xml:space="preserve">larger </w:t>
      </w:r>
      <w:r>
        <w:rPr>
          <w:w w:val="95"/>
        </w:rPr>
        <w:t xml:space="preserve">packages, which may attract international suppliers and </w:t>
      </w:r>
      <w:r>
        <w:t>increase competitive pressure.</w:t>
      </w:r>
    </w:p>
    <w:p w:rsidR="002C1123" w:rsidRDefault="002060EF">
      <w:pPr>
        <w:pStyle w:val="BodyText"/>
        <w:spacing w:before="6"/>
        <w:rPr>
          <w:sz w:val="13"/>
        </w:rPr>
      </w:pPr>
      <w:r>
        <w:pict>
          <v:shape id="docshape1926" o:spid="_x0000_s3156" type="#_x0000_t202" style="position:absolute;margin-left:552.3pt;margin-top:9pt;width:239pt;height:69.35pt;z-index:-251351040;mso-wrap-distance-left:0;mso-wrap-distance-right:0;mso-position-horizontal-relative:page" fillcolor="#e1e0e1" stroked="f">
            <v:textbox inset="0,0,0,0">
              <w:txbxContent>
                <w:p w:rsidR="00F22F94" w:rsidRDefault="00F22F94">
                  <w:pPr>
                    <w:pStyle w:val="BodyText"/>
                    <w:spacing w:before="68" w:line="249" w:lineRule="auto"/>
                    <w:ind w:left="113" w:right="115"/>
                    <w:rPr>
                      <w:color w:val="000000"/>
                    </w:rPr>
                  </w:pPr>
                  <w:r>
                    <w:rPr>
                      <w:b/>
                      <w:color w:val="00AEEF"/>
                    </w:rPr>
                    <w:t>Recommendation</w:t>
                  </w:r>
                  <w:r>
                    <w:rPr>
                      <w:b/>
                      <w:color w:val="00AEEF"/>
                      <w:spacing w:val="40"/>
                    </w:rPr>
                    <w:t xml:space="preserve"> </w:t>
                  </w:r>
                  <w:r>
                    <w:rPr>
                      <w:color w:val="000000"/>
                    </w:rPr>
                    <w:t>Infrastructure NSW recommends</w:t>
                  </w:r>
                  <w:r>
                    <w:rPr>
                      <w:color w:val="000000"/>
                      <w:spacing w:val="-9"/>
                    </w:rPr>
                    <w:t xml:space="preserve"> </w:t>
                  </w:r>
                  <w:r>
                    <w:rPr>
                      <w:color w:val="000000"/>
                    </w:rPr>
                    <w:t>a</w:t>
                  </w:r>
                  <w:r>
                    <w:rPr>
                      <w:color w:val="000000"/>
                      <w:spacing w:val="-9"/>
                    </w:rPr>
                    <w:t xml:space="preserve"> </w:t>
                  </w:r>
                  <w:r>
                    <w:rPr>
                      <w:color w:val="000000"/>
                    </w:rPr>
                    <w:t>review</w:t>
                  </w:r>
                  <w:r>
                    <w:rPr>
                      <w:color w:val="000000"/>
                      <w:spacing w:val="-9"/>
                    </w:rPr>
                    <w:t xml:space="preserve"> </w:t>
                  </w:r>
                  <w:r>
                    <w:rPr>
                      <w:color w:val="000000"/>
                    </w:rPr>
                    <w:t>of</w:t>
                  </w:r>
                  <w:r>
                    <w:rPr>
                      <w:color w:val="000000"/>
                      <w:spacing w:val="-9"/>
                    </w:rPr>
                    <w:t xml:space="preserve"> </w:t>
                  </w:r>
                  <w:r>
                    <w:rPr>
                      <w:color w:val="000000"/>
                    </w:rPr>
                    <w:t>the</w:t>
                  </w:r>
                  <w:r>
                    <w:rPr>
                      <w:color w:val="000000"/>
                      <w:spacing w:val="-9"/>
                    </w:rPr>
                    <w:t xml:space="preserve"> </w:t>
                  </w:r>
                  <w:r>
                    <w:rPr>
                      <w:color w:val="000000"/>
                    </w:rPr>
                    <w:t>scope</w:t>
                  </w:r>
                  <w:r>
                    <w:rPr>
                      <w:color w:val="000000"/>
                      <w:spacing w:val="-9"/>
                    </w:rPr>
                    <w:t xml:space="preserve"> </w:t>
                  </w:r>
                  <w:r>
                    <w:rPr>
                      <w:color w:val="000000"/>
                    </w:rPr>
                    <w:t>and</w:t>
                  </w:r>
                  <w:r>
                    <w:rPr>
                      <w:color w:val="000000"/>
                      <w:spacing w:val="-9"/>
                    </w:rPr>
                    <w:t xml:space="preserve"> </w:t>
                  </w:r>
                  <w:r>
                    <w:rPr>
                      <w:color w:val="000000"/>
                    </w:rPr>
                    <w:t>costs</w:t>
                  </w:r>
                  <w:r>
                    <w:rPr>
                      <w:color w:val="000000"/>
                      <w:spacing w:val="-9"/>
                    </w:rPr>
                    <w:t xml:space="preserve"> </w:t>
                  </w:r>
                  <w:r>
                    <w:rPr>
                      <w:color w:val="000000"/>
                    </w:rPr>
                    <w:t>of</w:t>
                  </w:r>
                  <w:r>
                    <w:rPr>
                      <w:color w:val="000000"/>
                      <w:spacing w:val="-9"/>
                    </w:rPr>
                    <w:t xml:space="preserve"> </w:t>
                  </w:r>
                  <w:r>
                    <w:rPr>
                      <w:color w:val="000000"/>
                    </w:rPr>
                    <w:t xml:space="preserve">the </w:t>
                  </w:r>
                  <w:r>
                    <w:rPr>
                      <w:color w:val="000000"/>
                      <w:spacing w:val="-2"/>
                    </w:rPr>
                    <w:t>Pacific</w:t>
                  </w:r>
                  <w:r>
                    <w:rPr>
                      <w:color w:val="000000"/>
                      <w:spacing w:val="-8"/>
                    </w:rPr>
                    <w:t xml:space="preserve"> </w:t>
                  </w:r>
                  <w:r>
                    <w:rPr>
                      <w:color w:val="000000"/>
                      <w:spacing w:val="-2"/>
                    </w:rPr>
                    <w:t>Highway.</w:t>
                  </w:r>
                  <w:r>
                    <w:rPr>
                      <w:color w:val="000000"/>
                      <w:spacing w:val="-8"/>
                    </w:rPr>
                    <w:t xml:space="preserve"> </w:t>
                  </w:r>
                  <w:r>
                    <w:rPr>
                      <w:color w:val="000000"/>
                      <w:spacing w:val="-2"/>
                    </w:rPr>
                    <w:t>This</w:t>
                  </w:r>
                  <w:r>
                    <w:rPr>
                      <w:color w:val="000000"/>
                      <w:spacing w:val="-8"/>
                    </w:rPr>
                    <w:t xml:space="preserve"> </w:t>
                  </w:r>
                  <w:r>
                    <w:rPr>
                      <w:color w:val="000000"/>
                      <w:spacing w:val="-2"/>
                    </w:rPr>
                    <w:t>will</w:t>
                  </w:r>
                  <w:r>
                    <w:rPr>
                      <w:color w:val="000000"/>
                      <w:spacing w:val="-8"/>
                    </w:rPr>
                    <w:t xml:space="preserve"> </w:t>
                  </w:r>
                  <w:r>
                    <w:rPr>
                      <w:color w:val="000000"/>
                      <w:spacing w:val="-2"/>
                    </w:rPr>
                    <w:t>also</w:t>
                  </w:r>
                  <w:r>
                    <w:rPr>
                      <w:color w:val="000000"/>
                      <w:spacing w:val="-8"/>
                    </w:rPr>
                    <w:t xml:space="preserve"> </w:t>
                  </w:r>
                  <w:r>
                    <w:rPr>
                      <w:color w:val="000000"/>
                      <w:spacing w:val="-2"/>
                    </w:rPr>
                    <w:t>consider</w:t>
                  </w:r>
                  <w:r>
                    <w:rPr>
                      <w:color w:val="000000"/>
                      <w:spacing w:val="-8"/>
                    </w:rPr>
                    <w:t xml:space="preserve"> </w:t>
                  </w:r>
                  <w:r>
                    <w:rPr>
                      <w:color w:val="000000"/>
                      <w:spacing w:val="-2"/>
                    </w:rPr>
                    <w:t xml:space="preserve">alternative </w:t>
                  </w:r>
                  <w:r>
                    <w:rPr>
                      <w:color w:val="000000"/>
                      <w:w w:val="95"/>
                    </w:rPr>
                    <w:t>procurement</w:t>
                  </w:r>
                  <w:r>
                    <w:rPr>
                      <w:color w:val="000000"/>
                      <w:spacing w:val="-2"/>
                      <w:w w:val="95"/>
                    </w:rPr>
                    <w:t xml:space="preserve"> </w:t>
                  </w:r>
                  <w:r>
                    <w:rPr>
                      <w:color w:val="000000"/>
                      <w:w w:val="95"/>
                    </w:rPr>
                    <w:t>strategies</w:t>
                  </w:r>
                  <w:r>
                    <w:rPr>
                      <w:color w:val="000000"/>
                      <w:spacing w:val="-2"/>
                      <w:w w:val="95"/>
                    </w:rPr>
                    <w:t xml:space="preserve"> </w:t>
                  </w:r>
                  <w:r>
                    <w:rPr>
                      <w:color w:val="000000"/>
                      <w:w w:val="95"/>
                    </w:rPr>
                    <w:t>which</w:t>
                  </w:r>
                  <w:r>
                    <w:rPr>
                      <w:color w:val="000000"/>
                      <w:spacing w:val="-2"/>
                      <w:w w:val="95"/>
                    </w:rPr>
                    <w:t xml:space="preserve"> </w:t>
                  </w:r>
                  <w:r>
                    <w:rPr>
                      <w:color w:val="000000"/>
                      <w:w w:val="95"/>
                    </w:rPr>
                    <w:t>could</w:t>
                  </w:r>
                  <w:r>
                    <w:rPr>
                      <w:color w:val="000000"/>
                      <w:spacing w:val="-2"/>
                      <w:w w:val="95"/>
                    </w:rPr>
                    <w:t xml:space="preserve"> </w:t>
                  </w:r>
                  <w:r>
                    <w:rPr>
                      <w:color w:val="000000"/>
                      <w:w w:val="95"/>
                    </w:rPr>
                    <w:t>improve</w:t>
                  </w:r>
                  <w:r>
                    <w:rPr>
                      <w:color w:val="000000"/>
                      <w:spacing w:val="-2"/>
                      <w:w w:val="95"/>
                    </w:rPr>
                    <w:t xml:space="preserve"> </w:t>
                  </w:r>
                  <w:r>
                    <w:rPr>
                      <w:color w:val="000000"/>
                      <w:w w:val="95"/>
                    </w:rPr>
                    <w:t>value</w:t>
                  </w:r>
                  <w:r>
                    <w:rPr>
                      <w:color w:val="000000"/>
                      <w:spacing w:val="-2"/>
                      <w:w w:val="95"/>
                    </w:rPr>
                    <w:t xml:space="preserve"> </w:t>
                  </w:r>
                  <w:r>
                    <w:rPr>
                      <w:color w:val="000000"/>
                      <w:w w:val="95"/>
                    </w:rPr>
                    <w:t xml:space="preserve">for </w:t>
                  </w:r>
                  <w:r>
                    <w:rPr>
                      <w:color w:val="000000"/>
                    </w:rPr>
                    <w:t>money,</w:t>
                  </w:r>
                  <w:r>
                    <w:rPr>
                      <w:color w:val="000000"/>
                      <w:spacing w:val="-10"/>
                    </w:rPr>
                    <w:t xml:space="preserve"> </w:t>
                  </w:r>
                  <w:r>
                    <w:rPr>
                      <w:color w:val="000000"/>
                    </w:rPr>
                    <w:t>subject</w:t>
                  </w:r>
                  <w:r>
                    <w:rPr>
                      <w:color w:val="000000"/>
                      <w:spacing w:val="-10"/>
                    </w:rPr>
                    <w:t xml:space="preserve"> </w:t>
                  </w:r>
                  <w:r>
                    <w:rPr>
                      <w:color w:val="000000"/>
                    </w:rPr>
                    <w:t>to</w:t>
                  </w:r>
                  <w:r>
                    <w:rPr>
                      <w:color w:val="000000"/>
                      <w:spacing w:val="-10"/>
                    </w:rPr>
                    <w:t xml:space="preserve"> </w:t>
                  </w:r>
                  <w:r>
                    <w:rPr>
                      <w:color w:val="000000"/>
                    </w:rPr>
                    <w:t>funding</w:t>
                  </w:r>
                  <w:r>
                    <w:rPr>
                      <w:color w:val="000000"/>
                      <w:spacing w:val="-10"/>
                    </w:rPr>
                    <w:t xml:space="preserve"> </w:t>
                  </w:r>
                  <w:r>
                    <w:rPr>
                      <w:color w:val="000000"/>
                    </w:rPr>
                    <w:t>availability.</w:t>
                  </w:r>
                </w:p>
              </w:txbxContent>
            </v:textbox>
            <w10:wrap type="topAndBottom" anchorx="page"/>
          </v:shape>
        </w:pict>
      </w:r>
    </w:p>
    <w:p w:rsidR="002C1123" w:rsidRDefault="00F22F94">
      <w:pPr>
        <w:pStyle w:val="Heading6"/>
        <w:numPr>
          <w:ilvl w:val="2"/>
          <w:numId w:val="66"/>
        </w:numPr>
        <w:tabs>
          <w:tab w:val="left" w:pos="845"/>
        </w:tabs>
        <w:spacing w:before="199"/>
        <w:ind w:left="844" w:hanging="649"/>
      </w:pPr>
      <w:r>
        <w:rPr>
          <w:color w:val="00AEEF"/>
          <w:w w:val="95"/>
        </w:rPr>
        <w:t>Improving</w:t>
      </w:r>
      <w:r>
        <w:rPr>
          <w:color w:val="00AEEF"/>
          <w:spacing w:val="4"/>
        </w:rPr>
        <w:t xml:space="preserve"> </w:t>
      </w:r>
      <w:r>
        <w:rPr>
          <w:color w:val="00AEEF"/>
          <w:w w:val="95"/>
        </w:rPr>
        <w:t>Road</w:t>
      </w:r>
      <w:r>
        <w:rPr>
          <w:color w:val="00AEEF"/>
          <w:spacing w:val="5"/>
        </w:rPr>
        <w:t xml:space="preserve"> </w:t>
      </w:r>
      <w:r>
        <w:rPr>
          <w:color w:val="00AEEF"/>
          <w:w w:val="95"/>
        </w:rPr>
        <w:t>Freight</w:t>
      </w:r>
      <w:r>
        <w:rPr>
          <w:color w:val="00AEEF"/>
          <w:spacing w:val="5"/>
        </w:rPr>
        <w:t xml:space="preserve"> </w:t>
      </w:r>
      <w:r>
        <w:rPr>
          <w:color w:val="00AEEF"/>
          <w:spacing w:val="-2"/>
          <w:w w:val="95"/>
        </w:rPr>
        <w:t>Productivity</w:t>
      </w:r>
    </w:p>
    <w:p w:rsidR="002C1123" w:rsidRDefault="00F22F94">
      <w:pPr>
        <w:pStyle w:val="BodyText"/>
        <w:spacing w:before="85"/>
        <w:ind w:left="196" w:right="672"/>
      </w:pPr>
      <w:r>
        <w:rPr>
          <w:w w:val="95"/>
        </w:rPr>
        <w:t>Road</w:t>
      </w:r>
      <w:r>
        <w:rPr>
          <w:spacing w:val="-5"/>
          <w:w w:val="95"/>
        </w:rPr>
        <w:t xml:space="preserve"> </w:t>
      </w:r>
      <w:r>
        <w:rPr>
          <w:w w:val="95"/>
        </w:rPr>
        <w:t>freight</w:t>
      </w:r>
      <w:r>
        <w:rPr>
          <w:spacing w:val="-5"/>
          <w:w w:val="95"/>
        </w:rPr>
        <w:t xml:space="preserve"> </w:t>
      </w:r>
      <w:r>
        <w:rPr>
          <w:w w:val="95"/>
        </w:rPr>
        <w:t>productivity</w:t>
      </w:r>
      <w:r>
        <w:rPr>
          <w:spacing w:val="-5"/>
          <w:w w:val="95"/>
        </w:rPr>
        <w:t xml:space="preserve"> </w:t>
      </w:r>
      <w:r>
        <w:rPr>
          <w:w w:val="95"/>
        </w:rPr>
        <w:t>is</w:t>
      </w:r>
      <w:r>
        <w:rPr>
          <w:spacing w:val="-5"/>
          <w:w w:val="95"/>
        </w:rPr>
        <w:t xml:space="preserve"> </w:t>
      </w:r>
      <w:r>
        <w:rPr>
          <w:w w:val="95"/>
        </w:rPr>
        <w:t>linked</w:t>
      </w:r>
      <w:r>
        <w:rPr>
          <w:spacing w:val="-5"/>
          <w:w w:val="95"/>
        </w:rPr>
        <w:t xml:space="preserve"> </w:t>
      </w:r>
      <w:r>
        <w:rPr>
          <w:w w:val="95"/>
        </w:rPr>
        <w:t>to</w:t>
      </w:r>
      <w:r>
        <w:rPr>
          <w:spacing w:val="-5"/>
          <w:w w:val="95"/>
        </w:rPr>
        <w:t xml:space="preserve"> </w:t>
      </w:r>
      <w:r>
        <w:rPr>
          <w:w w:val="95"/>
        </w:rPr>
        <w:t>vehicle</w:t>
      </w:r>
      <w:r>
        <w:rPr>
          <w:spacing w:val="-5"/>
          <w:w w:val="95"/>
        </w:rPr>
        <w:t xml:space="preserve"> </w:t>
      </w:r>
      <w:r>
        <w:rPr>
          <w:w w:val="95"/>
        </w:rPr>
        <w:t>size</w:t>
      </w:r>
      <w:r>
        <w:rPr>
          <w:spacing w:val="-5"/>
          <w:w w:val="95"/>
        </w:rPr>
        <w:t xml:space="preserve"> </w:t>
      </w:r>
      <w:r>
        <w:rPr>
          <w:w w:val="95"/>
        </w:rPr>
        <w:t>and</w:t>
      </w:r>
      <w:r>
        <w:rPr>
          <w:spacing w:val="-5"/>
          <w:w w:val="95"/>
        </w:rPr>
        <w:t xml:space="preserve"> </w:t>
      </w:r>
      <w:r>
        <w:rPr>
          <w:w w:val="95"/>
        </w:rPr>
        <w:t>the amount of weight that can be carried. Over the last 40 years,</w:t>
      </w:r>
      <w:r>
        <w:rPr>
          <w:spacing w:val="-9"/>
          <w:w w:val="95"/>
        </w:rPr>
        <w:t xml:space="preserve"> </w:t>
      </w:r>
      <w:r>
        <w:rPr>
          <w:w w:val="95"/>
        </w:rPr>
        <w:t>road</w:t>
      </w:r>
      <w:r>
        <w:rPr>
          <w:spacing w:val="-9"/>
          <w:w w:val="95"/>
        </w:rPr>
        <w:t xml:space="preserve"> </w:t>
      </w:r>
      <w:r>
        <w:rPr>
          <w:w w:val="95"/>
        </w:rPr>
        <w:t>freight</w:t>
      </w:r>
      <w:r>
        <w:rPr>
          <w:spacing w:val="-9"/>
          <w:w w:val="95"/>
        </w:rPr>
        <w:t xml:space="preserve"> </w:t>
      </w:r>
      <w:r>
        <w:rPr>
          <w:w w:val="95"/>
        </w:rPr>
        <w:t>productivity</w:t>
      </w:r>
      <w:r>
        <w:rPr>
          <w:spacing w:val="-9"/>
          <w:w w:val="95"/>
        </w:rPr>
        <w:t xml:space="preserve"> </w:t>
      </w:r>
      <w:r>
        <w:rPr>
          <w:w w:val="95"/>
        </w:rPr>
        <w:t>in</w:t>
      </w:r>
      <w:r>
        <w:rPr>
          <w:spacing w:val="-9"/>
          <w:w w:val="95"/>
        </w:rPr>
        <w:t xml:space="preserve"> </w:t>
      </w:r>
      <w:r>
        <w:rPr>
          <w:w w:val="95"/>
        </w:rPr>
        <w:t>Australia</w:t>
      </w:r>
      <w:r>
        <w:rPr>
          <w:spacing w:val="-9"/>
          <w:w w:val="95"/>
        </w:rPr>
        <w:t xml:space="preserve"> </w:t>
      </w:r>
      <w:r>
        <w:rPr>
          <w:w w:val="95"/>
        </w:rPr>
        <w:t>has</w:t>
      </w:r>
      <w:r>
        <w:rPr>
          <w:spacing w:val="-9"/>
          <w:w w:val="95"/>
        </w:rPr>
        <w:t xml:space="preserve"> </w:t>
      </w:r>
      <w:r>
        <w:rPr>
          <w:w w:val="95"/>
        </w:rPr>
        <w:t>more</w:t>
      </w:r>
      <w:r>
        <w:rPr>
          <w:spacing w:val="-9"/>
          <w:w w:val="95"/>
        </w:rPr>
        <w:t xml:space="preserve"> </w:t>
      </w:r>
      <w:r>
        <w:rPr>
          <w:w w:val="95"/>
        </w:rPr>
        <w:t xml:space="preserve">than </w:t>
      </w:r>
      <w:r>
        <w:rPr>
          <w:w w:val="90"/>
        </w:rPr>
        <w:t xml:space="preserve">doubled, although analysis by the Bureau of Infrastructure, </w:t>
      </w:r>
      <w:r>
        <w:rPr>
          <w:w w:val="95"/>
        </w:rPr>
        <w:t>Transport and Regional Economics has shown that productivity growth has slowed in recent years</w:t>
      </w:r>
      <w:r>
        <w:rPr>
          <w:w w:val="95"/>
          <w:position w:val="7"/>
          <w:sz w:val="11"/>
        </w:rPr>
        <w:t>34</w:t>
      </w:r>
      <w:r>
        <w:rPr>
          <w:w w:val="95"/>
        </w:rPr>
        <w:t>.</w:t>
      </w:r>
    </w:p>
    <w:p w:rsidR="002C1123" w:rsidRDefault="00F22F94">
      <w:pPr>
        <w:pStyle w:val="BodyText"/>
        <w:spacing w:before="142"/>
        <w:ind w:left="196" w:right="672"/>
      </w:pPr>
      <w:r>
        <w:rPr>
          <w:spacing w:val="-2"/>
        </w:rPr>
        <w:t>Moving</w:t>
      </w:r>
      <w:r>
        <w:rPr>
          <w:spacing w:val="-7"/>
        </w:rPr>
        <w:t xml:space="preserve"> </w:t>
      </w:r>
      <w:r>
        <w:rPr>
          <w:spacing w:val="-2"/>
        </w:rPr>
        <w:t>heavier,</w:t>
      </w:r>
      <w:r>
        <w:rPr>
          <w:spacing w:val="-7"/>
        </w:rPr>
        <w:t xml:space="preserve"> </w:t>
      </w:r>
      <w:r>
        <w:rPr>
          <w:spacing w:val="-2"/>
        </w:rPr>
        <w:t>larger</w:t>
      </w:r>
      <w:r>
        <w:rPr>
          <w:spacing w:val="-7"/>
        </w:rPr>
        <w:t xml:space="preserve"> </w:t>
      </w:r>
      <w:r>
        <w:rPr>
          <w:spacing w:val="-2"/>
        </w:rPr>
        <w:t>vehicles</w:t>
      </w:r>
      <w:r>
        <w:rPr>
          <w:spacing w:val="-7"/>
        </w:rPr>
        <w:t xml:space="preserve"> </w:t>
      </w:r>
      <w:r>
        <w:rPr>
          <w:spacing w:val="-2"/>
        </w:rPr>
        <w:t>requires</w:t>
      </w:r>
      <w:r>
        <w:rPr>
          <w:spacing w:val="-7"/>
        </w:rPr>
        <w:t xml:space="preserve"> </w:t>
      </w:r>
      <w:r>
        <w:rPr>
          <w:spacing w:val="-2"/>
        </w:rPr>
        <w:t>road</w:t>
      </w:r>
      <w:r>
        <w:rPr>
          <w:spacing w:val="-7"/>
        </w:rPr>
        <w:t xml:space="preserve"> </w:t>
      </w:r>
      <w:r>
        <w:rPr>
          <w:spacing w:val="-2"/>
        </w:rPr>
        <w:t xml:space="preserve">networks </w:t>
      </w:r>
      <w:r>
        <w:rPr>
          <w:w w:val="95"/>
        </w:rPr>
        <w:t>that</w:t>
      </w:r>
      <w:r>
        <w:rPr>
          <w:spacing w:val="-1"/>
          <w:w w:val="95"/>
        </w:rPr>
        <w:t xml:space="preserve"> </w:t>
      </w:r>
      <w:r>
        <w:rPr>
          <w:w w:val="95"/>
        </w:rPr>
        <w:t>can</w:t>
      </w:r>
      <w:r>
        <w:rPr>
          <w:spacing w:val="-1"/>
          <w:w w:val="95"/>
        </w:rPr>
        <w:t xml:space="preserve"> </w:t>
      </w:r>
      <w:r>
        <w:rPr>
          <w:w w:val="95"/>
        </w:rPr>
        <w:t>support</w:t>
      </w:r>
      <w:r>
        <w:rPr>
          <w:spacing w:val="-1"/>
          <w:w w:val="95"/>
        </w:rPr>
        <w:t xml:space="preserve"> </w:t>
      </w:r>
      <w:r>
        <w:rPr>
          <w:w w:val="95"/>
        </w:rPr>
        <w:t>them.</w:t>
      </w:r>
      <w:r>
        <w:rPr>
          <w:spacing w:val="-1"/>
          <w:w w:val="95"/>
        </w:rPr>
        <w:t xml:space="preserve"> </w:t>
      </w:r>
      <w:r>
        <w:rPr>
          <w:w w:val="95"/>
        </w:rPr>
        <w:t>NSW</w:t>
      </w:r>
      <w:r>
        <w:rPr>
          <w:spacing w:val="-1"/>
          <w:w w:val="95"/>
        </w:rPr>
        <w:t xml:space="preserve"> </w:t>
      </w:r>
      <w:r>
        <w:rPr>
          <w:w w:val="95"/>
        </w:rPr>
        <w:t>has</w:t>
      </w:r>
      <w:r>
        <w:rPr>
          <w:spacing w:val="-1"/>
          <w:w w:val="95"/>
        </w:rPr>
        <w:t xml:space="preserve"> </w:t>
      </w:r>
      <w:r>
        <w:rPr>
          <w:w w:val="95"/>
        </w:rPr>
        <w:t>a</w:t>
      </w:r>
      <w:r>
        <w:rPr>
          <w:spacing w:val="-1"/>
          <w:w w:val="95"/>
        </w:rPr>
        <w:t xml:space="preserve"> </w:t>
      </w:r>
      <w:r>
        <w:rPr>
          <w:w w:val="95"/>
        </w:rPr>
        <w:t>number</w:t>
      </w:r>
      <w:r>
        <w:rPr>
          <w:spacing w:val="-1"/>
          <w:w w:val="95"/>
        </w:rPr>
        <w:t xml:space="preserve"> </w:t>
      </w:r>
      <w:r>
        <w:rPr>
          <w:w w:val="95"/>
        </w:rPr>
        <w:t>of</w:t>
      </w:r>
      <w:r>
        <w:rPr>
          <w:spacing w:val="-1"/>
          <w:w w:val="95"/>
        </w:rPr>
        <w:t xml:space="preserve"> </w:t>
      </w:r>
      <w:r>
        <w:rPr>
          <w:w w:val="95"/>
        </w:rPr>
        <w:t>gaps</w:t>
      </w:r>
      <w:r>
        <w:rPr>
          <w:spacing w:val="-1"/>
          <w:w w:val="95"/>
        </w:rPr>
        <w:t xml:space="preserve"> </w:t>
      </w:r>
      <w:r>
        <w:rPr>
          <w:w w:val="95"/>
        </w:rPr>
        <w:t>in</w:t>
      </w:r>
      <w:r>
        <w:rPr>
          <w:spacing w:val="-1"/>
          <w:w w:val="95"/>
        </w:rPr>
        <w:t xml:space="preserve"> </w:t>
      </w:r>
      <w:r>
        <w:rPr>
          <w:w w:val="95"/>
        </w:rPr>
        <w:t xml:space="preserve">its </w:t>
      </w:r>
      <w:r>
        <w:rPr>
          <w:spacing w:val="-2"/>
        </w:rPr>
        <w:t>High</w:t>
      </w:r>
      <w:r>
        <w:rPr>
          <w:spacing w:val="-6"/>
        </w:rPr>
        <w:t xml:space="preserve"> </w:t>
      </w:r>
      <w:r>
        <w:rPr>
          <w:spacing w:val="-2"/>
        </w:rPr>
        <w:t>Mass</w:t>
      </w:r>
      <w:r>
        <w:rPr>
          <w:spacing w:val="-6"/>
        </w:rPr>
        <w:t xml:space="preserve"> </w:t>
      </w:r>
      <w:r>
        <w:rPr>
          <w:spacing w:val="-2"/>
        </w:rPr>
        <w:t>Limits</w:t>
      </w:r>
      <w:r>
        <w:rPr>
          <w:spacing w:val="-6"/>
        </w:rPr>
        <w:t xml:space="preserve"> </w:t>
      </w:r>
      <w:r>
        <w:rPr>
          <w:spacing w:val="-2"/>
        </w:rPr>
        <w:t>(HML)</w:t>
      </w:r>
      <w:r>
        <w:rPr>
          <w:spacing w:val="-6"/>
        </w:rPr>
        <w:t xml:space="preserve"> </w:t>
      </w:r>
      <w:r>
        <w:rPr>
          <w:spacing w:val="-2"/>
        </w:rPr>
        <w:t>and</w:t>
      </w:r>
      <w:r>
        <w:rPr>
          <w:spacing w:val="-6"/>
        </w:rPr>
        <w:t xml:space="preserve"> </w:t>
      </w:r>
      <w:r>
        <w:rPr>
          <w:spacing w:val="-2"/>
        </w:rPr>
        <w:t>High</w:t>
      </w:r>
      <w:r>
        <w:rPr>
          <w:spacing w:val="-6"/>
        </w:rPr>
        <w:t xml:space="preserve"> </w:t>
      </w:r>
      <w:r>
        <w:rPr>
          <w:spacing w:val="-2"/>
        </w:rPr>
        <w:t>Productivity</w:t>
      </w:r>
      <w:r>
        <w:rPr>
          <w:spacing w:val="-6"/>
        </w:rPr>
        <w:t xml:space="preserve"> </w:t>
      </w:r>
      <w:r>
        <w:rPr>
          <w:spacing w:val="-2"/>
        </w:rPr>
        <w:t xml:space="preserve">Vehicle </w:t>
      </w:r>
      <w:r>
        <w:rPr>
          <w:w w:val="95"/>
        </w:rPr>
        <w:t>(HPV)</w:t>
      </w:r>
      <w:r>
        <w:rPr>
          <w:spacing w:val="-5"/>
          <w:w w:val="95"/>
        </w:rPr>
        <w:t xml:space="preserve"> </w:t>
      </w:r>
      <w:r>
        <w:rPr>
          <w:w w:val="95"/>
        </w:rPr>
        <w:t>networks</w:t>
      </w:r>
      <w:r>
        <w:rPr>
          <w:spacing w:val="-5"/>
          <w:w w:val="95"/>
        </w:rPr>
        <w:t xml:space="preserve"> </w:t>
      </w:r>
      <w:r>
        <w:rPr>
          <w:w w:val="95"/>
        </w:rPr>
        <w:t>that</w:t>
      </w:r>
      <w:r>
        <w:rPr>
          <w:spacing w:val="-5"/>
          <w:w w:val="95"/>
        </w:rPr>
        <w:t xml:space="preserve"> </w:t>
      </w:r>
      <w:r>
        <w:rPr>
          <w:w w:val="95"/>
        </w:rPr>
        <w:t>can</w:t>
      </w:r>
      <w:r>
        <w:rPr>
          <w:spacing w:val="-5"/>
          <w:w w:val="95"/>
        </w:rPr>
        <w:t xml:space="preserve"> </w:t>
      </w:r>
      <w:r>
        <w:rPr>
          <w:w w:val="95"/>
        </w:rPr>
        <w:t>cause</w:t>
      </w:r>
      <w:r>
        <w:rPr>
          <w:spacing w:val="-5"/>
          <w:w w:val="95"/>
        </w:rPr>
        <w:t xml:space="preserve"> </w:t>
      </w:r>
      <w:r>
        <w:rPr>
          <w:w w:val="95"/>
        </w:rPr>
        <w:t>freight</w:t>
      </w:r>
      <w:r>
        <w:rPr>
          <w:spacing w:val="-5"/>
          <w:w w:val="95"/>
        </w:rPr>
        <w:t xml:space="preserve"> </w:t>
      </w:r>
      <w:r>
        <w:rPr>
          <w:w w:val="95"/>
        </w:rPr>
        <w:t>costs</w:t>
      </w:r>
      <w:r>
        <w:rPr>
          <w:spacing w:val="-5"/>
          <w:w w:val="95"/>
        </w:rPr>
        <w:t xml:space="preserve"> </w:t>
      </w:r>
      <w:r>
        <w:rPr>
          <w:w w:val="95"/>
        </w:rPr>
        <w:t>to</w:t>
      </w:r>
      <w:r>
        <w:rPr>
          <w:spacing w:val="-5"/>
          <w:w w:val="95"/>
        </w:rPr>
        <w:t xml:space="preserve"> </w:t>
      </w:r>
      <w:r>
        <w:rPr>
          <w:w w:val="95"/>
        </w:rPr>
        <w:t>be</w:t>
      </w:r>
      <w:r>
        <w:rPr>
          <w:spacing w:val="-5"/>
          <w:w w:val="95"/>
        </w:rPr>
        <w:t xml:space="preserve"> </w:t>
      </w:r>
      <w:r>
        <w:rPr>
          <w:w w:val="95"/>
        </w:rPr>
        <w:t xml:space="preserve">higher </w:t>
      </w:r>
      <w:r>
        <w:t>in</w:t>
      </w:r>
      <w:r>
        <w:rPr>
          <w:spacing w:val="-5"/>
        </w:rPr>
        <w:t xml:space="preserve"> </w:t>
      </w:r>
      <w:r>
        <w:t>NSW</w:t>
      </w:r>
      <w:r>
        <w:rPr>
          <w:spacing w:val="-5"/>
        </w:rPr>
        <w:t xml:space="preserve"> </w:t>
      </w:r>
      <w:r>
        <w:t>than</w:t>
      </w:r>
      <w:r>
        <w:rPr>
          <w:spacing w:val="-5"/>
        </w:rPr>
        <w:t xml:space="preserve"> </w:t>
      </w:r>
      <w:r>
        <w:t>in</w:t>
      </w:r>
      <w:r>
        <w:rPr>
          <w:spacing w:val="-5"/>
        </w:rPr>
        <w:t xml:space="preserve"> </w:t>
      </w:r>
      <w:r>
        <w:t>some</w:t>
      </w:r>
      <w:r>
        <w:rPr>
          <w:spacing w:val="-5"/>
        </w:rPr>
        <w:t xml:space="preserve"> </w:t>
      </w:r>
      <w:r>
        <w:t>other</w:t>
      </w:r>
      <w:r>
        <w:rPr>
          <w:spacing w:val="-5"/>
        </w:rPr>
        <w:t xml:space="preserve"> </w:t>
      </w:r>
      <w:r>
        <w:t>States.</w:t>
      </w:r>
    </w:p>
    <w:p w:rsidR="002C1123" w:rsidRDefault="00F22F94">
      <w:pPr>
        <w:pStyle w:val="BodyText"/>
        <w:spacing w:before="142"/>
        <w:ind w:left="196" w:right="672"/>
      </w:pPr>
      <w:r>
        <w:t>While</w:t>
      </w:r>
      <w:r>
        <w:rPr>
          <w:spacing w:val="-7"/>
        </w:rPr>
        <w:t xml:space="preserve"> </w:t>
      </w:r>
      <w:r>
        <w:t>a</w:t>
      </w:r>
      <w:r>
        <w:rPr>
          <w:spacing w:val="-7"/>
        </w:rPr>
        <w:t xml:space="preserve"> </w:t>
      </w:r>
      <w:r>
        <w:t>significant</w:t>
      </w:r>
      <w:r>
        <w:rPr>
          <w:spacing w:val="-7"/>
        </w:rPr>
        <w:t xml:space="preserve"> </w:t>
      </w:r>
      <w:r>
        <w:t>proportion</w:t>
      </w:r>
      <w:r>
        <w:rPr>
          <w:spacing w:val="-7"/>
        </w:rPr>
        <w:t xml:space="preserve"> </w:t>
      </w:r>
      <w:r>
        <w:t>of</w:t>
      </w:r>
      <w:r>
        <w:rPr>
          <w:spacing w:val="-7"/>
        </w:rPr>
        <w:t xml:space="preserve"> </w:t>
      </w:r>
      <w:r>
        <w:t>the</w:t>
      </w:r>
      <w:r>
        <w:rPr>
          <w:spacing w:val="-7"/>
        </w:rPr>
        <w:t xml:space="preserve"> </w:t>
      </w:r>
      <w:r>
        <w:t>forward</w:t>
      </w:r>
      <w:r>
        <w:rPr>
          <w:spacing w:val="-7"/>
        </w:rPr>
        <w:t xml:space="preserve"> </w:t>
      </w:r>
      <w:r>
        <w:t xml:space="preserve">transport </w:t>
      </w:r>
      <w:r>
        <w:rPr>
          <w:w w:val="95"/>
        </w:rPr>
        <w:t xml:space="preserve">program is committed to major road upgrades, targeted </w:t>
      </w:r>
      <w:r>
        <w:t>minor</w:t>
      </w:r>
      <w:r>
        <w:rPr>
          <w:spacing w:val="-10"/>
        </w:rPr>
        <w:t xml:space="preserve"> </w:t>
      </w:r>
      <w:r>
        <w:t>projects</w:t>
      </w:r>
      <w:r>
        <w:rPr>
          <w:spacing w:val="-10"/>
        </w:rPr>
        <w:t xml:space="preserve"> </w:t>
      </w:r>
      <w:r>
        <w:t>need</w:t>
      </w:r>
      <w:r>
        <w:rPr>
          <w:spacing w:val="-10"/>
        </w:rPr>
        <w:t xml:space="preserve"> </w:t>
      </w:r>
      <w:r>
        <w:t>to</w:t>
      </w:r>
      <w:r>
        <w:rPr>
          <w:spacing w:val="-10"/>
        </w:rPr>
        <w:t xml:space="preserve"> </w:t>
      </w:r>
      <w:r>
        <w:t>be</w:t>
      </w:r>
      <w:r>
        <w:rPr>
          <w:spacing w:val="-10"/>
        </w:rPr>
        <w:t xml:space="preserve"> </w:t>
      </w:r>
      <w:r>
        <w:t>progressed</w:t>
      </w:r>
      <w:r>
        <w:rPr>
          <w:spacing w:val="-10"/>
        </w:rPr>
        <w:t xml:space="preserve"> </w:t>
      </w:r>
      <w:r>
        <w:t>also.</w:t>
      </w:r>
      <w:r>
        <w:rPr>
          <w:spacing w:val="-10"/>
        </w:rPr>
        <w:t xml:space="preserve"> </w:t>
      </w:r>
      <w:r>
        <w:t>In</w:t>
      </w:r>
      <w:r>
        <w:rPr>
          <w:spacing w:val="-10"/>
        </w:rPr>
        <w:t xml:space="preserve"> </w:t>
      </w:r>
      <w:r>
        <w:t>many cases,</w:t>
      </w:r>
      <w:r>
        <w:rPr>
          <w:spacing w:val="-10"/>
        </w:rPr>
        <w:t xml:space="preserve"> </w:t>
      </w:r>
      <w:r>
        <w:t>investments</w:t>
      </w:r>
      <w:r>
        <w:rPr>
          <w:spacing w:val="-10"/>
        </w:rPr>
        <w:t xml:space="preserve"> </w:t>
      </w:r>
      <w:r>
        <w:t>in</w:t>
      </w:r>
      <w:r>
        <w:rPr>
          <w:spacing w:val="-10"/>
        </w:rPr>
        <w:t xml:space="preserve"> </w:t>
      </w:r>
      <w:r>
        <w:t>‘pinch</w:t>
      </w:r>
      <w:r>
        <w:rPr>
          <w:spacing w:val="-10"/>
        </w:rPr>
        <w:t xml:space="preserve"> </w:t>
      </w:r>
      <w:r>
        <w:t>point’</w:t>
      </w:r>
      <w:r>
        <w:rPr>
          <w:spacing w:val="-10"/>
        </w:rPr>
        <w:t xml:space="preserve"> </w:t>
      </w:r>
      <w:r>
        <w:t>schemes</w:t>
      </w:r>
      <w:r>
        <w:rPr>
          <w:spacing w:val="-10"/>
        </w:rPr>
        <w:t xml:space="preserve"> </w:t>
      </w:r>
      <w:r>
        <w:t>can</w:t>
      </w:r>
      <w:r>
        <w:rPr>
          <w:spacing w:val="-10"/>
        </w:rPr>
        <w:t xml:space="preserve"> </w:t>
      </w:r>
      <w:r>
        <w:t>have very</w:t>
      </w:r>
      <w:r>
        <w:rPr>
          <w:spacing w:val="-13"/>
        </w:rPr>
        <w:t xml:space="preserve"> </w:t>
      </w:r>
      <w:r>
        <w:t>high</w:t>
      </w:r>
      <w:r>
        <w:rPr>
          <w:spacing w:val="-13"/>
        </w:rPr>
        <w:t xml:space="preserve"> </w:t>
      </w:r>
      <w:r>
        <w:t>returns</w:t>
      </w:r>
      <w:r>
        <w:rPr>
          <w:spacing w:val="-13"/>
        </w:rPr>
        <w:t xml:space="preserve"> </w:t>
      </w:r>
      <w:r>
        <w:t>because</w:t>
      </w:r>
      <w:r>
        <w:rPr>
          <w:spacing w:val="-13"/>
        </w:rPr>
        <w:t xml:space="preserve"> </w:t>
      </w:r>
      <w:r>
        <w:t>they</w:t>
      </w:r>
      <w:r>
        <w:rPr>
          <w:spacing w:val="-13"/>
        </w:rPr>
        <w:t xml:space="preserve"> </w:t>
      </w:r>
      <w:r>
        <w:t>can</w:t>
      </w:r>
      <w:r>
        <w:rPr>
          <w:spacing w:val="-13"/>
        </w:rPr>
        <w:t xml:space="preserve"> </w:t>
      </w:r>
      <w:r>
        <w:t>unlock</w:t>
      </w:r>
      <w:r>
        <w:rPr>
          <w:spacing w:val="-13"/>
        </w:rPr>
        <w:t xml:space="preserve"> </w:t>
      </w:r>
      <w:r>
        <w:t>constraints</w:t>
      </w:r>
    </w:p>
    <w:p w:rsidR="002C1123" w:rsidRDefault="002060EF">
      <w:pPr>
        <w:pStyle w:val="BodyText"/>
        <w:spacing w:before="1"/>
        <w:rPr>
          <w:sz w:val="12"/>
        </w:rPr>
      </w:pPr>
      <w:r>
        <w:pict>
          <v:shape id="docshape1927" o:spid="_x0000_s3155" style="position:absolute;margin-left:552.3pt;margin-top:8.2pt;width:1in;height:.1pt;z-index:-251350016;mso-wrap-distance-left:0;mso-wrap-distance-right:0;mso-position-horizontal-relative:page" coordorigin="11046,164" coordsize="1440,0" path="m11046,164r1440,e" filled="f" strokecolor="#9c9c9d" strokeweight=".5pt">
            <v:path arrowok="t"/>
            <w10:wrap type="topAndBottom" anchorx="page"/>
          </v:shape>
        </w:pict>
      </w:r>
    </w:p>
    <w:p w:rsidR="002C1123" w:rsidRDefault="00F22F94">
      <w:pPr>
        <w:pStyle w:val="ListParagraph"/>
        <w:numPr>
          <w:ilvl w:val="0"/>
          <w:numId w:val="73"/>
        </w:numPr>
        <w:tabs>
          <w:tab w:val="left" w:pos="395"/>
        </w:tabs>
        <w:spacing w:before="23"/>
        <w:ind w:left="394"/>
        <w:jc w:val="left"/>
        <w:rPr>
          <w:sz w:val="14"/>
        </w:rPr>
      </w:pPr>
      <w:r>
        <w:rPr>
          <w:w w:val="95"/>
          <w:sz w:val="14"/>
        </w:rPr>
        <w:t>BITRE</w:t>
      </w:r>
      <w:r>
        <w:rPr>
          <w:spacing w:val="-3"/>
          <w:w w:val="95"/>
          <w:sz w:val="14"/>
        </w:rPr>
        <w:t xml:space="preserve"> </w:t>
      </w:r>
      <w:r>
        <w:rPr>
          <w:w w:val="95"/>
          <w:sz w:val="14"/>
        </w:rPr>
        <w:t>2011,</w:t>
      </w:r>
      <w:r>
        <w:rPr>
          <w:spacing w:val="-3"/>
          <w:w w:val="95"/>
          <w:sz w:val="14"/>
        </w:rPr>
        <w:t xml:space="preserve"> </w:t>
      </w:r>
      <w:r>
        <w:rPr>
          <w:w w:val="95"/>
          <w:sz w:val="14"/>
        </w:rPr>
        <w:t>Truck</w:t>
      </w:r>
      <w:r>
        <w:rPr>
          <w:spacing w:val="-2"/>
          <w:w w:val="95"/>
          <w:sz w:val="14"/>
        </w:rPr>
        <w:t xml:space="preserve"> </w:t>
      </w:r>
      <w:r>
        <w:rPr>
          <w:w w:val="95"/>
          <w:sz w:val="14"/>
        </w:rPr>
        <w:t>Productivity:</w:t>
      </w:r>
      <w:r>
        <w:rPr>
          <w:spacing w:val="-3"/>
          <w:w w:val="95"/>
          <w:sz w:val="14"/>
        </w:rPr>
        <w:t xml:space="preserve"> </w:t>
      </w:r>
      <w:r>
        <w:rPr>
          <w:w w:val="95"/>
          <w:sz w:val="14"/>
        </w:rPr>
        <w:t>Sources,</w:t>
      </w:r>
      <w:r>
        <w:rPr>
          <w:spacing w:val="-3"/>
          <w:w w:val="95"/>
          <w:sz w:val="14"/>
        </w:rPr>
        <w:t xml:space="preserve"> </w:t>
      </w:r>
      <w:r>
        <w:rPr>
          <w:w w:val="95"/>
          <w:sz w:val="14"/>
        </w:rPr>
        <w:t>Trends</w:t>
      </w:r>
      <w:r>
        <w:rPr>
          <w:spacing w:val="-2"/>
          <w:w w:val="95"/>
          <w:sz w:val="14"/>
        </w:rPr>
        <w:t xml:space="preserve"> </w:t>
      </w:r>
      <w:r>
        <w:rPr>
          <w:w w:val="95"/>
          <w:sz w:val="14"/>
        </w:rPr>
        <w:t>and</w:t>
      </w:r>
      <w:r>
        <w:rPr>
          <w:spacing w:val="-3"/>
          <w:w w:val="95"/>
          <w:sz w:val="14"/>
        </w:rPr>
        <w:t xml:space="preserve"> </w:t>
      </w:r>
      <w:r>
        <w:rPr>
          <w:w w:val="95"/>
          <w:sz w:val="14"/>
        </w:rPr>
        <w:t>Future</w:t>
      </w:r>
      <w:r>
        <w:rPr>
          <w:spacing w:val="-3"/>
          <w:w w:val="95"/>
          <w:sz w:val="14"/>
        </w:rPr>
        <w:t xml:space="preserve"> </w:t>
      </w:r>
      <w:r>
        <w:rPr>
          <w:spacing w:val="-2"/>
          <w:w w:val="95"/>
          <w:sz w:val="14"/>
        </w:rPr>
        <w:t>Prospects.</w:t>
      </w:r>
    </w:p>
    <w:p w:rsidR="002C1123" w:rsidRDefault="002C1123">
      <w:pPr>
        <w:rPr>
          <w:sz w:val="14"/>
        </w:rPr>
        <w:sectPr w:rsidR="002C1123">
          <w:type w:val="continuous"/>
          <w:pgSz w:w="16840" w:h="11910" w:orient="landscape"/>
          <w:pgMar w:top="560" w:right="280" w:bottom="280" w:left="500" w:header="0" w:footer="517" w:gutter="0"/>
          <w:cols w:num="3" w:space="720" w:equalWidth="0">
            <w:col w:w="5285" w:space="40"/>
            <w:col w:w="4985" w:space="39"/>
            <w:col w:w="5711"/>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BodyText"/>
        <w:spacing w:before="106"/>
        <w:ind w:left="492"/>
      </w:pPr>
      <w:bookmarkStart w:id="291" w:name="_bookmark207"/>
      <w:bookmarkEnd w:id="291"/>
      <w:r>
        <w:rPr>
          <w:w w:val="95"/>
        </w:rPr>
        <w:t>hindering</w:t>
      </w:r>
      <w:r>
        <w:rPr>
          <w:spacing w:val="-5"/>
          <w:w w:val="95"/>
        </w:rPr>
        <w:t xml:space="preserve"> </w:t>
      </w:r>
      <w:r>
        <w:rPr>
          <w:w w:val="95"/>
        </w:rPr>
        <w:t>HML</w:t>
      </w:r>
      <w:r>
        <w:rPr>
          <w:spacing w:val="-5"/>
          <w:w w:val="95"/>
        </w:rPr>
        <w:t xml:space="preserve"> </w:t>
      </w:r>
      <w:r>
        <w:rPr>
          <w:w w:val="95"/>
        </w:rPr>
        <w:t>and</w:t>
      </w:r>
      <w:r>
        <w:rPr>
          <w:spacing w:val="-5"/>
          <w:w w:val="95"/>
        </w:rPr>
        <w:t xml:space="preserve"> </w:t>
      </w:r>
      <w:r>
        <w:rPr>
          <w:w w:val="95"/>
        </w:rPr>
        <w:t>HPV</w:t>
      </w:r>
      <w:r>
        <w:rPr>
          <w:spacing w:val="-5"/>
          <w:w w:val="95"/>
        </w:rPr>
        <w:t xml:space="preserve"> </w:t>
      </w:r>
      <w:r>
        <w:rPr>
          <w:w w:val="95"/>
        </w:rPr>
        <w:t>movements</w:t>
      </w:r>
      <w:r>
        <w:rPr>
          <w:spacing w:val="-5"/>
          <w:w w:val="95"/>
        </w:rPr>
        <w:t xml:space="preserve"> </w:t>
      </w:r>
      <w:r>
        <w:rPr>
          <w:w w:val="95"/>
        </w:rPr>
        <w:t>along</w:t>
      </w:r>
      <w:r>
        <w:rPr>
          <w:spacing w:val="-5"/>
          <w:w w:val="95"/>
        </w:rPr>
        <w:t xml:space="preserve"> </w:t>
      </w:r>
      <w:r>
        <w:rPr>
          <w:w w:val="95"/>
        </w:rPr>
        <w:t>a</w:t>
      </w:r>
      <w:r>
        <w:rPr>
          <w:spacing w:val="-5"/>
          <w:w w:val="95"/>
        </w:rPr>
        <w:t xml:space="preserve"> </w:t>
      </w:r>
      <w:r>
        <w:rPr>
          <w:w w:val="95"/>
        </w:rPr>
        <w:t xml:space="preserve">whole </w:t>
      </w:r>
      <w:r>
        <w:t>corridor and the wider road network.</w:t>
      </w:r>
    </w:p>
    <w:p w:rsidR="002C1123" w:rsidRDefault="00F22F94">
      <w:pPr>
        <w:pStyle w:val="BodyText"/>
        <w:spacing w:before="123"/>
        <w:ind w:left="492"/>
      </w:pPr>
      <w:r>
        <w:rPr>
          <w:w w:val="95"/>
        </w:rPr>
        <w:t>A</w:t>
      </w:r>
      <w:r>
        <w:rPr>
          <w:spacing w:val="-7"/>
          <w:w w:val="95"/>
        </w:rPr>
        <w:t xml:space="preserve"> </w:t>
      </w:r>
      <w:r>
        <w:rPr>
          <w:w w:val="95"/>
        </w:rPr>
        <w:t>network</w:t>
      </w:r>
      <w:r>
        <w:rPr>
          <w:spacing w:val="-6"/>
          <w:w w:val="95"/>
        </w:rPr>
        <w:t xml:space="preserve"> </w:t>
      </w:r>
      <w:r>
        <w:rPr>
          <w:w w:val="95"/>
        </w:rPr>
        <w:t>is</w:t>
      </w:r>
      <w:r>
        <w:rPr>
          <w:spacing w:val="-6"/>
          <w:w w:val="95"/>
        </w:rPr>
        <w:t xml:space="preserve"> </w:t>
      </w:r>
      <w:r>
        <w:rPr>
          <w:w w:val="95"/>
        </w:rPr>
        <w:t>only</w:t>
      </w:r>
      <w:r>
        <w:rPr>
          <w:spacing w:val="-6"/>
          <w:w w:val="95"/>
        </w:rPr>
        <w:t xml:space="preserve"> </w:t>
      </w:r>
      <w:r>
        <w:rPr>
          <w:w w:val="95"/>
        </w:rPr>
        <w:t>as</w:t>
      </w:r>
      <w:r>
        <w:rPr>
          <w:spacing w:val="-7"/>
          <w:w w:val="95"/>
        </w:rPr>
        <w:t xml:space="preserve"> </w:t>
      </w:r>
      <w:r>
        <w:rPr>
          <w:w w:val="95"/>
        </w:rPr>
        <w:t>strong</w:t>
      </w:r>
      <w:r>
        <w:rPr>
          <w:spacing w:val="-6"/>
          <w:w w:val="95"/>
        </w:rPr>
        <w:t xml:space="preserve"> </w:t>
      </w:r>
      <w:r>
        <w:rPr>
          <w:w w:val="95"/>
        </w:rPr>
        <w:t>as</w:t>
      </w:r>
      <w:r>
        <w:rPr>
          <w:spacing w:val="-6"/>
          <w:w w:val="95"/>
        </w:rPr>
        <w:t xml:space="preserve"> </w:t>
      </w:r>
      <w:r>
        <w:rPr>
          <w:w w:val="95"/>
        </w:rPr>
        <w:t>its</w:t>
      </w:r>
      <w:r>
        <w:rPr>
          <w:spacing w:val="-6"/>
          <w:w w:val="95"/>
        </w:rPr>
        <w:t xml:space="preserve"> </w:t>
      </w:r>
      <w:r>
        <w:rPr>
          <w:w w:val="95"/>
        </w:rPr>
        <w:t>weakest</w:t>
      </w:r>
      <w:r>
        <w:rPr>
          <w:spacing w:val="-7"/>
          <w:w w:val="95"/>
        </w:rPr>
        <w:t xml:space="preserve"> </w:t>
      </w:r>
      <w:r>
        <w:rPr>
          <w:spacing w:val="-4"/>
          <w:w w:val="95"/>
        </w:rPr>
        <w:t>link.</w:t>
      </w:r>
    </w:p>
    <w:p w:rsidR="002C1123" w:rsidRDefault="00F22F94">
      <w:pPr>
        <w:pStyle w:val="BodyText"/>
        <w:spacing w:before="10" w:line="249" w:lineRule="auto"/>
        <w:ind w:left="492" w:right="385"/>
      </w:pPr>
      <w:r>
        <w:t>A</w:t>
      </w:r>
      <w:r>
        <w:rPr>
          <w:spacing w:val="-14"/>
        </w:rPr>
        <w:t xml:space="preserve"> </w:t>
      </w:r>
      <w:r>
        <w:t>constraint</w:t>
      </w:r>
      <w:r>
        <w:rPr>
          <w:spacing w:val="-14"/>
        </w:rPr>
        <w:t xml:space="preserve"> </w:t>
      </w:r>
      <w:r>
        <w:t>on</w:t>
      </w:r>
      <w:r>
        <w:rPr>
          <w:spacing w:val="-14"/>
        </w:rPr>
        <w:t xml:space="preserve"> </w:t>
      </w:r>
      <w:r>
        <w:t>one</w:t>
      </w:r>
      <w:r>
        <w:rPr>
          <w:spacing w:val="-14"/>
        </w:rPr>
        <w:t xml:space="preserve"> </w:t>
      </w:r>
      <w:r>
        <w:t>part</w:t>
      </w:r>
      <w:r>
        <w:rPr>
          <w:spacing w:val="-14"/>
        </w:rPr>
        <w:t xml:space="preserve"> </w:t>
      </w:r>
      <w:r>
        <w:t>of</w:t>
      </w:r>
      <w:r>
        <w:rPr>
          <w:spacing w:val="-14"/>
        </w:rPr>
        <w:t xml:space="preserve"> </w:t>
      </w:r>
      <w:r>
        <w:t>the</w:t>
      </w:r>
      <w:r>
        <w:rPr>
          <w:spacing w:val="-14"/>
        </w:rPr>
        <w:t xml:space="preserve"> </w:t>
      </w:r>
      <w:r>
        <w:t>NSW</w:t>
      </w:r>
      <w:r>
        <w:rPr>
          <w:spacing w:val="-13"/>
        </w:rPr>
        <w:t xml:space="preserve"> </w:t>
      </w:r>
      <w:r>
        <w:t>road</w:t>
      </w:r>
      <w:r>
        <w:rPr>
          <w:spacing w:val="-14"/>
        </w:rPr>
        <w:t xml:space="preserve"> </w:t>
      </w:r>
      <w:r>
        <w:t xml:space="preserve">network </w:t>
      </w:r>
      <w:r>
        <w:rPr>
          <w:w w:val="95"/>
        </w:rPr>
        <w:t>can reduce productivity across the whole network.</w:t>
      </w:r>
    </w:p>
    <w:p w:rsidR="002C1123" w:rsidRDefault="00F22F94">
      <w:pPr>
        <w:pStyle w:val="BodyText"/>
        <w:spacing w:before="2" w:line="249" w:lineRule="auto"/>
        <w:ind w:left="492"/>
      </w:pPr>
      <w:r>
        <w:t>A</w:t>
      </w:r>
      <w:r>
        <w:rPr>
          <w:spacing w:val="-4"/>
        </w:rPr>
        <w:t xml:space="preserve"> </w:t>
      </w:r>
      <w:r>
        <w:t>network-wide</w:t>
      </w:r>
      <w:r>
        <w:rPr>
          <w:spacing w:val="-4"/>
        </w:rPr>
        <w:t xml:space="preserve"> </w:t>
      </w:r>
      <w:r>
        <w:t>approach</w:t>
      </w:r>
      <w:r>
        <w:rPr>
          <w:spacing w:val="-4"/>
        </w:rPr>
        <w:t xml:space="preserve"> </w:t>
      </w:r>
      <w:r>
        <w:t>that</w:t>
      </w:r>
      <w:r>
        <w:rPr>
          <w:spacing w:val="-4"/>
        </w:rPr>
        <w:t xml:space="preserve"> </w:t>
      </w:r>
      <w:r>
        <w:t>takes</w:t>
      </w:r>
      <w:r>
        <w:rPr>
          <w:spacing w:val="-4"/>
        </w:rPr>
        <w:t xml:space="preserve"> </w:t>
      </w:r>
      <w:r>
        <w:t>account</w:t>
      </w:r>
      <w:r>
        <w:rPr>
          <w:spacing w:val="-4"/>
        </w:rPr>
        <w:t xml:space="preserve"> </w:t>
      </w:r>
      <w:r>
        <w:t>of</w:t>
      </w:r>
      <w:r>
        <w:rPr>
          <w:spacing w:val="-4"/>
        </w:rPr>
        <w:t xml:space="preserve"> </w:t>
      </w:r>
      <w:r>
        <w:t xml:space="preserve">the </w:t>
      </w:r>
      <w:r>
        <w:rPr>
          <w:w w:val="95"/>
        </w:rPr>
        <w:t xml:space="preserve">different types of freight movements and their transport </w:t>
      </w:r>
      <w:r>
        <w:t>requirements</w:t>
      </w:r>
      <w:r>
        <w:rPr>
          <w:spacing w:val="-9"/>
        </w:rPr>
        <w:t xml:space="preserve"> </w:t>
      </w:r>
      <w:r>
        <w:t>is</w:t>
      </w:r>
      <w:r>
        <w:rPr>
          <w:spacing w:val="-9"/>
        </w:rPr>
        <w:t xml:space="preserve"> </w:t>
      </w:r>
      <w:r>
        <w:t>therefore</w:t>
      </w:r>
      <w:r>
        <w:rPr>
          <w:spacing w:val="-9"/>
        </w:rPr>
        <w:t xml:space="preserve"> </w:t>
      </w:r>
      <w:r>
        <w:t>essential.</w:t>
      </w:r>
    </w:p>
    <w:p w:rsidR="002C1123" w:rsidRDefault="00F22F94">
      <w:pPr>
        <w:pStyle w:val="BodyText"/>
        <w:spacing w:before="116" w:line="249" w:lineRule="auto"/>
        <w:ind w:left="492"/>
      </w:pPr>
      <w:r>
        <w:t>The</w:t>
      </w:r>
      <w:r>
        <w:rPr>
          <w:spacing w:val="-14"/>
        </w:rPr>
        <w:t xml:space="preserve"> </w:t>
      </w:r>
      <w:r>
        <w:t>traditional</w:t>
      </w:r>
      <w:r>
        <w:rPr>
          <w:spacing w:val="-14"/>
        </w:rPr>
        <w:t xml:space="preserve"> </w:t>
      </w:r>
      <w:r>
        <w:t>road</w:t>
      </w:r>
      <w:r>
        <w:rPr>
          <w:spacing w:val="-14"/>
        </w:rPr>
        <w:t xml:space="preserve"> </w:t>
      </w:r>
      <w:r>
        <w:t>hierarchy</w:t>
      </w:r>
      <w:r>
        <w:rPr>
          <w:spacing w:val="-14"/>
        </w:rPr>
        <w:t xml:space="preserve"> </w:t>
      </w:r>
      <w:r>
        <w:t>and</w:t>
      </w:r>
      <w:r>
        <w:rPr>
          <w:spacing w:val="-14"/>
        </w:rPr>
        <w:t xml:space="preserve"> </w:t>
      </w:r>
      <w:r>
        <w:t>boundaries</w:t>
      </w:r>
      <w:r>
        <w:rPr>
          <w:spacing w:val="-14"/>
        </w:rPr>
        <w:t xml:space="preserve"> </w:t>
      </w:r>
      <w:r>
        <w:t xml:space="preserve">between </w:t>
      </w:r>
      <w:r>
        <w:rPr>
          <w:w w:val="95"/>
        </w:rPr>
        <w:t>local</w:t>
      </w:r>
      <w:r>
        <w:rPr>
          <w:spacing w:val="-1"/>
          <w:w w:val="95"/>
        </w:rPr>
        <w:t xml:space="preserve"> </w:t>
      </w:r>
      <w:r>
        <w:rPr>
          <w:w w:val="95"/>
        </w:rPr>
        <w:t>government</w:t>
      </w:r>
      <w:r>
        <w:rPr>
          <w:spacing w:val="-1"/>
          <w:w w:val="95"/>
        </w:rPr>
        <w:t xml:space="preserve"> </w:t>
      </w:r>
      <w:r>
        <w:rPr>
          <w:w w:val="95"/>
        </w:rPr>
        <w:t>roads,</w:t>
      </w:r>
      <w:r>
        <w:rPr>
          <w:spacing w:val="-1"/>
          <w:w w:val="95"/>
        </w:rPr>
        <w:t xml:space="preserve"> </w:t>
      </w:r>
      <w:r>
        <w:rPr>
          <w:w w:val="95"/>
        </w:rPr>
        <w:t>state</w:t>
      </w:r>
      <w:r>
        <w:rPr>
          <w:spacing w:val="-1"/>
          <w:w w:val="95"/>
        </w:rPr>
        <w:t xml:space="preserve"> </w:t>
      </w:r>
      <w:r>
        <w:rPr>
          <w:w w:val="95"/>
        </w:rPr>
        <w:t>and</w:t>
      </w:r>
      <w:r>
        <w:rPr>
          <w:spacing w:val="-1"/>
          <w:w w:val="95"/>
        </w:rPr>
        <w:t xml:space="preserve"> </w:t>
      </w:r>
      <w:r>
        <w:rPr>
          <w:w w:val="95"/>
        </w:rPr>
        <w:t>federal</w:t>
      </w:r>
      <w:r>
        <w:rPr>
          <w:spacing w:val="-1"/>
          <w:w w:val="95"/>
        </w:rPr>
        <w:t xml:space="preserve"> </w:t>
      </w:r>
      <w:r>
        <w:rPr>
          <w:w w:val="95"/>
        </w:rPr>
        <w:t>roads</w:t>
      </w:r>
      <w:r>
        <w:rPr>
          <w:spacing w:val="-1"/>
          <w:w w:val="95"/>
        </w:rPr>
        <w:t xml:space="preserve"> </w:t>
      </w:r>
      <w:r>
        <w:rPr>
          <w:w w:val="95"/>
        </w:rPr>
        <w:t xml:space="preserve">appears </w:t>
      </w:r>
      <w:r>
        <w:t>to</w:t>
      </w:r>
      <w:r>
        <w:rPr>
          <w:spacing w:val="-12"/>
        </w:rPr>
        <w:t xml:space="preserve"> </w:t>
      </w:r>
      <w:r>
        <w:t>have</w:t>
      </w:r>
      <w:r>
        <w:rPr>
          <w:spacing w:val="-12"/>
        </w:rPr>
        <w:t xml:space="preserve"> </w:t>
      </w:r>
      <w:r>
        <w:t>sometimes</w:t>
      </w:r>
      <w:r>
        <w:rPr>
          <w:spacing w:val="-12"/>
        </w:rPr>
        <w:t xml:space="preserve"> </w:t>
      </w:r>
      <w:r>
        <w:t>held</w:t>
      </w:r>
      <w:r>
        <w:rPr>
          <w:spacing w:val="-12"/>
        </w:rPr>
        <w:t xml:space="preserve"> </w:t>
      </w:r>
      <w:r>
        <w:t>up</w:t>
      </w:r>
      <w:r>
        <w:rPr>
          <w:spacing w:val="-12"/>
        </w:rPr>
        <w:t xml:space="preserve"> </w:t>
      </w:r>
      <w:r>
        <w:t>necessary</w:t>
      </w:r>
      <w:r>
        <w:rPr>
          <w:spacing w:val="-13"/>
        </w:rPr>
        <w:t xml:space="preserve"> </w:t>
      </w:r>
      <w:r>
        <w:t>investment</w:t>
      </w:r>
      <w:r>
        <w:rPr>
          <w:spacing w:val="-12"/>
        </w:rPr>
        <w:t xml:space="preserve"> </w:t>
      </w:r>
      <w:r>
        <w:t xml:space="preserve">by </w:t>
      </w:r>
      <w:r>
        <w:rPr>
          <w:spacing w:val="-2"/>
          <w:w w:val="95"/>
        </w:rPr>
        <w:t>preventing</w:t>
      </w:r>
      <w:r>
        <w:rPr>
          <w:spacing w:val="-6"/>
          <w:w w:val="95"/>
        </w:rPr>
        <w:t xml:space="preserve"> </w:t>
      </w:r>
      <w:r>
        <w:rPr>
          <w:spacing w:val="-2"/>
          <w:w w:val="95"/>
        </w:rPr>
        <w:t>any</w:t>
      </w:r>
      <w:r>
        <w:rPr>
          <w:spacing w:val="-6"/>
          <w:w w:val="95"/>
        </w:rPr>
        <w:t xml:space="preserve"> </w:t>
      </w:r>
      <w:r>
        <w:rPr>
          <w:spacing w:val="-2"/>
          <w:w w:val="95"/>
        </w:rPr>
        <w:t>single</w:t>
      </w:r>
      <w:r>
        <w:rPr>
          <w:spacing w:val="-6"/>
          <w:w w:val="95"/>
        </w:rPr>
        <w:t xml:space="preserve"> </w:t>
      </w:r>
      <w:r>
        <w:rPr>
          <w:spacing w:val="-2"/>
          <w:w w:val="95"/>
        </w:rPr>
        <w:t>entity</w:t>
      </w:r>
      <w:r>
        <w:rPr>
          <w:spacing w:val="-6"/>
          <w:w w:val="95"/>
        </w:rPr>
        <w:t xml:space="preserve"> </w:t>
      </w:r>
      <w:r>
        <w:rPr>
          <w:spacing w:val="-2"/>
          <w:w w:val="95"/>
        </w:rPr>
        <w:t>adopting</w:t>
      </w:r>
      <w:r>
        <w:rPr>
          <w:spacing w:val="-6"/>
          <w:w w:val="95"/>
        </w:rPr>
        <w:t xml:space="preserve"> </w:t>
      </w:r>
      <w:r>
        <w:rPr>
          <w:spacing w:val="-2"/>
          <w:w w:val="95"/>
        </w:rPr>
        <w:t>a</w:t>
      </w:r>
      <w:r>
        <w:rPr>
          <w:spacing w:val="-6"/>
          <w:w w:val="95"/>
        </w:rPr>
        <w:t xml:space="preserve"> </w:t>
      </w:r>
      <w:r>
        <w:rPr>
          <w:spacing w:val="-2"/>
          <w:w w:val="95"/>
        </w:rPr>
        <w:t>network-wide</w:t>
      </w:r>
      <w:r>
        <w:rPr>
          <w:spacing w:val="-6"/>
          <w:w w:val="95"/>
        </w:rPr>
        <w:t xml:space="preserve"> </w:t>
      </w:r>
      <w:r>
        <w:rPr>
          <w:spacing w:val="-2"/>
          <w:w w:val="95"/>
        </w:rPr>
        <w:t>view.</w:t>
      </w:r>
    </w:p>
    <w:p w:rsidR="002C1123" w:rsidRDefault="00F22F94">
      <w:pPr>
        <w:pStyle w:val="BodyText"/>
        <w:spacing w:before="116" w:line="249" w:lineRule="auto"/>
        <w:ind w:left="492" w:right="385"/>
      </w:pPr>
      <w:r>
        <w:rPr>
          <w:spacing w:val="-2"/>
          <w:w w:val="95"/>
        </w:rPr>
        <w:t>One</w:t>
      </w:r>
      <w:r>
        <w:rPr>
          <w:spacing w:val="-7"/>
          <w:w w:val="95"/>
        </w:rPr>
        <w:t xml:space="preserve"> </w:t>
      </w:r>
      <w:r>
        <w:rPr>
          <w:spacing w:val="-2"/>
          <w:w w:val="95"/>
        </w:rPr>
        <w:t>option</w:t>
      </w:r>
      <w:r>
        <w:rPr>
          <w:spacing w:val="-8"/>
          <w:w w:val="95"/>
        </w:rPr>
        <w:t xml:space="preserve"> </w:t>
      </w:r>
      <w:r>
        <w:rPr>
          <w:spacing w:val="-2"/>
          <w:w w:val="95"/>
        </w:rPr>
        <w:t>that</w:t>
      </w:r>
      <w:r>
        <w:rPr>
          <w:spacing w:val="-7"/>
          <w:w w:val="95"/>
        </w:rPr>
        <w:t xml:space="preserve"> </w:t>
      </w:r>
      <w:r>
        <w:rPr>
          <w:spacing w:val="-2"/>
          <w:w w:val="95"/>
        </w:rPr>
        <w:t>has</w:t>
      </w:r>
      <w:r>
        <w:rPr>
          <w:spacing w:val="-8"/>
          <w:w w:val="95"/>
        </w:rPr>
        <w:t xml:space="preserve"> </w:t>
      </w:r>
      <w:r>
        <w:rPr>
          <w:spacing w:val="-2"/>
          <w:w w:val="95"/>
        </w:rPr>
        <w:t>been</w:t>
      </w:r>
      <w:r>
        <w:rPr>
          <w:spacing w:val="-7"/>
          <w:w w:val="95"/>
        </w:rPr>
        <w:t xml:space="preserve"> </w:t>
      </w:r>
      <w:r>
        <w:rPr>
          <w:spacing w:val="-2"/>
          <w:w w:val="95"/>
        </w:rPr>
        <w:t>suggested</w:t>
      </w:r>
      <w:r>
        <w:rPr>
          <w:spacing w:val="-8"/>
          <w:w w:val="95"/>
        </w:rPr>
        <w:t xml:space="preserve"> </w:t>
      </w:r>
      <w:r>
        <w:rPr>
          <w:spacing w:val="-2"/>
          <w:w w:val="95"/>
        </w:rPr>
        <w:t>to</w:t>
      </w:r>
      <w:r>
        <w:rPr>
          <w:spacing w:val="-7"/>
          <w:w w:val="95"/>
        </w:rPr>
        <w:t xml:space="preserve"> </w:t>
      </w:r>
      <w:r>
        <w:rPr>
          <w:spacing w:val="-2"/>
          <w:w w:val="95"/>
        </w:rPr>
        <w:t>reduce</w:t>
      </w:r>
      <w:r>
        <w:rPr>
          <w:spacing w:val="-8"/>
          <w:w w:val="95"/>
        </w:rPr>
        <w:t xml:space="preserve"> </w:t>
      </w:r>
      <w:r>
        <w:rPr>
          <w:spacing w:val="-2"/>
          <w:w w:val="95"/>
        </w:rPr>
        <w:t xml:space="preserve">some </w:t>
      </w:r>
      <w:r>
        <w:rPr>
          <w:w w:val="90"/>
        </w:rPr>
        <w:t>of</w:t>
      </w:r>
      <w:r>
        <w:t xml:space="preserve"> </w:t>
      </w:r>
      <w:r>
        <w:rPr>
          <w:w w:val="90"/>
        </w:rPr>
        <w:t>the</w:t>
      </w:r>
      <w:r>
        <w:rPr>
          <w:spacing w:val="1"/>
        </w:rPr>
        <w:t xml:space="preserve"> </w:t>
      </w:r>
      <w:r>
        <w:rPr>
          <w:w w:val="90"/>
        </w:rPr>
        <w:t>most</w:t>
      </w:r>
      <w:r>
        <w:rPr>
          <w:spacing w:val="1"/>
        </w:rPr>
        <w:t xml:space="preserve"> </w:t>
      </w:r>
      <w:r>
        <w:rPr>
          <w:w w:val="90"/>
        </w:rPr>
        <w:t>pressing</w:t>
      </w:r>
      <w:r>
        <w:rPr>
          <w:spacing w:val="1"/>
        </w:rPr>
        <w:t xml:space="preserve"> </w:t>
      </w:r>
      <w:r>
        <w:rPr>
          <w:w w:val="90"/>
        </w:rPr>
        <w:t>physical</w:t>
      </w:r>
      <w:r>
        <w:rPr>
          <w:spacing w:val="1"/>
        </w:rPr>
        <w:t xml:space="preserve"> </w:t>
      </w:r>
      <w:r>
        <w:rPr>
          <w:w w:val="90"/>
        </w:rPr>
        <w:t>constraints</w:t>
      </w:r>
      <w:r>
        <w:t xml:space="preserve"> </w:t>
      </w:r>
      <w:r>
        <w:rPr>
          <w:w w:val="90"/>
        </w:rPr>
        <w:t>on</w:t>
      </w:r>
      <w:r>
        <w:rPr>
          <w:spacing w:val="1"/>
        </w:rPr>
        <w:t xml:space="preserve"> </w:t>
      </w:r>
      <w:r>
        <w:rPr>
          <w:w w:val="90"/>
        </w:rPr>
        <w:t>the</w:t>
      </w:r>
      <w:r>
        <w:rPr>
          <w:spacing w:val="1"/>
        </w:rPr>
        <w:t xml:space="preserve"> </w:t>
      </w:r>
      <w:r>
        <w:rPr>
          <w:spacing w:val="-4"/>
          <w:w w:val="90"/>
        </w:rPr>
        <w:t>road</w:t>
      </w:r>
    </w:p>
    <w:p w:rsidR="002C1123" w:rsidRDefault="00F22F94">
      <w:pPr>
        <w:pStyle w:val="BodyText"/>
        <w:spacing w:before="2" w:line="249" w:lineRule="auto"/>
        <w:ind w:left="492"/>
      </w:pPr>
      <w:r>
        <w:rPr>
          <w:w w:val="95"/>
        </w:rPr>
        <w:t xml:space="preserve">network is the Bridges to the Bush program. This project </w:t>
      </w:r>
      <w:r>
        <w:rPr>
          <w:w w:val="90"/>
        </w:rPr>
        <w:t>carries very high economic benefits at a relatively low cost.</w:t>
      </w:r>
    </w:p>
    <w:p w:rsidR="002C1123" w:rsidRDefault="00F22F94">
      <w:pPr>
        <w:pStyle w:val="BodyText"/>
        <w:spacing w:before="115" w:line="249" w:lineRule="auto"/>
        <w:ind w:left="492"/>
      </w:pPr>
      <w:r>
        <w:rPr>
          <w:w w:val="95"/>
        </w:rPr>
        <w:t>Bridges</w:t>
      </w:r>
      <w:r>
        <w:rPr>
          <w:spacing w:val="-3"/>
          <w:w w:val="95"/>
        </w:rPr>
        <w:t xml:space="preserve"> </w:t>
      </w:r>
      <w:r>
        <w:rPr>
          <w:w w:val="95"/>
        </w:rPr>
        <w:t>to</w:t>
      </w:r>
      <w:r>
        <w:rPr>
          <w:spacing w:val="-3"/>
          <w:w w:val="95"/>
        </w:rPr>
        <w:t xml:space="preserve"> </w:t>
      </w:r>
      <w:r>
        <w:rPr>
          <w:w w:val="95"/>
        </w:rPr>
        <w:t>the</w:t>
      </w:r>
      <w:r>
        <w:rPr>
          <w:spacing w:val="-3"/>
          <w:w w:val="95"/>
        </w:rPr>
        <w:t xml:space="preserve"> </w:t>
      </w:r>
      <w:r>
        <w:rPr>
          <w:w w:val="95"/>
        </w:rPr>
        <w:t>Bush</w:t>
      </w:r>
      <w:r>
        <w:rPr>
          <w:spacing w:val="-3"/>
          <w:w w:val="95"/>
        </w:rPr>
        <w:t xml:space="preserve"> </w:t>
      </w:r>
      <w:r>
        <w:rPr>
          <w:w w:val="95"/>
        </w:rPr>
        <w:t>seeks</w:t>
      </w:r>
      <w:r>
        <w:rPr>
          <w:spacing w:val="-3"/>
          <w:w w:val="95"/>
        </w:rPr>
        <w:t xml:space="preserve"> </w:t>
      </w:r>
      <w:r>
        <w:rPr>
          <w:w w:val="95"/>
        </w:rPr>
        <w:t>to</w:t>
      </w:r>
      <w:r>
        <w:rPr>
          <w:spacing w:val="-3"/>
          <w:w w:val="95"/>
        </w:rPr>
        <w:t xml:space="preserve"> </w:t>
      </w:r>
      <w:r>
        <w:rPr>
          <w:w w:val="95"/>
        </w:rPr>
        <w:t>address</w:t>
      </w:r>
      <w:r>
        <w:rPr>
          <w:spacing w:val="-3"/>
          <w:w w:val="95"/>
        </w:rPr>
        <w:t xml:space="preserve"> </w:t>
      </w:r>
      <w:r>
        <w:rPr>
          <w:w w:val="95"/>
        </w:rPr>
        <w:t>constraints</w:t>
      </w:r>
      <w:r>
        <w:rPr>
          <w:spacing w:val="-3"/>
          <w:w w:val="95"/>
        </w:rPr>
        <w:t xml:space="preserve"> </w:t>
      </w:r>
      <w:r>
        <w:rPr>
          <w:w w:val="95"/>
        </w:rPr>
        <w:t>in</w:t>
      </w:r>
      <w:r>
        <w:rPr>
          <w:spacing w:val="-3"/>
          <w:w w:val="95"/>
        </w:rPr>
        <w:t xml:space="preserve"> </w:t>
      </w:r>
      <w:r>
        <w:rPr>
          <w:w w:val="95"/>
        </w:rPr>
        <w:t xml:space="preserve">the </w:t>
      </w:r>
      <w:r>
        <w:t>network</w:t>
      </w:r>
      <w:r>
        <w:rPr>
          <w:spacing w:val="-12"/>
        </w:rPr>
        <w:t xml:space="preserve"> </w:t>
      </w:r>
      <w:r>
        <w:t>by</w:t>
      </w:r>
      <w:r>
        <w:rPr>
          <w:spacing w:val="-12"/>
        </w:rPr>
        <w:t xml:space="preserve"> </w:t>
      </w:r>
      <w:r>
        <w:t>enabling</w:t>
      </w:r>
      <w:r>
        <w:rPr>
          <w:spacing w:val="-12"/>
        </w:rPr>
        <w:t xml:space="preserve"> </w:t>
      </w:r>
      <w:r>
        <w:t>the</w:t>
      </w:r>
      <w:r>
        <w:rPr>
          <w:spacing w:val="-12"/>
        </w:rPr>
        <w:t xml:space="preserve"> </w:t>
      </w:r>
      <w:r>
        <w:t>key</w:t>
      </w:r>
      <w:r>
        <w:rPr>
          <w:spacing w:val="-12"/>
        </w:rPr>
        <w:t xml:space="preserve"> </w:t>
      </w:r>
      <w:r>
        <w:t>corridors</w:t>
      </w:r>
      <w:r>
        <w:rPr>
          <w:spacing w:val="-12"/>
        </w:rPr>
        <w:t xml:space="preserve"> </w:t>
      </w:r>
      <w:r>
        <w:t>to</w:t>
      </w:r>
      <w:r>
        <w:rPr>
          <w:spacing w:val="-12"/>
        </w:rPr>
        <w:t xml:space="preserve"> </w:t>
      </w:r>
      <w:r>
        <w:t>take</w:t>
      </w:r>
      <w:r>
        <w:rPr>
          <w:spacing w:val="-12"/>
        </w:rPr>
        <w:t xml:space="preserve"> </w:t>
      </w:r>
      <w:r>
        <w:t>heavier axle</w:t>
      </w:r>
      <w:r>
        <w:rPr>
          <w:spacing w:val="-5"/>
        </w:rPr>
        <w:t xml:space="preserve"> </w:t>
      </w:r>
      <w:r>
        <w:t>loads</w:t>
      </w:r>
      <w:r>
        <w:rPr>
          <w:spacing w:val="-5"/>
        </w:rPr>
        <w:t xml:space="preserve"> </w:t>
      </w:r>
      <w:r>
        <w:t>and</w:t>
      </w:r>
      <w:r>
        <w:rPr>
          <w:spacing w:val="-5"/>
        </w:rPr>
        <w:t xml:space="preserve"> </w:t>
      </w:r>
      <w:r>
        <w:t>longer</w:t>
      </w:r>
      <w:r>
        <w:rPr>
          <w:spacing w:val="-5"/>
        </w:rPr>
        <w:t xml:space="preserve"> </w:t>
      </w:r>
      <w:r>
        <w:t>vehicles</w:t>
      </w:r>
      <w:r>
        <w:rPr>
          <w:spacing w:val="-5"/>
        </w:rPr>
        <w:t xml:space="preserve"> </w:t>
      </w:r>
      <w:r>
        <w:t>by:</w:t>
      </w:r>
    </w:p>
    <w:p w:rsidR="002C1123" w:rsidRDefault="00F22F94">
      <w:pPr>
        <w:pStyle w:val="ListParagraph"/>
        <w:numPr>
          <w:ilvl w:val="0"/>
          <w:numId w:val="65"/>
        </w:numPr>
        <w:tabs>
          <w:tab w:val="left" w:pos="776"/>
        </w:tabs>
        <w:spacing w:before="103" w:line="249" w:lineRule="auto"/>
        <w:ind w:right="335"/>
        <w:rPr>
          <w:sz w:val="20"/>
        </w:rPr>
      </w:pPr>
      <w:r>
        <w:rPr>
          <w:w w:val="95"/>
          <w:sz w:val="20"/>
        </w:rPr>
        <w:t xml:space="preserve">implementing a programme to improve the mass </w:t>
      </w:r>
      <w:r>
        <w:rPr>
          <w:sz w:val="20"/>
        </w:rPr>
        <w:t>limits</w:t>
      </w:r>
      <w:r>
        <w:rPr>
          <w:spacing w:val="-5"/>
          <w:sz w:val="20"/>
        </w:rPr>
        <w:t xml:space="preserve"> </w:t>
      </w:r>
      <w:r>
        <w:rPr>
          <w:sz w:val="20"/>
        </w:rPr>
        <w:t>of</w:t>
      </w:r>
      <w:r>
        <w:rPr>
          <w:spacing w:val="-5"/>
          <w:sz w:val="20"/>
        </w:rPr>
        <w:t xml:space="preserve"> </w:t>
      </w:r>
      <w:r>
        <w:rPr>
          <w:sz w:val="20"/>
        </w:rPr>
        <w:t>selected</w:t>
      </w:r>
      <w:r>
        <w:rPr>
          <w:spacing w:val="-5"/>
          <w:sz w:val="20"/>
        </w:rPr>
        <w:t xml:space="preserve"> </w:t>
      </w:r>
      <w:r>
        <w:rPr>
          <w:sz w:val="20"/>
        </w:rPr>
        <w:t>bridges</w:t>
      </w:r>
      <w:r>
        <w:rPr>
          <w:spacing w:val="-5"/>
          <w:sz w:val="20"/>
        </w:rPr>
        <w:t xml:space="preserve"> </w:t>
      </w:r>
      <w:r>
        <w:rPr>
          <w:sz w:val="20"/>
        </w:rPr>
        <w:t>throughout</w:t>
      </w:r>
      <w:r>
        <w:rPr>
          <w:spacing w:val="-5"/>
          <w:sz w:val="20"/>
        </w:rPr>
        <w:t xml:space="preserve"> </w:t>
      </w:r>
      <w:r>
        <w:rPr>
          <w:sz w:val="20"/>
        </w:rPr>
        <w:t>NSW</w:t>
      </w:r>
      <w:r>
        <w:rPr>
          <w:spacing w:val="-5"/>
          <w:sz w:val="20"/>
        </w:rPr>
        <w:t xml:space="preserve"> </w:t>
      </w:r>
      <w:r>
        <w:rPr>
          <w:sz w:val="20"/>
        </w:rPr>
        <w:t xml:space="preserve">to </w:t>
      </w:r>
      <w:r>
        <w:rPr>
          <w:w w:val="95"/>
          <w:sz w:val="20"/>
        </w:rPr>
        <w:t>increase</w:t>
      </w:r>
      <w:r>
        <w:rPr>
          <w:spacing w:val="-2"/>
          <w:w w:val="95"/>
          <w:sz w:val="20"/>
        </w:rPr>
        <w:t xml:space="preserve"> </w:t>
      </w:r>
      <w:r>
        <w:rPr>
          <w:w w:val="95"/>
          <w:sz w:val="20"/>
        </w:rPr>
        <w:t>the</w:t>
      </w:r>
      <w:r>
        <w:rPr>
          <w:spacing w:val="-2"/>
          <w:w w:val="95"/>
          <w:sz w:val="20"/>
        </w:rPr>
        <w:t xml:space="preserve"> </w:t>
      </w:r>
      <w:r>
        <w:rPr>
          <w:w w:val="95"/>
          <w:sz w:val="20"/>
        </w:rPr>
        <w:t>capacity</w:t>
      </w:r>
      <w:r>
        <w:rPr>
          <w:spacing w:val="-2"/>
          <w:w w:val="95"/>
          <w:sz w:val="20"/>
        </w:rPr>
        <w:t xml:space="preserve"> </w:t>
      </w:r>
      <w:r>
        <w:rPr>
          <w:w w:val="95"/>
          <w:sz w:val="20"/>
        </w:rPr>
        <w:t>of</w:t>
      </w:r>
      <w:r>
        <w:rPr>
          <w:spacing w:val="-2"/>
          <w:w w:val="95"/>
          <w:sz w:val="20"/>
        </w:rPr>
        <w:t xml:space="preserve"> </w:t>
      </w:r>
      <w:r>
        <w:rPr>
          <w:w w:val="95"/>
          <w:sz w:val="20"/>
        </w:rPr>
        <w:t>the</w:t>
      </w:r>
      <w:r>
        <w:rPr>
          <w:spacing w:val="-2"/>
          <w:w w:val="95"/>
          <w:sz w:val="20"/>
        </w:rPr>
        <w:t xml:space="preserve"> </w:t>
      </w:r>
      <w:r>
        <w:rPr>
          <w:w w:val="95"/>
          <w:sz w:val="20"/>
        </w:rPr>
        <w:t>road</w:t>
      </w:r>
      <w:r>
        <w:rPr>
          <w:spacing w:val="-2"/>
          <w:w w:val="95"/>
          <w:sz w:val="20"/>
        </w:rPr>
        <w:t xml:space="preserve"> </w:t>
      </w:r>
      <w:r>
        <w:rPr>
          <w:w w:val="95"/>
          <w:sz w:val="20"/>
        </w:rPr>
        <w:t>network</w:t>
      </w:r>
      <w:r>
        <w:rPr>
          <w:spacing w:val="-2"/>
          <w:w w:val="95"/>
          <w:sz w:val="20"/>
        </w:rPr>
        <w:t xml:space="preserve"> </w:t>
      </w:r>
      <w:r>
        <w:rPr>
          <w:w w:val="95"/>
          <w:sz w:val="20"/>
        </w:rPr>
        <w:t>to</w:t>
      </w:r>
      <w:r>
        <w:rPr>
          <w:spacing w:val="-2"/>
          <w:w w:val="95"/>
          <w:sz w:val="20"/>
        </w:rPr>
        <w:t xml:space="preserve"> </w:t>
      </w:r>
      <w:r>
        <w:rPr>
          <w:w w:val="95"/>
          <w:sz w:val="20"/>
        </w:rPr>
        <w:t xml:space="preserve">carry freight and HML vehicles on key freight corridors. </w:t>
      </w:r>
      <w:r>
        <w:rPr>
          <w:sz w:val="20"/>
        </w:rPr>
        <w:t>Currently</w:t>
      </w:r>
      <w:r>
        <w:rPr>
          <w:spacing w:val="-12"/>
          <w:sz w:val="20"/>
        </w:rPr>
        <w:t xml:space="preserve"> </w:t>
      </w:r>
      <w:r>
        <w:rPr>
          <w:sz w:val="20"/>
        </w:rPr>
        <w:t>249</w:t>
      </w:r>
      <w:r>
        <w:rPr>
          <w:spacing w:val="-12"/>
          <w:sz w:val="20"/>
        </w:rPr>
        <w:t xml:space="preserve"> </w:t>
      </w:r>
      <w:r>
        <w:rPr>
          <w:sz w:val="20"/>
        </w:rPr>
        <w:t>bridges</w:t>
      </w:r>
      <w:r>
        <w:rPr>
          <w:spacing w:val="-12"/>
          <w:sz w:val="20"/>
        </w:rPr>
        <w:t xml:space="preserve"> </w:t>
      </w:r>
      <w:r>
        <w:rPr>
          <w:sz w:val="20"/>
        </w:rPr>
        <w:t>have</w:t>
      </w:r>
      <w:r>
        <w:rPr>
          <w:spacing w:val="-12"/>
          <w:sz w:val="20"/>
        </w:rPr>
        <w:t xml:space="preserve"> </w:t>
      </w:r>
      <w:r>
        <w:rPr>
          <w:sz w:val="20"/>
        </w:rPr>
        <w:t>been</w:t>
      </w:r>
      <w:r>
        <w:rPr>
          <w:spacing w:val="-12"/>
          <w:sz w:val="20"/>
        </w:rPr>
        <w:t xml:space="preserve"> </w:t>
      </w:r>
      <w:r>
        <w:rPr>
          <w:sz w:val="20"/>
        </w:rPr>
        <w:t>assessed</w:t>
      </w:r>
      <w:r>
        <w:rPr>
          <w:spacing w:val="-12"/>
          <w:sz w:val="20"/>
        </w:rPr>
        <w:t xml:space="preserve"> </w:t>
      </w:r>
      <w:r>
        <w:rPr>
          <w:sz w:val="20"/>
        </w:rPr>
        <w:t>as unsuitable for HML B-double vehicles</w:t>
      </w:r>
      <w:r>
        <w:rPr>
          <w:position w:val="7"/>
          <w:sz w:val="11"/>
        </w:rPr>
        <w:t>35</w:t>
      </w:r>
      <w:r>
        <w:rPr>
          <w:sz w:val="20"/>
        </w:rPr>
        <w:t>.</w:t>
      </w:r>
    </w:p>
    <w:p w:rsidR="002C1123" w:rsidRDefault="00F22F94">
      <w:pPr>
        <w:pStyle w:val="ListParagraph"/>
        <w:numPr>
          <w:ilvl w:val="0"/>
          <w:numId w:val="65"/>
        </w:numPr>
        <w:tabs>
          <w:tab w:val="left" w:pos="776"/>
        </w:tabs>
        <w:spacing w:before="106" w:line="249" w:lineRule="auto"/>
        <w:ind w:right="224"/>
        <w:rPr>
          <w:sz w:val="20"/>
        </w:rPr>
      </w:pPr>
      <w:r>
        <w:rPr>
          <w:w w:val="95"/>
          <w:sz w:val="20"/>
        </w:rPr>
        <w:t xml:space="preserve">improving the condition, geometry and durability of </w:t>
      </w:r>
      <w:r>
        <w:rPr>
          <w:sz w:val="20"/>
        </w:rPr>
        <w:t>regional road pavements</w:t>
      </w:r>
    </w:p>
    <w:p w:rsidR="002C1123" w:rsidRDefault="00F22F94">
      <w:pPr>
        <w:pStyle w:val="BodyText"/>
        <w:spacing w:before="114" w:line="249" w:lineRule="auto"/>
        <w:ind w:left="492"/>
      </w:pPr>
      <w:r>
        <w:rPr>
          <w:w w:val="95"/>
        </w:rPr>
        <w:t>The</w:t>
      </w:r>
      <w:r>
        <w:rPr>
          <w:spacing w:val="-4"/>
          <w:w w:val="95"/>
        </w:rPr>
        <w:t xml:space="preserve"> </w:t>
      </w:r>
      <w:r>
        <w:rPr>
          <w:w w:val="95"/>
        </w:rPr>
        <w:t>program</w:t>
      </w:r>
      <w:r>
        <w:rPr>
          <w:spacing w:val="-5"/>
          <w:w w:val="95"/>
        </w:rPr>
        <w:t xml:space="preserve"> </w:t>
      </w:r>
      <w:r>
        <w:rPr>
          <w:w w:val="95"/>
        </w:rPr>
        <w:t>aims</w:t>
      </w:r>
      <w:r>
        <w:rPr>
          <w:spacing w:val="-4"/>
          <w:w w:val="95"/>
        </w:rPr>
        <w:t xml:space="preserve"> </w:t>
      </w:r>
      <w:r>
        <w:rPr>
          <w:w w:val="95"/>
        </w:rPr>
        <w:t>to</w:t>
      </w:r>
      <w:r>
        <w:rPr>
          <w:spacing w:val="-4"/>
          <w:w w:val="95"/>
        </w:rPr>
        <w:t xml:space="preserve"> </w:t>
      </w:r>
      <w:r>
        <w:rPr>
          <w:w w:val="95"/>
        </w:rPr>
        <w:t>prioritise</w:t>
      </w:r>
      <w:r>
        <w:rPr>
          <w:spacing w:val="-4"/>
          <w:w w:val="95"/>
        </w:rPr>
        <w:t xml:space="preserve"> </w:t>
      </w:r>
      <w:r>
        <w:rPr>
          <w:w w:val="95"/>
        </w:rPr>
        <w:t>investment</w:t>
      </w:r>
      <w:r>
        <w:rPr>
          <w:spacing w:val="-4"/>
          <w:w w:val="95"/>
        </w:rPr>
        <w:t xml:space="preserve"> </w:t>
      </w:r>
      <w:r>
        <w:rPr>
          <w:w w:val="95"/>
        </w:rPr>
        <w:t>on</w:t>
      </w:r>
      <w:r>
        <w:rPr>
          <w:spacing w:val="-4"/>
          <w:w w:val="95"/>
        </w:rPr>
        <w:t xml:space="preserve"> </w:t>
      </w:r>
      <w:r>
        <w:rPr>
          <w:w w:val="95"/>
        </w:rPr>
        <w:t>the</w:t>
      </w:r>
      <w:r>
        <w:rPr>
          <w:spacing w:val="-4"/>
          <w:w w:val="95"/>
        </w:rPr>
        <w:t xml:space="preserve"> </w:t>
      </w:r>
      <w:r>
        <w:rPr>
          <w:w w:val="95"/>
        </w:rPr>
        <w:t xml:space="preserve">bridges </w:t>
      </w:r>
      <w:r>
        <w:t>and</w:t>
      </w:r>
      <w:r>
        <w:rPr>
          <w:spacing w:val="-14"/>
        </w:rPr>
        <w:t xml:space="preserve"> </w:t>
      </w:r>
      <w:r>
        <w:t>connecting</w:t>
      </w:r>
      <w:r>
        <w:rPr>
          <w:spacing w:val="-13"/>
        </w:rPr>
        <w:t xml:space="preserve"> </w:t>
      </w:r>
      <w:r>
        <w:t>infrastructure</w:t>
      </w:r>
      <w:r>
        <w:rPr>
          <w:spacing w:val="-14"/>
        </w:rPr>
        <w:t xml:space="preserve"> </w:t>
      </w:r>
      <w:r>
        <w:t>that</w:t>
      </w:r>
      <w:r>
        <w:rPr>
          <w:spacing w:val="-13"/>
        </w:rPr>
        <w:t xml:space="preserve"> </w:t>
      </w:r>
      <w:r>
        <w:t>will</w:t>
      </w:r>
      <w:r>
        <w:rPr>
          <w:spacing w:val="-14"/>
        </w:rPr>
        <w:t xml:space="preserve"> </w:t>
      </w:r>
      <w:r>
        <w:t>have</w:t>
      </w:r>
      <w:r>
        <w:rPr>
          <w:spacing w:val="-13"/>
        </w:rPr>
        <w:t xml:space="preserve"> </w:t>
      </w:r>
      <w:r>
        <w:t>greatest economic</w:t>
      </w:r>
      <w:r>
        <w:rPr>
          <w:spacing w:val="-11"/>
        </w:rPr>
        <w:t xml:space="preserve"> </w:t>
      </w:r>
      <w:r>
        <w:t>impact.</w:t>
      </w:r>
    </w:p>
    <w:p w:rsidR="002C1123" w:rsidRDefault="002060EF">
      <w:pPr>
        <w:pStyle w:val="BodyText"/>
        <w:spacing w:before="8"/>
        <w:rPr>
          <w:sz w:val="8"/>
        </w:rPr>
      </w:pPr>
      <w:r>
        <w:pict>
          <v:shape id="docshape1928" o:spid="_x0000_s3154" style="position:absolute;margin-left:49.6pt;margin-top:6.25pt;width:1in;height:.1pt;z-index:-251348992;mso-wrap-distance-left:0;mso-wrap-distance-right:0;mso-position-horizontal-relative:page" coordorigin="992,125" coordsize="1440,0" path="m992,125r1440,e" filled="f" strokecolor="#9c9c9d" strokeweight=".5pt">
            <v:path arrowok="t"/>
            <w10:wrap type="topAndBottom" anchorx="page"/>
          </v:shape>
        </w:pict>
      </w:r>
    </w:p>
    <w:p w:rsidR="002C1123" w:rsidRDefault="00F22F94">
      <w:pPr>
        <w:pStyle w:val="ListParagraph"/>
        <w:numPr>
          <w:ilvl w:val="0"/>
          <w:numId w:val="73"/>
        </w:numPr>
        <w:tabs>
          <w:tab w:val="left" w:pos="691"/>
        </w:tabs>
        <w:spacing w:before="23"/>
        <w:ind w:left="690"/>
        <w:jc w:val="left"/>
        <w:rPr>
          <w:sz w:val="14"/>
        </w:rPr>
      </w:pPr>
      <w:r>
        <w:rPr>
          <w:w w:val="95"/>
          <w:sz w:val="14"/>
        </w:rPr>
        <w:t>Road</w:t>
      </w:r>
      <w:r>
        <w:rPr>
          <w:spacing w:val="-1"/>
          <w:sz w:val="14"/>
        </w:rPr>
        <w:t xml:space="preserve"> </w:t>
      </w:r>
      <w:r>
        <w:rPr>
          <w:w w:val="95"/>
          <w:sz w:val="14"/>
        </w:rPr>
        <w:t>and</w:t>
      </w:r>
      <w:r>
        <w:rPr>
          <w:sz w:val="14"/>
        </w:rPr>
        <w:t xml:space="preserve"> </w:t>
      </w:r>
      <w:r>
        <w:rPr>
          <w:w w:val="95"/>
          <w:sz w:val="14"/>
        </w:rPr>
        <w:t>Maritime</w:t>
      </w:r>
      <w:r>
        <w:rPr>
          <w:sz w:val="14"/>
        </w:rPr>
        <w:t xml:space="preserve"> </w:t>
      </w:r>
      <w:r>
        <w:rPr>
          <w:w w:val="95"/>
          <w:sz w:val="14"/>
        </w:rPr>
        <w:t>Services</w:t>
      </w:r>
      <w:r>
        <w:rPr>
          <w:sz w:val="14"/>
        </w:rPr>
        <w:t xml:space="preserve"> </w:t>
      </w:r>
      <w:r>
        <w:rPr>
          <w:w w:val="95"/>
          <w:sz w:val="14"/>
        </w:rPr>
        <w:t>2012,</w:t>
      </w:r>
      <w:r>
        <w:rPr>
          <w:sz w:val="14"/>
        </w:rPr>
        <w:t xml:space="preserve"> </w:t>
      </w:r>
      <w:r>
        <w:rPr>
          <w:w w:val="95"/>
          <w:sz w:val="14"/>
        </w:rPr>
        <w:t>Bridges</w:t>
      </w:r>
      <w:r>
        <w:rPr>
          <w:spacing w:val="-1"/>
          <w:sz w:val="14"/>
        </w:rPr>
        <w:t xml:space="preserve"> </w:t>
      </w:r>
      <w:r>
        <w:rPr>
          <w:w w:val="95"/>
          <w:sz w:val="14"/>
        </w:rPr>
        <w:t>for</w:t>
      </w:r>
      <w:r>
        <w:rPr>
          <w:sz w:val="14"/>
        </w:rPr>
        <w:t xml:space="preserve"> </w:t>
      </w:r>
      <w:r>
        <w:rPr>
          <w:w w:val="95"/>
          <w:sz w:val="14"/>
        </w:rPr>
        <w:t>the</w:t>
      </w:r>
      <w:r>
        <w:rPr>
          <w:sz w:val="14"/>
        </w:rPr>
        <w:t xml:space="preserve"> </w:t>
      </w:r>
      <w:r>
        <w:rPr>
          <w:spacing w:val="-2"/>
          <w:w w:val="95"/>
          <w:sz w:val="14"/>
        </w:rPr>
        <w:t>Bush.</w:t>
      </w:r>
    </w:p>
    <w:p w:rsidR="002C1123" w:rsidRDefault="00F22F94">
      <w:pPr>
        <w:spacing w:after="24"/>
        <w:rPr>
          <w:sz w:val="11"/>
        </w:rPr>
      </w:pPr>
      <w:r>
        <w:br w:type="column"/>
      </w:r>
    </w:p>
    <w:p w:rsidR="002C1123" w:rsidRDefault="002060EF">
      <w:pPr>
        <w:pStyle w:val="BodyText"/>
        <w:ind w:left="188" w:right="-44"/>
      </w:pPr>
      <w:r>
        <w:pict>
          <v:shape id="docshape1929" o:spid="_x0000_s5263" type="#_x0000_t202" style="width:239pt;height:69.35pt;mso-left-percent:-10001;mso-top-percent:-10001;mso-position-horizontal:absolute;mso-position-horizontal-relative:char;mso-position-vertical:absolute;mso-position-vertical-relative:line;mso-left-percent:-10001;mso-top-percent:-10001" fillcolor="#e1e0e1" stroked="f">
            <v:textbox inset="0,0,0,0">
              <w:txbxContent>
                <w:p w:rsidR="00F22F94" w:rsidRDefault="00F22F94">
                  <w:pPr>
                    <w:pStyle w:val="BodyText"/>
                    <w:spacing w:before="68" w:line="249" w:lineRule="auto"/>
                    <w:ind w:left="113" w:right="351"/>
                    <w:rPr>
                      <w:color w:val="000000"/>
                    </w:rPr>
                  </w:pPr>
                  <w:r>
                    <w:rPr>
                      <w:b/>
                      <w:color w:val="00AEEF"/>
                    </w:rPr>
                    <w:t>Recommendation</w:t>
                  </w:r>
                  <w:r>
                    <w:rPr>
                      <w:b/>
                      <w:color w:val="00AEEF"/>
                      <w:spacing w:val="40"/>
                    </w:rPr>
                    <w:t xml:space="preserve"> </w:t>
                  </w:r>
                  <w:r>
                    <w:rPr>
                      <w:color w:val="000000"/>
                    </w:rPr>
                    <w:t xml:space="preserve">Infrastructure NSW </w:t>
                  </w:r>
                  <w:r>
                    <w:rPr>
                      <w:color w:val="000000"/>
                      <w:w w:val="95"/>
                    </w:rPr>
                    <w:t xml:space="preserve">recommends the Bridges to the Bush program be progressed and implemented as soon as possible </w:t>
                  </w:r>
                  <w:r>
                    <w:rPr>
                      <w:color w:val="000000"/>
                    </w:rPr>
                    <w:t>to address pinch points constraining the use of HML</w:t>
                  </w:r>
                  <w:r>
                    <w:rPr>
                      <w:color w:val="000000"/>
                      <w:spacing w:val="-7"/>
                    </w:rPr>
                    <w:t xml:space="preserve"> </w:t>
                  </w:r>
                  <w:r>
                    <w:rPr>
                      <w:color w:val="000000"/>
                    </w:rPr>
                    <w:t>vehicles.</w:t>
                  </w:r>
                </w:p>
              </w:txbxContent>
            </v:textbox>
            <w10:anchorlock/>
          </v:shape>
        </w:pict>
      </w:r>
    </w:p>
    <w:p w:rsidR="002C1123" w:rsidRDefault="002C1123">
      <w:pPr>
        <w:pStyle w:val="BodyText"/>
        <w:spacing w:before="2"/>
      </w:pPr>
    </w:p>
    <w:p w:rsidR="002C1123" w:rsidRDefault="00F22F94">
      <w:pPr>
        <w:pStyle w:val="BodyText"/>
        <w:spacing w:line="249" w:lineRule="auto"/>
        <w:ind w:left="188" w:right="299"/>
      </w:pPr>
      <w:r>
        <w:rPr>
          <w:w w:val="95"/>
        </w:rPr>
        <w:t>Wider</w:t>
      </w:r>
      <w:r>
        <w:rPr>
          <w:spacing w:val="-4"/>
          <w:w w:val="95"/>
        </w:rPr>
        <w:t xml:space="preserve"> </w:t>
      </w:r>
      <w:r>
        <w:rPr>
          <w:w w:val="95"/>
        </w:rPr>
        <w:t>pinch</w:t>
      </w:r>
      <w:r>
        <w:rPr>
          <w:spacing w:val="-4"/>
          <w:w w:val="95"/>
        </w:rPr>
        <w:t xml:space="preserve"> </w:t>
      </w:r>
      <w:r>
        <w:rPr>
          <w:w w:val="95"/>
        </w:rPr>
        <w:t>point</w:t>
      </w:r>
      <w:r>
        <w:rPr>
          <w:spacing w:val="-4"/>
          <w:w w:val="95"/>
        </w:rPr>
        <w:t xml:space="preserve"> </w:t>
      </w:r>
      <w:r>
        <w:rPr>
          <w:w w:val="95"/>
        </w:rPr>
        <w:t>investment</w:t>
      </w:r>
      <w:r>
        <w:rPr>
          <w:spacing w:val="-4"/>
          <w:w w:val="95"/>
        </w:rPr>
        <w:t xml:space="preserve"> </w:t>
      </w:r>
      <w:r>
        <w:rPr>
          <w:w w:val="95"/>
        </w:rPr>
        <w:t>will</w:t>
      </w:r>
      <w:r>
        <w:rPr>
          <w:spacing w:val="-4"/>
          <w:w w:val="95"/>
        </w:rPr>
        <w:t xml:space="preserve"> </w:t>
      </w:r>
      <w:r>
        <w:rPr>
          <w:w w:val="95"/>
        </w:rPr>
        <w:t>also</w:t>
      </w:r>
      <w:r>
        <w:rPr>
          <w:spacing w:val="-4"/>
          <w:w w:val="95"/>
        </w:rPr>
        <w:t xml:space="preserve"> </w:t>
      </w:r>
      <w:r>
        <w:rPr>
          <w:w w:val="95"/>
        </w:rPr>
        <w:t>be</w:t>
      </w:r>
      <w:r>
        <w:rPr>
          <w:spacing w:val="-4"/>
          <w:w w:val="95"/>
        </w:rPr>
        <w:t xml:space="preserve"> </w:t>
      </w:r>
      <w:r>
        <w:rPr>
          <w:w w:val="95"/>
        </w:rPr>
        <w:t>required</w:t>
      </w:r>
      <w:r>
        <w:rPr>
          <w:spacing w:val="-4"/>
          <w:w w:val="95"/>
        </w:rPr>
        <w:t xml:space="preserve"> </w:t>
      </w:r>
      <w:r>
        <w:rPr>
          <w:w w:val="95"/>
        </w:rPr>
        <w:t xml:space="preserve">to </w:t>
      </w:r>
      <w:r>
        <w:rPr>
          <w:spacing w:val="-2"/>
        </w:rPr>
        <w:t>the</w:t>
      </w:r>
      <w:r>
        <w:rPr>
          <w:spacing w:val="-9"/>
        </w:rPr>
        <w:t xml:space="preserve"> </w:t>
      </w:r>
      <w:r>
        <w:rPr>
          <w:spacing w:val="-2"/>
        </w:rPr>
        <w:t>road</w:t>
      </w:r>
      <w:r>
        <w:rPr>
          <w:spacing w:val="-9"/>
        </w:rPr>
        <w:t xml:space="preserve"> </w:t>
      </w:r>
      <w:r>
        <w:rPr>
          <w:spacing w:val="-2"/>
        </w:rPr>
        <w:t>network.</w:t>
      </w:r>
      <w:r>
        <w:rPr>
          <w:spacing w:val="-9"/>
        </w:rPr>
        <w:t xml:space="preserve"> </w:t>
      </w:r>
      <w:r>
        <w:rPr>
          <w:spacing w:val="-2"/>
        </w:rPr>
        <w:t>For</w:t>
      </w:r>
      <w:r>
        <w:rPr>
          <w:spacing w:val="-9"/>
        </w:rPr>
        <w:t xml:space="preserve"> </w:t>
      </w:r>
      <w:r>
        <w:rPr>
          <w:spacing w:val="-2"/>
        </w:rPr>
        <w:t>example,</w:t>
      </w:r>
      <w:r>
        <w:rPr>
          <w:spacing w:val="-9"/>
        </w:rPr>
        <w:t xml:space="preserve"> </w:t>
      </w:r>
      <w:r>
        <w:rPr>
          <w:spacing w:val="-2"/>
        </w:rPr>
        <w:t>highways</w:t>
      </w:r>
      <w:r>
        <w:rPr>
          <w:spacing w:val="-9"/>
        </w:rPr>
        <w:t xml:space="preserve"> </w:t>
      </w:r>
      <w:r>
        <w:rPr>
          <w:spacing w:val="-2"/>
        </w:rPr>
        <w:t>will</w:t>
      </w:r>
      <w:r>
        <w:rPr>
          <w:spacing w:val="-9"/>
        </w:rPr>
        <w:t xml:space="preserve"> </w:t>
      </w:r>
      <w:r>
        <w:rPr>
          <w:spacing w:val="-2"/>
        </w:rPr>
        <w:t xml:space="preserve">need </w:t>
      </w:r>
      <w:r>
        <w:rPr>
          <w:w w:val="95"/>
        </w:rPr>
        <w:t>investment</w:t>
      </w:r>
      <w:r>
        <w:rPr>
          <w:spacing w:val="-8"/>
          <w:w w:val="95"/>
        </w:rPr>
        <w:t xml:space="preserve"> </w:t>
      </w:r>
      <w:r>
        <w:rPr>
          <w:w w:val="95"/>
        </w:rPr>
        <w:t>where</w:t>
      </w:r>
      <w:r>
        <w:rPr>
          <w:spacing w:val="-8"/>
          <w:w w:val="95"/>
        </w:rPr>
        <w:t xml:space="preserve"> </w:t>
      </w:r>
      <w:r>
        <w:rPr>
          <w:w w:val="95"/>
        </w:rPr>
        <w:t>they</w:t>
      </w:r>
      <w:r>
        <w:rPr>
          <w:spacing w:val="-8"/>
          <w:w w:val="95"/>
        </w:rPr>
        <w:t xml:space="preserve"> </w:t>
      </w:r>
      <w:r>
        <w:rPr>
          <w:w w:val="95"/>
        </w:rPr>
        <w:t>travel</w:t>
      </w:r>
      <w:r>
        <w:rPr>
          <w:spacing w:val="-8"/>
          <w:w w:val="95"/>
        </w:rPr>
        <w:t xml:space="preserve"> </w:t>
      </w:r>
      <w:r>
        <w:rPr>
          <w:w w:val="95"/>
        </w:rPr>
        <w:t>through</w:t>
      </w:r>
      <w:r>
        <w:rPr>
          <w:spacing w:val="-8"/>
          <w:w w:val="95"/>
        </w:rPr>
        <w:t xml:space="preserve"> </w:t>
      </w:r>
      <w:r>
        <w:rPr>
          <w:w w:val="95"/>
        </w:rPr>
        <w:t>regional</w:t>
      </w:r>
      <w:r>
        <w:rPr>
          <w:spacing w:val="-8"/>
          <w:w w:val="95"/>
        </w:rPr>
        <w:t xml:space="preserve"> </w:t>
      </w:r>
      <w:r>
        <w:rPr>
          <w:w w:val="95"/>
        </w:rPr>
        <w:t xml:space="preserve">towns </w:t>
      </w:r>
      <w:r>
        <w:t>to</w:t>
      </w:r>
      <w:r>
        <w:rPr>
          <w:spacing w:val="-4"/>
        </w:rPr>
        <w:t xml:space="preserve"> </w:t>
      </w:r>
      <w:r>
        <w:t>allow</w:t>
      </w:r>
      <w:r>
        <w:rPr>
          <w:spacing w:val="-4"/>
        </w:rPr>
        <w:t xml:space="preserve"> </w:t>
      </w:r>
      <w:r>
        <w:t>more</w:t>
      </w:r>
      <w:r>
        <w:rPr>
          <w:spacing w:val="-4"/>
        </w:rPr>
        <w:t xml:space="preserve"> </w:t>
      </w:r>
      <w:r>
        <w:t>efficient</w:t>
      </w:r>
      <w:r>
        <w:rPr>
          <w:spacing w:val="-4"/>
        </w:rPr>
        <w:t xml:space="preserve"> </w:t>
      </w:r>
      <w:r>
        <w:t>truck</w:t>
      </w:r>
      <w:r>
        <w:rPr>
          <w:spacing w:val="-4"/>
        </w:rPr>
        <w:t xml:space="preserve"> </w:t>
      </w:r>
      <w:r>
        <w:t>movements</w:t>
      </w:r>
      <w:r>
        <w:rPr>
          <w:spacing w:val="-4"/>
        </w:rPr>
        <w:t xml:space="preserve"> </w:t>
      </w:r>
      <w:r>
        <w:t>without</w:t>
      </w:r>
    </w:p>
    <w:p w:rsidR="002C1123" w:rsidRDefault="00F22F94">
      <w:pPr>
        <w:pStyle w:val="BodyText"/>
        <w:spacing w:before="3" w:line="249" w:lineRule="auto"/>
        <w:ind w:left="188"/>
      </w:pPr>
      <w:r>
        <w:rPr>
          <w:w w:val="95"/>
        </w:rPr>
        <w:t>unacceptable amenity impact and local roads also need upgrading</w:t>
      </w:r>
      <w:r>
        <w:rPr>
          <w:spacing w:val="-5"/>
          <w:w w:val="95"/>
        </w:rPr>
        <w:t xml:space="preserve"> </w:t>
      </w:r>
      <w:r>
        <w:rPr>
          <w:w w:val="95"/>
        </w:rPr>
        <w:t>in</w:t>
      </w:r>
      <w:r>
        <w:rPr>
          <w:spacing w:val="-4"/>
          <w:w w:val="95"/>
        </w:rPr>
        <w:t xml:space="preserve"> </w:t>
      </w:r>
      <w:r>
        <w:rPr>
          <w:w w:val="95"/>
        </w:rPr>
        <w:t>some</w:t>
      </w:r>
      <w:r>
        <w:rPr>
          <w:spacing w:val="-5"/>
          <w:w w:val="95"/>
        </w:rPr>
        <w:t xml:space="preserve"> </w:t>
      </w:r>
      <w:r>
        <w:rPr>
          <w:w w:val="95"/>
        </w:rPr>
        <w:t>cases</w:t>
      </w:r>
      <w:r>
        <w:rPr>
          <w:spacing w:val="-4"/>
          <w:w w:val="95"/>
        </w:rPr>
        <w:t xml:space="preserve"> </w:t>
      </w:r>
      <w:r>
        <w:rPr>
          <w:w w:val="95"/>
        </w:rPr>
        <w:t>to</w:t>
      </w:r>
      <w:r>
        <w:rPr>
          <w:spacing w:val="-4"/>
          <w:w w:val="95"/>
        </w:rPr>
        <w:t xml:space="preserve"> </w:t>
      </w:r>
      <w:r>
        <w:rPr>
          <w:w w:val="95"/>
        </w:rPr>
        <w:t>allow</w:t>
      </w:r>
      <w:r>
        <w:rPr>
          <w:spacing w:val="-5"/>
          <w:w w:val="95"/>
        </w:rPr>
        <w:t xml:space="preserve"> </w:t>
      </w:r>
      <w:r>
        <w:rPr>
          <w:w w:val="95"/>
        </w:rPr>
        <w:t>“last</w:t>
      </w:r>
      <w:r>
        <w:rPr>
          <w:spacing w:val="-4"/>
          <w:w w:val="95"/>
        </w:rPr>
        <w:t xml:space="preserve"> </w:t>
      </w:r>
      <w:r>
        <w:rPr>
          <w:w w:val="95"/>
        </w:rPr>
        <w:t>mile”</w:t>
      </w:r>
      <w:r>
        <w:rPr>
          <w:spacing w:val="-5"/>
          <w:w w:val="95"/>
        </w:rPr>
        <w:t xml:space="preserve"> </w:t>
      </w:r>
      <w:r>
        <w:rPr>
          <w:spacing w:val="-2"/>
          <w:w w:val="95"/>
        </w:rPr>
        <w:t>movements.</w:t>
      </w:r>
    </w:p>
    <w:p w:rsidR="002C1123" w:rsidRDefault="002060EF">
      <w:pPr>
        <w:pStyle w:val="BodyText"/>
        <w:spacing w:before="9"/>
        <w:rPr>
          <w:sz w:val="12"/>
        </w:rPr>
      </w:pPr>
      <w:r>
        <w:pict>
          <v:shape id="docshape1930" o:spid="_x0000_s3152" type="#_x0000_t202" style="position:absolute;margin-left:300.95pt;margin-top:8.55pt;width:239pt;height:93.35pt;z-index:-251347968;mso-wrap-distance-left:0;mso-wrap-distance-right:0;mso-position-horizontal-relative:page" fillcolor="#e1e0e1" stroked="f">
            <v:textbox inset="0,0,0,0">
              <w:txbxContent>
                <w:p w:rsidR="00F22F94" w:rsidRDefault="00F22F94">
                  <w:pPr>
                    <w:pStyle w:val="BodyText"/>
                    <w:spacing w:before="68" w:line="249" w:lineRule="auto"/>
                    <w:ind w:left="113" w:right="351"/>
                    <w:rPr>
                      <w:color w:val="000000"/>
                    </w:rPr>
                  </w:pPr>
                  <w:r>
                    <w:rPr>
                      <w:b/>
                      <w:color w:val="00AEEF"/>
                    </w:rPr>
                    <w:t>Recommendation</w:t>
                  </w:r>
                  <w:r>
                    <w:rPr>
                      <w:b/>
                      <w:color w:val="00AEEF"/>
                      <w:spacing w:val="40"/>
                    </w:rPr>
                    <w:t xml:space="preserve"> </w:t>
                  </w:r>
                  <w:r>
                    <w:rPr>
                      <w:color w:val="000000"/>
                    </w:rPr>
                    <w:t>Infrastructure NSW recommends</w:t>
                  </w:r>
                  <w:r>
                    <w:rPr>
                      <w:color w:val="000000"/>
                      <w:spacing w:val="-6"/>
                    </w:rPr>
                    <w:t xml:space="preserve"> </w:t>
                  </w:r>
                  <w:r>
                    <w:rPr>
                      <w:color w:val="000000"/>
                    </w:rPr>
                    <w:t>Transport</w:t>
                  </w:r>
                  <w:r>
                    <w:rPr>
                      <w:color w:val="000000"/>
                      <w:spacing w:val="-6"/>
                    </w:rPr>
                    <w:t xml:space="preserve"> </w:t>
                  </w:r>
                  <w:r>
                    <w:rPr>
                      <w:color w:val="000000"/>
                    </w:rPr>
                    <w:t>for</w:t>
                  </w:r>
                  <w:r>
                    <w:rPr>
                      <w:color w:val="000000"/>
                      <w:spacing w:val="-6"/>
                    </w:rPr>
                    <w:t xml:space="preserve"> </w:t>
                  </w:r>
                  <w:r>
                    <w:rPr>
                      <w:color w:val="000000"/>
                    </w:rPr>
                    <w:t>NSW</w:t>
                  </w:r>
                  <w:r>
                    <w:rPr>
                      <w:color w:val="000000"/>
                      <w:spacing w:val="-6"/>
                    </w:rPr>
                    <w:t xml:space="preserve"> </w:t>
                  </w:r>
                  <w:r>
                    <w:rPr>
                      <w:color w:val="000000"/>
                    </w:rPr>
                    <w:t>develop</w:t>
                  </w:r>
                  <w:r>
                    <w:rPr>
                      <w:color w:val="000000"/>
                      <w:spacing w:val="-6"/>
                    </w:rPr>
                    <w:t xml:space="preserve"> </w:t>
                  </w:r>
                  <w:r>
                    <w:rPr>
                      <w:color w:val="000000"/>
                    </w:rPr>
                    <w:t xml:space="preserve">and </w:t>
                  </w:r>
                  <w:r>
                    <w:rPr>
                      <w:color w:val="000000"/>
                      <w:w w:val="95"/>
                    </w:rPr>
                    <w:t>implement,</w:t>
                  </w:r>
                  <w:r>
                    <w:rPr>
                      <w:color w:val="000000"/>
                      <w:spacing w:val="-6"/>
                      <w:w w:val="95"/>
                    </w:rPr>
                    <w:t xml:space="preserve"> </w:t>
                  </w:r>
                  <w:r>
                    <w:rPr>
                      <w:color w:val="000000"/>
                      <w:w w:val="95"/>
                    </w:rPr>
                    <w:t>with</w:t>
                  </w:r>
                  <w:r>
                    <w:rPr>
                      <w:color w:val="000000"/>
                      <w:spacing w:val="-6"/>
                      <w:w w:val="95"/>
                    </w:rPr>
                    <w:t xml:space="preserve"> </w:t>
                  </w:r>
                  <w:r>
                    <w:rPr>
                      <w:color w:val="000000"/>
                      <w:w w:val="95"/>
                    </w:rPr>
                    <w:t>local</w:t>
                  </w:r>
                  <w:r>
                    <w:rPr>
                      <w:color w:val="000000"/>
                      <w:spacing w:val="-6"/>
                      <w:w w:val="95"/>
                    </w:rPr>
                    <w:t xml:space="preserve"> </w:t>
                  </w:r>
                  <w:r>
                    <w:rPr>
                      <w:color w:val="000000"/>
                      <w:w w:val="95"/>
                    </w:rPr>
                    <w:t>authorities</w:t>
                  </w:r>
                  <w:r>
                    <w:rPr>
                      <w:color w:val="000000"/>
                      <w:spacing w:val="-6"/>
                      <w:w w:val="95"/>
                    </w:rPr>
                    <w:t xml:space="preserve"> </w:t>
                  </w:r>
                  <w:r>
                    <w:rPr>
                      <w:color w:val="000000"/>
                      <w:w w:val="95"/>
                    </w:rPr>
                    <w:t>and</w:t>
                  </w:r>
                  <w:r>
                    <w:rPr>
                      <w:color w:val="000000"/>
                      <w:spacing w:val="-6"/>
                      <w:w w:val="95"/>
                    </w:rPr>
                    <w:t xml:space="preserve"> </w:t>
                  </w:r>
                  <w:r>
                    <w:rPr>
                      <w:color w:val="000000"/>
                      <w:w w:val="95"/>
                    </w:rPr>
                    <w:t>other</w:t>
                  </w:r>
                  <w:r>
                    <w:rPr>
                      <w:color w:val="000000"/>
                      <w:spacing w:val="-6"/>
                      <w:w w:val="95"/>
                    </w:rPr>
                    <w:t xml:space="preserve"> </w:t>
                  </w:r>
                  <w:r>
                    <w:rPr>
                      <w:color w:val="000000"/>
                      <w:w w:val="95"/>
                    </w:rPr>
                    <w:t xml:space="preserve">relevant </w:t>
                  </w:r>
                  <w:r>
                    <w:rPr>
                      <w:color w:val="000000"/>
                    </w:rPr>
                    <w:t>agencies,</w:t>
                  </w:r>
                  <w:r>
                    <w:rPr>
                      <w:color w:val="000000"/>
                      <w:spacing w:val="-11"/>
                    </w:rPr>
                    <w:t xml:space="preserve"> </w:t>
                  </w:r>
                  <w:r>
                    <w:rPr>
                      <w:color w:val="000000"/>
                    </w:rPr>
                    <w:t>a</w:t>
                  </w:r>
                  <w:r>
                    <w:rPr>
                      <w:color w:val="000000"/>
                      <w:spacing w:val="-11"/>
                    </w:rPr>
                    <w:t xml:space="preserve"> </w:t>
                  </w:r>
                  <w:r>
                    <w:rPr>
                      <w:color w:val="000000"/>
                    </w:rPr>
                    <w:t>targeted</w:t>
                  </w:r>
                  <w:r>
                    <w:rPr>
                      <w:color w:val="000000"/>
                      <w:spacing w:val="-11"/>
                    </w:rPr>
                    <w:t xml:space="preserve"> </w:t>
                  </w:r>
                  <w:r>
                    <w:rPr>
                      <w:color w:val="000000"/>
                    </w:rPr>
                    <w:t>program</w:t>
                  </w:r>
                  <w:r>
                    <w:rPr>
                      <w:color w:val="000000"/>
                      <w:spacing w:val="-11"/>
                    </w:rPr>
                    <w:t xml:space="preserve"> </w:t>
                  </w:r>
                  <w:r>
                    <w:rPr>
                      <w:color w:val="000000"/>
                    </w:rPr>
                    <w:t>of</w:t>
                  </w:r>
                  <w:r>
                    <w:rPr>
                      <w:color w:val="000000"/>
                      <w:spacing w:val="-11"/>
                    </w:rPr>
                    <w:t xml:space="preserve"> </w:t>
                  </w:r>
                  <w:r>
                    <w:rPr>
                      <w:color w:val="000000"/>
                    </w:rPr>
                    <w:t>local,</w:t>
                  </w:r>
                  <w:r>
                    <w:rPr>
                      <w:color w:val="000000"/>
                      <w:spacing w:val="-11"/>
                    </w:rPr>
                    <w:t xml:space="preserve"> </w:t>
                  </w:r>
                  <w:r>
                    <w:rPr>
                      <w:color w:val="000000"/>
                    </w:rPr>
                    <w:t>regional and state road “pinch point” upgrades designed</w:t>
                  </w:r>
                </w:p>
                <w:p w:rsidR="00F22F94" w:rsidRDefault="00F22F94">
                  <w:pPr>
                    <w:pStyle w:val="BodyText"/>
                    <w:spacing w:before="4" w:line="249" w:lineRule="auto"/>
                    <w:ind w:left="113"/>
                    <w:rPr>
                      <w:color w:val="000000"/>
                    </w:rPr>
                  </w:pPr>
                  <w:r>
                    <w:rPr>
                      <w:color w:val="000000"/>
                      <w:w w:val="95"/>
                    </w:rPr>
                    <w:t>to</w:t>
                  </w:r>
                  <w:r>
                    <w:rPr>
                      <w:color w:val="000000"/>
                      <w:spacing w:val="-1"/>
                      <w:w w:val="95"/>
                    </w:rPr>
                    <w:t xml:space="preserve"> </w:t>
                  </w:r>
                  <w:r>
                    <w:rPr>
                      <w:color w:val="000000"/>
                      <w:w w:val="95"/>
                    </w:rPr>
                    <w:t>overcome</w:t>
                  </w:r>
                  <w:r>
                    <w:rPr>
                      <w:color w:val="000000"/>
                      <w:spacing w:val="-1"/>
                      <w:w w:val="95"/>
                    </w:rPr>
                    <w:t xml:space="preserve"> </w:t>
                  </w:r>
                  <w:r>
                    <w:rPr>
                      <w:color w:val="000000"/>
                      <w:w w:val="95"/>
                    </w:rPr>
                    <w:t>constraints</w:t>
                  </w:r>
                  <w:r>
                    <w:rPr>
                      <w:color w:val="000000"/>
                      <w:spacing w:val="-1"/>
                      <w:w w:val="95"/>
                    </w:rPr>
                    <w:t xml:space="preserve"> </w:t>
                  </w:r>
                  <w:r>
                    <w:rPr>
                      <w:color w:val="000000"/>
                      <w:w w:val="95"/>
                    </w:rPr>
                    <w:t>impeding</w:t>
                  </w:r>
                  <w:r>
                    <w:rPr>
                      <w:color w:val="000000"/>
                      <w:spacing w:val="-1"/>
                      <w:w w:val="95"/>
                    </w:rPr>
                    <w:t xml:space="preserve"> </w:t>
                  </w:r>
                  <w:r>
                    <w:rPr>
                      <w:color w:val="000000"/>
                      <w:w w:val="95"/>
                    </w:rPr>
                    <w:t>HML</w:t>
                  </w:r>
                  <w:r>
                    <w:rPr>
                      <w:color w:val="000000"/>
                      <w:spacing w:val="-1"/>
                      <w:w w:val="95"/>
                    </w:rPr>
                    <w:t xml:space="preserve"> </w:t>
                  </w:r>
                  <w:r>
                    <w:rPr>
                      <w:color w:val="000000"/>
                      <w:w w:val="95"/>
                    </w:rPr>
                    <w:t>and</w:t>
                  </w:r>
                  <w:r>
                    <w:rPr>
                      <w:color w:val="000000"/>
                      <w:spacing w:val="-1"/>
                      <w:w w:val="95"/>
                    </w:rPr>
                    <w:t xml:space="preserve"> </w:t>
                  </w:r>
                  <w:r>
                    <w:rPr>
                      <w:color w:val="000000"/>
                      <w:w w:val="95"/>
                    </w:rPr>
                    <w:t xml:space="preserve">HPV </w:t>
                  </w:r>
                  <w:r>
                    <w:rPr>
                      <w:color w:val="000000"/>
                    </w:rPr>
                    <w:t>access in Regional NSW.</w:t>
                  </w:r>
                </w:p>
              </w:txbxContent>
            </v:textbox>
            <w10:wrap type="topAndBottom" anchorx="page"/>
          </v:shape>
        </w:pict>
      </w:r>
    </w:p>
    <w:p w:rsidR="002C1123" w:rsidRDefault="002C1123">
      <w:pPr>
        <w:pStyle w:val="BodyText"/>
        <w:spacing w:before="2"/>
        <w:rPr>
          <w:sz w:val="22"/>
        </w:rPr>
      </w:pPr>
    </w:p>
    <w:p w:rsidR="002C1123" w:rsidRDefault="00F22F94">
      <w:pPr>
        <w:pStyle w:val="BodyText"/>
        <w:spacing w:before="1" w:line="249" w:lineRule="auto"/>
        <w:ind w:left="188"/>
      </w:pPr>
      <w:r>
        <w:rPr>
          <w:w w:val="95"/>
        </w:rPr>
        <w:t>Transport</w:t>
      </w:r>
      <w:r>
        <w:rPr>
          <w:spacing w:val="-4"/>
          <w:w w:val="95"/>
        </w:rPr>
        <w:t xml:space="preserve"> </w:t>
      </w:r>
      <w:r>
        <w:rPr>
          <w:w w:val="95"/>
        </w:rPr>
        <w:t>for</w:t>
      </w:r>
      <w:r>
        <w:rPr>
          <w:spacing w:val="-4"/>
          <w:w w:val="95"/>
        </w:rPr>
        <w:t xml:space="preserve"> </w:t>
      </w:r>
      <w:r>
        <w:rPr>
          <w:w w:val="95"/>
        </w:rPr>
        <w:t>NSW</w:t>
      </w:r>
      <w:r>
        <w:rPr>
          <w:spacing w:val="-4"/>
          <w:w w:val="95"/>
        </w:rPr>
        <w:t xml:space="preserve"> </w:t>
      </w:r>
      <w:r>
        <w:rPr>
          <w:w w:val="95"/>
        </w:rPr>
        <w:t>has</w:t>
      </w:r>
      <w:r>
        <w:rPr>
          <w:spacing w:val="-4"/>
          <w:w w:val="95"/>
        </w:rPr>
        <w:t xml:space="preserve"> </w:t>
      </w:r>
      <w:r>
        <w:rPr>
          <w:w w:val="95"/>
        </w:rPr>
        <w:t>proposed</w:t>
      </w:r>
      <w:r>
        <w:rPr>
          <w:spacing w:val="-4"/>
          <w:w w:val="95"/>
        </w:rPr>
        <w:t xml:space="preserve"> </w:t>
      </w:r>
      <w:r>
        <w:rPr>
          <w:w w:val="95"/>
        </w:rPr>
        <w:t>piloting</w:t>
      </w:r>
      <w:r>
        <w:rPr>
          <w:spacing w:val="-4"/>
          <w:w w:val="95"/>
        </w:rPr>
        <w:t xml:space="preserve"> </w:t>
      </w:r>
      <w:r>
        <w:rPr>
          <w:w w:val="95"/>
        </w:rPr>
        <w:t>HPV</w:t>
      </w:r>
      <w:r>
        <w:rPr>
          <w:spacing w:val="-4"/>
          <w:w w:val="95"/>
        </w:rPr>
        <w:t xml:space="preserve"> </w:t>
      </w:r>
      <w:r>
        <w:rPr>
          <w:w w:val="95"/>
        </w:rPr>
        <w:t>access</w:t>
      </w:r>
      <w:r>
        <w:rPr>
          <w:spacing w:val="-4"/>
          <w:w w:val="95"/>
        </w:rPr>
        <w:t xml:space="preserve"> </w:t>
      </w:r>
      <w:r>
        <w:rPr>
          <w:w w:val="95"/>
        </w:rPr>
        <w:t xml:space="preserve">to the Hume Highway to potentially offer a HPV route from Sydney to Melbourne. This pilot is made possible by the </w:t>
      </w:r>
      <w:r>
        <w:t>completion</w:t>
      </w:r>
      <w:r>
        <w:rPr>
          <w:spacing w:val="-12"/>
        </w:rPr>
        <w:t xml:space="preserve"> </w:t>
      </w:r>
      <w:r>
        <w:t>of</w:t>
      </w:r>
      <w:r>
        <w:rPr>
          <w:spacing w:val="-12"/>
        </w:rPr>
        <w:t xml:space="preserve"> </w:t>
      </w:r>
      <w:r>
        <w:t>the</w:t>
      </w:r>
      <w:r>
        <w:rPr>
          <w:spacing w:val="-12"/>
        </w:rPr>
        <w:t xml:space="preserve"> </w:t>
      </w:r>
      <w:r>
        <w:t>Hume</w:t>
      </w:r>
      <w:r>
        <w:rPr>
          <w:spacing w:val="-12"/>
        </w:rPr>
        <w:t xml:space="preserve"> </w:t>
      </w:r>
      <w:r>
        <w:t>Highway</w:t>
      </w:r>
      <w:r>
        <w:rPr>
          <w:spacing w:val="-12"/>
        </w:rPr>
        <w:t xml:space="preserve"> </w:t>
      </w:r>
      <w:r>
        <w:t>duplication</w:t>
      </w:r>
      <w:r>
        <w:rPr>
          <w:spacing w:val="-12"/>
        </w:rPr>
        <w:t xml:space="preserve"> </w:t>
      </w:r>
      <w:r>
        <w:t>in</w:t>
      </w:r>
      <w:r>
        <w:rPr>
          <w:spacing w:val="-12"/>
        </w:rPr>
        <w:t xml:space="preserve"> </w:t>
      </w:r>
      <w:r>
        <w:t>2013.</w:t>
      </w:r>
    </w:p>
    <w:p w:rsidR="002C1123" w:rsidRDefault="00F22F94">
      <w:pPr>
        <w:pStyle w:val="BodyText"/>
        <w:spacing w:before="145" w:line="249" w:lineRule="auto"/>
        <w:ind w:left="188"/>
      </w:pPr>
      <w:r>
        <w:rPr>
          <w:w w:val="95"/>
        </w:rPr>
        <w:t>This is an important pilot for the future regulation of road freight</w:t>
      </w:r>
      <w:r>
        <w:rPr>
          <w:spacing w:val="-10"/>
          <w:w w:val="95"/>
        </w:rPr>
        <w:t xml:space="preserve"> </w:t>
      </w:r>
      <w:r>
        <w:rPr>
          <w:w w:val="95"/>
        </w:rPr>
        <w:t>in</w:t>
      </w:r>
      <w:r>
        <w:rPr>
          <w:spacing w:val="-10"/>
          <w:w w:val="95"/>
        </w:rPr>
        <w:t xml:space="preserve"> </w:t>
      </w:r>
      <w:r>
        <w:rPr>
          <w:w w:val="95"/>
        </w:rPr>
        <w:t>NSW.</w:t>
      </w:r>
      <w:r>
        <w:rPr>
          <w:spacing w:val="-10"/>
          <w:w w:val="95"/>
        </w:rPr>
        <w:t xml:space="preserve"> </w:t>
      </w:r>
      <w:r>
        <w:rPr>
          <w:w w:val="95"/>
        </w:rPr>
        <w:t>Three</w:t>
      </w:r>
      <w:r>
        <w:rPr>
          <w:spacing w:val="-10"/>
          <w:w w:val="95"/>
        </w:rPr>
        <w:t xml:space="preserve"> </w:t>
      </w:r>
      <w:r>
        <w:rPr>
          <w:w w:val="95"/>
        </w:rPr>
        <w:t>quarters</w:t>
      </w:r>
      <w:r>
        <w:rPr>
          <w:spacing w:val="-10"/>
          <w:w w:val="95"/>
        </w:rPr>
        <w:t xml:space="preserve"> </w:t>
      </w:r>
      <w:r>
        <w:rPr>
          <w:w w:val="95"/>
        </w:rPr>
        <w:t>of</w:t>
      </w:r>
      <w:r>
        <w:rPr>
          <w:spacing w:val="-10"/>
          <w:w w:val="95"/>
        </w:rPr>
        <w:t xml:space="preserve"> </w:t>
      </w:r>
      <w:r>
        <w:rPr>
          <w:w w:val="95"/>
        </w:rPr>
        <w:t>the</w:t>
      </w:r>
      <w:r>
        <w:rPr>
          <w:spacing w:val="-10"/>
          <w:w w:val="95"/>
        </w:rPr>
        <w:t xml:space="preserve"> </w:t>
      </w:r>
      <w:r>
        <w:rPr>
          <w:w w:val="95"/>
        </w:rPr>
        <w:t>nation’s</w:t>
      </w:r>
      <w:r>
        <w:rPr>
          <w:spacing w:val="-10"/>
          <w:w w:val="95"/>
        </w:rPr>
        <w:t xml:space="preserve"> </w:t>
      </w:r>
      <w:r>
        <w:rPr>
          <w:w w:val="95"/>
        </w:rPr>
        <w:t>road</w:t>
      </w:r>
      <w:r>
        <w:rPr>
          <w:spacing w:val="-10"/>
          <w:w w:val="95"/>
        </w:rPr>
        <w:t xml:space="preserve"> </w:t>
      </w:r>
      <w:r>
        <w:rPr>
          <w:w w:val="95"/>
        </w:rPr>
        <w:t xml:space="preserve">freight </w:t>
      </w:r>
      <w:r>
        <w:t>moves</w:t>
      </w:r>
      <w:r>
        <w:rPr>
          <w:spacing w:val="-14"/>
        </w:rPr>
        <w:t xml:space="preserve"> </w:t>
      </w:r>
      <w:r>
        <w:t>through</w:t>
      </w:r>
      <w:r>
        <w:rPr>
          <w:spacing w:val="-14"/>
        </w:rPr>
        <w:t xml:space="preserve"> </w:t>
      </w:r>
      <w:r>
        <w:t>NSW</w:t>
      </w:r>
      <w:r>
        <w:rPr>
          <w:spacing w:val="-13"/>
        </w:rPr>
        <w:t xml:space="preserve"> </w:t>
      </w:r>
      <w:r>
        <w:t>for</w:t>
      </w:r>
      <w:r>
        <w:rPr>
          <w:spacing w:val="-14"/>
        </w:rPr>
        <w:t xml:space="preserve"> </w:t>
      </w:r>
      <w:r>
        <w:t>at</w:t>
      </w:r>
      <w:r>
        <w:rPr>
          <w:spacing w:val="-14"/>
        </w:rPr>
        <w:t xml:space="preserve"> </w:t>
      </w:r>
      <w:r>
        <w:t>least</w:t>
      </w:r>
      <w:r>
        <w:rPr>
          <w:spacing w:val="-13"/>
        </w:rPr>
        <w:t xml:space="preserve"> </w:t>
      </w:r>
      <w:r>
        <w:t>part</w:t>
      </w:r>
      <w:r>
        <w:rPr>
          <w:spacing w:val="-14"/>
        </w:rPr>
        <w:t xml:space="preserve"> </w:t>
      </w:r>
      <w:r>
        <w:t>of</w:t>
      </w:r>
      <w:r>
        <w:rPr>
          <w:spacing w:val="-14"/>
        </w:rPr>
        <w:t xml:space="preserve"> </w:t>
      </w:r>
      <w:r>
        <w:t>its</w:t>
      </w:r>
      <w:r>
        <w:rPr>
          <w:spacing w:val="-13"/>
        </w:rPr>
        <w:t xml:space="preserve"> </w:t>
      </w:r>
      <w:r>
        <w:t>journey.</w:t>
      </w:r>
    </w:p>
    <w:p w:rsidR="002C1123" w:rsidRDefault="00F22F94">
      <w:pPr>
        <w:pStyle w:val="BodyText"/>
        <w:spacing w:before="144" w:line="249" w:lineRule="auto"/>
        <w:ind w:left="188" w:right="640"/>
        <w:jc w:val="both"/>
      </w:pPr>
      <w:r>
        <w:rPr>
          <w:w w:val="95"/>
        </w:rPr>
        <w:t>It</w:t>
      </w:r>
      <w:r>
        <w:rPr>
          <w:spacing w:val="-2"/>
          <w:w w:val="95"/>
        </w:rPr>
        <w:t xml:space="preserve"> </w:t>
      </w:r>
      <w:r>
        <w:rPr>
          <w:w w:val="95"/>
        </w:rPr>
        <w:t>is</w:t>
      </w:r>
      <w:r>
        <w:rPr>
          <w:spacing w:val="-2"/>
          <w:w w:val="95"/>
        </w:rPr>
        <w:t xml:space="preserve"> </w:t>
      </w:r>
      <w:r>
        <w:rPr>
          <w:w w:val="95"/>
        </w:rPr>
        <w:t>suggested</w:t>
      </w:r>
      <w:r>
        <w:rPr>
          <w:spacing w:val="-2"/>
          <w:w w:val="95"/>
        </w:rPr>
        <w:t xml:space="preserve"> </w:t>
      </w:r>
      <w:r>
        <w:rPr>
          <w:w w:val="95"/>
        </w:rPr>
        <w:t>that</w:t>
      </w:r>
      <w:r>
        <w:rPr>
          <w:spacing w:val="-2"/>
          <w:w w:val="95"/>
        </w:rPr>
        <w:t xml:space="preserve"> </w:t>
      </w:r>
      <w:r>
        <w:rPr>
          <w:w w:val="95"/>
        </w:rPr>
        <w:t>additional</w:t>
      </w:r>
      <w:r>
        <w:rPr>
          <w:spacing w:val="-2"/>
          <w:w w:val="95"/>
        </w:rPr>
        <w:t xml:space="preserve"> </w:t>
      </w:r>
      <w:r>
        <w:rPr>
          <w:w w:val="95"/>
        </w:rPr>
        <w:t>infrastructure</w:t>
      </w:r>
      <w:r>
        <w:rPr>
          <w:spacing w:val="-2"/>
          <w:w w:val="95"/>
        </w:rPr>
        <w:t xml:space="preserve"> </w:t>
      </w:r>
      <w:r>
        <w:rPr>
          <w:w w:val="95"/>
        </w:rPr>
        <w:t>costs required</w:t>
      </w:r>
      <w:r>
        <w:rPr>
          <w:spacing w:val="-3"/>
          <w:w w:val="95"/>
        </w:rPr>
        <w:t xml:space="preserve"> </w:t>
      </w:r>
      <w:r>
        <w:rPr>
          <w:w w:val="95"/>
        </w:rPr>
        <w:t>to</w:t>
      </w:r>
      <w:r>
        <w:rPr>
          <w:spacing w:val="-3"/>
          <w:w w:val="95"/>
        </w:rPr>
        <w:t xml:space="preserve"> </w:t>
      </w:r>
      <w:r>
        <w:rPr>
          <w:w w:val="95"/>
        </w:rPr>
        <w:t>further</w:t>
      </w:r>
      <w:r>
        <w:rPr>
          <w:spacing w:val="-3"/>
          <w:w w:val="95"/>
        </w:rPr>
        <w:t xml:space="preserve"> </w:t>
      </w:r>
      <w:r>
        <w:rPr>
          <w:w w:val="95"/>
        </w:rPr>
        <w:t>upgrade</w:t>
      </w:r>
      <w:r>
        <w:rPr>
          <w:spacing w:val="-3"/>
          <w:w w:val="95"/>
        </w:rPr>
        <w:t xml:space="preserve"> </w:t>
      </w:r>
      <w:r>
        <w:rPr>
          <w:w w:val="95"/>
        </w:rPr>
        <w:t>the</w:t>
      </w:r>
      <w:r>
        <w:rPr>
          <w:spacing w:val="-3"/>
          <w:w w:val="95"/>
        </w:rPr>
        <w:t xml:space="preserve"> </w:t>
      </w:r>
      <w:r>
        <w:rPr>
          <w:w w:val="95"/>
        </w:rPr>
        <w:t>Hume</w:t>
      </w:r>
      <w:r>
        <w:rPr>
          <w:spacing w:val="-3"/>
          <w:w w:val="95"/>
        </w:rPr>
        <w:t xml:space="preserve"> </w:t>
      </w:r>
      <w:r>
        <w:rPr>
          <w:w w:val="95"/>
        </w:rPr>
        <w:t>Highway</w:t>
      </w:r>
      <w:r>
        <w:rPr>
          <w:spacing w:val="-3"/>
          <w:w w:val="95"/>
        </w:rPr>
        <w:t xml:space="preserve"> </w:t>
      </w:r>
      <w:r>
        <w:rPr>
          <w:w w:val="95"/>
        </w:rPr>
        <w:t xml:space="preserve">to </w:t>
      </w:r>
      <w:r>
        <w:t>support</w:t>
      </w:r>
      <w:r>
        <w:rPr>
          <w:spacing w:val="-14"/>
        </w:rPr>
        <w:t xml:space="preserve"> </w:t>
      </w:r>
      <w:r>
        <w:t>HPV</w:t>
      </w:r>
      <w:r>
        <w:rPr>
          <w:spacing w:val="-14"/>
        </w:rPr>
        <w:t xml:space="preserve"> </w:t>
      </w:r>
      <w:r>
        <w:t>movements</w:t>
      </w:r>
      <w:r>
        <w:rPr>
          <w:spacing w:val="-14"/>
        </w:rPr>
        <w:t xml:space="preserve"> </w:t>
      </w:r>
      <w:r>
        <w:t>could</w:t>
      </w:r>
      <w:r>
        <w:rPr>
          <w:spacing w:val="-14"/>
        </w:rPr>
        <w:t xml:space="preserve"> </w:t>
      </w:r>
      <w:r>
        <w:t>be</w:t>
      </w:r>
      <w:r>
        <w:rPr>
          <w:spacing w:val="-14"/>
        </w:rPr>
        <w:t xml:space="preserve"> </w:t>
      </w:r>
      <w:r>
        <w:t>met</w:t>
      </w:r>
      <w:r>
        <w:rPr>
          <w:spacing w:val="-14"/>
        </w:rPr>
        <w:t xml:space="preserve"> </w:t>
      </w:r>
      <w:r>
        <w:t>by</w:t>
      </w:r>
      <w:r>
        <w:rPr>
          <w:spacing w:val="-14"/>
        </w:rPr>
        <w:t xml:space="preserve"> </w:t>
      </w:r>
      <w:r>
        <w:t>direct</w:t>
      </w:r>
    </w:p>
    <w:p w:rsidR="002C1123" w:rsidRDefault="00F22F94">
      <w:pPr>
        <w:pStyle w:val="BodyText"/>
        <w:spacing w:before="106" w:line="249" w:lineRule="auto"/>
        <w:ind w:left="195" w:right="845"/>
      </w:pPr>
      <w:r>
        <w:br w:type="column"/>
      </w:r>
      <w:r>
        <w:rPr>
          <w:w w:val="95"/>
        </w:rPr>
        <w:t>contributions</w:t>
      </w:r>
      <w:r>
        <w:rPr>
          <w:spacing w:val="-3"/>
          <w:w w:val="95"/>
        </w:rPr>
        <w:t xml:space="preserve"> </w:t>
      </w:r>
      <w:r>
        <w:rPr>
          <w:w w:val="95"/>
        </w:rPr>
        <w:t>from</w:t>
      </w:r>
      <w:r>
        <w:rPr>
          <w:spacing w:val="-4"/>
          <w:w w:val="95"/>
        </w:rPr>
        <w:t xml:space="preserve"> </w:t>
      </w:r>
      <w:r>
        <w:rPr>
          <w:w w:val="95"/>
        </w:rPr>
        <w:t>haulage</w:t>
      </w:r>
      <w:r>
        <w:rPr>
          <w:spacing w:val="-3"/>
          <w:w w:val="95"/>
        </w:rPr>
        <w:t xml:space="preserve"> </w:t>
      </w:r>
      <w:r>
        <w:rPr>
          <w:w w:val="95"/>
        </w:rPr>
        <w:t>users.</w:t>
      </w:r>
      <w:r>
        <w:rPr>
          <w:spacing w:val="-3"/>
          <w:w w:val="95"/>
        </w:rPr>
        <w:t xml:space="preserve"> </w:t>
      </w:r>
      <w:r>
        <w:rPr>
          <w:w w:val="95"/>
        </w:rPr>
        <w:t>Infrastructure</w:t>
      </w:r>
      <w:r>
        <w:rPr>
          <w:spacing w:val="-3"/>
          <w:w w:val="95"/>
        </w:rPr>
        <w:t xml:space="preserve"> </w:t>
      </w:r>
      <w:r>
        <w:rPr>
          <w:w w:val="95"/>
        </w:rPr>
        <w:t xml:space="preserve">NSW </w:t>
      </w:r>
      <w:r>
        <w:t>supports this approach.</w:t>
      </w:r>
    </w:p>
    <w:p w:rsidR="002C1123" w:rsidRDefault="00F22F94">
      <w:pPr>
        <w:pStyle w:val="BodyText"/>
        <w:spacing w:before="143" w:line="249" w:lineRule="auto"/>
        <w:ind w:left="195" w:right="487"/>
      </w:pPr>
      <w:r>
        <w:rPr>
          <w:w w:val="95"/>
        </w:rPr>
        <w:t>Should this pilot prove successful, there is a case for the introduction</w:t>
      </w:r>
      <w:r>
        <w:rPr>
          <w:spacing w:val="-3"/>
          <w:w w:val="95"/>
        </w:rPr>
        <w:t xml:space="preserve"> </w:t>
      </w:r>
      <w:r>
        <w:rPr>
          <w:w w:val="95"/>
        </w:rPr>
        <w:t>of</w:t>
      </w:r>
      <w:r>
        <w:rPr>
          <w:spacing w:val="-3"/>
          <w:w w:val="95"/>
        </w:rPr>
        <w:t xml:space="preserve"> </w:t>
      </w:r>
      <w:r>
        <w:rPr>
          <w:w w:val="95"/>
        </w:rPr>
        <w:t>more</w:t>
      </w:r>
      <w:r>
        <w:rPr>
          <w:spacing w:val="-3"/>
          <w:w w:val="95"/>
        </w:rPr>
        <w:t xml:space="preserve"> </w:t>
      </w:r>
      <w:r>
        <w:rPr>
          <w:w w:val="95"/>
        </w:rPr>
        <w:t>cost</w:t>
      </w:r>
      <w:r>
        <w:rPr>
          <w:spacing w:val="-3"/>
          <w:w w:val="95"/>
        </w:rPr>
        <w:t xml:space="preserve"> </w:t>
      </w:r>
      <w:r>
        <w:rPr>
          <w:w w:val="95"/>
        </w:rPr>
        <w:t>reflective</w:t>
      </w:r>
      <w:r>
        <w:rPr>
          <w:spacing w:val="-3"/>
          <w:w w:val="95"/>
        </w:rPr>
        <w:t xml:space="preserve"> </w:t>
      </w:r>
      <w:r>
        <w:rPr>
          <w:w w:val="95"/>
        </w:rPr>
        <w:t>road</w:t>
      </w:r>
      <w:r>
        <w:rPr>
          <w:spacing w:val="-3"/>
          <w:w w:val="95"/>
        </w:rPr>
        <w:t xml:space="preserve"> </w:t>
      </w:r>
      <w:r>
        <w:rPr>
          <w:w w:val="95"/>
        </w:rPr>
        <w:t>pricing</w:t>
      </w:r>
      <w:r>
        <w:rPr>
          <w:spacing w:val="-3"/>
          <w:w w:val="95"/>
        </w:rPr>
        <w:t xml:space="preserve"> </w:t>
      </w:r>
      <w:r>
        <w:rPr>
          <w:w w:val="95"/>
        </w:rPr>
        <w:t>for</w:t>
      </w:r>
      <w:r>
        <w:rPr>
          <w:spacing w:val="-3"/>
          <w:w w:val="95"/>
        </w:rPr>
        <w:t xml:space="preserve"> </w:t>
      </w:r>
      <w:r>
        <w:rPr>
          <w:w w:val="95"/>
        </w:rPr>
        <w:t>heavy vehicles</w:t>
      </w:r>
      <w:r>
        <w:rPr>
          <w:spacing w:val="-5"/>
          <w:w w:val="95"/>
        </w:rPr>
        <w:t xml:space="preserve"> </w:t>
      </w:r>
      <w:r>
        <w:rPr>
          <w:w w:val="95"/>
        </w:rPr>
        <w:t>on</w:t>
      </w:r>
      <w:r>
        <w:rPr>
          <w:spacing w:val="-5"/>
          <w:w w:val="95"/>
        </w:rPr>
        <w:t xml:space="preserve"> </w:t>
      </w:r>
      <w:r>
        <w:rPr>
          <w:w w:val="95"/>
        </w:rPr>
        <w:t>all</w:t>
      </w:r>
      <w:r>
        <w:rPr>
          <w:spacing w:val="-5"/>
          <w:w w:val="95"/>
        </w:rPr>
        <w:t xml:space="preserve"> </w:t>
      </w:r>
      <w:r>
        <w:rPr>
          <w:w w:val="95"/>
        </w:rPr>
        <w:t>major</w:t>
      </w:r>
      <w:r>
        <w:rPr>
          <w:spacing w:val="-5"/>
          <w:w w:val="95"/>
        </w:rPr>
        <w:t xml:space="preserve"> </w:t>
      </w:r>
      <w:r>
        <w:rPr>
          <w:w w:val="95"/>
        </w:rPr>
        <w:t>interstate</w:t>
      </w:r>
      <w:r>
        <w:rPr>
          <w:spacing w:val="-5"/>
          <w:w w:val="95"/>
        </w:rPr>
        <w:t xml:space="preserve"> </w:t>
      </w:r>
      <w:r>
        <w:rPr>
          <w:w w:val="95"/>
        </w:rPr>
        <w:t>highways.</w:t>
      </w:r>
      <w:r>
        <w:rPr>
          <w:spacing w:val="-5"/>
          <w:w w:val="95"/>
        </w:rPr>
        <w:t xml:space="preserve"> </w:t>
      </w:r>
      <w:r>
        <w:rPr>
          <w:w w:val="95"/>
        </w:rPr>
        <w:t>Analysis</w:t>
      </w:r>
      <w:r>
        <w:rPr>
          <w:spacing w:val="-5"/>
          <w:w w:val="95"/>
        </w:rPr>
        <w:t xml:space="preserve"> </w:t>
      </w:r>
      <w:r>
        <w:rPr>
          <w:w w:val="95"/>
        </w:rPr>
        <w:t>by</w:t>
      </w:r>
      <w:r>
        <w:rPr>
          <w:spacing w:val="-5"/>
          <w:w w:val="95"/>
        </w:rPr>
        <w:t xml:space="preserve"> </w:t>
      </w:r>
      <w:r>
        <w:rPr>
          <w:w w:val="95"/>
        </w:rPr>
        <w:t xml:space="preserve">the </w:t>
      </w:r>
      <w:r>
        <w:t>Productivity</w:t>
      </w:r>
      <w:r>
        <w:rPr>
          <w:spacing w:val="-5"/>
        </w:rPr>
        <w:t xml:space="preserve"> </w:t>
      </w:r>
      <w:r>
        <w:t>Commission</w:t>
      </w:r>
      <w:r>
        <w:rPr>
          <w:spacing w:val="-5"/>
        </w:rPr>
        <w:t xml:space="preserve"> </w:t>
      </w:r>
      <w:r>
        <w:t>suggests</w:t>
      </w:r>
      <w:r>
        <w:rPr>
          <w:spacing w:val="-5"/>
        </w:rPr>
        <w:t xml:space="preserve"> </w:t>
      </w:r>
      <w:r>
        <w:t>that</w:t>
      </w:r>
      <w:r>
        <w:rPr>
          <w:spacing w:val="-5"/>
        </w:rPr>
        <w:t xml:space="preserve"> </w:t>
      </w:r>
      <w:r>
        <w:t>reducing</w:t>
      </w:r>
      <w:r>
        <w:rPr>
          <w:spacing w:val="-5"/>
        </w:rPr>
        <w:t xml:space="preserve"> </w:t>
      </w:r>
      <w:r>
        <w:t>the disconnect</w:t>
      </w:r>
      <w:r>
        <w:rPr>
          <w:spacing w:val="-9"/>
        </w:rPr>
        <w:t xml:space="preserve"> </w:t>
      </w:r>
      <w:r>
        <w:t>between</w:t>
      </w:r>
      <w:r>
        <w:rPr>
          <w:spacing w:val="-9"/>
        </w:rPr>
        <w:t xml:space="preserve"> </w:t>
      </w:r>
      <w:r>
        <w:t>road</w:t>
      </w:r>
      <w:r>
        <w:rPr>
          <w:spacing w:val="-9"/>
        </w:rPr>
        <w:t xml:space="preserve"> </w:t>
      </w:r>
      <w:r>
        <w:t>user</w:t>
      </w:r>
      <w:r>
        <w:rPr>
          <w:spacing w:val="-9"/>
        </w:rPr>
        <w:t xml:space="preserve"> </w:t>
      </w:r>
      <w:r>
        <w:t>revenues</w:t>
      </w:r>
      <w:r>
        <w:rPr>
          <w:spacing w:val="-9"/>
        </w:rPr>
        <w:t xml:space="preserve"> </w:t>
      </w:r>
      <w:r>
        <w:t>and</w:t>
      </w:r>
      <w:r>
        <w:rPr>
          <w:spacing w:val="-9"/>
        </w:rPr>
        <w:t xml:space="preserve"> </w:t>
      </w:r>
      <w:r>
        <w:t>spending decisions</w:t>
      </w:r>
      <w:r>
        <w:rPr>
          <w:spacing w:val="-8"/>
        </w:rPr>
        <w:t xml:space="preserve"> </w:t>
      </w:r>
      <w:r>
        <w:t>would</w:t>
      </w:r>
      <w:r>
        <w:rPr>
          <w:spacing w:val="-8"/>
        </w:rPr>
        <w:t xml:space="preserve"> </w:t>
      </w:r>
      <w:r>
        <w:t>improve</w:t>
      </w:r>
      <w:r>
        <w:rPr>
          <w:spacing w:val="-8"/>
        </w:rPr>
        <w:t xml:space="preserve"> </w:t>
      </w:r>
      <w:r>
        <w:t>freight</w:t>
      </w:r>
      <w:r>
        <w:rPr>
          <w:spacing w:val="-8"/>
        </w:rPr>
        <w:t xml:space="preserve"> </w:t>
      </w:r>
      <w:r>
        <w:t>efficiency.</w:t>
      </w:r>
    </w:p>
    <w:p w:rsidR="002C1123" w:rsidRDefault="00F22F94">
      <w:pPr>
        <w:pStyle w:val="Heading6"/>
        <w:numPr>
          <w:ilvl w:val="2"/>
          <w:numId w:val="66"/>
        </w:numPr>
        <w:tabs>
          <w:tab w:val="left" w:pos="844"/>
        </w:tabs>
        <w:spacing w:before="147"/>
        <w:ind w:left="844" w:hanging="649"/>
      </w:pPr>
      <w:r>
        <w:rPr>
          <w:color w:val="00AEEF"/>
          <w:w w:val="95"/>
        </w:rPr>
        <w:t>Improving</w:t>
      </w:r>
      <w:r>
        <w:rPr>
          <w:color w:val="00AEEF"/>
        </w:rPr>
        <w:t xml:space="preserve"> </w:t>
      </w:r>
      <w:r>
        <w:rPr>
          <w:color w:val="00AEEF"/>
          <w:w w:val="95"/>
        </w:rPr>
        <w:t>Rail</w:t>
      </w:r>
      <w:r>
        <w:rPr>
          <w:color w:val="00AEEF"/>
        </w:rPr>
        <w:t xml:space="preserve"> </w:t>
      </w:r>
      <w:r>
        <w:rPr>
          <w:color w:val="00AEEF"/>
          <w:w w:val="95"/>
        </w:rPr>
        <w:t>Freight</w:t>
      </w:r>
      <w:r>
        <w:rPr>
          <w:color w:val="00AEEF"/>
        </w:rPr>
        <w:t xml:space="preserve"> </w:t>
      </w:r>
      <w:r>
        <w:rPr>
          <w:color w:val="00AEEF"/>
          <w:spacing w:val="-2"/>
          <w:w w:val="95"/>
        </w:rPr>
        <w:t>Productivity</w:t>
      </w:r>
    </w:p>
    <w:p w:rsidR="002C1123" w:rsidRDefault="00F22F94">
      <w:pPr>
        <w:pStyle w:val="BodyText"/>
        <w:spacing w:before="95" w:line="249" w:lineRule="auto"/>
        <w:ind w:left="195" w:right="807"/>
      </w:pPr>
      <w:r>
        <w:rPr>
          <w:spacing w:val="-2"/>
        </w:rPr>
        <w:t>It</w:t>
      </w:r>
      <w:r>
        <w:rPr>
          <w:spacing w:val="-10"/>
        </w:rPr>
        <w:t xml:space="preserve"> </w:t>
      </w:r>
      <w:r>
        <w:rPr>
          <w:spacing w:val="-2"/>
        </w:rPr>
        <w:t>has</w:t>
      </w:r>
      <w:r>
        <w:rPr>
          <w:spacing w:val="-10"/>
        </w:rPr>
        <w:t xml:space="preserve"> </w:t>
      </w:r>
      <w:r>
        <w:rPr>
          <w:spacing w:val="-2"/>
        </w:rPr>
        <w:t>been</w:t>
      </w:r>
      <w:r>
        <w:rPr>
          <w:spacing w:val="-10"/>
        </w:rPr>
        <w:t xml:space="preserve"> </w:t>
      </w:r>
      <w:r>
        <w:rPr>
          <w:spacing w:val="-2"/>
        </w:rPr>
        <w:t>argued</w:t>
      </w:r>
      <w:r>
        <w:rPr>
          <w:spacing w:val="-10"/>
        </w:rPr>
        <w:t xml:space="preserve"> </w:t>
      </w:r>
      <w:r>
        <w:rPr>
          <w:spacing w:val="-2"/>
        </w:rPr>
        <w:t>that</w:t>
      </w:r>
      <w:r>
        <w:rPr>
          <w:spacing w:val="-10"/>
        </w:rPr>
        <w:t xml:space="preserve"> </w:t>
      </w:r>
      <w:r>
        <w:rPr>
          <w:spacing w:val="-2"/>
        </w:rPr>
        <w:t>intrastate</w:t>
      </w:r>
      <w:r>
        <w:rPr>
          <w:spacing w:val="-10"/>
        </w:rPr>
        <w:t xml:space="preserve"> </w:t>
      </w:r>
      <w:r>
        <w:rPr>
          <w:spacing w:val="-2"/>
        </w:rPr>
        <w:t>and</w:t>
      </w:r>
      <w:r>
        <w:rPr>
          <w:spacing w:val="-10"/>
        </w:rPr>
        <w:t xml:space="preserve"> </w:t>
      </w:r>
      <w:r>
        <w:rPr>
          <w:spacing w:val="-2"/>
        </w:rPr>
        <w:t>interstate</w:t>
      </w:r>
      <w:r>
        <w:rPr>
          <w:spacing w:val="-10"/>
        </w:rPr>
        <w:t xml:space="preserve"> </w:t>
      </w:r>
      <w:r>
        <w:rPr>
          <w:spacing w:val="-2"/>
        </w:rPr>
        <w:t xml:space="preserve">freight </w:t>
      </w:r>
      <w:r>
        <w:rPr>
          <w:w w:val="95"/>
        </w:rPr>
        <w:t>productivity could be enhanced by increased use of rail freight. Rail freight has lower marginal costs than road, but</w:t>
      </w:r>
      <w:r>
        <w:rPr>
          <w:spacing w:val="-6"/>
          <w:w w:val="95"/>
        </w:rPr>
        <w:t xml:space="preserve"> </w:t>
      </w:r>
      <w:r>
        <w:rPr>
          <w:w w:val="95"/>
        </w:rPr>
        <w:t>higher</w:t>
      </w:r>
      <w:r>
        <w:rPr>
          <w:spacing w:val="-6"/>
          <w:w w:val="95"/>
        </w:rPr>
        <w:t xml:space="preserve"> </w:t>
      </w:r>
      <w:r>
        <w:rPr>
          <w:w w:val="95"/>
        </w:rPr>
        <w:t>fixed</w:t>
      </w:r>
      <w:r>
        <w:rPr>
          <w:spacing w:val="-6"/>
          <w:w w:val="95"/>
        </w:rPr>
        <w:t xml:space="preserve"> </w:t>
      </w:r>
      <w:r>
        <w:rPr>
          <w:w w:val="95"/>
        </w:rPr>
        <w:t>costs.</w:t>
      </w:r>
      <w:r>
        <w:rPr>
          <w:spacing w:val="-6"/>
          <w:w w:val="95"/>
        </w:rPr>
        <w:t xml:space="preserve"> </w:t>
      </w:r>
      <w:r>
        <w:rPr>
          <w:w w:val="95"/>
        </w:rPr>
        <w:t>Over</w:t>
      </w:r>
      <w:r>
        <w:rPr>
          <w:spacing w:val="-6"/>
          <w:w w:val="95"/>
        </w:rPr>
        <w:t xml:space="preserve"> </w:t>
      </w:r>
      <w:r>
        <w:rPr>
          <w:w w:val="95"/>
        </w:rPr>
        <w:t>a</w:t>
      </w:r>
      <w:r>
        <w:rPr>
          <w:spacing w:val="-6"/>
          <w:w w:val="95"/>
        </w:rPr>
        <w:t xml:space="preserve"> </w:t>
      </w:r>
      <w:r>
        <w:rPr>
          <w:w w:val="95"/>
        </w:rPr>
        <w:t>long</w:t>
      </w:r>
      <w:r>
        <w:rPr>
          <w:spacing w:val="-6"/>
          <w:w w:val="95"/>
        </w:rPr>
        <w:t xml:space="preserve"> </w:t>
      </w:r>
      <w:r>
        <w:rPr>
          <w:w w:val="95"/>
        </w:rPr>
        <w:t>enough</w:t>
      </w:r>
      <w:r>
        <w:rPr>
          <w:spacing w:val="-6"/>
          <w:w w:val="95"/>
        </w:rPr>
        <w:t xml:space="preserve"> </w:t>
      </w:r>
      <w:r>
        <w:rPr>
          <w:w w:val="95"/>
        </w:rPr>
        <w:t>distance,</w:t>
      </w:r>
      <w:r>
        <w:rPr>
          <w:spacing w:val="-6"/>
          <w:w w:val="95"/>
        </w:rPr>
        <w:t xml:space="preserve"> </w:t>
      </w:r>
      <w:r>
        <w:rPr>
          <w:w w:val="95"/>
        </w:rPr>
        <w:t xml:space="preserve">rail can be cheaper than road for freight movements given </w:t>
      </w:r>
      <w:r>
        <w:t>sufficient</w:t>
      </w:r>
      <w:r>
        <w:rPr>
          <w:spacing w:val="-11"/>
        </w:rPr>
        <w:t xml:space="preserve"> </w:t>
      </w:r>
      <w:r>
        <w:t>volume.</w:t>
      </w:r>
    </w:p>
    <w:p w:rsidR="002C1123" w:rsidRDefault="00F22F94">
      <w:pPr>
        <w:pStyle w:val="BodyText"/>
        <w:spacing w:before="147" w:line="249" w:lineRule="auto"/>
        <w:ind w:left="195" w:right="845"/>
      </w:pPr>
      <w:r>
        <w:rPr>
          <w:w w:val="95"/>
        </w:rPr>
        <w:t>Balanced</w:t>
      </w:r>
      <w:r>
        <w:rPr>
          <w:spacing w:val="-2"/>
          <w:w w:val="95"/>
        </w:rPr>
        <w:t xml:space="preserve"> </w:t>
      </w:r>
      <w:r>
        <w:rPr>
          <w:w w:val="95"/>
        </w:rPr>
        <w:t>against</w:t>
      </w:r>
      <w:r>
        <w:rPr>
          <w:spacing w:val="-2"/>
          <w:w w:val="95"/>
        </w:rPr>
        <w:t xml:space="preserve"> </w:t>
      </w:r>
      <w:r>
        <w:rPr>
          <w:w w:val="95"/>
        </w:rPr>
        <w:t>this,</w:t>
      </w:r>
      <w:r>
        <w:rPr>
          <w:spacing w:val="-2"/>
          <w:w w:val="95"/>
        </w:rPr>
        <w:t xml:space="preserve"> </w:t>
      </w:r>
      <w:r>
        <w:rPr>
          <w:w w:val="95"/>
        </w:rPr>
        <w:t>is</w:t>
      </w:r>
      <w:r>
        <w:rPr>
          <w:spacing w:val="-2"/>
          <w:w w:val="95"/>
        </w:rPr>
        <w:t xml:space="preserve"> </w:t>
      </w:r>
      <w:r>
        <w:rPr>
          <w:w w:val="95"/>
        </w:rPr>
        <w:t>the</w:t>
      </w:r>
      <w:r>
        <w:rPr>
          <w:spacing w:val="-2"/>
          <w:w w:val="95"/>
        </w:rPr>
        <w:t xml:space="preserve"> </w:t>
      </w:r>
      <w:r>
        <w:rPr>
          <w:w w:val="95"/>
        </w:rPr>
        <w:t>Productivity</w:t>
      </w:r>
      <w:r>
        <w:rPr>
          <w:spacing w:val="-2"/>
          <w:w w:val="95"/>
        </w:rPr>
        <w:t xml:space="preserve"> </w:t>
      </w:r>
      <w:r>
        <w:rPr>
          <w:w w:val="95"/>
        </w:rPr>
        <w:t xml:space="preserve">Commission’s </w:t>
      </w:r>
      <w:r>
        <w:t>view</w:t>
      </w:r>
      <w:r>
        <w:rPr>
          <w:spacing w:val="-14"/>
        </w:rPr>
        <w:t xml:space="preserve"> </w:t>
      </w:r>
      <w:r>
        <w:t>that</w:t>
      </w:r>
      <w:r>
        <w:rPr>
          <w:spacing w:val="-14"/>
        </w:rPr>
        <w:t xml:space="preserve"> </w:t>
      </w:r>
      <w:r>
        <w:t>road</w:t>
      </w:r>
      <w:r>
        <w:rPr>
          <w:spacing w:val="-14"/>
        </w:rPr>
        <w:t xml:space="preserve"> </w:t>
      </w:r>
      <w:r>
        <w:t>and</w:t>
      </w:r>
      <w:r>
        <w:rPr>
          <w:spacing w:val="-14"/>
        </w:rPr>
        <w:t xml:space="preserve"> </w:t>
      </w:r>
      <w:r>
        <w:t>rail</w:t>
      </w:r>
      <w:r>
        <w:rPr>
          <w:spacing w:val="-14"/>
        </w:rPr>
        <w:t xml:space="preserve"> </w:t>
      </w:r>
      <w:r>
        <w:t>freight</w:t>
      </w:r>
      <w:r>
        <w:rPr>
          <w:spacing w:val="-14"/>
        </w:rPr>
        <w:t xml:space="preserve"> </w:t>
      </w:r>
      <w:r>
        <w:t>are</w:t>
      </w:r>
      <w:r>
        <w:rPr>
          <w:spacing w:val="-14"/>
        </w:rPr>
        <w:t xml:space="preserve"> </w:t>
      </w:r>
      <w:r>
        <w:t>complements</w:t>
      </w:r>
      <w:r>
        <w:rPr>
          <w:spacing w:val="-14"/>
        </w:rPr>
        <w:t xml:space="preserve"> </w:t>
      </w:r>
      <w:r>
        <w:t>rather than</w:t>
      </w:r>
      <w:r>
        <w:rPr>
          <w:spacing w:val="-9"/>
        </w:rPr>
        <w:t xml:space="preserve"> </w:t>
      </w:r>
      <w:r>
        <w:t>substitutes</w:t>
      </w:r>
      <w:r>
        <w:rPr>
          <w:spacing w:val="-9"/>
        </w:rPr>
        <w:t xml:space="preserve"> </w:t>
      </w:r>
      <w:r>
        <w:t>for</w:t>
      </w:r>
      <w:r>
        <w:rPr>
          <w:spacing w:val="-9"/>
        </w:rPr>
        <w:t xml:space="preserve"> </w:t>
      </w:r>
      <w:r>
        <w:t>much</w:t>
      </w:r>
      <w:r>
        <w:rPr>
          <w:spacing w:val="-9"/>
        </w:rPr>
        <w:t xml:space="preserve"> </w:t>
      </w:r>
      <w:r>
        <w:t>of</w:t>
      </w:r>
      <w:r>
        <w:rPr>
          <w:spacing w:val="-9"/>
        </w:rPr>
        <w:t xml:space="preserve"> </w:t>
      </w:r>
      <w:r>
        <w:t>the</w:t>
      </w:r>
      <w:r>
        <w:rPr>
          <w:spacing w:val="-9"/>
        </w:rPr>
        <w:t xml:space="preserve"> </w:t>
      </w:r>
      <w:r>
        <w:t>freight</w:t>
      </w:r>
      <w:r>
        <w:rPr>
          <w:spacing w:val="-9"/>
        </w:rPr>
        <w:t xml:space="preserve"> </w:t>
      </w:r>
      <w:r>
        <w:t>task</w:t>
      </w:r>
      <w:r>
        <w:rPr>
          <w:spacing w:val="-9"/>
        </w:rPr>
        <w:t xml:space="preserve"> </w:t>
      </w:r>
      <w:r>
        <w:t>and</w:t>
      </w:r>
      <w:r>
        <w:rPr>
          <w:spacing w:val="-9"/>
        </w:rPr>
        <w:t xml:space="preserve"> </w:t>
      </w:r>
      <w:r>
        <w:t xml:space="preserve">that, </w:t>
      </w:r>
      <w:r>
        <w:rPr>
          <w:spacing w:val="-2"/>
        </w:rPr>
        <w:t>as</w:t>
      </w:r>
      <w:r>
        <w:rPr>
          <w:spacing w:val="-9"/>
        </w:rPr>
        <w:t xml:space="preserve"> </w:t>
      </w:r>
      <w:r>
        <w:rPr>
          <w:spacing w:val="-2"/>
        </w:rPr>
        <w:t>Section</w:t>
      </w:r>
      <w:r>
        <w:rPr>
          <w:spacing w:val="-9"/>
        </w:rPr>
        <w:t xml:space="preserve"> </w:t>
      </w:r>
      <w:r>
        <w:rPr>
          <w:spacing w:val="-2"/>
        </w:rPr>
        <w:t>9</w:t>
      </w:r>
      <w:r>
        <w:rPr>
          <w:spacing w:val="-9"/>
        </w:rPr>
        <w:t xml:space="preserve"> </w:t>
      </w:r>
      <w:r>
        <w:rPr>
          <w:spacing w:val="-2"/>
        </w:rPr>
        <w:t>discusses,</w:t>
      </w:r>
      <w:r>
        <w:rPr>
          <w:spacing w:val="-9"/>
        </w:rPr>
        <w:t xml:space="preserve"> </w:t>
      </w:r>
      <w:r>
        <w:rPr>
          <w:spacing w:val="-2"/>
        </w:rPr>
        <w:t>there</w:t>
      </w:r>
      <w:r>
        <w:rPr>
          <w:spacing w:val="-9"/>
        </w:rPr>
        <w:t xml:space="preserve"> </w:t>
      </w:r>
      <w:r>
        <w:rPr>
          <w:spacing w:val="-2"/>
        </w:rPr>
        <w:t>is</w:t>
      </w:r>
      <w:r>
        <w:rPr>
          <w:spacing w:val="-9"/>
        </w:rPr>
        <w:t xml:space="preserve"> </w:t>
      </w:r>
      <w:r>
        <w:rPr>
          <w:spacing w:val="-2"/>
        </w:rPr>
        <w:t>not</w:t>
      </w:r>
      <w:r>
        <w:rPr>
          <w:spacing w:val="-9"/>
        </w:rPr>
        <w:t xml:space="preserve"> </w:t>
      </w:r>
      <w:r>
        <w:rPr>
          <w:spacing w:val="-2"/>
        </w:rPr>
        <w:t>a</w:t>
      </w:r>
      <w:r>
        <w:rPr>
          <w:spacing w:val="-9"/>
        </w:rPr>
        <w:t xml:space="preserve"> </w:t>
      </w:r>
      <w:r>
        <w:rPr>
          <w:spacing w:val="-2"/>
        </w:rPr>
        <w:t>compelling</w:t>
      </w:r>
      <w:r>
        <w:rPr>
          <w:spacing w:val="-9"/>
        </w:rPr>
        <w:t xml:space="preserve"> </w:t>
      </w:r>
      <w:r>
        <w:rPr>
          <w:spacing w:val="-2"/>
        </w:rPr>
        <w:t xml:space="preserve">case </w:t>
      </w:r>
      <w:r>
        <w:t>that</w:t>
      </w:r>
      <w:r>
        <w:rPr>
          <w:spacing w:val="-14"/>
        </w:rPr>
        <w:t xml:space="preserve"> </w:t>
      </w:r>
      <w:r>
        <w:t>road</w:t>
      </w:r>
      <w:r>
        <w:rPr>
          <w:spacing w:val="-14"/>
        </w:rPr>
        <w:t xml:space="preserve"> </w:t>
      </w:r>
      <w:r>
        <w:t>freight</w:t>
      </w:r>
      <w:r>
        <w:rPr>
          <w:spacing w:val="-14"/>
        </w:rPr>
        <w:t xml:space="preserve"> </w:t>
      </w:r>
      <w:r>
        <w:t>be</w:t>
      </w:r>
      <w:r>
        <w:rPr>
          <w:spacing w:val="-14"/>
        </w:rPr>
        <w:t xml:space="preserve"> </w:t>
      </w:r>
      <w:r>
        <w:t>subsidised</w:t>
      </w:r>
      <w:r>
        <w:rPr>
          <w:spacing w:val="-14"/>
        </w:rPr>
        <w:t xml:space="preserve"> </w:t>
      </w:r>
      <w:r>
        <w:t>relative</w:t>
      </w:r>
      <w:r>
        <w:rPr>
          <w:spacing w:val="-14"/>
        </w:rPr>
        <w:t xml:space="preserve"> </w:t>
      </w:r>
      <w:r>
        <w:t>to</w:t>
      </w:r>
      <w:r>
        <w:rPr>
          <w:spacing w:val="-14"/>
        </w:rPr>
        <w:t xml:space="preserve"> </w:t>
      </w:r>
      <w:r>
        <w:t>rail,</w:t>
      </w:r>
      <w:r>
        <w:rPr>
          <w:spacing w:val="-14"/>
        </w:rPr>
        <w:t xml:space="preserve"> </w:t>
      </w:r>
      <w:r>
        <w:t xml:space="preserve">even </w:t>
      </w:r>
      <w:r>
        <w:rPr>
          <w:spacing w:val="-2"/>
        </w:rPr>
        <w:t>accounting</w:t>
      </w:r>
      <w:r>
        <w:rPr>
          <w:spacing w:val="-6"/>
        </w:rPr>
        <w:t xml:space="preserve"> </w:t>
      </w:r>
      <w:r>
        <w:rPr>
          <w:spacing w:val="-2"/>
        </w:rPr>
        <w:t>for</w:t>
      </w:r>
      <w:r>
        <w:rPr>
          <w:spacing w:val="-6"/>
        </w:rPr>
        <w:t xml:space="preserve"> </w:t>
      </w:r>
      <w:r>
        <w:rPr>
          <w:spacing w:val="-2"/>
        </w:rPr>
        <w:t>externalities.</w:t>
      </w:r>
      <w:r>
        <w:rPr>
          <w:spacing w:val="-6"/>
        </w:rPr>
        <w:t xml:space="preserve"> </w:t>
      </w:r>
      <w:r>
        <w:rPr>
          <w:spacing w:val="-2"/>
        </w:rPr>
        <w:t>Road</w:t>
      </w:r>
      <w:r>
        <w:rPr>
          <w:spacing w:val="-6"/>
        </w:rPr>
        <w:t xml:space="preserve"> </w:t>
      </w:r>
      <w:r>
        <w:rPr>
          <w:spacing w:val="-2"/>
        </w:rPr>
        <w:t>freight</w:t>
      </w:r>
      <w:r>
        <w:rPr>
          <w:spacing w:val="-6"/>
        </w:rPr>
        <w:t xml:space="preserve"> </w:t>
      </w:r>
      <w:r>
        <w:rPr>
          <w:spacing w:val="-2"/>
        </w:rPr>
        <w:t>also</w:t>
      </w:r>
      <w:r>
        <w:rPr>
          <w:spacing w:val="-6"/>
        </w:rPr>
        <w:t xml:space="preserve"> </w:t>
      </w:r>
      <w:r>
        <w:rPr>
          <w:spacing w:val="-2"/>
        </w:rPr>
        <w:t xml:space="preserve">benefits </w:t>
      </w:r>
      <w:r>
        <w:rPr>
          <w:w w:val="95"/>
        </w:rPr>
        <w:t xml:space="preserve">from inherent cost and service quality advantages over </w:t>
      </w:r>
      <w:r>
        <w:t>rail</w:t>
      </w:r>
      <w:r>
        <w:rPr>
          <w:spacing w:val="-11"/>
        </w:rPr>
        <w:t xml:space="preserve"> </w:t>
      </w:r>
      <w:r>
        <w:t>as</w:t>
      </w:r>
      <w:r>
        <w:rPr>
          <w:spacing w:val="-11"/>
        </w:rPr>
        <w:t xml:space="preserve"> </w:t>
      </w:r>
      <w:r>
        <w:t>costs</w:t>
      </w:r>
      <w:r>
        <w:rPr>
          <w:spacing w:val="-11"/>
        </w:rPr>
        <w:t xml:space="preserve"> </w:t>
      </w:r>
      <w:r>
        <w:t>can</w:t>
      </w:r>
      <w:r>
        <w:rPr>
          <w:spacing w:val="-11"/>
        </w:rPr>
        <w:t xml:space="preserve"> </w:t>
      </w:r>
      <w:r>
        <w:t>be</w:t>
      </w:r>
      <w:r>
        <w:rPr>
          <w:spacing w:val="-11"/>
        </w:rPr>
        <w:t xml:space="preserve"> </w:t>
      </w:r>
      <w:r>
        <w:t>shared</w:t>
      </w:r>
      <w:r>
        <w:rPr>
          <w:spacing w:val="-11"/>
        </w:rPr>
        <w:t xml:space="preserve"> </w:t>
      </w:r>
      <w:r>
        <w:t>with</w:t>
      </w:r>
      <w:r>
        <w:rPr>
          <w:spacing w:val="-11"/>
        </w:rPr>
        <w:t xml:space="preserve"> </w:t>
      </w:r>
      <w:r>
        <w:t>the</w:t>
      </w:r>
      <w:r>
        <w:rPr>
          <w:spacing w:val="-11"/>
        </w:rPr>
        <w:t xml:space="preserve"> </w:t>
      </w:r>
      <w:r>
        <w:t>dominant</w:t>
      </w:r>
      <w:r>
        <w:rPr>
          <w:spacing w:val="-11"/>
        </w:rPr>
        <w:t xml:space="preserve"> </w:t>
      </w:r>
      <w:r>
        <w:t>user,</w:t>
      </w:r>
    </w:p>
    <w:p w:rsidR="002C1123" w:rsidRDefault="00F22F94">
      <w:pPr>
        <w:pStyle w:val="BodyText"/>
        <w:spacing w:before="7"/>
        <w:ind w:left="195"/>
      </w:pPr>
      <w:r>
        <w:rPr>
          <w:spacing w:val="-2"/>
          <w:w w:val="90"/>
        </w:rPr>
        <w:t>i.e.</w:t>
      </w:r>
      <w:r>
        <w:rPr>
          <w:spacing w:val="-3"/>
          <w:w w:val="90"/>
        </w:rPr>
        <w:t xml:space="preserve"> </w:t>
      </w:r>
      <w:r>
        <w:rPr>
          <w:spacing w:val="-2"/>
          <w:w w:val="95"/>
        </w:rPr>
        <w:t>passengers</w:t>
      </w:r>
      <w:r>
        <w:rPr>
          <w:spacing w:val="-2"/>
          <w:w w:val="95"/>
          <w:position w:val="7"/>
          <w:sz w:val="11"/>
        </w:rPr>
        <w:t>36</w:t>
      </w:r>
      <w:r>
        <w:rPr>
          <w:spacing w:val="-2"/>
          <w:w w:val="95"/>
        </w:rPr>
        <w:t>.</w:t>
      </w:r>
    </w:p>
    <w:p w:rsidR="002C1123" w:rsidRDefault="00F22F94">
      <w:pPr>
        <w:pStyle w:val="Heading6"/>
        <w:spacing w:before="151"/>
        <w:ind w:left="195"/>
      </w:pPr>
      <w:r>
        <w:t>Major</w:t>
      </w:r>
      <w:r>
        <w:rPr>
          <w:spacing w:val="-6"/>
        </w:rPr>
        <w:t xml:space="preserve"> </w:t>
      </w:r>
      <w:r>
        <w:t>investment</w:t>
      </w:r>
      <w:r>
        <w:rPr>
          <w:spacing w:val="-6"/>
        </w:rPr>
        <w:t xml:space="preserve"> </w:t>
      </w:r>
      <w:r>
        <w:rPr>
          <w:spacing w:val="-2"/>
        </w:rPr>
        <w:t>programs</w:t>
      </w:r>
    </w:p>
    <w:p w:rsidR="002C1123" w:rsidRDefault="00F22F94">
      <w:pPr>
        <w:pStyle w:val="BodyText"/>
        <w:spacing w:before="10" w:line="249" w:lineRule="auto"/>
        <w:ind w:left="195" w:right="359"/>
      </w:pPr>
      <w:r>
        <w:rPr>
          <w:w w:val="95"/>
        </w:rPr>
        <w:t>A</w:t>
      </w:r>
      <w:r>
        <w:rPr>
          <w:spacing w:val="-8"/>
          <w:w w:val="95"/>
        </w:rPr>
        <w:t xml:space="preserve"> </w:t>
      </w:r>
      <w:r>
        <w:rPr>
          <w:w w:val="95"/>
        </w:rPr>
        <w:t>number</w:t>
      </w:r>
      <w:r>
        <w:rPr>
          <w:spacing w:val="-8"/>
          <w:w w:val="95"/>
        </w:rPr>
        <w:t xml:space="preserve"> </w:t>
      </w:r>
      <w:r>
        <w:rPr>
          <w:w w:val="95"/>
        </w:rPr>
        <w:t>of</w:t>
      </w:r>
      <w:r>
        <w:rPr>
          <w:spacing w:val="-8"/>
          <w:w w:val="95"/>
        </w:rPr>
        <w:t xml:space="preserve"> </w:t>
      </w:r>
      <w:r>
        <w:rPr>
          <w:w w:val="95"/>
        </w:rPr>
        <w:t>major</w:t>
      </w:r>
      <w:r>
        <w:rPr>
          <w:spacing w:val="-8"/>
          <w:w w:val="95"/>
        </w:rPr>
        <w:t xml:space="preserve"> </w:t>
      </w:r>
      <w:r>
        <w:rPr>
          <w:w w:val="95"/>
        </w:rPr>
        <w:t>rail</w:t>
      </w:r>
      <w:r>
        <w:rPr>
          <w:spacing w:val="-8"/>
          <w:w w:val="95"/>
        </w:rPr>
        <w:t xml:space="preserve"> </w:t>
      </w:r>
      <w:r>
        <w:rPr>
          <w:w w:val="95"/>
        </w:rPr>
        <w:t>freight</w:t>
      </w:r>
      <w:r>
        <w:rPr>
          <w:spacing w:val="-8"/>
          <w:w w:val="95"/>
        </w:rPr>
        <w:t xml:space="preserve"> </w:t>
      </w:r>
      <w:r>
        <w:rPr>
          <w:w w:val="95"/>
        </w:rPr>
        <w:t>infrastructure</w:t>
      </w:r>
      <w:r>
        <w:rPr>
          <w:spacing w:val="-8"/>
          <w:w w:val="95"/>
        </w:rPr>
        <w:t xml:space="preserve"> </w:t>
      </w:r>
      <w:r>
        <w:rPr>
          <w:w w:val="95"/>
        </w:rPr>
        <w:t>projects</w:t>
      </w:r>
      <w:r>
        <w:rPr>
          <w:spacing w:val="-8"/>
          <w:w w:val="95"/>
        </w:rPr>
        <w:t xml:space="preserve"> </w:t>
      </w:r>
      <w:r>
        <w:rPr>
          <w:w w:val="95"/>
        </w:rPr>
        <w:t xml:space="preserve">have </w:t>
      </w:r>
      <w:r>
        <w:t>been</w:t>
      </w:r>
      <w:r>
        <w:rPr>
          <w:spacing w:val="-6"/>
        </w:rPr>
        <w:t xml:space="preserve"> </w:t>
      </w:r>
      <w:r>
        <w:t>suggested</w:t>
      </w:r>
      <w:r>
        <w:rPr>
          <w:spacing w:val="-6"/>
        </w:rPr>
        <w:t xml:space="preserve"> </w:t>
      </w:r>
      <w:r>
        <w:t>in</w:t>
      </w:r>
      <w:r>
        <w:rPr>
          <w:spacing w:val="-6"/>
        </w:rPr>
        <w:t xml:space="preserve"> </w:t>
      </w:r>
      <w:r>
        <w:t>recent</w:t>
      </w:r>
      <w:r>
        <w:rPr>
          <w:spacing w:val="-6"/>
        </w:rPr>
        <w:t xml:space="preserve"> </w:t>
      </w:r>
      <w:r>
        <w:t>years</w:t>
      </w:r>
      <w:r>
        <w:rPr>
          <w:spacing w:val="-6"/>
        </w:rPr>
        <w:t xml:space="preserve"> </w:t>
      </w:r>
      <w:r>
        <w:t>including:</w:t>
      </w:r>
    </w:p>
    <w:p w:rsidR="002C1123" w:rsidRDefault="00F22F94">
      <w:pPr>
        <w:pStyle w:val="ListParagraph"/>
        <w:numPr>
          <w:ilvl w:val="3"/>
          <w:numId w:val="66"/>
        </w:numPr>
        <w:tabs>
          <w:tab w:val="left" w:pos="480"/>
        </w:tabs>
        <w:spacing w:before="131" w:line="249" w:lineRule="auto"/>
        <w:ind w:right="972"/>
        <w:rPr>
          <w:sz w:val="20"/>
        </w:rPr>
      </w:pPr>
      <w:r>
        <w:rPr>
          <w:w w:val="95"/>
          <w:sz w:val="20"/>
        </w:rPr>
        <w:t>Creation</w:t>
      </w:r>
      <w:r>
        <w:rPr>
          <w:spacing w:val="-7"/>
          <w:w w:val="95"/>
          <w:sz w:val="20"/>
        </w:rPr>
        <w:t xml:space="preserve"> </w:t>
      </w:r>
      <w:r>
        <w:rPr>
          <w:w w:val="95"/>
          <w:sz w:val="20"/>
        </w:rPr>
        <w:t>of</w:t>
      </w:r>
      <w:r>
        <w:rPr>
          <w:spacing w:val="-7"/>
          <w:w w:val="95"/>
          <w:sz w:val="20"/>
        </w:rPr>
        <w:t xml:space="preserve"> </w:t>
      </w:r>
      <w:r>
        <w:rPr>
          <w:w w:val="95"/>
          <w:sz w:val="20"/>
        </w:rPr>
        <w:t>an</w:t>
      </w:r>
      <w:r>
        <w:rPr>
          <w:spacing w:val="-7"/>
          <w:w w:val="95"/>
          <w:sz w:val="20"/>
        </w:rPr>
        <w:t xml:space="preserve"> </w:t>
      </w:r>
      <w:r>
        <w:rPr>
          <w:w w:val="95"/>
          <w:sz w:val="20"/>
        </w:rPr>
        <w:t>inland</w:t>
      </w:r>
      <w:r>
        <w:rPr>
          <w:spacing w:val="-7"/>
          <w:w w:val="95"/>
          <w:sz w:val="20"/>
        </w:rPr>
        <w:t xml:space="preserve"> </w:t>
      </w:r>
      <w:r>
        <w:rPr>
          <w:w w:val="95"/>
          <w:sz w:val="20"/>
        </w:rPr>
        <w:t>rail</w:t>
      </w:r>
      <w:r>
        <w:rPr>
          <w:spacing w:val="-7"/>
          <w:w w:val="95"/>
          <w:sz w:val="20"/>
        </w:rPr>
        <w:t xml:space="preserve"> </w:t>
      </w:r>
      <w:r>
        <w:rPr>
          <w:w w:val="95"/>
          <w:sz w:val="20"/>
        </w:rPr>
        <w:t>route</w:t>
      </w:r>
      <w:r>
        <w:rPr>
          <w:spacing w:val="-7"/>
          <w:w w:val="95"/>
          <w:sz w:val="20"/>
        </w:rPr>
        <w:t xml:space="preserve"> </w:t>
      </w:r>
      <w:r>
        <w:rPr>
          <w:w w:val="95"/>
          <w:sz w:val="20"/>
        </w:rPr>
        <w:t>between</w:t>
      </w:r>
      <w:r>
        <w:rPr>
          <w:spacing w:val="-7"/>
          <w:w w:val="95"/>
          <w:sz w:val="20"/>
        </w:rPr>
        <w:t xml:space="preserve"> </w:t>
      </w:r>
      <w:r>
        <w:rPr>
          <w:w w:val="95"/>
          <w:sz w:val="20"/>
        </w:rPr>
        <w:t xml:space="preserve">Melbourne </w:t>
      </w:r>
      <w:r>
        <w:rPr>
          <w:sz w:val="20"/>
        </w:rPr>
        <w:t>and Brisbane via NSW</w:t>
      </w:r>
    </w:p>
    <w:p w:rsidR="002C1123" w:rsidRDefault="002060EF">
      <w:pPr>
        <w:pStyle w:val="BodyText"/>
        <w:spacing w:before="6"/>
        <w:rPr>
          <w:sz w:val="28"/>
        </w:rPr>
      </w:pPr>
      <w:r>
        <w:pict>
          <v:shape id="docshape1931" o:spid="_x0000_s3151" style="position:absolute;margin-left:552.3pt;margin-top:17.65pt;width:1in;height:.1pt;z-index:-251346944;mso-wrap-distance-left:0;mso-wrap-distance-right:0;mso-position-horizontal-relative:page" coordorigin="11046,353" coordsize="1440,0" path="m11046,353r1440,e" filled="f" strokecolor="#9c9c9d" strokeweight=".5pt">
            <v:path arrowok="t"/>
            <w10:wrap type="topAndBottom" anchorx="page"/>
          </v:shape>
        </w:pict>
      </w:r>
    </w:p>
    <w:p w:rsidR="002C1123" w:rsidRDefault="00F22F94">
      <w:pPr>
        <w:pStyle w:val="ListParagraph"/>
        <w:numPr>
          <w:ilvl w:val="0"/>
          <w:numId w:val="73"/>
        </w:numPr>
        <w:tabs>
          <w:tab w:val="left" w:pos="395"/>
        </w:tabs>
        <w:spacing w:before="23"/>
        <w:ind w:left="394" w:hanging="200"/>
        <w:jc w:val="left"/>
        <w:rPr>
          <w:sz w:val="14"/>
        </w:rPr>
      </w:pPr>
      <w:r>
        <w:rPr>
          <w:w w:val="90"/>
          <w:sz w:val="14"/>
        </w:rPr>
        <w:t>Productivity</w:t>
      </w:r>
      <w:r>
        <w:rPr>
          <w:spacing w:val="18"/>
          <w:sz w:val="14"/>
        </w:rPr>
        <w:t xml:space="preserve"> </w:t>
      </w:r>
      <w:r>
        <w:rPr>
          <w:w w:val="90"/>
          <w:sz w:val="14"/>
        </w:rPr>
        <w:t>Commission</w:t>
      </w:r>
      <w:r>
        <w:rPr>
          <w:spacing w:val="19"/>
          <w:sz w:val="14"/>
        </w:rPr>
        <w:t xml:space="preserve"> </w:t>
      </w:r>
      <w:r>
        <w:rPr>
          <w:w w:val="90"/>
          <w:sz w:val="14"/>
        </w:rPr>
        <w:t>2006,</w:t>
      </w:r>
      <w:r>
        <w:rPr>
          <w:spacing w:val="18"/>
          <w:sz w:val="14"/>
        </w:rPr>
        <w:t xml:space="preserve"> </w:t>
      </w:r>
      <w:r>
        <w:rPr>
          <w:w w:val="90"/>
          <w:sz w:val="14"/>
        </w:rPr>
        <w:t>Road</w:t>
      </w:r>
      <w:r>
        <w:rPr>
          <w:spacing w:val="19"/>
          <w:sz w:val="14"/>
        </w:rPr>
        <w:t xml:space="preserve"> </w:t>
      </w:r>
      <w:r>
        <w:rPr>
          <w:w w:val="90"/>
          <w:sz w:val="14"/>
        </w:rPr>
        <w:t>and</w:t>
      </w:r>
      <w:r>
        <w:rPr>
          <w:spacing w:val="18"/>
          <w:sz w:val="14"/>
        </w:rPr>
        <w:t xml:space="preserve"> </w:t>
      </w:r>
      <w:r>
        <w:rPr>
          <w:w w:val="90"/>
          <w:sz w:val="14"/>
        </w:rPr>
        <w:t>Rail</w:t>
      </w:r>
      <w:r>
        <w:rPr>
          <w:spacing w:val="19"/>
          <w:sz w:val="14"/>
        </w:rPr>
        <w:t xml:space="preserve"> </w:t>
      </w:r>
      <w:r>
        <w:rPr>
          <w:w w:val="90"/>
          <w:sz w:val="14"/>
        </w:rPr>
        <w:t>Freight</w:t>
      </w:r>
      <w:r>
        <w:rPr>
          <w:spacing w:val="18"/>
          <w:sz w:val="14"/>
        </w:rPr>
        <w:t xml:space="preserve"> </w:t>
      </w:r>
      <w:r>
        <w:rPr>
          <w:w w:val="90"/>
          <w:sz w:val="14"/>
        </w:rPr>
        <w:t>Infrastructure</w:t>
      </w:r>
      <w:r>
        <w:rPr>
          <w:spacing w:val="19"/>
          <w:sz w:val="14"/>
        </w:rPr>
        <w:t xml:space="preserve"> </w:t>
      </w:r>
      <w:r>
        <w:rPr>
          <w:spacing w:val="-2"/>
          <w:w w:val="90"/>
          <w:sz w:val="14"/>
        </w:rPr>
        <w:t>Pricing.</w:t>
      </w:r>
    </w:p>
    <w:p w:rsidR="002C1123" w:rsidRDefault="002C1123">
      <w:pPr>
        <w:rPr>
          <w:sz w:val="14"/>
        </w:rPr>
        <w:sectPr w:rsidR="002C1123">
          <w:type w:val="continuous"/>
          <w:pgSz w:w="16840" w:h="11910" w:orient="landscape"/>
          <w:pgMar w:top="560" w:right="280" w:bottom="280" w:left="500" w:header="0" w:footer="517" w:gutter="0"/>
          <w:cols w:num="3" w:space="720" w:equalWidth="0">
            <w:col w:w="5291" w:space="40"/>
            <w:col w:w="4980" w:space="39"/>
            <w:col w:w="5710"/>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ListParagraph"/>
        <w:numPr>
          <w:ilvl w:val="1"/>
          <w:numId w:val="73"/>
        </w:numPr>
        <w:tabs>
          <w:tab w:val="left" w:pos="776"/>
        </w:tabs>
        <w:spacing w:before="93" w:line="249" w:lineRule="auto"/>
        <w:ind w:right="245"/>
        <w:rPr>
          <w:rFonts w:ascii="Tahoma" w:hAnsi="Tahoma"/>
          <w:sz w:val="20"/>
        </w:rPr>
      </w:pPr>
      <w:bookmarkStart w:id="292" w:name="_bookmark208"/>
      <w:bookmarkEnd w:id="292"/>
      <w:r>
        <w:rPr>
          <w:sz w:val="20"/>
        </w:rPr>
        <w:t>The</w:t>
      </w:r>
      <w:r>
        <w:rPr>
          <w:spacing w:val="-14"/>
          <w:sz w:val="20"/>
        </w:rPr>
        <w:t xml:space="preserve"> </w:t>
      </w:r>
      <w:r>
        <w:rPr>
          <w:sz w:val="20"/>
        </w:rPr>
        <w:t>Northern</w:t>
      </w:r>
      <w:r>
        <w:rPr>
          <w:spacing w:val="-14"/>
          <w:sz w:val="20"/>
        </w:rPr>
        <w:t xml:space="preserve"> </w:t>
      </w:r>
      <w:r>
        <w:rPr>
          <w:sz w:val="20"/>
        </w:rPr>
        <w:t>Sydney</w:t>
      </w:r>
      <w:r>
        <w:rPr>
          <w:spacing w:val="-14"/>
          <w:sz w:val="20"/>
        </w:rPr>
        <w:t xml:space="preserve"> </w:t>
      </w:r>
      <w:r>
        <w:rPr>
          <w:sz w:val="20"/>
        </w:rPr>
        <w:t>Freight</w:t>
      </w:r>
      <w:r>
        <w:rPr>
          <w:spacing w:val="-14"/>
          <w:sz w:val="20"/>
        </w:rPr>
        <w:t xml:space="preserve"> </w:t>
      </w:r>
      <w:r>
        <w:rPr>
          <w:sz w:val="20"/>
        </w:rPr>
        <w:t>Corridor</w:t>
      </w:r>
      <w:r>
        <w:rPr>
          <w:spacing w:val="-14"/>
          <w:sz w:val="20"/>
        </w:rPr>
        <w:t xml:space="preserve"> </w:t>
      </w:r>
      <w:r>
        <w:rPr>
          <w:sz w:val="20"/>
        </w:rPr>
        <w:t xml:space="preserve">program, </w:t>
      </w:r>
      <w:r>
        <w:rPr>
          <w:w w:val="95"/>
          <w:sz w:val="20"/>
        </w:rPr>
        <w:t>intended</w:t>
      </w:r>
      <w:r>
        <w:rPr>
          <w:spacing w:val="-2"/>
          <w:w w:val="95"/>
          <w:sz w:val="20"/>
        </w:rPr>
        <w:t xml:space="preserve"> </w:t>
      </w:r>
      <w:r>
        <w:rPr>
          <w:w w:val="95"/>
          <w:sz w:val="20"/>
        </w:rPr>
        <w:t>to</w:t>
      </w:r>
      <w:r>
        <w:rPr>
          <w:spacing w:val="-2"/>
          <w:w w:val="95"/>
          <w:sz w:val="20"/>
        </w:rPr>
        <w:t xml:space="preserve"> </w:t>
      </w:r>
      <w:r>
        <w:rPr>
          <w:w w:val="95"/>
          <w:sz w:val="20"/>
        </w:rPr>
        <w:t>reduce</w:t>
      </w:r>
      <w:r>
        <w:rPr>
          <w:spacing w:val="-2"/>
          <w:w w:val="95"/>
          <w:sz w:val="20"/>
        </w:rPr>
        <w:t xml:space="preserve"> </w:t>
      </w:r>
      <w:r>
        <w:rPr>
          <w:w w:val="95"/>
          <w:sz w:val="20"/>
        </w:rPr>
        <w:t>constraints</w:t>
      </w:r>
      <w:r>
        <w:rPr>
          <w:spacing w:val="-2"/>
          <w:w w:val="95"/>
          <w:sz w:val="20"/>
        </w:rPr>
        <w:t xml:space="preserve"> </w:t>
      </w:r>
      <w:r>
        <w:rPr>
          <w:w w:val="95"/>
          <w:sz w:val="20"/>
        </w:rPr>
        <w:t>on</w:t>
      </w:r>
      <w:r>
        <w:rPr>
          <w:spacing w:val="-2"/>
          <w:w w:val="95"/>
          <w:sz w:val="20"/>
        </w:rPr>
        <w:t xml:space="preserve"> </w:t>
      </w:r>
      <w:r>
        <w:rPr>
          <w:w w:val="95"/>
          <w:sz w:val="20"/>
        </w:rPr>
        <w:t>the</w:t>
      </w:r>
      <w:r>
        <w:rPr>
          <w:spacing w:val="-2"/>
          <w:w w:val="95"/>
          <w:sz w:val="20"/>
        </w:rPr>
        <w:t xml:space="preserve"> </w:t>
      </w:r>
      <w:r>
        <w:rPr>
          <w:w w:val="95"/>
          <w:sz w:val="20"/>
        </w:rPr>
        <w:t>rail</w:t>
      </w:r>
      <w:r>
        <w:rPr>
          <w:spacing w:val="-2"/>
          <w:w w:val="95"/>
          <w:sz w:val="20"/>
        </w:rPr>
        <w:t xml:space="preserve"> </w:t>
      </w:r>
      <w:r>
        <w:rPr>
          <w:w w:val="95"/>
          <w:sz w:val="20"/>
        </w:rPr>
        <w:t xml:space="preserve">network </w:t>
      </w:r>
      <w:r>
        <w:rPr>
          <w:sz w:val="20"/>
        </w:rPr>
        <w:t>between Sydney and Newcastle and support Sydney–Brisbane freight movements.</w:t>
      </w:r>
    </w:p>
    <w:p w:rsidR="002C1123" w:rsidRDefault="00F22F94">
      <w:pPr>
        <w:pStyle w:val="BodyText"/>
        <w:spacing w:before="117" w:line="249" w:lineRule="auto"/>
        <w:ind w:left="492" w:right="246"/>
      </w:pPr>
      <w:r>
        <w:rPr>
          <w:w w:val="95"/>
        </w:rPr>
        <w:t>The rationale for these programs is based upon the assumption</w:t>
      </w:r>
      <w:r>
        <w:rPr>
          <w:spacing w:val="-5"/>
          <w:w w:val="95"/>
        </w:rPr>
        <w:t xml:space="preserve"> </w:t>
      </w:r>
      <w:r>
        <w:rPr>
          <w:w w:val="95"/>
        </w:rPr>
        <w:t>of</w:t>
      </w:r>
      <w:r>
        <w:rPr>
          <w:spacing w:val="-5"/>
          <w:w w:val="95"/>
        </w:rPr>
        <w:t xml:space="preserve"> </w:t>
      </w:r>
      <w:r>
        <w:rPr>
          <w:w w:val="95"/>
        </w:rPr>
        <w:t>substantial</w:t>
      </w:r>
      <w:r>
        <w:rPr>
          <w:spacing w:val="-5"/>
          <w:w w:val="95"/>
        </w:rPr>
        <w:t xml:space="preserve"> </w:t>
      </w:r>
      <w:r>
        <w:rPr>
          <w:w w:val="95"/>
        </w:rPr>
        <w:t>modal</w:t>
      </w:r>
      <w:r>
        <w:rPr>
          <w:spacing w:val="-5"/>
          <w:w w:val="95"/>
        </w:rPr>
        <w:t xml:space="preserve"> </w:t>
      </w:r>
      <w:r>
        <w:rPr>
          <w:w w:val="95"/>
        </w:rPr>
        <w:t>shift</w:t>
      </w:r>
      <w:r>
        <w:rPr>
          <w:spacing w:val="-5"/>
          <w:w w:val="95"/>
        </w:rPr>
        <w:t xml:space="preserve"> </w:t>
      </w:r>
      <w:r>
        <w:rPr>
          <w:w w:val="95"/>
        </w:rPr>
        <w:t>to</w:t>
      </w:r>
      <w:r>
        <w:rPr>
          <w:spacing w:val="-5"/>
          <w:w w:val="95"/>
        </w:rPr>
        <w:t xml:space="preserve"> </w:t>
      </w:r>
      <w:r>
        <w:rPr>
          <w:w w:val="95"/>
        </w:rPr>
        <w:t>rail,</w:t>
      </w:r>
      <w:r>
        <w:rPr>
          <w:spacing w:val="-5"/>
          <w:w w:val="95"/>
        </w:rPr>
        <w:t xml:space="preserve"> </w:t>
      </w:r>
      <w:r>
        <w:rPr>
          <w:w w:val="95"/>
        </w:rPr>
        <w:t xml:space="preserve">leading </w:t>
      </w:r>
      <w:r>
        <w:t>to</w:t>
      </w:r>
      <w:r>
        <w:rPr>
          <w:spacing w:val="-4"/>
        </w:rPr>
        <w:t xml:space="preserve"> </w:t>
      </w:r>
      <w:r>
        <w:t>overall</w:t>
      </w:r>
      <w:r>
        <w:rPr>
          <w:spacing w:val="-4"/>
        </w:rPr>
        <w:t xml:space="preserve"> </w:t>
      </w:r>
      <w:r>
        <w:t>economic</w:t>
      </w:r>
      <w:r>
        <w:rPr>
          <w:spacing w:val="-4"/>
        </w:rPr>
        <w:t xml:space="preserve"> </w:t>
      </w:r>
      <w:r>
        <w:t>benefit</w:t>
      </w:r>
      <w:r>
        <w:rPr>
          <w:spacing w:val="-4"/>
        </w:rPr>
        <w:t xml:space="preserve"> </w:t>
      </w:r>
      <w:r>
        <w:t>through</w:t>
      </w:r>
      <w:r>
        <w:rPr>
          <w:spacing w:val="-4"/>
        </w:rPr>
        <w:t xml:space="preserve"> </w:t>
      </w:r>
      <w:r>
        <w:t xml:space="preserve">productivity </w:t>
      </w:r>
      <w:r>
        <w:rPr>
          <w:w w:val="95"/>
        </w:rPr>
        <w:t xml:space="preserve">improvements. However, the absence of significant </w:t>
      </w:r>
      <w:r>
        <w:t>congestion</w:t>
      </w:r>
      <w:r>
        <w:rPr>
          <w:spacing w:val="-7"/>
        </w:rPr>
        <w:t xml:space="preserve"> </w:t>
      </w:r>
      <w:r>
        <w:t>constraints</w:t>
      </w:r>
      <w:r>
        <w:rPr>
          <w:spacing w:val="-7"/>
        </w:rPr>
        <w:t xml:space="preserve"> </w:t>
      </w:r>
      <w:r>
        <w:t>on</w:t>
      </w:r>
      <w:r>
        <w:rPr>
          <w:spacing w:val="-7"/>
        </w:rPr>
        <w:t xml:space="preserve"> </w:t>
      </w:r>
      <w:r>
        <w:t>much</w:t>
      </w:r>
      <w:r>
        <w:rPr>
          <w:spacing w:val="-7"/>
        </w:rPr>
        <w:t xml:space="preserve"> </w:t>
      </w:r>
      <w:r>
        <w:t>of</w:t>
      </w:r>
      <w:r>
        <w:rPr>
          <w:spacing w:val="-7"/>
        </w:rPr>
        <w:t xml:space="preserve"> </w:t>
      </w:r>
      <w:r>
        <w:t>the</w:t>
      </w:r>
      <w:r>
        <w:rPr>
          <w:spacing w:val="-7"/>
        </w:rPr>
        <w:t xml:space="preserve"> </w:t>
      </w:r>
      <w:r>
        <w:t>interstate</w:t>
      </w:r>
    </w:p>
    <w:p w:rsidR="002C1123" w:rsidRDefault="00F22F94">
      <w:pPr>
        <w:pStyle w:val="BodyText"/>
        <w:spacing w:before="4" w:line="249" w:lineRule="auto"/>
        <w:ind w:left="492"/>
      </w:pPr>
      <w:r>
        <w:rPr>
          <w:w w:val="95"/>
        </w:rPr>
        <w:t>highway</w:t>
      </w:r>
      <w:r>
        <w:rPr>
          <w:spacing w:val="-3"/>
          <w:w w:val="95"/>
        </w:rPr>
        <w:t xml:space="preserve"> </w:t>
      </w:r>
      <w:r>
        <w:rPr>
          <w:w w:val="95"/>
        </w:rPr>
        <w:t>networks</w:t>
      </w:r>
      <w:r>
        <w:rPr>
          <w:spacing w:val="-3"/>
          <w:w w:val="95"/>
        </w:rPr>
        <w:t xml:space="preserve"> </w:t>
      </w:r>
      <w:r>
        <w:rPr>
          <w:w w:val="95"/>
        </w:rPr>
        <w:t>would</w:t>
      </w:r>
      <w:r>
        <w:rPr>
          <w:spacing w:val="-3"/>
          <w:w w:val="95"/>
        </w:rPr>
        <w:t xml:space="preserve"> </w:t>
      </w:r>
      <w:r>
        <w:rPr>
          <w:w w:val="95"/>
        </w:rPr>
        <w:t>appear</w:t>
      </w:r>
      <w:r>
        <w:rPr>
          <w:spacing w:val="-3"/>
          <w:w w:val="95"/>
        </w:rPr>
        <w:t xml:space="preserve"> </w:t>
      </w:r>
      <w:r>
        <w:rPr>
          <w:w w:val="95"/>
        </w:rPr>
        <w:t>to</w:t>
      </w:r>
      <w:r>
        <w:rPr>
          <w:spacing w:val="-3"/>
          <w:w w:val="95"/>
        </w:rPr>
        <w:t xml:space="preserve"> </w:t>
      </w:r>
      <w:r>
        <w:rPr>
          <w:w w:val="95"/>
        </w:rPr>
        <w:t>lessen</w:t>
      </w:r>
      <w:r>
        <w:rPr>
          <w:spacing w:val="-3"/>
          <w:w w:val="95"/>
        </w:rPr>
        <w:t xml:space="preserve"> </w:t>
      </w:r>
      <w:r>
        <w:rPr>
          <w:w w:val="95"/>
        </w:rPr>
        <w:t>the</w:t>
      </w:r>
      <w:r>
        <w:rPr>
          <w:spacing w:val="-3"/>
          <w:w w:val="95"/>
        </w:rPr>
        <w:t xml:space="preserve"> </w:t>
      </w:r>
      <w:r>
        <w:rPr>
          <w:w w:val="95"/>
        </w:rPr>
        <w:t>case</w:t>
      </w:r>
      <w:r>
        <w:rPr>
          <w:spacing w:val="-3"/>
          <w:w w:val="95"/>
        </w:rPr>
        <w:t xml:space="preserve"> </w:t>
      </w:r>
      <w:r>
        <w:rPr>
          <w:w w:val="95"/>
        </w:rPr>
        <w:t xml:space="preserve">for </w:t>
      </w:r>
      <w:r>
        <w:t>these major projects.</w:t>
      </w:r>
    </w:p>
    <w:p w:rsidR="002C1123" w:rsidRDefault="00F22F94">
      <w:pPr>
        <w:pStyle w:val="BodyText"/>
        <w:spacing w:before="115" w:line="249" w:lineRule="auto"/>
        <w:ind w:left="492"/>
      </w:pPr>
      <w:r>
        <w:rPr>
          <w:w w:val="95"/>
        </w:rPr>
        <w:t>The</w:t>
      </w:r>
      <w:r>
        <w:rPr>
          <w:spacing w:val="-11"/>
          <w:w w:val="95"/>
        </w:rPr>
        <w:t xml:space="preserve"> </w:t>
      </w:r>
      <w:r>
        <w:rPr>
          <w:w w:val="95"/>
        </w:rPr>
        <w:t>Hume,</w:t>
      </w:r>
      <w:r>
        <w:rPr>
          <w:spacing w:val="-11"/>
          <w:w w:val="95"/>
        </w:rPr>
        <w:t xml:space="preserve"> </w:t>
      </w:r>
      <w:r>
        <w:rPr>
          <w:w w:val="95"/>
        </w:rPr>
        <w:t>Newell</w:t>
      </w:r>
      <w:r>
        <w:rPr>
          <w:spacing w:val="-11"/>
          <w:w w:val="95"/>
        </w:rPr>
        <w:t xml:space="preserve"> </w:t>
      </w:r>
      <w:r>
        <w:rPr>
          <w:w w:val="95"/>
        </w:rPr>
        <w:t>and</w:t>
      </w:r>
      <w:r>
        <w:rPr>
          <w:spacing w:val="-11"/>
          <w:w w:val="95"/>
        </w:rPr>
        <w:t xml:space="preserve"> </w:t>
      </w:r>
      <w:r>
        <w:rPr>
          <w:w w:val="95"/>
        </w:rPr>
        <w:t>New</w:t>
      </w:r>
      <w:r>
        <w:rPr>
          <w:spacing w:val="-11"/>
          <w:w w:val="95"/>
        </w:rPr>
        <w:t xml:space="preserve"> </w:t>
      </w:r>
      <w:r>
        <w:rPr>
          <w:w w:val="95"/>
        </w:rPr>
        <w:t>England</w:t>
      </w:r>
      <w:r>
        <w:rPr>
          <w:spacing w:val="-11"/>
          <w:w w:val="95"/>
        </w:rPr>
        <w:t xml:space="preserve"> </w:t>
      </w:r>
      <w:r>
        <w:rPr>
          <w:w w:val="95"/>
        </w:rPr>
        <w:t>Highways</w:t>
      </w:r>
      <w:r>
        <w:rPr>
          <w:spacing w:val="-11"/>
          <w:w w:val="95"/>
        </w:rPr>
        <w:t xml:space="preserve"> </w:t>
      </w:r>
      <w:r>
        <w:rPr>
          <w:w w:val="95"/>
        </w:rPr>
        <w:t xml:space="preserve">facilitate the road transport task effectively, with congestion only </w:t>
      </w:r>
      <w:r>
        <w:t>experienced</w:t>
      </w:r>
      <w:r>
        <w:rPr>
          <w:spacing w:val="-9"/>
        </w:rPr>
        <w:t xml:space="preserve"> </w:t>
      </w:r>
      <w:r>
        <w:t>around</w:t>
      </w:r>
      <w:r>
        <w:rPr>
          <w:spacing w:val="-9"/>
        </w:rPr>
        <w:t xml:space="preserve"> </w:t>
      </w:r>
      <w:r>
        <w:t>the</w:t>
      </w:r>
      <w:r>
        <w:rPr>
          <w:spacing w:val="-9"/>
        </w:rPr>
        <w:t xml:space="preserve"> </w:t>
      </w:r>
      <w:r>
        <w:t>major</w:t>
      </w:r>
      <w:r>
        <w:rPr>
          <w:spacing w:val="-9"/>
        </w:rPr>
        <w:t xml:space="preserve"> </w:t>
      </w:r>
      <w:r>
        <w:t>urban</w:t>
      </w:r>
      <w:r>
        <w:rPr>
          <w:spacing w:val="-9"/>
        </w:rPr>
        <w:t xml:space="preserve"> </w:t>
      </w:r>
      <w:r>
        <w:t>centres</w:t>
      </w:r>
      <w:r>
        <w:rPr>
          <w:spacing w:val="-9"/>
        </w:rPr>
        <w:t xml:space="preserve"> </w:t>
      </w:r>
      <w:r>
        <w:t>where freight</w:t>
      </w:r>
      <w:r>
        <w:rPr>
          <w:spacing w:val="-10"/>
        </w:rPr>
        <w:t xml:space="preserve"> </w:t>
      </w:r>
      <w:r>
        <w:t>is</w:t>
      </w:r>
      <w:r>
        <w:rPr>
          <w:spacing w:val="-10"/>
        </w:rPr>
        <w:t xml:space="preserve"> </w:t>
      </w:r>
      <w:r>
        <w:t>competing</w:t>
      </w:r>
      <w:r>
        <w:rPr>
          <w:spacing w:val="-10"/>
        </w:rPr>
        <w:t xml:space="preserve"> </w:t>
      </w:r>
      <w:r>
        <w:t>with</w:t>
      </w:r>
      <w:r>
        <w:rPr>
          <w:spacing w:val="-10"/>
        </w:rPr>
        <w:t xml:space="preserve"> </w:t>
      </w:r>
      <w:r>
        <w:t>the</w:t>
      </w:r>
      <w:r>
        <w:rPr>
          <w:spacing w:val="-10"/>
        </w:rPr>
        <w:t xml:space="preserve"> </w:t>
      </w:r>
      <w:r>
        <w:t>dominant</w:t>
      </w:r>
      <w:r>
        <w:rPr>
          <w:spacing w:val="-10"/>
        </w:rPr>
        <w:t xml:space="preserve"> </w:t>
      </w:r>
      <w:r>
        <w:t>passenger</w:t>
      </w:r>
      <w:r>
        <w:rPr>
          <w:spacing w:val="-10"/>
        </w:rPr>
        <w:t xml:space="preserve"> </w:t>
      </w:r>
      <w:r>
        <w:t>and commuter</w:t>
      </w:r>
      <w:r>
        <w:rPr>
          <w:spacing w:val="-13"/>
        </w:rPr>
        <w:t xml:space="preserve"> </w:t>
      </w:r>
      <w:r>
        <w:t>road</w:t>
      </w:r>
      <w:r>
        <w:rPr>
          <w:spacing w:val="-13"/>
        </w:rPr>
        <w:t xml:space="preserve"> </w:t>
      </w:r>
      <w:r>
        <w:t>and</w:t>
      </w:r>
      <w:r>
        <w:rPr>
          <w:spacing w:val="-13"/>
        </w:rPr>
        <w:t xml:space="preserve"> </w:t>
      </w:r>
      <w:r>
        <w:t>rail</w:t>
      </w:r>
      <w:r>
        <w:rPr>
          <w:spacing w:val="-13"/>
        </w:rPr>
        <w:t xml:space="preserve"> </w:t>
      </w:r>
      <w:r>
        <w:t>tasks,</w:t>
      </w:r>
      <w:r>
        <w:rPr>
          <w:spacing w:val="-13"/>
        </w:rPr>
        <w:t xml:space="preserve"> </w:t>
      </w:r>
      <w:r>
        <w:t>particularly</w:t>
      </w:r>
      <w:r>
        <w:rPr>
          <w:spacing w:val="-13"/>
        </w:rPr>
        <w:t xml:space="preserve"> </w:t>
      </w:r>
      <w:r>
        <w:t>during</w:t>
      </w:r>
      <w:r>
        <w:rPr>
          <w:spacing w:val="-13"/>
        </w:rPr>
        <w:t xml:space="preserve"> </w:t>
      </w:r>
      <w:r>
        <w:t>peak periods.</w:t>
      </w:r>
      <w:r>
        <w:rPr>
          <w:spacing w:val="-14"/>
        </w:rPr>
        <w:t xml:space="preserve"> </w:t>
      </w:r>
      <w:r>
        <w:t>The</w:t>
      </w:r>
      <w:r>
        <w:rPr>
          <w:spacing w:val="-14"/>
        </w:rPr>
        <w:t xml:space="preserve"> </w:t>
      </w:r>
      <w:r>
        <w:t>duplication</w:t>
      </w:r>
      <w:r>
        <w:rPr>
          <w:spacing w:val="-13"/>
        </w:rPr>
        <w:t xml:space="preserve"> </w:t>
      </w:r>
      <w:r>
        <w:t>of</w:t>
      </w:r>
      <w:r>
        <w:rPr>
          <w:spacing w:val="-14"/>
        </w:rPr>
        <w:t xml:space="preserve"> </w:t>
      </w:r>
      <w:r>
        <w:t>the</w:t>
      </w:r>
      <w:r>
        <w:rPr>
          <w:spacing w:val="-14"/>
        </w:rPr>
        <w:t xml:space="preserve"> </w:t>
      </w:r>
      <w:r>
        <w:t>Pacific</w:t>
      </w:r>
      <w:r>
        <w:rPr>
          <w:spacing w:val="-13"/>
        </w:rPr>
        <w:t xml:space="preserve"> </w:t>
      </w:r>
      <w:r>
        <w:t>Highway</w:t>
      </w:r>
      <w:r>
        <w:rPr>
          <w:spacing w:val="-14"/>
        </w:rPr>
        <w:t xml:space="preserve"> </w:t>
      </w:r>
      <w:r>
        <w:t>will lessen</w:t>
      </w:r>
      <w:r>
        <w:rPr>
          <w:spacing w:val="-6"/>
        </w:rPr>
        <w:t xml:space="preserve"> </w:t>
      </w:r>
      <w:r>
        <w:t>constraints</w:t>
      </w:r>
      <w:r>
        <w:rPr>
          <w:spacing w:val="-6"/>
        </w:rPr>
        <w:t xml:space="preserve"> </w:t>
      </w:r>
      <w:r>
        <w:t>on</w:t>
      </w:r>
      <w:r>
        <w:rPr>
          <w:spacing w:val="-6"/>
        </w:rPr>
        <w:t xml:space="preserve"> </w:t>
      </w:r>
      <w:r>
        <w:t>this</w:t>
      </w:r>
      <w:r>
        <w:rPr>
          <w:spacing w:val="-6"/>
        </w:rPr>
        <w:t xml:space="preserve"> </w:t>
      </w:r>
      <w:r>
        <w:t>important</w:t>
      </w:r>
      <w:r>
        <w:rPr>
          <w:spacing w:val="-6"/>
        </w:rPr>
        <w:t xml:space="preserve"> </w:t>
      </w:r>
      <w:r>
        <w:t>corridor</w:t>
      </w:r>
      <w:r>
        <w:rPr>
          <w:spacing w:val="-6"/>
        </w:rPr>
        <w:t xml:space="preserve"> </w:t>
      </w:r>
      <w:r>
        <w:t>also.</w:t>
      </w:r>
    </w:p>
    <w:p w:rsidR="002C1123" w:rsidRDefault="00F22F94">
      <w:pPr>
        <w:pStyle w:val="BodyText"/>
        <w:spacing w:before="119" w:line="249" w:lineRule="auto"/>
        <w:ind w:left="492"/>
      </w:pPr>
      <w:r>
        <w:rPr>
          <w:spacing w:val="-2"/>
        </w:rPr>
        <w:t>It</w:t>
      </w:r>
      <w:r>
        <w:rPr>
          <w:spacing w:val="-11"/>
        </w:rPr>
        <w:t xml:space="preserve"> </w:t>
      </w:r>
      <w:r>
        <w:rPr>
          <w:spacing w:val="-2"/>
        </w:rPr>
        <w:t>is</w:t>
      </w:r>
      <w:r>
        <w:rPr>
          <w:spacing w:val="-11"/>
        </w:rPr>
        <w:t xml:space="preserve"> </w:t>
      </w:r>
      <w:r>
        <w:rPr>
          <w:spacing w:val="-2"/>
        </w:rPr>
        <w:t>also</w:t>
      </w:r>
      <w:r>
        <w:rPr>
          <w:spacing w:val="-11"/>
        </w:rPr>
        <w:t xml:space="preserve"> </w:t>
      </w:r>
      <w:r>
        <w:rPr>
          <w:spacing w:val="-2"/>
        </w:rPr>
        <w:t>unclear</w:t>
      </w:r>
      <w:r>
        <w:rPr>
          <w:spacing w:val="-11"/>
        </w:rPr>
        <w:t xml:space="preserve"> </w:t>
      </w:r>
      <w:r>
        <w:rPr>
          <w:spacing w:val="-2"/>
        </w:rPr>
        <w:t>whether</w:t>
      </w:r>
      <w:r>
        <w:rPr>
          <w:spacing w:val="-11"/>
        </w:rPr>
        <w:t xml:space="preserve"> </w:t>
      </w:r>
      <w:r>
        <w:rPr>
          <w:spacing w:val="-2"/>
        </w:rPr>
        <w:t>there</w:t>
      </w:r>
      <w:r>
        <w:rPr>
          <w:spacing w:val="-11"/>
        </w:rPr>
        <w:t xml:space="preserve"> </w:t>
      </w:r>
      <w:r>
        <w:rPr>
          <w:spacing w:val="-2"/>
        </w:rPr>
        <w:t>is</w:t>
      </w:r>
      <w:r>
        <w:rPr>
          <w:spacing w:val="-11"/>
        </w:rPr>
        <w:t xml:space="preserve"> </w:t>
      </w:r>
      <w:r>
        <w:rPr>
          <w:spacing w:val="-2"/>
        </w:rPr>
        <w:t>potential</w:t>
      </w:r>
      <w:r>
        <w:rPr>
          <w:spacing w:val="-11"/>
        </w:rPr>
        <w:t xml:space="preserve"> </w:t>
      </w:r>
      <w:r>
        <w:rPr>
          <w:spacing w:val="-2"/>
        </w:rPr>
        <w:t>for</w:t>
      </w:r>
      <w:r>
        <w:rPr>
          <w:spacing w:val="-11"/>
        </w:rPr>
        <w:t xml:space="preserve"> </w:t>
      </w:r>
      <w:r>
        <w:rPr>
          <w:spacing w:val="-2"/>
        </w:rPr>
        <w:t xml:space="preserve">these </w:t>
      </w:r>
      <w:r>
        <w:rPr>
          <w:w w:val="95"/>
        </w:rPr>
        <w:t>interstate goods to be switched to rail. Without greater certainty about future demand, and reflecting the high costs</w:t>
      </w:r>
      <w:r>
        <w:rPr>
          <w:spacing w:val="-7"/>
          <w:w w:val="95"/>
        </w:rPr>
        <w:t xml:space="preserve"> </w:t>
      </w:r>
      <w:r>
        <w:rPr>
          <w:w w:val="95"/>
        </w:rPr>
        <w:t>of</w:t>
      </w:r>
      <w:r>
        <w:rPr>
          <w:spacing w:val="-7"/>
          <w:w w:val="95"/>
        </w:rPr>
        <w:t xml:space="preserve"> </w:t>
      </w:r>
      <w:r>
        <w:rPr>
          <w:w w:val="95"/>
        </w:rPr>
        <w:t>these</w:t>
      </w:r>
      <w:r>
        <w:rPr>
          <w:spacing w:val="-7"/>
          <w:w w:val="95"/>
        </w:rPr>
        <w:t xml:space="preserve"> </w:t>
      </w:r>
      <w:r>
        <w:rPr>
          <w:w w:val="95"/>
        </w:rPr>
        <w:t>proposed</w:t>
      </w:r>
      <w:r>
        <w:rPr>
          <w:spacing w:val="-7"/>
          <w:w w:val="95"/>
        </w:rPr>
        <w:t xml:space="preserve"> </w:t>
      </w:r>
      <w:r>
        <w:rPr>
          <w:w w:val="95"/>
        </w:rPr>
        <w:t>options,</w:t>
      </w:r>
      <w:r>
        <w:rPr>
          <w:spacing w:val="-7"/>
          <w:w w:val="95"/>
        </w:rPr>
        <w:t xml:space="preserve"> </w:t>
      </w:r>
      <w:r>
        <w:rPr>
          <w:w w:val="95"/>
        </w:rPr>
        <w:t>Infrastructure</w:t>
      </w:r>
      <w:r>
        <w:rPr>
          <w:spacing w:val="-7"/>
          <w:w w:val="95"/>
        </w:rPr>
        <w:t xml:space="preserve"> </w:t>
      </w:r>
      <w:r>
        <w:rPr>
          <w:w w:val="95"/>
        </w:rPr>
        <w:t>NSW</w:t>
      </w:r>
      <w:r>
        <w:rPr>
          <w:spacing w:val="-7"/>
          <w:w w:val="95"/>
        </w:rPr>
        <w:t xml:space="preserve"> </w:t>
      </w:r>
      <w:r>
        <w:rPr>
          <w:w w:val="95"/>
        </w:rPr>
        <w:t>is not</w:t>
      </w:r>
      <w:r>
        <w:rPr>
          <w:spacing w:val="-1"/>
          <w:w w:val="95"/>
        </w:rPr>
        <w:t xml:space="preserve"> </w:t>
      </w:r>
      <w:r>
        <w:rPr>
          <w:w w:val="95"/>
        </w:rPr>
        <w:t>able</w:t>
      </w:r>
      <w:r>
        <w:rPr>
          <w:spacing w:val="-1"/>
          <w:w w:val="95"/>
        </w:rPr>
        <w:t xml:space="preserve"> </w:t>
      </w:r>
      <w:r>
        <w:rPr>
          <w:w w:val="95"/>
        </w:rPr>
        <w:t>to</w:t>
      </w:r>
      <w:r>
        <w:rPr>
          <w:spacing w:val="-1"/>
          <w:w w:val="95"/>
        </w:rPr>
        <w:t xml:space="preserve"> </w:t>
      </w:r>
      <w:r>
        <w:rPr>
          <w:w w:val="95"/>
        </w:rPr>
        <w:t>support</w:t>
      </w:r>
      <w:r>
        <w:rPr>
          <w:spacing w:val="-1"/>
          <w:w w:val="95"/>
        </w:rPr>
        <w:t xml:space="preserve"> </w:t>
      </w:r>
      <w:r>
        <w:rPr>
          <w:w w:val="95"/>
        </w:rPr>
        <w:t>the</w:t>
      </w:r>
      <w:r>
        <w:rPr>
          <w:spacing w:val="-1"/>
          <w:w w:val="95"/>
        </w:rPr>
        <w:t xml:space="preserve"> </w:t>
      </w:r>
      <w:r>
        <w:rPr>
          <w:w w:val="95"/>
        </w:rPr>
        <w:t>prioritisation</w:t>
      </w:r>
      <w:r>
        <w:rPr>
          <w:spacing w:val="-1"/>
          <w:w w:val="95"/>
        </w:rPr>
        <w:t xml:space="preserve"> </w:t>
      </w:r>
      <w:r>
        <w:rPr>
          <w:w w:val="95"/>
        </w:rPr>
        <w:t>of</w:t>
      </w:r>
      <w:r>
        <w:rPr>
          <w:spacing w:val="-1"/>
          <w:w w:val="95"/>
        </w:rPr>
        <w:t xml:space="preserve"> </w:t>
      </w:r>
      <w:r>
        <w:rPr>
          <w:w w:val="95"/>
        </w:rPr>
        <w:t>these</w:t>
      </w:r>
      <w:r>
        <w:rPr>
          <w:spacing w:val="-1"/>
          <w:w w:val="95"/>
        </w:rPr>
        <w:t xml:space="preserve"> </w:t>
      </w:r>
      <w:r>
        <w:rPr>
          <w:w w:val="95"/>
        </w:rPr>
        <w:t xml:space="preserve">programs </w:t>
      </w:r>
      <w:r>
        <w:rPr>
          <w:spacing w:val="-2"/>
        </w:rPr>
        <w:t>within</w:t>
      </w:r>
      <w:r>
        <w:rPr>
          <w:spacing w:val="-11"/>
        </w:rPr>
        <w:t xml:space="preserve"> </w:t>
      </w:r>
      <w:r>
        <w:rPr>
          <w:spacing w:val="-2"/>
        </w:rPr>
        <w:t>the</w:t>
      </w:r>
      <w:r>
        <w:rPr>
          <w:spacing w:val="-11"/>
        </w:rPr>
        <w:t xml:space="preserve"> </w:t>
      </w:r>
      <w:r>
        <w:rPr>
          <w:spacing w:val="-2"/>
        </w:rPr>
        <w:t>next</w:t>
      </w:r>
      <w:r>
        <w:rPr>
          <w:spacing w:val="-11"/>
        </w:rPr>
        <w:t xml:space="preserve"> </w:t>
      </w:r>
      <w:r>
        <w:rPr>
          <w:spacing w:val="-2"/>
        </w:rPr>
        <w:t>20</w:t>
      </w:r>
      <w:r>
        <w:rPr>
          <w:spacing w:val="-11"/>
        </w:rPr>
        <w:t xml:space="preserve"> </w:t>
      </w:r>
      <w:r>
        <w:rPr>
          <w:spacing w:val="-2"/>
        </w:rPr>
        <w:t>years</w:t>
      </w:r>
      <w:r>
        <w:rPr>
          <w:spacing w:val="-11"/>
        </w:rPr>
        <w:t xml:space="preserve"> </w:t>
      </w:r>
      <w:r>
        <w:rPr>
          <w:spacing w:val="-2"/>
        </w:rPr>
        <w:t>at</w:t>
      </w:r>
      <w:r>
        <w:rPr>
          <w:spacing w:val="-11"/>
        </w:rPr>
        <w:t xml:space="preserve"> </w:t>
      </w:r>
      <w:r>
        <w:rPr>
          <w:spacing w:val="-2"/>
        </w:rPr>
        <w:t>this</w:t>
      </w:r>
      <w:r>
        <w:rPr>
          <w:spacing w:val="-11"/>
        </w:rPr>
        <w:t xml:space="preserve"> </w:t>
      </w:r>
      <w:r>
        <w:rPr>
          <w:spacing w:val="-2"/>
        </w:rPr>
        <w:t>stage,</w:t>
      </w:r>
      <w:r>
        <w:rPr>
          <w:spacing w:val="-12"/>
        </w:rPr>
        <w:t xml:space="preserve"> </w:t>
      </w:r>
      <w:r>
        <w:rPr>
          <w:spacing w:val="-2"/>
        </w:rPr>
        <w:t>where</w:t>
      </w:r>
      <w:r>
        <w:rPr>
          <w:spacing w:val="-12"/>
        </w:rPr>
        <w:t xml:space="preserve"> </w:t>
      </w:r>
      <w:r>
        <w:rPr>
          <w:spacing w:val="-2"/>
        </w:rPr>
        <w:t>they</w:t>
      </w:r>
      <w:r>
        <w:rPr>
          <w:spacing w:val="-12"/>
        </w:rPr>
        <w:t xml:space="preserve"> </w:t>
      </w:r>
      <w:r>
        <w:rPr>
          <w:spacing w:val="-2"/>
        </w:rPr>
        <w:t xml:space="preserve">are </w:t>
      </w:r>
      <w:r>
        <w:t>additional</w:t>
      </w:r>
      <w:r>
        <w:rPr>
          <w:spacing w:val="-3"/>
        </w:rPr>
        <w:t xml:space="preserve"> </w:t>
      </w:r>
      <w:r>
        <w:t>to</w:t>
      </w:r>
      <w:r>
        <w:rPr>
          <w:spacing w:val="-3"/>
        </w:rPr>
        <w:t xml:space="preserve"> </w:t>
      </w:r>
      <w:r>
        <w:t>existing</w:t>
      </w:r>
      <w:r>
        <w:rPr>
          <w:spacing w:val="-3"/>
        </w:rPr>
        <w:t xml:space="preserve"> </w:t>
      </w:r>
      <w:r>
        <w:t>commitments.</w:t>
      </w:r>
    </w:p>
    <w:p w:rsidR="002C1123" w:rsidRDefault="00F22F94">
      <w:pPr>
        <w:pStyle w:val="BodyText"/>
        <w:spacing w:before="119" w:line="249" w:lineRule="auto"/>
        <w:ind w:left="492" w:right="70"/>
      </w:pPr>
      <w:r>
        <w:rPr>
          <w:w w:val="95"/>
        </w:rPr>
        <w:t>In the case of inland rail, Infrastructure NSW concurs with</w:t>
      </w:r>
      <w:r>
        <w:rPr>
          <w:spacing w:val="-8"/>
          <w:w w:val="95"/>
        </w:rPr>
        <w:t xml:space="preserve"> </w:t>
      </w:r>
      <w:r>
        <w:rPr>
          <w:w w:val="95"/>
        </w:rPr>
        <w:t>the</w:t>
      </w:r>
      <w:r>
        <w:rPr>
          <w:spacing w:val="-9"/>
          <w:w w:val="95"/>
        </w:rPr>
        <w:t xml:space="preserve"> </w:t>
      </w:r>
      <w:r>
        <w:rPr>
          <w:w w:val="95"/>
        </w:rPr>
        <w:t>ARTC’s</w:t>
      </w:r>
      <w:r>
        <w:rPr>
          <w:spacing w:val="-8"/>
          <w:w w:val="95"/>
        </w:rPr>
        <w:t xml:space="preserve"> </w:t>
      </w:r>
      <w:r>
        <w:rPr>
          <w:w w:val="95"/>
        </w:rPr>
        <w:t>view</w:t>
      </w:r>
      <w:r>
        <w:rPr>
          <w:spacing w:val="-9"/>
          <w:w w:val="95"/>
        </w:rPr>
        <w:t xml:space="preserve"> </w:t>
      </w:r>
      <w:r>
        <w:rPr>
          <w:w w:val="95"/>
        </w:rPr>
        <w:t>that</w:t>
      </w:r>
      <w:r>
        <w:rPr>
          <w:spacing w:val="-8"/>
          <w:w w:val="95"/>
        </w:rPr>
        <w:t xml:space="preserve"> </w:t>
      </w:r>
      <w:r>
        <w:rPr>
          <w:w w:val="95"/>
        </w:rPr>
        <w:t>a</w:t>
      </w:r>
      <w:r>
        <w:rPr>
          <w:spacing w:val="-9"/>
          <w:w w:val="95"/>
        </w:rPr>
        <w:t xml:space="preserve"> </w:t>
      </w:r>
      <w:r>
        <w:rPr>
          <w:w w:val="95"/>
        </w:rPr>
        <w:t>new</w:t>
      </w:r>
      <w:r>
        <w:rPr>
          <w:spacing w:val="-8"/>
          <w:w w:val="95"/>
        </w:rPr>
        <w:t xml:space="preserve"> </w:t>
      </w:r>
      <w:r>
        <w:rPr>
          <w:w w:val="95"/>
        </w:rPr>
        <w:t>inland</w:t>
      </w:r>
      <w:r>
        <w:rPr>
          <w:spacing w:val="-9"/>
          <w:w w:val="95"/>
        </w:rPr>
        <w:t xml:space="preserve"> </w:t>
      </w:r>
      <w:r>
        <w:rPr>
          <w:w w:val="95"/>
        </w:rPr>
        <w:t>route,</w:t>
      </w:r>
      <w:r>
        <w:rPr>
          <w:spacing w:val="-8"/>
          <w:w w:val="95"/>
        </w:rPr>
        <w:t xml:space="preserve"> </w:t>
      </w:r>
      <w:r>
        <w:rPr>
          <w:w w:val="95"/>
        </w:rPr>
        <w:t>at</w:t>
      </w:r>
      <w:r>
        <w:rPr>
          <w:spacing w:val="-9"/>
          <w:w w:val="95"/>
        </w:rPr>
        <w:t xml:space="preserve"> </w:t>
      </w:r>
      <w:r>
        <w:rPr>
          <w:w w:val="95"/>
        </w:rPr>
        <w:t>a</w:t>
      </w:r>
      <w:r>
        <w:rPr>
          <w:spacing w:val="-8"/>
          <w:w w:val="95"/>
        </w:rPr>
        <w:t xml:space="preserve"> </w:t>
      </w:r>
      <w:r>
        <w:rPr>
          <w:w w:val="95"/>
        </w:rPr>
        <w:t>cost of</w:t>
      </w:r>
      <w:r>
        <w:rPr>
          <w:spacing w:val="-2"/>
          <w:w w:val="95"/>
        </w:rPr>
        <w:t xml:space="preserve"> </w:t>
      </w:r>
      <w:r>
        <w:rPr>
          <w:w w:val="95"/>
        </w:rPr>
        <w:t>around</w:t>
      </w:r>
      <w:r>
        <w:rPr>
          <w:spacing w:val="-2"/>
          <w:w w:val="95"/>
        </w:rPr>
        <w:t xml:space="preserve"> </w:t>
      </w:r>
      <w:r>
        <w:rPr>
          <w:w w:val="95"/>
        </w:rPr>
        <w:t>$5</w:t>
      </w:r>
      <w:r>
        <w:rPr>
          <w:spacing w:val="-2"/>
          <w:w w:val="95"/>
        </w:rPr>
        <w:t xml:space="preserve"> </w:t>
      </w:r>
      <w:r>
        <w:rPr>
          <w:w w:val="95"/>
        </w:rPr>
        <w:t>billion,</w:t>
      </w:r>
      <w:r>
        <w:rPr>
          <w:spacing w:val="-2"/>
          <w:w w:val="95"/>
        </w:rPr>
        <w:t xml:space="preserve"> </w:t>
      </w:r>
      <w:r>
        <w:rPr>
          <w:w w:val="95"/>
        </w:rPr>
        <w:t>would</w:t>
      </w:r>
      <w:r>
        <w:rPr>
          <w:spacing w:val="-2"/>
          <w:w w:val="95"/>
        </w:rPr>
        <w:t xml:space="preserve"> </w:t>
      </w:r>
      <w:r>
        <w:rPr>
          <w:w w:val="95"/>
        </w:rPr>
        <w:t>not</w:t>
      </w:r>
      <w:r>
        <w:rPr>
          <w:spacing w:val="-2"/>
          <w:w w:val="95"/>
        </w:rPr>
        <w:t xml:space="preserve"> </w:t>
      </w:r>
      <w:r>
        <w:rPr>
          <w:w w:val="95"/>
        </w:rPr>
        <w:t>be</w:t>
      </w:r>
      <w:r>
        <w:rPr>
          <w:spacing w:val="-2"/>
          <w:w w:val="95"/>
        </w:rPr>
        <w:t xml:space="preserve"> </w:t>
      </w:r>
      <w:r>
        <w:rPr>
          <w:w w:val="95"/>
        </w:rPr>
        <w:t>viable</w:t>
      </w:r>
      <w:r>
        <w:rPr>
          <w:spacing w:val="-2"/>
          <w:w w:val="95"/>
        </w:rPr>
        <w:t xml:space="preserve"> </w:t>
      </w:r>
      <w:r>
        <w:rPr>
          <w:w w:val="95"/>
        </w:rPr>
        <w:t>until</w:t>
      </w:r>
      <w:r>
        <w:rPr>
          <w:spacing w:val="-2"/>
          <w:w w:val="95"/>
        </w:rPr>
        <w:t xml:space="preserve"> </w:t>
      </w:r>
      <w:r>
        <w:rPr>
          <w:w w:val="95"/>
        </w:rPr>
        <w:t>the</w:t>
      </w:r>
      <w:r>
        <w:rPr>
          <w:spacing w:val="-2"/>
          <w:w w:val="95"/>
        </w:rPr>
        <w:t xml:space="preserve"> </w:t>
      </w:r>
      <w:r>
        <w:rPr>
          <w:w w:val="95"/>
        </w:rPr>
        <w:t xml:space="preserve">early </w:t>
      </w:r>
      <w:r>
        <w:t>2030s at the earliest</w:t>
      </w:r>
      <w:r>
        <w:rPr>
          <w:spacing w:val="-24"/>
        </w:rPr>
        <w:t xml:space="preserve"> </w:t>
      </w:r>
      <w:r>
        <w:rPr>
          <w:position w:val="7"/>
          <w:sz w:val="11"/>
        </w:rPr>
        <w:t>37</w:t>
      </w:r>
      <w:r>
        <w:t>.</w:t>
      </w:r>
    </w:p>
    <w:p w:rsidR="002C1123" w:rsidRDefault="002C1123">
      <w:pPr>
        <w:pStyle w:val="BodyText"/>
      </w:pPr>
    </w:p>
    <w:p w:rsidR="002C1123" w:rsidRDefault="002C1123">
      <w:pPr>
        <w:pStyle w:val="BodyText"/>
      </w:pPr>
    </w:p>
    <w:p w:rsidR="002C1123" w:rsidRDefault="002060EF">
      <w:pPr>
        <w:pStyle w:val="BodyText"/>
        <w:spacing w:before="4"/>
        <w:rPr>
          <w:sz w:val="18"/>
        </w:rPr>
      </w:pPr>
      <w:r>
        <w:pict>
          <v:shape id="docshape1932" o:spid="_x0000_s3150" style="position:absolute;margin-left:49.6pt;margin-top:11.75pt;width:1in;height:.1pt;z-index:-251345920;mso-wrap-distance-left:0;mso-wrap-distance-right:0;mso-position-horizontal-relative:page" coordorigin="992,235" coordsize="1440,0" path="m992,235r1440,e" filled="f" strokecolor="#9c9c9d" strokeweight=".5pt">
            <v:path arrowok="t"/>
            <w10:wrap type="topAndBottom" anchorx="page"/>
          </v:shape>
        </w:pict>
      </w:r>
    </w:p>
    <w:p w:rsidR="002C1123" w:rsidRDefault="00F22F94">
      <w:pPr>
        <w:pStyle w:val="ListParagraph"/>
        <w:numPr>
          <w:ilvl w:val="0"/>
          <w:numId w:val="73"/>
        </w:numPr>
        <w:tabs>
          <w:tab w:val="left" w:pos="691"/>
        </w:tabs>
        <w:spacing w:before="23"/>
        <w:ind w:left="690"/>
        <w:jc w:val="left"/>
        <w:rPr>
          <w:sz w:val="14"/>
        </w:rPr>
      </w:pPr>
      <w:r>
        <w:rPr>
          <w:w w:val="95"/>
          <w:sz w:val="14"/>
        </w:rPr>
        <w:t>ARTC</w:t>
      </w:r>
      <w:r>
        <w:rPr>
          <w:spacing w:val="-1"/>
          <w:w w:val="95"/>
          <w:sz w:val="14"/>
        </w:rPr>
        <w:t xml:space="preserve"> </w:t>
      </w:r>
      <w:r>
        <w:rPr>
          <w:w w:val="95"/>
          <w:sz w:val="14"/>
        </w:rPr>
        <w:t>2010,</w:t>
      </w:r>
      <w:r>
        <w:rPr>
          <w:spacing w:val="-2"/>
          <w:sz w:val="14"/>
        </w:rPr>
        <w:t xml:space="preserve"> </w:t>
      </w:r>
      <w:r>
        <w:rPr>
          <w:w w:val="95"/>
          <w:sz w:val="14"/>
        </w:rPr>
        <w:t>Melbourne</w:t>
      </w:r>
      <w:r>
        <w:rPr>
          <w:spacing w:val="-2"/>
          <w:sz w:val="14"/>
        </w:rPr>
        <w:t xml:space="preserve"> </w:t>
      </w:r>
      <w:r>
        <w:rPr>
          <w:w w:val="95"/>
          <w:sz w:val="14"/>
        </w:rPr>
        <w:t>to</w:t>
      </w:r>
      <w:r>
        <w:rPr>
          <w:spacing w:val="-2"/>
          <w:sz w:val="14"/>
        </w:rPr>
        <w:t xml:space="preserve"> </w:t>
      </w:r>
      <w:r>
        <w:rPr>
          <w:w w:val="95"/>
          <w:sz w:val="14"/>
        </w:rPr>
        <w:t>Brisbane</w:t>
      </w:r>
      <w:r>
        <w:rPr>
          <w:spacing w:val="-2"/>
          <w:sz w:val="14"/>
        </w:rPr>
        <w:t xml:space="preserve"> </w:t>
      </w:r>
      <w:r>
        <w:rPr>
          <w:w w:val="95"/>
          <w:sz w:val="14"/>
        </w:rPr>
        <w:t>Inland</w:t>
      </w:r>
      <w:r>
        <w:rPr>
          <w:spacing w:val="-2"/>
          <w:sz w:val="14"/>
        </w:rPr>
        <w:t xml:space="preserve"> </w:t>
      </w:r>
      <w:r>
        <w:rPr>
          <w:w w:val="95"/>
          <w:sz w:val="14"/>
        </w:rPr>
        <w:t>Rail</w:t>
      </w:r>
      <w:r>
        <w:rPr>
          <w:spacing w:val="-2"/>
          <w:sz w:val="14"/>
        </w:rPr>
        <w:t xml:space="preserve"> </w:t>
      </w:r>
      <w:r>
        <w:rPr>
          <w:w w:val="95"/>
          <w:sz w:val="14"/>
        </w:rPr>
        <w:t>Alignment</w:t>
      </w:r>
      <w:r>
        <w:rPr>
          <w:spacing w:val="-2"/>
          <w:sz w:val="14"/>
        </w:rPr>
        <w:t xml:space="preserve"> </w:t>
      </w:r>
      <w:r>
        <w:rPr>
          <w:spacing w:val="-2"/>
          <w:w w:val="95"/>
          <w:sz w:val="14"/>
        </w:rPr>
        <w:t>Study.</w:t>
      </w:r>
    </w:p>
    <w:p w:rsidR="002C1123" w:rsidRDefault="00F22F94">
      <w:pPr>
        <w:pStyle w:val="Heading5"/>
        <w:spacing w:before="258"/>
        <w:ind w:left="447" w:firstLine="0"/>
        <w:rPr>
          <w:sz w:val="16"/>
        </w:rPr>
      </w:pPr>
      <w:r>
        <w:rPr>
          <w:b w:val="0"/>
        </w:rPr>
        <w:br w:type="column"/>
      </w:r>
      <w:r>
        <w:rPr>
          <w:color w:val="00AEEF"/>
          <w:w w:val="95"/>
        </w:rPr>
        <w:t>Northern</w:t>
      </w:r>
      <w:r>
        <w:rPr>
          <w:color w:val="00AEEF"/>
          <w:spacing w:val="-12"/>
          <w:w w:val="95"/>
        </w:rPr>
        <w:t xml:space="preserve"> </w:t>
      </w:r>
      <w:r>
        <w:rPr>
          <w:color w:val="00AEEF"/>
          <w:w w:val="95"/>
        </w:rPr>
        <w:t>Sydney</w:t>
      </w:r>
      <w:r>
        <w:rPr>
          <w:color w:val="00AEEF"/>
          <w:spacing w:val="-11"/>
          <w:w w:val="95"/>
        </w:rPr>
        <w:t xml:space="preserve"> </w:t>
      </w:r>
      <w:r>
        <w:rPr>
          <w:color w:val="00AEEF"/>
          <w:w w:val="95"/>
        </w:rPr>
        <w:t>Freight</w:t>
      </w:r>
      <w:r>
        <w:rPr>
          <w:color w:val="00AEEF"/>
          <w:spacing w:val="-12"/>
          <w:w w:val="95"/>
        </w:rPr>
        <w:t xml:space="preserve"> </w:t>
      </w:r>
      <w:r>
        <w:rPr>
          <w:color w:val="00AEEF"/>
          <w:spacing w:val="-2"/>
          <w:w w:val="95"/>
        </w:rPr>
        <w:t>Corridor</w:t>
      </w:r>
      <w:r>
        <w:rPr>
          <w:color w:val="00AEEF"/>
          <w:spacing w:val="-2"/>
          <w:w w:val="95"/>
          <w:position w:val="9"/>
          <w:sz w:val="16"/>
        </w:rPr>
        <w:t>38</w:t>
      </w:r>
    </w:p>
    <w:p w:rsidR="002C1123" w:rsidRDefault="002060EF">
      <w:pPr>
        <w:spacing w:before="134" w:line="252" w:lineRule="auto"/>
        <w:ind w:left="447" w:right="2"/>
        <w:rPr>
          <w:sz w:val="19"/>
        </w:rPr>
      </w:pPr>
      <w:r>
        <w:pict>
          <v:group id="docshapegroup1933" o:spid="_x0000_s3147" style="position:absolute;left:0;text-align:left;margin-left:300.95pt;margin-top:-21.5pt;width:491.35pt;height:419.55pt;z-index:-251469824;mso-position-horizontal-relative:page" coordorigin="6019,-430" coordsize="9827,8391">
            <v:rect id="docshape1934" o:spid="_x0000_s3149" style="position:absolute;left:6018;top:-430;width:9827;height:8391" fillcolor="#e1e0e1" stroked="f"/>
            <v:line id="_x0000_s3148" style="position:absolute" from="6189,7311" to="7629,7311" strokecolor="#9c9c9d" strokeweight=".5pt"/>
            <w10:wrap anchorx="page"/>
          </v:group>
        </w:pict>
      </w:r>
      <w:r w:rsidR="00F22F94">
        <w:rPr>
          <w:sz w:val="19"/>
        </w:rPr>
        <w:t>There are currently a number of infrastructure impediments</w:t>
      </w:r>
      <w:r w:rsidR="00F22F94">
        <w:rPr>
          <w:spacing w:val="-12"/>
          <w:sz w:val="19"/>
        </w:rPr>
        <w:t xml:space="preserve"> </w:t>
      </w:r>
      <w:r w:rsidR="00F22F94">
        <w:rPr>
          <w:sz w:val="19"/>
        </w:rPr>
        <w:t>which</w:t>
      </w:r>
      <w:r w:rsidR="00F22F94">
        <w:rPr>
          <w:spacing w:val="-12"/>
          <w:sz w:val="19"/>
        </w:rPr>
        <w:t xml:space="preserve"> </w:t>
      </w:r>
      <w:r w:rsidR="00F22F94">
        <w:rPr>
          <w:sz w:val="19"/>
        </w:rPr>
        <w:t>limit</w:t>
      </w:r>
      <w:r w:rsidR="00F22F94">
        <w:rPr>
          <w:spacing w:val="-12"/>
          <w:sz w:val="19"/>
        </w:rPr>
        <w:t xml:space="preserve"> </w:t>
      </w:r>
      <w:r w:rsidR="00F22F94">
        <w:rPr>
          <w:sz w:val="19"/>
        </w:rPr>
        <w:t>the</w:t>
      </w:r>
      <w:r w:rsidR="00F22F94">
        <w:rPr>
          <w:spacing w:val="-12"/>
          <w:sz w:val="19"/>
        </w:rPr>
        <w:t xml:space="preserve"> </w:t>
      </w:r>
      <w:r w:rsidR="00F22F94">
        <w:rPr>
          <w:sz w:val="19"/>
        </w:rPr>
        <w:t>effectiveness</w:t>
      </w:r>
      <w:r w:rsidR="00F22F94">
        <w:rPr>
          <w:spacing w:val="-12"/>
          <w:sz w:val="19"/>
        </w:rPr>
        <w:t xml:space="preserve"> </w:t>
      </w:r>
      <w:r w:rsidR="00F22F94">
        <w:rPr>
          <w:sz w:val="19"/>
        </w:rPr>
        <w:t>of</w:t>
      </w:r>
      <w:r w:rsidR="00F22F94">
        <w:rPr>
          <w:spacing w:val="-12"/>
          <w:sz w:val="19"/>
        </w:rPr>
        <w:t xml:space="preserve"> </w:t>
      </w:r>
      <w:r w:rsidR="00F22F94">
        <w:rPr>
          <w:sz w:val="19"/>
        </w:rPr>
        <w:t>rail</w:t>
      </w:r>
      <w:r w:rsidR="00F22F94">
        <w:rPr>
          <w:spacing w:val="-12"/>
          <w:sz w:val="19"/>
        </w:rPr>
        <w:t xml:space="preserve"> </w:t>
      </w:r>
      <w:r w:rsidR="00F22F94">
        <w:rPr>
          <w:sz w:val="19"/>
        </w:rPr>
        <w:t>freight in</w:t>
      </w:r>
      <w:r w:rsidR="00F22F94">
        <w:rPr>
          <w:spacing w:val="-3"/>
          <w:sz w:val="19"/>
        </w:rPr>
        <w:t xml:space="preserve"> </w:t>
      </w:r>
      <w:r w:rsidR="00F22F94">
        <w:rPr>
          <w:sz w:val="19"/>
        </w:rPr>
        <w:t>the</w:t>
      </w:r>
      <w:r w:rsidR="00F22F94">
        <w:rPr>
          <w:spacing w:val="-3"/>
          <w:sz w:val="19"/>
        </w:rPr>
        <w:t xml:space="preserve"> </w:t>
      </w:r>
      <w:r w:rsidR="00F22F94">
        <w:rPr>
          <w:sz w:val="19"/>
        </w:rPr>
        <w:t>North</w:t>
      </w:r>
      <w:r w:rsidR="00F22F94">
        <w:rPr>
          <w:spacing w:val="-3"/>
          <w:sz w:val="19"/>
        </w:rPr>
        <w:t xml:space="preserve"> </w:t>
      </w:r>
      <w:r w:rsidR="00F22F94">
        <w:rPr>
          <w:sz w:val="19"/>
        </w:rPr>
        <w:t>–</w:t>
      </w:r>
      <w:r w:rsidR="00F22F94">
        <w:rPr>
          <w:spacing w:val="-3"/>
          <w:sz w:val="19"/>
        </w:rPr>
        <w:t xml:space="preserve"> </w:t>
      </w:r>
      <w:r w:rsidR="00F22F94">
        <w:rPr>
          <w:sz w:val="19"/>
        </w:rPr>
        <w:t>South</w:t>
      </w:r>
      <w:r w:rsidR="00F22F94">
        <w:rPr>
          <w:spacing w:val="-3"/>
          <w:sz w:val="19"/>
        </w:rPr>
        <w:t xml:space="preserve"> </w:t>
      </w:r>
      <w:r w:rsidR="00F22F94">
        <w:rPr>
          <w:sz w:val="19"/>
        </w:rPr>
        <w:t>rail</w:t>
      </w:r>
      <w:r w:rsidR="00F22F94">
        <w:rPr>
          <w:spacing w:val="-3"/>
          <w:sz w:val="19"/>
        </w:rPr>
        <w:t xml:space="preserve"> </w:t>
      </w:r>
      <w:r w:rsidR="00F22F94">
        <w:rPr>
          <w:sz w:val="19"/>
        </w:rPr>
        <w:t>corridor</w:t>
      </w:r>
      <w:r w:rsidR="00F22F94">
        <w:rPr>
          <w:spacing w:val="-3"/>
          <w:sz w:val="19"/>
        </w:rPr>
        <w:t xml:space="preserve"> </w:t>
      </w:r>
      <w:r w:rsidR="00F22F94">
        <w:rPr>
          <w:sz w:val="19"/>
        </w:rPr>
        <w:t>between</w:t>
      </w:r>
      <w:r w:rsidR="00F22F94">
        <w:rPr>
          <w:spacing w:val="-3"/>
          <w:sz w:val="19"/>
        </w:rPr>
        <w:t xml:space="preserve"> </w:t>
      </w:r>
      <w:r w:rsidR="00F22F94">
        <w:rPr>
          <w:sz w:val="19"/>
        </w:rPr>
        <w:t>Sydney</w:t>
      </w:r>
      <w:r w:rsidR="00F22F94">
        <w:rPr>
          <w:spacing w:val="-3"/>
          <w:sz w:val="19"/>
        </w:rPr>
        <w:t xml:space="preserve"> </w:t>
      </w:r>
      <w:r w:rsidR="00F22F94">
        <w:rPr>
          <w:sz w:val="19"/>
        </w:rPr>
        <w:t>and Newcastle</w:t>
      </w:r>
      <w:r w:rsidR="00F22F94">
        <w:rPr>
          <w:spacing w:val="-8"/>
          <w:sz w:val="19"/>
        </w:rPr>
        <w:t xml:space="preserve"> </w:t>
      </w:r>
      <w:r w:rsidR="00F22F94">
        <w:rPr>
          <w:sz w:val="19"/>
        </w:rPr>
        <w:t>including:</w:t>
      </w:r>
    </w:p>
    <w:p w:rsidR="002C1123" w:rsidRDefault="00F22F94">
      <w:pPr>
        <w:pStyle w:val="ListParagraph"/>
        <w:numPr>
          <w:ilvl w:val="1"/>
          <w:numId w:val="73"/>
        </w:numPr>
        <w:tabs>
          <w:tab w:val="left" w:pos="731"/>
        </w:tabs>
        <w:spacing w:before="104" w:line="252" w:lineRule="auto"/>
        <w:ind w:left="730" w:right="236"/>
        <w:rPr>
          <w:rFonts w:ascii="Tahoma" w:hAnsi="Tahoma"/>
          <w:sz w:val="19"/>
        </w:rPr>
      </w:pPr>
      <w:r>
        <w:rPr>
          <w:sz w:val="19"/>
        </w:rPr>
        <w:t>a</w:t>
      </w:r>
      <w:r>
        <w:rPr>
          <w:spacing w:val="-12"/>
          <w:sz w:val="19"/>
        </w:rPr>
        <w:t xml:space="preserve"> </w:t>
      </w:r>
      <w:r>
        <w:rPr>
          <w:sz w:val="19"/>
        </w:rPr>
        <w:t>lack</w:t>
      </w:r>
      <w:r>
        <w:rPr>
          <w:spacing w:val="-12"/>
          <w:sz w:val="19"/>
        </w:rPr>
        <w:t xml:space="preserve"> </w:t>
      </w:r>
      <w:r>
        <w:rPr>
          <w:sz w:val="19"/>
        </w:rPr>
        <w:t>of</w:t>
      </w:r>
      <w:r>
        <w:rPr>
          <w:spacing w:val="-12"/>
          <w:sz w:val="19"/>
        </w:rPr>
        <w:t xml:space="preserve"> </w:t>
      </w:r>
      <w:r>
        <w:rPr>
          <w:sz w:val="19"/>
        </w:rPr>
        <w:t>passing</w:t>
      </w:r>
      <w:r>
        <w:rPr>
          <w:spacing w:val="-12"/>
          <w:sz w:val="19"/>
        </w:rPr>
        <w:t xml:space="preserve"> </w:t>
      </w:r>
      <w:r>
        <w:rPr>
          <w:sz w:val="19"/>
        </w:rPr>
        <w:t>loops</w:t>
      </w:r>
      <w:r>
        <w:rPr>
          <w:spacing w:val="-12"/>
          <w:sz w:val="19"/>
        </w:rPr>
        <w:t xml:space="preserve"> </w:t>
      </w:r>
      <w:r>
        <w:rPr>
          <w:sz w:val="19"/>
        </w:rPr>
        <w:t>(for</w:t>
      </w:r>
      <w:r>
        <w:rPr>
          <w:spacing w:val="-12"/>
          <w:sz w:val="19"/>
        </w:rPr>
        <w:t xml:space="preserve"> </w:t>
      </w:r>
      <w:r>
        <w:rPr>
          <w:sz w:val="19"/>
        </w:rPr>
        <w:t>passenger</w:t>
      </w:r>
      <w:r>
        <w:rPr>
          <w:spacing w:val="-12"/>
          <w:sz w:val="19"/>
        </w:rPr>
        <w:t xml:space="preserve"> </w:t>
      </w:r>
      <w:r>
        <w:rPr>
          <w:sz w:val="19"/>
        </w:rPr>
        <w:t>services</w:t>
      </w:r>
      <w:r>
        <w:rPr>
          <w:spacing w:val="-12"/>
          <w:sz w:val="19"/>
        </w:rPr>
        <w:t xml:space="preserve"> </w:t>
      </w:r>
      <w:r>
        <w:rPr>
          <w:sz w:val="19"/>
        </w:rPr>
        <w:t>to overtake freight trains)</w:t>
      </w:r>
    </w:p>
    <w:p w:rsidR="002C1123" w:rsidRDefault="00F22F94">
      <w:pPr>
        <w:pStyle w:val="ListParagraph"/>
        <w:numPr>
          <w:ilvl w:val="1"/>
          <w:numId w:val="73"/>
        </w:numPr>
        <w:tabs>
          <w:tab w:val="left" w:pos="731"/>
        </w:tabs>
        <w:spacing w:before="102" w:line="252" w:lineRule="auto"/>
        <w:ind w:left="730" w:right="353"/>
        <w:rPr>
          <w:rFonts w:ascii="Tahoma" w:hAnsi="Tahoma"/>
          <w:sz w:val="19"/>
        </w:rPr>
      </w:pPr>
      <w:r>
        <w:rPr>
          <w:w w:val="95"/>
          <w:sz w:val="19"/>
        </w:rPr>
        <w:t xml:space="preserve">several steep inclines, especially adjacent to the </w:t>
      </w:r>
      <w:r>
        <w:rPr>
          <w:sz w:val="19"/>
        </w:rPr>
        <w:t>Hawkesbury</w:t>
      </w:r>
      <w:r>
        <w:rPr>
          <w:spacing w:val="-8"/>
          <w:sz w:val="19"/>
        </w:rPr>
        <w:t xml:space="preserve"> </w:t>
      </w:r>
      <w:r>
        <w:rPr>
          <w:sz w:val="19"/>
        </w:rPr>
        <w:t>River</w:t>
      </w:r>
    </w:p>
    <w:p w:rsidR="002C1123" w:rsidRDefault="00F22F94">
      <w:pPr>
        <w:pStyle w:val="ListParagraph"/>
        <w:numPr>
          <w:ilvl w:val="1"/>
          <w:numId w:val="73"/>
        </w:numPr>
        <w:tabs>
          <w:tab w:val="left" w:pos="731"/>
        </w:tabs>
        <w:spacing w:before="102" w:line="252" w:lineRule="auto"/>
        <w:ind w:left="730" w:right="282"/>
        <w:rPr>
          <w:rFonts w:ascii="Tahoma" w:hAnsi="Tahoma"/>
          <w:sz w:val="19"/>
        </w:rPr>
      </w:pPr>
      <w:r>
        <w:rPr>
          <w:sz w:val="19"/>
        </w:rPr>
        <w:t>junctions</w:t>
      </w:r>
      <w:r>
        <w:rPr>
          <w:spacing w:val="-10"/>
          <w:sz w:val="19"/>
        </w:rPr>
        <w:t xml:space="preserve"> </w:t>
      </w:r>
      <w:r>
        <w:rPr>
          <w:sz w:val="19"/>
        </w:rPr>
        <w:t>causing</w:t>
      </w:r>
      <w:r>
        <w:rPr>
          <w:spacing w:val="-10"/>
          <w:sz w:val="19"/>
        </w:rPr>
        <w:t xml:space="preserve"> </w:t>
      </w:r>
      <w:r>
        <w:rPr>
          <w:sz w:val="19"/>
        </w:rPr>
        <w:t>critical</w:t>
      </w:r>
      <w:r>
        <w:rPr>
          <w:spacing w:val="-10"/>
          <w:sz w:val="19"/>
        </w:rPr>
        <w:t xml:space="preserve"> </w:t>
      </w:r>
      <w:r>
        <w:rPr>
          <w:sz w:val="19"/>
        </w:rPr>
        <w:t>delays</w:t>
      </w:r>
      <w:r>
        <w:rPr>
          <w:spacing w:val="-10"/>
          <w:sz w:val="19"/>
        </w:rPr>
        <w:t xml:space="preserve"> </w:t>
      </w:r>
      <w:r>
        <w:rPr>
          <w:sz w:val="19"/>
        </w:rPr>
        <w:t>such</w:t>
      </w:r>
      <w:r>
        <w:rPr>
          <w:spacing w:val="-10"/>
          <w:sz w:val="19"/>
        </w:rPr>
        <w:t xml:space="preserve"> </w:t>
      </w:r>
      <w:r>
        <w:rPr>
          <w:sz w:val="19"/>
        </w:rPr>
        <w:t>as</w:t>
      </w:r>
      <w:r>
        <w:rPr>
          <w:spacing w:val="-10"/>
          <w:sz w:val="19"/>
        </w:rPr>
        <w:t xml:space="preserve"> </w:t>
      </w:r>
      <w:r>
        <w:rPr>
          <w:sz w:val="19"/>
        </w:rPr>
        <w:t>at</w:t>
      </w:r>
      <w:r>
        <w:rPr>
          <w:spacing w:val="-10"/>
          <w:sz w:val="19"/>
        </w:rPr>
        <w:t xml:space="preserve"> </w:t>
      </w:r>
      <w:r>
        <w:rPr>
          <w:sz w:val="19"/>
        </w:rPr>
        <w:t>North Strathfield and Hornsby</w:t>
      </w:r>
    </w:p>
    <w:p w:rsidR="002C1123" w:rsidRDefault="00F22F94">
      <w:pPr>
        <w:pStyle w:val="ListParagraph"/>
        <w:numPr>
          <w:ilvl w:val="1"/>
          <w:numId w:val="73"/>
        </w:numPr>
        <w:tabs>
          <w:tab w:val="left" w:pos="731"/>
        </w:tabs>
        <w:spacing w:before="102" w:line="252" w:lineRule="auto"/>
        <w:ind w:left="730" w:right="52"/>
        <w:rPr>
          <w:rFonts w:ascii="Tahoma" w:hAnsi="Tahoma"/>
          <w:sz w:val="19"/>
        </w:rPr>
      </w:pPr>
      <w:r>
        <w:rPr>
          <w:w w:val="95"/>
          <w:sz w:val="19"/>
        </w:rPr>
        <w:t xml:space="preserve">passenger trains having priority over freight trains in </w:t>
      </w:r>
      <w:r>
        <w:rPr>
          <w:sz w:val="19"/>
        </w:rPr>
        <w:t>urban</w:t>
      </w:r>
      <w:r>
        <w:rPr>
          <w:spacing w:val="-8"/>
          <w:sz w:val="19"/>
        </w:rPr>
        <w:t xml:space="preserve"> </w:t>
      </w:r>
      <w:r>
        <w:rPr>
          <w:sz w:val="19"/>
        </w:rPr>
        <w:t>Sydney.</w:t>
      </w:r>
    </w:p>
    <w:p w:rsidR="002C1123" w:rsidRDefault="00F22F94">
      <w:pPr>
        <w:spacing w:before="114" w:line="252" w:lineRule="auto"/>
        <w:ind w:left="447"/>
        <w:rPr>
          <w:sz w:val="19"/>
        </w:rPr>
      </w:pPr>
      <w:r>
        <w:rPr>
          <w:sz w:val="19"/>
        </w:rPr>
        <w:t>In late 2010, the Commonwealth and the NSW Governments</w:t>
      </w:r>
      <w:r>
        <w:rPr>
          <w:spacing w:val="-14"/>
          <w:sz w:val="19"/>
        </w:rPr>
        <w:t xml:space="preserve"> </w:t>
      </w:r>
      <w:r>
        <w:rPr>
          <w:sz w:val="19"/>
        </w:rPr>
        <w:t>signed</w:t>
      </w:r>
      <w:r>
        <w:rPr>
          <w:spacing w:val="-13"/>
          <w:sz w:val="19"/>
        </w:rPr>
        <w:t xml:space="preserve"> </w:t>
      </w:r>
      <w:r>
        <w:rPr>
          <w:sz w:val="19"/>
        </w:rPr>
        <w:t>an</w:t>
      </w:r>
      <w:r>
        <w:rPr>
          <w:spacing w:val="-13"/>
          <w:sz w:val="19"/>
        </w:rPr>
        <w:t xml:space="preserve"> </w:t>
      </w:r>
      <w:r>
        <w:rPr>
          <w:sz w:val="19"/>
        </w:rPr>
        <w:t>inter-governmental</w:t>
      </w:r>
      <w:r>
        <w:rPr>
          <w:spacing w:val="-13"/>
          <w:sz w:val="19"/>
        </w:rPr>
        <w:t xml:space="preserve"> </w:t>
      </w:r>
      <w:r>
        <w:rPr>
          <w:sz w:val="19"/>
        </w:rPr>
        <w:t>agreement to</w:t>
      </w:r>
      <w:r>
        <w:rPr>
          <w:spacing w:val="-5"/>
          <w:sz w:val="19"/>
        </w:rPr>
        <w:t xml:space="preserve"> </w:t>
      </w:r>
      <w:r>
        <w:rPr>
          <w:sz w:val="19"/>
        </w:rPr>
        <w:t>commence</w:t>
      </w:r>
      <w:r>
        <w:rPr>
          <w:spacing w:val="-5"/>
          <w:sz w:val="19"/>
        </w:rPr>
        <w:t xml:space="preserve"> </w:t>
      </w:r>
      <w:r>
        <w:rPr>
          <w:sz w:val="19"/>
        </w:rPr>
        <w:t>work</w:t>
      </w:r>
      <w:r>
        <w:rPr>
          <w:spacing w:val="-5"/>
          <w:sz w:val="19"/>
        </w:rPr>
        <w:t xml:space="preserve"> </w:t>
      </w:r>
      <w:r>
        <w:rPr>
          <w:sz w:val="19"/>
        </w:rPr>
        <w:t>on</w:t>
      </w:r>
      <w:r>
        <w:rPr>
          <w:spacing w:val="-5"/>
          <w:sz w:val="19"/>
        </w:rPr>
        <w:t xml:space="preserve"> </w:t>
      </w:r>
      <w:r>
        <w:rPr>
          <w:sz w:val="19"/>
        </w:rPr>
        <w:t>a</w:t>
      </w:r>
      <w:r>
        <w:rPr>
          <w:spacing w:val="-5"/>
          <w:sz w:val="19"/>
        </w:rPr>
        <w:t xml:space="preserve"> </w:t>
      </w:r>
      <w:r>
        <w:rPr>
          <w:sz w:val="19"/>
        </w:rPr>
        <w:t>$1.1</w:t>
      </w:r>
      <w:r>
        <w:rPr>
          <w:spacing w:val="-5"/>
          <w:sz w:val="19"/>
        </w:rPr>
        <w:t xml:space="preserve"> </w:t>
      </w:r>
      <w:r>
        <w:rPr>
          <w:sz w:val="19"/>
        </w:rPr>
        <w:t>billion</w:t>
      </w:r>
      <w:r>
        <w:rPr>
          <w:spacing w:val="-5"/>
          <w:sz w:val="19"/>
        </w:rPr>
        <w:t xml:space="preserve"> </w:t>
      </w:r>
      <w:r>
        <w:rPr>
          <w:sz w:val="19"/>
        </w:rPr>
        <w:t>upgrade</w:t>
      </w:r>
      <w:r>
        <w:rPr>
          <w:spacing w:val="-5"/>
          <w:sz w:val="19"/>
        </w:rPr>
        <w:t xml:space="preserve"> </w:t>
      </w:r>
      <w:r>
        <w:rPr>
          <w:sz w:val="19"/>
        </w:rPr>
        <w:t>(including</w:t>
      </w:r>
    </w:p>
    <w:p w:rsidR="002C1123" w:rsidRDefault="00F22F94">
      <w:pPr>
        <w:spacing w:before="1" w:line="252" w:lineRule="auto"/>
        <w:ind w:left="447"/>
        <w:rPr>
          <w:sz w:val="19"/>
        </w:rPr>
      </w:pPr>
      <w:r>
        <w:rPr>
          <w:sz w:val="19"/>
        </w:rPr>
        <w:t>$840 million funded by the Commonwealth and $214 million</w:t>
      </w:r>
      <w:r>
        <w:rPr>
          <w:spacing w:val="-14"/>
          <w:sz w:val="19"/>
        </w:rPr>
        <w:t xml:space="preserve"> </w:t>
      </w:r>
      <w:r>
        <w:rPr>
          <w:sz w:val="19"/>
        </w:rPr>
        <w:t>by</w:t>
      </w:r>
      <w:r>
        <w:rPr>
          <w:spacing w:val="-13"/>
          <w:sz w:val="19"/>
        </w:rPr>
        <w:t xml:space="preserve"> </w:t>
      </w:r>
      <w:r>
        <w:rPr>
          <w:sz w:val="19"/>
        </w:rPr>
        <w:t>the</w:t>
      </w:r>
      <w:r>
        <w:rPr>
          <w:spacing w:val="-13"/>
          <w:sz w:val="19"/>
        </w:rPr>
        <w:t xml:space="preserve"> </w:t>
      </w:r>
      <w:r>
        <w:rPr>
          <w:sz w:val="19"/>
        </w:rPr>
        <w:t>NSW</w:t>
      </w:r>
      <w:r>
        <w:rPr>
          <w:spacing w:val="-13"/>
          <w:sz w:val="19"/>
        </w:rPr>
        <w:t xml:space="preserve"> </w:t>
      </w:r>
      <w:r>
        <w:rPr>
          <w:sz w:val="19"/>
        </w:rPr>
        <w:t>Government)</w:t>
      </w:r>
      <w:r>
        <w:rPr>
          <w:spacing w:val="-13"/>
          <w:sz w:val="19"/>
        </w:rPr>
        <w:t xml:space="preserve"> </w:t>
      </w:r>
      <w:r>
        <w:rPr>
          <w:sz w:val="19"/>
        </w:rPr>
        <w:t>to</w:t>
      </w:r>
      <w:r>
        <w:rPr>
          <w:spacing w:val="-14"/>
          <w:sz w:val="19"/>
        </w:rPr>
        <w:t xml:space="preserve"> </w:t>
      </w:r>
      <w:r>
        <w:rPr>
          <w:sz w:val="19"/>
        </w:rPr>
        <w:t>this</w:t>
      </w:r>
      <w:r>
        <w:rPr>
          <w:spacing w:val="-13"/>
          <w:sz w:val="19"/>
        </w:rPr>
        <w:t xml:space="preserve"> </w:t>
      </w:r>
      <w:r>
        <w:rPr>
          <w:sz w:val="19"/>
        </w:rPr>
        <w:t>corridor.</w:t>
      </w:r>
      <w:r>
        <w:rPr>
          <w:spacing w:val="-13"/>
          <w:sz w:val="19"/>
        </w:rPr>
        <w:t xml:space="preserve"> </w:t>
      </w:r>
      <w:r>
        <w:rPr>
          <w:sz w:val="19"/>
        </w:rPr>
        <w:t>Works include the following:</w:t>
      </w:r>
    </w:p>
    <w:p w:rsidR="002C1123" w:rsidRDefault="00F22F94">
      <w:pPr>
        <w:pStyle w:val="ListParagraph"/>
        <w:numPr>
          <w:ilvl w:val="1"/>
          <w:numId w:val="73"/>
        </w:numPr>
        <w:tabs>
          <w:tab w:val="left" w:pos="731"/>
        </w:tabs>
        <w:spacing w:before="104"/>
        <w:ind w:left="730"/>
        <w:rPr>
          <w:rFonts w:ascii="Tahoma" w:hAnsi="Tahoma"/>
          <w:sz w:val="19"/>
        </w:rPr>
      </w:pPr>
      <w:r>
        <w:rPr>
          <w:w w:val="95"/>
          <w:sz w:val="19"/>
        </w:rPr>
        <w:t>North</w:t>
      </w:r>
      <w:r>
        <w:rPr>
          <w:spacing w:val="10"/>
          <w:sz w:val="19"/>
        </w:rPr>
        <w:t xml:space="preserve"> </w:t>
      </w:r>
      <w:r>
        <w:rPr>
          <w:w w:val="95"/>
          <w:sz w:val="19"/>
        </w:rPr>
        <w:t>Strathfield</w:t>
      </w:r>
      <w:r>
        <w:rPr>
          <w:spacing w:val="10"/>
          <w:sz w:val="19"/>
        </w:rPr>
        <w:t xml:space="preserve"> </w:t>
      </w:r>
      <w:r>
        <w:rPr>
          <w:w w:val="95"/>
          <w:sz w:val="19"/>
        </w:rPr>
        <w:t>rail</w:t>
      </w:r>
      <w:r>
        <w:rPr>
          <w:spacing w:val="10"/>
          <w:sz w:val="19"/>
        </w:rPr>
        <w:t xml:space="preserve"> </w:t>
      </w:r>
      <w:r>
        <w:rPr>
          <w:spacing w:val="-2"/>
          <w:w w:val="95"/>
          <w:sz w:val="19"/>
        </w:rPr>
        <w:t>underpass</w:t>
      </w:r>
    </w:p>
    <w:p w:rsidR="002C1123" w:rsidRDefault="00F22F94">
      <w:pPr>
        <w:pStyle w:val="ListParagraph"/>
        <w:numPr>
          <w:ilvl w:val="1"/>
          <w:numId w:val="73"/>
        </w:numPr>
        <w:tabs>
          <w:tab w:val="left" w:pos="731"/>
        </w:tabs>
        <w:spacing w:before="113"/>
        <w:ind w:left="730"/>
        <w:rPr>
          <w:rFonts w:ascii="Tahoma" w:hAnsi="Tahoma"/>
          <w:sz w:val="19"/>
        </w:rPr>
      </w:pPr>
      <w:r>
        <w:rPr>
          <w:w w:val="95"/>
          <w:sz w:val="19"/>
        </w:rPr>
        <w:t>Hexham</w:t>
      </w:r>
      <w:r>
        <w:rPr>
          <w:spacing w:val="23"/>
          <w:sz w:val="19"/>
        </w:rPr>
        <w:t xml:space="preserve"> </w:t>
      </w:r>
      <w:r>
        <w:rPr>
          <w:w w:val="95"/>
          <w:sz w:val="19"/>
        </w:rPr>
        <w:t>passing</w:t>
      </w:r>
      <w:r>
        <w:rPr>
          <w:spacing w:val="23"/>
          <w:sz w:val="19"/>
        </w:rPr>
        <w:t xml:space="preserve"> </w:t>
      </w:r>
      <w:r>
        <w:rPr>
          <w:spacing w:val="-2"/>
          <w:w w:val="95"/>
          <w:sz w:val="19"/>
        </w:rPr>
        <w:t>loops</w:t>
      </w:r>
    </w:p>
    <w:p w:rsidR="002C1123" w:rsidRDefault="00F22F94">
      <w:pPr>
        <w:pStyle w:val="ListParagraph"/>
        <w:numPr>
          <w:ilvl w:val="1"/>
          <w:numId w:val="73"/>
        </w:numPr>
        <w:tabs>
          <w:tab w:val="left" w:pos="731"/>
        </w:tabs>
        <w:spacing w:before="113"/>
        <w:ind w:left="730"/>
        <w:rPr>
          <w:rFonts w:ascii="Tahoma" w:hAnsi="Tahoma"/>
          <w:sz w:val="19"/>
        </w:rPr>
      </w:pPr>
      <w:r>
        <w:rPr>
          <w:sz w:val="19"/>
        </w:rPr>
        <w:t>Gosford</w:t>
      </w:r>
      <w:r>
        <w:rPr>
          <w:spacing w:val="-4"/>
          <w:sz w:val="19"/>
        </w:rPr>
        <w:t xml:space="preserve"> </w:t>
      </w:r>
      <w:r>
        <w:rPr>
          <w:sz w:val="19"/>
        </w:rPr>
        <w:t>North</w:t>
      </w:r>
      <w:r>
        <w:rPr>
          <w:spacing w:val="-3"/>
          <w:sz w:val="19"/>
        </w:rPr>
        <w:t xml:space="preserve"> </w:t>
      </w:r>
      <w:r>
        <w:rPr>
          <w:sz w:val="19"/>
        </w:rPr>
        <w:t>passing</w:t>
      </w:r>
      <w:r>
        <w:rPr>
          <w:spacing w:val="-3"/>
          <w:sz w:val="19"/>
        </w:rPr>
        <w:t xml:space="preserve"> </w:t>
      </w:r>
      <w:r>
        <w:rPr>
          <w:spacing w:val="-4"/>
          <w:sz w:val="19"/>
        </w:rPr>
        <w:t>loops</w:t>
      </w:r>
    </w:p>
    <w:p w:rsidR="002C1123" w:rsidRDefault="00F22F94">
      <w:pPr>
        <w:pStyle w:val="ListParagraph"/>
        <w:numPr>
          <w:ilvl w:val="1"/>
          <w:numId w:val="73"/>
        </w:numPr>
        <w:tabs>
          <w:tab w:val="left" w:pos="731"/>
        </w:tabs>
        <w:spacing w:before="113"/>
        <w:ind w:left="730"/>
        <w:rPr>
          <w:rFonts w:ascii="Tahoma" w:hAnsi="Tahoma"/>
          <w:sz w:val="19"/>
        </w:rPr>
      </w:pPr>
      <w:r>
        <w:rPr>
          <w:w w:val="95"/>
          <w:sz w:val="19"/>
        </w:rPr>
        <w:t>Epping</w:t>
      </w:r>
      <w:r>
        <w:rPr>
          <w:spacing w:val="7"/>
          <w:sz w:val="19"/>
        </w:rPr>
        <w:t xml:space="preserve"> </w:t>
      </w:r>
      <w:r>
        <w:rPr>
          <w:w w:val="95"/>
          <w:sz w:val="19"/>
        </w:rPr>
        <w:t>to</w:t>
      </w:r>
      <w:r>
        <w:rPr>
          <w:spacing w:val="8"/>
          <w:sz w:val="19"/>
        </w:rPr>
        <w:t xml:space="preserve"> </w:t>
      </w:r>
      <w:r>
        <w:rPr>
          <w:w w:val="95"/>
          <w:sz w:val="19"/>
        </w:rPr>
        <w:t>Pennant</w:t>
      </w:r>
      <w:r>
        <w:rPr>
          <w:spacing w:val="8"/>
          <w:sz w:val="19"/>
        </w:rPr>
        <w:t xml:space="preserve"> </w:t>
      </w:r>
      <w:r>
        <w:rPr>
          <w:w w:val="95"/>
          <w:sz w:val="19"/>
        </w:rPr>
        <w:t>Hills</w:t>
      </w:r>
      <w:r>
        <w:rPr>
          <w:spacing w:val="7"/>
          <w:sz w:val="19"/>
        </w:rPr>
        <w:t xml:space="preserve"> </w:t>
      </w:r>
      <w:r>
        <w:rPr>
          <w:w w:val="95"/>
          <w:sz w:val="19"/>
        </w:rPr>
        <w:t>third</w:t>
      </w:r>
      <w:r>
        <w:rPr>
          <w:spacing w:val="8"/>
          <w:sz w:val="19"/>
        </w:rPr>
        <w:t xml:space="preserve"> </w:t>
      </w:r>
      <w:r>
        <w:rPr>
          <w:spacing w:val="-2"/>
          <w:w w:val="95"/>
          <w:sz w:val="19"/>
        </w:rPr>
        <w:t>track</w:t>
      </w:r>
    </w:p>
    <w:p w:rsidR="002C1123" w:rsidRDefault="00F22F94">
      <w:pPr>
        <w:spacing w:before="125" w:line="252" w:lineRule="auto"/>
        <w:ind w:left="447"/>
        <w:rPr>
          <w:sz w:val="19"/>
        </w:rPr>
      </w:pPr>
      <w:r>
        <w:rPr>
          <w:sz w:val="19"/>
        </w:rPr>
        <w:t>In the longer term a more ambitious infrastructure works</w:t>
      </w:r>
      <w:r>
        <w:rPr>
          <w:spacing w:val="-9"/>
          <w:sz w:val="19"/>
        </w:rPr>
        <w:t xml:space="preserve"> </w:t>
      </w:r>
      <w:r>
        <w:rPr>
          <w:sz w:val="19"/>
        </w:rPr>
        <w:t>program</w:t>
      </w:r>
      <w:r>
        <w:rPr>
          <w:spacing w:val="-9"/>
          <w:sz w:val="19"/>
        </w:rPr>
        <w:t xml:space="preserve"> </w:t>
      </w:r>
      <w:r>
        <w:rPr>
          <w:sz w:val="19"/>
        </w:rPr>
        <w:t>is</w:t>
      </w:r>
      <w:r>
        <w:rPr>
          <w:spacing w:val="-9"/>
          <w:sz w:val="19"/>
        </w:rPr>
        <w:t xml:space="preserve"> </w:t>
      </w:r>
      <w:r>
        <w:rPr>
          <w:sz w:val="19"/>
        </w:rPr>
        <w:t>being</w:t>
      </w:r>
      <w:r>
        <w:rPr>
          <w:spacing w:val="-9"/>
          <w:sz w:val="19"/>
        </w:rPr>
        <w:t xml:space="preserve"> </w:t>
      </w:r>
      <w:r>
        <w:rPr>
          <w:sz w:val="19"/>
        </w:rPr>
        <w:t>considered</w:t>
      </w:r>
      <w:r>
        <w:rPr>
          <w:spacing w:val="-9"/>
          <w:sz w:val="19"/>
        </w:rPr>
        <w:t xml:space="preserve"> </w:t>
      </w:r>
      <w:r>
        <w:rPr>
          <w:sz w:val="19"/>
        </w:rPr>
        <w:t>which</w:t>
      </w:r>
      <w:r>
        <w:rPr>
          <w:spacing w:val="-9"/>
          <w:sz w:val="19"/>
        </w:rPr>
        <w:t xml:space="preserve"> </w:t>
      </w:r>
      <w:r>
        <w:rPr>
          <w:sz w:val="19"/>
        </w:rPr>
        <w:t>could</w:t>
      </w:r>
      <w:r>
        <w:rPr>
          <w:spacing w:val="-9"/>
          <w:sz w:val="19"/>
        </w:rPr>
        <w:t xml:space="preserve"> </w:t>
      </w:r>
      <w:r>
        <w:rPr>
          <w:sz w:val="19"/>
        </w:rPr>
        <w:t>include providing a dedicated rail freight track from</w:t>
      </w:r>
    </w:p>
    <w:p w:rsidR="002C1123" w:rsidRDefault="002C1123">
      <w:pPr>
        <w:pStyle w:val="BodyText"/>
        <w:spacing w:before="2"/>
        <w:rPr>
          <w:sz w:val="28"/>
        </w:rPr>
      </w:pPr>
    </w:p>
    <w:p w:rsidR="002C1123" w:rsidRDefault="00F22F94">
      <w:pPr>
        <w:pStyle w:val="ListParagraph"/>
        <w:numPr>
          <w:ilvl w:val="0"/>
          <w:numId w:val="73"/>
        </w:numPr>
        <w:tabs>
          <w:tab w:val="left" w:pos="646"/>
        </w:tabs>
        <w:ind w:left="645" w:right="460"/>
        <w:jc w:val="left"/>
        <w:rPr>
          <w:sz w:val="14"/>
        </w:rPr>
      </w:pPr>
      <w:r>
        <w:rPr>
          <w:w w:val="95"/>
          <w:sz w:val="14"/>
        </w:rPr>
        <w:t>NSW Government 2010, M5 East, M2F3, Northern Sydney Freight</w:t>
      </w:r>
      <w:r>
        <w:rPr>
          <w:spacing w:val="40"/>
          <w:sz w:val="14"/>
        </w:rPr>
        <w:t xml:space="preserve"> </w:t>
      </w:r>
      <w:r>
        <w:rPr>
          <w:w w:val="95"/>
          <w:sz w:val="14"/>
        </w:rPr>
        <w:t>Corridor, Container Freight Improvement Strategy, submission to</w:t>
      </w:r>
      <w:r>
        <w:rPr>
          <w:spacing w:val="40"/>
          <w:sz w:val="14"/>
        </w:rPr>
        <w:t xml:space="preserve"> </w:t>
      </w:r>
      <w:r>
        <w:rPr>
          <w:sz w:val="14"/>
        </w:rPr>
        <w:t>Infrastructure</w:t>
      </w:r>
      <w:r>
        <w:rPr>
          <w:spacing w:val="-10"/>
          <w:sz w:val="14"/>
        </w:rPr>
        <w:t xml:space="preserve"> </w:t>
      </w:r>
      <w:r>
        <w:rPr>
          <w:sz w:val="14"/>
        </w:rPr>
        <w:t>Australia.</w:t>
      </w:r>
    </w:p>
    <w:p w:rsidR="002C1123" w:rsidRDefault="00F22F94">
      <w:pPr>
        <w:spacing w:before="9"/>
        <w:rPr>
          <w:sz w:val="29"/>
        </w:rPr>
      </w:pPr>
      <w:r>
        <w:br w:type="column"/>
      </w:r>
    </w:p>
    <w:p w:rsidR="002C1123" w:rsidRDefault="00F22F94">
      <w:pPr>
        <w:spacing w:line="252" w:lineRule="auto"/>
        <w:ind w:left="188" w:right="698"/>
        <w:rPr>
          <w:sz w:val="19"/>
        </w:rPr>
      </w:pPr>
      <w:r>
        <w:rPr>
          <w:spacing w:val="-2"/>
          <w:sz w:val="19"/>
        </w:rPr>
        <w:t>North</w:t>
      </w:r>
      <w:r>
        <w:rPr>
          <w:spacing w:val="-5"/>
          <w:sz w:val="19"/>
        </w:rPr>
        <w:t xml:space="preserve"> </w:t>
      </w:r>
      <w:r>
        <w:rPr>
          <w:spacing w:val="-2"/>
          <w:sz w:val="19"/>
        </w:rPr>
        <w:t>Strathfield</w:t>
      </w:r>
      <w:r>
        <w:rPr>
          <w:spacing w:val="-5"/>
          <w:sz w:val="19"/>
        </w:rPr>
        <w:t xml:space="preserve"> </w:t>
      </w:r>
      <w:r>
        <w:rPr>
          <w:spacing w:val="-2"/>
          <w:sz w:val="19"/>
        </w:rPr>
        <w:t>to</w:t>
      </w:r>
      <w:r>
        <w:rPr>
          <w:spacing w:val="-5"/>
          <w:sz w:val="19"/>
        </w:rPr>
        <w:t xml:space="preserve"> </w:t>
      </w:r>
      <w:r>
        <w:rPr>
          <w:spacing w:val="-2"/>
          <w:sz w:val="19"/>
        </w:rPr>
        <w:t>the</w:t>
      </w:r>
      <w:r>
        <w:rPr>
          <w:spacing w:val="-5"/>
          <w:sz w:val="19"/>
        </w:rPr>
        <w:t xml:space="preserve"> </w:t>
      </w:r>
      <w:r>
        <w:rPr>
          <w:spacing w:val="-2"/>
          <w:sz w:val="19"/>
        </w:rPr>
        <w:t>Hawkesbury</w:t>
      </w:r>
      <w:r>
        <w:rPr>
          <w:spacing w:val="-5"/>
          <w:sz w:val="19"/>
        </w:rPr>
        <w:t xml:space="preserve"> </w:t>
      </w:r>
      <w:r>
        <w:rPr>
          <w:spacing w:val="-2"/>
          <w:sz w:val="19"/>
        </w:rPr>
        <w:t>River,</w:t>
      </w:r>
      <w:r>
        <w:rPr>
          <w:spacing w:val="-5"/>
          <w:sz w:val="19"/>
        </w:rPr>
        <w:t xml:space="preserve"> </w:t>
      </w:r>
      <w:r>
        <w:rPr>
          <w:spacing w:val="-2"/>
          <w:sz w:val="19"/>
        </w:rPr>
        <w:t xml:space="preserve">additional </w:t>
      </w:r>
      <w:r>
        <w:rPr>
          <w:sz w:val="19"/>
        </w:rPr>
        <w:t>passing loops north of the Hawkesbury as well as potentially improved train control systems.</w:t>
      </w:r>
    </w:p>
    <w:p w:rsidR="002C1123" w:rsidRDefault="00F22F94">
      <w:pPr>
        <w:spacing w:before="143" w:line="252" w:lineRule="auto"/>
        <w:ind w:left="188" w:right="1096"/>
        <w:rPr>
          <w:sz w:val="19"/>
        </w:rPr>
      </w:pPr>
      <w:r>
        <w:rPr>
          <w:sz w:val="19"/>
        </w:rPr>
        <w:t>The</w:t>
      </w:r>
      <w:r>
        <w:rPr>
          <w:spacing w:val="-14"/>
          <w:sz w:val="19"/>
        </w:rPr>
        <w:t xml:space="preserve"> </w:t>
      </w:r>
      <w:r>
        <w:rPr>
          <w:sz w:val="19"/>
        </w:rPr>
        <w:t>challenging</w:t>
      </w:r>
      <w:r>
        <w:rPr>
          <w:spacing w:val="-13"/>
          <w:sz w:val="19"/>
        </w:rPr>
        <w:t xml:space="preserve"> </w:t>
      </w:r>
      <w:r>
        <w:rPr>
          <w:sz w:val="19"/>
        </w:rPr>
        <w:t>geography</w:t>
      </w:r>
      <w:r>
        <w:rPr>
          <w:spacing w:val="-13"/>
          <w:sz w:val="19"/>
        </w:rPr>
        <w:t xml:space="preserve"> </w:t>
      </w:r>
      <w:r>
        <w:rPr>
          <w:sz w:val="19"/>
        </w:rPr>
        <w:t>this</w:t>
      </w:r>
      <w:r>
        <w:rPr>
          <w:spacing w:val="-13"/>
          <w:sz w:val="19"/>
        </w:rPr>
        <w:t xml:space="preserve"> </w:t>
      </w:r>
      <w:r>
        <w:rPr>
          <w:sz w:val="19"/>
        </w:rPr>
        <w:t>route</w:t>
      </w:r>
      <w:r>
        <w:rPr>
          <w:spacing w:val="-13"/>
          <w:sz w:val="19"/>
        </w:rPr>
        <w:t xml:space="preserve"> </w:t>
      </w:r>
      <w:r>
        <w:rPr>
          <w:sz w:val="19"/>
        </w:rPr>
        <w:t>passes</w:t>
      </w:r>
      <w:r>
        <w:rPr>
          <w:spacing w:val="-14"/>
          <w:sz w:val="19"/>
        </w:rPr>
        <w:t xml:space="preserve"> </w:t>
      </w:r>
      <w:r>
        <w:rPr>
          <w:sz w:val="19"/>
        </w:rPr>
        <w:t>through makes these options very expensive. The estimated cost of these works is around $6.8 billion.</w:t>
      </w:r>
    </w:p>
    <w:p w:rsidR="002C1123" w:rsidRDefault="00F22F94">
      <w:pPr>
        <w:spacing w:before="115" w:line="252" w:lineRule="auto"/>
        <w:ind w:left="188" w:right="1096"/>
        <w:rPr>
          <w:sz w:val="19"/>
        </w:rPr>
      </w:pPr>
      <w:r>
        <w:rPr>
          <w:sz w:val="19"/>
        </w:rPr>
        <w:t>Further assessment is needed to identify whether there is a robust business case for these proposed investments,</w:t>
      </w:r>
      <w:r>
        <w:rPr>
          <w:spacing w:val="-6"/>
          <w:sz w:val="19"/>
        </w:rPr>
        <w:t xml:space="preserve"> </w:t>
      </w:r>
      <w:r>
        <w:rPr>
          <w:sz w:val="19"/>
        </w:rPr>
        <w:t>particularly</w:t>
      </w:r>
      <w:r>
        <w:rPr>
          <w:spacing w:val="-6"/>
          <w:sz w:val="19"/>
        </w:rPr>
        <w:t xml:space="preserve"> </w:t>
      </w:r>
      <w:r>
        <w:rPr>
          <w:sz w:val="19"/>
        </w:rPr>
        <w:t>given</w:t>
      </w:r>
      <w:r>
        <w:rPr>
          <w:spacing w:val="-6"/>
          <w:sz w:val="19"/>
        </w:rPr>
        <w:t xml:space="preserve"> </w:t>
      </w:r>
      <w:r>
        <w:rPr>
          <w:sz w:val="19"/>
        </w:rPr>
        <w:t>the</w:t>
      </w:r>
      <w:r>
        <w:rPr>
          <w:spacing w:val="-6"/>
          <w:sz w:val="19"/>
        </w:rPr>
        <w:t xml:space="preserve"> </w:t>
      </w:r>
      <w:r>
        <w:rPr>
          <w:sz w:val="19"/>
        </w:rPr>
        <w:t>high</w:t>
      </w:r>
      <w:r>
        <w:rPr>
          <w:spacing w:val="-6"/>
          <w:sz w:val="19"/>
        </w:rPr>
        <w:t xml:space="preserve"> </w:t>
      </w:r>
      <w:r>
        <w:rPr>
          <w:sz w:val="19"/>
        </w:rPr>
        <w:t>modal</w:t>
      </w:r>
      <w:r>
        <w:rPr>
          <w:spacing w:val="-6"/>
          <w:sz w:val="19"/>
        </w:rPr>
        <w:t xml:space="preserve"> </w:t>
      </w:r>
      <w:r>
        <w:rPr>
          <w:sz w:val="19"/>
        </w:rPr>
        <w:t>share of</w:t>
      </w:r>
      <w:r>
        <w:rPr>
          <w:spacing w:val="-14"/>
          <w:sz w:val="19"/>
        </w:rPr>
        <w:t xml:space="preserve"> </w:t>
      </w:r>
      <w:r>
        <w:rPr>
          <w:sz w:val="19"/>
        </w:rPr>
        <w:t>road</w:t>
      </w:r>
      <w:r>
        <w:rPr>
          <w:spacing w:val="-13"/>
          <w:sz w:val="19"/>
        </w:rPr>
        <w:t xml:space="preserve"> </w:t>
      </w:r>
      <w:r>
        <w:rPr>
          <w:sz w:val="19"/>
        </w:rPr>
        <w:t>for</w:t>
      </w:r>
      <w:r>
        <w:rPr>
          <w:spacing w:val="-13"/>
          <w:sz w:val="19"/>
        </w:rPr>
        <w:t xml:space="preserve"> </w:t>
      </w:r>
      <w:r>
        <w:rPr>
          <w:sz w:val="19"/>
        </w:rPr>
        <w:t>freight</w:t>
      </w:r>
      <w:r>
        <w:rPr>
          <w:spacing w:val="-13"/>
          <w:sz w:val="19"/>
        </w:rPr>
        <w:t xml:space="preserve"> </w:t>
      </w:r>
      <w:r>
        <w:rPr>
          <w:sz w:val="19"/>
        </w:rPr>
        <w:t>journeys</w:t>
      </w:r>
      <w:r>
        <w:rPr>
          <w:spacing w:val="-13"/>
          <w:sz w:val="19"/>
        </w:rPr>
        <w:t xml:space="preserve"> </w:t>
      </w:r>
      <w:r>
        <w:rPr>
          <w:sz w:val="19"/>
        </w:rPr>
        <w:t>along</w:t>
      </w:r>
      <w:r>
        <w:rPr>
          <w:spacing w:val="-14"/>
          <w:sz w:val="19"/>
        </w:rPr>
        <w:t xml:space="preserve"> </w:t>
      </w:r>
      <w:r>
        <w:rPr>
          <w:sz w:val="19"/>
        </w:rPr>
        <w:t>this</w:t>
      </w:r>
      <w:r>
        <w:rPr>
          <w:spacing w:val="-13"/>
          <w:sz w:val="19"/>
        </w:rPr>
        <w:t xml:space="preserve"> </w:t>
      </w:r>
      <w:r>
        <w:rPr>
          <w:sz w:val="19"/>
        </w:rPr>
        <w:t>corridor</w:t>
      </w:r>
      <w:r>
        <w:rPr>
          <w:spacing w:val="-13"/>
          <w:sz w:val="19"/>
        </w:rPr>
        <w:t xml:space="preserve"> </w:t>
      </w:r>
      <w:r>
        <w:rPr>
          <w:sz w:val="19"/>
        </w:rPr>
        <w:t>and</w:t>
      </w:r>
      <w:r>
        <w:rPr>
          <w:spacing w:val="-13"/>
          <w:sz w:val="19"/>
        </w:rPr>
        <w:t xml:space="preserve"> </w:t>
      </w:r>
      <w:r>
        <w:rPr>
          <w:sz w:val="19"/>
        </w:rPr>
        <w:t>the</w:t>
      </w:r>
    </w:p>
    <w:p w:rsidR="002C1123" w:rsidRDefault="00F22F94">
      <w:pPr>
        <w:spacing w:before="2" w:line="252" w:lineRule="auto"/>
        <w:ind w:left="188" w:right="803"/>
        <w:rPr>
          <w:sz w:val="19"/>
        </w:rPr>
      </w:pPr>
      <w:r>
        <w:rPr>
          <w:w w:val="95"/>
          <w:sz w:val="19"/>
        </w:rPr>
        <w:t xml:space="preserve">small (although fast growing) share of the freight market </w:t>
      </w:r>
      <w:r>
        <w:rPr>
          <w:sz w:val="19"/>
        </w:rPr>
        <w:t>that interstate movements comprise.</w:t>
      </w:r>
    </w:p>
    <w:p w:rsidR="002C1123" w:rsidRDefault="00F22F94">
      <w:pPr>
        <w:spacing w:before="115" w:line="252" w:lineRule="auto"/>
        <w:ind w:left="188" w:right="698"/>
        <w:rPr>
          <w:sz w:val="19"/>
        </w:rPr>
      </w:pPr>
      <w:r>
        <w:rPr>
          <w:sz w:val="19"/>
        </w:rPr>
        <w:t>Focus may be better placed on addressing key constraints</w:t>
      </w:r>
      <w:r>
        <w:rPr>
          <w:spacing w:val="-14"/>
          <w:sz w:val="19"/>
        </w:rPr>
        <w:t xml:space="preserve"> </w:t>
      </w:r>
      <w:r>
        <w:rPr>
          <w:sz w:val="19"/>
        </w:rPr>
        <w:t>on</w:t>
      </w:r>
      <w:r>
        <w:rPr>
          <w:spacing w:val="-13"/>
          <w:sz w:val="19"/>
        </w:rPr>
        <w:t xml:space="preserve"> </w:t>
      </w:r>
      <w:r>
        <w:rPr>
          <w:sz w:val="19"/>
        </w:rPr>
        <w:t>the</w:t>
      </w:r>
      <w:r>
        <w:rPr>
          <w:spacing w:val="-13"/>
          <w:sz w:val="19"/>
        </w:rPr>
        <w:t xml:space="preserve"> </w:t>
      </w:r>
      <w:r>
        <w:rPr>
          <w:sz w:val="19"/>
        </w:rPr>
        <w:t>rail</w:t>
      </w:r>
      <w:r>
        <w:rPr>
          <w:spacing w:val="-13"/>
          <w:sz w:val="19"/>
        </w:rPr>
        <w:t xml:space="preserve"> </w:t>
      </w:r>
      <w:r>
        <w:rPr>
          <w:sz w:val="19"/>
        </w:rPr>
        <w:t>network</w:t>
      </w:r>
      <w:r>
        <w:rPr>
          <w:spacing w:val="-13"/>
          <w:sz w:val="19"/>
        </w:rPr>
        <w:t xml:space="preserve"> </w:t>
      </w:r>
      <w:r>
        <w:rPr>
          <w:sz w:val="19"/>
        </w:rPr>
        <w:t>to</w:t>
      </w:r>
      <w:r>
        <w:rPr>
          <w:spacing w:val="-14"/>
          <w:sz w:val="19"/>
        </w:rPr>
        <w:t xml:space="preserve"> </w:t>
      </w:r>
      <w:r>
        <w:rPr>
          <w:sz w:val="19"/>
        </w:rPr>
        <w:t>Brisbane,</w:t>
      </w:r>
      <w:r>
        <w:rPr>
          <w:spacing w:val="-13"/>
          <w:sz w:val="19"/>
        </w:rPr>
        <w:t xml:space="preserve"> </w:t>
      </w:r>
      <w:r>
        <w:rPr>
          <w:sz w:val="19"/>
        </w:rPr>
        <w:t>rather</w:t>
      </w:r>
      <w:r>
        <w:rPr>
          <w:spacing w:val="-13"/>
          <w:sz w:val="19"/>
        </w:rPr>
        <w:t xml:space="preserve"> </w:t>
      </w:r>
      <w:r>
        <w:rPr>
          <w:sz w:val="19"/>
        </w:rPr>
        <w:t>than more comprehensive programs.</w:t>
      </w:r>
    </w:p>
    <w:p w:rsidR="002C1123" w:rsidRDefault="00F22F94">
      <w:pPr>
        <w:spacing w:before="116" w:line="252" w:lineRule="auto"/>
        <w:ind w:left="188" w:right="698"/>
        <w:rPr>
          <w:sz w:val="19"/>
        </w:rPr>
      </w:pPr>
      <w:r>
        <w:rPr>
          <w:sz w:val="19"/>
        </w:rPr>
        <w:t>One</w:t>
      </w:r>
      <w:r>
        <w:rPr>
          <w:spacing w:val="-14"/>
          <w:sz w:val="19"/>
        </w:rPr>
        <w:t xml:space="preserve"> </w:t>
      </w:r>
      <w:r>
        <w:rPr>
          <w:sz w:val="19"/>
        </w:rPr>
        <w:t>area</w:t>
      </w:r>
      <w:r>
        <w:rPr>
          <w:spacing w:val="-13"/>
          <w:sz w:val="19"/>
        </w:rPr>
        <w:t xml:space="preserve"> </w:t>
      </w:r>
      <w:r>
        <w:rPr>
          <w:sz w:val="19"/>
        </w:rPr>
        <w:t>within</w:t>
      </w:r>
      <w:r>
        <w:rPr>
          <w:spacing w:val="-13"/>
          <w:sz w:val="19"/>
        </w:rPr>
        <w:t xml:space="preserve"> </w:t>
      </w:r>
      <w:r>
        <w:rPr>
          <w:sz w:val="19"/>
        </w:rPr>
        <w:t>the</w:t>
      </w:r>
      <w:r>
        <w:rPr>
          <w:spacing w:val="-13"/>
          <w:sz w:val="19"/>
        </w:rPr>
        <w:t xml:space="preserve"> </w:t>
      </w:r>
      <w:r>
        <w:rPr>
          <w:sz w:val="19"/>
        </w:rPr>
        <w:t>wider</w:t>
      </w:r>
      <w:r>
        <w:rPr>
          <w:spacing w:val="-13"/>
          <w:sz w:val="19"/>
        </w:rPr>
        <w:t xml:space="preserve"> </w:t>
      </w:r>
      <w:r>
        <w:rPr>
          <w:sz w:val="19"/>
        </w:rPr>
        <w:t>Northern</w:t>
      </w:r>
      <w:r>
        <w:rPr>
          <w:spacing w:val="-14"/>
          <w:sz w:val="19"/>
        </w:rPr>
        <w:t xml:space="preserve"> </w:t>
      </w:r>
      <w:r>
        <w:rPr>
          <w:sz w:val="19"/>
        </w:rPr>
        <w:t>Sydney</w:t>
      </w:r>
      <w:r>
        <w:rPr>
          <w:spacing w:val="-13"/>
          <w:sz w:val="19"/>
        </w:rPr>
        <w:t xml:space="preserve"> </w:t>
      </w:r>
      <w:r>
        <w:rPr>
          <w:sz w:val="19"/>
        </w:rPr>
        <w:t xml:space="preserve">Freight </w:t>
      </w:r>
      <w:r>
        <w:rPr>
          <w:w w:val="95"/>
          <w:sz w:val="19"/>
        </w:rPr>
        <w:t xml:space="preserve">Corridor program, which appears of strategic merit, is the </w:t>
      </w:r>
      <w:r>
        <w:rPr>
          <w:sz w:val="19"/>
        </w:rPr>
        <w:t>proposed</w:t>
      </w:r>
      <w:r>
        <w:rPr>
          <w:spacing w:val="-9"/>
          <w:sz w:val="19"/>
        </w:rPr>
        <w:t xml:space="preserve"> </w:t>
      </w:r>
      <w:r>
        <w:rPr>
          <w:sz w:val="19"/>
        </w:rPr>
        <w:t>option</w:t>
      </w:r>
      <w:r>
        <w:rPr>
          <w:spacing w:val="-9"/>
          <w:sz w:val="19"/>
        </w:rPr>
        <w:t xml:space="preserve"> </w:t>
      </w:r>
      <w:r>
        <w:rPr>
          <w:sz w:val="19"/>
        </w:rPr>
        <w:t>to</w:t>
      </w:r>
      <w:r>
        <w:rPr>
          <w:spacing w:val="-9"/>
          <w:sz w:val="19"/>
        </w:rPr>
        <w:t xml:space="preserve"> </w:t>
      </w:r>
      <w:r>
        <w:rPr>
          <w:sz w:val="19"/>
        </w:rPr>
        <w:t>provide</w:t>
      </w:r>
      <w:r>
        <w:rPr>
          <w:spacing w:val="-9"/>
          <w:sz w:val="19"/>
        </w:rPr>
        <w:t xml:space="preserve"> </w:t>
      </w:r>
      <w:r>
        <w:rPr>
          <w:sz w:val="19"/>
        </w:rPr>
        <w:t>a</w:t>
      </w:r>
      <w:r>
        <w:rPr>
          <w:spacing w:val="-9"/>
          <w:sz w:val="19"/>
        </w:rPr>
        <w:t xml:space="preserve"> </w:t>
      </w:r>
      <w:r>
        <w:rPr>
          <w:sz w:val="19"/>
        </w:rPr>
        <w:t>rail</w:t>
      </w:r>
      <w:r>
        <w:rPr>
          <w:spacing w:val="-9"/>
          <w:sz w:val="19"/>
        </w:rPr>
        <w:t xml:space="preserve"> </w:t>
      </w:r>
      <w:r>
        <w:rPr>
          <w:sz w:val="19"/>
        </w:rPr>
        <w:t>bypass</w:t>
      </w:r>
      <w:r>
        <w:rPr>
          <w:spacing w:val="-9"/>
          <w:sz w:val="19"/>
        </w:rPr>
        <w:t xml:space="preserve"> </w:t>
      </w:r>
      <w:r>
        <w:rPr>
          <w:sz w:val="19"/>
        </w:rPr>
        <w:t>of</w:t>
      </w:r>
      <w:r>
        <w:rPr>
          <w:spacing w:val="-9"/>
          <w:sz w:val="19"/>
        </w:rPr>
        <w:t xml:space="preserve"> </w:t>
      </w:r>
      <w:r>
        <w:rPr>
          <w:sz w:val="19"/>
        </w:rPr>
        <w:t>Newcastle.</w:t>
      </w:r>
    </w:p>
    <w:p w:rsidR="002C1123" w:rsidRDefault="00F22F94">
      <w:pPr>
        <w:spacing w:before="115" w:line="252" w:lineRule="auto"/>
        <w:ind w:left="188" w:right="880"/>
        <w:rPr>
          <w:sz w:val="19"/>
        </w:rPr>
      </w:pPr>
      <w:r>
        <w:rPr>
          <w:sz w:val="19"/>
        </w:rPr>
        <w:t>Current track alignments force all traffic (including interstate</w:t>
      </w:r>
      <w:r>
        <w:rPr>
          <w:spacing w:val="-8"/>
          <w:sz w:val="19"/>
        </w:rPr>
        <w:t xml:space="preserve"> </w:t>
      </w:r>
      <w:r>
        <w:rPr>
          <w:sz w:val="19"/>
        </w:rPr>
        <w:t>freight)</w:t>
      </w:r>
      <w:r>
        <w:rPr>
          <w:spacing w:val="-8"/>
          <w:sz w:val="19"/>
        </w:rPr>
        <w:t xml:space="preserve"> </w:t>
      </w:r>
      <w:r>
        <w:rPr>
          <w:sz w:val="19"/>
        </w:rPr>
        <w:t>on</w:t>
      </w:r>
      <w:r>
        <w:rPr>
          <w:spacing w:val="-8"/>
          <w:sz w:val="19"/>
        </w:rPr>
        <w:t xml:space="preserve"> </w:t>
      </w:r>
      <w:r>
        <w:rPr>
          <w:sz w:val="19"/>
        </w:rPr>
        <w:t>a</w:t>
      </w:r>
      <w:r>
        <w:rPr>
          <w:spacing w:val="-8"/>
          <w:sz w:val="19"/>
        </w:rPr>
        <w:t xml:space="preserve"> </w:t>
      </w:r>
      <w:r>
        <w:rPr>
          <w:sz w:val="19"/>
        </w:rPr>
        <w:t>circuitous</w:t>
      </w:r>
      <w:r>
        <w:rPr>
          <w:spacing w:val="-8"/>
          <w:sz w:val="19"/>
        </w:rPr>
        <w:t xml:space="preserve"> </w:t>
      </w:r>
      <w:r>
        <w:rPr>
          <w:sz w:val="19"/>
        </w:rPr>
        <w:t>route</w:t>
      </w:r>
      <w:r>
        <w:rPr>
          <w:spacing w:val="-8"/>
          <w:sz w:val="19"/>
        </w:rPr>
        <w:t xml:space="preserve"> </w:t>
      </w:r>
      <w:r>
        <w:rPr>
          <w:sz w:val="19"/>
        </w:rPr>
        <w:t>through</w:t>
      </w:r>
      <w:r>
        <w:rPr>
          <w:spacing w:val="-8"/>
          <w:sz w:val="19"/>
        </w:rPr>
        <w:t xml:space="preserve"> </w:t>
      </w:r>
      <w:r>
        <w:rPr>
          <w:sz w:val="19"/>
        </w:rPr>
        <w:t>the</w:t>
      </w:r>
      <w:r>
        <w:rPr>
          <w:spacing w:val="-8"/>
          <w:sz w:val="19"/>
        </w:rPr>
        <w:t xml:space="preserve"> </w:t>
      </w:r>
      <w:r>
        <w:rPr>
          <w:sz w:val="19"/>
        </w:rPr>
        <w:t xml:space="preserve">city. </w:t>
      </w:r>
      <w:r>
        <w:rPr>
          <w:spacing w:val="-2"/>
          <w:sz w:val="19"/>
        </w:rPr>
        <w:t>A</w:t>
      </w:r>
      <w:r>
        <w:rPr>
          <w:spacing w:val="-7"/>
          <w:sz w:val="19"/>
        </w:rPr>
        <w:t xml:space="preserve"> </w:t>
      </w:r>
      <w:r>
        <w:rPr>
          <w:spacing w:val="-2"/>
          <w:sz w:val="19"/>
        </w:rPr>
        <w:t>bypass</w:t>
      </w:r>
      <w:r>
        <w:rPr>
          <w:spacing w:val="-7"/>
          <w:sz w:val="19"/>
        </w:rPr>
        <w:t xml:space="preserve"> </w:t>
      </w:r>
      <w:r>
        <w:rPr>
          <w:spacing w:val="-2"/>
          <w:sz w:val="19"/>
        </w:rPr>
        <w:t>could</w:t>
      </w:r>
      <w:r>
        <w:rPr>
          <w:spacing w:val="-7"/>
          <w:sz w:val="19"/>
        </w:rPr>
        <w:t xml:space="preserve"> </w:t>
      </w:r>
      <w:r>
        <w:rPr>
          <w:spacing w:val="-2"/>
          <w:sz w:val="19"/>
        </w:rPr>
        <w:t>improve</w:t>
      </w:r>
      <w:r>
        <w:rPr>
          <w:spacing w:val="-7"/>
          <w:sz w:val="19"/>
        </w:rPr>
        <w:t xml:space="preserve"> </w:t>
      </w:r>
      <w:r>
        <w:rPr>
          <w:spacing w:val="-2"/>
          <w:sz w:val="19"/>
        </w:rPr>
        <w:t>transit</w:t>
      </w:r>
      <w:r>
        <w:rPr>
          <w:spacing w:val="-7"/>
          <w:sz w:val="19"/>
        </w:rPr>
        <w:t xml:space="preserve"> </w:t>
      </w:r>
      <w:r>
        <w:rPr>
          <w:spacing w:val="-2"/>
          <w:sz w:val="19"/>
        </w:rPr>
        <w:t>times,</w:t>
      </w:r>
      <w:r>
        <w:rPr>
          <w:spacing w:val="-7"/>
          <w:sz w:val="19"/>
        </w:rPr>
        <w:t xml:space="preserve"> </w:t>
      </w:r>
      <w:r>
        <w:rPr>
          <w:spacing w:val="-2"/>
          <w:sz w:val="19"/>
        </w:rPr>
        <w:t>and</w:t>
      </w:r>
      <w:r>
        <w:rPr>
          <w:spacing w:val="-7"/>
          <w:sz w:val="19"/>
        </w:rPr>
        <w:t xml:space="preserve"> </w:t>
      </w:r>
      <w:r>
        <w:rPr>
          <w:spacing w:val="-2"/>
          <w:sz w:val="19"/>
        </w:rPr>
        <w:t>help</w:t>
      </w:r>
      <w:r>
        <w:rPr>
          <w:spacing w:val="-7"/>
          <w:sz w:val="19"/>
        </w:rPr>
        <w:t xml:space="preserve"> </w:t>
      </w:r>
      <w:r>
        <w:rPr>
          <w:spacing w:val="-2"/>
          <w:sz w:val="19"/>
        </w:rPr>
        <w:t xml:space="preserve">alleviate </w:t>
      </w:r>
      <w:r>
        <w:rPr>
          <w:sz w:val="19"/>
        </w:rPr>
        <w:t>pressure on an urban rail network increasingly under strain from the growth in the coal export task.</w:t>
      </w:r>
    </w:p>
    <w:p w:rsidR="002C1123" w:rsidRDefault="00F22F94">
      <w:pPr>
        <w:spacing w:before="116" w:line="252" w:lineRule="auto"/>
        <w:ind w:left="188" w:right="880"/>
        <w:rPr>
          <w:sz w:val="19"/>
        </w:rPr>
      </w:pPr>
      <w:r>
        <w:rPr>
          <w:sz w:val="19"/>
        </w:rPr>
        <w:t>More detailed work is needed to identify a viable bypass</w:t>
      </w:r>
      <w:r>
        <w:rPr>
          <w:spacing w:val="-2"/>
          <w:sz w:val="19"/>
        </w:rPr>
        <w:t xml:space="preserve"> </w:t>
      </w:r>
      <w:r>
        <w:rPr>
          <w:sz w:val="19"/>
        </w:rPr>
        <w:t>option.</w:t>
      </w:r>
      <w:r>
        <w:rPr>
          <w:spacing w:val="-2"/>
          <w:sz w:val="19"/>
        </w:rPr>
        <w:t xml:space="preserve"> </w:t>
      </w:r>
      <w:r>
        <w:rPr>
          <w:sz w:val="19"/>
        </w:rPr>
        <w:t>The</w:t>
      </w:r>
      <w:r>
        <w:rPr>
          <w:spacing w:val="-2"/>
          <w:sz w:val="19"/>
        </w:rPr>
        <w:t xml:space="preserve"> </w:t>
      </w:r>
      <w:r>
        <w:rPr>
          <w:sz w:val="19"/>
        </w:rPr>
        <w:t>existing</w:t>
      </w:r>
      <w:r>
        <w:rPr>
          <w:spacing w:val="-2"/>
          <w:sz w:val="19"/>
        </w:rPr>
        <w:t xml:space="preserve"> </w:t>
      </w:r>
      <w:r>
        <w:rPr>
          <w:sz w:val="19"/>
        </w:rPr>
        <w:t>proposal</w:t>
      </w:r>
      <w:r>
        <w:rPr>
          <w:spacing w:val="-2"/>
          <w:sz w:val="19"/>
        </w:rPr>
        <w:t xml:space="preserve"> </w:t>
      </w:r>
      <w:r>
        <w:rPr>
          <w:sz w:val="19"/>
        </w:rPr>
        <w:t>–</w:t>
      </w:r>
      <w:r>
        <w:rPr>
          <w:spacing w:val="-2"/>
          <w:sz w:val="19"/>
        </w:rPr>
        <w:t xml:space="preserve"> </w:t>
      </w:r>
      <w:r>
        <w:rPr>
          <w:sz w:val="19"/>
        </w:rPr>
        <w:t>the</w:t>
      </w:r>
      <w:r>
        <w:rPr>
          <w:spacing w:val="-2"/>
          <w:sz w:val="19"/>
        </w:rPr>
        <w:t xml:space="preserve"> </w:t>
      </w:r>
      <w:r>
        <w:rPr>
          <w:sz w:val="19"/>
        </w:rPr>
        <w:t>Fassifern</w:t>
      </w:r>
      <w:r>
        <w:rPr>
          <w:spacing w:val="-2"/>
          <w:sz w:val="19"/>
        </w:rPr>
        <w:t xml:space="preserve"> </w:t>
      </w:r>
      <w:r>
        <w:rPr>
          <w:sz w:val="19"/>
        </w:rPr>
        <w:t xml:space="preserve">to </w:t>
      </w:r>
      <w:r>
        <w:rPr>
          <w:spacing w:val="-2"/>
          <w:sz w:val="19"/>
        </w:rPr>
        <w:t>Hexham</w:t>
      </w:r>
      <w:r>
        <w:rPr>
          <w:spacing w:val="-7"/>
          <w:sz w:val="19"/>
        </w:rPr>
        <w:t xml:space="preserve"> </w:t>
      </w:r>
      <w:r>
        <w:rPr>
          <w:spacing w:val="-2"/>
          <w:sz w:val="19"/>
        </w:rPr>
        <w:t>Bypass</w:t>
      </w:r>
      <w:r>
        <w:rPr>
          <w:spacing w:val="-7"/>
          <w:sz w:val="19"/>
        </w:rPr>
        <w:t xml:space="preserve"> </w:t>
      </w:r>
      <w:r>
        <w:rPr>
          <w:spacing w:val="-2"/>
          <w:sz w:val="19"/>
        </w:rPr>
        <w:t>is</w:t>
      </w:r>
      <w:r>
        <w:rPr>
          <w:spacing w:val="-7"/>
          <w:sz w:val="19"/>
        </w:rPr>
        <w:t xml:space="preserve"> </w:t>
      </w:r>
      <w:r>
        <w:rPr>
          <w:spacing w:val="-2"/>
          <w:sz w:val="19"/>
        </w:rPr>
        <w:t>costly</w:t>
      </w:r>
      <w:r>
        <w:rPr>
          <w:spacing w:val="-7"/>
          <w:sz w:val="19"/>
        </w:rPr>
        <w:t xml:space="preserve"> </w:t>
      </w:r>
      <w:r>
        <w:rPr>
          <w:spacing w:val="-2"/>
          <w:sz w:val="19"/>
        </w:rPr>
        <w:t>relative</w:t>
      </w:r>
      <w:r>
        <w:rPr>
          <w:spacing w:val="-7"/>
          <w:sz w:val="19"/>
        </w:rPr>
        <w:t xml:space="preserve"> </w:t>
      </w:r>
      <w:r>
        <w:rPr>
          <w:spacing w:val="-2"/>
          <w:sz w:val="19"/>
        </w:rPr>
        <w:t>to</w:t>
      </w:r>
      <w:r>
        <w:rPr>
          <w:spacing w:val="-7"/>
          <w:sz w:val="19"/>
        </w:rPr>
        <w:t xml:space="preserve"> </w:t>
      </w:r>
      <w:r>
        <w:rPr>
          <w:spacing w:val="-2"/>
          <w:sz w:val="19"/>
        </w:rPr>
        <w:t>the</w:t>
      </w:r>
      <w:r>
        <w:rPr>
          <w:spacing w:val="-7"/>
          <w:sz w:val="19"/>
        </w:rPr>
        <w:t xml:space="preserve"> </w:t>
      </w:r>
      <w:r>
        <w:rPr>
          <w:spacing w:val="-2"/>
          <w:sz w:val="19"/>
        </w:rPr>
        <w:t>benefits</w:t>
      </w:r>
      <w:r>
        <w:rPr>
          <w:spacing w:val="-7"/>
          <w:sz w:val="19"/>
        </w:rPr>
        <w:t xml:space="preserve"> </w:t>
      </w:r>
      <w:r>
        <w:rPr>
          <w:spacing w:val="-2"/>
          <w:sz w:val="19"/>
        </w:rPr>
        <w:t>it</w:t>
      </w:r>
      <w:r>
        <w:rPr>
          <w:spacing w:val="-7"/>
          <w:sz w:val="19"/>
        </w:rPr>
        <w:t xml:space="preserve"> </w:t>
      </w:r>
      <w:r>
        <w:rPr>
          <w:spacing w:val="-2"/>
          <w:sz w:val="19"/>
        </w:rPr>
        <w:t xml:space="preserve">offers. </w:t>
      </w:r>
      <w:r>
        <w:rPr>
          <w:sz w:val="19"/>
        </w:rPr>
        <w:t>Cost savings may be available through construction progressing in tandem (and sharing alignment</w:t>
      </w:r>
    </w:p>
    <w:p w:rsidR="002C1123" w:rsidRDefault="00F22F94">
      <w:pPr>
        <w:spacing w:before="2" w:line="264" w:lineRule="auto"/>
        <w:ind w:left="188" w:right="698"/>
        <w:rPr>
          <w:sz w:val="19"/>
        </w:rPr>
      </w:pPr>
      <w:r>
        <w:rPr>
          <w:spacing w:val="-2"/>
          <w:sz w:val="19"/>
        </w:rPr>
        <w:t>with)</w:t>
      </w:r>
      <w:r>
        <w:rPr>
          <w:spacing w:val="-8"/>
          <w:sz w:val="19"/>
        </w:rPr>
        <w:t xml:space="preserve"> </w:t>
      </w:r>
      <w:r>
        <w:rPr>
          <w:spacing w:val="-2"/>
          <w:sz w:val="19"/>
        </w:rPr>
        <w:t>the</w:t>
      </w:r>
      <w:r>
        <w:rPr>
          <w:spacing w:val="-8"/>
          <w:sz w:val="19"/>
        </w:rPr>
        <w:t xml:space="preserve"> </w:t>
      </w:r>
      <w:r>
        <w:rPr>
          <w:spacing w:val="-2"/>
          <w:sz w:val="19"/>
        </w:rPr>
        <w:t>proposed</w:t>
      </w:r>
      <w:r>
        <w:rPr>
          <w:spacing w:val="-8"/>
          <w:sz w:val="19"/>
        </w:rPr>
        <w:t xml:space="preserve"> </w:t>
      </w:r>
      <w:r>
        <w:rPr>
          <w:spacing w:val="-2"/>
          <w:sz w:val="19"/>
        </w:rPr>
        <w:t>F3</w:t>
      </w:r>
      <w:r>
        <w:rPr>
          <w:spacing w:val="-8"/>
          <w:sz w:val="19"/>
        </w:rPr>
        <w:t xml:space="preserve"> </w:t>
      </w:r>
      <w:r>
        <w:rPr>
          <w:spacing w:val="-2"/>
          <w:sz w:val="19"/>
        </w:rPr>
        <w:t>to</w:t>
      </w:r>
      <w:r>
        <w:rPr>
          <w:spacing w:val="-8"/>
          <w:sz w:val="19"/>
        </w:rPr>
        <w:t xml:space="preserve"> </w:t>
      </w:r>
      <w:r>
        <w:rPr>
          <w:spacing w:val="-2"/>
          <w:sz w:val="19"/>
        </w:rPr>
        <w:t>Raymond</w:t>
      </w:r>
      <w:r>
        <w:rPr>
          <w:spacing w:val="-8"/>
          <w:sz w:val="19"/>
        </w:rPr>
        <w:t xml:space="preserve"> </w:t>
      </w:r>
      <w:r>
        <w:rPr>
          <w:spacing w:val="-2"/>
          <w:sz w:val="19"/>
        </w:rPr>
        <w:t>Terrace</w:t>
      </w:r>
      <w:r>
        <w:rPr>
          <w:spacing w:val="-8"/>
          <w:sz w:val="19"/>
        </w:rPr>
        <w:t xml:space="preserve"> </w:t>
      </w:r>
      <w:r>
        <w:rPr>
          <w:spacing w:val="-2"/>
          <w:sz w:val="19"/>
        </w:rPr>
        <w:t xml:space="preserve">Project </w:t>
      </w:r>
      <w:r>
        <w:rPr>
          <w:sz w:val="19"/>
        </w:rPr>
        <w:t>discussed</w:t>
      </w:r>
      <w:r>
        <w:rPr>
          <w:spacing w:val="-10"/>
          <w:sz w:val="19"/>
        </w:rPr>
        <w:t xml:space="preserve"> </w:t>
      </w:r>
      <w:r>
        <w:rPr>
          <w:sz w:val="19"/>
        </w:rPr>
        <w:t>above.</w:t>
      </w:r>
    </w:p>
    <w:p w:rsidR="002C1123" w:rsidRDefault="002C1123">
      <w:pPr>
        <w:spacing w:line="264" w:lineRule="auto"/>
        <w:rPr>
          <w:sz w:val="19"/>
        </w:rPr>
        <w:sectPr w:rsidR="002C1123">
          <w:type w:val="continuous"/>
          <w:pgSz w:w="16840" w:h="11910" w:orient="landscape"/>
          <w:pgMar w:top="560" w:right="280" w:bottom="280" w:left="500" w:header="0" w:footer="517" w:gutter="0"/>
          <w:cols w:num="3" w:space="720" w:equalWidth="0">
            <w:col w:w="5202" w:space="40"/>
            <w:col w:w="5076" w:space="39"/>
            <w:col w:w="5703"/>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3"/>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Heading6"/>
        <w:ind w:left="492"/>
        <w:jc w:val="both"/>
      </w:pPr>
      <w:bookmarkStart w:id="293" w:name="10.7_Conclusions"/>
      <w:bookmarkStart w:id="294" w:name="_bookmark210"/>
      <w:bookmarkStart w:id="295" w:name="_bookmark209"/>
      <w:bookmarkEnd w:id="293"/>
      <w:bookmarkEnd w:id="294"/>
      <w:bookmarkEnd w:id="295"/>
      <w:r>
        <w:t>Minor</w:t>
      </w:r>
      <w:r>
        <w:rPr>
          <w:spacing w:val="-6"/>
        </w:rPr>
        <w:t xml:space="preserve"> </w:t>
      </w:r>
      <w:r>
        <w:t>Investment</w:t>
      </w:r>
      <w:r>
        <w:rPr>
          <w:spacing w:val="-6"/>
        </w:rPr>
        <w:t xml:space="preserve"> </w:t>
      </w:r>
      <w:r>
        <w:rPr>
          <w:spacing w:val="-2"/>
        </w:rPr>
        <w:t>Programs</w:t>
      </w:r>
    </w:p>
    <w:p w:rsidR="002C1123" w:rsidRDefault="00F22F94">
      <w:pPr>
        <w:pStyle w:val="BodyText"/>
        <w:spacing w:before="10" w:line="249" w:lineRule="auto"/>
        <w:ind w:left="492" w:right="134"/>
        <w:jc w:val="both"/>
      </w:pPr>
      <w:r>
        <w:rPr>
          <w:w w:val="95"/>
        </w:rPr>
        <w:t>As</w:t>
      </w:r>
      <w:r>
        <w:rPr>
          <w:spacing w:val="-4"/>
          <w:w w:val="95"/>
        </w:rPr>
        <w:t xml:space="preserve"> </w:t>
      </w:r>
      <w:r>
        <w:rPr>
          <w:w w:val="95"/>
        </w:rPr>
        <w:t>with</w:t>
      </w:r>
      <w:r>
        <w:rPr>
          <w:spacing w:val="-4"/>
          <w:w w:val="95"/>
        </w:rPr>
        <w:t xml:space="preserve"> </w:t>
      </w:r>
      <w:r>
        <w:rPr>
          <w:w w:val="95"/>
        </w:rPr>
        <w:t>the</w:t>
      </w:r>
      <w:r>
        <w:rPr>
          <w:spacing w:val="-4"/>
          <w:w w:val="95"/>
        </w:rPr>
        <w:t xml:space="preserve"> </w:t>
      </w:r>
      <w:r>
        <w:rPr>
          <w:w w:val="95"/>
        </w:rPr>
        <w:t>road</w:t>
      </w:r>
      <w:r>
        <w:rPr>
          <w:spacing w:val="-4"/>
          <w:w w:val="95"/>
        </w:rPr>
        <w:t xml:space="preserve"> </w:t>
      </w:r>
      <w:r>
        <w:rPr>
          <w:w w:val="95"/>
        </w:rPr>
        <w:t>network,</w:t>
      </w:r>
      <w:r>
        <w:rPr>
          <w:spacing w:val="-4"/>
          <w:w w:val="95"/>
        </w:rPr>
        <w:t xml:space="preserve"> </w:t>
      </w:r>
      <w:r>
        <w:rPr>
          <w:w w:val="95"/>
        </w:rPr>
        <w:t>the</w:t>
      </w:r>
      <w:r>
        <w:rPr>
          <w:spacing w:val="-4"/>
          <w:w w:val="95"/>
        </w:rPr>
        <w:t xml:space="preserve"> </w:t>
      </w:r>
      <w:r>
        <w:rPr>
          <w:w w:val="95"/>
        </w:rPr>
        <w:t>existing</w:t>
      </w:r>
      <w:r>
        <w:rPr>
          <w:spacing w:val="-4"/>
          <w:w w:val="95"/>
        </w:rPr>
        <w:t xml:space="preserve"> </w:t>
      </w:r>
      <w:r>
        <w:rPr>
          <w:w w:val="95"/>
        </w:rPr>
        <w:t>rail</w:t>
      </w:r>
      <w:r>
        <w:rPr>
          <w:spacing w:val="-4"/>
          <w:w w:val="95"/>
        </w:rPr>
        <w:t xml:space="preserve"> </w:t>
      </w:r>
      <w:r>
        <w:rPr>
          <w:w w:val="95"/>
        </w:rPr>
        <w:t>network</w:t>
      </w:r>
      <w:r>
        <w:rPr>
          <w:spacing w:val="-4"/>
          <w:w w:val="95"/>
        </w:rPr>
        <w:t xml:space="preserve"> </w:t>
      </w:r>
      <w:r>
        <w:rPr>
          <w:w w:val="95"/>
        </w:rPr>
        <w:t>used by</w:t>
      </w:r>
      <w:r>
        <w:rPr>
          <w:spacing w:val="-4"/>
          <w:w w:val="95"/>
        </w:rPr>
        <w:t xml:space="preserve"> </w:t>
      </w:r>
      <w:r>
        <w:rPr>
          <w:w w:val="95"/>
        </w:rPr>
        <w:t>freight</w:t>
      </w:r>
      <w:r>
        <w:rPr>
          <w:spacing w:val="-4"/>
          <w:w w:val="95"/>
        </w:rPr>
        <w:t xml:space="preserve"> </w:t>
      </w:r>
      <w:r>
        <w:rPr>
          <w:w w:val="95"/>
        </w:rPr>
        <w:t>suffers</w:t>
      </w:r>
      <w:r>
        <w:rPr>
          <w:spacing w:val="-4"/>
          <w:w w:val="95"/>
        </w:rPr>
        <w:t xml:space="preserve"> </w:t>
      </w:r>
      <w:r>
        <w:rPr>
          <w:w w:val="95"/>
        </w:rPr>
        <w:t>from</w:t>
      </w:r>
      <w:r>
        <w:rPr>
          <w:spacing w:val="-4"/>
          <w:w w:val="95"/>
        </w:rPr>
        <w:t xml:space="preserve"> </w:t>
      </w:r>
      <w:r>
        <w:rPr>
          <w:w w:val="95"/>
        </w:rPr>
        <w:t>a</w:t>
      </w:r>
      <w:r>
        <w:rPr>
          <w:spacing w:val="-4"/>
          <w:w w:val="95"/>
        </w:rPr>
        <w:t xml:space="preserve"> </w:t>
      </w:r>
      <w:r>
        <w:rPr>
          <w:w w:val="95"/>
        </w:rPr>
        <w:t>number</w:t>
      </w:r>
      <w:r>
        <w:rPr>
          <w:spacing w:val="-4"/>
          <w:w w:val="95"/>
        </w:rPr>
        <w:t xml:space="preserve"> </w:t>
      </w:r>
      <w:r>
        <w:rPr>
          <w:w w:val="95"/>
        </w:rPr>
        <w:t>of</w:t>
      </w:r>
      <w:r>
        <w:rPr>
          <w:spacing w:val="-4"/>
          <w:w w:val="95"/>
        </w:rPr>
        <w:t xml:space="preserve"> </w:t>
      </w:r>
      <w:r>
        <w:rPr>
          <w:w w:val="95"/>
        </w:rPr>
        <w:t>constraints</w:t>
      </w:r>
      <w:r>
        <w:rPr>
          <w:spacing w:val="-4"/>
          <w:w w:val="95"/>
        </w:rPr>
        <w:t xml:space="preserve"> </w:t>
      </w:r>
      <w:r>
        <w:rPr>
          <w:w w:val="95"/>
        </w:rPr>
        <w:t>that</w:t>
      </w:r>
      <w:r>
        <w:rPr>
          <w:spacing w:val="-4"/>
          <w:w w:val="95"/>
        </w:rPr>
        <w:t xml:space="preserve"> </w:t>
      </w:r>
      <w:r>
        <w:rPr>
          <w:w w:val="95"/>
        </w:rPr>
        <w:t xml:space="preserve">limit </w:t>
      </w:r>
      <w:r>
        <w:rPr>
          <w:spacing w:val="-2"/>
        </w:rPr>
        <w:t>the</w:t>
      </w:r>
      <w:r>
        <w:rPr>
          <w:spacing w:val="-4"/>
        </w:rPr>
        <w:t xml:space="preserve"> </w:t>
      </w:r>
      <w:r>
        <w:rPr>
          <w:spacing w:val="-2"/>
        </w:rPr>
        <w:t>efficiency</w:t>
      </w:r>
      <w:r>
        <w:rPr>
          <w:spacing w:val="-4"/>
        </w:rPr>
        <w:t xml:space="preserve"> </w:t>
      </w:r>
      <w:r>
        <w:rPr>
          <w:spacing w:val="-2"/>
        </w:rPr>
        <w:t>and</w:t>
      </w:r>
      <w:r>
        <w:rPr>
          <w:spacing w:val="-4"/>
        </w:rPr>
        <w:t xml:space="preserve"> </w:t>
      </w:r>
      <w:r>
        <w:rPr>
          <w:spacing w:val="-2"/>
        </w:rPr>
        <w:t>reliability</w:t>
      </w:r>
      <w:r>
        <w:rPr>
          <w:spacing w:val="-4"/>
        </w:rPr>
        <w:t xml:space="preserve"> </w:t>
      </w:r>
      <w:r>
        <w:rPr>
          <w:spacing w:val="-2"/>
        </w:rPr>
        <w:t>of</w:t>
      </w:r>
      <w:r>
        <w:rPr>
          <w:spacing w:val="-4"/>
        </w:rPr>
        <w:t xml:space="preserve"> </w:t>
      </w:r>
      <w:r>
        <w:rPr>
          <w:spacing w:val="-2"/>
        </w:rPr>
        <w:t>rail</w:t>
      </w:r>
      <w:r>
        <w:rPr>
          <w:spacing w:val="-4"/>
        </w:rPr>
        <w:t xml:space="preserve"> </w:t>
      </w:r>
      <w:r>
        <w:rPr>
          <w:spacing w:val="-2"/>
        </w:rPr>
        <w:t>freight</w:t>
      </w:r>
      <w:r>
        <w:rPr>
          <w:spacing w:val="-4"/>
        </w:rPr>
        <w:t xml:space="preserve"> </w:t>
      </w:r>
      <w:r>
        <w:rPr>
          <w:spacing w:val="-2"/>
        </w:rPr>
        <w:t>movements.</w:t>
      </w:r>
    </w:p>
    <w:p w:rsidR="002C1123" w:rsidRDefault="00F22F94">
      <w:pPr>
        <w:pStyle w:val="BodyText"/>
        <w:spacing w:before="2" w:line="249" w:lineRule="auto"/>
        <w:ind w:left="492" w:right="852"/>
        <w:jc w:val="both"/>
      </w:pPr>
      <w:r>
        <w:rPr>
          <w:w w:val="95"/>
        </w:rPr>
        <w:t>Discussion</w:t>
      </w:r>
      <w:r>
        <w:rPr>
          <w:spacing w:val="-6"/>
          <w:w w:val="95"/>
        </w:rPr>
        <w:t xml:space="preserve"> </w:t>
      </w:r>
      <w:r>
        <w:rPr>
          <w:w w:val="95"/>
        </w:rPr>
        <w:t>with</w:t>
      </w:r>
      <w:r>
        <w:rPr>
          <w:spacing w:val="-6"/>
          <w:w w:val="95"/>
        </w:rPr>
        <w:t xml:space="preserve"> </w:t>
      </w:r>
      <w:r>
        <w:rPr>
          <w:w w:val="95"/>
        </w:rPr>
        <w:t>regional</w:t>
      </w:r>
      <w:r>
        <w:rPr>
          <w:spacing w:val="-6"/>
          <w:w w:val="95"/>
        </w:rPr>
        <w:t xml:space="preserve"> </w:t>
      </w:r>
      <w:r>
        <w:rPr>
          <w:w w:val="95"/>
        </w:rPr>
        <w:t>authorities</w:t>
      </w:r>
      <w:r>
        <w:rPr>
          <w:spacing w:val="-6"/>
          <w:w w:val="95"/>
        </w:rPr>
        <w:t xml:space="preserve"> </w:t>
      </w:r>
      <w:r>
        <w:rPr>
          <w:w w:val="95"/>
        </w:rPr>
        <w:t>and</w:t>
      </w:r>
      <w:r>
        <w:rPr>
          <w:spacing w:val="-6"/>
          <w:w w:val="95"/>
        </w:rPr>
        <w:t xml:space="preserve"> </w:t>
      </w:r>
      <w:r>
        <w:rPr>
          <w:w w:val="95"/>
        </w:rPr>
        <w:t xml:space="preserve">freight </w:t>
      </w:r>
      <w:r>
        <w:t>producers</w:t>
      </w:r>
      <w:r>
        <w:rPr>
          <w:spacing w:val="-14"/>
        </w:rPr>
        <w:t xml:space="preserve"> </w:t>
      </w:r>
      <w:r>
        <w:t>has</w:t>
      </w:r>
      <w:r>
        <w:rPr>
          <w:spacing w:val="-14"/>
        </w:rPr>
        <w:t xml:space="preserve"> </w:t>
      </w:r>
      <w:r>
        <w:t>identified</w:t>
      </w:r>
      <w:r>
        <w:rPr>
          <w:spacing w:val="-14"/>
        </w:rPr>
        <w:t xml:space="preserve"> </w:t>
      </w:r>
      <w:r>
        <w:t>the</w:t>
      </w:r>
      <w:r>
        <w:rPr>
          <w:spacing w:val="-14"/>
        </w:rPr>
        <w:t xml:space="preserve"> </w:t>
      </w:r>
      <w:r>
        <w:t>following</w:t>
      </w:r>
      <w:r>
        <w:rPr>
          <w:spacing w:val="-14"/>
        </w:rPr>
        <w:t xml:space="preserve"> </w:t>
      </w:r>
      <w:r>
        <w:t>issues:</w:t>
      </w:r>
    </w:p>
    <w:p w:rsidR="002C1123" w:rsidRDefault="00F22F94">
      <w:pPr>
        <w:pStyle w:val="ListParagraph"/>
        <w:numPr>
          <w:ilvl w:val="1"/>
          <w:numId w:val="73"/>
        </w:numPr>
        <w:tabs>
          <w:tab w:val="left" w:pos="776"/>
        </w:tabs>
        <w:spacing w:before="131" w:line="249" w:lineRule="auto"/>
        <w:ind w:right="304"/>
        <w:rPr>
          <w:rFonts w:ascii="Tahoma" w:hAnsi="Tahoma"/>
          <w:sz w:val="20"/>
        </w:rPr>
      </w:pPr>
      <w:r>
        <w:rPr>
          <w:sz w:val="20"/>
        </w:rPr>
        <w:t>Inefficiency</w:t>
      </w:r>
      <w:r>
        <w:rPr>
          <w:spacing w:val="-10"/>
          <w:sz w:val="20"/>
        </w:rPr>
        <w:t xml:space="preserve"> </w:t>
      </w:r>
      <w:r>
        <w:rPr>
          <w:sz w:val="20"/>
        </w:rPr>
        <w:t>exists</w:t>
      </w:r>
      <w:r>
        <w:rPr>
          <w:spacing w:val="-10"/>
          <w:sz w:val="20"/>
        </w:rPr>
        <w:t xml:space="preserve"> </w:t>
      </w:r>
      <w:r>
        <w:rPr>
          <w:sz w:val="20"/>
        </w:rPr>
        <w:t>in</w:t>
      </w:r>
      <w:r>
        <w:rPr>
          <w:spacing w:val="-10"/>
          <w:sz w:val="20"/>
        </w:rPr>
        <w:t xml:space="preserve"> </w:t>
      </w:r>
      <w:r>
        <w:rPr>
          <w:sz w:val="20"/>
        </w:rPr>
        <w:t>train</w:t>
      </w:r>
      <w:r>
        <w:rPr>
          <w:spacing w:val="-10"/>
          <w:sz w:val="20"/>
        </w:rPr>
        <w:t xml:space="preserve"> </w:t>
      </w:r>
      <w:r>
        <w:rPr>
          <w:sz w:val="20"/>
        </w:rPr>
        <w:t>control</w:t>
      </w:r>
      <w:r>
        <w:rPr>
          <w:spacing w:val="-10"/>
          <w:sz w:val="20"/>
        </w:rPr>
        <w:t xml:space="preserve"> </w:t>
      </w:r>
      <w:r>
        <w:rPr>
          <w:sz w:val="20"/>
        </w:rPr>
        <w:t xml:space="preserve">practices, </w:t>
      </w:r>
      <w:r>
        <w:rPr>
          <w:w w:val="95"/>
          <w:sz w:val="20"/>
        </w:rPr>
        <w:t>particularly due to the use of manual rail points in some</w:t>
      </w:r>
      <w:r>
        <w:rPr>
          <w:spacing w:val="-12"/>
          <w:w w:val="95"/>
          <w:sz w:val="20"/>
        </w:rPr>
        <w:t xml:space="preserve"> </w:t>
      </w:r>
      <w:r>
        <w:rPr>
          <w:w w:val="95"/>
          <w:sz w:val="20"/>
        </w:rPr>
        <w:t>regional</w:t>
      </w:r>
      <w:r>
        <w:rPr>
          <w:spacing w:val="-11"/>
          <w:w w:val="95"/>
          <w:sz w:val="20"/>
        </w:rPr>
        <w:t xml:space="preserve"> </w:t>
      </w:r>
      <w:r>
        <w:rPr>
          <w:w w:val="95"/>
          <w:sz w:val="20"/>
        </w:rPr>
        <w:t>areas.</w:t>
      </w:r>
      <w:r>
        <w:rPr>
          <w:spacing w:val="-11"/>
          <w:w w:val="95"/>
          <w:sz w:val="20"/>
        </w:rPr>
        <w:t xml:space="preserve"> </w:t>
      </w:r>
      <w:r>
        <w:rPr>
          <w:w w:val="95"/>
          <w:sz w:val="20"/>
        </w:rPr>
        <w:t>This</w:t>
      </w:r>
      <w:r>
        <w:rPr>
          <w:spacing w:val="-11"/>
          <w:w w:val="95"/>
          <w:sz w:val="20"/>
        </w:rPr>
        <w:t xml:space="preserve"> </w:t>
      </w:r>
      <w:r>
        <w:rPr>
          <w:w w:val="95"/>
          <w:sz w:val="20"/>
        </w:rPr>
        <w:t>requires</w:t>
      </w:r>
      <w:r>
        <w:rPr>
          <w:spacing w:val="-11"/>
          <w:w w:val="95"/>
          <w:sz w:val="20"/>
        </w:rPr>
        <w:t xml:space="preserve"> </w:t>
      </w:r>
      <w:r>
        <w:rPr>
          <w:w w:val="95"/>
          <w:sz w:val="20"/>
        </w:rPr>
        <w:t>freight</w:t>
      </w:r>
      <w:r>
        <w:rPr>
          <w:spacing w:val="-11"/>
          <w:w w:val="95"/>
          <w:sz w:val="20"/>
        </w:rPr>
        <w:t xml:space="preserve"> </w:t>
      </w:r>
      <w:r>
        <w:rPr>
          <w:w w:val="95"/>
          <w:sz w:val="20"/>
        </w:rPr>
        <w:t>trains</w:t>
      </w:r>
      <w:r>
        <w:rPr>
          <w:spacing w:val="-11"/>
          <w:w w:val="95"/>
          <w:sz w:val="20"/>
        </w:rPr>
        <w:t xml:space="preserve"> </w:t>
      </w:r>
      <w:r>
        <w:rPr>
          <w:w w:val="95"/>
          <w:sz w:val="20"/>
        </w:rPr>
        <w:t xml:space="preserve">to </w:t>
      </w:r>
      <w:r>
        <w:rPr>
          <w:sz w:val="20"/>
        </w:rPr>
        <w:t>stop while the points are changed.</w:t>
      </w:r>
    </w:p>
    <w:p w:rsidR="002C1123" w:rsidRDefault="00F22F94">
      <w:pPr>
        <w:pStyle w:val="ListParagraph"/>
        <w:numPr>
          <w:ilvl w:val="1"/>
          <w:numId w:val="73"/>
        </w:numPr>
        <w:tabs>
          <w:tab w:val="left" w:pos="776"/>
        </w:tabs>
        <w:spacing w:before="132" w:line="249" w:lineRule="auto"/>
        <w:rPr>
          <w:rFonts w:ascii="Tahoma" w:hAnsi="Tahoma"/>
          <w:sz w:val="20"/>
        </w:rPr>
      </w:pPr>
      <w:r>
        <w:rPr>
          <w:w w:val="95"/>
          <w:sz w:val="20"/>
        </w:rPr>
        <w:t>An</w:t>
      </w:r>
      <w:r>
        <w:rPr>
          <w:spacing w:val="-3"/>
          <w:w w:val="95"/>
          <w:sz w:val="20"/>
        </w:rPr>
        <w:t xml:space="preserve"> </w:t>
      </w:r>
      <w:r>
        <w:rPr>
          <w:w w:val="95"/>
          <w:sz w:val="20"/>
        </w:rPr>
        <w:t>absence</w:t>
      </w:r>
      <w:r>
        <w:rPr>
          <w:spacing w:val="-3"/>
          <w:w w:val="95"/>
          <w:sz w:val="20"/>
        </w:rPr>
        <w:t xml:space="preserve"> </w:t>
      </w:r>
      <w:r>
        <w:rPr>
          <w:w w:val="95"/>
          <w:sz w:val="20"/>
        </w:rPr>
        <w:t>of</w:t>
      </w:r>
      <w:r>
        <w:rPr>
          <w:spacing w:val="-3"/>
          <w:w w:val="95"/>
          <w:sz w:val="20"/>
        </w:rPr>
        <w:t xml:space="preserve"> </w:t>
      </w:r>
      <w:r>
        <w:rPr>
          <w:w w:val="95"/>
          <w:sz w:val="20"/>
        </w:rPr>
        <w:t>regular</w:t>
      </w:r>
      <w:r>
        <w:rPr>
          <w:spacing w:val="-3"/>
          <w:w w:val="95"/>
          <w:sz w:val="20"/>
        </w:rPr>
        <w:t xml:space="preserve"> </w:t>
      </w:r>
      <w:r>
        <w:rPr>
          <w:w w:val="95"/>
          <w:sz w:val="20"/>
        </w:rPr>
        <w:t>passing</w:t>
      </w:r>
      <w:r>
        <w:rPr>
          <w:spacing w:val="-3"/>
          <w:w w:val="95"/>
          <w:sz w:val="20"/>
        </w:rPr>
        <w:t xml:space="preserve"> </w:t>
      </w:r>
      <w:r>
        <w:rPr>
          <w:w w:val="95"/>
          <w:sz w:val="20"/>
        </w:rPr>
        <w:t>loops</w:t>
      </w:r>
      <w:r>
        <w:rPr>
          <w:spacing w:val="-3"/>
          <w:w w:val="95"/>
          <w:sz w:val="20"/>
        </w:rPr>
        <w:t xml:space="preserve"> </w:t>
      </w:r>
      <w:r>
        <w:rPr>
          <w:w w:val="95"/>
          <w:sz w:val="20"/>
        </w:rPr>
        <w:t>or</w:t>
      </w:r>
      <w:r>
        <w:rPr>
          <w:spacing w:val="-3"/>
          <w:w w:val="95"/>
          <w:sz w:val="20"/>
        </w:rPr>
        <w:t xml:space="preserve"> </w:t>
      </w:r>
      <w:r>
        <w:rPr>
          <w:w w:val="95"/>
          <w:sz w:val="20"/>
        </w:rPr>
        <w:t>short</w:t>
      </w:r>
      <w:r>
        <w:rPr>
          <w:spacing w:val="-3"/>
          <w:w w:val="95"/>
          <w:sz w:val="20"/>
        </w:rPr>
        <w:t xml:space="preserve"> </w:t>
      </w:r>
      <w:r>
        <w:rPr>
          <w:w w:val="95"/>
          <w:sz w:val="20"/>
        </w:rPr>
        <w:t xml:space="preserve">passing </w:t>
      </w:r>
      <w:r>
        <w:rPr>
          <w:sz w:val="20"/>
        </w:rPr>
        <w:t>loops</w:t>
      </w:r>
      <w:r>
        <w:rPr>
          <w:spacing w:val="-9"/>
          <w:sz w:val="20"/>
        </w:rPr>
        <w:t xml:space="preserve"> </w:t>
      </w:r>
      <w:r>
        <w:rPr>
          <w:sz w:val="20"/>
        </w:rPr>
        <w:t>on</w:t>
      </w:r>
      <w:r>
        <w:rPr>
          <w:spacing w:val="-9"/>
          <w:sz w:val="20"/>
        </w:rPr>
        <w:t xml:space="preserve"> </w:t>
      </w:r>
      <w:r>
        <w:rPr>
          <w:sz w:val="20"/>
        </w:rPr>
        <w:t>some</w:t>
      </w:r>
      <w:r>
        <w:rPr>
          <w:spacing w:val="-9"/>
          <w:sz w:val="20"/>
        </w:rPr>
        <w:t xml:space="preserve"> </w:t>
      </w:r>
      <w:r>
        <w:rPr>
          <w:sz w:val="20"/>
        </w:rPr>
        <w:t>sections</w:t>
      </w:r>
      <w:r>
        <w:rPr>
          <w:spacing w:val="-9"/>
          <w:sz w:val="20"/>
        </w:rPr>
        <w:t xml:space="preserve"> </w:t>
      </w:r>
      <w:r>
        <w:rPr>
          <w:sz w:val="20"/>
        </w:rPr>
        <w:t>of</w:t>
      </w:r>
      <w:r>
        <w:rPr>
          <w:spacing w:val="-9"/>
          <w:sz w:val="20"/>
        </w:rPr>
        <w:t xml:space="preserve"> </w:t>
      </w:r>
      <w:r>
        <w:rPr>
          <w:sz w:val="20"/>
        </w:rPr>
        <w:t>track</w:t>
      </w:r>
      <w:r>
        <w:rPr>
          <w:spacing w:val="-9"/>
          <w:sz w:val="20"/>
        </w:rPr>
        <w:t xml:space="preserve"> </w:t>
      </w:r>
      <w:r>
        <w:rPr>
          <w:sz w:val="20"/>
        </w:rPr>
        <w:t>can</w:t>
      </w:r>
      <w:r>
        <w:rPr>
          <w:spacing w:val="-9"/>
          <w:sz w:val="20"/>
        </w:rPr>
        <w:t xml:space="preserve"> </w:t>
      </w:r>
      <w:r>
        <w:rPr>
          <w:sz w:val="20"/>
        </w:rPr>
        <w:t>create</w:t>
      </w:r>
      <w:r>
        <w:rPr>
          <w:spacing w:val="-9"/>
          <w:sz w:val="20"/>
        </w:rPr>
        <w:t xml:space="preserve"> </w:t>
      </w:r>
      <w:r>
        <w:rPr>
          <w:sz w:val="20"/>
        </w:rPr>
        <w:t>delays.</w:t>
      </w:r>
    </w:p>
    <w:p w:rsidR="002C1123" w:rsidRDefault="00F22F94">
      <w:pPr>
        <w:pStyle w:val="BodyText"/>
        <w:spacing w:before="143" w:line="249" w:lineRule="auto"/>
        <w:ind w:left="492"/>
      </w:pPr>
      <w:r>
        <w:t>Delays</w:t>
      </w:r>
      <w:r>
        <w:rPr>
          <w:spacing w:val="-8"/>
        </w:rPr>
        <w:t xml:space="preserve"> </w:t>
      </w:r>
      <w:r>
        <w:t>can</w:t>
      </w:r>
      <w:r>
        <w:rPr>
          <w:spacing w:val="-8"/>
        </w:rPr>
        <w:t xml:space="preserve"> </w:t>
      </w:r>
      <w:r>
        <w:t>also</w:t>
      </w:r>
      <w:r>
        <w:rPr>
          <w:spacing w:val="-8"/>
        </w:rPr>
        <w:t xml:space="preserve"> </w:t>
      </w:r>
      <w:r>
        <w:t>occur</w:t>
      </w:r>
      <w:r>
        <w:rPr>
          <w:spacing w:val="-8"/>
        </w:rPr>
        <w:t xml:space="preserve"> </w:t>
      </w:r>
      <w:r>
        <w:t>due</w:t>
      </w:r>
      <w:r>
        <w:rPr>
          <w:spacing w:val="-8"/>
        </w:rPr>
        <w:t xml:space="preserve"> </w:t>
      </w:r>
      <w:r>
        <w:t>to</w:t>
      </w:r>
      <w:r>
        <w:rPr>
          <w:spacing w:val="-8"/>
        </w:rPr>
        <w:t xml:space="preserve"> </w:t>
      </w:r>
      <w:r>
        <w:t>co-ordination</w:t>
      </w:r>
      <w:r>
        <w:rPr>
          <w:spacing w:val="-8"/>
        </w:rPr>
        <w:t xml:space="preserve"> </w:t>
      </w:r>
      <w:r>
        <w:t xml:space="preserve">issues </w:t>
      </w:r>
      <w:r>
        <w:rPr>
          <w:w w:val="95"/>
        </w:rPr>
        <w:t>between freight and passenger rail services on shared lines.</w:t>
      </w:r>
      <w:r>
        <w:rPr>
          <w:spacing w:val="-12"/>
          <w:w w:val="95"/>
        </w:rPr>
        <w:t xml:space="preserve"> </w:t>
      </w:r>
      <w:r>
        <w:rPr>
          <w:w w:val="95"/>
        </w:rPr>
        <w:t>For</w:t>
      </w:r>
      <w:r>
        <w:rPr>
          <w:spacing w:val="-11"/>
          <w:w w:val="95"/>
        </w:rPr>
        <w:t xml:space="preserve"> </w:t>
      </w:r>
      <w:r>
        <w:rPr>
          <w:w w:val="95"/>
        </w:rPr>
        <w:t>example,</w:t>
      </w:r>
      <w:r>
        <w:rPr>
          <w:spacing w:val="-11"/>
          <w:w w:val="95"/>
        </w:rPr>
        <w:t xml:space="preserve"> </w:t>
      </w:r>
      <w:r>
        <w:rPr>
          <w:w w:val="95"/>
        </w:rPr>
        <w:t>long</w:t>
      </w:r>
      <w:r>
        <w:rPr>
          <w:spacing w:val="-11"/>
          <w:w w:val="95"/>
        </w:rPr>
        <w:t xml:space="preserve"> </w:t>
      </w:r>
      <w:r>
        <w:rPr>
          <w:w w:val="95"/>
        </w:rPr>
        <w:t>distance</w:t>
      </w:r>
      <w:r>
        <w:rPr>
          <w:spacing w:val="-11"/>
          <w:w w:val="95"/>
        </w:rPr>
        <w:t xml:space="preserve"> </w:t>
      </w:r>
      <w:r>
        <w:rPr>
          <w:w w:val="95"/>
        </w:rPr>
        <w:t>XPT</w:t>
      </w:r>
      <w:r>
        <w:rPr>
          <w:spacing w:val="-11"/>
          <w:w w:val="95"/>
        </w:rPr>
        <w:t xml:space="preserve"> </w:t>
      </w:r>
      <w:r>
        <w:rPr>
          <w:w w:val="95"/>
        </w:rPr>
        <w:t>passenger</w:t>
      </w:r>
      <w:r>
        <w:rPr>
          <w:spacing w:val="-11"/>
          <w:w w:val="95"/>
        </w:rPr>
        <w:t xml:space="preserve"> </w:t>
      </w:r>
      <w:r>
        <w:rPr>
          <w:w w:val="95"/>
        </w:rPr>
        <w:t xml:space="preserve">trains </w:t>
      </w:r>
      <w:r>
        <w:t>can</w:t>
      </w:r>
      <w:r>
        <w:rPr>
          <w:spacing w:val="-13"/>
        </w:rPr>
        <w:t xml:space="preserve"> </w:t>
      </w:r>
      <w:r>
        <w:t>cause</w:t>
      </w:r>
      <w:r>
        <w:rPr>
          <w:spacing w:val="-13"/>
        </w:rPr>
        <w:t xml:space="preserve"> </w:t>
      </w:r>
      <w:r>
        <w:t>delays</w:t>
      </w:r>
      <w:r>
        <w:rPr>
          <w:spacing w:val="-13"/>
        </w:rPr>
        <w:t xml:space="preserve"> </w:t>
      </w:r>
      <w:r>
        <w:t>of</w:t>
      </w:r>
      <w:r>
        <w:rPr>
          <w:spacing w:val="-13"/>
        </w:rPr>
        <w:t xml:space="preserve"> </w:t>
      </w:r>
      <w:r>
        <w:t>multiple</w:t>
      </w:r>
      <w:r>
        <w:rPr>
          <w:spacing w:val="-13"/>
        </w:rPr>
        <w:t xml:space="preserve"> </w:t>
      </w:r>
      <w:r>
        <w:t>hours</w:t>
      </w:r>
      <w:r>
        <w:rPr>
          <w:spacing w:val="-13"/>
        </w:rPr>
        <w:t xml:space="preserve"> </w:t>
      </w:r>
      <w:r>
        <w:t>to</w:t>
      </w:r>
      <w:r>
        <w:rPr>
          <w:spacing w:val="-13"/>
        </w:rPr>
        <w:t xml:space="preserve"> </w:t>
      </w:r>
      <w:r>
        <w:t>freight</w:t>
      </w:r>
      <w:r>
        <w:rPr>
          <w:spacing w:val="-13"/>
        </w:rPr>
        <w:t xml:space="preserve"> </w:t>
      </w:r>
      <w:r>
        <w:t>trains.</w:t>
      </w:r>
    </w:p>
    <w:p w:rsidR="002C1123" w:rsidRDefault="00F22F94">
      <w:pPr>
        <w:pStyle w:val="BodyText"/>
        <w:spacing w:before="145" w:line="249" w:lineRule="auto"/>
        <w:ind w:left="492"/>
      </w:pPr>
      <w:r>
        <w:t>Action</w:t>
      </w:r>
      <w:r>
        <w:rPr>
          <w:spacing w:val="-6"/>
        </w:rPr>
        <w:t xml:space="preserve"> </w:t>
      </w:r>
      <w:r>
        <w:t>to</w:t>
      </w:r>
      <w:r>
        <w:rPr>
          <w:spacing w:val="-6"/>
        </w:rPr>
        <w:t xml:space="preserve"> </w:t>
      </w:r>
      <w:r>
        <w:t>address</w:t>
      </w:r>
      <w:r>
        <w:rPr>
          <w:spacing w:val="-6"/>
        </w:rPr>
        <w:t xml:space="preserve"> </w:t>
      </w:r>
      <w:r>
        <w:t>these</w:t>
      </w:r>
      <w:r>
        <w:rPr>
          <w:spacing w:val="-6"/>
        </w:rPr>
        <w:t xml:space="preserve"> </w:t>
      </w:r>
      <w:r>
        <w:t>constraints</w:t>
      </w:r>
      <w:r>
        <w:rPr>
          <w:spacing w:val="-6"/>
        </w:rPr>
        <w:t xml:space="preserve"> </w:t>
      </w:r>
      <w:r>
        <w:t>and</w:t>
      </w:r>
      <w:r>
        <w:rPr>
          <w:spacing w:val="-6"/>
        </w:rPr>
        <w:t xml:space="preserve"> </w:t>
      </w:r>
      <w:r>
        <w:t xml:space="preserve">co-ordination </w:t>
      </w:r>
      <w:r>
        <w:rPr>
          <w:w w:val="95"/>
        </w:rPr>
        <w:t>issues</w:t>
      </w:r>
      <w:r>
        <w:rPr>
          <w:spacing w:val="-10"/>
          <w:w w:val="95"/>
        </w:rPr>
        <w:t xml:space="preserve"> </w:t>
      </w:r>
      <w:r>
        <w:rPr>
          <w:w w:val="95"/>
        </w:rPr>
        <w:t>are</w:t>
      </w:r>
      <w:r>
        <w:rPr>
          <w:spacing w:val="-10"/>
          <w:w w:val="95"/>
        </w:rPr>
        <w:t xml:space="preserve"> </w:t>
      </w:r>
      <w:r>
        <w:rPr>
          <w:w w:val="95"/>
        </w:rPr>
        <w:t>likely</w:t>
      </w:r>
      <w:r>
        <w:rPr>
          <w:spacing w:val="-10"/>
          <w:w w:val="95"/>
        </w:rPr>
        <w:t xml:space="preserve"> </w:t>
      </w:r>
      <w:r>
        <w:rPr>
          <w:w w:val="95"/>
        </w:rPr>
        <w:t>to</w:t>
      </w:r>
      <w:r>
        <w:rPr>
          <w:spacing w:val="-10"/>
          <w:w w:val="95"/>
        </w:rPr>
        <w:t xml:space="preserve"> </w:t>
      </w:r>
      <w:r>
        <w:rPr>
          <w:w w:val="95"/>
        </w:rPr>
        <w:t>have</w:t>
      </w:r>
      <w:r>
        <w:rPr>
          <w:spacing w:val="-10"/>
          <w:w w:val="95"/>
        </w:rPr>
        <w:t xml:space="preserve"> </w:t>
      </w:r>
      <w:r>
        <w:rPr>
          <w:w w:val="95"/>
        </w:rPr>
        <w:t>substantial</w:t>
      </w:r>
      <w:r>
        <w:rPr>
          <w:spacing w:val="-10"/>
          <w:w w:val="95"/>
        </w:rPr>
        <w:t xml:space="preserve"> </w:t>
      </w:r>
      <w:r>
        <w:rPr>
          <w:w w:val="95"/>
        </w:rPr>
        <w:t>productivity</w:t>
      </w:r>
      <w:r>
        <w:rPr>
          <w:spacing w:val="-10"/>
          <w:w w:val="95"/>
        </w:rPr>
        <w:t xml:space="preserve"> </w:t>
      </w:r>
      <w:r>
        <w:rPr>
          <w:w w:val="95"/>
        </w:rPr>
        <w:t xml:space="preserve">benefits. </w:t>
      </w:r>
      <w:r>
        <w:t>Again,</w:t>
      </w:r>
      <w:r>
        <w:rPr>
          <w:spacing w:val="-13"/>
        </w:rPr>
        <w:t xml:space="preserve"> </w:t>
      </w:r>
      <w:r>
        <w:t>as</w:t>
      </w:r>
      <w:r>
        <w:rPr>
          <w:spacing w:val="-13"/>
        </w:rPr>
        <w:t xml:space="preserve"> </w:t>
      </w:r>
      <w:r>
        <w:t>with</w:t>
      </w:r>
      <w:r>
        <w:rPr>
          <w:spacing w:val="-13"/>
        </w:rPr>
        <w:t xml:space="preserve"> </w:t>
      </w:r>
      <w:r>
        <w:t>the</w:t>
      </w:r>
      <w:r>
        <w:rPr>
          <w:spacing w:val="-13"/>
        </w:rPr>
        <w:t xml:space="preserve"> </w:t>
      </w:r>
      <w:r>
        <w:t>road</w:t>
      </w:r>
      <w:r>
        <w:rPr>
          <w:spacing w:val="-13"/>
        </w:rPr>
        <w:t xml:space="preserve"> </w:t>
      </w:r>
      <w:r>
        <w:t>network,</w:t>
      </w:r>
      <w:r>
        <w:rPr>
          <w:spacing w:val="-13"/>
        </w:rPr>
        <w:t xml:space="preserve"> </w:t>
      </w:r>
      <w:r>
        <w:t>governance</w:t>
      </w:r>
      <w:r>
        <w:rPr>
          <w:spacing w:val="-13"/>
        </w:rPr>
        <w:t xml:space="preserve"> </w:t>
      </w:r>
      <w:r>
        <w:t>issues</w:t>
      </w:r>
      <w:r>
        <w:rPr>
          <w:spacing w:val="-13"/>
        </w:rPr>
        <w:t xml:space="preserve"> </w:t>
      </w:r>
      <w:r>
        <w:t xml:space="preserve">– </w:t>
      </w:r>
      <w:r>
        <w:rPr>
          <w:spacing w:val="-2"/>
        </w:rPr>
        <w:t>multiple</w:t>
      </w:r>
      <w:r>
        <w:rPr>
          <w:spacing w:val="-7"/>
        </w:rPr>
        <w:t xml:space="preserve"> </w:t>
      </w:r>
      <w:r>
        <w:rPr>
          <w:spacing w:val="-2"/>
        </w:rPr>
        <w:t>state</w:t>
      </w:r>
      <w:r>
        <w:rPr>
          <w:spacing w:val="-7"/>
        </w:rPr>
        <w:t xml:space="preserve"> </w:t>
      </w:r>
      <w:r>
        <w:rPr>
          <w:spacing w:val="-2"/>
        </w:rPr>
        <w:t>and</w:t>
      </w:r>
      <w:r>
        <w:rPr>
          <w:spacing w:val="-7"/>
        </w:rPr>
        <w:t xml:space="preserve"> </w:t>
      </w:r>
      <w:r>
        <w:rPr>
          <w:spacing w:val="-2"/>
        </w:rPr>
        <w:t>federal</w:t>
      </w:r>
      <w:r>
        <w:rPr>
          <w:spacing w:val="-7"/>
        </w:rPr>
        <w:t xml:space="preserve"> </w:t>
      </w:r>
      <w:r>
        <w:rPr>
          <w:spacing w:val="-2"/>
        </w:rPr>
        <w:t>rail</w:t>
      </w:r>
      <w:r>
        <w:rPr>
          <w:spacing w:val="-7"/>
        </w:rPr>
        <w:t xml:space="preserve"> </w:t>
      </w:r>
      <w:r>
        <w:rPr>
          <w:spacing w:val="-2"/>
        </w:rPr>
        <w:t>infrastructure</w:t>
      </w:r>
      <w:r>
        <w:rPr>
          <w:spacing w:val="-7"/>
        </w:rPr>
        <w:t xml:space="preserve"> </w:t>
      </w:r>
      <w:r>
        <w:rPr>
          <w:spacing w:val="-2"/>
        </w:rPr>
        <w:t>operators</w:t>
      </w:r>
      <w:r>
        <w:rPr>
          <w:spacing w:val="-7"/>
        </w:rPr>
        <w:t xml:space="preserve"> </w:t>
      </w:r>
      <w:r>
        <w:rPr>
          <w:spacing w:val="-2"/>
        </w:rPr>
        <w:t xml:space="preserve">– </w:t>
      </w:r>
      <w:r>
        <w:rPr>
          <w:w w:val="95"/>
        </w:rPr>
        <w:t xml:space="preserve">have sometimes held up investment or created network </w:t>
      </w:r>
      <w:r>
        <w:t>management</w:t>
      </w:r>
      <w:r>
        <w:rPr>
          <w:spacing w:val="-11"/>
        </w:rPr>
        <w:t xml:space="preserve"> </w:t>
      </w:r>
      <w:r>
        <w:t>challenges.</w:t>
      </w:r>
    </w:p>
    <w:p w:rsidR="002C1123" w:rsidRDefault="00F22F94">
      <w:pPr>
        <w:pStyle w:val="BodyText"/>
        <w:spacing w:before="147" w:line="249" w:lineRule="auto"/>
        <w:ind w:left="492" w:right="75"/>
      </w:pPr>
      <w:r>
        <w:rPr>
          <w:w w:val="95"/>
        </w:rPr>
        <w:t>The establishment of a specific freight division within Transport</w:t>
      </w:r>
      <w:r>
        <w:rPr>
          <w:spacing w:val="-3"/>
          <w:w w:val="95"/>
        </w:rPr>
        <w:t xml:space="preserve"> </w:t>
      </w:r>
      <w:r>
        <w:rPr>
          <w:w w:val="95"/>
        </w:rPr>
        <w:t>for</w:t>
      </w:r>
      <w:r>
        <w:rPr>
          <w:spacing w:val="-3"/>
          <w:w w:val="95"/>
        </w:rPr>
        <w:t xml:space="preserve"> </w:t>
      </w:r>
      <w:r>
        <w:rPr>
          <w:w w:val="95"/>
        </w:rPr>
        <w:t>NSW</w:t>
      </w:r>
      <w:r>
        <w:rPr>
          <w:spacing w:val="-3"/>
          <w:w w:val="95"/>
        </w:rPr>
        <w:t xml:space="preserve"> </w:t>
      </w:r>
      <w:r>
        <w:rPr>
          <w:w w:val="95"/>
        </w:rPr>
        <w:t>means</w:t>
      </w:r>
      <w:r>
        <w:rPr>
          <w:spacing w:val="-3"/>
          <w:w w:val="95"/>
        </w:rPr>
        <w:t xml:space="preserve"> </w:t>
      </w:r>
      <w:r>
        <w:rPr>
          <w:w w:val="95"/>
        </w:rPr>
        <w:t>a</w:t>
      </w:r>
      <w:r>
        <w:rPr>
          <w:spacing w:val="-3"/>
          <w:w w:val="95"/>
        </w:rPr>
        <w:t xml:space="preserve"> </w:t>
      </w:r>
      <w:r>
        <w:rPr>
          <w:w w:val="95"/>
        </w:rPr>
        <w:t>network</w:t>
      </w:r>
      <w:r>
        <w:rPr>
          <w:spacing w:val="-3"/>
          <w:w w:val="95"/>
        </w:rPr>
        <w:t xml:space="preserve"> </w:t>
      </w:r>
      <w:r>
        <w:rPr>
          <w:w w:val="95"/>
        </w:rPr>
        <w:t>wide</w:t>
      </w:r>
      <w:r>
        <w:rPr>
          <w:spacing w:val="-3"/>
          <w:w w:val="95"/>
        </w:rPr>
        <w:t xml:space="preserve"> </w:t>
      </w:r>
      <w:r>
        <w:rPr>
          <w:w w:val="95"/>
        </w:rPr>
        <w:t>program</w:t>
      </w:r>
      <w:r>
        <w:rPr>
          <w:spacing w:val="-4"/>
          <w:w w:val="95"/>
        </w:rPr>
        <w:t xml:space="preserve"> </w:t>
      </w:r>
      <w:r>
        <w:rPr>
          <w:w w:val="95"/>
        </w:rPr>
        <w:t xml:space="preserve">of rail ‘pinch point’ investments and operational reforms </w:t>
      </w:r>
      <w:r>
        <w:t>can be developed.</w:t>
      </w:r>
    </w:p>
    <w:p w:rsidR="002C1123" w:rsidRDefault="00F22F94">
      <w:pPr>
        <w:spacing w:before="2" w:after="24"/>
        <w:rPr>
          <w:sz w:val="11"/>
        </w:rPr>
      </w:pPr>
      <w:r>
        <w:br w:type="column"/>
      </w:r>
    </w:p>
    <w:p w:rsidR="002C1123" w:rsidRDefault="002060EF">
      <w:pPr>
        <w:pStyle w:val="BodyText"/>
        <w:ind w:left="209" w:right="-44"/>
      </w:pPr>
      <w:r>
        <w:pict>
          <v:shape id="docshape1935" o:spid="_x0000_s5262" type="#_x0000_t202" style="width:239pt;height:81.35pt;mso-left-percent:-10001;mso-top-percent:-10001;mso-position-horizontal:absolute;mso-position-horizontal-relative:char;mso-position-vertical:absolute;mso-position-vertical-relative:line;mso-left-percent:-10001;mso-top-percent:-10001" fillcolor="#e1e0e1" stroked="f">
            <v:textbox inset="0,0,0,0">
              <w:txbxContent>
                <w:p w:rsidR="00F22F94" w:rsidRDefault="00F22F94">
                  <w:pPr>
                    <w:pStyle w:val="BodyText"/>
                    <w:spacing w:before="68" w:line="249" w:lineRule="auto"/>
                    <w:ind w:left="113" w:right="115"/>
                    <w:rPr>
                      <w:color w:val="000000"/>
                    </w:rPr>
                  </w:pPr>
                  <w:r>
                    <w:rPr>
                      <w:b/>
                      <w:color w:val="00AEEF"/>
                    </w:rPr>
                    <w:t>Recommendation</w:t>
                  </w:r>
                  <w:r>
                    <w:rPr>
                      <w:b/>
                      <w:color w:val="00AEEF"/>
                      <w:spacing w:val="40"/>
                    </w:rPr>
                    <w:t xml:space="preserve"> </w:t>
                  </w:r>
                  <w:r>
                    <w:rPr>
                      <w:color w:val="000000"/>
                    </w:rPr>
                    <w:t>Infrastructure NSW recommends Transport of NSW develop (with the Commonwealth Government and other relevant agencies)</w:t>
                  </w:r>
                  <w:r>
                    <w:rPr>
                      <w:color w:val="000000"/>
                      <w:spacing w:val="-10"/>
                    </w:rPr>
                    <w:t xml:space="preserve"> </w:t>
                  </w:r>
                  <w:r>
                    <w:rPr>
                      <w:color w:val="000000"/>
                    </w:rPr>
                    <w:t>a</w:t>
                  </w:r>
                  <w:r>
                    <w:rPr>
                      <w:color w:val="000000"/>
                      <w:spacing w:val="-10"/>
                    </w:rPr>
                    <w:t xml:space="preserve"> </w:t>
                  </w:r>
                  <w:r>
                    <w:rPr>
                      <w:color w:val="000000"/>
                    </w:rPr>
                    <w:t>targeted</w:t>
                  </w:r>
                  <w:r>
                    <w:rPr>
                      <w:color w:val="000000"/>
                      <w:spacing w:val="-10"/>
                    </w:rPr>
                    <w:t xml:space="preserve"> </w:t>
                  </w:r>
                  <w:r>
                    <w:rPr>
                      <w:color w:val="000000"/>
                    </w:rPr>
                    <w:t>program</w:t>
                  </w:r>
                  <w:r>
                    <w:rPr>
                      <w:color w:val="000000"/>
                      <w:spacing w:val="-11"/>
                    </w:rPr>
                    <w:t xml:space="preserve"> </w:t>
                  </w:r>
                  <w:r>
                    <w:rPr>
                      <w:color w:val="000000"/>
                    </w:rPr>
                    <w:t>of</w:t>
                  </w:r>
                  <w:r>
                    <w:rPr>
                      <w:color w:val="000000"/>
                      <w:spacing w:val="-10"/>
                    </w:rPr>
                    <w:t xml:space="preserve"> </w:t>
                  </w:r>
                  <w:r>
                    <w:rPr>
                      <w:color w:val="000000"/>
                    </w:rPr>
                    <w:t>rail</w:t>
                  </w:r>
                  <w:r>
                    <w:rPr>
                      <w:color w:val="000000"/>
                      <w:spacing w:val="-10"/>
                    </w:rPr>
                    <w:t xml:space="preserve"> </w:t>
                  </w:r>
                  <w:r>
                    <w:rPr>
                      <w:color w:val="000000"/>
                    </w:rPr>
                    <w:t>upgrades</w:t>
                  </w:r>
                  <w:r>
                    <w:rPr>
                      <w:color w:val="000000"/>
                      <w:spacing w:val="-10"/>
                    </w:rPr>
                    <w:t xml:space="preserve"> </w:t>
                  </w:r>
                  <w:r>
                    <w:rPr>
                      <w:color w:val="000000"/>
                    </w:rPr>
                    <w:t xml:space="preserve">and </w:t>
                  </w:r>
                  <w:r>
                    <w:rPr>
                      <w:color w:val="000000"/>
                      <w:w w:val="95"/>
                    </w:rPr>
                    <w:t xml:space="preserve">reforms designed to overcome constraints impeding </w:t>
                  </w:r>
                  <w:r>
                    <w:rPr>
                      <w:color w:val="000000"/>
                    </w:rPr>
                    <w:t>rail freight movements in Regional NSW.</w:t>
                  </w:r>
                </w:p>
              </w:txbxContent>
            </v:textbox>
            <w10:anchorlock/>
          </v:shape>
        </w:pict>
      </w:r>
    </w:p>
    <w:p w:rsidR="002C1123" w:rsidRDefault="00F22F94">
      <w:pPr>
        <w:pStyle w:val="Heading5"/>
        <w:numPr>
          <w:ilvl w:val="1"/>
          <w:numId w:val="68"/>
        </w:numPr>
        <w:tabs>
          <w:tab w:val="left" w:pos="810"/>
        </w:tabs>
        <w:spacing w:before="217"/>
        <w:ind w:left="809"/>
        <w:jc w:val="left"/>
      </w:pPr>
      <w:r>
        <w:rPr>
          <w:color w:val="00AEEF"/>
          <w:spacing w:val="-2"/>
        </w:rPr>
        <w:t>Conclusions</w:t>
      </w:r>
    </w:p>
    <w:p w:rsidR="002C1123" w:rsidRDefault="00F22F94">
      <w:pPr>
        <w:pStyle w:val="BodyText"/>
        <w:spacing w:before="135" w:line="249" w:lineRule="auto"/>
        <w:ind w:left="209" w:right="14"/>
      </w:pPr>
      <w:r>
        <w:t>The</w:t>
      </w:r>
      <w:r>
        <w:rPr>
          <w:spacing w:val="-12"/>
        </w:rPr>
        <w:t xml:space="preserve"> </w:t>
      </w:r>
      <w:r>
        <w:t>road</w:t>
      </w:r>
      <w:r>
        <w:rPr>
          <w:spacing w:val="-12"/>
        </w:rPr>
        <w:t xml:space="preserve"> </w:t>
      </w:r>
      <w:r>
        <w:t>network</w:t>
      </w:r>
      <w:r>
        <w:rPr>
          <w:spacing w:val="-12"/>
        </w:rPr>
        <w:t xml:space="preserve"> </w:t>
      </w:r>
      <w:r>
        <w:t>forms</w:t>
      </w:r>
      <w:r>
        <w:rPr>
          <w:spacing w:val="-12"/>
        </w:rPr>
        <w:t xml:space="preserve"> </w:t>
      </w:r>
      <w:r>
        <w:t>the</w:t>
      </w:r>
      <w:r>
        <w:rPr>
          <w:spacing w:val="-12"/>
        </w:rPr>
        <w:t xml:space="preserve"> </w:t>
      </w:r>
      <w:r>
        <w:t>backbone</w:t>
      </w:r>
      <w:r>
        <w:rPr>
          <w:spacing w:val="-12"/>
        </w:rPr>
        <w:t xml:space="preserve"> </w:t>
      </w:r>
      <w:r>
        <w:t>of</w:t>
      </w:r>
      <w:r>
        <w:rPr>
          <w:spacing w:val="-12"/>
        </w:rPr>
        <w:t xml:space="preserve"> </w:t>
      </w:r>
      <w:r>
        <w:t xml:space="preserve">Regional </w:t>
      </w:r>
      <w:r>
        <w:rPr>
          <w:w w:val="95"/>
        </w:rPr>
        <w:t>NSW passenger and freight transport infrastructure.</w:t>
      </w:r>
    </w:p>
    <w:p w:rsidR="002C1123" w:rsidRDefault="00F22F94">
      <w:pPr>
        <w:pStyle w:val="BodyText"/>
        <w:spacing w:before="1" w:line="249" w:lineRule="auto"/>
        <w:ind w:left="209"/>
      </w:pPr>
      <w:r>
        <w:rPr>
          <w:w w:val="95"/>
        </w:rPr>
        <w:t>Infrastructure</w:t>
      </w:r>
      <w:r>
        <w:rPr>
          <w:spacing w:val="-9"/>
          <w:w w:val="95"/>
        </w:rPr>
        <w:t xml:space="preserve"> </w:t>
      </w:r>
      <w:r>
        <w:rPr>
          <w:w w:val="95"/>
        </w:rPr>
        <w:t>NSW</w:t>
      </w:r>
      <w:r>
        <w:rPr>
          <w:spacing w:val="-9"/>
          <w:w w:val="95"/>
        </w:rPr>
        <w:t xml:space="preserve"> </w:t>
      </w:r>
      <w:r>
        <w:rPr>
          <w:w w:val="95"/>
        </w:rPr>
        <w:t>does</w:t>
      </w:r>
      <w:r>
        <w:rPr>
          <w:spacing w:val="-9"/>
          <w:w w:val="95"/>
        </w:rPr>
        <w:t xml:space="preserve"> </w:t>
      </w:r>
      <w:r>
        <w:rPr>
          <w:w w:val="95"/>
        </w:rPr>
        <w:t>not</w:t>
      </w:r>
      <w:r>
        <w:rPr>
          <w:spacing w:val="-9"/>
          <w:w w:val="95"/>
        </w:rPr>
        <w:t xml:space="preserve"> </w:t>
      </w:r>
      <w:r>
        <w:rPr>
          <w:w w:val="95"/>
        </w:rPr>
        <w:t>believe</w:t>
      </w:r>
      <w:r>
        <w:rPr>
          <w:spacing w:val="-9"/>
          <w:w w:val="95"/>
        </w:rPr>
        <w:t xml:space="preserve"> </w:t>
      </w:r>
      <w:r>
        <w:rPr>
          <w:w w:val="95"/>
        </w:rPr>
        <w:t>this</w:t>
      </w:r>
      <w:r>
        <w:rPr>
          <w:spacing w:val="-9"/>
          <w:w w:val="95"/>
        </w:rPr>
        <w:t xml:space="preserve"> </w:t>
      </w:r>
      <w:r>
        <w:rPr>
          <w:w w:val="95"/>
        </w:rPr>
        <w:t>will</w:t>
      </w:r>
      <w:r>
        <w:rPr>
          <w:spacing w:val="-9"/>
          <w:w w:val="95"/>
        </w:rPr>
        <w:t xml:space="preserve"> </w:t>
      </w:r>
      <w:r>
        <w:rPr>
          <w:w w:val="95"/>
        </w:rPr>
        <w:t>change</w:t>
      </w:r>
      <w:r>
        <w:rPr>
          <w:spacing w:val="-9"/>
          <w:w w:val="95"/>
        </w:rPr>
        <w:t xml:space="preserve"> </w:t>
      </w:r>
      <w:r>
        <w:rPr>
          <w:w w:val="95"/>
        </w:rPr>
        <w:t xml:space="preserve">over </w:t>
      </w:r>
      <w:r>
        <w:t>the next 20 years.</w:t>
      </w:r>
    </w:p>
    <w:p w:rsidR="002C1123" w:rsidRDefault="00F22F94">
      <w:pPr>
        <w:pStyle w:val="BodyText"/>
        <w:spacing w:before="144" w:line="249" w:lineRule="auto"/>
        <w:ind w:left="209" w:right="93"/>
      </w:pPr>
      <w:r>
        <w:rPr>
          <w:w w:val="95"/>
        </w:rPr>
        <w:t>Regional</w:t>
      </w:r>
      <w:r>
        <w:rPr>
          <w:spacing w:val="-6"/>
          <w:w w:val="95"/>
        </w:rPr>
        <w:t xml:space="preserve"> </w:t>
      </w:r>
      <w:r>
        <w:rPr>
          <w:w w:val="95"/>
        </w:rPr>
        <w:t>NSW</w:t>
      </w:r>
      <w:r>
        <w:rPr>
          <w:spacing w:val="-6"/>
          <w:w w:val="95"/>
        </w:rPr>
        <w:t xml:space="preserve"> </w:t>
      </w:r>
      <w:r>
        <w:rPr>
          <w:w w:val="95"/>
        </w:rPr>
        <w:t>has</w:t>
      </w:r>
      <w:r>
        <w:rPr>
          <w:spacing w:val="-6"/>
          <w:w w:val="95"/>
        </w:rPr>
        <w:t xml:space="preserve"> </w:t>
      </w:r>
      <w:r>
        <w:rPr>
          <w:w w:val="95"/>
        </w:rPr>
        <w:t>seen</w:t>
      </w:r>
      <w:r>
        <w:rPr>
          <w:spacing w:val="-6"/>
          <w:w w:val="95"/>
        </w:rPr>
        <w:t xml:space="preserve"> </w:t>
      </w:r>
      <w:r>
        <w:rPr>
          <w:w w:val="95"/>
        </w:rPr>
        <w:t>a</w:t>
      </w:r>
      <w:r>
        <w:rPr>
          <w:spacing w:val="-6"/>
          <w:w w:val="95"/>
        </w:rPr>
        <w:t xml:space="preserve"> </w:t>
      </w:r>
      <w:r>
        <w:rPr>
          <w:w w:val="95"/>
        </w:rPr>
        <w:t>majority</w:t>
      </w:r>
      <w:r>
        <w:rPr>
          <w:spacing w:val="-6"/>
          <w:w w:val="95"/>
        </w:rPr>
        <w:t xml:space="preserve"> </w:t>
      </w:r>
      <w:r>
        <w:rPr>
          <w:w w:val="95"/>
        </w:rPr>
        <w:t>of</w:t>
      </w:r>
      <w:r>
        <w:rPr>
          <w:spacing w:val="-6"/>
          <w:w w:val="95"/>
        </w:rPr>
        <w:t xml:space="preserve"> </w:t>
      </w:r>
      <w:r>
        <w:rPr>
          <w:w w:val="95"/>
        </w:rPr>
        <w:t>roads</w:t>
      </w:r>
      <w:r>
        <w:rPr>
          <w:spacing w:val="-6"/>
          <w:w w:val="95"/>
        </w:rPr>
        <w:t xml:space="preserve"> </w:t>
      </w:r>
      <w:r>
        <w:rPr>
          <w:w w:val="95"/>
        </w:rPr>
        <w:t>investment in</w:t>
      </w:r>
      <w:r>
        <w:rPr>
          <w:spacing w:val="-5"/>
          <w:w w:val="95"/>
        </w:rPr>
        <w:t xml:space="preserve"> </w:t>
      </w:r>
      <w:r>
        <w:rPr>
          <w:w w:val="95"/>
        </w:rPr>
        <w:t>recent</w:t>
      </w:r>
      <w:r>
        <w:rPr>
          <w:spacing w:val="-5"/>
          <w:w w:val="95"/>
        </w:rPr>
        <w:t xml:space="preserve"> </w:t>
      </w:r>
      <w:r>
        <w:rPr>
          <w:w w:val="95"/>
        </w:rPr>
        <w:t>years</w:t>
      </w:r>
      <w:r>
        <w:rPr>
          <w:spacing w:val="-5"/>
          <w:w w:val="95"/>
        </w:rPr>
        <w:t xml:space="preserve"> </w:t>
      </w:r>
      <w:r>
        <w:rPr>
          <w:w w:val="95"/>
        </w:rPr>
        <w:t>as</w:t>
      </w:r>
      <w:r>
        <w:rPr>
          <w:spacing w:val="-5"/>
          <w:w w:val="95"/>
        </w:rPr>
        <w:t xml:space="preserve"> </w:t>
      </w:r>
      <w:r>
        <w:rPr>
          <w:w w:val="95"/>
        </w:rPr>
        <w:t>the</w:t>
      </w:r>
      <w:r>
        <w:rPr>
          <w:spacing w:val="-5"/>
          <w:w w:val="95"/>
        </w:rPr>
        <w:t xml:space="preserve"> </w:t>
      </w:r>
      <w:r>
        <w:rPr>
          <w:w w:val="95"/>
        </w:rPr>
        <w:t>Commonwealth</w:t>
      </w:r>
      <w:r>
        <w:rPr>
          <w:spacing w:val="-5"/>
          <w:w w:val="95"/>
        </w:rPr>
        <w:t xml:space="preserve"> </w:t>
      </w:r>
      <w:r>
        <w:rPr>
          <w:w w:val="95"/>
        </w:rPr>
        <w:t>Government</w:t>
      </w:r>
      <w:r>
        <w:rPr>
          <w:spacing w:val="-5"/>
          <w:w w:val="95"/>
        </w:rPr>
        <w:t xml:space="preserve"> </w:t>
      </w:r>
      <w:r>
        <w:rPr>
          <w:w w:val="95"/>
        </w:rPr>
        <w:t xml:space="preserve">has </w:t>
      </w:r>
      <w:r>
        <w:t>invested</w:t>
      </w:r>
      <w:r>
        <w:rPr>
          <w:spacing w:val="-14"/>
        </w:rPr>
        <w:t xml:space="preserve"> </w:t>
      </w:r>
      <w:r>
        <w:t>to</w:t>
      </w:r>
      <w:r>
        <w:rPr>
          <w:spacing w:val="-14"/>
        </w:rPr>
        <w:t xml:space="preserve"> </w:t>
      </w:r>
      <w:r>
        <w:t>extend</w:t>
      </w:r>
      <w:r>
        <w:rPr>
          <w:spacing w:val="-14"/>
        </w:rPr>
        <w:t xml:space="preserve"> </w:t>
      </w:r>
      <w:r>
        <w:t>and</w:t>
      </w:r>
      <w:r>
        <w:rPr>
          <w:spacing w:val="-14"/>
        </w:rPr>
        <w:t xml:space="preserve"> </w:t>
      </w:r>
      <w:r>
        <w:t>improve</w:t>
      </w:r>
      <w:r>
        <w:rPr>
          <w:spacing w:val="-14"/>
        </w:rPr>
        <w:t xml:space="preserve"> </w:t>
      </w:r>
      <w:r>
        <w:t>the</w:t>
      </w:r>
      <w:r>
        <w:rPr>
          <w:spacing w:val="-14"/>
        </w:rPr>
        <w:t xml:space="preserve"> </w:t>
      </w:r>
      <w:r>
        <w:t>National</w:t>
      </w:r>
      <w:r>
        <w:rPr>
          <w:spacing w:val="-14"/>
        </w:rPr>
        <w:t xml:space="preserve"> </w:t>
      </w:r>
      <w:r>
        <w:t xml:space="preserve">Highway </w:t>
      </w:r>
      <w:r>
        <w:rPr>
          <w:w w:val="95"/>
        </w:rPr>
        <w:t xml:space="preserve">Network. The highest value projects have largely been </w:t>
      </w:r>
      <w:r>
        <w:t>completed</w:t>
      </w:r>
      <w:r>
        <w:rPr>
          <w:spacing w:val="-13"/>
        </w:rPr>
        <w:t xml:space="preserve"> </w:t>
      </w:r>
      <w:r>
        <w:t>however</w:t>
      </w:r>
      <w:r>
        <w:rPr>
          <w:spacing w:val="-13"/>
        </w:rPr>
        <w:t xml:space="preserve"> </w:t>
      </w:r>
      <w:r>
        <w:t>and</w:t>
      </w:r>
      <w:r>
        <w:rPr>
          <w:spacing w:val="-13"/>
        </w:rPr>
        <w:t xml:space="preserve"> </w:t>
      </w:r>
      <w:r>
        <w:t>therefore</w:t>
      </w:r>
      <w:r>
        <w:rPr>
          <w:spacing w:val="-13"/>
        </w:rPr>
        <w:t xml:space="preserve"> </w:t>
      </w:r>
      <w:r>
        <w:t>future</w:t>
      </w:r>
      <w:r>
        <w:rPr>
          <w:spacing w:val="-13"/>
        </w:rPr>
        <w:t xml:space="preserve"> </w:t>
      </w:r>
      <w:r>
        <w:t xml:space="preserve">investment </w:t>
      </w:r>
      <w:r>
        <w:rPr>
          <w:w w:val="95"/>
        </w:rPr>
        <w:t>needs</w:t>
      </w:r>
      <w:r>
        <w:rPr>
          <w:spacing w:val="-2"/>
          <w:w w:val="95"/>
        </w:rPr>
        <w:t xml:space="preserve"> </w:t>
      </w:r>
      <w:r>
        <w:rPr>
          <w:w w:val="95"/>
        </w:rPr>
        <w:t>to</w:t>
      </w:r>
      <w:r>
        <w:rPr>
          <w:spacing w:val="-2"/>
          <w:w w:val="95"/>
        </w:rPr>
        <w:t xml:space="preserve"> </w:t>
      </w:r>
      <w:r>
        <w:rPr>
          <w:w w:val="95"/>
        </w:rPr>
        <w:t>balance</w:t>
      </w:r>
      <w:r>
        <w:rPr>
          <w:spacing w:val="-2"/>
          <w:w w:val="95"/>
        </w:rPr>
        <w:t xml:space="preserve"> </w:t>
      </w:r>
      <w:r>
        <w:rPr>
          <w:w w:val="95"/>
        </w:rPr>
        <w:t>the</w:t>
      </w:r>
      <w:r>
        <w:rPr>
          <w:spacing w:val="-2"/>
          <w:w w:val="95"/>
        </w:rPr>
        <w:t xml:space="preserve"> </w:t>
      </w:r>
      <w:r>
        <w:rPr>
          <w:w w:val="95"/>
        </w:rPr>
        <w:t>benefits</w:t>
      </w:r>
      <w:r>
        <w:rPr>
          <w:spacing w:val="-2"/>
          <w:w w:val="95"/>
        </w:rPr>
        <w:t xml:space="preserve"> </w:t>
      </w:r>
      <w:r>
        <w:rPr>
          <w:w w:val="95"/>
        </w:rPr>
        <w:t>to</w:t>
      </w:r>
      <w:r>
        <w:rPr>
          <w:spacing w:val="-2"/>
          <w:w w:val="95"/>
        </w:rPr>
        <w:t xml:space="preserve"> </w:t>
      </w:r>
      <w:r>
        <w:rPr>
          <w:w w:val="95"/>
        </w:rPr>
        <w:t>local</w:t>
      </w:r>
      <w:r>
        <w:rPr>
          <w:spacing w:val="-2"/>
          <w:w w:val="95"/>
        </w:rPr>
        <w:t xml:space="preserve"> </w:t>
      </w:r>
      <w:r>
        <w:rPr>
          <w:w w:val="95"/>
        </w:rPr>
        <w:t>communities</w:t>
      </w:r>
      <w:r>
        <w:rPr>
          <w:spacing w:val="-2"/>
          <w:w w:val="95"/>
        </w:rPr>
        <w:t xml:space="preserve"> </w:t>
      </w:r>
      <w:r>
        <w:rPr>
          <w:w w:val="95"/>
        </w:rPr>
        <w:t xml:space="preserve">and </w:t>
      </w:r>
      <w:r>
        <w:t>the State as a whole.</w:t>
      </w:r>
    </w:p>
    <w:p w:rsidR="002C1123" w:rsidRDefault="00F22F94">
      <w:pPr>
        <w:pStyle w:val="BodyText"/>
        <w:spacing w:before="147"/>
        <w:ind w:left="209"/>
      </w:pPr>
      <w:r>
        <w:rPr>
          <w:w w:val="95"/>
        </w:rPr>
        <w:t>Given</w:t>
      </w:r>
      <w:r>
        <w:rPr>
          <w:spacing w:val="-7"/>
          <w:w w:val="95"/>
        </w:rPr>
        <w:t xml:space="preserve"> </w:t>
      </w:r>
      <w:r>
        <w:rPr>
          <w:w w:val="95"/>
        </w:rPr>
        <w:t>the</w:t>
      </w:r>
      <w:r>
        <w:rPr>
          <w:spacing w:val="-6"/>
          <w:w w:val="95"/>
        </w:rPr>
        <w:t xml:space="preserve"> </w:t>
      </w:r>
      <w:r>
        <w:rPr>
          <w:w w:val="95"/>
        </w:rPr>
        <w:t>scale</w:t>
      </w:r>
      <w:r>
        <w:rPr>
          <w:spacing w:val="-7"/>
          <w:w w:val="95"/>
        </w:rPr>
        <w:t xml:space="preserve"> </w:t>
      </w:r>
      <w:r>
        <w:rPr>
          <w:w w:val="95"/>
        </w:rPr>
        <w:t>of</w:t>
      </w:r>
      <w:r>
        <w:rPr>
          <w:spacing w:val="-6"/>
          <w:w w:val="95"/>
        </w:rPr>
        <w:t xml:space="preserve"> </w:t>
      </w:r>
      <w:r>
        <w:rPr>
          <w:w w:val="95"/>
        </w:rPr>
        <w:t>major</w:t>
      </w:r>
      <w:r>
        <w:rPr>
          <w:spacing w:val="-6"/>
          <w:w w:val="95"/>
        </w:rPr>
        <w:t xml:space="preserve"> </w:t>
      </w:r>
      <w:r>
        <w:rPr>
          <w:w w:val="95"/>
        </w:rPr>
        <w:t>road</w:t>
      </w:r>
      <w:r>
        <w:rPr>
          <w:spacing w:val="-7"/>
          <w:w w:val="95"/>
        </w:rPr>
        <w:t xml:space="preserve"> </w:t>
      </w:r>
      <w:r>
        <w:rPr>
          <w:w w:val="95"/>
        </w:rPr>
        <w:t>programs</w:t>
      </w:r>
      <w:r>
        <w:rPr>
          <w:spacing w:val="-6"/>
          <w:w w:val="95"/>
        </w:rPr>
        <w:t xml:space="preserve"> </w:t>
      </w:r>
      <w:r>
        <w:rPr>
          <w:spacing w:val="-5"/>
          <w:w w:val="95"/>
        </w:rPr>
        <w:t>in</w:t>
      </w:r>
    </w:p>
    <w:p w:rsidR="002C1123" w:rsidRDefault="00F22F94">
      <w:pPr>
        <w:pStyle w:val="BodyText"/>
        <w:spacing w:before="10" w:line="249" w:lineRule="auto"/>
        <w:ind w:left="209" w:right="93"/>
      </w:pPr>
      <w:r>
        <w:rPr>
          <w:w w:val="95"/>
        </w:rPr>
        <w:t>Regional</w:t>
      </w:r>
      <w:r>
        <w:rPr>
          <w:spacing w:val="-1"/>
          <w:w w:val="95"/>
        </w:rPr>
        <w:t xml:space="preserve"> </w:t>
      </w:r>
      <w:r>
        <w:rPr>
          <w:w w:val="95"/>
        </w:rPr>
        <w:t>NSW,</w:t>
      </w:r>
      <w:r>
        <w:rPr>
          <w:spacing w:val="-1"/>
          <w:w w:val="95"/>
        </w:rPr>
        <w:t xml:space="preserve"> </w:t>
      </w:r>
      <w:r>
        <w:rPr>
          <w:w w:val="95"/>
        </w:rPr>
        <w:t>action</w:t>
      </w:r>
      <w:r>
        <w:rPr>
          <w:spacing w:val="-1"/>
          <w:w w:val="95"/>
        </w:rPr>
        <w:t xml:space="preserve"> </w:t>
      </w:r>
      <w:r>
        <w:rPr>
          <w:w w:val="95"/>
        </w:rPr>
        <w:t>is</w:t>
      </w:r>
      <w:r>
        <w:rPr>
          <w:spacing w:val="-1"/>
          <w:w w:val="95"/>
        </w:rPr>
        <w:t xml:space="preserve"> </w:t>
      </w:r>
      <w:r>
        <w:rPr>
          <w:w w:val="95"/>
        </w:rPr>
        <w:t>needed</w:t>
      </w:r>
      <w:r>
        <w:rPr>
          <w:spacing w:val="-1"/>
          <w:w w:val="95"/>
        </w:rPr>
        <w:t xml:space="preserve"> </w:t>
      </w:r>
      <w:r>
        <w:rPr>
          <w:w w:val="95"/>
        </w:rPr>
        <w:t>to</w:t>
      </w:r>
      <w:r>
        <w:rPr>
          <w:spacing w:val="-1"/>
          <w:w w:val="95"/>
        </w:rPr>
        <w:t xml:space="preserve"> </w:t>
      </w:r>
      <w:r>
        <w:rPr>
          <w:w w:val="95"/>
        </w:rPr>
        <w:t>contain</w:t>
      </w:r>
      <w:r>
        <w:rPr>
          <w:spacing w:val="-1"/>
          <w:w w:val="95"/>
        </w:rPr>
        <w:t xml:space="preserve"> </w:t>
      </w:r>
      <w:r>
        <w:rPr>
          <w:w w:val="95"/>
        </w:rPr>
        <w:t>costs</w:t>
      </w:r>
      <w:r>
        <w:rPr>
          <w:spacing w:val="-1"/>
          <w:w w:val="95"/>
        </w:rPr>
        <w:t xml:space="preserve"> </w:t>
      </w:r>
      <w:r>
        <w:rPr>
          <w:w w:val="95"/>
        </w:rPr>
        <w:t>and where possible, particularly with the Pacific Highway and</w:t>
      </w:r>
      <w:r>
        <w:rPr>
          <w:spacing w:val="-6"/>
          <w:w w:val="95"/>
        </w:rPr>
        <w:t xml:space="preserve"> </w:t>
      </w:r>
      <w:r>
        <w:rPr>
          <w:w w:val="95"/>
        </w:rPr>
        <w:t>Princes</w:t>
      </w:r>
      <w:r>
        <w:rPr>
          <w:spacing w:val="-6"/>
          <w:w w:val="95"/>
        </w:rPr>
        <w:t xml:space="preserve"> </w:t>
      </w:r>
      <w:r>
        <w:rPr>
          <w:w w:val="95"/>
        </w:rPr>
        <w:t>Highway</w:t>
      </w:r>
      <w:r>
        <w:rPr>
          <w:spacing w:val="-6"/>
          <w:w w:val="95"/>
        </w:rPr>
        <w:t xml:space="preserve"> </w:t>
      </w:r>
      <w:r>
        <w:rPr>
          <w:w w:val="95"/>
        </w:rPr>
        <w:t>programs.</w:t>
      </w:r>
      <w:r>
        <w:rPr>
          <w:spacing w:val="-6"/>
          <w:w w:val="95"/>
        </w:rPr>
        <w:t xml:space="preserve"> </w:t>
      </w:r>
      <w:r>
        <w:rPr>
          <w:w w:val="95"/>
        </w:rPr>
        <w:t>Finite</w:t>
      </w:r>
      <w:r>
        <w:rPr>
          <w:spacing w:val="-6"/>
          <w:w w:val="95"/>
        </w:rPr>
        <w:t xml:space="preserve"> </w:t>
      </w:r>
      <w:r>
        <w:rPr>
          <w:w w:val="95"/>
        </w:rPr>
        <w:t>funding</w:t>
      </w:r>
      <w:r>
        <w:rPr>
          <w:spacing w:val="-6"/>
          <w:w w:val="95"/>
        </w:rPr>
        <w:t xml:space="preserve"> </w:t>
      </w:r>
      <w:r>
        <w:rPr>
          <w:w w:val="95"/>
        </w:rPr>
        <w:t>means the</w:t>
      </w:r>
      <w:r>
        <w:rPr>
          <w:spacing w:val="-4"/>
          <w:w w:val="95"/>
        </w:rPr>
        <w:t xml:space="preserve"> </w:t>
      </w:r>
      <w:r>
        <w:rPr>
          <w:w w:val="95"/>
        </w:rPr>
        <w:t>alternative</w:t>
      </w:r>
      <w:r>
        <w:rPr>
          <w:spacing w:val="-4"/>
          <w:w w:val="95"/>
        </w:rPr>
        <w:t xml:space="preserve"> </w:t>
      </w:r>
      <w:r>
        <w:rPr>
          <w:w w:val="95"/>
        </w:rPr>
        <w:t>is</w:t>
      </w:r>
      <w:r>
        <w:rPr>
          <w:spacing w:val="-4"/>
          <w:w w:val="95"/>
        </w:rPr>
        <w:t xml:space="preserve"> </w:t>
      </w:r>
      <w:r>
        <w:rPr>
          <w:w w:val="95"/>
        </w:rPr>
        <w:t>likely</w:t>
      </w:r>
      <w:r>
        <w:rPr>
          <w:spacing w:val="-4"/>
          <w:w w:val="95"/>
        </w:rPr>
        <w:t xml:space="preserve"> </w:t>
      </w:r>
      <w:r>
        <w:rPr>
          <w:w w:val="95"/>
        </w:rPr>
        <w:t>to</w:t>
      </w:r>
      <w:r>
        <w:rPr>
          <w:spacing w:val="-4"/>
          <w:w w:val="95"/>
        </w:rPr>
        <w:t xml:space="preserve"> </w:t>
      </w:r>
      <w:r>
        <w:rPr>
          <w:w w:val="95"/>
        </w:rPr>
        <w:t>be</w:t>
      </w:r>
      <w:r>
        <w:rPr>
          <w:spacing w:val="-4"/>
          <w:w w:val="95"/>
        </w:rPr>
        <w:t xml:space="preserve"> </w:t>
      </w:r>
      <w:r>
        <w:rPr>
          <w:w w:val="95"/>
        </w:rPr>
        <w:t>further</w:t>
      </w:r>
      <w:r>
        <w:rPr>
          <w:spacing w:val="-4"/>
          <w:w w:val="95"/>
        </w:rPr>
        <w:t xml:space="preserve"> </w:t>
      </w:r>
      <w:r>
        <w:rPr>
          <w:w w:val="95"/>
        </w:rPr>
        <w:t>delay</w:t>
      </w:r>
      <w:r>
        <w:rPr>
          <w:spacing w:val="-4"/>
          <w:w w:val="95"/>
        </w:rPr>
        <w:t xml:space="preserve"> </w:t>
      </w:r>
      <w:r>
        <w:rPr>
          <w:w w:val="95"/>
        </w:rPr>
        <w:t>in</w:t>
      </w:r>
      <w:r>
        <w:rPr>
          <w:spacing w:val="-4"/>
          <w:w w:val="95"/>
        </w:rPr>
        <w:t xml:space="preserve"> </w:t>
      </w:r>
      <w:r>
        <w:rPr>
          <w:w w:val="95"/>
        </w:rPr>
        <w:t xml:space="preserve">delivering </w:t>
      </w:r>
      <w:r>
        <w:t>these</w:t>
      </w:r>
      <w:r>
        <w:rPr>
          <w:spacing w:val="-11"/>
        </w:rPr>
        <w:t xml:space="preserve"> </w:t>
      </w:r>
      <w:r>
        <w:t>programs.</w:t>
      </w:r>
    </w:p>
    <w:p w:rsidR="002C1123" w:rsidRDefault="00F22F94">
      <w:pPr>
        <w:pStyle w:val="BodyText"/>
        <w:spacing w:before="146" w:line="249" w:lineRule="auto"/>
        <w:ind w:left="209" w:right="179"/>
      </w:pPr>
      <w:r>
        <w:rPr>
          <w:w w:val="95"/>
        </w:rPr>
        <w:t xml:space="preserve">In many cases, pinch point upgrades will be sufficient to meet the transport demands placed on the regional </w:t>
      </w:r>
      <w:r>
        <w:t>roads</w:t>
      </w:r>
      <w:r>
        <w:rPr>
          <w:spacing w:val="-11"/>
        </w:rPr>
        <w:t xml:space="preserve"> </w:t>
      </w:r>
      <w:r>
        <w:t>network</w:t>
      </w:r>
      <w:r>
        <w:rPr>
          <w:spacing w:val="-11"/>
        </w:rPr>
        <w:t xml:space="preserve"> </w:t>
      </w:r>
      <w:r>
        <w:t>over</w:t>
      </w:r>
      <w:r>
        <w:rPr>
          <w:spacing w:val="-11"/>
        </w:rPr>
        <w:t xml:space="preserve"> </w:t>
      </w:r>
      <w:r>
        <w:t>the</w:t>
      </w:r>
      <w:r>
        <w:rPr>
          <w:spacing w:val="-11"/>
        </w:rPr>
        <w:t xml:space="preserve"> </w:t>
      </w:r>
      <w:r>
        <w:t>next</w:t>
      </w:r>
      <w:r>
        <w:rPr>
          <w:spacing w:val="-11"/>
        </w:rPr>
        <w:t xml:space="preserve"> </w:t>
      </w:r>
      <w:r>
        <w:t>20</w:t>
      </w:r>
      <w:r>
        <w:rPr>
          <w:spacing w:val="-11"/>
        </w:rPr>
        <w:t xml:space="preserve"> </w:t>
      </w:r>
      <w:r>
        <w:t>years.</w:t>
      </w:r>
      <w:r>
        <w:rPr>
          <w:spacing w:val="-11"/>
        </w:rPr>
        <w:t xml:space="preserve"> </w:t>
      </w:r>
      <w:r>
        <w:t>Focus</w:t>
      </w:r>
      <w:r>
        <w:rPr>
          <w:spacing w:val="-11"/>
        </w:rPr>
        <w:t xml:space="preserve"> </w:t>
      </w:r>
      <w:r>
        <w:t>should</w:t>
      </w:r>
    </w:p>
    <w:p w:rsidR="002C1123" w:rsidRDefault="00F22F94">
      <w:pPr>
        <w:pStyle w:val="BodyText"/>
        <w:spacing w:before="108" w:line="249" w:lineRule="auto"/>
        <w:ind w:left="207" w:right="956"/>
      </w:pPr>
      <w:r>
        <w:br w:type="column"/>
      </w:r>
      <w:r>
        <w:rPr>
          <w:w w:val="95"/>
        </w:rPr>
        <w:t xml:space="preserve">be placed on freeing up bottlenecks on corridors and </w:t>
      </w:r>
      <w:r>
        <w:t>around</w:t>
      </w:r>
      <w:r>
        <w:rPr>
          <w:spacing w:val="-10"/>
        </w:rPr>
        <w:t xml:space="preserve"> </w:t>
      </w:r>
      <w:r>
        <w:t>the</w:t>
      </w:r>
      <w:r>
        <w:rPr>
          <w:spacing w:val="-10"/>
        </w:rPr>
        <w:t xml:space="preserve"> </w:t>
      </w:r>
      <w:r>
        <w:t>ports</w:t>
      </w:r>
      <w:r>
        <w:rPr>
          <w:spacing w:val="-10"/>
        </w:rPr>
        <w:t xml:space="preserve"> </w:t>
      </w:r>
      <w:r>
        <w:t>and</w:t>
      </w:r>
      <w:r>
        <w:rPr>
          <w:spacing w:val="-10"/>
        </w:rPr>
        <w:t xml:space="preserve"> </w:t>
      </w:r>
      <w:r>
        <w:t>investing</w:t>
      </w:r>
      <w:r>
        <w:rPr>
          <w:spacing w:val="-10"/>
        </w:rPr>
        <w:t xml:space="preserve"> </w:t>
      </w:r>
      <w:r>
        <w:t>in</w:t>
      </w:r>
      <w:r>
        <w:rPr>
          <w:spacing w:val="-10"/>
        </w:rPr>
        <w:t xml:space="preserve"> </w:t>
      </w:r>
      <w:r>
        <w:t>regional</w:t>
      </w:r>
      <w:r>
        <w:rPr>
          <w:spacing w:val="-10"/>
        </w:rPr>
        <w:t xml:space="preserve"> </w:t>
      </w:r>
      <w:r>
        <w:t xml:space="preserve">bridges </w:t>
      </w:r>
      <w:r>
        <w:rPr>
          <w:w w:val="95"/>
        </w:rPr>
        <w:t xml:space="preserve">and bypasses. Maintaining the existing asset base is </w:t>
      </w:r>
      <w:r>
        <w:t>also</w:t>
      </w:r>
      <w:r>
        <w:rPr>
          <w:spacing w:val="-11"/>
        </w:rPr>
        <w:t xml:space="preserve"> </w:t>
      </w:r>
      <w:r>
        <w:t>essential.</w:t>
      </w:r>
    </w:p>
    <w:p w:rsidR="002C1123" w:rsidRDefault="00F22F94">
      <w:pPr>
        <w:pStyle w:val="BodyText"/>
        <w:spacing w:before="145" w:line="249" w:lineRule="auto"/>
        <w:ind w:left="207" w:right="761"/>
      </w:pPr>
      <w:r>
        <w:t>The</w:t>
      </w:r>
      <w:r>
        <w:rPr>
          <w:spacing w:val="-11"/>
        </w:rPr>
        <w:t xml:space="preserve"> </w:t>
      </w:r>
      <w:r>
        <w:t>rail</w:t>
      </w:r>
      <w:r>
        <w:rPr>
          <w:spacing w:val="-11"/>
        </w:rPr>
        <w:t xml:space="preserve"> </w:t>
      </w:r>
      <w:r>
        <w:t>network</w:t>
      </w:r>
      <w:r>
        <w:rPr>
          <w:spacing w:val="-11"/>
        </w:rPr>
        <w:t xml:space="preserve"> </w:t>
      </w:r>
      <w:r>
        <w:t>has</w:t>
      </w:r>
      <w:r>
        <w:rPr>
          <w:spacing w:val="-11"/>
        </w:rPr>
        <w:t xml:space="preserve"> </w:t>
      </w:r>
      <w:r>
        <w:t>an</w:t>
      </w:r>
      <w:r>
        <w:rPr>
          <w:spacing w:val="-12"/>
        </w:rPr>
        <w:t xml:space="preserve"> </w:t>
      </w:r>
      <w:r>
        <w:t>important</w:t>
      </w:r>
      <w:r>
        <w:rPr>
          <w:spacing w:val="-11"/>
        </w:rPr>
        <w:t xml:space="preserve"> </w:t>
      </w:r>
      <w:r>
        <w:t>role</w:t>
      </w:r>
      <w:r>
        <w:rPr>
          <w:spacing w:val="-11"/>
        </w:rPr>
        <w:t xml:space="preserve"> </w:t>
      </w:r>
      <w:r>
        <w:t>in</w:t>
      </w:r>
      <w:r>
        <w:rPr>
          <w:spacing w:val="-11"/>
        </w:rPr>
        <w:t xml:space="preserve"> </w:t>
      </w:r>
      <w:r>
        <w:t xml:space="preserve">providing </w:t>
      </w:r>
      <w:r>
        <w:rPr>
          <w:w w:val="95"/>
        </w:rPr>
        <w:t xml:space="preserve">access to the metropolitan area and transporting bulk </w:t>
      </w:r>
      <w:r>
        <w:t>freight,</w:t>
      </w:r>
      <w:r>
        <w:rPr>
          <w:spacing w:val="-14"/>
        </w:rPr>
        <w:t xml:space="preserve"> </w:t>
      </w:r>
      <w:r>
        <w:t>particularly</w:t>
      </w:r>
      <w:r>
        <w:rPr>
          <w:spacing w:val="-14"/>
        </w:rPr>
        <w:t xml:space="preserve"> </w:t>
      </w:r>
      <w:r>
        <w:t>for</w:t>
      </w:r>
      <w:r>
        <w:rPr>
          <w:spacing w:val="-14"/>
        </w:rPr>
        <w:t xml:space="preserve"> </w:t>
      </w:r>
      <w:r>
        <w:t>export.</w:t>
      </w:r>
      <w:r>
        <w:rPr>
          <w:spacing w:val="-13"/>
        </w:rPr>
        <w:t xml:space="preserve"> </w:t>
      </w:r>
      <w:r>
        <w:t>It</w:t>
      </w:r>
      <w:r>
        <w:rPr>
          <w:spacing w:val="-14"/>
        </w:rPr>
        <w:t xml:space="preserve"> </w:t>
      </w:r>
      <w:r>
        <w:t>is</w:t>
      </w:r>
      <w:r>
        <w:rPr>
          <w:spacing w:val="-14"/>
        </w:rPr>
        <w:t xml:space="preserve"> </w:t>
      </w:r>
      <w:r>
        <w:t>less</w:t>
      </w:r>
      <w:r>
        <w:rPr>
          <w:spacing w:val="-14"/>
        </w:rPr>
        <w:t xml:space="preserve"> </w:t>
      </w:r>
      <w:r>
        <w:t>clear</w:t>
      </w:r>
      <w:r>
        <w:rPr>
          <w:spacing w:val="-13"/>
        </w:rPr>
        <w:t xml:space="preserve"> </w:t>
      </w:r>
      <w:r>
        <w:t>that</w:t>
      </w:r>
      <w:r>
        <w:rPr>
          <w:spacing w:val="-14"/>
        </w:rPr>
        <w:t xml:space="preserve"> </w:t>
      </w:r>
      <w:r>
        <w:t xml:space="preserve">its </w:t>
      </w:r>
      <w:r>
        <w:rPr>
          <w:w w:val="95"/>
        </w:rPr>
        <w:t>limited</w:t>
      </w:r>
      <w:r>
        <w:rPr>
          <w:spacing w:val="-7"/>
          <w:w w:val="95"/>
        </w:rPr>
        <w:t xml:space="preserve"> </w:t>
      </w:r>
      <w:r>
        <w:rPr>
          <w:w w:val="95"/>
        </w:rPr>
        <w:t>role</w:t>
      </w:r>
      <w:r>
        <w:rPr>
          <w:spacing w:val="-7"/>
          <w:w w:val="95"/>
        </w:rPr>
        <w:t xml:space="preserve"> </w:t>
      </w:r>
      <w:r>
        <w:rPr>
          <w:w w:val="95"/>
        </w:rPr>
        <w:t>for</w:t>
      </w:r>
      <w:r>
        <w:rPr>
          <w:spacing w:val="-7"/>
          <w:w w:val="95"/>
        </w:rPr>
        <w:t xml:space="preserve"> </w:t>
      </w:r>
      <w:r>
        <w:rPr>
          <w:w w:val="95"/>
        </w:rPr>
        <w:t>other</w:t>
      </w:r>
      <w:r>
        <w:rPr>
          <w:spacing w:val="-7"/>
          <w:w w:val="95"/>
        </w:rPr>
        <w:t xml:space="preserve"> </w:t>
      </w:r>
      <w:r>
        <w:rPr>
          <w:w w:val="95"/>
        </w:rPr>
        <w:t>passenger</w:t>
      </w:r>
      <w:r>
        <w:rPr>
          <w:spacing w:val="-7"/>
          <w:w w:val="95"/>
        </w:rPr>
        <w:t xml:space="preserve"> </w:t>
      </w:r>
      <w:r>
        <w:rPr>
          <w:w w:val="95"/>
        </w:rPr>
        <w:t>and</w:t>
      </w:r>
      <w:r>
        <w:rPr>
          <w:spacing w:val="-7"/>
          <w:w w:val="95"/>
        </w:rPr>
        <w:t xml:space="preserve"> </w:t>
      </w:r>
      <w:r>
        <w:rPr>
          <w:w w:val="95"/>
        </w:rPr>
        <w:t>freight</w:t>
      </w:r>
      <w:r>
        <w:rPr>
          <w:spacing w:val="-7"/>
          <w:w w:val="95"/>
        </w:rPr>
        <w:t xml:space="preserve"> </w:t>
      </w:r>
      <w:r>
        <w:rPr>
          <w:w w:val="95"/>
        </w:rPr>
        <w:t>markets</w:t>
      </w:r>
      <w:r>
        <w:rPr>
          <w:spacing w:val="-7"/>
          <w:w w:val="95"/>
        </w:rPr>
        <w:t xml:space="preserve"> </w:t>
      </w:r>
      <w:r>
        <w:rPr>
          <w:w w:val="95"/>
        </w:rPr>
        <w:t xml:space="preserve">will </w:t>
      </w:r>
      <w:r>
        <w:t>grow</w:t>
      </w:r>
      <w:r>
        <w:rPr>
          <w:spacing w:val="-14"/>
        </w:rPr>
        <w:t xml:space="preserve"> </w:t>
      </w:r>
      <w:r>
        <w:t>substantially</w:t>
      </w:r>
      <w:r>
        <w:rPr>
          <w:spacing w:val="-14"/>
        </w:rPr>
        <w:t xml:space="preserve"> </w:t>
      </w:r>
      <w:r>
        <w:t>over</w:t>
      </w:r>
      <w:r>
        <w:rPr>
          <w:spacing w:val="-14"/>
        </w:rPr>
        <w:t xml:space="preserve"> </w:t>
      </w:r>
      <w:r>
        <w:t>the</w:t>
      </w:r>
      <w:r>
        <w:rPr>
          <w:spacing w:val="-14"/>
        </w:rPr>
        <w:t xml:space="preserve"> </w:t>
      </w:r>
      <w:r>
        <w:t>next</w:t>
      </w:r>
      <w:r>
        <w:rPr>
          <w:spacing w:val="-14"/>
        </w:rPr>
        <w:t xml:space="preserve"> </w:t>
      </w:r>
      <w:r>
        <w:t>20</w:t>
      </w:r>
      <w:r>
        <w:rPr>
          <w:spacing w:val="-14"/>
        </w:rPr>
        <w:t xml:space="preserve"> </w:t>
      </w:r>
      <w:r>
        <w:t>years,</w:t>
      </w:r>
      <w:r>
        <w:rPr>
          <w:spacing w:val="-14"/>
        </w:rPr>
        <w:t xml:space="preserve"> </w:t>
      </w:r>
      <w:r>
        <w:t>relative</w:t>
      </w:r>
      <w:r>
        <w:rPr>
          <w:spacing w:val="-14"/>
        </w:rPr>
        <w:t xml:space="preserve"> </w:t>
      </w:r>
      <w:r>
        <w:t>to other</w:t>
      </w:r>
      <w:r>
        <w:rPr>
          <w:spacing w:val="-11"/>
        </w:rPr>
        <w:t xml:space="preserve"> </w:t>
      </w:r>
      <w:r>
        <w:t>modes.</w:t>
      </w:r>
    </w:p>
    <w:p w:rsidR="002C1123" w:rsidRDefault="00F22F94">
      <w:pPr>
        <w:pStyle w:val="BodyText"/>
        <w:spacing w:before="147" w:line="249" w:lineRule="auto"/>
        <w:ind w:left="207" w:right="1026"/>
        <w:jc w:val="both"/>
      </w:pPr>
      <w:r>
        <w:rPr>
          <w:w w:val="95"/>
        </w:rPr>
        <w:t>Accordingly, priority on the rail network should be on incremental</w:t>
      </w:r>
      <w:r>
        <w:rPr>
          <w:spacing w:val="-6"/>
          <w:w w:val="95"/>
        </w:rPr>
        <w:t xml:space="preserve"> </w:t>
      </w:r>
      <w:r>
        <w:rPr>
          <w:w w:val="95"/>
        </w:rPr>
        <w:t>improvement</w:t>
      </w:r>
      <w:r>
        <w:rPr>
          <w:spacing w:val="-6"/>
          <w:w w:val="95"/>
        </w:rPr>
        <w:t xml:space="preserve"> </w:t>
      </w:r>
      <w:r>
        <w:rPr>
          <w:w w:val="95"/>
        </w:rPr>
        <w:t>–</w:t>
      </w:r>
      <w:r>
        <w:rPr>
          <w:spacing w:val="-6"/>
          <w:w w:val="95"/>
        </w:rPr>
        <w:t xml:space="preserve"> </w:t>
      </w:r>
      <w:r>
        <w:rPr>
          <w:w w:val="95"/>
        </w:rPr>
        <w:t>for</w:t>
      </w:r>
      <w:r>
        <w:rPr>
          <w:spacing w:val="-6"/>
          <w:w w:val="95"/>
        </w:rPr>
        <w:t xml:space="preserve"> </w:t>
      </w:r>
      <w:r>
        <w:rPr>
          <w:w w:val="95"/>
        </w:rPr>
        <w:t>example,</w:t>
      </w:r>
      <w:r>
        <w:rPr>
          <w:spacing w:val="-6"/>
          <w:w w:val="95"/>
        </w:rPr>
        <w:t xml:space="preserve"> </w:t>
      </w:r>
      <w:r>
        <w:rPr>
          <w:w w:val="95"/>
        </w:rPr>
        <w:t xml:space="preserve">accelerating services to Global Sydney and freeing up constraints </w:t>
      </w:r>
      <w:r>
        <w:t>that</w:t>
      </w:r>
      <w:r>
        <w:rPr>
          <w:spacing w:val="-4"/>
        </w:rPr>
        <w:t xml:space="preserve"> </w:t>
      </w:r>
      <w:r>
        <w:t>hinder</w:t>
      </w:r>
      <w:r>
        <w:rPr>
          <w:spacing w:val="-4"/>
        </w:rPr>
        <w:t xml:space="preserve"> </w:t>
      </w:r>
      <w:r>
        <w:t>regional</w:t>
      </w:r>
      <w:r>
        <w:rPr>
          <w:spacing w:val="-4"/>
        </w:rPr>
        <w:t xml:space="preserve"> </w:t>
      </w:r>
      <w:r>
        <w:t>freight</w:t>
      </w:r>
      <w:r>
        <w:rPr>
          <w:spacing w:val="-4"/>
        </w:rPr>
        <w:t xml:space="preserve"> </w:t>
      </w:r>
      <w:r>
        <w:t>movement.</w:t>
      </w:r>
    </w:p>
    <w:p w:rsidR="002C1123" w:rsidRDefault="00F22F94">
      <w:pPr>
        <w:pStyle w:val="BodyText"/>
        <w:spacing w:before="145" w:line="249" w:lineRule="auto"/>
        <w:ind w:left="207" w:right="956"/>
      </w:pPr>
      <w:r>
        <w:t>Mega</w:t>
      </w:r>
      <w:r>
        <w:rPr>
          <w:spacing w:val="-13"/>
        </w:rPr>
        <w:t xml:space="preserve"> </w:t>
      </w:r>
      <w:r>
        <w:t>projects</w:t>
      </w:r>
      <w:r>
        <w:rPr>
          <w:spacing w:val="-13"/>
        </w:rPr>
        <w:t xml:space="preserve"> </w:t>
      </w:r>
      <w:r>
        <w:t>(inland</w:t>
      </w:r>
      <w:r>
        <w:rPr>
          <w:spacing w:val="-13"/>
        </w:rPr>
        <w:t xml:space="preserve"> </w:t>
      </w:r>
      <w:r>
        <w:t>rail,</w:t>
      </w:r>
      <w:r>
        <w:rPr>
          <w:spacing w:val="-13"/>
        </w:rPr>
        <w:t xml:space="preserve"> </w:t>
      </w:r>
      <w:r>
        <w:t>extending</w:t>
      </w:r>
      <w:r>
        <w:rPr>
          <w:spacing w:val="-13"/>
        </w:rPr>
        <w:t xml:space="preserve"> </w:t>
      </w:r>
      <w:r>
        <w:t>the</w:t>
      </w:r>
      <w:r>
        <w:rPr>
          <w:spacing w:val="-13"/>
        </w:rPr>
        <w:t xml:space="preserve"> </w:t>
      </w:r>
      <w:r>
        <w:t>Northern Sydney</w:t>
      </w:r>
      <w:r>
        <w:rPr>
          <w:spacing w:val="-6"/>
        </w:rPr>
        <w:t xml:space="preserve"> </w:t>
      </w:r>
      <w:r>
        <w:t>Freight</w:t>
      </w:r>
      <w:r>
        <w:rPr>
          <w:spacing w:val="-6"/>
        </w:rPr>
        <w:t xml:space="preserve"> </w:t>
      </w:r>
      <w:r>
        <w:t>Corridor</w:t>
      </w:r>
      <w:r>
        <w:rPr>
          <w:spacing w:val="-6"/>
        </w:rPr>
        <w:t xml:space="preserve"> </w:t>
      </w:r>
      <w:r>
        <w:t>and</w:t>
      </w:r>
      <w:r>
        <w:rPr>
          <w:spacing w:val="-6"/>
        </w:rPr>
        <w:t xml:space="preserve"> </w:t>
      </w:r>
      <w:r>
        <w:t>re-opening</w:t>
      </w:r>
      <w:r>
        <w:rPr>
          <w:spacing w:val="-6"/>
        </w:rPr>
        <w:t xml:space="preserve"> </w:t>
      </w:r>
      <w:r>
        <w:t xml:space="preserve">dormant </w:t>
      </w:r>
      <w:r>
        <w:rPr>
          <w:w w:val="95"/>
        </w:rPr>
        <w:t>passenger</w:t>
      </w:r>
      <w:r>
        <w:rPr>
          <w:spacing w:val="-12"/>
          <w:w w:val="95"/>
        </w:rPr>
        <w:t xml:space="preserve"> </w:t>
      </w:r>
      <w:r>
        <w:rPr>
          <w:w w:val="95"/>
        </w:rPr>
        <w:t>rail</w:t>
      </w:r>
      <w:r>
        <w:rPr>
          <w:spacing w:val="-11"/>
          <w:w w:val="95"/>
        </w:rPr>
        <w:t xml:space="preserve"> </w:t>
      </w:r>
      <w:r>
        <w:rPr>
          <w:w w:val="95"/>
        </w:rPr>
        <w:t>lines</w:t>
      </w:r>
      <w:r>
        <w:rPr>
          <w:spacing w:val="-11"/>
          <w:w w:val="95"/>
        </w:rPr>
        <w:t xml:space="preserve"> </w:t>
      </w:r>
      <w:r>
        <w:rPr>
          <w:w w:val="95"/>
        </w:rPr>
        <w:t>–</w:t>
      </w:r>
      <w:r>
        <w:rPr>
          <w:spacing w:val="-11"/>
          <w:w w:val="95"/>
        </w:rPr>
        <w:t xml:space="preserve"> </w:t>
      </w:r>
      <w:r>
        <w:rPr>
          <w:w w:val="95"/>
        </w:rPr>
        <w:t>are</w:t>
      </w:r>
      <w:r>
        <w:rPr>
          <w:spacing w:val="-11"/>
          <w:w w:val="95"/>
        </w:rPr>
        <w:t xml:space="preserve"> </w:t>
      </w:r>
      <w:r>
        <w:rPr>
          <w:w w:val="95"/>
        </w:rPr>
        <w:t>likely</w:t>
      </w:r>
      <w:r>
        <w:rPr>
          <w:spacing w:val="-11"/>
          <w:w w:val="95"/>
        </w:rPr>
        <w:t xml:space="preserve"> </w:t>
      </w:r>
      <w:r>
        <w:rPr>
          <w:w w:val="95"/>
        </w:rPr>
        <w:t>to</w:t>
      </w:r>
      <w:r>
        <w:rPr>
          <w:spacing w:val="-11"/>
          <w:w w:val="95"/>
        </w:rPr>
        <w:t xml:space="preserve"> </w:t>
      </w:r>
      <w:r>
        <w:rPr>
          <w:w w:val="95"/>
        </w:rPr>
        <w:t>be</w:t>
      </w:r>
      <w:r>
        <w:rPr>
          <w:spacing w:val="-11"/>
          <w:w w:val="95"/>
        </w:rPr>
        <w:t xml:space="preserve"> </w:t>
      </w:r>
      <w:r>
        <w:rPr>
          <w:w w:val="95"/>
        </w:rPr>
        <w:t>less</w:t>
      </w:r>
      <w:r>
        <w:rPr>
          <w:spacing w:val="-12"/>
          <w:w w:val="95"/>
        </w:rPr>
        <w:t xml:space="preserve"> </w:t>
      </w:r>
      <w:r>
        <w:rPr>
          <w:w w:val="95"/>
        </w:rPr>
        <w:t>of</w:t>
      </w:r>
      <w:r>
        <w:rPr>
          <w:spacing w:val="-11"/>
          <w:w w:val="95"/>
        </w:rPr>
        <w:t xml:space="preserve"> </w:t>
      </w:r>
      <w:r>
        <w:rPr>
          <w:w w:val="95"/>
        </w:rPr>
        <w:t>a</w:t>
      </w:r>
      <w:r>
        <w:rPr>
          <w:spacing w:val="-11"/>
          <w:w w:val="95"/>
        </w:rPr>
        <w:t xml:space="preserve"> </w:t>
      </w:r>
      <w:r>
        <w:rPr>
          <w:w w:val="95"/>
        </w:rPr>
        <w:t>priority. The</w:t>
      </w:r>
      <w:r>
        <w:rPr>
          <w:spacing w:val="-7"/>
          <w:w w:val="95"/>
        </w:rPr>
        <w:t xml:space="preserve"> </w:t>
      </w:r>
      <w:r>
        <w:rPr>
          <w:w w:val="95"/>
        </w:rPr>
        <w:t>capital</w:t>
      </w:r>
      <w:r>
        <w:rPr>
          <w:spacing w:val="-7"/>
          <w:w w:val="95"/>
        </w:rPr>
        <w:t xml:space="preserve"> </w:t>
      </w:r>
      <w:r>
        <w:rPr>
          <w:w w:val="95"/>
        </w:rPr>
        <w:t>costs</w:t>
      </w:r>
      <w:r>
        <w:rPr>
          <w:spacing w:val="-7"/>
          <w:w w:val="95"/>
        </w:rPr>
        <w:t xml:space="preserve"> </w:t>
      </w:r>
      <w:r>
        <w:rPr>
          <w:w w:val="95"/>
        </w:rPr>
        <w:t>of</w:t>
      </w:r>
      <w:r>
        <w:rPr>
          <w:spacing w:val="-7"/>
          <w:w w:val="95"/>
        </w:rPr>
        <w:t xml:space="preserve"> </w:t>
      </w:r>
      <w:r>
        <w:rPr>
          <w:w w:val="95"/>
        </w:rPr>
        <w:t>these</w:t>
      </w:r>
      <w:r>
        <w:rPr>
          <w:spacing w:val="-7"/>
          <w:w w:val="95"/>
        </w:rPr>
        <w:t xml:space="preserve"> </w:t>
      </w:r>
      <w:r>
        <w:rPr>
          <w:w w:val="95"/>
        </w:rPr>
        <w:t>investments</w:t>
      </w:r>
      <w:r>
        <w:rPr>
          <w:spacing w:val="-7"/>
          <w:w w:val="95"/>
        </w:rPr>
        <w:t xml:space="preserve"> </w:t>
      </w:r>
      <w:r>
        <w:rPr>
          <w:w w:val="95"/>
        </w:rPr>
        <w:t>are</w:t>
      </w:r>
      <w:r>
        <w:rPr>
          <w:spacing w:val="-7"/>
          <w:w w:val="95"/>
        </w:rPr>
        <w:t xml:space="preserve"> </w:t>
      </w:r>
      <w:r>
        <w:rPr>
          <w:w w:val="95"/>
        </w:rPr>
        <w:t xml:space="preserve">extremely </w:t>
      </w:r>
      <w:r>
        <w:rPr>
          <w:spacing w:val="-2"/>
        </w:rPr>
        <w:t>high</w:t>
      </w:r>
      <w:r>
        <w:rPr>
          <w:spacing w:val="-8"/>
        </w:rPr>
        <w:t xml:space="preserve"> </w:t>
      </w:r>
      <w:r>
        <w:rPr>
          <w:spacing w:val="-2"/>
        </w:rPr>
        <w:t>relative</w:t>
      </w:r>
      <w:r>
        <w:rPr>
          <w:spacing w:val="-8"/>
        </w:rPr>
        <w:t xml:space="preserve"> </w:t>
      </w:r>
      <w:r>
        <w:rPr>
          <w:spacing w:val="-2"/>
        </w:rPr>
        <w:t>to</w:t>
      </w:r>
      <w:r>
        <w:rPr>
          <w:spacing w:val="-8"/>
        </w:rPr>
        <w:t xml:space="preserve"> </w:t>
      </w:r>
      <w:r>
        <w:rPr>
          <w:spacing w:val="-2"/>
        </w:rPr>
        <w:t>the</w:t>
      </w:r>
      <w:r>
        <w:rPr>
          <w:spacing w:val="-8"/>
        </w:rPr>
        <w:t xml:space="preserve"> </w:t>
      </w:r>
      <w:r>
        <w:rPr>
          <w:spacing w:val="-2"/>
        </w:rPr>
        <w:t>likely</w:t>
      </w:r>
      <w:r>
        <w:rPr>
          <w:spacing w:val="-8"/>
        </w:rPr>
        <w:t xml:space="preserve"> </w:t>
      </w:r>
      <w:r>
        <w:rPr>
          <w:spacing w:val="-2"/>
        </w:rPr>
        <w:t>modal</w:t>
      </w:r>
      <w:r>
        <w:rPr>
          <w:spacing w:val="-8"/>
        </w:rPr>
        <w:t xml:space="preserve"> </w:t>
      </w:r>
      <w:r>
        <w:rPr>
          <w:spacing w:val="-2"/>
        </w:rPr>
        <w:t>shift</w:t>
      </w:r>
      <w:r>
        <w:rPr>
          <w:spacing w:val="-8"/>
        </w:rPr>
        <w:t xml:space="preserve"> </w:t>
      </w:r>
      <w:r>
        <w:rPr>
          <w:spacing w:val="-2"/>
        </w:rPr>
        <w:t>(and</w:t>
      </w:r>
      <w:r>
        <w:rPr>
          <w:spacing w:val="-8"/>
        </w:rPr>
        <w:t xml:space="preserve"> </w:t>
      </w:r>
      <w:r>
        <w:rPr>
          <w:spacing w:val="-2"/>
        </w:rPr>
        <w:t xml:space="preserve">therefore </w:t>
      </w:r>
      <w:r>
        <w:t>benefits) that could be expected.</w:t>
      </w:r>
    </w:p>
    <w:p w:rsidR="002C1123" w:rsidRDefault="00F22F94">
      <w:pPr>
        <w:pStyle w:val="BodyText"/>
        <w:spacing w:before="147" w:line="249" w:lineRule="auto"/>
        <w:ind w:left="207" w:right="956"/>
      </w:pPr>
      <w:r>
        <w:rPr>
          <w:w w:val="95"/>
        </w:rPr>
        <w:t>In</w:t>
      </w:r>
      <w:r>
        <w:rPr>
          <w:spacing w:val="-5"/>
          <w:w w:val="95"/>
        </w:rPr>
        <w:t xml:space="preserve"> </w:t>
      </w:r>
      <w:r>
        <w:rPr>
          <w:w w:val="95"/>
        </w:rPr>
        <w:t>most</w:t>
      </w:r>
      <w:r>
        <w:rPr>
          <w:spacing w:val="-5"/>
          <w:w w:val="95"/>
        </w:rPr>
        <w:t xml:space="preserve"> </w:t>
      </w:r>
      <w:r>
        <w:rPr>
          <w:w w:val="95"/>
        </w:rPr>
        <w:t>cases,</w:t>
      </w:r>
      <w:r>
        <w:rPr>
          <w:spacing w:val="-5"/>
          <w:w w:val="95"/>
        </w:rPr>
        <w:t xml:space="preserve"> </w:t>
      </w:r>
      <w:r>
        <w:rPr>
          <w:w w:val="95"/>
        </w:rPr>
        <w:t>the</w:t>
      </w:r>
      <w:r>
        <w:rPr>
          <w:spacing w:val="-5"/>
          <w:w w:val="95"/>
        </w:rPr>
        <w:t xml:space="preserve"> </w:t>
      </w:r>
      <w:r>
        <w:rPr>
          <w:w w:val="95"/>
        </w:rPr>
        <w:t>Hunter</w:t>
      </w:r>
      <w:r>
        <w:rPr>
          <w:spacing w:val="-5"/>
          <w:w w:val="95"/>
        </w:rPr>
        <w:t xml:space="preserve"> </w:t>
      </w:r>
      <w:r>
        <w:rPr>
          <w:w w:val="95"/>
        </w:rPr>
        <w:t>Valley</w:t>
      </w:r>
      <w:r>
        <w:rPr>
          <w:spacing w:val="-5"/>
          <w:w w:val="95"/>
        </w:rPr>
        <w:t xml:space="preserve"> </w:t>
      </w:r>
      <w:r>
        <w:rPr>
          <w:w w:val="95"/>
        </w:rPr>
        <w:t>Coal</w:t>
      </w:r>
      <w:r>
        <w:rPr>
          <w:spacing w:val="-5"/>
          <w:w w:val="95"/>
        </w:rPr>
        <w:t xml:space="preserve"> </w:t>
      </w:r>
      <w:r>
        <w:rPr>
          <w:w w:val="95"/>
        </w:rPr>
        <w:t>Chain</w:t>
      </w:r>
      <w:r>
        <w:rPr>
          <w:spacing w:val="-5"/>
          <w:w w:val="95"/>
        </w:rPr>
        <w:t xml:space="preserve"> </w:t>
      </w:r>
      <w:r>
        <w:rPr>
          <w:w w:val="95"/>
        </w:rPr>
        <w:t xml:space="preserve">presents </w:t>
      </w:r>
      <w:r>
        <w:t>an</w:t>
      </w:r>
      <w:r>
        <w:rPr>
          <w:spacing w:val="-14"/>
        </w:rPr>
        <w:t xml:space="preserve"> </w:t>
      </w:r>
      <w:r>
        <w:t>effective</w:t>
      </w:r>
      <w:r>
        <w:rPr>
          <w:spacing w:val="-14"/>
        </w:rPr>
        <w:t xml:space="preserve"> </w:t>
      </w:r>
      <w:r>
        <w:t>model</w:t>
      </w:r>
      <w:r>
        <w:rPr>
          <w:spacing w:val="-14"/>
        </w:rPr>
        <w:t xml:space="preserve"> </w:t>
      </w:r>
      <w:r>
        <w:t>for</w:t>
      </w:r>
      <w:r>
        <w:rPr>
          <w:spacing w:val="-14"/>
        </w:rPr>
        <w:t xml:space="preserve"> </w:t>
      </w:r>
      <w:r>
        <w:t>freight</w:t>
      </w:r>
      <w:r>
        <w:rPr>
          <w:spacing w:val="-14"/>
        </w:rPr>
        <w:t xml:space="preserve"> </w:t>
      </w:r>
      <w:r>
        <w:t>rail</w:t>
      </w:r>
      <w:r>
        <w:rPr>
          <w:spacing w:val="-14"/>
        </w:rPr>
        <w:t xml:space="preserve"> </w:t>
      </w:r>
      <w:r>
        <w:t>investment.</w:t>
      </w:r>
      <w:r>
        <w:rPr>
          <w:spacing w:val="-14"/>
        </w:rPr>
        <w:t xml:space="preserve"> </w:t>
      </w:r>
      <w:r>
        <w:t xml:space="preserve">Where </w:t>
      </w:r>
      <w:r>
        <w:rPr>
          <w:w w:val="95"/>
        </w:rPr>
        <w:t>demand</w:t>
      </w:r>
      <w:r>
        <w:rPr>
          <w:spacing w:val="-9"/>
          <w:w w:val="95"/>
        </w:rPr>
        <w:t xml:space="preserve"> </w:t>
      </w:r>
      <w:r>
        <w:rPr>
          <w:w w:val="95"/>
        </w:rPr>
        <w:t>is</w:t>
      </w:r>
      <w:r>
        <w:rPr>
          <w:spacing w:val="-9"/>
          <w:w w:val="95"/>
        </w:rPr>
        <w:t xml:space="preserve"> </w:t>
      </w:r>
      <w:r>
        <w:rPr>
          <w:w w:val="95"/>
        </w:rPr>
        <w:t>robust</w:t>
      </w:r>
      <w:r>
        <w:rPr>
          <w:spacing w:val="-9"/>
          <w:w w:val="95"/>
        </w:rPr>
        <w:t xml:space="preserve"> </w:t>
      </w:r>
      <w:r>
        <w:rPr>
          <w:w w:val="95"/>
        </w:rPr>
        <w:t>(rather</w:t>
      </w:r>
      <w:r>
        <w:rPr>
          <w:spacing w:val="-9"/>
          <w:w w:val="95"/>
        </w:rPr>
        <w:t xml:space="preserve"> </w:t>
      </w:r>
      <w:r>
        <w:rPr>
          <w:w w:val="95"/>
        </w:rPr>
        <w:t>than</w:t>
      </w:r>
      <w:r>
        <w:rPr>
          <w:spacing w:val="-9"/>
          <w:w w:val="95"/>
        </w:rPr>
        <w:t xml:space="preserve"> </w:t>
      </w:r>
      <w:r>
        <w:rPr>
          <w:w w:val="95"/>
        </w:rPr>
        <w:t>speculative)</w:t>
      </w:r>
      <w:r>
        <w:rPr>
          <w:spacing w:val="-9"/>
          <w:w w:val="95"/>
        </w:rPr>
        <w:t xml:space="preserve"> </w:t>
      </w:r>
      <w:r>
        <w:rPr>
          <w:w w:val="95"/>
        </w:rPr>
        <w:t xml:space="preserve">investment </w:t>
      </w:r>
      <w:r>
        <w:t>to</w:t>
      </w:r>
      <w:r>
        <w:rPr>
          <w:spacing w:val="-10"/>
        </w:rPr>
        <w:t xml:space="preserve"> </w:t>
      </w:r>
      <w:r>
        <w:t>relieve</w:t>
      </w:r>
      <w:r>
        <w:rPr>
          <w:spacing w:val="-10"/>
        </w:rPr>
        <w:t xml:space="preserve"> </w:t>
      </w:r>
      <w:r>
        <w:t>constraints</w:t>
      </w:r>
      <w:r>
        <w:rPr>
          <w:spacing w:val="-10"/>
        </w:rPr>
        <w:t xml:space="preserve"> </w:t>
      </w:r>
      <w:r>
        <w:t>and</w:t>
      </w:r>
      <w:r>
        <w:rPr>
          <w:spacing w:val="-10"/>
        </w:rPr>
        <w:t xml:space="preserve"> </w:t>
      </w:r>
      <w:r>
        <w:t>support</w:t>
      </w:r>
      <w:r>
        <w:rPr>
          <w:spacing w:val="-10"/>
        </w:rPr>
        <w:t xml:space="preserve"> </w:t>
      </w:r>
      <w:r>
        <w:t>rail</w:t>
      </w:r>
      <w:r>
        <w:rPr>
          <w:spacing w:val="-10"/>
        </w:rPr>
        <w:t xml:space="preserve"> </w:t>
      </w:r>
      <w:r>
        <w:t>networks</w:t>
      </w:r>
      <w:r>
        <w:rPr>
          <w:spacing w:val="-10"/>
        </w:rPr>
        <w:t xml:space="preserve"> </w:t>
      </w:r>
      <w:r>
        <w:t xml:space="preserve">is </w:t>
      </w:r>
      <w:r>
        <w:rPr>
          <w:w w:val="95"/>
        </w:rPr>
        <w:t xml:space="preserve">progressed by the private and public sectors working </w:t>
      </w:r>
      <w:r>
        <w:t>in</w:t>
      </w:r>
      <w:r>
        <w:rPr>
          <w:spacing w:val="-11"/>
        </w:rPr>
        <w:t xml:space="preserve"> </w:t>
      </w:r>
      <w:r>
        <w:t>partnership.</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274" w:space="40"/>
            <w:col w:w="4993" w:space="39"/>
            <w:col w:w="5714"/>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3"/>
        <w:rPr>
          <w:sz w:val="19"/>
        </w:rPr>
      </w:pPr>
    </w:p>
    <w:p w:rsidR="002C1123" w:rsidRDefault="00F22F94">
      <w:pPr>
        <w:pStyle w:val="ListParagraph"/>
        <w:numPr>
          <w:ilvl w:val="2"/>
          <w:numId w:val="68"/>
        </w:numPr>
        <w:tabs>
          <w:tab w:val="left" w:pos="1087"/>
        </w:tabs>
        <w:spacing w:before="108"/>
        <w:rPr>
          <w:b/>
          <w:color w:val="00AEEF"/>
          <w:sz w:val="20"/>
        </w:rPr>
      </w:pPr>
      <w:bookmarkStart w:id="296" w:name="_bookmark211"/>
      <w:bookmarkEnd w:id="296"/>
      <w:r>
        <w:rPr>
          <w:b/>
          <w:color w:val="00AEEF"/>
          <w:spacing w:val="-2"/>
          <w:sz w:val="20"/>
        </w:rPr>
        <w:t>Recommended</w:t>
      </w:r>
      <w:r>
        <w:rPr>
          <w:b/>
          <w:color w:val="00AEEF"/>
          <w:spacing w:val="1"/>
          <w:sz w:val="20"/>
        </w:rPr>
        <w:t xml:space="preserve"> </w:t>
      </w:r>
      <w:r>
        <w:rPr>
          <w:b/>
          <w:color w:val="00AEEF"/>
          <w:spacing w:val="-2"/>
          <w:sz w:val="20"/>
        </w:rPr>
        <w:t>Actions</w:t>
      </w:r>
    </w:p>
    <w:p w:rsidR="002C1123" w:rsidRDefault="002C1123">
      <w:pPr>
        <w:pStyle w:val="BodyText"/>
        <w:spacing w:before="9"/>
        <w:rPr>
          <w:b/>
          <w:sz w:val="9"/>
        </w:rPr>
      </w:pPr>
    </w:p>
    <w:tbl>
      <w:tblPr>
        <w:tblW w:w="0" w:type="auto"/>
        <w:tblInd w:w="48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10"/>
        <w:gridCol w:w="5740"/>
        <w:gridCol w:w="850"/>
        <w:gridCol w:w="1700"/>
        <w:gridCol w:w="6041"/>
      </w:tblGrid>
      <w:tr w:rsidR="002C1123">
        <w:trPr>
          <w:trHeight w:val="587"/>
        </w:trPr>
        <w:tc>
          <w:tcPr>
            <w:tcW w:w="510" w:type="dxa"/>
            <w:tcBorders>
              <w:top w:val="nil"/>
              <w:left w:val="nil"/>
            </w:tcBorders>
            <w:shd w:val="clear" w:color="auto" w:fill="C9C8C9"/>
          </w:tcPr>
          <w:p w:rsidR="002C1123" w:rsidRDefault="00F22F94">
            <w:pPr>
              <w:pStyle w:val="TableParagraph"/>
              <w:spacing w:before="77"/>
              <w:rPr>
                <w:b/>
                <w:sz w:val="16"/>
              </w:rPr>
            </w:pPr>
            <w:r>
              <w:rPr>
                <w:b/>
                <w:spacing w:val="-5"/>
                <w:sz w:val="16"/>
              </w:rPr>
              <w:t>37</w:t>
            </w:r>
          </w:p>
        </w:tc>
        <w:tc>
          <w:tcPr>
            <w:tcW w:w="5740" w:type="dxa"/>
            <w:tcBorders>
              <w:top w:val="nil"/>
            </w:tcBorders>
            <w:shd w:val="clear" w:color="auto" w:fill="C9C8C9"/>
          </w:tcPr>
          <w:p w:rsidR="002C1123" w:rsidRDefault="00F22F94">
            <w:pPr>
              <w:pStyle w:val="TableParagraph"/>
              <w:spacing w:before="77" w:line="261" w:lineRule="auto"/>
              <w:ind w:right="116"/>
              <w:rPr>
                <w:sz w:val="16"/>
              </w:rPr>
            </w:pPr>
            <w:r>
              <w:rPr>
                <w:spacing w:val="-2"/>
                <w:w w:val="105"/>
                <w:sz w:val="16"/>
              </w:rPr>
              <w:t>Review</w:t>
            </w:r>
            <w:r>
              <w:rPr>
                <w:spacing w:val="-4"/>
                <w:w w:val="105"/>
                <w:sz w:val="16"/>
              </w:rPr>
              <w:t xml:space="preserve"> </w:t>
            </w:r>
            <w:r>
              <w:rPr>
                <w:spacing w:val="-2"/>
                <w:w w:val="105"/>
                <w:sz w:val="16"/>
              </w:rPr>
              <w:t>scope</w:t>
            </w:r>
            <w:r>
              <w:rPr>
                <w:spacing w:val="-4"/>
                <w:w w:val="105"/>
                <w:sz w:val="16"/>
              </w:rPr>
              <w:t xml:space="preserve"> </w:t>
            </w:r>
            <w:r>
              <w:rPr>
                <w:spacing w:val="-2"/>
                <w:w w:val="105"/>
                <w:sz w:val="16"/>
              </w:rPr>
              <w:t>and</w:t>
            </w:r>
            <w:r>
              <w:rPr>
                <w:spacing w:val="-4"/>
                <w:w w:val="105"/>
                <w:sz w:val="16"/>
              </w:rPr>
              <w:t xml:space="preserve"> </w:t>
            </w:r>
            <w:r>
              <w:rPr>
                <w:spacing w:val="-2"/>
                <w:w w:val="105"/>
                <w:sz w:val="16"/>
              </w:rPr>
              <w:t>costs</w:t>
            </w:r>
            <w:r>
              <w:rPr>
                <w:spacing w:val="-4"/>
                <w:w w:val="105"/>
                <w:sz w:val="16"/>
              </w:rPr>
              <w:t xml:space="preserve"> </w:t>
            </w:r>
            <w:r>
              <w:rPr>
                <w:spacing w:val="-2"/>
                <w:w w:val="105"/>
                <w:sz w:val="16"/>
              </w:rPr>
              <w:t>of</w:t>
            </w:r>
            <w:r>
              <w:rPr>
                <w:spacing w:val="-4"/>
                <w:w w:val="105"/>
                <w:sz w:val="16"/>
              </w:rPr>
              <w:t xml:space="preserve"> </w:t>
            </w:r>
            <w:r>
              <w:rPr>
                <w:spacing w:val="-2"/>
                <w:w w:val="105"/>
                <w:sz w:val="16"/>
              </w:rPr>
              <w:t>Pacific</w:t>
            </w:r>
            <w:r>
              <w:rPr>
                <w:spacing w:val="-4"/>
                <w:w w:val="105"/>
                <w:sz w:val="16"/>
              </w:rPr>
              <w:t xml:space="preserve"> </w:t>
            </w:r>
            <w:r>
              <w:rPr>
                <w:spacing w:val="-2"/>
                <w:w w:val="105"/>
                <w:sz w:val="16"/>
              </w:rPr>
              <w:t>Highway</w:t>
            </w:r>
            <w:r>
              <w:rPr>
                <w:spacing w:val="-4"/>
                <w:w w:val="105"/>
                <w:sz w:val="16"/>
              </w:rPr>
              <w:t xml:space="preserve"> </w:t>
            </w:r>
            <w:r>
              <w:rPr>
                <w:spacing w:val="-2"/>
                <w:w w:val="105"/>
                <w:sz w:val="16"/>
              </w:rPr>
              <w:t>duplication</w:t>
            </w:r>
            <w:r>
              <w:rPr>
                <w:spacing w:val="-4"/>
                <w:w w:val="105"/>
                <w:sz w:val="16"/>
              </w:rPr>
              <w:t xml:space="preserve"> </w:t>
            </w:r>
            <w:r>
              <w:rPr>
                <w:spacing w:val="-2"/>
                <w:w w:val="105"/>
                <w:sz w:val="16"/>
              </w:rPr>
              <w:t>and</w:t>
            </w:r>
            <w:r>
              <w:rPr>
                <w:spacing w:val="-4"/>
                <w:w w:val="105"/>
                <w:sz w:val="16"/>
              </w:rPr>
              <w:t xml:space="preserve"> </w:t>
            </w:r>
            <w:r>
              <w:rPr>
                <w:spacing w:val="-2"/>
                <w:w w:val="105"/>
                <w:sz w:val="16"/>
              </w:rPr>
              <w:t xml:space="preserve">Princes </w:t>
            </w:r>
            <w:r>
              <w:rPr>
                <w:w w:val="105"/>
                <w:sz w:val="16"/>
              </w:rPr>
              <w:t>Highway</w:t>
            </w:r>
            <w:r>
              <w:rPr>
                <w:spacing w:val="-6"/>
                <w:w w:val="105"/>
                <w:sz w:val="16"/>
              </w:rPr>
              <w:t xml:space="preserve"> </w:t>
            </w:r>
            <w:r>
              <w:rPr>
                <w:w w:val="105"/>
                <w:sz w:val="16"/>
              </w:rPr>
              <w:t>upgrade</w:t>
            </w:r>
          </w:p>
        </w:tc>
        <w:tc>
          <w:tcPr>
            <w:tcW w:w="850" w:type="dxa"/>
            <w:tcBorders>
              <w:top w:val="nil"/>
            </w:tcBorders>
            <w:shd w:val="clear" w:color="auto" w:fill="E1E0E1"/>
          </w:tcPr>
          <w:p w:rsidR="002C1123" w:rsidRDefault="00F22F94">
            <w:pPr>
              <w:pStyle w:val="TableParagraph"/>
              <w:spacing w:before="77"/>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700" w:type="dxa"/>
            <w:tcBorders>
              <w:top w:val="nil"/>
            </w:tcBorders>
            <w:shd w:val="clear" w:color="auto" w:fill="E1E0E1"/>
          </w:tcPr>
          <w:p w:rsidR="002C1123" w:rsidRDefault="00F22F94">
            <w:pPr>
              <w:pStyle w:val="TableParagraph"/>
              <w:spacing w:before="77"/>
              <w:ind w:left="114"/>
              <w:rPr>
                <w:sz w:val="16"/>
              </w:rPr>
            </w:pPr>
            <w:r>
              <w:rPr>
                <w:spacing w:val="-2"/>
                <w:sz w:val="16"/>
              </w:rPr>
              <w:t>Review</w:t>
            </w:r>
          </w:p>
        </w:tc>
        <w:tc>
          <w:tcPr>
            <w:tcW w:w="6041" w:type="dxa"/>
            <w:tcBorders>
              <w:top w:val="nil"/>
            </w:tcBorders>
            <w:shd w:val="clear" w:color="auto" w:fill="E1E0E1"/>
          </w:tcPr>
          <w:p w:rsidR="002C1123" w:rsidRDefault="00F22F94">
            <w:pPr>
              <w:pStyle w:val="TableParagraph"/>
              <w:spacing w:before="77"/>
              <w:ind w:left="114"/>
              <w:rPr>
                <w:sz w:val="16"/>
              </w:rPr>
            </w:pPr>
            <w:r>
              <w:rPr>
                <w:w w:val="95"/>
                <w:sz w:val="16"/>
              </w:rPr>
              <w:t>Cost</w:t>
            </w:r>
            <w:r>
              <w:rPr>
                <w:spacing w:val="-2"/>
                <w:sz w:val="16"/>
              </w:rPr>
              <w:t xml:space="preserve"> </w:t>
            </w:r>
            <w:r>
              <w:rPr>
                <w:w w:val="95"/>
                <w:sz w:val="16"/>
              </w:rPr>
              <w:t>of</w:t>
            </w:r>
            <w:r>
              <w:rPr>
                <w:spacing w:val="-2"/>
                <w:sz w:val="16"/>
              </w:rPr>
              <w:t xml:space="preserve"> </w:t>
            </w:r>
            <w:r>
              <w:rPr>
                <w:w w:val="95"/>
                <w:sz w:val="16"/>
              </w:rPr>
              <w:t>review</w:t>
            </w:r>
            <w:r>
              <w:rPr>
                <w:spacing w:val="-1"/>
                <w:sz w:val="16"/>
              </w:rPr>
              <w:t xml:space="preserve"> </w:t>
            </w:r>
            <w:r>
              <w:rPr>
                <w:w w:val="95"/>
                <w:sz w:val="16"/>
              </w:rPr>
              <w:t>is</w:t>
            </w:r>
            <w:r>
              <w:rPr>
                <w:spacing w:val="-2"/>
                <w:sz w:val="16"/>
              </w:rPr>
              <w:t xml:space="preserve"> </w:t>
            </w:r>
            <w:r>
              <w:rPr>
                <w:w w:val="95"/>
                <w:sz w:val="16"/>
              </w:rPr>
              <w:t>not</w:t>
            </w:r>
            <w:r>
              <w:rPr>
                <w:spacing w:val="-1"/>
                <w:sz w:val="16"/>
              </w:rPr>
              <w:t xml:space="preserve"> </w:t>
            </w:r>
            <w:r>
              <w:rPr>
                <w:spacing w:val="-2"/>
                <w:w w:val="95"/>
                <w:sz w:val="16"/>
              </w:rPr>
              <w:t>material</w:t>
            </w:r>
          </w:p>
        </w:tc>
      </w:tr>
      <w:tr w:rsidR="002C1123">
        <w:trPr>
          <w:trHeight w:val="377"/>
        </w:trPr>
        <w:tc>
          <w:tcPr>
            <w:tcW w:w="510" w:type="dxa"/>
            <w:tcBorders>
              <w:left w:val="nil"/>
            </w:tcBorders>
            <w:shd w:val="clear" w:color="auto" w:fill="C9C8C9"/>
          </w:tcPr>
          <w:p w:rsidR="002C1123" w:rsidRDefault="00F22F94">
            <w:pPr>
              <w:pStyle w:val="TableParagraph"/>
              <w:rPr>
                <w:b/>
                <w:sz w:val="16"/>
              </w:rPr>
            </w:pPr>
            <w:r>
              <w:rPr>
                <w:b/>
                <w:spacing w:val="-5"/>
                <w:sz w:val="16"/>
              </w:rPr>
              <w:t>38</w:t>
            </w:r>
          </w:p>
        </w:tc>
        <w:tc>
          <w:tcPr>
            <w:tcW w:w="5740" w:type="dxa"/>
            <w:shd w:val="clear" w:color="auto" w:fill="C9C8C9"/>
          </w:tcPr>
          <w:p w:rsidR="002C1123" w:rsidRDefault="00F22F94">
            <w:pPr>
              <w:pStyle w:val="TableParagraph"/>
              <w:rPr>
                <w:sz w:val="16"/>
              </w:rPr>
            </w:pPr>
            <w:r>
              <w:rPr>
                <w:spacing w:val="-2"/>
                <w:w w:val="105"/>
                <w:sz w:val="16"/>
              </w:rPr>
              <w:t>Freight</w:t>
            </w:r>
            <w:r>
              <w:rPr>
                <w:spacing w:val="-6"/>
                <w:w w:val="105"/>
                <w:sz w:val="16"/>
              </w:rPr>
              <w:t xml:space="preserve"> </w:t>
            </w:r>
            <w:r>
              <w:rPr>
                <w:spacing w:val="-2"/>
                <w:w w:val="105"/>
                <w:sz w:val="16"/>
              </w:rPr>
              <w:t>pinch</w:t>
            </w:r>
            <w:r>
              <w:rPr>
                <w:spacing w:val="-5"/>
                <w:w w:val="105"/>
                <w:sz w:val="16"/>
              </w:rPr>
              <w:t xml:space="preserve"> </w:t>
            </w:r>
            <w:r>
              <w:rPr>
                <w:spacing w:val="-2"/>
                <w:w w:val="105"/>
                <w:sz w:val="16"/>
              </w:rPr>
              <w:t>point</w:t>
            </w:r>
            <w:r>
              <w:rPr>
                <w:spacing w:val="-5"/>
                <w:w w:val="105"/>
                <w:sz w:val="16"/>
              </w:rPr>
              <w:t xml:space="preserve"> </w:t>
            </w:r>
            <w:r>
              <w:rPr>
                <w:spacing w:val="-2"/>
                <w:w w:val="105"/>
                <w:sz w:val="16"/>
              </w:rPr>
              <w:t>program</w:t>
            </w:r>
            <w:r>
              <w:rPr>
                <w:spacing w:val="-5"/>
                <w:w w:val="105"/>
                <w:sz w:val="16"/>
              </w:rPr>
              <w:t xml:space="preserve"> </w:t>
            </w:r>
            <w:r>
              <w:rPr>
                <w:spacing w:val="-2"/>
                <w:w w:val="105"/>
                <w:sz w:val="16"/>
              </w:rPr>
              <w:t>for</w:t>
            </w:r>
            <w:r>
              <w:rPr>
                <w:spacing w:val="-5"/>
                <w:w w:val="105"/>
                <w:sz w:val="16"/>
              </w:rPr>
              <w:t xml:space="preserve"> </w:t>
            </w:r>
            <w:r>
              <w:rPr>
                <w:spacing w:val="-2"/>
                <w:w w:val="105"/>
                <w:sz w:val="16"/>
              </w:rPr>
              <w:t>key</w:t>
            </w:r>
            <w:r>
              <w:rPr>
                <w:spacing w:val="-6"/>
                <w:w w:val="105"/>
                <w:sz w:val="16"/>
              </w:rPr>
              <w:t xml:space="preserve"> </w:t>
            </w:r>
            <w:r>
              <w:rPr>
                <w:spacing w:val="-2"/>
                <w:w w:val="105"/>
                <w:sz w:val="16"/>
              </w:rPr>
              <w:t>road</w:t>
            </w:r>
            <w:r>
              <w:rPr>
                <w:spacing w:val="-5"/>
                <w:w w:val="105"/>
                <w:sz w:val="16"/>
              </w:rPr>
              <w:t xml:space="preserve"> </w:t>
            </w:r>
            <w:r>
              <w:rPr>
                <w:spacing w:val="-2"/>
                <w:w w:val="105"/>
                <w:sz w:val="16"/>
              </w:rPr>
              <w:t>and</w:t>
            </w:r>
            <w:r>
              <w:rPr>
                <w:spacing w:val="-5"/>
                <w:w w:val="105"/>
                <w:sz w:val="16"/>
              </w:rPr>
              <w:t xml:space="preserve"> </w:t>
            </w:r>
            <w:r>
              <w:rPr>
                <w:spacing w:val="-2"/>
                <w:w w:val="105"/>
                <w:sz w:val="16"/>
              </w:rPr>
              <w:t>rail</w:t>
            </w:r>
            <w:r>
              <w:rPr>
                <w:spacing w:val="-5"/>
                <w:w w:val="105"/>
                <w:sz w:val="16"/>
              </w:rPr>
              <w:t xml:space="preserve"> </w:t>
            </w:r>
            <w:r>
              <w:rPr>
                <w:spacing w:val="-2"/>
                <w:w w:val="105"/>
                <w:sz w:val="16"/>
              </w:rPr>
              <w:t>links</w:t>
            </w:r>
          </w:p>
        </w:tc>
        <w:tc>
          <w:tcPr>
            <w:tcW w:w="850" w:type="dxa"/>
            <w:shd w:val="clear" w:color="auto" w:fill="E1E0E1"/>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5"/>
                <w:sz w:val="16"/>
              </w:rPr>
              <w:t>10</w:t>
            </w:r>
          </w:p>
        </w:tc>
        <w:tc>
          <w:tcPr>
            <w:tcW w:w="1700" w:type="dxa"/>
            <w:shd w:val="clear" w:color="auto" w:fill="E1E0E1"/>
          </w:tcPr>
          <w:p w:rsidR="002C1123" w:rsidRDefault="00F22F94">
            <w:pPr>
              <w:pStyle w:val="TableParagraph"/>
              <w:ind w:left="114"/>
              <w:rPr>
                <w:sz w:val="16"/>
              </w:rPr>
            </w:pPr>
            <w:r>
              <w:rPr>
                <w:spacing w:val="-2"/>
                <w:sz w:val="16"/>
              </w:rPr>
              <w:t>Program</w:t>
            </w:r>
          </w:p>
        </w:tc>
        <w:tc>
          <w:tcPr>
            <w:tcW w:w="6041" w:type="dxa"/>
            <w:shd w:val="clear" w:color="auto" w:fill="E1E0E1"/>
          </w:tcPr>
          <w:p w:rsidR="002C1123" w:rsidRDefault="00F22F94">
            <w:pPr>
              <w:pStyle w:val="TableParagraph"/>
              <w:ind w:left="114"/>
              <w:rPr>
                <w:sz w:val="16"/>
              </w:rPr>
            </w:pPr>
            <w:r>
              <w:rPr>
                <w:w w:val="95"/>
                <w:sz w:val="16"/>
              </w:rPr>
              <w:t>Scoping</w:t>
            </w:r>
            <w:r>
              <w:rPr>
                <w:spacing w:val="2"/>
                <w:sz w:val="16"/>
              </w:rPr>
              <w:t xml:space="preserve"> </w:t>
            </w:r>
            <w:r>
              <w:rPr>
                <w:w w:val="95"/>
                <w:sz w:val="16"/>
              </w:rPr>
              <w:t>of</w:t>
            </w:r>
            <w:r>
              <w:rPr>
                <w:spacing w:val="3"/>
                <w:sz w:val="16"/>
              </w:rPr>
              <w:t xml:space="preserve"> </w:t>
            </w:r>
            <w:r>
              <w:rPr>
                <w:w w:val="95"/>
                <w:sz w:val="16"/>
              </w:rPr>
              <w:t>$1</w:t>
            </w:r>
            <w:r>
              <w:rPr>
                <w:spacing w:val="2"/>
                <w:sz w:val="16"/>
              </w:rPr>
              <w:t xml:space="preserve"> </w:t>
            </w:r>
            <w:r>
              <w:rPr>
                <w:spacing w:val="-2"/>
                <w:w w:val="95"/>
                <w:sz w:val="16"/>
              </w:rPr>
              <w:t>billion</w:t>
            </w:r>
          </w:p>
        </w:tc>
      </w:tr>
      <w:tr w:rsidR="002C1123">
        <w:trPr>
          <w:trHeight w:val="377"/>
        </w:trPr>
        <w:tc>
          <w:tcPr>
            <w:tcW w:w="510" w:type="dxa"/>
            <w:tcBorders>
              <w:left w:val="nil"/>
            </w:tcBorders>
            <w:shd w:val="clear" w:color="auto" w:fill="C9C8C9"/>
          </w:tcPr>
          <w:p w:rsidR="002C1123" w:rsidRDefault="00F22F94">
            <w:pPr>
              <w:pStyle w:val="TableParagraph"/>
              <w:rPr>
                <w:b/>
                <w:sz w:val="16"/>
              </w:rPr>
            </w:pPr>
            <w:r>
              <w:rPr>
                <w:b/>
                <w:spacing w:val="-5"/>
                <w:sz w:val="16"/>
              </w:rPr>
              <w:t>39</w:t>
            </w:r>
          </w:p>
        </w:tc>
        <w:tc>
          <w:tcPr>
            <w:tcW w:w="5740" w:type="dxa"/>
            <w:shd w:val="clear" w:color="auto" w:fill="C9C8C9"/>
          </w:tcPr>
          <w:p w:rsidR="002C1123" w:rsidRDefault="00F22F94">
            <w:pPr>
              <w:pStyle w:val="TableParagraph"/>
              <w:rPr>
                <w:sz w:val="16"/>
              </w:rPr>
            </w:pPr>
            <w:r>
              <w:rPr>
                <w:spacing w:val="-2"/>
                <w:w w:val="105"/>
                <w:sz w:val="16"/>
              </w:rPr>
              <w:t>Bridges</w:t>
            </w:r>
            <w:r>
              <w:rPr>
                <w:spacing w:val="-6"/>
                <w:w w:val="105"/>
                <w:sz w:val="16"/>
              </w:rPr>
              <w:t xml:space="preserve"> </w:t>
            </w:r>
            <w:r>
              <w:rPr>
                <w:spacing w:val="-2"/>
                <w:w w:val="105"/>
                <w:sz w:val="16"/>
              </w:rPr>
              <w:t>for</w:t>
            </w:r>
            <w:r>
              <w:rPr>
                <w:spacing w:val="-5"/>
                <w:w w:val="105"/>
                <w:sz w:val="16"/>
              </w:rPr>
              <w:t xml:space="preserve"> </w:t>
            </w:r>
            <w:r>
              <w:rPr>
                <w:spacing w:val="-2"/>
                <w:w w:val="105"/>
                <w:sz w:val="16"/>
              </w:rPr>
              <w:t>the</w:t>
            </w:r>
            <w:r>
              <w:rPr>
                <w:spacing w:val="-6"/>
                <w:w w:val="105"/>
                <w:sz w:val="16"/>
              </w:rPr>
              <w:t xml:space="preserve"> </w:t>
            </w:r>
            <w:r>
              <w:rPr>
                <w:spacing w:val="-2"/>
                <w:w w:val="105"/>
                <w:sz w:val="16"/>
              </w:rPr>
              <w:t>Bush</w:t>
            </w:r>
            <w:r>
              <w:rPr>
                <w:spacing w:val="-5"/>
                <w:w w:val="105"/>
                <w:sz w:val="16"/>
              </w:rPr>
              <w:t xml:space="preserve"> </w:t>
            </w:r>
            <w:r>
              <w:rPr>
                <w:spacing w:val="-2"/>
                <w:w w:val="105"/>
                <w:sz w:val="16"/>
              </w:rPr>
              <w:t>Program</w:t>
            </w:r>
            <w:r>
              <w:rPr>
                <w:spacing w:val="-6"/>
                <w:w w:val="105"/>
                <w:sz w:val="16"/>
              </w:rPr>
              <w:t xml:space="preserve"> </w:t>
            </w:r>
            <w:r>
              <w:rPr>
                <w:spacing w:val="-2"/>
                <w:w w:val="105"/>
                <w:sz w:val="16"/>
              </w:rPr>
              <w:t>to</w:t>
            </w:r>
            <w:r>
              <w:rPr>
                <w:spacing w:val="-5"/>
                <w:w w:val="105"/>
                <w:sz w:val="16"/>
              </w:rPr>
              <w:t xml:space="preserve"> </w:t>
            </w:r>
            <w:r>
              <w:rPr>
                <w:spacing w:val="-2"/>
                <w:w w:val="105"/>
                <w:sz w:val="16"/>
              </w:rPr>
              <w:t>improve</w:t>
            </w:r>
            <w:r>
              <w:rPr>
                <w:spacing w:val="-6"/>
                <w:w w:val="105"/>
                <w:sz w:val="16"/>
              </w:rPr>
              <w:t xml:space="preserve"> </w:t>
            </w:r>
            <w:r>
              <w:rPr>
                <w:spacing w:val="-2"/>
                <w:w w:val="105"/>
                <w:sz w:val="16"/>
              </w:rPr>
              <w:t>freight</w:t>
            </w:r>
            <w:r>
              <w:rPr>
                <w:spacing w:val="-5"/>
                <w:w w:val="105"/>
                <w:sz w:val="16"/>
              </w:rPr>
              <w:t xml:space="preserve"> </w:t>
            </w:r>
            <w:r>
              <w:rPr>
                <w:spacing w:val="-2"/>
                <w:w w:val="105"/>
                <w:sz w:val="16"/>
              </w:rPr>
              <w:t>productivity</w:t>
            </w:r>
          </w:p>
        </w:tc>
        <w:tc>
          <w:tcPr>
            <w:tcW w:w="850" w:type="dxa"/>
            <w:shd w:val="clear" w:color="auto" w:fill="E1E0E1"/>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700" w:type="dxa"/>
            <w:shd w:val="clear" w:color="auto" w:fill="E1E0E1"/>
          </w:tcPr>
          <w:p w:rsidR="002C1123" w:rsidRDefault="00F22F94">
            <w:pPr>
              <w:pStyle w:val="TableParagraph"/>
              <w:ind w:left="114"/>
              <w:rPr>
                <w:sz w:val="16"/>
              </w:rPr>
            </w:pPr>
            <w:r>
              <w:rPr>
                <w:spacing w:val="-2"/>
                <w:sz w:val="16"/>
              </w:rPr>
              <w:t>Program</w:t>
            </w:r>
          </w:p>
        </w:tc>
        <w:tc>
          <w:tcPr>
            <w:tcW w:w="6041" w:type="dxa"/>
            <w:shd w:val="clear" w:color="auto" w:fill="E1E0E1"/>
          </w:tcPr>
          <w:p w:rsidR="002C1123" w:rsidRDefault="00F22F94">
            <w:pPr>
              <w:pStyle w:val="TableParagraph"/>
              <w:ind w:left="114"/>
              <w:rPr>
                <w:sz w:val="16"/>
              </w:rPr>
            </w:pPr>
            <w:r>
              <w:rPr>
                <w:w w:val="95"/>
                <w:sz w:val="16"/>
              </w:rPr>
              <w:t>Estimate</w:t>
            </w:r>
            <w:r>
              <w:rPr>
                <w:spacing w:val="-1"/>
                <w:sz w:val="16"/>
              </w:rPr>
              <w:t xml:space="preserve"> </w:t>
            </w:r>
            <w:r>
              <w:rPr>
                <w:w w:val="95"/>
                <w:sz w:val="16"/>
              </w:rPr>
              <w:t>of</w:t>
            </w:r>
            <w:r>
              <w:rPr>
                <w:sz w:val="16"/>
              </w:rPr>
              <w:t xml:space="preserve"> </w:t>
            </w:r>
            <w:r>
              <w:rPr>
                <w:w w:val="95"/>
                <w:sz w:val="16"/>
              </w:rPr>
              <w:t>$300</w:t>
            </w:r>
            <w:r>
              <w:rPr>
                <w:spacing w:val="-1"/>
                <w:sz w:val="16"/>
              </w:rPr>
              <w:t xml:space="preserve"> </w:t>
            </w:r>
            <w:r>
              <w:rPr>
                <w:w w:val="95"/>
                <w:sz w:val="16"/>
              </w:rPr>
              <w:t>million</w:t>
            </w:r>
            <w:r>
              <w:rPr>
                <w:sz w:val="16"/>
              </w:rPr>
              <w:t xml:space="preserve"> </w:t>
            </w:r>
            <w:r>
              <w:rPr>
                <w:w w:val="95"/>
                <w:sz w:val="16"/>
              </w:rPr>
              <w:t>stages</w:t>
            </w:r>
            <w:r>
              <w:rPr>
                <w:spacing w:val="-1"/>
                <w:sz w:val="16"/>
              </w:rPr>
              <w:t xml:space="preserve"> </w:t>
            </w:r>
            <w:r>
              <w:rPr>
                <w:w w:val="95"/>
                <w:sz w:val="16"/>
              </w:rPr>
              <w:t>1</w:t>
            </w:r>
            <w:r>
              <w:rPr>
                <w:sz w:val="16"/>
              </w:rPr>
              <w:t xml:space="preserve"> </w:t>
            </w:r>
            <w:r>
              <w:rPr>
                <w:w w:val="95"/>
                <w:sz w:val="16"/>
              </w:rPr>
              <w:t>and</w:t>
            </w:r>
            <w:r>
              <w:rPr>
                <w:spacing w:val="-1"/>
                <w:sz w:val="16"/>
              </w:rPr>
              <w:t xml:space="preserve"> </w:t>
            </w:r>
            <w:r>
              <w:rPr>
                <w:spacing w:val="-10"/>
                <w:w w:val="95"/>
                <w:sz w:val="16"/>
              </w:rPr>
              <w:t>2</w:t>
            </w:r>
          </w:p>
        </w:tc>
      </w:tr>
      <w:tr w:rsidR="002C1123">
        <w:trPr>
          <w:trHeight w:val="377"/>
        </w:trPr>
        <w:tc>
          <w:tcPr>
            <w:tcW w:w="510" w:type="dxa"/>
            <w:tcBorders>
              <w:left w:val="nil"/>
            </w:tcBorders>
            <w:shd w:val="clear" w:color="auto" w:fill="C9C8C9"/>
          </w:tcPr>
          <w:p w:rsidR="002C1123" w:rsidRDefault="00F22F94">
            <w:pPr>
              <w:pStyle w:val="TableParagraph"/>
              <w:rPr>
                <w:b/>
                <w:sz w:val="16"/>
              </w:rPr>
            </w:pPr>
            <w:r>
              <w:rPr>
                <w:b/>
                <w:spacing w:val="-5"/>
                <w:sz w:val="16"/>
              </w:rPr>
              <w:t>40</w:t>
            </w:r>
          </w:p>
        </w:tc>
        <w:tc>
          <w:tcPr>
            <w:tcW w:w="5740" w:type="dxa"/>
            <w:shd w:val="clear" w:color="auto" w:fill="C9C8C9"/>
          </w:tcPr>
          <w:p w:rsidR="002C1123" w:rsidRDefault="00F22F94">
            <w:pPr>
              <w:pStyle w:val="TableParagraph"/>
              <w:rPr>
                <w:sz w:val="16"/>
              </w:rPr>
            </w:pPr>
            <w:r>
              <w:rPr>
                <w:sz w:val="16"/>
              </w:rPr>
              <w:t>Identify</w:t>
            </w:r>
            <w:r>
              <w:rPr>
                <w:spacing w:val="1"/>
                <w:sz w:val="16"/>
              </w:rPr>
              <w:t xml:space="preserve"> </w:t>
            </w:r>
            <w:r>
              <w:rPr>
                <w:sz w:val="16"/>
              </w:rPr>
              <w:t>Bells</w:t>
            </w:r>
            <w:r>
              <w:rPr>
                <w:spacing w:val="1"/>
                <w:sz w:val="16"/>
              </w:rPr>
              <w:t xml:space="preserve"> </w:t>
            </w:r>
            <w:r>
              <w:rPr>
                <w:sz w:val="16"/>
              </w:rPr>
              <w:t>Line</w:t>
            </w:r>
            <w:r>
              <w:rPr>
                <w:spacing w:val="1"/>
                <w:sz w:val="16"/>
              </w:rPr>
              <w:t xml:space="preserve"> </w:t>
            </w:r>
            <w:r>
              <w:rPr>
                <w:sz w:val="16"/>
              </w:rPr>
              <w:t>of</w:t>
            </w:r>
            <w:r>
              <w:rPr>
                <w:spacing w:val="2"/>
                <w:sz w:val="16"/>
              </w:rPr>
              <w:t xml:space="preserve"> </w:t>
            </w:r>
            <w:r>
              <w:rPr>
                <w:sz w:val="16"/>
              </w:rPr>
              <w:t>Road</w:t>
            </w:r>
            <w:r>
              <w:rPr>
                <w:spacing w:val="1"/>
                <w:sz w:val="16"/>
              </w:rPr>
              <w:t xml:space="preserve"> </w:t>
            </w:r>
            <w:r>
              <w:rPr>
                <w:sz w:val="16"/>
              </w:rPr>
              <w:t>/</w:t>
            </w:r>
            <w:r>
              <w:rPr>
                <w:spacing w:val="1"/>
                <w:sz w:val="16"/>
              </w:rPr>
              <w:t xml:space="preserve"> </w:t>
            </w:r>
            <w:r>
              <w:rPr>
                <w:sz w:val="16"/>
              </w:rPr>
              <w:t>Castlereagh</w:t>
            </w:r>
            <w:r>
              <w:rPr>
                <w:spacing w:val="1"/>
                <w:sz w:val="16"/>
              </w:rPr>
              <w:t xml:space="preserve"> </w:t>
            </w:r>
            <w:r>
              <w:rPr>
                <w:sz w:val="16"/>
              </w:rPr>
              <w:t>Freeway</w:t>
            </w:r>
            <w:r>
              <w:rPr>
                <w:spacing w:val="2"/>
                <w:sz w:val="16"/>
              </w:rPr>
              <w:t xml:space="preserve"> </w:t>
            </w:r>
            <w:r>
              <w:rPr>
                <w:spacing w:val="-2"/>
                <w:sz w:val="16"/>
              </w:rPr>
              <w:t>corridor</w:t>
            </w:r>
          </w:p>
        </w:tc>
        <w:tc>
          <w:tcPr>
            <w:tcW w:w="850" w:type="dxa"/>
            <w:shd w:val="clear" w:color="auto" w:fill="E1E0E1"/>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700" w:type="dxa"/>
            <w:shd w:val="clear" w:color="auto" w:fill="E1E0E1"/>
          </w:tcPr>
          <w:p w:rsidR="002C1123" w:rsidRDefault="00F22F94">
            <w:pPr>
              <w:pStyle w:val="TableParagraph"/>
              <w:ind w:left="114"/>
              <w:rPr>
                <w:sz w:val="16"/>
              </w:rPr>
            </w:pPr>
            <w:r>
              <w:rPr>
                <w:spacing w:val="-2"/>
                <w:sz w:val="16"/>
              </w:rPr>
              <w:t>Corridor</w:t>
            </w:r>
          </w:p>
        </w:tc>
        <w:tc>
          <w:tcPr>
            <w:tcW w:w="6041" w:type="dxa"/>
            <w:shd w:val="clear" w:color="auto" w:fill="E1E0E1"/>
          </w:tcPr>
          <w:p w:rsidR="002C1123" w:rsidRDefault="00F22F94">
            <w:pPr>
              <w:pStyle w:val="TableParagraph"/>
              <w:ind w:left="114"/>
              <w:rPr>
                <w:sz w:val="16"/>
              </w:rPr>
            </w:pPr>
            <w:r>
              <w:rPr>
                <w:w w:val="95"/>
                <w:sz w:val="16"/>
              </w:rPr>
              <w:t>Cost</w:t>
            </w:r>
            <w:r>
              <w:rPr>
                <w:spacing w:val="2"/>
                <w:sz w:val="16"/>
              </w:rPr>
              <w:t xml:space="preserve"> </w:t>
            </w:r>
            <w:r>
              <w:rPr>
                <w:w w:val="95"/>
                <w:sz w:val="16"/>
              </w:rPr>
              <w:t>of</w:t>
            </w:r>
            <w:r>
              <w:rPr>
                <w:spacing w:val="2"/>
                <w:sz w:val="16"/>
              </w:rPr>
              <w:t xml:space="preserve"> </w:t>
            </w:r>
            <w:r>
              <w:rPr>
                <w:w w:val="95"/>
                <w:sz w:val="16"/>
              </w:rPr>
              <w:t>corridor</w:t>
            </w:r>
            <w:r>
              <w:rPr>
                <w:spacing w:val="2"/>
                <w:sz w:val="16"/>
              </w:rPr>
              <w:t xml:space="preserve"> </w:t>
            </w:r>
            <w:r>
              <w:rPr>
                <w:w w:val="95"/>
                <w:sz w:val="16"/>
              </w:rPr>
              <w:t>planning</w:t>
            </w:r>
            <w:r>
              <w:rPr>
                <w:spacing w:val="2"/>
                <w:sz w:val="16"/>
              </w:rPr>
              <w:t xml:space="preserve"> </w:t>
            </w:r>
            <w:r>
              <w:rPr>
                <w:w w:val="95"/>
                <w:sz w:val="16"/>
              </w:rPr>
              <w:t>is</w:t>
            </w:r>
            <w:r>
              <w:rPr>
                <w:spacing w:val="2"/>
                <w:sz w:val="16"/>
              </w:rPr>
              <w:t xml:space="preserve"> </w:t>
            </w:r>
            <w:r>
              <w:rPr>
                <w:w w:val="95"/>
                <w:sz w:val="16"/>
              </w:rPr>
              <w:t>not</w:t>
            </w:r>
            <w:r>
              <w:rPr>
                <w:spacing w:val="2"/>
                <w:sz w:val="16"/>
              </w:rPr>
              <w:t xml:space="preserve"> </w:t>
            </w:r>
            <w:r>
              <w:rPr>
                <w:spacing w:val="-2"/>
                <w:w w:val="95"/>
                <w:sz w:val="16"/>
              </w:rPr>
              <w:t>material</w:t>
            </w:r>
          </w:p>
        </w:tc>
      </w:tr>
      <w:tr w:rsidR="002C1123">
        <w:trPr>
          <w:trHeight w:val="377"/>
        </w:trPr>
        <w:tc>
          <w:tcPr>
            <w:tcW w:w="510" w:type="dxa"/>
            <w:tcBorders>
              <w:left w:val="nil"/>
            </w:tcBorders>
            <w:shd w:val="clear" w:color="auto" w:fill="C9C8C9"/>
          </w:tcPr>
          <w:p w:rsidR="002C1123" w:rsidRDefault="00F22F94">
            <w:pPr>
              <w:pStyle w:val="TableParagraph"/>
              <w:rPr>
                <w:b/>
                <w:sz w:val="16"/>
              </w:rPr>
            </w:pPr>
            <w:r>
              <w:rPr>
                <w:b/>
                <w:spacing w:val="-5"/>
                <w:sz w:val="16"/>
              </w:rPr>
              <w:t>41</w:t>
            </w:r>
          </w:p>
        </w:tc>
        <w:tc>
          <w:tcPr>
            <w:tcW w:w="5740" w:type="dxa"/>
            <w:shd w:val="clear" w:color="auto" w:fill="C9C8C9"/>
          </w:tcPr>
          <w:p w:rsidR="002C1123" w:rsidRDefault="00F22F94">
            <w:pPr>
              <w:pStyle w:val="TableParagraph"/>
              <w:rPr>
                <w:sz w:val="16"/>
              </w:rPr>
            </w:pPr>
            <w:r>
              <w:rPr>
                <w:sz w:val="16"/>
              </w:rPr>
              <w:t>Coal</w:t>
            </w:r>
            <w:r>
              <w:rPr>
                <w:spacing w:val="2"/>
                <w:sz w:val="16"/>
              </w:rPr>
              <w:t xml:space="preserve"> </w:t>
            </w:r>
            <w:r>
              <w:rPr>
                <w:sz w:val="16"/>
              </w:rPr>
              <w:t>Community</w:t>
            </w:r>
            <w:r>
              <w:rPr>
                <w:spacing w:val="3"/>
                <w:sz w:val="16"/>
              </w:rPr>
              <w:t xml:space="preserve"> </w:t>
            </w:r>
            <w:r>
              <w:rPr>
                <w:sz w:val="16"/>
              </w:rPr>
              <w:t>road</w:t>
            </w:r>
            <w:r>
              <w:rPr>
                <w:spacing w:val="2"/>
                <w:sz w:val="16"/>
              </w:rPr>
              <w:t xml:space="preserve"> </w:t>
            </w:r>
            <w:r>
              <w:rPr>
                <w:sz w:val="16"/>
              </w:rPr>
              <w:t>and</w:t>
            </w:r>
            <w:r>
              <w:rPr>
                <w:spacing w:val="3"/>
                <w:sz w:val="16"/>
              </w:rPr>
              <w:t xml:space="preserve"> </w:t>
            </w:r>
            <w:r>
              <w:rPr>
                <w:sz w:val="16"/>
              </w:rPr>
              <w:t>rail</w:t>
            </w:r>
            <w:r>
              <w:rPr>
                <w:spacing w:val="3"/>
                <w:sz w:val="16"/>
              </w:rPr>
              <w:t xml:space="preserve"> </w:t>
            </w:r>
            <w:r>
              <w:rPr>
                <w:spacing w:val="-2"/>
                <w:sz w:val="16"/>
              </w:rPr>
              <w:t>schemes</w:t>
            </w:r>
          </w:p>
        </w:tc>
        <w:tc>
          <w:tcPr>
            <w:tcW w:w="850" w:type="dxa"/>
            <w:shd w:val="clear" w:color="auto" w:fill="E1E0E1"/>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700" w:type="dxa"/>
            <w:shd w:val="clear" w:color="auto" w:fill="E1E0E1"/>
          </w:tcPr>
          <w:p w:rsidR="002C1123" w:rsidRDefault="00F22F94">
            <w:pPr>
              <w:pStyle w:val="TableParagraph"/>
              <w:ind w:left="114"/>
              <w:rPr>
                <w:sz w:val="16"/>
              </w:rPr>
            </w:pPr>
            <w:r>
              <w:rPr>
                <w:spacing w:val="-2"/>
                <w:sz w:val="16"/>
              </w:rPr>
              <w:t>Program</w:t>
            </w:r>
          </w:p>
        </w:tc>
        <w:tc>
          <w:tcPr>
            <w:tcW w:w="6041" w:type="dxa"/>
            <w:shd w:val="clear" w:color="auto" w:fill="E1E0E1"/>
          </w:tcPr>
          <w:p w:rsidR="002C1123" w:rsidRDefault="00F22F94">
            <w:pPr>
              <w:pStyle w:val="TableParagraph"/>
              <w:ind w:left="114"/>
              <w:rPr>
                <w:sz w:val="16"/>
              </w:rPr>
            </w:pPr>
            <w:r>
              <w:rPr>
                <w:sz w:val="16"/>
              </w:rPr>
              <w:t>Scoping</w:t>
            </w:r>
            <w:r>
              <w:rPr>
                <w:spacing w:val="-11"/>
                <w:sz w:val="16"/>
              </w:rPr>
              <w:t xml:space="preserve"> </w:t>
            </w:r>
            <w:r>
              <w:rPr>
                <w:sz w:val="16"/>
              </w:rPr>
              <w:t>of</w:t>
            </w:r>
            <w:r>
              <w:rPr>
                <w:spacing w:val="-11"/>
                <w:sz w:val="16"/>
              </w:rPr>
              <w:t xml:space="preserve"> </w:t>
            </w:r>
            <w:r>
              <w:rPr>
                <w:sz w:val="16"/>
              </w:rPr>
              <w:t>$500</w:t>
            </w:r>
            <w:r>
              <w:rPr>
                <w:spacing w:val="-11"/>
                <w:sz w:val="16"/>
              </w:rPr>
              <w:t xml:space="preserve"> </w:t>
            </w:r>
            <w:r>
              <w:rPr>
                <w:spacing w:val="-2"/>
                <w:sz w:val="16"/>
              </w:rPr>
              <w:t>million</w:t>
            </w:r>
          </w:p>
        </w:tc>
      </w:tr>
      <w:tr w:rsidR="002C1123">
        <w:trPr>
          <w:trHeight w:val="377"/>
        </w:trPr>
        <w:tc>
          <w:tcPr>
            <w:tcW w:w="510" w:type="dxa"/>
            <w:tcBorders>
              <w:left w:val="nil"/>
            </w:tcBorders>
            <w:shd w:val="clear" w:color="auto" w:fill="C9C8C9"/>
          </w:tcPr>
          <w:p w:rsidR="002C1123" w:rsidRDefault="00F22F94">
            <w:pPr>
              <w:pStyle w:val="TableParagraph"/>
              <w:spacing w:before="68"/>
              <w:rPr>
                <w:b/>
                <w:sz w:val="16"/>
              </w:rPr>
            </w:pPr>
            <w:r>
              <w:rPr>
                <w:b/>
                <w:spacing w:val="-5"/>
                <w:sz w:val="16"/>
              </w:rPr>
              <w:t>42</w:t>
            </w:r>
          </w:p>
        </w:tc>
        <w:tc>
          <w:tcPr>
            <w:tcW w:w="5740" w:type="dxa"/>
            <w:shd w:val="clear" w:color="auto" w:fill="C9C8C9"/>
          </w:tcPr>
          <w:p w:rsidR="002C1123" w:rsidRDefault="00F22F94">
            <w:pPr>
              <w:pStyle w:val="TableParagraph"/>
              <w:spacing w:before="68"/>
              <w:rPr>
                <w:sz w:val="16"/>
              </w:rPr>
            </w:pPr>
            <w:r>
              <w:rPr>
                <w:sz w:val="16"/>
              </w:rPr>
              <w:t>Complete</w:t>
            </w:r>
            <w:r>
              <w:rPr>
                <w:spacing w:val="8"/>
                <w:sz w:val="16"/>
              </w:rPr>
              <w:t xml:space="preserve"> </w:t>
            </w:r>
            <w:r>
              <w:rPr>
                <w:sz w:val="16"/>
              </w:rPr>
              <w:t>Pacific</w:t>
            </w:r>
            <w:r>
              <w:rPr>
                <w:spacing w:val="8"/>
                <w:sz w:val="16"/>
              </w:rPr>
              <w:t xml:space="preserve"> </w:t>
            </w:r>
            <w:r>
              <w:rPr>
                <w:sz w:val="16"/>
              </w:rPr>
              <w:t>Highway</w:t>
            </w:r>
            <w:r>
              <w:rPr>
                <w:spacing w:val="8"/>
                <w:sz w:val="16"/>
              </w:rPr>
              <w:t xml:space="preserve"> </w:t>
            </w:r>
            <w:r>
              <w:rPr>
                <w:spacing w:val="-2"/>
                <w:sz w:val="16"/>
              </w:rPr>
              <w:t>duplication</w:t>
            </w:r>
          </w:p>
        </w:tc>
        <w:tc>
          <w:tcPr>
            <w:tcW w:w="850" w:type="dxa"/>
            <w:shd w:val="clear" w:color="auto" w:fill="E1E0E1"/>
          </w:tcPr>
          <w:p w:rsidR="002C1123" w:rsidRDefault="00F22F94">
            <w:pPr>
              <w:pStyle w:val="TableParagraph"/>
              <w:spacing w:before="68"/>
              <w:rPr>
                <w:sz w:val="16"/>
              </w:rPr>
            </w:pPr>
            <w:r>
              <w:rPr>
                <w:sz w:val="16"/>
              </w:rPr>
              <w:t>5</w:t>
            </w:r>
            <w:r>
              <w:rPr>
                <w:spacing w:val="-10"/>
                <w:sz w:val="16"/>
              </w:rPr>
              <w:t xml:space="preserve"> </w:t>
            </w:r>
            <w:r>
              <w:rPr>
                <w:sz w:val="16"/>
              </w:rPr>
              <w:t>–</w:t>
            </w:r>
            <w:r>
              <w:rPr>
                <w:spacing w:val="-9"/>
                <w:sz w:val="16"/>
              </w:rPr>
              <w:t xml:space="preserve"> </w:t>
            </w:r>
            <w:r>
              <w:rPr>
                <w:spacing w:val="-5"/>
                <w:sz w:val="16"/>
              </w:rPr>
              <w:t>10</w:t>
            </w:r>
          </w:p>
        </w:tc>
        <w:tc>
          <w:tcPr>
            <w:tcW w:w="1700" w:type="dxa"/>
            <w:shd w:val="clear" w:color="auto" w:fill="E1E0E1"/>
          </w:tcPr>
          <w:p w:rsidR="002C1123" w:rsidRDefault="00F22F94">
            <w:pPr>
              <w:pStyle w:val="TableParagraph"/>
              <w:spacing w:before="68"/>
              <w:ind w:left="114"/>
              <w:rPr>
                <w:sz w:val="16"/>
              </w:rPr>
            </w:pPr>
            <w:r>
              <w:rPr>
                <w:w w:val="95"/>
                <w:sz w:val="16"/>
              </w:rPr>
              <w:t>Major</w:t>
            </w:r>
            <w:r>
              <w:rPr>
                <w:spacing w:val="-2"/>
                <w:sz w:val="16"/>
              </w:rPr>
              <w:t xml:space="preserve"> </w:t>
            </w:r>
            <w:r>
              <w:rPr>
                <w:spacing w:val="-2"/>
                <w:w w:val="95"/>
                <w:sz w:val="16"/>
              </w:rPr>
              <w:t>project</w:t>
            </w:r>
          </w:p>
        </w:tc>
        <w:tc>
          <w:tcPr>
            <w:tcW w:w="6041" w:type="dxa"/>
            <w:shd w:val="clear" w:color="auto" w:fill="E1E0E1"/>
          </w:tcPr>
          <w:p w:rsidR="002C1123" w:rsidRDefault="00F22F94">
            <w:pPr>
              <w:pStyle w:val="TableParagraph"/>
              <w:spacing w:before="68"/>
              <w:ind w:left="114"/>
              <w:rPr>
                <w:sz w:val="16"/>
              </w:rPr>
            </w:pPr>
            <w:r>
              <w:rPr>
                <w:w w:val="95"/>
                <w:sz w:val="16"/>
              </w:rPr>
              <w:t>Existing</w:t>
            </w:r>
            <w:r>
              <w:rPr>
                <w:spacing w:val="-1"/>
                <w:sz w:val="16"/>
              </w:rPr>
              <w:t xml:space="preserve"> </w:t>
            </w:r>
            <w:r>
              <w:rPr>
                <w:w w:val="95"/>
                <w:sz w:val="16"/>
              </w:rPr>
              <w:t>Government</w:t>
            </w:r>
            <w:r>
              <w:rPr>
                <w:sz w:val="16"/>
              </w:rPr>
              <w:t xml:space="preserve"> </w:t>
            </w:r>
            <w:r>
              <w:rPr>
                <w:spacing w:val="-2"/>
                <w:w w:val="95"/>
                <w:sz w:val="16"/>
              </w:rPr>
              <w:t>commitment</w:t>
            </w:r>
          </w:p>
        </w:tc>
      </w:tr>
      <w:tr w:rsidR="002C1123">
        <w:trPr>
          <w:trHeight w:val="377"/>
        </w:trPr>
        <w:tc>
          <w:tcPr>
            <w:tcW w:w="510" w:type="dxa"/>
            <w:tcBorders>
              <w:left w:val="nil"/>
            </w:tcBorders>
            <w:shd w:val="clear" w:color="auto" w:fill="C9C8C9"/>
          </w:tcPr>
          <w:p w:rsidR="002C1123" w:rsidRDefault="00F22F94">
            <w:pPr>
              <w:pStyle w:val="TableParagraph"/>
              <w:spacing w:before="68"/>
              <w:rPr>
                <w:b/>
                <w:sz w:val="16"/>
              </w:rPr>
            </w:pPr>
            <w:r>
              <w:rPr>
                <w:b/>
                <w:spacing w:val="-5"/>
                <w:sz w:val="16"/>
              </w:rPr>
              <w:t>43</w:t>
            </w:r>
          </w:p>
        </w:tc>
        <w:tc>
          <w:tcPr>
            <w:tcW w:w="5740" w:type="dxa"/>
            <w:shd w:val="clear" w:color="auto" w:fill="C9C8C9"/>
          </w:tcPr>
          <w:p w:rsidR="002C1123" w:rsidRDefault="00F22F94">
            <w:pPr>
              <w:pStyle w:val="TableParagraph"/>
              <w:spacing w:before="68"/>
              <w:rPr>
                <w:sz w:val="16"/>
              </w:rPr>
            </w:pPr>
            <w:r>
              <w:rPr>
                <w:sz w:val="16"/>
              </w:rPr>
              <w:t>Incremental upgrades</w:t>
            </w:r>
            <w:r>
              <w:rPr>
                <w:spacing w:val="1"/>
                <w:sz w:val="16"/>
              </w:rPr>
              <w:t xml:space="preserve"> </w:t>
            </w:r>
            <w:r>
              <w:rPr>
                <w:sz w:val="16"/>
              </w:rPr>
              <w:t>of</w:t>
            </w:r>
            <w:r>
              <w:rPr>
                <w:spacing w:val="1"/>
                <w:sz w:val="16"/>
              </w:rPr>
              <w:t xml:space="preserve"> </w:t>
            </w:r>
            <w:r>
              <w:rPr>
                <w:sz w:val="16"/>
              </w:rPr>
              <w:t>Moss</w:t>
            </w:r>
            <w:r>
              <w:rPr>
                <w:spacing w:val="1"/>
                <w:sz w:val="16"/>
              </w:rPr>
              <w:t xml:space="preserve"> </w:t>
            </w:r>
            <w:r>
              <w:rPr>
                <w:sz w:val="16"/>
              </w:rPr>
              <w:t>Vale</w:t>
            </w:r>
            <w:r>
              <w:rPr>
                <w:spacing w:val="1"/>
                <w:sz w:val="16"/>
              </w:rPr>
              <w:t xml:space="preserve"> </w:t>
            </w:r>
            <w:r>
              <w:rPr>
                <w:sz w:val="16"/>
              </w:rPr>
              <w:t>to</w:t>
            </w:r>
            <w:r>
              <w:rPr>
                <w:spacing w:val="1"/>
                <w:sz w:val="16"/>
              </w:rPr>
              <w:t xml:space="preserve"> </w:t>
            </w:r>
            <w:r>
              <w:rPr>
                <w:sz w:val="16"/>
              </w:rPr>
              <w:t>Unanderra</w:t>
            </w:r>
            <w:r>
              <w:rPr>
                <w:spacing w:val="1"/>
                <w:sz w:val="16"/>
              </w:rPr>
              <w:t xml:space="preserve"> </w:t>
            </w:r>
            <w:r>
              <w:rPr>
                <w:sz w:val="16"/>
              </w:rPr>
              <w:t>freight</w:t>
            </w:r>
            <w:r>
              <w:rPr>
                <w:spacing w:val="1"/>
                <w:sz w:val="16"/>
              </w:rPr>
              <w:t xml:space="preserve"> </w:t>
            </w:r>
            <w:r>
              <w:rPr>
                <w:sz w:val="16"/>
              </w:rPr>
              <w:t>rail</w:t>
            </w:r>
            <w:r>
              <w:rPr>
                <w:spacing w:val="1"/>
                <w:sz w:val="16"/>
              </w:rPr>
              <w:t xml:space="preserve"> </w:t>
            </w:r>
            <w:r>
              <w:rPr>
                <w:spacing w:val="-4"/>
                <w:sz w:val="16"/>
              </w:rPr>
              <w:t>line</w:t>
            </w:r>
          </w:p>
        </w:tc>
        <w:tc>
          <w:tcPr>
            <w:tcW w:w="850" w:type="dxa"/>
            <w:shd w:val="clear" w:color="auto" w:fill="E1E0E1"/>
          </w:tcPr>
          <w:p w:rsidR="002C1123" w:rsidRDefault="00F22F94">
            <w:pPr>
              <w:pStyle w:val="TableParagraph"/>
              <w:spacing w:before="68"/>
              <w:rPr>
                <w:sz w:val="16"/>
              </w:rPr>
            </w:pPr>
            <w:r>
              <w:rPr>
                <w:sz w:val="16"/>
              </w:rPr>
              <w:t>5</w:t>
            </w:r>
            <w:r>
              <w:rPr>
                <w:spacing w:val="-10"/>
                <w:sz w:val="16"/>
              </w:rPr>
              <w:t xml:space="preserve"> </w:t>
            </w:r>
            <w:r>
              <w:rPr>
                <w:sz w:val="16"/>
              </w:rPr>
              <w:t>–</w:t>
            </w:r>
            <w:r>
              <w:rPr>
                <w:spacing w:val="-9"/>
                <w:sz w:val="16"/>
              </w:rPr>
              <w:t xml:space="preserve"> </w:t>
            </w:r>
            <w:r>
              <w:rPr>
                <w:spacing w:val="-5"/>
                <w:sz w:val="16"/>
              </w:rPr>
              <w:t>10</w:t>
            </w:r>
          </w:p>
        </w:tc>
        <w:tc>
          <w:tcPr>
            <w:tcW w:w="1700" w:type="dxa"/>
            <w:shd w:val="clear" w:color="auto" w:fill="E1E0E1"/>
          </w:tcPr>
          <w:p w:rsidR="002C1123" w:rsidRDefault="00F22F94">
            <w:pPr>
              <w:pStyle w:val="TableParagraph"/>
              <w:spacing w:before="68"/>
              <w:ind w:left="114"/>
              <w:rPr>
                <w:sz w:val="16"/>
              </w:rPr>
            </w:pPr>
            <w:r>
              <w:rPr>
                <w:w w:val="95"/>
                <w:sz w:val="16"/>
              </w:rPr>
              <w:t>Major</w:t>
            </w:r>
            <w:r>
              <w:rPr>
                <w:spacing w:val="-2"/>
                <w:sz w:val="16"/>
              </w:rPr>
              <w:t xml:space="preserve"> </w:t>
            </w:r>
            <w:r>
              <w:rPr>
                <w:spacing w:val="-2"/>
                <w:w w:val="95"/>
                <w:sz w:val="16"/>
              </w:rPr>
              <w:t>project</w:t>
            </w:r>
          </w:p>
        </w:tc>
        <w:tc>
          <w:tcPr>
            <w:tcW w:w="6041" w:type="dxa"/>
            <w:shd w:val="clear" w:color="auto" w:fill="E1E0E1"/>
          </w:tcPr>
          <w:p w:rsidR="002C1123" w:rsidRDefault="00F22F94">
            <w:pPr>
              <w:pStyle w:val="TableParagraph"/>
              <w:spacing w:before="68"/>
              <w:ind w:left="114"/>
              <w:rPr>
                <w:sz w:val="16"/>
              </w:rPr>
            </w:pPr>
            <w:r>
              <w:rPr>
                <w:w w:val="95"/>
                <w:sz w:val="16"/>
              </w:rPr>
              <w:t>Assume</w:t>
            </w:r>
            <w:r>
              <w:rPr>
                <w:spacing w:val="-2"/>
                <w:sz w:val="16"/>
              </w:rPr>
              <w:t xml:space="preserve"> </w:t>
            </w:r>
            <w:r>
              <w:rPr>
                <w:w w:val="95"/>
                <w:sz w:val="16"/>
              </w:rPr>
              <w:t>delivery</w:t>
            </w:r>
            <w:r>
              <w:rPr>
                <w:spacing w:val="-2"/>
                <w:sz w:val="16"/>
              </w:rPr>
              <w:t xml:space="preserve"> </w:t>
            </w:r>
            <w:r>
              <w:rPr>
                <w:w w:val="95"/>
                <w:sz w:val="16"/>
              </w:rPr>
              <w:t>by</w:t>
            </w:r>
            <w:r>
              <w:rPr>
                <w:spacing w:val="-1"/>
                <w:sz w:val="16"/>
              </w:rPr>
              <w:t xml:space="preserve"> </w:t>
            </w:r>
            <w:r>
              <w:rPr>
                <w:w w:val="95"/>
                <w:sz w:val="16"/>
              </w:rPr>
              <w:t>ARTC</w:t>
            </w:r>
            <w:r>
              <w:rPr>
                <w:spacing w:val="-2"/>
                <w:sz w:val="16"/>
              </w:rPr>
              <w:t xml:space="preserve"> </w:t>
            </w:r>
            <w:r>
              <w:rPr>
                <w:w w:val="95"/>
                <w:sz w:val="16"/>
              </w:rPr>
              <w:t>based</w:t>
            </w:r>
            <w:r>
              <w:rPr>
                <w:spacing w:val="-1"/>
                <w:sz w:val="16"/>
              </w:rPr>
              <w:t xml:space="preserve"> </w:t>
            </w:r>
            <w:r>
              <w:rPr>
                <w:w w:val="95"/>
                <w:sz w:val="16"/>
              </w:rPr>
              <w:t>on</w:t>
            </w:r>
            <w:r>
              <w:rPr>
                <w:spacing w:val="-2"/>
                <w:sz w:val="16"/>
              </w:rPr>
              <w:t xml:space="preserve"> </w:t>
            </w:r>
            <w:r>
              <w:rPr>
                <w:w w:val="95"/>
                <w:sz w:val="16"/>
              </w:rPr>
              <w:t>user</w:t>
            </w:r>
            <w:r>
              <w:rPr>
                <w:spacing w:val="-1"/>
                <w:sz w:val="16"/>
              </w:rPr>
              <w:t xml:space="preserve"> </w:t>
            </w:r>
            <w:r>
              <w:rPr>
                <w:w w:val="95"/>
                <w:sz w:val="16"/>
              </w:rPr>
              <w:t>funding</w:t>
            </w:r>
            <w:r>
              <w:rPr>
                <w:spacing w:val="-2"/>
                <w:sz w:val="16"/>
              </w:rPr>
              <w:t xml:space="preserve"> </w:t>
            </w:r>
            <w:r>
              <w:rPr>
                <w:spacing w:val="-2"/>
                <w:w w:val="95"/>
                <w:sz w:val="16"/>
              </w:rPr>
              <w:t>model</w:t>
            </w:r>
          </w:p>
        </w:tc>
      </w:tr>
      <w:tr w:rsidR="002C1123">
        <w:trPr>
          <w:trHeight w:val="377"/>
        </w:trPr>
        <w:tc>
          <w:tcPr>
            <w:tcW w:w="510" w:type="dxa"/>
            <w:tcBorders>
              <w:left w:val="nil"/>
            </w:tcBorders>
            <w:shd w:val="clear" w:color="auto" w:fill="C9C8C9"/>
          </w:tcPr>
          <w:p w:rsidR="002C1123" w:rsidRDefault="00F22F94">
            <w:pPr>
              <w:pStyle w:val="TableParagraph"/>
              <w:spacing w:before="68"/>
              <w:rPr>
                <w:b/>
                <w:sz w:val="16"/>
              </w:rPr>
            </w:pPr>
            <w:r>
              <w:rPr>
                <w:b/>
                <w:spacing w:val="-5"/>
                <w:sz w:val="16"/>
              </w:rPr>
              <w:t>44</w:t>
            </w:r>
          </w:p>
        </w:tc>
        <w:tc>
          <w:tcPr>
            <w:tcW w:w="5740" w:type="dxa"/>
            <w:shd w:val="clear" w:color="auto" w:fill="C9C8C9"/>
          </w:tcPr>
          <w:p w:rsidR="002C1123" w:rsidRDefault="00F22F94">
            <w:pPr>
              <w:pStyle w:val="TableParagraph"/>
              <w:spacing w:before="68"/>
              <w:rPr>
                <w:sz w:val="16"/>
              </w:rPr>
            </w:pPr>
            <w:r>
              <w:rPr>
                <w:sz w:val="16"/>
              </w:rPr>
              <w:t>Hunter</w:t>
            </w:r>
            <w:r>
              <w:rPr>
                <w:spacing w:val="-3"/>
                <w:sz w:val="16"/>
              </w:rPr>
              <w:t xml:space="preserve"> </w:t>
            </w:r>
            <w:r>
              <w:rPr>
                <w:sz w:val="16"/>
              </w:rPr>
              <w:t>Valley</w:t>
            </w:r>
            <w:r>
              <w:rPr>
                <w:spacing w:val="-2"/>
                <w:sz w:val="16"/>
              </w:rPr>
              <w:t xml:space="preserve"> </w:t>
            </w:r>
            <w:r>
              <w:rPr>
                <w:sz w:val="16"/>
              </w:rPr>
              <w:t>Coal</w:t>
            </w:r>
            <w:r>
              <w:rPr>
                <w:spacing w:val="-3"/>
                <w:sz w:val="16"/>
              </w:rPr>
              <w:t xml:space="preserve"> </w:t>
            </w:r>
            <w:r>
              <w:rPr>
                <w:sz w:val="16"/>
              </w:rPr>
              <w:t>Chain</w:t>
            </w:r>
            <w:r>
              <w:rPr>
                <w:spacing w:val="-2"/>
                <w:sz w:val="16"/>
              </w:rPr>
              <w:t xml:space="preserve"> </w:t>
            </w:r>
            <w:r>
              <w:rPr>
                <w:sz w:val="16"/>
              </w:rPr>
              <w:t>improvements</w:t>
            </w:r>
            <w:r>
              <w:rPr>
                <w:spacing w:val="-2"/>
                <w:sz w:val="16"/>
              </w:rPr>
              <w:t xml:space="preserve"> </w:t>
            </w:r>
            <w:r>
              <w:rPr>
                <w:sz w:val="16"/>
              </w:rPr>
              <w:t>–</w:t>
            </w:r>
            <w:r>
              <w:rPr>
                <w:spacing w:val="-3"/>
                <w:sz w:val="16"/>
              </w:rPr>
              <w:t xml:space="preserve"> </w:t>
            </w:r>
            <w:r>
              <w:rPr>
                <w:sz w:val="16"/>
              </w:rPr>
              <w:t>Liverpool</w:t>
            </w:r>
            <w:r>
              <w:rPr>
                <w:spacing w:val="-2"/>
                <w:sz w:val="16"/>
              </w:rPr>
              <w:t xml:space="preserve"> Range</w:t>
            </w:r>
          </w:p>
        </w:tc>
        <w:tc>
          <w:tcPr>
            <w:tcW w:w="850" w:type="dxa"/>
            <w:shd w:val="clear" w:color="auto" w:fill="E1E0E1"/>
          </w:tcPr>
          <w:p w:rsidR="002C1123" w:rsidRDefault="00F22F94">
            <w:pPr>
              <w:pStyle w:val="TableParagraph"/>
              <w:spacing w:before="68"/>
              <w:rPr>
                <w:sz w:val="16"/>
              </w:rPr>
            </w:pPr>
            <w:r>
              <w:rPr>
                <w:sz w:val="16"/>
              </w:rPr>
              <w:t>5</w:t>
            </w:r>
            <w:r>
              <w:rPr>
                <w:spacing w:val="-10"/>
                <w:sz w:val="16"/>
              </w:rPr>
              <w:t xml:space="preserve"> </w:t>
            </w:r>
            <w:r>
              <w:rPr>
                <w:sz w:val="16"/>
              </w:rPr>
              <w:t>–</w:t>
            </w:r>
            <w:r>
              <w:rPr>
                <w:spacing w:val="-9"/>
                <w:sz w:val="16"/>
              </w:rPr>
              <w:t xml:space="preserve"> </w:t>
            </w:r>
            <w:r>
              <w:rPr>
                <w:spacing w:val="-5"/>
                <w:sz w:val="16"/>
              </w:rPr>
              <w:t>10</w:t>
            </w:r>
          </w:p>
        </w:tc>
        <w:tc>
          <w:tcPr>
            <w:tcW w:w="1700" w:type="dxa"/>
            <w:shd w:val="clear" w:color="auto" w:fill="E1E0E1"/>
          </w:tcPr>
          <w:p w:rsidR="002C1123" w:rsidRDefault="00F22F94">
            <w:pPr>
              <w:pStyle w:val="TableParagraph"/>
              <w:spacing w:before="68"/>
              <w:ind w:left="114"/>
              <w:rPr>
                <w:sz w:val="16"/>
              </w:rPr>
            </w:pPr>
            <w:r>
              <w:rPr>
                <w:w w:val="95"/>
                <w:sz w:val="16"/>
              </w:rPr>
              <w:t>Major</w:t>
            </w:r>
            <w:r>
              <w:rPr>
                <w:spacing w:val="-2"/>
                <w:sz w:val="16"/>
              </w:rPr>
              <w:t xml:space="preserve"> </w:t>
            </w:r>
            <w:r>
              <w:rPr>
                <w:spacing w:val="-2"/>
                <w:w w:val="95"/>
                <w:sz w:val="16"/>
              </w:rPr>
              <w:t>project</w:t>
            </w:r>
          </w:p>
        </w:tc>
        <w:tc>
          <w:tcPr>
            <w:tcW w:w="6041" w:type="dxa"/>
            <w:shd w:val="clear" w:color="auto" w:fill="E1E0E1"/>
          </w:tcPr>
          <w:p w:rsidR="002C1123" w:rsidRDefault="00F22F94">
            <w:pPr>
              <w:pStyle w:val="TableParagraph"/>
              <w:spacing w:before="68"/>
              <w:ind w:left="114"/>
              <w:rPr>
                <w:sz w:val="16"/>
              </w:rPr>
            </w:pPr>
            <w:r>
              <w:rPr>
                <w:w w:val="95"/>
                <w:sz w:val="16"/>
              </w:rPr>
              <w:t>Assume</w:t>
            </w:r>
            <w:r>
              <w:rPr>
                <w:spacing w:val="-2"/>
                <w:sz w:val="16"/>
              </w:rPr>
              <w:t xml:space="preserve"> </w:t>
            </w:r>
            <w:r>
              <w:rPr>
                <w:w w:val="95"/>
                <w:sz w:val="16"/>
              </w:rPr>
              <w:t>delivery</w:t>
            </w:r>
            <w:r>
              <w:rPr>
                <w:spacing w:val="-2"/>
                <w:sz w:val="16"/>
              </w:rPr>
              <w:t xml:space="preserve"> </w:t>
            </w:r>
            <w:r>
              <w:rPr>
                <w:w w:val="95"/>
                <w:sz w:val="16"/>
              </w:rPr>
              <w:t>by</w:t>
            </w:r>
            <w:r>
              <w:rPr>
                <w:spacing w:val="-1"/>
                <w:sz w:val="16"/>
              </w:rPr>
              <w:t xml:space="preserve"> </w:t>
            </w:r>
            <w:r>
              <w:rPr>
                <w:w w:val="95"/>
                <w:sz w:val="16"/>
              </w:rPr>
              <w:t>ARTC</w:t>
            </w:r>
            <w:r>
              <w:rPr>
                <w:spacing w:val="-2"/>
                <w:sz w:val="16"/>
              </w:rPr>
              <w:t xml:space="preserve"> </w:t>
            </w:r>
            <w:r>
              <w:rPr>
                <w:w w:val="95"/>
                <w:sz w:val="16"/>
              </w:rPr>
              <w:t>based</w:t>
            </w:r>
            <w:r>
              <w:rPr>
                <w:spacing w:val="-1"/>
                <w:sz w:val="16"/>
              </w:rPr>
              <w:t xml:space="preserve"> </w:t>
            </w:r>
            <w:r>
              <w:rPr>
                <w:w w:val="95"/>
                <w:sz w:val="16"/>
              </w:rPr>
              <w:t>on</w:t>
            </w:r>
            <w:r>
              <w:rPr>
                <w:spacing w:val="-2"/>
                <w:sz w:val="16"/>
              </w:rPr>
              <w:t xml:space="preserve"> </w:t>
            </w:r>
            <w:r>
              <w:rPr>
                <w:w w:val="95"/>
                <w:sz w:val="16"/>
              </w:rPr>
              <w:t>user</w:t>
            </w:r>
            <w:r>
              <w:rPr>
                <w:spacing w:val="-1"/>
                <w:sz w:val="16"/>
              </w:rPr>
              <w:t xml:space="preserve"> </w:t>
            </w:r>
            <w:r>
              <w:rPr>
                <w:w w:val="95"/>
                <w:sz w:val="16"/>
              </w:rPr>
              <w:t>funding</w:t>
            </w:r>
            <w:r>
              <w:rPr>
                <w:spacing w:val="-2"/>
                <w:sz w:val="16"/>
              </w:rPr>
              <w:t xml:space="preserve"> </w:t>
            </w:r>
            <w:r>
              <w:rPr>
                <w:spacing w:val="-2"/>
                <w:w w:val="95"/>
                <w:sz w:val="16"/>
              </w:rPr>
              <w:t>model</w:t>
            </w:r>
          </w:p>
        </w:tc>
      </w:tr>
      <w:tr w:rsidR="002C1123">
        <w:trPr>
          <w:trHeight w:val="377"/>
        </w:trPr>
        <w:tc>
          <w:tcPr>
            <w:tcW w:w="510" w:type="dxa"/>
            <w:tcBorders>
              <w:left w:val="nil"/>
            </w:tcBorders>
            <w:shd w:val="clear" w:color="auto" w:fill="C9C8C9"/>
          </w:tcPr>
          <w:p w:rsidR="002C1123" w:rsidRDefault="00F22F94">
            <w:pPr>
              <w:pStyle w:val="TableParagraph"/>
              <w:spacing w:before="68"/>
              <w:rPr>
                <w:b/>
                <w:sz w:val="16"/>
              </w:rPr>
            </w:pPr>
            <w:r>
              <w:rPr>
                <w:b/>
                <w:spacing w:val="-5"/>
                <w:sz w:val="16"/>
              </w:rPr>
              <w:t>45</w:t>
            </w:r>
          </w:p>
        </w:tc>
        <w:tc>
          <w:tcPr>
            <w:tcW w:w="5740" w:type="dxa"/>
            <w:shd w:val="clear" w:color="auto" w:fill="C9C8C9"/>
          </w:tcPr>
          <w:p w:rsidR="002C1123" w:rsidRDefault="00F22F94">
            <w:pPr>
              <w:pStyle w:val="TableParagraph"/>
              <w:spacing w:before="68"/>
              <w:rPr>
                <w:sz w:val="16"/>
              </w:rPr>
            </w:pPr>
            <w:r>
              <w:rPr>
                <w:sz w:val="16"/>
              </w:rPr>
              <w:t>F3</w:t>
            </w:r>
            <w:r>
              <w:rPr>
                <w:spacing w:val="2"/>
                <w:sz w:val="16"/>
              </w:rPr>
              <w:t xml:space="preserve"> </w:t>
            </w:r>
            <w:r>
              <w:rPr>
                <w:sz w:val="16"/>
              </w:rPr>
              <w:t>extension</w:t>
            </w:r>
            <w:r>
              <w:rPr>
                <w:spacing w:val="3"/>
                <w:sz w:val="16"/>
              </w:rPr>
              <w:t xml:space="preserve"> </w:t>
            </w:r>
            <w:r>
              <w:rPr>
                <w:sz w:val="16"/>
              </w:rPr>
              <w:t>to</w:t>
            </w:r>
            <w:r>
              <w:rPr>
                <w:spacing w:val="3"/>
                <w:sz w:val="16"/>
              </w:rPr>
              <w:t xml:space="preserve"> </w:t>
            </w:r>
            <w:r>
              <w:rPr>
                <w:sz w:val="16"/>
              </w:rPr>
              <w:t>Raymond</w:t>
            </w:r>
            <w:r>
              <w:rPr>
                <w:spacing w:val="2"/>
                <w:sz w:val="16"/>
              </w:rPr>
              <w:t xml:space="preserve"> </w:t>
            </w:r>
            <w:r>
              <w:rPr>
                <w:spacing w:val="-2"/>
                <w:sz w:val="16"/>
              </w:rPr>
              <w:t>Terrace</w:t>
            </w:r>
          </w:p>
        </w:tc>
        <w:tc>
          <w:tcPr>
            <w:tcW w:w="850" w:type="dxa"/>
            <w:vMerge w:val="restart"/>
            <w:shd w:val="clear" w:color="auto" w:fill="E1E0E1"/>
          </w:tcPr>
          <w:p w:rsidR="002C1123" w:rsidRDefault="00F22F94">
            <w:pPr>
              <w:pStyle w:val="TableParagraph"/>
              <w:spacing w:before="68"/>
              <w:rPr>
                <w:sz w:val="16"/>
              </w:rPr>
            </w:pPr>
            <w:r>
              <w:rPr>
                <w:sz w:val="16"/>
              </w:rPr>
              <w:t>5</w:t>
            </w:r>
            <w:r>
              <w:rPr>
                <w:spacing w:val="-10"/>
                <w:sz w:val="16"/>
              </w:rPr>
              <w:t xml:space="preserve"> </w:t>
            </w:r>
            <w:r>
              <w:rPr>
                <w:sz w:val="16"/>
              </w:rPr>
              <w:t>–</w:t>
            </w:r>
            <w:r>
              <w:rPr>
                <w:spacing w:val="-9"/>
                <w:sz w:val="16"/>
              </w:rPr>
              <w:t xml:space="preserve"> </w:t>
            </w:r>
            <w:r>
              <w:rPr>
                <w:spacing w:val="-5"/>
                <w:sz w:val="16"/>
              </w:rPr>
              <w:t>10</w:t>
            </w:r>
          </w:p>
          <w:p w:rsidR="002C1123" w:rsidRDefault="002C1123">
            <w:pPr>
              <w:pStyle w:val="TableParagraph"/>
              <w:spacing w:before="6"/>
              <w:ind w:left="0"/>
              <w:rPr>
                <w:b/>
                <w:sz w:val="18"/>
              </w:rPr>
            </w:pPr>
          </w:p>
          <w:p w:rsidR="002C1123" w:rsidRDefault="00F22F94">
            <w:pPr>
              <w:pStyle w:val="TableParagraph"/>
              <w:spacing w:before="0"/>
              <w:rPr>
                <w:sz w:val="16"/>
              </w:rPr>
            </w:pPr>
            <w:r>
              <w:rPr>
                <w:sz w:val="16"/>
              </w:rPr>
              <w:t>5</w:t>
            </w:r>
            <w:r>
              <w:rPr>
                <w:spacing w:val="-10"/>
                <w:sz w:val="16"/>
              </w:rPr>
              <w:t xml:space="preserve"> </w:t>
            </w:r>
            <w:r>
              <w:rPr>
                <w:sz w:val="16"/>
              </w:rPr>
              <w:t>–</w:t>
            </w:r>
            <w:r>
              <w:rPr>
                <w:spacing w:val="-9"/>
                <w:sz w:val="16"/>
              </w:rPr>
              <w:t xml:space="preserve"> </w:t>
            </w:r>
            <w:r>
              <w:rPr>
                <w:spacing w:val="-5"/>
                <w:sz w:val="16"/>
              </w:rPr>
              <w:t>10</w:t>
            </w:r>
          </w:p>
        </w:tc>
        <w:tc>
          <w:tcPr>
            <w:tcW w:w="1700" w:type="dxa"/>
            <w:vMerge w:val="restart"/>
            <w:shd w:val="clear" w:color="auto" w:fill="E1E0E1"/>
          </w:tcPr>
          <w:p w:rsidR="002C1123" w:rsidRDefault="00F22F94">
            <w:pPr>
              <w:pStyle w:val="TableParagraph"/>
              <w:spacing w:before="68"/>
              <w:ind w:left="114"/>
              <w:rPr>
                <w:sz w:val="16"/>
              </w:rPr>
            </w:pPr>
            <w:r>
              <w:rPr>
                <w:w w:val="95"/>
                <w:sz w:val="16"/>
              </w:rPr>
              <w:t>Major</w:t>
            </w:r>
            <w:r>
              <w:rPr>
                <w:spacing w:val="-2"/>
                <w:sz w:val="16"/>
              </w:rPr>
              <w:t xml:space="preserve"> </w:t>
            </w:r>
            <w:r>
              <w:rPr>
                <w:spacing w:val="-2"/>
                <w:w w:val="95"/>
                <w:sz w:val="16"/>
              </w:rPr>
              <w:t>project</w:t>
            </w:r>
          </w:p>
          <w:p w:rsidR="002C1123" w:rsidRDefault="002C1123">
            <w:pPr>
              <w:pStyle w:val="TableParagraph"/>
              <w:spacing w:before="6"/>
              <w:ind w:left="0"/>
              <w:rPr>
                <w:b/>
                <w:sz w:val="18"/>
              </w:rPr>
            </w:pPr>
          </w:p>
          <w:p w:rsidR="002C1123" w:rsidRDefault="00F22F94">
            <w:pPr>
              <w:pStyle w:val="TableParagraph"/>
              <w:spacing w:before="0"/>
              <w:ind w:left="114"/>
              <w:rPr>
                <w:sz w:val="16"/>
              </w:rPr>
            </w:pPr>
            <w:r>
              <w:rPr>
                <w:w w:val="95"/>
                <w:sz w:val="16"/>
              </w:rPr>
              <w:t>Major</w:t>
            </w:r>
            <w:r>
              <w:rPr>
                <w:spacing w:val="-2"/>
                <w:sz w:val="16"/>
              </w:rPr>
              <w:t xml:space="preserve"> </w:t>
            </w:r>
            <w:r>
              <w:rPr>
                <w:spacing w:val="-2"/>
                <w:w w:val="95"/>
                <w:sz w:val="16"/>
              </w:rPr>
              <w:t>project</w:t>
            </w:r>
          </w:p>
        </w:tc>
        <w:tc>
          <w:tcPr>
            <w:tcW w:w="6041" w:type="dxa"/>
            <w:shd w:val="clear" w:color="auto" w:fill="E1E0E1"/>
          </w:tcPr>
          <w:p w:rsidR="002C1123" w:rsidRDefault="00F22F94">
            <w:pPr>
              <w:pStyle w:val="TableParagraph"/>
              <w:spacing w:before="68"/>
              <w:ind w:left="114"/>
              <w:rPr>
                <w:sz w:val="16"/>
              </w:rPr>
            </w:pPr>
            <w:r>
              <w:rPr>
                <w:sz w:val="16"/>
              </w:rPr>
              <w:t>Scoping</w:t>
            </w:r>
            <w:r>
              <w:rPr>
                <w:spacing w:val="-10"/>
                <w:sz w:val="16"/>
              </w:rPr>
              <w:t xml:space="preserve"> </w:t>
            </w:r>
            <w:r>
              <w:rPr>
                <w:sz w:val="16"/>
              </w:rPr>
              <w:t>of</w:t>
            </w:r>
            <w:r>
              <w:rPr>
                <w:spacing w:val="-10"/>
                <w:sz w:val="16"/>
              </w:rPr>
              <w:t xml:space="preserve"> </w:t>
            </w:r>
            <w:r>
              <w:rPr>
                <w:sz w:val="16"/>
              </w:rPr>
              <w:t>$900</w:t>
            </w:r>
            <w:r>
              <w:rPr>
                <w:spacing w:val="-10"/>
                <w:sz w:val="16"/>
              </w:rPr>
              <w:t xml:space="preserve"> </w:t>
            </w:r>
            <w:r>
              <w:rPr>
                <w:spacing w:val="-2"/>
                <w:sz w:val="16"/>
              </w:rPr>
              <w:t>million</w:t>
            </w:r>
          </w:p>
        </w:tc>
      </w:tr>
      <w:tr w:rsidR="002C1123">
        <w:trPr>
          <w:trHeight w:val="377"/>
        </w:trPr>
        <w:tc>
          <w:tcPr>
            <w:tcW w:w="510" w:type="dxa"/>
            <w:tcBorders>
              <w:left w:val="nil"/>
            </w:tcBorders>
            <w:shd w:val="clear" w:color="auto" w:fill="C9C8C9"/>
          </w:tcPr>
          <w:p w:rsidR="002C1123" w:rsidRDefault="00F22F94">
            <w:pPr>
              <w:pStyle w:val="TableParagraph"/>
              <w:spacing w:before="68"/>
              <w:rPr>
                <w:b/>
                <w:sz w:val="16"/>
              </w:rPr>
            </w:pPr>
            <w:r>
              <w:rPr>
                <w:b/>
                <w:spacing w:val="-5"/>
                <w:sz w:val="16"/>
              </w:rPr>
              <w:t>46</w:t>
            </w:r>
          </w:p>
        </w:tc>
        <w:tc>
          <w:tcPr>
            <w:tcW w:w="5740" w:type="dxa"/>
            <w:shd w:val="clear" w:color="auto" w:fill="C9C8C9"/>
          </w:tcPr>
          <w:p w:rsidR="002C1123" w:rsidRDefault="00F22F94">
            <w:pPr>
              <w:pStyle w:val="TableParagraph"/>
              <w:spacing w:before="68"/>
              <w:rPr>
                <w:sz w:val="16"/>
              </w:rPr>
            </w:pPr>
            <w:r>
              <w:rPr>
                <w:spacing w:val="-2"/>
                <w:w w:val="105"/>
                <w:sz w:val="16"/>
              </w:rPr>
              <w:t>Complete</w:t>
            </w:r>
            <w:r>
              <w:rPr>
                <w:spacing w:val="-7"/>
                <w:w w:val="105"/>
                <w:sz w:val="16"/>
              </w:rPr>
              <w:t xml:space="preserve"> </w:t>
            </w:r>
            <w:r>
              <w:rPr>
                <w:spacing w:val="-2"/>
                <w:w w:val="105"/>
                <w:sz w:val="16"/>
              </w:rPr>
              <w:t>Princes</w:t>
            </w:r>
            <w:r>
              <w:rPr>
                <w:spacing w:val="-7"/>
                <w:w w:val="105"/>
                <w:sz w:val="16"/>
              </w:rPr>
              <w:t xml:space="preserve"> </w:t>
            </w:r>
            <w:r>
              <w:rPr>
                <w:spacing w:val="-2"/>
                <w:w w:val="105"/>
                <w:sz w:val="16"/>
              </w:rPr>
              <w:t>Highway</w:t>
            </w:r>
            <w:r>
              <w:rPr>
                <w:spacing w:val="-6"/>
                <w:w w:val="105"/>
                <w:sz w:val="16"/>
              </w:rPr>
              <w:t xml:space="preserve"> </w:t>
            </w:r>
            <w:r>
              <w:rPr>
                <w:spacing w:val="-2"/>
                <w:w w:val="105"/>
                <w:sz w:val="16"/>
              </w:rPr>
              <w:t>duplication</w:t>
            </w:r>
            <w:r>
              <w:rPr>
                <w:spacing w:val="-7"/>
                <w:w w:val="105"/>
                <w:sz w:val="16"/>
              </w:rPr>
              <w:t xml:space="preserve"> </w:t>
            </w:r>
            <w:r>
              <w:rPr>
                <w:spacing w:val="-2"/>
                <w:w w:val="105"/>
                <w:sz w:val="16"/>
              </w:rPr>
              <w:t>to</w:t>
            </w:r>
            <w:r>
              <w:rPr>
                <w:spacing w:val="-6"/>
                <w:w w:val="105"/>
                <w:sz w:val="16"/>
              </w:rPr>
              <w:t xml:space="preserve"> </w:t>
            </w:r>
            <w:r>
              <w:rPr>
                <w:spacing w:val="-2"/>
                <w:w w:val="105"/>
                <w:sz w:val="16"/>
              </w:rPr>
              <w:t>Jervis</w:t>
            </w:r>
            <w:r>
              <w:rPr>
                <w:spacing w:val="-7"/>
                <w:w w:val="105"/>
                <w:sz w:val="16"/>
              </w:rPr>
              <w:t xml:space="preserve"> </w:t>
            </w:r>
            <w:r>
              <w:rPr>
                <w:spacing w:val="-2"/>
                <w:w w:val="105"/>
                <w:sz w:val="16"/>
              </w:rPr>
              <w:t>Bay</w:t>
            </w:r>
            <w:r>
              <w:rPr>
                <w:spacing w:val="-6"/>
                <w:w w:val="105"/>
                <w:sz w:val="16"/>
              </w:rPr>
              <w:t xml:space="preserve"> </w:t>
            </w:r>
            <w:r>
              <w:rPr>
                <w:spacing w:val="-2"/>
                <w:w w:val="105"/>
                <w:sz w:val="16"/>
              </w:rPr>
              <w:t>turnoff</w:t>
            </w:r>
          </w:p>
        </w:tc>
        <w:tc>
          <w:tcPr>
            <w:tcW w:w="850" w:type="dxa"/>
            <w:vMerge/>
            <w:tcBorders>
              <w:top w:val="nil"/>
            </w:tcBorders>
            <w:shd w:val="clear" w:color="auto" w:fill="E1E0E1"/>
          </w:tcPr>
          <w:p w:rsidR="002C1123" w:rsidRDefault="002C1123">
            <w:pPr>
              <w:rPr>
                <w:sz w:val="2"/>
                <w:szCs w:val="2"/>
              </w:rPr>
            </w:pPr>
          </w:p>
        </w:tc>
        <w:tc>
          <w:tcPr>
            <w:tcW w:w="1700" w:type="dxa"/>
            <w:vMerge/>
            <w:tcBorders>
              <w:top w:val="nil"/>
            </w:tcBorders>
            <w:shd w:val="clear" w:color="auto" w:fill="E1E0E1"/>
          </w:tcPr>
          <w:p w:rsidR="002C1123" w:rsidRDefault="002C1123">
            <w:pPr>
              <w:rPr>
                <w:sz w:val="2"/>
                <w:szCs w:val="2"/>
              </w:rPr>
            </w:pPr>
          </w:p>
        </w:tc>
        <w:tc>
          <w:tcPr>
            <w:tcW w:w="6041" w:type="dxa"/>
            <w:shd w:val="clear" w:color="auto" w:fill="E1E0E1"/>
          </w:tcPr>
          <w:p w:rsidR="002C1123" w:rsidRDefault="00F22F94">
            <w:pPr>
              <w:pStyle w:val="TableParagraph"/>
              <w:spacing w:before="68"/>
              <w:ind w:left="114"/>
              <w:rPr>
                <w:sz w:val="16"/>
              </w:rPr>
            </w:pPr>
            <w:r>
              <w:rPr>
                <w:w w:val="95"/>
                <w:sz w:val="16"/>
              </w:rPr>
              <w:t>Existing</w:t>
            </w:r>
            <w:r>
              <w:rPr>
                <w:spacing w:val="-1"/>
                <w:sz w:val="16"/>
              </w:rPr>
              <w:t xml:space="preserve"> </w:t>
            </w:r>
            <w:r>
              <w:rPr>
                <w:w w:val="95"/>
                <w:sz w:val="16"/>
              </w:rPr>
              <w:t>Government</w:t>
            </w:r>
            <w:r>
              <w:rPr>
                <w:sz w:val="16"/>
              </w:rPr>
              <w:t xml:space="preserve"> </w:t>
            </w:r>
            <w:r>
              <w:rPr>
                <w:spacing w:val="-2"/>
                <w:w w:val="95"/>
                <w:sz w:val="16"/>
              </w:rPr>
              <w:t>commitment</w:t>
            </w:r>
          </w:p>
        </w:tc>
      </w:tr>
      <w:tr w:rsidR="002C1123">
        <w:trPr>
          <w:trHeight w:val="377"/>
        </w:trPr>
        <w:tc>
          <w:tcPr>
            <w:tcW w:w="510" w:type="dxa"/>
            <w:tcBorders>
              <w:left w:val="nil"/>
            </w:tcBorders>
            <w:shd w:val="clear" w:color="auto" w:fill="C9C8C9"/>
          </w:tcPr>
          <w:p w:rsidR="002C1123" w:rsidRDefault="00F22F94">
            <w:pPr>
              <w:pStyle w:val="TableParagraph"/>
              <w:spacing w:before="68"/>
              <w:rPr>
                <w:b/>
                <w:sz w:val="16"/>
              </w:rPr>
            </w:pPr>
            <w:r>
              <w:rPr>
                <w:b/>
                <w:spacing w:val="-5"/>
                <w:sz w:val="16"/>
              </w:rPr>
              <w:t>47</w:t>
            </w:r>
          </w:p>
        </w:tc>
        <w:tc>
          <w:tcPr>
            <w:tcW w:w="5740" w:type="dxa"/>
            <w:shd w:val="clear" w:color="auto" w:fill="C9C8C9"/>
          </w:tcPr>
          <w:p w:rsidR="002C1123" w:rsidRDefault="00F22F94">
            <w:pPr>
              <w:pStyle w:val="TableParagraph"/>
              <w:spacing w:before="68"/>
              <w:rPr>
                <w:sz w:val="16"/>
              </w:rPr>
            </w:pPr>
            <w:r>
              <w:rPr>
                <w:spacing w:val="-2"/>
                <w:w w:val="105"/>
                <w:sz w:val="16"/>
              </w:rPr>
              <w:t>Maldon</w:t>
            </w:r>
            <w:r>
              <w:rPr>
                <w:spacing w:val="-8"/>
                <w:w w:val="105"/>
                <w:sz w:val="16"/>
              </w:rPr>
              <w:t xml:space="preserve"> </w:t>
            </w:r>
            <w:r>
              <w:rPr>
                <w:spacing w:val="-2"/>
                <w:w w:val="105"/>
                <w:sz w:val="16"/>
              </w:rPr>
              <w:t>–</w:t>
            </w:r>
            <w:r>
              <w:rPr>
                <w:spacing w:val="-7"/>
                <w:w w:val="105"/>
                <w:sz w:val="16"/>
              </w:rPr>
              <w:t xml:space="preserve"> </w:t>
            </w:r>
            <w:r>
              <w:rPr>
                <w:spacing w:val="-2"/>
                <w:w w:val="105"/>
                <w:sz w:val="16"/>
              </w:rPr>
              <w:t>Dombarton</w:t>
            </w:r>
            <w:r>
              <w:rPr>
                <w:spacing w:val="-7"/>
                <w:w w:val="105"/>
                <w:sz w:val="16"/>
              </w:rPr>
              <w:t xml:space="preserve"> </w:t>
            </w:r>
            <w:r>
              <w:rPr>
                <w:spacing w:val="-2"/>
                <w:w w:val="105"/>
                <w:sz w:val="16"/>
              </w:rPr>
              <w:t>freight</w:t>
            </w:r>
            <w:r>
              <w:rPr>
                <w:spacing w:val="-8"/>
                <w:w w:val="105"/>
                <w:sz w:val="16"/>
              </w:rPr>
              <w:t xml:space="preserve"> </w:t>
            </w:r>
            <w:r>
              <w:rPr>
                <w:spacing w:val="-2"/>
                <w:w w:val="105"/>
                <w:sz w:val="16"/>
              </w:rPr>
              <w:t>rail</w:t>
            </w:r>
            <w:r>
              <w:rPr>
                <w:spacing w:val="-7"/>
                <w:w w:val="105"/>
                <w:sz w:val="16"/>
              </w:rPr>
              <w:t xml:space="preserve"> </w:t>
            </w:r>
            <w:r>
              <w:rPr>
                <w:spacing w:val="-4"/>
                <w:w w:val="105"/>
                <w:sz w:val="16"/>
              </w:rPr>
              <w:t>line</w:t>
            </w:r>
          </w:p>
        </w:tc>
        <w:tc>
          <w:tcPr>
            <w:tcW w:w="850" w:type="dxa"/>
            <w:shd w:val="clear" w:color="auto" w:fill="E1E0E1"/>
          </w:tcPr>
          <w:p w:rsidR="002C1123" w:rsidRDefault="00F22F94">
            <w:pPr>
              <w:pStyle w:val="TableParagraph"/>
              <w:spacing w:before="68"/>
              <w:rPr>
                <w:sz w:val="16"/>
              </w:rPr>
            </w:pPr>
            <w:r>
              <w:rPr>
                <w:w w:val="95"/>
                <w:sz w:val="16"/>
              </w:rPr>
              <w:t>10</w:t>
            </w:r>
            <w:r>
              <w:rPr>
                <w:spacing w:val="-6"/>
                <w:w w:val="95"/>
                <w:sz w:val="16"/>
              </w:rPr>
              <w:t xml:space="preserve"> </w:t>
            </w:r>
            <w:r>
              <w:rPr>
                <w:w w:val="95"/>
                <w:sz w:val="16"/>
              </w:rPr>
              <w:t>–</w:t>
            </w:r>
            <w:r>
              <w:rPr>
                <w:spacing w:val="-5"/>
                <w:w w:val="95"/>
                <w:sz w:val="16"/>
              </w:rPr>
              <w:t xml:space="preserve"> 20</w:t>
            </w:r>
          </w:p>
        </w:tc>
        <w:tc>
          <w:tcPr>
            <w:tcW w:w="1700" w:type="dxa"/>
            <w:shd w:val="clear" w:color="auto" w:fill="E1E0E1"/>
          </w:tcPr>
          <w:p w:rsidR="002C1123" w:rsidRDefault="00F22F94">
            <w:pPr>
              <w:pStyle w:val="TableParagraph"/>
              <w:spacing w:before="68"/>
              <w:ind w:left="114"/>
              <w:rPr>
                <w:sz w:val="16"/>
              </w:rPr>
            </w:pPr>
            <w:r>
              <w:rPr>
                <w:w w:val="95"/>
                <w:sz w:val="16"/>
              </w:rPr>
              <w:t>Major</w:t>
            </w:r>
            <w:r>
              <w:rPr>
                <w:spacing w:val="-2"/>
                <w:sz w:val="16"/>
              </w:rPr>
              <w:t xml:space="preserve"> </w:t>
            </w:r>
            <w:r>
              <w:rPr>
                <w:spacing w:val="-2"/>
                <w:w w:val="95"/>
                <w:sz w:val="16"/>
              </w:rPr>
              <w:t>project</w:t>
            </w:r>
          </w:p>
        </w:tc>
        <w:tc>
          <w:tcPr>
            <w:tcW w:w="6041" w:type="dxa"/>
            <w:shd w:val="clear" w:color="auto" w:fill="E1E0E1"/>
          </w:tcPr>
          <w:p w:rsidR="002C1123" w:rsidRDefault="00F22F94">
            <w:pPr>
              <w:pStyle w:val="TableParagraph"/>
              <w:spacing w:before="68"/>
              <w:ind w:left="114"/>
              <w:rPr>
                <w:sz w:val="16"/>
              </w:rPr>
            </w:pPr>
            <w:r>
              <w:rPr>
                <w:w w:val="95"/>
                <w:sz w:val="16"/>
              </w:rPr>
              <w:t>Assume</w:t>
            </w:r>
            <w:r>
              <w:rPr>
                <w:spacing w:val="-2"/>
                <w:sz w:val="16"/>
              </w:rPr>
              <w:t xml:space="preserve"> </w:t>
            </w:r>
            <w:r>
              <w:rPr>
                <w:w w:val="95"/>
                <w:sz w:val="16"/>
              </w:rPr>
              <w:t>delivery</w:t>
            </w:r>
            <w:r>
              <w:rPr>
                <w:spacing w:val="-2"/>
                <w:sz w:val="16"/>
              </w:rPr>
              <w:t xml:space="preserve"> </w:t>
            </w:r>
            <w:r>
              <w:rPr>
                <w:w w:val="95"/>
                <w:sz w:val="16"/>
              </w:rPr>
              <w:t>by</w:t>
            </w:r>
            <w:r>
              <w:rPr>
                <w:spacing w:val="-1"/>
                <w:sz w:val="16"/>
              </w:rPr>
              <w:t xml:space="preserve"> </w:t>
            </w:r>
            <w:r>
              <w:rPr>
                <w:w w:val="95"/>
                <w:sz w:val="16"/>
              </w:rPr>
              <w:t>ARTC</w:t>
            </w:r>
            <w:r>
              <w:rPr>
                <w:spacing w:val="-2"/>
                <w:sz w:val="16"/>
              </w:rPr>
              <w:t xml:space="preserve"> </w:t>
            </w:r>
            <w:r>
              <w:rPr>
                <w:w w:val="95"/>
                <w:sz w:val="16"/>
              </w:rPr>
              <w:t>based</w:t>
            </w:r>
            <w:r>
              <w:rPr>
                <w:spacing w:val="-1"/>
                <w:sz w:val="16"/>
              </w:rPr>
              <w:t xml:space="preserve"> </w:t>
            </w:r>
            <w:r>
              <w:rPr>
                <w:w w:val="95"/>
                <w:sz w:val="16"/>
              </w:rPr>
              <w:t>on</w:t>
            </w:r>
            <w:r>
              <w:rPr>
                <w:spacing w:val="-2"/>
                <w:sz w:val="16"/>
              </w:rPr>
              <w:t xml:space="preserve"> </w:t>
            </w:r>
            <w:r>
              <w:rPr>
                <w:w w:val="95"/>
                <w:sz w:val="16"/>
              </w:rPr>
              <w:t>user</w:t>
            </w:r>
            <w:r>
              <w:rPr>
                <w:spacing w:val="-1"/>
                <w:sz w:val="16"/>
              </w:rPr>
              <w:t xml:space="preserve"> </w:t>
            </w:r>
            <w:r>
              <w:rPr>
                <w:w w:val="95"/>
                <w:sz w:val="16"/>
              </w:rPr>
              <w:t>funding</w:t>
            </w:r>
            <w:r>
              <w:rPr>
                <w:spacing w:val="-2"/>
                <w:sz w:val="16"/>
              </w:rPr>
              <w:t xml:space="preserve"> </w:t>
            </w:r>
            <w:r>
              <w:rPr>
                <w:spacing w:val="-2"/>
                <w:w w:val="95"/>
                <w:sz w:val="16"/>
              </w:rPr>
              <w:t>model</w:t>
            </w:r>
          </w:p>
        </w:tc>
      </w:tr>
    </w:tbl>
    <w:p w:rsidR="002C1123" w:rsidRDefault="002C1123">
      <w:pPr>
        <w:rPr>
          <w:sz w:val="16"/>
        </w:rPr>
        <w:sectPr w:rsidR="002C1123">
          <w:pgSz w:w="16840" w:h="11910" w:orient="landscape"/>
          <w:pgMar w:top="560" w:right="280" w:bottom="700" w:left="500" w:header="0" w:footer="517" w:gutter="0"/>
          <w:cols w:space="720"/>
        </w:sectPr>
      </w:pPr>
    </w:p>
    <w:p w:rsidR="002C1123" w:rsidRDefault="002C1123">
      <w:pPr>
        <w:pStyle w:val="BodyText"/>
        <w:rPr>
          <w:b/>
        </w:rPr>
      </w:pPr>
    </w:p>
    <w:p w:rsidR="002C1123" w:rsidRDefault="002C1123">
      <w:pPr>
        <w:sectPr w:rsidR="002C1123">
          <w:headerReference w:type="default" r:id="rId204"/>
          <w:footerReference w:type="default" r:id="rId205"/>
          <w:pgSz w:w="16840" w:h="11910" w:orient="landscape"/>
          <w:pgMar w:top="560" w:right="280" w:bottom="700" w:left="500" w:header="0" w:footer="517" w:gutter="0"/>
          <w:cols w:space="720"/>
        </w:sectPr>
      </w:pPr>
    </w:p>
    <w:p w:rsidR="002C1123" w:rsidRDefault="002060EF">
      <w:pPr>
        <w:pStyle w:val="Heading1"/>
      </w:pPr>
      <w:r>
        <w:pict>
          <v:rect id="docshape1947" o:spid="_x0000_s3145" style="position:absolute;left:0;text-align:left;margin-left:38.25pt;margin-top:80.8pt;width:502.7pt;height:422.35pt;z-index:-251468800;mso-position-horizontal-relative:page" fillcolor="#e1e0e1" stroked="f">
            <w10:wrap anchorx="page"/>
          </v:rect>
        </w:pict>
      </w:r>
      <w:bookmarkStart w:id="297" w:name="11.0_Energy_"/>
      <w:bookmarkStart w:id="298" w:name="11.1_Energy_snapshot"/>
      <w:bookmarkStart w:id="299" w:name="_bookmark213"/>
      <w:bookmarkStart w:id="300" w:name="_bookmark212"/>
      <w:bookmarkEnd w:id="297"/>
      <w:bookmarkEnd w:id="298"/>
      <w:bookmarkEnd w:id="299"/>
      <w:bookmarkEnd w:id="300"/>
      <w:r w:rsidR="00F22F94">
        <w:rPr>
          <w:color w:val="2E3092"/>
          <w:spacing w:val="-19"/>
          <w:w w:val="55"/>
        </w:rPr>
        <w:t xml:space="preserve">11.0 </w:t>
      </w:r>
      <w:r w:rsidR="00F22F94">
        <w:rPr>
          <w:color w:val="00AEEF"/>
          <w:spacing w:val="-2"/>
          <w:w w:val="60"/>
        </w:rPr>
        <w:t>Energy</w:t>
      </w:r>
    </w:p>
    <w:p w:rsidR="002C1123" w:rsidRDefault="00F22F94">
      <w:pPr>
        <w:pStyle w:val="Heading5"/>
        <w:spacing w:before="210"/>
        <w:ind w:left="492" w:firstLine="0"/>
      </w:pPr>
      <w:r>
        <w:rPr>
          <w:color w:val="00AEEF"/>
          <w:spacing w:val="-2"/>
        </w:rPr>
        <w:t>Summary</w:t>
      </w:r>
    </w:p>
    <w:p w:rsidR="002C1123" w:rsidRDefault="00F22F94">
      <w:pPr>
        <w:pStyle w:val="ListParagraph"/>
        <w:numPr>
          <w:ilvl w:val="0"/>
          <w:numId w:val="5"/>
        </w:numPr>
        <w:tabs>
          <w:tab w:val="left" w:pos="776"/>
        </w:tabs>
        <w:spacing w:before="122" w:line="249" w:lineRule="auto"/>
        <w:ind w:right="557"/>
        <w:rPr>
          <w:sz w:val="20"/>
        </w:rPr>
      </w:pPr>
      <w:r>
        <w:rPr>
          <w:w w:val="95"/>
          <w:sz w:val="20"/>
        </w:rPr>
        <w:t>Improving</w:t>
      </w:r>
      <w:r>
        <w:rPr>
          <w:spacing w:val="-7"/>
          <w:w w:val="95"/>
          <w:sz w:val="20"/>
        </w:rPr>
        <w:t xml:space="preserve"> </w:t>
      </w:r>
      <w:r>
        <w:rPr>
          <w:w w:val="95"/>
          <w:sz w:val="20"/>
        </w:rPr>
        <w:t>energy</w:t>
      </w:r>
      <w:r>
        <w:rPr>
          <w:spacing w:val="-7"/>
          <w:w w:val="95"/>
          <w:sz w:val="20"/>
        </w:rPr>
        <w:t xml:space="preserve"> </w:t>
      </w:r>
      <w:r>
        <w:rPr>
          <w:w w:val="95"/>
          <w:sz w:val="20"/>
        </w:rPr>
        <w:t>affordability</w:t>
      </w:r>
      <w:r>
        <w:rPr>
          <w:spacing w:val="-7"/>
          <w:w w:val="95"/>
          <w:sz w:val="20"/>
        </w:rPr>
        <w:t xml:space="preserve"> </w:t>
      </w:r>
      <w:r>
        <w:rPr>
          <w:w w:val="95"/>
          <w:sz w:val="20"/>
        </w:rPr>
        <w:t>and</w:t>
      </w:r>
      <w:r>
        <w:rPr>
          <w:spacing w:val="-7"/>
          <w:w w:val="95"/>
          <w:sz w:val="20"/>
        </w:rPr>
        <w:t xml:space="preserve"> </w:t>
      </w:r>
      <w:r>
        <w:rPr>
          <w:w w:val="95"/>
          <w:sz w:val="20"/>
        </w:rPr>
        <w:t>security</w:t>
      </w:r>
      <w:r>
        <w:rPr>
          <w:spacing w:val="-7"/>
          <w:w w:val="95"/>
          <w:sz w:val="20"/>
        </w:rPr>
        <w:t xml:space="preserve"> </w:t>
      </w:r>
      <w:r>
        <w:rPr>
          <w:w w:val="95"/>
          <w:sz w:val="20"/>
        </w:rPr>
        <w:t>will require</w:t>
      </w:r>
      <w:r>
        <w:rPr>
          <w:spacing w:val="-4"/>
          <w:w w:val="95"/>
          <w:sz w:val="20"/>
        </w:rPr>
        <w:t xml:space="preserve"> </w:t>
      </w:r>
      <w:r>
        <w:rPr>
          <w:w w:val="95"/>
          <w:sz w:val="20"/>
        </w:rPr>
        <w:t>significant</w:t>
      </w:r>
      <w:r>
        <w:rPr>
          <w:spacing w:val="-4"/>
          <w:w w:val="95"/>
          <w:sz w:val="20"/>
        </w:rPr>
        <w:t xml:space="preserve"> </w:t>
      </w:r>
      <w:r>
        <w:rPr>
          <w:w w:val="95"/>
          <w:sz w:val="20"/>
        </w:rPr>
        <w:t>reform</w:t>
      </w:r>
      <w:r>
        <w:rPr>
          <w:spacing w:val="-5"/>
          <w:w w:val="95"/>
          <w:sz w:val="20"/>
        </w:rPr>
        <w:t xml:space="preserve"> </w:t>
      </w:r>
      <w:r>
        <w:rPr>
          <w:w w:val="95"/>
          <w:sz w:val="20"/>
        </w:rPr>
        <w:t>of</w:t>
      </w:r>
      <w:r>
        <w:rPr>
          <w:spacing w:val="-4"/>
          <w:w w:val="95"/>
          <w:sz w:val="20"/>
        </w:rPr>
        <w:t xml:space="preserve"> </w:t>
      </w:r>
      <w:r>
        <w:rPr>
          <w:w w:val="95"/>
          <w:sz w:val="20"/>
        </w:rPr>
        <w:t>the</w:t>
      </w:r>
      <w:r>
        <w:rPr>
          <w:spacing w:val="-4"/>
          <w:w w:val="95"/>
          <w:sz w:val="20"/>
        </w:rPr>
        <w:t xml:space="preserve"> </w:t>
      </w:r>
      <w:r>
        <w:rPr>
          <w:w w:val="95"/>
          <w:sz w:val="20"/>
        </w:rPr>
        <w:t>energy</w:t>
      </w:r>
      <w:r>
        <w:rPr>
          <w:spacing w:val="-4"/>
          <w:w w:val="95"/>
          <w:sz w:val="20"/>
        </w:rPr>
        <w:t xml:space="preserve"> </w:t>
      </w:r>
      <w:r>
        <w:rPr>
          <w:w w:val="95"/>
          <w:sz w:val="20"/>
        </w:rPr>
        <w:t>sector.</w:t>
      </w:r>
    </w:p>
    <w:p w:rsidR="002C1123" w:rsidRDefault="00F22F94">
      <w:pPr>
        <w:pStyle w:val="ListParagraph"/>
        <w:numPr>
          <w:ilvl w:val="0"/>
          <w:numId w:val="5"/>
        </w:numPr>
        <w:tabs>
          <w:tab w:val="left" w:pos="776"/>
        </w:tabs>
        <w:spacing w:before="131" w:line="249" w:lineRule="auto"/>
        <w:ind w:right="283"/>
        <w:rPr>
          <w:sz w:val="20"/>
        </w:rPr>
      </w:pPr>
      <w:r>
        <w:rPr>
          <w:w w:val="95"/>
          <w:sz w:val="20"/>
        </w:rPr>
        <w:t>The</w:t>
      </w:r>
      <w:r>
        <w:rPr>
          <w:spacing w:val="-12"/>
          <w:w w:val="95"/>
          <w:sz w:val="20"/>
        </w:rPr>
        <w:t xml:space="preserve"> </w:t>
      </w:r>
      <w:r>
        <w:rPr>
          <w:w w:val="95"/>
          <w:sz w:val="20"/>
        </w:rPr>
        <w:t>NSW</w:t>
      </w:r>
      <w:r>
        <w:rPr>
          <w:spacing w:val="-11"/>
          <w:w w:val="95"/>
          <w:sz w:val="20"/>
        </w:rPr>
        <w:t xml:space="preserve"> </w:t>
      </w:r>
      <w:r>
        <w:rPr>
          <w:w w:val="95"/>
          <w:sz w:val="20"/>
        </w:rPr>
        <w:t>Government</w:t>
      </w:r>
      <w:r>
        <w:rPr>
          <w:spacing w:val="-11"/>
          <w:w w:val="95"/>
          <w:sz w:val="20"/>
        </w:rPr>
        <w:t xml:space="preserve"> </w:t>
      </w:r>
      <w:r>
        <w:rPr>
          <w:w w:val="95"/>
          <w:sz w:val="20"/>
        </w:rPr>
        <w:t>is</w:t>
      </w:r>
      <w:r>
        <w:rPr>
          <w:spacing w:val="-11"/>
          <w:w w:val="95"/>
          <w:sz w:val="20"/>
        </w:rPr>
        <w:t xml:space="preserve"> </w:t>
      </w:r>
      <w:r>
        <w:rPr>
          <w:w w:val="95"/>
          <w:sz w:val="20"/>
        </w:rPr>
        <w:t>delivering</w:t>
      </w:r>
      <w:r>
        <w:rPr>
          <w:spacing w:val="-11"/>
          <w:w w:val="95"/>
          <w:sz w:val="20"/>
        </w:rPr>
        <w:t xml:space="preserve"> </w:t>
      </w:r>
      <w:r>
        <w:rPr>
          <w:w w:val="95"/>
          <w:sz w:val="20"/>
        </w:rPr>
        <w:t>the</w:t>
      </w:r>
      <w:r>
        <w:rPr>
          <w:spacing w:val="-11"/>
          <w:w w:val="95"/>
          <w:sz w:val="20"/>
        </w:rPr>
        <w:t xml:space="preserve"> </w:t>
      </w:r>
      <w:r>
        <w:rPr>
          <w:w w:val="95"/>
          <w:sz w:val="20"/>
        </w:rPr>
        <w:t>sale</w:t>
      </w:r>
      <w:r>
        <w:rPr>
          <w:spacing w:val="-11"/>
          <w:w w:val="95"/>
          <w:sz w:val="20"/>
        </w:rPr>
        <w:t xml:space="preserve"> </w:t>
      </w:r>
      <w:r>
        <w:rPr>
          <w:w w:val="95"/>
          <w:sz w:val="20"/>
        </w:rPr>
        <w:t>of</w:t>
      </w:r>
      <w:r>
        <w:rPr>
          <w:spacing w:val="-11"/>
          <w:w w:val="95"/>
          <w:sz w:val="20"/>
        </w:rPr>
        <w:t xml:space="preserve"> </w:t>
      </w:r>
      <w:r>
        <w:rPr>
          <w:w w:val="95"/>
          <w:sz w:val="20"/>
        </w:rPr>
        <w:t xml:space="preserve">the </w:t>
      </w:r>
      <w:r>
        <w:rPr>
          <w:sz w:val="20"/>
        </w:rPr>
        <w:t>generation</w:t>
      </w:r>
      <w:r>
        <w:rPr>
          <w:spacing w:val="-14"/>
          <w:sz w:val="20"/>
        </w:rPr>
        <w:t xml:space="preserve"> </w:t>
      </w:r>
      <w:r>
        <w:rPr>
          <w:sz w:val="20"/>
        </w:rPr>
        <w:t>businesses</w:t>
      </w:r>
      <w:r>
        <w:rPr>
          <w:spacing w:val="-14"/>
          <w:sz w:val="20"/>
        </w:rPr>
        <w:t xml:space="preserve"> </w:t>
      </w:r>
      <w:r>
        <w:rPr>
          <w:sz w:val="20"/>
        </w:rPr>
        <w:t>and</w:t>
      </w:r>
      <w:r>
        <w:rPr>
          <w:spacing w:val="-14"/>
          <w:sz w:val="20"/>
        </w:rPr>
        <w:t xml:space="preserve"> </w:t>
      </w:r>
      <w:r>
        <w:rPr>
          <w:sz w:val="20"/>
        </w:rPr>
        <w:t>has</w:t>
      </w:r>
      <w:r>
        <w:rPr>
          <w:spacing w:val="-14"/>
          <w:sz w:val="20"/>
        </w:rPr>
        <w:t xml:space="preserve"> </w:t>
      </w:r>
      <w:r>
        <w:rPr>
          <w:sz w:val="20"/>
        </w:rPr>
        <w:t>rationalised</w:t>
      </w:r>
      <w:r>
        <w:rPr>
          <w:spacing w:val="-14"/>
          <w:sz w:val="20"/>
        </w:rPr>
        <w:t xml:space="preserve"> </w:t>
      </w:r>
      <w:r>
        <w:rPr>
          <w:sz w:val="20"/>
        </w:rPr>
        <w:t xml:space="preserve">the </w:t>
      </w:r>
      <w:r>
        <w:rPr>
          <w:w w:val="95"/>
          <w:sz w:val="20"/>
        </w:rPr>
        <w:t xml:space="preserve">network businesses, creating Networks NSW, to </w:t>
      </w:r>
      <w:r>
        <w:rPr>
          <w:sz w:val="20"/>
        </w:rPr>
        <w:t>achieve</w:t>
      </w:r>
      <w:r>
        <w:rPr>
          <w:spacing w:val="-11"/>
          <w:sz w:val="20"/>
        </w:rPr>
        <w:t xml:space="preserve"> </w:t>
      </w:r>
      <w:r>
        <w:rPr>
          <w:sz w:val="20"/>
        </w:rPr>
        <w:t>efficiencies.</w:t>
      </w:r>
    </w:p>
    <w:p w:rsidR="002C1123" w:rsidRDefault="00F22F94">
      <w:pPr>
        <w:pStyle w:val="ListParagraph"/>
        <w:numPr>
          <w:ilvl w:val="0"/>
          <w:numId w:val="5"/>
        </w:numPr>
        <w:tabs>
          <w:tab w:val="left" w:pos="776"/>
        </w:tabs>
        <w:spacing w:before="132" w:line="249" w:lineRule="auto"/>
        <w:ind w:right="354"/>
        <w:rPr>
          <w:sz w:val="20"/>
        </w:rPr>
      </w:pPr>
      <w:r>
        <w:rPr>
          <w:w w:val="95"/>
          <w:sz w:val="20"/>
        </w:rPr>
        <w:t>Draft</w:t>
      </w:r>
      <w:r>
        <w:rPr>
          <w:spacing w:val="-2"/>
          <w:w w:val="95"/>
          <w:sz w:val="20"/>
        </w:rPr>
        <w:t xml:space="preserve"> </w:t>
      </w:r>
      <w:r>
        <w:rPr>
          <w:w w:val="95"/>
          <w:sz w:val="20"/>
        </w:rPr>
        <w:t>changes</w:t>
      </w:r>
      <w:r>
        <w:rPr>
          <w:spacing w:val="-2"/>
          <w:w w:val="95"/>
          <w:sz w:val="20"/>
        </w:rPr>
        <w:t xml:space="preserve"> </w:t>
      </w:r>
      <w:r>
        <w:rPr>
          <w:w w:val="95"/>
          <w:sz w:val="20"/>
        </w:rPr>
        <w:t>to</w:t>
      </w:r>
      <w:r>
        <w:rPr>
          <w:spacing w:val="-2"/>
          <w:w w:val="95"/>
          <w:sz w:val="20"/>
        </w:rPr>
        <w:t xml:space="preserve"> </w:t>
      </w:r>
      <w:r>
        <w:rPr>
          <w:w w:val="95"/>
          <w:sz w:val="20"/>
        </w:rPr>
        <w:t>the</w:t>
      </w:r>
      <w:r>
        <w:rPr>
          <w:spacing w:val="-2"/>
          <w:w w:val="95"/>
          <w:sz w:val="20"/>
        </w:rPr>
        <w:t xml:space="preserve"> </w:t>
      </w:r>
      <w:r>
        <w:rPr>
          <w:w w:val="95"/>
          <w:sz w:val="20"/>
        </w:rPr>
        <w:t>regulatory</w:t>
      </w:r>
      <w:r>
        <w:rPr>
          <w:spacing w:val="-2"/>
          <w:w w:val="95"/>
          <w:sz w:val="20"/>
        </w:rPr>
        <w:t xml:space="preserve"> </w:t>
      </w:r>
      <w:r>
        <w:rPr>
          <w:w w:val="95"/>
          <w:sz w:val="20"/>
        </w:rPr>
        <w:t>process,</w:t>
      </w:r>
      <w:r>
        <w:rPr>
          <w:spacing w:val="-2"/>
          <w:w w:val="95"/>
          <w:sz w:val="20"/>
        </w:rPr>
        <w:t xml:space="preserve"> </w:t>
      </w:r>
      <w:r>
        <w:rPr>
          <w:w w:val="95"/>
          <w:sz w:val="20"/>
        </w:rPr>
        <w:t>rates</w:t>
      </w:r>
      <w:r>
        <w:rPr>
          <w:spacing w:val="-2"/>
          <w:w w:val="95"/>
          <w:sz w:val="20"/>
        </w:rPr>
        <w:t xml:space="preserve"> </w:t>
      </w:r>
      <w:r>
        <w:rPr>
          <w:w w:val="95"/>
          <w:sz w:val="20"/>
        </w:rPr>
        <w:t>of return</w:t>
      </w:r>
      <w:r>
        <w:rPr>
          <w:spacing w:val="-7"/>
          <w:w w:val="95"/>
          <w:sz w:val="20"/>
        </w:rPr>
        <w:t xml:space="preserve"> </w:t>
      </w:r>
      <w:r>
        <w:rPr>
          <w:w w:val="95"/>
          <w:sz w:val="20"/>
        </w:rPr>
        <w:t>and</w:t>
      </w:r>
      <w:r>
        <w:rPr>
          <w:spacing w:val="-7"/>
          <w:w w:val="95"/>
          <w:sz w:val="20"/>
        </w:rPr>
        <w:t xml:space="preserve"> </w:t>
      </w:r>
      <w:r>
        <w:rPr>
          <w:w w:val="95"/>
          <w:sz w:val="20"/>
        </w:rPr>
        <w:t>reliability</w:t>
      </w:r>
      <w:r>
        <w:rPr>
          <w:spacing w:val="-7"/>
          <w:w w:val="95"/>
          <w:sz w:val="20"/>
        </w:rPr>
        <w:t xml:space="preserve"> </w:t>
      </w:r>
      <w:r>
        <w:rPr>
          <w:w w:val="95"/>
          <w:sz w:val="20"/>
        </w:rPr>
        <w:t>standards</w:t>
      </w:r>
      <w:r>
        <w:rPr>
          <w:spacing w:val="-7"/>
          <w:w w:val="95"/>
          <w:sz w:val="20"/>
        </w:rPr>
        <w:t xml:space="preserve"> </w:t>
      </w:r>
      <w:r>
        <w:rPr>
          <w:w w:val="95"/>
          <w:sz w:val="20"/>
        </w:rPr>
        <w:t>are</w:t>
      </w:r>
      <w:r>
        <w:rPr>
          <w:spacing w:val="-7"/>
          <w:w w:val="95"/>
          <w:sz w:val="20"/>
        </w:rPr>
        <w:t xml:space="preserve"> </w:t>
      </w:r>
      <w:r>
        <w:rPr>
          <w:w w:val="95"/>
          <w:sz w:val="20"/>
        </w:rPr>
        <w:t>also</w:t>
      </w:r>
      <w:r>
        <w:rPr>
          <w:spacing w:val="-7"/>
          <w:w w:val="95"/>
          <w:sz w:val="20"/>
        </w:rPr>
        <w:t xml:space="preserve"> </w:t>
      </w:r>
      <w:r>
        <w:rPr>
          <w:w w:val="95"/>
          <w:sz w:val="20"/>
        </w:rPr>
        <w:t xml:space="preserve">expected </w:t>
      </w:r>
      <w:r>
        <w:rPr>
          <w:sz w:val="20"/>
        </w:rPr>
        <w:t>to</w:t>
      </w:r>
      <w:r>
        <w:rPr>
          <w:spacing w:val="-6"/>
          <w:sz w:val="20"/>
        </w:rPr>
        <w:t xml:space="preserve"> </w:t>
      </w:r>
      <w:r>
        <w:rPr>
          <w:sz w:val="20"/>
        </w:rPr>
        <w:t>better</w:t>
      </w:r>
      <w:r>
        <w:rPr>
          <w:spacing w:val="-6"/>
          <w:sz w:val="20"/>
        </w:rPr>
        <w:t xml:space="preserve"> </w:t>
      </w:r>
      <w:r>
        <w:rPr>
          <w:sz w:val="20"/>
        </w:rPr>
        <w:t>balance</w:t>
      </w:r>
      <w:r>
        <w:rPr>
          <w:spacing w:val="-6"/>
          <w:sz w:val="20"/>
        </w:rPr>
        <w:t xml:space="preserve"> </w:t>
      </w:r>
      <w:r>
        <w:rPr>
          <w:sz w:val="20"/>
        </w:rPr>
        <w:t>the</w:t>
      </w:r>
      <w:r>
        <w:rPr>
          <w:spacing w:val="-6"/>
          <w:sz w:val="20"/>
        </w:rPr>
        <w:t xml:space="preserve"> </w:t>
      </w:r>
      <w:r>
        <w:rPr>
          <w:sz w:val="20"/>
        </w:rPr>
        <w:t>interests</w:t>
      </w:r>
      <w:r>
        <w:rPr>
          <w:spacing w:val="-6"/>
          <w:sz w:val="20"/>
        </w:rPr>
        <w:t xml:space="preserve"> </w:t>
      </w:r>
      <w:r>
        <w:rPr>
          <w:sz w:val="20"/>
        </w:rPr>
        <w:t>of</w:t>
      </w:r>
      <w:r>
        <w:rPr>
          <w:spacing w:val="-6"/>
          <w:sz w:val="20"/>
        </w:rPr>
        <w:t xml:space="preserve"> </w:t>
      </w:r>
      <w:r>
        <w:rPr>
          <w:sz w:val="20"/>
        </w:rPr>
        <w:t>the</w:t>
      </w:r>
      <w:r>
        <w:rPr>
          <w:spacing w:val="-6"/>
          <w:sz w:val="20"/>
        </w:rPr>
        <w:t xml:space="preserve"> </w:t>
      </w:r>
      <w:r>
        <w:rPr>
          <w:sz w:val="20"/>
        </w:rPr>
        <w:t>network businesses and the electricity consumers.</w:t>
      </w:r>
    </w:p>
    <w:p w:rsidR="002C1123" w:rsidRDefault="00F22F94">
      <w:pPr>
        <w:pStyle w:val="ListParagraph"/>
        <w:numPr>
          <w:ilvl w:val="0"/>
          <w:numId w:val="5"/>
        </w:numPr>
        <w:tabs>
          <w:tab w:val="left" w:pos="776"/>
        </w:tabs>
        <w:spacing w:before="132" w:line="249" w:lineRule="auto"/>
        <w:rPr>
          <w:sz w:val="20"/>
        </w:rPr>
      </w:pPr>
      <w:r>
        <w:rPr>
          <w:w w:val="95"/>
          <w:sz w:val="20"/>
        </w:rPr>
        <w:t>Infrastructure</w:t>
      </w:r>
      <w:r>
        <w:rPr>
          <w:spacing w:val="-10"/>
          <w:w w:val="95"/>
          <w:sz w:val="20"/>
        </w:rPr>
        <w:t xml:space="preserve"> </w:t>
      </w:r>
      <w:r>
        <w:rPr>
          <w:w w:val="95"/>
          <w:sz w:val="20"/>
        </w:rPr>
        <w:t>NSW</w:t>
      </w:r>
      <w:r>
        <w:rPr>
          <w:spacing w:val="-10"/>
          <w:w w:val="95"/>
          <w:sz w:val="20"/>
        </w:rPr>
        <w:t xml:space="preserve"> </w:t>
      </w:r>
      <w:r>
        <w:rPr>
          <w:w w:val="95"/>
          <w:sz w:val="20"/>
        </w:rPr>
        <w:t>will</w:t>
      </w:r>
      <w:r>
        <w:rPr>
          <w:spacing w:val="-10"/>
          <w:w w:val="95"/>
          <w:sz w:val="20"/>
        </w:rPr>
        <w:t xml:space="preserve"> </w:t>
      </w:r>
      <w:r>
        <w:rPr>
          <w:w w:val="95"/>
          <w:sz w:val="20"/>
        </w:rPr>
        <w:t>review</w:t>
      </w:r>
      <w:r>
        <w:rPr>
          <w:spacing w:val="-10"/>
          <w:w w:val="95"/>
          <w:sz w:val="20"/>
        </w:rPr>
        <w:t xml:space="preserve"> </w:t>
      </w:r>
      <w:r>
        <w:rPr>
          <w:w w:val="95"/>
          <w:sz w:val="20"/>
        </w:rPr>
        <w:t>the</w:t>
      </w:r>
      <w:r>
        <w:rPr>
          <w:spacing w:val="-10"/>
          <w:w w:val="95"/>
          <w:sz w:val="20"/>
        </w:rPr>
        <w:t xml:space="preserve"> </w:t>
      </w:r>
      <w:r>
        <w:rPr>
          <w:w w:val="95"/>
          <w:sz w:val="20"/>
        </w:rPr>
        <w:t>capital</w:t>
      </w:r>
      <w:r>
        <w:rPr>
          <w:spacing w:val="-10"/>
          <w:w w:val="95"/>
          <w:sz w:val="20"/>
        </w:rPr>
        <w:t xml:space="preserve"> </w:t>
      </w:r>
      <w:r>
        <w:rPr>
          <w:w w:val="95"/>
          <w:sz w:val="20"/>
        </w:rPr>
        <w:t>plans</w:t>
      </w:r>
      <w:r>
        <w:rPr>
          <w:spacing w:val="-10"/>
          <w:w w:val="95"/>
          <w:sz w:val="20"/>
        </w:rPr>
        <w:t xml:space="preserve"> </w:t>
      </w:r>
      <w:r>
        <w:rPr>
          <w:w w:val="95"/>
          <w:sz w:val="20"/>
        </w:rPr>
        <w:t>of</w:t>
      </w:r>
      <w:r>
        <w:rPr>
          <w:spacing w:val="-10"/>
          <w:w w:val="95"/>
          <w:sz w:val="20"/>
        </w:rPr>
        <w:t xml:space="preserve"> </w:t>
      </w:r>
      <w:r>
        <w:rPr>
          <w:w w:val="95"/>
          <w:sz w:val="20"/>
        </w:rPr>
        <w:t>the amalgamated distribution business, Networks NSW.</w:t>
      </w:r>
    </w:p>
    <w:p w:rsidR="002C1123" w:rsidRDefault="00F22F94">
      <w:pPr>
        <w:pStyle w:val="ListParagraph"/>
        <w:numPr>
          <w:ilvl w:val="0"/>
          <w:numId w:val="5"/>
        </w:numPr>
        <w:tabs>
          <w:tab w:val="left" w:pos="776"/>
        </w:tabs>
        <w:spacing w:before="130" w:line="249" w:lineRule="auto"/>
        <w:ind w:right="411"/>
        <w:rPr>
          <w:sz w:val="20"/>
        </w:rPr>
      </w:pPr>
      <w:r>
        <w:rPr>
          <w:sz w:val="20"/>
        </w:rPr>
        <w:t>Infrastructure</w:t>
      </w:r>
      <w:r>
        <w:rPr>
          <w:spacing w:val="-3"/>
          <w:sz w:val="20"/>
        </w:rPr>
        <w:t xml:space="preserve"> </w:t>
      </w:r>
      <w:r>
        <w:rPr>
          <w:sz w:val="20"/>
        </w:rPr>
        <w:t>NSW</w:t>
      </w:r>
      <w:r>
        <w:rPr>
          <w:spacing w:val="-3"/>
          <w:sz w:val="20"/>
        </w:rPr>
        <w:t xml:space="preserve"> </w:t>
      </w:r>
      <w:r>
        <w:rPr>
          <w:sz w:val="20"/>
        </w:rPr>
        <w:t>supports</w:t>
      </w:r>
      <w:r>
        <w:rPr>
          <w:spacing w:val="-3"/>
          <w:sz w:val="20"/>
        </w:rPr>
        <w:t xml:space="preserve"> </w:t>
      </w:r>
      <w:r>
        <w:rPr>
          <w:sz w:val="20"/>
        </w:rPr>
        <w:t>the</w:t>
      </w:r>
      <w:r>
        <w:rPr>
          <w:spacing w:val="-3"/>
          <w:sz w:val="20"/>
        </w:rPr>
        <w:t xml:space="preserve"> </w:t>
      </w:r>
      <w:r>
        <w:rPr>
          <w:sz w:val="20"/>
        </w:rPr>
        <w:t xml:space="preserve">Commission </w:t>
      </w:r>
      <w:r>
        <w:rPr>
          <w:w w:val="95"/>
          <w:sz w:val="20"/>
        </w:rPr>
        <w:t xml:space="preserve">of Audits recommendation that the Government </w:t>
      </w:r>
      <w:r>
        <w:rPr>
          <w:sz w:val="20"/>
        </w:rPr>
        <w:t>undertakes</w:t>
      </w:r>
      <w:r>
        <w:rPr>
          <w:spacing w:val="-1"/>
          <w:sz w:val="20"/>
        </w:rPr>
        <w:t xml:space="preserve"> </w:t>
      </w:r>
      <w:r>
        <w:rPr>
          <w:sz w:val="20"/>
        </w:rPr>
        <w:t>a</w:t>
      </w:r>
      <w:r>
        <w:rPr>
          <w:spacing w:val="-1"/>
          <w:sz w:val="20"/>
        </w:rPr>
        <w:t xml:space="preserve"> </w:t>
      </w:r>
      <w:r>
        <w:rPr>
          <w:sz w:val="20"/>
        </w:rPr>
        <w:t>study</w:t>
      </w:r>
      <w:r>
        <w:rPr>
          <w:spacing w:val="-1"/>
          <w:sz w:val="20"/>
        </w:rPr>
        <w:t xml:space="preserve"> </w:t>
      </w:r>
      <w:r>
        <w:rPr>
          <w:sz w:val="20"/>
        </w:rPr>
        <w:t>that</w:t>
      </w:r>
      <w:r>
        <w:rPr>
          <w:spacing w:val="-1"/>
          <w:sz w:val="20"/>
        </w:rPr>
        <w:t xml:space="preserve"> </w:t>
      </w:r>
      <w:r>
        <w:rPr>
          <w:sz w:val="20"/>
        </w:rPr>
        <w:t>considers</w:t>
      </w:r>
      <w:r>
        <w:rPr>
          <w:spacing w:val="-1"/>
          <w:sz w:val="20"/>
        </w:rPr>
        <w:t xml:space="preserve"> </w:t>
      </w:r>
      <w:r>
        <w:rPr>
          <w:sz w:val="20"/>
        </w:rPr>
        <w:t>the</w:t>
      </w:r>
      <w:r>
        <w:rPr>
          <w:spacing w:val="-1"/>
          <w:sz w:val="20"/>
        </w:rPr>
        <w:t xml:space="preserve"> </w:t>
      </w:r>
      <w:r>
        <w:rPr>
          <w:sz w:val="20"/>
        </w:rPr>
        <w:t xml:space="preserve">scope </w:t>
      </w:r>
      <w:r>
        <w:rPr>
          <w:w w:val="95"/>
          <w:sz w:val="20"/>
        </w:rPr>
        <w:t xml:space="preserve">and implementation strategy for privatisation of </w:t>
      </w:r>
      <w:r>
        <w:rPr>
          <w:sz w:val="20"/>
        </w:rPr>
        <w:t>distribution</w:t>
      </w:r>
      <w:r>
        <w:rPr>
          <w:spacing w:val="-11"/>
          <w:sz w:val="20"/>
        </w:rPr>
        <w:t xml:space="preserve"> </w:t>
      </w:r>
      <w:r>
        <w:rPr>
          <w:sz w:val="20"/>
        </w:rPr>
        <w:t>networks.</w:t>
      </w:r>
    </w:p>
    <w:p w:rsidR="002C1123" w:rsidRDefault="00F22F94">
      <w:pPr>
        <w:pStyle w:val="ListParagraph"/>
        <w:numPr>
          <w:ilvl w:val="0"/>
          <w:numId w:val="5"/>
        </w:numPr>
        <w:tabs>
          <w:tab w:val="left" w:pos="776"/>
        </w:tabs>
        <w:spacing w:before="133" w:line="249" w:lineRule="auto"/>
        <w:ind w:right="509"/>
        <w:rPr>
          <w:sz w:val="20"/>
        </w:rPr>
      </w:pPr>
      <w:r>
        <w:rPr>
          <w:w w:val="95"/>
          <w:sz w:val="20"/>
        </w:rPr>
        <w:t>Infrastructure</w:t>
      </w:r>
      <w:r>
        <w:rPr>
          <w:spacing w:val="-7"/>
          <w:w w:val="95"/>
          <w:sz w:val="20"/>
        </w:rPr>
        <w:t xml:space="preserve"> </w:t>
      </w:r>
      <w:r>
        <w:rPr>
          <w:w w:val="95"/>
          <w:sz w:val="20"/>
        </w:rPr>
        <w:t>NSW</w:t>
      </w:r>
      <w:r>
        <w:rPr>
          <w:spacing w:val="-7"/>
          <w:w w:val="95"/>
          <w:sz w:val="20"/>
        </w:rPr>
        <w:t xml:space="preserve"> </w:t>
      </w:r>
      <w:r>
        <w:rPr>
          <w:w w:val="95"/>
          <w:sz w:val="20"/>
        </w:rPr>
        <w:t>supports</w:t>
      </w:r>
      <w:r>
        <w:rPr>
          <w:spacing w:val="-7"/>
          <w:w w:val="95"/>
          <w:sz w:val="20"/>
        </w:rPr>
        <w:t xml:space="preserve"> </w:t>
      </w:r>
      <w:r>
        <w:rPr>
          <w:w w:val="95"/>
          <w:sz w:val="20"/>
        </w:rPr>
        <w:t>later</w:t>
      </w:r>
      <w:r>
        <w:rPr>
          <w:spacing w:val="-7"/>
          <w:w w:val="95"/>
          <w:sz w:val="20"/>
        </w:rPr>
        <w:t xml:space="preserve"> </w:t>
      </w:r>
      <w:r>
        <w:rPr>
          <w:w w:val="95"/>
          <w:sz w:val="20"/>
        </w:rPr>
        <w:t xml:space="preserve">investigation </w:t>
      </w:r>
      <w:r>
        <w:rPr>
          <w:spacing w:val="-2"/>
          <w:sz w:val="20"/>
        </w:rPr>
        <w:t>of</w:t>
      </w:r>
      <w:r>
        <w:rPr>
          <w:spacing w:val="-8"/>
          <w:sz w:val="20"/>
        </w:rPr>
        <w:t xml:space="preserve"> </w:t>
      </w:r>
      <w:r>
        <w:rPr>
          <w:spacing w:val="-2"/>
          <w:sz w:val="20"/>
        </w:rPr>
        <w:t>options</w:t>
      </w:r>
      <w:r>
        <w:rPr>
          <w:spacing w:val="-8"/>
          <w:sz w:val="20"/>
        </w:rPr>
        <w:t xml:space="preserve"> </w:t>
      </w:r>
      <w:r>
        <w:rPr>
          <w:spacing w:val="-2"/>
          <w:sz w:val="20"/>
        </w:rPr>
        <w:t>for</w:t>
      </w:r>
      <w:r>
        <w:rPr>
          <w:spacing w:val="-8"/>
          <w:sz w:val="20"/>
        </w:rPr>
        <w:t xml:space="preserve"> </w:t>
      </w:r>
      <w:r>
        <w:rPr>
          <w:spacing w:val="-2"/>
          <w:sz w:val="20"/>
        </w:rPr>
        <w:t>the</w:t>
      </w:r>
      <w:r>
        <w:rPr>
          <w:spacing w:val="-8"/>
          <w:sz w:val="20"/>
        </w:rPr>
        <w:t xml:space="preserve"> </w:t>
      </w:r>
      <w:r>
        <w:rPr>
          <w:spacing w:val="-2"/>
          <w:sz w:val="20"/>
        </w:rPr>
        <w:t>Government’s</w:t>
      </w:r>
      <w:r>
        <w:rPr>
          <w:spacing w:val="-8"/>
          <w:sz w:val="20"/>
        </w:rPr>
        <w:t xml:space="preserve"> </w:t>
      </w:r>
      <w:r>
        <w:rPr>
          <w:spacing w:val="-2"/>
          <w:sz w:val="20"/>
        </w:rPr>
        <w:t>investment</w:t>
      </w:r>
      <w:r>
        <w:rPr>
          <w:spacing w:val="-8"/>
          <w:sz w:val="20"/>
        </w:rPr>
        <w:t xml:space="preserve"> </w:t>
      </w:r>
      <w:r>
        <w:rPr>
          <w:spacing w:val="-2"/>
          <w:sz w:val="20"/>
        </w:rPr>
        <w:t xml:space="preserve">in </w:t>
      </w:r>
      <w:r>
        <w:rPr>
          <w:sz w:val="20"/>
        </w:rPr>
        <w:t>Snowy Hydro Limited.</w:t>
      </w:r>
    </w:p>
    <w:p w:rsidR="002C1123" w:rsidRDefault="00F22F94">
      <w:pPr>
        <w:rPr>
          <w:sz w:val="24"/>
        </w:rPr>
      </w:pPr>
      <w:r>
        <w:br w:type="column"/>
      </w: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spacing w:before="6"/>
        <w:rPr>
          <w:sz w:val="25"/>
        </w:rPr>
      </w:pPr>
    </w:p>
    <w:p w:rsidR="002C1123" w:rsidRDefault="00F22F94">
      <w:pPr>
        <w:pStyle w:val="ListParagraph"/>
        <w:numPr>
          <w:ilvl w:val="0"/>
          <w:numId w:val="64"/>
        </w:numPr>
        <w:tabs>
          <w:tab w:val="left" w:pos="537"/>
        </w:tabs>
        <w:spacing w:line="249" w:lineRule="auto"/>
        <w:ind w:right="128"/>
        <w:rPr>
          <w:sz w:val="20"/>
        </w:rPr>
      </w:pPr>
      <w:r>
        <w:rPr>
          <w:sz w:val="20"/>
        </w:rPr>
        <w:t>The</w:t>
      </w:r>
      <w:r>
        <w:rPr>
          <w:spacing w:val="-13"/>
          <w:sz w:val="20"/>
        </w:rPr>
        <w:t xml:space="preserve"> </w:t>
      </w:r>
      <w:r>
        <w:rPr>
          <w:sz w:val="20"/>
        </w:rPr>
        <w:t>competitiveness</w:t>
      </w:r>
      <w:r>
        <w:rPr>
          <w:spacing w:val="-13"/>
          <w:sz w:val="20"/>
        </w:rPr>
        <w:t xml:space="preserve"> </w:t>
      </w:r>
      <w:r>
        <w:rPr>
          <w:sz w:val="20"/>
        </w:rPr>
        <w:t>of</w:t>
      </w:r>
      <w:r>
        <w:rPr>
          <w:spacing w:val="-13"/>
          <w:sz w:val="20"/>
        </w:rPr>
        <w:t xml:space="preserve"> </w:t>
      </w:r>
      <w:r>
        <w:rPr>
          <w:sz w:val="20"/>
        </w:rPr>
        <w:t>the</w:t>
      </w:r>
      <w:r>
        <w:rPr>
          <w:spacing w:val="-13"/>
          <w:sz w:val="20"/>
        </w:rPr>
        <w:t xml:space="preserve"> </w:t>
      </w:r>
      <w:r>
        <w:rPr>
          <w:sz w:val="20"/>
        </w:rPr>
        <w:t>national</w:t>
      </w:r>
      <w:r>
        <w:rPr>
          <w:spacing w:val="-13"/>
          <w:sz w:val="20"/>
        </w:rPr>
        <w:t xml:space="preserve"> </w:t>
      </w:r>
      <w:r>
        <w:rPr>
          <w:sz w:val="20"/>
        </w:rPr>
        <w:t>wholesale electricity</w:t>
      </w:r>
      <w:r>
        <w:rPr>
          <w:spacing w:val="-4"/>
          <w:sz w:val="20"/>
        </w:rPr>
        <w:t xml:space="preserve"> </w:t>
      </w:r>
      <w:r>
        <w:rPr>
          <w:sz w:val="20"/>
        </w:rPr>
        <w:t>market</w:t>
      </w:r>
      <w:r>
        <w:rPr>
          <w:spacing w:val="-4"/>
          <w:sz w:val="20"/>
        </w:rPr>
        <w:t xml:space="preserve"> </w:t>
      </w:r>
      <w:r>
        <w:rPr>
          <w:sz w:val="20"/>
        </w:rPr>
        <w:t>works</w:t>
      </w:r>
      <w:r>
        <w:rPr>
          <w:spacing w:val="-4"/>
          <w:sz w:val="20"/>
        </w:rPr>
        <w:t xml:space="preserve"> </w:t>
      </w:r>
      <w:r>
        <w:rPr>
          <w:sz w:val="20"/>
        </w:rPr>
        <w:t>best</w:t>
      </w:r>
      <w:r>
        <w:rPr>
          <w:spacing w:val="-4"/>
          <w:sz w:val="20"/>
        </w:rPr>
        <w:t xml:space="preserve"> </w:t>
      </w:r>
      <w:r>
        <w:rPr>
          <w:sz w:val="20"/>
        </w:rPr>
        <w:t>when</w:t>
      </w:r>
      <w:r>
        <w:rPr>
          <w:spacing w:val="-4"/>
          <w:sz w:val="20"/>
        </w:rPr>
        <w:t xml:space="preserve"> </w:t>
      </w:r>
      <w:r>
        <w:rPr>
          <w:sz w:val="20"/>
        </w:rPr>
        <w:t>there</w:t>
      </w:r>
      <w:r>
        <w:rPr>
          <w:spacing w:val="-4"/>
          <w:sz w:val="20"/>
        </w:rPr>
        <w:t xml:space="preserve"> </w:t>
      </w:r>
      <w:r>
        <w:rPr>
          <w:sz w:val="20"/>
        </w:rPr>
        <w:t xml:space="preserve">is </w:t>
      </w:r>
      <w:r>
        <w:rPr>
          <w:w w:val="95"/>
          <w:sz w:val="20"/>
        </w:rPr>
        <w:t xml:space="preserve">enough transmission capacity between the states. </w:t>
      </w:r>
      <w:r>
        <w:rPr>
          <w:sz w:val="20"/>
        </w:rPr>
        <w:t>Infrastructure NSW recommends:</w:t>
      </w:r>
    </w:p>
    <w:p w:rsidR="002C1123" w:rsidRDefault="00F22F94">
      <w:pPr>
        <w:pStyle w:val="ListParagraph"/>
        <w:numPr>
          <w:ilvl w:val="1"/>
          <w:numId w:val="64"/>
        </w:numPr>
        <w:tabs>
          <w:tab w:val="left" w:pos="820"/>
        </w:tabs>
        <w:spacing w:before="144" w:line="249" w:lineRule="auto"/>
        <w:ind w:right="190"/>
        <w:rPr>
          <w:sz w:val="20"/>
        </w:rPr>
      </w:pPr>
      <w:r>
        <w:rPr>
          <w:w w:val="95"/>
          <w:sz w:val="20"/>
        </w:rPr>
        <w:t xml:space="preserve">projects to increase capacity between NSW to </w:t>
      </w:r>
      <w:r>
        <w:rPr>
          <w:sz w:val="20"/>
        </w:rPr>
        <w:t>Queensland</w:t>
      </w:r>
      <w:r>
        <w:rPr>
          <w:spacing w:val="-5"/>
          <w:sz w:val="20"/>
        </w:rPr>
        <w:t xml:space="preserve"> </w:t>
      </w:r>
      <w:r>
        <w:rPr>
          <w:sz w:val="20"/>
        </w:rPr>
        <w:t>and</w:t>
      </w:r>
      <w:r>
        <w:rPr>
          <w:spacing w:val="-5"/>
          <w:sz w:val="20"/>
        </w:rPr>
        <w:t xml:space="preserve"> </w:t>
      </w:r>
      <w:r>
        <w:rPr>
          <w:sz w:val="20"/>
        </w:rPr>
        <w:t>NSW</w:t>
      </w:r>
      <w:r>
        <w:rPr>
          <w:spacing w:val="-5"/>
          <w:sz w:val="20"/>
        </w:rPr>
        <w:t xml:space="preserve"> </w:t>
      </w:r>
      <w:r>
        <w:rPr>
          <w:sz w:val="20"/>
        </w:rPr>
        <w:t>to</w:t>
      </w:r>
      <w:r>
        <w:rPr>
          <w:spacing w:val="-5"/>
          <w:sz w:val="20"/>
        </w:rPr>
        <w:t xml:space="preserve"> </w:t>
      </w:r>
      <w:r>
        <w:rPr>
          <w:sz w:val="20"/>
        </w:rPr>
        <w:t>Victoria;</w:t>
      </w:r>
      <w:r>
        <w:rPr>
          <w:spacing w:val="-5"/>
          <w:sz w:val="20"/>
        </w:rPr>
        <w:t xml:space="preserve"> </w:t>
      </w:r>
      <w:r>
        <w:rPr>
          <w:sz w:val="20"/>
        </w:rPr>
        <w:t>and</w:t>
      </w:r>
    </w:p>
    <w:p w:rsidR="002C1123" w:rsidRDefault="00F22F94">
      <w:pPr>
        <w:pStyle w:val="ListParagraph"/>
        <w:numPr>
          <w:ilvl w:val="1"/>
          <w:numId w:val="64"/>
        </w:numPr>
        <w:tabs>
          <w:tab w:val="left" w:pos="820"/>
        </w:tabs>
        <w:spacing w:before="144" w:line="249" w:lineRule="auto"/>
        <w:ind w:right="439"/>
        <w:rPr>
          <w:sz w:val="20"/>
        </w:rPr>
      </w:pPr>
      <w:r>
        <w:rPr>
          <w:w w:val="95"/>
          <w:sz w:val="20"/>
        </w:rPr>
        <w:t>projects</w:t>
      </w:r>
      <w:r>
        <w:rPr>
          <w:spacing w:val="-3"/>
          <w:w w:val="95"/>
          <w:sz w:val="20"/>
        </w:rPr>
        <w:t xml:space="preserve"> </w:t>
      </w:r>
      <w:r>
        <w:rPr>
          <w:w w:val="95"/>
          <w:sz w:val="20"/>
        </w:rPr>
        <w:t>to</w:t>
      </w:r>
      <w:r>
        <w:rPr>
          <w:spacing w:val="-3"/>
          <w:w w:val="95"/>
          <w:sz w:val="20"/>
        </w:rPr>
        <w:t xml:space="preserve"> </w:t>
      </w:r>
      <w:r>
        <w:rPr>
          <w:w w:val="95"/>
          <w:sz w:val="20"/>
        </w:rPr>
        <w:t>strengthen</w:t>
      </w:r>
      <w:r>
        <w:rPr>
          <w:spacing w:val="-3"/>
          <w:w w:val="95"/>
          <w:sz w:val="20"/>
        </w:rPr>
        <w:t xml:space="preserve"> </w:t>
      </w:r>
      <w:r>
        <w:rPr>
          <w:w w:val="95"/>
          <w:sz w:val="20"/>
        </w:rPr>
        <w:t>supply</w:t>
      </w:r>
      <w:r>
        <w:rPr>
          <w:spacing w:val="-3"/>
          <w:w w:val="95"/>
          <w:sz w:val="20"/>
        </w:rPr>
        <w:t xml:space="preserve"> </w:t>
      </w:r>
      <w:r>
        <w:rPr>
          <w:w w:val="95"/>
          <w:sz w:val="20"/>
        </w:rPr>
        <w:t>to</w:t>
      </w:r>
      <w:r>
        <w:rPr>
          <w:spacing w:val="-3"/>
          <w:w w:val="95"/>
          <w:sz w:val="20"/>
        </w:rPr>
        <w:t xml:space="preserve"> </w:t>
      </w:r>
      <w:r>
        <w:rPr>
          <w:w w:val="95"/>
          <w:sz w:val="20"/>
        </w:rPr>
        <w:t>the</w:t>
      </w:r>
      <w:r>
        <w:rPr>
          <w:spacing w:val="-3"/>
          <w:w w:val="95"/>
          <w:sz w:val="20"/>
        </w:rPr>
        <w:t xml:space="preserve"> </w:t>
      </w:r>
      <w:r>
        <w:rPr>
          <w:w w:val="95"/>
          <w:sz w:val="20"/>
        </w:rPr>
        <w:t xml:space="preserve">Sydney </w:t>
      </w:r>
      <w:r>
        <w:rPr>
          <w:sz w:val="20"/>
        </w:rPr>
        <w:t>metropolitan</w:t>
      </w:r>
      <w:r>
        <w:rPr>
          <w:spacing w:val="-11"/>
          <w:sz w:val="20"/>
        </w:rPr>
        <w:t xml:space="preserve"> </w:t>
      </w:r>
      <w:r>
        <w:rPr>
          <w:sz w:val="20"/>
        </w:rPr>
        <w:t>area.</w:t>
      </w:r>
    </w:p>
    <w:p w:rsidR="002C1123" w:rsidRDefault="00F22F94">
      <w:pPr>
        <w:pStyle w:val="ListParagraph"/>
        <w:numPr>
          <w:ilvl w:val="0"/>
          <w:numId w:val="64"/>
        </w:numPr>
        <w:tabs>
          <w:tab w:val="left" w:pos="536"/>
        </w:tabs>
        <w:spacing w:before="131" w:line="249" w:lineRule="auto"/>
        <w:ind w:left="535" w:right="246"/>
        <w:rPr>
          <w:sz w:val="20"/>
        </w:rPr>
      </w:pPr>
      <w:r>
        <w:rPr>
          <w:sz w:val="20"/>
        </w:rPr>
        <w:t>Acting</w:t>
      </w:r>
      <w:r>
        <w:rPr>
          <w:spacing w:val="-11"/>
          <w:sz w:val="20"/>
        </w:rPr>
        <w:t xml:space="preserve"> </w:t>
      </w:r>
      <w:r>
        <w:rPr>
          <w:sz w:val="20"/>
        </w:rPr>
        <w:t>to</w:t>
      </w:r>
      <w:r>
        <w:rPr>
          <w:spacing w:val="-11"/>
          <w:sz w:val="20"/>
        </w:rPr>
        <w:t xml:space="preserve"> </w:t>
      </w:r>
      <w:r>
        <w:rPr>
          <w:sz w:val="20"/>
        </w:rPr>
        <w:t>bring</w:t>
      </w:r>
      <w:r>
        <w:rPr>
          <w:spacing w:val="-11"/>
          <w:sz w:val="20"/>
        </w:rPr>
        <w:t xml:space="preserve"> </w:t>
      </w:r>
      <w:r>
        <w:rPr>
          <w:sz w:val="20"/>
        </w:rPr>
        <w:t>large</w:t>
      </w:r>
      <w:r>
        <w:rPr>
          <w:spacing w:val="-11"/>
          <w:sz w:val="20"/>
        </w:rPr>
        <w:t xml:space="preserve"> </w:t>
      </w:r>
      <w:r>
        <w:rPr>
          <w:sz w:val="20"/>
        </w:rPr>
        <w:t>reserves</w:t>
      </w:r>
      <w:r>
        <w:rPr>
          <w:spacing w:val="-11"/>
          <w:sz w:val="20"/>
        </w:rPr>
        <w:t xml:space="preserve"> </w:t>
      </w:r>
      <w:r>
        <w:rPr>
          <w:sz w:val="20"/>
        </w:rPr>
        <w:t>of</w:t>
      </w:r>
      <w:r>
        <w:rPr>
          <w:spacing w:val="-11"/>
          <w:sz w:val="20"/>
        </w:rPr>
        <w:t xml:space="preserve"> </w:t>
      </w:r>
      <w:r>
        <w:rPr>
          <w:sz w:val="20"/>
        </w:rPr>
        <w:t>coal</w:t>
      </w:r>
      <w:r>
        <w:rPr>
          <w:spacing w:val="-11"/>
          <w:sz w:val="20"/>
        </w:rPr>
        <w:t xml:space="preserve"> </w:t>
      </w:r>
      <w:r>
        <w:rPr>
          <w:sz w:val="20"/>
        </w:rPr>
        <w:t>seam</w:t>
      </w:r>
      <w:r>
        <w:rPr>
          <w:spacing w:val="-11"/>
          <w:sz w:val="20"/>
        </w:rPr>
        <w:t xml:space="preserve"> </w:t>
      </w:r>
      <w:r>
        <w:rPr>
          <w:sz w:val="20"/>
        </w:rPr>
        <w:t xml:space="preserve">gas </w:t>
      </w:r>
      <w:r>
        <w:rPr>
          <w:w w:val="95"/>
          <w:sz w:val="20"/>
        </w:rPr>
        <w:t>to</w:t>
      </w:r>
      <w:r>
        <w:rPr>
          <w:spacing w:val="-7"/>
          <w:w w:val="95"/>
          <w:sz w:val="20"/>
        </w:rPr>
        <w:t xml:space="preserve"> </w:t>
      </w:r>
      <w:r>
        <w:rPr>
          <w:w w:val="95"/>
          <w:sz w:val="20"/>
        </w:rPr>
        <w:t>market</w:t>
      </w:r>
      <w:r>
        <w:rPr>
          <w:spacing w:val="-7"/>
          <w:w w:val="95"/>
          <w:sz w:val="20"/>
        </w:rPr>
        <w:t xml:space="preserve"> </w:t>
      </w:r>
      <w:r>
        <w:rPr>
          <w:w w:val="95"/>
          <w:sz w:val="20"/>
        </w:rPr>
        <w:t>is</w:t>
      </w:r>
      <w:r>
        <w:rPr>
          <w:spacing w:val="-7"/>
          <w:w w:val="95"/>
          <w:sz w:val="20"/>
        </w:rPr>
        <w:t xml:space="preserve"> </w:t>
      </w:r>
      <w:r>
        <w:rPr>
          <w:w w:val="95"/>
          <w:sz w:val="20"/>
        </w:rPr>
        <w:t>potentially</w:t>
      </w:r>
      <w:r>
        <w:rPr>
          <w:spacing w:val="-7"/>
          <w:w w:val="95"/>
          <w:sz w:val="20"/>
        </w:rPr>
        <w:t xml:space="preserve"> </w:t>
      </w:r>
      <w:r>
        <w:rPr>
          <w:w w:val="95"/>
          <w:sz w:val="20"/>
        </w:rPr>
        <w:t>game</w:t>
      </w:r>
      <w:r>
        <w:rPr>
          <w:spacing w:val="-7"/>
          <w:w w:val="95"/>
          <w:sz w:val="20"/>
        </w:rPr>
        <w:t xml:space="preserve"> </w:t>
      </w:r>
      <w:r>
        <w:rPr>
          <w:w w:val="95"/>
          <w:sz w:val="20"/>
        </w:rPr>
        <w:t>changing</w:t>
      </w:r>
      <w:r>
        <w:rPr>
          <w:spacing w:val="-7"/>
          <w:w w:val="95"/>
          <w:sz w:val="20"/>
        </w:rPr>
        <w:t xml:space="preserve"> </w:t>
      </w:r>
      <w:r>
        <w:rPr>
          <w:w w:val="95"/>
          <w:sz w:val="20"/>
        </w:rPr>
        <w:t>for</w:t>
      </w:r>
      <w:r>
        <w:rPr>
          <w:spacing w:val="-7"/>
          <w:w w:val="95"/>
          <w:sz w:val="20"/>
        </w:rPr>
        <w:t xml:space="preserve"> </w:t>
      </w:r>
      <w:r>
        <w:rPr>
          <w:w w:val="95"/>
          <w:sz w:val="20"/>
        </w:rPr>
        <w:t xml:space="preserve">NSW’s </w:t>
      </w:r>
      <w:r>
        <w:rPr>
          <w:sz w:val="20"/>
        </w:rPr>
        <w:t>economic growth and productivity.</w:t>
      </w:r>
    </w:p>
    <w:p w:rsidR="002C1123" w:rsidRDefault="00F22F94">
      <w:pPr>
        <w:pStyle w:val="ListParagraph"/>
        <w:numPr>
          <w:ilvl w:val="0"/>
          <w:numId w:val="64"/>
        </w:numPr>
        <w:tabs>
          <w:tab w:val="left" w:pos="536"/>
        </w:tabs>
        <w:spacing w:before="131" w:line="249" w:lineRule="auto"/>
        <w:ind w:left="535"/>
        <w:rPr>
          <w:sz w:val="20"/>
        </w:rPr>
      </w:pPr>
      <w:r>
        <w:rPr>
          <w:w w:val="95"/>
          <w:sz w:val="20"/>
        </w:rPr>
        <w:t xml:space="preserve">Infrastructure NSW recommends supporting private </w:t>
      </w:r>
      <w:r>
        <w:rPr>
          <w:sz w:val="20"/>
        </w:rPr>
        <w:t>sector investment by:</w:t>
      </w:r>
    </w:p>
    <w:p w:rsidR="002C1123" w:rsidRDefault="00F22F94">
      <w:pPr>
        <w:pStyle w:val="ListParagraph"/>
        <w:numPr>
          <w:ilvl w:val="1"/>
          <w:numId w:val="64"/>
        </w:numPr>
        <w:tabs>
          <w:tab w:val="left" w:pos="820"/>
        </w:tabs>
        <w:spacing w:before="143" w:line="249" w:lineRule="auto"/>
        <w:ind w:right="170"/>
        <w:rPr>
          <w:sz w:val="20"/>
        </w:rPr>
      </w:pPr>
      <w:r>
        <w:rPr>
          <w:sz w:val="20"/>
        </w:rPr>
        <w:t>Facilitating</w:t>
      </w:r>
      <w:r>
        <w:rPr>
          <w:spacing w:val="-14"/>
          <w:sz w:val="20"/>
        </w:rPr>
        <w:t xml:space="preserve"> </w:t>
      </w:r>
      <w:r>
        <w:rPr>
          <w:sz w:val="20"/>
        </w:rPr>
        <w:t>the</w:t>
      </w:r>
      <w:r>
        <w:rPr>
          <w:spacing w:val="-14"/>
          <w:sz w:val="20"/>
        </w:rPr>
        <w:t xml:space="preserve"> </w:t>
      </w:r>
      <w:r>
        <w:rPr>
          <w:sz w:val="20"/>
        </w:rPr>
        <w:t>augmentation</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 xml:space="preserve">existing </w:t>
      </w:r>
      <w:r>
        <w:rPr>
          <w:w w:val="95"/>
          <w:sz w:val="20"/>
        </w:rPr>
        <w:t xml:space="preserve">national gas transmission networks to connect </w:t>
      </w:r>
      <w:r>
        <w:rPr>
          <w:sz w:val="20"/>
        </w:rPr>
        <w:t>new NSW supply areas;</w:t>
      </w:r>
    </w:p>
    <w:p w:rsidR="002C1123" w:rsidRDefault="00F22F94">
      <w:pPr>
        <w:pStyle w:val="ListParagraph"/>
        <w:numPr>
          <w:ilvl w:val="1"/>
          <w:numId w:val="64"/>
        </w:numPr>
        <w:tabs>
          <w:tab w:val="left" w:pos="820"/>
        </w:tabs>
        <w:spacing w:before="144" w:line="249" w:lineRule="auto"/>
        <w:ind w:right="207"/>
        <w:rPr>
          <w:sz w:val="20"/>
        </w:rPr>
      </w:pPr>
      <w:r>
        <w:rPr>
          <w:sz w:val="20"/>
        </w:rPr>
        <w:t>Facilitating</w:t>
      </w:r>
      <w:r>
        <w:rPr>
          <w:spacing w:val="-11"/>
          <w:sz w:val="20"/>
        </w:rPr>
        <w:t xml:space="preserve"> </w:t>
      </w:r>
      <w:r>
        <w:rPr>
          <w:sz w:val="20"/>
        </w:rPr>
        <w:t>development</w:t>
      </w:r>
      <w:r>
        <w:rPr>
          <w:spacing w:val="-11"/>
          <w:sz w:val="20"/>
        </w:rPr>
        <w:t xml:space="preserve"> </w:t>
      </w:r>
      <w:r>
        <w:rPr>
          <w:sz w:val="20"/>
        </w:rPr>
        <w:t>of</w:t>
      </w:r>
      <w:r>
        <w:rPr>
          <w:spacing w:val="-11"/>
          <w:sz w:val="20"/>
        </w:rPr>
        <w:t xml:space="preserve"> </w:t>
      </w:r>
      <w:r>
        <w:rPr>
          <w:sz w:val="20"/>
        </w:rPr>
        <w:t>new</w:t>
      </w:r>
      <w:r>
        <w:rPr>
          <w:spacing w:val="-11"/>
          <w:sz w:val="20"/>
        </w:rPr>
        <w:t xml:space="preserve"> </w:t>
      </w:r>
      <w:r>
        <w:rPr>
          <w:sz w:val="20"/>
        </w:rPr>
        <w:t xml:space="preserve">industries, </w:t>
      </w:r>
      <w:r>
        <w:rPr>
          <w:w w:val="95"/>
          <w:sz w:val="20"/>
        </w:rPr>
        <w:t>including,</w:t>
      </w:r>
      <w:r>
        <w:rPr>
          <w:spacing w:val="-4"/>
          <w:w w:val="95"/>
          <w:sz w:val="20"/>
        </w:rPr>
        <w:t xml:space="preserve"> </w:t>
      </w:r>
      <w:r>
        <w:rPr>
          <w:w w:val="95"/>
          <w:sz w:val="20"/>
        </w:rPr>
        <w:t>investigating</w:t>
      </w:r>
      <w:r>
        <w:rPr>
          <w:spacing w:val="-4"/>
          <w:w w:val="95"/>
          <w:sz w:val="20"/>
        </w:rPr>
        <w:t xml:space="preserve"> </w:t>
      </w:r>
      <w:r>
        <w:rPr>
          <w:w w:val="95"/>
          <w:sz w:val="20"/>
        </w:rPr>
        <w:t>options</w:t>
      </w:r>
      <w:r>
        <w:rPr>
          <w:spacing w:val="-4"/>
          <w:w w:val="95"/>
          <w:sz w:val="20"/>
        </w:rPr>
        <w:t xml:space="preserve"> </w:t>
      </w:r>
      <w:r>
        <w:rPr>
          <w:w w:val="95"/>
          <w:sz w:val="20"/>
        </w:rPr>
        <w:t>for</w:t>
      </w:r>
      <w:r>
        <w:rPr>
          <w:spacing w:val="-4"/>
          <w:w w:val="95"/>
          <w:sz w:val="20"/>
        </w:rPr>
        <w:t xml:space="preserve"> </w:t>
      </w:r>
      <w:r>
        <w:rPr>
          <w:w w:val="95"/>
          <w:sz w:val="20"/>
        </w:rPr>
        <w:t>LNG</w:t>
      </w:r>
      <w:r>
        <w:rPr>
          <w:spacing w:val="-4"/>
          <w:w w:val="95"/>
          <w:sz w:val="20"/>
        </w:rPr>
        <w:t xml:space="preserve"> </w:t>
      </w:r>
      <w:r>
        <w:rPr>
          <w:w w:val="95"/>
          <w:sz w:val="20"/>
        </w:rPr>
        <w:t xml:space="preserve">export </w:t>
      </w:r>
      <w:r>
        <w:rPr>
          <w:spacing w:val="-2"/>
          <w:sz w:val="20"/>
        </w:rPr>
        <w:t>infrastructure.</w:t>
      </w:r>
    </w:p>
    <w:p w:rsidR="002C1123" w:rsidRDefault="00F22F94">
      <w:pPr>
        <w:rPr>
          <w:sz w:val="32"/>
        </w:rPr>
      </w:pPr>
      <w:r>
        <w:br w:type="column"/>
      </w:r>
    </w:p>
    <w:p w:rsidR="002C1123" w:rsidRDefault="002C1123">
      <w:pPr>
        <w:pStyle w:val="BodyText"/>
        <w:rPr>
          <w:sz w:val="32"/>
        </w:rPr>
      </w:pPr>
    </w:p>
    <w:p w:rsidR="002C1123" w:rsidRDefault="002C1123">
      <w:pPr>
        <w:pStyle w:val="BodyText"/>
        <w:rPr>
          <w:sz w:val="32"/>
        </w:rPr>
      </w:pPr>
    </w:p>
    <w:p w:rsidR="002C1123" w:rsidRDefault="002C1123">
      <w:pPr>
        <w:pStyle w:val="BodyText"/>
        <w:rPr>
          <w:sz w:val="32"/>
        </w:rPr>
      </w:pPr>
    </w:p>
    <w:p w:rsidR="002C1123" w:rsidRDefault="002C1123">
      <w:pPr>
        <w:pStyle w:val="BodyText"/>
        <w:spacing w:before="9"/>
        <w:rPr>
          <w:sz w:val="26"/>
        </w:rPr>
      </w:pPr>
    </w:p>
    <w:p w:rsidR="002C1123" w:rsidRDefault="00F22F94">
      <w:pPr>
        <w:pStyle w:val="Heading5"/>
        <w:numPr>
          <w:ilvl w:val="1"/>
          <w:numId w:val="63"/>
        </w:numPr>
        <w:tabs>
          <w:tab w:val="left" w:pos="915"/>
        </w:tabs>
        <w:spacing w:before="1"/>
        <w:ind w:hanging="602"/>
        <w:jc w:val="left"/>
      </w:pPr>
      <w:r>
        <w:rPr>
          <w:color w:val="00AEEF"/>
          <w:w w:val="95"/>
        </w:rPr>
        <w:t>Energy</w:t>
      </w:r>
      <w:r>
        <w:rPr>
          <w:color w:val="00AEEF"/>
          <w:spacing w:val="-2"/>
          <w:w w:val="95"/>
        </w:rPr>
        <w:t xml:space="preserve"> </w:t>
      </w:r>
      <w:r>
        <w:rPr>
          <w:color w:val="00AEEF"/>
          <w:spacing w:val="-2"/>
        </w:rPr>
        <w:t>snapshot</w:t>
      </w:r>
    </w:p>
    <w:p w:rsidR="002C1123" w:rsidRDefault="00F22F94">
      <w:pPr>
        <w:pStyle w:val="ListParagraph"/>
        <w:numPr>
          <w:ilvl w:val="0"/>
          <w:numId w:val="58"/>
        </w:numPr>
        <w:tabs>
          <w:tab w:val="left" w:pos="598"/>
        </w:tabs>
        <w:spacing w:before="122" w:line="249" w:lineRule="auto"/>
        <w:ind w:right="1299"/>
        <w:rPr>
          <w:sz w:val="20"/>
        </w:rPr>
      </w:pPr>
      <w:r>
        <w:rPr>
          <w:w w:val="95"/>
          <w:sz w:val="20"/>
        </w:rPr>
        <w:t>The</w:t>
      </w:r>
      <w:r>
        <w:rPr>
          <w:spacing w:val="-10"/>
          <w:w w:val="95"/>
          <w:sz w:val="20"/>
        </w:rPr>
        <w:t xml:space="preserve"> </w:t>
      </w:r>
      <w:r>
        <w:rPr>
          <w:w w:val="95"/>
          <w:sz w:val="20"/>
        </w:rPr>
        <w:t>NSW</w:t>
      </w:r>
      <w:r>
        <w:rPr>
          <w:spacing w:val="-10"/>
          <w:w w:val="95"/>
          <w:sz w:val="20"/>
        </w:rPr>
        <w:t xml:space="preserve"> </w:t>
      </w:r>
      <w:r>
        <w:rPr>
          <w:w w:val="95"/>
          <w:sz w:val="20"/>
        </w:rPr>
        <w:t>Government</w:t>
      </w:r>
      <w:r>
        <w:rPr>
          <w:spacing w:val="-10"/>
          <w:w w:val="95"/>
          <w:sz w:val="20"/>
        </w:rPr>
        <w:t xml:space="preserve"> </w:t>
      </w:r>
      <w:r>
        <w:rPr>
          <w:w w:val="95"/>
          <w:sz w:val="20"/>
        </w:rPr>
        <w:t>has</w:t>
      </w:r>
      <w:r>
        <w:rPr>
          <w:spacing w:val="-10"/>
          <w:w w:val="95"/>
          <w:sz w:val="20"/>
        </w:rPr>
        <w:t xml:space="preserve"> </w:t>
      </w:r>
      <w:r>
        <w:rPr>
          <w:w w:val="95"/>
          <w:sz w:val="20"/>
        </w:rPr>
        <w:t>$30</w:t>
      </w:r>
      <w:r>
        <w:rPr>
          <w:spacing w:val="-10"/>
          <w:w w:val="95"/>
          <w:sz w:val="20"/>
        </w:rPr>
        <w:t xml:space="preserve"> </w:t>
      </w:r>
      <w:r>
        <w:rPr>
          <w:w w:val="95"/>
          <w:sz w:val="20"/>
        </w:rPr>
        <w:t>billion</w:t>
      </w:r>
      <w:r>
        <w:rPr>
          <w:spacing w:val="-10"/>
          <w:w w:val="95"/>
          <w:sz w:val="20"/>
        </w:rPr>
        <w:t xml:space="preserve"> </w:t>
      </w:r>
      <w:r>
        <w:rPr>
          <w:w w:val="95"/>
          <w:sz w:val="20"/>
        </w:rPr>
        <w:t xml:space="preserve">invested </w:t>
      </w:r>
      <w:r>
        <w:rPr>
          <w:sz w:val="20"/>
        </w:rPr>
        <w:t>in</w:t>
      </w:r>
      <w:r>
        <w:rPr>
          <w:spacing w:val="-11"/>
          <w:sz w:val="20"/>
        </w:rPr>
        <w:t xml:space="preserve"> </w:t>
      </w:r>
      <w:r>
        <w:rPr>
          <w:sz w:val="20"/>
        </w:rPr>
        <w:t>electricity</w:t>
      </w:r>
      <w:r>
        <w:rPr>
          <w:spacing w:val="-11"/>
          <w:sz w:val="20"/>
        </w:rPr>
        <w:t xml:space="preserve"> </w:t>
      </w:r>
      <w:r>
        <w:rPr>
          <w:sz w:val="20"/>
        </w:rPr>
        <w:t>infrastructure</w:t>
      </w:r>
      <w:r>
        <w:rPr>
          <w:spacing w:val="-11"/>
          <w:sz w:val="20"/>
        </w:rPr>
        <w:t xml:space="preserve"> </w:t>
      </w:r>
      <w:r>
        <w:rPr>
          <w:sz w:val="20"/>
        </w:rPr>
        <w:t>(in</w:t>
      </w:r>
      <w:r>
        <w:rPr>
          <w:spacing w:val="-11"/>
          <w:sz w:val="20"/>
        </w:rPr>
        <w:t xml:space="preserve"> </w:t>
      </w:r>
      <w:r>
        <w:rPr>
          <w:sz w:val="20"/>
        </w:rPr>
        <w:t>State</w:t>
      </w:r>
      <w:r>
        <w:rPr>
          <w:spacing w:val="-11"/>
          <w:sz w:val="20"/>
        </w:rPr>
        <w:t xml:space="preserve"> </w:t>
      </w:r>
      <w:r>
        <w:rPr>
          <w:sz w:val="20"/>
        </w:rPr>
        <w:t>Owned</w:t>
      </w:r>
    </w:p>
    <w:p w:rsidR="002C1123" w:rsidRDefault="00F22F94">
      <w:pPr>
        <w:pStyle w:val="BodyText"/>
        <w:spacing w:before="1" w:line="249" w:lineRule="auto"/>
        <w:ind w:left="597" w:right="592"/>
      </w:pPr>
      <w:r>
        <w:rPr>
          <w:spacing w:val="-2"/>
        </w:rPr>
        <w:t>Corporations</w:t>
      </w:r>
      <w:r>
        <w:rPr>
          <w:spacing w:val="-9"/>
        </w:rPr>
        <w:t xml:space="preserve"> </w:t>
      </w:r>
      <w:r>
        <w:rPr>
          <w:spacing w:val="-2"/>
        </w:rPr>
        <w:t>(SOC)).</w:t>
      </w:r>
      <w:r>
        <w:rPr>
          <w:spacing w:val="-9"/>
        </w:rPr>
        <w:t xml:space="preserve"> </w:t>
      </w:r>
      <w:r>
        <w:rPr>
          <w:spacing w:val="-2"/>
        </w:rPr>
        <w:t>This</w:t>
      </w:r>
      <w:r>
        <w:rPr>
          <w:spacing w:val="-9"/>
        </w:rPr>
        <w:t xml:space="preserve"> </w:t>
      </w:r>
      <w:r>
        <w:rPr>
          <w:spacing w:val="-2"/>
        </w:rPr>
        <w:t>is</w:t>
      </w:r>
      <w:r>
        <w:rPr>
          <w:spacing w:val="-9"/>
        </w:rPr>
        <w:t xml:space="preserve"> </w:t>
      </w:r>
      <w:r>
        <w:rPr>
          <w:spacing w:val="-2"/>
        </w:rPr>
        <w:t>$26</w:t>
      </w:r>
      <w:r>
        <w:rPr>
          <w:spacing w:val="-9"/>
        </w:rPr>
        <w:t xml:space="preserve"> </w:t>
      </w:r>
      <w:r>
        <w:rPr>
          <w:spacing w:val="-2"/>
        </w:rPr>
        <w:t>billion</w:t>
      </w:r>
      <w:r>
        <w:rPr>
          <w:spacing w:val="-9"/>
        </w:rPr>
        <w:t xml:space="preserve"> </w:t>
      </w:r>
      <w:r>
        <w:rPr>
          <w:spacing w:val="-2"/>
        </w:rPr>
        <w:t>in</w:t>
      </w:r>
      <w:r>
        <w:rPr>
          <w:spacing w:val="-9"/>
        </w:rPr>
        <w:t xml:space="preserve"> </w:t>
      </w:r>
      <w:r>
        <w:rPr>
          <w:spacing w:val="-2"/>
        </w:rPr>
        <w:t xml:space="preserve">network </w:t>
      </w:r>
      <w:r>
        <w:rPr>
          <w:w w:val="95"/>
        </w:rPr>
        <w:t>businesses and $4 billion in generation businesses. The</w:t>
      </w:r>
      <w:r>
        <w:rPr>
          <w:spacing w:val="-1"/>
          <w:w w:val="95"/>
        </w:rPr>
        <w:t xml:space="preserve"> </w:t>
      </w:r>
      <w:r>
        <w:rPr>
          <w:w w:val="95"/>
        </w:rPr>
        <w:t>electricity</w:t>
      </w:r>
      <w:r>
        <w:rPr>
          <w:spacing w:val="-1"/>
          <w:w w:val="95"/>
        </w:rPr>
        <w:t xml:space="preserve"> </w:t>
      </w:r>
      <w:r>
        <w:rPr>
          <w:w w:val="95"/>
        </w:rPr>
        <w:t>sector</w:t>
      </w:r>
      <w:r>
        <w:rPr>
          <w:spacing w:val="-1"/>
          <w:w w:val="95"/>
        </w:rPr>
        <w:t xml:space="preserve"> </w:t>
      </w:r>
      <w:r>
        <w:rPr>
          <w:w w:val="95"/>
        </w:rPr>
        <w:t>accounts</w:t>
      </w:r>
      <w:r>
        <w:rPr>
          <w:spacing w:val="-1"/>
          <w:w w:val="95"/>
        </w:rPr>
        <w:t xml:space="preserve"> </w:t>
      </w:r>
      <w:r>
        <w:rPr>
          <w:w w:val="95"/>
        </w:rPr>
        <w:t>for</w:t>
      </w:r>
      <w:r>
        <w:rPr>
          <w:spacing w:val="-1"/>
          <w:w w:val="95"/>
        </w:rPr>
        <w:t xml:space="preserve"> </w:t>
      </w:r>
      <w:r>
        <w:rPr>
          <w:w w:val="95"/>
        </w:rPr>
        <w:t>27</w:t>
      </w:r>
      <w:r>
        <w:rPr>
          <w:spacing w:val="-1"/>
          <w:w w:val="95"/>
        </w:rPr>
        <w:t xml:space="preserve"> </w:t>
      </w:r>
      <w:r>
        <w:rPr>
          <w:w w:val="95"/>
        </w:rPr>
        <w:t>percent</w:t>
      </w:r>
      <w:r>
        <w:rPr>
          <w:spacing w:val="-1"/>
          <w:w w:val="95"/>
        </w:rPr>
        <w:t xml:space="preserve"> </w:t>
      </w:r>
      <w:r>
        <w:rPr>
          <w:w w:val="95"/>
        </w:rPr>
        <w:t>of</w:t>
      </w:r>
      <w:r>
        <w:rPr>
          <w:spacing w:val="-1"/>
          <w:w w:val="95"/>
        </w:rPr>
        <w:t xml:space="preserve"> </w:t>
      </w:r>
      <w:r>
        <w:rPr>
          <w:w w:val="95"/>
        </w:rPr>
        <w:t>past capital</w:t>
      </w:r>
      <w:r>
        <w:rPr>
          <w:spacing w:val="-2"/>
          <w:w w:val="95"/>
        </w:rPr>
        <w:t xml:space="preserve"> </w:t>
      </w:r>
      <w:r>
        <w:rPr>
          <w:w w:val="95"/>
        </w:rPr>
        <w:t>and</w:t>
      </w:r>
      <w:r>
        <w:rPr>
          <w:spacing w:val="-2"/>
          <w:w w:val="95"/>
        </w:rPr>
        <w:t xml:space="preserve"> </w:t>
      </w:r>
      <w:r>
        <w:rPr>
          <w:w w:val="95"/>
        </w:rPr>
        <w:t>28</w:t>
      </w:r>
      <w:r>
        <w:rPr>
          <w:spacing w:val="-2"/>
          <w:w w:val="95"/>
        </w:rPr>
        <w:t xml:space="preserve"> </w:t>
      </w:r>
      <w:r>
        <w:rPr>
          <w:w w:val="95"/>
        </w:rPr>
        <w:t>percent</w:t>
      </w:r>
      <w:r>
        <w:rPr>
          <w:spacing w:val="-2"/>
          <w:w w:val="95"/>
        </w:rPr>
        <w:t xml:space="preserve"> </w:t>
      </w:r>
      <w:r>
        <w:rPr>
          <w:w w:val="95"/>
        </w:rPr>
        <w:t>of</w:t>
      </w:r>
      <w:r>
        <w:rPr>
          <w:spacing w:val="-2"/>
          <w:w w:val="95"/>
        </w:rPr>
        <w:t xml:space="preserve"> </w:t>
      </w:r>
      <w:r>
        <w:rPr>
          <w:w w:val="95"/>
        </w:rPr>
        <w:t>all</w:t>
      </w:r>
      <w:r>
        <w:rPr>
          <w:spacing w:val="-2"/>
          <w:w w:val="95"/>
        </w:rPr>
        <w:t xml:space="preserve"> </w:t>
      </w:r>
      <w:r>
        <w:rPr>
          <w:w w:val="95"/>
        </w:rPr>
        <w:t>the</w:t>
      </w:r>
      <w:r>
        <w:rPr>
          <w:spacing w:val="-2"/>
          <w:w w:val="95"/>
        </w:rPr>
        <w:t xml:space="preserve"> </w:t>
      </w:r>
      <w:r>
        <w:rPr>
          <w:w w:val="95"/>
        </w:rPr>
        <w:t>Government’s</w:t>
      </w:r>
      <w:r>
        <w:rPr>
          <w:spacing w:val="-2"/>
          <w:w w:val="95"/>
        </w:rPr>
        <w:t xml:space="preserve"> </w:t>
      </w:r>
      <w:r>
        <w:rPr>
          <w:w w:val="95"/>
        </w:rPr>
        <w:t xml:space="preserve">future </w:t>
      </w:r>
      <w:r>
        <w:t>capital</w:t>
      </w:r>
      <w:r>
        <w:rPr>
          <w:spacing w:val="-11"/>
        </w:rPr>
        <w:t xml:space="preserve"> </w:t>
      </w:r>
      <w:r>
        <w:t>program</w:t>
      </w:r>
      <w:r>
        <w:rPr>
          <w:position w:val="7"/>
          <w:sz w:val="11"/>
        </w:rPr>
        <w:t>1</w:t>
      </w:r>
      <w:r>
        <w:t>.</w:t>
      </w:r>
    </w:p>
    <w:p w:rsidR="002C1123" w:rsidRDefault="00F22F94">
      <w:pPr>
        <w:pStyle w:val="ListParagraph"/>
        <w:numPr>
          <w:ilvl w:val="0"/>
          <w:numId w:val="58"/>
        </w:numPr>
        <w:tabs>
          <w:tab w:val="left" w:pos="598"/>
        </w:tabs>
        <w:spacing w:before="133"/>
        <w:ind w:hanging="285"/>
        <w:rPr>
          <w:sz w:val="20"/>
        </w:rPr>
      </w:pPr>
      <w:r>
        <w:rPr>
          <w:w w:val="95"/>
          <w:sz w:val="20"/>
        </w:rPr>
        <w:t>The</w:t>
      </w:r>
      <w:r>
        <w:rPr>
          <w:spacing w:val="-11"/>
          <w:w w:val="95"/>
          <w:sz w:val="20"/>
        </w:rPr>
        <w:t xml:space="preserve"> </w:t>
      </w:r>
      <w:r>
        <w:rPr>
          <w:w w:val="95"/>
          <w:sz w:val="20"/>
        </w:rPr>
        <w:t>electricity</w:t>
      </w:r>
      <w:r>
        <w:rPr>
          <w:spacing w:val="-11"/>
          <w:w w:val="95"/>
          <w:sz w:val="20"/>
        </w:rPr>
        <w:t xml:space="preserve"> </w:t>
      </w:r>
      <w:r>
        <w:rPr>
          <w:w w:val="95"/>
          <w:sz w:val="20"/>
        </w:rPr>
        <w:t>sector</w:t>
      </w:r>
      <w:r>
        <w:rPr>
          <w:spacing w:val="-11"/>
          <w:w w:val="95"/>
          <w:sz w:val="20"/>
        </w:rPr>
        <w:t xml:space="preserve"> </w:t>
      </w:r>
      <w:r>
        <w:rPr>
          <w:w w:val="95"/>
          <w:sz w:val="20"/>
        </w:rPr>
        <w:t>has</w:t>
      </w:r>
      <w:r>
        <w:rPr>
          <w:spacing w:val="-10"/>
          <w:w w:val="95"/>
          <w:sz w:val="20"/>
        </w:rPr>
        <w:t xml:space="preserve"> </w:t>
      </w:r>
      <w:r>
        <w:rPr>
          <w:w w:val="95"/>
          <w:sz w:val="20"/>
        </w:rPr>
        <w:t>invested</w:t>
      </w:r>
      <w:r>
        <w:rPr>
          <w:spacing w:val="-11"/>
          <w:w w:val="95"/>
          <w:sz w:val="20"/>
        </w:rPr>
        <w:t xml:space="preserve"> </w:t>
      </w:r>
      <w:r>
        <w:rPr>
          <w:w w:val="95"/>
          <w:sz w:val="20"/>
        </w:rPr>
        <w:t>an</w:t>
      </w:r>
      <w:r>
        <w:rPr>
          <w:spacing w:val="-11"/>
          <w:w w:val="95"/>
          <w:sz w:val="20"/>
        </w:rPr>
        <w:t xml:space="preserve"> </w:t>
      </w:r>
      <w:r>
        <w:rPr>
          <w:w w:val="95"/>
          <w:sz w:val="20"/>
        </w:rPr>
        <w:t>average</w:t>
      </w:r>
      <w:r>
        <w:rPr>
          <w:spacing w:val="-10"/>
          <w:w w:val="95"/>
          <w:sz w:val="20"/>
        </w:rPr>
        <w:t xml:space="preserve"> </w:t>
      </w:r>
      <w:r>
        <w:rPr>
          <w:spacing w:val="-5"/>
          <w:w w:val="95"/>
          <w:sz w:val="20"/>
        </w:rPr>
        <w:t>of</w:t>
      </w:r>
    </w:p>
    <w:p w:rsidR="002C1123" w:rsidRDefault="00F22F94">
      <w:pPr>
        <w:pStyle w:val="BodyText"/>
        <w:spacing w:before="10" w:line="249" w:lineRule="auto"/>
        <w:ind w:left="597" w:right="702"/>
      </w:pPr>
      <w:r>
        <w:rPr>
          <w:w w:val="95"/>
        </w:rPr>
        <w:t>$2</w:t>
      </w:r>
      <w:r>
        <w:rPr>
          <w:spacing w:val="-8"/>
          <w:w w:val="95"/>
        </w:rPr>
        <w:t xml:space="preserve"> </w:t>
      </w:r>
      <w:r>
        <w:rPr>
          <w:w w:val="95"/>
        </w:rPr>
        <w:t>billion</w:t>
      </w:r>
      <w:r>
        <w:rPr>
          <w:spacing w:val="-8"/>
          <w:w w:val="95"/>
        </w:rPr>
        <w:t xml:space="preserve"> </w:t>
      </w:r>
      <w:r>
        <w:rPr>
          <w:w w:val="95"/>
        </w:rPr>
        <w:t>a</w:t>
      </w:r>
      <w:r>
        <w:rPr>
          <w:spacing w:val="-8"/>
          <w:w w:val="95"/>
        </w:rPr>
        <w:t xml:space="preserve"> </w:t>
      </w:r>
      <w:r>
        <w:rPr>
          <w:w w:val="95"/>
        </w:rPr>
        <w:t>year</w:t>
      </w:r>
      <w:r>
        <w:rPr>
          <w:spacing w:val="-8"/>
          <w:w w:val="95"/>
        </w:rPr>
        <w:t xml:space="preserve"> </w:t>
      </w:r>
      <w:r>
        <w:rPr>
          <w:w w:val="95"/>
        </w:rPr>
        <w:t>for</w:t>
      </w:r>
      <w:r>
        <w:rPr>
          <w:spacing w:val="-8"/>
          <w:w w:val="95"/>
        </w:rPr>
        <w:t xml:space="preserve"> </w:t>
      </w:r>
      <w:r>
        <w:rPr>
          <w:w w:val="95"/>
        </w:rPr>
        <w:t>the</w:t>
      </w:r>
      <w:r>
        <w:rPr>
          <w:spacing w:val="-8"/>
          <w:w w:val="95"/>
        </w:rPr>
        <w:t xml:space="preserve"> </w:t>
      </w:r>
      <w:r>
        <w:rPr>
          <w:w w:val="95"/>
        </w:rPr>
        <w:t>past</w:t>
      </w:r>
      <w:r>
        <w:rPr>
          <w:spacing w:val="-8"/>
          <w:w w:val="95"/>
        </w:rPr>
        <w:t xml:space="preserve"> </w:t>
      </w:r>
      <w:r>
        <w:rPr>
          <w:w w:val="95"/>
        </w:rPr>
        <w:t>decade.</w:t>
      </w:r>
      <w:r>
        <w:rPr>
          <w:spacing w:val="-8"/>
          <w:w w:val="95"/>
        </w:rPr>
        <w:t xml:space="preserve"> </w:t>
      </w:r>
      <w:r>
        <w:rPr>
          <w:w w:val="95"/>
        </w:rPr>
        <w:t>The</w:t>
      </w:r>
      <w:r>
        <w:rPr>
          <w:spacing w:val="-8"/>
          <w:w w:val="95"/>
        </w:rPr>
        <w:t xml:space="preserve"> </w:t>
      </w:r>
      <w:r>
        <w:rPr>
          <w:w w:val="95"/>
        </w:rPr>
        <w:t>capital</w:t>
      </w:r>
      <w:r>
        <w:rPr>
          <w:spacing w:val="-8"/>
          <w:w w:val="95"/>
        </w:rPr>
        <w:t xml:space="preserve"> </w:t>
      </w:r>
      <w:r>
        <w:rPr>
          <w:w w:val="95"/>
        </w:rPr>
        <w:t xml:space="preserve">plans </w:t>
      </w:r>
      <w:r>
        <w:t>of</w:t>
      </w:r>
      <w:r>
        <w:rPr>
          <w:spacing w:val="-14"/>
        </w:rPr>
        <w:t xml:space="preserve"> </w:t>
      </w:r>
      <w:r>
        <w:t>the</w:t>
      </w:r>
      <w:r>
        <w:rPr>
          <w:spacing w:val="-14"/>
        </w:rPr>
        <w:t xml:space="preserve"> </w:t>
      </w:r>
      <w:r>
        <w:t>businesses</w:t>
      </w:r>
      <w:r>
        <w:rPr>
          <w:spacing w:val="-14"/>
        </w:rPr>
        <w:t xml:space="preserve"> </w:t>
      </w:r>
      <w:r>
        <w:t>are</w:t>
      </w:r>
      <w:r>
        <w:rPr>
          <w:spacing w:val="-14"/>
        </w:rPr>
        <w:t xml:space="preserve"> </w:t>
      </w:r>
      <w:r>
        <w:t>to</w:t>
      </w:r>
      <w:r>
        <w:rPr>
          <w:spacing w:val="-14"/>
        </w:rPr>
        <w:t xml:space="preserve"> </w:t>
      </w:r>
      <w:r>
        <w:t>double</w:t>
      </w:r>
      <w:r>
        <w:rPr>
          <w:spacing w:val="-14"/>
        </w:rPr>
        <w:t xml:space="preserve"> </w:t>
      </w:r>
      <w:r>
        <w:t>this</w:t>
      </w:r>
      <w:r>
        <w:rPr>
          <w:spacing w:val="-14"/>
        </w:rPr>
        <w:t xml:space="preserve"> </w:t>
      </w:r>
      <w:r>
        <w:t>to</w:t>
      </w:r>
      <w:r>
        <w:rPr>
          <w:spacing w:val="-14"/>
        </w:rPr>
        <w:t xml:space="preserve"> </w:t>
      </w:r>
      <w:r>
        <w:t>an</w:t>
      </w:r>
      <w:r>
        <w:rPr>
          <w:spacing w:val="-14"/>
        </w:rPr>
        <w:t xml:space="preserve"> </w:t>
      </w:r>
      <w:r>
        <w:t>average</w:t>
      </w:r>
      <w:r>
        <w:rPr>
          <w:spacing w:val="-13"/>
        </w:rPr>
        <w:t xml:space="preserve"> </w:t>
      </w:r>
      <w:r>
        <w:t>of</w:t>
      </w:r>
    </w:p>
    <w:p w:rsidR="002C1123" w:rsidRDefault="00F22F94">
      <w:pPr>
        <w:pStyle w:val="BodyText"/>
        <w:spacing w:before="2"/>
        <w:ind w:left="597"/>
      </w:pPr>
      <w:r>
        <w:rPr>
          <w:w w:val="95"/>
        </w:rPr>
        <w:t>$4</w:t>
      </w:r>
      <w:r>
        <w:rPr>
          <w:spacing w:val="-7"/>
          <w:w w:val="95"/>
        </w:rPr>
        <w:t xml:space="preserve"> </w:t>
      </w:r>
      <w:r>
        <w:rPr>
          <w:w w:val="95"/>
        </w:rPr>
        <w:t>billion</w:t>
      </w:r>
      <w:r>
        <w:rPr>
          <w:spacing w:val="-7"/>
          <w:w w:val="95"/>
        </w:rPr>
        <w:t xml:space="preserve"> </w:t>
      </w:r>
      <w:r>
        <w:rPr>
          <w:w w:val="95"/>
        </w:rPr>
        <w:t>a</w:t>
      </w:r>
      <w:r>
        <w:rPr>
          <w:spacing w:val="-7"/>
          <w:w w:val="95"/>
        </w:rPr>
        <w:t xml:space="preserve"> </w:t>
      </w:r>
      <w:r>
        <w:rPr>
          <w:w w:val="95"/>
        </w:rPr>
        <w:t>year</w:t>
      </w:r>
      <w:r>
        <w:rPr>
          <w:spacing w:val="-7"/>
          <w:w w:val="95"/>
        </w:rPr>
        <w:t xml:space="preserve"> </w:t>
      </w:r>
      <w:r>
        <w:rPr>
          <w:w w:val="95"/>
        </w:rPr>
        <w:t>for</w:t>
      </w:r>
      <w:r>
        <w:rPr>
          <w:spacing w:val="-7"/>
          <w:w w:val="95"/>
        </w:rPr>
        <w:t xml:space="preserve"> </w:t>
      </w:r>
      <w:r>
        <w:rPr>
          <w:w w:val="95"/>
        </w:rPr>
        <w:t>the</w:t>
      </w:r>
      <w:r>
        <w:rPr>
          <w:spacing w:val="-7"/>
          <w:w w:val="95"/>
        </w:rPr>
        <w:t xml:space="preserve"> </w:t>
      </w:r>
      <w:r>
        <w:rPr>
          <w:w w:val="95"/>
        </w:rPr>
        <w:t>next</w:t>
      </w:r>
      <w:r>
        <w:rPr>
          <w:spacing w:val="-7"/>
          <w:w w:val="95"/>
        </w:rPr>
        <w:t xml:space="preserve"> </w:t>
      </w:r>
      <w:r>
        <w:rPr>
          <w:w w:val="95"/>
        </w:rPr>
        <w:t>decade</w:t>
      </w:r>
      <w:r>
        <w:rPr>
          <w:spacing w:val="-7"/>
          <w:w w:val="95"/>
        </w:rPr>
        <w:t xml:space="preserve"> </w:t>
      </w:r>
      <w:r>
        <w:rPr>
          <w:w w:val="95"/>
        </w:rPr>
        <w:t>to</w:t>
      </w:r>
      <w:r>
        <w:rPr>
          <w:spacing w:val="-7"/>
          <w:w w:val="95"/>
        </w:rPr>
        <w:t xml:space="preserve"> </w:t>
      </w:r>
      <w:r>
        <w:rPr>
          <w:spacing w:val="-4"/>
          <w:w w:val="95"/>
        </w:rPr>
        <w:t>2021.</w:t>
      </w:r>
    </w:p>
    <w:p w:rsidR="002C1123" w:rsidRDefault="00F22F94">
      <w:pPr>
        <w:pStyle w:val="ListParagraph"/>
        <w:numPr>
          <w:ilvl w:val="0"/>
          <w:numId w:val="58"/>
        </w:numPr>
        <w:tabs>
          <w:tab w:val="left" w:pos="598"/>
        </w:tabs>
        <w:spacing w:before="139" w:line="249" w:lineRule="auto"/>
        <w:ind w:right="790"/>
        <w:rPr>
          <w:sz w:val="20"/>
        </w:rPr>
      </w:pPr>
      <w:r>
        <w:rPr>
          <w:sz w:val="20"/>
        </w:rPr>
        <w:t>Each</w:t>
      </w:r>
      <w:r>
        <w:rPr>
          <w:spacing w:val="-13"/>
          <w:sz w:val="20"/>
        </w:rPr>
        <w:t xml:space="preserve"> </w:t>
      </w:r>
      <w:r>
        <w:rPr>
          <w:sz w:val="20"/>
        </w:rPr>
        <w:t>electricity</w:t>
      </w:r>
      <w:r>
        <w:rPr>
          <w:spacing w:val="-13"/>
          <w:sz w:val="20"/>
        </w:rPr>
        <w:t xml:space="preserve"> </w:t>
      </w:r>
      <w:r>
        <w:rPr>
          <w:sz w:val="20"/>
        </w:rPr>
        <w:t>business</w:t>
      </w:r>
      <w:r>
        <w:rPr>
          <w:spacing w:val="-13"/>
          <w:sz w:val="20"/>
        </w:rPr>
        <w:t xml:space="preserve"> </w:t>
      </w:r>
      <w:r>
        <w:rPr>
          <w:sz w:val="20"/>
        </w:rPr>
        <w:t>has</w:t>
      </w:r>
      <w:r>
        <w:rPr>
          <w:spacing w:val="-13"/>
          <w:sz w:val="20"/>
        </w:rPr>
        <w:t xml:space="preserve"> </w:t>
      </w:r>
      <w:r>
        <w:rPr>
          <w:sz w:val="20"/>
        </w:rPr>
        <w:t>borrowed</w:t>
      </w:r>
      <w:r>
        <w:rPr>
          <w:spacing w:val="-13"/>
          <w:sz w:val="20"/>
        </w:rPr>
        <w:t xml:space="preserve"> </w:t>
      </w:r>
      <w:r>
        <w:rPr>
          <w:sz w:val="20"/>
        </w:rPr>
        <w:t>heavily</w:t>
      </w:r>
      <w:r>
        <w:rPr>
          <w:spacing w:val="-13"/>
          <w:sz w:val="20"/>
        </w:rPr>
        <w:t xml:space="preserve"> </w:t>
      </w:r>
      <w:r>
        <w:rPr>
          <w:sz w:val="20"/>
        </w:rPr>
        <w:t>to fund</w:t>
      </w:r>
      <w:r>
        <w:rPr>
          <w:spacing w:val="-8"/>
          <w:sz w:val="20"/>
        </w:rPr>
        <w:t xml:space="preserve"> </w:t>
      </w:r>
      <w:r>
        <w:rPr>
          <w:sz w:val="20"/>
        </w:rPr>
        <w:t>its</w:t>
      </w:r>
      <w:r>
        <w:rPr>
          <w:spacing w:val="-8"/>
          <w:sz w:val="20"/>
        </w:rPr>
        <w:t xml:space="preserve"> </w:t>
      </w:r>
      <w:r>
        <w:rPr>
          <w:sz w:val="20"/>
        </w:rPr>
        <w:t>capital</w:t>
      </w:r>
      <w:r>
        <w:rPr>
          <w:spacing w:val="-8"/>
          <w:sz w:val="20"/>
        </w:rPr>
        <w:t xml:space="preserve"> </w:t>
      </w:r>
      <w:r>
        <w:rPr>
          <w:sz w:val="20"/>
        </w:rPr>
        <w:t>programs</w:t>
      </w:r>
      <w:r>
        <w:rPr>
          <w:spacing w:val="-8"/>
          <w:sz w:val="20"/>
        </w:rPr>
        <w:t xml:space="preserve"> </w:t>
      </w:r>
      <w:r>
        <w:rPr>
          <w:sz w:val="20"/>
        </w:rPr>
        <w:t>and</w:t>
      </w:r>
      <w:r>
        <w:rPr>
          <w:spacing w:val="-8"/>
          <w:sz w:val="20"/>
        </w:rPr>
        <w:t xml:space="preserve"> </w:t>
      </w:r>
      <w:r>
        <w:rPr>
          <w:sz w:val="20"/>
        </w:rPr>
        <w:t>this</w:t>
      </w:r>
      <w:r>
        <w:rPr>
          <w:spacing w:val="-8"/>
          <w:sz w:val="20"/>
        </w:rPr>
        <w:t xml:space="preserve"> </w:t>
      </w:r>
      <w:r>
        <w:rPr>
          <w:sz w:val="20"/>
        </w:rPr>
        <w:t>increase</w:t>
      </w:r>
      <w:r>
        <w:rPr>
          <w:spacing w:val="-8"/>
          <w:sz w:val="20"/>
        </w:rPr>
        <w:t xml:space="preserve"> </w:t>
      </w:r>
      <w:r>
        <w:rPr>
          <w:sz w:val="20"/>
        </w:rPr>
        <w:t>in</w:t>
      </w:r>
      <w:r>
        <w:rPr>
          <w:spacing w:val="-8"/>
          <w:sz w:val="20"/>
        </w:rPr>
        <w:t xml:space="preserve"> </w:t>
      </w:r>
      <w:r>
        <w:rPr>
          <w:sz w:val="20"/>
        </w:rPr>
        <w:t>debt (and</w:t>
      </w:r>
      <w:r>
        <w:rPr>
          <w:spacing w:val="-14"/>
          <w:sz w:val="20"/>
        </w:rPr>
        <w:t xml:space="preserve"> </w:t>
      </w:r>
      <w:r>
        <w:rPr>
          <w:sz w:val="20"/>
        </w:rPr>
        <w:t>forecast</w:t>
      </w:r>
      <w:r>
        <w:rPr>
          <w:spacing w:val="-14"/>
          <w:sz w:val="20"/>
        </w:rPr>
        <w:t xml:space="preserve"> </w:t>
      </w:r>
      <w:r>
        <w:rPr>
          <w:sz w:val="20"/>
        </w:rPr>
        <w:t>increases)</w:t>
      </w:r>
      <w:r>
        <w:rPr>
          <w:spacing w:val="-14"/>
          <w:sz w:val="20"/>
        </w:rPr>
        <w:t xml:space="preserve"> </w:t>
      </w:r>
      <w:r>
        <w:rPr>
          <w:sz w:val="20"/>
        </w:rPr>
        <w:t>contributes</w:t>
      </w:r>
      <w:r>
        <w:rPr>
          <w:spacing w:val="-14"/>
          <w:sz w:val="20"/>
        </w:rPr>
        <w:t xml:space="preserve"> </w:t>
      </w:r>
      <w:r>
        <w:rPr>
          <w:sz w:val="20"/>
        </w:rPr>
        <w:t>significantly</w:t>
      </w:r>
      <w:r>
        <w:rPr>
          <w:spacing w:val="-14"/>
          <w:sz w:val="20"/>
        </w:rPr>
        <w:t xml:space="preserve"> </w:t>
      </w:r>
      <w:r>
        <w:rPr>
          <w:sz w:val="20"/>
        </w:rPr>
        <w:t>to the</w:t>
      </w:r>
      <w:r>
        <w:rPr>
          <w:spacing w:val="-10"/>
          <w:sz w:val="20"/>
        </w:rPr>
        <w:t xml:space="preserve"> </w:t>
      </w:r>
      <w:r>
        <w:rPr>
          <w:sz w:val="20"/>
        </w:rPr>
        <w:t>increase</w:t>
      </w:r>
      <w:r>
        <w:rPr>
          <w:spacing w:val="-10"/>
          <w:sz w:val="20"/>
        </w:rPr>
        <w:t xml:space="preserve"> </w:t>
      </w:r>
      <w:r>
        <w:rPr>
          <w:sz w:val="20"/>
        </w:rPr>
        <w:t>in</w:t>
      </w:r>
      <w:r>
        <w:rPr>
          <w:spacing w:val="-10"/>
          <w:sz w:val="20"/>
        </w:rPr>
        <w:t xml:space="preserve"> </w:t>
      </w:r>
      <w:r>
        <w:rPr>
          <w:sz w:val="20"/>
        </w:rPr>
        <w:t>the</w:t>
      </w:r>
      <w:r>
        <w:rPr>
          <w:spacing w:val="-10"/>
          <w:sz w:val="20"/>
        </w:rPr>
        <w:t xml:space="preserve"> </w:t>
      </w:r>
      <w:r>
        <w:rPr>
          <w:sz w:val="20"/>
        </w:rPr>
        <w:t>Government</w:t>
      </w:r>
      <w:r>
        <w:rPr>
          <w:spacing w:val="-10"/>
          <w:sz w:val="20"/>
        </w:rPr>
        <w:t xml:space="preserve"> </w:t>
      </w:r>
      <w:r>
        <w:rPr>
          <w:sz w:val="20"/>
        </w:rPr>
        <w:t>net</w:t>
      </w:r>
      <w:r>
        <w:rPr>
          <w:spacing w:val="-10"/>
          <w:sz w:val="20"/>
        </w:rPr>
        <w:t xml:space="preserve"> </w:t>
      </w:r>
      <w:r>
        <w:rPr>
          <w:sz w:val="20"/>
        </w:rPr>
        <w:t>debt</w:t>
      </w:r>
      <w:r>
        <w:rPr>
          <w:spacing w:val="-10"/>
          <w:sz w:val="20"/>
        </w:rPr>
        <w:t xml:space="preserve"> </w:t>
      </w:r>
      <w:r>
        <w:rPr>
          <w:sz w:val="20"/>
        </w:rPr>
        <w:t>position. While</w:t>
      </w:r>
      <w:r>
        <w:rPr>
          <w:spacing w:val="-11"/>
          <w:sz w:val="20"/>
        </w:rPr>
        <w:t xml:space="preserve"> </w:t>
      </w:r>
      <w:r>
        <w:rPr>
          <w:sz w:val="20"/>
        </w:rPr>
        <w:t>each</w:t>
      </w:r>
      <w:r>
        <w:rPr>
          <w:spacing w:val="-11"/>
          <w:sz w:val="20"/>
        </w:rPr>
        <w:t xml:space="preserve"> </w:t>
      </w:r>
      <w:r>
        <w:rPr>
          <w:sz w:val="20"/>
        </w:rPr>
        <w:t>business</w:t>
      </w:r>
      <w:r>
        <w:rPr>
          <w:spacing w:val="-11"/>
          <w:sz w:val="20"/>
        </w:rPr>
        <w:t xml:space="preserve"> </w:t>
      </w:r>
      <w:r>
        <w:rPr>
          <w:sz w:val="20"/>
        </w:rPr>
        <w:t>has</w:t>
      </w:r>
      <w:r>
        <w:rPr>
          <w:spacing w:val="-11"/>
          <w:sz w:val="20"/>
        </w:rPr>
        <w:t xml:space="preserve"> </w:t>
      </w:r>
      <w:r>
        <w:rPr>
          <w:sz w:val="20"/>
        </w:rPr>
        <w:t>assessed</w:t>
      </w:r>
      <w:r>
        <w:rPr>
          <w:spacing w:val="-11"/>
          <w:sz w:val="20"/>
        </w:rPr>
        <w:t xml:space="preserve"> </w:t>
      </w:r>
      <w:r>
        <w:rPr>
          <w:sz w:val="20"/>
        </w:rPr>
        <w:t>its</w:t>
      </w:r>
      <w:r>
        <w:rPr>
          <w:spacing w:val="-11"/>
          <w:sz w:val="20"/>
        </w:rPr>
        <w:t xml:space="preserve"> </w:t>
      </w:r>
      <w:r>
        <w:rPr>
          <w:sz w:val="20"/>
        </w:rPr>
        <w:t>capital structure</w:t>
      </w:r>
      <w:r>
        <w:rPr>
          <w:spacing w:val="-3"/>
          <w:sz w:val="20"/>
        </w:rPr>
        <w:t xml:space="preserve"> </w:t>
      </w:r>
      <w:r>
        <w:rPr>
          <w:sz w:val="20"/>
        </w:rPr>
        <w:t>to</w:t>
      </w:r>
      <w:r>
        <w:rPr>
          <w:spacing w:val="-3"/>
          <w:sz w:val="20"/>
        </w:rPr>
        <w:t xml:space="preserve"> </w:t>
      </w:r>
      <w:r>
        <w:rPr>
          <w:sz w:val="20"/>
        </w:rPr>
        <w:t>be</w:t>
      </w:r>
      <w:r>
        <w:rPr>
          <w:spacing w:val="-3"/>
          <w:sz w:val="20"/>
        </w:rPr>
        <w:t xml:space="preserve"> </w:t>
      </w:r>
      <w:r>
        <w:rPr>
          <w:sz w:val="20"/>
        </w:rPr>
        <w:t>prudent,</w:t>
      </w:r>
      <w:r>
        <w:rPr>
          <w:spacing w:val="-3"/>
          <w:sz w:val="20"/>
        </w:rPr>
        <w:t xml:space="preserve"> </w:t>
      </w:r>
      <w:r>
        <w:rPr>
          <w:sz w:val="20"/>
        </w:rPr>
        <w:t>the</w:t>
      </w:r>
      <w:r>
        <w:rPr>
          <w:spacing w:val="-3"/>
          <w:sz w:val="20"/>
        </w:rPr>
        <w:t xml:space="preserve"> </w:t>
      </w:r>
      <w:r>
        <w:rPr>
          <w:sz w:val="20"/>
        </w:rPr>
        <w:t>consolidated</w:t>
      </w:r>
      <w:r>
        <w:rPr>
          <w:spacing w:val="-3"/>
          <w:sz w:val="20"/>
        </w:rPr>
        <w:t xml:space="preserve"> </w:t>
      </w:r>
      <w:r>
        <w:rPr>
          <w:sz w:val="20"/>
        </w:rPr>
        <w:t xml:space="preserve">position </w:t>
      </w:r>
      <w:r>
        <w:rPr>
          <w:w w:val="95"/>
          <w:sz w:val="20"/>
        </w:rPr>
        <w:t>has</w:t>
      </w:r>
      <w:r>
        <w:rPr>
          <w:spacing w:val="-2"/>
          <w:w w:val="95"/>
          <w:sz w:val="20"/>
        </w:rPr>
        <w:t xml:space="preserve"> </w:t>
      </w:r>
      <w:r>
        <w:rPr>
          <w:w w:val="95"/>
          <w:sz w:val="20"/>
        </w:rPr>
        <w:t>caused</w:t>
      </w:r>
      <w:r>
        <w:rPr>
          <w:spacing w:val="-2"/>
          <w:w w:val="95"/>
          <w:sz w:val="20"/>
        </w:rPr>
        <w:t xml:space="preserve"> </w:t>
      </w:r>
      <w:r>
        <w:rPr>
          <w:w w:val="95"/>
          <w:sz w:val="20"/>
        </w:rPr>
        <w:t>the</w:t>
      </w:r>
      <w:r>
        <w:rPr>
          <w:spacing w:val="-2"/>
          <w:w w:val="95"/>
          <w:sz w:val="20"/>
        </w:rPr>
        <w:t xml:space="preserve"> </w:t>
      </w:r>
      <w:r>
        <w:rPr>
          <w:w w:val="95"/>
          <w:sz w:val="20"/>
        </w:rPr>
        <w:t>State</w:t>
      </w:r>
      <w:r>
        <w:rPr>
          <w:spacing w:val="-2"/>
          <w:w w:val="95"/>
          <w:sz w:val="20"/>
        </w:rPr>
        <w:t xml:space="preserve"> </w:t>
      </w:r>
      <w:r>
        <w:rPr>
          <w:w w:val="95"/>
          <w:sz w:val="20"/>
        </w:rPr>
        <w:t>to</w:t>
      </w:r>
      <w:r>
        <w:rPr>
          <w:spacing w:val="-2"/>
          <w:w w:val="95"/>
          <w:sz w:val="20"/>
        </w:rPr>
        <w:t xml:space="preserve"> </w:t>
      </w:r>
      <w:r>
        <w:rPr>
          <w:w w:val="95"/>
          <w:sz w:val="20"/>
        </w:rPr>
        <w:t>approach</w:t>
      </w:r>
      <w:r>
        <w:rPr>
          <w:spacing w:val="-2"/>
          <w:w w:val="95"/>
          <w:sz w:val="20"/>
        </w:rPr>
        <w:t xml:space="preserve"> </w:t>
      </w:r>
      <w:r>
        <w:rPr>
          <w:w w:val="95"/>
          <w:sz w:val="20"/>
        </w:rPr>
        <w:t>its</w:t>
      </w:r>
      <w:r>
        <w:rPr>
          <w:spacing w:val="-2"/>
          <w:w w:val="95"/>
          <w:sz w:val="20"/>
        </w:rPr>
        <w:t xml:space="preserve"> </w:t>
      </w:r>
      <w:r>
        <w:rPr>
          <w:w w:val="95"/>
          <w:sz w:val="20"/>
        </w:rPr>
        <w:t>borrowing</w:t>
      </w:r>
      <w:r>
        <w:rPr>
          <w:spacing w:val="-2"/>
          <w:w w:val="95"/>
          <w:sz w:val="20"/>
        </w:rPr>
        <w:t xml:space="preserve"> </w:t>
      </w:r>
      <w:r>
        <w:rPr>
          <w:w w:val="95"/>
          <w:sz w:val="20"/>
        </w:rPr>
        <w:t xml:space="preserve">limit. </w:t>
      </w:r>
      <w:r>
        <w:rPr>
          <w:sz w:val="20"/>
        </w:rPr>
        <w:t>This</w:t>
      </w:r>
      <w:r>
        <w:rPr>
          <w:spacing w:val="-9"/>
          <w:sz w:val="20"/>
        </w:rPr>
        <w:t xml:space="preserve"> </w:t>
      </w:r>
      <w:r>
        <w:rPr>
          <w:sz w:val="20"/>
        </w:rPr>
        <w:t>has</w:t>
      </w:r>
      <w:r>
        <w:rPr>
          <w:spacing w:val="-9"/>
          <w:sz w:val="20"/>
        </w:rPr>
        <w:t xml:space="preserve"> </w:t>
      </w:r>
      <w:r>
        <w:rPr>
          <w:sz w:val="20"/>
        </w:rPr>
        <w:t>caused</w:t>
      </w:r>
      <w:r>
        <w:rPr>
          <w:spacing w:val="-9"/>
          <w:sz w:val="20"/>
        </w:rPr>
        <w:t xml:space="preserve"> </w:t>
      </w:r>
      <w:r>
        <w:rPr>
          <w:sz w:val="20"/>
        </w:rPr>
        <w:t>constraints</w:t>
      </w:r>
      <w:r>
        <w:rPr>
          <w:spacing w:val="-9"/>
          <w:sz w:val="20"/>
        </w:rPr>
        <w:t xml:space="preserve"> </w:t>
      </w:r>
      <w:r>
        <w:rPr>
          <w:sz w:val="20"/>
        </w:rPr>
        <w:t>on</w:t>
      </w:r>
      <w:r>
        <w:rPr>
          <w:spacing w:val="-9"/>
          <w:sz w:val="20"/>
        </w:rPr>
        <w:t xml:space="preserve"> </w:t>
      </w:r>
      <w:r>
        <w:rPr>
          <w:sz w:val="20"/>
        </w:rPr>
        <w:t>borrowing</w:t>
      </w:r>
      <w:r>
        <w:rPr>
          <w:spacing w:val="-9"/>
          <w:sz w:val="20"/>
        </w:rPr>
        <w:t xml:space="preserve"> </w:t>
      </w:r>
      <w:r>
        <w:rPr>
          <w:sz w:val="20"/>
        </w:rPr>
        <w:t>in</w:t>
      </w:r>
      <w:r>
        <w:rPr>
          <w:spacing w:val="-9"/>
          <w:sz w:val="20"/>
        </w:rPr>
        <w:t xml:space="preserve"> </w:t>
      </w:r>
      <w:r>
        <w:rPr>
          <w:sz w:val="20"/>
        </w:rPr>
        <w:t>other Government</w:t>
      </w:r>
      <w:r>
        <w:rPr>
          <w:spacing w:val="-11"/>
          <w:sz w:val="20"/>
        </w:rPr>
        <w:t xml:space="preserve"> </w:t>
      </w:r>
      <w:r>
        <w:rPr>
          <w:sz w:val="20"/>
        </w:rPr>
        <w:t>sectors.</w:t>
      </w:r>
    </w:p>
    <w:p w:rsidR="002C1123" w:rsidRDefault="00F22F94">
      <w:pPr>
        <w:pStyle w:val="ListParagraph"/>
        <w:numPr>
          <w:ilvl w:val="0"/>
          <w:numId w:val="58"/>
        </w:numPr>
        <w:tabs>
          <w:tab w:val="left" w:pos="598"/>
        </w:tabs>
        <w:spacing w:before="137" w:line="249" w:lineRule="auto"/>
        <w:ind w:right="815"/>
        <w:rPr>
          <w:sz w:val="20"/>
        </w:rPr>
      </w:pPr>
      <w:r>
        <w:rPr>
          <w:w w:val="95"/>
          <w:sz w:val="20"/>
        </w:rPr>
        <w:t>Electricity</w:t>
      </w:r>
      <w:r>
        <w:rPr>
          <w:spacing w:val="-9"/>
          <w:w w:val="95"/>
          <w:sz w:val="20"/>
        </w:rPr>
        <w:t xml:space="preserve"> </w:t>
      </w:r>
      <w:r>
        <w:rPr>
          <w:w w:val="95"/>
          <w:sz w:val="20"/>
        </w:rPr>
        <w:t>network</w:t>
      </w:r>
      <w:r>
        <w:rPr>
          <w:spacing w:val="-9"/>
          <w:w w:val="95"/>
          <w:sz w:val="20"/>
        </w:rPr>
        <w:t xml:space="preserve"> </w:t>
      </w:r>
      <w:r>
        <w:rPr>
          <w:w w:val="95"/>
          <w:sz w:val="20"/>
        </w:rPr>
        <w:t>investment</w:t>
      </w:r>
      <w:r>
        <w:rPr>
          <w:spacing w:val="-9"/>
          <w:w w:val="95"/>
          <w:sz w:val="20"/>
        </w:rPr>
        <w:t xml:space="preserve"> </w:t>
      </w:r>
      <w:r>
        <w:rPr>
          <w:w w:val="95"/>
          <w:sz w:val="20"/>
        </w:rPr>
        <w:t>in</w:t>
      </w:r>
      <w:r>
        <w:rPr>
          <w:spacing w:val="-9"/>
          <w:w w:val="95"/>
          <w:sz w:val="20"/>
        </w:rPr>
        <w:t xml:space="preserve"> </w:t>
      </w:r>
      <w:r>
        <w:rPr>
          <w:w w:val="95"/>
          <w:sz w:val="20"/>
        </w:rPr>
        <w:t>NSW</w:t>
      </w:r>
      <w:r>
        <w:rPr>
          <w:spacing w:val="-9"/>
          <w:w w:val="95"/>
          <w:sz w:val="20"/>
        </w:rPr>
        <w:t xml:space="preserve"> </w:t>
      </w:r>
      <w:r>
        <w:rPr>
          <w:w w:val="95"/>
          <w:sz w:val="20"/>
        </w:rPr>
        <w:t>is</w:t>
      </w:r>
      <w:r>
        <w:rPr>
          <w:spacing w:val="-9"/>
          <w:w w:val="95"/>
          <w:sz w:val="20"/>
        </w:rPr>
        <w:t xml:space="preserve"> </w:t>
      </w:r>
      <w:r>
        <w:rPr>
          <w:w w:val="95"/>
          <w:sz w:val="20"/>
        </w:rPr>
        <w:t xml:space="preserve">significantly </w:t>
      </w:r>
      <w:r>
        <w:rPr>
          <w:sz w:val="20"/>
        </w:rPr>
        <w:t>higher</w:t>
      </w:r>
      <w:r>
        <w:rPr>
          <w:spacing w:val="-13"/>
          <w:sz w:val="20"/>
        </w:rPr>
        <w:t xml:space="preserve"> </w:t>
      </w:r>
      <w:r>
        <w:rPr>
          <w:sz w:val="20"/>
        </w:rPr>
        <w:t>than</w:t>
      </w:r>
      <w:r>
        <w:rPr>
          <w:spacing w:val="-13"/>
          <w:sz w:val="20"/>
        </w:rPr>
        <w:t xml:space="preserve"> </w:t>
      </w:r>
      <w:r>
        <w:rPr>
          <w:sz w:val="20"/>
        </w:rPr>
        <w:t>investment</w:t>
      </w:r>
      <w:r>
        <w:rPr>
          <w:spacing w:val="-13"/>
          <w:sz w:val="20"/>
        </w:rPr>
        <w:t xml:space="preserve"> </w:t>
      </w:r>
      <w:r>
        <w:rPr>
          <w:sz w:val="20"/>
        </w:rPr>
        <w:t>in</w:t>
      </w:r>
      <w:r>
        <w:rPr>
          <w:spacing w:val="-13"/>
          <w:sz w:val="20"/>
        </w:rPr>
        <w:t xml:space="preserve"> </w:t>
      </w:r>
      <w:r>
        <w:rPr>
          <w:sz w:val="20"/>
        </w:rPr>
        <w:t>other</w:t>
      </w:r>
      <w:r>
        <w:rPr>
          <w:spacing w:val="-13"/>
          <w:sz w:val="20"/>
        </w:rPr>
        <w:t xml:space="preserve"> </w:t>
      </w:r>
      <w:r>
        <w:rPr>
          <w:sz w:val="20"/>
        </w:rPr>
        <w:t>states</w:t>
      </w:r>
      <w:r>
        <w:rPr>
          <w:spacing w:val="-13"/>
          <w:sz w:val="20"/>
        </w:rPr>
        <w:t xml:space="preserve"> </w:t>
      </w:r>
      <w:r>
        <w:rPr>
          <w:sz w:val="20"/>
        </w:rPr>
        <w:t>where</w:t>
      </w:r>
      <w:r>
        <w:rPr>
          <w:spacing w:val="-13"/>
          <w:sz w:val="20"/>
        </w:rPr>
        <w:t xml:space="preserve"> </w:t>
      </w:r>
      <w:r>
        <w:rPr>
          <w:sz w:val="20"/>
        </w:rPr>
        <w:t>the private sector owns the network.</w:t>
      </w:r>
    </w:p>
    <w:p w:rsidR="002C1123" w:rsidRDefault="00F22F94">
      <w:pPr>
        <w:pStyle w:val="ListParagraph"/>
        <w:numPr>
          <w:ilvl w:val="0"/>
          <w:numId w:val="58"/>
        </w:numPr>
        <w:tabs>
          <w:tab w:val="left" w:pos="598"/>
        </w:tabs>
        <w:spacing w:before="131" w:line="249" w:lineRule="auto"/>
        <w:ind w:right="728"/>
        <w:rPr>
          <w:sz w:val="20"/>
        </w:rPr>
      </w:pPr>
      <w:r>
        <w:rPr>
          <w:sz w:val="20"/>
        </w:rPr>
        <w:t>The</w:t>
      </w:r>
      <w:r>
        <w:rPr>
          <w:spacing w:val="-13"/>
          <w:sz w:val="20"/>
        </w:rPr>
        <w:t xml:space="preserve"> </w:t>
      </w:r>
      <w:r>
        <w:rPr>
          <w:sz w:val="20"/>
        </w:rPr>
        <w:t>Government</w:t>
      </w:r>
      <w:r>
        <w:rPr>
          <w:spacing w:val="-13"/>
          <w:sz w:val="20"/>
        </w:rPr>
        <w:t xml:space="preserve"> </w:t>
      </w:r>
      <w:r>
        <w:rPr>
          <w:sz w:val="20"/>
        </w:rPr>
        <w:t>has</w:t>
      </w:r>
      <w:r>
        <w:rPr>
          <w:spacing w:val="-13"/>
          <w:sz w:val="20"/>
        </w:rPr>
        <w:t xml:space="preserve"> </w:t>
      </w:r>
      <w:r>
        <w:rPr>
          <w:sz w:val="20"/>
        </w:rPr>
        <w:t>decided</w:t>
      </w:r>
      <w:r>
        <w:rPr>
          <w:spacing w:val="-13"/>
          <w:sz w:val="20"/>
        </w:rPr>
        <w:t xml:space="preserve"> </w:t>
      </w:r>
      <w:r>
        <w:rPr>
          <w:sz w:val="20"/>
        </w:rPr>
        <w:t>to</w:t>
      </w:r>
      <w:r>
        <w:rPr>
          <w:spacing w:val="-13"/>
          <w:sz w:val="20"/>
        </w:rPr>
        <w:t xml:space="preserve"> </w:t>
      </w:r>
      <w:r>
        <w:rPr>
          <w:sz w:val="20"/>
        </w:rPr>
        <w:t>sell</w:t>
      </w:r>
      <w:r>
        <w:rPr>
          <w:spacing w:val="-13"/>
          <w:sz w:val="20"/>
        </w:rPr>
        <w:t xml:space="preserve"> </w:t>
      </w:r>
      <w:r>
        <w:rPr>
          <w:sz w:val="20"/>
        </w:rPr>
        <w:t>the</w:t>
      </w:r>
      <w:r>
        <w:rPr>
          <w:spacing w:val="-13"/>
          <w:sz w:val="20"/>
        </w:rPr>
        <w:t xml:space="preserve"> </w:t>
      </w:r>
      <w:r>
        <w:rPr>
          <w:sz w:val="20"/>
        </w:rPr>
        <w:t xml:space="preserve">generation </w:t>
      </w:r>
      <w:r>
        <w:rPr>
          <w:w w:val="95"/>
          <w:sz w:val="20"/>
        </w:rPr>
        <w:t xml:space="preserve">businesses and amalgamate the network businesses </w:t>
      </w:r>
      <w:r>
        <w:rPr>
          <w:sz w:val="20"/>
        </w:rPr>
        <w:t>to</w:t>
      </w:r>
      <w:r>
        <w:rPr>
          <w:spacing w:val="-6"/>
          <w:sz w:val="20"/>
        </w:rPr>
        <w:t xml:space="preserve"> </w:t>
      </w:r>
      <w:r>
        <w:rPr>
          <w:sz w:val="20"/>
        </w:rPr>
        <w:t>reduce</w:t>
      </w:r>
      <w:r>
        <w:rPr>
          <w:spacing w:val="-6"/>
          <w:sz w:val="20"/>
        </w:rPr>
        <w:t xml:space="preserve"> </w:t>
      </w:r>
      <w:r>
        <w:rPr>
          <w:sz w:val="20"/>
        </w:rPr>
        <w:t>pressure</w:t>
      </w:r>
      <w:r>
        <w:rPr>
          <w:spacing w:val="-6"/>
          <w:sz w:val="20"/>
        </w:rPr>
        <w:t xml:space="preserve"> </w:t>
      </w:r>
      <w:r>
        <w:rPr>
          <w:sz w:val="20"/>
        </w:rPr>
        <w:t>on</w:t>
      </w:r>
      <w:r>
        <w:rPr>
          <w:spacing w:val="-6"/>
          <w:sz w:val="20"/>
        </w:rPr>
        <w:t xml:space="preserve"> </w:t>
      </w:r>
      <w:r>
        <w:rPr>
          <w:sz w:val="20"/>
        </w:rPr>
        <w:t>electricity</w:t>
      </w:r>
      <w:r>
        <w:rPr>
          <w:spacing w:val="-6"/>
          <w:sz w:val="20"/>
        </w:rPr>
        <w:t xml:space="preserve"> </w:t>
      </w:r>
      <w:r>
        <w:rPr>
          <w:sz w:val="20"/>
        </w:rPr>
        <w:t>prices</w:t>
      </w:r>
      <w:r>
        <w:rPr>
          <w:spacing w:val="-6"/>
          <w:sz w:val="20"/>
        </w:rPr>
        <w:t xml:space="preserve"> </w:t>
      </w:r>
      <w:r>
        <w:rPr>
          <w:sz w:val="20"/>
        </w:rPr>
        <w:t>and</w:t>
      </w:r>
      <w:r>
        <w:rPr>
          <w:spacing w:val="-6"/>
          <w:sz w:val="20"/>
        </w:rPr>
        <w:t xml:space="preserve"> </w:t>
      </w:r>
      <w:r>
        <w:rPr>
          <w:sz w:val="20"/>
        </w:rPr>
        <w:t>the capital drag on Government resources.</w:t>
      </w:r>
    </w:p>
    <w:p w:rsidR="002C1123" w:rsidRDefault="002C1123">
      <w:pPr>
        <w:spacing w:line="249" w:lineRule="auto"/>
        <w:rPr>
          <w:sz w:val="20"/>
        </w:rPr>
        <w:sectPr w:rsidR="002C1123">
          <w:type w:val="continuous"/>
          <w:pgSz w:w="16840" w:h="11910" w:orient="landscape"/>
          <w:pgMar w:top="560" w:right="280" w:bottom="280" w:left="500" w:header="0" w:footer="517" w:gutter="0"/>
          <w:cols w:num="3" w:space="720" w:equalWidth="0">
            <w:col w:w="5227" w:space="40"/>
            <w:col w:w="4926" w:space="39"/>
            <w:col w:w="5828"/>
          </w:cols>
        </w:sectPr>
      </w:pPr>
    </w:p>
    <w:p w:rsidR="002C1123" w:rsidRDefault="002C1123">
      <w:pPr>
        <w:pStyle w:val="BodyText"/>
      </w:pPr>
    </w:p>
    <w:p w:rsidR="002C1123" w:rsidRDefault="002C1123">
      <w:pPr>
        <w:pStyle w:val="BodyText"/>
      </w:pPr>
    </w:p>
    <w:p w:rsidR="002C1123" w:rsidRDefault="002C1123">
      <w:pPr>
        <w:pStyle w:val="BodyText"/>
        <w:spacing w:before="1"/>
        <w:rPr>
          <w:sz w:val="14"/>
        </w:rPr>
      </w:pPr>
    </w:p>
    <w:p w:rsidR="002C1123" w:rsidRDefault="002060EF">
      <w:pPr>
        <w:pStyle w:val="BodyText"/>
        <w:spacing w:line="20" w:lineRule="exact"/>
        <w:ind w:left="10545"/>
        <w:rPr>
          <w:sz w:val="2"/>
        </w:rPr>
      </w:pPr>
      <w:r>
        <w:rPr>
          <w:sz w:val="2"/>
        </w:rPr>
      </w:r>
      <w:r>
        <w:rPr>
          <w:sz w:val="2"/>
        </w:rPr>
        <w:pict>
          <v:group id="docshapegroup1948" o:spid="_x0000_s3143" style="width:1in;height:.5pt;mso-position-horizontal-relative:char;mso-position-vertical-relative:line" coordsize="1440,10">
            <v:line id="_x0000_s3144" style="position:absolute" from="0,5" to="1440,5" strokecolor="#9c9c9d" strokeweight=".5pt"/>
            <w10:anchorlock/>
          </v:group>
        </w:pict>
      </w:r>
    </w:p>
    <w:p w:rsidR="002C1123" w:rsidRDefault="00F22F94">
      <w:pPr>
        <w:pStyle w:val="ListParagraph"/>
        <w:numPr>
          <w:ilvl w:val="1"/>
          <w:numId w:val="58"/>
        </w:numPr>
        <w:tabs>
          <w:tab w:val="left" w:pos="10745"/>
        </w:tabs>
        <w:spacing w:before="8"/>
        <w:ind w:hanging="200"/>
        <w:jc w:val="left"/>
        <w:rPr>
          <w:sz w:val="14"/>
        </w:rPr>
      </w:pPr>
      <w:r>
        <w:rPr>
          <w:w w:val="95"/>
          <w:sz w:val="14"/>
        </w:rPr>
        <w:t>NSW</w:t>
      </w:r>
      <w:r>
        <w:rPr>
          <w:spacing w:val="-4"/>
          <w:w w:val="95"/>
          <w:sz w:val="14"/>
        </w:rPr>
        <w:t xml:space="preserve"> </w:t>
      </w:r>
      <w:r>
        <w:rPr>
          <w:w w:val="95"/>
          <w:sz w:val="14"/>
        </w:rPr>
        <w:t>Treasury,</w:t>
      </w:r>
      <w:r>
        <w:rPr>
          <w:spacing w:val="-4"/>
          <w:w w:val="95"/>
          <w:sz w:val="14"/>
        </w:rPr>
        <w:t xml:space="preserve"> </w:t>
      </w:r>
      <w:r>
        <w:rPr>
          <w:w w:val="95"/>
          <w:sz w:val="14"/>
        </w:rPr>
        <w:t>2012-13</w:t>
      </w:r>
      <w:r>
        <w:rPr>
          <w:spacing w:val="-4"/>
          <w:w w:val="95"/>
          <w:sz w:val="14"/>
        </w:rPr>
        <w:t xml:space="preserve"> </w:t>
      </w:r>
      <w:r>
        <w:rPr>
          <w:w w:val="95"/>
          <w:sz w:val="14"/>
        </w:rPr>
        <w:t>Budget</w:t>
      </w:r>
      <w:r>
        <w:rPr>
          <w:spacing w:val="-4"/>
          <w:w w:val="95"/>
          <w:sz w:val="14"/>
        </w:rPr>
        <w:t xml:space="preserve"> </w:t>
      </w:r>
      <w:r>
        <w:rPr>
          <w:w w:val="95"/>
          <w:sz w:val="14"/>
        </w:rPr>
        <w:t>Paper</w:t>
      </w:r>
      <w:r>
        <w:rPr>
          <w:spacing w:val="-4"/>
          <w:w w:val="95"/>
          <w:sz w:val="14"/>
        </w:rPr>
        <w:t xml:space="preserve"> </w:t>
      </w:r>
      <w:r>
        <w:rPr>
          <w:spacing w:val="-5"/>
          <w:w w:val="95"/>
          <w:sz w:val="14"/>
        </w:rPr>
        <w:t>4.</w:t>
      </w:r>
    </w:p>
    <w:p w:rsidR="002C1123" w:rsidRDefault="002C1123">
      <w:pPr>
        <w:rPr>
          <w:sz w:val="14"/>
        </w:rPr>
        <w:sectPr w:rsidR="002C1123">
          <w:type w:val="continuous"/>
          <w:pgSz w:w="16840" w:h="11910" w:orient="landscape"/>
          <w:pgMar w:top="560" w:right="280" w:bottom="280" w:left="500" w:header="0" w:footer="517"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ListParagraph"/>
        <w:numPr>
          <w:ilvl w:val="0"/>
          <w:numId w:val="62"/>
        </w:numPr>
        <w:tabs>
          <w:tab w:val="left" w:pos="776"/>
        </w:tabs>
        <w:spacing w:before="93" w:line="249" w:lineRule="auto"/>
        <w:rPr>
          <w:sz w:val="20"/>
        </w:rPr>
      </w:pPr>
      <w:bookmarkStart w:id="301" w:name="11.2_Prices_and_demand"/>
      <w:bookmarkStart w:id="302" w:name="_bookmark215"/>
      <w:bookmarkStart w:id="303" w:name="_bookmark214"/>
      <w:bookmarkEnd w:id="301"/>
      <w:bookmarkEnd w:id="302"/>
      <w:bookmarkEnd w:id="303"/>
      <w:r>
        <w:rPr>
          <w:w w:val="95"/>
          <w:sz w:val="20"/>
        </w:rPr>
        <w:t>Infrastructure</w:t>
      </w:r>
      <w:r>
        <w:rPr>
          <w:spacing w:val="-7"/>
          <w:w w:val="95"/>
          <w:sz w:val="20"/>
        </w:rPr>
        <w:t xml:space="preserve"> </w:t>
      </w:r>
      <w:r>
        <w:rPr>
          <w:w w:val="95"/>
          <w:sz w:val="20"/>
        </w:rPr>
        <w:t>NSW</w:t>
      </w:r>
      <w:r>
        <w:rPr>
          <w:spacing w:val="-7"/>
          <w:w w:val="95"/>
          <w:sz w:val="20"/>
        </w:rPr>
        <w:t xml:space="preserve"> </w:t>
      </w:r>
      <w:r>
        <w:rPr>
          <w:w w:val="95"/>
          <w:sz w:val="20"/>
        </w:rPr>
        <w:t>recommends</w:t>
      </w:r>
      <w:r>
        <w:rPr>
          <w:spacing w:val="-7"/>
          <w:w w:val="95"/>
          <w:sz w:val="20"/>
        </w:rPr>
        <w:t xml:space="preserve"> </w:t>
      </w:r>
      <w:r>
        <w:rPr>
          <w:w w:val="95"/>
          <w:sz w:val="20"/>
        </w:rPr>
        <w:t>reducing</w:t>
      </w:r>
      <w:r>
        <w:rPr>
          <w:spacing w:val="-7"/>
          <w:w w:val="95"/>
          <w:sz w:val="20"/>
        </w:rPr>
        <w:t xml:space="preserve"> </w:t>
      </w:r>
      <w:r>
        <w:rPr>
          <w:w w:val="95"/>
          <w:sz w:val="20"/>
        </w:rPr>
        <w:t>the</w:t>
      </w:r>
      <w:r>
        <w:rPr>
          <w:spacing w:val="-7"/>
          <w:w w:val="95"/>
          <w:sz w:val="20"/>
        </w:rPr>
        <w:t xml:space="preserve"> </w:t>
      </w:r>
      <w:r>
        <w:rPr>
          <w:w w:val="95"/>
          <w:sz w:val="20"/>
        </w:rPr>
        <w:t xml:space="preserve">capital </w:t>
      </w:r>
      <w:r>
        <w:rPr>
          <w:sz w:val="20"/>
        </w:rPr>
        <w:t>invested</w:t>
      </w:r>
      <w:r>
        <w:rPr>
          <w:spacing w:val="-14"/>
          <w:sz w:val="20"/>
        </w:rPr>
        <w:t xml:space="preserve"> </w:t>
      </w:r>
      <w:r>
        <w:rPr>
          <w:sz w:val="20"/>
        </w:rPr>
        <w:t>in</w:t>
      </w:r>
      <w:r>
        <w:rPr>
          <w:spacing w:val="-14"/>
          <w:sz w:val="20"/>
        </w:rPr>
        <w:t xml:space="preserve"> </w:t>
      </w:r>
      <w:r>
        <w:rPr>
          <w:sz w:val="20"/>
        </w:rPr>
        <w:t>electricity</w:t>
      </w:r>
      <w:r>
        <w:rPr>
          <w:spacing w:val="-14"/>
          <w:sz w:val="20"/>
        </w:rPr>
        <w:t xml:space="preserve"> </w:t>
      </w:r>
      <w:r>
        <w:rPr>
          <w:sz w:val="20"/>
        </w:rPr>
        <w:t>assets</w:t>
      </w:r>
      <w:r>
        <w:rPr>
          <w:spacing w:val="-14"/>
          <w:sz w:val="20"/>
        </w:rPr>
        <w:t xml:space="preserve"> </w:t>
      </w:r>
      <w:r>
        <w:rPr>
          <w:sz w:val="20"/>
        </w:rPr>
        <w:t>in</w:t>
      </w:r>
      <w:r>
        <w:rPr>
          <w:spacing w:val="-14"/>
          <w:sz w:val="20"/>
        </w:rPr>
        <w:t xml:space="preserve"> </w:t>
      </w:r>
      <w:r>
        <w:rPr>
          <w:sz w:val="20"/>
        </w:rPr>
        <w:t>the</w:t>
      </w:r>
      <w:r>
        <w:rPr>
          <w:spacing w:val="-14"/>
          <w:sz w:val="20"/>
        </w:rPr>
        <w:t xml:space="preserve"> </w:t>
      </w:r>
      <w:r>
        <w:rPr>
          <w:sz w:val="20"/>
        </w:rPr>
        <w:t>short</w:t>
      </w:r>
      <w:r>
        <w:rPr>
          <w:spacing w:val="-14"/>
          <w:sz w:val="20"/>
        </w:rPr>
        <w:t xml:space="preserve"> </w:t>
      </w:r>
      <w:r>
        <w:rPr>
          <w:sz w:val="20"/>
        </w:rPr>
        <w:t>term.</w:t>
      </w:r>
    </w:p>
    <w:p w:rsidR="002C1123" w:rsidRDefault="00F22F94">
      <w:pPr>
        <w:pStyle w:val="ListParagraph"/>
        <w:numPr>
          <w:ilvl w:val="0"/>
          <w:numId w:val="62"/>
        </w:numPr>
        <w:tabs>
          <w:tab w:val="left" w:pos="776"/>
        </w:tabs>
        <w:spacing w:before="131" w:line="249" w:lineRule="auto"/>
        <w:ind w:right="56"/>
        <w:rPr>
          <w:sz w:val="20"/>
        </w:rPr>
      </w:pPr>
      <w:r>
        <w:rPr>
          <w:sz w:val="20"/>
        </w:rPr>
        <w:t>Private</w:t>
      </w:r>
      <w:r>
        <w:rPr>
          <w:spacing w:val="-14"/>
          <w:sz w:val="20"/>
        </w:rPr>
        <w:t xml:space="preserve"> </w:t>
      </w:r>
      <w:r>
        <w:rPr>
          <w:sz w:val="20"/>
        </w:rPr>
        <w:t>sector</w:t>
      </w:r>
      <w:r>
        <w:rPr>
          <w:spacing w:val="-14"/>
          <w:sz w:val="20"/>
        </w:rPr>
        <w:t xml:space="preserve"> </w:t>
      </w:r>
      <w:r>
        <w:rPr>
          <w:sz w:val="20"/>
        </w:rPr>
        <w:t>investment</w:t>
      </w:r>
      <w:r>
        <w:rPr>
          <w:spacing w:val="-14"/>
          <w:sz w:val="20"/>
        </w:rPr>
        <w:t xml:space="preserve"> </w:t>
      </w:r>
      <w:r>
        <w:rPr>
          <w:sz w:val="20"/>
        </w:rPr>
        <w:t>in</w:t>
      </w:r>
      <w:r>
        <w:rPr>
          <w:spacing w:val="-14"/>
          <w:sz w:val="20"/>
        </w:rPr>
        <w:t xml:space="preserve"> </w:t>
      </w:r>
      <w:r>
        <w:rPr>
          <w:sz w:val="20"/>
        </w:rPr>
        <w:t>gas</w:t>
      </w:r>
      <w:r>
        <w:rPr>
          <w:spacing w:val="-14"/>
          <w:sz w:val="20"/>
        </w:rPr>
        <w:t xml:space="preserve"> </w:t>
      </w:r>
      <w:r>
        <w:rPr>
          <w:sz w:val="20"/>
        </w:rPr>
        <w:t>infrastructure</w:t>
      </w:r>
      <w:r>
        <w:rPr>
          <w:spacing w:val="-14"/>
          <w:sz w:val="20"/>
        </w:rPr>
        <w:t xml:space="preserve"> </w:t>
      </w:r>
      <w:r>
        <w:rPr>
          <w:sz w:val="20"/>
        </w:rPr>
        <w:t>and electricity</w:t>
      </w:r>
      <w:r>
        <w:rPr>
          <w:spacing w:val="-14"/>
          <w:sz w:val="20"/>
        </w:rPr>
        <w:t xml:space="preserve"> </w:t>
      </w:r>
      <w:r>
        <w:rPr>
          <w:sz w:val="20"/>
        </w:rPr>
        <w:t>generation</w:t>
      </w:r>
      <w:r>
        <w:rPr>
          <w:spacing w:val="-14"/>
          <w:sz w:val="20"/>
        </w:rPr>
        <w:t xml:space="preserve"> </w:t>
      </w:r>
      <w:r>
        <w:rPr>
          <w:sz w:val="20"/>
        </w:rPr>
        <w:t>over</w:t>
      </w:r>
      <w:r>
        <w:rPr>
          <w:spacing w:val="-14"/>
          <w:sz w:val="20"/>
        </w:rPr>
        <w:t xml:space="preserve"> </w:t>
      </w:r>
      <w:r>
        <w:rPr>
          <w:sz w:val="20"/>
        </w:rPr>
        <w:t>the</w:t>
      </w:r>
      <w:r>
        <w:rPr>
          <w:spacing w:val="-14"/>
          <w:sz w:val="20"/>
        </w:rPr>
        <w:t xml:space="preserve"> </w:t>
      </w:r>
      <w:r>
        <w:rPr>
          <w:sz w:val="20"/>
        </w:rPr>
        <w:t>next</w:t>
      </w:r>
      <w:r>
        <w:rPr>
          <w:spacing w:val="-13"/>
          <w:sz w:val="20"/>
        </w:rPr>
        <w:t xml:space="preserve"> </w:t>
      </w:r>
      <w:r>
        <w:rPr>
          <w:sz w:val="20"/>
        </w:rPr>
        <w:t>20</w:t>
      </w:r>
      <w:r>
        <w:rPr>
          <w:spacing w:val="-14"/>
          <w:sz w:val="20"/>
        </w:rPr>
        <w:t xml:space="preserve"> </w:t>
      </w:r>
      <w:r>
        <w:rPr>
          <w:sz w:val="20"/>
        </w:rPr>
        <w:t>years</w:t>
      </w:r>
      <w:r>
        <w:rPr>
          <w:spacing w:val="-14"/>
          <w:sz w:val="20"/>
        </w:rPr>
        <w:t xml:space="preserve"> </w:t>
      </w:r>
      <w:r>
        <w:rPr>
          <w:sz w:val="20"/>
        </w:rPr>
        <w:t xml:space="preserve">will </w:t>
      </w:r>
      <w:r>
        <w:rPr>
          <w:w w:val="95"/>
          <w:sz w:val="20"/>
        </w:rPr>
        <w:t>increase</w:t>
      </w:r>
      <w:r>
        <w:rPr>
          <w:spacing w:val="-4"/>
          <w:w w:val="95"/>
          <w:sz w:val="20"/>
        </w:rPr>
        <w:t xml:space="preserve"> </w:t>
      </w:r>
      <w:r>
        <w:rPr>
          <w:w w:val="95"/>
          <w:sz w:val="20"/>
        </w:rPr>
        <w:t>competition</w:t>
      </w:r>
      <w:r>
        <w:rPr>
          <w:spacing w:val="-4"/>
          <w:w w:val="95"/>
          <w:sz w:val="20"/>
        </w:rPr>
        <w:t xml:space="preserve"> </w:t>
      </w:r>
      <w:r>
        <w:rPr>
          <w:w w:val="95"/>
          <w:sz w:val="20"/>
        </w:rPr>
        <w:t>in</w:t>
      </w:r>
      <w:r>
        <w:rPr>
          <w:spacing w:val="-4"/>
          <w:w w:val="95"/>
          <w:sz w:val="20"/>
        </w:rPr>
        <w:t xml:space="preserve"> </w:t>
      </w:r>
      <w:r>
        <w:rPr>
          <w:w w:val="95"/>
          <w:sz w:val="20"/>
        </w:rPr>
        <w:t>the</w:t>
      </w:r>
      <w:r>
        <w:rPr>
          <w:spacing w:val="-4"/>
          <w:w w:val="95"/>
          <w:sz w:val="20"/>
        </w:rPr>
        <w:t xml:space="preserve"> </w:t>
      </w:r>
      <w:r>
        <w:rPr>
          <w:w w:val="95"/>
          <w:sz w:val="20"/>
        </w:rPr>
        <w:t>energy</w:t>
      </w:r>
      <w:r>
        <w:rPr>
          <w:spacing w:val="-4"/>
          <w:w w:val="95"/>
          <w:sz w:val="20"/>
        </w:rPr>
        <w:t xml:space="preserve"> </w:t>
      </w:r>
      <w:r>
        <w:rPr>
          <w:w w:val="95"/>
          <w:sz w:val="20"/>
        </w:rPr>
        <w:t>market</w:t>
      </w:r>
      <w:r>
        <w:rPr>
          <w:spacing w:val="-4"/>
          <w:w w:val="95"/>
          <w:sz w:val="20"/>
        </w:rPr>
        <w:t xml:space="preserve"> </w:t>
      </w:r>
      <w:r>
        <w:rPr>
          <w:w w:val="95"/>
          <w:sz w:val="20"/>
        </w:rPr>
        <w:t>and</w:t>
      </w:r>
      <w:r>
        <w:rPr>
          <w:spacing w:val="-4"/>
          <w:w w:val="95"/>
          <w:sz w:val="20"/>
        </w:rPr>
        <w:t xml:space="preserve"> </w:t>
      </w:r>
      <w:r>
        <w:rPr>
          <w:w w:val="95"/>
          <w:sz w:val="20"/>
        </w:rPr>
        <w:t xml:space="preserve">lower </w:t>
      </w:r>
      <w:r>
        <w:rPr>
          <w:sz w:val="20"/>
        </w:rPr>
        <w:t>production costs for the whole economy.</w:t>
      </w:r>
    </w:p>
    <w:p w:rsidR="002C1123" w:rsidRDefault="002C1123">
      <w:pPr>
        <w:pStyle w:val="BodyText"/>
        <w:spacing w:before="6"/>
        <w:rPr>
          <w:sz w:val="23"/>
        </w:rPr>
      </w:pPr>
    </w:p>
    <w:p w:rsidR="002C1123" w:rsidRDefault="00F22F94">
      <w:pPr>
        <w:pStyle w:val="Heading5"/>
        <w:numPr>
          <w:ilvl w:val="1"/>
          <w:numId w:val="63"/>
        </w:numPr>
        <w:tabs>
          <w:tab w:val="left" w:pos="1093"/>
        </w:tabs>
        <w:spacing w:before="0"/>
        <w:ind w:left="1092"/>
        <w:jc w:val="left"/>
      </w:pPr>
      <w:r>
        <w:rPr>
          <w:color w:val="00AEEF"/>
          <w:spacing w:val="-4"/>
        </w:rPr>
        <w:t>Prices</w:t>
      </w:r>
      <w:r>
        <w:rPr>
          <w:color w:val="00AEEF"/>
          <w:spacing w:val="-13"/>
        </w:rPr>
        <w:t xml:space="preserve"> </w:t>
      </w:r>
      <w:r>
        <w:rPr>
          <w:color w:val="00AEEF"/>
          <w:spacing w:val="-4"/>
        </w:rPr>
        <w:t>and</w:t>
      </w:r>
      <w:r>
        <w:rPr>
          <w:color w:val="00AEEF"/>
          <w:spacing w:val="-13"/>
        </w:rPr>
        <w:t xml:space="preserve"> </w:t>
      </w:r>
      <w:r>
        <w:rPr>
          <w:color w:val="00AEEF"/>
          <w:spacing w:val="-4"/>
        </w:rPr>
        <w:t>demand</w:t>
      </w:r>
    </w:p>
    <w:p w:rsidR="002C1123" w:rsidRDefault="00F22F94">
      <w:pPr>
        <w:pStyle w:val="BodyText"/>
        <w:spacing w:before="135" w:line="249" w:lineRule="auto"/>
        <w:ind w:left="492"/>
      </w:pPr>
      <w:r>
        <w:rPr>
          <w:spacing w:val="-2"/>
        </w:rPr>
        <w:t>The</w:t>
      </w:r>
      <w:r>
        <w:rPr>
          <w:spacing w:val="-7"/>
        </w:rPr>
        <w:t xml:space="preserve"> </w:t>
      </w:r>
      <w:r>
        <w:rPr>
          <w:spacing w:val="-2"/>
        </w:rPr>
        <w:t>NSW</w:t>
      </w:r>
      <w:r>
        <w:rPr>
          <w:spacing w:val="-7"/>
        </w:rPr>
        <w:t xml:space="preserve"> </w:t>
      </w:r>
      <w:r>
        <w:rPr>
          <w:spacing w:val="-2"/>
        </w:rPr>
        <w:t>economy</w:t>
      </w:r>
      <w:r>
        <w:rPr>
          <w:spacing w:val="-7"/>
        </w:rPr>
        <w:t xml:space="preserve"> </w:t>
      </w:r>
      <w:r>
        <w:rPr>
          <w:spacing w:val="-2"/>
        </w:rPr>
        <w:t>has</w:t>
      </w:r>
      <w:r>
        <w:rPr>
          <w:spacing w:val="-7"/>
        </w:rPr>
        <w:t xml:space="preserve"> </w:t>
      </w:r>
      <w:r>
        <w:rPr>
          <w:spacing w:val="-2"/>
        </w:rPr>
        <w:t>traditionally</w:t>
      </w:r>
      <w:r>
        <w:rPr>
          <w:spacing w:val="-7"/>
        </w:rPr>
        <w:t xml:space="preserve"> </w:t>
      </w:r>
      <w:r>
        <w:rPr>
          <w:spacing w:val="-2"/>
        </w:rPr>
        <w:t>benefited</w:t>
      </w:r>
      <w:r>
        <w:rPr>
          <w:spacing w:val="-7"/>
        </w:rPr>
        <w:t xml:space="preserve"> </w:t>
      </w:r>
      <w:r>
        <w:rPr>
          <w:spacing w:val="-2"/>
        </w:rPr>
        <w:t>from</w:t>
      </w:r>
      <w:r>
        <w:rPr>
          <w:spacing w:val="-8"/>
        </w:rPr>
        <w:t xml:space="preserve"> </w:t>
      </w:r>
      <w:r>
        <w:rPr>
          <w:spacing w:val="-2"/>
        </w:rPr>
        <w:t xml:space="preserve">the </w:t>
      </w:r>
      <w:r>
        <w:rPr>
          <w:w w:val="95"/>
        </w:rPr>
        <w:t xml:space="preserve">competitive advantage of low priced energy based upon </w:t>
      </w:r>
      <w:r>
        <w:t>abundant</w:t>
      </w:r>
      <w:r>
        <w:rPr>
          <w:spacing w:val="-12"/>
        </w:rPr>
        <w:t xml:space="preserve"> </w:t>
      </w:r>
      <w:r>
        <w:t>reserves</w:t>
      </w:r>
      <w:r>
        <w:rPr>
          <w:spacing w:val="-12"/>
        </w:rPr>
        <w:t xml:space="preserve"> </w:t>
      </w:r>
      <w:r>
        <w:t>of</w:t>
      </w:r>
      <w:r>
        <w:rPr>
          <w:spacing w:val="-12"/>
        </w:rPr>
        <w:t xml:space="preserve"> </w:t>
      </w:r>
      <w:r>
        <w:t>coal.</w:t>
      </w:r>
      <w:r>
        <w:rPr>
          <w:spacing w:val="-12"/>
        </w:rPr>
        <w:t xml:space="preserve"> </w:t>
      </w:r>
      <w:r>
        <w:t>This</w:t>
      </w:r>
      <w:r>
        <w:rPr>
          <w:spacing w:val="-12"/>
        </w:rPr>
        <w:t xml:space="preserve"> </w:t>
      </w:r>
      <w:r>
        <w:t>long</w:t>
      </w:r>
      <w:r>
        <w:rPr>
          <w:spacing w:val="-12"/>
        </w:rPr>
        <w:t xml:space="preserve"> </w:t>
      </w:r>
      <w:r>
        <w:t>term</w:t>
      </w:r>
      <w:r>
        <w:rPr>
          <w:spacing w:val="-13"/>
        </w:rPr>
        <w:t xml:space="preserve"> </w:t>
      </w:r>
      <w:r>
        <w:t>competitive advantage</w:t>
      </w:r>
      <w:r>
        <w:rPr>
          <w:spacing w:val="-12"/>
        </w:rPr>
        <w:t xml:space="preserve"> </w:t>
      </w:r>
      <w:r>
        <w:t>has</w:t>
      </w:r>
      <w:r>
        <w:rPr>
          <w:spacing w:val="-12"/>
        </w:rPr>
        <w:t xml:space="preserve"> </w:t>
      </w:r>
      <w:r>
        <w:t>all</w:t>
      </w:r>
      <w:r>
        <w:rPr>
          <w:spacing w:val="-12"/>
        </w:rPr>
        <w:t xml:space="preserve"> </w:t>
      </w:r>
      <w:r>
        <w:t>but</w:t>
      </w:r>
      <w:r>
        <w:rPr>
          <w:spacing w:val="-12"/>
        </w:rPr>
        <w:t xml:space="preserve"> </w:t>
      </w:r>
      <w:r>
        <w:t>disappeared</w:t>
      </w:r>
      <w:r>
        <w:rPr>
          <w:spacing w:val="-12"/>
        </w:rPr>
        <w:t xml:space="preserve"> </w:t>
      </w:r>
      <w:r>
        <w:t>over</w:t>
      </w:r>
      <w:r>
        <w:rPr>
          <w:spacing w:val="-12"/>
        </w:rPr>
        <w:t xml:space="preserve"> </w:t>
      </w:r>
      <w:r>
        <w:t>the</w:t>
      </w:r>
      <w:r>
        <w:rPr>
          <w:spacing w:val="-12"/>
        </w:rPr>
        <w:t xml:space="preserve"> </w:t>
      </w:r>
      <w:r>
        <w:t>last</w:t>
      </w:r>
    </w:p>
    <w:p w:rsidR="002C1123" w:rsidRDefault="00F22F94">
      <w:pPr>
        <w:pStyle w:val="BodyText"/>
        <w:spacing w:before="4"/>
        <w:ind w:left="492"/>
      </w:pPr>
      <w:r>
        <w:rPr>
          <w:w w:val="95"/>
        </w:rPr>
        <w:t>5</w:t>
      </w:r>
      <w:r>
        <w:rPr>
          <w:spacing w:val="-8"/>
          <w:w w:val="95"/>
        </w:rPr>
        <w:t xml:space="preserve"> </w:t>
      </w:r>
      <w:r>
        <w:rPr>
          <w:w w:val="95"/>
        </w:rPr>
        <w:t>to</w:t>
      </w:r>
      <w:r>
        <w:rPr>
          <w:spacing w:val="-8"/>
          <w:w w:val="95"/>
        </w:rPr>
        <w:t xml:space="preserve"> </w:t>
      </w:r>
      <w:r>
        <w:rPr>
          <w:w w:val="95"/>
        </w:rPr>
        <w:t>10</w:t>
      </w:r>
      <w:r>
        <w:rPr>
          <w:spacing w:val="-8"/>
          <w:w w:val="95"/>
        </w:rPr>
        <w:t xml:space="preserve"> </w:t>
      </w:r>
      <w:r>
        <w:rPr>
          <w:spacing w:val="-2"/>
          <w:w w:val="95"/>
        </w:rPr>
        <w:t>years.</w:t>
      </w:r>
    </w:p>
    <w:p w:rsidR="002C1123" w:rsidRDefault="00F22F94">
      <w:pPr>
        <w:pStyle w:val="BodyText"/>
        <w:spacing w:before="151" w:line="249" w:lineRule="auto"/>
        <w:ind w:left="492" w:right="103"/>
      </w:pPr>
      <w:r>
        <w:t>The</w:t>
      </w:r>
      <w:r>
        <w:rPr>
          <w:spacing w:val="-14"/>
        </w:rPr>
        <w:t xml:space="preserve"> </w:t>
      </w:r>
      <w:r>
        <w:t>era</w:t>
      </w:r>
      <w:r>
        <w:rPr>
          <w:spacing w:val="-14"/>
        </w:rPr>
        <w:t xml:space="preserve"> </w:t>
      </w:r>
      <w:r>
        <w:t>of</w:t>
      </w:r>
      <w:r>
        <w:rPr>
          <w:spacing w:val="-14"/>
        </w:rPr>
        <w:t xml:space="preserve"> </w:t>
      </w:r>
      <w:r>
        <w:t>low</w:t>
      </w:r>
      <w:r>
        <w:rPr>
          <w:spacing w:val="-14"/>
        </w:rPr>
        <w:t xml:space="preserve"> </w:t>
      </w:r>
      <w:r>
        <w:t>cost</w:t>
      </w:r>
      <w:r>
        <w:rPr>
          <w:spacing w:val="-14"/>
        </w:rPr>
        <w:t xml:space="preserve"> </w:t>
      </w:r>
      <w:r>
        <w:t>energy</w:t>
      </w:r>
      <w:r>
        <w:rPr>
          <w:spacing w:val="-14"/>
        </w:rPr>
        <w:t xml:space="preserve"> </w:t>
      </w:r>
      <w:r>
        <w:t>is</w:t>
      </w:r>
      <w:r>
        <w:rPr>
          <w:spacing w:val="-14"/>
        </w:rPr>
        <w:t xml:space="preserve"> </w:t>
      </w:r>
      <w:r>
        <w:t>over.</w:t>
      </w:r>
      <w:r>
        <w:rPr>
          <w:spacing w:val="-14"/>
        </w:rPr>
        <w:t xml:space="preserve"> </w:t>
      </w:r>
      <w:r>
        <w:t>High</w:t>
      </w:r>
      <w:r>
        <w:rPr>
          <w:spacing w:val="-14"/>
        </w:rPr>
        <w:t xml:space="preserve"> </w:t>
      </w:r>
      <w:r>
        <w:t>levels</w:t>
      </w:r>
      <w:r>
        <w:rPr>
          <w:spacing w:val="-13"/>
        </w:rPr>
        <w:t xml:space="preserve"> </w:t>
      </w:r>
      <w:r>
        <w:t xml:space="preserve">of </w:t>
      </w:r>
      <w:r>
        <w:rPr>
          <w:w w:val="95"/>
        </w:rPr>
        <w:t xml:space="preserve">investment in electricity networks and the proliferation </w:t>
      </w:r>
      <w:r>
        <w:rPr>
          <w:spacing w:val="-2"/>
        </w:rPr>
        <w:t>of</w:t>
      </w:r>
      <w:r>
        <w:rPr>
          <w:spacing w:val="-4"/>
        </w:rPr>
        <w:t xml:space="preserve"> </w:t>
      </w:r>
      <w:r>
        <w:rPr>
          <w:spacing w:val="-2"/>
        </w:rPr>
        <w:t>primarily</w:t>
      </w:r>
      <w:r>
        <w:rPr>
          <w:spacing w:val="-4"/>
        </w:rPr>
        <w:t xml:space="preserve"> </w:t>
      </w:r>
      <w:r>
        <w:rPr>
          <w:spacing w:val="-2"/>
        </w:rPr>
        <w:t>Federal</w:t>
      </w:r>
      <w:r>
        <w:rPr>
          <w:spacing w:val="-4"/>
        </w:rPr>
        <w:t xml:space="preserve"> </w:t>
      </w:r>
      <w:r>
        <w:rPr>
          <w:spacing w:val="-2"/>
        </w:rPr>
        <w:t>Government</w:t>
      </w:r>
      <w:r>
        <w:rPr>
          <w:spacing w:val="-4"/>
        </w:rPr>
        <w:t xml:space="preserve"> </w:t>
      </w:r>
      <w:r>
        <w:rPr>
          <w:spacing w:val="-2"/>
        </w:rPr>
        <w:t>renewable</w:t>
      </w:r>
      <w:r>
        <w:rPr>
          <w:spacing w:val="-4"/>
        </w:rPr>
        <w:t xml:space="preserve"> </w:t>
      </w:r>
      <w:r>
        <w:rPr>
          <w:spacing w:val="-2"/>
        </w:rPr>
        <w:t xml:space="preserve">energy </w:t>
      </w:r>
      <w:r>
        <w:rPr>
          <w:w w:val="95"/>
        </w:rPr>
        <w:t>schemes</w:t>
      </w:r>
      <w:r>
        <w:rPr>
          <w:spacing w:val="-2"/>
          <w:w w:val="95"/>
        </w:rPr>
        <w:t xml:space="preserve"> </w:t>
      </w:r>
      <w:r>
        <w:rPr>
          <w:w w:val="95"/>
        </w:rPr>
        <w:t>have</w:t>
      </w:r>
      <w:r>
        <w:rPr>
          <w:spacing w:val="-2"/>
          <w:w w:val="95"/>
        </w:rPr>
        <w:t xml:space="preserve"> </w:t>
      </w:r>
      <w:r>
        <w:rPr>
          <w:w w:val="95"/>
        </w:rPr>
        <w:t>caused</w:t>
      </w:r>
      <w:r>
        <w:rPr>
          <w:spacing w:val="-2"/>
          <w:w w:val="95"/>
        </w:rPr>
        <w:t xml:space="preserve"> </w:t>
      </w:r>
      <w:r>
        <w:rPr>
          <w:w w:val="95"/>
        </w:rPr>
        <w:t>the</w:t>
      </w:r>
      <w:r>
        <w:rPr>
          <w:spacing w:val="-2"/>
          <w:w w:val="95"/>
        </w:rPr>
        <w:t xml:space="preserve"> </w:t>
      </w:r>
      <w:r>
        <w:rPr>
          <w:w w:val="95"/>
        </w:rPr>
        <w:t>average</w:t>
      </w:r>
      <w:r>
        <w:rPr>
          <w:spacing w:val="-2"/>
          <w:w w:val="95"/>
        </w:rPr>
        <w:t xml:space="preserve"> </w:t>
      </w:r>
      <w:r>
        <w:rPr>
          <w:w w:val="95"/>
        </w:rPr>
        <w:t>electricity</w:t>
      </w:r>
      <w:r>
        <w:rPr>
          <w:spacing w:val="-2"/>
          <w:w w:val="95"/>
        </w:rPr>
        <w:t xml:space="preserve"> </w:t>
      </w:r>
      <w:r>
        <w:rPr>
          <w:w w:val="95"/>
        </w:rPr>
        <w:t>retail</w:t>
      </w:r>
      <w:r>
        <w:rPr>
          <w:spacing w:val="-2"/>
          <w:w w:val="95"/>
        </w:rPr>
        <w:t xml:space="preserve"> </w:t>
      </w:r>
      <w:r>
        <w:rPr>
          <w:w w:val="95"/>
        </w:rPr>
        <w:t>bill to</w:t>
      </w:r>
      <w:r>
        <w:rPr>
          <w:spacing w:val="-9"/>
          <w:w w:val="95"/>
        </w:rPr>
        <w:t xml:space="preserve"> </w:t>
      </w:r>
      <w:r>
        <w:rPr>
          <w:w w:val="95"/>
        </w:rPr>
        <w:t>double</w:t>
      </w:r>
      <w:r>
        <w:rPr>
          <w:spacing w:val="-9"/>
          <w:w w:val="95"/>
        </w:rPr>
        <w:t xml:space="preserve"> </w:t>
      </w:r>
      <w:r>
        <w:rPr>
          <w:w w:val="95"/>
        </w:rPr>
        <w:t>over</w:t>
      </w:r>
      <w:r>
        <w:rPr>
          <w:spacing w:val="-9"/>
          <w:w w:val="95"/>
        </w:rPr>
        <w:t xml:space="preserve"> </w:t>
      </w:r>
      <w:r>
        <w:rPr>
          <w:w w:val="95"/>
        </w:rPr>
        <w:t>the</w:t>
      </w:r>
      <w:r>
        <w:rPr>
          <w:spacing w:val="-9"/>
          <w:w w:val="95"/>
        </w:rPr>
        <w:t xml:space="preserve"> </w:t>
      </w:r>
      <w:r>
        <w:rPr>
          <w:w w:val="95"/>
        </w:rPr>
        <w:t>past</w:t>
      </w:r>
      <w:r>
        <w:rPr>
          <w:spacing w:val="-9"/>
          <w:w w:val="95"/>
        </w:rPr>
        <w:t xml:space="preserve"> </w:t>
      </w:r>
      <w:r>
        <w:rPr>
          <w:w w:val="95"/>
        </w:rPr>
        <w:t>eight</w:t>
      </w:r>
      <w:r>
        <w:rPr>
          <w:spacing w:val="-9"/>
          <w:w w:val="95"/>
        </w:rPr>
        <w:t xml:space="preserve"> </w:t>
      </w:r>
      <w:r>
        <w:rPr>
          <w:w w:val="95"/>
        </w:rPr>
        <w:t>years</w:t>
      </w:r>
      <w:r>
        <w:rPr>
          <w:spacing w:val="-9"/>
          <w:w w:val="95"/>
        </w:rPr>
        <w:t xml:space="preserve"> </w:t>
      </w:r>
      <w:r>
        <w:rPr>
          <w:w w:val="95"/>
        </w:rPr>
        <w:t>for</w:t>
      </w:r>
      <w:r>
        <w:rPr>
          <w:spacing w:val="-9"/>
          <w:w w:val="95"/>
        </w:rPr>
        <w:t xml:space="preserve"> </w:t>
      </w:r>
      <w:r>
        <w:rPr>
          <w:w w:val="95"/>
        </w:rPr>
        <w:t>NSW</w:t>
      </w:r>
      <w:r>
        <w:rPr>
          <w:spacing w:val="-9"/>
          <w:w w:val="95"/>
        </w:rPr>
        <w:t xml:space="preserve"> </w:t>
      </w:r>
      <w:r>
        <w:rPr>
          <w:w w:val="95"/>
        </w:rPr>
        <w:t xml:space="preserve">residential </w:t>
      </w:r>
      <w:r>
        <w:t>customers,</w:t>
      </w:r>
      <w:r>
        <w:rPr>
          <w:spacing w:val="-4"/>
        </w:rPr>
        <w:t xml:space="preserve"> </w:t>
      </w:r>
      <w:r>
        <w:t>from</w:t>
      </w:r>
      <w:r>
        <w:rPr>
          <w:spacing w:val="-5"/>
        </w:rPr>
        <w:t xml:space="preserve"> </w:t>
      </w:r>
      <w:r>
        <w:t>around</w:t>
      </w:r>
      <w:r>
        <w:rPr>
          <w:spacing w:val="-4"/>
        </w:rPr>
        <w:t xml:space="preserve"> </w:t>
      </w:r>
      <w:r>
        <w:t>$800</w:t>
      </w:r>
      <w:r>
        <w:rPr>
          <w:spacing w:val="-4"/>
        </w:rPr>
        <w:t xml:space="preserve"> </w:t>
      </w:r>
      <w:r>
        <w:t>to</w:t>
      </w:r>
      <w:r>
        <w:rPr>
          <w:spacing w:val="-4"/>
        </w:rPr>
        <w:t xml:space="preserve"> </w:t>
      </w:r>
      <w:r>
        <w:t>near</w:t>
      </w:r>
      <w:r>
        <w:rPr>
          <w:spacing w:val="-4"/>
        </w:rPr>
        <w:t xml:space="preserve"> </w:t>
      </w:r>
      <w:r>
        <w:t>$1,600</w:t>
      </w:r>
      <w:r>
        <w:rPr>
          <w:spacing w:val="-4"/>
        </w:rPr>
        <w:t xml:space="preserve"> </w:t>
      </w:r>
      <w:r>
        <w:t>per annum.</w:t>
      </w:r>
      <w:r>
        <w:rPr>
          <w:spacing w:val="-14"/>
        </w:rPr>
        <w:t xml:space="preserve"> </w:t>
      </w:r>
      <w:r>
        <w:t>This</w:t>
      </w:r>
      <w:r>
        <w:rPr>
          <w:spacing w:val="-14"/>
        </w:rPr>
        <w:t xml:space="preserve"> </w:t>
      </w:r>
      <w:r>
        <w:t>is</w:t>
      </w:r>
      <w:r>
        <w:rPr>
          <w:spacing w:val="-14"/>
        </w:rPr>
        <w:t xml:space="preserve"> </w:t>
      </w:r>
      <w:r>
        <w:t>shown</w:t>
      </w:r>
      <w:r>
        <w:rPr>
          <w:spacing w:val="-14"/>
        </w:rPr>
        <w:t xml:space="preserve"> </w:t>
      </w:r>
      <w:r>
        <w:t>in</w:t>
      </w:r>
      <w:r>
        <w:rPr>
          <w:spacing w:val="-14"/>
        </w:rPr>
        <w:t xml:space="preserve"> </w:t>
      </w:r>
      <w:r>
        <w:t>Figure</w:t>
      </w:r>
      <w:r>
        <w:rPr>
          <w:spacing w:val="-14"/>
        </w:rPr>
        <w:t xml:space="preserve"> </w:t>
      </w:r>
      <w:r>
        <w:t>11.1.</w:t>
      </w:r>
    </w:p>
    <w:p w:rsidR="002C1123" w:rsidRDefault="00F22F94">
      <w:pPr>
        <w:spacing w:before="146"/>
        <w:ind w:left="238"/>
        <w:rPr>
          <w:b/>
          <w:sz w:val="18"/>
        </w:rPr>
      </w:pPr>
      <w:r>
        <w:br w:type="column"/>
      </w:r>
      <w:r>
        <w:rPr>
          <w:b/>
          <w:w w:val="95"/>
          <w:sz w:val="18"/>
        </w:rPr>
        <w:t>Figure</w:t>
      </w:r>
      <w:r>
        <w:rPr>
          <w:b/>
          <w:spacing w:val="-4"/>
          <w:w w:val="95"/>
          <w:sz w:val="18"/>
        </w:rPr>
        <w:t xml:space="preserve"> </w:t>
      </w:r>
      <w:r>
        <w:rPr>
          <w:b/>
          <w:w w:val="95"/>
          <w:sz w:val="18"/>
        </w:rPr>
        <w:t>11.1</w:t>
      </w:r>
      <w:r>
        <w:rPr>
          <w:b/>
          <w:spacing w:val="44"/>
          <w:sz w:val="18"/>
        </w:rPr>
        <w:t xml:space="preserve"> </w:t>
      </w:r>
      <w:r>
        <w:rPr>
          <w:b/>
          <w:w w:val="95"/>
          <w:sz w:val="18"/>
        </w:rPr>
        <w:t>NSW</w:t>
      </w:r>
      <w:r>
        <w:rPr>
          <w:b/>
          <w:spacing w:val="-4"/>
          <w:w w:val="95"/>
          <w:sz w:val="18"/>
        </w:rPr>
        <w:t xml:space="preserve"> </w:t>
      </w:r>
      <w:r>
        <w:rPr>
          <w:b/>
          <w:w w:val="95"/>
          <w:sz w:val="18"/>
        </w:rPr>
        <w:t>Electricity</w:t>
      </w:r>
      <w:r>
        <w:rPr>
          <w:b/>
          <w:spacing w:val="-4"/>
          <w:w w:val="95"/>
          <w:sz w:val="18"/>
        </w:rPr>
        <w:t xml:space="preserve"> </w:t>
      </w:r>
      <w:r>
        <w:rPr>
          <w:b/>
          <w:w w:val="95"/>
          <w:sz w:val="18"/>
        </w:rPr>
        <w:t>bills</w:t>
      </w:r>
      <w:r>
        <w:rPr>
          <w:b/>
          <w:spacing w:val="-4"/>
          <w:w w:val="95"/>
          <w:sz w:val="18"/>
        </w:rPr>
        <w:t xml:space="preserve"> </w:t>
      </w:r>
      <w:r>
        <w:rPr>
          <w:b/>
          <w:w w:val="95"/>
          <w:sz w:val="18"/>
        </w:rPr>
        <w:t>for</w:t>
      </w:r>
      <w:r>
        <w:rPr>
          <w:b/>
          <w:spacing w:val="-4"/>
          <w:w w:val="95"/>
          <w:sz w:val="18"/>
        </w:rPr>
        <w:t xml:space="preserve"> </w:t>
      </w:r>
      <w:r>
        <w:rPr>
          <w:b/>
          <w:w w:val="95"/>
          <w:sz w:val="18"/>
        </w:rPr>
        <w:t>residential</w:t>
      </w:r>
      <w:r>
        <w:rPr>
          <w:b/>
          <w:spacing w:val="-4"/>
          <w:w w:val="95"/>
          <w:sz w:val="18"/>
        </w:rPr>
        <w:t xml:space="preserve"> </w:t>
      </w:r>
      <w:r>
        <w:rPr>
          <w:b/>
          <w:spacing w:val="-2"/>
          <w:w w:val="95"/>
          <w:sz w:val="18"/>
        </w:rPr>
        <w:t>customers</w:t>
      </w:r>
    </w:p>
    <w:p w:rsidR="002C1123" w:rsidRDefault="002C1123">
      <w:pPr>
        <w:pStyle w:val="BodyText"/>
        <w:spacing w:before="9"/>
        <w:rPr>
          <w:b/>
          <w:sz w:val="28"/>
        </w:rPr>
      </w:pPr>
    </w:p>
    <w:p w:rsidR="002C1123" w:rsidRDefault="002060EF">
      <w:pPr>
        <w:ind w:right="4235"/>
        <w:jc w:val="right"/>
        <w:rPr>
          <w:sz w:val="16"/>
        </w:rPr>
      </w:pPr>
      <w:r>
        <w:pict>
          <v:group id="docshapegroup1949" o:spid="_x0000_s3109" style="position:absolute;left:0;text-align:left;margin-left:335.3pt;margin-top:18.35pt;width:204.8pt;height:112.3pt;z-index:251548672;mso-position-horizontal-relative:page" coordorigin="6706,367" coordsize="4096,2246">
            <v:shape id="docshape1950" o:spid="_x0000_s3142" style="position:absolute;left:6705;top:1975;width:504;height:2" coordorigin="6706,1976" coordsize="504,0" o:spt="100" adj="0,,0" path="m6706,1976r55,m6922,1976r18,m7102,1976r107,e" filled="f" strokecolor="#b2b1b3" strokeweight=".14042mm">
              <v:stroke joinstyle="round"/>
              <v:formulas/>
              <v:path arrowok="t" o:connecttype="segments"/>
            </v:shape>
            <v:rect id="docshape1951" o:spid="_x0000_s3141" style="position:absolute;left:6940;top:1520;width:162;height:1085" fillcolor="#00aeef" stroked="f"/>
            <v:shape id="docshape1952" o:spid="_x0000_s3140" style="position:absolute;left:8267;top:1975;width:287;height:2" coordorigin="8267,1976" coordsize="287,0" o:spt="100" adj="0,,0" path="m8267,1976r18,m8447,1976r107,e" filled="f" strokecolor="#b2b1b3" strokeweight=".14042mm">
              <v:stroke joinstyle="round"/>
              <v:formulas/>
              <v:path arrowok="t" o:connecttype="segments"/>
            </v:shape>
            <v:shape id="docshape1953" o:spid="_x0000_s3139" style="position:absolute;left:6705;top:1342;width:2028;height:4" coordorigin="6706,1343" coordsize="2028,4" o:spt="100" adj="0,,0" path="m6706,1347r2028,m6706,1343r2028,e" filled="f" strokecolor="#b2b1b3" strokeweight=".1365mm">
              <v:stroke joinstyle="round"/>
              <v:formulas/>
              <v:path arrowok="t" o:connecttype="segments"/>
            </v:shape>
            <v:rect id="docshape1954" o:spid="_x0000_s3138" style="position:absolute;left:8285;top:1342;width:162;height:1262" fillcolor="#00aeef" stroked="f"/>
            <v:shape id="docshape1955" o:spid="_x0000_s3137" style="position:absolute;left:8715;top:1975;width:287;height:2" coordorigin="8716,1976" coordsize="287,0" o:spt="100" adj="0,,0" path="m8716,1976r18,m8895,1976r108,e" filled="f" strokecolor="#b2b1b3" strokeweight=".14042mm">
              <v:stroke joinstyle="round"/>
              <v:formulas/>
              <v:path arrowok="t" o:connecttype="segments"/>
            </v:shape>
            <v:shape id="docshape1956" o:spid="_x0000_s3136" style="position:absolute;left:8895;top:1342;width:108;height:4" coordorigin="8895,1343" coordsize="108,4" o:spt="100" adj="0,,0" path="m8895,1347r108,m8895,1343r108,e" filled="f" strokecolor="#b2b1b3" strokeweight=".1365mm">
              <v:stroke joinstyle="round"/>
              <v:formulas/>
              <v:path arrowok="t" o:connecttype="segments"/>
            </v:shape>
            <v:rect id="docshape1957" o:spid="_x0000_s3135" style="position:absolute;left:8733;top:1239;width:162;height:1365" fillcolor="#00aeef" stroked="f"/>
            <v:shape id="docshape1958" o:spid="_x0000_s3134" style="position:absolute;left:10060;top:1975;width:287;height:2" coordorigin="10061,1976" coordsize="287,0" o:spt="100" adj="0,,0" path="m10061,1976r18,m10240,1976r108,e" filled="f" strokecolor="#b2b1b3" strokeweight=".14042mm">
              <v:stroke joinstyle="round"/>
              <v:formulas/>
              <v:path arrowok="t" o:connecttype="segments"/>
            </v:shape>
            <v:shape id="docshape1959" o:spid="_x0000_s3133" style="position:absolute;left:10060;top:1342;width:287;height:4" coordorigin="10061,1343" coordsize="287,4" o:spt="100" adj="0,,0" path="m10061,1347r18,m10061,1343r18,m10240,1347r108,m10240,1343r108,e" filled="f" strokecolor="#b2b1b3" strokeweight=".1365mm">
              <v:stroke joinstyle="round"/>
              <v:formulas/>
              <v:path arrowok="t" o:connecttype="segments"/>
            </v:shape>
            <v:shape id="docshape1960" o:spid="_x0000_s3132" style="position:absolute;left:6705;top:717;width:3643;height:2" coordorigin="6706,718" coordsize="3643,0" o:spt="100" adj="0,,0" path="m6706,718r3373,m10240,718r108,e" filled="f" strokecolor="#b2b1b3" strokeweight=".14042mm">
              <v:stroke joinstyle="round"/>
              <v:formulas/>
              <v:path arrowok="t" o:connecttype="segments"/>
            </v:shape>
            <v:rect id="docshape1961" o:spid="_x0000_s3131" style="position:absolute;left:10078;top:585;width:162;height:2019" fillcolor="#00aeef" stroked="f"/>
            <v:rect id="docshape1962" o:spid="_x0000_s3130" style="position:absolute;left:6760;top:1639;width:162;height:965" fillcolor="#2e3092" stroked="f"/>
            <v:shape id="docshape1963" o:spid="_x0000_s3129" style="position:absolute;left:7370;top:1975;width:287;height:2" coordorigin="7371,1976" coordsize="287,0" o:spt="100" adj="0,,0" path="m7371,1976r18,m7550,1976r108,e" filled="f" strokecolor="#b2b1b3" strokeweight=".14042mm">
              <v:stroke joinstyle="round"/>
              <v:formulas/>
              <v:path arrowok="t" o:connecttype="segments"/>
            </v:shape>
            <v:rect id="docshape1964" o:spid="_x0000_s3128" style="position:absolute;left:7388;top:1479;width:162;height:1125" fillcolor="#00aeef" stroked="f"/>
            <v:rect id="docshape1965" o:spid="_x0000_s3127" style="position:absolute;left:7209;top:1599;width:162;height:1005" fillcolor="#2e3092" stroked="f"/>
            <v:shape id="docshape1966" o:spid="_x0000_s3126" style="position:absolute;left:7819;top:1975;width:287;height:2" coordorigin="7819,1976" coordsize="287,0" o:spt="100" adj="0,,0" path="m7819,1976r18,m7998,1976r108,e" filled="f" strokecolor="#b2b1b3" strokeweight=".14042mm">
              <v:stroke joinstyle="round"/>
              <v:formulas/>
              <v:path arrowok="t" o:connecttype="segments"/>
            </v:shape>
            <v:rect id="docshape1967" o:spid="_x0000_s3125" style="position:absolute;left:7836;top:1438;width:162;height:1166" fillcolor="#00aeef" stroked="f"/>
            <v:shape id="docshape1968" o:spid="_x0000_s3124" style="position:absolute;left:7657;top:1418;width:1059;height:1187" coordorigin="7658,1418" coordsize="1059,1187" o:spt="100" adj="0,,0" path="m7819,1572r-161,l7658,2605r161,l7819,1572xm8267,1503r-161,l8106,2604r161,l8267,1503xm8716,1418r-162,l8554,2604r162,l8716,1418xe" fillcolor="#2e3092" stroked="f">
              <v:stroke joinstyle="round"/>
              <v:formulas/>
              <v:path arrowok="t" o:connecttype="segments"/>
            </v:shape>
            <v:shape id="docshape1969" o:spid="_x0000_s3123" style="position:absolute;left:9164;top:1975;width:287;height:2" coordorigin="9164,1976" coordsize="287,0" o:spt="100" adj="0,,0" path="m9164,1976r18,m9344,1976r107,e" filled="f" strokecolor="#b2b1b3" strokeweight=".14042mm">
              <v:stroke joinstyle="round"/>
              <v:formulas/>
              <v:path arrowok="t" o:connecttype="segments"/>
            </v:shape>
            <v:shape id="docshape1970" o:spid="_x0000_s3122" style="position:absolute;left:9164;top:1342;width:287;height:4" coordorigin="9164,1343" coordsize="287,4" o:spt="100" adj="0,,0" path="m9164,1347r18,m9164,1343r18,m9344,1347r107,m9344,1343r107,e" filled="f" strokecolor="#b2b1b3" strokeweight=".1365mm">
              <v:stroke joinstyle="round"/>
              <v:formulas/>
              <v:path arrowok="t" o:connecttype="segments"/>
            </v:shape>
            <v:rect id="docshape1971" o:spid="_x0000_s3121" style="position:absolute;left:9182;top:960;width:162;height:1644" fillcolor="#00aeef" stroked="f"/>
            <v:rect id="docshape1972" o:spid="_x0000_s3120" style="position:absolute;left:9002;top:1155;width:162;height:1449" fillcolor="#2e3092" stroked="f"/>
            <v:shape id="docshape1973" o:spid="_x0000_s3119" style="position:absolute;left:9612;top:1975;width:287;height:2" coordorigin="9613,1976" coordsize="287,0" o:spt="100" adj="0,,0" path="m9613,1976r18,m9792,1976r108,e" filled="f" strokecolor="#b2b1b3" strokeweight=".14042mm">
              <v:stroke joinstyle="round"/>
              <v:formulas/>
              <v:path arrowok="t" o:connecttype="segments"/>
            </v:shape>
            <v:shape id="docshape1974" o:spid="_x0000_s3118" style="position:absolute;left:9612;top:1342;width:287;height:4" coordorigin="9613,1343" coordsize="287,4" o:spt="100" adj="0,,0" path="m9613,1347r18,m9613,1343r18,m9792,1347r108,m9792,1343r108,e" filled="f" strokecolor="#b2b1b3" strokeweight=".1365mm">
              <v:stroke joinstyle="round"/>
              <v:formulas/>
              <v:path arrowok="t" o:connecttype="segments"/>
            </v:shape>
            <v:rect id="docshape1975" o:spid="_x0000_s3117" style="position:absolute;left:9630;top:854;width:162;height:1750" fillcolor="#00aeef" stroked="f"/>
            <v:shape id="docshape1976" o:spid="_x0000_s3116" style="position:absolute;left:9451;top:727;width:610;height:1877" coordorigin="9451,728" coordsize="610,1877" o:spt="100" adj="0,,0" path="m9613,991r-162,l9451,2604r162,l9613,991xm10061,728r-161,l9900,2604r161,l10061,728xe" fillcolor="#2e3092" stroked="f">
              <v:stroke joinstyle="round"/>
              <v:formulas/>
              <v:path arrowok="t" o:connecttype="segments"/>
            </v:shape>
            <v:shape id="docshape1977" o:spid="_x0000_s3115" style="position:absolute;left:10509;top:1975;width:292;height:2" coordorigin="10509,1976" coordsize="292,0" o:spt="100" adj="0,,0" path="m10509,1976r18,m10689,1976r112,e" filled="f" strokecolor="#b2b1b3" strokeweight=".14042mm">
              <v:stroke joinstyle="round"/>
              <v:formulas/>
              <v:path arrowok="t" o:connecttype="segments"/>
            </v:shape>
            <v:shape id="docshape1978" o:spid="_x0000_s3114" style="position:absolute;left:10509;top:1342;width:292;height:4" coordorigin="10509,1343" coordsize="292,4" o:spt="100" adj="0,,0" path="m10509,1347r18,m10509,1343r18,m10689,1347r112,m10689,1343r112,e" filled="f" strokecolor="#b2b1b3" strokeweight=".1365mm">
              <v:stroke joinstyle="round"/>
              <v:formulas/>
              <v:path arrowok="t" o:connecttype="segments"/>
            </v:shape>
            <v:shape id="docshape1979" o:spid="_x0000_s3113" style="position:absolute;left:10509;top:717;width:292;height:2" coordorigin="10509,718" coordsize="292,0" o:spt="100" adj="0,,0" path="m10509,718r18,m10689,718r112,e" filled="f" strokecolor="#b2b1b3" strokeweight=".14042mm">
              <v:stroke joinstyle="round"/>
              <v:formulas/>
              <v:path arrowok="t" o:connecttype="segments"/>
            </v:shape>
            <v:rect id="docshape1980" o:spid="_x0000_s3112" style="position:absolute;left:10527;top:378;width:162;height:2227" fillcolor="#00aeef" stroked="f"/>
            <v:rect id="docshape1981" o:spid="_x0000_s3111" style="position:absolute;left:10347;top:366;width:162;height:2238" fillcolor="#2e3092" stroked="f"/>
            <v:line id="_x0000_s3110" style="position:absolute" from="6706,2604" to="10801,2604" strokecolor="#b2b1b3" strokeweight=".28081mm"/>
            <w10:wrap anchorx="page"/>
          </v:group>
        </w:pict>
      </w:r>
      <w:r>
        <w:pict>
          <v:line id="_x0000_s3108" style="position:absolute;left:0;text-align:left;z-index:251549696;mso-position-horizontal-relative:page" from="335.3pt,4.45pt" to="540.05pt,4.45pt" strokecolor="#b2b1b3" strokeweight=".14042mm">
            <w10:wrap anchorx="page"/>
          </v:line>
        </w:pict>
      </w:r>
      <w:r w:rsidR="00F22F94">
        <w:rPr>
          <w:spacing w:val="-4"/>
          <w:w w:val="95"/>
          <w:sz w:val="16"/>
        </w:rPr>
        <w:t>2000</w:t>
      </w:r>
    </w:p>
    <w:p w:rsidR="002C1123" w:rsidRDefault="002C1123">
      <w:pPr>
        <w:pStyle w:val="BodyText"/>
        <w:rPr>
          <w:sz w:val="18"/>
        </w:rPr>
      </w:pPr>
    </w:p>
    <w:p w:rsidR="002C1123" w:rsidRDefault="002C1123">
      <w:pPr>
        <w:pStyle w:val="BodyText"/>
        <w:spacing w:before="8"/>
      </w:pPr>
    </w:p>
    <w:p w:rsidR="002C1123" w:rsidRDefault="002060EF">
      <w:pPr>
        <w:ind w:right="4235"/>
        <w:jc w:val="right"/>
        <w:rPr>
          <w:sz w:val="16"/>
        </w:rPr>
      </w:pPr>
      <w:r>
        <w:pict>
          <v:shape id="docshape1982" o:spid="_x0000_s3107" type="#_x0000_t202" style="position:absolute;left:0;text-align:left;margin-left:299pt;margin-top:17.35pt;width:11.05pt;height:38.25pt;z-index:251555840;mso-position-horizontal-relative:page" filled="f" stroked="f">
            <v:textbox style="layout-flow:vertical;mso-layout-flow-alt:bottom-to-top" inset="0,0,0,0">
              <w:txbxContent>
                <w:p w:rsidR="00F22F94" w:rsidRDefault="00F22F94">
                  <w:pPr>
                    <w:spacing w:before="17"/>
                    <w:ind w:left="20"/>
                    <w:rPr>
                      <w:sz w:val="16"/>
                    </w:rPr>
                  </w:pPr>
                  <w:r>
                    <w:rPr>
                      <w:w w:val="80"/>
                      <w:sz w:val="16"/>
                    </w:rPr>
                    <w:t>$</w:t>
                  </w:r>
                  <w:r>
                    <w:rPr>
                      <w:spacing w:val="-6"/>
                      <w:sz w:val="16"/>
                    </w:rPr>
                    <w:t xml:space="preserve"> </w:t>
                  </w:r>
                  <w:r>
                    <w:rPr>
                      <w:w w:val="80"/>
                      <w:sz w:val="16"/>
                    </w:rPr>
                    <w:t>per</w:t>
                  </w:r>
                  <w:r>
                    <w:rPr>
                      <w:spacing w:val="-6"/>
                      <w:sz w:val="16"/>
                    </w:rPr>
                    <w:t xml:space="preserve"> </w:t>
                  </w:r>
                  <w:r>
                    <w:rPr>
                      <w:spacing w:val="-2"/>
                      <w:w w:val="80"/>
                      <w:sz w:val="16"/>
                    </w:rPr>
                    <w:t>annum</w:t>
                  </w:r>
                </w:p>
              </w:txbxContent>
            </v:textbox>
            <w10:wrap anchorx="page"/>
          </v:shape>
        </w:pict>
      </w:r>
      <w:r w:rsidR="00F22F94">
        <w:rPr>
          <w:spacing w:val="-4"/>
          <w:w w:val="95"/>
          <w:sz w:val="16"/>
        </w:rPr>
        <w:t>1500</w:t>
      </w:r>
    </w:p>
    <w:p w:rsidR="002C1123" w:rsidRDefault="002C1123">
      <w:pPr>
        <w:pStyle w:val="BodyText"/>
        <w:rPr>
          <w:sz w:val="18"/>
        </w:rPr>
      </w:pPr>
    </w:p>
    <w:p w:rsidR="002C1123" w:rsidRDefault="002C1123">
      <w:pPr>
        <w:pStyle w:val="BodyText"/>
        <w:spacing w:before="8"/>
      </w:pPr>
    </w:p>
    <w:p w:rsidR="002C1123" w:rsidRDefault="00F22F94">
      <w:pPr>
        <w:ind w:right="4235"/>
        <w:jc w:val="right"/>
        <w:rPr>
          <w:sz w:val="16"/>
        </w:rPr>
      </w:pPr>
      <w:r>
        <w:rPr>
          <w:spacing w:val="-4"/>
          <w:w w:val="95"/>
          <w:sz w:val="16"/>
        </w:rPr>
        <w:t>1000</w:t>
      </w:r>
    </w:p>
    <w:p w:rsidR="002C1123" w:rsidRDefault="002C1123">
      <w:pPr>
        <w:pStyle w:val="BodyText"/>
        <w:rPr>
          <w:sz w:val="18"/>
        </w:rPr>
      </w:pPr>
    </w:p>
    <w:p w:rsidR="002C1123" w:rsidRDefault="002C1123">
      <w:pPr>
        <w:pStyle w:val="BodyText"/>
        <w:spacing w:before="8"/>
      </w:pPr>
    </w:p>
    <w:p w:rsidR="002C1123" w:rsidRDefault="00F22F94">
      <w:pPr>
        <w:ind w:right="4235"/>
        <w:jc w:val="right"/>
        <w:rPr>
          <w:sz w:val="16"/>
        </w:rPr>
      </w:pPr>
      <w:r>
        <w:rPr>
          <w:spacing w:val="-5"/>
          <w:w w:val="95"/>
          <w:sz w:val="16"/>
        </w:rPr>
        <w:t>500</w:t>
      </w:r>
    </w:p>
    <w:p w:rsidR="002C1123" w:rsidRDefault="002C1123">
      <w:pPr>
        <w:pStyle w:val="BodyText"/>
        <w:rPr>
          <w:sz w:val="18"/>
        </w:rPr>
      </w:pPr>
    </w:p>
    <w:p w:rsidR="002C1123" w:rsidRDefault="002C1123">
      <w:pPr>
        <w:pStyle w:val="BodyText"/>
        <w:spacing w:before="7"/>
      </w:pPr>
    </w:p>
    <w:p w:rsidR="002C1123" w:rsidRDefault="002060EF">
      <w:pPr>
        <w:spacing w:before="1"/>
        <w:ind w:right="4235"/>
        <w:jc w:val="right"/>
        <w:rPr>
          <w:sz w:val="16"/>
        </w:rPr>
      </w:pPr>
      <w:r>
        <w:pict>
          <v:shape id="docshape1983" o:spid="_x0000_s3106" type="#_x0000_t202" style="position:absolute;left:0;text-align:left;margin-left:340.25pt;margin-top:10.55pt;width:11.05pt;height:27.15pt;z-index:251556864;mso-position-horizontal-relative:page" filled="f" stroked="f">
            <v:textbox style="layout-flow:vertical;mso-layout-flow-alt:bottom-to-top" inset="0,0,0,0">
              <w:txbxContent>
                <w:p w:rsidR="00F22F94" w:rsidRDefault="00F22F94">
                  <w:pPr>
                    <w:spacing w:before="17"/>
                    <w:ind w:left="20"/>
                    <w:rPr>
                      <w:sz w:val="16"/>
                    </w:rPr>
                  </w:pPr>
                  <w:r>
                    <w:rPr>
                      <w:spacing w:val="-2"/>
                      <w:w w:val="90"/>
                      <w:sz w:val="16"/>
                    </w:rPr>
                    <w:t>2004/05</w:t>
                  </w:r>
                </w:p>
              </w:txbxContent>
            </v:textbox>
            <w10:wrap anchorx="page"/>
          </v:shape>
        </w:pict>
      </w:r>
      <w:r>
        <w:pict>
          <v:shape id="docshape1984" o:spid="_x0000_s3105" type="#_x0000_t202" style="position:absolute;left:0;text-align:left;margin-left:362.9pt;margin-top:10.55pt;width:11.05pt;height:27.15pt;z-index:251557888;mso-position-horizontal-relative:page" filled="f" stroked="f">
            <v:textbox style="layout-flow:vertical;mso-layout-flow-alt:bottom-to-top" inset="0,0,0,0">
              <w:txbxContent>
                <w:p w:rsidR="00F22F94" w:rsidRDefault="00F22F94">
                  <w:pPr>
                    <w:spacing w:before="17"/>
                    <w:ind w:left="20"/>
                    <w:rPr>
                      <w:sz w:val="16"/>
                    </w:rPr>
                  </w:pPr>
                  <w:r>
                    <w:rPr>
                      <w:spacing w:val="-2"/>
                      <w:w w:val="90"/>
                      <w:sz w:val="16"/>
                    </w:rPr>
                    <w:t>2005/06</w:t>
                  </w:r>
                </w:p>
              </w:txbxContent>
            </v:textbox>
            <w10:wrap anchorx="page"/>
          </v:shape>
        </w:pict>
      </w:r>
      <w:r>
        <w:pict>
          <v:shape id="docshape1985" o:spid="_x0000_s3104" type="#_x0000_t202" style="position:absolute;left:0;text-align:left;margin-left:385.5pt;margin-top:10.55pt;width:11.05pt;height:27.15pt;z-index:251558912;mso-position-horizontal-relative:page" filled="f" stroked="f">
            <v:textbox style="layout-flow:vertical;mso-layout-flow-alt:bottom-to-top" inset="0,0,0,0">
              <w:txbxContent>
                <w:p w:rsidR="00F22F94" w:rsidRDefault="00F22F94">
                  <w:pPr>
                    <w:spacing w:before="17"/>
                    <w:ind w:left="20"/>
                    <w:rPr>
                      <w:sz w:val="16"/>
                    </w:rPr>
                  </w:pPr>
                  <w:r>
                    <w:rPr>
                      <w:spacing w:val="-2"/>
                      <w:w w:val="90"/>
                      <w:sz w:val="16"/>
                    </w:rPr>
                    <w:t>2006/07</w:t>
                  </w:r>
                </w:p>
              </w:txbxContent>
            </v:textbox>
            <w10:wrap anchorx="page"/>
          </v:shape>
        </w:pict>
      </w:r>
      <w:r>
        <w:pict>
          <v:shape id="docshape1986" o:spid="_x0000_s3103" type="#_x0000_t202" style="position:absolute;left:0;text-align:left;margin-left:408.1pt;margin-top:10.55pt;width:11.05pt;height:27.15pt;z-index:251559936;mso-position-horizontal-relative:page" filled="f" stroked="f">
            <v:textbox style="layout-flow:vertical;mso-layout-flow-alt:bottom-to-top" inset="0,0,0,0">
              <w:txbxContent>
                <w:p w:rsidR="00F22F94" w:rsidRDefault="00F22F94">
                  <w:pPr>
                    <w:spacing w:before="17"/>
                    <w:ind w:left="20"/>
                    <w:rPr>
                      <w:sz w:val="16"/>
                    </w:rPr>
                  </w:pPr>
                  <w:r>
                    <w:rPr>
                      <w:spacing w:val="-2"/>
                      <w:w w:val="90"/>
                      <w:sz w:val="16"/>
                    </w:rPr>
                    <w:t>2007/08</w:t>
                  </w:r>
                </w:p>
              </w:txbxContent>
            </v:textbox>
            <w10:wrap anchorx="page"/>
          </v:shape>
        </w:pict>
      </w:r>
      <w:r>
        <w:pict>
          <v:shape id="docshape1987" o:spid="_x0000_s3102" type="#_x0000_t202" style="position:absolute;left:0;text-align:left;margin-left:430.75pt;margin-top:10.55pt;width:11.05pt;height:27.15pt;z-index:251560960;mso-position-horizontal-relative:page" filled="f" stroked="f">
            <v:textbox style="layout-flow:vertical;mso-layout-flow-alt:bottom-to-top" inset="0,0,0,0">
              <w:txbxContent>
                <w:p w:rsidR="00F22F94" w:rsidRDefault="00F22F94">
                  <w:pPr>
                    <w:spacing w:before="17"/>
                    <w:ind w:left="20"/>
                    <w:rPr>
                      <w:sz w:val="16"/>
                    </w:rPr>
                  </w:pPr>
                  <w:r>
                    <w:rPr>
                      <w:spacing w:val="-2"/>
                      <w:w w:val="90"/>
                      <w:sz w:val="16"/>
                    </w:rPr>
                    <w:t>2008/09</w:t>
                  </w:r>
                </w:p>
              </w:txbxContent>
            </v:textbox>
            <w10:wrap anchorx="page"/>
          </v:shape>
        </w:pict>
      </w:r>
      <w:r>
        <w:pict>
          <v:shape id="docshape1988" o:spid="_x0000_s3101" type="#_x0000_t202" style="position:absolute;left:0;text-align:left;margin-left:453.35pt;margin-top:10.55pt;width:11.05pt;height:27.15pt;z-index:251561984;mso-position-horizontal-relative:page" filled="f" stroked="f">
            <v:textbox style="layout-flow:vertical;mso-layout-flow-alt:bottom-to-top" inset="0,0,0,0">
              <w:txbxContent>
                <w:p w:rsidR="00F22F94" w:rsidRDefault="00F22F94">
                  <w:pPr>
                    <w:spacing w:before="17"/>
                    <w:ind w:left="20"/>
                    <w:rPr>
                      <w:sz w:val="16"/>
                    </w:rPr>
                  </w:pPr>
                  <w:r>
                    <w:rPr>
                      <w:spacing w:val="-2"/>
                      <w:w w:val="90"/>
                      <w:sz w:val="16"/>
                    </w:rPr>
                    <w:t>2009/10</w:t>
                  </w:r>
                </w:p>
              </w:txbxContent>
            </v:textbox>
            <w10:wrap anchorx="page"/>
          </v:shape>
        </w:pict>
      </w:r>
      <w:r>
        <w:pict>
          <v:shape id="docshape1989" o:spid="_x0000_s3100" type="#_x0000_t202" style="position:absolute;left:0;text-align:left;margin-left:475.95pt;margin-top:10.55pt;width:11.05pt;height:27.15pt;z-index:251563008;mso-position-horizontal-relative:page" filled="f" stroked="f">
            <v:textbox style="layout-flow:vertical;mso-layout-flow-alt:bottom-to-top" inset="0,0,0,0">
              <w:txbxContent>
                <w:p w:rsidR="00F22F94" w:rsidRDefault="00F22F94">
                  <w:pPr>
                    <w:spacing w:before="17"/>
                    <w:ind w:left="20"/>
                    <w:rPr>
                      <w:sz w:val="16"/>
                    </w:rPr>
                  </w:pPr>
                  <w:r>
                    <w:rPr>
                      <w:spacing w:val="-2"/>
                      <w:w w:val="90"/>
                      <w:sz w:val="16"/>
                    </w:rPr>
                    <w:t>2010/11</w:t>
                  </w:r>
                </w:p>
              </w:txbxContent>
            </v:textbox>
            <w10:wrap anchorx="page"/>
          </v:shape>
        </w:pict>
      </w:r>
      <w:r>
        <w:pict>
          <v:shape id="docshape1990" o:spid="_x0000_s3099" type="#_x0000_t202" style="position:absolute;left:0;text-align:left;margin-left:498.55pt;margin-top:10.55pt;width:11.05pt;height:27.15pt;z-index:251564032;mso-position-horizontal-relative:page" filled="f" stroked="f">
            <v:textbox style="layout-flow:vertical;mso-layout-flow-alt:bottom-to-top" inset="0,0,0,0">
              <w:txbxContent>
                <w:p w:rsidR="00F22F94" w:rsidRDefault="00F22F94">
                  <w:pPr>
                    <w:spacing w:before="17"/>
                    <w:ind w:left="20"/>
                    <w:rPr>
                      <w:sz w:val="16"/>
                    </w:rPr>
                  </w:pPr>
                  <w:r>
                    <w:rPr>
                      <w:spacing w:val="-2"/>
                      <w:w w:val="90"/>
                      <w:sz w:val="16"/>
                    </w:rPr>
                    <w:t>2011/12</w:t>
                  </w:r>
                </w:p>
              </w:txbxContent>
            </v:textbox>
            <w10:wrap anchorx="page"/>
          </v:shape>
        </w:pict>
      </w:r>
      <w:r>
        <w:pict>
          <v:shape id="docshape1991" o:spid="_x0000_s3098" type="#_x0000_t202" style="position:absolute;left:0;text-align:left;margin-left:521.2pt;margin-top:10.55pt;width:11.05pt;height:27.15pt;z-index:251565056;mso-position-horizontal-relative:page" filled="f" stroked="f">
            <v:textbox style="layout-flow:vertical;mso-layout-flow-alt:bottom-to-top" inset="0,0,0,0">
              <w:txbxContent>
                <w:p w:rsidR="00F22F94" w:rsidRDefault="00F22F94">
                  <w:pPr>
                    <w:spacing w:before="17"/>
                    <w:ind w:left="20"/>
                    <w:rPr>
                      <w:sz w:val="16"/>
                    </w:rPr>
                  </w:pPr>
                  <w:r>
                    <w:rPr>
                      <w:spacing w:val="-2"/>
                      <w:w w:val="90"/>
                      <w:sz w:val="16"/>
                    </w:rPr>
                    <w:t>2012/13</w:t>
                  </w:r>
                </w:p>
              </w:txbxContent>
            </v:textbox>
            <w10:wrap anchorx="page"/>
          </v:shape>
        </w:pict>
      </w:r>
      <w:r w:rsidR="00F22F94">
        <w:rPr>
          <w:w w:val="85"/>
          <w:sz w:val="16"/>
        </w:rPr>
        <w:t>0</w:t>
      </w: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spacing w:before="5"/>
        <w:rPr>
          <w:sz w:val="17"/>
        </w:rPr>
      </w:pPr>
    </w:p>
    <w:p w:rsidR="002C1123" w:rsidRDefault="002060EF">
      <w:pPr>
        <w:tabs>
          <w:tab w:val="left" w:pos="2589"/>
        </w:tabs>
        <w:ind w:left="1173"/>
        <w:rPr>
          <w:sz w:val="16"/>
        </w:rPr>
      </w:pPr>
      <w:r>
        <w:pict>
          <v:rect id="docshape1992" o:spid="_x0000_s3097" style="position:absolute;left:0;text-align:left;margin-left:335.35pt;margin-top:.45pt;width:8.45pt;height:8.45pt;z-index:251547648;mso-position-horizontal-relative:page" fillcolor="#2e3092" stroked="f">
            <w10:wrap anchorx="page"/>
          </v:rect>
        </w:pict>
      </w:r>
      <w:r>
        <w:pict>
          <v:rect id="docshape1993" o:spid="_x0000_s3096" style="position:absolute;left:0;text-align:left;margin-left:406.15pt;margin-top:.45pt;width:8.45pt;height:8.45pt;z-index:-251467776;mso-position-horizontal-relative:page" fillcolor="#00aeef" stroked="f">
            <w10:wrap anchorx="page"/>
          </v:rect>
        </w:pict>
      </w:r>
      <w:r w:rsidR="00F22F94">
        <w:rPr>
          <w:spacing w:val="-2"/>
          <w:w w:val="90"/>
          <w:sz w:val="16"/>
        </w:rPr>
        <w:t>EnergyAustralia</w:t>
      </w:r>
      <w:r w:rsidR="00F22F94">
        <w:rPr>
          <w:sz w:val="16"/>
        </w:rPr>
        <w:tab/>
      </w:r>
      <w:r w:rsidR="00F22F94">
        <w:rPr>
          <w:spacing w:val="-2"/>
          <w:w w:val="90"/>
          <w:sz w:val="16"/>
        </w:rPr>
        <w:t>Integral</w:t>
      </w:r>
    </w:p>
    <w:p w:rsidR="002C1123" w:rsidRDefault="002C1123">
      <w:pPr>
        <w:pStyle w:val="BodyText"/>
        <w:spacing w:before="7"/>
        <w:rPr>
          <w:sz w:val="23"/>
        </w:rPr>
      </w:pPr>
    </w:p>
    <w:p w:rsidR="002C1123" w:rsidRDefault="00F22F94">
      <w:pPr>
        <w:spacing w:before="1"/>
        <w:ind w:left="238"/>
        <w:rPr>
          <w:sz w:val="14"/>
        </w:rPr>
      </w:pPr>
      <w:r>
        <w:rPr>
          <w:w w:val="95"/>
          <w:sz w:val="14"/>
        </w:rPr>
        <w:t>Source:</w:t>
      </w:r>
      <w:r>
        <w:rPr>
          <w:spacing w:val="3"/>
          <w:sz w:val="14"/>
        </w:rPr>
        <w:t xml:space="preserve"> </w:t>
      </w:r>
      <w:r>
        <w:rPr>
          <w:spacing w:val="-2"/>
          <w:sz w:val="14"/>
        </w:rPr>
        <w:t>IPART.</w:t>
      </w:r>
    </w:p>
    <w:p w:rsidR="002C1123" w:rsidRDefault="00F22F94">
      <w:pPr>
        <w:pStyle w:val="BodyText"/>
        <w:spacing w:before="106" w:line="249" w:lineRule="auto"/>
        <w:ind w:left="202" w:right="1267"/>
      </w:pPr>
      <w:r>
        <w:br w:type="column"/>
      </w:r>
      <w:r>
        <w:rPr>
          <w:w w:val="95"/>
        </w:rPr>
        <w:t>NSW prices have also grown faster than prices in other States, reducing the attractiveness of NSW to</w:t>
      </w:r>
      <w:r>
        <w:rPr>
          <w:spacing w:val="-10"/>
          <w:w w:val="95"/>
        </w:rPr>
        <w:t xml:space="preserve"> </w:t>
      </w:r>
      <w:r>
        <w:rPr>
          <w:w w:val="95"/>
        </w:rPr>
        <w:t>businesses</w:t>
      </w:r>
      <w:r>
        <w:rPr>
          <w:spacing w:val="-10"/>
          <w:w w:val="95"/>
        </w:rPr>
        <w:t xml:space="preserve"> </w:t>
      </w:r>
      <w:r>
        <w:rPr>
          <w:w w:val="95"/>
        </w:rPr>
        <w:t>and</w:t>
      </w:r>
      <w:r>
        <w:rPr>
          <w:spacing w:val="-10"/>
          <w:w w:val="95"/>
        </w:rPr>
        <w:t xml:space="preserve"> </w:t>
      </w:r>
      <w:r>
        <w:rPr>
          <w:w w:val="95"/>
        </w:rPr>
        <w:t>as</w:t>
      </w:r>
      <w:r>
        <w:rPr>
          <w:spacing w:val="-10"/>
          <w:w w:val="95"/>
        </w:rPr>
        <w:t xml:space="preserve"> </w:t>
      </w:r>
      <w:r>
        <w:rPr>
          <w:w w:val="95"/>
        </w:rPr>
        <w:t>a</w:t>
      </w:r>
      <w:r>
        <w:rPr>
          <w:spacing w:val="-10"/>
          <w:w w:val="95"/>
        </w:rPr>
        <w:t xml:space="preserve"> </w:t>
      </w:r>
      <w:r>
        <w:rPr>
          <w:w w:val="95"/>
        </w:rPr>
        <w:t>place</w:t>
      </w:r>
      <w:r>
        <w:rPr>
          <w:spacing w:val="-10"/>
          <w:w w:val="95"/>
        </w:rPr>
        <w:t xml:space="preserve"> </w:t>
      </w:r>
      <w:r>
        <w:rPr>
          <w:w w:val="95"/>
        </w:rPr>
        <w:t>to</w:t>
      </w:r>
      <w:r>
        <w:rPr>
          <w:spacing w:val="-10"/>
          <w:w w:val="95"/>
        </w:rPr>
        <w:t xml:space="preserve"> </w:t>
      </w:r>
      <w:r>
        <w:rPr>
          <w:w w:val="95"/>
        </w:rPr>
        <w:t>live.</w:t>
      </w:r>
      <w:r>
        <w:rPr>
          <w:spacing w:val="-10"/>
          <w:w w:val="95"/>
        </w:rPr>
        <w:t xml:space="preserve"> </w:t>
      </w:r>
      <w:r>
        <w:rPr>
          <w:w w:val="95"/>
        </w:rPr>
        <w:t>This</w:t>
      </w:r>
      <w:r>
        <w:rPr>
          <w:spacing w:val="-10"/>
          <w:w w:val="95"/>
        </w:rPr>
        <w:t xml:space="preserve"> </w:t>
      </w:r>
      <w:r>
        <w:rPr>
          <w:w w:val="95"/>
        </w:rPr>
        <w:t>is</w:t>
      </w:r>
      <w:r>
        <w:rPr>
          <w:spacing w:val="-10"/>
          <w:w w:val="95"/>
        </w:rPr>
        <w:t xml:space="preserve"> </w:t>
      </w:r>
      <w:r>
        <w:rPr>
          <w:w w:val="95"/>
        </w:rPr>
        <w:t xml:space="preserve">shown </w:t>
      </w:r>
      <w:r>
        <w:t>in Figure 11.2 below.</w:t>
      </w:r>
    </w:p>
    <w:p w:rsidR="002C1123" w:rsidRDefault="002C1123">
      <w:pPr>
        <w:pStyle w:val="BodyText"/>
        <w:spacing w:before="3"/>
        <w:rPr>
          <w:sz w:val="23"/>
        </w:rPr>
      </w:pPr>
    </w:p>
    <w:p w:rsidR="002C1123" w:rsidRDefault="00F22F94">
      <w:pPr>
        <w:ind w:left="197"/>
        <w:rPr>
          <w:b/>
          <w:sz w:val="18"/>
        </w:rPr>
      </w:pPr>
      <w:r>
        <w:rPr>
          <w:b/>
          <w:sz w:val="18"/>
        </w:rPr>
        <w:t>Figure</w:t>
      </w:r>
      <w:r>
        <w:rPr>
          <w:b/>
          <w:spacing w:val="-6"/>
          <w:sz w:val="18"/>
        </w:rPr>
        <w:t xml:space="preserve"> </w:t>
      </w:r>
      <w:r>
        <w:rPr>
          <w:b/>
          <w:sz w:val="18"/>
        </w:rPr>
        <w:t>11.2</w:t>
      </w:r>
      <w:r>
        <w:rPr>
          <w:b/>
          <w:spacing w:val="39"/>
          <w:sz w:val="18"/>
        </w:rPr>
        <w:t xml:space="preserve"> </w:t>
      </w:r>
      <w:r>
        <w:rPr>
          <w:b/>
          <w:sz w:val="18"/>
        </w:rPr>
        <w:t>Average</w:t>
      </w:r>
      <w:r>
        <w:rPr>
          <w:b/>
          <w:spacing w:val="-6"/>
          <w:sz w:val="18"/>
        </w:rPr>
        <w:t xml:space="preserve"> </w:t>
      </w:r>
      <w:r>
        <w:rPr>
          <w:b/>
          <w:sz w:val="18"/>
        </w:rPr>
        <w:t>Electricity</w:t>
      </w:r>
      <w:r>
        <w:rPr>
          <w:b/>
          <w:spacing w:val="-5"/>
          <w:sz w:val="18"/>
        </w:rPr>
        <w:t xml:space="preserve"> </w:t>
      </w:r>
      <w:r>
        <w:rPr>
          <w:b/>
          <w:sz w:val="18"/>
        </w:rPr>
        <w:t>Retail</w:t>
      </w:r>
      <w:r>
        <w:rPr>
          <w:b/>
          <w:spacing w:val="-6"/>
          <w:sz w:val="18"/>
        </w:rPr>
        <w:t xml:space="preserve"> </w:t>
      </w:r>
      <w:r>
        <w:rPr>
          <w:b/>
          <w:sz w:val="18"/>
        </w:rPr>
        <w:t>Prices</w:t>
      </w:r>
      <w:r>
        <w:rPr>
          <w:b/>
          <w:spacing w:val="-6"/>
          <w:sz w:val="18"/>
        </w:rPr>
        <w:t xml:space="preserve"> </w:t>
      </w:r>
      <w:r>
        <w:rPr>
          <w:b/>
          <w:sz w:val="18"/>
        </w:rPr>
        <w:t>2001-</w:t>
      </w:r>
      <w:r>
        <w:rPr>
          <w:b/>
          <w:spacing w:val="-5"/>
          <w:sz w:val="18"/>
        </w:rPr>
        <w:t>11</w:t>
      </w:r>
    </w:p>
    <w:p w:rsidR="002C1123" w:rsidRDefault="002C1123">
      <w:pPr>
        <w:pStyle w:val="BodyText"/>
        <w:spacing w:before="6"/>
        <w:rPr>
          <w:b/>
          <w:sz w:val="19"/>
        </w:rPr>
      </w:pPr>
    </w:p>
    <w:p w:rsidR="002C1123" w:rsidRDefault="002060EF">
      <w:pPr>
        <w:ind w:left="391"/>
        <w:rPr>
          <w:sz w:val="16"/>
        </w:rPr>
      </w:pPr>
      <w:r>
        <w:pict>
          <v:rect id="docshape1994" o:spid="_x0000_s3095" style="position:absolute;left:0;text-align:left;margin-left:574.8pt;margin-top:5pt;width:217.5pt;height:.3pt;z-index:251551744;mso-position-horizontal-relative:page" fillcolor="#b2b1b3" stroked="f">
            <w10:wrap anchorx="page"/>
          </v:rect>
        </w:pict>
      </w:r>
      <w:r w:rsidR="00F22F94">
        <w:rPr>
          <w:spacing w:val="-5"/>
          <w:w w:val="95"/>
          <w:sz w:val="16"/>
        </w:rPr>
        <w:t>20</w:t>
      </w: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060EF">
      <w:pPr>
        <w:spacing w:before="135"/>
        <w:ind w:left="391"/>
        <w:rPr>
          <w:sz w:val="16"/>
        </w:rPr>
      </w:pPr>
      <w:r>
        <w:pict>
          <v:group id="docshapegroup1995" o:spid="_x0000_s3086" style="position:absolute;left:0;text-align:left;margin-left:574.8pt;margin-top:-11.7pt;width:217.5pt;height:109.3pt;z-index:251550720;mso-position-horizontal-relative:page" coordorigin="11496,-234" coordsize="4350,2186">
            <v:shape id="docshape1996" o:spid="_x0000_s3094" style="position:absolute;left:11495;top:231;width:4350;height:942" coordorigin="11496,231" coordsize="4350,942" o:spt="100" adj="0,,0" path="m15846,1167r-4350,l11496,1172r4350,l15846,1167xm15846,231r-4350,l11496,237r4350,l15846,231xe" fillcolor="#b2b1b3" stroked="f">
              <v:stroke joinstyle="round"/>
              <v:formulas/>
              <v:path arrowok="t" o:connecttype="segments"/>
            </v:shape>
            <v:shape id="docshape1997" o:spid="_x0000_s3093" style="position:absolute;left:11696;top:-214;width:4011;height:390" coordorigin="11696,-214" coordsize="4011,390" path="m15707,-214r-365,35l14978,-132r-365,48l14249,149r-365,6l13519,163r-364,5l12790,176r-364,l12061,176r-365,e" filled="f" strokecolor="#2e3092" strokeweight=".73272mm">
              <v:path arrowok="t"/>
            </v:shape>
            <v:shape id="docshape1998" o:spid="_x0000_s3092" style="position:absolute;left:11696;top:463;width:4011;height:307" coordorigin="11696,463" coordsize="4011,307" path="m15707,467r-365,21l14978,463r-365,124l14249,739r-365,5l13519,748r-364,6l12790,760r-364,l12061,760r-365,9e" filled="f" strokecolor="#00a651" strokeweight=".73272mm">
              <v:path arrowok="t"/>
            </v:shape>
            <v:shape id="docshape1999" o:spid="_x0000_s3091" style="position:absolute;left:11696;top:-119;width:4011;height:1025" coordorigin="11696,-119" coordsize="4011,1025" path="m15707,-119r-365,94l14978,73r-365,246l14249,442r-365,148l13519,543r-364,-10l12790,524r-364,122l12061,782r-365,124e" filled="f" strokecolor="#00aeef" strokeweight=".73272mm">
              <v:path arrowok="t"/>
            </v:shape>
            <v:shape id="docshape2000" o:spid="_x0000_s3090" style="position:absolute;left:11696;top:1297;width:4011;height:634" coordorigin="11696,1298" coordsize="4011,634" path="m15707,1497r-365,76l14978,1541r-365,-91l14249,1298r-365,245l13519,1703r-364,45l12790,1782r-364,54l12061,1887r-365,44e" filled="f" strokecolor="#ec008c" strokeweight=".73272mm">
              <v:path arrowok="t"/>
            </v:shape>
            <v:shape id="docshape2001" o:spid="_x0000_s3089" style="position:absolute;left:11696;top:784;width:4011;height:708" coordorigin="11696,784" coordsize="4011,708" path="m15707,784r-365,29l14978,914r-365,131l14249,889r-365,51l13519,1433r-364,17l12790,1492r-364,-154l12061,1269r-365,-36e" filled="f" strokecolor="#662d91" strokeweight=".73272mm">
              <v:path arrowok="t"/>
            </v:shape>
            <v:shape id="docshape2002" o:spid="_x0000_s3088" style="position:absolute;left:11696;top:388;width:4011;height:668" coordorigin="11696,389" coordsize="4011,668" path="m15707,703r-365,49l14978,902,14613,718,14249,389r-365,19l13519,841r-364,128l12790,1037r-364,19l12061,784r-365,261e" filled="f" strokecolor="#f7941e" strokeweight=".73272mm">
              <v:path arrowok="t"/>
            </v:shape>
            <v:shape id="docshape2003" o:spid="_x0000_s3087" style="position:absolute;left:11696;top:339;width:4011;height:1107" coordorigin="11696,340" coordsize="4011,1107" path="m15707,340r-365,81l14978,636r-365,475l14249,1087,13884,807r-365,449l13155,1246r-365,152l12426,1412r-365,-95l11696,1446e" filled="f" strokecolor="#8dc63f" strokeweight=".73272mm">
              <v:path arrowok="t"/>
            </v:shape>
            <w10:wrap anchorx="page"/>
          </v:group>
        </w:pict>
      </w:r>
      <w:r>
        <w:pict>
          <v:shape id="docshape2004" o:spid="_x0000_s3085" type="#_x0000_t202" style="position:absolute;left:0;text-align:left;margin-left:550.25pt;margin-top:25.2pt;width:11.05pt;height:20.1pt;z-index:251566080;mso-position-horizontal-relative:page" filled="f" stroked="f">
            <v:textbox style="layout-flow:vertical;mso-layout-flow-alt:bottom-to-top" inset="0,0,0,0">
              <w:txbxContent>
                <w:p w:rsidR="00F22F94" w:rsidRDefault="00F22F94">
                  <w:pPr>
                    <w:spacing w:before="18"/>
                    <w:ind w:left="20"/>
                    <w:rPr>
                      <w:sz w:val="16"/>
                    </w:rPr>
                  </w:pPr>
                  <w:r>
                    <w:rPr>
                      <w:spacing w:val="-2"/>
                      <w:w w:val="85"/>
                      <w:sz w:val="16"/>
                    </w:rPr>
                    <w:t>c/kWh</w:t>
                  </w:r>
                </w:p>
              </w:txbxContent>
            </v:textbox>
            <w10:wrap anchorx="page"/>
          </v:shape>
        </w:pict>
      </w:r>
      <w:r w:rsidR="00F22F94">
        <w:rPr>
          <w:spacing w:val="-5"/>
          <w:w w:val="95"/>
          <w:sz w:val="16"/>
        </w:rPr>
        <w:t>15</w:t>
      </w: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F22F94">
      <w:pPr>
        <w:spacing w:before="135"/>
        <w:ind w:left="391"/>
        <w:rPr>
          <w:sz w:val="16"/>
        </w:rPr>
      </w:pPr>
      <w:r>
        <w:rPr>
          <w:spacing w:val="-5"/>
          <w:w w:val="95"/>
          <w:sz w:val="16"/>
        </w:rPr>
        <w:t>10</w:t>
      </w: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060EF">
      <w:pPr>
        <w:spacing w:before="135"/>
        <w:ind w:left="468"/>
        <w:rPr>
          <w:sz w:val="16"/>
        </w:rPr>
      </w:pPr>
      <w:r>
        <w:pict>
          <v:rect id="docshape2005" o:spid="_x0000_s3084" style="position:absolute;left:0;text-align:left;margin-left:574.8pt;margin-top:11pt;width:217.5pt;height:.55pt;z-index:251554816;mso-position-horizontal-relative:page" fillcolor="#b2b1b3" stroked="f">
            <w10:wrap anchorx="page"/>
          </v:rect>
        </w:pict>
      </w:r>
      <w:r>
        <w:pict>
          <v:shape id="docshape2006" o:spid="_x0000_s3083" type="#_x0000_t202" style="position:absolute;left:0;text-align:left;margin-left:576.4pt;margin-top:19.1pt;width:11.05pt;height:27.3pt;z-index:251567104;mso-position-horizontal-relative:page" filled="f" stroked="f">
            <v:textbox style="layout-flow:vertical;mso-layout-flow-alt:bottom-to-top" inset="0,0,0,0">
              <w:txbxContent>
                <w:p w:rsidR="00F22F94" w:rsidRDefault="00F22F94">
                  <w:pPr>
                    <w:spacing w:before="18"/>
                    <w:ind w:left="20"/>
                    <w:rPr>
                      <w:sz w:val="16"/>
                    </w:rPr>
                  </w:pPr>
                  <w:r>
                    <w:rPr>
                      <w:spacing w:val="-2"/>
                      <w:w w:val="90"/>
                      <w:sz w:val="16"/>
                    </w:rPr>
                    <w:t>2000/01</w:t>
                  </w:r>
                </w:p>
              </w:txbxContent>
            </v:textbox>
            <w10:wrap anchorx="page"/>
          </v:shape>
        </w:pict>
      </w:r>
      <w:r>
        <w:pict>
          <v:shape id="docshape2007" o:spid="_x0000_s3082" type="#_x0000_t202" style="position:absolute;left:0;text-align:left;margin-left:594.65pt;margin-top:19.1pt;width:11.05pt;height:27.3pt;z-index:251568128;mso-position-horizontal-relative:page" filled="f" stroked="f">
            <v:textbox style="layout-flow:vertical;mso-layout-flow-alt:bottom-to-top" inset="0,0,0,0">
              <w:txbxContent>
                <w:p w:rsidR="00F22F94" w:rsidRDefault="00F22F94">
                  <w:pPr>
                    <w:spacing w:before="18"/>
                    <w:ind w:left="20"/>
                    <w:rPr>
                      <w:sz w:val="16"/>
                    </w:rPr>
                  </w:pPr>
                  <w:r>
                    <w:rPr>
                      <w:spacing w:val="-2"/>
                      <w:w w:val="90"/>
                      <w:sz w:val="16"/>
                    </w:rPr>
                    <w:t>2001/02</w:t>
                  </w:r>
                </w:p>
              </w:txbxContent>
            </v:textbox>
            <w10:wrap anchorx="page"/>
          </v:shape>
        </w:pict>
      </w:r>
      <w:r>
        <w:pict>
          <v:shape id="docshape2008" o:spid="_x0000_s3081" type="#_x0000_t202" style="position:absolute;left:0;text-align:left;margin-left:612.85pt;margin-top:19.1pt;width:11.05pt;height:27.3pt;z-index:251569152;mso-position-horizontal-relative:page" filled="f" stroked="f">
            <v:textbox style="layout-flow:vertical;mso-layout-flow-alt:bottom-to-top" inset="0,0,0,0">
              <w:txbxContent>
                <w:p w:rsidR="00F22F94" w:rsidRDefault="00F22F94">
                  <w:pPr>
                    <w:spacing w:before="18"/>
                    <w:ind w:left="20"/>
                    <w:rPr>
                      <w:sz w:val="16"/>
                    </w:rPr>
                  </w:pPr>
                  <w:r>
                    <w:rPr>
                      <w:spacing w:val="-2"/>
                      <w:w w:val="90"/>
                      <w:sz w:val="16"/>
                    </w:rPr>
                    <w:t>2002/03</w:t>
                  </w:r>
                </w:p>
              </w:txbxContent>
            </v:textbox>
            <w10:wrap anchorx="page"/>
          </v:shape>
        </w:pict>
      </w:r>
      <w:r>
        <w:pict>
          <v:shape id="docshape2009" o:spid="_x0000_s3080" type="#_x0000_t202" style="position:absolute;left:0;text-align:left;margin-left:631.1pt;margin-top:19.1pt;width:11.05pt;height:27.3pt;z-index:251570176;mso-position-horizontal-relative:page" filled="f" stroked="f">
            <v:textbox style="layout-flow:vertical;mso-layout-flow-alt:bottom-to-top" inset="0,0,0,0">
              <w:txbxContent>
                <w:p w:rsidR="00F22F94" w:rsidRDefault="00F22F94">
                  <w:pPr>
                    <w:spacing w:before="18"/>
                    <w:ind w:left="20"/>
                    <w:rPr>
                      <w:sz w:val="16"/>
                    </w:rPr>
                  </w:pPr>
                  <w:r>
                    <w:rPr>
                      <w:spacing w:val="-2"/>
                      <w:w w:val="90"/>
                      <w:sz w:val="16"/>
                    </w:rPr>
                    <w:t>2003/04</w:t>
                  </w:r>
                </w:p>
              </w:txbxContent>
            </v:textbox>
            <w10:wrap anchorx="page"/>
          </v:shape>
        </w:pict>
      </w:r>
      <w:r>
        <w:pict>
          <v:shape id="docshape2010" o:spid="_x0000_s3079" type="#_x0000_t202" style="position:absolute;left:0;text-align:left;margin-left:649.35pt;margin-top:19.1pt;width:11.05pt;height:27.3pt;z-index:251571200;mso-position-horizontal-relative:page" filled="f" stroked="f">
            <v:textbox style="layout-flow:vertical;mso-layout-flow-alt:bottom-to-top" inset="0,0,0,0">
              <w:txbxContent>
                <w:p w:rsidR="00F22F94" w:rsidRDefault="00F22F94">
                  <w:pPr>
                    <w:spacing w:before="18"/>
                    <w:ind w:left="20"/>
                    <w:rPr>
                      <w:sz w:val="16"/>
                    </w:rPr>
                  </w:pPr>
                  <w:r>
                    <w:rPr>
                      <w:spacing w:val="-2"/>
                      <w:w w:val="90"/>
                      <w:sz w:val="16"/>
                    </w:rPr>
                    <w:t>2004/05</w:t>
                  </w:r>
                </w:p>
              </w:txbxContent>
            </v:textbox>
            <w10:wrap anchorx="page"/>
          </v:shape>
        </w:pict>
      </w:r>
      <w:r>
        <w:pict>
          <v:shape id="docshape2011" o:spid="_x0000_s3078" type="#_x0000_t202" style="position:absolute;left:0;text-align:left;margin-left:667.55pt;margin-top:19.1pt;width:11.05pt;height:27.3pt;z-index:251572224;mso-position-horizontal-relative:page" filled="f" stroked="f">
            <v:textbox style="layout-flow:vertical;mso-layout-flow-alt:bottom-to-top" inset="0,0,0,0">
              <w:txbxContent>
                <w:p w:rsidR="00F22F94" w:rsidRDefault="00F22F94">
                  <w:pPr>
                    <w:spacing w:before="18"/>
                    <w:ind w:left="20"/>
                    <w:rPr>
                      <w:sz w:val="16"/>
                    </w:rPr>
                  </w:pPr>
                  <w:r>
                    <w:rPr>
                      <w:spacing w:val="-2"/>
                      <w:w w:val="90"/>
                      <w:sz w:val="16"/>
                    </w:rPr>
                    <w:t>2005/06</w:t>
                  </w:r>
                </w:p>
              </w:txbxContent>
            </v:textbox>
            <w10:wrap anchorx="page"/>
          </v:shape>
        </w:pict>
      </w:r>
      <w:r>
        <w:pict>
          <v:shape id="docshape2012" o:spid="_x0000_s3077" type="#_x0000_t202" style="position:absolute;left:0;text-align:left;margin-left:685.8pt;margin-top:19.1pt;width:11.05pt;height:27.3pt;z-index:251573248;mso-position-horizontal-relative:page" filled="f" stroked="f">
            <v:textbox style="layout-flow:vertical;mso-layout-flow-alt:bottom-to-top" inset="0,0,0,0">
              <w:txbxContent>
                <w:p w:rsidR="00F22F94" w:rsidRDefault="00F22F94">
                  <w:pPr>
                    <w:spacing w:before="18"/>
                    <w:ind w:left="20"/>
                    <w:rPr>
                      <w:sz w:val="16"/>
                    </w:rPr>
                  </w:pPr>
                  <w:r>
                    <w:rPr>
                      <w:spacing w:val="-2"/>
                      <w:w w:val="90"/>
                      <w:sz w:val="16"/>
                    </w:rPr>
                    <w:t>2006/07</w:t>
                  </w:r>
                </w:p>
              </w:txbxContent>
            </v:textbox>
            <w10:wrap anchorx="page"/>
          </v:shape>
        </w:pict>
      </w:r>
      <w:r>
        <w:pict>
          <v:shape id="docshape2013" o:spid="_x0000_s3076" type="#_x0000_t202" style="position:absolute;left:0;text-align:left;margin-left:704.05pt;margin-top:19.1pt;width:11.05pt;height:27.3pt;z-index:251574272;mso-position-horizontal-relative:page" filled="f" stroked="f">
            <v:textbox style="layout-flow:vertical;mso-layout-flow-alt:bottom-to-top" inset="0,0,0,0">
              <w:txbxContent>
                <w:p w:rsidR="00F22F94" w:rsidRDefault="00F22F94">
                  <w:pPr>
                    <w:spacing w:before="18"/>
                    <w:ind w:left="20"/>
                    <w:rPr>
                      <w:sz w:val="16"/>
                    </w:rPr>
                  </w:pPr>
                  <w:r>
                    <w:rPr>
                      <w:spacing w:val="-2"/>
                      <w:w w:val="90"/>
                      <w:sz w:val="16"/>
                    </w:rPr>
                    <w:t>2007/08</w:t>
                  </w:r>
                </w:p>
              </w:txbxContent>
            </v:textbox>
            <w10:wrap anchorx="page"/>
          </v:shape>
        </w:pict>
      </w:r>
      <w:r>
        <w:pict>
          <v:shape id="docshape2014" o:spid="_x0000_s3075" type="#_x0000_t202" style="position:absolute;left:0;text-align:left;margin-left:722.25pt;margin-top:19.1pt;width:11.05pt;height:27.3pt;z-index:251575296;mso-position-horizontal-relative:page" filled="f" stroked="f">
            <v:textbox style="layout-flow:vertical;mso-layout-flow-alt:bottom-to-top" inset="0,0,0,0">
              <w:txbxContent>
                <w:p w:rsidR="00F22F94" w:rsidRDefault="00F22F94">
                  <w:pPr>
                    <w:spacing w:before="18"/>
                    <w:ind w:left="20"/>
                    <w:rPr>
                      <w:sz w:val="16"/>
                    </w:rPr>
                  </w:pPr>
                  <w:r>
                    <w:rPr>
                      <w:spacing w:val="-2"/>
                      <w:w w:val="90"/>
                      <w:sz w:val="16"/>
                    </w:rPr>
                    <w:t>2008/09</w:t>
                  </w:r>
                </w:p>
              </w:txbxContent>
            </v:textbox>
            <w10:wrap anchorx="page"/>
          </v:shape>
        </w:pict>
      </w:r>
      <w:r>
        <w:pict>
          <v:shape id="docshape2015" o:spid="_x0000_s3074" type="#_x0000_t202" style="position:absolute;left:0;text-align:left;margin-left:740.5pt;margin-top:19.1pt;width:11.05pt;height:27.3pt;z-index:251576320;mso-position-horizontal-relative:page" filled="f" stroked="f">
            <v:textbox style="layout-flow:vertical;mso-layout-flow-alt:bottom-to-top" inset="0,0,0,0">
              <w:txbxContent>
                <w:p w:rsidR="00F22F94" w:rsidRDefault="00F22F94">
                  <w:pPr>
                    <w:spacing w:before="18"/>
                    <w:ind w:left="20"/>
                    <w:rPr>
                      <w:sz w:val="16"/>
                    </w:rPr>
                  </w:pPr>
                  <w:r>
                    <w:rPr>
                      <w:spacing w:val="-2"/>
                      <w:w w:val="90"/>
                      <w:sz w:val="16"/>
                    </w:rPr>
                    <w:t>2009/10</w:t>
                  </w:r>
                </w:p>
              </w:txbxContent>
            </v:textbox>
            <w10:wrap anchorx="page"/>
          </v:shape>
        </w:pict>
      </w:r>
      <w:r>
        <w:pict>
          <v:shape id="docshape2016" o:spid="_x0000_s3073" type="#_x0000_t202" style="position:absolute;left:0;text-align:left;margin-left:758.75pt;margin-top:19.1pt;width:11.05pt;height:27.3pt;z-index:251577344;mso-position-horizontal-relative:page" filled="f" stroked="f">
            <v:textbox style="layout-flow:vertical;mso-layout-flow-alt:bottom-to-top" inset="0,0,0,0">
              <w:txbxContent>
                <w:p w:rsidR="00F22F94" w:rsidRDefault="00F22F94">
                  <w:pPr>
                    <w:spacing w:before="18"/>
                    <w:ind w:left="20"/>
                    <w:rPr>
                      <w:sz w:val="16"/>
                    </w:rPr>
                  </w:pPr>
                  <w:r>
                    <w:rPr>
                      <w:spacing w:val="-2"/>
                      <w:w w:val="90"/>
                      <w:sz w:val="16"/>
                    </w:rPr>
                    <w:t>2010/11</w:t>
                  </w:r>
                </w:p>
              </w:txbxContent>
            </v:textbox>
            <w10:wrap anchorx="page"/>
          </v:shape>
        </w:pict>
      </w:r>
      <w:r>
        <w:pict>
          <v:shape id="docshape2017" o:spid="_x0000_s3072" type="#_x0000_t202" style="position:absolute;left:0;text-align:left;margin-left:776.95pt;margin-top:19.1pt;width:11.05pt;height:27.3pt;z-index:251578368;mso-position-horizontal-relative:page" filled="f" stroked="f">
            <v:textbox style="layout-flow:vertical;mso-layout-flow-alt:bottom-to-top" inset="0,0,0,0">
              <w:txbxContent>
                <w:p w:rsidR="00F22F94" w:rsidRDefault="00F22F94">
                  <w:pPr>
                    <w:spacing w:before="18"/>
                    <w:ind w:left="20"/>
                    <w:rPr>
                      <w:sz w:val="16"/>
                    </w:rPr>
                  </w:pPr>
                  <w:r>
                    <w:rPr>
                      <w:spacing w:val="-2"/>
                      <w:w w:val="90"/>
                      <w:sz w:val="16"/>
                    </w:rPr>
                    <w:t>2011/12</w:t>
                  </w:r>
                </w:p>
              </w:txbxContent>
            </v:textbox>
            <w10:wrap anchorx="page"/>
          </v:shape>
        </w:pict>
      </w:r>
      <w:r w:rsidR="00F22F94">
        <w:rPr>
          <w:w w:val="86"/>
          <w:sz w:val="16"/>
        </w:rPr>
        <w:t>5</w:t>
      </w:r>
    </w:p>
    <w:p w:rsidR="002C1123" w:rsidRDefault="002C1123">
      <w:pPr>
        <w:rPr>
          <w:sz w:val="16"/>
        </w:rPr>
        <w:sectPr w:rsidR="002C1123">
          <w:type w:val="continuous"/>
          <w:pgSz w:w="16840" w:h="11910" w:orient="landscape"/>
          <w:pgMar w:top="560" w:right="280" w:bottom="280" w:left="500" w:header="0" w:footer="517" w:gutter="0"/>
          <w:cols w:num="3" w:space="720" w:equalWidth="0">
            <w:col w:w="5248" w:space="40"/>
            <w:col w:w="5017" w:space="39"/>
            <w:col w:w="5716"/>
          </w:cols>
        </w:sectPr>
      </w:pPr>
    </w:p>
    <w:p w:rsidR="002C1123" w:rsidRDefault="002C1123">
      <w:pPr>
        <w:pStyle w:val="BodyText"/>
        <w:spacing w:before="7"/>
        <w:rPr>
          <w:sz w:val="19"/>
        </w:rPr>
      </w:pPr>
    </w:p>
    <w:p w:rsidR="002C1123" w:rsidRDefault="002060EF">
      <w:pPr>
        <w:tabs>
          <w:tab w:val="left" w:pos="12708"/>
          <w:tab w:val="left" w:pos="13846"/>
          <w:tab w:val="left" w:pos="14757"/>
        </w:tabs>
        <w:spacing w:before="99"/>
        <w:ind w:left="11430"/>
        <w:rPr>
          <w:sz w:val="16"/>
        </w:rPr>
      </w:pPr>
      <w:r>
        <w:pict>
          <v:line id="_x0000_s2047" style="position:absolute;left:0;text-align:left;z-index:251552768;mso-position-horizontal-relative:page" from="591.65pt,9.45pt" to="574.65pt,9.45pt" strokecolor="#8dc63f" strokeweight="3pt">
            <w10:wrap anchorx="page"/>
          </v:line>
        </w:pict>
      </w:r>
      <w:r>
        <w:pict>
          <v:line id="_x0000_s2046" style="position:absolute;left:0;text-align:left;z-index:-251466752;mso-position-horizontal-relative:page" from="655.55pt,9.45pt" to="638.55pt,9.45pt" strokecolor="#f47920" strokeweight="3pt">
            <w10:wrap anchorx="page"/>
          </v:line>
        </w:pict>
      </w:r>
      <w:r>
        <w:pict>
          <v:line id="_x0000_s2045" style="position:absolute;left:0;text-align:left;z-index:-251465728;mso-position-horizontal-relative:page" from="712.45pt,9.45pt" to="695.45pt,9.45pt" strokecolor="#662d91" strokeweight="3pt">
            <w10:wrap anchorx="page"/>
          </v:line>
        </w:pict>
      </w:r>
      <w:r>
        <w:pict>
          <v:line id="_x0000_s2044" style="position:absolute;left:0;text-align:left;z-index:-251464704;mso-position-horizontal-relative:page" from="758pt,9.45pt" to="741pt,9.45pt" strokecolor="#00aeef" strokeweight="3pt">
            <w10:wrap anchorx="page"/>
          </v:line>
        </w:pict>
      </w:r>
      <w:r w:rsidR="00F22F94">
        <w:rPr>
          <w:spacing w:val="-2"/>
          <w:w w:val="85"/>
          <w:sz w:val="16"/>
        </w:rPr>
        <w:t>NSW/ACT</w:t>
      </w:r>
      <w:r w:rsidR="00F22F94">
        <w:rPr>
          <w:sz w:val="16"/>
        </w:rPr>
        <w:tab/>
      </w:r>
      <w:r w:rsidR="00F22F94">
        <w:rPr>
          <w:spacing w:val="-2"/>
          <w:w w:val="85"/>
          <w:sz w:val="16"/>
        </w:rPr>
        <w:t>Victoria</w:t>
      </w:r>
      <w:r w:rsidR="00F22F94">
        <w:rPr>
          <w:sz w:val="16"/>
        </w:rPr>
        <w:tab/>
      </w:r>
      <w:r w:rsidR="00F22F94">
        <w:rPr>
          <w:spacing w:val="-5"/>
          <w:w w:val="85"/>
          <w:sz w:val="16"/>
        </w:rPr>
        <w:t>Qld</w:t>
      </w:r>
      <w:r w:rsidR="00F22F94">
        <w:rPr>
          <w:sz w:val="16"/>
        </w:rPr>
        <w:tab/>
      </w:r>
      <w:r w:rsidR="00F22F94">
        <w:rPr>
          <w:spacing w:val="-5"/>
          <w:w w:val="85"/>
          <w:sz w:val="16"/>
        </w:rPr>
        <w:t>SA</w:t>
      </w:r>
    </w:p>
    <w:p w:rsidR="002C1123" w:rsidRDefault="002060EF">
      <w:pPr>
        <w:tabs>
          <w:tab w:val="left" w:pos="12713"/>
          <w:tab w:val="left" w:pos="13834"/>
        </w:tabs>
        <w:spacing w:before="71"/>
        <w:ind w:left="11433"/>
        <w:rPr>
          <w:sz w:val="16"/>
        </w:rPr>
      </w:pPr>
      <w:r>
        <w:pict>
          <v:line id="_x0000_s2043" style="position:absolute;left:0;text-align:left;z-index:251553792;mso-position-horizontal-relative:page" from="591.8pt,8.05pt" to="574.8pt,8.05pt" strokecolor="#00a651" strokeweight="3pt">
            <w10:wrap anchorx="page"/>
          </v:line>
        </w:pict>
      </w:r>
      <w:r>
        <w:pict>
          <v:line id="_x0000_s2042" style="position:absolute;left:0;text-align:left;z-index:-251463680;mso-position-horizontal-relative:page" from="655.8pt,8.05pt" to="638.8pt,8.05pt" strokecolor="#ec008c" strokeweight="3pt">
            <w10:wrap anchorx="page"/>
          </v:line>
        </w:pict>
      </w:r>
      <w:r>
        <w:pict>
          <v:line id="_x0000_s2041" style="position:absolute;left:0;text-align:left;z-index:-251462656;mso-position-horizontal-relative:page" from="711.85pt,8.05pt" to="694.85pt,8.05pt" strokecolor="#2e3092" strokeweight="3pt">
            <w10:wrap anchorx="page"/>
          </v:line>
        </w:pict>
      </w:r>
      <w:r w:rsidR="00F22F94">
        <w:rPr>
          <w:spacing w:val="-5"/>
          <w:w w:val="85"/>
          <w:sz w:val="16"/>
        </w:rPr>
        <w:t>WA</w:t>
      </w:r>
      <w:r w:rsidR="00F22F94">
        <w:rPr>
          <w:sz w:val="16"/>
        </w:rPr>
        <w:tab/>
      </w:r>
      <w:r w:rsidR="00F22F94">
        <w:rPr>
          <w:spacing w:val="-5"/>
          <w:w w:val="85"/>
          <w:sz w:val="16"/>
        </w:rPr>
        <w:t>Tas</w:t>
      </w:r>
      <w:r w:rsidR="00F22F94">
        <w:rPr>
          <w:sz w:val="16"/>
        </w:rPr>
        <w:tab/>
      </w:r>
      <w:r w:rsidR="00F22F94">
        <w:rPr>
          <w:spacing w:val="-5"/>
          <w:w w:val="85"/>
          <w:sz w:val="16"/>
        </w:rPr>
        <w:t>NT</w:t>
      </w:r>
    </w:p>
    <w:p w:rsidR="002C1123" w:rsidRDefault="00F22F94">
      <w:pPr>
        <w:spacing w:before="111"/>
        <w:ind w:left="10540"/>
        <w:rPr>
          <w:sz w:val="14"/>
        </w:rPr>
      </w:pPr>
      <w:r>
        <w:rPr>
          <w:w w:val="95"/>
          <w:sz w:val="14"/>
        </w:rPr>
        <w:t>Source:</w:t>
      </w:r>
      <w:r>
        <w:rPr>
          <w:spacing w:val="5"/>
          <w:sz w:val="14"/>
        </w:rPr>
        <w:t xml:space="preserve"> </w:t>
      </w:r>
      <w:r>
        <w:rPr>
          <w:w w:val="95"/>
          <w:sz w:val="14"/>
        </w:rPr>
        <w:t>KPMG</w:t>
      </w:r>
      <w:r>
        <w:rPr>
          <w:spacing w:val="5"/>
          <w:sz w:val="14"/>
        </w:rPr>
        <w:t xml:space="preserve"> </w:t>
      </w:r>
      <w:r>
        <w:rPr>
          <w:w w:val="95"/>
          <w:sz w:val="14"/>
        </w:rPr>
        <w:t>for</w:t>
      </w:r>
      <w:r>
        <w:rPr>
          <w:spacing w:val="5"/>
          <w:sz w:val="14"/>
        </w:rPr>
        <w:t xml:space="preserve"> </w:t>
      </w:r>
      <w:r>
        <w:rPr>
          <w:spacing w:val="-2"/>
          <w:w w:val="95"/>
          <w:sz w:val="14"/>
        </w:rPr>
        <w:t>AEMC.</w:t>
      </w:r>
    </w:p>
    <w:p w:rsidR="002C1123" w:rsidRDefault="002C1123">
      <w:pPr>
        <w:pStyle w:val="BodyText"/>
        <w:rPr>
          <w:sz w:val="16"/>
        </w:rPr>
      </w:pPr>
    </w:p>
    <w:p w:rsidR="002C1123" w:rsidRDefault="002C1123">
      <w:pPr>
        <w:pStyle w:val="BodyText"/>
        <w:rPr>
          <w:sz w:val="16"/>
        </w:rPr>
      </w:pPr>
    </w:p>
    <w:p w:rsidR="002C1123" w:rsidRDefault="002C1123">
      <w:pPr>
        <w:pStyle w:val="BodyText"/>
        <w:rPr>
          <w:sz w:val="16"/>
        </w:rPr>
      </w:pPr>
    </w:p>
    <w:p w:rsidR="002C1123" w:rsidRDefault="00F22F94">
      <w:pPr>
        <w:pStyle w:val="BodyText"/>
        <w:spacing w:before="93" w:line="249" w:lineRule="auto"/>
        <w:ind w:left="10545" w:right="803"/>
      </w:pPr>
      <w:r>
        <w:t>The</w:t>
      </w:r>
      <w:r>
        <w:rPr>
          <w:spacing w:val="-14"/>
        </w:rPr>
        <w:t xml:space="preserve"> </w:t>
      </w:r>
      <w:r>
        <w:t>forecast</w:t>
      </w:r>
      <w:r>
        <w:rPr>
          <w:spacing w:val="-14"/>
        </w:rPr>
        <w:t xml:space="preserve"> </w:t>
      </w:r>
      <w:r>
        <w:t>is</w:t>
      </w:r>
      <w:r>
        <w:rPr>
          <w:spacing w:val="-14"/>
        </w:rPr>
        <w:t xml:space="preserve"> </w:t>
      </w:r>
      <w:r>
        <w:t>for</w:t>
      </w:r>
      <w:r>
        <w:rPr>
          <w:spacing w:val="-14"/>
        </w:rPr>
        <w:t xml:space="preserve"> </w:t>
      </w:r>
      <w:r>
        <w:t>further</w:t>
      </w:r>
      <w:r>
        <w:rPr>
          <w:spacing w:val="-14"/>
        </w:rPr>
        <w:t xml:space="preserve"> </w:t>
      </w:r>
      <w:r>
        <w:t>large</w:t>
      </w:r>
      <w:r>
        <w:rPr>
          <w:spacing w:val="-14"/>
        </w:rPr>
        <w:t xml:space="preserve"> </w:t>
      </w:r>
      <w:r>
        <w:t>price</w:t>
      </w:r>
      <w:r>
        <w:rPr>
          <w:spacing w:val="-14"/>
        </w:rPr>
        <w:t xml:space="preserve"> </w:t>
      </w:r>
      <w:r>
        <w:t>increases</w:t>
      </w:r>
      <w:r>
        <w:rPr>
          <w:spacing w:val="-14"/>
        </w:rPr>
        <w:t xml:space="preserve"> </w:t>
      </w:r>
      <w:r>
        <w:t xml:space="preserve">over </w:t>
      </w:r>
      <w:r>
        <w:rPr>
          <w:w w:val="95"/>
        </w:rPr>
        <w:t>the</w:t>
      </w:r>
      <w:r>
        <w:rPr>
          <w:spacing w:val="-6"/>
          <w:w w:val="95"/>
        </w:rPr>
        <w:t xml:space="preserve"> </w:t>
      </w:r>
      <w:r>
        <w:rPr>
          <w:w w:val="95"/>
        </w:rPr>
        <w:t>next</w:t>
      </w:r>
      <w:r>
        <w:rPr>
          <w:spacing w:val="-6"/>
          <w:w w:val="95"/>
        </w:rPr>
        <w:t xml:space="preserve"> </w:t>
      </w:r>
      <w:r>
        <w:rPr>
          <w:w w:val="95"/>
        </w:rPr>
        <w:t>few</w:t>
      </w:r>
      <w:r>
        <w:rPr>
          <w:spacing w:val="-6"/>
          <w:w w:val="95"/>
        </w:rPr>
        <w:t xml:space="preserve"> </w:t>
      </w:r>
      <w:r>
        <w:rPr>
          <w:w w:val="95"/>
        </w:rPr>
        <w:t>years,</w:t>
      </w:r>
      <w:r>
        <w:rPr>
          <w:spacing w:val="-6"/>
          <w:w w:val="95"/>
        </w:rPr>
        <w:t xml:space="preserve"> </w:t>
      </w:r>
      <w:r>
        <w:rPr>
          <w:w w:val="95"/>
        </w:rPr>
        <w:t>these</w:t>
      </w:r>
      <w:r>
        <w:rPr>
          <w:spacing w:val="-6"/>
          <w:w w:val="95"/>
        </w:rPr>
        <w:t xml:space="preserve"> </w:t>
      </w:r>
      <w:r>
        <w:rPr>
          <w:w w:val="95"/>
        </w:rPr>
        <w:t>increases</w:t>
      </w:r>
      <w:r>
        <w:rPr>
          <w:spacing w:val="-6"/>
          <w:w w:val="95"/>
        </w:rPr>
        <w:t xml:space="preserve"> </w:t>
      </w:r>
      <w:r>
        <w:rPr>
          <w:w w:val="95"/>
        </w:rPr>
        <w:t>will</w:t>
      </w:r>
      <w:r>
        <w:rPr>
          <w:spacing w:val="-6"/>
          <w:w w:val="95"/>
        </w:rPr>
        <w:t xml:space="preserve"> </w:t>
      </w:r>
      <w:r>
        <w:rPr>
          <w:w w:val="95"/>
        </w:rPr>
        <w:t>continue</w:t>
      </w:r>
      <w:r>
        <w:rPr>
          <w:spacing w:val="-6"/>
          <w:w w:val="95"/>
        </w:rPr>
        <w:t xml:space="preserve"> </w:t>
      </w:r>
      <w:r>
        <w:rPr>
          <w:w w:val="95"/>
        </w:rPr>
        <w:t>to</w:t>
      </w:r>
      <w:r>
        <w:rPr>
          <w:spacing w:val="-6"/>
          <w:w w:val="95"/>
        </w:rPr>
        <w:t xml:space="preserve"> </w:t>
      </w:r>
      <w:r>
        <w:rPr>
          <w:w w:val="95"/>
        </w:rPr>
        <w:t xml:space="preserve">be driven by network price increases, carbon pricing and </w:t>
      </w:r>
      <w:r>
        <w:t>Federal</w:t>
      </w:r>
      <w:r>
        <w:rPr>
          <w:spacing w:val="-14"/>
        </w:rPr>
        <w:t xml:space="preserve"> </w:t>
      </w:r>
      <w:r>
        <w:t>renewable</w:t>
      </w:r>
      <w:r>
        <w:rPr>
          <w:spacing w:val="-14"/>
        </w:rPr>
        <w:t xml:space="preserve"> </w:t>
      </w:r>
      <w:r>
        <w:t>energy</w:t>
      </w:r>
      <w:r>
        <w:rPr>
          <w:spacing w:val="-14"/>
        </w:rPr>
        <w:t xml:space="preserve"> </w:t>
      </w:r>
      <w:r>
        <w:t>policies,</w:t>
      </w:r>
      <w:r>
        <w:rPr>
          <w:spacing w:val="-14"/>
        </w:rPr>
        <w:t xml:space="preserve"> </w:t>
      </w:r>
      <w:r>
        <w:t>which</w:t>
      </w:r>
      <w:r>
        <w:rPr>
          <w:spacing w:val="-14"/>
        </w:rPr>
        <w:t xml:space="preserve"> </w:t>
      </w:r>
      <w:r>
        <w:t>will</w:t>
      </w:r>
      <w:r>
        <w:rPr>
          <w:spacing w:val="-14"/>
        </w:rPr>
        <w:t xml:space="preserve"> </w:t>
      </w:r>
      <w:r>
        <w:t>drive changes</w:t>
      </w:r>
      <w:r>
        <w:rPr>
          <w:spacing w:val="-10"/>
        </w:rPr>
        <w:t xml:space="preserve"> </w:t>
      </w:r>
      <w:r>
        <w:t>in</w:t>
      </w:r>
      <w:r>
        <w:rPr>
          <w:spacing w:val="-10"/>
        </w:rPr>
        <w:t xml:space="preserve"> </w:t>
      </w:r>
      <w:r>
        <w:t>the</w:t>
      </w:r>
      <w:r>
        <w:rPr>
          <w:spacing w:val="-10"/>
        </w:rPr>
        <w:t xml:space="preserve"> </w:t>
      </w:r>
      <w:r>
        <w:t>mix</w:t>
      </w:r>
      <w:r>
        <w:rPr>
          <w:spacing w:val="-10"/>
        </w:rPr>
        <w:t xml:space="preserve"> </w:t>
      </w:r>
      <w:r>
        <w:t>of</w:t>
      </w:r>
      <w:r>
        <w:rPr>
          <w:spacing w:val="-10"/>
        </w:rPr>
        <w:t xml:space="preserve"> </w:t>
      </w:r>
      <w:r>
        <w:t>generation</w:t>
      </w:r>
      <w:r>
        <w:rPr>
          <w:spacing w:val="-10"/>
        </w:rPr>
        <w:t xml:space="preserve"> </w:t>
      </w:r>
      <w:r>
        <w:t>technology.</w:t>
      </w:r>
    </w:p>
    <w:p w:rsidR="002C1123" w:rsidRDefault="002C1123">
      <w:pPr>
        <w:spacing w:line="249" w:lineRule="auto"/>
        <w:sectPr w:rsidR="002C1123">
          <w:type w:val="continuous"/>
          <w:pgSz w:w="16840" w:h="11910" w:orient="landscape"/>
          <w:pgMar w:top="560" w:right="280" w:bottom="280" w:left="500" w:header="0" w:footer="517"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3"/>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BodyText"/>
        <w:spacing w:before="108"/>
        <w:ind w:left="492"/>
      </w:pPr>
      <w:bookmarkStart w:id="304" w:name="_bookmark216"/>
      <w:bookmarkEnd w:id="304"/>
      <w:r>
        <w:rPr>
          <w:w w:val="95"/>
        </w:rPr>
        <w:t>These</w:t>
      </w:r>
      <w:r>
        <w:rPr>
          <w:spacing w:val="-6"/>
          <w:w w:val="95"/>
        </w:rPr>
        <w:t xml:space="preserve"> </w:t>
      </w:r>
      <w:r>
        <w:rPr>
          <w:w w:val="95"/>
        </w:rPr>
        <w:t>price</w:t>
      </w:r>
      <w:r>
        <w:rPr>
          <w:spacing w:val="-5"/>
          <w:w w:val="95"/>
        </w:rPr>
        <w:t xml:space="preserve"> </w:t>
      </w:r>
      <w:r>
        <w:rPr>
          <w:w w:val="95"/>
        </w:rPr>
        <w:t>forecasts</w:t>
      </w:r>
      <w:r>
        <w:rPr>
          <w:spacing w:val="-6"/>
          <w:w w:val="95"/>
        </w:rPr>
        <w:t xml:space="preserve"> </w:t>
      </w:r>
      <w:r>
        <w:rPr>
          <w:spacing w:val="-2"/>
          <w:w w:val="95"/>
        </w:rPr>
        <w:t>reflect:</w:t>
      </w:r>
    </w:p>
    <w:p w:rsidR="002C1123" w:rsidRDefault="00F22F94">
      <w:pPr>
        <w:pStyle w:val="ListParagraph"/>
        <w:numPr>
          <w:ilvl w:val="0"/>
          <w:numId w:val="61"/>
        </w:numPr>
        <w:tabs>
          <w:tab w:val="left" w:pos="776"/>
        </w:tabs>
        <w:spacing w:before="139" w:line="249" w:lineRule="auto"/>
        <w:ind w:right="57"/>
        <w:rPr>
          <w:sz w:val="20"/>
        </w:rPr>
      </w:pPr>
      <w:r>
        <w:rPr>
          <w:w w:val="95"/>
          <w:sz w:val="20"/>
        </w:rPr>
        <w:t>The</w:t>
      </w:r>
      <w:r>
        <w:rPr>
          <w:spacing w:val="-6"/>
          <w:w w:val="95"/>
          <w:sz w:val="20"/>
        </w:rPr>
        <w:t xml:space="preserve"> </w:t>
      </w:r>
      <w:r>
        <w:rPr>
          <w:w w:val="95"/>
          <w:sz w:val="20"/>
        </w:rPr>
        <w:t>cost</w:t>
      </w:r>
      <w:r>
        <w:rPr>
          <w:spacing w:val="-6"/>
          <w:w w:val="95"/>
          <w:sz w:val="20"/>
        </w:rPr>
        <w:t xml:space="preserve"> </w:t>
      </w:r>
      <w:r>
        <w:rPr>
          <w:w w:val="95"/>
          <w:sz w:val="20"/>
        </w:rPr>
        <w:t>of</w:t>
      </w:r>
      <w:r>
        <w:rPr>
          <w:spacing w:val="-6"/>
          <w:w w:val="95"/>
          <w:sz w:val="20"/>
        </w:rPr>
        <w:t xml:space="preserve"> </w:t>
      </w:r>
      <w:r>
        <w:rPr>
          <w:w w:val="95"/>
          <w:sz w:val="20"/>
        </w:rPr>
        <w:t>renewable</w:t>
      </w:r>
      <w:r>
        <w:rPr>
          <w:spacing w:val="-6"/>
          <w:w w:val="95"/>
          <w:sz w:val="20"/>
        </w:rPr>
        <w:t xml:space="preserve"> </w:t>
      </w:r>
      <w:r>
        <w:rPr>
          <w:w w:val="95"/>
          <w:sz w:val="20"/>
        </w:rPr>
        <w:t>generators,</w:t>
      </w:r>
      <w:r>
        <w:rPr>
          <w:spacing w:val="-6"/>
          <w:w w:val="95"/>
          <w:sz w:val="20"/>
        </w:rPr>
        <w:t xml:space="preserve"> </w:t>
      </w:r>
      <w:r>
        <w:rPr>
          <w:w w:val="95"/>
          <w:sz w:val="20"/>
        </w:rPr>
        <w:t>to</w:t>
      </w:r>
      <w:r>
        <w:rPr>
          <w:spacing w:val="-6"/>
          <w:w w:val="95"/>
          <w:sz w:val="20"/>
        </w:rPr>
        <w:t xml:space="preserve"> </w:t>
      </w:r>
      <w:r>
        <w:rPr>
          <w:w w:val="95"/>
          <w:sz w:val="20"/>
        </w:rPr>
        <w:t>meet</w:t>
      </w:r>
      <w:r>
        <w:rPr>
          <w:spacing w:val="-6"/>
          <w:w w:val="95"/>
          <w:sz w:val="20"/>
        </w:rPr>
        <w:t xml:space="preserve"> </w:t>
      </w:r>
      <w:r>
        <w:rPr>
          <w:w w:val="95"/>
          <w:sz w:val="20"/>
        </w:rPr>
        <w:t xml:space="preserve">legislated </w:t>
      </w:r>
      <w:r>
        <w:rPr>
          <w:sz w:val="20"/>
        </w:rPr>
        <w:t>targets of 20 per cent by 2020.</w:t>
      </w:r>
    </w:p>
    <w:p w:rsidR="002C1123" w:rsidRDefault="00F22F94">
      <w:pPr>
        <w:pStyle w:val="ListParagraph"/>
        <w:numPr>
          <w:ilvl w:val="0"/>
          <w:numId w:val="61"/>
        </w:numPr>
        <w:tabs>
          <w:tab w:val="left" w:pos="776"/>
        </w:tabs>
        <w:spacing w:before="130" w:line="249" w:lineRule="auto"/>
        <w:rPr>
          <w:sz w:val="20"/>
        </w:rPr>
      </w:pPr>
      <w:r>
        <w:rPr>
          <w:w w:val="90"/>
          <w:sz w:val="20"/>
        </w:rPr>
        <w:t>The</w:t>
      </w:r>
      <w:r>
        <w:rPr>
          <w:spacing w:val="-11"/>
          <w:w w:val="90"/>
          <w:sz w:val="20"/>
        </w:rPr>
        <w:t xml:space="preserve"> </w:t>
      </w:r>
      <w:r>
        <w:rPr>
          <w:w w:val="90"/>
          <w:sz w:val="20"/>
        </w:rPr>
        <w:t>majority</w:t>
      </w:r>
      <w:r>
        <w:rPr>
          <w:spacing w:val="-11"/>
          <w:w w:val="90"/>
          <w:sz w:val="20"/>
        </w:rPr>
        <w:t xml:space="preserve"> </w:t>
      </w:r>
      <w:r>
        <w:rPr>
          <w:w w:val="90"/>
          <w:sz w:val="20"/>
        </w:rPr>
        <w:t>of</w:t>
      </w:r>
      <w:r>
        <w:rPr>
          <w:spacing w:val="-11"/>
          <w:w w:val="90"/>
          <w:sz w:val="20"/>
        </w:rPr>
        <w:t xml:space="preserve"> </w:t>
      </w:r>
      <w:r>
        <w:rPr>
          <w:w w:val="90"/>
          <w:sz w:val="20"/>
        </w:rPr>
        <w:t>renewable</w:t>
      </w:r>
      <w:r>
        <w:rPr>
          <w:spacing w:val="-11"/>
          <w:w w:val="90"/>
          <w:sz w:val="20"/>
        </w:rPr>
        <w:t xml:space="preserve"> </w:t>
      </w:r>
      <w:r>
        <w:rPr>
          <w:w w:val="90"/>
          <w:sz w:val="20"/>
        </w:rPr>
        <w:t>plant</w:t>
      </w:r>
      <w:r>
        <w:rPr>
          <w:spacing w:val="-11"/>
          <w:w w:val="90"/>
          <w:sz w:val="20"/>
        </w:rPr>
        <w:t xml:space="preserve"> </w:t>
      </w:r>
      <w:r>
        <w:rPr>
          <w:w w:val="90"/>
          <w:sz w:val="20"/>
        </w:rPr>
        <w:t>will</w:t>
      </w:r>
      <w:r>
        <w:rPr>
          <w:spacing w:val="-11"/>
          <w:w w:val="90"/>
          <w:sz w:val="20"/>
        </w:rPr>
        <w:t xml:space="preserve"> </w:t>
      </w:r>
      <w:r>
        <w:rPr>
          <w:w w:val="90"/>
          <w:sz w:val="20"/>
        </w:rPr>
        <w:t>be</w:t>
      </w:r>
      <w:r>
        <w:rPr>
          <w:spacing w:val="-11"/>
          <w:w w:val="90"/>
          <w:sz w:val="20"/>
        </w:rPr>
        <w:t xml:space="preserve"> </w:t>
      </w:r>
      <w:r>
        <w:rPr>
          <w:w w:val="90"/>
          <w:sz w:val="20"/>
        </w:rPr>
        <w:t>wind</w:t>
      </w:r>
      <w:r>
        <w:rPr>
          <w:spacing w:val="-11"/>
          <w:w w:val="90"/>
          <w:sz w:val="20"/>
        </w:rPr>
        <w:t xml:space="preserve"> </w:t>
      </w:r>
      <w:r>
        <w:rPr>
          <w:w w:val="90"/>
          <w:sz w:val="20"/>
        </w:rPr>
        <w:t>which</w:t>
      </w:r>
      <w:r>
        <w:rPr>
          <w:spacing w:val="-11"/>
          <w:w w:val="90"/>
          <w:sz w:val="20"/>
        </w:rPr>
        <w:t xml:space="preserve"> </w:t>
      </w:r>
      <w:r>
        <w:rPr>
          <w:w w:val="90"/>
          <w:sz w:val="20"/>
        </w:rPr>
        <w:t xml:space="preserve">needs </w:t>
      </w:r>
      <w:r>
        <w:rPr>
          <w:sz w:val="20"/>
        </w:rPr>
        <w:t>to</w:t>
      </w:r>
      <w:r>
        <w:rPr>
          <w:spacing w:val="-13"/>
          <w:sz w:val="20"/>
        </w:rPr>
        <w:t xml:space="preserve"> </w:t>
      </w:r>
      <w:r>
        <w:rPr>
          <w:sz w:val="20"/>
        </w:rPr>
        <w:t>be</w:t>
      </w:r>
      <w:r>
        <w:rPr>
          <w:spacing w:val="-13"/>
          <w:sz w:val="20"/>
        </w:rPr>
        <w:t xml:space="preserve"> </w:t>
      </w:r>
      <w:r>
        <w:rPr>
          <w:sz w:val="20"/>
        </w:rPr>
        <w:t>supplemented</w:t>
      </w:r>
      <w:r>
        <w:rPr>
          <w:spacing w:val="-13"/>
          <w:sz w:val="20"/>
        </w:rPr>
        <w:t xml:space="preserve"> </w:t>
      </w:r>
      <w:r>
        <w:rPr>
          <w:sz w:val="20"/>
        </w:rPr>
        <w:t>by</w:t>
      </w:r>
      <w:r>
        <w:rPr>
          <w:spacing w:val="-13"/>
          <w:sz w:val="20"/>
        </w:rPr>
        <w:t xml:space="preserve"> </w:t>
      </w:r>
      <w:r>
        <w:rPr>
          <w:sz w:val="20"/>
        </w:rPr>
        <w:t>back-up</w:t>
      </w:r>
      <w:r>
        <w:rPr>
          <w:spacing w:val="-13"/>
          <w:sz w:val="20"/>
        </w:rPr>
        <w:t xml:space="preserve"> </w:t>
      </w:r>
      <w:r>
        <w:rPr>
          <w:sz w:val="20"/>
        </w:rPr>
        <w:t>gas</w:t>
      </w:r>
      <w:r>
        <w:rPr>
          <w:spacing w:val="-13"/>
          <w:sz w:val="20"/>
        </w:rPr>
        <w:t xml:space="preserve"> </w:t>
      </w:r>
      <w:r>
        <w:rPr>
          <w:sz w:val="20"/>
        </w:rPr>
        <w:t>peaking</w:t>
      </w:r>
      <w:r>
        <w:rPr>
          <w:spacing w:val="-13"/>
          <w:sz w:val="20"/>
        </w:rPr>
        <w:t xml:space="preserve"> </w:t>
      </w:r>
      <w:r>
        <w:rPr>
          <w:sz w:val="20"/>
        </w:rPr>
        <w:t>plant.</w:t>
      </w:r>
    </w:p>
    <w:p w:rsidR="002C1123" w:rsidRDefault="00F22F94">
      <w:pPr>
        <w:pStyle w:val="ListParagraph"/>
        <w:numPr>
          <w:ilvl w:val="0"/>
          <w:numId w:val="61"/>
        </w:numPr>
        <w:tabs>
          <w:tab w:val="left" w:pos="776"/>
        </w:tabs>
        <w:spacing w:before="131" w:line="249" w:lineRule="auto"/>
        <w:ind w:right="57"/>
        <w:rPr>
          <w:sz w:val="20"/>
        </w:rPr>
      </w:pPr>
      <w:r>
        <w:rPr>
          <w:w w:val="95"/>
          <w:sz w:val="20"/>
        </w:rPr>
        <w:t>The combination of wind with peaking generation is an</w:t>
      </w:r>
      <w:r>
        <w:rPr>
          <w:spacing w:val="-8"/>
          <w:w w:val="95"/>
          <w:sz w:val="20"/>
        </w:rPr>
        <w:t xml:space="preserve"> </w:t>
      </w:r>
      <w:r>
        <w:rPr>
          <w:w w:val="95"/>
          <w:sz w:val="20"/>
        </w:rPr>
        <w:t>expensive</w:t>
      </w:r>
      <w:r>
        <w:rPr>
          <w:spacing w:val="-8"/>
          <w:w w:val="95"/>
          <w:sz w:val="20"/>
        </w:rPr>
        <w:t xml:space="preserve"> </w:t>
      </w:r>
      <w:r>
        <w:rPr>
          <w:w w:val="95"/>
          <w:sz w:val="20"/>
        </w:rPr>
        <w:t>generation</w:t>
      </w:r>
      <w:r>
        <w:rPr>
          <w:spacing w:val="-8"/>
          <w:w w:val="95"/>
          <w:sz w:val="20"/>
        </w:rPr>
        <w:t xml:space="preserve"> </w:t>
      </w:r>
      <w:r>
        <w:rPr>
          <w:w w:val="95"/>
          <w:sz w:val="20"/>
        </w:rPr>
        <w:t>mix</w:t>
      </w:r>
      <w:r>
        <w:rPr>
          <w:spacing w:val="-8"/>
          <w:w w:val="95"/>
          <w:sz w:val="20"/>
        </w:rPr>
        <w:t xml:space="preserve"> </w:t>
      </w:r>
      <w:r>
        <w:rPr>
          <w:w w:val="95"/>
          <w:sz w:val="20"/>
        </w:rPr>
        <w:t>and</w:t>
      </w:r>
      <w:r>
        <w:rPr>
          <w:spacing w:val="-8"/>
          <w:w w:val="95"/>
          <w:sz w:val="20"/>
        </w:rPr>
        <w:t xml:space="preserve"> </w:t>
      </w:r>
      <w:r>
        <w:rPr>
          <w:w w:val="95"/>
          <w:sz w:val="20"/>
        </w:rPr>
        <w:t>increases</w:t>
      </w:r>
      <w:r>
        <w:rPr>
          <w:spacing w:val="-8"/>
          <w:w w:val="95"/>
          <w:sz w:val="20"/>
        </w:rPr>
        <w:t xml:space="preserve"> </w:t>
      </w:r>
      <w:r>
        <w:rPr>
          <w:w w:val="95"/>
          <w:sz w:val="20"/>
        </w:rPr>
        <w:t>the</w:t>
      </w:r>
      <w:r>
        <w:rPr>
          <w:spacing w:val="-8"/>
          <w:w w:val="95"/>
          <w:sz w:val="20"/>
        </w:rPr>
        <w:t xml:space="preserve"> </w:t>
      </w:r>
      <w:r>
        <w:rPr>
          <w:w w:val="95"/>
          <w:sz w:val="20"/>
        </w:rPr>
        <w:t xml:space="preserve">price </w:t>
      </w:r>
      <w:r>
        <w:rPr>
          <w:sz w:val="20"/>
        </w:rPr>
        <w:t>to business and households.</w:t>
      </w:r>
    </w:p>
    <w:p w:rsidR="002C1123" w:rsidRDefault="00F22F94">
      <w:pPr>
        <w:pStyle w:val="BodyText"/>
        <w:spacing w:before="144" w:line="249" w:lineRule="auto"/>
        <w:ind w:left="492" w:right="129"/>
      </w:pPr>
      <w:r>
        <w:t>Higher</w:t>
      </w:r>
      <w:r>
        <w:rPr>
          <w:spacing w:val="-9"/>
        </w:rPr>
        <w:t xml:space="preserve"> </w:t>
      </w:r>
      <w:r>
        <w:t>energy</w:t>
      </w:r>
      <w:r>
        <w:rPr>
          <w:spacing w:val="-9"/>
        </w:rPr>
        <w:t xml:space="preserve"> </w:t>
      </w:r>
      <w:r>
        <w:t>prices</w:t>
      </w:r>
      <w:r>
        <w:rPr>
          <w:spacing w:val="-9"/>
        </w:rPr>
        <w:t xml:space="preserve"> </w:t>
      </w:r>
      <w:r>
        <w:t>are</w:t>
      </w:r>
      <w:r>
        <w:rPr>
          <w:spacing w:val="-9"/>
        </w:rPr>
        <w:t xml:space="preserve"> </w:t>
      </w:r>
      <w:r>
        <w:t>a</w:t>
      </w:r>
      <w:r>
        <w:rPr>
          <w:spacing w:val="-9"/>
        </w:rPr>
        <w:t xml:space="preserve"> </w:t>
      </w:r>
      <w:r>
        <w:t>risk</w:t>
      </w:r>
      <w:r>
        <w:rPr>
          <w:spacing w:val="-9"/>
        </w:rPr>
        <w:t xml:space="preserve"> </w:t>
      </w:r>
      <w:r>
        <w:t>for</w:t>
      </w:r>
      <w:r>
        <w:rPr>
          <w:spacing w:val="-9"/>
        </w:rPr>
        <w:t xml:space="preserve"> </w:t>
      </w:r>
      <w:r>
        <w:t>economic</w:t>
      </w:r>
      <w:r>
        <w:rPr>
          <w:spacing w:val="-9"/>
        </w:rPr>
        <w:t xml:space="preserve"> </w:t>
      </w:r>
      <w:r>
        <w:t xml:space="preserve">growth </w:t>
      </w:r>
      <w:r>
        <w:rPr>
          <w:w w:val="95"/>
        </w:rPr>
        <w:t>and are creating hardship for parts of the community</w:t>
      </w:r>
      <w:r>
        <w:rPr>
          <w:w w:val="95"/>
          <w:position w:val="7"/>
          <w:sz w:val="11"/>
        </w:rPr>
        <w:t>2</w:t>
      </w:r>
      <w:r>
        <w:rPr>
          <w:w w:val="95"/>
        </w:rPr>
        <w:t xml:space="preserve">. The large increase in costs for industry is contributing </w:t>
      </w:r>
      <w:r>
        <w:t>to</w:t>
      </w:r>
      <w:r>
        <w:rPr>
          <w:spacing w:val="-9"/>
        </w:rPr>
        <w:t xml:space="preserve"> </w:t>
      </w:r>
      <w:r>
        <w:t>structural</w:t>
      </w:r>
      <w:r>
        <w:rPr>
          <w:spacing w:val="-9"/>
        </w:rPr>
        <w:t xml:space="preserve"> </w:t>
      </w:r>
      <w:r>
        <w:t>adjustments</w:t>
      </w:r>
      <w:r>
        <w:rPr>
          <w:spacing w:val="-9"/>
        </w:rPr>
        <w:t xml:space="preserve"> </w:t>
      </w:r>
      <w:r>
        <w:t>in</w:t>
      </w:r>
      <w:r>
        <w:rPr>
          <w:spacing w:val="-9"/>
        </w:rPr>
        <w:t xml:space="preserve"> </w:t>
      </w:r>
      <w:r>
        <w:t>NSW’s</w:t>
      </w:r>
      <w:r>
        <w:rPr>
          <w:spacing w:val="-9"/>
        </w:rPr>
        <w:t xml:space="preserve"> </w:t>
      </w:r>
      <w:r>
        <w:t xml:space="preserve">industrial </w:t>
      </w:r>
      <w:r>
        <w:rPr>
          <w:w w:val="95"/>
        </w:rPr>
        <w:t>composition. NSW is energy rich and these resources need</w:t>
      </w:r>
      <w:r>
        <w:rPr>
          <w:spacing w:val="-4"/>
          <w:w w:val="95"/>
        </w:rPr>
        <w:t xml:space="preserve"> </w:t>
      </w:r>
      <w:r>
        <w:rPr>
          <w:w w:val="95"/>
        </w:rPr>
        <w:t>to</w:t>
      </w:r>
      <w:r>
        <w:rPr>
          <w:spacing w:val="-4"/>
          <w:w w:val="95"/>
        </w:rPr>
        <w:t xml:space="preserve"> </w:t>
      </w:r>
      <w:r>
        <w:rPr>
          <w:w w:val="95"/>
        </w:rPr>
        <w:t>be</w:t>
      </w:r>
      <w:r>
        <w:rPr>
          <w:spacing w:val="-4"/>
          <w:w w:val="95"/>
        </w:rPr>
        <w:t xml:space="preserve"> </w:t>
      </w:r>
      <w:r>
        <w:rPr>
          <w:w w:val="95"/>
        </w:rPr>
        <w:t>maximised</w:t>
      </w:r>
      <w:r>
        <w:rPr>
          <w:spacing w:val="-4"/>
          <w:w w:val="95"/>
        </w:rPr>
        <w:t xml:space="preserve"> </w:t>
      </w:r>
      <w:r>
        <w:rPr>
          <w:w w:val="95"/>
        </w:rPr>
        <w:t>to</w:t>
      </w:r>
      <w:r>
        <w:rPr>
          <w:spacing w:val="-4"/>
          <w:w w:val="95"/>
        </w:rPr>
        <w:t xml:space="preserve"> </w:t>
      </w:r>
      <w:r>
        <w:rPr>
          <w:w w:val="95"/>
        </w:rPr>
        <w:t>ensure</w:t>
      </w:r>
      <w:r>
        <w:rPr>
          <w:spacing w:val="-4"/>
          <w:w w:val="95"/>
        </w:rPr>
        <w:t xml:space="preserve"> </w:t>
      </w:r>
      <w:r>
        <w:rPr>
          <w:w w:val="95"/>
        </w:rPr>
        <w:t>that</w:t>
      </w:r>
      <w:r>
        <w:rPr>
          <w:spacing w:val="-4"/>
          <w:w w:val="95"/>
        </w:rPr>
        <w:t xml:space="preserve"> </w:t>
      </w:r>
      <w:r>
        <w:rPr>
          <w:w w:val="95"/>
        </w:rPr>
        <w:t>NSW</w:t>
      </w:r>
      <w:r>
        <w:rPr>
          <w:spacing w:val="-4"/>
          <w:w w:val="95"/>
        </w:rPr>
        <w:t xml:space="preserve"> </w:t>
      </w:r>
      <w:r>
        <w:rPr>
          <w:w w:val="95"/>
        </w:rPr>
        <w:t xml:space="preserve">businesses </w:t>
      </w:r>
      <w:r>
        <w:t>are</w:t>
      </w:r>
      <w:r>
        <w:rPr>
          <w:spacing w:val="-11"/>
        </w:rPr>
        <w:t xml:space="preserve"> </w:t>
      </w:r>
      <w:r>
        <w:t>competitive.</w:t>
      </w:r>
    </w:p>
    <w:p w:rsidR="002C1123" w:rsidRDefault="00F22F94">
      <w:pPr>
        <w:pStyle w:val="Heading6"/>
        <w:ind w:left="223"/>
      </w:pPr>
      <w:r>
        <w:rPr>
          <w:b w:val="0"/>
        </w:rPr>
        <w:br w:type="column"/>
      </w:r>
      <w:r>
        <w:rPr>
          <w:color w:val="00AEEF"/>
          <w:spacing w:val="-2"/>
        </w:rPr>
        <w:t>Demand</w:t>
      </w:r>
    </w:p>
    <w:p w:rsidR="002C1123" w:rsidRDefault="00F22F94">
      <w:pPr>
        <w:pStyle w:val="BodyText"/>
        <w:spacing w:before="95" w:line="249" w:lineRule="auto"/>
        <w:ind w:left="223"/>
        <w:jc w:val="both"/>
      </w:pPr>
      <w:r>
        <w:rPr>
          <w:w w:val="95"/>
        </w:rPr>
        <w:t>As</w:t>
      </w:r>
      <w:r>
        <w:rPr>
          <w:spacing w:val="-7"/>
          <w:w w:val="95"/>
        </w:rPr>
        <w:t xml:space="preserve"> </w:t>
      </w:r>
      <w:r>
        <w:rPr>
          <w:w w:val="95"/>
        </w:rPr>
        <w:t>a</w:t>
      </w:r>
      <w:r>
        <w:rPr>
          <w:spacing w:val="-7"/>
          <w:w w:val="95"/>
        </w:rPr>
        <w:t xml:space="preserve"> </w:t>
      </w:r>
      <w:r>
        <w:rPr>
          <w:w w:val="95"/>
        </w:rPr>
        <w:t>result</w:t>
      </w:r>
      <w:r>
        <w:rPr>
          <w:spacing w:val="-7"/>
          <w:w w:val="95"/>
        </w:rPr>
        <w:t xml:space="preserve"> </w:t>
      </w:r>
      <w:r>
        <w:rPr>
          <w:w w:val="95"/>
        </w:rPr>
        <w:t>of</w:t>
      </w:r>
      <w:r>
        <w:rPr>
          <w:spacing w:val="-7"/>
          <w:w w:val="95"/>
        </w:rPr>
        <w:t xml:space="preserve"> </w:t>
      </w:r>
      <w:r>
        <w:rPr>
          <w:w w:val="95"/>
        </w:rPr>
        <w:t>these</w:t>
      </w:r>
      <w:r>
        <w:rPr>
          <w:spacing w:val="-7"/>
          <w:w w:val="95"/>
        </w:rPr>
        <w:t xml:space="preserve"> </w:t>
      </w:r>
      <w:r>
        <w:rPr>
          <w:w w:val="95"/>
        </w:rPr>
        <w:t>price</w:t>
      </w:r>
      <w:r>
        <w:rPr>
          <w:spacing w:val="-7"/>
          <w:w w:val="95"/>
        </w:rPr>
        <w:t xml:space="preserve"> </w:t>
      </w:r>
      <w:r>
        <w:rPr>
          <w:w w:val="95"/>
        </w:rPr>
        <w:t>increases,</w:t>
      </w:r>
      <w:r>
        <w:rPr>
          <w:spacing w:val="-7"/>
          <w:w w:val="95"/>
        </w:rPr>
        <w:t xml:space="preserve"> </w:t>
      </w:r>
      <w:r>
        <w:rPr>
          <w:w w:val="95"/>
        </w:rPr>
        <w:t>electricity</w:t>
      </w:r>
      <w:r>
        <w:rPr>
          <w:spacing w:val="-7"/>
          <w:w w:val="95"/>
        </w:rPr>
        <w:t xml:space="preserve"> </w:t>
      </w:r>
      <w:r>
        <w:rPr>
          <w:w w:val="95"/>
        </w:rPr>
        <w:t>demand</w:t>
      </w:r>
      <w:r>
        <w:rPr>
          <w:spacing w:val="-7"/>
          <w:w w:val="95"/>
        </w:rPr>
        <w:t xml:space="preserve"> </w:t>
      </w:r>
      <w:r>
        <w:rPr>
          <w:w w:val="95"/>
        </w:rPr>
        <w:t>is declining</w:t>
      </w:r>
      <w:r>
        <w:rPr>
          <w:spacing w:val="-6"/>
          <w:w w:val="95"/>
        </w:rPr>
        <w:t xml:space="preserve"> </w:t>
      </w:r>
      <w:r>
        <w:rPr>
          <w:w w:val="95"/>
        </w:rPr>
        <w:t>–</w:t>
      </w:r>
      <w:r>
        <w:rPr>
          <w:spacing w:val="-6"/>
          <w:w w:val="95"/>
        </w:rPr>
        <w:t xml:space="preserve"> </w:t>
      </w:r>
      <w:r>
        <w:rPr>
          <w:w w:val="95"/>
        </w:rPr>
        <w:t>demand</w:t>
      </w:r>
      <w:r>
        <w:rPr>
          <w:spacing w:val="-6"/>
          <w:w w:val="95"/>
        </w:rPr>
        <w:t xml:space="preserve"> </w:t>
      </w:r>
      <w:r>
        <w:rPr>
          <w:w w:val="95"/>
        </w:rPr>
        <w:t>in</w:t>
      </w:r>
      <w:r>
        <w:rPr>
          <w:spacing w:val="-6"/>
          <w:w w:val="95"/>
        </w:rPr>
        <w:t xml:space="preserve"> </w:t>
      </w:r>
      <w:r>
        <w:rPr>
          <w:w w:val="95"/>
        </w:rPr>
        <w:t>2011</w:t>
      </w:r>
      <w:r>
        <w:rPr>
          <w:spacing w:val="-6"/>
          <w:w w:val="95"/>
        </w:rPr>
        <w:t xml:space="preserve"> </w:t>
      </w:r>
      <w:r>
        <w:rPr>
          <w:w w:val="95"/>
        </w:rPr>
        <w:t>is</w:t>
      </w:r>
      <w:r>
        <w:rPr>
          <w:spacing w:val="-6"/>
          <w:w w:val="95"/>
        </w:rPr>
        <w:t xml:space="preserve"> </w:t>
      </w:r>
      <w:r>
        <w:rPr>
          <w:w w:val="95"/>
        </w:rPr>
        <w:t>at</w:t>
      </w:r>
      <w:r>
        <w:rPr>
          <w:spacing w:val="-6"/>
          <w:w w:val="95"/>
        </w:rPr>
        <w:t xml:space="preserve"> </w:t>
      </w:r>
      <w:r>
        <w:rPr>
          <w:w w:val="95"/>
        </w:rPr>
        <w:t>the</w:t>
      </w:r>
      <w:r>
        <w:rPr>
          <w:spacing w:val="-6"/>
          <w:w w:val="95"/>
        </w:rPr>
        <w:t xml:space="preserve"> </w:t>
      </w:r>
      <w:r>
        <w:rPr>
          <w:w w:val="95"/>
        </w:rPr>
        <w:t>same</w:t>
      </w:r>
      <w:r>
        <w:rPr>
          <w:spacing w:val="-6"/>
          <w:w w:val="95"/>
        </w:rPr>
        <w:t xml:space="preserve"> </w:t>
      </w:r>
      <w:r>
        <w:rPr>
          <w:w w:val="95"/>
        </w:rPr>
        <w:t>level</w:t>
      </w:r>
      <w:r>
        <w:rPr>
          <w:spacing w:val="-6"/>
          <w:w w:val="95"/>
        </w:rPr>
        <w:t xml:space="preserve"> </w:t>
      </w:r>
      <w:r>
        <w:rPr>
          <w:w w:val="95"/>
        </w:rPr>
        <w:t>as</w:t>
      </w:r>
      <w:r>
        <w:rPr>
          <w:spacing w:val="-6"/>
          <w:w w:val="95"/>
        </w:rPr>
        <w:t xml:space="preserve"> </w:t>
      </w:r>
      <w:r>
        <w:rPr>
          <w:w w:val="95"/>
        </w:rPr>
        <w:t xml:space="preserve">2006. </w:t>
      </w:r>
      <w:r>
        <w:t>This</w:t>
      </w:r>
      <w:r>
        <w:rPr>
          <w:spacing w:val="-13"/>
        </w:rPr>
        <w:t xml:space="preserve"> </w:t>
      </w:r>
      <w:r>
        <w:t>is</w:t>
      </w:r>
      <w:r>
        <w:rPr>
          <w:spacing w:val="-13"/>
        </w:rPr>
        <w:t xml:space="preserve"> </w:t>
      </w:r>
      <w:r>
        <w:t>shown</w:t>
      </w:r>
      <w:r>
        <w:rPr>
          <w:spacing w:val="-13"/>
        </w:rPr>
        <w:t xml:space="preserve"> </w:t>
      </w:r>
      <w:r>
        <w:t>in</w:t>
      </w:r>
      <w:r>
        <w:rPr>
          <w:spacing w:val="-13"/>
        </w:rPr>
        <w:t xml:space="preserve"> </w:t>
      </w:r>
      <w:r>
        <w:t>Figure</w:t>
      </w:r>
      <w:r>
        <w:rPr>
          <w:spacing w:val="-13"/>
        </w:rPr>
        <w:t xml:space="preserve"> </w:t>
      </w:r>
      <w:r>
        <w:t>11.3</w:t>
      </w:r>
      <w:r>
        <w:rPr>
          <w:spacing w:val="-13"/>
        </w:rPr>
        <w:t xml:space="preserve"> </w:t>
      </w:r>
      <w:r>
        <w:t>below.</w:t>
      </w:r>
    </w:p>
    <w:p w:rsidR="002C1123" w:rsidRDefault="002C1123">
      <w:pPr>
        <w:pStyle w:val="BodyText"/>
        <w:spacing w:before="10"/>
        <w:rPr>
          <w:sz w:val="18"/>
        </w:rPr>
      </w:pPr>
    </w:p>
    <w:p w:rsidR="002C1123" w:rsidRDefault="00F22F94">
      <w:pPr>
        <w:spacing w:line="249" w:lineRule="auto"/>
        <w:ind w:left="286" w:right="203"/>
        <w:rPr>
          <w:b/>
          <w:sz w:val="18"/>
        </w:rPr>
      </w:pPr>
      <w:r>
        <w:rPr>
          <w:b/>
          <w:sz w:val="18"/>
        </w:rPr>
        <w:t>Figure</w:t>
      </w:r>
      <w:r>
        <w:rPr>
          <w:b/>
          <w:spacing w:val="-10"/>
          <w:sz w:val="18"/>
        </w:rPr>
        <w:t xml:space="preserve"> </w:t>
      </w:r>
      <w:r>
        <w:rPr>
          <w:b/>
          <w:sz w:val="18"/>
        </w:rPr>
        <w:t>11.3</w:t>
      </w:r>
      <w:r>
        <w:rPr>
          <w:b/>
          <w:spacing w:val="30"/>
          <w:sz w:val="18"/>
        </w:rPr>
        <w:t xml:space="preserve"> </w:t>
      </w:r>
      <w:r>
        <w:rPr>
          <w:b/>
          <w:sz w:val="18"/>
        </w:rPr>
        <w:t>Electricity</w:t>
      </w:r>
      <w:r>
        <w:rPr>
          <w:b/>
          <w:spacing w:val="-10"/>
          <w:sz w:val="18"/>
        </w:rPr>
        <w:t xml:space="preserve"> </w:t>
      </w:r>
      <w:r>
        <w:rPr>
          <w:b/>
          <w:sz w:val="18"/>
        </w:rPr>
        <w:t>Despatched</w:t>
      </w:r>
      <w:r>
        <w:rPr>
          <w:b/>
          <w:spacing w:val="-10"/>
          <w:sz w:val="18"/>
        </w:rPr>
        <w:t xml:space="preserve"> </w:t>
      </w:r>
      <w:r>
        <w:rPr>
          <w:b/>
          <w:sz w:val="18"/>
        </w:rPr>
        <w:t>(GWH)</w:t>
      </w:r>
      <w:r>
        <w:rPr>
          <w:b/>
          <w:spacing w:val="-10"/>
          <w:sz w:val="18"/>
        </w:rPr>
        <w:t xml:space="preserve"> </w:t>
      </w:r>
      <w:r>
        <w:rPr>
          <w:b/>
          <w:sz w:val="18"/>
        </w:rPr>
        <w:t>History and Forecast</w:t>
      </w:r>
    </w:p>
    <w:p w:rsidR="002C1123" w:rsidRDefault="002C1123">
      <w:pPr>
        <w:pStyle w:val="BodyText"/>
        <w:rPr>
          <w:b/>
          <w:sz w:val="21"/>
        </w:rPr>
      </w:pPr>
    </w:p>
    <w:p w:rsidR="002C1123" w:rsidRDefault="002060EF">
      <w:pPr>
        <w:spacing w:before="1"/>
        <w:ind w:left="594"/>
        <w:rPr>
          <w:sz w:val="16"/>
        </w:rPr>
      </w:pPr>
      <w:r>
        <w:pict>
          <v:line id="_x0000_s2040" style="position:absolute;left:0;text-align:left;z-index:251582464;mso-position-horizontal-relative:page" from="347.7pt,4.4pt" to="538.45pt,4.4pt" strokecolor="#b2b1b3" strokeweight=".4pt">
            <w10:wrap anchorx="page"/>
          </v:line>
        </w:pict>
      </w:r>
      <w:r w:rsidR="00F22F94">
        <w:rPr>
          <w:spacing w:val="-2"/>
          <w:w w:val="95"/>
          <w:sz w:val="16"/>
        </w:rPr>
        <w:t>80,000</w:t>
      </w:r>
    </w:p>
    <w:p w:rsidR="002C1123" w:rsidRDefault="002C1123">
      <w:pPr>
        <w:pStyle w:val="BodyText"/>
        <w:spacing w:before="8"/>
        <w:rPr>
          <w:sz w:val="19"/>
        </w:rPr>
      </w:pPr>
    </w:p>
    <w:p w:rsidR="002C1123" w:rsidRDefault="002060EF">
      <w:pPr>
        <w:ind w:left="594"/>
        <w:rPr>
          <w:sz w:val="16"/>
        </w:rPr>
      </w:pPr>
      <w:r>
        <w:pict>
          <v:group id="docshapegroup2018" o:spid="_x0000_s2032" style="position:absolute;left:0;text-align:left;margin-left:347.7pt;margin-top:4.2pt;width:192.2pt;height:85.3pt;z-index:251581440;mso-position-horizontal-relative:page" coordorigin="6954,84" coordsize="3844,1706">
            <v:line id="_x0000_s2039" style="position:absolute" from="6954,1735" to="10769,1735" strokecolor="#b2b1b3" strokeweight=".4pt"/>
            <v:line id="_x0000_s2038" style="position:absolute" from="6954,1323" to="10769,1323" strokecolor="#b2b1b3" strokeweight=".4pt"/>
            <v:line id="_x0000_s2037" style="position:absolute" from="6954,912" to="10769,912" strokecolor="#b2b1b3" strokeweight=".4pt"/>
            <v:line id="_x0000_s2036" style="position:absolute" from="6954,500" to="10769,500" strokecolor="#b2b1b3" strokeweight=".4pt"/>
            <v:line id="_x0000_s2035" style="position:absolute" from="6954,88" to="10769,88" strokecolor="#b2b1b3" strokeweight=".4pt"/>
            <v:shape id="docshape2019" o:spid="_x0000_s2034" style="position:absolute;left:8686;top:182;width:2080;height:1578" coordorigin="8687,183" coordsize="2080,1578" path="m10767,183r-231,148l10305,489r-231,137l9842,710,9611,956r-231,162l9149,1322r-231,257l8687,1760e" filled="f" strokecolor="#00aeef" strokeweight="3pt">
              <v:path arrowok="t"/>
            </v:shape>
            <v:shape id="docshape2020" o:spid="_x0000_s2033" style="position:absolute;left:7069;top:551;width:1387;height:908" coordorigin="7069,552" coordsize="1387,908" path="m8456,1459l8225,833,7994,779,7763,632,7531,552r-231,91l7069,1049e" filled="f" strokecolor="#2e3092" strokeweight="3pt">
              <v:path arrowok="t"/>
            </v:shape>
            <w10:wrap anchorx="page"/>
          </v:group>
        </w:pict>
      </w:r>
      <w:r w:rsidR="00F22F94">
        <w:rPr>
          <w:spacing w:val="-2"/>
          <w:w w:val="95"/>
          <w:sz w:val="16"/>
        </w:rPr>
        <w:t>78,000</w:t>
      </w:r>
    </w:p>
    <w:p w:rsidR="002C1123" w:rsidRDefault="002C1123">
      <w:pPr>
        <w:pStyle w:val="BodyText"/>
        <w:spacing w:before="8"/>
        <w:rPr>
          <w:sz w:val="19"/>
        </w:rPr>
      </w:pPr>
    </w:p>
    <w:p w:rsidR="002C1123" w:rsidRDefault="002060EF">
      <w:pPr>
        <w:ind w:left="594"/>
        <w:rPr>
          <w:sz w:val="16"/>
        </w:rPr>
      </w:pPr>
      <w:r>
        <w:pict>
          <v:shape id="docshape2021" o:spid="_x0000_s2031" type="#_x0000_t202" style="position:absolute;left:0;text-align:left;margin-left:302.35pt;margin-top:4.95pt;width:11.05pt;height:61.7pt;z-index:251585536;mso-position-horizontal-relative:page" filled="f" stroked="f">
            <v:textbox style="layout-flow:vertical;mso-layout-flow-alt:bottom-to-top" inset="0,0,0,0">
              <w:txbxContent>
                <w:p w:rsidR="00F22F94" w:rsidRDefault="00F22F94">
                  <w:pPr>
                    <w:spacing w:before="18"/>
                    <w:ind w:left="20"/>
                    <w:rPr>
                      <w:sz w:val="16"/>
                    </w:rPr>
                  </w:pPr>
                  <w:r>
                    <w:rPr>
                      <w:w w:val="75"/>
                      <w:sz w:val="16"/>
                    </w:rPr>
                    <w:t>Annual</w:t>
                  </w:r>
                  <w:r>
                    <w:rPr>
                      <w:spacing w:val="7"/>
                      <w:sz w:val="16"/>
                    </w:rPr>
                    <w:t xml:space="preserve"> </w:t>
                  </w:r>
                  <w:r>
                    <w:rPr>
                      <w:w w:val="75"/>
                      <w:sz w:val="16"/>
                    </w:rPr>
                    <w:t>energy</w:t>
                  </w:r>
                  <w:r>
                    <w:rPr>
                      <w:spacing w:val="8"/>
                      <w:sz w:val="16"/>
                    </w:rPr>
                    <w:t xml:space="preserve"> </w:t>
                  </w:r>
                  <w:r>
                    <w:rPr>
                      <w:spacing w:val="-2"/>
                      <w:w w:val="75"/>
                      <w:sz w:val="16"/>
                    </w:rPr>
                    <w:t>(GWh)</w:t>
                  </w:r>
                </w:p>
              </w:txbxContent>
            </v:textbox>
            <w10:wrap anchorx="page"/>
          </v:shape>
        </w:pict>
      </w:r>
      <w:r w:rsidR="00F22F94">
        <w:rPr>
          <w:spacing w:val="-2"/>
          <w:w w:val="95"/>
          <w:sz w:val="16"/>
        </w:rPr>
        <w:t>76,000</w:t>
      </w:r>
    </w:p>
    <w:p w:rsidR="002C1123" w:rsidRDefault="002C1123">
      <w:pPr>
        <w:pStyle w:val="BodyText"/>
        <w:spacing w:before="8"/>
        <w:rPr>
          <w:sz w:val="19"/>
        </w:rPr>
      </w:pPr>
    </w:p>
    <w:p w:rsidR="002C1123" w:rsidRDefault="00F22F94">
      <w:pPr>
        <w:ind w:left="594"/>
        <w:rPr>
          <w:sz w:val="16"/>
        </w:rPr>
      </w:pPr>
      <w:r>
        <w:rPr>
          <w:spacing w:val="-2"/>
          <w:w w:val="95"/>
          <w:sz w:val="16"/>
        </w:rPr>
        <w:t>74,000</w:t>
      </w:r>
    </w:p>
    <w:p w:rsidR="002C1123" w:rsidRDefault="002C1123">
      <w:pPr>
        <w:pStyle w:val="BodyText"/>
        <w:spacing w:before="8"/>
        <w:rPr>
          <w:sz w:val="19"/>
        </w:rPr>
      </w:pPr>
    </w:p>
    <w:p w:rsidR="002C1123" w:rsidRDefault="00F22F94">
      <w:pPr>
        <w:spacing w:before="1"/>
        <w:ind w:left="594"/>
        <w:rPr>
          <w:sz w:val="16"/>
        </w:rPr>
      </w:pPr>
      <w:r>
        <w:rPr>
          <w:spacing w:val="-2"/>
          <w:w w:val="95"/>
          <w:sz w:val="16"/>
        </w:rPr>
        <w:t>72,000</w:t>
      </w:r>
    </w:p>
    <w:p w:rsidR="002C1123" w:rsidRDefault="002C1123">
      <w:pPr>
        <w:pStyle w:val="BodyText"/>
        <w:spacing w:before="8"/>
        <w:rPr>
          <w:sz w:val="19"/>
        </w:rPr>
      </w:pPr>
    </w:p>
    <w:p w:rsidR="002C1123" w:rsidRDefault="00F22F94">
      <w:pPr>
        <w:ind w:left="594"/>
        <w:rPr>
          <w:sz w:val="16"/>
        </w:rPr>
      </w:pPr>
      <w:r>
        <w:rPr>
          <w:spacing w:val="-2"/>
          <w:w w:val="95"/>
          <w:sz w:val="16"/>
        </w:rPr>
        <w:t>70,000</w:t>
      </w:r>
    </w:p>
    <w:p w:rsidR="002C1123" w:rsidRDefault="002C1123">
      <w:pPr>
        <w:pStyle w:val="BodyText"/>
        <w:spacing w:before="8"/>
        <w:rPr>
          <w:sz w:val="19"/>
        </w:rPr>
      </w:pPr>
    </w:p>
    <w:p w:rsidR="002C1123" w:rsidRDefault="002060EF">
      <w:pPr>
        <w:ind w:left="594"/>
        <w:rPr>
          <w:sz w:val="16"/>
        </w:rPr>
      </w:pPr>
      <w:r>
        <w:pict>
          <v:line id="_x0000_s2030" style="position:absolute;left:0;text-align:left;z-index:251580416;mso-position-horizontal-relative:page" from="347.7pt,4.65pt" to="538.45pt,4.65pt" strokecolor="#b2b1b3" strokeweight=".4pt">
            <w10:wrap anchorx="page"/>
          </v:line>
        </w:pict>
      </w:r>
      <w:r w:rsidR="00F22F94">
        <w:rPr>
          <w:spacing w:val="-2"/>
          <w:w w:val="95"/>
          <w:sz w:val="16"/>
        </w:rPr>
        <w:t>68,000</w:t>
      </w:r>
    </w:p>
    <w:p w:rsidR="002C1123" w:rsidRDefault="002C1123">
      <w:pPr>
        <w:pStyle w:val="BodyText"/>
        <w:spacing w:before="8"/>
        <w:rPr>
          <w:sz w:val="19"/>
        </w:rPr>
      </w:pPr>
    </w:p>
    <w:p w:rsidR="002C1123" w:rsidRDefault="002060EF">
      <w:pPr>
        <w:ind w:left="594"/>
        <w:rPr>
          <w:sz w:val="16"/>
        </w:rPr>
      </w:pPr>
      <w:r>
        <w:pict>
          <v:line id="_x0000_s2029" style="position:absolute;left:0;text-align:left;z-index:251579392;mso-position-horizontal-relative:page" from="347.7pt,4.7pt" to="538.45pt,4.7pt" strokecolor="#b2b1b3" strokeweight=".8pt">
            <w10:wrap anchorx="page"/>
          </v:line>
        </w:pict>
      </w:r>
      <w:r>
        <w:pict>
          <v:shape id="docshape2022" o:spid="_x0000_s2028" type="#_x0000_t202" style="position:absolute;left:0;text-align:left;margin-left:345.1pt;margin-top:11.65pt;width:195.9pt;height:23pt;z-index:251586560;mso-position-horizontal-relative:page" filled="f" stroked="f">
            <v:textbox style="layout-flow:vertical;mso-layout-flow-alt:bottom-to-top" inset="0,0,0,0">
              <w:txbxContent>
                <w:p w:rsidR="00F22F94" w:rsidRDefault="00F22F94">
                  <w:pPr>
                    <w:spacing w:before="18"/>
                    <w:ind w:left="88"/>
                    <w:rPr>
                      <w:sz w:val="16"/>
                    </w:rPr>
                  </w:pPr>
                  <w:r>
                    <w:rPr>
                      <w:spacing w:val="-2"/>
                      <w:w w:val="90"/>
                      <w:sz w:val="16"/>
                    </w:rPr>
                    <w:t>05/06</w:t>
                  </w:r>
                </w:p>
                <w:p w:rsidR="00F22F94" w:rsidRDefault="00F22F94">
                  <w:pPr>
                    <w:spacing w:before="47"/>
                    <w:ind w:left="88"/>
                    <w:rPr>
                      <w:sz w:val="16"/>
                    </w:rPr>
                  </w:pPr>
                  <w:r>
                    <w:rPr>
                      <w:spacing w:val="-2"/>
                      <w:w w:val="90"/>
                      <w:sz w:val="16"/>
                    </w:rPr>
                    <w:t>06/07</w:t>
                  </w:r>
                </w:p>
                <w:p w:rsidR="00F22F94" w:rsidRDefault="00F22F94">
                  <w:pPr>
                    <w:spacing w:before="47"/>
                    <w:ind w:left="88"/>
                    <w:rPr>
                      <w:sz w:val="16"/>
                    </w:rPr>
                  </w:pPr>
                  <w:r>
                    <w:rPr>
                      <w:spacing w:val="-2"/>
                      <w:w w:val="90"/>
                      <w:sz w:val="16"/>
                    </w:rPr>
                    <w:t>07/08</w:t>
                  </w:r>
                </w:p>
                <w:p w:rsidR="00F22F94" w:rsidRDefault="00F22F94">
                  <w:pPr>
                    <w:spacing w:before="47"/>
                    <w:ind w:left="88"/>
                    <w:rPr>
                      <w:sz w:val="16"/>
                    </w:rPr>
                  </w:pPr>
                  <w:r>
                    <w:rPr>
                      <w:spacing w:val="-2"/>
                      <w:w w:val="90"/>
                      <w:sz w:val="16"/>
                    </w:rPr>
                    <w:t>08/09</w:t>
                  </w:r>
                </w:p>
                <w:p w:rsidR="00F22F94" w:rsidRDefault="00F22F94">
                  <w:pPr>
                    <w:spacing w:before="47"/>
                    <w:ind w:left="88"/>
                    <w:rPr>
                      <w:sz w:val="16"/>
                    </w:rPr>
                  </w:pPr>
                  <w:r>
                    <w:rPr>
                      <w:spacing w:val="-2"/>
                      <w:w w:val="90"/>
                      <w:sz w:val="16"/>
                    </w:rPr>
                    <w:t>09/10</w:t>
                  </w:r>
                </w:p>
                <w:p w:rsidR="00F22F94" w:rsidRDefault="00F22F94">
                  <w:pPr>
                    <w:spacing w:before="47"/>
                    <w:ind w:left="88"/>
                    <w:rPr>
                      <w:sz w:val="16"/>
                    </w:rPr>
                  </w:pPr>
                  <w:r>
                    <w:rPr>
                      <w:spacing w:val="-2"/>
                      <w:w w:val="90"/>
                      <w:sz w:val="16"/>
                    </w:rPr>
                    <w:t>10/11</w:t>
                  </w:r>
                </w:p>
                <w:p w:rsidR="00F22F94" w:rsidRDefault="00F22F94">
                  <w:pPr>
                    <w:spacing w:before="47"/>
                    <w:ind w:left="20"/>
                    <w:rPr>
                      <w:sz w:val="16"/>
                    </w:rPr>
                  </w:pPr>
                  <w:r>
                    <w:rPr>
                      <w:spacing w:val="-2"/>
                      <w:w w:val="85"/>
                      <w:sz w:val="16"/>
                    </w:rPr>
                    <w:t>11/12e</w:t>
                  </w:r>
                </w:p>
                <w:p w:rsidR="00F22F94" w:rsidRDefault="00F22F94">
                  <w:pPr>
                    <w:spacing w:before="47"/>
                    <w:ind w:left="88"/>
                    <w:rPr>
                      <w:sz w:val="16"/>
                    </w:rPr>
                  </w:pPr>
                  <w:r>
                    <w:rPr>
                      <w:spacing w:val="-2"/>
                      <w:w w:val="90"/>
                      <w:sz w:val="16"/>
                    </w:rPr>
                    <w:t>12/13</w:t>
                  </w:r>
                </w:p>
                <w:p w:rsidR="00F22F94" w:rsidRDefault="00F22F94">
                  <w:pPr>
                    <w:spacing w:before="47"/>
                    <w:ind w:left="88"/>
                    <w:rPr>
                      <w:sz w:val="16"/>
                    </w:rPr>
                  </w:pPr>
                  <w:r>
                    <w:rPr>
                      <w:spacing w:val="-2"/>
                      <w:w w:val="90"/>
                      <w:sz w:val="16"/>
                    </w:rPr>
                    <w:t>13/14</w:t>
                  </w:r>
                </w:p>
                <w:p w:rsidR="00F22F94" w:rsidRDefault="00F22F94">
                  <w:pPr>
                    <w:spacing w:before="47"/>
                    <w:ind w:left="88"/>
                    <w:rPr>
                      <w:sz w:val="16"/>
                    </w:rPr>
                  </w:pPr>
                  <w:r>
                    <w:rPr>
                      <w:spacing w:val="-2"/>
                      <w:w w:val="90"/>
                      <w:sz w:val="16"/>
                    </w:rPr>
                    <w:t>14/15</w:t>
                  </w:r>
                </w:p>
                <w:p w:rsidR="00F22F94" w:rsidRDefault="00F22F94">
                  <w:pPr>
                    <w:spacing w:before="47"/>
                    <w:ind w:left="88"/>
                    <w:rPr>
                      <w:sz w:val="16"/>
                    </w:rPr>
                  </w:pPr>
                  <w:r>
                    <w:rPr>
                      <w:spacing w:val="-2"/>
                      <w:w w:val="90"/>
                      <w:sz w:val="16"/>
                    </w:rPr>
                    <w:t>15/16</w:t>
                  </w:r>
                </w:p>
                <w:p w:rsidR="00F22F94" w:rsidRDefault="00F22F94">
                  <w:pPr>
                    <w:spacing w:before="48"/>
                    <w:ind w:left="88"/>
                    <w:rPr>
                      <w:sz w:val="16"/>
                    </w:rPr>
                  </w:pPr>
                  <w:r>
                    <w:rPr>
                      <w:spacing w:val="-2"/>
                      <w:w w:val="90"/>
                      <w:sz w:val="16"/>
                    </w:rPr>
                    <w:t>16/17</w:t>
                  </w:r>
                </w:p>
                <w:p w:rsidR="00F22F94" w:rsidRDefault="00F22F94">
                  <w:pPr>
                    <w:spacing w:before="47"/>
                    <w:ind w:left="88"/>
                    <w:rPr>
                      <w:sz w:val="16"/>
                    </w:rPr>
                  </w:pPr>
                  <w:r>
                    <w:rPr>
                      <w:spacing w:val="-2"/>
                      <w:w w:val="90"/>
                      <w:sz w:val="16"/>
                    </w:rPr>
                    <w:t>17/18</w:t>
                  </w:r>
                </w:p>
                <w:p w:rsidR="00F22F94" w:rsidRDefault="00F22F94">
                  <w:pPr>
                    <w:spacing w:before="47"/>
                    <w:ind w:left="88"/>
                    <w:rPr>
                      <w:sz w:val="16"/>
                    </w:rPr>
                  </w:pPr>
                  <w:r>
                    <w:rPr>
                      <w:spacing w:val="-2"/>
                      <w:w w:val="90"/>
                      <w:sz w:val="16"/>
                    </w:rPr>
                    <w:t>18/19</w:t>
                  </w:r>
                </w:p>
                <w:p w:rsidR="00F22F94" w:rsidRDefault="00F22F94">
                  <w:pPr>
                    <w:spacing w:before="47"/>
                    <w:ind w:left="88"/>
                    <w:rPr>
                      <w:sz w:val="16"/>
                    </w:rPr>
                  </w:pPr>
                  <w:r>
                    <w:rPr>
                      <w:spacing w:val="-2"/>
                      <w:w w:val="90"/>
                      <w:sz w:val="16"/>
                    </w:rPr>
                    <w:t>19/20</w:t>
                  </w:r>
                </w:p>
                <w:p w:rsidR="00F22F94" w:rsidRDefault="00F22F94">
                  <w:pPr>
                    <w:spacing w:before="47"/>
                    <w:ind w:left="88"/>
                    <w:rPr>
                      <w:sz w:val="16"/>
                    </w:rPr>
                  </w:pPr>
                  <w:r>
                    <w:rPr>
                      <w:spacing w:val="-2"/>
                      <w:w w:val="90"/>
                      <w:sz w:val="16"/>
                    </w:rPr>
                    <w:t>20/21</w:t>
                  </w:r>
                </w:p>
                <w:p w:rsidR="00F22F94" w:rsidRDefault="00F22F94">
                  <w:pPr>
                    <w:spacing w:before="47"/>
                    <w:ind w:left="88"/>
                    <w:rPr>
                      <w:sz w:val="16"/>
                    </w:rPr>
                  </w:pPr>
                  <w:r>
                    <w:rPr>
                      <w:spacing w:val="-2"/>
                      <w:w w:val="90"/>
                      <w:sz w:val="16"/>
                    </w:rPr>
                    <w:t>21/22</w:t>
                  </w:r>
                </w:p>
              </w:txbxContent>
            </v:textbox>
            <w10:wrap anchorx="page"/>
          </v:shape>
        </w:pict>
      </w:r>
      <w:r w:rsidR="00F22F94">
        <w:rPr>
          <w:spacing w:val="-2"/>
          <w:w w:val="95"/>
          <w:sz w:val="16"/>
        </w:rPr>
        <w:t>66,000</w:t>
      </w:r>
    </w:p>
    <w:p w:rsidR="002C1123" w:rsidRDefault="00F22F94">
      <w:pPr>
        <w:pStyle w:val="Heading6"/>
        <w:ind w:left="219"/>
      </w:pPr>
      <w:r>
        <w:rPr>
          <w:b w:val="0"/>
        </w:rPr>
        <w:br w:type="column"/>
      </w:r>
      <w:r>
        <w:rPr>
          <w:color w:val="00AEEF"/>
        </w:rPr>
        <w:t>Peak</w:t>
      </w:r>
      <w:r>
        <w:rPr>
          <w:color w:val="00AEEF"/>
          <w:spacing w:val="-5"/>
        </w:rPr>
        <w:t xml:space="preserve"> </w:t>
      </w:r>
      <w:r>
        <w:rPr>
          <w:color w:val="00AEEF"/>
          <w:spacing w:val="-2"/>
        </w:rPr>
        <w:t>demand</w:t>
      </w:r>
    </w:p>
    <w:p w:rsidR="002C1123" w:rsidRDefault="00F22F94">
      <w:pPr>
        <w:pStyle w:val="BodyText"/>
        <w:spacing w:before="95" w:line="249" w:lineRule="auto"/>
        <w:ind w:left="219" w:right="815"/>
      </w:pPr>
      <w:r>
        <w:rPr>
          <w:w w:val="95"/>
        </w:rPr>
        <w:t>While</w:t>
      </w:r>
      <w:r>
        <w:rPr>
          <w:spacing w:val="-13"/>
          <w:w w:val="95"/>
        </w:rPr>
        <w:t xml:space="preserve"> </w:t>
      </w:r>
      <w:r>
        <w:rPr>
          <w:w w:val="95"/>
        </w:rPr>
        <w:t>energy</w:t>
      </w:r>
      <w:r>
        <w:rPr>
          <w:spacing w:val="-13"/>
          <w:w w:val="95"/>
        </w:rPr>
        <w:t xml:space="preserve"> </w:t>
      </w:r>
      <w:r>
        <w:rPr>
          <w:w w:val="95"/>
        </w:rPr>
        <w:t>demand</w:t>
      </w:r>
      <w:r>
        <w:rPr>
          <w:spacing w:val="-13"/>
          <w:w w:val="95"/>
        </w:rPr>
        <w:t xml:space="preserve"> </w:t>
      </w:r>
      <w:r>
        <w:rPr>
          <w:w w:val="95"/>
        </w:rPr>
        <w:t>is</w:t>
      </w:r>
      <w:r>
        <w:rPr>
          <w:spacing w:val="-13"/>
          <w:w w:val="95"/>
        </w:rPr>
        <w:t xml:space="preserve"> </w:t>
      </w:r>
      <w:r>
        <w:rPr>
          <w:w w:val="95"/>
        </w:rPr>
        <w:t>declining,</w:t>
      </w:r>
      <w:r>
        <w:rPr>
          <w:spacing w:val="-13"/>
          <w:w w:val="95"/>
        </w:rPr>
        <w:t xml:space="preserve"> </w:t>
      </w:r>
      <w:r>
        <w:rPr>
          <w:w w:val="95"/>
        </w:rPr>
        <w:t>peak</w:t>
      </w:r>
      <w:r>
        <w:rPr>
          <w:spacing w:val="-13"/>
          <w:w w:val="95"/>
        </w:rPr>
        <w:t xml:space="preserve"> </w:t>
      </w:r>
      <w:r>
        <w:rPr>
          <w:w w:val="95"/>
        </w:rPr>
        <w:t>demand</w:t>
      </w:r>
      <w:r>
        <w:rPr>
          <w:spacing w:val="-13"/>
          <w:w w:val="95"/>
        </w:rPr>
        <w:t xml:space="preserve"> </w:t>
      </w:r>
      <w:r>
        <w:rPr>
          <w:w w:val="95"/>
        </w:rPr>
        <w:t xml:space="preserve">has </w:t>
      </w:r>
      <w:r>
        <w:rPr>
          <w:spacing w:val="-2"/>
        </w:rPr>
        <w:t>grown</w:t>
      </w:r>
      <w:r>
        <w:rPr>
          <w:spacing w:val="-15"/>
        </w:rPr>
        <w:t xml:space="preserve"> </w:t>
      </w:r>
      <w:r>
        <w:rPr>
          <w:spacing w:val="-2"/>
        </w:rPr>
        <w:t>at</w:t>
      </w:r>
      <w:r>
        <w:rPr>
          <w:spacing w:val="-15"/>
        </w:rPr>
        <w:t xml:space="preserve"> </w:t>
      </w:r>
      <w:r>
        <w:rPr>
          <w:spacing w:val="-2"/>
        </w:rPr>
        <w:t>nearly</w:t>
      </w:r>
      <w:r>
        <w:rPr>
          <w:spacing w:val="-15"/>
        </w:rPr>
        <w:t xml:space="preserve"> </w:t>
      </w:r>
      <w:r>
        <w:rPr>
          <w:spacing w:val="-2"/>
        </w:rPr>
        <w:t>two</w:t>
      </w:r>
      <w:r>
        <w:rPr>
          <w:spacing w:val="-15"/>
        </w:rPr>
        <w:t xml:space="preserve"> </w:t>
      </w:r>
      <w:r>
        <w:rPr>
          <w:spacing w:val="-2"/>
        </w:rPr>
        <w:t>percent</w:t>
      </w:r>
      <w:r>
        <w:rPr>
          <w:spacing w:val="-15"/>
        </w:rPr>
        <w:t xml:space="preserve"> </w:t>
      </w:r>
      <w:r>
        <w:rPr>
          <w:spacing w:val="-2"/>
        </w:rPr>
        <w:t>per</w:t>
      </w:r>
      <w:r>
        <w:rPr>
          <w:spacing w:val="-15"/>
        </w:rPr>
        <w:t xml:space="preserve"> </w:t>
      </w:r>
      <w:r>
        <w:rPr>
          <w:spacing w:val="-2"/>
        </w:rPr>
        <w:t>annum.</w:t>
      </w:r>
      <w:r>
        <w:rPr>
          <w:spacing w:val="-15"/>
        </w:rPr>
        <w:t xml:space="preserve"> </w:t>
      </w:r>
      <w:r>
        <w:rPr>
          <w:spacing w:val="-2"/>
        </w:rPr>
        <w:t>The</w:t>
      </w:r>
      <w:r>
        <w:rPr>
          <w:spacing w:val="-15"/>
        </w:rPr>
        <w:t xml:space="preserve"> </w:t>
      </w:r>
      <w:r>
        <w:rPr>
          <w:spacing w:val="-2"/>
        </w:rPr>
        <w:t xml:space="preserve">‘gap’ </w:t>
      </w:r>
      <w:r>
        <w:rPr>
          <w:spacing w:val="-2"/>
          <w:w w:val="95"/>
        </w:rPr>
        <w:t>between</w:t>
      </w:r>
      <w:r>
        <w:rPr>
          <w:spacing w:val="-13"/>
          <w:w w:val="95"/>
        </w:rPr>
        <w:t xml:space="preserve"> </w:t>
      </w:r>
      <w:r>
        <w:rPr>
          <w:spacing w:val="-2"/>
          <w:w w:val="95"/>
        </w:rPr>
        <w:t>average</w:t>
      </w:r>
      <w:r>
        <w:rPr>
          <w:spacing w:val="-13"/>
          <w:w w:val="95"/>
        </w:rPr>
        <w:t xml:space="preserve"> </w:t>
      </w:r>
      <w:r>
        <w:rPr>
          <w:spacing w:val="-2"/>
          <w:w w:val="95"/>
        </w:rPr>
        <w:t>energy</w:t>
      </w:r>
      <w:r>
        <w:rPr>
          <w:spacing w:val="-13"/>
          <w:w w:val="95"/>
        </w:rPr>
        <w:t xml:space="preserve"> </w:t>
      </w:r>
      <w:r>
        <w:rPr>
          <w:spacing w:val="-2"/>
          <w:w w:val="95"/>
        </w:rPr>
        <w:t>and</w:t>
      </w:r>
      <w:r>
        <w:rPr>
          <w:spacing w:val="-13"/>
          <w:w w:val="95"/>
        </w:rPr>
        <w:t xml:space="preserve"> </w:t>
      </w:r>
      <w:r>
        <w:rPr>
          <w:spacing w:val="-2"/>
          <w:w w:val="95"/>
        </w:rPr>
        <w:t>peak</w:t>
      </w:r>
      <w:r>
        <w:rPr>
          <w:spacing w:val="-13"/>
          <w:w w:val="95"/>
        </w:rPr>
        <w:t xml:space="preserve"> </w:t>
      </w:r>
      <w:r>
        <w:rPr>
          <w:spacing w:val="-2"/>
          <w:w w:val="95"/>
        </w:rPr>
        <w:t>demand</w:t>
      </w:r>
      <w:r>
        <w:rPr>
          <w:spacing w:val="-13"/>
          <w:w w:val="95"/>
        </w:rPr>
        <w:t xml:space="preserve"> </w:t>
      </w:r>
      <w:r>
        <w:rPr>
          <w:spacing w:val="-2"/>
          <w:w w:val="95"/>
        </w:rPr>
        <w:t>drives</w:t>
      </w:r>
      <w:r>
        <w:rPr>
          <w:spacing w:val="-13"/>
          <w:w w:val="95"/>
        </w:rPr>
        <w:t xml:space="preserve"> </w:t>
      </w:r>
      <w:r>
        <w:rPr>
          <w:spacing w:val="-2"/>
          <w:w w:val="95"/>
        </w:rPr>
        <w:t xml:space="preserve">the </w:t>
      </w:r>
      <w:r>
        <w:rPr>
          <w:spacing w:val="-2"/>
        </w:rPr>
        <w:t>price</w:t>
      </w:r>
      <w:r>
        <w:rPr>
          <w:spacing w:val="-20"/>
        </w:rPr>
        <w:t xml:space="preserve"> </w:t>
      </w:r>
      <w:r>
        <w:rPr>
          <w:spacing w:val="-2"/>
        </w:rPr>
        <w:t>up</w:t>
      </w:r>
      <w:r>
        <w:rPr>
          <w:spacing w:val="-20"/>
        </w:rPr>
        <w:t xml:space="preserve"> </w:t>
      </w:r>
      <w:r>
        <w:rPr>
          <w:spacing w:val="-2"/>
        </w:rPr>
        <w:t>further</w:t>
      </w:r>
      <w:r>
        <w:rPr>
          <w:spacing w:val="-20"/>
        </w:rPr>
        <w:t xml:space="preserve"> </w:t>
      </w:r>
      <w:r>
        <w:rPr>
          <w:spacing w:val="-2"/>
        </w:rPr>
        <w:t>as</w:t>
      </w:r>
      <w:r>
        <w:rPr>
          <w:spacing w:val="-20"/>
        </w:rPr>
        <w:t xml:space="preserve"> </w:t>
      </w:r>
      <w:r>
        <w:rPr>
          <w:spacing w:val="-2"/>
        </w:rPr>
        <w:t>more</w:t>
      </w:r>
      <w:r>
        <w:rPr>
          <w:spacing w:val="-20"/>
        </w:rPr>
        <w:t xml:space="preserve"> </w:t>
      </w:r>
      <w:r>
        <w:rPr>
          <w:spacing w:val="-2"/>
        </w:rPr>
        <w:t>infrastructure</w:t>
      </w:r>
      <w:r>
        <w:rPr>
          <w:spacing w:val="-20"/>
        </w:rPr>
        <w:t xml:space="preserve"> </w:t>
      </w:r>
      <w:r>
        <w:rPr>
          <w:spacing w:val="-2"/>
        </w:rPr>
        <w:t>is</w:t>
      </w:r>
      <w:r>
        <w:rPr>
          <w:spacing w:val="-20"/>
        </w:rPr>
        <w:t xml:space="preserve"> </w:t>
      </w:r>
      <w:r>
        <w:rPr>
          <w:spacing w:val="-2"/>
        </w:rPr>
        <w:t>needed</w:t>
      </w:r>
      <w:r>
        <w:rPr>
          <w:spacing w:val="-20"/>
        </w:rPr>
        <w:t xml:space="preserve"> </w:t>
      </w:r>
      <w:r>
        <w:rPr>
          <w:spacing w:val="-2"/>
        </w:rPr>
        <w:t>for</w:t>
      </w:r>
    </w:p>
    <w:p w:rsidR="002C1123" w:rsidRDefault="00F22F94">
      <w:pPr>
        <w:pStyle w:val="BodyText"/>
        <w:spacing w:before="3" w:line="249" w:lineRule="auto"/>
        <w:ind w:left="219"/>
      </w:pPr>
      <w:r>
        <w:rPr>
          <w:spacing w:val="-4"/>
        </w:rPr>
        <w:t>less</w:t>
      </w:r>
      <w:r>
        <w:rPr>
          <w:spacing w:val="-20"/>
        </w:rPr>
        <w:t xml:space="preserve"> </w:t>
      </w:r>
      <w:r>
        <w:rPr>
          <w:spacing w:val="-4"/>
        </w:rPr>
        <w:t>time.</w:t>
      </w:r>
      <w:r>
        <w:rPr>
          <w:spacing w:val="-20"/>
        </w:rPr>
        <w:t xml:space="preserve"> </w:t>
      </w:r>
      <w:r>
        <w:rPr>
          <w:spacing w:val="-4"/>
        </w:rPr>
        <w:t>Nationally,</w:t>
      </w:r>
      <w:r>
        <w:rPr>
          <w:spacing w:val="-20"/>
        </w:rPr>
        <w:t xml:space="preserve"> </w:t>
      </w:r>
      <w:r>
        <w:rPr>
          <w:spacing w:val="-4"/>
        </w:rPr>
        <w:t>it</w:t>
      </w:r>
      <w:r>
        <w:rPr>
          <w:spacing w:val="-20"/>
        </w:rPr>
        <w:t xml:space="preserve"> </w:t>
      </w:r>
      <w:r>
        <w:rPr>
          <w:spacing w:val="-4"/>
        </w:rPr>
        <w:t>is</w:t>
      </w:r>
      <w:r>
        <w:rPr>
          <w:spacing w:val="-20"/>
        </w:rPr>
        <w:t xml:space="preserve"> </w:t>
      </w:r>
      <w:r>
        <w:rPr>
          <w:spacing w:val="-4"/>
        </w:rPr>
        <w:t>estimated</w:t>
      </w:r>
      <w:r>
        <w:rPr>
          <w:spacing w:val="-20"/>
        </w:rPr>
        <w:t xml:space="preserve"> </w:t>
      </w:r>
      <w:r>
        <w:rPr>
          <w:spacing w:val="-4"/>
        </w:rPr>
        <w:t>that</w:t>
      </w:r>
      <w:r>
        <w:rPr>
          <w:spacing w:val="-20"/>
        </w:rPr>
        <w:t xml:space="preserve"> </w:t>
      </w:r>
      <w:r>
        <w:rPr>
          <w:spacing w:val="-4"/>
        </w:rPr>
        <w:t>over</w:t>
      </w:r>
      <w:r>
        <w:rPr>
          <w:spacing w:val="-20"/>
        </w:rPr>
        <w:t xml:space="preserve"> </w:t>
      </w:r>
      <w:r>
        <w:rPr>
          <w:spacing w:val="-4"/>
        </w:rPr>
        <w:t>$11</w:t>
      </w:r>
      <w:r>
        <w:rPr>
          <w:spacing w:val="-20"/>
        </w:rPr>
        <w:t xml:space="preserve"> </w:t>
      </w:r>
      <w:r>
        <w:rPr>
          <w:spacing w:val="-4"/>
        </w:rPr>
        <w:t>billion</w:t>
      </w:r>
      <w:r>
        <w:rPr>
          <w:spacing w:val="-20"/>
        </w:rPr>
        <w:t xml:space="preserve"> </w:t>
      </w:r>
      <w:r>
        <w:rPr>
          <w:spacing w:val="-4"/>
        </w:rPr>
        <w:t xml:space="preserve">of </w:t>
      </w:r>
      <w:r>
        <w:rPr>
          <w:spacing w:val="-2"/>
          <w:w w:val="95"/>
        </w:rPr>
        <w:t>infrastructure</w:t>
      </w:r>
      <w:r>
        <w:rPr>
          <w:spacing w:val="-14"/>
          <w:w w:val="95"/>
        </w:rPr>
        <w:t xml:space="preserve"> </w:t>
      </w:r>
      <w:r>
        <w:rPr>
          <w:spacing w:val="-2"/>
          <w:w w:val="95"/>
        </w:rPr>
        <w:t>is</w:t>
      </w:r>
      <w:r>
        <w:rPr>
          <w:spacing w:val="-14"/>
          <w:w w:val="95"/>
        </w:rPr>
        <w:t xml:space="preserve"> </w:t>
      </w:r>
      <w:r>
        <w:rPr>
          <w:spacing w:val="-2"/>
          <w:w w:val="95"/>
        </w:rPr>
        <w:t>used</w:t>
      </w:r>
      <w:r>
        <w:rPr>
          <w:spacing w:val="-14"/>
          <w:w w:val="95"/>
        </w:rPr>
        <w:t xml:space="preserve"> </w:t>
      </w:r>
      <w:r>
        <w:rPr>
          <w:spacing w:val="-2"/>
          <w:w w:val="95"/>
        </w:rPr>
        <w:t>for</w:t>
      </w:r>
      <w:r>
        <w:rPr>
          <w:spacing w:val="-14"/>
          <w:w w:val="95"/>
        </w:rPr>
        <w:t xml:space="preserve"> </w:t>
      </w:r>
      <w:r>
        <w:rPr>
          <w:spacing w:val="-2"/>
          <w:w w:val="95"/>
        </w:rPr>
        <w:t>less</w:t>
      </w:r>
      <w:r>
        <w:rPr>
          <w:spacing w:val="-14"/>
          <w:w w:val="95"/>
        </w:rPr>
        <w:t xml:space="preserve"> </w:t>
      </w:r>
      <w:r>
        <w:rPr>
          <w:spacing w:val="-2"/>
          <w:w w:val="95"/>
        </w:rPr>
        <w:t>than</w:t>
      </w:r>
      <w:r>
        <w:rPr>
          <w:spacing w:val="-14"/>
          <w:w w:val="95"/>
        </w:rPr>
        <w:t xml:space="preserve"> </w:t>
      </w:r>
      <w:r>
        <w:rPr>
          <w:spacing w:val="-2"/>
          <w:w w:val="95"/>
        </w:rPr>
        <w:t>one</w:t>
      </w:r>
      <w:r>
        <w:rPr>
          <w:spacing w:val="-14"/>
          <w:w w:val="95"/>
        </w:rPr>
        <w:t xml:space="preserve"> </w:t>
      </w:r>
      <w:r>
        <w:rPr>
          <w:spacing w:val="-2"/>
          <w:w w:val="95"/>
        </w:rPr>
        <w:t>percent</w:t>
      </w:r>
      <w:r>
        <w:rPr>
          <w:spacing w:val="-14"/>
          <w:w w:val="95"/>
        </w:rPr>
        <w:t xml:space="preserve"> </w:t>
      </w:r>
      <w:r>
        <w:rPr>
          <w:spacing w:val="-2"/>
          <w:w w:val="95"/>
        </w:rPr>
        <w:t>of</w:t>
      </w:r>
      <w:r>
        <w:rPr>
          <w:spacing w:val="-14"/>
          <w:w w:val="95"/>
        </w:rPr>
        <w:t xml:space="preserve"> </w:t>
      </w:r>
      <w:r>
        <w:rPr>
          <w:spacing w:val="-2"/>
          <w:w w:val="95"/>
        </w:rPr>
        <w:t>the</w:t>
      </w:r>
      <w:r>
        <w:rPr>
          <w:spacing w:val="-14"/>
          <w:w w:val="95"/>
        </w:rPr>
        <w:t xml:space="preserve"> </w:t>
      </w:r>
      <w:r>
        <w:rPr>
          <w:spacing w:val="-2"/>
          <w:w w:val="95"/>
        </w:rPr>
        <w:t>time</w:t>
      </w:r>
      <w:r>
        <w:rPr>
          <w:spacing w:val="-2"/>
          <w:w w:val="95"/>
          <w:position w:val="7"/>
          <w:sz w:val="11"/>
        </w:rPr>
        <w:t>3</w:t>
      </w:r>
      <w:r>
        <w:rPr>
          <w:spacing w:val="-2"/>
          <w:w w:val="95"/>
        </w:rPr>
        <w:t>.</w:t>
      </w:r>
    </w:p>
    <w:p w:rsidR="002C1123" w:rsidRDefault="00F22F94">
      <w:pPr>
        <w:pStyle w:val="BodyText"/>
        <w:spacing w:before="144" w:line="249" w:lineRule="auto"/>
        <w:ind w:left="219" w:right="815"/>
      </w:pPr>
      <w:r>
        <w:t>Infrastructure</w:t>
      </w:r>
      <w:r>
        <w:rPr>
          <w:spacing w:val="-11"/>
        </w:rPr>
        <w:t xml:space="preserve"> </w:t>
      </w:r>
      <w:r>
        <w:t>NSW</w:t>
      </w:r>
      <w:r>
        <w:rPr>
          <w:spacing w:val="-11"/>
        </w:rPr>
        <w:t xml:space="preserve"> </w:t>
      </w:r>
      <w:r>
        <w:t>has</w:t>
      </w:r>
      <w:r>
        <w:rPr>
          <w:spacing w:val="-11"/>
        </w:rPr>
        <w:t xml:space="preserve"> </w:t>
      </w:r>
      <w:r>
        <w:t>concluded</w:t>
      </w:r>
      <w:r>
        <w:rPr>
          <w:spacing w:val="-11"/>
        </w:rPr>
        <w:t xml:space="preserve"> </w:t>
      </w:r>
      <w:r>
        <w:t>that</w:t>
      </w:r>
      <w:r>
        <w:rPr>
          <w:spacing w:val="-11"/>
        </w:rPr>
        <w:t xml:space="preserve"> </w:t>
      </w:r>
      <w:r>
        <w:t>there</w:t>
      </w:r>
      <w:r>
        <w:rPr>
          <w:spacing w:val="-11"/>
        </w:rPr>
        <w:t xml:space="preserve"> </w:t>
      </w:r>
      <w:r>
        <w:t xml:space="preserve">are </w:t>
      </w:r>
      <w:r>
        <w:rPr>
          <w:w w:val="95"/>
        </w:rPr>
        <w:t xml:space="preserve">insufficient incentives on electricity network businesses </w:t>
      </w:r>
      <w:r>
        <w:t>to</w:t>
      </w:r>
      <w:r>
        <w:rPr>
          <w:spacing w:val="-10"/>
        </w:rPr>
        <w:t xml:space="preserve"> </w:t>
      </w:r>
      <w:r>
        <w:t>manage</w:t>
      </w:r>
      <w:r>
        <w:rPr>
          <w:spacing w:val="-10"/>
        </w:rPr>
        <w:t xml:space="preserve"> </w:t>
      </w:r>
      <w:r>
        <w:t>peak</w:t>
      </w:r>
      <w:r>
        <w:rPr>
          <w:spacing w:val="-10"/>
        </w:rPr>
        <w:t xml:space="preserve"> </w:t>
      </w:r>
      <w:r>
        <w:t>demand</w:t>
      </w:r>
      <w:r>
        <w:rPr>
          <w:spacing w:val="-10"/>
        </w:rPr>
        <w:t xml:space="preserve"> </w:t>
      </w:r>
      <w:r>
        <w:t>and</w:t>
      </w:r>
      <w:r>
        <w:rPr>
          <w:spacing w:val="-10"/>
        </w:rPr>
        <w:t xml:space="preserve"> </w:t>
      </w:r>
      <w:r>
        <w:t>there</w:t>
      </w:r>
      <w:r>
        <w:rPr>
          <w:spacing w:val="-10"/>
        </w:rPr>
        <w:t xml:space="preserve"> </w:t>
      </w:r>
      <w:r>
        <w:t>is</w:t>
      </w:r>
      <w:r>
        <w:rPr>
          <w:spacing w:val="-10"/>
        </w:rPr>
        <w:t xml:space="preserve"> </w:t>
      </w:r>
      <w:r>
        <w:t>evidence</w:t>
      </w:r>
      <w:r>
        <w:rPr>
          <w:spacing w:val="-10"/>
        </w:rPr>
        <w:t xml:space="preserve"> </w:t>
      </w:r>
      <w:r>
        <w:t>that:</w:t>
      </w:r>
    </w:p>
    <w:p w:rsidR="002C1123" w:rsidRDefault="00F22F94">
      <w:pPr>
        <w:pStyle w:val="ListParagraph"/>
        <w:numPr>
          <w:ilvl w:val="0"/>
          <w:numId w:val="60"/>
        </w:numPr>
        <w:tabs>
          <w:tab w:val="left" w:pos="503"/>
        </w:tabs>
        <w:spacing w:before="131" w:line="249" w:lineRule="auto"/>
        <w:ind w:right="1428"/>
        <w:rPr>
          <w:sz w:val="20"/>
        </w:rPr>
      </w:pPr>
      <w:r>
        <w:rPr>
          <w:w w:val="95"/>
          <w:sz w:val="20"/>
        </w:rPr>
        <w:t>forecasts</w:t>
      </w:r>
      <w:r>
        <w:rPr>
          <w:spacing w:val="-10"/>
          <w:w w:val="95"/>
          <w:sz w:val="20"/>
        </w:rPr>
        <w:t xml:space="preserve"> </w:t>
      </w:r>
      <w:r>
        <w:rPr>
          <w:w w:val="95"/>
          <w:sz w:val="20"/>
        </w:rPr>
        <w:t>of</w:t>
      </w:r>
      <w:r>
        <w:rPr>
          <w:spacing w:val="-10"/>
          <w:w w:val="95"/>
          <w:sz w:val="20"/>
        </w:rPr>
        <w:t xml:space="preserve"> </w:t>
      </w:r>
      <w:r>
        <w:rPr>
          <w:w w:val="95"/>
          <w:sz w:val="20"/>
        </w:rPr>
        <w:t>demand</w:t>
      </w:r>
      <w:r>
        <w:rPr>
          <w:spacing w:val="-10"/>
          <w:w w:val="95"/>
          <w:sz w:val="20"/>
        </w:rPr>
        <w:t xml:space="preserve"> </w:t>
      </w:r>
      <w:r>
        <w:rPr>
          <w:w w:val="95"/>
          <w:sz w:val="20"/>
        </w:rPr>
        <w:t>(for</w:t>
      </w:r>
      <w:r>
        <w:rPr>
          <w:spacing w:val="-10"/>
          <w:w w:val="95"/>
          <w:sz w:val="20"/>
        </w:rPr>
        <w:t xml:space="preserve"> </w:t>
      </w:r>
      <w:r>
        <w:rPr>
          <w:w w:val="95"/>
          <w:sz w:val="20"/>
        </w:rPr>
        <w:t>capital</w:t>
      </w:r>
      <w:r>
        <w:rPr>
          <w:spacing w:val="-10"/>
          <w:w w:val="95"/>
          <w:sz w:val="20"/>
        </w:rPr>
        <w:t xml:space="preserve"> </w:t>
      </w:r>
      <w:r>
        <w:rPr>
          <w:w w:val="95"/>
          <w:sz w:val="20"/>
        </w:rPr>
        <w:t>planning)</w:t>
      </w:r>
      <w:r>
        <w:rPr>
          <w:spacing w:val="-10"/>
          <w:w w:val="95"/>
          <w:sz w:val="20"/>
        </w:rPr>
        <w:t xml:space="preserve"> </w:t>
      </w:r>
      <w:r>
        <w:rPr>
          <w:w w:val="95"/>
          <w:sz w:val="20"/>
        </w:rPr>
        <w:t xml:space="preserve">are </w:t>
      </w:r>
      <w:r>
        <w:rPr>
          <w:sz w:val="20"/>
        </w:rPr>
        <w:t>conservative</w:t>
      </w:r>
      <w:r>
        <w:rPr>
          <w:spacing w:val="-2"/>
          <w:sz w:val="20"/>
        </w:rPr>
        <w:t xml:space="preserve"> </w:t>
      </w:r>
      <w:r>
        <w:rPr>
          <w:sz w:val="20"/>
        </w:rPr>
        <w:t>and</w:t>
      </w:r>
      <w:r>
        <w:rPr>
          <w:spacing w:val="-2"/>
          <w:sz w:val="20"/>
        </w:rPr>
        <w:t xml:space="preserve"> </w:t>
      </w:r>
      <w:r>
        <w:rPr>
          <w:sz w:val="20"/>
        </w:rPr>
        <w:t>do</w:t>
      </w:r>
      <w:r>
        <w:rPr>
          <w:spacing w:val="-2"/>
          <w:sz w:val="20"/>
        </w:rPr>
        <w:t xml:space="preserve"> </w:t>
      </w:r>
      <w:r>
        <w:rPr>
          <w:sz w:val="20"/>
        </w:rPr>
        <w:t>not</w:t>
      </w:r>
      <w:r>
        <w:rPr>
          <w:spacing w:val="-2"/>
          <w:sz w:val="20"/>
        </w:rPr>
        <w:t xml:space="preserve"> </w:t>
      </w:r>
      <w:r>
        <w:rPr>
          <w:sz w:val="20"/>
        </w:rPr>
        <w:t>take</w:t>
      </w:r>
      <w:r>
        <w:rPr>
          <w:spacing w:val="-2"/>
          <w:sz w:val="20"/>
        </w:rPr>
        <w:t xml:space="preserve"> </w:t>
      </w:r>
      <w:r>
        <w:rPr>
          <w:sz w:val="20"/>
        </w:rPr>
        <w:t>into</w:t>
      </w:r>
      <w:r>
        <w:rPr>
          <w:spacing w:val="-2"/>
          <w:sz w:val="20"/>
        </w:rPr>
        <w:t xml:space="preserve"> </w:t>
      </w:r>
      <w:r>
        <w:rPr>
          <w:sz w:val="20"/>
        </w:rPr>
        <w:t>account</w:t>
      </w:r>
    </w:p>
    <w:p w:rsidR="002C1123" w:rsidRDefault="00F22F94">
      <w:pPr>
        <w:pStyle w:val="BodyText"/>
        <w:spacing w:before="2" w:line="249" w:lineRule="auto"/>
        <w:ind w:left="502" w:right="815"/>
      </w:pPr>
      <w:r>
        <w:rPr>
          <w:w w:val="95"/>
        </w:rPr>
        <w:t xml:space="preserve">the potential of demand management, including </w:t>
      </w:r>
      <w:r>
        <w:t>price</w:t>
      </w:r>
      <w:r>
        <w:rPr>
          <w:spacing w:val="-11"/>
        </w:rPr>
        <w:t xml:space="preserve"> </w:t>
      </w:r>
      <w:r>
        <w:t>elasticities</w:t>
      </w:r>
    </w:p>
    <w:p w:rsidR="002C1123" w:rsidRDefault="00F22F94">
      <w:pPr>
        <w:pStyle w:val="ListParagraph"/>
        <w:numPr>
          <w:ilvl w:val="0"/>
          <w:numId w:val="60"/>
        </w:numPr>
        <w:tabs>
          <w:tab w:val="left" w:pos="503"/>
        </w:tabs>
        <w:spacing w:before="130" w:line="249" w:lineRule="auto"/>
        <w:ind w:right="1411"/>
        <w:rPr>
          <w:sz w:val="20"/>
        </w:rPr>
      </w:pPr>
      <w:r>
        <w:rPr>
          <w:w w:val="95"/>
          <w:sz w:val="20"/>
        </w:rPr>
        <w:t>high</w:t>
      </w:r>
      <w:r>
        <w:rPr>
          <w:spacing w:val="-12"/>
          <w:w w:val="95"/>
          <w:sz w:val="20"/>
        </w:rPr>
        <w:t xml:space="preserve"> </w:t>
      </w:r>
      <w:r>
        <w:rPr>
          <w:w w:val="95"/>
          <w:sz w:val="20"/>
        </w:rPr>
        <w:t>level</w:t>
      </w:r>
      <w:r>
        <w:rPr>
          <w:spacing w:val="-11"/>
          <w:w w:val="95"/>
          <w:sz w:val="20"/>
        </w:rPr>
        <w:t xml:space="preserve"> </w:t>
      </w:r>
      <w:r>
        <w:rPr>
          <w:w w:val="95"/>
          <w:sz w:val="20"/>
        </w:rPr>
        <w:t>analysis</w:t>
      </w:r>
      <w:r>
        <w:rPr>
          <w:spacing w:val="-11"/>
          <w:w w:val="95"/>
          <w:sz w:val="20"/>
        </w:rPr>
        <w:t xml:space="preserve"> </w:t>
      </w:r>
      <w:r>
        <w:rPr>
          <w:w w:val="95"/>
          <w:sz w:val="20"/>
        </w:rPr>
        <w:t>of</w:t>
      </w:r>
      <w:r>
        <w:rPr>
          <w:spacing w:val="-11"/>
          <w:w w:val="95"/>
          <w:sz w:val="20"/>
        </w:rPr>
        <w:t xml:space="preserve"> </w:t>
      </w:r>
      <w:r>
        <w:rPr>
          <w:w w:val="95"/>
          <w:sz w:val="20"/>
        </w:rPr>
        <w:t>data</w:t>
      </w:r>
      <w:r>
        <w:rPr>
          <w:spacing w:val="-11"/>
          <w:w w:val="95"/>
          <w:sz w:val="20"/>
        </w:rPr>
        <w:t xml:space="preserve"> </w:t>
      </w:r>
      <w:r>
        <w:rPr>
          <w:w w:val="95"/>
          <w:sz w:val="20"/>
        </w:rPr>
        <w:t>on</w:t>
      </w:r>
      <w:r>
        <w:rPr>
          <w:spacing w:val="-11"/>
          <w:w w:val="95"/>
          <w:sz w:val="20"/>
        </w:rPr>
        <w:t xml:space="preserve"> </w:t>
      </w:r>
      <w:r>
        <w:rPr>
          <w:w w:val="95"/>
          <w:sz w:val="20"/>
        </w:rPr>
        <w:t>energy</w:t>
      </w:r>
      <w:r>
        <w:rPr>
          <w:spacing w:val="-11"/>
          <w:w w:val="95"/>
          <w:sz w:val="20"/>
        </w:rPr>
        <w:t xml:space="preserve"> </w:t>
      </w:r>
      <w:r>
        <w:rPr>
          <w:w w:val="95"/>
          <w:sz w:val="20"/>
        </w:rPr>
        <w:t>flows</w:t>
      </w:r>
      <w:r>
        <w:rPr>
          <w:spacing w:val="-11"/>
          <w:w w:val="95"/>
          <w:sz w:val="20"/>
        </w:rPr>
        <w:t xml:space="preserve"> </w:t>
      </w:r>
      <w:r>
        <w:rPr>
          <w:w w:val="95"/>
          <w:sz w:val="20"/>
        </w:rPr>
        <w:t xml:space="preserve">are </w:t>
      </w:r>
      <w:r>
        <w:rPr>
          <w:sz w:val="20"/>
        </w:rPr>
        <w:t>not</w:t>
      </w:r>
      <w:r>
        <w:rPr>
          <w:spacing w:val="-7"/>
          <w:sz w:val="20"/>
        </w:rPr>
        <w:t xml:space="preserve"> </w:t>
      </w:r>
      <w:r>
        <w:rPr>
          <w:sz w:val="20"/>
        </w:rPr>
        <w:t>used</w:t>
      </w:r>
      <w:r>
        <w:rPr>
          <w:spacing w:val="-7"/>
          <w:sz w:val="20"/>
        </w:rPr>
        <w:t xml:space="preserve"> </w:t>
      </w:r>
      <w:r>
        <w:rPr>
          <w:sz w:val="20"/>
        </w:rPr>
        <w:t>to</w:t>
      </w:r>
      <w:r>
        <w:rPr>
          <w:spacing w:val="-7"/>
          <w:sz w:val="20"/>
        </w:rPr>
        <w:t xml:space="preserve"> </w:t>
      </w:r>
      <w:r>
        <w:rPr>
          <w:sz w:val="20"/>
        </w:rPr>
        <w:t>any</w:t>
      </w:r>
      <w:r>
        <w:rPr>
          <w:spacing w:val="-7"/>
          <w:sz w:val="20"/>
        </w:rPr>
        <w:t xml:space="preserve"> </w:t>
      </w:r>
      <w:r>
        <w:rPr>
          <w:sz w:val="20"/>
        </w:rPr>
        <w:t>extent</w:t>
      </w:r>
      <w:r>
        <w:rPr>
          <w:spacing w:val="-7"/>
          <w:sz w:val="20"/>
        </w:rPr>
        <w:t xml:space="preserve"> </w:t>
      </w:r>
      <w:r>
        <w:rPr>
          <w:sz w:val="20"/>
        </w:rPr>
        <w:t>in</w:t>
      </w:r>
      <w:r>
        <w:rPr>
          <w:spacing w:val="-7"/>
          <w:sz w:val="20"/>
        </w:rPr>
        <w:t xml:space="preserve"> </w:t>
      </w:r>
      <w:r>
        <w:rPr>
          <w:sz w:val="20"/>
        </w:rPr>
        <w:t>capital</w:t>
      </w:r>
      <w:r>
        <w:rPr>
          <w:spacing w:val="-7"/>
          <w:sz w:val="20"/>
        </w:rPr>
        <w:t xml:space="preserve"> </w:t>
      </w:r>
      <w:r>
        <w:rPr>
          <w:sz w:val="20"/>
        </w:rPr>
        <w:t>planning</w:t>
      </w:r>
    </w:p>
    <w:p w:rsidR="002C1123" w:rsidRDefault="00F22F94">
      <w:pPr>
        <w:pStyle w:val="ListParagraph"/>
        <w:numPr>
          <w:ilvl w:val="0"/>
          <w:numId w:val="60"/>
        </w:numPr>
        <w:tabs>
          <w:tab w:val="left" w:pos="503"/>
        </w:tabs>
        <w:spacing w:before="131" w:line="249" w:lineRule="auto"/>
        <w:ind w:right="959"/>
        <w:rPr>
          <w:sz w:val="20"/>
        </w:rPr>
      </w:pPr>
      <w:r>
        <w:rPr>
          <w:w w:val="95"/>
          <w:sz w:val="20"/>
        </w:rPr>
        <w:t>automation</w:t>
      </w:r>
      <w:r>
        <w:rPr>
          <w:spacing w:val="-1"/>
          <w:w w:val="95"/>
          <w:sz w:val="20"/>
        </w:rPr>
        <w:t xml:space="preserve"> </w:t>
      </w:r>
      <w:r>
        <w:rPr>
          <w:w w:val="95"/>
          <w:sz w:val="20"/>
        </w:rPr>
        <w:t>and</w:t>
      </w:r>
      <w:r>
        <w:rPr>
          <w:spacing w:val="-1"/>
          <w:w w:val="95"/>
          <w:sz w:val="20"/>
        </w:rPr>
        <w:t xml:space="preserve"> </w:t>
      </w:r>
      <w:r>
        <w:rPr>
          <w:w w:val="95"/>
          <w:sz w:val="20"/>
        </w:rPr>
        <w:t>active</w:t>
      </w:r>
      <w:r>
        <w:rPr>
          <w:spacing w:val="-1"/>
          <w:w w:val="95"/>
          <w:sz w:val="20"/>
        </w:rPr>
        <w:t xml:space="preserve"> </w:t>
      </w:r>
      <w:r>
        <w:rPr>
          <w:w w:val="95"/>
          <w:sz w:val="20"/>
        </w:rPr>
        <w:t>configuration</w:t>
      </w:r>
      <w:r>
        <w:rPr>
          <w:spacing w:val="-1"/>
          <w:w w:val="95"/>
          <w:sz w:val="20"/>
        </w:rPr>
        <w:t xml:space="preserve"> </w:t>
      </w:r>
      <w:r>
        <w:rPr>
          <w:w w:val="95"/>
          <w:sz w:val="20"/>
        </w:rPr>
        <w:t>and</w:t>
      </w:r>
      <w:r>
        <w:rPr>
          <w:spacing w:val="-1"/>
          <w:w w:val="95"/>
          <w:sz w:val="20"/>
        </w:rPr>
        <w:t xml:space="preserve"> </w:t>
      </w:r>
      <w:r>
        <w:rPr>
          <w:w w:val="95"/>
          <w:sz w:val="20"/>
        </w:rPr>
        <w:t xml:space="preserve">balancing of electricity supply systems are not used to avoid </w:t>
      </w:r>
      <w:r>
        <w:rPr>
          <w:sz w:val="20"/>
        </w:rPr>
        <w:t>capital</w:t>
      </w:r>
      <w:r>
        <w:rPr>
          <w:spacing w:val="-11"/>
          <w:sz w:val="20"/>
        </w:rPr>
        <w:t xml:space="preserve"> </w:t>
      </w:r>
      <w:r>
        <w:rPr>
          <w:sz w:val="20"/>
        </w:rPr>
        <w:t>expenditure.</w:t>
      </w:r>
    </w:p>
    <w:p w:rsidR="002C1123" w:rsidRDefault="002060EF">
      <w:pPr>
        <w:pStyle w:val="BodyText"/>
        <w:spacing w:before="144" w:line="195" w:lineRule="exact"/>
        <w:ind w:left="219"/>
      </w:pPr>
      <w:r>
        <w:pict>
          <v:line id="_x0000_s2027" style="position:absolute;left:0;text-align:left;z-index:251583488;mso-position-horizontal-relative:page" from="399.7pt,21.4pt" to="416.7pt,21.4pt" strokecolor="#00aeef" strokeweight="1.68pt">
            <w10:wrap anchorx="page"/>
          </v:line>
        </w:pict>
      </w:r>
      <w:r>
        <w:pict>
          <v:line id="_x0000_s2026" style="position:absolute;left:0;text-align:left;z-index:251584512;mso-position-horizontal-relative:page" from="347.7pt,21.4pt" to="364.7pt,21.4pt" strokecolor="#2e3092" strokeweight="1.68pt">
            <w10:wrap anchorx="page"/>
          </v:line>
        </w:pict>
      </w:r>
      <w:r w:rsidR="00F22F94">
        <w:rPr>
          <w:w w:val="95"/>
        </w:rPr>
        <w:t>This</w:t>
      </w:r>
      <w:r w:rsidR="00F22F94">
        <w:rPr>
          <w:spacing w:val="-9"/>
          <w:w w:val="95"/>
        </w:rPr>
        <w:t xml:space="preserve"> </w:t>
      </w:r>
      <w:r w:rsidR="00F22F94">
        <w:rPr>
          <w:w w:val="95"/>
        </w:rPr>
        <w:t>has</w:t>
      </w:r>
      <w:r w:rsidR="00F22F94">
        <w:rPr>
          <w:spacing w:val="-9"/>
          <w:w w:val="95"/>
        </w:rPr>
        <w:t xml:space="preserve"> </w:t>
      </w:r>
      <w:r w:rsidR="00F22F94">
        <w:rPr>
          <w:w w:val="95"/>
        </w:rPr>
        <w:t>contributed</w:t>
      </w:r>
      <w:r w:rsidR="00F22F94">
        <w:rPr>
          <w:spacing w:val="-8"/>
          <w:w w:val="95"/>
        </w:rPr>
        <w:t xml:space="preserve"> </w:t>
      </w:r>
      <w:r w:rsidR="00F22F94">
        <w:rPr>
          <w:w w:val="95"/>
        </w:rPr>
        <w:t>to</w:t>
      </w:r>
      <w:r w:rsidR="00F22F94">
        <w:rPr>
          <w:spacing w:val="-9"/>
          <w:w w:val="95"/>
        </w:rPr>
        <w:t xml:space="preserve"> </w:t>
      </w:r>
      <w:r w:rsidR="00F22F94">
        <w:rPr>
          <w:w w:val="95"/>
        </w:rPr>
        <w:t>the</w:t>
      </w:r>
      <w:r w:rsidR="00F22F94">
        <w:rPr>
          <w:spacing w:val="-8"/>
          <w:w w:val="95"/>
        </w:rPr>
        <w:t xml:space="preserve"> </w:t>
      </w:r>
      <w:r w:rsidR="00F22F94">
        <w:rPr>
          <w:w w:val="95"/>
        </w:rPr>
        <w:t>high</w:t>
      </w:r>
      <w:r w:rsidR="00F22F94">
        <w:rPr>
          <w:spacing w:val="-9"/>
          <w:w w:val="95"/>
        </w:rPr>
        <w:t xml:space="preserve"> </w:t>
      </w:r>
      <w:r w:rsidR="00F22F94">
        <w:rPr>
          <w:w w:val="95"/>
        </w:rPr>
        <w:t>level</w:t>
      </w:r>
      <w:r w:rsidR="00F22F94">
        <w:rPr>
          <w:spacing w:val="-8"/>
          <w:w w:val="95"/>
        </w:rPr>
        <w:t xml:space="preserve"> </w:t>
      </w:r>
      <w:r w:rsidR="00F22F94">
        <w:rPr>
          <w:w w:val="95"/>
        </w:rPr>
        <w:t>of</w:t>
      </w:r>
      <w:r w:rsidR="00F22F94">
        <w:rPr>
          <w:spacing w:val="-9"/>
          <w:w w:val="95"/>
        </w:rPr>
        <w:t xml:space="preserve"> </w:t>
      </w:r>
      <w:r w:rsidR="00F22F94">
        <w:rPr>
          <w:spacing w:val="-2"/>
          <w:w w:val="95"/>
        </w:rPr>
        <w:t>electricity</w:t>
      </w:r>
    </w:p>
    <w:p w:rsidR="002C1123" w:rsidRDefault="002C1123">
      <w:pPr>
        <w:spacing w:line="195" w:lineRule="exact"/>
        <w:sectPr w:rsidR="002C1123">
          <w:type w:val="continuous"/>
          <w:pgSz w:w="16840" w:h="11910" w:orient="landscape"/>
          <w:pgMar w:top="560" w:right="280" w:bottom="280" w:left="500" w:header="0" w:footer="517" w:gutter="0"/>
          <w:cols w:num="3" w:space="720" w:equalWidth="0">
            <w:col w:w="5256" w:space="40"/>
            <w:col w:w="4991" w:space="39"/>
            <w:col w:w="5734"/>
          </w:cols>
        </w:sectPr>
      </w:pPr>
    </w:p>
    <w:p w:rsidR="002C1123" w:rsidRDefault="002C1123">
      <w:pPr>
        <w:pStyle w:val="BodyText"/>
        <w:rPr>
          <w:sz w:val="16"/>
        </w:rPr>
      </w:pPr>
    </w:p>
    <w:p w:rsidR="002C1123" w:rsidRDefault="00F22F94">
      <w:pPr>
        <w:spacing w:before="100"/>
        <w:jc w:val="right"/>
        <w:rPr>
          <w:sz w:val="14"/>
        </w:rPr>
      </w:pPr>
      <w:r>
        <w:rPr>
          <w:w w:val="95"/>
          <w:sz w:val="14"/>
        </w:rPr>
        <w:t>Source:</w:t>
      </w:r>
      <w:r>
        <w:rPr>
          <w:spacing w:val="9"/>
          <w:sz w:val="14"/>
        </w:rPr>
        <w:t xml:space="preserve"> </w:t>
      </w:r>
      <w:r>
        <w:rPr>
          <w:spacing w:val="-2"/>
          <w:sz w:val="14"/>
        </w:rPr>
        <w:t>AEMO.</w:t>
      </w:r>
    </w:p>
    <w:p w:rsidR="002C1123" w:rsidRDefault="00F22F94">
      <w:pPr>
        <w:spacing w:line="182" w:lineRule="exact"/>
        <w:ind w:left="307"/>
        <w:rPr>
          <w:sz w:val="16"/>
        </w:rPr>
      </w:pPr>
      <w:r>
        <w:br w:type="column"/>
      </w:r>
      <w:r>
        <w:rPr>
          <w:spacing w:val="-2"/>
          <w:w w:val="75"/>
          <w:sz w:val="16"/>
        </w:rPr>
        <w:t>Actual</w:t>
      </w:r>
    </w:p>
    <w:p w:rsidR="002C1123" w:rsidRDefault="00F22F94">
      <w:pPr>
        <w:spacing w:line="182" w:lineRule="exact"/>
        <w:ind w:left="648"/>
        <w:rPr>
          <w:sz w:val="16"/>
        </w:rPr>
      </w:pPr>
      <w:r>
        <w:br w:type="column"/>
      </w:r>
      <w:r>
        <w:rPr>
          <w:w w:val="75"/>
          <w:sz w:val="16"/>
        </w:rPr>
        <w:t>Projections</w:t>
      </w:r>
      <w:r>
        <w:rPr>
          <w:spacing w:val="17"/>
          <w:sz w:val="16"/>
        </w:rPr>
        <w:t xml:space="preserve"> </w:t>
      </w:r>
      <w:r>
        <w:rPr>
          <w:w w:val="75"/>
          <w:sz w:val="16"/>
        </w:rPr>
        <w:t>(medium</w:t>
      </w:r>
      <w:r>
        <w:rPr>
          <w:spacing w:val="17"/>
          <w:sz w:val="16"/>
        </w:rPr>
        <w:t xml:space="preserve"> </w:t>
      </w:r>
      <w:r>
        <w:rPr>
          <w:spacing w:val="-2"/>
          <w:w w:val="75"/>
          <w:sz w:val="16"/>
        </w:rPr>
        <w:t>growth)</w:t>
      </w:r>
    </w:p>
    <w:p w:rsidR="002C1123" w:rsidRDefault="00F22F94">
      <w:pPr>
        <w:pStyle w:val="BodyText"/>
        <w:spacing w:before="45"/>
        <w:ind w:left="995" w:right="1149"/>
        <w:jc w:val="center"/>
      </w:pPr>
      <w:r>
        <w:br w:type="column"/>
      </w:r>
      <w:r>
        <w:rPr>
          <w:w w:val="95"/>
        </w:rPr>
        <w:t>distribution</w:t>
      </w:r>
      <w:r>
        <w:rPr>
          <w:spacing w:val="-2"/>
        </w:rPr>
        <w:t xml:space="preserve"> </w:t>
      </w:r>
      <w:r>
        <w:rPr>
          <w:w w:val="95"/>
        </w:rPr>
        <w:t>investment</w:t>
      </w:r>
      <w:r>
        <w:rPr>
          <w:spacing w:val="-2"/>
        </w:rPr>
        <w:t xml:space="preserve"> </w:t>
      </w:r>
      <w:r>
        <w:rPr>
          <w:w w:val="95"/>
        </w:rPr>
        <w:t>and</w:t>
      </w:r>
      <w:r>
        <w:rPr>
          <w:spacing w:val="-2"/>
        </w:rPr>
        <w:t xml:space="preserve"> </w:t>
      </w:r>
      <w:r>
        <w:rPr>
          <w:w w:val="95"/>
        </w:rPr>
        <w:t>consequent</w:t>
      </w:r>
      <w:r>
        <w:rPr>
          <w:spacing w:val="-2"/>
        </w:rPr>
        <w:t xml:space="preserve"> </w:t>
      </w:r>
      <w:r>
        <w:rPr>
          <w:w w:val="95"/>
        </w:rPr>
        <w:t>high</w:t>
      </w:r>
      <w:r>
        <w:rPr>
          <w:spacing w:val="-2"/>
        </w:rPr>
        <w:t xml:space="preserve"> </w:t>
      </w:r>
      <w:r>
        <w:rPr>
          <w:spacing w:val="-2"/>
          <w:w w:val="95"/>
        </w:rPr>
        <w:t>prices.</w:t>
      </w:r>
    </w:p>
    <w:p w:rsidR="002C1123" w:rsidRDefault="002C1123">
      <w:pPr>
        <w:jc w:val="center"/>
        <w:sectPr w:rsidR="002C1123">
          <w:type w:val="continuous"/>
          <w:pgSz w:w="16840" w:h="11910" w:orient="landscape"/>
          <w:pgMar w:top="560" w:right="280" w:bottom="280" w:left="500" w:header="0" w:footer="517" w:gutter="0"/>
          <w:cols w:num="4" w:space="720" w:equalWidth="0">
            <w:col w:w="6522" w:space="40"/>
            <w:col w:w="660" w:space="39"/>
            <w:col w:w="2265" w:space="40"/>
            <w:col w:w="6494"/>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9"/>
        <w:rPr>
          <w:sz w:val="15"/>
        </w:rPr>
      </w:pPr>
    </w:p>
    <w:p w:rsidR="002C1123" w:rsidRDefault="002060EF">
      <w:pPr>
        <w:pStyle w:val="BodyText"/>
        <w:spacing w:line="20" w:lineRule="exact"/>
        <w:ind w:left="10545"/>
        <w:rPr>
          <w:sz w:val="2"/>
        </w:rPr>
      </w:pPr>
      <w:r>
        <w:rPr>
          <w:sz w:val="2"/>
        </w:rPr>
      </w:r>
      <w:r>
        <w:rPr>
          <w:sz w:val="2"/>
        </w:rPr>
        <w:pict>
          <v:group id="docshapegroup2023" o:spid="_x0000_s2024" style="width:1in;height:.5pt;mso-position-horizontal-relative:char;mso-position-vertical-relative:line" coordsize="1440,10">
            <v:line id="_x0000_s2025" style="position:absolute" from="0,5" to="1440,5" strokecolor="#9c9c9d" strokeweight=".5pt"/>
            <w10:anchorlock/>
          </v:group>
        </w:pict>
      </w:r>
    </w:p>
    <w:p w:rsidR="002C1123" w:rsidRDefault="002C1123">
      <w:pPr>
        <w:spacing w:line="20" w:lineRule="exact"/>
        <w:rPr>
          <w:sz w:val="2"/>
        </w:rPr>
        <w:sectPr w:rsidR="002C1123">
          <w:type w:val="continuous"/>
          <w:pgSz w:w="16840" w:h="11910" w:orient="landscape"/>
          <w:pgMar w:top="560" w:right="280" w:bottom="280" w:left="500" w:header="0" w:footer="517" w:gutter="0"/>
          <w:cols w:space="720"/>
        </w:sectPr>
      </w:pPr>
    </w:p>
    <w:p w:rsidR="002C1123" w:rsidRDefault="002C1123">
      <w:pPr>
        <w:pStyle w:val="BodyText"/>
        <w:spacing w:before="1"/>
        <w:rPr>
          <w:sz w:val="26"/>
        </w:rPr>
      </w:pPr>
    </w:p>
    <w:p w:rsidR="002C1123" w:rsidRDefault="002060EF">
      <w:pPr>
        <w:pStyle w:val="BodyText"/>
        <w:spacing w:line="20" w:lineRule="exact"/>
        <w:ind w:left="492"/>
        <w:rPr>
          <w:sz w:val="2"/>
        </w:rPr>
      </w:pPr>
      <w:r>
        <w:rPr>
          <w:sz w:val="2"/>
        </w:rPr>
      </w:r>
      <w:r>
        <w:rPr>
          <w:sz w:val="2"/>
        </w:rPr>
        <w:pict>
          <v:group id="docshapegroup2024" o:spid="_x0000_s2022" style="width:1in;height:.5pt;mso-position-horizontal-relative:char;mso-position-vertical-relative:line" coordsize="1440,10">
            <v:line id="_x0000_s2023" style="position:absolute" from="0,5" to="1440,5" strokecolor="#9c9c9d" strokeweight=".5pt"/>
            <w10:anchorlock/>
          </v:group>
        </w:pict>
      </w:r>
    </w:p>
    <w:p w:rsidR="002C1123" w:rsidRDefault="00F22F94">
      <w:pPr>
        <w:pStyle w:val="ListParagraph"/>
        <w:numPr>
          <w:ilvl w:val="1"/>
          <w:numId w:val="58"/>
        </w:numPr>
        <w:tabs>
          <w:tab w:val="left" w:pos="691"/>
        </w:tabs>
        <w:spacing w:before="8"/>
        <w:ind w:left="690"/>
        <w:jc w:val="left"/>
        <w:rPr>
          <w:sz w:val="14"/>
        </w:rPr>
      </w:pPr>
      <w:r>
        <w:rPr>
          <w:w w:val="90"/>
          <w:sz w:val="14"/>
        </w:rPr>
        <w:t>IPART</w:t>
      </w:r>
      <w:r>
        <w:rPr>
          <w:spacing w:val="10"/>
          <w:sz w:val="14"/>
        </w:rPr>
        <w:t xml:space="preserve"> </w:t>
      </w:r>
      <w:r>
        <w:rPr>
          <w:w w:val="90"/>
          <w:sz w:val="14"/>
        </w:rPr>
        <w:t>2012,</w:t>
      </w:r>
      <w:r>
        <w:rPr>
          <w:spacing w:val="10"/>
          <w:sz w:val="14"/>
        </w:rPr>
        <w:t xml:space="preserve"> </w:t>
      </w:r>
      <w:r>
        <w:rPr>
          <w:w w:val="90"/>
          <w:sz w:val="14"/>
        </w:rPr>
        <w:t>NSW</w:t>
      </w:r>
      <w:r>
        <w:rPr>
          <w:spacing w:val="11"/>
          <w:sz w:val="14"/>
        </w:rPr>
        <w:t xml:space="preserve"> </w:t>
      </w:r>
      <w:r>
        <w:rPr>
          <w:w w:val="90"/>
          <w:sz w:val="14"/>
        </w:rPr>
        <w:t>Retail</w:t>
      </w:r>
      <w:r>
        <w:rPr>
          <w:spacing w:val="10"/>
          <w:sz w:val="14"/>
        </w:rPr>
        <w:t xml:space="preserve"> </w:t>
      </w:r>
      <w:r>
        <w:rPr>
          <w:w w:val="90"/>
          <w:sz w:val="14"/>
        </w:rPr>
        <w:t>Electricity</w:t>
      </w:r>
      <w:r>
        <w:rPr>
          <w:spacing w:val="11"/>
          <w:sz w:val="14"/>
        </w:rPr>
        <w:t xml:space="preserve"> </w:t>
      </w:r>
      <w:r>
        <w:rPr>
          <w:spacing w:val="-2"/>
          <w:w w:val="90"/>
          <w:sz w:val="14"/>
        </w:rPr>
        <w:t>Review.</w:t>
      </w:r>
    </w:p>
    <w:p w:rsidR="002C1123" w:rsidRDefault="00F22F94">
      <w:pPr>
        <w:pStyle w:val="ListParagraph"/>
        <w:numPr>
          <w:ilvl w:val="1"/>
          <w:numId w:val="58"/>
        </w:numPr>
        <w:tabs>
          <w:tab w:val="left" w:pos="691"/>
        </w:tabs>
        <w:spacing w:before="8"/>
        <w:ind w:left="690" w:right="753"/>
        <w:jc w:val="left"/>
        <w:rPr>
          <w:sz w:val="14"/>
        </w:rPr>
      </w:pPr>
      <w:r>
        <w:br w:type="column"/>
      </w:r>
      <w:r>
        <w:rPr>
          <w:w w:val="95"/>
          <w:sz w:val="14"/>
        </w:rPr>
        <w:t>Ernst &amp; Young 2011, AEMC Power of choice: Rationale and Drivers for DSP</w:t>
      </w:r>
      <w:r>
        <w:rPr>
          <w:spacing w:val="40"/>
          <w:sz w:val="14"/>
        </w:rPr>
        <w:t xml:space="preserve"> </w:t>
      </w:r>
      <w:r>
        <w:rPr>
          <w:w w:val="95"/>
          <w:sz w:val="14"/>
        </w:rPr>
        <w:t>in the Electricity Market – Demand and supply of Electricity, prepared for the</w:t>
      </w:r>
      <w:r>
        <w:rPr>
          <w:spacing w:val="40"/>
          <w:sz w:val="14"/>
        </w:rPr>
        <w:t xml:space="preserve"> </w:t>
      </w:r>
      <w:r>
        <w:rPr>
          <w:spacing w:val="-2"/>
          <w:sz w:val="14"/>
        </w:rPr>
        <w:t>AEMC.</w:t>
      </w:r>
    </w:p>
    <w:p w:rsidR="002C1123" w:rsidRDefault="002C1123">
      <w:pPr>
        <w:rPr>
          <w:sz w:val="14"/>
        </w:rPr>
        <w:sectPr w:rsidR="002C1123">
          <w:type w:val="continuous"/>
          <w:pgSz w:w="16840" w:h="11910" w:orient="landscape"/>
          <w:pgMar w:top="560" w:right="280" w:bottom="280" w:left="500" w:header="0" w:footer="517" w:gutter="0"/>
          <w:cols w:num="2" w:space="720" w:equalWidth="0">
            <w:col w:w="3318" w:space="6735"/>
            <w:col w:w="6007"/>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7"/>
        </w:rPr>
      </w:pPr>
    </w:p>
    <w:p w:rsidR="002C1123" w:rsidRDefault="002C1123">
      <w:pPr>
        <w:rPr>
          <w:sz w:val="17"/>
        </w:rPr>
        <w:sectPr w:rsidR="002C1123">
          <w:pgSz w:w="16840" w:h="11910" w:orient="landscape"/>
          <w:pgMar w:top="560" w:right="280" w:bottom="700" w:left="500" w:header="0" w:footer="517" w:gutter="0"/>
          <w:cols w:space="720"/>
        </w:sectPr>
      </w:pPr>
    </w:p>
    <w:p w:rsidR="002C1123" w:rsidRDefault="00F22F94">
      <w:pPr>
        <w:pStyle w:val="Heading5"/>
        <w:numPr>
          <w:ilvl w:val="1"/>
          <w:numId w:val="63"/>
        </w:numPr>
        <w:tabs>
          <w:tab w:val="left" w:pos="1093"/>
        </w:tabs>
        <w:ind w:left="1092"/>
        <w:jc w:val="left"/>
      </w:pPr>
      <w:bookmarkStart w:id="305" w:name="11.3_Electricity_distribution_investment"/>
      <w:bookmarkStart w:id="306" w:name="_bookmark218"/>
      <w:bookmarkStart w:id="307" w:name="_bookmark217"/>
      <w:bookmarkEnd w:id="305"/>
      <w:bookmarkEnd w:id="306"/>
      <w:bookmarkEnd w:id="307"/>
      <w:r>
        <w:rPr>
          <w:color w:val="00AEEF"/>
          <w:w w:val="95"/>
        </w:rPr>
        <w:t>Electricity</w:t>
      </w:r>
      <w:r>
        <w:rPr>
          <w:color w:val="00AEEF"/>
          <w:spacing w:val="-8"/>
          <w:w w:val="95"/>
        </w:rPr>
        <w:t xml:space="preserve"> </w:t>
      </w:r>
      <w:r>
        <w:rPr>
          <w:color w:val="00AEEF"/>
          <w:w w:val="95"/>
        </w:rPr>
        <w:t>distribution</w:t>
      </w:r>
      <w:r>
        <w:rPr>
          <w:color w:val="00AEEF"/>
          <w:spacing w:val="-8"/>
          <w:w w:val="95"/>
        </w:rPr>
        <w:t xml:space="preserve"> </w:t>
      </w:r>
      <w:r>
        <w:rPr>
          <w:color w:val="00AEEF"/>
          <w:spacing w:val="-2"/>
          <w:w w:val="95"/>
        </w:rPr>
        <w:t>investment</w:t>
      </w:r>
    </w:p>
    <w:p w:rsidR="002C1123" w:rsidRDefault="00F22F94">
      <w:pPr>
        <w:pStyle w:val="BodyText"/>
        <w:spacing w:before="135" w:line="249" w:lineRule="auto"/>
        <w:ind w:left="492" w:right="547"/>
      </w:pPr>
      <w:r>
        <w:rPr>
          <w:w w:val="95"/>
        </w:rPr>
        <w:t>Infrastructure</w:t>
      </w:r>
      <w:r>
        <w:rPr>
          <w:spacing w:val="-7"/>
          <w:w w:val="95"/>
        </w:rPr>
        <w:t xml:space="preserve"> </w:t>
      </w:r>
      <w:r>
        <w:rPr>
          <w:w w:val="95"/>
        </w:rPr>
        <w:t>investment</w:t>
      </w:r>
      <w:r>
        <w:rPr>
          <w:spacing w:val="-7"/>
          <w:w w:val="95"/>
        </w:rPr>
        <w:t xml:space="preserve"> </w:t>
      </w:r>
      <w:r>
        <w:rPr>
          <w:w w:val="95"/>
        </w:rPr>
        <w:t>by</w:t>
      </w:r>
      <w:r>
        <w:rPr>
          <w:spacing w:val="-7"/>
          <w:w w:val="95"/>
        </w:rPr>
        <w:t xml:space="preserve"> </w:t>
      </w:r>
      <w:r>
        <w:rPr>
          <w:w w:val="95"/>
        </w:rPr>
        <w:t>the</w:t>
      </w:r>
      <w:r>
        <w:rPr>
          <w:spacing w:val="-7"/>
          <w:w w:val="95"/>
        </w:rPr>
        <w:t xml:space="preserve"> </w:t>
      </w:r>
      <w:r>
        <w:rPr>
          <w:w w:val="95"/>
        </w:rPr>
        <w:t>NSW</w:t>
      </w:r>
      <w:r>
        <w:rPr>
          <w:spacing w:val="-7"/>
          <w:w w:val="95"/>
        </w:rPr>
        <w:t xml:space="preserve"> </w:t>
      </w:r>
      <w:r>
        <w:rPr>
          <w:w w:val="95"/>
        </w:rPr>
        <w:t xml:space="preserve">Government- </w:t>
      </w:r>
      <w:r>
        <w:t>owned</w:t>
      </w:r>
      <w:r>
        <w:rPr>
          <w:spacing w:val="-6"/>
        </w:rPr>
        <w:t xml:space="preserve"> </w:t>
      </w:r>
      <w:r>
        <w:t>network</w:t>
      </w:r>
      <w:r>
        <w:rPr>
          <w:spacing w:val="-6"/>
        </w:rPr>
        <w:t xml:space="preserve"> </w:t>
      </w:r>
      <w:r>
        <w:t>businesses</w:t>
      </w:r>
      <w:r>
        <w:rPr>
          <w:spacing w:val="-6"/>
        </w:rPr>
        <w:t xml:space="preserve"> </w:t>
      </w:r>
      <w:r>
        <w:t>has</w:t>
      </w:r>
      <w:r>
        <w:rPr>
          <w:spacing w:val="-6"/>
        </w:rPr>
        <w:t xml:space="preserve"> </w:t>
      </w:r>
      <w:r>
        <w:t>been</w:t>
      </w:r>
      <w:r>
        <w:rPr>
          <w:spacing w:val="-6"/>
        </w:rPr>
        <w:t xml:space="preserve"> </w:t>
      </w:r>
      <w:r>
        <w:t>the</w:t>
      </w:r>
      <w:r>
        <w:rPr>
          <w:spacing w:val="-6"/>
        </w:rPr>
        <w:t xml:space="preserve"> </w:t>
      </w:r>
      <w:r>
        <w:t>largest contributor</w:t>
      </w:r>
      <w:r>
        <w:rPr>
          <w:spacing w:val="-9"/>
        </w:rPr>
        <w:t xml:space="preserve"> </w:t>
      </w:r>
      <w:r>
        <w:t>(over</w:t>
      </w:r>
      <w:r>
        <w:rPr>
          <w:spacing w:val="-9"/>
        </w:rPr>
        <w:t xml:space="preserve"> </w:t>
      </w:r>
      <w:r>
        <w:t>60</w:t>
      </w:r>
      <w:r>
        <w:rPr>
          <w:spacing w:val="-9"/>
        </w:rPr>
        <w:t xml:space="preserve"> </w:t>
      </w:r>
      <w:r>
        <w:t>percent)</w:t>
      </w:r>
      <w:r>
        <w:rPr>
          <w:spacing w:val="-9"/>
        </w:rPr>
        <w:t xml:space="preserve"> </w:t>
      </w:r>
      <w:r>
        <w:t>to</w:t>
      </w:r>
      <w:r>
        <w:rPr>
          <w:spacing w:val="-9"/>
        </w:rPr>
        <w:t xml:space="preserve"> </w:t>
      </w:r>
      <w:r>
        <w:t>the</w:t>
      </w:r>
      <w:r>
        <w:rPr>
          <w:spacing w:val="-9"/>
        </w:rPr>
        <w:t xml:space="preserve"> </w:t>
      </w:r>
      <w:r>
        <w:t>electricity</w:t>
      </w:r>
    </w:p>
    <w:p w:rsidR="002C1123" w:rsidRDefault="00F22F94">
      <w:pPr>
        <w:pStyle w:val="BodyText"/>
        <w:spacing w:before="2" w:line="249" w:lineRule="auto"/>
        <w:ind w:left="492" w:right="547"/>
      </w:pPr>
      <w:r>
        <w:t>price</w:t>
      </w:r>
      <w:r>
        <w:rPr>
          <w:spacing w:val="-14"/>
        </w:rPr>
        <w:t xml:space="preserve"> </w:t>
      </w:r>
      <w:r>
        <w:t>increases.</w:t>
      </w:r>
      <w:r>
        <w:rPr>
          <w:spacing w:val="-14"/>
        </w:rPr>
        <w:t xml:space="preserve"> </w:t>
      </w:r>
      <w:r>
        <w:t>Figure</w:t>
      </w:r>
      <w:r>
        <w:rPr>
          <w:spacing w:val="-14"/>
        </w:rPr>
        <w:t xml:space="preserve"> </w:t>
      </w:r>
      <w:r>
        <w:t>11.4</w:t>
      </w:r>
      <w:r>
        <w:rPr>
          <w:spacing w:val="-14"/>
        </w:rPr>
        <w:t xml:space="preserve"> </w:t>
      </w:r>
      <w:r>
        <w:t>shows</w:t>
      </w:r>
      <w:r>
        <w:rPr>
          <w:spacing w:val="-14"/>
        </w:rPr>
        <w:t xml:space="preserve"> </w:t>
      </w:r>
      <w:r>
        <w:t>that</w:t>
      </w:r>
      <w:r>
        <w:rPr>
          <w:spacing w:val="-14"/>
        </w:rPr>
        <w:t xml:space="preserve"> </w:t>
      </w:r>
      <w:r>
        <w:t xml:space="preserve">the </w:t>
      </w:r>
      <w:r>
        <w:rPr>
          <w:w w:val="95"/>
        </w:rPr>
        <w:t>network</w:t>
      </w:r>
      <w:r>
        <w:rPr>
          <w:spacing w:val="-9"/>
          <w:w w:val="95"/>
        </w:rPr>
        <w:t xml:space="preserve"> </w:t>
      </w:r>
      <w:r>
        <w:rPr>
          <w:w w:val="95"/>
        </w:rPr>
        <w:t>increases</w:t>
      </w:r>
      <w:r>
        <w:rPr>
          <w:spacing w:val="-9"/>
          <w:w w:val="95"/>
        </w:rPr>
        <w:t xml:space="preserve"> </w:t>
      </w:r>
      <w:r>
        <w:rPr>
          <w:w w:val="95"/>
        </w:rPr>
        <w:t>in</w:t>
      </w:r>
      <w:r>
        <w:rPr>
          <w:spacing w:val="-9"/>
          <w:w w:val="95"/>
        </w:rPr>
        <w:t xml:space="preserve"> </w:t>
      </w:r>
      <w:r>
        <w:rPr>
          <w:w w:val="95"/>
        </w:rPr>
        <w:t>NSW</w:t>
      </w:r>
      <w:r>
        <w:rPr>
          <w:spacing w:val="-9"/>
          <w:w w:val="95"/>
        </w:rPr>
        <w:t xml:space="preserve"> </w:t>
      </w:r>
      <w:r>
        <w:rPr>
          <w:w w:val="95"/>
        </w:rPr>
        <w:t>have</w:t>
      </w:r>
      <w:r>
        <w:rPr>
          <w:spacing w:val="-9"/>
          <w:w w:val="95"/>
        </w:rPr>
        <w:t xml:space="preserve"> </w:t>
      </w:r>
      <w:r>
        <w:rPr>
          <w:w w:val="95"/>
        </w:rPr>
        <w:t>been</w:t>
      </w:r>
      <w:r>
        <w:rPr>
          <w:spacing w:val="-9"/>
          <w:w w:val="95"/>
        </w:rPr>
        <w:t xml:space="preserve"> </w:t>
      </w:r>
      <w:r>
        <w:rPr>
          <w:w w:val="95"/>
        </w:rPr>
        <w:t>higher</w:t>
      </w:r>
      <w:r>
        <w:rPr>
          <w:spacing w:val="-9"/>
          <w:w w:val="95"/>
        </w:rPr>
        <w:t xml:space="preserve"> </w:t>
      </w:r>
      <w:r>
        <w:rPr>
          <w:w w:val="95"/>
        </w:rPr>
        <w:t xml:space="preserve">than </w:t>
      </w:r>
      <w:r>
        <w:t>national</w:t>
      </w:r>
      <w:r>
        <w:rPr>
          <w:spacing w:val="-11"/>
        </w:rPr>
        <w:t xml:space="preserve"> </w:t>
      </w:r>
      <w:r>
        <w:t>average.</w:t>
      </w:r>
    </w:p>
    <w:p w:rsidR="002C1123" w:rsidRDefault="00F22F94">
      <w:pPr>
        <w:rPr>
          <w:sz w:val="24"/>
        </w:rPr>
      </w:pPr>
      <w:r>
        <w:br w:type="column"/>
      </w:r>
    </w:p>
    <w:p w:rsidR="002C1123" w:rsidRDefault="002C1123">
      <w:pPr>
        <w:pStyle w:val="BodyText"/>
        <w:spacing w:before="4"/>
        <w:rPr>
          <w:sz w:val="25"/>
        </w:rPr>
      </w:pPr>
    </w:p>
    <w:p w:rsidR="002C1123" w:rsidRDefault="00F22F94">
      <w:pPr>
        <w:pStyle w:val="BodyText"/>
        <w:spacing w:line="249" w:lineRule="auto"/>
        <w:ind w:left="64"/>
      </w:pPr>
      <w:r>
        <w:t>Price</w:t>
      </w:r>
      <w:r>
        <w:rPr>
          <w:spacing w:val="-14"/>
        </w:rPr>
        <w:t xml:space="preserve"> </w:t>
      </w:r>
      <w:r>
        <w:t>increases</w:t>
      </w:r>
      <w:r>
        <w:rPr>
          <w:spacing w:val="-14"/>
        </w:rPr>
        <w:t xml:space="preserve"> </w:t>
      </w:r>
      <w:r>
        <w:t>are</w:t>
      </w:r>
      <w:r>
        <w:rPr>
          <w:spacing w:val="-14"/>
        </w:rPr>
        <w:t xml:space="preserve"> </w:t>
      </w:r>
      <w:r>
        <w:t>due</w:t>
      </w:r>
      <w:r>
        <w:rPr>
          <w:spacing w:val="-14"/>
        </w:rPr>
        <w:t xml:space="preserve"> </w:t>
      </w:r>
      <w:r>
        <w:t>to</w:t>
      </w:r>
      <w:r>
        <w:rPr>
          <w:spacing w:val="-14"/>
        </w:rPr>
        <w:t xml:space="preserve"> </w:t>
      </w:r>
      <w:r>
        <w:t>the</w:t>
      </w:r>
      <w:r>
        <w:rPr>
          <w:spacing w:val="-13"/>
        </w:rPr>
        <w:t xml:space="preserve"> </w:t>
      </w:r>
      <w:r>
        <w:t>investment</w:t>
      </w:r>
      <w:r>
        <w:rPr>
          <w:spacing w:val="-14"/>
        </w:rPr>
        <w:t xml:space="preserve"> </w:t>
      </w:r>
      <w:r>
        <w:t>in</w:t>
      </w:r>
      <w:r>
        <w:rPr>
          <w:spacing w:val="-14"/>
        </w:rPr>
        <w:t xml:space="preserve"> </w:t>
      </w:r>
      <w:r>
        <w:t xml:space="preserve">the </w:t>
      </w:r>
      <w:r>
        <w:rPr>
          <w:w w:val="95"/>
        </w:rPr>
        <w:t>electricity network. Investment has more than doubled in the past five years from around $2 billion per annum to</w:t>
      </w:r>
      <w:r>
        <w:rPr>
          <w:spacing w:val="-12"/>
          <w:w w:val="95"/>
        </w:rPr>
        <w:t xml:space="preserve"> </w:t>
      </w:r>
      <w:r>
        <w:rPr>
          <w:w w:val="95"/>
        </w:rPr>
        <w:t>over</w:t>
      </w:r>
      <w:r>
        <w:rPr>
          <w:spacing w:val="-11"/>
          <w:w w:val="95"/>
        </w:rPr>
        <w:t xml:space="preserve"> </w:t>
      </w:r>
      <w:r>
        <w:rPr>
          <w:w w:val="95"/>
        </w:rPr>
        <w:t>$4</w:t>
      </w:r>
      <w:r>
        <w:rPr>
          <w:spacing w:val="-11"/>
          <w:w w:val="95"/>
        </w:rPr>
        <w:t xml:space="preserve"> </w:t>
      </w:r>
      <w:r>
        <w:rPr>
          <w:w w:val="95"/>
        </w:rPr>
        <w:t>billion</w:t>
      </w:r>
      <w:r>
        <w:rPr>
          <w:spacing w:val="-11"/>
          <w:w w:val="95"/>
        </w:rPr>
        <w:t xml:space="preserve"> </w:t>
      </w:r>
      <w:r>
        <w:rPr>
          <w:w w:val="95"/>
        </w:rPr>
        <w:t>per</w:t>
      </w:r>
      <w:r>
        <w:rPr>
          <w:spacing w:val="-11"/>
          <w:w w:val="95"/>
        </w:rPr>
        <w:t xml:space="preserve"> </w:t>
      </w:r>
      <w:r>
        <w:rPr>
          <w:w w:val="95"/>
        </w:rPr>
        <w:t>annum</w:t>
      </w:r>
      <w:r>
        <w:rPr>
          <w:spacing w:val="-11"/>
          <w:w w:val="95"/>
        </w:rPr>
        <w:t xml:space="preserve"> </w:t>
      </w:r>
      <w:r>
        <w:rPr>
          <w:w w:val="95"/>
        </w:rPr>
        <w:t>from</w:t>
      </w:r>
      <w:r>
        <w:rPr>
          <w:spacing w:val="-11"/>
          <w:w w:val="95"/>
        </w:rPr>
        <w:t xml:space="preserve"> </w:t>
      </w:r>
      <w:r>
        <w:rPr>
          <w:w w:val="95"/>
        </w:rPr>
        <w:t>2012-13</w:t>
      </w:r>
      <w:r>
        <w:rPr>
          <w:spacing w:val="-11"/>
          <w:w w:val="95"/>
        </w:rPr>
        <w:t xml:space="preserve"> </w:t>
      </w:r>
      <w:r>
        <w:rPr>
          <w:w w:val="95"/>
        </w:rPr>
        <w:t>to</w:t>
      </w:r>
      <w:r>
        <w:rPr>
          <w:spacing w:val="-12"/>
          <w:w w:val="95"/>
        </w:rPr>
        <w:t xml:space="preserve"> </w:t>
      </w:r>
      <w:r>
        <w:rPr>
          <w:w w:val="95"/>
        </w:rPr>
        <w:t>2016-17</w:t>
      </w:r>
      <w:r>
        <w:rPr>
          <w:spacing w:val="-11"/>
          <w:w w:val="95"/>
        </w:rPr>
        <w:t xml:space="preserve"> </w:t>
      </w:r>
      <w:r>
        <w:rPr>
          <w:w w:val="95"/>
        </w:rPr>
        <w:t xml:space="preserve">as </w:t>
      </w:r>
      <w:r>
        <w:t>shown</w:t>
      </w:r>
      <w:r>
        <w:rPr>
          <w:spacing w:val="-4"/>
        </w:rPr>
        <w:t xml:space="preserve"> </w:t>
      </w:r>
      <w:r>
        <w:t>in</w:t>
      </w:r>
      <w:r>
        <w:rPr>
          <w:spacing w:val="-4"/>
        </w:rPr>
        <w:t xml:space="preserve"> </w:t>
      </w:r>
      <w:r>
        <w:t>Figure</w:t>
      </w:r>
      <w:r>
        <w:rPr>
          <w:spacing w:val="-4"/>
        </w:rPr>
        <w:t xml:space="preserve"> </w:t>
      </w:r>
      <w:r>
        <w:t>11.5</w:t>
      </w:r>
      <w:r>
        <w:rPr>
          <w:spacing w:val="-4"/>
        </w:rPr>
        <w:t xml:space="preserve"> </w:t>
      </w:r>
      <w:r>
        <w:t>below.</w:t>
      </w:r>
    </w:p>
    <w:p w:rsidR="002C1123" w:rsidRDefault="00F22F94">
      <w:pPr>
        <w:rPr>
          <w:sz w:val="24"/>
        </w:rPr>
      </w:pPr>
      <w:r>
        <w:br w:type="column"/>
      </w:r>
    </w:p>
    <w:p w:rsidR="002C1123" w:rsidRDefault="002C1123">
      <w:pPr>
        <w:pStyle w:val="BodyText"/>
        <w:spacing w:before="4"/>
        <w:rPr>
          <w:sz w:val="25"/>
        </w:rPr>
      </w:pPr>
    </w:p>
    <w:p w:rsidR="002C1123" w:rsidRDefault="00F22F94">
      <w:pPr>
        <w:pStyle w:val="BodyText"/>
        <w:spacing w:line="249" w:lineRule="auto"/>
        <w:ind w:left="322" w:right="942"/>
      </w:pPr>
      <w:r>
        <w:rPr>
          <w:w w:val="95"/>
        </w:rPr>
        <w:t>This rate of investment represents a dramatic growth of</w:t>
      </w:r>
      <w:r>
        <w:rPr>
          <w:spacing w:val="-9"/>
          <w:w w:val="95"/>
        </w:rPr>
        <w:t xml:space="preserve"> </w:t>
      </w:r>
      <w:r>
        <w:rPr>
          <w:w w:val="95"/>
        </w:rPr>
        <w:t>over</w:t>
      </w:r>
      <w:r>
        <w:rPr>
          <w:spacing w:val="-9"/>
          <w:w w:val="95"/>
        </w:rPr>
        <w:t xml:space="preserve"> </w:t>
      </w:r>
      <w:r>
        <w:rPr>
          <w:w w:val="95"/>
        </w:rPr>
        <w:t>80</w:t>
      </w:r>
      <w:r>
        <w:rPr>
          <w:spacing w:val="-9"/>
          <w:w w:val="95"/>
        </w:rPr>
        <w:t xml:space="preserve"> </w:t>
      </w:r>
      <w:r>
        <w:rPr>
          <w:w w:val="95"/>
        </w:rPr>
        <w:t>percent</w:t>
      </w:r>
      <w:r>
        <w:rPr>
          <w:spacing w:val="-9"/>
          <w:w w:val="95"/>
        </w:rPr>
        <w:t xml:space="preserve"> </w:t>
      </w:r>
      <w:r>
        <w:rPr>
          <w:w w:val="95"/>
        </w:rPr>
        <w:t>in</w:t>
      </w:r>
      <w:r>
        <w:rPr>
          <w:spacing w:val="-9"/>
          <w:w w:val="95"/>
        </w:rPr>
        <w:t xml:space="preserve"> </w:t>
      </w:r>
      <w:r>
        <w:rPr>
          <w:w w:val="95"/>
        </w:rPr>
        <w:t>the</w:t>
      </w:r>
      <w:r>
        <w:rPr>
          <w:spacing w:val="-9"/>
          <w:w w:val="95"/>
        </w:rPr>
        <w:t xml:space="preserve"> </w:t>
      </w:r>
      <w:r>
        <w:rPr>
          <w:w w:val="95"/>
        </w:rPr>
        <w:t>Regulated</w:t>
      </w:r>
      <w:r>
        <w:rPr>
          <w:spacing w:val="-9"/>
          <w:w w:val="95"/>
        </w:rPr>
        <w:t xml:space="preserve"> </w:t>
      </w:r>
      <w:r>
        <w:rPr>
          <w:w w:val="95"/>
        </w:rPr>
        <w:t>Asset</w:t>
      </w:r>
      <w:r>
        <w:rPr>
          <w:spacing w:val="-9"/>
          <w:w w:val="95"/>
        </w:rPr>
        <w:t xml:space="preserve"> </w:t>
      </w:r>
      <w:r>
        <w:rPr>
          <w:w w:val="95"/>
        </w:rPr>
        <w:t>Base</w:t>
      </w:r>
      <w:r>
        <w:rPr>
          <w:spacing w:val="-9"/>
          <w:w w:val="95"/>
        </w:rPr>
        <w:t xml:space="preserve"> </w:t>
      </w:r>
      <w:r>
        <w:rPr>
          <w:w w:val="95"/>
        </w:rPr>
        <w:t>(RAB) as</w:t>
      </w:r>
      <w:r>
        <w:rPr>
          <w:spacing w:val="-7"/>
          <w:w w:val="95"/>
        </w:rPr>
        <w:t xml:space="preserve"> </w:t>
      </w:r>
      <w:r>
        <w:rPr>
          <w:w w:val="95"/>
        </w:rPr>
        <w:t>shown</w:t>
      </w:r>
      <w:r>
        <w:rPr>
          <w:spacing w:val="-7"/>
          <w:w w:val="95"/>
        </w:rPr>
        <w:t xml:space="preserve"> </w:t>
      </w:r>
      <w:r>
        <w:rPr>
          <w:w w:val="95"/>
        </w:rPr>
        <w:t>in</w:t>
      </w:r>
      <w:r>
        <w:rPr>
          <w:spacing w:val="-7"/>
          <w:w w:val="95"/>
        </w:rPr>
        <w:t xml:space="preserve"> </w:t>
      </w:r>
      <w:r>
        <w:rPr>
          <w:w w:val="95"/>
        </w:rPr>
        <w:t>the</w:t>
      </w:r>
      <w:r>
        <w:rPr>
          <w:spacing w:val="-6"/>
          <w:w w:val="95"/>
        </w:rPr>
        <w:t xml:space="preserve"> </w:t>
      </w:r>
      <w:r>
        <w:rPr>
          <w:w w:val="95"/>
        </w:rPr>
        <w:t>table</w:t>
      </w:r>
      <w:r>
        <w:rPr>
          <w:spacing w:val="-7"/>
          <w:w w:val="95"/>
        </w:rPr>
        <w:t xml:space="preserve"> </w:t>
      </w:r>
      <w:r>
        <w:rPr>
          <w:w w:val="95"/>
        </w:rPr>
        <w:t>below.</w:t>
      </w:r>
      <w:r>
        <w:rPr>
          <w:spacing w:val="-7"/>
          <w:w w:val="95"/>
        </w:rPr>
        <w:t xml:space="preserve"> </w:t>
      </w:r>
      <w:r>
        <w:rPr>
          <w:w w:val="95"/>
        </w:rPr>
        <w:t>This</w:t>
      </w:r>
      <w:r>
        <w:rPr>
          <w:spacing w:val="-7"/>
          <w:w w:val="95"/>
        </w:rPr>
        <w:t xml:space="preserve"> </w:t>
      </w:r>
      <w:r>
        <w:rPr>
          <w:w w:val="95"/>
        </w:rPr>
        <w:t>means</w:t>
      </w:r>
      <w:r>
        <w:rPr>
          <w:spacing w:val="-6"/>
          <w:w w:val="95"/>
        </w:rPr>
        <w:t xml:space="preserve"> </w:t>
      </w:r>
      <w:r>
        <w:rPr>
          <w:w w:val="95"/>
        </w:rPr>
        <w:t>that</w:t>
      </w:r>
      <w:r>
        <w:rPr>
          <w:spacing w:val="-7"/>
          <w:w w:val="95"/>
        </w:rPr>
        <w:t xml:space="preserve"> </w:t>
      </w:r>
      <w:r>
        <w:rPr>
          <w:spacing w:val="-2"/>
          <w:w w:val="95"/>
        </w:rPr>
        <w:t>network</w:t>
      </w:r>
    </w:p>
    <w:p w:rsidR="002C1123" w:rsidRDefault="00F22F94">
      <w:pPr>
        <w:pStyle w:val="BodyText"/>
        <w:spacing w:before="3" w:line="249" w:lineRule="auto"/>
        <w:ind w:left="322" w:right="599"/>
      </w:pPr>
      <w:r>
        <w:rPr>
          <w:w w:val="95"/>
        </w:rPr>
        <w:t>prices</w:t>
      </w:r>
      <w:r>
        <w:rPr>
          <w:spacing w:val="-8"/>
          <w:w w:val="95"/>
        </w:rPr>
        <w:t xml:space="preserve"> </w:t>
      </w:r>
      <w:r>
        <w:rPr>
          <w:w w:val="95"/>
        </w:rPr>
        <w:t>will</w:t>
      </w:r>
      <w:r>
        <w:rPr>
          <w:spacing w:val="-8"/>
          <w:w w:val="95"/>
        </w:rPr>
        <w:t xml:space="preserve"> </w:t>
      </w:r>
      <w:r>
        <w:rPr>
          <w:w w:val="95"/>
        </w:rPr>
        <w:t>continue</w:t>
      </w:r>
      <w:r>
        <w:rPr>
          <w:spacing w:val="-8"/>
          <w:w w:val="95"/>
        </w:rPr>
        <w:t xml:space="preserve"> </w:t>
      </w:r>
      <w:r>
        <w:rPr>
          <w:w w:val="95"/>
        </w:rPr>
        <w:t>to</w:t>
      </w:r>
      <w:r>
        <w:rPr>
          <w:spacing w:val="-8"/>
          <w:w w:val="95"/>
        </w:rPr>
        <w:t xml:space="preserve"> </w:t>
      </w:r>
      <w:r>
        <w:rPr>
          <w:w w:val="95"/>
        </w:rPr>
        <w:t>rise</w:t>
      </w:r>
      <w:r>
        <w:rPr>
          <w:spacing w:val="-8"/>
          <w:w w:val="95"/>
        </w:rPr>
        <w:t xml:space="preserve"> </w:t>
      </w:r>
      <w:r>
        <w:rPr>
          <w:w w:val="95"/>
        </w:rPr>
        <w:t>(as</w:t>
      </w:r>
      <w:r>
        <w:rPr>
          <w:spacing w:val="-8"/>
          <w:w w:val="95"/>
        </w:rPr>
        <w:t xml:space="preserve"> </w:t>
      </w:r>
      <w:r>
        <w:rPr>
          <w:w w:val="95"/>
        </w:rPr>
        <w:t>the</w:t>
      </w:r>
      <w:r>
        <w:rPr>
          <w:spacing w:val="-8"/>
          <w:w w:val="95"/>
        </w:rPr>
        <w:t xml:space="preserve"> </w:t>
      </w:r>
      <w:r>
        <w:rPr>
          <w:w w:val="95"/>
        </w:rPr>
        <w:t>largest</w:t>
      </w:r>
      <w:r>
        <w:rPr>
          <w:spacing w:val="-8"/>
          <w:w w:val="95"/>
        </w:rPr>
        <w:t xml:space="preserve"> </w:t>
      </w:r>
      <w:r>
        <w:rPr>
          <w:w w:val="95"/>
        </w:rPr>
        <w:t>portion</w:t>
      </w:r>
      <w:r>
        <w:rPr>
          <w:spacing w:val="-8"/>
          <w:w w:val="95"/>
        </w:rPr>
        <w:t xml:space="preserve"> </w:t>
      </w:r>
      <w:r>
        <w:rPr>
          <w:w w:val="95"/>
        </w:rPr>
        <w:t>is</w:t>
      </w:r>
      <w:r>
        <w:rPr>
          <w:spacing w:val="-8"/>
          <w:w w:val="95"/>
        </w:rPr>
        <w:t xml:space="preserve"> </w:t>
      </w:r>
      <w:r>
        <w:rPr>
          <w:w w:val="95"/>
        </w:rPr>
        <w:t xml:space="preserve">return </w:t>
      </w:r>
      <w:r>
        <w:t>on</w:t>
      </w:r>
      <w:r>
        <w:rPr>
          <w:spacing w:val="-11"/>
        </w:rPr>
        <w:t xml:space="preserve"> </w:t>
      </w:r>
      <w:r>
        <w:t>RAB).</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414" w:space="40"/>
            <w:col w:w="4729" w:space="39"/>
            <w:col w:w="5838"/>
          </w:cols>
        </w:sectPr>
      </w:pPr>
    </w:p>
    <w:p w:rsidR="002C1123" w:rsidRDefault="00F22F94">
      <w:pPr>
        <w:spacing w:before="97" w:line="249" w:lineRule="auto"/>
        <w:ind w:left="555"/>
        <w:rPr>
          <w:b/>
          <w:sz w:val="18"/>
        </w:rPr>
      </w:pPr>
      <w:r>
        <w:rPr>
          <w:b/>
          <w:sz w:val="18"/>
        </w:rPr>
        <w:t>Figure</w:t>
      </w:r>
      <w:r>
        <w:rPr>
          <w:b/>
          <w:spacing w:val="-5"/>
          <w:sz w:val="18"/>
        </w:rPr>
        <w:t xml:space="preserve"> </w:t>
      </w:r>
      <w:r>
        <w:rPr>
          <w:b/>
          <w:sz w:val="18"/>
        </w:rPr>
        <w:t>11.4</w:t>
      </w:r>
      <w:r>
        <w:rPr>
          <w:b/>
          <w:spacing w:val="40"/>
          <w:sz w:val="18"/>
        </w:rPr>
        <w:t xml:space="preserve"> </w:t>
      </w:r>
      <w:r>
        <w:rPr>
          <w:b/>
          <w:sz w:val="18"/>
        </w:rPr>
        <w:t>Comparison</w:t>
      </w:r>
      <w:r>
        <w:rPr>
          <w:b/>
          <w:spacing w:val="-5"/>
          <w:sz w:val="18"/>
        </w:rPr>
        <w:t xml:space="preserve"> </w:t>
      </w:r>
      <w:r>
        <w:rPr>
          <w:b/>
          <w:sz w:val="18"/>
        </w:rPr>
        <w:t>of</w:t>
      </w:r>
      <w:r>
        <w:rPr>
          <w:b/>
          <w:spacing w:val="-5"/>
          <w:sz w:val="18"/>
        </w:rPr>
        <w:t xml:space="preserve"> </w:t>
      </w:r>
      <w:r>
        <w:rPr>
          <w:b/>
          <w:sz w:val="18"/>
        </w:rPr>
        <w:t>Network</w:t>
      </w:r>
      <w:r>
        <w:rPr>
          <w:b/>
          <w:spacing w:val="-5"/>
          <w:sz w:val="18"/>
        </w:rPr>
        <w:t xml:space="preserve"> </w:t>
      </w:r>
      <w:r>
        <w:rPr>
          <w:b/>
          <w:sz w:val="18"/>
        </w:rPr>
        <w:t>Prices from 2010/11 to 2013/14</w:t>
      </w:r>
    </w:p>
    <w:p w:rsidR="002C1123" w:rsidRDefault="00F22F94">
      <w:pPr>
        <w:spacing w:before="158"/>
        <w:ind w:left="809"/>
        <w:rPr>
          <w:sz w:val="16"/>
        </w:rPr>
      </w:pPr>
      <w:r>
        <w:rPr>
          <w:spacing w:val="-5"/>
          <w:w w:val="95"/>
          <w:sz w:val="16"/>
        </w:rPr>
        <w:t>18</w:t>
      </w:r>
    </w:p>
    <w:p w:rsidR="002C1123" w:rsidRDefault="002C1123">
      <w:pPr>
        <w:pStyle w:val="BodyText"/>
        <w:spacing w:before="1"/>
        <w:rPr>
          <w:sz w:val="15"/>
        </w:rPr>
      </w:pPr>
    </w:p>
    <w:p w:rsidR="002C1123" w:rsidRDefault="00F22F94">
      <w:pPr>
        <w:spacing w:before="1"/>
        <w:ind w:left="809"/>
        <w:rPr>
          <w:sz w:val="16"/>
        </w:rPr>
      </w:pPr>
      <w:r>
        <w:rPr>
          <w:spacing w:val="-5"/>
          <w:w w:val="95"/>
          <w:sz w:val="16"/>
        </w:rPr>
        <w:t>16</w:t>
      </w:r>
    </w:p>
    <w:p w:rsidR="002C1123" w:rsidRDefault="002C1123">
      <w:pPr>
        <w:pStyle w:val="BodyText"/>
        <w:spacing w:before="1"/>
        <w:rPr>
          <w:sz w:val="15"/>
        </w:rPr>
      </w:pPr>
    </w:p>
    <w:p w:rsidR="002C1123" w:rsidRDefault="00F22F94">
      <w:pPr>
        <w:ind w:left="809"/>
        <w:rPr>
          <w:sz w:val="16"/>
        </w:rPr>
      </w:pPr>
      <w:r>
        <w:rPr>
          <w:spacing w:val="-5"/>
          <w:w w:val="95"/>
          <w:sz w:val="16"/>
        </w:rPr>
        <w:t>14</w:t>
      </w:r>
    </w:p>
    <w:p w:rsidR="002C1123" w:rsidRDefault="002C1123">
      <w:pPr>
        <w:pStyle w:val="BodyText"/>
        <w:spacing w:before="2"/>
        <w:rPr>
          <w:sz w:val="15"/>
        </w:rPr>
      </w:pPr>
    </w:p>
    <w:p w:rsidR="002C1123" w:rsidRDefault="00F22F94">
      <w:pPr>
        <w:ind w:left="809"/>
        <w:rPr>
          <w:sz w:val="16"/>
        </w:rPr>
      </w:pPr>
      <w:r>
        <w:rPr>
          <w:spacing w:val="-5"/>
          <w:w w:val="95"/>
          <w:sz w:val="16"/>
        </w:rPr>
        <w:t>12</w:t>
      </w:r>
    </w:p>
    <w:p w:rsidR="002C1123" w:rsidRDefault="002C1123">
      <w:pPr>
        <w:pStyle w:val="BodyText"/>
        <w:spacing w:before="2"/>
        <w:rPr>
          <w:sz w:val="15"/>
        </w:rPr>
      </w:pPr>
    </w:p>
    <w:p w:rsidR="002C1123" w:rsidRDefault="002060EF">
      <w:pPr>
        <w:ind w:left="809"/>
        <w:rPr>
          <w:sz w:val="16"/>
        </w:rPr>
      </w:pPr>
      <w:r>
        <w:pict>
          <v:shape id="docshape2025" o:spid="_x0000_s2021" type="#_x0000_t202" style="position:absolute;left:0;text-align:left;margin-left:51pt;margin-top:3.9pt;width:11.05pt;height:20.1pt;z-index:251594752;mso-position-horizontal-relative:page" filled="f" stroked="f">
            <v:textbox style="layout-flow:vertical;mso-layout-flow-alt:bottom-to-top" inset="0,0,0,0">
              <w:txbxContent>
                <w:p w:rsidR="00F22F94" w:rsidRDefault="00F22F94">
                  <w:pPr>
                    <w:spacing w:before="18"/>
                    <w:ind w:left="20"/>
                    <w:rPr>
                      <w:sz w:val="16"/>
                    </w:rPr>
                  </w:pPr>
                  <w:r>
                    <w:rPr>
                      <w:spacing w:val="-2"/>
                      <w:w w:val="85"/>
                      <w:sz w:val="16"/>
                    </w:rPr>
                    <w:t>c/kWh</w:t>
                  </w:r>
                </w:p>
              </w:txbxContent>
            </v:textbox>
            <w10:wrap anchorx="page"/>
          </v:shape>
        </w:pict>
      </w:r>
      <w:r w:rsidR="00F22F94">
        <w:rPr>
          <w:spacing w:val="-5"/>
          <w:w w:val="95"/>
          <w:sz w:val="16"/>
        </w:rPr>
        <w:t>10</w:t>
      </w:r>
    </w:p>
    <w:p w:rsidR="002C1123" w:rsidRDefault="002C1123">
      <w:pPr>
        <w:pStyle w:val="BodyText"/>
        <w:spacing w:before="2"/>
        <w:rPr>
          <w:sz w:val="15"/>
        </w:rPr>
      </w:pPr>
    </w:p>
    <w:p w:rsidR="002C1123" w:rsidRDefault="00F22F94">
      <w:pPr>
        <w:ind w:left="886"/>
        <w:rPr>
          <w:sz w:val="16"/>
        </w:rPr>
      </w:pPr>
      <w:r>
        <w:rPr>
          <w:w w:val="86"/>
          <w:sz w:val="16"/>
        </w:rPr>
        <w:t>8</w:t>
      </w:r>
    </w:p>
    <w:p w:rsidR="002C1123" w:rsidRDefault="002C1123">
      <w:pPr>
        <w:pStyle w:val="BodyText"/>
        <w:spacing w:before="1"/>
        <w:rPr>
          <w:sz w:val="15"/>
        </w:rPr>
      </w:pPr>
    </w:p>
    <w:p w:rsidR="002C1123" w:rsidRDefault="00F22F94">
      <w:pPr>
        <w:spacing w:before="1"/>
        <w:ind w:left="886"/>
        <w:rPr>
          <w:sz w:val="16"/>
        </w:rPr>
      </w:pPr>
      <w:r>
        <w:rPr>
          <w:w w:val="86"/>
          <w:sz w:val="16"/>
        </w:rPr>
        <w:t>6</w:t>
      </w:r>
    </w:p>
    <w:p w:rsidR="002C1123" w:rsidRDefault="002C1123">
      <w:pPr>
        <w:pStyle w:val="BodyText"/>
        <w:spacing w:before="1"/>
        <w:rPr>
          <w:sz w:val="15"/>
        </w:rPr>
      </w:pPr>
    </w:p>
    <w:p w:rsidR="002C1123" w:rsidRDefault="00F22F94">
      <w:pPr>
        <w:ind w:left="886"/>
        <w:rPr>
          <w:sz w:val="16"/>
        </w:rPr>
      </w:pPr>
      <w:r>
        <w:rPr>
          <w:w w:val="86"/>
          <w:sz w:val="16"/>
        </w:rPr>
        <w:t>4</w:t>
      </w:r>
    </w:p>
    <w:p w:rsidR="002C1123" w:rsidRDefault="002C1123">
      <w:pPr>
        <w:pStyle w:val="BodyText"/>
        <w:spacing w:before="2"/>
        <w:rPr>
          <w:sz w:val="15"/>
        </w:rPr>
      </w:pPr>
    </w:p>
    <w:p w:rsidR="002C1123" w:rsidRDefault="00F22F94">
      <w:pPr>
        <w:ind w:left="886"/>
        <w:rPr>
          <w:sz w:val="16"/>
        </w:rPr>
      </w:pPr>
      <w:r>
        <w:rPr>
          <w:w w:val="86"/>
          <w:sz w:val="16"/>
        </w:rPr>
        <w:t>2</w:t>
      </w:r>
    </w:p>
    <w:p w:rsidR="002C1123" w:rsidRDefault="002C1123">
      <w:pPr>
        <w:pStyle w:val="BodyText"/>
        <w:spacing w:before="2"/>
        <w:rPr>
          <w:sz w:val="15"/>
        </w:rPr>
      </w:pPr>
    </w:p>
    <w:p w:rsidR="002C1123" w:rsidRDefault="002060EF">
      <w:pPr>
        <w:ind w:left="886"/>
        <w:rPr>
          <w:sz w:val="16"/>
        </w:rPr>
      </w:pPr>
      <w:r>
        <w:pict>
          <v:shape id="docshape2026" o:spid="_x0000_s2020" type="#_x0000_t202" style="position:absolute;left:0;text-align:left;margin-left:100.6pt;margin-top:11.5pt;width:11.05pt;height:27.3pt;z-index:251595776;mso-position-horizontal-relative:page" filled="f" stroked="f">
            <v:textbox style="layout-flow:vertical;mso-layout-flow-alt:bottom-to-top" inset="0,0,0,0">
              <w:txbxContent>
                <w:p w:rsidR="00F22F94" w:rsidRDefault="00F22F94">
                  <w:pPr>
                    <w:spacing w:before="18"/>
                    <w:ind w:left="20"/>
                    <w:rPr>
                      <w:sz w:val="16"/>
                    </w:rPr>
                  </w:pPr>
                  <w:r>
                    <w:rPr>
                      <w:spacing w:val="-2"/>
                      <w:w w:val="90"/>
                      <w:sz w:val="16"/>
                    </w:rPr>
                    <w:t>2010/11</w:t>
                  </w:r>
                </w:p>
              </w:txbxContent>
            </v:textbox>
            <w10:wrap anchorx="page"/>
          </v:shape>
        </w:pict>
      </w:r>
      <w:r>
        <w:pict>
          <v:shape id="docshape2027" o:spid="_x0000_s2019" type="#_x0000_t202" style="position:absolute;left:0;text-align:left;margin-left:120.1pt;margin-top:11.5pt;width:11.05pt;height:27.3pt;z-index:251596800;mso-position-horizontal-relative:page" filled="f" stroked="f">
            <v:textbox style="layout-flow:vertical;mso-layout-flow-alt:bottom-to-top" inset="0,0,0,0">
              <w:txbxContent>
                <w:p w:rsidR="00F22F94" w:rsidRDefault="00F22F94">
                  <w:pPr>
                    <w:spacing w:before="18"/>
                    <w:ind w:left="20"/>
                    <w:rPr>
                      <w:sz w:val="16"/>
                    </w:rPr>
                  </w:pPr>
                  <w:r>
                    <w:rPr>
                      <w:spacing w:val="-2"/>
                      <w:w w:val="90"/>
                      <w:sz w:val="16"/>
                    </w:rPr>
                    <w:t>2011/12</w:t>
                  </w:r>
                </w:p>
              </w:txbxContent>
            </v:textbox>
            <w10:wrap anchorx="page"/>
          </v:shape>
        </w:pict>
      </w:r>
      <w:r>
        <w:pict>
          <v:shape id="docshape2028" o:spid="_x0000_s2018" type="#_x0000_t202" style="position:absolute;left:0;text-align:left;margin-left:139pt;margin-top:11.5pt;width:11.05pt;height:27.3pt;z-index:251597824;mso-position-horizontal-relative:page" filled="f" stroked="f">
            <v:textbox style="layout-flow:vertical;mso-layout-flow-alt:bottom-to-top" inset="0,0,0,0">
              <w:txbxContent>
                <w:p w:rsidR="00F22F94" w:rsidRDefault="00F22F94">
                  <w:pPr>
                    <w:spacing w:before="18"/>
                    <w:ind w:left="20"/>
                    <w:rPr>
                      <w:sz w:val="16"/>
                    </w:rPr>
                  </w:pPr>
                  <w:r>
                    <w:rPr>
                      <w:spacing w:val="-2"/>
                      <w:w w:val="90"/>
                      <w:sz w:val="16"/>
                    </w:rPr>
                    <w:t>2012/13</w:t>
                  </w:r>
                </w:p>
              </w:txbxContent>
            </v:textbox>
            <w10:wrap anchorx="page"/>
          </v:shape>
        </w:pict>
      </w:r>
      <w:r>
        <w:pict>
          <v:shape id="docshape2029" o:spid="_x0000_s2017" type="#_x0000_t202" style="position:absolute;left:0;text-align:left;margin-left:157.45pt;margin-top:11.5pt;width:11.05pt;height:27.3pt;z-index:251598848;mso-position-horizontal-relative:page" filled="f" stroked="f">
            <v:textbox style="layout-flow:vertical;mso-layout-flow-alt:bottom-to-top" inset="0,0,0,0">
              <w:txbxContent>
                <w:p w:rsidR="00F22F94" w:rsidRDefault="00F22F94">
                  <w:pPr>
                    <w:spacing w:before="18"/>
                    <w:ind w:left="20"/>
                    <w:rPr>
                      <w:sz w:val="16"/>
                    </w:rPr>
                  </w:pPr>
                  <w:r>
                    <w:rPr>
                      <w:spacing w:val="-2"/>
                      <w:w w:val="90"/>
                      <w:sz w:val="16"/>
                    </w:rPr>
                    <w:t>2013/14</w:t>
                  </w:r>
                </w:p>
              </w:txbxContent>
            </v:textbox>
            <w10:wrap anchorx="page"/>
          </v:shape>
        </w:pict>
      </w:r>
      <w:r>
        <w:pict>
          <v:shape id="docshape2030" o:spid="_x0000_s2016" type="#_x0000_t202" style="position:absolute;left:0;text-align:left;margin-left:195.3pt;margin-top:11.5pt;width:11.05pt;height:27.3pt;z-index:251599872;mso-position-horizontal-relative:page" filled="f" stroked="f">
            <v:textbox style="layout-flow:vertical;mso-layout-flow-alt:bottom-to-top" inset="0,0,0,0">
              <w:txbxContent>
                <w:p w:rsidR="00F22F94" w:rsidRDefault="00F22F94">
                  <w:pPr>
                    <w:spacing w:before="18"/>
                    <w:ind w:left="20"/>
                    <w:rPr>
                      <w:sz w:val="16"/>
                    </w:rPr>
                  </w:pPr>
                  <w:r>
                    <w:rPr>
                      <w:spacing w:val="-2"/>
                      <w:w w:val="90"/>
                      <w:sz w:val="16"/>
                    </w:rPr>
                    <w:t>2010/11</w:t>
                  </w:r>
                </w:p>
              </w:txbxContent>
            </v:textbox>
            <w10:wrap anchorx="page"/>
          </v:shape>
        </w:pict>
      </w:r>
      <w:r>
        <w:pict>
          <v:shape id="docshape2031" o:spid="_x0000_s2015" type="#_x0000_t202" style="position:absolute;left:0;text-align:left;margin-left:214.8pt;margin-top:11.5pt;width:11.05pt;height:27.3pt;z-index:251600896;mso-position-horizontal-relative:page" filled="f" stroked="f">
            <v:textbox style="layout-flow:vertical;mso-layout-flow-alt:bottom-to-top" inset="0,0,0,0">
              <w:txbxContent>
                <w:p w:rsidR="00F22F94" w:rsidRDefault="00F22F94">
                  <w:pPr>
                    <w:spacing w:before="18"/>
                    <w:ind w:left="20"/>
                    <w:rPr>
                      <w:sz w:val="16"/>
                    </w:rPr>
                  </w:pPr>
                  <w:r>
                    <w:rPr>
                      <w:spacing w:val="-2"/>
                      <w:w w:val="90"/>
                      <w:sz w:val="16"/>
                    </w:rPr>
                    <w:t>2011/12</w:t>
                  </w:r>
                </w:p>
              </w:txbxContent>
            </v:textbox>
            <w10:wrap anchorx="page"/>
          </v:shape>
        </w:pict>
      </w:r>
      <w:r>
        <w:pict>
          <v:shape id="docshape2032" o:spid="_x0000_s2014" type="#_x0000_t202" style="position:absolute;left:0;text-align:left;margin-left:233.7pt;margin-top:11.5pt;width:11.05pt;height:27.3pt;z-index:251601920;mso-position-horizontal-relative:page" filled="f" stroked="f">
            <v:textbox style="layout-flow:vertical;mso-layout-flow-alt:bottom-to-top" inset="0,0,0,0">
              <w:txbxContent>
                <w:p w:rsidR="00F22F94" w:rsidRDefault="00F22F94">
                  <w:pPr>
                    <w:spacing w:before="18"/>
                    <w:ind w:left="20"/>
                    <w:rPr>
                      <w:sz w:val="16"/>
                    </w:rPr>
                  </w:pPr>
                  <w:r>
                    <w:rPr>
                      <w:spacing w:val="-2"/>
                      <w:w w:val="90"/>
                      <w:sz w:val="16"/>
                    </w:rPr>
                    <w:t>2012/13</w:t>
                  </w:r>
                </w:p>
              </w:txbxContent>
            </v:textbox>
            <w10:wrap anchorx="page"/>
          </v:shape>
        </w:pict>
      </w:r>
      <w:r w:rsidR="00F22F94">
        <w:rPr>
          <w:w w:val="86"/>
          <w:sz w:val="16"/>
        </w:rPr>
        <w:t>0</w:t>
      </w:r>
    </w:p>
    <w:p w:rsidR="002C1123" w:rsidRDefault="002C1123">
      <w:pPr>
        <w:pStyle w:val="BodyText"/>
        <w:rPr>
          <w:sz w:val="18"/>
        </w:rPr>
      </w:pPr>
    </w:p>
    <w:p w:rsidR="002C1123" w:rsidRDefault="002C1123">
      <w:pPr>
        <w:pStyle w:val="BodyText"/>
        <w:rPr>
          <w:sz w:val="18"/>
        </w:rPr>
      </w:pPr>
    </w:p>
    <w:p w:rsidR="002C1123" w:rsidRDefault="002C1123">
      <w:pPr>
        <w:pStyle w:val="BodyText"/>
        <w:spacing w:before="6"/>
        <w:rPr>
          <w:sz w:val="24"/>
        </w:rPr>
      </w:pPr>
    </w:p>
    <w:p w:rsidR="002C1123" w:rsidRDefault="00F22F94">
      <w:pPr>
        <w:tabs>
          <w:tab w:val="left" w:pos="3984"/>
        </w:tabs>
        <w:ind w:left="1903"/>
        <w:rPr>
          <w:sz w:val="16"/>
        </w:rPr>
      </w:pPr>
      <w:r>
        <w:rPr>
          <w:spacing w:val="-2"/>
          <w:w w:val="85"/>
          <w:sz w:val="16"/>
        </w:rPr>
        <w:t>National</w:t>
      </w:r>
      <w:r>
        <w:rPr>
          <w:sz w:val="16"/>
        </w:rPr>
        <w:tab/>
      </w:r>
      <w:r>
        <w:rPr>
          <w:spacing w:val="-5"/>
          <w:w w:val="85"/>
          <w:sz w:val="16"/>
        </w:rPr>
        <w:t>NSW</w:t>
      </w:r>
    </w:p>
    <w:p w:rsidR="002C1123" w:rsidRDefault="00F22F94">
      <w:pPr>
        <w:spacing w:before="12"/>
        <w:ind w:left="555"/>
        <w:rPr>
          <w:b/>
          <w:sz w:val="18"/>
        </w:rPr>
      </w:pPr>
      <w:r>
        <w:br w:type="column"/>
      </w:r>
      <w:r>
        <w:rPr>
          <w:b/>
          <w:sz w:val="18"/>
        </w:rPr>
        <w:t>Figure</w:t>
      </w:r>
      <w:r>
        <w:rPr>
          <w:b/>
          <w:spacing w:val="-9"/>
          <w:sz w:val="18"/>
        </w:rPr>
        <w:t xml:space="preserve"> </w:t>
      </w:r>
      <w:r>
        <w:rPr>
          <w:b/>
          <w:sz w:val="18"/>
        </w:rPr>
        <w:t>11.5</w:t>
      </w:r>
      <w:r>
        <w:rPr>
          <w:b/>
          <w:spacing w:val="32"/>
          <w:sz w:val="18"/>
        </w:rPr>
        <w:t xml:space="preserve"> </w:t>
      </w:r>
      <w:r>
        <w:rPr>
          <w:b/>
          <w:sz w:val="18"/>
        </w:rPr>
        <w:t>Distribution</w:t>
      </w:r>
      <w:r>
        <w:rPr>
          <w:b/>
          <w:spacing w:val="-8"/>
          <w:sz w:val="18"/>
        </w:rPr>
        <w:t xml:space="preserve"> </w:t>
      </w:r>
      <w:r>
        <w:rPr>
          <w:b/>
          <w:sz w:val="18"/>
        </w:rPr>
        <w:t>Businesses’</w:t>
      </w:r>
      <w:r>
        <w:rPr>
          <w:b/>
          <w:spacing w:val="-9"/>
          <w:sz w:val="18"/>
        </w:rPr>
        <w:t xml:space="preserve"> </w:t>
      </w:r>
      <w:r>
        <w:rPr>
          <w:b/>
          <w:sz w:val="18"/>
        </w:rPr>
        <w:t>Planned</w:t>
      </w:r>
      <w:r>
        <w:rPr>
          <w:b/>
          <w:spacing w:val="-9"/>
          <w:sz w:val="18"/>
        </w:rPr>
        <w:t xml:space="preserve"> </w:t>
      </w:r>
      <w:r>
        <w:rPr>
          <w:b/>
          <w:sz w:val="18"/>
        </w:rPr>
        <w:t>Investment</w:t>
      </w:r>
      <w:r>
        <w:rPr>
          <w:b/>
          <w:spacing w:val="-8"/>
          <w:sz w:val="18"/>
        </w:rPr>
        <w:t xml:space="preserve"> </w:t>
      </w:r>
      <w:r>
        <w:rPr>
          <w:b/>
          <w:sz w:val="18"/>
        </w:rPr>
        <w:t>in</w:t>
      </w:r>
      <w:r>
        <w:rPr>
          <w:b/>
          <w:spacing w:val="-9"/>
          <w:sz w:val="18"/>
        </w:rPr>
        <w:t xml:space="preserve"> </w:t>
      </w:r>
      <w:r>
        <w:rPr>
          <w:b/>
          <w:sz w:val="18"/>
        </w:rPr>
        <w:t>Electricity</w:t>
      </w:r>
      <w:r>
        <w:rPr>
          <w:b/>
          <w:spacing w:val="-9"/>
          <w:sz w:val="18"/>
        </w:rPr>
        <w:t xml:space="preserve"> </w:t>
      </w:r>
      <w:r>
        <w:rPr>
          <w:b/>
          <w:sz w:val="18"/>
        </w:rPr>
        <w:t>2008-</w:t>
      </w:r>
      <w:r>
        <w:rPr>
          <w:b/>
          <w:spacing w:val="-5"/>
          <w:sz w:val="18"/>
        </w:rPr>
        <w:t>21</w:t>
      </w:r>
    </w:p>
    <w:p w:rsidR="002C1123" w:rsidRDefault="002C1123">
      <w:pPr>
        <w:pStyle w:val="BodyText"/>
        <w:rPr>
          <w:b/>
        </w:rPr>
      </w:pPr>
    </w:p>
    <w:p w:rsidR="002C1123" w:rsidRDefault="002060EF">
      <w:pPr>
        <w:ind w:right="9912"/>
        <w:jc w:val="right"/>
        <w:rPr>
          <w:sz w:val="16"/>
        </w:rPr>
      </w:pPr>
      <w:r>
        <w:pict>
          <v:rect id="docshape2033" o:spid="_x0000_s2013" style="position:absolute;left:0;text-align:left;margin-left:339.25pt;margin-top:5pt;width:449pt;height:.35pt;z-index:251593728;mso-position-horizontal-relative:page" fillcolor="#b2b1b3" stroked="f">
            <w10:wrap anchorx="page"/>
          </v:rect>
        </w:pict>
      </w:r>
      <w:r w:rsidR="00F22F94">
        <w:rPr>
          <w:spacing w:val="-2"/>
          <w:w w:val="95"/>
          <w:sz w:val="16"/>
        </w:rPr>
        <w:t>5,000</w:t>
      </w:r>
    </w:p>
    <w:p w:rsidR="002C1123" w:rsidRDefault="002060EF">
      <w:pPr>
        <w:spacing w:before="96"/>
        <w:ind w:right="9912"/>
        <w:jc w:val="right"/>
        <w:rPr>
          <w:sz w:val="16"/>
        </w:rPr>
      </w:pPr>
      <w:r>
        <w:pict>
          <v:rect id="docshape2034" o:spid="_x0000_s2012" style="position:absolute;left:0;text-align:left;margin-left:80.45pt;margin-top:6.9pt;width:209.2pt;height:.4pt;z-index:251588608;mso-position-horizontal-relative:page" fillcolor="#b2b1b3" stroked="f">
            <w10:wrap anchorx="page"/>
          </v:rect>
        </w:pict>
      </w:r>
      <w:r>
        <w:pict>
          <v:group id="docshapegroup2035" o:spid="_x0000_s1924" style="position:absolute;left:0;text-align:left;margin-left:339.25pt;margin-top:14.15pt;width:449pt;height:121.65pt;z-index:251591680;mso-position-horizontal-relative:page" coordorigin="6785,283" coordsize="8980,2433">
            <v:shape id="docshape2036" o:spid="_x0000_s2011" style="position:absolute;left:6785;top:1588;width:791;height:844" coordorigin="6785,1589" coordsize="791,844" o:spt="100" adj="0,,0" path="m6925,2425r-140,l6785,2433r140,l6925,2425xm6925,2146r-140,l6785,2154r140,l6925,2146xm6925,1868r-140,l6785,1875r140,l6925,1868xm6925,1589r-140,l6785,1596r140,l6925,1589xm7576,2425r-367,l7209,2433r367,l7576,2425xm7576,2146r-367,l7209,2154r367,l7576,2146xm7576,1868r-367,l7209,1875r367,l7576,1868xm7576,1589r-367,l7209,1596r367,l7576,1589xe" fillcolor="#b2b1b3" stroked="f">
              <v:stroke joinstyle="round"/>
              <v:formulas/>
              <v:path arrowok="t" o:connecttype="segments"/>
            </v:shape>
            <v:rect id="docshape2037" o:spid="_x0000_s2010" style="position:absolute;left:6925;top:1478;width:284;height:182" fillcolor="#abe1fa" stroked="f"/>
            <v:shape id="docshape2038" o:spid="_x0000_s2009" style="position:absolute;left:6785;top:1031;width:2093;height:287" coordorigin="6785,1031" coordsize="2093,287" o:spt="100" adj="0,,0" path="m7576,1310r-791,l6785,1317r791,l7576,1310xm8229,1310r-369,l7860,1317r369,l8229,1310xm8878,1031r-2093,l6785,1039r2093,l8878,1031xe" fillcolor="#b2b1b3" stroked="f">
              <v:stroke joinstyle="round"/>
              <v:formulas/>
              <v:path arrowok="t" o:connecttype="segments"/>
            </v:shape>
            <v:rect id="docshape2039" o:spid="_x0000_s2008" style="position:absolute;left:7576;top:1086;width:284;height:325" fillcolor="#abe1fa" stroked="f"/>
            <v:rect id="docshape2040" o:spid="_x0000_s2007" style="position:absolute;left:8512;top:1310;width:366;height:8" fillcolor="#b2b1b3" stroked="f"/>
            <v:rect id="docshape2041" o:spid="_x0000_s2006" style="position:absolute;left:8229;top:1106;width:284;height:227" fillcolor="#abe1fa" stroked="f"/>
            <v:rect id="docshape2042" o:spid="_x0000_s2005" style="position:absolute;left:9161;top:1031;width:377;height:8" fillcolor="#b2b1b3" stroked="f"/>
            <v:rect id="docshape2043" o:spid="_x0000_s2004" style="position:absolute;left:8878;top:929;width:284;height:204" fillcolor="#abe1fa" stroked="f"/>
            <v:rect id="docshape2044" o:spid="_x0000_s2003" style="position:absolute;left:6925;top:1660;width:284;height:309" fillcolor="#8781bd" stroked="f"/>
            <v:rect id="docshape2045" o:spid="_x0000_s2002" style="position:absolute;left:7859;top:1588;width:370;height:8" fillcolor="#b2b1b3" stroked="f"/>
            <v:rect id="docshape2046" o:spid="_x0000_s2001" style="position:absolute;left:7576;top:1410;width:284;height:331" fillcolor="#8781bd" stroked="f"/>
            <v:shape id="docshape2047" o:spid="_x0000_s2000" style="position:absolute;left:8512;top:1588;width:366;height:8" coordorigin="8513,1589" coordsize="366,8" path="m8878,1589r-365,l8513,1589r,7l8878,1596r,-7l8878,1589xe" fillcolor="#b2b1b3" stroked="f">
              <v:path arrowok="t"/>
            </v:shape>
            <v:rect id="docshape2048" o:spid="_x0000_s1999" style="position:absolute;left:8229;top:1333;width:284;height:413" fillcolor="#8781bd" stroked="f"/>
            <v:shape id="docshape2049" o:spid="_x0000_s1998" style="position:absolute;left:6785;top:473;width:7301;height:1123" coordorigin="6785,474" coordsize="7301,1123" o:spt="100" adj="0,,0" path="m9539,1589r-377,l9162,1589r,7l9539,1596r,-7l9539,1589xm9539,1310r-377,l9162,1317r377,l9539,1310xm9539,752r-2754,l6785,760r2754,l9539,752xm10180,752r-358,l9822,760r358,l10180,752xm10180,474r-3395,l6785,481r3395,l10180,474xm13435,1031r-367,l13068,1039r367,l13435,1031xm14086,1031r-367,l13719,1039r367,l14086,1031xe" fillcolor="#b2b1b3" stroked="f">
              <v:stroke joinstyle="round"/>
              <v:formulas/>
              <v:path arrowok="t" o:connecttype="segments"/>
            </v:shape>
            <v:rect id="docshape2050" o:spid="_x0000_s1997" style="position:absolute;left:9538;top:540;width:284;height:283" fillcolor="#abe1fa" stroked="f"/>
            <v:shape id="docshape2051" o:spid="_x0000_s1996" style="position:absolute;left:10463;top:473;width:368;height:287" coordorigin="10464,474" coordsize="368,287" o:spt="100" adj="0,,0" path="m10831,752r-367,l10464,760r367,l10831,752xm10831,474r-367,l10464,481r367,l10831,474xe" fillcolor="#b2b1b3" stroked="f">
              <v:stroke joinstyle="round"/>
              <v:formulas/>
              <v:path arrowok="t" o:connecttype="segments"/>
            </v:shape>
            <v:rect id="docshape2052" o:spid="_x0000_s1995" style="position:absolute;left:10180;top:372;width:284;height:389" fillcolor="#abe1fa" stroked="f"/>
            <v:shape id="docshape2053" o:spid="_x0000_s1994" style="position:absolute;left:11114;top:473;width:368;height:287" coordorigin="11115,474" coordsize="368,287" o:spt="100" adj="0,,0" path="m11482,752r-367,l11115,760r367,l11482,752xm11482,474r-367,l11115,481r367,l11482,474xe" fillcolor="#b2b1b3" stroked="f">
              <v:stroke joinstyle="round"/>
              <v:formulas/>
              <v:path arrowok="t" o:connecttype="segments"/>
            </v:shape>
            <v:rect id="docshape2054" o:spid="_x0000_s1993" style="position:absolute;left:10831;top:418;width:284;height:392" fillcolor="#abe1fa" stroked="f"/>
            <v:shape id="docshape2055" o:spid="_x0000_s1992" style="position:absolute;left:11765;top:473;width:368;height:287" coordorigin="11766,474" coordsize="368,287" o:spt="100" adj="0,,0" path="m12133,752r-367,l11766,760r367,l12133,752xm12133,474r-367,l11766,481r367,l12133,474xe" fillcolor="#b2b1b3" stroked="f">
              <v:stroke joinstyle="round"/>
              <v:formulas/>
              <v:path arrowok="t" o:connecttype="segments"/>
            </v:shape>
            <v:rect id="docshape2056" o:spid="_x0000_s1991" style="position:absolute;left:11482;top:378;width:284;height:489" fillcolor="#abe1fa" stroked="f"/>
            <v:shape id="docshape2057" o:spid="_x0000_s1990" style="position:absolute;left:12416;top:473;width:368;height:287" coordorigin="12417,474" coordsize="368,287" o:spt="100" adj="0,,0" path="m12784,752r-367,l12417,760r367,l12784,752xm12784,474r-367,l12417,481r367,l12784,474xe" fillcolor="#b2b1b3" stroked="f">
              <v:stroke joinstyle="round"/>
              <v:formulas/>
              <v:path arrowok="t" o:connecttype="segments"/>
            </v:shape>
            <v:rect id="docshape2058" o:spid="_x0000_s1989" style="position:absolute;left:12133;top:282;width:284;height:433" fillcolor="#abe1fa" stroked="f"/>
            <v:shape id="docshape2059" o:spid="_x0000_s1988" style="position:absolute;left:13067;top:473;width:2698;height:287" coordorigin="13068,474" coordsize="2698,287" o:spt="100" adj="0,,0" path="m13435,752r-367,l13068,760r367,l13435,752xm15765,474r-2697,l13068,481r2697,l15765,474xe" fillcolor="#b2b1b3" stroked="f">
              <v:stroke joinstyle="round"/>
              <v:formulas/>
              <v:path arrowok="t" o:connecttype="segments"/>
            </v:shape>
            <v:rect id="docshape2060" o:spid="_x0000_s1987" style="position:absolute;left:12784;top:392;width:284;height:524" fillcolor="#abe1fa" stroked="f"/>
            <v:rect id="docshape2061" o:spid="_x0000_s1986" style="position:absolute;left:13718;top:752;width:1019;height:8" fillcolor="#b2b1b3" stroked="f"/>
            <v:rect id="docshape2062" o:spid="_x0000_s1985" style="position:absolute;left:13435;top:686;width:284;height:316" fillcolor="#abe1fa" stroked="f"/>
            <v:rect id="docshape2063" o:spid="_x0000_s1984" style="position:absolute;left:14369;top:1031;width:368;height:8" fillcolor="#b2b1b3" stroked="f"/>
            <v:rect id="docshape2064" o:spid="_x0000_s1983" style="position:absolute;left:14086;top:902;width:284;height:270" fillcolor="#abe1fa" stroked="f"/>
            <v:shape id="docshape2065" o:spid="_x0000_s1982" style="position:absolute;left:15020;top:752;width:368;height:287" coordorigin="15021,752" coordsize="368,287" o:spt="100" adj="0,,0" path="m15388,1031r-367,l15021,1039r367,l15388,1031xm15388,752r-367,l15021,760r367,l15388,752xe" fillcolor="#b2b1b3" stroked="f">
              <v:stroke joinstyle="round"/>
              <v:formulas/>
              <v:path arrowok="t" o:connecttype="segments"/>
            </v:shape>
            <v:rect id="docshape2066" o:spid="_x0000_s1981" style="position:absolute;left:14737;top:732;width:284;height:419" fillcolor="#abe1fa" stroked="f"/>
            <v:shape id="docshape2067" o:spid="_x0000_s1980" style="position:absolute;left:15671;top:752;width:94;height:287" coordorigin="15671,752" coordsize="94,287" o:spt="100" adj="0,,0" path="m15765,1031r-94,l15671,1039r94,l15765,1031xm15765,752r-94,l15671,760r94,l15765,752xe" fillcolor="#b2b1b3" stroked="f">
              <v:stroke joinstyle="round"/>
              <v:formulas/>
              <v:path arrowok="t" o:connecttype="segments"/>
            </v:shape>
            <v:rect id="docshape2068" o:spid="_x0000_s1979" style="position:absolute;left:15388;top:685;width:284;height:429" fillcolor="#abe1fa" stroked="f"/>
            <v:rect id="docshape2069" o:spid="_x0000_s1978" style="position:absolute;left:8878;top:1133;width:284;height:417" fillcolor="#8781bd" stroked="f"/>
            <v:shape id="docshape2070" o:spid="_x0000_s1977" style="position:absolute;left:9821;top:1031;width:1010;height:287" coordorigin="9822,1031" coordsize="1010,287" o:spt="100" adj="0,,0" path="m10180,1031r-358,l9822,1039r358,l10180,1031xm10831,1310r-1009,l9822,1317r,l10180,1317r,l10464,1317r,l10831,1317r,l10831,1310xe" fillcolor="#b2b1b3" stroked="f">
              <v:stroke joinstyle="round"/>
              <v:formulas/>
              <v:path arrowok="t" o:connecttype="segments"/>
            </v:shape>
            <v:rect id="docshape2071" o:spid="_x0000_s1976" style="position:absolute;left:9538;top:823;width:284;height:515" fillcolor="#8781bd" stroked="f"/>
            <v:rect id="docshape2072" o:spid="_x0000_s1975" style="position:absolute;left:10463;top:1031;width:368;height:8" fillcolor="#b2b1b3" stroked="f"/>
            <v:rect id="docshape2073" o:spid="_x0000_s1974" style="position:absolute;left:10180;top:760;width:284;height:556" fillcolor="#8781bd" stroked="f"/>
            <v:shape id="docshape2074" o:spid="_x0000_s1973" style="position:absolute;left:11114;top:1031;width:368;height:287" coordorigin="11115,1031" coordsize="368,287" o:spt="100" adj="0,,0" path="m11482,1310r-367,l11115,1317r,l11482,1317r,l11482,1310xm11482,1031r-367,l11115,1039r367,l11482,1031xe" fillcolor="#b2b1b3" stroked="f">
              <v:stroke joinstyle="round"/>
              <v:formulas/>
              <v:path arrowok="t" o:connecttype="segments"/>
            </v:shape>
            <v:rect id="docshape2075" o:spid="_x0000_s1972" style="position:absolute;left:10831;top:809;width:284;height:569" fillcolor="#8781bd" stroked="f"/>
            <v:shape id="docshape2076" o:spid="_x0000_s1971" style="position:absolute;left:11765;top:1031;width:368;height:287" coordorigin="11766,1031" coordsize="368,287" o:spt="100" adj="0,,0" path="m12133,1310r-367,l11766,1317r,l12133,1317r,l12133,1310xm12133,1031r-367,l11766,1039r367,l12133,1031xe" fillcolor="#b2b1b3" stroked="f">
              <v:stroke joinstyle="round"/>
              <v:formulas/>
              <v:path arrowok="t" o:connecttype="segments"/>
            </v:shape>
            <v:rect id="docshape2077" o:spid="_x0000_s1970" style="position:absolute;left:11482;top:866;width:284;height:575" fillcolor="#8781bd" stroked="f"/>
            <v:shape id="docshape2078" o:spid="_x0000_s1969" style="position:absolute;left:12416;top:1031;width:368;height:287" coordorigin="12417,1031" coordsize="368,287" o:spt="100" adj="0,,0" path="m12784,1310r-367,l12417,1317r,l12784,1317r,l12784,1310xm12784,1031r-367,l12417,1039r367,l12784,1031xe" fillcolor="#b2b1b3" stroked="f">
              <v:stroke joinstyle="round"/>
              <v:formulas/>
              <v:path arrowok="t" o:connecttype="segments"/>
            </v:shape>
            <v:rect id="docshape2079" o:spid="_x0000_s1968" style="position:absolute;left:12133;top:715;width:284;height:589" fillcolor="#8781bd" stroked="f"/>
            <v:shape id="docshape2080" o:spid="_x0000_s1967" style="position:absolute;left:13067;top:1310;width:368;height:8" coordorigin="13068,1310" coordsize="368,8" path="m13435,1310r-367,l13068,1317r,l13435,1317r,l13435,1310xe" fillcolor="#b2b1b3" stroked="f">
              <v:path arrowok="t"/>
            </v:shape>
            <v:rect id="docshape2081" o:spid="_x0000_s1966" style="position:absolute;left:12784;top:915;width:284;height:574" fillcolor="#8781bd" stroked="f"/>
            <v:shape id="docshape2082" o:spid="_x0000_s1965" style="position:absolute;left:13067;top:1310;width:1019;height:287" coordorigin="13068,1310" coordsize="1019,287" o:spt="100" adj="0,,0" path="m14086,1589r-1018,l13068,1589r,7l13435,1596r,-7l13719,1589r,7l14086,1596r,-7l14086,1589xm14086,1310r-367,l13719,1317r,l14086,1317r,l14086,1310xe" fillcolor="#b2b1b3" stroked="f">
              <v:stroke joinstyle="round"/>
              <v:formulas/>
              <v:path arrowok="t" o:connecttype="segments"/>
            </v:shape>
            <v:rect id="docshape2083" o:spid="_x0000_s1964" style="position:absolute;left:13435;top:1002;width:284;height:588" fillcolor="#8781bd" stroked="f"/>
            <v:shape id="docshape2084" o:spid="_x0000_s1963" style="position:absolute;left:14369;top:1310;width:368;height:287" coordorigin="14370,1310" coordsize="368,287" o:spt="100" adj="0,,0" path="m14737,1589r-367,l14370,1589r,7l14737,1596r,-7l14737,1589xm14737,1310r-367,l14370,1317r,l14737,1317r,l14737,1310xe" fillcolor="#b2b1b3" stroked="f">
              <v:stroke joinstyle="round"/>
              <v:formulas/>
              <v:path arrowok="t" o:connecttype="segments"/>
            </v:shape>
            <v:rect id="docshape2085" o:spid="_x0000_s1962" style="position:absolute;left:14086;top:1172;width:284;height:602" fillcolor="#8781bd" stroked="f"/>
            <v:shape id="docshape2086" o:spid="_x0000_s1961" style="position:absolute;left:15020;top:1310;width:368;height:287" coordorigin="15021,1310" coordsize="368,287" o:spt="100" adj="0,,0" path="m15388,1589r-367,l15021,1589r,7l15388,1596r,-7l15388,1589xm15388,1310r-367,l15021,1317r,l15388,1317r,l15388,1310xe" fillcolor="#b2b1b3" stroked="f">
              <v:stroke joinstyle="round"/>
              <v:formulas/>
              <v:path arrowok="t" o:connecttype="segments"/>
            </v:shape>
            <v:rect id="docshape2087" o:spid="_x0000_s1960" style="position:absolute;left:14737;top:1151;width:284;height:617" fillcolor="#8781bd" stroked="f"/>
            <v:shape id="docshape2088" o:spid="_x0000_s1959" style="position:absolute;left:15671;top:1310;width:94;height:287" coordorigin="15671,1310" coordsize="94,287" o:spt="100" adj="0,,0" path="m15765,1589r-94,l15671,1589r,7l15765,1596r,-7l15765,1589xm15765,1310r-94,l15671,1317r,l15765,1317r,l15765,1310xe" fillcolor="#b2b1b3" stroked="f">
              <v:stroke joinstyle="round"/>
              <v:formulas/>
              <v:path arrowok="t" o:connecttype="segments"/>
            </v:shape>
            <v:rect id="docshape2089" o:spid="_x0000_s1958" style="position:absolute;left:15388;top:1114;width:284;height:633" fillcolor="#8781bd" stroked="f"/>
            <v:rect id="docshape2090" o:spid="_x0000_s1957" style="position:absolute;left:6925;top:1968;width:284;height:531" fillcolor="#00aeef" stroked="f"/>
            <v:shape id="docshape2091" o:spid="_x0000_s1956" style="position:absolute;left:7859;top:1867;width:370;height:565" coordorigin="7860,1868" coordsize="370,565" o:spt="100" adj="0,,0" path="m8229,2425r-369,l7860,2433r369,l8229,2425xm8229,2146r-369,l7860,2154r369,l8229,2146xm8229,1868r-369,l7860,1875r369,l8229,1868xe" fillcolor="#b2b1b3" stroked="f">
              <v:stroke joinstyle="round"/>
              <v:formulas/>
              <v:path arrowok="t" o:connecttype="segments"/>
            </v:shape>
            <v:rect id="docshape2092" o:spid="_x0000_s1955" style="position:absolute;left:7576;top:1741;width:284;height:720" fillcolor="#00aeef" stroked="f"/>
            <v:shape id="docshape2093" o:spid="_x0000_s1954" style="position:absolute;left:8512;top:1867;width:1026;height:565" coordorigin="8513,1868" coordsize="1026,565" o:spt="100" adj="0,,0" path="m8878,2146r-365,l8513,2154r365,l8878,2146xm8878,1868r-365,l8513,1875r365,l8878,1868xm9539,2425r-1026,l8513,2429r,4l8878,2433r,-4l9162,2429r,4l9539,2433r,-4l9539,2425xe" fillcolor="#b2b1b3" stroked="f">
              <v:stroke joinstyle="round"/>
              <v:formulas/>
              <v:path arrowok="t" o:connecttype="segments"/>
            </v:shape>
            <v:rect id="docshape2094" o:spid="_x0000_s1953" style="position:absolute;left:8229;top:1745;width:284;height:735" fillcolor="#00aeef" stroked="f"/>
            <v:shape id="docshape2095" o:spid="_x0000_s1952" style="position:absolute;left:9161;top:1867;width:377;height:287" coordorigin="9162,1868" coordsize="377,287" o:spt="100" adj="0,,0" path="m9539,2146r-377,l9162,2154r377,l9539,2146xm9539,1868r-377,l9162,1875r377,l9539,1868xe" fillcolor="#b2b1b3" stroked="f">
              <v:stroke joinstyle="round"/>
              <v:formulas/>
              <v:path arrowok="t" o:connecttype="segments"/>
            </v:shape>
            <v:rect id="docshape2096" o:spid="_x0000_s1951" style="position:absolute;left:8878;top:1549;width:284;height:880" fillcolor="#00aeef" stroked="f"/>
            <v:shape id="docshape2097" o:spid="_x0000_s1950" style="position:absolute;left:9821;top:1588;width:359;height:565" coordorigin="9822,1589" coordsize="359,565" o:spt="100" adj="0,,0" path="m10180,2146r-358,l9822,2154r358,l10180,2146xm10180,1868r-358,l9822,1875r358,l10180,1868xm10180,1589r-358,l9822,1589r,7l10180,1596r,-7l10180,1589xe" fillcolor="#b2b1b3" stroked="f">
              <v:stroke joinstyle="round"/>
              <v:formulas/>
              <v:path arrowok="t" o:connecttype="segments"/>
            </v:shape>
            <v:rect id="docshape2098" o:spid="_x0000_s1949" style="position:absolute;left:9538;top:1337;width:284;height:999" fillcolor="#00aeef" stroked="f"/>
            <v:shape id="docshape2099" o:spid="_x0000_s1948" style="position:absolute;left:10463;top:1588;width:368;height:565" coordorigin="10464,1589" coordsize="368,565" o:spt="100" adj="0,,0" path="m10831,2146r-367,l10464,2154r367,l10831,2146xm10831,1868r-367,l10464,1875r367,l10831,1868xm10831,1589r-367,l10464,1589r,7l10831,1596r,-7l10831,1589xe" fillcolor="#b2b1b3" stroked="f">
              <v:stroke joinstyle="round"/>
              <v:formulas/>
              <v:path arrowok="t" o:connecttype="segments"/>
            </v:shape>
            <v:rect id="docshape2100" o:spid="_x0000_s1947" style="position:absolute;left:10180;top:1316;width:284;height:1004" fillcolor="#00aeef" stroked="f"/>
            <v:shape id="docshape2101" o:spid="_x0000_s1946" style="position:absolute;left:10463;top:1588;width:1019;height:844" coordorigin="10464,1589" coordsize="1019,844" o:spt="100" adj="0,,0" path="m10831,2425r-367,l10464,2429r,4l10831,2433r,-4l10831,2425xm11482,2425r-367,l11115,2429r,4l11482,2433r,-4l11482,2425xm11482,2146r-367,l11115,2154r367,l11482,2146xm11482,1868r-367,l11115,1875r367,l11482,1868xm11482,1589r-367,l11115,1589r,7l11482,1596r,-7l11482,1589xe" fillcolor="#b2b1b3" stroked="f">
              <v:stroke joinstyle="round"/>
              <v:formulas/>
              <v:path arrowok="t" o:connecttype="segments"/>
            </v:shape>
            <v:rect id="docshape2102" o:spid="_x0000_s1945" style="position:absolute;left:10831;top:1377;width:284;height:1007" fillcolor="#00aeef" stroked="f"/>
            <v:shape id="docshape2103" o:spid="_x0000_s1944" style="position:absolute;left:11765;top:1588;width:368;height:844" coordorigin="11766,1589" coordsize="368,844" o:spt="100" adj="0,,0" path="m12133,2425r-367,l11766,2429r,4l12133,2433r,-4l12133,2425xm12133,2146r-367,l11766,2154r367,l12133,2146xm12133,1868r-367,l11766,1875r367,l12133,1868xm12133,1589r-367,l11766,1589r,7l12133,1596r,-7l12133,1589xe" fillcolor="#b2b1b3" stroked="f">
              <v:stroke joinstyle="round"/>
              <v:formulas/>
              <v:path arrowok="t" o:connecttype="segments"/>
            </v:shape>
            <v:rect id="docshape2104" o:spid="_x0000_s1943" style="position:absolute;left:11482;top:1441;width:284;height:999" fillcolor="#00aeef" stroked="f"/>
            <v:shape id="docshape2105" o:spid="_x0000_s1942" style="position:absolute;left:12416;top:1588;width:368;height:565" coordorigin="12417,1589" coordsize="368,565" o:spt="100" adj="0,,0" path="m12784,2146r-367,l12417,2154r367,l12784,2146xm12784,1868r-367,l12417,1875r367,l12784,1868xm12784,1589r-367,l12417,1589r,7l12784,1596r,-7l12784,1589xe" fillcolor="#b2b1b3" stroked="f">
              <v:stroke joinstyle="round"/>
              <v:formulas/>
              <v:path arrowok="t" o:connecttype="segments"/>
            </v:shape>
            <v:rect id="docshape2106" o:spid="_x0000_s1941" style="position:absolute;left:12133;top:1304;width:284;height:1050" fillcolor="#00aeef" stroked="f"/>
            <v:shape id="docshape2107" o:spid="_x0000_s1940" style="position:absolute;left:13067;top:1867;width:368;height:287" coordorigin="13068,1868" coordsize="368,287" o:spt="100" adj="0,,0" path="m13435,2146r-367,l13068,2154r367,l13435,2146xm13435,1868r-367,l13068,1875r367,l13435,1868xe" fillcolor="#b2b1b3" stroked="f">
              <v:stroke joinstyle="round"/>
              <v:formulas/>
              <v:path arrowok="t" o:connecttype="segments"/>
            </v:shape>
            <v:rect id="docshape2108" o:spid="_x0000_s1939" style="position:absolute;left:12784;top:1488;width:284;height:848" fillcolor="#00aeef" stroked="f"/>
            <v:shape id="docshape2109" o:spid="_x0000_s1938" style="position:absolute;left:13067;top:1867;width:1019;height:565" coordorigin="13068,1868" coordsize="1019,565" o:spt="100" adj="0,,0" path="m13435,2425r-367,l13068,2429r,4l13435,2433r,-4l13435,2425xm14086,2425r-367,l13719,2429r,4l14086,2433r,-4l14086,2425xm14086,2146r-367,l13719,2154r367,l14086,2146xm14086,1868r-367,l13719,1875r367,l14086,1868xe" fillcolor="#b2b1b3" stroked="f">
              <v:stroke joinstyle="round"/>
              <v:formulas/>
              <v:path arrowok="t" o:connecttype="segments"/>
            </v:shape>
            <v:rect id="docshape2110" o:spid="_x0000_s1937" style="position:absolute;left:13435;top:1589;width:284;height:768" fillcolor="#00aeef" stroked="f"/>
            <v:shape id="docshape2111" o:spid="_x0000_s1936" style="position:absolute;left:14369;top:1867;width:368;height:565" coordorigin="14370,1868" coordsize="368,565" o:spt="100" adj="0,,0" path="m14737,2425r-367,l14370,2429r,4l14737,2433r,-4l14737,2425xm14737,2146r-367,l14370,2154r367,l14737,2146xm14737,1868r-367,l14370,1875r367,l14737,1868xe" fillcolor="#b2b1b3" stroked="f">
              <v:stroke joinstyle="round"/>
              <v:formulas/>
              <v:path arrowok="t" o:connecttype="segments"/>
            </v:shape>
            <v:rect id="docshape2112" o:spid="_x0000_s1935" style="position:absolute;left:14086;top:1773;width:284;height:622" fillcolor="#00aeef" stroked="f"/>
            <v:shape id="docshape2113" o:spid="_x0000_s1934" style="position:absolute;left:15020;top:1867;width:368;height:565" coordorigin="15021,1868" coordsize="368,565" o:spt="100" adj="0,,0" path="m15388,2425r-367,l15021,2429r,4l15388,2433r,-4l15388,2425xm15388,2146r-367,l15021,2154r367,l15388,2146xm15388,1868r-367,l15021,1875r367,l15388,1868xe" fillcolor="#b2b1b3" stroked="f">
              <v:stroke joinstyle="round"/>
              <v:formulas/>
              <v:path arrowok="t" o:connecttype="segments"/>
            </v:shape>
            <v:rect id="docshape2114" o:spid="_x0000_s1933" style="position:absolute;left:14737;top:1768;width:284;height:636" fillcolor="#00aeef" stroked="f"/>
            <v:shape id="docshape2115" o:spid="_x0000_s1932" style="position:absolute;left:15671;top:1867;width:94;height:565" coordorigin="15671,1868" coordsize="94,565" o:spt="100" adj="0,,0" path="m15765,2425r-94,l15671,2429r,4l15765,2433r,-4l15765,2425xm15765,2146r-94,l15671,2154r94,l15765,2146xm15765,1868r-94,l15671,1875r94,l15765,1868xe" fillcolor="#b2b1b3" stroked="f">
              <v:stroke joinstyle="round"/>
              <v:formulas/>
              <v:path arrowok="t" o:connecttype="segments"/>
            </v:shape>
            <v:rect id="docshape2116" o:spid="_x0000_s1931" style="position:absolute;left:15388;top:1746;width:284;height:650" fillcolor="#00aeef" stroked="f"/>
            <v:shape id="docshape2117" o:spid="_x0000_s1930" style="position:absolute;left:6925;top:2429;width:2237;height:285" coordorigin="6925,2429" coordsize="2237,285" o:spt="100" adj="0,,0" path="m7209,2499r-284,l6925,2708r284,l7209,2499xm7860,2461r-284,l7576,2708r284,l7860,2461xm8513,2481r-284,l8229,2714r284,l8513,2481xm9162,2429r-284,l8878,2708r284,l9162,2429xe" fillcolor="#2e3092" stroked="f">
              <v:stroke joinstyle="round"/>
              <v:formulas/>
              <v:path arrowok="t" o:connecttype="segments"/>
            </v:shape>
            <v:shape id="docshape2118" o:spid="_x0000_s1929" style="position:absolute;left:9821;top:2425;width:359;height:8" coordorigin="9822,2425" coordsize="359,8" path="m10180,2425r-358,l9822,2429r,4l10180,2433r,-4l10180,2425xe" fillcolor="#b2b1b3" stroked="f">
              <v:path arrowok="t"/>
            </v:shape>
            <v:shape id="docshape2119" o:spid="_x0000_s1928" style="position:absolute;left:9538;top:2320;width:2228;height:388" coordorigin="9539,2320" coordsize="2228,388" o:spt="100" adj="0,,0" path="m9822,2336r-283,l9539,2708r283,l9822,2336xm10464,2320r-284,l10180,2708r284,l10464,2320xm11115,2384r-284,l10831,2708r284,l11115,2384xm11766,2440r-284,l11482,2708r284,l11766,2440xe" fillcolor="#2e3092" stroked="f">
              <v:stroke joinstyle="round"/>
              <v:formulas/>
              <v:path arrowok="t" o:connecttype="segments"/>
            </v:shape>
            <v:shape id="docshape2120" o:spid="_x0000_s1927" style="position:absolute;left:12416;top:2425;width:368;height:8" coordorigin="12417,2425" coordsize="368,8" path="m12784,2425r-367,l12417,2429r,4l12784,2433r,-4l12784,2425xe" fillcolor="#b2b1b3" stroked="f">
              <v:path arrowok="t"/>
            </v:shape>
            <v:shape id="docshape2121" o:spid="_x0000_s1926" style="position:absolute;left:12133;top:2335;width:3539;height:372" coordorigin="12133,2336" coordsize="3539,372" o:spt="100" adj="0,,0" path="m12417,2354r-284,l12133,2708r284,l12417,2354xm13068,2336r-284,l12784,2708r284,l13068,2336xm13719,2356r-284,l13435,2708r284,l13719,2356xm14370,2395r-284,l14086,2708r284,l14370,2395xm15021,2403r-284,l14737,2708r284,l15021,2403xm15671,2396r-283,l15388,2708r283,l15671,2396xe" fillcolor="#2e3092" stroked="f">
              <v:stroke joinstyle="round"/>
              <v:formulas/>
              <v:path arrowok="t" o:connecttype="segments"/>
            </v:shape>
            <v:rect id="docshape2122" o:spid="_x0000_s1925" style="position:absolute;left:6785;top:2700;width:8980;height:15" fillcolor="#b2b1b3" stroked="f"/>
            <w10:wrap anchorx="page"/>
          </v:group>
        </w:pict>
      </w:r>
      <w:r>
        <w:pict>
          <v:rect id="docshape2123" o:spid="_x0000_s1923" style="position:absolute;left:0;text-align:left;margin-left:339.25pt;margin-top:9.75pt;width:449pt;height:.35pt;z-index:251592704;mso-position-horizontal-relative:page" fillcolor="#b2b1b3" stroked="f">
            <w10:wrap anchorx="page"/>
          </v:rect>
        </w:pict>
      </w:r>
      <w:r w:rsidR="00F22F94">
        <w:rPr>
          <w:spacing w:val="-2"/>
          <w:w w:val="95"/>
          <w:sz w:val="16"/>
        </w:rPr>
        <w:t>4,500</w:t>
      </w:r>
    </w:p>
    <w:p w:rsidR="002C1123" w:rsidRDefault="002060EF">
      <w:pPr>
        <w:spacing w:before="95"/>
        <w:ind w:right="9912"/>
        <w:jc w:val="right"/>
        <w:rPr>
          <w:sz w:val="16"/>
        </w:rPr>
      </w:pPr>
      <w:r>
        <w:pict>
          <v:group id="docshapegroup2124" o:spid="_x0000_s1890" style="position:absolute;left:0;text-align:left;margin-left:80.45pt;margin-top:6.05pt;width:209.2pt;height:148.7pt;z-index:251587584;mso-position-horizontal-relative:page" coordorigin="1609,121" coordsize="4184,2974">
            <v:shape id="docshape2125" o:spid="_x0000_s1922" style="position:absolute;left:1608;top:1290;width:781;height:1442" coordorigin="1609,1291" coordsize="781,1442" o:spt="100" adj="0,,0" path="m2023,2724r-414,l1609,2732r414,l2023,2724xm2023,2366r-414,l1609,2374r414,l2023,2366xm2023,2007r-414,l1609,2015r414,l2023,2007xm2023,1649r-414,l1609,1657r414,l2023,1649xm2023,1291r-414,l1609,1299r414,l2023,1291xm2389,2724r-102,l2287,2732r102,l2389,2724xm2389,2366r-102,l2287,2374r102,l2389,2366xm2389,2007r-102,l2287,2015r102,l2389,2007xm2389,1649r-102,l2287,1657r102,l2389,1649xm2389,1291r-102,l2287,1299r102,l2389,1291xe" fillcolor="#b2b1b3" stroked="f">
              <v:stroke joinstyle="round"/>
              <v:formulas/>
              <v:path arrowok="t" o:connecttype="segments"/>
            </v:shape>
            <v:rect id="docshape2126" o:spid="_x0000_s1921" style="position:absolute;left:2022;top:1280;width:264;height:310" fillcolor="#00aeef" stroked="f"/>
            <v:rect id="docshape2127" o:spid="_x0000_s1920" style="position:absolute;left:2652;top:1290;width:103;height:8" fillcolor="#b2b1b3" stroked="f"/>
            <v:rect id="docshape2128" o:spid="_x0000_s1919" style="position:absolute;left:2389;top:1027;width:264;height:344" fillcolor="#00aeef" stroked="f"/>
            <v:shape id="docshape2129" o:spid="_x0000_s1918" style="position:absolute;left:1608;top:932;width:1513;height:8" coordorigin="1609,932" coordsize="1513,8" o:spt="100" adj="0,,0" path="m2755,932r-1146,l1609,940r1146,l2755,932xm3121,932r-102,l3019,940r102,l3121,932xe" fillcolor="#b2b1b3" stroked="f">
              <v:stroke joinstyle="round"/>
              <v:formulas/>
              <v:path arrowok="t" o:connecttype="segments"/>
            </v:shape>
            <v:rect id="docshape2130" o:spid="_x0000_s1917" style="position:absolute;left:2755;top:812;width:264;height:373" fillcolor="#00aeef" stroked="f"/>
            <v:rect id="docshape2131" o:spid="_x0000_s1916" style="position:absolute;left:3385;top:932;width:526;height:8" fillcolor="#b2b1b3" stroked="f"/>
            <v:rect id="docshape2132" o:spid="_x0000_s1915" style="position:absolute;left:3121;top:689;width:264;height:400" fillcolor="#00aeef" stroked="f"/>
            <v:rect id="docshape2133" o:spid="_x0000_s1914" style="position:absolute;left:4174;top:932;width:103;height:8" fillcolor="#b2b1b3" stroked="f"/>
            <v:rect id="docshape2134" o:spid="_x0000_s1913" style="position:absolute;left:3910;top:845;width:264;height:316" fillcolor="#00aeef" stroked="f"/>
            <v:shape id="docshape2135" o:spid="_x0000_s1912" style="position:absolute;left:1608;top:574;width:3035;height:8" coordorigin="1609,574" coordsize="3035,8" o:spt="100" adj="0,,0" path="m4277,574r-2668,l1609,582r2668,l4277,574xm4643,574r-103,l4540,582r103,l4643,574xe" fillcolor="#b2b1b3" stroked="f">
              <v:stroke joinstyle="round"/>
              <v:formulas/>
              <v:path arrowok="t" o:connecttype="segments"/>
            </v:shape>
            <v:rect id="docshape2136" o:spid="_x0000_s1911" style="position:absolute;left:4276;top:413;width:264;height:373" fillcolor="#00aeef" stroked="f"/>
            <v:shape id="docshape2137" o:spid="_x0000_s1910" style="position:absolute;left:1608;top:215;width:3401;height:367" coordorigin="1609,216" coordsize="3401,367" o:spt="100" adj="0,,0" path="m4643,216r-3034,l1609,224r3034,l4643,216xm5009,574r-103,l4906,582r103,l5009,574xm5009,216r-103,l4906,224r103,l5009,216xe" fillcolor="#b2b1b3" stroked="f">
              <v:stroke joinstyle="round"/>
              <v:formulas/>
              <v:path arrowok="t" o:connecttype="segments"/>
            </v:shape>
            <v:rect id="docshape2138" o:spid="_x0000_s1909" style="position:absolute;left:4642;top:121;width:264;height:396" fillcolor="#00aeef" stroked="f"/>
            <v:shape id="docshape2139" o:spid="_x0000_s1908" style="position:absolute;left:5272;top:215;width:520;height:367" coordorigin="5272,216" coordsize="520,367" o:spt="100" adj="0,,0" path="m5792,574r-520,l5272,582r520,l5792,574xm5792,216r-520,l5272,224r520,l5792,216xe" fillcolor="#b2b1b3" stroked="f">
              <v:stroke joinstyle="round"/>
              <v:formulas/>
              <v:path arrowok="t" o:connecttype="segments"/>
            </v:shape>
            <v:rect id="docshape2140" o:spid="_x0000_s1907" style="position:absolute;left:5008;top:123;width:264;height:422" fillcolor="#00aeef" stroked="f"/>
            <v:rect id="docshape2141" o:spid="_x0000_s1906" style="position:absolute;left:2022;top:1590;width:264;height:1496" fillcolor="#2e3092" stroked="f"/>
            <v:shape id="docshape2142" o:spid="_x0000_s1905" style="position:absolute;left:2652;top:1649;width:103;height:1083" coordorigin="2653,1649" coordsize="103,1083" o:spt="100" adj="0,,0" path="m2755,2724r-102,l2653,2732r102,l2755,2724xm2755,2366r-102,l2653,2374r102,l2755,2366xm2755,2007r-102,l2653,2015r102,l2755,2007xm2755,1649r-102,l2653,1657r102,l2755,1649xe" fillcolor="#b2b1b3" stroked="f">
              <v:stroke joinstyle="round"/>
              <v:formulas/>
              <v:path arrowok="t" o:connecttype="segments"/>
            </v:shape>
            <v:rect id="docshape2143" o:spid="_x0000_s1904" style="position:absolute;left:2389;top:1371;width:264;height:1715" fillcolor="#2e3092" stroked="f"/>
            <v:shape id="docshape2144" o:spid="_x0000_s1903" style="position:absolute;left:3018;top:1290;width:103;height:1442" coordorigin="3019,1291" coordsize="103,1442" o:spt="100" adj="0,,0" path="m3121,2724r-102,l3019,2732r102,l3121,2724xm3121,2366r-102,l3019,2374r102,l3121,2366xm3121,2007r-102,l3019,2015r102,l3121,2007xm3121,1649r-102,l3019,1657r102,l3121,1649xm3121,1291r-102,l3019,1299r102,l3121,1291xe" fillcolor="#b2b1b3" stroked="f">
              <v:stroke joinstyle="round"/>
              <v:formulas/>
              <v:path arrowok="t" o:connecttype="segments"/>
            </v:shape>
            <v:rect id="docshape2145" o:spid="_x0000_s1902" style="position:absolute;left:2755;top:1185;width:264;height:1901" fillcolor="#2e3092" stroked="f"/>
            <v:shape id="docshape2146" o:spid="_x0000_s1901" style="position:absolute;left:3385;top:1290;width:526;height:1442" coordorigin="3385,1291" coordsize="526,1442" o:spt="100" adj="0,,0" path="m3910,2724r-525,l3385,2732r525,l3910,2724xm3910,2366r-525,l3385,2374r525,l3910,2366xm3910,2007r-525,l3385,2015r525,l3910,2007xm3910,1649r-525,l3385,1657r525,l3910,1649xm3910,1291r-525,l3385,1299r525,l3910,1291xe" fillcolor="#b2b1b3" stroked="f">
              <v:stroke joinstyle="round"/>
              <v:formulas/>
              <v:path arrowok="t" o:connecttype="segments"/>
            </v:shape>
            <v:rect id="docshape2147" o:spid="_x0000_s1900" style="position:absolute;left:3121;top:1088;width:264;height:1998" fillcolor="#2e3092" stroked="f"/>
            <v:shape id="docshape2148" o:spid="_x0000_s1899" style="position:absolute;left:4174;top:1290;width:103;height:1442" coordorigin="4174,1291" coordsize="103,1442" o:spt="100" adj="0,,0" path="m4277,2724r-103,l4174,2732r103,l4277,2724xm4277,2366r-103,l4174,2374r103,l4277,2366xm4277,2007r-103,l4174,2015r103,l4277,2007xm4277,1649r-103,l4174,1657r103,l4277,1649xm4277,1291r-103,l4174,1299r103,l4277,1291xe" fillcolor="#b2b1b3" stroked="f">
              <v:stroke joinstyle="round"/>
              <v:formulas/>
              <v:path arrowok="t" o:connecttype="segments"/>
            </v:shape>
            <v:rect id="docshape2149" o:spid="_x0000_s1898" style="position:absolute;left:3910;top:1160;width:264;height:1926" fillcolor="#2e3092" stroked="f"/>
            <v:shape id="docshape2150" o:spid="_x0000_s1897" style="position:absolute;left:4540;top:932;width:103;height:1800" coordorigin="4540,932" coordsize="103,1800" o:spt="100" adj="0,,0" path="m4643,2724r-103,l4540,2732r103,l4643,2724xm4643,2366r-103,l4540,2374r103,l4643,2366xm4643,2007r-103,l4540,2015r103,l4643,2007xm4643,1649r-103,l4540,1657r103,l4643,1649xm4643,1291r-103,l4540,1299r103,l4643,1291xm4643,932r-103,l4540,940r103,l4643,932xe" fillcolor="#b2b1b3" stroked="f">
              <v:stroke joinstyle="round"/>
              <v:formulas/>
              <v:path arrowok="t" o:connecttype="segments"/>
            </v:shape>
            <v:rect id="docshape2151" o:spid="_x0000_s1896" style="position:absolute;left:4276;top:786;width:264;height:2301" fillcolor="#2e3092" stroked="f"/>
            <v:shape id="docshape2152" o:spid="_x0000_s1895" style="position:absolute;left:4906;top:932;width:103;height:1800" coordorigin="4906,932" coordsize="103,1800" o:spt="100" adj="0,,0" path="m5009,2724r-103,l4906,2732r103,l5009,2724xm5009,2366r-103,l4906,2374r103,l5009,2366xm5009,2007r-103,l4906,2015r103,l5009,2007xm5009,1649r-103,l4906,1657r103,l5009,1649xm5009,1291r-103,l4906,1299r103,l5009,1291xm5009,932r-103,l4906,940r103,l5009,932xe" fillcolor="#b2b1b3" stroked="f">
              <v:stroke joinstyle="round"/>
              <v:formulas/>
              <v:path arrowok="t" o:connecttype="segments"/>
            </v:shape>
            <v:rect id="docshape2153" o:spid="_x0000_s1894" style="position:absolute;left:4642;top:517;width:264;height:2570" fillcolor="#2e3092" stroked="f"/>
            <v:shape id="docshape2154" o:spid="_x0000_s1893" style="position:absolute;left:5272;top:932;width:520;height:1800" coordorigin="5272,932" coordsize="520,1800" o:spt="100" adj="0,,0" path="m5792,2724r-520,l5272,2732r520,l5792,2724xm5792,2366r-520,l5272,2374r520,l5792,2366xm5792,2007r-520,l5272,2015r520,l5792,2007xm5792,1649r-520,l5272,1657r520,l5792,1649xm5792,1291r-520,l5272,1299r520,l5792,1291xm5792,932r-520,l5272,940r520,l5792,932xe" fillcolor="#b2b1b3" stroked="f">
              <v:stroke joinstyle="round"/>
              <v:formulas/>
              <v:path arrowok="t" o:connecttype="segments"/>
            </v:shape>
            <v:rect id="docshape2155" o:spid="_x0000_s1892" style="position:absolute;left:5008;top:544;width:264;height:2543" fillcolor="#2e3092" stroked="f"/>
            <v:rect id="docshape2156" o:spid="_x0000_s1891" style="position:absolute;left:1608;top:3078;width:4184;height:16" fillcolor="#b2b1b3" stroked="f"/>
            <w10:wrap anchorx="page"/>
          </v:group>
        </w:pict>
      </w:r>
      <w:r w:rsidR="00F22F94">
        <w:rPr>
          <w:spacing w:val="-2"/>
          <w:w w:val="95"/>
          <w:sz w:val="16"/>
        </w:rPr>
        <w:t>4,000</w:t>
      </w:r>
    </w:p>
    <w:p w:rsidR="002C1123" w:rsidRDefault="00F22F94">
      <w:pPr>
        <w:spacing w:before="96"/>
        <w:ind w:right="9912"/>
        <w:jc w:val="right"/>
        <w:rPr>
          <w:sz w:val="16"/>
        </w:rPr>
      </w:pPr>
      <w:r>
        <w:rPr>
          <w:spacing w:val="-2"/>
          <w:w w:val="95"/>
          <w:sz w:val="16"/>
        </w:rPr>
        <w:t>3,500</w:t>
      </w:r>
    </w:p>
    <w:p w:rsidR="002C1123" w:rsidRDefault="00F22F94">
      <w:pPr>
        <w:spacing w:before="95"/>
        <w:ind w:right="9912"/>
        <w:jc w:val="right"/>
        <w:rPr>
          <w:sz w:val="16"/>
        </w:rPr>
      </w:pPr>
      <w:r>
        <w:rPr>
          <w:spacing w:val="-2"/>
          <w:w w:val="95"/>
          <w:sz w:val="16"/>
        </w:rPr>
        <w:t>3,000</w:t>
      </w:r>
    </w:p>
    <w:p w:rsidR="002C1123" w:rsidRDefault="002060EF">
      <w:pPr>
        <w:spacing w:before="96"/>
        <w:ind w:right="9912"/>
        <w:jc w:val="right"/>
        <w:rPr>
          <w:sz w:val="16"/>
        </w:rPr>
      </w:pPr>
      <w:r>
        <w:pict>
          <v:shape id="docshape2157" o:spid="_x0000_s1889" type="#_x0000_t202" style="position:absolute;left:0;text-align:left;margin-left:299.3pt;margin-top:4.15pt;width:11.05pt;height:11.35pt;z-index:251603968;mso-position-horizontal-relative:page" filled="f" stroked="f">
            <v:textbox style="layout-flow:vertical;mso-layout-flow-alt:bottom-to-top" inset="0,0,0,0">
              <w:txbxContent>
                <w:p w:rsidR="00F22F94" w:rsidRDefault="00F22F94">
                  <w:pPr>
                    <w:spacing w:before="18"/>
                    <w:ind w:left="20"/>
                    <w:rPr>
                      <w:sz w:val="16"/>
                    </w:rPr>
                  </w:pPr>
                  <w:r>
                    <w:rPr>
                      <w:spacing w:val="-5"/>
                      <w:w w:val="90"/>
                      <w:sz w:val="16"/>
                    </w:rPr>
                    <w:t>$M</w:t>
                  </w:r>
                </w:p>
              </w:txbxContent>
            </v:textbox>
            <w10:wrap anchorx="page"/>
          </v:shape>
        </w:pict>
      </w:r>
      <w:r w:rsidR="00F22F94">
        <w:rPr>
          <w:spacing w:val="-2"/>
          <w:w w:val="95"/>
          <w:sz w:val="16"/>
        </w:rPr>
        <w:t>2,500</w:t>
      </w:r>
    </w:p>
    <w:p w:rsidR="002C1123" w:rsidRDefault="00F22F94">
      <w:pPr>
        <w:spacing w:before="95"/>
        <w:ind w:right="9912"/>
        <w:jc w:val="right"/>
        <w:rPr>
          <w:sz w:val="16"/>
        </w:rPr>
      </w:pPr>
      <w:r>
        <w:rPr>
          <w:spacing w:val="-2"/>
          <w:w w:val="95"/>
          <w:sz w:val="16"/>
        </w:rPr>
        <w:t>2,000</w:t>
      </w:r>
    </w:p>
    <w:p w:rsidR="002C1123" w:rsidRDefault="00F22F94">
      <w:pPr>
        <w:spacing w:before="96"/>
        <w:ind w:right="9912"/>
        <w:jc w:val="right"/>
        <w:rPr>
          <w:sz w:val="16"/>
        </w:rPr>
      </w:pPr>
      <w:r>
        <w:rPr>
          <w:spacing w:val="-2"/>
          <w:w w:val="95"/>
          <w:sz w:val="16"/>
        </w:rPr>
        <w:t>1,500</w:t>
      </w:r>
    </w:p>
    <w:p w:rsidR="002C1123" w:rsidRDefault="00F22F94">
      <w:pPr>
        <w:spacing w:before="95"/>
        <w:ind w:right="9912"/>
        <w:jc w:val="right"/>
        <w:rPr>
          <w:sz w:val="16"/>
        </w:rPr>
      </w:pPr>
      <w:r>
        <w:rPr>
          <w:spacing w:val="-2"/>
          <w:w w:val="95"/>
          <w:sz w:val="16"/>
        </w:rPr>
        <w:t>1,000</w:t>
      </w:r>
    </w:p>
    <w:p w:rsidR="002C1123" w:rsidRDefault="00F22F94">
      <w:pPr>
        <w:spacing w:before="96"/>
        <w:ind w:right="9912"/>
        <w:jc w:val="right"/>
        <w:rPr>
          <w:sz w:val="16"/>
        </w:rPr>
      </w:pPr>
      <w:r>
        <w:rPr>
          <w:spacing w:val="-5"/>
          <w:w w:val="95"/>
          <w:sz w:val="16"/>
        </w:rPr>
        <w:t>500</w:t>
      </w:r>
    </w:p>
    <w:p w:rsidR="002C1123" w:rsidRDefault="002060EF">
      <w:pPr>
        <w:spacing w:before="95"/>
        <w:ind w:right="9912"/>
        <w:jc w:val="right"/>
        <w:rPr>
          <w:sz w:val="16"/>
        </w:rPr>
      </w:pPr>
      <w:r>
        <w:pict>
          <v:shape id="docshape2158" o:spid="_x0000_s1888" type="#_x0000_t202" style="position:absolute;left:0;text-align:left;margin-left:348.05pt;margin-top:15.65pt;width:11.05pt;height:27.3pt;z-index:251604992;mso-position-horizontal-relative:page" filled="f" stroked="f">
            <v:textbox style="layout-flow:vertical;mso-layout-flow-alt:bottom-to-top" inset="0,0,0,0">
              <w:txbxContent>
                <w:p w:rsidR="00F22F94" w:rsidRDefault="00F22F94">
                  <w:pPr>
                    <w:spacing w:before="18"/>
                    <w:ind w:left="20"/>
                    <w:rPr>
                      <w:sz w:val="16"/>
                    </w:rPr>
                  </w:pPr>
                  <w:r>
                    <w:rPr>
                      <w:spacing w:val="-2"/>
                      <w:w w:val="90"/>
                      <w:sz w:val="16"/>
                    </w:rPr>
                    <w:t>2007/08</w:t>
                  </w:r>
                </w:p>
              </w:txbxContent>
            </v:textbox>
            <w10:wrap anchorx="page"/>
          </v:shape>
        </w:pict>
      </w:r>
      <w:r>
        <w:pict>
          <v:shape id="docshape2159" o:spid="_x0000_s1887" type="#_x0000_t202" style="position:absolute;left:0;text-align:left;margin-left:380.6pt;margin-top:15.65pt;width:11.05pt;height:27.3pt;z-index:251606016;mso-position-horizontal-relative:page" filled="f" stroked="f">
            <v:textbox style="layout-flow:vertical;mso-layout-flow-alt:bottom-to-top" inset="0,0,0,0">
              <w:txbxContent>
                <w:p w:rsidR="00F22F94" w:rsidRDefault="00F22F94">
                  <w:pPr>
                    <w:spacing w:before="18"/>
                    <w:ind w:left="20"/>
                    <w:rPr>
                      <w:sz w:val="16"/>
                    </w:rPr>
                  </w:pPr>
                  <w:r>
                    <w:rPr>
                      <w:spacing w:val="-2"/>
                      <w:w w:val="90"/>
                      <w:sz w:val="16"/>
                    </w:rPr>
                    <w:t>2008/09</w:t>
                  </w:r>
                </w:p>
              </w:txbxContent>
            </v:textbox>
            <w10:wrap anchorx="page"/>
          </v:shape>
        </w:pict>
      </w:r>
      <w:r>
        <w:pict>
          <v:shape id="docshape2160" o:spid="_x0000_s1886" type="#_x0000_t202" style="position:absolute;left:0;text-align:left;margin-left:413.15pt;margin-top:15.65pt;width:11.05pt;height:27.3pt;z-index:251607040;mso-position-horizontal-relative:page" filled="f" stroked="f">
            <v:textbox style="layout-flow:vertical;mso-layout-flow-alt:bottom-to-top" inset="0,0,0,0">
              <w:txbxContent>
                <w:p w:rsidR="00F22F94" w:rsidRDefault="00F22F94">
                  <w:pPr>
                    <w:spacing w:before="18"/>
                    <w:ind w:left="20"/>
                    <w:rPr>
                      <w:sz w:val="16"/>
                    </w:rPr>
                  </w:pPr>
                  <w:r>
                    <w:rPr>
                      <w:spacing w:val="-2"/>
                      <w:w w:val="90"/>
                      <w:sz w:val="16"/>
                    </w:rPr>
                    <w:t>2009/10</w:t>
                  </w:r>
                </w:p>
              </w:txbxContent>
            </v:textbox>
            <w10:wrap anchorx="page"/>
          </v:shape>
        </w:pict>
      </w:r>
      <w:r>
        <w:pict>
          <v:shape id="docshape2161" o:spid="_x0000_s1885" type="#_x0000_t202" style="position:absolute;left:0;text-align:left;margin-left:445.7pt;margin-top:15.65pt;width:11.05pt;height:27.3pt;z-index:251608064;mso-position-horizontal-relative:page" filled="f" stroked="f">
            <v:textbox style="layout-flow:vertical;mso-layout-flow-alt:bottom-to-top" inset="0,0,0,0">
              <w:txbxContent>
                <w:p w:rsidR="00F22F94" w:rsidRDefault="00F22F94">
                  <w:pPr>
                    <w:spacing w:before="18"/>
                    <w:ind w:left="20"/>
                    <w:rPr>
                      <w:sz w:val="16"/>
                    </w:rPr>
                  </w:pPr>
                  <w:r>
                    <w:rPr>
                      <w:spacing w:val="-2"/>
                      <w:w w:val="90"/>
                      <w:sz w:val="16"/>
                    </w:rPr>
                    <w:t>2010/11</w:t>
                  </w:r>
                </w:p>
              </w:txbxContent>
            </v:textbox>
            <w10:wrap anchorx="page"/>
          </v:shape>
        </w:pict>
      </w:r>
      <w:r>
        <w:pict>
          <v:shape id="docshape2162" o:spid="_x0000_s1884" type="#_x0000_t202" style="position:absolute;left:0;text-align:left;margin-left:478.25pt;margin-top:15.65pt;width:11.05pt;height:27.3pt;z-index:251609088;mso-position-horizontal-relative:page" filled="f" stroked="f">
            <v:textbox style="layout-flow:vertical;mso-layout-flow-alt:bottom-to-top" inset="0,0,0,0">
              <w:txbxContent>
                <w:p w:rsidR="00F22F94" w:rsidRDefault="00F22F94">
                  <w:pPr>
                    <w:spacing w:before="18"/>
                    <w:ind w:left="20"/>
                    <w:rPr>
                      <w:sz w:val="16"/>
                    </w:rPr>
                  </w:pPr>
                  <w:r>
                    <w:rPr>
                      <w:spacing w:val="-2"/>
                      <w:w w:val="90"/>
                      <w:sz w:val="16"/>
                    </w:rPr>
                    <w:t>2011/12</w:t>
                  </w:r>
                </w:p>
              </w:txbxContent>
            </v:textbox>
            <w10:wrap anchorx="page"/>
          </v:shape>
        </w:pict>
      </w:r>
      <w:r>
        <w:pict>
          <v:shape id="docshape2163" o:spid="_x0000_s1883" type="#_x0000_t202" style="position:absolute;left:0;text-align:left;margin-left:510.8pt;margin-top:15.65pt;width:11.05pt;height:27.3pt;z-index:251610112;mso-position-horizontal-relative:page" filled="f" stroked="f">
            <v:textbox style="layout-flow:vertical;mso-layout-flow-alt:bottom-to-top" inset="0,0,0,0">
              <w:txbxContent>
                <w:p w:rsidR="00F22F94" w:rsidRDefault="00F22F94">
                  <w:pPr>
                    <w:spacing w:before="18"/>
                    <w:ind w:left="20"/>
                    <w:rPr>
                      <w:sz w:val="16"/>
                    </w:rPr>
                  </w:pPr>
                  <w:r>
                    <w:rPr>
                      <w:spacing w:val="-2"/>
                      <w:w w:val="90"/>
                      <w:sz w:val="16"/>
                    </w:rPr>
                    <w:t>2012/13</w:t>
                  </w:r>
                </w:p>
              </w:txbxContent>
            </v:textbox>
            <w10:wrap anchorx="page"/>
          </v:shape>
        </w:pict>
      </w:r>
      <w:r>
        <w:pict>
          <v:shape id="docshape2164" o:spid="_x0000_s1882" type="#_x0000_t202" style="position:absolute;left:0;text-align:left;margin-left:543.3pt;margin-top:15.65pt;width:11.05pt;height:27.3pt;z-index:251611136;mso-position-horizontal-relative:page" filled="f" stroked="f">
            <v:textbox style="layout-flow:vertical;mso-layout-flow-alt:bottom-to-top" inset="0,0,0,0">
              <w:txbxContent>
                <w:p w:rsidR="00F22F94" w:rsidRDefault="00F22F94">
                  <w:pPr>
                    <w:spacing w:before="18"/>
                    <w:ind w:left="20"/>
                    <w:rPr>
                      <w:sz w:val="16"/>
                    </w:rPr>
                  </w:pPr>
                  <w:r>
                    <w:rPr>
                      <w:spacing w:val="-2"/>
                      <w:w w:val="90"/>
                      <w:sz w:val="16"/>
                    </w:rPr>
                    <w:t>2013/14</w:t>
                  </w:r>
                </w:p>
              </w:txbxContent>
            </v:textbox>
            <w10:wrap anchorx="page"/>
          </v:shape>
        </w:pict>
      </w:r>
      <w:r>
        <w:pict>
          <v:shape id="docshape2165" o:spid="_x0000_s1881" type="#_x0000_t202" style="position:absolute;left:0;text-align:left;margin-left:575.85pt;margin-top:15.65pt;width:11.05pt;height:29.95pt;z-index:251612160;mso-position-horizontal-relative:page" filled="f" stroked="f">
            <v:textbox style="layout-flow:vertical;mso-layout-flow-alt:bottom-to-top" inset="0,0,0,0">
              <w:txbxContent>
                <w:p w:rsidR="00F22F94" w:rsidRDefault="00F22F94">
                  <w:pPr>
                    <w:spacing w:before="18"/>
                    <w:ind w:left="20"/>
                    <w:rPr>
                      <w:sz w:val="16"/>
                    </w:rPr>
                  </w:pPr>
                  <w:r>
                    <w:rPr>
                      <w:spacing w:val="-2"/>
                      <w:w w:val="90"/>
                      <w:sz w:val="16"/>
                    </w:rPr>
                    <w:t>2014/15*</w:t>
                  </w:r>
                </w:p>
              </w:txbxContent>
            </v:textbox>
            <w10:wrap anchorx="page"/>
          </v:shape>
        </w:pict>
      </w:r>
      <w:r>
        <w:pict>
          <v:shape id="docshape2166" o:spid="_x0000_s1880" type="#_x0000_t202" style="position:absolute;left:0;text-align:left;margin-left:608.4pt;margin-top:15.65pt;width:11.05pt;height:29.95pt;z-index:251613184;mso-position-horizontal-relative:page" filled="f" stroked="f">
            <v:textbox style="layout-flow:vertical;mso-layout-flow-alt:bottom-to-top" inset="0,0,0,0">
              <w:txbxContent>
                <w:p w:rsidR="00F22F94" w:rsidRDefault="00F22F94">
                  <w:pPr>
                    <w:spacing w:before="18"/>
                    <w:ind w:left="20"/>
                    <w:rPr>
                      <w:sz w:val="16"/>
                    </w:rPr>
                  </w:pPr>
                  <w:r>
                    <w:rPr>
                      <w:spacing w:val="-2"/>
                      <w:w w:val="90"/>
                      <w:sz w:val="16"/>
                    </w:rPr>
                    <w:t>2015/16*</w:t>
                  </w:r>
                </w:p>
              </w:txbxContent>
            </v:textbox>
            <w10:wrap anchorx="page"/>
          </v:shape>
        </w:pict>
      </w:r>
      <w:r>
        <w:pict>
          <v:shape id="docshape2167" o:spid="_x0000_s1879" type="#_x0000_t202" style="position:absolute;left:0;text-align:left;margin-left:640.95pt;margin-top:15.65pt;width:11.05pt;height:29.95pt;z-index:251614208;mso-position-horizontal-relative:page" filled="f" stroked="f">
            <v:textbox style="layout-flow:vertical;mso-layout-flow-alt:bottom-to-top" inset="0,0,0,0">
              <w:txbxContent>
                <w:p w:rsidR="00F22F94" w:rsidRDefault="00F22F94">
                  <w:pPr>
                    <w:spacing w:before="18"/>
                    <w:ind w:left="20"/>
                    <w:rPr>
                      <w:sz w:val="16"/>
                    </w:rPr>
                  </w:pPr>
                  <w:r>
                    <w:rPr>
                      <w:spacing w:val="-2"/>
                      <w:w w:val="90"/>
                      <w:sz w:val="16"/>
                    </w:rPr>
                    <w:t>2016/17*</w:t>
                  </w:r>
                </w:p>
              </w:txbxContent>
            </v:textbox>
            <w10:wrap anchorx="page"/>
          </v:shape>
        </w:pict>
      </w:r>
      <w:r>
        <w:pict>
          <v:shape id="docshape2168" o:spid="_x0000_s1878" type="#_x0000_t202" style="position:absolute;left:0;text-align:left;margin-left:673.5pt;margin-top:15.65pt;width:11.05pt;height:29.95pt;z-index:251615232;mso-position-horizontal-relative:page" filled="f" stroked="f">
            <v:textbox style="layout-flow:vertical;mso-layout-flow-alt:bottom-to-top" inset="0,0,0,0">
              <w:txbxContent>
                <w:p w:rsidR="00F22F94" w:rsidRDefault="00F22F94">
                  <w:pPr>
                    <w:spacing w:before="18"/>
                    <w:ind w:left="20"/>
                    <w:rPr>
                      <w:sz w:val="16"/>
                    </w:rPr>
                  </w:pPr>
                  <w:r>
                    <w:rPr>
                      <w:spacing w:val="-2"/>
                      <w:w w:val="90"/>
                      <w:sz w:val="16"/>
                    </w:rPr>
                    <w:t>2017/18*</w:t>
                  </w:r>
                </w:p>
              </w:txbxContent>
            </v:textbox>
            <w10:wrap anchorx="page"/>
          </v:shape>
        </w:pict>
      </w:r>
      <w:r>
        <w:pict>
          <v:shape id="docshape2169" o:spid="_x0000_s1877" type="#_x0000_t202" style="position:absolute;left:0;text-align:left;margin-left:706.05pt;margin-top:15.65pt;width:11.05pt;height:29.95pt;z-index:251616256;mso-position-horizontal-relative:page" filled="f" stroked="f">
            <v:textbox style="layout-flow:vertical;mso-layout-flow-alt:bottom-to-top" inset="0,0,0,0">
              <w:txbxContent>
                <w:p w:rsidR="00F22F94" w:rsidRDefault="00F22F94">
                  <w:pPr>
                    <w:spacing w:before="18"/>
                    <w:ind w:left="20"/>
                    <w:rPr>
                      <w:sz w:val="16"/>
                    </w:rPr>
                  </w:pPr>
                  <w:r>
                    <w:rPr>
                      <w:spacing w:val="-2"/>
                      <w:w w:val="90"/>
                      <w:sz w:val="16"/>
                    </w:rPr>
                    <w:t>2018/19*</w:t>
                  </w:r>
                </w:p>
              </w:txbxContent>
            </v:textbox>
            <w10:wrap anchorx="page"/>
          </v:shape>
        </w:pict>
      </w:r>
      <w:r>
        <w:pict>
          <v:shape id="docshape2170" o:spid="_x0000_s1876" type="#_x0000_t202" style="position:absolute;left:0;text-align:left;margin-left:738.6pt;margin-top:15.65pt;width:11.05pt;height:29.95pt;z-index:251617280;mso-position-horizontal-relative:page" filled="f" stroked="f">
            <v:textbox style="layout-flow:vertical;mso-layout-flow-alt:bottom-to-top" inset="0,0,0,0">
              <w:txbxContent>
                <w:p w:rsidR="00F22F94" w:rsidRDefault="00F22F94">
                  <w:pPr>
                    <w:spacing w:before="18"/>
                    <w:ind w:left="20"/>
                    <w:rPr>
                      <w:sz w:val="16"/>
                    </w:rPr>
                  </w:pPr>
                  <w:r>
                    <w:rPr>
                      <w:spacing w:val="-2"/>
                      <w:w w:val="90"/>
                      <w:sz w:val="16"/>
                    </w:rPr>
                    <w:t>2019/20*</w:t>
                  </w:r>
                </w:p>
              </w:txbxContent>
            </v:textbox>
            <w10:wrap anchorx="page"/>
          </v:shape>
        </w:pict>
      </w:r>
      <w:r>
        <w:pict>
          <v:shape id="docshape2171" o:spid="_x0000_s1875" type="#_x0000_t202" style="position:absolute;left:0;text-align:left;margin-left:771.15pt;margin-top:15.65pt;width:11.05pt;height:29.95pt;z-index:251618304;mso-position-horizontal-relative:page" filled="f" stroked="f">
            <v:textbox style="layout-flow:vertical;mso-layout-flow-alt:bottom-to-top" inset="0,0,0,0">
              <w:txbxContent>
                <w:p w:rsidR="00F22F94" w:rsidRDefault="00F22F94">
                  <w:pPr>
                    <w:spacing w:before="18"/>
                    <w:ind w:left="20"/>
                    <w:rPr>
                      <w:sz w:val="16"/>
                    </w:rPr>
                  </w:pPr>
                  <w:r>
                    <w:rPr>
                      <w:spacing w:val="-2"/>
                      <w:w w:val="90"/>
                      <w:sz w:val="16"/>
                    </w:rPr>
                    <w:t>2020/21*</w:t>
                  </w:r>
                </w:p>
              </w:txbxContent>
            </v:textbox>
            <w10:wrap anchorx="page"/>
          </v:shape>
        </w:pict>
      </w:r>
      <w:r w:rsidR="00F22F94">
        <w:rPr>
          <w:w w:val="86"/>
          <w:sz w:val="16"/>
        </w:rPr>
        <w:t>0</w:t>
      </w:r>
    </w:p>
    <w:p w:rsidR="002C1123" w:rsidRDefault="002C1123">
      <w:pPr>
        <w:pStyle w:val="BodyText"/>
        <w:rPr>
          <w:sz w:val="18"/>
        </w:rPr>
      </w:pPr>
    </w:p>
    <w:p w:rsidR="002C1123" w:rsidRDefault="002C1123">
      <w:pPr>
        <w:pStyle w:val="BodyText"/>
        <w:rPr>
          <w:sz w:val="18"/>
        </w:rPr>
      </w:pPr>
    </w:p>
    <w:p w:rsidR="002C1123" w:rsidRDefault="002C1123">
      <w:pPr>
        <w:pStyle w:val="BodyText"/>
        <w:spacing w:before="8"/>
        <w:rPr>
          <w:sz w:val="22"/>
        </w:rPr>
      </w:pPr>
    </w:p>
    <w:p w:rsidR="002C1123" w:rsidRDefault="002060EF">
      <w:pPr>
        <w:tabs>
          <w:tab w:val="left" w:pos="2626"/>
          <w:tab w:val="left" w:pos="3653"/>
          <w:tab w:val="left" w:pos="4613"/>
        </w:tabs>
        <w:ind w:left="1560"/>
        <w:rPr>
          <w:sz w:val="16"/>
        </w:rPr>
      </w:pPr>
      <w:r>
        <w:pict>
          <v:rect id="docshape2172" o:spid="_x0000_s1874" style="position:absolute;left:0;text-align:left;margin-left:338.9pt;margin-top:.85pt;width:8.5pt;height:8.5pt;z-index:251590656;mso-position-horizontal-relative:page" fillcolor="#abe1fa" stroked="f">
            <w10:wrap anchorx="page"/>
          </v:rect>
        </w:pict>
      </w:r>
      <w:r>
        <w:pict>
          <v:rect id="docshape2173" o:spid="_x0000_s1873" style="position:absolute;left:0;text-align:left;margin-left:392.2pt;margin-top:.85pt;width:8.5pt;height:8.5pt;z-index:-251460608;mso-position-horizontal-relative:page" fillcolor="#8781bd" stroked="f">
            <w10:wrap anchorx="page"/>
          </v:rect>
        </w:pict>
      </w:r>
      <w:r>
        <w:pict>
          <v:rect id="docshape2174" o:spid="_x0000_s1872" style="position:absolute;left:0;text-align:left;margin-left:443.55pt;margin-top:.85pt;width:8.5pt;height:8.5pt;z-index:-251459584;mso-position-horizontal-relative:page" fillcolor="#00aeef" stroked="f">
            <w10:wrap anchorx="page"/>
          </v:rect>
        </w:pict>
      </w:r>
      <w:r>
        <w:pict>
          <v:rect id="docshape2175" o:spid="_x0000_s1871" style="position:absolute;left:0;text-align:left;margin-left:491.55pt;margin-top:.85pt;width:8.5pt;height:8.5pt;z-index:-251458560;mso-position-horizontal-relative:page" fillcolor="#2e3092" stroked="f">
            <w10:wrap anchorx="page"/>
          </v:rect>
        </w:pict>
      </w:r>
      <w:r w:rsidR="00F22F94">
        <w:rPr>
          <w:spacing w:val="-2"/>
          <w:w w:val="90"/>
          <w:sz w:val="16"/>
        </w:rPr>
        <w:t>Transgrid</w:t>
      </w:r>
      <w:r w:rsidR="00F22F94">
        <w:rPr>
          <w:sz w:val="16"/>
        </w:rPr>
        <w:tab/>
      </w:r>
      <w:r w:rsidR="00F22F94">
        <w:rPr>
          <w:spacing w:val="-2"/>
          <w:w w:val="90"/>
          <w:sz w:val="16"/>
        </w:rPr>
        <w:t>Essential</w:t>
      </w:r>
      <w:r w:rsidR="00F22F94">
        <w:rPr>
          <w:sz w:val="16"/>
        </w:rPr>
        <w:tab/>
      </w:r>
      <w:r w:rsidR="00F22F94">
        <w:rPr>
          <w:spacing w:val="-2"/>
          <w:w w:val="90"/>
          <w:sz w:val="16"/>
        </w:rPr>
        <w:t>Ausgrid</w:t>
      </w:r>
      <w:r w:rsidR="00F22F94">
        <w:rPr>
          <w:sz w:val="16"/>
        </w:rPr>
        <w:tab/>
      </w:r>
      <w:r w:rsidR="00F22F94">
        <w:rPr>
          <w:spacing w:val="-2"/>
          <w:w w:val="90"/>
          <w:sz w:val="16"/>
        </w:rPr>
        <w:t>Endeavour</w:t>
      </w:r>
    </w:p>
    <w:p w:rsidR="002C1123" w:rsidRDefault="00F22F94">
      <w:pPr>
        <w:spacing w:before="133" w:line="161" w:lineRule="exact"/>
        <w:ind w:left="555"/>
        <w:rPr>
          <w:sz w:val="14"/>
        </w:rPr>
      </w:pPr>
      <w:r>
        <w:rPr>
          <w:w w:val="95"/>
          <w:sz w:val="14"/>
        </w:rPr>
        <w:t>Source:</w:t>
      </w:r>
      <w:r>
        <w:rPr>
          <w:spacing w:val="6"/>
          <w:sz w:val="14"/>
        </w:rPr>
        <w:t xml:space="preserve"> </w:t>
      </w:r>
      <w:r>
        <w:rPr>
          <w:w w:val="95"/>
          <w:sz w:val="14"/>
        </w:rPr>
        <w:t>NSW</w:t>
      </w:r>
      <w:r>
        <w:rPr>
          <w:spacing w:val="6"/>
          <w:sz w:val="14"/>
        </w:rPr>
        <w:t xml:space="preserve"> </w:t>
      </w:r>
      <w:r>
        <w:rPr>
          <w:spacing w:val="-2"/>
          <w:w w:val="95"/>
          <w:sz w:val="14"/>
        </w:rPr>
        <w:t>Treasury.</w:t>
      </w:r>
    </w:p>
    <w:p w:rsidR="002C1123" w:rsidRDefault="00F22F94">
      <w:pPr>
        <w:spacing w:line="161" w:lineRule="exact"/>
        <w:ind w:left="555"/>
        <w:rPr>
          <w:sz w:val="14"/>
        </w:rPr>
      </w:pPr>
      <w:r>
        <w:rPr>
          <w:sz w:val="14"/>
        </w:rPr>
        <w:t>Note:</w:t>
      </w:r>
      <w:r>
        <w:rPr>
          <w:spacing w:val="-8"/>
          <w:sz w:val="14"/>
        </w:rPr>
        <w:t xml:space="preserve"> </w:t>
      </w:r>
      <w:r>
        <w:rPr>
          <w:sz w:val="14"/>
        </w:rPr>
        <w:t>Capital</w:t>
      </w:r>
      <w:r>
        <w:rPr>
          <w:spacing w:val="-8"/>
          <w:sz w:val="14"/>
        </w:rPr>
        <w:t xml:space="preserve"> </w:t>
      </w:r>
      <w:r>
        <w:rPr>
          <w:sz w:val="14"/>
        </w:rPr>
        <w:t>plans</w:t>
      </w:r>
      <w:r>
        <w:rPr>
          <w:spacing w:val="-8"/>
          <w:sz w:val="14"/>
        </w:rPr>
        <w:t xml:space="preserve"> </w:t>
      </w:r>
      <w:r>
        <w:rPr>
          <w:sz w:val="14"/>
        </w:rPr>
        <w:t>for</w:t>
      </w:r>
      <w:r>
        <w:rPr>
          <w:spacing w:val="-7"/>
          <w:sz w:val="14"/>
        </w:rPr>
        <w:t xml:space="preserve"> </w:t>
      </w:r>
      <w:r>
        <w:rPr>
          <w:sz w:val="14"/>
        </w:rPr>
        <w:t>2014-15</w:t>
      </w:r>
      <w:r>
        <w:rPr>
          <w:spacing w:val="-8"/>
          <w:sz w:val="14"/>
        </w:rPr>
        <w:t xml:space="preserve"> </w:t>
      </w:r>
      <w:r>
        <w:rPr>
          <w:sz w:val="14"/>
        </w:rPr>
        <w:t>onwards</w:t>
      </w:r>
      <w:r>
        <w:rPr>
          <w:spacing w:val="-8"/>
          <w:sz w:val="14"/>
        </w:rPr>
        <w:t xml:space="preserve"> </w:t>
      </w:r>
      <w:r>
        <w:rPr>
          <w:sz w:val="14"/>
        </w:rPr>
        <w:t>yet</w:t>
      </w:r>
      <w:r>
        <w:rPr>
          <w:spacing w:val="-7"/>
          <w:sz w:val="14"/>
        </w:rPr>
        <w:t xml:space="preserve"> </w:t>
      </w:r>
      <w:r>
        <w:rPr>
          <w:sz w:val="14"/>
        </w:rPr>
        <w:t>to</w:t>
      </w:r>
      <w:r>
        <w:rPr>
          <w:spacing w:val="-8"/>
          <w:sz w:val="14"/>
        </w:rPr>
        <w:t xml:space="preserve"> </w:t>
      </w:r>
      <w:r>
        <w:rPr>
          <w:sz w:val="14"/>
        </w:rPr>
        <w:t>be</w:t>
      </w:r>
      <w:r>
        <w:rPr>
          <w:spacing w:val="-8"/>
          <w:sz w:val="14"/>
        </w:rPr>
        <w:t xml:space="preserve"> </w:t>
      </w:r>
      <w:r>
        <w:rPr>
          <w:spacing w:val="-2"/>
          <w:sz w:val="14"/>
        </w:rPr>
        <w:t>reviewed.</w:t>
      </w:r>
    </w:p>
    <w:p w:rsidR="002C1123" w:rsidRDefault="002C1123">
      <w:pPr>
        <w:spacing w:line="161" w:lineRule="exact"/>
        <w:rPr>
          <w:sz w:val="14"/>
        </w:rPr>
        <w:sectPr w:rsidR="002C1123">
          <w:type w:val="continuous"/>
          <w:pgSz w:w="16840" w:h="11910" w:orient="landscape"/>
          <w:pgMar w:top="560" w:right="280" w:bottom="280" w:left="500" w:header="0" w:footer="517" w:gutter="0"/>
          <w:cols w:num="2" w:space="720" w:equalWidth="0">
            <w:col w:w="4303" w:space="664"/>
            <w:col w:w="11093"/>
          </w:cols>
        </w:sectPr>
      </w:pPr>
    </w:p>
    <w:p w:rsidR="002C1123" w:rsidRDefault="002C1123">
      <w:pPr>
        <w:pStyle w:val="BodyText"/>
        <w:spacing w:before="3"/>
        <w:rPr>
          <w:sz w:val="15"/>
        </w:rPr>
      </w:pPr>
    </w:p>
    <w:p w:rsidR="002C1123" w:rsidRDefault="002060EF">
      <w:pPr>
        <w:tabs>
          <w:tab w:val="left" w:pos="2542"/>
        </w:tabs>
        <w:spacing w:before="98"/>
        <w:ind w:left="1372"/>
        <w:rPr>
          <w:sz w:val="16"/>
        </w:rPr>
      </w:pPr>
      <w:r>
        <w:pict>
          <v:rect id="docshape2176" o:spid="_x0000_s1870" style="position:absolute;left:0;text-align:left;margin-left:81pt;margin-top:5.35pt;width:8.5pt;height:8.5pt;z-index:251589632;mso-position-horizontal-relative:page" fillcolor="#2e3092" stroked="f">
            <w10:wrap anchorx="page"/>
          </v:rect>
        </w:pict>
      </w:r>
      <w:r>
        <w:pict>
          <v:rect id="docshape2177" o:spid="_x0000_s1869" style="position:absolute;left:0;text-align:left;margin-left:139.25pt;margin-top:5.35pt;width:8.5pt;height:8.5pt;z-index:-251461632;mso-position-horizontal-relative:page" fillcolor="#00aeef" stroked="f">
            <w10:wrap anchorx="page"/>
          </v:rect>
        </w:pict>
      </w:r>
      <w:r>
        <w:pict>
          <v:shape id="docshape2178" o:spid="_x0000_s1868" type="#_x0000_t202" style="position:absolute;left:0;text-align:left;margin-left:252.1pt;margin-top:-50.45pt;width:11.05pt;height:27.3pt;z-index:251602944;mso-position-horizontal-relative:page" filled="f" stroked="f">
            <v:textbox style="layout-flow:vertical;mso-layout-flow-alt:bottom-to-top" inset="0,0,0,0">
              <w:txbxContent>
                <w:p w:rsidR="00F22F94" w:rsidRDefault="00F22F94">
                  <w:pPr>
                    <w:spacing w:before="18"/>
                    <w:ind w:left="20"/>
                    <w:rPr>
                      <w:sz w:val="16"/>
                    </w:rPr>
                  </w:pPr>
                  <w:r>
                    <w:rPr>
                      <w:spacing w:val="-2"/>
                      <w:w w:val="90"/>
                      <w:sz w:val="16"/>
                    </w:rPr>
                    <w:t>2013/14</w:t>
                  </w:r>
                </w:p>
              </w:txbxContent>
            </v:textbox>
            <w10:wrap anchorx="page"/>
          </v:shape>
        </w:pict>
      </w:r>
      <w:r w:rsidR="00F22F94">
        <w:rPr>
          <w:spacing w:val="-2"/>
          <w:w w:val="90"/>
          <w:sz w:val="16"/>
        </w:rPr>
        <w:t>Distribution</w:t>
      </w:r>
      <w:r w:rsidR="00F22F94">
        <w:rPr>
          <w:sz w:val="16"/>
        </w:rPr>
        <w:tab/>
      </w:r>
      <w:r w:rsidR="00F22F94">
        <w:rPr>
          <w:spacing w:val="-2"/>
          <w:w w:val="90"/>
          <w:sz w:val="16"/>
        </w:rPr>
        <w:t>Transmission</w:t>
      </w:r>
    </w:p>
    <w:p w:rsidR="002C1123" w:rsidRDefault="002C1123">
      <w:pPr>
        <w:pStyle w:val="BodyText"/>
        <w:spacing w:before="5"/>
        <w:rPr>
          <w:sz w:val="12"/>
        </w:rPr>
      </w:pPr>
    </w:p>
    <w:p w:rsidR="002C1123" w:rsidRDefault="00F22F94">
      <w:pPr>
        <w:spacing w:before="105"/>
        <w:ind w:left="555"/>
        <w:rPr>
          <w:sz w:val="14"/>
        </w:rPr>
      </w:pPr>
      <w:r>
        <w:rPr>
          <w:w w:val="95"/>
          <w:sz w:val="14"/>
        </w:rPr>
        <w:t>Source:</w:t>
      </w:r>
      <w:r>
        <w:rPr>
          <w:spacing w:val="9"/>
          <w:sz w:val="14"/>
        </w:rPr>
        <w:t xml:space="preserve"> </w:t>
      </w:r>
      <w:r>
        <w:rPr>
          <w:spacing w:val="-2"/>
          <w:sz w:val="14"/>
        </w:rPr>
        <w:t>AEMC.</w:t>
      </w:r>
    </w:p>
    <w:p w:rsidR="002C1123" w:rsidRDefault="002C1123">
      <w:pPr>
        <w:rPr>
          <w:sz w:val="14"/>
        </w:rPr>
        <w:sectPr w:rsidR="002C1123">
          <w:type w:val="continuous"/>
          <w:pgSz w:w="16840" w:h="11910" w:orient="landscape"/>
          <w:pgMar w:top="560" w:right="280" w:bottom="280" w:left="500" w:header="0" w:footer="517"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3"/>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spacing w:before="112"/>
        <w:ind w:left="512"/>
        <w:rPr>
          <w:b/>
          <w:sz w:val="18"/>
        </w:rPr>
      </w:pPr>
      <w:bookmarkStart w:id="308" w:name="_bookmark219"/>
      <w:bookmarkEnd w:id="308"/>
      <w:r>
        <w:rPr>
          <w:b/>
          <w:spacing w:val="-2"/>
          <w:sz w:val="18"/>
        </w:rPr>
        <w:t>Table</w:t>
      </w:r>
      <w:r>
        <w:rPr>
          <w:b/>
          <w:spacing w:val="-9"/>
          <w:sz w:val="18"/>
        </w:rPr>
        <w:t xml:space="preserve"> </w:t>
      </w:r>
      <w:r>
        <w:rPr>
          <w:b/>
          <w:spacing w:val="-2"/>
          <w:sz w:val="18"/>
        </w:rPr>
        <w:t>11.1</w:t>
      </w:r>
      <w:r>
        <w:rPr>
          <w:b/>
          <w:spacing w:val="34"/>
          <w:sz w:val="18"/>
        </w:rPr>
        <w:t xml:space="preserve"> </w:t>
      </w:r>
      <w:r>
        <w:rPr>
          <w:b/>
          <w:spacing w:val="-2"/>
          <w:sz w:val="18"/>
        </w:rPr>
        <w:t>2009-2014</w:t>
      </w:r>
      <w:r>
        <w:rPr>
          <w:b/>
          <w:spacing w:val="-9"/>
          <w:sz w:val="18"/>
        </w:rPr>
        <w:t xml:space="preserve"> </w:t>
      </w:r>
      <w:r>
        <w:rPr>
          <w:b/>
          <w:spacing w:val="-2"/>
          <w:sz w:val="18"/>
        </w:rPr>
        <w:t>Regulated</w:t>
      </w:r>
      <w:r>
        <w:rPr>
          <w:b/>
          <w:spacing w:val="-9"/>
          <w:sz w:val="18"/>
        </w:rPr>
        <w:t xml:space="preserve"> </w:t>
      </w:r>
      <w:r>
        <w:rPr>
          <w:b/>
          <w:spacing w:val="-2"/>
          <w:sz w:val="18"/>
        </w:rPr>
        <w:t>Asset</w:t>
      </w:r>
      <w:r>
        <w:rPr>
          <w:b/>
          <w:spacing w:val="-9"/>
          <w:sz w:val="18"/>
        </w:rPr>
        <w:t xml:space="preserve"> </w:t>
      </w:r>
      <w:r>
        <w:rPr>
          <w:b/>
          <w:spacing w:val="-2"/>
          <w:sz w:val="18"/>
        </w:rPr>
        <w:t>Base</w:t>
      </w:r>
      <w:r>
        <w:rPr>
          <w:b/>
          <w:spacing w:val="-9"/>
          <w:sz w:val="18"/>
        </w:rPr>
        <w:t xml:space="preserve"> </w:t>
      </w:r>
      <w:r>
        <w:rPr>
          <w:b/>
          <w:spacing w:val="-2"/>
          <w:sz w:val="18"/>
        </w:rPr>
        <w:t>Growth*</w:t>
      </w:r>
    </w:p>
    <w:p w:rsidR="002C1123" w:rsidRDefault="00F22F94">
      <w:pPr>
        <w:pStyle w:val="Heading6"/>
        <w:ind w:left="512"/>
      </w:pPr>
      <w:r>
        <w:rPr>
          <w:b w:val="0"/>
        </w:rPr>
        <w:br w:type="column"/>
      </w:r>
      <w:r>
        <w:rPr>
          <w:color w:val="00AEEF"/>
          <w:w w:val="95"/>
        </w:rPr>
        <w:t>Regulatory</w:t>
      </w:r>
      <w:r>
        <w:rPr>
          <w:color w:val="00AEEF"/>
          <w:spacing w:val="3"/>
        </w:rPr>
        <w:t xml:space="preserve"> </w:t>
      </w:r>
      <w:r>
        <w:rPr>
          <w:color w:val="00AEEF"/>
          <w:w w:val="95"/>
        </w:rPr>
        <w:t>incentives</w:t>
      </w:r>
      <w:r>
        <w:rPr>
          <w:color w:val="00AEEF"/>
          <w:spacing w:val="3"/>
        </w:rPr>
        <w:t xml:space="preserve"> </w:t>
      </w:r>
      <w:r>
        <w:rPr>
          <w:color w:val="00AEEF"/>
          <w:w w:val="95"/>
        </w:rPr>
        <w:t>for</w:t>
      </w:r>
      <w:r>
        <w:rPr>
          <w:color w:val="00AEEF"/>
          <w:spacing w:val="3"/>
        </w:rPr>
        <w:t xml:space="preserve"> </w:t>
      </w:r>
      <w:r>
        <w:rPr>
          <w:color w:val="00AEEF"/>
          <w:spacing w:val="-2"/>
          <w:w w:val="95"/>
        </w:rPr>
        <w:t>investment</w:t>
      </w:r>
    </w:p>
    <w:p w:rsidR="002C1123" w:rsidRDefault="00F22F94">
      <w:pPr>
        <w:spacing w:before="108"/>
        <w:ind w:left="512"/>
        <w:rPr>
          <w:b/>
          <w:sz w:val="20"/>
        </w:rPr>
      </w:pPr>
      <w:r>
        <w:br w:type="column"/>
      </w:r>
      <w:r>
        <w:rPr>
          <w:b/>
          <w:color w:val="00AEEF"/>
          <w:spacing w:val="-2"/>
          <w:sz w:val="20"/>
        </w:rPr>
        <w:t>Reliability</w:t>
      </w:r>
    </w:p>
    <w:p w:rsidR="002C1123" w:rsidRDefault="002C1123">
      <w:pPr>
        <w:rPr>
          <w:sz w:val="20"/>
        </w:rPr>
        <w:sectPr w:rsidR="002C1123">
          <w:type w:val="continuous"/>
          <w:pgSz w:w="16840" w:h="11910" w:orient="landscape"/>
          <w:pgMar w:top="560" w:right="280" w:bottom="280" w:left="500" w:header="0" w:footer="517" w:gutter="0"/>
          <w:cols w:num="3" w:space="720" w:equalWidth="0">
            <w:col w:w="4959" w:space="48"/>
            <w:col w:w="3959" w:space="1068"/>
            <w:col w:w="6026"/>
          </w:cols>
        </w:sectPr>
      </w:pPr>
    </w:p>
    <w:p w:rsidR="002C1123" w:rsidRDefault="00F22F94">
      <w:pPr>
        <w:spacing w:before="77" w:line="182" w:lineRule="exact"/>
        <w:ind w:left="1810"/>
        <w:rPr>
          <w:b/>
          <w:sz w:val="16"/>
        </w:rPr>
      </w:pPr>
      <w:r>
        <w:rPr>
          <w:b/>
          <w:color w:val="2E3092"/>
          <w:w w:val="95"/>
          <w:sz w:val="16"/>
        </w:rPr>
        <w:t>RAB</w:t>
      </w:r>
      <w:r>
        <w:rPr>
          <w:b/>
          <w:color w:val="2E3092"/>
          <w:spacing w:val="-2"/>
          <w:sz w:val="16"/>
        </w:rPr>
        <w:t xml:space="preserve"> </w:t>
      </w:r>
      <w:r>
        <w:rPr>
          <w:b/>
          <w:color w:val="2E3092"/>
          <w:spacing w:val="-5"/>
          <w:sz w:val="16"/>
        </w:rPr>
        <w:t>(2009</w:t>
      </w:r>
    </w:p>
    <w:p w:rsidR="002C1123" w:rsidRDefault="00F22F94">
      <w:pPr>
        <w:spacing w:line="182" w:lineRule="exact"/>
        <w:ind w:left="1810"/>
        <w:rPr>
          <w:b/>
          <w:sz w:val="16"/>
        </w:rPr>
      </w:pPr>
      <w:r>
        <w:rPr>
          <w:b/>
          <w:color w:val="2E3092"/>
          <w:spacing w:val="-2"/>
          <w:sz w:val="16"/>
        </w:rPr>
        <w:t>$million)</w:t>
      </w:r>
    </w:p>
    <w:p w:rsidR="002C1123" w:rsidRDefault="00F22F94">
      <w:pPr>
        <w:spacing w:before="77" w:line="182" w:lineRule="exact"/>
        <w:ind w:left="383"/>
        <w:rPr>
          <w:b/>
          <w:sz w:val="16"/>
        </w:rPr>
      </w:pPr>
      <w:r>
        <w:br w:type="column"/>
      </w:r>
      <w:r>
        <w:rPr>
          <w:b/>
          <w:color w:val="2E3092"/>
          <w:spacing w:val="-2"/>
          <w:sz w:val="16"/>
        </w:rPr>
        <w:t>Investment</w:t>
      </w:r>
    </w:p>
    <w:p w:rsidR="002C1123" w:rsidRDefault="00F22F94">
      <w:pPr>
        <w:tabs>
          <w:tab w:val="left" w:pos="1578"/>
        </w:tabs>
        <w:spacing w:line="182" w:lineRule="exact"/>
        <w:ind w:left="383"/>
        <w:rPr>
          <w:b/>
          <w:sz w:val="16"/>
        </w:rPr>
      </w:pPr>
      <w:r>
        <w:rPr>
          <w:b/>
          <w:color w:val="2E3092"/>
          <w:spacing w:val="-2"/>
          <w:sz w:val="16"/>
        </w:rPr>
        <w:t>2009-</w:t>
      </w:r>
      <w:r>
        <w:rPr>
          <w:b/>
          <w:color w:val="2E3092"/>
          <w:spacing w:val="-4"/>
          <w:sz w:val="16"/>
        </w:rPr>
        <w:t>2014</w:t>
      </w:r>
      <w:r>
        <w:rPr>
          <w:b/>
          <w:color w:val="2E3092"/>
          <w:sz w:val="16"/>
        </w:rPr>
        <w:tab/>
        <w:t>%</w:t>
      </w:r>
      <w:r>
        <w:rPr>
          <w:b/>
          <w:color w:val="2E3092"/>
          <w:spacing w:val="13"/>
          <w:sz w:val="16"/>
        </w:rPr>
        <w:t xml:space="preserve"> </w:t>
      </w:r>
      <w:r>
        <w:rPr>
          <w:b/>
          <w:color w:val="2E3092"/>
          <w:spacing w:val="-5"/>
          <w:sz w:val="16"/>
        </w:rPr>
        <w:t>Added</w:t>
      </w:r>
    </w:p>
    <w:p w:rsidR="002C1123" w:rsidRDefault="00F22F94">
      <w:pPr>
        <w:pStyle w:val="BodyText"/>
        <w:spacing w:before="95" w:line="249" w:lineRule="auto"/>
        <w:ind w:left="590"/>
      </w:pPr>
      <w:r>
        <w:br w:type="column"/>
      </w:r>
      <w:r>
        <w:t>The</w:t>
      </w:r>
      <w:r>
        <w:rPr>
          <w:spacing w:val="-8"/>
        </w:rPr>
        <w:t xml:space="preserve"> </w:t>
      </w:r>
      <w:r>
        <w:t>regulatory</w:t>
      </w:r>
      <w:r>
        <w:rPr>
          <w:spacing w:val="-8"/>
        </w:rPr>
        <w:t xml:space="preserve"> </w:t>
      </w:r>
      <w:r>
        <w:t>framework</w:t>
      </w:r>
      <w:r>
        <w:rPr>
          <w:spacing w:val="-8"/>
        </w:rPr>
        <w:t xml:space="preserve"> </w:t>
      </w:r>
      <w:r>
        <w:t>is</w:t>
      </w:r>
      <w:r>
        <w:rPr>
          <w:spacing w:val="-8"/>
        </w:rPr>
        <w:t xml:space="preserve"> </w:t>
      </w:r>
      <w:r>
        <w:t>designed</w:t>
      </w:r>
      <w:r>
        <w:rPr>
          <w:spacing w:val="-8"/>
        </w:rPr>
        <w:t xml:space="preserve"> </w:t>
      </w:r>
      <w:r>
        <w:t>to</w:t>
      </w:r>
      <w:r>
        <w:rPr>
          <w:spacing w:val="-8"/>
        </w:rPr>
        <w:t xml:space="preserve"> </w:t>
      </w:r>
      <w:r>
        <w:t>support</w:t>
      </w:r>
      <w:r>
        <w:rPr>
          <w:spacing w:val="-8"/>
        </w:rPr>
        <w:t xml:space="preserve"> </w:t>
      </w:r>
      <w:r>
        <w:t xml:space="preserve">the </w:t>
      </w:r>
      <w:r>
        <w:rPr>
          <w:w w:val="95"/>
        </w:rPr>
        <w:t>national</w:t>
      </w:r>
      <w:r>
        <w:rPr>
          <w:spacing w:val="-6"/>
          <w:w w:val="95"/>
        </w:rPr>
        <w:t xml:space="preserve"> </w:t>
      </w:r>
      <w:r>
        <w:rPr>
          <w:w w:val="95"/>
        </w:rPr>
        <w:t>objective</w:t>
      </w:r>
      <w:r>
        <w:rPr>
          <w:spacing w:val="-6"/>
          <w:w w:val="95"/>
        </w:rPr>
        <w:t xml:space="preserve"> </w:t>
      </w:r>
      <w:r>
        <w:rPr>
          <w:w w:val="95"/>
        </w:rPr>
        <w:t>to</w:t>
      </w:r>
      <w:r>
        <w:rPr>
          <w:spacing w:val="-6"/>
          <w:w w:val="95"/>
        </w:rPr>
        <w:t xml:space="preserve"> </w:t>
      </w:r>
      <w:r>
        <w:rPr>
          <w:w w:val="95"/>
        </w:rPr>
        <w:t>promote</w:t>
      </w:r>
      <w:r>
        <w:rPr>
          <w:spacing w:val="-6"/>
          <w:w w:val="95"/>
        </w:rPr>
        <w:t xml:space="preserve"> </w:t>
      </w:r>
      <w:r>
        <w:rPr>
          <w:w w:val="95"/>
        </w:rPr>
        <w:t>efficient</w:t>
      </w:r>
      <w:r>
        <w:rPr>
          <w:spacing w:val="-6"/>
          <w:w w:val="95"/>
        </w:rPr>
        <w:t xml:space="preserve"> </w:t>
      </w:r>
      <w:r>
        <w:rPr>
          <w:w w:val="95"/>
        </w:rPr>
        <w:t>investment</w:t>
      </w:r>
      <w:r>
        <w:rPr>
          <w:spacing w:val="-6"/>
          <w:w w:val="95"/>
        </w:rPr>
        <w:t xml:space="preserve"> </w:t>
      </w:r>
      <w:r>
        <w:rPr>
          <w:w w:val="95"/>
        </w:rPr>
        <w:t>for</w:t>
      </w:r>
      <w:r>
        <w:rPr>
          <w:spacing w:val="-6"/>
          <w:w w:val="95"/>
        </w:rPr>
        <w:t xml:space="preserve"> </w:t>
      </w:r>
      <w:r>
        <w:rPr>
          <w:w w:val="95"/>
        </w:rPr>
        <w:t xml:space="preserve">the </w:t>
      </w:r>
      <w:r>
        <w:t>long term interests of consumers.</w:t>
      </w:r>
    </w:p>
    <w:p w:rsidR="002C1123" w:rsidRDefault="002060EF">
      <w:pPr>
        <w:pStyle w:val="BodyText"/>
        <w:spacing w:before="144"/>
        <w:ind w:left="590"/>
      </w:pPr>
      <w:r>
        <w:pict>
          <v:shape id="docshape2179" o:spid="_x0000_s1867" type="#_x0000_t202" style="position:absolute;left:0;text-align:left;margin-left:49.6pt;margin-top:-15.1pt;width:240pt;height:79.7pt;z-index:251624448;mso-position-horizontal-relative:page" filled="f" stroked="f">
            <v:textbox inset="0,0,0,0">
              <w:txbxContent>
                <w:tbl>
                  <w:tblPr>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195"/>
                    <w:gridCol w:w="1195"/>
                    <w:gridCol w:w="1195"/>
                    <w:gridCol w:w="1195"/>
                  </w:tblGrid>
                  <w:tr w:rsidR="00F22F94">
                    <w:trPr>
                      <w:trHeight w:val="376"/>
                    </w:trPr>
                    <w:tc>
                      <w:tcPr>
                        <w:tcW w:w="1195" w:type="dxa"/>
                        <w:tcBorders>
                          <w:left w:val="nil"/>
                        </w:tcBorders>
                        <w:shd w:val="clear" w:color="auto" w:fill="C9C8C9"/>
                      </w:tcPr>
                      <w:p w:rsidR="00F22F94" w:rsidRDefault="00F22F94">
                        <w:pPr>
                          <w:pStyle w:val="TableParagraph"/>
                          <w:spacing w:before="63"/>
                          <w:rPr>
                            <w:sz w:val="18"/>
                          </w:rPr>
                        </w:pPr>
                        <w:r>
                          <w:rPr>
                            <w:spacing w:val="-2"/>
                            <w:sz w:val="18"/>
                          </w:rPr>
                          <w:t>TransGrid</w:t>
                        </w:r>
                      </w:p>
                    </w:tc>
                    <w:tc>
                      <w:tcPr>
                        <w:tcW w:w="1195" w:type="dxa"/>
                        <w:shd w:val="clear" w:color="auto" w:fill="E1E0E1"/>
                      </w:tcPr>
                      <w:p w:rsidR="00F22F94" w:rsidRDefault="00F22F94">
                        <w:pPr>
                          <w:pStyle w:val="TableParagraph"/>
                          <w:rPr>
                            <w:sz w:val="16"/>
                          </w:rPr>
                        </w:pPr>
                        <w:r>
                          <w:rPr>
                            <w:spacing w:val="-2"/>
                            <w:sz w:val="16"/>
                          </w:rPr>
                          <w:t>4,213</w:t>
                        </w:r>
                      </w:p>
                    </w:tc>
                    <w:tc>
                      <w:tcPr>
                        <w:tcW w:w="1195" w:type="dxa"/>
                        <w:shd w:val="clear" w:color="auto" w:fill="E1E0E1"/>
                      </w:tcPr>
                      <w:p w:rsidR="00F22F94" w:rsidRDefault="00F22F94">
                        <w:pPr>
                          <w:pStyle w:val="TableParagraph"/>
                          <w:rPr>
                            <w:sz w:val="16"/>
                          </w:rPr>
                        </w:pPr>
                        <w:r>
                          <w:rPr>
                            <w:spacing w:val="-2"/>
                            <w:sz w:val="16"/>
                          </w:rPr>
                          <w:t>2,440</w:t>
                        </w:r>
                      </w:p>
                    </w:tc>
                    <w:tc>
                      <w:tcPr>
                        <w:tcW w:w="1195" w:type="dxa"/>
                        <w:shd w:val="clear" w:color="auto" w:fill="E1E0E1"/>
                      </w:tcPr>
                      <w:p w:rsidR="00F22F94" w:rsidRDefault="00F22F94">
                        <w:pPr>
                          <w:pStyle w:val="TableParagraph"/>
                          <w:spacing w:before="57"/>
                          <w:rPr>
                            <w:rFonts w:ascii="Tahoma"/>
                            <w:sz w:val="16"/>
                          </w:rPr>
                        </w:pPr>
                        <w:r>
                          <w:rPr>
                            <w:rFonts w:ascii="Tahoma"/>
                            <w:spacing w:val="-5"/>
                            <w:sz w:val="16"/>
                          </w:rPr>
                          <w:t>58%</w:t>
                        </w:r>
                      </w:p>
                    </w:tc>
                  </w:tr>
                  <w:tr w:rsidR="00F22F94">
                    <w:trPr>
                      <w:trHeight w:val="376"/>
                    </w:trPr>
                    <w:tc>
                      <w:tcPr>
                        <w:tcW w:w="1195" w:type="dxa"/>
                        <w:tcBorders>
                          <w:left w:val="nil"/>
                        </w:tcBorders>
                        <w:shd w:val="clear" w:color="auto" w:fill="C9C8C9"/>
                      </w:tcPr>
                      <w:p w:rsidR="00F22F94" w:rsidRDefault="00F22F94">
                        <w:pPr>
                          <w:pStyle w:val="TableParagraph"/>
                          <w:spacing w:before="63"/>
                          <w:rPr>
                            <w:sz w:val="18"/>
                          </w:rPr>
                        </w:pPr>
                        <w:r>
                          <w:rPr>
                            <w:spacing w:val="-2"/>
                            <w:w w:val="105"/>
                            <w:sz w:val="18"/>
                          </w:rPr>
                          <w:t>Ausgrid</w:t>
                        </w:r>
                      </w:p>
                    </w:tc>
                    <w:tc>
                      <w:tcPr>
                        <w:tcW w:w="1195" w:type="dxa"/>
                        <w:shd w:val="clear" w:color="auto" w:fill="E1E0E1"/>
                      </w:tcPr>
                      <w:p w:rsidR="00F22F94" w:rsidRDefault="00F22F94">
                        <w:pPr>
                          <w:pStyle w:val="TableParagraph"/>
                          <w:rPr>
                            <w:sz w:val="16"/>
                          </w:rPr>
                        </w:pPr>
                        <w:r>
                          <w:rPr>
                            <w:spacing w:val="-2"/>
                            <w:sz w:val="16"/>
                          </w:rPr>
                          <w:t>8,431</w:t>
                        </w:r>
                      </w:p>
                    </w:tc>
                    <w:tc>
                      <w:tcPr>
                        <w:tcW w:w="1195" w:type="dxa"/>
                        <w:shd w:val="clear" w:color="auto" w:fill="E1E0E1"/>
                      </w:tcPr>
                      <w:p w:rsidR="00F22F94" w:rsidRDefault="00F22F94">
                        <w:pPr>
                          <w:pStyle w:val="TableParagraph"/>
                          <w:rPr>
                            <w:sz w:val="16"/>
                          </w:rPr>
                        </w:pPr>
                        <w:r>
                          <w:rPr>
                            <w:spacing w:val="-2"/>
                            <w:sz w:val="16"/>
                          </w:rPr>
                          <w:t>7,837</w:t>
                        </w:r>
                      </w:p>
                    </w:tc>
                    <w:tc>
                      <w:tcPr>
                        <w:tcW w:w="1195" w:type="dxa"/>
                        <w:shd w:val="clear" w:color="auto" w:fill="E1E0E1"/>
                      </w:tcPr>
                      <w:p w:rsidR="00F22F94" w:rsidRDefault="00F22F94">
                        <w:pPr>
                          <w:pStyle w:val="TableParagraph"/>
                          <w:spacing w:before="57"/>
                          <w:rPr>
                            <w:rFonts w:ascii="Tahoma"/>
                            <w:sz w:val="16"/>
                          </w:rPr>
                        </w:pPr>
                        <w:r>
                          <w:rPr>
                            <w:rFonts w:ascii="Tahoma"/>
                            <w:spacing w:val="-5"/>
                            <w:sz w:val="16"/>
                          </w:rPr>
                          <w:t>93%</w:t>
                        </w:r>
                      </w:p>
                    </w:tc>
                  </w:tr>
                  <w:tr w:rsidR="00F22F94">
                    <w:trPr>
                      <w:trHeight w:val="376"/>
                    </w:trPr>
                    <w:tc>
                      <w:tcPr>
                        <w:tcW w:w="1195" w:type="dxa"/>
                        <w:tcBorders>
                          <w:left w:val="nil"/>
                        </w:tcBorders>
                        <w:shd w:val="clear" w:color="auto" w:fill="C9C8C9"/>
                      </w:tcPr>
                      <w:p w:rsidR="00F22F94" w:rsidRDefault="00F22F94">
                        <w:pPr>
                          <w:pStyle w:val="TableParagraph"/>
                          <w:spacing w:before="63"/>
                          <w:rPr>
                            <w:sz w:val="18"/>
                          </w:rPr>
                        </w:pPr>
                        <w:r>
                          <w:rPr>
                            <w:spacing w:val="-2"/>
                            <w:sz w:val="18"/>
                          </w:rPr>
                          <w:t>Endeavour</w:t>
                        </w:r>
                      </w:p>
                    </w:tc>
                    <w:tc>
                      <w:tcPr>
                        <w:tcW w:w="1195" w:type="dxa"/>
                        <w:shd w:val="clear" w:color="auto" w:fill="E1E0E1"/>
                      </w:tcPr>
                      <w:p w:rsidR="00F22F94" w:rsidRDefault="00F22F94">
                        <w:pPr>
                          <w:pStyle w:val="TableParagraph"/>
                          <w:rPr>
                            <w:sz w:val="16"/>
                          </w:rPr>
                        </w:pPr>
                        <w:r>
                          <w:rPr>
                            <w:spacing w:val="-2"/>
                            <w:sz w:val="16"/>
                          </w:rPr>
                          <w:t>3,744</w:t>
                        </w:r>
                      </w:p>
                    </w:tc>
                    <w:tc>
                      <w:tcPr>
                        <w:tcW w:w="1195" w:type="dxa"/>
                        <w:shd w:val="clear" w:color="auto" w:fill="E1E0E1"/>
                      </w:tcPr>
                      <w:p w:rsidR="00F22F94" w:rsidRDefault="00F22F94">
                        <w:pPr>
                          <w:pStyle w:val="TableParagraph"/>
                          <w:rPr>
                            <w:sz w:val="16"/>
                          </w:rPr>
                        </w:pPr>
                        <w:r>
                          <w:rPr>
                            <w:spacing w:val="-2"/>
                            <w:sz w:val="16"/>
                          </w:rPr>
                          <w:t>2,721</w:t>
                        </w:r>
                      </w:p>
                    </w:tc>
                    <w:tc>
                      <w:tcPr>
                        <w:tcW w:w="1195" w:type="dxa"/>
                        <w:shd w:val="clear" w:color="auto" w:fill="E1E0E1"/>
                      </w:tcPr>
                      <w:p w:rsidR="00F22F94" w:rsidRDefault="00F22F94">
                        <w:pPr>
                          <w:pStyle w:val="TableParagraph"/>
                          <w:spacing w:before="57"/>
                          <w:rPr>
                            <w:rFonts w:ascii="Tahoma"/>
                            <w:sz w:val="16"/>
                          </w:rPr>
                        </w:pPr>
                        <w:r>
                          <w:rPr>
                            <w:rFonts w:ascii="Tahoma"/>
                            <w:spacing w:val="-5"/>
                            <w:sz w:val="16"/>
                          </w:rPr>
                          <w:t>73%</w:t>
                        </w:r>
                      </w:p>
                    </w:tc>
                  </w:tr>
                  <w:tr w:rsidR="00F22F94">
                    <w:trPr>
                      <w:trHeight w:val="386"/>
                    </w:trPr>
                    <w:tc>
                      <w:tcPr>
                        <w:tcW w:w="1195" w:type="dxa"/>
                        <w:tcBorders>
                          <w:left w:val="nil"/>
                          <w:bottom w:val="nil"/>
                        </w:tcBorders>
                        <w:shd w:val="clear" w:color="auto" w:fill="C9C8C9"/>
                      </w:tcPr>
                      <w:p w:rsidR="00F22F94" w:rsidRDefault="00F22F94">
                        <w:pPr>
                          <w:pStyle w:val="TableParagraph"/>
                          <w:spacing w:before="63"/>
                          <w:rPr>
                            <w:sz w:val="18"/>
                          </w:rPr>
                        </w:pPr>
                        <w:r>
                          <w:rPr>
                            <w:spacing w:val="-2"/>
                            <w:sz w:val="18"/>
                          </w:rPr>
                          <w:t>Essential</w:t>
                        </w:r>
                      </w:p>
                    </w:tc>
                    <w:tc>
                      <w:tcPr>
                        <w:tcW w:w="1195" w:type="dxa"/>
                        <w:tcBorders>
                          <w:bottom w:val="nil"/>
                        </w:tcBorders>
                        <w:shd w:val="clear" w:color="auto" w:fill="E1E0E1"/>
                      </w:tcPr>
                      <w:p w:rsidR="00F22F94" w:rsidRDefault="00F22F94">
                        <w:pPr>
                          <w:pStyle w:val="TableParagraph"/>
                          <w:rPr>
                            <w:sz w:val="16"/>
                          </w:rPr>
                        </w:pPr>
                        <w:r>
                          <w:rPr>
                            <w:spacing w:val="-2"/>
                            <w:sz w:val="16"/>
                          </w:rPr>
                          <w:t>4,382</w:t>
                        </w:r>
                      </w:p>
                    </w:tc>
                    <w:tc>
                      <w:tcPr>
                        <w:tcW w:w="1195" w:type="dxa"/>
                        <w:tcBorders>
                          <w:bottom w:val="nil"/>
                        </w:tcBorders>
                        <w:shd w:val="clear" w:color="auto" w:fill="E1E0E1"/>
                      </w:tcPr>
                      <w:p w:rsidR="00F22F94" w:rsidRDefault="00F22F94">
                        <w:pPr>
                          <w:pStyle w:val="TableParagraph"/>
                          <w:rPr>
                            <w:sz w:val="16"/>
                          </w:rPr>
                        </w:pPr>
                        <w:r>
                          <w:rPr>
                            <w:spacing w:val="-2"/>
                            <w:sz w:val="16"/>
                          </w:rPr>
                          <w:t>3,826</w:t>
                        </w:r>
                      </w:p>
                    </w:tc>
                    <w:tc>
                      <w:tcPr>
                        <w:tcW w:w="1195" w:type="dxa"/>
                        <w:tcBorders>
                          <w:bottom w:val="nil"/>
                        </w:tcBorders>
                        <w:shd w:val="clear" w:color="auto" w:fill="E1E0E1"/>
                      </w:tcPr>
                      <w:p w:rsidR="00F22F94" w:rsidRDefault="00F22F94">
                        <w:pPr>
                          <w:pStyle w:val="TableParagraph"/>
                          <w:spacing w:before="57"/>
                          <w:rPr>
                            <w:rFonts w:ascii="Tahoma"/>
                            <w:sz w:val="16"/>
                          </w:rPr>
                        </w:pPr>
                        <w:r>
                          <w:rPr>
                            <w:rFonts w:ascii="Tahoma"/>
                            <w:spacing w:val="-5"/>
                            <w:sz w:val="16"/>
                          </w:rPr>
                          <w:t>87%</w:t>
                        </w:r>
                      </w:p>
                    </w:tc>
                  </w:tr>
                </w:tbl>
                <w:p w:rsidR="00F22F94" w:rsidRDefault="00F22F94">
                  <w:pPr>
                    <w:pStyle w:val="BodyText"/>
                  </w:pPr>
                </w:p>
              </w:txbxContent>
            </v:textbox>
            <w10:wrap anchorx="page"/>
          </v:shape>
        </w:pict>
      </w:r>
      <w:r w:rsidR="00F22F94">
        <w:rPr>
          <w:w w:val="95"/>
        </w:rPr>
        <w:t>However,</w:t>
      </w:r>
      <w:r w:rsidR="00F22F94">
        <w:rPr>
          <w:spacing w:val="-7"/>
          <w:w w:val="95"/>
        </w:rPr>
        <w:t xml:space="preserve"> </w:t>
      </w:r>
      <w:r w:rsidR="00F22F94">
        <w:rPr>
          <w:w w:val="95"/>
        </w:rPr>
        <w:t>Infrastructure</w:t>
      </w:r>
      <w:r w:rsidR="00F22F94">
        <w:rPr>
          <w:spacing w:val="-7"/>
          <w:w w:val="95"/>
        </w:rPr>
        <w:t xml:space="preserve"> </w:t>
      </w:r>
      <w:r w:rsidR="00F22F94">
        <w:rPr>
          <w:w w:val="95"/>
        </w:rPr>
        <w:t>NSW</w:t>
      </w:r>
      <w:r w:rsidR="00F22F94">
        <w:rPr>
          <w:spacing w:val="-6"/>
          <w:w w:val="95"/>
        </w:rPr>
        <w:t xml:space="preserve"> </w:t>
      </w:r>
      <w:r w:rsidR="00F22F94">
        <w:rPr>
          <w:w w:val="95"/>
        </w:rPr>
        <w:t>has</w:t>
      </w:r>
      <w:r w:rsidR="00F22F94">
        <w:rPr>
          <w:spacing w:val="-7"/>
          <w:w w:val="95"/>
        </w:rPr>
        <w:t xml:space="preserve"> </w:t>
      </w:r>
      <w:r w:rsidR="00F22F94">
        <w:rPr>
          <w:w w:val="95"/>
        </w:rPr>
        <w:t>concluded</w:t>
      </w:r>
      <w:r w:rsidR="00F22F94">
        <w:rPr>
          <w:spacing w:val="-7"/>
          <w:w w:val="95"/>
        </w:rPr>
        <w:t xml:space="preserve"> </w:t>
      </w:r>
      <w:r w:rsidR="00F22F94">
        <w:rPr>
          <w:spacing w:val="-4"/>
          <w:w w:val="95"/>
        </w:rPr>
        <w:t>that</w:t>
      </w:r>
    </w:p>
    <w:p w:rsidR="002C1123" w:rsidRDefault="00F22F94">
      <w:pPr>
        <w:pStyle w:val="BodyText"/>
        <w:spacing w:before="10" w:line="249" w:lineRule="auto"/>
        <w:ind w:left="590"/>
      </w:pPr>
      <w:r>
        <w:rPr>
          <w:w w:val="95"/>
        </w:rPr>
        <w:t>there</w:t>
      </w:r>
      <w:r>
        <w:rPr>
          <w:spacing w:val="-4"/>
          <w:w w:val="95"/>
        </w:rPr>
        <w:t xml:space="preserve"> </w:t>
      </w:r>
      <w:r>
        <w:rPr>
          <w:w w:val="95"/>
        </w:rPr>
        <w:t>has</w:t>
      </w:r>
      <w:r>
        <w:rPr>
          <w:spacing w:val="-4"/>
          <w:w w:val="95"/>
        </w:rPr>
        <w:t xml:space="preserve"> </w:t>
      </w:r>
      <w:r>
        <w:rPr>
          <w:w w:val="95"/>
        </w:rPr>
        <w:t>been</w:t>
      </w:r>
      <w:r>
        <w:rPr>
          <w:spacing w:val="-4"/>
          <w:w w:val="95"/>
        </w:rPr>
        <w:t xml:space="preserve"> </w:t>
      </w:r>
      <w:r>
        <w:rPr>
          <w:w w:val="95"/>
        </w:rPr>
        <w:t>high</w:t>
      </w:r>
      <w:r>
        <w:rPr>
          <w:spacing w:val="-4"/>
          <w:w w:val="95"/>
        </w:rPr>
        <w:t xml:space="preserve"> </w:t>
      </w:r>
      <w:r>
        <w:rPr>
          <w:w w:val="95"/>
        </w:rPr>
        <w:t>capital</w:t>
      </w:r>
      <w:r>
        <w:rPr>
          <w:spacing w:val="-4"/>
          <w:w w:val="95"/>
        </w:rPr>
        <w:t xml:space="preserve"> </w:t>
      </w:r>
      <w:r>
        <w:rPr>
          <w:w w:val="95"/>
        </w:rPr>
        <w:t>spending</w:t>
      </w:r>
      <w:r>
        <w:rPr>
          <w:spacing w:val="-4"/>
          <w:w w:val="95"/>
        </w:rPr>
        <w:t xml:space="preserve"> </w:t>
      </w:r>
      <w:r>
        <w:rPr>
          <w:w w:val="95"/>
        </w:rPr>
        <w:t>in</w:t>
      </w:r>
      <w:r>
        <w:rPr>
          <w:spacing w:val="-4"/>
          <w:w w:val="95"/>
        </w:rPr>
        <w:t xml:space="preserve"> </w:t>
      </w:r>
      <w:r>
        <w:rPr>
          <w:w w:val="95"/>
        </w:rPr>
        <w:t>NSW</w:t>
      </w:r>
      <w:r>
        <w:rPr>
          <w:spacing w:val="-4"/>
          <w:w w:val="95"/>
        </w:rPr>
        <w:t xml:space="preserve"> </w:t>
      </w:r>
      <w:r>
        <w:rPr>
          <w:w w:val="95"/>
        </w:rPr>
        <w:t xml:space="preserve">networks </w:t>
      </w:r>
      <w:r>
        <w:t>which</w:t>
      </w:r>
      <w:r>
        <w:rPr>
          <w:spacing w:val="-10"/>
        </w:rPr>
        <w:t xml:space="preserve"> </w:t>
      </w:r>
      <w:r>
        <w:t>is</w:t>
      </w:r>
      <w:r>
        <w:rPr>
          <w:spacing w:val="-10"/>
        </w:rPr>
        <w:t xml:space="preserve"> </w:t>
      </w:r>
      <w:r>
        <w:t>partly</w:t>
      </w:r>
      <w:r>
        <w:rPr>
          <w:spacing w:val="-10"/>
        </w:rPr>
        <w:t xml:space="preserve"> </w:t>
      </w:r>
      <w:r>
        <w:t>due</w:t>
      </w:r>
      <w:r>
        <w:rPr>
          <w:spacing w:val="-10"/>
        </w:rPr>
        <w:t xml:space="preserve"> </w:t>
      </w:r>
      <w:r>
        <w:t>to</w:t>
      </w:r>
      <w:r>
        <w:rPr>
          <w:spacing w:val="-10"/>
        </w:rPr>
        <w:t xml:space="preserve"> </w:t>
      </w:r>
      <w:r>
        <w:t>the</w:t>
      </w:r>
      <w:r>
        <w:rPr>
          <w:spacing w:val="-10"/>
        </w:rPr>
        <w:t xml:space="preserve"> </w:t>
      </w:r>
      <w:r>
        <w:t>high</w:t>
      </w:r>
      <w:r>
        <w:rPr>
          <w:spacing w:val="-10"/>
        </w:rPr>
        <w:t xml:space="preserve"> </w:t>
      </w:r>
      <w:r>
        <w:t>incentive</w:t>
      </w:r>
      <w:r>
        <w:rPr>
          <w:spacing w:val="-10"/>
        </w:rPr>
        <w:t xml:space="preserve"> </w:t>
      </w:r>
      <w:r>
        <w:t>for</w:t>
      </w:r>
      <w:r>
        <w:rPr>
          <w:spacing w:val="-10"/>
        </w:rPr>
        <w:t xml:space="preserve"> </w:t>
      </w:r>
      <w:r>
        <w:t>capital investment</w:t>
      </w:r>
      <w:r>
        <w:rPr>
          <w:spacing w:val="-12"/>
        </w:rPr>
        <w:t xml:space="preserve"> </w:t>
      </w:r>
      <w:r>
        <w:t>arising</w:t>
      </w:r>
      <w:r>
        <w:rPr>
          <w:spacing w:val="-12"/>
        </w:rPr>
        <w:t xml:space="preserve"> </w:t>
      </w:r>
      <w:r>
        <w:t>from</w:t>
      </w:r>
      <w:r>
        <w:rPr>
          <w:spacing w:val="-13"/>
        </w:rPr>
        <w:t xml:space="preserve"> </w:t>
      </w:r>
      <w:r>
        <w:t>the</w:t>
      </w:r>
      <w:r>
        <w:rPr>
          <w:spacing w:val="-12"/>
        </w:rPr>
        <w:t xml:space="preserve"> </w:t>
      </w:r>
      <w:r>
        <w:t>regulated</w:t>
      </w:r>
      <w:r>
        <w:rPr>
          <w:spacing w:val="-12"/>
        </w:rPr>
        <w:t xml:space="preserve"> </w:t>
      </w:r>
      <w:r>
        <w:t>cost</w:t>
      </w:r>
      <w:r>
        <w:rPr>
          <w:spacing w:val="-12"/>
        </w:rPr>
        <w:t xml:space="preserve"> </w:t>
      </w:r>
      <w:r>
        <w:t>of</w:t>
      </w:r>
      <w:r>
        <w:rPr>
          <w:spacing w:val="-12"/>
        </w:rPr>
        <w:t xml:space="preserve"> </w:t>
      </w:r>
      <w:r>
        <w:t>capital.</w:t>
      </w:r>
    </w:p>
    <w:p w:rsidR="002C1123" w:rsidRDefault="00F22F94">
      <w:pPr>
        <w:pStyle w:val="BodyText"/>
        <w:spacing w:before="144" w:line="121" w:lineRule="exact"/>
        <w:ind w:left="590"/>
      </w:pPr>
      <w:r>
        <w:rPr>
          <w:spacing w:val="-2"/>
          <w:w w:val="95"/>
        </w:rPr>
        <w:t>Table</w:t>
      </w:r>
      <w:r>
        <w:rPr>
          <w:spacing w:val="-5"/>
        </w:rPr>
        <w:t xml:space="preserve"> </w:t>
      </w:r>
      <w:r>
        <w:rPr>
          <w:spacing w:val="-2"/>
          <w:w w:val="95"/>
        </w:rPr>
        <w:t>11.2</w:t>
      </w:r>
      <w:r>
        <w:rPr>
          <w:spacing w:val="-4"/>
        </w:rPr>
        <w:t xml:space="preserve"> </w:t>
      </w:r>
      <w:r>
        <w:rPr>
          <w:spacing w:val="-2"/>
          <w:w w:val="95"/>
        </w:rPr>
        <w:t>below</w:t>
      </w:r>
      <w:r>
        <w:rPr>
          <w:spacing w:val="-4"/>
        </w:rPr>
        <w:t xml:space="preserve"> </w:t>
      </w:r>
      <w:r>
        <w:rPr>
          <w:spacing w:val="-2"/>
          <w:w w:val="95"/>
        </w:rPr>
        <w:t>shows</w:t>
      </w:r>
      <w:r>
        <w:rPr>
          <w:spacing w:val="-5"/>
        </w:rPr>
        <w:t xml:space="preserve"> </w:t>
      </w:r>
      <w:r>
        <w:rPr>
          <w:spacing w:val="-2"/>
          <w:w w:val="95"/>
        </w:rPr>
        <w:t>the</w:t>
      </w:r>
      <w:r>
        <w:rPr>
          <w:spacing w:val="-4"/>
        </w:rPr>
        <w:t xml:space="preserve"> </w:t>
      </w:r>
      <w:r>
        <w:rPr>
          <w:spacing w:val="-2"/>
          <w:w w:val="95"/>
        </w:rPr>
        <w:t>history</w:t>
      </w:r>
      <w:r>
        <w:rPr>
          <w:spacing w:val="-4"/>
        </w:rPr>
        <w:t xml:space="preserve"> </w:t>
      </w:r>
      <w:r>
        <w:rPr>
          <w:spacing w:val="-2"/>
          <w:w w:val="95"/>
        </w:rPr>
        <w:t>of</w:t>
      </w:r>
      <w:r>
        <w:rPr>
          <w:spacing w:val="-5"/>
        </w:rPr>
        <w:t xml:space="preserve"> </w:t>
      </w:r>
      <w:r>
        <w:rPr>
          <w:spacing w:val="-2"/>
          <w:w w:val="95"/>
        </w:rPr>
        <w:t>regulated</w:t>
      </w:r>
      <w:r>
        <w:rPr>
          <w:spacing w:val="-4"/>
        </w:rPr>
        <w:t xml:space="preserve"> </w:t>
      </w:r>
      <w:r>
        <w:rPr>
          <w:spacing w:val="-4"/>
          <w:w w:val="95"/>
        </w:rPr>
        <w:t>cost</w:t>
      </w:r>
    </w:p>
    <w:p w:rsidR="002C1123" w:rsidRDefault="00F22F94">
      <w:pPr>
        <w:pStyle w:val="BodyText"/>
        <w:spacing w:before="95" w:line="249" w:lineRule="auto"/>
        <w:ind w:left="283" w:right="1190"/>
      </w:pPr>
      <w:r>
        <w:br w:type="column"/>
      </w:r>
      <w:r>
        <w:rPr>
          <w:spacing w:val="-2"/>
        </w:rPr>
        <w:t>As</w:t>
      </w:r>
      <w:r>
        <w:rPr>
          <w:spacing w:val="-9"/>
        </w:rPr>
        <w:t xml:space="preserve"> </w:t>
      </w:r>
      <w:r>
        <w:rPr>
          <w:spacing w:val="-2"/>
        </w:rPr>
        <w:t>shown</w:t>
      </w:r>
      <w:r>
        <w:rPr>
          <w:spacing w:val="-9"/>
        </w:rPr>
        <w:t xml:space="preserve"> </w:t>
      </w:r>
      <w:r>
        <w:rPr>
          <w:spacing w:val="-2"/>
        </w:rPr>
        <w:t>in</w:t>
      </w:r>
      <w:r>
        <w:rPr>
          <w:spacing w:val="-9"/>
        </w:rPr>
        <w:t xml:space="preserve"> </w:t>
      </w:r>
      <w:r>
        <w:rPr>
          <w:spacing w:val="-2"/>
        </w:rPr>
        <w:t>Figure</w:t>
      </w:r>
      <w:r>
        <w:rPr>
          <w:spacing w:val="-9"/>
        </w:rPr>
        <w:t xml:space="preserve"> </w:t>
      </w:r>
      <w:r>
        <w:rPr>
          <w:spacing w:val="-2"/>
        </w:rPr>
        <w:t>11.6,</w:t>
      </w:r>
      <w:r>
        <w:rPr>
          <w:spacing w:val="-9"/>
        </w:rPr>
        <w:t xml:space="preserve"> </w:t>
      </w:r>
      <w:r>
        <w:rPr>
          <w:spacing w:val="-2"/>
        </w:rPr>
        <w:t>reliability</w:t>
      </w:r>
      <w:r>
        <w:rPr>
          <w:spacing w:val="-9"/>
        </w:rPr>
        <w:t xml:space="preserve"> </w:t>
      </w:r>
      <w:r>
        <w:rPr>
          <w:spacing w:val="-2"/>
        </w:rPr>
        <w:t>has</w:t>
      </w:r>
      <w:r>
        <w:rPr>
          <w:spacing w:val="-9"/>
        </w:rPr>
        <w:t xml:space="preserve"> </w:t>
      </w:r>
      <w:r>
        <w:rPr>
          <w:spacing w:val="-2"/>
        </w:rPr>
        <w:t xml:space="preserve">improved </w:t>
      </w:r>
      <w:r>
        <w:rPr>
          <w:w w:val="95"/>
        </w:rPr>
        <w:t>by</w:t>
      </w:r>
      <w:r>
        <w:rPr>
          <w:spacing w:val="-2"/>
          <w:w w:val="95"/>
        </w:rPr>
        <w:t xml:space="preserve"> </w:t>
      </w:r>
      <w:r>
        <w:rPr>
          <w:w w:val="95"/>
        </w:rPr>
        <w:t>25</w:t>
      </w:r>
      <w:r>
        <w:rPr>
          <w:spacing w:val="-2"/>
          <w:w w:val="95"/>
        </w:rPr>
        <w:t xml:space="preserve"> </w:t>
      </w:r>
      <w:r>
        <w:rPr>
          <w:w w:val="95"/>
        </w:rPr>
        <w:t>per</w:t>
      </w:r>
      <w:r>
        <w:rPr>
          <w:spacing w:val="-2"/>
          <w:w w:val="95"/>
        </w:rPr>
        <w:t xml:space="preserve"> </w:t>
      </w:r>
      <w:r>
        <w:rPr>
          <w:w w:val="95"/>
        </w:rPr>
        <w:t>cent</w:t>
      </w:r>
      <w:r>
        <w:rPr>
          <w:spacing w:val="-2"/>
          <w:w w:val="95"/>
        </w:rPr>
        <w:t xml:space="preserve"> </w:t>
      </w:r>
      <w:r>
        <w:rPr>
          <w:w w:val="95"/>
        </w:rPr>
        <w:t>since</w:t>
      </w:r>
      <w:r>
        <w:rPr>
          <w:spacing w:val="-2"/>
          <w:w w:val="95"/>
        </w:rPr>
        <w:t xml:space="preserve"> </w:t>
      </w:r>
      <w:r>
        <w:rPr>
          <w:w w:val="95"/>
        </w:rPr>
        <w:t>2006,</w:t>
      </w:r>
      <w:r>
        <w:rPr>
          <w:spacing w:val="-2"/>
          <w:w w:val="95"/>
        </w:rPr>
        <w:t xml:space="preserve"> </w:t>
      </w:r>
      <w:r>
        <w:rPr>
          <w:w w:val="95"/>
        </w:rPr>
        <w:t>or</w:t>
      </w:r>
      <w:r>
        <w:rPr>
          <w:spacing w:val="-2"/>
          <w:w w:val="95"/>
        </w:rPr>
        <w:t xml:space="preserve"> </w:t>
      </w:r>
      <w:r>
        <w:rPr>
          <w:w w:val="95"/>
        </w:rPr>
        <w:t>25-30</w:t>
      </w:r>
      <w:r>
        <w:rPr>
          <w:spacing w:val="-2"/>
          <w:w w:val="95"/>
        </w:rPr>
        <w:t xml:space="preserve"> </w:t>
      </w:r>
      <w:r>
        <w:rPr>
          <w:w w:val="95"/>
        </w:rPr>
        <w:t>minutes</w:t>
      </w:r>
      <w:r>
        <w:rPr>
          <w:spacing w:val="-2"/>
          <w:w w:val="95"/>
        </w:rPr>
        <w:t xml:space="preserve"> </w:t>
      </w:r>
      <w:r>
        <w:rPr>
          <w:w w:val="95"/>
        </w:rPr>
        <w:t>fewer</w:t>
      </w:r>
    </w:p>
    <w:p w:rsidR="002C1123" w:rsidRDefault="00F22F94">
      <w:pPr>
        <w:pStyle w:val="BodyText"/>
        <w:spacing w:before="1" w:line="249" w:lineRule="auto"/>
        <w:ind w:left="283" w:right="432"/>
      </w:pPr>
      <w:r>
        <w:rPr>
          <w:w w:val="95"/>
        </w:rPr>
        <w:t>interruptions</w:t>
      </w:r>
      <w:r>
        <w:rPr>
          <w:spacing w:val="-7"/>
          <w:w w:val="95"/>
        </w:rPr>
        <w:t xml:space="preserve"> </w:t>
      </w:r>
      <w:r>
        <w:rPr>
          <w:w w:val="95"/>
        </w:rPr>
        <w:t>per</w:t>
      </w:r>
      <w:r>
        <w:rPr>
          <w:spacing w:val="-7"/>
          <w:w w:val="95"/>
        </w:rPr>
        <w:t xml:space="preserve"> </w:t>
      </w:r>
      <w:r>
        <w:rPr>
          <w:w w:val="95"/>
        </w:rPr>
        <w:t>year</w:t>
      </w:r>
      <w:r>
        <w:rPr>
          <w:spacing w:val="-7"/>
          <w:w w:val="95"/>
        </w:rPr>
        <w:t xml:space="preserve"> </w:t>
      </w:r>
      <w:r>
        <w:rPr>
          <w:w w:val="95"/>
        </w:rPr>
        <w:t>on</w:t>
      </w:r>
      <w:r>
        <w:rPr>
          <w:spacing w:val="-7"/>
          <w:w w:val="95"/>
        </w:rPr>
        <w:t xml:space="preserve"> </w:t>
      </w:r>
      <w:r>
        <w:rPr>
          <w:w w:val="95"/>
        </w:rPr>
        <w:t>average.</w:t>
      </w:r>
      <w:r>
        <w:rPr>
          <w:spacing w:val="-7"/>
          <w:w w:val="95"/>
        </w:rPr>
        <w:t xml:space="preserve"> </w:t>
      </w:r>
      <w:r>
        <w:rPr>
          <w:w w:val="95"/>
        </w:rPr>
        <w:t>Customers</w:t>
      </w:r>
      <w:r>
        <w:rPr>
          <w:spacing w:val="-7"/>
          <w:w w:val="95"/>
        </w:rPr>
        <w:t xml:space="preserve"> </w:t>
      </w:r>
      <w:r>
        <w:rPr>
          <w:w w:val="95"/>
        </w:rPr>
        <w:t>are</w:t>
      </w:r>
      <w:r>
        <w:rPr>
          <w:spacing w:val="-7"/>
          <w:w w:val="95"/>
        </w:rPr>
        <w:t xml:space="preserve"> </w:t>
      </w:r>
      <w:r>
        <w:rPr>
          <w:w w:val="95"/>
        </w:rPr>
        <w:t xml:space="preserve">getting </w:t>
      </w:r>
      <w:r>
        <w:t>very</w:t>
      </w:r>
      <w:r>
        <w:rPr>
          <w:spacing w:val="-14"/>
        </w:rPr>
        <w:t xml:space="preserve"> </w:t>
      </w:r>
      <w:r>
        <w:t>marginal</w:t>
      </w:r>
      <w:r>
        <w:rPr>
          <w:spacing w:val="-14"/>
        </w:rPr>
        <w:t xml:space="preserve"> </w:t>
      </w:r>
      <w:r>
        <w:t>and</w:t>
      </w:r>
      <w:r>
        <w:rPr>
          <w:spacing w:val="-14"/>
        </w:rPr>
        <w:t xml:space="preserve"> </w:t>
      </w:r>
      <w:r>
        <w:t>in</w:t>
      </w:r>
      <w:r>
        <w:rPr>
          <w:spacing w:val="-14"/>
        </w:rPr>
        <w:t xml:space="preserve"> </w:t>
      </w:r>
      <w:r>
        <w:t>many</w:t>
      </w:r>
      <w:r>
        <w:rPr>
          <w:spacing w:val="-14"/>
        </w:rPr>
        <w:t xml:space="preserve"> </w:t>
      </w:r>
      <w:r>
        <w:t>cases</w:t>
      </w:r>
      <w:r>
        <w:rPr>
          <w:spacing w:val="-14"/>
        </w:rPr>
        <w:t xml:space="preserve"> </w:t>
      </w:r>
      <w:r>
        <w:t>questionable</w:t>
      </w:r>
      <w:r>
        <w:rPr>
          <w:spacing w:val="-14"/>
        </w:rPr>
        <w:t xml:space="preserve"> </w:t>
      </w:r>
      <w:r>
        <w:t>benefit, given</w:t>
      </w:r>
      <w:r>
        <w:rPr>
          <w:spacing w:val="-13"/>
        </w:rPr>
        <w:t xml:space="preserve"> </w:t>
      </w:r>
      <w:r>
        <w:t>the</w:t>
      </w:r>
      <w:r>
        <w:rPr>
          <w:spacing w:val="-13"/>
        </w:rPr>
        <w:t xml:space="preserve"> </w:t>
      </w:r>
      <w:r>
        <w:t>significant</w:t>
      </w:r>
      <w:r>
        <w:rPr>
          <w:spacing w:val="-13"/>
        </w:rPr>
        <w:t xml:space="preserve"> </w:t>
      </w:r>
      <w:r>
        <w:t>cost</w:t>
      </w:r>
      <w:r>
        <w:rPr>
          <w:spacing w:val="-13"/>
        </w:rPr>
        <w:t xml:space="preserve"> </w:t>
      </w:r>
      <w:r>
        <w:t>increases</w:t>
      </w:r>
      <w:r>
        <w:rPr>
          <w:spacing w:val="-13"/>
        </w:rPr>
        <w:t xml:space="preserve"> </w:t>
      </w:r>
      <w:r>
        <w:t>that</w:t>
      </w:r>
      <w:r>
        <w:rPr>
          <w:spacing w:val="-13"/>
        </w:rPr>
        <w:t xml:space="preserve"> </w:t>
      </w:r>
      <w:r>
        <w:t>they</w:t>
      </w:r>
      <w:r>
        <w:rPr>
          <w:spacing w:val="-13"/>
        </w:rPr>
        <w:t xml:space="preserve"> </w:t>
      </w:r>
      <w:r>
        <w:t>face.</w:t>
      </w:r>
    </w:p>
    <w:p w:rsidR="002C1123" w:rsidRDefault="00F22F94">
      <w:pPr>
        <w:spacing w:before="191" w:line="247" w:lineRule="auto"/>
        <w:ind w:left="342" w:right="1190"/>
        <w:rPr>
          <w:b/>
          <w:sz w:val="17"/>
        </w:rPr>
      </w:pPr>
      <w:r>
        <w:rPr>
          <w:b/>
          <w:sz w:val="17"/>
        </w:rPr>
        <w:t>Figure</w:t>
      </w:r>
      <w:r>
        <w:rPr>
          <w:b/>
          <w:spacing w:val="-12"/>
          <w:sz w:val="17"/>
        </w:rPr>
        <w:t xml:space="preserve"> </w:t>
      </w:r>
      <w:r>
        <w:rPr>
          <w:b/>
          <w:sz w:val="17"/>
        </w:rPr>
        <w:t>11.6</w:t>
      </w:r>
      <w:r>
        <w:rPr>
          <w:b/>
          <w:spacing w:val="16"/>
          <w:sz w:val="17"/>
        </w:rPr>
        <w:t xml:space="preserve"> </w:t>
      </w:r>
      <w:r>
        <w:rPr>
          <w:b/>
          <w:sz w:val="17"/>
        </w:rPr>
        <w:t>NSW</w:t>
      </w:r>
      <w:r>
        <w:rPr>
          <w:b/>
          <w:spacing w:val="-12"/>
          <w:sz w:val="17"/>
        </w:rPr>
        <w:t xml:space="preserve"> </w:t>
      </w:r>
      <w:r>
        <w:rPr>
          <w:b/>
          <w:sz w:val="17"/>
        </w:rPr>
        <w:t>Networks</w:t>
      </w:r>
      <w:r>
        <w:rPr>
          <w:b/>
          <w:spacing w:val="-12"/>
          <w:sz w:val="17"/>
        </w:rPr>
        <w:t xml:space="preserve"> </w:t>
      </w:r>
      <w:r>
        <w:rPr>
          <w:b/>
          <w:sz w:val="17"/>
        </w:rPr>
        <w:t>reliability</w:t>
      </w:r>
      <w:r>
        <w:rPr>
          <w:b/>
          <w:spacing w:val="-12"/>
          <w:sz w:val="17"/>
        </w:rPr>
        <w:t xml:space="preserve"> </w:t>
      </w:r>
      <w:r>
        <w:rPr>
          <w:b/>
          <w:sz w:val="17"/>
        </w:rPr>
        <w:t>performance: Customer minutes without supply</w:t>
      </w:r>
    </w:p>
    <w:p w:rsidR="002C1123" w:rsidRDefault="002060EF">
      <w:pPr>
        <w:spacing w:before="104"/>
        <w:ind w:left="621"/>
        <w:rPr>
          <w:sz w:val="15"/>
        </w:rPr>
      </w:pPr>
      <w:r>
        <w:pict>
          <v:line id="_x0000_s1866" style="position:absolute;left:0;text-align:left;z-index:251619328;mso-position-horizontal-relative:page" from="586.45pt,9.55pt" to="779.95pt,9.55pt" strokecolor="#b2b1b3" strokeweight=".1319mm">
            <w10:wrap anchorx="page"/>
          </v:line>
        </w:pict>
      </w:r>
      <w:r w:rsidR="00F22F94">
        <w:rPr>
          <w:spacing w:val="-5"/>
          <w:w w:val="95"/>
          <w:sz w:val="15"/>
        </w:rPr>
        <w:t>150</w:t>
      </w:r>
    </w:p>
    <w:p w:rsidR="002C1123" w:rsidRDefault="002C1123">
      <w:pPr>
        <w:rPr>
          <w:sz w:val="15"/>
        </w:rPr>
        <w:sectPr w:rsidR="002C1123">
          <w:type w:val="continuous"/>
          <w:pgSz w:w="16840" w:h="11910" w:orient="landscape"/>
          <w:pgMar w:top="560" w:right="280" w:bottom="280" w:left="500" w:header="0" w:footer="517" w:gutter="0"/>
          <w:cols w:num="4" w:space="720" w:equalWidth="0">
            <w:col w:w="2582" w:space="40"/>
            <w:col w:w="2268" w:space="39"/>
            <w:col w:w="5294" w:space="39"/>
            <w:col w:w="5798"/>
          </w:cols>
        </w:sectPr>
      </w:pPr>
    </w:p>
    <w:p w:rsidR="002C1123" w:rsidRDefault="00F22F94">
      <w:pPr>
        <w:tabs>
          <w:tab w:val="left" w:pos="1810"/>
          <w:tab w:val="left" w:pos="3005"/>
          <w:tab w:val="left" w:pos="4200"/>
        </w:tabs>
        <w:spacing w:before="6"/>
        <w:ind w:left="615"/>
        <w:rPr>
          <w:b/>
          <w:sz w:val="16"/>
        </w:rPr>
      </w:pPr>
      <w:r>
        <w:rPr>
          <w:b/>
          <w:color w:val="2E3092"/>
          <w:spacing w:val="-2"/>
          <w:sz w:val="16"/>
        </w:rPr>
        <w:t>Total</w:t>
      </w:r>
      <w:r>
        <w:rPr>
          <w:b/>
          <w:color w:val="2E3092"/>
          <w:sz w:val="16"/>
        </w:rPr>
        <w:tab/>
      </w:r>
      <w:r>
        <w:rPr>
          <w:b/>
          <w:color w:val="2E3092"/>
          <w:spacing w:val="-2"/>
          <w:sz w:val="16"/>
        </w:rPr>
        <w:t>20,770</w:t>
      </w:r>
      <w:r>
        <w:rPr>
          <w:b/>
          <w:color w:val="2E3092"/>
          <w:sz w:val="16"/>
        </w:rPr>
        <w:tab/>
      </w:r>
      <w:r>
        <w:rPr>
          <w:b/>
          <w:color w:val="2E3092"/>
          <w:spacing w:val="-2"/>
          <w:sz w:val="16"/>
        </w:rPr>
        <w:t>16,824</w:t>
      </w:r>
      <w:r>
        <w:rPr>
          <w:b/>
          <w:color w:val="2E3092"/>
          <w:sz w:val="16"/>
        </w:rPr>
        <w:tab/>
      </w:r>
      <w:r>
        <w:rPr>
          <w:b/>
          <w:color w:val="2E3092"/>
          <w:spacing w:val="-5"/>
          <w:sz w:val="16"/>
        </w:rPr>
        <w:t>81%</w:t>
      </w:r>
    </w:p>
    <w:p w:rsidR="002C1123" w:rsidRDefault="00F22F94">
      <w:pPr>
        <w:spacing w:before="133"/>
        <w:ind w:left="512"/>
        <w:rPr>
          <w:sz w:val="14"/>
        </w:rPr>
      </w:pPr>
      <w:r>
        <w:rPr>
          <w:w w:val="95"/>
          <w:sz w:val="14"/>
        </w:rPr>
        <w:t>Source:</w:t>
      </w:r>
      <w:r>
        <w:rPr>
          <w:spacing w:val="9"/>
          <w:sz w:val="14"/>
        </w:rPr>
        <w:t xml:space="preserve"> </w:t>
      </w:r>
      <w:r>
        <w:rPr>
          <w:w w:val="95"/>
          <w:sz w:val="14"/>
        </w:rPr>
        <w:t>Australian</w:t>
      </w:r>
      <w:r>
        <w:rPr>
          <w:spacing w:val="10"/>
          <w:sz w:val="14"/>
        </w:rPr>
        <w:t xml:space="preserve"> </w:t>
      </w:r>
      <w:r>
        <w:rPr>
          <w:w w:val="95"/>
          <w:sz w:val="14"/>
        </w:rPr>
        <w:t>Energy</w:t>
      </w:r>
      <w:r>
        <w:rPr>
          <w:spacing w:val="9"/>
          <w:sz w:val="14"/>
        </w:rPr>
        <w:t xml:space="preserve"> </w:t>
      </w:r>
      <w:r>
        <w:rPr>
          <w:spacing w:val="-2"/>
          <w:w w:val="95"/>
          <w:sz w:val="14"/>
        </w:rPr>
        <w:t>Regulator.</w:t>
      </w:r>
    </w:p>
    <w:p w:rsidR="002C1123" w:rsidRDefault="002C1123">
      <w:pPr>
        <w:pStyle w:val="BodyText"/>
        <w:spacing w:before="3"/>
        <w:rPr>
          <w:sz w:val="22"/>
        </w:rPr>
      </w:pPr>
    </w:p>
    <w:p w:rsidR="002C1123" w:rsidRDefault="00F22F94">
      <w:pPr>
        <w:pStyle w:val="BodyText"/>
        <w:spacing w:line="249" w:lineRule="auto"/>
        <w:ind w:left="492"/>
      </w:pPr>
      <w:r>
        <w:t>Infrastructure</w:t>
      </w:r>
      <w:r>
        <w:rPr>
          <w:spacing w:val="-9"/>
        </w:rPr>
        <w:t xml:space="preserve"> </w:t>
      </w:r>
      <w:r>
        <w:t>NSW</w:t>
      </w:r>
      <w:r>
        <w:rPr>
          <w:spacing w:val="-9"/>
        </w:rPr>
        <w:t xml:space="preserve"> </w:t>
      </w:r>
      <w:r>
        <w:t>has</w:t>
      </w:r>
      <w:r>
        <w:rPr>
          <w:spacing w:val="-9"/>
        </w:rPr>
        <w:t xml:space="preserve"> </w:t>
      </w:r>
      <w:r>
        <w:t>concluded</w:t>
      </w:r>
      <w:r>
        <w:rPr>
          <w:spacing w:val="-9"/>
        </w:rPr>
        <w:t xml:space="preserve"> </w:t>
      </w:r>
      <w:r>
        <w:t>that</w:t>
      </w:r>
      <w:r>
        <w:rPr>
          <w:spacing w:val="-9"/>
        </w:rPr>
        <w:t xml:space="preserve"> </w:t>
      </w:r>
      <w:r>
        <w:t>the</w:t>
      </w:r>
      <w:r>
        <w:rPr>
          <w:spacing w:val="-9"/>
        </w:rPr>
        <w:t xml:space="preserve"> </w:t>
      </w:r>
      <w:r>
        <w:t>planned increase</w:t>
      </w:r>
      <w:r>
        <w:rPr>
          <w:spacing w:val="-12"/>
        </w:rPr>
        <w:t xml:space="preserve"> </w:t>
      </w:r>
      <w:r>
        <w:t>in</w:t>
      </w:r>
      <w:r>
        <w:rPr>
          <w:spacing w:val="-12"/>
        </w:rPr>
        <w:t xml:space="preserve"> </w:t>
      </w:r>
      <w:r>
        <w:t>investment</w:t>
      </w:r>
      <w:r>
        <w:rPr>
          <w:spacing w:val="-12"/>
        </w:rPr>
        <w:t xml:space="preserve"> </w:t>
      </w:r>
      <w:r>
        <w:t>and</w:t>
      </w:r>
      <w:r>
        <w:rPr>
          <w:spacing w:val="-12"/>
        </w:rPr>
        <w:t xml:space="preserve"> </w:t>
      </w:r>
      <w:r>
        <w:t>borrowing</w:t>
      </w:r>
      <w:r>
        <w:rPr>
          <w:spacing w:val="-12"/>
        </w:rPr>
        <w:t xml:space="preserve"> </w:t>
      </w:r>
      <w:r>
        <w:t>for</w:t>
      </w:r>
      <w:r>
        <w:rPr>
          <w:spacing w:val="-12"/>
        </w:rPr>
        <w:t xml:space="preserve"> </w:t>
      </w:r>
      <w:r>
        <w:t xml:space="preserve">electricity </w:t>
      </w:r>
      <w:r>
        <w:rPr>
          <w:w w:val="95"/>
        </w:rPr>
        <w:t>businesses</w:t>
      </w:r>
      <w:r>
        <w:rPr>
          <w:spacing w:val="-8"/>
          <w:w w:val="95"/>
        </w:rPr>
        <w:t xml:space="preserve"> </w:t>
      </w:r>
      <w:r>
        <w:rPr>
          <w:w w:val="95"/>
        </w:rPr>
        <w:t>is</w:t>
      </w:r>
      <w:r>
        <w:rPr>
          <w:spacing w:val="-8"/>
          <w:w w:val="95"/>
        </w:rPr>
        <w:t xml:space="preserve"> </w:t>
      </w:r>
      <w:r>
        <w:rPr>
          <w:w w:val="95"/>
        </w:rPr>
        <w:t>not</w:t>
      </w:r>
      <w:r>
        <w:rPr>
          <w:spacing w:val="-8"/>
          <w:w w:val="95"/>
        </w:rPr>
        <w:t xml:space="preserve"> </w:t>
      </w:r>
      <w:r>
        <w:rPr>
          <w:w w:val="95"/>
        </w:rPr>
        <w:t>the</w:t>
      </w:r>
      <w:r>
        <w:rPr>
          <w:spacing w:val="-8"/>
          <w:w w:val="95"/>
        </w:rPr>
        <w:t xml:space="preserve"> </w:t>
      </w:r>
      <w:r>
        <w:rPr>
          <w:w w:val="95"/>
        </w:rPr>
        <w:t>most</w:t>
      </w:r>
      <w:r>
        <w:rPr>
          <w:spacing w:val="-8"/>
          <w:w w:val="95"/>
        </w:rPr>
        <w:t xml:space="preserve"> </w:t>
      </w:r>
      <w:r>
        <w:rPr>
          <w:w w:val="95"/>
        </w:rPr>
        <w:t>beneficial</w:t>
      </w:r>
      <w:r>
        <w:rPr>
          <w:spacing w:val="-8"/>
          <w:w w:val="95"/>
        </w:rPr>
        <w:t xml:space="preserve"> </w:t>
      </w:r>
      <w:r>
        <w:rPr>
          <w:w w:val="95"/>
        </w:rPr>
        <w:t>use</w:t>
      </w:r>
      <w:r>
        <w:rPr>
          <w:spacing w:val="-8"/>
          <w:w w:val="95"/>
        </w:rPr>
        <w:t xml:space="preserve"> </w:t>
      </w:r>
      <w:r>
        <w:rPr>
          <w:w w:val="95"/>
        </w:rPr>
        <w:t>of</w:t>
      </w:r>
      <w:r>
        <w:rPr>
          <w:spacing w:val="-8"/>
          <w:w w:val="95"/>
        </w:rPr>
        <w:t xml:space="preserve"> </w:t>
      </w:r>
      <w:r>
        <w:rPr>
          <w:w w:val="95"/>
        </w:rPr>
        <w:t>the</w:t>
      </w:r>
      <w:r>
        <w:rPr>
          <w:spacing w:val="-8"/>
          <w:w w:val="95"/>
        </w:rPr>
        <w:t xml:space="preserve"> </w:t>
      </w:r>
      <w:r>
        <w:rPr>
          <w:w w:val="95"/>
        </w:rPr>
        <w:t xml:space="preserve">State’s </w:t>
      </w:r>
      <w:r>
        <w:t>constrained funding and borrowing capacity.</w:t>
      </w:r>
    </w:p>
    <w:p w:rsidR="002C1123" w:rsidRDefault="00F22F94">
      <w:pPr>
        <w:pStyle w:val="BodyText"/>
        <w:spacing w:before="144" w:line="249" w:lineRule="auto"/>
        <w:ind w:left="492"/>
      </w:pPr>
      <w:r>
        <w:t>The</w:t>
      </w:r>
      <w:r>
        <w:rPr>
          <w:spacing w:val="-12"/>
        </w:rPr>
        <w:t xml:space="preserve"> </w:t>
      </w:r>
      <w:r>
        <w:t>economic</w:t>
      </w:r>
      <w:r>
        <w:rPr>
          <w:spacing w:val="-12"/>
        </w:rPr>
        <w:t xml:space="preserve"> </w:t>
      </w:r>
      <w:r>
        <w:t>reforms</w:t>
      </w:r>
      <w:r>
        <w:rPr>
          <w:spacing w:val="-12"/>
        </w:rPr>
        <w:t xml:space="preserve"> </w:t>
      </w:r>
      <w:r>
        <w:t>that</w:t>
      </w:r>
      <w:r>
        <w:rPr>
          <w:spacing w:val="-12"/>
        </w:rPr>
        <w:t xml:space="preserve"> </w:t>
      </w:r>
      <w:r>
        <w:t>have</w:t>
      </w:r>
      <w:r>
        <w:rPr>
          <w:spacing w:val="-12"/>
        </w:rPr>
        <w:t xml:space="preserve"> </w:t>
      </w:r>
      <w:r>
        <w:t>taken</w:t>
      </w:r>
      <w:r>
        <w:rPr>
          <w:spacing w:val="-12"/>
        </w:rPr>
        <w:t xml:space="preserve"> </w:t>
      </w:r>
      <w:r>
        <w:t>place</w:t>
      </w:r>
      <w:r>
        <w:rPr>
          <w:spacing w:val="-12"/>
        </w:rPr>
        <w:t xml:space="preserve"> </w:t>
      </w:r>
      <w:r>
        <w:t>in</w:t>
      </w:r>
      <w:r>
        <w:rPr>
          <w:spacing w:val="-12"/>
        </w:rPr>
        <w:t xml:space="preserve"> </w:t>
      </w:r>
      <w:r>
        <w:t>the energy</w:t>
      </w:r>
      <w:r>
        <w:rPr>
          <w:spacing w:val="-14"/>
        </w:rPr>
        <w:t xml:space="preserve"> </w:t>
      </w:r>
      <w:r>
        <w:t>sector</w:t>
      </w:r>
      <w:r>
        <w:rPr>
          <w:spacing w:val="-14"/>
        </w:rPr>
        <w:t xml:space="preserve"> </w:t>
      </w:r>
      <w:r>
        <w:t>have</w:t>
      </w:r>
      <w:r>
        <w:rPr>
          <w:spacing w:val="-14"/>
        </w:rPr>
        <w:t xml:space="preserve"> </w:t>
      </w:r>
      <w:r>
        <w:t>successfully</w:t>
      </w:r>
      <w:r>
        <w:rPr>
          <w:spacing w:val="-14"/>
        </w:rPr>
        <w:t xml:space="preserve"> </w:t>
      </w:r>
      <w:r>
        <w:t>delivered</w:t>
      </w:r>
      <w:r>
        <w:rPr>
          <w:spacing w:val="-14"/>
        </w:rPr>
        <w:t xml:space="preserve"> </w:t>
      </w:r>
      <w:r>
        <w:t>competition in</w:t>
      </w:r>
      <w:r>
        <w:rPr>
          <w:spacing w:val="-14"/>
        </w:rPr>
        <w:t xml:space="preserve"> </w:t>
      </w:r>
      <w:r>
        <w:t>the</w:t>
      </w:r>
      <w:r>
        <w:rPr>
          <w:spacing w:val="-14"/>
        </w:rPr>
        <w:t xml:space="preserve"> </w:t>
      </w:r>
      <w:r>
        <w:t>wholesale</w:t>
      </w:r>
      <w:r>
        <w:rPr>
          <w:spacing w:val="-14"/>
        </w:rPr>
        <w:t xml:space="preserve"> </w:t>
      </w:r>
      <w:r>
        <w:t>and</w:t>
      </w:r>
      <w:r>
        <w:rPr>
          <w:spacing w:val="-14"/>
        </w:rPr>
        <w:t xml:space="preserve"> </w:t>
      </w:r>
      <w:r>
        <w:t>retail</w:t>
      </w:r>
      <w:r>
        <w:rPr>
          <w:spacing w:val="-14"/>
        </w:rPr>
        <w:t xml:space="preserve"> </w:t>
      </w:r>
      <w:r>
        <w:t>gas</w:t>
      </w:r>
      <w:r>
        <w:rPr>
          <w:spacing w:val="-14"/>
        </w:rPr>
        <w:t xml:space="preserve"> </w:t>
      </w:r>
      <w:r>
        <w:t>and</w:t>
      </w:r>
      <w:r>
        <w:rPr>
          <w:spacing w:val="-14"/>
        </w:rPr>
        <w:t xml:space="preserve"> </w:t>
      </w:r>
      <w:r>
        <w:t>electricity</w:t>
      </w:r>
      <w:r>
        <w:rPr>
          <w:spacing w:val="-14"/>
        </w:rPr>
        <w:t xml:space="preserve"> </w:t>
      </w:r>
      <w:r>
        <w:t xml:space="preserve">markets. </w:t>
      </w:r>
      <w:r>
        <w:rPr>
          <w:w w:val="95"/>
        </w:rPr>
        <w:t>The competition reforms are complemented by national regulation</w:t>
      </w:r>
      <w:r>
        <w:rPr>
          <w:spacing w:val="-1"/>
          <w:w w:val="95"/>
        </w:rPr>
        <w:t xml:space="preserve"> </w:t>
      </w:r>
      <w:r>
        <w:rPr>
          <w:w w:val="95"/>
        </w:rPr>
        <w:t>of</w:t>
      </w:r>
      <w:r>
        <w:rPr>
          <w:spacing w:val="-1"/>
          <w:w w:val="95"/>
        </w:rPr>
        <w:t xml:space="preserve"> </w:t>
      </w:r>
      <w:r>
        <w:rPr>
          <w:w w:val="95"/>
        </w:rPr>
        <w:t>the</w:t>
      </w:r>
      <w:r>
        <w:rPr>
          <w:spacing w:val="-1"/>
          <w:w w:val="95"/>
        </w:rPr>
        <w:t xml:space="preserve"> </w:t>
      </w:r>
      <w:r>
        <w:rPr>
          <w:w w:val="95"/>
        </w:rPr>
        <w:t>monopoly</w:t>
      </w:r>
      <w:r>
        <w:rPr>
          <w:spacing w:val="-1"/>
          <w:w w:val="95"/>
        </w:rPr>
        <w:t xml:space="preserve"> </w:t>
      </w:r>
      <w:r>
        <w:rPr>
          <w:w w:val="95"/>
        </w:rPr>
        <w:t>transmission</w:t>
      </w:r>
      <w:r>
        <w:rPr>
          <w:spacing w:val="-1"/>
          <w:w w:val="95"/>
        </w:rPr>
        <w:t xml:space="preserve"> </w:t>
      </w:r>
      <w:r>
        <w:rPr>
          <w:w w:val="95"/>
        </w:rPr>
        <w:t>and</w:t>
      </w:r>
      <w:r>
        <w:rPr>
          <w:spacing w:val="-1"/>
          <w:w w:val="95"/>
        </w:rPr>
        <w:t xml:space="preserve"> </w:t>
      </w:r>
      <w:r>
        <w:rPr>
          <w:w w:val="95"/>
        </w:rPr>
        <w:t xml:space="preserve">distribution </w:t>
      </w:r>
      <w:r>
        <w:t>sectors.</w:t>
      </w:r>
      <w:r>
        <w:rPr>
          <w:spacing w:val="-14"/>
        </w:rPr>
        <w:t xml:space="preserve"> </w:t>
      </w:r>
      <w:r>
        <w:t>The</w:t>
      </w:r>
      <w:r>
        <w:rPr>
          <w:spacing w:val="-14"/>
        </w:rPr>
        <w:t xml:space="preserve"> </w:t>
      </w:r>
      <w:r>
        <w:t>Government</w:t>
      </w:r>
      <w:r>
        <w:rPr>
          <w:spacing w:val="-14"/>
        </w:rPr>
        <w:t xml:space="preserve"> </w:t>
      </w:r>
      <w:r>
        <w:t>therefore</w:t>
      </w:r>
      <w:r>
        <w:rPr>
          <w:spacing w:val="-14"/>
        </w:rPr>
        <w:t xml:space="preserve"> </w:t>
      </w:r>
      <w:r>
        <w:t>does</w:t>
      </w:r>
      <w:r>
        <w:rPr>
          <w:spacing w:val="-13"/>
        </w:rPr>
        <w:t xml:space="preserve"> </w:t>
      </w:r>
      <w:r>
        <w:t>not</w:t>
      </w:r>
      <w:r>
        <w:rPr>
          <w:spacing w:val="-14"/>
        </w:rPr>
        <w:t xml:space="preserve"> </w:t>
      </w:r>
      <w:r>
        <w:t>require</w:t>
      </w:r>
    </w:p>
    <w:p w:rsidR="002C1123" w:rsidRDefault="00F22F94">
      <w:pPr>
        <w:pStyle w:val="BodyText"/>
        <w:spacing w:before="119"/>
        <w:ind w:left="248"/>
      </w:pPr>
      <w:r>
        <w:br w:type="column"/>
      </w:r>
      <w:r>
        <w:rPr>
          <w:w w:val="95"/>
        </w:rPr>
        <w:t>of</w:t>
      </w:r>
      <w:r>
        <w:rPr>
          <w:spacing w:val="-10"/>
          <w:w w:val="95"/>
        </w:rPr>
        <w:t xml:space="preserve"> </w:t>
      </w:r>
      <w:r>
        <w:rPr>
          <w:spacing w:val="-2"/>
        </w:rPr>
        <w:t>capital:</w:t>
      </w:r>
    </w:p>
    <w:p w:rsidR="002C1123" w:rsidRDefault="00F22F94">
      <w:pPr>
        <w:spacing w:before="196"/>
        <w:ind w:left="268"/>
        <w:rPr>
          <w:b/>
          <w:sz w:val="18"/>
        </w:rPr>
      </w:pPr>
      <w:r>
        <w:rPr>
          <w:b/>
          <w:w w:val="95"/>
          <w:sz w:val="18"/>
        </w:rPr>
        <w:t>Table</w:t>
      </w:r>
      <w:r>
        <w:rPr>
          <w:b/>
          <w:spacing w:val="-28"/>
          <w:w w:val="95"/>
          <w:sz w:val="18"/>
        </w:rPr>
        <w:t xml:space="preserve"> </w:t>
      </w:r>
      <w:r>
        <w:rPr>
          <w:b/>
          <w:w w:val="95"/>
          <w:sz w:val="18"/>
        </w:rPr>
        <w:t>11.2</w:t>
      </w:r>
      <w:r>
        <w:rPr>
          <w:b/>
          <w:spacing w:val="11"/>
          <w:sz w:val="18"/>
        </w:rPr>
        <w:t xml:space="preserve"> </w:t>
      </w:r>
      <w:r>
        <w:rPr>
          <w:b/>
          <w:w w:val="95"/>
          <w:sz w:val="18"/>
        </w:rPr>
        <w:t>WACC</w:t>
      </w:r>
      <w:r>
        <w:rPr>
          <w:b/>
          <w:spacing w:val="-28"/>
          <w:w w:val="95"/>
          <w:sz w:val="18"/>
        </w:rPr>
        <w:t xml:space="preserve"> </w:t>
      </w:r>
      <w:r>
        <w:rPr>
          <w:b/>
          <w:w w:val="95"/>
          <w:sz w:val="18"/>
        </w:rPr>
        <w:t>Determinations</w:t>
      </w:r>
      <w:r>
        <w:rPr>
          <w:b/>
          <w:spacing w:val="-27"/>
          <w:w w:val="95"/>
          <w:sz w:val="18"/>
        </w:rPr>
        <w:t xml:space="preserve"> </w:t>
      </w:r>
      <w:r>
        <w:rPr>
          <w:b/>
          <w:w w:val="95"/>
          <w:sz w:val="18"/>
        </w:rPr>
        <w:t>–</w:t>
      </w:r>
      <w:r>
        <w:rPr>
          <w:b/>
          <w:spacing w:val="-28"/>
          <w:w w:val="95"/>
          <w:sz w:val="18"/>
        </w:rPr>
        <w:t xml:space="preserve"> </w:t>
      </w:r>
      <w:r>
        <w:rPr>
          <w:b/>
          <w:w w:val="95"/>
          <w:sz w:val="18"/>
        </w:rPr>
        <w:t>History</w:t>
      </w:r>
      <w:r>
        <w:rPr>
          <w:b/>
          <w:spacing w:val="-27"/>
          <w:w w:val="95"/>
          <w:sz w:val="18"/>
        </w:rPr>
        <w:t xml:space="preserve"> </w:t>
      </w:r>
      <w:r>
        <w:rPr>
          <w:b/>
          <w:w w:val="95"/>
          <w:sz w:val="18"/>
        </w:rPr>
        <w:t>and</w:t>
      </w:r>
      <w:r>
        <w:rPr>
          <w:b/>
          <w:spacing w:val="-28"/>
          <w:w w:val="95"/>
          <w:sz w:val="18"/>
        </w:rPr>
        <w:t xml:space="preserve"> </w:t>
      </w:r>
      <w:r>
        <w:rPr>
          <w:b/>
          <w:spacing w:val="-2"/>
          <w:w w:val="95"/>
          <w:sz w:val="18"/>
        </w:rPr>
        <w:t>Comparison</w:t>
      </w:r>
    </w:p>
    <w:p w:rsidR="002C1123" w:rsidRDefault="00F22F94">
      <w:pPr>
        <w:tabs>
          <w:tab w:val="left" w:pos="1476"/>
          <w:tab w:val="left" w:pos="2582"/>
          <w:tab w:val="left" w:pos="3687"/>
        </w:tabs>
        <w:spacing w:before="173" w:line="235" w:lineRule="auto"/>
        <w:ind w:left="371" w:right="150" w:firstLine="3316"/>
        <w:rPr>
          <w:b/>
          <w:sz w:val="16"/>
        </w:rPr>
      </w:pPr>
      <w:r>
        <w:rPr>
          <w:b/>
          <w:color w:val="2E3092"/>
          <w:spacing w:val="-2"/>
          <w:sz w:val="16"/>
        </w:rPr>
        <w:t>UK</w:t>
      </w:r>
      <w:r>
        <w:rPr>
          <w:b/>
          <w:color w:val="2E3092"/>
          <w:spacing w:val="-10"/>
          <w:sz w:val="16"/>
        </w:rPr>
        <w:t xml:space="preserve"> </w:t>
      </w:r>
      <w:r>
        <w:rPr>
          <w:b/>
          <w:color w:val="2E3092"/>
          <w:spacing w:val="-2"/>
          <w:sz w:val="16"/>
        </w:rPr>
        <w:t>Comparison: 1999-2004</w:t>
      </w:r>
      <w:r>
        <w:rPr>
          <w:b/>
          <w:color w:val="2E3092"/>
          <w:sz w:val="16"/>
        </w:rPr>
        <w:tab/>
      </w:r>
      <w:r>
        <w:rPr>
          <w:b/>
          <w:color w:val="2E3092"/>
          <w:spacing w:val="-2"/>
          <w:sz w:val="16"/>
        </w:rPr>
        <w:t>2004-2009</w:t>
      </w:r>
      <w:r>
        <w:rPr>
          <w:b/>
          <w:color w:val="2E3092"/>
          <w:sz w:val="16"/>
        </w:rPr>
        <w:tab/>
      </w:r>
      <w:r>
        <w:rPr>
          <w:b/>
          <w:color w:val="2E3092"/>
          <w:spacing w:val="-2"/>
          <w:sz w:val="16"/>
        </w:rPr>
        <w:t>2009-2014</w:t>
      </w:r>
      <w:r>
        <w:rPr>
          <w:b/>
          <w:color w:val="2E3092"/>
          <w:sz w:val="16"/>
        </w:rPr>
        <w:tab/>
        <w:t>Ofgem</w:t>
      </w:r>
      <w:r>
        <w:rPr>
          <w:b/>
          <w:color w:val="2E3092"/>
          <w:spacing w:val="-4"/>
          <w:sz w:val="16"/>
        </w:rPr>
        <w:t xml:space="preserve"> </w:t>
      </w:r>
      <w:r>
        <w:rPr>
          <w:b/>
          <w:color w:val="2E3092"/>
          <w:sz w:val="16"/>
        </w:rPr>
        <w:t>2011</w:t>
      </w:r>
    </w:p>
    <w:p w:rsidR="002C1123" w:rsidRDefault="002C1123">
      <w:pPr>
        <w:pStyle w:val="BodyText"/>
        <w:spacing w:before="1"/>
        <w:rPr>
          <w:b/>
          <w:sz w:val="6"/>
        </w:rPr>
      </w:pPr>
    </w:p>
    <w:tbl>
      <w:tblPr>
        <w:tblW w:w="0" w:type="auto"/>
        <w:tblInd w:w="26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106"/>
        <w:gridCol w:w="1106"/>
        <w:gridCol w:w="1106"/>
        <w:gridCol w:w="1475"/>
      </w:tblGrid>
      <w:tr w:rsidR="002C1123">
        <w:trPr>
          <w:trHeight w:val="378"/>
        </w:trPr>
        <w:tc>
          <w:tcPr>
            <w:tcW w:w="1106" w:type="dxa"/>
            <w:tcBorders>
              <w:top w:val="nil"/>
            </w:tcBorders>
            <w:shd w:val="clear" w:color="auto" w:fill="E1E0E1"/>
          </w:tcPr>
          <w:p w:rsidR="002C1123" w:rsidRDefault="00F22F94">
            <w:pPr>
              <w:pStyle w:val="TableParagraph"/>
              <w:rPr>
                <w:rFonts w:ascii="Tahoma"/>
                <w:sz w:val="16"/>
              </w:rPr>
            </w:pPr>
            <w:r>
              <w:rPr>
                <w:rFonts w:ascii="Tahoma"/>
                <w:spacing w:val="-5"/>
                <w:sz w:val="16"/>
              </w:rPr>
              <w:t>7%</w:t>
            </w:r>
          </w:p>
        </w:tc>
        <w:tc>
          <w:tcPr>
            <w:tcW w:w="1106" w:type="dxa"/>
            <w:tcBorders>
              <w:top w:val="nil"/>
            </w:tcBorders>
            <w:shd w:val="clear" w:color="auto" w:fill="E1E0E1"/>
          </w:tcPr>
          <w:p w:rsidR="002C1123" w:rsidRDefault="00F22F94">
            <w:pPr>
              <w:pStyle w:val="TableParagraph"/>
              <w:ind w:left="112"/>
              <w:rPr>
                <w:rFonts w:ascii="Tahoma"/>
                <w:sz w:val="16"/>
              </w:rPr>
            </w:pPr>
            <w:r>
              <w:rPr>
                <w:rFonts w:ascii="Tahoma"/>
                <w:spacing w:val="-4"/>
                <w:sz w:val="16"/>
              </w:rPr>
              <w:t>8.7%</w:t>
            </w:r>
          </w:p>
        </w:tc>
        <w:tc>
          <w:tcPr>
            <w:tcW w:w="1106" w:type="dxa"/>
            <w:tcBorders>
              <w:top w:val="nil"/>
            </w:tcBorders>
            <w:shd w:val="clear" w:color="auto" w:fill="E1E0E1"/>
          </w:tcPr>
          <w:p w:rsidR="002C1123" w:rsidRDefault="00F22F94">
            <w:pPr>
              <w:pStyle w:val="TableParagraph"/>
              <w:ind w:left="112"/>
              <w:rPr>
                <w:rFonts w:ascii="Tahoma"/>
                <w:sz w:val="16"/>
              </w:rPr>
            </w:pPr>
            <w:r>
              <w:rPr>
                <w:rFonts w:ascii="Tahoma"/>
                <w:spacing w:val="-2"/>
                <w:sz w:val="16"/>
              </w:rPr>
              <w:t>10.2%</w:t>
            </w:r>
          </w:p>
        </w:tc>
        <w:tc>
          <w:tcPr>
            <w:tcW w:w="1475" w:type="dxa"/>
            <w:tcBorders>
              <w:top w:val="nil"/>
            </w:tcBorders>
            <w:shd w:val="clear" w:color="auto" w:fill="E1E0E1"/>
          </w:tcPr>
          <w:p w:rsidR="002C1123" w:rsidRDefault="00F22F94">
            <w:pPr>
              <w:pStyle w:val="TableParagraph"/>
              <w:ind w:left="111"/>
              <w:rPr>
                <w:rFonts w:ascii="Tahoma"/>
                <w:sz w:val="16"/>
              </w:rPr>
            </w:pPr>
            <w:r>
              <w:rPr>
                <w:rFonts w:ascii="Tahoma"/>
                <w:spacing w:val="-5"/>
                <w:sz w:val="16"/>
              </w:rPr>
              <w:t>6%</w:t>
            </w:r>
          </w:p>
        </w:tc>
      </w:tr>
    </w:tbl>
    <w:p w:rsidR="002C1123" w:rsidRDefault="00F22F94">
      <w:pPr>
        <w:spacing w:before="54"/>
        <w:ind w:left="268"/>
        <w:rPr>
          <w:sz w:val="14"/>
        </w:rPr>
      </w:pPr>
      <w:r>
        <w:rPr>
          <w:w w:val="95"/>
          <w:sz w:val="14"/>
        </w:rPr>
        <w:t>Note:</w:t>
      </w:r>
      <w:r>
        <w:rPr>
          <w:spacing w:val="-5"/>
          <w:w w:val="95"/>
          <w:sz w:val="14"/>
        </w:rPr>
        <w:t xml:space="preserve"> </w:t>
      </w:r>
      <w:r>
        <w:rPr>
          <w:w w:val="95"/>
          <w:sz w:val="14"/>
        </w:rPr>
        <w:t>The</w:t>
      </w:r>
      <w:r>
        <w:rPr>
          <w:spacing w:val="-5"/>
          <w:w w:val="95"/>
          <w:sz w:val="14"/>
        </w:rPr>
        <w:t xml:space="preserve"> </w:t>
      </w:r>
      <w:r>
        <w:rPr>
          <w:w w:val="95"/>
          <w:sz w:val="14"/>
        </w:rPr>
        <w:t>Weighted</w:t>
      </w:r>
      <w:r>
        <w:rPr>
          <w:spacing w:val="-5"/>
          <w:w w:val="95"/>
          <w:sz w:val="14"/>
        </w:rPr>
        <w:t xml:space="preserve"> </w:t>
      </w:r>
      <w:r>
        <w:rPr>
          <w:w w:val="95"/>
          <w:sz w:val="14"/>
        </w:rPr>
        <w:t>average</w:t>
      </w:r>
      <w:r>
        <w:rPr>
          <w:spacing w:val="-5"/>
          <w:w w:val="95"/>
          <w:sz w:val="14"/>
        </w:rPr>
        <w:t xml:space="preserve"> </w:t>
      </w:r>
      <w:r>
        <w:rPr>
          <w:w w:val="95"/>
          <w:sz w:val="14"/>
        </w:rPr>
        <w:t>cost</w:t>
      </w:r>
      <w:r>
        <w:rPr>
          <w:spacing w:val="-5"/>
          <w:w w:val="95"/>
          <w:sz w:val="14"/>
        </w:rPr>
        <w:t xml:space="preserve"> </w:t>
      </w:r>
      <w:r>
        <w:rPr>
          <w:w w:val="95"/>
          <w:sz w:val="14"/>
        </w:rPr>
        <w:t>of</w:t>
      </w:r>
      <w:r>
        <w:rPr>
          <w:spacing w:val="-5"/>
          <w:w w:val="95"/>
          <w:sz w:val="14"/>
        </w:rPr>
        <w:t xml:space="preserve"> </w:t>
      </w:r>
      <w:r>
        <w:rPr>
          <w:w w:val="95"/>
          <w:sz w:val="14"/>
        </w:rPr>
        <w:t>capital</w:t>
      </w:r>
      <w:r>
        <w:rPr>
          <w:spacing w:val="-5"/>
          <w:w w:val="95"/>
          <w:sz w:val="14"/>
        </w:rPr>
        <w:t xml:space="preserve"> </w:t>
      </w:r>
      <w:r>
        <w:rPr>
          <w:w w:val="95"/>
          <w:sz w:val="14"/>
        </w:rPr>
        <w:t>(WACC)</w:t>
      </w:r>
      <w:r>
        <w:rPr>
          <w:spacing w:val="-5"/>
          <w:w w:val="95"/>
          <w:sz w:val="14"/>
        </w:rPr>
        <w:t xml:space="preserve"> </w:t>
      </w:r>
      <w:r>
        <w:rPr>
          <w:w w:val="95"/>
          <w:sz w:val="14"/>
        </w:rPr>
        <w:t>is</w:t>
      </w:r>
      <w:r>
        <w:rPr>
          <w:spacing w:val="-5"/>
          <w:w w:val="95"/>
          <w:sz w:val="14"/>
        </w:rPr>
        <w:t xml:space="preserve"> </w:t>
      </w:r>
      <w:r>
        <w:rPr>
          <w:w w:val="95"/>
          <w:sz w:val="14"/>
        </w:rPr>
        <w:t>the</w:t>
      </w:r>
      <w:r>
        <w:rPr>
          <w:spacing w:val="-5"/>
          <w:w w:val="95"/>
          <w:sz w:val="14"/>
        </w:rPr>
        <w:t xml:space="preserve"> </w:t>
      </w:r>
      <w:r>
        <w:rPr>
          <w:w w:val="95"/>
          <w:sz w:val="14"/>
        </w:rPr>
        <w:t>return</w:t>
      </w:r>
      <w:r>
        <w:rPr>
          <w:spacing w:val="-5"/>
          <w:w w:val="95"/>
          <w:sz w:val="14"/>
        </w:rPr>
        <w:t xml:space="preserve"> </w:t>
      </w:r>
      <w:r>
        <w:rPr>
          <w:w w:val="95"/>
          <w:sz w:val="14"/>
        </w:rPr>
        <w:t>on</w:t>
      </w:r>
      <w:r>
        <w:rPr>
          <w:spacing w:val="-5"/>
          <w:w w:val="95"/>
          <w:sz w:val="14"/>
        </w:rPr>
        <w:t xml:space="preserve"> </w:t>
      </w:r>
      <w:r>
        <w:rPr>
          <w:w w:val="95"/>
          <w:sz w:val="14"/>
        </w:rPr>
        <w:t>capital</w:t>
      </w:r>
      <w:r>
        <w:rPr>
          <w:spacing w:val="-5"/>
          <w:w w:val="95"/>
          <w:sz w:val="14"/>
        </w:rPr>
        <w:t xml:space="preserve"> </w:t>
      </w:r>
      <w:r>
        <w:rPr>
          <w:w w:val="95"/>
          <w:sz w:val="14"/>
        </w:rPr>
        <w:t>for</w:t>
      </w:r>
      <w:r>
        <w:rPr>
          <w:spacing w:val="40"/>
          <w:sz w:val="14"/>
        </w:rPr>
        <w:t xml:space="preserve"> </w:t>
      </w:r>
      <w:r>
        <w:rPr>
          <w:w w:val="95"/>
          <w:sz w:val="14"/>
        </w:rPr>
        <w:t>regulated</w:t>
      </w:r>
      <w:r>
        <w:rPr>
          <w:spacing w:val="-10"/>
          <w:w w:val="95"/>
          <w:sz w:val="14"/>
        </w:rPr>
        <w:t xml:space="preserve"> </w:t>
      </w:r>
      <w:r>
        <w:rPr>
          <w:w w:val="95"/>
          <w:sz w:val="14"/>
        </w:rPr>
        <w:t>network</w:t>
      </w:r>
      <w:r>
        <w:rPr>
          <w:spacing w:val="-10"/>
          <w:w w:val="95"/>
          <w:sz w:val="14"/>
        </w:rPr>
        <w:t xml:space="preserve"> </w:t>
      </w:r>
      <w:r>
        <w:rPr>
          <w:w w:val="95"/>
          <w:sz w:val="14"/>
        </w:rPr>
        <w:t>business</w:t>
      </w:r>
      <w:r>
        <w:rPr>
          <w:spacing w:val="-10"/>
          <w:w w:val="95"/>
          <w:sz w:val="14"/>
        </w:rPr>
        <w:t xml:space="preserve"> </w:t>
      </w:r>
      <w:r>
        <w:rPr>
          <w:w w:val="95"/>
          <w:sz w:val="14"/>
        </w:rPr>
        <w:t>for</w:t>
      </w:r>
      <w:r>
        <w:rPr>
          <w:spacing w:val="-10"/>
          <w:w w:val="95"/>
          <w:sz w:val="14"/>
        </w:rPr>
        <w:t xml:space="preserve"> </w:t>
      </w:r>
      <w:r>
        <w:rPr>
          <w:w w:val="95"/>
          <w:sz w:val="14"/>
        </w:rPr>
        <w:t>a</w:t>
      </w:r>
      <w:r>
        <w:rPr>
          <w:spacing w:val="-10"/>
          <w:w w:val="95"/>
          <w:sz w:val="14"/>
        </w:rPr>
        <w:t xml:space="preserve"> </w:t>
      </w:r>
      <w:r>
        <w:rPr>
          <w:w w:val="95"/>
          <w:sz w:val="14"/>
        </w:rPr>
        <w:t>regulatory</w:t>
      </w:r>
      <w:r>
        <w:rPr>
          <w:spacing w:val="-10"/>
          <w:w w:val="95"/>
          <w:sz w:val="14"/>
        </w:rPr>
        <w:t xml:space="preserve"> </w:t>
      </w:r>
      <w:r>
        <w:rPr>
          <w:w w:val="95"/>
          <w:sz w:val="14"/>
        </w:rPr>
        <w:t>control</w:t>
      </w:r>
      <w:r>
        <w:rPr>
          <w:spacing w:val="-10"/>
          <w:w w:val="95"/>
          <w:sz w:val="14"/>
        </w:rPr>
        <w:t xml:space="preserve"> </w:t>
      </w:r>
      <w:r>
        <w:rPr>
          <w:w w:val="95"/>
          <w:sz w:val="14"/>
        </w:rPr>
        <w:t>period.</w:t>
      </w:r>
      <w:r>
        <w:rPr>
          <w:spacing w:val="-10"/>
          <w:w w:val="95"/>
          <w:sz w:val="14"/>
        </w:rPr>
        <w:t xml:space="preserve"> </w:t>
      </w:r>
      <w:r>
        <w:rPr>
          <w:w w:val="95"/>
          <w:sz w:val="14"/>
        </w:rPr>
        <w:t>It</w:t>
      </w:r>
      <w:r>
        <w:rPr>
          <w:spacing w:val="-10"/>
          <w:w w:val="95"/>
          <w:sz w:val="14"/>
        </w:rPr>
        <w:t xml:space="preserve"> </w:t>
      </w:r>
      <w:r>
        <w:rPr>
          <w:w w:val="95"/>
          <w:sz w:val="14"/>
        </w:rPr>
        <w:t>is</w:t>
      </w:r>
      <w:r>
        <w:rPr>
          <w:spacing w:val="-10"/>
          <w:w w:val="95"/>
          <w:sz w:val="14"/>
        </w:rPr>
        <w:t xml:space="preserve"> </w:t>
      </w:r>
      <w:r>
        <w:rPr>
          <w:w w:val="95"/>
          <w:sz w:val="14"/>
        </w:rPr>
        <w:t>calculated</w:t>
      </w:r>
      <w:r>
        <w:rPr>
          <w:spacing w:val="-10"/>
          <w:w w:val="95"/>
          <w:sz w:val="14"/>
        </w:rPr>
        <w:t xml:space="preserve"> </w:t>
      </w:r>
      <w:r>
        <w:rPr>
          <w:w w:val="95"/>
          <w:sz w:val="14"/>
        </w:rPr>
        <w:t>by</w:t>
      </w:r>
      <w:r>
        <w:rPr>
          <w:spacing w:val="-10"/>
          <w:w w:val="95"/>
          <w:sz w:val="14"/>
        </w:rPr>
        <w:t xml:space="preserve"> </w:t>
      </w:r>
      <w:r>
        <w:rPr>
          <w:w w:val="95"/>
          <w:sz w:val="14"/>
        </w:rPr>
        <w:t>the</w:t>
      </w:r>
      <w:r>
        <w:rPr>
          <w:spacing w:val="40"/>
          <w:sz w:val="14"/>
        </w:rPr>
        <w:t xml:space="preserve"> </w:t>
      </w:r>
      <w:r>
        <w:rPr>
          <w:w w:val="95"/>
          <w:sz w:val="14"/>
        </w:rPr>
        <w:t>Australian</w:t>
      </w:r>
      <w:r>
        <w:rPr>
          <w:spacing w:val="-1"/>
          <w:w w:val="95"/>
          <w:sz w:val="14"/>
        </w:rPr>
        <w:t xml:space="preserve"> </w:t>
      </w:r>
      <w:r>
        <w:rPr>
          <w:w w:val="95"/>
          <w:sz w:val="14"/>
        </w:rPr>
        <w:t>Energy</w:t>
      </w:r>
      <w:r>
        <w:rPr>
          <w:spacing w:val="-1"/>
          <w:w w:val="95"/>
          <w:sz w:val="14"/>
        </w:rPr>
        <w:t xml:space="preserve"> </w:t>
      </w:r>
      <w:r>
        <w:rPr>
          <w:w w:val="95"/>
          <w:sz w:val="14"/>
        </w:rPr>
        <w:t>Regulator</w:t>
      </w:r>
      <w:r>
        <w:rPr>
          <w:spacing w:val="-1"/>
          <w:w w:val="95"/>
          <w:sz w:val="14"/>
        </w:rPr>
        <w:t xml:space="preserve"> </w:t>
      </w:r>
      <w:r>
        <w:rPr>
          <w:w w:val="95"/>
          <w:sz w:val="14"/>
        </w:rPr>
        <w:t>in</w:t>
      </w:r>
      <w:r>
        <w:rPr>
          <w:spacing w:val="-1"/>
          <w:w w:val="95"/>
          <w:sz w:val="14"/>
        </w:rPr>
        <w:t xml:space="preserve"> </w:t>
      </w:r>
      <w:r>
        <w:rPr>
          <w:w w:val="95"/>
          <w:sz w:val="14"/>
        </w:rPr>
        <w:t>accordance</w:t>
      </w:r>
      <w:r>
        <w:rPr>
          <w:spacing w:val="-1"/>
          <w:w w:val="95"/>
          <w:sz w:val="14"/>
        </w:rPr>
        <w:t xml:space="preserve"> </w:t>
      </w:r>
      <w:r>
        <w:rPr>
          <w:w w:val="95"/>
          <w:sz w:val="14"/>
        </w:rPr>
        <w:t>with</w:t>
      </w:r>
      <w:r>
        <w:rPr>
          <w:spacing w:val="-1"/>
          <w:w w:val="95"/>
          <w:sz w:val="14"/>
        </w:rPr>
        <w:t xml:space="preserve"> </w:t>
      </w:r>
      <w:r>
        <w:rPr>
          <w:w w:val="95"/>
          <w:sz w:val="14"/>
        </w:rPr>
        <w:t>the</w:t>
      </w:r>
      <w:r>
        <w:rPr>
          <w:spacing w:val="-1"/>
          <w:w w:val="95"/>
          <w:sz w:val="14"/>
        </w:rPr>
        <w:t xml:space="preserve"> </w:t>
      </w:r>
      <w:r>
        <w:rPr>
          <w:w w:val="95"/>
          <w:sz w:val="14"/>
        </w:rPr>
        <w:t>National</w:t>
      </w:r>
      <w:r>
        <w:rPr>
          <w:spacing w:val="-1"/>
          <w:w w:val="95"/>
          <w:sz w:val="14"/>
        </w:rPr>
        <w:t xml:space="preserve"> </w:t>
      </w:r>
      <w:r>
        <w:rPr>
          <w:w w:val="95"/>
          <w:sz w:val="14"/>
        </w:rPr>
        <w:t>Electricity</w:t>
      </w:r>
      <w:r>
        <w:rPr>
          <w:spacing w:val="-1"/>
          <w:w w:val="95"/>
          <w:sz w:val="14"/>
        </w:rPr>
        <w:t xml:space="preserve"> </w:t>
      </w:r>
      <w:r>
        <w:rPr>
          <w:w w:val="95"/>
          <w:sz w:val="14"/>
        </w:rPr>
        <w:t>Rules.</w:t>
      </w:r>
    </w:p>
    <w:p w:rsidR="002C1123" w:rsidRDefault="002C1123">
      <w:pPr>
        <w:pStyle w:val="BodyText"/>
        <w:rPr>
          <w:sz w:val="16"/>
        </w:rPr>
      </w:pPr>
    </w:p>
    <w:p w:rsidR="002C1123" w:rsidRDefault="00F22F94">
      <w:pPr>
        <w:pStyle w:val="BodyText"/>
        <w:spacing w:before="105" w:line="249" w:lineRule="auto"/>
        <w:ind w:left="248"/>
      </w:pPr>
      <w:r>
        <w:rPr>
          <w:w w:val="95"/>
        </w:rPr>
        <w:t>A large value wedge can occur between the return on capital,</w:t>
      </w:r>
      <w:r>
        <w:rPr>
          <w:spacing w:val="-4"/>
          <w:w w:val="95"/>
        </w:rPr>
        <w:t xml:space="preserve"> </w:t>
      </w:r>
      <w:r>
        <w:rPr>
          <w:w w:val="95"/>
        </w:rPr>
        <w:t>the</w:t>
      </w:r>
      <w:r>
        <w:rPr>
          <w:spacing w:val="-4"/>
          <w:w w:val="95"/>
        </w:rPr>
        <w:t xml:space="preserve"> </w:t>
      </w:r>
      <w:r>
        <w:rPr>
          <w:w w:val="95"/>
        </w:rPr>
        <w:t>weighted</w:t>
      </w:r>
      <w:r>
        <w:rPr>
          <w:spacing w:val="-4"/>
          <w:w w:val="95"/>
        </w:rPr>
        <w:t xml:space="preserve"> </w:t>
      </w:r>
      <w:r>
        <w:rPr>
          <w:w w:val="95"/>
        </w:rPr>
        <w:t>average</w:t>
      </w:r>
      <w:r>
        <w:rPr>
          <w:spacing w:val="-4"/>
          <w:w w:val="95"/>
        </w:rPr>
        <w:t xml:space="preserve"> </w:t>
      </w:r>
      <w:r>
        <w:rPr>
          <w:w w:val="95"/>
        </w:rPr>
        <w:t>cost</w:t>
      </w:r>
      <w:r>
        <w:rPr>
          <w:spacing w:val="-4"/>
          <w:w w:val="95"/>
        </w:rPr>
        <w:t xml:space="preserve"> </w:t>
      </w:r>
      <w:r>
        <w:rPr>
          <w:w w:val="95"/>
        </w:rPr>
        <w:t>of</w:t>
      </w:r>
      <w:r>
        <w:rPr>
          <w:spacing w:val="-4"/>
          <w:w w:val="95"/>
        </w:rPr>
        <w:t xml:space="preserve"> </w:t>
      </w:r>
      <w:r>
        <w:rPr>
          <w:w w:val="95"/>
        </w:rPr>
        <w:t>capital</w:t>
      </w:r>
      <w:r>
        <w:rPr>
          <w:spacing w:val="-4"/>
          <w:w w:val="95"/>
        </w:rPr>
        <w:t xml:space="preserve"> </w:t>
      </w:r>
      <w:r>
        <w:rPr>
          <w:w w:val="95"/>
        </w:rPr>
        <w:t xml:space="preserve">allowance </w:t>
      </w:r>
      <w:r>
        <w:t>and</w:t>
      </w:r>
      <w:r>
        <w:rPr>
          <w:spacing w:val="-15"/>
        </w:rPr>
        <w:t xml:space="preserve"> </w:t>
      </w:r>
      <w:r>
        <w:t>shareholder</w:t>
      </w:r>
      <w:r>
        <w:rPr>
          <w:spacing w:val="-13"/>
        </w:rPr>
        <w:t xml:space="preserve"> </w:t>
      </w:r>
      <w:r>
        <w:t>capital</w:t>
      </w:r>
      <w:r>
        <w:rPr>
          <w:spacing w:val="-13"/>
        </w:rPr>
        <w:t xml:space="preserve"> </w:t>
      </w:r>
      <w:r>
        <w:t>costs</w:t>
      </w:r>
      <w:r>
        <w:rPr>
          <w:spacing w:val="-13"/>
        </w:rPr>
        <w:t xml:space="preserve"> </w:t>
      </w:r>
      <w:r>
        <w:t>in</w:t>
      </w:r>
      <w:r>
        <w:rPr>
          <w:spacing w:val="-13"/>
        </w:rPr>
        <w:t xml:space="preserve"> </w:t>
      </w:r>
      <w:r>
        <w:t>Government-owned</w:t>
      </w:r>
    </w:p>
    <w:p w:rsidR="002C1123" w:rsidRDefault="00F22F94">
      <w:pPr>
        <w:spacing w:before="11"/>
        <w:rPr>
          <w:sz w:val="20"/>
        </w:rPr>
      </w:pPr>
      <w:r>
        <w:br w:type="column"/>
      </w:r>
    </w:p>
    <w:p w:rsidR="002C1123" w:rsidRDefault="00F22F94">
      <w:pPr>
        <w:jc w:val="right"/>
        <w:rPr>
          <w:sz w:val="15"/>
        </w:rPr>
      </w:pPr>
      <w:r>
        <w:rPr>
          <w:spacing w:val="-5"/>
          <w:w w:val="95"/>
          <w:sz w:val="15"/>
        </w:rPr>
        <w:t>140</w:t>
      </w:r>
    </w:p>
    <w:p w:rsidR="002C1123" w:rsidRDefault="002C1123">
      <w:pPr>
        <w:pStyle w:val="BodyText"/>
        <w:spacing w:before="5"/>
        <w:rPr>
          <w:sz w:val="22"/>
        </w:rPr>
      </w:pPr>
    </w:p>
    <w:p w:rsidR="002C1123" w:rsidRDefault="002060EF">
      <w:pPr>
        <w:jc w:val="right"/>
        <w:rPr>
          <w:sz w:val="15"/>
        </w:rPr>
      </w:pPr>
      <w:r>
        <w:pict>
          <v:shape id="docshape2180" o:spid="_x0000_s1865" type="#_x0000_t202" style="position:absolute;left:0;text-align:left;margin-left:553.1pt;margin-top:5.05pt;width:10.5pt;height:42.35pt;z-index:251623424;mso-position-horizontal-relative:page" filled="f" stroked="f">
            <v:textbox style="layout-flow:vertical;mso-layout-flow-alt:bottom-to-top" inset="0,0,0,0">
              <w:txbxContent>
                <w:p w:rsidR="00F22F94" w:rsidRDefault="00F22F94">
                  <w:pPr>
                    <w:spacing w:before="18"/>
                    <w:ind w:left="20"/>
                    <w:rPr>
                      <w:sz w:val="15"/>
                    </w:rPr>
                  </w:pPr>
                  <w:r>
                    <w:rPr>
                      <w:w w:val="70"/>
                      <w:sz w:val="15"/>
                    </w:rPr>
                    <w:t>SAIDI</w:t>
                  </w:r>
                  <w:r>
                    <w:rPr>
                      <w:spacing w:val="1"/>
                      <w:sz w:val="15"/>
                    </w:rPr>
                    <w:t xml:space="preserve"> </w:t>
                  </w:r>
                  <w:r>
                    <w:rPr>
                      <w:spacing w:val="-2"/>
                      <w:w w:val="80"/>
                      <w:sz w:val="15"/>
                    </w:rPr>
                    <w:t>(Minutes)</w:t>
                  </w:r>
                </w:p>
              </w:txbxContent>
            </v:textbox>
            <w10:wrap anchorx="page"/>
          </v:shape>
        </w:pict>
      </w:r>
      <w:r w:rsidR="00F22F94">
        <w:rPr>
          <w:spacing w:val="-5"/>
          <w:w w:val="95"/>
          <w:sz w:val="15"/>
        </w:rPr>
        <w:t>130</w:t>
      </w:r>
    </w:p>
    <w:p w:rsidR="002C1123" w:rsidRDefault="002C1123">
      <w:pPr>
        <w:pStyle w:val="BodyText"/>
        <w:spacing w:before="5"/>
        <w:rPr>
          <w:sz w:val="22"/>
        </w:rPr>
      </w:pPr>
    </w:p>
    <w:p w:rsidR="002C1123" w:rsidRDefault="00F22F94">
      <w:pPr>
        <w:jc w:val="right"/>
        <w:rPr>
          <w:sz w:val="15"/>
        </w:rPr>
      </w:pPr>
      <w:r>
        <w:rPr>
          <w:spacing w:val="-5"/>
          <w:w w:val="95"/>
          <w:sz w:val="15"/>
        </w:rPr>
        <w:t>120</w:t>
      </w:r>
    </w:p>
    <w:p w:rsidR="002C1123" w:rsidRDefault="002C1123">
      <w:pPr>
        <w:pStyle w:val="BodyText"/>
        <w:spacing w:before="5"/>
        <w:rPr>
          <w:sz w:val="22"/>
        </w:rPr>
      </w:pPr>
    </w:p>
    <w:p w:rsidR="002C1123" w:rsidRDefault="00F22F94">
      <w:pPr>
        <w:jc w:val="right"/>
        <w:rPr>
          <w:sz w:val="15"/>
        </w:rPr>
      </w:pPr>
      <w:r>
        <w:rPr>
          <w:spacing w:val="-5"/>
          <w:w w:val="95"/>
          <w:sz w:val="15"/>
        </w:rPr>
        <w:t>110</w:t>
      </w:r>
    </w:p>
    <w:p w:rsidR="002C1123" w:rsidRDefault="002C1123">
      <w:pPr>
        <w:pStyle w:val="BodyText"/>
        <w:spacing w:before="5"/>
        <w:rPr>
          <w:sz w:val="22"/>
        </w:rPr>
      </w:pPr>
    </w:p>
    <w:p w:rsidR="002C1123" w:rsidRDefault="00F22F94">
      <w:pPr>
        <w:jc w:val="right"/>
        <w:rPr>
          <w:sz w:val="15"/>
        </w:rPr>
      </w:pPr>
      <w:r>
        <w:rPr>
          <w:spacing w:val="-5"/>
          <w:w w:val="95"/>
          <w:sz w:val="15"/>
        </w:rPr>
        <w:t>100</w:t>
      </w:r>
    </w:p>
    <w:p w:rsidR="002C1123" w:rsidRDefault="002C1123">
      <w:pPr>
        <w:pStyle w:val="BodyText"/>
        <w:spacing w:before="5"/>
        <w:rPr>
          <w:sz w:val="22"/>
        </w:rPr>
      </w:pPr>
    </w:p>
    <w:p w:rsidR="002C1123" w:rsidRDefault="00F22F94">
      <w:pPr>
        <w:jc w:val="right"/>
        <w:rPr>
          <w:sz w:val="15"/>
        </w:rPr>
      </w:pPr>
      <w:r>
        <w:rPr>
          <w:spacing w:val="-5"/>
          <w:w w:val="95"/>
          <w:sz w:val="15"/>
        </w:rPr>
        <w:t>90</w:t>
      </w:r>
    </w:p>
    <w:p w:rsidR="002C1123" w:rsidRDefault="00F22F94">
      <w:pPr>
        <w:spacing w:before="3" w:after="25"/>
        <w:rPr>
          <w:sz w:val="12"/>
        </w:rPr>
      </w:pPr>
      <w:r>
        <w:br w:type="column"/>
      </w:r>
    </w:p>
    <w:p w:rsidR="002C1123" w:rsidRDefault="002060EF">
      <w:pPr>
        <w:pStyle w:val="BodyText"/>
        <w:ind w:left="85"/>
      </w:pPr>
      <w:r>
        <w:pict>
          <v:group id="docshapegroup2181" o:spid="_x0000_s1858" style="width:193.5pt;height:84.85pt;mso-position-horizontal-relative:char;mso-position-vertical-relative:line" coordsize="3870,1697">
            <v:line id="_x0000_s1864" style="position:absolute" from="0,1453" to="3869,1453" strokecolor="#b2b1b3" strokeweight=".1319mm"/>
            <v:line id="_x0000_s1863" style="position:absolute" from="0,1022" to="3869,1022" strokecolor="#b2b1b3" strokeweight=".1319mm"/>
            <v:line id="_x0000_s1862" style="position:absolute" from="0,592" to="3869,592" strokecolor="#b2b1b3" strokeweight=".1319mm"/>
            <v:line id="_x0000_s1861" style="position:absolute" from="0,162" to="3869,162" strokecolor="#b2b1b3" strokeweight=".1319mm"/>
            <v:shape id="docshape2182" o:spid="_x0000_s1860" style="position:absolute;left:175;top:28;width:2111;height:1539" coordorigin="176,28" coordsize="2111,1539" path="m2286,1161l1935,799r-352,767l1231,72,879,590,528,372,176,28e" filled="f" strokecolor="#00aeef" strokeweight=".99061mm">
              <v:path arrowok="t"/>
            </v:shape>
            <v:shape id="docshape2183" o:spid="_x0000_s1859" style="position:absolute;left:175;top:28;width:3518;height:1640" coordorigin="176,28" coordsize="3518,1640" path="m3693,1668l3342,1487,2990,1306,2638,1126,2286,945,1935,764,1583,570,1231,377,879,261,528,144,176,28e" filled="f" strokecolor="#2e3092" strokeweight=".99061mm">
              <v:path arrowok="t"/>
            </v:shape>
            <w10:anchorlock/>
          </v:group>
        </w:pict>
      </w:r>
    </w:p>
    <w:p w:rsidR="002C1123" w:rsidRDefault="002060EF">
      <w:pPr>
        <w:pStyle w:val="BodyText"/>
        <w:spacing w:before="8"/>
        <w:rPr>
          <w:sz w:val="11"/>
        </w:rPr>
      </w:pPr>
      <w:r>
        <w:pict>
          <v:shape id="docshape2184" o:spid="_x0000_s1857" style="position:absolute;margin-left:586.45pt;margin-top:7.95pt;width:193.5pt;height:.1pt;z-index:-251344896;mso-wrap-distance-left:0;mso-wrap-distance-right:0;mso-position-horizontal-relative:page" coordorigin="11729,159" coordsize="3870,0" path="m11729,159r3870,e" filled="f" strokecolor="#b2b1b3" strokeweight=".1319mm">
            <v:path arrowok="t"/>
            <w10:wrap type="topAndBottom" anchorx="page"/>
          </v:shape>
        </w:pict>
      </w:r>
    </w:p>
    <w:p w:rsidR="002C1123" w:rsidRDefault="002C1123">
      <w:pPr>
        <w:pStyle w:val="BodyText"/>
      </w:pPr>
    </w:p>
    <w:p w:rsidR="002C1123" w:rsidRDefault="002060EF">
      <w:pPr>
        <w:pStyle w:val="BodyText"/>
        <w:rPr>
          <w:sz w:val="15"/>
        </w:rPr>
      </w:pPr>
      <w:r>
        <w:pict>
          <v:shape id="docshape2185" o:spid="_x0000_s1856" style="position:absolute;margin-left:586.45pt;margin-top:9.85pt;width:193.5pt;height:.1pt;z-index:-251343872;mso-wrap-distance-left:0;mso-wrap-distance-right:0;mso-position-horizontal-relative:page" coordorigin="11729,197" coordsize="3870,0" path="m11729,197r3870,e" filled="f" strokecolor="#b2b1b3" strokeweight=".26422mm">
            <v:path arrowok="t"/>
            <w10:wrap type="topAndBottom" anchorx="page"/>
          </v:shape>
        </w:pict>
      </w:r>
    </w:p>
    <w:p w:rsidR="002C1123" w:rsidRDefault="00F22F94">
      <w:pPr>
        <w:spacing w:before="101"/>
        <w:ind w:left="128"/>
        <w:rPr>
          <w:sz w:val="15"/>
        </w:rPr>
      </w:pPr>
      <w:r>
        <w:rPr>
          <w:w w:val="80"/>
          <w:sz w:val="15"/>
        </w:rPr>
        <w:t>FY06</w:t>
      </w:r>
      <w:r>
        <w:rPr>
          <w:spacing w:val="20"/>
          <w:sz w:val="15"/>
        </w:rPr>
        <w:t xml:space="preserve"> </w:t>
      </w:r>
      <w:r>
        <w:rPr>
          <w:w w:val="80"/>
          <w:sz w:val="15"/>
        </w:rPr>
        <w:t>FY07</w:t>
      </w:r>
      <w:r>
        <w:rPr>
          <w:spacing w:val="21"/>
          <w:sz w:val="15"/>
        </w:rPr>
        <w:t xml:space="preserve"> </w:t>
      </w:r>
      <w:r>
        <w:rPr>
          <w:w w:val="80"/>
          <w:sz w:val="15"/>
        </w:rPr>
        <w:t>FY08</w:t>
      </w:r>
      <w:r>
        <w:rPr>
          <w:spacing w:val="20"/>
          <w:sz w:val="15"/>
        </w:rPr>
        <w:t xml:space="preserve"> </w:t>
      </w:r>
      <w:r>
        <w:rPr>
          <w:w w:val="80"/>
          <w:sz w:val="15"/>
        </w:rPr>
        <w:t>FY09</w:t>
      </w:r>
      <w:r>
        <w:rPr>
          <w:spacing w:val="21"/>
          <w:sz w:val="15"/>
        </w:rPr>
        <w:t xml:space="preserve"> </w:t>
      </w:r>
      <w:r>
        <w:rPr>
          <w:w w:val="80"/>
          <w:sz w:val="15"/>
        </w:rPr>
        <w:t>FY10</w:t>
      </w:r>
      <w:r>
        <w:rPr>
          <w:spacing w:val="21"/>
          <w:sz w:val="15"/>
        </w:rPr>
        <w:t xml:space="preserve"> </w:t>
      </w:r>
      <w:r>
        <w:rPr>
          <w:w w:val="80"/>
          <w:sz w:val="15"/>
        </w:rPr>
        <w:t>FY11</w:t>
      </w:r>
      <w:r>
        <w:rPr>
          <w:spacing w:val="20"/>
          <w:sz w:val="15"/>
        </w:rPr>
        <w:t xml:space="preserve"> </w:t>
      </w:r>
      <w:r>
        <w:rPr>
          <w:w w:val="80"/>
          <w:sz w:val="15"/>
        </w:rPr>
        <w:t>FY12</w:t>
      </w:r>
      <w:r>
        <w:rPr>
          <w:spacing w:val="21"/>
          <w:sz w:val="15"/>
        </w:rPr>
        <w:t xml:space="preserve"> </w:t>
      </w:r>
      <w:r>
        <w:rPr>
          <w:w w:val="80"/>
          <w:sz w:val="15"/>
        </w:rPr>
        <w:t>FY13</w:t>
      </w:r>
      <w:r>
        <w:rPr>
          <w:spacing w:val="21"/>
          <w:sz w:val="15"/>
        </w:rPr>
        <w:t xml:space="preserve"> </w:t>
      </w:r>
      <w:r>
        <w:rPr>
          <w:w w:val="80"/>
          <w:sz w:val="15"/>
        </w:rPr>
        <w:t>FY14</w:t>
      </w:r>
      <w:r>
        <w:rPr>
          <w:spacing w:val="20"/>
          <w:sz w:val="15"/>
        </w:rPr>
        <w:t xml:space="preserve"> </w:t>
      </w:r>
      <w:r>
        <w:rPr>
          <w:w w:val="80"/>
          <w:sz w:val="15"/>
        </w:rPr>
        <w:t>FY15</w:t>
      </w:r>
      <w:r>
        <w:rPr>
          <w:spacing w:val="21"/>
          <w:sz w:val="15"/>
        </w:rPr>
        <w:t xml:space="preserve"> </w:t>
      </w:r>
      <w:r>
        <w:rPr>
          <w:spacing w:val="-4"/>
          <w:w w:val="80"/>
          <w:sz w:val="15"/>
        </w:rPr>
        <w:t>FY16</w:t>
      </w:r>
    </w:p>
    <w:p w:rsidR="002C1123" w:rsidRDefault="002060EF">
      <w:pPr>
        <w:spacing w:before="74" w:line="324" w:lineRule="auto"/>
        <w:ind w:left="474" w:right="2749" w:firstLine="3"/>
        <w:rPr>
          <w:sz w:val="15"/>
        </w:rPr>
      </w:pPr>
      <w:r>
        <w:pict>
          <v:line id="_x0000_s1855" style="position:absolute;left:0;text-align:left;z-index:251620352;mso-position-horizontal-relative:page" from="586.25pt,20.2pt" to="602.2pt,20.2pt" strokecolor="#00aeef" strokeweight=".99061mm">
            <w10:wrap anchorx="page"/>
          </v:line>
        </w:pict>
      </w:r>
      <w:r>
        <w:pict>
          <v:line id="_x0000_s1854" style="position:absolute;left:0;text-align:left;z-index:251621376;mso-position-horizontal-relative:page" from="586.45pt,8.6pt" to="602.4pt,8.6pt" strokecolor="#2e3092" strokeweight=".99061mm">
            <w10:wrap anchorx="page"/>
          </v:line>
        </w:pict>
      </w:r>
      <w:r w:rsidR="00F22F94">
        <w:rPr>
          <w:w w:val="80"/>
          <w:sz w:val="15"/>
        </w:rPr>
        <w:t>NSW</w:t>
      </w:r>
      <w:r w:rsidR="00F22F94">
        <w:rPr>
          <w:spacing w:val="-1"/>
          <w:w w:val="80"/>
          <w:sz w:val="15"/>
        </w:rPr>
        <w:t xml:space="preserve"> </w:t>
      </w:r>
      <w:r w:rsidR="00F22F94">
        <w:rPr>
          <w:w w:val="80"/>
          <w:sz w:val="15"/>
        </w:rPr>
        <w:t>2021</w:t>
      </w:r>
      <w:r w:rsidR="00F22F94">
        <w:rPr>
          <w:spacing w:val="-1"/>
          <w:w w:val="80"/>
          <w:sz w:val="15"/>
        </w:rPr>
        <w:t xml:space="preserve"> </w:t>
      </w:r>
      <w:r w:rsidR="00F22F94">
        <w:rPr>
          <w:w w:val="80"/>
          <w:sz w:val="15"/>
        </w:rPr>
        <w:t>target</w:t>
      </w:r>
      <w:r w:rsidR="00F22F94">
        <w:rPr>
          <w:spacing w:val="-1"/>
          <w:w w:val="80"/>
          <w:sz w:val="15"/>
        </w:rPr>
        <w:t xml:space="preserve"> </w:t>
      </w:r>
      <w:r w:rsidR="00F22F94">
        <w:rPr>
          <w:w w:val="80"/>
          <w:sz w:val="15"/>
        </w:rPr>
        <w:t>(minutes)</w:t>
      </w:r>
      <w:r w:rsidR="00F22F94">
        <w:rPr>
          <w:sz w:val="15"/>
        </w:rPr>
        <w:t xml:space="preserve"> </w:t>
      </w:r>
      <w:r w:rsidR="00F22F94">
        <w:rPr>
          <w:w w:val="75"/>
          <w:sz w:val="15"/>
        </w:rPr>
        <w:t>NSW</w:t>
      </w:r>
      <w:r w:rsidR="00F22F94">
        <w:rPr>
          <w:spacing w:val="9"/>
          <w:sz w:val="15"/>
        </w:rPr>
        <w:t xml:space="preserve"> </w:t>
      </w:r>
      <w:r w:rsidR="00F22F94">
        <w:rPr>
          <w:w w:val="75"/>
          <w:sz w:val="15"/>
        </w:rPr>
        <w:t>performance</w:t>
      </w:r>
      <w:r w:rsidR="00F22F94">
        <w:rPr>
          <w:spacing w:val="9"/>
          <w:sz w:val="15"/>
        </w:rPr>
        <w:t xml:space="preserve"> </w:t>
      </w:r>
      <w:r w:rsidR="00F22F94">
        <w:rPr>
          <w:spacing w:val="-2"/>
          <w:w w:val="75"/>
          <w:sz w:val="15"/>
        </w:rPr>
        <w:t>(minutes)</w:t>
      </w:r>
    </w:p>
    <w:p w:rsidR="002C1123" w:rsidRDefault="002C1123">
      <w:pPr>
        <w:spacing w:line="324" w:lineRule="auto"/>
        <w:rPr>
          <w:sz w:val="15"/>
        </w:rPr>
        <w:sectPr w:rsidR="002C1123">
          <w:type w:val="continuous"/>
          <w:pgSz w:w="16840" w:h="11910" w:orient="landscape"/>
          <w:pgMar w:top="560" w:right="280" w:bottom="280" w:left="500" w:header="0" w:footer="517" w:gutter="0"/>
          <w:cols w:num="4" w:space="720" w:equalWidth="0">
            <w:col w:w="5231" w:space="40"/>
            <w:col w:w="5075" w:space="46"/>
            <w:col w:w="708" w:space="40"/>
            <w:col w:w="4920"/>
          </w:cols>
        </w:sectPr>
      </w:pPr>
    </w:p>
    <w:p w:rsidR="002C1123" w:rsidRDefault="00F22F94">
      <w:pPr>
        <w:pStyle w:val="BodyText"/>
        <w:spacing w:line="211" w:lineRule="exact"/>
        <w:ind w:left="492"/>
      </w:pPr>
      <w:r>
        <w:rPr>
          <w:w w:val="95"/>
        </w:rPr>
        <w:t>direct</w:t>
      </w:r>
      <w:r>
        <w:rPr>
          <w:spacing w:val="-7"/>
          <w:w w:val="95"/>
        </w:rPr>
        <w:t xml:space="preserve"> </w:t>
      </w:r>
      <w:r>
        <w:rPr>
          <w:w w:val="95"/>
        </w:rPr>
        <w:t>investment</w:t>
      </w:r>
      <w:r>
        <w:rPr>
          <w:spacing w:val="-7"/>
          <w:w w:val="95"/>
        </w:rPr>
        <w:t xml:space="preserve"> </w:t>
      </w:r>
      <w:r>
        <w:rPr>
          <w:w w:val="95"/>
        </w:rPr>
        <w:t>in</w:t>
      </w:r>
      <w:r>
        <w:rPr>
          <w:spacing w:val="-6"/>
          <w:w w:val="95"/>
        </w:rPr>
        <w:t xml:space="preserve"> </w:t>
      </w:r>
      <w:r>
        <w:rPr>
          <w:w w:val="95"/>
        </w:rPr>
        <w:t>infrastructure</w:t>
      </w:r>
      <w:r>
        <w:rPr>
          <w:spacing w:val="-7"/>
          <w:w w:val="95"/>
        </w:rPr>
        <w:t xml:space="preserve"> </w:t>
      </w:r>
      <w:r>
        <w:rPr>
          <w:w w:val="95"/>
        </w:rPr>
        <w:t>in</w:t>
      </w:r>
      <w:r>
        <w:rPr>
          <w:spacing w:val="-6"/>
          <w:w w:val="95"/>
        </w:rPr>
        <w:t xml:space="preserve"> </w:t>
      </w:r>
      <w:r>
        <w:rPr>
          <w:w w:val="95"/>
        </w:rPr>
        <w:t>order</w:t>
      </w:r>
      <w:r>
        <w:rPr>
          <w:spacing w:val="-7"/>
          <w:w w:val="95"/>
        </w:rPr>
        <w:t xml:space="preserve"> </w:t>
      </w:r>
      <w:r>
        <w:rPr>
          <w:w w:val="95"/>
        </w:rPr>
        <w:t>to</w:t>
      </w:r>
      <w:r>
        <w:rPr>
          <w:spacing w:val="-6"/>
          <w:w w:val="95"/>
        </w:rPr>
        <w:t xml:space="preserve"> </w:t>
      </w:r>
      <w:r>
        <w:rPr>
          <w:spacing w:val="-2"/>
          <w:w w:val="95"/>
        </w:rPr>
        <w:t>achieve</w:t>
      </w:r>
    </w:p>
    <w:p w:rsidR="002C1123" w:rsidRDefault="00F22F94">
      <w:pPr>
        <w:pStyle w:val="BodyText"/>
        <w:spacing w:before="10" w:line="249" w:lineRule="auto"/>
        <w:ind w:left="492"/>
      </w:pPr>
      <w:r>
        <w:t>reliability</w:t>
      </w:r>
      <w:r>
        <w:rPr>
          <w:spacing w:val="-14"/>
        </w:rPr>
        <w:t xml:space="preserve"> </w:t>
      </w:r>
      <w:r>
        <w:t>and</w:t>
      </w:r>
      <w:r>
        <w:rPr>
          <w:spacing w:val="-14"/>
        </w:rPr>
        <w:t xml:space="preserve"> </w:t>
      </w:r>
      <w:r>
        <w:t>other</w:t>
      </w:r>
      <w:r>
        <w:rPr>
          <w:spacing w:val="-14"/>
        </w:rPr>
        <w:t xml:space="preserve"> </w:t>
      </w:r>
      <w:r>
        <w:t>objectives.</w:t>
      </w:r>
      <w:r>
        <w:rPr>
          <w:spacing w:val="-14"/>
        </w:rPr>
        <w:t xml:space="preserve"> </w:t>
      </w:r>
      <w:r>
        <w:t>Instead,</w:t>
      </w:r>
      <w:r>
        <w:rPr>
          <w:spacing w:val="-14"/>
        </w:rPr>
        <w:t xml:space="preserve"> </w:t>
      </w:r>
      <w:r>
        <w:t>stable</w:t>
      </w:r>
      <w:r>
        <w:rPr>
          <w:spacing w:val="-14"/>
        </w:rPr>
        <w:t xml:space="preserve"> </w:t>
      </w:r>
      <w:r>
        <w:t xml:space="preserve">and </w:t>
      </w:r>
      <w:r>
        <w:rPr>
          <w:w w:val="95"/>
        </w:rPr>
        <w:t>transparent policy and governance frameworks have replaced</w:t>
      </w:r>
      <w:r>
        <w:rPr>
          <w:spacing w:val="-3"/>
          <w:w w:val="95"/>
        </w:rPr>
        <w:t xml:space="preserve"> </w:t>
      </w:r>
      <w:r>
        <w:rPr>
          <w:w w:val="95"/>
        </w:rPr>
        <w:t>the</w:t>
      </w:r>
      <w:r>
        <w:rPr>
          <w:spacing w:val="-2"/>
          <w:w w:val="95"/>
        </w:rPr>
        <w:t xml:space="preserve"> </w:t>
      </w:r>
      <w:r>
        <w:rPr>
          <w:w w:val="95"/>
        </w:rPr>
        <w:t>need</w:t>
      </w:r>
      <w:r>
        <w:rPr>
          <w:spacing w:val="-3"/>
          <w:w w:val="95"/>
        </w:rPr>
        <w:t xml:space="preserve"> </w:t>
      </w:r>
      <w:r>
        <w:rPr>
          <w:w w:val="95"/>
        </w:rPr>
        <w:t>for</w:t>
      </w:r>
      <w:r>
        <w:rPr>
          <w:spacing w:val="-2"/>
          <w:w w:val="95"/>
        </w:rPr>
        <w:t xml:space="preserve"> </w:t>
      </w:r>
      <w:r>
        <w:rPr>
          <w:w w:val="95"/>
        </w:rPr>
        <w:t>direct</w:t>
      </w:r>
      <w:r>
        <w:rPr>
          <w:spacing w:val="-3"/>
          <w:w w:val="95"/>
        </w:rPr>
        <w:t xml:space="preserve"> </w:t>
      </w:r>
      <w:r>
        <w:rPr>
          <w:w w:val="95"/>
        </w:rPr>
        <w:t>Government</w:t>
      </w:r>
      <w:r>
        <w:rPr>
          <w:spacing w:val="-2"/>
          <w:w w:val="95"/>
        </w:rPr>
        <w:t xml:space="preserve"> investment.</w:t>
      </w:r>
    </w:p>
    <w:p w:rsidR="002C1123" w:rsidRDefault="00F22F94">
      <w:pPr>
        <w:pStyle w:val="BodyText"/>
        <w:spacing w:before="2"/>
        <w:ind w:left="492"/>
      </w:pPr>
      <w:r>
        <w:br w:type="column"/>
      </w:r>
      <w:r>
        <w:rPr>
          <w:w w:val="95"/>
        </w:rPr>
        <w:t>and</w:t>
      </w:r>
      <w:r>
        <w:rPr>
          <w:spacing w:val="-1"/>
        </w:rPr>
        <w:t xml:space="preserve"> </w:t>
      </w:r>
      <w:r>
        <w:rPr>
          <w:w w:val="95"/>
        </w:rPr>
        <w:t>privately-owned</w:t>
      </w:r>
      <w:r>
        <w:t xml:space="preserve"> </w:t>
      </w:r>
      <w:r>
        <w:rPr>
          <w:spacing w:val="-2"/>
          <w:w w:val="95"/>
        </w:rPr>
        <w:t>networks.</w:t>
      </w:r>
    </w:p>
    <w:p w:rsidR="002C1123" w:rsidRDefault="002060EF">
      <w:pPr>
        <w:pStyle w:val="BodyText"/>
        <w:spacing w:before="67" w:line="249" w:lineRule="auto"/>
        <w:ind w:left="492"/>
      </w:pPr>
      <w:r>
        <w:pict>
          <v:shape id="docshape2186" o:spid="_x0000_s1853" type="#_x0000_t202" style="position:absolute;left:0;text-align:left;margin-left:49.6pt;margin-top:43.9pt;width:240pt;height:69.35pt;z-index:251622400;mso-position-horizontal-relative:page" fillcolor="#e1e0e1" stroked="f">
            <v:textbox inset="0,0,0,0">
              <w:txbxContent>
                <w:p w:rsidR="00F22F94" w:rsidRDefault="00F22F94">
                  <w:pPr>
                    <w:pStyle w:val="BodyText"/>
                    <w:spacing w:before="68" w:line="249" w:lineRule="auto"/>
                    <w:ind w:left="113" w:right="270"/>
                    <w:rPr>
                      <w:color w:val="000000"/>
                    </w:rPr>
                  </w:pPr>
                  <w:r>
                    <w:rPr>
                      <w:b/>
                      <w:color w:val="00AEEF"/>
                    </w:rPr>
                    <w:t xml:space="preserve">Recommendation </w:t>
                  </w:r>
                  <w:r>
                    <w:rPr>
                      <w:color w:val="000000"/>
                    </w:rPr>
                    <w:t xml:space="preserve">Infrastructure NSW supports </w:t>
                  </w:r>
                  <w:r>
                    <w:rPr>
                      <w:color w:val="000000"/>
                      <w:w w:val="95"/>
                    </w:rPr>
                    <w:t xml:space="preserve">the Commission of Audit’s recommendation that the </w:t>
                  </w:r>
                  <w:r>
                    <w:rPr>
                      <w:color w:val="000000"/>
                    </w:rPr>
                    <w:t>Government</w:t>
                  </w:r>
                  <w:r>
                    <w:rPr>
                      <w:color w:val="000000"/>
                      <w:spacing w:val="-14"/>
                    </w:rPr>
                    <w:t xml:space="preserve"> </w:t>
                  </w:r>
                  <w:r>
                    <w:rPr>
                      <w:color w:val="000000"/>
                    </w:rPr>
                    <w:t>undertakes</w:t>
                  </w:r>
                  <w:r>
                    <w:rPr>
                      <w:color w:val="000000"/>
                      <w:spacing w:val="-14"/>
                    </w:rPr>
                    <w:t xml:space="preserve"> </w:t>
                  </w:r>
                  <w:r>
                    <w:rPr>
                      <w:color w:val="000000"/>
                    </w:rPr>
                    <w:t>a</w:t>
                  </w:r>
                  <w:r>
                    <w:rPr>
                      <w:color w:val="000000"/>
                      <w:spacing w:val="-14"/>
                    </w:rPr>
                    <w:t xml:space="preserve"> </w:t>
                  </w:r>
                  <w:r>
                    <w:rPr>
                      <w:color w:val="000000"/>
                    </w:rPr>
                    <w:t>study</w:t>
                  </w:r>
                  <w:r>
                    <w:rPr>
                      <w:color w:val="000000"/>
                      <w:spacing w:val="-14"/>
                    </w:rPr>
                    <w:t xml:space="preserve"> </w:t>
                  </w:r>
                  <w:r>
                    <w:rPr>
                      <w:color w:val="000000"/>
                    </w:rPr>
                    <w:t>that</w:t>
                  </w:r>
                  <w:r>
                    <w:rPr>
                      <w:color w:val="000000"/>
                      <w:spacing w:val="-14"/>
                    </w:rPr>
                    <w:t xml:space="preserve"> </w:t>
                  </w:r>
                  <w:r>
                    <w:rPr>
                      <w:color w:val="000000"/>
                    </w:rPr>
                    <w:t>considers</w:t>
                  </w:r>
                  <w:r>
                    <w:rPr>
                      <w:color w:val="000000"/>
                      <w:spacing w:val="-14"/>
                    </w:rPr>
                    <w:t xml:space="preserve"> </w:t>
                  </w:r>
                  <w:r>
                    <w:rPr>
                      <w:color w:val="000000"/>
                    </w:rPr>
                    <w:t xml:space="preserve">the </w:t>
                  </w:r>
                  <w:r>
                    <w:rPr>
                      <w:color w:val="000000"/>
                      <w:w w:val="95"/>
                    </w:rPr>
                    <w:t xml:space="preserve">scope and implementation strategy for privatisation </w:t>
                  </w:r>
                  <w:r>
                    <w:rPr>
                      <w:color w:val="000000"/>
                    </w:rPr>
                    <w:t>of distribution networks.</w:t>
                  </w:r>
                </w:p>
              </w:txbxContent>
            </v:textbox>
            <w10:wrap anchorx="page"/>
          </v:shape>
        </w:pict>
      </w:r>
      <w:r w:rsidR="00F22F94">
        <w:rPr>
          <w:spacing w:val="-2"/>
          <w:w w:val="95"/>
        </w:rPr>
        <w:t>Infrastructure</w:t>
      </w:r>
      <w:r w:rsidR="00F22F94">
        <w:rPr>
          <w:spacing w:val="-18"/>
          <w:w w:val="95"/>
        </w:rPr>
        <w:t xml:space="preserve"> </w:t>
      </w:r>
      <w:r w:rsidR="00F22F94">
        <w:rPr>
          <w:spacing w:val="-2"/>
          <w:w w:val="95"/>
        </w:rPr>
        <w:t>NSW</w:t>
      </w:r>
      <w:r w:rsidR="00F22F94">
        <w:rPr>
          <w:spacing w:val="-17"/>
          <w:w w:val="95"/>
        </w:rPr>
        <w:t xml:space="preserve"> </w:t>
      </w:r>
      <w:r w:rsidR="00F22F94">
        <w:rPr>
          <w:spacing w:val="-2"/>
          <w:w w:val="95"/>
        </w:rPr>
        <w:t>supports</w:t>
      </w:r>
      <w:r w:rsidR="00F22F94">
        <w:rPr>
          <w:spacing w:val="-17"/>
          <w:w w:val="95"/>
        </w:rPr>
        <w:t xml:space="preserve"> </w:t>
      </w:r>
      <w:r w:rsidR="00F22F94">
        <w:rPr>
          <w:spacing w:val="-2"/>
          <w:w w:val="95"/>
        </w:rPr>
        <w:t>the</w:t>
      </w:r>
      <w:r w:rsidR="00F22F94">
        <w:rPr>
          <w:spacing w:val="-17"/>
          <w:w w:val="95"/>
        </w:rPr>
        <w:t xml:space="preserve"> </w:t>
      </w:r>
      <w:r w:rsidR="00F22F94">
        <w:rPr>
          <w:spacing w:val="-2"/>
          <w:w w:val="95"/>
        </w:rPr>
        <w:t>Australian</w:t>
      </w:r>
      <w:r w:rsidR="00F22F94">
        <w:rPr>
          <w:spacing w:val="-18"/>
          <w:w w:val="95"/>
        </w:rPr>
        <w:t xml:space="preserve"> </w:t>
      </w:r>
      <w:r w:rsidR="00F22F94">
        <w:rPr>
          <w:spacing w:val="-2"/>
          <w:w w:val="95"/>
        </w:rPr>
        <w:t>Energy</w:t>
      </w:r>
      <w:r w:rsidR="00F22F94">
        <w:rPr>
          <w:spacing w:val="-17"/>
          <w:w w:val="95"/>
        </w:rPr>
        <w:t xml:space="preserve"> </w:t>
      </w:r>
      <w:r w:rsidR="00F22F94">
        <w:rPr>
          <w:spacing w:val="-2"/>
          <w:w w:val="95"/>
        </w:rPr>
        <w:t xml:space="preserve">Market </w:t>
      </w:r>
      <w:r w:rsidR="00F22F94">
        <w:rPr>
          <w:w w:val="95"/>
        </w:rPr>
        <w:t>Commission’s</w:t>
      </w:r>
      <w:r w:rsidR="00F22F94">
        <w:rPr>
          <w:spacing w:val="-12"/>
          <w:w w:val="95"/>
        </w:rPr>
        <w:t xml:space="preserve"> </w:t>
      </w:r>
      <w:r w:rsidR="00F22F94">
        <w:rPr>
          <w:w w:val="95"/>
        </w:rPr>
        <w:t>efforts</w:t>
      </w:r>
      <w:r w:rsidR="00F22F94">
        <w:rPr>
          <w:spacing w:val="-12"/>
          <w:w w:val="95"/>
        </w:rPr>
        <w:t xml:space="preserve"> </w:t>
      </w:r>
      <w:r w:rsidR="00F22F94">
        <w:rPr>
          <w:w w:val="95"/>
        </w:rPr>
        <w:t>to</w:t>
      </w:r>
      <w:r w:rsidR="00F22F94">
        <w:rPr>
          <w:spacing w:val="-12"/>
          <w:w w:val="95"/>
        </w:rPr>
        <w:t xml:space="preserve"> </w:t>
      </w:r>
      <w:r w:rsidR="00F22F94">
        <w:rPr>
          <w:w w:val="95"/>
        </w:rPr>
        <w:t>amend</w:t>
      </w:r>
      <w:r w:rsidR="00F22F94">
        <w:rPr>
          <w:spacing w:val="-12"/>
          <w:w w:val="95"/>
        </w:rPr>
        <w:t xml:space="preserve"> </w:t>
      </w:r>
      <w:r w:rsidR="00F22F94">
        <w:rPr>
          <w:w w:val="95"/>
        </w:rPr>
        <w:t>the</w:t>
      </w:r>
      <w:r w:rsidR="00F22F94">
        <w:rPr>
          <w:spacing w:val="-12"/>
          <w:w w:val="95"/>
        </w:rPr>
        <w:t xml:space="preserve"> </w:t>
      </w:r>
      <w:r w:rsidR="00F22F94">
        <w:rPr>
          <w:w w:val="95"/>
        </w:rPr>
        <w:t>regulatory</w:t>
      </w:r>
      <w:r w:rsidR="00F22F94">
        <w:rPr>
          <w:spacing w:val="-12"/>
          <w:w w:val="95"/>
        </w:rPr>
        <w:t xml:space="preserve"> </w:t>
      </w:r>
      <w:r w:rsidR="00F22F94">
        <w:rPr>
          <w:w w:val="95"/>
        </w:rPr>
        <w:t xml:space="preserve">framework </w:t>
      </w:r>
      <w:r w:rsidR="00F22F94">
        <w:rPr>
          <w:spacing w:val="-2"/>
        </w:rPr>
        <w:t>through</w:t>
      </w:r>
      <w:r w:rsidR="00F22F94">
        <w:rPr>
          <w:spacing w:val="-17"/>
        </w:rPr>
        <w:t xml:space="preserve"> </w:t>
      </w:r>
      <w:r w:rsidR="00F22F94">
        <w:rPr>
          <w:spacing w:val="-2"/>
        </w:rPr>
        <w:t>national</w:t>
      </w:r>
      <w:r w:rsidR="00F22F94">
        <w:rPr>
          <w:spacing w:val="-17"/>
        </w:rPr>
        <w:t xml:space="preserve"> </w:t>
      </w:r>
      <w:r w:rsidR="00F22F94">
        <w:rPr>
          <w:spacing w:val="-2"/>
        </w:rPr>
        <w:t>reviews</w:t>
      </w:r>
      <w:r w:rsidR="00F22F94">
        <w:rPr>
          <w:spacing w:val="-17"/>
        </w:rPr>
        <w:t xml:space="preserve"> </w:t>
      </w:r>
      <w:r w:rsidR="00F22F94">
        <w:rPr>
          <w:spacing w:val="-2"/>
        </w:rPr>
        <w:t>now</w:t>
      </w:r>
      <w:r w:rsidR="00F22F94">
        <w:rPr>
          <w:spacing w:val="-17"/>
        </w:rPr>
        <w:t xml:space="preserve"> </w:t>
      </w:r>
      <w:r w:rsidR="00F22F94">
        <w:rPr>
          <w:spacing w:val="-2"/>
        </w:rPr>
        <w:t>underway</w:t>
      </w:r>
      <w:r w:rsidR="00F22F94">
        <w:rPr>
          <w:spacing w:val="-2"/>
          <w:position w:val="7"/>
          <w:sz w:val="11"/>
        </w:rPr>
        <w:t>4</w:t>
      </w:r>
      <w:r w:rsidR="00F22F94">
        <w:rPr>
          <w:spacing w:val="-2"/>
        </w:rPr>
        <w:t>.</w:t>
      </w: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060EF">
      <w:pPr>
        <w:pStyle w:val="BodyText"/>
        <w:spacing w:before="9"/>
        <w:rPr>
          <w:sz w:val="23"/>
        </w:rPr>
      </w:pPr>
      <w:r>
        <w:pict>
          <v:shape id="docshape2187" o:spid="_x0000_s1852" style="position:absolute;margin-left:300.95pt;margin-top:14.9pt;width:1in;height:.1pt;z-index:-251342848;mso-wrap-distance-left:0;mso-wrap-distance-right:0;mso-position-horizontal-relative:page" coordorigin="6019,298" coordsize="1440,0" path="m6019,298r1440,e" filled="f" strokecolor="#9c9c9d" strokeweight=".5pt">
            <v:path arrowok="t"/>
            <w10:wrap type="topAndBottom" anchorx="page"/>
          </v:shape>
        </w:pict>
      </w:r>
    </w:p>
    <w:p w:rsidR="002C1123" w:rsidRDefault="00F22F94">
      <w:pPr>
        <w:pStyle w:val="ListParagraph"/>
        <w:numPr>
          <w:ilvl w:val="1"/>
          <w:numId w:val="58"/>
        </w:numPr>
        <w:tabs>
          <w:tab w:val="left" w:pos="691"/>
        </w:tabs>
        <w:spacing w:before="23"/>
        <w:ind w:left="690" w:right="49"/>
        <w:jc w:val="left"/>
        <w:rPr>
          <w:sz w:val="14"/>
        </w:rPr>
      </w:pPr>
      <w:r>
        <w:rPr>
          <w:w w:val="95"/>
          <w:sz w:val="14"/>
        </w:rPr>
        <w:t>AEMC 2012, Draft Rule Determinations for economic regulation of network</w:t>
      </w:r>
      <w:r>
        <w:rPr>
          <w:spacing w:val="40"/>
          <w:sz w:val="14"/>
        </w:rPr>
        <w:t xml:space="preserve"> </w:t>
      </w:r>
      <w:r>
        <w:rPr>
          <w:sz w:val="14"/>
        </w:rPr>
        <w:t>service providers, August 2012.</w:t>
      </w:r>
    </w:p>
    <w:p w:rsidR="002C1123" w:rsidRDefault="00F22F94">
      <w:pPr>
        <w:ind w:left="320"/>
        <w:jc w:val="both"/>
        <w:rPr>
          <w:sz w:val="13"/>
        </w:rPr>
      </w:pPr>
      <w:r>
        <w:br w:type="column"/>
      </w:r>
      <w:r>
        <w:rPr>
          <w:spacing w:val="-2"/>
          <w:w w:val="95"/>
          <w:sz w:val="13"/>
        </w:rPr>
        <w:t>Source:</w:t>
      </w:r>
      <w:r>
        <w:rPr>
          <w:sz w:val="13"/>
        </w:rPr>
        <w:t xml:space="preserve"> </w:t>
      </w:r>
      <w:r>
        <w:rPr>
          <w:spacing w:val="-2"/>
          <w:w w:val="95"/>
          <w:sz w:val="13"/>
        </w:rPr>
        <w:t>NSW</w:t>
      </w:r>
      <w:r>
        <w:rPr>
          <w:spacing w:val="1"/>
          <w:sz w:val="13"/>
        </w:rPr>
        <w:t xml:space="preserve"> </w:t>
      </w:r>
      <w:r>
        <w:rPr>
          <w:spacing w:val="-2"/>
          <w:w w:val="95"/>
          <w:sz w:val="13"/>
        </w:rPr>
        <w:t>Department</w:t>
      </w:r>
      <w:r>
        <w:rPr>
          <w:spacing w:val="1"/>
          <w:sz w:val="13"/>
        </w:rPr>
        <w:t xml:space="preserve"> </w:t>
      </w:r>
      <w:r>
        <w:rPr>
          <w:spacing w:val="-2"/>
          <w:w w:val="95"/>
          <w:sz w:val="13"/>
        </w:rPr>
        <w:t>of</w:t>
      </w:r>
      <w:r>
        <w:rPr>
          <w:spacing w:val="1"/>
          <w:sz w:val="13"/>
        </w:rPr>
        <w:t xml:space="preserve"> </w:t>
      </w:r>
      <w:r>
        <w:rPr>
          <w:spacing w:val="-2"/>
          <w:w w:val="95"/>
          <w:sz w:val="13"/>
        </w:rPr>
        <w:t>Trade</w:t>
      </w:r>
      <w:r>
        <w:rPr>
          <w:sz w:val="13"/>
        </w:rPr>
        <w:t xml:space="preserve"> </w:t>
      </w:r>
      <w:r>
        <w:rPr>
          <w:spacing w:val="-2"/>
          <w:w w:val="95"/>
          <w:sz w:val="13"/>
        </w:rPr>
        <w:t>and</w:t>
      </w:r>
      <w:r>
        <w:rPr>
          <w:spacing w:val="1"/>
          <w:sz w:val="13"/>
        </w:rPr>
        <w:t xml:space="preserve"> </w:t>
      </w:r>
      <w:r>
        <w:rPr>
          <w:spacing w:val="-2"/>
          <w:w w:val="95"/>
          <w:sz w:val="13"/>
        </w:rPr>
        <w:t>Investment.</w:t>
      </w:r>
    </w:p>
    <w:p w:rsidR="002C1123" w:rsidRDefault="002C1123">
      <w:pPr>
        <w:pStyle w:val="BodyText"/>
        <w:rPr>
          <w:sz w:val="14"/>
        </w:rPr>
      </w:pPr>
    </w:p>
    <w:p w:rsidR="002C1123" w:rsidRDefault="00F22F94">
      <w:pPr>
        <w:pStyle w:val="BodyText"/>
        <w:spacing w:before="107" w:line="249" w:lineRule="auto"/>
        <w:ind w:left="254" w:right="921"/>
        <w:jc w:val="both"/>
      </w:pPr>
      <w:r>
        <w:rPr>
          <w:w w:val="95"/>
        </w:rPr>
        <w:t>Infrastructure NSW has concluded that the NSW 2021 reliability</w:t>
      </w:r>
      <w:r>
        <w:rPr>
          <w:spacing w:val="-6"/>
          <w:w w:val="95"/>
        </w:rPr>
        <w:t xml:space="preserve"> </w:t>
      </w:r>
      <w:r>
        <w:rPr>
          <w:w w:val="95"/>
        </w:rPr>
        <w:t>target</w:t>
      </w:r>
      <w:r>
        <w:rPr>
          <w:spacing w:val="-6"/>
          <w:w w:val="95"/>
        </w:rPr>
        <w:t xml:space="preserve"> </w:t>
      </w:r>
      <w:r>
        <w:rPr>
          <w:w w:val="95"/>
        </w:rPr>
        <w:t>can</w:t>
      </w:r>
      <w:r>
        <w:rPr>
          <w:spacing w:val="-6"/>
          <w:w w:val="95"/>
        </w:rPr>
        <w:t xml:space="preserve"> </w:t>
      </w:r>
      <w:r>
        <w:rPr>
          <w:w w:val="95"/>
        </w:rPr>
        <w:t>continue</w:t>
      </w:r>
      <w:r>
        <w:rPr>
          <w:spacing w:val="-6"/>
          <w:w w:val="95"/>
        </w:rPr>
        <w:t xml:space="preserve"> </w:t>
      </w:r>
      <w:r>
        <w:rPr>
          <w:w w:val="95"/>
        </w:rPr>
        <w:t>to</w:t>
      </w:r>
      <w:r>
        <w:rPr>
          <w:spacing w:val="-6"/>
          <w:w w:val="95"/>
        </w:rPr>
        <w:t xml:space="preserve"> </w:t>
      </w:r>
      <w:r>
        <w:rPr>
          <w:w w:val="95"/>
        </w:rPr>
        <w:t>be</w:t>
      </w:r>
      <w:r>
        <w:rPr>
          <w:spacing w:val="-6"/>
          <w:w w:val="95"/>
        </w:rPr>
        <w:t xml:space="preserve"> </w:t>
      </w:r>
      <w:r>
        <w:rPr>
          <w:w w:val="95"/>
        </w:rPr>
        <w:t>achieved</w:t>
      </w:r>
      <w:r>
        <w:rPr>
          <w:spacing w:val="-6"/>
          <w:w w:val="95"/>
        </w:rPr>
        <w:t xml:space="preserve"> </w:t>
      </w:r>
      <w:r>
        <w:rPr>
          <w:w w:val="95"/>
        </w:rPr>
        <w:t>with</w:t>
      </w:r>
      <w:r>
        <w:rPr>
          <w:spacing w:val="-6"/>
          <w:w w:val="95"/>
        </w:rPr>
        <w:t xml:space="preserve"> </w:t>
      </w:r>
      <w:r>
        <w:rPr>
          <w:w w:val="95"/>
        </w:rPr>
        <w:t xml:space="preserve">lower </w:t>
      </w:r>
      <w:r>
        <w:t>(recommended) capital investment.</w:t>
      </w:r>
    </w:p>
    <w:p w:rsidR="002C1123" w:rsidRDefault="00F22F94">
      <w:pPr>
        <w:pStyle w:val="BodyText"/>
        <w:spacing w:before="145" w:line="249" w:lineRule="auto"/>
        <w:ind w:left="254" w:right="568"/>
      </w:pPr>
      <w:r>
        <w:t>Infrastructure</w:t>
      </w:r>
      <w:r>
        <w:rPr>
          <w:spacing w:val="-6"/>
        </w:rPr>
        <w:t xml:space="preserve"> </w:t>
      </w:r>
      <w:r>
        <w:t>NSW</w:t>
      </w:r>
      <w:r>
        <w:rPr>
          <w:spacing w:val="-6"/>
        </w:rPr>
        <w:t xml:space="preserve"> </w:t>
      </w:r>
      <w:r>
        <w:t>supports</w:t>
      </w:r>
      <w:r>
        <w:rPr>
          <w:spacing w:val="-6"/>
        </w:rPr>
        <w:t xml:space="preserve"> </w:t>
      </w:r>
      <w:r>
        <w:t>the</w:t>
      </w:r>
      <w:r>
        <w:rPr>
          <w:spacing w:val="-6"/>
        </w:rPr>
        <w:t xml:space="preserve"> </w:t>
      </w:r>
      <w:r>
        <w:t>Government’s efficiency</w:t>
      </w:r>
      <w:r>
        <w:rPr>
          <w:spacing w:val="-10"/>
        </w:rPr>
        <w:t xml:space="preserve"> </w:t>
      </w:r>
      <w:r>
        <w:t>measures</w:t>
      </w:r>
      <w:r>
        <w:rPr>
          <w:spacing w:val="-10"/>
        </w:rPr>
        <w:t xml:space="preserve"> </w:t>
      </w:r>
      <w:r>
        <w:t>to</w:t>
      </w:r>
      <w:r>
        <w:rPr>
          <w:spacing w:val="-10"/>
        </w:rPr>
        <w:t xml:space="preserve"> </w:t>
      </w:r>
      <w:r>
        <w:t>amalgamate</w:t>
      </w:r>
      <w:r>
        <w:rPr>
          <w:spacing w:val="-10"/>
        </w:rPr>
        <w:t xml:space="preserve"> </w:t>
      </w:r>
      <w:r>
        <w:t>distribution businesses</w:t>
      </w:r>
      <w:r>
        <w:rPr>
          <w:spacing w:val="-14"/>
        </w:rPr>
        <w:t xml:space="preserve"> </w:t>
      </w:r>
      <w:r>
        <w:t>to</w:t>
      </w:r>
      <w:r>
        <w:rPr>
          <w:spacing w:val="-14"/>
        </w:rPr>
        <w:t xml:space="preserve"> </w:t>
      </w:r>
      <w:r>
        <w:t>reduce</w:t>
      </w:r>
      <w:r>
        <w:rPr>
          <w:spacing w:val="-14"/>
        </w:rPr>
        <w:t xml:space="preserve"> </w:t>
      </w:r>
      <w:r>
        <w:t>investment.</w:t>
      </w:r>
      <w:r>
        <w:rPr>
          <w:spacing w:val="-14"/>
        </w:rPr>
        <w:t xml:space="preserve"> </w:t>
      </w:r>
      <w:r>
        <w:t>The</w:t>
      </w:r>
      <w:r>
        <w:rPr>
          <w:spacing w:val="-14"/>
        </w:rPr>
        <w:t xml:space="preserve"> </w:t>
      </w:r>
      <w:r>
        <w:t xml:space="preserve">amalgamated </w:t>
      </w:r>
      <w:r>
        <w:rPr>
          <w:w w:val="95"/>
        </w:rPr>
        <w:t>business,</w:t>
      </w:r>
      <w:r>
        <w:rPr>
          <w:spacing w:val="-3"/>
          <w:w w:val="95"/>
        </w:rPr>
        <w:t xml:space="preserve"> </w:t>
      </w:r>
      <w:r>
        <w:rPr>
          <w:w w:val="95"/>
        </w:rPr>
        <w:t>Networks</w:t>
      </w:r>
      <w:r>
        <w:rPr>
          <w:spacing w:val="-3"/>
          <w:w w:val="95"/>
        </w:rPr>
        <w:t xml:space="preserve"> </w:t>
      </w:r>
      <w:r>
        <w:rPr>
          <w:w w:val="95"/>
        </w:rPr>
        <w:t>NSW,</w:t>
      </w:r>
      <w:r>
        <w:rPr>
          <w:spacing w:val="-3"/>
          <w:w w:val="95"/>
        </w:rPr>
        <w:t xml:space="preserve"> </w:t>
      </w:r>
      <w:r>
        <w:rPr>
          <w:w w:val="95"/>
        </w:rPr>
        <w:t>is</w:t>
      </w:r>
      <w:r>
        <w:rPr>
          <w:spacing w:val="-3"/>
          <w:w w:val="95"/>
        </w:rPr>
        <w:t xml:space="preserve"> </w:t>
      </w:r>
      <w:r>
        <w:rPr>
          <w:w w:val="95"/>
        </w:rPr>
        <w:t>yet</w:t>
      </w:r>
      <w:r>
        <w:rPr>
          <w:spacing w:val="-3"/>
          <w:w w:val="95"/>
        </w:rPr>
        <w:t xml:space="preserve"> </w:t>
      </w:r>
      <w:r>
        <w:rPr>
          <w:w w:val="95"/>
        </w:rPr>
        <w:t>to</w:t>
      </w:r>
      <w:r>
        <w:rPr>
          <w:spacing w:val="-3"/>
          <w:w w:val="95"/>
        </w:rPr>
        <w:t xml:space="preserve"> </w:t>
      </w:r>
      <w:r>
        <w:rPr>
          <w:w w:val="95"/>
        </w:rPr>
        <w:t>recommend</w:t>
      </w:r>
      <w:r>
        <w:rPr>
          <w:spacing w:val="-3"/>
          <w:w w:val="95"/>
        </w:rPr>
        <w:t xml:space="preserve"> </w:t>
      </w:r>
      <w:r>
        <w:rPr>
          <w:w w:val="95"/>
        </w:rPr>
        <w:t>a</w:t>
      </w:r>
      <w:r>
        <w:rPr>
          <w:spacing w:val="-3"/>
          <w:w w:val="95"/>
        </w:rPr>
        <w:t xml:space="preserve"> </w:t>
      </w:r>
      <w:r>
        <w:rPr>
          <w:w w:val="95"/>
        </w:rPr>
        <w:t xml:space="preserve">capital </w:t>
      </w:r>
      <w:r>
        <w:rPr>
          <w:spacing w:val="-2"/>
        </w:rPr>
        <w:t>program</w:t>
      </w:r>
      <w:r>
        <w:rPr>
          <w:spacing w:val="-10"/>
        </w:rPr>
        <w:t xml:space="preserve"> </w:t>
      </w:r>
      <w:r>
        <w:rPr>
          <w:spacing w:val="-2"/>
        </w:rPr>
        <w:t>which</w:t>
      </w:r>
      <w:r>
        <w:rPr>
          <w:spacing w:val="-9"/>
        </w:rPr>
        <w:t xml:space="preserve"> </w:t>
      </w:r>
      <w:r>
        <w:rPr>
          <w:spacing w:val="-2"/>
        </w:rPr>
        <w:t>will</w:t>
      </w:r>
      <w:r>
        <w:rPr>
          <w:spacing w:val="-9"/>
        </w:rPr>
        <w:t xml:space="preserve"> </w:t>
      </w:r>
      <w:r>
        <w:rPr>
          <w:spacing w:val="-2"/>
        </w:rPr>
        <w:t>be</w:t>
      </w:r>
      <w:r>
        <w:rPr>
          <w:spacing w:val="-9"/>
        </w:rPr>
        <w:t xml:space="preserve"> </w:t>
      </w:r>
      <w:r>
        <w:rPr>
          <w:spacing w:val="-2"/>
        </w:rPr>
        <w:t>reviewed</w:t>
      </w:r>
      <w:r>
        <w:rPr>
          <w:spacing w:val="-9"/>
        </w:rPr>
        <w:t xml:space="preserve"> </w:t>
      </w:r>
      <w:r>
        <w:rPr>
          <w:spacing w:val="-2"/>
        </w:rPr>
        <w:t>by</w:t>
      </w:r>
      <w:r>
        <w:rPr>
          <w:spacing w:val="-9"/>
        </w:rPr>
        <w:t xml:space="preserve"> </w:t>
      </w:r>
      <w:r>
        <w:rPr>
          <w:spacing w:val="-2"/>
        </w:rPr>
        <w:t>Infrastructure</w:t>
      </w:r>
      <w:r>
        <w:rPr>
          <w:spacing w:val="-9"/>
        </w:rPr>
        <w:t xml:space="preserve"> </w:t>
      </w:r>
      <w:r>
        <w:rPr>
          <w:spacing w:val="-2"/>
        </w:rPr>
        <w:t>NSW.</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4952" w:space="75"/>
            <w:col w:w="5225" w:space="39"/>
            <w:col w:w="5769"/>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7"/>
        </w:rPr>
      </w:pPr>
    </w:p>
    <w:p w:rsidR="002C1123" w:rsidRDefault="002C1123">
      <w:pPr>
        <w:rPr>
          <w:sz w:val="17"/>
        </w:rPr>
        <w:sectPr w:rsidR="002C1123">
          <w:pgSz w:w="16840" w:h="11910" w:orient="landscape"/>
          <w:pgMar w:top="560" w:right="280" w:bottom="700" w:left="500" w:header="0" w:footer="517" w:gutter="0"/>
          <w:cols w:space="720"/>
        </w:sectPr>
      </w:pPr>
    </w:p>
    <w:p w:rsidR="002C1123" w:rsidRDefault="00F22F94">
      <w:pPr>
        <w:pStyle w:val="Heading5"/>
        <w:numPr>
          <w:ilvl w:val="1"/>
          <w:numId w:val="63"/>
        </w:numPr>
        <w:tabs>
          <w:tab w:val="left" w:pos="1093"/>
        </w:tabs>
        <w:spacing w:before="129" w:line="223" w:lineRule="auto"/>
        <w:ind w:left="1092" w:right="1175"/>
        <w:jc w:val="left"/>
      </w:pPr>
      <w:bookmarkStart w:id="309" w:name="11.4__Electricity_transmission_investmen"/>
      <w:bookmarkStart w:id="310" w:name="11.5_Generation_and_gas"/>
      <w:bookmarkStart w:id="311" w:name="_bookmark221"/>
      <w:bookmarkStart w:id="312" w:name="_bookmark220"/>
      <w:bookmarkEnd w:id="309"/>
      <w:bookmarkEnd w:id="310"/>
      <w:bookmarkEnd w:id="311"/>
      <w:bookmarkEnd w:id="312"/>
      <w:r>
        <w:rPr>
          <w:color w:val="00AEEF"/>
          <w:w w:val="95"/>
        </w:rPr>
        <w:t>Electricity</w:t>
      </w:r>
      <w:r>
        <w:rPr>
          <w:color w:val="00AEEF"/>
          <w:spacing w:val="-16"/>
          <w:w w:val="95"/>
        </w:rPr>
        <w:t xml:space="preserve"> </w:t>
      </w:r>
      <w:r>
        <w:rPr>
          <w:color w:val="00AEEF"/>
          <w:w w:val="95"/>
        </w:rPr>
        <w:t xml:space="preserve">transmission </w:t>
      </w:r>
      <w:r>
        <w:rPr>
          <w:color w:val="00AEEF"/>
          <w:spacing w:val="-2"/>
        </w:rPr>
        <w:t>investment</w:t>
      </w:r>
    </w:p>
    <w:p w:rsidR="002C1123" w:rsidRDefault="00F22F94">
      <w:pPr>
        <w:pStyle w:val="BodyText"/>
        <w:spacing w:before="140" w:line="249" w:lineRule="auto"/>
        <w:ind w:left="492"/>
      </w:pPr>
      <w:r>
        <w:t>Infrastructure</w:t>
      </w:r>
      <w:r>
        <w:rPr>
          <w:spacing w:val="-13"/>
        </w:rPr>
        <w:t xml:space="preserve"> </w:t>
      </w:r>
      <w:r>
        <w:t>NSW</w:t>
      </w:r>
      <w:r>
        <w:rPr>
          <w:spacing w:val="-13"/>
        </w:rPr>
        <w:t xml:space="preserve"> </w:t>
      </w:r>
      <w:r>
        <w:t>considers</w:t>
      </w:r>
      <w:r>
        <w:rPr>
          <w:spacing w:val="-13"/>
        </w:rPr>
        <w:t xml:space="preserve"> </w:t>
      </w:r>
      <w:r>
        <w:t>that</w:t>
      </w:r>
      <w:r>
        <w:rPr>
          <w:spacing w:val="-13"/>
        </w:rPr>
        <w:t xml:space="preserve"> </w:t>
      </w:r>
      <w:r>
        <w:t>strengthening</w:t>
      </w:r>
      <w:r>
        <w:rPr>
          <w:spacing w:val="-13"/>
        </w:rPr>
        <w:t xml:space="preserve"> </w:t>
      </w:r>
      <w:r>
        <w:t>the transmission</w:t>
      </w:r>
      <w:r>
        <w:rPr>
          <w:spacing w:val="-14"/>
        </w:rPr>
        <w:t xml:space="preserve"> </w:t>
      </w:r>
      <w:r>
        <w:t>links</w:t>
      </w:r>
      <w:r>
        <w:rPr>
          <w:spacing w:val="-14"/>
        </w:rPr>
        <w:t xml:space="preserve"> </w:t>
      </w:r>
      <w:r>
        <w:t>between</w:t>
      </w:r>
      <w:r>
        <w:rPr>
          <w:spacing w:val="-14"/>
        </w:rPr>
        <w:t xml:space="preserve"> </w:t>
      </w:r>
      <w:r>
        <w:t>the</w:t>
      </w:r>
      <w:r>
        <w:rPr>
          <w:spacing w:val="-14"/>
        </w:rPr>
        <w:t xml:space="preserve"> </w:t>
      </w:r>
      <w:r>
        <w:t>regions</w:t>
      </w:r>
      <w:r>
        <w:rPr>
          <w:spacing w:val="-14"/>
        </w:rPr>
        <w:t xml:space="preserve"> </w:t>
      </w:r>
      <w:r>
        <w:t>will</w:t>
      </w:r>
      <w:r>
        <w:rPr>
          <w:spacing w:val="-14"/>
        </w:rPr>
        <w:t xml:space="preserve"> </w:t>
      </w:r>
      <w:r>
        <w:t xml:space="preserve">enhance </w:t>
      </w:r>
      <w:r>
        <w:rPr>
          <w:w w:val="95"/>
        </w:rPr>
        <w:t>competition</w:t>
      </w:r>
      <w:r>
        <w:rPr>
          <w:spacing w:val="-3"/>
          <w:w w:val="95"/>
        </w:rPr>
        <w:t xml:space="preserve"> </w:t>
      </w:r>
      <w:r>
        <w:rPr>
          <w:w w:val="95"/>
        </w:rPr>
        <w:t>in</w:t>
      </w:r>
      <w:r>
        <w:rPr>
          <w:spacing w:val="-3"/>
          <w:w w:val="95"/>
        </w:rPr>
        <w:t xml:space="preserve"> </w:t>
      </w:r>
      <w:r>
        <w:rPr>
          <w:w w:val="95"/>
        </w:rPr>
        <w:t>the</w:t>
      </w:r>
      <w:r>
        <w:rPr>
          <w:spacing w:val="-3"/>
          <w:w w:val="95"/>
        </w:rPr>
        <w:t xml:space="preserve"> </w:t>
      </w:r>
      <w:r>
        <w:rPr>
          <w:w w:val="95"/>
        </w:rPr>
        <w:t>national</w:t>
      </w:r>
      <w:r>
        <w:rPr>
          <w:spacing w:val="-3"/>
          <w:w w:val="95"/>
        </w:rPr>
        <w:t xml:space="preserve"> </w:t>
      </w:r>
      <w:r>
        <w:rPr>
          <w:w w:val="95"/>
        </w:rPr>
        <w:t>wholesale</w:t>
      </w:r>
      <w:r>
        <w:rPr>
          <w:spacing w:val="-3"/>
          <w:w w:val="95"/>
        </w:rPr>
        <w:t xml:space="preserve"> </w:t>
      </w:r>
      <w:r>
        <w:rPr>
          <w:w w:val="95"/>
        </w:rPr>
        <w:t>electricity</w:t>
      </w:r>
      <w:r>
        <w:rPr>
          <w:spacing w:val="-3"/>
          <w:w w:val="95"/>
        </w:rPr>
        <w:t xml:space="preserve"> </w:t>
      </w:r>
      <w:r>
        <w:rPr>
          <w:w w:val="95"/>
        </w:rPr>
        <w:t>market.</w:t>
      </w:r>
    </w:p>
    <w:p w:rsidR="002C1123" w:rsidRDefault="00F22F94">
      <w:pPr>
        <w:pStyle w:val="BodyText"/>
        <w:spacing w:before="144" w:line="249" w:lineRule="auto"/>
        <w:ind w:left="492"/>
      </w:pPr>
      <w:r>
        <w:rPr>
          <w:w w:val="95"/>
        </w:rPr>
        <w:t>The</w:t>
      </w:r>
      <w:r>
        <w:rPr>
          <w:spacing w:val="-7"/>
          <w:w w:val="95"/>
        </w:rPr>
        <w:t xml:space="preserve"> </w:t>
      </w:r>
      <w:r>
        <w:rPr>
          <w:w w:val="95"/>
        </w:rPr>
        <w:t>capacity</w:t>
      </w:r>
      <w:r>
        <w:rPr>
          <w:spacing w:val="-7"/>
          <w:w w:val="95"/>
        </w:rPr>
        <w:t xml:space="preserve"> </w:t>
      </w:r>
      <w:r>
        <w:rPr>
          <w:w w:val="95"/>
        </w:rPr>
        <w:t>of</w:t>
      </w:r>
      <w:r>
        <w:rPr>
          <w:spacing w:val="-7"/>
          <w:w w:val="95"/>
        </w:rPr>
        <w:t xml:space="preserve"> </w:t>
      </w:r>
      <w:r>
        <w:rPr>
          <w:w w:val="95"/>
        </w:rPr>
        <w:t>inter-regional</w:t>
      </w:r>
      <w:r>
        <w:rPr>
          <w:spacing w:val="-7"/>
          <w:w w:val="95"/>
        </w:rPr>
        <w:t xml:space="preserve"> </w:t>
      </w:r>
      <w:r>
        <w:rPr>
          <w:w w:val="95"/>
        </w:rPr>
        <w:t>electricity</w:t>
      </w:r>
      <w:r>
        <w:rPr>
          <w:spacing w:val="-7"/>
          <w:w w:val="95"/>
        </w:rPr>
        <w:t xml:space="preserve"> </w:t>
      </w:r>
      <w:r>
        <w:rPr>
          <w:w w:val="95"/>
        </w:rPr>
        <w:t>trade</w:t>
      </w:r>
      <w:r>
        <w:rPr>
          <w:spacing w:val="-7"/>
          <w:w w:val="95"/>
        </w:rPr>
        <w:t xml:space="preserve"> </w:t>
      </w:r>
      <w:r>
        <w:rPr>
          <w:w w:val="95"/>
        </w:rPr>
        <w:t>has</w:t>
      </w:r>
      <w:r>
        <w:rPr>
          <w:spacing w:val="-7"/>
          <w:w w:val="95"/>
        </w:rPr>
        <w:t xml:space="preserve"> </w:t>
      </w:r>
      <w:r>
        <w:rPr>
          <w:w w:val="95"/>
        </w:rPr>
        <w:t>a</w:t>
      </w:r>
      <w:r>
        <w:rPr>
          <w:spacing w:val="-7"/>
          <w:w w:val="95"/>
        </w:rPr>
        <w:t xml:space="preserve"> </w:t>
      </w:r>
      <w:r>
        <w:rPr>
          <w:w w:val="95"/>
        </w:rPr>
        <w:t xml:space="preserve">direct </w:t>
      </w:r>
      <w:r>
        <w:t>impact</w:t>
      </w:r>
      <w:r>
        <w:rPr>
          <w:spacing w:val="-5"/>
        </w:rPr>
        <w:t xml:space="preserve"> </w:t>
      </w:r>
      <w:r>
        <w:t>on</w:t>
      </w:r>
      <w:r>
        <w:rPr>
          <w:spacing w:val="-5"/>
        </w:rPr>
        <w:t xml:space="preserve"> </w:t>
      </w:r>
      <w:r>
        <w:t>the</w:t>
      </w:r>
      <w:r>
        <w:rPr>
          <w:spacing w:val="-5"/>
        </w:rPr>
        <w:t xml:space="preserve"> </w:t>
      </w:r>
      <w:r>
        <w:t>wholesale</w:t>
      </w:r>
      <w:r>
        <w:rPr>
          <w:spacing w:val="-5"/>
        </w:rPr>
        <w:t xml:space="preserve"> </w:t>
      </w:r>
      <w:r>
        <w:t>costs</w:t>
      </w:r>
      <w:r>
        <w:rPr>
          <w:spacing w:val="-5"/>
        </w:rPr>
        <w:t xml:space="preserve"> </w:t>
      </w:r>
      <w:r>
        <w:t>and</w:t>
      </w:r>
      <w:r>
        <w:rPr>
          <w:spacing w:val="-5"/>
        </w:rPr>
        <w:t xml:space="preserve"> </w:t>
      </w:r>
      <w:r>
        <w:t>competitiveness</w:t>
      </w:r>
    </w:p>
    <w:p w:rsidR="002C1123" w:rsidRDefault="00F22F94">
      <w:pPr>
        <w:pStyle w:val="BodyText"/>
        <w:spacing w:before="2" w:line="249" w:lineRule="auto"/>
        <w:ind w:left="492"/>
      </w:pPr>
      <w:r>
        <w:rPr>
          <w:w w:val="95"/>
        </w:rPr>
        <w:t xml:space="preserve">of the national market and therefore the prices paid by </w:t>
      </w:r>
      <w:r>
        <w:t>businesses</w:t>
      </w:r>
      <w:r>
        <w:rPr>
          <w:spacing w:val="-12"/>
        </w:rPr>
        <w:t xml:space="preserve"> </w:t>
      </w:r>
      <w:r>
        <w:t>and</w:t>
      </w:r>
      <w:r>
        <w:rPr>
          <w:spacing w:val="-12"/>
        </w:rPr>
        <w:t xml:space="preserve"> </w:t>
      </w:r>
      <w:r>
        <w:t>households.</w:t>
      </w:r>
      <w:r>
        <w:rPr>
          <w:spacing w:val="-12"/>
        </w:rPr>
        <w:t xml:space="preserve"> </w:t>
      </w:r>
      <w:r>
        <w:t>This</w:t>
      </w:r>
      <w:r>
        <w:rPr>
          <w:spacing w:val="-12"/>
        </w:rPr>
        <w:t xml:space="preserve"> </w:t>
      </w:r>
      <w:r>
        <w:t>is</w:t>
      </w:r>
      <w:r>
        <w:rPr>
          <w:spacing w:val="-12"/>
        </w:rPr>
        <w:t xml:space="preserve"> </w:t>
      </w:r>
      <w:r>
        <w:t>because</w:t>
      </w:r>
      <w:r>
        <w:rPr>
          <w:spacing w:val="-12"/>
        </w:rPr>
        <w:t xml:space="preserve"> </w:t>
      </w:r>
      <w:r>
        <w:t xml:space="preserve">market </w:t>
      </w:r>
      <w:r>
        <w:rPr>
          <w:w w:val="95"/>
        </w:rPr>
        <w:t>impacts from constraints or congestion prevent lowest priced</w:t>
      </w:r>
      <w:r>
        <w:rPr>
          <w:spacing w:val="-8"/>
          <w:w w:val="95"/>
        </w:rPr>
        <w:t xml:space="preserve"> </w:t>
      </w:r>
      <w:r>
        <w:rPr>
          <w:w w:val="95"/>
        </w:rPr>
        <w:t>generation</w:t>
      </w:r>
      <w:r>
        <w:rPr>
          <w:spacing w:val="-8"/>
          <w:w w:val="95"/>
        </w:rPr>
        <w:t xml:space="preserve"> </w:t>
      </w:r>
      <w:r>
        <w:rPr>
          <w:w w:val="95"/>
        </w:rPr>
        <w:t>being</w:t>
      </w:r>
      <w:r>
        <w:rPr>
          <w:spacing w:val="-8"/>
          <w:w w:val="95"/>
        </w:rPr>
        <w:t xml:space="preserve"> </w:t>
      </w:r>
      <w:r>
        <w:rPr>
          <w:w w:val="95"/>
        </w:rPr>
        <w:t>available</w:t>
      </w:r>
      <w:r>
        <w:rPr>
          <w:spacing w:val="-8"/>
          <w:w w:val="95"/>
        </w:rPr>
        <w:t xml:space="preserve"> </w:t>
      </w:r>
      <w:r>
        <w:rPr>
          <w:w w:val="95"/>
        </w:rPr>
        <w:t>to</w:t>
      </w:r>
      <w:r>
        <w:rPr>
          <w:spacing w:val="-8"/>
          <w:w w:val="95"/>
        </w:rPr>
        <w:t xml:space="preserve"> </w:t>
      </w:r>
      <w:r>
        <w:rPr>
          <w:w w:val="95"/>
        </w:rPr>
        <w:t>NSW</w:t>
      </w:r>
      <w:r>
        <w:rPr>
          <w:spacing w:val="-8"/>
          <w:w w:val="95"/>
        </w:rPr>
        <w:t xml:space="preserve"> </w:t>
      </w:r>
      <w:r>
        <w:rPr>
          <w:spacing w:val="-2"/>
          <w:w w:val="95"/>
        </w:rPr>
        <w:t>consumers</w:t>
      </w:r>
      <w:r>
        <w:rPr>
          <w:spacing w:val="-2"/>
          <w:w w:val="95"/>
          <w:position w:val="7"/>
          <w:sz w:val="11"/>
        </w:rPr>
        <w:t>5</w:t>
      </w:r>
      <w:r>
        <w:rPr>
          <w:spacing w:val="-2"/>
          <w:w w:val="95"/>
        </w:rPr>
        <w:t>.</w:t>
      </w:r>
    </w:p>
    <w:p w:rsidR="002C1123" w:rsidRDefault="00F22F94">
      <w:pPr>
        <w:pStyle w:val="BodyText"/>
        <w:spacing w:before="145" w:line="249" w:lineRule="auto"/>
        <w:ind w:left="492"/>
      </w:pPr>
      <w:r>
        <w:t>A</w:t>
      </w:r>
      <w:r>
        <w:rPr>
          <w:spacing w:val="-14"/>
        </w:rPr>
        <w:t xml:space="preserve"> </w:t>
      </w:r>
      <w:r>
        <w:t>recent</w:t>
      </w:r>
      <w:r>
        <w:rPr>
          <w:spacing w:val="-14"/>
        </w:rPr>
        <w:t xml:space="preserve"> </w:t>
      </w:r>
      <w:r>
        <w:t>study</w:t>
      </w:r>
      <w:r>
        <w:rPr>
          <w:spacing w:val="-14"/>
        </w:rPr>
        <w:t xml:space="preserve"> </w:t>
      </w:r>
      <w:r>
        <w:t>investigating</w:t>
      </w:r>
      <w:r>
        <w:rPr>
          <w:spacing w:val="-14"/>
        </w:rPr>
        <w:t xml:space="preserve"> </w:t>
      </w:r>
      <w:r>
        <w:t>increased</w:t>
      </w:r>
      <w:r>
        <w:rPr>
          <w:spacing w:val="-14"/>
        </w:rPr>
        <w:t xml:space="preserve"> </w:t>
      </w:r>
      <w:r>
        <w:t>inter-regional power</w:t>
      </w:r>
      <w:r>
        <w:rPr>
          <w:spacing w:val="-14"/>
        </w:rPr>
        <w:t xml:space="preserve"> </w:t>
      </w:r>
      <w:r>
        <w:t>transfer</w:t>
      </w:r>
      <w:r>
        <w:rPr>
          <w:spacing w:val="-14"/>
        </w:rPr>
        <w:t xml:space="preserve"> </w:t>
      </w:r>
      <w:r>
        <w:t>capabilities</w:t>
      </w:r>
      <w:r>
        <w:rPr>
          <w:spacing w:val="-14"/>
        </w:rPr>
        <w:t xml:space="preserve"> </w:t>
      </w:r>
      <w:r>
        <w:t>in</w:t>
      </w:r>
      <w:r>
        <w:rPr>
          <w:spacing w:val="-14"/>
        </w:rPr>
        <w:t xml:space="preserve"> </w:t>
      </w:r>
      <w:r>
        <w:t>the</w:t>
      </w:r>
      <w:r>
        <w:rPr>
          <w:spacing w:val="-14"/>
        </w:rPr>
        <w:t xml:space="preserve"> </w:t>
      </w:r>
      <w:r>
        <w:t>national</w:t>
      </w:r>
      <w:r>
        <w:rPr>
          <w:spacing w:val="-14"/>
        </w:rPr>
        <w:t xml:space="preserve"> </w:t>
      </w:r>
      <w:r>
        <w:t>electricity market</w:t>
      </w:r>
      <w:r>
        <w:rPr>
          <w:spacing w:val="-10"/>
        </w:rPr>
        <w:t xml:space="preserve"> </w:t>
      </w:r>
      <w:r>
        <w:t>has</w:t>
      </w:r>
      <w:r>
        <w:rPr>
          <w:spacing w:val="-10"/>
        </w:rPr>
        <w:t xml:space="preserve"> </w:t>
      </w:r>
      <w:r>
        <w:t>demonstrated</w:t>
      </w:r>
      <w:r>
        <w:rPr>
          <w:spacing w:val="-10"/>
        </w:rPr>
        <w:t xml:space="preserve"> </w:t>
      </w:r>
      <w:r>
        <w:t>potential</w:t>
      </w:r>
      <w:r>
        <w:rPr>
          <w:spacing w:val="-10"/>
        </w:rPr>
        <w:t xml:space="preserve"> </w:t>
      </w:r>
      <w:r>
        <w:t>market</w:t>
      </w:r>
      <w:r>
        <w:rPr>
          <w:spacing w:val="-10"/>
        </w:rPr>
        <w:t xml:space="preserve"> </w:t>
      </w:r>
      <w:r>
        <w:t xml:space="preserve">benefits. </w:t>
      </w:r>
      <w:r>
        <w:rPr>
          <w:w w:val="95"/>
        </w:rPr>
        <w:t>The</w:t>
      </w:r>
      <w:r>
        <w:rPr>
          <w:spacing w:val="-8"/>
          <w:w w:val="95"/>
        </w:rPr>
        <w:t xml:space="preserve"> </w:t>
      </w:r>
      <w:r>
        <w:rPr>
          <w:w w:val="95"/>
        </w:rPr>
        <w:t>maximum</w:t>
      </w:r>
      <w:r>
        <w:rPr>
          <w:spacing w:val="-8"/>
          <w:w w:val="95"/>
        </w:rPr>
        <w:t xml:space="preserve"> </w:t>
      </w:r>
      <w:r>
        <w:rPr>
          <w:w w:val="95"/>
        </w:rPr>
        <w:t>net</w:t>
      </w:r>
      <w:r>
        <w:rPr>
          <w:spacing w:val="-8"/>
          <w:w w:val="95"/>
        </w:rPr>
        <w:t xml:space="preserve"> </w:t>
      </w:r>
      <w:r>
        <w:rPr>
          <w:w w:val="95"/>
        </w:rPr>
        <w:t>benefits</w:t>
      </w:r>
      <w:r>
        <w:rPr>
          <w:spacing w:val="-8"/>
          <w:w w:val="95"/>
        </w:rPr>
        <w:t xml:space="preserve"> </w:t>
      </w:r>
      <w:r>
        <w:rPr>
          <w:w w:val="95"/>
        </w:rPr>
        <w:t>(benefits</w:t>
      </w:r>
      <w:r>
        <w:rPr>
          <w:spacing w:val="-8"/>
          <w:w w:val="95"/>
        </w:rPr>
        <w:t xml:space="preserve"> </w:t>
      </w:r>
      <w:r>
        <w:rPr>
          <w:w w:val="95"/>
        </w:rPr>
        <w:t>greater</w:t>
      </w:r>
      <w:r>
        <w:rPr>
          <w:spacing w:val="-8"/>
          <w:w w:val="95"/>
        </w:rPr>
        <w:t xml:space="preserve"> </w:t>
      </w:r>
      <w:r>
        <w:rPr>
          <w:w w:val="95"/>
        </w:rPr>
        <w:t>than</w:t>
      </w:r>
      <w:r>
        <w:rPr>
          <w:spacing w:val="-8"/>
          <w:w w:val="95"/>
        </w:rPr>
        <w:t xml:space="preserve"> </w:t>
      </w:r>
      <w:r>
        <w:rPr>
          <w:w w:val="95"/>
        </w:rPr>
        <w:t>costs)</w:t>
      </w:r>
    </w:p>
    <w:p w:rsidR="002C1123" w:rsidRDefault="00F22F94">
      <w:pPr>
        <w:pStyle w:val="BodyText"/>
        <w:spacing w:before="3" w:line="249" w:lineRule="auto"/>
        <w:ind w:left="492"/>
      </w:pPr>
      <w:r>
        <w:rPr>
          <w:w w:val="95"/>
        </w:rPr>
        <w:t>were found to occur when combining the three mainland components:</w:t>
      </w:r>
      <w:r>
        <w:rPr>
          <w:spacing w:val="-2"/>
          <w:w w:val="95"/>
        </w:rPr>
        <w:t xml:space="preserve"> </w:t>
      </w:r>
      <w:r>
        <w:rPr>
          <w:w w:val="95"/>
        </w:rPr>
        <w:t>Queensland</w:t>
      </w:r>
      <w:r>
        <w:rPr>
          <w:spacing w:val="-2"/>
          <w:w w:val="95"/>
        </w:rPr>
        <w:t xml:space="preserve"> </w:t>
      </w:r>
      <w:r>
        <w:rPr>
          <w:w w:val="95"/>
        </w:rPr>
        <w:t>to</w:t>
      </w:r>
      <w:r>
        <w:rPr>
          <w:spacing w:val="-2"/>
          <w:w w:val="95"/>
        </w:rPr>
        <w:t xml:space="preserve"> </w:t>
      </w:r>
      <w:r>
        <w:rPr>
          <w:w w:val="95"/>
        </w:rPr>
        <w:t>NSW;</w:t>
      </w:r>
      <w:r>
        <w:rPr>
          <w:spacing w:val="-2"/>
          <w:w w:val="95"/>
        </w:rPr>
        <w:t xml:space="preserve"> </w:t>
      </w:r>
      <w:r>
        <w:rPr>
          <w:w w:val="95"/>
        </w:rPr>
        <w:t>NSW</w:t>
      </w:r>
      <w:r>
        <w:rPr>
          <w:spacing w:val="-2"/>
          <w:w w:val="95"/>
        </w:rPr>
        <w:t xml:space="preserve"> </w:t>
      </w:r>
      <w:r>
        <w:rPr>
          <w:w w:val="95"/>
        </w:rPr>
        <w:t>to</w:t>
      </w:r>
      <w:r>
        <w:rPr>
          <w:spacing w:val="-2"/>
          <w:w w:val="95"/>
        </w:rPr>
        <w:t xml:space="preserve"> </w:t>
      </w:r>
      <w:r>
        <w:rPr>
          <w:w w:val="95"/>
        </w:rPr>
        <w:t>Victoria;</w:t>
      </w:r>
      <w:r>
        <w:rPr>
          <w:spacing w:val="-2"/>
          <w:w w:val="95"/>
        </w:rPr>
        <w:t xml:space="preserve"> </w:t>
      </w:r>
      <w:r>
        <w:rPr>
          <w:w w:val="95"/>
        </w:rPr>
        <w:t xml:space="preserve">and Victoria to South Australia. The results from the analysis indicate that the high capacity backbone may approach economic viability by approximately 2020-21 under high </w:t>
      </w:r>
      <w:r>
        <w:t>demand growth and high carbon price conditions.</w:t>
      </w:r>
    </w:p>
    <w:p w:rsidR="002C1123" w:rsidRDefault="00F22F94">
      <w:pPr>
        <w:pStyle w:val="BodyText"/>
        <w:spacing w:before="147" w:line="249" w:lineRule="auto"/>
        <w:ind w:left="492"/>
      </w:pPr>
      <w:r>
        <w:rPr>
          <w:spacing w:val="-2"/>
        </w:rPr>
        <w:t>Infrastructure</w:t>
      </w:r>
      <w:r>
        <w:rPr>
          <w:spacing w:val="-7"/>
        </w:rPr>
        <w:t xml:space="preserve"> </w:t>
      </w:r>
      <w:r>
        <w:rPr>
          <w:spacing w:val="-2"/>
        </w:rPr>
        <w:t>NSW</w:t>
      </w:r>
      <w:r>
        <w:rPr>
          <w:spacing w:val="-7"/>
        </w:rPr>
        <w:t xml:space="preserve"> </w:t>
      </w:r>
      <w:r>
        <w:rPr>
          <w:spacing w:val="-2"/>
        </w:rPr>
        <w:t>concurs</w:t>
      </w:r>
      <w:r>
        <w:rPr>
          <w:spacing w:val="-7"/>
        </w:rPr>
        <w:t xml:space="preserve"> </w:t>
      </w:r>
      <w:r>
        <w:rPr>
          <w:spacing w:val="-2"/>
        </w:rPr>
        <w:t>with</w:t>
      </w:r>
      <w:r>
        <w:rPr>
          <w:spacing w:val="-7"/>
        </w:rPr>
        <w:t xml:space="preserve"> </w:t>
      </w:r>
      <w:r>
        <w:rPr>
          <w:spacing w:val="-2"/>
        </w:rPr>
        <w:t>the</w:t>
      </w:r>
      <w:r>
        <w:rPr>
          <w:spacing w:val="-7"/>
        </w:rPr>
        <w:t xml:space="preserve"> </w:t>
      </w:r>
      <w:r>
        <w:rPr>
          <w:spacing w:val="-2"/>
        </w:rPr>
        <w:t>proposed</w:t>
      </w:r>
      <w:r>
        <w:rPr>
          <w:spacing w:val="-7"/>
        </w:rPr>
        <w:t xml:space="preserve"> </w:t>
      </w:r>
      <w:r>
        <w:rPr>
          <w:spacing w:val="-2"/>
        </w:rPr>
        <w:t xml:space="preserve">program </w:t>
      </w:r>
      <w:r>
        <w:t>submitted</w:t>
      </w:r>
      <w:r>
        <w:rPr>
          <w:spacing w:val="-13"/>
        </w:rPr>
        <w:t xml:space="preserve"> </w:t>
      </w:r>
      <w:r>
        <w:t>by</w:t>
      </w:r>
      <w:r>
        <w:rPr>
          <w:spacing w:val="-13"/>
        </w:rPr>
        <w:t xml:space="preserve"> </w:t>
      </w:r>
      <w:r>
        <w:t>TransGrid</w:t>
      </w:r>
      <w:r>
        <w:rPr>
          <w:spacing w:val="-13"/>
        </w:rPr>
        <w:t xml:space="preserve"> </w:t>
      </w:r>
      <w:r>
        <w:t>and</w:t>
      </w:r>
      <w:r>
        <w:rPr>
          <w:spacing w:val="-13"/>
        </w:rPr>
        <w:t xml:space="preserve"> </w:t>
      </w:r>
      <w:r>
        <w:t>contained</w:t>
      </w:r>
      <w:r>
        <w:rPr>
          <w:spacing w:val="-13"/>
        </w:rPr>
        <w:t xml:space="preserve"> </w:t>
      </w:r>
      <w:r>
        <w:t>in</w:t>
      </w:r>
      <w:r>
        <w:rPr>
          <w:spacing w:val="-13"/>
        </w:rPr>
        <w:t xml:space="preserve"> </w:t>
      </w:r>
      <w:r>
        <w:t>the</w:t>
      </w:r>
      <w:r>
        <w:rPr>
          <w:spacing w:val="-13"/>
        </w:rPr>
        <w:t xml:space="preserve"> </w:t>
      </w:r>
      <w:r>
        <w:t xml:space="preserve">National </w:t>
      </w:r>
      <w:r>
        <w:rPr>
          <w:w w:val="95"/>
        </w:rPr>
        <w:t>Transmission Network Development Plan to develop the southern</w:t>
      </w:r>
      <w:r>
        <w:rPr>
          <w:spacing w:val="-8"/>
          <w:w w:val="95"/>
        </w:rPr>
        <w:t xml:space="preserve"> </w:t>
      </w:r>
      <w:r>
        <w:rPr>
          <w:w w:val="95"/>
        </w:rPr>
        <w:t>high</w:t>
      </w:r>
      <w:r>
        <w:rPr>
          <w:spacing w:val="-8"/>
          <w:w w:val="95"/>
        </w:rPr>
        <w:t xml:space="preserve"> </w:t>
      </w:r>
      <w:r>
        <w:rPr>
          <w:w w:val="95"/>
        </w:rPr>
        <w:t>voltage</w:t>
      </w:r>
      <w:r>
        <w:rPr>
          <w:spacing w:val="-8"/>
          <w:w w:val="95"/>
        </w:rPr>
        <w:t xml:space="preserve"> </w:t>
      </w:r>
      <w:r>
        <w:rPr>
          <w:w w:val="95"/>
        </w:rPr>
        <w:t>link</w:t>
      </w:r>
      <w:r>
        <w:rPr>
          <w:spacing w:val="-8"/>
          <w:w w:val="95"/>
        </w:rPr>
        <w:t xml:space="preserve"> </w:t>
      </w:r>
      <w:r>
        <w:rPr>
          <w:w w:val="95"/>
        </w:rPr>
        <w:t>to</w:t>
      </w:r>
      <w:r>
        <w:rPr>
          <w:spacing w:val="-8"/>
          <w:w w:val="95"/>
        </w:rPr>
        <w:t xml:space="preserve"> </w:t>
      </w:r>
      <w:r>
        <w:rPr>
          <w:w w:val="95"/>
        </w:rPr>
        <w:t>supply</w:t>
      </w:r>
      <w:r>
        <w:rPr>
          <w:spacing w:val="-8"/>
          <w:w w:val="95"/>
        </w:rPr>
        <w:t xml:space="preserve"> </w:t>
      </w:r>
      <w:r>
        <w:rPr>
          <w:w w:val="95"/>
        </w:rPr>
        <w:t>the</w:t>
      </w:r>
      <w:r>
        <w:rPr>
          <w:spacing w:val="-8"/>
          <w:w w:val="95"/>
        </w:rPr>
        <w:t xml:space="preserve"> </w:t>
      </w:r>
      <w:r>
        <w:rPr>
          <w:w w:val="95"/>
        </w:rPr>
        <w:t>Sydney</w:t>
      </w:r>
      <w:r>
        <w:rPr>
          <w:spacing w:val="-8"/>
          <w:w w:val="95"/>
        </w:rPr>
        <w:t xml:space="preserve"> </w:t>
      </w:r>
      <w:r>
        <w:rPr>
          <w:w w:val="95"/>
        </w:rPr>
        <w:t>area,</w:t>
      </w:r>
      <w:r>
        <w:rPr>
          <w:spacing w:val="-8"/>
          <w:w w:val="95"/>
        </w:rPr>
        <w:t xml:space="preserve"> </w:t>
      </w:r>
      <w:r>
        <w:rPr>
          <w:w w:val="95"/>
        </w:rPr>
        <w:t xml:space="preserve">and </w:t>
      </w:r>
      <w:r>
        <w:t>to</w:t>
      </w:r>
      <w:r>
        <w:rPr>
          <w:spacing w:val="-8"/>
        </w:rPr>
        <w:t xml:space="preserve"> </w:t>
      </w:r>
      <w:r>
        <w:t>accommodate</w:t>
      </w:r>
      <w:r>
        <w:rPr>
          <w:spacing w:val="-8"/>
        </w:rPr>
        <w:t xml:space="preserve"> </w:t>
      </w:r>
      <w:r>
        <w:t>gas-fired</w:t>
      </w:r>
      <w:r>
        <w:rPr>
          <w:spacing w:val="-8"/>
        </w:rPr>
        <w:t xml:space="preserve"> </w:t>
      </w:r>
      <w:r>
        <w:t>generation</w:t>
      </w:r>
      <w:r>
        <w:rPr>
          <w:spacing w:val="-8"/>
        </w:rPr>
        <w:t xml:space="preserve"> </w:t>
      </w:r>
      <w:r>
        <w:t>development</w:t>
      </w:r>
      <w:r>
        <w:rPr>
          <w:spacing w:val="-8"/>
        </w:rPr>
        <w:t xml:space="preserve"> </w:t>
      </w:r>
      <w:r>
        <w:t>in the</w:t>
      </w:r>
      <w:r>
        <w:rPr>
          <w:spacing w:val="-14"/>
        </w:rPr>
        <w:t xml:space="preserve"> </w:t>
      </w:r>
      <w:r>
        <w:t>south</w:t>
      </w:r>
      <w:r>
        <w:rPr>
          <w:spacing w:val="-14"/>
        </w:rPr>
        <w:t xml:space="preserve"> </w:t>
      </w:r>
      <w:r>
        <w:t>and</w:t>
      </w:r>
      <w:r>
        <w:rPr>
          <w:spacing w:val="-14"/>
        </w:rPr>
        <w:t xml:space="preserve"> </w:t>
      </w:r>
      <w:r>
        <w:t>to</w:t>
      </w:r>
      <w:r>
        <w:rPr>
          <w:spacing w:val="-14"/>
        </w:rPr>
        <w:t xml:space="preserve"> </w:t>
      </w:r>
      <w:r>
        <w:t>strengthen</w:t>
      </w:r>
      <w:r>
        <w:rPr>
          <w:spacing w:val="-14"/>
        </w:rPr>
        <w:t xml:space="preserve"> </w:t>
      </w:r>
      <w:r>
        <w:t>the</w:t>
      </w:r>
      <w:r>
        <w:rPr>
          <w:spacing w:val="-14"/>
        </w:rPr>
        <w:t xml:space="preserve"> </w:t>
      </w:r>
      <w:r>
        <w:t>interstate</w:t>
      </w:r>
      <w:r>
        <w:rPr>
          <w:spacing w:val="-14"/>
        </w:rPr>
        <w:t xml:space="preserve"> </w:t>
      </w:r>
      <w:r>
        <w:t>links</w:t>
      </w:r>
      <w:r>
        <w:rPr>
          <w:spacing w:val="-14"/>
        </w:rPr>
        <w:t xml:space="preserve"> </w:t>
      </w:r>
      <w:r>
        <w:t>over</w:t>
      </w:r>
      <w:r>
        <w:rPr>
          <w:spacing w:val="-14"/>
        </w:rPr>
        <w:t xml:space="preserve"> </w:t>
      </w:r>
      <w:r>
        <w:t>the next 20 years.</w:t>
      </w:r>
    </w:p>
    <w:p w:rsidR="002C1123" w:rsidRDefault="00F22F94">
      <w:pPr>
        <w:spacing w:before="1"/>
        <w:rPr>
          <w:sz w:val="15"/>
        </w:rPr>
      </w:pPr>
      <w:r>
        <w:br w:type="column"/>
      </w:r>
    </w:p>
    <w:p w:rsidR="002C1123" w:rsidRDefault="002060EF">
      <w:pPr>
        <w:pStyle w:val="BodyText"/>
        <w:ind w:left="186" w:right="-58"/>
      </w:pPr>
      <w:r>
        <w:pict>
          <v:shape id="docshape2188" o:spid="_x0000_s5261" type="#_x0000_t202" style="width:240pt;height:107.5pt;mso-left-percent:-10001;mso-top-percent:-10001;mso-position-horizontal:absolute;mso-position-horizontal-relative:char;mso-position-vertical:absolute;mso-position-vertical-relative:line;mso-left-percent:-10001;mso-top-percent:-10001" fillcolor="#e1e0e1" stroked="f">
            <v:textbox inset="0,0,0,0">
              <w:txbxContent>
                <w:p w:rsidR="00F22F94" w:rsidRDefault="00F22F94">
                  <w:pPr>
                    <w:spacing w:before="68" w:line="249" w:lineRule="auto"/>
                    <w:ind w:left="113" w:right="245"/>
                    <w:rPr>
                      <w:color w:val="000000"/>
                      <w:sz w:val="20"/>
                    </w:rPr>
                  </w:pPr>
                  <w:r>
                    <w:rPr>
                      <w:b/>
                      <w:color w:val="00AEEF"/>
                      <w:w w:val="95"/>
                      <w:sz w:val="20"/>
                    </w:rPr>
                    <w:t>Recommendation</w:t>
                  </w:r>
                  <w:r>
                    <w:rPr>
                      <w:b/>
                      <w:color w:val="00AEEF"/>
                      <w:spacing w:val="40"/>
                      <w:sz w:val="20"/>
                    </w:rPr>
                    <w:t xml:space="preserve"> </w:t>
                  </w:r>
                  <w:r>
                    <w:rPr>
                      <w:color w:val="000000"/>
                      <w:w w:val="95"/>
                      <w:sz w:val="20"/>
                    </w:rPr>
                    <w:t xml:space="preserve">Infrastructure NSW </w:t>
                  </w:r>
                  <w:r>
                    <w:rPr>
                      <w:color w:val="000000"/>
                      <w:sz w:val="20"/>
                    </w:rPr>
                    <w:t>recommends that the Government:</w:t>
                  </w:r>
                </w:p>
                <w:p w:rsidR="00F22F94" w:rsidRDefault="00F22F94">
                  <w:pPr>
                    <w:pStyle w:val="BodyText"/>
                    <w:numPr>
                      <w:ilvl w:val="0"/>
                      <w:numId w:val="59"/>
                    </w:numPr>
                    <w:tabs>
                      <w:tab w:val="left" w:pos="397"/>
                    </w:tabs>
                    <w:spacing w:before="131" w:line="249" w:lineRule="auto"/>
                    <w:ind w:right="639"/>
                    <w:jc w:val="both"/>
                    <w:rPr>
                      <w:color w:val="000000"/>
                    </w:rPr>
                  </w:pPr>
                  <w:r>
                    <w:rPr>
                      <w:color w:val="000000"/>
                      <w:w w:val="95"/>
                    </w:rPr>
                    <w:t>prioritise transmission projects to strengthen the</w:t>
                  </w:r>
                  <w:r>
                    <w:rPr>
                      <w:color w:val="000000"/>
                      <w:spacing w:val="-9"/>
                      <w:w w:val="95"/>
                    </w:rPr>
                    <w:t xml:space="preserve"> </w:t>
                  </w:r>
                  <w:r>
                    <w:rPr>
                      <w:color w:val="000000"/>
                      <w:w w:val="95"/>
                    </w:rPr>
                    <w:t>capacity</w:t>
                  </w:r>
                  <w:r>
                    <w:rPr>
                      <w:color w:val="000000"/>
                      <w:spacing w:val="-9"/>
                      <w:w w:val="95"/>
                    </w:rPr>
                    <w:t xml:space="preserve"> </w:t>
                  </w:r>
                  <w:r>
                    <w:rPr>
                      <w:color w:val="000000"/>
                      <w:w w:val="95"/>
                    </w:rPr>
                    <w:t>of</w:t>
                  </w:r>
                  <w:r>
                    <w:rPr>
                      <w:color w:val="000000"/>
                      <w:spacing w:val="-9"/>
                      <w:w w:val="95"/>
                    </w:rPr>
                    <w:t xml:space="preserve"> </w:t>
                  </w:r>
                  <w:r>
                    <w:rPr>
                      <w:color w:val="000000"/>
                      <w:w w:val="95"/>
                    </w:rPr>
                    <w:t>interstate</w:t>
                  </w:r>
                  <w:r>
                    <w:rPr>
                      <w:color w:val="000000"/>
                      <w:spacing w:val="-9"/>
                      <w:w w:val="95"/>
                    </w:rPr>
                    <w:t xml:space="preserve"> </w:t>
                  </w:r>
                  <w:r>
                    <w:rPr>
                      <w:color w:val="000000"/>
                      <w:w w:val="95"/>
                    </w:rPr>
                    <w:t>flows</w:t>
                  </w:r>
                  <w:r>
                    <w:rPr>
                      <w:color w:val="000000"/>
                      <w:spacing w:val="-9"/>
                      <w:w w:val="95"/>
                    </w:rPr>
                    <w:t xml:space="preserve"> </w:t>
                  </w:r>
                  <w:r>
                    <w:rPr>
                      <w:color w:val="000000"/>
                      <w:w w:val="95"/>
                    </w:rPr>
                    <w:t>in</w:t>
                  </w:r>
                  <w:r>
                    <w:rPr>
                      <w:color w:val="000000"/>
                      <w:spacing w:val="-9"/>
                      <w:w w:val="95"/>
                    </w:rPr>
                    <w:t xml:space="preserve"> </w:t>
                  </w:r>
                  <w:r>
                    <w:rPr>
                      <w:color w:val="000000"/>
                      <w:w w:val="95"/>
                    </w:rPr>
                    <w:t>the</w:t>
                  </w:r>
                  <w:r>
                    <w:rPr>
                      <w:color w:val="000000"/>
                      <w:spacing w:val="-9"/>
                      <w:w w:val="95"/>
                    </w:rPr>
                    <w:t xml:space="preserve"> </w:t>
                  </w:r>
                  <w:r>
                    <w:rPr>
                      <w:color w:val="000000"/>
                      <w:w w:val="95"/>
                    </w:rPr>
                    <w:t xml:space="preserve">national </w:t>
                  </w:r>
                  <w:r>
                    <w:rPr>
                      <w:color w:val="000000"/>
                    </w:rPr>
                    <w:t>electricity</w:t>
                  </w:r>
                  <w:r>
                    <w:rPr>
                      <w:color w:val="000000"/>
                      <w:spacing w:val="-7"/>
                    </w:rPr>
                    <w:t xml:space="preserve"> </w:t>
                  </w:r>
                  <w:r>
                    <w:rPr>
                      <w:color w:val="000000"/>
                    </w:rPr>
                    <w:t>market</w:t>
                  </w:r>
                </w:p>
                <w:p w:rsidR="00F22F94" w:rsidRDefault="00F22F94">
                  <w:pPr>
                    <w:pStyle w:val="BodyText"/>
                    <w:numPr>
                      <w:ilvl w:val="0"/>
                      <w:numId w:val="59"/>
                    </w:numPr>
                    <w:tabs>
                      <w:tab w:val="left" w:pos="397"/>
                    </w:tabs>
                    <w:spacing w:before="132" w:line="249" w:lineRule="auto"/>
                    <w:ind w:right="648"/>
                    <w:jc w:val="both"/>
                    <w:rPr>
                      <w:color w:val="000000"/>
                    </w:rPr>
                  </w:pPr>
                  <w:r>
                    <w:rPr>
                      <w:color w:val="000000"/>
                      <w:w w:val="95"/>
                    </w:rPr>
                    <w:t>prioritise</w:t>
                  </w:r>
                  <w:r>
                    <w:rPr>
                      <w:color w:val="000000"/>
                      <w:spacing w:val="-1"/>
                      <w:w w:val="95"/>
                    </w:rPr>
                    <w:t xml:space="preserve"> </w:t>
                  </w:r>
                  <w:r>
                    <w:rPr>
                      <w:color w:val="000000"/>
                      <w:w w:val="95"/>
                    </w:rPr>
                    <w:t>transmission</w:t>
                  </w:r>
                  <w:r>
                    <w:rPr>
                      <w:color w:val="000000"/>
                      <w:spacing w:val="-1"/>
                      <w:w w:val="95"/>
                    </w:rPr>
                    <w:t xml:space="preserve"> </w:t>
                  </w:r>
                  <w:r>
                    <w:rPr>
                      <w:color w:val="000000"/>
                      <w:w w:val="95"/>
                    </w:rPr>
                    <w:t>projects</w:t>
                  </w:r>
                  <w:r>
                    <w:rPr>
                      <w:color w:val="000000"/>
                      <w:spacing w:val="-1"/>
                      <w:w w:val="95"/>
                    </w:rPr>
                    <w:t xml:space="preserve"> </w:t>
                  </w:r>
                  <w:r>
                    <w:rPr>
                      <w:color w:val="000000"/>
                      <w:w w:val="95"/>
                    </w:rPr>
                    <w:t>to</w:t>
                  </w:r>
                  <w:r>
                    <w:rPr>
                      <w:color w:val="000000"/>
                      <w:spacing w:val="-1"/>
                      <w:w w:val="95"/>
                    </w:rPr>
                    <w:t xml:space="preserve"> </w:t>
                  </w:r>
                  <w:r>
                    <w:rPr>
                      <w:color w:val="000000"/>
                      <w:w w:val="95"/>
                    </w:rPr>
                    <w:t xml:space="preserve">strengthen </w:t>
                  </w:r>
                  <w:r>
                    <w:rPr>
                      <w:color w:val="000000"/>
                    </w:rPr>
                    <w:t>supply to the Sydney metropolitan area.</w:t>
                  </w:r>
                </w:p>
              </w:txbxContent>
            </v:textbox>
            <w10:anchorlock/>
          </v:shape>
        </w:pict>
      </w:r>
    </w:p>
    <w:p w:rsidR="002C1123" w:rsidRDefault="00F22F94">
      <w:pPr>
        <w:pStyle w:val="Heading5"/>
        <w:numPr>
          <w:ilvl w:val="1"/>
          <w:numId w:val="63"/>
        </w:numPr>
        <w:tabs>
          <w:tab w:val="left" w:pos="787"/>
        </w:tabs>
        <w:spacing w:before="215"/>
        <w:ind w:left="787"/>
        <w:jc w:val="left"/>
      </w:pPr>
      <w:r>
        <w:rPr>
          <w:color w:val="00AEEF"/>
          <w:w w:val="95"/>
        </w:rPr>
        <w:t>Generation</w:t>
      </w:r>
      <w:r>
        <w:rPr>
          <w:color w:val="00AEEF"/>
          <w:spacing w:val="5"/>
        </w:rPr>
        <w:t xml:space="preserve"> </w:t>
      </w:r>
      <w:r>
        <w:rPr>
          <w:color w:val="00AEEF"/>
          <w:w w:val="95"/>
        </w:rPr>
        <w:t>and</w:t>
      </w:r>
      <w:r>
        <w:rPr>
          <w:color w:val="00AEEF"/>
          <w:spacing w:val="6"/>
        </w:rPr>
        <w:t xml:space="preserve"> </w:t>
      </w:r>
      <w:r>
        <w:rPr>
          <w:color w:val="00AEEF"/>
          <w:spacing w:val="-5"/>
          <w:w w:val="95"/>
        </w:rPr>
        <w:t>gas</w:t>
      </w:r>
    </w:p>
    <w:p w:rsidR="002C1123" w:rsidRDefault="00F22F94">
      <w:pPr>
        <w:pStyle w:val="Heading6"/>
        <w:numPr>
          <w:ilvl w:val="2"/>
          <w:numId w:val="63"/>
        </w:numPr>
        <w:tabs>
          <w:tab w:val="left" w:pos="782"/>
        </w:tabs>
        <w:spacing w:before="135"/>
        <w:ind w:hanging="596"/>
        <w:jc w:val="left"/>
      </w:pPr>
      <w:r>
        <w:rPr>
          <w:color w:val="00AEEF"/>
          <w:w w:val="95"/>
        </w:rPr>
        <w:t>Electricity</w:t>
      </w:r>
      <w:r>
        <w:rPr>
          <w:color w:val="00AEEF"/>
          <w:spacing w:val="3"/>
        </w:rPr>
        <w:t xml:space="preserve"> </w:t>
      </w:r>
      <w:r>
        <w:rPr>
          <w:color w:val="00AEEF"/>
          <w:spacing w:val="-2"/>
          <w:w w:val="95"/>
        </w:rPr>
        <w:t>generation</w:t>
      </w:r>
    </w:p>
    <w:p w:rsidR="002C1123" w:rsidRDefault="00F22F94">
      <w:pPr>
        <w:pStyle w:val="BodyText"/>
        <w:spacing w:before="95" w:line="249" w:lineRule="auto"/>
        <w:ind w:left="186" w:right="10"/>
      </w:pPr>
      <w:r>
        <w:rPr>
          <w:w w:val="95"/>
        </w:rPr>
        <w:t>The</w:t>
      </w:r>
      <w:r>
        <w:rPr>
          <w:spacing w:val="-10"/>
          <w:w w:val="95"/>
        </w:rPr>
        <w:t xml:space="preserve"> </w:t>
      </w:r>
      <w:r>
        <w:rPr>
          <w:w w:val="95"/>
        </w:rPr>
        <w:t>Government</w:t>
      </w:r>
      <w:r>
        <w:rPr>
          <w:spacing w:val="-10"/>
          <w:w w:val="95"/>
        </w:rPr>
        <w:t xml:space="preserve"> </w:t>
      </w:r>
      <w:r>
        <w:rPr>
          <w:w w:val="95"/>
        </w:rPr>
        <w:t>will</w:t>
      </w:r>
      <w:r>
        <w:rPr>
          <w:spacing w:val="-10"/>
          <w:w w:val="95"/>
        </w:rPr>
        <w:t xml:space="preserve"> </w:t>
      </w:r>
      <w:r>
        <w:rPr>
          <w:w w:val="95"/>
        </w:rPr>
        <w:t>sell</w:t>
      </w:r>
      <w:r>
        <w:rPr>
          <w:spacing w:val="-10"/>
          <w:w w:val="95"/>
        </w:rPr>
        <w:t xml:space="preserve"> </w:t>
      </w:r>
      <w:r>
        <w:rPr>
          <w:w w:val="95"/>
        </w:rPr>
        <w:t>its</w:t>
      </w:r>
      <w:r>
        <w:rPr>
          <w:spacing w:val="-10"/>
          <w:w w:val="95"/>
        </w:rPr>
        <w:t xml:space="preserve"> </w:t>
      </w:r>
      <w:r>
        <w:rPr>
          <w:w w:val="95"/>
        </w:rPr>
        <w:t>electricity</w:t>
      </w:r>
      <w:r>
        <w:rPr>
          <w:spacing w:val="-10"/>
          <w:w w:val="95"/>
        </w:rPr>
        <w:t xml:space="preserve"> </w:t>
      </w:r>
      <w:r>
        <w:rPr>
          <w:w w:val="95"/>
        </w:rPr>
        <w:t>generation</w:t>
      </w:r>
      <w:r>
        <w:rPr>
          <w:spacing w:val="-10"/>
          <w:w w:val="95"/>
        </w:rPr>
        <w:t xml:space="preserve"> </w:t>
      </w:r>
      <w:r>
        <w:rPr>
          <w:w w:val="95"/>
        </w:rPr>
        <w:t xml:space="preserve">assets </w:t>
      </w:r>
      <w:r>
        <w:rPr>
          <w:spacing w:val="-2"/>
        </w:rPr>
        <w:t>(expected</w:t>
      </w:r>
      <w:r>
        <w:rPr>
          <w:spacing w:val="-7"/>
        </w:rPr>
        <w:t xml:space="preserve"> </w:t>
      </w:r>
      <w:r>
        <w:rPr>
          <w:spacing w:val="-2"/>
        </w:rPr>
        <w:t>during</w:t>
      </w:r>
      <w:r>
        <w:rPr>
          <w:spacing w:val="-7"/>
        </w:rPr>
        <w:t xml:space="preserve"> </w:t>
      </w:r>
      <w:r>
        <w:rPr>
          <w:spacing w:val="-2"/>
        </w:rPr>
        <w:t>2013)</w:t>
      </w:r>
      <w:r>
        <w:rPr>
          <w:spacing w:val="-7"/>
        </w:rPr>
        <w:t xml:space="preserve"> </w:t>
      </w:r>
      <w:r>
        <w:rPr>
          <w:spacing w:val="-2"/>
        </w:rPr>
        <w:t>and</w:t>
      </w:r>
      <w:r>
        <w:rPr>
          <w:spacing w:val="-7"/>
        </w:rPr>
        <w:t xml:space="preserve"> </w:t>
      </w:r>
      <w:r>
        <w:rPr>
          <w:spacing w:val="-2"/>
        </w:rPr>
        <w:t>all</w:t>
      </w:r>
      <w:r>
        <w:rPr>
          <w:spacing w:val="-7"/>
        </w:rPr>
        <w:t xml:space="preserve"> </w:t>
      </w:r>
      <w:r>
        <w:rPr>
          <w:spacing w:val="-2"/>
        </w:rPr>
        <w:t>future</w:t>
      </w:r>
      <w:r>
        <w:rPr>
          <w:spacing w:val="-7"/>
        </w:rPr>
        <w:t xml:space="preserve"> </w:t>
      </w:r>
      <w:r>
        <w:rPr>
          <w:spacing w:val="-2"/>
        </w:rPr>
        <w:t>investment</w:t>
      </w:r>
      <w:r>
        <w:rPr>
          <w:spacing w:val="-7"/>
        </w:rPr>
        <w:t xml:space="preserve"> </w:t>
      </w:r>
      <w:r>
        <w:rPr>
          <w:spacing w:val="-2"/>
        </w:rPr>
        <w:t xml:space="preserve">in </w:t>
      </w:r>
      <w:r>
        <w:rPr>
          <w:w w:val="95"/>
        </w:rPr>
        <w:t>NSW</w:t>
      </w:r>
      <w:r>
        <w:rPr>
          <w:spacing w:val="-6"/>
          <w:w w:val="95"/>
        </w:rPr>
        <w:t xml:space="preserve"> </w:t>
      </w:r>
      <w:r>
        <w:rPr>
          <w:w w:val="95"/>
        </w:rPr>
        <w:t>generation</w:t>
      </w:r>
      <w:r>
        <w:rPr>
          <w:spacing w:val="-6"/>
          <w:w w:val="95"/>
        </w:rPr>
        <w:t xml:space="preserve"> </w:t>
      </w:r>
      <w:r>
        <w:rPr>
          <w:w w:val="95"/>
        </w:rPr>
        <w:t>will</w:t>
      </w:r>
      <w:r>
        <w:rPr>
          <w:spacing w:val="-6"/>
          <w:w w:val="95"/>
        </w:rPr>
        <w:t xml:space="preserve"> </w:t>
      </w:r>
      <w:r>
        <w:rPr>
          <w:w w:val="95"/>
        </w:rPr>
        <w:t>be</w:t>
      </w:r>
      <w:r>
        <w:rPr>
          <w:spacing w:val="-6"/>
          <w:w w:val="95"/>
        </w:rPr>
        <w:t xml:space="preserve"> </w:t>
      </w:r>
      <w:r>
        <w:rPr>
          <w:w w:val="95"/>
        </w:rPr>
        <w:t>made</w:t>
      </w:r>
      <w:r>
        <w:rPr>
          <w:spacing w:val="-6"/>
          <w:w w:val="95"/>
        </w:rPr>
        <w:t xml:space="preserve"> </w:t>
      </w:r>
      <w:r>
        <w:rPr>
          <w:w w:val="95"/>
        </w:rPr>
        <w:t>by</w:t>
      </w:r>
      <w:r>
        <w:rPr>
          <w:spacing w:val="-6"/>
          <w:w w:val="95"/>
        </w:rPr>
        <w:t xml:space="preserve"> </w:t>
      </w:r>
      <w:r>
        <w:rPr>
          <w:w w:val="95"/>
        </w:rPr>
        <w:t>the</w:t>
      </w:r>
      <w:r>
        <w:rPr>
          <w:spacing w:val="-6"/>
          <w:w w:val="95"/>
        </w:rPr>
        <w:t xml:space="preserve"> </w:t>
      </w:r>
      <w:r>
        <w:rPr>
          <w:w w:val="95"/>
        </w:rPr>
        <w:t>private</w:t>
      </w:r>
      <w:r>
        <w:rPr>
          <w:spacing w:val="-6"/>
          <w:w w:val="95"/>
        </w:rPr>
        <w:t xml:space="preserve"> </w:t>
      </w:r>
      <w:r>
        <w:rPr>
          <w:w w:val="95"/>
        </w:rPr>
        <w:t>sector.</w:t>
      </w:r>
      <w:r>
        <w:rPr>
          <w:spacing w:val="-6"/>
          <w:w w:val="95"/>
        </w:rPr>
        <w:t xml:space="preserve"> </w:t>
      </w:r>
      <w:r>
        <w:rPr>
          <w:w w:val="95"/>
        </w:rPr>
        <w:t>The</w:t>
      </w:r>
    </w:p>
    <w:p w:rsidR="002C1123" w:rsidRDefault="00F22F94">
      <w:pPr>
        <w:pStyle w:val="BodyText"/>
        <w:spacing w:before="3" w:line="249" w:lineRule="auto"/>
        <w:ind w:left="186" w:right="10"/>
      </w:pPr>
      <w:r>
        <w:rPr>
          <w:w w:val="95"/>
        </w:rPr>
        <w:t>Government’s</w:t>
      </w:r>
      <w:r>
        <w:rPr>
          <w:spacing w:val="-9"/>
          <w:w w:val="95"/>
        </w:rPr>
        <w:t xml:space="preserve"> </w:t>
      </w:r>
      <w:r>
        <w:rPr>
          <w:w w:val="95"/>
        </w:rPr>
        <w:t>future</w:t>
      </w:r>
      <w:r>
        <w:rPr>
          <w:spacing w:val="-9"/>
          <w:w w:val="95"/>
        </w:rPr>
        <w:t xml:space="preserve"> </w:t>
      </w:r>
      <w:r>
        <w:rPr>
          <w:w w:val="95"/>
        </w:rPr>
        <w:t>role</w:t>
      </w:r>
      <w:r>
        <w:rPr>
          <w:spacing w:val="-9"/>
          <w:w w:val="95"/>
        </w:rPr>
        <w:t xml:space="preserve"> </w:t>
      </w:r>
      <w:r>
        <w:rPr>
          <w:w w:val="95"/>
        </w:rPr>
        <w:t>is</w:t>
      </w:r>
      <w:r>
        <w:rPr>
          <w:spacing w:val="-9"/>
          <w:w w:val="95"/>
        </w:rPr>
        <w:t xml:space="preserve"> </w:t>
      </w:r>
      <w:r>
        <w:rPr>
          <w:w w:val="95"/>
        </w:rPr>
        <w:t>to</w:t>
      </w:r>
      <w:r>
        <w:rPr>
          <w:spacing w:val="-9"/>
          <w:w w:val="95"/>
        </w:rPr>
        <w:t xml:space="preserve"> </w:t>
      </w:r>
      <w:r>
        <w:rPr>
          <w:w w:val="95"/>
        </w:rPr>
        <w:t>remove</w:t>
      </w:r>
      <w:r>
        <w:rPr>
          <w:spacing w:val="-9"/>
          <w:w w:val="95"/>
        </w:rPr>
        <w:t xml:space="preserve"> </w:t>
      </w:r>
      <w:r>
        <w:rPr>
          <w:w w:val="95"/>
        </w:rPr>
        <w:t>any</w:t>
      </w:r>
      <w:r>
        <w:rPr>
          <w:spacing w:val="-9"/>
          <w:w w:val="95"/>
        </w:rPr>
        <w:t xml:space="preserve"> </w:t>
      </w:r>
      <w:r>
        <w:rPr>
          <w:w w:val="95"/>
        </w:rPr>
        <w:t>barriers</w:t>
      </w:r>
      <w:r>
        <w:rPr>
          <w:spacing w:val="-9"/>
          <w:w w:val="95"/>
        </w:rPr>
        <w:t xml:space="preserve"> </w:t>
      </w:r>
      <w:r>
        <w:rPr>
          <w:w w:val="95"/>
        </w:rPr>
        <w:t>to</w:t>
      </w:r>
      <w:r>
        <w:rPr>
          <w:spacing w:val="-9"/>
          <w:w w:val="95"/>
        </w:rPr>
        <w:t xml:space="preserve"> </w:t>
      </w:r>
      <w:r>
        <w:rPr>
          <w:w w:val="95"/>
        </w:rPr>
        <w:t xml:space="preserve">that investment and to encourage the private sector to invest </w:t>
      </w:r>
      <w:r>
        <w:t>in</w:t>
      </w:r>
      <w:r>
        <w:rPr>
          <w:spacing w:val="-9"/>
        </w:rPr>
        <w:t xml:space="preserve"> </w:t>
      </w:r>
      <w:r>
        <w:t>the</w:t>
      </w:r>
      <w:r>
        <w:rPr>
          <w:spacing w:val="-9"/>
        </w:rPr>
        <w:t xml:space="preserve"> </w:t>
      </w:r>
      <w:r>
        <w:t>lowest</w:t>
      </w:r>
      <w:r>
        <w:rPr>
          <w:spacing w:val="-9"/>
        </w:rPr>
        <w:t xml:space="preserve"> </w:t>
      </w:r>
      <w:r>
        <w:t>cost</w:t>
      </w:r>
      <w:r>
        <w:rPr>
          <w:spacing w:val="-9"/>
        </w:rPr>
        <w:t xml:space="preserve"> </w:t>
      </w:r>
      <w:r>
        <w:t>generation</w:t>
      </w:r>
      <w:r>
        <w:rPr>
          <w:spacing w:val="-9"/>
        </w:rPr>
        <w:t xml:space="preserve"> </w:t>
      </w:r>
      <w:r>
        <w:t>available.</w:t>
      </w:r>
    </w:p>
    <w:p w:rsidR="002C1123" w:rsidRDefault="00F22F94">
      <w:pPr>
        <w:pStyle w:val="BodyText"/>
        <w:spacing w:before="144" w:line="249" w:lineRule="auto"/>
        <w:ind w:left="186" w:right="60"/>
        <w:jc w:val="both"/>
      </w:pPr>
      <w:r>
        <w:rPr>
          <w:w w:val="95"/>
        </w:rPr>
        <w:t>Infrastructure NSW supports the Commission of Audit’s recommendation</w:t>
      </w:r>
      <w:r>
        <w:rPr>
          <w:spacing w:val="-4"/>
          <w:w w:val="95"/>
        </w:rPr>
        <w:t xml:space="preserve"> </w:t>
      </w:r>
      <w:r>
        <w:rPr>
          <w:w w:val="95"/>
        </w:rPr>
        <w:t>for</w:t>
      </w:r>
      <w:r>
        <w:rPr>
          <w:spacing w:val="-4"/>
          <w:w w:val="95"/>
        </w:rPr>
        <w:t xml:space="preserve"> </w:t>
      </w:r>
      <w:r>
        <w:rPr>
          <w:w w:val="95"/>
        </w:rPr>
        <w:t>a</w:t>
      </w:r>
      <w:r>
        <w:rPr>
          <w:spacing w:val="-4"/>
          <w:w w:val="95"/>
        </w:rPr>
        <w:t xml:space="preserve"> </w:t>
      </w:r>
      <w:r>
        <w:rPr>
          <w:w w:val="95"/>
        </w:rPr>
        <w:t>review</w:t>
      </w:r>
      <w:r>
        <w:rPr>
          <w:spacing w:val="-4"/>
          <w:w w:val="95"/>
        </w:rPr>
        <w:t xml:space="preserve"> </w:t>
      </w:r>
      <w:r>
        <w:rPr>
          <w:w w:val="95"/>
        </w:rPr>
        <w:t>of</w:t>
      </w:r>
      <w:r>
        <w:rPr>
          <w:spacing w:val="-4"/>
          <w:w w:val="95"/>
        </w:rPr>
        <w:t xml:space="preserve"> </w:t>
      </w:r>
      <w:r>
        <w:rPr>
          <w:w w:val="95"/>
        </w:rPr>
        <w:t>the</w:t>
      </w:r>
      <w:r>
        <w:rPr>
          <w:spacing w:val="-4"/>
          <w:w w:val="95"/>
        </w:rPr>
        <w:t xml:space="preserve"> </w:t>
      </w:r>
      <w:r>
        <w:rPr>
          <w:w w:val="95"/>
        </w:rPr>
        <w:t>options</w:t>
      </w:r>
      <w:r>
        <w:rPr>
          <w:spacing w:val="-4"/>
          <w:w w:val="95"/>
        </w:rPr>
        <w:t xml:space="preserve"> </w:t>
      </w:r>
      <w:r>
        <w:rPr>
          <w:w w:val="95"/>
        </w:rPr>
        <w:t>to</w:t>
      </w:r>
      <w:r>
        <w:rPr>
          <w:spacing w:val="-4"/>
          <w:w w:val="95"/>
        </w:rPr>
        <w:t xml:space="preserve"> </w:t>
      </w:r>
      <w:r>
        <w:rPr>
          <w:w w:val="95"/>
        </w:rPr>
        <w:t>divest</w:t>
      </w:r>
      <w:r>
        <w:rPr>
          <w:spacing w:val="-4"/>
          <w:w w:val="95"/>
        </w:rPr>
        <w:t xml:space="preserve"> </w:t>
      </w:r>
      <w:r>
        <w:rPr>
          <w:w w:val="95"/>
        </w:rPr>
        <w:t xml:space="preserve">the </w:t>
      </w:r>
      <w:r>
        <w:t>public ownership of Snowy Hydro Limited.</w:t>
      </w:r>
    </w:p>
    <w:p w:rsidR="002C1123" w:rsidRDefault="00F22F94">
      <w:pPr>
        <w:pStyle w:val="BodyText"/>
        <w:spacing w:before="144" w:line="249" w:lineRule="auto"/>
        <w:ind w:left="186"/>
      </w:pPr>
      <w:r>
        <w:t>Significant</w:t>
      </w:r>
      <w:r>
        <w:rPr>
          <w:spacing w:val="-14"/>
        </w:rPr>
        <w:t xml:space="preserve"> </w:t>
      </w:r>
      <w:r>
        <w:t>private</w:t>
      </w:r>
      <w:r>
        <w:rPr>
          <w:spacing w:val="-14"/>
        </w:rPr>
        <w:t xml:space="preserve"> </w:t>
      </w:r>
      <w:r>
        <w:t>investment</w:t>
      </w:r>
      <w:r>
        <w:rPr>
          <w:spacing w:val="-14"/>
        </w:rPr>
        <w:t xml:space="preserve"> </w:t>
      </w:r>
      <w:r>
        <w:t>will</w:t>
      </w:r>
      <w:r>
        <w:rPr>
          <w:spacing w:val="-14"/>
        </w:rPr>
        <w:t xml:space="preserve"> </w:t>
      </w:r>
      <w:r>
        <w:t>be</w:t>
      </w:r>
      <w:r>
        <w:rPr>
          <w:spacing w:val="-14"/>
        </w:rPr>
        <w:t xml:space="preserve"> </w:t>
      </w:r>
      <w:r>
        <w:t>needed</w:t>
      </w:r>
      <w:r>
        <w:rPr>
          <w:spacing w:val="-14"/>
        </w:rPr>
        <w:t xml:space="preserve"> </w:t>
      </w:r>
      <w:r>
        <w:t>over</w:t>
      </w:r>
      <w:r>
        <w:rPr>
          <w:spacing w:val="-14"/>
        </w:rPr>
        <w:t xml:space="preserve"> </w:t>
      </w:r>
      <w:r>
        <w:t xml:space="preserve">the </w:t>
      </w:r>
      <w:r>
        <w:rPr>
          <w:w w:val="95"/>
        </w:rPr>
        <w:t>next 20 years in electricity generation for both base load and</w:t>
      </w:r>
      <w:r>
        <w:rPr>
          <w:spacing w:val="-7"/>
          <w:w w:val="95"/>
        </w:rPr>
        <w:t xml:space="preserve"> </w:t>
      </w:r>
      <w:r>
        <w:rPr>
          <w:w w:val="95"/>
        </w:rPr>
        <w:t>renewable</w:t>
      </w:r>
      <w:r>
        <w:rPr>
          <w:spacing w:val="-7"/>
          <w:w w:val="95"/>
        </w:rPr>
        <w:t xml:space="preserve"> </w:t>
      </w:r>
      <w:r>
        <w:rPr>
          <w:w w:val="95"/>
        </w:rPr>
        <w:t>energy,</w:t>
      </w:r>
      <w:r>
        <w:rPr>
          <w:spacing w:val="-7"/>
          <w:w w:val="95"/>
        </w:rPr>
        <w:t xml:space="preserve"> </w:t>
      </w:r>
      <w:r>
        <w:rPr>
          <w:w w:val="95"/>
        </w:rPr>
        <w:t>despite</w:t>
      </w:r>
      <w:r>
        <w:rPr>
          <w:spacing w:val="-7"/>
          <w:w w:val="95"/>
        </w:rPr>
        <w:t xml:space="preserve"> </w:t>
      </w:r>
      <w:r>
        <w:rPr>
          <w:w w:val="95"/>
        </w:rPr>
        <w:t>the</w:t>
      </w:r>
      <w:r>
        <w:rPr>
          <w:spacing w:val="-7"/>
          <w:w w:val="95"/>
        </w:rPr>
        <w:t xml:space="preserve"> </w:t>
      </w:r>
      <w:r>
        <w:rPr>
          <w:w w:val="95"/>
        </w:rPr>
        <w:t>flattening</w:t>
      </w:r>
      <w:r>
        <w:rPr>
          <w:spacing w:val="-7"/>
          <w:w w:val="95"/>
        </w:rPr>
        <w:t xml:space="preserve"> </w:t>
      </w:r>
      <w:r>
        <w:rPr>
          <w:w w:val="95"/>
        </w:rPr>
        <w:t>of</w:t>
      </w:r>
      <w:r>
        <w:rPr>
          <w:spacing w:val="-7"/>
          <w:w w:val="95"/>
        </w:rPr>
        <w:t xml:space="preserve"> </w:t>
      </w:r>
      <w:r>
        <w:rPr>
          <w:w w:val="95"/>
        </w:rPr>
        <w:t xml:space="preserve">electricity </w:t>
      </w:r>
      <w:r>
        <w:rPr>
          <w:spacing w:val="-2"/>
        </w:rPr>
        <w:t>consumption</w:t>
      </w:r>
      <w:r>
        <w:rPr>
          <w:spacing w:val="-2"/>
          <w:position w:val="7"/>
          <w:sz w:val="11"/>
        </w:rPr>
        <w:t>6</w:t>
      </w:r>
      <w:r>
        <w:rPr>
          <w:spacing w:val="-2"/>
        </w:rPr>
        <w:t>.</w:t>
      </w:r>
    </w:p>
    <w:p w:rsidR="002C1123" w:rsidRDefault="00F22F94">
      <w:pPr>
        <w:pStyle w:val="BodyText"/>
        <w:spacing w:before="129" w:line="249" w:lineRule="auto"/>
        <w:ind w:left="199" w:right="956"/>
      </w:pPr>
      <w:r>
        <w:br w:type="column"/>
      </w:r>
      <w:r>
        <w:rPr>
          <w:w w:val="95"/>
        </w:rPr>
        <w:t>Achieving</w:t>
      </w:r>
      <w:r>
        <w:rPr>
          <w:spacing w:val="-3"/>
          <w:w w:val="95"/>
        </w:rPr>
        <w:t xml:space="preserve"> </w:t>
      </w:r>
      <w:r>
        <w:rPr>
          <w:w w:val="95"/>
        </w:rPr>
        <w:t>the</w:t>
      </w:r>
      <w:r>
        <w:rPr>
          <w:spacing w:val="-3"/>
          <w:w w:val="95"/>
        </w:rPr>
        <w:t xml:space="preserve"> </w:t>
      </w:r>
      <w:r>
        <w:rPr>
          <w:w w:val="95"/>
        </w:rPr>
        <w:t>estimated</w:t>
      </w:r>
      <w:r>
        <w:rPr>
          <w:spacing w:val="-3"/>
          <w:w w:val="95"/>
        </w:rPr>
        <w:t xml:space="preserve"> </w:t>
      </w:r>
      <w:r>
        <w:rPr>
          <w:w w:val="95"/>
        </w:rPr>
        <w:t>additional</w:t>
      </w:r>
      <w:r>
        <w:rPr>
          <w:spacing w:val="-3"/>
          <w:w w:val="95"/>
        </w:rPr>
        <w:t xml:space="preserve"> </w:t>
      </w:r>
      <w:r>
        <w:rPr>
          <w:w w:val="95"/>
        </w:rPr>
        <w:t>7,000</w:t>
      </w:r>
      <w:r>
        <w:rPr>
          <w:spacing w:val="-3"/>
          <w:w w:val="95"/>
        </w:rPr>
        <w:t xml:space="preserve"> </w:t>
      </w:r>
      <w:r>
        <w:rPr>
          <w:w w:val="95"/>
        </w:rPr>
        <w:t>megawatts (MW) of base load generation capacity by 2029-30</w:t>
      </w:r>
      <w:r>
        <w:rPr>
          <w:w w:val="95"/>
          <w:position w:val="7"/>
          <w:sz w:val="11"/>
        </w:rPr>
        <w:t>7</w:t>
      </w:r>
      <w:r>
        <w:rPr>
          <w:spacing w:val="40"/>
          <w:position w:val="7"/>
          <w:sz w:val="11"/>
        </w:rPr>
        <w:t xml:space="preserve"> </w:t>
      </w:r>
      <w:r>
        <w:rPr>
          <w:w w:val="95"/>
        </w:rPr>
        <w:t>will</w:t>
      </w:r>
      <w:r>
        <w:rPr>
          <w:spacing w:val="-7"/>
          <w:w w:val="95"/>
        </w:rPr>
        <w:t xml:space="preserve"> </w:t>
      </w:r>
      <w:r>
        <w:rPr>
          <w:w w:val="95"/>
        </w:rPr>
        <w:t>require</w:t>
      </w:r>
      <w:r>
        <w:rPr>
          <w:spacing w:val="-7"/>
          <w:w w:val="95"/>
        </w:rPr>
        <w:t xml:space="preserve"> </w:t>
      </w:r>
      <w:r>
        <w:rPr>
          <w:w w:val="95"/>
        </w:rPr>
        <w:t>significant</w:t>
      </w:r>
      <w:r>
        <w:rPr>
          <w:spacing w:val="-7"/>
          <w:w w:val="95"/>
        </w:rPr>
        <w:t xml:space="preserve"> </w:t>
      </w:r>
      <w:r>
        <w:rPr>
          <w:w w:val="95"/>
        </w:rPr>
        <w:t>time</w:t>
      </w:r>
      <w:r>
        <w:rPr>
          <w:spacing w:val="-7"/>
          <w:w w:val="95"/>
        </w:rPr>
        <w:t xml:space="preserve"> </w:t>
      </w:r>
      <w:r>
        <w:rPr>
          <w:w w:val="95"/>
        </w:rPr>
        <w:t>for</w:t>
      </w:r>
      <w:r>
        <w:rPr>
          <w:spacing w:val="-7"/>
          <w:w w:val="95"/>
        </w:rPr>
        <w:t xml:space="preserve"> </w:t>
      </w:r>
      <w:r>
        <w:rPr>
          <w:w w:val="95"/>
        </w:rPr>
        <w:t>planning</w:t>
      </w:r>
      <w:r>
        <w:rPr>
          <w:spacing w:val="-7"/>
          <w:w w:val="95"/>
        </w:rPr>
        <w:t xml:space="preserve"> </w:t>
      </w:r>
      <w:r>
        <w:rPr>
          <w:w w:val="95"/>
        </w:rPr>
        <w:t>and</w:t>
      </w:r>
      <w:r>
        <w:rPr>
          <w:spacing w:val="-7"/>
          <w:w w:val="95"/>
        </w:rPr>
        <w:t xml:space="preserve"> </w:t>
      </w:r>
      <w:r>
        <w:rPr>
          <w:w w:val="95"/>
        </w:rPr>
        <w:t xml:space="preserve">approval </w:t>
      </w:r>
      <w:r>
        <w:t>processes to be completed.</w:t>
      </w:r>
    </w:p>
    <w:p w:rsidR="002C1123" w:rsidRDefault="00F22F94">
      <w:pPr>
        <w:pStyle w:val="BodyText"/>
        <w:spacing w:before="145" w:line="249" w:lineRule="auto"/>
        <w:ind w:left="199" w:right="784"/>
      </w:pPr>
      <w:r>
        <w:rPr>
          <w:w w:val="95"/>
        </w:rPr>
        <w:t>However,</w:t>
      </w:r>
      <w:r>
        <w:rPr>
          <w:spacing w:val="-6"/>
          <w:w w:val="95"/>
        </w:rPr>
        <w:t xml:space="preserve"> </w:t>
      </w:r>
      <w:r>
        <w:rPr>
          <w:w w:val="95"/>
        </w:rPr>
        <w:t>Infrastructure</w:t>
      </w:r>
      <w:r>
        <w:rPr>
          <w:spacing w:val="-6"/>
          <w:w w:val="95"/>
        </w:rPr>
        <w:t xml:space="preserve"> </w:t>
      </w:r>
      <w:r>
        <w:rPr>
          <w:w w:val="95"/>
        </w:rPr>
        <w:t>NSW</w:t>
      </w:r>
      <w:r>
        <w:rPr>
          <w:spacing w:val="-6"/>
          <w:w w:val="95"/>
        </w:rPr>
        <w:t xml:space="preserve"> </w:t>
      </w:r>
      <w:r>
        <w:rPr>
          <w:w w:val="95"/>
        </w:rPr>
        <w:t>has</w:t>
      </w:r>
      <w:r>
        <w:rPr>
          <w:spacing w:val="-6"/>
          <w:w w:val="95"/>
        </w:rPr>
        <w:t xml:space="preserve"> </w:t>
      </w:r>
      <w:r>
        <w:rPr>
          <w:w w:val="95"/>
        </w:rPr>
        <w:t>concluded</w:t>
      </w:r>
      <w:r>
        <w:rPr>
          <w:spacing w:val="-6"/>
          <w:w w:val="95"/>
        </w:rPr>
        <w:t xml:space="preserve"> </w:t>
      </w:r>
      <w:r>
        <w:rPr>
          <w:w w:val="95"/>
        </w:rPr>
        <w:t>that</w:t>
      </w:r>
      <w:r>
        <w:rPr>
          <w:spacing w:val="-6"/>
          <w:w w:val="95"/>
        </w:rPr>
        <w:t xml:space="preserve"> </w:t>
      </w:r>
      <w:r>
        <w:rPr>
          <w:w w:val="95"/>
        </w:rPr>
        <w:t>in</w:t>
      </w:r>
      <w:r>
        <w:rPr>
          <w:spacing w:val="-6"/>
          <w:w w:val="95"/>
        </w:rPr>
        <w:t xml:space="preserve"> </w:t>
      </w:r>
      <w:r>
        <w:rPr>
          <w:w w:val="95"/>
        </w:rPr>
        <w:t>the short</w:t>
      </w:r>
      <w:r>
        <w:rPr>
          <w:spacing w:val="-6"/>
          <w:w w:val="95"/>
        </w:rPr>
        <w:t xml:space="preserve"> </w:t>
      </w:r>
      <w:r>
        <w:rPr>
          <w:w w:val="95"/>
        </w:rPr>
        <w:t>to</w:t>
      </w:r>
      <w:r>
        <w:rPr>
          <w:spacing w:val="-6"/>
          <w:w w:val="95"/>
        </w:rPr>
        <w:t xml:space="preserve"> </w:t>
      </w:r>
      <w:r>
        <w:rPr>
          <w:w w:val="95"/>
        </w:rPr>
        <w:t>medium</w:t>
      </w:r>
      <w:r>
        <w:rPr>
          <w:spacing w:val="-7"/>
          <w:w w:val="95"/>
        </w:rPr>
        <w:t xml:space="preserve"> </w:t>
      </w:r>
      <w:r>
        <w:rPr>
          <w:w w:val="95"/>
        </w:rPr>
        <w:t>term</w:t>
      </w:r>
      <w:r>
        <w:rPr>
          <w:spacing w:val="-7"/>
          <w:w w:val="95"/>
        </w:rPr>
        <w:t xml:space="preserve"> </w:t>
      </w:r>
      <w:r>
        <w:rPr>
          <w:w w:val="95"/>
        </w:rPr>
        <w:t>the</w:t>
      </w:r>
      <w:r>
        <w:rPr>
          <w:spacing w:val="-6"/>
          <w:w w:val="95"/>
        </w:rPr>
        <w:t xml:space="preserve"> </w:t>
      </w:r>
      <w:r>
        <w:rPr>
          <w:w w:val="95"/>
        </w:rPr>
        <w:t>market</w:t>
      </w:r>
      <w:r>
        <w:rPr>
          <w:spacing w:val="-6"/>
          <w:w w:val="95"/>
        </w:rPr>
        <w:t xml:space="preserve"> </w:t>
      </w:r>
      <w:r>
        <w:rPr>
          <w:w w:val="95"/>
        </w:rPr>
        <w:t>is</w:t>
      </w:r>
      <w:r>
        <w:rPr>
          <w:spacing w:val="-6"/>
          <w:w w:val="95"/>
        </w:rPr>
        <w:t xml:space="preserve"> </w:t>
      </w:r>
      <w:r>
        <w:rPr>
          <w:w w:val="95"/>
        </w:rPr>
        <w:t>more</w:t>
      </w:r>
      <w:r>
        <w:rPr>
          <w:spacing w:val="-6"/>
          <w:w w:val="95"/>
        </w:rPr>
        <w:t xml:space="preserve"> </w:t>
      </w:r>
      <w:r>
        <w:rPr>
          <w:w w:val="95"/>
        </w:rPr>
        <w:t>likely</w:t>
      </w:r>
      <w:r>
        <w:rPr>
          <w:spacing w:val="-6"/>
          <w:w w:val="95"/>
        </w:rPr>
        <w:t xml:space="preserve"> </w:t>
      </w:r>
      <w:r>
        <w:rPr>
          <w:w w:val="95"/>
        </w:rPr>
        <w:t>to</w:t>
      </w:r>
      <w:r>
        <w:rPr>
          <w:spacing w:val="-6"/>
          <w:w w:val="95"/>
        </w:rPr>
        <w:t xml:space="preserve"> </w:t>
      </w:r>
      <w:r>
        <w:rPr>
          <w:w w:val="95"/>
        </w:rPr>
        <w:t xml:space="preserve">invest </w:t>
      </w:r>
      <w:r>
        <w:t>in</w:t>
      </w:r>
      <w:r>
        <w:rPr>
          <w:spacing w:val="-12"/>
        </w:rPr>
        <w:t xml:space="preserve"> </w:t>
      </w:r>
      <w:r>
        <w:t>higher</w:t>
      </w:r>
      <w:r>
        <w:rPr>
          <w:spacing w:val="-12"/>
        </w:rPr>
        <w:t xml:space="preserve"> </w:t>
      </w:r>
      <w:r>
        <w:t>cost,</w:t>
      </w:r>
      <w:r>
        <w:rPr>
          <w:spacing w:val="-12"/>
        </w:rPr>
        <w:t xml:space="preserve"> </w:t>
      </w:r>
      <w:r>
        <w:t>smaller</w:t>
      </w:r>
      <w:r>
        <w:rPr>
          <w:spacing w:val="-12"/>
        </w:rPr>
        <w:t xml:space="preserve"> </w:t>
      </w:r>
      <w:r>
        <w:t>plant</w:t>
      </w:r>
      <w:r>
        <w:rPr>
          <w:spacing w:val="-12"/>
        </w:rPr>
        <w:t xml:space="preserve"> </w:t>
      </w:r>
      <w:r>
        <w:t>units</w:t>
      </w:r>
      <w:r>
        <w:rPr>
          <w:spacing w:val="-12"/>
        </w:rPr>
        <w:t xml:space="preserve"> </w:t>
      </w:r>
      <w:r>
        <w:t>to</w:t>
      </w:r>
      <w:r>
        <w:rPr>
          <w:spacing w:val="-12"/>
        </w:rPr>
        <w:t xml:space="preserve"> </w:t>
      </w:r>
      <w:r>
        <w:t>manage</w:t>
      </w:r>
      <w:r>
        <w:rPr>
          <w:spacing w:val="-12"/>
        </w:rPr>
        <w:t xml:space="preserve"> </w:t>
      </w:r>
      <w:r>
        <w:t>supply and</w:t>
      </w:r>
      <w:r>
        <w:rPr>
          <w:spacing w:val="-14"/>
        </w:rPr>
        <w:t xml:space="preserve"> </w:t>
      </w:r>
      <w:r>
        <w:t>peak</w:t>
      </w:r>
      <w:r>
        <w:rPr>
          <w:spacing w:val="-14"/>
        </w:rPr>
        <w:t xml:space="preserve"> </w:t>
      </w:r>
      <w:r>
        <w:t>price</w:t>
      </w:r>
      <w:r>
        <w:rPr>
          <w:spacing w:val="-14"/>
        </w:rPr>
        <w:t xml:space="preserve"> </w:t>
      </w:r>
      <w:r>
        <w:t>risks.</w:t>
      </w:r>
      <w:r>
        <w:rPr>
          <w:spacing w:val="-14"/>
        </w:rPr>
        <w:t xml:space="preserve"> </w:t>
      </w:r>
      <w:r>
        <w:t>Further,</w:t>
      </w:r>
      <w:r>
        <w:rPr>
          <w:spacing w:val="-14"/>
        </w:rPr>
        <w:t xml:space="preserve"> </w:t>
      </w:r>
      <w:r>
        <w:t>Infrastructure</w:t>
      </w:r>
      <w:r>
        <w:rPr>
          <w:spacing w:val="-14"/>
        </w:rPr>
        <w:t xml:space="preserve"> </w:t>
      </w:r>
      <w:r>
        <w:t>NSW</w:t>
      </w:r>
      <w:r>
        <w:rPr>
          <w:spacing w:val="-14"/>
        </w:rPr>
        <w:t xml:space="preserve"> </w:t>
      </w:r>
      <w:r>
        <w:t>is concerned</w:t>
      </w:r>
      <w:r>
        <w:rPr>
          <w:spacing w:val="-14"/>
        </w:rPr>
        <w:t xml:space="preserve"> </w:t>
      </w:r>
      <w:r>
        <w:t>that</w:t>
      </w:r>
      <w:r>
        <w:rPr>
          <w:spacing w:val="-14"/>
        </w:rPr>
        <w:t xml:space="preserve"> </w:t>
      </w:r>
      <w:r>
        <w:t>the</w:t>
      </w:r>
      <w:r>
        <w:rPr>
          <w:spacing w:val="-14"/>
        </w:rPr>
        <w:t xml:space="preserve"> </w:t>
      </w:r>
      <w:r>
        <w:t>Federal</w:t>
      </w:r>
      <w:r>
        <w:rPr>
          <w:spacing w:val="-14"/>
        </w:rPr>
        <w:t xml:space="preserve"> </w:t>
      </w:r>
      <w:r>
        <w:t>Government’s</w:t>
      </w:r>
      <w:r>
        <w:rPr>
          <w:spacing w:val="-14"/>
        </w:rPr>
        <w:t xml:space="preserve"> </w:t>
      </w:r>
      <w:r>
        <w:t>20</w:t>
      </w:r>
      <w:r>
        <w:rPr>
          <w:spacing w:val="-14"/>
        </w:rPr>
        <w:t xml:space="preserve"> </w:t>
      </w:r>
      <w:r>
        <w:t>percent renewable</w:t>
      </w:r>
      <w:r>
        <w:rPr>
          <w:spacing w:val="-9"/>
        </w:rPr>
        <w:t xml:space="preserve"> </w:t>
      </w:r>
      <w:r>
        <w:t>energy</w:t>
      </w:r>
      <w:r>
        <w:rPr>
          <w:spacing w:val="-9"/>
        </w:rPr>
        <w:t xml:space="preserve"> </w:t>
      </w:r>
      <w:r>
        <w:t>target</w:t>
      </w:r>
      <w:r>
        <w:rPr>
          <w:spacing w:val="-9"/>
        </w:rPr>
        <w:t xml:space="preserve"> </w:t>
      </w:r>
      <w:r>
        <w:t>is</w:t>
      </w:r>
      <w:r>
        <w:rPr>
          <w:spacing w:val="-9"/>
        </w:rPr>
        <w:t xml:space="preserve"> </w:t>
      </w:r>
      <w:r>
        <w:t>crowding</w:t>
      </w:r>
      <w:r>
        <w:rPr>
          <w:spacing w:val="-9"/>
        </w:rPr>
        <w:t xml:space="preserve"> </w:t>
      </w:r>
      <w:r>
        <w:t>out</w:t>
      </w:r>
      <w:r>
        <w:rPr>
          <w:spacing w:val="-9"/>
        </w:rPr>
        <w:t xml:space="preserve"> </w:t>
      </w:r>
      <w:r>
        <w:t>other</w:t>
      </w:r>
      <w:r>
        <w:rPr>
          <w:spacing w:val="-9"/>
        </w:rPr>
        <w:t xml:space="preserve"> </w:t>
      </w:r>
      <w:r>
        <w:t>types</w:t>
      </w:r>
    </w:p>
    <w:p w:rsidR="002C1123" w:rsidRDefault="00F22F94">
      <w:pPr>
        <w:pStyle w:val="BodyText"/>
        <w:spacing w:before="5" w:line="249" w:lineRule="auto"/>
        <w:ind w:left="199" w:right="761"/>
      </w:pPr>
      <w:r>
        <w:rPr>
          <w:w w:val="95"/>
        </w:rPr>
        <w:t>of</w:t>
      </w:r>
      <w:r>
        <w:rPr>
          <w:spacing w:val="-10"/>
          <w:w w:val="95"/>
        </w:rPr>
        <w:t xml:space="preserve"> </w:t>
      </w:r>
      <w:r>
        <w:rPr>
          <w:w w:val="95"/>
        </w:rPr>
        <w:t>viable</w:t>
      </w:r>
      <w:r>
        <w:rPr>
          <w:spacing w:val="-10"/>
          <w:w w:val="95"/>
        </w:rPr>
        <w:t xml:space="preserve"> </w:t>
      </w:r>
      <w:r>
        <w:rPr>
          <w:w w:val="95"/>
        </w:rPr>
        <w:t>investment.</w:t>
      </w:r>
      <w:r>
        <w:rPr>
          <w:spacing w:val="-10"/>
          <w:w w:val="95"/>
        </w:rPr>
        <w:t xml:space="preserve"> </w:t>
      </w:r>
      <w:r>
        <w:rPr>
          <w:w w:val="95"/>
        </w:rPr>
        <w:t>The</w:t>
      </w:r>
      <w:r>
        <w:rPr>
          <w:spacing w:val="-10"/>
          <w:w w:val="95"/>
        </w:rPr>
        <w:t xml:space="preserve"> </w:t>
      </w:r>
      <w:r>
        <w:rPr>
          <w:w w:val="95"/>
        </w:rPr>
        <w:t>emerging</w:t>
      </w:r>
      <w:r>
        <w:rPr>
          <w:spacing w:val="-10"/>
          <w:w w:val="95"/>
        </w:rPr>
        <w:t xml:space="preserve"> </w:t>
      </w:r>
      <w:r>
        <w:rPr>
          <w:w w:val="95"/>
        </w:rPr>
        <w:t>mix</w:t>
      </w:r>
      <w:r>
        <w:rPr>
          <w:spacing w:val="-10"/>
          <w:w w:val="95"/>
        </w:rPr>
        <w:t xml:space="preserve"> </w:t>
      </w:r>
      <w:r>
        <w:rPr>
          <w:w w:val="95"/>
        </w:rPr>
        <w:t>of</w:t>
      </w:r>
      <w:r>
        <w:rPr>
          <w:spacing w:val="-10"/>
          <w:w w:val="95"/>
        </w:rPr>
        <w:t xml:space="preserve"> </w:t>
      </w:r>
      <w:r>
        <w:rPr>
          <w:w w:val="95"/>
        </w:rPr>
        <w:t xml:space="preserve">generation </w:t>
      </w:r>
      <w:r>
        <w:t>technology</w:t>
      </w:r>
      <w:r>
        <w:rPr>
          <w:spacing w:val="-11"/>
        </w:rPr>
        <w:t xml:space="preserve"> </w:t>
      </w:r>
      <w:r>
        <w:t>will</w:t>
      </w:r>
      <w:r>
        <w:rPr>
          <w:spacing w:val="-11"/>
        </w:rPr>
        <w:t xml:space="preserve"> </w:t>
      </w:r>
      <w:r>
        <w:t>result</w:t>
      </w:r>
      <w:r>
        <w:rPr>
          <w:spacing w:val="-11"/>
        </w:rPr>
        <w:t xml:space="preserve"> </w:t>
      </w:r>
      <w:r>
        <w:t>in</w:t>
      </w:r>
      <w:r>
        <w:rPr>
          <w:spacing w:val="-11"/>
        </w:rPr>
        <w:t xml:space="preserve"> </w:t>
      </w:r>
      <w:r>
        <w:t>higher</w:t>
      </w:r>
      <w:r>
        <w:rPr>
          <w:spacing w:val="-11"/>
        </w:rPr>
        <w:t xml:space="preserve"> </w:t>
      </w:r>
      <w:r>
        <w:t>electricity</w:t>
      </w:r>
      <w:r>
        <w:rPr>
          <w:spacing w:val="-11"/>
        </w:rPr>
        <w:t xml:space="preserve"> </w:t>
      </w:r>
      <w:r>
        <w:t>prices.</w:t>
      </w:r>
    </w:p>
    <w:p w:rsidR="002C1123" w:rsidRDefault="00F22F94">
      <w:pPr>
        <w:pStyle w:val="BodyText"/>
        <w:spacing w:before="143" w:line="249" w:lineRule="auto"/>
        <w:ind w:left="199" w:right="641"/>
      </w:pPr>
      <w:r>
        <w:rPr>
          <w:w w:val="95"/>
        </w:rPr>
        <w:t xml:space="preserve">Infrastructure NSW notes that the NSW Government will </w:t>
      </w:r>
      <w:r>
        <w:t>facilitate</w:t>
      </w:r>
      <w:r>
        <w:rPr>
          <w:spacing w:val="-14"/>
        </w:rPr>
        <w:t xml:space="preserve"> </w:t>
      </w:r>
      <w:r>
        <w:t>investment</w:t>
      </w:r>
      <w:r>
        <w:rPr>
          <w:spacing w:val="-14"/>
        </w:rPr>
        <w:t xml:space="preserve"> </w:t>
      </w:r>
      <w:r>
        <w:t>in</w:t>
      </w:r>
      <w:r>
        <w:rPr>
          <w:spacing w:val="-14"/>
        </w:rPr>
        <w:t xml:space="preserve"> </w:t>
      </w:r>
      <w:r>
        <w:t>low</w:t>
      </w:r>
      <w:r>
        <w:rPr>
          <w:spacing w:val="-14"/>
        </w:rPr>
        <w:t xml:space="preserve"> </w:t>
      </w:r>
      <w:r>
        <w:t>cost</w:t>
      </w:r>
      <w:r>
        <w:rPr>
          <w:spacing w:val="-14"/>
        </w:rPr>
        <w:t xml:space="preserve"> </w:t>
      </w:r>
      <w:r>
        <w:t>electricity</w:t>
      </w:r>
      <w:r>
        <w:rPr>
          <w:spacing w:val="-14"/>
        </w:rPr>
        <w:t xml:space="preserve"> </w:t>
      </w:r>
      <w:r>
        <w:t>generation, especially</w:t>
      </w:r>
      <w:r>
        <w:rPr>
          <w:spacing w:val="-12"/>
        </w:rPr>
        <w:t xml:space="preserve"> </w:t>
      </w:r>
      <w:r>
        <w:t>base</w:t>
      </w:r>
      <w:r>
        <w:rPr>
          <w:spacing w:val="-12"/>
        </w:rPr>
        <w:t xml:space="preserve"> </w:t>
      </w:r>
      <w:r>
        <w:t>load</w:t>
      </w:r>
      <w:r>
        <w:rPr>
          <w:spacing w:val="-12"/>
        </w:rPr>
        <w:t xml:space="preserve"> </w:t>
      </w:r>
      <w:r>
        <w:t>capacity,</w:t>
      </w:r>
      <w:r>
        <w:rPr>
          <w:spacing w:val="-12"/>
        </w:rPr>
        <w:t xml:space="preserve"> </w:t>
      </w:r>
      <w:r>
        <w:t>by</w:t>
      </w:r>
      <w:r>
        <w:rPr>
          <w:spacing w:val="-12"/>
        </w:rPr>
        <w:t xml:space="preserve"> </w:t>
      </w:r>
      <w:r>
        <w:t>providing</w:t>
      </w:r>
      <w:r>
        <w:rPr>
          <w:spacing w:val="-12"/>
        </w:rPr>
        <w:t xml:space="preserve"> </w:t>
      </w:r>
      <w:r>
        <w:t>consented development</w:t>
      </w:r>
      <w:r>
        <w:rPr>
          <w:spacing w:val="-14"/>
        </w:rPr>
        <w:t xml:space="preserve"> </w:t>
      </w:r>
      <w:r>
        <w:t>sites</w:t>
      </w:r>
      <w:r>
        <w:rPr>
          <w:spacing w:val="-14"/>
        </w:rPr>
        <w:t xml:space="preserve"> </w:t>
      </w:r>
      <w:r>
        <w:t>in</w:t>
      </w:r>
      <w:r>
        <w:rPr>
          <w:spacing w:val="-14"/>
        </w:rPr>
        <w:t xml:space="preserve"> </w:t>
      </w:r>
      <w:r>
        <w:t>the</w:t>
      </w:r>
      <w:r>
        <w:rPr>
          <w:spacing w:val="-14"/>
        </w:rPr>
        <w:t xml:space="preserve"> </w:t>
      </w:r>
      <w:r>
        <w:t>generation</w:t>
      </w:r>
      <w:r>
        <w:rPr>
          <w:spacing w:val="-14"/>
        </w:rPr>
        <w:t xml:space="preserve"> </w:t>
      </w:r>
      <w:r>
        <w:t>sale</w:t>
      </w:r>
      <w:r>
        <w:rPr>
          <w:spacing w:val="-14"/>
        </w:rPr>
        <w:t xml:space="preserve"> </w:t>
      </w:r>
      <w:r>
        <w:t xml:space="preserve">packages </w:t>
      </w:r>
      <w:r>
        <w:rPr>
          <w:w w:val="95"/>
        </w:rPr>
        <w:t>which</w:t>
      </w:r>
      <w:r>
        <w:rPr>
          <w:spacing w:val="-6"/>
          <w:w w:val="95"/>
        </w:rPr>
        <w:t xml:space="preserve"> </w:t>
      </w:r>
      <w:r>
        <w:rPr>
          <w:w w:val="95"/>
        </w:rPr>
        <w:t>are</w:t>
      </w:r>
      <w:r>
        <w:rPr>
          <w:spacing w:val="-6"/>
          <w:w w:val="95"/>
        </w:rPr>
        <w:t xml:space="preserve"> </w:t>
      </w:r>
      <w:r>
        <w:rPr>
          <w:w w:val="95"/>
        </w:rPr>
        <w:t>fuel</w:t>
      </w:r>
      <w:r>
        <w:rPr>
          <w:spacing w:val="-6"/>
          <w:w w:val="95"/>
        </w:rPr>
        <w:t xml:space="preserve"> </w:t>
      </w:r>
      <w:r>
        <w:rPr>
          <w:w w:val="95"/>
        </w:rPr>
        <w:t>and</w:t>
      </w:r>
      <w:r>
        <w:rPr>
          <w:spacing w:val="-6"/>
          <w:w w:val="95"/>
        </w:rPr>
        <w:t xml:space="preserve"> </w:t>
      </w:r>
      <w:r>
        <w:rPr>
          <w:w w:val="95"/>
        </w:rPr>
        <w:t>technology</w:t>
      </w:r>
      <w:r>
        <w:rPr>
          <w:spacing w:val="-6"/>
          <w:w w:val="95"/>
        </w:rPr>
        <w:t xml:space="preserve"> </w:t>
      </w:r>
      <w:r>
        <w:rPr>
          <w:w w:val="95"/>
        </w:rPr>
        <w:t>neutral.</w:t>
      </w:r>
      <w:r>
        <w:rPr>
          <w:spacing w:val="-6"/>
          <w:w w:val="95"/>
        </w:rPr>
        <w:t xml:space="preserve"> </w:t>
      </w:r>
      <w:r>
        <w:rPr>
          <w:w w:val="95"/>
        </w:rPr>
        <w:t>This</w:t>
      </w:r>
      <w:r>
        <w:rPr>
          <w:spacing w:val="-6"/>
          <w:w w:val="95"/>
        </w:rPr>
        <w:t xml:space="preserve"> </w:t>
      </w:r>
      <w:r>
        <w:rPr>
          <w:w w:val="95"/>
        </w:rPr>
        <w:t>would</w:t>
      </w:r>
      <w:r>
        <w:rPr>
          <w:spacing w:val="-6"/>
          <w:w w:val="95"/>
        </w:rPr>
        <w:t xml:space="preserve"> </w:t>
      </w:r>
      <w:r>
        <w:rPr>
          <w:w w:val="95"/>
        </w:rPr>
        <w:t xml:space="preserve">enable </w:t>
      </w:r>
      <w:r>
        <w:t>the</w:t>
      </w:r>
      <w:r>
        <w:rPr>
          <w:spacing w:val="-11"/>
        </w:rPr>
        <w:t xml:space="preserve"> </w:t>
      </w:r>
      <w:r>
        <w:t>buyer</w:t>
      </w:r>
      <w:r>
        <w:rPr>
          <w:spacing w:val="-11"/>
        </w:rPr>
        <w:t xml:space="preserve"> </w:t>
      </w:r>
      <w:r>
        <w:t>to</w:t>
      </w:r>
      <w:r>
        <w:rPr>
          <w:spacing w:val="-11"/>
        </w:rPr>
        <w:t xml:space="preserve"> </w:t>
      </w:r>
      <w:r>
        <w:t>choose</w:t>
      </w:r>
      <w:r>
        <w:rPr>
          <w:spacing w:val="-11"/>
        </w:rPr>
        <w:t xml:space="preserve"> </w:t>
      </w:r>
      <w:r>
        <w:t>the</w:t>
      </w:r>
      <w:r>
        <w:rPr>
          <w:spacing w:val="-11"/>
        </w:rPr>
        <w:t xml:space="preserve"> </w:t>
      </w:r>
      <w:r>
        <w:t>most</w:t>
      </w:r>
      <w:r>
        <w:rPr>
          <w:spacing w:val="-11"/>
        </w:rPr>
        <w:t xml:space="preserve"> </w:t>
      </w:r>
      <w:r>
        <w:t>cost</w:t>
      </w:r>
      <w:r>
        <w:rPr>
          <w:spacing w:val="-11"/>
        </w:rPr>
        <w:t xml:space="preserve"> </w:t>
      </w:r>
      <w:r>
        <w:t>effective</w:t>
      </w:r>
      <w:r>
        <w:rPr>
          <w:spacing w:val="-11"/>
        </w:rPr>
        <w:t xml:space="preserve"> </w:t>
      </w:r>
      <w:r>
        <w:t>investment and</w:t>
      </w:r>
      <w:r>
        <w:rPr>
          <w:spacing w:val="-10"/>
        </w:rPr>
        <w:t xml:space="preserve"> </w:t>
      </w:r>
      <w:r>
        <w:t>accelerate</w:t>
      </w:r>
      <w:r>
        <w:rPr>
          <w:spacing w:val="-10"/>
        </w:rPr>
        <w:t xml:space="preserve"> </w:t>
      </w:r>
      <w:r>
        <w:t>the</w:t>
      </w:r>
      <w:r>
        <w:rPr>
          <w:spacing w:val="-10"/>
        </w:rPr>
        <w:t xml:space="preserve"> </w:t>
      </w:r>
      <w:r>
        <w:t>development</w:t>
      </w:r>
      <w:r>
        <w:rPr>
          <w:spacing w:val="-10"/>
        </w:rPr>
        <w:t xml:space="preserve"> </w:t>
      </w:r>
      <w:r>
        <w:t>of</w:t>
      </w:r>
      <w:r>
        <w:rPr>
          <w:spacing w:val="-10"/>
        </w:rPr>
        <w:t xml:space="preserve"> </w:t>
      </w:r>
      <w:r>
        <w:t>the</w:t>
      </w:r>
      <w:r>
        <w:rPr>
          <w:spacing w:val="-10"/>
        </w:rPr>
        <w:t xml:space="preserve"> </w:t>
      </w:r>
      <w:r>
        <w:t>project</w:t>
      </w:r>
      <w:r>
        <w:rPr>
          <w:spacing w:val="-10"/>
        </w:rPr>
        <w:t xml:space="preserve"> </w:t>
      </w:r>
      <w:r>
        <w:t>by</w:t>
      </w:r>
      <w:r>
        <w:rPr>
          <w:spacing w:val="-10"/>
        </w:rPr>
        <w:t xml:space="preserve"> </w:t>
      </w:r>
      <w:r>
        <w:t>up</w:t>
      </w:r>
      <w:r>
        <w:rPr>
          <w:spacing w:val="-10"/>
        </w:rPr>
        <w:t xml:space="preserve"> </w:t>
      </w:r>
      <w:r>
        <w:t>to two</w:t>
      </w:r>
      <w:r>
        <w:rPr>
          <w:spacing w:val="-9"/>
        </w:rPr>
        <w:t xml:space="preserve"> </w:t>
      </w:r>
      <w:r>
        <w:t>years</w:t>
      </w:r>
      <w:r>
        <w:rPr>
          <w:spacing w:val="-9"/>
        </w:rPr>
        <w:t xml:space="preserve"> </w:t>
      </w:r>
      <w:r>
        <w:t>faster</w:t>
      </w:r>
      <w:r>
        <w:rPr>
          <w:spacing w:val="-9"/>
        </w:rPr>
        <w:t xml:space="preserve"> </w:t>
      </w:r>
      <w:r>
        <w:t>than</w:t>
      </w:r>
      <w:r>
        <w:rPr>
          <w:spacing w:val="-9"/>
        </w:rPr>
        <w:t xml:space="preserve"> </w:t>
      </w:r>
      <w:r>
        <w:t>would</w:t>
      </w:r>
      <w:r>
        <w:rPr>
          <w:spacing w:val="-9"/>
        </w:rPr>
        <w:t xml:space="preserve"> </w:t>
      </w:r>
      <w:r>
        <w:t>otherwise</w:t>
      </w:r>
      <w:r>
        <w:rPr>
          <w:spacing w:val="-9"/>
        </w:rPr>
        <w:t xml:space="preserve"> </w:t>
      </w:r>
      <w:r>
        <w:t>be</w:t>
      </w:r>
      <w:r>
        <w:rPr>
          <w:spacing w:val="-9"/>
        </w:rPr>
        <w:t xml:space="preserve"> </w:t>
      </w:r>
      <w:r>
        <w:t>the</w:t>
      </w:r>
      <w:r>
        <w:rPr>
          <w:spacing w:val="-9"/>
        </w:rPr>
        <w:t xml:space="preserve"> </w:t>
      </w:r>
      <w:r>
        <w:t>case.</w:t>
      </w:r>
    </w:p>
    <w:p w:rsidR="002C1123" w:rsidRDefault="00F22F94">
      <w:pPr>
        <w:pStyle w:val="BodyText"/>
        <w:spacing w:before="149" w:line="249" w:lineRule="auto"/>
        <w:ind w:left="199" w:right="641"/>
      </w:pPr>
      <w:r>
        <w:t>Infrastructure</w:t>
      </w:r>
      <w:r>
        <w:rPr>
          <w:spacing w:val="-6"/>
        </w:rPr>
        <w:t xml:space="preserve"> </w:t>
      </w:r>
      <w:r>
        <w:t>NSW</w:t>
      </w:r>
      <w:r>
        <w:rPr>
          <w:spacing w:val="-6"/>
        </w:rPr>
        <w:t xml:space="preserve"> </w:t>
      </w:r>
      <w:r>
        <w:t>also</w:t>
      </w:r>
      <w:r>
        <w:rPr>
          <w:spacing w:val="-6"/>
        </w:rPr>
        <w:t xml:space="preserve"> </w:t>
      </w:r>
      <w:r>
        <w:t>supports</w:t>
      </w:r>
      <w:r>
        <w:rPr>
          <w:spacing w:val="-6"/>
        </w:rPr>
        <w:t xml:space="preserve"> </w:t>
      </w:r>
      <w:r>
        <w:t>the</w:t>
      </w:r>
      <w:r>
        <w:rPr>
          <w:spacing w:val="-6"/>
        </w:rPr>
        <w:t xml:space="preserve"> </w:t>
      </w:r>
      <w:r>
        <w:t>NSW Government’s</w:t>
      </w:r>
      <w:r>
        <w:rPr>
          <w:spacing w:val="-14"/>
        </w:rPr>
        <w:t xml:space="preserve"> </w:t>
      </w:r>
      <w:r>
        <w:t>policy</w:t>
      </w:r>
      <w:r>
        <w:rPr>
          <w:spacing w:val="-14"/>
        </w:rPr>
        <w:t xml:space="preserve"> </w:t>
      </w:r>
      <w:r>
        <w:t>for</w:t>
      </w:r>
      <w:r>
        <w:rPr>
          <w:spacing w:val="-14"/>
        </w:rPr>
        <w:t xml:space="preserve"> </w:t>
      </w:r>
      <w:r>
        <w:t>a</w:t>
      </w:r>
      <w:r>
        <w:rPr>
          <w:spacing w:val="-14"/>
        </w:rPr>
        <w:t xml:space="preserve"> </w:t>
      </w:r>
      <w:r>
        <w:t>review</w:t>
      </w:r>
      <w:r>
        <w:rPr>
          <w:spacing w:val="-14"/>
        </w:rPr>
        <w:t xml:space="preserve"> </w:t>
      </w:r>
      <w:r>
        <w:t>of</w:t>
      </w:r>
      <w:r>
        <w:rPr>
          <w:spacing w:val="-14"/>
        </w:rPr>
        <w:t xml:space="preserve"> </w:t>
      </w:r>
      <w:r>
        <w:t>the</w:t>
      </w:r>
      <w:r>
        <w:rPr>
          <w:spacing w:val="-14"/>
        </w:rPr>
        <w:t xml:space="preserve"> </w:t>
      </w:r>
      <w:r>
        <w:t xml:space="preserve">renewable </w:t>
      </w:r>
      <w:r>
        <w:rPr>
          <w:w w:val="95"/>
        </w:rPr>
        <w:t>energy</w:t>
      </w:r>
      <w:r>
        <w:rPr>
          <w:spacing w:val="-1"/>
          <w:w w:val="95"/>
        </w:rPr>
        <w:t xml:space="preserve"> </w:t>
      </w:r>
      <w:r>
        <w:rPr>
          <w:w w:val="95"/>
        </w:rPr>
        <w:t>targets</w:t>
      </w:r>
      <w:r>
        <w:rPr>
          <w:spacing w:val="-1"/>
          <w:w w:val="95"/>
        </w:rPr>
        <w:t xml:space="preserve"> </w:t>
      </w:r>
      <w:r>
        <w:rPr>
          <w:w w:val="95"/>
        </w:rPr>
        <w:t>and</w:t>
      </w:r>
      <w:r>
        <w:rPr>
          <w:spacing w:val="-1"/>
          <w:w w:val="95"/>
        </w:rPr>
        <w:t xml:space="preserve"> </w:t>
      </w:r>
      <w:r>
        <w:rPr>
          <w:w w:val="95"/>
        </w:rPr>
        <w:t>carbon</w:t>
      </w:r>
      <w:r>
        <w:rPr>
          <w:spacing w:val="-1"/>
          <w:w w:val="95"/>
        </w:rPr>
        <w:t xml:space="preserve"> </w:t>
      </w:r>
      <w:r>
        <w:rPr>
          <w:w w:val="95"/>
        </w:rPr>
        <w:t>policies</w:t>
      </w:r>
      <w:r>
        <w:rPr>
          <w:spacing w:val="-1"/>
          <w:w w:val="95"/>
        </w:rPr>
        <w:t xml:space="preserve"> </w:t>
      </w:r>
      <w:r>
        <w:rPr>
          <w:w w:val="95"/>
        </w:rPr>
        <w:t>to</w:t>
      </w:r>
      <w:r>
        <w:rPr>
          <w:spacing w:val="-1"/>
          <w:w w:val="95"/>
        </w:rPr>
        <w:t xml:space="preserve"> </w:t>
      </w:r>
      <w:r>
        <w:rPr>
          <w:w w:val="95"/>
        </w:rPr>
        <w:t>remove</w:t>
      </w:r>
      <w:r>
        <w:rPr>
          <w:spacing w:val="-1"/>
          <w:w w:val="95"/>
        </w:rPr>
        <w:t xml:space="preserve"> </w:t>
      </w:r>
      <w:r>
        <w:rPr>
          <w:w w:val="95"/>
        </w:rPr>
        <w:t xml:space="preserve">duplication </w:t>
      </w:r>
      <w:r>
        <w:t>of</w:t>
      </w:r>
      <w:r>
        <w:rPr>
          <w:spacing w:val="-12"/>
        </w:rPr>
        <w:t xml:space="preserve"> </w:t>
      </w:r>
      <w:r>
        <w:t>schemes</w:t>
      </w:r>
      <w:r>
        <w:rPr>
          <w:spacing w:val="-12"/>
        </w:rPr>
        <w:t xml:space="preserve"> </w:t>
      </w:r>
      <w:r>
        <w:t>that</w:t>
      </w:r>
      <w:r>
        <w:rPr>
          <w:spacing w:val="-12"/>
        </w:rPr>
        <w:t xml:space="preserve"> </w:t>
      </w:r>
      <w:r>
        <w:t>have</w:t>
      </w:r>
      <w:r>
        <w:rPr>
          <w:spacing w:val="-12"/>
        </w:rPr>
        <w:t xml:space="preserve"> </w:t>
      </w:r>
      <w:r>
        <w:t>the</w:t>
      </w:r>
      <w:r>
        <w:rPr>
          <w:spacing w:val="-12"/>
        </w:rPr>
        <w:t xml:space="preserve"> </w:t>
      </w:r>
      <w:r>
        <w:t>same</w:t>
      </w:r>
      <w:r>
        <w:rPr>
          <w:spacing w:val="-12"/>
        </w:rPr>
        <w:t xml:space="preserve"> </w:t>
      </w:r>
      <w:r>
        <w:t>objectives.</w:t>
      </w:r>
      <w:r>
        <w:rPr>
          <w:spacing w:val="-12"/>
        </w:rPr>
        <w:t xml:space="preserve"> </w:t>
      </w:r>
      <w:r>
        <w:t xml:space="preserve">The </w:t>
      </w:r>
      <w:r>
        <w:rPr>
          <w:w w:val="95"/>
        </w:rPr>
        <w:t xml:space="preserve">introduction of the carbon price suggests that the design and operation of the renewable energy targets across all schemes may no longer be efficient or effective. Closing </w:t>
      </w:r>
      <w:r>
        <w:t>down</w:t>
      </w:r>
      <w:r>
        <w:rPr>
          <w:spacing w:val="-8"/>
        </w:rPr>
        <w:t xml:space="preserve"> </w:t>
      </w:r>
      <w:r>
        <w:t>the</w:t>
      </w:r>
      <w:r>
        <w:rPr>
          <w:spacing w:val="-8"/>
        </w:rPr>
        <w:t xml:space="preserve"> </w:t>
      </w:r>
      <w:r>
        <w:t>various</w:t>
      </w:r>
      <w:r>
        <w:rPr>
          <w:spacing w:val="-8"/>
        </w:rPr>
        <w:t xml:space="preserve"> </w:t>
      </w:r>
      <w:r>
        <w:t>schemes</w:t>
      </w:r>
      <w:r>
        <w:rPr>
          <w:spacing w:val="-8"/>
        </w:rPr>
        <w:t xml:space="preserve"> </w:t>
      </w:r>
      <w:r>
        <w:t>would</w:t>
      </w:r>
      <w:r>
        <w:rPr>
          <w:spacing w:val="-8"/>
        </w:rPr>
        <w:t xml:space="preserve"> </w:t>
      </w:r>
      <w:r>
        <w:t>reduce</w:t>
      </w:r>
      <w:r>
        <w:rPr>
          <w:spacing w:val="-8"/>
        </w:rPr>
        <w:t xml:space="preserve"> </w:t>
      </w:r>
      <w:r>
        <w:t>generation costs and electricity prices.</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293" w:space="40"/>
            <w:col w:w="4974" w:space="39"/>
            <w:col w:w="5714"/>
          </w:cols>
        </w:sectPr>
      </w:pPr>
    </w:p>
    <w:p w:rsidR="002C1123" w:rsidRDefault="002C1123">
      <w:pPr>
        <w:pStyle w:val="BodyText"/>
      </w:pPr>
    </w:p>
    <w:p w:rsidR="002C1123" w:rsidRDefault="002C1123">
      <w:pPr>
        <w:pStyle w:val="BodyText"/>
      </w:pPr>
    </w:p>
    <w:p w:rsidR="002C1123" w:rsidRDefault="002C1123">
      <w:pPr>
        <w:pStyle w:val="BodyText"/>
        <w:spacing w:before="5"/>
        <w:rPr>
          <w:sz w:val="21"/>
        </w:rPr>
      </w:pPr>
    </w:p>
    <w:p w:rsidR="002C1123" w:rsidRDefault="002060EF">
      <w:pPr>
        <w:tabs>
          <w:tab w:val="left" w:pos="5518"/>
          <w:tab w:val="left" w:pos="10545"/>
        </w:tabs>
        <w:spacing w:line="20" w:lineRule="exact"/>
        <w:ind w:left="492"/>
        <w:rPr>
          <w:sz w:val="2"/>
        </w:rPr>
      </w:pPr>
      <w:r>
        <w:rPr>
          <w:sz w:val="2"/>
        </w:rPr>
      </w:r>
      <w:r>
        <w:rPr>
          <w:sz w:val="2"/>
        </w:rPr>
        <w:pict>
          <v:group id="docshapegroup2189" o:spid="_x0000_s1849" style="width:1in;height:.5pt;mso-position-horizontal-relative:char;mso-position-vertical-relative:line" coordsize="1440,10">
            <v:line id="_x0000_s1850" style="position:absolute" from="0,5" to="1440,5" strokecolor="#9c9c9d" strokeweight=".5pt"/>
            <w10:anchorlock/>
          </v:group>
        </w:pict>
      </w:r>
      <w:r w:rsidR="00F22F94">
        <w:rPr>
          <w:sz w:val="2"/>
        </w:rPr>
        <w:tab/>
      </w:r>
      <w:r>
        <w:rPr>
          <w:sz w:val="2"/>
        </w:rPr>
      </w:r>
      <w:r>
        <w:rPr>
          <w:sz w:val="2"/>
        </w:rPr>
        <w:pict>
          <v:group id="docshapegroup2190" o:spid="_x0000_s1847" style="width:1in;height:.5pt;mso-position-horizontal-relative:char;mso-position-vertical-relative:line" coordsize="1440,10">
            <v:line id="_x0000_s1848" style="position:absolute" from="0,5" to="1440,5" strokecolor="#9c9c9d" strokeweight=".5pt"/>
            <w10:anchorlock/>
          </v:group>
        </w:pict>
      </w:r>
      <w:r w:rsidR="00F22F94">
        <w:rPr>
          <w:sz w:val="2"/>
        </w:rPr>
        <w:tab/>
      </w:r>
      <w:r>
        <w:rPr>
          <w:sz w:val="2"/>
        </w:rPr>
      </w:r>
      <w:r>
        <w:rPr>
          <w:sz w:val="2"/>
        </w:rPr>
        <w:pict>
          <v:group id="docshapegroup2191" o:spid="_x0000_s1845" style="width:1in;height:.5pt;mso-position-horizontal-relative:char;mso-position-vertical-relative:line" coordsize="1440,10">
            <v:line id="_x0000_s1846" style="position:absolute" from="0,5" to="1440,5" strokecolor="#9c9c9d" strokeweight=".5pt"/>
            <w10:anchorlock/>
          </v:group>
        </w:pict>
      </w:r>
    </w:p>
    <w:p w:rsidR="002C1123" w:rsidRDefault="002C1123">
      <w:pPr>
        <w:spacing w:line="20" w:lineRule="exact"/>
        <w:rPr>
          <w:sz w:val="2"/>
        </w:rPr>
        <w:sectPr w:rsidR="002C1123">
          <w:type w:val="continuous"/>
          <w:pgSz w:w="16840" w:h="11910" w:orient="landscape"/>
          <w:pgMar w:top="560" w:right="280" w:bottom="280" w:left="500" w:header="0" w:footer="517" w:gutter="0"/>
          <w:cols w:space="720"/>
        </w:sectPr>
      </w:pPr>
    </w:p>
    <w:p w:rsidR="002C1123" w:rsidRDefault="00F22F94">
      <w:pPr>
        <w:pStyle w:val="ListParagraph"/>
        <w:numPr>
          <w:ilvl w:val="1"/>
          <w:numId w:val="58"/>
        </w:numPr>
        <w:tabs>
          <w:tab w:val="left" w:pos="691"/>
        </w:tabs>
        <w:spacing w:before="8"/>
        <w:ind w:left="690"/>
        <w:jc w:val="left"/>
        <w:rPr>
          <w:sz w:val="14"/>
        </w:rPr>
      </w:pPr>
      <w:r>
        <w:rPr>
          <w:spacing w:val="-2"/>
          <w:w w:val="95"/>
          <w:sz w:val="14"/>
        </w:rPr>
        <w:t>AEMO</w:t>
      </w:r>
      <w:r>
        <w:rPr>
          <w:spacing w:val="-3"/>
          <w:sz w:val="14"/>
        </w:rPr>
        <w:t xml:space="preserve"> </w:t>
      </w:r>
      <w:r>
        <w:rPr>
          <w:spacing w:val="-2"/>
          <w:w w:val="95"/>
          <w:sz w:val="14"/>
        </w:rPr>
        <w:t>2012,</w:t>
      </w:r>
      <w:r>
        <w:rPr>
          <w:spacing w:val="-3"/>
          <w:sz w:val="14"/>
        </w:rPr>
        <w:t xml:space="preserve"> </w:t>
      </w:r>
      <w:r>
        <w:rPr>
          <w:spacing w:val="-2"/>
          <w:w w:val="95"/>
          <w:sz w:val="14"/>
        </w:rPr>
        <w:t>Electricity</w:t>
      </w:r>
      <w:r>
        <w:rPr>
          <w:spacing w:val="-3"/>
          <w:sz w:val="14"/>
        </w:rPr>
        <w:t xml:space="preserve"> </w:t>
      </w:r>
      <w:r>
        <w:rPr>
          <w:spacing w:val="-2"/>
          <w:w w:val="95"/>
          <w:sz w:val="14"/>
        </w:rPr>
        <w:t>Network</w:t>
      </w:r>
      <w:r>
        <w:rPr>
          <w:spacing w:val="-3"/>
          <w:sz w:val="14"/>
        </w:rPr>
        <w:t xml:space="preserve"> </w:t>
      </w:r>
      <w:r>
        <w:rPr>
          <w:spacing w:val="-2"/>
          <w:w w:val="95"/>
          <w:sz w:val="14"/>
        </w:rPr>
        <w:t>Regulation</w:t>
      </w:r>
      <w:r>
        <w:rPr>
          <w:spacing w:val="-3"/>
          <w:sz w:val="14"/>
        </w:rPr>
        <w:t xml:space="preserve"> </w:t>
      </w:r>
      <w:r>
        <w:rPr>
          <w:spacing w:val="-2"/>
          <w:w w:val="95"/>
          <w:sz w:val="14"/>
        </w:rPr>
        <w:t>Submission</w:t>
      </w:r>
      <w:r>
        <w:rPr>
          <w:spacing w:val="-3"/>
          <w:sz w:val="14"/>
        </w:rPr>
        <w:t xml:space="preserve"> </w:t>
      </w:r>
      <w:r>
        <w:rPr>
          <w:spacing w:val="-2"/>
          <w:w w:val="95"/>
          <w:sz w:val="14"/>
        </w:rPr>
        <w:t>to</w:t>
      </w:r>
      <w:r>
        <w:rPr>
          <w:spacing w:val="-3"/>
          <w:sz w:val="14"/>
        </w:rPr>
        <w:t xml:space="preserve"> </w:t>
      </w:r>
      <w:r>
        <w:rPr>
          <w:spacing w:val="-2"/>
          <w:w w:val="95"/>
          <w:sz w:val="14"/>
        </w:rPr>
        <w:t>Issue</w:t>
      </w:r>
      <w:r>
        <w:rPr>
          <w:spacing w:val="-3"/>
          <w:sz w:val="14"/>
        </w:rPr>
        <w:t xml:space="preserve"> </w:t>
      </w:r>
      <w:r>
        <w:rPr>
          <w:spacing w:val="-2"/>
          <w:w w:val="95"/>
          <w:sz w:val="14"/>
        </w:rPr>
        <w:t>Paper.</w:t>
      </w:r>
    </w:p>
    <w:p w:rsidR="002C1123" w:rsidRDefault="00F22F94">
      <w:pPr>
        <w:pStyle w:val="ListParagraph"/>
        <w:numPr>
          <w:ilvl w:val="1"/>
          <w:numId w:val="58"/>
        </w:numPr>
        <w:tabs>
          <w:tab w:val="left" w:pos="691"/>
        </w:tabs>
        <w:spacing w:before="8"/>
        <w:ind w:left="690"/>
        <w:jc w:val="left"/>
        <w:rPr>
          <w:sz w:val="14"/>
        </w:rPr>
      </w:pPr>
      <w:r>
        <w:br w:type="column"/>
      </w:r>
      <w:r>
        <w:rPr>
          <w:w w:val="95"/>
          <w:sz w:val="14"/>
        </w:rPr>
        <w:t>AEMO</w:t>
      </w:r>
      <w:r>
        <w:rPr>
          <w:spacing w:val="-2"/>
          <w:sz w:val="14"/>
        </w:rPr>
        <w:t xml:space="preserve"> </w:t>
      </w:r>
      <w:r>
        <w:rPr>
          <w:w w:val="95"/>
          <w:sz w:val="14"/>
        </w:rPr>
        <w:t>2011;</w:t>
      </w:r>
      <w:r>
        <w:rPr>
          <w:spacing w:val="-2"/>
          <w:sz w:val="14"/>
        </w:rPr>
        <w:t xml:space="preserve"> </w:t>
      </w:r>
      <w:r>
        <w:rPr>
          <w:w w:val="95"/>
          <w:sz w:val="14"/>
        </w:rPr>
        <w:t>prepared</w:t>
      </w:r>
      <w:r>
        <w:rPr>
          <w:spacing w:val="-1"/>
          <w:sz w:val="14"/>
        </w:rPr>
        <w:t xml:space="preserve"> </w:t>
      </w:r>
      <w:r>
        <w:rPr>
          <w:w w:val="95"/>
          <w:sz w:val="14"/>
        </w:rPr>
        <w:t>for</w:t>
      </w:r>
      <w:r>
        <w:rPr>
          <w:spacing w:val="-2"/>
          <w:sz w:val="14"/>
        </w:rPr>
        <w:t xml:space="preserve"> </w:t>
      </w:r>
      <w:r>
        <w:rPr>
          <w:w w:val="95"/>
          <w:sz w:val="14"/>
        </w:rPr>
        <w:t>the</w:t>
      </w:r>
      <w:r>
        <w:rPr>
          <w:spacing w:val="-2"/>
          <w:sz w:val="14"/>
        </w:rPr>
        <w:t xml:space="preserve"> </w:t>
      </w:r>
      <w:r>
        <w:rPr>
          <w:w w:val="95"/>
          <w:sz w:val="14"/>
        </w:rPr>
        <w:t>Electricity</w:t>
      </w:r>
      <w:r>
        <w:rPr>
          <w:spacing w:val="-1"/>
          <w:sz w:val="14"/>
        </w:rPr>
        <w:t xml:space="preserve"> </w:t>
      </w:r>
      <w:r>
        <w:rPr>
          <w:w w:val="95"/>
          <w:sz w:val="14"/>
        </w:rPr>
        <w:t>Statement</w:t>
      </w:r>
      <w:r>
        <w:rPr>
          <w:spacing w:val="-2"/>
          <w:sz w:val="14"/>
        </w:rPr>
        <w:t xml:space="preserve"> </w:t>
      </w:r>
      <w:r>
        <w:rPr>
          <w:w w:val="95"/>
          <w:sz w:val="14"/>
        </w:rPr>
        <w:t>of</w:t>
      </w:r>
      <w:r>
        <w:rPr>
          <w:spacing w:val="-2"/>
          <w:sz w:val="14"/>
        </w:rPr>
        <w:t xml:space="preserve"> </w:t>
      </w:r>
      <w:r>
        <w:rPr>
          <w:spacing w:val="-2"/>
          <w:w w:val="95"/>
          <w:sz w:val="14"/>
        </w:rPr>
        <w:t>Opportunity.</w:t>
      </w:r>
    </w:p>
    <w:p w:rsidR="002C1123" w:rsidRDefault="00F22F94">
      <w:pPr>
        <w:pStyle w:val="ListParagraph"/>
        <w:numPr>
          <w:ilvl w:val="1"/>
          <w:numId w:val="58"/>
        </w:numPr>
        <w:tabs>
          <w:tab w:val="left" w:pos="691"/>
        </w:tabs>
        <w:spacing w:before="8"/>
        <w:ind w:left="690"/>
        <w:jc w:val="left"/>
        <w:rPr>
          <w:sz w:val="14"/>
        </w:rPr>
      </w:pPr>
      <w:r>
        <w:br w:type="column"/>
      </w:r>
      <w:r>
        <w:rPr>
          <w:w w:val="95"/>
          <w:sz w:val="14"/>
        </w:rPr>
        <w:t>AEMO</w:t>
      </w:r>
      <w:r>
        <w:rPr>
          <w:spacing w:val="-1"/>
          <w:sz w:val="14"/>
        </w:rPr>
        <w:t xml:space="preserve"> </w:t>
      </w:r>
      <w:r>
        <w:rPr>
          <w:w w:val="95"/>
          <w:sz w:val="14"/>
        </w:rPr>
        <w:t>2011,</w:t>
      </w:r>
      <w:r>
        <w:rPr>
          <w:sz w:val="14"/>
        </w:rPr>
        <w:t xml:space="preserve"> </w:t>
      </w:r>
      <w:r>
        <w:rPr>
          <w:w w:val="95"/>
          <w:sz w:val="14"/>
        </w:rPr>
        <w:t>National</w:t>
      </w:r>
      <w:r>
        <w:rPr>
          <w:sz w:val="14"/>
        </w:rPr>
        <w:t xml:space="preserve"> </w:t>
      </w:r>
      <w:r>
        <w:rPr>
          <w:w w:val="95"/>
          <w:sz w:val="14"/>
        </w:rPr>
        <w:t>Transmission</w:t>
      </w:r>
      <w:r>
        <w:rPr>
          <w:spacing w:val="-1"/>
          <w:sz w:val="14"/>
        </w:rPr>
        <w:t xml:space="preserve"> </w:t>
      </w:r>
      <w:r>
        <w:rPr>
          <w:w w:val="95"/>
          <w:sz w:val="14"/>
        </w:rPr>
        <w:t>Network</w:t>
      </w:r>
      <w:r>
        <w:rPr>
          <w:sz w:val="14"/>
        </w:rPr>
        <w:t xml:space="preserve"> </w:t>
      </w:r>
      <w:r>
        <w:rPr>
          <w:w w:val="95"/>
          <w:sz w:val="14"/>
        </w:rPr>
        <w:t>Development</w:t>
      </w:r>
      <w:r>
        <w:rPr>
          <w:sz w:val="14"/>
        </w:rPr>
        <w:t xml:space="preserve"> </w:t>
      </w:r>
      <w:r>
        <w:rPr>
          <w:spacing w:val="-2"/>
          <w:w w:val="95"/>
          <w:sz w:val="14"/>
        </w:rPr>
        <w:t>Plan.</w:t>
      </w:r>
    </w:p>
    <w:p w:rsidR="002C1123" w:rsidRDefault="002C1123">
      <w:pPr>
        <w:rPr>
          <w:sz w:val="14"/>
        </w:rPr>
        <w:sectPr w:rsidR="002C1123">
          <w:type w:val="continuous"/>
          <w:pgSz w:w="16840" w:h="11910" w:orient="landscape"/>
          <w:pgMar w:top="560" w:right="280" w:bottom="280" w:left="500" w:header="0" w:footer="517" w:gutter="0"/>
          <w:cols w:num="3" w:space="720" w:equalWidth="0">
            <w:col w:w="4876" w:space="151"/>
            <w:col w:w="4717" w:space="309"/>
            <w:col w:w="6007"/>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3"/>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Heading6"/>
        <w:numPr>
          <w:ilvl w:val="2"/>
          <w:numId w:val="63"/>
        </w:numPr>
        <w:tabs>
          <w:tab w:val="left" w:pos="1087"/>
        </w:tabs>
        <w:spacing w:line="249" w:lineRule="auto"/>
        <w:ind w:left="1086" w:right="591"/>
        <w:jc w:val="left"/>
      </w:pPr>
      <w:bookmarkStart w:id="313" w:name="_bookmark222"/>
      <w:bookmarkEnd w:id="313"/>
      <w:r>
        <w:rPr>
          <w:color w:val="00AEEF"/>
          <w:spacing w:val="-4"/>
        </w:rPr>
        <w:t xml:space="preserve">Encouraging private sector investment </w:t>
      </w:r>
      <w:r>
        <w:rPr>
          <w:color w:val="00AEEF"/>
        </w:rPr>
        <w:t>in gas infrastructure</w:t>
      </w:r>
    </w:p>
    <w:p w:rsidR="002C1123" w:rsidRDefault="00F22F94">
      <w:pPr>
        <w:pStyle w:val="BodyText"/>
        <w:spacing w:before="86" w:line="249" w:lineRule="auto"/>
        <w:ind w:left="492" w:right="164"/>
      </w:pPr>
      <w:r>
        <w:t>Infrastructure</w:t>
      </w:r>
      <w:r>
        <w:rPr>
          <w:spacing w:val="-11"/>
        </w:rPr>
        <w:t xml:space="preserve"> </w:t>
      </w:r>
      <w:r>
        <w:t>NSW</w:t>
      </w:r>
      <w:r>
        <w:rPr>
          <w:spacing w:val="-11"/>
        </w:rPr>
        <w:t xml:space="preserve"> </w:t>
      </w:r>
      <w:r>
        <w:t>considers</w:t>
      </w:r>
      <w:r>
        <w:rPr>
          <w:spacing w:val="-11"/>
        </w:rPr>
        <w:t xml:space="preserve"> </w:t>
      </w:r>
      <w:r>
        <w:t>that</w:t>
      </w:r>
      <w:r>
        <w:rPr>
          <w:spacing w:val="-11"/>
        </w:rPr>
        <w:t xml:space="preserve"> </w:t>
      </w:r>
      <w:r>
        <w:t>the</w:t>
      </w:r>
      <w:r>
        <w:rPr>
          <w:spacing w:val="-11"/>
        </w:rPr>
        <w:t xml:space="preserve"> </w:t>
      </w:r>
      <w:r>
        <w:t>development of</w:t>
      </w:r>
      <w:r>
        <w:rPr>
          <w:spacing w:val="-14"/>
        </w:rPr>
        <w:t xml:space="preserve"> </w:t>
      </w:r>
      <w:r>
        <w:t>the</w:t>
      </w:r>
      <w:r>
        <w:rPr>
          <w:spacing w:val="-14"/>
        </w:rPr>
        <w:t xml:space="preserve"> </w:t>
      </w:r>
      <w:r>
        <w:t>Coal</w:t>
      </w:r>
      <w:r>
        <w:rPr>
          <w:spacing w:val="-14"/>
        </w:rPr>
        <w:t xml:space="preserve"> </w:t>
      </w:r>
      <w:r>
        <w:t>Seam</w:t>
      </w:r>
      <w:r>
        <w:rPr>
          <w:spacing w:val="-14"/>
        </w:rPr>
        <w:t xml:space="preserve"> </w:t>
      </w:r>
      <w:r>
        <w:t>Gas</w:t>
      </w:r>
      <w:r>
        <w:rPr>
          <w:spacing w:val="-14"/>
        </w:rPr>
        <w:t xml:space="preserve"> </w:t>
      </w:r>
      <w:r>
        <w:t>(CSG)</w:t>
      </w:r>
      <w:r>
        <w:rPr>
          <w:spacing w:val="-14"/>
        </w:rPr>
        <w:t xml:space="preserve"> </w:t>
      </w:r>
      <w:r>
        <w:t>industry</w:t>
      </w:r>
      <w:r>
        <w:rPr>
          <w:spacing w:val="-14"/>
        </w:rPr>
        <w:t xml:space="preserve"> </w:t>
      </w:r>
      <w:r>
        <w:t>will</w:t>
      </w:r>
      <w:r>
        <w:rPr>
          <w:spacing w:val="-14"/>
        </w:rPr>
        <w:t xml:space="preserve"> </w:t>
      </w:r>
      <w:r>
        <w:t>be</w:t>
      </w:r>
      <w:r>
        <w:rPr>
          <w:spacing w:val="-14"/>
        </w:rPr>
        <w:t xml:space="preserve"> </w:t>
      </w:r>
      <w:r>
        <w:t>game changing</w:t>
      </w:r>
      <w:r>
        <w:rPr>
          <w:spacing w:val="-12"/>
        </w:rPr>
        <w:t xml:space="preserve"> </w:t>
      </w:r>
      <w:r>
        <w:t>for</w:t>
      </w:r>
      <w:r>
        <w:rPr>
          <w:spacing w:val="-12"/>
        </w:rPr>
        <w:t xml:space="preserve"> </w:t>
      </w:r>
      <w:r>
        <w:t>NSW,</w:t>
      </w:r>
      <w:r>
        <w:rPr>
          <w:spacing w:val="-12"/>
        </w:rPr>
        <w:t xml:space="preserve"> </w:t>
      </w:r>
      <w:r>
        <w:t>providing</w:t>
      </w:r>
      <w:r>
        <w:rPr>
          <w:spacing w:val="-12"/>
        </w:rPr>
        <w:t xml:space="preserve"> </w:t>
      </w:r>
      <w:r>
        <w:t>a</w:t>
      </w:r>
      <w:r>
        <w:rPr>
          <w:spacing w:val="-12"/>
        </w:rPr>
        <w:t xml:space="preserve"> </w:t>
      </w:r>
      <w:r>
        <w:t>number</w:t>
      </w:r>
      <w:r>
        <w:rPr>
          <w:spacing w:val="-12"/>
        </w:rPr>
        <w:t xml:space="preserve"> </w:t>
      </w:r>
      <w:r>
        <w:t>of</w:t>
      </w:r>
      <w:r>
        <w:rPr>
          <w:spacing w:val="-12"/>
        </w:rPr>
        <w:t xml:space="preserve"> </w:t>
      </w:r>
      <w:r>
        <w:t>strategic benefits.</w:t>
      </w:r>
      <w:r>
        <w:rPr>
          <w:spacing w:val="-12"/>
        </w:rPr>
        <w:t xml:space="preserve"> </w:t>
      </w:r>
      <w:r>
        <w:t>It</w:t>
      </w:r>
      <w:r>
        <w:rPr>
          <w:spacing w:val="-12"/>
        </w:rPr>
        <w:t xml:space="preserve"> </w:t>
      </w:r>
      <w:r>
        <w:t>will</w:t>
      </w:r>
      <w:r>
        <w:rPr>
          <w:spacing w:val="-12"/>
        </w:rPr>
        <w:t xml:space="preserve"> </w:t>
      </w:r>
      <w:r>
        <w:t>help</w:t>
      </w:r>
      <w:r>
        <w:rPr>
          <w:spacing w:val="-12"/>
        </w:rPr>
        <w:t xml:space="preserve"> </w:t>
      </w:r>
      <w:r>
        <w:t>to</w:t>
      </w:r>
      <w:r>
        <w:rPr>
          <w:spacing w:val="-12"/>
        </w:rPr>
        <w:t xml:space="preserve"> </w:t>
      </w:r>
      <w:r>
        <w:t>address</w:t>
      </w:r>
      <w:r>
        <w:rPr>
          <w:spacing w:val="-12"/>
        </w:rPr>
        <w:t xml:space="preserve"> </w:t>
      </w:r>
      <w:r>
        <w:t>the</w:t>
      </w:r>
      <w:r>
        <w:rPr>
          <w:spacing w:val="-12"/>
        </w:rPr>
        <w:t xml:space="preserve"> </w:t>
      </w:r>
      <w:r>
        <w:t>security</w:t>
      </w:r>
      <w:r>
        <w:rPr>
          <w:spacing w:val="-12"/>
        </w:rPr>
        <w:t xml:space="preserve"> </w:t>
      </w:r>
      <w:r>
        <w:t>risk</w:t>
      </w:r>
      <w:r>
        <w:rPr>
          <w:spacing w:val="-12"/>
        </w:rPr>
        <w:t xml:space="preserve"> </w:t>
      </w:r>
      <w:r>
        <w:t>of declining</w:t>
      </w:r>
      <w:r>
        <w:rPr>
          <w:spacing w:val="-14"/>
        </w:rPr>
        <w:t xml:space="preserve"> </w:t>
      </w:r>
      <w:r>
        <w:t>reserves</w:t>
      </w:r>
      <w:r>
        <w:rPr>
          <w:spacing w:val="-14"/>
        </w:rPr>
        <w:t xml:space="preserve"> </w:t>
      </w:r>
      <w:r>
        <w:t>of</w:t>
      </w:r>
      <w:r>
        <w:rPr>
          <w:spacing w:val="-14"/>
        </w:rPr>
        <w:t xml:space="preserve"> </w:t>
      </w:r>
      <w:r>
        <w:t>conventional</w:t>
      </w:r>
      <w:r>
        <w:rPr>
          <w:spacing w:val="-14"/>
        </w:rPr>
        <w:t xml:space="preserve"> </w:t>
      </w:r>
      <w:r>
        <w:t>natural</w:t>
      </w:r>
      <w:r>
        <w:rPr>
          <w:spacing w:val="-14"/>
        </w:rPr>
        <w:t xml:space="preserve"> </w:t>
      </w:r>
      <w:r>
        <w:t>gas</w:t>
      </w:r>
      <w:r>
        <w:rPr>
          <w:spacing w:val="-14"/>
        </w:rPr>
        <w:t xml:space="preserve"> </w:t>
      </w:r>
      <w:r>
        <w:t xml:space="preserve">from </w:t>
      </w:r>
      <w:r>
        <w:rPr>
          <w:w w:val="95"/>
        </w:rPr>
        <w:t>interstate</w:t>
      </w:r>
      <w:r>
        <w:rPr>
          <w:spacing w:val="-6"/>
          <w:w w:val="95"/>
        </w:rPr>
        <w:t xml:space="preserve"> </w:t>
      </w:r>
      <w:r>
        <w:rPr>
          <w:w w:val="95"/>
        </w:rPr>
        <w:t>basins;</w:t>
      </w:r>
      <w:r>
        <w:rPr>
          <w:spacing w:val="-6"/>
          <w:w w:val="95"/>
        </w:rPr>
        <w:t xml:space="preserve"> </w:t>
      </w:r>
      <w:r>
        <w:rPr>
          <w:w w:val="95"/>
        </w:rPr>
        <w:t>meet</w:t>
      </w:r>
      <w:r>
        <w:rPr>
          <w:spacing w:val="-6"/>
          <w:w w:val="95"/>
        </w:rPr>
        <w:t xml:space="preserve"> </w:t>
      </w:r>
      <w:r>
        <w:rPr>
          <w:w w:val="95"/>
        </w:rPr>
        <w:t>the</w:t>
      </w:r>
      <w:r>
        <w:rPr>
          <w:spacing w:val="-6"/>
          <w:w w:val="95"/>
        </w:rPr>
        <w:t xml:space="preserve"> </w:t>
      </w:r>
      <w:r>
        <w:rPr>
          <w:w w:val="95"/>
        </w:rPr>
        <w:t>increasing</w:t>
      </w:r>
      <w:r>
        <w:rPr>
          <w:spacing w:val="-6"/>
          <w:w w:val="95"/>
        </w:rPr>
        <w:t xml:space="preserve"> </w:t>
      </w:r>
      <w:r>
        <w:rPr>
          <w:w w:val="95"/>
        </w:rPr>
        <w:t>demand</w:t>
      </w:r>
      <w:r>
        <w:rPr>
          <w:spacing w:val="-6"/>
          <w:w w:val="95"/>
        </w:rPr>
        <w:t xml:space="preserve"> </w:t>
      </w:r>
      <w:r>
        <w:rPr>
          <w:w w:val="95"/>
        </w:rPr>
        <w:t>for</w:t>
      </w:r>
      <w:r>
        <w:rPr>
          <w:spacing w:val="-6"/>
          <w:w w:val="95"/>
        </w:rPr>
        <w:t xml:space="preserve"> </w:t>
      </w:r>
      <w:r>
        <w:rPr>
          <w:w w:val="95"/>
        </w:rPr>
        <w:t>gas</w:t>
      </w:r>
    </w:p>
    <w:p w:rsidR="002C1123" w:rsidRDefault="00F22F94">
      <w:pPr>
        <w:pStyle w:val="BodyText"/>
        <w:spacing w:before="5" w:line="249" w:lineRule="auto"/>
        <w:ind w:left="492" w:right="175"/>
        <w:jc w:val="both"/>
      </w:pPr>
      <w:r>
        <w:rPr>
          <w:w w:val="95"/>
        </w:rPr>
        <w:t>fired</w:t>
      </w:r>
      <w:r>
        <w:rPr>
          <w:spacing w:val="-3"/>
          <w:w w:val="95"/>
        </w:rPr>
        <w:t xml:space="preserve"> </w:t>
      </w:r>
      <w:r>
        <w:rPr>
          <w:w w:val="95"/>
        </w:rPr>
        <w:t>generation;</w:t>
      </w:r>
      <w:r>
        <w:rPr>
          <w:spacing w:val="-3"/>
          <w:w w:val="95"/>
        </w:rPr>
        <w:t xml:space="preserve"> </w:t>
      </w:r>
      <w:r>
        <w:rPr>
          <w:w w:val="95"/>
        </w:rPr>
        <w:t>and</w:t>
      </w:r>
      <w:r>
        <w:rPr>
          <w:spacing w:val="-3"/>
          <w:w w:val="95"/>
        </w:rPr>
        <w:t xml:space="preserve"> </w:t>
      </w:r>
      <w:r>
        <w:rPr>
          <w:w w:val="95"/>
        </w:rPr>
        <w:t>help</w:t>
      </w:r>
      <w:r>
        <w:rPr>
          <w:spacing w:val="-3"/>
          <w:w w:val="95"/>
        </w:rPr>
        <w:t xml:space="preserve"> </w:t>
      </w:r>
      <w:r>
        <w:rPr>
          <w:w w:val="95"/>
        </w:rPr>
        <w:t>to</w:t>
      </w:r>
      <w:r>
        <w:rPr>
          <w:spacing w:val="-3"/>
          <w:w w:val="95"/>
        </w:rPr>
        <w:t xml:space="preserve"> </w:t>
      </w:r>
      <w:r>
        <w:rPr>
          <w:w w:val="95"/>
        </w:rPr>
        <w:t>contain</w:t>
      </w:r>
      <w:r>
        <w:rPr>
          <w:spacing w:val="-3"/>
          <w:w w:val="95"/>
        </w:rPr>
        <w:t xml:space="preserve"> </w:t>
      </w:r>
      <w:r>
        <w:rPr>
          <w:w w:val="95"/>
        </w:rPr>
        <w:t>upward</w:t>
      </w:r>
      <w:r>
        <w:rPr>
          <w:spacing w:val="-3"/>
          <w:w w:val="95"/>
        </w:rPr>
        <w:t xml:space="preserve"> </w:t>
      </w:r>
      <w:r>
        <w:rPr>
          <w:w w:val="95"/>
        </w:rPr>
        <w:t>pressures on</w:t>
      </w:r>
      <w:r>
        <w:rPr>
          <w:spacing w:val="-3"/>
          <w:w w:val="95"/>
        </w:rPr>
        <w:t xml:space="preserve"> </w:t>
      </w:r>
      <w:r>
        <w:rPr>
          <w:w w:val="95"/>
        </w:rPr>
        <w:t>wholesale</w:t>
      </w:r>
      <w:r>
        <w:rPr>
          <w:spacing w:val="-3"/>
          <w:w w:val="95"/>
        </w:rPr>
        <w:t xml:space="preserve"> </w:t>
      </w:r>
      <w:r>
        <w:rPr>
          <w:w w:val="95"/>
        </w:rPr>
        <w:t>gas</w:t>
      </w:r>
      <w:r>
        <w:rPr>
          <w:spacing w:val="-3"/>
          <w:w w:val="95"/>
        </w:rPr>
        <w:t xml:space="preserve"> </w:t>
      </w:r>
      <w:r>
        <w:rPr>
          <w:w w:val="95"/>
        </w:rPr>
        <w:t>prices</w:t>
      </w:r>
      <w:r>
        <w:rPr>
          <w:spacing w:val="-3"/>
          <w:w w:val="95"/>
        </w:rPr>
        <w:t xml:space="preserve"> </w:t>
      </w:r>
      <w:r>
        <w:rPr>
          <w:w w:val="95"/>
        </w:rPr>
        <w:t>because</w:t>
      </w:r>
      <w:r>
        <w:rPr>
          <w:spacing w:val="-3"/>
          <w:w w:val="95"/>
        </w:rPr>
        <w:t xml:space="preserve"> </w:t>
      </w:r>
      <w:r>
        <w:rPr>
          <w:w w:val="95"/>
        </w:rPr>
        <w:t>of</w:t>
      </w:r>
      <w:r>
        <w:rPr>
          <w:spacing w:val="-3"/>
          <w:w w:val="95"/>
        </w:rPr>
        <w:t xml:space="preserve"> </w:t>
      </w:r>
      <w:r>
        <w:rPr>
          <w:w w:val="95"/>
        </w:rPr>
        <w:t>declining</w:t>
      </w:r>
      <w:r>
        <w:rPr>
          <w:spacing w:val="-3"/>
          <w:w w:val="95"/>
        </w:rPr>
        <w:t xml:space="preserve"> </w:t>
      </w:r>
      <w:r>
        <w:rPr>
          <w:w w:val="95"/>
        </w:rPr>
        <w:t xml:space="preserve">reserves </w:t>
      </w:r>
      <w:r>
        <w:t>and</w:t>
      </w:r>
      <w:r>
        <w:rPr>
          <w:spacing w:val="-1"/>
        </w:rPr>
        <w:t xml:space="preserve"> </w:t>
      </w:r>
      <w:r>
        <w:t>increased</w:t>
      </w:r>
      <w:r>
        <w:rPr>
          <w:spacing w:val="-1"/>
        </w:rPr>
        <w:t xml:space="preserve"> </w:t>
      </w:r>
      <w:r>
        <w:t>demand</w:t>
      </w:r>
      <w:r>
        <w:rPr>
          <w:spacing w:val="-1"/>
        </w:rPr>
        <w:t xml:space="preserve"> </w:t>
      </w:r>
      <w:r>
        <w:t>including</w:t>
      </w:r>
      <w:r>
        <w:rPr>
          <w:spacing w:val="-1"/>
        </w:rPr>
        <w:t xml:space="preserve"> </w:t>
      </w:r>
      <w:r>
        <w:t>for</w:t>
      </w:r>
      <w:r>
        <w:rPr>
          <w:spacing w:val="-1"/>
        </w:rPr>
        <w:t xml:space="preserve"> </w:t>
      </w:r>
      <w:r>
        <w:t>exports.</w:t>
      </w:r>
    </w:p>
    <w:p w:rsidR="002C1123" w:rsidRDefault="00F22F94">
      <w:pPr>
        <w:pStyle w:val="BodyText"/>
        <w:spacing w:before="145" w:line="249" w:lineRule="auto"/>
        <w:ind w:left="492" w:right="164"/>
      </w:pPr>
      <w:r>
        <w:t>The</w:t>
      </w:r>
      <w:r>
        <w:rPr>
          <w:spacing w:val="-14"/>
        </w:rPr>
        <w:t xml:space="preserve"> </w:t>
      </w:r>
      <w:r>
        <w:t>CSG</w:t>
      </w:r>
      <w:r>
        <w:rPr>
          <w:spacing w:val="-14"/>
        </w:rPr>
        <w:t xml:space="preserve"> </w:t>
      </w:r>
      <w:r>
        <w:t>reserves</w:t>
      </w:r>
      <w:r>
        <w:rPr>
          <w:spacing w:val="-14"/>
        </w:rPr>
        <w:t xml:space="preserve"> </w:t>
      </w:r>
      <w:r>
        <w:t>have</w:t>
      </w:r>
      <w:r>
        <w:rPr>
          <w:spacing w:val="-14"/>
        </w:rPr>
        <w:t xml:space="preserve"> </w:t>
      </w:r>
      <w:r>
        <w:t>the</w:t>
      </w:r>
      <w:r>
        <w:rPr>
          <w:spacing w:val="-14"/>
        </w:rPr>
        <w:t xml:space="preserve"> </w:t>
      </w:r>
      <w:r>
        <w:t>potential</w:t>
      </w:r>
      <w:r>
        <w:rPr>
          <w:spacing w:val="-14"/>
        </w:rPr>
        <w:t xml:space="preserve"> </w:t>
      </w:r>
      <w:r>
        <w:t>to</w:t>
      </w:r>
      <w:r>
        <w:rPr>
          <w:spacing w:val="-14"/>
        </w:rPr>
        <w:t xml:space="preserve"> </w:t>
      </w:r>
      <w:r>
        <w:t>supply residential,</w:t>
      </w:r>
      <w:r>
        <w:rPr>
          <w:spacing w:val="-14"/>
        </w:rPr>
        <w:t xml:space="preserve"> </w:t>
      </w:r>
      <w:r>
        <w:t>commercial</w:t>
      </w:r>
      <w:r>
        <w:rPr>
          <w:spacing w:val="-14"/>
        </w:rPr>
        <w:t xml:space="preserve"> </w:t>
      </w:r>
      <w:r>
        <w:t>and</w:t>
      </w:r>
      <w:r>
        <w:rPr>
          <w:spacing w:val="-14"/>
        </w:rPr>
        <w:t xml:space="preserve"> </w:t>
      </w:r>
      <w:r>
        <w:t>industrial</w:t>
      </w:r>
      <w:r>
        <w:rPr>
          <w:spacing w:val="-14"/>
        </w:rPr>
        <w:t xml:space="preserve"> </w:t>
      </w:r>
      <w:r>
        <w:t>energy</w:t>
      </w:r>
      <w:r>
        <w:rPr>
          <w:spacing w:val="-14"/>
        </w:rPr>
        <w:t xml:space="preserve"> </w:t>
      </w:r>
      <w:r>
        <w:t>users and</w:t>
      </w:r>
      <w:r>
        <w:rPr>
          <w:spacing w:val="-14"/>
        </w:rPr>
        <w:t xml:space="preserve"> </w:t>
      </w:r>
      <w:r>
        <w:t>to</w:t>
      </w:r>
      <w:r>
        <w:rPr>
          <w:spacing w:val="-14"/>
        </w:rPr>
        <w:t xml:space="preserve"> </w:t>
      </w:r>
      <w:r>
        <w:t>substitute</w:t>
      </w:r>
      <w:r>
        <w:rPr>
          <w:spacing w:val="-13"/>
        </w:rPr>
        <w:t xml:space="preserve"> </w:t>
      </w:r>
      <w:r>
        <w:t>for</w:t>
      </w:r>
      <w:r>
        <w:rPr>
          <w:spacing w:val="-14"/>
        </w:rPr>
        <w:t xml:space="preserve"> </w:t>
      </w:r>
      <w:r>
        <w:t>the</w:t>
      </w:r>
      <w:r>
        <w:rPr>
          <w:spacing w:val="-14"/>
        </w:rPr>
        <w:t xml:space="preserve"> </w:t>
      </w:r>
      <w:r>
        <w:t>declining</w:t>
      </w:r>
      <w:r>
        <w:rPr>
          <w:spacing w:val="-13"/>
        </w:rPr>
        <w:t xml:space="preserve"> </w:t>
      </w:r>
      <w:r>
        <w:t>reserves</w:t>
      </w:r>
      <w:r>
        <w:rPr>
          <w:spacing w:val="-14"/>
        </w:rPr>
        <w:t xml:space="preserve"> </w:t>
      </w:r>
      <w:r>
        <w:t>of</w:t>
      </w:r>
      <w:r>
        <w:rPr>
          <w:spacing w:val="-14"/>
        </w:rPr>
        <w:t xml:space="preserve"> </w:t>
      </w:r>
      <w:r>
        <w:t xml:space="preserve">natural </w:t>
      </w:r>
      <w:r>
        <w:rPr>
          <w:w w:val="95"/>
        </w:rPr>
        <w:t>gas</w:t>
      </w:r>
      <w:r>
        <w:rPr>
          <w:spacing w:val="-8"/>
          <w:w w:val="95"/>
        </w:rPr>
        <w:t xml:space="preserve"> </w:t>
      </w:r>
      <w:r>
        <w:rPr>
          <w:w w:val="95"/>
        </w:rPr>
        <w:t>from</w:t>
      </w:r>
      <w:r>
        <w:rPr>
          <w:spacing w:val="-9"/>
          <w:w w:val="95"/>
        </w:rPr>
        <w:t xml:space="preserve"> </w:t>
      </w:r>
      <w:r>
        <w:rPr>
          <w:w w:val="95"/>
        </w:rPr>
        <w:t>traditional</w:t>
      </w:r>
      <w:r>
        <w:rPr>
          <w:spacing w:val="-8"/>
          <w:w w:val="95"/>
        </w:rPr>
        <w:t xml:space="preserve"> </w:t>
      </w:r>
      <w:r>
        <w:rPr>
          <w:w w:val="95"/>
        </w:rPr>
        <w:t>interstate</w:t>
      </w:r>
      <w:r>
        <w:rPr>
          <w:spacing w:val="-8"/>
          <w:w w:val="95"/>
        </w:rPr>
        <w:t xml:space="preserve"> </w:t>
      </w:r>
      <w:r>
        <w:rPr>
          <w:w w:val="95"/>
        </w:rPr>
        <w:t>sources.</w:t>
      </w:r>
      <w:r>
        <w:rPr>
          <w:spacing w:val="-8"/>
          <w:w w:val="95"/>
        </w:rPr>
        <w:t xml:space="preserve"> </w:t>
      </w:r>
      <w:r>
        <w:rPr>
          <w:w w:val="95"/>
        </w:rPr>
        <w:t>The</w:t>
      </w:r>
      <w:r>
        <w:rPr>
          <w:spacing w:val="-8"/>
          <w:w w:val="95"/>
        </w:rPr>
        <w:t xml:space="preserve"> </w:t>
      </w:r>
      <w:r>
        <w:rPr>
          <w:w w:val="95"/>
        </w:rPr>
        <w:t>vastness</w:t>
      </w:r>
      <w:r>
        <w:rPr>
          <w:spacing w:val="-8"/>
          <w:w w:val="95"/>
        </w:rPr>
        <w:t xml:space="preserve"> </w:t>
      </w:r>
      <w:r>
        <w:rPr>
          <w:w w:val="95"/>
        </w:rPr>
        <w:t xml:space="preserve">of </w:t>
      </w:r>
      <w:r>
        <w:t>the</w:t>
      </w:r>
      <w:r>
        <w:rPr>
          <w:spacing w:val="-13"/>
        </w:rPr>
        <w:t xml:space="preserve"> </w:t>
      </w:r>
      <w:r>
        <w:t>reserves</w:t>
      </w:r>
      <w:r>
        <w:rPr>
          <w:spacing w:val="-13"/>
        </w:rPr>
        <w:t xml:space="preserve"> </w:t>
      </w:r>
      <w:r>
        <w:t>has</w:t>
      </w:r>
      <w:r>
        <w:rPr>
          <w:spacing w:val="-13"/>
        </w:rPr>
        <w:t xml:space="preserve"> </w:t>
      </w:r>
      <w:r>
        <w:t>the</w:t>
      </w:r>
      <w:r>
        <w:rPr>
          <w:spacing w:val="-13"/>
        </w:rPr>
        <w:t xml:space="preserve"> </w:t>
      </w:r>
      <w:r>
        <w:t>potential</w:t>
      </w:r>
      <w:r>
        <w:rPr>
          <w:spacing w:val="-13"/>
        </w:rPr>
        <w:t xml:space="preserve"> </w:t>
      </w:r>
      <w:r>
        <w:t>to</w:t>
      </w:r>
      <w:r>
        <w:rPr>
          <w:spacing w:val="-13"/>
        </w:rPr>
        <w:t xml:space="preserve"> </w:t>
      </w:r>
      <w:r>
        <w:t>provide</w:t>
      </w:r>
      <w:r>
        <w:rPr>
          <w:spacing w:val="-13"/>
        </w:rPr>
        <w:t xml:space="preserve"> </w:t>
      </w:r>
      <w:r>
        <w:t>gas</w:t>
      </w:r>
      <w:r>
        <w:rPr>
          <w:spacing w:val="-13"/>
        </w:rPr>
        <w:t xml:space="preserve"> </w:t>
      </w:r>
      <w:r>
        <w:t>to</w:t>
      </w:r>
      <w:r>
        <w:rPr>
          <w:spacing w:val="-13"/>
        </w:rPr>
        <w:t xml:space="preserve"> </w:t>
      </w:r>
      <w:r>
        <w:t>other Australian</w:t>
      </w:r>
      <w:r>
        <w:rPr>
          <w:spacing w:val="-14"/>
        </w:rPr>
        <w:t xml:space="preserve"> </w:t>
      </w:r>
      <w:r>
        <w:t>states</w:t>
      </w:r>
      <w:r>
        <w:rPr>
          <w:spacing w:val="-14"/>
        </w:rPr>
        <w:t xml:space="preserve"> </w:t>
      </w:r>
      <w:r>
        <w:t>and</w:t>
      </w:r>
      <w:r>
        <w:rPr>
          <w:spacing w:val="-14"/>
        </w:rPr>
        <w:t xml:space="preserve"> </w:t>
      </w:r>
      <w:r>
        <w:t>for</w:t>
      </w:r>
      <w:r>
        <w:rPr>
          <w:spacing w:val="-14"/>
        </w:rPr>
        <w:t xml:space="preserve"> </w:t>
      </w:r>
      <w:r>
        <w:t>export</w:t>
      </w:r>
      <w:r>
        <w:rPr>
          <w:spacing w:val="-14"/>
        </w:rPr>
        <w:t xml:space="preserve"> </w:t>
      </w:r>
      <w:r>
        <w:t>to</w:t>
      </w:r>
      <w:r>
        <w:rPr>
          <w:spacing w:val="-14"/>
        </w:rPr>
        <w:t xml:space="preserve"> </w:t>
      </w:r>
      <w:r>
        <w:t>overseas</w:t>
      </w:r>
      <w:r>
        <w:rPr>
          <w:spacing w:val="-14"/>
        </w:rPr>
        <w:t xml:space="preserve"> </w:t>
      </w:r>
      <w:r>
        <w:t>markets.</w:t>
      </w:r>
    </w:p>
    <w:p w:rsidR="002C1123" w:rsidRDefault="00F22F94">
      <w:pPr>
        <w:pStyle w:val="BodyText"/>
        <w:spacing w:before="5" w:line="249" w:lineRule="auto"/>
        <w:ind w:left="492" w:right="-9"/>
      </w:pPr>
      <w:r>
        <w:t>Gas</w:t>
      </w:r>
      <w:r>
        <w:rPr>
          <w:spacing w:val="-9"/>
        </w:rPr>
        <w:t xml:space="preserve"> </w:t>
      </w:r>
      <w:r>
        <w:t>production</w:t>
      </w:r>
      <w:r>
        <w:rPr>
          <w:spacing w:val="-9"/>
        </w:rPr>
        <w:t xml:space="preserve"> </w:t>
      </w:r>
      <w:r>
        <w:t>in</w:t>
      </w:r>
      <w:r>
        <w:rPr>
          <w:spacing w:val="-9"/>
        </w:rPr>
        <w:t xml:space="preserve"> </w:t>
      </w:r>
      <w:r>
        <w:t>the</w:t>
      </w:r>
      <w:r>
        <w:rPr>
          <w:spacing w:val="-9"/>
        </w:rPr>
        <w:t xml:space="preserve"> </w:t>
      </w:r>
      <w:r>
        <w:t>eastern</w:t>
      </w:r>
      <w:r>
        <w:rPr>
          <w:spacing w:val="-9"/>
        </w:rPr>
        <w:t xml:space="preserve"> </w:t>
      </w:r>
      <w:r>
        <w:t>market</w:t>
      </w:r>
      <w:r>
        <w:rPr>
          <w:spacing w:val="-9"/>
        </w:rPr>
        <w:t xml:space="preserve"> </w:t>
      </w:r>
      <w:r>
        <w:t>is</w:t>
      </w:r>
      <w:r>
        <w:rPr>
          <w:spacing w:val="-9"/>
        </w:rPr>
        <w:t xml:space="preserve"> </w:t>
      </w:r>
      <w:r>
        <w:t>projected</w:t>
      </w:r>
      <w:r>
        <w:rPr>
          <w:spacing w:val="-9"/>
        </w:rPr>
        <w:t xml:space="preserve"> </w:t>
      </w:r>
      <w:r>
        <w:t xml:space="preserve">to </w:t>
      </w:r>
      <w:r>
        <w:rPr>
          <w:w w:val="95"/>
        </w:rPr>
        <w:t>grow</w:t>
      </w:r>
      <w:r>
        <w:rPr>
          <w:spacing w:val="-12"/>
          <w:w w:val="95"/>
        </w:rPr>
        <w:t xml:space="preserve"> </w:t>
      </w:r>
      <w:r>
        <w:rPr>
          <w:w w:val="95"/>
        </w:rPr>
        <w:t>at</w:t>
      </w:r>
      <w:r>
        <w:rPr>
          <w:spacing w:val="-11"/>
          <w:w w:val="95"/>
        </w:rPr>
        <w:t xml:space="preserve"> </w:t>
      </w:r>
      <w:r>
        <w:rPr>
          <w:w w:val="95"/>
        </w:rPr>
        <w:t>rate</w:t>
      </w:r>
      <w:r>
        <w:rPr>
          <w:spacing w:val="-11"/>
          <w:w w:val="95"/>
        </w:rPr>
        <w:t xml:space="preserve"> </w:t>
      </w:r>
      <w:r>
        <w:rPr>
          <w:w w:val="95"/>
        </w:rPr>
        <w:t>of</w:t>
      </w:r>
      <w:r>
        <w:rPr>
          <w:spacing w:val="-11"/>
          <w:w w:val="95"/>
        </w:rPr>
        <w:t xml:space="preserve"> </w:t>
      </w:r>
      <w:r>
        <w:rPr>
          <w:w w:val="95"/>
        </w:rPr>
        <w:t>five</w:t>
      </w:r>
      <w:r>
        <w:rPr>
          <w:spacing w:val="-11"/>
          <w:w w:val="95"/>
        </w:rPr>
        <w:t xml:space="preserve"> </w:t>
      </w:r>
      <w:r>
        <w:rPr>
          <w:w w:val="95"/>
        </w:rPr>
        <w:t>percent</w:t>
      </w:r>
      <w:r>
        <w:rPr>
          <w:spacing w:val="-11"/>
          <w:w w:val="95"/>
        </w:rPr>
        <w:t xml:space="preserve"> </w:t>
      </w:r>
      <w:r>
        <w:rPr>
          <w:w w:val="95"/>
        </w:rPr>
        <w:t>a</w:t>
      </w:r>
      <w:r>
        <w:rPr>
          <w:spacing w:val="-11"/>
          <w:w w:val="95"/>
        </w:rPr>
        <w:t xml:space="preserve"> </w:t>
      </w:r>
      <w:r>
        <w:rPr>
          <w:w w:val="95"/>
        </w:rPr>
        <w:t>year</w:t>
      </w:r>
      <w:r>
        <w:rPr>
          <w:spacing w:val="-11"/>
          <w:w w:val="95"/>
        </w:rPr>
        <w:t xml:space="preserve"> </w:t>
      </w:r>
      <w:r>
        <w:rPr>
          <w:w w:val="95"/>
        </w:rPr>
        <w:t>to</w:t>
      </w:r>
      <w:r>
        <w:rPr>
          <w:spacing w:val="-12"/>
          <w:w w:val="95"/>
        </w:rPr>
        <w:t xml:space="preserve"> </w:t>
      </w:r>
      <w:r>
        <w:rPr>
          <w:w w:val="95"/>
        </w:rPr>
        <w:t>2,492</w:t>
      </w:r>
      <w:r>
        <w:rPr>
          <w:spacing w:val="-11"/>
          <w:w w:val="95"/>
        </w:rPr>
        <w:t xml:space="preserve"> </w:t>
      </w:r>
      <w:r>
        <w:rPr>
          <w:w w:val="95"/>
        </w:rPr>
        <w:t>petajoules</w:t>
      </w:r>
      <w:r>
        <w:rPr>
          <w:spacing w:val="-11"/>
          <w:w w:val="95"/>
        </w:rPr>
        <w:t xml:space="preserve"> </w:t>
      </w:r>
      <w:r>
        <w:rPr>
          <w:w w:val="95"/>
        </w:rPr>
        <w:t xml:space="preserve">(PJ) </w:t>
      </w:r>
      <w:r>
        <w:t>in</w:t>
      </w:r>
      <w:r>
        <w:rPr>
          <w:spacing w:val="-14"/>
        </w:rPr>
        <w:t xml:space="preserve"> </w:t>
      </w:r>
      <w:r>
        <w:t>2034-35</w:t>
      </w:r>
      <w:r>
        <w:rPr>
          <w:position w:val="7"/>
          <w:sz w:val="11"/>
        </w:rPr>
        <w:t>8</w:t>
      </w:r>
      <w:r>
        <w:t>.</w:t>
      </w:r>
      <w:r>
        <w:rPr>
          <w:spacing w:val="-14"/>
        </w:rPr>
        <w:t xml:space="preserve"> </w:t>
      </w:r>
      <w:r>
        <w:t>This</w:t>
      </w:r>
      <w:r>
        <w:rPr>
          <w:spacing w:val="-14"/>
        </w:rPr>
        <w:t xml:space="preserve"> </w:t>
      </w:r>
      <w:r>
        <w:t>is</w:t>
      </w:r>
      <w:r>
        <w:rPr>
          <w:spacing w:val="-14"/>
        </w:rPr>
        <w:t xml:space="preserve"> </w:t>
      </w:r>
      <w:r>
        <w:t>greater</w:t>
      </w:r>
      <w:r>
        <w:rPr>
          <w:spacing w:val="-14"/>
        </w:rPr>
        <w:t xml:space="preserve"> </w:t>
      </w:r>
      <w:r>
        <w:t>than</w:t>
      </w:r>
      <w:r>
        <w:rPr>
          <w:spacing w:val="-14"/>
        </w:rPr>
        <w:t xml:space="preserve"> </w:t>
      </w:r>
      <w:r>
        <w:t>the</w:t>
      </w:r>
      <w:r>
        <w:rPr>
          <w:spacing w:val="-14"/>
        </w:rPr>
        <w:t xml:space="preserve"> </w:t>
      </w:r>
      <w:r>
        <w:t>total</w:t>
      </w:r>
      <w:r>
        <w:rPr>
          <w:spacing w:val="-14"/>
        </w:rPr>
        <w:t xml:space="preserve"> </w:t>
      </w:r>
      <w:r>
        <w:t>amount</w:t>
      </w:r>
      <w:r>
        <w:rPr>
          <w:spacing w:val="-14"/>
        </w:rPr>
        <w:t xml:space="preserve"> </w:t>
      </w:r>
      <w:r>
        <w:t>of</w:t>
      </w:r>
      <w:r>
        <w:rPr>
          <w:spacing w:val="-13"/>
        </w:rPr>
        <w:t xml:space="preserve"> </w:t>
      </w:r>
      <w:r>
        <w:t xml:space="preserve">gas </w:t>
      </w:r>
      <w:r>
        <w:rPr>
          <w:spacing w:val="-2"/>
        </w:rPr>
        <w:t>currently</w:t>
      </w:r>
      <w:r>
        <w:rPr>
          <w:spacing w:val="-11"/>
        </w:rPr>
        <w:t xml:space="preserve"> </w:t>
      </w:r>
      <w:r>
        <w:rPr>
          <w:spacing w:val="-2"/>
        </w:rPr>
        <w:t>produced</w:t>
      </w:r>
      <w:r>
        <w:rPr>
          <w:spacing w:val="-11"/>
        </w:rPr>
        <w:t xml:space="preserve"> </w:t>
      </w:r>
      <w:r>
        <w:rPr>
          <w:spacing w:val="-2"/>
        </w:rPr>
        <w:t>in</w:t>
      </w:r>
      <w:r>
        <w:rPr>
          <w:spacing w:val="-11"/>
        </w:rPr>
        <w:t xml:space="preserve"> </w:t>
      </w:r>
      <w:r>
        <w:rPr>
          <w:spacing w:val="-2"/>
        </w:rPr>
        <w:t>Australia.</w:t>
      </w:r>
      <w:r>
        <w:rPr>
          <w:spacing w:val="-11"/>
        </w:rPr>
        <w:t xml:space="preserve"> </w:t>
      </w:r>
      <w:r>
        <w:rPr>
          <w:spacing w:val="-2"/>
        </w:rPr>
        <w:t>In</w:t>
      </w:r>
      <w:r>
        <w:rPr>
          <w:spacing w:val="-11"/>
        </w:rPr>
        <w:t xml:space="preserve"> </w:t>
      </w:r>
      <w:r>
        <w:rPr>
          <w:spacing w:val="-2"/>
        </w:rPr>
        <w:t>2010-11,</w:t>
      </w:r>
      <w:r>
        <w:rPr>
          <w:spacing w:val="-11"/>
        </w:rPr>
        <w:t xml:space="preserve"> </w:t>
      </w:r>
      <w:r>
        <w:rPr>
          <w:spacing w:val="-2"/>
        </w:rPr>
        <w:t>Australia</w:t>
      </w:r>
      <w:r>
        <w:rPr>
          <w:spacing w:val="-11"/>
        </w:rPr>
        <w:t xml:space="preserve"> </w:t>
      </w:r>
      <w:r>
        <w:rPr>
          <w:spacing w:val="-2"/>
        </w:rPr>
        <w:t xml:space="preserve">in </w:t>
      </w:r>
      <w:r>
        <w:t>total produced 2,091 PJ of gas</w:t>
      </w:r>
      <w:r>
        <w:rPr>
          <w:position w:val="7"/>
          <w:sz w:val="11"/>
        </w:rPr>
        <w:t>9</w:t>
      </w:r>
      <w:r>
        <w:t>.</w:t>
      </w:r>
    </w:p>
    <w:p w:rsidR="002C1123" w:rsidRDefault="00F22F94">
      <w:pPr>
        <w:pStyle w:val="BodyText"/>
        <w:spacing w:before="145" w:line="249" w:lineRule="auto"/>
        <w:ind w:left="492" w:right="-9"/>
      </w:pPr>
      <w:r>
        <w:rPr>
          <w:w w:val="95"/>
        </w:rPr>
        <w:t xml:space="preserve">The emergence of a NSW CSG industry is a significant opportunity that will provide employment and economic </w:t>
      </w:r>
      <w:r>
        <w:t>growth</w:t>
      </w:r>
      <w:r>
        <w:rPr>
          <w:spacing w:val="-13"/>
        </w:rPr>
        <w:t xml:space="preserve"> </w:t>
      </w:r>
      <w:r>
        <w:t>to</w:t>
      </w:r>
      <w:r>
        <w:rPr>
          <w:spacing w:val="-13"/>
        </w:rPr>
        <w:t xml:space="preserve"> </w:t>
      </w:r>
      <w:r>
        <w:t>regional</w:t>
      </w:r>
      <w:r>
        <w:rPr>
          <w:spacing w:val="-13"/>
        </w:rPr>
        <w:t xml:space="preserve"> </w:t>
      </w:r>
      <w:r>
        <w:t>areas</w:t>
      </w:r>
      <w:r>
        <w:rPr>
          <w:spacing w:val="-13"/>
        </w:rPr>
        <w:t xml:space="preserve"> </w:t>
      </w:r>
      <w:r>
        <w:t>in</w:t>
      </w:r>
      <w:r>
        <w:rPr>
          <w:spacing w:val="-13"/>
        </w:rPr>
        <w:t xml:space="preserve"> </w:t>
      </w:r>
      <w:r>
        <w:t>NSW</w:t>
      </w:r>
      <w:r>
        <w:rPr>
          <w:spacing w:val="-13"/>
        </w:rPr>
        <w:t xml:space="preserve"> </w:t>
      </w:r>
      <w:r>
        <w:t>as</w:t>
      </w:r>
      <w:r>
        <w:rPr>
          <w:spacing w:val="-13"/>
        </w:rPr>
        <w:t xml:space="preserve"> </w:t>
      </w:r>
      <w:r>
        <w:t>it</w:t>
      </w:r>
      <w:r>
        <w:rPr>
          <w:spacing w:val="-13"/>
        </w:rPr>
        <w:t xml:space="preserve"> </w:t>
      </w:r>
      <w:r>
        <w:t>has</w:t>
      </w:r>
      <w:r>
        <w:rPr>
          <w:spacing w:val="-13"/>
        </w:rPr>
        <w:t xml:space="preserve"> </w:t>
      </w:r>
      <w:r>
        <w:t>done</w:t>
      </w:r>
      <w:r>
        <w:rPr>
          <w:spacing w:val="-13"/>
        </w:rPr>
        <w:t xml:space="preserve"> </w:t>
      </w:r>
      <w:r>
        <w:t xml:space="preserve">in </w:t>
      </w:r>
      <w:r>
        <w:rPr>
          <w:spacing w:val="-2"/>
        </w:rPr>
        <w:t>Queensland.</w:t>
      </w:r>
    </w:p>
    <w:p w:rsidR="002C1123" w:rsidRDefault="00F22F94">
      <w:pPr>
        <w:pStyle w:val="BodyText"/>
        <w:spacing w:before="146" w:line="249" w:lineRule="auto"/>
        <w:ind w:left="492" w:right="291"/>
        <w:jc w:val="both"/>
      </w:pPr>
      <w:r>
        <w:rPr>
          <w:w w:val="95"/>
        </w:rPr>
        <w:t>Timely</w:t>
      </w:r>
      <w:r>
        <w:rPr>
          <w:spacing w:val="-12"/>
          <w:w w:val="95"/>
        </w:rPr>
        <w:t xml:space="preserve"> </w:t>
      </w:r>
      <w:r>
        <w:rPr>
          <w:w w:val="95"/>
        </w:rPr>
        <w:t>investment</w:t>
      </w:r>
      <w:r>
        <w:rPr>
          <w:spacing w:val="-11"/>
          <w:w w:val="95"/>
        </w:rPr>
        <w:t xml:space="preserve"> </w:t>
      </w:r>
      <w:r>
        <w:rPr>
          <w:w w:val="95"/>
        </w:rPr>
        <w:t>in</w:t>
      </w:r>
      <w:r>
        <w:rPr>
          <w:spacing w:val="-11"/>
          <w:w w:val="95"/>
        </w:rPr>
        <w:t xml:space="preserve"> </w:t>
      </w:r>
      <w:r>
        <w:rPr>
          <w:w w:val="95"/>
        </w:rPr>
        <w:t>NSW</w:t>
      </w:r>
      <w:r>
        <w:rPr>
          <w:spacing w:val="-11"/>
          <w:w w:val="95"/>
        </w:rPr>
        <w:t xml:space="preserve"> </w:t>
      </w:r>
      <w:r>
        <w:rPr>
          <w:w w:val="95"/>
        </w:rPr>
        <w:t>CSG</w:t>
      </w:r>
      <w:r>
        <w:rPr>
          <w:spacing w:val="-11"/>
          <w:w w:val="95"/>
        </w:rPr>
        <w:t xml:space="preserve"> </w:t>
      </w:r>
      <w:r>
        <w:rPr>
          <w:w w:val="95"/>
        </w:rPr>
        <w:t>infrastructure</w:t>
      </w:r>
      <w:r>
        <w:rPr>
          <w:spacing w:val="-11"/>
          <w:w w:val="95"/>
        </w:rPr>
        <w:t xml:space="preserve"> </w:t>
      </w:r>
      <w:r>
        <w:rPr>
          <w:w w:val="95"/>
        </w:rPr>
        <w:t>offers</w:t>
      </w:r>
      <w:r>
        <w:rPr>
          <w:spacing w:val="-11"/>
          <w:w w:val="95"/>
        </w:rPr>
        <w:t xml:space="preserve"> </w:t>
      </w:r>
      <w:r>
        <w:rPr>
          <w:w w:val="95"/>
        </w:rPr>
        <w:t xml:space="preserve">a </w:t>
      </w:r>
      <w:r>
        <w:t>number</w:t>
      </w:r>
      <w:r>
        <w:rPr>
          <w:spacing w:val="-1"/>
        </w:rPr>
        <w:t xml:space="preserve"> </w:t>
      </w:r>
      <w:r>
        <w:t>of</w:t>
      </w:r>
      <w:r>
        <w:rPr>
          <w:spacing w:val="-1"/>
        </w:rPr>
        <w:t xml:space="preserve"> </w:t>
      </w:r>
      <w:r>
        <w:t>other</w:t>
      </w:r>
      <w:r>
        <w:rPr>
          <w:spacing w:val="-1"/>
        </w:rPr>
        <w:t xml:space="preserve"> </w:t>
      </w:r>
      <w:r>
        <w:t>strategic</w:t>
      </w:r>
      <w:r>
        <w:rPr>
          <w:spacing w:val="-1"/>
        </w:rPr>
        <w:t xml:space="preserve"> </w:t>
      </w:r>
      <w:r>
        <w:t>advantages:</w:t>
      </w:r>
    </w:p>
    <w:p w:rsidR="002C1123" w:rsidRDefault="00F22F94">
      <w:pPr>
        <w:pStyle w:val="ListParagraph"/>
        <w:numPr>
          <w:ilvl w:val="0"/>
          <w:numId w:val="57"/>
        </w:numPr>
        <w:tabs>
          <w:tab w:val="left" w:pos="479"/>
        </w:tabs>
        <w:spacing w:before="95" w:line="249" w:lineRule="auto"/>
        <w:ind w:right="43"/>
        <w:jc w:val="both"/>
        <w:rPr>
          <w:sz w:val="20"/>
        </w:rPr>
      </w:pPr>
      <w:r>
        <w:br w:type="column"/>
      </w:r>
      <w:r>
        <w:rPr>
          <w:w w:val="95"/>
          <w:sz w:val="20"/>
        </w:rPr>
        <w:t>Lower</w:t>
      </w:r>
      <w:r>
        <w:rPr>
          <w:spacing w:val="-5"/>
          <w:w w:val="95"/>
          <w:sz w:val="20"/>
        </w:rPr>
        <w:t xml:space="preserve"> </w:t>
      </w:r>
      <w:r>
        <w:rPr>
          <w:w w:val="95"/>
          <w:sz w:val="20"/>
        </w:rPr>
        <w:t>cost</w:t>
      </w:r>
      <w:r>
        <w:rPr>
          <w:spacing w:val="-5"/>
          <w:w w:val="95"/>
          <w:sz w:val="20"/>
        </w:rPr>
        <w:t xml:space="preserve"> </w:t>
      </w:r>
      <w:r>
        <w:rPr>
          <w:w w:val="95"/>
          <w:sz w:val="20"/>
        </w:rPr>
        <w:t>supply</w:t>
      </w:r>
      <w:r>
        <w:rPr>
          <w:spacing w:val="-5"/>
          <w:w w:val="95"/>
          <w:sz w:val="20"/>
        </w:rPr>
        <w:t xml:space="preserve"> </w:t>
      </w:r>
      <w:r>
        <w:rPr>
          <w:w w:val="95"/>
          <w:sz w:val="20"/>
        </w:rPr>
        <w:t>for</w:t>
      </w:r>
      <w:r>
        <w:rPr>
          <w:spacing w:val="-5"/>
          <w:w w:val="95"/>
          <w:sz w:val="20"/>
        </w:rPr>
        <w:t xml:space="preserve"> </w:t>
      </w:r>
      <w:r>
        <w:rPr>
          <w:w w:val="95"/>
          <w:sz w:val="20"/>
        </w:rPr>
        <w:t>gas-fired</w:t>
      </w:r>
      <w:r>
        <w:rPr>
          <w:spacing w:val="-5"/>
          <w:w w:val="95"/>
          <w:sz w:val="20"/>
        </w:rPr>
        <w:t xml:space="preserve"> </w:t>
      </w:r>
      <w:r>
        <w:rPr>
          <w:w w:val="95"/>
          <w:sz w:val="20"/>
        </w:rPr>
        <w:t>generation.</w:t>
      </w:r>
      <w:r>
        <w:rPr>
          <w:spacing w:val="-5"/>
          <w:w w:val="95"/>
          <w:sz w:val="20"/>
        </w:rPr>
        <w:t xml:space="preserve"> </w:t>
      </w:r>
      <w:r>
        <w:rPr>
          <w:w w:val="95"/>
          <w:sz w:val="20"/>
        </w:rPr>
        <w:t>There</w:t>
      </w:r>
      <w:r>
        <w:rPr>
          <w:spacing w:val="-5"/>
          <w:w w:val="95"/>
          <w:sz w:val="20"/>
        </w:rPr>
        <w:t xml:space="preserve"> </w:t>
      </w:r>
      <w:r>
        <w:rPr>
          <w:w w:val="95"/>
          <w:sz w:val="20"/>
        </w:rPr>
        <w:t>are eight</w:t>
      </w:r>
      <w:r>
        <w:rPr>
          <w:spacing w:val="-1"/>
          <w:w w:val="95"/>
          <w:sz w:val="20"/>
        </w:rPr>
        <w:t xml:space="preserve"> </w:t>
      </w:r>
      <w:r>
        <w:rPr>
          <w:w w:val="95"/>
          <w:sz w:val="20"/>
        </w:rPr>
        <w:t>‘committed’</w:t>
      </w:r>
      <w:r>
        <w:rPr>
          <w:spacing w:val="-1"/>
          <w:w w:val="95"/>
          <w:sz w:val="20"/>
        </w:rPr>
        <w:t xml:space="preserve"> </w:t>
      </w:r>
      <w:r>
        <w:rPr>
          <w:w w:val="95"/>
          <w:sz w:val="20"/>
        </w:rPr>
        <w:t>gas</w:t>
      </w:r>
      <w:r>
        <w:rPr>
          <w:spacing w:val="-1"/>
          <w:w w:val="95"/>
          <w:sz w:val="20"/>
        </w:rPr>
        <w:t xml:space="preserve"> </w:t>
      </w:r>
      <w:r>
        <w:rPr>
          <w:w w:val="95"/>
          <w:sz w:val="20"/>
        </w:rPr>
        <w:t>generators</w:t>
      </w:r>
      <w:r>
        <w:rPr>
          <w:spacing w:val="-1"/>
          <w:w w:val="95"/>
          <w:sz w:val="20"/>
        </w:rPr>
        <w:t xml:space="preserve"> </w:t>
      </w:r>
      <w:r>
        <w:rPr>
          <w:w w:val="95"/>
          <w:sz w:val="20"/>
        </w:rPr>
        <w:t>in</w:t>
      </w:r>
      <w:r>
        <w:rPr>
          <w:spacing w:val="-1"/>
          <w:w w:val="95"/>
          <w:sz w:val="20"/>
        </w:rPr>
        <w:t xml:space="preserve"> </w:t>
      </w:r>
      <w:r>
        <w:rPr>
          <w:w w:val="95"/>
          <w:sz w:val="20"/>
        </w:rPr>
        <w:t>various</w:t>
      </w:r>
      <w:r>
        <w:rPr>
          <w:spacing w:val="-1"/>
          <w:w w:val="95"/>
          <w:sz w:val="20"/>
        </w:rPr>
        <w:t xml:space="preserve"> </w:t>
      </w:r>
      <w:r>
        <w:rPr>
          <w:w w:val="95"/>
          <w:sz w:val="20"/>
        </w:rPr>
        <w:t>stages</w:t>
      </w:r>
      <w:r>
        <w:rPr>
          <w:spacing w:val="-1"/>
          <w:w w:val="95"/>
          <w:sz w:val="20"/>
        </w:rPr>
        <w:t xml:space="preserve"> </w:t>
      </w:r>
      <w:r>
        <w:rPr>
          <w:w w:val="95"/>
          <w:sz w:val="20"/>
        </w:rPr>
        <w:t xml:space="preserve">of </w:t>
      </w:r>
      <w:r>
        <w:rPr>
          <w:spacing w:val="-2"/>
          <w:sz w:val="20"/>
        </w:rPr>
        <w:t>development.</w:t>
      </w:r>
    </w:p>
    <w:p w:rsidR="002C1123" w:rsidRDefault="00F22F94">
      <w:pPr>
        <w:pStyle w:val="ListParagraph"/>
        <w:numPr>
          <w:ilvl w:val="0"/>
          <w:numId w:val="57"/>
        </w:numPr>
        <w:tabs>
          <w:tab w:val="left" w:pos="479"/>
        </w:tabs>
        <w:spacing w:before="132" w:line="249" w:lineRule="auto"/>
        <w:rPr>
          <w:sz w:val="20"/>
        </w:rPr>
      </w:pPr>
      <w:r>
        <w:rPr>
          <w:sz w:val="20"/>
        </w:rPr>
        <w:t>NSW</w:t>
      </w:r>
      <w:r>
        <w:rPr>
          <w:spacing w:val="-13"/>
          <w:sz w:val="20"/>
        </w:rPr>
        <w:t xml:space="preserve"> </w:t>
      </w:r>
      <w:r>
        <w:rPr>
          <w:sz w:val="20"/>
        </w:rPr>
        <w:t>relies</w:t>
      </w:r>
      <w:r>
        <w:rPr>
          <w:spacing w:val="-13"/>
          <w:sz w:val="20"/>
        </w:rPr>
        <w:t xml:space="preserve"> </w:t>
      </w:r>
      <w:r>
        <w:rPr>
          <w:sz w:val="20"/>
        </w:rPr>
        <w:t>on</w:t>
      </w:r>
      <w:r>
        <w:rPr>
          <w:spacing w:val="-13"/>
          <w:sz w:val="20"/>
        </w:rPr>
        <w:t xml:space="preserve"> </w:t>
      </w:r>
      <w:r>
        <w:rPr>
          <w:sz w:val="20"/>
        </w:rPr>
        <w:t>gas</w:t>
      </w:r>
      <w:r>
        <w:rPr>
          <w:spacing w:val="-13"/>
          <w:sz w:val="20"/>
        </w:rPr>
        <w:t xml:space="preserve"> </w:t>
      </w:r>
      <w:r>
        <w:rPr>
          <w:sz w:val="20"/>
        </w:rPr>
        <w:t>piped</w:t>
      </w:r>
      <w:r>
        <w:rPr>
          <w:spacing w:val="-13"/>
          <w:sz w:val="20"/>
        </w:rPr>
        <w:t xml:space="preserve"> </w:t>
      </w:r>
      <w:r>
        <w:rPr>
          <w:sz w:val="20"/>
        </w:rPr>
        <w:t>from</w:t>
      </w:r>
      <w:r>
        <w:rPr>
          <w:spacing w:val="-13"/>
          <w:sz w:val="20"/>
        </w:rPr>
        <w:t xml:space="preserve"> </w:t>
      </w:r>
      <w:r>
        <w:rPr>
          <w:sz w:val="20"/>
        </w:rPr>
        <w:t>interstate</w:t>
      </w:r>
      <w:r>
        <w:rPr>
          <w:spacing w:val="-13"/>
          <w:sz w:val="20"/>
        </w:rPr>
        <w:t xml:space="preserve"> </w:t>
      </w:r>
      <w:r>
        <w:rPr>
          <w:sz w:val="20"/>
        </w:rPr>
        <w:t xml:space="preserve">basins. </w:t>
      </w:r>
      <w:r>
        <w:rPr>
          <w:w w:val="95"/>
          <w:sz w:val="20"/>
        </w:rPr>
        <w:t>Security</w:t>
      </w:r>
      <w:r>
        <w:rPr>
          <w:spacing w:val="-8"/>
          <w:w w:val="95"/>
          <w:sz w:val="20"/>
        </w:rPr>
        <w:t xml:space="preserve"> </w:t>
      </w:r>
      <w:r>
        <w:rPr>
          <w:w w:val="95"/>
          <w:sz w:val="20"/>
        </w:rPr>
        <w:t>of</w:t>
      </w:r>
      <w:r>
        <w:rPr>
          <w:spacing w:val="-8"/>
          <w:w w:val="95"/>
          <w:sz w:val="20"/>
        </w:rPr>
        <w:t xml:space="preserve"> </w:t>
      </w:r>
      <w:r>
        <w:rPr>
          <w:w w:val="95"/>
          <w:sz w:val="20"/>
        </w:rPr>
        <w:t>gas</w:t>
      </w:r>
      <w:r>
        <w:rPr>
          <w:spacing w:val="-8"/>
          <w:w w:val="95"/>
          <w:sz w:val="20"/>
        </w:rPr>
        <w:t xml:space="preserve"> </w:t>
      </w:r>
      <w:r>
        <w:rPr>
          <w:w w:val="95"/>
          <w:sz w:val="20"/>
        </w:rPr>
        <w:t>supply</w:t>
      </w:r>
      <w:r>
        <w:rPr>
          <w:spacing w:val="-8"/>
          <w:w w:val="95"/>
          <w:sz w:val="20"/>
        </w:rPr>
        <w:t xml:space="preserve"> </w:t>
      </w:r>
      <w:r>
        <w:rPr>
          <w:w w:val="95"/>
          <w:sz w:val="20"/>
        </w:rPr>
        <w:t>is</w:t>
      </w:r>
      <w:r>
        <w:rPr>
          <w:spacing w:val="-8"/>
          <w:w w:val="95"/>
          <w:sz w:val="20"/>
        </w:rPr>
        <w:t xml:space="preserve"> </w:t>
      </w:r>
      <w:r>
        <w:rPr>
          <w:w w:val="95"/>
          <w:sz w:val="20"/>
        </w:rPr>
        <w:t>an</w:t>
      </w:r>
      <w:r>
        <w:rPr>
          <w:spacing w:val="-8"/>
          <w:w w:val="95"/>
          <w:sz w:val="20"/>
        </w:rPr>
        <w:t xml:space="preserve"> </w:t>
      </w:r>
      <w:r>
        <w:rPr>
          <w:w w:val="95"/>
          <w:sz w:val="20"/>
        </w:rPr>
        <w:t>emerging</w:t>
      </w:r>
      <w:r>
        <w:rPr>
          <w:spacing w:val="-8"/>
          <w:w w:val="95"/>
          <w:sz w:val="20"/>
        </w:rPr>
        <w:t xml:space="preserve"> </w:t>
      </w:r>
      <w:r>
        <w:rPr>
          <w:w w:val="95"/>
          <w:sz w:val="20"/>
        </w:rPr>
        <w:t>issue</w:t>
      </w:r>
      <w:r>
        <w:rPr>
          <w:spacing w:val="-8"/>
          <w:w w:val="95"/>
          <w:sz w:val="20"/>
        </w:rPr>
        <w:t xml:space="preserve"> </w:t>
      </w:r>
      <w:r>
        <w:rPr>
          <w:w w:val="95"/>
          <w:sz w:val="20"/>
        </w:rPr>
        <w:t>due</w:t>
      </w:r>
      <w:r>
        <w:rPr>
          <w:spacing w:val="-8"/>
          <w:w w:val="95"/>
          <w:sz w:val="20"/>
        </w:rPr>
        <w:t xml:space="preserve"> </w:t>
      </w:r>
      <w:r>
        <w:rPr>
          <w:w w:val="95"/>
          <w:sz w:val="20"/>
        </w:rPr>
        <w:t>to</w:t>
      </w:r>
      <w:r>
        <w:rPr>
          <w:spacing w:val="-8"/>
          <w:w w:val="95"/>
          <w:sz w:val="20"/>
        </w:rPr>
        <w:t xml:space="preserve"> </w:t>
      </w:r>
      <w:r>
        <w:rPr>
          <w:w w:val="95"/>
          <w:sz w:val="20"/>
        </w:rPr>
        <w:t>the lack</w:t>
      </w:r>
      <w:r>
        <w:rPr>
          <w:spacing w:val="-1"/>
          <w:w w:val="95"/>
          <w:sz w:val="20"/>
        </w:rPr>
        <w:t xml:space="preserve"> </w:t>
      </w:r>
      <w:r>
        <w:rPr>
          <w:w w:val="95"/>
          <w:sz w:val="20"/>
        </w:rPr>
        <w:t>of</w:t>
      </w:r>
      <w:r>
        <w:rPr>
          <w:spacing w:val="-1"/>
          <w:w w:val="95"/>
          <w:sz w:val="20"/>
        </w:rPr>
        <w:t xml:space="preserve"> </w:t>
      </w:r>
      <w:r>
        <w:rPr>
          <w:w w:val="95"/>
          <w:sz w:val="20"/>
        </w:rPr>
        <w:t>conventional</w:t>
      </w:r>
      <w:r>
        <w:rPr>
          <w:spacing w:val="-1"/>
          <w:w w:val="95"/>
          <w:sz w:val="20"/>
        </w:rPr>
        <w:t xml:space="preserve"> </w:t>
      </w:r>
      <w:r>
        <w:rPr>
          <w:w w:val="95"/>
          <w:sz w:val="20"/>
        </w:rPr>
        <w:t>natural</w:t>
      </w:r>
      <w:r>
        <w:rPr>
          <w:spacing w:val="-1"/>
          <w:w w:val="95"/>
          <w:sz w:val="20"/>
        </w:rPr>
        <w:t xml:space="preserve"> </w:t>
      </w:r>
      <w:r>
        <w:rPr>
          <w:w w:val="95"/>
          <w:sz w:val="20"/>
        </w:rPr>
        <w:t>gas</w:t>
      </w:r>
      <w:r>
        <w:rPr>
          <w:spacing w:val="-1"/>
          <w:w w:val="95"/>
          <w:sz w:val="20"/>
        </w:rPr>
        <w:t xml:space="preserve"> </w:t>
      </w:r>
      <w:r>
        <w:rPr>
          <w:w w:val="95"/>
          <w:sz w:val="20"/>
        </w:rPr>
        <w:t>reserves</w:t>
      </w:r>
      <w:r>
        <w:rPr>
          <w:spacing w:val="-1"/>
          <w:w w:val="95"/>
          <w:sz w:val="20"/>
        </w:rPr>
        <w:t xml:space="preserve"> </w:t>
      </w:r>
      <w:r>
        <w:rPr>
          <w:w w:val="95"/>
          <w:sz w:val="20"/>
        </w:rPr>
        <w:t>within</w:t>
      </w:r>
      <w:r>
        <w:rPr>
          <w:spacing w:val="-1"/>
          <w:w w:val="95"/>
          <w:sz w:val="20"/>
        </w:rPr>
        <w:t xml:space="preserve"> </w:t>
      </w:r>
      <w:r>
        <w:rPr>
          <w:w w:val="95"/>
          <w:sz w:val="20"/>
        </w:rPr>
        <w:t xml:space="preserve">NSW </w:t>
      </w:r>
      <w:r>
        <w:rPr>
          <w:sz w:val="20"/>
        </w:rPr>
        <w:t>and</w:t>
      </w:r>
      <w:r>
        <w:rPr>
          <w:spacing w:val="-14"/>
          <w:sz w:val="20"/>
        </w:rPr>
        <w:t xml:space="preserve"> </w:t>
      </w:r>
      <w:r>
        <w:rPr>
          <w:sz w:val="20"/>
        </w:rPr>
        <w:t>the</w:t>
      </w:r>
      <w:r>
        <w:rPr>
          <w:spacing w:val="-14"/>
          <w:sz w:val="20"/>
        </w:rPr>
        <w:t xml:space="preserve"> </w:t>
      </w:r>
      <w:r>
        <w:rPr>
          <w:sz w:val="20"/>
        </w:rPr>
        <w:t>decline</w:t>
      </w:r>
      <w:r>
        <w:rPr>
          <w:spacing w:val="-14"/>
          <w:sz w:val="20"/>
        </w:rPr>
        <w:t xml:space="preserve"> </w:t>
      </w:r>
      <w:r>
        <w:rPr>
          <w:sz w:val="20"/>
        </w:rPr>
        <w:t>in</w:t>
      </w:r>
      <w:r>
        <w:rPr>
          <w:spacing w:val="-14"/>
          <w:sz w:val="20"/>
        </w:rPr>
        <w:t xml:space="preserve"> </w:t>
      </w:r>
      <w:r>
        <w:rPr>
          <w:sz w:val="20"/>
        </w:rPr>
        <w:t>interstate</w:t>
      </w:r>
      <w:r>
        <w:rPr>
          <w:spacing w:val="-14"/>
          <w:sz w:val="20"/>
        </w:rPr>
        <w:t xml:space="preserve"> </w:t>
      </w:r>
      <w:r>
        <w:rPr>
          <w:sz w:val="20"/>
        </w:rPr>
        <w:t>conventional</w:t>
      </w:r>
      <w:r>
        <w:rPr>
          <w:spacing w:val="-14"/>
          <w:sz w:val="20"/>
        </w:rPr>
        <w:t xml:space="preserve"> </w:t>
      </w:r>
      <w:r>
        <w:rPr>
          <w:sz w:val="20"/>
        </w:rPr>
        <w:t>reserves. The</w:t>
      </w:r>
      <w:r>
        <w:rPr>
          <w:spacing w:val="-10"/>
          <w:sz w:val="20"/>
        </w:rPr>
        <w:t xml:space="preserve"> </w:t>
      </w:r>
      <w:r>
        <w:rPr>
          <w:sz w:val="20"/>
        </w:rPr>
        <w:t>major</w:t>
      </w:r>
      <w:r>
        <w:rPr>
          <w:spacing w:val="-10"/>
          <w:sz w:val="20"/>
        </w:rPr>
        <w:t xml:space="preserve"> </w:t>
      </w:r>
      <w:r>
        <w:rPr>
          <w:sz w:val="20"/>
        </w:rPr>
        <w:t>gas</w:t>
      </w:r>
      <w:r>
        <w:rPr>
          <w:spacing w:val="-10"/>
          <w:sz w:val="20"/>
        </w:rPr>
        <w:t xml:space="preserve"> </w:t>
      </w:r>
      <w:r>
        <w:rPr>
          <w:sz w:val="20"/>
        </w:rPr>
        <w:t>producers</w:t>
      </w:r>
      <w:r>
        <w:rPr>
          <w:spacing w:val="-10"/>
          <w:sz w:val="20"/>
        </w:rPr>
        <w:t xml:space="preserve"> </w:t>
      </w:r>
      <w:r>
        <w:rPr>
          <w:sz w:val="20"/>
        </w:rPr>
        <w:t>appear</w:t>
      </w:r>
      <w:r>
        <w:rPr>
          <w:spacing w:val="-10"/>
          <w:sz w:val="20"/>
        </w:rPr>
        <w:t xml:space="preserve"> </w:t>
      </w:r>
      <w:r>
        <w:rPr>
          <w:sz w:val="20"/>
        </w:rPr>
        <w:t>increasingly</w:t>
      </w:r>
      <w:r>
        <w:rPr>
          <w:spacing w:val="-10"/>
          <w:sz w:val="20"/>
        </w:rPr>
        <w:t xml:space="preserve"> </w:t>
      </w:r>
      <w:r>
        <w:rPr>
          <w:sz w:val="20"/>
        </w:rPr>
        <w:t>to</w:t>
      </w:r>
      <w:r>
        <w:rPr>
          <w:spacing w:val="-10"/>
          <w:sz w:val="20"/>
        </w:rPr>
        <w:t xml:space="preserve"> </w:t>
      </w:r>
      <w:r>
        <w:rPr>
          <w:sz w:val="20"/>
        </w:rPr>
        <w:t xml:space="preserve">be </w:t>
      </w:r>
      <w:r>
        <w:rPr>
          <w:w w:val="95"/>
          <w:sz w:val="20"/>
        </w:rPr>
        <w:t>earmarking gas reserves for the export market as the LNG production and export facilities in Queensland</w:t>
      </w:r>
      <w:r>
        <w:rPr>
          <w:w w:val="95"/>
          <w:position w:val="7"/>
          <w:sz w:val="11"/>
        </w:rPr>
        <w:t>10</w:t>
      </w:r>
      <w:r>
        <w:rPr>
          <w:spacing w:val="40"/>
          <w:position w:val="7"/>
          <w:sz w:val="11"/>
        </w:rPr>
        <w:t xml:space="preserve"> </w:t>
      </w:r>
      <w:r>
        <w:rPr>
          <w:sz w:val="20"/>
        </w:rPr>
        <w:t>come on line.</w:t>
      </w:r>
    </w:p>
    <w:p w:rsidR="002C1123" w:rsidRDefault="00F22F94">
      <w:pPr>
        <w:pStyle w:val="ListParagraph"/>
        <w:numPr>
          <w:ilvl w:val="0"/>
          <w:numId w:val="57"/>
        </w:numPr>
        <w:tabs>
          <w:tab w:val="left" w:pos="479"/>
        </w:tabs>
        <w:spacing w:before="135" w:line="249" w:lineRule="auto"/>
        <w:ind w:right="154"/>
        <w:rPr>
          <w:sz w:val="20"/>
        </w:rPr>
      </w:pPr>
      <w:r>
        <w:rPr>
          <w:w w:val="95"/>
          <w:sz w:val="20"/>
        </w:rPr>
        <w:t xml:space="preserve">New additional sources of gas, such as NSW CSG, </w:t>
      </w:r>
      <w:r>
        <w:rPr>
          <w:sz w:val="20"/>
        </w:rPr>
        <w:t>will</w:t>
      </w:r>
      <w:r>
        <w:rPr>
          <w:spacing w:val="-1"/>
          <w:sz w:val="20"/>
        </w:rPr>
        <w:t xml:space="preserve"> </w:t>
      </w:r>
      <w:r>
        <w:rPr>
          <w:sz w:val="20"/>
        </w:rPr>
        <w:t>enhance</w:t>
      </w:r>
      <w:r>
        <w:rPr>
          <w:spacing w:val="-1"/>
          <w:sz w:val="20"/>
        </w:rPr>
        <w:t xml:space="preserve"> </w:t>
      </w:r>
      <w:r>
        <w:rPr>
          <w:sz w:val="20"/>
        </w:rPr>
        <w:t>competition</w:t>
      </w:r>
      <w:r>
        <w:rPr>
          <w:spacing w:val="-1"/>
          <w:sz w:val="20"/>
        </w:rPr>
        <w:t xml:space="preserve"> </w:t>
      </w:r>
      <w:r>
        <w:rPr>
          <w:sz w:val="20"/>
        </w:rPr>
        <w:t>among</w:t>
      </w:r>
      <w:r>
        <w:rPr>
          <w:spacing w:val="-1"/>
          <w:sz w:val="20"/>
        </w:rPr>
        <w:t xml:space="preserve"> </w:t>
      </w:r>
      <w:r>
        <w:rPr>
          <w:sz w:val="20"/>
        </w:rPr>
        <w:t>gas</w:t>
      </w:r>
      <w:r>
        <w:rPr>
          <w:spacing w:val="-1"/>
          <w:sz w:val="20"/>
        </w:rPr>
        <w:t xml:space="preserve"> </w:t>
      </w:r>
      <w:r>
        <w:rPr>
          <w:sz w:val="20"/>
        </w:rPr>
        <w:t xml:space="preserve">producers. </w:t>
      </w:r>
      <w:r>
        <w:rPr>
          <w:w w:val="95"/>
          <w:sz w:val="20"/>
        </w:rPr>
        <w:t>Encouraging</w:t>
      </w:r>
      <w:r>
        <w:rPr>
          <w:spacing w:val="-3"/>
          <w:w w:val="95"/>
          <w:sz w:val="20"/>
        </w:rPr>
        <w:t xml:space="preserve"> </w:t>
      </w:r>
      <w:r>
        <w:rPr>
          <w:w w:val="95"/>
          <w:sz w:val="20"/>
        </w:rPr>
        <w:t>more</w:t>
      </w:r>
      <w:r>
        <w:rPr>
          <w:spacing w:val="-3"/>
          <w:w w:val="95"/>
          <w:sz w:val="20"/>
        </w:rPr>
        <w:t xml:space="preserve"> </w:t>
      </w:r>
      <w:r>
        <w:rPr>
          <w:w w:val="95"/>
          <w:sz w:val="20"/>
        </w:rPr>
        <w:t>competition</w:t>
      </w:r>
      <w:r>
        <w:rPr>
          <w:spacing w:val="-3"/>
          <w:w w:val="95"/>
          <w:sz w:val="20"/>
        </w:rPr>
        <w:t xml:space="preserve"> </w:t>
      </w:r>
      <w:r>
        <w:rPr>
          <w:w w:val="95"/>
          <w:sz w:val="20"/>
        </w:rPr>
        <w:t>in</w:t>
      </w:r>
      <w:r>
        <w:rPr>
          <w:spacing w:val="-3"/>
          <w:w w:val="95"/>
          <w:sz w:val="20"/>
        </w:rPr>
        <w:t xml:space="preserve"> </w:t>
      </w:r>
      <w:r>
        <w:rPr>
          <w:w w:val="95"/>
          <w:sz w:val="20"/>
        </w:rPr>
        <w:t>the</w:t>
      </w:r>
      <w:r>
        <w:rPr>
          <w:spacing w:val="-3"/>
          <w:w w:val="95"/>
          <w:sz w:val="20"/>
        </w:rPr>
        <w:t xml:space="preserve"> </w:t>
      </w:r>
      <w:r>
        <w:rPr>
          <w:w w:val="95"/>
          <w:sz w:val="20"/>
        </w:rPr>
        <w:t>gas</w:t>
      </w:r>
      <w:r>
        <w:rPr>
          <w:spacing w:val="-3"/>
          <w:w w:val="95"/>
          <w:sz w:val="20"/>
        </w:rPr>
        <w:t xml:space="preserve"> </w:t>
      </w:r>
      <w:r>
        <w:rPr>
          <w:w w:val="95"/>
          <w:sz w:val="20"/>
        </w:rPr>
        <w:t>sector</w:t>
      </w:r>
      <w:r>
        <w:rPr>
          <w:spacing w:val="-3"/>
          <w:w w:val="95"/>
          <w:sz w:val="20"/>
        </w:rPr>
        <w:t xml:space="preserve"> </w:t>
      </w:r>
      <w:r>
        <w:rPr>
          <w:w w:val="95"/>
          <w:sz w:val="20"/>
        </w:rPr>
        <w:t xml:space="preserve">will be important to counter the risk of higher wholesale </w:t>
      </w:r>
      <w:r>
        <w:rPr>
          <w:sz w:val="20"/>
        </w:rPr>
        <w:t>gas prices that are emerging.</w:t>
      </w:r>
    </w:p>
    <w:p w:rsidR="002C1123" w:rsidRDefault="00F22F94">
      <w:pPr>
        <w:pStyle w:val="BodyText"/>
        <w:spacing w:before="145" w:line="249" w:lineRule="auto"/>
        <w:ind w:left="195"/>
      </w:pPr>
      <w:r>
        <w:t>Uncertainty</w:t>
      </w:r>
      <w:r>
        <w:rPr>
          <w:spacing w:val="-10"/>
        </w:rPr>
        <w:t xml:space="preserve"> </w:t>
      </w:r>
      <w:r>
        <w:t>about</w:t>
      </w:r>
      <w:r>
        <w:rPr>
          <w:spacing w:val="-10"/>
        </w:rPr>
        <w:t xml:space="preserve"> </w:t>
      </w:r>
      <w:r>
        <w:t>availability</w:t>
      </w:r>
      <w:r>
        <w:rPr>
          <w:spacing w:val="-10"/>
        </w:rPr>
        <w:t xml:space="preserve"> </w:t>
      </w:r>
      <w:r>
        <w:t>and</w:t>
      </w:r>
      <w:r>
        <w:rPr>
          <w:spacing w:val="-10"/>
        </w:rPr>
        <w:t xml:space="preserve"> </w:t>
      </w:r>
      <w:r>
        <w:t>about</w:t>
      </w:r>
      <w:r>
        <w:rPr>
          <w:spacing w:val="-10"/>
        </w:rPr>
        <w:t xml:space="preserve"> </w:t>
      </w:r>
      <w:r>
        <w:t>prices</w:t>
      </w:r>
      <w:r>
        <w:rPr>
          <w:spacing w:val="-10"/>
        </w:rPr>
        <w:t xml:space="preserve"> </w:t>
      </w:r>
      <w:r>
        <w:t>in</w:t>
      </w:r>
      <w:r>
        <w:rPr>
          <w:spacing w:val="-10"/>
        </w:rPr>
        <w:t xml:space="preserve"> </w:t>
      </w:r>
      <w:r>
        <w:t xml:space="preserve">the </w:t>
      </w:r>
      <w:r>
        <w:rPr>
          <w:w w:val="95"/>
        </w:rPr>
        <w:t>future</w:t>
      </w:r>
      <w:r>
        <w:rPr>
          <w:spacing w:val="-10"/>
          <w:w w:val="95"/>
        </w:rPr>
        <w:t xml:space="preserve"> </w:t>
      </w:r>
      <w:r>
        <w:rPr>
          <w:w w:val="95"/>
        </w:rPr>
        <w:t>for</w:t>
      </w:r>
      <w:r>
        <w:rPr>
          <w:spacing w:val="-10"/>
          <w:w w:val="95"/>
        </w:rPr>
        <w:t xml:space="preserve"> </w:t>
      </w:r>
      <w:r>
        <w:rPr>
          <w:w w:val="95"/>
        </w:rPr>
        <w:t>gas</w:t>
      </w:r>
      <w:r>
        <w:rPr>
          <w:spacing w:val="-10"/>
          <w:w w:val="95"/>
        </w:rPr>
        <w:t xml:space="preserve"> </w:t>
      </w:r>
      <w:r>
        <w:rPr>
          <w:w w:val="95"/>
        </w:rPr>
        <w:t>in</w:t>
      </w:r>
      <w:r>
        <w:rPr>
          <w:spacing w:val="-10"/>
          <w:w w:val="95"/>
        </w:rPr>
        <w:t xml:space="preserve"> </w:t>
      </w:r>
      <w:r>
        <w:rPr>
          <w:w w:val="95"/>
        </w:rPr>
        <w:t>NSW</w:t>
      </w:r>
      <w:r>
        <w:rPr>
          <w:spacing w:val="-10"/>
          <w:w w:val="95"/>
        </w:rPr>
        <w:t xml:space="preserve"> </w:t>
      </w:r>
      <w:r>
        <w:rPr>
          <w:w w:val="95"/>
        </w:rPr>
        <w:t>can</w:t>
      </w:r>
      <w:r>
        <w:rPr>
          <w:spacing w:val="-10"/>
          <w:w w:val="95"/>
        </w:rPr>
        <w:t xml:space="preserve"> </w:t>
      </w:r>
      <w:r>
        <w:rPr>
          <w:w w:val="95"/>
        </w:rPr>
        <w:t>be</w:t>
      </w:r>
      <w:r>
        <w:rPr>
          <w:spacing w:val="-10"/>
          <w:w w:val="95"/>
        </w:rPr>
        <w:t xml:space="preserve"> </w:t>
      </w:r>
      <w:r>
        <w:rPr>
          <w:w w:val="95"/>
        </w:rPr>
        <w:t>alleviated</w:t>
      </w:r>
      <w:r>
        <w:rPr>
          <w:spacing w:val="-10"/>
          <w:w w:val="95"/>
        </w:rPr>
        <w:t xml:space="preserve"> </w:t>
      </w:r>
      <w:r>
        <w:rPr>
          <w:w w:val="95"/>
        </w:rPr>
        <w:t>by</w:t>
      </w:r>
      <w:r>
        <w:rPr>
          <w:spacing w:val="-10"/>
          <w:w w:val="95"/>
        </w:rPr>
        <w:t xml:space="preserve"> </w:t>
      </w:r>
      <w:r>
        <w:rPr>
          <w:w w:val="95"/>
        </w:rPr>
        <w:t>developing</w:t>
      </w:r>
      <w:r>
        <w:rPr>
          <w:spacing w:val="-10"/>
          <w:w w:val="95"/>
        </w:rPr>
        <w:t xml:space="preserve"> </w:t>
      </w:r>
      <w:r>
        <w:rPr>
          <w:w w:val="95"/>
        </w:rPr>
        <w:t xml:space="preserve">the </w:t>
      </w:r>
      <w:r>
        <w:t>CSG sector in NSW.</w:t>
      </w:r>
    </w:p>
    <w:p w:rsidR="002C1123" w:rsidRDefault="00F22F94">
      <w:pPr>
        <w:pStyle w:val="BodyText"/>
        <w:spacing w:before="145" w:line="249" w:lineRule="auto"/>
        <w:ind w:left="195" w:right="55"/>
      </w:pPr>
      <w:r>
        <w:t>Securing</w:t>
      </w:r>
      <w:r>
        <w:rPr>
          <w:spacing w:val="-13"/>
        </w:rPr>
        <w:t xml:space="preserve"> </w:t>
      </w:r>
      <w:r>
        <w:t>new</w:t>
      </w:r>
      <w:r>
        <w:rPr>
          <w:spacing w:val="-13"/>
        </w:rPr>
        <w:t xml:space="preserve"> </w:t>
      </w:r>
      <w:r>
        <w:t>low</w:t>
      </w:r>
      <w:r>
        <w:rPr>
          <w:spacing w:val="-13"/>
        </w:rPr>
        <w:t xml:space="preserve"> </w:t>
      </w:r>
      <w:r>
        <w:t>cost</w:t>
      </w:r>
      <w:r>
        <w:rPr>
          <w:spacing w:val="-13"/>
        </w:rPr>
        <w:t xml:space="preserve"> </w:t>
      </w:r>
      <w:r>
        <w:t>sources</w:t>
      </w:r>
      <w:r>
        <w:rPr>
          <w:spacing w:val="-13"/>
        </w:rPr>
        <w:t xml:space="preserve"> </w:t>
      </w:r>
      <w:r>
        <w:t>of</w:t>
      </w:r>
      <w:r>
        <w:rPr>
          <w:spacing w:val="-13"/>
        </w:rPr>
        <w:t xml:space="preserve"> </w:t>
      </w:r>
      <w:r>
        <w:t>gas</w:t>
      </w:r>
      <w:r>
        <w:rPr>
          <w:spacing w:val="-13"/>
        </w:rPr>
        <w:t xml:space="preserve"> </w:t>
      </w:r>
      <w:r>
        <w:t>will</w:t>
      </w:r>
      <w:r>
        <w:rPr>
          <w:spacing w:val="-13"/>
        </w:rPr>
        <w:t xml:space="preserve"> </w:t>
      </w:r>
      <w:r>
        <w:t>be</w:t>
      </w:r>
      <w:r>
        <w:rPr>
          <w:spacing w:val="-13"/>
        </w:rPr>
        <w:t xml:space="preserve"> </w:t>
      </w:r>
      <w:r>
        <w:t xml:space="preserve">essential </w:t>
      </w:r>
      <w:r>
        <w:rPr>
          <w:w w:val="95"/>
        </w:rPr>
        <w:t>to</w:t>
      </w:r>
      <w:r>
        <w:rPr>
          <w:spacing w:val="-9"/>
          <w:w w:val="95"/>
        </w:rPr>
        <w:t xml:space="preserve"> </w:t>
      </w:r>
      <w:r>
        <w:rPr>
          <w:w w:val="95"/>
        </w:rPr>
        <w:t>meet</w:t>
      </w:r>
      <w:r>
        <w:rPr>
          <w:spacing w:val="-9"/>
          <w:w w:val="95"/>
        </w:rPr>
        <w:t xml:space="preserve"> </w:t>
      </w:r>
      <w:r>
        <w:rPr>
          <w:w w:val="95"/>
        </w:rPr>
        <w:t>increasing</w:t>
      </w:r>
      <w:r>
        <w:rPr>
          <w:spacing w:val="-9"/>
          <w:w w:val="95"/>
        </w:rPr>
        <w:t xml:space="preserve"> </w:t>
      </w:r>
      <w:r>
        <w:rPr>
          <w:w w:val="95"/>
        </w:rPr>
        <w:t>demand</w:t>
      </w:r>
      <w:r>
        <w:rPr>
          <w:spacing w:val="-9"/>
          <w:w w:val="95"/>
        </w:rPr>
        <w:t xml:space="preserve"> </w:t>
      </w:r>
      <w:r>
        <w:rPr>
          <w:w w:val="95"/>
        </w:rPr>
        <w:t>for</w:t>
      </w:r>
      <w:r>
        <w:rPr>
          <w:spacing w:val="-9"/>
          <w:w w:val="95"/>
        </w:rPr>
        <w:t xml:space="preserve"> </w:t>
      </w:r>
      <w:r>
        <w:rPr>
          <w:w w:val="95"/>
        </w:rPr>
        <w:t>gas</w:t>
      </w:r>
      <w:r>
        <w:rPr>
          <w:spacing w:val="-9"/>
          <w:w w:val="95"/>
        </w:rPr>
        <w:t xml:space="preserve"> </w:t>
      </w:r>
      <w:r>
        <w:rPr>
          <w:w w:val="95"/>
        </w:rPr>
        <w:t>in</w:t>
      </w:r>
      <w:r>
        <w:rPr>
          <w:spacing w:val="-9"/>
          <w:w w:val="95"/>
        </w:rPr>
        <w:t xml:space="preserve"> </w:t>
      </w:r>
      <w:r>
        <w:rPr>
          <w:w w:val="95"/>
        </w:rPr>
        <w:t>NSW.</w:t>
      </w:r>
      <w:r>
        <w:rPr>
          <w:spacing w:val="-9"/>
          <w:w w:val="95"/>
        </w:rPr>
        <w:t xml:space="preserve"> </w:t>
      </w:r>
      <w:r>
        <w:rPr>
          <w:w w:val="95"/>
        </w:rPr>
        <w:t>This,</w:t>
      </w:r>
      <w:r>
        <w:rPr>
          <w:spacing w:val="-9"/>
          <w:w w:val="95"/>
        </w:rPr>
        <w:t xml:space="preserve"> </w:t>
      </w:r>
      <w:r>
        <w:rPr>
          <w:w w:val="95"/>
        </w:rPr>
        <w:t>in</w:t>
      </w:r>
      <w:r>
        <w:rPr>
          <w:spacing w:val="-9"/>
          <w:w w:val="95"/>
        </w:rPr>
        <w:t xml:space="preserve"> </w:t>
      </w:r>
      <w:r>
        <w:rPr>
          <w:w w:val="95"/>
        </w:rPr>
        <w:t xml:space="preserve">turn, </w:t>
      </w:r>
      <w:r>
        <w:t>will fuel economic growth and prosperity.</w:t>
      </w:r>
    </w:p>
    <w:p w:rsidR="002C1123" w:rsidRDefault="00F22F94">
      <w:pPr>
        <w:pStyle w:val="BodyText"/>
        <w:spacing w:before="144" w:line="249" w:lineRule="auto"/>
        <w:ind w:left="195" w:right="285"/>
      </w:pPr>
      <w:r>
        <w:t>The</w:t>
      </w:r>
      <w:r>
        <w:rPr>
          <w:spacing w:val="-12"/>
        </w:rPr>
        <w:t xml:space="preserve"> </w:t>
      </w:r>
      <w:r>
        <w:t>NSW</w:t>
      </w:r>
      <w:r>
        <w:rPr>
          <w:spacing w:val="-12"/>
        </w:rPr>
        <w:t xml:space="preserve"> </w:t>
      </w:r>
      <w:r>
        <w:t>Government,</w:t>
      </w:r>
      <w:r>
        <w:rPr>
          <w:spacing w:val="-12"/>
        </w:rPr>
        <w:t xml:space="preserve"> </w:t>
      </w:r>
      <w:r>
        <w:t>in</w:t>
      </w:r>
      <w:r>
        <w:rPr>
          <w:spacing w:val="-12"/>
        </w:rPr>
        <w:t xml:space="preserve"> </w:t>
      </w:r>
      <w:r>
        <w:t>its</w:t>
      </w:r>
      <w:r>
        <w:rPr>
          <w:spacing w:val="-12"/>
        </w:rPr>
        <w:t xml:space="preserve"> </w:t>
      </w:r>
      <w:r>
        <w:t>submission</w:t>
      </w:r>
      <w:r>
        <w:rPr>
          <w:spacing w:val="-12"/>
        </w:rPr>
        <w:t xml:space="preserve"> </w:t>
      </w:r>
      <w:r>
        <w:t>to</w:t>
      </w:r>
      <w:r>
        <w:rPr>
          <w:spacing w:val="-12"/>
        </w:rPr>
        <w:t xml:space="preserve"> </w:t>
      </w:r>
      <w:r>
        <w:t xml:space="preserve">the </w:t>
      </w:r>
      <w:r>
        <w:rPr>
          <w:spacing w:val="-2"/>
        </w:rPr>
        <w:t>NSW</w:t>
      </w:r>
      <w:r>
        <w:rPr>
          <w:spacing w:val="-7"/>
        </w:rPr>
        <w:t xml:space="preserve"> </w:t>
      </w:r>
      <w:r>
        <w:rPr>
          <w:spacing w:val="-2"/>
        </w:rPr>
        <w:t>Legislative</w:t>
      </w:r>
      <w:r>
        <w:rPr>
          <w:spacing w:val="-7"/>
        </w:rPr>
        <w:t xml:space="preserve"> </w:t>
      </w:r>
      <w:r>
        <w:rPr>
          <w:spacing w:val="-2"/>
        </w:rPr>
        <w:t>Council</w:t>
      </w:r>
      <w:r>
        <w:rPr>
          <w:spacing w:val="-7"/>
        </w:rPr>
        <w:t xml:space="preserve"> </w:t>
      </w:r>
      <w:r>
        <w:rPr>
          <w:spacing w:val="-2"/>
        </w:rPr>
        <w:t>Coal</w:t>
      </w:r>
      <w:r>
        <w:rPr>
          <w:spacing w:val="-7"/>
        </w:rPr>
        <w:t xml:space="preserve"> </w:t>
      </w:r>
      <w:r>
        <w:rPr>
          <w:spacing w:val="-2"/>
        </w:rPr>
        <w:t>Seam</w:t>
      </w:r>
      <w:r>
        <w:rPr>
          <w:spacing w:val="-8"/>
        </w:rPr>
        <w:t xml:space="preserve"> </w:t>
      </w:r>
      <w:r>
        <w:rPr>
          <w:spacing w:val="-2"/>
        </w:rPr>
        <w:t>Gas</w:t>
      </w:r>
      <w:r>
        <w:rPr>
          <w:spacing w:val="-7"/>
        </w:rPr>
        <w:t xml:space="preserve"> </w:t>
      </w:r>
      <w:r>
        <w:rPr>
          <w:spacing w:val="-2"/>
        </w:rPr>
        <w:t xml:space="preserve">Inquiry, </w:t>
      </w:r>
      <w:r>
        <w:rPr>
          <w:w w:val="95"/>
        </w:rPr>
        <w:t>presented</w:t>
      </w:r>
      <w:r>
        <w:rPr>
          <w:spacing w:val="-3"/>
          <w:w w:val="95"/>
        </w:rPr>
        <w:t xml:space="preserve"> </w:t>
      </w:r>
      <w:r>
        <w:rPr>
          <w:w w:val="95"/>
        </w:rPr>
        <w:t>the</w:t>
      </w:r>
      <w:r>
        <w:rPr>
          <w:spacing w:val="-3"/>
          <w:w w:val="95"/>
        </w:rPr>
        <w:t xml:space="preserve"> </w:t>
      </w:r>
      <w:r>
        <w:rPr>
          <w:w w:val="95"/>
        </w:rPr>
        <w:t>position</w:t>
      </w:r>
      <w:r>
        <w:rPr>
          <w:spacing w:val="-3"/>
          <w:w w:val="95"/>
        </w:rPr>
        <w:t xml:space="preserve"> </w:t>
      </w:r>
      <w:r>
        <w:rPr>
          <w:w w:val="95"/>
        </w:rPr>
        <w:t>that</w:t>
      </w:r>
      <w:r>
        <w:rPr>
          <w:spacing w:val="-3"/>
          <w:w w:val="95"/>
        </w:rPr>
        <w:t xml:space="preserve"> </w:t>
      </w:r>
      <w:r>
        <w:rPr>
          <w:w w:val="95"/>
        </w:rPr>
        <w:t>ensuring</w:t>
      </w:r>
      <w:r>
        <w:rPr>
          <w:spacing w:val="-3"/>
          <w:w w:val="95"/>
        </w:rPr>
        <w:t xml:space="preserve"> </w:t>
      </w:r>
      <w:r>
        <w:rPr>
          <w:w w:val="95"/>
        </w:rPr>
        <w:t>security</w:t>
      </w:r>
      <w:r>
        <w:rPr>
          <w:spacing w:val="-3"/>
          <w:w w:val="95"/>
        </w:rPr>
        <w:t xml:space="preserve"> </w:t>
      </w:r>
      <w:r>
        <w:rPr>
          <w:w w:val="95"/>
        </w:rPr>
        <w:t>of</w:t>
      </w:r>
      <w:r>
        <w:rPr>
          <w:spacing w:val="-3"/>
          <w:w w:val="95"/>
        </w:rPr>
        <w:t xml:space="preserve"> </w:t>
      </w:r>
      <w:r>
        <w:rPr>
          <w:w w:val="95"/>
        </w:rPr>
        <w:t xml:space="preserve">gas </w:t>
      </w:r>
      <w:r>
        <w:t>supply</w:t>
      </w:r>
      <w:r>
        <w:rPr>
          <w:spacing w:val="-14"/>
        </w:rPr>
        <w:t xml:space="preserve"> </w:t>
      </w:r>
      <w:r>
        <w:t>for</w:t>
      </w:r>
      <w:r>
        <w:rPr>
          <w:spacing w:val="-14"/>
        </w:rPr>
        <w:t xml:space="preserve"> </w:t>
      </w:r>
      <w:r>
        <w:t>NSW</w:t>
      </w:r>
      <w:r>
        <w:rPr>
          <w:spacing w:val="-14"/>
        </w:rPr>
        <w:t xml:space="preserve"> </w:t>
      </w:r>
      <w:r>
        <w:t>electricity</w:t>
      </w:r>
      <w:r>
        <w:rPr>
          <w:spacing w:val="-14"/>
        </w:rPr>
        <w:t xml:space="preserve"> </w:t>
      </w:r>
      <w:r>
        <w:t>generation</w:t>
      </w:r>
      <w:r>
        <w:rPr>
          <w:spacing w:val="-14"/>
        </w:rPr>
        <w:t xml:space="preserve"> </w:t>
      </w:r>
      <w:r>
        <w:t>will</w:t>
      </w:r>
      <w:r>
        <w:rPr>
          <w:spacing w:val="-14"/>
        </w:rPr>
        <w:t xml:space="preserve"> </w:t>
      </w:r>
      <w:r>
        <w:t>require</w:t>
      </w:r>
    </w:p>
    <w:p w:rsidR="002C1123" w:rsidRDefault="00F22F94">
      <w:pPr>
        <w:pStyle w:val="BodyText"/>
        <w:spacing w:before="3" w:line="249" w:lineRule="auto"/>
        <w:ind w:left="195" w:right="55"/>
      </w:pPr>
      <w:r>
        <w:rPr>
          <w:w w:val="95"/>
        </w:rPr>
        <w:t>bringing the State’s CSG reserves into production and/ or</w:t>
      </w:r>
      <w:r>
        <w:rPr>
          <w:spacing w:val="-5"/>
          <w:w w:val="95"/>
        </w:rPr>
        <w:t xml:space="preserve"> </w:t>
      </w:r>
      <w:r>
        <w:rPr>
          <w:w w:val="95"/>
        </w:rPr>
        <w:t>the</w:t>
      </w:r>
      <w:r>
        <w:rPr>
          <w:spacing w:val="-4"/>
          <w:w w:val="95"/>
        </w:rPr>
        <w:t xml:space="preserve"> </w:t>
      </w:r>
      <w:r>
        <w:rPr>
          <w:w w:val="95"/>
        </w:rPr>
        <w:t>expansion</w:t>
      </w:r>
      <w:r>
        <w:rPr>
          <w:spacing w:val="-4"/>
          <w:w w:val="95"/>
        </w:rPr>
        <w:t xml:space="preserve"> </w:t>
      </w:r>
      <w:r>
        <w:rPr>
          <w:w w:val="95"/>
        </w:rPr>
        <w:t>of</w:t>
      </w:r>
      <w:r>
        <w:rPr>
          <w:spacing w:val="-5"/>
          <w:w w:val="95"/>
        </w:rPr>
        <w:t xml:space="preserve"> </w:t>
      </w:r>
      <w:r>
        <w:rPr>
          <w:w w:val="95"/>
        </w:rPr>
        <w:t>transmission</w:t>
      </w:r>
      <w:r>
        <w:rPr>
          <w:spacing w:val="-4"/>
          <w:w w:val="95"/>
        </w:rPr>
        <w:t xml:space="preserve"> </w:t>
      </w:r>
      <w:r>
        <w:rPr>
          <w:w w:val="95"/>
        </w:rPr>
        <w:t>pipeline</w:t>
      </w:r>
      <w:r>
        <w:rPr>
          <w:spacing w:val="-4"/>
          <w:w w:val="95"/>
        </w:rPr>
        <w:t xml:space="preserve"> </w:t>
      </w:r>
      <w:r>
        <w:rPr>
          <w:w w:val="95"/>
        </w:rPr>
        <w:t>capacity</w:t>
      </w:r>
      <w:r>
        <w:rPr>
          <w:spacing w:val="-4"/>
          <w:w w:val="95"/>
        </w:rPr>
        <w:t xml:space="preserve"> from</w:t>
      </w:r>
    </w:p>
    <w:p w:rsidR="002C1123" w:rsidRDefault="00F22F94">
      <w:pPr>
        <w:pStyle w:val="BodyText"/>
        <w:spacing w:before="108" w:line="249" w:lineRule="auto"/>
        <w:ind w:left="187" w:right="853"/>
      </w:pPr>
      <w:r>
        <w:br w:type="column"/>
      </w:r>
      <w:r>
        <w:t>interstate.</w:t>
      </w:r>
      <w:r>
        <w:rPr>
          <w:spacing w:val="-11"/>
        </w:rPr>
        <w:t xml:space="preserve"> </w:t>
      </w:r>
      <w:r>
        <w:t>Without</w:t>
      </w:r>
      <w:r>
        <w:rPr>
          <w:spacing w:val="-11"/>
        </w:rPr>
        <w:t xml:space="preserve"> </w:t>
      </w:r>
      <w:r>
        <w:t>bringing</w:t>
      </w:r>
      <w:r>
        <w:rPr>
          <w:spacing w:val="-11"/>
        </w:rPr>
        <w:t xml:space="preserve"> </w:t>
      </w:r>
      <w:r>
        <w:t>reserves</w:t>
      </w:r>
      <w:r>
        <w:rPr>
          <w:spacing w:val="-11"/>
        </w:rPr>
        <w:t xml:space="preserve"> </w:t>
      </w:r>
      <w:r>
        <w:t>into</w:t>
      </w:r>
      <w:r>
        <w:rPr>
          <w:spacing w:val="-11"/>
        </w:rPr>
        <w:t xml:space="preserve"> </w:t>
      </w:r>
      <w:r>
        <w:t xml:space="preserve">production </w:t>
      </w:r>
      <w:r>
        <w:rPr>
          <w:w w:val="95"/>
        </w:rPr>
        <w:t>or</w:t>
      </w:r>
      <w:r>
        <w:rPr>
          <w:spacing w:val="-5"/>
          <w:w w:val="95"/>
        </w:rPr>
        <w:t xml:space="preserve"> </w:t>
      </w:r>
      <w:r>
        <w:rPr>
          <w:w w:val="95"/>
        </w:rPr>
        <w:t>expanding</w:t>
      </w:r>
      <w:r>
        <w:rPr>
          <w:spacing w:val="-5"/>
          <w:w w:val="95"/>
        </w:rPr>
        <w:t xml:space="preserve"> </w:t>
      </w:r>
      <w:r>
        <w:rPr>
          <w:w w:val="95"/>
        </w:rPr>
        <w:t>interstate</w:t>
      </w:r>
      <w:r>
        <w:rPr>
          <w:spacing w:val="-5"/>
          <w:w w:val="95"/>
        </w:rPr>
        <w:t xml:space="preserve"> </w:t>
      </w:r>
      <w:r>
        <w:rPr>
          <w:w w:val="95"/>
        </w:rPr>
        <w:t>capacity,</w:t>
      </w:r>
      <w:r>
        <w:rPr>
          <w:spacing w:val="-5"/>
          <w:w w:val="95"/>
        </w:rPr>
        <w:t xml:space="preserve"> </w:t>
      </w:r>
      <w:r>
        <w:rPr>
          <w:w w:val="95"/>
        </w:rPr>
        <w:t>potentially</w:t>
      </w:r>
      <w:r>
        <w:rPr>
          <w:spacing w:val="-5"/>
          <w:w w:val="95"/>
        </w:rPr>
        <w:t xml:space="preserve"> </w:t>
      </w:r>
      <w:r>
        <w:rPr>
          <w:w w:val="95"/>
        </w:rPr>
        <w:t xml:space="preserve">significant </w:t>
      </w:r>
      <w:r>
        <w:t>price</w:t>
      </w:r>
      <w:r>
        <w:rPr>
          <w:spacing w:val="-9"/>
        </w:rPr>
        <w:t xml:space="preserve"> </w:t>
      </w:r>
      <w:r>
        <w:t>rises</w:t>
      </w:r>
      <w:r>
        <w:rPr>
          <w:spacing w:val="-9"/>
        </w:rPr>
        <w:t xml:space="preserve"> </w:t>
      </w:r>
      <w:r>
        <w:t>could</w:t>
      </w:r>
      <w:r>
        <w:rPr>
          <w:spacing w:val="-9"/>
        </w:rPr>
        <w:t xml:space="preserve"> </w:t>
      </w:r>
      <w:r>
        <w:t>be</w:t>
      </w:r>
      <w:r>
        <w:rPr>
          <w:spacing w:val="-9"/>
        </w:rPr>
        <w:t xml:space="preserve"> </w:t>
      </w:r>
      <w:r>
        <w:t>expected</w:t>
      </w:r>
      <w:r>
        <w:rPr>
          <w:spacing w:val="-9"/>
        </w:rPr>
        <w:t xml:space="preserve"> </w:t>
      </w:r>
      <w:r>
        <w:t>to</w:t>
      </w:r>
      <w:r>
        <w:rPr>
          <w:spacing w:val="-9"/>
        </w:rPr>
        <w:t xml:space="preserve"> </w:t>
      </w:r>
      <w:r>
        <w:t>flow</w:t>
      </w:r>
      <w:r>
        <w:rPr>
          <w:spacing w:val="-9"/>
        </w:rPr>
        <w:t xml:space="preserve"> </w:t>
      </w:r>
      <w:r>
        <w:t>on</w:t>
      </w:r>
      <w:r>
        <w:rPr>
          <w:spacing w:val="-9"/>
        </w:rPr>
        <w:t xml:space="preserve"> </w:t>
      </w:r>
      <w:r>
        <w:t>to</w:t>
      </w:r>
      <w:r>
        <w:rPr>
          <w:spacing w:val="-9"/>
        </w:rPr>
        <w:t xml:space="preserve"> </w:t>
      </w:r>
      <w:r>
        <w:t>large</w:t>
      </w:r>
      <w:r>
        <w:rPr>
          <w:spacing w:val="-9"/>
        </w:rPr>
        <w:t xml:space="preserve"> </w:t>
      </w:r>
      <w:r>
        <w:t>gas</w:t>
      </w:r>
    </w:p>
    <w:p w:rsidR="002C1123" w:rsidRDefault="00F22F94">
      <w:pPr>
        <w:pStyle w:val="BodyText"/>
        <w:spacing w:before="2" w:line="249" w:lineRule="auto"/>
        <w:ind w:left="187" w:right="562"/>
      </w:pPr>
      <w:r>
        <w:rPr>
          <w:w w:val="95"/>
        </w:rPr>
        <w:t>consuming</w:t>
      </w:r>
      <w:r>
        <w:rPr>
          <w:spacing w:val="-4"/>
          <w:w w:val="95"/>
        </w:rPr>
        <w:t xml:space="preserve"> </w:t>
      </w:r>
      <w:r>
        <w:rPr>
          <w:w w:val="95"/>
        </w:rPr>
        <w:t>industries</w:t>
      </w:r>
      <w:r>
        <w:rPr>
          <w:spacing w:val="-4"/>
          <w:w w:val="95"/>
        </w:rPr>
        <w:t xml:space="preserve"> </w:t>
      </w:r>
      <w:r>
        <w:rPr>
          <w:w w:val="95"/>
        </w:rPr>
        <w:t>as</w:t>
      </w:r>
      <w:r>
        <w:rPr>
          <w:spacing w:val="-4"/>
          <w:w w:val="95"/>
        </w:rPr>
        <w:t xml:space="preserve"> </w:t>
      </w:r>
      <w:r>
        <w:rPr>
          <w:w w:val="95"/>
        </w:rPr>
        <w:t>well</w:t>
      </w:r>
      <w:r>
        <w:rPr>
          <w:spacing w:val="-4"/>
          <w:w w:val="95"/>
        </w:rPr>
        <w:t xml:space="preserve"> </w:t>
      </w:r>
      <w:r>
        <w:rPr>
          <w:w w:val="95"/>
        </w:rPr>
        <w:t>as</w:t>
      </w:r>
      <w:r>
        <w:rPr>
          <w:spacing w:val="-4"/>
          <w:w w:val="95"/>
        </w:rPr>
        <w:t xml:space="preserve"> </w:t>
      </w:r>
      <w:r>
        <w:rPr>
          <w:w w:val="95"/>
        </w:rPr>
        <w:t>smaller</w:t>
      </w:r>
      <w:r>
        <w:rPr>
          <w:spacing w:val="-4"/>
          <w:w w:val="95"/>
        </w:rPr>
        <w:t xml:space="preserve"> </w:t>
      </w:r>
      <w:r>
        <w:rPr>
          <w:w w:val="95"/>
        </w:rPr>
        <w:t>commercial</w:t>
      </w:r>
      <w:r>
        <w:rPr>
          <w:spacing w:val="-4"/>
          <w:w w:val="95"/>
        </w:rPr>
        <w:t xml:space="preserve"> </w:t>
      </w:r>
      <w:r>
        <w:rPr>
          <w:w w:val="95"/>
        </w:rPr>
        <w:t xml:space="preserve">and residential consumers. In addition, these price rises will flow into electricity prices as the penetration of gas fired </w:t>
      </w:r>
      <w:r>
        <w:t>electricity</w:t>
      </w:r>
      <w:r>
        <w:rPr>
          <w:spacing w:val="-7"/>
        </w:rPr>
        <w:t xml:space="preserve"> </w:t>
      </w:r>
      <w:r>
        <w:t>generation</w:t>
      </w:r>
      <w:r>
        <w:rPr>
          <w:spacing w:val="-7"/>
        </w:rPr>
        <w:t xml:space="preserve"> </w:t>
      </w:r>
      <w:r>
        <w:t>expands</w:t>
      </w:r>
      <w:r>
        <w:rPr>
          <w:spacing w:val="-7"/>
        </w:rPr>
        <w:t xml:space="preserve"> </w:t>
      </w:r>
      <w:r>
        <w:t>in</w:t>
      </w:r>
      <w:r>
        <w:rPr>
          <w:spacing w:val="-7"/>
        </w:rPr>
        <w:t xml:space="preserve"> </w:t>
      </w:r>
      <w:r>
        <w:t>NSW.</w:t>
      </w:r>
    </w:p>
    <w:p w:rsidR="002C1123" w:rsidRDefault="00F22F94">
      <w:pPr>
        <w:pStyle w:val="BodyText"/>
        <w:spacing w:before="145" w:line="249" w:lineRule="auto"/>
        <w:ind w:left="187" w:right="774"/>
      </w:pPr>
      <w:r>
        <w:rPr>
          <w:w w:val="95"/>
        </w:rPr>
        <w:t>The</w:t>
      </w:r>
      <w:r>
        <w:rPr>
          <w:spacing w:val="-8"/>
          <w:w w:val="95"/>
        </w:rPr>
        <w:t xml:space="preserve"> </w:t>
      </w:r>
      <w:r>
        <w:rPr>
          <w:w w:val="95"/>
        </w:rPr>
        <w:t>Government</w:t>
      </w:r>
      <w:r>
        <w:rPr>
          <w:spacing w:val="-8"/>
          <w:w w:val="95"/>
        </w:rPr>
        <w:t xml:space="preserve"> </w:t>
      </w:r>
      <w:r>
        <w:rPr>
          <w:w w:val="95"/>
        </w:rPr>
        <w:t>is</w:t>
      </w:r>
      <w:r>
        <w:rPr>
          <w:spacing w:val="-8"/>
          <w:w w:val="95"/>
        </w:rPr>
        <w:t xml:space="preserve"> </w:t>
      </w:r>
      <w:r>
        <w:rPr>
          <w:w w:val="95"/>
        </w:rPr>
        <w:t>putting</w:t>
      </w:r>
      <w:r>
        <w:rPr>
          <w:spacing w:val="-8"/>
          <w:w w:val="95"/>
        </w:rPr>
        <w:t xml:space="preserve"> </w:t>
      </w:r>
      <w:r>
        <w:rPr>
          <w:w w:val="95"/>
        </w:rPr>
        <w:t>in</w:t>
      </w:r>
      <w:r>
        <w:rPr>
          <w:spacing w:val="-8"/>
          <w:w w:val="95"/>
        </w:rPr>
        <w:t xml:space="preserve"> </w:t>
      </w:r>
      <w:r>
        <w:rPr>
          <w:w w:val="95"/>
        </w:rPr>
        <w:t>place</w:t>
      </w:r>
      <w:r>
        <w:rPr>
          <w:spacing w:val="-8"/>
          <w:w w:val="95"/>
        </w:rPr>
        <w:t xml:space="preserve"> </w:t>
      </w:r>
      <w:r>
        <w:rPr>
          <w:w w:val="95"/>
        </w:rPr>
        <w:t>a</w:t>
      </w:r>
      <w:r>
        <w:rPr>
          <w:spacing w:val="-8"/>
          <w:w w:val="95"/>
        </w:rPr>
        <w:t xml:space="preserve"> </w:t>
      </w:r>
      <w:r>
        <w:rPr>
          <w:w w:val="95"/>
        </w:rPr>
        <w:t>series</w:t>
      </w:r>
      <w:r>
        <w:rPr>
          <w:spacing w:val="-8"/>
          <w:w w:val="95"/>
        </w:rPr>
        <w:t xml:space="preserve"> </w:t>
      </w:r>
      <w:r>
        <w:rPr>
          <w:w w:val="95"/>
        </w:rPr>
        <w:t>of</w:t>
      </w:r>
      <w:r>
        <w:rPr>
          <w:spacing w:val="-8"/>
          <w:w w:val="95"/>
        </w:rPr>
        <w:t xml:space="preserve"> </w:t>
      </w:r>
      <w:r>
        <w:rPr>
          <w:w w:val="95"/>
        </w:rPr>
        <w:t xml:space="preserve">measures </w:t>
      </w:r>
      <w:r>
        <w:t>to</w:t>
      </w:r>
      <w:r>
        <w:rPr>
          <w:spacing w:val="-14"/>
        </w:rPr>
        <w:t xml:space="preserve"> </w:t>
      </w:r>
      <w:r>
        <w:t>ensure</w:t>
      </w:r>
      <w:r>
        <w:rPr>
          <w:spacing w:val="-14"/>
        </w:rPr>
        <w:t xml:space="preserve"> </w:t>
      </w:r>
      <w:r>
        <w:t>that</w:t>
      </w:r>
      <w:r>
        <w:rPr>
          <w:spacing w:val="-14"/>
        </w:rPr>
        <w:t xml:space="preserve"> </w:t>
      </w:r>
      <w:r>
        <w:t>the</w:t>
      </w:r>
      <w:r>
        <w:rPr>
          <w:spacing w:val="-14"/>
        </w:rPr>
        <w:t xml:space="preserve"> </w:t>
      </w:r>
      <w:r>
        <w:t>NSW</w:t>
      </w:r>
      <w:r>
        <w:rPr>
          <w:spacing w:val="-14"/>
        </w:rPr>
        <w:t xml:space="preserve"> </w:t>
      </w:r>
      <w:r>
        <w:t>gas</w:t>
      </w:r>
      <w:r>
        <w:rPr>
          <w:spacing w:val="-14"/>
        </w:rPr>
        <w:t xml:space="preserve"> </w:t>
      </w:r>
      <w:r>
        <w:t>industry</w:t>
      </w:r>
      <w:r>
        <w:rPr>
          <w:spacing w:val="-14"/>
        </w:rPr>
        <w:t xml:space="preserve"> </w:t>
      </w:r>
      <w:r>
        <w:t>meets</w:t>
      </w:r>
      <w:r>
        <w:rPr>
          <w:spacing w:val="-14"/>
        </w:rPr>
        <w:t xml:space="preserve"> </w:t>
      </w:r>
      <w:r>
        <w:t>the</w:t>
      </w:r>
      <w:r>
        <w:rPr>
          <w:spacing w:val="-14"/>
        </w:rPr>
        <w:t xml:space="preserve"> </w:t>
      </w:r>
      <w:r>
        <w:t>safety, health</w:t>
      </w:r>
      <w:r>
        <w:rPr>
          <w:spacing w:val="-14"/>
        </w:rPr>
        <w:t xml:space="preserve"> </w:t>
      </w:r>
      <w:r>
        <w:t>and</w:t>
      </w:r>
      <w:r>
        <w:rPr>
          <w:spacing w:val="-14"/>
        </w:rPr>
        <w:t xml:space="preserve"> </w:t>
      </w:r>
      <w:r>
        <w:t>environmental</w:t>
      </w:r>
      <w:r>
        <w:rPr>
          <w:spacing w:val="-14"/>
        </w:rPr>
        <w:t xml:space="preserve"> </w:t>
      </w:r>
      <w:r>
        <w:t>requirements</w:t>
      </w:r>
      <w:r>
        <w:rPr>
          <w:spacing w:val="-14"/>
        </w:rPr>
        <w:t xml:space="preserve"> </w:t>
      </w:r>
      <w:r>
        <w:t>expected</w:t>
      </w:r>
      <w:r>
        <w:rPr>
          <w:spacing w:val="-14"/>
        </w:rPr>
        <w:t xml:space="preserve"> </w:t>
      </w:r>
      <w:r>
        <w:t>from the</w:t>
      </w:r>
      <w:r>
        <w:rPr>
          <w:spacing w:val="-11"/>
        </w:rPr>
        <w:t xml:space="preserve"> </w:t>
      </w:r>
      <w:r>
        <w:t>community.</w:t>
      </w:r>
      <w:r>
        <w:rPr>
          <w:spacing w:val="-11"/>
        </w:rPr>
        <w:t xml:space="preserve"> </w:t>
      </w:r>
      <w:r>
        <w:t>The</w:t>
      </w:r>
      <w:r>
        <w:rPr>
          <w:spacing w:val="-11"/>
        </w:rPr>
        <w:t xml:space="preserve"> </w:t>
      </w:r>
      <w:r>
        <w:t>planning</w:t>
      </w:r>
      <w:r>
        <w:rPr>
          <w:spacing w:val="-11"/>
        </w:rPr>
        <w:t xml:space="preserve"> </w:t>
      </w:r>
      <w:r>
        <w:t>and</w:t>
      </w:r>
      <w:r>
        <w:rPr>
          <w:spacing w:val="-11"/>
        </w:rPr>
        <w:t xml:space="preserve"> </w:t>
      </w:r>
      <w:r>
        <w:t>approval</w:t>
      </w:r>
      <w:r>
        <w:rPr>
          <w:spacing w:val="-11"/>
        </w:rPr>
        <w:t xml:space="preserve"> </w:t>
      </w:r>
      <w:r>
        <w:t>processes need</w:t>
      </w:r>
      <w:r>
        <w:rPr>
          <w:spacing w:val="-10"/>
        </w:rPr>
        <w:t xml:space="preserve"> </w:t>
      </w:r>
      <w:r>
        <w:t>to</w:t>
      </w:r>
      <w:r>
        <w:rPr>
          <w:spacing w:val="-10"/>
        </w:rPr>
        <w:t xml:space="preserve"> </w:t>
      </w:r>
      <w:r>
        <w:t>be</w:t>
      </w:r>
      <w:r>
        <w:rPr>
          <w:spacing w:val="-10"/>
        </w:rPr>
        <w:t xml:space="preserve"> </w:t>
      </w:r>
      <w:r>
        <w:t>streamlined,</w:t>
      </w:r>
      <w:r>
        <w:rPr>
          <w:spacing w:val="-10"/>
        </w:rPr>
        <w:t xml:space="preserve"> </w:t>
      </w:r>
      <w:r>
        <w:t>proportionate</w:t>
      </w:r>
      <w:r>
        <w:rPr>
          <w:spacing w:val="-10"/>
        </w:rPr>
        <w:t xml:space="preserve"> </w:t>
      </w:r>
      <w:r>
        <w:t>and</w:t>
      </w:r>
      <w:r>
        <w:rPr>
          <w:spacing w:val="-10"/>
        </w:rPr>
        <w:t xml:space="preserve"> </w:t>
      </w:r>
      <w:r>
        <w:t>timely.</w:t>
      </w:r>
    </w:p>
    <w:p w:rsidR="002C1123" w:rsidRDefault="00F22F94">
      <w:pPr>
        <w:pStyle w:val="BodyText"/>
        <w:spacing w:before="146" w:line="249" w:lineRule="auto"/>
        <w:ind w:left="187" w:right="698"/>
      </w:pPr>
      <w:r>
        <w:rPr>
          <w:w w:val="95"/>
        </w:rPr>
        <w:t xml:space="preserve">NSW CSG reserves will need to be linked to the existing national gas transmission network if they are to address </w:t>
      </w:r>
      <w:r>
        <w:t>the</w:t>
      </w:r>
      <w:r>
        <w:rPr>
          <w:spacing w:val="-6"/>
        </w:rPr>
        <w:t xml:space="preserve"> </w:t>
      </w:r>
      <w:r>
        <w:t>supply</w:t>
      </w:r>
      <w:r>
        <w:rPr>
          <w:spacing w:val="-6"/>
        </w:rPr>
        <w:t xml:space="preserve"> </w:t>
      </w:r>
      <w:r>
        <w:t>demands</w:t>
      </w:r>
      <w:r>
        <w:rPr>
          <w:spacing w:val="-6"/>
        </w:rPr>
        <w:t xml:space="preserve"> </w:t>
      </w:r>
      <w:r>
        <w:t>from</w:t>
      </w:r>
      <w:r>
        <w:rPr>
          <w:spacing w:val="-6"/>
        </w:rPr>
        <w:t xml:space="preserve"> </w:t>
      </w:r>
      <w:r>
        <w:t>business,</w:t>
      </w:r>
      <w:r>
        <w:rPr>
          <w:spacing w:val="-6"/>
        </w:rPr>
        <w:t xml:space="preserve"> </w:t>
      </w:r>
      <w:r>
        <w:t>households</w:t>
      </w:r>
      <w:r>
        <w:rPr>
          <w:spacing w:val="-6"/>
        </w:rPr>
        <w:t xml:space="preserve"> </w:t>
      </w:r>
      <w:r>
        <w:t>and export</w:t>
      </w:r>
      <w:r>
        <w:rPr>
          <w:spacing w:val="-14"/>
        </w:rPr>
        <w:t xml:space="preserve"> </w:t>
      </w:r>
      <w:r>
        <w:t>customers.</w:t>
      </w:r>
      <w:r>
        <w:rPr>
          <w:spacing w:val="-14"/>
        </w:rPr>
        <w:t xml:space="preserve"> </w:t>
      </w:r>
      <w:r>
        <w:t>This</w:t>
      </w:r>
      <w:r>
        <w:rPr>
          <w:spacing w:val="-14"/>
        </w:rPr>
        <w:t xml:space="preserve"> </w:t>
      </w:r>
      <w:r>
        <w:t>will</w:t>
      </w:r>
      <w:r>
        <w:rPr>
          <w:spacing w:val="-14"/>
        </w:rPr>
        <w:t xml:space="preserve"> </w:t>
      </w:r>
      <w:r>
        <w:t>require</w:t>
      </w:r>
      <w:r>
        <w:rPr>
          <w:spacing w:val="-14"/>
        </w:rPr>
        <w:t xml:space="preserve"> </w:t>
      </w:r>
      <w:r>
        <w:t>additional</w:t>
      </w:r>
      <w:r>
        <w:rPr>
          <w:spacing w:val="-14"/>
        </w:rPr>
        <w:t xml:space="preserve"> </w:t>
      </w:r>
      <w:r>
        <w:t>intrastate pipeline</w:t>
      </w:r>
      <w:r>
        <w:rPr>
          <w:spacing w:val="-9"/>
        </w:rPr>
        <w:t xml:space="preserve"> </w:t>
      </w:r>
      <w:r>
        <w:t>infrastructure</w:t>
      </w:r>
      <w:r>
        <w:rPr>
          <w:spacing w:val="-9"/>
        </w:rPr>
        <w:t xml:space="preserve"> </w:t>
      </w:r>
      <w:r>
        <w:t>supporting</w:t>
      </w:r>
      <w:r>
        <w:rPr>
          <w:spacing w:val="-9"/>
        </w:rPr>
        <w:t xml:space="preserve"> </w:t>
      </w:r>
      <w:r>
        <w:t>the</w:t>
      </w:r>
      <w:r>
        <w:rPr>
          <w:spacing w:val="-9"/>
        </w:rPr>
        <w:t xml:space="preserve"> </w:t>
      </w:r>
      <w:r>
        <w:t>development</w:t>
      </w:r>
      <w:r>
        <w:rPr>
          <w:spacing w:val="-9"/>
        </w:rPr>
        <w:t xml:space="preserve"> </w:t>
      </w:r>
      <w:r>
        <w:t xml:space="preserve">of </w:t>
      </w:r>
      <w:r>
        <w:rPr>
          <w:w w:val="95"/>
        </w:rPr>
        <w:t>NSW gas sector and to ensure unconstrained access to gas supplies. Additional intrastate pipeline infrastructure from</w:t>
      </w:r>
      <w:r>
        <w:rPr>
          <w:spacing w:val="-3"/>
          <w:w w:val="95"/>
        </w:rPr>
        <w:t xml:space="preserve"> </w:t>
      </w:r>
      <w:r>
        <w:rPr>
          <w:w w:val="95"/>
        </w:rPr>
        <w:t>the</w:t>
      </w:r>
      <w:r>
        <w:rPr>
          <w:spacing w:val="-2"/>
          <w:w w:val="95"/>
        </w:rPr>
        <w:t xml:space="preserve"> </w:t>
      </w:r>
      <w:r>
        <w:rPr>
          <w:w w:val="95"/>
        </w:rPr>
        <w:t>NSW</w:t>
      </w:r>
      <w:r>
        <w:rPr>
          <w:spacing w:val="-2"/>
          <w:w w:val="95"/>
        </w:rPr>
        <w:t xml:space="preserve"> </w:t>
      </w:r>
      <w:r>
        <w:rPr>
          <w:w w:val="95"/>
        </w:rPr>
        <w:t>CSG-producing</w:t>
      </w:r>
      <w:r>
        <w:rPr>
          <w:spacing w:val="-2"/>
          <w:w w:val="95"/>
        </w:rPr>
        <w:t xml:space="preserve"> </w:t>
      </w:r>
      <w:r>
        <w:rPr>
          <w:w w:val="95"/>
        </w:rPr>
        <w:t>basins</w:t>
      </w:r>
      <w:r>
        <w:rPr>
          <w:spacing w:val="-2"/>
          <w:w w:val="95"/>
        </w:rPr>
        <w:t xml:space="preserve"> </w:t>
      </w:r>
      <w:r>
        <w:rPr>
          <w:w w:val="95"/>
        </w:rPr>
        <w:t>to</w:t>
      </w:r>
      <w:r>
        <w:rPr>
          <w:spacing w:val="-2"/>
          <w:w w:val="95"/>
        </w:rPr>
        <w:t xml:space="preserve"> </w:t>
      </w:r>
      <w:r>
        <w:rPr>
          <w:w w:val="95"/>
        </w:rPr>
        <w:t>gas</w:t>
      </w:r>
      <w:r>
        <w:rPr>
          <w:spacing w:val="-2"/>
          <w:w w:val="95"/>
        </w:rPr>
        <w:t xml:space="preserve"> </w:t>
      </w:r>
      <w:r>
        <w:rPr>
          <w:w w:val="95"/>
        </w:rPr>
        <w:t>markets</w:t>
      </w:r>
      <w:r>
        <w:rPr>
          <w:spacing w:val="-2"/>
          <w:w w:val="95"/>
        </w:rPr>
        <w:t xml:space="preserve"> </w:t>
      </w:r>
      <w:r>
        <w:rPr>
          <w:w w:val="95"/>
        </w:rPr>
        <w:t xml:space="preserve">will </w:t>
      </w:r>
      <w:r>
        <w:t>increase</w:t>
      </w:r>
      <w:r>
        <w:rPr>
          <w:spacing w:val="-9"/>
        </w:rPr>
        <w:t xml:space="preserve"> </w:t>
      </w:r>
      <w:r>
        <w:t>security</w:t>
      </w:r>
      <w:r>
        <w:rPr>
          <w:spacing w:val="-9"/>
        </w:rPr>
        <w:t xml:space="preserve"> </w:t>
      </w:r>
      <w:r>
        <w:t>of</w:t>
      </w:r>
      <w:r>
        <w:rPr>
          <w:spacing w:val="-9"/>
        </w:rPr>
        <w:t xml:space="preserve"> </w:t>
      </w:r>
      <w:r>
        <w:t>supply</w:t>
      </w:r>
      <w:r>
        <w:rPr>
          <w:spacing w:val="-9"/>
        </w:rPr>
        <w:t xml:space="preserve"> </w:t>
      </w:r>
      <w:r>
        <w:t>for</w:t>
      </w:r>
      <w:r>
        <w:rPr>
          <w:spacing w:val="-9"/>
        </w:rPr>
        <w:t xml:space="preserve"> </w:t>
      </w:r>
      <w:r>
        <w:t>NSW</w:t>
      </w:r>
      <w:r>
        <w:rPr>
          <w:spacing w:val="-9"/>
        </w:rPr>
        <w:t xml:space="preserve"> </w:t>
      </w:r>
      <w:r>
        <w:t>consumers.</w:t>
      </w:r>
    </w:p>
    <w:p w:rsidR="002C1123" w:rsidRDefault="00F22F94">
      <w:pPr>
        <w:pStyle w:val="BodyText"/>
        <w:spacing w:before="149" w:line="249" w:lineRule="auto"/>
        <w:ind w:left="187" w:right="698"/>
      </w:pPr>
      <w:r>
        <w:t>This</w:t>
      </w:r>
      <w:r>
        <w:rPr>
          <w:spacing w:val="-12"/>
        </w:rPr>
        <w:t xml:space="preserve"> </w:t>
      </w:r>
      <w:r>
        <w:t>significant</w:t>
      </w:r>
      <w:r>
        <w:rPr>
          <w:spacing w:val="-12"/>
        </w:rPr>
        <w:t xml:space="preserve"> </w:t>
      </w:r>
      <w:r>
        <w:t>investment</w:t>
      </w:r>
      <w:r>
        <w:rPr>
          <w:spacing w:val="-12"/>
        </w:rPr>
        <w:t xml:space="preserve"> </w:t>
      </w:r>
      <w:r>
        <w:t>in</w:t>
      </w:r>
      <w:r>
        <w:rPr>
          <w:spacing w:val="-12"/>
        </w:rPr>
        <w:t xml:space="preserve"> </w:t>
      </w:r>
      <w:r>
        <w:t>gas</w:t>
      </w:r>
      <w:r>
        <w:rPr>
          <w:spacing w:val="-12"/>
        </w:rPr>
        <w:t xml:space="preserve"> </w:t>
      </w:r>
      <w:r>
        <w:t>transportation infrastructure</w:t>
      </w:r>
      <w:r>
        <w:rPr>
          <w:spacing w:val="-14"/>
        </w:rPr>
        <w:t xml:space="preserve"> </w:t>
      </w:r>
      <w:r>
        <w:t>will</w:t>
      </w:r>
      <w:r>
        <w:rPr>
          <w:spacing w:val="-14"/>
        </w:rPr>
        <w:t xml:space="preserve"> </w:t>
      </w:r>
      <w:r>
        <w:t>undertaken</w:t>
      </w:r>
      <w:r>
        <w:rPr>
          <w:spacing w:val="-14"/>
        </w:rPr>
        <w:t xml:space="preserve"> </w:t>
      </w:r>
      <w:r>
        <w:t>by</w:t>
      </w:r>
      <w:r>
        <w:rPr>
          <w:spacing w:val="-14"/>
        </w:rPr>
        <w:t xml:space="preserve"> </w:t>
      </w:r>
      <w:r>
        <w:t>private</w:t>
      </w:r>
      <w:r>
        <w:rPr>
          <w:spacing w:val="-14"/>
        </w:rPr>
        <w:t xml:space="preserve"> </w:t>
      </w:r>
      <w:r>
        <w:t>interests</w:t>
      </w:r>
      <w:r>
        <w:rPr>
          <w:spacing w:val="-14"/>
        </w:rPr>
        <w:t xml:space="preserve"> </w:t>
      </w:r>
      <w:r>
        <w:t xml:space="preserve">with </w:t>
      </w:r>
      <w:r>
        <w:rPr>
          <w:w w:val="95"/>
        </w:rPr>
        <w:t>regulatory</w:t>
      </w:r>
      <w:r>
        <w:rPr>
          <w:spacing w:val="-7"/>
          <w:w w:val="95"/>
        </w:rPr>
        <w:t xml:space="preserve"> </w:t>
      </w:r>
      <w:r>
        <w:rPr>
          <w:w w:val="95"/>
        </w:rPr>
        <w:t>oversight</w:t>
      </w:r>
      <w:r>
        <w:rPr>
          <w:spacing w:val="-7"/>
          <w:w w:val="95"/>
        </w:rPr>
        <w:t xml:space="preserve"> </w:t>
      </w:r>
      <w:r>
        <w:rPr>
          <w:w w:val="95"/>
        </w:rPr>
        <w:t>by</w:t>
      </w:r>
      <w:r>
        <w:rPr>
          <w:spacing w:val="-7"/>
          <w:w w:val="95"/>
        </w:rPr>
        <w:t xml:space="preserve"> </w:t>
      </w:r>
      <w:r>
        <w:rPr>
          <w:w w:val="95"/>
        </w:rPr>
        <w:t>the</w:t>
      </w:r>
      <w:r>
        <w:rPr>
          <w:spacing w:val="-7"/>
          <w:w w:val="95"/>
        </w:rPr>
        <w:t xml:space="preserve"> </w:t>
      </w:r>
      <w:r>
        <w:rPr>
          <w:w w:val="95"/>
        </w:rPr>
        <w:t>Government.</w:t>
      </w:r>
      <w:r>
        <w:rPr>
          <w:spacing w:val="-7"/>
          <w:w w:val="95"/>
        </w:rPr>
        <w:t xml:space="preserve"> </w:t>
      </w:r>
      <w:r>
        <w:rPr>
          <w:w w:val="95"/>
        </w:rPr>
        <w:t>The</w:t>
      </w:r>
      <w:r>
        <w:rPr>
          <w:spacing w:val="-7"/>
          <w:w w:val="95"/>
        </w:rPr>
        <w:t xml:space="preserve"> </w:t>
      </w:r>
      <w:r>
        <w:rPr>
          <w:w w:val="95"/>
        </w:rPr>
        <w:t>priority</w:t>
      </w:r>
      <w:r>
        <w:rPr>
          <w:spacing w:val="-7"/>
          <w:w w:val="95"/>
        </w:rPr>
        <w:t xml:space="preserve"> </w:t>
      </w:r>
      <w:r>
        <w:rPr>
          <w:w w:val="95"/>
        </w:rPr>
        <w:t>is</w:t>
      </w:r>
      <w:r>
        <w:rPr>
          <w:spacing w:val="-7"/>
          <w:w w:val="95"/>
        </w:rPr>
        <w:t xml:space="preserve"> </w:t>
      </w:r>
      <w:r>
        <w:rPr>
          <w:w w:val="95"/>
        </w:rPr>
        <w:t xml:space="preserve">to </w:t>
      </w:r>
      <w:r>
        <w:t>ensure</w:t>
      </w:r>
      <w:r>
        <w:rPr>
          <w:spacing w:val="-14"/>
        </w:rPr>
        <w:t xml:space="preserve"> </w:t>
      </w:r>
      <w:r>
        <w:t>that</w:t>
      </w:r>
      <w:r>
        <w:rPr>
          <w:spacing w:val="-14"/>
        </w:rPr>
        <w:t xml:space="preserve"> </w:t>
      </w:r>
      <w:r>
        <w:t>investment</w:t>
      </w:r>
      <w:r>
        <w:rPr>
          <w:spacing w:val="-14"/>
        </w:rPr>
        <w:t xml:space="preserve"> </w:t>
      </w:r>
      <w:r>
        <w:t>in</w:t>
      </w:r>
      <w:r>
        <w:rPr>
          <w:spacing w:val="-14"/>
        </w:rPr>
        <w:t xml:space="preserve"> </w:t>
      </w:r>
      <w:r>
        <w:t>gas</w:t>
      </w:r>
      <w:r>
        <w:rPr>
          <w:spacing w:val="-14"/>
        </w:rPr>
        <w:t xml:space="preserve"> </w:t>
      </w:r>
      <w:r>
        <w:t>infrastructure</w:t>
      </w:r>
      <w:r>
        <w:rPr>
          <w:spacing w:val="-14"/>
        </w:rPr>
        <w:t xml:space="preserve"> </w:t>
      </w:r>
      <w:r>
        <w:t>occurs</w:t>
      </w:r>
      <w:r>
        <w:rPr>
          <w:spacing w:val="-14"/>
        </w:rPr>
        <w:t xml:space="preserve"> </w:t>
      </w:r>
      <w:r>
        <w:t>in</w:t>
      </w:r>
      <w:r>
        <w:rPr>
          <w:spacing w:val="-14"/>
        </w:rPr>
        <w:t xml:space="preserve"> </w:t>
      </w:r>
      <w:r>
        <w:t>a timely</w:t>
      </w:r>
      <w:r>
        <w:rPr>
          <w:spacing w:val="-12"/>
        </w:rPr>
        <w:t xml:space="preserve"> </w:t>
      </w:r>
      <w:r>
        <w:t>manner</w:t>
      </w:r>
      <w:r>
        <w:rPr>
          <w:spacing w:val="-12"/>
        </w:rPr>
        <w:t xml:space="preserve"> </w:t>
      </w:r>
      <w:r>
        <w:t>and</w:t>
      </w:r>
      <w:r>
        <w:rPr>
          <w:spacing w:val="-12"/>
        </w:rPr>
        <w:t xml:space="preserve"> </w:t>
      </w:r>
      <w:r>
        <w:t>does</w:t>
      </w:r>
      <w:r>
        <w:rPr>
          <w:spacing w:val="-12"/>
        </w:rPr>
        <w:t xml:space="preserve"> </w:t>
      </w:r>
      <w:r>
        <w:t>not</w:t>
      </w:r>
      <w:r>
        <w:rPr>
          <w:spacing w:val="-12"/>
        </w:rPr>
        <w:t xml:space="preserve"> </w:t>
      </w:r>
      <w:r>
        <w:t>delay</w:t>
      </w:r>
      <w:r>
        <w:rPr>
          <w:spacing w:val="-12"/>
        </w:rPr>
        <w:t xml:space="preserve"> </w:t>
      </w:r>
      <w:r>
        <w:t>production</w:t>
      </w:r>
      <w:r>
        <w:rPr>
          <w:spacing w:val="-12"/>
        </w:rPr>
        <w:t xml:space="preserve"> </w:t>
      </w:r>
      <w:r>
        <w:t>or</w:t>
      </w:r>
      <w:r>
        <w:rPr>
          <w:spacing w:val="-12"/>
        </w:rPr>
        <w:t xml:space="preserve"> </w:t>
      </w:r>
      <w:r>
        <w:t>create supply</w:t>
      </w:r>
      <w:r>
        <w:rPr>
          <w:spacing w:val="-11"/>
        </w:rPr>
        <w:t xml:space="preserve"> </w:t>
      </w:r>
      <w:r>
        <w:t>bottlenecks.</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284" w:space="40"/>
            <w:col w:w="4994" w:space="39"/>
            <w:col w:w="5703"/>
          </w:cols>
        </w:sectPr>
      </w:pPr>
    </w:p>
    <w:p w:rsidR="002C1123" w:rsidRDefault="002C1123">
      <w:pPr>
        <w:pStyle w:val="BodyText"/>
      </w:pPr>
    </w:p>
    <w:p w:rsidR="002C1123" w:rsidRDefault="002C1123">
      <w:pPr>
        <w:pStyle w:val="BodyText"/>
        <w:spacing w:before="2"/>
        <w:rPr>
          <w:sz w:val="11"/>
        </w:rPr>
      </w:pPr>
    </w:p>
    <w:p w:rsidR="002C1123" w:rsidRDefault="002060EF">
      <w:pPr>
        <w:tabs>
          <w:tab w:val="left" w:pos="5518"/>
        </w:tabs>
        <w:spacing w:line="20" w:lineRule="exact"/>
        <w:ind w:left="492"/>
        <w:rPr>
          <w:sz w:val="2"/>
        </w:rPr>
      </w:pPr>
      <w:r>
        <w:rPr>
          <w:sz w:val="2"/>
        </w:rPr>
      </w:r>
      <w:r>
        <w:rPr>
          <w:sz w:val="2"/>
        </w:rPr>
        <w:pict>
          <v:group id="docshapegroup2192" o:spid="_x0000_s1843" style="width:1in;height:.5pt;mso-position-horizontal-relative:char;mso-position-vertical-relative:line" coordsize="1440,10">
            <v:line id="_x0000_s1844" style="position:absolute" from="0,5" to="1440,5" strokecolor="#9c9c9d" strokeweight=".5pt"/>
            <w10:anchorlock/>
          </v:group>
        </w:pict>
      </w:r>
      <w:r w:rsidR="00F22F94">
        <w:rPr>
          <w:sz w:val="2"/>
        </w:rPr>
        <w:tab/>
      </w:r>
      <w:r>
        <w:rPr>
          <w:sz w:val="2"/>
        </w:rPr>
      </w:r>
      <w:r>
        <w:rPr>
          <w:sz w:val="2"/>
        </w:rPr>
        <w:pict>
          <v:group id="docshapegroup2193" o:spid="_x0000_s1841" style="width:1in;height:.5pt;mso-position-horizontal-relative:char;mso-position-vertical-relative:line" coordsize="1440,10">
            <v:line id="_x0000_s1842" style="position:absolute" from="0,5" to="1440,5" strokecolor="#9c9c9d" strokeweight=".5pt"/>
            <w10:anchorlock/>
          </v:group>
        </w:pict>
      </w:r>
    </w:p>
    <w:p w:rsidR="002C1123" w:rsidRDefault="002C1123">
      <w:pPr>
        <w:spacing w:line="20" w:lineRule="exact"/>
        <w:rPr>
          <w:sz w:val="2"/>
        </w:rPr>
        <w:sectPr w:rsidR="002C1123">
          <w:type w:val="continuous"/>
          <w:pgSz w:w="16840" w:h="11910" w:orient="landscape"/>
          <w:pgMar w:top="560" w:right="280" w:bottom="280" w:left="500" w:header="0" w:footer="517" w:gutter="0"/>
          <w:cols w:space="720"/>
        </w:sectPr>
      </w:pPr>
    </w:p>
    <w:p w:rsidR="002C1123" w:rsidRDefault="00F22F94">
      <w:pPr>
        <w:pStyle w:val="ListParagraph"/>
        <w:numPr>
          <w:ilvl w:val="1"/>
          <w:numId w:val="58"/>
        </w:numPr>
        <w:tabs>
          <w:tab w:val="left" w:pos="691"/>
        </w:tabs>
        <w:spacing w:before="8"/>
        <w:ind w:left="690" w:right="244"/>
        <w:jc w:val="left"/>
        <w:rPr>
          <w:sz w:val="14"/>
        </w:rPr>
      </w:pPr>
      <w:r>
        <w:rPr>
          <w:w w:val="95"/>
          <w:sz w:val="14"/>
        </w:rPr>
        <w:t>Syed, A and Penney, K 2011, Australian Energy Projections to 2034-35,</w:t>
      </w:r>
      <w:r>
        <w:rPr>
          <w:spacing w:val="40"/>
          <w:sz w:val="14"/>
        </w:rPr>
        <w:t xml:space="preserve"> </w:t>
      </w:r>
      <w:r>
        <w:rPr>
          <w:sz w:val="14"/>
        </w:rPr>
        <w:t>Bureau of Resource and Energy Economics.</w:t>
      </w:r>
    </w:p>
    <w:p w:rsidR="002C1123" w:rsidRDefault="00F22F94">
      <w:pPr>
        <w:pStyle w:val="ListParagraph"/>
        <w:numPr>
          <w:ilvl w:val="1"/>
          <w:numId w:val="58"/>
        </w:numPr>
        <w:tabs>
          <w:tab w:val="left" w:pos="691"/>
        </w:tabs>
        <w:spacing w:line="159" w:lineRule="exact"/>
        <w:ind w:left="690"/>
        <w:jc w:val="left"/>
        <w:rPr>
          <w:sz w:val="14"/>
        </w:rPr>
      </w:pPr>
      <w:r>
        <w:rPr>
          <w:w w:val="95"/>
          <w:sz w:val="14"/>
        </w:rPr>
        <w:t>Bureau</w:t>
      </w:r>
      <w:r>
        <w:rPr>
          <w:spacing w:val="-2"/>
          <w:w w:val="95"/>
          <w:sz w:val="14"/>
        </w:rPr>
        <w:t xml:space="preserve"> </w:t>
      </w:r>
      <w:r>
        <w:rPr>
          <w:w w:val="95"/>
          <w:sz w:val="14"/>
        </w:rPr>
        <w:t>of</w:t>
      </w:r>
      <w:r>
        <w:rPr>
          <w:spacing w:val="-1"/>
          <w:w w:val="95"/>
          <w:sz w:val="14"/>
        </w:rPr>
        <w:t xml:space="preserve"> </w:t>
      </w:r>
      <w:r>
        <w:rPr>
          <w:w w:val="95"/>
          <w:sz w:val="14"/>
        </w:rPr>
        <w:t>Resource</w:t>
      </w:r>
      <w:r>
        <w:rPr>
          <w:spacing w:val="-1"/>
          <w:w w:val="95"/>
          <w:sz w:val="14"/>
        </w:rPr>
        <w:t xml:space="preserve"> </w:t>
      </w:r>
      <w:r>
        <w:rPr>
          <w:w w:val="95"/>
          <w:sz w:val="14"/>
        </w:rPr>
        <w:t>and</w:t>
      </w:r>
      <w:r>
        <w:rPr>
          <w:spacing w:val="-2"/>
          <w:w w:val="95"/>
          <w:sz w:val="14"/>
        </w:rPr>
        <w:t xml:space="preserve"> </w:t>
      </w:r>
      <w:r>
        <w:rPr>
          <w:w w:val="95"/>
          <w:sz w:val="14"/>
        </w:rPr>
        <w:t>Energy</w:t>
      </w:r>
      <w:r>
        <w:rPr>
          <w:spacing w:val="-1"/>
          <w:w w:val="95"/>
          <w:sz w:val="14"/>
        </w:rPr>
        <w:t xml:space="preserve"> </w:t>
      </w:r>
      <w:r>
        <w:rPr>
          <w:w w:val="95"/>
          <w:sz w:val="14"/>
        </w:rPr>
        <w:t>Economics</w:t>
      </w:r>
      <w:r>
        <w:rPr>
          <w:spacing w:val="-1"/>
          <w:w w:val="95"/>
          <w:sz w:val="14"/>
        </w:rPr>
        <w:t xml:space="preserve"> </w:t>
      </w:r>
      <w:r>
        <w:rPr>
          <w:w w:val="95"/>
          <w:sz w:val="14"/>
        </w:rPr>
        <w:t>2012,</w:t>
      </w:r>
      <w:r>
        <w:rPr>
          <w:spacing w:val="-1"/>
          <w:w w:val="95"/>
          <w:sz w:val="14"/>
        </w:rPr>
        <w:t xml:space="preserve"> </w:t>
      </w:r>
      <w:r>
        <w:rPr>
          <w:w w:val="95"/>
          <w:sz w:val="14"/>
        </w:rPr>
        <w:t>Energy</w:t>
      </w:r>
      <w:r>
        <w:rPr>
          <w:spacing w:val="-2"/>
          <w:w w:val="95"/>
          <w:sz w:val="14"/>
        </w:rPr>
        <w:t xml:space="preserve"> </w:t>
      </w:r>
      <w:r>
        <w:rPr>
          <w:w w:val="95"/>
          <w:sz w:val="14"/>
        </w:rPr>
        <w:t>in</w:t>
      </w:r>
      <w:r>
        <w:rPr>
          <w:spacing w:val="-1"/>
          <w:w w:val="95"/>
          <w:sz w:val="14"/>
        </w:rPr>
        <w:t xml:space="preserve"> </w:t>
      </w:r>
      <w:r>
        <w:rPr>
          <w:w w:val="95"/>
          <w:sz w:val="14"/>
        </w:rPr>
        <w:t>Australia</w:t>
      </w:r>
      <w:r>
        <w:rPr>
          <w:spacing w:val="-1"/>
          <w:w w:val="95"/>
          <w:sz w:val="14"/>
        </w:rPr>
        <w:t xml:space="preserve"> </w:t>
      </w:r>
      <w:r>
        <w:rPr>
          <w:spacing w:val="-4"/>
          <w:w w:val="95"/>
          <w:sz w:val="14"/>
        </w:rPr>
        <w:t>2012.</w:t>
      </w:r>
    </w:p>
    <w:p w:rsidR="002C1123" w:rsidRDefault="00F22F94">
      <w:pPr>
        <w:pStyle w:val="ListParagraph"/>
        <w:numPr>
          <w:ilvl w:val="1"/>
          <w:numId w:val="58"/>
        </w:numPr>
        <w:tabs>
          <w:tab w:val="left" w:pos="467"/>
        </w:tabs>
        <w:spacing w:before="8" w:line="161" w:lineRule="exact"/>
        <w:ind w:left="466"/>
        <w:jc w:val="left"/>
        <w:rPr>
          <w:sz w:val="14"/>
        </w:rPr>
      </w:pPr>
      <w:r>
        <w:br w:type="column"/>
      </w:r>
      <w:r>
        <w:rPr>
          <w:w w:val="95"/>
          <w:sz w:val="14"/>
        </w:rPr>
        <w:t>Santos</w:t>
      </w:r>
      <w:r>
        <w:rPr>
          <w:spacing w:val="-2"/>
          <w:w w:val="95"/>
          <w:sz w:val="14"/>
        </w:rPr>
        <w:t xml:space="preserve"> </w:t>
      </w:r>
      <w:r>
        <w:rPr>
          <w:w w:val="95"/>
          <w:sz w:val="14"/>
        </w:rPr>
        <w:t>2012,</w:t>
      </w:r>
      <w:r>
        <w:rPr>
          <w:spacing w:val="-2"/>
          <w:w w:val="95"/>
          <w:sz w:val="14"/>
        </w:rPr>
        <w:t xml:space="preserve"> </w:t>
      </w:r>
      <w:r>
        <w:rPr>
          <w:w w:val="95"/>
          <w:sz w:val="14"/>
        </w:rPr>
        <w:t>GLNG</w:t>
      </w:r>
      <w:r>
        <w:rPr>
          <w:spacing w:val="-2"/>
          <w:w w:val="95"/>
          <w:sz w:val="14"/>
        </w:rPr>
        <w:t xml:space="preserve"> </w:t>
      </w:r>
      <w:r>
        <w:rPr>
          <w:w w:val="95"/>
          <w:sz w:val="14"/>
        </w:rPr>
        <w:t>to</w:t>
      </w:r>
      <w:r>
        <w:rPr>
          <w:spacing w:val="-2"/>
          <w:w w:val="95"/>
          <w:sz w:val="14"/>
        </w:rPr>
        <w:t xml:space="preserve"> </w:t>
      </w:r>
      <w:r>
        <w:rPr>
          <w:w w:val="95"/>
          <w:sz w:val="14"/>
        </w:rPr>
        <w:t>Purchase</w:t>
      </w:r>
      <w:r>
        <w:rPr>
          <w:spacing w:val="-2"/>
          <w:w w:val="95"/>
          <w:sz w:val="14"/>
        </w:rPr>
        <w:t xml:space="preserve"> </w:t>
      </w:r>
      <w:r>
        <w:rPr>
          <w:w w:val="95"/>
          <w:sz w:val="14"/>
        </w:rPr>
        <w:t>365PJ</w:t>
      </w:r>
      <w:r>
        <w:rPr>
          <w:spacing w:val="-2"/>
          <w:w w:val="95"/>
          <w:sz w:val="14"/>
        </w:rPr>
        <w:t xml:space="preserve"> </w:t>
      </w:r>
      <w:r>
        <w:rPr>
          <w:w w:val="95"/>
          <w:sz w:val="14"/>
        </w:rPr>
        <w:t>of</w:t>
      </w:r>
      <w:r>
        <w:rPr>
          <w:spacing w:val="-2"/>
          <w:w w:val="95"/>
          <w:sz w:val="14"/>
        </w:rPr>
        <w:t xml:space="preserve"> </w:t>
      </w:r>
      <w:r>
        <w:rPr>
          <w:w w:val="95"/>
          <w:sz w:val="14"/>
        </w:rPr>
        <w:t>Gas</w:t>
      </w:r>
      <w:r>
        <w:rPr>
          <w:spacing w:val="-2"/>
          <w:w w:val="95"/>
          <w:sz w:val="14"/>
        </w:rPr>
        <w:t xml:space="preserve"> </w:t>
      </w:r>
      <w:r>
        <w:rPr>
          <w:w w:val="95"/>
          <w:sz w:val="14"/>
        </w:rPr>
        <w:t>From</w:t>
      </w:r>
      <w:r>
        <w:rPr>
          <w:spacing w:val="-2"/>
          <w:w w:val="95"/>
          <w:sz w:val="14"/>
        </w:rPr>
        <w:t xml:space="preserve"> </w:t>
      </w:r>
      <w:r>
        <w:rPr>
          <w:w w:val="95"/>
          <w:sz w:val="14"/>
        </w:rPr>
        <w:t>Origin</w:t>
      </w:r>
      <w:r>
        <w:rPr>
          <w:spacing w:val="-2"/>
          <w:w w:val="95"/>
          <w:sz w:val="14"/>
        </w:rPr>
        <w:t xml:space="preserve"> Energy,</w:t>
      </w:r>
    </w:p>
    <w:p w:rsidR="002C1123" w:rsidRDefault="00F22F94">
      <w:pPr>
        <w:ind w:left="466" w:right="5720"/>
        <w:rPr>
          <w:sz w:val="14"/>
        </w:rPr>
      </w:pPr>
      <w:r>
        <w:rPr>
          <w:w w:val="95"/>
          <w:sz w:val="14"/>
        </w:rPr>
        <w:t>ASX Media Release, 2 May 2012. Origin Energy 2012, Origin Announces</w:t>
      </w:r>
      <w:r>
        <w:rPr>
          <w:spacing w:val="40"/>
          <w:sz w:val="14"/>
        </w:rPr>
        <w:t xml:space="preserve"> </w:t>
      </w:r>
      <w:r>
        <w:rPr>
          <w:w w:val="95"/>
          <w:sz w:val="14"/>
        </w:rPr>
        <w:t>major</w:t>
      </w:r>
      <w:r>
        <w:rPr>
          <w:spacing w:val="-1"/>
          <w:w w:val="95"/>
          <w:sz w:val="14"/>
        </w:rPr>
        <w:t xml:space="preserve"> </w:t>
      </w:r>
      <w:r>
        <w:rPr>
          <w:w w:val="95"/>
          <w:sz w:val="14"/>
        </w:rPr>
        <w:t>gas</w:t>
      </w:r>
      <w:r>
        <w:rPr>
          <w:spacing w:val="-1"/>
          <w:w w:val="95"/>
          <w:sz w:val="14"/>
        </w:rPr>
        <w:t xml:space="preserve"> </w:t>
      </w:r>
      <w:r>
        <w:rPr>
          <w:w w:val="95"/>
          <w:sz w:val="14"/>
        </w:rPr>
        <w:t>sales</w:t>
      </w:r>
      <w:r>
        <w:rPr>
          <w:spacing w:val="-1"/>
          <w:w w:val="95"/>
          <w:sz w:val="14"/>
        </w:rPr>
        <w:t xml:space="preserve"> </w:t>
      </w:r>
      <w:r>
        <w:rPr>
          <w:w w:val="95"/>
          <w:sz w:val="14"/>
        </w:rPr>
        <w:t>agreement</w:t>
      </w:r>
      <w:r>
        <w:rPr>
          <w:spacing w:val="-1"/>
          <w:w w:val="95"/>
          <w:sz w:val="14"/>
        </w:rPr>
        <w:t xml:space="preserve"> </w:t>
      </w:r>
      <w:r>
        <w:rPr>
          <w:w w:val="95"/>
          <w:sz w:val="14"/>
        </w:rPr>
        <w:t>with</w:t>
      </w:r>
      <w:r>
        <w:rPr>
          <w:spacing w:val="-1"/>
          <w:w w:val="95"/>
          <w:sz w:val="14"/>
        </w:rPr>
        <w:t xml:space="preserve"> </w:t>
      </w:r>
      <w:r>
        <w:rPr>
          <w:w w:val="95"/>
          <w:sz w:val="14"/>
        </w:rPr>
        <w:t>GLNG,</w:t>
      </w:r>
      <w:r>
        <w:rPr>
          <w:spacing w:val="-1"/>
          <w:w w:val="95"/>
          <w:sz w:val="14"/>
        </w:rPr>
        <w:t xml:space="preserve"> </w:t>
      </w:r>
      <w:r>
        <w:rPr>
          <w:w w:val="95"/>
          <w:sz w:val="14"/>
        </w:rPr>
        <w:t>ASX</w:t>
      </w:r>
      <w:r>
        <w:rPr>
          <w:spacing w:val="-1"/>
          <w:w w:val="95"/>
          <w:sz w:val="14"/>
        </w:rPr>
        <w:t xml:space="preserve"> </w:t>
      </w:r>
      <w:r>
        <w:rPr>
          <w:w w:val="95"/>
          <w:sz w:val="14"/>
        </w:rPr>
        <w:t>Media</w:t>
      </w:r>
      <w:r>
        <w:rPr>
          <w:spacing w:val="-1"/>
          <w:w w:val="95"/>
          <w:sz w:val="14"/>
        </w:rPr>
        <w:t xml:space="preserve"> </w:t>
      </w:r>
      <w:r>
        <w:rPr>
          <w:w w:val="95"/>
          <w:sz w:val="14"/>
        </w:rPr>
        <w:t>Release,</w:t>
      </w:r>
      <w:r>
        <w:rPr>
          <w:spacing w:val="-1"/>
          <w:w w:val="95"/>
          <w:sz w:val="14"/>
        </w:rPr>
        <w:t xml:space="preserve"> </w:t>
      </w:r>
      <w:r>
        <w:rPr>
          <w:w w:val="95"/>
          <w:sz w:val="14"/>
        </w:rPr>
        <w:t>2</w:t>
      </w:r>
      <w:r>
        <w:rPr>
          <w:spacing w:val="-1"/>
          <w:w w:val="95"/>
          <w:sz w:val="14"/>
        </w:rPr>
        <w:t xml:space="preserve"> </w:t>
      </w:r>
      <w:r>
        <w:rPr>
          <w:w w:val="95"/>
          <w:sz w:val="14"/>
        </w:rPr>
        <w:t>May</w:t>
      </w:r>
      <w:r>
        <w:rPr>
          <w:spacing w:val="-1"/>
          <w:w w:val="95"/>
          <w:sz w:val="14"/>
        </w:rPr>
        <w:t xml:space="preserve"> </w:t>
      </w:r>
      <w:r>
        <w:rPr>
          <w:w w:val="95"/>
          <w:sz w:val="14"/>
        </w:rPr>
        <w:t>2012.</w:t>
      </w:r>
    </w:p>
    <w:p w:rsidR="002C1123" w:rsidRDefault="002C1123">
      <w:pPr>
        <w:rPr>
          <w:sz w:val="14"/>
        </w:rPr>
        <w:sectPr w:rsidR="002C1123">
          <w:type w:val="continuous"/>
          <w:pgSz w:w="16840" w:h="11910" w:orient="landscape"/>
          <w:pgMar w:top="560" w:right="280" w:bottom="280" w:left="500" w:header="0" w:footer="517" w:gutter="0"/>
          <w:cols w:num="2" w:space="720" w:equalWidth="0">
            <w:col w:w="5211" w:space="40"/>
            <w:col w:w="10809"/>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6"/>
        <w:rPr>
          <w:sz w:val="12"/>
        </w:rPr>
      </w:pPr>
    </w:p>
    <w:bookmarkStart w:id="314" w:name="11.6_Recommended_actions"/>
    <w:bookmarkStart w:id="315" w:name="_bookmark224"/>
    <w:bookmarkEnd w:id="314"/>
    <w:bookmarkEnd w:id="315"/>
    <w:p w:rsidR="002C1123" w:rsidRDefault="002060EF">
      <w:pPr>
        <w:pStyle w:val="BodyText"/>
        <w:ind w:left="492"/>
      </w:pPr>
      <w:r>
        <w:pict>
          <v:shape id="docshape2194" o:spid="_x0000_s5260" type="#_x0000_t202" style="width:239pt;height:205.3pt;mso-left-percent:-10001;mso-top-percent:-10001;mso-position-horizontal:absolute;mso-position-horizontal-relative:char;mso-position-vertical:absolute;mso-position-vertical-relative:line;mso-left-percent:-10001;mso-top-percent:-10001" fillcolor="#e1e0e1" stroked="f">
            <v:textbox inset="0,0,0,0">
              <w:txbxContent>
                <w:p w:rsidR="00F22F94" w:rsidRDefault="00F22F94">
                  <w:pPr>
                    <w:pStyle w:val="BodyText"/>
                    <w:spacing w:before="68" w:line="249" w:lineRule="auto"/>
                    <w:ind w:left="113" w:right="264"/>
                    <w:rPr>
                      <w:color w:val="000000"/>
                    </w:rPr>
                  </w:pPr>
                  <w:bookmarkStart w:id="316" w:name="_bookmark223"/>
                  <w:bookmarkEnd w:id="316"/>
                  <w:r>
                    <w:rPr>
                      <w:b/>
                      <w:color w:val="00AEEF"/>
                    </w:rPr>
                    <w:t>Recommendation</w:t>
                  </w:r>
                  <w:r>
                    <w:rPr>
                      <w:b/>
                      <w:color w:val="00AEEF"/>
                      <w:spacing w:val="40"/>
                    </w:rPr>
                    <w:t xml:space="preserve"> </w:t>
                  </w:r>
                  <w:r>
                    <w:rPr>
                      <w:color w:val="000000"/>
                    </w:rPr>
                    <w:t xml:space="preserve">Infrastructure NSW </w:t>
                  </w:r>
                  <w:r>
                    <w:rPr>
                      <w:color w:val="000000"/>
                      <w:w w:val="95"/>
                    </w:rPr>
                    <w:t xml:space="preserve">recommends private sector investment to augment </w:t>
                  </w:r>
                  <w:r>
                    <w:rPr>
                      <w:color w:val="000000"/>
                    </w:rPr>
                    <w:t>the interstate gas transmission network for developing gas resources by:</w:t>
                  </w:r>
                </w:p>
                <w:p w:rsidR="00F22F94" w:rsidRDefault="00F22F94">
                  <w:pPr>
                    <w:pStyle w:val="BodyText"/>
                    <w:numPr>
                      <w:ilvl w:val="0"/>
                      <w:numId w:val="56"/>
                    </w:numPr>
                    <w:tabs>
                      <w:tab w:val="left" w:pos="397"/>
                    </w:tabs>
                    <w:spacing w:before="177" w:line="249" w:lineRule="auto"/>
                    <w:ind w:right="743"/>
                    <w:rPr>
                      <w:color w:val="000000"/>
                    </w:rPr>
                  </w:pPr>
                  <w:r>
                    <w:rPr>
                      <w:color w:val="000000"/>
                    </w:rPr>
                    <w:t xml:space="preserve">putting in place a regulatory framework </w:t>
                  </w:r>
                  <w:r>
                    <w:rPr>
                      <w:color w:val="000000"/>
                      <w:w w:val="95"/>
                    </w:rPr>
                    <w:t>that</w:t>
                  </w:r>
                  <w:r>
                    <w:rPr>
                      <w:color w:val="000000"/>
                      <w:spacing w:val="-8"/>
                      <w:w w:val="95"/>
                    </w:rPr>
                    <w:t xml:space="preserve"> </w:t>
                  </w:r>
                  <w:r>
                    <w:rPr>
                      <w:color w:val="000000"/>
                      <w:w w:val="95"/>
                    </w:rPr>
                    <w:t>ensures</w:t>
                  </w:r>
                  <w:r>
                    <w:rPr>
                      <w:color w:val="000000"/>
                      <w:spacing w:val="-8"/>
                      <w:w w:val="95"/>
                    </w:rPr>
                    <w:t xml:space="preserve"> </w:t>
                  </w:r>
                  <w:r>
                    <w:rPr>
                      <w:color w:val="000000"/>
                      <w:w w:val="95"/>
                    </w:rPr>
                    <w:t>the</w:t>
                  </w:r>
                  <w:r>
                    <w:rPr>
                      <w:color w:val="000000"/>
                      <w:spacing w:val="-8"/>
                      <w:w w:val="95"/>
                    </w:rPr>
                    <w:t xml:space="preserve"> </w:t>
                  </w:r>
                  <w:r>
                    <w:rPr>
                      <w:color w:val="000000"/>
                      <w:w w:val="95"/>
                    </w:rPr>
                    <w:t>development</w:t>
                  </w:r>
                  <w:r>
                    <w:rPr>
                      <w:color w:val="000000"/>
                      <w:spacing w:val="-8"/>
                      <w:w w:val="95"/>
                    </w:rPr>
                    <w:t xml:space="preserve"> </w:t>
                  </w:r>
                  <w:r>
                    <w:rPr>
                      <w:color w:val="000000"/>
                      <w:w w:val="95"/>
                    </w:rPr>
                    <w:t>of</w:t>
                  </w:r>
                  <w:r>
                    <w:rPr>
                      <w:color w:val="000000"/>
                      <w:spacing w:val="-8"/>
                      <w:w w:val="95"/>
                    </w:rPr>
                    <w:t xml:space="preserve"> </w:t>
                  </w:r>
                  <w:r>
                    <w:rPr>
                      <w:color w:val="000000"/>
                      <w:w w:val="95"/>
                    </w:rPr>
                    <w:t>a</w:t>
                  </w:r>
                  <w:r>
                    <w:rPr>
                      <w:color w:val="000000"/>
                      <w:spacing w:val="-8"/>
                      <w:w w:val="95"/>
                    </w:rPr>
                    <w:t xml:space="preserve"> </w:t>
                  </w:r>
                  <w:r>
                    <w:rPr>
                      <w:color w:val="000000"/>
                      <w:w w:val="95"/>
                    </w:rPr>
                    <w:t>safe</w:t>
                  </w:r>
                  <w:r>
                    <w:rPr>
                      <w:color w:val="000000"/>
                      <w:spacing w:val="-8"/>
                      <w:w w:val="95"/>
                    </w:rPr>
                    <w:t xml:space="preserve"> </w:t>
                  </w:r>
                  <w:r>
                    <w:rPr>
                      <w:color w:val="000000"/>
                      <w:w w:val="95"/>
                    </w:rPr>
                    <w:t>and environmentally</w:t>
                  </w:r>
                  <w:r>
                    <w:rPr>
                      <w:color w:val="000000"/>
                      <w:spacing w:val="-8"/>
                      <w:w w:val="95"/>
                    </w:rPr>
                    <w:t xml:space="preserve"> </w:t>
                  </w:r>
                  <w:r>
                    <w:rPr>
                      <w:color w:val="000000"/>
                      <w:w w:val="95"/>
                    </w:rPr>
                    <w:t>responsible</w:t>
                  </w:r>
                  <w:r>
                    <w:rPr>
                      <w:color w:val="000000"/>
                      <w:spacing w:val="-8"/>
                      <w:w w:val="95"/>
                    </w:rPr>
                    <w:t xml:space="preserve"> </w:t>
                  </w:r>
                  <w:r>
                    <w:rPr>
                      <w:color w:val="000000"/>
                      <w:w w:val="95"/>
                    </w:rPr>
                    <w:t>coal</w:t>
                  </w:r>
                  <w:r>
                    <w:rPr>
                      <w:color w:val="000000"/>
                      <w:spacing w:val="-8"/>
                      <w:w w:val="95"/>
                    </w:rPr>
                    <w:t xml:space="preserve"> </w:t>
                  </w:r>
                  <w:r>
                    <w:rPr>
                      <w:color w:val="000000"/>
                      <w:w w:val="95"/>
                    </w:rPr>
                    <w:t>seam</w:t>
                  </w:r>
                  <w:r>
                    <w:rPr>
                      <w:color w:val="000000"/>
                      <w:spacing w:val="-9"/>
                      <w:w w:val="95"/>
                    </w:rPr>
                    <w:t xml:space="preserve"> </w:t>
                  </w:r>
                  <w:r>
                    <w:rPr>
                      <w:color w:val="000000"/>
                      <w:w w:val="95"/>
                    </w:rPr>
                    <w:t>gas</w:t>
                  </w:r>
                </w:p>
                <w:p w:rsidR="00F22F94" w:rsidRDefault="00F22F94">
                  <w:pPr>
                    <w:pStyle w:val="BodyText"/>
                    <w:spacing w:before="2"/>
                    <w:ind w:left="396"/>
                    <w:rPr>
                      <w:color w:val="000000"/>
                    </w:rPr>
                  </w:pPr>
                  <w:r>
                    <w:rPr>
                      <w:color w:val="000000"/>
                      <w:w w:val="95"/>
                    </w:rPr>
                    <w:t>industry</w:t>
                  </w:r>
                  <w:r>
                    <w:rPr>
                      <w:color w:val="000000"/>
                      <w:spacing w:val="-1"/>
                      <w:w w:val="95"/>
                    </w:rPr>
                    <w:t xml:space="preserve"> </w:t>
                  </w:r>
                  <w:r>
                    <w:rPr>
                      <w:color w:val="000000"/>
                      <w:w w:val="95"/>
                    </w:rPr>
                    <w:t>that</w:t>
                  </w:r>
                  <w:r>
                    <w:rPr>
                      <w:color w:val="000000"/>
                      <w:spacing w:val="-1"/>
                      <w:w w:val="95"/>
                    </w:rPr>
                    <w:t xml:space="preserve"> </w:t>
                  </w:r>
                  <w:r>
                    <w:rPr>
                      <w:color w:val="000000"/>
                      <w:w w:val="95"/>
                    </w:rPr>
                    <w:t>co-exists</w:t>
                  </w:r>
                  <w:r>
                    <w:rPr>
                      <w:color w:val="000000"/>
                      <w:spacing w:val="-1"/>
                      <w:w w:val="95"/>
                    </w:rPr>
                    <w:t xml:space="preserve"> </w:t>
                  </w:r>
                  <w:r>
                    <w:rPr>
                      <w:color w:val="000000"/>
                      <w:w w:val="95"/>
                    </w:rPr>
                    <w:t>with</w:t>
                  </w:r>
                  <w:r>
                    <w:rPr>
                      <w:color w:val="000000"/>
                      <w:spacing w:val="-1"/>
                      <w:w w:val="95"/>
                    </w:rPr>
                    <w:t xml:space="preserve"> </w:t>
                  </w:r>
                  <w:r>
                    <w:rPr>
                      <w:color w:val="000000"/>
                      <w:w w:val="95"/>
                    </w:rPr>
                    <w:t>agricultural</w:t>
                  </w:r>
                  <w:r>
                    <w:rPr>
                      <w:color w:val="000000"/>
                      <w:spacing w:val="-1"/>
                      <w:w w:val="95"/>
                    </w:rPr>
                    <w:t xml:space="preserve"> </w:t>
                  </w:r>
                  <w:r>
                    <w:rPr>
                      <w:color w:val="000000"/>
                      <w:spacing w:val="-2"/>
                      <w:w w:val="95"/>
                    </w:rPr>
                    <w:t>production</w:t>
                  </w:r>
                </w:p>
                <w:p w:rsidR="00F22F94" w:rsidRDefault="00F22F94">
                  <w:pPr>
                    <w:pStyle w:val="BodyText"/>
                    <w:numPr>
                      <w:ilvl w:val="0"/>
                      <w:numId w:val="56"/>
                    </w:numPr>
                    <w:tabs>
                      <w:tab w:val="left" w:pos="397"/>
                    </w:tabs>
                    <w:spacing w:before="184" w:line="249" w:lineRule="auto"/>
                    <w:ind w:right="484"/>
                    <w:rPr>
                      <w:color w:val="000000"/>
                    </w:rPr>
                  </w:pPr>
                  <w:r>
                    <w:rPr>
                      <w:color w:val="000000"/>
                    </w:rPr>
                    <w:t xml:space="preserve">facilitating development of new industries, </w:t>
                  </w:r>
                  <w:r>
                    <w:rPr>
                      <w:color w:val="000000"/>
                      <w:w w:val="95"/>
                    </w:rPr>
                    <w:t>including,</w:t>
                  </w:r>
                  <w:r>
                    <w:rPr>
                      <w:color w:val="000000"/>
                      <w:spacing w:val="-4"/>
                      <w:w w:val="95"/>
                    </w:rPr>
                    <w:t xml:space="preserve"> </w:t>
                  </w:r>
                  <w:r>
                    <w:rPr>
                      <w:color w:val="000000"/>
                      <w:w w:val="95"/>
                    </w:rPr>
                    <w:t>investigating</w:t>
                  </w:r>
                  <w:r>
                    <w:rPr>
                      <w:color w:val="000000"/>
                      <w:spacing w:val="-4"/>
                      <w:w w:val="95"/>
                    </w:rPr>
                    <w:t xml:space="preserve"> </w:t>
                  </w:r>
                  <w:r>
                    <w:rPr>
                      <w:color w:val="000000"/>
                      <w:w w:val="95"/>
                    </w:rPr>
                    <w:t>options</w:t>
                  </w:r>
                  <w:r>
                    <w:rPr>
                      <w:color w:val="000000"/>
                      <w:spacing w:val="-4"/>
                      <w:w w:val="95"/>
                    </w:rPr>
                    <w:t xml:space="preserve"> </w:t>
                  </w:r>
                  <w:r>
                    <w:rPr>
                      <w:color w:val="000000"/>
                      <w:w w:val="95"/>
                    </w:rPr>
                    <w:t>for</w:t>
                  </w:r>
                  <w:r>
                    <w:rPr>
                      <w:color w:val="000000"/>
                      <w:spacing w:val="-4"/>
                      <w:w w:val="95"/>
                    </w:rPr>
                    <w:t xml:space="preserve"> </w:t>
                  </w:r>
                  <w:r>
                    <w:rPr>
                      <w:color w:val="000000"/>
                      <w:w w:val="95"/>
                    </w:rPr>
                    <w:t>LNG</w:t>
                  </w:r>
                  <w:r>
                    <w:rPr>
                      <w:color w:val="000000"/>
                      <w:spacing w:val="-4"/>
                      <w:w w:val="95"/>
                    </w:rPr>
                    <w:t xml:space="preserve"> </w:t>
                  </w:r>
                  <w:r>
                    <w:rPr>
                      <w:color w:val="000000"/>
                      <w:w w:val="95"/>
                    </w:rPr>
                    <w:t xml:space="preserve">export </w:t>
                  </w:r>
                  <w:r>
                    <w:rPr>
                      <w:color w:val="000000"/>
                      <w:spacing w:val="-2"/>
                    </w:rPr>
                    <w:t>infrastructure</w:t>
                  </w:r>
                </w:p>
                <w:p w:rsidR="00F22F94" w:rsidRDefault="00F22F94">
                  <w:pPr>
                    <w:pStyle w:val="BodyText"/>
                    <w:numPr>
                      <w:ilvl w:val="0"/>
                      <w:numId w:val="56"/>
                    </w:numPr>
                    <w:tabs>
                      <w:tab w:val="left" w:pos="397"/>
                    </w:tabs>
                    <w:spacing w:before="176" w:line="249" w:lineRule="auto"/>
                    <w:ind w:right="253"/>
                    <w:rPr>
                      <w:color w:val="000000"/>
                    </w:rPr>
                  </w:pPr>
                  <w:r>
                    <w:rPr>
                      <w:color w:val="000000"/>
                    </w:rPr>
                    <w:t>facilitating the augmentation of the existing national</w:t>
                  </w:r>
                  <w:r>
                    <w:rPr>
                      <w:color w:val="000000"/>
                      <w:spacing w:val="-1"/>
                    </w:rPr>
                    <w:t xml:space="preserve"> </w:t>
                  </w:r>
                  <w:r>
                    <w:rPr>
                      <w:color w:val="000000"/>
                    </w:rPr>
                    <w:t>gas</w:t>
                  </w:r>
                  <w:r>
                    <w:rPr>
                      <w:color w:val="000000"/>
                      <w:spacing w:val="-1"/>
                    </w:rPr>
                    <w:t xml:space="preserve"> </w:t>
                  </w:r>
                  <w:r>
                    <w:rPr>
                      <w:color w:val="000000"/>
                    </w:rPr>
                    <w:t>transmission</w:t>
                  </w:r>
                  <w:r>
                    <w:rPr>
                      <w:color w:val="000000"/>
                      <w:spacing w:val="-1"/>
                    </w:rPr>
                    <w:t xml:space="preserve"> </w:t>
                  </w:r>
                  <w:r>
                    <w:rPr>
                      <w:color w:val="000000"/>
                    </w:rPr>
                    <w:t>networks</w:t>
                  </w:r>
                  <w:r>
                    <w:rPr>
                      <w:color w:val="000000"/>
                      <w:spacing w:val="-1"/>
                    </w:rPr>
                    <w:t xml:space="preserve"> </w:t>
                  </w:r>
                  <w:r>
                    <w:rPr>
                      <w:color w:val="000000"/>
                    </w:rPr>
                    <w:t>to</w:t>
                  </w:r>
                  <w:r>
                    <w:rPr>
                      <w:color w:val="000000"/>
                      <w:spacing w:val="-1"/>
                    </w:rPr>
                    <w:t xml:space="preserve"> </w:t>
                  </w:r>
                  <w:r>
                    <w:rPr>
                      <w:color w:val="000000"/>
                    </w:rPr>
                    <w:t xml:space="preserve">connect </w:t>
                  </w:r>
                  <w:r>
                    <w:rPr>
                      <w:color w:val="000000"/>
                      <w:w w:val="95"/>
                    </w:rPr>
                    <w:t>new</w:t>
                  </w:r>
                  <w:r>
                    <w:rPr>
                      <w:color w:val="000000"/>
                      <w:spacing w:val="-5"/>
                      <w:w w:val="95"/>
                    </w:rPr>
                    <w:t xml:space="preserve"> </w:t>
                  </w:r>
                  <w:r>
                    <w:rPr>
                      <w:color w:val="000000"/>
                      <w:w w:val="95"/>
                    </w:rPr>
                    <w:t>supply</w:t>
                  </w:r>
                  <w:r>
                    <w:rPr>
                      <w:color w:val="000000"/>
                      <w:spacing w:val="-5"/>
                      <w:w w:val="95"/>
                    </w:rPr>
                    <w:t xml:space="preserve"> </w:t>
                  </w:r>
                  <w:r>
                    <w:rPr>
                      <w:color w:val="000000"/>
                      <w:w w:val="95"/>
                    </w:rPr>
                    <w:t>areas</w:t>
                  </w:r>
                  <w:r>
                    <w:rPr>
                      <w:color w:val="000000"/>
                      <w:spacing w:val="-5"/>
                      <w:w w:val="95"/>
                    </w:rPr>
                    <w:t xml:space="preserve"> </w:t>
                  </w:r>
                  <w:r>
                    <w:rPr>
                      <w:color w:val="000000"/>
                      <w:w w:val="95"/>
                    </w:rPr>
                    <w:t>including</w:t>
                  </w:r>
                  <w:r>
                    <w:rPr>
                      <w:color w:val="000000"/>
                      <w:spacing w:val="-5"/>
                      <w:w w:val="95"/>
                    </w:rPr>
                    <w:t xml:space="preserve"> </w:t>
                  </w:r>
                  <w:r>
                    <w:rPr>
                      <w:color w:val="000000"/>
                      <w:w w:val="95"/>
                    </w:rPr>
                    <w:t>the</w:t>
                  </w:r>
                  <w:r>
                    <w:rPr>
                      <w:color w:val="000000"/>
                      <w:spacing w:val="-5"/>
                      <w:w w:val="95"/>
                    </w:rPr>
                    <w:t xml:space="preserve"> </w:t>
                  </w:r>
                  <w:r>
                    <w:rPr>
                      <w:color w:val="000000"/>
                      <w:w w:val="95"/>
                    </w:rPr>
                    <w:t>Gunnedah</w:t>
                  </w:r>
                  <w:r>
                    <w:rPr>
                      <w:color w:val="000000"/>
                      <w:spacing w:val="-5"/>
                      <w:w w:val="95"/>
                    </w:rPr>
                    <w:t xml:space="preserve"> </w:t>
                  </w:r>
                  <w:r>
                    <w:rPr>
                      <w:color w:val="000000"/>
                      <w:spacing w:val="-2"/>
                      <w:w w:val="95"/>
                    </w:rPr>
                    <w:t>Basin.</w:t>
                  </w:r>
                </w:p>
              </w:txbxContent>
            </v:textbox>
            <w10:anchorlock/>
          </v:shape>
        </w:pict>
      </w:r>
    </w:p>
    <w:p w:rsidR="002C1123" w:rsidRDefault="002C1123">
      <w:pPr>
        <w:pStyle w:val="BodyText"/>
      </w:pPr>
    </w:p>
    <w:p w:rsidR="002C1123" w:rsidRDefault="002C1123">
      <w:pPr>
        <w:pStyle w:val="BodyText"/>
        <w:rPr>
          <w:sz w:val="17"/>
        </w:rPr>
      </w:pPr>
    </w:p>
    <w:p w:rsidR="002C1123" w:rsidRDefault="00F22F94">
      <w:pPr>
        <w:pStyle w:val="Heading5"/>
        <w:numPr>
          <w:ilvl w:val="1"/>
          <w:numId w:val="63"/>
        </w:numPr>
        <w:tabs>
          <w:tab w:val="left" w:pos="1113"/>
        </w:tabs>
        <w:spacing w:before="110"/>
        <w:ind w:left="1112"/>
        <w:jc w:val="left"/>
      </w:pPr>
      <w:r>
        <w:rPr>
          <w:color w:val="00AEEF"/>
          <w:spacing w:val="-2"/>
        </w:rPr>
        <w:t>Recommended</w:t>
      </w:r>
      <w:r>
        <w:rPr>
          <w:color w:val="00AEEF"/>
          <w:spacing w:val="-17"/>
        </w:rPr>
        <w:t xml:space="preserve"> </w:t>
      </w:r>
      <w:r>
        <w:rPr>
          <w:color w:val="00AEEF"/>
          <w:spacing w:val="-2"/>
        </w:rPr>
        <w:t>actions</w:t>
      </w:r>
    </w:p>
    <w:p w:rsidR="002C1123" w:rsidRDefault="00F22F94">
      <w:pPr>
        <w:pStyle w:val="BodyText"/>
        <w:spacing w:before="135"/>
        <w:ind w:left="512"/>
      </w:pPr>
      <w:r>
        <w:rPr>
          <w:spacing w:val="-2"/>
          <w:w w:val="95"/>
        </w:rPr>
        <w:t>The</w:t>
      </w:r>
      <w:r>
        <w:rPr>
          <w:spacing w:val="-5"/>
        </w:rPr>
        <w:t xml:space="preserve"> </w:t>
      </w:r>
      <w:r>
        <w:rPr>
          <w:spacing w:val="-2"/>
          <w:w w:val="95"/>
        </w:rPr>
        <w:t>key</w:t>
      </w:r>
      <w:r>
        <w:rPr>
          <w:spacing w:val="-4"/>
        </w:rPr>
        <w:t xml:space="preserve"> </w:t>
      </w:r>
      <w:r>
        <w:rPr>
          <w:spacing w:val="-2"/>
          <w:w w:val="95"/>
        </w:rPr>
        <w:t>strategies</w:t>
      </w:r>
      <w:r>
        <w:rPr>
          <w:spacing w:val="-5"/>
        </w:rPr>
        <w:t xml:space="preserve"> </w:t>
      </w:r>
      <w:r>
        <w:rPr>
          <w:spacing w:val="-2"/>
          <w:w w:val="95"/>
        </w:rPr>
        <w:t>for</w:t>
      </w:r>
      <w:r>
        <w:rPr>
          <w:spacing w:val="-4"/>
        </w:rPr>
        <w:t xml:space="preserve"> </w:t>
      </w:r>
      <w:r>
        <w:rPr>
          <w:spacing w:val="-2"/>
          <w:w w:val="95"/>
        </w:rPr>
        <w:t>NSW</w:t>
      </w:r>
      <w:r>
        <w:rPr>
          <w:spacing w:val="-5"/>
        </w:rPr>
        <w:t xml:space="preserve"> </w:t>
      </w:r>
      <w:r>
        <w:rPr>
          <w:spacing w:val="-2"/>
          <w:w w:val="95"/>
        </w:rPr>
        <w:t>energy</w:t>
      </w:r>
      <w:r>
        <w:rPr>
          <w:spacing w:val="-4"/>
        </w:rPr>
        <w:t xml:space="preserve"> </w:t>
      </w:r>
      <w:r>
        <w:rPr>
          <w:spacing w:val="-2"/>
          <w:w w:val="95"/>
        </w:rPr>
        <w:t>sector</w:t>
      </w:r>
      <w:r>
        <w:rPr>
          <w:spacing w:val="-5"/>
        </w:rPr>
        <w:t xml:space="preserve"> </w:t>
      </w:r>
      <w:r>
        <w:rPr>
          <w:spacing w:val="-2"/>
          <w:w w:val="95"/>
        </w:rPr>
        <w:t>are</w:t>
      </w:r>
      <w:r>
        <w:rPr>
          <w:spacing w:val="-4"/>
        </w:rPr>
        <w:t xml:space="preserve"> </w:t>
      </w:r>
      <w:r>
        <w:rPr>
          <w:spacing w:val="-2"/>
          <w:w w:val="95"/>
        </w:rPr>
        <w:t>listed</w:t>
      </w:r>
      <w:r>
        <w:rPr>
          <w:spacing w:val="-4"/>
        </w:rPr>
        <w:t xml:space="preserve"> </w:t>
      </w:r>
      <w:r>
        <w:rPr>
          <w:spacing w:val="-2"/>
          <w:w w:val="95"/>
        </w:rPr>
        <w:t>below.</w:t>
      </w:r>
    </w:p>
    <w:p w:rsidR="002C1123" w:rsidRDefault="00F22F94">
      <w:pPr>
        <w:tabs>
          <w:tab w:val="left" w:pos="4970"/>
          <w:tab w:val="left" w:pos="5887"/>
          <w:tab w:val="left" w:pos="7654"/>
        </w:tabs>
        <w:spacing w:before="204" w:after="13"/>
        <w:ind w:left="587"/>
        <w:rPr>
          <w:b/>
          <w:sz w:val="16"/>
        </w:rPr>
      </w:pPr>
      <w:r>
        <w:rPr>
          <w:b/>
          <w:color w:val="2E3092"/>
          <w:spacing w:val="-2"/>
          <w:sz w:val="16"/>
        </w:rPr>
        <w:t>Recommendations</w:t>
      </w:r>
      <w:r>
        <w:rPr>
          <w:b/>
          <w:color w:val="2E3092"/>
          <w:sz w:val="16"/>
        </w:rPr>
        <w:tab/>
      </w:r>
      <w:r>
        <w:rPr>
          <w:b/>
          <w:color w:val="2E3092"/>
          <w:spacing w:val="-4"/>
          <w:sz w:val="16"/>
        </w:rPr>
        <w:t>Year</w:t>
      </w:r>
      <w:r>
        <w:rPr>
          <w:b/>
          <w:color w:val="2E3092"/>
          <w:sz w:val="16"/>
        </w:rPr>
        <w:tab/>
      </w:r>
      <w:r>
        <w:rPr>
          <w:b/>
          <w:color w:val="2E3092"/>
          <w:spacing w:val="-4"/>
          <w:sz w:val="16"/>
        </w:rPr>
        <w:t>Type</w:t>
      </w:r>
      <w:r>
        <w:rPr>
          <w:b/>
          <w:color w:val="2E3092"/>
          <w:sz w:val="16"/>
        </w:rPr>
        <w:tab/>
      </w:r>
      <w:r>
        <w:rPr>
          <w:b/>
          <w:color w:val="2E3092"/>
          <w:spacing w:val="-2"/>
          <w:sz w:val="16"/>
        </w:rPr>
        <w:t>Capital</w:t>
      </w:r>
      <w:r>
        <w:rPr>
          <w:b/>
          <w:color w:val="2E3092"/>
          <w:spacing w:val="-7"/>
          <w:sz w:val="16"/>
        </w:rPr>
        <w:t xml:space="preserve"> </w:t>
      </w:r>
      <w:r>
        <w:rPr>
          <w:b/>
          <w:color w:val="2E3092"/>
          <w:spacing w:val="-2"/>
          <w:sz w:val="16"/>
        </w:rPr>
        <w:t>and</w:t>
      </w:r>
      <w:r>
        <w:rPr>
          <w:b/>
          <w:color w:val="2E3092"/>
          <w:spacing w:val="-7"/>
          <w:sz w:val="16"/>
        </w:rPr>
        <w:t xml:space="preserve"> </w:t>
      </w:r>
      <w:r>
        <w:rPr>
          <w:b/>
          <w:color w:val="2E3092"/>
          <w:spacing w:val="-2"/>
          <w:sz w:val="16"/>
        </w:rPr>
        <w:t>Funding</w:t>
      </w:r>
      <w:r>
        <w:rPr>
          <w:b/>
          <w:color w:val="2E3092"/>
          <w:spacing w:val="-6"/>
          <w:sz w:val="16"/>
        </w:rPr>
        <w:t xml:space="preserve"> </w:t>
      </w:r>
      <w:r>
        <w:rPr>
          <w:b/>
          <w:color w:val="2E3092"/>
          <w:spacing w:val="-2"/>
          <w:sz w:val="16"/>
        </w:rPr>
        <w:t>Implications</w:t>
      </w:r>
    </w:p>
    <w:tbl>
      <w:tblPr>
        <w:tblW w:w="0" w:type="auto"/>
        <w:tblInd w:w="49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10"/>
        <w:gridCol w:w="3873"/>
        <w:gridCol w:w="916"/>
        <w:gridCol w:w="1766"/>
        <w:gridCol w:w="3268"/>
      </w:tblGrid>
      <w:tr w:rsidR="002C1123">
        <w:trPr>
          <w:trHeight w:val="938"/>
        </w:trPr>
        <w:tc>
          <w:tcPr>
            <w:tcW w:w="510" w:type="dxa"/>
            <w:tcBorders>
              <w:top w:val="nil"/>
              <w:left w:val="nil"/>
            </w:tcBorders>
            <w:shd w:val="clear" w:color="auto" w:fill="C9C8C9"/>
          </w:tcPr>
          <w:p w:rsidR="002C1123" w:rsidRDefault="00F22F94">
            <w:pPr>
              <w:pStyle w:val="TableParagraph"/>
              <w:spacing w:before="112"/>
              <w:rPr>
                <w:sz w:val="18"/>
              </w:rPr>
            </w:pPr>
            <w:r>
              <w:rPr>
                <w:spacing w:val="-5"/>
                <w:sz w:val="18"/>
              </w:rPr>
              <w:t>48</w:t>
            </w:r>
          </w:p>
        </w:tc>
        <w:tc>
          <w:tcPr>
            <w:tcW w:w="3873" w:type="dxa"/>
            <w:tcBorders>
              <w:top w:val="nil"/>
            </w:tcBorders>
            <w:shd w:val="clear" w:color="auto" w:fill="C9C8C9"/>
          </w:tcPr>
          <w:p w:rsidR="002C1123" w:rsidRDefault="00F22F94">
            <w:pPr>
              <w:pStyle w:val="TableParagraph"/>
              <w:spacing w:before="112" w:line="254" w:lineRule="auto"/>
              <w:ind w:right="153"/>
              <w:rPr>
                <w:sz w:val="18"/>
              </w:rPr>
            </w:pPr>
            <w:r>
              <w:rPr>
                <w:w w:val="105"/>
                <w:sz w:val="18"/>
              </w:rPr>
              <w:t xml:space="preserve">Investigate options and strategy for </w:t>
            </w:r>
            <w:r>
              <w:rPr>
                <w:spacing w:val="-2"/>
                <w:w w:val="105"/>
                <w:sz w:val="18"/>
              </w:rPr>
              <w:t>privatisation</w:t>
            </w:r>
            <w:r>
              <w:rPr>
                <w:spacing w:val="-8"/>
                <w:w w:val="105"/>
                <w:sz w:val="18"/>
              </w:rPr>
              <w:t xml:space="preserve"> </w:t>
            </w:r>
            <w:r>
              <w:rPr>
                <w:spacing w:val="-2"/>
                <w:w w:val="105"/>
                <w:sz w:val="18"/>
              </w:rPr>
              <w:t>of</w:t>
            </w:r>
            <w:r>
              <w:rPr>
                <w:spacing w:val="-8"/>
                <w:w w:val="105"/>
                <w:sz w:val="18"/>
              </w:rPr>
              <w:t xml:space="preserve"> </w:t>
            </w:r>
            <w:r>
              <w:rPr>
                <w:spacing w:val="-2"/>
                <w:w w:val="105"/>
                <w:sz w:val="18"/>
              </w:rPr>
              <w:t>networks</w:t>
            </w:r>
            <w:r>
              <w:rPr>
                <w:spacing w:val="-8"/>
                <w:w w:val="105"/>
                <w:sz w:val="18"/>
              </w:rPr>
              <w:t xml:space="preserve"> </w:t>
            </w:r>
            <w:r>
              <w:rPr>
                <w:spacing w:val="-2"/>
                <w:w w:val="105"/>
                <w:sz w:val="18"/>
              </w:rPr>
              <w:t>and</w:t>
            </w:r>
            <w:r>
              <w:rPr>
                <w:spacing w:val="-8"/>
                <w:w w:val="105"/>
                <w:sz w:val="18"/>
              </w:rPr>
              <w:t xml:space="preserve"> </w:t>
            </w:r>
            <w:r>
              <w:rPr>
                <w:spacing w:val="-2"/>
                <w:w w:val="105"/>
                <w:sz w:val="18"/>
              </w:rPr>
              <w:t>Snowy</w:t>
            </w:r>
            <w:r>
              <w:rPr>
                <w:spacing w:val="-8"/>
                <w:w w:val="105"/>
                <w:sz w:val="18"/>
              </w:rPr>
              <w:t xml:space="preserve"> </w:t>
            </w:r>
            <w:r>
              <w:rPr>
                <w:spacing w:val="-2"/>
                <w:w w:val="105"/>
                <w:sz w:val="18"/>
              </w:rPr>
              <w:t>Hydro Limited</w:t>
            </w:r>
          </w:p>
        </w:tc>
        <w:tc>
          <w:tcPr>
            <w:tcW w:w="916" w:type="dxa"/>
            <w:tcBorders>
              <w:top w:val="nil"/>
            </w:tcBorders>
            <w:shd w:val="clear" w:color="auto" w:fill="E1E0E1"/>
          </w:tcPr>
          <w:p w:rsidR="002C1123" w:rsidRDefault="00F22F94">
            <w:pPr>
              <w:pStyle w:val="TableParagraph"/>
              <w:spacing w:before="117"/>
              <w:ind w:left="114"/>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766" w:type="dxa"/>
            <w:tcBorders>
              <w:top w:val="nil"/>
            </w:tcBorders>
            <w:shd w:val="clear" w:color="auto" w:fill="E1E0E1"/>
          </w:tcPr>
          <w:p w:rsidR="002C1123" w:rsidRDefault="00F22F94">
            <w:pPr>
              <w:pStyle w:val="TableParagraph"/>
              <w:spacing w:before="117"/>
              <w:ind w:left="114"/>
              <w:rPr>
                <w:sz w:val="16"/>
              </w:rPr>
            </w:pPr>
            <w:r>
              <w:rPr>
                <w:spacing w:val="-2"/>
                <w:sz w:val="16"/>
              </w:rPr>
              <w:t>Review</w:t>
            </w:r>
          </w:p>
        </w:tc>
        <w:tc>
          <w:tcPr>
            <w:tcW w:w="3268" w:type="dxa"/>
            <w:tcBorders>
              <w:top w:val="nil"/>
            </w:tcBorders>
            <w:shd w:val="clear" w:color="auto" w:fill="E1E0E1"/>
          </w:tcPr>
          <w:p w:rsidR="002C1123" w:rsidRDefault="00F22F94">
            <w:pPr>
              <w:pStyle w:val="TableParagraph"/>
              <w:spacing w:before="117"/>
              <w:ind w:left="115"/>
              <w:rPr>
                <w:sz w:val="16"/>
              </w:rPr>
            </w:pPr>
            <w:r>
              <w:rPr>
                <w:w w:val="95"/>
                <w:sz w:val="16"/>
              </w:rPr>
              <w:t>Cost</w:t>
            </w:r>
            <w:r>
              <w:rPr>
                <w:spacing w:val="-2"/>
                <w:sz w:val="16"/>
              </w:rPr>
              <w:t xml:space="preserve"> </w:t>
            </w:r>
            <w:r>
              <w:rPr>
                <w:w w:val="95"/>
                <w:sz w:val="16"/>
              </w:rPr>
              <w:t>of</w:t>
            </w:r>
            <w:r>
              <w:rPr>
                <w:spacing w:val="-2"/>
                <w:sz w:val="16"/>
              </w:rPr>
              <w:t xml:space="preserve"> </w:t>
            </w:r>
            <w:r>
              <w:rPr>
                <w:w w:val="95"/>
                <w:sz w:val="16"/>
              </w:rPr>
              <w:t>review</w:t>
            </w:r>
            <w:r>
              <w:rPr>
                <w:spacing w:val="-1"/>
                <w:sz w:val="16"/>
              </w:rPr>
              <w:t xml:space="preserve"> </w:t>
            </w:r>
            <w:r>
              <w:rPr>
                <w:w w:val="95"/>
                <w:sz w:val="16"/>
              </w:rPr>
              <w:t>is</w:t>
            </w:r>
            <w:r>
              <w:rPr>
                <w:spacing w:val="-2"/>
                <w:sz w:val="16"/>
              </w:rPr>
              <w:t xml:space="preserve"> </w:t>
            </w:r>
            <w:r>
              <w:rPr>
                <w:w w:val="95"/>
                <w:sz w:val="16"/>
              </w:rPr>
              <w:t>not</w:t>
            </w:r>
            <w:r>
              <w:rPr>
                <w:spacing w:val="-1"/>
                <w:sz w:val="16"/>
              </w:rPr>
              <w:t xml:space="preserve"> </w:t>
            </w:r>
            <w:r>
              <w:rPr>
                <w:spacing w:val="-2"/>
                <w:w w:val="95"/>
                <w:sz w:val="16"/>
              </w:rPr>
              <w:t>material</w:t>
            </w:r>
          </w:p>
        </w:tc>
      </w:tr>
      <w:tr w:rsidR="002C1123">
        <w:trPr>
          <w:trHeight w:val="928"/>
        </w:trPr>
        <w:tc>
          <w:tcPr>
            <w:tcW w:w="510" w:type="dxa"/>
            <w:tcBorders>
              <w:left w:val="nil"/>
            </w:tcBorders>
            <w:shd w:val="clear" w:color="auto" w:fill="C9C8C9"/>
          </w:tcPr>
          <w:p w:rsidR="002C1123" w:rsidRDefault="00F22F94">
            <w:pPr>
              <w:pStyle w:val="TableParagraph"/>
              <w:spacing w:before="102"/>
              <w:rPr>
                <w:sz w:val="18"/>
              </w:rPr>
            </w:pPr>
            <w:r>
              <w:rPr>
                <w:spacing w:val="-5"/>
                <w:sz w:val="18"/>
              </w:rPr>
              <w:t>49</w:t>
            </w:r>
          </w:p>
        </w:tc>
        <w:tc>
          <w:tcPr>
            <w:tcW w:w="3873" w:type="dxa"/>
            <w:shd w:val="clear" w:color="auto" w:fill="C9C8C9"/>
          </w:tcPr>
          <w:p w:rsidR="002C1123" w:rsidRDefault="00F22F94">
            <w:pPr>
              <w:pStyle w:val="TableParagraph"/>
              <w:spacing w:before="102" w:line="254" w:lineRule="auto"/>
              <w:ind w:right="153"/>
              <w:rPr>
                <w:sz w:val="18"/>
              </w:rPr>
            </w:pPr>
            <w:r>
              <w:rPr>
                <w:w w:val="105"/>
                <w:sz w:val="18"/>
              </w:rPr>
              <w:t xml:space="preserve">Upgrade electricity transmission lines to </w:t>
            </w:r>
            <w:r>
              <w:rPr>
                <w:spacing w:val="-2"/>
                <w:w w:val="105"/>
                <w:sz w:val="18"/>
              </w:rPr>
              <w:t>strengthen</w:t>
            </w:r>
            <w:r>
              <w:rPr>
                <w:spacing w:val="-12"/>
                <w:w w:val="105"/>
                <w:sz w:val="18"/>
              </w:rPr>
              <w:t xml:space="preserve"> </w:t>
            </w:r>
            <w:r>
              <w:rPr>
                <w:spacing w:val="-2"/>
                <w:w w:val="105"/>
                <w:sz w:val="18"/>
              </w:rPr>
              <w:t>interstate</w:t>
            </w:r>
            <w:r>
              <w:rPr>
                <w:spacing w:val="-11"/>
                <w:w w:val="105"/>
                <w:sz w:val="18"/>
              </w:rPr>
              <w:t xml:space="preserve"> </w:t>
            </w:r>
            <w:r>
              <w:rPr>
                <w:spacing w:val="-2"/>
                <w:w w:val="105"/>
                <w:sz w:val="18"/>
              </w:rPr>
              <w:t>capacity</w:t>
            </w:r>
            <w:r>
              <w:rPr>
                <w:spacing w:val="-11"/>
                <w:w w:val="105"/>
                <w:sz w:val="18"/>
              </w:rPr>
              <w:t xml:space="preserve"> </w:t>
            </w:r>
            <w:r>
              <w:rPr>
                <w:spacing w:val="-2"/>
                <w:w w:val="105"/>
                <w:sz w:val="18"/>
              </w:rPr>
              <w:t>and</w:t>
            </w:r>
            <w:r>
              <w:rPr>
                <w:spacing w:val="-11"/>
                <w:w w:val="105"/>
                <w:sz w:val="18"/>
              </w:rPr>
              <w:t xml:space="preserve"> </w:t>
            </w:r>
            <w:r>
              <w:rPr>
                <w:spacing w:val="-2"/>
                <w:w w:val="105"/>
                <w:sz w:val="18"/>
              </w:rPr>
              <w:t>Sydney supply</w:t>
            </w:r>
          </w:p>
        </w:tc>
        <w:tc>
          <w:tcPr>
            <w:tcW w:w="916" w:type="dxa"/>
            <w:shd w:val="clear" w:color="auto" w:fill="E1E0E1"/>
          </w:tcPr>
          <w:p w:rsidR="002C1123" w:rsidRDefault="00F22F94">
            <w:pPr>
              <w:pStyle w:val="TableParagraph"/>
              <w:spacing w:before="107"/>
              <w:ind w:left="114"/>
              <w:rPr>
                <w:sz w:val="16"/>
              </w:rPr>
            </w:pPr>
            <w:r>
              <w:rPr>
                <w:sz w:val="16"/>
              </w:rPr>
              <w:t>5</w:t>
            </w:r>
            <w:r>
              <w:rPr>
                <w:spacing w:val="-10"/>
                <w:sz w:val="16"/>
              </w:rPr>
              <w:t xml:space="preserve"> </w:t>
            </w:r>
            <w:r>
              <w:rPr>
                <w:sz w:val="16"/>
              </w:rPr>
              <w:t>–</w:t>
            </w:r>
            <w:r>
              <w:rPr>
                <w:spacing w:val="-9"/>
                <w:sz w:val="16"/>
              </w:rPr>
              <w:t xml:space="preserve"> </w:t>
            </w:r>
            <w:r>
              <w:rPr>
                <w:spacing w:val="-5"/>
                <w:sz w:val="16"/>
              </w:rPr>
              <w:t>10</w:t>
            </w:r>
          </w:p>
        </w:tc>
        <w:tc>
          <w:tcPr>
            <w:tcW w:w="1766" w:type="dxa"/>
            <w:shd w:val="clear" w:color="auto" w:fill="E1E0E1"/>
          </w:tcPr>
          <w:p w:rsidR="002C1123" w:rsidRDefault="00F22F94">
            <w:pPr>
              <w:pStyle w:val="TableParagraph"/>
              <w:spacing w:before="107"/>
              <w:ind w:left="114"/>
              <w:rPr>
                <w:sz w:val="16"/>
              </w:rPr>
            </w:pPr>
            <w:r>
              <w:rPr>
                <w:w w:val="95"/>
                <w:sz w:val="16"/>
              </w:rPr>
              <w:t>Major</w:t>
            </w:r>
            <w:r>
              <w:rPr>
                <w:spacing w:val="-2"/>
                <w:sz w:val="16"/>
              </w:rPr>
              <w:t xml:space="preserve"> </w:t>
            </w:r>
            <w:r>
              <w:rPr>
                <w:spacing w:val="-2"/>
                <w:w w:val="95"/>
                <w:sz w:val="16"/>
              </w:rPr>
              <w:t>project</w:t>
            </w:r>
          </w:p>
        </w:tc>
        <w:tc>
          <w:tcPr>
            <w:tcW w:w="3268" w:type="dxa"/>
            <w:shd w:val="clear" w:color="auto" w:fill="E1E0E1"/>
          </w:tcPr>
          <w:p w:rsidR="002C1123" w:rsidRDefault="00F22F94">
            <w:pPr>
              <w:pStyle w:val="TableParagraph"/>
              <w:spacing w:before="107"/>
              <w:ind w:left="115"/>
              <w:rPr>
                <w:sz w:val="16"/>
              </w:rPr>
            </w:pPr>
            <w:r>
              <w:rPr>
                <w:w w:val="95"/>
                <w:sz w:val="16"/>
              </w:rPr>
              <w:t>Existing</w:t>
            </w:r>
            <w:r>
              <w:rPr>
                <w:spacing w:val="-2"/>
                <w:sz w:val="16"/>
              </w:rPr>
              <w:t xml:space="preserve"> </w:t>
            </w:r>
            <w:r>
              <w:rPr>
                <w:w w:val="95"/>
                <w:sz w:val="16"/>
              </w:rPr>
              <w:t>agency</w:t>
            </w:r>
            <w:r>
              <w:rPr>
                <w:spacing w:val="-1"/>
                <w:sz w:val="16"/>
              </w:rPr>
              <w:t xml:space="preserve"> </w:t>
            </w:r>
            <w:r>
              <w:rPr>
                <w:spacing w:val="-2"/>
                <w:w w:val="95"/>
                <w:sz w:val="16"/>
              </w:rPr>
              <w:t>program</w:t>
            </w:r>
          </w:p>
        </w:tc>
      </w:tr>
      <w:tr w:rsidR="002C1123">
        <w:trPr>
          <w:trHeight w:val="708"/>
        </w:trPr>
        <w:tc>
          <w:tcPr>
            <w:tcW w:w="510" w:type="dxa"/>
            <w:tcBorders>
              <w:left w:val="nil"/>
            </w:tcBorders>
            <w:shd w:val="clear" w:color="auto" w:fill="C9C8C9"/>
          </w:tcPr>
          <w:p w:rsidR="002C1123" w:rsidRDefault="00F22F94">
            <w:pPr>
              <w:pStyle w:val="TableParagraph"/>
              <w:spacing w:before="102"/>
              <w:rPr>
                <w:sz w:val="18"/>
              </w:rPr>
            </w:pPr>
            <w:r>
              <w:rPr>
                <w:spacing w:val="-5"/>
                <w:sz w:val="18"/>
              </w:rPr>
              <w:t>50</w:t>
            </w:r>
          </w:p>
        </w:tc>
        <w:tc>
          <w:tcPr>
            <w:tcW w:w="3873" w:type="dxa"/>
            <w:shd w:val="clear" w:color="auto" w:fill="C9C8C9"/>
          </w:tcPr>
          <w:p w:rsidR="002C1123" w:rsidRDefault="00F22F94">
            <w:pPr>
              <w:pStyle w:val="TableParagraph"/>
              <w:spacing w:before="102" w:line="254" w:lineRule="auto"/>
              <w:ind w:right="153"/>
              <w:rPr>
                <w:sz w:val="18"/>
              </w:rPr>
            </w:pPr>
            <w:r>
              <w:rPr>
                <w:spacing w:val="-2"/>
                <w:w w:val="105"/>
                <w:sz w:val="18"/>
              </w:rPr>
              <w:t>Augment</w:t>
            </w:r>
            <w:r>
              <w:rPr>
                <w:spacing w:val="-12"/>
                <w:w w:val="105"/>
                <w:sz w:val="18"/>
              </w:rPr>
              <w:t xml:space="preserve"> </w:t>
            </w:r>
            <w:r>
              <w:rPr>
                <w:spacing w:val="-2"/>
                <w:w w:val="105"/>
                <w:sz w:val="18"/>
              </w:rPr>
              <w:t>interstate</w:t>
            </w:r>
            <w:r>
              <w:rPr>
                <w:spacing w:val="-11"/>
                <w:w w:val="105"/>
                <w:sz w:val="18"/>
              </w:rPr>
              <w:t xml:space="preserve"> </w:t>
            </w:r>
            <w:r>
              <w:rPr>
                <w:spacing w:val="-2"/>
                <w:w w:val="105"/>
                <w:sz w:val="18"/>
              </w:rPr>
              <w:t>gas</w:t>
            </w:r>
            <w:r>
              <w:rPr>
                <w:spacing w:val="-11"/>
                <w:w w:val="105"/>
                <w:sz w:val="18"/>
              </w:rPr>
              <w:t xml:space="preserve"> </w:t>
            </w:r>
            <w:r>
              <w:rPr>
                <w:spacing w:val="-2"/>
                <w:w w:val="105"/>
                <w:sz w:val="18"/>
              </w:rPr>
              <w:t>transmission network</w:t>
            </w:r>
          </w:p>
        </w:tc>
        <w:tc>
          <w:tcPr>
            <w:tcW w:w="916" w:type="dxa"/>
            <w:shd w:val="clear" w:color="auto" w:fill="E1E0E1"/>
          </w:tcPr>
          <w:p w:rsidR="002C1123" w:rsidRDefault="00F22F94">
            <w:pPr>
              <w:pStyle w:val="TableParagraph"/>
              <w:spacing w:before="107"/>
              <w:ind w:left="114"/>
              <w:rPr>
                <w:sz w:val="16"/>
              </w:rPr>
            </w:pPr>
            <w:r>
              <w:rPr>
                <w:sz w:val="16"/>
              </w:rPr>
              <w:t>0</w:t>
            </w:r>
            <w:r>
              <w:rPr>
                <w:spacing w:val="-10"/>
                <w:sz w:val="16"/>
              </w:rPr>
              <w:t xml:space="preserve"> </w:t>
            </w:r>
            <w:r>
              <w:rPr>
                <w:sz w:val="16"/>
              </w:rPr>
              <w:t>–</w:t>
            </w:r>
            <w:r>
              <w:rPr>
                <w:spacing w:val="-9"/>
                <w:sz w:val="16"/>
              </w:rPr>
              <w:t xml:space="preserve"> </w:t>
            </w:r>
            <w:r>
              <w:rPr>
                <w:spacing w:val="-5"/>
                <w:sz w:val="16"/>
              </w:rPr>
              <w:t>20</w:t>
            </w:r>
          </w:p>
        </w:tc>
        <w:tc>
          <w:tcPr>
            <w:tcW w:w="1766" w:type="dxa"/>
            <w:shd w:val="clear" w:color="auto" w:fill="E1E0E1"/>
          </w:tcPr>
          <w:p w:rsidR="002C1123" w:rsidRDefault="00F22F94">
            <w:pPr>
              <w:pStyle w:val="TableParagraph"/>
              <w:spacing w:before="107"/>
              <w:ind w:left="114"/>
              <w:rPr>
                <w:sz w:val="16"/>
              </w:rPr>
            </w:pPr>
            <w:r>
              <w:rPr>
                <w:w w:val="95"/>
                <w:sz w:val="16"/>
              </w:rPr>
              <w:t>Major</w:t>
            </w:r>
            <w:r>
              <w:rPr>
                <w:spacing w:val="-2"/>
                <w:sz w:val="16"/>
              </w:rPr>
              <w:t xml:space="preserve"> </w:t>
            </w:r>
            <w:r>
              <w:rPr>
                <w:spacing w:val="-2"/>
                <w:w w:val="95"/>
                <w:sz w:val="16"/>
              </w:rPr>
              <w:t>project</w:t>
            </w:r>
          </w:p>
        </w:tc>
        <w:tc>
          <w:tcPr>
            <w:tcW w:w="3268" w:type="dxa"/>
            <w:shd w:val="clear" w:color="auto" w:fill="E1E0E1"/>
          </w:tcPr>
          <w:p w:rsidR="002C1123" w:rsidRDefault="00F22F94">
            <w:pPr>
              <w:pStyle w:val="TableParagraph"/>
              <w:spacing w:before="110" w:line="235" w:lineRule="auto"/>
              <w:ind w:left="115" w:right="571"/>
              <w:rPr>
                <w:sz w:val="16"/>
              </w:rPr>
            </w:pPr>
            <w:r>
              <w:rPr>
                <w:spacing w:val="-2"/>
                <w:sz w:val="16"/>
              </w:rPr>
              <w:t>Investment</w:t>
            </w:r>
            <w:r>
              <w:rPr>
                <w:spacing w:val="-10"/>
                <w:sz w:val="16"/>
              </w:rPr>
              <w:t xml:space="preserve"> </w:t>
            </w:r>
            <w:r>
              <w:rPr>
                <w:spacing w:val="-2"/>
                <w:sz w:val="16"/>
              </w:rPr>
              <w:t>to</w:t>
            </w:r>
            <w:r>
              <w:rPr>
                <w:spacing w:val="-9"/>
                <w:sz w:val="16"/>
              </w:rPr>
              <w:t xml:space="preserve"> </w:t>
            </w:r>
            <w:r>
              <w:rPr>
                <w:spacing w:val="-2"/>
                <w:sz w:val="16"/>
              </w:rPr>
              <w:t>be</w:t>
            </w:r>
            <w:r>
              <w:rPr>
                <w:spacing w:val="-9"/>
                <w:sz w:val="16"/>
              </w:rPr>
              <w:t xml:space="preserve"> </w:t>
            </w:r>
            <w:r>
              <w:rPr>
                <w:spacing w:val="-2"/>
                <w:sz w:val="16"/>
              </w:rPr>
              <w:t>funded</w:t>
            </w:r>
            <w:r>
              <w:rPr>
                <w:spacing w:val="-9"/>
                <w:sz w:val="16"/>
              </w:rPr>
              <w:t xml:space="preserve"> </w:t>
            </w:r>
            <w:r>
              <w:rPr>
                <w:spacing w:val="-2"/>
                <w:sz w:val="16"/>
              </w:rPr>
              <w:t>by</w:t>
            </w:r>
            <w:r>
              <w:rPr>
                <w:spacing w:val="-9"/>
                <w:sz w:val="16"/>
              </w:rPr>
              <w:t xml:space="preserve"> </w:t>
            </w:r>
            <w:r>
              <w:rPr>
                <w:spacing w:val="-2"/>
                <w:sz w:val="16"/>
              </w:rPr>
              <w:t xml:space="preserve">the </w:t>
            </w:r>
            <w:r>
              <w:rPr>
                <w:sz w:val="16"/>
              </w:rPr>
              <w:t>private</w:t>
            </w:r>
            <w:r>
              <w:rPr>
                <w:spacing w:val="-4"/>
                <w:sz w:val="16"/>
              </w:rPr>
              <w:t xml:space="preserve"> </w:t>
            </w:r>
            <w:r>
              <w:rPr>
                <w:sz w:val="16"/>
              </w:rPr>
              <w:t>sector</w:t>
            </w:r>
          </w:p>
        </w:tc>
      </w:tr>
    </w:tbl>
    <w:p w:rsidR="002C1123" w:rsidRDefault="002C1123">
      <w:pPr>
        <w:spacing w:line="235" w:lineRule="auto"/>
        <w:rPr>
          <w:sz w:val="16"/>
        </w:rPr>
        <w:sectPr w:rsidR="002C1123">
          <w:pgSz w:w="16840" w:h="11910" w:orient="landscape"/>
          <w:pgMar w:top="560" w:right="280" w:bottom="700" w:left="500" w:header="0" w:footer="517" w:gutter="0"/>
          <w:cols w:space="720"/>
        </w:sectPr>
      </w:pPr>
    </w:p>
    <w:p w:rsidR="002C1123" w:rsidRDefault="002C1123">
      <w:pPr>
        <w:pStyle w:val="BodyText"/>
        <w:rPr>
          <w:b/>
        </w:rPr>
      </w:pPr>
    </w:p>
    <w:p w:rsidR="002C1123" w:rsidRDefault="002C1123">
      <w:pPr>
        <w:sectPr w:rsidR="002C1123">
          <w:headerReference w:type="default" r:id="rId206"/>
          <w:footerReference w:type="default" r:id="rId207"/>
          <w:pgSz w:w="16840" w:h="11910" w:orient="landscape"/>
          <w:pgMar w:top="560" w:right="280" w:bottom="700" w:left="500" w:header="0" w:footer="517" w:gutter="0"/>
          <w:cols w:space="720"/>
        </w:sectPr>
      </w:pPr>
    </w:p>
    <w:p w:rsidR="002C1123" w:rsidRDefault="002060EF">
      <w:pPr>
        <w:pStyle w:val="Heading1"/>
      </w:pPr>
      <w:r>
        <w:pict>
          <v:rect id="docshape2206" o:spid="_x0000_s1839" style="position:absolute;left:0;text-align:left;margin-left:38.25pt;margin-top:80.8pt;width:502.7pt;height:417.9pt;z-index:-251457536;mso-position-horizontal-relative:page" fillcolor="#e1e0e1" stroked="f">
            <w10:wrap anchorx="page"/>
          </v:rect>
        </w:pict>
      </w:r>
      <w:bookmarkStart w:id="317" w:name="12.0_Water_infrastructure"/>
      <w:bookmarkStart w:id="318" w:name="12.1_Water_snapshot"/>
      <w:bookmarkStart w:id="319" w:name="_bookmark226"/>
      <w:bookmarkStart w:id="320" w:name="_bookmark225"/>
      <w:bookmarkEnd w:id="317"/>
      <w:bookmarkEnd w:id="318"/>
      <w:bookmarkEnd w:id="319"/>
      <w:bookmarkEnd w:id="320"/>
      <w:r w:rsidR="00F22F94">
        <w:rPr>
          <w:color w:val="2E3092"/>
          <w:spacing w:val="-6"/>
          <w:w w:val="55"/>
        </w:rPr>
        <w:t>12.0</w:t>
      </w:r>
      <w:r w:rsidR="00F22F94">
        <w:rPr>
          <w:color w:val="2E3092"/>
          <w:spacing w:val="-16"/>
          <w:w w:val="55"/>
        </w:rPr>
        <w:t xml:space="preserve"> </w:t>
      </w:r>
      <w:r w:rsidR="00F22F94">
        <w:rPr>
          <w:color w:val="00AEEF"/>
          <w:spacing w:val="-6"/>
          <w:w w:val="55"/>
        </w:rPr>
        <w:t>Water</w:t>
      </w:r>
      <w:r w:rsidR="00F22F94">
        <w:rPr>
          <w:color w:val="00AEEF"/>
          <w:spacing w:val="-21"/>
          <w:w w:val="55"/>
        </w:rPr>
        <w:t xml:space="preserve"> </w:t>
      </w:r>
      <w:r w:rsidR="00F22F94">
        <w:rPr>
          <w:color w:val="00AEEF"/>
          <w:spacing w:val="-6"/>
          <w:w w:val="55"/>
        </w:rPr>
        <w:t>infrastructure</w:t>
      </w:r>
    </w:p>
    <w:p w:rsidR="002C1123" w:rsidRDefault="00F22F94">
      <w:pPr>
        <w:pStyle w:val="Heading5"/>
        <w:spacing w:before="210"/>
        <w:ind w:left="492" w:firstLine="0"/>
      </w:pPr>
      <w:r>
        <w:rPr>
          <w:color w:val="00AEEF"/>
          <w:spacing w:val="-2"/>
        </w:rPr>
        <w:t>Summary</w:t>
      </w:r>
    </w:p>
    <w:p w:rsidR="002C1123" w:rsidRDefault="00F22F94">
      <w:pPr>
        <w:rPr>
          <w:b/>
          <w:sz w:val="32"/>
        </w:rPr>
      </w:pPr>
      <w:r>
        <w:br w:type="column"/>
      </w:r>
    </w:p>
    <w:p w:rsidR="002C1123" w:rsidRDefault="002C1123">
      <w:pPr>
        <w:pStyle w:val="BodyText"/>
        <w:rPr>
          <w:b/>
          <w:sz w:val="32"/>
        </w:rPr>
      </w:pPr>
    </w:p>
    <w:p w:rsidR="002C1123" w:rsidRDefault="002C1123">
      <w:pPr>
        <w:pStyle w:val="BodyText"/>
        <w:rPr>
          <w:b/>
          <w:sz w:val="32"/>
        </w:rPr>
      </w:pPr>
    </w:p>
    <w:p w:rsidR="002C1123" w:rsidRDefault="002C1123">
      <w:pPr>
        <w:pStyle w:val="BodyText"/>
        <w:rPr>
          <w:b/>
          <w:sz w:val="32"/>
        </w:rPr>
      </w:pPr>
    </w:p>
    <w:p w:rsidR="002C1123" w:rsidRDefault="002C1123">
      <w:pPr>
        <w:pStyle w:val="BodyText"/>
        <w:spacing w:before="9"/>
        <w:rPr>
          <w:b/>
          <w:sz w:val="26"/>
        </w:rPr>
      </w:pPr>
    </w:p>
    <w:p w:rsidR="002C1123" w:rsidRDefault="00F22F94">
      <w:pPr>
        <w:pStyle w:val="Heading5"/>
        <w:numPr>
          <w:ilvl w:val="1"/>
          <w:numId w:val="55"/>
        </w:numPr>
        <w:tabs>
          <w:tab w:val="left" w:pos="1093"/>
        </w:tabs>
        <w:spacing w:before="1"/>
        <w:jc w:val="left"/>
      </w:pPr>
      <w:r>
        <w:rPr>
          <w:color w:val="00AEEF"/>
          <w:spacing w:val="-4"/>
        </w:rPr>
        <w:t>Water</w:t>
      </w:r>
      <w:r>
        <w:rPr>
          <w:color w:val="00AEEF"/>
          <w:spacing w:val="-9"/>
        </w:rPr>
        <w:t xml:space="preserve"> </w:t>
      </w:r>
      <w:r>
        <w:rPr>
          <w:color w:val="00AEEF"/>
          <w:spacing w:val="-2"/>
        </w:rPr>
        <w:t>snapshot</w:t>
      </w:r>
    </w:p>
    <w:p w:rsidR="002C1123" w:rsidRDefault="002C1123">
      <w:pPr>
        <w:sectPr w:rsidR="002C1123">
          <w:type w:val="continuous"/>
          <w:pgSz w:w="16840" w:h="11910" w:orient="landscape"/>
          <w:pgMar w:top="560" w:right="280" w:bottom="280" w:left="500" w:header="0" w:footer="517" w:gutter="0"/>
          <w:cols w:num="2" w:space="720" w:equalWidth="0">
            <w:col w:w="7624" w:space="2429"/>
            <w:col w:w="6007"/>
          </w:cols>
        </w:sectPr>
      </w:pPr>
    </w:p>
    <w:p w:rsidR="002C1123" w:rsidRDefault="00F22F94">
      <w:pPr>
        <w:pStyle w:val="ListParagraph"/>
        <w:numPr>
          <w:ilvl w:val="0"/>
          <w:numId w:val="54"/>
        </w:numPr>
        <w:tabs>
          <w:tab w:val="left" w:pos="776"/>
        </w:tabs>
        <w:spacing w:before="122" w:line="249" w:lineRule="auto"/>
        <w:ind w:right="153"/>
        <w:rPr>
          <w:sz w:val="20"/>
        </w:rPr>
      </w:pPr>
      <w:r>
        <w:rPr>
          <w:w w:val="95"/>
          <w:sz w:val="20"/>
        </w:rPr>
        <w:t>Every</w:t>
      </w:r>
      <w:r>
        <w:rPr>
          <w:spacing w:val="-12"/>
          <w:w w:val="95"/>
          <w:sz w:val="20"/>
        </w:rPr>
        <w:t xml:space="preserve"> </w:t>
      </w:r>
      <w:r>
        <w:rPr>
          <w:w w:val="95"/>
          <w:sz w:val="20"/>
        </w:rPr>
        <w:t>NSW</w:t>
      </w:r>
      <w:r>
        <w:rPr>
          <w:spacing w:val="-11"/>
          <w:w w:val="95"/>
          <w:sz w:val="20"/>
        </w:rPr>
        <w:t xml:space="preserve"> </w:t>
      </w:r>
      <w:r>
        <w:rPr>
          <w:w w:val="95"/>
          <w:sz w:val="20"/>
        </w:rPr>
        <w:t>community</w:t>
      </w:r>
      <w:r>
        <w:rPr>
          <w:spacing w:val="-11"/>
          <w:w w:val="95"/>
          <w:sz w:val="20"/>
        </w:rPr>
        <w:t xml:space="preserve"> </w:t>
      </w:r>
      <w:r>
        <w:rPr>
          <w:w w:val="95"/>
          <w:sz w:val="20"/>
        </w:rPr>
        <w:t>needs</w:t>
      </w:r>
      <w:r>
        <w:rPr>
          <w:spacing w:val="-11"/>
          <w:w w:val="95"/>
          <w:sz w:val="20"/>
        </w:rPr>
        <w:t xml:space="preserve"> </w:t>
      </w:r>
      <w:r>
        <w:rPr>
          <w:w w:val="95"/>
          <w:sz w:val="20"/>
        </w:rPr>
        <w:t>water</w:t>
      </w:r>
      <w:r>
        <w:rPr>
          <w:spacing w:val="-12"/>
          <w:w w:val="95"/>
          <w:sz w:val="20"/>
        </w:rPr>
        <w:t xml:space="preserve"> </w:t>
      </w:r>
      <w:r>
        <w:rPr>
          <w:w w:val="95"/>
          <w:sz w:val="20"/>
        </w:rPr>
        <w:t xml:space="preserve">infrastructure </w:t>
      </w:r>
      <w:r>
        <w:rPr>
          <w:sz w:val="20"/>
        </w:rPr>
        <w:t>that</w:t>
      </w:r>
      <w:r>
        <w:rPr>
          <w:spacing w:val="-14"/>
          <w:sz w:val="20"/>
        </w:rPr>
        <w:t xml:space="preserve"> </w:t>
      </w:r>
      <w:r>
        <w:rPr>
          <w:sz w:val="20"/>
        </w:rPr>
        <w:t>meets</w:t>
      </w:r>
      <w:r>
        <w:rPr>
          <w:spacing w:val="-14"/>
          <w:sz w:val="20"/>
        </w:rPr>
        <w:t xml:space="preserve"> </w:t>
      </w:r>
      <w:r>
        <w:rPr>
          <w:sz w:val="20"/>
        </w:rPr>
        <w:t>national</w:t>
      </w:r>
      <w:r>
        <w:rPr>
          <w:spacing w:val="-14"/>
          <w:sz w:val="20"/>
        </w:rPr>
        <w:t xml:space="preserve"> </w:t>
      </w:r>
      <w:r>
        <w:rPr>
          <w:sz w:val="20"/>
        </w:rPr>
        <w:t>health</w:t>
      </w:r>
      <w:r>
        <w:rPr>
          <w:spacing w:val="-14"/>
          <w:sz w:val="20"/>
        </w:rPr>
        <w:t xml:space="preserve"> </w:t>
      </w:r>
      <w:r>
        <w:rPr>
          <w:sz w:val="20"/>
        </w:rPr>
        <w:t>and</w:t>
      </w:r>
      <w:r>
        <w:rPr>
          <w:spacing w:val="-14"/>
          <w:sz w:val="20"/>
        </w:rPr>
        <w:t xml:space="preserve"> </w:t>
      </w:r>
      <w:r>
        <w:rPr>
          <w:sz w:val="20"/>
        </w:rPr>
        <w:t xml:space="preserve">environmental </w:t>
      </w:r>
      <w:r>
        <w:rPr>
          <w:w w:val="95"/>
          <w:sz w:val="20"/>
        </w:rPr>
        <w:t xml:space="preserve">guidelines or standards and guarantees a secure </w:t>
      </w:r>
      <w:r>
        <w:rPr>
          <w:sz w:val="20"/>
        </w:rPr>
        <w:t>and affordable water supply.</w:t>
      </w:r>
    </w:p>
    <w:p w:rsidR="002C1123" w:rsidRDefault="00F22F94">
      <w:pPr>
        <w:pStyle w:val="ListParagraph"/>
        <w:numPr>
          <w:ilvl w:val="0"/>
          <w:numId w:val="54"/>
        </w:numPr>
        <w:tabs>
          <w:tab w:val="left" w:pos="776"/>
        </w:tabs>
        <w:spacing w:before="132" w:line="249" w:lineRule="auto"/>
        <w:ind w:right="338"/>
        <w:rPr>
          <w:sz w:val="20"/>
        </w:rPr>
      </w:pPr>
      <w:r>
        <w:rPr>
          <w:sz w:val="20"/>
        </w:rPr>
        <w:t>Being</w:t>
      </w:r>
      <w:r>
        <w:rPr>
          <w:spacing w:val="-14"/>
          <w:sz w:val="20"/>
        </w:rPr>
        <w:t xml:space="preserve"> </w:t>
      </w:r>
      <w:r>
        <w:rPr>
          <w:sz w:val="20"/>
        </w:rPr>
        <w:t>prepared</w:t>
      </w:r>
      <w:r>
        <w:rPr>
          <w:spacing w:val="-14"/>
          <w:sz w:val="20"/>
        </w:rPr>
        <w:t xml:space="preserve"> </w:t>
      </w:r>
      <w:r>
        <w:rPr>
          <w:sz w:val="20"/>
        </w:rPr>
        <w:t>for</w:t>
      </w:r>
      <w:r>
        <w:rPr>
          <w:spacing w:val="-14"/>
          <w:sz w:val="20"/>
        </w:rPr>
        <w:t xml:space="preserve"> </w:t>
      </w:r>
      <w:r>
        <w:rPr>
          <w:sz w:val="20"/>
        </w:rPr>
        <w:t>inevitable</w:t>
      </w:r>
      <w:r>
        <w:rPr>
          <w:spacing w:val="-14"/>
          <w:sz w:val="20"/>
        </w:rPr>
        <w:t xml:space="preserve"> </w:t>
      </w:r>
      <w:r>
        <w:rPr>
          <w:sz w:val="20"/>
        </w:rPr>
        <w:t>drought</w:t>
      </w:r>
      <w:r>
        <w:rPr>
          <w:spacing w:val="-14"/>
          <w:sz w:val="20"/>
        </w:rPr>
        <w:t xml:space="preserve"> </w:t>
      </w:r>
      <w:r>
        <w:rPr>
          <w:sz w:val="20"/>
        </w:rPr>
        <w:t>is</w:t>
      </w:r>
      <w:r>
        <w:rPr>
          <w:spacing w:val="-14"/>
          <w:sz w:val="20"/>
        </w:rPr>
        <w:t xml:space="preserve"> </w:t>
      </w:r>
      <w:r>
        <w:rPr>
          <w:sz w:val="20"/>
        </w:rPr>
        <w:t xml:space="preserve">more </w:t>
      </w:r>
      <w:r>
        <w:rPr>
          <w:w w:val="95"/>
          <w:sz w:val="20"/>
        </w:rPr>
        <w:t>productive</w:t>
      </w:r>
      <w:r>
        <w:rPr>
          <w:spacing w:val="-12"/>
          <w:w w:val="95"/>
          <w:sz w:val="20"/>
        </w:rPr>
        <w:t xml:space="preserve"> </w:t>
      </w:r>
      <w:r>
        <w:rPr>
          <w:w w:val="95"/>
          <w:sz w:val="20"/>
        </w:rPr>
        <w:t>than</w:t>
      </w:r>
      <w:r>
        <w:rPr>
          <w:spacing w:val="-11"/>
          <w:w w:val="95"/>
          <w:sz w:val="20"/>
        </w:rPr>
        <w:t xml:space="preserve"> </w:t>
      </w:r>
      <w:r>
        <w:rPr>
          <w:w w:val="95"/>
          <w:sz w:val="20"/>
        </w:rPr>
        <w:t>restricting</w:t>
      </w:r>
      <w:r>
        <w:rPr>
          <w:spacing w:val="-11"/>
          <w:w w:val="95"/>
          <w:sz w:val="20"/>
        </w:rPr>
        <w:t xml:space="preserve"> </w:t>
      </w:r>
      <w:r>
        <w:rPr>
          <w:w w:val="95"/>
          <w:sz w:val="20"/>
        </w:rPr>
        <w:t>supply.</w:t>
      </w:r>
      <w:r>
        <w:rPr>
          <w:spacing w:val="-11"/>
          <w:w w:val="95"/>
          <w:sz w:val="20"/>
        </w:rPr>
        <w:t xml:space="preserve"> </w:t>
      </w:r>
      <w:r>
        <w:rPr>
          <w:w w:val="95"/>
          <w:sz w:val="20"/>
        </w:rPr>
        <w:t xml:space="preserve">Infrastructure </w:t>
      </w:r>
      <w:r>
        <w:rPr>
          <w:sz w:val="20"/>
        </w:rPr>
        <w:t>NSW</w:t>
      </w:r>
      <w:r>
        <w:rPr>
          <w:spacing w:val="-9"/>
          <w:sz w:val="20"/>
        </w:rPr>
        <w:t xml:space="preserve"> </w:t>
      </w:r>
      <w:r>
        <w:rPr>
          <w:sz w:val="20"/>
        </w:rPr>
        <w:t>recommends</w:t>
      </w:r>
      <w:r>
        <w:rPr>
          <w:spacing w:val="-9"/>
          <w:sz w:val="20"/>
        </w:rPr>
        <w:t xml:space="preserve"> </w:t>
      </w:r>
      <w:r>
        <w:rPr>
          <w:sz w:val="20"/>
        </w:rPr>
        <w:t>the</w:t>
      </w:r>
      <w:r>
        <w:rPr>
          <w:spacing w:val="-9"/>
          <w:sz w:val="20"/>
        </w:rPr>
        <w:t xml:space="preserve"> </w:t>
      </w:r>
      <w:r>
        <w:rPr>
          <w:sz w:val="20"/>
        </w:rPr>
        <w:t>development</w:t>
      </w:r>
      <w:r>
        <w:rPr>
          <w:spacing w:val="-9"/>
          <w:sz w:val="20"/>
        </w:rPr>
        <w:t xml:space="preserve"> </w:t>
      </w:r>
      <w:r>
        <w:rPr>
          <w:sz w:val="20"/>
        </w:rPr>
        <w:t>of</w:t>
      </w:r>
      <w:r>
        <w:rPr>
          <w:spacing w:val="-9"/>
          <w:sz w:val="20"/>
        </w:rPr>
        <w:t xml:space="preserve"> </w:t>
      </w:r>
      <w:r>
        <w:rPr>
          <w:sz w:val="20"/>
        </w:rPr>
        <w:t xml:space="preserve">a </w:t>
      </w:r>
      <w:r>
        <w:rPr>
          <w:w w:val="95"/>
          <w:sz w:val="20"/>
        </w:rPr>
        <w:t>comprehensive,</w:t>
      </w:r>
      <w:r>
        <w:rPr>
          <w:spacing w:val="-1"/>
          <w:w w:val="95"/>
          <w:sz w:val="20"/>
        </w:rPr>
        <w:t xml:space="preserve"> </w:t>
      </w:r>
      <w:r>
        <w:rPr>
          <w:w w:val="95"/>
          <w:sz w:val="20"/>
        </w:rPr>
        <w:t>prioritised</w:t>
      </w:r>
      <w:r>
        <w:rPr>
          <w:spacing w:val="-1"/>
          <w:w w:val="95"/>
          <w:sz w:val="20"/>
        </w:rPr>
        <w:t xml:space="preserve"> </w:t>
      </w:r>
      <w:r>
        <w:rPr>
          <w:w w:val="95"/>
          <w:sz w:val="20"/>
        </w:rPr>
        <w:t>program</w:t>
      </w:r>
      <w:r>
        <w:rPr>
          <w:spacing w:val="-1"/>
          <w:w w:val="95"/>
          <w:sz w:val="20"/>
        </w:rPr>
        <w:t xml:space="preserve"> </w:t>
      </w:r>
      <w:r>
        <w:rPr>
          <w:w w:val="95"/>
          <w:sz w:val="20"/>
        </w:rPr>
        <w:t>of</w:t>
      </w:r>
      <w:r>
        <w:rPr>
          <w:spacing w:val="-1"/>
          <w:w w:val="95"/>
          <w:sz w:val="20"/>
        </w:rPr>
        <w:t xml:space="preserve"> </w:t>
      </w:r>
      <w:r>
        <w:rPr>
          <w:w w:val="95"/>
          <w:sz w:val="20"/>
        </w:rPr>
        <w:t>new</w:t>
      </w:r>
      <w:r>
        <w:rPr>
          <w:spacing w:val="-1"/>
          <w:w w:val="95"/>
          <w:sz w:val="20"/>
        </w:rPr>
        <w:t xml:space="preserve"> </w:t>
      </w:r>
      <w:r>
        <w:rPr>
          <w:w w:val="95"/>
          <w:sz w:val="20"/>
        </w:rPr>
        <w:t xml:space="preserve">and </w:t>
      </w:r>
      <w:r>
        <w:rPr>
          <w:sz w:val="20"/>
        </w:rPr>
        <w:t>augmented dams across NSW.</w:t>
      </w:r>
    </w:p>
    <w:p w:rsidR="002C1123" w:rsidRDefault="00F22F94">
      <w:pPr>
        <w:pStyle w:val="ListParagraph"/>
        <w:numPr>
          <w:ilvl w:val="0"/>
          <w:numId w:val="54"/>
        </w:numPr>
        <w:tabs>
          <w:tab w:val="left" w:pos="776"/>
        </w:tabs>
        <w:spacing w:before="133" w:line="249" w:lineRule="auto"/>
        <w:ind w:right="1"/>
        <w:rPr>
          <w:sz w:val="20"/>
        </w:rPr>
      </w:pPr>
      <w:r>
        <w:rPr>
          <w:sz w:val="20"/>
        </w:rPr>
        <w:t>Infrastructure</w:t>
      </w:r>
      <w:r>
        <w:rPr>
          <w:spacing w:val="-14"/>
          <w:sz w:val="20"/>
        </w:rPr>
        <w:t xml:space="preserve"> </w:t>
      </w:r>
      <w:r>
        <w:rPr>
          <w:sz w:val="20"/>
        </w:rPr>
        <w:t>NSW</w:t>
      </w:r>
      <w:r>
        <w:rPr>
          <w:spacing w:val="-14"/>
          <w:sz w:val="20"/>
        </w:rPr>
        <w:t xml:space="preserve"> </w:t>
      </w:r>
      <w:r>
        <w:rPr>
          <w:sz w:val="20"/>
        </w:rPr>
        <w:t>recommends</w:t>
      </w:r>
      <w:r>
        <w:rPr>
          <w:spacing w:val="-14"/>
          <w:sz w:val="20"/>
        </w:rPr>
        <w:t xml:space="preserve"> </w:t>
      </w:r>
      <w:r>
        <w:rPr>
          <w:sz w:val="20"/>
        </w:rPr>
        <w:t>aggregation</w:t>
      </w:r>
      <w:r>
        <w:rPr>
          <w:spacing w:val="-14"/>
          <w:sz w:val="20"/>
        </w:rPr>
        <w:t xml:space="preserve"> </w:t>
      </w:r>
      <w:r>
        <w:rPr>
          <w:sz w:val="20"/>
        </w:rPr>
        <w:t xml:space="preserve">of </w:t>
      </w:r>
      <w:r>
        <w:rPr>
          <w:w w:val="95"/>
          <w:sz w:val="20"/>
        </w:rPr>
        <w:t>105</w:t>
      </w:r>
      <w:r>
        <w:rPr>
          <w:spacing w:val="-1"/>
          <w:w w:val="95"/>
          <w:sz w:val="20"/>
        </w:rPr>
        <w:t xml:space="preserve"> </w:t>
      </w:r>
      <w:r>
        <w:rPr>
          <w:w w:val="95"/>
          <w:sz w:val="20"/>
        </w:rPr>
        <w:t>local</w:t>
      </w:r>
      <w:r>
        <w:rPr>
          <w:spacing w:val="-1"/>
          <w:w w:val="95"/>
          <w:sz w:val="20"/>
        </w:rPr>
        <w:t xml:space="preserve"> </w:t>
      </w:r>
      <w:r>
        <w:rPr>
          <w:w w:val="95"/>
          <w:sz w:val="20"/>
        </w:rPr>
        <w:t>water</w:t>
      </w:r>
      <w:r>
        <w:rPr>
          <w:spacing w:val="-1"/>
          <w:w w:val="95"/>
          <w:sz w:val="20"/>
        </w:rPr>
        <w:t xml:space="preserve"> </w:t>
      </w:r>
      <w:r>
        <w:rPr>
          <w:w w:val="95"/>
          <w:sz w:val="20"/>
        </w:rPr>
        <w:t>and</w:t>
      </w:r>
      <w:r>
        <w:rPr>
          <w:spacing w:val="-1"/>
          <w:w w:val="95"/>
          <w:sz w:val="20"/>
        </w:rPr>
        <w:t xml:space="preserve"> </w:t>
      </w:r>
      <w:r>
        <w:rPr>
          <w:w w:val="95"/>
          <w:sz w:val="20"/>
        </w:rPr>
        <w:t>wastewater</w:t>
      </w:r>
      <w:r>
        <w:rPr>
          <w:spacing w:val="-1"/>
          <w:w w:val="95"/>
          <w:sz w:val="20"/>
        </w:rPr>
        <w:t xml:space="preserve"> </w:t>
      </w:r>
      <w:r>
        <w:rPr>
          <w:w w:val="95"/>
          <w:sz w:val="20"/>
        </w:rPr>
        <w:t>delivery</w:t>
      </w:r>
      <w:r>
        <w:rPr>
          <w:spacing w:val="-1"/>
          <w:w w:val="95"/>
          <w:sz w:val="20"/>
        </w:rPr>
        <w:t xml:space="preserve"> </w:t>
      </w:r>
      <w:r>
        <w:rPr>
          <w:w w:val="95"/>
          <w:sz w:val="20"/>
        </w:rPr>
        <w:t xml:space="preserve">authorities </w:t>
      </w:r>
      <w:r>
        <w:rPr>
          <w:sz w:val="20"/>
        </w:rPr>
        <w:t>into</w:t>
      </w:r>
      <w:r>
        <w:rPr>
          <w:spacing w:val="-14"/>
          <w:sz w:val="20"/>
        </w:rPr>
        <w:t xml:space="preserve"> </w:t>
      </w:r>
      <w:r>
        <w:rPr>
          <w:sz w:val="20"/>
        </w:rPr>
        <w:t>around</w:t>
      </w:r>
      <w:r>
        <w:rPr>
          <w:spacing w:val="-14"/>
          <w:sz w:val="20"/>
        </w:rPr>
        <w:t xml:space="preserve"> </w:t>
      </w:r>
      <w:r>
        <w:rPr>
          <w:sz w:val="20"/>
        </w:rPr>
        <w:t>30</w:t>
      </w:r>
      <w:r>
        <w:rPr>
          <w:spacing w:val="-14"/>
          <w:sz w:val="20"/>
        </w:rPr>
        <w:t xml:space="preserve"> </w:t>
      </w:r>
      <w:r>
        <w:rPr>
          <w:sz w:val="20"/>
        </w:rPr>
        <w:t>regional</w:t>
      </w:r>
      <w:r>
        <w:rPr>
          <w:spacing w:val="-14"/>
          <w:sz w:val="20"/>
        </w:rPr>
        <w:t xml:space="preserve"> </w:t>
      </w:r>
      <w:r>
        <w:rPr>
          <w:sz w:val="20"/>
        </w:rPr>
        <w:t>delivery</w:t>
      </w:r>
      <w:r>
        <w:rPr>
          <w:spacing w:val="-14"/>
          <w:sz w:val="20"/>
        </w:rPr>
        <w:t xml:space="preserve"> </w:t>
      </w:r>
      <w:r>
        <w:rPr>
          <w:sz w:val="20"/>
        </w:rPr>
        <w:t>authorities</w:t>
      </w:r>
      <w:r>
        <w:rPr>
          <w:spacing w:val="-14"/>
          <w:sz w:val="20"/>
        </w:rPr>
        <w:t xml:space="preserve"> </w:t>
      </w:r>
      <w:r>
        <w:rPr>
          <w:sz w:val="20"/>
        </w:rPr>
        <w:t xml:space="preserve">to </w:t>
      </w:r>
      <w:r>
        <w:rPr>
          <w:w w:val="95"/>
          <w:sz w:val="20"/>
        </w:rPr>
        <w:t>maximise efficiency and manage affordability (as previously</w:t>
      </w:r>
      <w:r>
        <w:rPr>
          <w:spacing w:val="-12"/>
          <w:w w:val="95"/>
          <w:sz w:val="20"/>
        </w:rPr>
        <w:t xml:space="preserve"> </w:t>
      </w:r>
      <w:r>
        <w:rPr>
          <w:w w:val="95"/>
          <w:sz w:val="20"/>
        </w:rPr>
        <w:t>recommended</w:t>
      </w:r>
      <w:r>
        <w:rPr>
          <w:spacing w:val="-11"/>
          <w:w w:val="95"/>
          <w:sz w:val="20"/>
        </w:rPr>
        <w:t xml:space="preserve"> </w:t>
      </w:r>
      <w:r>
        <w:rPr>
          <w:w w:val="95"/>
          <w:sz w:val="20"/>
        </w:rPr>
        <w:t>to</w:t>
      </w:r>
      <w:r>
        <w:rPr>
          <w:spacing w:val="-11"/>
          <w:w w:val="95"/>
          <w:sz w:val="20"/>
        </w:rPr>
        <w:t xml:space="preserve"> </w:t>
      </w:r>
      <w:r>
        <w:rPr>
          <w:w w:val="95"/>
          <w:sz w:val="20"/>
        </w:rPr>
        <w:t>the</w:t>
      </w:r>
      <w:r>
        <w:rPr>
          <w:spacing w:val="-11"/>
          <w:w w:val="95"/>
          <w:sz w:val="20"/>
        </w:rPr>
        <w:t xml:space="preserve"> </w:t>
      </w:r>
      <w:r>
        <w:rPr>
          <w:w w:val="95"/>
          <w:sz w:val="20"/>
        </w:rPr>
        <w:t>NSW</w:t>
      </w:r>
      <w:r>
        <w:rPr>
          <w:spacing w:val="-12"/>
          <w:w w:val="95"/>
          <w:sz w:val="20"/>
        </w:rPr>
        <w:t xml:space="preserve"> </w:t>
      </w:r>
      <w:r>
        <w:rPr>
          <w:w w:val="95"/>
          <w:sz w:val="20"/>
        </w:rPr>
        <w:t>Government).</w:t>
      </w:r>
    </w:p>
    <w:p w:rsidR="002C1123" w:rsidRDefault="00F22F94">
      <w:pPr>
        <w:pStyle w:val="ListParagraph"/>
        <w:numPr>
          <w:ilvl w:val="0"/>
          <w:numId w:val="54"/>
        </w:numPr>
        <w:tabs>
          <w:tab w:val="left" w:pos="776"/>
        </w:tabs>
        <w:spacing w:before="133" w:line="249" w:lineRule="auto"/>
        <w:rPr>
          <w:sz w:val="20"/>
        </w:rPr>
      </w:pPr>
      <w:r>
        <w:rPr>
          <w:sz w:val="20"/>
        </w:rPr>
        <w:t>Infrastructure</w:t>
      </w:r>
      <w:r>
        <w:rPr>
          <w:spacing w:val="-14"/>
          <w:sz w:val="20"/>
        </w:rPr>
        <w:t xml:space="preserve"> </w:t>
      </w:r>
      <w:r>
        <w:rPr>
          <w:sz w:val="20"/>
        </w:rPr>
        <w:t>NSW</w:t>
      </w:r>
      <w:r>
        <w:rPr>
          <w:spacing w:val="-14"/>
          <w:sz w:val="20"/>
        </w:rPr>
        <w:t xml:space="preserve"> </w:t>
      </w:r>
      <w:r>
        <w:rPr>
          <w:sz w:val="20"/>
        </w:rPr>
        <w:t>recommends</w:t>
      </w:r>
      <w:r>
        <w:rPr>
          <w:spacing w:val="-14"/>
          <w:sz w:val="20"/>
        </w:rPr>
        <w:t xml:space="preserve"> </w:t>
      </w:r>
      <w:r>
        <w:rPr>
          <w:sz w:val="20"/>
        </w:rPr>
        <w:t>a</w:t>
      </w:r>
      <w:r>
        <w:rPr>
          <w:spacing w:val="-14"/>
          <w:sz w:val="20"/>
        </w:rPr>
        <w:t xml:space="preserve"> </w:t>
      </w:r>
      <w:r>
        <w:rPr>
          <w:sz w:val="20"/>
        </w:rPr>
        <w:t xml:space="preserve">prioritised </w:t>
      </w:r>
      <w:r>
        <w:rPr>
          <w:w w:val="95"/>
          <w:sz w:val="20"/>
        </w:rPr>
        <w:t>program</w:t>
      </w:r>
      <w:r>
        <w:rPr>
          <w:spacing w:val="-9"/>
          <w:w w:val="95"/>
          <w:sz w:val="20"/>
        </w:rPr>
        <w:t xml:space="preserve"> </w:t>
      </w:r>
      <w:r>
        <w:rPr>
          <w:w w:val="95"/>
          <w:sz w:val="20"/>
        </w:rPr>
        <w:t>of</w:t>
      </w:r>
      <w:r>
        <w:rPr>
          <w:spacing w:val="-9"/>
          <w:w w:val="95"/>
          <w:sz w:val="20"/>
        </w:rPr>
        <w:t xml:space="preserve"> </w:t>
      </w:r>
      <w:r>
        <w:rPr>
          <w:w w:val="95"/>
          <w:sz w:val="20"/>
        </w:rPr>
        <w:t>work</w:t>
      </w:r>
      <w:r>
        <w:rPr>
          <w:spacing w:val="-9"/>
          <w:w w:val="95"/>
          <w:sz w:val="20"/>
        </w:rPr>
        <w:t xml:space="preserve"> </w:t>
      </w:r>
      <w:r>
        <w:rPr>
          <w:w w:val="95"/>
          <w:sz w:val="20"/>
        </w:rPr>
        <w:t>to</w:t>
      </w:r>
      <w:r>
        <w:rPr>
          <w:spacing w:val="-9"/>
          <w:w w:val="95"/>
          <w:sz w:val="20"/>
        </w:rPr>
        <w:t xml:space="preserve"> </w:t>
      </w:r>
      <w:r>
        <w:rPr>
          <w:w w:val="95"/>
          <w:sz w:val="20"/>
        </w:rPr>
        <w:t>bring</w:t>
      </w:r>
      <w:r>
        <w:rPr>
          <w:spacing w:val="-9"/>
          <w:w w:val="95"/>
          <w:sz w:val="20"/>
        </w:rPr>
        <w:t xml:space="preserve"> </w:t>
      </w:r>
      <w:r>
        <w:rPr>
          <w:w w:val="95"/>
          <w:sz w:val="20"/>
        </w:rPr>
        <w:t>all</w:t>
      </w:r>
      <w:r>
        <w:rPr>
          <w:spacing w:val="-9"/>
          <w:w w:val="95"/>
          <w:sz w:val="20"/>
        </w:rPr>
        <w:t xml:space="preserve"> </w:t>
      </w:r>
      <w:r>
        <w:rPr>
          <w:w w:val="95"/>
          <w:sz w:val="20"/>
        </w:rPr>
        <w:t>regional</w:t>
      </w:r>
      <w:r>
        <w:rPr>
          <w:spacing w:val="-9"/>
          <w:w w:val="95"/>
          <w:sz w:val="20"/>
        </w:rPr>
        <w:t xml:space="preserve"> </w:t>
      </w:r>
      <w:r>
        <w:rPr>
          <w:w w:val="95"/>
          <w:sz w:val="20"/>
        </w:rPr>
        <w:t>town</w:t>
      </w:r>
      <w:r>
        <w:rPr>
          <w:spacing w:val="-9"/>
          <w:w w:val="95"/>
          <w:sz w:val="20"/>
        </w:rPr>
        <w:t xml:space="preserve"> </w:t>
      </w:r>
      <w:r>
        <w:rPr>
          <w:w w:val="95"/>
          <w:sz w:val="20"/>
        </w:rPr>
        <w:t>water</w:t>
      </w:r>
      <w:r>
        <w:rPr>
          <w:spacing w:val="-9"/>
          <w:w w:val="95"/>
          <w:sz w:val="20"/>
        </w:rPr>
        <w:t xml:space="preserve"> </w:t>
      </w:r>
      <w:r>
        <w:rPr>
          <w:w w:val="95"/>
          <w:sz w:val="20"/>
        </w:rPr>
        <w:t>and sewerage</w:t>
      </w:r>
      <w:r>
        <w:rPr>
          <w:spacing w:val="-8"/>
          <w:w w:val="95"/>
          <w:sz w:val="20"/>
        </w:rPr>
        <w:t xml:space="preserve"> </w:t>
      </w:r>
      <w:r>
        <w:rPr>
          <w:w w:val="95"/>
          <w:sz w:val="20"/>
        </w:rPr>
        <w:t>systems</w:t>
      </w:r>
      <w:r>
        <w:rPr>
          <w:spacing w:val="-8"/>
          <w:w w:val="95"/>
          <w:sz w:val="20"/>
        </w:rPr>
        <w:t xml:space="preserve"> </w:t>
      </w:r>
      <w:r>
        <w:rPr>
          <w:w w:val="95"/>
          <w:sz w:val="20"/>
        </w:rPr>
        <w:t>up</w:t>
      </w:r>
      <w:r>
        <w:rPr>
          <w:spacing w:val="-8"/>
          <w:w w:val="95"/>
          <w:sz w:val="20"/>
        </w:rPr>
        <w:t xml:space="preserve"> </w:t>
      </w:r>
      <w:r>
        <w:rPr>
          <w:w w:val="95"/>
          <w:sz w:val="20"/>
        </w:rPr>
        <w:t>to</w:t>
      </w:r>
      <w:r>
        <w:rPr>
          <w:spacing w:val="-8"/>
          <w:w w:val="95"/>
          <w:sz w:val="20"/>
        </w:rPr>
        <w:t xml:space="preserve"> </w:t>
      </w:r>
      <w:r>
        <w:rPr>
          <w:w w:val="95"/>
          <w:sz w:val="20"/>
        </w:rPr>
        <w:t>required</w:t>
      </w:r>
      <w:r>
        <w:rPr>
          <w:spacing w:val="-8"/>
          <w:w w:val="95"/>
          <w:sz w:val="20"/>
        </w:rPr>
        <w:t xml:space="preserve"> </w:t>
      </w:r>
      <w:r>
        <w:rPr>
          <w:w w:val="95"/>
          <w:sz w:val="20"/>
        </w:rPr>
        <w:t>minimum</w:t>
      </w:r>
      <w:r>
        <w:rPr>
          <w:spacing w:val="-8"/>
          <w:w w:val="95"/>
          <w:sz w:val="20"/>
        </w:rPr>
        <w:t xml:space="preserve"> </w:t>
      </w:r>
      <w:r>
        <w:rPr>
          <w:w w:val="95"/>
          <w:sz w:val="20"/>
        </w:rPr>
        <w:t xml:space="preserve">drinking </w:t>
      </w:r>
      <w:r>
        <w:rPr>
          <w:sz w:val="20"/>
        </w:rPr>
        <w:t>quality</w:t>
      </w:r>
      <w:r>
        <w:rPr>
          <w:spacing w:val="-9"/>
          <w:sz w:val="20"/>
        </w:rPr>
        <w:t xml:space="preserve"> </w:t>
      </w:r>
      <w:r>
        <w:rPr>
          <w:sz w:val="20"/>
        </w:rPr>
        <w:t>and</w:t>
      </w:r>
      <w:r>
        <w:rPr>
          <w:spacing w:val="-9"/>
          <w:sz w:val="20"/>
        </w:rPr>
        <w:t xml:space="preserve"> </w:t>
      </w:r>
      <w:r>
        <w:rPr>
          <w:sz w:val="20"/>
        </w:rPr>
        <w:t>environmental</w:t>
      </w:r>
      <w:r>
        <w:rPr>
          <w:spacing w:val="-9"/>
          <w:sz w:val="20"/>
        </w:rPr>
        <w:t xml:space="preserve"> </w:t>
      </w:r>
      <w:r>
        <w:rPr>
          <w:sz w:val="20"/>
        </w:rPr>
        <w:t>standards.</w:t>
      </w:r>
    </w:p>
    <w:p w:rsidR="002C1123" w:rsidRDefault="00F22F94">
      <w:pPr>
        <w:pStyle w:val="ListParagraph"/>
        <w:numPr>
          <w:ilvl w:val="0"/>
          <w:numId w:val="54"/>
        </w:numPr>
        <w:tabs>
          <w:tab w:val="left" w:pos="776"/>
        </w:tabs>
        <w:spacing w:before="132" w:line="249" w:lineRule="auto"/>
        <w:ind w:right="406"/>
        <w:rPr>
          <w:sz w:val="20"/>
        </w:rPr>
      </w:pPr>
      <w:r>
        <w:rPr>
          <w:w w:val="95"/>
          <w:sz w:val="20"/>
        </w:rPr>
        <w:t>Augmentation</w:t>
      </w:r>
      <w:r>
        <w:rPr>
          <w:spacing w:val="-12"/>
          <w:w w:val="95"/>
          <w:sz w:val="20"/>
        </w:rPr>
        <w:t xml:space="preserve"> </w:t>
      </w:r>
      <w:r>
        <w:rPr>
          <w:w w:val="95"/>
          <w:sz w:val="20"/>
        </w:rPr>
        <w:t>of</w:t>
      </w:r>
      <w:r>
        <w:rPr>
          <w:spacing w:val="-11"/>
          <w:w w:val="95"/>
          <w:sz w:val="20"/>
        </w:rPr>
        <w:t xml:space="preserve"> </w:t>
      </w:r>
      <w:r>
        <w:rPr>
          <w:w w:val="95"/>
          <w:sz w:val="20"/>
        </w:rPr>
        <w:t>supply</w:t>
      </w:r>
      <w:r>
        <w:rPr>
          <w:spacing w:val="-11"/>
          <w:w w:val="95"/>
          <w:sz w:val="20"/>
        </w:rPr>
        <w:t xml:space="preserve"> </w:t>
      </w:r>
      <w:r>
        <w:rPr>
          <w:w w:val="95"/>
          <w:sz w:val="20"/>
        </w:rPr>
        <w:t>for</w:t>
      </w:r>
      <w:r>
        <w:rPr>
          <w:spacing w:val="-11"/>
          <w:w w:val="95"/>
          <w:sz w:val="20"/>
        </w:rPr>
        <w:t xml:space="preserve"> </w:t>
      </w:r>
      <w:r>
        <w:rPr>
          <w:w w:val="95"/>
          <w:sz w:val="20"/>
        </w:rPr>
        <w:t>the</w:t>
      </w:r>
      <w:r>
        <w:rPr>
          <w:spacing w:val="-12"/>
          <w:w w:val="95"/>
          <w:sz w:val="20"/>
        </w:rPr>
        <w:t xml:space="preserve"> </w:t>
      </w:r>
      <w:r>
        <w:rPr>
          <w:w w:val="95"/>
          <w:sz w:val="20"/>
        </w:rPr>
        <w:t>Hunter</w:t>
      </w:r>
      <w:r>
        <w:rPr>
          <w:spacing w:val="-11"/>
          <w:w w:val="95"/>
          <w:sz w:val="20"/>
        </w:rPr>
        <w:t xml:space="preserve"> </w:t>
      </w:r>
      <w:r>
        <w:rPr>
          <w:w w:val="95"/>
          <w:sz w:val="20"/>
        </w:rPr>
        <w:t>region</w:t>
      </w:r>
      <w:r>
        <w:rPr>
          <w:spacing w:val="-11"/>
          <w:w w:val="95"/>
          <w:sz w:val="20"/>
        </w:rPr>
        <w:t xml:space="preserve"> </w:t>
      </w:r>
      <w:r>
        <w:rPr>
          <w:w w:val="95"/>
          <w:sz w:val="20"/>
        </w:rPr>
        <w:t xml:space="preserve">is </w:t>
      </w:r>
      <w:r>
        <w:rPr>
          <w:sz w:val="20"/>
        </w:rPr>
        <w:t>needed</w:t>
      </w:r>
      <w:r>
        <w:rPr>
          <w:spacing w:val="-7"/>
          <w:sz w:val="20"/>
        </w:rPr>
        <w:t xml:space="preserve"> </w:t>
      </w:r>
      <w:r>
        <w:rPr>
          <w:sz w:val="20"/>
        </w:rPr>
        <w:t>within</w:t>
      </w:r>
      <w:r>
        <w:rPr>
          <w:spacing w:val="-7"/>
          <w:sz w:val="20"/>
        </w:rPr>
        <w:t xml:space="preserve"> </w:t>
      </w:r>
      <w:r>
        <w:rPr>
          <w:sz w:val="20"/>
        </w:rPr>
        <w:t>the</w:t>
      </w:r>
      <w:r>
        <w:rPr>
          <w:spacing w:val="-7"/>
          <w:sz w:val="20"/>
        </w:rPr>
        <w:t xml:space="preserve"> </w:t>
      </w:r>
      <w:r>
        <w:rPr>
          <w:sz w:val="20"/>
        </w:rPr>
        <w:t>next</w:t>
      </w:r>
      <w:r>
        <w:rPr>
          <w:spacing w:val="-7"/>
          <w:sz w:val="20"/>
        </w:rPr>
        <w:t xml:space="preserve"> </w:t>
      </w:r>
      <w:r>
        <w:rPr>
          <w:sz w:val="20"/>
        </w:rPr>
        <w:t>10</w:t>
      </w:r>
      <w:r>
        <w:rPr>
          <w:spacing w:val="-7"/>
          <w:sz w:val="20"/>
        </w:rPr>
        <w:t xml:space="preserve"> </w:t>
      </w:r>
      <w:r>
        <w:rPr>
          <w:sz w:val="20"/>
        </w:rPr>
        <w:t>years.</w:t>
      </w:r>
    </w:p>
    <w:p w:rsidR="002C1123" w:rsidRDefault="00F22F94">
      <w:pPr>
        <w:pStyle w:val="ListParagraph"/>
        <w:numPr>
          <w:ilvl w:val="1"/>
          <w:numId w:val="57"/>
        </w:numPr>
        <w:tabs>
          <w:tab w:val="left" w:pos="568"/>
        </w:tabs>
        <w:spacing w:before="122" w:line="249" w:lineRule="auto"/>
        <w:ind w:right="105"/>
        <w:rPr>
          <w:sz w:val="20"/>
        </w:rPr>
      </w:pPr>
      <w:r>
        <w:br w:type="column"/>
      </w:r>
      <w:r>
        <w:rPr>
          <w:w w:val="95"/>
          <w:sz w:val="20"/>
        </w:rPr>
        <w:t xml:space="preserve">Given the multi-source complexity of water supply </w:t>
      </w:r>
      <w:r>
        <w:rPr>
          <w:sz w:val="20"/>
        </w:rPr>
        <w:t>systems</w:t>
      </w:r>
      <w:r>
        <w:rPr>
          <w:spacing w:val="-14"/>
          <w:sz w:val="20"/>
        </w:rPr>
        <w:t xml:space="preserve"> </w:t>
      </w:r>
      <w:r>
        <w:rPr>
          <w:sz w:val="20"/>
        </w:rPr>
        <w:t>and</w:t>
      </w:r>
      <w:r>
        <w:rPr>
          <w:spacing w:val="-14"/>
          <w:sz w:val="20"/>
        </w:rPr>
        <w:t xml:space="preserve"> </w:t>
      </w:r>
      <w:r>
        <w:rPr>
          <w:sz w:val="20"/>
        </w:rPr>
        <w:t>the</w:t>
      </w:r>
      <w:r>
        <w:rPr>
          <w:spacing w:val="-14"/>
          <w:sz w:val="20"/>
        </w:rPr>
        <w:t xml:space="preserve"> </w:t>
      </w:r>
      <w:r>
        <w:rPr>
          <w:sz w:val="20"/>
        </w:rPr>
        <w:t>long</w:t>
      </w:r>
      <w:r>
        <w:rPr>
          <w:spacing w:val="-14"/>
          <w:sz w:val="20"/>
        </w:rPr>
        <w:t xml:space="preserve"> </w:t>
      </w:r>
      <w:r>
        <w:rPr>
          <w:sz w:val="20"/>
        </w:rPr>
        <w:t>lead</w:t>
      </w:r>
      <w:r>
        <w:rPr>
          <w:spacing w:val="-14"/>
          <w:sz w:val="20"/>
        </w:rPr>
        <w:t xml:space="preserve"> </w:t>
      </w:r>
      <w:r>
        <w:rPr>
          <w:sz w:val="20"/>
        </w:rPr>
        <w:t>times,</w:t>
      </w:r>
      <w:r>
        <w:rPr>
          <w:spacing w:val="-14"/>
          <w:sz w:val="20"/>
        </w:rPr>
        <w:t xml:space="preserve"> </w:t>
      </w:r>
      <w:r>
        <w:rPr>
          <w:sz w:val="20"/>
        </w:rPr>
        <w:t>planning</w:t>
      </w:r>
      <w:r>
        <w:rPr>
          <w:spacing w:val="-14"/>
          <w:sz w:val="20"/>
        </w:rPr>
        <w:t xml:space="preserve"> </w:t>
      </w:r>
      <w:r>
        <w:rPr>
          <w:sz w:val="20"/>
        </w:rPr>
        <w:t xml:space="preserve">for </w:t>
      </w:r>
      <w:r>
        <w:rPr>
          <w:w w:val="95"/>
          <w:sz w:val="20"/>
        </w:rPr>
        <w:t>Sydney’s</w:t>
      </w:r>
      <w:r>
        <w:rPr>
          <w:spacing w:val="-6"/>
          <w:w w:val="95"/>
          <w:sz w:val="20"/>
        </w:rPr>
        <w:t xml:space="preserve"> </w:t>
      </w:r>
      <w:r>
        <w:rPr>
          <w:w w:val="95"/>
          <w:sz w:val="20"/>
        </w:rPr>
        <w:t>next</w:t>
      </w:r>
      <w:r>
        <w:rPr>
          <w:spacing w:val="-6"/>
          <w:w w:val="95"/>
          <w:sz w:val="20"/>
        </w:rPr>
        <w:t xml:space="preserve"> </w:t>
      </w:r>
      <w:r>
        <w:rPr>
          <w:w w:val="95"/>
          <w:sz w:val="20"/>
        </w:rPr>
        <w:t>supply</w:t>
      </w:r>
      <w:r>
        <w:rPr>
          <w:spacing w:val="-6"/>
          <w:w w:val="95"/>
          <w:sz w:val="20"/>
        </w:rPr>
        <w:t xml:space="preserve"> </w:t>
      </w:r>
      <w:r>
        <w:rPr>
          <w:w w:val="95"/>
          <w:sz w:val="20"/>
        </w:rPr>
        <w:t>should</w:t>
      </w:r>
      <w:r>
        <w:rPr>
          <w:spacing w:val="-6"/>
          <w:w w:val="95"/>
          <w:sz w:val="20"/>
        </w:rPr>
        <w:t xml:space="preserve"> </w:t>
      </w:r>
      <w:r>
        <w:rPr>
          <w:w w:val="95"/>
          <w:sz w:val="20"/>
        </w:rPr>
        <w:t>commence</w:t>
      </w:r>
      <w:r>
        <w:rPr>
          <w:spacing w:val="-6"/>
          <w:w w:val="95"/>
          <w:sz w:val="20"/>
        </w:rPr>
        <w:t xml:space="preserve"> </w:t>
      </w:r>
      <w:r>
        <w:rPr>
          <w:w w:val="95"/>
          <w:sz w:val="20"/>
        </w:rPr>
        <w:t>as</w:t>
      </w:r>
      <w:r>
        <w:rPr>
          <w:spacing w:val="-6"/>
          <w:w w:val="95"/>
          <w:sz w:val="20"/>
        </w:rPr>
        <w:t xml:space="preserve"> </w:t>
      </w:r>
      <w:r>
        <w:rPr>
          <w:w w:val="95"/>
          <w:sz w:val="20"/>
        </w:rPr>
        <w:t>part</w:t>
      </w:r>
      <w:r>
        <w:rPr>
          <w:spacing w:val="-6"/>
          <w:w w:val="95"/>
          <w:sz w:val="20"/>
        </w:rPr>
        <w:t xml:space="preserve"> </w:t>
      </w:r>
      <w:r>
        <w:rPr>
          <w:w w:val="95"/>
          <w:sz w:val="20"/>
        </w:rPr>
        <w:t xml:space="preserve">of </w:t>
      </w:r>
      <w:r>
        <w:rPr>
          <w:sz w:val="20"/>
        </w:rPr>
        <w:t>the</w:t>
      </w:r>
      <w:r>
        <w:rPr>
          <w:spacing w:val="-11"/>
          <w:sz w:val="20"/>
        </w:rPr>
        <w:t xml:space="preserve"> </w:t>
      </w:r>
      <w:r>
        <w:rPr>
          <w:sz w:val="20"/>
        </w:rPr>
        <w:t>updated</w:t>
      </w:r>
      <w:r>
        <w:rPr>
          <w:spacing w:val="-11"/>
          <w:sz w:val="20"/>
        </w:rPr>
        <w:t xml:space="preserve"> </w:t>
      </w:r>
      <w:r>
        <w:rPr>
          <w:sz w:val="20"/>
        </w:rPr>
        <w:t>Metropolitan</w:t>
      </w:r>
      <w:r>
        <w:rPr>
          <w:spacing w:val="-11"/>
          <w:sz w:val="20"/>
        </w:rPr>
        <w:t xml:space="preserve"> </w:t>
      </w:r>
      <w:r>
        <w:rPr>
          <w:sz w:val="20"/>
        </w:rPr>
        <w:t>Water</w:t>
      </w:r>
      <w:r>
        <w:rPr>
          <w:spacing w:val="-11"/>
          <w:sz w:val="20"/>
        </w:rPr>
        <w:t xml:space="preserve"> </w:t>
      </w:r>
      <w:r>
        <w:rPr>
          <w:sz w:val="20"/>
        </w:rPr>
        <w:t>Plan.</w:t>
      </w:r>
    </w:p>
    <w:p w:rsidR="002C1123" w:rsidRDefault="00F22F94">
      <w:pPr>
        <w:pStyle w:val="ListParagraph"/>
        <w:numPr>
          <w:ilvl w:val="1"/>
          <w:numId w:val="57"/>
        </w:numPr>
        <w:tabs>
          <w:tab w:val="left" w:pos="568"/>
        </w:tabs>
        <w:spacing w:before="132" w:line="249" w:lineRule="auto"/>
        <w:rPr>
          <w:sz w:val="20"/>
        </w:rPr>
      </w:pPr>
      <w:r>
        <w:rPr>
          <w:sz w:val="20"/>
        </w:rPr>
        <w:t>Infrastructure</w:t>
      </w:r>
      <w:r>
        <w:rPr>
          <w:spacing w:val="-14"/>
          <w:sz w:val="20"/>
        </w:rPr>
        <w:t xml:space="preserve"> </w:t>
      </w:r>
      <w:r>
        <w:rPr>
          <w:sz w:val="20"/>
        </w:rPr>
        <w:t>NSW</w:t>
      </w:r>
      <w:r>
        <w:rPr>
          <w:spacing w:val="-14"/>
          <w:sz w:val="20"/>
        </w:rPr>
        <w:t xml:space="preserve"> </w:t>
      </w:r>
      <w:r>
        <w:rPr>
          <w:sz w:val="20"/>
        </w:rPr>
        <w:t>recommends</w:t>
      </w:r>
      <w:r>
        <w:rPr>
          <w:spacing w:val="-14"/>
          <w:sz w:val="20"/>
        </w:rPr>
        <w:t xml:space="preserve"> </w:t>
      </w:r>
      <w:r>
        <w:rPr>
          <w:sz w:val="20"/>
        </w:rPr>
        <w:t>the</w:t>
      </w:r>
      <w:r>
        <w:rPr>
          <w:spacing w:val="-14"/>
          <w:sz w:val="20"/>
        </w:rPr>
        <w:t xml:space="preserve"> </w:t>
      </w:r>
      <w:r>
        <w:rPr>
          <w:sz w:val="20"/>
        </w:rPr>
        <w:t xml:space="preserve">NSW </w:t>
      </w:r>
      <w:r>
        <w:rPr>
          <w:spacing w:val="-2"/>
          <w:sz w:val="20"/>
        </w:rPr>
        <w:t>Government</w:t>
      </w:r>
      <w:r>
        <w:rPr>
          <w:spacing w:val="-8"/>
          <w:sz w:val="20"/>
        </w:rPr>
        <w:t xml:space="preserve"> </w:t>
      </w:r>
      <w:r>
        <w:rPr>
          <w:spacing w:val="-2"/>
          <w:sz w:val="20"/>
        </w:rPr>
        <w:t>review</w:t>
      </w:r>
      <w:r>
        <w:rPr>
          <w:spacing w:val="-8"/>
          <w:sz w:val="20"/>
        </w:rPr>
        <w:t xml:space="preserve"> </w:t>
      </w:r>
      <w:r>
        <w:rPr>
          <w:spacing w:val="-2"/>
          <w:sz w:val="20"/>
        </w:rPr>
        <w:t>all</w:t>
      </w:r>
      <w:r>
        <w:rPr>
          <w:spacing w:val="-8"/>
          <w:sz w:val="20"/>
        </w:rPr>
        <w:t xml:space="preserve"> </w:t>
      </w:r>
      <w:r>
        <w:rPr>
          <w:spacing w:val="-2"/>
          <w:sz w:val="20"/>
        </w:rPr>
        <w:t>the</w:t>
      </w:r>
      <w:r>
        <w:rPr>
          <w:spacing w:val="-8"/>
          <w:sz w:val="20"/>
        </w:rPr>
        <w:t xml:space="preserve"> </w:t>
      </w:r>
      <w:r>
        <w:rPr>
          <w:spacing w:val="-2"/>
          <w:sz w:val="20"/>
        </w:rPr>
        <w:t>major</w:t>
      </w:r>
      <w:r>
        <w:rPr>
          <w:spacing w:val="-8"/>
          <w:sz w:val="20"/>
        </w:rPr>
        <w:t xml:space="preserve"> </w:t>
      </w:r>
      <w:r>
        <w:rPr>
          <w:spacing w:val="-2"/>
          <w:sz w:val="20"/>
        </w:rPr>
        <w:t>flood</w:t>
      </w:r>
      <w:r>
        <w:rPr>
          <w:spacing w:val="-8"/>
          <w:sz w:val="20"/>
        </w:rPr>
        <w:t xml:space="preserve"> </w:t>
      </w:r>
      <w:r>
        <w:rPr>
          <w:spacing w:val="-2"/>
          <w:sz w:val="20"/>
        </w:rPr>
        <w:t xml:space="preserve">mitigation </w:t>
      </w:r>
      <w:r>
        <w:rPr>
          <w:w w:val="95"/>
          <w:sz w:val="20"/>
        </w:rPr>
        <w:t>options</w:t>
      </w:r>
      <w:r>
        <w:rPr>
          <w:spacing w:val="-12"/>
          <w:w w:val="95"/>
          <w:sz w:val="20"/>
        </w:rPr>
        <w:t xml:space="preserve"> </w:t>
      </w:r>
      <w:r>
        <w:rPr>
          <w:w w:val="95"/>
          <w:sz w:val="20"/>
        </w:rPr>
        <w:t>available,</w:t>
      </w:r>
      <w:r>
        <w:rPr>
          <w:spacing w:val="-11"/>
          <w:w w:val="95"/>
          <w:sz w:val="20"/>
        </w:rPr>
        <w:t xml:space="preserve"> </w:t>
      </w:r>
      <w:r>
        <w:rPr>
          <w:w w:val="95"/>
          <w:sz w:val="20"/>
        </w:rPr>
        <w:t>including</w:t>
      </w:r>
      <w:r>
        <w:rPr>
          <w:spacing w:val="-11"/>
          <w:w w:val="95"/>
          <w:sz w:val="20"/>
        </w:rPr>
        <w:t xml:space="preserve"> </w:t>
      </w:r>
      <w:r>
        <w:rPr>
          <w:w w:val="95"/>
          <w:sz w:val="20"/>
        </w:rPr>
        <w:t>raising</w:t>
      </w:r>
      <w:r>
        <w:rPr>
          <w:spacing w:val="-11"/>
          <w:w w:val="95"/>
          <w:sz w:val="20"/>
        </w:rPr>
        <w:t xml:space="preserve"> </w:t>
      </w:r>
      <w:r>
        <w:rPr>
          <w:w w:val="95"/>
          <w:sz w:val="20"/>
        </w:rPr>
        <w:t>the</w:t>
      </w:r>
      <w:r>
        <w:rPr>
          <w:spacing w:val="-12"/>
          <w:w w:val="95"/>
          <w:sz w:val="20"/>
        </w:rPr>
        <w:t xml:space="preserve"> </w:t>
      </w:r>
      <w:r>
        <w:rPr>
          <w:w w:val="95"/>
          <w:sz w:val="20"/>
        </w:rPr>
        <w:t xml:space="preserve">Warragamba </w:t>
      </w:r>
      <w:r>
        <w:rPr>
          <w:sz w:val="20"/>
        </w:rPr>
        <w:t>Dam</w:t>
      </w:r>
      <w:r>
        <w:rPr>
          <w:spacing w:val="-14"/>
          <w:sz w:val="20"/>
        </w:rPr>
        <w:t xml:space="preserve"> </w:t>
      </w:r>
      <w:r>
        <w:rPr>
          <w:sz w:val="20"/>
        </w:rPr>
        <w:t>wall</w:t>
      </w:r>
      <w:r>
        <w:rPr>
          <w:spacing w:val="-14"/>
          <w:sz w:val="20"/>
        </w:rPr>
        <w:t xml:space="preserve"> </w:t>
      </w:r>
      <w:r>
        <w:rPr>
          <w:sz w:val="20"/>
        </w:rPr>
        <w:t>to</w:t>
      </w:r>
      <w:r>
        <w:rPr>
          <w:spacing w:val="-14"/>
          <w:sz w:val="20"/>
        </w:rPr>
        <w:t xml:space="preserve"> </w:t>
      </w:r>
      <w:r>
        <w:rPr>
          <w:sz w:val="20"/>
        </w:rPr>
        <w:t>significantly</w:t>
      </w:r>
      <w:r>
        <w:rPr>
          <w:spacing w:val="-14"/>
          <w:sz w:val="20"/>
        </w:rPr>
        <w:t xml:space="preserve"> </w:t>
      </w:r>
      <w:r>
        <w:rPr>
          <w:sz w:val="20"/>
        </w:rPr>
        <w:t>reduce</w:t>
      </w:r>
      <w:r>
        <w:rPr>
          <w:spacing w:val="-14"/>
          <w:sz w:val="20"/>
        </w:rPr>
        <w:t xml:space="preserve"> </w:t>
      </w:r>
      <w:r>
        <w:rPr>
          <w:sz w:val="20"/>
        </w:rPr>
        <w:t>the</w:t>
      </w:r>
      <w:r>
        <w:rPr>
          <w:spacing w:val="-14"/>
          <w:sz w:val="20"/>
        </w:rPr>
        <w:t xml:space="preserve"> </w:t>
      </w:r>
      <w:r>
        <w:rPr>
          <w:sz w:val="20"/>
        </w:rPr>
        <w:t>potential economic</w:t>
      </w:r>
      <w:r>
        <w:rPr>
          <w:spacing w:val="-10"/>
          <w:sz w:val="20"/>
        </w:rPr>
        <w:t xml:space="preserve"> </w:t>
      </w:r>
      <w:r>
        <w:rPr>
          <w:sz w:val="20"/>
        </w:rPr>
        <w:t>and</w:t>
      </w:r>
      <w:r>
        <w:rPr>
          <w:spacing w:val="-10"/>
          <w:sz w:val="20"/>
        </w:rPr>
        <w:t xml:space="preserve"> </w:t>
      </w:r>
      <w:r>
        <w:rPr>
          <w:sz w:val="20"/>
        </w:rPr>
        <w:t>social</w:t>
      </w:r>
      <w:r>
        <w:rPr>
          <w:spacing w:val="-10"/>
          <w:sz w:val="20"/>
        </w:rPr>
        <w:t xml:space="preserve"> </w:t>
      </w:r>
      <w:r>
        <w:rPr>
          <w:sz w:val="20"/>
        </w:rPr>
        <w:t>impact</w:t>
      </w:r>
      <w:r>
        <w:rPr>
          <w:spacing w:val="-10"/>
          <w:sz w:val="20"/>
        </w:rPr>
        <w:t xml:space="preserve"> </w:t>
      </w:r>
      <w:r>
        <w:rPr>
          <w:sz w:val="20"/>
        </w:rPr>
        <w:t>of</w:t>
      </w:r>
      <w:r>
        <w:rPr>
          <w:spacing w:val="-10"/>
          <w:sz w:val="20"/>
        </w:rPr>
        <w:t xml:space="preserve"> </w:t>
      </w:r>
      <w:r>
        <w:rPr>
          <w:sz w:val="20"/>
        </w:rPr>
        <w:t>flooding</w:t>
      </w:r>
      <w:r>
        <w:rPr>
          <w:spacing w:val="-10"/>
          <w:sz w:val="20"/>
        </w:rPr>
        <w:t xml:space="preserve"> </w:t>
      </w:r>
      <w:r>
        <w:rPr>
          <w:sz w:val="20"/>
        </w:rPr>
        <w:t>in</w:t>
      </w:r>
      <w:r>
        <w:rPr>
          <w:spacing w:val="-10"/>
          <w:sz w:val="20"/>
        </w:rPr>
        <w:t xml:space="preserve"> </w:t>
      </w:r>
      <w:r>
        <w:rPr>
          <w:sz w:val="20"/>
        </w:rPr>
        <w:t xml:space="preserve">the </w:t>
      </w:r>
      <w:r>
        <w:rPr>
          <w:spacing w:val="-2"/>
          <w:w w:val="95"/>
          <w:sz w:val="20"/>
        </w:rPr>
        <w:t>Hawkesbury</w:t>
      </w:r>
      <w:r>
        <w:rPr>
          <w:spacing w:val="-4"/>
          <w:w w:val="95"/>
          <w:sz w:val="20"/>
        </w:rPr>
        <w:t xml:space="preserve"> </w:t>
      </w:r>
      <w:r>
        <w:rPr>
          <w:spacing w:val="-2"/>
          <w:w w:val="95"/>
          <w:sz w:val="20"/>
        </w:rPr>
        <w:t>Nepean</w:t>
      </w:r>
      <w:r>
        <w:rPr>
          <w:spacing w:val="-4"/>
          <w:w w:val="95"/>
          <w:sz w:val="20"/>
        </w:rPr>
        <w:t xml:space="preserve"> </w:t>
      </w:r>
      <w:r>
        <w:rPr>
          <w:spacing w:val="-2"/>
          <w:w w:val="95"/>
          <w:sz w:val="20"/>
        </w:rPr>
        <w:t>Valley.</w:t>
      </w:r>
      <w:r>
        <w:rPr>
          <w:spacing w:val="-4"/>
          <w:w w:val="95"/>
          <w:sz w:val="20"/>
        </w:rPr>
        <w:t xml:space="preserve"> </w:t>
      </w:r>
      <w:r>
        <w:rPr>
          <w:spacing w:val="-2"/>
          <w:w w:val="95"/>
          <w:sz w:val="20"/>
        </w:rPr>
        <w:t>If</w:t>
      </w:r>
      <w:r>
        <w:rPr>
          <w:spacing w:val="-4"/>
          <w:w w:val="95"/>
          <w:sz w:val="20"/>
        </w:rPr>
        <w:t xml:space="preserve"> </w:t>
      </w:r>
      <w:r>
        <w:rPr>
          <w:spacing w:val="-2"/>
          <w:w w:val="95"/>
          <w:sz w:val="20"/>
        </w:rPr>
        <w:t>major</w:t>
      </w:r>
      <w:r>
        <w:rPr>
          <w:spacing w:val="-4"/>
          <w:w w:val="95"/>
          <w:sz w:val="20"/>
        </w:rPr>
        <w:t xml:space="preserve"> </w:t>
      </w:r>
      <w:r>
        <w:rPr>
          <w:spacing w:val="-2"/>
          <w:w w:val="95"/>
          <w:sz w:val="20"/>
        </w:rPr>
        <w:t>flood</w:t>
      </w:r>
      <w:r>
        <w:rPr>
          <w:spacing w:val="-4"/>
          <w:w w:val="95"/>
          <w:sz w:val="20"/>
        </w:rPr>
        <w:t xml:space="preserve"> </w:t>
      </w:r>
      <w:r>
        <w:rPr>
          <w:spacing w:val="-2"/>
          <w:w w:val="95"/>
          <w:sz w:val="20"/>
        </w:rPr>
        <w:t xml:space="preserve">mitigation </w:t>
      </w:r>
      <w:r>
        <w:rPr>
          <w:spacing w:val="-2"/>
          <w:sz w:val="20"/>
        </w:rPr>
        <w:t>is</w:t>
      </w:r>
      <w:r>
        <w:rPr>
          <w:spacing w:val="-11"/>
          <w:sz w:val="20"/>
        </w:rPr>
        <w:t xml:space="preserve"> </w:t>
      </w:r>
      <w:r>
        <w:rPr>
          <w:spacing w:val="-2"/>
          <w:sz w:val="20"/>
        </w:rPr>
        <w:t>not</w:t>
      </w:r>
      <w:r>
        <w:rPr>
          <w:spacing w:val="-11"/>
          <w:sz w:val="20"/>
        </w:rPr>
        <w:t xml:space="preserve"> </w:t>
      </w:r>
      <w:r>
        <w:rPr>
          <w:spacing w:val="-2"/>
          <w:sz w:val="20"/>
        </w:rPr>
        <w:t>provided,</w:t>
      </w:r>
      <w:r>
        <w:rPr>
          <w:spacing w:val="-11"/>
          <w:sz w:val="20"/>
        </w:rPr>
        <w:t xml:space="preserve"> </w:t>
      </w:r>
      <w:r>
        <w:rPr>
          <w:spacing w:val="-2"/>
          <w:sz w:val="20"/>
        </w:rPr>
        <w:t>roads</w:t>
      </w:r>
      <w:r>
        <w:rPr>
          <w:spacing w:val="-11"/>
          <w:sz w:val="20"/>
        </w:rPr>
        <w:t xml:space="preserve"> </w:t>
      </w:r>
      <w:r>
        <w:rPr>
          <w:spacing w:val="-2"/>
          <w:sz w:val="20"/>
        </w:rPr>
        <w:t>in</w:t>
      </w:r>
      <w:r>
        <w:rPr>
          <w:spacing w:val="-11"/>
          <w:sz w:val="20"/>
        </w:rPr>
        <w:t xml:space="preserve"> </w:t>
      </w:r>
      <w:r>
        <w:rPr>
          <w:spacing w:val="-2"/>
          <w:sz w:val="20"/>
        </w:rPr>
        <w:t>the</w:t>
      </w:r>
      <w:r>
        <w:rPr>
          <w:spacing w:val="-11"/>
          <w:sz w:val="20"/>
        </w:rPr>
        <w:t xml:space="preserve"> </w:t>
      </w:r>
      <w:r>
        <w:rPr>
          <w:spacing w:val="-2"/>
          <w:sz w:val="20"/>
        </w:rPr>
        <w:t>Valley</w:t>
      </w:r>
      <w:r>
        <w:rPr>
          <w:spacing w:val="-11"/>
          <w:sz w:val="20"/>
        </w:rPr>
        <w:t xml:space="preserve"> </w:t>
      </w:r>
      <w:r>
        <w:rPr>
          <w:spacing w:val="-2"/>
          <w:sz w:val="20"/>
        </w:rPr>
        <w:t>will</w:t>
      </w:r>
      <w:r>
        <w:rPr>
          <w:spacing w:val="-11"/>
          <w:sz w:val="20"/>
        </w:rPr>
        <w:t xml:space="preserve"> </w:t>
      </w:r>
      <w:r>
        <w:rPr>
          <w:spacing w:val="-2"/>
          <w:sz w:val="20"/>
        </w:rPr>
        <w:t>need</w:t>
      </w:r>
      <w:r>
        <w:rPr>
          <w:spacing w:val="-11"/>
          <w:sz w:val="20"/>
        </w:rPr>
        <w:t xml:space="preserve"> </w:t>
      </w:r>
      <w:r>
        <w:rPr>
          <w:spacing w:val="-2"/>
          <w:sz w:val="20"/>
        </w:rPr>
        <w:t>to</w:t>
      </w:r>
      <w:r>
        <w:rPr>
          <w:spacing w:val="-11"/>
          <w:sz w:val="20"/>
        </w:rPr>
        <w:t xml:space="preserve"> </w:t>
      </w:r>
      <w:r>
        <w:rPr>
          <w:spacing w:val="-2"/>
          <w:sz w:val="20"/>
        </w:rPr>
        <w:t xml:space="preserve">be </w:t>
      </w:r>
      <w:r>
        <w:rPr>
          <w:sz w:val="20"/>
        </w:rPr>
        <w:t>upgraded</w:t>
      </w:r>
      <w:r>
        <w:rPr>
          <w:spacing w:val="-12"/>
          <w:sz w:val="20"/>
        </w:rPr>
        <w:t xml:space="preserve"> </w:t>
      </w:r>
      <w:r>
        <w:rPr>
          <w:sz w:val="20"/>
        </w:rPr>
        <w:t>to</w:t>
      </w:r>
      <w:r>
        <w:rPr>
          <w:spacing w:val="-12"/>
          <w:sz w:val="20"/>
        </w:rPr>
        <w:t xml:space="preserve"> </w:t>
      </w:r>
      <w:r>
        <w:rPr>
          <w:sz w:val="20"/>
        </w:rPr>
        <w:t>ensure</w:t>
      </w:r>
      <w:r>
        <w:rPr>
          <w:spacing w:val="-12"/>
          <w:sz w:val="20"/>
        </w:rPr>
        <w:t xml:space="preserve"> </w:t>
      </w:r>
      <w:r>
        <w:rPr>
          <w:sz w:val="20"/>
        </w:rPr>
        <w:t>people</w:t>
      </w:r>
      <w:r>
        <w:rPr>
          <w:spacing w:val="-12"/>
          <w:sz w:val="20"/>
        </w:rPr>
        <w:t xml:space="preserve"> </w:t>
      </w:r>
      <w:r>
        <w:rPr>
          <w:sz w:val="20"/>
        </w:rPr>
        <w:t>can</w:t>
      </w:r>
      <w:r>
        <w:rPr>
          <w:spacing w:val="-12"/>
          <w:sz w:val="20"/>
        </w:rPr>
        <w:t xml:space="preserve"> </w:t>
      </w:r>
      <w:r>
        <w:rPr>
          <w:sz w:val="20"/>
        </w:rPr>
        <w:t>evacuate.</w:t>
      </w:r>
    </w:p>
    <w:p w:rsidR="002C1123" w:rsidRDefault="00F22F94">
      <w:pPr>
        <w:pStyle w:val="ListParagraph"/>
        <w:numPr>
          <w:ilvl w:val="2"/>
          <w:numId w:val="57"/>
        </w:numPr>
        <w:tabs>
          <w:tab w:val="left" w:pos="741"/>
        </w:tabs>
        <w:spacing w:before="122" w:line="249" w:lineRule="auto"/>
        <w:ind w:right="760"/>
        <w:rPr>
          <w:sz w:val="20"/>
        </w:rPr>
      </w:pPr>
      <w:r>
        <w:br w:type="column"/>
      </w:r>
      <w:r>
        <w:rPr>
          <w:sz w:val="20"/>
        </w:rPr>
        <w:t>The</w:t>
      </w:r>
      <w:r>
        <w:rPr>
          <w:spacing w:val="-11"/>
          <w:sz w:val="20"/>
        </w:rPr>
        <w:t xml:space="preserve"> </w:t>
      </w:r>
      <w:r>
        <w:rPr>
          <w:sz w:val="20"/>
        </w:rPr>
        <w:t>NSW</w:t>
      </w:r>
      <w:r>
        <w:rPr>
          <w:spacing w:val="-11"/>
          <w:sz w:val="20"/>
        </w:rPr>
        <w:t xml:space="preserve"> </w:t>
      </w:r>
      <w:r>
        <w:rPr>
          <w:sz w:val="20"/>
        </w:rPr>
        <w:t>Government</w:t>
      </w:r>
      <w:r>
        <w:rPr>
          <w:spacing w:val="-11"/>
          <w:sz w:val="20"/>
        </w:rPr>
        <w:t xml:space="preserve"> </w:t>
      </w:r>
      <w:r>
        <w:rPr>
          <w:sz w:val="20"/>
        </w:rPr>
        <w:t>has</w:t>
      </w:r>
      <w:r>
        <w:rPr>
          <w:spacing w:val="-11"/>
          <w:sz w:val="20"/>
        </w:rPr>
        <w:t xml:space="preserve"> </w:t>
      </w:r>
      <w:r>
        <w:rPr>
          <w:sz w:val="20"/>
        </w:rPr>
        <w:t>about</w:t>
      </w:r>
      <w:r>
        <w:rPr>
          <w:spacing w:val="-11"/>
          <w:sz w:val="20"/>
        </w:rPr>
        <w:t xml:space="preserve"> </w:t>
      </w:r>
      <w:r>
        <w:rPr>
          <w:sz w:val="20"/>
        </w:rPr>
        <w:t>$20</w:t>
      </w:r>
      <w:r>
        <w:rPr>
          <w:spacing w:val="-11"/>
          <w:sz w:val="20"/>
        </w:rPr>
        <w:t xml:space="preserve"> </w:t>
      </w:r>
      <w:r>
        <w:rPr>
          <w:sz w:val="20"/>
        </w:rPr>
        <w:t>billion</w:t>
      </w:r>
      <w:r>
        <w:rPr>
          <w:position w:val="7"/>
          <w:sz w:val="11"/>
        </w:rPr>
        <w:t>1</w:t>
      </w:r>
      <w:r>
        <w:rPr>
          <w:spacing w:val="40"/>
          <w:position w:val="7"/>
          <w:sz w:val="11"/>
        </w:rPr>
        <w:t xml:space="preserve"> </w:t>
      </w:r>
      <w:r>
        <w:rPr>
          <w:w w:val="95"/>
          <w:sz w:val="20"/>
        </w:rPr>
        <w:t>invested</w:t>
      </w:r>
      <w:r>
        <w:rPr>
          <w:spacing w:val="-1"/>
          <w:w w:val="95"/>
          <w:sz w:val="20"/>
        </w:rPr>
        <w:t xml:space="preserve"> </w:t>
      </w:r>
      <w:r>
        <w:rPr>
          <w:w w:val="95"/>
          <w:sz w:val="20"/>
        </w:rPr>
        <w:t>in</w:t>
      </w:r>
      <w:r>
        <w:rPr>
          <w:spacing w:val="-1"/>
          <w:w w:val="95"/>
          <w:sz w:val="20"/>
        </w:rPr>
        <w:t xml:space="preserve"> </w:t>
      </w:r>
      <w:r>
        <w:rPr>
          <w:w w:val="95"/>
          <w:sz w:val="20"/>
        </w:rPr>
        <w:t>the</w:t>
      </w:r>
      <w:r>
        <w:rPr>
          <w:spacing w:val="-1"/>
          <w:w w:val="95"/>
          <w:sz w:val="20"/>
        </w:rPr>
        <w:t xml:space="preserve"> </w:t>
      </w:r>
      <w:r>
        <w:rPr>
          <w:w w:val="95"/>
          <w:sz w:val="20"/>
        </w:rPr>
        <w:t>water</w:t>
      </w:r>
      <w:r>
        <w:rPr>
          <w:spacing w:val="-1"/>
          <w:w w:val="95"/>
          <w:sz w:val="20"/>
        </w:rPr>
        <w:t xml:space="preserve"> </w:t>
      </w:r>
      <w:r>
        <w:rPr>
          <w:w w:val="95"/>
          <w:sz w:val="20"/>
        </w:rPr>
        <w:t>sector</w:t>
      </w:r>
      <w:r>
        <w:rPr>
          <w:spacing w:val="-1"/>
          <w:w w:val="95"/>
          <w:sz w:val="20"/>
        </w:rPr>
        <w:t xml:space="preserve"> </w:t>
      </w:r>
      <w:r>
        <w:rPr>
          <w:w w:val="95"/>
          <w:sz w:val="20"/>
        </w:rPr>
        <w:t>in</w:t>
      </w:r>
      <w:r>
        <w:rPr>
          <w:spacing w:val="-1"/>
          <w:w w:val="95"/>
          <w:sz w:val="20"/>
        </w:rPr>
        <w:t xml:space="preserve"> </w:t>
      </w:r>
      <w:r>
        <w:rPr>
          <w:w w:val="95"/>
          <w:sz w:val="20"/>
        </w:rPr>
        <w:t>Sydney</w:t>
      </w:r>
      <w:r>
        <w:rPr>
          <w:spacing w:val="-1"/>
          <w:w w:val="95"/>
          <w:sz w:val="20"/>
        </w:rPr>
        <w:t xml:space="preserve"> </w:t>
      </w:r>
      <w:r>
        <w:rPr>
          <w:w w:val="95"/>
          <w:sz w:val="20"/>
        </w:rPr>
        <w:t>Water,</w:t>
      </w:r>
      <w:r>
        <w:rPr>
          <w:spacing w:val="-1"/>
          <w:w w:val="95"/>
          <w:sz w:val="20"/>
        </w:rPr>
        <w:t xml:space="preserve"> </w:t>
      </w:r>
      <w:r>
        <w:rPr>
          <w:w w:val="95"/>
          <w:sz w:val="20"/>
        </w:rPr>
        <w:t>Hunter Water,</w:t>
      </w:r>
      <w:r>
        <w:rPr>
          <w:spacing w:val="-12"/>
          <w:w w:val="95"/>
          <w:sz w:val="20"/>
        </w:rPr>
        <w:t xml:space="preserve"> </w:t>
      </w:r>
      <w:r>
        <w:rPr>
          <w:w w:val="95"/>
          <w:sz w:val="20"/>
        </w:rPr>
        <w:t>Sydney</w:t>
      </w:r>
      <w:r>
        <w:rPr>
          <w:spacing w:val="-11"/>
          <w:w w:val="95"/>
          <w:sz w:val="20"/>
        </w:rPr>
        <w:t xml:space="preserve"> </w:t>
      </w:r>
      <w:r>
        <w:rPr>
          <w:w w:val="95"/>
          <w:sz w:val="20"/>
        </w:rPr>
        <w:t>Catchment</w:t>
      </w:r>
      <w:r>
        <w:rPr>
          <w:spacing w:val="-11"/>
          <w:w w:val="95"/>
          <w:sz w:val="20"/>
        </w:rPr>
        <w:t xml:space="preserve"> </w:t>
      </w:r>
      <w:r>
        <w:rPr>
          <w:w w:val="95"/>
          <w:sz w:val="20"/>
        </w:rPr>
        <w:t>Authority</w:t>
      </w:r>
      <w:r>
        <w:rPr>
          <w:spacing w:val="-11"/>
          <w:w w:val="95"/>
          <w:sz w:val="20"/>
        </w:rPr>
        <w:t xml:space="preserve"> </w:t>
      </w:r>
      <w:r>
        <w:rPr>
          <w:w w:val="95"/>
          <w:sz w:val="20"/>
        </w:rPr>
        <w:t>and</w:t>
      </w:r>
      <w:r>
        <w:rPr>
          <w:spacing w:val="-11"/>
          <w:w w:val="95"/>
          <w:sz w:val="20"/>
        </w:rPr>
        <w:t xml:space="preserve"> </w:t>
      </w:r>
      <w:r>
        <w:rPr>
          <w:w w:val="95"/>
          <w:sz w:val="20"/>
        </w:rPr>
        <w:t>State</w:t>
      </w:r>
      <w:r>
        <w:rPr>
          <w:spacing w:val="-11"/>
          <w:w w:val="95"/>
          <w:sz w:val="20"/>
        </w:rPr>
        <w:t xml:space="preserve"> </w:t>
      </w:r>
      <w:r>
        <w:rPr>
          <w:w w:val="95"/>
          <w:sz w:val="20"/>
        </w:rPr>
        <w:t>Water.</w:t>
      </w:r>
    </w:p>
    <w:p w:rsidR="002C1123" w:rsidRDefault="00F22F94">
      <w:pPr>
        <w:pStyle w:val="ListParagraph"/>
        <w:numPr>
          <w:ilvl w:val="2"/>
          <w:numId w:val="57"/>
        </w:numPr>
        <w:tabs>
          <w:tab w:val="left" w:pos="741"/>
        </w:tabs>
        <w:spacing w:before="131" w:line="249" w:lineRule="auto"/>
        <w:ind w:right="793"/>
        <w:rPr>
          <w:sz w:val="20"/>
        </w:rPr>
      </w:pPr>
      <w:r>
        <w:rPr>
          <w:w w:val="95"/>
          <w:sz w:val="20"/>
        </w:rPr>
        <w:t>Local</w:t>
      </w:r>
      <w:r>
        <w:rPr>
          <w:spacing w:val="-4"/>
          <w:w w:val="95"/>
          <w:sz w:val="20"/>
        </w:rPr>
        <w:t xml:space="preserve"> </w:t>
      </w:r>
      <w:r>
        <w:rPr>
          <w:w w:val="95"/>
          <w:sz w:val="20"/>
        </w:rPr>
        <w:t>government-owned</w:t>
      </w:r>
      <w:r>
        <w:rPr>
          <w:spacing w:val="-4"/>
          <w:w w:val="95"/>
          <w:sz w:val="20"/>
        </w:rPr>
        <w:t xml:space="preserve"> </w:t>
      </w:r>
      <w:r>
        <w:rPr>
          <w:w w:val="95"/>
          <w:sz w:val="20"/>
        </w:rPr>
        <w:t>water</w:t>
      </w:r>
      <w:r>
        <w:rPr>
          <w:spacing w:val="-4"/>
          <w:w w:val="95"/>
          <w:sz w:val="20"/>
        </w:rPr>
        <w:t xml:space="preserve"> </w:t>
      </w:r>
      <w:r>
        <w:rPr>
          <w:w w:val="95"/>
          <w:sz w:val="20"/>
        </w:rPr>
        <w:t>utilities</w:t>
      </w:r>
      <w:r>
        <w:rPr>
          <w:spacing w:val="-4"/>
          <w:w w:val="95"/>
          <w:sz w:val="20"/>
        </w:rPr>
        <w:t xml:space="preserve"> </w:t>
      </w:r>
      <w:r>
        <w:rPr>
          <w:w w:val="95"/>
          <w:sz w:val="20"/>
        </w:rPr>
        <w:t>deliver</w:t>
      </w:r>
      <w:r>
        <w:rPr>
          <w:spacing w:val="-4"/>
          <w:w w:val="95"/>
          <w:sz w:val="20"/>
        </w:rPr>
        <w:t xml:space="preserve"> </w:t>
      </w:r>
      <w:r>
        <w:rPr>
          <w:w w:val="95"/>
          <w:sz w:val="20"/>
        </w:rPr>
        <w:t xml:space="preserve">water </w:t>
      </w:r>
      <w:r>
        <w:rPr>
          <w:sz w:val="20"/>
        </w:rPr>
        <w:t>and</w:t>
      </w:r>
      <w:r>
        <w:rPr>
          <w:spacing w:val="-14"/>
          <w:sz w:val="20"/>
        </w:rPr>
        <w:t xml:space="preserve"> </w:t>
      </w:r>
      <w:r>
        <w:rPr>
          <w:sz w:val="20"/>
        </w:rPr>
        <w:t>wastewater</w:t>
      </w:r>
      <w:r>
        <w:rPr>
          <w:spacing w:val="-14"/>
          <w:sz w:val="20"/>
        </w:rPr>
        <w:t xml:space="preserve"> </w:t>
      </w:r>
      <w:r>
        <w:rPr>
          <w:sz w:val="20"/>
        </w:rPr>
        <w:t>services</w:t>
      </w:r>
      <w:r>
        <w:rPr>
          <w:spacing w:val="-14"/>
          <w:sz w:val="20"/>
        </w:rPr>
        <w:t xml:space="preserve"> </w:t>
      </w:r>
      <w:r>
        <w:rPr>
          <w:sz w:val="20"/>
        </w:rPr>
        <w:t>in</w:t>
      </w:r>
      <w:r>
        <w:rPr>
          <w:spacing w:val="-14"/>
          <w:sz w:val="20"/>
        </w:rPr>
        <w:t xml:space="preserve"> </w:t>
      </w:r>
      <w:r>
        <w:rPr>
          <w:sz w:val="20"/>
        </w:rPr>
        <w:t>other</w:t>
      </w:r>
      <w:r>
        <w:rPr>
          <w:spacing w:val="-14"/>
          <w:sz w:val="20"/>
        </w:rPr>
        <w:t xml:space="preserve"> </w:t>
      </w:r>
      <w:r>
        <w:rPr>
          <w:sz w:val="20"/>
        </w:rPr>
        <w:t>parts</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 xml:space="preserve">state. </w:t>
      </w:r>
      <w:r>
        <w:rPr>
          <w:spacing w:val="-2"/>
          <w:sz w:val="20"/>
        </w:rPr>
        <w:t>There</w:t>
      </w:r>
      <w:r>
        <w:rPr>
          <w:spacing w:val="-10"/>
          <w:sz w:val="20"/>
        </w:rPr>
        <w:t xml:space="preserve"> </w:t>
      </w:r>
      <w:r>
        <w:rPr>
          <w:spacing w:val="-2"/>
          <w:sz w:val="20"/>
        </w:rPr>
        <w:t>are</w:t>
      </w:r>
      <w:r>
        <w:rPr>
          <w:spacing w:val="-10"/>
          <w:sz w:val="20"/>
        </w:rPr>
        <w:t xml:space="preserve"> </w:t>
      </w:r>
      <w:r>
        <w:rPr>
          <w:spacing w:val="-2"/>
          <w:sz w:val="20"/>
        </w:rPr>
        <w:t>105</w:t>
      </w:r>
      <w:r>
        <w:rPr>
          <w:spacing w:val="-10"/>
          <w:sz w:val="20"/>
        </w:rPr>
        <w:t xml:space="preserve"> </w:t>
      </w:r>
      <w:r>
        <w:rPr>
          <w:spacing w:val="-2"/>
          <w:sz w:val="20"/>
        </w:rPr>
        <w:t>non-metropolitan</w:t>
      </w:r>
      <w:r>
        <w:rPr>
          <w:spacing w:val="-10"/>
          <w:sz w:val="20"/>
        </w:rPr>
        <w:t xml:space="preserve"> </w:t>
      </w:r>
      <w:r>
        <w:rPr>
          <w:spacing w:val="-2"/>
          <w:sz w:val="20"/>
        </w:rPr>
        <w:t>local</w:t>
      </w:r>
      <w:r>
        <w:rPr>
          <w:spacing w:val="-10"/>
          <w:sz w:val="20"/>
        </w:rPr>
        <w:t xml:space="preserve"> </w:t>
      </w:r>
      <w:r>
        <w:rPr>
          <w:spacing w:val="-2"/>
          <w:sz w:val="20"/>
        </w:rPr>
        <w:t>water</w:t>
      </w:r>
      <w:r>
        <w:rPr>
          <w:spacing w:val="-10"/>
          <w:sz w:val="20"/>
        </w:rPr>
        <w:t xml:space="preserve"> </w:t>
      </w:r>
      <w:r>
        <w:rPr>
          <w:spacing w:val="-2"/>
          <w:sz w:val="20"/>
        </w:rPr>
        <w:t>utilities.</w:t>
      </w:r>
    </w:p>
    <w:p w:rsidR="002C1123" w:rsidRDefault="00F22F94">
      <w:pPr>
        <w:pStyle w:val="ListParagraph"/>
        <w:numPr>
          <w:ilvl w:val="2"/>
          <w:numId w:val="57"/>
        </w:numPr>
        <w:tabs>
          <w:tab w:val="left" w:pos="741"/>
        </w:tabs>
        <w:spacing w:before="131" w:line="249" w:lineRule="auto"/>
        <w:ind w:right="1285"/>
        <w:rPr>
          <w:sz w:val="20"/>
        </w:rPr>
      </w:pPr>
      <w:r>
        <w:rPr>
          <w:sz w:val="20"/>
        </w:rPr>
        <w:t>Other</w:t>
      </w:r>
      <w:r>
        <w:rPr>
          <w:spacing w:val="-2"/>
          <w:sz w:val="20"/>
        </w:rPr>
        <w:t xml:space="preserve"> </w:t>
      </w:r>
      <w:r>
        <w:rPr>
          <w:sz w:val="20"/>
        </w:rPr>
        <w:t>Government</w:t>
      </w:r>
      <w:r>
        <w:rPr>
          <w:spacing w:val="-2"/>
          <w:sz w:val="20"/>
        </w:rPr>
        <w:t xml:space="preserve"> </w:t>
      </w:r>
      <w:r>
        <w:rPr>
          <w:sz w:val="20"/>
        </w:rPr>
        <w:t>agencies</w:t>
      </w:r>
      <w:r>
        <w:rPr>
          <w:spacing w:val="-2"/>
          <w:sz w:val="20"/>
        </w:rPr>
        <w:t xml:space="preserve"> </w:t>
      </w:r>
      <w:r>
        <w:rPr>
          <w:sz w:val="20"/>
        </w:rPr>
        <w:t>with</w:t>
      </w:r>
      <w:r>
        <w:rPr>
          <w:spacing w:val="-2"/>
          <w:sz w:val="20"/>
        </w:rPr>
        <w:t xml:space="preserve"> </w:t>
      </w:r>
      <w:r>
        <w:rPr>
          <w:sz w:val="20"/>
        </w:rPr>
        <w:t xml:space="preserve">water </w:t>
      </w:r>
      <w:r>
        <w:rPr>
          <w:spacing w:val="-2"/>
          <w:sz w:val="20"/>
        </w:rPr>
        <w:t>responsibilities</w:t>
      </w:r>
      <w:r>
        <w:rPr>
          <w:spacing w:val="-10"/>
          <w:sz w:val="20"/>
        </w:rPr>
        <w:t xml:space="preserve"> </w:t>
      </w:r>
      <w:r>
        <w:rPr>
          <w:spacing w:val="-2"/>
          <w:sz w:val="20"/>
        </w:rPr>
        <w:t>include</w:t>
      </w:r>
      <w:r>
        <w:rPr>
          <w:spacing w:val="-10"/>
          <w:sz w:val="20"/>
        </w:rPr>
        <w:t xml:space="preserve"> </w:t>
      </w:r>
      <w:r>
        <w:rPr>
          <w:spacing w:val="-2"/>
          <w:sz w:val="20"/>
        </w:rPr>
        <w:t>NSW</w:t>
      </w:r>
      <w:r>
        <w:rPr>
          <w:spacing w:val="-10"/>
          <w:sz w:val="20"/>
        </w:rPr>
        <w:t xml:space="preserve"> </w:t>
      </w:r>
      <w:r>
        <w:rPr>
          <w:spacing w:val="-2"/>
          <w:sz w:val="20"/>
        </w:rPr>
        <w:t>Treasury</w:t>
      </w:r>
      <w:r>
        <w:rPr>
          <w:spacing w:val="-10"/>
          <w:sz w:val="20"/>
        </w:rPr>
        <w:t xml:space="preserve"> </w:t>
      </w:r>
      <w:r>
        <w:rPr>
          <w:spacing w:val="-2"/>
          <w:sz w:val="20"/>
        </w:rPr>
        <w:t>(as</w:t>
      </w:r>
      <w:r>
        <w:rPr>
          <w:spacing w:val="-10"/>
          <w:sz w:val="20"/>
        </w:rPr>
        <w:t xml:space="preserve"> </w:t>
      </w:r>
      <w:r>
        <w:rPr>
          <w:spacing w:val="-2"/>
          <w:sz w:val="20"/>
        </w:rPr>
        <w:t xml:space="preserve">the </w:t>
      </w:r>
      <w:r>
        <w:rPr>
          <w:sz w:val="20"/>
        </w:rPr>
        <w:t>shareholder</w:t>
      </w:r>
      <w:r>
        <w:rPr>
          <w:spacing w:val="-14"/>
          <w:sz w:val="20"/>
        </w:rPr>
        <w:t xml:space="preserve"> </w:t>
      </w:r>
      <w:r>
        <w:rPr>
          <w:sz w:val="20"/>
        </w:rPr>
        <w:t>of</w:t>
      </w:r>
      <w:r>
        <w:rPr>
          <w:spacing w:val="-14"/>
          <w:sz w:val="20"/>
        </w:rPr>
        <w:t xml:space="preserve"> </w:t>
      </w:r>
      <w:r>
        <w:rPr>
          <w:sz w:val="20"/>
        </w:rPr>
        <w:t>Government</w:t>
      </w:r>
      <w:r>
        <w:rPr>
          <w:spacing w:val="-14"/>
          <w:sz w:val="20"/>
        </w:rPr>
        <w:t xml:space="preserve"> </w:t>
      </w:r>
      <w:r>
        <w:rPr>
          <w:sz w:val="20"/>
        </w:rPr>
        <w:t>water</w:t>
      </w:r>
      <w:r>
        <w:rPr>
          <w:spacing w:val="-14"/>
          <w:sz w:val="20"/>
        </w:rPr>
        <w:t xml:space="preserve"> </w:t>
      </w:r>
      <w:r>
        <w:rPr>
          <w:sz w:val="20"/>
        </w:rPr>
        <w:t xml:space="preserve">business), </w:t>
      </w:r>
      <w:r>
        <w:rPr>
          <w:w w:val="95"/>
          <w:sz w:val="20"/>
        </w:rPr>
        <w:t>NSW</w:t>
      </w:r>
      <w:r>
        <w:rPr>
          <w:spacing w:val="-12"/>
          <w:w w:val="95"/>
          <w:sz w:val="20"/>
        </w:rPr>
        <w:t xml:space="preserve"> </w:t>
      </w:r>
      <w:r>
        <w:rPr>
          <w:w w:val="95"/>
          <w:sz w:val="20"/>
        </w:rPr>
        <w:t>Office</w:t>
      </w:r>
      <w:r>
        <w:rPr>
          <w:spacing w:val="-11"/>
          <w:w w:val="95"/>
          <w:sz w:val="20"/>
        </w:rPr>
        <w:t xml:space="preserve"> </w:t>
      </w:r>
      <w:r>
        <w:rPr>
          <w:w w:val="95"/>
          <w:sz w:val="20"/>
        </w:rPr>
        <w:t>of</w:t>
      </w:r>
      <w:r>
        <w:rPr>
          <w:spacing w:val="-11"/>
          <w:w w:val="95"/>
          <w:sz w:val="20"/>
        </w:rPr>
        <w:t xml:space="preserve"> </w:t>
      </w:r>
      <w:r>
        <w:rPr>
          <w:w w:val="95"/>
          <w:sz w:val="20"/>
        </w:rPr>
        <w:t>Water</w:t>
      </w:r>
      <w:r>
        <w:rPr>
          <w:spacing w:val="-11"/>
          <w:w w:val="95"/>
          <w:sz w:val="20"/>
        </w:rPr>
        <w:t xml:space="preserve"> </w:t>
      </w:r>
      <w:r>
        <w:rPr>
          <w:w w:val="95"/>
          <w:sz w:val="20"/>
        </w:rPr>
        <w:t>(NOW),the</w:t>
      </w:r>
      <w:r>
        <w:rPr>
          <w:spacing w:val="-11"/>
          <w:w w:val="95"/>
          <w:sz w:val="20"/>
        </w:rPr>
        <w:t xml:space="preserve"> </w:t>
      </w:r>
      <w:r>
        <w:rPr>
          <w:w w:val="95"/>
          <w:sz w:val="20"/>
        </w:rPr>
        <w:t>Department</w:t>
      </w:r>
      <w:r>
        <w:rPr>
          <w:spacing w:val="-11"/>
          <w:w w:val="95"/>
          <w:sz w:val="20"/>
        </w:rPr>
        <w:t xml:space="preserve"> </w:t>
      </w:r>
      <w:r>
        <w:rPr>
          <w:w w:val="95"/>
          <w:sz w:val="20"/>
        </w:rPr>
        <w:t>of</w:t>
      </w:r>
    </w:p>
    <w:p w:rsidR="002C1123" w:rsidRDefault="00F22F94">
      <w:pPr>
        <w:pStyle w:val="BodyText"/>
        <w:spacing w:before="3" w:line="249" w:lineRule="auto"/>
        <w:ind w:left="740" w:right="715"/>
      </w:pPr>
      <w:r>
        <w:rPr>
          <w:w w:val="95"/>
        </w:rPr>
        <w:t>Finance</w:t>
      </w:r>
      <w:r>
        <w:rPr>
          <w:spacing w:val="-12"/>
          <w:w w:val="95"/>
        </w:rPr>
        <w:t xml:space="preserve"> </w:t>
      </w:r>
      <w:r>
        <w:rPr>
          <w:w w:val="95"/>
        </w:rPr>
        <w:t>and</w:t>
      </w:r>
      <w:r>
        <w:rPr>
          <w:spacing w:val="-11"/>
          <w:w w:val="95"/>
        </w:rPr>
        <w:t xml:space="preserve"> </w:t>
      </w:r>
      <w:r>
        <w:rPr>
          <w:w w:val="95"/>
        </w:rPr>
        <w:t>Service</w:t>
      </w:r>
      <w:r>
        <w:rPr>
          <w:spacing w:val="-11"/>
          <w:w w:val="95"/>
        </w:rPr>
        <w:t xml:space="preserve"> </w:t>
      </w:r>
      <w:r>
        <w:rPr>
          <w:w w:val="95"/>
        </w:rPr>
        <w:t>(Metropolitan</w:t>
      </w:r>
      <w:r>
        <w:rPr>
          <w:spacing w:val="-11"/>
          <w:w w:val="95"/>
        </w:rPr>
        <w:t xml:space="preserve"> </w:t>
      </w:r>
      <w:r>
        <w:rPr>
          <w:w w:val="95"/>
        </w:rPr>
        <w:t>Water</w:t>
      </w:r>
      <w:r>
        <w:rPr>
          <w:spacing w:val="-11"/>
          <w:w w:val="95"/>
        </w:rPr>
        <w:t xml:space="preserve"> </w:t>
      </w:r>
      <w:r>
        <w:rPr>
          <w:w w:val="95"/>
        </w:rPr>
        <w:t xml:space="preserve">Directorate). The Office of Environment and Heritage (OEH) </w:t>
      </w:r>
      <w:r>
        <w:t>regulates</w:t>
      </w:r>
      <w:r>
        <w:rPr>
          <w:spacing w:val="-12"/>
        </w:rPr>
        <w:t xml:space="preserve"> </w:t>
      </w:r>
      <w:r>
        <w:t>environmental</w:t>
      </w:r>
      <w:r>
        <w:rPr>
          <w:spacing w:val="-12"/>
        </w:rPr>
        <w:t xml:space="preserve"> </w:t>
      </w:r>
      <w:r>
        <w:t>performance</w:t>
      </w:r>
      <w:r>
        <w:rPr>
          <w:spacing w:val="-12"/>
        </w:rPr>
        <w:t xml:space="preserve"> </w:t>
      </w:r>
      <w:r>
        <w:t>and</w:t>
      </w:r>
      <w:r>
        <w:rPr>
          <w:spacing w:val="-12"/>
        </w:rPr>
        <w:t xml:space="preserve"> </w:t>
      </w:r>
      <w:r>
        <w:t>NSW Health</w:t>
      </w:r>
      <w:r>
        <w:rPr>
          <w:spacing w:val="-6"/>
        </w:rPr>
        <w:t xml:space="preserve"> </w:t>
      </w:r>
      <w:r>
        <w:t>regulates</w:t>
      </w:r>
      <w:r>
        <w:rPr>
          <w:spacing w:val="-6"/>
        </w:rPr>
        <w:t xml:space="preserve"> </w:t>
      </w:r>
      <w:r>
        <w:t>public</w:t>
      </w:r>
      <w:r>
        <w:rPr>
          <w:spacing w:val="-6"/>
        </w:rPr>
        <w:t xml:space="preserve"> </w:t>
      </w:r>
      <w:r>
        <w:t>health</w:t>
      </w:r>
      <w:r>
        <w:rPr>
          <w:spacing w:val="-6"/>
        </w:rPr>
        <w:t xml:space="preserve"> </w:t>
      </w:r>
      <w:r>
        <w:t>standards.</w:t>
      </w:r>
    </w:p>
    <w:p w:rsidR="002C1123" w:rsidRDefault="00F22F94">
      <w:pPr>
        <w:pStyle w:val="ListParagraph"/>
        <w:numPr>
          <w:ilvl w:val="2"/>
          <w:numId w:val="57"/>
        </w:numPr>
        <w:tabs>
          <w:tab w:val="left" w:pos="741"/>
        </w:tabs>
        <w:spacing w:before="133" w:line="249" w:lineRule="auto"/>
        <w:ind w:right="784"/>
        <w:rPr>
          <w:sz w:val="20"/>
        </w:rPr>
      </w:pPr>
      <w:r>
        <w:rPr>
          <w:sz w:val="20"/>
        </w:rPr>
        <w:t>Metropolitan</w:t>
      </w:r>
      <w:r>
        <w:rPr>
          <w:spacing w:val="-10"/>
          <w:sz w:val="20"/>
        </w:rPr>
        <w:t xml:space="preserve"> </w:t>
      </w:r>
      <w:r>
        <w:rPr>
          <w:sz w:val="20"/>
        </w:rPr>
        <w:t>investment</w:t>
      </w:r>
      <w:r>
        <w:rPr>
          <w:spacing w:val="-10"/>
          <w:sz w:val="20"/>
        </w:rPr>
        <w:t xml:space="preserve"> </w:t>
      </w:r>
      <w:r>
        <w:rPr>
          <w:sz w:val="20"/>
        </w:rPr>
        <w:t>is</w:t>
      </w:r>
      <w:r>
        <w:rPr>
          <w:spacing w:val="-10"/>
          <w:sz w:val="20"/>
        </w:rPr>
        <w:t xml:space="preserve"> </w:t>
      </w:r>
      <w:r>
        <w:rPr>
          <w:sz w:val="20"/>
        </w:rPr>
        <w:t>subject</w:t>
      </w:r>
      <w:r>
        <w:rPr>
          <w:spacing w:val="-10"/>
          <w:sz w:val="20"/>
        </w:rPr>
        <w:t xml:space="preserve"> </w:t>
      </w:r>
      <w:r>
        <w:rPr>
          <w:sz w:val="20"/>
        </w:rPr>
        <w:t>to</w:t>
      </w:r>
      <w:r>
        <w:rPr>
          <w:spacing w:val="-10"/>
          <w:sz w:val="20"/>
        </w:rPr>
        <w:t xml:space="preserve"> </w:t>
      </w:r>
      <w:r>
        <w:rPr>
          <w:sz w:val="20"/>
        </w:rPr>
        <w:t>oversight</w:t>
      </w:r>
      <w:r>
        <w:rPr>
          <w:spacing w:val="-10"/>
          <w:sz w:val="20"/>
        </w:rPr>
        <w:t xml:space="preserve"> </w:t>
      </w:r>
      <w:r>
        <w:rPr>
          <w:sz w:val="20"/>
        </w:rPr>
        <w:t xml:space="preserve">by </w:t>
      </w:r>
      <w:r>
        <w:rPr>
          <w:spacing w:val="-2"/>
          <w:w w:val="95"/>
          <w:sz w:val="20"/>
        </w:rPr>
        <w:t>Independent</w:t>
      </w:r>
      <w:r>
        <w:rPr>
          <w:spacing w:val="-3"/>
          <w:w w:val="95"/>
          <w:sz w:val="20"/>
        </w:rPr>
        <w:t xml:space="preserve"> </w:t>
      </w:r>
      <w:r>
        <w:rPr>
          <w:spacing w:val="-2"/>
          <w:w w:val="95"/>
          <w:sz w:val="20"/>
        </w:rPr>
        <w:t>Pricing</w:t>
      </w:r>
      <w:r>
        <w:rPr>
          <w:spacing w:val="-3"/>
          <w:w w:val="95"/>
          <w:sz w:val="20"/>
        </w:rPr>
        <w:t xml:space="preserve"> </w:t>
      </w:r>
      <w:r>
        <w:rPr>
          <w:spacing w:val="-2"/>
          <w:w w:val="95"/>
          <w:sz w:val="20"/>
        </w:rPr>
        <w:t>and</w:t>
      </w:r>
      <w:r>
        <w:rPr>
          <w:spacing w:val="-3"/>
          <w:w w:val="95"/>
          <w:sz w:val="20"/>
        </w:rPr>
        <w:t xml:space="preserve"> </w:t>
      </w:r>
      <w:r>
        <w:rPr>
          <w:spacing w:val="-2"/>
          <w:w w:val="95"/>
          <w:sz w:val="20"/>
        </w:rPr>
        <w:t>Regulatory</w:t>
      </w:r>
      <w:r>
        <w:rPr>
          <w:spacing w:val="-3"/>
          <w:w w:val="95"/>
          <w:sz w:val="20"/>
        </w:rPr>
        <w:t xml:space="preserve"> </w:t>
      </w:r>
      <w:r>
        <w:rPr>
          <w:spacing w:val="-2"/>
          <w:w w:val="95"/>
          <w:sz w:val="20"/>
        </w:rPr>
        <w:t>Tribunal</w:t>
      </w:r>
      <w:r>
        <w:rPr>
          <w:spacing w:val="-3"/>
          <w:w w:val="95"/>
          <w:sz w:val="20"/>
        </w:rPr>
        <w:t xml:space="preserve"> </w:t>
      </w:r>
      <w:r>
        <w:rPr>
          <w:spacing w:val="-2"/>
          <w:w w:val="95"/>
          <w:sz w:val="20"/>
        </w:rPr>
        <w:t xml:space="preserve">(IPART) </w:t>
      </w:r>
      <w:r>
        <w:rPr>
          <w:spacing w:val="-2"/>
          <w:sz w:val="20"/>
        </w:rPr>
        <w:t>and</w:t>
      </w:r>
      <w:r>
        <w:rPr>
          <w:spacing w:val="-8"/>
          <w:sz w:val="20"/>
        </w:rPr>
        <w:t xml:space="preserve"> </w:t>
      </w:r>
      <w:r>
        <w:rPr>
          <w:spacing w:val="-2"/>
          <w:sz w:val="20"/>
        </w:rPr>
        <w:t>planning</w:t>
      </w:r>
      <w:r>
        <w:rPr>
          <w:spacing w:val="-8"/>
          <w:sz w:val="20"/>
        </w:rPr>
        <w:t xml:space="preserve"> </w:t>
      </w:r>
      <w:r>
        <w:rPr>
          <w:spacing w:val="-2"/>
          <w:sz w:val="20"/>
        </w:rPr>
        <w:t>for</w:t>
      </w:r>
      <w:r>
        <w:rPr>
          <w:spacing w:val="-8"/>
          <w:sz w:val="20"/>
        </w:rPr>
        <w:t xml:space="preserve"> </w:t>
      </w:r>
      <w:r>
        <w:rPr>
          <w:spacing w:val="-2"/>
          <w:sz w:val="20"/>
        </w:rPr>
        <w:t>regional</w:t>
      </w:r>
      <w:r>
        <w:rPr>
          <w:spacing w:val="-8"/>
          <w:sz w:val="20"/>
        </w:rPr>
        <w:t xml:space="preserve"> </w:t>
      </w:r>
      <w:r>
        <w:rPr>
          <w:spacing w:val="-2"/>
          <w:sz w:val="20"/>
        </w:rPr>
        <w:t>investment</w:t>
      </w:r>
      <w:r>
        <w:rPr>
          <w:spacing w:val="-8"/>
          <w:sz w:val="20"/>
        </w:rPr>
        <w:t xml:space="preserve"> </w:t>
      </w:r>
      <w:r>
        <w:rPr>
          <w:spacing w:val="-2"/>
          <w:sz w:val="20"/>
        </w:rPr>
        <w:t>is</w:t>
      </w:r>
      <w:r>
        <w:rPr>
          <w:spacing w:val="-8"/>
          <w:sz w:val="20"/>
        </w:rPr>
        <w:t xml:space="preserve"> </w:t>
      </w:r>
      <w:r>
        <w:rPr>
          <w:spacing w:val="-2"/>
          <w:sz w:val="20"/>
        </w:rPr>
        <w:t>reviewed</w:t>
      </w:r>
      <w:r>
        <w:rPr>
          <w:spacing w:val="-8"/>
          <w:sz w:val="20"/>
        </w:rPr>
        <w:t xml:space="preserve"> </w:t>
      </w:r>
      <w:r>
        <w:rPr>
          <w:spacing w:val="-2"/>
          <w:sz w:val="20"/>
        </w:rPr>
        <w:t xml:space="preserve">by </w:t>
      </w:r>
      <w:r>
        <w:rPr>
          <w:sz w:val="20"/>
        </w:rPr>
        <w:t>NOW</w:t>
      </w:r>
      <w:r>
        <w:rPr>
          <w:spacing w:val="-11"/>
          <w:sz w:val="20"/>
        </w:rPr>
        <w:t xml:space="preserve"> </w:t>
      </w:r>
      <w:r>
        <w:rPr>
          <w:sz w:val="20"/>
        </w:rPr>
        <w:t>and</w:t>
      </w:r>
      <w:r>
        <w:rPr>
          <w:spacing w:val="-11"/>
          <w:sz w:val="20"/>
        </w:rPr>
        <w:t xml:space="preserve"> </w:t>
      </w:r>
      <w:r>
        <w:rPr>
          <w:sz w:val="20"/>
        </w:rPr>
        <w:t>costs</w:t>
      </w:r>
      <w:r>
        <w:rPr>
          <w:spacing w:val="-11"/>
          <w:sz w:val="20"/>
        </w:rPr>
        <w:t xml:space="preserve"> </w:t>
      </w:r>
      <w:r>
        <w:rPr>
          <w:sz w:val="20"/>
        </w:rPr>
        <w:t>are</w:t>
      </w:r>
      <w:r>
        <w:rPr>
          <w:spacing w:val="-11"/>
          <w:sz w:val="20"/>
        </w:rPr>
        <w:t xml:space="preserve"> </w:t>
      </w:r>
      <w:r>
        <w:rPr>
          <w:sz w:val="20"/>
        </w:rPr>
        <w:t>recovered</w:t>
      </w:r>
      <w:r>
        <w:rPr>
          <w:spacing w:val="-11"/>
          <w:sz w:val="20"/>
        </w:rPr>
        <w:t xml:space="preserve"> </w:t>
      </w:r>
      <w:r>
        <w:rPr>
          <w:sz w:val="20"/>
        </w:rPr>
        <w:t>in</w:t>
      </w:r>
      <w:r>
        <w:rPr>
          <w:spacing w:val="-11"/>
          <w:sz w:val="20"/>
        </w:rPr>
        <w:t xml:space="preserve"> </w:t>
      </w:r>
      <w:r>
        <w:rPr>
          <w:sz w:val="20"/>
        </w:rPr>
        <w:t>user</w:t>
      </w:r>
      <w:r>
        <w:rPr>
          <w:spacing w:val="-11"/>
          <w:sz w:val="20"/>
        </w:rPr>
        <w:t xml:space="preserve"> </w:t>
      </w:r>
      <w:r>
        <w:rPr>
          <w:sz w:val="20"/>
        </w:rPr>
        <w:t>charges.</w:t>
      </w:r>
    </w:p>
    <w:p w:rsidR="002C1123" w:rsidRDefault="00F22F94">
      <w:pPr>
        <w:pStyle w:val="ListParagraph"/>
        <w:numPr>
          <w:ilvl w:val="2"/>
          <w:numId w:val="57"/>
        </w:numPr>
        <w:tabs>
          <w:tab w:val="left" w:pos="741"/>
        </w:tabs>
        <w:spacing w:before="132" w:line="249" w:lineRule="auto"/>
        <w:ind w:right="861"/>
        <w:rPr>
          <w:sz w:val="20"/>
        </w:rPr>
      </w:pPr>
      <w:r>
        <w:rPr>
          <w:w w:val="95"/>
          <w:sz w:val="20"/>
        </w:rPr>
        <w:t xml:space="preserve">Over the past five years, capital expenditure across </w:t>
      </w:r>
      <w:r>
        <w:rPr>
          <w:spacing w:val="-2"/>
          <w:sz w:val="20"/>
        </w:rPr>
        <w:t>the</w:t>
      </w:r>
      <w:r>
        <w:rPr>
          <w:spacing w:val="-5"/>
          <w:sz w:val="20"/>
        </w:rPr>
        <w:t xml:space="preserve"> </w:t>
      </w:r>
      <w:r>
        <w:rPr>
          <w:spacing w:val="-2"/>
          <w:sz w:val="20"/>
        </w:rPr>
        <w:t>metropolitan</w:t>
      </w:r>
      <w:r>
        <w:rPr>
          <w:spacing w:val="-5"/>
          <w:sz w:val="20"/>
        </w:rPr>
        <w:t xml:space="preserve"> </w:t>
      </w:r>
      <w:r>
        <w:rPr>
          <w:spacing w:val="-2"/>
          <w:sz w:val="20"/>
        </w:rPr>
        <w:t>utilities</w:t>
      </w:r>
      <w:r>
        <w:rPr>
          <w:spacing w:val="-5"/>
          <w:sz w:val="20"/>
        </w:rPr>
        <w:t xml:space="preserve"> </w:t>
      </w:r>
      <w:r>
        <w:rPr>
          <w:spacing w:val="-2"/>
          <w:sz w:val="20"/>
        </w:rPr>
        <w:t>has</w:t>
      </w:r>
      <w:r>
        <w:rPr>
          <w:spacing w:val="-5"/>
          <w:sz w:val="20"/>
        </w:rPr>
        <w:t xml:space="preserve"> </w:t>
      </w:r>
      <w:r>
        <w:rPr>
          <w:spacing w:val="-2"/>
          <w:sz w:val="20"/>
        </w:rPr>
        <w:t>averaged</w:t>
      </w:r>
      <w:r>
        <w:rPr>
          <w:spacing w:val="-5"/>
          <w:sz w:val="20"/>
        </w:rPr>
        <w:t xml:space="preserve"> </w:t>
      </w:r>
      <w:r>
        <w:rPr>
          <w:spacing w:val="-2"/>
          <w:sz w:val="20"/>
        </w:rPr>
        <w:t>$1.4</w:t>
      </w:r>
      <w:r>
        <w:rPr>
          <w:spacing w:val="-5"/>
          <w:sz w:val="20"/>
        </w:rPr>
        <w:t xml:space="preserve"> </w:t>
      </w:r>
      <w:r>
        <w:rPr>
          <w:spacing w:val="-2"/>
          <w:sz w:val="20"/>
        </w:rPr>
        <w:t xml:space="preserve">billion </w:t>
      </w:r>
      <w:r>
        <w:rPr>
          <w:sz w:val="20"/>
        </w:rPr>
        <w:t>per</w:t>
      </w:r>
      <w:r>
        <w:rPr>
          <w:spacing w:val="-6"/>
          <w:sz w:val="20"/>
        </w:rPr>
        <w:t xml:space="preserve"> </w:t>
      </w:r>
      <w:r>
        <w:rPr>
          <w:sz w:val="20"/>
        </w:rPr>
        <w:t>annum,</w:t>
      </w:r>
      <w:r>
        <w:rPr>
          <w:spacing w:val="-6"/>
          <w:sz w:val="20"/>
        </w:rPr>
        <w:t xml:space="preserve"> </w:t>
      </w:r>
      <w:r>
        <w:rPr>
          <w:sz w:val="20"/>
        </w:rPr>
        <w:t>which</w:t>
      </w:r>
      <w:r>
        <w:rPr>
          <w:spacing w:val="-6"/>
          <w:sz w:val="20"/>
        </w:rPr>
        <w:t xml:space="preserve"> </w:t>
      </w:r>
      <w:r>
        <w:rPr>
          <w:sz w:val="20"/>
        </w:rPr>
        <w:t>included</w:t>
      </w:r>
      <w:r>
        <w:rPr>
          <w:spacing w:val="-6"/>
          <w:sz w:val="20"/>
        </w:rPr>
        <w:t xml:space="preserve"> </w:t>
      </w:r>
      <w:r>
        <w:rPr>
          <w:sz w:val="20"/>
        </w:rPr>
        <w:t>investment</w:t>
      </w:r>
      <w:r>
        <w:rPr>
          <w:spacing w:val="-6"/>
          <w:sz w:val="20"/>
        </w:rPr>
        <w:t xml:space="preserve"> </w:t>
      </w:r>
      <w:r>
        <w:rPr>
          <w:sz w:val="20"/>
        </w:rPr>
        <w:t>in</w:t>
      </w:r>
      <w:r>
        <w:rPr>
          <w:spacing w:val="-6"/>
          <w:sz w:val="20"/>
        </w:rPr>
        <w:t xml:space="preserve"> </w:t>
      </w:r>
      <w:r>
        <w:rPr>
          <w:sz w:val="20"/>
        </w:rPr>
        <w:t>the desalination</w:t>
      </w:r>
      <w:r>
        <w:rPr>
          <w:spacing w:val="-8"/>
          <w:sz w:val="20"/>
        </w:rPr>
        <w:t xml:space="preserve"> </w:t>
      </w:r>
      <w:r>
        <w:rPr>
          <w:sz w:val="20"/>
        </w:rPr>
        <w:t>plant.</w:t>
      </w:r>
      <w:r>
        <w:rPr>
          <w:spacing w:val="-8"/>
          <w:sz w:val="20"/>
        </w:rPr>
        <w:t xml:space="preserve"> </w:t>
      </w:r>
      <w:r>
        <w:rPr>
          <w:sz w:val="20"/>
        </w:rPr>
        <w:t>Budget</w:t>
      </w:r>
      <w:r>
        <w:rPr>
          <w:spacing w:val="-8"/>
          <w:sz w:val="20"/>
        </w:rPr>
        <w:t xml:space="preserve"> </w:t>
      </w:r>
      <w:r>
        <w:rPr>
          <w:sz w:val="20"/>
        </w:rPr>
        <w:t>forecasts</w:t>
      </w:r>
      <w:r>
        <w:rPr>
          <w:spacing w:val="-8"/>
          <w:sz w:val="20"/>
        </w:rPr>
        <w:t xml:space="preserve"> </w:t>
      </w:r>
      <w:r>
        <w:rPr>
          <w:sz w:val="20"/>
        </w:rPr>
        <w:t>for</w:t>
      </w:r>
      <w:r>
        <w:rPr>
          <w:spacing w:val="-8"/>
          <w:sz w:val="20"/>
        </w:rPr>
        <w:t xml:space="preserve"> </w:t>
      </w:r>
      <w:r>
        <w:rPr>
          <w:sz w:val="20"/>
        </w:rPr>
        <w:t>the</w:t>
      </w:r>
      <w:r>
        <w:rPr>
          <w:spacing w:val="-8"/>
          <w:sz w:val="20"/>
        </w:rPr>
        <w:t xml:space="preserve"> </w:t>
      </w:r>
      <w:r>
        <w:rPr>
          <w:sz w:val="20"/>
        </w:rPr>
        <w:t xml:space="preserve">next </w:t>
      </w:r>
      <w:r>
        <w:rPr>
          <w:w w:val="95"/>
          <w:sz w:val="20"/>
        </w:rPr>
        <w:t>four</w:t>
      </w:r>
      <w:r>
        <w:rPr>
          <w:spacing w:val="-8"/>
          <w:w w:val="95"/>
          <w:sz w:val="20"/>
        </w:rPr>
        <w:t xml:space="preserve"> </w:t>
      </w:r>
      <w:r>
        <w:rPr>
          <w:w w:val="95"/>
          <w:sz w:val="20"/>
        </w:rPr>
        <w:t>years</w:t>
      </w:r>
      <w:r>
        <w:rPr>
          <w:spacing w:val="-8"/>
          <w:w w:val="95"/>
          <w:sz w:val="20"/>
        </w:rPr>
        <w:t xml:space="preserve"> </w:t>
      </w:r>
      <w:r>
        <w:rPr>
          <w:w w:val="95"/>
          <w:sz w:val="20"/>
        </w:rPr>
        <w:t>show</w:t>
      </w:r>
      <w:r>
        <w:rPr>
          <w:spacing w:val="-8"/>
          <w:w w:val="95"/>
          <w:sz w:val="20"/>
        </w:rPr>
        <w:t xml:space="preserve"> </w:t>
      </w:r>
      <w:r>
        <w:rPr>
          <w:w w:val="95"/>
          <w:sz w:val="20"/>
        </w:rPr>
        <w:t>a</w:t>
      </w:r>
      <w:r>
        <w:rPr>
          <w:spacing w:val="-8"/>
          <w:w w:val="95"/>
          <w:sz w:val="20"/>
        </w:rPr>
        <w:t xml:space="preserve"> </w:t>
      </w:r>
      <w:r>
        <w:rPr>
          <w:w w:val="95"/>
          <w:sz w:val="20"/>
        </w:rPr>
        <w:t>decline</w:t>
      </w:r>
      <w:r>
        <w:rPr>
          <w:spacing w:val="-8"/>
          <w:w w:val="95"/>
          <w:sz w:val="20"/>
        </w:rPr>
        <w:t xml:space="preserve"> </w:t>
      </w:r>
      <w:r>
        <w:rPr>
          <w:w w:val="95"/>
          <w:sz w:val="20"/>
        </w:rPr>
        <w:t>to</w:t>
      </w:r>
      <w:r>
        <w:rPr>
          <w:spacing w:val="-8"/>
          <w:w w:val="95"/>
          <w:sz w:val="20"/>
        </w:rPr>
        <w:t xml:space="preserve"> </w:t>
      </w:r>
      <w:r>
        <w:rPr>
          <w:w w:val="95"/>
          <w:sz w:val="20"/>
        </w:rPr>
        <w:t>$1</w:t>
      </w:r>
      <w:r>
        <w:rPr>
          <w:spacing w:val="-8"/>
          <w:w w:val="95"/>
          <w:sz w:val="20"/>
        </w:rPr>
        <w:t xml:space="preserve"> </w:t>
      </w:r>
      <w:r>
        <w:rPr>
          <w:w w:val="95"/>
          <w:sz w:val="20"/>
        </w:rPr>
        <w:t>billion</w:t>
      </w:r>
      <w:r>
        <w:rPr>
          <w:spacing w:val="-8"/>
          <w:w w:val="95"/>
          <w:sz w:val="20"/>
        </w:rPr>
        <w:t xml:space="preserve"> </w:t>
      </w:r>
      <w:r>
        <w:rPr>
          <w:w w:val="95"/>
          <w:sz w:val="20"/>
        </w:rPr>
        <w:t>per</w:t>
      </w:r>
      <w:r>
        <w:rPr>
          <w:spacing w:val="-8"/>
          <w:w w:val="95"/>
          <w:sz w:val="20"/>
        </w:rPr>
        <w:t xml:space="preserve"> </w:t>
      </w:r>
      <w:r>
        <w:rPr>
          <w:w w:val="95"/>
          <w:sz w:val="20"/>
        </w:rPr>
        <w:t>annum</w:t>
      </w:r>
      <w:r>
        <w:rPr>
          <w:spacing w:val="-8"/>
          <w:w w:val="95"/>
          <w:sz w:val="20"/>
        </w:rPr>
        <w:t xml:space="preserve"> </w:t>
      </w:r>
      <w:r>
        <w:rPr>
          <w:w w:val="95"/>
          <w:sz w:val="20"/>
        </w:rPr>
        <w:t xml:space="preserve">for </w:t>
      </w:r>
      <w:r>
        <w:rPr>
          <w:sz w:val="20"/>
        </w:rPr>
        <w:t>the metropolitan utilities.</w:t>
      </w:r>
    </w:p>
    <w:p w:rsidR="002C1123" w:rsidRDefault="00F22F94">
      <w:pPr>
        <w:pStyle w:val="ListParagraph"/>
        <w:numPr>
          <w:ilvl w:val="2"/>
          <w:numId w:val="57"/>
        </w:numPr>
        <w:tabs>
          <w:tab w:val="left" w:pos="741"/>
        </w:tabs>
        <w:spacing w:before="134" w:line="249" w:lineRule="auto"/>
        <w:ind w:right="853"/>
        <w:rPr>
          <w:sz w:val="20"/>
        </w:rPr>
      </w:pPr>
      <w:r>
        <w:rPr>
          <w:w w:val="95"/>
          <w:sz w:val="20"/>
        </w:rPr>
        <w:t xml:space="preserve">Capital expenditure by the local government-owned </w:t>
      </w:r>
      <w:r>
        <w:rPr>
          <w:sz w:val="20"/>
        </w:rPr>
        <w:t>water</w:t>
      </w:r>
      <w:r>
        <w:rPr>
          <w:spacing w:val="-14"/>
          <w:sz w:val="20"/>
        </w:rPr>
        <w:t xml:space="preserve"> </w:t>
      </w:r>
      <w:r>
        <w:rPr>
          <w:sz w:val="20"/>
        </w:rPr>
        <w:t>utilities</w:t>
      </w:r>
      <w:r>
        <w:rPr>
          <w:spacing w:val="-14"/>
          <w:sz w:val="20"/>
        </w:rPr>
        <w:t xml:space="preserve"> </w:t>
      </w:r>
      <w:r>
        <w:rPr>
          <w:sz w:val="20"/>
        </w:rPr>
        <w:t>has</w:t>
      </w:r>
      <w:r>
        <w:rPr>
          <w:spacing w:val="-14"/>
          <w:sz w:val="20"/>
        </w:rPr>
        <w:t xml:space="preserve"> </w:t>
      </w:r>
      <w:r>
        <w:rPr>
          <w:sz w:val="20"/>
        </w:rPr>
        <w:t>averaged</w:t>
      </w:r>
      <w:r>
        <w:rPr>
          <w:spacing w:val="-14"/>
          <w:sz w:val="20"/>
        </w:rPr>
        <w:t xml:space="preserve"> </w:t>
      </w:r>
      <w:r>
        <w:rPr>
          <w:sz w:val="20"/>
        </w:rPr>
        <w:t>$0.6</w:t>
      </w:r>
      <w:r>
        <w:rPr>
          <w:spacing w:val="-14"/>
          <w:sz w:val="20"/>
        </w:rPr>
        <w:t xml:space="preserve"> </w:t>
      </w:r>
      <w:r>
        <w:rPr>
          <w:sz w:val="20"/>
        </w:rPr>
        <w:t>billion</w:t>
      </w:r>
      <w:r>
        <w:rPr>
          <w:spacing w:val="-14"/>
          <w:sz w:val="20"/>
        </w:rPr>
        <w:t xml:space="preserve"> </w:t>
      </w:r>
      <w:r>
        <w:rPr>
          <w:sz w:val="20"/>
        </w:rPr>
        <w:t>per</w:t>
      </w:r>
      <w:r>
        <w:rPr>
          <w:spacing w:val="-14"/>
          <w:sz w:val="20"/>
        </w:rPr>
        <w:t xml:space="preserve"> </w:t>
      </w:r>
      <w:r>
        <w:rPr>
          <w:sz w:val="20"/>
        </w:rPr>
        <w:t>annum over the past five years.</w:t>
      </w:r>
    </w:p>
    <w:p w:rsidR="002C1123" w:rsidRDefault="002C1123">
      <w:pPr>
        <w:spacing w:line="249" w:lineRule="auto"/>
        <w:rPr>
          <w:sz w:val="20"/>
        </w:rPr>
        <w:sectPr w:rsidR="002C1123">
          <w:type w:val="continuous"/>
          <w:pgSz w:w="16840" w:h="11910" w:orient="landscape"/>
          <w:pgMar w:top="560" w:right="280" w:bottom="280" w:left="500" w:header="0" w:footer="517" w:gutter="0"/>
          <w:cols w:num="3" w:space="720" w:equalWidth="0">
            <w:col w:w="5111" w:space="40"/>
            <w:col w:w="4899" w:space="39"/>
            <w:col w:w="5971"/>
          </w:cols>
        </w:sectPr>
      </w:pPr>
    </w:p>
    <w:p w:rsidR="002C1123" w:rsidRDefault="002C1123">
      <w:pPr>
        <w:pStyle w:val="BodyText"/>
      </w:pPr>
    </w:p>
    <w:p w:rsidR="002C1123" w:rsidRDefault="002C1123">
      <w:pPr>
        <w:pStyle w:val="BodyText"/>
        <w:spacing w:before="10" w:after="1"/>
        <w:rPr>
          <w:sz w:val="13"/>
        </w:rPr>
      </w:pPr>
    </w:p>
    <w:p w:rsidR="002C1123" w:rsidRDefault="002060EF">
      <w:pPr>
        <w:pStyle w:val="BodyText"/>
        <w:spacing w:line="20" w:lineRule="exact"/>
        <w:ind w:left="10545"/>
        <w:rPr>
          <w:sz w:val="2"/>
        </w:rPr>
      </w:pPr>
      <w:r>
        <w:rPr>
          <w:sz w:val="2"/>
        </w:rPr>
      </w:r>
      <w:r>
        <w:rPr>
          <w:sz w:val="2"/>
        </w:rPr>
        <w:pict>
          <v:group id="docshapegroup2207" o:spid="_x0000_s1837" style="width:1in;height:.5pt;mso-position-horizontal-relative:char;mso-position-vertical-relative:line" coordsize="1440,10">
            <v:line id="_x0000_s1838" style="position:absolute" from="0,5" to="1440,5" strokecolor="#9c9c9d" strokeweight=".5pt"/>
            <w10:anchorlock/>
          </v:group>
        </w:pict>
      </w:r>
    </w:p>
    <w:p w:rsidR="002C1123" w:rsidRDefault="00F22F94">
      <w:pPr>
        <w:pStyle w:val="ListParagraph"/>
        <w:numPr>
          <w:ilvl w:val="3"/>
          <w:numId w:val="57"/>
        </w:numPr>
        <w:tabs>
          <w:tab w:val="left" w:pos="10745"/>
        </w:tabs>
        <w:spacing w:before="8"/>
        <w:ind w:hanging="200"/>
        <w:jc w:val="left"/>
        <w:rPr>
          <w:sz w:val="14"/>
        </w:rPr>
      </w:pPr>
      <w:r>
        <w:rPr>
          <w:w w:val="95"/>
          <w:sz w:val="14"/>
        </w:rPr>
        <w:t>NSW</w:t>
      </w:r>
      <w:r>
        <w:rPr>
          <w:spacing w:val="-3"/>
          <w:w w:val="95"/>
          <w:sz w:val="14"/>
        </w:rPr>
        <w:t xml:space="preserve"> </w:t>
      </w:r>
      <w:r>
        <w:rPr>
          <w:w w:val="95"/>
          <w:sz w:val="14"/>
        </w:rPr>
        <w:t>Government,</w:t>
      </w:r>
      <w:r>
        <w:rPr>
          <w:spacing w:val="-2"/>
          <w:w w:val="95"/>
          <w:sz w:val="14"/>
        </w:rPr>
        <w:t xml:space="preserve"> </w:t>
      </w:r>
      <w:r>
        <w:rPr>
          <w:w w:val="95"/>
          <w:sz w:val="14"/>
        </w:rPr>
        <w:t>2012-13</w:t>
      </w:r>
      <w:r>
        <w:rPr>
          <w:spacing w:val="-2"/>
          <w:w w:val="95"/>
          <w:sz w:val="14"/>
        </w:rPr>
        <w:t xml:space="preserve"> Budget.</w:t>
      </w:r>
    </w:p>
    <w:p w:rsidR="002C1123" w:rsidRDefault="002C1123">
      <w:pPr>
        <w:rPr>
          <w:sz w:val="14"/>
        </w:rPr>
        <w:sectPr w:rsidR="002C1123">
          <w:type w:val="continuous"/>
          <w:pgSz w:w="16840" w:h="11910" w:orient="landscape"/>
          <w:pgMar w:top="560" w:right="280" w:bottom="280" w:left="500" w:header="0" w:footer="517"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7"/>
        </w:rPr>
      </w:pPr>
    </w:p>
    <w:p w:rsidR="002C1123" w:rsidRDefault="002C1123">
      <w:pPr>
        <w:rPr>
          <w:sz w:val="17"/>
        </w:rPr>
        <w:sectPr w:rsidR="002C1123">
          <w:pgSz w:w="16840" w:h="11910" w:orient="landscape"/>
          <w:pgMar w:top="560" w:right="280" w:bottom="700" w:left="500" w:header="0" w:footer="517" w:gutter="0"/>
          <w:cols w:space="720"/>
        </w:sectPr>
      </w:pPr>
    </w:p>
    <w:p w:rsidR="002C1123" w:rsidRDefault="00F22F94">
      <w:pPr>
        <w:pStyle w:val="Heading5"/>
        <w:numPr>
          <w:ilvl w:val="1"/>
          <w:numId w:val="55"/>
        </w:numPr>
        <w:tabs>
          <w:tab w:val="left" w:pos="1093"/>
        </w:tabs>
        <w:jc w:val="left"/>
      </w:pPr>
      <w:bookmarkStart w:id="321" w:name="12.2_Demand_and_supply"/>
      <w:bookmarkStart w:id="322" w:name="_bookmark228"/>
      <w:bookmarkStart w:id="323" w:name="_bookmark227"/>
      <w:bookmarkEnd w:id="321"/>
      <w:bookmarkEnd w:id="322"/>
      <w:bookmarkEnd w:id="323"/>
      <w:r>
        <w:rPr>
          <w:color w:val="00AEEF"/>
          <w:spacing w:val="-2"/>
        </w:rPr>
        <w:t>Demand</w:t>
      </w:r>
      <w:r>
        <w:rPr>
          <w:color w:val="00AEEF"/>
          <w:spacing w:val="-12"/>
        </w:rPr>
        <w:t xml:space="preserve"> </w:t>
      </w:r>
      <w:r>
        <w:rPr>
          <w:color w:val="00AEEF"/>
          <w:spacing w:val="-2"/>
        </w:rPr>
        <w:t>and</w:t>
      </w:r>
      <w:r>
        <w:rPr>
          <w:color w:val="00AEEF"/>
          <w:spacing w:val="-12"/>
        </w:rPr>
        <w:t xml:space="preserve"> </w:t>
      </w:r>
      <w:r>
        <w:rPr>
          <w:color w:val="00AEEF"/>
          <w:spacing w:val="-2"/>
        </w:rPr>
        <w:t>supply</w:t>
      </w:r>
    </w:p>
    <w:p w:rsidR="002C1123" w:rsidRDefault="00F22F94">
      <w:pPr>
        <w:pStyle w:val="Heading6"/>
        <w:numPr>
          <w:ilvl w:val="2"/>
          <w:numId w:val="55"/>
        </w:numPr>
        <w:tabs>
          <w:tab w:val="left" w:pos="1087"/>
        </w:tabs>
        <w:spacing w:before="135"/>
        <w:ind w:left="1086"/>
        <w:jc w:val="left"/>
        <w:rPr>
          <w:color w:val="00AEEF"/>
        </w:rPr>
      </w:pPr>
      <w:r>
        <w:rPr>
          <w:color w:val="00AEEF"/>
          <w:spacing w:val="-2"/>
        </w:rPr>
        <w:t>Background</w:t>
      </w:r>
    </w:p>
    <w:p w:rsidR="002C1123" w:rsidRDefault="00F22F94">
      <w:pPr>
        <w:pStyle w:val="BodyText"/>
        <w:spacing w:before="95" w:line="249" w:lineRule="auto"/>
        <w:ind w:left="492" w:right="41"/>
      </w:pPr>
      <w:r>
        <w:rPr>
          <w:w w:val="95"/>
        </w:rPr>
        <w:t>Over</w:t>
      </w:r>
      <w:r>
        <w:rPr>
          <w:spacing w:val="-6"/>
          <w:w w:val="95"/>
        </w:rPr>
        <w:t xml:space="preserve"> </w:t>
      </w:r>
      <w:r>
        <w:rPr>
          <w:w w:val="95"/>
        </w:rPr>
        <w:t>recent</w:t>
      </w:r>
      <w:r>
        <w:rPr>
          <w:spacing w:val="-6"/>
          <w:w w:val="95"/>
        </w:rPr>
        <w:t xml:space="preserve"> </w:t>
      </w:r>
      <w:r>
        <w:rPr>
          <w:w w:val="95"/>
        </w:rPr>
        <w:t>years,</w:t>
      </w:r>
      <w:r>
        <w:rPr>
          <w:spacing w:val="-6"/>
          <w:w w:val="95"/>
        </w:rPr>
        <w:t xml:space="preserve"> </w:t>
      </w:r>
      <w:r>
        <w:rPr>
          <w:w w:val="95"/>
        </w:rPr>
        <w:t>water</w:t>
      </w:r>
      <w:r>
        <w:rPr>
          <w:spacing w:val="-6"/>
          <w:w w:val="95"/>
        </w:rPr>
        <w:t xml:space="preserve"> </w:t>
      </w:r>
      <w:r>
        <w:rPr>
          <w:w w:val="95"/>
        </w:rPr>
        <w:t>demand</w:t>
      </w:r>
      <w:r>
        <w:rPr>
          <w:spacing w:val="-6"/>
          <w:w w:val="95"/>
        </w:rPr>
        <w:t xml:space="preserve"> </w:t>
      </w:r>
      <w:r>
        <w:rPr>
          <w:w w:val="95"/>
        </w:rPr>
        <w:t>has</w:t>
      </w:r>
      <w:r>
        <w:rPr>
          <w:spacing w:val="-6"/>
          <w:w w:val="95"/>
        </w:rPr>
        <w:t xml:space="preserve"> </w:t>
      </w:r>
      <w:r>
        <w:rPr>
          <w:w w:val="95"/>
        </w:rPr>
        <w:t>been</w:t>
      </w:r>
      <w:r>
        <w:rPr>
          <w:spacing w:val="-6"/>
          <w:w w:val="95"/>
        </w:rPr>
        <w:t xml:space="preserve"> </w:t>
      </w:r>
      <w:r>
        <w:rPr>
          <w:w w:val="95"/>
        </w:rPr>
        <w:t xml:space="preserve">declining </w:t>
      </w:r>
      <w:r>
        <w:t>largely</w:t>
      </w:r>
      <w:r>
        <w:rPr>
          <w:spacing w:val="-8"/>
        </w:rPr>
        <w:t xml:space="preserve"> </w:t>
      </w:r>
      <w:r>
        <w:t>due</w:t>
      </w:r>
      <w:r>
        <w:rPr>
          <w:spacing w:val="-8"/>
        </w:rPr>
        <w:t xml:space="preserve"> </w:t>
      </w:r>
      <w:r>
        <w:t>to</w:t>
      </w:r>
      <w:r>
        <w:rPr>
          <w:spacing w:val="-8"/>
        </w:rPr>
        <w:t xml:space="preserve"> </w:t>
      </w:r>
      <w:r>
        <w:t>drought</w:t>
      </w:r>
      <w:r>
        <w:rPr>
          <w:spacing w:val="-8"/>
        </w:rPr>
        <w:t xml:space="preserve"> </w:t>
      </w:r>
      <w:r>
        <w:t>restrictions</w:t>
      </w:r>
      <w:r>
        <w:rPr>
          <w:spacing w:val="-8"/>
        </w:rPr>
        <w:t xml:space="preserve"> </w:t>
      </w:r>
      <w:r>
        <w:t>and</w:t>
      </w:r>
      <w:r>
        <w:rPr>
          <w:spacing w:val="-8"/>
        </w:rPr>
        <w:t xml:space="preserve"> </w:t>
      </w:r>
      <w:r>
        <w:t>successful demand management programs.</w:t>
      </w:r>
    </w:p>
    <w:p w:rsidR="002C1123" w:rsidRDefault="00F22F94">
      <w:pPr>
        <w:pStyle w:val="BodyText"/>
        <w:spacing w:before="144" w:line="249" w:lineRule="auto"/>
        <w:ind w:left="492" w:right="41"/>
      </w:pPr>
      <w:r>
        <w:t>Water</w:t>
      </w:r>
      <w:r>
        <w:rPr>
          <w:spacing w:val="-11"/>
        </w:rPr>
        <w:t xml:space="preserve"> </w:t>
      </w:r>
      <w:r>
        <w:t>conservation</w:t>
      </w:r>
      <w:r>
        <w:rPr>
          <w:spacing w:val="-11"/>
        </w:rPr>
        <w:t xml:space="preserve"> </w:t>
      </w:r>
      <w:r>
        <w:t>measures</w:t>
      </w:r>
      <w:r>
        <w:rPr>
          <w:spacing w:val="-11"/>
        </w:rPr>
        <w:t xml:space="preserve"> </w:t>
      </w:r>
      <w:r>
        <w:t>implemented</w:t>
      </w:r>
      <w:r>
        <w:rPr>
          <w:spacing w:val="-11"/>
        </w:rPr>
        <w:t xml:space="preserve"> </w:t>
      </w:r>
      <w:r>
        <w:t xml:space="preserve">in </w:t>
      </w:r>
      <w:r>
        <w:rPr>
          <w:w w:val="95"/>
        </w:rPr>
        <w:t>Sydney</w:t>
      </w:r>
      <w:r>
        <w:rPr>
          <w:spacing w:val="-11"/>
          <w:w w:val="95"/>
        </w:rPr>
        <w:t xml:space="preserve"> </w:t>
      </w:r>
      <w:r>
        <w:rPr>
          <w:w w:val="95"/>
        </w:rPr>
        <w:t>and</w:t>
      </w:r>
      <w:r>
        <w:rPr>
          <w:spacing w:val="-11"/>
          <w:w w:val="95"/>
        </w:rPr>
        <w:t xml:space="preserve"> </w:t>
      </w:r>
      <w:r>
        <w:rPr>
          <w:w w:val="95"/>
        </w:rPr>
        <w:t>in</w:t>
      </w:r>
      <w:r>
        <w:rPr>
          <w:spacing w:val="-11"/>
          <w:w w:val="95"/>
        </w:rPr>
        <w:t xml:space="preserve"> </w:t>
      </w:r>
      <w:r>
        <w:rPr>
          <w:w w:val="95"/>
        </w:rPr>
        <w:t>regional</w:t>
      </w:r>
      <w:r>
        <w:rPr>
          <w:spacing w:val="-11"/>
          <w:w w:val="95"/>
        </w:rPr>
        <w:t xml:space="preserve"> </w:t>
      </w:r>
      <w:r>
        <w:rPr>
          <w:w w:val="95"/>
        </w:rPr>
        <w:t>areas</w:t>
      </w:r>
      <w:r>
        <w:rPr>
          <w:spacing w:val="-11"/>
          <w:w w:val="95"/>
        </w:rPr>
        <w:t xml:space="preserve"> </w:t>
      </w:r>
      <w:r>
        <w:rPr>
          <w:w w:val="95"/>
        </w:rPr>
        <w:t>have</w:t>
      </w:r>
      <w:r>
        <w:rPr>
          <w:spacing w:val="-11"/>
          <w:w w:val="95"/>
        </w:rPr>
        <w:t xml:space="preserve"> </w:t>
      </w:r>
      <w:r>
        <w:rPr>
          <w:w w:val="95"/>
        </w:rPr>
        <w:t>been</w:t>
      </w:r>
      <w:r>
        <w:rPr>
          <w:spacing w:val="-11"/>
          <w:w w:val="95"/>
        </w:rPr>
        <w:t xml:space="preserve"> </w:t>
      </w:r>
      <w:r>
        <w:rPr>
          <w:w w:val="95"/>
        </w:rPr>
        <w:t xml:space="preserve">outstandingly </w:t>
      </w:r>
      <w:r>
        <w:t>successful</w:t>
      </w:r>
      <w:r>
        <w:rPr>
          <w:spacing w:val="-8"/>
        </w:rPr>
        <w:t xml:space="preserve"> </w:t>
      </w:r>
      <w:r>
        <w:t>in</w:t>
      </w:r>
      <w:r>
        <w:rPr>
          <w:spacing w:val="-8"/>
        </w:rPr>
        <w:t xml:space="preserve"> </w:t>
      </w:r>
      <w:r>
        <w:t>managing</w:t>
      </w:r>
      <w:r>
        <w:rPr>
          <w:spacing w:val="-8"/>
        </w:rPr>
        <w:t xml:space="preserve"> </w:t>
      </w:r>
      <w:r>
        <w:t>demand.</w:t>
      </w:r>
      <w:r>
        <w:rPr>
          <w:spacing w:val="-8"/>
        </w:rPr>
        <w:t xml:space="preserve"> </w:t>
      </w:r>
      <w:r>
        <w:t>The</w:t>
      </w:r>
      <w:r>
        <w:rPr>
          <w:spacing w:val="-8"/>
        </w:rPr>
        <w:t xml:space="preserve"> </w:t>
      </w:r>
      <w:r>
        <w:t>total</w:t>
      </w:r>
      <w:r>
        <w:rPr>
          <w:spacing w:val="-8"/>
        </w:rPr>
        <w:t xml:space="preserve"> </w:t>
      </w:r>
      <w:r>
        <w:t>demand of</w:t>
      </w:r>
      <w:r>
        <w:rPr>
          <w:spacing w:val="-14"/>
        </w:rPr>
        <w:t xml:space="preserve"> </w:t>
      </w:r>
      <w:r>
        <w:t>the</w:t>
      </w:r>
      <w:r>
        <w:rPr>
          <w:spacing w:val="-14"/>
        </w:rPr>
        <w:t xml:space="preserve"> </w:t>
      </w:r>
      <w:r>
        <w:t>metropolitan</w:t>
      </w:r>
      <w:r>
        <w:rPr>
          <w:spacing w:val="-14"/>
        </w:rPr>
        <w:t xml:space="preserve"> </w:t>
      </w:r>
      <w:r>
        <w:t>region</w:t>
      </w:r>
      <w:r>
        <w:rPr>
          <w:spacing w:val="-14"/>
        </w:rPr>
        <w:t xml:space="preserve"> </w:t>
      </w:r>
      <w:r>
        <w:t>is</w:t>
      </w:r>
      <w:r>
        <w:rPr>
          <w:spacing w:val="-14"/>
        </w:rPr>
        <w:t xml:space="preserve"> </w:t>
      </w:r>
      <w:r>
        <w:t>similar</w:t>
      </w:r>
      <w:r>
        <w:rPr>
          <w:spacing w:val="-14"/>
        </w:rPr>
        <w:t xml:space="preserve"> </w:t>
      </w:r>
      <w:r>
        <w:t>to</w:t>
      </w:r>
      <w:r>
        <w:rPr>
          <w:spacing w:val="-14"/>
        </w:rPr>
        <w:t xml:space="preserve"> </w:t>
      </w:r>
      <w:r>
        <w:t>the</w:t>
      </w:r>
      <w:r>
        <w:rPr>
          <w:spacing w:val="-14"/>
        </w:rPr>
        <w:t xml:space="preserve"> </w:t>
      </w:r>
      <w:r>
        <w:t>level</w:t>
      </w:r>
      <w:r>
        <w:rPr>
          <w:spacing w:val="-14"/>
        </w:rPr>
        <w:t xml:space="preserve"> </w:t>
      </w:r>
      <w:r>
        <w:t>in</w:t>
      </w:r>
      <w:r>
        <w:rPr>
          <w:spacing w:val="-13"/>
        </w:rPr>
        <w:t xml:space="preserve"> </w:t>
      </w:r>
      <w:r>
        <w:t xml:space="preserve">the </w:t>
      </w:r>
      <w:r>
        <w:rPr>
          <w:w w:val="95"/>
        </w:rPr>
        <w:t>1970s despite an additional one million in population.</w:t>
      </w:r>
    </w:p>
    <w:p w:rsidR="002C1123" w:rsidRDefault="00F22F94">
      <w:pPr>
        <w:pStyle w:val="BodyText"/>
        <w:spacing w:before="4" w:line="249" w:lineRule="auto"/>
        <w:ind w:left="492"/>
      </w:pPr>
      <w:r>
        <w:t>For</w:t>
      </w:r>
      <w:r>
        <w:rPr>
          <w:spacing w:val="-14"/>
        </w:rPr>
        <w:t xml:space="preserve"> </w:t>
      </w:r>
      <w:r>
        <w:t>non-metropolitan</w:t>
      </w:r>
      <w:r>
        <w:rPr>
          <w:spacing w:val="-14"/>
        </w:rPr>
        <w:t xml:space="preserve"> </w:t>
      </w:r>
      <w:r>
        <w:t>NSW,</w:t>
      </w:r>
      <w:r>
        <w:rPr>
          <w:spacing w:val="-14"/>
        </w:rPr>
        <w:t xml:space="preserve"> </w:t>
      </w:r>
      <w:r>
        <w:t>the</w:t>
      </w:r>
      <w:r>
        <w:rPr>
          <w:spacing w:val="-14"/>
        </w:rPr>
        <w:t xml:space="preserve"> </w:t>
      </w:r>
      <w:r>
        <w:t>average</w:t>
      </w:r>
      <w:r>
        <w:rPr>
          <w:spacing w:val="-14"/>
        </w:rPr>
        <w:t xml:space="preserve"> </w:t>
      </w:r>
      <w:r>
        <w:t xml:space="preserve">annual </w:t>
      </w:r>
      <w:r>
        <w:rPr>
          <w:w w:val="95"/>
        </w:rPr>
        <w:t xml:space="preserve">residential water supplied per connected property has </w:t>
      </w:r>
      <w:r>
        <w:t>fallen</w:t>
      </w:r>
      <w:r>
        <w:rPr>
          <w:spacing w:val="-12"/>
        </w:rPr>
        <w:t xml:space="preserve"> </w:t>
      </w:r>
      <w:r>
        <w:t>by</w:t>
      </w:r>
      <w:r>
        <w:rPr>
          <w:spacing w:val="-12"/>
        </w:rPr>
        <w:t xml:space="preserve"> </w:t>
      </w:r>
      <w:r>
        <w:t>52</w:t>
      </w:r>
      <w:r>
        <w:rPr>
          <w:spacing w:val="-12"/>
        </w:rPr>
        <w:t xml:space="preserve"> </w:t>
      </w:r>
      <w:r>
        <w:t>per</w:t>
      </w:r>
      <w:r>
        <w:rPr>
          <w:spacing w:val="-12"/>
        </w:rPr>
        <w:t xml:space="preserve"> </w:t>
      </w:r>
      <w:r>
        <w:t>cent</w:t>
      </w:r>
      <w:r>
        <w:rPr>
          <w:spacing w:val="-12"/>
        </w:rPr>
        <w:t xml:space="preserve"> </w:t>
      </w:r>
      <w:r>
        <w:t>over</w:t>
      </w:r>
      <w:r>
        <w:rPr>
          <w:spacing w:val="-12"/>
        </w:rPr>
        <w:t xml:space="preserve"> </w:t>
      </w:r>
      <w:r>
        <w:t>the</w:t>
      </w:r>
      <w:r>
        <w:rPr>
          <w:spacing w:val="-12"/>
        </w:rPr>
        <w:t xml:space="preserve"> </w:t>
      </w:r>
      <w:r>
        <w:t>last</w:t>
      </w:r>
      <w:r>
        <w:rPr>
          <w:spacing w:val="-12"/>
        </w:rPr>
        <w:t xml:space="preserve"> </w:t>
      </w:r>
      <w:r>
        <w:t>20</w:t>
      </w:r>
      <w:r>
        <w:rPr>
          <w:spacing w:val="-12"/>
        </w:rPr>
        <w:t xml:space="preserve"> </w:t>
      </w:r>
      <w:r>
        <w:t>years.</w:t>
      </w:r>
    </w:p>
    <w:p w:rsidR="002C1123" w:rsidRDefault="00F22F94">
      <w:pPr>
        <w:pStyle w:val="BodyText"/>
        <w:spacing w:before="142" w:line="249" w:lineRule="auto"/>
        <w:ind w:left="492"/>
      </w:pPr>
      <w:r>
        <w:rPr>
          <w:spacing w:val="-2"/>
        </w:rPr>
        <w:t>However,</w:t>
      </w:r>
      <w:r>
        <w:rPr>
          <w:spacing w:val="-11"/>
        </w:rPr>
        <w:t xml:space="preserve"> </w:t>
      </w:r>
      <w:r>
        <w:rPr>
          <w:spacing w:val="-2"/>
        </w:rPr>
        <w:t>caution</w:t>
      </w:r>
      <w:r>
        <w:rPr>
          <w:spacing w:val="-11"/>
        </w:rPr>
        <w:t xml:space="preserve"> </w:t>
      </w:r>
      <w:r>
        <w:rPr>
          <w:spacing w:val="-2"/>
        </w:rPr>
        <w:t>is</w:t>
      </w:r>
      <w:r>
        <w:rPr>
          <w:spacing w:val="-11"/>
        </w:rPr>
        <w:t xml:space="preserve"> </w:t>
      </w:r>
      <w:r>
        <w:rPr>
          <w:spacing w:val="-2"/>
        </w:rPr>
        <w:t>required.</w:t>
      </w:r>
      <w:r>
        <w:rPr>
          <w:spacing w:val="-11"/>
        </w:rPr>
        <w:t xml:space="preserve"> </w:t>
      </w:r>
      <w:r>
        <w:rPr>
          <w:spacing w:val="-2"/>
        </w:rPr>
        <w:t>Since</w:t>
      </w:r>
      <w:r>
        <w:rPr>
          <w:spacing w:val="-11"/>
        </w:rPr>
        <w:t xml:space="preserve"> </w:t>
      </w:r>
      <w:r>
        <w:rPr>
          <w:spacing w:val="-2"/>
        </w:rPr>
        <w:t>water</w:t>
      </w:r>
      <w:r>
        <w:rPr>
          <w:spacing w:val="-11"/>
        </w:rPr>
        <w:t xml:space="preserve"> </w:t>
      </w:r>
      <w:r>
        <w:rPr>
          <w:spacing w:val="-2"/>
        </w:rPr>
        <w:t xml:space="preserve">restrictions </w:t>
      </w:r>
      <w:r>
        <w:rPr>
          <w:w w:val="95"/>
        </w:rPr>
        <w:t xml:space="preserve">have been removed, NSW generally has experienced two wet summers, resulting in low water consumption. </w:t>
      </w:r>
      <w:r>
        <w:t>On</w:t>
      </w:r>
      <w:r>
        <w:rPr>
          <w:spacing w:val="-7"/>
        </w:rPr>
        <w:t xml:space="preserve"> </w:t>
      </w:r>
      <w:r>
        <w:t>the</w:t>
      </w:r>
      <w:r>
        <w:rPr>
          <w:spacing w:val="-7"/>
        </w:rPr>
        <w:t xml:space="preserve"> </w:t>
      </w:r>
      <w:r>
        <w:t>other</w:t>
      </w:r>
      <w:r>
        <w:rPr>
          <w:spacing w:val="-7"/>
        </w:rPr>
        <w:t xml:space="preserve"> </w:t>
      </w:r>
      <w:r>
        <w:t>hand,</w:t>
      </w:r>
      <w:r>
        <w:rPr>
          <w:spacing w:val="-7"/>
        </w:rPr>
        <w:t xml:space="preserve"> </w:t>
      </w:r>
      <w:r>
        <w:t>the</w:t>
      </w:r>
      <w:r>
        <w:rPr>
          <w:spacing w:val="-7"/>
        </w:rPr>
        <w:t xml:space="preserve"> </w:t>
      </w:r>
      <w:r>
        <w:t>demand</w:t>
      </w:r>
      <w:r>
        <w:rPr>
          <w:spacing w:val="-7"/>
        </w:rPr>
        <w:t xml:space="preserve"> </w:t>
      </w:r>
      <w:r>
        <w:t>curve</w:t>
      </w:r>
      <w:r>
        <w:rPr>
          <w:spacing w:val="-7"/>
        </w:rPr>
        <w:t xml:space="preserve"> </w:t>
      </w:r>
      <w:r>
        <w:t>has</w:t>
      </w:r>
      <w:r>
        <w:rPr>
          <w:spacing w:val="-7"/>
        </w:rPr>
        <w:t xml:space="preserve"> </w:t>
      </w:r>
      <w:r>
        <w:t>been</w:t>
      </w:r>
    </w:p>
    <w:p w:rsidR="002C1123" w:rsidRDefault="00F22F94">
      <w:pPr>
        <w:spacing w:before="133" w:line="249" w:lineRule="auto"/>
        <w:ind w:left="1377" w:hanging="983"/>
        <w:rPr>
          <w:b/>
          <w:sz w:val="18"/>
        </w:rPr>
      </w:pPr>
      <w:r>
        <w:br w:type="column"/>
      </w:r>
      <w:r>
        <w:rPr>
          <w:b/>
          <w:sz w:val="18"/>
        </w:rPr>
        <w:t>Figure</w:t>
      </w:r>
      <w:r>
        <w:rPr>
          <w:b/>
          <w:spacing w:val="-19"/>
          <w:sz w:val="18"/>
        </w:rPr>
        <w:t xml:space="preserve"> </w:t>
      </w:r>
      <w:r>
        <w:rPr>
          <w:b/>
          <w:sz w:val="18"/>
        </w:rPr>
        <w:t>12.1</w:t>
      </w:r>
      <w:r>
        <w:rPr>
          <w:b/>
          <w:spacing w:val="15"/>
          <w:sz w:val="18"/>
        </w:rPr>
        <w:t xml:space="preserve"> </w:t>
      </w:r>
      <w:r>
        <w:rPr>
          <w:b/>
          <w:sz w:val="18"/>
        </w:rPr>
        <w:t>Index</w:t>
      </w:r>
      <w:r>
        <w:rPr>
          <w:b/>
          <w:spacing w:val="-19"/>
          <w:sz w:val="18"/>
        </w:rPr>
        <w:t xml:space="preserve"> </w:t>
      </w:r>
      <w:r>
        <w:rPr>
          <w:b/>
          <w:sz w:val="18"/>
        </w:rPr>
        <w:t>of</w:t>
      </w:r>
      <w:r>
        <w:rPr>
          <w:b/>
          <w:spacing w:val="-19"/>
          <w:sz w:val="18"/>
        </w:rPr>
        <w:t xml:space="preserve"> </w:t>
      </w:r>
      <w:r>
        <w:rPr>
          <w:b/>
          <w:sz w:val="18"/>
        </w:rPr>
        <w:t>Residential</w:t>
      </w:r>
      <w:r>
        <w:rPr>
          <w:b/>
          <w:spacing w:val="-19"/>
          <w:sz w:val="18"/>
        </w:rPr>
        <w:t xml:space="preserve"> </w:t>
      </w:r>
      <w:r>
        <w:rPr>
          <w:b/>
          <w:sz w:val="18"/>
        </w:rPr>
        <w:t>Water</w:t>
      </w:r>
      <w:r>
        <w:rPr>
          <w:b/>
          <w:spacing w:val="-19"/>
          <w:sz w:val="18"/>
        </w:rPr>
        <w:t xml:space="preserve"> </w:t>
      </w:r>
      <w:r>
        <w:rPr>
          <w:b/>
          <w:sz w:val="18"/>
        </w:rPr>
        <w:t>and</w:t>
      </w:r>
      <w:r>
        <w:rPr>
          <w:b/>
          <w:spacing w:val="-19"/>
          <w:sz w:val="18"/>
        </w:rPr>
        <w:t xml:space="preserve"> </w:t>
      </w:r>
      <w:r>
        <w:rPr>
          <w:b/>
          <w:sz w:val="18"/>
        </w:rPr>
        <w:t>Sewerage Charges</w:t>
      </w:r>
      <w:r>
        <w:rPr>
          <w:b/>
          <w:spacing w:val="-9"/>
          <w:sz w:val="18"/>
        </w:rPr>
        <w:t xml:space="preserve"> </w:t>
      </w:r>
      <w:r>
        <w:rPr>
          <w:b/>
          <w:sz w:val="18"/>
        </w:rPr>
        <w:t>1992/93-2010/11</w:t>
      </w:r>
      <w:r>
        <w:rPr>
          <w:b/>
          <w:spacing w:val="-9"/>
          <w:sz w:val="18"/>
        </w:rPr>
        <w:t xml:space="preserve"> </w:t>
      </w:r>
      <w:r>
        <w:rPr>
          <w:b/>
          <w:sz w:val="18"/>
        </w:rPr>
        <w:t>(real)</w:t>
      </w:r>
    </w:p>
    <w:p w:rsidR="002C1123" w:rsidRDefault="002060EF">
      <w:pPr>
        <w:spacing w:before="151"/>
        <w:ind w:right="4258"/>
        <w:jc w:val="right"/>
        <w:rPr>
          <w:sz w:val="16"/>
        </w:rPr>
      </w:pPr>
      <w:r>
        <w:pict>
          <v:line id="_x0000_s1836" style="position:absolute;left:0;text-align:left;z-index:251625472;mso-position-horizontal-relative:page" from="318.15pt,11.95pt" to="540.75pt,11.95pt" strokecolor="#b2b1b3" strokeweight=".4pt">
            <w10:wrap anchorx="page"/>
          </v:line>
        </w:pict>
      </w:r>
      <w:r w:rsidR="00F22F94">
        <w:rPr>
          <w:spacing w:val="-5"/>
          <w:w w:val="95"/>
          <w:sz w:val="16"/>
        </w:rPr>
        <w:t>140</w:t>
      </w:r>
    </w:p>
    <w:p w:rsidR="002C1123" w:rsidRDefault="002C1123">
      <w:pPr>
        <w:pStyle w:val="BodyText"/>
        <w:spacing w:before="2"/>
        <w:rPr>
          <w:sz w:val="25"/>
        </w:rPr>
      </w:pPr>
    </w:p>
    <w:p w:rsidR="002C1123" w:rsidRDefault="002060EF">
      <w:pPr>
        <w:ind w:right="4258"/>
        <w:jc w:val="right"/>
        <w:rPr>
          <w:sz w:val="16"/>
        </w:rPr>
      </w:pPr>
      <w:r>
        <w:pict>
          <v:group id="docshapegroup2208" o:spid="_x0000_s1830" style="position:absolute;left:0;text-align:left;margin-left:318.15pt;margin-top:-.05pt;width:222.65pt;height:61.5pt;z-index:251626496;mso-position-horizontal-relative:page" coordorigin="6363,-1" coordsize="4453,1230">
            <v:line id="_x0000_s1835" style="position:absolute" from="6363,89" to="10815,89" strokecolor="#b2b1b3" strokeweight=".4pt"/>
            <v:line id="_x0000_s1834" style="position:absolute" from="6363,563" to="10815,563" strokecolor="#b2b1b3" strokeweight=".4pt"/>
            <v:line id="_x0000_s1833" style="position:absolute" from="6363,1038" to="10815,1038" strokecolor="#b2b1b3" strokeweight=".4pt"/>
            <v:shape id="docshape2209" o:spid="_x0000_s1832" style="position:absolute;left:6479;top:565;width:4219;height:641" coordorigin="6480,566" coordsize="4219,641" path="m10698,589r-234,48l10230,945r-235,48l9761,1017r-234,95l9292,1183r-234,l8823,1206r-234,l8355,1183r-235,-95l7886,1017,7652,945,7417,922,7183,779,6948,684,6714,589,6480,566e" filled="f" strokecolor="#00aeef" strokeweight=".75036mm">
              <v:path arrowok="t"/>
            </v:shape>
            <v:shape id="docshape2210" o:spid="_x0000_s1831" style="position:absolute;left:6479;top:19;width:4219;height:855" coordorigin="6480,20" coordsize="4219,855" path="m10698,20r-234,95l10230,305,9995,684r-234,l9527,708,9292,827r-234,l8823,827,8589,803r-234,l8120,756r-234,l7652,779r-235,71l7183,874,6948,708,6714,637,6480,566e" filled="f" strokecolor="#2e3092" strokeweight=".75036mm">
              <v:path arrowok="t"/>
            </v:shape>
            <w10:wrap anchorx="page"/>
          </v:group>
        </w:pict>
      </w:r>
      <w:r w:rsidR="00F22F94">
        <w:rPr>
          <w:spacing w:val="-5"/>
          <w:w w:val="95"/>
          <w:sz w:val="16"/>
        </w:rPr>
        <w:t>120</w:t>
      </w:r>
    </w:p>
    <w:p w:rsidR="002C1123" w:rsidRDefault="002C1123">
      <w:pPr>
        <w:pStyle w:val="BodyText"/>
        <w:spacing w:before="2"/>
        <w:rPr>
          <w:sz w:val="25"/>
        </w:rPr>
      </w:pPr>
    </w:p>
    <w:p w:rsidR="002C1123" w:rsidRDefault="00F22F94">
      <w:pPr>
        <w:spacing w:before="1"/>
        <w:ind w:right="4258"/>
        <w:jc w:val="right"/>
        <w:rPr>
          <w:sz w:val="16"/>
        </w:rPr>
      </w:pPr>
      <w:r>
        <w:rPr>
          <w:spacing w:val="-5"/>
          <w:w w:val="95"/>
          <w:sz w:val="16"/>
        </w:rPr>
        <w:t>100</w:t>
      </w:r>
    </w:p>
    <w:p w:rsidR="002C1123" w:rsidRDefault="002C1123">
      <w:pPr>
        <w:pStyle w:val="BodyText"/>
        <w:spacing w:before="2"/>
        <w:rPr>
          <w:sz w:val="25"/>
        </w:rPr>
      </w:pPr>
    </w:p>
    <w:p w:rsidR="002C1123" w:rsidRDefault="00F22F94">
      <w:pPr>
        <w:ind w:right="4258"/>
        <w:jc w:val="right"/>
        <w:rPr>
          <w:sz w:val="16"/>
        </w:rPr>
      </w:pPr>
      <w:r>
        <w:rPr>
          <w:spacing w:val="-5"/>
          <w:w w:val="95"/>
          <w:sz w:val="16"/>
        </w:rPr>
        <w:t>80</w:t>
      </w:r>
    </w:p>
    <w:p w:rsidR="002C1123" w:rsidRDefault="002C1123">
      <w:pPr>
        <w:pStyle w:val="BodyText"/>
        <w:spacing w:before="2"/>
        <w:rPr>
          <w:sz w:val="25"/>
        </w:rPr>
      </w:pPr>
    </w:p>
    <w:p w:rsidR="002C1123" w:rsidRDefault="002060EF">
      <w:pPr>
        <w:ind w:right="4258"/>
        <w:jc w:val="right"/>
        <w:rPr>
          <w:sz w:val="16"/>
        </w:rPr>
      </w:pPr>
      <w:r>
        <w:pict>
          <v:line id="_x0000_s1829" style="position:absolute;left:0;text-align:left;z-index:251627520;mso-position-horizontal-relative:page" from="318.15pt,4.55pt" to="540.75pt,4.55pt" strokecolor="#b2b1b3" strokeweight=".4pt">
            <w10:wrap anchorx="page"/>
          </v:line>
        </w:pict>
      </w:r>
      <w:r w:rsidR="00F22F94">
        <w:rPr>
          <w:spacing w:val="-5"/>
          <w:w w:val="95"/>
          <w:sz w:val="16"/>
        </w:rPr>
        <w:t>60</w:t>
      </w:r>
    </w:p>
    <w:p w:rsidR="002C1123" w:rsidRDefault="002C1123">
      <w:pPr>
        <w:pStyle w:val="BodyText"/>
        <w:spacing w:before="2"/>
        <w:rPr>
          <w:sz w:val="25"/>
        </w:rPr>
      </w:pPr>
    </w:p>
    <w:p w:rsidR="002C1123" w:rsidRDefault="002060EF">
      <w:pPr>
        <w:spacing w:before="1"/>
        <w:ind w:right="4258"/>
        <w:jc w:val="right"/>
        <w:rPr>
          <w:sz w:val="16"/>
        </w:rPr>
      </w:pPr>
      <w:r>
        <w:pict>
          <v:line id="_x0000_s1828" style="position:absolute;left:0;text-align:left;z-index:251628544;mso-position-horizontal-relative:page" from="318.15pt,4.6pt" to="540.75pt,4.6pt" strokecolor="#b2b1b3" strokeweight=".4pt">
            <w10:wrap anchorx="page"/>
          </v:line>
        </w:pict>
      </w:r>
      <w:r w:rsidR="00F22F94">
        <w:rPr>
          <w:spacing w:val="-5"/>
          <w:w w:val="95"/>
          <w:sz w:val="16"/>
        </w:rPr>
        <w:t>40</w:t>
      </w:r>
    </w:p>
    <w:p w:rsidR="002C1123" w:rsidRDefault="002C1123">
      <w:pPr>
        <w:pStyle w:val="BodyText"/>
        <w:spacing w:before="2"/>
        <w:rPr>
          <w:sz w:val="25"/>
        </w:rPr>
      </w:pPr>
    </w:p>
    <w:p w:rsidR="002C1123" w:rsidRDefault="002060EF">
      <w:pPr>
        <w:ind w:right="4258"/>
        <w:jc w:val="right"/>
        <w:rPr>
          <w:sz w:val="16"/>
        </w:rPr>
      </w:pPr>
      <w:r>
        <w:pict>
          <v:line id="_x0000_s1827" style="position:absolute;left:0;text-align:left;z-index:251629568;mso-position-horizontal-relative:page" from="318.15pt,4.6pt" to="540.75pt,4.6pt" strokecolor="#b2b1b3" strokeweight=".4pt">
            <w10:wrap anchorx="page"/>
          </v:line>
        </w:pict>
      </w:r>
      <w:r w:rsidR="00F22F94">
        <w:rPr>
          <w:spacing w:val="-5"/>
          <w:w w:val="95"/>
          <w:sz w:val="16"/>
        </w:rPr>
        <w:t>20</w:t>
      </w:r>
    </w:p>
    <w:p w:rsidR="002C1123" w:rsidRDefault="002C1123">
      <w:pPr>
        <w:pStyle w:val="BodyText"/>
        <w:spacing w:before="2"/>
        <w:rPr>
          <w:sz w:val="25"/>
        </w:rPr>
      </w:pPr>
    </w:p>
    <w:p w:rsidR="002C1123" w:rsidRDefault="002060EF">
      <w:pPr>
        <w:ind w:right="4258"/>
        <w:jc w:val="right"/>
        <w:rPr>
          <w:sz w:val="16"/>
        </w:rPr>
      </w:pPr>
      <w:r>
        <w:pict>
          <v:line id="_x0000_s1826" style="position:absolute;left:0;text-align:left;z-index:251630592;mso-position-horizontal-relative:page" from="318.35pt,4.6pt" to="540.75pt,4.6pt" strokecolor="#b2b1b3" strokeweight=".8pt">
            <w10:wrap anchorx="page"/>
          </v:line>
        </w:pict>
      </w:r>
      <w:r w:rsidR="00F22F94">
        <w:rPr>
          <w:w w:val="86"/>
          <w:sz w:val="16"/>
        </w:rPr>
        <w:t>0</w:t>
      </w:r>
    </w:p>
    <w:p w:rsidR="002C1123" w:rsidRDefault="00F22F94">
      <w:pPr>
        <w:pStyle w:val="BodyText"/>
        <w:spacing w:before="129" w:line="249" w:lineRule="auto"/>
        <w:ind w:left="492" w:right="707" w:hanging="1"/>
      </w:pPr>
      <w:r>
        <w:br w:type="column"/>
      </w:r>
      <w:r>
        <w:t>The</w:t>
      </w:r>
      <w:r>
        <w:rPr>
          <w:spacing w:val="-14"/>
        </w:rPr>
        <w:t xml:space="preserve"> </w:t>
      </w:r>
      <w:r>
        <w:t>2010</w:t>
      </w:r>
      <w:r>
        <w:rPr>
          <w:spacing w:val="-14"/>
        </w:rPr>
        <w:t xml:space="preserve"> </w:t>
      </w:r>
      <w:r>
        <w:t>Metropolitan</w:t>
      </w:r>
      <w:r>
        <w:rPr>
          <w:spacing w:val="-14"/>
        </w:rPr>
        <w:t xml:space="preserve"> </w:t>
      </w:r>
      <w:r>
        <w:t>Water</w:t>
      </w:r>
      <w:r>
        <w:rPr>
          <w:spacing w:val="-14"/>
        </w:rPr>
        <w:t xml:space="preserve"> </w:t>
      </w:r>
      <w:r>
        <w:t>Plan’s</w:t>
      </w:r>
      <w:r>
        <w:rPr>
          <w:position w:val="7"/>
          <w:sz w:val="11"/>
        </w:rPr>
        <w:t>2</w:t>
      </w:r>
      <w:r>
        <w:rPr>
          <w:spacing w:val="-1"/>
          <w:position w:val="7"/>
          <w:sz w:val="11"/>
        </w:rPr>
        <w:t xml:space="preserve"> </w:t>
      </w:r>
      <w:r>
        <w:t>water</w:t>
      </w:r>
      <w:r>
        <w:rPr>
          <w:spacing w:val="-14"/>
        </w:rPr>
        <w:t xml:space="preserve"> </w:t>
      </w:r>
      <w:r>
        <w:t>supply modelling</w:t>
      </w:r>
      <w:r>
        <w:rPr>
          <w:spacing w:val="-13"/>
        </w:rPr>
        <w:t xml:space="preserve"> </w:t>
      </w:r>
      <w:r>
        <w:t>indicates</w:t>
      </w:r>
      <w:r>
        <w:rPr>
          <w:spacing w:val="-13"/>
        </w:rPr>
        <w:t xml:space="preserve"> </w:t>
      </w:r>
      <w:r>
        <w:t>that,</w:t>
      </w:r>
      <w:r>
        <w:rPr>
          <w:spacing w:val="-13"/>
        </w:rPr>
        <w:t xml:space="preserve"> </w:t>
      </w:r>
      <w:r>
        <w:t>with</w:t>
      </w:r>
      <w:r>
        <w:rPr>
          <w:spacing w:val="-13"/>
        </w:rPr>
        <w:t xml:space="preserve"> </w:t>
      </w:r>
      <w:r>
        <w:t>recycling</w:t>
      </w:r>
      <w:r>
        <w:rPr>
          <w:spacing w:val="-13"/>
        </w:rPr>
        <w:t xml:space="preserve"> </w:t>
      </w:r>
      <w:r>
        <w:t>and</w:t>
      </w:r>
      <w:r>
        <w:rPr>
          <w:spacing w:val="-13"/>
        </w:rPr>
        <w:t xml:space="preserve"> </w:t>
      </w:r>
      <w:r>
        <w:t xml:space="preserve">efficiency </w:t>
      </w:r>
      <w:r>
        <w:rPr>
          <w:w w:val="95"/>
        </w:rPr>
        <w:t>measures,</w:t>
      </w:r>
      <w:r>
        <w:rPr>
          <w:spacing w:val="-4"/>
          <w:w w:val="95"/>
        </w:rPr>
        <w:t xml:space="preserve"> </w:t>
      </w:r>
      <w:r>
        <w:rPr>
          <w:w w:val="95"/>
        </w:rPr>
        <w:t>Sydney</w:t>
      </w:r>
      <w:r>
        <w:rPr>
          <w:spacing w:val="-4"/>
          <w:w w:val="95"/>
        </w:rPr>
        <w:t xml:space="preserve"> </w:t>
      </w:r>
      <w:r>
        <w:rPr>
          <w:w w:val="95"/>
        </w:rPr>
        <w:t>has</w:t>
      </w:r>
      <w:r>
        <w:rPr>
          <w:spacing w:val="-4"/>
          <w:w w:val="95"/>
        </w:rPr>
        <w:t xml:space="preserve"> </w:t>
      </w:r>
      <w:r>
        <w:rPr>
          <w:w w:val="95"/>
        </w:rPr>
        <w:t>enough</w:t>
      </w:r>
      <w:r>
        <w:rPr>
          <w:spacing w:val="-4"/>
          <w:w w:val="95"/>
        </w:rPr>
        <w:t xml:space="preserve"> </w:t>
      </w:r>
      <w:r>
        <w:rPr>
          <w:w w:val="95"/>
        </w:rPr>
        <w:t>water</w:t>
      </w:r>
      <w:r>
        <w:rPr>
          <w:spacing w:val="-4"/>
          <w:w w:val="95"/>
        </w:rPr>
        <w:t xml:space="preserve"> </w:t>
      </w:r>
      <w:r>
        <w:rPr>
          <w:w w:val="95"/>
        </w:rPr>
        <w:t>for</w:t>
      </w:r>
      <w:r>
        <w:rPr>
          <w:spacing w:val="-4"/>
          <w:w w:val="95"/>
        </w:rPr>
        <w:t xml:space="preserve"> </w:t>
      </w:r>
      <w:r>
        <w:rPr>
          <w:w w:val="95"/>
        </w:rPr>
        <w:t>future</w:t>
      </w:r>
      <w:r>
        <w:rPr>
          <w:spacing w:val="-4"/>
          <w:w w:val="95"/>
        </w:rPr>
        <w:t xml:space="preserve"> </w:t>
      </w:r>
      <w:r>
        <w:rPr>
          <w:w w:val="95"/>
        </w:rPr>
        <w:t xml:space="preserve">droughts </w:t>
      </w:r>
      <w:r>
        <w:t>and</w:t>
      </w:r>
      <w:r>
        <w:rPr>
          <w:spacing w:val="-13"/>
        </w:rPr>
        <w:t xml:space="preserve"> </w:t>
      </w:r>
      <w:r>
        <w:t>growing</w:t>
      </w:r>
      <w:r>
        <w:rPr>
          <w:spacing w:val="-13"/>
        </w:rPr>
        <w:t xml:space="preserve"> </w:t>
      </w:r>
      <w:r>
        <w:t>population</w:t>
      </w:r>
      <w:r>
        <w:rPr>
          <w:spacing w:val="-13"/>
        </w:rPr>
        <w:t xml:space="preserve"> </w:t>
      </w:r>
      <w:r>
        <w:t>until</w:t>
      </w:r>
      <w:r>
        <w:rPr>
          <w:spacing w:val="-13"/>
        </w:rPr>
        <w:t xml:space="preserve"> </w:t>
      </w:r>
      <w:r>
        <w:t>at</w:t>
      </w:r>
      <w:r>
        <w:rPr>
          <w:spacing w:val="-13"/>
        </w:rPr>
        <w:t xml:space="preserve"> </w:t>
      </w:r>
      <w:r>
        <w:t>least</w:t>
      </w:r>
      <w:r>
        <w:rPr>
          <w:spacing w:val="-13"/>
        </w:rPr>
        <w:t xml:space="preserve"> </w:t>
      </w:r>
      <w:r>
        <w:t>2025.</w:t>
      </w:r>
      <w:r>
        <w:rPr>
          <w:spacing w:val="-13"/>
        </w:rPr>
        <w:t xml:space="preserve"> </w:t>
      </w:r>
      <w:r>
        <w:t>The</w:t>
      </w:r>
      <w:r>
        <w:rPr>
          <w:spacing w:val="-13"/>
        </w:rPr>
        <w:t xml:space="preserve"> </w:t>
      </w:r>
      <w:r>
        <w:t xml:space="preserve">Plan </w:t>
      </w:r>
      <w:r>
        <w:rPr>
          <w:spacing w:val="-2"/>
        </w:rPr>
        <w:t>also</w:t>
      </w:r>
      <w:r>
        <w:rPr>
          <w:spacing w:val="-10"/>
        </w:rPr>
        <w:t xml:space="preserve"> </w:t>
      </w:r>
      <w:r>
        <w:rPr>
          <w:spacing w:val="-2"/>
        </w:rPr>
        <w:t>allows</w:t>
      </w:r>
      <w:r>
        <w:rPr>
          <w:spacing w:val="-10"/>
        </w:rPr>
        <w:t xml:space="preserve"> </w:t>
      </w:r>
      <w:r>
        <w:rPr>
          <w:spacing w:val="-2"/>
        </w:rPr>
        <w:t>for</w:t>
      </w:r>
      <w:r>
        <w:rPr>
          <w:spacing w:val="-10"/>
        </w:rPr>
        <w:t xml:space="preserve"> </w:t>
      </w:r>
      <w:r>
        <w:rPr>
          <w:spacing w:val="-2"/>
        </w:rPr>
        <w:t>the</w:t>
      </w:r>
      <w:r>
        <w:rPr>
          <w:spacing w:val="-10"/>
        </w:rPr>
        <w:t xml:space="preserve"> </w:t>
      </w:r>
      <w:r>
        <w:rPr>
          <w:spacing w:val="-2"/>
        </w:rPr>
        <w:t>Shoalhaven</w:t>
      </w:r>
      <w:r>
        <w:rPr>
          <w:spacing w:val="-10"/>
        </w:rPr>
        <w:t xml:space="preserve"> </w:t>
      </w:r>
      <w:r>
        <w:rPr>
          <w:spacing w:val="-2"/>
        </w:rPr>
        <w:t>Transfer</w:t>
      </w:r>
      <w:r>
        <w:rPr>
          <w:spacing w:val="-10"/>
        </w:rPr>
        <w:t xml:space="preserve"> </w:t>
      </w:r>
      <w:r>
        <w:rPr>
          <w:spacing w:val="-2"/>
        </w:rPr>
        <w:t>system</w:t>
      </w:r>
      <w:r>
        <w:rPr>
          <w:spacing w:val="-10"/>
        </w:rPr>
        <w:t xml:space="preserve"> </w:t>
      </w:r>
      <w:r>
        <w:rPr>
          <w:spacing w:val="-2"/>
        </w:rPr>
        <w:t>to</w:t>
      </w:r>
      <w:r>
        <w:rPr>
          <w:spacing w:val="-10"/>
        </w:rPr>
        <w:t xml:space="preserve"> </w:t>
      </w:r>
      <w:r>
        <w:rPr>
          <w:spacing w:val="-2"/>
        </w:rPr>
        <w:t xml:space="preserve">be </w:t>
      </w:r>
      <w:r>
        <w:t>augmented</w:t>
      </w:r>
      <w:r>
        <w:rPr>
          <w:spacing w:val="-5"/>
        </w:rPr>
        <w:t xml:space="preserve"> </w:t>
      </w:r>
      <w:r>
        <w:t>and</w:t>
      </w:r>
      <w:r>
        <w:rPr>
          <w:spacing w:val="-5"/>
        </w:rPr>
        <w:t xml:space="preserve"> </w:t>
      </w:r>
      <w:r>
        <w:t>operational</w:t>
      </w:r>
      <w:r>
        <w:rPr>
          <w:spacing w:val="-5"/>
        </w:rPr>
        <w:t xml:space="preserve"> </w:t>
      </w:r>
      <w:r>
        <w:t>from</w:t>
      </w:r>
      <w:r>
        <w:rPr>
          <w:spacing w:val="-5"/>
        </w:rPr>
        <w:t xml:space="preserve"> </w:t>
      </w:r>
      <w:r>
        <w:t>around</w:t>
      </w:r>
      <w:r>
        <w:rPr>
          <w:spacing w:val="-5"/>
        </w:rPr>
        <w:t xml:space="preserve"> </w:t>
      </w:r>
      <w:r>
        <w:t>2025.</w:t>
      </w:r>
    </w:p>
    <w:p w:rsidR="002C1123" w:rsidRDefault="00F22F94">
      <w:pPr>
        <w:pStyle w:val="BodyText"/>
        <w:spacing w:before="147" w:line="249" w:lineRule="auto"/>
        <w:ind w:left="492" w:right="975"/>
      </w:pPr>
      <w:r>
        <w:rPr>
          <w:w w:val="95"/>
        </w:rPr>
        <w:t>The Metropolitan Water Plan is being reviewed and will</w:t>
      </w:r>
      <w:r>
        <w:rPr>
          <w:spacing w:val="-7"/>
          <w:w w:val="95"/>
        </w:rPr>
        <w:t xml:space="preserve"> </w:t>
      </w:r>
      <w:r>
        <w:rPr>
          <w:w w:val="95"/>
        </w:rPr>
        <w:t>model</w:t>
      </w:r>
      <w:r>
        <w:rPr>
          <w:spacing w:val="-7"/>
          <w:w w:val="95"/>
        </w:rPr>
        <w:t xml:space="preserve"> </w:t>
      </w:r>
      <w:r>
        <w:rPr>
          <w:w w:val="95"/>
        </w:rPr>
        <w:t>a</w:t>
      </w:r>
      <w:r>
        <w:rPr>
          <w:spacing w:val="-7"/>
          <w:w w:val="95"/>
        </w:rPr>
        <w:t xml:space="preserve"> </w:t>
      </w:r>
      <w:r>
        <w:rPr>
          <w:w w:val="95"/>
        </w:rPr>
        <w:t>50</w:t>
      </w:r>
      <w:r>
        <w:rPr>
          <w:spacing w:val="-7"/>
          <w:w w:val="95"/>
        </w:rPr>
        <w:t xml:space="preserve"> </w:t>
      </w:r>
      <w:r>
        <w:rPr>
          <w:w w:val="95"/>
        </w:rPr>
        <w:t>year</w:t>
      </w:r>
      <w:r>
        <w:rPr>
          <w:spacing w:val="-7"/>
          <w:w w:val="95"/>
        </w:rPr>
        <w:t xml:space="preserve"> </w:t>
      </w:r>
      <w:r>
        <w:rPr>
          <w:w w:val="95"/>
        </w:rPr>
        <w:t>horizon.</w:t>
      </w:r>
      <w:r>
        <w:rPr>
          <w:spacing w:val="-7"/>
          <w:w w:val="95"/>
        </w:rPr>
        <w:t xml:space="preserve"> </w:t>
      </w:r>
      <w:r>
        <w:rPr>
          <w:w w:val="95"/>
        </w:rPr>
        <w:t>It</w:t>
      </w:r>
      <w:r>
        <w:rPr>
          <w:spacing w:val="-7"/>
          <w:w w:val="95"/>
        </w:rPr>
        <w:t xml:space="preserve"> </w:t>
      </w:r>
      <w:r>
        <w:rPr>
          <w:w w:val="95"/>
        </w:rPr>
        <w:t>is</w:t>
      </w:r>
      <w:r>
        <w:rPr>
          <w:spacing w:val="-7"/>
          <w:w w:val="95"/>
        </w:rPr>
        <w:t xml:space="preserve"> </w:t>
      </w:r>
      <w:r>
        <w:rPr>
          <w:w w:val="95"/>
        </w:rPr>
        <w:t>taking</w:t>
      </w:r>
      <w:r>
        <w:rPr>
          <w:spacing w:val="-7"/>
          <w:w w:val="95"/>
        </w:rPr>
        <w:t xml:space="preserve"> </w:t>
      </w:r>
      <w:r>
        <w:rPr>
          <w:w w:val="95"/>
        </w:rPr>
        <w:t>into</w:t>
      </w:r>
      <w:r>
        <w:rPr>
          <w:spacing w:val="-7"/>
          <w:w w:val="95"/>
        </w:rPr>
        <w:t xml:space="preserve"> </w:t>
      </w:r>
      <w:r>
        <w:rPr>
          <w:w w:val="95"/>
        </w:rPr>
        <w:t>account</w:t>
      </w:r>
    </w:p>
    <w:p w:rsidR="002C1123" w:rsidRDefault="00F22F94">
      <w:pPr>
        <w:pStyle w:val="BodyText"/>
        <w:spacing w:before="1" w:line="249" w:lineRule="auto"/>
        <w:ind w:left="492" w:right="707"/>
      </w:pPr>
      <w:r>
        <w:t>changing</w:t>
      </w:r>
      <w:r>
        <w:rPr>
          <w:spacing w:val="-12"/>
        </w:rPr>
        <w:t xml:space="preserve"> </w:t>
      </w:r>
      <w:r>
        <w:t>water</w:t>
      </w:r>
      <w:r>
        <w:rPr>
          <w:spacing w:val="-12"/>
        </w:rPr>
        <w:t xml:space="preserve"> </w:t>
      </w:r>
      <w:r>
        <w:t>demand,</w:t>
      </w:r>
      <w:r>
        <w:rPr>
          <w:spacing w:val="-12"/>
        </w:rPr>
        <w:t xml:space="preserve"> </w:t>
      </w:r>
      <w:r>
        <w:t>Government</w:t>
      </w:r>
      <w:r>
        <w:rPr>
          <w:spacing w:val="-12"/>
        </w:rPr>
        <w:t xml:space="preserve"> </w:t>
      </w:r>
      <w:r>
        <w:t>decisions</w:t>
      </w:r>
      <w:r>
        <w:rPr>
          <w:spacing w:val="-12"/>
        </w:rPr>
        <w:t xml:space="preserve"> </w:t>
      </w:r>
      <w:r>
        <w:t xml:space="preserve">about </w:t>
      </w:r>
      <w:r>
        <w:rPr>
          <w:w w:val="95"/>
        </w:rPr>
        <w:t>environmental</w:t>
      </w:r>
      <w:r>
        <w:rPr>
          <w:spacing w:val="-3"/>
          <w:w w:val="95"/>
        </w:rPr>
        <w:t xml:space="preserve"> </w:t>
      </w:r>
      <w:r>
        <w:rPr>
          <w:w w:val="95"/>
        </w:rPr>
        <w:t>flows,</w:t>
      </w:r>
      <w:r>
        <w:rPr>
          <w:spacing w:val="-3"/>
          <w:w w:val="95"/>
        </w:rPr>
        <w:t xml:space="preserve"> </w:t>
      </w:r>
      <w:r>
        <w:rPr>
          <w:w w:val="95"/>
        </w:rPr>
        <w:t>potential</w:t>
      </w:r>
      <w:r>
        <w:rPr>
          <w:spacing w:val="-3"/>
          <w:w w:val="95"/>
        </w:rPr>
        <w:t xml:space="preserve"> </w:t>
      </w:r>
      <w:r>
        <w:rPr>
          <w:w w:val="95"/>
        </w:rPr>
        <w:t>impacts</w:t>
      </w:r>
      <w:r>
        <w:rPr>
          <w:spacing w:val="-3"/>
          <w:w w:val="95"/>
        </w:rPr>
        <w:t xml:space="preserve"> </w:t>
      </w:r>
      <w:r>
        <w:rPr>
          <w:w w:val="95"/>
        </w:rPr>
        <w:t>of</w:t>
      </w:r>
      <w:r>
        <w:rPr>
          <w:spacing w:val="-3"/>
          <w:w w:val="95"/>
        </w:rPr>
        <w:t xml:space="preserve"> </w:t>
      </w:r>
      <w:r>
        <w:rPr>
          <w:w w:val="95"/>
        </w:rPr>
        <w:t>climate</w:t>
      </w:r>
      <w:r>
        <w:rPr>
          <w:spacing w:val="-3"/>
          <w:w w:val="95"/>
        </w:rPr>
        <w:t xml:space="preserve"> </w:t>
      </w:r>
      <w:r>
        <w:rPr>
          <w:w w:val="95"/>
        </w:rPr>
        <w:t xml:space="preserve">change </w:t>
      </w:r>
      <w:r>
        <w:t>and</w:t>
      </w:r>
      <w:r>
        <w:rPr>
          <w:spacing w:val="-8"/>
        </w:rPr>
        <w:t xml:space="preserve"> </w:t>
      </w:r>
      <w:r>
        <w:t>the</w:t>
      </w:r>
      <w:r>
        <w:rPr>
          <w:spacing w:val="-8"/>
        </w:rPr>
        <w:t xml:space="preserve"> </w:t>
      </w:r>
      <w:r>
        <w:t>extent</w:t>
      </w:r>
      <w:r>
        <w:rPr>
          <w:spacing w:val="-8"/>
        </w:rPr>
        <w:t xml:space="preserve"> </w:t>
      </w:r>
      <w:r>
        <w:t>to</w:t>
      </w:r>
      <w:r>
        <w:rPr>
          <w:spacing w:val="-8"/>
        </w:rPr>
        <w:t xml:space="preserve"> </w:t>
      </w:r>
      <w:r>
        <w:t>which</w:t>
      </w:r>
      <w:r>
        <w:rPr>
          <w:spacing w:val="-8"/>
        </w:rPr>
        <w:t xml:space="preserve"> </w:t>
      </w:r>
      <w:r>
        <w:t>recycled</w:t>
      </w:r>
      <w:r>
        <w:rPr>
          <w:spacing w:val="-8"/>
        </w:rPr>
        <w:t xml:space="preserve"> </w:t>
      </w:r>
      <w:r>
        <w:t>water</w:t>
      </w:r>
      <w:r>
        <w:rPr>
          <w:spacing w:val="-8"/>
        </w:rPr>
        <w:t xml:space="preserve"> </w:t>
      </w:r>
      <w:r>
        <w:t>schemes</w:t>
      </w:r>
      <w:r>
        <w:rPr>
          <w:spacing w:val="-8"/>
        </w:rPr>
        <w:t xml:space="preserve"> </w:t>
      </w:r>
      <w:r>
        <w:t>and demand</w:t>
      </w:r>
      <w:r>
        <w:rPr>
          <w:spacing w:val="-2"/>
        </w:rPr>
        <w:t xml:space="preserve"> </w:t>
      </w:r>
      <w:r>
        <w:t>management</w:t>
      </w:r>
      <w:r>
        <w:rPr>
          <w:spacing w:val="-2"/>
        </w:rPr>
        <w:t xml:space="preserve"> </w:t>
      </w:r>
      <w:r>
        <w:t>programs</w:t>
      </w:r>
      <w:r>
        <w:rPr>
          <w:spacing w:val="-2"/>
        </w:rPr>
        <w:t xml:space="preserve"> </w:t>
      </w:r>
      <w:r>
        <w:t>can</w:t>
      </w:r>
      <w:r>
        <w:rPr>
          <w:spacing w:val="-2"/>
        </w:rPr>
        <w:t xml:space="preserve"> </w:t>
      </w:r>
      <w:r>
        <w:t>contribute</w:t>
      </w:r>
      <w:r>
        <w:rPr>
          <w:spacing w:val="-2"/>
        </w:rPr>
        <w:t xml:space="preserve"> </w:t>
      </w:r>
      <w:r>
        <w:t>to</w:t>
      </w:r>
      <w:r>
        <w:rPr>
          <w:spacing w:val="-2"/>
        </w:rPr>
        <w:t xml:space="preserve"> </w:t>
      </w:r>
      <w:r>
        <w:t>the supply demand balance.</w:t>
      </w:r>
    </w:p>
    <w:p w:rsidR="002C1123" w:rsidRDefault="002060EF">
      <w:pPr>
        <w:pStyle w:val="BodyText"/>
        <w:spacing w:before="146" w:line="249" w:lineRule="auto"/>
        <w:ind w:left="492" w:right="718"/>
      </w:pPr>
      <w:r>
        <w:pict>
          <v:shape id="docshape2211" o:spid="_x0000_s1825" type="#_x0000_t202" style="position:absolute;left:0;text-align:left;margin-left:318.95pt;margin-top:43.05pt;width:221.6pt;height:17.4pt;z-index:251633664;mso-position-horizontal-relative:page" filled="f" stroked="f">
            <v:textbox style="layout-flow:vertical;mso-layout-flow-alt:bottom-to-top" inset="0,0,0,0">
              <w:txbxContent>
                <w:p w:rsidR="00F22F94" w:rsidRDefault="00F22F94">
                  <w:pPr>
                    <w:spacing w:before="18"/>
                    <w:ind w:left="20"/>
                    <w:rPr>
                      <w:sz w:val="16"/>
                    </w:rPr>
                  </w:pPr>
                  <w:r>
                    <w:rPr>
                      <w:spacing w:val="-4"/>
                      <w:w w:val="90"/>
                      <w:sz w:val="16"/>
                    </w:rPr>
                    <w:t>1993</w:t>
                  </w:r>
                </w:p>
                <w:p w:rsidR="00F22F94" w:rsidRDefault="00F22F94">
                  <w:pPr>
                    <w:spacing w:before="38"/>
                    <w:ind w:left="20"/>
                    <w:rPr>
                      <w:sz w:val="16"/>
                    </w:rPr>
                  </w:pPr>
                  <w:r>
                    <w:rPr>
                      <w:spacing w:val="-4"/>
                      <w:w w:val="90"/>
                      <w:sz w:val="16"/>
                    </w:rPr>
                    <w:t>1994</w:t>
                  </w:r>
                </w:p>
                <w:p w:rsidR="00F22F94" w:rsidRDefault="00F22F94">
                  <w:pPr>
                    <w:spacing w:before="37"/>
                    <w:ind w:left="20"/>
                    <w:rPr>
                      <w:sz w:val="16"/>
                    </w:rPr>
                  </w:pPr>
                  <w:r>
                    <w:rPr>
                      <w:spacing w:val="-4"/>
                      <w:w w:val="90"/>
                      <w:sz w:val="16"/>
                    </w:rPr>
                    <w:t>1995</w:t>
                  </w:r>
                </w:p>
                <w:p w:rsidR="00F22F94" w:rsidRDefault="00F22F94">
                  <w:pPr>
                    <w:spacing w:before="38"/>
                    <w:ind w:left="20"/>
                    <w:rPr>
                      <w:sz w:val="16"/>
                    </w:rPr>
                  </w:pPr>
                  <w:r>
                    <w:rPr>
                      <w:spacing w:val="-4"/>
                      <w:w w:val="90"/>
                      <w:sz w:val="16"/>
                    </w:rPr>
                    <w:t>1996</w:t>
                  </w:r>
                </w:p>
                <w:p w:rsidR="00F22F94" w:rsidRDefault="00F22F94">
                  <w:pPr>
                    <w:spacing w:before="37"/>
                    <w:ind w:left="20"/>
                    <w:rPr>
                      <w:sz w:val="16"/>
                    </w:rPr>
                  </w:pPr>
                  <w:r>
                    <w:rPr>
                      <w:spacing w:val="-4"/>
                      <w:w w:val="90"/>
                      <w:sz w:val="16"/>
                    </w:rPr>
                    <w:t>1997</w:t>
                  </w:r>
                </w:p>
                <w:p w:rsidR="00F22F94" w:rsidRDefault="00F22F94">
                  <w:pPr>
                    <w:spacing w:before="38"/>
                    <w:ind w:left="20"/>
                    <w:rPr>
                      <w:sz w:val="16"/>
                    </w:rPr>
                  </w:pPr>
                  <w:r>
                    <w:rPr>
                      <w:spacing w:val="-4"/>
                      <w:w w:val="90"/>
                      <w:sz w:val="16"/>
                    </w:rPr>
                    <w:t>1998</w:t>
                  </w:r>
                </w:p>
                <w:p w:rsidR="00F22F94" w:rsidRDefault="00F22F94">
                  <w:pPr>
                    <w:spacing w:before="38"/>
                    <w:ind w:left="20"/>
                    <w:rPr>
                      <w:sz w:val="16"/>
                    </w:rPr>
                  </w:pPr>
                  <w:r>
                    <w:rPr>
                      <w:spacing w:val="-4"/>
                      <w:w w:val="90"/>
                      <w:sz w:val="16"/>
                    </w:rPr>
                    <w:t>1999</w:t>
                  </w:r>
                </w:p>
                <w:p w:rsidR="00F22F94" w:rsidRDefault="00F22F94">
                  <w:pPr>
                    <w:spacing w:before="37"/>
                    <w:ind w:left="20"/>
                    <w:rPr>
                      <w:sz w:val="16"/>
                    </w:rPr>
                  </w:pPr>
                  <w:r>
                    <w:rPr>
                      <w:spacing w:val="-4"/>
                      <w:w w:val="90"/>
                      <w:sz w:val="16"/>
                    </w:rPr>
                    <w:t>2000</w:t>
                  </w:r>
                </w:p>
                <w:p w:rsidR="00F22F94" w:rsidRDefault="00F22F94">
                  <w:pPr>
                    <w:spacing w:before="38"/>
                    <w:ind w:left="20"/>
                    <w:rPr>
                      <w:sz w:val="16"/>
                    </w:rPr>
                  </w:pPr>
                  <w:r>
                    <w:rPr>
                      <w:spacing w:val="-4"/>
                      <w:w w:val="90"/>
                      <w:sz w:val="16"/>
                    </w:rPr>
                    <w:t>2001</w:t>
                  </w:r>
                </w:p>
                <w:p w:rsidR="00F22F94" w:rsidRDefault="00F22F94">
                  <w:pPr>
                    <w:spacing w:before="37"/>
                    <w:ind w:left="20"/>
                    <w:rPr>
                      <w:sz w:val="16"/>
                    </w:rPr>
                  </w:pPr>
                  <w:r>
                    <w:rPr>
                      <w:spacing w:val="-4"/>
                      <w:w w:val="90"/>
                      <w:sz w:val="16"/>
                    </w:rPr>
                    <w:t>2002</w:t>
                  </w:r>
                </w:p>
                <w:p w:rsidR="00F22F94" w:rsidRDefault="00F22F94">
                  <w:pPr>
                    <w:spacing w:before="38"/>
                    <w:ind w:left="20"/>
                    <w:rPr>
                      <w:sz w:val="16"/>
                    </w:rPr>
                  </w:pPr>
                  <w:r>
                    <w:rPr>
                      <w:spacing w:val="-4"/>
                      <w:w w:val="90"/>
                      <w:sz w:val="16"/>
                    </w:rPr>
                    <w:t>2003</w:t>
                  </w:r>
                </w:p>
                <w:p w:rsidR="00F22F94" w:rsidRDefault="00F22F94">
                  <w:pPr>
                    <w:spacing w:before="38"/>
                    <w:ind w:left="20"/>
                    <w:rPr>
                      <w:sz w:val="16"/>
                    </w:rPr>
                  </w:pPr>
                  <w:r>
                    <w:rPr>
                      <w:spacing w:val="-4"/>
                      <w:w w:val="90"/>
                      <w:sz w:val="16"/>
                    </w:rPr>
                    <w:t>2004</w:t>
                  </w:r>
                </w:p>
                <w:p w:rsidR="00F22F94" w:rsidRDefault="00F22F94">
                  <w:pPr>
                    <w:spacing w:before="37"/>
                    <w:ind w:left="20"/>
                    <w:rPr>
                      <w:sz w:val="16"/>
                    </w:rPr>
                  </w:pPr>
                  <w:r>
                    <w:rPr>
                      <w:spacing w:val="-4"/>
                      <w:w w:val="90"/>
                      <w:sz w:val="16"/>
                    </w:rPr>
                    <w:t>2005</w:t>
                  </w:r>
                </w:p>
                <w:p w:rsidR="00F22F94" w:rsidRDefault="00F22F94">
                  <w:pPr>
                    <w:spacing w:before="38"/>
                    <w:ind w:left="20"/>
                    <w:rPr>
                      <w:sz w:val="16"/>
                    </w:rPr>
                  </w:pPr>
                  <w:r>
                    <w:rPr>
                      <w:spacing w:val="-4"/>
                      <w:w w:val="90"/>
                      <w:sz w:val="16"/>
                    </w:rPr>
                    <w:t>2006</w:t>
                  </w:r>
                </w:p>
                <w:p w:rsidR="00F22F94" w:rsidRDefault="00F22F94">
                  <w:pPr>
                    <w:spacing w:before="38"/>
                    <w:ind w:left="20"/>
                    <w:rPr>
                      <w:sz w:val="16"/>
                    </w:rPr>
                  </w:pPr>
                  <w:r>
                    <w:rPr>
                      <w:spacing w:val="-4"/>
                      <w:w w:val="90"/>
                      <w:sz w:val="16"/>
                    </w:rPr>
                    <w:t>2007</w:t>
                  </w:r>
                </w:p>
                <w:p w:rsidR="00F22F94" w:rsidRDefault="00F22F94">
                  <w:pPr>
                    <w:spacing w:before="37"/>
                    <w:ind w:left="20"/>
                    <w:rPr>
                      <w:sz w:val="16"/>
                    </w:rPr>
                  </w:pPr>
                  <w:r>
                    <w:rPr>
                      <w:spacing w:val="-4"/>
                      <w:w w:val="90"/>
                      <w:sz w:val="16"/>
                    </w:rPr>
                    <w:t>2008</w:t>
                  </w:r>
                </w:p>
                <w:p w:rsidR="00F22F94" w:rsidRDefault="00F22F94">
                  <w:pPr>
                    <w:spacing w:before="38"/>
                    <w:ind w:left="20"/>
                    <w:rPr>
                      <w:sz w:val="16"/>
                    </w:rPr>
                  </w:pPr>
                  <w:r>
                    <w:rPr>
                      <w:spacing w:val="-4"/>
                      <w:w w:val="90"/>
                      <w:sz w:val="16"/>
                    </w:rPr>
                    <w:t>2009</w:t>
                  </w:r>
                </w:p>
                <w:p w:rsidR="00F22F94" w:rsidRDefault="00F22F94">
                  <w:pPr>
                    <w:spacing w:before="37"/>
                    <w:ind w:left="20"/>
                    <w:rPr>
                      <w:sz w:val="16"/>
                    </w:rPr>
                  </w:pPr>
                  <w:r>
                    <w:rPr>
                      <w:spacing w:val="-4"/>
                      <w:w w:val="90"/>
                      <w:sz w:val="16"/>
                    </w:rPr>
                    <w:t>2010</w:t>
                  </w:r>
                </w:p>
                <w:p w:rsidR="00F22F94" w:rsidRDefault="00F22F94">
                  <w:pPr>
                    <w:spacing w:before="38"/>
                    <w:ind w:left="20"/>
                    <w:rPr>
                      <w:sz w:val="16"/>
                    </w:rPr>
                  </w:pPr>
                  <w:r>
                    <w:rPr>
                      <w:spacing w:val="-4"/>
                      <w:w w:val="90"/>
                      <w:sz w:val="16"/>
                    </w:rPr>
                    <w:t>2011</w:t>
                  </w:r>
                </w:p>
                <w:p w:rsidR="00F22F94" w:rsidRDefault="00F22F94">
                  <w:pPr>
                    <w:spacing w:before="38"/>
                    <w:ind w:left="20"/>
                    <w:rPr>
                      <w:sz w:val="16"/>
                    </w:rPr>
                  </w:pPr>
                  <w:r>
                    <w:rPr>
                      <w:spacing w:val="-4"/>
                      <w:w w:val="90"/>
                      <w:sz w:val="16"/>
                    </w:rPr>
                    <w:t>2012</w:t>
                  </w:r>
                </w:p>
              </w:txbxContent>
            </v:textbox>
            <w10:wrap anchorx="page"/>
          </v:shape>
        </w:pict>
      </w:r>
      <w:r w:rsidR="00F22F94">
        <w:rPr>
          <w:w w:val="95"/>
        </w:rPr>
        <w:t>The</w:t>
      </w:r>
      <w:r w:rsidR="00F22F94">
        <w:rPr>
          <w:spacing w:val="-5"/>
          <w:w w:val="95"/>
        </w:rPr>
        <w:t xml:space="preserve"> </w:t>
      </w:r>
      <w:r w:rsidR="00F22F94">
        <w:rPr>
          <w:w w:val="95"/>
        </w:rPr>
        <w:t>current</w:t>
      </w:r>
      <w:r w:rsidR="00F22F94">
        <w:rPr>
          <w:spacing w:val="-5"/>
          <w:w w:val="95"/>
        </w:rPr>
        <w:t xml:space="preserve"> </w:t>
      </w:r>
      <w:r w:rsidR="00F22F94">
        <w:rPr>
          <w:w w:val="95"/>
        </w:rPr>
        <w:t>Metropolitan</w:t>
      </w:r>
      <w:r w:rsidR="00F22F94">
        <w:rPr>
          <w:spacing w:val="-5"/>
          <w:w w:val="95"/>
        </w:rPr>
        <w:t xml:space="preserve"> </w:t>
      </w:r>
      <w:r w:rsidR="00F22F94">
        <w:rPr>
          <w:w w:val="95"/>
        </w:rPr>
        <w:t>Water</w:t>
      </w:r>
      <w:r w:rsidR="00F22F94">
        <w:rPr>
          <w:spacing w:val="-5"/>
          <w:w w:val="95"/>
        </w:rPr>
        <w:t xml:space="preserve"> </w:t>
      </w:r>
      <w:r w:rsidR="00F22F94">
        <w:rPr>
          <w:w w:val="95"/>
        </w:rPr>
        <w:t>Plan</w:t>
      </w:r>
      <w:r w:rsidR="00F22F94">
        <w:rPr>
          <w:spacing w:val="-5"/>
          <w:w w:val="95"/>
        </w:rPr>
        <w:t xml:space="preserve"> </w:t>
      </w:r>
      <w:r w:rsidR="00F22F94">
        <w:rPr>
          <w:w w:val="95"/>
        </w:rPr>
        <w:t>reports</w:t>
      </w:r>
      <w:r w:rsidR="00F22F94">
        <w:rPr>
          <w:spacing w:val="-5"/>
          <w:w w:val="95"/>
        </w:rPr>
        <w:t xml:space="preserve"> </w:t>
      </w:r>
      <w:r w:rsidR="00F22F94">
        <w:rPr>
          <w:w w:val="95"/>
        </w:rPr>
        <w:t>that</w:t>
      </w:r>
      <w:r w:rsidR="00F22F94">
        <w:rPr>
          <w:spacing w:val="-5"/>
          <w:w w:val="95"/>
        </w:rPr>
        <w:t xml:space="preserve"> </w:t>
      </w:r>
      <w:r w:rsidR="00F22F94">
        <w:rPr>
          <w:w w:val="95"/>
        </w:rPr>
        <w:t xml:space="preserve">there </w:t>
      </w:r>
      <w:r w:rsidR="00F22F94">
        <w:t>are</w:t>
      </w:r>
      <w:r w:rsidR="00F22F94">
        <w:rPr>
          <w:spacing w:val="-14"/>
        </w:rPr>
        <w:t xml:space="preserve"> </w:t>
      </w:r>
      <w:r w:rsidR="00F22F94">
        <w:t>a</w:t>
      </w:r>
      <w:r w:rsidR="00F22F94">
        <w:rPr>
          <w:spacing w:val="-14"/>
        </w:rPr>
        <w:t xml:space="preserve"> </w:t>
      </w:r>
      <w:r w:rsidR="00F22F94">
        <w:t>number</w:t>
      </w:r>
      <w:r w:rsidR="00F22F94">
        <w:rPr>
          <w:spacing w:val="-14"/>
        </w:rPr>
        <w:t xml:space="preserve"> </w:t>
      </w:r>
      <w:r w:rsidR="00F22F94">
        <w:t>of</w:t>
      </w:r>
      <w:r w:rsidR="00F22F94">
        <w:rPr>
          <w:spacing w:val="-14"/>
        </w:rPr>
        <w:t xml:space="preserve"> </w:t>
      </w:r>
      <w:r w:rsidR="00F22F94">
        <w:t>potential</w:t>
      </w:r>
      <w:r w:rsidR="00F22F94">
        <w:rPr>
          <w:spacing w:val="-14"/>
        </w:rPr>
        <w:t xml:space="preserve"> </w:t>
      </w:r>
      <w:r w:rsidR="00F22F94">
        <w:t>water</w:t>
      </w:r>
      <w:r w:rsidR="00F22F94">
        <w:rPr>
          <w:spacing w:val="-14"/>
        </w:rPr>
        <w:t xml:space="preserve"> </w:t>
      </w:r>
      <w:r w:rsidR="00F22F94">
        <w:t>source</w:t>
      </w:r>
      <w:r w:rsidR="00F22F94">
        <w:rPr>
          <w:spacing w:val="-14"/>
        </w:rPr>
        <w:t xml:space="preserve"> </w:t>
      </w:r>
      <w:r w:rsidR="00F22F94">
        <w:t>infrastructure options proposed including:</w:t>
      </w:r>
    </w:p>
    <w:p w:rsidR="002C1123" w:rsidRDefault="002060EF">
      <w:pPr>
        <w:pStyle w:val="ListParagraph"/>
        <w:numPr>
          <w:ilvl w:val="0"/>
          <w:numId w:val="53"/>
        </w:numPr>
        <w:tabs>
          <w:tab w:val="left" w:pos="776"/>
        </w:tabs>
        <w:spacing w:before="71" w:line="249" w:lineRule="auto"/>
        <w:ind w:right="798"/>
        <w:rPr>
          <w:sz w:val="20"/>
        </w:rPr>
      </w:pPr>
      <w:r>
        <w:pict>
          <v:line id="_x0000_s1824" style="position:absolute;left:0;text-align:left;z-index:251631616;mso-position-horizontal-relative:page" from="404.6pt,34.2pt" to="421.6pt,34.2pt" strokecolor="#00aeef" strokeweight=".73167mm">
            <w10:wrap anchorx="page"/>
          </v:line>
        </w:pict>
      </w:r>
      <w:r w:rsidR="00F22F94">
        <w:rPr>
          <w:w w:val="95"/>
          <w:sz w:val="20"/>
        </w:rPr>
        <w:t>the</w:t>
      </w:r>
      <w:r w:rsidR="00F22F94">
        <w:rPr>
          <w:spacing w:val="-6"/>
          <w:w w:val="95"/>
          <w:sz w:val="20"/>
        </w:rPr>
        <w:t xml:space="preserve"> </w:t>
      </w:r>
      <w:r w:rsidR="00F22F94">
        <w:rPr>
          <w:w w:val="95"/>
          <w:sz w:val="20"/>
        </w:rPr>
        <w:t>doubling</w:t>
      </w:r>
      <w:r w:rsidR="00F22F94">
        <w:rPr>
          <w:spacing w:val="-6"/>
          <w:w w:val="95"/>
          <w:sz w:val="20"/>
        </w:rPr>
        <w:t xml:space="preserve"> </w:t>
      </w:r>
      <w:r w:rsidR="00F22F94">
        <w:rPr>
          <w:w w:val="95"/>
          <w:sz w:val="20"/>
        </w:rPr>
        <w:t>of</w:t>
      </w:r>
      <w:r w:rsidR="00F22F94">
        <w:rPr>
          <w:spacing w:val="-6"/>
          <w:w w:val="95"/>
          <w:sz w:val="20"/>
        </w:rPr>
        <w:t xml:space="preserve"> </w:t>
      </w:r>
      <w:r w:rsidR="00F22F94">
        <w:rPr>
          <w:w w:val="95"/>
          <w:sz w:val="20"/>
        </w:rPr>
        <w:t>the</w:t>
      </w:r>
      <w:r w:rsidR="00F22F94">
        <w:rPr>
          <w:spacing w:val="-6"/>
          <w:w w:val="95"/>
          <w:sz w:val="20"/>
        </w:rPr>
        <w:t xml:space="preserve"> </w:t>
      </w:r>
      <w:r w:rsidR="00F22F94">
        <w:rPr>
          <w:w w:val="95"/>
          <w:sz w:val="20"/>
        </w:rPr>
        <w:t>desalination</w:t>
      </w:r>
      <w:r w:rsidR="00F22F94">
        <w:rPr>
          <w:spacing w:val="-6"/>
          <w:w w:val="95"/>
          <w:sz w:val="20"/>
        </w:rPr>
        <w:t xml:space="preserve"> </w:t>
      </w:r>
      <w:r w:rsidR="00F22F94">
        <w:rPr>
          <w:w w:val="95"/>
          <w:sz w:val="20"/>
        </w:rPr>
        <w:t>plant</w:t>
      </w:r>
      <w:r w:rsidR="00F22F94">
        <w:rPr>
          <w:spacing w:val="-6"/>
          <w:w w:val="95"/>
          <w:sz w:val="20"/>
        </w:rPr>
        <w:t xml:space="preserve"> </w:t>
      </w:r>
      <w:r w:rsidR="00F22F94">
        <w:rPr>
          <w:w w:val="95"/>
          <w:sz w:val="20"/>
        </w:rPr>
        <w:t>–</w:t>
      </w:r>
      <w:r w:rsidR="00F22F94">
        <w:rPr>
          <w:spacing w:val="-6"/>
          <w:w w:val="95"/>
          <w:sz w:val="20"/>
        </w:rPr>
        <w:t xml:space="preserve"> </w:t>
      </w:r>
      <w:r w:rsidR="00F22F94">
        <w:rPr>
          <w:w w:val="95"/>
          <w:sz w:val="20"/>
        </w:rPr>
        <w:t>the</w:t>
      </w:r>
      <w:r w:rsidR="00F22F94">
        <w:rPr>
          <w:spacing w:val="-6"/>
          <w:w w:val="95"/>
          <w:sz w:val="20"/>
        </w:rPr>
        <w:t xml:space="preserve"> </w:t>
      </w:r>
      <w:r w:rsidR="00F22F94">
        <w:rPr>
          <w:w w:val="95"/>
          <w:sz w:val="20"/>
        </w:rPr>
        <w:t>modelling assumes</w:t>
      </w:r>
      <w:r w:rsidR="00F22F94">
        <w:rPr>
          <w:spacing w:val="-2"/>
          <w:w w:val="95"/>
          <w:sz w:val="20"/>
        </w:rPr>
        <w:t xml:space="preserve"> </w:t>
      </w:r>
      <w:r w:rsidR="00F22F94">
        <w:rPr>
          <w:w w:val="95"/>
          <w:sz w:val="20"/>
        </w:rPr>
        <w:t>investment</w:t>
      </w:r>
      <w:r w:rsidR="00F22F94">
        <w:rPr>
          <w:spacing w:val="-2"/>
          <w:w w:val="95"/>
          <w:sz w:val="20"/>
        </w:rPr>
        <w:t xml:space="preserve"> </w:t>
      </w:r>
      <w:r w:rsidR="00F22F94">
        <w:rPr>
          <w:w w:val="95"/>
          <w:sz w:val="20"/>
        </w:rPr>
        <w:t>in</w:t>
      </w:r>
      <w:r w:rsidR="00F22F94">
        <w:rPr>
          <w:spacing w:val="-2"/>
          <w:w w:val="95"/>
          <w:sz w:val="20"/>
        </w:rPr>
        <w:t xml:space="preserve"> </w:t>
      </w:r>
      <w:r w:rsidR="00F22F94">
        <w:rPr>
          <w:w w:val="95"/>
          <w:sz w:val="20"/>
        </w:rPr>
        <w:t>Stage</w:t>
      </w:r>
      <w:r w:rsidR="00F22F94">
        <w:rPr>
          <w:spacing w:val="-2"/>
          <w:w w:val="95"/>
          <w:sz w:val="20"/>
        </w:rPr>
        <w:t xml:space="preserve"> </w:t>
      </w:r>
      <w:r w:rsidR="00F22F94">
        <w:rPr>
          <w:w w:val="95"/>
          <w:sz w:val="20"/>
        </w:rPr>
        <w:t>2</w:t>
      </w:r>
      <w:r w:rsidR="00F22F94">
        <w:rPr>
          <w:spacing w:val="-2"/>
          <w:w w:val="95"/>
          <w:sz w:val="20"/>
        </w:rPr>
        <w:t xml:space="preserve"> </w:t>
      </w:r>
      <w:r w:rsidR="00F22F94">
        <w:rPr>
          <w:w w:val="95"/>
          <w:sz w:val="20"/>
        </w:rPr>
        <w:t>plant</w:t>
      </w:r>
      <w:r w:rsidR="00F22F94">
        <w:rPr>
          <w:spacing w:val="-2"/>
          <w:w w:val="95"/>
          <w:sz w:val="20"/>
        </w:rPr>
        <w:t xml:space="preserve"> </w:t>
      </w:r>
      <w:r w:rsidR="00F22F94">
        <w:rPr>
          <w:w w:val="95"/>
          <w:sz w:val="20"/>
        </w:rPr>
        <w:t>to</w:t>
      </w:r>
      <w:r w:rsidR="00F22F94">
        <w:rPr>
          <w:spacing w:val="-2"/>
          <w:w w:val="95"/>
          <w:sz w:val="20"/>
        </w:rPr>
        <w:t xml:space="preserve"> </w:t>
      </w:r>
      <w:r w:rsidR="00F22F94">
        <w:rPr>
          <w:w w:val="95"/>
          <w:sz w:val="20"/>
        </w:rPr>
        <w:t>increase</w:t>
      </w:r>
      <w:r w:rsidR="00F22F94">
        <w:rPr>
          <w:spacing w:val="-2"/>
          <w:w w:val="95"/>
          <w:sz w:val="20"/>
        </w:rPr>
        <w:t xml:space="preserve"> </w:t>
      </w:r>
      <w:r w:rsidR="00F22F94">
        <w:rPr>
          <w:w w:val="95"/>
          <w:sz w:val="20"/>
        </w:rPr>
        <w:t>the</w:t>
      </w:r>
    </w:p>
    <w:p w:rsidR="002C1123" w:rsidRDefault="002C1123">
      <w:pPr>
        <w:spacing w:line="249" w:lineRule="auto"/>
        <w:rPr>
          <w:sz w:val="20"/>
        </w:rPr>
        <w:sectPr w:rsidR="002C1123">
          <w:type w:val="continuous"/>
          <w:pgSz w:w="16840" w:h="11910" w:orient="landscape"/>
          <w:pgMar w:top="560" w:right="280" w:bottom="280" w:left="500" w:header="0" w:footer="517" w:gutter="0"/>
          <w:cols w:num="3" w:space="720" w:equalWidth="0">
            <w:col w:w="5084" w:space="40"/>
            <w:col w:w="4889" w:space="40"/>
            <w:col w:w="6007"/>
          </w:cols>
        </w:sectPr>
      </w:pPr>
    </w:p>
    <w:p w:rsidR="002C1123" w:rsidRDefault="00F22F94">
      <w:pPr>
        <w:pStyle w:val="BodyText"/>
        <w:spacing w:line="194" w:lineRule="exact"/>
        <w:ind w:left="492"/>
      </w:pPr>
      <w:r>
        <w:rPr>
          <w:w w:val="95"/>
        </w:rPr>
        <w:t>hardened</w:t>
      </w:r>
      <w:r>
        <w:rPr>
          <w:spacing w:val="-5"/>
          <w:w w:val="95"/>
        </w:rPr>
        <w:t xml:space="preserve"> </w:t>
      </w:r>
      <w:r>
        <w:rPr>
          <w:w w:val="95"/>
        </w:rPr>
        <w:t>due</w:t>
      </w:r>
      <w:r>
        <w:rPr>
          <w:spacing w:val="-5"/>
          <w:w w:val="95"/>
        </w:rPr>
        <w:t xml:space="preserve"> </w:t>
      </w:r>
      <w:r>
        <w:rPr>
          <w:w w:val="95"/>
        </w:rPr>
        <w:t>to</w:t>
      </w:r>
      <w:r>
        <w:rPr>
          <w:spacing w:val="-4"/>
          <w:w w:val="95"/>
        </w:rPr>
        <w:t xml:space="preserve"> </w:t>
      </w:r>
      <w:r>
        <w:rPr>
          <w:w w:val="95"/>
        </w:rPr>
        <w:t>the</w:t>
      </w:r>
      <w:r>
        <w:rPr>
          <w:spacing w:val="-5"/>
          <w:w w:val="95"/>
        </w:rPr>
        <w:t xml:space="preserve"> </w:t>
      </w:r>
      <w:r>
        <w:rPr>
          <w:w w:val="95"/>
        </w:rPr>
        <w:t>uptake</w:t>
      </w:r>
      <w:r>
        <w:rPr>
          <w:spacing w:val="-4"/>
          <w:w w:val="95"/>
        </w:rPr>
        <w:t xml:space="preserve"> </w:t>
      </w:r>
      <w:r>
        <w:rPr>
          <w:w w:val="95"/>
        </w:rPr>
        <w:t>of</w:t>
      </w:r>
      <w:r>
        <w:rPr>
          <w:spacing w:val="-5"/>
          <w:w w:val="95"/>
        </w:rPr>
        <w:t xml:space="preserve"> </w:t>
      </w:r>
      <w:r>
        <w:rPr>
          <w:w w:val="95"/>
        </w:rPr>
        <w:t>water</w:t>
      </w:r>
      <w:r>
        <w:rPr>
          <w:spacing w:val="-4"/>
          <w:w w:val="95"/>
        </w:rPr>
        <w:t xml:space="preserve"> </w:t>
      </w:r>
      <w:r>
        <w:rPr>
          <w:w w:val="95"/>
        </w:rPr>
        <w:t>efficient</w:t>
      </w:r>
      <w:r>
        <w:rPr>
          <w:spacing w:val="-5"/>
          <w:w w:val="95"/>
        </w:rPr>
        <w:t xml:space="preserve"> </w:t>
      </w:r>
      <w:r>
        <w:rPr>
          <w:spacing w:val="-2"/>
          <w:w w:val="95"/>
        </w:rPr>
        <w:t>appliances</w:t>
      </w:r>
    </w:p>
    <w:p w:rsidR="002C1123" w:rsidRDefault="00F22F94">
      <w:pPr>
        <w:pStyle w:val="BodyText"/>
        <w:spacing w:before="6" w:line="249" w:lineRule="auto"/>
        <w:ind w:left="492"/>
      </w:pPr>
      <w:r>
        <w:t>and</w:t>
      </w:r>
      <w:r>
        <w:rPr>
          <w:spacing w:val="-11"/>
        </w:rPr>
        <w:t xml:space="preserve"> </w:t>
      </w:r>
      <w:r>
        <w:t>plumbing</w:t>
      </w:r>
      <w:r>
        <w:rPr>
          <w:spacing w:val="-11"/>
        </w:rPr>
        <w:t xml:space="preserve"> </w:t>
      </w:r>
      <w:r>
        <w:t>fixtures</w:t>
      </w:r>
      <w:r>
        <w:rPr>
          <w:spacing w:val="-11"/>
        </w:rPr>
        <w:t xml:space="preserve"> </w:t>
      </w:r>
      <w:r>
        <w:t>which</w:t>
      </w:r>
      <w:r>
        <w:rPr>
          <w:spacing w:val="-11"/>
        </w:rPr>
        <w:t xml:space="preserve"> </w:t>
      </w:r>
      <w:r>
        <w:t>lock-in</w:t>
      </w:r>
      <w:r>
        <w:rPr>
          <w:spacing w:val="-11"/>
        </w:rPr>
        <w:t xml:space="preserve"> </w:t>
      </w:r>
      <w:r>
        <w:t>water</w:t>
      </w:r>
      <w:r>
        <w:rPr>
          <w:spacing w:val="-11"/>
        </w:rPr>
        <w:t xml:space="preserve"> </w:t>
      </w:r>
      <w:r>
        <w:t xml:space="preserve">efficiency. </w:t>
      </w:r>
      <w:r>
        <w:rPr>
          <w:w w:val="95"/>
        </w:rPr>
        <w:t>Future</w:t>
      </w:r>
      <w:r>
        <w:rPr>
          <w:spacing w:val="-2"/>
          <w:w w:val="95"/>
        </w:rPr>
        <w:t xml:space="preserve"> </w:t>
      </w:r>
      <w:r>
        <w:rPr>
          <w:w w:val="95"/>
        </w:rPr>
        <w:t>demand</w:t>
      </w:r>
      <w:r>
        <w:rPr>
          <w:spacing w:val="-2"/>
          <w:w w:val="95"/>
        </w:rPr>
        <w:t xml:space="preserve"> </w:t>
      </w:r>
      <w:r>
        <w:rPr>
          <w:w w:val="95"/>
        </w:rPr>
        <w:t>management</w:t>
      </w:r>
      <w:r>
        <w:rPr>
          <w:spacing w:val="-2"/>
          <w:w w:val="95"/>
        </w:rPr>
        <w:t xml:space="preserve"> </w:t>
      </w:r>
      <w:r>
        <w:rPr>
          <w:w w:val="95"/>
        </w:rPr>
        <w:t>gains</w:t>
      </w:r>
      <w:r>
        <w:rPr>
          <w:spacing w:val="-2"/>
          <w:w w:val="95"/>
        </w:rPr>
        <w:t xml:space="preserve"> </w:t>
      </w:r>
      <w:r>
        <w:rPr>
          <w:w w:val="95"/>
        </w:rPr>
        <w:t>and</w:t>
      </w:r>
      <w:r>
        <w:rPr>
          <w:spacing w:val="-2"/>
          <w:w w:val="95"/>
        </w:rPr>
        <w:t xml:space="preserve"> </w:t>
      </w:r>
      <w:r>
        <w:rPr>
          <w:w w:val="95"/>
        </w:rPr>
        <w:t>water</w:t>
      </w:r>
      <w:r>
        <w:rPr>
          <w:spacing w:val="-2"/>
          <w:w w:val="95"/>
        </w:rPr>
        <w:t xml:space="preserve"> </w:t>
      </w:r>
      <w:r>
        <w:rPr>
          <w:w w:val="95"/>
        </w:rPr>
        <w:t>restriction savings may be more difficult and costly to achieve and</w:t>
      </w:r>
    </w:p>
    <w:p w:rsidR="002C1123" w:rsidRDefault="00F22F94">
      <w:pPr>
        <w:spacing w:before="35"/>
        <w:ind w:left="1260"/>
        <w:rPr>
          <w:sz w:val="16"/>
        </w:rPr>
      </w:pPr>
      <w:r>
        <w:br w:type="column"/>
      </w:r>
      <w:r>
        <w:rPr>
          <w:w w:val="75"/>
          <w:sz w:val="16"/>
        </w:rPr>
        <w:t>Sydney</w:t>
      </w:r>
      <w:r>
        <w:rPr>
          <w:spacing w:val="-7"/>
          <w:sz w:val="16"/>
        </w:rPr>
        <w:t xml:space="preserve"> </w:t>
      </w:r>
      <w:r>
        <w:rPr>
          <w:spacing w:val="-2"/>
          <w:w w:val="80"/>
          <w:sz w:val="16"/>
        </w:rPr>
        <w:t>Water</w:t>
      </w:r>
    </w:p>
    <w:p w:rsidR="002C1123" w:rsidRDefault="002C1123">
      <w:pPr>
        <w:pStyle w:val="BodyText"/>
        <w:spacing w:before="11"/>
        <w:rPr>
          <w:sz w:val="23"/>
        </w:rPr>
      </w:pPr>
    </w:p>
    <w:p w:rsidR="002C1123" w:rsidRDefault="002060EF">
      <w:pPr>
        <w:ind w:left="467"/>
        <w:rPr>
          <w:sz w:val="14"/>
        </w:rPr>
      </w:pPr>
      <w:r>
        <w:pict>
          <v:line id="_x0000_s1823" style="position:absolute;left:0;text-align:left;z-index:251632640;mso-position-horizontal-relative:page" from="331pt,-18.6pt" to="348pt,-18.6pt" strokecolor="#2e3092" strokeweight=".73167mm">
            <w10:wrap anchorx="page"/>
          </v:line>
        </w:pict>
      </w:r>
      <w:r w:rsidR="00F22F94">
        <w:rPr>
          <w:w w:val="95"/>
          <w:sz w:val="14"/>
        </w:rPr>
        <w:t>Source:</w:t>
      </w:r>
      <w:r w:rsidR="00F22F94">
        <w:rPr>
          <w:spacing w:val="9"/>
          <w:sz w:val="14"/>
        </w:rPr>
        <w:t xml:space="preserve"> </w:t>
      </w:r>
      <w:r w:rsidR="00F22F94">
        <w:rPr>
          <w:spacing w:val="-2"/>
          <w:sz w:val="14"/>
        </w:rPr>
        <w:t>IPART.</w:t>
      </w:r>
    </w:p>
    <w:p w:rsidR="002C1123" w:rsidRDefault="00F22F94">
      <w:pPr>
        <w:spacing w:before="35"/>
        <w:ind w:left="492"/>
        <w:rPr>
          <w:sz w:val="16"/>
        </w:rPr>
      </w:pPr>
      <w:r>
        <w:br w:type="column"/>
      </w:r>
      <w:r>
        <w:rPr>
          <w:w w:val="75"/>
          <w:sz w:val="16"/>
        </w:rPr>
        <w:t>Hunter</w:t>
      </w:r>
      <w:r>
        <w:rPr>
          <w:spacing w:val="7"/>
          <w:sz w:val="16"/>
        </w:rPr>
        <w:t xml:space="preserve"> </w:t>
      </w:r>
      <w:r>
        <w:rPr>
          <w:spacing w:val="-4"/>
          <w:w w:val="85"/>
          <w:sz w:val="16"/>
        </w:rPr>
        <w:t>Water</w:t>
      </w:r>
    </w:p>
    <w:p w:rsidR="002C1123" w:rsidRDefault="00F22F94">
      <w:pPr>
        <w:pStyle w:val="BodyText"/>
        <w:spacing w:before="5"/>
        <w:ind w:left="775"/>
      </w:pPr>
      <w:r>
        <w:br w:type="column"/>
      </w:r>
      <w:r>
        <w:rPr>
          <w:w w:val="95"/>
        </w:rPr>
        <w:t>capacity</w:t>
      </w:r>
      <w:r>
        <w:rPr>
          <w:spacing w:val="-1"/>
        </w:rPr>
        <w:t xml:space="preserve"> </w:t>
      </w:r>
      <w:r>
        <w:rPr>
          <w:w w:val="95"/>
        </w:rPr>
        <w:t>to</w:t>
      </w:r>
      <w:r>
        <w:rPr>
          <w:spacing w:val="-1"/>
        </w:rPr>
        <w:t xml:space="preserve"> </w:t>
      </w:r>
      <w:r>
        <w:rPr>
          <w:w w:val="95"/>
        </w:rPr>
        <w:t>36</w:t>
      </w:r>
      <w:r>
        <w:rPr>
          <w:spacing w:val="-1"/>
        </w:rPr>
        <w:t xml:space="preserve"> </w:t>
      </w:r>
      <w:r>
        <w:rPr>
          <w:spacing w:val="-2"/>
          <w:w w:val="95"/>
        </w:rPr>
        <w:t>percent</w:t>
      </w:r>
    </w:p>
    <w:p w:rsidR="002C1123" w:rsidRDefault="00F22F94">
      <w:pPr>
        <w:pStyle w:val="ListParagraph"/>
        <w:numPr>
          <w:ilvl w:val="0"/>
          <w:numId w:val="53"/>
        </w:numPr>
        <w:tabs>
          <w:tab w:val="left" w:pos="776"/>
        </w:tabs>
        <w:spacing w:before="83" w:line="249" w:lineRule="auto"/>
        <w:ind w:right="753"/>
        <w:rPr>
          <w:sz w:val="20"/>
        </w:rPr>
      </w:pPr>
      <w:r>
        <w:rPr>
          <w:sz w:val="20"/>
        </w:rPr>
        <w:t xml:space="preserve">further drought response measures or </w:t>
      </w:r>
      <w:r>
        <w:rPr>
          <w:w w:val="95"/>
          <w:sz w:val="20"/>
        </w:rPr>
        <w:t>augmentations such as additional recycling schemes</w:t>
      </w:r>
    </w:p>
    <w:p w:rsidR="002C1123" w:rsidRDefault="002C1123">
      <w:pPr>
        <w:spacing w:line="249" w:lineRule="auto"/>
        <w:rPr>
          <w:sz w:val="20"/>
        </w:rPr>
        <w:sectPr w:rsidR="002C1123">
          <w:type w:val="continuous"/>
          <w:pgSz w:w="16840" w:h="11910" w:orient="landscape"/>
          <w:pgMar w:top="560" w:right="280" w:bottom="280" w:left="500" w:header="0" w:footer="517" w:gutter="0"/>
          <w:cols w:num="4" w:space="720" w:equalWidth="0">
            <w:col w:w="5245" w:space="40"/>
            <w:col w:w="2080" w:space="160"/>
            <w:col w:w="1282" w:space="1246"/>
            <w:col w:w="6007"/>
          </w:cols>
        </w:sectPr>
      </w:pPr>
    </w:p>
    <w:p w:rsidR="002C1123" w:rsidRDefault="00F22F94">
      <w:pPr>
        <w:pStyle w:val="BodyText"/>
        <w:spacing w:before="6"/>
        <w:ind w:left="492"/>
      </w:pPr>
      <w:r>
        <w:rPr>
          <w:w w:val="95"/>
        </w:rPr>
        <w:t>more</w:t>
      </w:r>
      <w:r>
        <w:rPr>
          <w:spacing w:val="-3"/>
          <w:w w:val="95"/>
        </w:rPr>
        <w:t xml:space="preserve"> </w:t>
      </w:r>
      <w:r>
        <w:rPr>
          <w:w w:val="95"/>
        </w:rPr>
        <w:t>difficult</w:t>
      </w:r>
      <w:r>
        <w:rPr>
          <w:spacing w:val="-3"/>
          <w:w w:val="95"/>
        </w:rPr>
        <w:t xml:space="preserve"> </w:t>
      </w:r>
      <w:r>
        <w:rPr>
          <w:w w:val="95"/>
        </w:rPr>
        <w:t>to</w:t>
      </w:r>
      <w:r>
        <w:rPr>
          <w:spacing w:val="-3"/>
          <w:w w:val="95"/>
        </w:rPr>
        <w:t xml:space="preserve"> </w:t>
      </w:r>
      <w:r>
        <w:rPr>
          <w:spacing w:val="-2"/>
          <w:w w:val="95"/>
        </w:rPr>
        <w:t>estimate.</w:t>
      </w:r>
    </w:p>
    <w:p w:rsidR="002C1123" w:rsidRDefault="00F22F94">
      <w:pPr>
        <w:pStyle w:val="BodyText"/>
        <w:spacing w:before="152" w:line="249" w:lineRule="auto"/>
        <w:ind w:left="492" w:right="144"/>
      </w:pPr>
      <w:r>
        <w:t>While</w:t>
      </w:r>
      <w:r>
        <w:rPr>
          <w:spacing w:val="-14"/>
        </w:rPr>
        <w:t xml:space="preserve"> </w:t>
      </w:r>
      <w:r>
        <w:t>demand</w:t>
      </w:r>
      <w:r>
        <w:rPr>
          <w:spacing w:val="-14"/>
        </w:rPr>
        <w:t xml:space="preserve"> </w:t>
      </w:r>
      <w:r>
        <w:t>has</w:t>
      </w:r>
      <w:r>
        <w:rPr>
          <w:spacing w:val="-14"/>
        </w:rPr>
        <w:t xml:space="preserve"> </w:t>
      </w:r>
      <w:r>
        <w:t>fallen,</w:t>
      </w:r>
      <w:r>
        <w:rPr>
          <w:spacing w:val="-14"/>
        </w:rPr>
        <w:t xml:space="preserve"> </w:t>
      </w:r>
      <w:r>
        <w:t>total</w:t>
      </w:r>
      <w:r>
        <w:rPr>
          <w:spacing w:val="-14"/>
        </w:rPr>
        <w:t xml:space="preserve"> </w:t>
      </w:r>
      <w:r>
        <w:t>water</w:t>
      </w:r>
      <w:r>
        <w:rPr>
          <w:spacing w:val="-14"/>
        </w:rPr>
        <w:t xml:space="preserve"> </w:t>
      </w:r>
      <w:r>
        <w:t>bills</w:t>
      </w:r>
      <w:r>
        <w:rPr>
          <w:spacing w:val="-14"/>
        </w:rPr>
        <w:t xml:space="preserve"> </w:t>
      </w:r>
      <w:r>
        <w:t xml:space="preserve">remained </w:t>
      </w:r>
      <w:r>
        <w:rPr>
          <w:w w:val="95"/>
        </w:rPr>
        <w:t>relatively</w:t>
      </w:r>
      <w:r>
        <w:rPr>
          <w:spacing w:val="-12"/>
          <w:w w:val="95"/>
        </w:rPr>
        <w:t xml:space="preserve"> </w:t>
      </w:r>
      <w:r>
        <w:rPr>
          <w:w w:val="95"/>
        </w:rPr>
        <w:t>stable</w:t>
      </w:r>
      <w:r>
        <w:rPr>
          <w:spacing w:val="-11"/>
          <w:w w:val="95"/>
        </w:rPr>
        <w:t xml:space="preserve"> </w:t>
      </w:r>
      <w:r>
        <w:rPr>
          <w:w w:val="95"/>
        </w:rPr>
        <w:t>due</w:t>
      </w:r>
      <w:r>
        <w:rPr>
          <w:spacing w:val="-11"/>
          <w:w w:val="95"/>
        </w:rPr>
        <w:t xml:space="preserve"> </w:t>
      </w:r>
      <w:r>
        <w:rPr>
          <w:w w:val="95"/>
        </w:rPr>
        <w:t>to</w:t>
      </w:r>
      <w:r>
        <w:rPr>
          <w:spacing w:val="-11"/>
          <w:w w:val="95"/>
        </w:rPr>
        <w:t xml:space="preserve"> </w:t>
      </w:r>
      <w:r>
        <w:rPr>
          <w:w w:val="95"/>
        </w:rPr>
        <w:t>the</w:t>
      </w:r>
      <w:r>
        <w:rPr>
          <w:spacing w:val="-11"/>
          <w:w w:val="95"/>
        </w:rPr>
        <w:t xml:space="preserve"> </w:t>
      </w:r>
      <w:r>
        <w:rPr>
          <w:w w:val="95"/>
        </w:rPr>
        <w:t>falling</w:t>
      </w:r>
      <w:r>
        <w:rPr>
          <w:spacing w:val="-11"/>
          <w:w w:val="95"/>
        </w:rPr>
        <w:t xml:space="preserve"> </w:t>
      </w:r>
      <w:r>
        <w:rPr>
          <w:w w:val="95"/>
        </w:rPr>
        <w:t>regulated</w:t>
      </w:r>
      <w:r>
        <w:rPr>
          <w:spacing w:val="-11"/>
          <w:w w:val="95"/>
        </w:rPr>
        <w:t xml:space="preserve"> </w:t>
      </w:r>
      <w:r>
        <w:rPr>
          <w:w w:val="95"/>
        </w:rPr>
        <w:t>price,</w:t>
      </w:r>
      <w:r>
        <w:rPr>
          <w:spacing w:val="-11"/>
          <w:w w:val="95"/>
        </w:rPr>
        <w:t xml:space="preserve"> </w:t>
      </w:r>
      <w:r>
        <w:rPr>
          <w:w w:val="95"/>
        </w:rPr>
        <w:t>until the</w:t>
      </w:r>
      <w:r>
        <w:rPr>
          <w:spacing w:val="-1"/>
          <w:w w:val="95"/>
        </w:rPr>
        <w:t xml:space="preserve"> </w:t>
      </w:r>
      <w:r>
        <w:rPr>
          <w:w w:val="95"/>
        </w:rPr>
        <w:t>2008-12</w:t>
      </w:r>
      <w:r>
        <w:rPr>
          <w:spacing w:val="-1"/>
          <w:w w:val="95"/>
        </w:rPr>
        <w:t xml:space="preserve"> </w:t>
      </w:r>
      <w:r>
        <w:rPr>
          <w:w w:val="95"/>
        </w:rPr>
        <w:t>Sydney</w:t>
      </w:r>
      <w:r>
        <w:rPr>
          <w:spacing w:val="-1"/>
          <w:w w:val="95"/>
        </w:rPr>
        <w:t xml:space="preserve"> </w:t>
      </w:r>
      <w:r>
        <w:rPr>
          <w:w w:val="95"/>
        </w:rPr>
        <w:t>Water</w:t>
      </w:r>
      <w:r>
        <w:rPr>
          <w:spacing w:val="-1"/>
          <w:w w:val="95"/>
        </w:rPr>
        <w:t xml:space="preserve"> </w:t>
      </w:r>
      <w:r>
        <w:rPr>
          <w:w w:val="95"/>
        </w:rPr>
        <w:t>and</w:t>
      </w:r>
      <w:r>
        <w:rPr>
          <w:spacing w:val="-1"/>
          <w:w w:val="95"/>
        </w:rPr>
        <w:t xml:space="preserve"> </w:t>
      </w:r>
      <w:r>
        <w:rPr>
          <w:w w:val="95"/>
        </w:rPr>
        <w:t>Hunter</w:t>
      </w:r>
      <w:r>
        <w:rPr>
          <w:spacing w:val="-1"/>
          <w:w w:val="95"/>
        </w:rPr>
        <w:t xml:space="preserve"> </w:t>
      </w:r>
      <w:r>
        <w:rPr>
          <w:w w:val="95"/>
        </w:rPr>
        <w:t>Water</w:t>
      </w:r>
      <w:r>
        <w:rPr>
          <w:spacing w:val="-1"/>
          <w:w w:val="95"/>
        </w:rPr>
        <w:t xml:space="preserve"> </w:t>
      </w:r>
      <w:r>
        <w:rPr>
          <w:w w:val="95"/>
        </w:rPr>
        <w:t>pricing</w:t>
      </w:r>
    </w:p>
    <w:p w:rsidR="002C1123" w:rsidRDefault="00F22F94">
      <w:pPr>
        <w:pStyle w:val="BodyText"/>
        <w:spacing w:before="2" w:line="249" w:lineRule="auto"/>
        <w:ind w:left="492"/>
        <w:jc w:val="both"/>
      </w:pPr>
      <w:r>
        <w:rPr>
          <w:w w:val="95"/>
        </w:rPr>
        <w:t>determinations.</w:t>
      </w:r>
      <w:r>
        <w:rPr>
          <w:spacing w:val="-4"/>
          <w:w w:val="95"/>
        </w:rPr>
        <w:t xml:space="preserve"> </w:t>
      </w:r>
      <w:r>
        <w:rPr>
          <w:w w:val="95"/>
        </w:rPr>
        <w:t>Sydney</w:t>
      </w:r>
      <w:r>
        <w:rPr>
          <w:spacing w:val="-4"/>
          <w:w w:val="95"/>
        </w:rPr>
        <w:t xml:space="preserve"> </w:t>
      </w:r>
      <w:r>
        <w:rPr>
          <w:w w:val="95"/>
        </w:rPr>
        <w:t>prices</w:t>
      </w:r>
      <w:r>
        <w:rPr>
          <w:spacing w:val="-4"/>
          <w:w w:val="95"/>
        </w:rPr>
        <w:t xml:space="preserve"> </w:t>
      </w:r>
      <w:r>
        <w:rPr>
          <w:w w:val="95"/>
        </w:rPr>
        <w:t>increased</w:t>
      </w:r>
      <w:r>
        <w:rPr>
          <w:spacing w:val="-4"/>
          <w:w w:val="95"/>
        </w:rPr>
        <w:t xml:space="preserve"> </w:t>
      </w:r>
      <w:r>
        <w:rPr>
          <w:w w:val="95"/>
        </w:rPr>
        <w:t>sharply</w:t>
      </w:r>
      <w:r>
        <w:rPr>
          <w:spacing w:val="-4"/>
          <w:w w:val="95"/>
        </w:rPr>
        <w:t xml:space="preserve"> </w:t>
      </w:r>
      <w:r>
        <w:rPr>
          <w:w w:val="95"/>
        </w:rPr>
        <w:t>in</w:t>
      </w:r>
      <w:r>
        <w:rPr>
          <w:spacing w:val="-4"/>
          <w:w w:val="95"/>
        </w:rPr>
        <w:t xml:space="preserve"> </w:t>
      </w:r>
      <w:r>
        <w:rPr>
          <w:w w:val="95"/>
        </w:rPr>
        <w:t xml:space="preserve">2008 when the allowed capital included the desalination plant. </w:t>
      </w:r>
      <w:r>
        <w:t>This</w:t>
      </w:r>
      <w:r>
        <w:rPr>
          <w:spacing w:val="-14"/>
        </w:rPr>
        <w:t xml:space="preserve"> </w:t>
      </w:r>
      <w:r>
        <w:t>is</w:t>
      </w:r>
      <w:r>
        <w:rPr>
          <w:spacing w:val="-14"/>
        </w:rPr>
        <w:t xml:space="preserve"> </w:t>
      </w:r>
      <w:r>
        <w:t>shown</w:t>
      </w:r>
      <w:r>
        <w:rPr>
          <w:spacing w:val="-14"/>
        </w:rPr>
        <w:t xml:space="preserve"> </w:t>
      </w:r>
      <w:r>
        <w:t>in</w:t>
      </w:r>
      <w:r>
        <w:rPr>
          <w:spacing w:val="-14"/>
        </w:rPr>
        <w:t xml:space="preserve"> </w:t>
      </w:r>
      <w:r>
        <w:t>the</w:t>
      </w:r>
      <w:r>
        <w:rPr>
          <w:spacing w:val="-14"/>
        </w:rPr>
        <w:t xml:space="preserve"> </w:t>
      </w:r>
      <w:r>
        <w:t>Figure</w:t>
      </w:r>
      <w:r>
        <w:rPr>
          <w:spacing w:val="-14"/>
        </w:rPr>
        <w:t xml:space="preserve"> </w:t>
      </w:r>
      <w:r>
        <w:t>12.1.</w:t>
      </w:r>
    </w:p>
    <w:p w:rsidR="002C1123" w:rsidRDefault="00F22F94">
      <w:pPr>
        <w:pStyle w:val="Heading6"/>
        <w:numPr>
          <w:ilvl w:val="2"/>
          <w:numId w:val="55"/>
        </w:numPr>
        <w:tabs>
          <w:tab w:val="left" w:pos="798"/>
        </w:tabs>
        <w:spacing w:before="79"/>
        <w:ind w:left="797" w:hanging="596"/>
        <w:jc w:val="left"/>
        <w:rPr>
          <w:color w:val="00AEEF"/>
        </w:rPr>
      </w:pPr>
      <w:r>
        <w:rPr>
          <w:b w:val="0"/>
        </w:rPr>
        <w:br w:type="column"/>
      </w:r>
      <w:r>
        <w:rPr>
          <w:color w:val="00AEEF"/>
          <w:spacing w:val="-2"/>
        </w:rPr>
        <w:t>Metropolitan</w:t>
      </w:r>
      <w:r>
        <w:rPr>
          <w:color w:val="00AEEF"/>
          <w:spacing w:val="-4"/>
        </w:rPr>
        <w:t xml:space="preserve"> </w:t>
      </w:r>
      <w:r>
        <w:rPr>
          <w:color w:val="00AEEF"/>
          <w:spacing w:val="-2"/>
        </w:rPr>
        <w:t>strategy</w:t>
      </w:r>
    </w:p>
    <w:p w:rsidR="002C1123" w:rsidRDefault="00F22F94">
      <w:pPr>
        <w:pStyle w:val="BodyText"/>
        <w:spacing w:before="95" w:line="249" w:lineRule="auto"/>
        <w:ind w:left="202"/>
      </w:pPr>
      <w:r>
        <w:rPr>
          <w:w w:val="95"/>
        </w:rPr>
        <w:t xml:space="preserve">The Sydney metropolitan water supply and wastewater sector is in reasonable shape with respect to meeting </w:t>
      </w:r>
      <w:r>
        <w:rPr>
          <w:spacing w:val="-2"/>
        </w:rPr>
        <w:t>future</w:t>
      </w:r>
      <w:r>
        <w:rPr>
          <w:spacing w:val="-10"/>
        </w:rPr>
        <w:t xml:space="preserve"> </w:t>
      </w:r>
      <w:r>
        <w:rPr>
          <w:spacing w:val="-2"/>
        </w:rPr>
        <w:t>short</w:t>
      </w:r>
      <w:r>
        <w:rPr>
          <w:spacing w:val="-10"/>
        </w:rPr>
        <w:t xml:space="preserve"> </w:t>
      </w:r>
      <w:r>
        <w:rPr>
          <w:spacing w:val="-2"/>
        </w:rPr>
        <w:t>term</w:t>
      </w:r>
      <w:r>
        <w:rPr>
          <w:spacing w:val="-10"/>
        </w:rPr>
        <w:t xml:space="preserve"> </w:t>
      </w:r>
      <w:r>
        <w:rPr>
          <w:spacing w:val="-2"/>
        </w:rPr>
        <w:t>growth</w:t>
      </w:r>
      <w:r>
        <w:rPr>
          <w:spacing w:val="-10"/>
        </w:rPr>
        <w:t xml:space="preserve"> </w:t>
      </w:r>
      <w:r>
        <w:rPr>
          <w:spacing w:val="-2"/>
        </w:rPr>
        <w:t>in</w:t>
      </w:r>
      <w:r>
        <w:rPr>
          <w:spacing w:val="-10"/>
        </w:rPr>
        <w:t xml:space="preserve"> </w:t>
      </w:r>
      <w:r>
        <w:rPr>
          <w:spacing w:val="-2"/>
        </w:rPr>
        <w:t>demand</w:t>
      </w:r>
      <w:r>
        <w:rPr>
          <w:spacing w:val="-10"/>
        </w:rPr>
        <w:t xml:space="preserve"> </w:t>
      </w:r>
      <w:r>
        <w:rPr>
          <w:spacing w:val="-2"/>
        </w:rPr>
        <w:t>from</w:t>
      </w:r>
      <w:r>
        <w:rPr>
          <w:spacing w:val="-10"/>
        </w:rPr>
        <w:t xml:space="preserve"> </w:t>
      </w:r>
      <w:r>
        <w:rPr>
          <w:spacing w:val="-2"/>
        </w:rPr>
        <w:t xml:space="preserve">forecast </w:t>
      </w:r>
      <w:r>
        <w:rPr>
          <w:w w:val="95"/>
        </w:rPr>
        <w:t>population</w:t>
      </w:r>
      <w:r>
        <w:rPr>
          <w:spacing w:val="-1"/>
          <w:w w:val="95"/>
        </w:rPr>
        <w:t xml:space="preserve"> </w:t>
      </w:r>
      <w:r>
        <w:rPr>
          <w:w w:val="95"/>
        </w:rPr>
        <w:t>increases</w:t>
      </w:r>
      <w:r>
        <w:rPr>
          <w:spacing w:val="-1"/>
          <w:w w:val="95"/>
        </w:rPr>
        <w:t xml:space="preserve"> </w:t>
      </w:r>
      <w:r>
        <w:rPr>
          <w:w w:val="95"/>
        </w:rPr>
        <w:t>due</w:t>
      </w:r>
      <w:r>
        <w:rPr>
          <w:spacing w:val="-1"/>
          <w:w w:val="95"/>
        </w:rPr>
        <w:t xml:space="preserve"> </w:t>
      </w:r>
      <w:r>
        <w:rPr>
          <w:w w:val="95"/>
        </w:rPr>
        <w:t>to</w:t>
      </w:r>
      <w:r>
        <w:rPr>
          <w:spacing w:val="-1"/>
          <w:w w:val="95"/>
        </w:rPr>
        <w:t xml:space="preserve"> </w:t>
      </w:r>
      <w:r>
        <w:rPr>
          <w:w w:val="95"/>
        </w:rPr>
        <w:t>high</w:t>
      </w:r>
      <w:r>
        <w:rPr>
          <w:spacing w:val="-1"/>
          <w:w w:val="95"/>
        </w:rPr>
        <w:t xml:space="preserve"> </w:t>
      </w:r>
      <w:r>
        <w:rPr>
          <w:w w:val="95"/>
        </w:rPr>
        <w:t>levels</w:t>
      </w:r>
      <w:r>
        <w:rPr>
          <w:spacing w:val="-1"/>
          <w:w w:val="95"/>
        </w:rPr>
        <w:t xml:space="preserve"> </w:t>
      </w:r>
      <w:r>
        <w:rPr>
          <w:w w:val="95"/>
        </w:rPr>
        <w:t>of</w:t>
      </w:r>
      <w:r>
        <w:rPr>
          <w:spacing w:val="-1"/>
          <w:w w:val="95"/>
        </w:rPr>
        <w:t xml:space="preserve"> </w:t>
      </w:r>
      <w:r>
        <w:rPr>
          <w:w w:val="95"/>
        </w:rPr>
        <w:t xml:space="preserve">capital </w:t>
      </w:r>
      <w:r>
        <w:rPr>
          <w:w w:val="90"/>
        </w:rPr>
        <w:t xml:space="preserve">investment in desalination, accessing deep water storages </w:t>
      </w:r>
      <w:r>
        <w:rPr>
          <w:w w:val="95"/>
        </w:rPr>
        <w:t>and demand management programs during the recent prolonged drought. The desalination supply is climate independent; the capacity could be expanded to provide</w:t>
      </w:r>
    </w:p>
    <w:p w:rsidR="002C1123" w:rsidRDefault="00F22F94">
      <w:pPr>
        <w:pStyle w:val="ListParagraph"/>
        <w:numPr>
          <w:ilvl w:val="3"/>
          <w:numId w:val="55"/>
        </w:numPr>
        <w:tabs>
          <w:tab w:val="left" w:pos="490"/>
        </w:tabs>
        <w:spacing w:line="208" w:lineRule="exact"/>
        <w:ind w:hanging="285"/>
        <w:rPr>
          <w:sz w:val="20"/>
        </w:rPr>
      </w:pPr>
      <w:r>
        <w:br w:type="column"/>
      </w:r>
      <w:r>
        <w:rPr>
          <w:w w:val="95"/>
          <w:sz w:val="20"/>
        </w:rPr>
        <w:t>augmentation</w:t>
      </w:r>
      <w:r>
        <w:rPr>
          <w:spacing w:val="-7"/>
          <w:w w:val="95"/>
          <w:sz w:val="20"/>
        </w:rPr>
        <w:t xml:space="preserve"> </w:t>
      </w:r>
      <w:r>
        <w:rPr>
          <w:w w:val="95"/>
          <w:sz w:val="20"/>
        </w:rPr>
        <w:t>of</w:t>
      </w:r>
      <w:r>
        <w:rPr>
          <w:spacing w:val="-6"/>
          <w:w w:val="95"/>
          <w:sz w:val="20"/>
        </w:rPr>
        <w:t xml:space="preserve"> </w:t>
      </w:r>
      <w:r>
        <w:rPr>
          <w:w w:val="95"/>
          <w:sz w:val="20"/>
        </w:rPr>
        <w:t>existing</w:t>
      </w:r>
      <w:r>
        <w:rPr>
          <w:spacing w:val="-6"/>
          <w:w w:val="95"/>
          <w:sz w:val="20"/>
        </w:rPr>
        <w:t xml:space="preserve"> </w:t>
      </w:r>
      <w:r>
        <w:rPr>
          <w:spacing w:val="-4"/>
          <w:w w:val="95"/>
          <w:sz w:val="20"/>
        </w:rPr>
        <w:t>dams</w:t>
      </w:r>
    </w:p>
    <w:p w:rsidR="002C1123" w:rsidRDefault="00F22F94">
      <w:pPr>
        <w:pStyle w:val="ListParagraph"/>
        <w:numPr>
          <w:ilvl w:val="3"/>
          <w:numId w:val="55"/>
        </w:numPr>
        <w:tabs>
          <w:tab w:val="left" w:pos="490"/>
        </w:tabs>
        <w:spacing w:before="82" w:line="249" w:lineRule="auto"/>
        <w:ind w:right="745" w:hanging="284"/>
        <w:rPr>
          <w:sz w:val="20"/>
        </w:rPr>
      </w:pPr>
      <w:r>
        <w:rPr>
          <w:w w:val="95"/>
          <w:sz w:val="20"/>
        </w:rPr>
        <w:t>expansion</w:t>
      </w:r>
      <w:r>
        <w:rPr>
          <w:spacing w:val="-8"/>
          <w:w w:val="95"/>
          <w:sz w:val="20"/>
        </w:rPr>
        <w:t xml:space="preserve"> </w:t>
      </w:r>
      <w:r>
        <w:rPr>
          <w:w w:val="95"/>
          <w:sz w:val="20"/>
        </w:rPr>
        <w:t>of</w:t>
      </w:r>
      <w:r>
        <w:rPr>
          <w:spacing w:val="-8"/>
          <w:w w:val="95"/>
          <w:sz w:val="20"/>
        </w:rPr>
        <w:t xml:space="preserve"> </w:t>
      </w:r>
      <w:r>
        <w:rPr>
          <w:w w:val="95"/>
          <w:sz w:val="20"/>
        </w:rPr>
        <w:t>the</w:t>
      </w:r>
      <w:r>
        <w:rPr>
          <w:spacing w:val="-8"/>
          <w:w w:val="95"/>
          <w:sz w:val="20"/>
        </w:rPr>
        <w:t xml:space="preserve"> </w:t>
      </w:r>
      <w:r>
        <w:rPr>
          <w:w w:val="95"/>
          <w:sz w:val="20"/>
        </w:rPr>
        <w:t>Shoalhaven</w:t>
      </w:r>
      <w:r>
        <w:rPr>
          <w:spacing w:val="-8"/>
          <w:w w:val="95"/>
          <w:sz w:val="20"/>
        </w:rPr>
        <w:t xml:space="preserve"> </w:t>
      </w:r>
      <w:r>
        <w:rPr>
          <w:w w:val="95"/>
          <w:sz w:val="20"/>
        </w:rPr>
        <w:t>transfer</w:t>
      </w:r>
      <w:r>
        <w:rPr>
          <w:spacing w:val="-8"/>
          <w:w w:val="95"/>
          <w:sz w:val="20"/>
        </w:rPr>
        <w:t xml:space="preserve"> </w:t>
      </w:r>
      <w:r>
        <w:rPr>
          <w:w w:val="95"/>
          <w:sz w:val="20"/>
        </w:rPr>
        <w:t>tunnel</w:t>
      </w:r>
      <w:r>
        <w:rPr>
          <w:spacing w:val="-8"/>
          <w:w w:val="95"/>
          <w:sz w:val="20"/>
        </w:rPr>
        <w:t xml:space="preserve"> </w:t>
      </w:r>
      <w:r>
        <w:rPr>
          <w:w w:val="95"/>
          <w:sz w:val="20"/>
        </w:rPr>
        <w:t xml:space="preserve">between </w:t>
      </w:r>
      <w:r>
        <w:rPr>
          <w:sz w:val="20"/>
        </w:rPr>
        <w:t>Burrawang</w:t>
      </w:r>
      <w:r>
        <w:rPr>
          <w:spacing w:val="-10"/>
          <w:sz w:val="20"/>
        </w:rPr>
        <w:t xml:space="preserve"> </w:t>
      </w:r>
      <w:r>
        <w:rPr>
          <w:sz w:val="20"/>
        </w:rPr>
        <w:t>and</w:t>
      </w:r>
      <w:r>
        <w:rPr>
          <w:spacing w:val="-10"/>
          <w:sz w:val="20"/>
        </w:rPr>
        <w:t xml:space="preserve"> </w:t>
      </w:r>
      <w:r>
        <w:rPr>
          <w:sz w:val="20"/>
        </w:rPr>
        <w:t>Avon</w:t>
      </w:r>
      <w:r>
        <w:rPr>
          <w:spacing w:val="-10"/>
          <w:sz w:val="20"/>
        </w:rPr>
        <w:t xml:space="preserve"> </w:t>
      </w:r>
      <w:r>
        <w:rPr>
          <w:sz w:val="20"/>
        </w:rPr>
        <w:t>Dam</w:t>
      </w:r>
      <w:r>
        <w:rPr>
          <w:spacing w:val="-11"/>
          <w:sz w:val="20"/>
        </w:rPr>
        <w:t xml:space="preserve"> </w:t>
      </w:r>
      <w:r>
        <w:rPr>
          <w:sz w:val="20"/>
        </w:rPr>
        <w:t>(to</w:t>
      </w:r>
      <w:r>
        <w:rPr>
          <w:spacing w:val="-10"/>
          <w:sz w:val="20"/>
        </w:rPr>
        <w:t xml:space="preserve"> </w:t>
      </w:r>
      <w:r>
        <w:rPr>
          <w:sz w:val="20"/>
        </w:rPr>
        <w:t>operate</w:t>
      </w:r>
      <w:r>
        <w:rPr>
          <w:spacing w:val="-10"/>
          <w:sz w:val="20"/>
        </w:rPr>
        <w:t xml:space="preserve"> </w:t>
      </w:r>
      <w:r>
        <w:rPr>
          <w:sz w:val="20"/>
        </w:rPr>
        <w:t>when</w:t>
      </w:r>
      <w:r>
        <w:rPr>
          <w:spacing w:val="-10"/>
          <w:sz w:val="20"/>
        </w:rPr>
        <w:t xml:space="preserve"> </w:t>
      </w:r>
      <w:r>
        <w:rPr>
          <w:sz w:val="20"/>
        </w:rPr>
        <w:t>dam levels</w:t>
      </w:r>
      <w:r>
        <w:rPr>
          <w:spacing w:val="-7"/>
          <w:sz w:val="20"/>
        </w:rPr>
        <w:t xml:space="preserve"> </w:t>
      </w:r>
      <w:r>
        <w:rPr>
          <w:sz w:val="20"/>
        </w:rPr>
        <w:t>fall</w:t>
      </w:r>
      <w:r>
        <w:rPr>
          <w:spacing w:val="-7"/>
          <w:sz w:val="20"/>
        </w:rPr>
        <w:t xml:space="preserve"> </w:t>
      </w:r>
      <w:r>
        <w:rPr>
          <w:sz w:val="20"/>
        </w:rPr>
        <w:t>below</w:t>
      </w:r>
      <w:r>
        <w:rPr>
          <w:spacing w:val="-7"/>
          <w:sz w:val="20"/>
        </w:rPr>
        <w:t xml:space="preserve"> </w:t>
      </w:r>
      <w:r>
        <w:rPr>
          <w:sz w:val="20"/>
        </w:rPr>
        <w:t>85</w:t>
      </w:r>
      <w:r>
        <w:rPr>
          <w:spacing w:val="-7"/>
          <w:sz w:val="20"/>
        </w:rPr>
        <w:t xml:space="preserve"> </w:t>
      </w:r>
      <w:r>
        <w:rPr>
          <w:sz w:val="20"/>
        </w:rPr>
        <w:t>percent</w:t>
      </w:r>
      <w:r>
        <w:rPr>
          <w:spacing w:val="-7"/>
          <w:sz w:val="20"/>
        </w:rPr>
        <w:t xml:space="preserve"> </w:t>
      </w:r>
      <w:r>
        <w:rPr>
          <w:sz w:val="20"/>
        </w:rPr>
        <w:t>compared</w:t>
      </w:r>
      <w:r>
        <w:rPr>
          <w:spacing w:val="-7"/>
          <w:sz w:val="20"/>
        </w:rPr>
        <w:t xml:space="preserve"> </w:t>
      </w:r>
      <w:r>
        <w:rPr>
          <w:sz w:val="20"/>
        </w:rPr>
        <w:t>to</w:t>
      </w:r>
      <w:r>
        <w:rPr>
          <w:spacing w:val="-7"/>
          <w:sz w:val="20"/>
        </w:rPr>
        <w:t xml:space="preserve"> </w:t>
      </w:r>
      <w:r>
        <w:rPr>
          <w:sz w:val="20"/>
        </w:rPr>
        <w:t>current</w:t>
      </w:r>
    </w:p>
    <w:p w:rsidR="002C1123" w:rsidRDefault="00F22F94">
      <w:pPr>
        <w:pStyle w:val="BodyText"/>
        <w:spacing w:before="2"/>
        <w:ind w:left="489"/>
      </w:pPr>
      <w:r>
        <w:rPr>
          <w:w w:val="95"/>
        </w:rPr>
        <w:t>75</w:t>
      </w:r>
      <w:r>
        <w:rPr>
          <w:spacing w:val="-11"/>
          <w:w w:val="95"/>
        </w:rPr>
        <w:t xml:space="preserve"> </w:t>
      </w:r>
      <w:r>
        <w:rPr>
          <w:spacing w:val="-2"/>
        </w:rPr>
        <w:t>percent)</w:t>
      </w:r>
    </w:p>
    <w:p w:rsidR="002C1123" w:rsidRDefault="00F22F94">
      <w:pPr>
        <w:pStyle w:val="ListParagraph"/>
        <w:numPr>
          <w:ilvl w:val="3"/>
          <w:numId w:val="55"/>
        </w:numPr>
        <w:tabs>
          <w:tab w:val="left" w:pos="490"/>
        </w:tabs>
        <w:spacing w:before="83"/>
        <w:ind w:hanging="285"/>
        <w:rPr>
          <w:sz w:val="20"/>
        </w:rPr>
      </w:pPr>
      <w:r>
        <w:rPr>
          <w:w w:val="95"/>
          <w:sz w:val="20"/>
        </w:rPr>
        <w:t>upgrade</w:t>
      </w:r>
      <w:r>
        <w:rPr>
          <w:spacing w:val="-5"/>
          <w:w w:val="95"/>
          <w:sz w:val="20"/>
        </w:rPr>
        <w:t xml:space="preserve"> </w:t>
      </w:r>
      <w:r>
        <w:rPr>
          <w:w w:val="95"/>
          <w:sz w:val="20"/>
        </w:rPr>
        <w:t>of</w:t>
      </w:r>
      <w:r>
        <w:rPr>
          <w:spacing w:val="-4"/>
          <w:w w:val="95"/>
          <w:sz w:val="20"/>
        </w:rPr>
        <w:t xml:space="preserve"> </w:t>
      </w:r>
      <w:r>
        <w:rPr>
          <w:w w:val="95"/>
          <w:sz w:val="20"/>
        </w:rPr>
        <w:t>the</w:t>
      </w:r>
      <w:r>
        <w:rPr>
          <w:spacing w:val="-5"/>
          <w:w w:val="95"/>
          <w:sz w:val="20"/>
        </w:rPr>
        <w:t xml:space="preserve"> </w:t>
      </w:r>
      <w:r>
        <w:rPr>
          <w:w w:val="95"/>
          <w:sz w:val="20"/>
        </w:rPr>
        <w:t>Upper</w:t>
      </w:r>
      <w:r>
        <w:rPr>
          <w:spacing w:val="-4"/>
          <w:w w:val="95"/>
          <w:sz w:val="20"/>
        </w:rPr>
        <w:t xml:space="preserve"> </w:t>
      </w:r>
      <w:r>
        <w:rPr>
          <w:w w:val="95"/>
          <w:sz w:val="20"/>
        </w:rPr>
        <w:t>Canal</w:t>
      </w:r>
      <w:r>
        <w:rPr>
          <w:spacing w:val="-5"/>
          <w:w w:val="95"/>
          <w:sz w:val="20"/>
        </w:rPr>
        <w:t xml:space="preserve"> </w:t>
      </w:r>
      <w:r>
        <w:rPr>
          <w:w w:val="95"/>
          <w:sz w:val="20"/>
        </w:rPr>
        <w:t>to</w:t>
      </w:r>
      <w:r>
        <w:rPr>
          <w:spacing w:val="-4"/>
          <w:w w:val="95"/>
          <w:sz w:val="20"/>
        </w:rPr>
        <w:t xml:space="preserve"> </w:t>
      </w:r>
      <w:r>
        <w:rPr>
          <w:spacing w:val="-2"/>
          <w:w w:val="95"/>
          <w:sz w:val="20"/>
        </w:rPr>
        <w:t>facilitate</w:t>
      </w:r>
    </w:p>
    <w:p w:rsidR="002C1123" w:rsidRDefault="00F22F94">
      <w:pPr>
        <w:pStyle w:val="BodyText"/>
        <w:spacing w:before="10" w:line="249" w:lineRule="auto"/>
        <w:ind w:left="489" w:right="685"/>
      </w:pPr>
      <w:r>
        <w:rPr>
          <w:w w:val="95"/>
        </w:rPr>
        <w:t>additional</w:t>
      </w:r>
      <w:r>
        <w:rPr>
          <w:spacing w:val="-2"/>
          <w:w w:val="95"/>
        </w:rPr>
        <w:t xml:space="preserve"> </w:t>
      </w:r>
      <w:r>
        <w:rPr>
          <w:w w:val="95"/>
        </w:rPr>
        <w:t>transfers</w:t>
      </w:r>
      <w:r>
        <w:rPr>
          <w:spacing w:val="-2"/>
          <w:w w:val="95"/>
        </w:rPr>
        <w:t xml:space="preserve"> </w:t>
      </w:r>
      <w:r>
        <w:rPr>
          <w:w w:val="95"/>
        </w:rPr>
        <w:t>from</w:t>
      </w:r>
      <w:r>
        <w:rPr>
          <w:spacing w:val="-2"/>
          <w:w w:val="95"/>
        </w:rPr>
        <w:t xml:space="preserve"> </w:t>
      </w:r>
      <w:r>
        <w:rPr>
          <w:w w:val="95"/>
        </w:rPr>
        <w:t>coastal</w:t>
      </w:r>
      <w:r>
        <w:rPr>
          <w:spacing w:val="-2"/>
          <w:w w:val="95"/>
        </w:rPr>
        <w:t xml:space="preserve"> </w:t>
      </w:r>
      <w:r>
        <w:rPr>
          <w:w w:val="95"/>
        </w:rPr>
        <w:t>dams</w:t>
      </w:r>
      <w:r>
        <w:rPr>
          <w:spacing w:val="-2"/>
          <w:w w:val="95"/>
        </w:rPr>
        <w:t xml:space="preserve"> </w:t>
      </w:r>
      <w:r>
        <w:rPr>
          <w:w w:val="95"/>
        </w:rPr>
        <w:t>and</w:t>
      </w:r>
      <w:r>
        <w:rPr>
          <w:spacing w:val="-2"/>
          <w:w w:val="95"/>
        </w:rPr>
        <w:t xml:space="preserve"> </w:t>
      </w:r>
      <w:r>
        <w:rPr>
          <w:w w:val="95"/>
        </w:rPr>
        <w:t xml:space="preserve">provide </w:t>
      </w:r>
      <w:r>
        <w:t>greater</w:t>
      </w:r>
      <w:r>
        <w:rPr>
          <w:spacing w:val="-8"/>
        </w:rPr>
        <w:t xml:space="preserve"> </w:t>
      </w:r>
      <w:r>
        <w:t>redundancy</w:t>
      </w:r>
      <w:r>
        <w:rPr>
          <w:spacing w:val="-8"/>
        </w:rPr>
        <w:t xml:space="preserve"> </w:t>
      </w:r>
      <w:r>
        <w:t>and</w:t>
      </w:r>
      <w:r>
        <w:rPr>
          <w:spacing w:val="-8"/>
        </w:rPr>
        <w:t xml:space="preserve"> </w:t>
      </w:r>
      <w:r>
        <w:t>security</w:t>
      </w:r>
      <w:r>
        <w:rPr>
          <w:spacing w:val="-8"/>
        </w:rPr>
        <w:t xml:space="preserve"> </w:t>
      </w:r>
      <w:r>
        <w:t>for</w:t>
      </w:r>
      <w:r>
        <w:rPr>
          <w:spacing w:val="-8"/>
        </w:rPr>
        <w:t xml:space="preserve"> </w:t>
      </w:r>
      <w:r>
        <w:t>the</w:t>
      </w:r>
      <w:r>
        <w:rPr>
          <w:spacing w:val="-8"/>
        </w:rPr>
        <w:t xml:space="preserve"> </w:t>
      </w:r>
      <w:r>
        <w:t>water supply</w:t>
      </w:r>
      <w:r>
        <w:rPr>
          <w:spacing w:val="-11"/>
        </w:rPr>
        <w:t xml:space="preserve"> </w:t>
      </w:r>
      <w:r>
        <w:t>system.</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277" w:space="40"/>
            <w:col w:w="4984" w:space="39"/>
            <w:col w:w="5720"/>
          </w:cols>
        </w:sectPr>
      </w:pPr>
    </w:p>
    <w:p w:rsidR="002C1123" w:rsidRDefault="00F22F94">
      <w:pPr>
        <w:pStyle w:val="BodyText"/>
        <w:tabs>
          <w:tab w:val="left" w:pos="10545"/>
          <w:tab w:val="left" w:pos="11985"/>
        </w:tabs>
        <w:spacing w:before="6" w:line="219" w:lineRule="exact"/>
        <w:ind w:left="5518"/>
      </w:pPr>
      <w:r>
        <w:rPr>
          <w:w w:val="90"/>
        </w:rPr>
        <w:t>up</w:t>
      </w:r>
      <w:r>
        <w:rPr>
          <w:spacing w:val="1"/>
        </w:rPr>
        <w:t xml:space="preserve"> </w:t>
      </w:r>
      <w:r>
        <w:rPr>
          <w:w w:val="90"/>
        </w:rPr>
        <w:t>to</w:t>
      </w:r>
      <w:r>
        <w:rPr>
          <w:spacing w:val="2"/>
        </w:rPr>
        <w:t xml:space="preserve"> </w:t>
      </w:r>
      <w:r>
        <w:rPr>
          <w:w w:val="90"/>
        </w:rPr>
        <w:t>18</w:t>
      </w:r>
      <w:r>
        <w:rPr>
          <w:spacing w:val="2"/>
        </w:rPr>
        <w:t xml:space="preserve"> </w:t>
      </w:r>
      <w:r>
        <w:rPr>
          <w:w w:val="90"/>
        </w:rPr>
        <w:t>percent</w:t>
      </w:r>
      <w:r>
        <w:rPr>
          <w:spacing w:val="2"/>
        </w:rPr>
        <w:t xml:space="preserve"> </w:t>
      </w:r>
      <w:r>
        <w:rPr>
          <w:w w:val="90"/>
        </w:rPr>
        <w:t>of</w:t>
      </w:r>
      <w:r>
        <w:rPr>
          <w:spacing w:val="2"/>
        </w:rPr>
        <w:t xml:space="preserve"> </w:t>
      </w:r>
      <w:r>
        <w:rPr>
          <w:w w:val="90"/>
        </w:rPr>
        <w:t>demand</w:t>
      </w:r>
      <w:r>
        <w:rPr>
          <w:spacing w:val="2"/>
        </w:rPr>
        <w:t xml:space="preserve"> </w:t>
      </w:r>
      <w:r>
        <w:rPr>
          <w:w w:val="90"/>
        </w:rPr>
        <w:t>and</w:t>
      </w:r>
      <w:r>
        <w:rPr>
          <w:spacing w:val="2"/>
        </w:rPr>
        <w:t xml:space="preserve"> </w:t>
      </w:r>
      <w:r>
        <w:rPr>
          <w:w w:val="90"/>
        </w:rPr>
        <w:t>36</w:t>
      </w:r>
      <w:r>
        <w:rPr>
          <w:spacing w:val="2"/>
        </w:rPr>
        <w:t xml:space="preserve"> </w:t>
      </w:r>
      <w:r>
        <w:rPr>
          <w:w w:val="90"/>
        </w:rPr>
        <w:t>percent</w:t>
      </w:r>
      <w:r>
        <w:rPr>
          <w:spacing w:val="2"/>
        </w:rPr>
        <w:t xml:space="preserve"> </w:t>
      </w:r>
      <w:r>
        <w:rPr>
          <w:w w:val="90"/>
        </w:rPr>
        <w:t>with</w:t>
      </w:r>
      <w:r>
        <w:rPr>
          <w:spacing w:val="2"/>
        </w:rPr>
        <w:t xml:space="preserve"> </w:t>
      </w:r>
      <w:r>
        <w:rPr>
          <w:w w:val="90"/>
        </w:rPr>
        <w:t>Stage</w:t>
      </w:r>
      <w:r>
        <w:rPr>
          <w:spacing w:val="2"/>
        </w:rPr>
        <w:t xml:space="preserve"> </w:t>
      </w:r>
      <w:r>
        <w:rPr>
          <w:spacing w:val="-5"/>
          <w:w w:val="90"/>
        </w:rPr>
        <w:t>2.</w:t>
      </w:r>
      <w:r>
        <w:tab/>
      </w:r>
      <w:r>
        <w:rPr>
          <w:u w:val="single" w:color="9C9C9D"/>
        </w:rPr>
        <w:tab/>
      </w:r>
    </w:p>
    <w:p w:rsidR="002C1123" w:rsidRDefault="00F22F94">
      <w:pPr>
        <w:pStyle w:val="ListParagraph"/>
        <w:numPr>
          <w:ilvl w:val="3"/>
          <w:numId w:val="57"/>
        </w:numPr>
        <w:tabs>
          <w:tab w:val="left" w:pos="10745"/>
        </w:tabs>
        <w:spacing w:line="150" w:lineRule="exact"/>
        <w:ind w:hanging="200"/>
        <w:jc w:val="left"/>
        <w:rPr>
          <w:sz w:val="14"/>
        </w:rPr>
      </w:pPr>
      <w:r>
        <w:rPr>
          <w:w w:val="95"/>
          <w:sz w:val="14"/>
        </w:rPr>
        <w:t>NSW</w:t>
      </w:r>
      <w:r>
        <w:rPr>
          <w:sz w:val="14"/>
        </w:rPr>
        <w:t xml:space="preserve"> </w:t>
      </w:r>
      <w:r>
        <w:rPr>
          <w:w w:val="95"/>
          <w:sz w:val="14"/>
        </w:rPr>
        <w:t>Government</w:t>
      </w:r>
      <w:r>
        <w:rPr>
          <w:spacing w:val="1"/>
          <w:sz w:val="14"/>
        </w:rPr>
        <w:t xml:space="preserve"> </w:t>
      </w:r>
      <w:r>
        <w:rPr>
          <w:w w:val="95"/>
          <w:sz w:val="14"/>
        </w:rPr>
        <w:t>2010,</w:t>
      </w:r>
      <w:r>
        <w:rPr>
          <w:spacing w:val="1"/>
          <w:sz w:val="14"/>
        </w:rPr>
        <w:t xml:space="preserve"> </w:t>
      </w:r>
      <w:r>
        <w:rPr>
          <w:w w:val="95"/>
          <w:sz w:val="14"/>
        </w:rPr>
        <w:t>2010</w:t>
      </w:r>
      <w:r>
        <w:rPr>
          <w:spacing w:val="1"/>
          <w:sz w:val="14"/>
        </w:rPr>
        <w:t xml:space="preserve"> </w:t>
      </w:r>
      <w:r>
        <w:rPr>
          <w:w w:val="95"/>
          <w:sz w:val="14"/>
        </w:rPr>
        <w:t>Metropolitan</w:t>
      </w:r>
      <w:r>
        <w:rPr>
          <w:spacing w:val="1"/>
          <w:sz w:val="14"/>
        </w:rPr>
        <w:t xml:space="preserve"> </w:t>
      </w:r>
      <w:r>
        <w:rPr>
          <w:w w:val="95"/>
          <w:sz w:val="14"/>
        </w:rPr>
        <w:t>Water</w:t>
      </w:r>
      <w:r>
        <w:rPr>
          <w:sz w:val="14"/>
        </w:rPr>
        <w:t xml:space="preserve"> </w:t>
      </w:r>
      <w:r>
        <w:rPr>
          <w:spacing w:val="-2"/>
          <w:w w:val="95"/>
          <w:sz w:val="14"/>
        </w:rPr>
        <w:t>Plan.</w:t>
      </w:r>
    </w:p>
    <w:p w:rsidR="002C1123" w:rsidRDefault="002C1123">
      <w:pPr>
        <w:spacing w:line="150" w:lineRule="exact"/>
        <w:rPr>
          <w:sz w:val="14"/>
        </w:rPr>
        <w:sectPr w:rsidR="002C1123">
          <w:type w:val="continuous"/>
          <w:pgSz w:w="16840" w:h="11910" w:orient="landscape"/>
          <w:pgMar w:top="560" w:right="280" w:bottom="280" w:left="500" w:header="0" w:footer="517"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2C1123">
      <w:pPr>
        <w:pStyle w:val="BodyText"/>
        <w:spacing w:before="1"/>
        <w:rPr>
          <w:sz w:val="13"/>
        </w:rPr>
      </w:pPr>
    </w:p>
    <w:p w:rsidR="002C1123" w:rsidRDefault="002060EF">
      <w:pPr>
        <w:pStyle w:val="BodyText"/>
        <w:ind w:left="492" w:right="-29"/>
      </w:pPr>
      <w:r>
        <w:pict>
          <v:shape id="docshape2212" o:spid="_x0000_s5259" type="#_x0000_t202" style="width:239pt;height:93.35pt;mso-left-percent:-10001;mso-top-percent:-10001;mso-position-horizontal:absolute;mso-position-horizontal-relative:char;mso-position-vertical:absolute;mso-position-vertical-relative:line;mso-left-percent:-10001;mso-top-percent:-10001" fillcolor="#e1e0e1" stroked="f">
            <v:textbox inset="0,0,0,0">
              <w:txbxContent>
                <w:p w:rsidR="00F22F94" w:rsidRDefault="00F22F94">
                  <w:pPr>
                    <w:pStyle w:val="BodyText"/>
                    <w:spacing w:before="68" w:line="249" w:lineRule="auto"/>
                    <w:ind w:left="113" w:right="115"/>
                    <w:rPr>
                      <w:color w:val="000000"/>
                    </w:rPr>
                  </w:pPr>
                  <w:bookmarkStart w:id="324" w:name="_bookmark229"/>
                  <w:bookmarkEnd w:id="324"/>
                  <w:r>
                    <w:rPr>
                      <w:b/>
                      <w:color w:val="00AEEF"/>
                    </w:rPr>
                    <w:t>Recommendation</w:t>
                  </w:r>
                  <w:r>
                    <w:rPr>
                      <w:b/>
                      <w:color w:val="00AEEF"/>
                      <w:spacing w:val="40"/>
                    </w:rPr>
                    <w:t xml:space="preserve"> </w:t>
                  </w:r>
                  <w:r>
                    <w:rPr>
                      <w:color w:val="000000"/>
                    </w:rPr>
                    <w:t xml:space="preserve">Given the multi-source complexity of water supply systems and the long </w:t>
                  </w:r>
                  <w:r>
                    <w:rPr>
                      <w:color w:val="000000"/>
                      <w:w w:val="95"/>
                    </w:rPr>
                    <w:t>lead</w:t>
                  </w:r>
                  <w:r>
                    <w:rPr>
                      <w:color w:val="000000"/>
                      <w:spacing w:val="-1"/>
                      <w:w w:val="95"/>
                    </w:rPr>
                    <w:t xml:space="preserve"> </w:t>
                  </w:r>
                  <w:r>
                    <w:rPr>
                      <w:color w:val="000000"/>
                      <w:w w:val="95"/>
                    </w:rPr>
                    <w:t>times</w:t>
                  </w:r>
                  <w:r>
                    <w:rPr>
                      <w:color w:val="000000"/>
                      <w:spacing w:val="-1"/>
                      <w:w w:val="95"/>
                    </w:rPr>
                    <w:t xml:space="preserve"> </w:t>
                  </w:r>
                  <w:r>
                    <w:rPr>
                      <w:color w:val="000000"/>
                      <w:w w:val="95"/>
                    </w:rPr>
                    <w:t>in</w:t>
                  </w:r>
                  <w:r>
                    <w:rPr>
                      <w:color w:val="000000"/>
                      <w:spacing w:val="-1"/>
                      <w:w w:val="95"/>
                    </w:rPr>
                    <w:t xml:space="preserve"> </w:t>
                  </w:r>
                  <w:r>
                    <w:rPr>
                      <w:color w:val="000000"/>
                      <w:w w:val="95"/>
                    </w:rPr>
                    <w:t>commissioning</w:t>
                  </w:r>
                  <w:r>
                    <w:rPr>
                      <w:color w:val="000000"/>
                      <w:spacing w:val="-1"/>
                      <w:w w:val="95"/>
                    </w:rPr>
                    <w:t xml:space="preserve"> </w:t>
                  </w:r>
                  <w:r>
                    <w:rPr>
                      <w:color w:val="000000"/>
                      <w:w w:val="95"/>
                    </w:rPr>
                    <w:t>infrastructure</w:t>
                  </w:r>
                  <w:r>
                    <w:rPr>
                      <w:color w:val="000000"/>
                      <w:spacing w:val="-1"/>
                      <w:w w:val="95"/>
                    </w:rPr>
                    <w:t xml:space="preserve"> </w:t>
                  </w:r>
                  <w:r>
                    <w:rPr>
                      <w:color w:val="000000"/>
                      <w:w w:val="95"/>
                    </w:rPr>
                    <w:t xml:space="preserve">projects, Infrastructure NSW recommends that infrastructure </w:t>
                  </w:r>
                  <w:r>
                    <w:rPr>
                      <w:color w:val="000000"/>
                    </w:rPr>
                    <w:t>planning for Sydney’s next supply commence as part</w:t>
                  </w:r>
                  <w:r>
                    <w:rPr>
                      <w:color w:val="000000"/>
                      <w:spacing w:val="-14"/>
                    </w:rPr>
                    <w:t xml:space="preserve"> </w:t>
                  </w:r>
                  <w:r>
                    <w:rPr>
                      <w:color w:val="000000"/>
                    </w:rPr>
                    <w:t>of</w:t>
                  </w:r>
                  <w:r>
                    <w:rPr>
                      <w:color w:val="000000"/>
                      <w:spacing w:val="-14"/>
                    </w:rPr>
                    <w:t xml:space="preserve"> </w:t>
                  </w:r>
                  <w:r>
                    <w:rPr>
                      <w:color w:val="000000"/>
                    </w:rPr>
                    <w:t>the</w:t>
                  </w:r>
                  <w:r>
                    <w:rPr>
                      <w:color w:val="000000"/>
                      <w:spacing w:val="-14"/>
                    </w:rPr>
                    <w:t xml:space="preserve"> </w:t>
                  </w:r>
                  <w:r>
                    <w:rPr>
                      <w:color w:val="000000"/>
                    </w:rPr>
                    <w:t>current</w:t>
                  </w:r>
                  <w:r>
                    <w:rPr>
                      <w:color w:val="000000"/>
                      <w:spacing w:val="-14"/>
                    </w:rPr>
                    <w:t xml:space="preserve"> </w:t>
                  </w:r>
                  <w:r>
                    <w:rPr>
                      <w:color w:val="000000"/>
                    </w:rPr>
                    <w:t>review</w:t>
                  </w:r>
                  <w:r>
                    <w:rPr>
                      <w:color w:val="000000"/>
                      <w:spacing w:val="-14"/>
                    </w:rPr>
                    <w:t xml:space="preserve"> </w:t>
                  </w:r>
                  <w:r>
                    <w:rPr>
                      <w:color w:val="000000"/>
                    </w:rPr>
                    <w:t>of</w:t>
                  </w:r>
                  <w:r>
                    <w:rPr>
                      <w:color w:val="000000"/>
                      <w:spacing w:val="-14"/>
                    </w:rPr>
                    <w:t xml:space="preserve"> </w:t>
                  </w:r>
                  <w:r>
                    <w:rPr>
                      <w:color w:val="000000"/>
                    </w:rPr>
                    <w:t>the</w:t>
                  </w:r>
                  <w:r>
                    <w:rPr>
                      <w:color w:val="000000"/>
                      <w:spacing w:val="-14"/>
                    </w:rPr>
                    <w:t xml:space="preserve"> </w:t>
                  </w:r>
                  <w:r>
                    <w:rPr>
                      <w:color w:val="000000"/>
                    </w:rPr>
                    <w:t>2010</w:t>
                  </w:r>
                  <w:r>
                    <w:rPr>
                      <w:color w:val="000000"/>
                      <w:spacing w:val="-14"/>
                    </w:rPr>
                    <w:t xml:space="preserve"> </w:t>
                  </w:r>
                  <w:r>
                    <w:rPr>
                      <w:color w:val="000000"/>
                    </w:rPr>
                    <w:t>Metropolitan Water</w:t>
                  </w:r>
                  <w:r>
                    <w:rPr>
                      <w:color w:val="000000"/>
                      <w:spacing w:val="-7"/>
                    </w:rPr>
                    <w:t xml:space="preserve"> </w:t>
                  </w:r>
                  <w:r>
                    <w:rPr>
                      <w:color w:val="000000"/>
                    </w:rPr>
                    <w:t>Plan.</w:t>
                  </w:r>
                </w:p>
              </w:txbxContent>
            </v:textbox>
            <w10:anchorlock/>
          </v:shape>
        </w:pict>
      </w:r>
    </w:p>
    <w:p w:rsidR="002C1123" w:rsidRDefault="002C1123">
      <w:pPr>
        <w:pStyle w:val="BodyText"/>
        <w:spacing w:before="2"/>
      </w:pPr>
    </w:p>
    <w:p w:rsidR="002C1123" w:rsidRDefault="00F22F94">
      <w:pPr>
        <w:pStyle w:val="Heading6"/>
        <w:numPr>
          <w:ilvl w:val="2"/>
          <w:numId w:val="55"/>
        </w:numPr>
        <w:tabs>
          <w:tab w:val="left" w:pos="1087"/>
        </w:tabs>
        <w:spacing w:before="0"/>
        <w:ind w:left="1086"/>
        <w:jc w:val="left"/>
        <w:rPr>
          <w:color w:val="00AEEF"/>
        </w:rPr>
      </w:pPr>
      <w:r>
        <w:rPr>
          <w:color w:val="00AEEF"/>
          <w:spacing w:val="-2"/>
        </w:rPr>
        <w:t>Upper</w:t>
      </w:r>
      <w:r>
        <w:rPr>
          <w:color w:val="00AEEF"/>
          <w:spacing w:val="-5"/>
        </w:rPr>
        <w:t xml:space="preserve"> </w:t>
      </w:r>
      <w:r>
        <w:rPr>
          <w:color w:val="00AEEF"/>
          <w:spacing w:val="-2"/>
        </w:rPr>
        <w:t>Canal</w:t>
      </w:r>
      <w:r>
        <w:rPr>
          <w:color w:val="00AEEF"/>
          <w:spacing w:val="-4"/>
        </w:rPr>
        <w:t xml:space="preserve"> </w:t>
      </w:r>
      <w:r>
        <w:rPr>
          <w:color w:val="00AEEF"/>
          <w:spacing w:val="-2"/>
        </w:rPr>
        <w:t>Program</w:t>
      </w:r>
    </w:p>
    <w:p w:rsidR="002C1123" w:rsidRDefault="00F22F94">
      <w:pPr>
        <w:pStyle w:val="BodyText"/>
        <w:spacing w:before="95"/>
        <w:ind w:left="492"/>
      </w:pPr>
      <w:r>
        <w:rPr>
          <w:w w:val="95"/>
        </w:rPr>
        <w:t>The</w:t>
      </w:r>
      <w:r>
        <w:rPr>
          <w:spacing w:val="-5"/>
          <w:w w:val="95"/>
        </w:rPr>
        <w:t xml:space="preserve"> </w:t>
      </w:r>
      <w:r>
        <w:rPr>
          <w:w w:val="95"/>
        </w:rPr>
        <w:t>Sydney</w:t>
      </w:r>
      <w:r>
        <w:rPr>
          <w:spacing w:val="-5"/>
          <w:w w:val="95"/>
        </w:rPr>
        <w:t xml:space="preserve"> </w:t>
      </w:r>
      <w:r>
        <w:rPr>
          <w:w w:val="95"/>
        </w:rPr>
        <w:t>Catchment</w:t>
      </w:r>
      <w:r>
        <w:rPr>
          <w:spacing w:val="-5"/>
          <w:w w:val="95"/>
        </w:rPr>
        <w:t xml:space="preserve"> </w:t>
      </w:r>
      <w:r>
        <w:rPr>
          <w:w w:val="95"/>
        </w:rPr>
        <w:t>Authority</w:t>
      </w:r>
      <w:r>
        <w:rPr>
          <w:spacing w:val="-5"/>
          <w:w w:val="95"/>
        </w:rPr>
        <w:t xml:space="preserve"> </w:t>
      </w:r>
      <w:r>
        <w:rPr>
          <w:w w:val="95"/>
        </w:rPr>
        <w:t>plans</w:t>
      </w:r>
      <w:r>
        <w:rPr>
          <w:spacing w:val="-5"/>
          <w:w w:val="95"/>
        </w:rPr>
        <w:t xml:space="preserve"> </w:t>
      </w:r>
      <w:r>
        <w:rPr>
          <w:w w:val="95"/>
        </w:rPr>
        <w:t>to</w:t>
      </w:r>
      <w:r>
        <w:rPr>
          <w:spacing w:val="-5"/>
          <w:w w:val="95"/>
        </w:rPr>
        <w:t xml:space="preserve"> </w:t>
      </w:r>
      <w:r>
        <w:rPr>
          <w:spacing w:val="-2"/>
          <w:w w:val="95"/>
        </w:rPr>
        <w:t>invest</w:t>
      </w:r>
    </w:p>
    <w:p w:rsidR="002C1123" w:rsidRDefault="00F22F94">
      <w:pPr>
        <w:pStyle w:val="BodyText"/>
        <w:spacing w:before="10" w:line="249" w:lineRule="auto"/>
        <w:ind w:left="492"/>
      </w:pPr>
      <w:r>
        <w:rPr>
          <w:spacing w:val="-2"/>
          <w:w w:val="95"/>
        </w:rPr>
        <w:t>$1.5</w:t>
      </w:r>
      <w:r>
        <w:rPr>
          <w:spacing w:val="-14"/>
          <w:w w:val="95"/>
        </w:rPr>
        <w:t xml:space="preserve"> </w:t>
      </w:r>
      <w:r>
        <w:rPr>
          <w:spacing w:val="-2"/>
          <w:w w:val="95"/>
        </w:rPr>
        <w:t>billion</w:t>
      </w:r>
      <w:r>
        <w:rPr>
          <w:spacing w:val="-2"/>
          <w:w w:val="95"/>
          <w:position w:val="7"/>
          <w:sz w:val="11"/>
        </w:rPr>
        <w:t>3</w:t>
      </w:r>
      <w:r>
        <w:rPr>
          <w:spacing w:val="-2"/>
          <w:position w:val="7"/>
          <w:sz w:val="11"/>
        </w:rPr>
        <w:t xml:space="preserve"> </w:t>
      </w:r>
      <w:r>
        <w:rPr>
          <w:spacing w:val="-2"/>
          <w:w w:val="95"/>
        </w:rPr>
        <w:t>for</w:t>
      </w:r>
      <w:r>
        <w:rPr>
          <w:spacing w:val="-13"/>
          <w:w w:val="95"/>
        </w:rPr>
        <w:t xml:space="preserve"> </w:t>
      </w:r>
      <w:r>
        <w:rPr>
          <w:spacing w:val="-2"/>
          <w:w w:val="95"/>
        </w:rPr>
        <w:t>the</w:t>
      </w:r>
      <w:r>
        <w:rPr>
          <w:spacing w:val="-13"/>
          <w:w w:val="95"/>
        </w:rPr>
        <w:t xml:space="preserve"> </w:t>
      </w:r>
      <w:r>
        <w:rPr>
          <w:spacing w:val="-2"/>
          <w:w w:val="95"/>
        </w:rPr>
        <w:t>expansion</w:t>
      </w:r>
      <w:r>
        <w:rPr>
          <w:spacing w:val="-13"/>
          <w:w w:val="95"/>
        </w:rPr>
        <w:t xml:space="preserve"> </w:t>
      </w:r>
      <w:r>
        <w:rPr>
          <w:spacing w:val="-2"/>
          <w:w w:val="95"/>
        </w:rPr>
        <w:t>of</w:t>
      </w:r>
      <w:r>
        <w:rPr>
          <w:spacing w:val="-13"/>
          <w:w w:val="95"/>
        </w:rPr>
        <w:t xml:space="preserve"> </w:t>
      </w:r>
      <w:r>
        <w:rPr>
          <w:spacing w:val="-2"/>
          <w:w w:val="95"/>
        </w:rPr>
        <w:t>the</w:t>
      </w:r>
      <w:r>
        <w:rPr>
          <w:spacing w:val="-14"/>
          <w:w w:val="95"/>
        </w:rPr>
        <w:t xml:space="preserve"> </w:t>
      </w:r>
      <w:r>
        <w:rPr>
          <w:spacing w:val="-2"/>
          <w:w w:val="95"/>
        </w:rPr>
        <w:t>Upper</w:t>
      </w:r>
      <w:r>
        <w:rPr>
          <w:spacing w:val="-13"/>
          <w:w w:val="95"/>
        </w:rPr>
        <w:t xml:space="preserve"> </w:t>
      </w:r>
      <w:r>
        <w:rPr>
          <w:spacing w:val="-2"/>
          <w:w w:val="95"/>
        </w:rPr>
        <w:t>Nepean</w:t>
      </w:r>
      <w:r>
        <w:rPr>
          <w:spacing w:val="-13"/>
          <w:w w:val="95"/>
        </w:rPr>
        <w:t xml:space="preserve"> </w:t>
      </w:r>
      <w:r>
        <w:rPr>
          <w:spacing w:val="-2"/>
          <w:w w:val="95"/>
        </w:rPr>
        <w:t xml:space="preserve">transfer </w:t>
      </w:r>
      <w:r>
        <w:t>scheme.</w:t>
      </w:r>
      <w:r>
        <w:rPr>
          <w:spacing w:val="-12"/>
        </w:rPr>
        <w:t xml:space="preserve"> </w:t>
      </w:r>
      <w:r>
        <w:t>Over</w:t>
      </w:r>
      <w:r>
        <w:rPr>
          <w:spacing w:val="-12"/>
        </w:rPr>
        <w:t xml:space="preserve"> </w:t>
      </w:r>
      <w:r>
        <w:t>the</w:t>
      </w:r>
      <w:r>
        <w:rPr>
          <w:spacing w:val="-12"/>
        </w:rPr>
        <w:t xml:space="preserve"> </w:t>
      </w:r>
      <w:r>
        <w:t>next</w:t>
      </w:r>
      <w:r>
        <w:rPr>
          <w:spacing w:val="-12"/>
        </w:rPr>
        <w:t xml:space="preserve"> </w:t>
      </w:r>
      <w:r>
        <w:t>10</w:t>
      </w:r>
      <w:r>
        <w:rPr>
          <w:spacing w:val="-12"/>
        </w:rPr>
        <w:t xml:space="preserve"> </w:t>
      </w:r>
      <w:r>
        <w:t>to</w:t>
      </w:r>
      <w:r>
        <w:rPr>
          <w:spacing w:val="-12"/>
        </w:rPr>
        <w:t xml:space="preserve"> </w:t>
      </w:r>
      <w:r>
        <w:t>20</w:t>
      </w:r>
      <w:r>
        <w:rPr>
          <w:spacing w:val="-12"/>
        </w:rPr>
        <w:t xml:space="preserve"> </w:t>
      </w:r>
      <w:r>
        <w:t>years</w:t>
      </w:r>
      <w:r>
        <w:rPr>
          <w:spacing w:val="-12"/>
        </w:rPr>
        <w:t xml:space="preserve"> </w:t>
      </w:r>
      <w:r>
        <w:t>the</w:t>
      </w:r>
      <w:r>
        <w:rPr>
          <w:spacing w:val="-12"/>
        </w:rPr>
        <w:t xml:space="preserve"> </w:t>
      </w:r>
      <w:r>
        <w:t>proposal</w:t>
      </w:r>
      <w:r>
        <w:rPr>
          <w:spacing w:val="-12"/>
        </w:rPr>
        <w:t xml:space="preserve"> </w:t>
      </w:r>
      <w:r>
        <w:t>is</w:t>
      </w:r>
    </w:p>
    <w:p w:rsidR="002C1123" w:rsidRDefault="00F22F94">
      <w:pPr>
        <w:pStyle w:val="BodyText"/>
        <w:spacing w:before="2" w:line="249" w:lineRule="auto"/>
        <w:ind w:left="492"/>
      </w:pPr>
      <w:r>
        <w:t>to</w:t>
      </w:r>
      <w:r>
        <w:rPr>
          <w:spacing w:val="-10"/>
        </w:rPr>
        <w:t xml:space="preserve"> </w:t>
      </w:r>
      <w:r>
        <w:t>upgrade</w:t>
      </w:r>
      <w:r>
        <w:rPr>
          <w:spacing w:val="-10"/>
        </w:rPr>
        <w:t xml:space="preserve"> </w:t>
      </w:r>
      <w:r>
        <w:t>the</w:t>
      </w:r>
      <w:r>
        <w:rPr>
          <w:spacing w:val="-10"/>
        </w:rPr>
        <w:t xml:space="preserve"> </w:t>
      </w:r>
      <w:r>
        <w:t>transfer</w:t>
      </w:r>
      <w:r>
        <w:rPr>
          <w:spacing w:val="-10"/>
        </w:rPr>
        <w:t xml:space="preserve"> </w:t>
      </w:r>
      <w:r>
        <w:t>system</w:t>
      </w:r>
      <w:r>
        <w:rPr>
          <w:spacing w:val="-11"/>
        </w:rPr>
        <w:t xml:space="preserve"> </w:t>
      </w:r>
      <w:r>
        <w:t>from</w:t>
      </w:r>
      <w:r>
        <w:rPr>
          <w:spacing w:val="-11"/>
        </w:rPr>
        <w:t xml:space="preserve"> </w:t>
      </w:r>
      <w:r>
        <w:t>the</w:t>
      </w:r>
      <w:r>
        <w:rPr>
          <w:spacing w:val="-10"/>
        </w:rPr>
        <w:t xml:space="preserve"> </w:t>
      </w:r>
      <w:r>
        <w:t xml:space="preserve">Broughton’s </w:t>
      </w:r>
      <w:r>
        <w:rPr>
          <w:spacing w:val="-2"/>
        </w:rPr>
        <w:t>Pass</w:t>
      </w:r>
      <w:r>
        <w:rPr>
          <w:spacing w:val="-8"/>
        </w:rPr>
        <w:t xml:space="preserve"> </w:t>
      </w:r>
      <w:r>
        <w:rPr>
          <w:spacing w:val="-2"/>
        </w:rPr>
        <w:t>to</w:t>
      </w:r>
      <w:r>
        <w:rPr>
          <w:spacing w:val="-8"/>
        </w:rPr>
        <w:t xml:space="preserve"> </w:t>
      </w:r>
      <w:r>
        <w:rPr>
          <w:spacing w:val="-2"/>
        </w:rPr>
        <w:t>Prospect</w:t>
      </w:r>
      <w:r>
        <w:rPr>
          <w:spacing w:val="-8"/>
        </w:rPr>
        <w:t xml:space="preserve"> </w:t>
      </w:r>
      <w:r>
        <w:rPr>
          <w:spacing w:val="-2"/>
        </w:rPr>
        <w:t>Water</w:t>
      </w:r>
      <w:r>
        <w:rPr>
          <w:spacing w:val="-8"/>
        </w:rPr>
        <w:t xml:space="preserve"> </w:t>
      </w:r>
      <w:r>
        <w:rPr>
          <w:spacing w:val="-2"/>
        </w:rPr>
        <w:t>Filtration</w:t>
      </w:r>
      <w:r>
        <w:rPr>
          <w:spacing w:val="-8"/>
        </w:rPr>
        <w:t xml:space="preserve"> </w:t>
      </w:r>
      <w:r>
        <w:rPr>
          <w:spacing w:val="-2"/>
        </w:rPr>
        <w:t>Plant</w:t>
      </w:r>
      <w:r>
        <w:rPr>
          <w:spacing w:val="-8"/>
        </w:rPr>
        <w:t xml:space="preserve"> </w:t>
      </w:r>
      <w:r>
        <w:rPr>
          <w:spacing w:val="-2"/>
        </w:rPr>
        <w:t>via</w:t>
      </w:r>
      <w:r>
        <w:rPr>
          <w:spacing w:val="-8"/>
        </w:rPr>
        <w:t xml:space="preserve"> </w:t>
      </w:r>
      <w:r>
        <w:rPr>
          <w:spacing w:val="-2"/>
        </w:rPr>
        <w:t>either</w:t>
      </w:r>
      <w:r>
        <w:rPr>
          <w:spacing w:val="-8"/>
        </w:rPr>
        <w:t xml:space="preserve"> </w:t>
      </w:r>
      <w:r>
        <w:rPr>
          <w:spacing w:val="-2"/>
        </w:rPr>
        <w:t xml:space="preserve">an </w:t>
      </w:r>
      <w:r>
        <w:rPr>
          <w:w w:val="95"/>
        </w:rPr>
        <w:t>underground</w:t>
      </w:r>
      <w:r>
        <w:rPr>
          <w:spacing w:val="-4"/>
          <w:w w:val="95"/>
        </w:rPr>
        <w:t xml:space="preserve"> </w:t>
      </w:r>
      <w:r>
        <w:rPr>
          <w:w w:val="95"/>
        </w:rPr>
        <w:t>tunnel</w:t>
      </w:r>
      <w:r>
        <w:rPr>
          <w:spacing w:val="-4"/>
          <w:w w:val="95"/>
        </w:rPr>
        <w:t xml:space="preserve"> </w:t>
      </w:r>
      <w:r>
        <w:rPr>
          <w:w w:val="95"/>
        </w:rPr>
        <w:t>or</w:t>
      </w:r>
      <w:r>
        <w:rPr>
          <w:spacing w:val="-4"/>
          <w:w w:val="95"/>
        </w:rPr>
        <w:t xml:space="preserve"> </w:t>
      </w:r>
      <w:r>
        <w:rPr>
          <w:w w:val="95"/>
        </w:rPr>
        <w:t>pipe</w:t>
      </w:r>
      <w:r>
        <w:rPr>
          <w:spacing w:val="-4"/>
          <w:w w:val="95"/>
        </w:rPr>
        <w:t xml:space="preserve"> </w:t>
      </w:r>
      <w:r>
        <w:rPr>
          <w:w w:val="95"/>
        </w:rPr>
        <w:t>to</w:t>
      </w:r>
      <w:r>
        <w:rPr>
          <w:spacing w:val="-4"/>
          <w:w w:val="95"/>
        </w:rPr>
        <w:t xml:space="preserve"> </w:t>
      </w:r>
      <w:r>
        <w:rPr>
          <w:w w:val="95"/>
        </w:rPr>
        <w:t>transfer</w:t>
      </w:r>
      <w:r>
        <w:rPr>
          <w:spacing w:val="-4"/>
          <w:w w:val="95"/>
        </w:rPr>
        <w:t xml:space="preserve"> </w:t>
      </w:r>
      <w:r>
        <w:rPr>
          <w:w w:val="95"/>
        </w:rPr>
        <w:t>the</w:t>
      </w:r>
      <w:r>
        <w:rPr>
          <w:spacing w:val="-4"/>
          <w:w w:val="95"/>
        </w:rPr>
        <w:t xml:space="preserve"> </w:t>
      </w:r>
      <w:r>
        <w:rPr>
          <w:w w:val="95"/>
        </w:rPr>
        <w:t>water</w:t>
      </w:r>
      <w:r>
        <w:rPr>
          <w:spacing w:val="-4"/>
          <w:w w:val="95"/>
        </w:rPr>
        <w:t xml:space="preserve"> </w:t>
      </w:r>
      <w:r>
        <w:rPr>
          <w:w w:val="95"/>
        </w:rPr>
        <w:t>which</w:t>
      </w:r>
      <w:r>
        <w:rPr>
          <w:spacing w:val="-4"/>
          <w:w w:val="95"/>
        </w:rPr>
        <w:t xml:space="preserve"> </w:t>
      </w:r>
      <w:r>
        <w:rPr>
          <w:w w:val="95"/>
        </w:rPr>
        <w:t xml:space="preserve">is </w:t>
      </w:r>
      <w:r>
        <w:t>currently</w:t>
      </w:r>
      <w:r>
        <w:rPr>
          <w:spacing w:val="-14"/>
        </w:rPr>
        <w:t xml:space="preserve"> </w:t>
      </w:r>
      <w:r>
        <w:t>transported</w:t>
      </w:r>
      <w:r>
        <w:rPr>
          <w:spacing w:val="-14"/>
        </w:rPr>
        <w:t xml:space="preserve"> </w:t>
      </w:r>
      <w:r>
        <w:t>in</w:t>
      </w:r>
      <w:r>
        <w:rPr>
          <w:spacing w:val="-14"/>
        </w:rPr>
        <w:t xml:space="preserve"> </w:t>
      </w:r>
      <w:r>
        <w:t>an</w:t>
      </w:r>
      <w:r>
        <w:rPr>
          <w:spacing w:val="-14"/>
        </w:rPr>
        <w:t xml:space="preserve"> </w:t>
      </w:r>
      <w:r>
        <w:t>open</w:t>
      </w:r>
      <w:r>
        <w:rPr>
          <w:spacing w:val="-14"/>
        </w:rPr>
        <w:t xml:space="preserve"> </w:t>
      </w:r>
      <w:r>
        <w:t>canal</w:t>
      </w:r>
      <w:r>
        <w:rPr>
          <w:spacing w:val="-14"/>
        </w:rPr>
        <w:t xml:space="preserve"> </w:t>
      </w:r>
      <w:r>
        <w:t>(Upper</w:t>
      </w:r>
      <w:r>
        <w:rPr>
          <w:spacing w:val="-14"/>
        </w:rPr>
        <w:t xml:space="preserve"> </w:t>
      </w:r>
      <w:r>
        <w:t>Canal).</w:t>
      </w:r>
    </w:p>
    <w:p w:rsidR="002C1123" w:rsidRDefault="00F22F94">
      <w:pPr>
        <w:pStyle w:val="BodyText"/>
        <w:spacing w:before="145" w:line="249" w:lineRule="auto"/>
        <w:ind w:left="492"/>
      </w:pPr>
      <w:r>
        <w:rPr>
          <w:w w:val="95"/>
        </w:rPr>
        <w:t>Infrastructure NSW has concluded that the Upper Canal Program</w:t>
      </w:r>
      <w:r>
        <w:rPr>
          <w:spacing w:val="-3"/>
          <w:w w:val="95"/>
        </w:rPr>
        <w:t xml:space="preserve"> </w:t>
      </w:r>
      <w:r>
        <w:rPr>
          <w:w w:val="95"/>
        </w:rPr>
        <w:t>should</w:t>
      </w:r>
      <w:r>
        <w:rPr>
          <w:spacing w:val="-2"/>
          <w:w w:val="95"/>
        </w:rPr>
        <w:t xml:space="preserve"> </w:t>
      </w:r>
      <w:r>
        <w:rPr>
          <w:w w:val="95"/>
        </w:rPr>
        <w:t>not</w:t>
      </w:r>
      <w:r>
        <w:rPr>
          <w:spacing w:val="-2"/>
          <w:w w:val="95"/>
        </w:rPr>
        <w:t xml:space="preserve"> </w:t>
      </w:r>
      <w:r>
        <w:rPr>
          <w:w w:val="95"/>
        </w:rPr>
        <w:t>proceed</w:t>
      </w:r>
      <w:r>
        <w:rPr>
          <w:spacing w:val="-2"/>
          <w:w w:val="95"/>
        </w:rPr>
        <w:t xml:space="preserve"> </w:t>
      </w:r>
      <w:r>
        <w:rPr>
          <w:w w:val="95"/>
        </w:rPr>
        <w:t>until</w:t>
      </w:r>
      <w:r>
        <w:rPr>
          <w:spacing w:val="-2"/>
          <w:w w:val="95"/>
        </w:rPr>
        <w:t xml:space="preserve"> </w:t>
      </w:r>
      <w:r>
        <w:rPr>
          <w:w w:val="95"/>
        </w:rPr>
        <w:t>the</w:t>
      </w:r>
      <w:r>
        <w:rPr>
          <w:spacing w:val="-2"/>
          <w:w w:val="95"/>
        </w:rPr>
        <w:t xml:space="preserve"> </w:t>
      </w:r>
      <w:r>
        <w:rPr>
          <w:w w:val="95"/>
        </w:rPr>
        <w:t>Metropolitan</w:t>
      </w:r>
      <w:r>
        <w:rPr>
          <w:spacing w:val="-2"/>
          <w:w w:val="95"/>
        </w:rPr>
        <w:t xml:space="preserve"> </w:t>
      </w:r>
      <w:r>
        <w:rPr>
          <w:w w:val="95"/>
        </w:rPr>
        <w:t xml:space="preserve">Water </w:t>
      </w:r>
      <w:r>
        <w:t>Plan</w:t>
      </w:r>
      <w:r>
        <w:rPr>
          <w:spacing w:val="-12"/>
        </w:rPr>
        <w:t xml:space="preserve"> </w:t>
      </w:r>
      <w:r>
        <w:t>update</w:t>
      </w:r>
      <w:r>
        <w:rPr>
          <w:spacing w:val="-12"/>
        </w:rPr>
        <w:t xml:space="preserve"> </w:t>
      </w:r>
      <w:r>
        <w:t>is</w:t>
      </w:r>
      <w:r>
        <w:rPr>
          <w:spacing w:val="-12"/>
        </w:rPr>
        <w:t xml:space="preserve"> </w:t>
      </w:r>
      <w:r>
        <w:t>completed.</w:t>
      </w:r>
      <w:r>
        <w:rPr>
          <w:spacing w:val="-12"/>
        </w:rPr>
        <w:t xml:space="preserve"> </w:t>
      </w:r>
      <w:r>
        <w:t>This</w:t>
      </w:r>
      <w:r>
        <w:rPr>
          <w:spacing w:val="-12"/>
        </w:rPr>
        <w:t xml:space="preserve"> </w:t>
      </w:r>
      <w:r>
        <w:t>work</w:t>
      </w:r>
      <w:r>
        <w:rPr>
          <w:spacing w:val="-12"/>
        </w:rPr>
        <w:t xml:space="preserve"> </w:t>
      </w:r>
      <w:r>
        <w:t>will</w:t>
      </w:r>
      <w:r>
        <w:rPr>
          <w:spacing w:val="-12"/>
        </w:rPr>
        <w:t xml:space="preserve"> </w:t>
      </w:r>
      <w:r>
        <w:t>determine whether</w:t>
      </w:r>
      <w:r>
        <w:rPr>
          <w:spacing w:val="-10"/>
        </w:rPr>
        <w:t xml:space="preserve"> </w:t>
      </w:r>
      <w:r>
        <w:t>the</w:t>
      </w:r>
      <w:r>
        <w:rPr>
          <w:spacing w:val="-10"/>
        </w:rPr>
        <w:t xml:space="preserve"> </w:t>
      </w:r>
      <w:r>
        <w:t>Upper</w:t>
      </w:r>
      <w:r>
        <w:rPr>
          <w:spacing w:val="-10"/>
        </w:rPr>
        <w:t xml:space="preserve"> </w:t>
      </w:r>
      <w:r>
        <w:t>Canal</w:t>
      </w:r>
      <w:r>
        <w:rPr>
          <w:spacing w:val="-10"/>
        </w:rPr>
        <w:t xml:space="preserve"> </w:t>
      </w:r>
      <w:r>
        <w:t>needs</w:t>
      </w:r>
      <w:r>
        <w:rPr>
          <w:spacing w:val="-10"/>
        </w:rPr>
        <w:t xml:space="preserve"> </w:t>
      </w:r>
      <w:r>
        <w:t>to</w:t>
      </w:r>
      <w:r>
        <w:rPr>
          <w:spacing w:val="-10"/>
        </w:rPr>
        <w:t xml:space="preserve"> </w:t>
      </w:r>
      <w:r>
        <w:t>be</w:t>
      </w:r>
      <w:r>
        <w:rPr>
          <w:spacing w:val="-10"/>
        </w:rPr>
        <w:t xml:space="preserve"> </w:t>
      </w:r>
      <w:r>
        <w:t>expanded</w:t>
      </w:r>
      <w:r>
        <w:rPr>
          <w:spacing w:val="-10"/>
        </w:rPr>
        <w:t xml:space="preserve"> </w:t>
      </w:r>
      <w:r>
        <w:t>in</w:t>
      </w:r>
      <w:r>
        <w:rPr>
          <w:spacing w:val="-10"/>
        </w:rPr>
        <w:t xml:space="preserve"> </w:t>
      </w:r>
      <w:r>
        <w:t>the future</w:t>
      </w:r>
      <w:r>
        <w:rPr>
          <w:spacing w:val="-11"/>
        </w:rPr>
        <w:t xml:space="preserve"> </w:t>
      </w:r>
      <w:r>
        <w:t>to</w:t>
      </w:r>
      <w:r>
        <w:rPr>
          <w:spacing w:val="-11"/>
        </w:rPr>
        <w:t xml:space="preserve"> </w:t>
      </w:r>
      <w:r>
        <w:t>supply</w:t>
      </w:r>
      <w:r>
        <w:rPr>
          <w:spacing w:val="-11"/>
        </w:rPr>
        <w:t xml:space="preserve"> </w:t>
      </w:r>
      <w:r>
        <w:t>more</w:t>
      </w:r>
      <w:r>
        <w:rPr>
          <w:spacing w:val="-11"/>
        </w:rPr>
        <w:t xml:space="preserve"> </w:t>
      </w:r>
      <w:r>
        <w:t>water</w:t>
      </w:r>
      <w:r>
        <w:rPr>
          <w:spacing w:val="-11"/>
        </w:rPr>
        <w:t xml:space="preserve"> </w:t>
      </w:r>
      <w:r>
        <w:t>for</w:t>
      </w:r>
      <w:r>
        <w:rPr>
          <w:spacing w:val="-11"/>
        </w:rPr>
        <w:t xml:space="preserve"> </w:t>
      </w:r>
      <w:r>
        <w:t>Sydney</w:t>
      </w:r>
      <w:r>
        <w:rPr>
          <w:spacing w:val="-11"/>
        </w:rPr>
        <w:t xml:space="preserve"> </w:t>
      </w:r>
      <w:r>
        <w:t>from</w:t>
      </w:r>
      <w:r>
        <w:rPr>
          <w:spacing w:val="-12"/>
        </w:rPr>
        <w:t xml:space="preserve"> </w:t>
      </w:r>
      <w:r>
        <w:t xml:space="preserve">coastal </w:t>
      </w:r>
      <w:r>
        <w:rPr>
          <w:w w:val="95"/>
        </w:rPr>
        <w:t>dams</w:t>
      </w:r>
      <w:r>
        <w:rPr>
          <w:spacing w:val="-2"/>
          <w:w w:val="95"/>
        </w:rPr>
        <w:t xml:space="preserve"> </w:t>
      </w:r>
      <w:r>
        <w:rPr>
          <w:w w:val="95"/>
        </w:rPr>
        <w:t>and</w:t>
      </w:r>
      <w:r>
        <w:rPr>
          <w:spacing w:val="-2"/>
          <w:w w:val="95"/>
        </w:rPr>
        <w:t xml:space="preserve"> </w:t>
      </w:r>
      <w:r>
        <w:rPr>
          <w:w w:val="95"/>
        </w:rPr>
        <w:t>the</w:t>
      </w:r>
      <w:r>
        <w:rPr>
          <w:spacing w:val="-2"/>
          <w:w w:val="95"/>
        </w:rPr>
        <w:t xml:space="preserve"> </w:t>
      </w:r>
      <w:r>
        <w:rPr>
          <w:w w:val="95"/>
        </w:rPr>
        <w:t>Shoalhaven</w:t>
      </w:r>
      <w:r>
        <w:rPr>
          <w:spacing w:val="-2"/>
          <w:w w:val="95"/>
        </w:rPr>
        <w:t xml:space="preserve"> </w:t>
      </w:r>
      <w:r>
        <w:rPr>
          <w:w w:val="95"/>
        </w:rPr>
        <w:t>River,</w:t>
      </w:r>
      <w:r>
        <w:rPr>
          <w:spacing w:val="-2"/>
          <w:w w:val="95"/>
        </w:rPr>
        <w:t xml:space="preserve"> </w:t>
      </w:r>
      <w:r>
        <w:rPr>
          <w:w w:val="95"/>
        </w:rPr>
        <w:t>the</w:t>
      </w:r>
      <w:r>
        <w:rPr>
          <w:spacing w:val="-2"/>
          <w:w w:val="95"/>
        </w:rPr>
        <w:t xml:space="preserve"> </w:t>
      </w:r>
      <w:r>
        <w:rPr>
          <w:w w:val="95"/>
        </w:rPr>
        <w:t>cost</w:t>
      </w:r>
      <w:r>
        <w:rPr>
          <w:spacing w:val="-2"/>
          <w:w w:val="95"/>
        </w:rPr>
        <w:t xml:space="preserve"> </w:t>
      </w:r>
      <w:r>
        <w:rPr>
          <w:w w:val="95"/>
        </w:rPr>
        <w:t>of</w:t>
      </w:r>
      <w:r>
        <w:rPr>
          <w:spacing w:val="-2"/>
          <w:w w:val="95"/>
        </w:rPr>
        <w:t xml:space="preserve"> </w:t>
      </w:r>
      <w:r>
        <w:rPr>
          <w:w w:val="95"/>
        </w:rPr>
        <w:t>which</w:t>
      </w:r>
      <w:r>
        <w:rPr>
          <w:spacing w:val="-2"/>
          <w:w w:val="95"/>
        </w:rPr>
        <w:t xml:space="preserve"> </w:t>
      </w:r>
      <w:r>
        <w:rPr>
          <w:w w:val="95"/>
        </w:rPr>
        <w:t xml:space="preserve">would </w:t>
      </w:r>
      <w:r>
        <w:t>be</w:t>
      </w:r>
      <w:r>
        <w:rPr>
          <w:spacing w:val="-12"/>
        </w:rPr>
        <w:t xml:space="preserve"> </w:t>
      </w:r>
      <w:r>
        <w:t>paid</w:t>
      </w:r>
      <w:r>
        <w:rPr>
          <w:spacing w:val="-12"/>
        </w:rPr>
        <w:t xml:space="preserve"> </w:t>
      </w:r>
      <w:r>
        <w:t>by</w:t>
      </w:r>
      <w:r>
        <w:rPr>
          <w:spacing w:val="-12"/>
        </w:rPr>
        <w:t xml:space="preserve"> </w:t>
      </w:r>
      <w:r>
        <w:t>Sydney</w:t>
      </w:r>
      <w:r>
        <w:rPr>
          <w:spacing w:val="-12"/>
        </w:rPr>
        <w:t xml:space="preserve"> </w:t>
      </w:r>
      <w:r>
        <w:t>Water</w:t>
      </w:r>
      <w:r>
        <w:rPr>
          <w:spacing w:val="-12"/>
        </w:rPr>
        <w:t xml:space="preserve"> </w:t>
      </w:r>
      <w:r>
        <w:t>customers.</w:t>
      </w:r>
      <w:r>
        <w:rPr>
          <w:spacing w:val="-12"/>
        </w:rPr>
        <w:t xml:space="preserve"> </w:t>
      </w:r>
      <w:r>
        <w:t>A</w:t>
      </w:r>
      <w:r>
        <w:rPr>
          <w:spacing w:val="-12"/>
        </w:rPr>
        <w:t xml:space="preserve"> </w:t>
      </w:r>
      <w:r>
        <w:t>decision</w:t>
      </w:r>
      <w:r>
        <w:rPr>
          <w:spacing w:val="-12"/>
        </w:rPr>
        <w:t xml:space="preserve"> </w:t>
      </w:r>
      <w:r>
        <w:t>on</w:t>
      </w:r>
      <w:r>
        <w:rPr>
          <w:spacing w:val="-12"/>
        </w:rPr>
        <w:t xml:space="preserve"> </w:t>
      </w:r>
      <w:r>
        <w:t>the proposal</w:t>
      </w:r>
      <w:r>
        <w:rPr>
          <w:spacing w:val="-14"/>
        </w:rPr>
        <w:t xml:space="preserve"> </w:t>
      </w:r>
      <w:r>
        <w:t>should</w:t>
      </w:r>
      <w:r>
        <w:rPr>
          <w:spacing w:val="-14"/>
        </w:rPr>
        <w:t xml:space="preserve"> </w:t>
      </w:r>
      <w:r>
        <w:t>be</w:t>
      </w:r>
      <w:r>
        <w:rPr>
          <w:spacing w:val="-14"/>
        </w:rPr>
        <w:t xml:space="preserve"> </w:t>
      </w:r>
      <w:r>
        <w:t>made</w:t>
      </w:r>
      <w:r>
        <w:rPr>
          <w:spacing w:val="-14"/>
        </w:rPr>
        <w:t xml:space="preserve"> </w:t>
      </w:r>
      <w:r>
        <w:t>when</w:t>
      </w:r>
      <w:r>
        <w:rPr>
          <w:spacing w:val="-14"/>
        </w:rPr>
        <w:t xml:space="preserve"> </w:t>
      </w:r>
      <w:r>
        <w:t>the</w:t>
      </w:r>
      <w:r>
        <w:rPr>
          <w:spacing w:val="-14"/>
        </w:rPr>
        <w:t xml:space="preserve"> </w:t>
      </w:r>
      <w:r>
        <w:t>review</w:t>
      </w:r>
      <w:r>
        <w:rPr>
          <w:spacing w:val="-14"/>
        </w:rPr>
        <w:t xml:space="preserve"> </w:t>
      </w:r>
      <w:r>
        <w:t>is</w:t>
      </w:r>
      <w:r>
        <w:rPr>
          <w:spacing w:val="-13"/>
        </w:rPr>
        <w:t xml:space="preserve"> </w:t>
      </w:r>
      <w:r>
        <w:t>complete.</w:t>
      </w:r>
    </w:p>
    <w:p w:rsidR="002C1123" w:rsidRDefault="00F22F94">
      <w:pPr>
        <w:pStyle w:val="BodyText"/>
        <w:spacing w:before="148" w:line="249" w:lineRule="auto"/>
        <w:ind w:left="491" w:right="367"/>
      </w:pPr>
      <w:r>
        <w:t>The</w:t>
      </w:r>
      <w:r>
        <w:rPr>
          <w:spacing w:val="-9"/>
        </w:rPr>
        <w:t xml:space="preserve"> </w:t>
      </w:r>
      <w:r>
        <w:t>proposed</w:t>
      </w:r>
      <w:r>
        <w:rPr>
          <w:spacing w:val="-9"/>
        </w:rPr>
        <w:t xml:space="preserve"> </w:t>
      </w:r>
      <w:r>
        <w:t>canal</w:t>
      </w:r>
      <w:r>
        <w:rPr>
          <w:spacing w:val="-9"/>
        </w:rPr>
        <w:t xml:space="preserve"> </w:t>
      </w:r>
      <w:r>
        <w:t>upgrade</w:t>
      </w:r>
      <w:r>
        <w:rPr>
          <w:spacing w:val="-9"/>
        </w:rPr>
        <w:t xml:space="preserve"> </w:t>
      </w:r>
      <w:r>
        <w:t>is</w:t>
      </w:r>
      <w:r>
        <w:rPr>
          <w:spacing w:val="-9"/>
        </w:rPr>
        <w:t xml:space="preserve"> </w:t>
      </w:r>
      <w:r>
        <w:t>also</w:t>
      </w:r>
      <w:r>
        <w:rPr>
          <w:spacing w:val="-9"/>
        </w:rPr>
        <w:t xml:space="preserve"> </w:t>
      </w:r>
      <w:r>
        <w:t>being</w:t>
      </w:r>
      <w:r>
        <w:rPr>
          <w:spacing w:val="-9"/>
        </w:rPr>
        <w:t xml:space="preserve"> </w:t>
      </w:r>
      <w:r>
        <w:t xml:space="preserve">driven </w:t>
      </w:r>
      <w:r>
        <w:rPr>
          <w:w w:val="95"/>
        </w:rPr>
        <w:t xml:space="preserve">by risks associated with operating and maintaining </w:t>
      </w:r>
      <w:r>
        <w:rPr>
          <w:spacing w:val="-2"/>
        </w:rPr>
        <w:t>the</w:t>
      </w:r>
      <w:r>
        <w:rPr>
          <w:spacing w:val="-13"/>
        </w:rPr>
        <w:t xml:space="preserve"> </w:t>
      </w:r>
      <w:r>
        <w:rPr>
          <w:spacing w:val="-2"/>
        </w:rPr>
        <w:t>124-year-old</w:t>
      </w:r>
      <w:r>
        <w:rPr>
          <w:spacing w:val="-13"/>
        </w:rPr>
        <w:t xml:space="preserve"> </w:t>
      </w:r>
      <w:r>
        <w:rPr>
          <w:spacing w:val="-2"/>
        </w:rPr>
        <w:t>infrastructure</w:t>
      </w:r>
      <w:r>
        <w:rPr>
          <w:spacing w:val="-13"/>
        </w:rPr>
        <w:t xml:space="preserve"> </w:t>
      </w:r>
      <w:r>
        <w:rPr>
          <w:spacing w:val="-2"/>
        </w:rPr>
        <w:t>and</w:t>
      </w:r>
      <w:r>
        <w:rPr>
          <w:spacing w:val="-13"/>
        </w:rPr>
        <w:t xml:space="preserve"> </w:t>
      </w:r>
      <w:r>
        <w:rPr>
          <w:spacing w:val="-2"/>
        </w:rPr>
        <w:t>by</w:t>
      </w:r>
      <w:r>
        <w:rPr>
          <w:spacing w:val="-13"/>
        </w:rPr>
        <w:t xml:space="preserve"> </w:t>
      </w:r>
      <w:r>
        <w:rPr>
          <w:spacing w:val="-2"/>
        </w:rPr>
        <w:t xml:space="preserve">encroaching </w:t>
      </w:r>
      <w:r>
        <w:rPr>
          <w:w w:val="95"/>
        </w:rPr>
        <w:t>development and developer demands on this major component</w:t>
      </w:r>
      <w:r>
        <w:rPr>
          <w:spacing w:val="-1"/>
          <w:w w:val="95"/>
        </w:rPr>
        <w:t xml:space="preserve"> </w:t>
      </w:r>
      <w:r>
        <w:rPr>
          <w:w w:val="95"/>
        </w:rPr>
        <w:t>of</w:t>
      </w:r>
      <w:r>
        <w:rPr>
          <w:spacing w:val="-3"/>
        </w:rPr>
        <w:t xml:space="preserve"> </w:t>
      </w:r>
      <w:r>
        <w:rPr>
          <w:w w:val="95"/>
        </w:rPr>
        <w:t>Sydney’s</w:t>
      </w:r>
      <w:r>
        <w:rPr>
          <w:spacing w:val="-3"/>
        </w:rPr>
        <w:t xml:space="preserve"> </w:t>
      </w:r>
      <w:r>
        <w:rPr>
          <w:w w:val="95"/>
        </w:rPr>
        <w:t>water</w:t>
      </w:r>
      <w:r>
        <w:rPr>
          <w:spacing w:val="-3"/>
        </w:rPr>
        <w:t xml:space="preserve"> </w:t>
      </w:r>
      <w:r>
        <w:rPr>
          <w:w w:val="95"/>
        </w:rPr>
        <w:t>supply</w:t>
      </w:r>
      <w:r>
        <w:rPr>
          <w:spacing w:val="-2"/>
        </w:rPr>
        <w:t xml:space="preserve"> </w:t>
      </w:r>
      <w:r>
        <w:rPr>
          <w:spacing w:val="-2"/>
          <w:w w:val="95"/>
        </w:rPr>
        <w:t>infrastructure.</w:t>
      </w:r>
    </w:p>
    <w:p w:rsidR="002C1123" w:rsidRDefault="002C1123">
      <w:pPr>
        <w:pStyle w:val="BodyText"/>
      </w:pPr>
    </w:p>
    <w:p w:rsidR="002C1123" w:rsidRDefault="002060EF">
      <w:pPr>
        <w:pStyle w:val="BodyText"/>
        <w:spacing w:before="5"/>
        <w:rPr>
          <w:sz w:val="10"/>
        </w:rPr>
      </w:pPr>
      <w:r>
        <w:pict>
          <v:shape id="docshape2213" o:spid="_x0000_s1821" style="position:absolute;margin-left:49.6pt;margin-top:7.2pt;width:1in;height:.1pt;z-index:-251341824;mso-wrap-distance-left:0;mso-wrap-distance-right:0;mso-position-horizontal-relative:page" coordorigin="992,144" coordsize="1440,0" path="m992,144r1440,e" filled="f" strokecolor="#9c9c9d" strokeweight=".5pt">
            <v:path arrowok="t"/>
            <w10:wrap type="topAndBottom" anchorx="page"/>
          </v:shape>
        </w:pict>
      </w:r>
    </w:p>
    <w:p w:rsidR="002C1123" w:rsidRDefault="00F22F94">
      <w:pPr>
        <w:pStyle w:val="ListParagraph"/>
        <w:numPr>
          <w:ilvl w:val="3"/>
          <w:numId w:val="57"/>
        </w:numPr>
        <w:tabs>
          <w:tab w:val="left" w:pos="691"/>
        </w:tabs>
        <w:spacing w:before="23"/>
        <w:ind w:left="690" w:right="1616"/>
        <w:jc w:val="left"/>
        <w:rPr>
          <w:sz w:val="14"/>
        </w:rPr>
      </w:pPr>
      <w:r>
        <w:rPr>
          <w:w w:val="95"/>
          <w:sz w:val="14"/>
        </w:rPr>
        <w:t>NSW</w:t>
      </w:r>
      <w:r>
        <w:rPr>
          <w:spacing w:val="-1"/>
          <w:w w:val="95"/>
          <w:sz w:val="14"/>
        </w:rPr>
        <w:t xml:space="preserve"> </w:t>
      </w:r>
      <w:r>
        <w:rPr>
          <w:w w:val="95"/>
          <w:sz w:val="14"/>
        </w:rPr>
        <w:t>Government,</w:t>
      </w:r>
      <w:r>
        <w:rPr>
          <w:spacing w:val="-1"/>
          <w:w w:val="95"/>
          <w:sz w:val="14"/>
        </w:rPr>
        <w:t xml:space="preserve"> </w:t>
      </w:r>
      <w:r>
        <w:rPr>
          <w:w w:val="95"/>
          <w:sz w:val="14"/>
        </w:rPr>
        <w:t>2012-13</w:t>
      </w:r>
      <w:r>
        <w:rPr>
          <w:spacing w:val="-1"/>
          <w:w w:val="95"/>
          <w:sz w:val="14"/>
        </w:rPr>
        <w:t xml:space="preserve"> </w:t>
      </w:r>
      <w:r>
        <w:rPr>
          <w:w w:val="95"/>
          <w:sz w:val="14"/>
        </w:rPr>
        <w:t>Budget</w:t>
      </w:r>
      <w:r>
        <w:rPr>
          <w:spacing w:val="-1"/>
          <w:w w:val="95"/>
          <w:sz w:val="14"/>
        </w:rPr>
        <w:t xml:space="preserve"> </w:t>
      </w:r>
      <w:r>
        <w:rPr>
          <w:w w:val="95"/>
          <w:sz w:val="14"/>
        </w:rPr>
        <w:t>Paper</w:t>
      </w:r>
      <w:r>
        <w:rPr>
          <w:spacing w:val="-1"/>
          <w:w w:val="95"/>
          <w:sz w:val="14"/>
        </w:rPr>
        <w:t xml:space="preserve"> </w:t>
      </w:r>
      <w:r>
        <w:rPr>
          <w:w w:val="95"/>
          <w:sz w:val="14"/>
        </w:rPr>
        <w:t>4;</w:t>
      </w:r>
      <w:r>
        <w:rPr>
          <w:spacing w:val="-1"/>
          <w:w w:val="95"/>
          <w:sz w:val="14"/>
        </w:rPr>
        <w:t xml:space="preserve"> </w:t>
      </w:r>
      <w:r>
        <w:rPr>
          <w:w w:val="95"/>
          <w:sz w:val="14"/>
        </w:rPr>
        <w:t>NPV</w:t>
      </w:r>
      <w:r>
        <w:rPr>
          <w:spacing w:val="40"/>
          <w:sz w:val="14"/>
        </w:rPr>
        <w:t xml:space="preserve"> </w:t>
      </w:r>
      <w:r>
        <w:rPr>
          <w:sz w:val="14"/>
        </w:rPr>
        <w:t>total project nominal cost $2.1 billion.</w:t>
      </w:r>
    </w:p>
    <w:p w:rsidR="002C1123" w:rsidRDefault="00F22F94">
      <w:pPr>
        <w:pStyle w:val="BodyText"/>
        <w:spacing w:before="106" w:line="249" w:lineRule="auto"/>
        <w:ind w:left="186" w:right="142"/>
      </w:pPr>
      <w:r>
        <w:br w:type="column"/>
      </w:r>
      <w:r>
        <w:rPr>
          <w:w w:val="95"/>
        </w:rPr>
        <w:t>Infrastructure</w:t>
      </w:r>
      <w:r>
        <w:rPr>
          <w:spacing w:val="-3"/>
          <w:w w:val="95"/>
        </w:rPr>
        <w:t xml:space="preserve"> </w:t>
      </w:r>
      <w:r>
        <w:rPr>
          <w:w w:val="95"/>
        </w:rPr>
        <w:t>NSW</w:t>
      </w:r>
      <w:r>
        <w:rPr>
          <w:spacing w:val="-3"/>
          <w:w w:val="95"/>
        </w:rPr>
        <w:t xml:space="preserve"> </w:t>
      </w:r>
      <w:r>
        <w:rPr>
          <w:w w:val="95"/>
        </w:rPr>
        <w:t>supports</w:t>
      </w:r>
      <w:r>
        <w:rPr>
          <w:spacing w:val="-3"/>
          <w:w w:val="95"/>
        </w:rPr>
        <w:t xml:space="preserve"> </w:t>
      </w:r>
      <w:r>
        <w:rPr>
          <w:w w:val="95"/>
        </w:rPr>
        <w:t>further</w:t>
      </w:r>
      <w:r>
        <w:rPr>
          <w:spacing w:val="-3"/>
          <w:w w:val="95"/>
        </w:rPr>
        <w:t xml:space="preserve"> </w:t>
      </w:r>
      <w:r>
        <w:rPr>
          <w:w w:val="95"/>
        </w:rPr>
        <w:t>investigation</w:t>
      </w:r>
      <w:r>
        <w:rPr>
          <w:spacing w:val="-3"/>
          <w:w w:val="95"/>
        </w:rPr>
        <w:t xml:space="preserve"> </w:t>
      </w:r>
      <w:r>
        <w:rPr>
          <w:w w:val="95"/>
        </w:rPr>
        <w:t xml:space="preserve">into </w:t>
      </w:r>
      <w:r>
        <w:rPr>
          <w:spacing w:val="-2"/>
        </w:rPr>
        <w:t>how</w:t>
      </w:r>
      <w:r>
        <w:rPr>
          <w:spacing w:val="-7"/>
        </w:rPr>
        <w:t xml:space="preserve"> </w:t>
      </w:r>
      <w:r>
        <w:rPr>
          <w:spacing w:val="-2"/>
        </w:rPr>
        <w:t>developers</w:t>
      </w:r>
      <w:r>
        <w:rPr>
          <w:spacing w:val="-7"/>
        </w:rPr>
        <w:t xml:space="preserve"> </w:t>
      </w:r>
      <w:r>
        <w:rPr>
          <w:spacing w:val="-2"/>
        </w:rPr>
        <w:t>might</w:t>
      </w:r>
      <w:r>
        <w:rPr>
          <w:spacing w:val="-7"/>
        </w:rPr>
        <w:t xml:space="preserve"> </w:t>
      </w:r>
      <w:r>
        <w:rPr>
          <w:spacing w:val="-2"/>
        </w:rPr>
        <w:t>contribute</w:t>
      </w:r>
      <w:r>
        <w:rPr>
          <w:spacing w:val="-7"/>
        </w:rPr>
        <w:t xml:space="preserve"> </w:t>
      </w:r>
      <w:r>
        <w:rPr>
          <w:spacing w:val="-2"/>
        </w:rPr>
        <w:t>to</w:t>
      </w:r>
      <w:r>
        <w:rPr>
          <w:spacing w:val="-7"/>
        </w:rPr>
        <w:t xml:space="preserve"> </w:t>
      </w:r>
      <w:r>
        <w:rPr>
          <w:spacing w:val="-2"/>
        </w:rPr>
        <w:t>the</w:t>
      </w:r>
      <w:r>
        <w:rPr>
          <w:spacing w:val="-7"/>
        </w:rPr>
        <w:t xml:space="preserve"> </w:t>
      </w:r>
      <w:r>
        <w:rPr>
          <w:spacing w:val="-2"/>
        </w:rPr>
        <w:t>capital</w:t>
      </w:r>
      <w:r>
        <w:rPr>
          <w:spacing w:val="-7"/>
        </w:rPr>
        <w:t xml:space="preserve"> </w:t>
      </w:r>
      <w:r>
        <w:rPr>
          <w:spacing w:val="-2"/>
        </w:rPr>
        <w:t xml:space="preserve">costs </w:t>
      </w:r>
      <w:r>
        <w:t>associated</w:t>
      </w:r>
      <w:r>
        <w:rPr>
          <w:spacing w:val="-14"/>
        </w:rPr>
        <w:t xml:space="preserve"> </w:t>
      </w:r>
      <w:r>
        <w:t>with</w:t>
      </w:r>
      <w:r>
        <w:rPr>
          <w:spacing w:val="-14"/>
        </w:rPr>
        <w:t xml:space="preserve"> </w:t>
      </w:r>
      <w:r>
        <w:t>development</w:t>
      </w:r>
      <w:r>
        <w:rPr>
          <w:spacing w:val="-14"/>
        </w:rPr>
        <w:t xml:space="preserve"> </w:t>
      </w:r>
      <w:r>
        <w:t>proposals</w:t>
      </w:r>
      <w:r>
        <w:rPr>
          <w:spacing w:val="-14"/>
        </w:rPr>
        <w:t xml:space="preserve"> </w:t>
      </w:r>
      <w:r>
        <w:t>that</w:t>
      </w:r>
      <w:r>
        <w:rPr>
          <w:spacing w:val="-14"/>
        </w:rPr>
        <w:t xml:space="preserve"> </w:t>
      </w:r>
      <w:r>
        <w:t xml:space="preserve">impact </w:t>
      </w:r>
      <w:r>
        <w:rPr>
          <w:w w:val="95"/>
        </w:rPr>
        <w:t xml:space="preserve">on the canal’s operation and pay for the capital costs </w:t>
      </w:r>
      <w:r>
        <w:t>directly</w:t>
      </w:r>
      <w:r>
        <w:rPr>
          <w:spacing w:val="-14"/>
        </w:rPr>
        <w:t xml:space="preserve"> </w:t>
      </w:r>
      <w:r>
        <w:t>driven</w:t>
      </w:r>
      <w:r>
        <w:rPr>
          <w:spacing w:val="-14"/>
        </w:rPr>
        <w:t xml:space="preserve"> </w:t>
      </w:r>
      <w:r>
        <w:t>by</w:t>
      </w:r>
      <w:r>
        <w:rPr>
          <w:spacing w:val="-14"/>
        </w:rPr>
        <w:t xml:space="preserve"> </w:t>
      </w:r>
      <w:r>
        <w:t>the</w:t>
      </w:r>
      <w:r>
        <w:rPr>
          <w:spacing w:val="-14"/>
        </w:rPr>
        <w:t xml:space="preserve"> </w:t>
      </w:r>
      <w:r>
        <w:t>impact</w:t>
      </w:r>
      <w:r>
        <w:rPr>
          <w:spacing w:val="-14"/>
        </w:rPr>
        <w:t xml:space="preserve"> </w:t>
      </w:r>
      <w:r>
        <w:t>of</w:t>
      </w:r>
      <w:r>
        <w:rPr>
          <w:spacing w:val="-14"/>
        </w:rPr>
        <w:t xml:space="preserve"> </w:t>
      </w:r>
      <w:r>
        <w:t>their</w:t>
      </w:r>
      <w:r>
        <w:rPr>
          <w:spacing w:val="-14"/>
        </w:rPr>
        <w:t xml:space="preserve"> </w:t>
      </w:r>
      <w:r>
        <w:t>activities</w:t>
      </w:r>
      <w:r>
        <w:rPr>
          <w:spacing w:val="-14"/>
        </w:rPr>
        <w:t xml:space="preserve"> </w:t>
      </w:r>
      <w:r>
        <w:t>on</w:t>
      </w:r>
      <w:r>
        <w:rPr>
          <w:spacing w:val="-14"/>
        </w:rPr>
        <w:t xml:space="preserve"> </w:t>
      </w:r>
      <w:r>
        <w:t>the Upper</w:t>
      </w:r>
      <w:r>
        <w:rPr>
          <w:spacing w:val="-11"/>
        </w:rPr>
        <w:t xml:space="preserve"> </w:t>
      </w:r>
      <w:r>
        <w:t>Canal.</w:t>
      </w:r>
    </w:p>
    <w:p w:rsidR="002C1123" w:rsidRDefault="00F22F94">
      <w:pPr>
        <w:pStyle w:val="BodyText"/>
        <w:spacing w:before="147" w:line="249" w:lineRule="auto"/>
        <w:ind w:left="186"/>
      </w:pPr>
      <w:r>
        <w:rPr>
          <w:w w:val="95"/>
        </w:rPr>
        <w:t>The</w:t>
      </w:r>
      <w:r>
        <w:rPr>
          <w:spacing w:val="-4"/>
          <w:w w:val="95"/>
        </w:rPr>
        <w:t xml:space="preserve"> </w:t>
      </w:r>
      <w:r>
        <w:rPr>
          <w:w w:val="95"/>
        </w:rPr>
        <w:t>decisions</w:t>
      </w:r>
      <w:r>
        <w:rPr>
          <w:spacing w:val="-4"/>
          <w:w w:val="95"/>
        </w:rPr>
        <w:t xml:space="preserve"> </w:t>
      </w:r>
      <w:r>
        <w:rPr>
          <w:w w:val="95"/>
        </w:rPr>
        <w:t>about</w:t>
      </w:r>
      <w:r>
        <w:rPr>
          <w:spacing w:val="-4"/>
          <w:w w:val="95"/>
        </w:rPr>
        <w:t xml:space="preserve"> </w:t>
      </w:r>
      <w:r>
        <w:rPr>
          <w:w w:val="95"/>
        </w:rPr>
        <w:t>these</w:t>
      </w:r>
      <w:r>
        <w:rPr>
          <w:spacing w:val="-4"/>
          <w:w w:val="95"/>
        </w:rPr>
        <w:t xml:space="preserve"> </w:t>
      </w:r>
      <w:r>
        <w:rPr>
          <w:w w:val="95"/>
        </w:rPr>
        <w:t>investments</w:t>
      </w:r>
      <w:r>
        <w:rPr>
          <w:spacing w:val="-4"/>
          <w:w w:val="95"/>
        </w:rPr>
        <w:t xml:space="preserve"> </w:t>
      </w:r>
      <w:r>
        <w:rPr>
          <w:w w:val="95"/>
        </w:rPr>
        <w:t>are</w:t>
      </w:r>
      <w:r>
        <w:rPr>
          <w:spacing w:val="-4"/>
          <w:w w:val="95"/>
        </w:rPr>
        <w:t xml:space="preserve"> </w:t>
      </w:r>
      <w:r>
        <w:rPr>
          <w:w w:val="95"/>
        </w:rPr>
        <w:t>made</w:t>
      </w:r>
      <w:r>
        <w:rPr>
          <w:spacing w:val="-4"/>
          <w:w w:val="95"/>
        </w:rPr>
        <w:t xml:space="preserve"> </w:t>
      </w:r>
      <w:r>
        <w:rPr>
          <w:w w:val="95"/>
        </w:rPr>
        <w:t xml:space="preserve">more </w:t>
      </w:r>
      <w:r>
        <w:t>difficult</w:t>
      </w:r>
      <w:r>
        <w:rPr>
          <w:spacing w:val="-12"/>
        </w:rPr>
        <w:t xml:space="preserve"> </w:t>
      </w:r>
      <w:r>
        <w:t>by</w:t>
      </w:r>
      <w:r>
        <w:rPr>
          <w:spacing w:val="-13"/>
        </w:rPr>
        <w:t xml:space="preserve"> </w:t>
      </w:r>
      <w:r>
        <w:t>the</w:t>
      </w:r>
      <w:r>
        <w:rPr>
          <w:spacing w:val="-12"/>
        </w:rPr>
        <w:t xml:space="preserve"> </w:t>
      </w:r>
      <w:r>
        <w:t>current</w:t>
      </w:r>
      <w:r>
        <w:rPr>
          <w:spacing w:val="-13"/>
        </w:rPr>
        <w:t xml:space="preserve"> </w:t>
      </w:r>
      <w:r>
        <w:t>organisational</w:t>
      </w:r>
      <w:r>
        <w:rPr>
          <w:spacing w:val="-12"/>
        </w:rPr>
        <w:t xml:space="preserve"> </w:t>
      </w:r>
      <w:r>
        <w:t>arrangements.</w:t>
      </w:r>
    </w:p>
    <w:p w:rsidR="002C1123" w:rsidRDefault="00F22F94">
      <w:pPr>
        <w:pStyle w:val="BodyText"/>
        <w:spacing w:before="1" w:line="249" w:lineRule="auto"/>
        <w:ind w:left="186"/>
      </w:pPr>
      <w:r>
        <w:rPr>
          <w:spacing w:val="-2"/>
        </w:rPr>
        <w:t>Infrastructure</w:t>
      </w:r>
      <w:r>
        <w:rPr>
          <w:spacing w:val="-5"/>
        </w:rPr>
        <w:t xml:space="preserve"> </w:t>
      </w:r>
      <w:r>
        <w:rPr>
          <w:spacing w:val="-2"/>
        </w:rPr>
        <w:t>NSW</w:t>
      </w:r>
      <w:r>
        <w:rPr>
          <w:spacing w:val="-5"/>
        </w:rPr>
        <w:t xml:space="preserve"> </w:t>
      </w:r>
      <w:r>
        <w:rPr>
          <w:spacing w:val="-2"/>
        </w:rPr>
        <w:t>has</w:t>
      </w:r>
      <w:r>
        <w:rPr>
          <w:spacing w:val="-5"/>
        </w:rPr>
        <w:t xml:space="preserve"> </w:t>
      </w:r>
      <w:r>
        <w:rPr>
          <w:spacing w:val="-2"/>
        </w:rPr>
        <w:t>found</w:t>
      </w:r>
      <w:r>
        <w:rPr>
          <w:spacing w:val="-5"/>
        </w:rPr>
        <w:t xml:space="preserve"> </w:t>
      </w:r>
      <w:r>
        <w:rPr>
          <w:spacing w:val="-2"/>
        </w:rPr>
        <w:t>that</w:t>
      </w:r>
      <w:r>
        <w:rPr>
          <w:spacing w:val="-5"/>
        </w:rPr>
        <w:t xml:space="preserve"> </w:t>
      </w:r>
      <w:r>
        <w:rPr>
          <w:spacing w:val="-2"/>
        </w:rPr>
        <w:t>responsibility</w:t>
      </w:r>
      <w:r>
        <w:rPr>
          <w:spacing w:val="-5"/>
        </w:rPr>
        <w:t xml:space="preserve"> </w:t>
      </w:r>
      <w:r>
        <w:rPr>
          <w:spacing w:val="-2"/>
        </w:rPr>
        <w:t xml:space="preserve">for </w:t>
      </w:r>
      <w:r>
        <w:rPr>
          <w:w w:val="95"/>
        </w:rPr>
        <w:t>planning</w:t>
      </w:r>
      <w:r>
        <w:rPr>
          <w:spacing w:val="-6"/>
          <w:w w:val="95"/>
        </w:rPr>
        <w:t xml:space="preserve"> </w:t>
      </w:r>
      <w:r>
        <w:rPr>
          <w:w w:val="95"/>
        </w:rPr>
        <w:t>for</w:t>
      </w:r>
      <w:r>
        <w:rPr>
          <w:spacing w:val="-6"/>
          <w:w w:val="95"/>
        </w:rPr>
        <w:t xml:space="preserve"> </w:t>
      </w:r>
      <w:r>
        <w:rPr>
          <w:w w:val="95"/>
        </w:rPr>
        <w:t>Sydney’s</w:t>
      </w:r>
      <w:r>
        <w:rPr>
          <w:spacing w:val="-6"/>
          <w:w w:val="95"/>
        </w:rPr>
        <w:t xml:space="preserve"> </w:t>
      </w:r>
      <w:r>
        <w:rPr>
          <w:w w:val="95"/>
        </w:rPr>
        <w:t>water</w:t>
      </w:r>
      <w:r>
        <w:rPr>
          <w:spacing w:val="-6"/>
          <w:w w:val="95"/>
        </w:rPr>
        <w:t xml:space="preserve"> </w:t>
      </w:r>
      <w:r>
        <w:rPr>
          <w:w w:val="95"/>
        </w:rPr>
        <w:t>supply</w:t>
      </w:r>
      <w:r>
        <w:rPr>
          <w:spacing w:val="-6"/>
          <w:w w:val="95"/>
        </w:rPr>
        <w:t xml:space="preserve"> </w:t>
      </w:r>
      <w:r>
        <w:rPr>
          <w:w w:val="95"/>
        </w:rPr>
        <w:t>is</w:t>
      </w:r>
      <w:r>
        <w:rPr>
          <w:spacing w:val="-6"/>
          <w:w w:val="95"/>
        </w:rPr>
        <w:t xml:space="preserve"> </w:t>
      </w:r>
      <w:r>
        <w:rPr>
          <w:w w:val="95"/>
        </w:rPr>
        <w:t>disaggregated.</w:t>
      </w:r>
    </w:p>
    <w:p w:rsidR="002C1123" w:rsidRDefault="00F22F94">
      <w:pPr>
        <w:pStyle w:val="BodyText"/>
        <w:spacing w:before="144" w:line="249" w:lineRule="auto"/>
        <w:ind w:left="186" w:right="100"/>
      </w:pPr>
      <w:r>
        <w:rPr>
          <w:w w:val="95"/>
        </w:rPr>
        <w:t>In</w:t>
      </w:r>
      <w:r>
        <w:rPr>
          <w:spacing w:val="-7"/>
          <w:w w:val="95"/>
        </w:rPr>
        <w:t xml:space="preserve"> </w:t>
      </w:r>
      <w:r>
        <w:rPr>
          <w:w w:val="95"/>
        </w:rPr>
        <w:t>the</w:t>
      </w:r>
      <w:r>
        <w:rPr>
          <w:spacing w:val="-7"/>
          <w:w w:val="95"/>
        </w:rPr>
        <w:t xml:space="preserve"> </w:t>
      </w:r>
      <w:r>
        <w:rPr>
          <w:w w:val="95"/>
        </w:rPr>
        <w:t>next</w:t>
      </w:r>
      <w:r>
        <w:rPr>
          <w:spacing w:val="-7"/>
          <w:w w:val="95"/>
        </w:rPr>
        <w:t xml:space="preserve"> </w:t>
      </w:r>
      <w:r>
        <w:rPr>
          <w:w w:val="95"/>
        </w:rPr>
        <w:t>20</w:t>
      </w:r>
      <w:r>
        <w:rPr>
          <w:spacing w:val="-7"/>
          <w:w w:val="95"/>
        </w:rPr>
        <w:t xml:space="preserve"> </w:t>
      </w:r>
      <w:r>
        <w:rPr>
          <w:w w:val="95"/>
        </w:rPr>
        <w:t>years,</w:t>
      </w:r>
      <w:r>
        <w:rPr>
          <w:spacing w:val="-7"/>
          <w:w w:val="95"/>
        </w:rPr>
        <w:t xml:space="preserve"> </w:t>
      </w:r>
      <w:r>
        <w:rPr>
          <w:w w:val="95"/>
        </w:rPr>
        <w:t>significant</w:t>
      </w:r>
      <w:r>
        <w:rPr>
          <w:spacing w:val="-7"/>
          <w:w w:val="95"/>
        </w:rPr>
        <w:t xml:space="preserve"> </w:t>
      </w:r>
      <w:r>
        <w:rPr>
          <w:w w:val="95"/>
        </w:rPr>
        <w:t>investment</w:t>
      </w:r>
      <w:r>
        <w:rPr>
          <w:spacing w:val="-7"/>
          <w:w w:val="95"/>
        </w:rPr>
        <w:t xml:space="preserve"> </w:t>
      </w:r>
      <w:r>
        <w:rPr>
          <w:w w:val="95"/>
        </w:rPr>
        <w:t>is</w:t>
      </w:r>
      <w:r>
        <w:rPr>
          <w:spacing w:val="-7"/>
          <w:w w:val="95"/>
        </w:rPr>
        <w:t xml:space="preserve"> </w:t>
      </w:r>
      <w:r>
        <w:rPr>
          <w:w w:val="95"/>
        </w:rPr>
        <w:t xml:space="preserve">required </w:t>
      </w:r>
      <w:r>
        <w:t>for</w:t>
      </w:r>
      <w:r>
        <w:rPr>
          <w:spacing w:val="-14"/>
        </w:rPr>
        <w:t xml:space="preserve"> </w:t>
      </w:r>
      <w:r>
        <w:t>water</w:t>
      </w:r>
      <w:r>
        <w:rPr>
          <w:spacing w:val="-14"/>
        </w:rPr>
        <w:t xml:space="preserve"> </w:t>
      </w:r>
      <w:r>
        <w:t>for</w:t>
      </w:r>
      <w:r>
        <w:rPr>
          <w:spacing w:val="-14"/>
        </w:rPr>
        <w:t xml:space="preserve"> </w:t>
      </w:r>
      <w:r>
        <w:t>the</w:t>
      </w:r>
      <w:r>
        <w:rPr>
          <w:spacing w:val="-13"/>
        </w:rPr>
        <w:t xml:space="preserve"> </w:t>
      </w:r>
      <w:r>
        <w:t>Sydney</w:t>
      </w:r>
      <w:r>
        <w:rPr>
          <w:spacing w:val="-14"/>
        </w:rPr>
        <w:t xml:space="preserve"> </w:t>
      </w:r>
      <w:r>
        <w:t>area,</w:t>
      </w:r>
      <w:r>
        <w:rPr>
          <w:spacing w:val="-14"/>
        </w:rPr>
        <w:t xml:space="preserve"> </w:t>
      </w:r>
      <w:r>
        <w:t>the</w:t>
      </w:r>
      <w:r>
        <w:rPr>
          <w:spacing w:val="-14"/>
        </w:rPr>
        <w:t xml:space="preserve"> </w:t>
      </w:r>
      <w:r>
        <w:t>scale</w:t>
      </w:r>
      <w:r>
        <w:rPr>
          <w:spacing w:val="-13"/>
        </w:rPr>
        <w:t xml:space="preserve"> </w:t>
      </w:r>
      <w:r>
        <w:t>of</w:t>
      </w:r>
      <w:r>
        <w:rPr>
          <w:spacing w:val="-14"/>
        </w:rPr>
        <w:t xml:space="preserve"> </w:t>
      </w:r>
      <w:r>
        <w:t>which</w:t>
      </w:r>
      <w:r>
        <w:rPr>
          <w:spacing w:val="-14"/>
        </w:rPr>
        <w:t xml:space="preserve"> </w:t>
      </w:r>
      <w:r>
        <w:t xml:space="preserve">is </w:t>
      </w:r>
      <w:r>
        <w:rPr>
          <w:w w:val="95"/>
        </w:rPr>
        <w:t>many</w:t>
      </w:r>
      <w:r>
        <w:rPr>
          <w:spacing w:val="-3"/>
          <w:w w:val="95"/>
        </w:rPr>
        <w:t xml:space="preserve"> </w:t>
      </w:r>
      <w:r>
        <w:rPr>
          <w:w w:val="95"/>
        </w:rPr>
        <w:t>times</w:t>
      </w:r>
      <w:r>
        <w:rPr>
          <w:spacing w:val="-3"/>
          <w:w w:val="95"/>
        </w:rPr>
        <w:t xml:space="preserve"> </w:t>
      </w:r>
      <w:r>
        <w:rPr>
          <w:w w:val="95"/>
        </w:rPr>
        <w:t>the</w:t>
      </w:r>
      <w:r>
        <w:rPr>
          <w:spacing w:val="-3"/>
          <w:w w:val="95"/>
        </w:rPr>
        <w:t xml:space="preserve"> </w:t>
      </w:r>
      <w:r>
        <w:rPr>
          <w:w w:val="95"/>
        </w:rPr>
        <w:t>Sydney</w:t>
      </w:r>
      <w:r>
        <w:rPr>
          <w:spacing w:val="-3"/>
          <w:w w:val="95"/>
        </w:rPr>
        <w:t xml:space="preserve"> </w:t>
      </w:r>
      <w:r>
        <w:rPr>
          <w:w w:val="95"/>
        </w:rPr>
        <w:t>Catchment</w:t>
      </w:r>
      <w:r>
        <w:rPr>
          <w:spacing w:val="-3"/>
          <w:w w:val="95"/>
        </w:rPr>
        <w:t xml:space="preserve"> </w:t>
      </w:r>
      <w:r>
        <w:rPr>
          <w:w w:val="95"/>
        </w:rPr>
        <w:t>Authority’s</w:t>
      </w:r>
      <w:r>
        <w:rPr>
          <w:spacing w:val="-3"/>
          <w:w w:val="95"/>
        </w:rPr>
        <w:t xml:space="preserve"> </w:t>
      </w:r>
      <w:r>
        <w:rPr>
          <w:w w:val="95"/>
        </w:rPr>
        <w:t>capital</w:t>
      </w:r>
    </w:p>
    <w:p w:rsidR="002C1123" w:rsidRDefault="00F22F94">
      <w:pPr>
        <w:pStyle w:val="BodyText"/>
        <w:spacing w:before="2" w:line="249" w:lineRule="auto"/>
        <w:ind w:left="186"/>
      </w:pPr>
      <w:r>
        <w:rPr>
          <w:w w:val="95"/>
        </w:rPr>
        <w:t>program average spend which is $40 million per annum. Sydney</w:t>
      </w:r>
      <w:r>
        <w:rPr>
          <w:spacing w:val="-6"/>
          <w:w w:val="95"/>
        </w:rPr>
        <w:t xml:space="preserve"> </w:t>
      </w:r>
      <w:r>
        <w:rPr>
          <w:w w:val="95"/>
        </w:rPr>
        <w:t>Water</w:t>
      </w:r>
      <w:r>
        <w:rPr>
          <w:spacing w:val="-6"/>
          <w:w w:val="95"/>
        </w:rPr>
        <w:t xml:space="preserve"> </w:t>
      </w:r>
      <w:r>
        <w:rPr>
          <w:w w:val="95"/>
        </w:rPr>
        <w:t>receives</w:t>
      </w:r>
      <w:r>
        <w:rPr>
          <w:spacing w:val="-6"/>
          <w:w w:val="95"/>
        </w:rPr>
        <w:t xml:space="preserve"> </w:t>
      </w:r>
      <w:r>
        <w:rPr>
          <w:w w:val="95"/>
        </w:rPr>
        <w:t>99</w:t>
      </w:r>
      <w:r>
        <w:rPr>
          <w:spacing w:val="-6"/>
          <w:w w:val="95"/>
        </w:rPr>
        <w:t xml:space="preserve"> </w:t>
      </w:r>
      <w:r>
        <w:rPr>
          <w:w w:val="95"/>
        </w:rPr>
        <w:t>percent</w:t>
      </w:r>
      <w:r>
        <w:rPr>
          <w:spacing w:val="-6"/>
          <w:w w:val="95"/>
        </w:rPr>
        <w:t xml:space="preserve"> </w:t>
      </w:r>
      <w:r>
        <w:rPr>
          <w:w w:val="95"/>
        </w:rPr>
        <w:t>of</w:t>
      </w:r>
      <w:r>
        <w:rPr>
          <w:spacing w:val="-6"/>
          <w:w w:val="95"/>
        </w:rPr>
        <w:t xml:space="preserve"> </w:t>
      </w:r>
      <w:r>
        <w:rPr>
          <w:w w:val="95"/>
        </w:rPr>
        <w:t>Sydney</w:t>
      </w:r>
      <w:r>
        <w:rPr>
          <w:spacing w:val="-6"/>
          <w:w w:val="95"/>
        </w:rPr>
        <w:t xml:space="preserve"> </w:t>
      </w:r>
      <w:r>
        <w:rPr>
          <w:w w:val="95"/>
        </w:rPr>
        <w:t xml:space="preserve">Catchment </w:t>
      </w:r>
      <w:r>
        <w:rPr>
          <w:spacing w:val="-2"/>
        </w:rPr>
        <w:t>Authority’s</w:t>
      </w:r>
      <w:r>
        <w:rPr>
          <w:spacing w:val="-7"/>
        </w:rPr>
        <w:t xml:space="preserve"> </w:t>
      </w:r>
      <w:r>
        <w:rPr>
          <w:spacing w:val="-2"/>
        </w:rPr>
        <w:t>water</w:t>
      </w:r>
      <w:r>
        <w:rPr>
          <w:spacing w:val="-7"/>
        </w:rPr>
        <w:t xml:space="preserve"> </w:t>
      </w:r>
      <w:r>
        <w:rPr>
          <w:spacing w:val="-2"/>
        </w:rPr>
        <w:t>and</w:t>
      </w:r>
      <w:r>
        <w:rPr>
          <w:spacing w:val="-7"/>
        </w:rPr>
        <w:t xml:space="preserve"> </w:t>
      </w:r>
      <w:r>
        <w:rPr>
          <w:spacing w:val="-2"/>
        </w:rPr>
        <w:t>pays</w:t>
      </w:r>
      <w:r>
        <w:rPr>
          <w:spacing w:val="-7"/>
        </w:rPr>
        <w:t xml:space="preserve"> </w:t>
      </w:r>
      <w:r>
        <w:rPr>
          <w:spacing w:val="-2"/>
        </w:rPr>
        <w:t>a</w:t>
      </w:r>
      <w:r>
        <w:rPr>
          <w:spacing w:val="-7"/>
        </w:rPr>
        <w:t xml:space="preserve"> </w:t>
      </w:r>
      <w:r>
        <w:rPr>
          <w:spacing w:val="-2"/>
        </w:rPr>
        <w:t>largely</w:t>
      </w:r>
      <w:r>
        <w:rPr>
          <w:spacing w:val="-7"/>
        </w:rPr>
        <w:t xml:space="preserve"> </w:t>
      </w:r>
      <w:r>
        <w:rPr>
          <w:spacing w:val="-2"/>
        </w:rPr>
        <w:t>(80</w:t>
      </w:r>
      <w:r>
        <w:rPr>
          <w:spacing w:val="-7"/>
        </w:rPr>
        <w:t xml:space="preserve"> </w:t>
      </w:r>
      <w:r>
        <w:rPr>
          <w:spacing w:val="-2"/>
        </w:rPr>
        <w:t>percent)</w:t>
      </w:r>
      <w:r>
        <w:rPr>
          <w:spacing w:val="-7"/>
        </w:rPr>
        <w:t xml:space="preserve"> </w:t>
      </w:r>
      <w:r>
        <w:rPr>
          <w:spacing w:val="-2"/>
        </w:rPr>
        <w:t xml:space="preserve">fixed </w:t>
      </w:r>
      <w:r>
        <w:t>charge.</w:t>
      </w:r>
      <w:r>
        <w:rPr>
          <w:spacing w:val="-14"/>
        </w:rPr>
        <w:t xml:space="preserve"> </w:t>
      </w:r>
      <w:r>
        <w:t>This</w:t>
      </w:r>
      <w:r>
        <w:rPr>
          <w:spacing w:val="-14"/>
        </w:rPr>
        <w:t xml:space="preserve"> </w:t>
      </w:r>
      <w:r>
        <w:t>means</w:t>
      </w:r>
      <w:r>
        <w:rPr>
          <w:spacing w:val="-14"/>
        </w:rPr>
        <w:t xml:space="preserve"> </w:t>
      </w:r>
      <w:r>
        <w:t>that</w:t>
      </w:r>
      <w:r>
        <w:rPr>
          <w:spacing w:val="-14"/>
        </w:rPr>
        <w:t xml:space="preserve"> </w:t>
      </w:r>
      <w:r>
        <w:t>there</w:t>
      </w:r>
      <w:r>
        <w:rPr>
          <w:spacing w:val="-14"/>
        </w:rPr>
        <w:t xml:space="preserve"> </w:t>
      </w:r>
      <w:r>
        <w:t>is</w:t>
      </w:r>
      <w:r>
        <w:rPr>
          <w:spacing w:val="-14"/>
        </w:rPr>
        <w:t xml:space="preserve"> </w:t>
      </w:r>
      <w:r>
        <w:t>no</w:t>
      </w:r>
      <w:r>
        <w:rPr>
          <w:spacing w:val="-14"/>
        </w:rPr>
        <w:t xml:space="preserve"> </w:t>
      </w:r>
      <w:r>
        <w:t>effective</w:t>
      </w:r>
      <w:r>
        <w:rPr>
          <w:spacing w:val="-14"/>
        </w:rPr>
        <w:t xml:space="preserve"> </w:t>
      </w:r>
      <w:r>
        <w:t>efficiency or</w:t>
      </w:r>
      <w:r>
        <w:rPr>
          <w:spacing w:val="-5"/>
        </w:rPr>
        <w:t xml:space="preserve"> </w:t>
      </w:r>
      <w:r>
        <w:t>competitive</w:t>
      </w:r>
      <w:r>
        <w:rPr>
          <w:spacing w:val="-5"/>
        </w:rPr>
        <w:t xml:space="preserve"> </w:t>
      </w:r>
      <w:r>
        <w:t>incentive</w:t>
      </w:r>
      <w:r>
        <w:rPr>
          <w:spacing w:val="-5"/>
        </w:rPr>
        <w:t xml:space="preserve"> </w:t>
      </w:r>
      <w:r>
        <w:t>arrangement</w:t>
      </w:r>
      <w:r>
        <w:rPr>
          <w:spacing w:val="-5"/>
        </w:rPr>
        <w:t xml:space="preserve"> </w:t>
      </w:r>
      <w:r>
        <w:t>between</w:t>
      </w:r>
    </w:p>
    <w:p w:rsidR="002C1123" w:rsidRDefault="00F22F94">
      <w:pPr>
        <w:pStyle w:val="BodyText"/>
        <w:spacing w:before="4"/>
        <w:ind w:left="186"/>
      </w:pPr>
      <w:r>
        <w:rPr>
          <w:w w:val="95"/>
        </w:rPr>
        <w:t>Sydney</w:t>
      </w:r>
      <w:r>
        <w:rPr>
          <w:spacing w:val="-5"/>
          <w:w w:val="95"/>
        </w:rPr>
        <w:t xml:space="preserve"> </w:t>
      </w:r>
      <w:r>
        <w:rPr>
          <w:w w:val="95"/>
        </w:rPr>
        <w:t>Catchment</w:t>
      </w:r>
      <w:r>
        <w:rPr>
          <w:spacing w:val="-4"/>
          <w:w w:val="95"/>
        </w:rPr>
        <w:t xml:space="preserve"> </w:t>
      </w:r>
      <w:r>
        <w:rPr>
          <w:w w:val="95"/>
        </w:rPr>
        <w:t>Authority</w:t>
      </w:r>
      <w:r>
        <w:rPr>
          <w:spacing w:val="-4"/>
          <w:w w:val="95"/>
        </w:rPr>
        <w:t xml:space="preserve"> </w:t>
      </w:r>
      <w:r>
        <w:rPr>
          <w:w w:val="95"/>
        </w:rPr>
        <w:t>and</w:t>
      </w:r>
      <w:r>
        <w:rPr>
          <w:spacing w:val="-4"/>
          <w:w w:val="95"/>
        </w:rPr>
        <w:t xml:space="preserve"> </w:t>
      </w:r>
      <w:r>
        <w:rPr>
          <w:w w:val="95"/>
        </w:rPr>
        <w:t>Sydney</w:t>
      </w:r>
      <w:r>
        <w:rPr>
          <w:spacing w:val="-4"/>
          <w:w w:val="95"/>
        </w:rPr>
        <w:t xml:space="preserve"> </w:t>
      </w:r>
      <w:r>
        <w:rPr>
          <w:spacing w:val="-2"/>
          <w:w w:val="95"/>
        </w:rPr>
        <w:t>Water.</w:t>
      </w:r>
    </w:p>
    <w:p w:rsidR="002C1123" w:rsidRDefault="00F22F94">
      <w:pPr>
        <w:pStyle w:val="BodyText"/>
        <w:spacing w:before="10" w:line="249" w:lineRule="auto"/>
        <w:ind w:left="186"/>
      </w:pPr>
      <w:r>
        <w:rPr>
          <w:w w:val="95"/>
        </w:rPr>
        <w:t>The</w:t>
      </w:r>
      <w:r>
        <w:rPr>
          <w:spacing w:val="-2"/>
          <w:w w:val="95"/>
        </w:rPr>
        <w:t xml:space="preserve"> </w:t>
      </w:r>
      <w:r>
        <w:rPr>
          <w:w w:val="95"/>
        </w:rPr>
        <w:t>cost</w:t>
      </w:r>
      <w:r>
        <w:rPr>
          <w:spacing w:val="-2"/>
          <w:w w:val="95"/>
        </w:rPr>
        <w:t xml:space="preserve"> </w:t>
      </w:r>
      <w:r>
        <w:rPr>
          <w:w w:val="95"/>
        </w:rPr>
        <w:t>burden</w:t>
      </w:r>
      <w:r>
        <w:rPr>
          <w:spacing w:val="-2"/>
          <w:w w:val="95"/>
        </w:rPr>
        <w:t xml:space="preserve"> </w:t>
      </w:r>
      <w:r>
        <w:rPr>
          <w:w w:val="95"/>
        </w:rPr>
        <w:t>of</w:t>
      </w:r>
      <w:r>
        <w:rPr>
          <w:spacing w:val="-2"/>
          <w:w w:val="95"/>
        </w:rPr>
        <w:t xml:space="preserve"> </w:t>
      </w:r>
      <w:r>
        <w:rPr>
          <w:w w:val="95"/>
        </w:rPr>
        <w:t>two</w:t>
      </w:r>
      <w:r>
        <w:rPr>
          <w:spacing w:val="-2"/>
          <w:w w:val="95"/>
        </w:rPr>
        <w:t xml:space="preserve"> </w:t>
      </w:r>
      <w:r>
        <w:rPr>
          <w:w w:val="95"/>
        </w:rPr>
        <w:t>separate</w:t>
      </w:r>
      <w:r>
        <w:rPr>
          <w:spacing w:val="-2"/>
          <w:w w:val="95"/>
        </w:rPr>
        <w:t xml:space="preserve"> </w:t>
      </w:r>
      <w:r>
        <w:rPr>
          <w:w w:val="95"/>
        </w:rPr>
        <w:t>organisations</w:t>
      </w:r>
      <w:r>
        <w:rPr>
          <w:spacing w:val="-2"/>
          <w:w w:val="95"/>
        </w:rPr>
        <w:t xml:space="preserve"> </w:t>
      </w:r>
      <w:r>
        <w:rPr>
          <w:w w:val="95"/>
        </w:rPr>
        <w:t>is</w:t>
      </w:r>
      <w:r>
        <w:rPr>
          <w:spacing w:val="-2"/>
          <w:w w:val="95"/>
        </w:rPr>
        <w:t xml:space="preserve"> </w:t>
      </w:r>
      <w:r>
        <w:rPr>
          <w:w w:val="95"/>
        </w:rPr>
        <w:t xml:space="preserve">passed </w:t>
      </w:r>
      <w:r>
        <w:t>to</w:t>
      </w:r>
      <w:r>
        <w:rPr>
          <w:spacing w:val="-11"/>
        </w:rPr>
        <w:t xml:space="preserve"> </w:t>
      </w:r>
      <w:r>
        <w:t>customers.</w:t>
      </w:r>
    </w:p>
    <w:p w:rsidR="002C1123" w:rsidRDefault="00F22F94">
      <w:pPr>
        <w:pStyle w:val="BodyText"/>
        <w:spacing w:before="144" w:line="249" w:lineRule="auto"/>
        <w:ind w:left="186" w:right="693"/>
      </w:pPr>
      <w:r>
        <w:rPr>
          <w:w w:val="95"/>
        </w:rPr>
        <w:t>Infrastructure</w:t>
      </w:r>
      <w:r>
        <w:rPr>
          <w:spacing w:val="-7"/>
          <w:w w:val="95"/>
        </w:rPr>
        <w:t xml:space="preserve"> </w:t>
      </w:r>
      <w:r>
        <w:rPr>
          <w:w w:val="95"/>
        </w:rPr>
        <w:t>NSW</w:t>
      </w:r>
      <w:r>
        <w:rPr>
          <w:spacing w:val="-7"/>
          <w:w w:val="95"/>
        </w:rPr>
        <w:t xml:space="preserve"> </w:t>
      </w:r>
      <w:r>
        <w:rPr>
          <w:w w:val="95"/>
        </w:rPr>
        <w:t>notes</w:t>
      </w:r>
      <w:r>
        <w:rPr>
          <w:spacing w:val="-7"/>
          <w:w w:val="95"/>
        </w:rPr>
        <w:t xml:space="preserve"> </w:t>
      </w:r>
      <w:r>
        <w:rPr>
          <w:w w:val="95"/>
        </w:rPr>
        <w:t>that</w:t>
      </w:r>
      <w:r>
        <w:rPr>
          <w:spacing w:val="-7"/>
          <w:w w:val="95"/>
        </w:rPr>
        <w:t xml:space="preserve"> </w:t>
      </w:r>
      <w:r>
        <w:rPr>
          <w:w w:val="95"/>
        </w:rPr>
        <w:t>potential</w:t>
      </w:r>
      <w:r>
        <w:rPr>
          <w:spacing w:val="-7"/>
          <w:w w:val="95"/>
        </w:rPr>
        <w:t xml:space="preserve"> </w:t>
      </w:r>
      <w:r>
        <w:rPr>
          <w:w w:val="95"/>
        </w:rPr>
        <w:t>benefits of transferring water assets would be improved</w:t>
      </w:r>
    </w:p>
    <w:p w:rsidR="002C1123" w:rsidRDefault="00F22F94">
      <w:pPr>
        <w:pStyle w:val="BodyText"/>
        <w:spacing w:before="1" w:line="249" w:lineRule="auto"/>
        <w:ind w:left="186"/>
      </w:pPr>
      <w:r>
        <w:rPr>
          <w:w w:val="95"/>
        </w:rPr>
        <w:t>execution</w:t>
      </w:r>
      <w:r>
        <w:rPr>
          <w:spacing w:val="-1"/>
          <w:w w:val="95"/>
        </w:rPr>
        <w:t xml:space="preserve"> </w:t>
      </w:r>
      <w:r>
        <w:rPr>
          <w:w w:val="95"/>
        </w:rPr>
        <w:t>efficiency</w:t>
      </w:r>
      <w:r>
        <w:rPr>
          <w:spacing w:val="-1"/>
          <w:w w:val="95"/>
        </w:rPr>
        <w:t xml:space="preserve"> </w:t>
      </w:r>
      <w:r>
        <w:rPr>
          <w:w w:val="95"/>
        </w:rPr>
        <w:t>capability,</w:t>
      </w:r>
      <w:r>
        <w:rPr>
          <w:spacing w:val="-1"/>
          <w:w w:val="95"/>
        </w:rPr>
        <w:t xml:space="preserve"> </w:t>
      </w:r>
      <w:r>
        <w:rPr>
          <w:w w:val="95"/>
        </w:rPr>
        <w:t>and</w:t>
      </w:r>
      <w:r>
        <w:rPr>
          <w:spacing w:val="-1"/>
          <w:w w:val="95"/>
        </w:rPr>
        <w:t xml:space="preserve"> </w:t>
      </w:r>
      <w:r>
        <w:rPr>
          <w:w w:val="95"/>
        </w:rPr>
        <w:t>reduced</w:t>
      </w:r>
      <w:r>
        <w:rPr>
          <w:spacing w:val="-1"/>
          <w:w w:val="95"/>
        </w:rPr>
        <w:t xml:space="preserve"> </w:t>
      </w:r>
      <w:r>
        <w:rPr>
          <w:w w:val="95"/>
        </w:rPr>
        <w:t>capital</w:t>
      </w:r>
      <w:r>
        <w:rPr>
          <w:spacing w:val="-1"/>
          <w:w w:val="95"/>
        </w:rPr>
        <w:t xml:space="preserve"> </w:t>
      </w:r>
      <w:r>
        <w:rPr>
          <w:w w:val="95"/>
        </w:rPr>
        <w:t xml:space="preserve">and </w:t>
      </w:r>
      <w:r>
        <w:t>operating</w:t>
      </w:r>
      <w:r>
        <w:rPr>
          <w:spacing w:val="-11"/>
        </w:rPr>
        <w:t xml:space="preserve"> </w:t>
      </w:r>
      <w:r>
        <w:t>cost.</w:t>
      </w:r>
    </w:p>
    <w:p w:rsidR="002C1123" w:rsidRDefault="00F22F94">
      <w:pPr>
        <w:pStyle w:val="Heading6"/>
        <w:numPr>
          <w:ilvl w:val="2"/>
          <w:numId w:val="55"/>
        </w:numPr>
        <w:tabs>
          <w:tab w:val="left" w:pos="782"/>
        </w:tabs>
        <w:spacing w:before="144"/>
        <w:ind w:left="781" w:hanging="596"/>
        <w:jc w:val="left"/>
        <w:rPr>
          <w:color w:val="00AEEF"/>
        </w:rPr>
      </w:pPr>
      <w:r>
        <w:rPr>
          <w:color w:val="00AEEF"/>
          <w:spacing w:val="-2"/>
        </w:rPr>
        <w:t>Hunter</w:t>
      </w:r>
      <w:r>
        <w:rPr>
          <w:color w:val="00AEEF"/>
          <w:spacing w:val="-5"/>
        </w:rPr>
        <w:t xml:space="preserve"> </w:t>
      </w:r>
      <w:r>
        <w:rPr>
          <w:color w:val="00AEEF"/>
          <w:spacing w:val="-2"/>
        </w:rPr>
        <w:t>and</w:t>
      </w:r>
      <w:r>
        <w:rPr>
          <w:color w:val="00AEEF"/>
          <w:spacing w:val="-4"/>
        </w:rPr>
        <w:t xml:space="preserve"> </w:t>
      </w:r>
      <w:r>
        <w:rPr>
          <w:color w:val="00AEEF"/>
          <w:spacing w:val="-2"/>
        </w:rPr>
        <w:t>Central</w:t>
      </w:r>
      <w:r>
        <w:rPr>
          <w:color w:val="00AEEF"/>
          <w:spacing w:val="-4"/>
        </w:rPr>
        <w:t xml:space="preserve"> </w:t>
      </w:r>
      <w:r>
        <w:rPr>
          <w:color w:val="00AEEF"/>
          <w:spacing w:val="-2"/>
        </w:rPr>
        <w:t>Coast</w:t>
      </w:r>
      <w:r>
        <w:rPr>
          <w:color w:val="00AEEF"/>
          <w:spacing w:val="-4"/>
        </w:rPr>
        <w:t xml:space="preserve"> </w:t>
      </w:r>
      <w:r>
        <w:rPr>
          <w:color w:val="00AEEF"/>
          <w:spacing w:val="-2"/>
        </w:rPr>
        <w:t>regions</w:t>
      </w:r>
    </w:p>
    <w:p w:rsidR="002C1123" w:rsidRDefault="00F22F94">
      <w:pPr>
        <w:pStyle w:val="BodyText"/>
        <w:spacing w:before="95" w:line="249" w:lineRule="auto"/>
        <w:ind w:left="186" w:right="142"/>
      </w:pPr>
      <w:r>
        <w:rPr>
          <w:w w:val="95"/>
        </w:rPr>
        <w:t>The</w:t>
      </w:r>
      <w:r>
        <w:rPr>
          <w:spacing w:val="-10"/>
          <w:w w:val="95"/>
        </w:rPr>
        <w:t xml:space="preserve"> </w:t>
      </w:r>
      <w:r>
        <w:rPr>
          <w:w w:val="95"/>
        </w:rPr>
        <w:t>Hunter</w:t>
      </w:r>
      <w:r>
        <w:rPr>
          <w:spacing w:val="-10"/>
          <w:w w:val="95"/>
        </w:rPr>
        <w:t xml:space="preserve"> </w:t>
      </w:r>
      <w:r>
        <w:rPr>
          <w:w w:val="95"/>
        </w:rPr>
        <w:t>region’s</w:t>
      </w:r>
      <w:r>
        <w:rPr>
          <w:spacing w:val="-10"/>
          <w:w w:val="95"/>
        </w:rPr>
        <w:t xml:space="preserve"> </w:t>
      </w:r>
      <w:r>
        <w:rPr>
          <w:w w:val="95"/>
        </w:rPr>
        <w:t>water</w:t>
      </w:r>
      <w:r>
        <w:rPr>
          <w:spacing w:val="-10"/>
          <w:w w:val="95"/>
        </w:rPr>
        <w:t xml:space="preserve"> </w:t>
      </w:r>
      <w:r>
        <w:rPr>
          <w:w w:val="95"/>
        </w:rPr>
        <w:t>supply</w:t>
      </w:r>
      <w:r>
        <w:rPr>
          <w:spacing w:val="-10"/>
          <w:w w:val="95"/>
        </w:rPr>
        <w:t xml:space="preserve"> </w:t>
      </w:r>
      <w:r>
        <w:rPr>
          <w:w w:val="95"/>
        </w:rPr>
        <w:t>is</w:t>
      </w:r>
      <w:r>
        <w:rPr>
          <w:spacing w:val="-10"/>
          <w:w w:val="95"/>
        </w:rPr>
        <w:t xml:space="preserve"> </w:t>
      </w:r>
      <w:r>
        <w:rPr>
          <w:w w:val="95"/>
        </w:rPr>
        <w:t>far</w:t>
      </w:r>
      <w:r>
        <w:rPr>
          <w:spacing w:val="-10"/>
          <w:w w:val="95"/>
        </w:rPr>
        <w:t xml:space="preserve"> </w:t>
      </w:r>
      <w:r>
        <w:rPr>
          <w:w w:val="95"/>
        </w:rPr>
        <w:t>less</w:t>
      </w:r>
      <w:r>
        <w:rPr>
          <w:spacing w:val="-10"/>
          <w:w w:val="95"/>
        </w:rPr>
        <w:t xml:space="preserve"> </w:t>
      </w:r>
      <w:r>
        <w:rPr>
          <w:w w:val="95"/>
        </w:rPr>
        <w:t>secure</w:t>
      </w:r>
      <w:r>
        <w:rPr>
          <w:spacing w:val="-10"/>
          <w:w w:val="95"/>
        </w:rPr>
        <w:t xml:space="preserve"> </w:t>
      </w:r>
      <w:r>
        <w:rPr>
          <w:w w:val="95"/>
        </w:rPr>
        <w:t xml:space="preserve">than </w:t>
      </w:r>
      <w:r>
        <w:t>that</w:t>
      </w:r>
      <w:r>
        <w:rPr>
          <w:spacing w:val="-14"/>
        </w:rPr>
        <w:t xml:space="preserve"> </w:t>
      </w:r>
      <w:r>
        <w:t>of</w:t>
      </w:r>
      <w:r>
        <w:rPr>
          <w:spacing w:val="-14"/>
        </w:rPr>
        <w:t xml:space="preserve"> </w:t>
      </w:r>
      <w:r>
        <w:t>the</w:t>
      </w:r>
      <w:r>
        <w:rPr>
          <w:spacing w:val="-14"/>
        </w:rPr>
        <w:t xml:space="preserve"> </w:t>
      </w:r>
      <w:r>
        <w:t>Sydney</w:t>
      </w:r>
      <w:r>
        <w:rPr>
          <w:spacing w:val="-14"/>
        </w:rPr>
        <w:t xml:space="preserve"> </w:t>
      </w:r>
      <w:r>
        <w:t>metropolitan</w:t>
      </w:r>
      <w:r>
        <w:rPr>
          <w:spacing w:val="-14"/>
        </w:rPr>
        <w:t xml:space="preserve"> </w:t>
      </w:r>
      <w:r>
        <w:t>area.</w:t>
      </w:r>
      <w:r>
        <w:rPr>
          <w:spacing w:val="-14"/>
        </w:rPr>
        <w:t xml:space="preserve"> </w:t>
      </w:r>
      <w:r>
        <w:t>Water</w:t>
      </w:r>
      <w:r>
        <w:rPr>
          <w:spacing w:val="-14"/>
        </w:rPr>
        <w:t xml:space="preserve"> </w:t>
      </w:r>
      <w:r>
        <w:t xml:space="preserve">storages </w:t>
      </w:r>
      <w:r>
        <w:rPr>
          <w:w w:val="95"/>
        </w:rPr>
        <w:t>in</w:t>
      </w:r>
      <w:r>
        <w:rPr>
          <w:spacing w:val="-5"/>
          <w:w w:val="95"/>
        </w:rPr>
        <w:t xml:space="preserve"> </w:t>
      </w:r>
      <w:r>
        <w:rPr>
          <w:w w:val="95"/>
        </w:rPr>
        <w:t>the</w:t>
      </w:r>
      <w:r>
        <w:rPr>
          <w:spacing w:val="-5"/>
          <w:w w:val="95"/>
        </w:rPr>
        <w:t xml:space="preserve"> </w:t>
      </w:r>
      <w:r>
        <w:rPr>
          <w:w w:val="95"/>
        </w:rPr>
        <w:t>Hunter</w:t>
      </w:r>
      <w:r>
        <w:rPr>
          <w:spacing w:val="-5"/>
          <w:w w:val="95"/>
        </w:rPr>
        <w:t xml:space="preserve"> </w:t>
      </w:r>
      <w:r>
        <w:rPr>
          <w:w w:val="95"/>
        </w:rPr>
        <w:t>are</w:t>
      </w:r>
      <w:r>
        <w:rPr>
          <w:spacing w:val="-5"/>
          <w:w w:val="95"/>
        </w:rPr>
        <w:t xml:space="preserve"> </w:t>
      </w:r>
      <w:r>
        <w:rPr>
          <w:w w:val="95"/>
        </w:rPr>
        <w:t>relatively</w:t>
      </w:r>
      <w:r>
        <w:rPr>
          <w:spacing w:val="-5"/>
          <w:w w:val="95"/>
        </w:rPr>
        <w:t xml:space="preserve"> </w:t>
      </w:r>
      <w:r>
        <w:rPr>
          <w:w w:val="95"/>
        </w:rPr>
        <w:t>small</w:t>
      </w:r>
      <w:r>
        <w:rPr>
          <w:spacing w:val="-5"/>
          <w:w w:val="95"/>
        </w:rPr>
        <w:t xml:space="preserve"> </w:t>
      </w:r>
      <w:r>
        <w:rPr>
          <w:w w:val="95"/>
        </w:rPr>
        <w:t>or</w:t>
      </w:r>
      <w:r>
        <w:rPr>
          <w:spacing w:val="-5"/>
          <w:w w:val="95"/>
        </w:rPr>
        <w:t xml:space="preserve"> </w:t>
      </w:r>
      <w:r>
        <w:rPr>
          <w:w w:val="95"/>
        </w:rPr>
        <w:t>shallow</w:t>
      </w:r>
      <w:r>
        <w:rPr>
          <w:spacing w:val="-5"/>
          <w:w w:val="95"/>
        </w:rPr>
        <w:t xml:space="preserve"> </w:t>
      </w:r>
      <w:r>
        <w:rPr>
          <w:w w:val="95"/>
        </w:rPr>
        <w:t>and</w:t>
      </w:r>
      <w:r>
        <w:rPr>
          <w:spacing w:val="-5"/>
          <w:w w:val="95"/>
        </w:rPr>
        <w:t xml:space="preserve"> </w:t>
      </w:r>
      <w:r>
        <w:rPr>
          <w:w w:val="95"/>
        </w:rPr>
        <w:t>subject to significant evaporation losses in drought conditions.</w:t>
      </w:r>
    </w:p>
    <w:p w:rsidR="002C1123" w:rsidRDefault="00F22F94">
      <w:pPr>
        <w:pStyle w:val="BodyText"/>
        <w:spacing w:before="3"/>
        <w:ind w:left="186"/>
      </w:pPr>
      <w:r>
        <w:rPr>
          <w:spacing w:val="-2"/>
          <w:w w:val="95"/>
        </w:rPr>
        <w:t>However,</w:t>
      </w:r>
      <w:r>
        <w:rPr>
          <w:spacing w:val="-2"/>
        </w:rPr>
        <w:t xml:space="preserve"> </w:t>
      </w:r>
      <w:r>
        <w:rPr>
          <w:spacing w:val="-2"/>
          <w:w w:val="95"/>
        </w:rPr>
        <w:t>unlike</w:t>
      </w:r>
      <w:r>
        <w:rPr>
          <w:spacing w:val="-2"/>
        </w:rPr>
        <w:t xml:space="preserve"> </w:t>
      </w:r>
      <w:r>
        <w:rPr>
          <w:spacing w:val="-2"/>
          <w:w w:val="95"/>
        </w:rPr>
        <w:t>metropolitan</w:t>
      </w:r>
      <w:r>
        <w:rPr>
          <w:spacing w:val="-2"/>
        </w:rPr>
        <w:t xml:space="preserve"> </w:t>
      </w:r>
      <w:r>
        <w:rPr>
          <w:spacing w:val="-2"/>
          <w:w w:val="95"/>
        </w:rPr>
        <w:t>Sydney,</w:t>
      </w:r>
      <w:r>
        <w:rPr>
          <w:spacing w:val="-2"/>
        </w:rPr>
        <w:t xml:space="preserve"> </w:t>
      </w:r>
      <w:r>
        <w:rPr>
          <w:spacing w:val="-2"/>
          <w:w w:val="95"/>
        </w:rPr>
        <w:t>the</w:t>
      </w:r>
      <w:r>
        <w:rPr>
          <w:spacing w:val="-2"/>
        </w:rPr>
        <w:t xml:space="preserve"> </w:t>
      </w:r>
      <w:r>
        <w:rPr>
          <w:spacing w:val="-2"/>
          <w:w w:val="95"/>
        </w:rPr>
        <w:t>Hunter</w:t>
      </w:r>
      <w:r>
        <w:rPr>
          <w:spacing w:val="-1"/>
        </w:rPr>
        <w:t xml:space="preserve"> </w:t>
      </w:r>
      <w:r>
        <w:rPr>
          <w:spacing w:val="-2"/>
          <w:w w:val="95"/>
        </w:rPr>
        <w:t>region</w:t>
      </w:r>
    </w:p>
    <w:p w:rsidR="002C1123" w:rsidRDefault="00F22F94">
      <w:pPr>
        <w:pStyle w:val="BodyText"/>
        <w:spacing w:before="106" w:line="249" w:lineRule="auto"/>
        <w:ind w:left="198" w:right="1125"/>
        <w:jc w:val="both"/>
      </w:pPr>
      <w:r>
        <w:br w:type="column"/>
      </w:r>
      <w:r>
        <w:rPr>
          <w:w w:val="95"/>
        </w:rPr>
        <w:t>has</w:t>
      </w:r>
      <w:r>
        <w:rPr>
          <w:spacing w:val="-4"/>
          <w:w w:val="95"/>
        </w:rPr>
        <w:t xml:space="preserve"> </w:t>
      </w:r>
      <w:r>
        <w:rPr>
          <w:w w:val="95"/>
        </w:rPr>
        <w:t>useful</w:t>
      </w:r>
      <w:r>
        <w:rPr>
          <w:spacing w:val="-4"/>
          <w:w w:val="95"/>
        </w:rPr>
        <w:t xml:space="preserve"> </w:t>
      </w:r>
      <w:r>
        <w:rPr>
          <w:w w:val="95"/>
        </w:rPr>
        <w:t>groundwater</w:t>
      </w:r>
      <w:r>
        <w:rPr>
          <w:spacing w:val="-4"/>
          <w:w w:val="95"/>
        </w:rPr>
        <w:t xml:space="preserve"> </w:t>
      </w:r>
      <w:r>
        <w:rPr>
          <w:w w:val="95"/>
        </w:rPr>
        <w:t>resources.</w:t>
      </w:r>
      <w:r>
        <w:rPr>
          <w:spacing w:val="-4"/>
          <w:w w:val="95"/>
        </w:rPr>
        <w:t xml:space="preserve"> </w:t>
      </w:r>
      <w:r>
        <w:rPr>
          <w:w w:val="95"/>
        </w:rPr>
        <w:t>These</w:t>
      </w:r>
      <w:r>
        <w:rPr>
          <w:spacing w:val="-4"/>
          <w:w w:val="95"/>
        </w:rPr>
        <w:t xml:space="preserve"> </w:t>
      </w:r>
      <w:r>
        <w:rPr>
          <w:w w:val="95"/>
        </w:rPr>
        <w:t>should</w:t>
      </w:r>
      <w:r>
        <w:rPr>
          <w:spacing w:val="-4"/>
          <w:w w:val="95"/>
        </w:rPr>
        <w:t xml:space="preserve"> </w:t>
      </w:r>
      <w:r>
        <w:rPr>
          <w:w w:val="95"/>
        </w:rPr>
        <w:t xml:space="preserve">be further investigated and considered in future supply </w:t>
      </w:r>
      <w:r>
        <w:t>planning,</w:t>
      </w:r>
      <w:r>
        <w:rPr>
          <w:spacing w:val="-6"/>
        </w:rPr>
        <w:t xml:space="preserve"> </w:t>
      </w:r>
      <w:r>
        <w:t>particularly</w:t>
      </w:r>
      <w:r>
        <w:rPr>
          <w:spacing w:val="-6"/>
        </w:rPr>
        <w:t xml:space="preserve"> </w:t>
      </w:r>
      <w:r>
        <w:t>as</w:t>
      </w:r>
      <w:r>
        <w:rPr>
          <w:spacing w:val="-6"/>
        </w:rPr>
        <w:t xml:space="preserve"> </w:t>
      </w:r>
      <w:r>
        <w:t>drought</w:t>
      </w:r>
      <w:r>
        <w:rPr>
          <w:spacing w:val="-6"/>
        </w:rPr>
        <w:t xml:space="preserve"> </w:t>
      </w:r>
      <w:r>
        <w:t>reserves.</w:t>
      </w:r>
    </w:p>
    <w:p w:rsidR="002C1123" w:rsidRDefault="00F22F94">
      <w:pPr>
        <w:pStyle w:val="BodyText"/>
        <w:spacing w:before="144" w:line="249" w:lineRule="auto"/>
        <w:ind w:left="198" w:right="956"/>
      </w:pPr>
      <w:r>
        <w:rPr>
          <w:w w:val="95"/>
        </w:rPr>
        <w:t>During</w:t>
      </w:r>
      <w:r>
        <w:rPr>
          <w:spacing w:val="-2"/>
          <w:w w:val="95"/>
        </w:rPr>
        <w:t xml:space="preserve"> </w:t>
      </w:r>
      <w:r>
        <w:rPr>
          <w:w w:val="95"/>
        </w:rPr>
        <w:t>the</w:t>
      </w:r>
      <w:r>
        <w:rPr>
          <w:spacing w:val="-2"/>
          <w:w w:val="95"/>
        </w:rPr>
        <w:t xml:space="preserve"> </w:t>
      </w:r>
      <w:r>
        <w:rPr>
          <w:w w:val="95"/>
        </w:rPr>
        <w:t>recent</w:t>
      </w:r>
      <w:r>
        <w:rPr>
          <w:spacing w:val="-2"/>
          <w:w w:val="95"/>
        </w:rPr>
        <w:t xml:space="preserve"> </w:t>
      </w:r>
      <w:r>
        <w:rPr>
          <w:w w:val="95"/>
        </w:rPr>
        <w:t>drought</w:t>
      </w:r>
      <w:r>
        <w:rPr>
          <w:spacing w:val="-2"/>
          <w:w w:val="95"/>
        </w:rPr>
        <w:t xml:space="preserve"> </w:t>
      </w:r>
      <w:r>
        <w:rPr>
          <w:w w:val="95"/>
        </w:rPr>
        <w:t>affecting</w:t>
      </w:r>
      <w:r>
        <w:rPr>
          <w:spacing w:val="-2"/>
          <w:w w:val="95"/>
        </w:rPr>
        <w:t xml:space="preserve"> </w:t>
      </w:r>
      <w:r>
        <w:rPr>
          <w:w w:val="95"/>
        </w:rPr>
        <w:t>the</w:t>
      </w:r>
      <w:r>
        <w:rPr>
          <w:spacing w:val="-2"/>
          <w:w w:val="95"/>
        </w:rPr>
        <w:t xml:space="preserve"> </w:t>
      </w:r>
      <w:r>
        <w:rPr>
          <w:w w:val="95"/>
        </w:rPr>
        <w:t>Central</w:t>
      </w:r>
      <w:r>
        <w:rPr>
          <w:spacing w:val="-2"/>
          <w:w w:val="95"/>
        </w:rPr>
        <w:t xml:space="preserve"> </w:t>
      </w:r>
      <w:r>
        <w:rPr>
          <w:w w:val="95"/>
        </w:rPr>
        <w:t xml:space="preserve">Coast, a water transfer pipeline was constructed connecting the Hunter Region with the Central Coast. The ability </w:t>
      </w:r>
      <w:r>
        <w:t>to</w:t>
      </w:r>
      <w:r>
        <w:rPr>
          <w:spacing w:val="-14"/>
        </w:rPr>
        <w:t xml:space="preserve"> </w:t>
      </w:r>
      <w:r>
        <w:t>move</w:t>
      </w:r>
      <w:r>
        <w:rPr>
          <w:spacing w:val="-14"/>
        </w:rPr>
        <w:t xml:space="preserve"> </w:t>
      </w:r>
      <w:r>
        <w:t>water</w:t>
      </w:r>
      <w:r>
        <w:rPr>
          <w:spacing w:val="-14"/>
        </w:rPr>
        <w:t xml:space="preserve"> </w:t>
      </w:r>
      <w:r>
        <w:t>between</w:t>
      </w:r>
      <w:r>
        <w:rPr>
          <w:spacing w:val="-14"/>
        </w:rPr>
        <w:t xml:space="preserve"> </w:t>
      </w:r>
      <w:r>
        <w:t>these</w:t>
      </w:r>
      <w:r>
        <w:rPr>
          <w:spacing w:val="-14"/>
        </w:rPr>
        <w:t xml:space="preserve"> </w:t>
      </w:r>
      <w:r>
        <w:t>two</w:t>
      </w:r>
      <w:r>
        <w:rPr>
          <w:spacing w:val="-14"/>
        </w:rPr>
        <w:t xml:space="preserve"> </w:t>
      </w:r>
      <w:r>
        <w:t>regions</w:t>
      </w:r>
      <w:r>
        <w:rPr>
          <w:spacing w:val="-14"/>
        </w:rPr>
        <w:t xml:space="preserve"> </w:t>
      </w:r>
      <w:r>
        <w:t>increases security of supply and resilience.</w:t>
      </w:r>
    </w:p>
    <w:p w:rsidR="002C1123" w:rsidRDefault="00F22F94">
      <w:pPr>
        <w:pStyle w:val="BodyText"/>
        <w:spacing w:before="146" w:line="249" w:lineRule="auto"/>
        <w:ind w:left="198" w:right="641"/>
      </w:pPr>
      <w:r>
        <w:t>Hunter</w:t>
      </w:r>
      <w:r>
        <w:rPr>
          <w:spacing w:val="-14"/>
        </w:rPr>
        <w:t xml:space="preserve"> </w:t>
      </w:r>
      <w:r>
        <w:t>Water</w:t>
      </w:r>
      <w:r>
        <w:rPr>
          <w:spacing w:val="-14"/>
        </w:rPr>
        <w:t xml:space="preserve"> </w:t>
      </w:r>
      <w:r>
        <w:t>is</w:t>
      </w:r>
      <w:r>
        <w:rPr>
          <w:spacing w:val="-14"/>
        </w:rPr>
        <w:t xml:space="preserve"> </w:t>
      </w:r>
      <w:r>
        <w:t>developing</w:t>
      </w:r>
      <w:r>
        <w:rPr>
          <w:spacing w:val="-14"/>
        </w:rPr>
        <w:t xml:space="preserve"> </w:t>
      </w:r>
      <w:r>
        <w:t>an</w:t>
      </w:r>
      <w:r>
        <w:rPr>
          <w:spacing w:val="-14"/>
        </w:rPr>
        <w:t xml:space="preserve"> </w:t>
      </w:r>
      <w:r>
        <w:t>Interim</w:t>
      </w:r>
      <w:r>
        <w:rPr>
          <w:spacing w:val="-14"/>
        </w:rPr>
        <w:t xml:space="preserve"> </w:t>
      </w:r>
      <w:r>
        <w:t>Drought Management</w:t>
      </w:r>
      <w:r>
        <w:rPr>
          <w:spacing w:val="-14"/>
        </w:rPr>
        <w:t xml:space="preserve"> </w:t>
      </w:r>
      <w:r>
        <w:t>Plan.</w:t>
      </w:r>
      <w:r>
        <w:rPr>
          <w:spacing w:val="-14"/>
        </w:rPr>
        <w:t xml:space="preserve"> </w:t>
      </w:r>
      <w:r>
        <w:t>This</w:t>
      </w:r>
      <w:r>
        <w:rPr>
          <w:spacing w:val="-14"/>
        </w:rPr>
        <w:t xml:space="preserve"> </w:t>
      </w:r>
      <w:r>
        <w:t>plan</w:t>
      </w:r>
      <w:r>
        <w:rPr>
          <w:spacing w:val="-14"/>
        </w:rPr>
        <w:t xml:space="preserve"> </w:t>
      </w:r>
      <w:r>
        <w:t>outlines</w:t>
      </w:r>
      <w:r>
        <w:rPr>
          <w:spacing w:val="-14"/>
        </w:rPr>
        <w:t xml:space="preserve"> </w:t>
      </w:r>
      <w:r>
        <w:t>measures</w:t>
      </w:r>
      <w:r>
        <w:rPr>
          <w:spacing w:val="-14"/>
        </w:rPr>
        <w:t xml:space="preserve"> </w:t>
      </w:r>
      <w:r>
        <w:t xml:space="preserve">that </w:t>
      </w:r>
      <w:r>
        <w:rPr>
          <w:w w:val="95"/>
        </w:rPr>
        <w:t xml:space="preserve">would be undertaken on the demand and supply side for commercial industrial customers and households should </w:t>
      </w:r>
      <w:r>
        <w:t>the</w:t>
      </w:r>
      <w:r>
        <w:rPr>
          <w:spacing w:val="-5"/>
        </w:rPr>
        <w:t xml:space="preserve"> </w:t>
      </w:r>
      <w:r>
        <w:t>Hunter</w:t>
      </w:r>
      <w:r>
        <w:rPr>
          <w:spacing w:val="-5"/>
        </w:rPr>
        <w:t xml:space="preserve"> </w:t>
      </w:r>
      <w:r>
        <w:t>region</w:t>
      </w:r>
      <w:r>
        <w:rPr>
          <w:spacing w:val="-5"/>
        </w:rPr>
        <w:t xml:space="preserve"> </w:t>
      </w:r>
      <w:r>
        <w:t>experience</w:t>
      </w:r>
      <w:r>
        <w:rPr>
          <w:spacing w:val="-5"/>
        </w:rPr>
        <w:t xml:space="preserve"> </w:t>
      </w:r>
      <w:r>
        <w:t>dry</w:t>
      </w:r>
      <w:r>
        <w:rPr>
          <w:spacing w:val="-5"/>
        </w:rPr>
        <w:t xml:space="preserve"> </w:t>
      </w:r>
      <w:r>
        <w:t>conditions.</w:t>
      </w:r>
    </w:p>
    <w:p w:rsidR="002C1123" w:rsidRDefault="00F22F94">
      <w:pPr>
        <w:pStyle w:val="BodyText"/>
        <w:spacing w:before="146" w:line="249" w:lineRule="auto"/>
        <w:ind w:left="198" w:right="761"/>
      </w:pPr>
      <w:r>
        <w:rPr>
          <w:w w:val="95"/>
        </w:rPr>
        <w:t>The</w:t>
      </w:r>
      <w:r>
        <w:rPr>
          <w:spacing w:val="-3"/>
          <w:w w:val="95"/>
        </w:rPr>
        <w:t xml:space="preserve"> </w:t>
      </w:r>
      <w:r>
        <w:rPr>
          <w:w w:val="95"/>
        </w:rPr>
        <w:t>NSW</w:t>
      </w:r>
      <w:r>
        <w:rPr>
          <w:spacing w:val="-3"/>
          <w:w w:val="95"/>
        </w:rPr>
        <w:t xml:space="preserve"> </w:t>
      </w:r>
      <w:r>
        <w:rPr>
          <w:w w:val="95"/>
        </w:rPr>
        <w:t>Government</w:t>
      </w:r>
      <w:r>
        <w:rPr>
          <w:spacing w:val="-3"/>
          <w:w w:val="95"/>
        </w:rPr>
        <w:t xml:space="preserve"> </w:t>
      </w:r>
      <w:r>
        <w:rPr>
          <w:w w:val="95"/>
        </w:rPr>
        <w:t>has</w:t>
      </w:r>
      <w:r>
        <w:rPr>
          <w:spacing w:val="-3"/>
          <w:w w:val="95"/>
        </w:rPr>
        <w:t xml:space="preserve"> </w:t>
      </w:r>
      <w:r>
        <w:rPr>
          <w:w w:val="95"/>
        </w:rPr>
        <w:t>identified</w:t>
      </w:r>
      <w:r>
        <w:rPr>
          <w:spacing w:val="-3"/>
          <w:w w:val="95"/>
        </w:rPr>
        <w:t xml:space="preserve"> </w:t>
      </w:r>
      <w:r>
        <w:rPr>
          <w:w w:val="95"/>
        </w:rPr>
        <w:t>the</w:t>
      </w:r>
      <w:r>
        <w:rPr>
          <w:spacing w:val="-3"/>
          <w:w w:val="95"/>
        </w:rPr>
        <w:t xml:space="preserve"> </w:t>
      </w:r>
      <w:r>
        <w:rPr>
          <w:w w:val="95"/>
        </w:rPr>
        <w:t>need</w:t>
      </w:r>
      <w:r>
        <w:rPr>
          <w:spacing w:val="-3"/>
          <w:w w:val="95"/>
        </w:rPr>
        <w:t xml:space="preserve"> </w:t>
      </w:r>
      <w:r>
        <w:rPr>
          <w:w w:val="95"/>
        </w:rPr>
        <w:t>for</w:t>
      </w:r>
      <w:r>
        <w:rPr>
          <w:spacing w:val="-3"/>
          <w:w w:val="95"/>
        </w:rPr>
        <w:t xml:space="preserve"> </w:t>
      </w:r>
      <w:r>
        <w:rPr>
          <w:w w:val="95"/>
        </w:rPr>
        <w:t>a</w:t>
      </w:r>
      <w:r>
        <w:rPr>
          <w:spacing w:val="-3"/>
          <w:w w:val="95"/>
        </w:rPr>
        <w:t xml:space="preserve"> </w:t>
      </w:r>
      <w:r>
        <w:rPr>
          <w:w w:val="95"/>
        </w:rPr>
        <w:t xml:space="preserve">new </w:t>
      </w:r>
      <w:r>
        <w:t>water</w:t>
      </w:r>
      <w:r>
        <w:rPr>
          <w:spacing w:val="-13"/>
        </w:rPr>
        <w:t xml:space="preserve"> </w:t>
      </w:r>
      <w:r>
        <w:t>plan</w:t>
      </w:r>
      <w:r>
        <w:rPr>
          <w:spacing w:val="-13"/>
        </w:rPr>
        <w:t xml:space="preserve"> </w:t>
      </w:r>
      <w:r>
        <w:t>for</w:t>
      </w:r>
      <w:r>
        <w:rPr>
          <w:spacing w:val="-13"/>
        </w:rPr>
        <w:t xml:space="preserve"> </w:t>
      </w:r>
      <w:r>
        <w:t>the</w:t>
      </w:r>
      <w:r>
        <w:rPr>
          <w:spacing w:val="-13"/>
        </w:rPr>
        <w:t xml:space="preserve"> </w:t>
      </w:r>
      <w:r>
        <w:t>Lower</w:t>
      </w:r>
      <w:r>
        <w:rPr>
          <w:spacing w:val="-13"/>
        </w:rPr>
        <w:t xml:space="preserve"> </w:t>
      </w:r>
      <w:r>
        <w:t>Hunter,</w:t>
      </w:r>
      <w:r>
        <w:rPr>
          <w:spacing w:val="-13"/>
        </w:rPr>
        <w:t xml:space="preserve"> </w:t>
      </w:r>
      <w:r>
        <w:t>and</w:t>
      </w:r>
      <w:r>
        <w:rPr>
          <w:spacing w:val="-13"/>
        </w:rPr>
        <w:t xml:space="preserve"> </w:t>
      </w:r>
      <w:r>
        <w:t>the</w:t>
      </w:r>
      <w:r>
        <w:rPr>
          <w:spacing w:val="-13"/>
        </w:rPr>
        <w:t xml:space="preserve"> </w:t>
      </w:r>
      <w:r>
        <w:t xml:space="preserve">Metropolitan </w:t>
      </w:r>
      <w:r>
        <w:rPr>
          <w:w w:val="95"/>
        </w:rPr>
        <w:t>Water</w:t>
      </w:r>
      <w:r>
        <w:rPr>
          <w:spacing w:val="-4"/>
          <w:w w:val="95"/>
        </w:rPr>
        <w:t xml:space="preserve"> </w:t>
      </w:r>
      <w:r>
        <w:rPr>
          <w:w w:val="95"/>
        </w:rPr>
        <w:t>Directorate</w:t>
      </w:r>
      <w:r>
        <w:rPr>
          <w:spacing w:val="-4"/>
          <w:w w:val="95"/>
        </w:rPr>
        <w:t xml:space="preserve"> </w:t>
      </w:r>
      <w:r>
        <w:rPr>
          <w:w w:val="95"/>
        </w:rPr>
        <w:t>is</w:t>
      </w:r>
      <w:r>
        <w:rPr>
          <w:spacing w:val="-4"/>
          <w:w w:val="95"/>
        </w:rPr>
        <w:t xml:space="preserve"> </w:t>
      </w:r>
      <w:r>
        <w:rPr>
          <w:w w:val="95"/>
        </w:rPr>
        <w:t>developing</w:t>
      </w:r>
      <w:r>
        <w:rPr>
          <w:spacing w:val="-4"/>
          <w:w w:val="95"/>
        </w:rPr>
        <w:t xml:space="preserve"> </w:t>
      </w:r>
      <w:r>
        <w:rPr>
          <w:w w:val="95"/>
        </w:rPr>
        <w:t>the</w:t>
      </w:r>
      <w:r>
        <w:rPr>
          <w:spacing w:val="-4"/>
          <w:w w:val="95"/>
        </w:rPr>
        <w:t xml:space="preserve"> </w:t>
      </w:r>
      <w:r>
        <w:rPr>
          <w:w w:val="95"/>
        </w:rPr>
        <w:t>Lower</w:t>
      </w:r>
      <w:r>
        <w:rPr>
          <w:spacing w:val="-4"/>
          <w:w w:val="95"/>
        </w:rPr>
        <w:t xml:space="preserve"> </w:t>
      </w:r>
      <w:r>
        <w:rPr>
          <w:w w:val="95"/>
        </w:rPr>
        <w:t>Hunter</w:t>
      </w:r>
      <w:r>
        <w:rPr>
          <w:spacing w:val="-4"/>
          <w:w w:val="95"/>
        </w:rPr>
        <w:t xml:space="preserve"> </w:t>
      </w:r>
      <w:r>
        <w:rPr>
          <w:w w:val="95"/>
        </w:rPr>
        <w:t>Water Plan.</w:t>
      </w:r>
      <w:r>
        <w:rPr>
          <w:spacing w:val="-11"/>
          <w:w w:val="95"/>
        </w:rPr>
        <w:t xml:space="preserve"> </w:t>
      </w:r>
      <w:r>
        <w:rPr>
          <w:w w:val="95"/>
        </w:rPr>
        <w:t>A</w:t>
      </w:r>
      <w:r>
        <w:rPr>
          <w:spacing w:val="-11"/>
          <w:w w:val="95"/>
        </w:rPr>
        <w:t xml:space="preserve"> </w:t>
      </w:r>
      <w:r>
        <w:rPr>
          <w:w w:val="95"/>
        </w:rPr>
        <w:t>key</w:t>
      </w:r>
      <w:r>
        <w:rPr>
          <w:spacing w:val="-11"/>
          <w:w w:val="95"/>
        </w:rPr>
        <w:t xml:space="preserve"> </w:t>
      </w:r>
      <w:r>
        <w:rPr>
          <w:w w:val="95"/>
        </w:rPr>
        <w:t>element</w:t>
      </w:r>
      <w:r>
        <w:rPr>
          <w:spacing w:val="-11"/>
          <w:w w:val="95"/>
        </w:rPr>
        <w:t xml:space="preserve"> </w:t>
      </w:r>
      <w:r>
        <w:rPr>
          <w:w w:val="95"/>
        </w:rPr>
        <w:t>of</w:t>
      </w:r>
      <w:r>
        <w:rPr>
          <w:spacing w:val="-11"/>
          <w:w w:val="95"/>
        </w:rPr>
        <w:t xml:space="preserve"> </w:t>
      </w:r>
      <w:r>
        <w:rPr>
          <w:w w:val="95"/>
        </w:rPr>
        <w:t>the</w:t>
      </w:r>
      <w:r>
        <w:rPr>
          <w:spacing w:val="-11"/>
          <w:w w:val="95"/>
        </w:rPr>
        <w:t xml:space="preserve"> </w:t>
      </w:r>
      <w:r>
        <w:rPr>
          <w:w w:val="95"/>
        </w:rPr>
        <w:t>new</w:t>
      </w:r>
      <w:r>
        <w:rPr>
          <w:spacing w:val="-11"/>
          <w:w w:val="95"/>
        </w:rPr>
        <w:t xml:space="preserve"> </w:t>
      </w:r>
      <w:r>
        <w:rPr>
          <w:w w:val="95"/>
        </w:rPr>
        <w:t>Lower</w:t>
      </w:r>
      <w:r>
        <w:rPr>
          <w:spacing w:val="-11"/>
          <w:w w:val="95"/>
        </w:rPr>
        <w:t xml:space="preserve"> </w:t>
      </w:r>
      <w:r>
        <w:rPr>
          <w:w w:val="95"/>
        </w:rPr>
        <w:t>Hunter</w:t>
      </w:r>
      <w:r>
        <w:rPr>
          <w:spacing w:val="-11"/>
          <w:w w:val="95"/>
        </w:rPr>
        <w:t xml:space="preserve"> </w:t>
      </w:r>
      <w:r>
        <w:rPr>
          <w:w w:val="95"/>
        </w:rPr>
        <w:t>Water</w:t>
      </w:r>
      <w:r>
        <w:rPr>
          <w:spacing w:val="-11"/>
          <w:w w:val="95"/>
        </w:rPr>
        <w:t xml:space="preserve"> </w:t>
      </w:r>
      <w:r>
        <w:rPr>
          <w:w w:val="95"/>
        </w:rPr>
        <w:t xml:space="preserve">Plan </w:t>
      </w:r>
      <w:r>
        <w:t>will</w:t>
      </w:r>
      <w:r>
        <w:rPr>
          <w:spacing w:val="-10"/>
        </w:rPr>
        <w:t xml:space="preserve"> </w:t>
      </w:r>
      <w:r>
        <w:t>be</w:t>
      </w:r>
      <w:r>
        <w:rPr>
          <w:spacing w:val="-10"/>
        </w:rPr>
        <w:t xml:space="preserve"> </w:t>
      </w:r>
      <w:r>
        <w:t>a</w:t>
      </w:r>
      <w:r>
        <w:rPr>
          <w:spacing w:val="-10"/>
        </w:rPr>
        <w:t xml:space="preserve"> </w:t>
      </w:r>
      <w:r>
        <w:t>suite</w:t>
      </w:r>
      <w:r>
        <w:rPr>
          <w:spacing w:val="-10"/>
        </w:rPr>
        <w:t xml:space="preserve"> </w:t>
      </w:r>
      <w:r>
        <w:t>of</w:t>
      </w:r>
      <w:r>
        <w:rPr>
          <w:spacing w:val="-10"/>
        </w:rPr>
        <w:t xml:space="preserve"> </w:t>
      </w:r>
      <w:r>
        <w:t>drought</w:t>
      </w:r>
      <w:r>
        <w:rPr>
          <w:spacing w:val="-10"/>
        </w:rPr>
        <w:t xml:space="preserve"> </w:t>
      </w:r>
      <w:r>
        <w:t>response</w:t>
      </w:r>
      <w:r>
        <w:rPr>
          <w:spacing w:val="-10"/>
        </w:rPr>
        <w:t xml:space="preserve"> </w:t>
      </w:r>
      <w:r>
        <w:t>measures.</w:t>
      </w:r>
    </w:p>
    <w:p w:rsidR="002C1123" w:rsidRDefault="00F22F94">
      <w:pPr>
        <w:pStyle w:val="BodyText"/>
        <w:spacing w:before="146" w:line="249" w:lineRule="auto"/>
        <w:ind w:left="198" w:right="956"/>
      </w:pPr>
      <w:r>
        <w:t>Infrastructure</w:t>
      </w:r>
      <w:r>
        <w:rPr>
          <w:spacing w:val="-10"/>
        </w:rPr>
        <w:t xml:space="preserve"> </w:t>
      </w:r>
      <w:r>
        <w:t>NSW</w:t>
      </w:r>
      <w:r>
        <w:rPr>
          <w:spacing w:val="-10"/>
        </w:rPr>
        <w:t xml:space="preserve"> </w:t>
      </w:r>
      <w:r>
        <w:t>has</w:t>
      </w:r>
      <w:r>
        <w:rPr>
          <w:spacing w:val="-10"/>
        </w:rPr>
        <w:t xml:space="preserve"> </w:t>
      </w:r>
      <w:r>
        <w:t>concluded</w:t>
      </w:r>
      <w:r>
        <w:rPr>
          <w:spacing w:val="-10"/>
        </w:rPr>
        <w:t xml:space="preserve"> </w:t>
      </w:r>
      <w:r>
        <w:t>that</w:t>
      </w:r>
      <w:r>
        <w:rPr>
          <w:spacing w:val="-10"/>
        </w:rPr>
        <w:t xml:space="preserve"> </w:t>
      </w:r>
      <w:r>
        <w:t>the</w:t>
      </w:r>
      <w:r>
        <w:rPr>
          <w:spacing w:val="-10"/>
        </w:rPr>
        <w:t xml:space="preserve"> </w:t>
      </w:r>
      <w:r>
        <w:t xml:space="preserve">Hunter </w:t>
      </w:r>
      <w:r>
        <w:rPr>
          <w:w w:val="95"/>
        </w:rPr>
        <w:t>will</w:t>
      </w:r>
      <w:r>
        <w:rPr>
          <w:spacing w:val="-5"/>
          <w:w w:val="95"/>
        </w:rPr>
        <w:t xml:space="preserve"> </w:t>
      </w:r>
      <w:r>
        <w:rPr>
          <w:w w:val="95"/>
        </w:rPr>
        <w:t>need</w:t>
      </w:r>
      <w:r>
        <w:rPr>
          <w:spacing w:val="-5"/>
          <w:w w:val="95"/>
        </w:rPr>
        <w:t xml:space="preserve"> </w:t>
      </w:r>
      <w:r>
        <w:rPr>
          <w:w w:val="95"/>
        </w:rPr>
        <w:t>a</w:t>
      </w:r>
      <w:r>
        <w:rPr>
          <w:spacing w:val="-5"/>
          <w:w w:val="95"/>
        </w:rPr>
        <w:t xml:space="preserve"> </w:t>
      </w:r>
      <w:r>
        <w:rPr>
          <w:w w:val="95"/>
        </w:rPr>
        <w:t>major</w:t>
      </w:r>
      <w:r>
        <w:rPr>
          <w:spacing w:val="-5"/>
          <w:w w:val="95"/>
        </w:rPr>
        <w:t xml:space="preserve"> </w:t>
      </w:r>
      <w:r>
        <w:rPr>
          <w:w w:val="95"/>
        </w:rPr>
        <w:t>new</w:t>
      </w:r>
      <w:r>
        <w:rPr>
          <w:spacing w:val="-5"/>
          <w:w w:val="95"/>
        </w:rPr>
        <w:t xml:space="preserve"> </w:t>
      </w:r>
      <w:r>
        <w:rPr>
          <w:w w:val="95"/>
        </w:rPr>
        <w:t>water</w:t>
      </w:r>
      <w:r>
        <w:rPr>
          <w:spacing w:val="-5"/>
          <w:w w:val="95"/>
        </w:rPr>
        <w:t xml:space="preserve"> </w:t>
      </w:r>
      <w:r>
        <w:rPr>
          <w:w w:val="95"/>
        </w:rPr>
        <w:t>supply</w:t>
      </w:r>
      <w:r>
        <w:rPr>
          <w:spacing w:val="-5"/>
          <w:w w:val="95"/>
        </w:rPr>
        <w:t xml:space="preserve"> </w:t>
      </w:r>
      <w:r>
        <w:rPr>
          <w:w w:val="95"/>
        </w:rPr>
        <w:t>source</w:t>
      </w:r>
      <w:r>
        <w:rPr>
          <w:spacing w:val="-5"/>
          <w:w w:val="95"/>
        </w:rPr>
        <w:t xml:space="preserve"> </w:t>
      </w:r>
      <w:r>
        <w:rPr>
          <w:w w:val="95"/>
        </w:rPr>
        <w:t>by</w:t>
      </w:r>
      <w:r>
        <w:rPr>
          <w:spacing w:val="-5"/>
          <w:w w:val="95"/>
        </w:rPr>
        <w:t xml:space="preserve"> </w:t>
      </w:r>
      <w:r>
        <w:rPr>
          <w:w w:val="95"/>
        </w:rPr>
        <w:t>around</w:t>
      </w:r>
    </w:p>
    <w:p w:rsidR="002C1123" w:rsidRDefault="00F22F94">
      <w:pPr>
        <w:pStyle w:val="BodyText"/>
        <w:spacing w:before="2" w:line="249" w:lineRule="auto"/>
        <w:ind w:left="198" w:right="784"/>
      </w:pPr>
      <w:r>
        <w:rPr>
          <w:spacing w:val="-2"/>
        </w:rPr>
        <w:t>2020,</w:t>
      </w:r>
      <w:r>
        <w:rPr>
          <w:spacing w:val="-11"/>
        </w:rPr>
        <w:t xml:space="preserve"> </w:t>
      </w:r>
      <w:r>
        <w:rPr>
          <w:spacing w:val="-2"/>
        </w:rPr>
        <w:t>the</w:t>
      </w:r>
      <w:r>
        <w:rPr>
          <w:spacing w:val="-11"/>
        </w:rPr>
        <w:t xml:space="preserve"> </w:t>
      </w:r>
      <w:r>
        <w:rPr>
          <w:spacing w:val="-2"/>
        </w:rPr>
        <w:t>time</w:t>
      </w:r>
      <w:r>
        <w:rPr>
          <w:spacing w:val="-11"/>
        </w:rPr>
        <w:t xml:space="preserve"> </w:t>
      </w:r>
      <w:r>
        <w:rPr>
          <w:spacing w:val="-2"/>
        </w:rPr>
        <w:t>to</w:t>
      </w:r>
      <w:r>
        <w:rPr>
          <w:spacing w:val="-11"/>
        </w:rPr>
        <w:t xml:space="preserve"> </w:t>
      </w:r>
      <w:r>
        <w:rPr>
          <w:spacing w:val="-2"/>
        </w:rPr>
        <w:t>be</w:t>
      </w:r>
      <w:r>
        <w:rPr>
          <w:spacing w:val="-11"/>
        </w:rPr>
        <w:t xml:space="preserve"> </w:t>
      </w:r>
      <w:r>
        <w:rPr>
          <w:spacing w:val="-2"/>
        </w:rPr>
        <w:t>verified</w:t>
      </w:r>
      <w:r>
        <w:rPr>
          <w:spacing w:val="-11"/>
        </w:rPr>
        <w:t xml:space="preserve"> </w:t>
      </w:r>
      <w:r>
        <w:rPr>
          <w:spacing w:val="-2"/>
        </w:rPr>
        <w:t>by</w:t>
      </w:r>
      <w:r>
        <w:rPr>
          <w:spacing w:val="-11"/>
        </w:rPr>
        <w:t xml:space="preserve"> </w:t>
      </w:r>
      <w:r>
        <w:rPr>
          <w:spacing w:val="-2"/>
        </w:rPr>
        <w:t>the</w:t>
      </w:r>
      <w:r>
        <w:rPr>
          <w:spacing w:val="-11"/>
        </w:rPr>
        <w:t xml:space="preserve"> </w:t>
      </w:r>
      <w:r>
        <w:rPr>
          <w:spacing w:val="-2"/>
        </w:rPr>
        <w:t>Metropolitan</w:t>
      </w:r>
      <w:r>
        <w:rPr>
          <w:spacing w:val="-11"/>
        </w:rPr>
        <w:t xml:space="preserve"> </w:t>
      </w:r>
      <w:r>
        <w:rPr>
          <w:spacing w:val="-2"/>
        </w:rPr>
        <w:t xml:space="preserve">Water </w:t>
      </w:r>
      <w:r>
        <w:t>Director’s</w:t>
      </w:r>
      <w:r>
        <w:rPr>
          <w:spacing w:val="-9"/>
        </w:rPr>
        <w:t xml:space="preserve"> </w:t>
      </w:r>
      <w:r>
        <w:t>plan.</w:t>
      </w:r>
      <w:r>
        <w:rPr>
          <w:spacing w:val="-9"/>
        </w:rPr>
        <w:t xml:space="preserve"> </w:t>
      </w:r>
      <w:r>
        <w:t>The</w:t>
      </w:r>
      <w:r>
        <w:rPr>
          <w:spacing w:val="-9"/>
        </w:rPr>
        <w:t xml:space="preserve"> </w:t>
      </w:r>
      <w:r>
        <w:t>decision</w:t>
      </w:r>
      <w:r>
        <w:rPr>
          <w:spacing w:val="-9"/>
        </w:rPr>
        <w:t xml:space="preserve"> </w:t>
      </w:r>
      <w:r>
        <w:t>not</w:t>
      </w:r>
      <w:r>
        <w:rPr>
          <w:spacing w:val="-9"/>
        </w:rPr>
        <w:t xml:space="preserve"> </w:t>
      </w:r>
      <w:r>
        <w:t>to</w:t>
      </w:r>
      <w:r>
        <w:rPr>
          <w:spacing w:val="-9"/>
        </w:rPr>
        <w:t xml:space="preserve"> </w:t>
      </w:r>
      <w:r>
        <w:t>proceed</w:t>
      </w:r>
      <w:r>
        <w:rPr>
          <w:spacing w:val="-9"/>
        </w:rPr>
        <w:t xml:space="preserve"> </w:t>
      </w:r>
      <w:r>
        <w:t>with</w:t>
      </w:r>
      <w:r>
        <w:rPr>
          <w:spacing w:val="-9"/>
        </w:rPr>
        <w:t xml:space="preserve"> </w:t>
      </w:r>
      <w:r>
        <w:t xml:space="preserve">the </w:t>
      </w:r>
      <w:r>
        <w:rPr>
          <w:w w:val="95"/>
        </w:rPr>
        <w:t xml:space="preserve">Tillegra Dam means that a further option(s) is required </w:t>
      </w:r>
      <w:r>
        <w:t>within</w:t>
      </w:r>
      <w:r>
        <w:rPr>
          <w:spacing w:val="-14"/>
        </w:rPr>
        <w:t xml:space="preserve"> </w:t>
      </w:r>
      <w:r>
        <w:t>the</w:t>
      </w:r>
      <w:r>
        <w:rPr>
          <w:spacing w:val="-14"/>
        </w:rPr>
        <w:t xml:space="preserve"> </w:t>
      </w:r>
      <w:r>
        <w:t>next</w:t>
      </w:r>
      <w:r>
        <w:rPr>
          <w:spacing w:val="-14"/>
        </w:rPr>
        <w:t xml:space="preserve"> </w:t>
      </w:r>
      <w:r>
        <w:t>10</w:t>
      </w:r>
      <w:r>
        <w:rPr>
          <w:spacing w:val="-14"/>
        </w:rPr>
        <w:t xml:space="preserve"> </w:t>
      </w:r>
      <w:r>
        <w:t>years.</w:t>
      </w:r>
      <w:r>
        <w:rPr>
          <w:spacing w:val="-14"/>
        </w:rPr>
        <w:t xml:space="preserve"> </w:t>
      </w:r>
      <w:r>
        <w:t>Hunter</w:t>
      </w:r>
      <w:r>
        <w:rPr>
          <w:spacing w:val="-14"/>
        </w:rPr>
        <w:t xml:space="preserve"> </w:t>
      </w:r>
      <w:r>
        <w:t>Water</w:t>
      </w:r>
      <w:r>
        <w:rPr>
          <w:spacing w:val="-14"/>
        </w:rPr>
        <w:t xml:space="preserve"> </w:t>
      </w:r>
      <w:r>
        <w:t>is</w:t>
      </w:r>
      <w:r>
        <w:rPr>
          <w:spacing w:val="-14"/>
        </w:rPr>
        <w:t xml:space="preserve"> </w:t>
      </w:r>
      <w:r>
        <w:t>currently developing</w:t>
      </w:r>
      <w:r>
        <w:rPr>
          <w:spacing w:val="-9"/>
        </w:rPr>
        <w:t xml:space="preserve"> </w:t>
      </w:r>
      <w:r>
        <w:t>options</w:t>
      </w:r>
      <w:r>
        <w:rPr>
          <w:spacing w:val="-9"/>
        </w:rPr>
        <w:t xml:space="preserve"> </w:t>
      </w:r>
      <w:r>
        <w:t>as</w:t>
      </w:r>
      <w:r>
        <w:rPr>
          <w:spacing w:val="-9"/>
        </w:rPr>
        <w:t xml:space="preserve"> </w:t>
      </w:r>
      <w:r>
        <w:t>part</w:t>
      </w:r>
      <w:r>
        <w:rPr>
          <w:spacing w:val="-9"/>
        </w:rPr>
        <w:t xml:space="preserve"> </w:t>
      </w:r>
      <w:r>
        <w:t>of</w:t>
      </w:r>
      <w:r>
        <w:rPr>
          <w:spacing w:val="-9"/>
        </w:rPr>
        <w:t xml:space="preserve"> </w:t>
      </w:r>
      <w:r>
        <w:t>its</w:t>
      </w:r>
      <w:r>
        <w:rPr>
          <w:spacing w:val="-9"/>
        </w:rPr>
        <w:t xml:space="preserve"> </w:t>
      </w:r>
      <w:r>
        <w:t>water</w:t>
      </w:r>
      <w:r>
        <w:rPr>
          <w:spacing w:val="-9"/>
        </w:rPr>
        <w:t xml:space="preserve"> </w:t>
      </w:r>
      <w:r>
        <w:t xml:space="preserve">management </w:t>
      </w:r>
      <w:r>
        <w:rPr>
          <w:w w:val="95"/>
        </w:rPr>
        <w:t xml:space="preserve">planning exercise (in conjunction with the Metropolitan </w:t>
      </w:r>
      <w:r>
        <w:rPr>
          <w:spacing w:val="-2"/>
          <w:w w:val="95"/>
        </w:rPr>
        <w:t>Water</w:t>
      </w:r>
      <w:r>
        <w:rPr>
          <w:spacing w:val="-7"/>
          <w:w w:val="95"/>
        </w:rPr>
        <w:t xml:space="preserve"> </w:t>
      </w:r>
      <w:r>
        <w:rPr>
          <w:spacing w:val="-2"/>
          <w:w w:val="95"/>
        </w:rPr>
        <w:t>Directorate).</w:t>
      </w:r>
      <w:r>
        <w:rPr>
          <w:spacing w:val="-7"/>
          <w:w w:val="95"/>
        </w:rPr>
        <w:t xml:space="preserve"> </w:t>
      </w:r>
      <w:r>
        <w:rPr>
          <w:spacing w:val="-2"/>
          <w:w w:val="95"/>
        </w:rPr>
        <w:t>The</w:t>
      </w:r>
      <w:r>
        <w:rPr>
          <w:spacing w:val="-7"/>
          <w:w w:val="95"/>
        </w:rPr>
        <w:t xml:space="preserve"> </w:t>
      </w:r>
      <w:r>
        <w:rPr>
          <w:spacing w:val="-2"/>
          <w:w w:val="95"/>
        </w:rPr>
        <w:t>NSW</w:t>
      </w:r>
      <w:r>
        <w:rPr>
          <w:spacing w:val="-7"/>
          <w:w w:val="95"/>
        </w:rPr>
        <w:t xml:space="preserve"> </w:t>
      </w:r>
      <w:r>
        <w:rPr>
          <w:spacing w:val="-2"/>
          <w:w w:val="95"/>
        </w:rPr>
        <w:t>Government</w:t>
      </w:r>
      <w:r>
        <w:rPr>
          <w:spacing w:val="-7"/>
          <w:w w:val="95"/>
        </w:rPr>
        <w:t xml:space="preserve"> </w:t>
      </w:r>
      <w:r>
        <w:rPr>
          <w:spacing w:val="-2"/>
          <w:w w:val="95"/>
        </w:rPr>
        <w:t>(State</w:t>
      </w:r>
      <w:r>
        <w:rPr>
          <w:spacing w:val="-7"/>
          <w:w w:val="95"/>
        </w:rPr>
        <w:t xml:space="preserve"> </w:t>
      </w:r>
      <w:r>
        <w:rPr>
          <w:spacing w:val="-2"/>
          <w:w w:val="95"/>
        </w:rPr>
        <w:t xml:space="preserve">Water) </w:t>
      </w:r>
      <w:r>
        <w:t>is investigating Lostock Dam.</w:t>
      </w:r>
    </w:p>
    <w:p w:rsidR="002C1123" w:rsidRDefault="00F22F94">
      <w:pPr>
        <w:pStyle w:val="BodyText"/>
        <w:spacing w:before="148"/>
        <w:ind w:left="198"/>
      </w:pPr>
      <w:r>
        <w:rPr>
          <w:w w:val="95"/>
        </w:rPr>
        <w:t>Options</w:t>
      </w:r>
      <w:r>
        <w:rPr>
          <w:spacing w:val="-1"/>
        </w:rPr>
        <w:t xml:space="preserve"> </w:t>
      </w:r>
      <w:r>
        <w:rPr>
          <w:spacing w:val="-2"/>
        </w:rPr>
        <w:t>include:</w:t>
      </w:r>
    </w:p>
    <w:p w:rsidR="002C1123" w:rsidRDefault="00F22F94">
      <w:pPr>
        <w:pStyle w:val="ListParagraph"/>
        <w:numPr>
          <w:ilvl w:val="0"/>
          <w:numId w:val="52"/>
        </w:numPr>
        <w:tabs>
          <w:tab w:val="left" w:pos="483"/>
        </w:tabs>
        <w:spacing w:before="54" w:line="249" w:lineRule="auto"/>
        <w:ind w:right="923"/>
        <w:rPr>
          <w:sz w:val="20"/>
        </w:rPr>
      </w:pPr>
      <w:r>
        <w:rPr>
          <w:w w:val="95"/>
          <w:sz w:val="20"/>
        </w:rPr>
        <w:t>water</w:t>
      </w:r>
      <w:r>
        <w:rPr>
          <w:spacing w:val="-4"/>
          <w:w w:val="95"/>
          <w:sz w:val="20"/>
        </w:rPr>
        <w:t xml:space="preserve"> </w:t>
      </w:r>
      <w:r>
        <w:rPr>
          <w:w w:val="95"/>
          <w:sz w:val="20"/>
        </w:rPr>
        <w:t>sharing</w:t>
      </w:r>
      <w:r>
        <w:rPr>
          <w:spacing w:val="-4"/>
          <w:w w:val="95"/>
          <w:sz w:val="20"/>
        </w:rPr>
        <w:t xml:space="preserve"> </w:t>
      </w:r>
      <w:r>
        <w:rPr>
          <w:w w:val="95"/>
          <w:sz w:val="20"/>
        </w:rPr>
        <w:t>arrangements</w:t>
      </w:r>
      <w:r>
        <w:rPr>
          <w:spacing w:val="-4"/>
          <w:w w:val="95"/>
          <w:sz w:val="20"/>
        </w:rPr>
        <w:t xml:space="preserve"> </w:t>
      </w:r>
      <w:r>
        <w:rPr>
          <w:w w:val="95"/>
          <w:sz w:val="20"/>
        </w:rPr>
        <w:t>with</w:t>
      </w:r>
      <w:r>
        <w:rPr>
          <w:spacing w:val="-4"/>
          <w:w w:val="95"/>
          <w:sz w:val="20"/>
        </w:rPr>
        <w:t xml:space="preserve"> </w:t>
      </w:r>
      <w:r>
        <w:rPr>
          <w:w w:val="95"/>
          <w:sz w:val="20"/>
        </w:rPr>
        <w:t>the</w:t>
      </w:r>
      <w:r>
        <w:rPr>
          <w:spacing w:val="-4"/>
          <w:w w:val="95"/>
          <w:sz w:val="20"/>
        </w:rPr>
        <w:t xml:space="preserve"> </w:t>
      </w:r>
      <w:r>
        <w:rPr>
          <w:w w:val="95"/>
          <w:sz w:val="20"/>
        </w:rPr>
        <w:t>Central</w:t>
      </w:r>
      <w:r>
        <w:rPr>
          <w:spacing w:val="-4"/>
          <w:w w:val="95"/>
          <w:sz w:val="20"/>
        </w:rPr>
        <w:t xml:space="preserve"> </w:t>
      </w:r>
      <w:r>
        <w:rPr>
          <w:w w:val="95"/>
          <w:sz w:val="20"/>
        </w:rPr>
        <w:t>Coast including the option of water banking and transfers</w:t>
      </w:r>
    </w:p>
    <w:p w:rsidR="002C1123" w:rsidRDefault="002C1123">
      <w:pPr>
        <w:spacing w:line="249" w:lineRule="auto"/>
        <w:rPr>
          <w:sz w:val="20"/>
        </w:rPr>
        <w:sectPr w:rsidR="002C1123">
          <w:type w:val="continuous"/>
          <w:pgSz w:w="16840" w:h="11910" w:orient="landscape"/>
          <w:pgMar w:top="560" w:right="280" w:bottom="280" w:left="500" w:header="0" w:footer="517" w:gutter="0"/>
          <w:cols w:num="3" w:space="720" w:equalWidth="0">
            <w:col w:w="5292" w:space="40"/>
            <w:col w:w="4975" w:space="39"/>
            <w:col w:w="5714"/>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ListParagraph"/>
        <w:numPr>
          <w:ilvl w:val="1"/>
          <w:numId w:val="52"/>
        </w:numPr>
        <w:tabs>
          <w:tab w:val="left" w:pos="776"/>
        </w:tabs>
        <w:spacing w:before="93" w:line="249" w:lineRule="auto"/>
        <w:rPr>
          <w:sz w:val="20"/>
        </w:rPr>
      </w:pPr>
      <w:bookmarkStart w:id="325" w:name="12.3_Regional_water_and_wastewater"/>
      <w:bookmarkStart w:id="326" w:name="_bookmark231"/>
      <w:bookmarkStart w:id="327" w:name="_bookmark230"/>
      <w:bookmarkEnd w:id="325"/>
      <w:bookmarkEnd w:id="326"/>
      <w:bookmarkEnd w:id="327"/>
      <w:r>
        <w:rPr>
          <w:w w:val="95"/>
          <w:sz w:val="20"/>
        </w:rPr>
        <w:t>new</w:t>
      </w:r>
      <w:r>
        <w:rPr>
          <w:spacing w:val="-1"/>
          <w:w w:val="95"/>
          <w:sz w:val="20"/>
        </w:rPr>
        <w:t xml:space="preserve"> </w:t>
      </w:r>
      <w:r>
        <w:rPr>
          <w:w w:val="95"/>
          <w:sz w:val="20"/>
        </w:rPr>
        <w:t>or</w:t>
      </w:r>
      <w:r>
        <w:rPr>
          <w:spacing w:val="-1"/>
          <w:w w:val="95"/>
          <w:sz w:val="20"/>
        </w:rPr>
        <w:t xml:space="preserve"> </w:t>
      </w:r>
      <w:r>
        <w:rPr>
          <w:w w:val="95"/>
          <w:sz w:val="20"/>
        </w:rPr>
        <w:t>upgraded</w:t>
      </w:r>
      <w:r>
        <w:rPr>
          <w:spacing w:val="-1"/>
          <w:w w:val="95"/>
          <w:sz w:val="20"/>
        </w:rPr>
        <w:t xml:space="preserve"> </w:t>
      </w:r>
      <w:r>
        <w:rPr>
          <w:w w:val="95"/>
          <w:sz w:val="20"/>
        </w:rPr>
        <w:t>storage</w:t>
      </w:r>
      <w:r>
        <w:rPr>
          <w:spacing w:val="-1"/>
          <w:w w:val="95"/>
          <w:sz w:val="20"/>
        </w:rPr>
        <w:t xml:space="preserve"> </w:t>
      </w:r>
      <w:r>
        <w:rPr>
          <w:w w:val="95"/>
          <w:sz w:val="20"/>
        </w:rPr>
        <w:t>dams</w:t>
      </w:r>
      <w:r>
        <w:rPr>
          <w:spacing w:val="-1"/>
          <w:w w:val="95"/>
          <w:sz w:val="20"/>
        </w:rPr>
        <w:t xml:space="preserve"> </w:t>
      </w:r>
      <w:r>
        <w:rPr>
          <w:w w:val="95"/>
          <w:sz w:val="20"/>
        </w:rPr>
        <w:t>including</w:t>
      </w:r>
      <w:r>
        <w:rPr>
          <w:spacing w:val="-1"/>
          <w:w w:val="95"/>
          <w:sz w:val="20"/>
        </w:rPr>
        <w:t xml:space="preserve"> </w:t>
      </w:r>
      <w:r>
        <w:rPr>
          <w:w w:val="95"/>
          <w:sz w:val="20"/>
        </w:rPr>
        <w:t xml:space="preserve">Chichester, </w:t>
      </w:r>
      <w:r>
        <w:rPr>
          <w:sz w:val="20"/>
        </w:rPr>
        <w:t>Lostock and Grahamstown options</w:t>
      </w:r>
    </w:p>
    <w:p w:rsidR="002C1123" w:rsidRDefault="00F22F94">
      <w:pPr>
        <w:pStyle w:val="ListParagraph"/>
        <w:numPr>
          <w:ilvl w:val="1"/>
          <w:numId w:val="52"/>
        </w:numPr>
        <w:tabs>
          <w:tab w:val="left" w:pos="776"/>
        </w:tabs>
        <w:spacing w:before="131"/>
        <w:rPr>
          <w:sz w:val="20"/>
        </w:rPr>
      </w:pPr>
      <w:r>
        <w:rPr>
          <w:w w:val="95"/>
          <w:sz w:val="20"/>
        </w:rPr>
        <w:t>desalination</w:t>
      </w:r>
      <w:r>
        <w:rPr>
          <w:spacing w:val="-7"/>
          <w:w w:val="95"/>
          <w:sz w:val="20"/>
        </w:rPr>
        <w:t xml:space="preserve"> </w:t>
      </w:r>
      <w:r>
        <w:rPr>
          <w:w w:val="95"/>
          <w:sz w:val="20"/>
        </w:rPr>
        <w:t>and</w:t>
      </w:r>
      <w:r>
        <w:rPr>
          <w:spacing w:val="-7"/>
          <w:w w:val="95"/>
          <w:sz w:val="20"/>
        </w:rPr>
        <w:t xml:space="preserve"> </w:t>
      </w:r>
      <w:r>
        <w:rPr>
          <w:w w:val="95"/>
          <w:sz w:val="20"/>
        </w:rPr>
        <w:t>water</w:t>
      </w:r>
      <w:r>
        <w:rPr>
          <w:spacing w:val="-6"/>
          <w:w w:val="95"/>
          <w:sz w:val="20"/>
        </w:rPr>
        <w:t xml:space="preserve"> </w:t>
      </w:r>
      <w:r>
        <w:rPr>
          <w:spacing w:val="-2"/>
          <w:w w:val="95"/>
          <w:sz w:val="20"/>
        </w:rPr>
        <w:t>recycling</w:t>
      </w:r>
    </w:p>
    <w:p w:rsidR="002C1123" w:rsidRDefault="00F22F94">
      <w:pPr>
        <w:pStyle w:val="ListParagraph"/>
        <w:numPr>
          <w:ilvl w:val="1"/>
          <w:numId w:val="52"/>
        </w:numPr>
        <w:tabs>
          <w:tab w:val="left" w:pos="776"/>
        </w:tabs>
        <w:spacing w:before="139" w:line="249" w:lineRule="auto"/>
        <w:ind w:right="1"/>
        <w:rPr>
          <w:sz w:val="20"/>
        </w:rPr>
      </w:pPr>
      <w:r>
        <w:rPr>
          <w:w w:val="95"/>
          <w:sz w:val="20"/>
        </w:rPr>
        <w:t>accessing</w:t>
      </w:r>
      <w:r>
        <w:rPr>
          <w:spacing w:val="-2"/>
          <w:w w:val="95"/>
          <w:sz w:val="20"/>
        </w:rPr>
        <w:t xml:space="preserve"> </w:t>
      </w:r>
      <w:r>
        <w:rPr>
          <w:w w:val="95"/>
          <w:sz w:val="20"/>
        </w:rPr>
        <w:t>groundwater</w:t>
      </w:r>
      <w:r>
        <w:rPr>
          <w:spacing w:val="-2"/>
          <w:w w:val="95"/>
          <w:sz w:val="20"/>
        </w:rPr>
        <w:t xml:space="preserve"> </w:t>
      </w:r>
      <w:r>
        <w:rPr>
          <w:w w:val="95"/>
          <w:sz w:val="20"/>
        </w:rPr>
        <w:t>reserves</w:t>
      </w:r>
      <w:r>
        <w:rPr>
          <w:spacing w:val="-2"/>
          <w:w w:val="95"/>
          <w:sz w:val="20"/>
        </w:rPr>
        <w:t xml:space="preserve"> </w:t>
      </w:r>
      <w:r>
        <w:rPr>
          <w:w w:val="95"/>
          <w:sz w:val="20"/>
        </w:rPr>
        <w:t>–</w:t>
      </w:r>
      <w:r>
        <w:rPr>
          <w:spacing w:val="-2"/>
          <w:w w:val="95"/>
          <w:sz w:val="20"/>
        </w:rPr>
        <w:t xml:space="preserve"> </w:t>
      </w:r>
      <w:r>
        <w:rPr>
          <w:w w:val="95"/>
          <w:sz w:val="20"/>
        </w:rPr>
        <w:t>particularly</w:t>
      </w:r>
      <w:r>
        <w:rPr>
          <w:spacing w:val="-2"/>
          <w:w w:val="95"/>
          <w:sz w:val="20"/>
        </w:rPr>
        <w:t xml:space="preserve"> </w:t>
      </w:r>
      <w:r>
        <w:rPr>
          <w:w w:val="95"/>
          <w:sz w:val="20"/>
        </w:rPr>
        <w:t xml:space="preserve">during </w:t>
      </w:r>
      <w:r>
        <w:rPr>
          <w:sz w:val="20"/>
        </w:rPr>
        <w:t>times</w:t>
      </w:r>
      <w:r>
        <w:rPr>
          <w:spacing w:val="-11"/>
          <w:sz w:val="20"/>
        </w:rPr>
        <w:t xml:space="preserve"> </w:t>
      </w:r>
      <w:r>
        <w:rPr>
          <w:sz w:val="20"/>
        </w:rPr>
        <w:t>of</w:t>
      </w:r>
      <w:r>
        <w:rPr>
          <w:spacing w:val="-11"/>
          <w:sz w:val="20"/>
        </w:rPr>
        <w:t xml:space="preserve"> </w:t>
      </w:r>
      <w:r>
        <w:rPr>
          <w:sz w:val="20"/>
        </w:rPr>
        <w:t>drought</w:t>
      </w:r>
      <w:r>
        <w:rPr>
          <w:spacing w:val="-11"/>
          <w:sz w:val="20"/>
        </w:rPr>
        <w:t xml:space="preserve"> </w:t>
      </w:r>
      <w:r>
        <w:rPr>
          <w:sz w:val="20"/>
        </w:rPr>
        <w:t>and</w:t>
      </w:r>
      <w:r>
        <w:rPr>
          <w:spacing w:val="-11"/>
          <w:sz w:val="20"/>
        </w:rPr>
        <w:t xml:space="preserve"> </w:t>
      </w:r>
      <w:r>
        <w:rPr>
          <w:sz w:val="20"/>
        </w:rPr>
        <w:t>then</w:t>
      </w:r>
      <w:r>
        <w:rPr>
          <w:spacing w:val="-11"/>
          <w:sz w:val="20"/>
        </w:rPr>
        <w:t xml:space="preserve"> </w:t>
      </w:r>
      <w:r>
        <w:rPr>
          <w:sz w:val="20"/>
        </w:rPr>
        <w:t>replenishing</w:t>
      </w:r>
      <w:r>
        <w:rPr>
          <w:spacing w:val="-11"/>
          <w:sz w:val="20"/>
        </w:rPr>
        <w:t xml:space="preserve"> </w:t>
      </w:r>
      <w:r>
        <w:rPr>
          <w:sz w:val="20"/>
        </w:rPr>
        <w:t>during</w:t>
      </w:r>
      <w:r>
        <w:rPr>
          <w:spacing w:val="-11"/>
          <w:sz w:val="20"/>
        </w:rPr>
        <w:t xml:space="preserve"> </w:t>
      </w:r>
      <w:r>
        <w:rPr>
          <w:sz w:val="20"/>
        </w:rPr>
        <w:t>good times</w:t>
      </w:r>
      <w:r>
        <w:rPr>
          <w:spacing w:val="-7"/>
          <w:sz w:val="20"/>
        </w:rPr>
        <w:t xml:space="preserve"> </w:t>
      </w:r>
      <w:r>
        <w:rPr>
          <w:sz w:val="20"/>
        </w:rPr>
        <w:t>to</w:t>
      </w:r>
      <w:r>
        <w:rPr>
          <w:spacing w:val="-7"/>
          <w:sz w:val="20"/>
        </w:rPr>
        <w:t xml:space="preserve"> </w:t>
      </w:r>
      <w:r>
        <w:rPr>
          <w:sz w:val="20"/>
        </w:rPr>
        <w:t>allow</w:t>
      </w:r>
      <w:r>
        <w:rPr>
          <w:spacing w:val="-7"/>
          <w:sz w:val="20"/>
        </w:rPr>
        <w:t xml:space="preserve"> </w:t>
      </w:r>
      <w:r>
        <w:rPr>
          <w:sz w:val="20"/>
        </w:rPr>
        <w:t>the</w:t>
      </w:r>
      <w:r>
        <w:rPr>
          <w:spacing w:val="-7"/>
          <w:sz w:val="20"/>
        </w:rPr>
        <w:t xml:space="preserve"> </w:t>
      </w:r>
      <w:r>
        <w:rPr>
          <w:sz w:val="20"/>
        </w:rPr>
        <w:t>reserves</w:t>
      </w:r>
      <w:r>
        <w:rPr>
          <w:spacing w:val="-7"/>
          <w:sz w:val="20"/>
        </w:rPr>
        <w:t xml:space="preserve"> </w:t>
      </w:r>
      <w:r>
        <w:rPr>
          <w:sz w:val="20"/>
        </w:rPr>
        <w:t>to</w:t>
      </w:r>
      <w:r>
        <w:rPr>
          <w:spacing w:val="-7"/>
          <w:sz w:val="20"/>
        </w:rPr>
        <w:t xml:space="preserve"> </w:t>
      </w:r>
      <w:r>
        <w:rPr>
          <w:sz w:val="20"/>
        </w:rPr>
        <w:t>recover</w:t>
      </w:r>
    </w:p>
    <w:p w:rsidR="002C1123" w:rsidRDefault="002060EF">
      <w:pPr>
        <w:pStyle w:val="ListParagraph"/>
        <w:numPr>
          <w:ilvl w:val="1"/>
          <w:numId w:val="52"/>
        </w:numPr>
        <w:tabs>
          <w:tab w:val="left" w:pos="776"/>
        </w:tabs>
        <w:spacing w:before="131"/>
        <w:rPr>
          <w:sz w:val="20"/>
        </w:rPr>
      </w:pPr>
      <w:r>
        <w:pict>
          <v:shape id="docshape2214" o:spid="_x0000_s1820" type="#_x0000_t202" style="position:absolute;left:0;text-align:left;margin-left:49.6pt;margin-top:27.65pt;width:239pt;height:45.35pt;z-index:251635712;mso-position-horizontal-relative:page" fillcolor="#e1e0e1" stroked="f">
            <v:textbox inset="0,0,0,0">
              <w:txbxContent>
                <w:p w:rsidR="00F22F94" w:rsidRDefault="00F22F94">
                  <w:pPr>
                    <w:pStyle w:val="BodyText"/>
                    <w:spacing w:before="68" w:line="249" w:lineRule="auto"/>
                    <w:ind w:left="113" w:right="115"/>
                    <w:rPr>
                      <w:color w:val="000000"/>
                    </w:rPr>
                  </w:pPr>
                  <w:r>
                    <w:rPr>
                      <w:b/>
                      <w:color w:val="00AEEF"/>
                    </w:rPr>
                    <w:t>Recommendation</w:t>
                  </w:r>
                  <w:r>
                    <w:rPr>
                      <w:b/>
                      <w:color w:val="00AEEF"/>
                      <w:spacing w:val="40"/>
                    </w:rPr>
                    <w:t xml:space="preserve"> </w:t>
                  </w:r>
                  <w:r>
                    <w:rPr>
                      <w:color w:val="000000"/>
                    </w:rPr>
                    <w:t xml:space="preserve">Infrastructure NSW </w:t>
                  </w:r>
                  <w:r>
                    <w:rPr>
                      <w:color w:val="000000"/>
                      <w:w w:val="95"/>
                    </w:rPr>
                    <w:t xml:space="preserve">recommends augmentation of supply for the Hunter </w:t>
                  </w:r>
                  <w:r>
                    <w:rPr>
                      <w:color w:val="000000"/>
                    </w:rPr>
                    <w:t>region</w:t>
                  </w:r>
                  <w:r>
                    <w:rPr>
                      <w:color w:val="000000"/>
                      <w:spacing w:val="-2"/>
                    </w:rPr>
                    <w:t xml:space="preserve"> </w:t>
                  </w:r>
                  <w:r>
                    <w:rPr>
                      <w:color w:val="000000"/>
                    </w:rPr>
                    <w:t>within</w:t>
                  </w:r>
                  <w:r>
                    <w:rPr>
                      <w:color w:val="000000"/>
                      <w:spacing w:val="-2"/>
                    </w:rPr>
                    <w:t xml:space="preserve"> </w:t>
                  </w:r>
                  <w:r>
                    <w:rPr>
                      <w:color w:val="000000"/>
                    </w:rPr>
                    <w:t>the</w:t>
                  </w:r>
                  <w:r>
                    <w:rPr>
                      <w:color w:val="000000"/>
                      <w:spacing w:val="-2"/>
                    </w:rPr>
                    <w:t xml:space="preserve"> </w:t>
                  </w:r>
                  <w:r>
                    <w:rPr>
                      <w:color w:val="000000"/>
                    </w:rPr>
                    <w:t>next</w:t>
                  </w:r>
                  <w:r>
                    <w:rPr>
                      <w:color w:val="000000"/>
                      <w:spacing w:val="-2"/>
                    </w:rPr>
                    <w:t xml:space="preserve"> </w:t>
                  </w:r>
                  <w:r>
                    <w:rPr>
                      <w:color w:val="000000"/>
                    </w:rPr>
                    <w:t>10</w:t>
                  </w:r>
                  <w:r>
                    <w:rPr>
                      <w:color w:val="000000"/>
                      <w:spacing w:val="-2"/>
                    </w:rPr>
                    <w:t xml:space="preserve"> </w:t>
                  </w:r>
                  <w:r>
                    <w:rPr>
                      <w:color w:val="000000"/>
                    </w:rPr>
                    <w:t>years.</w:t>
                  </w:r>
                </w:p>
              </w:txbxContent>
            </v:textbox>
            <w10:wrap anchorx="page"/>
          </v:shape>
        </w:pict>
      </w:r>
      <w:r w:rsidR="00F22F94">
        <w:rPr>
          <w:w w:val="95"/>
          <w:sz w:val="20"/>
        </w:rPr>
        <w:t>demand</w:t>
      </w:r>
      <w:r w:rsidR="00F22F94">
        <w:rPr>
          <w:spacing w:val="11"/>
          <w:sz w:val="20"/>
        </w:rPr>
        <w:t xml:space="preserve"> </w:t>
      </w:r>
      <w:r w:rsidR="00F22F94">
        <w:rPr>
          <w:spacing w:val="-2"/>
          <w:sz w:val="20"/>
        </w:rPr>
        <w:t>management.</w:t>
      </w:r>
    </w:p>
    <w:p w:rsidR="002C1123" w:rsidRDefault="00F22F94">
      <w:pPr>
        <w:pStyle w:val="BodyText"/>
        <w:spacing w:before="106" w:line="249" w:lineRule="auto"/>
        <w:ind w:left="221" w:right="-1"/>
      </w:pPr>
      <w:r>
        <w:br w:type="column"/>
      </w:r>
      <w:r>
        <w:rPr>
          <w:w w:val="95"/>
        </w:rPr>
        <w:t>for</w:t>
      </w:r>
      <w:r>
        <w:rPr>
          <w:spacing w:val="-13"/>
          <w:w w:val="95"/>
        </w:rPr>
        <w:t xml:space="preserve"> </w:t>
      </w:r>
      <w:r>
        <w:rPr>
          <w:w w:val="95"/>
        </w:rPr>
        <w:t>renewal</w:t>
      </w:r>
      <w:r>
        <w:rPr>
          <w:spacing w:val="-12"/>
          <w:w w:val="95"/>
        </w:rPr>
        <w:t xml:space="preserve"> </w:t>
      </w:r>
      <w:r>
        <w:rPr>
          <w:w w:val="95"/>
        </w:rPr>
        <w:t>and</w:t>
      </w:r>
      <w:r>
        <w:rPr>
          <w:spacing w:val="-12"/>
          <w:w w:val="95"/>
        </w:rPr>
        <w:t xml:space="preserve"> </w:t>
      </w:r>
      <w:r>
        <w:rPr>
          <w:w w:val="95"/>
        </w:rPr>
        <w:t>development</w:t>
      </w:r>
      <w:r>
        <w:rPr>
          <w:spacing w:val="-12"/>
          <w:w w:val="95"/>
        </w:rPr>
        <w:t xml:space="preserve"> </w:t>
      </w:r>
      <w:r>
        <w:rPr>
          <w:w w:val="95"/>
        </w:rPr>
        <w:t>of</w:t>
      </w:r>
      <w:r>
        <w:rPr>
          <w:spacing w:val="-12"/>
          <w:w w:val="95"/>
        </w:rPr>
        <w:t xml:space="preserve"> </w:t>
      </w:r>
      <w:r>
        <w:rPr>
          <w:w w:val="95"/>
        </w:rPr>
        <w:t>new</w:t>
      </w:r>
      <w:r>
        <w:rPr>
          <w:spacing w:val="-13"/>
          <w:w w:val="95"/>
        </w:rPr>
        <w:t xml:space="preserve"> </w:t>
      </w:r>
      <w:r>
        <w:rPr>
          <w:w w:val="95"/>
        </w:rPr>
        <w:t>facilities</w:t>
      </w:r>
      <w:r>
        <w:rPr>
          <w:spacing w:val="-12"/>
          <w:w w:val="95"/>
        </w:rPr>
        <w:t xml:space="preserve"> </w:t>
      </w:r>
      <w:r>
        <w:rPr>
          <w:w w:val="95"/>
        </w:rPr>
        <w:t>in</w:t>
      </w:r>
      <w:r>
        <w:rPr>
          <w:spacing w:val="-12"/>
          <w:w w:val="95"/>
        </w:rPr>
        <w:t xml:space="preserve"> </w:t>
      </w:r>
      <w:r>
        <w:rPr>
          <w:w w:val="95"/>
        </w:rPr>
        <w:t>regional areas.</w:t>
      </w:r>
      <w:r>
        <w:rPr>
          <w:spacing w:val="-13"/>
          <w:w w:val="95"/>
        </w:rPr>
        <w:t xml:space="preserve"> </w:t>
      </w:r>
      <w:r>
        <w:rPr>
          <w:w w:val="95"/>
        </w:rPr>
        <w:t>While</w:t>
      </w:r>
      <w:r>
        <w:rPr>
          <w:spacing w:val="-12"/>
          <w:w w:val="95"/>
        </w:rPr>
        <w:t xml:space="preserve"> </w:t>
      </w:r>
      <w:r>
        <w:rPr>
          <w:w w:val="95"/>
        </w:rPr>
        <w:t>this</w:t>
      </w:r>
      <w:r>
        <w:rPr>
          <w:spacing w:val="-12"/>
          <w:w w:val="95"/>
        </w:rPr>
        <w:t xml:space="preserve"> </w:t>
      </w:r>
      <w:r>
        <w:rPr>
          <w:w w:val="95"/>
        </w:rPr>
        <w:t>is</w:t>
      </w:r>
      <w:r>
        <w:rPr>
          <w:spacing w:val="-12"/>
          <w:w w:val="95"/>
        </w:rPr>
        <w:t xml:space="preserve"> </w:t>
      </w:r>
      <w:r>
        <w:rPr>
          <w:w w:val="95"/>
        </w:rPr>
        <w:t>largely</w:t>
      </w:r>
      <w:r>
        <w:rPr>
          <w:spacing w:val="-13"/>
          <w:w w:val="95"/>
        </w:rPr>
        <w:t xml:space="preserve"> </w:t>
      </w:r>
      <w:r>
        <w:rPr>
          <w:w w:val="95"/>
        </w:rPr>
        <w:t>funded</w:t>
      </w:r>
      <w:r>
        <w:rPr>
          <w:spacing w:val="-12"/>
          <w:w w:val="95"/>
        </w:rPr>
        <w:t xml:space="preserve"> </w:t>
      </w:r>
      <w:r>
        <w:rPr>
          <w:w w:val="95"/>
        </w:rPr>
        <w:t>through</w:t>
      </w:r>
      <w:r>
        <w:rPr>
          <w:spacing w:val="-12"/>
          <w:w w:val="95"/>
        </w:rPr>
        <w:t xml:space="preserve"> </w:t>
      </w:r>
      <w:r>
        <w:rPr>
          <w:w w:val="95"/>
        </w:rPr>
        <w:t>user</w:t>
      </w:r>
      <w:r>
        <w:rPr>
          <w:spacing w:val="-12"/>
          <w:w w:val="95"/>
        </w:rPr>
        <w:t xml:space="preserve"> </w:t>
      </w:r>
      <w:r>
        <w:rPr>
          <w:w w:val="95"/>
        </w:rPr>
        <w:t>charges, the</w:t>
      </w:r>
      <w:r>
        <w:rPr>
          <w:spacing w:val="-13"/>
          <w:w w:val="95"/>
        </w:rPr>
        <w:t xml:space="preserve"> </w:t>
      </w:r>
      <w:r>
        <w:rPr>
          <w:w w:val="95"/>
        </w:rPr>
        <w:t>Government</w:t>
      </w:r>
      <w:r>
        <w:rPr>
          <w:spacing w:val="-12"/>
          <w:w w:val="95"/>
        </w:rPr>
        <w:t xml:space="preserve"> </w:t>
      </w:r>
      <w:r>
        <w:rPr>
          <w:w w:val="95"/>
        </w:rPr>
        <w:t>provides</w:t>
      </w:r>
      <w:r>
        <w:rPr>
          <w:spacing w:val="-12"/>
          <w:w w:val="95"/>
        </w:rPr>
        <w:t xml:space="preserve"> </w:t>
      </w:r>
      <w:r>
        <w:rPr>
          <w:w w:val="95"/>
        </w:rPr>
        <w:t>direct</w:t>
      </w:r>
      <w:r>
        <w:rPr>
          <w:spacing w:val="-12"/>
          <w:w w:val="95"/>
        </w:rPr>
        <w:t xml:space="preserve"> </w:t>
      </w:r>
      <w:r>
        <w:rPr>
          <w:w w:val="95"/>
        </w:rPr>
        <w:t>support</w:t>
      </w:r>
      <w:r>
        <w:rPr>
          <w:spacing w:val="-13"/>
          <w:w w:val="95"/>
        </w:rPr>
        <w:t xml:space="preserve"> </w:t>
      </w:r>
      <w:r>
        <w:rPr>
          <w:w w:val="95"/>
        </w:rPr>
        <w:t>to</w:t>
      </w:r>
      <w:r>
        <w:rPr>
          <w:spacing w:val="-12"/>
          <w:w w:val="95"/>
        </w:rPr>
        <w:t xml:space="preserve"> </w:t>
      </w:r>
      <w:r>
        <w:rPr>
          <w:w w:val="95"/>
        </w:rPr>
        <w:t>local</w:t>
      </w:r>
      <w:r>
        <w:rPr>
          <w:spacing w:val="-12"/>
          <w:w w:val="95"/>
        </w:rPr>
        <w:t xml:space="preserve"> </w:t>
      </w:r>
      <w:r>
        <w:rPr>
          <w:w w:val="95"/>
        </w:rPr>
        <w:t xml:space="preserve">councils </w:t>
      </w:r>
      <w:r>
        <w:rPr>
          <w:w w:val="90"/>
        </w:rPr>
        <w:t xml:space="preserve">to ensure minimum standards. These requirements need </w:t>
      </w:r>
      <w:r>
        <w:rPr>
          <w:spacing w:val="-2"/>
          <w:w w:val="95"/>
        </w:rPr>
        <w:t>to</w:t>
      </w:r>
      <w:r>
        <w:rPr>
          <w:spacing w:val="-5"/>
          <w:w w:val="95"/>
        </w:rPr>
        <w:t xml:space="preserve"> </w:t>
      </w:r>
      <w:r>
        <w:rPr>
          <w:spacing w:val="-2"/>
          <w:w w:val="95"/>
        </w:rPr>
        <w:t>be</w:t>
      </w:r>
      <w:r>
        <w:rPr>
          <w:spacing w:val="-5"/>
          <w:w w:val="95"/>
        </w:rPr>
        <w:t xml:space="preserve"> </w:t>
      </w:r>
      <w:r>
        <w:rPr>
          <w:spacing w:val="-2"/>
          <w:w w:val="95"/>
        </w:rPr>
        <w:t>prioritised</w:t>
      </w:r>
      <w:r>
        <w:rPr>
          <w:spacing w:val="-5"/>
          <w:w w:val="95"/>
        </w:rPr>
        <w:t xml:space="preserve"> </w:t>
      </w:r>
      <w:r>
        <w:rPr>
          <w:spacing w:val="-2"/>
          <w:w w:val="95"/>
        </w:rPr>
        <w:t>with</w:t>
      </w:r>
      <w:r>
        <w:rPr>
          <w:spacing w:val="-5"/>
          <w:w w:val="95"/>
        </w:rPr>
        <w:t xml:space="preserve"> </w:t>
      </w:r>
      <w:r>
        <w:rPr>
          <w:spacing w:val="-2"/>
          <w:w w:val="95"/>
        </w:rPr>
        <w:t>other</w:t>
      </w:r>
      <w:r>
        <w:rPr>
          <w:spacing w:val="-5"/>
          <w:w w:val="95"/>
        </w:rPr>
        <w:t xml:space="preserve"> </w:t>
      </w:r>
      <w:r>
        <w:rPr>
          <w:spacing w:val="-2"/>
          <w:w w:val="95"/>
        </w:rPr>
        <w:t>competing</w:t>
      </w:r>
      <w:r>
        <w:rPr>
          <w:spacing w:val="-5"/>
          <w:w w:val="95"/>
        </w:rPr>
        <w:t xml:space="preserve"> </w:t>
      </w:r>
      <w:r>
        <w:rPr>
          <w:spacing w:val="-2"/>
          <w:w w:val="95"/>
        </w:rPr>
        <w:t>State</w:t>
      </w:r>
      <w:r>
        <w:rPr>
          <w:spacing w:val="-5"/>
          <w:w w:val="95"/>
        </w:rPr>
        <w:t xml:space="preserve"> </w:t>
      </w:r>
      <w:r>
        <w:rPr>
          <w:spacing w:val="-2"/>
          <w:w w:val="95"/>
        </w:rPr>
        <w:t xml:space="preserve">infrastructure </w:t>
      </w:r>
      <w:r>
        <w:rPr>
          <w:w w:val="95"/>
        </w:rPr>
        <w:t>needs for limited available funding.</w:t>
      </w:r>
    </w:p>
    <w:p w:rsidR="002C1123" w:rsidRDefault="00F22F94">
      <w:pPr>
        <w:pStyle w:val="BodyText"/>
        <w:spacing w:before="146" w:line="249" w:lineRule="auto"/>
        <w:ind w:left="221" w:right="-1"/>
      </w:pPr>
      <w:r>
        <w:rPr>
          <w:spacing w:val="-2"/>
        </w:rPr>
        <w:t>To</w:t>
      </w:r>
      <w:r>
        <w:rPr>
          <w:spacing w:val="-7"/>
        </w:rPr>
        <w:t xml:space="preserve"> </w:t>
      </w:r>
      <w:r>
        <w:rPr>
          <w:spacing w:val="-2"/>
        </w:rPr>
        <w:t>maximise</w:t>
      </w:r>
      <w:r>
        <w:rPr>
          <w:spacing w:val="-7"/>
        </w:rPr>
        <w:t xml:space="preserve"> </w:t>
      </w:r>
      <w:r>
        <w:rPr>
          <w:spacing w:val="-2"/>
        </w:rPr>
        <w:t>the</w:t>
      </w:r>
      <w:r>
        <w:rPr>
          <w:spacing w:val="-7"/>
        </w:rPr>
        <w:t xml:space="preserve"> </w:t>
      </w:r>
      <w:r>
        <w:rPr>
          <w:spacing w:val="-2"/>
        </w:rPr>
        <w:t>efficiency</w:t>
      </w:r>
      <w:r>
        <w:rPr>
          <w:spacing w:val="-7"/>
        </w:rPr>
        <w:t xml:space="preserve"> </w:t>
      </w:r>
      <w:r>
        <w:rPr>
          <w:spacing w:val="-2"/>
        </w:rPr>
        <w:t>of</w:t>
      </w:r>
      <w:r>
        <w:rPr>
          <w:spacing w:val="-7"/>
        </w:rPr>
        <w:t xml:space="preserve"> </w:t>
      </w:r>
      <w:r>
        <w:rPr>
          <w:spacing w:val="-2"/>
        </w:rPr>
        <w:t>water</w:t>
      </w:r>
      <w:r>
        <w:rPr>
          <w:spacing w:val="-7"/>
        </w:rPr>
        <w:t xml:space="preserve"> </w:t>
      </w:r>
      <w:r>
        <w:rPr>
          <w:spacing w:val="-2"/>
        </w:rPr>
        <w:t>and</w:t>
      </w:r>
      <w:r>
        <w:rPr>
          <w:spacing w:val="-7"/>
        </w:rPr>
        <w:t xml:space="preserve"> </w:t>
      </w:r>
      <w:r>
        <w:rPr>
          <w:spacing w:val="-2"/>
        </w:rPr>
        <w:t>wastewater management,</w:t>
      </w:r>
      <w:r>
        <w:rPr>
          <w:spacing w:val="-6"/>
        </w:rPr>
        <w:t xml:space="preserve"> </w:t>
      </w:r>
      <w:r>
        <w:rPr>
          <w:spacing w:val="-2"/>
        </w:rPr>
        <w:t>aggregation</w:t>
      </w:r>
      <w:r>
        <w:rPr>
          <w:spacing w:val="-6"/>
        </w:rPr>
        <w:t xml:space="preserve"> </w:t>
      </w:r>
      <w:r>
        <w:rPr>
          <w:spacing w:val="-2"/>
        </w:rPr>
        <w:t>of</w:t>
      </w:r>
      <w:r>
        <w:rPr>
          <w:spacing w:val="-6"/>
        </w:rPr>
        <w:t xml:space="preserve"> </w:t>
      </w:r>
      <w:r>
        <w:rPr>
          <w:spacing w:val="-2"/>
        </w:rPr>
        <w:t>water</w:t>
      </w:r>
      <w:r>
        <w:rPr>
          <w:spacing w:val="-6"/>
        </w:rPr>
        <w:t xml:space="preserve"> </w:t>
      </w:r>
      <w:r>
        <w:rPr>
          <w:spacing w:val="-2"/>
        </w:rPr>
        <w:t>and</w:t>
      </w:r>
      <w:r>
        <w:rPr>
          <w:spacing w:val="-6"/>
        </w:rPr>
        <w:t xml:space="preserve"> </w:t>
      </w:r>
      <w:r>
        <w:rPr>
          <w:spacing w:val="-2"/>
        </w:rPr>
        <w:t xml:space="preserve">wastewater </w:t>
      </w:r>
      <w:r>
        <w:t>delivery</w:t>
      </w:r>
      <w:r>
        <w:rPr>
          <w:spacing w:val="-14"/>
        </w:rPr>
        <w:t xml:space="preserve"> </w:t>
      </w:r>
      <w:r>
        <w:t>needs</w:t>
      </w:r>
      <w:r>
        <w:rPr>
          <w:spacing w:val="-14"/>
        </w:rPr>
        <w:t xml:space="preserve"> </w:t>
      </w:r>
      <w:r>
        <w:t>to</w:t>
      </w:r>
      <w:r>
        <w:rPr>
          <w:spacing w:val="-14"/>
        </w:rPr>
        <w:t xml:space="preserve"> </w:t>
      </w:r>
      <w:r>
        <w:t>occur</w:t>
      </w:r>
      <w:r>
        <w:rPr>
          <w:spacing w:val="-14"/>
        </w:rPr>
        <w:t xml:space="preserve"> </w:t>
      </w:r>
      <w:r>
        <w:t>across</w:t>
      </w:r>
      <w:r>
        <w:rPr>
          <w:spacing w:val="-14"/>
        </w:rPr>
        <w:t xml:space="preserve"> </w:t>
      </w:r>
      <w:r>
        <w:t>Regional</w:t>
      </w:r>
      <w:r>
        <w:rPr>
          <w:spacing w:val="-14"/>
        </w:rPr>
        <w:t xml:space="preserve"> </w:t>
      </w:r>
      <w:r>
        <w:t>NSW.</w:t>
      </w:r>
      <w:r>
        <w:rPr>
          <w:spacing w:val="-14"/>
        </w:rPr>
        <w:t xml:space="preserve"> </w:t>
      </w:r>
      <w:r>
        <w:t xml:space="preserve">This </w:t>
      </w:r>
      <w:r>
        <w:rPr>
          <w:w w:val="95"/>
        </w:rPr>
        <w:t xml:space="preserve">process would be aligned with decisions about water </w:t>
      </w:r>
      <w:r>
        <w:t>infrastructure investment programs.</w:t>
      </w:r>
    </w:p>
    <w:p w:rsidR="002C1123" w:rsidRDefault="00F22F94">
      <w:pPr>
        <w:pStyle w:val="BodyText"/>
        <w:spacing w:before="106" w:line="249" w:lineRule="auto"/>
        <w:ind w:left="323" w:right="600"/>
      </w:pPr>
      <w:r>
        <w:br w:type="column"/>
      </w:r>
      <w:r>
        <w:rPr>
          <w:spacing w:val="-2"/>
        </w:rPr>
        <w:t>The</w:t>
      </w:r>
      <w:r>
        <w:rPr>
          <w:spacing w:val="-10"/>
        </w:rPr>
        <w:t xml:space="preserve"> </w:t>
      </w:r>
      <w:r>
        <w:rPr>
          <w:spacing w:val="-2"/>
        </w:rPr>
        <w:t>NSW</w:t>
      </w:r>
      <w:r>
        <w:rPr>
          <w:spacing w:val="-10"/>
        </w:rPr>
        <w:t xml:space="preserve"> </w:t>
      </w:r>
      <w:r>
        <w:rPr>
          <w:spacing w:val="-2"/>
        </w:rPr>
        <w:t>Office</w:t>
      </w:r>
      <w:r>
        <w:rPr>
          <w:spacing w:val="-10"/>
        </w:rPr>
        <w:t xml:space="preserve"> </w:t>
      </w:r>
      <w:r>
        <w:rPr>
          <w:spacing w:val="-2"/>
        </w:rPr>
        <w:t>of</w:t>
      </w:r>
      <w:r>
        <w:rPr>
          <w:spacing w:val="-10"/>
        </w:rPr>
        <w:t xml:space="preserve"> </w:t>
      </w:r>
      <w:r>
        <w:rPr>
          <w:spacing w:val="-2"/>
        </w:rPr>
        <w:t>Water</w:t>
      </w:r>
      <w:r>
        <w:rPr>
          <w:spacing w:val="-10"/>
        </w:rPr>
        <w:t xml:space="preserve"> </w:t>
      </w:r>
      <w:r>
        <w:rPr>
          <w:spacing w:val="-2"/>
        </w:rPr>
        <w:t>(NOW)</w:t>
      </w:r>
      <w:r>
        <w:rPr>
          <w:spacing w:val="-10"/>
        </w:rPr>
        <w:t xml:space="preserve"> </w:t>
      </w:r>
      <w:r>
        <w:rPr>
          <w:spacing w:val="-2"/>
        </w:rPr>
        <w:t>estimates</w:t>
      </w:r>
      <w:r>
        <w:rPr>
          <w:spacing w:val="-10"/>
        </w:rPr>
        <w:t xml:space="preserve"> </w:t>
      </w:r>
      <w:r>
        <w:rPr>
          <w:spacing w:val="-2"/>
        </w:rPr>
        <w:t>that</w:t>
      </w:r>
      <w:r>
        <w:rPr>
          <w:spacing w:val="-10"/>
        </w:rPr>
        <w:t xml:space="preserve"> </w:t>
      </w:r>
      <w:r>
        <w:rPr>
          <w:spacing w:val="-2"/>
        </w:rPr>
        <w:t xml:space="preserve">just </w:t>
      </w:r>
      <w:r>
        <w:t>under</w:t>
      </w:r>
      <w:r>
        <w:rPr>
          <w:spacing w:val="-12"/>
        </w:rPr>
        <w:t xml:space="preserve"> </w:t>
      </w:r>
      <w:r>
        <w:t>$1</w:t>
      </w:r>
      <w:r>
        <w:rPr>
          <w:spacing w:val="-12"/>
        </w:rPr>
        <w:t xml:space="preserve"> </w:t>
      </w:r>
      <w:r>
        <w:t>billion</w:t>
      </w:r>
      <w:r>
        <w:rPr>
          <w:spacing w:val="-12"/>
        </w:rPr>
        <w:t xml:space="preserve"> </w:t>
      </w:r>
      <w:r>
        <w:t>is</w:t>
      </w:r>
      <w:r>
        <w:rPr>
          <w:spacing w:val="-12"/>
        </w:rPr>
        <w:t xml:space="preserve"> </w:t>
      </w:r>
      <w:r>
        <w:t>needed</w:t>
      </w:r>
      <w:r>
        <w:rPr>
          <w:spacing w:val="-12"/>
        </w:rPr>
        <w:t xml:space="preserve"> </w:t>
      </w:r>
      <w:r>
        <w:t>to</w:t>
      </w:r>
      <w:r>
        <w:rPr>
          <w:spacing w:val="-12"/>
        </w:rPr>
        <w:t xml:space="preserve"> </w:t>
      </w:r>
      <w:r>
        <w:t>bring</w:t>
      </w:r>
      <w:r>
        <w:rPr>
          <w:spacing w:val="-12"/>
        </w:rPr>
        <w:t xml:space="preserve"> </w:t>
      </w:r>
      <w:r>
        <w:t>all</w:t>
      </w:r>
      <w:r>
        <w:rPr>
          <w:spacing w:val="-12"/>
        </w:rPr>
        <w:t xml:space="preserve"> </w:t>
      </w:r>
      <w:r>
        <w:t>water</w:t>
      </w:r>
      <w:r>
        <w:rPr>
          <w:spacing w:val="-12"/>
        </w:rPr>
        <w:t xml:space="preserve"> </w:t>
      </w:r>
      <w:r>
        <w:t>supply systems</w:t>
      </w:r>
      <w:r>
        <w:rPr>
          <w:spacing w:val="-7"/>
        </w:rPr>
        <w:t xml:space="preserve"> </w:t>
      </w:r>
      <w:r>
        <w:t>to</w:t>
      </w:r>
      <w:r>
        <w:rPr>
          <w:spacing w:val="-7"/>
        </w:rPr>
        <w:t xml:space="preserve"> </w:t>
      </w:r>
      <w:r>
        <w:t>minimum</w:t>
      </w:r>
      <w:r>
        <w:rPr>
          <w:spacing w:val="-7"/>
        </w:rPr>
        <w:t xml:space="preserve"> </w:t>
      </w:r>
      <w:r>
        <w:t>drinking</w:t>
      </w:r>
      <w:r>
        <w:rPr>
          <w:spacing w:val="-7"/>
        </w:rPr>
        <w:t xml:space="preserve"> </w:t>
      </w:r>
      <w:r>
        <w:t>quality</w:t>
      </w:r>
      <w:r>
        <w:rPr>
          <w:spacing w:val="-7"/>
        </w:rPr>
        <w:t xml:space="preserve"> </w:t>
      </w:r>
      <w:r>
        <w:t xml:space="preserve">guidelines/ </w:t>
      </w:r>
      <w:r>
        <w:rPr>
          <w:w w:val="95"/>
        </w:rPr>
        <w:t>standards</w:t>
      </w:r>
      <w:r>
        <w:rPr>
          <w:spacing w:val="-4"/>
          <w:w w:val="95"/>
        </w:rPr>
        <w:t xml:space="preserve"> </w:t>
      </w:r>
      <w:r>
        <w:rPr>
          <w:w w:val="95"/>
        </w:rPr>
        <w:t>and</w:t>
      </w:r>
      <w:r>
        <w:rPr>
          <w:spacing w:val="-4"/>
          <w:w w:val="95"/>
        </w:rPr>
        <w:t xml:space="preserve"> </w:t>
      </w:r>
      <w:r>
        <w:rPr>
          <w:w w:val="95"/>
        </w:rPr>
        <w:t>to</w:t>
      </w:r>
      <w:r>
        <w:rPr>
          <w:spacing w:val="-4"/>
          <w:w w:val="95"/>
        </w:rPr>
        <w:t xml:space="preserve"> </w:t>
      </w:r>
      <w:r>
        <w:rPr>
          <w:w w:val="95"/>
        </w:rPr>
        <w:t>bring</w:t>
      </w:r>
      <w:r>
        <w:rPr>
          <w:spacing w:val="-4"/>
          <w:w w:val="95"/>
        </w:rPr>
        <w:t xml:space="preserve"> </w:t>
      </w:r>
      <w:r>
        <w:rPr>
          <w:w w:val="95"/>
        </w:rPr>
        <w:t>all</w:t>
      </w:r>
      <w:r>
        <w:rPr>
          <w:spacing w:val="-4"/>
          <w:w w:val="95"/>
        </w:rPr>
        <w:t xml:space="preserve"> </w:t>
      </w:r>
      <w:r>
        <w:rPr>
          <w:w w:val="95"/>
        </w:rPr>
        <w:t>sewerage</w:t>
      </w:r>
      <w:r>
        <w:rPr>
          <w:spacing w:val="-4"/>
          <w:w w:val="95"/>
        </w:rPr>
        <w:t xml:space="preserve"> </w:t>
      </w:r>
      <w:r>
        <w:rPr>
          <w:w w:val="95"/>
        </w:rPr>
        <w:t>systems</w:t>
      </w:r>
      <w:r>
        <w:rPr>
          <w:spacing w:val="-4"/>
          <w:w w:val="95"/>
        </w:rPr>
        <w:t xml:space="preserve"> </w:t>
      </w:r>
      <w:r>
        <w:rPr>
          <w:w w:val="95"/>
        </w:rPr>
        <w:t>to</w:t>
      </w:r>
      <w:r>
        <w:rPr>
          <w:spacing w:val="-4"/>
          <w:w w:val="95"/>
        </w:rPr>
        <w:t xml:space="preserve"> </w:t>
      </w:r>
      <w:r>
        <w:rPr>
          <w:w w:val="95"/>
        </w:rPr>
        <w:t xml:space="preserve">minimum </w:t>
      </w:r>
      <w:r>
        <w:t>environmental</w:t>
      </w:r>
      <w:r>
        <w:rPr>
          <w:spacing w:val="-12"/>
        </w:rPr>
        <w:t xml:space="preserve"> </w:t>
      </w:r>
      <w:r>
        <w:t>standards,</w:t>
      </w:r>
      <w:r>
        <w:rPr>
          <w:spacing w:val="-12"/>
        </w:rPr>
        <w:t xml:space="preserve"> </w:t>
      </w:r>
      <w:r>
        <w:t>incorporating</w:t>
      </w:r>
      <w:r>
        <w:rPr>
          <w:spacing w:val="-12"/>
        </w:rPr>
        <w:t xml:space="preserve"> </w:t>
      </w:r>
      <w:r>
        <w:t>$300</w:t>
      </w:r>
      <w:r>
        <w:rPr>
          <w:spacing w:val="-12"/>
        </w:rPr>
        <w:t xml:space="preserve"> </w:t>
      </w:r>
      <w:r>
        <w:t>million</w:t>
      </w:r>
      <w:r>
        <w:rPr>
          <w:spacing w:val="-12"/>
        </w:rPr>
        <w:t xml:space="preserve"> </w:t>
      </w:r>
      <w:r>
        <w:t>of new</w:t>
      </w:r>
      <w:r>
        <w:rPr>
          <w:spacing w:val="-14"/>
        </w:rPr>
        <w:t xml:space="preserve"> </w:t>
      </w:r>
      <w:r>
        <w:t>State</w:t>
      </w:r>
      <w:r>
        <w:rPr>
          <w:spacing w:val="-14"/>
        </w:rPr>
        <w:t xml:space="preserve"> </w:t>
      </w:r>
      <w:r>
        <w:t>Government</w:t>
      </w:r>
      <w:r>
        <w:rPr>
          <w:spacing w:val="-14"/>
        </w:rPr>
        <w:t xml:space="preserve"> </w:t>
      </w:r>
      <w:r>
        <w:t>funding.</w:t>
      </w:r>
      <w:r>
        <w:rPr>
          <w:spacing w:val="-14"/>
        </w:rPr>
        <w:t xml:space="preserve"> </w:t>
      </w:r>
      <w:r>
        <w:t>A</w:t>
      </w:r>
      <w:r>
        <w:rPr>
          <w:spacing w:val="-14"/>
        </w:rPr>
        <w:t xml:space="preserve"> </w:t>
      </w:r>
      <w:r>
        <w:t>cost</w:t>
      </w:r>
      <w:r>
        <w:rPr>
          <w:spacing w:val="-14"/>
        </w:rPr>
        <w:t xml:space="preserve"> </w:t>
      </w:r>
      <w:r>
        <w:t>benefit</w:t>
      </w:r>
      <w:r>
        <w:rPr>
          <w:spacing w:val="-14"/>
        </w:rPr>
        <w:t xml:space="preserve"> </w:t>
      </w:r>
      <w:r>
        <w:t>analysis and</w:t>
      </w:r>
      <w:r>
        <w:rPr>
          <w:spacing w:val="-13"/>
        </w:rPr>
        <w:t xml:space="preserve"> </w:t>
      </w:r>
      <w:r>
        <w:t>assessment</w:t>
      </w:r>
      <w:r>
        <w:rPr>
          <w:spacing w:val="-13"/>
        </w:rPr>
        <w:t xml:space="preserve"> </w:t>
      </w:r>
      <w:r>
        <w:t>of</w:t>
      </w:r>
      <w:r>
        <w:rPr>
          <w:spacing w:val="-13"/>
        </w:rPr>
        <w:t xml:space="preserve"> </w:t>
      </w:r>
      <w:r>
        <w:t>affordability</w:t>
      </w:r>
      <w:r>
        <w:rPr>
          <w:spacing w:val="-13"/>
        </w:rPr>
        <w:t xml:space="preserve"> </w:t>
      </w:r>
      <w:r>
        <w:t>and</w:t>
      </w:r>
      <w:r>
        <w:rPr>
          <w:spacing w:val="-13"/>
        </w:rPr>
        <w:t xml:space="preserve"> </w:t>
      </w:r>
      <w:r>
        <w:t>funding</w:t>
      </w:r>
      <w:r>
        <w:rPr>
          <w:spacing w:val="-13"/>
        </w:rPr>
        <w:t xml:space="preserve"> </w:t>
      </w:r>
      <w:r>
        <w:t>share</w:t>
      </w:r>
      <w:r>
        <w:rPr>
          <w:spacing w:val="-13"/>
        </w:rPr>
        <w:t xml:space="preserve"> </w:t>
      </w:r>
      <w:r>
        <w:t>are yet to be carried out for this work.</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257" w:space="40"/>
            <w:col w:w="4886" w:space="39"/>
            <w:col w:w="5838"/>
          </w:cols>
        </w:sectPr>
      </w:pPr>
    </w:p>
    <w:p w:rsidR="002C1123" w:rsidRDefault="002C1123">
      <w:pPr>
        <w:pStyle w:val="BodyText"/>
      </w:pPr>
    </w:p>
    <w:p w:rsidR="002C1123" w:rsidRDefault="002C1123">
      <w:pPr>
        <w:pStyle w:val="BodyText"/>
      </w:pPr>
    </w:p>
    <w:p w:rsidR="002C1123" w:rsidRDefault="002C1123">
      <w:pPr>
        <w:pStyle w:val="BodyText"/>
        <w:spacing w:before="9"/>
        <w:rPr>
          <w:sz w:val="18"/>
        </w:rPr>
      </w:pPr>
    </w:p>
    <w:p w:rsidR="002C1123" w:rsidRDefault="002C1123">
      <w:pPr>
        <w:rPr>
          <w:sz w:val="18"/>
        </w:rPr>
        <w:sectPr w:rsidR="002C1123">
          <w:type w:val="continuous"/>
          <w:pgSz w:w="16840" w:h="11910" w:orient="landscape"/>
          <w:pgMar w:top="560" w:right="280" w:bottom="280" w:left="500" w:header="0" w:footer="517" w:gutter="0"/>
          <w:cols w:space="720"/>
        </w:sectPr>
      </w:pPr>
    </w:p>
    <w:p w:rsidR="002C1123" w:rsidRDefault="002060EF">
      <w:pPr>
        <w:pStyle w:val="Heading5"/>
        <w:numPr>
          <w:ilvl w:val="1"/>
          <w:numId w:val="55"/>
        </w:numPr>
        <w:tabs>
          <w:tab w:val="left" w:pos="1093"/>
        </w:tabs>
        <w:spacing w:before="110"/>
        <w:jc w:val="left"/>
      </w:pPr>
      <w:r>
        <w:pict>
          <v:shape id="docshape2215" o:spid="_x0000_s1819" type="#_x0000_t202" style="position:absolute;left:0;text-align:left;margin-left:552.3pt;margin-top:-68.2pt;width:239pt;height:69.35pt;z-index:251636736;mso-position-horizontal-relative:page" fillcolor="#e1e0e1" stroked="f">
            <v:textbox inset="0,0,0,0">
              <w:txbxContent>
                <w:p w:rsidR="00F22F94" w:rsidRDefault="00F22F94">
                  <w:pPr>
                    <w:pStyle w:val="BodyText"/>
                    <w:spacing w:before="68" w:line="249" w:lineRule="auto"/>
                    <w:ind w:left="113" w:right="115"/>
                    <w:rPr>
                      <w:color w:val="000000"/>
                    </w:rPr>
                  </w:pPr>
                  <w:r>
                    <w:rPr>
                      <w:b/>
                      <w:color w:val="00AEEF"/>
                    </w:rPr>
                    <w:t>Recommendation</w:t>
                  </w:r>
                  <w:r>
                    <w:rPr>
                      <w:b/>
                      <w:color w:val="00AEEF"/>
                      <w:spacing w:val="40"/>
                    </w:rPr>
                    <w:t xml:space="preserve"> </w:t>
                  </w:r>
                  <w:r>
                    <w:rPr>
                      <w:color w:val="000000"/>
                    </w:rPr>
                    <w:t>Infrastructure NSW recommends</w:t>
                  </w:r>
                  <w:r>
                    <w:rPr>
                      <w:color w:val="000000"/>
                      <w:spacing w:val="-1"/>
                    </w:rPr>
                    <w:t xml:space="preserve"> </w:t>
                  </w:r>
                  <w:r>
                    <w:rPr>
                      <w:color w:val="000000"/>
                    </w:rPr>
                    <w:t>a</w:t>
                  </w:r>
                  <w:r>
                    <w:rPr>
                      <w:color w:val="000000"/>
                      <w:spacing w:val="-1"/>
                    </w:rPr>
                    <w:t xml:space="preserve"> </w:t>
                  </w:r>
                  <w:r>
                    <w:rPr>
                      <w:color w:val="000000"/>
                    </w:rPr>
                    <w:t>prioritised</w:t>
                  </w:r>
                  <w:r>
                    <w:rPr>
                      <w:color w:val="000000"/>
                      <w:spacing w:val="-1"/>
                    </w:rPr>
                    <w:t xml:space="preserve"> </w:t>
                  </w:r>
                  <w:r>
                    <w:rPr>
                      <w:color w:val="000000"/>
                    </w:rPr>
                    <w:t>program</w:t>
                  </w:r>
                  <w:r>
                    <w:rPr>
                      <w:color w:val="000000"/>
                      <w:spacing w:val="-2"/>
                    </w:rPr>
                    <w:t xml:space="preserve"> </w:t>
                  </w:r>
                  <w:r>
                    <w:rPr>
                      <w:color w:val="000000"/>
                    </w:rPr>
                    <w:t>of</w:t>
                  </w:r>
                  <w:r>
                    <w:rPr>
                      <w:color w:val="000000"/>
                      <w:spacing w:val="-1"/>
                    </w:rPr>
                    <w:t xml:space="preserve"> </w:t>
                  </w:r>
                  <w:r>
                    <w:rPr>
                      <w:color w:val="000000"/>
                    </w:rPr>
                    <w:t>work</w:t>
                  </w:r>
                  <w:r>
                    <w:rPr>
                      <w:color w:val="000000"/>
                      <w:spacing w:val="-1"/>
                    </w:rPr>
                    <w:t xml:space="preserve"> </w:t>
                  </w:r>
                  <w:r>
                    <w:rPr>
                      <w:color w:val="000000"/>
                    </w:rPr>
                    <w:t xml:space="preserve">is </w:t>
                  </w:r>
                  <w:r>
                    <w:rPr>
                      <w:color w:val="000000"/>
                      <w:w w:val="95"/>
                    </w:rPr>
                    <w:t>undertaken</w:t>
                  </w:r>
                  <w:r>
                    <w:rPr>
                      <w:color w:val="000000"/>
                      <w:spacing w:val="-4"/>
                      <w:w w:val="95"/>
                    </w:rPr>
                    <w:t xml:space="preserve"> </w:t>
                  </w:r>
                  <w:r>
                    <w:rPr>
                      <w:color w:val="000000"/>
                      <w:w w:val="95"/>
                    </w:rPr>
                    <w:t>across</w:t>
                  </w:r>
                  <w:r>
                    <w:rPr>
                      <w:color w:val="000000"/>
                      <w:spacing w:val="-4"/>
                      <w:w w:val="95"/>
                    </w:rPr>
                    <w:t xml:space="preserve"> </w:t>
                  </w:r>
                  <w:r>
                    <w:rPr>
                      <w:color w:val="000000"/>
                      <w:w w:val="95"/>
                    </w:rPr>
                    <w:t>Regional</w:t>
                  </w:r>
                  <w:r>
                    <w:rPr>
                      <w:color w:val="000000"/>
                      <w:spacing w:val="-4"/>
                      <w:w w:val="95"/>
                    </w:rPr>
                    <w:t xml:space="preserve"> </w:t>
                  </w:r>
                  <w:r>
                    <w:rPr>
                      <w:color w:val="000000"/>
                      <w:w w:val="95"/>
                    </w:rPr>
                    <w:t>NSW</w:t>
                  </w:r>
                  <w:r>
                    <w:rPr>
                      <w:color w:val="000000"/>
                      <w:spacing w:val="-4"/>
                      <w:w w:val="95"/>
                    </w:rPr>
                    <w:t xml:space="preserve"> </w:t>
                  </w:r>
                  <w:r>
                    <w:rPr>
                      <w:color w:val="000000"/>
                      <w:w w:val="95"/>
                    </w:rPr>
                    <w:t>to</w:t>
                  </w:r>
                  <w:r>
                    <w:rPr>
                      <w:color w:val="000000"/>
                      <w:spacing w:val="-4"/>
                      <w:w w:val="95"/>
                    </w:rPr>
                    <w:t xml:space="preserve"> </w:t>
                  </w:r>
                  <w:r>
                    <w:rPr>
                      <w:color w:val="000000"/>
                      <w:w w:val="95"/>
                    </w:rPr>
                    <w:t>bring</w:t>
                  </w:r>
                  <w:r>
                    <w:rPr>
                      <w:color w:val="000000"/>
                      <w:spacing w:val="-4"/>
                      <w:w w:val="95"/>
                    </w:rPr>
                    <w:t xml:space="preserve"> </w:t>
                  </w:r>
                  <w:r>
                    <w:rPr>
                      <w:color w:val="000000"/>
                      <w:w w:val="95"/>
                    </w:rPr>
                    <w:t>water</w:t>
                  </w:r>
                  <w:r>
                    <w:rPr>
                      <w:color w:val="000000"/>
                      <w:spacing w:val="-4"/>
                      <w:w w:val="95"/>
                    </w:rPr>
                    <w:t xml:space="preserve"> </w:t>
                  </w:r>
                  <w:r>
                    <w:rPr>
                      <w:color w:val="000000"/>
                      <w:w w:val="95"/>
                    </w:rPr>
                    <w:t xml:space="preserve">and sewerage systems up to required minimum drinking </w:t>
                  </w:r>
                  <w:r>
                    <w:rPr>
                      <w:color w:val="000000"/>
                    </w:rPr>
                    <w:t>quality and environmental standards.</w:t>
                  </w:r>
                </w:p>
              </w:txbxContent>
            </v:textbox>
            <w10:wrap anchorx="page"/>
          </v:shape>
        </w:pict>
      </w:r>
      <w:r w:rsidR="00F22F94">
        <w:rPr>
          <w:color w:val="00AEEF"/>
          <w:spacing w:val="-2"/>
        </w:rPr>
        <w:t>Regional</w:t>
      </w:r>
      <w:r w:rsidR="00F22F94">
        <w:rPr>
          <w:color w:val="00AEEF"/>
          <w:spacing w:val="-17"/>
        </w:rPr>
        <w:t xml:space="preserve"> </w:t>
      </w:r>
      <w:r w:rsidR="00F22F94">
        <w:rPr>
          <w:color w:val="00AEEF"/>
          <w:spacing w:val="-2"/>
        </w:rPr>
        <w:t>water</w:t>
      </w:r>
      <w:r w:rsidR="00F22F94">
        <w:rPr>
          <w:color w:val="00AEEF"/>
          <w:spacing w:val="-17"/>
        </w:rPr>
        <w:t xml:space="preserve"> </w:t>
      </w:r>
      <w:r w:rsidR="00F22F94">
        <w:rPr>
          <w:color w:val="00AEEF"/>
          <w:spacing w:val="-2"/>
        </w:rPr>
        <w:t>and</w:t>
      </w:r>
      <w:r w:rsidR="00F22F94">
        <w:rPr>
          <w:color w:val="00AEEF"/>
          <w:spacing w:val="-16"/>
        </w:rPr>
        <w:t xml:space="preserve"> </w:t>
      </w:r>
      <w:r w:rsidR="00F22F94">
        <w:rPr>
          <w:color w:val="00AEEF"/>
          <w:spacing w:val="-2"/>
        </w:rPr>
        <w:t>wastewater</w:t>
      </w:r>
    </w:p>
    <w:p w:rsidR="002C1123" w:rsidRDefault="00F22F94">
      <w:pPr>
        <w:pStyle w:val="Heading6"/>
        <w:numPr>
          <w:ilvl w:val="2"/>
          <w:numId w:val="55"/>
        </w:numPr>
        <w:tabs>
          <w:tab w:val="left" w:pos="1087"/>
        </w:tabs>
        <w:spacing w:before="135"/>
        <w:ind w:left="1086"/>
        <w:jc w:val="left"/>
        <w:rPr>
          <w:color w:val="00AEEF"/>
        </w:rPr>
      </w:pPr>
      <w:r>
        <w:rPr>
          <w:color w:val="00AEEF"/>
        </w:rPr>
        <w:t>Local</w:t>
      </w:r>
      <w:r>
        <w:rPr>
          <w:color w:val="00AEEF"/>
          <w:spacing w:val="-12"/>
        </w:rPr>
        <w:t xml:space="preserve"> </w:t>
      </w:r>
      <w:r>
        <w:rPr>
          <w:color w:val="00AEEF"/>
        </w:rPr>
        <w:t>water</w:t>
      </w:r>
      <w:r>
        <w:rPr>
          <w:color w:val="00AEEF"/>
          <w:spacing w:val="-12"/>
        </w:rPr>
        <w:t xml:space="preserve"> </w:t>
      </w:r>
      <w:r>
        <w:rPr>
          <w:color w:val="00AEEF"/>
          <w:spacing w:val="-2"/>
        </w:rPr>
        <w:t>utilities</w:t>
      </w:r>
    </w:p>
    <w:p w:rsidR="002C1123" w:rsidRDefault="00F22F94">
      <w:pPr>
        <w:pStyle w:val="BodyText"/>
        <w:spacing w:before="95" w:line="249" w:lineRule="auto"/>
        <w:ind w:left="492" w:right="129"/>
      </w:pPr>
      <w:r>
        <w:rPr>
          <w:w w:val="95"/>
        </w:rPr>
        <w:t xml:space="preserve">Local Government-owned local water utilities (LWUs) are responsible for non-metropolitan water supply and wastewater management systems that have not seen </w:t>
      </w:r>
      <w:r>
        <w:t>the</w:t>
      </w:r>
      <w:r>
        <w:rPr>
          <w:spacing w:val="-14"/>
        </w:rPr>
        <w:t xml:space="preserve"> </w:t>
      </w:r>
      <w:r>
        <w:t>same</w:t>
      </w:r>
      <w:r>
        <w:rPr>
          <w:spacing w:val="-14"/>
        </w:rPr>
        <w:t xml:space="preserve"> </w:t>
      </w:r>
      <w:r>
        <w:t>increases</w:t>
      </w:r>
      <w:r>
        <w:rPr>
          <w:spacing w:val="-14"/>
        </w:rPr>
        <w:t xml:space="preserve"> </w:t>
      </w:r>
      <w:r>
        <w:t>in</w:t>
      </w:r>
      <w:r>
        <w:rPr>
          <w:spacing w:val="-14"/>
        </w:rPr>
        <w:t xml:space="preserve"> </w:t>
      </w:r>
      <w:r>
        <w:t>infrastructure</w:t>
      </w:r>
      <w:r>
        <w:rPr>
          <w:spacing w:val="-14"/>
        </w:rPr>
        <w:t xml:space="preserve"> </w:t>
      </w:r>
      <w:r>
        <w:t>spending</w:t>
      </w:r>
      <w:r>
        <w:rPr>
          <w:spacing w:val="-14"/>
        </w:rPr>
        <w:t xml:space="preserve"> </w:t>
      </w:r>
      <w:r>
        <w:t>as</w:t>
      </w:r>
      <w:r>
        <w:rPr>
          <w:spacing w:val="-14"/>
        </w:rPr>
        <w:t xml:space="preserve"> </w:t>
      </w:r>
      <w:r>
        <w:t>the metropolitan</w:t>
      </w:r>
      <w:r>
        <w:rPr>
          <w:spacing w:val="-11"/>
        </w:rPr>
        <w:t xml:space="preserve"> </w:t>
      </w:r>
      <w:r>
        <w:t>network.</w:t>
      </w:r>
    </w:p>
    <w:p w:rsidR="002C1123" w:rsidRDefault="00F22F94">
      <w:pPr>
        <w:pStyle w:val="BodyText"/>
        <w:spacing w:before="146" w:line="249" w:lineRule="auto"/>
        <w:ind w:left="492"/>
      </w:pPr>
      <w:r>
        <w:t>As</w:t>
      </w:r>
      <w:r>
        <w:rPr>
          <w:spacing w:val="-9"/>
        </w:rPr>
        <w:t xml:space="preserve"> </w:t>
      </w:r>
      <w:r>
        <w:t>water</w:t>
      </w:r>
      <w:r>
        <w:rPr>
          <w:spacing w:val="-9"/>
        </w:rPr>
        <w:t xml:space="preserve"> </w:t>
      </w:r>
      <w:r>
        <w:t>supply</w:t>
      </w:r>
      <w:r>
        <w:rPr>
          <w:spacing w:val="-9"/>
        </w:rPr>
        <w:t xml:space="preserve"> </w:t>
      </w:r>
      <w:r>
        <w:t>and</w:t>
      </w:r>
      <w:r>
        <w:rPr>
          <w:spacing w:val="-9"/>
        </w:rPr>
        <w:t xml:space="preserve"> </w:t>
      </w:r>
      <w:r>
        <w:t>wastewater</w:t>
      </w:r>
      <w:r>
        <w:rPr>
          <w:spacing w:val="-9"/>
        </w:rPr>
        <w:t xml:space="preserve"> </w:t>
      </w:r>
      <w:r>
        <w:t>treatment</w:t>
      </w:r>
      <w:r>
        <w:rPr>
          <w:spacing w:val="-9"/>
        </w:rPr>
        <w:t xml:space="preserve"> </w:t>
      </w:r>
      <w:r>
        <w:t xml:space="preserve">options </w:t>
      </w:r>
      <w:r>
        <w:rPr>
          <w:w w:val="95"/>
        </w:rPr>
        <w:t>become</w:t>
      </w:r>
      <w:r>
        <w:rPr>
          <w:spacing w:val="-4"/>
          <w:w w:val="95"/>
        </w:rPr>
        <w:t xml:space="preserve"> </w:t>
      </w:r>
      <w:r>
        <w:rPr>
          <w:w w:val="95"/>
        </w:rPr>
        <w:t>increasingly</w:t>
      </w:r>
      <w:r>
        <w:rPr>
          <w:spacing w:val="-4"/>
          <w:w w:val="95"/>
        </w:rPr>
        <w:t xml:space="preserve"> </w:t>
      </w:r>
      <w:r>
        <w:rPr>
          <w:w w:val="95"/>
        </w:rPr>
        <w:t>more</w:t>
      </w:r>
      <w:r>
        <w:rPr>
          <w:spacing w:val="-4"/>
          <w:w w:val="95"/>
        </w:rPr>
        <w:t xml:space="preserve"> </w:t>
      </w:r>
      <w:r>
        <w:rPr>
          <w:w w:val="95"/>
        </w:rPr>
        <w:t>complex,</w:t>
      </w:r>
      <w:r>
        <w:rPr>
          <w:spacing w:val="-4"/>
          <w:w w:val="95"/>
        </w:rPr>
        <w:t xml:space="preserve"> </w:t>
      </w:r>
      <w:r>
        <w:rPr>
          <w:w w:val="95"/>
        </w:rPr>
        <w:t>the</w:t>
      </w:r>
      <w:r>
        <w:rPr>
          <w:spacing w:val="-4"/>
          <w:w w:val="95"/>
        </w:rPr>
        <w:t xml:space="preserve"> </w:t>
      </w:r>
      <w:r>
        <w:rPr>
          <w:w w:val="95"/>
        </w:rPr>
        <w:t>ability</w:t>
      </w:r>
      <w:r>
        <w:rPr>
          <w:spacing w:val="-4"/>
          <w:w w:val="95"/>
        </w:rPr>
        <w:t xml:space="preserve"> </w:t>
      </w:r>
      <w:r>
        <w:rPr>
          <w:w w:val="95"/>
        </w:rPr>
        <w:t>of</w:t>
      </w:r>
      <w:r>
        <w:rPr>
          <w:spacing w:val="-4"/>
          <w:w w:val="95"/>
        </w:rPr>
        <w:t xml:space="preserve"> </w:t>
      </w:r>
      <w:r>
        <w:rPr>
          <w:w w:val="95"/>
        </w:rPr>
        <w:t>small remote</w:t>
      </w:r>
      <w:r>
        <w:rPr>
          <w:spacing w:val="-9"/>
          <w:w w:val="95"/>
        </w:rPr>
        <w:t xml:space="preserve"> </w:t>
      </w:r>
      <w:r>
        <w:rPr>
          <w:w w:val="95"/>
        </w:rPr>
        <w:t>LWUs</w:t>
      </w:r>
      <w:r>
        <w:rPr>
          <w:spacing w:val="-9"/>
          <w:w w:val="95"/>
        </w:rPr>
        <w:t xml:space="preserve"> </w:t>
      </w:r>
      <w:r>
        <w:rPr>
          <w:w w:val="95"/>
        </w:rPr>
        <w:t>to</w:t>
      </w:r>
      <w:r>
        <w:rPr>
          <w:spacing w:val="-9"/>
          <w:w w:val="95"/>
        </w:rPr>
        <w:t xml:space="preserve"> </w:t>
      </w:r>
      <w:r>
        <w:rPr>
          <w:w w:val="95"/>
        </w:rPr>
        <w:t>deliver</w:t>
      </w:r>
      <w:r>
        <w:rPr>
          <w:spacing w:val="-9"/>
          <w:w w:val="95"/>
        </w:rPr>
        <w:t xml:space="preserve"> </w:t>
      </w:r>
      <w:r>
        <w:rPr>
          <w:w w:val="95"/>
        </w:rPr>
        <w:t>required</w:t>
      </w:r>
      <w:r>
        <w:rPr>
          <w:spacing w:val="-9"/>
          <w:w w:val="95"/>
        </w:rPr>
        <w:t xml:space="preserve"> </w:t>
      </w:r>
      <w:r>
        <w:rPr>
          <w:w w:val="95"/>
        </w:rPr>
        <w:t>services</w:t>
      </w:r>
      <w:r>
        <w:rPr>
          <w:spacing w:val="-9"/>
          <w:w w:val="95"/>
        </w:rPr>
        <w:t xml:space="preserve"> </w:t>
      </w:r>
      <w:r>
        <w:rPr>
          <w:w w:val="95"/>
        </w:rPr>
        <w:t>and</w:t>
      </w:r>
      <w:r>
        <w:rPr>
          <w:spacing w:val="-9"/>
          <w:w w:val="95"/>
        </w:rPr>
        <w:t xml:space="preserve"> </w:t>
      </w:r>
      <w:r>
        <w:rPr>
          <w:w w:val="95"/>
        </w:rPr>
        <w:t xml:space="preserve">maintain </w:t>
      </w:r>
      <w:r>
        <w:t>assets</w:t>
      </w:r>
      <w:r>
        <w:rPr>
          <w:spacing w:val="-14"/>
        </w:rPr>
        <w:t xml:space="preserve"> </w:t>
      </w:r>
      <w:r>
        <w:t>efficiently</w:t>
      </w:r>
      <w:r>
        <w:rPr>
          <w:spacing w:val="-14"/>
        </w:rPr>
        <w:t xml:space="preserve"> </w:t>
      </w:r>
      <w:r>
        <w:t>is</w:t>
      </w:r>
      <w:r>
        <w:rPr>
          <w:spacing w:val="-14"/>
        </w:rPr>
        <w:t xml:space="preserve"> </w:t>
      </w:r>
      <w:r>
        <w:t>severely</w:t>
      </w:r>
      <w:r>
        <w:rPr>
          <w:spacing w:val="-14"/>
        </w:rPr>
        <w:t xml:space="preserve"> </w:t>
      </w:r>
      <w:r>
        <w:t>constrained.</w:t>
      </w:r>
    </w:p>
    <w:p w:rsidR="002C1123" w:rsidRDefault="00F22F94">
      <w:pPr>
        <w:pStyle w:val="BodyText"/>
        <w:spacing w:before="145" w:line="249" w:lineRule="auto"/>
        <w:ind w:left="492"/>
      </w:pPr>
      <w:r>
        <w:rPr>
          <w:w w:val="95"/>
        </w:rPr>
        <w:t>A</w:t>
      </w:r>
      <w:r>
        <w:rPr>
          <w:spacing w:val="-6"/>
          <w:w w:val="95"/>
        </w:rPr>
        <w:t xml:space="preserve"> </w:t>
      </w:r>
      <w:r>
        <w:rPr>
          <w:w w:val="95"/>
        </w:rPr>
        <w:t>number</w:t>
      </w:r>
      <w:r>
        <w:rPr>
          <w:spacing w:val="-6"/>
          <w:w w:val="95"/>
        </w:rPr>
        <w:t xml:space="preserve"> </w:t>
      </w:r>
      <w:r>
        <w:rPr>
          <w:w w:val="95"/>
        </w:rPr>
        <w:t>of</w:t>
      </w:r>
      <w:r>
        <w:rPr>
          <w:spacing w:val="-6"/>
          <w:w w:val="95"/>
        </w:rPr>
        <w:t xml:space="preserve"> </w:t>
      </w:r>
      <w:r>
        <w:rPr>
          <w:w w:val="95"/>
        </w:rPr>
        <w:t>reports</w:t>
      </w:r>
      <w:r>
        <w:rPr>
          <w:spacing w:val="-6"/>
          <w:w w:val="95"/>
        </w:rPr>
        <w:t xml:space="preserve"> </w:t>
      </w:r>
      <w:r>
        <w:rPr>
          <w:w w:val="95"/>
        </w:rPr>
        <w:t>to</w:t>
      </w:r>
      <w:r>
        <w:rPr>
          <w:spacing w:val="-6"/>
          <w:w w:val="95"/>
        </w:rPr>
        <w:t xml:space="preserve"> </w:t>
      </w:r>
      <w:r>
        <w:rPr>
          <w:w w:val="95"/>
        </w:rPr>
        <w:t>the</w:t>
      </w:r>
      <w:r>
        <w:rPr>
          <w:spacing w:val="-6"/>
          <w:w w:val="95"/>
        </w:rPr>
        <w:t xml:space="preserve"> </w:t>
      </w:r>
      <w:r>
        <w:rPr>
          <w:w w:val="95"/>
        </w:rPr>
        <w:t>NSW</w:t>
      </w:r>
      <w:r>
        <w:rPr>
          <w:spacing w:val="-6"/>
          <w:w w:val="95"/>
        </w:rPr>
        <w:t xml:space="preserve"> </w:t>
      </w:r>
      <w:r>
        <w:rPr>
          <w:w w:val="95"/>
        </w:rPr>
        <w:t>Government</w:t>
      </w:r>
      <w:r>
        <w:rPr>
          <w:spacing w:val="-6"/>
          <w:w w:val="95"/>
        </w:rPr>
        <w:t xml:space="preserve"> </w:t>
      </w:r>
      <w:r>
        <w:rPr>
          <w:w w:val="95"/>
        </w:rPr>
        <w:t xml:space="preserve">have </w:t>
      </w:r>
      <w:r>
        <w:t>recommended</w:t>
      </w:r>
      <w:r>
        <w:rPr>
          <w:spacing w:val="-14"/>
        </w:rPr>
        <w:t xml:space="preserve"> </w:t>
      </w:r>
      <w:r>
        <w:t>a</w:t>
      </w:r>
      <w:r>
        <w:rPr>
          <w:spacing w:val="-14"/>
        </w:rPr>
        <w:t xml:space="preserve"> </w:t>
      </w:r>
      <w:r>
        <w:t>review</w:t>
      </w:r>
      <w:r>
        <w:rPr>
          <w:spacing w:val="-14"/>
        </w:rPr>
        <w:t xml:space="preserve"> </w:t>
      </w:r>
      <w:r>
        <w:t>of</w:t>
      </w:r>
      <w:r>
        <w:rPr>
          <w:spacing w:val="-14"/>
        </w:rPr>
        <w:t xml:space="preserve"> </w:t>
      </w:r>
      <w:r>
        <w:t>the</w:t>
      </w:r>
      <w:r>
        <w:rPr>
          <w:spacing w:val="-14"/>
        </w:rPr>
        <w:t xml:space="preserve"> </w:t>
      </w:r>
      <w:r>
        <w:t>arrangements</w:t>
      </w:r>
      <w:r>
        <w:rPr>
          <w:spacing w:val="-14"/>
        </w:rPr>
        <w:t xml:space="preserve"> </w:t>
      </w:r>
      <w:r>
        <w:t xml:space="preserve">and </w:t>
      </w:r>
      <w:r>
        <w:rPr>
          <w:spacing w:val="-2"/>
        </w:rPr>
        <w:t>aggregation</w:t>
      </w:r>
      <w:r>
        <w:rPr>
          <w:spacing w:val="-8"/>
        </w:rPr>
        <w:t xml:space="preserve"> </w:t>
      </w:r>
      <w:r>
        <w:rPr>
          <w:spacing w:val="-2"/>
        </w:rPr>
        <w:t>of</w:t>
      </w:r>
      <w:r>
        <w:rPr>
          <w:spacing w:val="-8"/>
        </w:rPr>
        <w:t xml:space="preserve"> </w:t>
      </w:r>
      <w:r>
        <w:rPr>
          <w:spacing w:val="-2"/>
        </w:rPr>
        <w:t>the</w:t>
      </w:r>
      <w:r>
        <w:rPr>
          <w:spacing w:val="-8"/>
        </w:rPr>
        <w:t xml:space="preserve"> </w:t>
      </w:r>
      <w:r>
        <w:rPr>
          <w:spacing w:val="-2"/>
        </w:rPr>
        <w:t>NSW</w:t>
      </w:r>
      <w:r>
        <w:rPr>
          <w:spacing w:val="-8"/>
        </w:rPr>
        <w:t xml:space="preserve"> </w:t>
      </w:r>
      <w:r>
        <w:rPr>
          <w:spacing w:val="-2"/>
        </w:rPr>
        <w:t>non-metropolitan</w:t>
      </w:r>
      <w:r>
        <w:rPr>
          <w:spacing w:val="-8"/>
        </w:rPr>
        <w:t xml:space="preserve"> </w:t>
      </w:r>
      <w:r>
        <w:rPr>
          <w:spacing w:val="-2"/>
        </w:rPr>
        <w:t>sector.</w:t>
      </w:r>
    </w:p>
    <w:p w:rsidR="002C1123" w:rsidRDefault="00F22F94">
      <w:pPr>
        <w:pStyle w:val="BodyText"/>
        <w:spacing w:before="144" w:line="249" w:lineRule="auto"/>
        <w:ind w:left="492"/>
      </w:pPr>
      <w:r>
        <w:rPr>
          <w:w w:val="95"/>
        </w:rPr>
        <w:t>Over</w:t>
      </w:r>
      <w:r>
        <w:rPr>
          <w:spacing w:val="-8"/>
          <w:w w:val="95"/>
        </w:rPr>
        <w:t xml:space="preserve"> </w:t>
      </w:r>
      <w:r>
        <w:rPr>
          <w:w w:val="95"/>
        </w:rPr>
        <w:t>the</w:t>
      </w:r>
      <w:r>
        <w:rPr>
          <w:spacing w:val="-8"/>
          <w:w w:val="95"/>
        </w:rPr>
        <w:t xml:space="preserve"> </w:t>
      </w:r>
      <w:r>
        <w:rPr>
          <w:w w:val="95"/>
        </w:rPr>
        <w:t>next</w:t>
      </w:r>
      <w:r>
        <w:rPr>
          <w:spacing w:val="-8"/>
          <w:w w:val="95"/>
        </w:rPr>
        <w:t xml:space="preserve"> </w:t>
      </w:r>
      <w:r>
        <w:rPr>
          <w:w w:val="95"/>
        </w:rPr>
        <w:t>20</w:t>
      </w:r>
      <w:r>
        <w:rPr>
          <w:spacing w:val="-8"/>
          <w:w w:val="95"/>
        </w:rPr>
        <w:t xml:space="preserve"> </w:t>
      </w:r>
      <w:r>
        <w:rPr>
          <w:w w:val="95"/>
        </w:rPr>
        <w:t>years,</w:t>
      </w:r>
      <w:r>
        <w:rPr>
          <w:spacing w:val="-8"/>
          <w:w w:val="95"/>
        </w:rPr>
        <w:t xml:space="preserve"> </w:t>
      </w:r>
      <w:r>
        <w:rPr>
          <w:w w:val="95"/>
        </w:rPr>
        <w:t>water</w:t>
      </w:r>
      <w:r>
        <w:rPr>
          <w:spacing w:val="-8"/>
          <w:w w:val="95"/>
        </w:rPr>
        <w:t xml:space="preserve"> </w:t>
      </w:r>
      <w:r>
        <w:rPr>
          <w:w w:val="95"/>
        </w:rPr>
        <w:t>and</w:t>
      </w:r>
      <w:r>
        <w:rPr>
          <w:spacing w:val="-8"/>
          <w:w w:val="95"/>
        </w:rPr>
        <w:t xml:space="preserve"> </w:t>
      </w:r>
      <w:r>
        <w:rPr>
          <w:w w:val="95"/>
        </w:rPr>
        <w:t>wastewater</w:t>
      </w:r>
      <w:r>
        <w:rPr>
          <w:spacing w:val="-8"/>
          <w:w w:val="95"/>
        </w:rPr>
        <w:t xml:space="preserve"> </w:t>
      </w:r>
      <w:r>
        <w:rPr>
          <w:w w:val="95"/>
        </w:rPr>
        <w:t>systems</w:t>
      </w:r>
      <w:r>
        <w:rPr>
          <w:spacing w:val="-8"/>
          <w:w w:val="95"/>
        </w:rPr>
        <w:t xml:space="preserve"> </w:t>
      </w:r>
      <w:r>
        <w:rPr>
          <w:w w:val="95"/>
        </w:rPr>
        <w:t xml:space="preserve">in </w:t>
      </w:r>
      <w:r>
        <w:rPr>
          <w:w w:val="90"/>
        </w:rPr>
        <w:t>regional areas are forecast to require significant investment</w:t>
      </w:r>
    </w:p>
    <w:p w:rsidR="002C1123" w:rsidRDefault="00F22F94">
      <w:pPr>
        <w:rPr>
          <w:sz w:val="24"/>
        </w:rPr>
      </w:pPr>
      <w:r>
        <w:br w:type="column"/>
      </w: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spacing w:before="11"/>
        <w:rPr>
          <w:sz w:val="28"/>
        </w:rPr>
      </w:pPr>
    </w:p>
    <w:p w:rsidR="002C1123" w:rsidRDefault="00F22F94">
      <w:pPr>
        <w:pStyle w:val="Heading6"/>
        <w:numPr>
          <w:ilvl w:val="2"/>
          <w:numId w:val="55"/>
        </w:numPr>
        <w:tabs>
          <w:tab w:val="left" w:pos="783"/>
        </w:tabs>
        <w:spacing w:before="0"/>
        <w:ind w:left="782" w:hanging="596"/>
        <w:jc w:val="left"/>
        <w:rPr>
          <w:color w:val="00AEEF"/>
        </w:rPr>
      </w:pPr>
      <w:r>
        <w:rPr>
          <w:color w:val="00AEEF"/>
          <w:spacing w:val="-4"/>
        </w:rPr>
        <w:t>Quality</w:t>
      </w:r>
      <w:r>
        <w:rPr>
          <w:color w:val="00AEEF"/>
          <w:spacing w:val="-5"/>
        </w:rPr>
        <w:t xml:space="preserve"> </w:t>
      </w:r>
      <w:r>
        <w:rPr>
          <w:color w:val="00AEEF"/>
          <w:spacing w:val="-4"/>
        </w:rPr>
        <w:t>of service</w:t>
      </w:r>
    </w:p>
    <w:p w:rsidR="002C1123" w:rsidRDefault="00F22F94">
      <w:pPr>
        <w:pStyle w:val="BodyText"/>
        <w:spacing w:before="95" w:line="249" w:lineRule="auto"/>
        <w:ind w:left="187" w:right="176"/>
      </w:pPr>
      <w:r>
        <w:rPr>
          <w:spacing w:val="-2"/>
        </w:rPr>
        <w:t>Generally,</w:t>
      </w:r>
      <w:r>
        <w:rPr>
          <w:spacing w:val="-3"/>
        </w:rPr>
        <w:t xml:space="preserve"> </w:t>
      </w:r>
      <w:r>
        <w:rPr>
          <w:spacing w:val="-2"/>
        </w:rPr>
        <w:t>regional</w:t>
      </w:r>
      <w:r>
        <w:rPr>
          <w:spacing w:val="-3"/>
        </w:rPr>
        <w:t xml:space="preserve"> </w:t>
      </w:r>
      <w:r>
        <w:rPr>
          <w:spacing w:val="-2"/>
        </w:rPr>
        <w:t>water</w:t>
      </w:r>
      <w:r>
        <w:rPr>
          <w:spacing w:val="-3"/>
        </w:rPr>
        <w:t xml:space="preserve"> </w:t>
      </w:r>
      <w:r>
        <w:rPr>
          <w:spacing w:val="-2"/>
        </w:rPr>
        <w:t>quality</w:t>
      </w:r>
      <w:r>
        <w:rPr>
          <w:spacing w:val="-3"/>
        </w:rPr>
        <w:t xml:space="preserve"> </w:t>
      </w:r>
      <w:r>
        <w:rPr>
          <w:spacing w:val="-2"/>
        </w:rPr>
        <w:t>and</w:t>
      </w:r>
      <w:r>
        <w:rPr>
          <w:spacing w:val="-3"/>
        </w:rPr>
        <w:t xml:space="preserve"> </w:t>
      </w:r>
      <w:r>
        <w:rPr>
          <w:spacing w:val="-2"/>
        </w:rPr>
        <w:t xml:space="preserve">wastewater </w:t>
      </w:r>
      <w:r>
        <w:rPr>
          <w:w w:val="95"/>
        </w:rPr>
        <w:t>performance</w:t>
      </w:r>
      <w:r>
        <w:rPr>
          <w:spacing w:val="-4"/>
          <w:w w:val="95"/>
        </w:rPr>
        <w:t xml:space="preserve"> </w:t>
      </w:r>
      <w:r>
        <w:rPr>
          <w:w w:val="95"/>
        </w:rPr>
        <w:t>is</w:t>
      </w:r>
      <w:r>
        <w:rPr>
          <w:spacing w:val="-4"/>
          <w:w w:val="95"/>
        </w:rPr>
        <w:t xml:space="preserve"> </w:t>
      </w:r>
      <w:r>
        <w:rPr>
          <w:w w:val="95"/>
        </w:rPr>
        <w:t>lower</w:t>
      </w:r>
      <w:r>
        <w:rPr>
          <w:spacing w:val="-4"/>
          <w:w w:val="95"/>
        </w:rPr>
        <w:t xml:space="preserve"> </w:t>
      </w:r>
      <w:r>
        <w:rPr>
          <w:w w:val="95"/>
        </w:rPr>
        <w:t>than</w:t>
      </w:r>
      <w:r>
        <w:rPr>
          <w:spacing w:val="-4"/>
          <w:w w:val="95"/>
        </w:rPr>
        <w:t xml:space="preserve"> </w:t>
      </w:r>
      <w:r>
        <w:rPr>
          <w:w w:val="95"/>
        </w:rPr>
        <w:t>metropolitan</w:t>
      </w:r>
      <w:r>
        <w:rPr>
          <w:spacing w:val="-4"/>
          <w:w w:val="95"/>
        </w:rPr>
        <w:t xml:space="preserve"> </w:t>
      </w:r>
      <w:r>
        <w:rPr>
          <w:w w:val="95"/>
        </w:rPr>
        <w:t>water</w:t>
      </w:r>
      <w:r>
        <w:rPr>
          <w:spacing w:val="-4"/>
          <w:w w:val="95"/>
        </w:rPr>
        <w:t xml:space="preserve"> </w:t>
      </w:r>
      <w:r>
        <w:rPr>
          <w:w w:val="95"/>
        </w:rPr>
        <w:t xml:space="preserve">utilities </w:t>
      </w:r>
      <w:r>
        <w:rPr>
          <w:spacing w:val="-2"/>
        </w:rPr>
        <w:t>(particularly</w:t>
      </w:r>
      <w:r>
        <w:rPr>
          <w:spacing w:val="-7"/>
        </w:rPr>
        <w:t xml:space="preserve"> </w:t>
      </w:r>
      <w:r>
        <w:rPr>
          <w:spacing w:val="-2"/>
        </w:rPr>
        <w:t>in</w:t>
      </w:r>
      <w:r>
        <w:rPr>
          <w:spacing w:val="-7"/>
        </w:rPr>
        <w:t xml:space="preserve"> </w:t>
      </w:r>
      <w:r>
        <w:rPr>
          <w:spacing w:val="-2"/>
        </w:rPr>
        <w:t>relation</w:t>
      </w:r>
      <w:r>
        <w:rPr>
          <w:spacing w:val="-7"/>
        </w:rPr>
        <w:t xml:space="preserve"> </w:t>
      </w:r>
      <w:r>
        <w:rPr>
          <w:spacing w:val="-2"/>
        </w:rPr>
        <w:t>to</w:t>
      </w:r>
      <w:r>
        <w:rPr>
          <w:spacing w:val="-7"/>
        </w:rPr>
        <w:t xml:space="preserve"> </w:t>
      </w:r>
      <w:r>
        <w:rPr>
          <w:spacing w:val="-2"/>
        </w:rPr>
        <w:t>water</w:t>
      </w:r>
      <w:r>
        <w:rPr>
          <w:spacing w:val="-7"/>
        </w:rPr>
        <w:t xml:space="preserve"> </w:t>
      </w:r>
      <w:r>
        <w:rPr>
          <w:spacing w:val="-2"/>
        </w:rPr>
        <w:t>quality).</w:t>
      </w:r>
      <w:r>
        <w:rPr>
          <w:spacing w:val="-7"/>
        </w:rPr>
        <w:t xml:space="preserve"> </w:t>
      </w:r>
      <w:r>
        <w:rPr>
          <w:spacing w:val="-2"/>
        </w:rPr>
        <w:t xml:space="preserve">Ensuring </w:t>
      </w:r>
      <w:r>
        <w:t>compliance</w:t>
      </w:r>
      <w:r>
        <w:rPr>
          <w:spacing w:val="-13"/>
        </w:rPr>
        <w:t xml:space="preserve"> </w:t>
      </w:r>
      <w:r>
        <w:t>with</w:t>
      </w:r>
      <w:r>
        <w:rPr>
          <w:spacing w:val="-13"/>
        </w:rPr>
        <w:t xml:space="preserve"> </w:t>
      </w:r>
      <w:r>
        <w:t>national</w:t>
      </w:r>
      <w:r>
        <w:rPr>
          <w:spacing w:val="-13"/>
        </w:rPr>
        <w:t xml:space="preserve"> </w:t>
      </w:r>
      <w:r>
        <w:t>health</w:t>
      </w:r>
      <w:r>
        <w:rPr>
          <w:spacing w:val="-13"/>
        </w:rPr>
        <w:t xml:space="preserve"> </w:t>
      </w:r>
      <w:r>
        <w:t>and</w:t>
      </w:r>
      <w:r>
        <w:rPr>
          <w:spacing w:val="-13"/>
        </w:rPr>
        <w:t xml:space="preserve"> </w:t>
      </w:r>
      <w:r>
        <w:t xml:space="preserve">environmental </w:t>
      </w:r>
      <w:r>
        <w:rPr>
          <w:spacing w:val="-2"/>
        </w:rPr>
        <w:t>guidelines</w:t>
      </w:r>
      <w:r>
        <w:rPr>
          <w:spacing w:val="-8"/>
        </w:rPr>
        <w:t xml:space="preserve"> </w:t>
      </w:r>
      <w:r>
        <w:rPr>
          <w:spacing w:val="-2"/>
        </w:rPr>
        <w:t>and</w:t>
      </w:r>
      <w:r>
        <w:rPr>
          <w:spacing w:val="-8"/>
        </w:rPr>
        <w:t xml:space="preserve"> </w:t>
      </w:r>
      <w:r>
        <w:rPr>
          <w:spacing w:val="-2"/>
        </w:rPr>
        <w:t>standards</w:t>
      </w:r>
      <w:r>
        <w:rPr>
          <w:spacing w:val="-8"/>
        </w:rPr>
        <w:t xml:space="preserve"> </w:t>
      </w:r>
      <w:r>
        <w:rPr>
          <w:spacing w:val="-2"/>
        </w:rPr>
        <w:t>therefore</w:t>
      </w:r>
      <w:r>
        <w:rPr>
          <w:spacing w:val="-8"/>
        </w:rPr>
        <w:t xml:space="preserve"> </w:t>
      </w:r>
      <w:r>
        <w:rPr>
          <w:spacing w:val="-2"/>
        </w:rPr>
        <w:t>is</w:t>
      </w:r>
      <w:r>
        <w:rPr>
          <w:spacing w:val="-8"/>
        </w:rPr>
        <w:t xml:space="preserve"> </w:t>
      </w:r>
      <w:r>
        <w:rPr>
          <w:spacing w:val="-2"/>
        </w:rPr>
        <w:t>a</w:t>
      </w:r>
      <w:r>
        <w:rPr>
          <w:spacing w:val="-8"/>
        </w:rPr>
        <w:t xml:space="preserve"> </w:t>
      </w:r>
      <w:r>
        <w:rPr>
          <w:spacing w:val="-2"/>
        </w:rPr>
        <w:t>major</w:t>
      </w:r>
      <w:r>
        <w:rPr>
          <w:spacing w:val="-8"/>
        </w:rPr>
        <w:t xml:space="preserve"> </w:t>
      </w:r>
      <w:r>
        <w:rPr>
          <w:spacing w:val="-2"/>
        </w:rPr>
        <w:t xml:space="preserve">driver </w:t>
      </w:r>
      <w:r>
        <w:rPr>
          <w:w w:val="95"/>
        </w:rPr>
        <w:t>of</w:t>
      </w:r>
      <w:r>
        <w:rPr>
          <w:spacing w:val="-2"/>
          <w:w w:val="95"/>
        </w:rPr>
        <w:t xml:space="preserve"> </w:t>
      </w:r>
      <w:r>
        <w:rPr>
          <w:w w:val="95"/>
        </w:rPr>
        <w:t>the</w:t>
      </w:r>
      <w:r>
        <w:rPr>
          <w:spacing w:val="-2"/>
          <w:w w:val="95"/>
        </w:rPr>
        <w:t xml:space="preserve"> </w:t>
      </w:r>
      <w:r>
        <w:rPr>
          <w:w w:val="95"/>
        </w:rPr>
        <w:t>need</w:t>
      </w:r>
      <w:r>
        <w:rPr>
          <w:spacing w:val="-2"/>
          <w:w w:val="95"/>
        </w:rPr>
        <w:t xml:space="preserve"> </w:t>
      </w:r>
      <w:r>
        <w:rPr>
          <w:w w:val="95"/>
        </w:rPr>
        <w:t>for</w:t>
      </w:r>
      <w:r>
        <w:rPr>
          <w:spacing w:val="-2"/>
          <w:w w:val="95"/>
        </w:rPr>
        <w:t xml:space="preserve"> </w:t>
      </w:r>
      <w:r>
        <w:rPr>
          <w:w w:val="95"/>
        </w:rPr>
        <w:t>additional</w:t>
      </w:r>
      <w:r>
        <w:rPr>
          <w:spacing w:val="-2"/>
          <w:w w:val="95"/>
        </w:rPr>
        <w:t xml:space="preserve"> </w:t>
      </w:r>
      <w:r>
        <w:rPr>
          <w:w w:val="95"/>
        </w:rPr>
        <w:t>infrastructure</w:t>
      </w:r>
      <w:r>
        <w:rPr>
          <w:spacing w:val="-2"/>
          <w:w w:val="95"/>
        </w:rPr>
        <w:t xml:space="preserve"> </w:t>
      </w:r>
      <w:r>
        <w:rPr>
          <w:w w:val="95"/>
        </w:rPr>
        <w:t>investment</w:t>
      </w:r>
      <w:r>
        <w:rPr>
          <w:spacing w:val="-2"/>
          <w:w w:val="95"/>
        </w:rPr>
        <w:t xml:space="preserve"> </w:t>
      </w:r>
      <w:r>
        <w:rPr>
          <w:w w:val="95"/>
        </w:rPr>
        <w:t xml:space="preserve">in </w:t>
      </w:r>
      <w:r>
        <w:t>regional</w:t>
      </w:r>
      <w:r>
        <w:rPr>
          <w:spacing w:val="-8"/>
        </w:rPr>
        <w:t xml:space="preserve"> </w:t>
      </w:r>
      <w:r>
        <w:t>water</w:t>
      </w:r>
      <w:r>
        <w:rPr>
          <w:spacing w:val="-8"/>
        </w:rPr>
        <w:t xml:space="preserve"> </w:t>
      </w:r>
      <w:r>
        <w:t>and</w:t>
      </w:r>
      <w:r>
        <w:rPr>
          <w:spacing w:val="-8"/>
        </w:rPr>
        <w:t xml:space="preserve"> </w:t>
      </w:r>
      <w:r>
        <w:t>sewerage</w:t>
      </w:r>
      <w:r>
        <w:rPr>
          <w:spacing w:val="-8"/>
        </w:rPr>
        <w:t xml:space="preserve"> </w:t>
      </w:r>
      <w:r>
        <w:t>systems.</w:t>
      </w:r>
    </w:p>
    <w:p w:rsidR="002C1123" w:rsidRDefault="00F22F94">
      <w:pPr>
        <w:pStyle w:val="BodyText"/>
        <w:spacing w:before="147" w:line="249" w:lineRule="auto"/>
        <w:ind w:left="187"/>
      </w:pPr>
      <w:r>
        <w:t>The</w:t>
      </w:r>
      <w:r>
        <w:rPr>
          <w:spacing w:val="-4"/>
        </w:rPr>
        <w:t xml:space="preserve"> </w:t>
      </w:r>
      <w:r>
        <w:t>Government</w:t>
      </w:r>
      <w:r>
        <w:rPr>
          <w:spacing w:val="-4"/>
        </w:rPr>
        <w:t xml:space="preserve"> </w:t>
      </w:r>
      <w:r>
        <w:t>has</w:t>
      </w:r>
      <w:r>
        <w:rPr>
          <w:spacing w:val="-4"/>
        </w:rPr>
        <w:t xml:space="preserve"> </w:t>
      </w:r>
      <w:r>
        <w:t>been</w:t>
      </w:r>
      <w:r>
        <w:rPr>
          <w:spacing w:val="-4"/>
        </w:rPr>
        <w:t xml:space="preserve"> </w:t>
      </w:r>
      <w:r>
        <w:t>funding</w:t>
      </w:r>
      <w:r>
        <w:rPr>
          <w:spacing w:val="-4"/>
        </w:rPr>
        <w:t xml:space="preserve"> </w:t>
      </w:r>
      <w:r>
        <w:t xml:space="preserve">backlog </w:t>
      </w:r>
      <w:r>
        <w:rPr>
          <w:w w:val="95"/>
        </w:rPr>
        <w:t>infrastructure</w:t>
      </w:r>
      <w:r>
        <w:rPr>
          <w:spacing w:val="-7"/>
          <w:w w:val="95"/>
        </w:rPr>
        <w:t xml:space="preserve"> </w:t>
      </w:r>
      <w:r>
        <w:rPr>
          <w:w w:val="95"/>
        </w:rPr>
        <w:t>to</w:t>
      </w:r>
      <w:r>
        <w:rPr>
          <w:spacing w:val="-7"/>
          <w:w w:val="95"/>
        </w:rPr>
        <w:t xml:space="preserve"> </w:t>
      </w:r>
      <w:r>
        <w:rPr>
          <w:w w:val="95"/>
        </w:rPr>
        <w:t>bring</w:t>
      </w:r>
      <w:r>
        <w:rPr>
          <w:spacing w:val="-7"/>
          <w:w w:val="95"/>
        </w:rPr>
        <w:t xml:space="preserve"> </w:t>
      </w:r>
      <w:r>
        <w:rPr>
          <w:w w:val="95"/>
        </w:rPr>
        <w:t>all</w:t>
      </w:r>
      <w:r>
        <w:rPr>
          <w:spacing w:val="-7"/>
          <w:w w:val="95"/>
        </w:rPr>
        <w:t xml:space="preserve"> </w:t>
      </w:r>
      <w:r>
        <w:rPr>
          <w:w w:val="95"/>
        </w:rPr>
        <w:t>schemes</w:t>
      </w:r>
      <w:r>
        <w:rPr>
          <w:spacing w:val="-7"/>
          <w:w w:val="95"/>
        </w:rPr>
        <w:t xml:space="preserve"> </w:t>
      </w:r>
      <w:r>
        <w:rPr>
          <w:w w:val="95"/>
        </w:rPr>
        <w:t>to</w:t>
      </w:r>
      <w:r>
        <w:rPr>
          <w:spacing w:val="-7"/>
          <w:w w:val="95"/>
        </w:rPr>
        <w:t xml:space="preserve"> </w:t>
      </w:r>
      <w:r>
        <w:rPr>
          <w:w w:val="95"/>
        </w:rPr>
        <w:t>the</w:t>
      </w:r>
      <w:r>
        <w:rPr>
          <w:spacing w:val="-7"/>
          <w:w w:val="95"/>
        </w:rPr>
        <w:t xml:space="preserve"> </w:t>
      </w:r>
      <w:r>
        <w:rPr>
          <w:w w:val="95"/>
        </w:rPr>
        <w:t>national</w:t>
      </w:r>
      <w:r>
        <w:rPr>
          <w:spacing w:val="-7"/>
          <w:w w:val="95"/>
        </w:rPr>
        <w:t xml:space="preserve"> </w:t>
      </w:r>
      <w:r>
        <w:rPr>
          <w:w w:val="95"/>
        </w:rPr>
        <w:t xml:space="preserve">health </w:t>
      </w:r>
      <w:r>
        <w:t>and</w:t>
      </w:r>
      <w:r>
        <w:rPr>
          <w:spacing w:val="-14"/>
        </w:rPr>
        <w:t xml:space="preserve"> </w:t>
      </w:r>
      <w:r>
        <w:t>environment</w:t>
      </w:r>
      <w:r>
        <w:rPr>
          <w:spacing w:val="-14"/>
        </w:rPr>
        <w:t xml:space="preserve"> </w:t>
      </w:r>
      <w:r>
        <w:t>guidelines.</w:t>
      </w:r>
      <w:r>
        <w:rPr>
          <w:spacing w:val="-14"/>
        </w:rPr>
        <w:t xml:space="preserve"> </w:t>
      </w:r>
      <w:r>
        <w:t>The</w:t>
      </w:r>
      <w:r>
        <w:rPr>
          <w:spacing w:val="-14"/>
        </w:rPr>
        <w:t xml:space="preserve"> </w:t>
      </w:r>
      <w:r>
        <w:t>majority</w:t>
      </w:r>
      <w:r>
        <w:rPr>
          <w:spacing w:val="-14"/>
        </w:rPr>
        <w:t xml:space="preserve"> </w:t>
      </w:r>
      <w:r>
        <w:t>of</w:t>
      </w:r>
      <w:r>
        <w:rPr>
          <w:spacing w:val="-14"/>
        </w:rPr>
        <w:t xml:space="preserve"> </w:t>
      </w:r>
      <w:r>
        <w:t>these</w:t>
      </w:r>
    </w:p>
    <w:p w:rsidR="002C1123" w:rsidRDefault="00F22F94">
      <w:pPr>
        <w:pStyle w:val="BodyText"/>
        <w:spacing w:before="3" w:line="249" w:lineRule="auto"/>
        <w:ind w:left="187"/>
      </w:pPr>
      <w:r>
        <w:rPr>
          <w:w w:val="95"/>
        </w:rPr>
        <w:t>(70</w:t>
      </w:r>
      <w:r>
        <w:rPr>
          <w:spacing w:val="-10"/>
          <w:w w:val="95"/>
        </w:rPr>
        <w:t xml:space="preserve"> </w:t>
      </w:r>
      <w:r>
        <w:rPr>
          <w:w w:val="95"/>
        </w:rPr>
        <w:t>per</w:t>
      </w:r>
      <w:r>
        <w:rPr>
          <w:spacing w:val="-10"/>
          <w:w w:val="95"/>
        </w:rPr>
        <w:t xml:space="preserve"> </w:t>
      </w:r>
      <w:r>
        <w:rPr>
          <w:w w:val="95"/>
        </w:rPr>
        <w:t>cent)</w:t>
      </w:r>
      <w:r>
        <w:rPr>
          <w:spacing w:val="-10"/>
          <w:w w:val="95"/>
        </w:rPr>
        <w:t xml:space="preserve"> </w:t>
      </w:r>
      <w:r>
        <w:rPr>
          <w:w w:val="95"/>
        </w:rPr>
        <w:t>have</w:t>
      </w:r>
      <w:r>
        <w:rPr>
          <w:spacing w:val="-10"/>
          <w:w w:val="95"/>
        </w:rPr>
        <w:t xml:space="preserve"> </w:t>
      </w:r>
      <w:r>
        <w:rPr>
          <w:w w:val="95"/>
        </w:rPr>
        <w:t>related</w:t>
      </w:r>
      <w:r>
        <w:rPr>
          <w:spacing w:val="-10"/>
          <w:w w:val="95"/>
        </w:rPr>
        <w:t xml:space="preserve"> </w:t>
      </w:r>
      <w:r>
        <w:rPr>
          <w:w w:val="95"/>
        </w:rPr>
        <w:t>to</w:t>
      </w:r>
      <w:r>
        <w:rPr>
          <w:spacing w:val="-10"/>
          <w:w w:val="95"/>
        </w:rPr>
        <w:t xml:space="preserve"> </w:t>
      </w:r>
      <w:r>
        <w:rPr>
          <w:w w:val="95"/>
        </w:rPr>
        <w:t>sewerage</w:t>
      </w:r>
      <w:r>
        <w:rPr>
          <w:spacing w:val="-10"/>
          <w:w w:val="95"/>
        </w:rPr>
        <w:t xml:space="preserve"> </w:t>
      </w:r>
      <w:r>
        <w:rPr>
          <w:w w:val="95"/>
        </w:rPr>
        <w:t>works</w:t>
      </w:r>
      <w:r>
        <w:rPr>
          <w:spacing w:val="-10"/>
          <w:w w:val="95"/>
        </w:rPr>
        <w:t xml:space="preserve"> </w:t>
      </w:r>
      <w:r>
        <w:rPr>
          <w:w w:val="95"/>
        </w:rPr>
        <w:t>required</w:t>
      </w:r>
      <w:r>
        <w:rPr>
          <w:spacing w:val="-10"/>
          <w:w w:val="95"/>
        </w:rPr>
        <w:t xml:space="preserve"> </w:t>
      </w:r>
      <w:r>
        <w:rPr>
          <w:w w:val="95"/>
        </w:rPr>
        <w:t xml:space="preserve">to </w:t>
      </w:r>
      <w:r>
        <w:t>address</w:t>
      </w:r>
      <w:r>
        <w:rPr>
          <w:spacing w:val="-14"/>
        </w:rPr>
        <w:t xml:space="preserve"> </w:t>
      </w:r>
      <w:r>
        <w:t>health</w:t>
      </w:r>
      <w:r>
        <w:rPr>
          <w:spacing w:val="-13"/>
        </w:rPr>
        <w:t xml:space="preserve"> </w:t>
      </w:r>
      <w:r>
        <w:t>and</w:t>
      </w:r>
      <w:r>
        <w:rPr>
          <w:spacing w:val="-14"/>
        </w:rPr>
        <w:t xml:space="preserve"> </w:t>
      </w:r>
      <w:r>
        <w:t>environmental</w:t>
      </w:r>
      <w:r>
        <w:rPr>
          <w:spacing w:val="-13"/>
        </w:rPr>
        <w:t xml:space="preserve"> </w:t>
      </w:r>
      <w:r>
        <w:t>requirements.</w:t>
      </w:r>
    </w:p>
    <w:p w:rsidR="002C1123" w:rsidRDefault="00F22F94">
      <w:pPr>
        <w:spacing w:before="1"/>
        <w:rPr>
          <w:sz w:val="29"/>
        </w:rPr>
      </w:pPr>
      <w:r>
        <w:br w:type="column"/>
      </w:r>
    </w:p>
    <w:p w:rsidR="002C1123" w:rsidRDefault="00F22F94">
      <w:pPr>
        <w:pStyle w:val="Heading6"/>
        <w:numPr>
          <w:ilvl w:val="2"/>
          <w:numId w:val="55"/>
        </w:numPr>
        <w:tabs>
          <w:tab w:val="left" w:pos="856"/>
        </w:tabs>
        <w:spacing w:before="1"/>
        <w:ind w:left="855" w:hanging="596"/>
        <w:jc w:val="left"/>
        <w:rPr>
          <w:color w:val="00AEEF"/>
        </w:rPr>
      </w:pPr>
      <w:r>
        <w:rPr>
          <w:color w:val="00AEEF"/>
          <w:spacing w:val="-2"/>
        </w:rPr>
        <w:t>Regional</w:t>
      </w:r>
      <w:r>
        <w:rPr>
          <w:color w:val="00AEEF"/>
          <w:spacing w:val="-5"/>
        </w:rPr>
        <w:t xml:space="preserve"> </w:t>
      </w:r>
      <w:r>
        <w:rPr>
          <w:color w:val="00AEEF"/>
          <w:spacing w:val="-2"/>
        </w:rPr>
        <w:t>water</w:t>
      </w:r>
      <w:r>
        <w:rPr>
          <w:color w:val="00AEEF"/>
          <w:spacing w:val="-5"/>
        </w:rPr>
        <w:t xml:space="preserve"> </w:t>
      </w:r>
      <w:r>
        <w:rPr>
          <w:color w:val="00AEEF"/>
          <w:spacing w:val="-2"/>
        </w:rPr>
        <w:t>security</w:t>
      </w:r>
    </w:p>
    <w:p w:rsidR="002C1123" w:rsidRDefault="002060EF">
      <w:pPr>
        <w:pStyle w:val="BodyText"/>
        <w:spacing w:before="95"/>
        <w:ind w:left="260"/>
      </w:pPr>
      <w:r>
        <w:pict>
          <v:shape id="docshape2216" o:spid="_x0000_s1818" type="#_x0000_t202" style="position:absolute;left:0;text-align:left;margin-left:300.95pt;margin-top:-53.35pt;width:239pt;height:81.35pt;z-index:251634688;mso-position-horizontal-relative:page" fillcolor="#e1e0e1" stroked="f">
            <v:textbox inset="0,0,0,0">
              <w:txbxContent>
                <w:p w:rsidR="00F22F94" w:rsidRDefault="00F22F94">
                  <w:pPr>
                    <w:pStyle w:val="BodyText"/>
                    <w:spacing w:before="68" w:line="249" w:lineRule="auto"/>
                    <w:ind w:left="113" w:right="115"/>
                    <w:rPr>
                      <w:color w:val="000000"/>
                    </w:rPr>
                  </w:pPr>
                  <w:r>
                    <w:rPr>
                      <w:b/>
                      <w:color w:val="00AEEF"/>
                    </w:rPr>
                    <w:t>Recommendation</w:t>
                  </w:r>
                  <w:r>
                    <w:rPr>
                      <w:b/>
                      <w:color w:val="00AEEF"/>
                      <w:spacing w:val="40"/>
                    </w:rPr>
                    <w:t xml:space="preserve"> </w:t>
                  </w:r>
                  <w:r>
                    <w:rPr>
                      <w:color w:val="000000"/>
                    </w:rPr>
                    <w:t>Infrastructure NSW recommends</w:t>
                  </w:r>
                  <w:r>
                    <w:rPr>
                      <w:color w:val="000000"/>
                      <w:spacing w:val="-5"/>
                    </w:rPr>
                    <w:t xml:space="preserve"> </w:t>
                  </w:r>
                  <w:r>
                    <w:rPr>
                      <w:color w:val="000000"/>
                    </w:rPr>
                    <w:t>the</w:t>
                  </w:r>
                  <w:r>
                    <w:rPr>
                      <w:color w:val="000000"/>
                      <w:spacing w:val="-5"/>
                    </w:rPr>
                    <w:t xml:space="preserve"> </w:t>
                  </w:r>
                  <w:r>
                    <w:rPr>
                      <w:color w:val="000000"/>
                    </w:rPr>
                    <w:t>various</w:t>
                  </w:r>
                  <w:r>
                    <w:rPr>
                      <w:color w:val="000000"/>
                      <w:spacing w:val="-5"/>
                    </w:rPr>
                    <w:t xml:space="preserve"> </w:t>
                  </w:r>
                  <w:r>
                    <w:rPr>
                      <w:color w:val="000000"/>
                    </w:rPr>
                    <w:t>key</w:t>
                  </w:r>
                  <w:r>
                    <w:rPr>
                      <w:color w:val="000000"/>
                      <w:spacing w:val="-5"/>
                    </w:rPr>
                    <w:t xml:space="preserve"> </w:t>
                  </w:r>
                  <w:r>
                    <w:rPr>
                      <w:color w:val="000000"/>
                    </w:rPr>
                    <w:t>conclusions</w:t>
                  </w:r>
                  <w:r>
                    <w:rPr>
                      <w:color w:val="000000"/>
                      <w:spacing w:val="-5"/>
                    </w:rPr>
                    <w:t xml:space="preserve"> </w:t>
                  </w:r>
                  <w:r>
                    <w:rPr>
                      <w:color w:val="000000"/>
                    </w:rPr>
                    <w:t>for changes</w:t>
                  </w:r>
                  <w:r>
                    <w:rPr>
                      <w:color w:val="000000"/>
                      <w:spacing w:val="-14"/>
                    </w:rPr>
                    <w:t xml:space="preserve"> </w:t>
                  </w:r>
                  <w:r>
                    <w:rPr>
                      <w:color w:val="000000"/>
                    </w:rPr>
                    <w:t>to</w:t>
                  </w:r>
                  <w:r>
                    <w:rPr>
                      <w:color w:val="000000"/>
                      <w:spacing w:val="-14"/>
                    </w:rPr>
                    <w:t xml:space="preserve"> </w:t>
                  </w:r>
                  <w:r>
                    <w:rPr>
                      <w:color w:val="000000"/>
                    </w:rPr>
                    <w:t>regional</w:t>
                  </w:r>
                  <w:r>
                    <w:rPr>
                      <w:color w:val="000000"/>
                      <w:spacing w:val="-14"/>
                    </w:rPr>
                    <w:t xml:space="preserve"> </w:t>
                  </w:r>
                  <w:r>
                    <w:rPr>
                      <w:color w:val="000000"/>
                    </w:rPr>
                    <w:t>water</w:t>
                  </w:r>
                  <w:r>
                    <w:rPr>
                      <w:color w:val="000000"/>
                      <w:spacing w:val="-13"/>
                    </w:rPr>
                    <w:t xml:space="preserve"> </w:t>
                  </w:r>
                  <w:r>
                    <w:rPr>
                      <w:color w:val="000000"/>
                    </w:rPr>
                    <w:t>supply</w:t>
                  </w:r>
                  <w:r>
                    <w:rPr>
                      <w:color w:val="000000"/>
                      <w:spacing w:val="-14"/>
                    </w:rPr>
                    <w:t xml:space="preserve"> </w:t>
                  </w:r>
                  <w:r>
                    <w:rPr>
                      <w:color w:val="000000"/>
                    </w:rPr>
                    <w:t>arrangements</w:t>
                  </w:r>
                  <w:r>
                    <w:rPr>
                      <w:color w:val="000000"/>
                      <w:spacing w:val="-14"/>
                    </w:rPr>
                    <w:t xml:space="preserve"> </w:t>
                  </w:r>
                  <w:r>
                    <w:rPr>
                      <w:color w:val="000000"/>
                    </w:rPr>
                    <w:t>be considered,</w:t>
                  </w:r>
                  <w:r>
                    <w:rPr>
                      <w:color w:val="000000"/>
                      <w:spacing w:val="-11"/>
                    </w:rPr>
                    <w:t xml:space="preserve"> </w:t>
                  </w:r>
                  <w:r>
                    <w:rPr>
                      <w:color w:val="000000"/>
                    </w:rPr>
                    <w:t>including</w:t>
                  </w:r>
                  <w:r>
                    <w:rPr>
                      <w:color w:val="000000"/>
                      <w:spacing w:val="-11"/>
                    </w:rPr>
                    <w:t xml:space="preserve"> </w:t>
                  </w:r>
                  <w:r>
                    <w:rPr>
                      <w:color w:val="000000"/>
                    </w:rPr>
                    <w:t>aggregation</w:t>
                  </w:r>
                  <w:r>
                    <w:rPr>
                      <w:color w:val="000000"/>
                      <w:spacing w:val="-11"/>
                    </w:rPr>
                    <w:t xml:space="preserve"> </w:t>
                  </w:r>
                  <w:r>
                    <w:rPr>
                      <w:color w:val="000000"/>
                    </w:rPr>
                    <w:t>of</w:t>
                  </w:r>
                  <w:r>
                    <w:rPr>
                      <w:color w:val="000000"/>
                      <w:spacing w:val="-11"/>
                    </w:rPr>
                    <w:t xml:space="preserve"> </w:t>
                  </w:r>
                  <w:r>
                    <w:rPr>
                      <w:color w:val="000000"/>
                    </w:rPr>
                    <w:t>(from</w:t>
                  </w:r>
                  <w:r>
                    <w:rPr>
                      <w:color w:val="000000"/>
                      <w:spacing w:val="-11"/>
                    </w:rPr>
                    <w:t xml:space="preserve"> </w:t>
                  </w:r>
                  <w:r>
                    <w:rPr>
                      <w:color w:val="000000"/>
                    </w:rPr>
                    <w:t>105</w:t>
                  </w:r>
                  <w:r>
                    <w:rPr>
                      <w:color w:val="000000"/>
                      <w:spacing w:val="-11"/>
                    </w:rPr>
                    <w:t xml:space="preserve"> </w:t>
                  </w:r>
                  <w:r>
                    <w:rPr>
                      <w:color w:val="000000"/>
                    </w:rPr>
                    <w:t xml:space="preserve">to </w:t>
                  </w:r>
                  <w:r>
                    <w:rPr>
                      <w:color w:val="000000"/>
                      <w:w w:val="95"/>
                    </w:rPr>
                    <w:t>around</w:t>
                  </w:r>
                  <w:r>
                    <w:rPr>
                      <w:color w:val="000000"/>
                      <w:spacing w:val="-8"/>
                      <w:w w:val="95"/>
                    </w:rPr>
                    <w:t xml:space="preserve"> </w:t>
                  </w:r>
                  <w:r>
                    <w:rPr>
                      <w:color w:val="000000"/>
                      <w:w w:val="95"/>
                    </w:rPr>
                    <w:t>30</w:t>
                  </w:r>
                  <w:r>
                    <w:rPr>
                      <w:color w:val="000000"/>
                      <w:spacing w:val="-8"/>
                      <w:w w:val="95"/>
                    </w:rPr>
                    <w:t xml:space="preserve"> </w:t>
                  </w:r>
                  <w:r>
                    <w:rPr>
                      <w:color w:val="000000"/>
                      <w:w w:val="95"/>
                    </w:rPr>
                    <w:t>authorities)</w:t>
                  </w:r>
                  <w:r>
                    <w:rPr>
                      <w:color w:val="000000"/>
                      <w:spacing w:val="-8"/>
                      <w:w w:val="95"/>
                    </w:rPr>
                    <w:t xml:space="preserve"> </w:t>
                  </w:r>
                  <w:r>
                    <w:rPr>
                      <w:color w:val="000000"/>
                      <w:w w:val="95"/>
                    </w:rPr>
                    <w:t>water</w:t>
                  </w:r>
                  <w:r>
                    <w:rPr>
                      <w:color w:val="000000"/>
                      <w:spacing w:val="-8"/>
                      <w:w w:val="95"/>
                    </w:rPr>
                    <w:t xml:space="preserve"> </w:t>
                  </w:r>
                  <w:r>
                    <w:rPr>
                      <w:color w:val="000000"/>
                      <w:w w:val="95"/>
                    </w:rPr>
                    <w:t>and</w:t>
                  </w:r>
                  <w:r>
                    <w:rPr>
                      <w:color w:val="000000"/>
                      <w:spacing w:val="-8"/>
                      <w:w w:val="95"/>
                    </w:rPr>
                    <w:t xml:space="preserve"> </w:t>
                  </w:r>
                  <w:r>
                    <w:rPr>
                      <w:color w:val="000000"/>
                      <w:w w:val="95"/>
                    </w:rPr>
                    <w:t>wastewater</w:t>
                  </w:r>
                  <w:r>
                    <w:rPr>
                      <w:color w:val="000000"/>
                      <w:spacing w:val="-8"/>
                      <w:w w:val="95"/>
                    </w:rPr>
                    <w:t xml:space="preserve"> </w:t>
                  </w:r>
                  <w:r>
                    <w:rPr>
                      <w:color w:val="000000"/>
                      <w:w w:val="95"/>
                    </w:rPr>
                    <w:t xml:space="preserve">delivery </w:t>
                  </w:r>
                  <w:r>
                    <w:rPr>
                      <w:color w:val="000000"/>
                      <w:spacing w:val="-2"/>
                    </w:rPr>
                    <w:t>authorities.</w:t>
                  </w:r>
                </w:p>
              </w:txbxContent>
            </v:textbox>
            <w10:wrap anchorx="page"/>
          </v:shape>
        </w:pict>
      </w:r>
      <w:r w:rsidR="00F22F94">
        <w:rPr>
          <w:w w:val="90"/>
        </w:rPr>
        <w:t>Total</w:t>
      </w:r>
      <w:r w:rsidR="00F22F94">
        <w:rPr>
          <w:spacing w:val="5"/>
        </w:rPr>
        <w:t xml:space="preserve"> </w:t>
      </w:r>
      <w:r w:rsidR="00F22F94">
        <w:rPr>
          <w:w w:val="90"/>
        </w:rPr>
        <w:t>demand</w:t>
      </w:r>
      <w:r w:rsidR="00F22F94">
        <w:rPr>
          <w:spacing w:val="6"/>
        </w:rPr>
        <w:t xml:space="preserve"> </w:t>
      </w:r>
      <w:r w:rsidR="00F22F94">
        <w:rPr>
          <w:w w:val="90"/>
        </w:rPr>
        <w:t>in</w:t>
      </w:r>
      <w:r w:rsidR="00F22F94">
        <w:rPr>
          <w:spacing w:val="6"/>
        </w:rPr>
        <w:t xml:space="preserve"> </w:t>
      </w:r>
      <w:r w:rsidR="00F22F94">
        <w:rPr>
          <w:w w:val="90"/>
        </w:rPr>
        <w:t>regional</w:t>
      </w:r>
      <w:r w:rsidR="00F22F94">
        <w:rPr>
          <w:spacing w:val="6"/>
        </w:rPr>
        <w:t xml:space="preserve"> </w:t>
      </w:r>
      <w:r w:rsidR="00F22F94">
        <w:rPr>
          <w:w w:val="90"/>
        </w:rPr>
        <w:t>areas</w:t>
      </w:r>
      <w:r w:rsidR="00F22F94">
        <w:rPr>
          <w:spacing w:val="6"/>
        </w:rPr>
        <w:t xml:space="preserve"> </w:t>
      </w:r>
      <w:r w:rsidR="00F22F94">
        <w:rPr>
          <w:w w:val="90"/>
        </w:rPr>
        <w:t>has</w:t>
      </w:r>
      <w:r w:rsidR="00F22F94">
        <w:rPr>
          <w:spacing w:val="6"/>
        </w:rPr>
        <w:t xml:space="preserve"> </w:t>
      </w:r>
      <w:r w:rsidR="00F22F94">
        <w:rPr>
          <w:w w:val="90"/>
        </w:rPr>
        <w:t>fallen</w:t>
      </w:r>
      <w:r w:rsidR="00F22F94">
        <w:rPr>
          <w:spacing w:val="6"/>
        </w:rPr>
        <w:t xml:space="preserve"> </w:t>
      </w:r>
      <w:r w:rsidR="00F22F94">
        <w:rPr>
          <w:w w:val="90"/>
        </w:rPr>
        <w:t>by</w:t>
      </w:r>
      <w:r w:rsidR="00F22F94">
        <w:rPr>
          <w:spacing w:val="5"/>
        </w:rPr>
        <w:t xml:space="preserve"> </w:t>
      </w:r>
      <w:r w:rsidR="00F22F94">
        <w:rPr>
          <w:spacing w:val="-4"/>
          <w:w w:val="90"/>
        </w:rPr>
        <w:t>over</w:t>
      </w:r>
    </w:p>
    <w:p w:rsidR="002C1123" w:rsidRDefault="00F22F94">
      <w:pPr>
        <w:pStyle w:val="BodyText"/>
        <w:spacing w:before="10" w:line="249" w:lineRule="auto"/>
        <w:ind w:left="260" w:right="760"/>
      </w:pPr>
      <w:r>
        <w:rPr>
          <w:w w:val="95"/>
        </w:rPr>
        <w:t>30</w:t>
      </w:r>
      <w:r>
        <w:rPr>
          <w:spacing w:val="-5"/>
          <w:w w:val="95"/>
        </w:rPr>
        <w:t xml:space="preserve"> </w:t>
      </w:r>
      <w:r>
        <w:rPr>
          <w:w w:val="95"/>
        </w:rPr>
        <w:t>per</w:t>
      </w:r>
      <w:r>
        <w:rPr>
          <w:spacing w:val="-5"/>
          <w:w w:val="95"/>
        </w:rPr>
        <w:t xml:space="preserve"> </w:t>
      </w:r>
      <w:r>
        <w:rPr>
          <w:w w:val="95"/>
        </w:rPr>
        <w:t>cent</w:t>
      </w:r>
      <w:r>
        <w:rPr>
          <w:spacing w:val="-5"/>
          <w:w w:val="95"/>
        </w:rPr>
        <w:t xml:space="preserve"> </w:t>
      </w:r>
      <w:r>
        <w:rPr>
          <w:w w:val="95"/>
        </w:rPr>
        <w:t>in</w:t>
      </w:r>
      <w:r>
        <w:rPr>
          <w:spacing w:val="-5"/>
          <w:w w:val="95"/>
        </w:rPr>
        <w:t xml:space="preserve"> </w:t>
      </w:r>
      <w:r>
        <w:rPr>
          <w:w w:val="95"/>
        </w:rPr>
        <w:t>the</w:t>
      </w:r>
      <w:r>
        <w:rPr>
          <w:spacing w:val="-5"/>
          <w:w w:val="95"/>
        </w:rPr>
        <w:t xml:space="preserve"> </w:t>
      </w:r>
      <w:r>
        <w:rPr>
          <w:w w:val="95"/>
        </w:rPr>
        <w:t>past</w:t>
      </w:r>
      <w:r>
        <w:rPr>
          <w:spacing w:val="-5"/>
          <w:w w:val="95"/>
        </w:rPr>
        <w:t xml:space="preserve"> </w:t>
      </w:r>
      <w:r>
        <w:rPr>
          <w:w w:val="95"/>
        </w:rPr>
        <w:t>10</w:t>
      </w:r>
      <w:r>
        <w:rPr>
          <w:spacing w:val="-5"/>
          <w:w w:val="95"/>
        </w:rPr>
        <w:t xml:space="preserve"> </w:t>
      </w:r>
      <w:r>
        <w:rPr>
          <w:w w:val="95"/>
        </w:rPr>
        <w:t>years.</w:t>
      </w:r>
      <w:r>
        <w:rPr>
          <w:spacing w:val="-5"/>
          <w:w w:val="95"/>
        </w:rPr>
        <w:t xml:space="preserve"> </w:t>
      </w:r>
      <w:r>
        <w:rPr>
          <w:w w:val="95"/>
        </w:rPr>
        <w:t>Most</w:t>
      </w:r>
      <w:r>
        <w:rPr>
          <w:spacing w:val="-5"/>
          <w:w w:val="95"/>
        </w:rPr>
        <w:t xml:space="preserve"> </w:t>
      </w:r>
      <w:r>
        <w:rPr>
          <w:w w:val="95"/>
        </w:rPr>
        <w:t>LWUs</w:t>
      </w:r>
      <w:r>
        <w:rPr>
          <w:spacing w:val="-5"/>
          <w:w w:val="95"/>
        </w:rPr>
        <w:t xml:space="preserve"> </w:t>
      </w:r>
      <w:r>
        <w:rPr>
          <w:w w:val="95"/>
        </w:rPr>
        <w:t xml:space="preserve">applied </w:t>
      </w:r>
      <w:r>
        <w:t>water restrictions during this time.</w:t>
      </w:r>
    </w:p>
    <w:p w:rsidR="002C1123" w:rsidRDefault="00F22F94">
      <w:pPr>
        <w:pStyle w:val="BodyText"/>
        <w:spacing w:before="143" w:line="249" w:lineRule="auto"/>
        <w:ind w:left="260" w:right="760"/>
      </w:pPr>
      <w:r>
        <w:t>Future</w:t>
      </w:r>
      <w:r>
        <w:rPr>
          <w:spacing w:val="-7"/>
        </w:rPr>
        <w:t xml:space="preserve"> </w:t>
      </w:r>
      <w:r>
        <w:t>demographic</w:t>
      </w:r>
      <w:r>
        <w:rPr>
          <w:spacing w:val="-7"/>
        </w:rPr>
        <w:t xml:space="preserve"> </w:t>
      </w:r>
      <w:r>
        <w:t>changes,</w:t>
      </w:r>
      <w:r>
        <w:rPr>
          <w:spacing w:val="-7"/>
        </w:rPr>
        <w:t xml:space="preserve"> </w:t>
      </w:r>
      <w:r>
        <w:t>including</w:t>
      </w:r>
      <w:r>
        <w:rPr>
          <w:spacing w:val="-7"/>
        </w:rPr>
        <w:t xml:space="preserve"> </w:t>
      </w:r>
      <w:r>
        <w:t xml:space="preserve">declining </w:t>
      </w:r>
      <w:r>
        <w:rPr>
          <w:w w:val="95"/>
        </w:rPr>
        <w:t>populations in some areas and the impacts on demand of</w:t>
      </w:r>
      <w:r>
        <w:rPr>
          <w:spacing w:val="-7"/>
          <w:w w:val="95"/>
        </w:rPr>
        <w:t xml:space="preserve"> </w:t>
      </w:r>
      <w:r>
        <w:rPr>
          <w:w w:val="95"/>
        </w:rPr>
        <w:t>new</w:t>
      </w:r>
      <w:r>
        <w:rPr>
          <w:spacing w:val="-7"/>
          <w:w w:val="95"/>
        </w:rPr>
        <w:t xml:space="preserve"> </w:t>
      </w:r>
      <w:r>
        <w:rPr>
          <w:w w:val="95"/>
        </w:rPr>
        <w:t>mining</w:t>
      </w:r>
      <w:r>
        <w:rPr>
          <w:spacing w:val="-7"/>
          <w:w w:val="95"/>
        </w:rPr>
        <w:t xml:space="preserve"> </w:t>
      </w:r>
      <w:r>
        <w:rPr>
          <w:w w:val="95"/>
        </w:rPr>
        <w:t>and</w:t>
      </w:r>
      <w:r>
        <w:rPr>
          <w:spacing w:val="-7"/>
          <w:w w:val="95"/>
        </w:rPr>
        <w:t xml:space="preserve"> </w:t>
      </w:r>
      <w:r>
        <w:rPr>
          <w:w w:val="95"/>
        </w:rPr>
        <w:t>energy</w:t>
      </w:r>
      <w:r>
        <w:rPr>
          <w:spacing w:val="-7"/>
          <w:w w:val="95"/>
        </w:rPr>
        <w:t xml:space="preserve"> </w:t>
      </w:r>
      <w:r>
        <w:rPr>
          <w:w w:val="95"/>
        </w:rPr>
        <w:t>developments</w:t>
      </w:r>
      <w:r>
        <w:rPr>
          <w:spacing w:val="-7"/>
          <w:w w:val="95"/>
        </w:rPr>
        <w:t xml:space="preserve"> </w:t>
      </w:r>
      <w:r>
        <w:rPr>
          <w:w w:val="95"/>
        </w:rPr>
        <w:t>in</w:t>
      </w:r>
      <w:r>
        <w:rPr>
          <w:spacing w:val="-7"/>
          <w:w w:val="95"/>
        </w:rPr>
        <w:t xml:space="preserve"> </w:t>
      </w:r>
      <w:r>
        <w:rPr>
          <w:w w:val="95"/>
        </w:rPr>
        <w:t>other</w:t>
      </w:r>
      <w:r>
        <w:rPr>
          <w:spacing w:val="-7"/>
          <w:w w:val="95"/>
        </w:rPr>
        <w:t xml:space="preserve"> </w:t>
      </w:r>
      <w:r>
        <w:rPr>
          <w:w w:val="95"/>
        </w:rPr>
        <w:t xml:space="preserve">areas, </w:t>
      </w:r>
      <w:r>
        <w:t>make</w:t>
      </w:r>
      <w:r>
        <w:rPr>
          <w:spacing w:val="-14"/>
        </w:rPr>
        <w:t xml:space="preserve"> </w:t>
      </w:r>
      <w:r>
        <w:t>demand</w:t>
      </w:r>
      <w:r>
        <w:rPr>
          <w:spacing w:val="-14"/>
        </w:rPr>
        <w:t xml:space="preserve"> </w:t>
      </w:r>
      <w:r>
        <w:t>forecasting</w:t>
      </w:r>
      <w:r>
        <w:rPr>
          <w:spacing w:val="-14"/>
        </w:rPr>
        <w:t xml:space="preserve"> </w:t>
      </w:r>
      <w:r>
        <w:t>difficult.</w:t>
      </w:r>
      <w:r>
        <w:rPr>
          <w:spacing w:val="-14"/>
        </w:rPr>
        <w:t xml:space="preserve"> </w:t>
      </w:r>
      <w:r>
        <w:t>NSW</w:t>
      </w:r>
      <w:r>
        <w:rPr>
          <w:spacing w:val="-14"/>
        </w:rPr>
        <w:t xml:space="preserve"> </w:t>
      </w:r>
      <w:r>
        <w:t>Government policy</w:t>
      </w:r>
      <w:r>
        <w:rPr>
          <w:spacing w:val="-10"/>
        </w:rPr>
        <w:t xml:space="preserve"> </w:t>
      </w:r>
      <w:r>
        <w:t>and</w:t>
      </w:r>
      <w:r>
        <w:rPr>
          <w:spacing w:val="-10"/>
        </w:rPr>
        <w:t xml:space="preserve"> </w:t>
      </w:r>
      <w:r>
        <w:t>objectives</w:t>
      </w:r>
      <w:r>
        <w:rPr>
          <w:spacing w:val="-10"/>
        </w:rPr>
        <w:t xml:space="preserve"> </w:t>
      </w:r>
      <w:r>
        <w:t>for</w:t>
      </w:r>
      <w:r>
        <w:rPr>
          <w:spacing w:val="-10"/>
        </w:rPr>
        <w:t xml:space="preserve"> </w:t>
      </w:r>
      <w:r>
        <w:t>growth</w:t>
      </w:r>
      <w:r>
        <w:rPr>
          <w:spacing w:val="-10"/>
        </w:rPr>
        <w:t xml:space="preserve"> </w:t>
      </w:r>
      <w:r>
        <w:t>in</w:t>
      </w:r>
      <w:r>
        <w:rPr>
          <w:spacing w:val="-10"/>
        </w:rPr>
        <w:t xml:space="preserve"> </w:t>
      </w:r>
      <w:r>
        <w:t>the</w:t>
      </w:r>
      <w:r>
        <w:rPr>
          <w:spacing w:val="-10"/>
        </w:rPr>
        <w:t xml:space="preserve"> </w:t>
      </w:r>
      <w:r>
        <w:t>regions</w:t>
      </w:r>
      <w:r>
        <w:rPr>
          <w:spacing w:val="-10"/>
        </w:rPr>
        <w:t xml:space="preserve"> </w:t>
      </w:r>
      <w:r>
        <w:t>may</w:t>
      </w:r>
    </w:p>
    <w:p w:rsidR="002C1123" w:rsidRDefault="00F22F94">
      <w:pPr>
        <w:pStyle w:val="BodyText"/>
        <w:spacing w:before="4" w:line="249" w:lineRule="auto"/>
        <w:ind w:left="260" w:right="811"/>
      </w:pPr>
      <w:r>
        <w:t>also</w:t>
      </w:r>
      <w:r>
        <w:rPr>
          <w:spacing w:val="-14"/>
        </w:rPr>
        <w:t xml:space="preserve"> </w:t>
      </w:r>
      <w:r>
        <w:t>generate</w:t>
      </w:r>
      <w:r>
        <w:rPr>
          <w:spacing w:val="-14"/>
        </w:rPr>
        <w:t xml:space="preserve"> </w:t>
      </w:r>
      <w:r>
        <w:t>additional</w:t>
      </w:r>
      <w:r>
        <w:rPr>
          <w:spacing w:val="-14"/>
        </w:rPr>
        <w:t xml:space="preserve"> </w:t>
      </w:r>
      <w:r>
        <w:t>demand.</w:t>
      </w:r>
      <w:r>
        <w:rPr>
          <w:spacing w:val="-14"/>
        </w:rPr>
        <w:t xml:space="preserve"> </w:t>
      </w:r>
      <w:r>
        <w:t>The</w:t>
      </w:r>
      <w:r>
        <w:rPr>
          <w:spacing w:val="-14"/>
        </w:rPr>
        <w:t xml:space="preserve"> </w:t>
      </w:r>
      <w:r>
        <w:t>Office</w:t>
      </w:r>
      <w:r>
        <w:rPr>
          <w:spacing w:val="-14"/>
        </w:rPr>
        <w:t xml:space="preserve"> </w:t>
      </w:r>
      <w:r>
        <w:t>of</w:t>
      </w:r>
      <w:r>
        <w:rPr>
          <w:spacing w:val="-14"/>
        </w:rPr>
        <w:t xml:space="preserve"> </w:t>
      </w:r>
      <w:r>
        <w:t xml:space="preserve">Water </w:t>
      </w:r>
      <w:r>
        <w:rPr>
          <w:w w:val="95"/>
        </w:rPr>
        <w:t>estimates</w:t>
      </w:r>
      <w:r>
        <w:rPr>
          <w:spacing w:val="-12"/>
          <w:w w:val="95"/>
        </w:rPr>
        <w:t xml:space="preserve"> </w:t>
      </w:r>
      <w:r>
        <w:rPr>
          <w:w w:val="95"/>
        </w:rPr>
        <w:t>that</w:t>
      </w:r>
      <w:r>
        <w:rPr>
          <w:spacing w:val="-11"/>
          <w:w w:val="95"/>
        </w:rPr>
        <w:t xml:space="preserve"> </w:t>
      </w:r>
      <w:r>
        <w:rPr>
          <w:w w:val="95"/>
        </w:rPr>
        <w:t>regional</w:t>
      </w:r>
      <w:r>
        <w:rPr>
          <w:spacing w:val="-11"/>
          <w:w w:val="95"/>
        </w:rPr>
        <w:t xml:space="preserve"> </w:t>
      </w:r>
      <w:r>
        <w:rPr>
          <w:w w:val="95"/>
        </w:rPr>
        <w:t>water</w:t>
      </w:r>
      <w:r>
        <w:rPr>
          <w:spacing w:val="-11"/>
          <w:w w:val="95"/>
        </w:rPr>
        <w:t xml:space="preserve"> </w:t>
      </w:r>
      <w:r>
        <w:rPr>
          <w:w w:val="95"/>
        </w:rPr>
        <w:t>utilities</w:t>
      </w:r>
      <w:r>
        <w:rPr>
          <w:spacing w:val="-11"/>
          <w:w w:val="95"/>
        </w:rPr>
        <w:t xml:space="preserve"> </w:t>
      </w:r>
      <w:r>
        <w:rPr>
          <w:w w:val="95"/>
        </w:rPr>
        <w:t>have</w:t>
      </w:r>
      <w:r>
        <w:rPr>
          <w:spacing w:val="-11"/>
          <w:w w:val="95"/>
        </w:rPr>
        <w:t xml:space="preserve"> </w:t>
      </w:r>
      <w:r>
        <w:rPr>
          <w:w w:val="95"/>
        </w:rPr>
        <w:t>not</w:t>
      </w:r>
      <w:r>
        <w:rPr>
          <w:spacing w:val="-11"/>
          <w:w w:val="95"/>
        </w:rPr>
        <w:t xml:space="preserve"> </w:t>
      </w:r>
      <w:r>
        <w:rPr>
          <w:w w:val="95"/>
        </w:rPr>
        <w:t>in</w:t>
      </w:r>
      <w:r>
        <w:rPr>
          <w:spacing w:val="-11"/>
          <w:w w:val="95"/>
        </w:rPr>
        <w:t xml:space="preserve"> </w:t>
      </w:r>
      <w:r>
        <w:rPr>
          <w:w w:val="95"/>
        </w:rPr>
        <w:t xml:space="preserve">general </w:t>
      </w:r>
      <w:r>
        <w:t>factored</w:t>
      </w:r>
      <w:r>
        <w:rPr>
          <w:spacing w:val="-11"/>
        </w:rPr>
        <w:t xml:space="preserve"> </w:t>
      </w:r>
      <w:r>
        <w:t>successful</w:t>
      </w:r>
      <w:r>
        <w:rPr>
          <w:spacing w:val="-11"/>
        </w:rPr>
        <w:t xml:space="preserve"> </w:t>
      </w:r>
      <w:r>
        <w:t>implementation</w:t>
      </w:r>
      <w:r>
        <w:rPr>
          <w:spacing w:val="-11"/>
        </w:rPr>
        <w:t xml:space="preserve"> </w:t>
      </w:r>
      <w:r>
        <w:t>of</w:t>
      </w:r>
      <w:r>
        <w:rPr>
          <w:spacing w:val="-11"/>
        </w:rPr>
        <w:t xml:space="preserve"> </w:t>
      </w:r>
      <w:r>
        <w:t>the</w:t>
      </w:r>
      <w:r>
        <w:rPr>
          <w:spacing w:val="-10"/>
        </w:rPr>
        <w:t xml:space="preserve"> </w:t>
      </w:r>
      <w:r>
        <w:t>NSW</w:t>
      </w:r>
      <w:r>
        <w:rPr>
          <w:spacing w:val="-11"/>
        </w:rPr>
        <w:t xml:space="preserve"> </w:t>
      </w:r>
      <w:r>
        <w:t>2021 Plan into infrastructure plans.</w:t>
      </w:r>
    </w:p>
    <w:p w:rsidR="002C1123" w:rsidRDefault="00F22F94">
      <w:pPr>
        <w:pStyle w:val="BodyText"/>
        <w:spacing w:before="145" w:line="249" w:lineRule="auto"/>
        <w:ind w:left="260" w:right="811"/>
      </w:pPr>
      <w:r>
        <w:rPr>
          <w:spacing w:val="-2"/>
          <w:w w:val="95"/>
        </w:rPr>
        <w:t>Climate</w:t>
      </w:r>
      <w:r>
        <w:rPr>
          <w:spacing w:val="-16"/>
          <w:w w:val="95"/>
        </w:rPr>
        <w:t xml:space="preserve"> </w:t>
      </w:r>
      <w:r>
        <w:rPr>
          <w:spacing w:val="-2"/>
          <w:w w:val="95"/>
        </w:rPr>
        <w:t>variability</w:t>
      </w:r>
      <w:r>
        <w:rPr>
          <w:spacing w:val="-15"/>
          <w:w w:val="95"/>
        </w:rPr>
        <w:t xml:space="preserve"> </w:t>
      </w:r>
      <w:r>
        <w:rPr>
          <w:spacing w:val="-2"/>
          <w:w w:val="95"/>
        </w:rPr>
        <w:t>is</w:t>
      </w:r>
      <w:r>
        <w:rPr>
          <w:spacing w:val="-15"/>
          <w:w w:val="95"/>
        </w:rPr>
        <w:t xml:space="preserve"> </w:t>
      </w:r>
      <w:r>
        <w:rPr>
          <w:spacing w:val="-2"/>
          <w:w w:val="95"/>
        </w:rPr>
        <w:t>a</w:t>
      </w:r>
      <w:r>
        <w:rPr>
          <w:spacing w:val="-15"/>
          <w:w w:val="95"/>
        </w:rPr>
        <w:t xml:space="preserve"> </w:t>
      </w:r>
      <w:r>
        <w:rPr>
          <w:spacing w:val="-2"/>
          <w:w w:val="95"/>
        </w:rPr>
        <w:t>major</w:t>
      </w:r>
      <w:r>
        <w:rPr>
          <w:spacing w:val="-16"/>
          <w:w w:val="95"/>
        </w:rPr>
        <w:t xml:space="preserve"> </w:t>
      </w:r>
      <w:r>
        <w:rPr>
          <w:spacing w:val="-2"/>
          <w:w w:val="95"/>
        </w:rPr>
        <w:t>issue</w:t>
      </w:r>
      <w:r>
        <w:rPr>
          <w:spacing w:val="-15"/>
          <w:w w:val="95"/>
        </w:rPr>
        <w:t xml:space="preserve"> </w:t>
      </w:r>
      <w:r>
        <w:rPr>
          <w:spacing w:val="-2"/>
          <w:w w:val="95"/>
        </w:rPr>
        <w:t>for</w:t>
      </w:r>
      <w:r>
        <w:rPr>
          <w:spacing w:val="-15"/>
          <w:w w:val="95"/>
        </w:rPr>
        <w:t xml:space="preserve"> </w:t>
      </w:r>
      <w:r>
        <w:rPr>
          <w:spacing w:val="-2"/>
          <w:w w:val="95"/>
        </w:rPr>
        <w:t>forecasting</w:t>
      </w:r>
      <w:r>
        <w:rPr>
          <w:spacing w:val="-15"/>
          <w:w w:val="95"/>
        </w:rPr>
        <w:t xml:space="preserve"> </w:t>
      </w:r>
      <w:r>
        <w:rPr>
          <w:spacing w:val="-2"/>
          <w:w w:val="95"/>
        </w:rPr>
        <w:t xml:space="preserve">secure </w:t>
      </w:r>
      <w:r>
        <w:rPr>
          <w:w w:val="95"/>
        </w:rPr>
        <w:t>water</w:t>
      </w:r>
      <w:r>
        <w:rPr>
          <w:spacing w:val="-16"/>
          <w:w w:val="95"/>
        </w:rPr>
        <w:t xml:space="preserve"> </w:t>
      </w:r>
      <w:r>
        <w:rPr>
          <w:w w:val="95"/>
        </w:rPr>
        <w:t>supply.</w:t>
      </w:r>
      <w:r>
        <w:rPr>
          <w:spacing w:val="-15"/>
          <w:w w:val="95"/>
        </w:rPr>
        <w:t xml:space="preserve"> </w:t>
      </w:r>
      <w:r>
        <w:rPr>
          <w:w w:val="95"/>
        </w:rPr>
        <w:t>The</w:t>
      </w:r>
      <w:r>
        <w:rPr>
          <w:spacing w:val="-15"/>
          <w:w w:val="95"/>
        </w:rPr>
        <w:t xml:space="preserve"> </w:t>
      </w:r>
      <w:r>
        <w:rPr>
          <w:w w:val="95"/>
        </w:rPr>
        <w:t>Office</w:t>
      </w:r>
      <w:r>
        <w:rPr>
          <w:spacing w:val="-15"/>
          <w:w w:val="95"/>
        </w:rPr>
        <w:t xml:space="preserve"> </w:t>
      </w:r>
      <w:r>
        <w:rPr>
          <w:w w:val="95"/>
        </w:rPr>
        <w:t>of</w:t>
      </w:r>
      <w:r>
        <w:rPr>
          <w:spacing w:val="-16"/>
          <w:w w:val="95"/>
        </w:rPr>
        <w:t xml:space="preserve"> </w:t>
      </w:r>
      <w:r>
        <w:rPr>
          <w:w w:val="95"/>
        </w:rPr>
        <w:t>Water</w:t>
      </w:r>
      <w:r>
        <w:rPr>
          <w:spacing w:val="-15"/>
          <w:w w:val="95"/>
        </w:rPr>
        <w:t xml:space="preserve"> </w:t>
      </w:r>
      <w:r>
        <w:rPr>
          <w:w w:val="95"/>
        </w:rPr>
        <w:t>has</w:t>
      </w:r>
      <w:r>
        <w:rPr>
          <w:spacing w:val="-15"/>
          <w:w w:val="95"/>
        </w:rPr>
        <w:t xml:space="preserve"> </w:t>
      </w:r>
      <w:r>
        <w:rPr>
          <w:w w:val="95"/>
        </w:rPr>
        <w:t>conducted</w:t>
      </w:r>
      <w:r>
        <w:rPr>
          <w:spacing w:val="-15"/>
          <w:w w:val="95"/>
        </w:rPr>
        <w:t xml:space="preserve"> </w:t>
      </w:r>
      <w:r>
        <w:rPr>
          <w:w w:val="95"/>
        </w:rPr>
        <w:t xml:space="preserve">pilot </w:t>
      </w:r>
      <w:r>
        <w:rPr>
          <w:spacing w:val="-2"/>
          <w:w w:val="90"/>
        </w:rPr>
        <w:t>studies</w:t>
      </w:r>
      <w:r>
        <w:rPr>
          <w:spacing w:val="-5"/>
          <w:w w:val="90"/>
        </w:rPr>
        <w:t xml:space="preserve"> </w:t>
      </w:r>
      <w:r>
        <w:rPr>
          <w:spacing w:val="-2"/>
          <w:w w:val="90"/>
        </w:rPr>
        <w:t>that</w:t>
      </w:r>
      <w:r>
        <w:rPr>
          <w:spacing w:val="-5"/>
          <w:w w:val="90"/>
        </w:rPr>
        <w:t xml:space="preserve"> </w:t>
      </w:r>
      <w:r>
        <w:rPr>
          <w:spacing w:val="-2"/>
          <w:w w:val="90"/>
        </w:rPr>
        <w:t>indicate</w:t>
      </w:r>
      <w:r>
        <w:rPr>
          <w:spacing w:val="-5"/>
          <w:w w:val="90"/>
        </w:rPr>
        <w:t xml:space="preserve"> </w:t>
      </w:r>
      <w:r>
        <w:rPr>
          <w:spacing w:val="-2"/>
          <w:w w:val="90"/>
        </w:rPr>
        <w:t>that</w:t>
      </w:r>
      <w:r>
        <w:rPr>
          <w:spacing w:val="-5"/>
          <w:w w:val="90"/>
        </w:rPr>
        <w:t xml:space="preserve"> </w:t>
      </w:r>
      <w:r>
        <w:rPr>
          <w:spacing w:val="-2"/>
          <w:w w:val="90"/>
        </w:rPr>
        <w:t>LWUs</w:t>
      </w:r>
      <w:r>
        <w:rPr>
          <w:spacing w:val="-5"/>
          <w:w w:val="90"/>
        </w:rPr>
        <w:t xml:space="preserve"> </w:t>
      </w:r>
      <w:r>
        <w:rPr>
          <w:spacing w:val="-2"/>
          <w:w w:val="90"/>
        </w:rPr>
        <w:t>face</w:t>
      </w:r>
      <w:r>
        <w:rPr>
          <w:spacing w:val="-5"/>
          <w:w w:val="90"/>
        </w:rPr>
        <w:t xml:space="preserve"> </w:t>
      </w:r>
      <w:r>
        <w:rPr>
          <w:spacing w:val="-2"/>
          <w:w w:val="90"/>
        </w:rPr>
        <w:t>varying</w:t>
      </w:r>
      <w:r>
        <w:rPr>
          <w:spacing w:val="-5"/>
          <w:w w:val="90"/>
        </w:rPr>
        <w:t xml:space="preserve"> </w:t>
      </w:r>
      <w:r>
        <w:rPr>
          <w:spacing w:val="-2"/>
          <w:w w:val="90"/>
        </w:rPr>
        <w:t>levels</w:t>
      </w:r>
      <w:r>
        <w:rPr>
          <w:spacing w:val="-5"/>
          <w:w w:val="90"/>
        </w:rPr>
        <w:t xml:space="preserve"> </w:t>
      </w:r>
      <w:r>
        <w:rPr>
          <w:spacing w:val="-2"/>
          <w:w w:val="90"/>
        </w:rPr>
        <w:t>of</w:t>
      </w:r>
      <w:r>
        <w:rPr>
          <w:spacing w:val="-5"/>
          <w:w w:val="90"/>
        </w:rPr>
        <w:t xml:space="preserve"> </w:t>
      </w:r>
      <w:r>
        <w:rPr>
          <w:spacing w:val="-2"/>
          <w:w w:val="90"/>
        </w:rPr>
        <w:t xml:space="preserve">threat </w:t>
      </w:r>
      <w:r>
        <w:rPr>
          <w:w w:val="90"/>
        </w:rPr>
        <w:t>to</w:t>
      </w:r>
      <w:r>
        <w:rPr>
          <w:spacing w:val="-12"/>
          <w:w w:val="90"/>
        </w:rPr>
        <w:t xml:space="preserve"> </w:t>
      </w:r>
      <w:r>
        <w:rPr>
          <w:w w:val="90"/>
        </w:rPr>
        <w:t>system</w:t>
      </w:r>
      <w:r>
        <w:rPr>
          <w:spacing w:val="-11"/>
          <w:w w:val="90"/>
        </w:rPr>
        <w:t xml:space="preserve"> </w:t>
      </w:r>
      <w:r>
        <w:rPr>
          <w:w w:val="90"/>
        </w:rPr>
        <w:t>yield</w:t>
      </w:r>
      <w:r>
        <w:rPr>
          <w:spacing w:val="-12"/>
          <w:w w:val="90"/>
        </w:rPr>
        <w:t xml:space="preserve"> </w:t>
      </w:r>
      <w:r>
        <w:rPr>
          <w:w w:val="90"/>
        </w:rPr>
        <w:t>from</w:t>
      </w:r>
      <w:r>
        <w:rPr>
          <w:spacing w:val="-11"/>
          <w:w w:val="90"/>
        </w:rPr>
        <w:t xml:space="preserve"> </w:t>
      </w:r>
      <w:r>
        <w:rPr>
          <w:w w:val="90"/>
        </w:rPr>
        <w:t>projected</w:t>
      </w:r>
      <w:r>
        <w:rPr>
          <w:spacing w:val="-12"/>
          <w:w w:val="90"/>
        </w:rPr>
        <w:t xml:space="preserve"> </w:t>
      </w:r>
      <w:r>
        <w:rPr>
          <w:w w:val="90"/>
        </w:rPr>
        <w:t>impacts</w:t>
      </w:r>
      <w:r>
        <w:rPr>
          <w:spacing w:val="-11"/>
          <w:w w:val="90"/>
        </w:rPr>
        <w:t xml:space="preserve"> </w:t>
      </w:r>
      <w:r>
        <w:rPr>
          <w:w w:val="90"/>
        </w:rPr>
        <w:t>of</w:t>
      </w:r>
      <w:r>
        <w:rPr>
          <w:spacing w:val="-11"/>
          <w:w w:val="90"/>
        </w:rPr>
        <w:t xml:space="preserve"> </w:t>
      </w:r>
      <w:r>
        <w:rPr>
          <w:w w:val="90"/>
        </w:rPr>
        <w:t>climate</w:t>
      </w:r>
      <w:r>
        <w:rPr>
          <w:spacing w:val="-12"/>
          <w:w w:val="90"/>
        </w:rPr>
        <w:t xml:space="preserve"> </w:t>
      </w:r>
      <w:r>
        <w:rPr>
          <w:spacing w:val="-2"/>
          <w:w w:val="90"/>
        </w:rPr>
        <w:t>variability</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292" w:space="40"/>
            <w:col w:w="4914" w:space="39"/>
            <w:col w:w="5775"/>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10"/>
        <w:rPr>
          <w:sz w:val="21"/>
        </w:rPr>
      </w:pPr>
    </w:p>
    <w:p w:rsidR="002C1123" w:rsidRDefault="002C1123">
      <w:pPr>
        <w:rPr>
          <w:sz w:val="21"/>
        </w:rPr>
        <w:sectPr w:rsidR="002C1123">
          <w:pgSz w:w="16840" w:h="11910" w:orient="landscape"/>
          <w:pgMar w:top="560" w:right="280" w:bottom="700" w:left="500" w:header="0" w:footer="517" w:gutter="0"/>
          <w:cols w:space="720"/>
        </w:sectPr>
      </w:pPr>
    </w:p>
    <w:p w:rsidR="002C1123" w:rsidRDefault="00F22F94">
      <w:pPr>
        <w:pStyle w:val="BodyText"/>
        <w:spacing w:before="106" w:line="249" w:lineRule="auto"/>
        <w:ind w:left="492" w:right="106"/>
      </w:pPr>
      <w:bookmarkStart w:id="328" w:name="12.4__Private_supply_of_water_services_a"/>
      <w:bookmarkStart w:id="329" w:name="12.5_Flood_mitigation_"/>
      <w:bookmarkStart w:id="330" w:name="_bookmark233"/>
      <w:bookmarkStart w:id="331" w:name="_bookmark232"/>
      <w:bookmarkEnd w:id="328"/>
      <w:bookmarkEnd w:id="329"/>
      <w:bookmarkEnd w:id="330"/>
      <w:bookmarkEnd w:id="331"/>
      <w:r>
        <w:rPr>
          <w:w w:val="90"/>
        </w:rPr>
        <w:t>over</w:t>
      </w:r>
      <w:r>
        <w:rPr>
          <w:spacing w:val="-2"/>
          <w:w w:val="90"/>
        </w:rPr>
        <w:t xml:space="preserve"> </w:t>
      </w:r>
      <w:r>
        <w:rPr>
          <w:w w:val="90"/>
        </w:rPr>
        <w:t>the</w:t>
      </w:r>
      <w:r>
        <w:rPr>
          <w:spacing w:val="-2"/>
          <w:w w:val="90"/>
        </w:rPr>
        <w:t xml:space="preserve"> </w:t>
      </w:r>
      <w:r>
        <w:rPr>
          <w:w w:val="90"/>
        </w:rPr>
        <w:t>next</w:t>
      </w:r>
      <w:r>
        <w:rPr>
          <w:spacing w:val="-2"/>
          <w:w w:val="90"/>
        </w:rPr>
        <w:t xml:space="preserve"> </w:t>
      </w:r>
      <w:r>
        <w:rPr>
          <w:w w:val="90"/>
        </w:rPr>
        <w:t>30</w:t>
      </w:r>
      <w:r>
        <w:rPr>
          <w:spacing w:val="-2"/>
          <w:w w:val="90"/>
        </w:rPr>
        <w:t xml:space="preserve"> </w:t>
      </w:r>
      <w:r>
        <w:rPr>
          <w:w w:val="90"/>
        </w:rPr>
        <w:t>years.</w:t>
      </w:r>
      <w:r>
        <w:rPr>
          <w:spacing w:val="-2"/>
          <w:w w:val="90"/>
        </w:rPr>
        <w:t xml:space="preserve"> </w:t>
      </w:r>
      <w:r>
        <w:rPr>
          <w:w w:val="90"/>
        </w:rPr>
        <w:t>Impacts</w:t>
      </w:r>
      <w:r>
        <w:rPr>
          <w:spacing w:val="-2"/>
          <w:w w:val="90"/>
        </w:rPr>
        <w:t xml:space="preserve"> </w:t>
      </w:r>
      <w:r>
        <w:rPr>
          <w:w w:val="90"/>
        </w:rPr>
        <w:t>are</w:t>
      </w:r>
      <w:r>
        <w:rPr>
          <w:spacing w:val="-2"/>
          <w:w w:val="90"/>
        </w:rPr>
        <w:t xml:space="preserve"> </w:t>
      </w:r>
      <w:r>
        <w:rPr>
          <w:w w:val="90"/>
        </w:rPr>
        <w:t>predicted</w:t>
      </w:r>
      <w:r>
        <w:rPr>
          <w:spacing w:val="-2"/>
          <w:w w:val="90"/>
        </w:rPr>
        <w:t xml:space="preserve"> </w:t>
      </w:r>
      <w:r>
        <w:rPr>
          <w:w w:val="90"/>
        </w:rPr>
        <w:t>to</w:t>
      </w:r>
      <w:r>
        <w:rPr>
          <w:spacing w:val="-2"/>
          <w:w w:val="90"/>
        </w:rPr>
        <w:t xml:space="preserve"> </w:t>
      </w:r>
      <w:r>
        <w:rPr>
          <w:w w:val="90"/>
        </w:rPr>
        <w:t>be</w:t>
      </w:r>
      <w:r>
        <w:rPr>
          <w:spacing w:val="-2"/>
          <w:w w:val="90"/>
        </w:rPr>
        <w:t xml:space="preserve"> </w:t>
      </w:r>
      <w:r>
        <w:rPr>
          <w:w w:val="90"/>
        </w:rPr>
        <w:t>lowest on</w:t>
      </w:r>
      <w:r>
        <w:rPr>
          <w:spacing w:val="-12"/>
          <w:w w:val="90"/>
        </w:rPr>
        <w:t xml:space="preserve"> </w:t>
      </w:r>
      <w:r>
        <w:rPr>
          <w:w w:val="90"/>
        </w:rPr>
        <w:t>the</w:t>
      </w:r>
      <w:r>
        <w:rPr>
          <w:spacing w:val="-12"/>
          <w:w w:val="90"/>
        </w:rPr>
        <w:t xml:space="preserve"> </w:t>
      </w:r>
      <w:r>
        <w:rPr>
          <w:w w:val="90"/>
        </w:rPr>
        <w:t>Central</w:t>
      </w:r>
      <w:r>
        <w:rPr>
          <w:spacing w:val="-12"/>
          <w:w w:val="90"/>
        </w:rPr>
        <w:t xml:space="preserve"> </w:t>
      </w:r>
      <w:r>
        <w:rPr>
          <w:w w:val="90"/>
        </w:rPr>
        <w:t>and</w:t>
      </w:r>
      <w:r>
        <w:rPr>
          <w:spacing w:val="-12"/>
          <w:w w:val="90"/>
        </w:rPr>
        <w:t xml:space="preserve"> </w:t>
      </w:r>
      <w:r>
        <w:rPr>
          <w:w w:val="90"/>
        </w:rPr>
        <w:t>North</w:t>
      </w:r>
      <w:r>
        <w:rPr>
          <w:spacing w:val="-12"/>
          <w:w w:val="90"/>
        </w:rPr>
        <w:t xml:space="preserve"> </w:t>
      </w:r>
      <w:r>
        <w:rPr>
          <w:w w:val="90"/>
        </w:rPr>
        <w:t>Coast</w:t>
      </w:r>
      <w:r>
        <w:rPr>
          <w:spacing w:val="-12"/>
          <w:w w:val="90"/>
        </w:rPr>
        <w:t xml:space="preserve"> </w:t>
      </w:r>
      <w:r>
        <w:rPr>
          <w:w w:val="90"/>
        </w:rPr>
        <w:t>and</w:t>
      </w:r>
      <w:r>
        <w:rPr>
          <w:spacing w:val="-12"/>
          <w:w w:val="90"/>
        </w:rPr>
        <w:t xml:space="preserve"> </w:t>
      </w:r>
      <w:r>
        <w:rPr>
          <w:w w:val="90"/>
        </w:rPr>
        <w:t>highest</w:t>
      </w:r>
      <w:r>
        <w:rPr>
          <w:spacing w:val="-12"/>
          <w:w w:val="90"/>
        </w:rPr>
        <w:t xml:space="preserve"> </w:t>
      </w:r>
      <w:r>
        <w:rPr>
          <w:w w:val="90"/>
        </w:rPr>
        <w:t xml:space="preserve">(approximately </w:t>
      </w:r>
      <w:r>
        <w:rPr>
          <w:spacing w:val="-2"/>
          <w:w w:val="95"/>
        </w:rPr>
        <w:t>30</w:t>
      </w:r>
      <w:r>
        <w:rPr>
          <w:spacing w:val="-13"/>
          <w:w w:val="95"/>
        </w:rPr>
        <w:t xml:space="preserve"> </w:t>
      </w:r>
      <w:r>
        <w:rPr>
          <w:spacing w:val="-2"/>
          <w:w w:val="95"/>
        </w:rPr>
        <w:t>percent</w:t>
      </w:r>
      <w:r>
        <w:rPr>
          <w:spacing w:val="-13"/>
          <w:w w:val="95"/>
        </w:rPr>
        <w:t xml:space="preserve"> </w:t>
      </w:r>
      <w:r>
        <w:rPr>
          <w:spacing w:val="-2"/>
          <w:w w:val="95"/>
        </w:rPr>
        <w:t>reduction</w:t>
      </w:r>
      <w:r>
        <w:rPr>
          <w:spacing w:val="-13"/>
          <w:w w:val="95"/>
        </w:rPr>
        <w:t xml:space="preserve"> </w:t>
      </w:r>
      <w:r>
        <w:rPr>
          <w:spacing w:val="-2"/>
          <w:w w:val="95"/>
        </w:rPr>
        <w:t>in</w:t>
      </w:r>
      <w:r>
        <w:rPr>
          <w:spacing w:val="-13"/>
          <w:w w:val="95"/>
        </w:rPr>
        <w:t xml:space="preserve"> </w:t>
      </w:r>
      <w:r>
        <w:rPr>
          <w:spacing w:val="-2"/>
          <w:w w:val="95"/>
        </w:rPr>
        <w:t>yield)</w:t>
      </w:r>
      <w:r>
        <w:rPr>
          <w:spacing w:val="-13"/>
          <w:w w:val="95"/>
        </w:rPr>
        <w:t xml:space="preserve"> </w:t>
      </w:r>
      <w:r>
        <w:rPr>
          <w:spacing w:val="-2"/>
          <w:w w:val="95"/>
        </w:rPr>
        <w:t>for</w:t>
      </w:r>
      <w:r>
        <w:rPr>
          <w:spacing w:val="-13"/>
          <w:w w:val="95"/>
        </w:rPr>
        <w:t xml:space="preserve"> </w:t>
      </w:r>
      <w:r>
        <w:rPr>
          <w:spacing w:val="-2"/>
          <w:w w:val="95"/>
        </w:rPr>
        <w:t>inland</w:t>
      </w:r>
      <w:r>
        <w:rPr>
          <w:spacing w:val="-13"/>
          <w:w w:val="95"/>
        </w:rPr>
        <w:t xml:space="preserve"> </w:t>
      </w:r>
      <w:r>
        <w:rPr>
          <w:spacing w:val="-2"/>
          <w:w w:val="95"/>
        </w:rPr>
        <w:t>utilities</w:t>
      </w:r>
      <w:r>
        <w:rPr>
          <w:spacing w:val="-13"/>
          <w:w w:val="95"/>
        </w:rPr>
        <w:t xml:space="preserve"> </w:t>
      </w:r>
      <w:r>
        <w:rPr>
          <w:spacing w:val="-2"/>
          <w:w w:val="95"/>
        </w:rPr>
        <w:t>in</w:t>
      </w:r>
      <w:r>
        <w:rPr>
          <w:spacing w:val="-13"/>
          <w:w w:val="95"/>
        </w:rPr>
        <w:t xml:space="preserve"> </w:t>
      </w:r>
      <w:r>
        <w:rPr>
          <w:spacing w:val="-2"/>
          <w:w w:val="95"/>
        </w:rPr>
        <w:t>mid</w:t>
      </w:r>
      <w:r>
        <w:rPr>
          <w:spacing w:val="-13"/>
          <w:w w:val="95"/>
        </w:rPr>
        <w:t xml:space="preserve"> </w:t>
      </w:r>
      <w:r>
        <w:rPr>
          <w:spacing w:val="-2"/>
          <w:w w:val="95"/>
        </w:rPr>
        <w:t xml:space="preserve">and </w:t>
      </w:r>
      <w:r>
        <w:t>southern</w:t>
      </w:r>
      <w:r>
        <w:rPr>
          <w:spacing w:val="-18"/>
        </w:rPr>
        <w:t xml:space="preserve"> </w:t>
      </w:r>
      <w:r>
        <w:t>NSW.</w:t>
      </w:r>
    </w:p>
    <w:p w:rsidR="002C1123" w:rsidRDefault="00F22F94">
      <w:pPr>
        <w:pStyle w:val="BodyText"/>
        <w:spacing w:before="145" w:line="249" w:lineRule="auto"/>
        <w:ind w:left="492" w:right="43"/>
      </w:pPr>
      <w:r>
        <w:rPr>
          <w:spacing w:val="-2"/>
          <w:w w:val="95"/>
        </w:rPr>
        <w:t>The</w:t>
      </w:r>
      <w:r>
        <w:rPr>
          <w:spacing w:val="-9"/>
          <w:w w:val="95"/>
        </w:rPr>
        <w:t xml:space="preserve"> </w:t>
      </w:r>
      <w:r>
        <w:rPr>
          <w:spacing w:val="-2"/>
          <w:w w:val="95"/>
        </w:rPr>
        <w:t>NSW</w:t>
      </w:r>
      <w:r>
        <w:rPr>
          <w:spacing w:val="-9"/>
          <w:w w:val="95"/>
        </w:rPr>
        <w:t xml:space="preserve"> </w:t>
      </w:r>
      <w:r>
        <w:rPr>
          <w:spacing w:val="-2"/>
          <w:w w:val="95"/>
        </w:rPr>
        <w:t>Parliament’s</w:t>
      </w:r>
      <w:r>
        <w:rPr>
          <w:spacing w:val="-9"/>
          <w:w w:val="95"/>
        </w:rPr>
        <w:t xml:space="preserve"> </w:t>
      </w:r>
      <w:r>
        <w:rPr>
          <w:spacing w:val="-2"/>
          <w:w w:val="95"/>
        </w:rPr>
        <w:t>Standing</w:t>
      </w:r>
      <w:r>
        <w:rPr>
          <w:spacing w:val="-9"/>
          <w:w w:val="95"/>
        </w:rPr>
        <w:t xml:space="preserve"> </w:t>
      </w:r>
      <w:r>
        <w:rPr>
          <w:spacing w:val="-2"/>
          <w:w w:val="95"/>
        </w:rPr>
        <w:t>Committee</w:t>
      </w:r>
      <w:r>
        <w:rPr>
          <w:spacing w:val="-9"/>
          <w:w w:val="95"/>
        </w:rPr>
        <w:t xml:space="preserve"> </w:t>
      </w:r>
      <w:r>
        <w:rPr>
          <w:spacing w:val="-2"/>
          <w:w w:val="95"/>
        </w:rPr>
        <w:t>on</w:t>
      </w:r>
      <w:r>
        <w:rPr>
          <w:spacing w:val="-9"/>
          <w:w w:val="95"/>
        </w:rPr>
        <w:t xml:space="preserve"> </w:t>
      </w:r>
      <w:r>
        <w:rPr>
          <w:spacing w:val="-2"/>
          <w:w w:val="95"/>
        </w:rPr>
        <w:t xml:space="preserve">State </w:t>
      </w:r>
      <w:r>
        <w:rPr>
          <w:w w:val="90"/>
        </w:rPr>
        <w:t>Development is conducting an inquiry into the adequacy of water</w:t>
      </w:r>
      <w:r>
        <w:rPr>
          <w:spacing w:val="-13"/>
          <w:w w:val="90"/>
        </w:rPr>
        <w:t xml:space="preserve"> </w:t>
      </w:r>
      <w:r>
        <w:rPr>
          <w:w w:val="90"/>
        </w:rPr>
        <w:t>storages</w:t>
      </w:r>
      <w:r>
        <w:rPr>
          <w:spacing w:val="-12"/>
          <w:w w:val="90"/>
        </w:rPr>
        <w:t xml:space="preserve"> </w:t>
      </w:r>
      <w:r>
        <w:rPr>
          <w:w w:val="90"/>
        </w:rPr>
        <w:t>in</w:t>
      </w:r>
      <w:r>
        <w:rPr>
          <w:spacing w:val="-13"/>
          <w:w w:val="90"/>
        </w:rPr>
        <w:t xml:space="preserve"> </w:t>
      </w:r>
      <w:r>
        <w:rPr>
          <w:w w:val="90"/>
        </w:rPr>
        <w:t>NSW,</w:t>
      </w:r>
      <w:r>
        <w:rPr>
          <w:spacing w:val="-12"/>
          <w:w w:val="90"/>
        </w:rPr>
        <w:t xml:space="preserve"> </w:t>
      </w:r>
      <w:r>
        <w:rPr>
          <w:w w:val="90"/>
        </w:rPr>
        <w:t>which</w:t>
      </w:r>
      <w:r>
        <w:rPr>
          <w:spacing w:val="-13"/>
          <w:w w:val="90"/>
        </w:rPr>
        <w:t xml:space="preserve"> </w:t>
      </w:r>
      <w:r>
        <w:rPr>
          <w:w w:val="90"/>
        </w:rPr>
        <w:t>will</w:t>
      </w:r>
      <w:r>
        <w:rPr>
          <w:spacing w:val="-12"/>
          <w:w w:val="90"/>
        </w:rPr>
        <w:t xml:space="preserve"> </w:t>
      </w:r>
      <w:r>
        <w:rPr>
          <w:w w:val="90"/>
        </w:rPr>
        <w:t>examine</w:t>
      </w:r>
      <w:r>
        <w:rPr>
          <w:spacing w:val="-13"/>
          <w:w w:val="90"/>
        </w:rPr>
        <w:t xml:space="preserve"> </w:t>
      </w:r>
      <w:r>
        <w:rPr>
          <w:w w:val="90"/>
        </w:rPr>
        <w:t>these</w:t>
      </w:r>
      <w:r>
        <w:rPr>
          <w:spacing w:val="-12"/>
          <w:w w:val="90"/>
        </w:rPr>
        <w:t xml:space="preserve"> </w:t>
      </w:r>
      <w:r>
        <w:rPr>
          <w:w w:val="90"/>
        </w:rPr>
        <w:t>issues</w:t>
      </w:r>
      <w:r>
        <w:rPr>
          <w:spacing w:val="-12"/>
          <w:w w:val="90"/>
        </w:rPr>
        <w:t xml:space="preserve"> </w:t>
      </w:r>
      <w:r>
        <w:rPr>
          <w:w w:val="90"/>
        </w:rPr>
        <w:t xml:space="preserve">and </w:t>
      </w:r>
      <w:r>
        <w:rPr>
          <w:spacing w:val="-2"/>
          <w:w w:val="95"/>
        </w:rPr>
        <w:t>proposals.</w:t>
      </w:r>
      <w:r>
        <w:rPr>
          <w:spacing w:val="-12"/>
          <w:w w:val="95"/>
        </w:rPr>
        <w:t xml:space="preserve"> </w:t>
      </w:r>
      <w:r>
        <w:rPr>
          <w:spacing w:val="-2"/>
          <w:w w:val="95"/>
        </w:rPr>
        <w:t>While</w:t>
      </w:r>
      <w:r>
        <w:rPr>
          <w:spacing w:val="-12"/>
          <w:w w:val="95"/>
        </w:rPr>
        <w:t xml:space="preserve"> </w:t>
      </w:r>
      <w:r>
        <w:rPr>
          <w:spacing w:val="-2"/>
          <w:w w:val="95"/>
        </w:rPr>
        <w:t>the</w:t>
      </w:r>
      <w:r>
        <w:rPr>
          <w:spacing w:val="-12"/>
          <w:w w:val="95"/>
        </w:rPr>
        <w:t xml:space="preserve"> </w:t>
      </w:r>
      <w:r>
        <w:rPr>
          <w:spacing w:val="-2"/>
          <w:w w:val="95"/>
        </w:rPr>
        <w:t>Inquiry</w:t>
      </w:r>
      <w:r>
        <w:rPr>
          <w:spacing w:val="-12"/>
          <w:w w:val="95"/>
        </w:rPr>
        <w:t xml:space="preserve"> </w:t>
      </w:r>
      <w:r>
        <w:rPr>
          <w:spacing w:val="-2"/>
          <w:w w:val="95"/>
        </w:rPr>
        <w:t>is</w:t>
      </w:r>
      <w:r>
        <w:rPr>
          <w:spacing w:val="-12"/>
          <w:w w:val="95"/>
        </w:rPr>
        <w:t xml:space="preserve"> </w:t>
      </w:r>
      <w:r>
        <w:rPr>
          <w:spacing w:val="-2"/>
          <w:w w:val="95"/>
        </w:rPr>
        <w:t>yet</w:t>
      </w:r>
      <w:r>
        <w:rPr>
          <w:spacing w:val="-12"/>
          <w:w w:val="95"/>
        </w:rPr>
        <w:t xml:space="preserve"> </w:t>
      </w:r>
      <w:r>
        <w:rPr>
          <w:spacing w:val="-2"/>
          <w:w w:val="95"/>
        </w:rPr>
        <w:t>to</w:t>
      </w:r>
      <w:r>
        <w:rPr>
          <w:spacing w:val="-12"/>
          <w:w w:val="95"/>
        </w:rPr>
        <w:t xml:space="preserve"> </w:t>
      </w:r>
      <w:r>
        <w:rPr>
          <w:spacing w:val="-2"/>
          <w:w w:val="95"/>
        </w:rPr>
        <w:t>report,</w:t>
      </w:r>
      <w:r>
        <w:rPr>
          <w:spacing w:val="-12"/>
          <w:w w:val="95"/>
        </w:rPr>
        <w:t xml:space="preserve"> </w:t>
      </w:r>
      <w:r>
        <w:rPr>
          <w:spacing w:val="-2"/>
          <w:w w:val="95"/>
        </w:rPr>
        <w:t>it</w:t>
      </w:r>
      <w:r>
        <w:rPr>
          <w:spacing w:val="-12"/>
          <w:w w:val="95"/>
        </w:rPr>
        <w:t xml:space="preserve"> </w:t>
      </w:r>
      <w:r>
        <w:rPr>
          <w:spacing w:val="-2"/>
          <w:w w:val="95"/>
        </w:rPr>
        <w:t>is</w:t>
      </w:r>
      <w:r>
        <w:rPr>
          <w:spacing w:val="-12"/>
          <w:w w:val="95"/>
        </w:rPr>
        <w:t xml:space="preserve"> </w:t>
      </w:r>
      <w:r>
        <w:rPr>
          <w:spacing w:val="-2"/>
          <w:w w:val="95"/>
        </w:rPr>
        <w:t>clear</w:t>
      </w:r>
      <w:r>
        <w:rPr>
          <w:spacing w:val="-12"/>
          <w:w w:val="95"/>
        </w:rPr>
        <w:t xml:space="preserve"> </w:t>
      </w:r>
      <w:r>
        <w:rPr>
          <w:spacing w:val="-2"/>
          <w:w w:val="95"/>
        </w:rPr>
        <w:t>that new</w:t>
      </w:r>
      <w:r>
        <w:rPr>
          <w:spacing w:val="-11"/>
          <w:w w:val="95"/>
        </w:rPr>
        <w:t xml:space="preserve"> </w:t>
      </w:r>
      <w:r>
        <w:rPr>
          <w:spacing w:val="-2"/>
          <w:w w:val="95"/>
        </w:rPr>
        <w:t>water</w:t>
      </w:r>
      <w:r>
        <w:rPr>
          <w:spacing w:val="-11"/>
          <w:w w:val="95"/>
        </w:rPr>
        <w:t xml:space="preserve"> </w:t>
      </w:r>
      <w:r>
        <w:rPr>
          <w:spacing w:val="-2"/>
          <w:w w:val="95"/>
        </w:rPr>
        <w:t>supply</w:t>
      </w:r>
      <w:r>
        <w:rPr>
          <w:spacing w:val="-11"/>
          <w:w w:val="95"/>
        </w:rPr>
        <w:t xml:space="preserve"> </w:t>
      </w:r>
      <w:r>
        <w:rPr>
          <w:spacing w:val="-2"/>
          <w:w w:val="95"/>
        </w:rPr>
        <w:t>sources</w:t>
      </w:r>
      <w:r>
        <w:rPr>
          <w:spacing w:val="-11"/>
          <w:w w:val="95"/>
        </w:rPr>
        <w:t xml:space="preserve"> </w:t>
      </w:r>
      <w:r>
        <w:rPr>
          <w:spacing w:val="-2"/>
          <w:w w:val="95"/>
        </w:rPr>
        <w:t>are</w:t>
      </w:r>
      <w:r>
        <w:rPr>
          <w:spacing w:val="-11"/>
          <w:w w:val="95"/>
        </w:rPr>
        <w:t xml:space="preserve"> </w:t>
      </w:r>
      <w:r>
        <w:rPr>
          <w:spacing w:val="-2"/>
          <w:w w:val="95"/>
        </w:rPr>
        <w:t>needed</w:t>
      </w:r>
      <w:r>
        <w:rPr>
          <w:spacing w:val="-11"/>
          <w:w w:val="95"/>
        </w:rPr>
        <w:t xml:space="preserve"> </w:t>
      </w:r>
      <w:r>
        <w:rPr>
          <w:spacing w:val="-2"/>
          <w:w w:val="95"/>
        </w:rPr>
        <w:t>for</w:t>
      </w:r>
      <w:r>
        <w:rPr>
          <w:spacing w:val="-11"/>
          <w:w w:val="95"/>
        </w:rPr>
        <w:t xml:space="preserve"> </w:t>
      </w:r>
      <w:r>
        <w:rPr>
          <w:spacing w:val="-2"/>
          <w:w w:val="95"/>
        </w:rPr>
        <w:t>Regional</w:t>
      </w:r>
      <w:r>
        <w:rPr>
          <w:spacing w:val="-11"/>
          <w:w w:val="95"/>
        </w:rPr>
        <w:t xml:space="preserve"> </w:t>
      </w:r>
      <w:r>
        <w:rPr>
          <w:spacing w:val="-2"/>
          <w:w w:val="95"/>
        </w:rPr>
        <w:t>NSW over</w:t>
      </w:r>
      <w:r>
        <w:rPr>
          <w:spacing w:val="-14"/>
          <w:w w:val="95"/>
        </w:rPr>
        <w:t xml:space="preserve"> </w:t>
      </w:r>
      <w:r>
        <w:rPr>
          <w:spacing w:val="-2"/>
          <w:w w:val="95"/>
        </w:rPr>
        <w:t>the</w:t>
      </w:r>
      <w:r>
        <w:rPr>
          <w:spacing w:val="-14"/>
          <w:w w:val="95"/>
        </w:rPr>
        <w:t xml:space="preserve"> </w:t>
      </w:r>
      <w:r>
        <w:rPr>
          <w:spacing w:val="-2"/>
          <w:w w:val="95"/>
        </w:rPr>
        <w:t>next</w:t>
      </w:r>
      <w:r>
        <w:rPr>
          <w:spacing w:val="-14"/>
          <w:w w:val="95"/>
        </w:rPr>
        <w:t xml:space="preserve"> </w:t>
      </w:r>
      <w:r>
        <w:rPr>
          <w:spacing w:val="-2"/>
          <w:w w:val="95"/>
        </w:rPr>
        <w:t>10</w:t>
      </w:r>
      <w:r>
        <w:rPr>
          <w:spacing w:val="-14"/>
          <w:w w:val="95"/>
        </w:rPr>
        <w:t xml:space="preserve"> </w:t>
      </w:r>
      <w:r>
        <w:rPr>
          <w:spacing w:val="-2"/>
          <w:w w:val="95"/>
        </w:rPr>
        <w:t>years.</w:t>
      </w:r>
      <w:r>
        <w:rPr>
          <w:spacing w:val="-14"/>
          <w:w w:val="95"/>
        </w:rPr>
        <w:t xml:space="preserve"> </w:t>
      </w:r>
      <w:r>
        <w:rPr>
          <w:spacing w:val="-2"/>
          <w:w w:val="95"/>
        </w:rPr>
        <w:t>A</w:t>
      </w:r>
      <w:r>
        <w:rPr>
          <w:spacing w:val="-14"/>
          <w:w w:val="95"/>
        </w:rPr>
        <w:t xml:space="preserve"> </w:t>
      </w:r>
      <w:r>
        <w:rPr>
          <w:spacing w:val="-2"/>
          <w:w w:val="95"/>
        </w:rPr>
        <w:t>number</w:t>
      </w:r>
      <w:r>
        <w:rPr>
          <w:spacing w:val="-14"/>
          <w:w w:val="95"/>
        </w:rPr>
        <w:t xml:space="preserve"> </w:t>
      </w:r>
      <w:r>
        <w:rPr>
          <w:spacing w:val="-2"/>
          <w:w w:val="95"/>
        </w:rPr>
        <w:t>(yet</w:t>
      </w:r>
      <w:r>
        <w:rPr>
          <w:spacing w:val="-14"/>
          <w:w w:val="95"/>
        </w:rPr>
        <w:t xml:space="preserve"> </w:t>
      </w:r>
      <w:r>
        <w:rPr>
          <w:spacing w:val="-2"/>
          <w:w w:val="95"/>
        </w:rPr>
        <w:t>to</w:t>
      </w:r>
      <w:r>
        <w:rPr>
          <w:spacing w:val="-14"/>
          <w:w w:val="95"/>
        </w:rPr>
        <w:t xml:space="preserve"> </w:t>
      </w:r>
      <w:r>
        <w:rPr>
          <w:spacing w:val="-2"/>
          <w:w w:val="95"/>
        </w:rPr>
        <w:t>be</w:t>
      </w:r>
      <w:r>
        <w:rPr>
          <w:spacing w:val="-14"/>
          <w:w w:val="95"/>
        </w:rPr>
        <w:t xml:space="preserve"> </w:t>
      </w:r>
      <w:r>
        <w:rPr>
          <w:spacing w:val="-2"/>
          <w:w w:val="95"/>
        </w:rPr>
        <w:t>determined)</w:t>
      </w:r>
      <w:r>
        <w:rPr>
          <w:spacing w:val="-14"/>
          <w:w w:val="95"/>
        </w:rPr>
        <w:t xml:space="preserve"> </w:t>
      </w:r>
      <w:r>
        <w:rPr>
          <w:spacing w:val="-2"/>
          <w:w w:val="95"/>
        </w:rPr>
        <w:t xml:space="preserve">of </w:t>
      </w:r>
      <w:r>
        <w:rPr>
          <w:w w:val="90"/>
        </w:rPr>
        <w:t>new</w:t>
      </w:r>
      <w:r>
        <w:rPr>
          <w:spacing w:val="-7"/>
          <w:w w:val="90"/>
        </w:rPr>
        <w:t xml:space="preserve"> </w:t>
      </w:r>
      <w:r>
        <w:rPr>
          <w:w w:val="90"/>
        </w:rPr>
        <w:t>dams</w:t>
      </w:r>
      <w:r>
        <w:rPr>
          <w:spacing w:val="-7"/>
          <w:w w:val="90"/>
        </w:rPr>
        <w:t xml:space="preserve"> </w:t>
      </w:r>
      <w:r>
        <w:rPr>
          <w:w w:val="90"/>
        </w:rPr>
        <w:t>are</w:t>
      </w:r>
      <w:r>
        <w:rPr>
          <w:spacing w:val="-7"/>
          <w:w w:val="90"/>
        </w:rPr>
        <w:t xml:space="preserve"> </w:t>
      </w:r>
      <w:r>
        <w:rPr>
          <w:w w:val="90"/>
        </w:rPr>
        <w:t>needed.</w:t>
      </w:r>
      <w:r>
        <w:rPr>
          <w:spacing w:val="-7"/>
          <w:w w:val="90"/>
        </w:rPr>
        <w:t xml:space="preserve"> </w:t>
      </w:r>
      <w:r>
        <w:rPr>
          <w:w w:val="90"/>
        </w:rPr>
        <w:t>Infrastructure</w:t>
      </w:r>
      <w:r>
        <w:rPr>
          <w:spacing w:val="-7"/>
          <w:w w:val="90"/>
        </w:rPr>
        <w:t xml:space="preserve"> </w:t>
      </w:r>
      <w:r>
        <w:rPr>
          <w:w w:val="90"/>
        </w:rPr>
        <w:t>NSW</w:t>
      </w:r>
      <w:r>
        <w:rPr>
          <w:spacing w:val="-7"/>
          <w:w w:val="90"/>
        </w:rPr>
        <w:t xml:space="preserve"> </w:t>
      </w:r>
      <w:r>
        <w:rPr>
          <w:w w:val="90"/>
        </w:rPr>
        <w:t>notes</w:t>
      </w:r>
      <w:r>
        <w:rPr>
          <w:spacing w:val="-7"/>
          <w:w w:val="90"/>
        </w:rPr>
        <w:t xml:space="preserve"> </w:t>
      </w:r>
      <w:r>
        <w:rPr>
          <w:w w:val="90"/>
        </w:rPr>
        <w:t>that</w:t>
      </w:r>
      <w:r>
        <w:rPr>
          <w:spacing w:val="-7"/>
          <w:w w:val="90"/>
        </w:rPr>
        <w:t xml:space="preserve"> </w:t>
      </w:r>
      <w:r>
        <w:rPr>
          <w:w w:val="90"/>
        </w:rPr>
        <w:t xml:space="preserve">dams </w:t>
      </w:r>
      <w:r>
        <w:rPr>
          <w:w w:val="95"/>
        </w:rPr>
        <w:t>need</w:t>
      </w:r>
      <w:r>
        <w:rPr>
          <w:spacing w:val="-14"/>
          <w:w w:val="95"/>
        </w:rPr>
        <w:t xml:space="preserve"> </w:t>
      </w:r>
      <w:r>
        <w:rPr>
          <w:w w:val="95"/>
        </w:rPr>
        <w:t>to</w:t>
      </w:r>
      <w:r>
        <w:rPr>
          <w:spacing w:val="-14"/>
          <w:w w:val="95"/>
        </w:rPr>
        <w:t xml:space="preserve"> </w:t>
      </w:r>
      <w:r>
        <w:rPr>
          <w:w w:val="95"/>
        </w:rPr>
        <w:t>be</w:t>
      </w:r>
      <w:r>
        <w:rPr>
          <w:spacing w:val="-14"/>
          <w:w w:val="95"/>
        </w:rPr>
        <w:t xml:space="preserve"> </w:t>
      </w:r>
      <w:r>
        <w:rPr>
          <w:w w:val="95"/>
        </w:rPr>
        <w:t>planned</w:t>
      </w:r>
      <w:r>
        <w:rPr>
          <w:spacing w:val="-14"/>
          <w:w w:val="95"/>
        </w:rPr>
        <w:t xml:space="preserve"> </w:t>
      </w:r>
      <w:r>
        <w:rPr>
          <w:w w:val="95"/>
        </w:rPr>
        <w:t>before</w:t>
      </w:r>
      <w:r>
        <w:rPr>
          <w:spacing w:val="-14"/>
          <w:w w:val="95"/>
        </w:rPr>
        <w:t xml:space="preserve"> </w:t>
      </w:r>
      <w:r>
        <w:rPr>
          <w:w w:val="95"/>
        </w:rPr>
        <w:t>the</w:t>
      </w:r>
      <w:r>
        <w:rPr>
          <w:spacing w:val="-14"/>
          <w:w w:val="95"/>
        </w:rPr>
        <w:t xml:space="preserve"> </w:t>
      </w:r>
      <w:r>
        <w:rPr>
          <w:w w:val="95"/>
        </w:rPr>
        <w:t>next</w:t>
      </w:r>
      <w:r>
        <w:rPr>
          <w:spacing w:val="-14"/>
          <w:w w:val="95"/>
        </w:rPr>
        <w:t xml:space="preserve"> </w:t>
      </w:r>
      <w:r>
        <w:rPr>
          <w:w w:val="95"/>
        </w:rPr>
        <w:t>drought</w:t>
      </w:r>
      <w:r>
        <w:rPr>
          <w:spacing w:val="-14"/>
          <w:w w:val="95"/>
        </w:rPr>
        <w:t xml:space="preserve"> </w:t>
      </w:r>
      <w:r>
        <w:rPr>
          <w:w w:val="95"/>
        </w:rPr>
        <w:t>cycle.</w:t>
      </w:r>
    </w:p>
    <w:p w:rsidR="002C1123" w:rsidRDefault="00F22F94">
      <w:pPr>
        <w:pStyle w:val="BodyText"/>
        <w:spacing w:before="149" w:line="249" w:lineRule="auto"/>
        <w:ind w:left="492" w:right="41"/>
      </w:pPr>
      <w:r>
        <w:rPr>
          <w:spacing w:val="-2"/>
        </w:rPr>
        <w:t>NSW</w:t>
      </w:r>
      <w:r>
        <w:rPr>
          <w:spacing w:val="-10"/>
        </w:rPr>
        <w:t xml:space="preserve"> </w:t>
      </w:r>
      <w:r>
        <w:rPr>
          <w:spacing w:val="-2"/>
        </w:rPr>
        <w:t>Office</w:t>
      </w:r>
      <w:r>
        <w:rPr>
          <w:spacing w:val="-10"/>
        </w:rPr>
        <w:t xml:space="preserve"> </w:t>
      </w:r>
      <w:r>
        <w:rPr>
          <w:spacing w:val="-2"/>
        </w:rPr>
        <w:t>of</w:t>
      </w:r>
      <w:r>
        <w:rPr>
          <w:spacing w:val="-10"/>
        </w:rPr>
        <w:t xml:space="preserve"> </w:t>
      </w:r>
      <w:r>
        <w:rPr>
          <w:spacing w:val="-2"/>
        </w:rPr>
        <w:t>Water</w:t>
      </w:r>
      <w:r>
        <w:rPr>
          <w:spacing w:val="-10"/>
        </w:rPr>
        <w:t xml:space="preserve"> </w:t>
      </w:r>
      <w:r>
        <w:rPr>
          <w:spacing w:val="-2"/>
        </w:rPr>
        <w:t>estimates</w:t>
      </w:r>
      <w:r>
        <w:rPr>
          <w:spacing w:val="-10"/>
        </w:rPr>
        <w:t xml:space="preserve"> </w:t>
      </w:r>
      <w:r>
        <w:rPr>
          <w:spacing w:val="-2"/>
        </w:rPr>
        <w:t>that</w:t>
      </w:r>
      <w:r>
        <w:rPr>
          <w:spacing w:val="-10"/>
        </w:rPr>
        <w:t xml:space="preserve"> </w:t>
      </w:r>
      <w:r>
        <w:rPr>
          <w:spacing w:val="-2"/>
        </w:rPr>
        <w:t>$2.6</w:t>
      </w:r>
      <w:r>
        <w:rPr>
          <w:spacing w:val="-10"/>
        </w:rPr>
        <w:t xml:space="preserve"> </w:t>
      </w:r>
      <w:r>
        <w:rPr>
          <w:spacing w:val="-2"/>
        </w:rPr>
        <w:t>billion</w:t>
      </w:r>
      <w:r>
        <w:rPr>
          <w:spacing w:val="-10"/>
        </w:rPr>
        <w:t xml:space="preserve"> </w:t>
      </w:r>
      <w:r>
        <w:rPr>
          <w:spacing w:val="-2"/>
        </w:rPr>
        <w:t>may</w:t>
      </w:r>
      <w:r>
        <w:rPr>
          <w:spacing w:val="-10"/>
        </w:rPr>
        <w:t xml:space="preserve"> </w:t>
      </w:r>
      <w:r>
        <w:rPr>
          <w:spacing w:val="-2"/>
        </w:rPr>
        <w:t xml:space="preserve">be </w:t>
      </w:r>
      <w:r>
        <w:t>required</w:t>
      </w:r>
      <w:r>
        <w:rPr>
          <w:spacing w:val="-10"/>
        </w:rPr>
        <w:t xml:space="preserve"> </w:t>
      </w:r>
      <w:r>
        <w:t>for</w:t>
      </w:r>
      <w:r>
        <w:rPr>
          <w:spacing w:val="-10"/>
        </w:rPr>
        <w:t xml:space="preserve"> </w:t>
      </w:r>
      <w:r>
        <w:t>higher</w:t>
      </w:r>
      <w:r>
        <w:rPr>
          <w:spacing w:val="-10"/>
        </w:rPr>
        <w:t xml:space="preserve"> </w:t>
      </w:r>
      <w:r>
        <w:t>economic</w:t>
      </w:r>
      <w:r>
        <w:rPr>
          <w:spacing w:val="-10"/>
        </w:rPr>
        <w:t xml:space="preserve"> </w:t>
      </w:r>
      <w:r>
        <w:t>growth</w:t>
      </w:r>
      <w:r>
        <w:rPr>
          <w:spacing w:val="-10"/>
        </w:rPr>
        <w:t xml:space="preserve"> </w:t>
      </w:r>
      <w:r>
        <w:t>with</w:t>
      </w:r>
      <w:r>
        <w:rPr>
          <w:spacing w:val="-10"/>
        </w:rPr>
        <w:t xml:space="preserve"> </w:t>
      </w:r>
      <w:r>
        <w:t>$1.3</w:t>
      </w:r>
      <w:r>
        <w:rPr>
          <w:spacing w:val="-10"/>
        </w:rPr>
        <w:t xml:space="preserve"> </w:t>
      </w:r>
      <w:r>
        <w:t xml:space="preserve">billion </w:t>
      </w:r>
      <w:r>
        <w:rPr>
          <w:w w:val="95"/>
        </w:rPr>
        <w:t>required</w:t>
      </w:r>
      <w:r>
        <w:rPr>
          <w:spacing w:val="-7"/>
          <w:w w:val="95"/>
        </w:rPr>
        <w:t xml:space="preserve"> </w:t>
      </w:r>
      <w:r>
        <w:rPr>
          <w:w w:val="95"/>
        </w:rPr>
        <w:t>to</w:t>
      </w:r>
      <w:r>
        <w:rPr>
          <w:spacing w:val="-7"/>
          <w:w w:val="95"/>
        </w:rPr>
        <w:t xml:space="preserve"> </w:t>
      </w:r>
      <w:r>
        <w:rPr>
          <w:w w:val="95"/>
        </w:rPr>
        <w:t>counter</w:t>
      </w:r>
      <w:r>
        <w:rPr>
          <w:spacing w:val="-7"/>
          <w:w w:val="95"/>
        </w:rPr>
        <w:t xml:space="preserve"> </w:t>
      </w:r>
      <w:r>
        <w:rPr>
          <w:w w:val="95"/>
        </w:rPr>
        <w:t>the</w:t>
      </w:r>
      <w:r>
        <w:rPr>
          <w:spacing w:val="-7"/>
          <w:w w:val="95"/>
        </w:rPr>
        <w:t xml:space="preserve"> </w:t>
      </w:r>
      <w:r>
        <w:rPr>
          <w:w w:val="95"/>
        </w:rPr>
        <w:t>impacts</w:t>
      </w:r>
      <w:r>
        <w:rPr>
          <w:spacing w:val="-7"/>
          <w:w w:val="95"/>
        </w:rPr>
        <w:t xml:space="preserve"> </w:t>
      </w:r>
      <w:r>
        <w:rPr>
          <w:w w:val="95"/>
        </w:rPr>
        <w:t>of</w:t>
      </w:r>
      <w:r>
        <w:rPr>
          <w:spacing w:val="-7"/>
          <w:w w:val="95"/>
        </w:rPr>
        <w:t xml:space="preserve"> </w:t>
      </w:r>
      <w:r>
        <w:rPr>
          <w:w w:val="95"/>
        </w:rPr>
        <w:t>climate</w:t>
      </w:r>
      <w:r>
        <w:rPr>
          <w:spacing w:val="-7"/>
          <w:w w:val="95"/>
        </w:rPr>
        <w:t xml:space="preserve"> </w:t>
      </w:r>
      <w:r>
        <w:rPr>
          <w:w w:val="95"/>
        </w:rPr>
        <w:t>variability</w:t>
      </w:r>
      <w:r>
        <w:rPr>
          <w:spacing w:val="-7"/>
          <w:w w:val="95"/>
        </w:rPr>
        <w:t xml:space="preserve"> </w:t>
      </w:r>
      <w:r>
        <w:rPr>
          <w:w w:val="95"/>
        </w:rPr>
        <w:t xml:space="preserve">over </w:t>
      </w:r>
      <w:r>
        <w:t>30</w:t>
      </w:r>
      <w:r>
        <w:rPr>
          <w:spacing w:val="-14"/>
        </w:rPr>
        <w:t xml:space="preserve"> </w:t>
      </w:r>
      <w:r>
        <w:t>years.</w:t>
      </w:r>
      <w:r>
        <w:rPr>
          <w:spacing w:val="-14"/>
        </w:rPr>
        <w:t xml:space="preserve"> </w:t>
      </w:r>
      <w:r>
        <w:t>This</w:t>
      </w:r>
      <w:r>
        <w:rPr>
          <w:spacing w:val="-14"/>
        </w:rPr>
        <w:t xml:space="preserve"> </w:t>
      </w:r>
      <w:r>
        <w:t>work</w:t>
      </w:r>
      <w:r>
        <w:rPr>
          <w:spacing w:val="-14"/>
        </w:rPr>
        <w:t xml:space="preserve"> </w:t>
      </w:r>
      <w:r>
        <w:t>is</w:t>
      </w:r>
      <w:r>
        <w:rPr>
          <w:spacing w:val="-14"/>
        </w:rPr>
        <w:t xml:space="preserve"> </w:t>
      </w:r>
      <w:r>
        <w:t>in</w:t>
      </w:r>
      <w:r>
        <w:rPr>
          <w:spacing w:val="-14"/>
        </w:rPr>
        <w:t xml:space="preserve"> </w:t>
      </w:r>
      <w:r>
        <w:t>addition</w:t>
      </w:r>
      <w:r>
        <w:rPr>
          <w:spacing w:val="-13"/>
        </w:rPr>
        <w:t xml:space="preserve"> </w:t>
      </w:r>
      <w:r>
        <w:t>to</w:t>
      </w:r>
      <w:r>
        <w:rPr>
          <w:spacing w:val="-14"/>
        </w:rPr>
        <w:t xml:space="preserve"> </w:t>
      </w:r>
      <w:r>
        <w:t>the</w:t>
      </w:r>
      <w:r>
        <w:rPr>
          <w:spacing w:val="-14"/>
        </w:rPr>
        <w:t xml:space="preserve"> </w:t>
      </w:r>
      <w:r>
        <w:t>utilities</w:t>
      </w:r>
      <w:r>
        <w:rPr>
          <w:spacing w:val="-14"/>
        </w:rPr>
        <w:t xml:space="preserve"> </w:t>
      </w:r>
      <w:r>
        <w:t>current 30-year</w:t>
      </w:r>
      <w:r>
        <w:rPr>
          <w:spacing w:val="-12"/>
        </w:rPr>
        <w:t xml:space="preserve"> </w:t>
      </w:r>
      <w:r>
        <w:t>capital</w:t>
      </w:r>
      <w:r>
        <w:rPr>
          <w:spacing w:val="-12"/>
        </w:rPr>
        <w:t xml:space="preserve"> </w:t>
      </w:r>
      <w:r>
        <w:t>program</w:t>
      </w:r>
      <w:r>
        <w:rPr>
          <w:spacing w:val="-13"/>
        </w:rPr>
        <w:t xml:space="preserve"> </w:t>
      </w:r>
      <w:r>
        <w:t>of</w:t>
      </w:r>
      <w:r>
        <w:rPr>
          <w:spacing w:val="-12"/>
        </w:rPr>
        <w:t xml:space="preserve"> </w:t>
      </w:r>
      <w:r>
        <w:t>nearly</w:t>
      </w:r>
      <w:r>
        <w:rPr>
          <w:spacing w:val="-12"/>
        </w:rPr>
        <w:t xml:space="preserve"> </w:t>
      </w:r>
      <w:r>
        <w:t>$11</w:t>
      </w:r>
      <w:r>
        <w:rPr>
          <w:spacing w:val="-12"/>
        </w:rPr>
        <w:t xml:space="preserve"> </w:t>
      </w:r>
      <w:r>
        <w:t>billion</w:t>
      </w:r>
      <w:r>
        <w:rPr>
          <w:position w:val="7"/>
          <w:sz w:val="11"/>
        </w:rPr>
        <w:t>4</w:t>
      </w:r>
      <w:r>
        <w:t>.</w:t>
      </w:r>
    </w:p>
    <w:p w:rsidR="002C1123" w:rsidRDefault="00F22F94">
      <w:pPr>
        <w:pStyle w:val="BodyText"/>
        <w:spacing w:before="145" w:line="249" w:lineRule="auto"/>
        <w:ind w:left="492"/>
      </w:pPr>
      <w:r>
        <w:rPr>
          <w:w w:val="95"/>
        </w:rPr>
        <w:t>A cost benefit analysis and assessment of affordability, impact</w:t>
      </w:r>
      <w:r>
        <w:rPr>
          <w:spacing w:val="-6"/>
          <w:w w:val="95"/>
        </w:rPr>
        <w:t xml:space="preserve"> </w:t>
      </w:r>
      <w:r>
        <w:rPr>
          <w:w w:val="95"/>
        </w:rPr>
        <w:t>on</w:t>
      </w:r>
      <w:r>
        <w:rPr>
          <w:spacing w:val="-6"/>
          <w:w w:val="95"/>
        </w:rPr>
        <w:t xml:space="preserve"> </w:t>
      </w:r>
      <w:r>
        <w:rPr>
          <w:w w:val="95"/>
        </w:rPr>
        <w:t>water</w:t>
      </w:r>
      <w:r>
        <w:rPr>
          <w:spacing w:val="-6"/>
          <w:w w:val="95"/>
        </w:rPr>
        <w:t xml:space="preserve"> </w:t>
      </w:r>
      <w:r>
        <w:rPr>
          <w:w w:val="95"/>
        </w:rPr>
        <w:t>markets</w:t>
      </w:r>
      <w:r>
        <w:rPr>
          <w:spacing w:val="-6"/>
          <w:w w:val="95"/>
        </w:rPr>
        <w:t xml:space="preserve"> </w:t>
      </w:r>
      <w:r>
        <w:rPr>
          <w:w w:val="95"/>
        </w:rPr>
        <w:t>and</w:t>
      </w:r>
      <w:r>
        <w:rPr>
          <w:spacing w:val="-6"/>
          <w:w w:val="95"/>
        </w:rPr>
        <w:t xml:space="preserve"> </w:t>
      </w:r>
      <w:r>
        <w:rPr>
          <w:w w:val="95"/>
        </w:rPr>
        <w:t>"take"</w:t>
      </w:r>
      <w:r>
        <w:rPr>
          <w:spacing w:val="-6"/>
          <w:w w:val="95"/>
        </w:rPr>
        <w:t xml:space="preserve"> </w:t>
      </w:r>
      <w:r>
        <w:rPr>
          <w:w w:val="95"/>
        </w:rPr>
        <w:t>levels</w:t>
      </w:r>
      <w:r>
        <w:rPr>
          <w:spacing w:val="-6"/>
          <w:w w:val="95"/>
        </w:rPr>
        <w:t xml:space="preserve"> </w:t>
      </w:r>
      <w:r>
        <w:rPr>
          <w:w w:val="95"/>
        </w:rPr>
        <w:t>under</w:t>
      </w:r>
      <w:r>
        <w:rPr>
          <w:spacing w:val="-6"/>
          <w:w w:val="95"/>
        </w:rPr>
        <w:t xml:space="preserve"> </w:t>
      </w:r>
      <w:r>
        <w:rPr>
          <w:w w:val="95"/>
        </w:rPr>
        <w:t xml:space="preserve">Federal </w:t>
      </w:r>
      <w:r>
        <w:t>agreements</w:t>
      </w:r>
      <w:r>
        <w:rPr>
          <w:spacing w:val="-9"/>
        </w:rPr>
        <w:t xml:space="preserve"> </w:t>
      </w:r>
      <w:r>
        <w:t>are</w:t>
      </w:r>
      <w:r>
        <w:rPr>
          <w:spacing w:val="-9"/>
        </w:rPr>
        <w:t xml:space="preserve"> </w:t>
      </w:r>
      <w:r>
        <w:t>yet</w:t>
      </w:r>
      <w:r>
        <w:rPr>
          <w:spacing w:val="-9"/>
        </w:rPr>
        <w:t xml:space="preserve"> </w:t>
      </w:r>
      <w:r>
        <w:t>to</w:t>
      </w:r>
      <w:r>
        <w:rPr>
          <w:spacing w:val="-9"/>
        </w:rPr>
        <w:t xml:space="preserve"> </w:t>
      </w:r>
      <w:r>
        <w:t>be</w:t>
      </w:r>
      <w:r>
        <w:rPr>
          <w:spacing w:val="-9"/>
        </w:rPr>
        <w:t xml:space="preserve"> </w:t>
      </w:r>
      <w:r>
        <w:t>carried</w:t>
      </w:r>
      <w:r>
        <w:rPr>
          <w:spacing w:val="-9"/>
        </w:rPr>
        <w:t xml:space="preserve"> </w:t>
      </w:r>
      <w:r>
        <w:t>out</w:t>
      </w:r>
      <w:r>
        <w:rPr>
          <w:spacing w:val="-9"/>
        </w:rPr>
        <w:t xml:space="preserve"> </w:t>
      </w:r>
      <w:r>
        <w:t>for</w:t>
      </w:r>
      <w:r>
        <w:rPr>
          <w:spacing w:val="-9"/>
        </w:rPr>
        <w:t xml:space="preserve"> </w:t>
      </w:r>
      <w:r>
        <w:t>this</w:t>
      </w:r>
      <w:r>
        <w:rPr>
          <w:spacing w:val="-9"/>
        </w:rPr>
        <w:t xml:space="preserve"> </w:t>
      </w:r>
      <w:r>
        <w:t>work.</w:t>
      </w:r>
    </w:p>
    <w:p w:rsidR="002C1123" w:rsidRDefault="00F22F94">
      <w:pPr>
        <w:pStyle w:val="BodyText"/>
        <w:spacing w:before="144" w:line="249" w:lineRule="auto"/>
        <w:ind w:left="492"/>
      </w:pPr>
      <w:r>
        <w:rPr>
          <w:w w:val="95"/>
        </w:rPr>
        <w:t xml:space="preserve">The Government is considering a number of dams for </w:t>
      </w:r>
      <w:r>
        <w:rPr>
          <w:spacing w:val="-2"/>
          <w:w w:val="95"/>
        </w:rPr>
        <w:t>urban</w:t>
      </w:r>
      <w:r>
        <w:rPr>
          <w:spacing w:val="-4"/>
          <w:w w:val="95"/>
        </w:rPr>
        <w:t xml:space="preserve"> </w:t>
      </w:r>
      <w:r>
        <w:rPr>
          <w:spacing w:val="-2"/>
          <w:w w:val="95"/>
        </w:rPr>
        <w:t>and</w:t>
      </w:r>
      <w:r>
        <w:rPr>
          <w:spacing w:val="-4"/>
          <w:w w:val="95"/>
        </w:rPr>
        <w:t xml:space="preserve"> </w:t>
      </w:r>
      <w:r>
        <w:rPr>
          <w:spacing w:val="-2"/>
          <w:w w:val="95"/>
        </w:rPr>
        <w:t>industrial</w:t>
      </w:r>
      <w:r>
        <w:rPr>
          <w:spacing w:val="-4"/>
          <w:w w:val="95"/>
        </w:rPr>
        <w:t xml:space="preserve"> </w:t>
      </w:r>
      <w:r>
        <w:rPr>
          <w:spacing w:val="-2"/>
          <w:w w:val="95"/>
        </w:rPr>
        <w:t>demand</w:t>
      </w:r>
      <w:r>
        <w:rPr>
          <w:spacing w:val="-4"/>
          <w:w w:val="95"/>
        </w:rPr>
        <w:t xml:space="preserve"> </w:t>
      </w:r>
      <w:r>
        <w:rPr>
          <w:spacing w:val="-2"/>
          <w:w w:val="95"/>
        </w:rPr>
        <w:t>in</w:t>
      </w:r>
      <w:r>
        <w:rPr>
          <w:spacing w:val="-4"/>
          <w:w w:val="95"/>
        </w:rPr>
        <w:t xml:space="preserve"> </w:t>
      </w:r>
      <w:r>
        <w:rPr>
          <w:spacing w:val="-2"/>
          <w:w w:val="95"/>
        </w:rPr>
        <w:t>regional</w:t>
      </w:r>
      <w:r>
        <w:rPr>
          <w:spacing w:val="-4"/>
          <w:w w:val="95"/>
        </w:rPr>
        <w:t xml:space="preserve"> </w:t>
      </w:r>
      <w:r>
        <w:rPr>
          <w:spacing w:val="-2"/>
          <w:w w:val="95"/>
        </w:rPr>
        <w:t>centres</w:t>
      </w:r>
      <w:r>
        <w:rPr>
          <w:spacing w:val="-4"/>
          <w:w w:val="95"/>
        </w:rPr>
        <w:t xml:space="preserve"> </w:t>
      </w:r>
      <w:r>
        <w:rPr>
          <w:spacing w:val="-2"/>
          <w:w w:val="95"/>
        </w:rPr>
        <w:t>including:</w:t>
      </w:r>
    </w:p>
    <w:p w:rsidR="002C1123" w:rsidRDefault="00F22F94">
      <w:pPr>
        <w:pStyle w:val="ListParagraph"/>
        <w:numPr>
          <w:ilvl w:val="0"/>
          <w:numId w:val="51"/>
        </w:numPr>
        <w:tabs>
          <w:tab w:val="left" w:pos="776"/>
        </w:tabs>
        <w:spacing w:before="131"/>
        <w:rPr>
          <w:sz w:val="20"/>
        </w:rPr>
      </w:pPr>
      <w:r>
        <w:rPr>
          <w:w w:val="95"/>
          <w:sz w:val="20"/>
        </w:rPr>
        <w:t>Lostock</w:t>
      </w:r>
      <w:r>
        <w:rPr>
          <w:spacing w:val="-4"/>
          <w:w w:val="95"/>
          <w:sz w:val="20"/>
        </w:rPr>
        <w:t xml:space="preserve"> </w:t>
      </w:r>
      <w:r>
        <w:rPr>
          <w:w w:val="95"/>
          <w:sz w:val="20"/>
        </w:rPr>
        <w:t>Dam</w:t>
      </w:r>
      <w:r>
        <w:rPr>
          <w:spacing w:val="-4"/>
          <w:w w:val="95"/>
          <w:sz w:val="20"/>
        </w:rPr>
        <w:t xml:space="preserve"> </w:t>
      </w:r>
      <w:r>
        <w:rPr>
          <w:w w:val="95"/>
          <w:sz w:val="20"/>
        </w:rPr>
        <w:t>augmentation</w:t>
      </w:r>
      <w:r>
        <w:rPr>
          <w:spacing w:val="-3"/>
          <w:w w:val="95"/>
          <w:sz w:val="20"/>
        </w:rPr>
        <w:t xml:space="preserve"> </w:t>
      </w:r>
      <w:r>
        <w:rPr>
          <w:w w:val="95"/>
          <w:sz w:val="20"/>
        </w:rPr>
        <w:t>in</w:t>
      </w:r>
      <w:r>
        <w:rPr>
          <w:spacing w:val="-3"/>
          <w:w w:val="95"/>
          <w:sz w:val="20"/>
        </w:rPr>
        <w:t xml:space="preserve"> </w:t>
      </w:r>
      <w:r>
        <w:rPr>
          <w:w w:val="95"/>
          <w:sz w:val="20"/>
        </w:rPr>
        <w:t>the</w:t>
      </w:r>
      <w:r>
        <w:rPr>
          <w:spacing w:val="-4"/>
          <w:w w:val="95"/>
          <w:sz w:val="20"/>
        </w:rPr>
        <w:t xml:space="preserve"> </w:t>
      </w:r>
      <w:r>
        <w:rPr>
          <w:w w:val="95"/>
          <w:sz w:val="20"/>
        </w:rPr>
        <w:t>Hunter</w:t>
      </w:r>
      <w:r>
        <w:rPr>
          <w:spacing w:val="-3"/>
          <w:w w:val="95"/>
          <w:sz w:val="20"/>
        </w:rPr>
        <w:t xml:space="preserve"> </w:t>
      </w:r>
      <w:r>
        <w:rPr>
          <w:spacing w:val="-2"/>
          <w:w w:val="95"/>
          <w:sz w:val="20"/>
        </w:rPr>
        <w:t>catchment</w:t>
      </w:r>
    </w:p>
    <w:p w:rsidR="002C1123" w:rsidRDefault="00F22F94">
      <w:pPr>
        <w:pStyle w:val="ListParagraph"/>
        <w:numPr>
          <w:ilvl w:val="0"/>
          <w:numId w:val="51"/>
        </w:numPr>
        <w:tabs>
          <w:tab w:val="left" w:pos="776"/>
        </w:tabs>
        <w:spacing w:before="140"/>
        <w:rPr>
          <w:sz w:val="20"/>
        </w:rPr>
      </w:pPr>
      <w:r>
        <w:rPr>
          <w:w w:val="90"/>
          <w:sz w:val="20"/>
        </w:rPr>
        <w:t>a</w:t>
      </w:r>
      <w:r>
        <w:rPr>
          <w:spacing w:val="-11"/>
          <w:w w:val="90"/>
          <w:sz w:val="20"/>
        </w:rPr>
        <w:t xml:space="preserve"> </w:t>
      </w:r>
      <w:r>
        <w:rPr>
          <w:w w:val="90"/>
          <w:sz w:val="20"/>
        </w:rPr>
        <w:t>second</w:t>
      </w:r>
      <w:r>
        <w:rPr>
          <w:spacing w:val="-10"/>
          <w:w w:val="90"/>
          <w:sz w:val="20"/>
        </w:rPr>
        <w:t xml:space="preserve"> </w:t>
      </w:r>
      <w:r>
        <w:rPr>
          <w:w w:val="90"/>
          <w:sz w:val="20"/>
        </w:rPr>
        <w:t>Fish</w:t>
      </w:r>
      <w:r>
        <w:rPr>
          <w:spacing w:val="-10"/>
          <w:w w:val="90"/>
          <w:sz w:val="20"/>
        </w:rPr>
        <w:t xml:space="preserve"> </w:t>
      </w:r>
      <w:r>
        <w:rPr>
          <w:w w:val="90"/>
          <w:sz w:val="20"/>
        </w:rPr>
        <w:t>River</w:t>
      </w:r>
      <w:r>
        <w:rPr>
          <w:spacing w:val="-10"/>
          <w:w w:val="90"/>
          <w:sz w:val="20"/>
        </w:rPr>
        <w:t xml:space="preserve"> </w:t>
      </w:r>
      <w:r>
        <w:rPr>
          <w:w w:val="90"/>
          <w:sz w:val="20"/>
        </w:rPr>
        <w:t>storage</w:t>
      </w:r>
      <w:r>
        <w:rPr>
          <w:spacing w:val="-10"/>
          <w:w w:val="90"/>
          <w:sz w:val="20"/>
        </w:rPr>
        <w:t xml:space="preserve"> </w:t>
      </w:r>
      <w:r>
        <w:rPr>
          <w:w w:val="90"/>
          <w:sz w:val="20"/>
        </w:rPr>
        <w:t>in</w:t>
      </w:r>
      <w:r>
        <w:rPr>
          <w:spacing w:val="-10"/>
          <w:w w:val="90"/>
          <w:sz w:val="20"/>
        </w:rPr>
        <w:t xml:space="preserve"> </w:t>
      </w:r>
      <w:r>
        <w:rPr>
          <w:w w:val="90"/>
          <w:sz w:val="20"/>
        </w:rPr>
        <w:t>the</w:t>
      </w:r>
      <w:r>
        <w:rPr>
          <w:spacing w:val="-10"/>
          <w:w w:val="90"/>
          <w:sz w:val="20"/>
        </w:rPr>
        <w:t xml:space="preserve"> </w:t>
      </w:r>
      <w:r>
        <w:rPr>
          <w:w w:val="90"/>
          <w:sz w:val="20"/>
        </w:rPr>
        <w:t>Macquarie</w:t>
      </w:r>
      <w:r>
        <w:rPr>
          <w:spacing w:val="-10"/>
          <w:w w:val="90"/>
          <w:sz w:val="20"/>
        </w:rPr>
        <w:t xml:space="preserve"> </w:t>
      </w:r>
      <w:r>
        <w:rPr>
          <w:spacing w:val="-2"/>
          <w:w w:val="90"/>
          <w:sz w:val="20"/>
        </w:rPr>
        <w:t>catchment</w:t>
      </w:r>
    </w:p>
    <w:p w:rsidR="002C1123" w:rsidRDefault="00F22F94">
      <w:pPr>
        <w:pStyle w:val="ListParagraph"/>
        <w:numPr>
          <w:ilvl w:val="0"/>
          <w:numId w:val="51"/>
        </w:numPr>
        <w:tabs>
          <w:tab w:val="left" w:pos="776"/>
        </w:tabs>
        <w:spacing w:before="139"/>
        <w:rPr>
          <w:sz w:val="20"/>
        </w:rPr>
      </w:pPr>
      <w:r>
        <w:rPr>
          <w:w w:val="95"/>
          <w:sz w:val="20"/>
        </w:rPr>
        <w:t>a</w:t>
      </w:r>
      <w:r>
        <w:rPr>
          <w:spacing w:val="-3"/>
          <w:w w:val="95"/>
          <w:sz w:val="20"/>
        </w:rPr>
        <w:t xml:space="preserve"> </w:t>
      </w:r>
      <w:r>
        <w:rPr>
          <w:w w:val="95"/>
          <w:sz w:val="20"/>
        </w:rPr>
        <w:t>‘New</w:t>
      </w:r>
      <w:r>
        <w:rPr>
          <w:spacing w:val="-2"/>
          <w:w w:val="95"/>
          <w:sz w:val="20"/>
        </w:rPr>
        <w:t xml:space="preserve"> </w:t>
      </w:r>
      <w:r>
        <w:rPr>
          <w:w w:val="95"/>
          <w:sz w:val="20"/>
        </w:rPr>
        <w:t>Carcoar’</w:t>
      </w:r>
      <w:r>
        <w:rPr>
          <w:spacing w:val="-3"/>
          <w:w w:val="95"/>
          <w:sz w:val="20"/>
        </w:rPr>
        <w:t xml:space="preserve"> </w:t>
      </w:r>
      <w:r>
        <w:rPr>
          <w:w w:val="95"/>
          <w:sz w:val="20"/>
        </w:rPr>
        <w:t>dam</w:t>
      </w:r>
      <w:r>
        <w:rPr>
          <w:spacing w:val="-3"/>
          <w:w w:val="95"/>
          <w:sz w:val="20"/>
        </w:rPr>
        <w:t xml:space="preserve"> </w:t>
      </w:r>
      <w:r>
        <w:rPr>
          <w:w w:val="95"/>
          <w:sz w:val="20"/>
        </w:rPr>
        <w:t>in</w:t>
      </w:r>
      <w:r>
        <w:rPr>
          <w:spacing w:val="-2"/>
          <w:w w:val="95"/>
          <w:sz w:val="20"/>
        </w:rPr>
        <w:t xml:space="preserve"> </w:t>
      </w:r>
      <w:r>
        <w:rPr>
          <w:w w:val="95"/>
          <w:sz w:val="20"/>
        </w:rPr>
        <w:t>the</w:t>
      </w:r>
      <w:r>
        <w:rPr>
          <w:spacing w:val="-3"/>
          <w:w w:val="95"/>
          <w:sz w:val="20"/>
        </w:rPr>
        <w:t xml:space="preserve"> </w:t>
      </w:r>
      <w:r>
        <w:rPr>
          <w:w w:val="95"/>
          <w:sz w:val="20"/>
        </w:rPr>
        <w:t>Lachlan</w:t>
      </w:r>
      <w:r>
        <w:rPr>
          <w:spacing w:val="-2"/>
          <w:w w:val="95"/>
          <w:sz w:val="20"/>
        </w:rPr>
        <w:t xml:space="preserve"> catchment.</w:t>
      </w:r>
    </w:p>
    <w:p w:rsidR="002C1123" w:rsidRDefault="00F22F94">
      <w:pPr>
        <w:pStyle w:val="BodyText"/>
        <w:spacing w:before="152" w:line="249" w:lineRule="auto"/>
        <w:ind w:left="492"/>
      </w:pPr>
      <w:r>
        <w:rPr>
          <w:w w:val="95"/>
        </w:rPr>
        <w:t>These</w:t>
      </w:r>
      <w:r>
        <w:rPr>
          <w:spacing w:val="-3"/>
          <w:w w:val="95"/>
        </w:rPr>
        <w:t xml:space="preserve"> </w:t>
      </w:r>
      <w:r>
        <w:rPr>
          <w:w w:val="95"/>
        </w:rPr>
        <w:t>projects</w:t>
      </w:r>
      <w:r>
        <w:rPr>
          <w:spacing w:val="-3"/>
          <w:w w:val="95"/>
        </w:rPr>
        <w:t xml:space="preserve"> </w:t>
      </w:r>
      <w:r>
        <w:rPr>
          <w:w w:val="95"/>
        </w:rPr>
        <w:t>are</w:t>
      </w:r>
      <w:r>
        <w:rPr>
          <w:spacing w:val="-3"/>
          <w:w w:val="95"/>
        </w:rPr>
        <w:t xml:space="preserve"> </w:t>
      </w:r>
      <w:r>
        <w:rPr>
          <w:w w:val="95"/>
        </w:rPr>
        <w:t>yet</w:t>
      </w:r>
      <w:r>
        <w:rPr>
          <w:spacing w:val="-3"/>
          <w:w w:val="95"/>
        </w:rPr>
        <w:t xml:space="preserve"> </w:t>
      </w:r>
      <w:r>
        <w:rPr>
          <w:w w:val="95"/>
        </w:rPr>
        <w:t>to</w:t>
      </w:r>
      <w:r>
        <w:rPr>
          <w:spacing w:val="-3"/>
          <w:w w:val="95"/>
        </w:rPr>
        <w:t xml:space="preserve"> </w:t>
      </w:r>
      <w:r>
        <w:rPr>
          <w:w w:val="95"/>
        </w:rPr>
        <w:t>be</w:t>
      </w:r>
      <w:r>
        <w:rPr>
          <w:spacing w:val="-3"/>
          <w:w w:val="95"/>
        </w:rPr>
        <w:t xml:space="preserve"> </w:t>
      </w:r>
      <w:r>
        <w:rPr>
          <w:w w:val="95"/>
        </w:rPr>
        <w:t>appraised</w:t>
      </w:r>
      <w:r>
        <w:rPr>
          <w:spacing w:val="-3"/>
          <w:w w:val="95"/>
        </w:rPr>
        <w:t xml:space="preserve"> </w:t>
      </w:r>
      <w:r>
        <w:rPr>
          <w:w w:val="95"/>
        </w:rPr>
        <w:t>and</w:t>
      </w:r>
      <w:r>
        <w:rPr>
          <w:spacing w:val="-3"/>
          <w:w w:val="95"/>
        </w:rPr>
        <w:t xml:space="preserve"> </w:t>
      </w:r>
      <w:r>
        <w:rPr>
          <w:w w:val="95"/>
        </w:rPr>
        <w:t xml:space="preserve">considered </w:t>
      </w:r>
      <w:r>
        <w:t>for</w:t>
      </w:r>
      <w:r>
        <w:rPr>
          <w:spacing w:val="-11"/>
        </w:rPr>
        <w:t xml:space="preserve"> </w:t>
      </w:r>
      <w:r>
        <w:t>funding.</w:t>
      </w:r>
    </w:p>
    <w:p w:rsidR="002C1123" w:rsidRDefault="002C1123">
      <w:pPr>
        <w:pStyle w:val="BodyText"/>
      </w:pPr>
    </w:p>
    <w:p w:rsidR="002C1123" w:rsidRDefault="002060EF">
      <w:pPr>
        <w:pStyle w:val="BodyText"/>
        <w:spacing w:before="3"/>
        <w:rPr>
          <w:sz w:val="18"/>
        </w:rPr>
      </w:pPr>
      <w:r>
        <w:pict>
          <v:shape id="docshape2217" o:spid="_x0000_s1817" style="position:absolute;margin-left:49.6pt;margin-top:11.75pt;width:1in;height:.1pt;z-index:-251340800;mso-wrap-distance-left:0;mso-wrap-distance-right:0;mso-position-horizontal-relative:page" coordorigin="992,235" coordsize="1440,0" path="m992,235r1440,e" filled="f" strokecolor="#9c9c9d" strokeweight=".5pt">
            <v:path arrowok="t"/>
            <w10:wrap type="topAndBottom" anchorx="page"/>
          </v:shape>
        </w:pict>
      </w:r>
    </w:p>
    <w:p w:rsidR="002C1123" w:rsidRDefault="00F22F94">
      <w:pPr>
        <w:pStyle w:val="ListParagraph"/>
        <w:numPr>
          <w:ilvl w:val="3"/>
          <w:numId w:val="57"/>
        </w:numPr>
        <w:tabs>
          <w:tab w:val="left" w:pos="722"/>
        </w:tabs>
        <w:spacing w:before="23"/>
        <w:ind w:left="721" w:hanging="230"/>
        <w:jc w:val="left"/>
        <w:rPr>
          <w:sz w:val="14"/>
        </w:rPr>
      </w:pPr>
      <w:r>
        <w:rPr>
          <w:w w:val="95"/>
          <w:sz w:val="14"/>
        </w:rPr>
        <w:t>NSW</w:t>
      </w:r>
      <w:r>
        <w:rPr>
          <w:spacing w:val="-3"/>
          <w:w w:val="95"/>
          <w:sz w:val="14"/>
        </w:rPr>
        <w:t xml:space="preserve"> </w:t>
      </w:r>
      <w:r>
        <w:rPr>
          <w:w w:val="95"/>
          <w:sz w:val="14"/>
        </w:rPr>
        <w:t>Office</w:t>
      </w:r>
      <w:r>
        <w:rPr>
          <w:spacing w:val="-2"/>
          <w:w w:val="95"/>
          <w:sz w:val="14"/>
        </w:rPr>
        <w:t xml:space="preserve"> </w:t>
      </w:r>
      <w:r>
        <w:rPr>
          <w:w w:val="95"/>
          <w:sz w:val="14"/>
        </w:rPr>
        <w:t>of</w:t>
      </w:r>
      <w:r>
        <w:rPr>
          <w:spacing w:val="-2"/>
          <w:w w:val="95"/>
          <w:sz w:val="14"/>
        </w:rPr>
        <w:t xml:space="preserve"> Water.</w:t>
      </w:r>
    </w:p>
    <w:p w:rsidR="002C1123" w:rsidRDefault="00F22F94">
      <w:pPr>
        <w:pStyle w:val="BodyText"/>
        <w:spacing w:before="106" w:line="249" w:lineRule="auto"/>
        <w:ind w:left="202" w:right="-4"/>
      </w:pPr>
      <w:r>
        <w:br w:type="column"/>
      </w:r>
      <w:r>
        <w:t>Infrastructure</w:t>
      </w:r>
      <w:r>
        <w:rPr>
          <w:spacing w:val="-14"/>
        </w:rPr>
        <w:t xml:space="preserve"> </w:t>
      </w:r>
      <w:r>
        <w:t>NSW</w:t>
      </w:r>
      <w:r>
        <w:rPr>
          <w:spacing w:val="-14"/>
        </w:rPr>
        <w:t xml:space="preserve"> </w:t>
      </w:r>
      <w:r>
        <w:t>has</w:t>
      </w:r>
      <w:r>
        <w:rPr>
          <w:spacing w:val="-14"/>
        </w:rPr>
        <w:t xml:space="preserve"> </w:t>
      </w:r>
      <w:r>
        <w:t>noted</w:t>
      </w:r>
      <w:r>
        <w:rPr>
          <w:spacing w:val="-14"/>
        </w:rPr>
        <w:t xml:space="preserve"> </w:t>
      </w:r>
      <w:r>
        <w:t>that</w:t>
      </w:r>
      <w:r>
        <w:rPr>
          <w:spacing w:val="-14"/>
        </w:rPr>
        <w:t xml:space="preserve"> </w:t>
      </w:r>
      <w:r>
        <w:t>responsibilities</w:t>
      </w:r>
      <w:r>
        <w:rPr>
          <w:spacing w:val="-14"/>
        </w:rPr>
        <w:t xml:space="preserve"> </w:t>
      </w:r>
      <w:r>
        <w:t xml:space="preserve">for </w:t>
      </w:r>
      <w:r>
        <w:rPr>
          <w:w w:val="95"/>
        </w:rPr>
        <w:t>dams</w:t>
      </w:r>
      <w:r>
        <w:rPr>
          <w:spacing w:val="-3"/>
          <w:w w:val="95"/>
        </w:rPr>
        <w:t xml:space="preserve"> </w:t>
      </w:r>
      <w:r>
        <w:rPr>
          <w:w w:val="95"/>
        </w:rPr>
        <w:t>are</w:t>
      </w:r>
      <w:r>
        <w:rPr>
          <w:spacing w:val="-3"/>
          <w:w w:val="95"/>
        </w:rPr>
        <w:t xml:space="preserve"> </w:t>
      </w:r>
      <w:r>
        <w:rPr>
          <w:w w:val="95"/>
        </w:rPr>
        <w:t>disaggregated</w:t>
      </w:r>
      <w:r>
        <w:rPr>
          <w:spacing w:val="-3"/>
          <w:w w:val="95"/>
        </w:rPr>
        <w:t xml:space="preserve"> </w:t>
      </w:r>
      <w:r>
        <w:rPr>
          <w:w w:val="95"/>
        </w:rPr>
        <w:t>across</w:t>
      </w:r>
      <w:r>
        <w:rPr>
          <w:spacing w:val="-3"/>
          <w:w w:val="95"/>
        </w:rPr>
        <w:t xml:space="preserve"> </w:t>
      </w:r>
      <w:r>
        <w:rPr>
          <w:w w:val="95"/>
        </w:rPr>
        <w:t>the</w:t>
      </w:r>
      <w:r>
        <w:rPr>
          <w:spacing w:val="-3"/>
          <w:w w:val="95"/>
        </w:rPr>
        <w:t xml:space="preserve"> </w:t>
      </w:r>
      <w:r>
        <w:rPr>
          <w:w w:val="95"/>
        </w:rPr>
        <w:t>sector,</w:t>
      </w:r>
      <w:r>
        <w:rPr>
          <w:spacing w:val="-3"/>
          <w:w w:val="95"/>
        </w:rPr>
        <w:t xml:space="preserve"> </w:t>
      </w:r>
      <w:r>
        <w:rPr>
          <w:w w:val="95"/>
        </w:rPr>
        <w:t>partly</w:t>
      </w:r>
      <w:r>
        <w:rPr>
          <w:spacing w:val="-3"/>
          <w:w w:val="95"/>
        </w:rPr>
        <w:t xml:space="preserve"> </w:t>
      </w:r>
      <w:r>
        <w:rPr>
          <w:w w:val="95"/>
        </w:rPr>
        <w:t>due</w:t>
      </w:r>
      <w:r>
        <w:rPr>
          <w:spacing w:val="-3"/>
          <w:w w:val="95"/>
        </w:rPr>
        <w:t xml:space="preserve"> </w:t>
      </w:r>
      <w:r>
        <w:rPr>
          <w:w w:val="95"/>
        </w:rPr>
        <w:t xml:space="preserve">to </w:t>
      </w:r>
      <w:r>
        <w:t>the</w:t>
      </w:r>
      <w:r>
        <w:rPr>
          <w:spacing w:val="-8"/>
        </w:rPr>
        <w:t xml:space="preserve"> </w:t>
      </w:r>
      <w:r>
        <w:t>previous</w:t>
      </w:r>
      <w:r>
        <w:rPr>
          <w:spacing w:val="-8"/>
        </w:rPr>
        <w:t xml:space="preserve"> </w:t>
      </w:r>
      <w:r>
        <w:t>Government’s</w:t>
      </w:r>
      <w:r>
        <w:rPr>
          <w:spacing w:val="-8"/>
        </w:rPr>
        <w:t xml:space="preserve"> </w:t>
      </w:r>
      <w:r>
        <w:t>‘no</w:t>
      </w:r>
      <w:r>
        <w:rPr>
          <w:spacing w:val="-8"/>
        </w:rPr>
        <w:t xml:space="preserve"> </w:t>
      </w:r>
      <w:r>
        <w:t>new</w:t>
      </w:r>
      <w:r>
        <w:rPr>
          <w:spacing w:val="-8"/>
        </w:rPr>
        <w:t xml:space="preserve"> </w:t>
      </w:r>
      <w:r>
        <w:t>dams’</w:t>
      </w:r>
      <w:r>
        <w:rPr>
          <w:spacing w:val="-8"/>
        </w:rPr>
        <w:t xml:space="preserve"> </w:t>
      </w:r>
      <w:r>
        <w:t>policy.</w:t>
      </w:r>
    </w:p>
    <w:p w:rsidR="002C1123" w:rsidRDefault="00F22F94">
      <w:pPr>
        <w:pStyle w:val="BodyText"/>
        <w:spacing w:before="144" w:line="249" w:lineRule="auto"/>
        <w:ind w:left="202" w:right="195"/>
        <w:jc w:val="both"/>
      </w:pPr>
      <w:r>
        <w:rPr>
          <w:w w:val="90"/>
        </w:rPr>
        <w:t xml:space="preserve">Responsibility is divided between the Metropolitan Water </w:t>
      </w:r>
      <w:r>
        <w:rPr>
          <w:spacing w:val="-2"/>
          <w:w w:val="90"/>
        </w:rPr>
        <w:t xml:space="preserve">Directorate, NSW Office of Water, State Water, local water </w:t>
      </w:r>
      <w:r>
        <w:rPr>
          <w:w w:val="90"/>
        </w:rPr>
        <w:t xml:space="preserve">authorities and advisory bodies including the Dam Safety </w:t>
      </w:r>
      <w:r>
        <w:rPr>
          <w:w w:val="95"/>
        </w:rPr>
        <w:t>Committee</w:t>
      </w:r>
      <w:r>
        <w:rPr>
          <w:spacing w:val="-13"/>
          <w:w w:val="95"/>
        </w:rPr>
        <w:t xml:space="preserve"> </w:t>
      </w:r>
      <w:r>
        <w:rPr>
          <w:w w:val="95"/>
        </w:rPr>
        <w:t>and</w:t>
      </w:r>
      <w:r>
        <w:rPr>
          <w:spacing w:val="-12"/>
          <w:w w:val="95"/>
        </w:rPr>
        <w:t xml:space="preserve"> </w:t>
      </w:r>
      <w:r>
        <w:rPr>
          <w:w w:val="95"/>
        </w:rPr>
        <w:t>the</w:t>
      </w:r>
      <w:r>
        <w:rPr>
          <w:spacing w:val="-12"/>
          <w:w w:val="95"/>
        </w:rPr>
        <w:t xml:space="preserve"> </w:t>
      </w:r>
      <w:r>
        <w:rPr>
          <w:w w:val="95"/>
        </w:rPr>
        <w:t>Office</w:t>
      </w:r>
      <w:r>
        <w:rPr>
          <w:spacing w:val="-12"/>
          <w:w w:val="95"/>
        </w:rPr>
        <w:t xml:space="preserve"> </w:t>
      </w:r>
      <w:r>
        <w:rPr>
          <w:w w:val="95"/>
        </w:rPr>
        <w:t>of</w:t>
      </w:r>
      <w:r>
        <w:rPr>
          <w:spacing w:val="-13"/>
          <w:w w:val="95"/>
        </w:rPr>
        <w:t xml:space="preserve"> </w:t>
      </w:r>
      <w:r>
        <w:rPr>
          <w:w w:val="95"/>
        </w:rPr>
        <w:t>Environment</w:t>
      </w:r>
      <w:r>
        <w:rPr>
          <w:spacing w:val="-12"/>
          <w:w w:val="95"/>
        </w:rPr>
        <w:t xml:space="preserve"> </w:t>
      </w:r>
      <w:r>
        <w:rPr>
          <w:w w:val="95"/>
        </w:rPr>
        <w:t>and</w:t>
      </w:r>
      <w:r>
        <w:rPr>
          <w:spacing w:val="-12"/>
          <w:w w:val="95"/>
        </w:rPr>
        <w:t xml:space="preserve"> </w:t>
      </w:r>
      <w:r>
        <w:rPr>
          <w:w w:val="95"/>
        </w:rPr>
        <w:t>Heritage.</w:t>
      </w:r>
    </w:p>
    <w:p w:rsidR="002C1123" w:rsidRDefault="00F22F94">
      <w:pPr>
        <w:pStyle w:val="BodyText"/>
        <w:spacing w:before="145" w:line="249" w:lineRule="auto"/>
        <w:ind w:left="202" w:right="-4"/>
      </w:pPr>
      <w:r>
        <w:rPr>
          <w:spacing w:val="-2"/>
        </w:rPr>
        <w:t>Development</w:t>
      </w:r>
      <w:r>
        <w:rPr>
          <w:spacing w:val="-3"/>
        </w:rPr>
        <w:t xml:space="preserve"> </w:t>
      </w:r>
      <w:r>
        <w:rPr>
          <w:spacing w:val="-2"/>
        </w:rPr>
        <w:t>of</w:t>
      </w:r>
      <w:r>
        <w:rPr>
          <w:spacing w:val="-3"/>
        </w:rPr>
        <w:t xml:space="preserve"> </w:t>
      </w:r>
      <w:r>
        <w:rPr>
          <w:spacing w:val="-2"/>
        </w:rPr>
        <w:t>a</w:t>
      </w:r>
      <w:r>
        <w:rPr>
          <w:spacing w:val="-3"/>
        </w:rPr>
        <w:t xml:space="preserve"> </w:t>
      </w:r>
      <w:r>
        <w:rPr>
          <w:spacing w:val="-2"/>
        </w:rPr>
        <w:t>comprehensive,</w:t>
      </w:r>
      <w:r>
        <w:rPr>
          <w:spacing w:val="-3"/>
        </w:rPr>
        <w:t xml:space="preserve"> </w:t>
      </w:r>
      <w:r>
        <w:rPr>
          <w:spacing w:val="-2"/>
        </w:rPr>
        <w:t>state-wide</w:t>
      </w:r>
      <w:r>
        <w:rPr>
          <w:spacing w:val="-3"/>
        </w:rPr>
        <w:t xml:space="preserve"> </w:t>
      </w:r>
      <w:r>
        <w:rPr>
          <w:spacing w:val="-2"/>
        </w:rPr>
        <w:t xml:space="preserve">program </w:t>
      </w:r>
      <w:r>
        <w:t>for</w:t>
      </w:r>
      <w:r>
        <w:rPr>
          <w:spacing w:val="-14"/>
        </w:rPr>
        <w:t xml:space="preserve"> </w:t>
      </w:r>
      <w:r>
        <w:t>dams</w:t>
      </w:r>
      <w:r>
        <w:rPr>
          <w:spacing w:val="-14"/>
        </w:rPr>
        <w:t xml:space="preserve"> </w:t>
      </w:r>
      <w:r>
        <w:t>(both</w:t>
      </w:r>
      <w:r>
        <w:rPr>
          <w:spacing w:val="-14"/>
        </w:rPr>
        <w:t xml:space="preserve"> </w:t>
      </w:r>
      <w:r>
        <w:t>water</w:t>
      </w:r>
      <w:r>
        <w:rPr>
          <w:spacing w:val="-14"/>
        </w:rPr>
        <w:t xml:space="preserve"> </w:t>
      </w:r>
      <w:r>
        <w:t>supply</w:t>
      </w:r>
      <w:r>
        <w:rPr>
          <w:spacing w:val="-14"/>
        </w:rPr>
        <w:t xml:space="preserve"> </w:t>
      </w:r>
      <w:r>
        <w:t>and</w:t>
      </w:r>
      <w:r>
        <w:rPr>
          <w:spacing w:val="-14"/>
        </w:rPr>
        <w:t xml:space="preserve"> </w:t>
      </w:r>
      <w:r>
        <w:t>flood</w:t>
      </w:r>
      <w:r>
        <w:rPr>
          <w:spacing w:val="-14"/>
        </w:rPr>
        <w:t xml:space="preserve"> </w:t>
      </w:r>
      <w:r>
        <w:t xml:space="preserve">mitigation </w:t>
      </w:r>
      <w:r>
        <w:rPr>
          <w:w w:val="95"/>
        </w:rPr>
        <w:t>functions)</w:t>
      </w:r>
      <w:r>
        <w:rPr>
          <w:spacing w:val="-8"/>
          <w:w w:val="95"/>
        </w:rPr>
        <w:t xml:space="preserve"> </w:t>
      </w:r>
      <w:r>
        <w:rPr>
          <w:w w:val="95"/>
        </w:rPr>
        <w:t>needs</w:t>
      </w:r>
      <w:r>
        <w:rPr>
          <w:spacing w:val="-8"/>
          <w:w w:val="95"/>
        </w:rPr>
        <w:t xml:space="preserve"> </w:t>
      </w:r>
      <w:r>
        <w:rPr>
          <w:w w:val="95"/>
        </w:rPr>
        <w:t>to</w:t>
      </w:r>
      <w:r>
        <w:rPr>
          <w:spacing w:val="-8"/>
          <w:w w:val="95"/>
        </w:rPr>
        <w:t xml:space="preserve"> </w:t>
      </w:r>
      <w:r>
        <w:rPr>
          <w:w w:val="95"/>
        </w:rPr>
        <w:t>be</w:t>
      </w:r>
      <w:r>
        <w:rPr>
          <w:spacing w:val="-8"/>
          <w:w w:val="95"/>
        </w:rPr>
        <w:t xml:space="preserve"> </w:t>
      </w:r>
      <w:r>
        <w:rPr>
          <w:w w:val="95"/>
        </w:rPr>
        <w:t>scoped,</w:t>
      </w:r>
      <w:r>
        <w:rPr>
          <w:spacing w:val="-8"/>
          <w:w w:val="95"/>
        </w:rPr>
        <w:t xml:space="preserve"> </w:t>
      </w:r>
      <w:r>
        <w:rPr>
          <w:w w:val="95"/>
        </w:rPr>
        <w:t>a</w:t>
      </w:r>
      <w:r>
        <w:rPr>
          <w:spacing w:val="-8"/>
          <w:w w:val="95"/>
        </w:rPr>
        <w:t xml:space="preserve"> </w:t>
      </w:r>
      <w:r>
        <w:rPr>
          <w:w w:val="95"/>
        </w:rPr>
        <w:t>business</w:t>
      </w:r>
      <w:r>
        <w:rPr>
          <w:spacing w:val="-8"/>
          <w:w w:val="95"/>
        </w:rPr>
        <w:t xml:space="preserve"> </w:t>
      </w:r>
      <w:r>
        <w:rPr>
          <w:w w:val="95"/>
        </w:rPr>
        <w:t>case</w:t>
      </w:r>
      <w:r>
        <w:rPr>
          <w:spacing w:val="-8"/>
          <w:w w:val="95"/>
        </w:rPr>
        <w:t xml:space="preserve"> </w:t>
      </w:r>
      <w:r>
        <w:rPr>
          <w:w w:val="95"/>
        </w:rPr>
        <w:t xml:space="preserve">prepared </w:t>
      </w:r>
      <w:r>
        <w:t>and</w:t>
      </w:r>
      <w:r>
        <w:rPr>
          <w:spacing w:val="-14"/>
        </w:rPr>
        <w:t xml:space="preserve"> </w:t>
      </w:r>
      <w:r>
        <w:t>program</w:t>
      </w:r>
      <w:r>
        <w:rPr>
          <w:spacing w:val="-14"/>
        </w:rPr>
        <w:t xml:space="preserve"> </w:t>
      </w:r>
      <w:r>
        <w:t>assessed</w:t>
      </w:r>
      <w:r>
        <w:rPr>
          <w:spacing w:val="-14"/>
        </w:rPr>
        <w:t xml:space="preserve"> </w:t>
      </w:r>
      <w:r>
        <w:t>as</w:t>
      </w:r>
      <w:r>
        <w:rPr>
          <w:spacing w:val="-14"/>
        </w:rPr>
        <w:t xml:space="preserve"> </w:t>
      </w:r>
      <w:r>
        <w:t>a</w:t>
      </w:r>
      <w:r>
        <w:rPr>
          <w:spacing w:val="-14"/>
        </w:rPr>
        <w:t xml:space="preserve"> </w:t>
      </w:r>
      <w:r>
        <w:t>matter</w:t>
      </w:r>
      <w:r>
        <w:rPr>
          <w:spacing w:val="-14"/>
        </w:rPr>
        <w:t xml:space="preserve"> </w:t>
      </w:r>
      <w:r>
        <w:t>of</w:t>
      </w:r>
      <w:r>
        <w:rPr>
          <w:spacing w:val="-14"/>
        </w:rPr>
        <w:t xml:space="preserve"> </w:t>
      </w:r>
      <w:r>
        <w:t>priority.</w:t>
      </w:r>
    </w:p>
    <w:p w:rsidR="002C1123" w:rsidRDefault="002060EF">
      <w:pPr>
        <w:pStyle w:val="BodyText"/>
        <w:spacing w:before="11"/>
        <w:rPr>
          <w:sz w:val="12"/>
        </w:rPr>
      </w:pPr>
      <w:r>
        <w:pict>
          <v:shape id="docshape2218" o:spid="_x0000_s1816" type="#_x0000_t202" style="position:absolute;margin-left:300.95pt;margin-top:8.65pt;width:239pt;height:69.35pt;z-index:-251339776;mso-wrap-distance-left:0;mso-wrap-distance-right:0;mso-position-horizontal-relative:page" fillcolor="#e1e0e1" stroked="f">
            <v:textbox inset="0,0,0,0">
              <w:txbxContent>
                <w:p w:rsidR="00F22F94" w:rsidRDefault="00F22F94">
                  <w:pPr>
                    <w:pStyle w:val="BodyText"/>
                    <w:spacing w:before="68" w:line="249" w:lineRule="auto"/>
                    <w:ind w:left="113" w:right="115"/>
                    <w:rPr>
                      <w:color w:val="000000"/>
                    </w:rPr>
                  </w:pPr>
                  <w:r>
                    <w:rPr>
                      <w:b/>
                      <w:color w:val="00AEEF"/>
                    </w:rPr>
                    <w:t>Recommendation</w:t>
                  </w:r>
                  <w:r>
                    <w:rPr>
                      <w:b/>
                      <w:color w:val="00AEEF"/>
                      <w:spacing w:val="40"/>
                    </w:rPr>
                    <w:t xml:space="preserve"> </w:t>
                  </w:r>
                  <w:r>
                    <w:rPr>
                      <w:color w:val="000000"/>
                    </w:rPr>
                    <w:t xml:space="preserve">Infrastructure NSW </w:t>
                  </w:r>
                  <w:r>
                    <w:rPr>
                      <w:color w:val="000000"/>
                      <w:w w:val="95"/>
                    </w:rPr>
                    <w:t xml:space="preserve">recommends the development of a comprehensive, prioritised program of new and refurbished regional </w:t>
                  </w:r>
                  <w:r>
                    <w:rPr>
                      <w:color w:val="000000"/>
                    </w:rPr>
                    <w:t>dams</w:t>
                  </w:r>
                  <w:r>
                    <w:rPr>
                      <w:color w:val="000000"/>
                      <w:spacing w:val="-4"/>
                    </w:rPr>
                    <w:t xml:space="preserve"> </w:t>
                  </w:r>
                  <w:r>
                    <w:rPr>
                      <w:color w:val="000000"/>
                    </w:rPr>
                    <w:t>throughout</w:t>
                  </w:r>
                  <w:r>
                    <w:rPr>
                      <w:color w:val="000000"/>
                      <w:spacing w:val="-4"/>
                    </w:rPr>
                    <w:t xml:space="preserve"> </w:t>
                  </w:r>
                  <w:r>
                    <w:rPr>
                      <w:color w:val="000000"/>
                    </w:rPr>
                    <w:t>NSW</w:t>
                  </w:r>
                  <w:r>
                    <w:rPr>
                      <w:color w:val="000000"/>
                      <w:spacing w:val="-4"/>
                    </w:rPr>
                    <w:t xml:space="preserve"> </w:t>
                  </w:r>
                  <w:r>
                    <w:rPr>
                      <w:color w:val="000000"/>
                    </w:rPr>
                    <w:t>to</w:t>
                  </w:r>
                  <w:r>
                    <w:rPr>
                      <w:color w:val="000000"/>
                      <w:spacing w:val="-4"/>
                    </w:rPr>
                    <w:t xml:space="preserve"> </w:t>
                  </w:r>
                  <w:r>
                    <w:rPr>
                      <w:color w:val="000000"/>
                    </w:rPr>
                    <w:t>address</w:t>
                  </w:r>
                  <w:r>
                    <w:rPr>
                      <w:color w:val="000000"/>
                      <w:spacing w:val="-4"/>
                    </w:rPr>
                    <w:t xml:space="preserve"> </w:t>
                  </w:r>
                  <w:r>
                    <w:rPr>
                      <w:color w:val="000000"/>
                    </w:rPr>
                    <w:t>the</w:t>
                  </w:r>
                  <w:r>
                    <w:rPr>
                      <w:color w:val="000000"/>
                      <w:spacing w:val="-4"/>
                    </w:rPr>
                    <w:t xml:space="preserve"> </w:t>
                  </w:r>
                  <w:r>
                    <w:rPr>
                      <w:color w:val="000000"/>
                    </w:rPr>
                    <w:t>impacts</w:t>
                  </w:r>
                  <w:r>
                    <w:rPr>
                      <w:color w:val="000000"/>
                      <w:spacing w:val="-4"/>
                    </w:rPr>
                    <w:t xml:space="preserve"> </w:t>
                  </w:r>
                  <w:r>
                    <w:rPr>
                      <w:color w:val="000000"/>
                    </w:rPr>
                    <w:t>of climate</w:t>
                  </w:r>
                  <w:r>
                    <w:rPr>
                      <w:color w:val="000000"/>
                      <w:spacing w:val="-5"/>
                    </w:rPr>
                    <w:t xml:space="preserve"> </w:t>
                  </w:r>
                  <w:r>
                    <w:rPr>
                      <w:color w:val="000000"/>
                    </w:rPr>
                    <w:t>variability</w:t>
                  </w:r>
                  <w:r>
                    <w:rPr>
                      <w:color w:val="000000"/>
                      <w:spacing w:val="-5"/>
                    </w:rPr>
                    <w:t xml:space="preserve"> </w:t>
                  </w:r>
                  <w:r>
                    <w:rPr>
                      <w:color w:val="000000"/>
                    </w:rPr>
                    <w:t>and</w:t>
                  </w:r>
                  <w:r>
                    <w:rPr>
                      <w:color w:val="000000"/>
                      <w:spacing w:val="-5"/>
                    </w:rPr>
                    <w:t xml:space="preserve"> </w:t>
                  </w:r>
                  <w:r>
                    <w:rPr>
                      <w:color w:val="000000"/>
                    </w:rPr>
                    <w:t>drought</w:t>
                  </w:r>
                  <w:r>
                    <w:rPr>
                      <w:color w:val="000000"/>
                      <w:spacing w:val="-5"/>
                    </w:rPr>
                    <w:t xml:space="preserve"> </w:t>
                  </w:r>
                  <w:r>
                    <w:rPr>
                      <w:color w:val="000000"/>
                    </w:rPr>
                    <w:t>scenarios.</w:t>
                  </w:r>
                </w:p>
              </w:txbxContent>
            </v:textbox>
            <w10:wrap type="topAndBottom" anchorx="page"/>
          </v:shape>
        </w:pict>
      </w:r>
    </w:p>
    <w:p w:rsidR="002C1123" w:rsidRDefault="002C1123">
      <w:pPr>
        <w:pStyle w:val="BodyText"/>
        <w:spacing w:before="6"/>
        <w:rPr>
          <w:sz w:val="22"/>
        </w:rPr>
      </w:pPr>
    </w:p>
    <w:p w:rsidR="002C1123" w:rsidRDefault="00F22F94">
      <w:pPr>
        <w:pStyle w:val="Heading5"/>
        <w:numPr>
          <w:ilvl w:val="1"/>
          <w:numId w:val="55"/>
        </w:numPr>
        <w:tabs>
          <w:tab w:val="left" w:pos="804"/>
        </w:tabs>
        <w:spacing w:before="0" w:line="223" w:lineRule="auto"/>
        <w:ind w:left="803" w:right="86"/>
        <w:jc w:val="left"/>
      </w:pPr>
      <w:r>
        <w:rPr>
          <w:color w:val="00AEEF"/>
          <w:spacing w:val="-4"/>
        </w:rPr>
        <w:t>Private</w:t>
      </w:r>
      <w:r>
        <w:rPr>
          <w:color w:val="00AEEF"/>
          <w:spacing w:val="-16"/>
        </w:rPr>
        <w:t xml:space="preserve"> </w:t>
      </w:r>
      <w:r>
        <w:rPr>
          <w:color w:val="00AEEF"/>
          <w:spacing w:val="-4"/>
        </w:rPr>
        <w:t>supply</w:t>
      </w:r>
      <w:r>
        <w:rPr>
          <w:color w:val="00AEEF"/>
          <w:spacing w:val="-15"/>
        </w:rPr>
        <w:t xml:space="preserve"> </w:t>
      </w:r>
      <w:r>
        <w:rPr>
          <w:color w:val="00AEEF"/>
          <w:spacing w:val="-4"/>
        </w:rPr>
        <w:t>of</w:t>
      </w:r>
      <w:r>
        <w:rPr>
          <w:color w:val="00AEEF"/>
          <w:spacing w:val="-16"/>
        </w:rPr>
        <w:t xml:space="preserve"> </w:t>
      </w:r>
      <w:r>
        <w:rPr>
          <w:color w:val="00AEEF"/>
          <w:spacing w:val="-4"/>
        </w:rPr>
        <w:t>water</w:t>
      </w:r>
      <w:r>
        <w:rPr>
          <w:color w:val="00AEEF"/>
          <w:spacing w:val="-15"/>
        </w:rPr>
        <w:t xml:space="preserve"> </w:t>
      </w:r>
      <w:r>
        <w:rPr>
          <w:color w:val="00AEEF"/>
          <w:spacing w:val="-4"/>
        </w:rPr>
        <w:t xml:space="preserve">services </w:t>
      </w:r>
      <w:r>
        <w:rPr>
          <w:color w:val="00AEEF"/>
        </w:rPr>
        <w:t>and connection infrastructure</w:t>
      </w:r>
    </w:p>
    <w:p w:rsidR="002C1123" w:rsidRDefault="00F22F94">
      <w:pPr>
        <w:pStyle w:val="BodyText"/>
        <w:spacing w:before="139" w:line="249" w:lineRule="auto"/>
        <w:ind w:left="202" w:right="-4"/>
      </w:pPr>
      <w:r>
        <w:rPr>
          <w:w w:val="95"/>
        </w:rPr>
        <w:t>A</w:t>
      </w:r>
      <w:r>
        <w:rPr>
          <w:spacing w:val="-6"/>
          <w:w w:val="95"/>
        </w:rPr>
        <w:t xml:space="preserve"> </w:t>
      </w:r>
      <w:r>
        <w:rPr>
          <w:w w:val="95"/>
        </w:rPr>
        <w:t>large</w:t>
      </w:r>
      <w:r>
        <w:rPr>
          <w:spacing w:val="-6"/>
          <w:w w:val="95"/>
        </w:rPr>
        <w:t xml:space="preserve"> </w:t>
      </w:r>
      <w:r>
        <w:rPr>
          <w:w w:val="95"/>
        </w:rPr>
        <w:t>proportion</w:t>
      </w:r>
      <w:r>
        <w:rPr>
          <w:spacing w:val="-6"/>
          <w:w w:val="95"/>
        </w:rPr>
        <w:t xml:space="preserve"> </w:t>
      </w:r>
      <w:r>
        <w:rPr>
          <w:w w:val="95"/>
        </w:rPr>
        <w:t>of</w:t>
      </w:r>
      <w:r>
        <w:rPr>
          <w:spacing w:val="-6"/>
          <w:w w:val="95"/>
        </w:rPr>
        <w:t xml:space="preserve"> </w:t>
      </w:r>
      <w:r>
        <w:rPr>
          <w:w w:val="95"/>
        </w:rPr>
        <w:t>future</w:t>
      </w:r>
      <w:r>
        <w:rPr>
          <w:spacing w:val="-6"/>
          <w:w w:val="95"/>
        </w:rPr>
        <w:t xml:space="preserve"> </w:t>
      </w:r>
      <w:r>
        <w:rPr>
          <w:w w:val="95"/>
        </w:rPr>
        <w:t>investment</w:t>
      </w:r>
      <w:r>
        <w:rPr>
          <w:spacing w:val="-6"/>
          <w:w w:val="95"/>
        </w:rPr>
        <w:t xml:space="preserve"> </w:t>
      </w:r>
      <w:r>
        <w:rPr>
          <w:w w:val="95"/>
        </w:rPr>
        <w:t>in</w:t>
      </w:r>
      <w:r>
        <w:rPr>
          <w:spacing w:val="-6"/>
          <w:w w:val="95"/>
        </w:rPr>
        <w:t xml:space="preserve"> </w:t>
      </w:r>
      <w:r>
        <w:rPr>
          <w:w w:val="95"/>
        </w:rPr>
        <w:t>new</w:t>
      </w:r>
      <w:r>
        <w:rPr>
          <w:spacing w:val="-6"/>
          <w:w w:val="95"/>
        </w:rPr>
        <w:t xml:space="preserve"> </w:t>
      </w:r>
      <w:r>
        <w:rPr>
          <w:w w:val="95"/>
        </w:rPr>
        <w:t xml:space="preserve">reticulation </w:t>
      </w:r>
      <w:r>
        <w:t>and</w:t>
      </w:r>
      <w:r>
        <w:rPr>
          <w:spacing w:val="-10"/>
        </w:rPr>
        <w:t xml:space="preserve"> </w:t>
      </w:r>
      <w:r>
        <w:t>connection</w:t>
      </w:r>
      <w:r>
        <w:rPr>
          <w:spacing w:val="-10"/>
        </w:rPr>
        <w:t xml:space="preserve"> </w:t>
      </w:r>
      <w:r>
        <w:t>is</w:t>
      </w:r>
      <w:r>
        <w:rPr>
          <w:spacing w:val="-10"/>
        </w:rPr>
        <w:t xml:space="preserve"> </w:t>
      </w:r>
      <w:r>
        <w:t>infrastructure</w:t>
      </w:r>
      <w:r>
        <w:rPr>
          <w:spacing w:val="-10"/>
        </w:rPr>
        <w:t xml:space="preserve"> </w:t>
      </w:r>
      <w:r>
        <w:t>in</w:t>
      </w:r>
      <w:r>
        <w:rPr>
          <w:spacing w:val="-10"/>
        </w:rPr>
        <w:t xml:space="preserve"> </w:t>
      </w:r>
      <w:r>
        <w:t>greenfield</w:t>
      </w:r>
      <w:r>
        <w:rPr>
          <w:spacing w:val="-10"/>
        </w:rPr>
        <w:t xml:space="preserve"> </w:t>
      </w:r>
      <w:r>
        <w:t>property and</w:t>
      </w:r>
      <w:r>
        <w:rPr>
          <w:spacing w:val="-10"/>
        </w:rPr>
        <w:t xml:space="preserve"> </w:t>
      </w:r>
      <w:r>
        <w:t>business</w:t>
      </w:r>
      <w:r>
        <w:rPr>
          <w:spacing w:val="-10"/>
        </w:rPr>
        <w:t xml:space="preserve"> </w:t>
      </w:r>
      <w:r>
        <w:t>developments.</w:t>
      </w:r>
      <w:r>
        <w:rPr>
          <w:spacing w:val="-10"/>
        </w:rPr>
        <w:t xml:space="preserve"> </w:t>
      </w:r>
      <w:r>
        <w:t>Competition</w:t>
      </w:r>
      <w:r>
        <w:rPr>
          <w:spacing w:val="-10"/>
        </w:rPr>
        <w:t xml:space="preserve"> </w:t>
      </w:r>
      <w:r>
        <w:t>has</w:t>
      </w:r>
      <w:r>
        <w:rPr>
          <w:spacing w:val="-10"/>
        </w:rPr>
        <w:t xml:space="preserve"> </w:t>
      </w:r>
      <w:r>
        <w:t>been</w:t>
      </w:r>
      <w:r>
        <w:rPr>
          <w:spacing w:val="-10"/>
        </w:rPr>
        <w:t xml:space="preserve"> </w:t>
      </w:r>
      <w:r>
        <w:t>in place</w:t>
      </w:r>
      <w:r>
        <w:rPr>
          <w:spacing w:val="-14"/>
        </w:rPr>
        <w:t xml:space="preserve"> </w:t>
      </w:r>
      <w:r>
        <w:t>since</w:t>
      </w:r>
      <w:r>
        <w:rPr>
          <w:spacing w:val="-14"/>
        </w:rPr>
        <w:t xml:space="preserve"> </w:t>
      </w:r>
      <w:r>
        <w:t>2006</w:t>
      </w:r>
      <w:r>
        <w:rPr>
          <w:spacing w:val="-14"/>
        </w:rPr>
        <w:t xml:space="preserve"> </w:t>
      </w:r>
      <w:r>
        <w:t>under</w:t>
      </w:r>
      <w:r>
        <w:rPr>
          <w:spacing w:val="-14"/>
        </w:rPr>
        <w:t xml:space="preserve"> </w:t>
      </w:r>
      <w:r>
        <w:t>the</w:t>
      </w:r>
      <w:r>
        <w:rPr>
          <w:spacing w:val="-14"/>
        </w:rPr>
        <w:t xml:space="preserve"> </w:t>
      </w:r>
      <w:r>
        <w:rPr>
          <w:i/>
        </w:rPr>
        <w:t>Water</w:t>
      </w:r>
      <w:r>
        <w:rPr>
          <w:i/>
          <w:spacing w:val="-14"/>
        </w:rPr>
        <w:t xml:space="preserve"> </w:t>
      </w:r>
      <w:r>
        <w:rPr>
          <w:i/>
        </w:rPr>
        <w:t>Industry</w:t>
      </w:r>
      <w:r>
        <w:rPr>
          <w:i/>
          <w:spacing w:val="-14"/>
        </w:rPr>
        <w:t xml:space="preserve"> </w:t>
      </w:r>
      <w:r>
        <w:rPr>
          <w:i/>
        </w:rPr>
        <w:t>Competition Act</w:t>
      </w:r>
      <w:r>
        <w:rPr>
          <w:i/>
          <w:spacing w:val="-14"/>
        </w:rPr>
        <w:t xml:space="preserve"> </w:t>
      </w:r>
      <w:r>
        <w:rPr>
          <w:i/>
        </w:rPr>
        <w:t>2006</w:t>
      </w:r>
      <w:r>
        <w:t>.</w:t>
      </w:r>
      <w:r>
        <w:rPr>
          <w:spacing w:val="-14"/>
        </w:rPr>
        <w:t xml:space="preserve"> </w:t>
      </w:r>
      <w:r>
        <w:t>Developers</w:t>
      </w:r>
      <w:r>
        <w:rPr>
          <w:spacing w:val="-14"/>
        </w:rPr>
        <w:t xml:space="preserve"> </w:t>
      </w:r>
      <w:r>
        <w:t>are</w:t>
      </w:r>
      <w:r>
        <w:rPr>
          <w:spacing w:val="-14"/>
        </w:rPr>
        <w:t xml:space="preserve"> </w:t>
      </w:r>
      <w:r>
        <w:t>able</w:t>
      </w:r>
      <w:r>
        <w:rPr>
          <w:spacing w:val="-14"/>
        </w:rPr>
        <w:t xml:space="preserve"> </w:t>
      </w:r>
      <w:r>
        <w:t>to</w:t>
      </w:r>
      <w:r>
        <w:rPr>
          <w:spacing w:val="-14"/>
        </w:rPr>
        <w:t xml:space="preserve"> </w:t>
      </w:r>
      <w:r>
        <w:t>engage</w:t>
      </w:r>
      <w:r>
        <w:rPr>
          <w:spacing w:val="-14"/>
        </w:rPr>
        <w:t xml:space="preserve"> </w:t>
      </w:r>
      <w:r>
        <w:t>with</w:t>
      </w:r>
      <w:r>
        <w:rPr>
          <w:spacing w:val="-14"/>
        </w:rPr>
        <w:t xml:space="preserve"> </w:t>
      </w:r>
      <w:r>
        <w:t>private water</w:t>
      </w:r>
      <w:r>
        <w:rPr>
          <w:spacing w:val="-11"/>
        </w:rPr>
        <w:t xml:space="preserve"> </w:t>
      </w:r>
      <w:r>
        <w:t>utilities</w:t>
      </w:r>
      <w:r>
        <w:rPr>
          <w:spacing w:val="-11"/>
        </w:rPr>
        <w:t xml:space="preserve"> </w:t>
      </w:r>
      <w:r>
        <w:t>to</w:t>
      </w:r>
      <w:r>
        <w:rPr>
          <w:spacing w:val="-11"/>
        </w:rPr>
        <w:t xml:space="preserve"> </w:t>
      </w:r>
      <w:r>
        <w:t>provide</w:t>
      </w:r>
      <w:r>
        <w:rPr>
          <w:spacing w:val="-11"/>
        </w:rPr>
        <w:t xml:space="preserve"> </w:t>
      </w:r>
      <w:r>
        <w:t>decentralised</w:t>
      </w:r>
      <w:r>
        <w:rPr>
          <w:spacing w:val="-11"/>
        </w:rPr>
        <w:t xml:space="preserve"> </w:t>
      </w:r>
      <w:r>
        <w:t>schemes</w:t>
      </w:r>
      <w:r>
        <w:rPr>
          <w:spacing w:val="-11"/>
        </w:rPr>
        <w:t xml:space="preserve"> </w:t>
      </w:r>
      <w:r>
        <w:t xml:space="preserve">to </w:t>
      </w:r>
      <w:r>
        <w:rPr>
          <w:w w:val="95"/>
        </w:rPr>
        <w:t xml:space="preserve">shorten lead times for land release or reduce the cost of </w:t>
      </w:r>
      <w:r>
        <w:t>connection</w:t>
      </w:r>
      <w:r>
        <w:rPr>
          <w:spacing w:val="-11"/>
        </w:rPr>
        <w:t xml:space="preserve"> </w:t>
      </w:r>
      <w:r>
        <w:t>infrastructure.</w:t>
      </w:r>
    </w:p>
    <w:p w:rsidR="002C1123" w:rsidRDefault="00F22F94">
      <w:pPr>
        <w:pStyle w:val="BodyText"/>
        <w:spacing w:before="106"/>
        <w:ind w:left="189"/>
      </w:pPr>
      <w:r>
        <w:br w:type="column"/>
      </w:r>
      <w:r>
        <w:rPr>
          <w:w w:val="90"/>
        </w:rPr>
        <w:t>However</w:t>
      </w:r>
      <w:r>
        <w:rPr>
          <w:spacing w:val="-10"/>
          <w:w w:val="90"/>
        </w:rPr>
        <w:t xml:space="preserve"> </w:t>
      </w:r>
      <w:r>
        <w:rPr>
          <w:w w:val="90"/>
        </w:rPr>
        <w:t>there</w:t>
      </w:r>
      <w:r>
        <w:rPr>
          <w:spacing w:val="-9"/>
          <w:w w:val="90"/>
        </w:rPr>
        <w:t xml:space="preserve"> </w:t>
      </w:r>
      <w:r>
        <w:rPr>
          <w:w w:val="90"/>
        </w:rPr>
        <w:t>are</w:t>
      </w:r>
      <w:r>
        <w:rPr>
          <w:spacing w:val="-9"/>
          <w:w w:val="90"/>
        </w:rPr>
        <w:t xml:space="preserve"> </w:t>
      </w:r>
      <w:r>
        <w:rPr>
          <w:w w:val="90"/>
        </w:rPr>
        <w:t>barriers</w:t>
      </w:r>
      <w:r>
        <w:rPr>
          <w:spacing w:val="-9"/>
          <w:w w:val="90"/>
        </w:rPr>
        <w:t xml:space="preserve"> </w:t>
      </w:r>
      <w:r>
        <w:rPr>
          <w:w w:val="90"/>
        </w:rPr>
        <w:t>to</w:t>
      </w:r>
      <w:r>
        <w:rPr>
          <w:spacing w:val="-10"/>
          <w:w w:val="90"/>
        </w:rPr>
        <w:t xml:space="preserve"> </w:t>
      </w:r>
      <w:r>
        <w:rPr>
          <w:w w:val="90"/>
        </w:rPr>
        <w:t>private</w:t>
      </w:r>
      <w:r>
        <w:rPr>
          <w:spacing w:val="-9"/>
          <w:w w:val="90"/>
        </w:rPr>
        <w:t xml:space="preserve"> </w:t>
      </w:r>
      <w:r>
        <w:rPr>
          <w:w w:val="90"/>
        </w:rPr>
        <w:t>participation</w:t>
      </w:r>
      <w:r>
        <w:rPr>
          <w:spacing w:val="-9"/>
          <w:w w:val="90"/>
        </w:rPr>
        <w:t xml:space="preserve"> </w:t>
      </w:r>
      <w:r>
        <w:rPr>
          <w:spacing w:val="-2"/>
          <w:w w:val="90"/>
        </w:rPr>
        <w:t>including:</w:t>
      </w:r>
    </w:p>
    <w:p w:rsidR="002C1123" w:rsidRDefault="00F22F94">
      <w:pPr>
        <w:pStyle w:val="ListParagraph"/>
        <w:numPr>
          <w:ilvl w:val="0"/>
          <w:numId w:val="50"/>
        </w:numPr>
        <w:tabs>
          <w:tab w:val="left" w:pos="473"/>
        </w:tabs>
        <w:spacing w:before="139" w:line="249" w:lineRule="auto"/>
        <w:ind w:right="1000"/>
        <w:rPr>
          <w:sz w:val="20"/>
        </w:rPr>
      </w:pPr>
      <w:r>
        <w:rPr>
          <w:w w:val="95"/>
          <w:sz w:val="20"/>
        </w:rPr>
        <w:t xml:space="preserve">demand forecasts and urban planning information </w:t>
      </w:r>
      <w:r>
        <w:rPr>
          <w:sz w:val="20"/>
        </w:rPr>
        <w:t>are</w:t>
      </w:r>
      <w:r>
        <w:rPr>
          <w:spacing w:val="-4"/>
          <w:sz w:val="20"/>
        </w:rPr>
        <w:t xml:space="preserve"> </w:t>
      </w:r>
      <w:r>
        <w:rPr>
          <w:sz w:val="20"/>
        </w:rPr>
        <w:t>not</w:t>
      </w:r>
      <w:r>
        <w:rPr>
          <w:spacing w:val="-4"/>
          <w:sz w:val="20"/>
        </w:rPr>
        <w:t xml:space="preserve"> </w:t>
      </w:r>
      <w:r>
        <w:rPr>
          <w:sz w:val="20"/>
        </w:rPr>
        <w:t>generally</w:t>
      </w:r>
      <w:r>
        <w:rPr>
          <w:spacing w:val="-4"/>
          <w:sz w:val="20"/>
        </w:rPr>
        <w:t xml:space="preserve"> </w:t>
      </w:r>
      <w:r>
        <w:rPr>
          <w:sz w:val="20"/>
        </w:rPr>
        <w:t>known</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market</w:t>
      </w:r>
    </w:p>
    <w:p w:rsidR="002C1123" w:rsidRDefault="00F22F94">
      <w:pPr>
        <w:pStyle w:val="ListParagraph"/>
        <w:numPr>
          <w:ilvl w:val="0"/>
          <w:numId w:val="50"/>
        </w:numPr>
        <w:tabs>
          <w:tab w:val="left" w:pos="473"/>
        </w:tabs>
        <w:spacing w:before="131" w:line="249" w:lineRule="auto"/>
        <w:ind w:right="716"/>
        <w:rPr>
          <w:sz w:val="20"/>
        </w:rPr>
      </w:pPr>
      <w:r>
        <w:rPr>
          <w:sz w:val="20"/>
        </w:rPr>
        <w:t>lack</w:t>
      </w:r>
      <w:r>
        <w:rPr>
          <w:spacing w:val="-14"/>
          <w:sz w:val="20"/>
        </w:rPr>
        <w:t xml:space="preserve"> </w:t>
      </w:r>
      <w:r>
        <w:rPr>
          <w:sz w:val="20"/>
        </w:rPr>
        <w:t>of</w:t>
      </w:r>
      <w:r>
        <w:rPr>
          <w:spacing w:val="-14"/>
          <w:sz w:val="20"/>
        </w:rPr>
        <w:t xml:space="preserve"> </w:t>
      </w:r>
      <w:r>
        <w:rPr>
          <w:sz w:val="20"/>
        </w:rPr>
        <w:t>agglomeration</w:t>
      </w:r>
      <w:r>
        <w:rPr>
          <w:spacing w:val="-14"/>
          <w:sz w:val="20"/>
        </w:rPr>
        <w:t xml:space="preserve"> </w:t>
      </w:r>
      <w:r>
        <w:rPr>
          <w:sz w:val="20"/>
        </w:rPr>
        <w:t>of</w:t>
      </w:r>
      <w:r>
        <w:rPr>
          <w:spacing w:val="-14"/>
          <w:sz w:val="20"/>
        </w:rPr>
        <w:t xml:space="preserve"> </w:t>
      </w:r>
      <w:r>
        <w:rPr>
          <w:sz w:val="20"/>
        </w:rPr>
        <w:t>connection</w:t>
      </w:r>
      <w:r>
        <w:rPr>
          <w:spacing w:val="-14"/>
          <w:sz w:val="20"/>
        </w:rPr>
        <w:t xml:space="preserve"> </w:t>
      </w:r>
      <w:r>
        <w:rPr>
          <w:sz w:val="20"/>
        </w:rPr>
        <w:t>sites</w:t>
      </w:r>
      <w:r>
        <w:rPr>
          <w:spacing w:val="-14"/>
          <w:sz w:val="20"/>
        </w:rPr>
        <w:t xml:space="preserve"> </w:t>
      </w:r>
      <w:r>
        <w:rPr>
          <w:sz w:val="20"/>
        </w:rPr>
        <w:t>–</w:t>
      </w:r>
      <w:r>
        <w:rPr>
          <w:spacing w:val="-14"/>
          <w:sz w:val="20"/>
        </w:rPr>
        <w:t xml:space="preserve"> </w:t>
      </w:r>
      <w:r>
        <w:rPr>
          <w:sz w:val="20"/>
        </w:rPr>
        <w:t>a</w:t>
      </w:r>
      <w:r>
        <w:rPr>
          <w:spacing w:val="-14"/>
          <w:sz w:val="20"/>
        </w:rPr>
        <w:t xml:space="preserve"> </w:t>
      </w:r>
      <w:r>
        <w:rPr>
          <w:sz w:val="20"/>
        </w:rPr>
        <w:t xml:space="preserve">private </w:t>
      </w:r>
      <w:r>
        <w:rPr>
          <w:w w:val="95"/>
          <w:sz w:val="20"/>
        </w:rPr>
        <w:t>supplier</w:t>
      </w:r>
      <w:r>
        <w:rPr>
          <w:spacing w:val="-5"/>
          <w:w w:val="95"/>
          <w:sz w:val="20"/>
        </w:rPr>
        <w:t xml:space="preserve"> </w:t>
      </w:r>
      <w:r>
        <w:rPr>
          <w:w w:val="95"/>
          <w:sz w:val="20"/>
        </w:rPr>
        <w:t>requires</w:t>
      </w:r>
      <w:r>
        <w:rPr>
          <w:spacing w:val="-5"/>
          <w:w w:val="95"/>
          <w:sz w:val="20"/>
        </w:rPr>
        <w:t xml:space="preserve"> </w:t>
      </w:r>
      <w:r>
        <w:rPr>
          <w:w w:val="95"/>
          <w:sz w:val="20"/>
        </w:rPr>
        <w:t>around</w:t>
      </w:r>
      <w:r>
        <w:rPr>
          <w:spacing w:val="-5"/>
          <w:w w:val="95"/>
          <w:sz w:val="20"/>
        </w:rPr>
        <w:t xml:space="preserve"> </w:t>
      </w:r>
      <w:r>
        <w:rPr>
          <w:w w:val="95"/>
          <w:sz w:val="20"/>
        </w:rPr>
        <w:t>1,500</w:t>
      </w:r>
      <w:r>
        <w:rPr>
          <w:spacing w:val="-5"/>
          <w:w w:val="95"/>
          <w:sz w:val="20"/>
        </w:rPr>
        <w:t xml:space="preserve"> </w:t>
      </w:r>
      <w:r>
        <w:rPr>
          <w:w w:val="95"/>
          <w:sz w:val="20"/>
        </w:rPr>
        <w:t>customers</w:t>
      </w:r>
      <w:r>
        <w:rPr>
          <w:spacing w:val="-5"/>
          <w:w w:val="95"/>
          <w:sz w:val="20"/>
        </w:rPr>
        <w:t xml:space="preserve"> </w:t>
      </w:r>
      <w:r>
        <w:rPr>
          <w:w w:val="95"/>
          <w:sz w:val="20"/>
        </w:rPr>
        <w:t>in</w:t>
      </w:r>
      <w:r>
        <w:rPr>
          <w:spacing w:val="-5"/>
          <w:w w:val="95"/>
          <w:sz w:val="20"/>
        </w:rPr>
        <w:t xml:space="preserve"> </w:t>
      </w:r>
      <w:r>
        <w:rPr>
          <w:w w:val="95"/>
          <w:sz w:val="20"/>
        </w:rPr>
        <w:t>one</w:t>
      </w:r>
      <w:r>
        <w:rPr>
          <w:spacing w:val="-5"/>
          <w:w w:val="95"/>
          <w:sz w:val="20"/>
        </w:rPr>
        <w:t xml:space="preserve"> </w:t>
      </w:r>
      <w:r>
        <w:rPr>
          <w:w w:val="95"/>
          <w:sz w:val="20"/>
        </w:rPr>
        <w:t xml:space="preserve">area </w:t>
      </w:r>
      <w:r>
        <w:rPr>
          <w:sz w:val="20"/>
        </w:rPr>
        <w:t>to be viable.</w:t>
      </w:r>
    </w:p>
    <w:p w:rsidR="002C1123" w:rsidRDefault="00F22F94">
      <w:pPr>
        <w:pStyle w:val="BodyText"/>
        <w:spacing w:before="144" w:line="249" w:lineRule="auto"/>
        <w:ind w:left="189" w:right="942"/>
        <w:jc w:val="both"/>
      </w:pPr>
      <w:r>
        <w:rPr>
          <w:w w:val="95"/>
        </w:rPr>
        <w:t>The</w:t>
      </w:r>
      <w:r>
        <w:rPr>
          <w:spacing w:val="-2"/>
          <w:w w:val="95"/>
        </w:rPr>
        <w:t xml:space="preserve"> </w:t>
      </w:r>
      <w:r>
        <w:rPr>
          <w:w w:val="95"/>
        </w:rPr>
        <w:t>private</w:t>
      </w:r>
      <w:r>
        <w:rPr>
          <w:spacing w:val="-2"/>
          <w:w w:val="95"/>
        </w:rPr>
        <w:t xml:space="preserve"> </w:t>
      </w:r>
      <w:r>
        <w:rPr>
          <w:w w:val="95"/>
        </w:rPr>
        <w:t>market</w:t>
      </w:r>
      <w:r>
        <w:rPr>
          <w:spacing w:val="-2"/>
          <w:w w:val="95"/>
        </w:rPr>
        <w:t xml:space="preserve"> </w:t>
      </w:r>
      <w:r>
        <w:rPr>
          <w:w w:val="95"/>
        </w:rPr>
        <w:t>has</w:t>
      </w:r>
      <w:r>
        <w:rPr>
          <w:spacing w:val="-2"/>
          <w:w w:val="95"/>
        </w:rPr>
        <w:t xml:space="preserve"> </w:t>
      </w:r>
      <w:r>
        <w:rPr>
          <w:w w:val="95"/>
        </w:rPr>
        <w:t>focussed</w:t>
      </w:r>
      <w:r>
        <w:rPr>
          <w:spacing w:val="-2"/>
          <w:w w:val="95"/>
        </w:rPr>
        <w:t xml:space="preserve"> </w:t>
      </w:r>
      <w:r>
        <w:rPr>
          <w:w w:val="95"/>
        </w:rPr>
        <w:t>over</w:t>
      </w:r>
      <w:r>
        <w:rPr>
          <w:spacing w:val="-2"/>
          <w:w w:val="95"/>
        </w:rPr>
        <w:t xml:space="preserve"> </w:t>
      </w:r>
      <w:r>
        <w:rPr>
          <w:w w:val="95"/>
        </w:rPr>
        <w:t>recent</w:t>
      </w:r>
      <w:r>
        <w:rPr>
          <w:spacing w:val="-2"/>
          <w:w w:val="95"/>
        </w:rPr>
        <w:t xml:space="preserve"> </w:t>
      </w:r>
      <w:r>
        <w:rPr>
          <w:w w:val="95"/>
        </w:rPr>
        <w:t>years</w:t>
      </w:r>
      <w:r>
        <w:rPr>
          <w:spacing w:val="-2"/>
          <w:w w:val="95"/>
        </w:rPr>
        <w:t xml:space="preserve"> </w:t>
      </w:r>
      <w:r>
        <w:rPr>
          <w:w w:val="95"/>
        </w:rPr>
        <w:t>on decentralised</w:t>
      </w:r>
      <w:r>
        <w:rPr>
          <w:spacing w:val="-4"/>
          <w:w w:val="95"/>
        </w:rPr>
        <w:t xml:space="preserve"> </w:t>
      </w:r>
      <w:r>
        <w:rPr>
          <w:w w:val="95"/>
        </w:rPr>
        <w:t>systems</w:t>
      </w:r>
      <w:r>
        <w:rPr>
          <w:spacing w:val="-4"/>
          <w:w w:val="95"/>
        </w:rPr>
        <w:t xml:space="preserve"> </w:t>
      </w:r>
      <w:r>
        <w:rPr>
          <w:w w:val="95"/>
        </w:rPr>
        <w:t>and</w:t>
      </w:r>
      <w:r>
        <w:rPr>
          <w:spacing w:val="-4"/>
          <w:w w:val="95"/>
        </w:rPr>
        <w:t xml:space="preserve"> </w:t>
      </w:r>
      <w:r>
        <w:rPr>
          <w:w w:val="95"/>
        </w:rPr>
        <w:t>provision</w:t>
      </w:r>
      <w:r>
        <w:rPr>
          <w:spacing w:val="-4"/>
          <w:w w:val="95"/>
        </w:rPr>
        <w:t xml:space="preserve"> </w:t>
      </w:r>
      <w:r>
        <w:rPr>
          <w:w w:val="95"/>
        </w:rPr>
        <w:t>of</w:t>
      </w:r>
      <w:r>
        <w:rPr>
          <w:spacing w:val="-4"/>
          <w:w w:val="95"/>
        </w:rPr>
        <w:t xml:space="preserve"> </w:t>
      </w:r>
      <w:r>
        <w:rPr>
          <w:w w:val="95"/>
        </w:rPr>
        <w:t>recycled</w:t>
      </w:r>
      <w:r>
        <w:rPr>
          <w:spacing w:val="-4"/>
          <w:w w:val="95"/>
        </w:rPr>
        <w:t xml:space="preserve"> </w:t>
      </w:r>
      <w:r>
        <w:rPr>
          <w:w w:val="95"/>
        </w:rPr>
        <w:t xml:space="preserve">water </w:t>
      </w:r>
      <w:r>
        <w:t>as a bundled product.</w:t>
      </w:r>
    </w:p>
    <w:p w:rsidR="002C1123" w:rsidRDefault="00F22F94">
      <w:pPr>
        <w:pStyle w:val="BodyText"/>
        <w:spacing w:before="144" w:line="249" w:lineRule="auto"/>
        <w:ind w:left="189" w:right="885"/>
      </w:pPr>
      <w:r>
        <w:t>Infrastructure</w:t>
      </w:r>
      <w:r>
        <w:rPr>
          <w:spacing w:val="-14"/>
        </w:rPr>
        <w:t xml:space="preserve"> </w:t>
      </w:r>
      <w:r>
        <w:t>NSW</w:t>
      </w:r>
      <w:r>
        <w:rPr>
          <w:spacing w:val="-14"/>
        </w:rPr>
        <w:t xml:space="preserve"> </w:t>
      </w:r>
      <w:r>
        <w:t>notes</w:t>
      </w:r>
      <w:r>
        <w:rPr>
          <w:spacing w:val="-14"/>
        </w:rPr>
        <w:t xml:space="preserve"> </w:t>
      </w:r>
      <w:r>
        <w:t>that</w:t>
      </w:r>
      <w:r>
        <w:rPr>
          <w:spacing w:val="-14"/>
        </w:rPr>
        <w:t xml:space="preserve"> </w:t>
      </w:r>
      <w:r>
        <w:t>increased</w:t>
      </w:r>
      <w:r>
        <w:rPr>
          <w:spacing w:val="-14"/>
        </w:rPr>
        <w:t xml:space="preserve"> </w:t>
      </w:r>
      <w:r>
        <w:t>involvement of</w:t>
      </w:r>
      <w:r>
        <w:rPr>
          <w:spacing w:val="-12"/>
        </w:rPr>
        <w:t xml:space="preserve"> </w:t>
      </w:r>
      <w:r>
        <w:t>the</w:t>
      </w:r>
      <w:r>
        <w:rPr>
          <w:spacing w:val="-12"/>
        </w:rPr>
        <w:t xml:space="preserve"> </w:t>
      </w:r>
      <w:r>
        <w:t>private</w:t>
      </w:r>
      <w:r>
        <w:rPr>
          <w:spacing w:val="-12"/>
        </w:rPr>
        <w:t xml:space="preserve"> </w:t>
      </w:r>
      <w:r>
        <w:t>sector</w:t>
      </w:r>
      <w:r>
        <w:rPr>
          <w:spacing w:val="-12"/>
        </w:rPr>
        <w:t xml:space="preserve"> </w:t>
      </w:r>
      <w:r>
        <w:t>potentially</w:t>
      </w:r>
      <w:r>
        <w:rPr>
          <w:spacing w:val="-12"/>
        </w:rPr>
        <w:t xml:space="preserve"> </w:t>
      </w:r>
      <w:r>
        <w:t>changes</w:t>
      </w:r>
      <w:r>
        <w:rPr>
          <w:spacing w:val="-12"/>
        </w:rPr>
        <w:t xml:space="preserve"> </w:t>
      </w:r>
      <w:r>
        <w:t>the</w:t>
      </w:r>
      <w:r>
        <w:rPr>
          <w:spacing w:val="-12"/>
        </w:rPr>
        <w:t xml:space="preserve"> </w:t>
      </w:r>
      <w:r>
        <w:t xml:space="preserve">demand </w:t>
      </w:r>
      <w:r>
        <w:rPr>
          <w:w w:val="95"/>
        </w:rPr>
        <w:t>for</w:t>
      </w:r>
      <w:r>
        <w:rPr>
          <w:spacing w:val="-5"/>
          <w:w w:val="95"/>
        </w:rPr>
        <w:t xml:space="preserve"> </w:t>
      </w:r>
      <w:r>
        <w:rPr>
          <w:w w:val="95"/>
        </w:rPr>
        <w:t>direct</w:t>
      </w:r>
      <w:r>
        <w:rPr>
          <w:spacing w:val="-5"/>
          <w:w w:val="95"/>
        </w:rPr>
        <w:t xml:space="preserve"> </w:t>
      </w:r>
      <w:r>
        <w:rPr>
          <w:w w:val="95"/>
        </w:rPr>
        <w:t>Government</w:t>
      </w:r>
      <w:r>
        <w:rPr>
          <w:spacing w:val="-5"/>
          <w:w w:val="95"/>
        </w:rPr>
        <w:t xml:space="preserve"> </w:t>
      </w:r>
      <w:r>
        <w:rPr>
          <w:w w:val="95"/>
        </w:rPr>
        <w:t>investment</w:t>
      </w:r>
      <w:r>
        <w:rPr>
          <w:spacing w:val="-5"/>
          <w:w w:val="95"/>
        </w:rPr>
        <w:t xml:space="preserve"> </w:t>
      </w:r>
      <w:r>
        <w:rPr>
          <w:w w:val="95"/>
        </w:rPr>
        <w:t>over</w:t>
      </w:r>
      <w:r>
        <w:rPr>
          <w:spacing w:val="-5"/>
          <w:w w:val="95"/>
        </w:rPr>
        <w:t xml:space="preserve"> </w:t>
      </w:r>
      <w:r>
        <w:rPr>
          <w:w w:val="95"/>
        </w:rPr>
        <w:t>the</w:t>
      </w:r>
      <w:r>
        <w:rPr>
          <w:spacing w:val="-5"/>
          <w:w w:val="95"/>
        </w:rPr>
        <w:t xml:space="preserve"> </w:t>
      </w:r>
      <w:r>
        <w:rPr>
          <w:w w:val="95"/>
        </w:rPr>
        <w:t>longer</w:t>
      </w:r>
      <w:r>
        <w:rPr>
          <w:spacing w:val="-5"/>
          <w:w w:val="95"/>
        </w:rPr>
        <w:t xml:space="preserve"> </w:t>
      </w:r>
      <w:r>
        <w:rPr>
          <w:w w:val="95"/>
        </w:rPr>
        <w:t xml:space="preserve">term. </w:t>
      </w:r>
      <w:r>
        <w:t>The</w:t>
      </w:r>
      <w:r>
        <w:rPr>
          <w:spacing w:val="-13"/>
        </w:rPr>
        <w:t xml:space="preserve"> </w:t>
      </w:r>
      <w:r>
        <w:t>NSW</w:t>
      </w:r>
      <w:r>
        <w:rPr>
          <w:spacing w:val="-13"/>
        </w:rPr>
        <w:t xml:space="preserve"> </w:t>
      </w:r>
      <w:r>
        <w:t>Government</w:t>
      </w:r>
      <w:r>
        <w:rPr>
          <w:spacing w:val="-13"/>
        </w:rPr>
        <w:t xml:space="preserve"> </w:t>
      </w:r>
      <w:r>
        <w:t>has</w:t>
      </w:r>
      <w:r>
        <w:rPr>
          <w:spacing w:val="-13"/>
        </w:rPr>
        <w:t xml:space="preserve"> </w:t>
      </w:r>
      <w:r>
        <w:t>announced</w:t>
      </w:r>
      <w:r>
        <w:rPr>
          <w:spacing w:val="-13"/>
        </w:rPr>
        <w:t xml:space="preserve"> </w:t>
      </w:r>
      <w:r>
        <w:t>measures</w:t>
      </w:r>
      <w:r>
        <w:rPr>
          <w:spacing w:val="-13"/>
        </w:rPr>
        <w:t xml:space="preserve"> </w:t>
      </w:r>
      <w:r>
        <w:t>to introduce</w:t>
      </w:r>
      <w:r>
        <w:rPr>
          <w:spacing w:val="-11"/>
        </w:rPr>
        <w:t xml:space="preserve"> </w:t>
      </w:r>
      <w:r>
        <w:t>contestability</w:t>
      </w:r>
      <w:r>
        <w:rPr>
          <w:spacing w:val="-11"/>
        </w:rPr>
        <w:t xml:space="preserve"> </w:t>
      </w:r>
      <w:r>
        <w:t>in</w:t>
      </w:r>
      <w:r>
        <w:rPr>
          <w:spacing w:val="-11"/>
        </w:rPr>
        <w:t xml:space="preserve"> </w:t>
      </w:r>
      <w:r>
        <w:t>the</w:t>
      </w:r>
      <w:r>
        <w:rPr>
          <w:spacing w:val="-11"/>
        </w:rPr>
        <w:t xml:space="preserve"> </w:t>
      </w:r>
      <w:r>
        <w:t>provision</w:t>
      </w:r>
      <w:r>
        <w:rPr>
          <w:spacing w:val="-11"/>
        </w:rPr>
        <w:t xml:space="preserve"> </w:t>
      </w:r>
      <w:r>
        <w:t>of</w:t>
      </w:r>
      <w:r>
        <w:rPr>
          <w:spacing w:val="-11"/>
        </w:rPr>
        <w:t xml:space="preserve"> </w:t>
      </w:r>
      <w:r>
        <w:t>water</w:t>
      </w:r>
      <w:r>
        <w:rPr>
          <w:spacing w:val="-11"/>
        </w:rPr>
        <w:t xml:space="preserve"> </w:t>
      </w:r>
      <w:r>
        <w:t>and road</w:t>
      </w:r>
      <w:r>
        <w:rPr>
          <w:spacing w:val="-11"/>
        </w:rPr>
        <w:t xml:space="preserve"> </w:t>
      </w:r>
      <w:r>
        <w:t>infrastructure</w:t>
      </w:r>
      <w:r>
        <w:rPr>
          <w:spacing w:val="-11"/>
        </w:rPr>
        <w:t xml:space="preserve"> </w:t>
      </w:r>
      <w:r>
        <w:t>required</w:t>
      </w:r>
      <w:r>
        <w:rPr>
          <w:spacing w:val="-11"/>
        </w:rPr>
        <w:t xml:space="preserve"> </w:t>
      </w:r>
      <w:r>
        <w:t>for</w:t>
      </w:r>
      <w:r>
        <w:rPr>
          <w:spacing w:val="-11"/>
        </w:rPr>
        <w:t xml:space="preserve"> </w:t>
      </w:r>
      <w:r>
        <w:t>new</w:t>
      </w:r>
      <w:r>
        <w:rPr>
          <w:spacing w:val="-11"/>
        </w:rPr>
        <w:t xml:space="preserve"> </w:t>
      </w:r>
      <w:r>
        <w:t>developments</w:t>
      </w:r>
    </w:p>
    <w:p w:rsidR="002C1123" w:rsidRDefault="00F22F94">
      <w:pPr>
        <w:pStyle w:val="BodyText"/>
        <w:spacing w:before="5" w:line="249" w:lineRule="auto"/>
        <w:ind w:left="189" w:right="756"/>
      </w:pPr>
      <w:r>
        <w:rPr>
          <w:w w:val="95"/>
        </w:rPr>
        <w:t>(homes</w:t>
      </w:r>
      <w:r>
        <w:rPr>
          <w:spacing w:val="-12"/>
          <w:w w:val="95"/>
        </w:rPr>
        <w:t xml:space="preserve"> </w:t>
      </w:r>
      <w:r>
        <w:rPr>
          <w:w w:val="95"/>
        </w:rPr>
        <w:t>or</w:t>
      </w:r>
      <w:r>
        <w:rPr>
          <w:spacing w:val="-11"/>
          <w:w w:val="95"/>
        </w:rPr>
        <w:t xml:space="preserve"> </w:t>
      </w:r>
      <w:r>
        <w:rPr>
          <w:w w:val="95"/>
        </w:rPr>
        <w:t>businesses).</w:t>
      </w:r>
      <w:r>
        <w:rPr>
          <w:spacing w:val="-11"/>
          <w:w w:val="95"/>
        </w:rPr>
        <w:t xml:space="preserve"> </w:t>
      </w:r>
      <w:r>
        <w:rPr>
          <w:w w:val="95"/>
        </w:rPr>
        <w:t>Contestability</w:t>
      </w:r>
      <w:r>
        <w:rPr>
          <w:spacing w:val="-11"/>
          <w:w w:val="95"/>
        </w:rPr>
        <w:t xml:space="preserve"> </w:t>
      </w:r>
      <w:r>
        <w:rPr>
          <w:w w:val="95"/>
        </w:rPr>
        <w:t>is</w:t>
      </w:r>
      <w:r>
        <w:rPr>
          <w:spacing w:val="-11"/>
          <w:w w:val="95"/>
        </w:rPr>
        <w:t xml:space="preserve"> </w:t>
      </w:r>
      <w:r>
        <w:rPr>
          <w:w w:val="95"/>
        </w:rPr>
        <w:t>already</w:t>
      </w:r>
      <w:r>
        <w:rPr>
          <w:spacing w:val="-11"/>
          <w:w w:val="95"/>
        </w:rPr>
        <w:t xml:space="preserve"> </w:t>
      </w:r>
      <w:r>
        <w:rPr>
          <w:w w:val="95"/>
        </w:rPr>
        <w:t>in</w:t>
      </w:r>
      <w:r>
        <w:rPr>
          <w:spacing w:val="-11"/>
          <w:w w:val="95"/>
        </w:rPr>
        <w:t xml:space="preserve"> </w:t>
      </w:r>
      <w:r>
        <w:rPr>
          <w:w w:val="95"/>
        </w:rPr>
        <w:t xml:space="preserve">place </w:t>
      </w:r>
      <w:r>
        <w:t>for new electricity infrastructure.</w:t>
      </w:r>
    </w:p>
    <w:p w:rsidR="002C1123" w:rsidRDefault="00F22F94">
      <w:pPr>
        <w:pStyle w:val="BodyText"/>
        <w:spacing w:before="143" w:line="249" w:lineRule="auto"/>
        <w:ind w:left="189" w:right="1129"/>
      </w:pPr>
      <w:r>
        <w:t>Road,</w:t>
      </w:r>
      <w:r>
        <w:rPr>
          <w:spacing w:val="-14"/>
        </w:rPr>
        <w:t xml:space="preserve"> </w:t>
      </w:r>
      <w:r>
        <w:t>water</w:t>
      </w:r>
      <w:r>
        <w:rPr>
          <w:spacing w:val="-14"/>
        </w:rPr>
        <w:t xml:space="preserve"> </w:t>
      </w:r>
      <w:r>
        <w:t>and</w:t>
      </w:r>
      <w:r>
        <w:rPr>
          <w:spacing w:val="-14"/>
        </w:rPr>
        <w:t xml:space="preserve"> </w:t>
      </w:r>
      <w:r>
        <w:t>electricity</w:t>
      </w:r>
      <w:r>
        <w:rPr>
          <w:spacing w:val="-14"/>
        </w:rPr>
        <w:t xml:space="preserve"> </w:t>
      </w:r>
      <w:r>
        <w:t>infrastructure</w:t>
      </w:r>
      <w:r>
        <w:rPr>
          <w:spacing w:val="-14"/>
        </w:rPr>
        <w:t xml:space="preserve"> </w:t>
      </w:r>
      <w:r>
        <w:t>accounts for</w:t>
      </w:r>
      <w:r>
        <w:rPr>
          <w:spacing w:val="-8"/>
        </w:rPr>
        <w:t xml:space="preserve"> </w:t>
      </w:r>
      <w:r>
        <w:t>the</w:t>
      </w:r>
      <w:r>
        <w:rPr>
          <w:spacing w:val="-8"/>
        </w:rPr>
        <w:t xml:space="preserve"> </w:t>
      </w:r>
      <w:r>
        <w:t>majority</w:t>
      </w:r>
      <w:r>
        <w:rPr>
          <w:spacing w:val="-8"/>
        </w:rPr>
        <w:t xml:space="preserve"> </w:t>
      </w:r>
      <w:r>
        <w:t>of</w:t>
      </w:r>
      <w:r>
        <w:rPr>
          <w:spacing w:val="-8"/>
        </w:rPr>
        <w:t xml:space="preserve"> </w:t>
      </w:r>
      <w:r>
        <w:t>the</w:t>
      </w:r>
      <w:r>
        <w:rPr>
          <w:spacing w:val="-8"/>
        </w:rPr>
        <w:t xml:space="preserve"> </w:t>
      </w:r>
      <w:r>
        <w:t>increased</w:t>
      </w:r>
      <w:r>
        <w:rPr>
          <w:spacing w:val="-8"/>
        </w:rPr>
        <w:t xml:space="preserve"> </w:t>
      </w:r>
      <w:r>
        <w:t>cost</w:t>
      </w:r>
      <w:r>
        <w:rPr>
          <w:spacing w:val="-8"/>
        </w:rPr>
        <w:t xml:space="preserve"> </w:t>
      </w:r>
      <w:r>
        <w:t>of</w:t>
      </w:r>
      <w:r>
        <w:rPr>
          <w:spacing w:val="-8"/>
        </w:rPr>
        <w:t xml:space="preserve"> </w:t>
      </w:r>
      <w:r>
        <w:t xml:space="preserve">suburban </w:t>
      </w:r>
      <w:r>
        <w:rPr>
          <w:spacing w:val="-2"/>
        </w:rPr>
        <w:t>development.</w:t>
      </w:r>
      <w:r>
        <w:rPr>
          <w:spacing w:val="-5"/>
        </w:rPr>
        <w:t xml:space="preserve"> </w:t>
      </w:r>
      <w:r>
        <w:rPr>
          <w:spacing w:val="-2"/>
        </w:rPr>
        <w:t>Private</w:t>
      </w:r>
      <w:r>
        <w:rPr>
          <w:spacing w:val="-5"/>
        </w:rPr>
        <w:t xml:space="preserve"> </w:t>
      </w:r>
      <w:r>
        <w:rPr>
          <w:spacing w:val="-2"/>
        </w:rPr>
        <w:t>supply</w:t>
      </w:r>
      <w:r>
        <w:rPr>
          <w:spacing w:val="-5"/>
        </w:rPr>
        <w:t xml:space="preserve"> </w:t>
      </w:r>
      <w:r>
        <w:rPr>
          <w:spacing w:val="-2"/>
        </w:rPr>
        <w:t>of</w:t>
      </w:r>
      <w:r>
        <w:rPr>
          <w:spacing w:val="-5"/>
        </w:rPr>
        <w:t xml:space="preserve"> </w:t>
      </w:r>
      <w:r>
        <w:rPr>
          <w:spacing w:val="-2"/>
        </w:rPr>
        <w:t>water</w:t>
      </w:r>
      <w:r>
        <w:rPr>
          <w:spacing w:val="-6"/>
        </w:rPr>
        <w:t xml:space="preserve"> </w:t>
      </w:r>
      <w:r>
        <w:rPr>
          <w:spacing w:val="-2"/>
        </w:rPr>
        <w:t>services</w:t>
      </w:r>
      <w:r>
        <w:rPr>
          <w:spacing w:val="-5"/>
        </w:rPr>
        <w:t xml:space="preserve"> </w:t>
      </w:r>
      <w:r>
        <w:rPr>
          <w:spacing w:val="-2"/>
        </w:rPr>
        <w:t xml:space="preserve">and </w:t>
      </w:r>
      <w:r>
        <w:rPr>
          <w:w w:val="95"/>
        </w:rPr>
        <w:t xml:space="preserve">connection infrastructure is expected to significantly </w:t>
      </w:r>
      <w:r>
        <w:t>lower this cost.</w:t>
      </w:r>
    </w:p>
    <w:p w:rsidR="002C1123" w:rsidRDefault="002C1123">
      <w:pPr>
        <w:pStyle w:val="BodyText"/>
        <w:spacing w:before="8"/>
        <w:rPr>
          <w:sz w:val="23"/>
        </w:rPr>
      </w:pPr>
    </w:p>
    <w:p w:rsidR="002C1123" w:rsidRDefault="00F22F94">
      <w:pPr>
        <w:pStyle w:val="Heading5"/>
        <w:numPr>
          <w:ilvl w:val="1"/>
          <w:numId w:val="55"/>
        </w:numPr>
        <w:tabs>
          <w:tab w:val="left" w:pos="790"/>
        </w:tabs>
        <w:spacing w:before="0"/>
        <w:ind w:left="789"/>
        <w:jc w:val="left"/>
      </w:pPr>
      <w:r>
        <w:rPr>
          <w:color w:val="00AEEF"/>
          <w:w w:val="95"/>
        </w:rPr>
        <w:t>Flood</w:t>
      </w:r>
      <w:r>
        <w:rPr>
          <w:color w:val="00AEEF"/>
          <w:spacing w:val="-3"/>
          <w:w w:val="95"/>
        </w:rPr>
        <w:t xml:space="preserve"> </w:t>
      </w:r>
      <w:r>
        <w:rPr>
          <w:color w:val="00AEEF"/>
          <w:spacing w:val="-2"/>
        </w:rPr>
        <w:t>mitigation</w:t>
      </w:r>
    </w:p>
    <w:p w:rsidR="002C1123" w:rsidRDefault="00F22F94">
      <w:pPr>
        <w:pStyle w:val="Heading6"/>
        <w:numPr>
          <w:ilvl w:val="2"/>
          <w:numId w:val="55"/>
        </w:numPr>
        <w:tabs>
          <w:tab w:val="left" w:pos="785"/>
        </w:tabs>
        <w:spacing w:before="135"/>
        <w:ind w:hanging="596"/>
        <w:jc w:val="left"/>
        <w:rPr>
          <w:color w:val="00AEEF"/>
        </w:rPr>
      </w:pPr>
      <w:r>
        <w:rPr>
          <w:color w:val="00AEEF"/>
          <w:spacing w:val="-2"/>
        </w:rPr>
        <w:t>Protecting</w:t>
      </w:r>
      <w:r>
        <w:rPr>
          <w:color w:val="00AEEF"/>
          <w:spacing w:val="-8"/>
        </w:rPr>
        <w:t xml:space="preserve"> </w:t>
      </w:r>
      <w:r>
        <w:rPr>
          <w:color w:val="00AEEF"/>
          <w:spacing w:val="-2"/>
        </w:rPr>
        <w:t>people</w:t>
      </w:r>
      <w:r>
        <w:rPr>
          <w:color w:val="00AEEF"/>
          <w:spacing w:val="-7"/>
        </w:rPr>
        <w:t xml:space="preserve"> </w:t>
      </w:r>
      <w:r>
        <w:rPr>
          <w:color w:val="00AEEF"/>
          <w:spacing w:val="-2"/>
        </w:rPr>
        <w:t>and</w:t>
      </w:r>
      <w:r>
        <w:rPr>
          <w:color w:val="00AEEF"/>
          <w:spacing w:val="-8"/>
        </w:rPr>
        <w:t xml:space="preserve"> </w:t>
      </w:r>
      <w:r>
        <w:rPr>
          <w:color w:val="00AEEF"/>
          <w:spacing w:val="-2"/>
        </w:rPr>
        <w:t>the</w:t>
      </w:r>
      <w:r>
        <w:rPr>
          <w:color w:val="00AEEF"/>
          <w:spacing w:val="-7"/>
        </w:rPr>
        <w:t xml:space="preserve"> </w:t>
      </w:r>
      <w:r>
        <w:rPr>
          <w:color w:val="00AEEF"/>
          <w:spacing w:val="-2"/>
        </w:rPr>
        <w:t>NSW</w:t>
      </w:r>
      <w:r>
        <w:rPr>
          <w:color w:val="00AEEF"/>
          <w:spacing w:val="-8"/>
        </w:rPr>
        <w:t xml:space="preserve"> </w:t>
      </w:r>
      <w:r>
        <w:rPr>
          <w:color w:val="00AEEF"/>
          <w:spacing w:val="-2"/>
        </w:rPr>
        <w:t>economy</w:t>
      </w:r>
    </w:p>
    <w:p w:rsidR="002C1123" w:rsidRDefault="00F22F94">
      <w:pPr>
        <w:pStyle w:val="BodyText"/>
        <w:spacing w:before="95" w:line="249" w:lineRule="auto"/>
        <w:ind w:left="189" w:right="1062"/>
      </w:pPr>
      <w:r>
        <w:rPr>
          <w:w w:val="95"/>
        </w:rPr>
        <w:t>Just</w:t>
      </w:r>
      <w:r>
        <w:rPr>
          <w:spacing w:val="-6"/>
          <w:w w:val="95"/>
        </w:rPr>
        <w:t xml:space="preserve"> </w:t>
      </w:r>
      <w:r>
        <w:rPr>
          <w:w w:val="95"/>
        </w:rPr>
        <w:t>as</w:t>
      </w:r>
      <w:r>
        <w:rPr>
          <w:spacing w:val="-6"/>
          <w:w w:val="95"/>
        </w:rPr>
        <w:t xml:space="preserve"> </w:t>
      </w:r>
      <w:r>
        <w:rPr>
          <w:w w:val="95"/>
        </w:rPr>
        <w:t>drought</w:t>
      </w:r>
      <w:r>
        <w:rPr>
          <w:spacing w:val="-6"/>
          <w:w w:val="95"/>
        </w:rPr>
        <w:t xml:space="preserve"> </w:t>
      </w:r>
      <w:r>
        <w:rPr>
          <w:w w:val="95"/>
        </w:rPr>
        <w:t>is</w:t>
      </w:r>
      <w:r>
        <w:rPr>
          <w:spacing w:val="-6"/>
          <w:w w:val="95"/>
        </w:rPr>
        <w:t xml:space="preserve"> </w:t>
      </w:r>
      <w:r>
        <w:rPr>
          <w:w w:val="95"/>
        </w:rPr>
        <w:t>a</w:t>
      </w:r>
      <w:r>
        <w:rPr>
          <w:spacing w:val="-6"/>
          <w:w w:val="95"/>
        </w:rPr>
        <w:t xml:space="preserve"> </w:t>
      </w:r>
      <w:r>
        <w:rPr>
          <w:w w:val="95"/>
        </w:rPr>
        <w:t>certainty</w:t>
      </w:r>
      <w:r>
        <w:rPr>
          <w:spacing w:val="-6"/>
          <w:w w:val="95"/>
        </w:rPr>
        <w:t xml:space="preserve"> </w:t>
      </w:r>
      <w:r>
        <w:rPr>
          <w:w w:val="95"/>
        </w:rPr>
        <w:t>in</w:t>
      </w:r>
      <w:r>
        <w:rPr>
          <w:spacing w:val="-6"/>
          <w:w w:val="95"/>
        </w:rPr>
        <w:t xml:space="preserve"> </w:t>
      </w:r>
      <w:r>
        <w:rPr>
          <w:w w:val="95"/>
        </w:rPr>
        <w:t>Australia,</w:t>
      </w:r>
      <w:r>
        <w:rPr>
          <w:spacing w:val="-6"/>
          <w:w w:val="95"/>
        </w:rPr>
        <w:t xml:space="preserve"> </w:t>
      </w:r>
      <w:r>
        <w:rPr>
          <w:w w:val="95"/>
        </w:rPr>
        <w:t>and</w:t>
      </w:r>
      <w:r>
        <w:rPr>
          <w:spacing w:val="-6"/>
          <w:w w:val="95"/>
        </w:rPr>
        <w:t xml:space="preserve"> </w:t>
      </w:r>
      <w:r>
        <w:rPr>
          <w:w w:val="95"/>
        </w:rPr>
        <w:t>central to</w:t>
      </w:r>
      <w:r>
        <w:rPr>
          <w:spacing w:val="-4"/>
          <w:w w:val="95"/>
        </w:rPr>
        <w:t xml:space="preserve"> </w:t>
      </w:r>
      <w:r>
        <w:rPr>
          <w:w w:val="95"/>
        </w:rPr>
        <w:t>water</w:t>
      </w:r>
      <w:r>
        <w:rPr>
          <w:spacing w:val="-4"/>
          <w:w w:val="95"/>
        </w:rPr>
        <w:t xml:space="preserve"> </w:t>
      </w:r>
      <w:r>
        <w:rPr>
          <w:w w:val="95"/>
        </w:rPr>
        <w:t>supply</w:t>
      </w:r>
      <w:r>
        <w:rPr>
          <w:spacing w:val="-4"/>
          <w:w w:val="95"/>
        </w:rPr>
        <w:t xml:space="preserve"> </w:t>
      </w:r>
      <w:r>
        <w:rPr>
          <w:w w:val="95"/>
        </w:rPr>
        <w:t>questions,</w:t>
      </w:r>
      <w:r>
        <w:rPr>
          <w:spacing w:val="-4"/>
          <w:w w:val="95"/>
        </w:rPr>
        <w:t xml:space="preserve"> </w:t>
      </w:r>
      <w:r>
        <w:rPr>
          <w:w w:val="95"/>
        </w:rPr>
        <w:t>floods</w:t>
      </w:r>
      <w:r>
        <w:rPr>
          <w:spacing w:val="-4"/>
          <w:w w:val="95"/>
        </w:rPr>
        <w:t xml:space="preserve"> </w:t>
      </w:r>
      <w:r>
        <w:rPr>
          <w:w w:val="95"/>
        </w:rPr>
        <w:t>are</w:t>
      </w:r>
      <w:r>
        <w:rPr>
          <w:spacing w:val="-4"/>
          <w:w w:val="95"/>
        </w:rPr>
        <w:t xml:space="preserve"> </w:t>
      </w:r>
      <w:r>
        <w:rPr>
          <w:w w:val="95"/>
        </w:rPr>
        <w:t>another</w:t>
      </w:r>
      <w:r>
        <w:rPr>
          <w:spacing w:val="-4"/>
          <w:w w:val="95"/>
        </w:rPr>
        <w:t xml:space="preserve"> </w:t>
      </w:r>
      <w:r>
        <w:rPr>
          <w:spacing w:val="-2"/>
          <w:w w:val="95"/>
        </w:rPr>
        <w:t>natural</w:t>
      </w:r>
    </w:p>
    <w:p w:rsidR="002C1123" w:rsidRDefault="00F22F94">
      <w:pPr>
        <w:pStyle w:val="BodyText"/>
        <w:spacing w:before="2" w:line="249" w:lineRule="auto"/>
        <w:ind w:left="189" w:right="756"/>
      </w:pPr>
      <w:r>
        <w:rPr>
          <w:w w:val="95"/>
        </w:rPr>
        <w:t xml:space="preserve">disaster that must be regularly confronted and managed </w:t>
      </w:r>
      <w:r>
        <w:t>by both the community and government.</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276" w:space="40"/>
            <w:col w:w="5001" w:space="39"/>
            <w:col w:w="5704"/>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C1123">
      <w:pPr>
        <w:rPr>
          <w:sz w:val="19"/>
        </w:rPr>
        <w:sectPr w:rsidR="002C1123">
          <w:headerReference w:type="default" r:id="rId208"/>
          <w:footerReference w:type="default" r:id="rId209"/>
          <w:pgSz w:w="16840" w:h="11910" w:orient="landscape"/>
          <w:pgMar w:top="560" w:right="280" w:bottom="700" w:left="500" w:header="0" w:footer="517" w:gutter="0"/>
          <w:cols w:space="720"/>
        </w:sectPr>
      </w:pPr>
    </w:p>
    <w:p w:rsidR="002C1123" w:rsidRDefault="00F22F94">
      <w:pPr>
        <w:pStyle w:val="BodyText"/>
        <w:spacing w:before="106" w:line="249" w:lineRule="auto"/>
        <w:ind w:left="492" w:right="382"/>
      </w:pPr>
      <w:bookmarkStart w:id="332" w:name="_bookmark234"/>
      <w:bookmarkEnd w:id="332"/>
      <w:r>
        <w:t>In</w:t>
      </w:r>
      <w:r>
        <w:rPr>
          <w:spacing w:val="-14"/>
        </w:rPr>
        <w:t xml:space="preserve"> </w:t>
      </w:r>
      <w:r>
        <w:t>response</w:t>
      </w:r>
      <w:r>
        <w:rPr>
          <w:spacing w:val="-14"/>
        </w:rPr>
        <w:t xml:space="preserve"> </w:t>
      </w:r>
      <w:r>
        <w:t>to</w:t>
      </w:r>
      <w:r>
        <w:rPr>
          <w:spacing w:val="-14"/>
        </w:rPr>
        <w:t xml:space="preserve"> </w:t>
      </w:r>
      <w:r>
        <w:t>issues</w:t>
      </w:r>
      <w:r>
        <w:rPr>
          <w:spacing w:val="-14"/>
        </w:rPr>
        <w:t xml:space="preserve"> </w:t>
      </w:r>
      <w:r>
        <w:t>relevant</w:t>
      </w:r>
      <w:r>
        <w:rPr>
          <w:spacing w:val="-14"/>
        </w:rPr>
        <w:t xml:space="preserve"> </w:t>
      </w:r>
      <w:r>
        <w:t>to</w:t>
      </w:r>
      <w:r>
        <w:rPr>
          <w:spacing w:val="-14"/>
        </w:rPr>
        <w:t xml:space="preserve"> </w:t>
      </w:r>
      <w:r>
        <w:t>the</w:t>
      </w:r>
      <w:r>
        <w:rPr>
          <w:spacing w:val="-14"/>
        </w:rPr>
        <w:t xml:space="preserve"> </w:t>
      </w:r>
      <w:r>
        <w:t>resilience</w:t>
      </w:r>
      <w:r>
        <w:rPr>
          <w:spacing w:val="-14"/>
        </w:rPr>
        <w:t xml:space="preserve"> </w:t>
      </w:r>
      <w:r>
        <w:t xml:space="preserve">of </w:t>
      </w:r>
      <w:r>
        <w:rPr>
          <w:w w:val="95"/>
        </w:rPr>
        <w:t>NSW infrastructure in severe flood events, outlined in</w:t>
      </w:r>
      <w:r>
        <w:rPr>
          <w:spacing w:val="-10"/>
          <w:w w:val="95"/>
        </w:rPr>
        <w:t xml:space="preserve"> </w:t>
      </w:r>
      <w:r>
        <w:rPr>
          <w:w w:val="95"/>
        </w:rPr>
        <w:t>the</w:t>
      </w:r>
      <w:r>
        <w:rPr>
          <w:spacing w:val="-10"/>
          <w:w w:val="95"/>
        </w:rPr>
        <w:t xml:space="preserve"> </w:t>
      </w:r>
      <w:r>
        <w:rPr>
          <w:w w:val="95"/>
        </w:rPr>
        <w:t>Greater</w:t>
      </w:r>
      <w:r>
        <w:rPr>
          <w:spacing w:val="-10"/>
          <w:w w:val="95"/>
        </w:rPr>
        <w:t xml:space="preserve"> </w:t>
      </w:r>
      <w:r>
        <w:rPr>
          <w:w w:val="95"/>
        </w:rPr>
        <w:t>Sydney</w:t>
      </w:r>
      <w:r>
        <w:rPr>
          <w:spacing w:val="-10"/>
          <w:w w:val="95"/>
        </w:rPr>
        <w:t xml:space="preserve"> </w:t>
      </w:r>
      <w:r>
        <w:rPr>
          <w:w w:val="95"/>
        </w:rPr>
        <w:t>section</w:t>
      </w:r>
      <w:r>
        <w:rPr>
          <w:spacing w:val="-10"/>
          <w:w w:val="95"/>
        </w:rPr>
        <w:t xml:space="preserve"> </w:t>
      </w:r>
      <w:r>
        <w:rPr>
          <w:w w:val="95"/>
        </w:rPr>
        <w:t>4.</w:t>
      </w:r>
      <w:r>
        <w:rPr>
          <w:spacing w:val="-10"/>
          <w:w w:val="95"/>
        </w:rPr>
        <w:t xml:space="preserve"> </w:t>
      </w:r>
      <w:r>
        <w:rPr>
          <w:w w:val="95"/>
        </w:rPr>
        <w:t>Infrastructure</w:t>
      </w:r>
      <w:r>
        <w:rPr>
          <w:spacing w:val="-10"/>
          <w:w w:val="95"/>
        </w:rPr>
        <w:t xml:space="preserve"> </w:t>
      </w:r>
      <w:r>
        <w:rPr>
          <w:w w:val="95"/>
        </w:rPr>
        <w:t>NSW</w:t>
      </w:r>
    </w:p>
    <w:p w:rsidR="002C1123" w:rsidRDefault="00F22F94">
      <w:pPr>
        <w:pStyle w:val="BodyText"/>
        <w:spacing w:before="2" w:line="249" w:lineRule="auto"/>
        <w:ind w:left="492" w:right="109"/>
      </w:pPr>
      <w:r>
        <w:rPr>
          <w:w w:val="95"/>
        </w:rPr>
        <w:t xml:space="preserve">commissioned a study to update data on flood impacts </w:t>
      </w:r>
      <w:r>
        <w:t>in</w:t>
      </w:r>
      <w:r>
        <w:rPr>
          <w:spacing w:val="-14"/>
        </w:rPr>
        <w:t xml:space="preserve"> </w:t>
      </w:r>
      <w:r>
        <w:t>the</w:t>
      </w:r>
      <w:r>
        <w:rPr>
          <w:spacing w:val="-14"/>
        </w:rPr>
        <w:t xml:space="preserve"> </w:t>
      </w:r>
      <w:r>
        <w:t>Hawkesbury</w:t>
      </w:r>
      <w:r>
        <w:rPr>
          <w:spacing w:val="-14"/>
        </w:rPr>
        <w:t xml:space="preserve"> </w:t>
      </w:r>
      <w:r>
        <w:t>Nepean</w:t>
      </w:r>
      <w:r>
        <w:rPr>
          <w:spacing w:val="-14"/>
        </w:rPr>
        <w:t xml:space="preserve"> </w:t>
      </w:r>
      <w:r>
        <w:t>Valley</w:t>
      </w:r>
      <w:r>
        <w:rPr>
          <w:spacing w:val="-14"/>
        </w:rPr>
        <w:t xml:space="preserve"> </w:t>
      </w:r>
      <w:r>
        <w:t>(HNV)</w:t>
      </w:r>
      <w:r>
        <w:rPr>
          <w:position w:val="7"/>
          <w:sz w:val="11"/>
        </w:rPr>
        <w:t>5</w:t>
      </w:r>
      <w:r>
        <w:t>.</w:t>
      </w:r>
    </w:p>
    <w:p w:rsidR="002C1123" w:rsidRDefault="00F22F94">
      <w:pPr>
        <w:pStyle w:val="Heading6"/>
        <w:numPr>
          <w:ilvl w:val="2"/>
          <w:numId w:val="55"/>
        </w:numPr>
        <w:tabs>
          <w:tab w:val="left" w:pos="1087"/>
        </w:tabs>
        <w:spacing w:before="144"/>
        <w:ind w:left="1086"/>
        <w:jc w:val="left"/>
        <w:rPr>
          <w:color w:val="00AEEF"/>
        </w:rPr>
      </w:pPr>
      <w:r>
        <w:rPr>
          <w:color w:val="00AEEF"/>
          <w:spacing w:val="-2"/>
        </w:rPr>
        <w:t>Findings</w:t>
      </w:r>
      <w:r>
        <w:rPr>
          <w:color w:val="00AEEF"/>
          <w:spacing w:val="-12"/>
        </w:rPr>
        <w:t xml:space="preserve"> </w:t>
      </w:r>
      <w:r>
        <w:rPr>
          <w:color w:val="00AEEF"/>
          <w:spacing w:val="-2"/>
        </w:rPr>
        <w:t>HNV</w:t>
      </w:r>
      <w:r>
        <w:rPr>
          <w:color w:val="00AEEF"/>
          <w:spacing w:val="-11"/>
        </w:rPr>
        <w:t xml:space="preserve"> </w:t>
      </w:r>
      <w:r>
        <w:rPr>
          <w:color w:val="00AEEF"/>
          <w:spacing w:val="-2"/>
        </w:rPr>
        <w:t>flood</w:t>
      </w:r>
      <w:r>
        <w:rPr>
          <w:color w:val="00AEEF"/>
          <w:spacing w:val="-11"/>
        </w:rPr>
        <w:t xml:space="preserve"> </w:t>
      </w:r>
      <w:r>
        <w:rPr>
          <w:color w:val="00AEEF"/>
          <w:spacing w:val="-2"/>
        </w:rPr>
        <w:t>damages</w:t>
      </w:r>
      <w:r>
        <w:rPr>
          <w:color w:val="00AEEF"/>
          <w:spacing w:val="-12"/>
        </w:rPr>
        <w:t xml:space="preserve"> </w:t>
      </w:r>
      <w:r>
        <w:rPr>
          <w:color w:val="00AEEF"/>
          <w:spacing w:val="-2"/>
        </w:rPr>
        <w:t>study</w:t>
      </w:r>
    </w:p>
    <w:p w:rsidR="002C1123" w:rsidRDefault="00F22F94">
      <w:pPr>
        <w:pStyle w:val="BodyText"/>
        <w:spacing w:before="95" w:line="249" w:lineRule="auto"/>
        <w:ind w:left="492"/>
      </w:pPr>
      <w:r>
        <w:rPr>
          <w:w w:val="95"/>
        </w:rPr>
        <w:t>In</w:t>
      </w:r>
      <w:r>
        <w:rPr>
          <w:spacing w:val="-12"/>
          <w:w w:val="95"/>
        </w:rPr>
        <w:t xml:space="preserve"> </w:t>
      </w:r>
      <w:r>
        <w:rPr>
          <w:w w:val="95"/>
        </w:rPr>
        <w:t>2012,</w:t>
      </w:r>
      <w:r>
        <w:rPr>
          <w:spacing w:val="-11"/>
          <w:w w:val="95"/>
        </w:rPr>
        <w:t xml:space="preserve"> </w:t>
      </w:r>
      <w:r>
        <w:rPr>
          <w:w w:val="95"/>
        </w:rPr>
        <w:t>there</w:t>
      </w:r>
      <w:r>
        <w:rPr>
          <w:spacing w:val="-11"/>
          <w:w w:val="95"/>
        </w:rPr>
        <w:t xml:space="preserve"> </w:t>
      </w:r>
      <w:r>
        <w:rPr>
          <w:w w:val="95"/>
        </w:rPr>
        <w:t>are</w:t>
      </w:r>
      <w:r>
        <w:rPr>
          <w:spacing w:val="-11"/>
          <w:w w:val="95"/>
        </w:rPr>
        <w:t xml:space="preserve"> </w:t>
      </w:r>
      <w:r>
        <w:rPr>
          <w:w w:val="95"/>
        </w:rPr>
        <w:t>21,000</w:t>
      </w:r>
      <w:r>
        <w:rPr>
          <w:spacing w:val="-11"/>
          <w:w w:val="95"/>
        </w:rPr>
        <w:t xml:space="preserve"> </w:t>
      </w:r>
      <w:r>
        <w:rPr>
          <w:w w:val="95"/>
        </w:rPr>
        <w:t>residential</w:t>
      </w:r>
      <w:r>
        <w:rPr>
          <w:spacing w:val="-11"/>
          <w:w w:val="95"/>
        </w:rPr>
        <w:t xml:space="preserve"> </w:t>
      </w:r>
      <w:r>
        <w:rPr>
          <w:w w:val="95"/>
        </w:rPr>
        <w:t>buildings</w:t>
      </w:r>
      <w:r>
        <w:rPr>
          <w:spacing w:val="-11"/>
          <w:w w:val="95"/>
        </w:rPr>
        <w:t xml:space="preserve"> </w:t>
      </w:r>
      <w:r>
        <w:rPr>
          <w:w w:val="95"/>
        </w:rPr>
        <w:t>in</w:t>
      </w:r>
      <w:r>
        <w:rPr>
          <w:spacing w:val="-11"/>
          <w:w w:val="95"/>
        </w:rPr>
        <w:t xml:space="preserve"> </w:t>
      </w:r>
      <w:r>
        <w:rPr>
          <w:w w:val="95"/>
        </w:rPr>
        <w:t>the</w:t>
      </w:r>
      <w:r>
        <w:rPr>
          <w:spacing w:val="-12"/>
          <w:w w:val="95"/>
        </w:rPr>
        <w:t xml:space="preserve"> </w:t>
      </w:r>
      <w:r>
        <w:rPr>
          <w:w w:val="95"/>
        </w:rPr>
        <w:t xml:space="preserve">flood </w:t>
      </w:r>
      <w:r>
        <w:rPr>
          <w:spacing w:val="-2"/>
        </w:rPr>
        <w:t>plain,</w:t>
      </w:r>
      <w:r>
        <w:rPr>
          <w:spacing w:val="-8"/>
        </w:rPr>
        <w:t xml:space="preserve"> </w:t>
      </w:r>
      <w:r>
        <w:rPr>
          <w:spacing w:val="-2"/>
        </w:rPr>
        <w:t>more</w:t>
      </w:r>
      <w:r>
        <w:rPr>
          <w:spacing w:val="-8"/>
        </w:rPr>
        <w:t xml:space="preserve"> </w:t>
      </w:r>
      <w:r>
        <w:rPr>
          <w:spacing w:val="-2"/>
        </w:rPr>
        <w:t>than</w:t>
      </w:r>
      <w:r>
        <w:rPr>
          <w:spacing w:val="-8"/>
        </w:rPr>
        <w:t xml:space="preserve"> </w:t>
      </w:r>
      <w:r>
        <w:rPr>
          <w:spacing w:val="-2"/>
        </w:rPr>
        <w:t>5,000</w:t>
      </w:r>
      <w:r>
        <w:rPr>
          <w:spacing w:val="-8"/>
        </w:rPr>
        <w:t xml:space="preserve"> </w:t>
      </w:r>
      <w:r>
        <w:rPr>
          <w:spacing w:val="-2"/>
        </w:rPr>
        <w:t>more</w:t>
      </w:r>
      <w:r>
        <w:rPr>
          <w:spacing w:val="-8"/>
        </w:rPr>
        <w:t xml:space="preserve"> </w:t>
      </w:r>
      <w:r>
        <w:rPr>
          <w:spacing w:val="-2"/>
        </w:rPr>
        <w:t>than</w:t>
      </w:r>
      <w:r>
        <w:rPr>
          <w:spacing w:val="-8"/>
        </w:rPr>
        <w:t xml:space="preserve"> </w:t>
      </w:r>
      <w:r>
        <w:rPr>
          <w:spacing w:val="-2"/>
        </w:rPr>
        <w:t>previously</w:t>
      </w:r>
      <w:r>
        <w:rPr>
          <w:spacing w:val="-8"/>
        </w:rPr>
        <w:t xml:space="preserve"> </w:t>
      </w:r>
      <w:r>
        <w:rPr>
          <w:spacing w:val="-2"/>
        </w:rPr>
        <w:t xml:space="preserve">estimated. </w:t>
      </w:r>
      <w:r>
        <w:t>There</w:t>
      </w:r>
      <w:r>
        <w:rPr>
          <w:spacing w:val="-14"/>
        </w:rPr>
        <w:t xml:space="preserve"> </w:t>
      </w:r>
      <w:r>
        <w:t>is</w:t>
      </w:r>
      <w:r>
        <w:rPr>
          <w:spacing w:val="-14"/>
        </w:rPr>
        <w:t xml:space="preserve"> </w:t>
      </w:r>
      <w:r>
        <w:t>an</w:t>
      </w:r>
      <w:r>
        <w:rPr>
          <w:spacing w:val="-14"/>
        </w:rPr>
        <w:t xml:space="preserve"> </w:t>
      </w:r>
      <w:r>
        <w:t>additional</w:t>
      </w:r>
      <w:r>
        <w:rPr>
          <w:spacing w:val="-14"/>
        </w:rPr>
        <w:t xml:space="preserve"> </w:t>
      </w:r>
      <w:r>
        <w:t>143</w:t>
      </w:r>
      <w:r>
        <w:rPr>
          <w:spacing w:val="-14"/>
        </w:rPr>
        <w:t xml:space="preserve"> </w:t>
      </w:r>
      <w:r>
        <w:t>hectares</w:t>
      </w:r>
      <w:r>
        <w:rPr>
          <w:spacing w:val="-14"/>
        </w:rPr>
        <w:t xml:space="preserve"> </w:t>
      </w:r>
      <w:r>
        <w:t>of</w:t>
      </w:r>
      <w:r>
        <w:rPr>
          <w:spacing w:val="-14"/>
        </w:rPr>
        <w:t xml:space="preserve"> </w:t>
      </w:r>
      <w:r>
        <w:t>commercial</w:t>
      </w:r>
      <w:r>
        <w:rPr>
          <w:spacing w:val="-14"/>
        </w:rPr>
        <w:t xml:space="preserve"> </w:t>
      </w:r>
      <w:r>
        <w:t xml:space="preserve">and </w:t>
      </w:r>
      <w:r>
        <w:rPr>
          <w:w w:val="95"/>
        </w:rPr>
        <w:t xml:space="preserve">industrial property that has been added to the floodplain </w:t>
      </w:r>
      <w:r>
        <w:t>since</w:t>
      </w:r>
      <w:r>
        <w:rPr>
          <w:spacing w:val="-11"/>
        </w:rPr>
        <w:t xml:space="preserve"> </w:t>
      </w:r>
      <w:r>
        <w:t>1990.</w:t>
      </w:r>
    </w:p>
    <w:p w:rsidR="002C1123" w:rsidRDefault="00F22F94">
      <w:pPr>
        <w:pStyle w:val="BodyText"/>
        <w:spacing w:before="146" w:line="249" w:lineRule="auto"/>
        <w:ind w:left="492" w:right="109"/>
      </w:pPr>
      <w:r>
        <w:rPr>
          <w:w w:val="95"/>
        </w:rPr>
        <w:t>A</w:t>
      </w:r>
      <w:r>
        <w:rPr>
          <w:spacing w:val="-4"/>
          <w:w w:val="95"/>
        </w:rPr>
        <w:t xml:space="preserve"> </w:t>
      </w:r>
      <w:r>
        <w:rPr>
          <w:w w:val="95"/>
        </w:rPr>
        <w:t>repeat</w:t>
      </w:r>
      <w:r>
        <w:rPr>
          <w:spacing w:val="-4"/>
          <w:w w:val="95"/>
        </w:rPr>
        <w:t xml:space="preserve"> </w:t>
      </w:r>
      <w:r>
        <w:rPr>
          <w:w w:val="95"/>
        </w:rPr>
        <w:t>of</w:t>
      </w:r>
      <w:r>
        <w:rPr>
          <w:spacing w:val="-4"/>
          <w:w w:val="95"/>
        </w:rPr>
        <w:t xml:space="preserve"> </w:t>
      </w:r>
      <w:r>
        <w:rPr>
          <w:w w:val="95"/>
        </w:rPr>
        <w:t>the</w:t>
      </w:r>
      <w:r>
        <w:rPr>
          <w:spacing w:val="-4"/>
          <w:w w:val="95"/>
        </w:rPr>
        <w:t xml:space="preserve"> </w:t>
      </w:r>
      <w:r>
        <w:rPr>
          <w:w w:val="95"/>
        </w:rPr>
        <w:t>1867</w:t>
      </w:r>
      <w:r>
        <w:rPr>
          <w:spacing w:val="-4"/>
          <w:w w:val="95"/>
        </w:rPr>
        <w:t xml:space="preserve"> </w:t>
      </w:r>
      <w:r>
        <w:rPr>
          <w:w w:val="95"/>
        </w:rPr>
        <w:t>flood,</w:t>
      </w:r>
      <w:r>
        <w:rPr>
          <w:spacing w:val="-4"/>
          <w:w w:val="95"/>
        </w:rPr>
        <w:t xml:space="preserve"> </w:t>
      </w:r>
      <w:r>
        <w:rPr>
          <w:w w:val="95"/>
        </w:rPr>
        <w:t>the</w:t>
      </w:r>
      <w:r>
        <w:rPr>
          <w:spacing w:val="-4"/>
          <w:w w:val="95"/>
        </w:rPr>
        <w:t xml:space="preserve"> </w:t>
      </w:r>
      <w:r>
        <w:rPr>
          <w:w w:val="95"/>
        </w:rPr>
        <w:t>largest</w:t>
      </w:r>
      <w:r>
        <w:rPr>
          <w:spacing w:val="-4"/>
          <w:w w:val="95"/>
        </w:rPr>
        <w:t xml:space="preserve"> </w:t>
      </w:r>
      <w:r>
        <w:rPr>
          <w:w w:val="95"/>
        </w:rPr>
        <w:t>on</w:t>
      </w:r>
      <w:r>
        <w:rPr>
          <w:spacing w:val="-4"/>
          <w:w w:val="95"/>
        </w:rPr>
        <w:t xml:space="preserve"> </w:t>
      </w:r>
      <w:r>
        <w:rPr>
          <w:w w:val="95"/>
        </w:rPr>
        <w:t>record,</w:t>
      </w:r>
      <w:r>
        <w:rPr>
          <w:spacing w:val="-4"/>
          <w:w w:val="95"/>
        </w:rPr>
        <w:t xml:space="preserve"> </w:t>
      </w:r>
      <w:r>
        <w:rPr>
          <w:w w:val="95"/>
        </w:rPr>
        <w:t xml:space="preserve">could </w:t>
      </w:r>
      <w:r>
        <w:t>be</w:t>
      </w:r>
      <w:r>
        <w:rPr>
          <w:spacing w:val="-10"/>
        </w:rPr>
        <w:t xml:space="preserve"> </w:t>
      </w:r>
      <w:r>
        <w:t>expected</w:t>
      </w:r>
      <w:r>
        <w:rPr>
          <w:spacing w:val="-10"/>
        </w:rPr>
        <w:t xml:space="preserve"> </w:t>
      </w:r>
      <w:r>
        <w:t>to</w:t>
      </w:r>
      <w:r>
        <w:rPr>
          <w:spacing w:val="-10"/>
        </w:rPr>
        <w:t xml:space="preserve"> </w:t>
      </w:r>
      <w:r>
        <w:t>cause</w:t>
      </w:r>
      <w:r>
        <w:rPr>
          <w:spacing w:val="-10"/>
        </w:rPr>
        <w:t xml:space="preserve"> </w:t>
      </w:r>
      <w:r>
        <w:t>direct</w:t>
      </w:r>
      <w:r>
        <w:rPr>
          <w:spacing w:val="-10"/>
        </w:rPr>
        <w:t xml:space="preserve"> </w:t>
      </w:r>
      <w:r>
        <w:t>damages</w:t>
      </w:r>
      <w:r>
        <w:rPr>
          <w:spacing w:val="-10"/>
        </w:rPr>
        <w:t xml:space="preserve"> </w:t>
      </w:r>
      <w:r>
        <w:t>in</w:t>
      </w:r>
      <w:r>
        <w:rPr>
          <w:spacing w:val="-10"/>
        </w:rPr>
        <w:t xml:space="preserve"> </w:t>
      </w:r>
      <w:r>
        <w:t>the</w:t>
      </w:r>
      <w:r>
        <w:rPr>
          <w:spacing w:val="-10"/>
        </w:rPr>
        <w:t xml:space="preserve"> </w:t>
      </w:r>
      <w:r>
        <w:t>order</w:t>
      </w:r>
      <w:r>
        <w:rPr>
          <w:spacing w:val="-10"/>
        </w:rPr>
        <w:t xml:space="preserve"> </w:t>
      </w:r>
      <w:r>
        <w:t>of</w:t>
      </w:r>
    </w:p>
    <w:p w:rsidR="002C1123" w:rsidRDefault="00F22F94">
      <w:pPr>
        <w:pStyle w:val="BodyText"/>
        <w:spacing w:before="1" w:line="249" w:lineRule="auto"/>
        <w:ind w:left="492"/>
      </w:pPr>
      <w:r>
        <w:t>$1.7</w:t>
      </w:r>
      <w:r>
        <w:rPr>
          <w:spacing w:val="-14"/>
        </w:rPr>
        <w:t xml:space="preserve"> </w:t>
      </w:r>
      <w:r>
        <w:t>billion</w:t>
      </w:r>
      <w:r>
        <w:rPr>
          <w:spacing w:val="-14"/>
        </w:rPr>
        <w:t xml:space="preserve"> </w:t>
      </w:r>
      <w:r>
        <w:t>and</w:t>
      </w:r>
      <w:r>
        <w:rPr>
          <w:spacing w:val="-14"/>
        </w:rPr>
        <w:t xml:space="preserve"> </w:t>
      </w:r>
      <w:r>
        <w:t>$3</w:t>
      </w:r>
      <w:r>
        <w:rPr>
          <w:spacing w:val="-14"/>
        </w:rPr>
        <w:t xml:space="preserve"> </w:t>
      </w:r>
      <w:r>
        <w:t>billion</w:t>
      </w:r>
      <w:r>
        <w:rPr>
          <w:spacing w:val="-14"/>
        </w:rPr>
        <w:t xml:space="preserve"> </w:t>
      </w:r>
      <w:r>
        <w:t>in</w:t>
      </w:r>
      <w:r>
        <w:rPr>
          <w:spacing w:val="-14"/>
        </w:rPr>
        <w:t xml:space="preserve"> </w:t>
      </w:r>
      <w:r>
        <w:t>total</w:t>
      </w:r>
      <w:r>
        <w:rPr>
          <w:spacing w:val="-14"/>
        </w:rPr>
        <w:t xml:space="preserve"> </w:t>
      </w:r>
      <w:r>
        <w:t>tangible</w:t>
      </w:r>
      <w:r>
        <w:rPr>
          <w:spacing w:val="-14"/>
        </w:rPr>
        <w:t xml:space="preserve"> </w:t>
      </w:r>
      <w:r>
        <w:t xml:space="preserve">damages. </w:t>
      </w:r>
      <w:r>
        <w:rPr>
          <w:w w:val="95"/>
        </w:rPr>
        <w:t>Included</w:t>
      </w:r>
      <w:r>
        <w:rPr>
          <w:spacing w:val="-3"/>
          <w:w w:val="95"/>
        </w:rPr>
        <w:t xml:space="preserve"> </w:t>
      </w:r>
      <w:r>
        <w:rPr>
          <w:w w:val="95"/>
        </w:rPr>
        <w:t>in</w:t>
      </w:r>
      <w:r>
        <w:rPr>
          <w:spacing w:val="-3"/>
          <w:w w:val="95"/>
        </w:rPr>
        <w:t xml:space="preserve"> </w:t>
      </w:r>
      <w:r>
        <w:rPr>
          <w:w w:val="95"/>
        </w:rPr>
        <w:t>the</w:t>
      </w:r>
      <w:r>
        <w:rPr>
          <w:spacing w:val="-3"/>
          <w:w w:val="95"/>
        </w:rPr>
        <w:t xml:space="preserve"> </w:t>
      </w:r>
      <w:r>
        <w:rPr>
          <w:w w:val="95"/>
        </w:rPr>
        <w:t>damages</w:t>
      </w:r>
      <w:r>
        <w:rPr>
          <w:spacing w:val="-3"/>
          <w:w w:val="95"/>
        </w:rPr>
        <w:t xml:space="preserve"> </w:t>
      </w:r>
      <w:r>
        <w:rPr>
          <w:w w:val="95"/>
        </w:rPr>
        <w:t>cost</w:t>
      </w:r>
      <w:r>
        <w:rPr>
          <w:spacing w:val="-3"/>
          <w:w w:val="95"/>
        </w:rPr>
        <w:t xml:space="preserve"> </w:t>
      </w:r>
      <w:r>
        <w:rPr>
          <w:w w:val="95"/>
        </w:rPr>
        <w:t>is</w:t>
      </w:r>
      <w:r>
        <w:rPr>
          <w:spacing w:val="-3"/>
          <w:w w:val="95"/>
        </w:rPr>
        <w:t xml:space="preserve"> </w:t>
      </w:r>
      <w:r>
        <w:rPr>
          <w:w w:val="95"/>
        </w:rPr>
        <w:t>flooding</w:t>
      </w:r>
      <w:r>
        <w:rPr>
          <w:spacing w:val="-3"/>
          <w:w w:val="95"/>
        </w:rPr>
        <w:t xml:space="preserve"> </w:t>
      </w:r>
      <w:r>
        <w:rPr>
          <w:w w:val="95"/>
        </w:rPr>
        <w:t>of</w:t>
      </w:r>
      <w:r>
        <w:rPr>
          <w:spacing w:val="-3"/>
          <w:w w:val="95"/>
        </w:rPr>
        <w:t xml:space="preserve"> </w:t>
      </w:r>
      <w:r>
        <w:rPr>
          <w:w w:val="95"/>
        </w:rPr>
        <w:t>7,600</w:t>
      </w:r>
      <w:r>
        <w:rPr>
          <w:spacing w:val="-3"/>
          <w:w w:val="95"/>
        </w:rPr>
        <w:t xml:space="preserve"> </w:t>
      </w:r>
      <w:r>
        <w:rPr>
          <w:w w:val="95"/>
        </w:rPr>
        <w:t xml:space="preserve">homes </w:t>
      </w:r>
      <w:r>
        <w:t>above</w:t>
      </w:r>
      <w:r>
        <w:rPr>
          <w:spacing w:val="-14"/>
        </w:rPr>
        <w:t xml:space="preserve"> </w:t>
      </w:r>
      <w:r>
        <w:t>floor</w:t>
      </w:r>
      <w:r>
        <w:rPr>
          <w:spacing w:val="-14"/>
        </w:rPr>
        <w:t xml:space="preserve"> </w:t>
      </w:r>
      <w:r>
        <w:t>level</w:t>
      </w:r>
      <w:r>
        <w:rPr>
          <w:spacing w:val="-14"/>
        </w:rPr>
        <w:t xml:space="preserve"> </w:t>
      </w:r>
      <w:r>
        <w:t>and</w:t>
      </w:r>
      <w:r>
        <w:rPr>
          <w:spacing w:val="-14"/>
        </w:rPr>
        <w:t xml:space="preserve"> </w:t>
      </w:r>
      <w:r>
        <w:t>the</w:t>
      </w:r>
      <w:r>
        <w:rPr>
          <w:spacing w:val="-14"/>
        </w:rPr>
        <w:t xml:space="preserve"> </w:t>
      </w:r>
      <w:r>
        <w:t>destruction</w:t>
      </w:r>
      <w:r>
        <w:rPr>
          <w:spacing w:val="-14"/>
        </w:rPr>
        <w:t xml:space="preserve"> </w:t>
      </w:r>
      <w:r>
        <w:t>of</w:t>
      </w:r>
      <w:r>
        <w:rPr>
          <w:spacing w:val="-14"/>
        </w:rPr>
        <w:t xml:space="preserve"> </w:t>
      </w:r>
      <w:r>
        <w:t>1,200</w:t>
      </w:r>
      <w:r>
        <w:rPr>
          <w:spacing w:val="-13"/>
        </w:rPr>
        <w:t xml:space="preserve"> </w:t>
      </w:r>
      <w:r>
        <w:t>homes.</w:t>
      </w:r>
    </w:p>
    <w:p w:rsidR="002C1123" w:rsidRDefault="00F22F94">
      <w:pPr>
        <w:pStyle w:val="BodyText"/>
        <w:spacing w:before="88" w:line="249" w:lineRule="auto"/>
        <w:ind w:left="492"/>
      </w:pPr>
      <w:r>
        <w:rPr>
          <w:spacing w:val="-2"/>
          <w:w w:val="95"/>
        </w:rPr>
        <w:t>A</w:t>
      </w:r>
      <w:r>
        <w:rPr>
          <w:spacing w:val="-10"/>
          <w:w w:val="95"/>
        </w:rPr>
        <w:t xml:space="preserve"> </w:t>
      </w:r>
      <w:r>
        <w:rPr>
          <w:spacing w:val="-2"/>
          <w:w w:val="95"/>
        </w:rPr>
        <w:t>flood</w:t>
      </w:r>
      <w:r>
        <w:rPr>
          <w:spacing w:val="-10"/>
          <w:w w:val="95"/>
        </w:rPr>
        <w:t xml:space="preserve"> </w:t>
      </w:r>
      <w:r>
        <w:rPr>
          <w:spacing w:val="-2"/>
          <w:w w:val="95"/>
        </w:rPr>
        <w:t>with</w:t>
      </w:r>
      <w:r>
        <w:rPr>
          <w:spacing w:val="-10"/>
          <w:w w:val="95"/>
        </w:rPr>
        <w:t xml:space="preserve"> </w:t>
      </w:r>
      <w:r>
        <w:rPr>
          <w:spacing w:val="-2"/>
          <w:w w:val="95"/>
        </w:rPr>
        <w:t>a</w:t>
      </w:r>
      <w:r>
        <w:rPr>
          <w:spacing w:val="-10"/>
          <w:w w:val="95"/>
        </w:rPr>
        <w:t xml:space="preserve"> </w:t>
      </w:r>
      <w:r>
        <w:rPr>
          <w:spacing w:val="-2"/>
          <w:w w:val="95"/>
        </w:rPr>
        <w:t>1</w:t>
      </w:r>
      <w:r>
        <w:rPr>
          <w:spacing w:val="-10"/>
          <w:w w:val="95"/>
        </w:rPr>
        <w:t xml:space="preserve"> </w:t>
      </w:r>
      <w:r>
        <w:rPr>
          <w:spacing w:val="-2"/>
          <w:w w:val="95"/>
        </w:rPr>
        <w:t>in</w:t>
      </w:r>
      <w:r>
        <w:rPr>
          <w:spacing w:val="-10"/>
          <w:w w:val="95"/>
        </w:rPr>
        <w:t xml:space="preserve"> </w:t>
      </w:r>
      <w:r>
        <w:rPr>
          <w:spacing w:val="-2"/>
          <w:w w:val="95"/>
        </w:rPr>
        <w:t>1,000</w:t>
      </w:r>
      <w:r>
        <w:rPr>
          <w:spacing w:val="-10"/>
          <w:w w:val="95"/>
        </w:rPr>
        <w:t xml:space="preserve"> </w:t>
      </w:r>
      <w:r>
        <w:rPr>
          <w:spacing w:val="-2"/>
          <w:w w:val="95"/>
        </w:rPr>
        <w:t>chance</w:t>
      </w:r>
      <w:r>
        <w:rPr>
          <w:spacing w:val="-10"/>
          <w:w w:val="95"/>
        </w:rPr>
        <w:t xml:space="preserve"> </w:t>
      </w:r>
      <w:r>
        <w:rPr>
          <w:spacing w:val="-2"/>
          <w:w w:val="95"/>
        </w:rPr>
        <w:t>occurrence</w:t>
      </w:r>
      <w:r>
        <w:rPr>
          <w:spacing w:val="-10"/>
          <w:w w:val="95"/>
        </w:rPr>
        <w:t xml:space="preserve"> </w:t>
      </w:r>
      <w:r>
        <w:rPr>
          <w:spacing w:val="-2"/>
          <w:w w:val="95"/>
        </w:rPr>
        <w:t>per</w:t>
      </w:r>
      <w:r>
        <w:rPr>
          <w:spacing w:val="-10"/>
          <w:w w:val="95"/>
        </w:rPr>
        <w:t xml:space="preserve"> </w:t>
      </w:r>
      <w:r>
        <w:rPr>
          <w:spacing w:val="-2"/>
          <w:w w:val="95"/>
        </w:rPr>
        <w:t>year,</w:t>
      </w:r>
      <w:r>
        <w:rPr>
          <w:spacing w:val="-10"/>
          <w:w w:val="95"/>
        </w:rPr>
        <w:t xml:space="preserve"> </w:t>
      </w:r>
      <w:r>
        <w:rPr>
          <w:spacing w:val="-2"/>
          <w:w w:val="95"/>
        </w:rPr>
        <w:t xml:space="preserve">such </w:t>
      </w:r>
      <w:r>
        <w:rPr>
          <w:w w:val="95"/>
        </w:rPr>
        <w:t>as</w:t>
      </w:r>
      <w:r>
        <w:rPr>
          <w:spacing w:val="-1"/>
          <w:w w:val="95"/>
        </w:rPr>
        <w:t xml:space="preserve"> </w:t>
      </w:r>
      <w:r>
        <w:rPr>
          <w:w w:val="95"/>
        </w:rPr>
        <w:t>occurred</w:t>
      </w:r>
      <w:r>
        <w:rPr>
          <w:spacing w:val="-1"/>
          <w:w w:val="95"/>
        </w:rPr>
        <w:t xml:space="preserve"> </w:t>
      </w:r>
      <w:r>
        <w:rPr>
          <w:w w:val="95"/>
        </w:rPr>
        <w:t>in</w:t>
      </w:r>
      <w:r>
        <w:rPr>
          <w:spacing w:val="-1"/>
          <w:w w:val="95"/>
        </w:rPr>
        <w:t xml:space="preserve"> </w:t>
      </w:r>
      <w:r>
        <w:rPr>
          <w:w w:val="95"/>
        </w:rPr>
        <w:t>some</w:t>
      </w:r>
      <w:r>
        <w:rPr>
          <w:spacing w:val="-1"/>
          <w:w w:val="95"/>
        </w:rPr>
        <w:t xml:space="preserve"> </w:t>
      </w:r>
      <w:r>
        <w:rPr>
          <w:w w:val="95"/>
        </w:rPr>
        <w:t>Queensland</w:t>
      </w:r>
      <w:r>
        <w:rPr>
          <w:spacing w:val="-1"/>
          <w:w w:val="95"/>
        </w:rPr>
        <w:t xml:space="preserve"> </w:t>
      </w:r>
      <w:r>
        <w:rPr>
          <w:w w:val="95"/>
        </w:rPr>
        <w:t>catchments</w:t>
      </w:r>
      <w:r>
        <w:rPr>
          <w:spacing w:val="-1"/>
          <w:w w:val="95"/>
        </w:rPr>
        <w:t xml:space="preserve"> </w:t>
      </w:r>
      <w:r>
        <w:rPr>
          <w:w w:val="95"/>
        </w:rPr>
        <w:t>in</w:t>
      </w:r>
      <w:r>
        <w:rPr>
          <w:spacing w:val="-1"/>
          <w:w w:val="95"/>
        </w:rPr>
        <w:t xml:space="preserve"> </w:t>
      </w:r>
      <w:r>
        <w:rPr>
          <w:w w:val="95"/>
        </w:rPr>
        <w:t>2011, would</w:t>
      </w:r>
      <w:r>
        <w:rPr>
          <w:spacing w:val="-13"/>
          <w:w w:val="95"/>
        </w:rPr>
        <w:t xml:space="preserve"> </w:t>
      </w:r>
      <w:r>
        <w:rPr>
          <w:w w:val="95"/>
        </w:rPr>
        <w:t>be</w:t>
      </w:r>
      <w:r>
        <w:rPr>
          <w:spacing w:val="-12"/>
          <w:w w:val="95"/>
        </w:rPr>
        <w:t xml:space="preserve"> </w:t>
      </w:r>
      <w:r>
        <w:rPr>
          <w:w w:val="95"/>
        </w:rPr>
        <w:t>expected</w:t>
      </w:r>
      <w:r>
        <w:rPr>
          <w:spacing w:val="-12"/>
          <w:w w:val="95"/>
        </w:rPr>
        <w:t xml:space="preserve"> </w:t>
      </w:r>
      <w:r>
        <w:rPr>
          <w:w w:val="95"/>
        </w:rPr>
        <w:t>to</w:t>
      </w:r>
      <w:r>
        <w:rPr>
          <w:spacing w:val="-12"/>
          <w:w w:val="95"/>
        </w:rPr>
        <w:t xml:space="preserve"> </w:t>
      </w:r>
      <w:r>
        <w:rPr>
          <w:w w:val="95"/>
        </w:rPr>
        <w:t>cause</w:t>
      </w:r>
      <w:r>
        <w:rPr>
          <w:spacing w:val="-13"/>
          <w:w w:val="95"/>
        </w:rPr>
        <w:t xml:space="preserve"> </w:t>
      </w:r>
      <w:r>
        <w:rPr>
          <w:w w:val="95"/>
        </w:rPr>
        <w:t>$4.3</w:t>
      </w:r>
      <w:r>
        <w:rPr>
          <w:spacing w:val="-12"/>
          <w:w w:val="95"/>
        </w:rPr>
        <w:t xml:space="preserve"> </w:t>
      </w:r>
      <w:r>
        <w:rPr>
          <w:w w:val="95"/>
        </w:rPr>
        <w:t>billion</w:t>
      </w:r>
      <w:r>
        <w:rPr>
          <w:spacing w:val="-12"/>
          <w:w w:val="95"/>
        </w:rPr>
        <w:t xml:space="preserve"> </w:t>
      </w:r>
      <w:r>
        <w:rPr>
          <w:w w:val="95"/>
        </w:rPr>
        <w:t>in</w:t>
      </w:r>
      <w:r>
        <w:rPr>
          <w:spacing w:val="-12"/>
          <w:w w:val="95"/>
        </w:rPr>
        <w:t xml:space="preserve"> </w:t>
      </w:r>
      <w:r>
        <w:rPr>
          <w:w w:val="95"/>
        </w:rPr>
        <w:t>direct</w:t>
      </w:r>
      <w:r>
        <w:rPr>
          <w:spacing w:val="-12"/>
          <w:w w:val="95"/>
        </w:rPr>
        <w:t xml:space="preserve"> </w:t>
      </w:r>
      <w:r>
        <w:rPr>
          <w:w w:val="95"/>
        </w:rPr>
        <w:t>damages and</w:t>
      </w:r>
      <w:r>
        <w:rPr>
          <w:spacing w:val="-1"/>
          <w:w w:val="95"/>
        </w:rPr>
        <w:t xml:space="preserve"> </w:t>
      </w:r>
      <w:r>
        <w:rPr>
          <w:w w:val="95"/>
        </w:rPr>
        <w:t>an</w:t>
      </w:r>
      <w:r>
        <w:rPr>
          <w:spacing w:val="-1"/>
          <w:w w:val="95"/>
        </w:rPr>
        <w:t xml:space="preserve"> </w:t>
      </w:r>
      <w:r>
        <w:rPr>
          <w:w w:val="95"/>
        </w:rPr>
        <w:t>estimated</w:t>
      </w:r>
      <w:r>
        <w:rPr>
          <w:spacing w:val="-1"/>
          <w:w w:val="95"/>
        </w:rPr>
        <w:t xml:space="preserve"> </w:t>
      </w:r>
      <w:r>
        <w:rPr>
          <w:w w:val="95"/>
        </w:rPr>
        <w:t>$8</w:t>
      </w:r>
      <w:r>
        <w:rPr>
          <w:spacing w:val="-1"/>
          <w:w w:val="95"/>
        </w:rPr>
        <w:t xml:space="preserve"> </w:t>
      </w:r>
      <w:r>
        <w:rPr>
          <w:w w:val="95"/>
        </w:rPr>
        <w:t>billion</w:t>
      </w:r>
      <w:r>
        <w:rPr>
          <w:spacing w:val="-1"/>
          <w:w w:val="95"/>
        </w:rPr>
        <w:t xml:space="preserve"> </w:t>
      </w:r>
      <w:r>
        <w:rPr>
          <w:w w:val="95"/>
        </w:rPr>
        <w:t>in</w:t>
      </w:r>
      <w:r>
        <w:rPr>
          <w:spacing w:val="-1"/>
          <w:w w:val="95"/>
        </w:rPr>
        <w:t xml:space="preserve"> </w:t>
      </w:r>
      <w:r>
        <w:rPr>
          <w:w w:val="95"/>
        </w:rPr>
        <w:t>total</w:t>
      </w:r>
      <w:r>
        <w:rPr>
          <w:spacing w:val="-1"/>
          <w:w w:val="95"/>
        </w:rPr>
        <w:t xml:space="preserve"> </w:t>
      </w:r>
      <w:r>
        <w:rPr>
          <w:w w:val="95"/>
        </w:rPr>
        <w:t>tangible</w:t>
      </w:r>
      <w:r>
        <w:rPr>
          <w:spacing w:val="-1"/>
          <w:w w:val="95"/>
        </w:rPr>
        <w:t xml:space="preserve"> </w:t>
      </w:r>
      <w:r>
        <w:rPr>
          <w:w w:val="95"/>
        </w:rPr>
        <w:t>damages</w:t>
      </w:r>
    </w:p>
    <w:p w:rsidR="002C1123" w:rsidRDefault="00F22F94">
      <w:pPr>
        <w:pStyle w:val="BodyText"/>
        <w:spacing w:before="3" w:line="249" w:lineRule="auto"/>
        <w:ind w:left="492" w:right="109"/>
      </w:pPr>
      <w:r>
        <w:rPr>
          <w:w w:val="95"/>
        </w:rPr>
        <w:t>in</w:t>
      </w:r>
      <w:r>
        <w:rPr>
          <w:spacing w:val="-3"/>
          <w:w w:val="95"/>
        </w:rPr>
        <w:t xml:space="preserve"> </w:t>
      </w:r>
      <w:r>
        <w:rPr>
          <w:w w:val="95"/>
        </w:rPr>
        <w:t>the</w:t>
      </w:r>
      <w:r>
        <w:rPr>
          <w:spacing w:val="-3"/>
          <w:w w:val="95"/>
        </w:rPr>
        <w:t xml:space="preserve"> </w:t>
      </w:r>
      <w:r>
        <w:rPr>
          <w:w w:val="95"/>
        </w:rPr>
        <w:t>HNV.</w:t>
      </w:r>
      <w:r>
        <w:rPr>
          <w:spacing w:val="-3"/>
          <w:w w:val="95"/>
        </w:rPr>
        <w:t xml:space="preserve"> </w:t>
      </w:r>
      <w:r>
        <w:rPr>
          <w:w w:val="95"/>
        </w:rPr>
        <w:t>It</w:t>
      </w:r>
      <w:r>
        <w:rPr>
          <w:spacing w:val="-3"/>
          <w:w w:val="95"/>
        </w:rPr>
        <w:t xml:space="preserve"> </w:t>
      </w:r>
      <w:r>
        <w:rPr>
          <w:w w:val="95"/>
        </w:rPr>
        <w:t>would</w:t>
      </w:r>
      <w:r>
        <w:rPr>
          <w:spacing w:val="-3"/>
          <w:w w:val="95"/>
        </w:rPr>
        <w:t xml:space="preserve"> </w:t>
      </w:r>
      <w:r>
        <w:rPr>
          <w:w w:val="95"/>
        </w:rPr>
        <w:t>flood</w:t>
      </w:r>
      <w:r>
        <w:rPr>
          <w:spacing w:val="-3"/>
          <w:w w:val="95"/>
        </w:rPr>
        <w:t xml:space="preserve"> </w:t>
      </w:r>
      <w:r>
        <w:rPr>
          <w:w w:val="95"/>
        </w:rPr>
        <w:t>14,000</w:t>
      </w:r>
      <w:r>
        <w:rPr>
          <w:spacing w:val="-3"/>
          <w:w w:val="95"/>
        </w:rPr>
        <w:t xml:space="preserve"> </w:t>
      </w:r>
      <w:r>
        <w:rPr>
          <w:w w:val="95"/>
        </w:rPr>
        <w:t>homes</w:t>
      </w:r>
      <w:r>
        <w:rPr>
          <w:spacing w:val="-3"/>
          <w:w w:val="95"/>
        </w:rPr>
        <w:t xml:space="preserve"> </w:t>
      </w:r>
      <w:r>
        <w:rPr>
          <w:w w:val="95"/>
        </w:rPr>
        <w:t>above</w:t>
      </w:r>
      <w:r>
        <w:rPr>
          <w:spacing w:val="-3"/>
          <w:w w:val="95"/>
        </w:rPr>
        <w:t xml:space="preserve"> </w:t>
      </w:r>
      <w:r>
        <w:rPr>
          <w:w w:val="95"/>
        </w:rPr>
        <w:t>floor level</w:t>
      </w:r>
      <w:r>
        <w:rPr>
          <w:spacing w:val="-13"/>
          <w:w w:val="95"/>
        </w:rPr>
        <w:t xml:space="preserve"> </w:t>
      </w:r>
      <w:r>
        <w:rPr>
          <w:w w:val="95"/>
        </w:rPr>
        <w:t>and</w:t>
      </w:r>
      <w:r>
        <w:rPr>
          <w:spacing w:val="-12"/>
          <w:w w:val="95"/>
        </w:rPr>
        <w:t xml:space="preserve"> </w:t>
      </w:r>
      <w:r>
        <w:rPr>
          <w:w w:val="95"/>
        </w:rPr>
        <w:t>destroy</w:t>
      </w:r>
      <w:r>
        <w:rPr>
          <w:spacing w:val="-12"/>
          <w:w w:val="95"/>
        </w:rPr>
        <w:t xml:space="preserve"> </w:t>
      </w:r>
      <w:r>
        <w:rPr>
          <w:w w:val="95"/>
        </w:rPr>
        <w:t>6,500</w:t>
      </w:r>
      <w:r>
        <w:rPr>
          <w:spacing w:val="-12"/>
          <w:w w:val="95"/>
        </w:rPr>
        <w:t xml:space="preserve"> </w:t>
      </w:r>
      <w:r>
        <w:rPr>
          <w:w w:val="95"/>
        </w:rPr>
        <w:t>homes.</w:t>
      </w:r>
      <w:r>
        <w:rPr>
          <w:spacing w:val="-12"/>
          <w:w w:val="95"/>
        </w:rPr>
        <w:t xml:space="preserve"> </w:t>
      </w:r>
      <w:r>
        <w:rPr>
          <w:w w:val="95"/>
        </w:rPr>
        <w:t>At</w:t>
      </w:r>
      <w:r>
        <w:rPr>
          <w:spacing w:val="-13"/>
          <w:w w:val="95"/>
        </w:rPr>
        <w:t xml:space="preserve"> </w:t>
      </w:r>
      <w:r>
        <w:rPr>
          <w:w w:val="95"/>
        </w:rPr>
        <w:t>risk</w:t>
      </w:r>
      <w:r>
        <w:rPr>
          <w:spacing w:val="-12"/>
          <w:w w:val="95"/>
        </w:rPr>
        <w:t xml:space="preserve"> </w:t>
      </w:r>
      <w:r>
        <w:rPr>
          <w:w w:val="95"/>
        </w:rPr>
        <w:t>would</w:t>
      </w:r>
      <w:r>
        <w:rPr>
          <w:spacing w:val="-12"/>
          <w:w w:val="95"/>
        </w:rPr>
        <w:t xml:space="preserve"> </w:t>
      </w:r>
      <w:r>
        <w:rPr>
          <w:w w:val="95"/>
        </w:rPr>
        <w:t>be</w:t>
      </w:r>
      <w:r>
        <w:rPr>
          <w:spacing w:val="-12"/>
          <w:w w:val="95"/>
        </w:rPr>
        <w:t xml:space="preserve"> </w:t>
      </w:r>
      <w:r>
        <w:rPr>
          <w:w w:val="95"/>
        </w:rPr>
        <w:t xml:space="preserve">43,000 </w:t>
      </w:r>
      <w:r>
        <w:rPr>
          <w:w w:val="90"/>
        </w:rPr>
        <w:t xml:space="preserve">residents and 9,000 employees of local businesses. The </w:t>
      </w:r>
      <w:r>
        <w:rPr>
          <w:w w:val="95"/>
        </w:rPr>
        <w:t>impact</w:t>
      </w:r>
      <w:r>
        <w:rPr>
          <w:spacing w:val="-9"/>
          <w:w w:val="95"/>
        </w:rPr>
        <w:t xml:space="preserve"> </w:t>
      </w:r>
      <w:r>
        <w:rPr>
          <w:w w:val="95"/>
        </w:rPr>
        <w:t>of</w:t>
      </w:r>
      <w:r>
        <w:rPr>
          <w:spacing w:val="-9"/>
          <w:w w:val="95"/>
        </w:rPr>
        <w:t xml:space="preserve"> </w:t>
      </w:r>
      <w:r>
        <w:rPr>
          <w:w w:val="95"/>
        </w:rPr>
        <w:t>such</w:t>
      </w:r>
      <w:r>
        <w:rPr>
          <w:spacing w:val="-9"/>
          <w:w w:val="95"/>
        </w:rPr>
        <w:t xml:space="preserve"> </w:t>
      </w:r>
      <w:r>
        <w:rPr>
          <w:w w:val="95"/>
        </w:rPr>
        <w:t>a</w:t>
      </w:r>
      <w:r>
        <w:rPr>
          <w:spacing w:val="-9"/>
          <w:w w:val="95"/>
        </w:rPr>
        <w:t xml:space="preserve"> </w:t>
      </w:r>
      <w:r>
        <w:rPr>
          <w:w w:val="95"/>
        </w:rPr>
        <w:t>disaster</w:t>
      </w:r>
      <w:r>
        <w:rPr>
          <w:spacing w:val="-9"/>
          <w:w w:val="95"/>
        </w:rPr>
        <w:t xml:space="preserve"> </w:t>
      </w:r>
      <w:r>
        <w:rPr>
          <w:w w:val="95"/>
        </w:rPr>
        <w:t>would</w:t>
      </w:r>
      <w:r>
        <w:rPr>
          <w:spacing w:val="-9"/>
          <w:w w:val="95"/>
        </w:rPr>
        <w:t xml:space="preserve"> </w:t>
      </w:r>
      <w:r>
        <w:rPr>
          <w:w w:val="95"/>
        </w:rPr>
        <w:t>be</w:t>
      </w:r>
      <w:r>
        <w:rPr>
          <w:spacing w:val="-9"/>
          <w:w w:val="95"/>
        </w:rPr>
        <w:t xml:space="preserve"> </w:t>
      </w:r>
      <w:r>
        <w:rPr>
          <w:w w:val="95"/>
        </w:rPr>
        <w:t>felt</w:t>
      </w:r>
      <w:r>
        <w:rPr>
          <w:spacing w:val="-9"/>
          <w:w w:val="95"/>
        </w:rPr>
        <w:t xml:space="preserve"> </w:t>
      </w:r>
      <w:r>
        <w:rPr>
          <w:w w:val="95"/>
        </w:rPr>
        <w:t>across</w:t>
      </w:r>
      <w:r>
        <w:rPr>
          <w:spacing w:val="-9"/>
          <w:w w:val="95"/>
        </w:rPr>
        <w:t xml:space="preserve"> </w:t>
      </w:r>
      <w:r>
        <w:rPr>
          <w:w w:val="95"/>
        </w:rPr>
        <w:t>the</w:t>
      </w:r>
      <w:r>
        <w:rPr>
          <w:spacing w:val="-9"/>
          <w:w w:val="95"/>
        </w:rPr>
        <w:t xml:space="preserve"> </w:t>
      </w:r>
      <w:r>
        <w:rPr>
          <w:w w:val="95"/>
        </w:rPr>
        <w:t>NSW</w:t>
      </w:r>
    </w:p>
    <w:p w:rsidR="002C1123" w:rsidRDefault="00F22F94">
      <w:pPr>
        <w:pStyle w:val="BodyText"/>
        <w:spacing w:before="3" w:line="249" w:lineRule="auto"/>
        <w:ind w:left="492" w:right="84"/>
      </w:pPr>
      <w:r>
        <w:rPr>
          <w:w w:val="90"/>
        </w:rPr>
        <w:t xml:space="preserve">and Australian economy and impact negatively on people </w:t>
      </w:r>
      <w:r>
        <w:rPr>
          <w:w w:val="95"/>
        </w:rPr>
        <w:t>and</w:t>
      </w:r>
      <w:r>
        <w:rPr>
          <w:spacing w:val="-5"/>
          <w:w w:val="95"/>
        </w:rPr>
        <w:t xml:space="preserve"> </w:t>
      </w:r>
      <w:r>
        <w:rPr>
          <w:w w:val="95"/>
        </w:rPr>
        <w:t>businesses</w:t>
      </w:r>
      <w:r>
        <w:rPr>
          <w:spacing w:val="-5"/>
          <w:w w:val="95"/>
        </w:rPr>
        <w:t xml:space="preserve"> </w:t>
      </w:r>
      <w:r>
        <w:rPr>
          <w:w w:val="95"/>
        </w:rPr>
        <w:t>outside</w:t>
      </w:r>
      <w:r>
        <w:rPr>
          <w:spacing w:val="-5"/>
          <w:w w:val="95"/>
        </w:rPr>
        <w:t xml:space="preserve"> </w:t>
      </w:r>
      <w:r>
        <w:rPr>
          <w:w w:val="95"/>
        </w:rPr>
        <w:t>the</w:t>
      </w:r>
      <w:r>
        <w:rPr>
          <w:spacing w:val="-5"/>
          <w:w w:val="95"/>
        </w:rPr>
        <w:t xml:space="preserve"> </w:t>
      </w:r>
      <w:r>
        <w:rPr>
          <w:w w:val="95"/>
        </w:rPr>
        <w:t>HNV.</w:t>
      </w:r>
      <w:r>
        <w:rPr>
          <w:spacing w:val="-5"/>
          <w:w w:val="95"/>
        </w:rPr>
        <w:t xml:space="preserve"> </w:t>
      </w:r>
      <w:r>
        <w:rPr>
          <w:w w:val="95"/>
        </w:rPr>
        <w:t>The</w:t>
      </w:r>
      <w:r>
        <w:rPr>
          <w:spacing w:val="-5"/>
          <w:w w:val="95"/>
        </w:rPr>
        <w:t xml:space="preserve"> </w:t>
      </w:r>
      <w:r>
        <w:rPr>
          <w:w w:val="95"/>
        </w:rPr>
        <w:t>western</w:t>
      </w:r>
      <w:r>
        <w:rPr>
          <w:spacing w:val="-5"/>
          <w:w w:val="95"/>
        </w:rPr>
        <w:t xml:space="preserve"> </w:t>
      </w:r>
      <w:r>
        <w:rPr>
          <w:w w:val="95"/>
        </w:rPr>
        <w:t>railway line,</w:t>
      </w:r>
      <w:r>
        <w:rPr>
          <w:spacing w:val="-13"/>
          <w:w w:val="95"/>
        </w:rPr>
        <w:t xml:space="preserve"> </w:t>
      </w:r>
      <w:r>
        <w:rPr>
          <w:w w:val="95"/>
        </w:rPr>
        <w:t>for</w:t>
      </w:r>
      <w:r>
        <w:rPr>
          <w:spacing w:val="-12"/>
          <w:w w:val="95"/>
        </w:rPr>
        <w:t xml:space="preserve"> </w:t>
      </w:r>
      <w:r>
        <w:rPr>
          <w:w w:val="95"/>
        </w:rPr>
        <w:t>example,</w:t>
      </w:r>
      <w:r>
        <w:rPr>
          <w:spacing w:val="-12"/>
          <w:w w:val="95"/>
        </w:rPr>
        <w:t xml:space="preserve"> </w:t>
      </w:r>
      <w:r>
        <w:rPr>
          <w:w w:val="95"/>
        </w:rPr>
        <w:t>would</w:t>
      </w:r>
      <w:r>
        <w:rPr>
          <w:spacing w:val="-12"/>
          <w:w w:val="95"/>
        </w:rPr>
        <w:t xml:space="preserve"> </w:t>
      </w:r>
      <w:r>
        <w:rPr>
          <w:w w:val="95"/>
        </w:rPr>
        <w:t>be</w:t>
      </w:r>
      <w:r>
        <w:rPr>
          <w:spacing w:val="-13"/>
          <w:w w:val="95"/>
        </w:rPr>
        <w:t xml:space="preserve"> </w:t>
      </w:r>
      <w:r>
        <w:rPr>
          <w:w w:val="95"/>
        </w:rPr>
        <w:t>disrupted</w:t>
      </w:r>
      <w:r>
        <w:rPr>
          <w:spacing w:val="-12"/>
          <w:w w:val="95"/>
        </w:rPr>
        <w:t xml:space="preserve"> </w:t>
      </w:r>
      <w:r>
        <w:rPr>
          <w:w w:val="95"/>
        </w:rPr>
        <w:t>for</w:t>
      </w:r>
      <w:r>
        <w:rPr>
          <w:spacing w:val="-12"/>
          <w:w w:val="95"/>
        </w:rPr>
        <w:t xml:space="preserve"> </w:t>
      </w:r>
      <w:r>
        <w:rPr>
          <w:w w:val="95"/>
        </w:rPr>
        <w:t>up</w:t>
      </w:r>
      <w:r>
        <w:rPr>
          <w:spacing w:val="-12"/>
          <w:w w:val="95"/>
        </w:rPr>
        <w:t xml:space="preserve"> </w:t>
      </w:r>
      <w:r>
        <w:rPr>
          <w:w w:val="95"/>
        </w:rPr>
        <w:t>to</w:t>
      </w:r>
      <w:r>
        <w:rPr>
          <w:spacing w:val="-12"/>
          <w:w w:val="95"/>
        </w:rPr>
        <w:t xml:space="preserve"> </w:t>
      </w:r>
      <w:r>
        <w:rPr>
          <w:w w:val="95"/>
        </w:rPr>
        <w:t>six</w:t>
      </w:r>
      <w:r>
        <w:rPr>
          <w:spacing w:val="-13"/>
          <w:w w:val="95"/>
        </w:rPr>
        <w:t xml:space="preserve"> </w:t>
      </w:r>
      <w:r>
        <w:rPr>
          <w:w w:val="95"/>
        </w:rPr>
        <w:t>months which</w:t>
      </w:r>
      <w:r>
        <w:rPr>
          <w:spacing w:val="-7"/>
          <w:w w:val="95"/>
        </w:rPr>
        <w:t xml:space="preserve"> </w:t>
      </w:r>
      <w:r>
        <w:rPr>
          <w:w w:val="95"/>
        </w:rPr>
        <w:t>affects</w:t>
      </w:r>
      <w:r>
        <w:rPr>
          <w:spacing w:val="-7"/>
          <w:w w:val="95"/>
        </w:rPr>
        <w:t xml:space="preserve"> </w:t>
      </w:r>
      <w:r>
        <w:rPr>
          <w:w w:val="95"/>
        </w:rPr>
        <w:t>coal</w:t>
      </w:r>
      <w:r>
        <w:rPr>
          <w:spacing w:val="-7"/>
          <w:w w:val="95"/>
        </w:rPr>
        <w:t xml:space="preserve"> </w:t>
      </w:r>
      <w:r>
        <w:rPr>
          <w:w w:val="95"/>
        </w:rPr>
        <w:t>and</w:t>
      </w:r>
      <w:r>
        <w:rPr>
          <w:spacing w:val="-7"/>
          <w:w w:val="95"/>
        </w:rPr>
        <w:t xml:space="preserve"> </w:t>
      </w:r>
      <w:r>
        <w:rPr>
          <w:w w:val="95"/>
        </w:rPr>
        <w:t>other</w:t>
      </w:r>
      <w:r>
        <w:rPr>
          <w:spacing w:val="-7"/>
          <w:w w:val="95"/>
        </w:rPr>
        <w:t xml:space="preserve"> </w:t>
      </w:r>
      <w:r>
        <w:rPr>
          <w:w w:val="95"/>
        </w:rPr>
        <w:t>freight</w:t>
      </w:r>
      <w:r>
        <w:rPr>
          <w:spacing w:val="-7"/>
          <w:w w:val="95"/>
        </w:rPr>
        <w:t xml:space="preserve"> </w:t>
      </w:r>
      <w:r>
        <w:rPr>
          <w:w w:val="95"/>
        </w:rPr>
        <w:t>exports</w:t>
      </w:r>
      <w:r>
        <w:rPr>
          <w:spacing w:val="-7"/>
          <w:w w:val="95"/>
        </w:rPr>
        <w:t xml:space="preserve"> </w:t>
      </w:r>
      <w:r>
        <w:rPr>
          <w:w w:val="95"/>
        </w:rPr>
        <w:t>from</w:t>
      </w:r>
      <w:r>
        <w:rPr>
          <w:spacing w:val="-7"/>
          <w:w w:val="95"/>
        </w:rPr>
        <w:t xml:space="preserve"> </w:t>
      </w:r>
      <w:r>
        <w:rPr>
          <w:w w:val="95"/>
        </w:rPr>
        <w:t>Central and</w:t>
      </w:r>
      <w:r>
        <w:rPr>
          <w:spacing w:val="-11"/>
          <w:w w:val="95"/>
        </w:rPr>
        <w:t xml:space="preserve"> </w:t>
      </w:r>
      <w:r>
        <w:rPr>
          <w:w w:val="95"/>
        </w:rPr>
        <w:t>Western</w:t>
      </w:r>
      <w:r>
        <w:rPr>
          <w:spacing w:val="-11"/>
          <w:w w:val="95"/>
        </w:rPr>
        <w:t xml:space="preserve"> </w:t>
      </w:r>
      <w:r>
        <w:rPr>
          <w:w w:val="95"/>
        </w:rPr>
        <w:t>NSW.</w:t>
      </w:r>
      <w:r>
        <w:rPr>
          <w:spacing w:val="-11"/>
          <w:w w:val="95"/>
        </w:rPr>
        <w:t xml:space="preserve"> </w:t>
      </w:r>
      <w:r>
        <w:rPr>
          <w:w w:val="95"/>
        </w:rPr>
        <w:t>It</w:t>
      </w:r>
      <w:r>
        <w:rPr>
          <w:spacing w:val="-11"/>
          <w:w w:val="95"/>
        </w:rPr>
        <w:t xml:space="preserve"> </w:t>
      </w:r>
      <w:r>
        <w:rPr>
          <w:w w:val="95"/>
        </w:rPr>
        <w:t>would</w:t>
      </w:r>
      <w:r>
        <w:rPr>
          <w:spacing w:val="-11"/>
          <w:w w:val="95"/>
        </w:rPr>
        <w:t xml:space="preserve"> </w:t>
      </w:r>
      <w:r>
        <w:rPr>
          <w:w w:val="95"/>
        </w:rPr>
        <w:t>also</w:t>
      </w:r>
      <w:r>
        <w:rPr>
          <w:spacing w:val="-11"/>
          <w:w w:val="95"/>
        </w:rPr>
        <w:t xml:space="preserve"> </w:t>
      </w:r>
      <w:r>
        <w:rPr>
          <w:w w:val="95"/>
        </w:rPr>
        <w:t>disrupt</w:t>
      </w:r>
      <w:r>
        <w:rPr>
          <w:spacing w:val="-11"/>
          <w:w w:val="95"/>
        </w:rPr>
        <w:t xml:space="preserve"> </w:t>
      </w:r>
      <w:r>
        <w:rPr>
          <w:w w:val="95"/>
        </w:rPr>
        <w:t>6,000</w:t>
      </w:r>
      <w:r>
        <w:rPr>
          <w:spacing w:val="-11"/>
          <w:w w:val="95"/>
        </w:rPr>
        <w:t xml:space="preserve"> </w:t>
      </w:r>
      <w:r>
        <w:rPr>
          <w:w w:val="95"/>
        </w:rPr>
        <w:t>daily</w:t>
      </w:r>
      <w:r>
        <w:rPr>
          <w:spacing w:val="-11"/>
          <w:w w:val="95"/>
        </w:rPr>
        <w:t xml:space="preserve"> </w:t>
      </w:r>
      <w:r>
        <w:rPr>
          <w:w w:val="95"/>
        </w:rPr>
        <w:t>train commuters from the Blue Mountains and passenger services from Central and Western NSW.</w:t>
      </w:r>
    </w:p>
    <w:p w:rsidR="002C1123" w:rsidRDefault="002060EF">
      <w:pPr>
        <w:pStyle w:val="BodyText"/>
        <w:spacing w:before="10"/>
        <w:rPr>
          <w:sz w:val="16"/>
        </w:rPr>
      </w:pPr>
      <w:r>
        <w:pict>
          <v:shape id="docshape2230" o:spid="_x0000_s1815" style="position:absolute;margin-left:49.6pt;margin-top:10.9pt;width:1in;height:.1pt;z-index:-251338752;mso-wrap-distance-left:0;mso-wrap-distance-right:0;mso-position-horizontal-relative:page" coordorigin="992,218" coordsize="1440,0" path="m992,218r1440,e" filled="f" strokecolor="#9c9c9d" strokeweight=".5pt">
            <v:path arrowok="t"/>
            <w10:wrap type="topAndBottom" anchorx="page"/>
          </v:shape>
        </w:pict>
      </w:r>
    </w:p>
    <w:p w:rsidR="002C1123" w:rsidRDefault="00F22F94">
      <w:pPr>
        <w:pStyle w:val="ListParagraph"/>
        <w:numPr>
          <w:ilvl w:val="3"/>
          <w:numId w:val="57"/>
        </w:numPr>
        <w:tabs>
          <w:tab w:val="left" w:pos="691"/>
        </w:tabs>
        <w:spacing w:before="23"/>
        <w:ind w:left="690"/>
        <w:jc w:val="left"/>
        <w:rPr>
          <w:sz w:val="14"/>
        </w:rPr>
      </w:pPr>
      <w:r>
        <w:rPr>
          <w:w w:val="95"/>
          <w:sz w:val="14"/>
        </w:rPr>
        <w:t>Molino</w:t>
      </w:r>
      <w:r>
        <w:rPr>
          <w:spacing w:val="2"/>
          <w:sz w:val="14"/>
        </w:rPr>
        <w:t xml:space="preserve"> </w:t>
      </w:r>
      <w:r>
        <w:rPr>
          <w:w w:val="95"/>
          <w:sz w:val="14"/>
        </w:rPr>
        <w:t>Stewart</w:t>
      </w:r>
      <w:r>
        <w:rPr>
          <w:spacing w:val="2"/>
          <w:sz w:val="14"/>
        </w:rPr>
        <w:t xml:space="preserve"> </w:t>
      </w:r>
      <w:r>
        <w:rPr>
          <w:w w:val="95"/>
          <w:sz w:val="14"/>
        </w:rPr>
        <w:t>2012,</w:t>
      </w:r>
      <w:r>
        <w:rPr>
          <w:spacing w:val="3"/>
          <w:sz w:val="14"/>
        </w:rPr>
        <w:t xml:space="preserve"> </w:t>
      </w:r>
      <w:r>
        <w:rPr>
          <w:w w:val="95"/>
          <w:sz w:val="14"/>
        </w:rPr>
        <w:t>Hawkesbury</w:t>
      </w:r>
      <w:r>
        <w:rPr>
          <w:spacing w:val="2"/>
          <w:sz w:val="14"/>
        </w:rPr>
        <w:t xml:space="preserve"> </w:t>
      </w:r>
      <w:r>
        <w:rPr>
          <w:w w:val="95"/>
          <w:sz w:val="14"/>
        </w:rPr>
        <w:t>–</w:t>
      </w:r>
      <w:r>
        <w:rPr>
          <w:spacing w:val="3"/>
          <w:sz w:val="14"/>
        </w:rPr>
        <w:t xml:space="preserve"> </w:t>
      </w:r>
      <w:r>
        <w:rPr>
          <w:w w:val="95"/>
          <w:sz w:val="14"/>
        </w:rPr>
        <w:t>Nepean</w:t>
      </w:r>
      <w:r>
        <w:rPr>
          <w:spacing w:val="2"/>
          <w:sz w:val="14"/>
        </w:rPr>
        <w:t xml:space="preserve"> </w:t>
      </w:r>
      <w:r>
        <w:rPr>
          <w:w w:val="95"/>
          <w:sz w:val="14"/>
        </w:rPr>
        <w:t>Flood</w:t>
      </w:r>
      <w:r>
        <w:rPr>
          <w:spacing w:val="3"/>
          <w:sz w:val="14"/>
        </w:rPr>
        <w:t xml:space="preserve"> </w:t>
      </w:r>
      <w:r>
        <w:rPr>
          <w:w w:val="95"/>
          <w:sz w:val="14"/>
        </w:rPr>
        <w:t>Damages</w:t>
      </w:r>
      <w:r>
        <w:rPr>
          <w:spacing w:val="2"/>
          <w:sz w:val="14"/>
        </w:rPr>
        <w:t xml:space="preserve"> </w:t>
      </w:r>
      <w:r>
        <w:rPr>
          <w:spacing w:val="-2"/>
          <w:w w:val="95"/>
          <w:sz w:val="14"/>
        </w:rPr>
        <w:t>Report.</w:t>
      </w:r>
    </w:p>
    <w:p w:rsidR="002C1123" w:rsidRDefault="00F22F94">
      <w:pPr>
        <w:pStyle w:val="BodyText"/>
        <w:spacing w:before="106" w:line="249" w:lineRule="auto"/>
        <w:ind w:left="200" w:right="297"/>
      </w:pPr>
      <w:r>
        <w:br w:type="column"/>
      </w:r>
      <w:r>
        <w:rPr>
          <w:spacing w:val="-2"/>
        </w:rPr>
        <w:t>Flooding</w:t>
      </w:r>
      <w:r>
        <w:rPr>
          <w:spacing w:val="-7"/>
        </w:rPr>
        <w:t xml:space="preserve"> </w:t>
      </w:r>
      <w:r>
        <w:rPr>
          <w:spacing w:val="-2"/>
        </w:rPr>
        <w:t>is</w:t>
      </w:r>
      <w:r>
        <w:rPr>
          <w:spacing w:val="-7"/>
        </w:rPr>
        <w:t xml:space="preserve"> </w:t>
      </w:r>
      <w:r>
        <w:rPr>
          <w:spacing w:val="-2"/>
        </w:rPr>
        <w:t>a</w:t>
      </w:r>
      <w:r>
        <w:rPr>
          <w:spacing w:val="-7"/>
        </w:rPr>
        <w:t xml:space="preserve"> </w:t>
      </w:r>
      <w:r>
        <w:rPr>
          <w:spacing w:val="-2"/>
        </w:rPr>
        <w:t>significant</w:t>
      </w:r>
      <w:r>
        <w:rPr>
          <w:spacing w:val="-7"/>
        </w:rPr>
        <w:t xml:space="preserve"> </w:t>
      </w:r>
      <w:r>
        <w:rPr>
          <w:spacing w:val="-2"/>
        </w:rPr>
        <w:t>planning</w:t>
      </w:r>
      <w:r>
        <w:rPr>
          <w:spacing w:val="-7"/>
        </w:rPr>
        <w:t xml:space="preserve"> </w:t>
      </w:r>
      <w:r>
        <w:rPr>
          <w:spacing w:val="-2"/>
        </w:rPr>
        <w:t>issue</w:t>
      </w:r>
      <w:r>
        <w:rPr>
          <w:spacing w:val="-7"/>
        </w:rPr>
        <w:t xml:space="preserve"> </w:t>
      </w:r>
      <w:r>
        <w:rPr>
          <w:spacing w:val="-2"/>
        </w:rPr>
        <w:t>in</w:t>
      </w:r>
      <w:r>
        <w:rPr>
          <w:spacing w:val="-7"/>
        </w:rPr>
        <w:t xml:space="preserve"> </w:t>
      </w:r>
      <w:r>
        <w:rPr>
          <w:spacing w:val="-2"/>
        </w:rPr>
        <w:t>the</w:t>
      </w:r>
      <w:r>
        <w:rPr>
          <w:spacing w:val="-7"/>
        </w:rPr>
        <w:t xml:space="preserve"> </w:t>
      </w:r>
      <w:r>
        <w:rPr>
          <w:spacing w:val="-2"/>
        </w:rPr>
        <w:t xml:space="preserve">HNV. </w:t>
      </w:r>
      <w:r>
        <w:rPr>
          <w:w w:val="95"/>
        </w:rPr>
        <w:t>While</w:t>
      </w:r>
      <w:r>
        <w:rPr>
          <w:spacing w:val="-9"/>
          <w:w w:val="95"/>
        </w:rPr>
        <w:t xml:space="preserve"> </w:t>
      </w:r>
      <w:r>
        <w:rPr>
          <w:w w:val="95"/>
        </w:rPr>
        <w:t>in</w:t>
      </w:r>
      <w:r>
        <w:rPr>
          <w:spacing w:val="-9"/>
          <w:w w:val="95"/>
        </w:rPr>
        <w:t xml:space="preserve"> </w:t>
      </w:r>
      <w:r>
        <w:rPr>
          <w:w w:val="95"/>
        </w:rPr>
        <w:t>general,</w:t>
      </w:r>
      <w:r>
        <w:rPr>
          <w:spacing w:val="-9"/>
          <w:w w:val="95"/>
        </w:rPr>
        <w:t xml:space="preserve"> </w:t>
      </w:r>
      <w:r>
        <w:rPr>
          <w:w w:val="95"/>
        </w:rPr>
        <w:t>development</w:t>
      </w:r>
      <w:r>
        <w:rPr>
          <w:spacing w:val="-9"/>
          <w:w w:val="95"/>
        </w:rPr>
        <w:t xml:space="preserve"> </w:t>
      </w:r>
      <w:r>
        <w:rPr>
          <w:w w:val="95"/>
        </w:rPr>
        <w:t>is</w:t>
      </w:r>
      <w:r>
        <w:rPr>
          <w:spacing w:val="-9"/>
          <w:w w:val="95"/>
        </w:rPr>
        <w:t xml:space="preserve"> </w:t>
      </w:r>
      <w:r>
        <w:rPr>
          <w:w w:val="95"/>
        </w:rPr>
        <w:t>allowed</w:t>
      </w:r>
      <w:r>
        <w:rPr>
          <w:spacing w:val="-9"/>
          <w:w w:val="95"/>
        </w:rPr>
        <w:t xml:space="preserve"> </w:t>
      </w:r>
      <w:r>
        <w:rPr>
          <w:w w:val="95"/>
        </w:rPr>
        <w:t>at</w:t>
      </w:r>
      <w:r>
        <w:rPr>
          <w:spacing w:val="-9"/>
          <w:w w:val="95"/>
        </w:rPr>
        <w:t xml:space="preserve"> </w:t>
      </w:r>
      <w:r>
        <w:rPr>
          <w:w w:val="95"/>
        </w:rPr>
        <w:t>or</w:t>
      </w:r>
      <w:r>
        <w:rPr>
          <w:spacing w:val="-9"/>
          <w:w w:val="95"/>
        </w:rPr>
        <w:t xml:space="preserve"> </w:t>
      </w:r>
      <w:r>
        <w:rPr>
          <w:w w:val="95"/>
        </w:rPr>
        <w:t xml:space="preserve">above </w:t>
      </w:r>
      <w:r>
        <w:t>1</w:t>
      </w:r>
      <w:r>
        <w:rPr>
          <w:spacing w:val="-13"/>
        </w:rPr>
        <w:t xml:space="preserve"> </w:t>
      </w:r>
      <w:r>
        <w:t>in</w:t>
      </w:r>
      <w:r>
        <w:rPr>
          <w:spacing w:val="-13"/>
        </w:rPr>
        <w:t xml:space="preserve"> </w:t>
      </w:r>
      <w:r>
        <w:t>100</w:t>
      </w:r>
      <w:r>
        <w:rPr>
          <w:spacing w:val="-13"/>
        </w:rPr>
        <w:t xml:space="preserve"> </w:t>
      </w:r>
      <w:r>
        <w:t>year</w:t>
      </w:r>
      <w:r>
        <w:rPr>
          <w:spacing w:val="-13"/>
        </w:rPr>
        <w:t xml:space="preserve"> </w:t>
      </w:r>
      <w:r>
        <w:t>flood</w:t>
      </w:r>
      <w:r>
        <w:rPr>
          <w:spacing w:val="-13"/>
        </w:rPr>
        <w:t xml:space="preserve"> </w:t>
      </w:r>
      <w:r>
        <w:t>planning</w:t>
      </w:r>
      <w:r>
        <w:rPr>
          <w:spacing w:val="-13"/>
        </w:rPr>
        <w:t xml:space="preserve"> </w:t>
      </w:r>
      <w:r>
        <w:t>levels,</w:t>
      </w:r>
      <w:r>
        <w:rPr>
          <w:spacing w:val="-13"/>
        </w:rPr>
        <w:t xml:space="preserve"> </w:t>
      </w:r>
      <w:r>
        <w:t>the</w:t>
      </w:r>
      <w:r>
        <w:rPr>
          <w:spacing w:val="-13"/>
        </w:rPr>
        <w:t xml:space="preserve"> </w:t>
      </w:r>
      <w:r>
        <w:t>capacity</w:t>
      </w:r>
      <w:r>
        <w:rPr>
          <w:spacing w:val="-13"/>
        </w:rPr>
        <w:t xml:space="preserve"> </w:t>
      </w:r>
      <w:r>
        <w:t xml:space="preserve">of </w:t>
      </w:r>
      <w:r>
        <w:rPr>
          <w:spacing w:val="-2"/>
        </w:rPr>
        <w:t>designated</w:t>
      </w:r>
      <w:r>
        <w:rPr>
          <w:spacing w:val="-8"/>
        </w:rPr>
        <w:t xml:space="preserve"> </w:t>
      </w:r>
      <w:r>
        <w:rPr>
          <w:spacing w:val="-2"/>
        </w:rPr>
        <w:t>evacuation</w:t>
      </w:r>
      <w:r>
        <w:rPr>
          <w:spacing w:val="-8"/>
        </w:rPr>
        <w:t xml:space="preserve"> </w:t>
      </w:r>
      <w:r>
        <w:rPr>
          <w:spacing w:val="-2"/>
        </w:rPr>
        <w:t>routes</w:t>
      </w:r>
      <w:r>
        <w:rPr>
          <w:spacing w:val="-8"/>
        </w:rPr>
        <w:t xml:space="preserve"> </w:t>
      </w:r>
      <w:r>
        <w:rPr>
          <w:spacing w:val="-2"/>
        </w:rPr>
        <w:t>is</w:t>
      </w:r>
      <w:r>
        <w:rPr>
          <w:spacing w:val="-8"/>
        </w:rPr>
        <w:t xml:space="preserve"> </w:t>
      </w:r>
      <w:r>
        <w:rPr>
          <w:spacing w:val="-2"/>
        </w:rPr>
        <w:t>a</w:t>
      </w:r>
      <w:r>
        <w:rPr>
          <w:spacing w:val="-8"/>
        </w:rPr>
        <w:t xml:space="preserve"> </w:t>
      </w:r>
      <w:r>
        <w:rPr>
          <w:spacing w:val="-2"/>
        </w:rPr>
        <w:t>major</w:t>
      </w:r>
      <w:r>
        <w:rPr>
          <w:spacing w:val="-8"/>
        </w:rPr>
        <w:t xml:space="preserve"> </w:t>
      </w:r>
      <w:r>
        <w:rPr>
          <w:spacing w:val="-2"/>
        </w:rPr>
        <w:t xml:space="preserve">constraint. </w:t>
      </w:r>
      <w:r>
        <w:t>Infrastructure</w:t>
      </w:r>
      <w:r>
        <w:rPr>
          <w:spacing w:val="-12"/>
        </w:rPr>
        <w:t xml:space="preserve"> </w:t>
      </w:r>
      <w:r>
        <w:t>NSW</w:t>
      </w:r>
      <w:r>
        <w:rPr>
          <w:spacing w:val="-12"/>
        </w:rPr>
        <w:t xml:space="preserve"> </w:t>
      </w:r>
      <w:r>
        <w:t>has</w:t>
      </w:r>
      <w:r>
        <w:rPr>
          <w:spacing w:val="-12"/>
        </w:rPr>
        <w:t xml:space="preserve"> </w:t>
      </w:r>
      <w:r>
        <w:t>been</w:t>
      </w:r>
      <w:r>
        <w:rPr>
          <w:spacing w:val="-12"/>
        </w:rPr>
        <w:t xml:space="preserve"> </w:t>
      </w:r>
      <w:r>
        <w:t>made</w:t>
      </w:r>
      <w:r>
        <w:rPr>
          <w:spacing w:val="-12"/>
        </w:rPr>
        <w:t xml:space="preserve"> </w:t>
      </w:r>
      <w:r>
        <w:t>aware</w:t>
      </w:r>
      <w:r>
        <w:rPr>
          <w:spacing w:val="-12"/>
        </w:rPr>
        <w:t xml:space="preserve"> </w:t>
      </w:r>
      <w:r>
        <w:t xml:space="preserve">of </w:t>
      </w:r>
      <w:r>
        <w:rPr>
          <w:w w:val="95"/>
        </w:rPr>
        <w:t>approximately</w:t>
      </w:r>
      <w:r>
        <w:rPr>
          <w:spacing w:val="-3"/>
          <w:w w:val="95"/>
        </w:rPr>
        <w:t xml:space="preserve"> </w:t>
      </w:r>
      <w:r>
        <w:rPr>
          <w:w w:val="95"/>
        </w:rPr>
        <w:t>8,000</w:t>
      </w:r>
      <w:r>
        <w:rPr>
          <w:spacing w:val="-3"/>
          <w:w w:val="95"/>
        </w:rPr>
        <w:t xml:space="preserve"> </w:t>
      </w:r>
      <w:r>
        <w:rPr>
          <w:w w:val="95"/>
        </w:rPr>
        <w:t>residential</w:t>
      </w:r>
      <w:r>
        <w:rPr>
          <w:spacing w:val="-3"/>
          <w:w w:val="95"/>
        </w:rPr>
        <w:t xml:space="preserve"> </w:t>
      </w:r>
      <w:r>
        <w:rPr>
          <w:w w:val="95"/>
        </w:rPr>
        <w:t>lots</w:t>
      </w:r>
      <w:r>
        <w:rPr>
          <w:spacing w:val="-3"/>
          <w:w w:val="95"/>
        </w:rPr>
        <w:t xml:space="preserve"> </w:t>
      </w:r>
      <w:r>
        <w:rPr>
          <w:w w:val="95"/>
        </w:rPr>
        <w:t>and</w:t>
      </w:r>
      <w:r>
        <w:rPr>
          <w:spacing w:val="-3"/>
          <w:w w:val="95"/>
        </w:rPr>
        <w:t xml:space="preserve"> </w:t>
      </w:r>
      <w:r>
        <w:rPr>
          <w:w w:val="95"/>
        </w:rPr>
        <w:t>60</w:t>
      </w:r>
      <w:r>
        <w:rPr>
          <w:spacing w:val="-3"/>
          <w:w w:val="95"/>
        </w:rPr>
        <w:t xml:space="preserve"> </w:t>
      </w:r>
      <w:r>
        <w:rPr>
          <w:w w:val="95"/>
        </w:rPr>
        <w:t>hectares of</w:t>
      </w:r>
      <w:r>
        <w:rPr>
          <w:spacing w:val="-7"/>
          <w:w w:val="95"/>
        </w:rPr>
        <w:t xml:space="preserve"> </w:t>
      </w:r>
      <w:r>
        <w:rPr>
          <w:w w:val="95"/>
        </w:rPr>
        <w:t>commercial</w:t>
      </w:r>
      <w:r>
        <w:rPr>
          <w:spacing w:val="-6"/>
          <w:w w:val="95"/>
        </w:rPr>
        <w:t xml:space="preserve"> </w:t>
      </w:r>
      <w:r>
        <w:rPr>
          <w:w w:val="95"/>
        </w:rPr>
        <w:t>and</w:t>
      </w:r>
      <w:r>
        <w:rPr>
          <w:spacing w:val="-6"/>
          <w:w w:val="95"/>
        </w:rPr>
        <w:t xml:space="preserve"> </w:t>
      </w:r>
      <w:r>
        <w:rPr>
          <w:w w:val="95"/>
        </w:rPr>
        <w:t>industrial</w:t>
      </w:r>
      <w:r>
        <w:rPr>
          <w:spacing w:val="-6"/>
          <w:w w:val="95"/>
        </w:rPr>
        <w:t xml:space="preserve"> </w:t>
      </w:r>
      <w:r>
        <w:rPr>
          <w:w w:val="95"/>
        </w:rPr>
        <w:t>land</w:t>
      </w:r>
      <w:r>
        <w:rPr>
          <w:spacing w:val="-6"/>
          <w:w w:val="95"/>
        </w:rPr>
        <w:t xml:space="preserve"> </w:t>
      </w:r>
      <w:r>
        <w:rPr>
          <w:w w:val="95"/>
        </w:rPr>
        <w:t>that</w:t>
      </w:r>
      <w:r>
        <w:rPr>
          <w:spacing w:val="-7"/>
          <w:w w:val="95"/>
        </w:rPr>
        <w:t xml:space="preserve"> </w:t>
      </w:r>
      <w:r>
        <w:rPr>
          <w:w w:val="95"/>
        </w:rPr>
        <w:t>have</w:t>
      </w:r>
      <w:r>
        <w:rPr>
          <w:spacing w:val="-6"/>
          <w:w w:val="95"/>
        </w:rPr>
        <w:t xml:space="preserve"> </w:t>
      </w:r>
      <w:r>
        <w:rPr>
          <w:w w:val="95"/>
        </w:rPr>
        <w:t>not</w:t>
      </w:r>
      <w:r>
        <w:rPr>
          <w:spacing w:val="-6"/>
          <w:w w:val="95"/>
        </w:rPr>
        <w:t xml:space="preserve"> </w:t>
      </w:r>
      <w:r>
        <w:rPr>
          <w:spacing w:val="-4"/>
          <w:w w:val="95"/>
        </w:rPr>
        <w:t>been</w:t>
      </w:r>
    </w:p>
    <w:p w:rsidR="002C1123" w:rsidRDefault="00F22F94">
      <w:pPr>
        <w:pStyle w:val="BodyText"/>
        <w:spacing w:before="6" w:line="249" w:lineRule="auto"/>
        <w:ind w:left="200"/>
      </w:pPr>
      <w:r>
        <w:rPr>
          <w:w w:val="95"/>
        </w:rPr>
        <w:t>developed</w:t>
      </w:r>
      <w:r>
        <w:rPr>
          <w:spacing w:val="-7"/>
          <w:w w:val="95"/>
        </w:rPr>
        <w:t xml:space="preserve"> </w:t>
      </w:r>
      <w:r>
        <w:rPr>
          <w:w w:val="95"/>
        </w:rPr>
        <w:t>due</w:t>
      </w:r>
      <w:r>
        <w:rPr>
          <w:spacing w:val="-7"/>
          <w:w w:val="95"/>
        </w:rPr>
        <w:t xml:space="preserve"> </w:t>
      </w:r>
      <w:r>
        <w:rPr>
          <w:w w:val="95"/>
        </w:rPr>
        <w:t>to</w:t>
      </w:r>
      <w:r>
        <w:rPr>
          <w:spacing w:val="-7"/>
          <w:w w:val="95"/>
        </w:rPr>
        <w:t xml:space="preserve"> </w:t>
      </w:r>
      <w:r>
        <w:rPr>
          <w:w w:val="95"/>
        </w:rPr>
        <w:t>evacuation</w:t>
      </w:r>
      <w:r>
        <w:rPr>
          <w:spacing w:val="-7"/>
          <w:w w:val="95"/>
        </w:rPr>
        <w:t xml:space="preserve"> </w:t>
      </w:r>
      <w:r>
        <w:rPr>
          <w:w w:val="95"/>
        </w:rPr>
        <w:t>constraints.</w:t>
      </w:r>
      <w:r>
        <w:rPr>
          <w:spacing w:val="-7"/>
          <w:w w:val="95"/>
        </w:rPr>
        <w:t xml:space="preserve"> </w:t>
      </w:r>
      <w:r>
        <w:rPr>
          <w:w w:val="95"/>
        </w:rPr>
        <w:t>(This</w:t>
      </w:r>
      <w:r>
        <w:rPr>
          <w:spacing w:val="-7"/>
          <w:w w:val="95"/>
        </w:rPr>
        <w:t xml:space="preserve"> </w:t>
      </w:r>
      <w:r>
        <w:rPr>
          <w:w w:val="95"/>
        </w:rPr>
        <w:t>is</w:t>
      </w:r>
      <w:r>
        <w:rPr>
          <w:spacing w:val="-7"/>
          <w:w w:val="95"/>
        </w:rPr>
        <w:t xml:space="preserve"> </w:t>
      </w:r>
      <w:r>
        <w:rPr>
          <w:w w:val="95"/>
        </w:rPr>
        <w:t>not</w:t>
      </w:r>
      <w:r>
        <w:rPr>
          <w:spacing w:val="-7"/>
          <w:w w:val="95"/>
        </w:rPr>
        <w:t xml:space="preserve"> </w:t>
      </w:r>
      <w:r>
        <w:rPr>
          <w:w w:val="95"/>
        </w:rPr>
        <w:t xml:space="preserve">a </w:t>
      </w:r>
      <w:r>
        <w:t>comprehensive</w:t>
      </w:r>
      <w:r>
        <w:rPr>
          <w:spacing w:val="-14"/>
        </w:rPr>
        <w:t xml:space="preserve"> </w:t>
      </w:r>
      <w:r>
        <w:t>survey</w:t>
      </w:r>
      <w:r>
        <w:rPr>
          <w:spacing w:val="-14"/>
        </w:rPr>
        <w:t xml:space="preserve"> </w:t>
      </w:r>
      <w:r>
        <w:t>of</w:t>
      </w:r>
      <w:r>
        <w:rPr>
          <w:spacing w:val="-14"/>
        </w:rPr>
        <w:t xml:space="preserve"> </w:t>
      </w:r>
      <w:r>
        <w:t>existing</w:t>
      </w:r>
      <w:r>
        <w:rPr>
          <w:spacing w:val="-14"/>
        </w:rPr>
        <w:t xml:space="preserve"> </w:t>
      </w:r>
      <w:r>
        <w:t>constraints)</w:t>
      </w:r>
      <w:r>
        <w:rPr>
          <w:position w:val="7"/>
          <w:sz w:val="11"/>
        </w:rPr>
        <w:t>6</w:t>
      </w:r>
      <w:r>
        <w:t>.</w:t>
      </w:r>
    </w:p>
    <w:p w:rsidR="002C1123" w:rsidRDefault="00F22F94">
      <w:pPr>
        <w:pStyle w:val="BodyText"/>
        <w:spacing w:before="143" w:line="249" w:lineRule="auto"/>
        <w:ind w:left="200" w:right="205"/>
      </w:pPr>
      <w:r>
        <w:t>There</w:t>
      </w:r>
      <w:r>
        <w:rPr>
          <w:spacing w:val="-14"/>
        </w:rPr>
        <w:t xml:space="preserve"> </w:t>
      </w:r>
      <w:r>
        <w:t>are</w:t>
      </w:r>
      <w:r>
        <w:rPr>
          <w:spacing w:val="-14"/>
        </w:rPr>
        <w:t xml:space="preserve"> </w:t>
      </w:r>
      <w:r>
        <w:t>a</w:t>
      </w:r>
      <w:r>
        <w:rPr>
          <w:spacing w:val="-14"/>
        </w:rPr>
        <w:t xml:space="preserve"> </w:t>
      </w:r>
      <w:r>
        <w:t>number</w:t>
      </w:r>
      <w:r>
        <w:rPr>
          <w:spacing w:val="-14"/>
        </w:rPr>
        <w:t xml:space="preserve"> </w:t>
      </w:r>
      <w:r>
        <w:t>of</w:t>
      </w:r>
      <w:r>
        <w:rPr>
          <w:spacing w:val="-14"/>
        </w:rPr>
        <w:t xml:space="preserve"> </w:t>
      </w:r>
      <w:r>
        <w:t>other</w:t>
      </w:r>
      <w:r>
        <w:rPr>
          <w:spacing w:val="-14"/>
        </w:rPr>
        <w:t xml:space="preserve"> </w:t>
      </w:r>
      <w:r>
        <w:t>developments</w:t>
      </w:r>
      <w:r>
        <w:rPr>
          <w:spacing w:val="-14"/>
        </w:rPr>
        <w:t xml:space="preserve"> </w:t>
      </w:r>
      <w:r>
        <w:t>currently in</w:t>
      </w:r>
      <w:r>
        <w:rPr>
          <w:spacing w:val="-14"/>
        </w:rPr>
        <w:t xml:space="preserve"> </w:t>
      </w:r>
      <w:r>
        <w:t>the</w:t>
      </w:r>
      <w:r>
        <w:rPr>
          <w:spacing w:val="-14"/>
        </w:rPr>
        <w:t xml:space="preserve"> </w:t>
      </w:r>
      <w:r>
        <w:t>planning</w:t>
      </w:r>
      <w:r>
        <w:rPr>
          <w:spacing w:val="-14"/>
        </w:rPr>
        <w:t xml:space="preserve"> </w:t>
      </w:r>
      <w:r>
        <w:t>phase</w:t>
      </w:r>
      <w:r>
        <w:rPr>
          <w:spacing w:val="-14"/>
        </w:rPr>
        <w:t xml:space="preserve"> </w:t>
      </w:r>
      <w:r>
        <w:t>where</w:t>
      </w:r>
      <w:r>
        <w:rPr>
          <w:spacing w:val="-14"/>
        </w:rPr>
        <w:t xml:space="preserve"> </w:t>
      </w:r>
      <w:r>
        <w:t>it</w:t>
      </w:r>
      <w:r>
        <w:rPr>
          <w:spacing w:val="-14"/>
        </w:rPr>
        <w:t xml:space="preserve"> </w:t>
      </w:r>
      <w:r>
        <w:t>is</w:t>
      </w:r>
      <w:r>
        <w:rPr>
          <w:spacing w:val="-14"/>
        </w:rPr>
        <w:t xml:space="preserve"> </w:t>
      </w:r>
      <w:r>
        <w:t>likely</w:t>
      </w:r>
      <w:r>
        <w:rPr>
          <w:spacing w:val="-14"/>
        </w:rPr>
        <w:t xml:space="preserve"> </w:t>
      </w:r>
      <w:r>
        <w:t>that</w:t>
      </w:r>
      <w:r>
        <w:rPr>
          <w:spacing w:val="-14"/>
        </w:rPr>
        <w:t xml:space="preserve"> </w:t>
      </w:r>
      <w:r>
        <w:t xml:space="preserve">flooding </w:t>
      </w:r>
      <w:r>
        <w:rPr>
          <w:w w:val="95"/>
        </w:rPr>
        <w:t>constraints</w:t>
      </w:r>
      <w:r>
        <w:rPr>
          <w:spacing w:val="-6"/>
          <w:w w:val="95"/>
        </w:rPr>
        <w:t xml:space="preserve"> </w:t>
      </w:r>
      <w:r>
        <w:rPr>
          <w:w w:val="95"/>
        </w:rPr>
        <w:t>will</w:t>
      </w:r>
      <w:r>
        <w:rPr>
          <w:spacing w:val="-6"/>
          <w:w w:val="95"/>
        </w:rPr>
        <w:t xml:space="preserve"> </w:t>
      </w:r>
      <w:r>
        <w:rPr>
          <w:w w:val="95"/>
        </w:rPr>
        <w:t>be</w:t>
      </w:r>
      <w:r>
        <w:rPr>
          <w:spacing w:val="-6"/>
          <w:w w:val="95"/>
        </w:rPr>
        <w:t xml:space="preserve"> </w:t>
      </w:r>
      <w:r>
        <w:rPr>
          <w:w w:val="95"/>
        </w:rPr>
        <w:t>a</w:t>
      </w:r>
      <w:r>
        <w:rPr>
          <w:spacing w:val="-6"/>
          <w:w w:val="95"/>
        </w:rPr>
        <w:t xml:space="preserve"> </w:t>
      </w:r>
      <w:r>
        <w:rPr>
          <w:w w:val="95"/>
        </w:rPr>
        <w:t>significant</w:t>
      </w:r>
      <w:r>
        <w:rPr>
          <w:spacing w:val="-6"/>
          <w:w w:val="95"/>
        </w:rPr>
        <w:t xml:space="preserve"> </w:t>
      </w:r>
      <w:r>
        <w:rPr>
          <w:w w:val="95"/>
        </w:rPr>
        <w:t>factor</w:t>
      </w:r>
      <w:r>
        <w:rPr>
          <w:spacing w:val="-6"/>
          <w:w w:val="95"/>
        </w:rPr>
        <w:t xml:space="preserve"> </w:t>
      </w:r>
      <w:r>
        <w:rPr>
          <w:w w:val="95"/>
        </w:rPr>
        <w:t>including</w:t>
      </w:r>
      <w:r>
        <w:rPr>
          <w:spacing w:val="-6"/>
          <w:w w:val="95"/>
        </w:rPr>
        <w:t xml:space="preserve"> </w:t>
      </w:r>
      <w:r>
        <w:rPr>
          <w:w w:val="95"/>
        </w:rPr>
        <w:t xml:space="preserve">Penrith Panthers Redevelopment, Riverstone West Industrial Development, Schofields Precinct Development and </w:t>
      </w:r>
      <w:r>
        <w:t>Marsden</w:t>
      </w:r>
      <w:r>
        <w:rPr>
          <w:spacing w:val="-12"/>
        </w:rPr>
        <w:t xml:space="preserve"> </w:t>
      </w:r>
      <w:r>
        <w:t>Park</w:t>
      </w:r>
      <w:r>
        <w:rPr>
          <w:spacing w:val="-12"/>
        </w:rPr>
        <w:t xml:space="preserve"> </w:t>
      </w:r>
      <w:r>
        <w:t>Development.</w:t>
      </w:r>
      <w:r>
        <w:rPr>
          <w:spacing w:val="-12"/>
        </w:rPr>
        <w:t xml:space="preserve"> </w:t>
      </w:r>
      <w:r>
        <w:t>These</w:t>
      </w:r>
      <w:r>
        <w:rPr>
          <w:spacing w:val="-12"/>
        </w:rPr>
        <w:t xml:space="preserve"> </w:t>
      </w:r>
      <w:r>
        <w:t>include</w:t>
      </w:r>
      <w:r>
        <w:rPr>
          <w:spacing w:val="-12"/>
        </w:rPr>
        <w:t xml:space="preserve"> </w:t>
      </w:r>
      <w:r>
        <w:t>more than</w:t>
      </w:r>
      <w:r>
        <w:rPr>
          <w:spacing w:val="-13"/>
        </w:rPr>
        <w:t xml:space="preserve"> </w:t>
      </w:r>
      <w:r>
        <w:t>8,500</w:t>
      </w:r>
      <w:r>
        <w:rPr>
          <w:spacing w:val="-13"/>
        </w:rPr>
        <w:t xml:space="preserve"> </w:t>
      </w:r>
      <w:r>
        <w:t>residential</w:t>
      </w:r>
      <w:r>
        <w:rPr>
          <w:spacing w:val="-13"/>
        </w:rPr>
        <w:t xml:space="preserve"> </w:t>
      </w:r>
      <w:r>
        <w:t>lots</w:t>
      </w:r>
      <w:r>
        <w:rPr>
          <w:spacing w:val="-13"/>
        </w:rPr>
        <w:t xml:space="preserve"> </w:t>
      </w:r>
      <w:r>
        <w:t>and</w:t>
      </w:r>
      <w:r>
        <w:rPr>
          <w:spacing w:val="-13"/>
        </w:rPr>
        <w:t xml:space="preserve"> </w:t>
      </w:r>
      <w:r>
        <w:t>over</w:t>
      </w:r>
      <w:r>
        <w:rPr>
          <w:spacing w:val="-13"/>
        </w:rPr>
        <w:t xml:space="preserve"> </w:t>
      </w:r>
      <w:r>
        <w:t>150</w:t>
      </w:r>
      <w:r>
        <w:rPr>
          <w:spacing w:val="-13"/>
        </w:rPr>
        <w:t xml:space="preserve"> </w:t>
      </w:r>
      <w:r>
        <w:t>hectares</w:t>
      </w:r>
      <w:r>
        <w:rPr>
          <w:spacing w:val="-13"/>
        </w:rPr>
        <w:t xml:space="preserve"> </w:t>
      </w:r>
      <w:r>
        <w:t>of commercial and industrial land</w:t>
      </w:r>
      <w:r>
        <w:rPr>
          <w:position w:val="7"/>
          <w:sz w:val="11"/>
        </w:rPr>
        <w:t>7</w:t>
      </w:r>
      <w:r>
        <w:t>.</w:t>
      </w:r>
    </w:p>
    <w:p w:rsidR="002C1123" w:rsidRDefault="00F22F94">
      <w:pPr>
        <w:pStyle w:val="BodyText"/>
        <w:spacing w:before="148" w:line="249" w:lineRule="auto"/>
        <w:ind w:left="200"/>
      </w:pPr>
      <w:r>
        <w:rPr>
          <w:w w:val="95"/>
        </w:rPr>
        <w:t>The</w:t>
      </w:r>
      <w:r>
        <w:rPr>
          <w:spacing w:val="-3"/>
          <w:w w:val="95"/>
        </w:rPr>
        <w:t xml:space="preserve"> </w:t>
      </w:r>
      <w:r>
        <w:rPr>
          <w:w w:val="95"/>
        </w:rPr>
        <w:t>State</w:t>
      </w:r>
      <w:r>
        <w:rPr>
          <w:spacing w:val="-3"/>
          <w:w w:val="95"/>
        </w:rPr>
        <w:t xml:space="preserve"> </w:t>
      </w:r>
      <w:r>
        <w:rPr>
          <w:w w:val="95"/>
        </w:rPr>
        <w:t>Emergency</w:t>
      </w:r>
      <w:r>
        <w:rPr>
          <w:spacing w:val="-3"/>
          <w:w w:val="95"/>
        </w:rPr>
        <w:t xml:space="preserve"> </w:t>
      </w:r>
      <w:r>
        <w:rPr>
          <w:w w:val="95"/>
        </w:rPr>
        <w:t>Service</w:t>
      </w:r>
      <w:r>
        <w:rPr>
          <w:spacing w:val="-3"/>
          <w:w w:val="95"/>
        </w:rPr>
        <w:t xml:space="preserve"> </w:t>
      </w:r>
      <w:r>
        <w:rPr>
          <w:w w:val="95"/>
        </w:rPr>
        <w:t>(SES)</w:t>
      </w:r>
      <w:r>
        <w:rPr>
          <w:spacing w:val="-3"/>
          <w:w w:val="95"/>
        </w:rPr>
        <w:t xml:space="preserve"> </w:t>
      </w:r>
      <w:r>
        <w:rPr>
          <w:w w:val="95"/>
        </w:rPr>
        <w:t>currently</w:t>
      </w:r>
      <w:r>
        <w:rPr>
          <w:spacing w:val="-3"/>
          <w:w w:val="95"/>
        </w:rPr>
        <w:t xml:space="preserve"> </w:t>
      </w:r>
      <w:r>
        <w:rPr>
          <w:w w:val="95"/>
        </w:rPr>
        <w:t>has</w:t>
      </w:r>
      <w:r>
        <w:rPr>
          <w:spacing w:val="-3"/>
          <w:w w:val="95"/>
        </w:rPr>
        <w:t xml:space="preserve"> </w:t>
      </w:r>
      <w:r>
        <w:rPr>
          <w:w w:val="95"/>
        </w:rPr>
        <w:t xml:space="preserve">plans to evacuate tens of thousands of people in floods above </w:t>
      </w:r>
      <w:r>
        <w:t>the</w:t>
      </w:r>
      <w:r>
        <w:rPr>
          <w:spacing w:val="-14"/>
        </w:rPr>
        <w:t xml:space="preserve"> </w:t>
      </w:r>
      <w:r>
        <w:t>1</w:t>
      </w:r>
      <w:r>
        <w:rPr>
          <w:spacing w:val="-14"/>
        </w:rPr>
        <w:t xml:space="preserve"> </w:t>
      </w:r>
      <w:r>
        <w:t>in</w:t>
      </w:r>
      <w:r>
        <w:rPr>
          <w:spacing w:val="-14"/>
        </w:rPr>
        <w:t xml:space="preserve"> </w:t>
      </w:r>
      <w:r>
        <w:t>40</w:t>
      </w:r>
      <w:r>
        <w:rPr>
          <w:spacing w:val="-14"/>
        </w:rPr>
        <w:t xml:space="preserve"> </w:t>
      </w:r>
      <w:r>
        <w:t>event</w:t>
      </w:r>
      <w:r>
        <w:rPr>
          <w:spacing w:val="-14"/>
        </w:rPr>
        <w:t xml:space="preserve"> </w:t>
      </w:r>
      <w:r>
        <w:t>with</w:t>
      </w:r>
      <w:r>
        <w:rPr>
          <w:spacing w:val="-14"/>
        </w:rPr>
        <w:t xml:space="preserve"> </w:t>
      </w:r>
      <w:r>
        <w:t>up</w:t>
      </w:r>
      <w:r>
        <w:rPr>
          <w:spacing w:val="-13"/>
        </w:rPr>
        <w:t xml:space="preserve"> </w:t>
      </w:r>
      <w:r>
        <w:t>to</w:t>
      </w:r>
      <w:r>
        <w:rPr>
          <w:spacing w:val="-14"/>
        </w:rPr>
        <w:t xml:space="preserve"> </w:t>
      </w:r>
      <w:r>
        <w:t>60,000</w:t>
      </w:r>
      <w:r>
        <w:rPr>
          <w:spacing w:val="-14"/>
        </w:rPr>
        <w:t xml:space="preserve"> </w:t>
      </w:r>
      <w:r>
        <w:t>needing</w:t>
      </w:r>
      <w:r>
        <w:rPr>
          <w:spacing w:val="-14"/>
        </w:rPr>
        <w:t xml:space="preserve"> </w:t>
      </w:r>
      <w:r>
        <w:t xml:space="preserve">evacuation </w:t>
      </w:r>
      <w:r>
        <w:rPr>
          <w:w w:val="95"/>
        </w:rPr>
        <w:t>in</w:t>
      </w:r>
      <w:r>
        <w:rPr>
          <w:spacing w:val="-6"/>
          <w:w w:val="95"/>
        </w:rPr>
        <w:t xml:space="preserve"> </w:t>
      </w:r>
      <w:r>
        <w:rPr>
          <w:w w:val="95"/>
        </w:rPr>
        <w:t>a</w:t>
      </w:r>
      <w:r>
        <w:rPr>
          <w:spacing w:val="-6"/>
          <w:w w:val="95"/>
        </w:rPr>
        <w:t xml:space="preserve"> </w:t>
      </w:r>
      <w:r>
        <w:rPr>
          <w:w w:val="95"/>
        </w:rPr>
        <w:t>repeat</w:t>
      </w:r>
      <w:r>
        <w:rPr>
          <w:spacing w:val="-6"/>
          <w:w w:val="95"/>
        </w:rPr>
        <w:t xml:space="preserve"> </w:t>
      </w:r>
      <w:r>
        <w:rPr>
          <w:w w:val="95"/>
        </w:rPr>
        <w:t>of</w:t>
      </w:r>
      <w:r>
        <w:rPr>
          <w:spacing w:val="-6"/>
          <w:w w:val="95"/>
        </w:rPr>
        <w:t xml:space="preserve"> </w:t>
      </w:r>
      <w:r>
        <w:rPr>
          <w:w w:val="95"/>
        </w:rPr>
        <w:t>the</w:t>
      </w:r>
      <w:r>
        <w:rPr>
          <w:spacing w:val="-6"/>
          <w:w w:val="95"/>
        </w:rPr>
        <w:t xml:space="preserve"> </w:t>
      </w:r>
      <w:r>
        <w:rPr>
          <w:w w:val="95"/>
        </w:rPr>
        <w:t>1867</w:t>
      </w:r>
      <w:r>
        <w:rPr>
          <w:spacing w:val="-6"/>
          <w:w w:val="95"/>
        </w:rPr>
        <w:t xml:space="preserve"> </w:t>
      </w:r>
      <w:r>
        <w:rPr>
          <w:w w:val="95"/>
        </w:rPr>
        <w:t>flood.</w:t>
      </w:r>
      <w:r>
        <w:rPr>
          <w:spacing w:val="-6"/>
          <w:w w:val="95"/>
        </w:rPr>
        <w:t xml:space="preserve"> </w:t>
      </w:r>
      <w:r>
        <w:rPr>
          <w:w w:val="95"/>
        </w:rPr>
        <w:t>Recent</w:t>
      </w:r>
      <w:r>
        <w:rPr>
          <w:spacing w:val="-6"/>
          <w:w w:val="95"/>
        </w:rPr>
        <w:t xml:space="preserve"> </w:t>
      </w:r>
      <w:r>
        <w:rPr>
          <w:w w:val="95"/>
        </w:rPr>
        <w:t>studies</w:t>
      </w:r>
      <w:r>
        <w:rPr>
          <w:spacing w:val="-6"/>
          <w:w w:val="95"/>
        </w:rPr>
        <w:t xml:space="preserve"> </w:t>
      </w:r>
      <w:r>
        <w:rPr>
          <w:w w:val="95"/>
        </w:rPr>
        <w:t>suggest</w:t>
      </w:r>
      <w:r>
        <w:rPr>
          <w:spacing w:val="-6"/>
          <w:w w:val="95"/>
        </w:rPr>
        <w:t xml:space="preserve"> </w:t>
      </w:r>
      <w:r>
        <w:rPr>
          <w:w w:val="95"/>
        </w:rPr>
        <w:t xml:space="preserve">the </w:t>
      </w:r>
      <w:r>
        <w:t>number is now closer to 90,000.</w:t>
      </w:r>
    </w:p>
    <w:p w:rsidR="002C1123" w:rsidRDefault="00F22F94">
      <w:pPr>
        <w:pStyle w:val="BodyText"/>
        <w:spacing w:before="146" w:line="249" w:lineRule="auto"/>
        <w:ind w:left="200" w:right="297"/>
      </w:pPr>
      <w:r>
        <w:rPr>
          <w:w w:val="95"/>
        </w:rPr>
        <w:t>A</w:t>
      </w:r>
      <w:r>
        <w:rPr>
          <w:spacing w:val="-2"/>
          <w:w w:val="95"/>
        </w:rPr>
        <w:t xml:space="preserve"> </w:t>
      </w:r>
      <w:r>
        <w:rPr>
          <w:w w:val="95"/>
        </w:rPr>
        <w:t>2011</w:t>
      </w:r>
      <w:r>
        <w:rPr>
          <w:spacing w:val="-2"/>
          <w:w w:val="95"/>
        </w:rPr>
        <w:t xml:space="preserve"> </w:t>
      </w:r>
      <w:r>
        <w:rPr>
          <w:w w:val="95"/>
        </w:rPr>
        <w:t>report</w:t>
      </w:r>
      <w:r>
        <w:rPr>
          <w:spacing w:val="-2"/>
          <w:w w:val="95"/>
        </w:rPr>
        <w:t xml:space="preserve"> </w:t>
      </w:r>
      <w:r>
        <w:rPr>
          <w:w w:val="95"/>
        </w:rPr>
        <w:t>specifically</w:t>
      </w:r>
      <w:r>
        <w:rPr>
          <w:spacing w:val="-2"/>
          <w:w w:val="95"/>
        </w:rPr>
        <w:t xml:space="preserve"> </w:t>
      </w:r>
      <w:r>
        <w:rPr>
          <w:w w:val="95"/>
        </w:rPr>
        <w:t>on</w:t>
      </w:r>
      <w:r>
        <w:rPr>
          <w:spacing w:val="-2"/>
          <w:w w:val="95"/>
        </w:rPr>
        <w:t xml:space="preserve"> </w:t>
      </w:r>
      <w:r>
        <w:rPr>
          <w:w w:val="95"/>
        </w:rPr>
        <w:t>flood</w:t>
      </w:r>
      <w:r>
        <w:rPr>
          <w:spacing w:val="-2"/>
          <w:w w:val="95"/>
        </w:rPr>
        <w:t xml:space="preserve"> </w:t>
      </w:r>
      <w:r>
        <w:rPr>
          <w:w w:val="95"/>
        </w:rPr>
        <w:t>evacuation</w:t>
      </w:r>
      <w:r>
        <w:rPr>
          <w:spacing w:val="-2"/>
          <w:w w:val="95"/>
        </w:rPr>
        <w:t xml:space="preserve"> </w:t>
      </w:r>
      <w:r>
        <w:rPr>
          <w:w w:val="95"/>
        </w:rPr>
        <w:t>in</w:t>
      </w:r>
      <w:r>
        <w:rPr>
          <w:spacing w:val="-2"/>
          <w:w w:val="95"/>
        </w:rPr>
        <w:t xml:space="preserve"> </w:t>
      </w:r>
      <w:r>
        <w:rPr>
          <w:w w:val="95"/>
        </w:rPr>
        <w:t xml:space="preserve">the </w:t>
      </w:r>
      <w:r>
        <w:t>HNV</w:t>
      </w:r>
      <w:r>
        <w:rPr>
          <w:spacing w:val="-33"/>
        </w:rPr>
        <w:t xml:space="preserve"> </w:t>
      </w:r>
      <w:r>
        <w:rPr>
          <w:position w:val="7"/>
          <w:sz w:val="11"/>
        </w:rPr>
        <w:t>8</w:t>
      </w:r>
      <w:r>
        <w:t>,</w:t>
      </w:r>
      <w:r>
        <w:rPr>
          <w:spacing w:val="-12"/>
        </w:rPr>
        <w:t xml:space="preserve"> </w:t>
      </w:r>
      <w:r>
        <w:t>commissioned</w:t>
      </w:r>
      <w:r>
        <w:rPr>
          <w:spacing w:val="-12"/>
        </w:rPr>
        <w:t xml:space="preserve"> </w:t>
      </w:r>
      <w:r>
        <w:t>by</w:t>
      </w:r>
      <w:r>
        <w:rPr>
          <w:spacing w:val="-12"/>
        </w:rPr>
        <w:t xml:space="preserve"> </w:t>
      </w:r>
      <w:r>
        <w:t>the</w:t>
      </w:r>
      <w:r>
        <w:rPr>
          <w:spacing w:val="-12"/>
        </w:rPr>
        <w:t xml:space="preserve"> </w:t>
      </w:r>
      <w:r>
        <w:t>(then)</w:t>
      </w:r>
      <w:r>
        <w:rPr>
          <w:spacing w:val="-12"/>
        </w:rPr>
        <w:t xml:space="preserve"> </w:t>
      </w:r>
      <w:r>
        <w:t>Department</w:t>
      </w:r>
      <w:r>
        <w:rPr>
          <w:spacing w:val="-12"/>
        </w:rPr>
        <w:t xml:space="preserve"> </w:t>
      </w:r>
      <w:r>
        <w:t xml:space="preserve">of </w:t>
      </w:r>
      <w:r>
        <w:rPr>
          <w:w w:val="95"/>
        </w:rPr>
        <w:t>Planning,</w:t>
      </w:r>
      <w:r>
        <w:rPr>
          <w:spacing w:val="-11"/>
          <w:w w:val="95"/>
        </w:rPr>
        <w:t xml:space="preserve"> </w:t>
      </w:r>
      <w:r>
        <w:rPr>
          <w:w w:val="95"/>
        </w:rPr>
        <w:t>identified</w:t>
      </w:r>
      <w:r>
        <w:rPr>
          <w:spacing w:val="-11"/>
          <w:w w:val="95"/>
        </w:rPr>
        <w:t xml:space="preserve"> </w:t>
      </w:r>
      <w:r>
        <w:rPr>
          <w:w w:val="95"/>
        </w:rPr>
        <w:t>that</w:t>
      </w:r>
      <w:r>
        <w:rPr>
          <w:spacing w:val="-11"/>
          <w:w w:val="95"/>
        </w:rPr>
        <w:t xml:space="preserve"> </w:t>
      </w:r>
      <w:r>
        <w:rPr>
          <w:w w:val="95"/>
        </w:rPr>
        <w:t>in</w:t>
      </w:r>
      <w:r>
        <w:rPr>
          <w:spacing w:val="-11"/>
          <w:w w:val="95"/>
        </w:rPr>
        <w:t xml:space="preserve"> </w:t>
      </w:r>
      <w:r>
        <w:rPr>
          <w:w w:val="95"/>
        </w:rPr>
        <w:t>a</w:t>
      </w:r>
      <w:r>
        <w:rPr>
          <w:spacing w:val="-11"/>
          <w:w w:val="95"/>
        </w:rPr>
        <w:t xml:space="preserve"> </w:t>
      </w:r>
      <w:r>
        <w:rPr>
          <w:w w:val="95"/>
        </w:rPr>
        <w:t>major</w:t>
      </w:r>
      <w:r>
        <w:rPr>
          <w:spacing w:val="-11"/>
          <w:w w:val="95"/>
        </w:rPr>
        <w:t xml:space="preserve"> </w:t>
      </w:r>
      <w:r>
        <w:rPr>
          <w:w w:val="95"/>
        </w:rPr>
        <w:t>flood</w:t>
      </w:r>
      <w:r>
        <w:rPr>
          <w:spacing w:val="-11"/>
          <w:w w:val="95"/>
        </w:rPr>
        <w:t xml:space="preserve"> </w:t>
      </w:r>
      <w:r>
        <w:rPr>
          <w:w w:val="95"/>
        </w:rPr>
        <w:t>event</w:t>
      </w:r>
      <w:r>
        <w:rPr>
          <w:spacing w:val="-11"/>
          <w:w w:val="95"/>
        </w:rPr>
        <w:t xml:space="preserve"> </w:t>
      </w:r>
      <w:r>
        <w:rPr>
          <w:w w:val="95"/>
        </w:rPr>
        <w:t xml:space="preserve">today, in some scenarios, more than 22,000 people would </w:t>
      </w:r>
      <w:r>
        <w:t>not</w:t>
      </w:r>
      <w:r>
        <w:rPr>
          <w:spacing w:val="-13"/>
        </w:rPr>
        <w:t xml:space="preserve"> </w:t>
      </w:r>
      <w:r>
        <w:t>have</w:t>
      </w:r>
      <w:r>
        <w:rPr>
          <w:spacing w:val="-13"/>
        </w:rPr>
        <w:t xml:space="preserve"> </w:t>
      </w:r>
      <w:r>
        <w:t>time</w:t>
      </w:r>
      <w:r>
        <w:rPr>
          <w:spacing w:val="-13"/>
        </w:rPr>
        <w:t xml:space="preserve"> </w:t>
      </w:r>
      <w:r>
        <w:t>to</w:t>
      </w:r>
      <w:r>
        <w:rPr>
          <w:spacing w:val="-13"/>
        </w:rPr>
        <w:t xml:space="preserve"> </w:t>
      </w:r>
      <w:r>
        <w:t>evacuate</w:t>
      </w:r>
      <w:r>
        <w:rPr>
          <w:spacing w:val="-13"/>
        </w:rPr>
        <w:t xml:space="preserve"> </w:t>
      </w:r>
      <w:r>
        <w:t>due</w:t>
      </w:r>
      <w:r>
        <w:rPr>
          <w:spacing w:val="-13"/>
        </w:rPr>
        <w:t xml:space="preserve"> </w:t>
      </w:r>
      <w:r>
        <w:t>to</w:t>
      </w:r>
      <w:r>
        <w:rPr>
          <w:spacing w:val="-13"/>
        </w:rPr>
        <w:t xml:space="preserve"> </w:t>
      </w:r>
      <w:r>
        <w:t>inadequate</w:t>
      </w:r>
      <w:r>
        <w:rPr>
          <w:spacing w:val="-13"/>
        </w:rPr>
        <w:t xml:space="preserve"> </w:t>
      </w:r>
      <w:r>
        <w:t xml:space="preserve">road </w:t>
      </w:r>
      <w:r>
        <w:rPr>
          <w:w w:val="95"/>
        </w:rPr>
        <w:t>evacuation</w:t>
      </w:r>
      <w:r>
        <w:rPr>
          <w:spacing w:val="-11"/>
          <w:w w:val="95"/>
        </w:rPr>
        <w:t xml:space="preserve"> </w:t>
      </w:r>
      <w:r>
        <w:rPr>
          <w:w w:val="95"/>
        </w:rPr>
        <w:t>infrastructure.</w:t>
      </w:r>
      <w:r>
        <w:rPr>
          <w:spacing w:val="-11"/>
          <w:w w:val="95"/>
        </w:rPr>
        <w:t xml:space="preserve"> </w:t>
      </w:r>
      <w:r>
        <w:rPr>
          <w:w w:val="95"/>
        </w:rPr>
        <w:t>To</w:t>
      </w:r>
      <w:r>
        <w:rPr>
          <w:spacing w:val="-11"/>
          <w:w w:val="95"/>
        </w:rPr>
        <w:t xml:space="preserve"> </w:t>
      </w:r>
      <w:r>
        <w:rPr>
          <w:w w:val="95"/>
        </w:rPr>
        <w:t>remove</w:t>
      </w:r>
      <w:r>
        <w:rPr>
          <w:spacing w:val="-11"/>
          <w:w w:val="95"/>
        </w:rPr>
        <w:t xml:space="preserve"> </w:t>
      </w:r>
      <w:r>
        <w:rPr>
          <w:w w:val="95"/>
        </w:rPr>
        <w:t>the</w:t>
      </w:r>
      <w:r>
        <w:rPr>
          <w:spacing w:val="-11"/>
          <w:w w:val="95"/>
        </w:rPr>
        <w:t xml:space="preserve"> </w:t>
      </w:r>
      <w:r>
        <w:rPr>
          <w:w w:val="95"/>
        </w:rPr>
        <w:t>evacuation</w:t>
      </w:r>
    </w:p>
    <w:p w:rsidR="002C1123" w:rsidRDefault="002060EF">
      <w:pPr>
        <w:pStyle w:val="BodyText"/>
        <w:spacing w:before="2"/>
        <w:rPr>
          <w:sz w:val="26"/>
        </w:rPr>
      </w:pPr>
      <w:r>
        <w:pict>
          <v:shape id="docshape2231" o:spid="_x0000_s1814" style="position:absolute;margin-left:300.95pt;margin-top:16.25pt;width:1in;height:.1pt;z-index:-251337728;mso-wrap-distance-left:0;mso-wrap-distance-right:0;mso-position-horizontal-relative:page" coordorigin="6019,325" coordsize="1440,0" path="m6019,325r1440,e" filled="f" strokecolor="#9c9c9d" strokeweight=".5pt">
            <v:path arrowok="t"/>
            <w10:wrap type="topAndBottom" anchorx="page"/>
          </v:shape>
        </w:pict>
      </w:r>
    </w:p>
    <w:p w:rsidR="002C1123" w:rsidRDefault="00F22F94">
      <w:pPr>
        <w:pStyle w:val="ListParagraph"/>
        <w:numPr>
          <w:ilvl w:val="3"/>
          <w:numId w:val="57"/>
        </w:numPr>
        <w:tabs>
          <w:tab w:val="left" w:pos="399"/>
        </w:tabs>
        <w:spacing w:before="23"/>
        <w:ind w:left="398" w:right="82"/>
        <w:jc w:val="left"/>
        <w:rPr>
          <w:sz w:val="14"/>
        </w:rPr>
      </w:pPr>
      <w:r>
        <w:rPr>
          <w:w w:val="95"/>
          <w:sz w:val="14"/>
        </w:rPr>
        <w:t>Molino Stewart 2012, Flood Mitigation in the Hawkesbury – Nepean Valley:</w:t>
      </w:r>
      <w:r>
        <w:rPr>
          <w:spacing w:val="40"/>
          <w:sz w:val="14"/>
        </w:rPr>
        <w:t xml:space="preserve"> </w:t>
      </w:r>
      <w:r>
        <w:rPr>
          <w:sz w:val="14"/>
        </w:rPr>
        <w:t>Answers to some recent questions.</w:t>
      </w:r>
    </w:p>
    <w:p w:rsidR="002C1123" w:rsidRDefault="00F22F94">
      <w:pPr>
        <w:pStyle w:val="ListParagraph"/>
        <w:numPr>
          <w:ilvl w:val="3"/>
          <w:numId w:val="57"/>
        </w:numPr>
        <w:tabs>
          <w:tab w:val="left" w:pos="399"/>
        </w:tabs>
        <w:ind w:left="398" w:right="82"/>
        <w:jc w:val="left"/>
        <w:rPr>
          <w:sz w:val="14"/>
        </w:rPr>
      </w:pPr>
      <w:r>
        <w:rPr>
          <w:w w:val="95"/>
          <w:sz w:val="14"/>
        </w:rPr>
        <w:t>Molino Stewart 2012, Flood Mitigation in the Hawkesbury – Nepean Valley:</w:t>
      </w:r>
      <w:r>
        <w:rPr>
          <w:spacing w:val="40"/>
          <w:sz w:val="14"/>
        </w:rPr>
        <w:t xml:space="preserve"> </w:t>
      </w:r>
      <w:r>
        <w:rPr>
          <w:sz w:val="14"/>
        </w:rPr>
        <w:t>Answers to some recent questions.</w:t>
      </w:r>
    </w:p>
    <w:p w:rsidR="002C1123" w:rsidRDefault="00F22F94">
      <w:pPr>
        <w:pStyle w:val="ListParagraph"/>
        <w:numPr>
          <w:ilvl w:val="3"/>
          <w:numId w:val="57"/>
        </w:numPr>
        <w:tabs>
          <w:tab w:val="left" w:pos="399"/>
        </w:tabs>
        <w:spacing w:line="159" w:lineRule="exact"/>
        <w:ind w:left="398"/>
        <w:jc w:val="left"/>
        <w:rPr>
          <w:sz w:val="14"/>
        </w:rPr>
      </w:pPr>
      <w:r>
        <w:rPr>
          <w:w w:val="95"/>
          <w:sz w:val="14"/>
        </w:rPr>
        <w:t>Molino</w:t>
      </w:r>
      <w:r>
        <w:rPr>
          <w:sz w:val="14"/>
        </w:rPr>
        <w:t xml:space="preserve"> </w:t>
      </w:r>
      <w:r>
        <w:rPr>
          <w:w w:val="95"/>
          <w:sz w:val="14"/>
        </w:rPr>
        <w:t>Stewart</w:t>
      </w:r>
      <w:r>
        <w:rPr>
          <w:sz w:val="14"/>
        </w:rPr>
        <w:t xml:space="preserve"> </w:t>
      </w:r>
      <w:r>
        <w:rPr>
          <w:w w:val="95"/>
          <w:sz w:val="14"/>
        </w:rPr>
        <w:t>2011,</w:t>
      </w:r>
      <w:r>
        <w:rPr>
          <w:spacing w:val="1"/>
          <w:sz w:val="14"/>
        </w:rPr>
        <w:t xml:space="preserve"> </w:t>
      </w:r>
      <w:r>
        <w:rPr>
          <w:w w:val="95"/>
          <w:sz w:val="14"/>
        </w:rPr>
        <w:t>North</w:t>
      </w:r>
      <w:r>
        <w:rPr>
          <w:sz w:val="14"/>
        </w:rPr>
        <w:t xml:space="preserve"> </w:t>
      </w:r>
      <w:r>
        <w:rPr>
          <w:w w:val="95"/>
          <w:sz w:val="14"/>
        </w:rPr>
        <w:t>West</w:t>
      </w:r>
      <w:r>
        <w:rPr>
          <w:spacing w:val="1"/>
          <w:sz w:val="14"/>
        </w:rPr>
        <w:t xml:space="preserve"> </w:t>
      </w:r>
      <w:r>
        <w:rPr>
          <w:w w:val="95"/>
          <w:sz w:val="14"/>
        </w:rPr>
        <w:t>Sector</w:t>
      </w:r>
      <w:r>
        <w:rPr>
          <w:sz w:val="14"/>
        </w:rPr>
        <w:t xml:space="preserve"> </w:t>
      </w:r>
      <w:r>
        <w:rPr>
          <w:w w:val="95"/>
          <w:sz w:val="14"/>
        </w:rPr>
        <w:t>Flood</w:t>
      </w:r>
      <w:r>
        <w:rPr>
          <w:sz w:val="14"/>
        </w:rPr>
        <w:t xml:space="preserve"> </w:t>
      </w:r>
      <w:r>
        <w:rPr>
          <w:w w:val="95"/>
          <w:sz w:val="14"/>
        </w:rPr>
        <w:t>Evacuation</w:t>
      </w:r>
      <w:r>
        <w:rPr>
          <w:spacing w:val="1"/>
          <w:sz w:val="14"/>
        </w:rPr>
        <w:t xml:space="preserve"> </w:t>
      </w:r>
      <w:r>
        <w:rPr>
          <w:spacing w:val="-2"/>
          <w:w w:val="95"/>
          <w:sz w:val="14"/>
        </w:rPr>
        <w:t>Analysis.</w:t>
      </w:r>
    </w:p>
    <w:p w:rsidR="002C1123" w:rsidRDefault="00F22F94">
      <w:pPr>
        <w:pStyle w:val="BodyText"/>
        <w:spacing w:before="106" w:line="249" w:lineRule="auto"/>
        <w:ind w:left="235" w:right="777"/>
      </w:pPr>
      <w:r>
        <w:br w:type="column"/>
      </w:r>
      <w:r>
        <w:rPr>
          <w:w w:val="95"/>
        </w:rPr>
        <w:t>constraints</w:t>
      </w:r>
      <w:r>
        <w:rPr>
          <w:spacing w:val="-1"/>
          <w:w w:val="95"/>
        </w:rPr>
        <w:t xml:space="preserve"> </w:t>
      </w:r>
      <w:r>
        <w:rPr>
          <w:w w:val="95"/>
        </w:rPr>
        <w:t>major</w:t>
      </w:r>
      <w:r>
        <w:rPr>
          <w:spacing w:val="-1"/>
          <w:w w:val="95"/>
        </w:rPr>
        <w:t xml:space="preserve"> </w:t>
      </w:r>
      <w:r>
        <w:rPr>
          <w:w w:val="95"/>
        </w:rPr>
        <w:t>road</w:t>
      </w:r>
      <w:r>
        <w:rPr>
          <w:spacing w:val="-1"/>
          <w:w w:val="95"/>
        </w:rPr>
        <w:t xml:space="preserve"> </w:t>
      </w:r>
      <w:r>
        <w:rPr>
          <w:w w:val="95"/>
        </w:rPr>
        <w:t>upgrades</w:t>
      </w:r>
      <w:r>
        <w:rPr>
          <w:spacing w:val="-1"/>
          <w:w w:val="95"/>
        </w:rPr>
        <w:t xml:space="preserve"> </w:t>
      </w:r>
      <w:r>
        <w:rPr>
          <w:w w:val="95"/>
        </w:rPr>
        <w:t>are</w:t>
      </w:r>
      <w:r>
        <w:rPr>
          <w:spacing w:val="-1"/>
          <w:w w:val="95"/>
        </w:rPr>
        <w:t xml:space="preserve"> </w:t>
      </w:r>
      <w:r>
        <w:rPr>
          <w:w w:val="95"/>
        </w:rPr>
        <w:t>required,</w:t>
      </w:r>
      <w:r>
        <w:rPr>
          <w:spacing w:val="-1"/>
          <w:w w:val="95"/>
        </w:rPr>
        <w:t xml:space="preserve"> </w:t>
      </w:r>
      <w:r>
        <w:rPr>
          <w:w w:val="95"/>
        </w:rPr>
        <w:t xml:space="preserve">including </w:t>
      </w:r>
      <w:r>
        <w:t>upgrading</w:t>
      </w:r>
      <w:r>
        <w:rPr>
          <w:spacing w:val="-9"/>
        </w:rPr>
        <w:t xml:space="preserve"> </w:t>
      </w:r>
      <w:r>
        <w:t>the</w:t>
      </w:r>
      <w:r>
        <w:rPr>
          <w:spacing w:val="-9"/>
        </w:rPr>
        <w:t xml:space="preserve"> </w:t>
      </w:r>
      <w:r>
        <w:t>M4</w:t>
      </w:r>
      <w:r>
        <w:rPr>
          <w:spacing w:val="-9"/>
        </w:rPr>
        <w:t xml:space="preserve"> </w:t>
      </w:r>
      <w:r>
        <w:t>Motorway</w:t>
      </w:r>
      <w:r>
        <w:rPr>
          <w:spacing w:val="-9"/>
        </w:rPr>
        <w:t xml:space="preserve"> </w:t>
      </w:r>
      <w:r>
        <w:t>or</w:t>
      </w:r>
      <w:r>
        <w:rPr>
          <w:spacing w:val="-9"/>
        </w:rPr>
        <w:t xml:space="preserve"> </w:t>
      </w:r>
      <w:r>
        <w:t>the</w:t>
      </w:r>
      <w:r>
        <w:rPr>
          <w:spacing w:val="-9"/>
        </w:rPr>
        <w:t xml:space="preserve"> </w:t>
      </w:r>
      <w:r>
        <w:t>Great</w:t>
      </w:r>
      <w:r>
        <w:rPr>
          <w:spacing w:val="-9"/>
        </w:rPr>
        <w:t xml:space="preserve"> </w:t>
      </w:r>
      <w:r>
        <w:t xml:space="preserve">Western </w:t>
      </w:r>
      <w:r>
        <w:rPr>
          <w:spacing w:val="-2"/>
        </w:rPr>
        <w:t>Highway</w:t>
      </w:r>
      <w:r>
        <w:rPr>
          <w:spacing w:val="-9"/>
        </w:rPr>
        <w:t xml:space="preserve"> </w:t>
      </w:r>
      <w:r>
        <w:rPr>
          <w:spacing w:val="-2"/>
        </w:rPr>
        <w:t>to</w:t>
      </w:r>
      <w:r>
        <w:rPr>
          <w:spacing w:val="-9"/>
        </w:rPr>
        <w:t xml:space="preserve"> </w:t>
      </w:r>
      <w:r>
        <w:rPr>
          <w:spacing w:val="-2"/>
        </w:rPr>
        <w:t>prevent</w:t>
      </w:r>
      <w:r>
        <w:rPr>
          <w:spacing w:val="-10"/>
        </w:rPr>
        <w:t xml:space="preserve"> </w:t>
      </w:r>
      <w:r>
        <w:rPr>
          <w:spacing w:val="-2"/>
        </w:rPr>
        <w:t>queuing</w:t>
      </w:r>
      <w:r>
        <w:rPr>
          <w:spacing w:val="-9"/>
        </w:rPr>
        <w:t xml:space="preserve"> </w:t>
      </w:r>
      <w:r>
        <w:rPr>
          <w:spacing w:val="-2"/>
        </w:rPr>
        <w:t>for</w:t>
      </w:r>
      <w:r>
        <w:rPr>
          <w:spacing w:val="-9"/>
        </w:rPr>
        <w:t xml:space="preserve"> </w:t>
      </w:r>
      <w:r>
        <w:rPr>
          <w:spacing w:val="-2"/>
        </w:rPr>
        <w:t>Penrith</w:t>
      </w:r>
      <w:r>
        <w:rPr>
          <w:spacing w:val="-10"/>
        </w:rPr>
        <w:t xml:space="preserve"> </w:t>
      </w:r>
      <w:r>
        <w:rPr>
          <w:spacing w:val="-2"/>
        </w:rPr>
        <w:t>and</w:t>
      </w:r>
      <w:r>
        <w:rPr>
          <w:spacing w:val="-9"/>
        </w:rPr>
        <w:t xml:space="preserve"> </w:t>
      </w:r>
      <w:r>
        <w:rPr>
          <w:spacing w:val="-2"/>
        </w:rPr>
        <w:t xml:space="preserve">Richmond </w:t>
      </w:r>
      <w:r>
        <w:t>evacuation</w:t>
      </w:r>
      <w:r>
        <w:rPr>
          <w:spacing w:val="-11"/>
        </w:rPr>
        <w:t xml:space="preserve"> </w:t>
      </w:r>
      <w:r>
        <w:t>traffic.</w:t>
      </w:r>
    </w:p>
    <w:p w:rsidR="002C1123" w:rsidRDefault="00F22F94">
      <w:pPr>
        <w:pStyle w:val="BodyText"/>
        <w:spacing w:before="145" w:line="249" w:lineRule="auto"/>
        <w:ind w:left="235" w:right="838"/>
      </w:pPr>
      <w:r>
        <w:t>It</w:t>
      </w:r>
      <w:r>
        <w:rPr>
          <w:spacing w:val="-8"/>
        </w:rPr>
        <w:t xml:space="preserve"> </w:t>
      </w:r>
      <w:r>
        <w:t>is</w:t>
      </w:r>
      <w:r>
        <w:rPr>
          <w:spacing w:val="-8"/>
        </w:rPr>
        <w:t xml:space="preserve"> </w:t>
      </w:r>
      <w:r>
        <w:t>estimated</w:t>
      </w:r>
      <w:r>
        <w:rPr>
          <w:spacing w:val="-8"/>
        </w:rPr>
        <w:t xml:space="preserve"> </w:t>
      </w:r>
      <w:r>
        <w:t>the</w:t>
      </w:r>
      <w:r>
        <w:rPr>
          <w:spacing w:val="-8"/>
        </w:rPr>
        <w:t xml:space="preserve"> </w:t>
      </w:r>
      <w:r>
        <w:t>cost</w:t>
      </w:r>
      <w:r>
        <w:rPr>
          <w:spacing w:val="-8"/>
        </w:rPr>
        <w:t xml:space="preserve"> </w:t>
      </w:r>
      <w:r>
        <w:t>for</w:t>
      </w:r>
      <w:r>
        <w:rPr>
          <w:spacing w:val="-8"/>
        </w:rPr>
        <w:t xml:space="preserve"> </w:t>
      </w:r>
      <w:r>
        <w:t>upgrading</w:t>
      </w:r>
      <w:r>
        <w:rPr>
          <w:spacing w:val="-8"/>
        </w:rPr>
        <w:t xml:space="preserve"> </w:t>
      </w:r>
      <w:r>
        <w:t>the</w:t>
      </w:r>
      <w:r>
        <w:rPr>
          <w:spacing w:val="-8"/>
        </w:rPr>
        <w:t xml:space="preserve"> </w:t>
      </w:r>
      <w:r>
        <w:t>roads</w:t>
      </w:r>
      <w:r>
        <w:rPr>
          <w:spacing w:val="-8"/>
        </w:rPr>
        <w:t xml:space="preserve"> </w:t>
      </w:r>
      <w:r>
        <w:t xml:space="preserve">to </w:t>
      </w:r>
      <w:r>
        <w:rPr>
          <w:w w:val="95"/>
        </w:rPr>
        <w:t>allow</w:t>
      </w:r>
      <w:r>
        <w:rPr>
          <w:spacing w:val="-12"/>
          <w:w w:val="95"/>
        </w:rPr>
        <w:t xml:space="preserve"> </w:t>
      </w:r>
      <w:r>
        <w:rPr>
          <w:w w:val="95"/>
        </w:rPr>
        <w:t>people</w:t>
      </w:r>
      <w:r>
        <w:rPr>
          <w:spacing w:val="-11"/>
          <w:w w:val="95"/>
        </w:rPr>
        <w:t xml:space="preserve"> </w:t>
      </w:r>
      <w:r>
        <w:rPr>
          <w:w w:val="95"/>
        </w:rPr>
        <w:t>in</w:t>
      </w:r>
      <w:r>
        <w:rPr>
          <w:spacing w:val="-11"/>
          <w:w w:val="95"/>
        </w:rPr>
        <w:t xml:space="preserve"> </w:t>
      </w:r>
      <w:r>
        <w:rPr>
          <w:w w:val="95"/>
        </w:rPr>
        <w:t>the</w:t>
      </w:r>
      <w:r>
        <w:rPr>
          <w:spacing w:val="-11"/>
          <w:w w:val="95"/>
        </w:rPr>
        <w:t xml:space="preserve"> </w:t>
      </w:r>
      <w:r>
        <w:rPr>
          <w:w w:val="95"/>
        </w:rPr>
        <w:t>HNV</w:t>
      </w:r>
      <w:r>
        <w:rPr>
          <w:spacing w:val="-11"/>
          <w:w w:val="95"/>
        </w:rPr>
        <w:t xml:space="preserve"> </w:t>
      </w:r>
      <w:r>
        <w:rPr>
          <w:w w:val="95"/>
        </w:rPr>
        <w:t>to</w:t>
      </w:r>
      <w:r>
        <w:rPr>
          <w:spacing w:val="-11"/>
          <w:w w:val="95"/>
        </w:rPr>
        <w:t xml:space="preserve"> </w:t>
      </w:r>
      <w:r>
        <w:rPr>
          <w:w w:val="95"/>
        </w:rPr>
        <w:t>safely</w:t>
      </w:r>
      <w:r>
        <w:rPr>
          <w:spacing w:val="-11"/>
          <w:w w:val="95"/>
        </w:rPr>
        <w:t xml:space="preserve"> </w:t>
      </w:r>
      <w:r>
        <w:rPr>
          <w:w w:val="95"/>
        </w:rPr>
        <w:t>evacuate</w:t>
      </w:r>
      <w:r>
        <w:rPr>
          <w:spacing w:val="-11"/>
          <w:w w:val="95"/>
        </w:rPr>
        <w:t xml:space="preserve"> </w:t>
      </w:r>
      <w:r>
        <w:rPr>
          <w:w w:val="95"/>
        </w:rPr>
        <w:t>is</w:t>
      </w:r>
      <w:r>
        <w:rPr>
          <w:spacing w:val="-12"/>
          <w:w w:val="95"/>
        </w:rPr>
        <w:t xml:space="preserve"> </w:t>
      </w:r>
      <w:r>
        <w:rPr>
          <w:w w:val="95"/>
        </w:rPr>
        <w:t>at</w:t>
      </w:r>
      <w:r>
        <w:rPr>
          <w:spacing w:val="-11"/>
          <w:w w:val="95"/>
        </w:rPr>
        <w:t xml:space="preserve"> </w:t>
      </w:r>
      <w:r>
        <w:rPr>
          <w:w w:val="95"/>
        </w:rPr>
        <w:t>least</w:t>
      </w:r>
    </w:p>
    <w:p w:rsidR="002C1123" w:rsidRDefault="00F22F94">
      <w:pPr>
        <w:pStyle w:val="BodyText"/>
        <w:spacing w:before="2" w:line="249" w:lineRule="auto"/>
        <w:ind w:left="235" w:right="777"/>
      </w:pPr>
      <w:r>
        <w:t>$400</w:t>
      </w:r>
      <w:r>
        <w:rPr>
          <w:spacing w:val="-14"/>
        </w:rPr>
        <w:t xml:space="preserve"> </w:t>
      </w:r>
      <w:r>
        <w:t>million</w:t>
      </w:r>
      <w:r>
        <w:rPr>
          <w:spacing w:val="-14"/>
        </w:rPr>
        <w:t xml:space="preserve"> </w:t>
      </w:r>
      <w:r>
        <w:t>to</w:t>
      </w:r>
      <w:r>
        <w:rPr>
          <w:spacing w:val="-14"/>
        </w:rPr>
        <w:t xml:space="preserve"> </w:t>
      </w:r>
      <w:r>
        <w:t>$600</w:t>
      </w:r>
      <w:r>
        <w:rPr>
          <w:spacing w:val="-14"/>
        </w:rPr>
        <w:t xml:space="preserve"> </w:t>
      </w:r>
      <w:r>
        <w:t>million.</w:t>
      </w:r>
      <w:r>
        <w:rPr>
          <w:spacing w:val="-14"/>
        </w:rPr>
        <w:t xml:space="preserve"> </w:t>
      </w:r>
      <w:r>
        <w:t>At</w:t>
      </w:r>
      <w:r>
        <w:rPr>
          <w:spacing w:val="-14"/>
        </w:rPr>
        <w:t xml:space="preserve"> </w:t>
      </w:r>
      <w:r>
        <w:t>a</w:t>
      </w:r>
      <w:r>
        <w:rPr>
          <w:spacing w:val="-14"/>
        </w:rPr>
        <w:t xml:space="preserve"> </w:t>
      </w:r>
      <w:r>
        <w:t>minimum,</w:t>
      </w:r>
      <w:r>
        <w:rPr>
          <w:spacing w:val="-14"/>
        </w:rPr>
        <w:t xml:space="preserve"> </w:t>
      </w:r>
      <w:r>
        <w:t>this</w:t>
      </w:r>
      <w:r>
        <w:rPr>
          <w:spacing w:val="-14"/>
        </w:rPr>
        <w:t xml:space="preserve"> </w:t>
      </w:r>
      <w:r>
        <w:t xml:space="preserve">action </w:t>
      </w:r>
      <w:r>
        <w:rPr>
          <w:w w:val="95"/>
        </w:rPr>
        <w:t>should</w:t>
      </w:r>
      <w:r>
        <w:rPr>
          <w:spacing w:val="-3"/>
          <w:w w:val="95"/>
        </w:rPr>
        <w:t xml:space="preserve"> </w:t>
      </w:r>
      <w:r>
        <w:rPr>
          <w:w w:val="95"/>
        </w:rPr>
        <w:t>be</w:t>
      </w:r>
      <w:r>
        <w:rPr>
          <w:spacing w:val="-3"/>
          <w:w w:val="95"/>
        </w:rPr>
        <w:t xml:space="preserve"> </w:t>
      </w:r>
      <w:r>
        <w:rPr>
          <w:w w:val="95"/>
        </w:rPr>
        <w:t>taken</w:t>
      </w:r>
      <w:r>
        <w:rPr>
          <w:spacing w:val="-3"/>
          <w:w w:val="95"/>
        </w:rPr>
        <w:t xml:space="preserve"> </w:t>
      </w:r>
      <w:r>
        <w:rPr>
          <w:w w:val="95"/>
        </w:rPr>
        <w:t>if</w:t>
      </w:r>
      <w:r>
        <w:rPr>
          <w:spacing w:val="-3"/>
          <w:w w:val="95"/>
        </w:rPr>
        <w:t xml:space="preserve"> </w:t>
      </w:r>
      <w:r>
        <w:rPr>
          <w:w w:val="95"/>
        </w:rPr>
        <w:t>major</w:t>
      </w:r>
      <w:r>
        <w:rPr>
          <w:spacing w:val="-3"/>
          <w:w w:val="95"/>
        </w:rPr>
        <w:t xml:space="preserve"> </w:t>
      </w:r>
      <w:r>
        <w:rPr>
          <w:w w:val="95"/>
        </w:rPr>
        <w:t>flood</w:t>
      </w:r>
      <w:r>
        <w:rPr>
          <w:spacing w:val="-3"/>
          <w:w w:val="95"/>
        </w:rPr>
        <w:t xml:space="preserve"> </w:t>
      </w:r>
      <w:r>
        <w:rPr>
          <w:w w:val="95"/>
        </w:rPr>
        <w:t>mitigation</w:t>
      </w:r>
      <w:r>
        <w:rPr>
          <w:spacing w:val="-3"/>
          <w:w w:val="95"/>
        </w:rPr>
        <w:t xml:space="preserve"> </w:t>
      </w:r>
      <w:r>
        <w:rPr>
          <w:w w:val="95"/>
        </w:rPr>
        <w:t>is</w:t>
      </w:r>
      <w:r>
        <w:rPr>
          <w:spacing w:val="-3"/>
          <w:w w:val="95"/>
        </w:rPr>
        <w:t xml:space="preserve"> </w:t>
      </w:r>
      <w:r>
        <w:rPr>
          <w:w w:val="95"/>
        </w:rPr>
        <w:t>not</w:t>
      </w:r>
      <w:r>
        <w:rPr>
          <w:spacing w:val="-3"/>
          <w:w w:val="95"/>
        </w:rPr>
        <w:t xml:space="preserve"> </w:t>
      </w:r>
      <w:r>
        <w:rPr>
          <w:w w:val="95"/>
        </w:rPr>
        <w:t>provided in</w:t>
      </w:r>
      <w:r>
        <w:rPr>
          <w:spacing w:val="-12"/>
          <w:w w:val="95"/>
        </w:rPr>
        <w:t xml:space="preserve"> </w:t>
      </w:r>
      <w:r>
        <w:rPr>
          <w:w w:val="95"/>
        </w:rPr>
        <w:t>the</w:t>
      </w:r>
      <w:r>
        <w:rPr>
          <w:spacing w:val="-11"/>
          <w:w w:val="95"/>
        </w:rPr>
        <w:t xml:space="preserve"> </w:t>
      </w:r>
      <w:r>
        <w:rPr>
          <w:w w:val="95"/>
        </w:rPr>
        <w:t>HNV.</w:t>
      </w:r>
      <w:r>
        <w:rPr>
          <w:spacing w:val="-11"/>
          <w:w w:val="95"/>
        </w:rPr>
        <w:t xml:space="preserve"> </w:t>
      </w:r>
      <w:r>
        <w:rPr>
          <w:w w:val="95"/>
        </w:rPr>
        <w:t>Should</w:t>
      </w:r>
      <w:r>
        <w:rPr>
          <w:spacing w:val="-11"/>
          <w:w w:val="95"/>
        </w:rPr>
        <w:t xml:space="preserve"> </w:t>
      </w:r>
      <w:r>
        <w:rPr>
          <w:w w:val="95"/>
        </w:rPr>
        <w:t>the</w:t>
      </w:r>
      <w:r>
        <w:rPr>
          <w:spacing w:val="-11"/>
          <w:w w:val="95"/>
        </w:rPr>
        <w:t xml:space="preserve"> </w:t>
      </w:r>
      <w:r>
        <w:rPr>
          <w:w w:val="95"/>
        </w:rPr>
        <w:t>population</w:t>
      </w:r>
      <w:r>
        <w:rPr>
          <w:spacing w:val="-11"/>
          <w:w w:val="95"/>
        </w:rPr>
        <w:t xml:space="preserve"> </w:t>
      </w:r>
      <w:r>
        <w:rPr>
          <w:w w:val="95"/>
        </w:rPr>
        <w:t>in</w:t>
      </w:r>
      <w:r>
        <w:rPr>
          <w:spacing w:val="-11"/>
          <w:w w:val="95"/>
        </w:rPr>
        <w:t xml:space="preserve"> </w:t>
      </w:r>
      <w:r>
        <w:rPr>
          <w:w w:val="95"/>
        </w:rPr>
        <w:t>the</w:t>
      </w:r>
      <w:r>
        <w:rPr>
          <w:spacing w:val="-11"/>
          <w:w w:val="95"/>
        </w:rPr>
        <w:t xml:space="preserve"> </w:t>
      </w:r>
      <w:r>
        <w:rPr>
          <w:w w:val="95"/>
        </w:rPr>
        <w:t>Valley</w:t>
      </w:r>
      <w:r>
        <w:rPr>
          <w:spacing w:val="-12"/>
          <w:w w:val="95"/>
        </w:rPr>
        <w:t xml:space="preserve"> </w:t>
      </w:r>
      <w:r>
        <w:rPr>
          <w:w w:val="95"/>
        </w:rPr>
        <w:t xml:space="preserve">continue </w:t>
      </w:r>
      <w:r>
        <w:rPr>
          <w:spacing w:val="-2"/>
        </w:rPr>
        <w:t>to</w:t>
      </w:r>
      <w:r>
        <w:rPr>
          <w:spacing w:val="-8"/>
        </w:rPr>
        <w:t xml:space="preserve"> </w:t>
      </w:r>
      <w:r>
        <w:rPr>
          <w:spacing w:val="-2"/>
        </w:rPr>
        <w:t>increase</w:t>
      </w:r>
      <w:r>
        <w:rPr>
          <w:spacing w:val="-8"/>
        </w:rPr>
        <w:t xml:space="preserve"> </w:t>
      </w:r>
      <w:r>
        <w:rPr>
          <w:spacing w:val="-2"/>
        </w:rPr>
        <w:t>as</w:t>
      </w:r>
      <w:r>
        <w:rPr>
          <w:spacing w:val="-8"/>
        </w:rPr>
        <w:t xml:space="preserve"> </w:t>
      </w:r>
      <w:r>
        <w:rPr>
          <w:spacing w:val="-2"/>
        </w:rPr>
        <w:t>planned</w:t>
      </w:r>
      <w:r>
        <w:rPr>
          <w:spacing w:val="-8"/>
        </w:rPr>
        <w:t xml:space="preserve"> </w:t>
      </w:r>
      <w:r>
        <w:rPr>
          <w:spacing w:val="-2"/>
        </w:rPr>
        <w:t>then</w:t>
      </w:r>
      <w:r>
        <w:rPr>
          <w:spacing w:val="-8"/>
        </w:rPr>
        <w:t xml:space="preserve"> </w:t>
      </w:r>
      <w:r>
        <w:rPr>
          <w:spacing w:val="-2"/>
        </w:rPr>
        <w:t>further</w:t>
      </w:r>
      <w:r>
        <w:rPr>
          <w:spacing w:val="-8"/>
        </w:rPr>
        <w:t xml:space="preserve"> </w:t>
      </w:r>
      <w:r>
        <w:rPr>
          <w:spacing w:val="-2"/>
        </w:rPr>
        <w:t>road</w:t>
      </w:r>
      <w:r>
        <w:rPr>
          <w:spacing w:val="-8"/>
        </w:rPr>
        <w:t xml:space="preserve"> </w:t>
      </w:r>
      <w:r>
        <w:rPr>
          <w:spacing w:val="-2"/>
        </w:rPr>
        <w:t>upgrades</w:t>
      </w:r>
      <w:r>
        <w:rPr>
          <w:spacing w:val="-8"/>
        </w:rPr>
        <w:t xml:space="preserve"> </w:t>
      </w:r>
      <w:r>
        <w:rPr>
          <w:spacing w:val="-2"/>
        </w:rPr>
        <w:t xml:space="preserve">will </w:t>
      </w:r>
      <w:r>
        <w:t>be</w:t>
      </w:r>
      <w:r>
        <w:rPr>
          <w:spacing w:val="-11"/>
        </w:rPr>
        <w:t xml:space="preserve"> </w:t>
      </w:r>
      <w:r>
        <w:t>required.</w:t>
      </w:r>
    </w:p>
    <w:p w:rsidR="002C1123" w:rsidRDefault="00F22F94">
      <w:pPr>
        <w:pStyle w:val="BodyText"/>
        <w:spacing w:before="145" w:line="249" w:lineRule="auto"/>
        <w:ind w:left="235" w:right="742"/>
      </w:pPr>
      <w:r>
        <w:t>As</w:t>
      </w:r>
      <w:r>
        <w:rPr>
          <w:spacing w:val="-9"/>
        </w:rPr>
        <w:t xml:space="preserve"> </w:t>
      </w:r>
      <w:r>
        <w:t>part</w:t>
      </w:r>
      <w:r>
        <w:rPr>
          <w:spacing w:val="-9"/>
        </w:rPr>
        <w:t xml:space="preserve"> </w:t>
      </w:r>
      <w:r>
        <w:t>of</w:t>
      </w:r>
      <w:r>
        <w:rPr>
          <w:spacing w:val="-9"/>
        </w:rPr>
        <w:t xml:space="preserve"> </w:t>
      </w:r>
      <w:r>
        <w:t>its</w:t>
      </w:r>
      <w:r>
        <w:rPr>
          <w:spacing w:val="-9"/>
        </w:rPr>
        <w:t xml:space="preserve"> </w:t>
      </w:r>
      <w:r>
        <w:t>study</w:t>
      </w:r>
      <w:r>
        <w:rPr>
          <w:position w:val="7"/>
          <w:sz w:val="11"/>
        </w:rPr>
        <w:t>9</w:t>
      </w:r>
      <w:r>
        <w:rPr>
          <w:spacing w:val="16"/>
          <w:position w:val="7"/>
          <w:sz w:val="11"/>
        </w:rPr>
        <w:t xml:space="preserve"> </w:t>
      </w:r>
      <w:r>
        <w:t>Infrastructure</w:t>
      </w:r>
      <w:r>
        <w:rPr>
          <w:spacing w:val="-9"/>
        </w:rPr>
        <w:t xml:space="preserve"> </w:t>
      </w:r>
      <w:r>
        <w:t>NSW</w:t>
      </w:r>
      <w:r>
        <w:rPr>
          <w:spacing w:val="-9"/>
        </w:rPr>
        <w:t xml:space="preserve"> </w:t>
      </w:r>
      <w:r>
        <w:t>had</w:t>
      </w:r>
      <w:r>
        <w:rPr>
          <w:spacing w:val="-9"/>
        </w:rPr>
        <w:t xml:space="preserve"> </w:t>
      </w:r>
      <w:r>
        <w:t>a</w:t>
      </w:r>
      <w:r>
        <w:rPr>
          <w:spacing w:val="-9"/>
        </w:rPr>
        <w:t xml:space="preserve"> </w:t>
      </w:r>
      <w:r>
        <w:t xml:space="preserve">cost </w:t>
      </w:r>
      <w:r>
        <w:rPr>
          <w:w w:val="95"/>
        </w:rPr>
        <w:t>benefit</w:t>
      </w:r>
      <w:r>
        <w:rPr>
          <w:spacing w:val="-4"/>
          <w:w w:val="95"/>
        </w:rPr>
        <w:t xml:space="preserve"> </w:t>
      </w:r>
      <w:r>
        <w:rPr>
          <w:w w:val="95"/>
        </w:rPr>
        <w:t>analysis</w:t>
      </w:r>
      <w:r>
        <w:rPr>
          <w:spacing w:val="-4"/>
          <w:w w:val="95"/>
        </w:rPr>
        <w:t xml:space="preserve"> </w:t>
      </w:r>
      <w:r>
        <w:rPr>
          <w:w w:val="95"/>
        </w:rPr>
        <w:t>undertaken</w:t>
      </w:r>
      <w:r>
        <w:rPr>
          <w:spacing w:val="-4"/>
          <w:w w:val="95"/>
        </w:rPr>
        <w:t xml:space="preserve"> </w:t>
      </w:r>
      <w:r>
        <w:rPr>
          <w:w w:val="95"/>
        </w:rPr>
        <w:t>of</w:t>
      </w:r>
      <w:r>
        <w:rPr>
          <w:spacing w:val="-4"/>
          <w:w w:val="95"/>
        </w:rPr>
        <w:t xml:space="preserve"> </w:t>
      </w:r>
      <w:r>
        <w:rPr>
          <w:w w:val="95"/>
        </w:rPr>
        <w:t>providing</w:t>
      </w:r>
      <w:r>
        <w:rPr>
          <w:spacing w:val="-4"/>
          <w:w w:val="95"/>
        </w:rPr>
        <w:t xml:space="preserve"> </w:t>
      </w:r>
      <w:r>
        <w:rPr>
          <w:w w:val="95"/>
        </w:rPr>
        <w:t>significant</w:t>
      </w:r>
      <w:r>
        <w:rPr>
          <w:spacing w:val="-4"/>
          <w:w w:val="95"/>
        </w:rPr>
        <w:t xml:space="preserve"> </w:t>
      </w:r>
      <w:r>
        <w:rPr>
          <w:w w:val="95"/>
        </w:rPr>
        <w:t>flood mitigation</w:t>
      </w:r>
      <w:r>
        <w:rPr>
          <w:spacing w:val="-1"/>
          <w:w w:val="95"/>
        </w:rPr>
        <w:t xml:space="preserve"> </w:t>
      </w:r>
      <w:r>
        <w:rPr>
          <w:w w:val="95"/>
        </w:rPr>
        <w:t>to</w:t>
      </w:r>
      <w:r>
        <w:rPr>
          <w:spacing w:val="-1"/>
          <w:w w:val="95"/>
        </w:rPr>
        <w:t xml:space="preserve"> </w:t>
      </w:r>
      <w:r>
        <w:rPr>
          <w:w w:val="95"/>
        </w:rPr>
        <w:t>the</w:t>
      </w:r>
      <w:r>
        <w:rPr>
          <w:spacing w:val="-1"/>
          <w:w w:val="95"/>
        </w:rPr>
        <w:t xml:space="preserve"> </w:t>
      </w:r>
      <w:r>
        <w:rPr>
          <w:w w:val="95"/>
        </w:rPr>
        <w:t>HNV</w:t>
      </w:r>
      <w:r>
        <w:rPr>
          <w:spacing w:val="-1"/>
          <w:w w:val="95"/>
        </w:rPr>
        <w:t xml:space="preserve"> </w:t>
      </w:r>
      <w:r>
        <w:rPr>
          <w:w w:val="95"/>
        </w:rPr>
        <w:t>by</w:t>
      </w:r>
      <w:r>
        <w:rPr>
          <w:spacing w:val="-1"/>
          <w:w w:val="95"/>
        </w:rPr>
        <w:t xml:space="preserve"> </w:t>
      </w:r>
      <w:r>
        <w:rPr>
          <w:w w:val="95"/>
        </w:rPr>
        <w:t>raising</w:t>
      </w:r>
      <w:r>
        <w:rPr>
          <w:spacing w:val="-1"/>
          <w:w w:val="95"/>
        </w:rPr>
        <w:t xml:space="preserve"> </w:t>
      </w:r>
      <w:r>
        <w:rPr>
          <w:w w:val="95"/>
        </w:rPr>
        <w:t>Warragamba</w:t>
      </w:r>
      <w:r>
        <w:rPr>
          <w:spacing w:val="-1"/>
          <w:w w:val="95"/>
        </w:rPr>
        <w:t xml:space="preserve"> </w:t>
      </w:r>
      <w:r>
        <w:rPr>
          <w:w w:val="95"/>
        </w:rPr>
        <w:t>Dam</w:t>
      </w:r>
      <w:r>
        <w:rPr>
          <w:spacing w:val="-2"/>
          <w:w w:val="95"/>
        </w:rPr>
        <w:t xml:space="preserve"> </w:t>
      </w:r>
      <w:r>
        <w:rPr>
          <w:w w:val="95"/>
        </w:rPr>
        <w:t xml:space="preserve">wall. </w:t>
      </w:r>
      <w:r>
        <w:rPr>
          <w:spacing w:val="-2"/>
        </w:rPr>
        <w:t>The</w:t>
      </w:r>
      <w:r>
        <w:rPr>
          <w:spacing w:val="-9"/>
        </w:rPr>
        <w:t xml:space="preserve"> </w:t>
      </w:r>
      <w:r>
        <w:rPr>
          <w:spacing w:val="-2"/>
        </w:rPr>
        <w:t>project</w:t>
      </w:r>
      <w:r>
        <w:rPr>
          <w:spacing w:val="-9"/>
        </w:rPr>
        <w:t xml:space="preserve"> </w:t>
      </w:r>
      <w:r>
        <w:rPr>
          <w:spacing w:val="-2"/>
        </w:rPr>
        <w:t>has</w:t>
      </w:r>
      <w:r>
        <w:rPr>
          <w:spacing w:val="-9"/>
        </w:rPr>
        <w:t xml:space="preserve"> </w:t>
      </w:r>
      <w:r>
        <w:rPr>
          <w:spacing w:val="-2"/>
        </w:rPr>
        <w:t>one</w:t>
      </w:r>
      <w:r>
        <w:rPr>
          <w:spacing w:val="-9"/>
        </w:rPr>
        <w:t xml:space="preserve"> </w:t>
      </w:r>
      <w:r>
        <w:rPr>
          <w:spacing w:val="-2"/>
        </w:rPr>
        <w:t>of</w:t>
      </w:r>
      <w:r>
        <w:rPr>
          <w:spacing w:val="-9"/>
        </w:rPr>
        <w:t xml:space="preserve"> </w:t>
      </w:r>
      <w:r>
        <w:rPr>
          <w:spacing w:val="-2"/>
        </w:rPr>
        <w:t>the</w:t>
      </w:r>
      <w:r>
        <w:rPr>
          <w:spacing w:val="-9"/>
        </w:rPr>
        <w:t xml:space="preserve"> </w:t>
      </w:r>
      <w:r>
        <w:rPr>
          <w:spacing w:val="-2"/>
        </w:rPr>
        <w:t>highest</w:t>
      </w:r>
      <w:r>
        <w:rPr>
          <w:spacing w:val="-9"/>
        </w:rPr>
        <w:t xml:space="preserve"> </w:t>
      </w:r>
      <w:r>
        <w:rPr>
          <w:spacing w:val="-2"/>
        </w:rPr>
        <w:t>benefit</w:t>
      </w:r>
      <w:r>
        <w:rPr>
          <w:spacing w:val="-9"/>
        </w:rPr>
        <w:t xml:space="preserve"> </w:t>
      </w:r>
      <w:r>
        <w:rPr>
          <w:spacing w:val="-2"/>
        </w:rPr>
        <w:t>to</w:t>
      </w:r>
      <w:r>
        <w:rPr>
          <w:spacing w:val="-9"/>
        </w:rPr>
        <w:t xml:space="preserve"> </w:t>
      </w:r>
      <w:r>
        <w:rPr>
          <w:spacing w:val="-2"/>
        </w:rPr>
        <w:t>cost</w:t>
      </w:r>
      <w:r>
        <w:rPr>
          <w:spacing w:val="-9"/>
        </w:rPr>
        <w:t xml:space="preserve"> </w:t>
      </w:r>
      <w:r>
        <w:rPr>
          <w:spacing w:val="-2"/>
        </w:rPr>
        <w:t xml:space="preserve">ratios </w:t>
      </w:r>
      <w:r>
        <w:t>(BCR)</w:t>
      </w:r>
      <w:r>
        <w:rPr>
          <w:spacing w:val="-14"/>
        </w:rPr>
        <w:t xml:space="preserve"> </w:t>
      </w:r>
      <w:r>
        <w:t>of</w:t>
      </w:r>
      <w:r>
        <w:rPr>
          <w:spacing w:val="-14"/>
        </w:rPr>
        <w:t xml:space="preserve"> </w:t>
      </w:r>
      <w:r>
        <w:t>the</w:t>
      </w:r>
      <w:r>
        <w:rPr>
          <w:spacing w:val="-14"/>
        </w:rPr>
        <w:t xml:space="preserve"> </w:t>
      </w:r>
      <w:r>
        <w:t>projects</w:t>
      </w:r>
      <w:r>
        <w:rPr>
          <w:spacing w:val="-14"/>
        </w:rPr>
        <w:t xml:space="preserve"> </w:t>
      </w:r>
      <w:r>
        <w:t>recommended</w:t>
      </w:r>
      <w:r>
        <w:rPr>
          <w:spacing w:val="-14"/>
        </w:rPr>
        <w:t xml:space="preserve"> </w:t>
      </w:r>
      <w:r>
        <w:t>by</w:t>
      </w:r>
      <w:r>
        <w:rPr>
          <w:spacing w:val="-14"/>
        </w:rPr>
        <w:t xml:space="preserve"> </w:t>
      </w:r>
      <w:r>
        <w:t>Infrastructure NSW.</w:t>
      </w:r>
      <w:r>
        <w:rPr>
          <w:spacing w:val="-14"/>
        </w:rPr>
        <w:t xml:space="preserve"> </w:t>
      </w:r>
      <w:r>
        <w:t>At</w:t>
      </w:r>
      <w:r>
        <w:rPr>
          <w:spacing w:val="-14"/>
        </w:rPr>
        <w:t xml:space="preserve"> </w:t>
      </w:r>
      <w:r>
        <w:t>an</w:t>
      </w:r>
      <w:r>
        <w:rPr>
          <w:spacing w:val="-14"/>
        </w:rPr>
        <w:t xml:space="preserve"> </w:t>
      </w:r>
      <w:r>
        <w:t>estimated</w:t>
      </w:r>
      <w:r>
        <w:rPr>
          <w:spacing w:val="-13"/>
        </w:rPr>
        <w:t xml:space="preserve"> </w:t>
      </w:r>
      <w:r>
        <w:t>cost</w:t>
      </w:r>
      <w:r>
        <w:rPr>
          <w:spacing w:val="-14"/>
        </w:rPr>
        <w:t xml:space="preserve"> </w:t>
      </w:r>
      <w:r>
        <w:t>of</w:t>
      </w:r>
      <w:r>
        <w:rPr>
          <w:spacing w:val="-14"/>
        </w:rPr>
        <w:t xml:space="preserve"> </w:t>
      </w:r>
      <w:r>
        <w:t>at</w:t>
      </w:r>
      <w:r>
        <w:rPr>
          <w:spacing w:val="-14"/>
        </w:rPr>
        <w:t xml:space="preserve"> </w:t>
      </w:r>
      <w:r>
        <w:t>least</w:t>
      </w:r>
      <w:r>
        <w:rPr>
          <w:spacing w:val="-13"/>
        </w:rPr>
        <w:t xml:space="preserve"> </w:t>
      </w:r>
      <w:r>
        <w:t>$0.5</w:t>
      </w:r>
      <w:r>
        <w:rPr>
          <w:spacing w:val="-14"/>
        </w:rPr>
        <w:t xml:space="preserve"> </w:t>
      </w:r>
      <w:r>
        <w:t>billion</w:t>
      </w:r>
      <w:r>
        <w:rPr>
          <w:spacing w:val="-14"/>
        </w:rPr>
        <w:t xml:space="preserve"> </w:t>
      </w:r>
      <w:r>
        <w:t>the minimum</w:t>
      </w:r>
      <w:r>
        <w:rPr>
          <w:spacing w:val="-14"/>
        </w:rPr>
        <w:t xml:space="preserve"> </w:t>
      </w:r>
      <w:r>
        <w:t>BCR,</w:t>
      </w:r>
      <w:r>
        <w:rPr>
          <w:spacing w:val="-14"/>
        </w:rPr>
        <w:t xml:space="preserve"> </w:t>
      </w:r>
      <w:r>
        <w:t>based</w:t>
      </w:r>
      <w:r>
        <w:rPr>
          <w:spacing w:val="-14"/>
        </w:rPr>
        <w:t xml:space="preserve"> </w:t>
      </w:r>
      <w:r>
        <w:t>on</w:t>
      </w:r>
      <w:r>
        <w:rPr>
          <w:spacing w:val="-14"/>
        </w:rPr>
        <w:t xml:space="preserve"> </w:t>
      </w:r>
      <w:r>
        <w:t>a</w:t>
      </w:r>
      <w:r>
        <w:rPr>
          <w:spacing w:val="-13"/>
        </w:rPr>
        <w:t xml:space="preserve"> </w:t>
      </w:r>
      <w:r>
        <w:t>range</w:t>
      </w:r>
      <w:r>
        <w:rPr>
          <w:spacing w:val="-14"/>
        </w:rPr>
        <w:t xml:space="preserve"> </w:t>
      </w:r>
      <w:r>
        <w:t>of</w:t>
      </w:r>
      <w:r>
        <w:rPr>
          <w:spacing w:val="-14"/>
        </w:rPr>
        <w:t xml:space="preserve"> </w:t>
      </w:r>
      <w:r>
        <w:t>sensitivities,</w:t>
      </w:r>
      <w:r>
        <w:rPr>
          <w:spacing w:val="-14"/>
        </w:rPr>
        <w:t xml:space="preserve"> </w:t>
      </w:r>
      <w:r>
        <w:t>was higher</w:t>
      </w:r>
      <w:r>
        <w:rPr>
          <w:spacing w:val="-13"/>
        </w:rPr>
        <w:t xml:space="preserve"> </w:t>
      </w:r>
      <w:r>
        <w:t>than</w:t>
      </w:r>
      <w:r>
        <w:rPr>
          <w:spacing w:val="-13"/>
        </w:rPr>
        <w:t xml:space="preserve"> </w:t>
      </w:r>
      <w:r>
        <w:t>one,</w:t>
      </w:r>
      <w:r>
        <w:rPr>
          <w:spacing w:val="-13"/>
        </w:rPr>
        <w:t xml:space="preserve"> </w:t>
      </w:r>
      <w:r>
        <w:t>with</w:t>
      </w:r>
      <w:r>
        <w:rPr>
          <w:spacing w:val="-13"/>
        </w:rPr>
        <w:t xml:space="preserve"> </w:t>
      </w:r>
      <w:r>
        <w:t>an</w:t>
      </w:r>
      <w:r>
        <w:rPr>
          <w:spacing w:val="-13"/>
        </w:rPr>
        <w:t xml:space="preserve"> </w:t>
      </w:r>
      <w:r>
        <w:t>expected</w:t>
      </w:r>
      <w:r>
        <w:rPr>
          <w:spacing w:val="-13"/>
        </w:rPr>
        <w:t xml:space="preserve"> </w:t>
      </w:r>
      <w:r>
        <w:t>level</w:t>
      </w:r>
      <w:r>
        <w:rPr>
          <w:spacing w:val="-13"/>
        </w:rPr>
        <w:t xml:space="preserve"> </w:t>
      </w:r>
      <w:r>
        <w:t>of</w:t>
      </w:r>
      <w:r>
        <w:rPr>
          <w:spacing w:val="-13"/>
        </w:rPr>
        <w:t xml:space="preserve"> </w:t>
      </w:r>
      <w:r>
        <w:t>over</w:t>
      </w:r>
      <w:r>
        <w:rPr>
          <w:spacing w:val="-13"/>
        </w:rPr>
        <w:t xml:space="preserve"> </w:t>
      </w:r>
      <w:r>
        <w:t>two.</w:t>
      </w:r>
    </w:p>
    <w:p w:rsidR="002C1123" w:rsidRDefault="00F22F94">
      <w:pPr>
        <w:pStyle w:val="BodyText"/>
        <w:spacing w:before="7" w:line="249" w:lineRule="auto"/>
        <w:ind w:left="235" w:right="742"/>
      </w:pPr>
      <w:r>
        <w:t>These</w:t>
      </w:r>
      <w:r>
        <w:rPr>
          <w:spacing w:val="-14"/>
        </w:rPr>
        <w:t xml:space="preserve"> </w:t>
      </w:r>
      <w:r>
        <w:t>estimates</w:t>
      </w:r>
      <w:r>
        <w:rPr>
          <w:spacing w:val="-14"/>
        </w:rPr>
        <w:t xml:space="preserve"> </w:t>
      </w:r>
      <w:r>
        <w:t>are</w:t>
      </w:r>
      <w:r>
        <w:rPr>
          <w:spacing w:val="-14"/>
        </w:rPr>
        <w:t xml:space="preserve"> </w:t>
      </w:r>
      <w:r>
        <w:t>based</w:t>
      </w:r>
      <w:r>
        <w:rPr>
          <w:spacing w:val="-14"/>
        </w:rPr>
        <w:t xml:space="preserve"> </w:t>
      </w:r>
      <w:r>
        <w:t>on</w:t>
      </w:r>
      <w:r>
        <w:rPr>
          <w:spacing w:val="-14"/>
        </w:rPr>
        <w:t xml:space="preserve"> </w:t>
      </w:r>
      <w:r>
        <w:t>the</w:t>
      </w:r>
      <w:r>
        <w:rPr>
          <w:spacing w:val="-14"/>
        </w:rPr>
        <w:t xml:space="preserve"> </w:t>
      </w:r>
      <w:r>
        <w:t>expected</w:t>
      </w:r>
      <w:r>
        <w:rPr>
          <w:spacing w:val="-14"/>
        </w:rPr>
        <w:t xml:space="preserve"> </w:t>
      </w:r>
      <w:r>
        <w:t xml:space="preserve">average </w:t>
      </w:r>
      <w:r>
        <w:rPr>
          <w:w w:val="95"/>
        </w:rPr>
        <w:t>impact</w:t>
      </w:r>
      <w:r>
        <w:rPr>
          <w:spacing w:val="-9"/>
          <w:w w:val="95"/>
        </w:rPr>
        <w:t xml:space="preserve"> </w:t>
      </w:r>
      <w:r>
        <w:rPr>
          <w:w w:val="95"/>
        </w:rPr>
        <w:t>of</w:t>
      </w:r>
      <w:r>
        <w:rPr>
          <w:spacing w:val="-9"/>
          <w:w w:val="95"/>
        </w:rPr>
        <w:t xml:space="preserve"> </w:t>
      </w:r>
      <w:r>
        <w:rPr>
          <w:w w:val="95"/>
        </w:rPr>
        <w:t>all</w:t>
      </w:r>
      <w:r>
        <w:rPr>
          <w:spacing w:val="-9"/>
          <w:w w:val="95"/>
        </w:rPr>
        <w:t xml:space="preserve"> </w:t>
      </w:r>
      <w:r>
        <w:rPr>
          <w:w w:val="95"/>
        </w:rPr>
        <w:t>possible</w:t>
      </w:r>
      <w:r>
        <w:rPr>
          <w:spacing w:val="-9"/>
          <w:w w:val="95"/>
        </w:rPr>
        <w:t xml:space="preserve"> </w:t>
      </w:r>
      <w:r>
        <w:rPr>
          <w:w w:val="95"/>
        </w:rPr>
        <w:t>flood</w:t>
      </w:r>
      <w:r>
        <w:rPr>
          <w:spacing w:val="-9"/>
          <w:w w:val="95"/>
        </w:rPr>
        <w:t xml:space="preserve"> </w:t>
      </w:r>
      <w:r>
        <w:rPr>
          <w:w w:val="95"/>
        </w:rPr>
        <w:t>events</w:t>
      </w:r>
      <w:r>
        <w:rPr>
          <w:spacing w:val="-9"/>
          <w:w w:val="95"/>
        </w:rPr>
        <w:t xml:space="preserve"> </w:t>
      </w:r>
      <w:r>
        <w:rPr>
          <w:w w:val="95"/>
        </w:rPr>
        <w:t>(minor</w:t>
      </w:r>
      <w:r>
        <w:rPr>
          <w:spacing w:val="-9"/>
          <w:w w:val="95"/>
        </w:rPr>
        <w:t xml:space="preserve"> </w:t>
      </w:r>
      <w:r>
        <w:rPr>
          <w:w w:val="95"/>
        </w:rPr>
        <w:t>and</w:t>
      </w:r>
      <w:r>
        <w:rPr>
          <w:spacing w:val="-9"/>
          <w:w w:val="95"/>
        </w:rPr>
        <w:t xml:space="preserve"> </w:t>
      </w:r>
      <w:r>
        <w:rPr>
          <w:w w:val="95"/>
        </w:rPr>
        <w:t>major)</w:t>
      </w:r>
      <w:r>
        <w:rPr>
          <w:spacing w:val="-9"/>
          <w:w w:val="95"/>
        </w:rPr>
        <w:t xml:space="preserve"> </w:t>
      </w:r>
      <w:r>
        <w:rPr>
          <w:w w:val="95"/>
        </w:rPr>
        <w:t xml:space="preserve">and </w:t>
      </w:r>
      <w:r>
        <w:t>do</w:t>
      </w:r>
      <w:r>
        <w:rPr>
          <w:spacing w:val="-14"/>
        </w:rPr>
        <w:t xml:space="preserve"> </w:t>
      </w:r>
      <w:r>
        <w:t>not</w:t>
      </w:r>
      <w:r>
        <w:rPr>
          <w:spacing w:val="-14"/>
        </w:rPr>
        <w:t xml:space="preserve"> </w:t>
      </w:r>
      <w:r>
        <w:t>give</w:t>
      </w:r>
      <w:r>
        <w:rPr>
          <w:spacing w:val="-14"/>
        </w:rPr>
        <w:t xml:space="preserve"> </w:t>
      </w:r>
      <w:r>
        <w:t>any</w:t>
      </w:r>
      <w:r>
        <w:rPr>
          <w:spacing w:val="-14"/>
        </w:rPr>
        <w:t xml:space="preserve"> </w:t>
      </w:r>
      <w:r>
        <w:t>extra</w:t>
      </w:r>
      <w:r>
        <w:rPr>
          <w:spacing w:val="-14"/>
        </w:rPr>
        <w:t xml:space="preserve"> </w:t>
      </w:r>
      <w:r>
        <w:t>weight</w:t>
      </w:r>
      <w:r>
        <w:rPr>
          <w:spacing w:val="-14"/>
        </w:rPr>
        <w:t xml:space="preserve"> </w:t>
      </w:r>
      <w:r>
        <w:t>to</w:t>
      </w:r>
      <w:r>
        <w:rPr>
          <w:spacing w:val="-14"/>
        </w:rPr>
        <w:t xml:space="preserve"> </w:t>
      </w:r>
      <w:r>
        <w:t>severe</w:t>
      </w:r>
      <w:r>
        <w:rPr>
          <w:spacing w:val="-14"/>
        </w:rPr>
        <w:t xml:space="preserve"> </w:t>
      </w:r>
      <w:r>
        <w:t>events</w:t>
      </w:r>
      <w:r>
        <w:rPr>
          <w:spacing w:val="-14"/>
        </w:rPr>
        <w:t xml:space="preserve"> </w:t>
      </w:r>
      <w:r>
        <w:t>to</w:t>
      </w:r>
      <w:r>
        <w:rPr>
          <w:spacing w:val="-13"/>
        </w:rPr>
        <w:t xml:space="preserve"> </w:t>
      </w:r>
      <w:r>
        <w:t>reflect risk</w:t>
      </w:r>
      <w:r>
        <w:rPr>
          <w:spacing w:val="-14"/>
        </w:rPr>
        <w:t xml:space="preserve"> </w:t>
      </w:r>
      <w:r>
        <w:t>aversion</w:t>
      </w:r>
      <w:r>
        <w:rPr>
          <w:spacing w:val="-14"/>
        </w:rPr>
        <w:t xml:space="preserve"> </w:t>
      </w:r>
      <w:r>
        <w:t>(though</w:t>
      </w:r>
      <w:r>
        <w:rPr>
          <w:spacing w:val="-14"/>
        </w:rPr>
        <w:t xml:space="preserve"> </w:t>
      </w:r>
      <w:r>
        <w:t>that</w:t>
      </w:r>
      <w:r>
        <w:rPr>
          <w:spacing w:val="-14"/>
        </w:rPr>
        <w:t xml:space="preserve"> </w:t>
      </w:r>
      <w:r>
        <w:t>could</w:t>
      </w:r>
      <w:r>
        <w:rPr>
          <w:spacing w:val="-14"/>
        </w:rPr>
        <w:t xml:space="preserve"> </w:t>
      </w:r>
      <w:r>
        <w:t>be</w:t>
      </w:r>
      <w:r>
        <w:rPr>
          <w:spacing w:val="-14"/>
        </w:rPr>
        <w:t xml:space="preserve"> </w:t>
      </w:r>
      <w:r>
        <w:t>justified</w:t>
      </w:r>
      <w:r>
        <w:rPr>
          <w:spacing w:val="-14"/>
        </w:rPr>
        <w:t xml:space="preserve"> </w:t>
      </w:r>
      <w:r>
        <w:t>given</w:t>
      </w:r>
      <w:r>
        <w:rPr>
          <w:spacing w:val="-14"/>
        </w:rPr>
        <w:t xml:space="preserve"> </w:t>
      </w:r>
      <w:r>
        <w:t>the major</w:t>
      </w:r>
      <w:r>
        <w:rPr>
          <w:spacing w:val="-11"/>
        </w:rPr>
        <w:t xml:space="preserve"> </w:t>
      </w:r>
      <w:r>
        <w:t>impacts</w:t>
      </w:r>
      <w:r>
        <w:rPr>
          <w:spacing w:val="-11"/>
        </w:rPr>
        <w:t xml:space="preserve"> </w:t>
      </w:r>
      <w:r>
        <w:t>a</w:t>
      </w:r>
      <w:r>
        <w:rPr>
          <w:spacing w:val="-11"/>
        </w:rPr>
        <w:t xml:space="preserve"> </w:t>
      </w:r>
      <w:r>
        <w:t>major</w:t>
      </w:r>
      <w:r>
        <w:rPr>
          <w:spacing w:val="-11"/>
        </w:rPr>
        <w:t xml:space="preserve"> </w:t>
      </w:r>
      <w:r>
        <w:t>flood</w:t>
      </w:r>
      <w:r>
        <w:rPr>
          <w:spacing w:val="-11"/>
        </w:rPr>
        <w:t xml:space="preserve"> </w:t>
      </w:r>
      <w:r>
        <w:t>would</w:t>
      </w:r>
      <w:r>
        <w:rPr>
          <w:spacing w:val="-11"/>
        </w:rPr>
        <w:t xml:space="preserve"> </w:t>
      </w:r>
      <w:r>
        <w:t>have</w:t>
      </w:r>
      <w:r>
        <w:rPr>
          <w:spacing w:val="-11"/>
        </w:rPr>
        <w:t xml:space="preserve"> </w:t>
      </w:r>
      <w:r>
        <w:t>on</w:t>
      </w:r>
      <w:r>
        <w:rPr>
          <w:spacing w:val="-11"/>
        </w:rPr>
        <w:t xml:space="preserve"> </w:t>
      </w:r>
      <w:r>
        <w:t>the</w:t>
      </w:r>
      <w:r>
        <w:rPr>
          <w:spacing w:val="-11"/>
        </w:rPr>
        <w:t xml:space="preserve"> </w:t>
      </w:r>
      <w:r>
        <w:t xml:space="preserve">NSW </w:t>
      </w:r>
      <w:r>
        <w:rPr>
          <w:w w:val="95"/>
        </w:rPr>
        <w:t xml:space="preserve">economy). In addition the quantified benefits are limited primarily to property damage to homes and businesses </w:t>
      </w:r>
      <w:r>
        <w:t>and</w:t>
      </w:r>
      <w:r>
        <w:rPr>
          <w:spacing w:val="-14"/>
        </w:rPr>
        <w:t xml:space="preserve"> </w:t>
      </w:r>
      <w:r>
        <w:t>are</w:t>
      </w:r>
      <w:r>
        <w:rPr>
          <w:spacing w:val="-14"/>
        </w:rPr>
        <w:t xml:space="preserve"> </w:t>
      </w:r>
      <w:r>
        <w:t>believed</w:t>
      </w:r>
      <w:r>
        <w:rPr>
          <w:spacing w:val="-14"/>
        </w:rPr>
        <w:t xml:space="preserve"> </w:t>
      </w:r>
      <w:r>
        <w:t>to</w:t>
      </w:r>
      <w:r>
        <w:rPr>
          <w:spacing w:val="-14"/>
        </w:rPr>
        <w:t xml:space="preserve"> </w:t>
      </w:r>
      <w:r>
        <w:t>be</w:t>
      </w:r>
      <w:r>
        <w:rPr>
          <w:spacing w:val="-14"/>
        </w:rPr>
        <w:t xml:space="preserve"> </w:t>
      </w:r>
      <w:r>
        <w:t>conservative.</w:t>
      </w:r>
      <w:r>
        <w:rPr>
          <w:spacing w:val="-14"/>
        </w:rPr>
        <w:t xml:space="preserve"> </w:t>
      </w:r>
      <w:r>
        <w:t>They</w:t>
      </w:r>
      <w:r>
        <w:rPr>
          <w:spacing w:val="-14"/>
        </w:rPr>
        <w:t xml:space="preserve"> </w:t>
      </w:r>
      <w:r>
        <w:t>exclude, amongst</w:t>
      </w:r>
      <w:r>
        <w:rPr>
          <w:spacing w:val="-12"/>
        </w:rPr>
        <w:t xml:space="preserve"> </w:t>
      </w:r>
      <w:r>
        <w:t>other</w:t>
      </w:r>
      <w:r>
        <w:rPr>
          <w:spacing w:val="-12"/>
        </w:rPr>
        <w:t xml:space="preserve"> </w:t>
      </w:r>
      <w:r>
        <w:t>things,</w:t>
      </w:r>
      <w:r>
        <w:rPr>
          <w:spacing w:val="-12"/>
        </w:rPr>
        <w:t xml:space="preserve"> </w:t>
      </w:r>
      <w:r>
        <w:t>the</w:t>
      </w:r>
      <w:r>
        <w:rPr>
          <w:spacing w:val="-12"/>
        </w:rPr>
        <w:t xml:space="preserve"> </w:t>
      </w:r>
      <w:r>
        <w:t>cost</w:t>
      </w:r>
      <w:r>
        <w:rPr>
          <w:spacing w:val="-12"/>
        </w:rPr>
        <w:t xml:space="preserve"> </w:t>
      </w:r>
      <w:r>
        <w:t>of</w:t>
      </w:r>
      <w:r>
        <w:rPr>
          <w:spacing w:val="-12"/>
        </w:rPr>
        <w:t xml:space="preserve"> </w:t>
      </w:r>
      <w:r>
        <w:t>total</w:t>
      </w:r>
      <w:r>
        <w:rPr>
          <w:spacing w:val="-12"/>
        </w:rPr>
        <w:t xml:space="preserve"> </w:t>
      </w:r>
      <w:r>
        <w:t>building</w:t>
      </w:r>
      <w:r>
        <w:rPr>
          <w:spacing w:val="-12"/>
        </w:rPr>
        <w:t xml:space="preserve"> </w:t>
      </w:r>
      <w:r>
        <w:t xml:space="preserve">failures </w:t>
      </w:r>
      <w:r>
        <w:rPr>
          <w:w w:val="95"/>
        </w:rPr>
        <w:t xml:space="preserve">and business failures, and intangible costs such as risk </w:t>
      </w:r>
      <w:r>
        <w:t>to human life and trauma.</w:t>
      </w:r>
    </w:p>
    <w:p w:rsidR="002C1123" w:rsidRDefault="002C1123">
      <w:pPr>
        <w:pStyle w:val="BodyText"/>
      </w:pPr>
    </w:p>
    <w:p w:rsidR="002C1123" w:rsidRDefault="002C1123">
      <w:pPr>
        <w:pStyle w:val="BodyText"/>
      </w:pPr>
    </w:p>
    <w:p w:rsidR="002C1123" w:rsidRDefault="002060EF">
      <w:pPr>
        <w:pStyle w:val="BodyText"/>
        <w:spacing w:before="9"/>
        <w:rPr>
          <w:sz w:val="12"/>
        </w:rPr>
      </w:pPr>
      <w:r>
        <w:pict>
          <v:shape id="docshape2232" o:spid="_x0000_s1813" style="position:absolute;margin-left:552.3pt;margin-top:8.55pt;width:1in;height:.1pt;z-index:-251336704;mso-wrap-distance-left:0;mso-wrap-distance-right:0;mso-position-horizontal-relative:page" coordorigin="11046,171" coordsize="1440,0" path="m11046,171r1440,e" filled="f" strokecolor="#9c9c9d" strokeweight=".5pt">
            <v:path arrowok="t"/>
            <w10:wrap type="topAndBottom" anchorx="page"/>
          </v:shape>
        </w:pict>
      </w:r>
    </w:p>
    <w:p w:rsidR="002C1123" w:rsidRDefault="00F22F94">
      <w:pPr>
        <w:pStyle w:val="ListParagraph"/>
        <w:numPr>
          <w:ilvl w:val="3"/>
          <w:numId w:val="57"/>
        </w:numPr>
        <w:tabs>
          <w:tab w:val="left" w:pos="434"/>
        </w:tabs>
        <w:spacing w:before="23"/>
        <w:ind w:left="433"/>
        <w:jc w:val="left"/>
        <w:rPr>
          <w:sz w:val="14"/>
        </w:rPr>
      </w:pPr>
      <w:r>
        <w:rPr>
          <w:w w:val="95"/>
          <w:sz w:val="14"/>
        </w:rPr>
        <w:t>Molino</w:t>
      </w:r>
      <w:r>
        <w:rPr>
          <w:spacing w:val="2"/>
          <w:sz w:val="14"/>
        </w:rPr>
        <w:t xml:space="preserve"> </w:t>
      </w:r>
      <w:r>
        <w:rPr>
          <w:w w:val="95"/>
          <w:sz w:val="14"/>
        </w:rPr>
        <w:t>Stewart</w:t>
      </w:r>
      <w:r>
        <w:rPr>
          <w:spacing w:val="2"/>
          <w:sz w:val="14"/>
        </w:rPr>
        <w:t xml:space="preserve"> </w:t>
      </w:r>
      <w:r>
        <w:rPr>
          <w:w w:val="95"/>
          <w:sz w:val="14"/>
        </w:rPr>
        <w:t>2012,</w:t>
      </w:r>
      <w:r>
        <w:rPr>
          <w:spacing w:val="3"/>
          <w:sz w:val="14"/>
        </w:rPr>
        <w:t xml:space="preserve"> </w:t>
      </w:r>
      <w:r>
        <w:rPr>
          <w:w w:val="95"/>
          <w:sz w:val="14"/>
        </w:rPr>
        <w:t>Hawkesbury</w:t>
      </w:r>
      <w:r>
        <w:rPr>
          <w:spacing w:val="2"/>
          <w:sz w:val="14"/>
        </w:rPr>
        <w:t xml:space="preserve"> </w:t>
      </w:r>
      <w:r>
        <w:rPr>
          <w:w w:val="95"/>
          <w:sz w:val="14"/>
        </w:rPr>
        <w:t>–</w:t>
      </w:r>
      <w:r>
        <w:rPr>
          <w:spacing w:val="3"/>
          <w:sz w:val="14"/>
        </w:rPr>
        <w:t xml:space="preserve"> </w:t>
      </w:r>
      <w:r>
        <w:rPr>
          <w:w w:val="95"/>
          <w:sz w:val="14"/>
        </w:rPr>
        <w:t>Nepean</w:t>
      </w:r>
      <w:r>
        <w:rPr>
          <w:spacing w:val="2"/>
          <w:sz w:val="14"/>
        </w:rPr>
        <w:t xml:space="preserve"> </w:t>
      </w:r>
      <w:r>
        <w:rPr>
          <w:w w:val="95"/>
          <w:sz w:val="14"/>
        </w:rPr>
        <w:t>Flood</w:t>
      </w:r>
      <w:r>
        <w:rPr>
          <w:spacing w:val="3"/>
          <w:sz w:val="14"/>
        </w:rPr>
        <w:t xml:space="preserve"> </w:t>
      </w:r>
      <w:r>
        <w:rPr>
          <w:w w:val="95"/>
          <w:sz w:val="14"/>
        </w:rPr>
        <w:t>Damages</w:t>
      </w:r>
      <w:r>
        <w:rPr>
          <w:spacing w:val="2"/>
          <w:sz w:val="14"/>
        </w:rPr>
        <w:t xml:space="preserve"> </w:t>
      </w:r>
      <w:r>
        <w:rPr>
          <w:spacing w:val="-2"/>
          <w:w w:val="95"/>
          <w:sz w:val="14"/>
        </w:rPr>
        <w:t>Report.</w:t>
      </w:r>
    </w:p>
    <w:p w:rsidR="002C1123" w:rsidRDefault="002C1123">
      <w:pPr>
        <w:rPr>
          <w:sz w:val="14"/>
        </w:rPr>
        <w:sectPr w:rsidR="002C1123">
          <w:type w:val="continuous"/>
          <w:pgSz w:w="16840" w:h="11910" w:orient="landscape"/>
          <w:pgMar w:top="560" w:right="280" w:bottom="280" w:left="500" w:header="0" w:footer="517" w:gutter="0"/>
          <w:cols w:num="3" w:space="720" w:equalWidth="0">
            <w:col w:w="5279" w:space="40"/>
            <w:col w:w="4952" w:space="39"/>
            <w:col w:w="5750"/>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060EF">
      <w:pPr>
        <w:pStyle w:val="BodyText"/>
        <w:spacing w:before="106" w:line="249" w:lineRule="auto"/>
        <w:ind w:left="492" w:right="10835"/>
      </w:pPr>
      <w:r>
        <w:pict>
          <v:group id="docshapegroup2233" o:spid="_x0000_s1778" style="position:absolute;left:0;text-align:left;margin-left:299.45pt;margin-top:6.8pt;width:494.35pt;height:413.3pt;z-index:251637760;mso-position-horizontal-relative:page" coordorigin="5989,136" coordsize="9887,8266">
            <v:shape id="docshape2234" o:spid="_x0000_s1812" type="#_x0000_t75" style="position:absolute;left:5988;top:135;width:9887;height:8266">
              <v:imagedata r:id="rId210" o:title=""/>
            </v:shape>
            <v:shape id="docshape2235" o:spid="_x0000_s1811" type="#_x0000_t202" style="position:absolute;left:6132;top:258;width:2907;height:215" filled="f" stroked="f">
              <v:textbox inset="0,0,0,0">
                <w:txbxContent>
                  <w:p w:rsidR="00F22F94" w:rsidRDefault="00F22F94">
                    <w:pPr>
                      <w:spacing w:before="6"/>
                      <w:rPr>
                        <w:b/>
                        <w:sz w:val="18"/>
                      </w:rPr>
                    </w:pPr>
                    <w:r>
                      <w:rPr>
                        <w:b/>
                        <w:sz w:val="18"/>
                      </w:rPr>
                      <w:t>Figure</w:t>
                    </w:r>
                    <w:r>
                      <w:rPr>
                        <w:b/>
                        <w:spacing w:val="-7"/>
                        <w:sz w:val="18"/>
                      </w:rPr>
                      <w:t xml:space="preserve"> </w:t>
                    </w:r>
                    <w:r>
                      <w:rPr>
                        <w:b/>
                        <w:sz w:val="18"/>
                      </w:rPr>
                      <w:t>12.2</w:t>
                    </w:r>
                    <w:r>
                      <w:rPr>
                        <w:b/>
                        <w:spacing w:val="-7"/>
                        <w:sz w:val="18"/>
                      </w:rPr>
                      <w:t xml:space="preserve"> </w:t>
                    </w:r>
                    <w:r>
                      <w:rPr>
                        <w:b/>
                        <w:sz w:val="18"/>
                      </w:rPr>
                      <w:t>Potential</w:t>
                    </w:r>
                    <w:r>
                      <w:rPr>
                        <w:b/>
                        <w:spacing w:val="-7"/>
                        <w:sz w:val="18"/>
                      </w:rPr>
                      <w:t xml:space="preserve"> </w:t>
                    </w:r>
                    <w:r>
                      <w:rPr>
                        <w:b/>
                        <w:sz w:val="18"/>
                      </w:rPr>
                      <w:t>Flood</w:t>
                    </w:r>
                    <w:r>
                      <w:rPr>
                        <w:b/>
                        <w:spacing w:val="-7"/>
                        <w:sz w:val="18"/>
                      </w:rPr>
                      <w:t xml:space="preserve"> </w:t>
                    </w:r>
                    <w:r>
                      <w:rPr>
                        <w:b/>
                        <w:spacing w:val="-2"/>
                        <w:sz w:val="18"/>
                      </w:rPr>
                      <w:t>Levels</w:t>
                    </w:r>
                  </w:p>
                </w:txbxContent>
              </v:textbox>
            </v:shape>
            <v:shape id="docshape2236" o:spid="_x0000_s1810" type="#_x0000_t202" style="position:absolute;left:11715;top:767;width:663;height:181" filled="f" stroked="f">
              <v:textbox inset="0,0,0,0">
                <w:txbxContent>
                  <w:p w:rsidR="00F22F94" w:rsidRDefault="00F22F94">
                    <w:pPr>
                      <w:spacing w:line="181" w:lineRule="exact"/>
                      <w:rPr>
                        <w:sz w:val="16"/>
                      </w:rPr>
                    </w:pPr>
                    <w:r>
                      <w:rPr>
                        <w:spacing w:val="-2"/>
                        <w:w w:val="80"/>
                        <w:sz w:val="16"/>
                      </w:rPr>
                      <w:t>Wilberforce</w:t>
                    </w:r>
                  </w:p>
                </w:txbxContent>
              </v:textbox>
            </v:shape>
            <v:shape id="docshape2237" o:spid="_x0000_s1809" type="#_x0000_t202" style="position:absolute;left:8340;top:1635;width:933;height:181" filled="f" stroked="f">
              <v:textbox inset="0,0,0,0">
                <w:txbxContent>
                  <w:p w:rsidR="00F22F94" w:rsidRDefault="00F22F94">
                    <w:pPr>
                      <w:spacing w:line="181" w:lineRule="exact"/>
                      <w:rPr>
                        <w:sz w:val="16"/>
                      </w:rPr>
                    </w:pPr>
                    <w:r>
                      <w:rPr>
                        <w:w w:val="75"/>
                        <w:sz w:val="16"/>
                      </w:rPr>
                      <w:t>North</w:t>
                    </w:r>
                    <w:r>
                      <w:rPr>
                        <w:spacing w:val="4"/>
                        <w:sz w:val="16"/>
                      </w:rPr>
                      <w:t xml:space="preserve"> </w:t>
                    </w:r>
                    <w:r>
                      <w:rPr>
                        <w:spacing w:val="-2"/>
                        <w:w w:val="80"/>
                        <w:sz w:val="16"/>
                      </w:rPr>
                      <w:t>Richmond</w:t>
                    </w:r>
                  </w:p>
                </w:txbxContent>
              </v:textbox>
            </v:shape>
            <v:shape id="docshape2238" o:spid="_x0000_s1808" type="#_x0000_t202" style="position:absolute;left:12412;top:1507;width:547;height:181" filled="f" stroked="f">
              <v:textbox inset="0,0,0,0">
                <w:txbxContent>
                  <w:p w:rsidR="00F22F94" w:rsidRDefault="00F22F94">
                    <w:pPr>
                      <w:spacing w:line="181" w:lineRule="exact"/>
                      <w:rPr>
                        <w:sz w:val="16"/>
                      </w:rPr>
                    </w:pPr>
                    <w:r>
                      <w:rPr>
                        <w:w w:val="80"/>
                        <w:sz w:val="16"/>
                      </w:rPr>
                      <w:t>Pitt</w:t>
                    </w:r>
                    <w:r>
                      <w:rPr>
                        <w:spacing w:val="-1"/>
                        <w:w w:val="80"/>
                        <w:sz w:val="16"/>
                      </w:rPr>
                      <w:t xml:space="preserve"> </w:t>
                    </w:r>
                    <w:r>
                      <w:rPr>
                        <w:spacing w:val="-4"/>
                        <w:w w:val="80"/>
                        <w:sz w:val="16"/>
                      </w:rPr>
                      <w:t>Town</w:t>
                    </w:r>
                  </w:p>
                </w:txbxContent>
              </v:textbox>
            </v:shape>
            <v:shape id="docshape2239" o:spid="_x0000_s1807" type="#_x0000_t202" style="position:absolute;left:9297;top:2227;width:586;height:181" filled="f" stroked="f">
              <v:textbox inset="0,0,0,0">
                <w:txbxContent>
                  <w:p w:rsidR="00F22F94" w:rsidRDefault="00F22F94">
                    <w:pPr>
                      <w:spacing w:line="181" w:lineRule="exact"/>
                      <w:rPr>
                        <w:sz w:val="16"/>
                      </w:rPr>
                    </w:pPr>
                    <w:r>
                      <w:rPr>
                        <w:spacing w:val="-2"/>
                        <w:w w:val="80"/>
                        <w:sz w:val="16"/>
                      </w:rPr>
                      <w:t>Richmond</w:t>
                    </w:r>
                  </w:p>
                </w:txbxContent>
              </v:textbox>
            </v:shape>
            <v:shape id="docshape2240" o:spid="_x0000_s1806" type="#_x0000_t202" style="position:absolute;left:10328;top:2269;width:646;height:181" filled="f" stroked="f">
              <v:textbox inset="0,0,0,0">
                <w:txbxContent>
                  <w:p w:rsidR="00F22F94" w:rsidRDefault="00F22F94">
                    <w:pPr>
                      <w:spacing w:line="181" w:lineRule="exact"/>
                      <w:rPr>
                        <w:sz w:val="16"/>
                      </w:rPr>
                    </w:pPr>
                    <w:r>
                      <w:rPr>
                        <w:w w:val="70"/>
                        <w:sz w:val="16"/>
                      </w:rPr>
                      <w:t>RAAF</w:t>
                    </w:r>
                    <w:r>
                      <w:rPr>
                        <w:spacing w:val="1"/>
                        <w:sz w:val="16"/>
                      </w:rPr>
                      <w:t xml:space="preserve"> </w:t>
                    </w:r>
                    <w:r>
                      <w:rPr>
                        <w:spacing w:val="-4"/>
                        <w:w w:val="80"/>
                        <w:sz w:val="16"/>
                      </w:rPr>
                      <w:t>Base</w:t>
                    </w:r>
                  </w:p>
                </w:txbxContent>
              </v:textbox>
            </v:shape>
            <v:shape id="docshape2241" o:spid="_x0000_s1805" type="#_x0000_t202" style="position:absolute;left:10985;top:2610;width:482;height:181" filled="f" stroked="f">
              <v:textbox inset="0,0,0,0">
                <w:txbxContent>
                  <w:p w:rsidR="00F22F94" w:rsidRDefault="00F22F94">
                    <w:pPr>
                      <w:spacing w:line="181" w:lineRule="exact"/>
                      <w:rPr>
                        <w:sz w:val="16"/>
                      </w:rPr>
                    </w:pPr>
                    <w:r>
                      <w:rPr>
                        <w:spacing w:val="-2"/>
                        <w:w w:val="80"/>
                        <w:sz w:val="16"/>
                      </w:rPr>
                      <w:t>Windsor</w:t>
                    </w:r>
                  </w:p>
                </w:txbxContent>
              </v:textbox>
            </v:shape>
            <v:shape id="docshape2242" o:spid="_x0000_s1804" type="#_x0000_t202" style="position:absolute;left:11531;top:2930;width:776;height:181" filled="f" stroked="f">
              <v:textbox inset="0,0,0,0">
                <w:txbxContent>
                  <w:p w:rsidR="00F22F94" w:rsidRDefault="00F22F94">
                    <w:pPr>
                      <w:spacing w:line="181" w:lineRule="exact"/>
                      <w:rPr>
                        <w:sz w:val="16"/>
                      </w:rPr>
                    </w:pPr>
                    <w:r>
                      <w:rPr>
                        <w:w w:val="75"/>
                        <w:sz w:val="16"/>
                      </w:rPr>
                      <w:t>McGraths</w:t>
                    </w:r>
                    <w:r>
                      <w:rPr>
                        <w:spacing w:val="13"/>
                        <w:sz w:val="16"/>
                      </w:rPr>
                      <w:t xml:space="preserve"> </w:t>
                    </w:r>
                    <w:r>
                      <w:rPr>
                        <w:spacing w:val="-4"/>
                        <w:w w:val="85"/>
                        <w:sz w:val="16"/>
                      </w:rPr>
                      <w:t>Hill</w:t>
                    </w:r>
                  </w:p>
                </w:txbxContent>
              </v:textbox>
            </v:shape>
            <v:shape id="docshape2243" o:spid="_x0000_s1803" type="#_x0000_t202" style="position:absolute;left:8145;top:3074;width:758;height:181" filled="f" stroked="f">
              <v:textbox inset="0,0,0,0">
                <w:txbxContent>
                  <w:p w:rsidR="00F22F94" w:rsidRDefault="00F22F94">
                    <w:pPr>
                      <w:spacing w:line="181" w:lineRule="exact"/>
                      <w:rPr>
                        <w:sz w:val="16"/>
                      </w:rPr>
                    </w:pPr>
                    <w:r>
                      <w:rPr>
                        <w:w w:val="75"/>
                        <w:sz w:val="16"/>
                      </w:rPr>
                      <w:t>Agnes</w:t>
                    </w:r>
                    <w:r>
                      <w:rPr>
                        <w:spacing w:val="2"/>
                        <w:sz w:val="16"/>
                      </w:rPr>
                      <w:t xml:space="preserve"> </w:t>
                    </w:r>
                    <w:r>
                      <w:rPr>
                        <w:spacing w:val="-2"/>
                        <w:w w:val="80"/>
                        <w:sz w:val="16"/>
                      </w:rPr>
                      <w:t>Banks</w:t>
                    </w:r>
                  </w:p>
                </w:txbxContent>
              </v:textbox>
            </v:shape>
            <v:shape id="docshape2244" o:spid="_x0000_s1802" type="#_x0000_t202" style="position:absolute;left:10753;top:3324;width:594;height:181" filled="f" stroked="f">
              <v:textbox inset="0,0,0,0">
                <w:txbxContent>
                  <w:p w:rsidR="00F22F94" w:rsidRDefault="00F22F94">
                    <w:pPr>
                      <w:spacing w:line="181" w:lineRule="exact"/>
                      <w:rPr>
                        <w:sz w:val="16"/>
                      </w:rPr>
                    </w:pPr>
                    <w:r>
                      <w:rPr>
                        <w:w w:val="75"/>
                        <w:sz w:val="16"/>
                      </w:rPr>
                      <w:t>Bligh</w:t>
                    </w:r>
                    <w:r>
                      <w:rPr>
                        <w:spacing w:val="3"/>
                        <w:sz w:val="16"/>
                      </w:rPr>
                      <w:t xml:space="preserve"> </w:t>
                    </w:r>
                    <w:r>
                      <w:rPr>
                        <w:spacing w:val="-4"/>
                        <w:w w:val="80"/>
                        <w:sz w:val="16"/>
                      </w:rPr>
                      <w:t>Park</w:t>
                    </w:r>
                  </w:p>
                </w:txbxContent>
              </v:textbox>
            </v:shape>
            <v:shape id="docshape2245" o:spid="_x0000_s1801" type="#_x0000_t202" style="position:absolute;left:8977;top:3783;width:725;height:181" filled="f" stroked="f">
              <v:textbox inset="0,0,0,0">
                <w:txbxContent>
                  <w:p w:rsidR="00F22F94" w:rsidRDefault="00F22F94">
                    <w:pPr>
                      <w:spacing w:line="181" w:lineRule="exact"/>
                      <w:rPr>
                        <w:sz w:val="16"/>
                      </w:rPr>
                    </w:pPr>
                    <w:r>
                      <w:rPr>
                        <w:spacing w:val="-2"/>
                        <w:w w:val="80"/>
                        <w:sz w:val="16"/>
                      </w:rPr>
                      <w:t>Londonderry</w:t>
                    </w:r>
                  </w:p>
                </w:txbxContent>
              </v:textbox>
            </v:shape>
            <v:shape id="docshape2246" o:spid="_x0000_s1800" type="#_x0000_t202" style="position:absolute;left:10876;top:4001;width:903;height:181" filled="f" stroked="f">
              <v:textbox inset="0,0,0,0">
                <w:txbxContent>
                  <w:p w:rsidR="00F22F94" w:rsidRDefault="00F22F94">
                    <w:pPr>
                      <w:spacing w:line="181" w:lineRule="exact"/>
                      <w:rPr>
                        <w:sz w:val="16"/>
                      </w:rPr>
                    </w:pPr>
                    <w:r>
                      <w:rPr>
                        <w:w w:val="75"/>
                        <w:sz w:val="16"/>
                      </w:rPr>
                      <w:t>Windsor</w:t>
                    </w:r>
                    <w:r>
                      <w:rPr>
                        <w:spacing w:val="10"/>
                        <w:sz w:val="16"/>
                      </w:rPr>
                      <w:t xml:space="preserve"> </w:t>
                    </w:r>
                    <w:r>
                      <w:rPr>
                        <w:spacing w:val="-2"/>
                        <w:w w:val="80"/>
                        <w:sz w:val="16"/>
                      </w:rPr>
                      <w:t>Downs</w:t>
                    </w:r>
                  </w:p>
                </w:txbxContent>
              </v:textbox>
            </v:shape>
            <v:shape id="docshape2247" o:spid="_x0000_s1799" type="#_x0000_t202" style="position:absolute;left:12221;top:4060;width:610;height:181" filled="f" stroked="f">
              <v:textbox inset="0,0,0,0">
                <w:txbxContent>
                  <w:p w:rsidR="00F22F94" w:rsidRDefault="00F22F94">
                    <w:pPr>
                      <w:spacing w:line="181" w:lineRule="exact"/>
                      <w:rPr>
                        <w:sz w:val="16"/>
                      </w:rPr>
                    </w:pPr>
                    <w:r>
                      <w:rPr>
                        <w:spacing w:val="-2"/>
                        <w:w w:val="75"/>
                        <w:sz w:val="16"/>
                      </w:rPr>
                      <w:t>Riverstone</w:t>
                    </w:r>
                  </w:p>
                </w:txbxContent>
              </v:textbox>
            </v:shape>
            <v:shape id="docshape2248" o:spid="_x0000_s1798" type="#_x0000_t202" style="position:absolute;left:7810;top:4555;width:693;height:181" filled="f" stroked="f">
              <v:textbox inset="0,0,0,0">
                <w:txbxContent>
                  <w:p w:rsidR="00F22F94" w:rsidRDefault="00F22F94">
                    <w:pPr>
                      <w:spacing w:line="181" w:lineRule="exact"/>
                      <w:rPr>
                        <w:sz w:val="16"/>
                      </w:rPr>
                    </w:pPr>
                    <w:r>
                      <w:rPr>
                        <w:spacing w:val="-2"/>
                        <w:w w:val="80"/>
                        <w:sz w:val="16"/>
                      </w:rPr>
                      <w:t>Castlereagh</w:t>
                    </w:r>
                  </w:p>
                </w:txbxContent>
              </v:textbox>
            </v:shape>
            <v:shape id="docshape2249" o:spid="_x0000_s1797" type="#_x0000_t202" style="position:absolute;left:10286;top:4497;width:847;height:181" filled="f" stroked="f">
              <v:textbox inset="0,0,0,0">
                <w:txbxContent>
                  <w:p w:rsidR="00F22F94" w:rsidRDefault="00F22F94">
                    <w:pPr>
                      <w:spacing w:line="181" w:lineRule="exact"/>
                      <w:rPr>
                        <w:sz w:val="16"/>
                      </w:rPr>
                    </w:pPr>
                    <w:r>
                      <w:rPr>
                        <w:w w:val="75"/>
                        <w:sz w:val="16"/>
                      </w:rPr>
                      <w:t>Berkshire</w:t>
                    </w:r>
                    <w:r>
                      <w:rPr>
                        <w:spacing w:val="13"/>
                        <w:sz w:val="16"/>
                      </w:rPr>
                      <w:t xml:space="preserve"> </w:t>
                    </w:r>
                    <w:r>
                      <w:rPr>
                        <w:spacing w:val="-4"/>
                        <w:w w:val="85"/>
                        <w:sz w:val="16"/>
                      </w:rPr>
                      <w:t>Park</w:t>
                    </w:r>
                  </w:p>
                </w:txbxContent>
              </v:textbox>
            </v:shape>
            <v:shape id="docshape2250" o:spid="_x0000_s1796" type="#_x0000_t202" style="position:absolute;left:9517;top:5344;width:455;height:181" filled="f" stroked="f">
              <v:textbox inset="0,0,0,0">
                <w:txbxContent>
                  <w:p w:rsidR="00F22F94" w:rsidRDefault="00F22F94">
                    <w:pPr>
                      <w:spacing w:line="181" w:lineRule="exact"/>
                      <w:rPr>
                        <w:sz w:val="16"/>
                      </w:rPr>
                    </w:pPr>
                    <w:r>
                      <w:rPr>
                        <w:spacing w:val="-2"/>
                        <w:w w:val="80"/>
                        <w:sz w:val="16"/>
                      </w:rPr>
                      <w:t>Llandilo</w:t>
                    </w:r>
                  </w:p>
                </w:txbxContent>
              </v:textbox>
            </v:shape>
            <v:shape id="docshape2251" o:spid="_x0000_s1795" type="#_x0000_t202" style="position:absolute;left:12780;top:5291;width:601;height:181" filled="f" stroked="f">
              <v:textbox inset="0,0,0,0">
                <w:txbxContent>
                  <w:p w:rsidR="00F22F94" w:rsidRDefault="00F22F94">
                    <w:pPr>
                      <w:spacing w:line="181" w:lineRule="exact"/>
                      <w:rPr>
                        <w:sz w:val="16"/>
                      </w:rPr>
                    </w:pPr>
                    <w:r>
                      <w:rPr>
                        <w:spacing w:val="-2"/>
                        <w:w w:val="85"/>
                        <w:sz w:val="16"/>
                      </w:rPr>
                      <w:t>Schofelds</w:t>
                    </w:r>
                  </w:p>
                </w:txbxContent>
              </v:textbox>
            </v:shape>
            <v:shape id="docshape2252" o:spid="_x0000_s1794" type="#_x0000_t202" style="position:absolute;left:7591;top:5733;width:790;height:181" filled="f" stroked="f">
              <v:textbox inset="0,0,0,0">
                <w:txbxContent>
                  <w:p w:rsidR="00F22F94" w:rsidRDefault="00F22F94">
                    <w:pPr>
                      <w:spacing w:line="181" w:lineRule="exact"/>
                      <w:rPr>
                        <w:sz w:val="16"/>
                      </w:rPr>
                    </w:pPr>
                    <w:r>
                      <w:rPr>
                        <w:w w:val="75"/>
                        <w:sz w:val="16"/>
                      </w:rPr>
                      <w:t>Penrith</w:t>
                    </w:r>
                    <w:r>
                      <w:rPr>
                        <w:spacing w:val="8"/>
                        <w:sz w:val="16"/>
                      </w:rPr>
                      <w:t xml:space="preserve"> </w:t>
                    </w:r>
                    <w:r>
                      <w:rPr>
                        <w:spacing w:val="-2"/>
                        <w:w w:val="80"/>
                        <w:sz w:val="16"/>
                      </w:rPr>
                      <w:t>Lakes</w:t>
                    </w:r>
                  </w:p>
                </w:txbxContent>
              </v:textbox>
            </v:shape>
            <v:shape id="docshape2253" o:spid="_x0000_s1793" type="#_x0000_t202" style="position:absolute;left:8561;top:5839;width:672;height:181" filled="f" stroked="f">
              <v:textbox inset="0,0,0,0">
                <w:txbxContent>
                  <w:p w:rsidR="00F22F94" w:rsidRDefault="00F22F94">
                    <w:pPr>
                      <w:spacing w:line="181" w:lineRule="exact"/>
                      <w:rPr>
                        <w:sz w:val="16"/>
                      </w:rPr>
                    </w:pPr>
                    <w:r>
                      <w:rPr>
                        <w:spacing w:val="-2"/>
                        <w:w w:val="80"/>
                        <w:sz w:val="16"/>
                      </w:rPr>
                      <w:t>Cranebrook</w:t>
                    </w:r>
                  </w:p>
                </w:txbxContent>
              </v:textbox>
            </v:shape>
            <v:shape id="docshape2254" o:spid="_x0000_s1792" type="#_x0000_t202" style="position:absolute;left:9524;top:6004;width:1120;height:608" filled="f" stroked="f">
              <v:textbox inset="0,0,0,0">
                <w:txbxContent>
                  <w:p w:rsidR="00F22F94" w:rsidRDefault="00F22F94">
                    <w:pPr>
                      <w:spacing w:line="247" w:lineRule="auto"/>
                      <w:ind w:left="44" w:hanging="45"/>
                      <w:rPr>
                        <w:sz w:val="16"/>
                      </w:rPr>
                    </w:pPr>
                    <w:r>
                      <w:rPr>
                        <w:w w:val="75"/>
                        <w:sz w:val="16"/>
                      </w:rPr>
                      <w:t>Former ADI Site</w:t>
                    </w:r>
                    <w:r>
                      <w:rPr>
                        <w:sz w:val="16"/>
                      </w:rPr>
                      <w:t xml:space="preserve"> </w:t>
                    </w:r>
                    <w:r>
                      <w:rPr>
                        <w:spacing w:val="-2"/>
                        <w:w w:val="80"/>
                        <w:sz w:val="16"/>
                      </w:rPr>
                      <w:t>Developments</w:t>
                    </w:r>
                  </w:p>
                  <w:p w:rsidR="00F22F94" w:rsidRDefault="00F22F94">
                    <w:pPr>
                      <w:spacing w:before="45" w:line="183" w:lineRule="exact"/>
                      <w:ind w:left="534"/>
                      <w:rPr>
                        <w:sz w:val="16"/>
                      </w:rPr>
                    </w:pPr>
                    <w:r>
                      <w:rPr>
                        <w:spacing w:val="-2"/>
                        <w:w w:val="80"/>
                        <w:sz w:val="16"/>
                      </w:rPr>
                      <w:t>Dunheved</w:t>
                    </w:r>
                  </w:p>
                </w:txbxContent>
              </v:textbox>
            </v:shape>
            <v:shape id="docshape2255" o:spid="_x0000_s1791" type="#_x0000_t202" style="position:absolute;left:10839;top:5983;width:452;height:181" filled="f" stroked="f">
              <v:textbox inset="0,0,0,0">
                <w:txbxContent>
                  <w:p w:rsidR="00F22F94" w:rsidRDefault="00F22F94">
                    <w:pPr>
                      <w:spacing w:line="181" w:lineRule="exact"/>
                      <w:rPr>
                        <w:sz w:val="16"/>
                      </w:rPr>
                    </w:pPr>
                    <w:r>
                      <w:rPr>
                        <w:spacing w:val="-2"/>
                        <w:w w:val="75"/>
                        <w:sz w:val="16"/>
                      </w:rPr>
                      <w:t>Shalvey</w:t>
                    </w:r>
                  </w:p>
                </w:txbxContent>
              </v:textbox>
            </v:shape>
            <v:shape id="docshape2256" o:spid="_x0000_s1790" type="#_x0000_t202" style="position:absolute;left:11598;top:6079;width:758;height:181" filled="f" stroked="f">
              <v:textbox inset="0,0,0,0">
                <w:txbxContent>
                  <w:p w:rsidR="00F22F94" w:rsidRDefault="00F22F94">
                    <w:pPr>
                      <w:spacing w:line="181" w:lineRule="exact"/>
                      <w:rPr>
                        <w:sz w:val="16"/>
                      </w:rPr>
                    </w:pPr>
                    <w:r>
                      <w:rPr>
                        <w:w w:val="75"/>
                        <w:sz w:val="16"/>
                      </w:rPr>
                      <w:t>Hassal</w:t>
                    </w:r>
                    <w:r>
                      <w:rPr>
                        <w:spacing w:val="-3"/>
                        <w:sz w:val="16"/>
                      </w:rPr>
                      <w:t xml:space="preserve"> </w:t>
                    </w:r>
                    <w:r>
                      <w:rPr>
                        <w:spacing w:val="-4"/>
                        <w:w w:val="80"/>
                        <w:sz w:val="16"/>
                      </w:rPr>
                      <w:t>Grove</w:t>
                    </w:r>
                  </w:p>
                </w:txbxContent>
              </v:textbox>
            </v:shape>
            <v:shape id="docshape2257" o:spid="_x0000_s1789" type="#_x0000_t202" style="position:absolute;left:12822;top:5987;width:698;height:181" filled="f" stroked="f">
              <v:textbox inset="0,0,0,0">
                <w:txbxContent>
                  <w:p w:rsidR="00F22F94" w:rsidRDefault="00F22F94">
                    <w:pPr>
                      <w:spacing w:line="181" w:lineRule="exact"/>
                      <w:rPr>
                        <w:sz w:val="16"/>
                      </w:rPr>
                    </w:pPr>
                    <w:r>
                      <w:rPr>
                        <w:w w:val="75"/>
                        <w:sz w:val="16"/>
                      </w:rPr>
                      <w:t>Quakers</w:t>
                    </w:r>
                    <w:r>
                      <w:rPr>
                        <w:spacing w:val="5"/>
                        <w:sz w:val="16"/>
                      </w:rPr>
                      <w:t xml:space="preserve"> </w:t>
                    </w:r>
                    <w:r>
                      <w:rPr>
                        <w:spacing w:val="-4"/>
                        <w:w w:val="85"/>
                        <w:sz w:val="16"/>
                      </w:rPr>
                      <w:t>Hill</w:t>
                    </w:r>
                  </w:p>
                </w:txbxContent>
              </v:textbox>
            </v:shape>
            <v:shape id="docshape2258" o:spid="_x0000_s1788" type="#_x0000_t202" style="position:absolute;left:10796;top:6681;width:444;height:181" filled="f" stroked="f">
              <v:textbox inset="0,0,0,0">
                <w:txbxContent>
                  <w:p w:rsidR="00F22F94" w:rsidRDefault="00F22F94">
                    <w:pPr>
                      <w:spacing w:line="181" w:lineRule="exact"/>
                      <w:rPr>
                        <w:sz w:val="16"/>
                      </w:rPr>
                    </w:pPr>
                    <w:r>
                      <w:rPr>
                        <w:spacing w:val="-2"/>
                        <w:w w:val="80"/>
                        <w:sz w:val="16"/>
                      </w:rPr>
                      <w:t>Whalan</w:t>
                    </w:r>
                  </w:p>
                </w:txbxContent>
              </v:textbox>
            </v:shape>
            <v:shape id="docshape2259" o:spid="_x0000_s1787" type="#_x0000_t202" style="position:absolute;left:7263;top:6847;width:648;height:181" filled="f" stroked="f">
              <v:textbox inset="0,0,0,0">
                <w:txbxContent>
                  <w:p w:rsidR="00F22F94" w:rsidRDefault="00F22F94">
                    <w:pPr>
                      <w:spacing w:line="181" w:lineRule="exact"/>
                      <w:rPr>
                        <w:sz w:val="16"/>
                      </w:rPr>
                    </w:pPr>
                    <w:r>
                      <w:rPr>
                        <w:w w:val="75"/>
                        <w:sz w:val="16"/>
                      </w:rPr>
                      <w:t>Emu</w:t>
                    </w:r>
                    <w:r>
                      <w:rPr>
                        <w:spacing w:val="-4"/>
                        <w:sz w:val="16"/>
                      </w:rPr>
                      <w:t xml:space="preserve"> </w:t>
                    </w:r>
                    <w:r>
                      <w:rPr>
                        <w:spacing w:val="-2"/>
                        <w:w w:val="80"/>
                        <w:sz w:val="16"/>
                      </w:rPr>
                      <w:t>Plains</w:t>
                    </w:r>
                  </w:p>
                </w:txbxContent>
              </v:textbox>
            </v:shape>
            <v:shape id="docshape2260" o:spid="_x0000_s1786" type="#_x0000_t202" style="position:absolute;left:8236;top:6769;width:923;height:457" filled="f" stroked="f">
              <v:textbox inset="0,0,0,0">
                <w:txbxContent>
                  <w:p w:rsidR="00F22F94" w:rsidRDefault="00F22F94">
                    <w:pPr>
                      <w:spacing w:line="182" w:lineRule="exact"/>
                      <w:rPr>
                        <w:sz w:val="16"/>
                      </w:rPr>
                    </w:pPr>
                    <w:r>
                      <w:rPr>
                        <w:spacing w:val="-2"/>
                        <w:w w:val="90"/>
                        <w:sz w:val="16"/>
                      </w:rPr>
                      <w:t>Penrith</w:t>
                    </w:r>
                  </w:p>
                  <w:p w:rsidR="00F22F94" w:rsidRDefault="00F22F94">
                    <w:pPr>
                      <w:spacing w:before="91" w:line="183" w:lineRule="exact"/>
                      <w:ind w:left="289"/>
                      <w:rPr>
                        <w:sz w:val="16"/>
                      </w:rPr>
                    </w:pPr>
                    <w:r>
                      <w:rPr>
                        <w:spacing w:val="-2"/>
                        <w:w w:val="80"/>
                        <w:sz w:val="16"/>
                      </w:rPr>
                      <w:t>Kingswood</w:t>
                    </w:r>
                  </w:p>
                </w:txbxContent>
              </v:textbox>
            </v:shape>
            <v:shape id="docshape2261" o:spid="_x0000_s1785" type="#_x0000_t202" style="position:absolute;left:11755;top:6683;width:728;height:181" filled="f" stroked="f">
              <v:textbox inset="0,0,0,0">
                <w:txbxContent>
                  <w:p w:rsidR="00F22F94" w:rsidRDefault="00F22F94">
                    <w:pPr>
                      <w:spacing w:line="181" w:lineRule="exact"/>
                      <w:rPr>
                        <w:sz w:val="16"/>
                      </w:rPr>
                    </w:pPr>
                    <w:r>
                      <w:rPr>
                        <w:spacing w:val="-2"/>
                        <w:w w:val="80"/>
                        <w:sz w:val="16"/>
                      </w:rPr>
                      <w:t>Glendenning</w:t>
                    </w:r>
                  </w:p>
                </w:txbxContent>
              </v:textbox>
            </v:shape>
            <v:shape id="docshape2262" o:spid="_x0000_s1784" type="#_x0000_t202" style="position:absolute;left:9483;top:6992;width:642;height:181" filled="f" stroked="f">
              <v:textbox inset="0,0,0,0">
                <w:txbxContent>
                  <w:p w:rsidR="00F22F94" w:rsidRDefault="00F22F94">
                    <w:pPr>
                      <w:spacing w:line="181" w:lineRule="exact"/>
                      <w:rPr>
                        <w:sz w:val="16"/>
                      </w:rPr>
                    </w:pPr>
                    <w:r>
                      <w:rPr>
                        <w:spacing w:val="-2"/>
                        <w:w w:val="80"/>
                        <w:sz w:val="16"/>
                      </w:rPr>
                      <w:t>Werrington</w:t>
                    </w:r>
                  </w:p>
                </w:txbxContent>
              </v:textbox>
            </v:shape>
            <v:shape id="docshape2263" o:spid="_x0000_s1783" type="#_x0000_t202" style="position:absolute;left:12751;top:6918;width:598;height:181" filled="f" stroked="f">
              <v:textbox inset="0,0,0,0">
                <w:txbxContent>
                  <w:p w:rsidR="00F22F94" w:rsidRDefault="00F22F94">
                    <w:pPr>
                      <w:spacing w:line="181" w:lineRule="exact"/>
                      <w:rPr>
                        <w:sz w:val="16"/>
                      </w:rPr>
                    </w:pPr>
                    <w:r>
                      <w:rPr>
                        <w:spacing w:val="-2"/>
                        <w:w w:val="80"/>
                        <w:sz w:val="16"/>
                      </w:rPr>
                      <w:t>Woodcroft</w:t>
                    </w:r>
                  </w:p>
                </w:txbxContent>
              </v:textbox>
            </v:shape>
            <v:shape id="docshape2264" o:spid="_x0000_s1782" type="#_x0000_t202" style="position:absolute;left:7112;top:7241;width:423;height:181" filled="f" stroked="f">
              <v:textbox inset="0,0,0,0">
                <w:txbxContent>
                  <w:p w:rsidR="00F22F94" w:rsidRDefault="00F22F94">
                    <w:pPr>
                      <w:spacing w:line="181" w:lineRule="exact"/>
                      <w:rPr>
                        <w:sz w:val="16"/>
                      </w:rPr>
                    </w:pPr>
                    <w:r>
                      <w:rPr>
                        <w:spacing w:val="-2"/>
                        <w:w w:val="80"/>
                        <w:sz w:val="16"/>
                      </w:rPr>
                      <w:t>Leonay</w:t>
                    </w:r>
                  </w:p>
                </w:txbxContent>
              </v:textbox>
            </v:shape>
            <v:shape id="docshape2265" o:spid="_x0000_s1781" type="#_x0000_t202" style="position:absolute;left:10391;top:7319;width:518;height:181" filled="f" stroked="f">
              <v:textbox inset="0,0,0,0">
                <w:txbxContent>
                  <w:p w:rsidR="00F22F94" w:rsidRDefault="00F22F94">
                    <w:pPr>
                      <w:spacing w:line="181" w:lineRule="exact"/>
                      <w:rPr>
                        <w:sz w:val="16"/>
                      </w:rPr>
                    </w:pPr>
                    <w:r>
                      <w:rPr>
                        <w:w w:val="75"/>
                        <w:sz w:val="16"/>
                      </w:rPr>
                      <w:t>St</w:t>
                    </w:r>
                    <w:r>
                      <w:rPr>
                        <w:spacing w:val="-6"/>
                        <w:sz w:val="16"/>
                      </w:rPr>
                      <w:t xml:space="preserve"> </w:t>
                    </w:r>
                    <w:r>
                      <w:rPr>
                        <w:spacing w:val="-2"/>
                        <w:w w:val="80"/>
                        <w:sz w:val="16"/>
                      </w:rPr>
                      <w:t>Marys</w:t>
                    </w:r>
                  </w:p>
                </w:txbxContent>
              </v:textbox>
            </v:shape>
            <v:shape id="docshape2266" o:spid="_x0000_s1780" type="#_x0000_t202" style="position:absolute;left:7497;top:7838;width:633;height:181" filled="f" stroked="f">
              <v:textbox inset="0,0,0,0">
                <w:txbxContent>
                  <w:p w:rsidR="00F22F94" w:rsidRDefault="00F22F94">
                    <w:pPr>
                      <w:spacing w:line="181" w:lineRule="exact"/>
                      <w:rPr>
                        <w:sz w:val="16"/>
                      </w:rPr>
                    </w:pPr>
                    <w:r>
                      <w:rPr>
                        <w:spacing w:val="-2"/>
                        <w:w w:val="75"/>
                        <w:sz w:val="16"/>
                      </w:rPr>
                      <w:t>Regentville</w:t>
                    </w:r>
                  </w:p>
                </w:txbxContent>
              </v:textbox>
            </v:shape>
            <v:shape id="docshape2267" o:spid="_x0000_s1779" type="#_x0000_t202" style="position:absolute;left:13595;top:7543;width:1886;height:725" filled="f" stroked="f">
              <v:textbox inset="0,0,0,0">
                <w:txbxContent>
                  <w:p w:rsidR="00F22F94" w:rsidRDefault="00F22F94">
                    <w:pPr>
                      <w:spacing w:before="6"/>
                      <w:rPr>
                        <w:b/>
                        <w:sz w:val="18"/>
                      </w:rPr>
                    </w:pPr>
                    <w:r>
                      <w:rPr>
                        <w:b/>
                        <w:color w:val="2E3092"/>
                        <w:spacing w:val="-5"/>
                        <w:sz w:val="18"/>
                      </w:rPr>
                      <w:t>Key</w:t>
                    </w:r>
                  </w:p>
                  <w:p w:rsidR="00F22F94" w:rsidRDefault="00F22F94">
                    <w:pPr>
                      <w:spacing w:before="71"/>
                      <w:ind w:left="300"/>
                      <w:rPr>
                        <w:sz w:val="14"/>
                      </w:rPr>
                    </w:pPr>
                    <w:r>
                      <w:rPr>
                        <w:w w:val="85"/>
                        <w:sz w:val="14"/>
                      </w:rPr>
                      <w:t>1867</w:t>
                    </w:r>
                    <w:r>
                      <w:rPr>
                        <w:spacing w:val="-1"/>
                        <w:sz w:val="14"/>
                      </w:rPr>
                      <w:t xml:space="preserve"> </w:t>
                    </w:r>
                    <w:r>
                      <w:rPr>
                        <w:w w:val="85"/>
                        <w:sz w:val="14"/>
                      </w:rPr>
                      <w:t>food</w:t>
                    </w:r>
                    <w:r>
                      <w:rPr>
                        <w:sz w:val="14"/>
                      </w:rPr>
                      <w:t xml:space="preserve"> </w:t>
                    </w:r>
                    <w:r>
                      <w:rPr>
                        <w:spacing w:val="-2"/>
                        <w:w w:val="85"/>
                        <w:sz w:val="14"/>
                      </w:rPr>
                      <w:t>extent</w:t>
                    </w:r>
                  </w:p>
                  <w:p w:rsidR="00F22F94" w:rsidRDefault="00F22F94">
                    <w:pPr>
                      <w:spacing w:before="119" w:line="160" w:lineRule="exact"/>
                      <w:ind w:left="300"/>
                      <w:rPr>
                        <w:sz w:val="14"/>
                      </w:rPr>
                    </w:pPr>
                    <w:r>
                      <w:rPr>
                        <w:w w:val="80"/>
                        <w:sz w:val="14"/>
                      </w:rPr>
                      <w:t>Probable</w:t>
                    </w:r>
                    <w:r>
                      <w:rPr>
                        <w:spacing w:val="-5"/>
                        <w:sz w:val="14"/>
                      </w:rPr>
                      <w:t xml:space="preserve"> </w:t>
                    </w:r>
                    <w:r>
                      <w:rPr>
                        <w:w w:val="80"/>
                        <w:sz w:val="14"/>
                      </w:rPr>
                      <w:t>maximum</w:t>
                    </w:r>
                    <w:r>
                      <w:rPr>
                        <w:spacing w:val="-4"/>
                        <w:sz w:val="14"/>
                      </w:rPr>
                      <w:t xml:space="preserve"> </w:t>
                    </w:r>
                    <w:r>
                      <w:rPr>
                        <w:w w:val="80"/>
                        <w:sz w:val="14"/>
                      </w:rPr>
                      <w:t>food</w:t>
                    </w:r>
                    <w:r>
                      <w:rPr>
                        <w:spacing w:val="-5"/>
                        <w:sz w:val="14"/>
                      </w:rPr>
                      <w:t xml:space="preserve"> </w:t>
                    </w:r>
                    <w:r>
                      <w:rPr>
                        <w:spacing w:val="-2"/>
                        <w:w w:val="80"/>
                        <w:sz w:val="14"/>
                      </w:rPr>
                      <w:t>extent</w:t>
                    </w:r>
                  </w:p>
                </w:txbxContent>
              </v:textbox>
            </v:shape>
            <w10:wrap anchorx="page"/>
          </v:group>
        </w:pict>
      </w:r>
      <w:bookmarkStart w:id="333" w:name="_bookmark235"/>
      <w:bookmarkEnd w:id="333"/>
      <w:r w:rsidR="00F22F94">
        <w:t>A</w:t>
      </w:r>
      <w:r w:rsidR="00F22F94">
        <w:rPr>
          <w:spacing w:val="-14"/>
        </w:rPr>
        <w:t xml:space="preserve"> </w:t>
      </w:r>
      <w:r w:rsidR="00F22F94">
        <w:t>more</w:t>
      </w:r>
      <w:r w:rsidR="00F22F94">
        <w:rPr>
          <w:spacing w:val="-14"/>
        </w:rPr>
        <w:t xml:space="preserve"> </w:t>
      </w:r>
      <w:r w:rsidR="00F22F94">
        <w:t>detailed</w:t>
      </w:r>
      <w:r w:rsidR="00F22F94">
        <w:rPr>
          <w:spacing w:val="-14"/>
        </w:rPr>
        <w:t xml:space="preserve"> </w:t>
      </w:r>
      <w:r w:rsidR="00F22F94">
        <w:t>review</w:t>
      </w:r>
      <w:r w:rsidR="00F22F94">
        <w:rPr>
          <w:spacing w:val="-14"/>
        </w:rPr>
        <w:t xml:space="preserve"> </w:t>
      </w:r>
      <w:r w:rsidR="00F22F94">
        <w:t>of</w:t>
      </w:r>
      <w:r w:rsidR="00F22F94">
        <w:rPr>
          <w:spacing w:val="-14"/>
        </w:rPr>
        <w:t xml:space="preserve"> </w:t>
      </w:r>
      <w:r w:rsidR="00F22F94">
        <w:t>all</w:t>
      </w:r>
      <w:r w:rsidR="00F22F94">
        <w:rPr>
          <w:spacing w:val="-14"/>
        </w:rPr>
        <w:t xml:space="preserve"> </w:t>
      </w:r>
      <w:r w:rsidR="00F22F94">
        <w:t>the</w:t>
      </w:r>
      <w:r w:rsidR="00F22F94">
        <w:rPr>
          <w:spacing w:val="-14"/>
        </w:rPr>
        <w:t xml:space="preserve"> </w:t>
      </w:r>
      <w:r w:rsidR="00F22F94">
        <w:t>options</w:t>
      </w:r>
      <w:r w:rsidR="00F22F94">
        <w:rPr>
          <w:spacing w:val="-13"/>
        </w:rPr>
        <w:t xml:space="preserve"> </w:t>
      </w:r>
      <w:r w:rsidR="00F22F94">
        <w:t>to</w:t>
      </w:r>
      <w:r w:rsidR="00F22F94">
        <w:rPr>
          <w:spacing w:val="-14"/>
        </w:rPr>
        <w:t xml:space="preserve"> </w:t>
      </w:r>
      <w:r w:rsidR="00F22F94">
        <w:t xml:space="preserve">mitigate </w:t>
      </w:r>
      <w:r w:rsidR="00F22F94">
        <w:rPr>
          <w:w w:val="95"/>
        </w:rPr>
        <w:t>flooding</w:t>
      </w:r>
      <w:r w:rsidR="00F22F94">
        <w:rPr>
          <w:spacing w:val="-5"/>
          <w:w w:val="95"/>
        </w:rPr>
        <w:t xml:space="preserve"> </w:t>
      </w:r>
      <w:r w:rsidR="00F22F94">
        <w:rPr>
          <w:w w:val="95"/>
        </w:rPr>
        <w:t>in</w:t>
      </w:r>
      <w:r w:rsidR="00F22F94">
        <w:rPr>
          <w:spacing w:val="-5"/>
          <w:w w:val="95"/>
        </w:rPr>
        <w:t xml:space="preserve"> </w:t>
      </w:r>
      <w:r w:rsidR="00F22F94">
        <w:rPr>
          <w:w w:val="95"/>
        </w:rPr>
        <w:t>the</w:t>
      </w:r>
      <w:r w:rsidR="00F22F94">
        <w:rPr>
          <w:spacing w:val="-5"/>
          <w:w w:val="95"/>
        </w:rPr>
        <w:t xml:space="preserve"> </w:t>
      </w:r>
      <w:r w:rsidR="00F22F94">
        <w:rPr>
          <w:w w:val="95"/>
        </w:rPr>
        <w:t>HNV</w:t>
      </w:r>
      <w:r w:rsidR="00F22F94">
        <w:rPr>
          <w:spacing w:val="-5"/>
          <w:w w:val="95"/>
        </w:rPr>
        <w:t xml:space="preserve"> </w:t>
      </w:r>
      <w:r w:rsidR="00F22F94">
        <w:rPr>
          <w:w w:val="95"/>
        </w:rPr>
        <w:t>needs</w:t>
      </w:r>
      <w:r w:rsidR="00F22F94">
        <w:rPr>
          <w:spacing w:val="-5"/>
          <w:w w:val="95"/>
        </w:rPr>
        <w:t xml:space="preserve"> </w:t>
      </w:r>
      <w:r w:rsidR="00F22F94">
        <w:rPr>
          <w:w w:val="95"/>
        </w:rPr>
        <w:t>to</w:t>
      </w:r>
      <w:r w:rsidR="00F22F94">
        <w:rPr>
          <w:spacing w:val="-5"/>
          <w:w w:val="95"/>
        </w:rPr>
        <w:t xml:space="preserve"> </w:t>
      </w:r>
      <w:r w:rsidR="00F22F94">
        <w:rPr>
          <w:w w:val="95"/>
        </w:rPr>
        <w:t>be</w:t>
      </w:r>
      <w:r w:rsidR="00F22F94">
        <w:rPr>
          <w:spacing w:val="-5"/>
          <w:w w:val="95"/>
        </w:rPr>
        <w:t xml:space="preserve"> </w:t>
      </w:r>
      <w:r w:rsidR="00F22F94">
        <w:rPr>
          <w:w w:val="95"/>
        </w:rPr>
        <w:t>undertaken</w:t>
      </w:r>
      <w:r w:rsidR="00F22F94">
        <w:rPr>
          <w:spacing w:val="-5"/>
          <w:w w:val="95"/>
        </w:rPr>
        <w:t xml:space="preserve"> </w:t>
      </w:r>
      <w:r w:rsidR="00F22F94">
        <w:rPr>
          <w:w w:val="95"/>
        </w:rPr>
        <w:t>using</w:t>
      </w:r>
      <w:r w:rsidR="00F22F94">
        <w:rPr>
          <w:spacing w:val="-5"/>
          <w:w w:val="95"/>
        </w:rPr>
        <w:t xml:space="preserve"> </w:t>
      </w:r>
      <w:r w:rsidR="00F22F94">
        <w:rPr>
          <w:w w:val="95"/>
        </w:rPr>
        <w:t xml:space="preserve">the </w:t>
      </w:r>
      <w:r w:rsidR="00F22F94">
        <w:t>latest data available.</w:t>
      </w:r>
    </w:p>
    <w:p w:rsidR="002C1123" w:rsidRDefault="00F22F94">
      <w:pPr>
        <w:pStyle w:val="BodyText"/>
        <w:spacing w:before="144" w:line="249" w:lineRule="auto"/>
        <w:ind w:left="492" w:right="10835"/>
      </w:pPr>
      <w:r>
        <w:rPr>
          <w:spacing w:val="-2"/>
        </w:rPr>
        <w:t>The</w:t>
      </w:r>
      <w:r>
        <w:rPr>
          <w:spacing w:val="-10"/>
        </w:rPr>
        <w:t xml:space="preserve"> </w:t>
      </w:r>
      <w:r>
        <w:rPr>
          <w:spacing w:val="-2"/>
        </w:rPr>
        <w:t>decision</w:t>
      </w:r>
      <w:r>
        <w:rPr>
          <w:spacing w:val="-10"/>
        </w:rPr>
        <w:t xml:space="preserve"> </w:t>
      </w:r>
      <w:r>
        <w:rPr>
          <w:spacing w:val="-2"/>
        </w:rPr>
        <w:t>taken</w:t>
      </w:r>
      <w:r>
        <w:rPr>
          <w:spacing w:val="-10"/>
        </w:rPr>
        <w:t xml:space="preserve"> </w:t>
      </w:r>
      <w:r>
        <w:rPr>
          <w:spacing w:val="-2"/>
        </w:rPr>
        <w:t>in</w:t>
      </w:r>
      <w:r>
        <w:rPr>
          <w:spacing w:val="-10"/>
        </w:rPr>
        <w:t xml:space="preserve"> </w:t>
      </w:r>
      <w:r>
        <w:rPr>
          <w:spacing w:val="-2"/>
        </w:rPr>
        <w:t>the</w:t>
      </w:r>
      <w:r>
        <w:rPr>
          <w:spacing w:val="-10"/>
        </w:rPr>
        <w:t xml:space="preserve"> </w:t>
      </w:r>
      <w:r>
        <w:rPr>
          <w:spacing w:val="-2"/>
        </w:rPr>
        <w:t>1990s</w:t>
      </w:r>
      <w:r>
        <w:rPr>
          <w:spacing w:val="-10"/>
        </w:rPr>
        <w:t xml:space="preserve"> </w:t>
      </w:r>
      <w:r>
        <w:rPr>
          <w:spacing w:val="-2"/>
        </w:rPr>
        <w:t>of</w:t>
      </w:r>
      <w:r>
        <w:rPr>
          <w:spacing w:val="-10"/>
        </w:rPr>
        <w:t xml:space="preserve"> </w:t>
      </w:r>
      <w:r>
        <w:rPr>
          <w:spacing w:val="-2"/>
        </w:rPr>
        <w:t>managing</w:t>
      </w:r>
      <w:r>
        <w:rPr>
          <w:spacing w:val="-10"/>
        </w:rPr>
        <w:t xml:space="preserve"> </w:t>
      </w:r>
      <w:r>
        <w:rPr>
          <w:spacing w:val="-2"/>
        </w:rPr>
        <w:t>the</w:t>
      </w:r>
      <w:r>
        <w:rPr>
          <w:spacing w:val="-10"/>
        </w:rPr>
        <w:t xml:space="preserve"> </w:t>
      </w:r>
      <w:r>
        <w:rPr>
          <w:spacing w:val="-2"/>
        </w:rPr>
        <w:t xml:space="preserve">issue </w:t>
      </w:r>
      <w:r>
        <w:rPr>
          <w:w w:val="95"/>
        </w:rPr>
        <w:t>through evacuation and planning has had either limited impact</w:t>
      </w:r>
      <w:r>
        <w:rPr>
          <w:spacing w:val="-1"/>
          <w:w w:val="95"/>
        </w:rPr>
        <w:t xml:space="preserve"> </w:t>
      </w:r>
      <w:r>
        <w:rPr>
          <w:w w:val="95"/>
        </w:rPr>
        <w:t>or</w:t>
      </w:r>
      <w:r>
        <w:rPr>
          <w:spacing w:val="-1"/>
          <w:w w:val="95"/>
        </w:rPr>
        <w:t xml:space="preserve"> </w:t>
      </w:r>
      <w:r>
        <w:rPr>
          <w:w w:val="95"/>
        </w:rPr>
        <w:t>benefit,</w:t>
      </w:r>
      <w:r>
        <w:rPr>
          <w:spacing w:val="-1"/>
          <w:w w:val="95"/>
        </w:rPr>
        <w:t xml:space="preserve"> </w:t>
      </w:r>
      <w:r>
        <w:rPr>
          <w:w w:val="95"/>
        </w:rPr>
        <w:t>or</w:t>
      </w:r>
      <w:r>
        <w:rPr>
          <w:spacing w:val="-1"/>
          <w:w w:val="95"/>
        </w:rPr>
        <w:t xml:space="preserve"> </w:t>
      </w:r>
      <w:r>
        <w:rPr>
          <w:w w:val="95"/>
        </w:rPr>
        <w:t>has</w:t>
      </w:r>
      <w:r>
        <w:rPr>
          <w:spacing w:val="-1"/>
          <w:w w:val="95"/>
        </w:rPr>
        <w:t xml:space="preserve"> </w:t>
      </w:r>
      <w:r>
        <w:rPr>
          <w:w w:val="95"/>
        </w:rPr>
        <w:t>been</w:t>
      </w:r>
      <w:r>
        <w:rPr>
          <w:spacing w:val="-1"/>
          <w:w w:val="95"/>
        </w:rPr>
        <w:t xml:space="preserve"> </w:t>
      </w:r>
      <w:r>
        <w:rPr>
          <w:w w:val="95"/>
        </w:rPr>
        <w:t>completely</w:t>
      </w:r>
      <w:r>
        <w:rPr>
          <w:spacing w:val="-1"/>
          <w:w w:val="95"/>
        </w:rPr>
        <w:t xml:space="preserve"> </w:t>
      </w:r>
      <w:r>
        <w:rPr>
          <w:w w:val="95"/>
        </w:rPr>
        <w:t>inadequate</w:t>
      </w:r>
      <w:r>
        <w:rPr>
          <w:spacing w:val="-1"/>
          <w:w w:val="95"/>
        </w:rPr>
        <w:t xml:space="preserve"> </w:t>
      </w:r>
      <w:r>
        <w:rPr>
          <w:w w:val="95"/>
        </w:rPr>
        <w:t xml:space="preserve">in reducing the social and economic impacts of flooding in </w:t>
      </w:r>
      <w:r>
        <w:t>the</w:t>
      </w:r>
      <w:r>
        <w:rPr>
          <w:spacing w:val="-11"/>
        </w:rPr>
        <w:t xml:space="preserve"> </w:t>
      </w:r>
      <w:r>
        <w:t>HNV.</w:t>
      </w:r>
    </w:p>
    <w:p w:rsidR="002C1123" w:rsidRDefault="002060EF">
      <w:pPr>
        <w:pStyle w:val="BodyText"/>
        <w:rPr>
          <w:sz w:val="13"/>
        </w:rPr>
      </w:pPr>
      <w:r>
        <w:pict>
          <v:shape id="docshape2268" o:spid="_x0000_s1777" type="#_x0000_t202" style="position:absolute;margin-left:49.6pt;margin-top:8.65pt;width:239pt;height:124.4pt;z-index:-251335680;mso-wrap-distance-left:0;mso-wrap-distance-right:0;mso-position-horizontal-relative:page" fillcolor="#e1e0e1" stroked="f">
            <v:textbox inset="0,0,0,0">
              <w:txbxContent>
                <w:p w:rsidR="00F22F94" w:rsidRDefault="00F22F94">
                  <w:pPr>
                    <w:pStyle w:val="BodyText"/>
                    <w:spacing w:before="68" w:line="249" w:lineRule="auto"/>
                    <w:ind w:left="113" w:right="351"/>
                    <w:rPr>
                      <w:color w:val="000000"/>
                    </w:rPr>
                  </w:pPr>
                  <w:r>
                    <w:rPr>
                      <w:b/>
                      <w:color w:val="00AEEF"/>
                    </w:rPr>
                    <w:t>Recommendation</w:t>
                  </w:r>
                  <w:r>
                    <w:rPr>
                      <w:b/>
                      <w:color w:val="00AEEF"/>
                      <w:spacing w:val="40"/>
                    </w:rPr>
                    <w:t xml:space="preserve"> </w:t>
                  </w:r>
                  <w:r>
                    <w:rPr>
                      <w:color w:val="000000"/>
                    </w:rPr>
                    <w:t xml:space="preserve">Infrastructure NSW </w:t>
                  </w:r>
                  <w:r>
                    <w:rPr>
                      <w:color w:val="000000"/>
                      <w:spacing w:val="-2"/>
                    </w:rPr>
                    <w:t>recommends</w:t>
                  </w:r>
                  <w:r>
                    <w:rPr>
                      <w:color w:val="000000"/>
                      <w:spacing w:val="-7"/>
                    </w:rPr>
                    <w:t xml:space="preserve"> </w:t>
                  </w:r>
                  <w:r>
                    <w:rPr>
                      <w:color w:val="000000"/>
                      <w:spacing w:val="-2"/>
                    </w:rPr>
                    <w:t>the</w:t>
                  </w:r>
                  <w:r>
                    <w:rPr>
                      <w:color w:val="000000"/>
                      <w:spacing w:val="-7"/>
                    </w:rPr>
                    <w:t xml:space="preserve"> </w:t>
                  </w:r>
                  <w:r>
                    <w:rPr>
                      <w:color w:val="000000"/>
                      <w:spacing w:val="-2"/>
                    </w:rPr>
                    <w:t>NSW</w:t>
                  </w:r>
                  <w:r>
                    <w:rPr>
                      <w:color w:val="000000"/>
                      <w:spacing w:val="-7"/>
                    </w:rPr>
                    <w:t xml:space="preserve"> </w:t>
                  </w:r>
                  <w:r>
                    <w:rPr>
                      <w:color w:val="000000"/>
                      <w:spacing w:val="-2"/>
                    </w:rPr>
                    <w:t>Government</w:t>
                  </w:r>
                  <w:r>
                    <w:rPr>
                      <w:color w:val="000000"/>
                      <w:spacing w:val="-7"/>
                    </w:rPr>
                    <w:t xml:space="preserve"> </w:t>
                  </w:r>
                  <w:r>
                    <w:rPr>
                      <w:color w:val="000000"/>
                      <w:spacing w:val="-2"/>
                    </w:rPr>
                    <w:t>review</w:t>
                  </w:r>
                  <w:r>
                    <w:rPr>
                      <w:color w:val="000000"/>
                      <w:spacing w:val="-7"/>
                    </w:rPr>
                    <w:t xml:space="preserve"> </w:t>
                  </w:r>
                  <w:r>
                    <w:rPr>
                      <w:color w:val="000000"/>
                      <w:spacing w:val="-2"/>
                    </w:rPr>
                    <w:t>all</w:t>
                  </w:r>
                  <w:r>
                    <w:rPr>
                      <w:color w:val="000000"/>
                      <w:spacing w:val="-7"/>
                    </w:rPr>
                    <w:t xml:space="preserve"> </w:t>
                  </w:r>
                  <w:r>
                    <w:rPr>
                      <w:color w:val="000000"/>
                      <w:spacing w:val="-2"/>
                    </w:rPr>
                    <w:t xml:space="preserve">the </w:t>
                  </w:r>
                  <w:r>
                    <w:rPr>
                      <w:color w:val="000000"/>
                    </w:rPr>
                    <w:t>major</w:t>
                  </w:r>
                  <w:r>
                    <w:rPr>
                      <w:color w:val="000000"/>
                      <w:spacing w:val="-14"/>
                    </w:rPr>
                    <w:t xml:space="preserve"> </w:t>
                  </w:r>
                  <w:r>
                    <w:rPr>
                      <w:color w:val="000000"/>
                    </w:rPr>
                    <w:t>flood</w:t>
                  </w:r>
                  <w:r>
                    <w:rPr>
                      <w:color w:val="000000"/>
                      <w:spacing w:val="-14"/>
                    </w:rPr>
                    <w:t xml:space="preserve"> </w:t>
                  </w:r>
                  <w:r>
                    <w:rPr>
                      <w:color w:val="000000"/>
                    </w:rPr>
                    <w:t>mitigation</w:t>
                  </w:r>
                  <w:r>
                    <w:rPr>
                      <w:color w:val="000000"/>
                      <w:spacing w:val="-14"/>
                    </w:rPr>
                    <w:t xml:space="preserve"> </w:t>
                  </w:r>
                  <w:r>
                    <w:rPr>
                      <w:color w:val="000000"/>
                    </w:rPr>
                    <w:t>options</w:t>
                  </w:r>
                  <w:r>
                    <w:rPr>
                      <w:color w:val="000000"/>
                      <w:spacing w:val="-14"/>
                    </w:rPr>
                    <w:t xml:space="preserve"> </w:t>
                  </w:r>
                  <w:r>
                    <w:rPr>
                      <w:color w:val="000000"/>
                    </w:rPr>
                    <w:t>available,</w:t>
                  </w:r>
                  <w:r>
                    <w:rPr>
                      <w:color w:val="000000"/>
                      <w:spacing w:val="-14"/>
                    </w:rPr>
                    <w:t xml:space="preserve"> </w:t>
                  </w:r>
                  <w:r>
                    <w:rPr>
                      <w:color w:val="000000"/>
                    </w:rPr>
                    <w:t>including raising</w:t>
                  </w:r>
                  <w:r>
                    <w:rPr>
                      <w:color w:val="000000"/>
                      <w:spacing w:val="-14"/>
                    </w:rPr>
                    <w:t xml:space="preserve"> </w:t>
                  </w:r>
                  <w:r>
                    <w:rPr>
                      <w:color w:val="000000"/>
                    </w:rPr>
                    <w:t>the</w:t>
                  </w:r>
                  <w:r>
                    <w:rPr>
                      <w:color w:val="000000"/>
                      <w:spacing w:val="-14"/>
                    </w:rPr>
                    <w:t xml:space="preserve"> </w:t>
                  </w:r>
                  <w:r>
                    <w:rPr>
                      <w:color w:val="000000"/>
                    </w:rPr>
                    <w:t>Warragamba</w:t>
                  </w:r>
                  <w:r>
                    <w:rPr>
                      <w:color w:val="000000"/>
                      <w:spacing w:val="-14"/>
                    </w:rPr>
                    <w:t xml:space="preserve"> </w:t>
                  </w:r>
                  <w:r>
                    <w:rPr>
                      <w:color w:val="000000"/>
                    </w:rPr>
                    <w:t>Dam</w:t>
                  </w:r>
                  <w:r>
                    <w:rPr>
                      <w:color w:val="000000"/>
                      <w:spacing w:val="-14"/>
                    </w:rPr>
                    <w:t xml:space="preserve"> </w:t>
                  </w:r>
                  <w:r>
                    <w:rPr>
                      <w:color w:val="000000"/>
                    </w:rPr>
                    <w:t>wall,</w:t>
                  </w:r>
                  <w:r>
                    <w:rPr>
                      <w:color w:val="000000"/>
                      <w:spacing w:val="-14"/>
                    </w:rPr>
                    <w:t xml:space="preserve"> </w:t>
                  </w:r>
                  <w:r>
                    <w:rPr>
                      <w:color w:val="000000"/>
                    </w:rPr>
                    <w:t>to</w:t>
                  </w:r>
                  <w:r>
                    <w:rPr>
                      <w:color w:val="000000"/>
                      <w:spacing w:val="-14"/>
                    </w:rPr>
                    <w:t xml:space="preserve"> </w:t>
                  </w:r>
                  <w:r>
                    <w:rPr>
                      <w:color w:val="000000"/>
                    </w:rPr>
                    <w:t xml:space="preserve">significantly </w:t>
                  </w:r>
                  <w:r>
                    <w:rPr>
                      <w:color w:val="000000"/>
                      <w:w w:val="95"/>
                    </w:rPr>
                    <w:t xml:space="preserve">reduce the potential economic and social impact of </w:t>
                  </w:r>
                  <w:r>
                    <w:rPr>
                      <w:color w:val="000000"/>
                    </w:rPr>
                    <w:t>flooding</w:t>
                  </w:r>
                  <w:r>
                    <w:rPr>
                      <w:color w:val="000000"/>
                      <w:spacing w:val="-14"/>
                    </w:rPr>
                    <w:t xml:space="preserve"> </w:t>
                  </w:r>
                  <w:r>
                    <w:rPr>
                      <w:color w:val="000000"/>
                    </w:rPr>
                    <w:t>in</w:t>
                  </w:r>
                  <w:r>
                    <w:rPr>
                      <w:color w:val="000000"/>
                      <w:spacing w:val="-14"/>
                    </w:rPr>
                    <w:t xml:space="preserve"> </w:t>
                  </w:r>
                  <w:r>
                    <w:rPr>
                      <w:color w:val="000000"/>
                    </w:rPr>
                    <w:t>the</w:t>
                  </w:r>
                  <w:r>
                    <w:rPr>
                      <w:color w:val="000000"/>
                      <w:spacing w:val="-14"/>
                    </w:rPr>
                    <w:t xml:space="preserve"> </w:t>
                  </w:r>
                  <w:r>
                    <w:rPr>
                      <w:color w:val="000000"/>
                    </w:rPr>
                    <w:t>Hawkesbury</w:t>
                  </w:r>
                  <w:r>
                    <w:rPr>
                      <w:color w:val="000000"/>
                      <w:spacing w:val="-14"/>
                    </w:rPr>
                    <w:t xml:space="preserve"> </w:t>
                  </w:r>
                  <w:r>
                    <w:rPr>
                      <w:color w:val="000000"/>
                    </w:rPr>
                    <w:t>Nepean</w:t>
                  </w:r>
                  <w:r>
                    <w:rPr>
                      <w:color w:val="000000"/>
                      <w:spacing w:val="-14"/>
                    </w:rPr>
                    <w:t xml:space="preserve"> </w:t>
                  </w:r>
                  <w:r>
                    <w:rPr>
                      <w:color w:val="000000"/>
                    </w:rPr>
                    <w:t>Valley.</w:t>
                  </w:r>
                </w:p>
                <w:p w:rsidR="00F22F94" w:rsidRDefault="00F22F94">
                  <w:pPr>
                    <w:pStyle w:val="BodyText"/>
                    <w:spacing w:before="147" w:line="249" w:lineRule="auto"/>
                    <w:ind w:left="113" w:right="264"/>
                    <w:rPr>
                      <w:color w:val="000000"/>
                    </w:rPr>
                  </w:pPr>
                  <w:r>
                    <w:rPr>
                      <w:color w:val="000000"/>
                    </w:rPr>
                    <w:t>If</w:t>
                  </w:r>
                  <w:r>
                    <w:rPr>
                      <w:color w:val="000000"/>
                      <w:spacing w:val="-11"/>
                    </w:rPr>
                    <w:t xml:space="preserve"> </w:t>
                  </w:r>
                  <w:r>
                    <w:rPr>
                      <w:color w:val="000000"/>
                    </w:rPr>
                    <w:t>major</w:t>
                  </w:r>
                  <w:r>
                    <w:rPr>
                      <w:color w:val="000000"/>
                      <w:spacing w:val="-11"/>
                    </w:rPr>
                    <w:t xml:space="preserve"> </w:t>
                  </w:r>
                  <w:r>
                    <w:rPr>
                      <w:color w:val="000000"/>
                    </w:rPr>
                    <w:t>flood</w:t>
                  </w:r>
                  <w:r>
                    <w:rPr>
                      <w:color w:val="000000"/>
                      <w:spacing w:val="-11"/>
                    </w:rPr>
                    <w:t xml:space="preserve"> </w:t>
                  </w:r>
                  <w:r>
                    <w:rPr>
                      <w:color w:val="000000"/>
                    </w:rPr>
                    <w:t>mitigation</w:t>
                  </w:r>
                  <w:r>
                    <w:rPr>
                      <w:color w:val="000000"/>
                      <w:spacing w:val="-11"/>
                    </w:rPr>
                    <w:t xml:space="preserve"> </w:t>
                  </w:r>
                  <w:r>
                    <w:rPr>
                      <w:color w:val="000000"/>
                    </w:rPr>
                    <w:t>is</w:t>
                  </w:r>
                  <w:r>
                    <w:rPr>
                      <w:color w:val="000000"/>
                      <w:spacing w:val="-11"/>
                    </w:rPr>
                    <w:t xml:space="preserve"> </w:t>
                  </w:r>
                  <w:r>
                    <w:rPr>
                      <w:color w:val="000000"/>
                    </w:rPr>
                    <w:t>not</w:t>
                  </w:r>
                  <w:r>
                    <w:rPr>
                      <w:color w:val="000000"/>
                      <w:spacing w:val="-11"/>
                    </w:rPr>
                    <w:t xml:space="preserve"> </w:t>
                  </w:r>
                  <w:r>
                    <w:rPr>
                      <w:color w:val="000000"/>
                    </w:rPr>
                    <w:t>provided,</w:t>
                  </w:r>
                  <w:r>
                    <w:rPr>
                      <w:color w:val="000000"/>
                      <w:spacing w:val="-11"/>
                    </w:rPr>
                    <w:t xml:space="preserve"> </w:t>
                  </w:r>
                  <w:r>
                    <w:rPr>
                      <w:color w:val="000000"/>
                    </w:rPr>
                    <w:t>roads</w:t>
                  </w:r>
                  <w:r>
                    <w:rPr>
                      <w:color w:val="000000"/>
                      <w:spacing w:val="-11"/>
                    </w:rPr>
                    <w:t xml:space="preserve"> </w:t>
                  </w:r>
                  <w:r>
                    <w:rPr>
                      <w:color w:val="000000"/>
                    </w:rPr>
                    <w:t xml:space="preserve">in </w:t>
                  </w:r>
                  <w:r>
                    <w:rPr>
                      <w:color w:val="000000"/>
                      <w:w w:val="95"/>
                    </w:rPr>
                    <w:t>the</w:t>
                  </w:r>
                  <w:r>
                    <w:rPr>
                      <w:color w:val="000000"/>
                      <w:spacing w:val="-2"/>
                      <w:w w:val="95"/>
                    </w:rPr>
                    <w:t xml:space="preserve"> </w:t>
                  </w:r>
                  <w:r>
                    <w:rPr>
                      <w:color w:val="000000"/>
                      <w:w w:val="95"/>
                    </w:rPr>
                    <w:t>HNV</w:t>
                  </w:r>
                  <w:r>
                    <w:rPr>
                      <w:color w:val="000000"/>
                      <w:spacing w:val="-2"/>
                      <w:w w:val="95"/>
                    </w:rPr>
                    <w:t xml:space="preserve"> </w:t>
                  </w:r>
                  <w:r>
                    <w:rPr>
                      <w:color w:val="000000"/>
                      <w:w w:val="95"/>
                    </w:rPr>
                    <w:t>should</w:t>
                  </w:r>
                  <w:r>
                    <w:rPr>
                      <w:color w:val="000000"/>
                      <w:spacing w:val="-2"/>
                      <w:w w:val="95"/>
                    </w:rPr>
                    <w:t xml:space="preserve"> </w:t>
                  </w:r>
                  <w:r>
                    <w:rPr>
                      <w:color w:val="000000"/>
                      <w:w w:val="95"/>
                    </w:rPr>
                    <w:t>be</w:t>
                  </w:r>
                  <w:r>
                    <w:rPr>
                      <w:color w:val="000000"/>
                      <w:spacing w:val="-2"/>
                      <w:w w:val="95"/>
                    </w:rPr>
                    <w:t xml:space="preserve"> </w:t>
                  </w:r>
                  <w:r>
                    <w:rPr>
                      <w:color w:val="000000"/>
                      <w:w w:val="95"/>
                    </w:rPr>
                    <w:t>upgraded</w:t>
                  </w:r>
                  <w:r>
                    <w:rPr>
                      <w:color w:val="000000"/>
                      <w:spacing w:val="-2"/>
                      <w:w w:val="95"/>
                    </w:rPr>
                    <w:t xml:space="preserve"> </w:t>
                  </w:r>
                  <w:r>
                    <w:rPr>
                      <w:color w:val="000000"/>
                      <w:w w:val="95"/>
                    </w:rPr>
                    <w:t>to</w:t>
                  </w:r>
                  <w:r>
                    <w:rPr>
                      <w:color w:val="000000"/>
                      <w:spacing w:val="-2"/>
                      <w:w w:val="95"/>
                    </w:rPr>
                    <w:t xml:space="preserve"> </w:t>
                  </w:r>
                  <w:r>
                    <w:rPr>
                      <w:color w:val="000000"/>
                      <w:w w:val="95"/>
                    </w:rPr>
                    <w:t>ensure</w:t>
                  </w:r>
                  <w:r>
                    <w:rPr>
                      <w:color w:val="000000"/>
                      <w:spacing w:val="-2"/>
                      <w:w w:val="95"/>
                    </w:rPr>
                    <w:t xml:space="preserve"> </w:t>
                  </w:r>
                  <w:r>
                    <w:rPr>
                      <w:color w:val="000000"/>
                      <w:w w:val="95"/>
                    </w:rPr>
                    <w:t>people</w:t>
                  </w:r>
                  <w:r>
                    <w:rPr>
                      <w:color w:val="000000"/>
                      <w:spacing w:val="-2"/>
                      <w:w w:val="95"/>
                    </w:rPr>
                    <w:t xml:space="preserve"> </w:t>
                  </w:r>
                  <w:r>
                    <w:rPr>
                      <w:color w:val="000000"/>
                      <w:w w:val="95"/>
                    </w:rPr>
                    <w:t xml:space="preserve">can </w:t>
                  </w:r>
                  <w:r>
                    <w:rPr>
                      <w:color w:val="000000"/>
                      <w:spacing w:val="-2"/>
                    </w:rPr>
                    <w:t>evacuate.</w:t>
                  </w:r>
                </w:p>
              </w:txbxContent>
            </v:textbox>
            <w10:wrap type="topAndBottom" anchorx="page"/>
          </v:shape>
        </w:pict>
      </w:r>
    </w:p>
    <w:p w:rsidR="002C1123" w:rsidRDefault="002C1123">
      <w:pPr>
        <w:rPr>
          <w:sz w:val="13"/>
        </w:rPr>
        <w:sectPr w:rsidR="002C1123">
          <w:pgSz w:w="16840" w:h="11910" w:orient="landscape"/>
          <w:pgMar w:top="560" w:right="280" w:bottom="700" w:left="500" w:header="0" w:footer="517"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7"/>
        </w:rPr>
      </w:pPr>
    </w:p>
    <w:p w:rsidR="002C1123" w:rsidRDefault="002C1123">
      <w:pPr>
        <w:rPr>
          <w:sz w:val="17"/>
        </w:rPr>
        <w:sectPr w:rsidR="002C1123">
          <w:pgSz w:w="16840" w:h="11910" w:orient="landscape"/>
          <w:pgMar w:top="560" w:right="280" w:bottom="700" w:left="500" w:header="0" w:footer="517" w:gutter="0"/>
          <w:cols w:space="720"/>
        </w:sectPr>
      </w:pPr>
    </w:p>
    <w:p w:rsidR="002C1123" w:rsidRDefault="00F22F94">
      <w:pPr>
        <w:pStyle w:val="Heading6"/>
        <w:numPr>
          <w:ilvl w:val="2"/>
          <w:numId w:val="55"/>
        </w:numPr>
        <w:tabs>
          <w:tab w:val="left" w:pos="1087"/>
        </w:tabs>
        <w:spacing w:before="129"/>
        <w:ind w:left="1086"/>
        <w:jc w:val="left"/>
        <w:rPr>
          <w:color w:val="00AEEF"/>
        </w:rPr>
      </w:pPr>
      <w:bookmarkStart w:id="334" w:name="12.6_Recommended_actions"/>
      <w:bookmarkStart w:id="335" w:name="_bookmark237"/>
      <w:bookmarkStart w:id="336" w:name="_bookmark236"/>
      <w:bookmarkEnd w:id="334"/>
      <w:bookmarkEnd w:id="335"/>
      <w:bookmarkEnd w:id="336"/>
      <w:r>
        <w:rPr>
          <w:color w:val="00AEEF"/>
          <w:spacing w:val="-2"/>
        </w:rPr>
        <w:t>Governance</w:t>
      </w:r>
      <w:r>
        <w:rPr>
          <w:color w:val="00AEEF"/>
          <w:spacing w:val="-9"/>
        </w:rPr>
        <w:t xml:space="preserve"> </w:t>
      </w:r>
      <w:r>
        <w:rPr>
          <w:color w:val="00AEEF"/>
          <w:spacing w:val="-2"/>
        </w:rPr>
        <w:t>of</w:t>
      </w:r>
      <w:r>
        <w:rPr>
          <w:color w:val="00AEEF"/>
          <w:spacing w:val="-8"/>
        </w:rPr>
        <w:t xml:space="preserve"> </w:t>
      </w:r>
      <w:r>
        <w:rPr>
          <w:color w:val="00AEEF"/>
          <w:spacing w:val="-2"/>
        </w:rPr>
        <w:t>flood</w:t>
      </w:r>
      <w:r>
        <w:rPr>
          <w:color w:val="00AEEF"/>
          <w:spacing w:val="-8"/>
        </w:rPr>
        <w:t xml:space="preserve"> </w:t>
      </w:r>
      <w:r>
        <w:rPr>
          <w:color w:val="00AEEF"/>
          <w:spacing w:val="-2"/>
        </w:rPr>
        <w:t>management</w:t>
      </w:r>
      <w:r>
        <w:rPr>
          <w:color w:val="00AEEF"/>
          <w:spacing w:val="-8"/>
        </w:rPr>
        <w:t xml:space="preserve"> </w:t>
      </w:r>
      <w:r>
        <w:rPr>
          <w:color w:val="00AEEF"/>
          <w:spacing w:val="-2"/>
        </w:rPr>
        <w:t>in</w:t>
      </w:r>
      <w:r>
        <w:rPr>
          <w:color w:val="00AEEF"/>
          <w:spacing w:val="-9"/>
        </w:rPr>
        <w:t xml:space="preserve"> </w:t>
      </w:r>
      <w:r>
        <w:rPr>
          <w:color w:val="00AEEF"/>
          <w:spacing w:val="-5"/>
        </w:rPr>
        <w:t>NSW</w:t>
      </w:r>
    </w:p>
    <w:p w:rsidR="002C1123" w:rsidRDefault="00F22F94">
      <w:pPr>
        <w:pStyle w:val="BodyText"/>
        <w:spacing w:before="95" w:line="249" w:lineRule="auto"/>
        <w:ind w:left="492" w:right="79"/>
      </w:pPr>
      <w:r>
        <w:t>Infrastructure</w:t>
      </w:r>
      <w:r>
        <w:rPr>
          <w:spacing w:val="-13"/>
        </w:rPr>
        <w:t xml:space="preserve"> </w:t>
      </w:r>
      <w:r>
        <w:t>NSW</w:t>
      </w:r>
      <w:r>
        <w:rPr>
          <w:spacing w:val="-13"/>
        </w:rPr>
        <w:t xml:space="preserve"> </w:t>
      </w:r>
      <w:r>
        <w:t>has</w:t>
      </w:r>
      <w:r>
        <w:rPr>
          <w:spacing w:val="-13"/>
        </w:rPr>
        <w:t xml:space="preserve"> </w:t>
      </w:r>
      <w:r>
        <w:t>noted</w:t>
      </w:r>
      <w:r>
        <w:rPr>
          <w:spacing w:val="-13"/>
        </w:rPr>
        <w:t xml:space="preserve"> </w:t>
      </w:r>
      <w:r>
        <w:t>that</w:t>
      </w:r>
      <w:r>
        <w:rPr>
          <w:spacing w:val="-13"/>
        </w:rPr>
        <w:t xml:space="preserve"> </w:t>
      </w:r>
      <w:r>
        <w:t>an</w:t>
      </w:r>
      <w:r>
        <w:rPr>
          <w:spacing w:val="-13"/>
        </w:rPr>
        <w:t xml:space="preserve"> </w:t>
      </w:r>
      <w:r>
        <w:t xml:space="preserve">underlying </w:t>
      </w:r>
      <w:r>
        <w:rPr>
          <w:w w:val="95"/>
        </w:rPr>
        <w:t>problem</w:t>
      </w:r>
      <w:r>
        <w:rPr>
          <w:spacing w:val="-4"/>
          <w:w w:val="95"/>
        </w:rPr>
        <w:t xml:space="preserve"> </w:t>
      </w:r>
      <w:r>
        <w:rPr>
          <w:w w:val="95"/>
        </w:rPr>
        <w:t>inhibiting</w:t>
      </w:r>
      <w:r>
        <w:rPr>
          <w:spacing w:val="-3"/>
          <w:w w:val="95"/>
        </w:rPr>
        <w:t xml:space="preserve"> </w:t>
      </w:r>
      <w:r>
        <w:rPr>
          <w:w w:val="95"/>
        </w:rPr>
        <w:t>effective</w:t>
      </w:r>
      <w:r>
        <w:rPr>
          <w:spacing w:val="-3"/>
          <w:w w:val="95"/>
        </w:rPr>
        <w:t xml:space="preserve"> </w:t>
      </w:r>
      <w:r>
        <w:rPr>
          <w:w w:val="95"/>
        </w:rPr>
        <w:t>flood</w:t>
      </w:r>
      <w:r>
        <w:rPr>
          <w:spacing w:val="-3"/>
          <w:w w:val="95"/>
        </w:rPr>
        <w:t xml:space="preserve"> </w:t>
      </w:r>
      <w:r>
        <w:rPr>
          <w:w w:val="95"/>
        </w:rPr>
        <w:t>management</w:t>
      </w:r>
      <w:r>
        <w:rPr>
          <w:spacing w:val="-3"/>
          <w:w w:val="95"/>
        </w:rPr>
        <w:t xml:space="preserve"> </w:t>
      </w:r>
      <w:r>
        <w:rPr>
          <w:w w:val="95"/>
        </w:rPr>
        <w:t>in</w:t>
      </w:r>
      <w:r>
        <w:rPr>
          <w:spacing w:val="-3"/>
          <w:w w:val="95"/>
        </w:rPr>
        <w:t xml:space="preserve"> </w:t>
      </w:r>
      <w:r>
        <w:rPr>
          <w:w w:val="95"/>
        </w:rPr>
        <w:t xml:space="preserve">NSW is the lack of clear governance. Current arrangements </w:t>
      </w:r>
      <w:r>
        <w:t>spread</w:t>
      </w:r>
      <w:r>
        <w:rPr>
          <w:spacing w:val="-8"/>
        </w:rPr>
        <w:t xml:space="preserve"> </w:t>
      </w:r>
      <w:r>
        <w:t>responsibility</w:t>
      </w:r>
      <w:r>
        <w:rPr>
          <w:spacing w:val="-8"/>
        </w:rPr>
        <w:t xml:space="preserve"> </w:t>
      </w:r>
      <w:r>
        <w:t>for</w:t>
      </w:r>
      <w:r>
        <w:rPr>
          <w:spacing w:val="-8"/>
        </w:rPr>
        <w:t xml:space="preserve"> </w:t>
      </w:r>
      <w:r>
        <w:t>flood</w:t>
      </w:r>
      <w:r>
        <w:rPr>
          <w:spacing w:val="-8"/>
        </w:rPr>
        <w:t xml:space="preserve"> </w:t>
      </w:r>
      <w:r>
        <w:t>management</w:t>
      </w:r>
      <w:r>
        <w:rPr>
          <w:spacing w:val="-8"/>
        </w:rPr>
        <w:t xml:space="preserve"> </w:t>
      </w:r>
      <w:r>
        <w:t>across multiple</w:t>
      </w:r>
      <w:r>
        <w:rPr>
          <w:spacing w:val="-11"/>
        </w:rPr>
        <w:t xml:space="preserve"> </w:t>
      </w:r>
      <w:r>
        <w:t>Government</w:t>
      </w:r>
      <w:r>
        <w:rPr>
          <w:spacing w:val="-11"/>
        </w:rPr>
        <w:t xml:space="preserve"> </w:t>
      </w:r>
      <w:r>
        <w:t>agencies</w:t>
      </w:r>
      <w:r>
        <w:rPr>
          <w:spacing w:val="-11"/>
        </w:rPr>
        <w:t xml:space="preserve"> </w:t>
      </w:r>
      <w:r>
        <w:t>and</w:t>
      </w:r>
      <w:r>
        <w:rPr>
          <w:spacing w:val="-11"/>
        </w:rPr>
        <w:t xml:space="preserve"> </w:t>
      </w:r>
      <w:r>
        <w:t>local</w:t>
      </w:r>
      <w:r>
        <w:rPr>
          <w:spacing w:val="-11"/>
        </w:rPr>
        <w:t xml:space="preserve"> </w:t>
      </w:r>
      <w:r>
        <w:t>councils.</w:t>
      </w:r>
    </w:p>
    <w:p w:rsidR="002C1123" w:rsidRDefault="00F22F94">
      <w:pPr>
        <w:pStyle w:val="BodyText"/>
        <w:spacing w:before="4" w:line="249" w:lineRule="auto"/>
        <w:ind w:left="492" w:right="79"/>
      </w:pPr>
      <w:r>
        <w:t>The</w:t>
      </w:r>
      <w:r>
        <w:rPr>
          <w:spacing w:val="-12"/>
        </w:rPr>
        <w:t xml:space="preserve"> </w:t>
      </w:r>
      <w:r>
        <w:t>lack</w:t>
      </w:r>
      <w:r>
        <w:rPr>
          <w:spacing w:val="-12"/>
        </w:rPr>
        <w:t xml:space="preserve"> </w:t>
      </w:r>
      <w:r>
        <w:t>of</w:t>
      </w:r>
      <w:r>
        <w:rPr>
          <w:spacing w:val="-12"/>
        </w:rPr>
        <w:t xml:space="preserve"> </w:t>
      </w:r>
      <w:r>
        <w:t>clear</w:t>
      </w:r>
      <w:r>
        <w:rPr>
          <w:spacing w:val="-12"/>
        </w:rPr>
        <w:t xml:space="preserve"> </w:t>
      </w:r>
      <w:r>
        <w:t>accountability</w:t>
      </w:r>
      <w:r>
        <w:rPr>
          <w:spacing w:val="-12"/>
        </w:rPr>
        <w:t xml:space="preserve"> </w:t>
      </w:r>
      <w:r>
        <w:t>creates</w:t>
      </w:r>
      <w:r>
        <w:rPr>
          <w:spacing w:val="-12"/>
        </w:rPr>
        <w:t xml:space="preserve"> </w:t>
      </w:r>
      <w:r>
        <w:t>the</w:t>
      </w:r>
      <w:r>
        <w:rPr>
          <w:spacing w:val="-12"/>
        </w:rPr>
        <w:t xml:space="preserve"> </w:t>
      </w:r>
      <w:r>
        <w:t>risk</w:t>
      </w:r>
      <w:r>
        <w:rPr>
          <w:spacing w:val="-12"/>
        </w:rPr>
        <w:t xml:space="preserve"> </w:t>
      </w:r>
      <w:r>
        <w:t>of inadequate</w:t>
      </w:r>
      <w:r>
        <w:rPr>
          <w:spacing w:val="-11"/>
        </w:rPr>
        <w:t xml:space="preserve"> </w:t>
      </w:r>
      <w:r>
        <w:t>risk</w:t>
      </w:r>
      <w:r>
        <w:rPr>
          <w:spacing w:val="-11"/>
        </w:rPr>
        <w:t xml:space="preserve"> </w:t>
      </w:r>
      <w:r>
        <w:t>management,</w:t>
      </w:r>
      <w:r>
        <w:rPr>
          <w:spacing w:val="-11"/>
        </w:rPr>
        <w:t xml:space="preserve"> </w:t>
      </w:r>
      <w:r>
        <w:t>and</w:t>
      </w:r>
      <w:r>
        <w:rPr>
          <w:spacing w:val="-11"/>
        </w:rPr>
        <w:t xml:space="preserve"> </w:t>
      </w:r>
      <w:r>
        <w:t>the</w:t>
      </w:r>
      <w:r>
        <w:rPr>
          <w:spacing w:val="-11"/>
        </w:rPr>
        <w:t xml:space="preserve"> </w:t>
      </w:r>
      <w:r>
        <w:t>dispersion</w:t>
      </w:r>
      <w:r>
        <w:rPr>
          <w:spacing w:val="-11"/>
        </w:rPr>
        <w:t xml:space="preserve"> </w:t>
      </w:r>
      <w:r>
        <w:t xml:space="preserve">of </w:t>
      </w:r>
      <w:r>
        <w:rPr>
          <w:w w:val="95"/>
        </w:rPr>
        <w:t xml:space="preserve">responsibility to councils without adequate overarching </w:t>
      </w:r>
      <w:r>
        <w:t>governance</w:t>
      </w:r>
      <w:r>
        <w:rPr>
          <w:spacing w:val="-7"/>
        </w:rPr>
        <w:t xml:space="preserve"> </w:t>
      </w:r>
      <w:r>
        <w:t>creates</w:t>
      </w:r>
      <w:r>
        <w:rPr>
          <w:spacing w:val="-7"/>
        </w:rPr>
        <w:t xml:space="preserve"> </w:t>
      </w:r>
      <w:r>
        <w:t>the</w:t>
      </w:r>
      <w:r>
        <w:rPr>
          <w:spacing w:val="-7"/>
        </w:rPr>
        <w:t xml:space="preserve"> </w:t>
      </w:r>
      <w:r>
        <w:t>risk</w:t>
      </w:r>
      <w:r>
        <w:rPr>
          <w:spacing w:val="-7"/>
        </w:rPr>
        <w:t xml:space="preserve"> </w:t>
      </w:r>
      <w:r>
        <w:t>of</w:t>
      </w:r>
      <w:r>
        <w:rPr>
          <w:spacing w:val="-7"/>
        </w:rPr>
        <w:t xml:space="preserve"> </w:t>
      </w:r>
      <w:r>
        <w:t>sub-optimal</w:t>
      </w:r>
      <w:r>
        <w:rPr>
          <w:spacing w:val="-7"/>
        </w:rPr>
        <w:t xml:space="preserve"> </w:t>
      </w:r>
      <w:r>
        <w:t>flood management,</w:t>
      </w:r>
      <w:r>
        <w:rPr>
          <w:spacing w:val="-10"/>
        </w:rPr>
        <w:t xml:space="preserve"> </w:t>
      </w:r>
      <w:r>
        <w:t>which</w:t>
      </w:r>
      <w:r>
        <w:rPr>
          <w:spacing w:val="-10"/>
        </w:rPr>
        <w:t xml:space="preserve"> </w:t>
      </w:r>
      <w:r>
        <w:t>in</w:t>
      </w:r>
      <w:r>
        <w:rPr>
          <w:spacing w:val="-10"/>
        </w:rPr>
        <w:t xml:space="preserve"> </w:t>
      </w:r>
      <w:r>
        <w:t>some</w:t>
      </w:r>
      <w:r>
        <w:rPr>
          <w:spacing w:val="-10"/>
        </w:rPr>
        <w:t xml:space="preserve"> </w:t>
      </w:r>
      <w:r>
        <w:t>cases</w:t>
      </w:r>
      <w:r>
        <w:rPr>
          <w:spacing w:val="-10"/>
        </w:rPr>
        <w:t xml:space="preserve"> </w:t>
      </w:r>
      <w:r>
        <w:t>may</w:t>
      </w:r>
      <w:r>
        <w:rPr>
          <w:spacing w:val="-10"/>
        </w:rPr>
        <w:t xml:space="preserve"> </w:t>
      </w:r>
      <w:r>
        <w:t>be</w:t>
      </w:r>
      <w:r>
        <w:rPr>
          <w:spacing w:val="-10"/>
        </w:rPr>
        <w:t xml:space="preserve"> </w:t>
      </w:r>
      <w:r>
        <w:t xml:space="preserve">reflected </w:t>
      </w:r>
      <w:r>
        <w:rPr>
          <w:w w:val="95"/>
        </w:rPr>
        <w:t xml:space="preserve">in excessively stringent planning development controls </w:t>
      </w:r>
      <w:r>
        <w:t>(with</w:t>
      </w:r>
      <w:r>
        <w:rPr>
          <w:spacing w:val="-14"/>
        </w:rPr>
        <w:t xml:space="preserve"> </w:t>
      </w:r>
      <w:r>
        <w:t>consequences</w:t>
      </w:r>
      <w:r>
        <w:rPr>
          <w:spacing w:val="-14"/>
        </w:rPr>
        <w:t xml:space="preserve"> </w:t>
      </w:r>
      <w:r>
        <w:t>for</w:t>
      </w:r>
      <w:r>
        <w:rPr>
          <w:spacing w:val="-14"/>
        </w:rPr>
        <w:t xml:space="preserve"> </w:t>
      </w:r>
      <w:r>
        <w:t>housing</w:t>
      </w:r>
      <w:r>
        <w:rPr>
          <w:spacing w:val="-14"/>
        </w:rPr>
        <w:t xml:space="preserve"> </w:t>
      </w:r>
      <w:r>
        <w:t>supply),</w:t>
      </w:r>
      <w:r>
        <w:rPr>
          <w:spacing w:val="-14"/>
        </w:rPr>
        <w:t xml:space="preserve"> </w:t>
      </w:r>
      <w:r>
        <w:t>as</w:t>
      </w:r>
      <w:r>
        <w:rPr>
          <w:spacing w:val="-14"/>
        </w:rPr>
        <w:t xml:space="preserve"> </w:t>
      </w:r>
      <w:r>
        <w:t>well</w:t>
      </w:r>
      <w:r>
        <w:rPr>
          <w:spacing w:val="-14"/>
        </w:rPr>
        <w:t xml:space="preserve"> </w:t>
      </w:r>
      <w:r>
        <w:t>as insufficient</w:t>
      </w:r>
      <w:r>
        <w:rPr>
          <w:spacing w:val="-5"/>
        </w:rPr>
        <w:t xml:space="preserve"> </w:t>
      </w:r>
      <w:r>
        <w:t>management</w:t>
      </w:r>
      <w:r>
        <w:rPr>
          <w:spacing w:val="-3"/>
        </w:rPr>
        <w:t xml:space="preserve"> </w:t>
      </w:r>
      <w:r>
        <w:t>of</w:t>
      </w:r>
      <w:r>
        <w:rPr>
          <w:spacing w:val="-3"/>
        </w:rPr>
        <w:t xml:space="preserve"> </w:t>
      </w:r>
      <w:r>
        <w:t>major</w:t>
      </w:r>
      <w:r>
        <w:rPr>
          <w:spacing w:val="-3"/>
        </w:rPr>
        <w:t xml:space="preserve"> </w:t>
      </w:r>
      <w:r>
        <w:t>risks.</w:t>
      </w:r>
    </w:p>
    <w:p w:rsidR="002C1123" w:rsidRDefault="00F22F94">
      <w:pPr>
        <w:pStyle w:val="BodyText"/>
        <w:spacing w:before="148" w:line="249" w:lineRule="auto"/>
        <w:ind w:left="492"/>
      </w:pPr>
      <w:r>
        <w:rPr>
          <w:w w:val="95"/>
        </w:rPr>
        <w:t>To</w:t>
      </w:r>
      <w:r>
        <w:rPr>
          <w:spacing w:val="-7"/>
          <w:w w:val="95"/>
        </w:rPr>
        <w:t xml:space="preserve"> </w:t>
      </w:r>
      <w:r>
        <w:rPr>
          <w:w w:val="95"/>
        </w:rPr>
        <w:t>ensure</w:t>
      </w:r>
      <w:r>
        <w:rPr>
          <w:spacing w:val="-7"/>
          <w:w w:val="95"/>
        </w:rPr>
        <w:t xml:space="preserve"> </w:t>
      </w:r>
      <w:r>
        <w:rPr>
          <w:w w:val="95"/>
        </w:rPr>
        <w:t>that</w:t>
      </w:r>
      <w:r>
        <w:rPr>
          <w:spacing w:val="-7"/>
          <w:w w:val="95"/>
        </w:rPr>
        <w:t xml:space="preserve"> </w:t>
      </w:r>
      <w:r>
        <w:rPr>
          <w:w w:val="95"/>
        </w:rPr>
        <w:t>flood</w:t>
      </w:r>
      <w:r>
        <w:rPr>
          <w:spacing w:val="-7"/>
          <w:w w:val="95"/>
        </w:rPr>
        <w:t xml:space="preserve"> </w:t>
      </w:r>
      <w:r>
        <w:rPr>
          <w:w w:val="95"/>
        </w:rPr>
        <w:t>management</w:t>
      </w:r>
      <w:r>
        <w:rPr>
          <w:spacing w:val="-7"/>
          <w:w w:val="95"/>
        </w:rPr>
        <w:t xml:space="preserve"> </w:t>
      </w:r>
      <w:r>
        <w:rPr>
          <w:w w:val="95"/>
        </w:rPr>
        <w:t>issues</w:t>
      </w:r>
      <w:r>
        <w:rPr>
          <w:spacing w:val="-7"/>
          <w:w w:val="95"/>
        </w:rPr>
        <w:t xml:space="preserve"> </w:t>
      </w:r>
      <w:r>
        <w:rPr>
          <w:w w:val="95"/>
        </w:rPr>
        <w:t>are</w:t>
      </w:r>
      <w:r>
        <w:rPr>
          <w:spacing w:val="-7"/>
          <w:w w:val="95"/>
        </w:rPr>
        <w:t xml:space="preserve"> </w:t>
      </w:r>
      <w:r>
        <w:rPr>
          <w:w w:val="95"/>
        </w:rPr>
        <w:t xml:space="preserve">adequately </w:t>
      </w:r>
      <w:r>
        <w:t>addressed,</w:t>
      </w:r>
      <w:r>
        <w:rPr>
          <w:spacing w:val="-14"/>
        </w:rPr>
        <w:t xml:space="preserve"> </w:t>
      </w:r>
      <w:r>
        <w:t>including</w:t>
      </w:r>
      <w:r>
        <w:rPr>
          <w:spacing w:val="-14"/>
        </w:rPr>
        <w:t xml:space="preserve"> </w:t>
      </w:r>
      <w:r>
        <w:t>assessment</w:t>
      </w:r>
      <w:r>
        <w:rPr>
          <w:spacing w:val="-14"/>
        </w:rPr>
        <w:t xml:space="preserve"> </w:t>
      </w:r>
      <w:r>
        <w:t>of</w:t>
      </w:r>
      <w:r>
        <w:rPr>
          <w:spacing w:val="-14"/>
        </w:rPr>
        <w:t xml:space="preserve"> </w:t>
      </w:r>
      <w:r>
        <w:t>the</w:t>
      </w:r>
      <w:r>
        <w:rPr>
          <w:spacing w:val="-14"/>
        </w:rPr>
        <w:t xml:space="preserve"> </w:t>
      </w:r>
      <w:r>
        <w:t>option</w:t>
      </w:r>
      <w:r>
        <w:rPr>
          <w:spacing w:val="-14"/>
        </w:rPr>
        <w:t xml:space="preserve"> </w:t>
      </w:r>
      <w:r>
        <w:t>to</w:t>
      </w:r>
      <w:r>
        <w:rPr>
          <w:spacing w:val="-14"/>
        </w:rPr>
        <w:t xml:space="preserve"> </w:t>
      </w:r>
      <w:r>
        <w:t>raise the</w:t>
      </w:r>
      <w:r>
        <w:rPr>
          <w:spacing w:val="-14"/>
        </w:rPr>
        <w:t xml:space="preserve"> </w:t>
      </w:r>
      <w:r>
        <w:t>Warragamba</w:t>
      </w:r>
      <w:r>
        <w:rPr>
          <w:spacing w:val="-14"/>
        </w:rPr>
        <w:t xml:space="preserve"> </w:t>
      </w:r>
      <w:r>
        <w:t>Dam</w:t>
      </w:r>
      <w:r>
        <w:rPr>
          <w:spacing w:val="-14"/>
        </w:rPr>
        <w:t xml:space="preserve"> </w:t>
      </w:r>
      <w:r>
        <w:t>wall,</w:t>
      </w:r>
      <w:r>
        <w:rPr>
          <w:spacing w:val="-14"/>
        </w:rPr>
        <w:t xml:space="preserve"> </w:t>
      </w:r>
      <w:r>
        <w:t>it</w:t>
      </w:r>
      <w:r>
        <w:rPr>
          <w:spacing w:val="-14"/>
        </w:rPr>
        <w:t xml:space="preserve"> </w:t>
      </w:r>
      <w:r>
        <w:t>is</w:t>
      </w:r>
      <w:r>
        <w:rPr>
          <w:spacing w:val="-14"/>
        </w:rPr>
        <w:t xml:space="preserve"> </w:t>
      </w:r>
      <w:r>
        <w:t>recommended</w:t>
      </w:r>
      <w:r>
        <w:rPr>
          <w:spacing w:val="-14"/>
        </w:rPr>
        <w:t xml:space="preserve"> </w:t>
      </w:r>
      <w:r>
        <w:t>that</w:t>
      </w:r>
      <w:r>
        <w:rPr>
          <w:spacing w:val="-14"/>
        </w:rPr>
        <w:t xml:space="preserve"> </w:t>
      </w:r>
      <w:r>
        <w:t>the Government</w:t>
      </w:r>
      <w:r>
        <w:rPr>
          <w:spacing w:val="-11"/>
        </w:rPr>
        <w:t xml:space="preserve"> </w:t>
      </w:r>
      <w:r>
        <w:t>immediately</w:t>
      </w:r>
      <w:r>
        <w:rPr>
          <w:spacing w:val="-11"/>
        </w:rPr>
        <w:t xml:space="preserve"> </w:t>
      </w:r>
      <w:r>
        <w:t>conduct</w:t>
      </w:r>
      <w:r>
        <w:rPr>
          <w:spacing w:val="-11"/>
        </w:rPr>
        <w:t xml:space="preserve"> </w:t>
      </w:r>
      <w:r>
        <w:t>a</w:t>
      </w:r>
      <w:r>
        <w:rPr>
          <w:spacing w:val="-11"/>
        </w:rPr>
        <w:t xml:space="preserve"> </w:t>
      </w:r>
      <w:r>
        <w:t>review</w:t>
      </w:r>
      <w:r>
        <w:rPr>
          <w:spacing w:val="-11"/>
        </w:rPr>
        <w:t xml:space="preserve"> </w:t>
      </w:r>
      <w:r>
        <w:t>of</w:t>
      </w:r>
      <w:r>
        <w:rPr>
          <w:spacing w:val="-11"/>
        </w:rPr>
        <w:t xml:space="preserve"> </w:t>
      </w:r>
      <w:r>
        <w:t xml:space="preserve">current </w:t>
      </w:r>
      <w:r>
        <w:rPr>
          <w:w w:val="95"/>
        </w:rPr>
        <w:t>responsibilities</w:t>
      </w:r>
      <w:r>
        <w:rPr>
          <w:spacing w:val="-10"/>
          <w:w w:val="95"/>
        </w:rPr>
        <w:t xml:space="preserve"> </w:t>
      </w:r>
      <w:r>
        <w:rPr>
          <w:w w:val="95"/>
        </w:rPr>
        <w:t>with</w:t>
      </w:r>
      <w:r>
        <w:rPr>
          <w:spacing w:val="-10"/>
          <w:w w:val="95"/>
        </w:rPr>
        <w:t xml:space="preserve"> </w:t>
      </w:r>
      <w:r>
        <w:rPr>
          <w:w w:val="95"/>
        </w:rPr>
        <w:t>a</w:t>
      </w:r>
      <w:r>
        <w:rPr>
          <w:spacing w:val="-10"/>
          <w:w w:val="95"/>
        </w:rPr>
        <w:t xml:space="preserve"> </w:t>
      </w:r>
      <w:r>
        <w:rPr>
          <w:w w:val="95"/>
        </w:rPr>
        <w:t>view</w:t>
      </w:r>
      <w:r>
        <w:rPr>
          <w:spacing w:val="-10"/>
          <w:w w:val="95"/>
        </w:rPr>
        <w:t xml:space="preserve"> </w:t>
      </w:r>
      <w:r>
        <w:rPr>
          <w:w w:val="95"/>
        </w:rPr>
        <w:t>to</w:t>
      </w:r>
      <w:r>
        <w:rPr>
          <w:spacing w:val="-10"/>
          <w:w w:val="95"/>
        </w:rPr>
        <w:t xml:space="preserve"> </w:t>
      </w:r>
      <w:r>
        <w:rPr>
          <w:w w:val="95"/>
        </w:rPr>
        <w:t>ensuring</w:t>
      </w:r>
      <w:r>
        <w:rPr>
          <w:spacing w:val="-10"/>
          <w:w w:val="95"/>
        </w:rPr>
        <w:t xml:space="preserve"> </w:t>
      </w:r>
      <w:r>
        <w:rPr>
          <w:w w:val="95"/>
        </w:rPr>
        <w:t>a</w:t>
      </w:r>
      <w:r>
        <w:rPr>
          <w:spacing w:val="-10"/>
          <w:w w:val="95"/>
        </w:rPr>
        <w:t xml:space="preserve"> </w:t>
      </w:r>
      <w:r>
        <w:rPr>
          <w:w w:val="95"/>
        </w:rPr>
        <w:t>single</w:t>
      </w:r>
      <w:r>
        <w:rPr>
          <w:spacing w:val="-10"/>
          <w:w w:val="95"/>
        </w:rPr>
        <w:t xml:space="preserve"> </w:t>
      </w:r>
      <w:r>
        <w:rPr>
          <w:w w:val="95"/>
        </w:rPr>
        <w:t>entity</w:t>
      </w:r>
      <w:r>
        <w:rPr>
          <w:spacing w:val="-10"/>
          <w:w w:val="95"/>
        </w:rPr>
        <w:t xml:space="preserve"> </w:t>
      </w:r>
      <w:r>
        <w:rPr>
          <w:w w:val="95"/>
        </w:rPr>
        <w:t xml:space="preserve">has </w:t>
      </w:r>
      <w:r>
        <w:t>clear</w:t>
      </w:r>
      <w:r>
        <w:rPr>
          <w:spacing w:val="-8"/>
        </w:rPr>
        <w:t xml:space="preserve"> </w:t>
      </w:r>
      <w:r>
        <w:t>accountability</w:t>
      </w:r>
      <w:r>
        <w:rPr>
          <w:spacing w:val="-8"/>
        </w:rPr>
        <w:t xml:space="preserve"> </w:t>
      </w:r>
      <w:r>
        <w:t>for</w:t>
      </w:r>
      <w:r>
        <w:rPr>
          <w:spacing w:val="-8"/>
        </w:rPr>
        <w:t xml:space="preserve"> </w:t>
      </w:r>
      <w:r>
        <w:t>flood</w:t>
      </w:r>
      <w:r>
        <w:rPr>
          <w:spacing w:val="-8"/>
        </w:rPr>
        <w:t xml:space="preserve"> </w:t>
      </w:r>
      <w:r>
        <w:t>management</w:t>
      </w:r>
      <w:r>
        <w:rPr>
          <w:spacing w:val="-8"/>
        </w:rPr>
        <w:t xml:space="preserve"> </w:t>
      </w:r>
      <w:r>
        <w:t>within</w:t>
      </w:r>
      <w:r>
        <w:rPr>
          <w:spacing w:val="-8"/>
        </w:rPr>
        <w:t xml:space="preserve"> </w:t>
      </w:r>
      <w:r>
        <w:t>the State</w:t>
      </w:r>
      <w:r>
        <w:rPr>
          <w:spacing w:val="-11"/>
        </w:rPr>
        <w:t xml:space="preserve"> </w:t>
      </w:r>
      <w:r>
        <w:t>Government.</w:t>
      </w:r>
    </w:p>
    <w:p w:rsidR="002C1123" w:rsidRDefault="00F22F94">
      <w:pPr>
        <w:pStyle w:val="Heading5"/>
        <w:numPr>
          <w:ilvl w:val="1"/>
          <w:numId w:val="55"/>
        </w:numPr>
        <w:tabs>
          <w:tab w:val="left" w:pos="837"/>
        </w:tabs>
        <w:ind w:left="836" w:hanging="602"/>
        <w:jc w:val="left"/>
      </w:pPr>
      <w:r>
        <w:rPr>
          <w:b w:val="0"/>
        </w:rPr>
        <w:br w:type="column"/>
      </w:r>
      <w:r>
        <w:rPr>
          <w:color w:val="00AEEF"/>
          <w:spacing w:val="-2"/>
        </w:rPr>
        <w:t>Recommended</w:t>
      </w:r>
      <w:r>
        <w:rPr>
          <w:color w:val="00AEEF"/>
          <w:spacing w:val="-17"/>
        </w:rPr>
        <w:t xml:space="preserve"> </w:t>
      </w:r>
      <w:r>
        <w:rPr>
          <w:color w:val="00AEEF"/>
          <w:spacing w:val="-2"/>
        </w:rPr>
        <w:t>actions</w:t>
      </w:r>
    </w:p>
    <w:p w:rsidR="002C1123" w:rsidRDefault="00F22F94">
      <w:pPr>
        <w:pStyle w:val="BodyText"/>
        <w:spacing w:before="135" w:line="249" w:lineRule="auto"/>
        <w:ind w:left="235" w:right="5812"/>
      </w:pPr>
      <w:r>
        <w:rPr>
          <w:w w:val="95"/>
        </w:rPr>
        <w:t>The</w:t>
      </w:r>
      <w:r>
        <w:rPr>
          <w:spacing w:val="-12"/>
          <w:w w:val="95"/>
        </w:rPr>
        <w:t xml:space="preserve"> </w:t>
      </w:r>
      <w:r>
        <w:rPr>
          <w:w w:val="95"/>
        </w:rPr>
        <w:t>key</w:t>
      </w:r>
      <w:r>
        <w:rPr>
          <w:spacing w:val="-11"/>
          <w:w w:val="95"/>
        </w:rPr>
        <w:t xml:space="preserve"> </w:t>
      </w:r>
      <w:r>
        <w:rPr>
          <w:w w:val="95"/>
        </w:rPr>
        <w:t>strategies</w:t>
      </w:r>
      <w:r>
        <w:rPr>
          <w:spacing w:val="-11"/>
          <w:w w:val="95"/>
        </w:rPr>
        <w:t xml:space="preserve"> </w:t>
      </w:r>
      <w:r>
        <w:rPr>
          <w:w w:val="95"/>
        </w:rPr>
        <w:t>for</w:t>
      </w:r>
      <w:r>
        <w:rPr>
          <w:spacing w:val="-11"/>
          <w:w w:val="95"/>
        </w:rPr>
        <w:t xml:space="preserve"> </w:t>
      </w:r>
      <w:r>
        <w:rPr>
          <w:w w:val="95"/>
        </w:rPr>
        <w:t>water</w:t>
      </w:r>
      <w:r>
        <w:rPr>
          <w:spacing w:val="-11"/>
          <w:w w:val="95"/>
        </w:rPr>
        <w:t xml:space="preserve"> </w:t>
      </w:r>
      <w:r>
        <w:rPr>
          <w:w w:val="95"/>
        </w:rPr>
        <w:t>infrastructure</w:t>
      </w:r>
      <w:r>
        <w:rPr>
          <w:spacing w:val="-11"/>
          <w:w w:val="95"/>
        </w:rPr>
        <w:t xml:space="preserve"> </w:t>
      </w:r>
      <w:r>
        <w:rPr>
          <w:w w:val="95"/>
        </w:rPr>
        <w:t xml:space="preserve">are </w:t>
      </w:r>
      <w:r>
        <w:t>summarised</w:t>
      </w:r>
      <w:r>
        <w:rPr>
          <w:spacing w:val="-11"/>
        </w:rPr>
        <w:t xml:space="preserve"> </w:t>
      </w:r>
      <w:r>
        <w:t>below.</w:t>
      </w:r>
    </w:p>
    <w:p w:rsidR="002C1123" w:rsidRDefault="002C1123">
      <w:pPr>
        <w:pStyle w:val="BodyText"/>
        <w:spacing w:before="7"/>
        <w:rPr>
          <w:sz w:val="21"/>
        </w:rPr>
      </w:pPr>
    </w:p>
    <w:p w:rsidR="002C1123" w:rsidRDefault="002060EF">
      <w:pPr>
        <w:tabs>
          <w:tab w:val="left" w:pos="3935"/>
          <w:tab w:val="left" w:pos="5069"/>
          <w:tab w:val="left" w:pos="7053"/>
        </w:tabs>
        <w:ind w:left="873"/>
        <w:rPr>
          <w:b/>
          <w:sz w:val="16"/>
        </w:rPr>
      </w:pPr>
      <w:r>
        <w:pict>
          <v:shape id="docshape2269" o:spid="_x0000_s1776" type="#_x0000_t202" style="position:absolute;left:0;text-align:left;margin-left:300.95pt;margin-top:12.65pt;width:491.35pt;height:205.6pt;z-index:251638784;mso-position-horizontal-relative:page" filled="f" stroked="f">
            <v:textbox inset="0,0,0,0">
              <w:txbxContent>
                <w:tbl>
                  <w:tblPr>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14"/>
                    <w:gridCol w:w="3061"/>
                    <w:gridCol w:w="1133"/>
                    <w:gridCol w:w="1983"/>
                    <w:gridCol w:w="3112"/>
                  </w:tblGrid>
                  <w:tr w:rsidR="00F22F94">
                    <w:trPr>
                      <w:trHeight w:val="871"/>
                    </w:trPr>
                    <w:tc>
                      <w:tcPr>
                        <w:tcW w:w="514" w:type="dxa"/>
                        <w:tcBorders>
                          <w:top w:val="nil"/>
                        </w:tcBorders>
                        <w:shd w:val="clear" w:color="auto" w:fill="E1E0E1"/>
                      </w:tcPr>
                      <w:p w:rsidR="00F22F94" w:rsidRDefault="00F22F94">
                        <w:pPr>
                          <w:pStyle w:val="TableParagraph"/>
                          <w:spacing w:before="73"/>
                          <w:rPr>
                            <w:sz w:val="18"/>
                          </w:rPr>
                        </w:pPr>
                        <w:r>
                          <w:rPr>
                            <w:spacing w:val="-5"/>
                            <w:sz w:val="18"/>
                          </w:rPr>
                          <w:t>51</w:t>
                        </w:r>
                      </w:p>
                    </w:tc>
                    <w:tc>
                      <w:tcPr>
                        <w:tcW w:w="3061" w:type="dxa"/>
                        <w:tcBorders>
                          <w:top w:val="nil"/>
                        </w:tcBorders>
                        <w:shd w:val="clear" w:color="auto" w:fill="E1E0E1"/>
                      </w:tcPr>
                      <w:p w:rsidR="00F22F94" w:rsidRDefault="00F22F94">
                        <w:pPr>
                          <w:pStyle w:val="TableParagraph"/>
                          <w:spacing w:before="73" w:line="254" w:lineRule="auto"/>
                          <w:ind w:right="366"/>
                          <w:rPr>
                            <w:sz w:val="18"/>
                          </w:rPr>
                        </w:pPr>
                        <w:r>
                          <w:rPr>
                            <w:spacing w:val="-2"/>
                            <w:w w:val="105"/>
                            <w:sz w:val="18"/>
                          </w:rPr>
                          <w:t>Hawkesbury</w:t>
                        </w:r>
                        <w:r>
                          <w:rPr>
                            <w:spacing w:val="-12"/>
                            <w:w w:val="105"/>
                            <w:sz w:val="18"/>
                          </w:rPr>
                          <w:t xml:space="preserve"> </w:t>
                        </w:r>
                        <w:r>
                          <w:rPr>
                            <w:spacing w:val="-2"/>
                            <w:w w:val="105"/>
                            <w:sz w:val="18"/>
                          </w:rPr>
                          <w:t>Nepean</w:t>
                        </w:r>
                        <w:r>
                          <w:rPr>
                            <w:spacing w:val="-11"/>
                            <w:w w:val="105"/>
                            <w:sz w:val="18"/>
                          </w:rPr>
                          <w:t xml:space="preserve"> </w:t>
                        </w:r>
                        <w:r>
                          <w:rPr>
                            <w:spacing w:val="-2"/>
                            <w:w w:val="105"/>
                            <w:sz w:val="18"/>
                          </w:rPr>
                          <w:t>floodplain implement</w:t>
                        </w:r>
                        <w:r>
                          <w:rPr>
                            <w:spacing w:val="-1"/>
                            <w:w w:val="105"/>
                            <w:sz w:val="18"/>
                          </w:rPr>
                          <w:t xml:space="preserve"> </w:t>
                        </w:r>
                        <w:r>
                          <w:rPr>
                            <w:spacing w:val="-2"/>
                            <w:w w:val="105"/>
                            <w:sz w:val="18"/>
                          </w:rPr>
                          <w:t>mitigation</w:t>
                        </w:r>
                        <w:r>
                          <w:rPr>
                            <w:spacing w:val="-1"/>
                            <w:w w:val="105"/>
                            <w:sz w:val="18"/>
                          </w:rPr>
                          <w:t xml:space="preserve"> </w:t>
                        </w:r>
                        <w:r>
                          <w:rPr>
                            <w:spacing w:val="-5"/>
                            <w:w w:val="105"/>
                            <w:sz w:val="18"/>
                          </w:rPr>
                          <w:t>measures</w:t>
                        </w:r>
                      </w:p>
                    </w:tc>
                    <w:tc>
                      <w:tcPr>
                        <w:tcW w:w="1133" w:type="dxa"/>
                        <w:tcBorders>
                          <w:top w:val="nil"/>
                        </w:tcBorders>
                        <w:shd w:val="clear" w:color="auto" w:fill="E1E0E1"/>
                      </w:tcPr>
                      <w:p w:rsidR="00F22F94" w:rsidRDefault="00F22F94">
                        <w:pPr>
                          <w:pStyle w:val="TableParagraph"/>
                          <w:spacing w:before="77"/>
                          <w:ind w:left="114"/>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983" w:type="dxa"/>
                        <w:tcBorders>
                          <w:top w:val="nil"/>
                        </w:tcBorders>
                        <w:shd w:val="clear" w:color="auto" w:fill="E1E0E1"/>
                      </w:tcPr>
                      <w:p w:rsidR="00F22F94" w:rsidRDefault="00F22F94">
                        <w:pPr>
                          <w:pStyle w:val="TableParagraph"/>
                          <w:spacing w:before="77"/>
                          <w:ind w:left="115"/>
                          <w:rPr>
                            <w:sz w:val="16"/>
                          </w:rPr>
                        </w:pPr>
                        <w:r>
                          <w:rPr>
                            <w:w w:val="95"/>
                            <w:sz w:val="16"/>
                          </w:rPr>
                          <w:t>Major</w:t>
                        </w:r>
                        <w:r>
                          <w:rPr>
                            <w:spacing w:val="-2"/>
                            <w:sz w:val="16"/>
                          </w:rPr>
                          <w:t xml:space="preserve"> </w:t>
                        </w:r>
                        <w:r>
                          <w:rPr>
                            <w:spacing w:val="-2"/>
                            <w:w w:val="95"/>
                            <w:sz w:val="16"/>
                          </w:rPr>
                          <w:t>project</w:t>
                        </w:r>
                      </w:p>
                    </w:tc>
                    <w:tc>
                      <w:tcPr>
                        <w:tcW w:w="3112" w:type="dxa"/>
                        <w:tcBorders>
                          <w:top w:val="nil"/>
                        </w:tcBorders>
                        <w:shd w:val="clear" w:color="auto" w:fill="E1E0E1"/>
                      </w:tcPr>
                      <w:p w:rsidR="00F22F94" w:rsidRDefault="00F22F94">
                        <w:pPr>
                          <w:pStyle w:val="TableParagraph"/>
                          <w:spacing w:before="80" w:line="235" w:lineRule="auto"/>
                          <w:ind w:left="116" w:right="94"/>
                          <w:rPr>
                            <w:sz w:val="16"/>
                          </w:rPr>
                        </w:pPr>
                        <w:r>
                          <w:rPr>
                            <w:spacing w:val="-2"/>
                            <w:sz w:val="16"/>
                          </w:rPr>
                          <w:t>Scoping</w:t>
                        </w:r>
                        <w:r>
                          <w:rPr>
                            <w:spacing w:val="-7"/>
                            <w:sz w:val="16"/>
                          </w:rPr>
                          <w:t xml:space="preserve"> </w:t>
                        </w:r>
                        <w:r>
                          <w:rPr>
                            <w:spacing w:val="-2"/>
                            <w:sz w:val="16"/>
                          </w:rPr>
                          <w:t>of</w:t>
                        </w:r>
                        <w:r>
                          <w:rPr>
                            <w:spacing w:val="-7"/>
                            <w:sz w:val="16"/>
                          </w:rPr>
                          <w:t xml:space="preserve"> </w:t>
                        </w:r>
                        <w:r>
                          <w:rPr>
                            <w:spacing w:val="-2"/>
                            <w:sz w:val="16"/>
                          </w:rPr>
                          <w:t>$500</w:t>
                        </w:r>
                        <w:r>
                          <w:rPr>
                            <w:spacing w:val="-7"/>
                            <w:sz w:val="16"/>
                          </w:rPr>
                          <w:t xml:space="preserve"> </w:t>
                        </w:r>
                        <w:r>
                          <w:rPr>
                            <w:spacing w:val="-2"/>
                            <w:sz w:val="16"/>
                          </w:rPr>
                          <w:t>million,</w:t>
                        </w:r>
                        <w:r>
                          <w:rPr>
                            <w:spacing w:val="-7"/>
                            <w:sz w:val="16"/>
                          </w:rPr>
                          <w:t xml:space="preserve"> </w:t>
                        </w:r>
                        <w:r>
                          <w:rPr>
                            <w:spacing w:val="-2"/>
                            <w:sz w:val="16"/>
                          </w:rPr>
                          <w:t>depending</w:t>
                        </w:r>
                        <w:r>
                          <w:rPr>
                            <w:spacing w:val="-7"/>
                            <w:sz w:val="16"/>
                          </w:rPr>
                          <w:t xml:space="preserve"> </w:t>
                        </w:r>
                        <w:r>
                          <w:rPr>
                            <w:spacing w:val="-2"/>
                            <w:sz w:val="16"/>
                          </w:rPr>
                          <w:t xml:space="preserve">on </w:t>
                        </w:r>
                        <w:r>
                          <w:rPr>
                            <w:sz w:val="16"/>
                          </w:rPr>
                          <w:t>option approved. Costs recoverable through user charges if included in regulated asset base.</w:t>
                        </w:r>
                      </w:p>
                    </w:tc>
                  </w:tr>
                  <w:tr w:rsidR="00F22F94">
                    <w:trPr>
                      <w:trHeight w:val="555"/>
                    </w:trPr>
                    <w:tc>
                      <w:tcPr>
                        <w:tcW w:w="514" w:type="dxa"/>
                        <w:shd w:val="clear" w:color="auto" w:fill="E1E0E1"/>
                      </w:tcPr>
                      <w:p w:rsidR="00F22F94" w:rsidRDefault="00F22F94">
                        <w:pPr>
                          <w:pStyle w:val="TableParagraph"/>
                          <w:spacing w:before="63"/>
                          <w:rPr>
                            <w:sz w:val="18"/>
                          </w:rPr>
                        </w:pPr>
                        <w:r>
                          <w:rPr>
                            <w:spacing w:val="-5"/>
                            <w:sz w:val="18"/>
                          </w:rPr>
                          <w:t>52</w:t>
                        </w:r>
                      </w:p>
                    </w:tc>
                    <w:tc>
                      <w:tcPr>
                        <w:tcW w:w="3061" w:type="dxa"/>
                        <w:shd w:val="clear" w:color="auto" w:fill="E1E0E1"/>
                      </w:tcPr>
                      <w:p w:rsidR="00F22F94" w:rsidRDefault="00F22F94">
                        <w:pPr>
                          <w:pStyle w:val="TableParagraph"/>
                          <w:spacing w:before="63" w:line="254" w:lineRule="auto"/>
                          <w:ind w:right="88"/>
                          <w:rPr>
                            <w:sz w:val="18"/>
                          </w:rPr>
                        </w:pPr>
                        <w:r>
                          <w:rPr>
                            <w:spacing w:val="-2"/>
                            <w:w w:val="105"/>
                            <w:sz w:val="18"/>
                          </w:rPr>
                          <w:t>Merge</w:t>
                        </w:r>
                        <w:r>
                          <w:rPr>
                            <w:spacing w:val="-12"/>
                            <w:w w:val="105"/>
                            <w:sz w:val="18"/>
                          </w:rPr>
                          <w:t xml:space="preserve"> </w:t>
                        </w:r>
                        <w:r>
                          <w:rPr>
                            <w:spacing w:val="-2"/>
                            <w:w w:val="105"/>
                            <w:sz w:val="18"/>
                          </w:rPr>
                          <w:t>regional</w:t>
                        </w:r>
                        <w:r>
                          <w:rPr>
                            <w:spacing w:val="-11"/>
                            <w:w w:val="105"/>
                            <w:sz w:val="18"/>
                          </w:rPr>
                          <w:t xml:space="preserve"> </w:t>
                        </w:r>
                        <w:r>
                          <w:rPr>
                            <w:spacing w:val="-2"/>
                            <w:w w:val="105"/>
                            <w:sz w:val="18"/>
                          </w:rPr>
                          <w:t>water</w:t>
                        </w:r>
                        <w:r>
                          <w:rPr>
                            <w:spacing w:val="-11"/>
                            <w:w w:val="105"/>
                            <w:sz w:val="18"/>
                          </w:rPr>
                          <w:t xml:space="preserve"> </w:t>
                        </w:r>
                        <w:r>
                          <w:rPr>
                            <w:spacing w:val="-2"/>
                            <w:w w:val="105"/>
                            <w:sz w:val="18"/>
                          </w:rPr>
                          <w:t xml:space="preserve">authorities </w:t>
                        </w:r>
                        <w:r>
                          <w:rPr>
                            <w:w w:val="105"/>
                            <w:sz w:val="18"/>
                          </w:rPr>
                          <w:t>from 105 to around 30</w:t>
                        </w:r>
                      </w:p>
                    </w:tc>
                    <w:tc>
                      <w:tcPr>
                        <w:tcW w:w="1133" w:type="dxa"/>
                        <w:shd w:val="clear" w:color="auto" w:fill="E1E0E1"/>
                      </w:tcPr>
                      <w:p w:rsidR="00F22F94" w:rsidRDefault="00F22F94">
                        <w:pPr>
                          <w:pStyle w:val="TableParagraph"/>
                          <w:ind w:left="114"/>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983" w:type="dxa"/>
                        <w:shd w:val="clear" w:color="auto" w:fill="E1E0E1"/>
                      </w:tcPr>
                      <w:p w:rsidR="00F22F94" w:rsidRDefault="00F22F94">
                        <w:pPr>
                          <w:pStyle w:val="TableParagraph"/>
                          <w:ind w:left="115"/>
                          <w:rPr>
                            <w:sz w:val="16"/>
                          </w:rPr>
                        </w:pPr>
                        <w:r>
                          <w:rPr>
                            <w:spacing w:val="-2"/>
                            <w:sz w:val="16"/>
                          </w:rPr>
                          <w:t>Review</w:t>
                        </w:r>
                      </w:p>
                    </w:tc>
                    <w:tc>
                      <w:tcPr>
                        <w:tcW w:w="3112" w:type="dxa"/>
                        <w:shd w:val="clear" w:color="auto" w:fill="E1E0E1"/>
                      </w:tcPr>
                      <w:p w:rsidR="00F22F94" w:rsidRDefault="00F22F94">
                        <w:pPr>
                          <w:pStyle w:val="TableParagraph"/>
                          <w:spacing w:before="70" w:line="235" w:lineRule="auto"/>
                          <w:ind w:left="116" w:right="94"/>
                          <w:rPr>
                            <w:sz w:val="16"/>
                          </w:rPr>
                        </w:pPr>
                        <w:r>
                          <w:rPr>
                            <w:w w:val="95"/>
                            <w:sz w:val="16"/>
                          </w:rPr>
                          <w:t>Assume</w:t>
                        </w:r>
                        <w:r>
                          <w:rPr>
                            <w:spacing w:val="-7"/>
                            <w:w w:val="95"/>
                            <w:sz w:val="16"/>
                          </w:rPr>
                          <w:t xml:space="preserve"> </w:t>
                        </w:r>
                        <w:r>
                          <w:rPr>
                            <w:w w:val="95"/>
                            <w:sz w:val="16"/>
                          </w:rPr>
                          <w:t>revenue</w:t>
                        </w:r>
                        <w:r>
                          <w:rPr>
                            <w:spacing w:val="-7"/>
                            <w:w w:val="95"/>
                            <w:sz w:val="16"/>
                          </w:rPr>
                          <w:t xml:space="preserve"> </w:t>
                        </w:r>
                        <w:r>
                          <w:rPr>
                            <w:w w:val="95"/>
                            <w:sz w:val="16"/>
                          </w:rPr>
                          <w:t>neutrality</w:t>
                        </w:r>
                        <w:r>
                          <w:rPr>
                            <w:spacing w:val="-7"/>
                            <w:w w:val="95"/>
                            <w:sz w:val="16"/>
                          </w:rPr>
                          <w:t xml:space="preserve"> </w:t>
                        </w:r>
                        <w:r>
                          <w:rPr>
                            <w:w w:val="95"/>
                            <w:sz w:val="16"/>
                          </w:rPr>
                          <w:t xml:space="preserve">for </w:t>
                        </w:r>
                        <w:r>
                          <w:rPr>
                            <w:spacing w:val="-2"/>
                            <w:sz w:val="16"/>
                          </w:rPr>
                          <w:t>Government.</w:t>
                        </w:r>
                      </w:p>
                    </w:tc>
                  </w:tr>
                  <w:tr w:rsidR="00F22F94">
                    <w:trPr>
                      <w:trHeight w:val="775"/>
                    </w:trPr>
                    <w:tc>
                      <w:tcPr>
                        <w:tcW w:w="514" w:type="dxa"/>
                        <w:shd w:val="clear" w:color="auto" w:fill="E1E0E1"/>
                      </w:tcPr>
                      <w:p w:rsidR="00F22F94" w:rsidRDefault="00F22F94">
                        <w:pPr>
                          <w:pStyle w:val="TableParagraph"/>
                          <w:spacing w:before="63"/>
                          <w:rPr>
                            <w:sz w:val="18"/>
                          </w:rPr>
                        </w:pPr>
                        <w:r>
                          <w:rPr>
                            <w:spacing w:val="-5"/>
                            <w:sz w:val="18"/>
                          </w:rPr>
                          <w:t>53</w:t>
                        </w:r>
                      </w:p>
                    </w:tc>
                    <w:tc>
                      <w:tcPr>
                        <w:tcW w:w="3061" w:type="dxa"/>
                        <w:shd w:val="clear" w:color="auto" w:fill="E1E0E1"/>
                      </w:tcPr>
                      <w:p w:rsidR="00F22F94" w:rsidRDefault="00F22F94">
                        <w:pPr>
                          <w:pStyle w:val="TableParagraph"/>
                          <w:spacing w:before="63" w:line="254" w:lineRule="auto"/>
                          <w:ind w:right="88"/>
                          <w:rPr>
                            <w:sz w:val="18"/>
                          </w:rPr>
                        </w:pPr>
                        <w:r>
                          <w:rPr>
                            <w:spacing w:val="-2"/>
                            <w:w w:val="105"/>
                            <w:sz w:val="18"/>
                          </w:rPr>
                          <w:t>Water</w:t>
                        </w:r>
                        <w:r>
                          <w:rPr>
                            <w:spacing w:val="-12"/>
                            <w:w w:val="105"/>
                            <w:sz w:val="18"/>
                          </w:rPr>
                          <w:t xml:space="preserve"> </w:t>
                        </w:r>
                        <w:r>
                          <w:rPr>
                            <w:spacing w:val="-2"/>
                            <w:w w:val="105"/>
                            <w:sz w:val="18"/>
                          </w:rPr>
                          <w:t>and</w:t>
                        </w:r>
                        <w:r>
                          <w:rPr>
                            <w:spacing w:val="-11"/>
                            <w:w w:val="105"/>
                            <w:sz w:val="18"/>
                          </w:rPr>
                          <w:t xml:space="preserve"> </w:t>
                        </w:r>
                        <w:r>
                          <w:rPr>
                            <w:spacing w:val="-2"/>
                            <w:w w:val="105"/>
                            <w:sz w:val="18"/>
                          </w:rPr>
                          <w:t>wastewater</w:t>
                        </w:r>
                        <w:r>
                          <w:rPr>
                            <w:spacing w:val="-11"/>
                            <w:w w:val="105"/>
                            <w:sz w:val="18"/>
                          </w:rPr>
                          <w:t xml:space="preserve"> </w:t>
                        </w:r>
                        <w:r>
                          <w:rPr>
                            <w:spacing w:val="-2"/>
                            <w:w w:val="105"/>
                            <w:sz w:val="18"/>
                          </w:rPr>
                          <w:t>upgrades</w:t>
                        </w:r>
                        <w:r>
                          <w:rPr>
                            <w:spacing w:val="-11"/>
                            <w:w w:val="105"/>
                            <w:sz w:val="18"/>
                          </w:rPr>
                          <w:t xml:space="preserve"> </w:t>
                        </w:r>
                        <w:r>
                          <w:rPr>
                            <w:spacing w:val="-2"/>
                            <w:w w:val="105"/>
                            <w:sz w:val="18"/>
                          </w:rPr>
                          <w:t xml:space="preserve">in </w:t>
                        </w:r>
                        <w:r>
                          <w:rPr>
                            <w:w w:val="105"/>
                            <w:sz w:val="18"/>
                          </w:rPr>
                          <w:t xml:space="preserve">regional towns to meet national </w:t>
                        </w:r>
                        <w:r>
                          <w:rPr>
                            <w:spacing w:val="-2"/>
                            <w:w w:val="105"/>
                            <w:sz w:val="18"/>
                          </w:rPr>
                          <w:t>standards</w:t>
                        </w:r>
                      </w:p>
                    </w:tc>
                    <w:tc>
                      <w:tcPr>
                        <w:tcW w:w="1133" w:type="dxa"/>
                        <w:shd w:val="clear" w:color="auto" w:fill="E1E0E1"/>
                      </w:tcPr>
                      <w:p w:rsidR="00F22F94" w:rsidRDefault="00F22F94">
                        <w:pPr>
                          <w:pStyle w:val="TableParagraph"/>
                          <w:ind w:left="114"/>
                          <w:rPr>
                            <w:sz w:val="16"/>
                          </w:rPr>
                        </w:pPr>
                        <w:r>
                          <w:rPr>
                            <w:sz w:val="16"/>
                          </w:rPr>
                          <w:t>5</w:t>
                        </w:r>
                        <w:r>
                          <w:rPr>
                            <w:spacing w:val="-10"/>
                            <w:sz w:val="16"/>
                          </w:rPr>
                          <w:t xml:space="preserve"> </w:t>
                        </w:r>
                        <w:r>
                          <w:rPr>
                            <w:sz w:val="16"/>
                          </w:rPr>
                          <w:t>–</w:t>
                        </w:r>
                        <w:r>
                          <w:rPr>
                            <w:spacing w:val="-9"/>
                            <w:sz w:val="16"/>
                          </w:rPr>
                          <w:t xml:space="preserve"> </w:t>
                        </w:r>
                        <w:r>
                          <w:rPr>
                            <w:spacing w:val="-5"/>
                            <w:sz w:val="16"/>
                          </w:rPr>
                          <w:t>20</w:t>
                        </w:r>
                      </w:p>
                    </w:tc>
                    <w:tc>
                      <w:tcPr>
                        <w:tcW w:w="1983" w:type="dxa"/>
                        <w:shd w:val="clear" w:color="auto" w:fill="E1E0E1"/>
                      </w:tcPr>
                      <w:p w:rsidR="00F22F94" w:rsidRDefault="00F22F94">
                        <w:pPr>
                          <w:pStyle w:val="TableParagraph"/>
                          <w:ind w:left="115"/>
                          <w:rPr>
                            <w:sz w:val="16"/>
                          </w:rPr>
                        </w:pPr>
                        <w:r>
                          <w:rPr>
                            <w:spacing w:val="-2"/>
                            <w:sz w:val="16"/>
                          </w:rPr>
                          <w:t>Program</w:t>
                        </w:r>
                      </w:p>
                    </w:tc>
                    <w:tc>
                      <w:tcPr>
                        <w:tcW w:w="3112" w:type="dxa"/>
                        <w:shd w:val="clear" w:color="auto" w:fill="E1E0E1"/>
                      </w:tcPr>
                      <w:p w:rsidR="00F22F94" w:rsidRDefault="00F22F94">
                        <w:pPr>
                          <w:pStyle w:val="TableParagraph"/>
                          <w:spacing w:before="70" w:line="235" w:lineRule="auto"/>
                          <w:ind w:left="116" w:right="94"/>
                          <w:rPr>
                            <w:sz w:val="16"/>
                          </w:rPr>
                        </w:pPr>
                        <w:r>
                          <w:rPr>
                            <w:spacing w:val="-2"/>
                            <w:sz w:val="16"/>
                          </w:rPr>
                          <w:t>Scoping</w:t>
                        </w:r>
                        <w:r>
                          <w:rPr>
                            <w:spacing w:val="-7"/>
                            <w:sz w:val="16"/>
                          </w:rPr>
                          <w:t xml:space="preserve"> </w:t>
                        </w:r>
                        <w:r>
                          <w:rPr>
                            <w:spacing w:val="-2"/>
                            <w:sz w:val="16"/>
                          </w:rPr>
                          <w:t>of</w:t>
                        </w:r>
                        <w:r>
                          <w:rPr>
                            <w:spacing w:val="-7"/>
                            <w:sz w:val="16"/>
                          </w:rPr>
                          <w:t xml:space="preserve"> </w:t>
                        </w:r>
                        <w:r>
                          <w:rPr>
                            <w:spacing w:val="-2"/>
                            <w:sz w:val="16"/>
                          </w:rPr>
                          <w:t>$700</w:t>
                        </w:r>
                        <w:r>
                          <w:rPr>
                            <w:spacing w:val="-7"/>
                            <w:sz w:val="16"/>
                          </w:rPr>
                          <w:t xml:space="preserve"> </w:t>
                        </w:r>
                        <w:r>
                          <w:rPr>
                            <w:spacing w:val="-2"/>
                            <w:sz w:val="16"/>
                          </w:rPr>
                          <w:t>million,</w:t>
                        </w:r>
                        <w:r>
                          <w:rPr>
                            <w:spacing w:val="-7"/>
                            <w:sz w:val="16"/>
                          </w:rPr>
                          <w:t xml:space="preserve"> </w:t>
                        </w:r>
                        <w:r>
                          <w:rPr>
                            <w:spacing w:val="-2"/>
                            <w:sz w:val="16"/>
                          </w:rPr>
                          <w:t>of</w:t>
                        </w:r>
                        <w:r>
                          <w:rPr>
                            <w:spacing w:val="-7"/>
                            <w:sz w:val="16"/>
                          </w:rPr>
                          <w:t xml:space="preserve"> </w:t>
                        </w:r>
                        <w:r>
                          <w:rPr>
                            <w:spacing w:val="-2"/>
                            <w:sz w:val="16"/>
                          </w:rPr>
                          <w:t>which</w:t>
                        </w:r>
                        <w:r>
                          <w:rPr>
                            <w:spacing w:val="-7"/>
                            <w:sz w:val="16"/>
                          </w:rPr>
                          <w:t xml:space="preserve"> </w:t>
                        </w:r>
                        <w:r>
                          <w:rPr>
                            <w:spacing w:val="-2"/>
                            <w:sz w:val="16"/>
                          </w:rPr>
                          <w:t xml:space="preserve">$200 </w:t>
                        </w:r>
                        <w:r>
                          <w:rPr>
                            <w:sz w:val="16"/>
                          </w:rPr>
                          <w:t>million assumed to be user funded.</w:t>
                        </w:r>
                      </w:p>
                    </w:tc>
                  </w:tr>
                  <w:tr w:rsidR="00F22F94">
                    <w:trPr>
                      <w:trHeight w:val="555"/>
                    </w:trPr>
                    <w:tc>
                      <w:tcPr>
                        <w:tcW w:w="514" w:type="dxa"/>
                        <w:shd w:val="clear" w:color="auto" w:fill="E1E0E1"/>
                      </w:tcPr>
                      <w:p w:rsidR="00F22F94" w:rsidRDefault="00F22F94">
                        <w:pPr>
                          <w:pStyle w:val="TableParagraph"/>
                          <w:spacing w:before="63"/>
                          <w:rPr>
                            <w:sz w:val="18"/>
                          </w:rPr>
                        </w:pPr>
                        <w:r>
                          <w:rPr>
                            <w:spacing w:val="-5"/>
                            <w:sz w:val="18"/>
                          </w:rPr>
                          <w:t>54</w:t>
                        </w:r>
                      </w:p>
                    </w:tc>
                    <w:tc>
                      <w:tcPr>
                        <w:tcW w:w="3061" w:type="dxa"/>
                        <w:shd w:val="clear" w:color="auto" w:fill="E1E0E1"/>
                      </w:tcPr>
                      <w:p w:rsidR="00F22F94" w:rsidRDefault="00F22F94">
                        <w:pPr>
                          <w:pStyle w:val="TableParagraph"/>
                          <w:spacing w:before="63" w:line="254" w:lineRule="auto"/>
                          <w:ind w:right="366"/>
                          <w:rPr>
                            <w:sz w:val="18"/>
                          </w:rPr>
                        </w:pPr>
                        <w:r>
                          <w:rPr>
                            <w:spacing w:val="-2"/>
                            <w:w w:val="105"/>
                            <w:sz w:val="18"/>
                          </w:rPr>
                          <w:t>Regional</w:t>
                        </w:r>
                        <w:r>
                          <w:rPr>
                            <w:spacing w:val="-12"/>
                            <w:w w:val="105"/>
                            <w:sz w:val="18"/>
                          </w:rPr>
                          <w:t xml:space="preserve"> </w:t>
                        </w:r>
                        <w:r>
                          <w:rPr>
                            <w:spacing w:val="-2"/>
                            <w:w w:val="105"/>
                            <w:sz w:val="18"/>
                          </w:rPr>
                          <w:t>dam</w:t>
                        </w:r>
                        <w:r>
                          <w:rPr>
                            <w:spacing w:val="-11"/>
                            <w:w w:val="105"/>
                            <w:sz w:val="18"/>
                          </w:rPr>
                          <w:t xml:space="preserve"> </w:t>
                        </w:r>
                        <w:r>
                          <w:rPr>
                            <w:spacing w:val="-2"/>
                            <w:w w:val="105"/>
                            <w:sz w:val="18"/>
                          </w:rPr>
                          <w:t>construction</w:t>
                        </w:r>
                        <w:r>
                          <w:rPr>
                            <w:spacing w:val="-11"/>
                            <w:w w:val="105"/>
                            <w:sz w:val="18"/>
                          </w:rPr>
                          <w:t xml:space="preserve"> </w:t>
                        </w:r>
                        <w:r>
                          <w:rPr>
                            <w:spacing w:val="-2"/>
                            <w:w w:val="105"/>
                            <w:sz w:val="18"/>
                          </w:rPr>
                          <w:t xml:space="preserve">and </w:t>
                        </w:r>
                        <w:r>
                          <w:rPr>
                            <w:w w:val="105"/>
                            <w:sz w:val="18"/>
                          </w:rPr>
                          <w:t>safety</w:t>
                        </w:r>
                        <w:r>
                          <w:rPr>
                            <w:spacing w:val="-1"/>
                            <w:w w:val="105"/>
                            <w:sz w:val="18"/>
                          </w:rPr>
                          <w:t xml:space="preserve"> </w:t>
                        </w:r>
                        <w:r>
                          <w:rPr>
                            <w:w w:val="105"/>
                            <w:sz w:val="18"/>
                          </w:rPr>
                          <w:t>upgrades</w:t>
                        </w:r>
                      </w:p>
                    </w:tc>
                    <w:tc>
                      <w:tcPr>
                        <w:tcW w:w="1133" w:type="dxa"/>
                        <w:shd w:val="clear" w:color="auto" w:fill="E1E0E1"/>
                      </w:tcPr>
                      <w:p w:rsidR="00F22F94" w:rsidRDefault="00F22F94">
                        <w:pPr>
                          <w:pStyle w:val="TableParagraph"/>
                          <w:ind w:left="114"/>
                          <w:rPr>
                            <w:sz w:val="16"/>
                          </w:rPr>
                        </w:pPr>
                        <w:r>
                          <w:rPr>
                            <w:sz w:val="16"/>
                          </w:rPr>
                          <w:t>5</w:t>
                        </w:r>
                        <w:r>
                          <w:rPr>
                            <w:spacing w:val="-10"/>
                            <w:sz w:val="16"/>
                          </w:rPr>
                          <w:t xml:space="preserve"> </w:t>
                        </w:r>
                        <w:r>
                          <w:rPr>
                            <w:sz w:val="16"/>
                          </w:rPr>
                          <w:t>–</w:t>
                        </w:r>
                        <w:r>
                          <w:rPr>
                            <w:spacing w:val="-9"/>
                            <w:sz w:val="16"/>
                          </w:rPr>
                          <w:t xml:space="preserve"> </w:t>
                        </w:r>
                        <w:r>
                          <w:rPr>
                            <w:spacing w:val="-5"/>
                            <w:sz w:val="16"/>
                          </w:rPr>
                          <w:t>20</w:t>
                        </w:r>
                      </w:p>
                    </w:tc>
                    <w:tc>
                      <w:tcPr>
                        <w:tcW w:w="1983" w:type="dxa"/>
                        <w:shd w:val="clear" w:color="auto" w:fill="E1E0E1"/>
                      </w:tcPr>
                      <w:p w:rsidR="00F22F94" w:rsidRDefault="00F22F94">
                        <w:pPr>
                          <w:pStyle w:val="TableParagraph"/>
                          <w:ind w:left="115"/>
                          <w:rPr>
                            <w:sz w:val="16"/>
                          </w:rPr>
                        </w:pPr>
                        <w:r>
                          <w:rPr>
                            <w:spacing w:val="-2"/>
                            <w:sz w:val="16"/>
                          </w:rPr>
                          <w:t>Program</w:t>
                        </w:r>
                      </w:p>
                    </w:tc>
                    <w:tc>
                      <w:tcPr>
                        <w:tcW w:w="3112" w:type="dxa"/>
                        <w:shd w:val="clear" w:color="auto" w:fill="E1E0E1"/>
                      </w:tcPr>
                      <w:p w:rsidR="00F22F94" w:rsidRDefault="00F22F94">
                        <w:pPr>
                          <w:pStyle w:val="TableParagraph"/>
                          <w:ind w:left="116"/>
                          <w:rPr>
                            <w:sz w:val="16"/>
                          </w:rPr>
                        </w:pPr>
                        <w:r>
                          <w:rPr>
                            <w:sz w:val="16"/>
                          </w:rPr>
                          <w:t>Scoping</w:t>
                        </w:r>
                        <w:r>
                          <w:rPr>
                            <w:spacing w:val="-11"/>
                            <w:sz w:val="16"/>
                          </w:rPr>
                          <w:t xml:space="preserve"> </w:t>
                        </w:r>
                        <w:r>
                          <w:rPr>
                            <w:sz w:val="16"/>
                          </w:rPr>
                          <w:t>of</w:t>
                        </w:r>
                        <w:r>
                          <w:rPr>
                            <w:spacing w:val="-10"/>
                            <w:sz w:val="16"/>
                          </w:rPr>
                          <w:t xml:space="preserve"> </w:t>
                        </w:r>
                        <w:r>
                          <w:rPr>
                            <w:sz w:val="16"/>
                          </w:rPr>
                          <w:t>$400</w:t>
                        </w:r>
                        <w:r>
                          <w:rPr>
                            <w:spacing w:val="-11"/>
                            <w:sz w:val="16"/>
                          </w:rPr>
                          <w:t xml:space="preserve"> </w:t>
                        </w:r>
                        <w:r>
                          <w:rPr>
                            <w:spacing w:val="-2"/>
                            <w:sz w:val="16"/>
                          </w:rPr>
                          <w:t>million.</w:t>
                        </w:r>
                      </w:p>
                    </w:tc>
                  </w:tr>
                  <w:tr w:rsidR="00F22F94">
                    <w:trPr>
                      <w:trHeight w:val="681"/>
                    </w:trPr>
                    <w:tc>
                      <w:tcPr>
                        <w:tcW w:w="514" w:type="dxa"/>
                        <w:tcBorders>
                          <w:left w:val="nil"/>
                        </w:tcBorders>
                        <w:shd w:val="clear" w:color="auto" w:fill="C9C8C9"/>
                      </w:tcPr>
                      <w:p w:rsidR="00F22F94" w:rsidRDefault="00F22F94">
                        <w:pPr>
                          <w:pStyle w:val="TableParagraph"/>
                          <w:spacing w:before="63"/>
                          <w:rPr>
                            <w:sz w:val="18"/>
                          </w:rPr>
                        </w:pPr>
                        <w:r>
                          <w:rPr>
                            <w:spacing w:val="-5"/>
                            <w:sz w:val="18"/>
                          </w:rPr>
                          <w:t>55</w:t>
                        </w:r>
                      </w:p>
                    </w:tc>
                    <w:tc>
                      <w:tcPr>
                        <w:tcW w:w="3061" w:type="dxa"/>
                        <w:shd w:val="clear" w:color="auto" w:fill="C9C8C9"/>
                      </w:tcPr>
                      <w:p w:rsidR="00F22F94" w:rsidRDefault="00F22F94">
                        <w:pPr>
                          <w:pStyle w:val="TableParagraph"/>
                          <w:spacing w:before="63" w:line="254" w:lineRule="auto"/>
                          <w:ind w:right="521"/>
                          <w:rPr>
                            <w:sz w:val="18"/>
                          </w:rPr>
                        </w:pPr>
                        <w:r>
                          <w:rPr>
                            <w:spacing w:val="-2"/>
                            <w:w w:val="105"/>
                            <w:sz w:val="18"/>
                          </w:rPr>
                          <w:t>Augment</w:t>
                        </w:r>
                        <w:r>
                          <w:rPr>
                            <w:spacing w:val="-12"/>
                            <w:w w:val="105"/>
                            <w:sz w:val="18"/>
                          </w:rPr>
                          <w:t xml:space="preserve"> </w:t>
                        </w:r>
                        <w:r>
                          <w:rPr>
                            <w:spacing w:val="-2"/>
                            <w:w w:val="105"/>
                            <w:sz w:val="18"/>
                          </w:rPr>
                          <w:t>Hunter</w:t>
                        </w:r>
                        <w:r>
                          <w:rPr>
                            <w:spacing w:val="-11"/>
                            <w:w w:val="105"/>
                            <w:sz w:val="18"/>
                          </w:rPr>
                          <w:t xml:space="preserve"> </w:t>
                        </w:r>
                        <w:r>
                          <w:rPr>
                            <w:spacing w:val="-2"/>
                            <w:w w:val="105"/>
                            <w:sz w:val="18"/>
                          </w:rPr>
                          <w:t>region</w:t>
                        </w:r>
                        <w:r>
                          <w:rPr>
                            <w:spacing w:val="-11"/>
                            <w:w w:val="105"/>
                            <w:sz w:val="18"/>
                          </w:rPr>
                          <w:t xml:space="preserve"> </w:t>
                        </w:r>
                        <w:r>
                          <w:rPr>
                            <w:spacing w:val="-2"/>
                            <w:w w:val="105"/>
                            <w:sz w:val="18"/>
                          </w:rPr>
                          <w:t>water supply</w:t>
                        </w:r>
                      </w:p>
                    </w:tc>
                    <w:tc>
                      <w:tcPr>
                        <w:tcW w:w="1133" w:type="dxa"/>
                        <w:shd w:val="clear" w:color="auto" w:fill="C9C8C9"/>
                      </w:tcPr>
                      <w:p w:rsidR="00F22F94" w:rsidRDefault="00F22F94">
                        <w:pPr>
                          <w:pStyle w:val="TableParagraph"/>
                          <w:ind w:left="114"/>
                          <w:rPr>
                            <w:sz w:val="16"/>
                          </w:rPr>
                        </w:pPr>
                        <w:r>
                          <w:rPr>
                            <w:sz w:val="16"/>
                          </w:rPr>
                          <w:t>5</w:t>
                        </w:r>
                        <w:r>
                          <w:rPr>
                            <w:spacing w:val="-10"/>
                            <w:sz w:val="16"/>
                          </w:rPr>
                          <w:t xml:space="preserve"> </w:t>
                        </w:r>
                        <w:r>
                          <w:rPr>
                            <w:sz w:val="16"/>
                          </w:rPr>
                          <w:t>–</w:t>
                        </w:r>
                        <w:r>
                          <w:rPr>
                            <w:spacing w:val="-9"/>
                            <w:sz w:val="16"/>
                          </w:rPr>
                          <w:t xml:space="preserve"> </w:t>
                        </w:r>
                        <w:r>
                          <w:rPr>
                            <w:spacing w:val="-5"/>
                            <w:sz w:val="16"/>
                          </w:rPr>
                          <w:t>10</w:t>
                        </w:r>
                      </w:p>
                    </w:tc>
                    <w:tc>
                      <w:tcPr>
                        <w:tcW w:w="1983" w:type="dxa"/>
                        <w:shd w:val="clear" w:color="auto" w:fill="C9C8C9"/>
                      </w:tcPr>
                      <w:p w:rsidR="00F22F94" w:rsidRDefault="00F22F94">
                        <w:pPr>
                          <w:pStyle w:val="TableParagraph"/>
                          <w:ind w:left="115"/>
                          <w:rPr>
                            <w:sz w:val="16"/>
                          </w:rPr>
                        </w:pPr>
                        <w:r>
                          <w:rPr>
                            <w:w w:val="95"/>
                            <w:sz w:val="16"/>
                          </w:rPr>
                          <w:t>Major</w:t>
                        </w:r>
                        <w:r>
                          <w:rPr>
                            <w:spacing w:val="-2"/>
                            <w:sz w:val="16"/>
                          </w:rPr>
                          <w:t xml:space="preserve"> </w:t>
                        </w:r>
                        <w:r>
                          <w:rPr>
                            <w:spacing w:val="-2"/>
                            <w:w w:val="95"/>
                            <w:sz w:val="16"/>
                          </w:rPr>
                          <w:t>project</w:t>
                        </w:r>
                      </w:p>
                    </w:tc>
                    <w:tc>
                      <w:tcPr>
                        <w:tcW w:w="3112" w:type="dxa"/>
                        <w:shd w:val="clear" w:color="auto" w:fill="C9C8C9"/>
                      </w:tcPr>
                      <w:p w:rsidR="00F22F94" w:rsidRDefault="00F22F94">
                        <w:pPr>
                          <w:pStyle w:val="TableParagraph"/>
                          <w:spacing w:before="70" w:line="235" w:lineRule="auto"/>
                          <w:ind w:left="116" w:right="94"/>
                          <w:rPr>
                            <w:sz w:val="16"/>
                          </w:rPr>
                        </w:pPr>
                        <w:r>
                          <w:rPr>
                            <w:sz w:val="16"/>
                          </w:rPr>
                          <w:t xml:space="preserve">Scoping of $500 million. Costs </w:t>
                        </w:r>
                        <w:r>
                          <w:rPr>
                            <w:w w:val="95"/>
                            <w:sz w:val="16"/>
                          </w:rPr>
                          <w:t xml:space="preserve">recoverable through user charges over </w:t>
                        </w:r>
                        <w:r>
                          <w:rPr>
                            <w:spacing w:val="-2"/>
                            <w:sz w:val="16"/>
                          </w:rPr>
                          <w:t>time.</w:t>
                        </w:r>
                      </w:p>
                    </w:tc>
                  </w:tr>
                  <w:tr w:rsidR="00F22F94">
                    <w:trPr>
                      <w:trHeight w:val="555"/>
                    </w:trPr>
                    <w:tc>
                      <w:tcPr>
                        <w:tcW w:w="514" w:type="dxa"/>
                        <w:shd w:val="clear" w:color="auto" w:fill="E1E0E1"/>
                      </w:tcPr>
                      <w:p w:rsidR="00F22F94" w:rsidRDefault="00F22F94">
                        <w:pPr>
                          <w:pStyle w:val="TableParagraph"/>
                          <w:spacing w:before="63"/>
                          <w:rPr>
                            <w:sz w:val="18"/>
                          </w:rPr>
                        </w:pPr>
                        <w:r>
                          <w:rPr>
                            <w:spacing w:val="-5"/>
                            <w:sz w:val="18"/>
                          </w:rPr>
                          <w:t>56</w:t>
                        </w:r>
                      </w:p>
                    </w:tc>
                    <w:tc>
                      <w:tcPr>
                        <w:tcW w:w="3061" w:type="dxa"/>
                        <w:shd w:val="clear" w:color="auto" w:fill="E1E0E1"/>
                      </w:tcPr>
                      <w:p w:rsidR="00F22F94" w:rsidRDefault="00F22F94">
                        <w:pPr>
                          <w:pStyle w:val="TableParagraph"/>
                          <w:spacing w:before="63" w:line="254" w:lineRule="auto"/>
                          <w:ind w:right="449"/>
                          <w:rPr>
                            <w:sz w:val="18"/>
                          </w:rPr>
                        </w:pPr>
                        <w:r>
                          <w:rPr>
                            <w:spacing w:val="-2"/>
                            <w:w w:val="105"/>
                            <w:sz w:val="18"/>
                          </w:rPr>
                          <w:t>Augment</w:t>
                        </w:r>
                        <w:r>
                          <w:rPr>
                            <w:spacing w:val="-12"/>
                            <w:w w:val="105"/>
                            <w:sz w:val="18"/>
                          </w:rPr>
                          <w:t xml:space="preserve"> </w:t>
                        </w:r>
                        <w:r>
                          <w:rPr>
                            <w:spacing w:val="-2"/>
                            <w:w w:val="105"/>
                            <w:sz w:val="18"/>
                          </w:rPr>
                          <w:t>metropolitan</w:t>
                        </w:r>
                        <w:r>
                          <w:rPr>
                            <w:spacing w:val="-11"/>
                            <w:w w:val="105"/>
                            <w:sz w:val="18"/>
                          </w:rPr>
                          <w:t xml:space="preserve"> </w:t>
                        </w:r>
                        <w:r>
                          <w:rPr>
                            <w:spacing w:val="-2"/>
                            <w:w w:val="105"/>
                            <w:sz w:val="18"/>
                          </w:rPr>
                          <w:t xml:space="preserve">Sydney </w:t>
                        </w:r>
                        <w:r>
                          <w:rPr>
                            <w:w w:val="105"/>
                            <w:sz w:val="18"/>
                          </w:rPr>
                          <w:t>water</w:t>
                        </w:r>
                        <w:r>
                          <w:rPr>
                            <w:spacing w:val="-1"/>
                            <w:w w:val="105"/>
                            <w:sz w:val="18"/>
                          </w:rPr>
                          <w:t xml:space="preserve"> </w:t>
                        </w:r>
                        <w:r>
                          <w:rPr>
                            <w:w w:val="105"/>
                            <w:sz w:val="18"/>
                          </w:rPr>
                          <w:t>supply</w:t>
                        </w:r>
                      </w:p>
                    </w:tc>
                    <w:tc>
                      <w:tcPr>
                        <w:tcW w:w="1133" w:type="dxa"/>
                        <w:shd w:val="clear" w:color="auto" w:fill="E1E0E1"/>
                      </w:tcPr>
                      <w:p w:rsidR="00F22F94" w:rsidRDefault="00F22F94">
                        <w:pPr>
                          <w:pStyle w:val="TableParagraph"/>
                          <w:ind w:left="114"/>
                          <w:rPr>
                            <w:sz w:val="16"/>
                          </w:rPr>
                        </w:pPr>
                        <w:r>
                          <w:rPr>
                            <w:w w:val="95"/>
                            <w:sz w:val="16"/>
                          </w:rPr>
                          <w:t>10</w:t>
                        </w:r>
                        <w:r>
                          <w:rPr>
                            <w:spacing w:val="-6"/>
                            <w:w w:val="95"/>
                            <w:sz w:val="16"/>
                          </w:rPr>
                          <w:t xml:space="preserve"> </w:t>
                        </w:r>
                        <w:r>
                          <w:rPr>
                            <w:w w:val="95"/>
                            <w:sz w:val="16"/>
                          </w:rPr>
                          <w:t>–</w:t>
                        </w:r>
                        <w:r>
                          <w:rPr>
                            <w:spacing w:val="-5"/>
                            <w:w w:val="95"/>
                            <w:sz w:val="16"/>
                          </w:rPr>
                          <w:t xml:space="preserve"> 20</w:t>
                        </w:r>
                      </w:p>
                    </w:tc>
                    <w:tc>
                      <w:tcPr>
                        <w:tcW w:w="1983" w:type="dxa"/>
                        <w:shd w:val="clear" w:color="auto" w:fill="E1E0E1"/>
                      </w:tcPr>
                      <w:p w:rsidR="00F22F94" w:rsidRDefault="00F22F94">
                        <w:pPr>
                          <w:pStyle w:val="TableParagraph"/>
                          <w:ind w:left="115"/>
                          <w:rPr>
                            <w:sz w:val="16"/>
                          </w:rPr>
                        </w:pPr>
                        <w:r>
                          <w:rPr>
                            <w:w w:val="95"/>
                            <w:sz w:val="16"/>
                          </w:rPr>
                          <w:t>Major</w:t>
                        </w:r>
                        <w:r>
                          <w:rPr>
                            <w:spacing w:val="-2"/>
                            <w:sz w:val="16"/>
                          </w:rPr>
                          <w:t xml:space="preserve"> </w:t>
                        </w:r>
                        <w:r>
                          <w:rPr>
                            <w:spacing w:val="-2"/>
                            <w:w w:val="95"/>
                            <w:sz w:val="16"/>
                          </w:rPr>
                          <w:t>project</w:t>
                        </w:r>
                      </w:p>
                    </w:tc>
                    <w:tc>
                      <w:tcPr>
                        <w:tcW w:w="3112" w:type="dxa"/>
                        <w:shd w:val="clear" w:color="auto" w:fill="E1E0E1"/>
                      </w:tcPr>
                      <w:p w:rsidR="00F22F94" w:rsidRDefault="00F22F94">
                        <w:pPr>
                          <w:pStyle w:val="TableParagraph"/>
                          <w:spacing w:before="70" w:line="235" w:lineRule="auto"/>
                          <w:ind w:left="116" w:right="94"/>
                          <w:rPr>
                            <w:sz w:val="16"/>
                          </w:rPr>
                        </w:pPr>
                        <w:r>
                          <w:rPr>
                            <w:sz w:val="16"/>
                          </w:rPr>
                          <w:t>No</w:t>
                        </w:r>
                        <w:r>
                          <w:rPr>
                            <w:spacing w:val="-9"/>
                            <w:sz w:val="16"/>
                          </w:rPr>
                          <w:t xml:space="preserve"> </w:t>
                        </w:r>
                        <w:r>
                          <w:rPr>
                            <w:sz w:val="16"/>
                          </w:rPr>
                          <w:t>reliable</w:t>
                        </w:r>
                        <w:r>
                          <w:rPr>
                            <w:spacing w:val="-9"/>
                            <w:sz w:val="16"/>
                          </w:rPr>
                          <w:t xml:space="preserve"> </w:t>
                        </w:r>
                        <w:r>
                          <w:rPr>
                            <w:sz w:val="16"/>
                          </w:rPr>
                          <w:t>cost</w:t>
                        </w:r>
                        <w:r>
                          <w:rPr>
                            <w:spacing w:val="-9"/>
                            <w:sz w:val="16"/>
                          </w:rPr>
                          <w:t xml:space="preserve"> </w:t>
                        </w:r>
                        <w:r>
                          <w:rPr>
                            <w:sz w:val="16"/>
                          </w:rPr>
                          <w:t>estimate</w:t>
                        </w:r>
                        <w:r>
                          <w:rPr>
                            <w:spacing w:val="-9"/>
                            <w:sz w:val="16"/>
                          </w:rPr>
                          <w:t xml:space="preserve"> </w:t>
                        </w:r>
                        <w:r>
                          <w:rPr>
                            <w:sz w:val="16"/>
                          </w:rPr>
                          <w:t>available</w:t>
                        </w:r>
                        <w:r>
                          <w:rPr>
                            <w:spacing w:val="-9"/>
                            <w:sz w:val="16"/>
                          </w:rPr>
                          <w:t xml:space="preserve"> </w:t>
                        </w:r>
                        <w:r>
                          <w:rPr>
                            <w:sz w:val="16"/>
                          </w:rPr>
                          <w:t xml:space="preserve">until </w:t>
                        </w:r>
                        <w:r>
                          <w:rPr>
                            <w:w w:val="95"/>
                            <w:sz w:val="16"/>
                          </w:rPr>
                          <w:t>next</w:t>
                        </w:r>
                        <w:r>
                          <w:rPr>
                            <w:spacing w:val="-3"/>
                            <w:w w:val="95"/>
                            <w:sz w:val="16"/>
                          </w:rPr>
                          <w:t xml:space="preserve"> </w:t>
                        </w:r>
                        <w:r>
                          <w:rPr>
                            <w:w w:val="95"/>
                            <w:sz w:val="16"/>
                          </w:rPr>
                          <w:t>revision</w:t>
                        </w:r>
                        <w:r>
                          <w:rPr>
                            <w:spacing w:val="-3"/>
                            <w:w w:val="95"/>
                            <w:sz w:val="16"/>
                          </w:rPr>
                          <w:t xml:space="preserve"> </w:t>
                        </w:r>
                        <w:r>
                          <w:rPr>
                            <w:w w:val="95"/>
                            <w:sz w:val="16"/>
                          </w:rPr>
                          <w:t>of</w:t>
                        </w:r>
                        <w:r>
                          <w:rPr>
                            <w:spacing w:val="-3"/>
                            <w:w w:val="95"/>
                            <w:sz w:val="16"/>
                          </w:rPr>
                          <w:t xml:space="preserve"> </w:t>
                        </w:r>
                        <w:r>
                          <w:rPr>
                            <w:w w:val="95"/>
                            <w:sz w:val="16"/>
                          </w:rPr>
                          <w:t>Metropolitan</w:t>
                        </w:r>
                        <w:r>
                          <w:rPr>
                            <w:spacing w:val="-3"/>
                            <w:w w:val="95"/>
                            <w:sz w:val="16"/>
                          </w:rPr>
                          <w:t xml:space="preserve"> </w:t>
                        </w:r>
                        <w:r>
                          <w:rPr>
                            <w:w w:val="95"/>
                            <w:sz w:val="16"/>
                          </w:rPr>
                          <w:t>Water</w:t>
                        </w:r>
                        <w:r>
                          <w:rPr>
                            <w:spacing w:val="-3"/>
                            <w:w w:val="95"/>
                            <w:sz w:val="16"/>
                          </w:rPr>
                          <w:t xml:space="preserve"> </w:t>
                        </w:r>
                        <w:r>
                          <w:rPr>
                            <w:w w:val="95"/>
                            <w:sz w:val="16"/>
                          </w:rPr>
                          <w:t>Plan.</w:t>
                        </w:r>
                      </w:p>
                    </w:tc>
                  </w:tr>
                </w:tbl>
                <w:p w:rsidR="00F22F94" w:rsidRDefault="00F22F94">
                  <w:pPr>
                    <w:pStyle w:val="BodyText"/>
                  </w:pPr>
                </w:p>
              </w:txbxContent>
            </v:textbox>
            <w10:wrap anchorx="page"/>
          </v:shape>
        </w:pict>
      </w:r>
      <w:r w:rsidR="00F22F94">
        <w:rPr>
          <w:b/>
          <w:color w:val="2E3092"/>
          <w:spacing w:val="-2"/>
          <w:sz w:val="16"/>
        </w:rPr>
        <w:t>Recommendation</w:t>
      </w:r>
      <w:r w:rsidR="00F22F94">
        <w:rPr>
          <w:b/>
          <w:color w:val="2E3092"/>
          <w:sz w:val="16"/>
        </w:rPr>
        <w:tab/>
        <w:t>Time</w:t>
      </w:r>
      <w:r w:rsidR="00F22F94">
        <w:rPr>
          <w:b/>
          <w:color w:val="2E3092"/>
          <w:spacing w:val="-10"/>
          <w:sz w:val="16"/>
        </w:rPr>
        <w:t xml:space="preserve"> </w:t>
      </w:r>
      <w:r w:rsidR="00F22F94">
        <w:rPr>
          <w:b/>
          <w:color w:val="2E3092"/>
          <w:spacing w:val="-2"/>
          <w:sz w:val="16"/>
        </w:rPr>
        <w:t>years</w:t>
      </w:r>
      <w:r w:rsidR="00F22F94">
        <w:rPr>
          <w:b/>
          <w:color w:val="2E3092"/>
          <w:sz w:val="16"/>
        </w:rPr>
        <w:tab/>
      </w:r>
      <w:r w:rsidR="00F22F94">
        <w:rPr>
          <w:b/>
          <w:color w:val="2E3092"/>
          <w:spacing w:val="-4"/>
          <w:sz w:val="16"/>
        </w:rPr>
        <w:t>Type</w:t>
      </w:r>
      <w:r w:rsidR="00F22F94">
        <w:rPr>
          <w:b/>
          <w:color w:val="2E3092"/>
          <w:sz w:val="16"/>
        </w:rPr>
        <w:tab/>
      </w:r>
      <w:r w:rsidR="00F22F94">
        <w:rPr>
          <w:b/>
          <w:color w:val="2E3092"/>
          <w:spacing w:val="-2"/>
          <w:sz w:val="16"/>
        </w:rPr>
        <w:t>Cost</w:t>
      </w:r>
      <w:r w:rsidR="00F22F94">
        <w:rPr>
          <w:b/>
          <w:color w:val="2E3092"/>
          <w:spacing w:val="-6"/>
          <w:sz w:val="16"/>
        </w:rPr>
        <w:t xml:space="preserve"> </w:t>
      </w:r>
      <w:r w:rsidR="00F22F94">
        <w:rPr>
          <w:b/>
          <w:color w:val="2E3092"/>
          <w:spacing w:val="-2"/>
          <w:sz w:val="16"/>
        </w:rPr>
        <w:t>and</w:t>
      </w:r>
      <w:r w:rsidR="00F22F94">
        <w:rPr>
          <w:b/>
          <w:color w:val="2E3092"/>
          <w:spacing w:val="-6"/>
          <w:sz w:val="16"/>
        </w:rPr>
        <w:t xml:space="preserve"> </w:t>
      </w:r>
      <w:r w:rsidR="00F22F94">
        <w:rPr>
          <w:b/>
          <w:color w:val="2E3092"/>
          <w:spacing w:val="-2"/>
          <w:sz w:val="16"/>
        </w:rPr>
        <w:t>funding</w:t>
      </w:r>
      <w:r w:rsidR="00F22F94">
        <w:rPr>
          <w:b/>
          <w:color w:val="2E3092"/>
          <w:spacing w:val="-6"/>
          <w:sz w:val="16"/>
        </w:rPr>
        <w:t xml:space="preserve"> </w:t>
      </w:r>
      <w:r w:rsidR="00F22F94">
        <w:rPr>
          <w:b/>
          <w:color w:val="2E3092"/>
          <w:spacing w:val="-2"/>
          <w:sz w:val="16"/>
        </w:rPr>
        <w:t>implications</w:t>
      </w:r>
    </w:p>
    <w:p w:rsidR="002C1123" w:rsidRDefault="002C1123">
      <w:pPr>
        <w:rPr>
          <w:sz w:val="16"/>
        </w:rPr>
        <w:sectPr w:rsidR="002C1123">
          <w:type w:val="continuous"/>
          <w:pgSz w:w="16840" w:h="11910" w:orient="landscape"/>
          <w:pgMar w:top="560" w:right="280" w:bottom="280" w:left="500" w:header="0" w:footer="517" w:gutter="0"/>
          <w:cols w:num="2" w:space="720" w:equalWidth="0">
            <w:col w:w="5243" w:space="40"/>
            <w:col w:w="10777"/>
          </w:cols>
        </w:sectPr>
      </w:pPr>
    </w:p>
    <w:p w:rsidR="002C1123" w:rsidRDefault="002C1123">
      <w:pPr>
        <w:pStyle w:val="BodyText"/>
        <w:rPr>
          <w:b/>
        </w:rPr>
      </w:pPr>
    </w:p>
    <w:p w:rsidR="002C1123" w:rsidRDefault="002C1123">
      <w:pPr>
        <w:sectPr w:rsidR="002C1123">
          <w:headerReference w:type="default" r:id="rId211"/>
          <w:footerReference w:type="default" r:id="rId212"/>
          <w:pgSz w:w="16840" w:h="11910" w:orient="landscape"/>
          <w:pgMar w:top="560" w:right="280" w:bottom="700" w:left="500" w:header="0" w:footer="517" w:gutter="0"/>
          <w:cols w:space="720"/>
        </w:sectPr>
      </w:pPr>
    </w:p>
    <w:p w:rsidR="002C1123" w:rsidRDefault="002060EF">
      <w:pPr>
        <w:pStyle w:val="Heading1"/>
      </w:pPr>
      <w:r>
        <w:pict>
          <v:rect id="docshape2281" o:spid="_x0000_s1775" style="position:absolute;left:0;text-align:left;margin-left:38.25pt;margin-top:80.8pt;width:502.7pt;height:417.9pt;z-index:-251456512;mso-position-horizontal-relative:page" fillcolor="#e1e0e1" stroked="f">
            <w10:wrap anchorx="page"/>
          </v:rect>
        </w:pict>
      </w:r>
      <w:bookmarkStart w:id="337" w:name="13.0_Health_infrastructure"/>
      <w:bookmarkStart w:id="338" w:name="13.1_Health_snapshot_"/>
      <w:bookmarkStart w:id="339" w:name="_bookmark239"/>
      <w:bookmarkStart w:id="340" w:name="_bookmark238"/>
      <w:bookmarkEnd w:id="337"/>
      <w:bookmarkEnd w:id="338"/>
      <w:bookmarkEnd w:id="339"/>
      <w:bookmarkEnd w:id="340"/>
      <w:r w:rsidR="00F22F94">
        <w:rPr>
          <w:color w:val="2E3092"/>
          <w:spacing w:val="-6"/>
          <w:w w:val="55"/>
        </w:rPr>
        <w:t>13.0</w:t>
      </w:r>
      <w:r w:rsidR="00F22F94">
        <w:rPr>
          <w:color w:val="2E3092"/>
          <w:spacing w:val="-18"/>
          <w:w w:val="55"/>
        </w:rPr>
        <w:t xml:space="preserve"> </w:t>
      </w:r>
      <w:r w:rsidR="00F22F94">
        <w:rPr>
          <w:color w:val="00AEEF"/>
          <w:spacing w:val="-6"/>
          <w:w w:val="55"/>
        </w:rPr>
        <w:t>Health</w:t>
      </w:r>
      <w:r w:rsidR="00F22F94">
        <w:rPr>
          <w:color w:val="00AEEF"/>
          <w:spacing w:val="-22"/>
          <w:w w:val="55"/>
        </w:rPr>
        <w:t xml:space="preserve"> </w:t>
      </w:r>
      <w:r w:rsidR="00F22F94">
        <w:rPr>
          <w:color w:val="00AEEF"/>
          <w:spacing w:val="-6"/>
          <w:w w:val="55"/>
        </w:rPr>
        <w:t>infrastructure</w:t>
      </w:r>
    </w:p>
    <w:p w:rsidR="002C1123" w:rsidRDefault="00F22F94">
      <w:pPr>
        <w:pStyle w:val="Heading5"/>
        <w:spacing w:before="210"/>
        <w:ind w:left="492" w:firstLine="0"/>
      </w:pPr>
      <w:r>
        <w:rPr>
          <w:color w:val="00AEEF"/>
          <w:spacing w:val="-2"/>
        </w:rPr>
        <w:t>Summary</w:t>
      </w:r>
    </w:p>
    <w:p w:rsidR="002C1123" w:rsidRDefault="00F22F94">
      <w:pPr>
        <w:rPr>
          <w:b/>
          <w:sz w:val="32"/>
        </w:rPr>
      </w:pPr>
      <w:r>
        <w:br w:type="column"/>
      </w:r>
    </w:p>
    <w:p w:rsidR="002C1123" w:rsidRDefault="002C1123">
      <w:pPr>
        <w:pStyle w:val="BodyText"/>
        <w:rPr>
          <w:b/>
          <w:sz w:val="32"/>
        </w:rPr>
      </w:pPr>
    </w:p>
    <w:p w:rsidR="002C1123" w:rsidRDefault="002C1123">
      <w:pPr>
        <w:pStyle w:val="BodyText"/>
        <w:rPr>
          <w:b/>
          <w:sz w:val="32"/>
        </w:rPr>
      </w:pPr>
    </w:p>
    <w:p w:rsidR="002C1123" w:rsidRDefault="002C1123">
      <w:pPr>
        <w:pStyle w:val="BodyText"/>
        <w:rPr>
          <w:b/>
          <w:sz w:val="32"/>
        </w:rPr>
      </w:pPr>
    </w:p>
    <w:p w:rsidR="002C1123" w:rsidRDefault="002C1123">
      <w:pPr>
        <w:pStyle w:val="BodyText"/>
        <w:spacing w:before="9"/>
        <w:rPr>
          <w:b/>
          <w:sz w:val="26"/>
        </w:rPr>
      </w:pPr>
    </w:p>
    <w:p w:rsidR="002C1123" w:rsidRDefault="00F22F94">
      <w:pPr>
        <w:pStyle w:val="Heading5"/>
        <w:numPr>
          <w:ilvl w:val="1"/>
          <w:numId w:val="49"/>
        </w:numPr>
        <w:tabs>
          <w:tab w:val="left" w:pos="1093"/>
        </w:tabs>
        <w:spacing w:before="1"/>
        <w:jc w:val="left"/>
      </w:pPr>
      <w:r>
        <w:rPr>
          <w:color w:val="00AEEF"/>
          <w:spacing w:val="-2"/>
        </w:rPr>
        <w:t>Health</w:t>
      </w:r>
      <w:r>
        <w:rPr>
          <w:color w:val="00AEEF"/>
          <w:spacing w:val="-14"/>
        </w:rPr>
        <w:t xml:space="preserve"> </w:t>
      </w:r>
      <w:r>
        <w:rPr>
          <w:color w:val="00AEEF"/>
          <w:spacing w:val="-2"/>
        </w:rPr>
        <w:t>snapshot</w:t>
      </w:r>
    </w:p>
    <w:p w:rsidR="002C1123" w:rsidRDefault="002C1123">
      <w:pPr>
        <w:sectPr w:rsidR="002C1123">
          <w:type w:val="continuous"/>
          <w:pgSz w:w="16840" w:h="11910" w:orient="landscape"/>
          <w:pgMar w:top="560" w:right="280" w:bottom="280" w:left="500" w:header="0" w:footer="517" w:gutter="0"/>
          <w:cols w:num="2" w:space="720" w:equalWidth="0">
            <w:col w:w="7766" w:space="2288"/>
            <w:col w:w="6006"/>
          </w:cols>
        </w:sectPr>
      </w:pPr>
    </w:p>
    <w:p w:rsidR="002C1123" w:rsidRDefault="00F22F94">
      <w:pPr>
        <w:pStyle w:val="ListParagraph"/>
        <w:numPr>
          <w:ilvl w:val="0"/>
          <w:numId w:val="47"/>
        </w:numPr>
        <w:tabs>
          <w:tab w:val="left" w:pos="776"/>
        </w:tabs>
        <w:spacing w:before="122" w:line="249" w:lineRule="auto"/>
        <w:ind w:right="499"/>
        <w:rPr>
          <w:sz w:val="20"/>
        </w:rPr>
      </w:pPr>
      <w:r>
        <w:rPr>
          <w:w w:val="95"/>
          <w:sz w:val="20"/>
        </w:rPr>
        <w:t>Like</w:t>
      </w:r>
      <w:r>
        <w:rPr>
          <w:spacing w:val="-4"/>
          <w:w w:val="95"/>
          <w:sz w:val="20"/>
        </w:rPr>
        <w:t xml:space="preserve"> </w:t>
      </w:r>
      <w:r>
        <w:rPr>
          <w:w w:val="95"/>
          <w:sz w:val="20"/>
        </w:rPr>
        <w:t>health</w:t>
      </w:r>
      <w:r>
        <w:rPr>
          <w:spacing w:val="-4"/>
          <w:w w:val="95"/>
          <w:sz w:val="20"/>
        </w:rPr>
        <w:t xml:space="preserve"> </w:t>
      </w:r>
      <w:r>
        <w:rPr>
          <w:w w:val="95"/>
          <w:sz w:val="20"/>
        </w:rPr>
        <w:t>systems</w:t>
      </w:r>
      <w:r>
        <w:rPr>
          <w:spacing w:val="-4"/>
          <w:w w:val="95"/>
          <w:sz w:val="20"/>
        </w:rPr>
        <w:t xml:space="preserve"> </w:t>
      </w:r>
      <w:r>
        <w:rPr>
          <w:w w:val="95"/>
          <w:sz w:val="20"/>
        </w:rPr>
        <w:t>around</w:t>
      </w:r>
      <w:r>
        <w:rPr>
          <w:spacing w:val="-4"/>
          <w:w w:val="95"/>
          <w:sz w:val="20"/>
        </w:rPr>
        <w:t xml:space="preserve"> </w:t>
      </w:r>
      <w:r>
        <w:rPr>
          <w:w w:val="95"/>
          <w:sz w:val="20"/>
        </w:rPr>
        <w:t>the</w:t>
      </w:r>
      <w:r>
        <w:rPr>
          <w:spacing w:val="-4"/>
          <w:w w:val="95"/>
          <w:sz w:val="20"/>
        </w:rPr>
        <w:t xml:space="preserve"> </w:t>
      </w:r>
      <w:r>
        <w:rPr>
          <w:w w:val="95"/>
          <w:sz w:val="20"/>
        </w:rPr>
        <w:t>world,</w:t>
      </w:r>
      <w:r>
        <w:rPr>
          <w:spacing w:val="-4"/>
          <w:w w:val="95"/>
          <w:sz w:val="20"/>
        </w:rPr>
        <w:t xml:space="preserve"> </w:t>
      </w:r>
      <w:r>
        <w:rPr>
          <w:w w:val="95"/>
          <w:sz w:val="20"/>
        </w:rPr>
        <w:t>the</w:t>
      </w:r>
      <w:r>
        <w:rPr>
          <w:spacing w:val="-4"/>
          <w:w w:val="95"/>
          <w:sz w:val="20"/>
        </w:rPr>
        <w:t xml:space="preserve"> </w:t>
      </w:r>
      <w:r>
        <w:rPr>
          <w:w w:val="95"/>
          <w:sz w:val="20"/>
        </w:rPr>
        <w:t>NSW health</w:t>
      </w:r>
      <w:r>
        <w:rPr>
          <w:spacing w:val="-7"/>
          <w:w w:val="95"/>
          <w:sz w:val="20"/>
        </w:rPr>
        <w:t xml:space="preserve"> </w:t>
      </w:r>
      <w:r>
        <w:rPr>
          <w:w w:val="95"/>
          <w:sz w:val="20"/>
        </w:rPr>
        <w:t>system</w:t>
      </w:r>
      <w:r>
        <w:rPr>
          <w:spacing w:val="-8"/>
          <w:w w:val="95"/>
          <w:sz w:val="20"/>
        </w:rPr>
        <w:t xml:space="preserve"> </w:t>
      </w:r>
      <w:r>
        <w:rPr>
          <w:w w:val="95"/>
          <w:sz w:val="20"/>
        </w:rPr>
        <w:t>is</w:t>
      </w:r>
      <w:r>
        <w:rPr>
          <w:spacing w:val="-7"/>
          <w:w w:val="95"/>
          <w:sz w:val="20"/>
        </w:rPr>
        <w:t xml:space="preserve"> </w:t>
      </w:r>
      <w:r>
        <w:rPr>
          <w:w w:val="95"/>
          <w:sz w:val="20"/>
        </w:rPr>
        <w:t>facing</w:t>
      </w:r>
      <w:r>
        <w:rPr>
          <w:spacing w:val="-7"/>
          <w:w w:val="95"/>
          <w:sz w:val="20"/>
        </w:rPr>
        <w:t xml:space="preserve"> </w:t>
      </w:r>
      <w:r>
        <w:rPr>
          <w:w w:val="95"/>
          <w:sz w:val="20"/>
        </w:rPr>
        <w:t>considerable</w:t>
      </w:r>
      <w:r>
        <w:rPr>
          <w:spacing w:val="-7"/>
          <w:w w:val="95"/>
          <w:sz w:val="20"/>
        </w:rPr>
        <w:t xml:space="preserve"> </w:t>
      </w:r>
      <w:r>
        <w:rPr>
          <w:w w:val="95"/>
          <w:sz w:val="20"/>
        </w:rPr>
        <w:t xml:space="preserve">challenges </w:t>
      </w:r>
      <w:r>
        <w:rPr>
          <w:sz w:val="20"/>
        </w:rPr>
        <w:t>to</w:t>
      </w:r>
      <w:r>
        <w:rPr>
          <w:spacing w:val="-6"/>
          <w:sz w:val="20"/>
        </w:rPr>
        <w:t xml:space="preserve"> </w:t>
      </w:r>
      <w:r>
        <w:rPr>
          <w:sz w:val="20"/>
        </w:rPr>
        <w:t>meet</w:t>
      </w:r>
      <w:r>
        <w:rPr>
          <w:spacing w:val="-6"/>
          <w:sz w:val="20"/>
        </w:rPr>
        <w:t xml:space="preserve"> </w:t>
      </w:r>
      <w:r>
        <w:rPr>
          <w:sz w:val="20"/>
        </w:rPr>
        <w:t>growing</w:t>
      </w:r>
      <w:r>
        <w:rPr>
          <w:spacing w:val="-6"/>
          <w:sz w:val="20"/>
        </w:rPr>
        <w:t xml:space="preserve"> </w:t>
      </w:r>
      <w:r>
        <w:rPr>
          <w:sz w:val="20"/>
        </w:rPr>
        <w:t>demand</w:t>
      </w:r>
      <w:r>
        <w:rPr>
          <w:spacing w:val="-6"/>
          <w:sz w:val="20"/>
        </w:rPr>
        <w:t xml:space="preserve"> </w:t>
      </w:r>
      <w:r>
        <w:rPr>
          <w:sz w:val="20"/>
        </w:rPr>
        <w:t>driven</w:t>
      </w:r>
      <w:r>
        <w:rPr>
          <w:spacing w:val="-6"/>
          <w:sz w:val="20"/>
        </w:rPr>
        <w:t xml:space="preserve"> </w:t>
      </w:r>
      <w:r>
        <w:rPr>
          <w:sz w:val="20"/>
        </w:rPr>
        <w:t>by</w:t>
      </w:r>
      <w:r>
        <w:rPr>
          <w:spacing w:val="-6"/>
          <w:sz w:val="20"/>
        </w:rPr>
        <w:t xml:space="preserve"> </w:t>
      </w:r>
      <w:r>
        <w:rPr>
          <w:sz w:val="20"/>
        </w:rPr>
        <w:t>an</w:t>
      </w:r>
      <w:r>
        <w:rPr>
          <w:spacing w:val="-6"/>
          <w:sz w:val="20"/>
        </w:rPr>
        <w:t xml:space="preserve"> </w:t>
      </w:r>
      <w:r>
        <w:rPr>
          <w:sz w:val="20"/>
        </w:rPr>
        <w:t>ageing population,</w:t>
      </w:r>
      <w:r>
        <w:rPr>
          <w:spacing w:val="-9"/>
          <w:sz w:val="20"/>
        </w:rPr>
        <w:t xml:space="preserve"> </w:t>
      </w:r>
      <w:r>
        <w:rPr>
          <w:sz w:val="20"/>
        </w:rPr>
        <w:t>lifestyle</w:t>
      </w:r>
      <w:r>
        <w:rPr>
          <w:spacing w:val="-9"/>
          <w:sz w:val="20"/>
        </w:rPr>
        <w:t xml:space="preserve"> </w:t>
      </w:r>
      <w:r>
        <w:rPr>
          <w:sz w:val="20"/>
        </w:rPr>
        <w:t>diseases</w:t>
      </w:r>
      <w:r>
        <w:rPr>
          <w:spacing w:val="-9"/>
          <w:sz w:val="20"/>
        </w:rPr>
        <w:t xml:space="preserve"> </w:t>
      </w:r>
      <w:r>
        <w:rPr>
          <w:sz w:val="20"/>
        </w:rPr>
        <w:t>and</w:t>
      </w:r>
      <w:r>
        <w:rPr>
          <w:spacing w:val="-9"/>
          <w:sz w:val="20"/>
        </w:rPr>
        <w:t xml:space="preserve"> </w:t>
      </w:r>
      <w:r>
        <w:rPr>
          <w:sz w:val="20"/>
        </w:rPr>
        <w:t>new</w:t>
      </w:r>
      <w:r>
        <w:rPr>
          <w:spacing w:val="-9"/>
          <w:sz w:val="20"/>
        </w:rPr>
        <w:t xml:space="preserve"> </w:t>
      </w:r>
      <w:r>
        <w:rPr>
          <w:sz w:val="20"/>
        </w:rPr>
        <w:t xml:space="preserve">care </w:t>
      </w:r>
      <w:r>
        <w:rPr>
          <w:spacing w:val="-2"/>
          <w:sz w:val="20"/>
        </w:rPr>
        <w:t>technologies.</w:t>
      </w:r>
    </w:p>
    <w:p w:rsidR="002C1123" w:rsidRDefault="00F22F94">
      <w:pPr>
        <w:pStyle w:val="ListParagraph"/>
        <w:numPr>
          <w:ilvl w:val="0"/>
          <w:numId w:val="47"/>
        </w:numPr>
        <w:tabs>
          <w:tab w:val="left" w:pos="776"/>
        </w:tabs>
        <w:spacing w:before="133" w:line="249" w:lineRule="auto"/>
        <w:ind w:right="11"/>
        <w:rPr>
          <w:sz w:val="20"/>
        </w:rPr>
      </w:pPr>
      <w:r>
        <w:rPr>
          <w:sz w:val="20"/>
        </w:rPr>
        <w:t>The</w:t>
      </w:r>
      <w:r>
        <w:rPr>
          <w:spacing w:val="-14"/>
          <w:sz w:val="20"/>
        </w:rPr>
        <w:t xml:space="preserve"> </w:t>
      </w:r>
      <w:r>
        <w:rPr>
          <w:sz w:val="20"/>
        </w:rPr>
        <w:t>NSW</w:t>
      </w:r>
      <w:r>
        <w:rPr>
          <w:spacing w:val="-14"/>
          <w:sz w:val="20"/>
        </w:rPr>
        <w:t xml:space="preserve"> </w:t>
      </w:r>
      <w:r>
        <w:rPr>
          <w:sz w:val="20"/>
        </w:rPr>
        <w:t>Government</w:t>
      </w:r>
      <w:r>
        <w:rPr>
          <w:spacing w:val="-14"/>
          <w:sz w:val="20"/>
        </w:rPr>
        <w:t xml:space="preserve"> </w:t>
      </w:r>
      <w:r>
        <w:rPr>
          <w:sz w:val="20"/>
        </w:rPr>
        <w:t>is</w:t>
      </w:r>
      <w:r>
        <w:rPr>
          <w:spacing w:val="-14"/>
          <w:sz w:val="20"/>
        </w:rPr>
        <w:t xml:space="preserve"> </w:t>
      </w:r>
      <w:r>
        <w:rPr>
          <w:sz w:val="20"/>
        </w:rPr>
        <w:t>delivering</w:t>
      </w:r>
      <w:r>
        <w:rPr>
          <w:spacing w:val="-14"/>
          <w:sz w:val="20"/>
        </w:rPr>
        <w:t xml:space="preserve"> </w:t>
      </w:r>
      <w:r>
        <w:rPr>
          <w:sz w:val="20"/>
        </w:rPr>
        <w:t>a</w:t>
      </w:r>
      <w:r>
        <w:rPr>
          <w:spacing w:val="-14"/>
          <w:sz w:val="20"/>
        </w:rPr>
        <w:t xml:space="preserve"> </w:t>
      </w:r>
      <w:r>
        <w:rPr>
          <w:sz w:val="20"/>
        </w:rPr>
        <w:t>prioritised capital</w:t>
      </w:r>
      <w:r>
        <w:rPr>
          <w:spacing w:val="-7"/>
          <w:sz w:val="20"/>
        </w:rPr>
        <w:t xml:space="preserve"> </w:t>
      </w:r>
      <w:r>
        <w:rPr>
          <w:sz w:val="20"/>
        </w:rPr>
        <w:t>program</w:t>
      </w:r>
      <w:r>
        <w:rPr>
          <w:spacing w:val="-7"/>
          <w:sz w:val="20"/>
        </w:rPr>
        <w:t xml:space="preserve"> </w:t>
      </w:r>
      <w:r>
        <w:rPr>
          <w:sz w:val="20"/>
        </w:rPr>
        <w:t>that</w:t>
      </w:r>
      <w:r>
        <w:rPr>
          <w:spacing w:val="-7"/>
          <w:sz w:val="20"/>
        </w:rPr>
        <w:t xml:space="preserve"> </w:t>
      </w:r>
      <w:r>
        <w:rPr>
          <w:sz w:val="20"/>
        </w:rPr>
        <w:t>will</w:t>
      </w:r>
      <w:r>
        <w:rPr>
          <w:spacing w:val="-7"/>
          <w:sz w:val="20"/>
        </w:rPr>
        <w:t xml:space="preserve"> </w:t>
      </w:r>
      <w:r>
        <w:rPr>
          <w:sz w:val="20"/>
        </w:rPr>
        <w:t>establish</w:t>
      </w:r>
      <w:r>
        <w:rPr>
          <w:spacing w:val="-7"/>
          <w:sz w:val="20"/>
        </w:rPr>
        <w:t xml:space="preserve"> </w:t>
      </w:r>
      <w:r>
        <w:rPr>
          <w:sz w:val="20"/>
        </w:rPr>
        <w:t>pro-actively planned</w:t>
      </w:r>
      <w:r>
        <w:rPr>
          <w:spacing w:val="-7"/>
          <w:sz w:val="20"/>
        </w:rPr>
        <w:t xml:space="preserve"> </w:t>
      </w:r>
      <w:r>
        <w:rPr>
          <w:sz w:val="20"/>
        </w:rPr>
        <w:t>‘health</w:t>
      </w:r>
      <w:r>
        <w:rPr>
          <w:spacing w:val="-7"/>
          <w:sz w:val="20"/>
        </w:rPr>
        <w:t xml:space="preserve"> </w:t>
      </w:r>
      <w:r>
        <w:rPr>
          <w:sz w:val="20"/>
        </w:rPr>
        <w:t>care</w:t>
      </w:r>
      <w:r>
        <w:rPr>
          <w:spacing w:val="-7"/>
          <w:sz w:val="20"/>
        </w:rPr>
        <w:t xml:space="preserve"> </w:t>
      </w:r>
      <w:r>
        <w:rPr>
          <w:sz w:val="20"/>
        </w:rPr>
        <w:t>precincts’</w:t>
      </w:r>
      <w:r>
        <w:rPr>
          <w:spacing w:val="-7"/>
          <w:sz w:val="20"/>
        </w:rPr>
        <w:t xml:space="preserve"> </w:t>
      </w:r>
      <w:r>
        <w:rPr>
          <w:sz w:val="20"/>
        </w:rPr>
        <w:t>with</w:t>
      </w:r>
      <w:r>
        <w:rPr>
          <w:spacing w:val="-7"/>
          <w:sz w:val="20"/>
        </w:rPr>
        <w:t xml:space="preserve"> </w:t>
      </w:r>
      <w:r>
        <w:rPr>
          <w:sz w:val="20"/>
        </w:rPr>
        <w:t>easy</w:t>
      </w:r>
      <w:r>
        <w:rPr>
          <w:spacing w:val="-7"/>
          <w:sz w:val="20"/>
        </w:rPr>
        <w:t xml:space="preserve"> </w:t>
      </w:r>
      <w:r>
        <w:rPr>
          <w:sz w:val="20"/>
        </w:rPr>
        <w:t>access</w:t>
      </w:r>
      <w:r>
        <w:rPr>
          <w:spacing w:val="-7"/>
          <w:sz w:val="20"/>
        </w:rPr>
        <w:t xml:space="preserve"> </w:t>
      </w:r>
      <w:r>
        <w:rPr>
          <w:sz w:val="20"/>
        </w:rPr>
        <w:t xml:space="preserve">to </w:t>
      </w:r>
      <w:r>
        <w:rPr>
          <w:w w:val="95"/>
          <w:sz w:val="20"/>
        </w:rPr>
        <w:t>related</w:t>
      </w:r>
      <w:r>
        <w:rPr>
          <w:spacing w:val="-8"/>
          <w:w w:val="95"/>
          <w:sz w:val="20"/>
        </w:rPr>
        <w:t xml:space="preserve"> </w:t>
      </w:r>
      <w:r>
        <w:rPr>
          <w:w w:val="95"/>
          <w:sz w:val="20"/>
        </w:rPr>
        <w:t>private</w:t>
      </w:r>
      <w:r>
        <w:rPr>
          <w:spacing w:val="-8"/>
          <w:w w:val="95"/>
          <w:sz w:val="20"/>
        </w:rPr>
        <w:t xml:space="preserve"> </w:t>
      </w:r>
      <w:r>
        <w:rPr>
          <w:w w:val="95"/>
          <w:sz w:val="20"/>
        </w:rPr>
        <w:t>and</w:t>
      </w:r>
      <w:r>
        <w:rPr>
          <w:spacing w:val="-8"/>
          <w:w w:val="95"/>
          <w:sz w:val="20"/>
        </w:rPr>
        <w:t xml:space="preserve"> </w:t>
      </w:r>
      <w:r>
        <w:rPr>
          <w:w w:val="95"/>
          <w:sz w:val="20"/>
        </w:rPr>
        <w:t>public</w:t>
      </w:r>
      <w:r>
        <w:rPr>
          <w:spacing w:val="-8"/>
          <w:w w:val="95"/>
          <w:sz w:val="20"/>
        </w:rPr>
        <w:t xml:space="preserve"> </w:t>
      </w:r>
      <w:r>
        <w:rPr>
          <w:w w:val="95"/>
          <w:sz w:val="20"/>
        </w:rPr>
        <w:t>health</w:t>
      </w:r>
      <w:r>
        <w:rPr>
          <w:spacing w:val="-8"/>
          <w:w w:val="95"/>
          <w:sz w:val="20"/>
        </w:rPr>
        <w:t xml:space="preserve"> </w:t>
      </w:r>
      <w:r>
        <w:rPr>
          <w:w w:val="95"/>
          <w:sz w:val="20"/>
        </w:rPr>
        <w:t>services</w:t>
      </w:r>
      <w:r>
        <w:rPr>
          <w:spacing w:val="-8"/>
          <w:w w:val="95"/>
          <w:sz w:val="20"/>
        </w:rPr>
        <w:t xml:space="preserve"> </w:t>
      </w:r>
      <w:r>
        <w:rPr>
          <w:w w:val="95"/>
          <w:sz w:val="20"/>
        </w:rPr>
        <w:t>delivered</w:t>
      </w:r>
      <w:r>
        <w:rPr>
          <w:spacing w:val="-8"/>
          <w:w w:val="95"/>
          <w:sz w:val="20"/>
        </w:rPr>
        <w:t xml:space="preserve"> </w:t>
      </w:r>
      <w:r>
        <w:rPr>
          <w:w w:val="95"/>
          <w:sz w:val="20"/>
        </w:rPr>
        <w:t xml:space="preserve">by </w:t>
      </w:r>
      <w:r>
        <w:rPr>
          <w:sz w:val="20"/>
        </w:rPr>
        <w:t>both government and non-government providers.</w:t>
      </w:r>
    </w:p>
    <w:p w:rsidR="002C1123" w:rsidRDefault="00F22F94">
      <w:pPr>
        <w:pStyle w:val="ListParagraph"/>
        <w:numPr>
          <w:ilvl w:val="0"/>
          <w:numId w:val="47"/>
        </w:numPr>
        <w:tabs>
          <w:tab w:val="left" w:pos="776"/>
        </w:tabs>
        <w:spacing w:before="133" w:line="249" w:lineRule="auto"/>
        <w:ind w:right="635"/>
        <w:rPr>
          <w:sz w:val="20"/>
        </w:rPr>
      </w:pPr>
      <w:r>
        <w:rPr>
          <w:w w:val="95"/>
          <w:sz w:val="20"/>
        </w:rPr>
        <w:t xml:space="preserve">It is recommended that the Northern Beaches </w:t>
      </w:r>
      <w:r>
        <w:rPr>
          <w:sz w:val="20"/>
        </w:rPr>
        <w:t>Hospital</w:t>
      </w:r>
      <w:r>
        <w:rPr>
          <w:spacing w:val="-3"/>
          <w:sz w:val="20"/>
        </w:rPr>
        <w:t xml:space="preserve"> </w:t>
      </w:r>
      <w:r>
        <w:rPr>
          <w:sz w:val="20"/>
        </w:rPr>
        <w:t>be</w:t>
      </w:r>
      <w:r>
        <w:rPr>
          <w:spacing w:val="-3"/>
          <w:sz w:val="20"/>
        </w:rPr>
        <w:t xml:space="preserve"> </w:t>
      </w:r>
      <w:r>
        <w:rPr>
          <w:sz w:val="20"/>
        </w:rPr>
        <w:t>developed</w:t>
      </w:r>
      <w:r>
        <w:rPr>
          <w:spacing w:val="-3"/>
          <w:sz w:val="20"/>
        </w:rPr>
        <w:t xml:space="preserve"> </w:t>
      </w:r>
      <w:r>
        <w:rPr>
          <w:sz w:val="20"/>
        </w:rPr>
        <w:t>using</w:t>
      </w:r>
      <w:r>
        <w:rPr>
          <w:spacing w:val="-3"/>
          <w:sz w:val="20"/>
        </w:rPr>
        <w:t xml:space="preserve"> </w:t>
      </w:r>
      <w:r>
        <w:rPr>
          <w:sz w:val="20"/>
        </w:rPr>
        <w:t>this</w:t>
      </w:r>
      <w:r>
        <w:rPr>
          <w:spacing w:val="-3"/>
          <w:sz w:val="20"/>
        </w:rPr>
        <w:t xml:space="preserve"> </w:t>
      </w:r>
      <w:r>
        <w:rPr>
          <w:sz w:val="20"/>
        </w:rPr>
        <w:t>approach.</w:t>
      </w:r>
    </w:p>
    <w:p w:rsidR="002C1123" w:rsidRDefault="00F22F94">
      <w:pPr>
        <w:pStyle w:val="ListParagraph"/>
        <w:numPr>
          <w:ilvl w:val="0"/>
          <w:numId w:val="47"/>
        </w:numPr>
        <w:tabs>
          <w:tab w:val="left" w:pos="776"/>
        </w:tabs>
        <w:spacing w:before="130" w:line="249" w:lineRule="auto"/>
        <w:ind w:right="70"/>
        <w:rPr>
          <w:sz w:val="20"/>
        </w:rPr>
      </w:pPr>
      <w:r>
        <w:rPr>
          <w:sz w:val="20"/>
        </w:rPr>
        <w:t>Infrastructure</w:t>
      </w:r>
      <w:r>
        <w:rPr>
          <w:spacing w:val="-4"/>
          <w:sz w:val="20"/>
        </w:rPr>
        <w:t xml:space="preserve"> </w:t>
      </w:r>
      <w:r>
        <w:rPr>
          <w:sz w:val="20"/>
        </w:rPr>
        <w:t>NSW</w:t>
      </w:r>
      <w:r>
        <w:rPr>
          <w:spacing w:val="-4"/>
          <w:sz w:val="20"/>
        </w:rPr>
        <w:t xml:space="preserve"> </w:t>
      </w:r>
      <w:r>
        <w:rPr>
          <w:sz w:val="20"/>
        </w:rPr>
        <w:t>recommends</w:t>
      </w:r>
      <w:r>
        <w:rPr>
          <w:spacing w:val="-4"/>
          <w:sz w:val="20"/>
        </w:rPr>
        <w:t xml:space="preserve"> </w:t>
      </w:r>
      <w:r>
        <w:rPr>
          <w:sz w:val="20"/>
        </w:rPr>
        <w:t>that</w:t>
      </w:r>
      <w:r>
        <w:rPr>
          <w:spacing w:val="-4"/>
          <w:sz w:val="20"/>
        </w:rPr>
        <w:t xml:space="preserve"> </w:t>
      </w:r>
      <w:r>
        <w:rPr>
          <w:sz w:val="20"/>
        </w:rPr>
        <w:t>a</w:t>
      </w:r>
      <w:r>
        <w:rPr>
          <w:spacing w:val="-4"/>
          <w:sz w:val="20"/>
        </w:rPr>
        <w:t xml:space="preserve"> </w:t>
      </w:r>
      <w:r>
        <w:rPr>
          <w:sz w:val="20"/>
        </w:rPr>
        <w:t xml:space="preserve">proportion </w:t>
      </w:r>
      <w:r>
        <w:rPr>
          <w:w w:val="95"/>
          <w:sz w:val="20"/>
        </w:rPr>
        <w:t>of</w:t>
      </w:r>
      <w:r>
        <w:rPr>
          <w:spacing w:val="-7"/>
          <w:w w:val="95"/>
          <w:sz w:val="20"/>
        </w:rPr>
        <w:t xml:space="preserve"> </w:t>
      </w:r>
      <w:r>
        <w:rPr>
          <w:w w:val="95"/>
          <w:sz w:val="20"/>
        </w:rPr>
        <w:t>new</w:t>
      </w:r>
      <w:r>
        <w:rPr>
          <w:spacing w:val="-7"/>
          <w:w w:val="95"/>
          <w:sz w:val="20"/>
        </w:rPr>
        <w:t xml:space="preserve"> </w:t>
      </w:r>
      <w:r>
        <w:rPr>
          <w:w w:val="95"/>
          <w:sz w:val="20"/>
        </w:rPr>
        <w:t>hospital</w:t>
      </w:r>
      <w:r>
        <w:rPr>
          <w:spacing w:val="-7"/>
          <w:w w:val="95"/>
          <w:sz w:val="20"/>
        </w:rPr>
        <w:t xml:space="preserve"> </w:t>
      </w:r>
      <w:r>
        <w:rPr>
          <w:w w:val="95"/>
          <w:sz w:val="20"/>
        </w:rPr>
        <w:t>beds</w:t>
      </w:r>
      <w:r>
        <w:rPr>
          <w:spacing w:val="-7"/>
          <w:w w:val="95"/>
          <w:sz w:val="20"/>
        </w:rPr>
        <w:t xml:space="preserve"> </w:t>
      </w:r>
      <w:r>
        <w:rPr>
          <w:w w:val="95"/>
          <w:sz w:val="20"/>
        </w:rPr>
        <w:t>be</w:t>
      </w:r>
      <w:r>
        <w:rPr>
          <w:spacing w:val="-7"/>
          <w:w w:val="95"/>
          <w:sz w:val="20"/>
        </w:rPr>
        <w:t xml:space="preserve"> </w:t>
      </w:r>
      <w:r>
        <w:rPr>
          <w:w w:val="95"/>
          <w:sz w:val="20"/>
        </w:rPr>
        <w:t>in</w:t>
      </w:r>
      <w:r>
        <w:rPr>
          <w:spacing w:val="-7"/>
          <w:w w:val="95"/>
          <w:sz w:val="20"/>
        </w:rPr>
        <w:t xml:space="preserve"> </w:t>
      </w:r>
      <w:r>
        <w:rPr>
          <w:w w:val="95"/>
          <w:sz w:val="20"/>
        </w:rPr>
        <w:t>smaller,</w:t>
      </w:r>
      <w:r>
        <w:rPr>
          <w:spacing w:val="-7"/>
          <w:w w:val="95"/>
          <w:sz w:val="20"/>
        </w:rPr>
        <w:t xml:space="preserve"> </w:t>
      </w:r>
      <w:r>
        <w:rPr>
          <w:w w:val="95"/>
          <w:sz w:val="20"/>
        </w:rPr>
        <w:t>specialist</w:t>
      </w:r>
      <w:r>
        <w:rPr>
          <w:spacing w:val="-7"/>
          <w:w w:val="95"/>
          <w:sz w:val="20"/>
        </w:rPr>
        <w:t xml:space="preserve"> </w:t>
      </w:r>
      <w:r>
        <w:rPr>
          <w:w w:val="95"/>
          <w:sz w:val="20"/>
        </w:rPr>
        <w:t xml:space="preserve">medical </w:t>
      </w:r>
      <w:r>
        <w:rPr>
          <w:sz w:val="20"/>
        </w:rPr>
        <w:t>facilities</w:t>
      </w:r>
      <w:r>
        <w:rPr>
          <w:spacing w:val="-14"/>
          <w:sz w:val="20"/>
        </w:rPr>
        <w:t xml:space="preserve"> </w:t>
      </w:r>
      <w:r>
        <w:rPr>
          <w:sz w:val="20"/>
        </w:rPr>
        <w:t>(rather</w:t>
      </w:r>
      <w:r>
        <w:rPr>
          <w:spacing w:val="-14"/>
          <w:sz w:val="20"/>
        </w:rPr>
        <w:t xml:space="preserve"> </w:t>
      </w:r>
      <w:r>
        <w:rPr>
          <w:sz w:val="20"/>
        </w:rPr>
        <w:t>than</w:t>
      </w:r>
      <w:r>
        <w:rPr>
          <w:spacing w:val="-14"/>
          <w:sz w:val="20"/>
        </w:rPr>
        <w:t xml:space="preserve"> </w:t>
      </w:r>
      <w:r>
        <w:rPr>
          <w:sz w:val="20"/>
        </w:rPr>
        <w:t>multi-purpose</w:t>
      </w:r>
      <w:r>
        <w:rPr>
          <w:spacing w:val="-14"/>
          <w:sz w:val="20"/>
        </w:rPr>
        <w:t xml:space="preserve"> </w:t>
      </w:r>
      <w:r>
        <w:rPr>
          <w:sz w:val="20"/>
        </w:rPr>
        <w:t>hospitals)</w:t>
      </w:r>
      <w:r>
        <w:rPr>
          <w:spacing w:val="-14"/>
          <w:sz w:val="20"/>
        </w:rPr>
        <w:t xml:space="preserve"> </w:t>
      </w:r>
      <w:r>
        <w:rPr>
          <w:sz w:val="20"/>
        </w:rPr>
        <w:t xml:space="preserve">to </w:t>
      </w:r>
      <w:r>
        <w:rPr>
          <w:w w:val="95"/>
          <w:sz w:val="20"/>
        </w:rPr>
        <w:t>improve</w:t>
      </w:r>
      <w:r>
        <w:rPr>
          <w:spacing w:val="-3"/>
          <w:w w:val="95"/>
          <w:sz w:val="20"/>
        </w:rPr>
        <w:t xml:space="preserve"> </w:t>
      </w:r>
      <w:r>
        <w:rPr>
          <w:w w:val="95"/>
          <w:sz w:val="20"/>
        </w:rPr>
        <w:t>efficiencies</w:t>
      </w:r>
      <w:r>
        <w:rPr>
          <w:spacing w:val="-3"/>
          <w:w w:val="95"/>
          <w:sz w:val="20"/>
        </w:rPr>
        <w:t xml:space="preserve"> </w:t>
      </w:r>
      <w:r>
        <w:rPr>
          <w:w w:val="95"/>
          <w:sz w:val="20"/>
        </w:rPr>
        <w:t>in</w:t>
      </w:r>
      <w:r>
        <w:rPr>
          <w:spacing w:val="-3"/>
          <w:w w:val="95"/>
          <w:sz w:val="20"/>
        </w:rPr>
        <w:t xml:space="preserve"> </w:t>
      </w:r>
      <w:r>
        <w:rPr>
          <w:w w:val="95"/>
          <w:sz w:val="20"/>
        </w:rPr>
        <w:t>delivery</w:t>
      </w:r>
      <w:r>
        <w:rPr>
          <w:spacing w:val="-3"/>
          <w:w w:val="95"/>
          <w:sz w:val="20"/>
        </w:rPr>
        <w:t xml:space="preserve"> </w:t>
      </w:r>
      <w:r>
        <w:rPr>
          <w:w w:val="95"/>
          <w:sz w:val="20"/>
        </w:rPr>
        <w:t>to</w:t>
      </w:r>
      <w:r>
        <w:rPr>
          <w:spacing w:val="-3"/>
          <w:w w:val="95"/>
          <w:sz w:val="20"/>
        </w:rPr>
        <w:t xml:space="preserve"> </w:t>
      </w:r>
      <w:r>
        <w:rPr>
          <w:w w:val="95"/>
          <w:sz w:val="20"/>
        </w:rPr>
        <w:t>public</w:t>
      </w:r>
      <w:r>
        <w:rPr>
          <w:spacing w:val="-3"/>
          <w:w w:val="95"/>
          <w:sz w:val="20"/>
        </w:rPr>
        <w:t xml:space="preserve"> </w:t>
      </w:r>
      <w:r>
        <w:rPr>
          <w:w w:val="95"/>
          <w:sz w:val="20"/>
        </w:rPr>
        <w:t>patients</w:t>
      </w:r>
      <w:r>
        <w:rPr>
          <w:spacing w:val="-3"/>
          <w:w w:val="95"/>
          <w:sz w:val="20"/>
        </w:rPr>
        <w:t xml:space="preserve"> </w:t>
      </w:r>
      <w:r>
        <w:rPr>
          <w:w w:val="95"/>
          <w:sz w:val="20"/>
        </w:rPr>
        <w:t xml:space="preserve">and </w:t>
      </w:r>
      <w:r>
        <w:rPr>
          <w:sz w:val="20"/>
        </w:rPr>
        <w:t>cut waiting times.</w:t>
      </w:r>
    </w:p>
    <w:p w:rsidR="002C1123" w:rsidRDefault="00F22F94">
      <w:pPr>
        <w:pStyle w:val="ListParagraph"/>
        <w:numPr>
          <w:ilvl w:val="0"/>
          <w:numId w:val="47"/>
        </w:numPr>
        <w:tabs>
          <w:tab w:val="left" w:pos="776"/>
        </w:tabs>
        <w:spacing w:before="133" w:line="249" w:lineRule="auto"/>
        <w:ind w:right="319"/>
        <w:rPr>
          <w:sz w:val="20"/>
        </w:rPr>
      </w:pPr>
      <w:r>
        <w:rPr>
          <w:w w:val="95"/>
          <w:sz w:val="20"/>
        </w:rPr>
        <w:t>Meeting</w:t>
      </w:r>
      <w:r>
        <w:rPr>
          <w:spacing w:val="-7"/>
          <w:w w:val="95"/>
          <w:sz w:val="20"/>
        </w:rPr>
        <w:t xml:space="preserve"> </w:t>
      </w:r>
      <w:r>
        <w:rPr>
          <w:w w:val="95"/>
          <w:sz w:val="20"/>
        </w:rPr>
        <w:t>the</w:t>
      </w:r>
      <w:r>
        <w:rPr>
          <w:spacing w:val="-7"/>
          <w:w w:val="95"/>
          <w:sz w:val="20"/>
        </w:rPr>
        <w:t xml:space="preserve"> </w:t>
      </w:r>
      <w:r>
        <w:rPr>
          <w:w w:val="95"/>
          <w:sz w:val="20"/>
        </w:rPr>
        <w:t>challenges</w:t>
      </w:r>
      <w:r>
        <w:rPr>
          <w:spacing w:val="-7"/>
          <w:w w:val="95"/>
          <w:sz w:val="20"/>
        </w:rPr>
        <w:t xml:space="preserve"> </w:t>
      </w:r>
      <w:r>
        <w:rPr>
          <w:w w:val="95"/>
          <w:sz w:val="20"/>
        </w:rPr>
        <w:t>requires</w:t>
      </w:r>
      <w:r>
        <w:rPr>
          <w:spacing w:val="-7"/>
          <w:w w:val="95"/>
          <w:sz w:val="20"/>
        </w:rPr>
        <w:t xml:space="preserve"> </w:t>
      </w:r>
      <w:r>
        <w:rPr>
          <w:w w:val="95"/>
          <w:sz w:val="20"/>
        </w:rPr>
        <w:t>significant</w:t>
      </w:r>
      <w:r>
        <w:rPr>
          <w:spacing w:val="-7"/>
          <w:w w:val="95"/>
          <w:sz w:val="20"/>
        </w:rPr>
        <w:t xml:space="preserve"> </w:t>
      </w:r>
      <w:r>
        <w:rPr>
          <w:w w:val="95"/>
          <w:sz w:val="20"/>
        </w:rPr>
        <w:t xml:space="preserve">reform </w:t>
      </w:r>
      <w:r>
        <w:rPr>
          <w:sz w:val="20"/>
        </w:rPr>
        <w:t>of</w:t>
      </w:r>
      <w:r>
        <w:rPr>
          <w:spacing w:val="-7"/>
          <w:sz w:val="20"/>
        </w:rPr>
        <w:t xml:space="preserve"> </w:t>
      </w:r>
      <w:r>
        <w:rPr>
          <w:sz w:val="20"/>
        </w:rPr>
        <w:t>soft</w:t>
      </w:r>
      <w:r>
        <w:rPr>
          <w:spacing w:val="-7"/>
          <w:sz w:val="20"/>
        </w:rPr>
        <w:t xml:space="preserve"> </w:t>
      </w:r>
      <w:r>
        <w:rPr>
          <w:sz w:val="20"/>
        </w:rPr>
        <w:t>infrastructure</w:t>
      </w:r>
      <w:r>
        <w:rPr>
          <w:spacing w:val="-7"/>
          <w:sz w:val="20"/>
        </w:rPr>
        <w:t xml:space="preserve"> </w:t>
      </w:r>
      <w:r>
        <w:rPr>
          <w:sz w:val="20"/>
        </w:rPr>
        <w:t>by</w:t>
      </w:r>
      <w:r>
        <w:rPr>
          <w:spacing w:val="-7"/>
          <w:sz w:val="20"/>
        </w:rPr>
        <w:t xml:space="preserve"> </w:t>
      </w:r>
      <w:r>
        <w:rPr>
          <w:sz w:val="20"/>
        </w:rPr>
        <w:t>introducing</w:t>
      </w:r>
      <w:r>
        <w:rPr>
          <w:spacing w:val="-7"/>
          <w:sz w:val="20"/>
        </w:rPr>
        <w:t xml:space="preserve"> </w:t>
      </w:r>
      <w:r>
        <w:rPr>
          <w:sz w:val="20"/>
        </w:rPr>
        <w:t>full-service</w:t>
      </w:r>
    </w:p>
    <w:p w:rsidR="002C1123" w:rsidRDefault="00F22F94">
      <w:pPr>
        <w:pStyle w:val="BodyText"/>
        <w:spacing w:before="1" w:line="249" w:lineRule="auto"/>
        <w:ind w:left="775"/>
      </w:pPr>
      <w:r>
        <w:rPr>
          <w:w w:val="95"/>
        </w:rPr>
        <w:t xml:space="preserve">procurement, with potentially significant improvement </w:t>
      </w:r>
      <w:r>
        <w:rPr>
          <w:spacing w:val="-2"/>
        </w:rPr>
        <w:t>to</w:t>
      </w:r>
      <w:r>
        <w:rPr>
          <w:spacing w:val="-6"/>
        </w:rPr>
        <w:t xml:space="preserve"> </w:t>
      </w:r>
      <w:r>
        <w:rPr>
          <w:spacing w:val="-2"/>
        </w:rPr>
        <w:t>the</w:t>
      </w:r>
      <w:r>
        <w:rPr>
          <w:spacing w:val="-6"/>
        </w:rPr>
        <w:t xml:space="preserve"> </w:t>
      </w:r>
      <w:r>
        <w:rPr>
          <w:spacing w:val="-2"/>
        </w:rPr>
        <w:t>health</w:t>
      </w:r>
      <w:r>
        <w:rPr>
          <w:spacing w:val="-6"/>
        </w:rPr>
        <w:t xml:space="preserve"> </w:t>
      </w:r>
      <w:r>
        <w:rPr>
          <w:spacing w:val="-2"/>
        </w:rPr>
        <w:t>sector’s</w:t>
      </w:r>
      <w:r>
        <w:rPr>
          <w:spacing w:val="-6"/>
        </w:rPr>
        <w:t xml:space="preserve"> </w:t>
      </w:r>
      <w:r>
        <w:rPr>
          <w:spacing w:val="-2"/>
        </w:rPr>
        <w:t>productivity,</w:t>
      </w:r>
      <w:r>
        <w:rPr>
          <w:spacing w:val="-6"/>
        </w:rPr>
        <w:t xml:space="preserve"> </w:t>
      </w:r>
      <w:r>
        <w:rPr>
          <w:spacing w:val="-2"/>
        </w:rPr>
        <w:t>and</w:t>
      </w:r>
      <w:r>
        <w:rPr>
          <w:spacing w:val="-6"/>
        </w:rPr>
        <w:t xml:space="preserve"> </w:t>
      </w:r>
      <w:r>
        <w:rPr>
          <w:spacing w:val="-2"/>
        </w:rPr>
        <w:t xml:space="preserve">implementing </w:t>
      </w:r>
      <w:r>
        <w:t>innovative models of care.</w:t>
      </w:r>
    </w:p>
    <w:p w:rsidR="002C1123" w:rsidRDefault="00F22F94">
      <w:pPr>
        <w:pStyle w:val="ListParagraph"/>
        <w:numPr>
          <w:ilvl w:val="0"/>
          <w:numId w:val="48"/>
        </w:numPr>
        <w:tabs>
          <w:tab w:val="left" w:pos="471"/>
        </w:tabs>
        <w:spacing w:before="122" w:line="249" w:lineRule="auto"/>
        <w:ind w:left="470"/>
        <w:rPr>
          <w:sz w:val="20"/>
        </w:rPr>
      </w:pPr>
      <w:r>
        <w:br w:type="column"/>
      </w:r>
      <w:r>
        <w:rPr>
          <w:sz w:val="20"/>
        </w:rPr>
        <w:t xml:space="preserve">Infrastructure NSW recommends repurposing </w:t>
      </w:r>
      <w:r>
        <w:rPr>
          <w:w w:val="95"/>
          <w:sz w:val="20"/>
        </w:rPr>
        <w:t>community</w:t>
      </w:r>
      <w:r>
        <w:rPr>
          <w:spacing w:val="-7"/>
          <w:w w:val="95"/>
          <w:sz w:val="20"/>
        </w:rPr>
        <w:t xml:space="preserve"> </w:t>
      </w:r>
      <w:r>
        <w:rPr>
          <w:w w:val="95"/>
          <w:sz w:val="20"/>
        </w:rPr>
        <w:t>health</w:t>
      </w:r>
      <w:r>
        <w:rPr>
          <w:spacing w:val="-7"/>
          <w:w w:val="95"/>
          <w:sz w:val="20"/>
        </w:rPr>
        <w:t xml:space="preserve"> </w:t>
      </w:r>
      <w:r>
        <w:rPr>
          <w:w w:val="95"/>
          <w:sz w:val="20"/>
        </w:rPr>
        <w:t>centres</w:t>
      </w:r>
      <w:r>
        <w:rPr>
          <w:spacing w:val="-7"/>
          <w:w w:val="95"/>
          <w:sz w:val="20"/>
        </w:rPr>
        <w:t xml:space="preserve"> </w:t>
      </w:r>
      <w:r>
        <w:rPr>
          <w:w w:val="95"/>
          <w:sz w:val="20"/>
        </w:rPr>
        <w:t>to</w:t>
      </w:r>
      <w:r>
        <w:rPr>
          <w:spacing w:val="-7"/>
          <w:w w:val="95"/>
          <w:sz w:val="20"/>
        </w:rPr>
        <w:t xml:space="preserve"> </w:t>
      </w:r>
      <w:r>
        <w:rPr>
          <w:w w:val="95"/>
          <w:sz w:val="20"/>
        </w:rPr>
        <w:t>deliver</w:t>
      </w:r>
      <w:r>
        <w:rPr>
          <w:spacing w:val="-7"/>
          <w:w w:val="95"/>
          <w:sz w:val="20"/>
        </w:rPr>
        <w:t xml:space="preserve"> </w:t>
      </w:r>
      <w:r>
        <w:rPr>
          <w:w w:val="95"/>
          <w:sz w:val="20"/>
        </w:rPr>
        <w:t>a</w:t>
      </w:r>
      <w:r>
        <w:rPr>
          <w:spacing w:val="-7"/>
          <w:w w:val="95"/>
          <w:sz w:val="20"/>
        </w:rPr>
        <w:t xml:space="preserve"> </w:t>
      </w:r>
      <w:r>
        <w:rPr>
          <w:w w:val="95"/>
          <w:sz w:val="20"/>
        </w:rPr>
        <w:t>greater</w:t>
      </w:r>
      <w:r>
        <w:rPr>
          <w:spacing w:val="-7"/>
          <w:w w:val="95"/>
          <w:sz w:val="20"/>
        </w:rPr>
        <w:t xml:space="preserve"> </w:t>
      </w:r>
      <w:r>
        <w:rPr>
          <w:w w:val="95"/>
          <w:sz w:val="20"/>
        </w:rPr>
        <w:t xml:space="preserve">range </w:t>
      </w:r>
      <w:r>
        <w:rPr>
          <w:sz w:val="20"/>
        </w:rPr>
        <w:t>of services in the community.</w:t>
      </w:r>
    </w:p>
    <w:p w:rsidR="002C1123" w:rsidRDefault="00F22F94">
      <w:pPr>
        <w:pStyle w:val="ListParagraph"/>
        <w:numPr>
          <w:ilvl w:val="0"/>
          <w:numId w:val="48"/>
        </w:numPr>
        <w:tabs>
          <w:tab w:val="left" w:pos="471"/>
        </w:tabs>
        <w:spacing w:before="131" w:line="249" w:lineRule="auto"/>
        <w:ind w:left="470" w:right="283"/>
        <w:rPr>
          <w:sz w:val="20"/>
        </w:rPr>
      </w:pPr>
      <w:r>
        <w:rPr>
          <w:sz w:val="20"/>
        </w:rPr>
        <w:t>Partnerships</w:t>
      </w:r>
      <w:r>
        <w:rPr>
          <w:spacing w:val="-9"/>
          <w:sz w:val="20"/>
        </w:rPr>
        <w:t xml:space="preserve"> </w:t>
      </w:r>
      <w:r>
        <w:rPr>
          <w:sz w:val="20"/>
        </w:rPr>
        <w:t>with</w:t>
      </w:r>
      <w:r>
        <w:rPr>
          <w:spacing w:val="-9"/>
          <w:sz w:val="20"/>
        </w:rPr>
        <w:t xml:space="preserve"> </w:t>
      </w:r>
      <w:r>
        <w:rPr>
          <w:sz w:val="20"/>
        </w:rPr>
        <w:t>the</w:t>
      </w:r>
      <w:r>
        <w:rPr>
          <w:spacing w:val="-9"/>
          <w:sz w:val="20"/>
        </w:rPr>
        <w:t xml:space="preserve"> </w:t>
      </w:r>
      <w:r>
        <w:rPr>
          <w:sz w:val="20"/>
        </w:rPr>
        <w:t>private</w:t>
      </w:r>
      <w:r>
        <w:rPr>
          <w:spacing w:val="-9"/>
          <w:sz w:val="20"/>
        </w:rPr>
        <w:t xml:space="preserve"> </w:t>
      </w:r>
      <w:r>
        <w:rPr>
          <w:sz w:val="20"/>
        </w:rPr>
        <w:t>and</w:t>
      </w:r>
      <w:r>
        <w:rPr>
          <w:spacing w:val="-9"/>
          <w:sz w:val="20"/>
        </w:rPr>
        <w:t xml:space="preserve"> </w:t>
      </w:r>
      <w:r>
        <w:rPr>
          <w:sz w:val="20"/>
        </w:rPr>
        <w:t>not-for-profit sector</w:t>
      </w:r>
      <w:r>
        <w:rPr>
          <w:spacing w:val="-12"/>
          <w:sz w:val="20"/>
        </w:rPr>
        <w:t xml:space="preserve"> </w:t>
      </w:r>
      <w:r>
        <w:rPr>
          <w:sz w:val="20"/>
        </w:rPr>
        <w:t>in</w:t>
      </w:r>
      <w:r>
        <w:rPr>
          <w:spacing w:val="-12"/>
          <w:sz w:val="20"/>
        </w:rPr>
        <w:t xml:space="preserve"> </w:t>
      </w:r>
      <w:r>
        <w:rPr>
          <w:sz w:val="20"/>
        </w:rPr>
        <w:t>the</w:t>
      </w:r>
      <w:r>
        <w:rPr>
          <w:spacing w:val="-12"/>
          <w:sz w:val="20"/>
        </w:rPr>
        <w:t xml:space="preserve"> </w:t>
      </w:r>
      <w:r>
        <w:rPr>
          <w:sz w:val="20"/>
        </w:rPr>
        <w:t>repurposing</w:t>
      </w:r>
      <w:r>
        <w:rPr>
          <w:spacing w:val="-12"/>
          <w:sz w:val="20"/>
        </w:rPr>
        <w:t xml:space="preserve"> </w:t>
      </w:r>
      <w:r>
        <w:rPr>
          <w:sz w:val="20"/>
        </w:rPr>
        <w:t>of</w:t>
      </w:r>
      <w:r>
        <w:rPr>
          <w:spacing w:val="-12"/>
          <w:sz w:val="20"/>
        </w:rPr>
        <w:t xml:space="preserve"> </w:t>
      </w:r>
      <w:r>
        <w:rPr>
          <w:sz w:val="20"/>
        </w:rPr>
        <w:t>these</w:t>
      </w:r>
      <w:r>
        <w:rPr>
          <w:spacing w:val="-12"/>
          <w:sz w:val="20"/>
        </w:rPr>
        <w:t xml:space="preserve"> </w:t>
      </w:r>
      <w:r>
        <w:rPr>
          <w:sz w:val="20"/>
        </w:rPr>
        <w:t>facilities</w:t>
      </w:r>
      <w:r>
        <w:rPr>
          <w:spacing w:val="-12"/>
          <w:sz w:val="20"/>
        </w:rPr>
        <w:t xml:space="preserve"> </w:t>
      </w:r>
      <w:r>
        <w:rPr>
          <w:sz w:val="20"/>
        </w:rPr>
        <w:t xml:space="preserve">will </w:t>
      </w:r>
      <w:r>
        <w:rPr>
          <w:w w:val="95"/>
          <w:sz w:val="20"/>
        </w:rPr>
        <w:t>expand</w:t>
      </w:r>
      <w:r>
        <w:rPr>
          <w:spacing w:val="-6"/>
          <w:w w:val="95"/>
          <w:sz w:val="20"/>
        </w:rPr>
        <w:t xml:space="preserve"> </w:t>
      </w:r>
      <w:r>
        <w:rPr>
          <w:w w:val="95"/>
          <w:sz w:val="20"/>
        </w:rPr>
        <w:t>the</w:t>
      </w:r>
      <w:r>
        <w:rPr>
          <w:spacing w:val="-6"/>
          <w:w w:val="95"/>
          <w:sz w:val="20"/>
        </w:rPr>
        <w:t xml:space="preserve"> </w:t>
      </w:r>
      <w:r>
        <w:rPr>
          <w:w w:val="95"/>
          <w:sz w:val="20"/>
        </w:rPr>
        <w:t>delivery</w:t>
      </w:r>
      <w:r>
        <w:rPr>
          <w:spacing w:val="-6"/>
          <w:w w:val="95"/>
          <w:sz w:val="20"/>
        </w:rPr>
        <w:t xml:space="preserve"> </w:t>
      </w:r>
      <w:r>
        <w:rPr>
          <w:w w:val="95"/>
          <w:sz w:val="20"/>
        </w:rPr>
        <w:t>of</w:t>
      </w:r>
      <w:r>
        <w:rPr>
          <w:spacing w:val="-6"/>
          <w:w w:val="95"/>
          <w:sz w:val="20"/>
        </w:rPr>
        <w:t xml:space="preserve"> </w:t>
      </w:r>
      <w:r>
        <w:rPr>
          <w:w w:val="95"/>
          <w:sz w:val="20"/>
        </w:rPr>
        <w:t>new</w:t>
      </w:r>
      <w:r>
        <w:rPr>
          <w:spacing w:val="-6"/>
          <w:w w:val="95"/>
          <w:sz w:val="20"/>
        </w:rPr>
        <w:t xml:space="preserve"> </w:t>
      </w:r>
      <w:r>
        <w:rPr>
          <w:w w:val="95"/>
          <w:sz w:val="20"/>
        </w:rPr>
        <w:t>care</w:t>
      </w:r>
      <w:r>
        <w:rPr>
          <w:spacing w:val="-6"/>
          <w:w w:val="95"/>
          <w:sz w:val="20"/>
        </w:rPr>
        <w:t xml:space="preserve"> </w:t>
      </w:r>
      <w:r>
        <w:rPr>
          <w:w w:val="95"/>
          <w:sz w:val="20"/>
        </w:rPr>
        <w:t>models</w:t>
      </w:r>
      <w:r>
        <w:rPr>
          <w:spacing w:val="-6"/>
          <w:w w:val="95"/>
          <w:sz w:val="20"/>
        </w:rPr>
        <w:t xml:space="preserve"> </w:t>
      </w:r>
      <w:r>
        <w:rPr>
          <w:w w:val="95"/>
          <w:sz w:val="20"/>
        </w:rPr>
        <w:t>such</w:t>
      </w:r>
      <w:r>
        <w:rPr>
          <w:spacing w:val="-6"/>
          <w:w w:val="95"/>
          <w:sz w:val="20"/>
        </w:rPr>
        <w:t xml:space="preserve"> </w:t>
      </w:r>
      <w:r>
        <w:rPr>
          <w:w w:val="95"/>
          <w:sz w:val="20"/>
        </w:rPr>
        <w:t xml:space="preserve">as </w:t>
      </w:r>
      <w:r>
        <w:rPr>
          <w:sz w:val="20"/>
        </w:rPr>
        <w:t>eHealth</w:t>
      </w:r>
      <w:r>
        <w:rPr>
          <w:spacing w:val="-11"/>
          <w:sz w:val="20"/>
        </w:rPr>
        <w:t xml:space="preserve"> </w:t>
      </w:r>
      <w:r>
        <w:rPr>
          <w:sz w:val="20"/>
        </w:rPr>
        <w:t>programs.</w:t>
      </w:r>
    </w:p>
    <w:p w:rsidR="002C1123" w:rsidRDefault="00F22F94">
      <w:pPr>
        <w:pStyle w:val="ListParagraph"/>
        <w:numPr>
          <w:ilvl w:val="0"/>
          <w:numId w:val="48"/>
        </w:numPr>
        <w:tabs>
          <w:tab w:val="left" w:pos="471"/>
        </w:tabs>
        <w:spacing w:before="132" w:line="249" w:lineRule="auto"/>
        <w:ind w:left="470" w:right="48"/>
        <w:rPr>
          <w:sz w:val="20"/>
        </w:rPr>
      </w:pPr>
      <w:r>
        <w:rPr>
          <w:w w:val="95"/>
          <w:sz w:val="20"/>
        </w:rPr>
        <w:t xml:space="preserve">Infrastructure NSW recommends long term reform </w:t>
      </w:r>
      <w:r>
        <w:rPr>
          <w:sz w:val="20"/>
        </w:rPr>
        <w:t>to</w:t>
      </w:r>
      <w:r>
        <w:rPr>
          <w:spacing w:val="-9"/>
          <w:sz w:val="20"/>
        </w:rPr>
        <w:t xml:space="preserve"> </w:t>
      </w:r>
      <w:r>
        <w:rPr>
          <w:sz w:val="20"/>
        </w:rPr>
        <w:t>service</w:t>
      </w:r>
      <w:r>
        <w:rPr>
          <w:spacing w:val="-9"/>
          <w:sz w:val="20"/>
        </w:rPr>
        <w:t xml:space="preserve"> </w:t>
      </w:r>
      <w:r>
        <w:rPr>
          <w:sz w:val="20"/>
        </w:rPr>
        <w:t>purchaser</w:t>
      </w:r>
      <w:r>
        <w:rPr>
          <w:spacing w:val="-9"/>
          <w:sz w:val="20"/>
        </w:rPr>
        <w:t xml:space="preserve"> </w:t>
      </w:r>
      <w:r>
        <w:rPr>
          <w:sz w:val="20"/>
        </w:rPr>
        <w:t>models</w:t>
      </w:r>
      <w:r>
        <w:rPr>
          <w:spacing w:val="-9"/>
          <w:sz w:val="20"/>
        </w:rPr>
        <w:t xml:space="preserve"> </w:t>
      </w:r>
      <w:r>
        <w:rPr>
          <w:sz w:val="20"/>
        </w:rPr>
        <w:t>to</w:t>
      </w:r>
      <w:r>
        <w:rPr>
          <w:spacing w:val="-9"/>
          <w:sz w:val="20"/>
        </w:rPr>
        <w:t xml:space="preserve"> </w:t>
      </w:r>
      <w:r>
        <w:rPr>
          <w:sz w:val="20"/>
        </w:rPr>
        <w:t>achieve</w:t>
      </w:r>
      <w:r>
        <w:rPr>
          <w:spacing w:val="-9"/>
          <w:sz w:val="20"/>
        </w:rPr>
        <w:t xml:space="preserve"> </w:t>
      </w:r>
      <w:r>
        <w:rPr>
          <w:sz w:val="20"/>
        </w:rPr>
        <w:t>a</w:t>
      </w:r>
      <w:r>
        <w:rPr>
          <w:spacing w:val="-9"/>
          <w:sz w:val="20"/>
        </w:rPr>
        <w:t xml:space="preserve"> </w:t>
      </w:r>
      <w:r>
        <w:rPr>
          <w:sz w:val="20"/>
        </w:rPr>
        <w:t xml:space="preserve">better </w:t>
      </w:r>
      <w:r>
        <w:rPr>
          <w:spacing w:val="-2"/>
          <w:sz w:val="20"/>
        </w:rPr>
        <w:t>mix</w:t>
      </w:r>
      <w:r>
        <w:rPr>
          <w:spacing w:val="-6"/>
          <w:sz w:val="20"/>
        </w:rPr>
        <w:t xml:space="preserve"> </w:t>
      </w:r>
      <w:r>
        <w:rPr>
          <w:spacing w:val="-2"/>
          <w:sz w:val="20"/>
        </w:rPr>
        <w:t>of</w:t>
      </w:r>
      <w:r>
        <w:rPr>
          <w:spacing w:val="-6"/>
          <w:sz w:val="20"/>
        </w:rPr>
        <w:t xml:space="preserve"> </w:t>
      </w:r>
      <w:r>
        <w:rPr>
          <w:spacing w:val="-2"/>
          <w:sz w:val="20"/>
        </w:rPr>
        <w:t>services,</w:t>
      </w:r>
      <w:r>
        <w:rPr>
          <w:spacing w:val="-6"/>
          <w:sz w:val="20"/>
        </w:rPr>
        <w:t xml:space="preserve"> </w:t>
      </w:r>
      <w:r>
        <w:rPr>
          <w:spacing w:val="-2"/>
          <w:sz w:val="20"/>
        </w:rPr>
        <w:t>while</w:t>
      </w:r>
      <w:r>
        <w:rPr>
          <w:spacing w:val="-6"/>
          <w:sz w:val="20"/>
        </w:rPr>
        <w:t xml:space="preserve"> </w:t>
      </w:r>
      <w:r>
        <w:rPr>
          <w:spacing w:val="-2"/>
          <w:sz w:val="20"/>
        </w:rPr>
        <w:t>including</w:t>
      </w:r>
      <w:r>
        <w:rPr>
          <w:spacing w:val="-6"/>
          <w:sz w:val="20"/>
        </w:rPr>
        <w:t xml:space="preserve"> </w:t>
      </w:r>
      <w:r>
        <w:rPr>
          <w:spacing w:val="-2"/>
          <w:sz w:val="20"/>
        </w:rPr>
        <w:t>the</w:t>
      </w:r>
      <w:r>
        <w:rPr>
          <w:spacing w:val="-6"/>
          <w:sz w:val="20"/>
        </w:rPr>
        <w:t xml:space="preserve"> </w:t>
      </w:r>
      <w:r>
        <w:rPr>
          <w:spacing w:val="-2"/>
          <w:sz w:val="20"/>
        </w:rPr>
        <w:t>private</w:t>
      </w:r>
      <w:r>
        <w:rPr>
          <w:spacing w:val="-6"/>
          <w:sz w:val="20"/>
        </w:rPr>
        <w:t xml:space="preserve"> </w:t>
      </w:r>
      <w:r>
        <w:rPr>
          <w:spacing w:val="-2"/>
          <w:sz w:val="20"/>
        </w:rPr>
        <w:t xml:space="preserve">sector. </w:t>
      </w:r>
      <w:r>
        <w:rPr>
          <w:w w:val="95"/>
          <w:sz w:val="20"/>
        </w:rPr>
        <w:t>In</w:t>
      </w:r>
      <w:r>
        <w:rPr>
          <w:spacing w:val="-1"/>
          <w:w w:val="95"/>
          <w:sz w:val="20"/>
        </w:rPr>
        <w:t xml:space="preserve"> </w:t>
      </w:r>
      <w:r>
        <w:rPr>
          <w:w w:val="95"/>
          <w:sz w:val="20"/>
        </w:rPr>
        <w:t>the</w:t>
      </w:r>
      <w:r>
        <w:rPr>
          <w:spacing w:val="-1"/>
          <w:w w:val="95"/>
          <w:sz w:val="20"/>
        </w:rPr>
        <w:t xml:space="preserve"> </w:t>
      </w:r>
      <w:r>
        <w:rPr>
          <w:w w:val="95"/>
          <w:sz w:val="20"/>
        </w:rPr>
        <w:t>short</w:t>
      </w:r>
      <w:r>
        <w:rPr>
          <w:spacing w:val="-1"/>
          <w:w w:val="95"/>
          <w:sz w:val="20"/>
        </w:rPr>
        <w:t xml:space="preserve"> </w:t>
      </w:r>
      <w:r>
        <w:rPr>
          <w:w w:val="95"/>
          <w:sz w:val="20"/>
        </w:rPr>
        <w:t>term,</w:t>
      </w:r>
      <w:r>
        <w:rPr>
          <w:spacing w:val="-1"/>
          <w:w w:val="95"/>
          <w:sz w:val="20"/>
        </w:rPr>
        <w:t xml:space="preserve"> </w:t>
      </w:r>
      <w:r>
        <w:rPr>
          <w:w w:val="95"/>
          <w:sz w:val="20"/>
        </w:rPr>
        <w:t>Infrastructure</w:t>
      </w:r>
      <w:r>
        <w:rPr>
          <w:spacing w:val="-1"/>
          <w:w w:val="95"/>
          <w:sz w:val="20"/>
        </w:rPr>
        <w:t xml:space="preserve"> </w:t>
      </w:r>
      <w:r>
        <w:rPr>
          <w:w w:val="95"/>
          <w:sz w:val="20"/>
        </w:rPr>
        <w:t>NSW</w:t>
      </w:r>
      <w:r>
        <w:rPr>
          <w:spacing w:val="-1"/>
          <w:w w:val="95"/>
          <w:sz w:val="20"/>
        </w:rPr>
        <w:t xml:space="preserve"> </w:t>
      </w:r>
      <w:r>
        <w:rPr>
          <w:w w:val="95"/>
          <w:sz w:val="20"/>
        </w:rPr>
        <w:t xml:space="preserve">recommends </w:t>
      </w:r>
      <w:r>
        <w:rPr>
          <w:sz w:val="20"/>
        </w:rPr>
        <w:t>investigation</w:t>
      </w:r>
      <w:r>
        <w:rPr>
          <w:spacing w:val="-13"/>
          <w:sz w:val="20"/>
        </w:rPr>
        <w:t xml:space="preserve"> </w:t>
      </w:r>
      <w:r>
        <w:rPr>
          <w:sz w:val="20"/>
        </w:rPr>
        <w:t>of</w:t>
      </w:r>
      <w:r>
        <w:rPr>
          <w:spacing w:val="-13"/>
          <w:sz w:val="20"/>
        </w:rPr>
        <w:t xml:space="preserve"> </w:t>
      </w:r>
      <w:r>
        <w:rPr>
          <w:sz w:val="20"/>
        </w:rPr>
        <w:t>excess</w:t>
      </w:r>
      <w:r>
        <w:rPr>
          <w:spacing w:val="-13"/>
          <w:sz w:val="20"/>
        </w:rPr>
        <w:t xml:space="preserve"> </w:t>
      </w:r>
      <w:r>
        <w:rPr>
          <w:sz w:val="20"/>
        </w:rPr>
        <w:t>capacity</w:t>
      </w:r>
      <w:r>
        <w:rPr>
          <w:spacing w:val="-13"/>
          <w:sz w:val="20"/>
        </w:rPr>
        <w:t xml:space="preserve"> </w:t>
      </w:r>
      <w:r>
        <w:rPr>
          <w:sz w:val="20"/>
        </w:rPr>
        <w:t>in</w:t>
      </w:r>
      <w:r>
        <w:rPr>
          <w:spacing w:val="-13"/>
          <w:sz w:val="20"/>
        </w:rPr>
        <w:t xml:space="preserve"> </w:t>
      </w:r>
      <w:r>
        <w:rPr>
          <w:sz w:val="20"/>
        </w:rPr>
        <w:t>the</w:t>
      </w:r>
      <w:r>
        <w:rPr>
          <w:spacing w:val="-13"/>
          <w:sz w:val="20"/>
        </w:rPr>
        <w:t xml:space="preserve"> </w:t>
      </w:r>
      <w:r>
        <w:rPr>
          <w:sz w:val="20"/>
        </w:rPr>
        <w:t>private sector</w:t>
      </w:r>
      <w:r>
        <w:rPr>
          <w:spacing w:val="-4"/>
          <w:sz w:val="20"/>
        </w:rPr>
        <w:t xml:space="preserve"> </w:t>
      </w:r>
      <w:r>
        <w:rPr>
          <w:sz w:val="20"/>
        </w:rPr>
        <w:t>and</w:t>
      </w:r>
      <w:r>
        <w:rPr>
          <w:spacing w:val="-4"/>
          <w:sz w:val="20"/>
        </w:rPr>
        <w:t xml:space="preserve"> </w:t>
      </w:r>
      <w:r>
        <w:rPr>
          <w:sz w:val="20"/>
        </w:rPr>
        <w:t>options</w:t>
      </w:r>
      <w:r>
        <w:rPr>
          <w:spacing w:val="-4"/>
          <w:sz w:val="20"/>
        </w:rPr>
        <w:t xml:space="preserve"> </w:t>
      </w:r>
      <w:r>
        <w:rPr>
          <w:sz w:val="20"/>
        </w:rPr>
        <w:t>to</w:t>
      </w:r>
      <w:r>
        <w:rPr>
          <w:spacing w:val="-4"/>
          <w:sz w:val="20"/>
        </w:rPr>
        <w:t xml:space="preserve"> </w:t>
      </w:r>
      <w:r>
        <w:rPr>
          <w:sz w:val="20"/>
        </w:rPr>
        <w:t>purchase</w:t>
      </w:r>
      <w:r>
        <w:rPr>
          <w:spacing w:val="-4"/>
          <w:sz w:val="20"/>
        </w:rPr>
        <w:t xml:space="preserve"> </w:t>
      </w:r>
      <w:r>
        <w:rPr>
          <w:sz w:val="20"/>
        </w:rPr>
        <w:t>full</w:t>
      </w:r>
      <w:r>
        <w:rPr>
          <w:spacing w:val="-4"/>
          <w:sz w:val="20"/>
        </w:rPr>
        <w:t xml:space="preserve"> </w:t>
      </w:r>
      <w:r>
        <w:rPr>
          <w:sz w:val="20"/>
        </w:rPr>
        <w:t xml:space="preserve">hospital </w:t>
      </w:r>
      <w:r>
        <w:rPr>
          <w:w w:val="95"/>
          <w:sz w:val="20"/>
        </w:rPr>
        <w:t xml:space="preserve">services for public patients from the private sector </w:t>
      </w:r>
      <w:r>
        <w:rPr>
          <w:sz w:val="20"/>
        </w:rPr>
        <w:t>to cut waiting times.</w:t>
      </w:r>
    </w:p>
    <w:p w:rsidR="002C1123" w:rsidRDefault="00F22F94">
      <w:pPr>
        <w:pStyle w:val="ListParagraph"/>
        <w:numPr>
          <w:ilvl w:val="0"/>
          <w:numId w:val="48"/>
        </w:numPr>
        <w:tabs>
          <w:tab w:val="left" w:pos="471"/>
        </w:tabs>
        <w:spacing w:before="136" w:line="249" w:lineRule="auto"/>
        <w:ind w:left="470" w:right="64"/>
        <w:rPr>
          <w:sz w:val="20"/>
        </w:rPr>
      </w:pPr>
      <w:r>
        <w:rPr>
          <w:sz w:val="20"/>
        </w:rPr>
        <w:t>NSW</w:t>
      </w:r>
      <w:r>
        <w:rPr>
          <w:spacing w:val="-5"/>
          <w:sz w:val="20"/>
        </w:rPr>
        <w:t xml:space="preserve"> </w:t>
      </w:r>
      <w:r>
        <w:rPr>
          <w:sz w:val="20"/>
        </w:rPr>
        <w:t>Health</w:t>
      </w:r>
      <w:r>
        <w:rPr>
          <w:spacing w:val="-5"/>
          <w:sz w:val="20"/>
        </w:rPr>
        <w:t xml:space="preserve"> </w:t>
      </w:r>
      <w:r>
        <w:rPr>
          <w:sz w:val="20"/>
        </w:rPr>
        <w:t>has</w:t>
      </w:r>
      <w:r>
        <w:rPr>
          <w:spacing w:val="-5"/>
          <w:sz w:val="20"/>
        </w:rPr>
        <w:t xml:space="preserve"> </w:t>
      </w:r>
      <w:r>
        <w:rPr>
          <w:sz w:val="20"/>
        </w:rPr>
        <w:t>infrastructure</w:t>
      </w:r>
      <w:r>
        <w:rPr>
          <w:spacing w:val="-5"/>
          <w:sz w:val="20"/>
        </w:rPr>
        <w:t xml:space="preserve"> </w:t>
      </w:r>
      <w:r>
        <w:rPr>
          <w:sz w:val="20"/>
        </w:rPr>
        <w:t>for</w:t>
      </w:r>
      <w:r>
        <w:rPr>
          <w:spacing w:val="-5"/>
          <w:sz w:val="20"/>
        </w:rPr>
        <w:t xml:space="preserve"> </w:t>
      </w:r>
      <w:r>
        <w:rPr>
          <w:sz w:val="20"/>
        </w:rPr>
        <w:t>support services</w:t>
      </w:r>
      <w:r>
        <w:rPr>
          <w:spacing w:val="-8"/>
          <w:sz w:val="20"/>
        </w:rPr>
        <w:t xml:space="preserve"> </w:t>
      </w:r>
      <w:r>
        <w:rPr>
          <w:sz w:val="20"/>
        </w:rPr>
        <w:t>such</w:t>
      </w:r>
      <w:r>
        <w:rPr>
          <w:spacing w:val="-8"/>
          <w:sz w:val="20"/>
        </w:rPr>
        <w:t xml:space="preserve"> </w:t>
      </w:r>
      <w:r>
        <w:rPr>
          <w:sz w:val="20"/>
        </w:rPr>
        <w:t>as</w:t>
      </w:r>
      <w:r>
        <w:rPr>
          <w:spacing w:val="-8"/>
          <w:sz w:val="20"/>
        </w:rPr>
        <w:t xml:space="preserve"> </w:t>
      </w:r>
      <w:r>
        <w:rPr>
          <w:sz w:val="20"/>
        </w:rPr>
        <w:t>medical</w:t>
      </w:r>
      <w:r>
        <w:rPr>
          <w:spacing w:val="-8"/>
          <w:sz w:val="20"/>
        </w:rPr>
        <w:t xml:space="preserve"> </w:t>
      </w:r>
      <w:r>
        <w:rPr>
          <w:sz w:val="20"/>
        </w:rPr>
        <w:t>imaging,</w:t>
      </w:r>
      <w:r>
        <w:rPr>
          <w:spacing w:val="-8"/>
          <w:sz w:val="20"/>
        </w:rPr>
        <w:t xml:space="preserve"> </w:t>
      </w:r>
      <w:r>
        <w:rPr>
          <w:sz w:val="20"/>
        </w:rPr>
        <w:t>pathology, pharmacy</w:t>
      </w:r>
      <w:r>
        <w:rPr>
          <w:spacing w:val="-11"/>
          <w:sz w:val="20"/>
        </w:rPr>
        <w:t xml:space="preserve"> </w:t>
      </w:r>
      <w:r>
        <w:rPr>
          <w:sz w:val="20"/>
        </w:rPr>
        <w:t>and</w:t>
      </w:r>
      <w:r>
        <w:rPr>
          <w:spacing w:val="-11"/>
          <w:sz w:val="20"/>
        </w:rPr>
        <w:t xml:space="preserve"> </w:t>
      </w:r>
      <w:r>
        <w:rPr>
          <w:sz w:val="20"/>
        </w:rPr>
        <w:t>surgical</w:t>
      </w:r>
      <w:r>
        <w:rPr>
          <w:spacing w:val="-11"/>
          <w:sz w:val="20"/>
        </w:rPr>
        <w:t xml:space="preserve"> </w:t>
      </w:r>
      <w:r>
        <w:rPr>
          <w:sz w:val="20"/>
        </w:rPr>
        <w:t>instrument</w:t>
      </w:r>
      <w:r>
        <w:rPr>
          <w:spacing w:val="-11"/>
          <w:sz w:val="20"/>
        </w:rPr>
        <w:t xml:space="preserve"> </w:t>
      </w:r>
      <w:r>
        <w:rPr>
          <w:sz w:val="20"/>
        </w:rPr>
        <w:t xml:space="preserve">sterilisation </w:t>
      </w:r>
      <w:r>
        <w:rPr>
          <w:w w:val="95"/>
          <w:sz w:val="20"/>
        </w:rPr>
        <w:t>services</w:t>
      </w:r>
      <w:r>
        <w:rPr>
          <w:spacing w:val="-1"/>
          <w:w w:val="95"/>
          <w:sz w:val="20"/>
        </w:rPr>
        <w:t xml:space="preserve"> </w:t>
      </w:r>
      <w:r>
        <w:rPr>
          <w:w w:val="95"/>
          <w:sz w:val="20"/>
        </w:rPr>
        <w:t>and</w:t>
      </w:r>
      <w:r>
        <w:rPr>
          <w:spacing w:val="-1"/>
          <w:w w:val="95"/>
          <w:sz w:val="20"/>
        </w:rPr>
        <w:t xml:space="preserve"> </w:t>
      </w:r>
      <w:r>
        <w:rPr>
          <w:w w:val="95"/>
          <w:sz w:val="20"/>
        </w:rPr>
        <w:t>non-clinical</w:t>
      </w:r>
      <w:r>
        <w:rPr>
          <w:spacing w:val="-1"/>
          <w:w w:val="95"/>
          <w:sz w:val="20"/>
        </w:rPr>
        <w:t xml:space="preserve"> </w:t>
      </w:r>
      <w:r>
        <w:rPr>
          <w:w w:val="95"/>
          <w:sz w:val="20"/>
        </w:rPr>
        <w:t>services,</w:t>
      </w:r>
      <w:r>
        <w:rPr>
          <w:spacing w:val="-1"/>
          <w:w w:val="95"/>
          <w:sz w:val="20"/>
        </w:rPr>
        <w:t xml:space="preserve"> </w:t>
      </w:r>
      <w:r>
        <w:rPr>
          <w:w w:val="95"/>
          <w:sz w:val="20"/>
        </w:rPr>
        <w:t>car</w:t>
      </w:r>
      <w:r>
        <w:rPr>
          <w:spacing w:val="-1"/>
          <w:w w:val="95"/>
          <w:sz w:val="20"/>
        </w:rPr>
        <w:t xml:space="preserve"> </w:t>
      </w:r>
      <w:r>
        <w:rPr>
          <w:w w:val="95"/>
          <w:sz w:val="20"/>
        </w:rPr>
        <w:t>parking</w:t>
      </w:r>
      <w:r>
        <w:rPr>
          <w:spacing w:val="-1"/>
          <w:w w:val="95"/>
          <w:sz w:val="20"/>
        </w:rPr>
        <w:t xml:space="preserve"> </w:t>
      </w:r>
      <w:r>
        <w:rPr>
          <w:w w:val="95"/>
          <w:sz w:val="20"/>
        </w:rPr>
        <w:t xml:space="preserve">and </w:t>
      </w:r>
      <w:r>
        <w:rPr>
          <w:sz w:val="20"/>
        </w:rPr>
        <w:t>nursing</w:t>
      </w:r>
      <w:r>
        <w:rPr>
          <w:spacing w:val="-7"/>
          <w:sz w:val="20"/>
        </w:rPr>
        <w:t xml:space="preserve"> </w:t>
      </w:r>
      <w:r>
        <w:rPr>
          <w:sz w:val="20"/>
        </w:rPr>
        <w:t>homes</w:t>
      </w:r>
      <w:r>
        <w:rPr>
          <w:spacing w:val="-7"/>
          <w:sz w:val="20"/>
        </w:rPr>
        <w:t xml:space="preserve"> </w:t>
      </w:r>
      <w:r>
        <w:rPr>
          <w:sz w:val="20"/>
        </w:rPr>
        <w:t>that</w:t>
      </w:r>
      <w:r>
        <w:rPr>
          <w:spacing w:val="-7"/>
          <w:sz w:val="20"/>
        </w:rPr>
        <w:t xml:space="preserve"> </w:t>
      </w:r>
      <w:r>
        <w:rPr>
          <w:sz w:val="20"/>
        </w:rPr>
        <w:t>are</w:t>
      </w:r>
      <w:r>
        <w:rPr>
          <w:spacing w:val="-7"/>
          <w:sz w:val="20"/>
        </w:rPr>
        <w:t xml:space="preserve"> </w:t>
      </w:r>
      <w:r>
        <w:rPr>
          <w:sz w:val="20"/>
        </w:rPr>
        <w:t>best</w:t>
      </w:r>
      <w:r>
        <w:rPr>
          <w:spacing w:val="-7"/>
          <w:sz w:val="20"/>
        </w:rPr>
        <w:t xml:space="preserve"> </w:t>
      </w:r>
      <w:r>
        <w:rPr>
          <w:sz w:val="20"/>
        </w:rPr>
        <w:t>provided</w:t>
      </w:r>
      <w:r>
        <w:rPr>
          <w:spacing w:val="-7"/>
          <w:sz w:val="20"/>
        </w:rPr>
        <w:t xml:space="preserve"> </w:t>
      </w:r>
      <w:r>
        <w:rPr>
          <w:sz w:val="20"/>
        </w:rPr>
        <w:t>by</w:t>
      </w:r>
      <w:r>
        <w:rPr>
          <w:spacing w:val="-7"/>
          <w:sz w:val="20"/>
        </w:rPr>
        <w:t xml:space="preserve"> </w:t>
      </w:r>
      <w:r>
        <w:rPr>
          <w:sz w:val="20"/>
        </w:rPr>
        <w:t>others. Infrastructure</w:t>
      </w:r>
      <w:r>
        <w:rPr>
          <w:spacing w:val="-4"/>
          <w:sz w:val="20"/>
        </w:rPr>
        <w:t xml:space="preserve"> </w:t>
      </w:r>
      <w:r>
        <w:rPr>
          <w:sz w:val="20"/>
        </w:rPr>
        <w:t>NSW</w:t>
      </w:r>
      <w:r>
        <w:rPr>
          <w:spacing w:val="-4"/>
          <w:sz w:val="20"/>
        </w:rPr>
        <w:t xml:space="preserve"> </w:t>
      </w:r>
      <w:r>
        <w:rPr>
          <w:sz w:val="20"/>
        </w:rPr>
        <w:t>recommends</w:t>
      </w:r>
      <w:r>
        <w:rPr>
          <w:spacing w:val="-4"/>
          <w:sz w:val="20"/>
        </w:rPr>
        <w:t xml:space="preserve"> </w:t>
      </w:r>
      <w:r>
        <w:rPr>
          <w:sz w:val="20"/>
        </w:rPr>
        <w:t>a</w:t>
      </w:r>
      <w:r>
        <w:rPr>
          <w:spacing w:val="-4"/>
          <w:sz w:val="20"/>
        </w:rPr>
        <w:t xml:space="preserve"> </w:t>
      </w:r>
      <w:r>
        <w:rPr>
          <w:sz w:val="20"/>
        </w:rPr>
        <w:t>targeted program</w:t>
      </w:r>
      <w:r>
        <w:rPr>
          <w:spacing w:val="-8"/>
          <w:sz w:val="20"/>
        </w:rPr>
        <w:t xml:space="preserve"> </w:t>
      </w:r>
      <w:r>
        <w:rPr>
          <w:sz w:val="20"/>
        </w:rPr>
        <w:t>to</w:t>
      </w:r>
      <w:r>
        <w:rPr>
          <w:spacing w:val="-8"/>
          <w:sz w:val="20"/>
        </w:rPr>
        <w:t xml:space="preserve"> </w:t>
      </w:r>
      <w:r>
        <w:rPr>
          <w:sz w:val="20"/>
        </w:rPr>
        <w:t>recycle</w:t>
      </w:r>
      <w:r>
        <w:rPr>
          <w:spacing w:val="-8"/>
          <w:sz w:val="20"/>
        </w:rPr>
        <w:t xml:space="preserve"> </w:t>
      </w:r>
      <w:r>
        <w:rPr>
          <w:sz w:val="20"/>
        </w:rPr>
        <w:t>capital</w:t>
      </w:r>
      <w:r>
        <w:rPr>
          <w:spacing w:val="-8"/>
          <w:sz w:val="20"/>
        </w:rPr>
        <w:t xml:space="preserve"> </w:t>
      </w:r>
      <w:r>
        <w:rPr>
          <w:sz w:val="20"/>
        </w:rPr>
        <w:t>to</w:t>
      </w:r>
      <w:r>
        <w:rPr>
          <w:spacing w:val="-8"/>
          <w:sz w:val="20"/>
        </w:rPr>
        <w:t xml:space="preserve"> </w:t>
      </w:r>
      <w:r>
        <w:rPr>
          <w:sz w:val="20"/>
        </w:rPr>
        <w:t>health</w:t>
      </w:r>
      <w:r>
        <w:rPr>
          <w:spacing w:val="-8"/>
          <w:sz w:val="20"/>
        </w:rPr>
        <w:t xml:space="preserve"> </w:t>
      </w:r>
      <w:r>
        <w:rPr>
          <w:sz w:val="20"/>
        </w:rPr>
        <w:t>priorities.</w:t>
      </w:r>
    </w:p>
    <w:p w:rsidR="002C1123" w:rsidRDefault="00F22F94">
      <w:pPr>
        <w:pStyle w:val="ListParagraph"/>
        <w:numPr>
          <w:ilvl w:val="1"/>
          <w:numId w:val="48"/>
        </w:numPr>
        <w:tabs>
          <w:tab w:val="left" w:pos="650"/>
        </w:tabs>
        <w:spacing w:before="122" w:line="249" w:lineRule="auto"/>
        <w:ind w:right="1111"/>
        <w:rPr>
          <w:sz w:val="20"/>
        </w:rPr>
      </w:pPr>
      <w:r>
        <w:br w:type="column"/>
      </w:r>
      <w:r>
        <w:rPr>
          <w:spacing w:val="-2"/>
          <w:sz w:val="20"/>
        </w:rPr>
        <w:t>Like</w:t>
      </w:r>
      <w:r>
        <w:rPr>
          <w:spacing w:val="-9"/>
          <w:sz w:val="20"/>
        </w:rPr>
        <w:t xml:space="preserve"> </w:t>
      </w:r>
      <w:r>
        <w:rPr>
          <w:spacing w:val="-2"/>
          <w:sz w:val="20"/>
        </w:rPr>
        <w:t>health</w:t>
      </w:r>
      <w:r>
        <w:rPr>
          <w:spacing w:val="-9"/>
          <w:sz w:val="20"/>
        </w:rPr>
        <w:t xml:space="preserve"> </w:t>
      </w:r>
      <w:r>
        <w:rPr>
          <w:spacing w:val="-2"/>
          <w:sz w:val="20"/>
        </w:rPr>
        <w:t>systems</w:t>
      </w:r>
      <w:r>
        <w:rPr>
          <w:spacing w:val="-9"/>
          <w:sz w:val="20"/>
        </w:rPr>
        <w:t xml:space="preserve"> </w:t>
      </w:r>
      <w:r>
        <w:rPr>
          <w:spacing w:val="-2"/>
          <w:sz w:val="20"/>
        </w:rPr>
        <w:t>around</w:t>
      </w:r>
      <w:r>
        <w:rPr>
          <w:spacing w:val="-9"/>
          <w:sz w:val="20"/>
        </w:rPr>
        <w:t xml:space="preserve"> </w:t>
      </w:r>
      <w:r>
        <w:rPr>
          <w:spacing w:val="-2"/>
          <w:sz w:val="20"/>
        </w:rPr>
        <w:t>the</w:t>
      </w:r>
      <w:r>
        <w:rPr>
          <w:spacing w:val="-9"/>
          <w:sz w:val="20"/>
        </w:rPr>
        <w:t xml:space="preserve"> </w:t>
      </w:r>
      <w:r>
        <w:rPr>
          <w:spacing w:val="-2"/>
          <w:sz w:val="20"/>
        </w:rPr>
        <w:t>world,</w:t>
      </w:r>
      <w:r>
        <w:rPr>
          <w:spacing w:val="-9"/>
          <w:sz w:val="20"/>
        </w:rPr>
        <w:t xml:space="preserve"> </w:t>
      </w:r>
      <w:r>
        <w:rPr>
          <w:spacing w:val="-2"/>
          <w:sz w:val="20"/>
        </w:rPr>
        <w:t>the</w:t>
      </w:r>
      <w:r>
        <w:rPr>
          <w:spacing w:val="-9"/>
          <w:sz w:val="20"/>
        </w:rPr>
        <w:t xml:space="preserve"> </w:t>
      </w:r>
      <w:r>
        <w:rPr>
          <w:spacing w:val="-2"/>
          <w:sz w:val="20"/>
        </w:rPr>
        <w:t xml:space="preserve">NSW </w:t>
      </w:r>
      <w:r>
        <w:rPr>
          <w:w w:val="95"/>
          <w:sz w:val="20"/>
        </w:rPr>
        <w:t xml:space="preserve">health system is facing considerable challenges </w:t>
      </w:r>
      <w:r>
        <w:rPr>
          <w:sz w:val="20"/>
        </w:rPr>
        <w:t>to</w:t>
      </w:r>
      <w:r>
        <w:rPr>
          <w:spacing w:val="-6"/>
          <w:sz w:val="20"/>
        </w:rPr>
        <w:t xml:space="preserve"> </w:t>
      </w:r>
      <w:r>
        <w:rPr>
          <w:sz w:val="20"/>
        </w:rPr>
        <w:t>meet</w:t>
      </w:r>
      <w:r>
        <w:rPr>
          <w:spacing w:val="-6"/>
          <w:sz w:val="20"/>
        </w:rPr>
        <w:t xml:space="preserve"> </w:t>
      </w:r>
      <w:r>
        <w:rPr>
          <w:sz w:val="20"/>
        </w:rPr>
        <w:t>growing</w:t>
      </w:r>
      <w:r>
        <w:rPr>
          <w:spacing w:val="-6"/>
          <w:sz w:val="20"/>
        </w:rPr>
        <w:t xml:space="preserve"> </w:t>
      </w:r>
      <w:r>
        <w:rPr>
          <w:sz w:val="20"/>
        </w:rPr>
        <w:t>demand</w:t>
      </w:r>
      <w:r>
        <w:rPr>
          <w:spacing w:val="-6"/>
          <w:sz w:val="20"/>
        </w:rPr>
        <w:t xml:space="preserve"> </w:t>
      </w:r>
      <w:r>
        <w:rPr>
          <w:sz w:val="20"/>
        </w:rPr>
        <w:t>driven</w:t>
      </w:r>
      <w:r>
        <w:rPr>
          <w:spacing w:val="-6"/>
          <w:sz w:val="20"/>
        </w:rPr>
        <w:t xml:space="preserve"> </w:t>
      </w:r>
      <w:r>
        <w:rPr>
          <w:sz w:val="20"/>
        </w:rPr>
        <w:t>by</w:t>
      </w:r>
      <w:r>
        <w:rPr>
          <w:spacing w:val="-6"/>
          <w:sz w:val="20"/>
        </w:rPr>
        <w:t xml:space="preserve"> </w:t>
      </w:r>
      <w:r>
        <w:rPr>
          <w:sz w:val="20"/>
        </w:rPr>
        <w:t>an</w:t>
      </w:r>
      <w:r>
        <w:rPr>
          <w:spacing w:val="-6"/>
          <w:sz w:val="20"/>
        </w:rPr>
        <w:t xml:space="preserve"> </w:t>
      </w:r>
      <w:r>
        <w:rPr>
          <w:sz w:val="20"/>
        </w:rPr>
        <w:t>ageing population,</w:t>
      </w:r>
      <w:r>
        <w:rPr>
          <w:spacing w:val="-9"/>
          <w:sz w:val="20"/>
        </w:rPr>
        <w:t xml:space="preserve"> </w:t>
      </w:r>
      <w:r>
        <w:rPr>
          <w:sz w:val="20"/>
        </w:rPr>
        <w:t>lifestyle</w:t>
      </w:r>
      <w:r>
        <w:rPr>
          <w:spacing w:val="-9"/>
          <w:sz w:val="20"/>
        </w:rPr>
        <w:t xml:space="preserve"> </w:t>
      </w:r>
      <w:r>
        <w:rPr>
          <w:sz w:val="20"/>
        </w:rPr>
        <w:t>diseases</w:t>
      </w:r>
      <w:r>
        <w:rPr>
          <w:spacing w:val="-9"/>
          <w:sz w:val="20"/>
        </w:rPr>
        <w:t xml:space="preserve"> </w:t>
      </w:r>
      <w:r>
        <w:rPr>
          <w:sz w:val="20"/>
        </w:rPr>
        <w:t>and</w:t>
      </w:r>
      <w:r>
        <w:rPr>
          <w:spacing w:val="-9"/>
          <w:sz w:val="20"/>
        </w:rPr>
        <w:t xml:space="preserve"> </w:t>
      </w:r>
      <w:r>
        <w:rPr>
          <w:sz w:val="20"/>
        </w:rPr>
        <w:t>new</w:t>
      </w:r>
      <w:r>
        <w:rPr>
          <w:spacing w:val="-9"/>
          <w:sz w:val="20"/>
        </w:rPr>
        <w:t xml:space="preserve"> </w:t>
      </w:r>
      <w:r>
        <w:rPr>
          <w:sz w:val="20"/>
        </w:rPr>
        <w:t xml:space="preserve">care </w:t>
      </w:r>
      <w:r>
        <w:rPr>
          <w:w w:val="95"/>
          <w:sz w:val="20"/>
        </w:rPr>
        <w:t>technologies.</w:t>
      </w:r>
      <w:r>
        <w:rPr>
          <w:spacing w:val="-9"/>
          <w:w w:val="95"/>
          <w:sz w:val="20"/>
        </w:rPr>
        <w:t xml:space="preserve"> </w:t>
      </w:r>
      <w:r>
        <w:rPr>
          <w:w w:val="95"/>
          <w:sz w:val="20"/>
        </w:rPr>
        <w:t>NSW</w:t>
      </w:r>
      <w:r>
        <w:rPr>
          <w:spacing w:val="-9"/>
          <w:w w:val="95"/>
          <w:sz w:val="20"/>
        </w:rPr>
        <w:t xml:space="preserve"> </w:t>
      </w:r>
      <w:r>
        <w:rPr>
          <w:w w:val="95"/>
          <w:sz w:val="20"/>
        </w:rPr>
        <w:t>Health’s</w:t>
      </w:r>
      <w:r>
        <w:rPr>
          <w:spacing w:val="-9"/>
          <w:w w:val="95"/>
          <w:sz w:val="20"/>
        </w:rPr>
        <w:t xml:space="preserve"> </w:t>
      </w:r>
      <w:r>
        <w:rPr>
          <w:w w:val="95"/>
          <w:sz w:val="20"/>
        </w:rPr>
        <w:t>goals</w:t>
      </w:r>
      <w:r>
        <w:rPr>
          <w:spacing w:val="-9"/>
          <w:w w:val="95"/>
          <w:sz w:val="20"/>
        </w:rPr>
        <w:t xml:space="preserve"> </w:t>
      </w:r>
      <w:r>
        <w:rPr>
          <w:w w:val="95"/>
          <w:sz w:val="20"/>
        </w:rPr>
        <w:t>are</w:t>
      </w:r>
      <w:r>
        <w:rPr>
          <w:spacing w:val="-9"/>
          <w:w w:val="95"/>
          <w:sz w:val="20"/>
        </w:rPr>
        <w:t xml:space="preserve"> </w:t>
      </w:r>
      <w:r>
        <w:rPr>
          <w:w w:val="95"/>
          <w:sz w:val="20"/>
        </w:rPr>
        <w:t>to</w:t>
      </w:r>
      <w:r>
        <w:rPr>
          <w:spacing w:val="-9"/>
          <w:w w:val="95"/>
          <w:sz w:val="20"/>
        </w:rPr>
        <w:t xml:space="preserve"> </w:t>
      </w:r>
      <w:r>
        <w:rPr>
          <w:w w:val="95"/>
          <w:sz w:val="20"/>
        </w:rPr>
        <w:t>improve</w:t>
      </w:r>
    </w:p>
    <w:p w:rsidR="002C1123" w:rsidRDefault="00F22F94">
      <w:pPr>
        <w:pStyle w:val="BodyText"/>
        <w:spacing w:before="3" w:line="249" w:lineRule="auto"/>
        <w:ind w:left="649" w:right="523"/>
      </w:pPr>
      <w:r>
        <w:rPr>
          <w:w w:val="95"/>
        </w:rPr>
        <w:t xml:space="preserve">health outcomes and meet the growth in demand for </w:t>
      </w:r>
      <w:r>
        <w:t>health</w:t>
      </w:r>
      <w:r>
        <w:rPr>
          <w:spacing w:val="-11"/>
        </w:rPr>
        <w:t xml:space="preserve"> </w:t>
      </w:r>
      <w:r>
        <w:t>services.</w:t>
      </w:r>
    </w:p>
    <w:p w:rsidR="002C1123" w:rsidRDefault="00F22F94">
      <w:pPr>
        <w:pStyle w:val="ListParagraph"/>
        <w:numPr>
          <w:ilvl w:val="1"/>
          <w:numId w:val="48"/>
        </w:numPr>
        <w:tabs>
          <w:tab w:val="left" w:pos="650"/>
        </w:tabs>
        <w:spacing w:before="131" w:line="249" w:lineRule="auto"/>
        <w:ind w:right="842"/>
        <w:rPr>
          <w:sz w:val="20"/>
        </w:rPr>
      </w:pPr>
      <w:r>
        <w:rPr>
          <w:w w:val="95"/>
          <w:sz w:val="20"/>
        </w:rPr>
        <w:t>Demand</w:t>
      </w:r>
      <w:r>
        <w:rPr>
          <w:spacing w:val="-6"/>
          <w:w w:val="95"/>
          <w:sz w:val="20"/>
        </w:rPr>
        <w:t xml:space="preserve"> </w:t>
      </w:r>
      <w:r>
        <w:rPr>
          <w:w w:val="95"/>
          <w:sz w:val="20"/>
        </w:rPr>
        <w:t>for</w:t>
      </w:r>
      <w:r>
        <w:rPr>
          <w:spacing w:val="-6"/>
          <w:w w:val="95"/>
          <w:sz w:val="20"/>
        </w:rPr>
        <w:t xml:space="preserve"> </w:t>
      </w:r>
      <w:r>
        <w:rPr>
          <w:w w:val="95"/>
          <w:sz w:val="20"/>
        </w:rPr>
        <w:t>health</w:t>
      </w:r>
      <w:r>
        <w:rPr>
          <w:spacing w:val="-6"/>
          <w:w w:val="95"/>
          <w:sz w:val="20"/>
        </w:rPr>
        <w:t xml:space="preserve"> </w:t>
      </w:r>
      <w:r>
        <w:rPr>
          <w:w w:val="95"/>
          <w:sz w:val="20"/>
        </w:rPr>
        <w:t>care</w:t>
      </w:r>
      <w:r>
        <w:rPr>
          <w:spacing w:val="-6"/>
          <w:w w:val="95"/>
          <w:sz w:val="20"/>
        </w:rPr>
        <w:t xml:space="preserve"> </w:t>
      </w:r>
      <w:r>
        <w:rPr>
          <w:w w:val="95"/>
          <w:sz w:val="20"/>
        </w:rPr>
        <w:t>is</w:t>
      </w:r>
      <w:r>
        <w:rPr>
          <w:spacing w:val="-6"/>
          <w:w w:val="95"/>
          <w:sz w:val="20"/>
        </w:rPr>
        <w:t xml:space="preserve"> </w:t>
      </w:r>
      <w:r>
        <w:rPr>
          <w:w w:val="95"/>
          <w:sz w:val="20"/>
        </w:rPr>
        <w:t>forecast</w:t>
      </w:r>
      <w:r>
        <w:rPr>
          <w:spacing w:val="-6"/>
          <w:w w:val="95"/>
          <w:sz w:val="20"/>
        </w:rPr>
        <w:t xml:space="preserve"> </w:t>
      </w:r>
      <w:r>
        <w:rPr>
          <w:w w:val="95"/>
          <w:sz w:val="20"/>
        </w:rPr>
        <w:t>to</w:t>
      </w:r>
      <w:r>
        <w:rPr>
          <w:spacing w:val="-6"/>
          <w:w w:val="95"/>
          <w:sz w:val="20"/>
        </w:rPr>
        <w:t xml:space="preserve"> </w:t>
      </w:r>
      <w:r>
        <w:rPr>
          <w:w w:val="95"/>
          <w:sz w:val="20"/>
        </w:rPr>
        <w:t>grow</w:t>
      </w:r>
      <w:r>
        <w:rPr>
          <w:spacing w:val="-6"/>
          <w:w w:val="95"/>
          <w:sz w:val="20"/>
        </w:rPr>
        <w:t xml:space="preserve"> </w:t>
      </w:r>
      <w:r>
        <w:rPr>
          <w:w w:val="95"/>
          <w:sz w:val="20"/>
        </w:rPr>
        <w:t>by</w:t>
      </w:r>
      <w:r>
        <w:rPr>
          <w:spacing w:val="-6"/>
          <w:w w:val="95"/>
          <w:sz w:val="20"/>
        </w:rPr>
        <w:t xml:space="preserve"> </w:t>
      </w:r>
      <w:r>
        <w:rPr>
          <w:w w:val="95"/>
          <w:sz w:val="20"/>
        </w:rPr>
        <w:t xml:space="preserve">nearly </w:t>
      </w:r>
      <w:r>
        <w:rPr>
          <w:sz w:val="20"/>
        </w:rPr>
        <w:t>50</w:t>
      </w:r>
      <w:r>
        <w:rPr>
          <w:spacing w:val="-10"/>
          <w:sz w:val="20"/>
        </w:rPr>
        <w:t xml:space="preserve"> </w:t>
      </w:r>
      <w:r>
        <w:rPr>
          <w:sz w:val="20"/>
        </w:rPr>
        <w:t>percent</w:t>
      </w:r>
      <w:r>
        <w:rPr>
          <w:spacing w:val="-10"/>
          <w:sz w:val="20"/>
        </w:rPr>
        <w:t xml:space="preserve"> </w:t>
      </w:r>
      <w:r>
        <w:rPr>
          <w:sz w:val="20"/>
        </w:rPr>
        <w:t>in</w:t>
      </w:r>
      <w:r>
        <w:rPr>
          <w:spacing w:val="-10"/>
          <w:sz w:val="20"/>
        </w:rPr>
        <w:t xml:space="preserve"> </w:t>
      </w:r>
      <w:r>
        <w:rPr>
          <w:sz w:val="20"/>
        </w:rPr>
        <w:t>the</w:t>
      </w:r>
      <w:r>
        <w:rPr>
          <w:spacing w:val="-10"/>
          <w:sz w:val="20"/>
        </w:rPr>
        <w:t xml:space="preserve"> </w:t>
      </w:r>
      <w:r>
        <w:rPr>
          <w:sz w:val="20"/>
        </w:rPr>
        <w:t>next</w:t>
      </w:r>
      <w:r>
        <w:rPr>
          <w:spacing w:val="-10"/>
          <w:sz w:val="20"/>
        </w:rPr>
        <w:t xml:space="preserve"> </w:t>
      </w:r>
      <w:r>
        <w:rPr>
          <w:sz w:val="20"/>
        </w:rPr>
        <w:t>20</w:t>
      </w:r>
      <w:r>
        <w:rPr>
          <w:spacing w:val="-10"/>
          <w:sz w:val="20"/>
        </w:rPr>
        <w:t xml:space="preserve"> </w:t>
      </w:r>
      <w:r>
        <w:rPr>
          <w:sz w:val="20"/>
        </w:rPr>
        <w:t>years,</w:t>
      </w:r>
      <w:r>
        <w:rPr>
          <w:spacing w:val="-10"/>
          <w:sz w:val="20"/>
        </w:rPr>
        <w:t xml:space="preserve"> </w:t>
      </w:r>
      <w:r>
        <w:rPr>
          <w:sz w:val="20"/>
        </w:rPr>
        <w:t>due</w:t>
      </w:r>
      <w:r>
        <w:rPr>
          <w:spacing w:val="-10"/>
          <w:sz w:val="20"/>
        </w:rPr>
        <w:t xml:space="preserve"> </w:t>
      </w:r>
      <w:r>
        <w:rPr>
          <w:sz w:val="20"/>
        </w:rPr>
        <w:t>to</w:t>
      </w:r>
      <w:r>
        <w:rPr>
          <w:spacing w:val="-10"/>
          <w:sz w:val="20"/>
        </w:rPr>
        <w:t xml:space="preserve"> </w:t>
      </w:r>
      <w:r>
        <w:rPr>
          <w:sz w:val="20"/>
        </w:rPr>
        <w:t>the</w:t>
      </w:r>
      <w:r>
        <w:rPr>
          <w:spacing w:val="-10"/>
          <w:sz w:val="20"/>
        </w:rPr>
        <w:t xml:space="preserve"> </w:t>
      </w:r>
      <w:r>
        <w:rPr>
          <w:sz w:val="20"/>
        </w:rPr>
        <w:t>ageing population and lifestyle diseases.</w:t>
      </w:r>
    </w:p>
    <w:p w:rsidR="002C1123" w:rsidRDefault="00F22F94">
      <w:pPr>
        <w:pStyle w:val="ListParagraph"/>
        <w:numPr>
          <w:ilvl w:val="1"/>
          <w:numId w:val="48"/>
        </w:numPr>
        <w:tabs>
          <w:tab w:val="left" w:pos="651"/>
        </w:tabs>
        <w:spacing w:before="132" w:line="249" w:lineRule="auto"/>
        <w:ind w:left="650" w:right="899"/>
        <w:rPr>
          <w:sz w:val="20"/>
        </w:rPr>
      </w:pPr>
      <w:r>
        <w:rPr>
          <w:w w:val="95"/>
          <w:sz w:val="20"/>
        </w:rPr>
        <w:t xml:space="preserve">Supply of new hospital beds is estimated at around </w:t>
      </w:r>
      <w:r>
        <w:rPr>
          <w:sz w:val="20"/>
        </w:rPr>
        <w:t>275</w:t>
      </w:r>
      <w:r>
        <w:rPr>
          <w:spacing w:val="-14"/>
          <w:sz w:val="20"/>
        </w:rPr>
        <w:t xml:space="preserve"> </w:t>
      </w:r>
      <w:r>
        <w:rPr>
          <w:sz w:val="20"/>
        </w:rPr>
        <w:t>beds</w:t>
      </w:r>
      <w:r>
        <w:rPr>
          <w:spacing w:val="-14"/>
          <w:sz w:val="20"/>
        </w:rPr>
        <w:t xml:space="preserve"> </w:t>
      </w:r>
      <w:r>
        <w:rPr>
          <w:sz w:val="20"/>
        </w:rPr>
        <w:t>per</w:t>
      </w:r>
      <w:r>
        <w:rPr>
          <w:spacing w:val="-14"/>
          <w:sz w:val="20"/>
        </w:rPr>
        <w:t xml:space="preserve"> </w:t>
      </w:r>
      <w:r>
        <w:rPr>
          <w:sz w:val="20"/>
        </w:rPr>
        <w:t>year</w:t>
      </w:r>
      <w:r>
        <w:rPr>
          <w:spacing w:val="-14"/>
          <w:sz w:val="20"/>
        </w:rPr>
        <w:t xml:space="preserve"> </w:t>
      </w:r>
      <w:r>
        <w:rPr>
          <w:sz w:val="20"/>
        </w:rPr>
        <w:t>(around</w:t>
      </w:r>
      <w:r>
        <w:rPr>
          <w:spacing w:val="-14"/>
          <w:sz w:val="20"/>
        </w:rPr>
        <w:t xml:space="preserve"> </w:t>
      </w:r>
      <w:r>
        <w:rPr>
          <w:sz w:val="20"/>
        </w:rPr>
        <w:t>200</w:t>
      </w:r>
      <w:r>
        <w:rPr>
          <w:spacing w:val="-14"/>
          <w:sz w:val="20"/>
        </w:rPr>
        <w:t xml:space="preserve"> </w:t>
      </w:r>
      <w:r>
        <w:rPr>
          <w:sz w:val="20"/>
        </w:rPr>
        <w:t>for</w:t>
      </w:r>
      <w:r>
        <w:rPr>
          <w:spacing w:val="-14"/>
          <w:sz w:val="20"/>
        </w:rPr>
        <w:t xml:space="preserve"> </w:t>
      </w:r>
      <w:r>
        <w:rPr>
          <w:sz w:val="20"/>
        </w:rPr>
        <w:t>acute</w:t>
      </w:r>
      <w:r>
        <w:rPr>
          <w:spacing w:val="-14"/>
          <w:sz w:val="20"/>
        </w:rPr>
        <w:t xml:space="preserve"> </w:t>
      </w:r>
      <w:r>
        <w:rPr>
          <w:sz w:val="20"/>
        </w:rPr>
        <w:t>care</w:t>
      </w:r>
      <w:r>
        <w:rPr>
          <w:spacing w:val="-14"/>
          <w:sz w:val="20"/>
        </w:rPr>
        <w:t xml:space="preserve"> </w:t>
      </w:r>
      <w:r>
        <w:rPr>
          <w:sz w:val="20"/>
        </w:rPr>
        <w:t xml:space="preserve">and </w:t>
      </w:r>
      <w:r>
        <w:rPr>
          <w:spacing w:val="-2"/>
          <w:sz w:val="20"/>
        </w:rPr>
        <w:t>75</w:t>
      </w:r>
      <w:r>
        <w:rPr>
          <w:spacing w:val="-11"/>
          <w:sz w:val="20"/>
        </w:rPr>
        <w:t xml:space="preserve"> </w:t>
      </w:r>
      <w:r>
        <w:rPr>
          <w:spacing w:val="-2"/>
          <w:sz w:val="20"/>
        </w:rPr>
        <w:t>for</w:t>
      </w:r>
      <w:r>
        <w:rPr>
          <w:spacing w:val="-11"/>
          <w:sz w:val="20"/>
        </w:rPr>
        <w:t xml:space="preserve"> </w:t>
      </w:r>
      <w:r>
        <w:rPr>
          <w:spacing w:val="-2"/>
          <w:sz w:val="20"/>
        </w:rPr>
        <w:t>sub-acute</w:t>
      </w:r>
      <w:r>
        <w:rPr>
          <w:spacing w:val="-11"/>
          <w:sz w:val="20"/>
        </w:rPr>
        <w:t xml:space="preserve"> </w:t>
      </w:r>
      <w:r>
        <w:rPr>
          <w:spacing w:val="-2"/>
          <w:sz w:val="20"/>
        </w:rPr>
        <w:t>care).</w:t>
      </w:r>
      <w:r>
        <w:rPr>
          <w:spacing w:val="-11"/>
          <w:sz w:val="20"/>
        </w:rPr>
        <w:t xml:space="preserve"> </w:t>
      </w:r>
      <w:r>
        <w:rPr>
          <w:spacing w:val="-2"/>
          <w:sz w:val="20"/>
        </w:rPr>
        <w:t>Without</w:t>
      </w:r>
      <w:r>
        <w:rPr>
          <w:spacing w:val="-11"/>
          <w:sz w:val="20"/>
        </w:rPr>
        <w:t xml:space="preserve"> </w:t>
      </w:r>
      <w:r>
        <w:rPr>
          <w:spacing w:val="-2"/>
          <w:sz w:val="20"/>
        </w:rPr>
        <w:t>reform,</w:t>
      </w:r>
      <w:r>
        <w:rPr>
          <w:spacing w:val="-11"/>
          <w:sz w:val="20"/>
        </w:rPr>
        <w:t xml:space="preserve"> </w:t>
      </w:r>
      <w:r>
        <w:rPr>
          <w:spacing w:val="-2"/>
          <w:sz w:val="20"/>
        </w:rPr>
        <w:t>this</w:t>
      </w:r>
      <w:r>
        <w:rPr>
          <w:spacing w:val="-11"/>
          <w:sz w:val="20"/>
        </w:rPr>
        <w:t xml:space="preserve"> </w:t>
      </w:r>
      <w:r>
        <w:rPr>
          <w:spacing w:val="-2"/>
          <w:sz w:val="20"/>
        </w:rPr>
        <w:t>will</w:t>
      </w:r>
      <w:r>
        <w:rPr>
          <w:spacing w:val="-11"/>
          <w:sz w:val="20"/>
        </w:rPr>
        <w:t xml:space="preserve"> </w:t>
      </w:r>
      <w:r>
        <w:rPr>
          <w:spacing w:val="-2"/>
          <w:sz w:val="20"/>
        </w:rPr>
        <w:t xml:space="preserve">put </w:t>
      </w:r>
      <w:r>
        <w:rPr>
          <w:w w:val="95"/>
          <w:sz w:val="20"/>
        </w:rPr>
        <w:t>significant</w:t>
      </w:r>
      <w:r>
        <w:rPr>
          <w:spacing w:val="-10"/>
          <w:w w:val="95"/>
          <w:sz w:val="20"/>
        </w:rPr>
        <w:t xml:space="preserve"> </w:t>
      </w:r>
      <w:r>
        <w:rPr>
          <w:w w:val="95"/>
          <w:sz w:val="20"/>
        </w:rPr>
        <w:t>pressure</w:t>
      </w:r>
      <w:r>
        <w:rPr>
          <w:spacing w:val="-10"/>
          <w:w w:val="95"/>
          <w:sz w:val="20"/>
        </w:rPr>
        <w:t xml:space="preserve"> </w:t>
      </w:r>
      <w:r>
        <w:rPr>
          <w:w w:val="95"/>
          <w:sz w:val="20"/>
        </w:rPr>
        <w:t>on</w:t>
      </w:r>
      <w:r>
        <w:rPr>
          <w:spacing w:val="-10"/>
          <w:w w:val="95"/>
          <w:sz w:val="20"/>
        </w:rPr>
        <w:t xml:space="preserve"> </w:t>
      </w:r>
      <w:r>
        <w:rPr>
          <w:w w:val="95"/>
          <w:sz w:val="20"/>
        </w:rPr>
        <w:t>NSW’s</w:t>
      </w:r>
      <w:r>
        <w:rPr>
          <w:spacing w:val="-10"/>
          <w:w w:val="95"/>
          <w:sz w:val="20"/>
        </w:rPr>
        <w:t xml:space="preserve"> </w:t>
      </w:r>
      <w:r>
        <w:rPr>
          <w:w w:val="95"/>
          <w:sz w:val="20"/>
        </w:rPr>
        <w:t>capital</w:t>
      </w:r>
      <w:r>
        <w:rPr>
          <w:spacing w:val="-10"/>
          <w:w w:val="95"/>
          <w:sz w:val="20"/>
        </w:rPr>
        <w:t xml:space="preserve"> </w:t>
      </w:r>
      <w:r>
        <w:rPr>
          <w:w w:val="95"/>
          <w:sz w:val="20"/>
        </w:rPr>
        <w:t>and</w:t>
      </w:r>
      <w:r>
        <w:rPr>
          <w:spacing w:val="-10"/>
          <w:w w:val="95"/>
          <w:sz w:val="20"/>
        </w:rPr>
        <w:t xml:space="preserve"> </w:t>
      </w:r>
      <w:r>
        <w:rPr>
          <w:w w:val="95"/>
          <w:sz w:val="20"/>
        </w:rPr>
        <w:t>operating budget.</w:t>
      </w:r>
      <w:r>
        <w:rPr>
          <w:spacing w:val="-4"/>
          <w:w w:val="95"/>
          <w:sz w:val="20"/>
        </w:rPr>
        <w:t xml:space="preserve"> </w:t>
      </w:r>
      <w:r>
        <w:rPr>
          <w:w w:val="95"/>
          <w:sz w:val="20"/>
        </w:rPr>
        <w:t>Infrastructure</w:t>
      </w:r>
      <w:r>
        <w:rPr>
          <w:spacing w:val="-4"/>
          <w:w w:val="95"/>
          <w:sz w:val="20"/>
        </w:rPr>
        <w:t xml:space="preserve"> </w:t>
      </w:r>
      <w:r>
        <w:rPr>
          <w:w w:val="95"/>
          <w:sz w:val="20"/>
        </w:rPr>
        <w:t>NSW</w:t>
      </w:r>
      <w:r>
        <w:rPr>
          <w:spacing w:val="-4"/>
          <w:w w:val="95"/>
          <w:sz w:val="20"/>
        </w:rPr>
        <w:t xml:space="preserve"> </w:t>
      </w:r>
      <w:r>
        <w:rPr>
          <w:w w:val="95"/>
          <w:sz w:val="20"/>
        </w:rPr>
        <w:t>has</w:t>
      </w:r>
      <w:r>
        <w:rPr>
          <w:spacing w:val="-4"/>
          <w:w w:val="95"/>
          <w:sz w:val="20"/>
        </w:rPr>
        <w:t xml:space="preserve"> </w:t>
      </w:r>
      <w:r>
        <w:rPr>
          <w:w w:val="95"/>
          <w:sz w:val="20"/>
        </w:rPr>
        <w:t>identified</w:t>
      </w:r>
      <w:r>
        <w:rPr>
          <w:spacing w:val="-4"/>
          <w:w w:val="95"/>
          <w:sz w:val="20"/>
        </w:rPr>
        <w:t xml:space="preserve"> </w:t>
      </w:r>
      <w:r>
        <w:rPr>
          <w:w w:val="95"/>
          <w:sz w:val="20"/>
        </w:rPr>
        <w:t xml:space="preserve">initiatives </w:t>
      </w:r>
      <w:r>
        <w:rPr>
          <w:sz w:val="20"/>
        </w:rPr>
        <w:t>from</w:t>
      </w:r>
      <w:r>
        <w:rPr>
          <w:spacing w:val="-12"/>
          <w:sz w:val="20"/>
        </w:rPr>
        <w:t xml:space="preserve"> </w:t>
      </w:r>
      <w:r>
        <w:rPr>
          <w:sz w:val="20"/>
        </w:rPr>
        <w:t>other</w:t>
      </w:r>
      <w:r>
        <w:rPr>
          <w:spacing w:val="-12"/>
          <w:sz w:val="20"/>
        </w:rPr>
        <w:t xml:space="preserve"> </w:t>
      </w:r>
      <w:r>
        <w:rPr>
          <w:sz w:val="20"/>
        </w:rPr>
        <w:t>states</w:t>
      </w:r>
      <w:r>
        <w:rPr>
          <w:spacing w:val="-12"/>
          <w:sz w:val="20"/>
        </w:rPr>
        <w:t xml:space="preserve"> </w:t>
      </w:r>
      <w:r>
        <w:rPr>
          <w:sz w:val="20"/>
        </w:rPr>
        <w:t>and</w:t>
      </w:r>
      <w:r>
        <w:rPr>
          <w:spacing w:val="-12"/>
          <w:sz w:val="20"/>
        </w:rPr>
        <w:t xml:space="preserve"> </w:t>
      </w:r>
      <w:r>
        <w:rPr>
          <w:sz w:val="20"/>
        </w:rPr>
        <w:t>around</w:t>
      </w:r>
      <w:r>
        <w:rPr>
          <w:spacing w:val="-12"/>
          <w:sz w:val="20"/>
        </w:rPr>
        <w:t xml:space="preserve"> </w:t>
      </w:r>
      <w:r>
        <w:rPr>
          <w:sz w:val="20"/>
        </w:rPr>
        <w:t>the</w:t>
      </w:r>
      <w:r>
        <w:rPr>
          <w:spacing w:val="-12"/>
          <w:sz w:val="20"/>
        </w:rPr>
        <w:t xml:space="preserve"> </w:t>
      </w:r>
      <w:r>
        <w:rPr>
          <w:sz w:val="20"/>
        </w:rPr>
        <w:t>world</w:t>
      </w:r>
      <w:r>
        <w:rPr>
          <w:spacing w:val="-12"/>
          <w:sz w:val="20"/>
        </w:rPr>
        <w:t xml:space="preserve"> </w:t>
      </w:r>
      <w:r>
        <w:rPr>
          <w:sz w:val="20"/>
        </w:rPr>
        <w:t>that</w:t>
      </w:r>
      <w:r>
        <w:rPr>
          <w:spacing w:val="-12"/>
          <w:sz w:val="20"/>
        </w:rPr>
        <w:t xml:space="preserve"> </w:t>
      </w:r>
      <w:r>
        <w:rPr>
          <w:sz w:val="20"/>
        </w:rPr>
        <w:t>meet</w:t>
      </w:r>
    </w:p>
    <w:p w:rsidR="002C1123" w:rsidRDefault="00F22F94">
      <w:pPr>
        <w:pStyle w:val="BodyText"/>
        <w:spacing w:before="4" w:line="249" w:lineRule="auto"/>
        <w:ind w:left="650" w:right="523"/>
      </w:pPr>
      <w:r>
        <w:rPr>
          <w:w w:val="95"/>
        </w:rPr>
        <w:t>health</w:t>
      </w:r>
      <w:r>
        <w:rPr>
          <w:spacing w:val="-7"/>
          <w:w w:val="95"/>
        </w:rPr>
        <w:t xml:space="preserve"> </w:t>
      </w:r>
      <w:r>
        <w:rPr>
          <w:w w:val="95"/>
        </w:rPr>
        <w:t>sector</w:t>
      </w:r>
      <w:r>
        <w:rPr>
          <w:spacing w:val="-7"/>
          <w:w w:val="95"/>
        </w:rPr>
        <w:t xml:space="preserve"> </w:t>
      </w:r>
      <w:r>
        <w:rPr>
          <w:w w:val="95"/>
        </w:rPr>
        <w:t>outcomes</w:t>
      </w:r>
      <w:r>
        <w:rPr>
          <w:spacing w:val="-7"/>
          <w:w w:val="95"/>
        </w:rPr>
        <w:t xml:space="preserve"> </w:t>
      </w:r>
      <w:r>
        <w:rPr>
          <w:w w:val="95"/>
        </w:rPr>
        <w:t>with</w:t>
      </w:r>
      <w:r>
        <w:rPr>
          <w:spacing w:val="-7"/>
          <w:w w:val="95"/>
        </w:rPr>
        <w:t xml:space="preserve"> </w:t>
      </w:r>
      <w:r>
        <w:rPr>
          <w:w w:val="95"/>
        </w:rPr>
        <w:t>lower</w:t>
      </w:r>
      <w:r>
        <w:rPr>
          <w:spacing w:val="-7"/>
          <w:w w:val="95"/>
        </w:rPr>
        <w:t xml:space="preserve"> </w:t>
      </w:r>
      <w:r>
        <w:rPr>
          <w:w w:val="95"/>
        </w:rPr>
        <w:t>capital</w:t>
      </w:r>
      <w:r>
        <w:rPr>
          <w:spacing w:val="-7"/>
          <w:w w:val="95"/>
        </w:rPr>
        <w:t xml:space="preserve"> </w:t>
      </w:r>
      <w:r>
        <w:rPr>
          <w:w w:val="95"/>
        </w:rPr>
        <w:t xml:space="preserve">investment </w:t>
      </w:r>
      <w:r>
        <w:t>and</w:t>
      </w:r>
      <w:r>
        <w:rPr>
          <w:spacing w:val="-13"/>
        </w:rPr>
        <w:t xml:space="preserve"> </w:t>
      </w:r>
      <w:r>
        <w:t>therefore</w:t>
      </w:r>
      <w:r>
        <w:rPr>
          <w:spacing w:val="-13"/>
        </w:rPr>
        <w:t xml:space="preserve"> </w:t>
      </w:r>
      <w:r>
        <w:t>less</w:t>
      </w:r>
      <w:r>
        <w:rPr>
          <w:spacing w:val="-13"/>
        </w:rPr>
        <w:t xml:space="preserve"> </w:t>
      </w:r>
      <w:r>
        <w:t>embedding</w:t>
      </w:r>
      <w:r>
        <w:rPr>
          <w:spacing w:val="-13"/>
        </w:rPr>
        <w:t xml:space="preserve"> </w:t>
      </w:r>
      <w:r>
        <w:t>of</w:t>
      </w:r>
      <w:r>
        <w:rPr>
          <w:spacing w:val="-13"/>
        </w:rPr>
        <w:t xml:space="preserve"> </w:t>
      </w:r>
      <w:r>
        <w:t>fixed</w:t>
      </w:r>
      <w:r>
        <w:rPr>
          <w:spacing w:val="-13"/>
        </w:rPr>
        <w:t xml:space="preserve"> </w:t>
      </w:r>
      <w:r>
        <w:t>costs.</w:t>
      </w:r>
    </w:p>
    <w:p w:rsidR="002C1123" w:rsidRDefault="00F22F94">
      <w:pPr>
        <w:pStyle w:val="ListParagraph"/>
        <w:numPr>
          <w:ilvl w:val="1"/>
          <w:numId w:val="48"/>
        </w:numPr>
        <w:tabs>
          <w:tab w:val="left" w:pos="650"/>
        </w:tabs>
        <w:spacing w:before="131" w:line="249" w:lineRule="auto"/>
        <w:ind w:right="813"/>
        <w:rPr>
          <w:sz w:val="20"/>
        </w:rPr>
      </w:pPr>
      <w:r>
        <w:rPr>
          <w:w w:val="95"/>
          <w:sz w:val="20"/>
        </w:rPr>
        <w:t>The</w:t>
      </w:r>
      <w:r>
        <w:rPr>
          <w:spacing w:val="-4"/>
          <w:w w:val="95"/>
          <w:sz w:val="20"/>
        </w:rPr>
        <w:t xml:space="preserve"> </w:t>
      </w:r>
      <w:r>
        <w:rPr>
          <w:w w:val="95"/>
          <w:sz w:val="20"/>
        </w:rPr>
        <w:t>NSW</w:t>
      </w:r>
      <w:r>
        <w:rPr>
          <w:spacing w:val="-4"/>
          <w:w w:val="95"/>
          <w:sz w:val="20"/>
        </w:rPr>
        <w:t xml:space="preserve"> </w:t>
      </w:r>
      <w:r>
        <w:rPr>
          <w:w w:val="95"/>
          <w:sz w:val="20"/>
        </w:rPr>
        <w:t>Government</w:t>
      </w:r>
      <w:r>
        <w:rPr>
          <w:spacing w:val="-4"/>
          <w:w w:val="95"/>
          <w:sz w:val="20"/>
        </w:rPr>
        <w:t xml:space="preserve"> </w:t>
      </w:r>
      <w:r>
        <w:rPr>
          <w:w w:val="95"/>
          <w:sz w:val="20"/>
        </w:rPr>
        <w:t>has</w:t>
      </w:r>
      <w:r>
        <w:rPr>
          <w:spacing w:val="-4"/>
          <w:w w:val="95"/>
          <w:sz w:val="20"/>
        </w:rPr>
        <w:t xml:space="preserve"> </w:t>
      </w:r>
      <w:r>
        <w:rPr>
          <w:w w:val="95"/>
          <w:sz w:val="20"/>
        </w:rPr>
        <w:t>announced</w:t>
      </w:r>
      <w:r>
        <w:rPr>
          <w:spacing w:val="-4"/>
          <w:w w:val="95"/>
          <w:sz w:val="20"/>
        </w:rPr>
        <w:t xml:space="preserve"> </w:t>
      </w:r>
      <w:r>
        <w:rPr>
          <w:w w:val="95"/>
          <w:sz w:val="20"/>
        </w:rPr>
        <w:t>a</w:t>
      </w:r>
      <w:r>
        <w:rPr>
          <w:spacing w:val="-4"/>
          <w:w w:val="95"/>
          <w:sz w:val="20"/>
        </w:rPr>
        <w:t xml:space="preserve"> </w:t>
      </w:r>
      <w:r>
        <w:rPr>
          <w:w w:val="95"/>
          <w:sz w:val="20"/>
        </w:rPr>
        <w:t>program</w:t>
      </w:r>
      <w:r>
        <w:rPr>
          <w:spacing w:val="-5"/>
          <w:w w:val="95"/>
          <w:sz w:val="20"/>
        </w:rPr>
        <w:t xml:space="preserve"> </w:t>
      </w:r>
      <w:r>
        <w:rPr>
          <w:w w:val="95"/>
          <w:sz w:val="20"/>
        </w:rPr>
        <w:t xml:space="preserve">of </w:t>
      </w:r>
      <w:r>
        <w:rPr>
          <w:sz w:val="20"/>
        </w:rPr>
        <w:t>major</w:t>
      </w:r>
      <w:r>
        <w:rPr>
          <w:spacing w:val="-14"/>
          <w:sz w:val="20"/>
        </w:rPr>
        <w:t xml:space="preserve"> </w:t>
      </w:r>
      <w:r>
        <w:rPr>
          <w:sz w:val="20"/>
        </w:rPr>
        <w:t>new</w:t>
      </w:r>
      <w:r>
        <w:rPr>
          <w:spacing w:val="-14"/>
          <w:sz w:val="20"/>
        </w:rPr>
        <w:t xml:space="preserve"> </w:t>
      </w:r>
      <w:r>
        <w:rPr>
          <w:sz w:val="20"/>
        </w:rPr>
        <w:t>hospital</w:t>
      </w:r>
      <w:r>
        <w:rPr>
          <w:spacing w:val="-14"/>
          <w:sz w:val="20"/>
        </w:rPr>
        <w:t xml:space="preserve"> </w:t>
      </w:r>
      <w:r>
        <w:rPr>
          <w:sz w:val="20"/>
        </w:rPr>
        <w:t>works</w:t>
      </w:r>
      <w:r>
        <w:rPr>
          <w:spacing w:val="-14"/>
          <w:sz w:val="20"/>
        </w:rPr>
        <w:t xml:space="preserve"> </w:t>
      </w:r>
      <w:r>
        <w:rPr>
          <w:sz w:val="20"/>
        </w:rPr>
        <w:t>to</w:t>
      </w:r>
      <w:r>
        <w:rPr>
          <w:spacing w:val="-14"/>
          <w:sz w:val="20"/>
        </w:rPr>
        <w:t xml:space="preserve"> </w:t>
      </w:r>
      <w:r>
        <w:rPr>
          <w:sz w:val="20"/>
        </w:rPr>
        <w:t>start</w:t>
      </w:r>
      <w:r>
        <w:rPr>
          <w:spacing w:val="-14"/>
          <w:sz w:val="20"/>
        </w:rPr>
        <w:t xml:space="preserve"> </w:t>
      </w:r>
      <w:r>
        <w:rPr>
          <w:sz w:val="20"/>
        </w:rPr>
        <w:t>in</w:t>
      </w:r>
      <w:r>
        <w:rPr>
          <w:spacing w:val="-14"/>
          <w:sz w:val="20"/>
        </w:rPr>
        <w:t xml:space="preserve"> </w:t>
      </w:r>
      <w:r>
        <w:rPr>
          <w:sz w:val="20"/>
        </w:rPr>
        <w:t>2012</w:t>
      </w:r>
      <w:r>
        <w:rPr>
          <w:spacing w:val="-14"/>
          <w:sz w:val="20"/>
        </w:rPr>
        <w:t xml:space="preserve"> </w:t>
      </w:r>
      <w:r>
        <w:rPr>
          <w:sz w:val="20"/>
        </w:rPr>
        <w:t>and</w:t>
      </w:r>
      <w:r>
        <w:rPr>
          <w:spacing w:val="-14"/>
          <w:sz w:val="20"/>
        </w:rPr>
        <w:t xml:space="preserve"> </w:t>
      </w:r>
      <w:r>
        <w:rPr>
          <w:sz w:val="20"/>
        </w:rPr>
        <w:t xml:space="preserve">2013 </w:t>
      </w:r>
      <w:r>
        <w:rPr>
          <w:w w:val="95"/>
          <w:sz w:val="20"/>
        </w:rPr>
        <w:t xml:space="preserve">and NSW Health investment of around $10 billion is </w:t>
      </w:r>
      <w:r>
        <w:rPr>
          <w:sz w:val="20"/>
        </w:rPr>
        <w:t>planned for the next 10 years.</w:t>
      </w:r>
    </w:p>
    <w:p w:rsidR="002C1123" w:rsidRDefault="002C1123">
      <w:pPr>
        <w:spacing w:line="249" w:lineRule="auto"/>
        <w:rPr>
          <w:sz w:val="20"/>
        </w:rPr>
        <w:sectPr w:rsidR="002C1123">
          <w:type w:val="continuous"/>
          <w:pgSz w:w="16840" w:h="11910" w:orient="landscape"/>
          <w:pgMar w:top="560" w:right="280" w:bottom="280" w:left="500" w:header="0" w:footer="517" w:gutter="0"/>
          <w:cols w:num="3" w:space="720" w:equalWidth="0">
            <w:col w:w="5292" w:space="40"/>
            <w:col w:w="4808" w:space="39"/>
            <w:col w:w="5881"/>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7"/>
        </w:rPr>
      </w:pPr>
    </w:p>
    <w:p w:rsidR="002C1123" w:rsidRDefault="002C1123">
      <w:pPr>
        <w:rPr>
          <w:sz w:val="17"/>
        </w:rPr>
        <w:sectPr w:rsidR="002C1123">
          <w:pgSz w:w="16840" w:h="11910" w:orient="landscape"/>
          <w:pgMar w:top="560" w:right="280" w:bottom="700" w:left="500" w:header="0" w:footer="517" w:gutter="0"/>
          <w:cols w:space="720"/>
        </w:sectPr>
      </w:pPr>
    </w:p>
    <w:p w:rsidR="002C1123" w:rsidRDefault="00F22F94">
      <w:pPr>
        <w:pStyle w:val="ListParagraph"/>
        <w:numPr>
          <w:ilvl w:val="2"/>
          <w:numId w:val="48"/>
        </w:numPr>
        <w:tabs>
          <w:tab w:val="left" w:pos="776"/>
        </w:tabs>
        <w:spacing w:before="116" w:line="249" w:lineRule="auto"/>
        <w:ind w:right="313"/>
        <w:rPr>
          <w:sz w:val="20"/>
        </w:rPr>
      </w:pPr>
      <w:bookmarkStart w:id="341" w:name="13.2_Supply_and_demand_"/>
      <w:bookmarkStart w:id="342" w:name="_bookmark241"/>
      <w:bookmarkStart w:id="343" w:name="_bookmark240"/>
      <w:bookmarkEnd w:id="341"/>
      <w:bookmarkEnd w:id="342"/>
      <w:bookmarkEnd w:id="343"/>
      <w:r>
        <w:rPr>
          <w:w w:val="95"/>
          <w:sz w:val="20"/>
        </w:rPr>
        <w:t>The</w:t>
      </w:r>
      <w:r>
        <w:rPr>
          <w:spacing w:val="-12"/>
          <w:w w:val="95"/>
          <w:sz w:val="20"/>
        </w:rPr>
        <w:t xml:space="preserve"> </w:t>
      </w:r>
      <w:r>
        <w:rPr>
          <w:w w:val="95"/>
          <w:sz w:val="20"/>
        </w:rPr>
        <w:t>Government</w:t>
      </w:r>
      <w:r>
        <w:rPr>
          <w:spacing w:val="-11"/>
          <w:w w:val="95"/>
          <w:sz w:val="20"/>
        </w:rPr>
        <w:t xml:space="preserve"> </w:t>
      </w:r>
      <w:r>
        <w:rPr>
          <w:w w:val="95"/>
          <w:sz w:val="20"/>
        </w:rPr>
        <w:t>has</w:t>
      </w:r>
      <w:r>
        <w:rPr>
          <w:spacing w:val="-11"/>
          <w:w w:val="95"/>
          <w:sz w:val="20"/>
        </w:rPr>
        <w:t xml:space="preserve"> </w:t>
      </w:r>
      <w:r>
        <w:rPr>
          <w:w w:val="95"/>
          <w:sz w:val="20"/>
        </w:rPr>
        <w:t>$10.4</w:t>
      </w:r>
      <w:r>
        <w:rPr>
          <w:spacing w:val="-11"/>
          <w:w w:val="95"/>
          <w:sz w:val="20"/>
        </w:rPr>
        <w:t xml:space="preserve"> </w:t>
      </w:r>
      <w:r>
        <w:rPr>
          <w:w w:val="95"/>
          <w:sz w:val="20"/>
        </w:rPr>
        <w:t>billion</w:t>
      </w:r>
      <w:r>
        <w:rPr>
          <w:spacing w:val="-11"/>
          <w:w w:val="95"/>
          <w:sz w:val="20"/>
        </w:rPr>
        <w:t xml:space="preserve"> </w:t>
      </w:r>
      <w:r>
        <w:rPr>
          <w:w w:val="95"/>
          <w:sz w:val="20"/>
        </w:rPr>
        <w:t>in</w:t>
      </w:r>
      <w:r>
        <w:rPr>
          <w:spacing w:val="-11"/>
          <w:w w:val="95"/>
          <w:sz w:val="20"/>
        </w:rPr>
        <w:t xml:space="preserve"> </w:t>
      </w:r>
      <w:r>
        <w:rPr>
          <w:w w:val="95"/>
          <w:sz w:val="20"/>
        </w:rPr>
        <w:t>health</w:t>
      </w:r>
      <w:r>
        <w:rPr>
          <w:spacing w:val="-11"/>
          <w:w w:val="95"/>
          <w:sz w:val="20"/>
        </w:rPr>
        <w:t xml:space="preserve"> </w:t>
      </w:r>
      <w:r>
        <w:rPr>
          <w:w w:val="95"/>
          <w:sz w:val="20"/>
        </w:rPr>
        <w:t xml:space="preserve">assets </w:t>
      </w:r>
      <w:r>
        <w:rPr>
          <w:sz w:val="20"/>
        </w:rPr>
        <w:t>–</w:t>
      </w:r>
      <w:r>
        <w:rPr>
          <w:spacing w:val="-9"/>
          <w:sz w:val="20"/>
        </w:rPr>
        <w:t xml:space="preserve"> </w:t>
      </w:r>
      <w:r>
        <w:rPr>
          <w:sz w:val="20"/>
        </w:rPr>
        <w:t>211</w:t>
      </w:r>
      <w:r>
        <w:rPr>
          <w:spacing w:val="-9"/>
          <w:sz w:val="20"/>
        </w:rPr>
        <w:t xml:space="preserve"> </w:t>
      </w:r>
      <w:r>
        <w:rPr>
          <w:sz w:val="20"/>
        </w:rPr>
        <w:t>public</w:t>
      </w:r>
      <w:r>
        <w:rPr>
          <w:spacing w:val="-9"/>
          <w:sz w:val="20"/>
        </w:rPr>
        <w:t xml:space="preserve"> </w:t>
      </w:r>
      <w:r>
        <w:rPr>
          <w:sz w:val="20"/>
        </w:rPr>
        <w:t>hospitals,</w:t>
      </w:r>
      <w:r>
        <w:rPr>
          <w:spacing w:val="-9"/>
          <w:sz w:val="20"/>
        </w:rPr>
        <w:t xml:space="preserve"> </w:t>
      </w:r>
      <w:r>
        <w:rPr>
          <w:sz w:val="20"/>
        </w:rPr>
        <w:t>143</w:t>
      </w:r>
      <w:r>
        <w:rPr>
          <w:spacing w:val="-9"/>
          <w:sz w:val="20"/>
        </w:rPr>
        <w:t xml:space="preserve"> </w:t>
      </w:r>
      <w:r>
        <w:rPr>
          <w:sz w:val="20"/>
        </w:rPr>
        <w:t>community</w:t>
      </w:r>
      <w:r>
        <w:rPr>
          <w:spacing w:val="-9"/>
          <w:sz w:val="20"/>
        </w:rPr>
        <w:t xml:space="preserve"> </w:t>
      </w:r>
      <w:r>
        <w:rPr>
          <w:sz w:val="20"/>
        </w:rPr>
        <w:t>health centres,</w:t>
      </w:r>
      <w:r>
        <w:rPr>
          <w:spacing w:val="-10"/>
          <w:sz w:val="20"/>
        </w:rPr>
        <w:t xml:space="preserve"> </w:t>
      </w:r>
      <w:r>
        <w:rPr>
          <w:sz w:val="20"/>
        </w:rPr>
        <w:t>87</w:t>
      </w:r>
      <w:r>
        <w:rPr>
          <w:spacing w:val="-10"/>
          <w:sz w:val="20"/>
        </w:rPr>
        <w:t xml:space="preserve"> </w:t>
      </w:r>
      <w:r>
        <w:rPr>
          <w:sz w:val="20"/>
        </w:rPr>
        <w:t>child</w:t>
      </w:r>
      <w:r>
        <w:rPr>
          <w:spacing w:val="-10"/>
          <w:sz w:val="20"/>
        </w:rPr>
        <w:t xml:space="preserve"> </w:t>
      </w:r>
      <w:r>
        <w:rPr>
          <w:sz w:val="20"/>
        </w:rPr>
        <w:t>and</w:t>
      </w:r>
      <w:r>
        <w:rPr>
          <w:spacing w:val="-10"/>
          <w:sz w:val="20"/>
        </w:rPr>
        <w:t xml:space="preserve"> </w:t>
      </w:r>
      <w:r>
        <w:rPr>
          <w:sz w:val="20"/>
        </w:rPr>
        <w:t>family</w:t>
      </w:r>
      <w:r>
        <w:rPr>
          <w:spacing w:val="-10"/>
          <w:sz w:val="20"/>
        </w:rPr>
        <w:t xml:space="preserve"> </w:t>
      </w:r>
      <w:r>
        <w:rPr>
          <w:sz w:val="20"/>
        </w:rPr>
        <w:t>health</w:t>
      </w:r>
      <w:r>
        <w:rPr>
          <w:spacing w:val="-10"/>
          <w:sz w:val="20"/>
        </w:rPr>
        <w:t xml:space="preserve"> </w:t>
      </w:r>
      <w:r>
        <w:rPr>
          <w:sz w:val="20"/>
        </w:rPr>
        <w:t>centres</w:t>
      </w:r>
      <w:r>
        <w:rPr>
          <w:spacing w:val="-10"/>
          <w:sz w:val="20"/>
        </w:rPr>
        <w:t xml:space="preserve"> </w:t>
      </w:r>
      <w:r>
        <w:rPr>
          <w:sz w:val="20"/>
        </w:rPr>
        <w:t>and four nursing homes.</w:t>
      </w:r>
    </w:p>
    <w:p w:rsidR="002C1123" w:rsidRDefault="00F22F94">
      <w:pPr>
        <w:pStyle w:val="ListParagraph"/>
        <w:numPr>
          <w:ilvl w:val="2"/>
          <w:numId w:val="48"/>
        </w:numPr>
        <w:tabs>
          <w:tab w:val="left" w:pos="776"/>
        </w:tabs>
        <w:spacing w:before="132" w:line="249" w:lineRule="auto"/>
        <w:ind w:right="137"/>
        <w:rPr>
          <w:sz w:val="20"/>
        </w:rPr>
      </w:pPr>
      <w:r>
        <w:rPr>
          <w:w w:val="95"/>
          <w:sz w:val="20"/>
        </w:rPr>
        <w:t>Health</w:t>
      </w:r>
      <w:r>
        <w:rPr>
          <w:spacing w:val="-7"/>
          <w:w w:val="95"/>
          <w:sz w:val="20"/>
        </w:rPr>
        <w:t xml:space="preserve"> </w:t>
      </w:r>
      <w:r>
        <w:rPr>
          <w:w w:val="95"/>
          <w:sz w:val="20"/>
        </w:rPr>
        <w:t>capital</w:t>
      </w:r>
      <w:r>
        <w:rPr>
          <w:spacing w:val="-7"/>
          <w:w w:val="95"/>
          <w:sz w:val="20"/>
        </w:rPr>
        <w:t xml:space="preserve"> </w:t>
      </w:r>
      <w:r>
        <w:rPr>
          <w:w w:val="95"/>
          <w:sz w:val="20"/>
        </w:rPr>
        <w:t>expenditure</w:t>
      </w:r>
      <w:r>
        <w:rPr>
          <w:spacing w:val="-7"/>
          <w:w w:val="95"/>
          <w:sz w:val="20"/>
        </w:rPr>
        <w:t xml:space="preserve"> </w:t>
      </w:r>
      <w:r>
        <w:rPr>
          <w:w w:val="95"/>
          <w:sz w:val="20"/>
        </w:rPr>
        <w:t>is</w:t>
      </w:r>
      <w:r>
        <w:rPr>
          <w:spacing w:val="-7"/>
          <w:w w:val="95"/>
          <w:sz w:val="20"/>
        </w:rPr>
        <w:t xml:space="preserve"> </w:t>
      </w:r>
      <w:r>
        <w:rPr>
          <w:w w:val="95"/>
          <w:sz w:val="20"/>
        </w:rPr>
        <w:t>less</w:t>
      </w:r>
      <w:r>
        <w:rPr>
          <w:spacing w:val="-7"/>
          <w:w w:val="95"/>
          <w:sz w:val="20"/>
        </w:rPr>
        <w:t xml:space="preserve"> </w:t>
      </w:r>
      <w:r>
        <w:rPr>
          <w:w w:val="95"/>
          <w:sz w:val="20"/>
        </w:rPr>
        <w:t>than</w:t>
      </w:r>
      <w:r>
        <w:rPr>
          <w:spacing w:val="-7"/>
          <w:w w:val="95"/>
          <w:sz w:val="20"/>
        </w:rPr>
        <w:t xml:space="preserve"> </w:t>
      </w:r>
      <w:r>
        <w:rPr>
          <w:w w:val="95"/>
          <w:sz w:val="20"/>
        </w:rPr>
        <w:t>10</w:t>
      </w:r>
      <w:r>
        <w:rPr>
          <w:spacing w:val="-7"/>
          <w:w w:val="95"/>
          <w:sz w:val="20"/>
        </w:rPr>
        <w:t xml:space="preserve"> </w:t>
      </w:r>
      <w:r>
        <w:rPr>
          <w:w w:val="95"/>
          <w:sz w:val="20"/>
        </w:rPr>
        <w:t>percent</w:t>
      </w:r>
      <w:r>
        <w:rPr>
          <w:spacing w:val="-7"/>
          <w:w w:val="95"/>
          <w:sz w:val="20"/>
        </w:rPr>
        <w:t xml:space="preserve"> </w:t>
      </w:r>
      <w:r>
        <w:rPr>
          <w:w w:val="95"/>
          <w:sz w:val="20"/>
        </w:rPr>
        <w:t>of total</w:t>
      </w:r>
      <w:r>
        <w:rPr>
          <w:spacing w:val="-5"/>
          <w:w w:val="95"/>
          <w:sz w:val="20"/>
        </w:rPr>
        <w:t xml:space="preserve"> </w:t>
      </w:r>
      <w:r>
        <w:rPr>
          <w:w w:val="95"/>
          <w:sz w:val="20"/>
        </w:rPr>
        <w:t>State</w:t>
      </w:r>
      <w:r>
        <w:rPr>
          <w:spacing w:val="-5"/>
          <w:w w:val="95"/>
          <w:sz w:val="20"/>
        </w:rPr>
        <w:t xml:space="preserve"> </w:t>
      </w:r>
      <w:r>
        <w:rPr>
          <w:w w:val="95"/>
          <w:sz w:val="20"/>
        </w:rPr>
        <w:t>infrastructure</w:t>
      </w:r>
      <w:r>
        <w:rPr>
          <w:spacing w:val="-5"/>
          <w:w w:val="95"/>
          <w:sz w:val="20"/>
        </w:rPr>
        <w:t xml:space="preserve"> </w:t>
      </w:r>
      <w:r>
        <w:rPr>
          <w:w w:val="95"/>
          <w:sz w:val="20"/>
        </w:rPr>
        <w:t>investment,</w:t>
      </w:r>
      <w:r>
        <w:rPr>
          <w:spacing w:val="-5"/>
          <w:w w:val="95"/>
          <w:sz w:val="20"/>
        </w:rPr>
        <w:t xml:space="preserve"> </w:t>
      </w:r>
      <w:r>
        <w:rPr>
          <w:w w:val="95"/>
          <w:sz w:val="20"/>
        </w:rPr>
        <w:t>but</w:t>
      </w:r>
      <w:r>
        <w:rPr>
          <w:spacing w:val="-5"/>
          <w:w w:val="95"/>
          <w:sz w:val="20"/>
        </w:rPr>
        <w:t xml:space="preserve"> </w:t>
      </w:r>
      <w:r>
        <w:rPr>
          <w:w w:val="95"/>
          <w:sz w:val="20"/>
        </w:rPr>
        <w:t>total</w:t>
      </w:r>
      <w:r>
        <w:rPr>
          <w:spacing w:val="-5"/>
          <w:w w:val="95"/>
          <w:sz w:val="20"/>
        </w:rPr>
        <w:t xml:space="preserve"> </w:t>
      </w:r>
      <w:r>
        <w:rPr>
          <w:w w:val="95"/>
          <w:sz w:val="20"/>
        </w:rPr>
        <w:t xml:space="preserve">health </w:t>
      </w:r>
      <w:r>
        <w:rPr>
          <w:sz w:val="20"/>
        </w:rPr>
        <w:t>expenditure</w:t>
      </w:r>
      <w:r>
        <w:rPr>
          <w:spacing w:val="-10"/>
          <w:sz w:val="20"/>
        </w:rPr>
        <w:t xml:space="preserve"> </w:t>
      </w:r>
      <w:r>
        <w:rPr>
          <w:sz w:val="20"/>
        </w:rPr>
        <w:t>represents</w:t>
      </w:r>
      <w:r>
        <w:rPr>
          <w:spacing w:val="-10"/>
          <w:sz w:val="20"/>
        </w:rPr>
        <w:t xml:space="preserve"> </w:t>
      </w:r>
      <w:r>
        <w:rPr>
          <w:sz w:val="20"/>
        </w:rPr>
        <w:t>27</w:t>
      </w:r>
      <w:r>
        <w:rPr>
          <w:spacing w:val="-10"/>
          <w:sz w:val="20"/>
        </w:rPr>
        <w:t xml:space="preserve"> </w:t>
      </w:r>
      <w:r>
        <w:rPr>
          <w:sz w:val="20"/>
        </w:rPr>
        <w:t>percent</w:t>
      </w:r>
      <w:r>
        <w:rPr>
          <w:spacing w:val="-10"/>
          <w:sz w:val="20"/>
        </w:rPr>
        <w:t xml:space="preserve"> </w:t>
      </w:r>
      <w:r>
        <w:rPr>
          <w:sz w:val="20"/>
        </w:rPr>
        <w:t>of</w:t>
      </w:r>
      <w:r>
        <w:rPr>
          <w:spacing w:val="-10"/>
          <w:sz w:val="20"/>
        </w:rPr>
        <w:t xml:space="preserve"> </w:t>
      </w:r>
      <w:r>
        <w:rPr>
          <w:sz w:val="20"/>
        </w:rPr>
        <w:t>the</w:t>
      </w:r>
      <w:r>
        <w:rPr>
          <w:spacing w:val="-10"/>
          <w:sz w:val="20"/>
        </w:rPr>
        <w:t xml:space="preserve"> </w:t>
      </w:r>
      <w:r>
        <w:rPr>
          <w:sz w:val="20"/>
        </w:rPr>
        <w:t>entire NSW</w:t>
      </w:r>
      <w:r>
        <w:rPr>
          <w:spacing w:val="-11"/>
          <w:sz w:val="20"/>
        </w:rPr>
        <w:t xml:space="preserve"> </w:t>
      </w:r>
      <w:r>
        <w:rPr>
          <w:sz w:val="20"/>
        </w:rPr>
        <w:t>budget.</w:t>
      </w:r>
    </w:p>
    <w:p w:rsidR="002C1123" w:rsidRDefault="00F22F94">
      <w:pPr>
        <w:pStyle w:val="ListParagraph"/>
        <w:numPr>
          <w:ilvl w:val="2"/>
          <w:numId w:val="48"/>
        </w:numPr>
        <w:tabs>
          <w:tab w:val="left" w:pos="776"/>
        </w:tabs>
        <w:spacing w:before="133" w:line="249" w:lineRule="auto"/>
        <w:ind w:right="14"/>
        <w:rPr>
          <w:sz w:val="20"/>
        </w:rPr>
      </w:pPr>
      <w:r>
        <w:rPr>
          <w:w w:val="95"/>
          <w:sz w:val="20"/>
        </w:rPr>
        <w:t>Public</w:t>
      </w:r>
      <w:r>
        <w:rPr>
          <w:spacing w:val="-3"/>
          <w:w w:val="95"/>
          <w:sz w:val="20"/>
        </w:rPr>
        <w:t xml:space="preserve"> </w:t>
      </w:r>
      <w:r>
        <w:rPr>
          <w:w w:val="95"/>
          <w:sz w:val="20"/>
        </w:rPr>
        <w:t>hospitals</w:t>
      </w:r>
      <w:r>
        <w:rPr>
          <w:spacing w:val="-3"/>
          <w:w w:val="95"/>
          <w:sz w:val="20"/>
        </w:rPr>
        <w:t xml:space="preserve"> </w:t>
      </w:r>
      <w:r>
        <w:rPr>
          <w:w w:val="95"/>
          <w:sz w:val="20"/>
        </w:rPr>
        <w:t>account</w:t>
      </w:r>
      <w:r>
        <w:rPr>
          <w:spacing w:val="-3"/>
          <w:w w:val="95"/>
          <w:sz w:val="20"/>
        </w:rPr>
        <w:t xml:space="preserve"> </w:t>
      </w:r>
      <w:r>
        <w:rPr>
          <w:w w:val="95"/>
          <w:sz w:val="20"/>
        </w:rPr>
        <w:t>for</w:t>
      </w:r>
      <w:r>
        <w:rPr>
          <w:spacing w:val="-3"/>
          <w:w w:val="95"/>
          <w:sz w:val="20"/>
        </w:rPr>
        <w:t xml:space="preserve"> </w:t>
      </w:r>
      <w:r>
        <w:rPr>
          <w:w w:val="95"/>
          <w:sz w:val="20"/>
        </w:rPr>
        <w:t>almost</w:t>
      </w:r>
      <w:r>
        <w:rPr>
          <w:spacing w:val="-3"/>
          <w:w w:val="95"/>
          <w:sz w:val="20"/>
        </w:rPr>
        <w:t xml:space="preserve"> </w:t>
      </w:r>
      <w:r>
        <w:rPr>
          <w:w w:val="95"/>
          <w:sz w:val="20"/>
        </w:rPr>
        <w:t>all</w:t>
      </w:r>
      <w:r>
        <w:rPr>
          <w:spacing w:val="-3"/>
          <w:w w:val="95"/>
          <w:sz w:val="20"/>
        </w:rPr>
        <w:t xml:space="preserve"> </w:t>
      </w:r>
      <w:r>
        <w:rPr>
          <w:w w:val="95"/>
          <w:sz w:val="20"/>
        </w:rPr>
        <w:t>the</w:t>
      </w:r>
      <w:r>
        <w:rPr>
          <w:spacing w:val="-3"/>
          <w:w w:val="95"/>
          <w:sz w:val="20"/>
        </w:rPr>
        <w:t xml:space="preserve"> </w:t>
      </w:r>
      <w:r>
        <w:rPr>
          <w:w w:val="95"/>
          <w:sz w:val="20"/>
        </w:rPr>
        <w:t>capital</w:t>
      </w:r>
      <w:r>
        <w:rPr>
          <w:spacing w:val="-3"/>
          <w:w w:val="95"/>
          <w:sz w:val="20"/>
        </w:rPr>
        <w:t xml:space="preserve"> </w:t>
      </w:r>
      <w:r>
        <w:rPr>
          <w:w w:val="95"/>
          <w:sz w:val="20"/>
        </w:rPr>
        <w:t xml:space="preserve">and </w:t>
      </w:r>
      <w:r>
        <w:rPr>
          <w:sz w:val="20"/>
        </w:rPr>
        <w:t>60</w:t>
      </w:r>
      <w:r>
        <w:rPr>
          <w:spacing w:val="-1"/>
          <w:sz w:val="20"/>
        </w:rPr>
        <w:t xml:space="preserve"> </w:t>
      </w:r>
      <w:r>
        <w:rPr>
          <w:sz w:val="20"/>
        </w:rPr>
        <w:t>percent</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z w:val="20"/>
        </w:rPr>
        <w:t>health</w:t>
      </w:r>
      <w:r>
        <w:rPr>
          <w:spacing w:val="-1"/>
          <w:sz w:val="20"/>
        </w:rPr>
        <w:t xml:space="preserve"> </w:t>
      </w:r>
      <w:r>
        <w:rPr>
          <w:sz w:val="20"/>
        </w:rPr>
        <w:t>operating</w:t>
      </w:r>
      <w:r>
        <w:rPr>
          <w:spacing w:val="-1"/>
          <w:sz w:val="20"/>
        </w:rPr>
        <w:t xml:space="preserve"> </w:t>
      </w:r>
      <w:r>
        <w:rPr>
          <w:sz w:val="20"/>
        </w:rPr>
        <w:t>budget.</w:t>
      </w:r>
    </w:p>
    <w:p w:rsidR="002C1123" w:rsidRDefault="00F22F94">
      <w:pPr>
        <w:pStyle w:val="ListParagraph"/>
        <w:numPr>
          <w:ilvl w:val="2"/>
          <w:numId w:val="48"/>
        </w:numPr>
        <w:tabs>
          <w:tab w:val="left" w:pos="776"/>
        </w:tabs>
        <w:spacing w:before="130" w:line="249" w:lineRule="auto"/>
        <w:rPr>
          <w:sz w:val="20"/>
        </w:rPr>
      </w:pPr>
      <w:r>
        <w:rPr>
          <w:sz w:val="20"/>
        </w:rPr>
        <w:t>Capital</w:t>
      </w:r>
      <w:r>
        <w:rPr>
          <w:spacing w:val="-4"/>
          <w:sz w:val="20"/>
        </w:rPr>
        <w:t xml:space="preserve"> </w:t>
      </w:r>
      <w:r>
        <w:rPr>
          <w:sz w:val="20"/>
        </w:rPr>
        <w:t>and</w:t>
      </w:r>
      <w:r>
        <w:rPr>
          <w:spacing w:val="-4"/>
          <w:sz w:val="20"/>
        </w:rPr>
        <w:t xml:space="preserve"> </w:t>
      </w:r>
      <w:r>
        <w:rPr>
          <w:sz w:val="20"/>
        </w:rPr>
        <w:t>operating</w:t>
      </w:r>
      <w:r>
        <w:rPr>
          <w:spacing w:val="-4"/>
          <w:sz w:val="20"/>
        </w:rPr>
        <w:t xml:space="preserve"> </w:t>
      </w:r>
      <w:r>
        <w:rPr>
          <w:sz w:val="20"/>
        </w:rPr>
        <w:t>expenditure</w:t>
      </w:r>
      <w:r>
        <w:rPr>
          <w:spacing w:val="-4"/>
          <w:sz w:val="20"/>
        </w:rPr>
        <w:t xml:space="preserve"> </w:t>
      </w:r>
      <w:r>
        <w:rPr>
          <w:sz w:val="20"/>
        </w:rPr>
        <w:t>doubled</w:t>
      </w:r>
      <w:r>
        <w:rPr>
          <w:spacing w:val="-4"/>
          <w:sz w:val="20"/>
        </w:rPr>
        <w:t xml:space="preserve"> </w:t>
      </w:r>
      <w:r>
        <w:rPr>
          <w:sz w:val="20"/>
        </w:rPr>
        <w:t>from 2001</w:t>
      </w:r>
      <w:r>
        <w:rPr>
          <w:spacing w:val="-14"/>
          <w:sz w:val="20"/>
        </w:rPr>
        <w:t xml:space="preserve"> </w:t>
      </w:r>
      <w:r>
        <w:rPr>
          <w:sz w:val="20"/>
        </w:rPr>
        <w:t>to</w:t>
      </w:r>
      <w:r>
        <w:rPr>
          <w:spacing w:val="-14"/>
          <w:sz w:val="20"/>
        </w:rPr>
        <w:t xml:space="preserve"> </w:t>
      </w:r>
      <w:r>
        <w:rPr>
          <w:sz w:val="20"/>
        </w:rPr>
        <w:t>2010</w:t>
      </w:r>
      <w:r>
        <w:rPr>
          <w:spacing w:val="-14"/>
          <w:sz w:val="20"/>
        </w:rPr>
        <w:t xml:space="preserve"> </w:t>
      </w:r>
      <w:r>
        <w:rPr>
          <w:sz w:val="20"/>
        </w:rPr>
        <w:t>–</w:t>
      </w:r>
      <w:r>
        <w:rPr>
          <w:spacing w:val="-14"/>
          <w:sz w:val="20"/>
        </w:rPr>
        <w:t xml:space="preserve"> </w:t>
      </w:r>
      <w:r>
        <w:rPr>
          <w:sz w:val="20"/>
        </w:rPr>
        <w:t>an</w:t>
      </w:r>
      <w:r>
        <w:rPr>
          <w:spacing w:val="-14"/>
          <w:sz w:val="20"/>
        </w:rPr>
        <w:t xml:space="preserve"> </w:t>
      </w:r>
      <w:r>
        <w:rPr>
          <w:sz w:val="20"/>
        </w:rPr>
        <w:t>average</w:t>
      </w:r>
      <w:r>
        <w:rPr>
          <w:spacing w:val="-14"/>
          <w:sz w:val="20"/>
        </w:rPr>
        <w:t xml:space="preserve"> </w:t>
      </w:r>
      <w:r>
        <w:rPr>
          <w:sz w:val="20"/>
        </w:rPr>
        <w:t>growth</w:t>
      </w:r>
      <w:r>
        <w:rPr>
          <w:spacing w:val="-14"/>
          <w:sz w:val="20"/>
        </w:rPr>
        <w:t xml:space="preserve"> </w:t>
      </w:r>
      <w:r>
        <w:rPr>
          <w:sz w:val="20"/>
        </w:rPr>
        <w:t>rate</w:t>
      </w:r>
      <w:r>
        <w:rPr>
          <w:spacing w:val="-13"/>
          <w:sz w:val="20"/>
        </w:rPr>
        <w:t xml:space="preserve"> </w:t>
      </w:r>
      <w:r>
        <w:rPr>
          <w:sz w:val="20"/>
        </w:rPr>
        <w:t>of</w:t>
      </w:r>
      <w:r>
        <w:rPr>
          <w:spacing w:val="-14"/>
          <w:sz w:val="20"/>
        </w:rPr>
        <w:t xml:space="preserve"> </w:t>
      </w:r>
      <w:r>
        <w:rPr>
          <w:sz w:val="20"/>
        </w:rPr>
        <w:t>seven percent</w:t>
      </w:r>
      <w:r>
        <w:rPr>
          <w:spacing w:val="-8"/>
          <w:sz w:val="20"/>
        </w:rPr>
        <w:t xml:space="preserve"> </w:t>
      </w:r>
      <w:r>
        <w:rPr>
          <w:sz w:val="20"/>
        </w:rPr>
        <w:t>per</w:t>
      </w:r>
      <w:r>
        <w:rPr>
          <w:spacing w:val="-8"/>
          <w:sz w:val="20"/>
        </w:rPr>
        <w:t xml:space="preserve"> </w:t>
      </w:r>
      <w:r>
        <w:rPr>
          <w:sz w:val="20"/>
        </w:rPr>
        <w:t>annum.</w:t>
      </w:r>
      <w:r>
        <w:rPr>
          <w:spacing w:val="-8"/>
          <w:sz w:val="20"/>
        </w:rPr>
        <w:t xml:space="preserve"> </w:t>
      </w:r>
      <w:r>
        <w:rPr>
          <w:sz w:val="20"/>
        </w:rPr>
        <w:t>NSW’s</w:t>
      </w:r>
      <w:r>
        <w:rPr>
          <w:spacing w:val="-8"/>
          <w:sz w:val="20"/>
        </w:rPr>
        <w:t xml:space="preserve"> </w:t>
      </w:r>
      <w:r>
        <w:rPr>
          <w:sz w:val="20"/>
        </w:rPr>
        <w:t>capital</w:t>
      </w:r>
      <w:r>
        <w:rPr>
          <w:spacing w:val="-8"/>
          <w:sz w:val="20"/>
        </w:rPr>
        <w:t xml:space="preserve"> </w:t>
      </w:r>
      <w:r>
        <w:rPr>
          <w:sz w:val="20"/>
        </w:rPr>
        <w:t>expenditure</w:t>
      </w:r>
      <w:r>
        <w:rPr>
          <w:spacing w:val="-8"/>
          <w:sz w:val="20"/>
        </w:rPr>
        <w:t xml:space="preserve"> </w:t>
      </w:r>
      <w:r>
        <w:rPr>
          <w:sz w:val="20"/>
        </w:rPr>
        <w:t xml:space="preserve">per </w:t>
      </w:r>
      <w:r>
        <w:rPr>
          <w:w w:val="95"/>
          <w:sz w:val="20"/>
        </w:rPr>
        <w:t>capita</w:t>
      </w:r>
      <w:r>
        <w:rPr>
          <w:spacing w:val="-6"/>
          <w:w w:val="95"/>
          <w:sz w:val="20"/>
        </w:rPr>
        <w:t xml:space="preserve"> </w:t>
      </w:r>
      <w:r>
        <w:rPr>
          <w:w w:val="95"/>
          <w:sz w:val="20"/>
        </w:rPr>
        <w:t>had</w:t>
      </w:r>
      <w:r>
        <w:rPr>
          <w:spacing w:val="-6"/>
          <w:w w:val="95"/>
          <w:sz w:val="20"/>
        </w:rPr>
        <w:t xml:space="preserve"> </w:t>
      </w:r>
      <w:r>
        <w:rPr>
          <w:w w:val="95"/>
          <w:sz w:val="20"/>
        </w:rPr>
        <w:t>been</w:t>
      </w:r>
      <w:r>
        <w:rPr>
          <w:spacing w:val="-6"/>
          <w:w w:val="95"/>
          <w:sz w:val="20"/>
        </w:rPr>
        <w:t xml:space="preserve"> </w:t>
      </w:r>
      <w:r>
        <w:rPr>
          <w:w w:val="95"/>
          <w:sz w:val="20"/>
        </w:rPr>
        <w:t>24</w:t>
      </w:r>
      <w:r>
        <w:rPr>
          <w:spacing w:val="-6"/>
          <w:w w:val="95"/>
          <w:sz w:val="20"/>
        </w:rPr>
        <w:t xml:space="preserve"> </w:t>
      </w:r>
      <w:r>
        <w:rPr>
          <w:w w:val="95"/>
          <w:sz w:val="20"/>
        </w:rPr>
        <w:t>percent</w:t>
      </w:r>
      <w:r>
        <w:rPr>
          <w:spacing w:val="-6"/>
          <w:w w:val="95"/>
          <w:sz w:val="20"/>
        </w:rPr>
        <w:t xml:space="preserve"> </w:t>
      </w:r>
      <w:r>
        <w:rPr>
          <w:w w:val="95"/>
          <w:sz w:val="20"/>
        </w:rPr>
        <w:t>lower</w:t>
      </w:r>
      <w:r>
        <w:rPr>
          <w:spacing w:val="-6"/>
          <w:w w:val="95"/>
          <w:sz w:val="20"/>
        </w:rPr>
        <w:t xml:space="preserve"> </w:t>
      </w:r>
      <w:r>
        <w:rPr>
          <w:w w:val="95"/>
          <w:sz w:val="20"/>
        </w:rPr>
        <w:t>than</w:t>
      </w:r>
      <w:r>
        <w:rPr>
          <w:spacing w:val="-6"/>
          <w:w w:val="95"/>
          <w:sz w:val="20"/>
        </w:rPr>
        <w:t xml:space="preserve"> </w:t>
      </w:r>
      <w:r>
        <w:rPr>
          <w:w w:val="95"/>
          <w:sz w:val="20"/>
        </w:rPr>
        <w:t>the</w:t>
      </w:r>
      <w:r>
        <w:rPr>
          <w:spacing w:val="-6"/>
          <w:w w:val="95"/>
          <w:sz w:val="20"/>
        </w:rPr>
        <w:t xml:space="preserve"> </w:t>
      </w:r>
      <w:r>
        <w:rPr>
          <w:w w:val="95"/>
          <w:sz w:val="20"/>
        </w:rPr>
        <w:t>average</w:t>
      </w:r>
      <w:r>
        <w:rPr>
          <w:spacing w:val="-6"/>
          <w:w w:val="95"/>
          <w:sz w:val="20"/>
        </w:rPr>
        <w:t xml:space="preserve"> </w:t>
      </w:r>
      <w:r>
        <w:rPr>
          <w:w w:val="95"/>
          <w:sz w:val="20"/>
        </w:rPr>
        <w:t xml:space="preserve">of </w:t>
      </w:r>
      <w:r>
        <w:rPr>
          <w:sz w:val="20"/>
        </w:rPr>
        <w:t>the</w:t>
      </w:r>
      <w:r>
        <w:rPr>
          <w:spacing w:val="-14"/>
          <w:sz w:val="20"/>
        </w:rPr>
        <w:t xml:space="preserve"> </w:t>
      </w:r>
      <w:r>
        <w:rPr>
          <w:sz w:val="20"/>
        </w:rPr>
        <w:t>rest</w:t>
      </w:r>
      <w:r>
        <w:rPr>
          <w:spacing w:val="-14"/>
          <w:sz w:val="20"/>
        </w:rPr>
        <w:t xml:space="preserve"> </w:t>
      </w:r>
      <w:r>
        <w:rPr>
          <w:sz w:val="20"/>
        </w:rPr>
        <w:t>of</w:t>
      </w:r>
      <w:r>
        <w:rPr>
          <w:spacing w:val="-14"/>
          <w:sz w:val="20"/>
        </w:rPr>
        <w:t xml:space="preserve"> </w:t>
      </w:r>
      <w:r>
        <w:rPr>
          <w:sz w:val="20"/>
        </w:rPr>
        <w:t>Australia</w:t>
      </w:r>
      <w:r>
        <w:rPr>
          <w:spacing w:val="-14"/>
          <w:sz w:val="20"/>
        </w:rPr>
        <w:t xml:space="preserve"> </w:t>
      </w:r>
      <w:r>
        <w:rPr>
          <w:sz w:val="20"/>
        </w:rPr>
        <w:t>(in</w:t>
      </w:r>
      <w:r>
        <w:rPr>
          <w:spacing w:val="-14"/>
          <w:sz w:val="20"/>
        </w:rPr>
        <w:t xml:space="preserve"> </w:t>
      </w:r>
      <w:r>
        <w:rPr>
          <w:sz w:val="20"/>
        </w:rPr>
        <w:t>the</w:t>
      </w:r>
      <w:r>
        <w:rPr>
          <w:spacing w:val="-14"/>
          <w:sz w:val="20"/>
        </w:rPr>
        <w:t xml:space="preserve"> </w:t>
      </w:r>
      <w:r>
        <w:rPr>
          <w:sz w:val="20"/>
        </w:rPr>
        <w:t>decade</w:t>
      </w:r>
      <w:r>
        <w:rPr>
          <w:spacing w:val="-14"/>
          <w:sz w:val="20"/>
        </w:rPr>
        <w:t xml:space="preserve"> </w:t>
      </w:r>
      <w:r>
        <w:rPr>
          <w:sz w:val="20"/>
        </w:rPr>
        <w:t>to</w:t>
      </w:r>
      <w:r>
        <w:rPr>
          <w:spacing w:val="-14"/>
          <w:sz w:val="20"/>
        </w:rPr>
        <w:t xml:space="preserve"> </w:t>
      </w:r>
      <w:r>
        <w:rPr>
          <w:sz w:val="20"/>
        </w:rPr>
        <w:t>2010).</w:t>
      </w:r>
    </w:p>
    <w:p w:rsidR="002C1123" w:rsidRDefault="00F22F94">
      <w:pPr>
        <w:pStyle w:val="ListParagraph"/>
        <w:numPr>
          <w:ilvl w:val="2"/>
          <w:numId w:val="48"/>
        </w:numPr>
        <w:tabs>
          <w:tab w:val="left" w:pos="776"/>
        </w:tabs>
        <w:spacing w:before="133" w:line="249" w:lineRule="auto"/>
        <w:ind w:right="42"/>
        <w:rPr>
          <w:sz w:val="20"/>
        </w:rPr>
      </w:pPr>
      <w:r>
        <w:rPr>
          <w:w w:val="95"/>
          <w:sz w:val="20"/>
        </w:rPr>
        <w:t>Health</w:t>
      </w:r>
      <w:r>
        <w:rPr>
          <w:spacing w:val="-4"/>
          <w:w w:val="95"/>
          <w:sz w:val="20"/>
        </w:rPr>
        <w:t xml:space="preserve"> </w:t>
      </w:r>
      <w:r>
        <w:rPr>
          <w:w w:val="95"/>
          <w:sz w:val="20"/>
        </w:rPr>
        <w:t>capital</w:t>
      </w:r>
      <w:r>
        <w:rPr>
          <w:spacing w:val="-4"/>
          <w:w w:val="95"/>
          <w:sz w:val="20"/>
        </w:rPr>
        <w:t xml:space="preserve"> </w:t>
      </w:r>
      <w:r>
        <w:rPr>
          <w:w w:val="95"/>
          <w:sz w:val="20"/>
        </w:rPr>
        <w:t>budget</w:t>
      </w:r>
      <w:r>
        <w:rPr>
          <w:spacing w:val="-4"/>
          <w:w w:val="95"/>
          <w:sz w:val="20"/>
        </w:rPr>
        <w:t xml:space="preserve"> </w:t>
      </w:r>
      <w:r>
        <w:rPr>
          <w:w w:val="95"/>
          <w:sz w:val="20"/>
        </w:rPr>
        <w:t>is</w:t>
      </w:r>
      <w:r>
        <w:rPr>
          <w:spacing w:val="-4"/>
          <w:w w:val="95"/>
          <w:sz w:val="20"/>
        </w:rPr>
        <w:t xml:space="preserve"> </w:t>
      </w:r>
      <w:r>
        <w:rPr>
          <w:w w:val="95"/>
          <w:sz w:val="20"/>
        </w:rPr>
        <w:t>around</w:t>
      </w:r>
      <w:r>
        <w:rPr>
          <w:spacing w:val="-4"/>
          <w:w w:val="95"/>
          <w:sz w:val="20"/>
        </w:rPr>
        <w:t xml:space="preserve"> </w:t>
      </w:r>
      <w:r>
        <w:rPr>
          <w:w w:val="95"/>
          <w:sz w:val="20"/>
        </w:rPr>
        <w:t>$1</w:t>
      </w:r>
      <w:r>
        <w:rPr>
          <w:spacing w:val="-4"/>
          <w:w w:val="95"/>
          <w:sz w:val="20"/>
        </w:rPr>
        <w:t xml:space="preserve"> </w:t>
      </w:r>
      <w:r>
        <w:rPr>
          <w:w w:val="95"/>
          <w:sz w:val="20"/>
        </w:rPr>
        <w:t>billion</w:t>
      </w:r>
      <w:r>
        <w:rPr>
          <w:spacing w:val="-4"/>
          <w:w w:val="95"/>
          <w:sz w:val="20"/>
        </w:rPr>
        <w:t xml:space="preserve"> </w:t>
      </w:r>
      <w:r>
        <w:rPr>
          <w:w w:val="95"/>
          <w:sz w:val="20"/>
        </w:rPr>
        <w:t>per</w:t>
      </w:r>
      <w:r>
        <w:rPr>
          <w:spacing w:val="-4"/>
          <w:w w:val="95"/>
          <w:sz w:val="20"/>
        </w:rPr>
        <w:t xml:space="preserve"> </w:t>
      </w:r>
      <w:r>
        <w:rPr>
          <w:w w:val="95"/>
          <w:sz w:val="20"/>
        </w:rPr>
        <w:t xml:space="preserve">annum. </w:t>
      </w:r>
      <w:r>
        <w:rPr>
          <w:sz w:val="20"/>
        </w:rPr>
        <w:t>Health’s</w:t>
      </w:r>
      <w:r>
        <w:rPr>
          <w:spacing w:val="-10"/>
          <w:sz w:val="20"/>
        </w:rPr>
        <w:t xml:space="preserve"> </w:t>
      </w:r>
      <w:r>
        <w:rPr>
          <w:sz w:val="20"/>
        </w:rPr>
        <w:t>future</w:t>
      </w:r>
      <w:r>
        <w:rPr>
          <w:spacing w:val="-10"/>
          <w:sz w:val="20"/>
        </w:rPr>
        <w:t xml:space="preserve"> </w:t>
      </w:r>
      <w:r>
        <w:rPr>
          <w:sz w:val="20"/>
        </w:rPr>
        <w:t>capital</w:t>
      </w:r>
      <w:r>
        <w:rPr>
          <w:spacing w:val="-10"/>
          <w:sz w:val="20"/>
        </w:rPr>
        <w:t xml:space="preserve"> </w:t>
      </w:r>
      <w:r>
        <w:rPr>
          <w:sz w:val="20"/>
        </w:rPr>
        <w:t>requirements</w:t>
      </w:r>
      <w:r>
        <w:rPr>
          <w:spacing w:val="-10"/>
          <w:sz w:val="20"/>
        </w:rPr>
        <w:t xml:space="preserve"> </w:t>
      </w:r>
      <w:r>
        <w:rPr>
          <w:sz w:val="20"/>
        </w:rPr>
        <w:t>will</w:t>
      </w:r>
      <w:r>
        <w:rPr>
          <w:spacing w:val="-10"/>
          <w:sz w:val="20"/>
        </w:rPr>
        <w:t xml:space="preserve"> </w:t>
      </w:r>
      <w:r>
        <w:rPr>
          <w:sz w:val="20"/>
        </w:rPr>
        <w:t>be considered</w:t>
      </w:r>
      <w:r>
        <w:rPr>
          <w:spacing w:val="-7"/>
          <w:sz w:val="20"/>
        </w:rPr>
        <w:t xml:space="preserve"> </w:t>
      </w:r>
      <w:r>
        <w:rPr>
          <w:sz w:val="20"/>
        </w:rPr>
        <w:t>as</w:t>
      </w:r>
      <w:r>
        <w:rPr>
          <w:spacing w:val="-7"/>
          <w:sz w:val="20"/>
        </w:rPr>
        <w:t xml:space="preserve"> </w:t>
      </w:r>
      <w:r>
        <w:rPr>
          <w:sz w:val="20"/>
        </w:rPr>
        <w:t>part</w:t>
      </w:r>
      <w:r>
        <w:rPr>
          <w:spacing w:val="-7"/>
          <w:sz w:val="20"/>
        </w:rPr>
        <w:t xml:space="preserve"> </w:t>
      </w:r>
      <w:r>
        <w:rPr>
          <w:sz w:val="20"/>
        </w:rPr>
        <w:t>of</w:t>
      </w:r>
      <w:r>
        <w:rPr>
          <w:spacing w:val="-7"/>
          <w:sz w:val="20"/>
        </w:rPr>
        <w:t xml:space="preserve"> </w:t>
      </w:r>
      <w:r>
        <w:rPr>
          <w:sz w:val="20"/>
        </w:rPr>
        <w:t>a</w:t>
      </w:r>
      <w:r>
        <w:rPr>
          <w:spacing w:val="-7"/>
          <w:sz w:val="20"/>
        </w:rPr>
        <w:t xml:space="preserve"> </w:t>
      </w:r>
      <w:r>
        <w:rPr>
          <w:sz w:val="20"/>
        </w:rPr>
        <w:t>broader</w:t>
      </w:r>
      <w:r>
        <w:rPr>
          <w:spacing w:val="-7"/>
          <w:sz w:val="20"/>
        </w:rPr>
        <w:t xml:space="preserve"> </w:t>
      </w:r>
      <w:r>
        <w:rPr>
          <w:sz w:val="20"/>
        </w:rPr>
        <w:t>Asset</w:t>
      </w:r>
      <w:r>
        <w:rPr>
          <w:spacing w:val="-7"/>
          <w:sz w:val="20"/>
        </w:rPr>
        <w:t xml:space="preserve"> </w:t>
      </w:r>
      <w:r>
        <w:rPr>
          <w:sz w:val="20"/>
        </w:rPr>
        <w:t>Strategy Review,</w:t>
      </w:r>
      <w:r>
        <w:rPr>
          <w:spacing w:val="-10"/>
          <w:sz w:val="20"/>
        </w:rPr>
        <w:t xml:space="preserve"> </w:t>
      </w:r>
      <w:r>
        <w:rPr>
          <w:sz w:val="20"/>
        </w:rPr>
        <w:t>for</w:t>
      </w:r>
      <w:r>
        <w:rPr>
          <w:spacing w:val="-10"/>
          <w:sz w:val="20"/>
        </w:rPr>
        <w:t xml:space="preserve"> </w:t>
      </w:r>
      <w:r>
        <w:rPr>
          <w:sz w:val="20"/>
        </w:rPr>
        <w:t>the</w:t>
      </w:r>
      <w:r>
        <w:rPr>
          <w:spacing w:val="-10"/>
          <w:sz w:val="20"/>
        </w:rPr>
        <w:t xml:space="preserve"> </w:t>
      </w:r>
      <w:r>
        <w:rPr>
          <w:sz w:val="20"/>
        </w:rPr>
        <w:t>2013-14</w:t>
      </w:r>
      <w:r>
        <w:rPr>
          <w:spacing w:val="-10"/>
          <w:sz w:val="20"/>
        </w:rPr>
        <w:t xml:space="preserve"> </w:t>
      </w:r>
      <w:r>
        <w:rPr>
          <w:sz w:val="20"/>
        </w:rPr>
        <w:t>Budget</w:t>
      </w:r>
      <w:r>
        <w:rPr>
          <w:spacing w:val="-10"/>
          <w:sz w:val="20"/>
        </w:rPr>
        <w:t xml:space="preserve"> </w:t>
      </w:r>
      <w:r>
        <w:rPr>
          <w:sz w:val="20"/>
        </w:rPr>
        <w:t>process.</w:t>
      </w:r>
    </w:p>
    <w:p w:rsidR="002C1123" w:rsidRDefault="00F22F94">
      <w:pPr>
        <w:pStyle w:val="ListParagraph"/>
        <w:numPr>
          <w:ilvl w:val="2"/>
          <w:numId w:val="48"/>
        </w:numPr>
        <w:tabs>
          <w:tab w:val="left" w:pos="776"/>
        </w:tabs>
        <w:spacing w:before="132" w:line="249" w:lineRule="auto"/>
        <w:ind w:right="143"/>
        <w:rPr>
          <w:sz w:val="20"/>
        </w:rPr>
      </w:pPr>
      <w:r>
        <w:rPr>
          <w:sz w:val="20"/>
        </w:rPr>
        <w:t>NSW</w:t>
      </w:r>
      <w:r>
        <w:rPr>
          <w:spacing w:val="-14"/>
          <w:sz w:val="20"/>
        </w:rPr>
        <w:t xml:space="preserve"> </w:t>
      </w:r>
      <w:r>
        <w:rPr>
          <w:sz w:val="20"/>
        </w:rPr>
        <w:t>has</w:t>
      </w:r>
      <w:r>
        <w:rPr>
          <w:spacing w:val="-14"/>
          <w:sz w:val="20"/>
        </w:rPr>
        <w:t xml:space="preserve"> </w:t>
      </w:r>
      <w:r>
        <w:rPr>
          <w:sz w:val="20"/>
        </w:rPr>
        <w:t>a</w:t>
      </w:r>
      <w:r>
        <w:rPr>
          <w:spacing w:val="-14"/>
          <w:sz w:val="20"/>
        </w:rPr>
        <w:t xml:space="preserve"> </w:t>
      </w:r>
      <w:r>
        <w:rPr>
          <w:sz w:val="20"/>
        </w:rPr>
        <w:t>smaller</w:t>
      </w:r>
      <w:r>
        <w:rPr>
          <w:spacing w:val="-14"/>
          <w:sz w:val="20"/>
        </w:rPr>
        <w:t xml:space="preserve"> </w:t>
      </w:r>
      <w:r>
        <w:rPr>
          <w:sz w:val="20"/>
        </w:rPr>
        <w:t>private</w:t>
      </w:r>
      <w:r>
        <w:rPr>
          <w:spacing w:val="-13"/>
          <w:sz w:val="20"/>
        </w:rPr>
        <w:t xml:space="preserve"> </w:t>
      </w:r>
      <w:r>
        <w:rPr>
          <w:sz w:val="20"/>
        </w:rPr>
        <w:t>health</w:t>
      </w:r>
      <w:r>
        <w:rPr>
          <w:spacing w:val="-14"/>
          <w:sz w:val="20"/>
        </w:rPr>
        <w:t xml:space="preserve"> </w:t>
      </w:r>
      <w:r>
        <w:rPr>
          <w:sz w:val="20"/>
        </w:rPr>
        <w:t>sector</w:t>
      </w:r>
      <w:r>
        <w:rPr>
          <w:spacing w:val="-14"/>
          <w:sz w:val="20"/>
        </w:rPr>
        <w:t xml:space="preserve"> </w:t>
      </w:r>
      <w:r>
        <w:rPr>
          <w:sz w:val="20"/>
        </w:rPr>
        <w:t xml:space="preserve">than </w:t>
      </w:r>
      <w:r>
        <w:rPr>
          <w:w w:val="95"/>
          <w:sz w:val="20"/>
        </w:rPr>
        <w:t>Victoria</w:t>
      </w:r>
      <w:r>
        <w:rPr>
          <w:spacing w:val="-7"/>
          <w:w w:val="95"/>
          <w:sz w:val="20"/>
        </w:rPr>
        <w:t xml:space="preserve"> </w:t>
      </w:r>
      <w:r>
        <w:rPr>
          <w:w w:val="95"/>
          <w:sz w:val="20"/>
        </w:rPr>
        <w:t>or</w:t>
      </w:r>
      <w:r>
        <w:rPr>
          <w:spacing w:val="-7"/>
          <w:w w:val="95"/>
          <w:sz w:val="20"/>
        </w:rPr>
        <w:t xml:space="preserve"> </w:t>
      </w:r>
      <w:r>
        <w:rPr>
          <w:w w:val="95"/>
          <w:sz w:val="20"/>
        </w:rPr>
        <w:t>Queensland;</w:t>
      </w:r>
      <w:r>
        <w:rPr>
          <w:spacing w:val="-7"/>
          <w:w w:val="95"/>
          <w:sz w:val="20"/>
        </w:rPr>
        <w:t xml:space="preserve"> </w:t>
      </w:r>
      <w:r>
        <w:rPr>
          <w:w w:val="95"/>
          <w:sz w:val="20"/>
        </w:rPr>
        <w:t>if</w:t>
      </w:r>
      <w:r>
        <w:rPr>
          <w:spacing w:val="-7"/>
          <w:w w:val="95"/>
          <w:sz w:val="20"/>
        </w:rPr>
        <w:t xml:space="preserve"> </w:t>
      </w:r>
      <w:r>
        <w:rPr>
          <w:w w:val="95"/>
          <w:sz w:val="20"/>
        </w:rPr>
        <w:t>NSW</w:t>
      </w:r>
      <w:r>
        <w:rPr>
          <w:spacing w:val="-7"/>
          <w:w w:val="95"/>
          <w:sz w:val="20"/>
        </w:rPr>
        <w:t xml:space="preserve"> </w:t>
      </w:r>
      <w:r>
        <w:rPr>
          <w:w w:val="95"/>
          <w:sz w:val="20"/>
        </w:rPr>
        <w:t>had</w:t>
      </w:r>
      <w:r>
        <w:rPr>
          <w:spacing w:val="-7"/>
          <w:w w:val="95"/>
          <w:sz w:val="20"/>
        </w:rPr>
        <w:t xml:space="preserve"> </w:t>
      </w:r>
      <w:r>
        <w:rPr>
          <w:w w:val="95"/>
          <w:sz w:val="20"/>
        </w:rPr>
        <w:t>about</w:t>
      </w:r>
      <w:r>
        <w:rPr>
          <w:spacing w:val="-7"/>
          <w:w w:val="95"/>
          <w:sz w:val="20"/>
        </w:rPr>
        <w:t xml:space="preserve"> </w:t>
      </w:r>
      <w:r>
        <w:rPr>
          <w:w w:val="95"/>
          <w:sz w:val="20"/>
        </w:rPr>
        <w:t>the</w:t>
      </w:r>
      <w:r>
        <w:rPr>
          <w:spacing w:val="-7"/>
          <w:w w:val="95"/>
          <w:sz w:val="20"/>
        </w:rPr>
        <w:t xml:space="preserve"> </w:t>
      </w:r>
      <w:r>
        <w:rPr>
          <w:w w:val="95"/>
          <w:sz w:val="20"/>
        </w:rPr>
        <w:t xml:space="preserve">same number of public hospital and private hospital beds </w:t>
      </w:r>
      <w:r>
        <w:rPr>
          <w:spacing w:val="-4"/>
          <w:sz w:val="20"/>
        </w:rPr>
        <w:t>per</w:t>
      </w:r>
      <w:r>
        <w:rPr>
          <w:spacing w:val="-7"/>
          <w:sz w:val="20"/>
        </w:rPr>
        <w:t xml:space="preserve"> </w:t>
      </w:r>
      <w:r>
        <w:rPr>
          <w:spacing w:val="-4"/>
          <w:sz w:val="20"/>
        </w:rPr>
        <w:t>1,000</w:t>
      </w:r>
      <w:r>
        <w:rPr>
          <w:spacing w:val="-7"/>
          <w:sz w:val="20"/>
        </w:rPr>
        <w:t xml:space="preserve"> </w:t>
      </w:r>
      <w:r>
        <w:rPr>
          <w:spacing w:val="-4"/>
          <w:sz w:val="20"/>
        </w:rPr>
        <w:t>residents,</w:t>
      </w:r>
      <w:r>
        <w:rPr>
          <w:spacing w:val="-7"/>
          <w:sz w:val="20"/>
        </w:rPr>
        <w:t xml:space="preserve"> </w:t>
      </w:r>
      <w:r>
        <w:rPr>
          <w:spacing w:val="-4"/>
          <w:sz w:val="20"/>
        </w:rPr>
        <w:t>it</w:t>
      </w:r>
      <w:r>
        <w:rPr>
          <w:spacing w:val="-7"/>
          <w:sz w:val="20"/>
        </w:rPr>
        <w:t xml:space="preserve"> </w:t>
      </w:r>
      <w:r>
        <w:rPr>
          <w:spacing w:val="-4"/>
          <w:sz w:val="20"/>
        </w:rPr>
        <w:t>would</w:t>
      </w:r>
      <w:r>
        <w:rPr>
          <w:spacing w:val="-7"/>
          <w:sz w:val="20"/>
        </w:rPr>
        <w:t xml:space="preserve"> </w:t>
      </w:r>
      <w:r>
        <w:rPr>
          <w:spacing w:val="-4"/>
          <w:sz w:val="20"/>
        </w:rPr>
        <w:t>have</w:t>
      </w:r>
      <w:r>
        <w:rPr>
          <w:spacing w:val="-7"/>
          <w:sz w:val="20"/>
        </w:rPr>
        <w:t xml:space="preserve"> </w:t>
      </w:r>
      <w:r>
        <w:rPr>
          <w:spacing w:val="-4"/>
          <w:sz w:val="20"/>
        </w:rPr>
        <w:t>2,179</w:t>
      </w:r>
      <w:r>
        <w:rPr>
          <w:spacing w:val="-7"/>
          <w:sz w:val="20"/>
        </w:rPr>
        <w:t xml:space="preserve"> </w:t>
      </w:r>
      <w:r>
        <w:rPr>
          <w:spacing w:val="-4"/>
          <w:sz w:val="20"/>
        </w:rPr>
        <w:t>less</w:t>
      </w:r>
      <w:r>
        <w:rPr>
          <w:spacing w:val="-7"/>
          <w:sz w:val="20"/>
        </w:rPr>
        <w:t xml:space="preserve"> </w:t>
      </w:r>
      <w:r>
        <w:rPr>
          <w:spacing w:val="-4"/>
          <w:sz w:val="20"/>
        </w:rPr>
        <w:t xml:space="preserve">public </w:t>
      </w:r>
      <w:r>
        <w:rPr>
          <w:sz w:val="20"/>
        </w:rPr>
        <w:t>hospital</w:t>
      </w:r>
      <w:r>
        <w:rPr>
          <w:spacing w:val="-2"/>
          <w:sz w:val="20"/>
        </w:rPr>
        <w:t xml:space="preserve"> </w:t>
      </w:r>
      <w:r>
        <w:rPr>
          <w:sz w:val="20"/>
        </w:rPr>
        <w:t>beds</w:t>
      </w:r>
      <w:r>
        <w:rPr>
          <w:spacing w:val="-2"/>
          <w:sz w:val="20"/>
        </w:rPr>
        <w:t xml:space="preserve"> </w:t>
      </w:r>
      <w:r>
        <w:rPr>
          <w:sz w:val="20"/>
        </w:rPr>
        <w:t>and</w:t>
      </w:r>
      <w:r>
        <w:rPr>
          <w:spacing w:val="-2"/>
          <w:sz w:val="20"/>
        </w:rPr>
        <w:t xml:space="preserve"> </w:t>
      </w:r>
      <w:r>
        <w:rPr>
          <w:sz w:val="20"/>
        </w:rPr>
        <w:t>3,200</w:t>
      </w:r>
      <w:r>
        <w:rPr>
          <w:spacing w:val="-2"/>
          <w:sz w:val="20"/>
        </w:rPr>
        <w:t xml:space="preserve"> </w:t>
      </w:r>
      <w:r>
        <w:rPr>
          <w:sz w:val="20"/>
        </w:rPr>
        <w:t>more</w:t>
      </w:r>
      <w:r>
        <w:rPr>
          <w:spacing w:val="-2"/>
          <w:sz w:val="20"/>
        </w:rPr>
        <w:t xml:space="preserve"> </w:t>
      </w:r>
      <w:r>
        <w:rPr>
          <w:sz w:val="20"/>
        </w:rPr>
        <w:t>private</w:t>
      </w:r>
      <w:r>
        <w:rPr>
          <w:spacing w:val="-2"/>
          <w:sz w:val="20"/>
        </w:rPr>
        <w:t xml:space="preserve"> </w:t>
      </w:r>
      <w:r>
        <w:rPr>
          <w:sz w:val="20"/>
        </w:rPr>
        <w:t>beds.</w:t>
      </w:r>
    </w:p>
    <w:p w:rsidR="002C1123" w:rsidRDefault="00F22F94">
      <w:pPr>
        <w:pStyle w:val="ListParagraph"/>
        <w:numPr>
          <w:ilvl w:val="2"/>
          <w:numId w:val="48"/>
        </w:numPr>
        <w:tabs>
          <w:tab w:val="left" w:pos="776"/>
        </w:tabs>
        <w:spacing w:before="130" w:line="249" w:lineRule="auto"/>
        <w:ind w:right="226"/>
        <w:rPr>
          <w:sz w:val="20"/>
        </w:rPr>
      </w:pPr>
      <w:r>
        <w:rPr>
          <w:sz w:val="20"/>
        </w:rPr>
        <w:t>NSW</w:t>
      </w:r>
      <w:r>
        <w:rPr>
          <w:spacing w:val="-11"/>
          <w:sz w:val="20"/>
        </w:rPr>
        <w:t xml:space="preserve"> </w:t>
      </w:r>
      <w:r>
        <w:rPr>
          <w:sz w:val="20"/>
        </w:rPr>
        <w:t>Health</w:t>
      </w:r>
      <w:r>
        <w:rPr>
          <w:spacing w:val="-11"/>
          <w:sz w:val="20"/>
        </w:rPr>
        <w:t xml:space="preserve"> </w:t>
      </w:r>
      <w:r>
        <w:rPr>
          <w:sz w:val="20"/>
        </w:rPr>
        <w:t>has</w:t>
      </w:r>
      <w:r>
        <w:rPr>
          <w:spacing w:val="-11"/>
          <w:sz w:val="20"/>
        </w:rPr>
        <w:t xml:space="preserve"> </w:t>
      </w:r>
      <w:r>
        <w:rPr>
          <w:sz w:val="20"/>
        </w:rPr>
        <w:t>a</w:t>
      </w:r>
      <w:r>
        <w:rPr>
          <w:spacing w:val="-11"/>
          <w:sz w:val="20"/>
        </w:rPr>
        <w:t xml:space="preserve"> </w:t>
      </w:r>
      <w:r>
        <w:rPr>
          <w:sz w:val="20"/>
        </w:rPr>
        <w:t>higher</w:t>
      </w:r>
      <w:r>
        <w:rPr>
          <w:spacing w:val="-11"/>
          <w:sz w:val="20"/>
        </w:rPr>
        <w:t xml:space="preserve"> </w:t>
      </w:r>
      <w:r>
        <w:rPr>
          <w:sz w:val="20"/>
        </w:rPr>
        <w:t>proportion</w:t>
      </w:r>
      <w:r>
        <w:rPr>
          <w:spacing w:val="-11"/>
          <w:sz w:val="20"/>
        </w:rPr>
        <w:t xml:space="preserve"> </w:t>
      </w:r>
      <w:r>
        <w:rPr>
          <w:sz w:val="20"/>
        </w:rPr>
        <w:t>of</w:t>
      </w:r>
      <w:r>
        <w:rPr>
          <w:spacing w:val="-11"/>
          <w:sz w:val="20"/>
        </w:rPr>
        <w:t xml:space="preserve"> </w:t>
      </w:r>
      <w:r>
        <w:rPr>
          <w:sz w:val="20"/>
        </w:rPr>
        <w:t>private patients</w:t>
      </w:r>
      <w:r>
        <w:rPr>
          <w:spacing w:val="-13"/>
          <w:sz w:val="20"/>
        </w:rPr>
        <w:t xml:space="preserve"> </w:t>
      </w:r>
      <w:r>
        <w:rPr>
          <w:sz w:val="20"/>
        </w:rPr>
        <w:t>in</w:t>
      </w:r>
      <w:r>
        <w:rPr>
          <w:spacing w:val="-13"/>
          <w:sz w:val="20"/>
        </w:rPr>
        <w:t xml:space="preserve"> </w:t>
      </w:r>
      <w:r>
        <w:rPr>
          <w:sz w:val="20"/>
        </w:rPr>
        <w:t>public</w:t>
      </w:r>
      <w:r>
        <w:rPr>
          <w:spacing w:val="-13"/>
          <w:sz w:val="20"/>
        </w:rPr>
        <w:t xml:space="preserve"> </w:t>
      </w:r>
      <w:r>
        <w:rPr>
          <w:sz w:val="20"/>
        </w:rPr>
        <w:t>hospitals</w:t>
      </w:r>
      <w:r>
        <w:rPr>
          <w:spacing w:val="-13"/>
          <w:sz w:val="20"/>
        </w:rPr>
        <w:t xml:space="preserve"> </w:t>
      </w:r>
      <w:r>
        <w:rPr>
          <w:sz w:val="20"/>
        </w:rPr>
        <w:t>than</w:t>
      </w:r>
      <w:r>
        <w:rPr>
          <w:spacing w:val="-13"/>
          <w:sz w:val="20"/>
        </w:rPr>
        <w:t xml:space="preserve"> </w:t>
      </w:r>
      <w:r>
        <w:rPr>
          <w:sz w:val="20"/>
        </w:rPr>
        <w:t>any</w:t>
      </w:r>
      <w:r>
        <w:rPr>
          <w:spacing w:val="-13"/>
          <w:sz w:val="20"/>
        </w:rPr>
        <w:t xml:space="preserve"> </w:t>
      </w:r>
      <w:r>
        <w:rPr>
          <w:sz w:val="20"/>
        </w:rPr>
        <w:t>other</w:t>
      </w:r>
      <w:r>
        <w:rPr>
          <w:spacing w:val="-13"/>
          <w:sz w:val="20"/>
        </w:rPr>
        <w:t xml:space="preserve"> </w:t>
      </w:r>
      <w:r>
        <w:rPr>
          <w:sz w:val="20"/>
        </w:rPr>
        <w:t>state</w:t>
      </w:r>
      <w:r>
        <w:rPr>
          <w:spacing w:val="-13"/>
          <w:sz w:val="20"/>
        </w:rPr>
        <w:t xml:space="preserve"> </w:t>
      </w:r>
      <w:r>
        <w:rPr>
          <w:sz w:val="20"/>
        </w:rPr>
        <w:t>– 16</w:t>
      </w:r>
      <w:r>
        <w:rPr>
          <w:spacing w:val="-8"/>
          <w:sz w:val="20"/>
        </w:rPr>
        <w:t xml:space="preserve"> </w:t>
      </w:r>
      <w:r>
        <w:rPr>
          <w:sz w:val="20"/>
        </w:rPr>
        <w:t>percent</w:t>
      </w:r>
      <w:r>
        <w:rPr>
          <w:spacing w:val="-8"/>
          <w:sz w:val="20"/>
        </w:rPr>
        <w:t xml:space="preserve"> </w:t>
      </w:r>
      <w:r>
        <w:rPr>
          <w:sz w:val="20"/>
        </w:rPr>
        <w:t>in</w:t>
      </w:r>
      <w:r>
        <w:rPr>
          <w:spacing w:val="-8"/>
          <w:sz w:val="20"/>
        </w:rPr>
        <w:t xml:space="preserve"> </w:t>
      </w:r>
      <w:r>
        <w:rPr>
          <w:sz w:val="20"/>
        </w:rPr>
        <w:t>NSW</w:t>
      </w:r>
      <w:r>
        <w:rPr>
          <w:spacing w:val="-8"/>
          <w:sz w:val="20"/>
        </w:rPr>
        <w:t xml:space="preserve"> </w:t>
      </w:r>
      <w:r>
        <w:rPr>
          <w:sz w:val="20"/>
        </w:rPr>
        <w:t>compared</w:t>
      </w:r>
      <w:r>
        <w:rPr>
          <w:spacing w:val="-8"/>
          <w:sz w:val="20"/>
        </w:rPr>
        <w:t xml:space="preserve"> </w:t>
      </w:r>
      <w:r>
        <w:rPr>
          <w:sz w:val="20"/>
        </w:rPr>
        <w:t>to</w:t>
      </w:r>
      <w:r>
        <w:rPr>
          <w:spacing w:val="-8"/>
          <w:sz w:val="20"/>
        </w:rPr>
        <w:t xml:space="preserve"> </w:t>
      </w:r>
      <w:r>
        <w:rPr>
          <w:sz w:val="20"/>
        </w:rPr>
        <w:t>nine</w:t>
      </w:r>
      <w:r>
        <w:rPr>
          <w:spacing w:val="-8"/>
          <w:sz w:val="20"/>
        </w:rPr>
        <w:t xml:space="preserve"> </w:t>
      </w:r>
      <w:r>
        <w:rPr>
          <w:sz w:val="20"/>
        </w:rPr>
        <w:t>percent</w:t>
      </w:r>
      <w:r>
        <w:rPr>
          <w:spacing w:val="-8"/>
          <w:sz w:val="20"/>
        </w:rPr>
        <w:t xml:space="preserve"> </w:t>
      </w:r>
      <w:r>
        <w:rPr>
          <w:sz w:val="20"/>
        </w:rPr>
        <w:t xml:space="preserve">in </w:t>
      </w:r>
      <w:r>
        <w:rPr>
          <w:w w:val="95"/>
          <w:sz w:val="20"/>
        </w:rPr>
        <w:t>Victoria</w:t>
      </w:r>
      <w:r>
        <w:rPr>
          <w:spacing w:val="-10"/>
          <w:w w:val="95"/>
          <w:sz w:val="20"/>
        </w:rPr>
        <w:t xml:space="preserve"> </w:t>
      </w:r>
      <w:r>
        <w:rPr>
          <w:w w:val="95"/>
          <w:sz w:val="20"/>
        </w:rPr>
        <w:t>and</w:t>
      </w:r>
      <w:r>
        <w:rPr>
          <w:spacing w:val="-10"/>
          <w:w w:val="95"/>
          <w:sz w:val="20"/>
        </w:rPr>
        <w:t xml:space="preserve"> </w:t>
      </w:r>
      <w:r>
        <w:rPr>
          <w:w w:val="95"/>
          <w:sz w:val="20"/>
        </w:rPr>
        <w:t>five</w:t>
      </w:r>
      <w:r>
        <w:rPr>
          <w:spacing w:val="-10"/>
          <w:w w:val="95"/>
          <w:sz w:val="20"/>
        </w:rPr>
        <w:t xml:space="preserve"> </w:t>
      </w:r>
      <w:r>
        <w:rPr>
          <w:w w:val="95"/>
          <w:sz w:val="20"/>
        </w:rPr>
        <w:t>percent</w:t>
      </w:r>
      <w:r>
        <w:rPr>
          <w:spacing w:val="-10"/>
          <w:w w:val="95"/>
          <w:sz w:val="20"/>
        </w:rPr>
        <w:t xml:space="preserve"> </w:t>
      </w:r>
      <w:r>
        <w:rPr>
          <w:w w:val="95"/>
          <w:sz w:val="20"/>
        </w:rPr>
        <w:t>in</w:t>
      </w:r>
      <w:r>
        <w:rPr>
          <w:spacing w:val="-10"/>
          <w:w w:val="95"/>
          <w:sz w:val="20"/>
        </w:rPr>
        <w:t xml:space="preserve"> </w:t>
      </w:r>
      <w:r>
        <w:rPr>
          <w:w w:val="95"/>
          <w:sz w:val="20"/>
        </w:rPr>
        <w:t>Queensland;</w:t>
      </w:r>
      <w:r>
        <w:rPr>
          <w:spacing w:val="-10"/>
          <w:w w:val="95"/>
          <w:sz w:val="20"/>
        </w:rPr>
        <w:t xml:space="preserve"> </w:t>
      </w:r>
      <w:r>
        <w:rPr>
          <w:w w:val="95"/>
          <w:sz w:val="20"/>
        </w:rPr>
        <w:t>this</w:t>
      </w:r>
      <w:r>
        <w:rPr>
          <w:spacing w:val="-10"/>
          <w:w w:val="95"/>
          <w:sz w:val="20"/>
        </w:rPr>
        <w:t xml:space="preserve"> </w:t>
      </w:r>
      <w:r>
        <w:rPr>
          <w:w w:val="95"/>
          <w:sz w:val="20"/>
        </w:rPr>
        <w:t>in</w:t>
      </w:r>
      <w:r>
        <w:rPr>
          <w:spacing w:val="-10"/>
          <w:w w:val="95"/>
          <w:sz w:val="20"/>
        </w:rPr>
        <w:t xml:space="preserve"> </w:t>
      </w:r>
      <w:r>
        <w:rPr>
          <w:w w:val="95"/>
          <w:sz w:val="20"/>
        </w:rPr>
        <w:t>turn</w:t>
      </w:r>
    </w:p>
    <w:p w:rsidR="002C1123" w:rsidRDefault="00F22F94">
      <w:pPr>
        <w:pStyle w:val="Heading5"/>
        <w:numPr>
          <w:ilvl w:val="1"/>
          <w:numId w:val="49"/>
        </w:numPr>
        <w:tabs>
          <w:tab w:val="left" w:pos="816"/>
        </w:tabs>
        <w:ind w:left="815"/>
        <w:jc w:val="left"/>
      </w:pPr>
      <w:r>
        <w:rPr>
          <w:b w:val="0"/>
        </w:rPr>
        <w:br w:type="column"/>
      </w:r>
      <w:r>
        <w:rPr>
          <w:color w:val="00AEEF"/>
          <w:w w:val="95"/>
        </w:rPr>
        <w:t>Supply</w:t>
      </w:r>
      <w:r>
        <w:rPr>
          <w:color w:val="00AEEF"/>
          <w:spacing w:val="-1"/>
          <w:w w:val="95"/>
        </w:rPr>
        <w:t xml:space="preserve"> </w:t>
      </w:r>
      <w:r>
        <w:rPr>
          <w:color w:val="00AEEF"/>
          <w:w w:val="95"/>
        </w:rPr>
        <w:t>and</w:t>
      </w:r>
      <w:r>
        <w:rPr>
          <w:color w:val="00AEEF"/>
          <w:spacing w:val="-1"/>
          <w:w w:val="95"/>
        </w:rPr>
        <w:t xml:space="preserve"> </w:t>
      </w:r>
      <w:r>
        <w:rPr>
          <w:color w:val="00AEEF"/>
          <w:spacing w:val="-2"/>
          <w:w w:val="95"/>
        </w:rPr>
        <w:t>demand</w:t>
      </w:r>
    </w:p>
    <w:p w:rsidR="002C1123" w:rsidRDefault="00F22F94">
      <w:pPr>
        <w:pStyle w:val="BodyText"/>
        <w:spacing w:before="135" w:line="249" w:lineRule="auto"/>
        <w:ind w:left="215" w:right="142"/>
      </w:pPr>
      <w:r>
        <w:rPr>
          <w:w w:val="95"/>
        </w:rPr>
        <w:t xml:space="preserve">In responding to the growth in demand, Infrastructure </w:t>
      </w:r>
      <w:r>
        <w:t>NSW</w:t>
      </w:r>
      <w:r>
        <w:rPr>
          <w:spacing w:val="-9"/>
        </w:rPr>
        <w:t xml:space="preserve"> </w:t>
      </w:r>
      <w:r>
        <w:t>recommends</w:t>
      </w:r>
      <w:r>
        <w:rPr>
          <w:spacing w:val="-9"/>
        </w:rPr>
        <w:t xml:space="preserve"> </w:t>
      </w:r>
      <w:r>
        <w:t>that</w:t>
      </w:r>
      <w:r>
        <w:rPr>
          <w:spacing w:val="-9"/>
        </w:rPr>
        <w:t xml:space="preserve"> </w:t>
      </w:r>
      <w:r>
        <w:t>the</w:t>
      </w:r>
      <w:r>
        <w:rPr>
          <w:spacing w:val="-9"/>
        </w:rPr>
        <w:t xml:space="preserve"> </w:t>
      </w:r>
      <w:r>
        <w:t>management</w:t>
      </w:r>
      <w:r>
        <w:rPr>
          <w:spacing w:val="-9"/>
        </w:rPr>
        <w:t xml:space="preserve"> </w:t>
      </w:r>
      <w:r>
        <w:t>of</w:t>
      </w:r>
      <w:r>
        <w:rPr>
          <w:spacing w:val="-9"/>
        </w:rPr>
        <w:t xml:space="preserve"> </w:t>
      </w:r>
      <w:r>
        <w:t xml:space="preserve">existing </w:t>
      </w:r>
      <w:r>
        <w:rPr>
          <w:w w:val="95"/>
        </w:rPr>
        <w:t xml:space="preserve">hospital assets needs to be reformed first, while there </w:t>
      </w:r>
      <w:r>
        <w:t>is</w:t>
      </w:r>
      <w:r>
        <w:rPr>
          <w:spacing w:val="-14"/>
        </w:rPr>
        <w:t xml:space="preserve"> </w:t>
      </w:r>
      <w:r>
        <w:t>contemporaneous</w:t>
      </w:r>
      <w:r>
        <w:rPr>
          <w:spacing w:val="-14"/>
        </w:rPr>
        <w:t xml:space="preserve"> </w:t>
      </w:r>
      <w:r>
        <w:t>investment</w:t>
      </w:r>
      <w:r>
        <w:rPr>
          <w:spacing w:val="-14"/>
        </w:rPr>
        <w:t xml:space="preserve"> </w:t>
      </w:r>
      <w:r>
        <w:t>in</w:t>
      </w:r>
      <w:r>
        <w:rPr>
          <w:spacing w:val="-14"/>
        </w:rPr>
        <w:t xml:space="preserve"> </w:t>
      </w:r>
      <w:r>
        <w:t>renewal</w:t>
      </w:r>
      <w:r>
        <w:rPr>
          <w:spacing w:val="-14"/>
        </w:rPr>
        <w:t xml:space="preserve"> </w:t>
      </w:r>
      <w:r>
        <w:t>of</w:t>
      </w:r>
      <w:r>
        <w:rPr>
          <w:spacing w:val="-14"/>
        </w:rPr>
        <w:t xml:space="preserve"> </w:t>
      </w:r>
      <w:r>
        <w:t xml:space="preserve">health </w:t>
      </w:r>
      <w:r>
        <w:rPr>
          <w:w w:val="95"/>
        </w:rPr>
        <w:t>infrastructure.</w:t>
      </w:r>
      <w:r>
        <w:rPr>
          <w:spacing w:val="-5"/>
          <w:w w:val="95"/>
        </w:rPr>
        <w:t xml:space="preserve"> </w:t>
      </w:r>
      <w:r>
        <w:rPr>
          <w:w w:val="95"/>
        </w:rPr>
        <w:t>There</w:t>
      </w:r>
      <w:r>
        <w:rPr>
          <w:spacing w:val="-5"/>
          <w:w w:val="95"/>
        </w:rPr>
        <w:t xml:space="preserve"> </w:t>
      </w:r>
      <w:r>
        <w:rPr>
          <w:w w:val="95"/>
        </w:rPr>
        <w:t>is</w:t>
      </w:r>
      <w:r>
        <w:rPr>
          <w:spacing w:val="-5"/>
          <w:w w:val="95"/>
        </w:rPr>
        <w:t xml:space="preserve"> </w:t>
      </w:r>
      <w:r>
        <w:rPr>
          <w:w w:val="95"/>
        </w:rPr>
        <w:t>a</w:t>
      </w:r>
      <w:r>
        <w:rPr>
          <w:spacing w:val="-5"/>
          <w:w w:val="95"/>
        </w:rPr>
        <w:t xml:space="preserve"> </w:t>
      </w:r>
      <w:r>
        <w:rPr>
          <w:w w:val="95"/>
        </w:rPr>
        <w:t>need</w:t>
      </w:r>
      <w:r>
        <w:rPr>
          <w:spacing w:val="-5"/>
          <w:w w:val="95"/>
        </w:rPr>
        <w:t xml:space="preserve"> </w:t>
      </w:r>
      <w:r>
        <w:rPr>
          <w:w w:val="95"/>
        </w:rPr>
        <w:t>for</w:t>
      </w:r>
      <w:r>
        <w:rPr>
          <w:spacing w:val="-5"/>
          <w:w w:val="95"/>
        </w:rPr>
        <w:t xml:space="preserve"> </w:t>
      </w:r>
      <w:r>
        <w:rPr>
          <w:w w:val="95"/>
        </w:rPr>
        <w:t>the</w:t>
      </w:r>
      <w:r>
        <w:rPr>
          <w:spacing w:val="-5"/>
          <w:w w:val="95"/>
        </w:rPr>
        <w:t xml:space="preserve"> </w:t>
      </w:r>
      <w:r>
        <w:rPr>
          <w:w w:val="95"/>
        </w:rPr>
        <w:t>private</w:t>
      </w:r>
      <w:r>
        <w:rPr>
          <w:spacing w:val="-5"/>
          <w:w w:val="95"/>
        </w:rPr>
        <w:t xml:space="preserve"> </w:t>
      </w:r>
      <w:r>
        <w:rPr>
          <w:w w:val="95"/>
        </w:rPr>
        <w:t>sector</w:t>
      </w:r>
      <w:r>
        <w:rPr>
          <w:spacing w:val="40"/>
        </w:rPr>
        <w:t xml:space="preserve"> </w:t>
      </w:r>
      <w:r>
        <w:rPr>
          <w:w w:val="95"/>
        </w:rPr>
        <w:t>to be</w:t>
      </w:r>
      <w:r>
        <w:rPr>
          <w:spacing w:val="-10"/>
          <w:w w:val="95"/>
        </w:rPr>
        <w:t xml:space="preserve"> </w:t>
      </w:r>
      <w:r>
        <w:rPr>
          <w:w w:val="95"/>
        </w:rPr>
        <w:t>used</w:t>
      </w:r>
      <w:r>
        <w:rPr>
          <w:spacing w:val="-10"/>
          <w:w w:val="95"/>
        </w:rPr>
        <w:t xml:space="preserve"> </w:t>
      </w:r>
      <w:r>
        <w:rPr>
          <w:w w:val="95"/>
        </w:rPr>
        <w:t>more</w:t>
      </w:r>
      <w:r>
        <w:rPr>
          <w:spacing w:val="-10"/>
          <w:w w:val="95"/>
        </w:rPr>
        <w:t xml:space="preserve"> </w:t>
      </w:r>
      <w:r>
        <w:rPr>
          <w:w w:val="95"/>
        </w:rPr>
        <w:t>efficiently,</w:t>
      </w:r>
      <w:r>
        <w:rPr>
          <w:spacing w:val="-10"/>
          <w:w w:val="95"/>
        </w:rPr>
        <w:t xml:space="preserve"> </w:t>
      </w:r>
      <w:r>
        <w:rPr>
          <w:w w:val="95"/>
        </w:rPr>
        <w:t>including</w:t>
      </w:r>
      <w:r>
        <w:rPr>
          <w:spacing w:val="-10"/>
          <w:w w:val="95"/>
        </w:rPr>
        <w:t xml:space="preserve"> </w:t>
      </w:r>
      <w:r>
        <w:rPr>
          <w:w w:val="95"/>
        </w:rPr>
        <w:t>in</w:t>
      </w:r>
      <w:r>
        <w:rPr>
          <w:spacing w:val="-10"/>
          <w:w w:val="95"/>
        </w:rPr>
        <w:t xml:space="preserve"> </w:t>
      </w:r>
      <w:r>
        <w:rPr>
          <w:w w:val="95"/>
        </w:rPr>
        <w:t>the</w:t>
      </w:r>
      <w:r>
        <w:rPr>
          <w:spacing w:val="-10"/>
          <w:w w:val="95"/>
        </w:rPr>
        <w:t xml:space="preserve"> </w:t>
      </w:r>
      <w:r>
        <w:rPr>
          <w:w w:val="95"/>
        </w:rPr>
        <w:t>deliverance</w:t>
      </w:r>
      <w:r>
        <w:rPr>
          <w:spacing w:val="-10"/>
          <w:w w:val="95"/>
        </w:rPr>
        <w:t xml:space="preserve"> </w:t>
      </w:r>
      <w:r>
        <w:rPr>
          <w:w w:val="95"/>
        </w:rPr>
        <w:t xml:space="preserve">of </w:t>
      </w:r>
      <w:r>
        <w:t>new care models.</w:t>
      </w:r>
    </w:p>
    <w:p w:rsidR="002C1123" w:rsidRDefault="00F22F94">
      <w:pPr>
        <w:pStyle w:val="Heading6"/>
        <w:numPr>
          <w:ilvl w:val="2"/>
          <w:numId w:val="49"/>
        </w:numPr>
        <w:tabs>
          <w:tab w:val="left" w:pos="811"/>
        </w:tabs>
        <w:spacing w:before="147"/>
        <w:ind w:hanging="596"/>
        <w:jc w:val="left"/>
      </w:pPr>
      <w:r>
        <w:rPr>
          <w:color w:val="00AEEF"/>
        </w:rPr>
        <w:t>Demand</w:t>
      </w:r>
      <w:r>
        <w:rPr>
          <w:color w:val="00AEEF"/>
          <w:spacing w:val="-13"/>
        </w:rPr>
        <w:t xml:space="preserve"> </w:t>
      </w:r>
      <w:r>
        <w:rPr>
          <w:color w:val="00AEEF"/>
          <w:spacing w:val="-2"/>
        </w:rPr>
        <w:t>growth</w:t>
      </w:r>
    </w:p>
    <w:p w:rsidR="002C1123" w:rsidRDefault="00F22F94">
      <w:pPr>
        <w:pStyle w:val="BodyText"/>
        <w:spacing w:before="95" w:line="249" w:lineRule="auto"/>
        <w:ind w:left="215"/>
      </w:pPr>
      <w:r>
        <w:t>The</w:t>
      </w:r>
      <w:r>
        <w:rPr>
          <w:spacing w:val="-12"/>
        </w:rPr>
        <w:t xml:space="preserve"> </w:t>
      </w:r>
      <w:r>
        <w:t>demand</w:t>
      </w:r>
      <w:r>
        <w:rPr>
          <w:spacing w:val="-12"/>
        </w:rPr>
        <w:t xml:space="preserve"> </w:t>
      </w:r>
      <w:r>
        <w:t>for</w:t>
      </w:r>
      <w:r>
        <w:rPr>
          <w:spacing w:val="-12"/>
        </w:rPr>
        <w:t xml:space="preserve"> </w:t>
      </w:r>
      <w:r>
        <w:t>health</w:t>
      </w:r>
      <w:r>
        <w:rPr>
          <w:spacing w:val="-12"/>
        </w:rPr>
        <w:t xml:space="preserve"> </w:t>
      </w:r>
      <w:r>
        <w:t>care</w:t>
      </w:r>
      <w:r>
        <w:rPr>
          <w:spacing w:val="-12"/>
        </w:rPr>
        <w:t xml:space="preserve"> </w:t>
      </w:r>
      <w:r>
        <w:t>and</w:t>
      </w:r>
      <w:r>
        <w:rPr>
          <w:spacing w:val="-12"/>
        </w:rPr>
        <w:t xml:space="preserve"> </w:t>
      </w:r>
      <w:r>
        <w:t>costs</w:t>
      </w:r>
      <w:r>
        <w:rPr>
          <w:spacing w:val="-12"/>
        </w:rPr>
        <w:t xml:space="preserve"> </w:t>
      </w:r>
      <w:r>
        <w:t>of</w:t>
      </w:r>
      <w:r>
        <w:rPr>
          <w:spacing w:val="-12"/>
        </w:rPr>
        <w:t xml:space="preserve"> </w:t>
      </w:r>
      <w:r>
        <w:t>services</w:t>
      </w:r>
      <w:r>
        <w:rPr>
          <w:spacing w:val="-12"/>
        </w:rPr>
        <w:t xml:space="preserve"> </w:t>
      </w:r>
      <w:r>
        <w:t xml:space="preserve">are </w:t>
      </w:r>
      <w:r>
        <w:rPr>
          <w:w w:val="95"/>
        </w:rPr>
        <w:t>increasing</w:t>
      </w:r>
      <w:r>
        <w:rPr>
          <w:spacing w:val="-4"/>
          <w:w w:val="95"/>
        </w:rPr>
        <w:t xml:space="preserve"> </w:t>
      </w:r>
      <w:r>
        <w:rPr>
          <w:w w:val="95"/>
        </w:rPr>
        <w:t>faster</w:t>
      </w:r>
      <w:r>
        <w:rPr>
          <w:spacing w:val="-4"/>
          <w:w w:val="95"/>
        </w:rPr>
        <w:t xml:space="preserve"> </w:t>
      </w:r>
      <w:r>
        <w:rPr>
          <w:w w:val="95"/>
        </w:rPr>
        <w:t>than</w:t>
      </w:r>
      <w:r>
        <w:rPr>
          <w:spacing w:val="-4"/>
          <w:w w:val="95"/>
        </w:rPr>
        <w:t xml:space="preserve"> </w:t>
      </w:r>
      <w:r>
        <w:rPr>
          <w:w w:val="95"/>
        </w:rPr>
        <w:t>the</w:t>
      </w:r>
      <w:r>
        <w:rPr>
          <w:spacing w:val="-4"/>
          <w:w w:val="95"/>
        </w:rPr>
        <w:t xml:space="preserve"> </w:t>
      </w:r>
      <w:r>
        <w:rPr>
          <w:w w:val="95"/>
        </w:rPr>
        <w:t>rate</w:t>
      </w:r>
      <w:r>
        <w:rPr>
          <w:spacing w:val="-4"/>
          <w:w w:val="95"/>
        </w:rPr>
        <w:t xml:space="preserve"> </w:t>
      </w:r>
      <w:r>
        <w:rPr>
          <w:w w:val="95"/>
        </w:rPr>
        <w:t>of</w:t>
      </w:r>
      <w:r>
        <w:rPr>
          <w:spacing w:val="-4"/>
          <w:w w:val="95"/>
        </w:rPr>
        <w:t xml:space="preserve"> </w:t>
      </w:r>
      <w:r>
        <w:rPr>
          <w:w w:val="95"/>
        </w:rPr>
        <w:t>population</w:t>
      </w:r>
      <w:r>
        <w:rPr>
          <w:spacing w:val="-4"/>
          <w:w w:val="95"/>
        </w:rPr>
        <w:t xml:space="preserve"> </w:t>
      </w:r>
      <w:r>
        <w:rPr>
          <w:w w:val="95"/>
        </w:rPr>
        <w:t>growth</w:t>
      </w:r>
      <w:r>
        <w:rPr>
          <w:spacing w:val="-4"/>
          <w:w w:val="95"/>
        </w:rPr>
        <w:t xml:space="preserve"> </w:t>
      </w:r>
      <w:r>
        <w:rPr>
          <w:w w:val="95"/>
        </w:rPr>
        <w:t xml:space="preserve">due </w:t>
      </w:r>
      <w:r>
        <w:t>largely</w:t>
      </w:r>
      <w:r>
        <w:rPr>
          <w:spacing w:val="-11"/>
        </w:rPr>
        <w:t xml:space="preserve"> </w:t>
      </w:r>
      <w:r>
        <w:t>to:</w:t>
      </w:r>
    </w:p>
    <w:p w:rsidR="002C1123" w:rsidRDefault="00F22F94">
      <w:pPr>
        <w:pStyle w:val="ListParagraph"/>
        <w:numPr>
          <w:ilvl w:val="3"/>
          <w:numId w:val="49"/>
        </w:numPr>
        <w:tabs>
          <w:tab w:val="left" w:pos="499"/>
        </w:tabs>
        <w:spacing w:before="132" w:line="249" w:lineRule="auto"/>
        <w:jc w:val="both"/>
        <w:rPr>
          <w:sz w:val="11"/>
        </w:rPr>
      </w:pPr>
      <w:r>
        <w:rPr>
          <w:w w:val="95"/>
          <w:sz w:val="20"/>
        </w:rPr>
        <w:t>an</w:t>
      </w:r>
      <w:r>
        <w:rPr>
          <w:spacing w:val="-4"/>
          <w:w w:val="95"/>
          <w:sz w:val="20"/>
        </w:rPr>
        <w:t xml:space="preserve"> </w:t>
      </w:r>
      <w:r>
        <w:rPr>
          <w:w w:val="95"/>
          <w:sz w:val="20"/>
        </w:rPr>
        <w:t>ageing</w:t>
      </w:r>
      <w:r>
        <w:rPr>
          <w:spacing w:val="-4"/>
          <w:w w:val="95"/>
          <w:sz w:val="20"/>
        </w:rPr>
        <w:t xml:space="preserve"> </w:t>
      </w:r>
      <w:r>
        <w:rPr>
          <w:w w:val="95"/>
          <w:sz w:val="20"/>
        </w:rPr>
        <w:t>population</w:t>
      </w:r>
      <w:r>
        <w:rPr>
          <w:spacing w:val="-4"/>
          <w:w w:val="95"/>
          <w:sz w:val="20"/>
        </w:rPr>
        <w:t xml:space="preserve"> </w:t>
      </w:r>
      <w:r>
        <w:rPr>
          <w:w w:val="95"/>
          <w:sz w:val="20"/>
        </w:rPr>
        <w:t>–</w:t>
      </w:r>
      <w:r>
        <w:rPr>
          <w:spacing w:val="-4"/>
          <w:w w:val="95"/>
          <w:sz w:val="20"/>
        </w:rPr>
        <w:t xml:space="preserve"> </w:t>
      </w:r>
      <w:r>
        <w:rPr>
          <w:w w:val="95"/>
          <w:sz w:val="20"/>
        </w:rPr>
        <w:t>while</w:t>
      </w:r>
      <w:r>
        <w:rPr>
          <w:spacing w:val="-4"/>
          <w:w w:val="95"/>
          <w:sz w:val="20"/>
        </w:rPr>
        <w:t xml:space="preserve"> </w:t>
      </w:r>
      <w:r>
        <w:rPr>
          <w:w w:val="95"/>
          <w:sz w:val="20"/>
        </w:rPr>
        <w:t>population</w:t>
      </w:r>
      <w:r>
        <w:rPr>
          <w:spacing w:val="-4"/>
          <w:w w:val="95"/>
          <w:sz w:val="20"/>
        </w:rPr>
        <w:t xml:space="preserve"> </w:t>
      </w:r>
      <w:r>
        <w:rPr>
          <w:w w:val="95"/>
          <w:sz w:val="20"/>
        </w:rPr>
        <w:t>is</w:t>
      </w:r>
      <w:r>
        <w:rPr>
          <w:spacing w:val="-4"/>
          <w:w w:val="95"/>
          <w:sz w:val="20"/>
        </w:rPr>
        <w:t xml:space="preserve"> </w:t>
      </w:r>
      <w:r>
        <w:rPr>
          <w:w w:val="95"/>
          <w:sz w:val="20"/>
        </w:rPr>
        <w:t>forecast</w:t>
      </w:r>
      <w:r>
        <w:rPr>
          <w:spacing w:val="-4"/>
          <w:w w:val="95"/>
          <w:sz w:val="20"/>
        </w:rPr>
        <w:t xml:space="preserve"> </w:t>
      </w:r>
      <w:r>
        <w:rPr>
          <w:w w:val="95"/>
          <w:sz w:val="20"/>
        </w:rPr>
        <w:t>to grow</w:t>
      </w:r>
      <w:r>
        <w:rPr>
          <w:spacing w:val="-2"/>
          <w:w w:val="95"/>
          <w:sz w:val="20"/>
        </w:rPr>
        <w:t xml:space="preserve"> </w:t>
      </w:r>
      <w:r>
        <w:rPr>
          <w:w w:val="95"/>
          <w:sz w:val="20"/>
        </w:rPr>
        <w:t>by</w:t>
      </w:r>
      <w:r>
        <w:rPr>
          <w:spacing w:val="-2"/>
          <w:w w:val="95"/>
          <w:sz w:val="20"/>
        </w:rPr>
        <w:t xml:space="preserve"> </w:t>
      </w:r>
      <w:r>
        <w:rPr>
          <w:w w:val="95"/>
          <w:sz w:val="20"/>
        </w:rPr>
        <w:t>30</w:t>
      </w:r>
      <w:r>
        <w:rPr>
          <w:spacing w:val="-2"/>
          <w:w w:val="95"/>
          <w:sz w:val="20"/>
        </w:rPr>
        <w:t xml:space="preserve"> </w:t>
      </w:r>
      <w:r>
        <w:rPr>
          <w:w w:val="95"/>
          <w:sz w:val="20"/>
        </w:rPr>
        <w:t>percent</w:t>
      </w:r>
      <w:r>
        <w:rPr>
          <w:spacing w:val="-2"/>
          <w:w w:val="95"/>
          <w:sz w:val="20"/>
        </w:rPr>
        <w:t xml:space="preserve"> </w:t>
      </w:r>
      <w:r>
        <w:rPr>
          <w:w w:val="95"/>
          <w:sz w:val="20"/>
        </w:rPr>
        <w:t>by</w:t>
      </w:r>
      <w:r>
        <w:rPr>
          <w:spacing w:val="-2"/>
          <w:w w:val="95"/>
          <w:sz w:val="20"/>
        </w:rPr>
        <w:t xml:space="preserve"> </w:t>
      </w:r>
      <w:r>
        <w:rPr>
          <w:w w:val="95"/>
          <w:sz w:val="20"/>
        </w:rPr>
        <w:t>2031,</w:t>
      </w:r>
      <w:r>
        <w:rPr>
          <w:spacing w:val="-2"/>
          <w:w w:val="95"/>
          <w:sz w:val="20"/>
        </w:rPr>
        <w:t xml:space="preserve"> </w:t>
      </w:r>
      <w:r>
        <w:rPr>
          <w:w w:val="95"/>
          <w:sz w:val="20"/>
        </w:rPr>
        <w:t>the</w:t>
      </w:r>
      <w:r>
        <w:rPr>
          <w:spacing w:val="-2"/>
          <w:w w:val="95"/>
          <w:sz w:val="20"/>
        </w:rPr>
        <w:t xml:space="preserve"> </w:t>
      </w:r>
      <w:r>
        <w:rPr>
          <w:w w:val="95"/>
          <w:sz w:val="20"/>
        </w:rPr>
        <w:t>forecast</w:t>
      </w:r>
      <w:r>
        <w:rPr>
          <w:spacing w:val="-2"/>
          <w:w w:val="95"/>
          <w:sz w:val="20"/>
        </w:rPr>
        <w:t xml:space="preserve"> </w:t>
      </w:r>
      <w:r>
        <w:rPr>
          <w:w w:val="95"/>
          <w:sz w:val="20"/>
        </w:rPr>
        <w:t>demand</w:t>
      </w:r>
      <w:r>
        <w:rPr>
          <w:spacing w:val="-2"/>
          <w:w w:val="95"/>
          <w:sz w:val="20"/>
        </w:rPr>
        <w:t xml:space="preserve"> </w:t>
      </w:r>
      <w:r>
        <w:rPr>
          <w:w w:val="95"/>
          <w:sz w:val="20"/>
        </w:rPr>
        <w:t xml:space="preserve">for </w:t>
      </w:r>
      <w:r>
        <w:rPr>
          <w:sz w:val="20"/>
        </w:rPr>
        <w:t>health</w:t>
      </w:r>
      <w:r>
        <w:rPr>
          <w:spacing w:val="-4"/>
          <w:sz w:val="20"/>
        </w:rPr>
        <w:t xml:space="preserve"> </w:t>
      </w:r>
      <w:r>
        <w:rPr>
          <w:sz w:val="20"/>
        </w:rPr>
        <w:t>services</w:t>
      </w:r>
      <w:r>
        <w:rPr>
          <w:spacing w:val="-4"/>
          <w:sz w:val="20"/>
        </w:rPr>
        <w:t xml:space="preserve"> </w:t>
      </w:r>
      <w:r>
        <w:rPr>
          <w:sz w:val="20"/>
        </w:rPr>
        <w:t>may</w:t>
      </w:r>
      <w:r>
        <w:rPr>
          <w:spacing w:val="-4"/>
          <w:sz w:val="20"/>
        </w:rPr>
        <w:t xml:space="preserve"> </w:t>
      </w:r>
      <w:r>
        <w:rPr>
          <w:sz w:val="20"/>
        </w:rPr>
        <w:t>grow</w:t>
      </w:r>
      <w:r>
        <w:rPr>
          <w:spacing w:val="-4"/>
          <w:sz w:val="20"/>
        </w:rPr>
        <w:t xml:space="preserve"> </w:t>
      </w:r>
      <w:r>
        <w:rPr>
          <w:sz w:val="20"/>
        </w:rPr>
        <w:t>by</w:t>
      </w:r>
      <w:r>
        <w:rPr>
          <w:spacing w:val="-4"/>
          <w:sz w:val="20"/>
        </w:rPr>
        <w:t xml:space="preserve"> </w:t>
      </w:r>
      <w:r>
        <w:rPr>
          <w:sz w:val="20"/>
        </w:rPr>
        <w:t>49</w:t>
      </w:r>
      <w:r>
        <w:rPr>
          <w:spacing w:val="-4"/>
          <w:sz w:val="20"/>
        </w:rPr>
        <w:t xml:space="preserve"> </w:t>
      </w:r>
      <w:r>
        <w:rPr>
          <w:sz w:val="20"/>
        </w:rPr>
        <w:t>per</w:t>
      </w:r>
      <w:r>
        <w:rPr>
          <w:spacing w:val="-4"/>
          <w:sz w:val="20"/>
        </w:rPr>
        <w:t xml:space="preserve"> </w:t>
      </w:r>
      <w:r>
        <w:rPr>
          <w:sz w:val="20"/>
        </w:rPr>
        <w:t>cent</w:t>
      </w:r>
      <w:r>
        <w:rPr>
          <w:position w:val="7"/>
          <w:sz w:val="11"/>
        </w:rPr>
        <w:t>1</w:t>
      </w:r>
    </w:p>
    <w:p w:rsidR="002C1123" w:rsidRDefault="00F22F94">
      <w:pPr>
        <w:pStyle w:val="ListParagraph"/>
        <w:numPr>
          <w:ilvl w:val="3"/>
          <w:numId w:val="49"/>
        </w:numPr>
        <w:tabs>
          <w:tab w:val="left" w:pos="499"/>
        </w:tabs>
        <w:spacing w:before="131" w:line="249" w:lineRule="auto"/>
        <w:ind w:right="32"/>
        <w:jc w:val="both"/>
        <w:rPr>
          <w:sz w:val="20"/>
        </w:rPr>
      </w:pPr>
      <w:r>
        <w:rPr>
          <w:w w:val="95"/>
          <w:sz w:val="20"/>
        </w:rPr>
        <w:t>average</w:t>
      </w:r>
      <w:r>
        <w:rPr>
          <w:spacing w:val="-9"/>
          <w:w w:val="95"/>
          <w:sz w:val="20"/>
        </w:rPr>
        <w:t xml:space="preserve"> </w:t>
      </w:r>
      <w:r>
        <w:rPr>
          <w:w w:val="95"/>
          <w:sz w:val="20"/>
        </w:rPr>
        <w:t>health</w:t>
      </w:r>
      <w:r>
        <w:rPr>
          <w:spacing w:val="-9"/>
          <w:w w:val="95"/>
          <w:sz w:val="20"/>
        </w:rPr>
        <w:t xml:space="preserve"> </w:t>
      </w:r>
      <w:r>
        <w:rPr>
          <w:w w:val="95"/>
          <w:sz w:val="20"/>
        </w:rPr>
        <w:t>expenditure</w:t>
      </w:r>
      <w:r>
        <w:rPr>
          <w:spacing w:val="-9"/>
          <w:w w:val="95"/>
          <w:sz w:val="20"/>
        </w:rPr>
        <w:t xml:space="preserve"> </w:t>
      </w:r>
      <w:r>
        <w:rPr>
          <w:w w:val="95"/>
          <w:sz w:val="20"/>
        </w:rPr>
        <w:t>per</w:t>
      </w:r>
      <w:r>
        <w:rPr>
          <w:spacing w:val="-9"/>
          <w:w w:val="95"/>
          <w:sz w:val="20"/>
        </w:rPr>
        <w:t xml:space="preserve"> </w:t>
      </w:r>
      <w:r>
        <w:rPr>
          <w:w w:val="95"/>
          <w:sz w:val="20"/>
        </w:rPr>
        <w:t>person</w:t>
      </w:r>
      <w:r>
        <w:rPr>
          <w:spacing w:val="-9"/>
          <w:w w:val="95"/>
          <w:sz w:val="20"/>
        </w:rPr>
        <w:t xml:space="preserve"> </w:t>
      </w:r>
      <w:r>
        <w:rPr>
          <w:w w:val="95"/>
          <w:sz w:val="20"/>
        </w:rPr>
        <w:t>over</w:t>
      </w:r>
      <w:r>
        <w:rPr>
          <w:spacing w:val="-9"/>
          <w:w w:val="95"/>
          <w:sz w:val="20"/>
        </w:rPr>
        <w:t xml:space="preserve"> </w:t>
      </w:r>
      <w:r>
        <w:rPr>
          <w:w w:val="95"/>
          <w:sz w:val="20"/>
        </w:rPr>
        <w:t>65</w:t>
      </w:r>
      <w:r>
        <w:rPr>
          <w:spacing w:val="-9"/>
          <w:w w:val="95"/>
          <w:sz w:val="20"/>
        </w:rPr>
        <w:t xml:space="preserve"> </w:t>
      </w:r>
      <w:r>
        <w:rPr>
          <w:w w:val="95"/>
          <w:sz w:val="20"/>
        </w:rPr>
        <w:t xml:space="preserve">years </w:t>
      </w:r>
      <w:r>
        <w:rPr>
          <w:sz w:val="20"/>
        </w:rPr>
        <w:t>of</w:t>
      </w:r>
      <w:r>
        <w:rPr>
          <w:spacing w:val="-10"/>
          <w:sz w:val="20"/>
        </w:rPr>
        <w:t xml:space="preserve"> </w:t>
      </w:r>
      <w:r>
        <w:rPr>
          <w:sz w:val="20"/>
        </w:rPr>
        <w:t>age</w:t>
      </w:r>
      <w:r>
        <w:rPr>
          <w:spacing w:val="-10"/>
          <w:sz w:val="20"/>
        </w:rPr>
        <w:t xml:space="preserve"> </w:t>
      </w:r>
      <w:r>
        <w:rPr>
          <w:sz w:val="20"/>
        </w:rPr>
        <w:t>is</w:t>
      </w:r>
      <w:r>
        <w:rPr>
          <w:spacing w:val="-10"/>
          <w:sz w:val="20"/>
        </w:rPr>
        <w:t xml:space="preserve"> </w:t>
      </w:r>
      <w:r>
        <w:rPr>
          <w:sz w:val="20"/>
        </w:rPr>
        <w:t>four</w:t>
      </w:r>
      <w:r>
        <w:rPr>
          <w:spacing w:val="-10"/>
          <w:sz w:val="20"/>
        </w:rPr>
        <w:t xml:space="preserve"> </w:t>
      </w:r>
      <w:r>
        <w:rPr>
          <w:sz w:val="20"/>
        </w:rPr>
        <w:t>times</w:t>
      </w:r>
      <w:r>
        <w:rPr>
          <w:spacing w:val="-10"/>
          <w:sz w:val="20"/>
        </w:rPr>
        <w:t xml:space="preserve"> </w:t>
      </w:r>
      <w:r>
        <w:rPr>
          <w:sz w:val="20"/>
        </w:rPr>
        <w:t>more</w:t>
      </w:r>
      <w:r>
        <w:rPr>
          <w:spacing w:val="-10"/>
          <w:sz w:val="20"/>
        </w:rPr>
        <w:t xml:space="preserve"> </w:t>
      </w:r>
      <w:r>
        <w:rPr>
          <w:sz w:val="20"/>
        </w:rPr>
        <w:t>than</w:t>
      </w:r>
      <w:r>
        <w:rPr>
          <w:spacing w:val="-10"/>
          <w:sz w:val="20"/>
        </w:rPr>
        <w:t xml:space="preserve"> </w:t>
      </w:r>
      <w:r>
        <w:rPr>
          <w:sz w:val="20"/>
        </w:rPr>
        <w:t>for</w:t>
      </w:r>
      <w:r>
        <w:rPr>
          <w:spacing w:val="-10"/>
          <w:sz w:val="20"/>
        </w:rPr>
        <w:t xml:space="preserve"> </w:t>
      </w:r>
      <w:r>
        <w:rPr>
          <w:sz w:val="20"/>
        </w:rPr>
        <w:t>those</w:t>
      </w:r>
      <w:r>
        <w:rPr>
          <w:spacing w:val="-10"/>
          <w:sz w:val="20"/>
        </w:rPr>
        <w:t xml:space="preserve"> </w:t>
      </w:r>
      <w:r>
        <w:rPr>
          <w:sz w:val="20"/>
        </w:rPr>
        <w:t>under</w:t>
      </w:r>
      <w:r>
        <w:rPr>
          <w:spacing w:val="-10"/>
          <w:sz w:val="20"/>
        </w:rPr>
        <w:t xml:space="preserve"> </w:t>
      </w:r>
      <w:r>
        <w:rPr>
          <w:sz w:val="20"/>
        </w:rPr>
        <w:t>65.</w:t>
      </w:r>
    </w:p>
    <w:p w:rsidR="002C1123" w:rsidRDefault="00F22F94">
      <w:pPr>
        <w:pStyle w:val="BodyText"/>
        <w:spacing w:before="1" w:line="249" w:lineRule="auto"/>
        <w:ind w:left="498" w:right="498"/>
        <w:jc w:val="both"/>
        <w:rPr>
          <w:sz w:val="11"/>
        </w:rPr>
      </w:pPr>
      <w:r>
        <w:rPr>
          <w:w w:val="95"/>
        </w:rPr>
        <w:t>The Productivity Commission projected ageing will</w:t>
      </w:r>
      <w:r>
        <w:rPr>
          <w:spacing w:val="-8"/>
          <w:w w:val="95"/>
        </w:rPr>
        <w:t xml:space="preserve"> </w:t>
      </w:r>
      <w:r>
        <w:rPr>
          <w:w w:val="95"/>
        </w:rPr>
        <w:t>account</w:t>
      </w:r>
      <w:r>
        <w:rPr>
          <w:spacing w:val="-8"/>
          <w:w w:val="95"/>
        </w:rPr>
        <w:t xml:space="preserve"> </w:t>
      </w:r>
      <w:r>
        <w:rPr>
          <w:w w:val="95"/>
        </w:rPr>
        <w:t>for</w:t>
      </w:r>
      <w:r>
        <w:rPr>
          <w:spacing w:val="-8"/>
          <w:w w:val="95"/>
        </w:rPr>
        <w:t xml:space="preserve"> </w:t>
      </w:r>
      <w:r>
        <w:rPr>
          <w:w w:val="95"/>
        </w:rPr>
        <w:t>about</w:t>
      </w:r>
      <w:r>
        <w:rPr>
          <w:spacing w:val="-8"/>
          <w:w w:val="95"/>
        </w:rPr>
        <w:t xml:space="preserve"> </w:t>
      </w:r>
      <w:r>
        <w:rPr>
          <w:w w:val="95"/>
        </w:rPr>
        <w:t>half</w:t>
      </w:r>
      <w:r>
        <w:rPr>
          <w:spacing w:val="-8"/>
          <w:w w:val="95"/>
        </w:rPr>
        <w:t xml:space="preserve"> </w:t>
      </w:r>
      <w:r>
        <w:rPr>
          <w:w w:val="95"/>
        </w:rPr>
        <w:t>the</w:t>
      </w:r>
      <w:r>
        <w:rPr>
          <w:spacing w:val="-8"/>
          <w:w w:val="95"/>
        </w:rPr>
        <w:t xml:space="preserve"> </w:t>
      </w:r>
      <w:r>
        <w:rPr>
          <w:w w:val="95"/>
        </w:rPr>
        <w:t>increase</w:t>
      </w:r>
      <w:r>
        <w:rPr>
          <w:spacing w:val="-8"/>
          <w:w w:val="95"/>
        </w:rPr>
        <w:t xml:space="preserve"> </w:t>
      </w:r>
      <w:r>
        <w:rPr>
          <w:w w:val="95"/>
        </w:rPr>
        <w:t>in</w:t>
      </w:r>
      <w:r>
        <w:rPr>
          <w:spacing w:val="-8"/>
          <w:w w:val="95"/>
        </w:rPr>
        <w:t xml:space="preserve"> </w:t>
      </w:r>
      <w:r>
        <w:rPr>
          <w:w w:val="95"/>
        </w:rPr>
        <w:t xml:space="preserve">health </w:t>
      </w:r>
      <w:r>
        <w:t>expenditure as a proportion of GDP</w:t>
      </w:r>
      <w:r>
        <w:rPr>
          <w:position w:val="7"/>
          <w:sz w:val="11"/>
        </w:rPr>
        <w:t>2</w:t>
      </w:r>
    </w:p>
    <w:p w:rsidR="002C1123" w:rsidRDefault="00F22F94">
      <w:pPr>
        <w:pStyle w:val="ListParagraph"/>
        <w:numPr>
          <w:ilvl w:val="3"/>
          <w:numId w:val="49"/>
        </w:numPr>
        <w:tabs>
          <w:tab w:val="left" w:pos="499"/>
        </w:tabs>
        <w:spacing w:before="132" w:line="249" w:lineRule="auto"/>
        <w:ind w:right="256"/>
        <w:rPr>
          <w:sz w:val="20"/>
        </w:rPr>
      </w:pPr>
      <w:r>
        <w:rPr>
          <w:w w:val="95"/>
          <w:sz w:val="20"/>
        </w:rPr>
        <w:t>increasing</w:t>
      </w:r>
      <w:r>
        <w:rPr>
          <w:spacing w:val="-12"/>
          <w:w w:val="95"/>
          <w:sz w:val="20"/>
        </w:rPr>
        <w:t xml:space="preserve"> </w:t>
      </w:r>
      <w:r>
        <w:rPr>
          <w:w w:val="95"/>
          <w:sz w:val="20"/>
        </w:rPr>
        <w:t>prevalence</w:t>
      </w:r>
      <w:r>
        <w:rPr>
          <w:spacing w:val="-11"/>
          <w:w w:val="95"/>
          <w:sz w:val="20"/>
        </w:rPr>
        <w:t xml:space="preserve"> </w:t>
      </w:r>
      <w:r>
        <w:rPr>
          <w:w w:val="95"/>
          <w:sz w:val="20"/>
        </w:rPr>
        <w:t>of</w:t>
      </w:r>
      <w:r>
        <w:rPr>
          <w:spacing w:val="-11"/>
          <w:w w:val="95"/>
          <w:sz w:val="20"/>
        </w:rPr>
        <w:t xml:space="preserve"> </w:t>
      </w:r>
      <w:r>
        <w:rPr>
          <w:w w:val="95"/>
          <w:sz w:val="20"/>
        </w:rPr>
        <w:t>lifestyle</w:t>
      </w:r>
      <w:r>
        <w:rPr>
          <w:spacing w:val="-11"/>
          <w:w w:val="95"/>
          <w:sz w:val="20"/>
        </w:rPr>
        <w:t xml:space="preserve"> </w:t>
      </w:r>
      <w:r>
        <w:rPr>
          <w:w w:val="95"/>
          <w:sz w:val="20"/>
        </w:rPr>
        <w:t>diseases</w:t>
      </w:r>
      <w:r>
        <w:rPr>
          <w:spacing w:val="-11"/>
          <w:w w:val="95"/>
          <w:sz w:val="20"/>
        </w:rPr>
        <w:t xml:space="preserve"> </w:t>
      </w:r>
      <w:r>
        <w:rPr>
          <w:w w:val="95"/>
          <w:sz w:val="20"/>
        </w:rPr>
        <w:t>such</w:t>
      </w:r>
      <w:r>
        <w:rPr>
          <w:spacing w:val="-11"/>
          <w:w w:val="95"/>
          <w:sz w:val="20"/>
        </w:rPr>
        <w:t xml:space="preserve"> </w:t>
      </w:r>
      <w:r>
        <w:rPr>
          <w:w w:val="95"/>
          <w:sz w:val="20"/>
        </w:rPr>
        <w:t xml:space="preserve">as </w:t>
      </w:r>
      <w:r>
        <w:rPr>
          <w:sz w:val="20"/>
        </w:rPr>
        <w:t>obesity and diabetes;</w:t>
      </w:r>
    </w:p>
    <w:p w:rsidR="002C1123" w:rsidRDefault="00F22F94">
      <w:pPr>
        <w:pStyle w:val="ListParagraph"/>
        <w:numPr>
          <w:ilvl w:val="3"/>
          <w:numId w:val="49"/>
        </w:numPr>
        <w:tabs>
          <w:tab w:val="left" w:pos="499"/>
        </w:tabs>
        <w:spacing w:before="131" w:line="249" w:lineRule="auto"/>
        <w:ind w:right="1006"/>
        <w:rPr>
          <w:sz w:val="20"/>
        </w:rPr>
      </w:pPr>
      <w:r>
        <w:rPr>
          <w:w w:val="95"/>
          <w:sz w:val="20"/>
        </w:rPr>
        <w:t>increased</w:t>
      </w:r>
      <w:r>
        <w:rPr>
          <w:spacing w:val="-3"/>
          <w:w w:val="95"/>
          <w:sz w:val="20"/>
        </w:rPr>
        <w:t xml:space="preserve"> </w:t>
      </w:r>
      <w:r>
        <w:rPr>
          <w:w w:val="95"/>
          <w:sz w:val="20"/>
        </w:rPr>
        <w:t>use</w:t>
      </w:r>
      <w:r>
        <w:rPr>
          <w:spacing w:val="-3"/>
          <w:w w:val="95"/>
          <w:sz w:val="20"/>
        </w:rPr>
        <w:t xml:space="preserve"> </w:t>
      </w:r>
      <w:r>
        <w:rPr>
          <w:w w:val="95"/>
          <w:sz w:val="20"/>
        </w:rPr>
        <w:t>of</w:t>
      </w:r>
      <w:r>
        <w:rPr>
          <w:spacing w:val="-3"/>
          <w:w w:val="95"/>
          <w:sz w:val="20"/>
        </w:rPr>
        <w:t xml:space="preserve"> </w:t>
      </w:r>
      <w:r>
        <w:rPr>
          <w:w w:val="95"/>
          <w:sz w:val="20"/>
        </w:rPr>
        <w:t>high</w:t>
      </w:r>
      <w:r>
        <w:rPr>
          <w:spacing w:val="-3"/>
          <w:w w:val="95"/>
          <w:sz w:val="20"/>
        </w:rPr>
        <w:t xml:space="preserve"> </w:t>
      </w:r>
      <w:r>
        <w:rPr>
          <w:w w:val="95"/>
          <w:sz w:val="20"/>
        </w:rPr>
        <w:t>cost</w:t>
      </w:r>
      <w:r>
        <w:rPr>
          <w:spacing w:val="-3"/>
          <w:w w:val="95"/>
          <w:sz w:val="20"/>
        </w:rPr>
        <w:t xml:space="preserve"> </w:t>
      </w:r>
      <w:r>
        <w:rPr>
          <w:w w:val="95"/>
          <w:sz w:val="20"/>
        </w:rPr>
        <w:t>and</w:t>
      </w:r>
      <w:r>
        <w:rPr>
          <w:spacing w:val="-3"/>
          <w:w w:val="95"/>
          <w:sz w:val="20"/>
        </w:rPr>
        <w:t xml:space="preserve"> </w:t>
      </w:r>
      <w:r>
        <w:rPr>
          <w:w w:val="95"/>
          <w:sz w:val="20"/>
        </w:rPr>
        <w:t xml:space="preserve">advanced </w:t>
      </w:r>
      <w:r>
        <w:rPr>
          <w:sz w:val="20"/>
        </w:rPr>
        <w:t>technologies</w:t>
      </w:r>
      <w:r>
        <w:rPr>
          <w:spacing w:val="-6"/>
          <w:sz w:val="20"/>
        </w:rPr>
        <w:t xml:space="preserve"> </w:t>
      </w:r>
      <w:r>
        <w:rPr>
          <w:sz w:val="20"/>
        </w:rPr>
        <w:t>with</w:t>
      </w:r>
      <w:r>
        <w:rPr>
          <w:spacing w:val="-6"/>
          <w:sz w:val="20"/>
        </w:rPr>
        <w:t xml:space="preserve"> </w:t>
      </w:r>
      <w:r>
        <w:rPr>
          <w:sz w:val="20"/>
        </w:rPr>
        <w:t>shorter</w:t>
      </w:r>
      <w:r>
        <w:rPr>
          <w:spacing w:val="-6"/>
          <w:sz w:val="20"/>
        </w:rPr>
        <w:t xml:space="preserve"> </w:t>
      </w:r>
      <w:r>
        <w:rPr>
          <w:sz w:val="20"/>
        </w:rPr>
        <w:t>capital</w:t>
      </w:r>
      <w:r>
        <w:rPr>
          <w:spacing w:val="-6"/>
          <w:sz w:val="20"/>
        </w:rPr>
        <w:t xml:space="preserve"> </w:t>
      </w:r>
      <w:r>
        <w:rPr>
          <w:sz w:val="20"/>
        </w:rPr>
        <w:t>cycles</w:t>
      </w:r>
    </w:p>
    <w:p w:rsidR="002C1123" w:rsidRDefault="00F22F94">
      <w:pPr>
        <w:pStyle w:val="ListParagraph"/>
        <w:numPr>
          <w:ilvl w:val="3"/>
          <w:numId w:val="49"/>
        </w:numPr>
        <w:tabs>
          <w:tab w:val="left" w:pos="506"/>
        </w:tabs>
        <w:spacing w:before="116" w:line="249" w:lineRule="auto"/>
        <w:ind w:left="505" w:right="767"/>
        <w:rPr>
          <w:sz w:val="20"/>
        </w:rPr>
      </w:pPr>
      <w:r>
        <w:br w:type="column"/>
      </w:r>
      <w:r>
        <w:rPr>
          <w:w w:val="95"/>
          <w:sz w:val="20"/>
        </w:rPr>
        <w:t xml:space="preserve">community expectations for certain care models and </w:t>
      </w:r>
      <w:r>
        <w:rPr>
          <w:sz w:val="20"/>
        </w:rPr>
        <w:t>ready</w:t>
      </w:r>
      <w:r>
        <w:rPr>
          <w:spacing w:val="-11"/>
          <w:sz w:val="20"/>
        </w:rPr>
        <w:t xml:space="preserve"> </w:t>
      </w:r>
      <w:r>
        <w:rPr>
          <w:sz w:val="20"/>
        </w:rPr>
        <w:t>access</w:t>
      </w:r>
      <w:r>
        <w:rPr>
          <w:spacing w:val="-11"/>
          <w:sz w:val="20"/>
        </w:rPr>
        <w:t xml:space="preserve"> </w:t>
      </w:r>
      <w:r>
        <w:rPr>
          <w:sz w:val="20"/>
        </w:rPr>
        <w:t>to</w:t>
      </w:r>
      <w:r>
        <w:rPr>
          <w:spacing w:val="-11"/>
          <w:sz w:val="20"/>
        </w:rPr>
        <w:t xml:space="preserve"> </w:t>
      </w:r>
      <w:r>
        <w:rPr>
          <w:sz w:val="20"/>
        </w:rPr>
        <w:t>service</w:t>
      </w:r>
      <w:r>
        <w:rPr>
          <w:spacing w:val="-11"/>
          <w:sz w:val="20"/>
        </w:rPr>
        <w:t xml:space="preserve"> </w:t>
      </w:r>
      <w:r>
        <w:rPr>
          <w:sz w:val="20"/>
        </w:rPr>
        <w:t>options.</w:t>
      </w:r>
      <w:r>
        <w:rPr>
          <w:spacing w:val="-11"/>
          <w:sz w:val="20"/>
        </w:rPr>
        <w:t xml:space="preserve"> </w:t>
      </w:r>
      <w:r>
        <w:rPr>
          <w:sz w:val="20"/>
        </w:rPr>
        <w:t>Health</w:t>
      </w:r>
      <w:r>
        <w:rPr>
          <w:spacing w:val="-11"/>
          <w:sz w:val="20"/>
        </w:rPr>
        <w:t xml:space="preserve"> </w:t>
      </w:r>
      <w:r>
        <w:rPr>
          <w:sz w:val="20"/>
        </w:rPr>
        <w:t>needs</w:t>
      </w:r>
      <w:r>
        <w:rPr>
          <w:spacing w:val="-11"/>
          <w:sz w:val="20"/>
        </w:rPr>
        <w:t xml:space="preserve"> </w:t>
      </w:r>
      <w:r>
        <w:rPr>
          <w:sz w:val="20"/>
        </w:rPr>
        <w:t xml:space="preserve">are </w:t>
      </w:r>
      <w:r>
        <w:rPr>
          <w:spacing w:val="-2"/>
          <w:sz w:val="20"/>
        </w:rPr>
        <w:t>increasingly</w:t>
      </w:r>
      <w:r>
        <w:rPr>
          <w:spacing w:val="-3"/>
          <w:sz w:val="20"/>
        </w:rPr>
        <w:t xml:space="preserve"> </w:t>
      </w:r>
      <w:r>
        <w:rPr>
          <w:spacing w:val="-2"/>
          <w:sz w:val="20"/>
        </w:rPr>
        <w:t>related</w:t>
      </w:r>
      <w:r>
        <w:rPr>
          <w:spacing w:val="-3"/>
          <w:sz w:val="20"/>
        </w:rPr>
        <w:t xml:space="preserve"> </w:t>
      </w:r>
      <w:r>
        <w:rPr>
          <w:spacing w:val="-2"/>
          <w:sz w:val="20"/>
        </w:rPr>
        <w:t>to</w:t>
      </w:r>
      <w:r>
        <w:rPr>
          <w:spacing w:val="-3"/>
          <w:sz w:val="20"/>
        </w:rPr>
        <w:t xml:space="preserve"> </w:t>
      </w:r>
      <w:r>
        <w:rPr>
          <w:spacing w:val="-2"/>
          <w:sz w:val="20"/>
        </w:rPr>
        <w:t>lifestyle</w:t>
      </w:r>
      <w:r>
        <w:rPr>
          <w:spacing w:val="-3"/>
          <w:sz w:val="20"/>
        </w:rPr>
        <w:t xml:space="preserve"> </w:t>
      </w:r>
      <w:r>
        <w:rPr>
          <w:spacing w:val="-2"/>
          <w:sz w:val="20"/>
        </w:rPr>
        <w:t>factors</w:t>
      </w:r>
      <w:r>
        <w:rPr>
          <w:spacing w:val="-3"/>
          <w:sz w:val="20"/>
        </w:rPr>
        <w:t xml:space="preserve"> </w:t>
      </w:r>
      <w:r>
        <w:rPr>
          <w:spacing w:val="-2"/>
          <w:sz w:val="20"/>
        </w:rPr>
        <w:t>requiring</w:t>
      </w:r>
      <w:r>
        <w:rPr>
          <w:spacing w:val="-3"/>
          <w:sz w:val="20"/>
        </w:rPr>
        <w:t xml:space="preserve"> </w:t>
      </w:r>
      <w:r>
        <w:rPr>
          <w:spacing w:val="-2"/>
          <w:sz w:val="20"/>
        </w:rPr>
        <w:t xml:space="preserve">the </w:t>
      </w:r>
      <w:r>
        <w:rPr>
          <w:sz w:val="20"/>
        </w:rPr>
        <w:t>system</w:t>
      </w:r>
      <w:r>
        <w:rPr>
          <w:spacing w:val="-14"/>
          <w:sz w:val="20"/>
        </w:rPr>
        <w:t xml:space="preserve"> </w:t>
      </w:r>
      <w:r>
        <w:rPr>
          <w:sz w:val="20"/>
        </w:rPr>
        <w:t>to</w:t>
      </w:r>
      <w:r>
        <w:rPr>
          <w:spacing w:val="-14"/>
          <w:sz w:val="20"/>
        </w:rPr>
        <w:t xml:space="preserve"> </w:t>
      </w:r>
      <w:r>
        <w:rPr>
          <w:sz w:val="20"/>
        </w:rPr>
        <w:t>change</w:t>
      </w:r>
      <w:r>
        <w:rPr>
          <w:spacing w:val="-14"/>
          <w:sz w:val="20"/>
        </w:rPr>
        <w:t xml:space="preserve"> </w:t>
      </w:r>
      <w:r>
        <w:rPr>
          <w:sz w:val="20"/>
        </w:rPr>
        <w:t>from</w:t>
      </w:r>
      <w:r>
        <w:rPr>
          <w:spacing w:val="-14"/>
          <w:sz w:val="20"/>
        </w:rPr>
        <w:t xml:space="preserve"> </w:t>
      </w:r>
      <w:r>
        <w:rPr>
          <w:sz w:val="20"/>
        </w:rPr>
        <w:t>a</w:t>
      </w:r>
      <w:r>
        <w:rPr>
          <w:spacing w:val="-14"/>
          <w:sz w:val="20"/>
        </w:rPr>
        <w:t xml:space="preserve"> </w:t>
      </w:r>
      <w:r>
        <w:rPr>
          <w:sz w:val="20"/>
        </w:rPr>
        <w:t>focus</w:t>
      </w:r>
      <w:r>
        <w:rPr>
          <w:spacing w:val="-14"/>
          <w:sz w:val="20"/>
        </w:rPr>
        <w:t xml:space="preserve"> </w:t>
      </w:r>
      <w:r>
        <w:rPr>
          <w:sz w:val="20"/>
        </w:rPr>
        <w:t>on</w:t>
      </w:r>
      <w:r>
        <w:rPr>
          <w:spacing w:val="-14"/>
          <w:sz w:val="20"/>
        </w:rPr>
        <w:t xml:space="preserve"> </w:t>
      </w:r>
      <w:r>
        <w:rPr>
          <w:sz w:val="20"/>
        </w:rPr>
        <w:t>treating</w:t>
      </w:r>
      <w:r>
        <w:rPr>
          <w:spacing w:val="-14"/>
          <w:sz w:val="20"/>
        </w:rPr>
        <w:t xml:space="preserve"> </w:t>
      </w:r>
      <w:r>
        <w:rPr>
          <w:sz w:val="20"/>
        </w:rPr>
        <w:t>illness</w:t>
      </w:r>
      <w:r>
        <w:rPr>
          <w:spacing w:val="-14"/>
          <w:sz w:val="20"/>
        </w:rPr>
        <w:t xml:space="preserve"> </w:t>
      </w:r>
      <w:r>
        <w:rPr>
          <w:sz w:val="20"/>
        </w:rPr>
        <w:t xml:space="preserve">to </w:t>
      </w:r>
      <w:r>
        <w:rPr>
          <w:spacing w:val="-2"/>
          <w:sz w:val="20"/>
        </w:rPr>
        <w:t>more</w:t>
      </w:r>
      <w:r>
        <w:rPr>
          <w:spacing w:val="-7"/>
          <w:sz w:val="20"/>
        </w:rPr>
        <w:t xml:space="preserve"> </w:t>
      </w:r>
      <w:r>
        <w:rPr>
          <w:spacing w:val="-2"/>
          <w:sz w:val="20"/>
        </w:rPr>
        <w:t>illness</w:t>
      </w:r>
      <w:r>
        <w:rPr>
          <w:spacing w:val="-7"/>
          <w:sz w:val="20"/>
        </w:rPr>
        <w:t xml:space="preserve"> </w:t>
      </w:r>
      <w:r>
        <w:rPr>
          <w:spacing w:val="-2"/>
          <w:sz w:val="20"/>
        </w:rPr>
        <w:t>prevention</w:t>
      </w:r>
      <w:r>
        <w:rPr>
          <w:spacing w:val="-7"/>
          <w:sz w:val="20"/>
        </w:rPr>
        <w:t xml:space="preserve"> </w:t>
      </w:r>
      <w:r>
        <w:rPr>
          <w:spacing w:val="-2"/>
          <w:sz w:val="20"/>
        </w:rPr>
        <w:t>and</w:t>
      </w:r>
      <w:r>
        <w:rPr>
          <w:spacing w:val="-7"/>
          <w:sz w:val="20"/>
        </w:rPr>
        <w:t xml:space="preserve"> </w:t>
      </w:r>
      <w:r>
        <w:rPr>
          <w:spacing w:val="-2"/>
          <w:sz w:val="20"/>
        </w:rPr>
        <w:t>ultimately</w:t>
      </w:r>
      <w:r>
        <w:rPr>
          <w:spacing w:val="-7"/>
          <w:sz w:val="20"/>
        </w:rPr>
        <w:t xml:space="preserve"> </w:t>
      </w:r>
      <w:r>
        <w:rPr>
          <w:spacing w:val="-2"/>
          <w:sz w:val="20"/>
        </w:rPr>
        <w:t>over</w:t>
      </w:r>
      <w:r>
        <w:rPr>
          <w:spacing w:val="-7"/>
          <w:sz w:val="20"/>
        </w:rPr>
        <w:t xml:space="preserve"> </w:t>
      </w:r>
      <w:r>
        <w:rPr>
          <w:spacing w:val="-2"/>
          <w:sz w:val="20"/>
        </w:rPr>
        <w:t>time</w:t>
      </w:r>
      <w:r>
        <w:rPr>
          <w:spacing w:val="-7"/>
          <w:sz w:val="20"/>
        </w:rPr>
        <w:t xml:space="preserve"> </w:t>
      </w:r>
      <w:r>
        <w:rPr>
          <w:spacing w:val="-2"/>
          <w:sz w:val="20"/>
        </w:rPr>
        <w:t xml:space="preserve">the </w:t>
      </w:r>
      <w:r>
        <w:rPr>
          <w:sz w:val="20"/>
        </w:rPr>
        <w:t>maintenance of wellness.</w:t>
      </w:r>
    </w:p>
    <w:p w:rsidR="002C1123" w:rsidRDefault="00F22F94">
      <w:pPr>
        <w:pStyle w:val="BodyText"/>
        <w:spacing w:before="147" w:line="249" w:lineRule="auto"/>
        <w:ind w:left="222" w:right="1312"/>
      </w:pPr>
      <w:r>
        <w:rPr>
          <w:w w:val="95"/>
        </w:rPr>
        <w:t>To</w:t>
      </w:r>
      <w:r>
        <w:rPr>
          <w:spacing w:val="-4"/>
          <w:w w:val="95"/>
        </w:rPr>
        <w:t xml:space="preserve"> </w:t>
      </w:r>
      <w:r>
        <w:rPr>
          <w:w w:val="95"/>
        </w:rPr>
        <w:t>meet</w:t>
      </w:r>
      <w:r>
        <w:rPr>
          <w:spacing w:val="-4"/>
          <w:w w:val="95"/>
        </w:rPr>
        <w:t xml:space="preserve"> </w:t>
      </w:r>
      <w:r>
        <w:rPr>
          <w:w w:val="95"/>
        </w:rPr>
        <w:t>forecast</w:t>
      </w:r>
      <w:r>
        <w:rPr>
          <w:spacing w:val="-4"/>
          <w:w w:val="95"/>
        </w:rPr>
        <w:t xml:space="preserve"> </w:t>
      </w:r>
      <w:r>
        <w:rPr>
          <w:w w:val="95"/>
        </w:rPr>
        <w:t>demand,</w:t>
      </w:r>
      <w:r>
        <w:rPr>
          <w:spacing w:val="-4"/>
          <w:w w:val="95"/>
        </w:rPr>
        <w:t xml:space="preserve"> </w:t>
      </w:r>
      <w:r>
        <w:rPr>
          <w:w w:val="95"/>
        </w:rPr>
        <w:t>NSW</w:t>
      </w:r>
      <w:r>
        <w:rPr>
          <w:spacing w:val="-4"/>
          <w:w w:val="95"/>
        </w:rPr>
        <w:t xml:space="preserve"> </w:t>
      </w:r>
      <w:r>
        <w:rPr>
          <w:w w:val="95"/>
        </w:rPr>
        <w:t>Health</w:t>
      </w:r>
      <w:r>
        <w:rPr>
          <w:spacing w:val="-4"/>
          <w:w w:val="95"/>
        </w:rPr>
        <w:t xml:space="preserve"> </w:t>
      </w:r>
      <w:r>
        <w:rPr>
          <w:w w:val="95"/>
        </w:rPr>
        <w:t>predicts an additional 200 acute beds and a minimum of</w:t>
      </w:r>
    </w:p>
    <w:p w:rsidR="002C1123" w:rsidRDefault="00F22F94">
      <w:pPr>
        <w:pStyle w:val="BodyText"/>
        <w:spacing w:before="1" w:line="249" w:lineRule="auto"/>
        <w:ind w:left="222" w:right="885"/>
      </w:pPr>
      <w:r>
        <w:rPr>
          <w:w w:val="95"/>
        </w:rPr>
        <w:t>75</w:t>
      </w:r>
      <w:r>
        <w:rPr>
          <w:spacing w:val="-5"/>
          <w:w w:val="95"/>
        </w:rPr>
        <w:t xml:space="preserve"> </w:t>
      </w:r>
      <w:r>
        <w:rPr>
          <w:w w:val="95"/>
        </w:rPr>
        <w:t>sub-acute</w:t>
      </w:r>
      <w:r>
        <w:rPr>
          <w:spacing w:val="-5"/>
          <w:w w:val="95"/>
        </w:rPr>
        <w:t xml:space="preserve"> </w:t>
      </w:r>
      <w:r>
        <w:rPr>
          <w:w w:val="95"/>
        </w:rPr>
        <w:t>beds</w:t>
      </w:r>
      <w:r>
        <w:rPr>
          <w:spacing w:val="-5"/>
          <w:w w:val="95"/>
        </w:rPr>
        <w:t xml:space="preserve"> </w:t>
      </w:r>
      <w:r>
        <w:rPr>
          <w:w w:val="95"/>
        </w:rPr>
        <w:t>are</w:t>
      </w:r>
      <w:r>
        <w:rPr>
          <w:spacing w:val="-5"/>
          <w:w w:val="95"/>
        </w:rPr>
        <w:t xml:space="preserve"> </w:t>
      </w:r>
      <w:r>
        <w:rPr>
          <w:w w:val="95"/>
        </w:rPr>
        <w:t>needed</w:t>
      </w:r>
      <w:r>
        <w:rPr>
          <w:spacing w:val="-5"/>
          <w:w w:val="95"/>
        </w:rPr>
        <w:t xml:space="preserve"> </w:t>
      </w:r>
      <w:r>
        <w:rPr>
          <w:w w:val="95"/>
        </w:rPr>
        <w:t>each</w:t>
      </w:r>
      <w:r>
        <w:rPr>
          <w:spacing w:val="-5"/>
          <w:w w:val="95"/>
        </w:rPr>
        <w:t xml:space="preserve"> </w:t>
      </w:r>
      <w:r>
        <w:rPr>
          <w:w w:val="95"/>
        </w:rPr>
        <w:t>year</w:t>
      </w:r>
      <w:r>
        <w:rPr>
          <w:spacing w:val="-5"/>
          <w:w w:val="95"/>
        </w:rPr>
        <w:t xml:space="preserve"> </w:t>
      </w:r>
      <w:r>
        <w:rPr>
          <w:w w:val="95"/>
        </w:rPr>
        <w:t>over</w:t>
      </w:r>
      <w:r>
        <w:rPr>
          <w:spacing w:val="-5"/>
          <w:w w:val="95"/>
        </w:rPr>
        <w:t xml:space="preserve"> </w:t>
      </w:r>
      <w:r>
        <w:rPr>
          <w:w w:val="95"/>
        </w:rPr>
        <w:t>the</w:t>
      </w:r>
      <w:r>
        <w:rPr>
          <w:spacing w:val="-5"/>
          <w:w w:val="95"/>
        </w:rPr>
        <w:t xml:space="preserve"> </w:t>
      </w:r>
      <w:r>
        <w:rPr>
          <w:w w:val="95"/>
        </w:rPr>
        <w:t xml:space="preserve">next </w:t>
      </w:r>
      <w:r>
        <w:t>10</w:t>
      </w:r>
      <w:r>
        <w:rPr>
          <w:spacing w:val="-13"/>
        </w:rPr>
        <w:t xml:space="preserve"> </w:t>
      </w:r>
      <w:r>
        <w:t>years</w:t>
      </w:r>
      <w:r>
        <w:rPr>
          <w:position w:val="7"/>
          <w:sz w:val="11"/>
        </w:rPr>
        <w:t>3</w:t>
      </w:r>
      <w:r>
        <w:t>.</w:t>
      </w:r>
      <w:r>
        <w:rPr>
          <w:spacing w:val="-13"/>
        </w:rPr>
        <w:t xml:space="preserve"> </w:t>
      </w:r>
      <w:r>
        <w:t>This</w:t>
      </w:r>
      <w:r>
        <w:rPr>
          <w:spacing w:val="-13"/>
        </w:rPr>
        <w:t xml:space="preserve"> </w:t>
      </w:r>
      <w:r>
        <w:t>represents</w:t>
      </w:r>
      <w:r>
        <w:rPr>
          <w:spacing w:val="-13"/>
        </w:rPr>
        <w:t xml:space="preserve"> </w:t>
      </w:r>
      <w:r>
        <w:t>growth</w:t>
      </w:r>
      <w:r>
        <w:rPr>
          <w:spacing w:val="-13"/>
        </w:rPr>
        <w:t xml:space="preserve"> </w:t>
      </w:r>
      <w:r>
        <w:t>of</w:t>
      </w:r>
      <w:r>
        <w:rPr>
          <w:spacing w:val="-13"/>
        </w:rPr>
        <w:t xml:space="preserve"> </w:t>
      </w:r>
      <w:r>
        <w:t>only</w:t>
      </w:r>
      <w:r>
        <w:rPr>
          <w:spacing w:val="-13"/>
        </w:rPr>
        <w:t xml:space="preserve"> </w:t>
      </w:r>
      <w:r>
        <w:t>1.5</w:t>
      </w:r>
      <w:r>
        <w:rPr>
          <w:spacing w:val="-13"/>
        </w:rPr>
        <w:t xml:space="preserve"> </w:t>
      </w:r>
      <w:r>
        <w:t>percent per</w:t>
      </w:r>
      <w:r>
        <w:rPr>
          <w:spacing w:val="-14"/>
        </w:rPr>
        <w:t xml:space="preserve"> </w:t>
      </w:r>
      <w:r>
        <w:t>annum</w:t>
      </w:r>
      <w:r>
        <w:rPr>
          <w:spacing w:val="-14"/>
        </w:rPr>
        <w:t xml:space="preserve"> </w:t>
      </w:r>
      <w:r>
        <w:t>in</w:t>
      </w:r>
      <w:r>
        <w:rPr>
          <w:spacing w:val="-14"/>
        </w:rPr>
        <w:t xml:space="preserve"> </w:t>
      </w:r>
      <w:r>
        <w:t>the</w:t>
      </w:r>
      <w:r>
        <w:rPr>
          <w:spacing w:val="-14"/>
        </w:rPr>
        <w:t xml:space="preserve"> </w:t>
      </w:r>
      <w:r>
        <w:t>number</w:t>
      </w:r>
      <w:r>
        <w:rPr>
          <w:spacing w:val="-14"/>
        </w:rPr>
        <w:t xml:space="preserve"> </w:t>
      </w:r>
      <w:r>
        <w:t>of</w:t>
      </w:r>
      <w:r>
        <w:rPr>
          <w:spacing w:val="-14"/>
        </w:rPr>
        <w:t xml:space="preserve"> </w:t>
      </w:r>
      <w:r>
        <w:t>beds</w:t>
      </w:r>
      <w:r>
        <w:rPr>
          <w:spacing w:val="-14"/>
        </w:rPr>
        <w:t xml:space="preserve"> </w:t>
      </w:r>
      <w:r>
        <w:t>–</w:t>
      </w:r>
      <w:r>
        <w:rPr>
          <w:spacing w:val="-14"/>
        </w:rPr>
        <w:t xml:space="preserve"> </w:t>
      </w:r>
      <w:r>
        <w:t>lower</w:t>
      </w:r>
      <w:r>
        <w:rPr>
          <w:spacing w:val="-14"/>
        </w:rPr>
        <w:t xml:space="preserve"> </w:t>
      </w:r>
      <w:r>
        <w:t>than</w:t>
      </w:r>
      <w:r>
        <w:rPr>
          <w:spacing w:val="-13"/>
        </w:rPr>
        <w:t xml:space="preserve"> </w:t>
      </w:r>
      <w:r>
        <w:t>growth in</w:t>
      </w:r>
      <w:r>
        <w:rPr>
          <w:spacing w:val="-7"/>
        </w:rPr>
        <w:t xml:space="preserve"> </w:t>
      </w:r>
      <w:r>
        <w:t>demand</w:t>
      </w:r>
      <w:r>
        <w:rPr>
          <w:spacing w:val="-7"/>
        </w:rPr>
        <w:t xml:space="preserve"> </w:t>
      </w:r>
      <w:r>
        <w:t>because</w:t>
      </w:r>
      <w:r>
        <w:rPr>
          <w:spacing w:val="-7"/>
        </w:rPr>
        <w:t xml:space="preserve"> </w:t>
      </w:r>
      <w:r>
        <w:t>as</w:t>
      </w:r>
      <w:r>
        <w:rPr>
          <w:spacing w:val="-7"/>
        </w:rPr>
        <w:t xml:space="preserve"> </w:t>
      </w:r>
      <w:r>
        <w:t>models</w:t>
      </w:r>
      <w:r>
        <w:rPr>
          <w:spacing w:val="-7"/>
        </w:rPr>
        <w:t xml:space="preserve"> </w:t>
      </w:r>
      <w:r>
        <w:t>of</w:t>
      </w:r>
      <w:r>
        <w:rPr>
          <w:spacing w:val="-7"/>
        </w:rPr>
        <w:t xml:space="preserve"> </w:t>
      </w:r>
      <w:r>
        <w:t>care</w:t>
      </w:r>
      <w:r>
        <w:rPr>
          <w:spacing w:val="-7"/>
        </w:rPr>
        <w:t xml:space="preserve"> </w:t>
      </w:r>
      <w:r>
        <w:t>change,</w:t>
      </w:r>
      <w:r>
        <w:rPr>
          <w:spacing w:val="-7"/>
        </w:rPr>
        <w:t xml:space="preserve"> </w:t>
      </w:r>
      <w:r>
        <w:t>bed numbers</w:t>
      </w:r>
      <w:r>
        <w:rPr>
          <w:spacing w:val="-14"/>
        </w:rPr>
        <w:t xml:space="preserve"> </w:t>
      </w:r>
      <w:r>
        <w:t>decrease</w:t>
      </w:r>
      <w:r>
        <w:rPr>
          <w:spacing w:val="-14"/>
        </w:rPr>
        <w:t xml:space="preserve"> </w:t>
      </w:r>
      <w:r>
        <w:t>in</w:t>
      </w:r>
      <w:r>
        <w:rPr>
          <w:spacing w:val="-14"/>
        </w:rPr>
        <w:t xml:space="preserve"> </w:t>
      </w:r>
      <w:r>
        <w:t>relevance</w:t>
      </w:r>
      <w:r>
        <w:rPr>
          <w:spacing w:val="-14"/>
        </w:rPr>
        <w:t xml:space="preserve"> </w:t>
      </w:r>
      <w:r>
        <w:t>as</w:t>
      </w:r>
      <w:r>
        <w:rPr>
          <w:spacing w:val="-14"/>
        </w:rPr>
        <w:t xml:space="preserve"> </w:t>
      </w:r>
      <w:r>
        <w:t>more</w:t>
      </w:r>
      <w:r>
        <w:rPr>
          <w:spacing w:val="-14"/>
        </w:rPr>
        <w:t xml:space="preserve"> </w:t>
      </w:r>
      <w:r>
        <w:t>services</w:t>
      </w:r>
      <w:r>
        <w:rPr>
          <w:spacing w:val="-14"/>
        </w:rPr>
        <w:t xml:space="preserve"> </w:t>
      </w:r>
      <w:r>
        <w:t>are provided out of hospital.</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264" w:space="40"/>
            <w:col w:w="4981" w:space="39"/>
            <w:col w:w="5736"/>
          </w:cols>
        </w:sectPr>
      </w:pPr>
    </w:p>
    <w:p w:rsidR="002C1123" w:rsidRDefault="00F22F94">
      <w:pPr>
        <w:pStyle w:val="BodyText"/>
        <w:tabs>
          <w:tab w:val="left" w:pos="5518"/>
          <w:tab w:val="left" w:pos="6958"/>
        </w:tabs>
        <w:spacing w:before="6"/>
        <w:ind w:left="775"/>
      </w:pPr>
      <w:r>
        <w:rPr>
          <w:w w:val="95"/>
        </w:rPr>
        <w:t>discourages</w:t>
      </w:r>
      <w:r>
        <w:rPr>
          <w:spacing w:val="-4"/>
          <w:w w:val="95"/>
        </w:rPr>
        <w:t xml:space="preserve"> </w:t>
      </w:r>
      <w:r>
        <w:rPr>
          <w:w w:val="95"/>
        </w:rPr>
        <w:t>private</w:t>
      </w:r>
      <w:r>
        <w:rPr>
          <w:spacing w:val="-4"/>
          <w:w w:val="95"/>
        </w:rPr>
        <w:t xml:space="preserve"> </w:t>
      </w:r>
      <w:r>
        <w:rPr>
          <w:spacing w:val="-2"/>
          <w:w w:val="95"/>
        </w:rPr>
        <w:t>investment.</w:t>
      </w:r>
      <w:r>
        <w:tab/>
      </w:r>
      <w:r>
        <w:rPr>
          <w:u w:val="single" w:color="9C9C9D"/>
        </w:rPr>
        <w:tab/>
      </w:r>
    </w:p>
    <w:p w:rsidR="002C1123" w:rsidRDefault="00F22F94">
      <w:pPr>
        <w:pStyle w:val="ListParagraph"/>
        <w:numPr>
          <w:ilvl w:val="0"/>
          <w:numId w:val="2"/>
        </w:numPr>
        <w:tabs>
          <w:tab w:val="left" w:pos="5718"/>
        </w:tabs>
        <w:spacing w:before="13" w:line="161" w:lineRule="exact"/>
        <w:ind w:hanging="200"/>
        <w:rPr>
          <w:sz w:val="14"/>
        </w:rPr>
      </w:pPr>
      <w:r>
        <w:rPr>
          <w:w w:val="95"/>
          <w:sz w:val="14"/>
        </w:rPr>
        <w:t>PwC</w:t>
      </w:r>
      <w:r>
        <w:rPr>
          <w:spacing w:val="-1"/>
          <w:w w:val="95"/>
          <w:sz w:val="14"/>
        </w:rPr>
        <w:t xml:space="preserve"> </w:t>
      </w:r>
      <w:r>
        <w:rPr>
          <w:w w:val="95"/>
          <w:sz w:val="14"/>
        </w:rPr>
        <w:t>2012,</w:t>
      </w:r>
      <w:r>
        <w:rPr>
          <w:spacing w:val="-1"/>
          <w:w w:val="95"/>
          <w:sz w:val="14"/>
        </w:rPr>
        <w:t xml:space="preserve"> </w:t>
      </w:r>
      <w:r>
        <w:rPr>
          <w:w w:val="95"/>
          <w:sz w:val="14"/>
        </w:rPr>
        <w:t>Health</w:t>
      </w:r>
      <w:r>
        <w:rPr>
          <w:spacing w:val="-1"/>
          <w:w w:val="95"/>
          <w:sz w:val="14"/>
        </w:rPr>
        <w:t xml:space="preserve"> </w:t>
      </w:r>
      <w:r>
        <w:rPr>
          <w:w w:val="95"/>
          <w:sz w:val="14"/>
        </w:rPr>
        <w:t>Baseline</w:t>
      </w:r>
      <w:r>
        <w:rPr>
          <w:spacing w:val="-1"/>
          <w:w w:val="95"/>
          <w:sz w:val="14"/>
        </w:rPr>
        <w:t xml:space="preserve"> </w:t>
      </w:r>
      <w:r>
        <w:rPr>
          <w:spacing w:val="-2"/>
          <w:w w:val="95"/>
          <w:sz w:val="14"/>
        </w:rPr>
        <w:t>Report.</w:t>
      </w:r>
    </w:p>
    <w:p w:rsidR="002C1123" w:rsidRDefault="00F22F94">
      <w:pPr>
        <w:pStyle w:val="ListParagraph"/>
        <w:numPr>
          <w:ilvl w:val="0"/>
          <w:numId w:val="2"/>
        </w:numPr>
        <w:tabs>
          <w:tab w:val="left" w:pos="5718"/>
          <w:tab w:val="left" w:pos="10545"/>
          <w:tab w:val="left" w:pos="11985"/>
        </w:tabs>
        <w:spacing w:line="155" w:lineRule="exact"/>
        <w:ind w:hanging="200"/>
        <w:rPr>
          <w:sz w:val="14"/>
        </w:rPr>
      </w:pPr>
      <w:r>
        <w:rPr>
          <w:w w:val="95"/>
          <w:sz w:val="14"/>
        </w:rPr>
        <w:t>Productivity</w:t>
      </w:r>
      <w:r>
        <w:rPr>
          <w:spacing w:val="8"/>
          <w:sz w:val="14"/>
        </w:rPr>
        <w:t xml:space="preserve"> </w:t>
      </w:r>
      <w:r>
        <w:rPr>
          <w:w w:val="95"/>
          <w:sz w:val="14"/>
        </w:rPr>
        <w:t>Commission</w:t>
      </w:r>
      <w:r>
        <w:rPr>
          <w:spacing w:val="9"/>
          <w:sz w:val="14"/>
        </w:rPr>
        <w:t xml:space="preserve"> </w:t>
      </w:r>
      <w:r>
        <w:rPr>
          <w:w w:val="95"/>
          <w:sz w:val="14"/>
        </w:rPr>
        <w:t>2005,</w:t>
      </w:r>
      <w:r>
        <w:rPr>
          <w:spacing w:val="9"/>
          <w:sz w:val="14"/>
        </w:rPr>
        <w:t xml:space="preserve"> </w:t>
      </w:r>
      <w:r>
        <w:rPr>
          <w:w w:val="95"/>
          <w:sz w:val="14"/>
        </w:rPr>
        <w:t>Economic</w:t>
      </w:r>
      <w:r>
        <w:rPr>
          <w:spacing w:val="9"/>
          <w:sz w:val="14"/>
        </w:rPr>
        <w:t xml:space="preserve"> </w:t>
      </w:r>
      <w:r>
        <w:rPr>
          <w:w w:val="95"/>
          <w:sz w:val="14"/>
        </w:rPr>
        <w:t>Implications</w:t>
      </w:r>
      <w:r>
        <w:rPr>
          <w:spacing w:val="9"/>
          <w:sz w:val="14"/>
        </w:rPr>
        <w:t xml:space="preserve"> </w:t>
      </w:r>
      <w:r>
        <w:rPr>
          <w:w w:val="95"/>
          <w:sz w:val="14"/>
        </w:rPr>
        <w:t>of</w:t>
      </w:r>
      <w:r>
        <w:rPr>
          <w:spacing w:val="9"/>
          <w:sz w:val="14"/>
        </w:rPr>
        <w:t xml:space="preserve"> </w:t>
      </w:r>
      <w:r>
        <w:rPr>
          <w:w w:val="95"/>
          <w:sz w:val="14"/>
        </w:rPr>
        <w:t>an</w:t>
      </w:r>
      <w:r>
        <w:rPr>
          <w:spacing w:val="9"/>
          <w:sz w:val="14"/>
        </w:rPr>
        <w:t xml:space="preserve"> </w:t>
      </w:r>
      <w:r>
        <w:rPr>
          <w:spacing w:val="-2"/>
          <w:w w:val="95"/>
          <w:sz w:val="14"/>
        </w:rPr>
        <w:t>Ageing</w:t>
      </w:r>
      <w:r>
        <w:rPr>
          <w:sz w:val="14"/>
        </w:rPr>
        <w:tab/>
      </w:r>
      <w:r>
        <w:rPr>
          <w:sz w:val="14"/>
          <w:u w:val="single" w:color="9C9C9D"/>
        </w:rPr>
        <w:tab/>
      </w:r>
    </w:p>
    <w:p w:rsidR="002C1123" w:rsidRDefault="00F22F94">
      <w:pPr>
        <w:tabs>
          <w:tab w:val="left" w:pos="10545"/>
        </w:tabs>
        <w:spacing w:before="4"/>
        <w:ind w:left="5717"/>
        <w:rPr>
          <w:sz w:val="14"/>
        </w:rPr>
      </w:pPr>
      <w:r>
        <w:rPr>
          <w:spacing w:val="-2"/>
          <w:sz w:val="14"/>
        </w:rPr>
        <w:t>Australia.</w:t>
      </w:r>
      <w:r>
        <w:rPr>
          <w:sz w:val="14"/>
        </w:rPr>
        <w:tab/>
        <w:t>3</w:t>
      </w:r>
      <w:r>
        <w:rPr>
          <w:spacing w:val="66"/>
          <w:sz w:val="14"/>
        </w:rPr>
        <w:t xml:space="preserve"> </w:t>
      </w:r>
      <w:r>
        <w:rPr>
          <w:sz w:val="14"/>
        </w:rPr>
        <w:t>NSW</w:t>
      </w:r>
      <w:r>
        <w:rPr>
          <w:spacing w:val="-10"/>
          <w:sz w:val="14"/>
        </w:rPr>
        <w:t xml:space="preserve"> </w:t>
      </w:r>
      <w:r>
        <w:rPr>
          <w:spacing w:val="-2"/>
          <w:sz w:val="14"/>
        </w:rPr>
        <w:t>Health.</w:t>
      </w:r>
    </w:p>
    <w:p w:rsidR="002C1123" w:rsidRDefault="002C1123">
      <w:pPr>
        <w:rPr>
          <w:sz w:val="14"/>
        </w:rPr>
        <w:sectPr w:rsidR="002C1123">
          <w:type w:val="continuous"/>
          <w:pgSz w:w="16840" w:h="11910" w:orient="landscape"/>
          <w:pgMar w:top="560" w:right="280" w:bottom="280" w:left="500" w:header="0" w:footer="517"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2"/>
        <w:rPr>
          <w:sz w:val="28"/>
        </w:rPr>
      </w:pPr>
    </w:p>
    <w:p w:rsidR="002C1123" w:rsidRDefault="002C1123">
      <w:pPr>
        <w:rPr>
          <w:sz w:val="28"/>
        </w:rPr>
        <w:sectPr w:rsidR="002C1123">
          <w:pgSz w:w="16840" w:h="11910" w:orient="landscape"/>
          <w:pgMar w:top="560" w:right="280" w:bottom="700" w:left="500" w:header="0" w:footer="517" w:gutter="0"/>
          <w:cols w:space="720"/>
        </w:sectPr>
      </w:pPr>
    </w:p>
    <w:p w:rsidR="002C1123" w:rsidRDefault="00F22F94">
      <w:pPr>
        <w:pStyle w:val="Heading6"/>
        <w:numPr>
          <w:ilvl w:val="2"/>
          <w:numId w:val="49"/>
        </w:numPr>
        <w:tabs>
          <w:tab w:val="left" w:pos="1087"/>
        </w:tabs>
        <w:spacing w:line="249" w:lineRule="auto"/>
        <w:ind w:left="1086" w:right="1617"/>
        <w:jc w:val="left"/>
      </w:pPr>
      <w:bookmarkStart w:id="344" w:name="_bookmark242"/>
      <w:bookmarkEnd w:id="344"/>
      <w:r>
        <w:rPr>
          <w:color w:val="00AEEF"/>
          <w:spacing w:val="-4"/>
        </w:rPr>
        <w:t>Managing</w:t>
      </w:r>
      <w:r>
        <w:rPr>
          <w:color w:val="00AEEF"/>
          <w:spacing w:val="-7"/>
        </w:rPr>
        <w:t xml:space="preserve"> </w:t>
      </w:r>
      <w:r>
        <w:rPr>
          <w:color w:val="00AEEF"/>
          <w:spacing w:val="-4"/>
        </w:rPr>
        <w:t>existing</w:t>
      </w:r>
      <w:r>
        <w:rPr>
          <w:color w:val="00AEEF"/>
          <w:spacing w:val="-7"/>
        </w:rPr>
        <w:t xml:space="preserve"> </w:t>
      </w:r>
      <w:r>
        <w:rPr>
          <w:color w:val="00AEEF"/>
          <w:spacing w:val="-4"/>
        </w:rPr>
        <w:t xml:space="preserve">hospital </w:t>
      </w:r>
      <w:r>
        <w:rPr>
          <w:color w:val="00AEEF"/>
        </w:rPr>
        <w:t>capacity to meet demand</w:t>
      </w:r>
    </w:p>
    <w:p w:rsidR="002C1123" w:rsidRDefault="00F22F94">
      <w:pPr>
        <w:pStyle w:val="BodyText"/>
        <w:spacing w:before="86" w:line="249" w:lineRule="auto"/>
        <w:ind w:left="492" w:right="607"/>
      </w:pPr>
      <w:r>
        <w:rPr>
          <w:w w:val="95"/>
        </w:rPr>
        <w:t>NSW</w:t>
      </w:r>
      <w:r>
        <w:rPr>
          <w:spacing w:val="-8"/>
          <w:w w:val="95"/>
        </w:rPr>
        <w:t xml:space="preserve"> </w:t>
      </w:r>
      <w:r>
        <w:rPr>
          <w:w w:val="95"/>
        </w:rPr>
        <w:t>has</w:t>
      </w:r>
      <w:r>
        <w:rPr>
          <w:spacing w:val="-8"/>
          <w:w w:val="95"/>
        </w:rPr>
        <w:t xml:space="preserve"> </w:t>
      </w:r>
      <w:r>
        <w:rPr>
          <w:w w:val="95"/>
        </w:rPr>
        <w:t>211</w:t>
      </w:r>
      <w:r>
        <w:rPr>
          <w:spacing w:val="-8"/>
          <w:w w:val="95"/>
        </w:rPr>
        <w:t xml:space="preserve"> </w:t>
      </w:r>
      <w:r>
        <w:rPr>
          <w:w w:val="95"/>
        </w:rPr>
        <w:t>public</w:t>
      </w:r>
      <w:r>
        <w:rPr>
          <w:spacing w:val="-8"/>
          <w:w w:val="95"/>
        </w:rPr>
        <w:t xml:space="preserve"> </w:t>
      </w:r>
      <w:r>
        <w:rPr>
          <w:w w:val="95"/>
        </w:rPr>
        <w:t>hospitals</w:t>
      </w:r>
      <w:r>
        <w:rPr>
          <w:spacing w:val="-8"/>
          <w:w w:val="95"/>
        </w:rPr>
        <w:t xml:space="preserve"> </w:t>
      </w:r>
      <w:r>
        <w:rPr>
          <w:w w:val="95"/>
        </w:rPr>
        <w:t>with</w:t>
      </w:r>
      <w:r>
        <w:rPr>
          <w:spacing w:val="-8"/>
          <w:w w:val="95"/>
        </w:rPr>
        <w:t xml:space="preserve"> </w:t>
      </w:r>
      <w:r>
        <w:rPr>
          <w:w w:val="95"/>
        </w:rPr>
        <w:t xml:space="preserve">around </w:t>
      </w:r>
      <w:r>
        <w:t>20,000 hospital beds.</w:t>
      </w:r>
    </w:p>
    <w:p w:rsidR="002C1123" w:rsidRDefault="00F22F94">
      <w:pPr>
        <w:pStyle w:val="BodyText"/>
        <w:spacing w:before="144" w:line="249" w:lineRule="auto"/>
        <w:ind w:left="492"/>
      </w:pPr>
      <w:r>
        <w:rPr>
          <w:w w:val="95"/>
        </w:rPr>
        <w:t>Occupancy</w:t>
      </w:r>
      <w:r>
        <w:rPr>
          <w:spacing w:val="-10"/>
          <w:w w:val="95"/>
        </w:rPr>
        <w:t xml:space="preserve"> </w:t>
      </w:r>
      <w:r>
        <w:rPr>
          <w:w w:val="95"/>
        </w:rPr>
        <w:t>rates</w:t>
      </w:r>
      <w:r>
        <w:rPr>
          <w:spacing w:val="-10"/>
          <w:w w:val="95"/>
        </w:rPr>
        <w:t xml:space="preserve"> </w:t>
      </w:r>
      <w:r>
        <w:rPr>
          <w:w w:val="95"/>
        </w:rPr>
        <w:t>are</w:t>
      </w:r>
      <w:r>
        <w:rPr>
          <w:spacing w:val="-10"/>
          <w:w w:val="95"/>
        </w:rPr>
        <w:t xml:space="preserve"> </w:t>
      </w:r>
      <w:r>
        <w:rPr>
          <w:w w:val="95"/>
        </w:rPr>
        <w:t>increasing</w:t>
      </w:r>
      <w:r>
        <w:rPr>
          <w:spacing w:val="-10"/>
          <w:w w:val="95"/>
        </w:rPr>
        <w:t xml:space="preserve"> </w:t>
      </w:r>
      <w:r>
        <w:rPr>
          <w:w w:val="95"/>
        </w:rPr>
        <w:t>–</w:t>
      </w:r>
      <w:r>
        <w:rPr>
          <w:spacing w:val="-10"/>
          <w:w w:val="95"/>
        </w:rPr>
        <w:t xml:space="preserve"> </w:t>
      </w:r>
      <w:r>
        <w:rPr>
          <w:w w:val="95"/>
        </w:rPr>
        <w:t>the</w:t>
      </w:r>
      <w:r>
        <w:rPr>
          <w:spacing w:val="-10"/>
          <w:w w:val="95"/>
        </w:rPr>
        <w:t xml:space="preserve"> </w:t>
      </w:r>
      <w:r>
        <w:rPr>
          <w:w w:val="95"/>
        </w:rPr>
        <w:t>state</w:t>
      </w:r>
      <w:r>
        <w:rPr>
          <w:spacing w:val="-10"/>
          <w:w w:val="95"/>
        </w:rPr>
        <w:t xml:space="preserve"> </w:t>
      </w:r>
      <w:r>
        <w:rPr>
          <w:w w:val="95"/>
        </w:rPr>
        <w:t xml:space="preserve">average </w:t>
      </w:r>
      <w:r>
        <w:t>increased</w:t>
      </w:r>
      <w:r>
        <w:rPr>
          <w:spacing w:val="-9"/>
        </w:rPr>
        <w:t xml:space="preserve"> </w:t>
      </w:r>
      <w:r>
        <w:t>to</w:t>
      </w:r>
      <w:r>
        <w:rPr>
          <w:spacing w:val="-9"/>
        </w:rPr>
        <w:t xml:space="preserve"> </w:t>
      </w:r>
      <w:r>
        <w:t>89.1</w:t>
      </w:r>
      <w:r>
        <w:rPr>
          <w:spacing w:val="-9"/>
        </w:rPr>
        <w:t xml:space="preserve"> </w:t>
      </w:r>
      <w:r>
        <w:t>percent</w:t>
      </w:r>
      <w:r>
        <w:rPr>
          <w:spacing w:val="-9"/>
        </w:rPr>
        <w:t xml:space="preserve"> </w:t>
      </w:r>
      <w:r>
        <w:t>in</w:t>
      </w:r>
      <w:r>
        <w:rPr>
          <w:spacing w:val="-9"/>
        </w:rPr>
        <w:t xml:space="preserve"> </w:t>
      </w:r>
      <w:r>
        <w:t>2011</w:t>
      </w:r>
      <w:r>
        <w:rPr>
          <w:spacing w:val="-9"/>
        </w:rPr>
        <w:t xml:space="preserve"> </w:t>
      </w:r>
      <w:r>
        <w:t>compared</w:t>
      </w:r>
      <w:r>
        <w:rPr>
          <w:spacing w:val="-9"/>
        </w:rPr>
        <w:t xml:space="preserve"> </w:t>
      </w:r>
      <w:r>
        <w:t>to</w:t>
      </w:r>
    </w:p>
    <w:p w:rsidR="002C1123" w:rsidRDefault="00F22F94">
      <w:pPr>
        <w:pStyle w:val="BodyText"/>
        <w:spacing w:before="1" w:line="249" w:lineRule="auto"/>
        <w:ind w:left="492"/>
      </w:pPr>
      <w:r>
        <w:rPr>
          <w:w w:val="95"/>
        </w:rPr>
        <w:t xml:space="preserve">85.1 percent in 2008. Occupancy above 85 per cent </w:t>
      </w:r>
      <w:r>
        <w:t>leads</w:t>
      </w:r>
      <w:r>
        <w:rPr>
          <w:spacing w:val="-9"/>
        </w:rPr>
        <w:t xml:space="preserve"> </w:t>
      </w:r>
      <w:r>
        <w:t>to</w:t>
      </w:r>
      <w:r>
        <w:rPr>
          <w:spacing w:val="-9"/>
        </w:rPr>
        <w:t xml:space="preserve"> </w:t>
      </w:r>
      <w:r>
        <w:t>increased</w:t>
      </w:r>
      <w:r>
        <w:rPr>
          <w:spacing w:val="-9"/>
        </w:rPr>
        <w:t xml:space="preserve"> </w:t>
      </w:r>
      <w:r>
        <w:t>waiting</w:t>
      </w:r>
      <w:r>
        <w:rPr>
          <w:spacing w:val="-9"/>
        </w:rPr>
        <w:t xml:space="preserve"> </w:t>
      </w:r>
      <w:r>
        <w:t>times</w:t>
      </w:r>
      <w:r>
        <w:rPr>
          <w:spacing w:val="-9"/>
        </w:rPr>
        <w:t xml:space="preserve"> </w:t>
      </w:r>
      <w:r>
        <w:t>for</w:t>
      </w:r>
      <w:r>
        <w:rPr>
          <w:spacing w:val="-9"/>
        </w:rPr>
        <w:t xml:space="preserve"> </w:t>
      </w:r>
      <w:r>
        <w:t>patients</w:t>
      </w:r>
    </w:p>
    <w:p w:rsidR="002C1123" w:rsidRDefault="00F22F94">
      <w:pPr>
        <w:pStyle w:val="BodyText"/>
        <w:spacing w:before="2"/>
        <w:ind w:left="492"/>
      </w:pPr>
      <w:r>
        <w:rPr>
          <w:w w:val="90"/>
        </w:rPr>
        <w:t>in</w:t>
      </w:r>
      <w:r>
        <w:rPr>
          <w:spacing w:val="-4"/>
          <w:w w:val="90"/>
        </w:rPr>
        <w:t xml:space="preserve"> </w:t>
      </w:r>
      <w:r>
        <w:rPr>
          <w:spacing w:val="-2"/>
        </w:rPr>
        <w:t>emergency.</w:t>
      </w:r>
    </w:p>
    <w:p w:rsidR="002C1123" w:rsidRDefault="00F22F94">
      <w:pPr>
        <w:pStyle w:val="BodyText"/>
        <w:spacing w:before="152"/>
        <w:ind w:left="492"/>
        <w:jc w:val="both"/>
      </w:pPr>
      <w:r>
        <w:rPr>
          <w:w w:val="95"/>
        </w:rPr>
        <w:t>The</w:t>
      </w:r>
      <w:r>
        <w:rPr>
          <w:spacing w:val="-10"/>
          <w:w w:val="95"/>
        </w:rPr>
        <w:t xml:space="preserve"> </w:t>
      </w:r>
      <w:r>
        <w:rPr>
          <w:w w:val="95"/>
        </w:rPr>
        <w:t>occupancy</w:t>
      </w:r>
      <w:r>
        <w:rPr>
          <w:spacing w:val="-9"/>
          <w:w w:val="95"/>
        </w:rPr>
        <w:t xml:space="preserve"> </w:t>
      </w:r>
      <w:r>
        <w:rPr>
          <w:w w:val="95"/>
        </w:rPr>
        <w:t>and</w:t>
      </w:r>
      <w:r>
        <w:rPr>
          <w:spacing w:val="-10"/>
          <w:w w:val="95"/>
        </w:rPr>
        <w:t xml:space="preserve"> </w:t>
      </w:r>
      <w:r>
        <w:rPr>
          <w:w w:val="95"/>
        </w:rPr>
        <w:t>availability</w:t>
      </w:r>
      <w:r>
        <w:rPr>
          <w:spacing w:val="-9"/>
          <w:w w:val="95"/>
        </w:rPr>
        <w:t xml:space="preserve"> </w:t>
      </w:r>
      <w:r>
        <w:rPr>
          <w:w w:val="95"/>
        </w:rPr>
        <w:t>are</w:t>
      </w:r>
      <w:r>
        <w:rPr>
          <w:spacing w:val="-10"/>
          <w:w w:val="95"/>
        </w:rPr>
        <w:t xml:space="preserve"> </w:t>
      </w:r>
      <w:r>
        <w:rPr>
          <w:w w:val="95"/>
        </w:rPr>
        <w:t>shown</w:t>
      </w:r>
      <w:r>
        <w:rPr>
          <w:spacing w:val="-9"/>
          <w:w w:val="95"/>
        </w:rPr>
        <w:t xml:space="preserve"> </w:t>
      </w:r>
      <w:r>
        <w:rPr>
          <w:w w:val="95"/>
        </w:rPr>
        <w:t>in</w:t>
      </w:r>
      <w:r>
        <w:rPr>
          <w:spacing w:val="-10"/>
          <w:w w:val="95"/>
        </w:rPr>
        <w:t xml:space="preserve"> </w:t>
      </w:r>
      <w:r>
        <w:rPr>
          <w:w w:val="95"/>
        </w:rPr>
        <w:t>Figure</w:t>
      </w:r>
      <w:r>
        <w:rPr>
          <w:spacing w:val="-9"/>
          <w:w w:val="95"/>
        </w:rPr>
        <w:t xml:space="preserve"> </w:t>
      </w:r>
      <w:r>
        <w:rPr>
          <w:spacing w:val="-4"/>
          <w:w w:val="95"/>
        </w:rPr>
        <w:t>13.1.</w:t>
      </w:r>
    </w:p>
    <w:p w:rsidR="002C1123" w:rsidRDefault="00F22F94">
      <w:pPr>
        <w:spacing w:before="108" w:line="261" w:lineRule="auto"/>
        <w:ind w:left="1519" w:right="516" w:hanging="987"/>
        <w:jc w:val="both"/>
        <w:rPr>
          <w:b/>
          <w:sz w:val="17"/>
        </w:rPr>
      </w:pPr>
      <w:r>
        <w:rPr>
          <w:b/>
          <w:w w:val="105"/>
          <w:sz w:val="17"/>
        </w:rPr>
        <w:t>Figure</w:t>
      </w:r>
      <w:r>
        <w:rPr>
          <w:b/>
          <w:spacing w:val="-13"/>
          <w:w w:val="105"/>
          <w:sz w:val="17"/>
        </w:rPr>
        <w:t xml:space="preserve"> </w:t>
      </w:r>
      <w:r>
        <w:rPr>
          <w:b/>
          <w:w w:val="105"/>
          <w:sz w:val="17"/>
        </w:rPr>
        <w:t>13.1</w:t>
      </w:r>
      <w:r>
        <w:rPr>
          <w:b/>
          <w:spacing w:val="22"/>
          <w:w w:val="105"/>
          <w:sz w:val="17"/>
        </w:rPr>
        <w:t xml:space="preserve"> </w:t>
      </w:r>
      <w:r>
        <w:rPr>
          <w:b/>
          <w:w w:val="105"/>
          <w:sz w:val="17"/>
        </w:rPr>
        <w:t>Bed</w:t>
      </w:r>
      <w:r>
        <w:rPr>
          <w:b/>
          <w:spacing w:val="-11"/>
          <w:w w:val="105"/>
          <w:sz w:val="17"/>
        </w:rPr>
        <w:t xml:space="preserve"> </w:t>
      </w:r>
      <w:r>
        <w:rPr>
          <w:b/>
          <w:w w:val="105"/>
          <w:sz w:val="17"/>
        </w:rPr>
        <w:t>occupancy</w:t>
      </w:r>
      <w:r>
        <w:rPr>
          <w:b/>
          <w:spacing w:val="-11"/>
          <w:w w:val="105"/>
          <w:sz w:val="17"/>
        </w:rPr>
        <w:t xml:space="preserve"> </w:t>
      </w:r>
      <w:r>
        <w:rPr>
          <w:b/>
          <w:w w:val="105"/>
          <w:sz w:val="17"/>
        </w:rPr>
        <w:t>and</w:t>
      </w:r>
      <w:r>
        <w:rPr>
          <w:b/>
          <w:spacing w:val="-11"/>
          <w:w w:val="105"/>
          <w:sz w:val="17"/>
        </w:rPr>
        <w:t xml:space="preserve"> </w:t>
      </w:r>
      <w:r>
        <w:rPr>
          <w:b/>
          <w:w w:val="105"/>
          <w:sz w:val="17"/>
        </w:rPr>
        <w:t>available</w:t>
      </w:r>
      <w:r>
        <w:rPr>
          <w:b/>
          <w:spacing w:val="-11"/>
          <w:w w:val="105"/>
          <w:sz w:val="17"/>
        </w:rPr>
        <w:t xml:space="preserve"> </w:t>
      </w:r>
      <w:r>
        <w:rPr>
          <w:b/>
          <w:w w:val="105"/>
          <w:sz w:val="17"/>
        </w:rPr>
        <w:t>beds</w:t>
      </w:r>
      <w:r>
        <w:rPr>
          <w:b/>
          <w:spacing w:val="-11"/>
          <w:w w:val="105"/>
          <w:sz w:val="17"/>
        </w:rPr>
        <w:t xml:space="preserve"> </w:t>
      </w:r>
      <w:r>
        <w:rPr>
          <w:b/>
          <w:w w:val="105"/>
          <w:sz w:val="17"/>
        </w:rPr>
        <w:t>at 30</w:t>
      </w:r>
      <w:r>
        <w:rPr>
          <w:b/>
          <w:spacing w:val="-3"/>
          <w:w w:val="105"/>
          <w:sz w:val="17"/>
        </w:rPr>
        <w:t xml:space="preserve"> </w:t>
      </w:r>
      <w:r>
        <w:rPr>
          <w:b/>
          <w:w w:val="105"/>
          <w:sz w:val="17"/>
        </w:rPr>
        <w:t>June</w:t>
      </w:r>
      <w:r>
        <w:rPr>
          <w:b/>
          <w:spacing w:val="-4"/>
          <w:w w:val="105"/>
          <w:sz w:val="17"/>
        </w:rPr>
        <w:t xml:space="preserve"> </w:t>
      </w:r>
      <w:r>
        <w:rPr>
          <w:b/>
          <w:w w:val="105"/>
          <w:sz w:val="17"/>
        </w:rPr>
        <w:t>2011</w:t>
      </w:r>
      <w:r>
        <w:rPr>
          <w:b/>
          <w:spacing w:val="-3"/>
          <w:w w:val="105"/>
          <w:sz w:val="17"/>
        </w:rPr>
        <w:t xml:space="preserve"> </w:t>
      </w:r>
      <w:r>
        <w:rPr>
          <w:b/>
          <w:w w:val="105"/>
          <w:sz w:val="17"/>
        </w:rPr>
        <w:t>by</w:t>
      </w:r>
      <w:r>
        <w:rPr>
          <w:b/>
          <w:spacing w:val="-4"/>
          <w:w w:val="105"/>
          <w:sz w:val="17"/>
        </w:rPr>
        <w:t xml:space="preserve"> </w:t>
      </w:r>
      <w:r>
        <w:rPr>
          <w:b/>
          <w:w w:val="105"/>
          <w:sz w:val="17"/>
        </w:rPr>
        <w:t>Local</w:t>
      </w:r>
      <w:r>
        <w:rPr>
          <w:b/>
          <w:spacing w:val="-3"/>
          <w:w w:val="105"/>
          <w:sz w:val="17"/>
        </w:rPr>
        <w:t xml:space="preserve"> </w:t>
      </w:r>
      <w:r>
        <w:rPr>
          <w:b/>
          <w:w w:val="105"/>
          <w:sz w:val="17"/>
        </w:rPr>
        <w:t>Health</w:t>
      </w:r>
      <w:r>
        <w:rPr>
          <w:b/>
          <w:spacing w:val="-4"/>
          <w:w w:val="105"/>
          <w:sz w:val="17"/>
        </w:rPr>
        <w:t xml:space="preserve"> </w:t>
      </w:r>
      <w:r>
        <w:rPr>
          <w:b/>
          <w:w w:val="105"/>
          <w:sz w:val="17"/>
        </w:rPr>
        <w:t>District per ‘000 people</w:t>
      </w:r>
    </w:p>
    <w:p w:rsidR="002C1123" w:rsidRDefault="00F22F94">
      <w:pPr>
        <w:pStyle w:val="BodyText"/>
        <w:spacing w:before="108" w:line="249" w:lineRule="auto"/>
        <w:ind w:left="276"/>
      </w:pPr>
      <w:r>
        <w:br w:type="column"/>
      </w:r>
      <w:r>
        <w:t>NSW</w:t>
      </w:r>
      <w:r>
        <w:rPr>
          <w:spacing w:val="-8"/>
        </w:rPr>
        <w:t xml:space="preserve"> </w:t>
      </w:r>
      <w:r>
        <w:t>also</w:t>
      </w:r>
      <w:r>
        <w:rPr>
          <w:spacing w:val="-8"/>
        </w:rPr>
        <w:t xml:space="preserve"> </w:t>
      </w:r>
      <w:r>
        <w:t>has</w:t>
      </w:r>
      <w:r>
        <w:rPr>
          <w:spacing w:val="-8"/>
        </w:rPr>
        <w:t xml:space="preserve"> </w:t>
      </w:r>
      <w:r>
        <w:t>more</w:t>
      </w:r>
      <w:r>
        <w:rPr>
          <w:spacing w:val="-8"/>
        </w:rPr>
        <w:t xml:space="preserve"> </w:t>
      </w:r>
      <w:r>
        <w:t>public</w:t>
      </w:r>
      <w:r>
        <w:rPr>
          <w:spacing w:val="-8"/>
        </w:rPr>
        <w:t xml:space="preserve"> </w:t>
      </w:r>
      <w:r>
        <w:t>hospital</w:t>
      </w:r>
      <w:r>
        <w:rPr>
          <w:spacing w:val="-8"/>
        </w:rPr>
        <w:t xml:space="preserve"> </w:t>
      </w:r>
      <w:r>
        <w:t>beds</w:t>
      </w:r>
      <w:r>
        <w:rPr>
          <w:spacing w:val="-8"/>
        </w:rPr>
        <w:t xml:space="preserve"> </w:t>
      </w:r>
      <w:r>
        <w:t>per</w:t>
      </w:r>
      <w:r>
        <w:rPr>
          <w:spacing w:val="-8"/>
        </w:rPr>
        <w:t xml:space="preserve"> </w:t>
      </w:r>
      <w:r>
        <w:t xml:space="preserve">capita </w:t>
      </w:r>
      <w:r>
        <w:rPr>
          <w:w w:val="95"/>
        </w:rPr>
        <w:t>than</w:t>
      </w:r>
      <w:r>
        <w:rPr>
          <w:spacing w:val="-6"/>
          <w:w w:val="95"/>
        </w:rPr>
        <w:t xml:space="preserve"> </w:t>
      </w:r>
      <w:r>
        <w:rPr>
          <w:w w:val="95"/>
        </w:rPr>
        <w:t>other</w:t>
      </w:r>
      <w:r>
        <w:rPr>
          <w:spacing w:val="-6"/>
          <w:w w:val="95"/>
        </w:rPr>
        <w:t xml:space="preserve"> </w:t>
      </w:r>
      <w:r>
        <w:rPr>
          <w:w w:val="95"/>
        </w:rPr>
        <w:t>states,</w:t>
      </w:r>
      <w:r>
        <w:rPr>
          <w:spacing w:val="-6"/>
          <w:w w:val="95"/>
        </w:rPr>
        <w:t xml:space="preserve"> </w:t>
      </w:r>
      <w:r>
        <w:rPr>
          <w:w w:val="95"/>
        </w:rPr>
        <w:t>NSW</w:t>
      </w:r>
      <w:r>
        <w:rPr>
          <w:spacing w:val="-6"/>
          <w:w w:val="95"/>
        </w:rPr>
        <w:t xml:space="preserve"> </w:t>
      </w:r>
      <w:r>
        <w:rPr>
          <w:w w:val="95"/>
        </w:rPr>
        <w:t>has</w:t>
      </w:r>
      <w:r>
        <w:rPr>
          <w:spacing w:val="-6"/>
          <w:w w:val="95"/>
        </w:rPr>
        <w:t xml:space="preserve"> </w:t>
      </w:r>
      <w:r>
        <w:rPr>
          <w:w w:val="95"/>
        </w:rPr>
        <w:t>a</w:t>
      </w:r>
      <w:r>
        <w:rPr>
          <w:spacing w:val="-6"/>
          <w:w w:val="95"/>
        </w:rPr>
        <w:t xml:space="preserve"> </w:t>
      </w:r>
      <w:r>
        <w:rPr>
          <w:w w:val="95"/>
        </w:rPr>
        <w:t>higher</w:t>
      </w:r>
      <w:r>
        <w:rPr>
          <w:spacing w:val="-6"/>
          <w:w w:val="95"/>
        </w:rPr>
        <w:t xml:space="preserve"> </w:t>
      </w:r>
      <w:r>
        <w:rPr>
          <w:w w:val="95"/>
        </w:rPr>
        <w:t>number</w:t>
      </w:r>
      <w:r>
        <w:rPr>
          <w:spacing w:val="-6"/>
          <w:w w:val="95"/>
        </w:rPr>
        <w:t xml:space="preserve"> </w:t>
      </w:r>
      <w:r>
        <w:rPr>
          <w:w w:val="95"/>
        </w:rPr>
        <w:t>of</w:t>
      </w:r>
      <w:r>
        <w:rPr>
          <w:spacing w:val="-6"/>
          <w:w w:val="95"/>
        </w:rPr>
        <w:t xml:space="preserve"> </w:t>
      </w:r>
      <w:r>
        <w:rPr>
          <w:w w:val="95"/>
        </w:rPr>
        <w:t>public</w:t>
      </w:r>
    </w:p>
    <w:p w:rsidR="002C1123" w:rsidRDefault="00F22F94">
      <w:pPr>
        <w:pStyle w:val="BodyText"/>
        <w:spacing w:before="1" w:line="249" w:lineRule="auto"/>
        <w:ind w:left="276"/>
      </w:pPr>
      <w:r>
        <w:rPr>
          <w:w w:val="95"/>
        </w:rPr>
        <w:t>hospital</w:t>
      </w:r>
      <w:r>
        <w:rPr>
          <w:spacing w:val="-5"/>
          <w:w w:val="95"/>
        </w:rPr>
        <w:t xml:space="preserve"> </w:t>
      </w:r>
      <w:r>
        <w:rPr>
          <w:w w:val="95"/>
        </w:rPr>
        <w:t>beds</w:t>
      </w:r>
      <w:r>
        <w:rPr>
          <w:spacing w:val="-5"/>
          <w:w w:val="95"/>
        </w:rPr>
        <w:t xml:space="preserve"> </w:t>
      </w:r>
      <w:r>
        <w:rPr>
          <w:w w:val="95"/>
        </w:rPr>
        <w:t>per</w:t>
      </w:r>
      <w:r>
        <w:rPr>
          <w:spacing w:val="-5"/>
          <w:w w:val="95"/>
        </w:rPr>
        <w:t xml:space="preserve"> </w:t>
      </w:r>
      <w:r>
        <w:rPr>
          <w:w w:val="95"/>
        </w:rPr>
        <w:t>1,000</w:t>
      </w:r>
      <w:r>
        <w:rPr>
          <w:spacing w:val="-5"/>
          <w:w w:val="95"/>
        </w:rPr>
        <w:t xml:space="preserve"> </w:t>
      </w:r>
      <w:r>
        <w:rPr>
          <w:w w:val="95"/>
        </w:rPr>
        <w:t>residents</w:t>
      </w:r>
      <w:r>
        <w:rPr>
          <w:spacing w:val="-5"/>
          <w:w w:val="95"/>
        </w:rPr>
        <w:t xml:space="preserve"> </w:t>
      </w:r>
      <w:r>
        <w:rPr>
          <w:w w:val="95"/>
        </w:rPr>
        <w:t>(2.7</w:t>
      </w:r>
      <w:r>
        <w:rPr>
          <w:spacing w:val="-5"/>
          <w:w w:val="95"/>
        </w:rPr>
        <w:t xml:space="preserve"> </w:t>
      </w:r>
      <w:r>
        <w:rPr>
          <w:w w:val="95"/>
        </w:rPr>
        <w:t>compared</w:t>
      </w:r>
      <w:r>
        <w:rPr>
          <w:spacing w:val="-5"/>
          <w:w w:val="95"/>
        </w:rPr>
        <w:t xml:space="preserve"> </w:t>
      </w:r>
      <w:r>
        <w:rPr>
          <w:w w:val="95"/>
        </w:rPr>
        <w:t>to</w:t>
      </w:r>
      <w:r>
        <w:rPr>
          <w:spacing w:val="-5"/>
          <w:w w:val="95"/>
        </w:rPr>
        <w:t xml:space="preserve"> </w:t>
      </w:r>
      <w:r>
        <w:rPr>
          <w:w w:val="95"/>
        </w:rPr>
        <w:t>2.4</w:t>
      </w:r>
      <w:r>
        <w:rPr>
          <w:spacing w:val="-5"/>
          <w:w w:val="95"/>
        </w:rPr>
        <w:t xml:space="preserve"> </w:t>
      </w:r>
      <w:r>
        <w:rPr>
          <w:w w:val="95"/>
        </w:rPr>
        <w:t>in Victoria,</w:t>
      </w:r>
      <w:r>
        <w:rPr>
          <w:spacing w:val="-2"/>
          <w:w w:val="95"/>
        </w:rPr>
        <w:t xml:space="preserve"> </w:t>
      </w:r>
      <w:r>
        <w:rPr>
          <w:w w:val="95"/>
        </w:rPr>
        <w:t>Queensland</w:t>
      </w:r>
      <w:r>
        <w:rPr>
          <w:spacing w:val="-2"/>
          <w:w w:val="95"/>
        </w:rPr>
        <w:t xml:space="preserve"> </w:t>
      </w:r>
      <w:r>
        <w:rPr>
          <w:w w:val="95"/>
        </w:rPr>
        <w:t>and</w:t>
      </w:r>
      <w:r>
        <w:rPr>
          <w:spacing w:val="-2"/>
          <w:w w:val="95"/>
        </w:rPr>
        <w:t xml:space="preserve"> </w:t>
      </w:r>
      <w:r>
        <w:rPr>
          <w:w w:val="95"/>
        </w:rPr>
        <w:t>WA)</w:t>
      </w:r>
      <w:r>
        <w:rPr>
          <w:spacing w:val="-2"/>
          <w:w w:val="95"/>
        </w:rPr>
        <w:t xml:space="preserve"> </w:t>
      </w:r>
      <w:r>
        <w:rPr>
          <w:w w:val="95"/>
        </w:rPr>
        <w:t>and</w:t>
      </w:r>
      <w:r>
        <w:rPr>
          <w:spacing w:val="-2"/>
          <w:w w:val="95"/>
        </w:rPr>
        <w:t xml:space="preserve"> </w:t>
      </w:r>
      <w:r>
        <w:rPr>
          <w:w w:val="95"/>
        </w:rPr>
        <w:t>fewer</w:t>
      </w:r>
      <w:r>
        <w:rPr>
          <w:spacing w:val="-2"/>
          <w:w w:val="95"/>
        </w:rPr>
        <w:t xml:space="preserve"> </w:t>
      </w:r>
      <w:r>
        <w:rPr>
          <w:w w:val="95"/>
        </w:rPr>
        <w:t>private</w:t>
      </w:r>
      <w:r>
        <w:rPr>
          <w:spacing w:val="-2"/>
          <w:w w:val="95"/>
        </w:rPr>
        <w:t xml:space="preserve"> </w:t>
      </w:r>
      <w:r>
        <w:rPr>
          <w:w w:val="95"/>
        </w:rPr>
        <w:t xml:space="preserve">hospital </w:t>
      </w:r>
      <w:r>
        <w:t>beds</w:t>
      </w:r>
      <w:r>
        <w:rPr>
          <w:spacing w:val="-14"/>
        </w:rPr>
        <w:t xml:space="preserve"> </w:t>
      </w:r>
      <w:r>
        <w:t>(1.0</w:t>
      </w:r>
      <w:r>
        <w:rPr>
          <w:spacing w:val="-14"/>
        </w:rPr>
        <w:t xml:space="preserve"> </w:t>
      </w:r>
      <w:r>
        <w:t>compared</w:t>
      </w:r>
      <w:r>
        <w:rPr>
          <w:spacing w:val="-14"/>
        </w:rPr>
        <w:t xml:space="preserve"> </w:t>
      </w:r>
      <w:r>
        <w:t>to</w:t>
      </w:r>
      <w:r>
        <w:rPr>
          <w:spacing w:val="-14"/>
        </w:rPr>
        <w:t xml:space="preserve"> </w:t>
      </w:r>
      <w:r>
        <w:t>1.4</w:t>
      </w:r>
      <w:r>
        <w:rPr>
          <w:spacing w:val="-14"/>
        </w:rPr>
        <w:t xml:space="preserve"> </w:t>
      </w:r>
      <w:r>
        <w:t>in</w:t>
      </w:r>
      <w:r>
        <w:rPr>
          <w:spacing w:val="-14"/>
        </w:rPr>
        <w:t xml:space="preserve"> </w:t>
      </w:r>
      <w:r>
        <w:t>Victoria</w:t>
      </w:r>
      <w:r>
        <w:rPr>
          <w:spacing w:val="-14"/>
        </w:rPr>
        <w:t xml:space="preserve"> </w:t>
      </w:r>
      <w:r>
        <w:t>and</w:t>
      </w:r>
      <w:r>
        <w:rPr>
          <w:spacing w:val="-14"/>
        </w:rPr>
        <w:t xml:space="preserve"> </w:t>
      </w:r>
      <w:r>
        <w:t>Queensland and 1.6 in WA).</w:t>
      </w:r>
    </w:p>
    <w:p w:rsidR="002C1123" w:rsidRDefault="00F22F94">
      <w:pPr>
        <w:pStyle w:val="BodyText"/>
        <w:spacing w:before="145" w:line="249" w:lineRule="auto"/>
        <w:ind w:left="276"/>
      </w:pPr>
      <w:r>
        <w:rPr>
          <w:w w:val="95"/>
        </w:rPr>
        <w:t>The</w:t>
      </w:r>
      <w:r>
        <w:rPr>
          <w:spacing w:val="-8"/>
          <w:w w:val="95"/>
        </w:rPr>
        <w:t xml:space="preserve"> </w:t>
      </w:r>
      <w:r>
        <w:rPr>
          <w:w w:val="95"/>
        </w:rPr>
        <w:t>reasons</w:t>
      </w:r>
      <w:r>
        <w:rPr>
          <w:spacing w:val="-8"/>
          <w:w w:val="95"/>
        </w:rPr>
        <w:t xml:space="preserve"> </w:t>
      </w:r>
      <w:r>
        <w:rPr>
          <w:w w:val="95"/>
        </w:rPr>
        <w:t>for</w:t>
      </w:r>
      <w:r>
        <w:rPr>
          <w:spacing w:val="-8"/>
          <w:w w:val="95"/>
        </w:rPr>
        <w:t xml:space="preserve"> </w:t>
      </w:r>
      <w:r>
        <w:rPr>
          <w:w w:val="95"/>
        </w:rPr>
        <w:t>more</w:t>
      </w:r>
      <w:r>
        <w:rPr>
          <w:spacing w:val="-8"/>
          <w:w w:val="95"/>
        </w:rPr>
        <w:t xml:space="preserve"> </w:t>
      </w:r>
      <w:r>
        <w:rPr>
          <w:w w:val="95"/>
        </w:rPr>
        <w:t>investment</w:t>
      </w:r>
      <w:r>
        <w:rPr>
          <w:spacing w:val="-8"/>
          <w:w w:val="95"/>
        </w:rPr>
        <w:t xml:space="preserve"> </w:t>
      </w:r>
      <w:r>
        <w:rPr>
          <w:w w:val="95"/>
        </w:rPr>
        <w:t>in</w:t>
      </w:r>
      <w:r>
        <w:rPr>
          <w:spacing w:val="-8"/>
          <w:w w:val="95"/>
        </w:rPr>
        <w:t xml:space="preserve"> </w:t>
      </w:r>
      <w:r>
        <w:rPr>
          <w:w w:val="95"/>
        </w:rPr>
        <w:t>public</w:t>
      </w:r>
      <w:r>
        <w:rPr>
          <w:spacing w:val="-8"/>
          <w:w w:val="95"/>
        </w:rPr>
        <w:t xml:space="preserve"> </w:t>
      </w:r>
      <w:r>
        <w:rPr>
          <w:w w:val="95"/>
        </w:rPr>
        <w:t>hospitals</w:t>
      </w:r>
      <w:r>
        <w:rPr>
          <w:spacing w:val="-8"/>
          <w:w w:val="95"/>
        </w:rPr>
        <w:t xml:space="preserve"> </w:t>
      </w:r>
      <w:r>
        <w:rPr>
          <w:w w:val="95"/>
        </w:rPr>
        <w:t xml:space="preserve">in </w:t>
      </w:r>
      <w:r>
        <w:t>NSW,</w:t>
      </w:r>
      <w:r>
        <w:rPr>
          <w:spacing w:val="-14"/>
        </w:rPr>
        <w:t xml:space="preserve"> </w:t>
      </w:r>
      <w:r>
        <w:t>and</w:t>
      </w:r>
      <w:r>
        <w:rPr>
          <w:spacing w:val="-14"/>
        </w:rPr>
        <w:t xml:space="preserve"> </w:t>
      </w:r>
      <w:r>
        <w:t>relatively</w:t>
      </w:r>
      <w:r>
        <w:rPr>
          <w:spacing w:val="-14"/>
        </w:rPr>
        <w:t xml:space="preserve"> </w:t>
      </w:r>
      <w:r>
        <w:t>fewer</w:t>
      </w:r>
      <w:r>
        <w:rPr>
          <w:spacing w:val="-14"/>
        </w:rPr>
        <w:t xml:space="preserve"> </w:t>
      </w:r>
      <w:r>
        <w:t>private</w:t>
      </w:r>
      <w:r>
        <w:rPr>
          <w:spacing w:val="-14"/>
        </w:rPr>
        <w:t xml:space="preserve"> </w:t>
      </w:r>
      <w:r>
        <w:t>beds</w:t>
      </w:r>
      <w:r>
        <w:rPr>
          <w:spacing w:val="-14"/>
        </w:rPr>
        <w:t xml:space="preserve"> </w:t>
      </w:r>
      <w:r>
        <w:t>include:</w:t>
      </w:r>
    </w:p>
    <w:p w:rsidR="002C1123" w:rsidRDefault="00F22F94">
      <w:pPr>
        <w:pStyle w:val="ListParagraph"/>
        <w:numPr>
          <w:ilvl w:val="3"/>
          <w:numId w:val="49"/>
        </w:numPr>
        <w:tabs>
          <w:tab w:val="left" w:pos="561"/>
        </w:tabs>
        <w:spacing w:before="131"/>
        <w:ind w:left="560" w:hanging="285"/>
        <w:rPr>
          <w:sz w:val="20"/>
        </w:rPr>
      </w:pPr>
      <w:r>
        <w:rPr>
          <w:w w:val="95"/>
          <w:sz w:val="20"/>
        </w:rPr>
        <w:t>site</w:t>
      </w:r>
      <w:r>
        <w:rPr>
          <w:spacing w:val="-11"/>
          <w:w w:val="95"/>
          <w:sz w:val="20"/>
        </w:rPr>
        <w:t xml:space="preserve"> </w:t>
      </w:r>
      <w:r>
        <w:rPr>
          <w:w w:val="95"/>
          <w:sz w:val="20"/>
        </w:rPr>
        <w:t>availability</w:t>
      </w:r>
      <w:r>
        <w:rPr>
          <w:spacing w:val="-10"/>
          <w:w w:val="95"/>
          <w:sz w:val="20"/>
        </w:rPr>
        <w:t xml:space="preserve"> </w:t>
      </w:r>
      <w:r>
        <w:rPr>
          <w:w w:val="95"/>
          <w:sz w:val="20"/>
        </w:rPr>
        <w:t>and</w:t>
      </w:r>
      <w:r>
        <w:rPr>
          <w:spacing w:val="-11"/>
          <w:w w:val="95"/>
          <w:sz w:val="20"/>
        </w:rPr>
        <w:t xml:space="preserve"> </w:t>
      </w:r>
      <w:r>
        <w:rPr>
          <w:w w:val="95"/>
          <w:sz w:val="20"/>
        </w:rPr>
        <w:t>constraints</w:t>
      </w:r>
      <w:r>
        <w:rPr>
          <w:spacing w:val="-10"/>
          <w:w w:val="95"/>
          <w:sz w:val="20"/>
        </w:rPr>
        <w:t xml:space="preserve"> </w:t>
      </w:r>
      <w:r>
        <w:rPr>
          <w:w w:val="95"/>
          <w:sz w:val="20"/>
        </w:rPr>
        <w:t>of</w:t>
      </w:r>
      <w:r>
        <w:rPr>
          <w:spacing w:val="-11"/>
          <w:w w:val="95"/>
          <w:sz w:val="20"/>
        </w:rPr>
        <w:t xml:space="preserve"> </w:t>
      </w:r>
      <w:r>
        <w:rPr>
          <w:w w:val="95"/>
          <w:sz w:val="20"/>
        </w:rPr>
        <w:t>planning</w:t>
      </w:r>
      <w:r>
        <w:rPr>
          <w:spacing w:val="-10"/>
          <w:w w:val="95"/>
          <w:sz w:val="20"/>
        </w:rPr>
        <w:t xml:space="preserve"> </w:t>
      </w:r>
      <w:r>
        <w:rPr>
          <w:spacing w:val="-2"/>
          <w:w w:val="95"/>
          <w:sz w:val="20"/>
        </w:rPr>
        <w:t>system</w:t>
      </w:r>
    </w:p>
    <w:p w:rsidR="002C1123" w:rsidRDefault="00F22F94">
      <w:pPr>
        <w:pStyle w:val="ListParagraph"/>
        <w:numPr>
          <w:ilvl w:val="3"/>
          <w:numId w:val="49"/>
        </w:numPr>
        <w:tabs>
          <w:tab w:val="left" w:pos="561"/>
        </w:tabs>
        <w:spacing w:before="140"/>
        <w:ind w:left="560" w:hanging="285"/>
        <w:rPr>
          <w:sz w:val="20"/>
        </w:rPr>
      </w:pPr>
      <w:r>
        <w:rPr>
          <w:w w:val="95"/>
          <w:sz w:val="20"/>
        </w:rPr>
        <w:t>admitting</w:t>
      </w:r>
      <w:r>
        <w:rPr>
          <w:spacing w:val="-1"/>
          <w:w w:val="95"/>
          <w:sz w:val="20"/>
        </w:rPr>
        <w:t xml:space="preserve"> </w:t>
      </w:r>
      <w:r>
        <w:rPr>
          <w:w w:val="95"/>
          <w:sz w:val="20"/>
        </w:rPr>
        <w:t>specialists’</w:t>
      </w:r>
      <w:r>
        <w:rPr>
          <w:spacing w:val="-1"/>
          <w:w w:val="95"/>
          <w:sz w:val="20"/>
        </w:rPr>
        <w:t xml:space="preserve"> </w:t>
      </w:r>
      <w:r>
        <w:rPr>
          <w:w w:val="95"/>
          <w:sz w:val="20"/>
        </w:rPr>
        <w:t>rights</w:t>
      </w:r>
      <w:r>
        <w:rPr>
          <w:spacing w:val="-1"/>
          <w:w w:val="95"/>
          <w:sz w:val="20"/>
        </w:rPr>
        <w:t xml:space="preserve"> </w:t>
      </w:r>
      <w:r>
        <w:rPr>
          <w:w w:val="95"/>
          <w:sz w:val="20"/>
        </w:rPr>
        <w:t>of</w:t>
      </w:r>
      <w:r>
        <w:rPr>
          <w:spacing w:val="-1"/>
          <w:w w:val="95"/>
          <w:sz w:val="20"/>
        </w:rPr>
        <w:t xml:space="preserve"> </w:t>
      </w:r>
      <w:r>
        <w:rPr>
          <w:w w:val="95"/>
          <w:sz w:val="20"/>
        </w:rPr>
        <w:t>practice</w:t>
      </w:r>
      <w:r>
        <w:rPr>
          <w:spacing w:val="-1"/>
          <w:w w:val="95"/>
          <w:sz w:val="20"/>
        </w:rPr>
        <w:t xml:space="preserve"> </w:t>
      </w:r>
      <w:r>
        <w:rPr>
          <w:w w:val="95"/>
          <w:sz w:val="20"/>
        </w:rPr>
        <w:t>at</w:t>
      </w:r>
      <w:r>
        <w:rPr>
          <w:spacing w:val="-1"/>
          <w:w w:val="95"/>
          <w:sz w:val="20"/>
        </w:rPr>
        <w:t xml:space="preserve"> </w:t>
      </w:r>
      <w:r>
        <w:rPr>
          <w:spacing w:val="-2"/>
          <w:w w:val="95"/>
          <w:sz w:val="20"/>
        </w:rPr>
        <w:t>hospitals</w:t>
      </w:r>
    </w:p>
    <w:p w:rsidR="002C1123" w:rsidRDefault="00F22F94">
      <w:pPr>
        <w:pStyle w:val="ListParagraph"/>
        <w:numPr>
          <w:ilvl w:val="3"/>
          <w:numId w:val="49"/>
        </w:numPr>
        <w:tabs>
          <w:tab w:val="left" w:pos="561"/>
        </w:tabs>
        <w:spacing w:before="139" w:line="249" w:lineRule="auto"/>
        <w:ind w:left="560" w:right="955"/>
        <w:rPr>
          <w:sz w:val="20"/>
        </w:rPr>
      </w:pPr>
      <w:r>
        <w:rPr>
          <w:w w:val="95"/>
          <w:sz w:val="20"/>
        </w:rPr>
        <w:t>lack</w:t>
      </w:r>
      <w:r>
        <w:rPr>
          <w:spacing w:val="-12"/>
          <w:w w:val="95"/>
          <w:sz w:val="20"/>
        </w:rPr>
        <w:t xml:space="preserve"> </w:t>
      </w:r>
      <w:r>
        <w:rPr>
          <w:w w:val="95"/>
          <w:sz w:val="20"/>
        </w:rPr>
        <w:t>of</w:t>
      </w:r>
      <w:r>
        <w:rPr>
          <w:spacing w:val="-11"/>
          <w:w w:val="95"/>
          <w:sz w:val="20"/>
        </w:rPr>
        <w:t xml:space="preserve"> </w:t>
      </w:r>
      <w:r>
        <w:rPr>
          <w:w w:val="95"/>
          <w:sz w:val="20"/>
        </w:rPr>
        <w:t>availability</w:t>
      </w:r>
      <w:r>
        <w:rPr>
          <w:spacing w:val="-11"/>
          <w:w w:val="95"/>
          <w:sz w:val="20"/>
        </w:rPr>
        <w:t xml:space="preserve"> </w:t>
      </w:r>
      <w:r>
        <w:rPr>
          <w:w w:val="95"/>
          <w:sz w:val="20"/>
        </w:rPr>
        <w:t>of</w:t>
      </w:r>
      <w:r>
        <w:rPr>
          <w:spacing w:val="-11"/>
          <w:w w:val="95"/>
          <w:sz w:val="20"/>
        </w:rPr>
        <w:t xml:space="preserve"> </w:t>
      </w:r>
      <w:r>
        <w:rPr>
          <w:w w:val="95"/>
          <w:sz w:val="20"/>
        </w:rPr>
        <w:t>services</w:t>
      </w:r>
      <w:r>
        <w:rPr>
          <w:spacing w:val="-11"/>
          <w:w w:val="95"/>
          <w:sz w:val="20"/>
        </w:rPr>
        <w:t xml:space="preserve"> </w:t>
      </w:r>
      <w:r>
        <w:rPr>
          <w:w w:val="95"/>
          <w:sz w:val="20"/>
        </w:rPr>
        <w:t>at</w:t>
      </w:r>
      <w:r>
        <w:rPr>
          <w:spacing w:val="-11"/>
          <w:w w:val="95"/>
          <w:sz w:val="20"/>
        </w:rPr>
        <w:t xml:space="preserve"> </w:t>
      </w:r>
      <w:r>
        <w:rPr>
          <w:w w:val="95"/>
          <w:sz w:val="20"/>
        </w:rPr>
        <w:t xml:space="preserve">accessible </w:t>
      </w:r>
      <w:r>
        <w:rPr>
          <w:sz w:val="20"/>
        </w:rPr>
        <w:t>private</w:t>
      </w:r>
      <w:r>
        <w:rPr>
          <w:spacing w:val="-11"/>
          <w:sz w:val="20"/>
        </w:rPr>
        <w:t xml:space="preserve"> </w:t>
      </w:r>
      <w:r>
        <w:rPr>
          <w:sz w:val="20"/>
        </w:rPr>
        <w:t>hospitals</w:t>
      </w:r>
    </w:p>
    <w:p w:rsidR="002C1123" w:rsidRDefault="00F22F94">
      <w:pPr>
        <w:pStyle w:val="BodyText"/>
        <w:spacing w:before="108" w:line="249" w:lineRule="auto"/>
        <w:ind w:left="186" w:right="1360"/>
        <w:jc w:val="both"/>
      </w:pPr>
      <w:r>
        <w:br w:type="column"/>
      </w:r>
      <w:r>
        <w:rPr>
          <w:w w:val="95"/>
        </w:rPr>
        <w:t>in NSW compared to nine percent in Victoria and less</w:t>
      </w:r>
      <w:r>
        <w:rPr>
          <w:spacing w:val="-9"/>
          <w:w w:val="95"/>
        </w:rPr>
        <w:t xml:space="preserve"> </w:t>
      </w:r>
      <w:r>
        <w:rPr>
          <w:w w:val="95"/>
        </w:rPr>
        <w:t>than</w:t>
      </w:r>
      <w:r>
        <w:rPr>
          <w:spacing w:val="-9"/>
          <w:w w:val="95"/>
        </w:rPr>
        <w:t xml:space="preserve"> </w:t>
      </w:r>
      <w:r>
        <w:rPr>
          <w:w w:val="95"/>
        </w:rPr>
        <w:t>five</w:t>
      </w:r>
      <w:r>
        <w:rPr>
          <w:spacing w:val="-9"/>
          <w:w w:val="95"/>
        </w:rPr>
        <w:t xml:space="preserve"> </w:t>
      </w:r>
      <w:r>
        <w:rPr>
          <w:w w:val="95"/>
        </w:rPr>
        <w:t>percent</w:t>
      </w:r>
      <w:r>
        <w:rPr>
          <w:spacing w:val="-9"/>
          <w:w w:val="95"/>
        </w:rPr>
        <w:t xml:space="preserve"> </w:t>
      </w:r>
      <w:r>
        <w:rPr>
          <w:w w:val="95"/>
        </w:rPr>
        <w:t>in</w:t>
      </w:r>
      <w:r>
        <w:rPr>
          <w:spacing w:val="-9"/>
          <w:w w:val="95"/>
        </w:rPr>
        <w:t xml:space="preserve"> </w:t>
      </w:r>
      <w:r>
        <w:rPr>
          <w:w w:val="95"/>
        </w:rPr>
        <w:t>Queensland,</w:t>
      </w:r>
      <w:r>
        <w:rPr>
          <w:spacing w:val="-9"/>
          <w:w w:val="95"/>
        </w:rPr>
        <w:t xml:space="preserve"> </w:t>
      </w:r>
      <w:r>
        <w:rPr>
          <w:w w:val="95"/>
        </w:rPr>
        <w:t>as</w:t>
      </w:r>
      <w:r>
        <w:rPr>
          <w:spacing w:val="-9"/>
          <w:w w:val="95"/>
        </w:rPr>
        <w:t xml:space="preserve"> </w:t>
      </w:r>
      <w:r>
        <w:rPr>
          <w:w w:val="95"/>
        </w:rPr>
        <w:t>shown</w:t>
      </w:r>
      <w:r>
        <w:rPr>
          <w:spacing w:val="-9"/>
          <w:w w:val="95"/>
        </w:rPr>
        <w:t xml:space="preserve"> </w:t>
      </w:r>
      <w:r>
        <w:rPr>
          <w:w w:val="95"/>
        </w:rPr>
        <w:t xml:space="preserve">in </w:t>
      </w:r>
      <w:r>
        <w:t>Figure 13.2 below.</w:t>
      </w:r>
    </w:p>
    <w:p w:rsidR="002C1123" w:rsidRDefault="00F22F94">
      <w:pPr>
        <w:pStyle w:val="BodyText"/>
        <w:spacing w:before="144" w:line="249" w:lineRule="auto"/>
        <w:ind w:left="186" w:right="871"/>
      </w:pPr>
      <w:r>
        <w:rPr>
          <w:w w:val="95"/>
        </w:rPr>
        <w:t xml:space="preserve">Infrastructure NSW has concluded that these practices </w:t>
      </w:r>
      <w:r>
        <w:t>unnecessarily</w:t>
      </w:r>
      <w:r>
        <w:rPr>
          <w:spacing w:val="-14"/>
        </w:rPr>
        <w:t xml:space="preserve"> </w:t>
      </w:r>
      <w:r>
        <w:t>increase</w:t>
      </w:r>
      <w:r>
        <w:rPr>
          <w:spacing w:val="-14"/>
        </w:rPr>
        <w:t xml:space="preserve"> </w:t>
      </w:r>
      <w:r>
        <w:t>the</w:t>
      </w:r>
      <w:r>
        <w:rPr>
          <w:spacing w:val="-14"/>
        </w:rPr>
        <w:t xml:space="preserve"> </w:t>
      </w:r>
      <w:r>
        <w:t>demand</w:t>
      </w:r>
      <w:r>
        <w:rPr>
          <w:spacing w:val="-14"/>
        </w:rPr>
        <w:t xml:space="preserve"> </w:t>
      </w:r>
      <w:r>
        <w:t>for</w:t>
      </w:r>
      <w:r>
        <w:rPr>
          <w:spacing w:val="-14"/>
        </w:rPr>
        <w:t xml:space="preserve"> </w:t>
      </w:r>
      <w:r>
        <w:t>investment</w:t>
      </w:r>
      <w:r>
        <w:rPr>
          <w:spacing w:val="-14"/>
        </w:rPr>
        <w:t xml:space="preserve"> </w:t>
      </w:r>
      <w:r>
        <w:t>in public</w:t>
      </w:r>
      <w:r>
        <w:rPr>
          <w:spacing w:val="-8"/>
        </w:rPr>
        <w:t xml:space="preserve"> </w:t>
      </w:r>
      <w:r>
        <w:t>hospitals.</w:t>
      </w:r>
      <w:r>
        <w:rPr>
          <w:spacing w:val="-8"/>
        </w:rPr>
        <w:t xml:space="preserve"> </w:t>
      </w:r>
      <w:r>
        <w:t>Less</w:t>
      </w:r>
      <w:r>
        <w:rPr>
          <w:spacing w:val="-8"/>
        </w:rPr>
        <w:t xml:space="preserve"> </w:t>
      </w:r>
      <w:r>
        <w:t>use</w:t>
      </w:r>
      <w:r>
        <w:rPr>
          <w:spacing w:val="-8"/>
        </w:rPr>
        <w:t xml:space="preserve"> </w:t>
      </w:r>
      <w:r>
        <w:t>of</w:t>
      </w:r>
      <w:r>
        <w:rPr>
          <w:spacing w:val="-8"/>
        </w:rPr>
        <w:t xml:space="preserve"> </w:t>
      </w:r>
      <w:r>
        <w:t>public</w:t>
      </w:r>
      <w:r>
        <w:rPr>
          <w:spacing w:val="-8"/>
        </w:rPr>
        <w:t xml:space="preserve"> </w:t>
      </w:r>
      <w:r>
        <w:t>hospital</w:t>
      </w:r>
      <w:r>
        <w:rPr>
          <w:spacing w:val="-8"/>
        </w:rPr>
        <w:t xml:space="preserve"> </w:t>
      </w:r>
      <w:r>
        <w:t>beds</w:t>
      </w:r>
      <w:r>
        <w:rPr>
          <w:spacing w:val="-8"/>
        </w:rPr>
        <w:t xml:space="preserve"> </w:t>
      </w:r>
      <w:r>
        <w:t xml:space="preserve">by </w:t>
      </w:r>
      <w:r>
        <w:rPr>
          <w:w w:val="95"/>
        </w:rPr>
        <w:t xml:space="preserve">private patients would provide additional hospital beds </w:t>
      </w:r>
      <w:r>
        <w:t>for</w:t>
      </w:r>
      <w:r>
        <w:rPr>
          <w:spacing w:val="-14"/>
        </w:rPr>
        <w:t xml:space="preserve"> </w:t>
      </w:r>
      <w:r>
        <w:t>public</w:t>
      </w:r>
      <w:r>
        <w:rPr>
          <w:spacing w:val="-14"/>
        </w:rPr>
        <w:t xml:space="preserve"> </w:t>
      </w:r>
      <w:r>
        <w:t>care,</w:t>
      </w:r>
      <w:r>
        <w:rPr>
          <w:spacing w:val="-14"/>
        </w:rPr>
        <w:t xml:space="preserve"> </w:t>
      </w:r>
      <w:r>
        <w:t>reducing</w:t>
      </w:r>
      <w:r>
        <w:rPr>
          <w:spacing w:val="-14"/>
        </w:rPr>
        <w:t xml:space="preserve"> </w:t>
      </w:r>
      <w:r>
        <w:t>waiting</w:t>
      </w:r>
      <w:r>
        <w:rPr>
          <w:spacing w:val="-14"/>
        </w:rPr>
        <w:t xml:space="preserve"> </w:t>
      </w:r>
      <w:r>
        <w:t>times</w:t>
      </w:r>
      <w:r>
        <w:rPr>
          <w:spacing w:val="-14"/>
        </w:rPr>
        <w:t xml:space="preserve"> </w:t>
      </w:r>
      <w:r>
        <w:t>and</w:t>
      </w:r>
      <w:r>
        <w:rPr>
          <w:spacing w:val="-14"/>
        </w:rPr>
        <w:t xml:space="preserve"> </w:t>
      </w:r>
      <w:r>
        <w:t>reduce</w:t>
      </w:r>
      <w:r>
        <w:rPr>
          <w:spacing w:val="-14"/>
        </w:rPr>
        <w:t xml:space="preserve"> </w:t>
      </w:r>
      <w:r>
        <w:t>the need for new capital expenditure.</w:t>
      </w:r>
    </w:p>
    <w:p w:rsidR="002C1123" w:rsidRDefault="00F22F94">
      <w:pPr>
        <w:spacing w:before="175" w:line="247" w:lineRule="auto"/>
        <w:ind w:left="1206" w:right="796" w:hanging="1013"/>
        <w:rPr>
          <w:b/>
          <w:sz w:val="18"/>
        </w:rPr>
      </w:pPr>
      <w:r>
        <w:rPr>
          <w:b/>
          <w:spacing w:val="-2"/>
          <w:sz w:val="18"/>
        </w:rPr>
        <w:t>Figure</w:t>
      </w:r>
      <w:r>
        <w:rPr>
          <w:b/>
          <w:spacing w:val="-11"/>
          <w:sz w:val="18"/>
        </w:rPr>
        <w:t xml:space="preserve"> </w:t>
      </w:r>
      <w:r>
        <w:rPr>
          <w:b/>
          <w:spacing w:val="-2"/>
          <w:sz w:val="18"/>
        </w:rPr>
        <w:t>13.2</w:t>
      </w:r>
      <w:r>
        <w:rPr>
          <w:b/>
          <w:spacing w:val="10"/>
          <w:sz w:val="18"/>
        </w:rPr>
        <w:t xml:space="preserve"> </w:t>
      </w:r>
      <w:r>
        <w:rPr>
          <w:b/>
          <w:spacing w:val="-2"/>
          <w:sz w:val="18"/>
        </w:rPr>
        <w:t>Share</w:t>
      </w:r>
      <w:r>
        <w:rPr>
          <w:b/>
          <w:spacing w:val="-10"/>
          <w:sz w:val="18"/>
        </w:rPr>
        <w:t xml:space="preserve"> </w:t>
      </w:r>
      <w:r>
        <w:rPr>
          <w:b/>
          <w:spacing w:val="-2"/>
          <w:sz w:val="18"/>
        </w:rPr>
        <w:t>of</w:t>
      </w:r>
      <w:r>
        <w:rPr>
          <w:b/>
          <w:spacing w:val="-11"/>
          <w:sz w:val="18"/>
        </w:rPr>
        <w:t xml:space="preserve"> </w:t>
      </w:r>
      <w:r>
        <w:rPr>
          <w:b/>
          <w:spacing w:val="-2"/>
          <w:sz w:val="18"/>
        </w:rPr>
        <w:t>public</w:t>
      </w:r>
      <w:r>
        <w:rPr>
          <w:b/>
          <w:spacing w:val="-10"/>
          <w:sz w:val="18"/>
        </w:rPr>
        <w:t xml:space="preserve"> </w:t>
      </w:r>
      <w:r>
        <w:rPr>
          <w:b/>
          <w:spacing w:val="-2"/>
          <w:sz w:val="18"/>
        </w:rPr>
        <w:t>hospital</w:t>
      </w:r>
      <w:r>
        <w:rPr>
          <w:b/>
          <w:spacing w:val="-11"/>
          <w:sz w:val="18"/>
        </w:rPr>
        <w:t xml:space="preserve"> </w:t>
      </w:r>
      <w:r>
        <w:rPr>
          <w:b/>
          <w:spacing w:val="-2"/>
          <w:sz w:val="18"/>
        </w:rPr>
        <w:t>separations</w:t>
      </w:r>
      <w:r>
        <w:rPr>
          <w:b/>
          <w:spacing w:val="-10"/>
          <w:sz w:val="18"/>
        </w:rPr>
        <w:t xml:space="preserve"> </w:t>
      </w:r>
      <w:r>
        <w:rPr>
          <w:b/>
          <w:spacing w:val="-2"/>
          <w:sz w:val="18"/>
        </w:rPr>
        <w:t xml:space="preserve">funded </w:t>
      </w:r>
      <w:r>
        <w:rPr>
          <w:b/>
          <w:sz w:val="18"/>
        </w:rPr>
        <w:t>from private health insurance, 2010-11</w:t>
      </w:r>
    </w:p>
    <w:p w:rsidR="002C1123" w:rsidRDefault="002C1123">
      <w:pPr>
        <w:pStyle w:val="BodyText"/>
        <w:spacing w:before="4"/>
        <w:rPr>
          <w:b/>
          <w:sz w:val="22"/>
        </w:rPr>
      </w:pPr>
    </w:p>
    <w:p w:rsidR="002C1123" w:rsidRDefault="002060EF">
      <w:pPr>
        <w:ind w:left="441"/>
        <w:rPr>
          <w:sz w:val="16"/>
        </w:rPr>
      </w:pPr>
      <w:r>
        <w:pict>
          <v:line id="_x0000_s1774" style="position:absolute;left:0;text-align:left;z-index:251641856;mso-position-horizontal-relative:page" from="579.65pt,3.75pt" to="790.4pt,3.75pt" strokecolor="#b2b1b3" strokeweight=".13969mm">
            <w10:wrap anchorx="page"/>
          </v:line>
        </w:pict>
      </w:r>
      <w:r w:rsidR="00F22F94">
        <w:rPr>
          <w:spacing w:val="-5"/>
          <w:w w:val="95"/>
          <w:sz w:val="16"/>
        </w:rPr>
        <w:t>18</w:t>
      </w:r>
    </w:p>
    <w:p w:rsidR="002C1123" w:rsidRDefault="002C1123">
      <w:pPr>
        <w:rPr>
          <w:sz w:val="16"/>
        </w:rPr>
        <w:sectPr w:rsidR="002C1123">
          <w:type w:val="continuous"/>
          <w:pgSz w:w="16840" w:h="11910" w:orient="landscape"/>
          <w:pgMar w:top="560" w:right="280" w:bottom="280" w:left="500" w:header="0" w:footer="517" w:gutter="0"/>
          <w:cols w:num="3" w:space="720" w:equalWidth="0">
            <w:col w:w="5202" w:space="40"/>
            <w:col w:w="5078" w:space="39"/>
            <w:col w:w="5701"/>
          </w:cols>
        </w:sectPr>
      </w:pPr>
    </w:p>
    <w:p w:rsidR="002C1123" w:rsidRDefault="00F22F94">
      <w:pPr>
        <w:spacing w:before="45"/>
        <w:ind w:right="38"/>
        <w:jc w:val="right"/>
        <w:rPr>
          <w:sz w:val="15"/>
        </w:rPr>
      </w:pPr>
      <w:r>
        <w:rPr>
          <w:spacing w:val="-5"/>
          <w:sz w:val="15"/>
        </w:rPr>
        <w:t>3.5</w:t>
      </w:r>
    </w:p>
    <w:p w:rsidR="002C1123" w:rsidRDefault="002C1123">
      <w:pPr>
        <w:pStyle w:val="BodyText"/>
        <w:spacing w:before="5"/>
        <w:rPr>
          <w:sz w:val="18"/>
        </w:rPr>
      </w:pPr>
    </w:p>
    <w:p w:rsidR="002C1123" w:rsidRDefault="00F22F94">
      <w:pPr>
        <w:ind w:right="38"/>
        <w:jc w:val="right"/>
        <w:rPr>
          <w:sz w:val="15"/>
        </w:rPr>
      </w:pPr>
      <w:r>
        <w:rPr>
          <w:spacing w:val="-5"/>
          <w:sz w:val="15"/>
        </w:rPr>
        <w:t>3.0</w:t>
      </w:r>
    </w:p>
    <w:p w:rsidR="002C1123" w:rsidRDefault="002C1123">
      <w:pPr>
        <w:pStyle w:val="BodyText"/>
        <w:spacing w:before="4"/>
        <w:rPr>
          <w:sz w:val="18"/>
        </w:rPr>
      </w:pPr>
    </w:p>
    <w:p w:rsidR="002C1123" w:rsidRDefault="00F22F94">
      <w:pPr>
        <w:ind w:right="38"/>
        <w:jc w:val="right"/>
        <w:rPr>
          <w:sz w:val="15"/>
        </w:rPr>
      </w:pPr>
      <w:r>
        <w:rPr>
          <w:spacing w:val="-5"/>
          <w:sz w:val="15"/>
        </w:rPr>
        <w:t>2.5</w:t>
      </w:r>
    </w:p>
    <w:p w:rsidR="002C1123" w:rsidRDefault="002C1123">
      <w:pPr>
        <w:pStyle w:val="BodyText"/>
        <w:spacing w:before="5"/>
        <w:rPr>
          <w:sz w:val="18"/>
        </w:rPr>
      </w:pPr>
    </w:p>
    <w:p w:rsidR="002C1123" w:rsidRDefault="00F22F94">
      <w:pPr>
        <w:ind w:right="38"/>
        <w:jc w:val="right"/>
        <w:rPr>
          <w:sz w:val="15"/>
        </w:rPr>
      </w:pPr>
      <w:r>
        <w:rPr>
          <w:spacing w:val="-5"/>
          <w:sz w:val="15"/>
        </w:rPr>
        <w:t>2.0</w:t>
      </w:r>
    </w:p>
    <w:p w:rsidR="002C1123" w:rsidRDefault="002C1123">
      <w:pPr>
        <w:pStyle w:val="BodyText"/>
        <w:spacing w:before="4"/>
        <w:rPr>
          <w:sz w:val="18"/>
        </w:rPr>
      </w:pPr>
    </w:p>
    <w:p w:rsidR="002C1123" w:rsidRDefault="00F22F94">
      <w:pPr>
        <w:ind w:right="38"/>
        <w:jc w:val="right"/>
        <w:rPr>
          <w:sz w:val="15"/>
        </w:rPr>
      </w:pPr>
      <w:r>
        <w:rPr>
          <w:spacing w:val="-5"/>
          <w:sz w:val="15"/>
        </w:rPr>
        <w:t>1.5</w:t>
      </w:r>
    </w:p>
    <w:p w:rsidR="002C1123" w:rsidRDefault="002C1123">
      <w:pPr>
        <w:pStyle w:val="BodyText"/>
        <w:spacing w:before="5"/>
        <w:rPr>
          <w:sz w:val="18"/>
        </w:rPr>
      </w:pPr>
    </w:p>
    <w:p w:rsidR="002C1123" w:rsidRDefault="00F22F94">
      <w:pPr>
        <w:ind w:right="38"/>
        <w:jc w:val="right"/>
        <w:rPr>
          <w:sz w:val="15"/>
        </w:rPr>
      </w:pPr>
      <w:r>
        <w:rPr>
          <w:spacing w:val="-5"/>
          <w:sz w:val="15"/>
        </w:rPr>
        <w:t>1.0</w:t>
      </w:r>
    </w:p>
    <w:p w:rsidR="002C1123" w:rsidRDefault="002C1123">
      <w:pPr>
        <w:pStyle w:val="BodyText"/>
        <w:spacing w:before="4"/>
        <w:rPr>
          <w:sz w:val="18"/>
        </w:rPr>
      </w:pPr>
    </w:p>
    <w:p w:rsidR="002C1123" w:rsidRDefault="00F22F94">
      <w:pPr>
        <w:ind w:right="38"/>
        <w:jc w:val="right"/>
        <w:rPr>
          <w:sz w:val="15"/>
        </w:rPr>
      </w:pPr>
      <w:r>
        <w:rPr>
          <w:spacing w:val="-5"/>
          <w:sz w:val="15"/>
        </w:rPr>
        <w:t>0.5</w:t>
      </w:r>
    </w:p>
    <w:p w:rsidR="002C1123" w:rsidRDefault="002C1123">
      <w:pPr>
        <w:pStyle w:val="BodyText"/>
        <w:spacing w:before="5"/>
        <w:rPr>
          <w:sz w:val="18"/>
        </w:rPr>
      </w:pPr>
    </w:p>
    <w:p w:rsidR="002C1123" w:rsidRDefault="00F22F94">
      <w:pPr>
        <w:ind w:right="38"/>
        <w:jc w:val="right"/>
        <w:rPr>
          <w:sz w:val="15"/>
        </w:rPr>
      </w:pPr>
      <w:r>
        <w:rPr>
          <w:spacing w:val="-5"/>
          <w:sz w:val="15"/>
        </w:rPr>
        <w:t>0.0</w:t>
      </w:r>
    </w:p>
    <w:p w:rsidR="002C1123" w:rsidRDefault="00F22F94">
      <w:pPr>
        <w:spacing w:before="45"/>
        <w:jc w:val="right"/>
        <w:rPr>
          <w:sz w:val="15"/>
        </w:rPr>
      </w:pPr>
      <w:r>
        <w:br w:type="column"/>
      </w:r>
      <w:r>
        <w:rPr>
          <w:spacing w:val="-4"/>
          <w:sz w:val="15"/>
        </w:rPr>
        <w:t>100%</w:t>
      </w:r>
    </w:p>
    <w:p w:rsidR="002C1123" w:rsidRDefault="002C1123">
      <w:pPr>
        <w:pStyle w:val="BodyText"/>
        <w:spacing w:before="5"/>
        <w:rPr>
          <w:sz w:val="18"/>
        </w:rPr>
      </w:pPr>
    </w:p>
    <w:p w:rsidR="002C1123" w:rsidRDefault="002060EF">
      <w:pPr>
        <w:jc w:val="right"/>
        <w:rPr>
          <w:sz w:val="15"/>
        </w:rPr>
      </w:pPr>
      <w:r>
        <w:pict>
          <v:group id="docshapegroup2282" o:spid="_x0000_s1728" style="position:absolute;left:0;text-align:left;margin-left:67.75pt;margin-top:-14.1pt;width:198.15pt;height:135pt;z-index:251639808;mso-position-horizontal-relative:page" coordorigin="1355,-282" coordsize="3963,2700">
            <v:shape id="docshape2283" o:spid="_x0000_s1773" style="position:absolute;left:1354;top:1257;width:559;height:768" coordorigin="1355,1258" coordsize="559,768" o:spt="100" adj="0,,0" path="m1355,2026r66,m1544,2026r369,m1355,1642r66,m1544,1642r369,m1355,1258r66,m1544,1258r369,e" filled="f" strokecolor="#b2b1b3" strokeweight=".139mm">
              <v:stroke joinstyle="round"/>
              <v:formulas/>
              <v:path arrowok="t" o:connecttype="segments"/>
            </v:shape>
            <v:shape id="docshape2284" o:spid="_x0000_s1772" style="position:absolute;left:1420;top:1027;width:370;height:1383" coordorigin="1421,1027" coordsize="370,1383" o:spt="100" adj="0,,0" path="m1544,1027r-123,l1421,2410r123,l1544,1027xm1790,2256r-123,l1667,2410r123,l1790,2256xe" fillcolor="#2e3092" stroked="f">
              <v:stroke joinstyle="round"/>
              <v:formulas/>
              <v:path arrowok="t" o:connecttype="segments"/>
            </v:shape>
            <v:line id="_x0000_s1771" style="position:absolute" from="2036,2026" to="2159,2026" strokecolor="#b2b1b3" strokeweight=".139mm"/>
            <v:shape id="docshape2285" o:spid="_x0000_s1770" style="position:absolute;left:2036;top:1639;width:616;height:4" coordorigin="2036,1640" coordsize="616,4" o:spt="100" adj="0,,0" path="m2036,1644r616,m2036,1640r616,e" filled="f" strokecolor="#b2b1b3" strokeweight=".0695mm">
              <v:stroke joinstyle="round"/>
              <v:formulas/>
              <v:path arrowok="t" o:connecttype="segments"/>
            </v:shape>
            <v:shape id="docshape2286" o:spid="_x0000_s1769" style="position:absolute;left:1354;top:106;width:3963;height:1152" coordorigin="1355,106" coordsize="3963,1152" o:spt="100" adj="0,,0" path="m2036,1258r1354,m1355,874r558,m2036,874r3282,m1355,490r558,m2036,490r3282,m1355,106r558,m2036,106r3282,e" filled="f" strokecolor="#b2b1b3" strokeweight=".139mm">
              <v:stroke joinstyle="round"/>
              <v:formulas/>
              <v:path arrowok="t" o:connecttype="segments"/>
            </v:shape>
            <v:rect id="docshape2287" o:spid="_x0000_s1768" style="position:absolute;left:1912;top:-49;width:124;height:2458" fillcolor="#2e3092" stroked="f"/>
            <v:line id="_x0000_s1767" style="position:absolute" from="2282,2026" to="2405,2026" strokecolor="#b2b1b3" strokeweight=".139mm"/>
            <v:rect id="docshape2288" o:spid="_x0000_s1766" style="position:absolute;left:2159;top:1641;width:124;height:768" fillcolor="#2e3092" stroked="f"/>
            <v:line id="_x0000_s1765" style="position:absolute" from="2529,2026" to="2652,2026" strokecolor="#b2b1b3" strokeweight=".139mm"/>
            <v:rect id="docshape2289" o:spid="_x0000_s1764" style="position:absolute;left:2405;top:1869;width:124;height:540" fillcolor="#2e3092" stroked="f"/>
            <v:line id="_x0000_s1763" style="position:absolute" from="2775,2026" to="2898,2026" strokecolor="#b2b1b3" strokeweight=".139mm"/>
            <v:shape id="docshape2290" o:spid="_x0000_s1762" style="position:absolute;left:2774;top:1639;width:616;height:4" coordorigin="2775,1640" coordsize="616,4" o:spt="100" adj="0,,0" path="m2775,1644r615,m2775,1640r615,e" filled="f" strokecolor="#b2b1b3" strokeweight=".0695mm">
              <v:stroke joinstyle="round"/>
              <v:formulas/>
              <v:path arrowok="t" o:connecttype="segments"/>
            </v:shape>
            <v:rect id="docshape2291" o:spid="_x0000_s1761" style="position:absolute;left:2651;top:1411;width:124;height:999" fillcolor="#2e3092" stroked="f"/>
            <v:line id="_x0000_s1760" style="position:absolute" from="3021,2026" to="3144,2026" strokecolor="#b2b1b3" strokeweight=".139mm"/>
            <v:rect id="docshape2292" o:spid="_x0000_s1759" style="position:absolute;left:2897;top:1794;width:124;height:616" fillcolor="#2e3092" stroked="f"/>
            <v:line id="_x0000_s1758" style="position:absolute" from="3267,2026" to="3390,2026" strokecolor="#b2b1b3" strokeweight=".139mm"/>
            <v:rect id="docshape2293" o:spid="_x0000_s1757" style="position:absolute;left:3144;top:1794;width:124;height:616" fillcolor="#2e3092" stroked="f"/>
            <v:line id="_x0000_s1756" style="position:absolute" from="3513,2026" to="3637,2026" strokecolor="#b2b1b3" strokeweight=".139mm"/>
            <v:shape id="docshape2294" o:spid="_x0000_s1755" style="position:absolute;left:3513;top:1639;width:124;height:4" coordorigin="3513,1640" coordsize="124,4" o:spt="100" adj="0,,0" path="m3513,1644r124,m3513,1640r124,e" filled="f" strokecolor="#b2b1b3" strokeweight=".0695mm">
              <v:stroke joinstyle="round"/>
              <v:formulas/>
              <v:path arrowok="t" o:connecttype="segments"/>
            </v:shape>
            <v:line id="_x0000_s1754" style="position:absolute" from="3513,1258" to="3637,1258" strokecolor="#b2b1b3" strokeweight=".139mm"/>
            <v:rect id="docshape2295" o:spid="_x0000_s1753" style="position:absolute;left:3390;top:1107;width:124;height:1303" fillcolor="#2e3092" stroked="f"/>
            <v:line id="_x0000_s1752" style="position:absolute" from="3760,2026" to="3883,2026" strokecolor="#b2b1b3" strokeweight=".139mm"/>
            <v:shape id="docshape2296" o:spid="_x0000_s1751" style="position:absolute;left:3759;top:1639;width:124;height:4" coordorigin="3760,1640" coordsize="124,4" o:spt="100" adj="0,,0" path="m3760,1644r123,m3760,1640r123,e" filled="f" strokecolor="#b2b1b3" strokeweight=".0695mm">
              <v:stroke joinstyle="round"/>
              <v:formulas/>
              <v:path arrowok="t" o:connecttype="segments"/>
            </v:shape>
            <v:line id="_x0000_s1750" style="position:absolute" from="3760,1258" to="3883,1258" strokecolor="#b2b1b3" strokeweight=".139mm"/>
            <v:rect id="docshape2297" o:spid="_x0000_s1749" style="position:absolute;left:3636;top:1027;width:124;height:1383" fillcolor="#2e3092" stroked="f"/>
            <v:line id="_x0000_s1748" style="position:absolute" from="4006,2026" to="4129,2026" strokecolor="#b2b1b3" strokeweight=".139mm"/>
            <v:shape id="docshape2298" o:spid="_x0000_s1747" style="position:absolute;left:4005;top:1639;width:370;height:4" coordorigin="4006,1640" coordsize="370,4" o:spt="100" adj="0,,0" path="m4006,1644r123,m4252,1644r123,m4006,1640r369,e" filled="f" strokecolor="#b2b1b3" strokeweight=".0695mm">
              <v:stroke joinstyle="round"/>
              <v:formulas/>
              <v:path arrowok="t" o:connecttype="segments"/>
            </v:shape>
            <v:line id="_x0000_s1746" style="position:absolute" from="4006,1258" to="4375,1258" strokecolor="#b2b1b3" strokeweight=".139mm"/>
            <v:rect id="docshape2299" o:spid="_x0000_s1745" style="position:absolute;left:3882;top:952;width:124;height:1457" fillcolor="#2e3092" stroked="f"/>
            <v:line id="_x0000_s1744" style="position:absolute" from="4252,2026" to="4375,2026" strokecolor="#b2b1b3" strokeweight=".139mm"/>
            <v:rect id="docshape2300" o:spid="_x0000_s1743" style="position:absolute;left:4129;top:1641;width:124;height:768" fillcolor="#2e3092" stroked="f"/>
            <v:line id="_x0000_s1742" style="position:absolute" from="4498,2026" to="4622,2026" strokecolor="#b2b1b3" strokeweight=".139mm"/>
            <v:shape id="docshape2301" o:spid="_x0000_s1741" style="position:absolute;left:4498;top:1639;width:124;height:4" coordorigin="4498,1640" coordsize="124,4" o:spt="100" adj="0,,0" path="m4498,1644r124,m4498,1640r124,e" filled="f" strokecolor="#b2b1b3" strokeweight=".0695mm">
              <v:stroke joinstyle="round"/>
              <v:formulas/>
              <v:path arrowok="t" o:connecttype="segments"/>
            </v:shape>
            <v:shape id="docshape2302" o:spid="_x0000_s1740" style="position:absolute;left:4498;top:1257;width:370;height:4" coordorigin="4498,1257" coordsize="370,4" o:spt="100" adj="0,,0" path="m4498,1261r370,m4498,1257r370,e" filled="f" strokecolor="#b2b1b3" strokeweight=".02744mm">
              <v:stroke joinstyle="round"/>
              <v:formulas/>
              <v:path arrowok="t" o:connecttype="segments"/>
            </v:shape>
            <v:rect id="docshape2303" o:spid="_x0000_s1739" style="position:absolute;left:4375;top:1107;width:124;height:1303" fillcolor="#2e3092" stroked="f"/>
            <v:line id="_x0000_s1738" style="position:absolute" from="4745,2026" to="4868,2026" strokecolor="#b2b1b3" strokeweight=".139mm"/>
            <v:shape id="docshape2304" o:spid="_x0000_s1737" style="position:absolute;left:4744;top:1639;width:124;height:4" coordorigin="4745,1640" coordsize="124,4" o:spt="100" adj="0,,0" path="m4745,1644r123,m4745,1640r123,e" filled="f" strokecolor="#b2b1b3" strokeweight=".0695mm">
              <v:stroke joinstyle="round"/>
              <v:formulas/>
              <v:path arrowok="t" o:connecttype="segments"/>
            </v:shape>
            <v:rect id="docshape2305" o:spid="_x0000_s1736" style="position:absolute;left:4621;top:1260;width:124;height:1150" fillcolor="#2e3092" stroked="f"/>
            <v:line id="_x0000_s1735" style="position:absolute" from="4991,2026" to="5318,2026" strokecolor="#b2b1b3" strokeweight=".139mm"/>
            <v:shape id="docshape2306" o:spid="_x0000_s1734" style="position:absolute;left:4990;top:1639;width:327;height:4" coordorigin="4991,1640" coordsize="327,4" o:spt="100" adj="0,,0" path="m4991,1644r327,m4991,1640r327,e" filled="f" strokecolor="#b2b1b3" strokeweight=".0695mm">
              <v:stroke joinstyle="round"/>
              <v:formulas/>
              <v:path arrowok="t" o:connecttype="segments"/>
            </v:shape>
            <v:shape id="docshape2307" o:spid="_x0000_s1733" style="position:absolute;left:4990;top:1257;width:327;height:4" coordorigin="4991,1257" coordsize="327,4" o:spt="100" adj="0,,0" path="m4991,1261r327,m4991,1257r327,e" filled="f" strokecolor="#b2b1b3" strokeweight=".02744mm">
              <v:stroke joinstyle="round"/>
              <v:formulas/>
              <v:path arrowok="t" o:connecttype="segments"/>
            </v:shape>
            <v:shape id="docshape2308" o:spid="_x0000_s1732" style="position:absolute;left:4867;top:1107;width:370;height:1303" coordorigin="4868,1107" coordsize="370,1303" o:spt="100" adj="0,,0" path="m4991,1107r-123,l4868,2410r123,l4991,1107xm5237,2102r-123,l5114,2410r123,l5237,2102xe" fillcolor="#2e3092" stroked="f">
              <v:stroke joinstyle="round"/>
              <v:formulas/>
              <v:path arrowok="t" o:connecttype="segments"/>
            </v:shape>
            <v:line id="_x0000_s1731" style="position:absolute" from="5318,2410" to="1355,2410" strokecolor="#9c9c9d" strokeweight=".27833mm"/>
            <v:line id="_x0000_s1730" style="position:absolute" from="5318,-278" to="1355,-278" strokecolor="#b2b1b3" strokeweight=".139mm"/>
            <v:shape id="docshape2309" o:spid="_x0000_s1729" style="position:absolute;left:1482;top:-202;width:3694;height:1229" coordorigin="1482,-201" coordsize="3694,1229" path="m5176,-48l4929,68,4683,643,4437,106,4191,643,3944,-201r-221,77l3460,413,3197,-48,2935,759,2713,912,2467,-48,2221,-163,1975,643r-247,384l1482,29e" filled="f" strokecolor="#00aeef" strokeweight="1.0093mm">
              <v:path arrowok="t"/>
            </v:shape>
            <w10:wrap anchorx="page"/>
          </v:group>
        </w:pict>
      </w:r>
      <w:r w:rsidR="00F22F94">
        <w:rPr>
          <w:spacing w:val="-5"/>
          <w:sz w:val="15"/>
        </w:rPr>
        <w:t>90%</w:t>
      </w:r>
    </w:p>
    <w:p w:rsidR="002C1123" w:rsidRDefault="002C1123">
      <w:pPr>
        <w:pStyle w:val="BodyText"/>
        <w:spacing w:before="4"/>
        <w:rPr>
          <w:sz w:val="18"/>
        </w:rPr>
      </w:pPr>
    </w:p>
    <w:p w:rsidR="002C1123" w:rsidRDefault="00F22F94">
      <w:pPr>
        <w:jc w:val="right"/>
        <w:rPr>
          <w:sz w:val="15"/>
        </w:rPr>
      </w:pPr>
      <w:r>
        <w:rPr>
          <w:spacing w:val="-5"/>
          <w:sz w:val="15"/>
        </w:rPr>
        <w:t>80%</w:t>
      </w:r>
    </w:p>
    <w:p w:rsidR="002C1123" w:rsidRDefault="002C1123">
      <w:pPr>
        <w:pStyle w:val="BodyText"/>
        <w:spacing w:before="5"/>
        <w:rPr>
          <w:sz w:val="18"/>
        </w:rPr>
      </w:pPr>
    </w:p>
    <w:p w:rsidR="002C1123" w:rsidRDefault="00F22F94">
      <w:pPr>
        <w:jc w:val="right"/>
        <w:rPr>
          <w:sz w:val="15"/>
        </w:rPr>
      </w:pPr>
      <w:r>
        <w:rPr>
          <w:spacing w:val="-5"/>
          <w:sz w:val="15"/>
        </w:rPr>
        <w:t>70%</w:t>
      </w:r>
    </w:p>
    <w:p w:rsidR="002C1123" w:rsidRDefault="002C1123">
      <w:pPr>
        <w:pStyle w:val="BodyText"/>
        <w:spacing w:before="4"/>
        <w:rPr>
          <w:sz w:val="18"/>
        </w:rPr>
      </w:pPr>
    </w:p>
    <w:p w:rsidR="002C1123" w:rsidRDefault="00F22F94">
      <w:pPr>
        <w:jc w:val="right"/>
        <w:rPr>
          <w:sz w:val="15"/>
        </w:rPr>
      </w:pPr>
      <w:r>
        <w:rPr>
          <w:spacing w:val="-5"/>
          <w:sz w:val="15"/>
        </w:rPr>
        <w:t>60%</w:t>
      </w:r>
    </w:p>
    <w:p w:rsidR="002C1123" w:rsidRDefault="002C1123">
      <w:pPr>
        <w:pStyle w:val="BodyText"/>
        <w:spacing w:before="5"/>
        <w:rPr>
          <w:sz w:val="18"/>
        </w:rPr>
      </w:pPr>
    </w:p>
    <w:p w:rsidR="002C1123" w:rsidRDefault="00F22F94">
      <w:pPr>
        <w:jc w:val="right"/>
        <w:rPr>
          <w:sz w:val="15"/>
        </w:rPr>
      </w:pPr>
      <w:r>
        <w:rPr>
          <w:spacing w:val="-5"/>
          <w:sz w:val="15"/>
        </w:rPr>
        <w:t>50%</w:t>
      </w:r>
    </w:p>
    <w:p w:rsidR="002C1123" w:rsidRDefault="002C1123">
      <w:pPr>
        <w:pStyle w:val="BodyText"/>
        <w:spacing w:before="4"/>
        <w:rPr>
          <w:sz w:val="18"/>
        </w:rPr>
      </w:pPr>
    </w:p>
    <w:p w:rsidR="002C1123" w:rsidRDefault="00F22F94">
      <w:pPr>
        <w:jc w:val="right"/>
        <w:rPr>
          <w:sz w:val="15"/>
        </w:rPr>
      </w:pPr>
      <w:r>
        <w:rPr>
          <w:spacing w:val="-5"/>
          <w:sz w:val="15"/>
        </w:rPr>
        <w:t>40%</w:t>
      </w:r>
    </w:p>
    <w:p w:rsidR="002C1123" w:rsidRDefault="002C1123">
      <w:pPr>
        <w:pStyle w:val="BodyText"/>
        <w:spacing w:before="5"/>
        <w:rPr>
          <w:sz w:val="18"/>
        </w:rPr>
      </w:pPr>
    </w:p>
    <w:p w:rsidR="002C1123" w:rsidRDefault="002060EF">
      <w:pPr>
        <w:jc w:val="right"/>
        <w:rPr>
          <w:sz w:val="15"/>
        </w:rPr>
      </w:pPr>
      <w:r>
        <w:pict>
          <v:shape id="docshape2310" o:spid="_x0000_s1727" type="#_x0000_t202" style="position:absolute;left:0;text-align:left;margin-left:68.4pt;margin-top:11.3pt;width:196.1pt;height:79.05pt;z-index:251643904;mso-position-horizontal-relative:page" filled="f" stroked="f">
            <v:textbox style="layout-flow:vertical;mso-layout-flow-alt:bottom-to-top" inset="0,0,0,0">
              <w:txbxContent>
                <w:p w:rsidR="00F22F94" w:rsidRDefault="00F22F94">
                  <w:pPr>
                    <w:spacing w:before="25"/>
                    <w:ind w:right="18"/>
                    <w:jc w:val="right"/>
                    <w:rPr>
                      <w:sz w:val="15"/>
                    </w:rPr>
                  </w:pPr>
                  <w:r>
                    <w:rPr>
                      <w:w w:val="80"/>
                      <w:sz w:val="15"/>
                    </w:rPr>
                    <w:t>Central</w:t>
                  </w:r>
                  <w:r>
                    <w:rPr>
                      <w:spacing w:val="5"/>
                      <w:sz w:val="15"/>
                    </w:rPr>
                    <w:t xml:space="preserve"> </w:t>
                  </w:r>
                  <w:r>
                    <w:rPr>
                      <w:spacing w:val="-2"/>
                      <w:w w:val="90"/>
                      <w:sz w:val="15"/>
                    </w:rPr>
                    <w:t>Coast</w:t>
                  </w:r>
                </w:p>
                <w:p w:rsidR="00F22F94" w:rsidRDefault="00F22F94">
                  <w:pPr>
                    <w:spacing w:before="75" w:line="343" w:lineRule="auto"/>
                    <w:ind w:left="411" w:right="18" w:firstLine="653"/>
                    <w:jc w:val="right"/>
                    <w:rPr>
                      <w:sz w:val="15"/>
                    </w:rPr>
                  </w:pPr>
                  <w:r>
                    <w:rPr>
                      <w:spacing w:val="-4"/>
                      <w:w w:val="85"/>
                      <w:sz w:val="15"/>
                    </w:rPr>
                    <w:t>Far</w:t>
                  </w:r>
                  <w:r>
                    <w:rPr>
                      <w:spacing w:val="-7"/>
                      <w:sz w:val="15"/>
                    </w:rPr>
                    <w:t xml:space="preserve"> </w:t>
                  </w:r>
                  <w:r>
                    <w:rPr>
                      <w:spacing w:val="-4"/>
                      <w:w w:val="85"/>
                      <w:sz w:val="15"/>
                    </w:rPr>
                    <w:t>West</w:t>
                  </w:r>
                  <w:r>
                    <w:rPr>
                      <w:sz w:val="15"/>
                    </w:rPr>
                    <w:t xml:space="preserve"> </w:t>
                  </w:r>
                  <w:r>
                    <w:rPr>
                      <w:w w:val="80"/>
                      <w:sz w:val="15"/>
                    </w:rPr>
                    <w:t>Hunter New England</w:t>
                  </w:r>
                  <w:r>
                    <w:rPr>
                      <w:sz w:val="15"/>
                    </w:rPr>
                    <w:t xml:space="preserve"> </w:t>
                  </w:r>
                  <w:r>
                    <w:rPr>
                      <w:w w:val="80"/>
                      <w:sz w:val="15"/>
                    </w:rPr>
                    <w:t>IIIawarra</w:t>
                  </w:r>
                  <w:r>
                    <w:rPr>
                      <w:spacing w:val="-3"/>
                      <w:w w:val="80"/>
                      <w:sz w:val="15"/>
                    </w:rPr>
                    <w:t xml:space="preserve"> </w:t>
                  </w:r>
                  <w:r>
                    <w:rPr>
                      <w:w w:val="80"/>
                      <w:sz w:val="15"/>
                    </w:rPr>
                    <w:t>Shoalhaven</w:t>
                  </w:r>
                  <w:r>
                    <w:rPr>
                      <w:sz w:val="15"/>
                    </w:rPr>
                    <w:t xml:space="preserve"> </w:t>
                  </w:r>
                  <w:r>
                    <w:rPr>
                      <w:w w:val="90"/>
                      <w:sz w:val="15"/>
                    </w:rPr>
                    <w:t>Mid North Coast</w:t>
                  </w:r>
                  <w:r>
                    <w:rPr>
                      <w:sz w:val="15"/>
                    </w:rPr>
                    <w:t xml:space="preserve"> </w:t>
                  </w:r>
                  <w:r>
                    <w:rPr>
                      <w:spacing w:val="-2"/>
                      <w:w w:val="90"/>
                      <w:sz w:val="15"/>
                    </w:rPr>
                    <w:t>Murrumbidgee</w:t>
                  </w:r>
                </w:p>
                <w:p w:rsidR="00F22F94" w:rsidRDefault="00F22F94">
                  <w:pPr>
                    <w:spacing w:before="1"/>
                    <w:ind w:right="18"/>
                    <w:jc w:val="right"/>
                    <w:rPr>
                      <w:sz w:val="15"/>
                    </w:rPr>
                  </w:pPr>
                  <w:r>
                    <w:rPr>
                      <w:w w:val="80"/>
                      <w:sz w:val="15"/>
                    </w:rPr>
                    <w:t>Nepean</w:t>
                  </w:r>
                  <w:r>
                    <w:rPr>
                      <w:sz w:val="15"/>
                    </w:rPr>
                    <w:t xml:space="preserve"> </w:t>
                  </w:r>
                  <w:r>
                    <w:rPr>
                      <w:w w:val="80"/>
                      <w:sz w:val="15"/>
                    </w:rPr>
                    <w:t>Blue</w:t>
                  </w:r>
                  <w:r>
                    <w:rPr>
                      <w:sz w:val="15"/>
                    </w:rPr>
                    <w:t xml:space="preserve"> </w:t>
                  </w:r>
                  <w:r>
                    <w:rPr>
                      <w:spacing w:val="-2"/>
                      <w:w w:val="80"/>
                      <w:sz w:val="15"/>
                    </w:rPr>
                    <w:t>Mountains</w:t>
                  </w:r>
                </w:p>
                <w:p w:rsidR="00F22F94" w:rsidRDefault="00F22F94">
                  <w:pPr>
                    <w:spacing w:before="74" w:line="343" w:lineRule="auto"/>
                    <w:ind w:left="302" w:right="18" w:firstLine="460"/>
                    <w:jc w:val="right"/>
                    <w:rPr>
                      <w:sz w:val="15"/>
                    </w:rPr>
                  </w:pPr>
                  <w:r>
                    <w:rPr>
                      <w:w w:val="80"/>
                      <w:sz w:val="15"/>
                    </w:rPr>
                    <w:t>Northern</w:t>
                  </w:r>
                  <w:r>
                    <w:rPr>
                      <w:spacing w:val="-3"/>
                      <w:w w:val="80"/>
                      <w:sz w:val="15"/>
                    </w:rPr>
                    <w:t xml:space="preserve"> </w:t>
                  </w:r>
                  <w:r>
                    <w:rPr>
                      <w:w w:val="80"/>
                      <w:sz w:val="15"/>
                    </w:rPr>
                    <w:t>NSW</w:t>
                  </w:r>
                  <w:r>
                    <w:rPr>
                      <w:sz w:val="15"/>
                    </w:rPr>
                    <w:t xml:space="preserve"> </w:t>
                  </w:r>
                  <w:r>
                    <w:rPr>
                      <w:w w:val="90"/>
                      <w:sz w:val="15"/>
                    </w:rPr>
                    <w:t>Northern</w:t>
                  </w:r>
                  <w:r>
                    <w:rPr>
                      <w:spacing w:val="-3"/>
                      <w:w w:val="90"/>
                      <w:sz w:val="15"/>
                    </w:rPr>
                    <w:t xml:space="preserve"> </w:t>
                  </w:r>
                  <w:r>
                    <w:rPr>
                      <w:w w:val="90"/>
                      <w:sz w:val="15"/>
                    </w:rPr>
                    <w:t>Sydney</w:t>
                  </w:r>
                  <w:r>
                    <w:rPr>
                      <w:sz w:val="15"/>
                    </w:rPr>
                    <w:t xml:space="preserve"> </w:t>
                  </w:r>
                  <w:r>
                    <w:rPr>
                      <w:spacing w:val="-2"/>
                      <w:w w:val="85"/>
                      <w:sz w:val="15"/>
                    </w:rPr>
                    <w:t>South</w:t>
                  </w:r>
                  <w:r>
                    <w:rPr>
                      <w:spacing w:val="-3"/>
                      <w:w w:val="85"/>
                      <w:sz w:val="15"/>
                    </w:rPr>
                    <w:t xml:space="preserve"> </w:t>
                  </w:r>
                  <w:r>
                    <w:rPr>
                      <w:spacing w:val="-2"/>
                      <w:w w:val="85"/>
                      <w:sz w:val="15"/>
                    </w:rPr>
                    <w:t>Eastern</w:t>
                  </w:r>
                  <w:r>
                    <w:rPr>
                      <w:spacing w:val="-8"/>
                      <w:sz w:val="15"/>
                    </w:rPr>
                    <w:t xml:space="preserve"> </w:t>
                  </w:r>
                  <w:r>
                    <w:rPr>
                      <w:spacing w:val="-2"/>
                      <w:w w:val="85"/>
                      <w:sz w:val="15"/>
                    </w:rPr>
                    <w:t>Sydney</w:t>
                  </w:r>
                  <w:r>
                    <w:rPr>
                      <w:sz w:val="15"/>
                    </w:rPr>
                    <w:t xml:space="preserve"> </w:t>
                  </w:r>
                  <w:r>
                    <w:rPr>
                      <w:w w:val="80"/>
                      <w:sz w:val="15"/>
                    </w:rPr>
                    <w:t>South</w:t>
                  </w:r>
                  <w:r>
                    <w:rPr>
                      <w:spacing w:val="3"/>
                      <w:sz w:val="15"/>
                    </w:rPr>
                    <w:t xml:space="preserve"> </w:t>
                  </w:r>
                  <w:r>
                    <w:rPr>
                      <w:w w:val="80"/>
                      <w:sz w:val="15"/>
                    </w:rPr>
                    <w:t>Western</w:t>
                  </w:r>
                  <w:r>
                    <w:rPr>
                      <w:spacing w:val="4"/>
                      <w:sz w:val="15"/>
                    </w:rPr>
                    <w:t xml:space="preserve"> </w:t>
                  </w:r>
                  <w:r>
                    <w:rPr>
                      <w:spacing w:val="-2"/>
                      <w:w w:val="80"/>
                      <w:sz w:val="15"/>
                    </w:rPr>
                    <w:t>Sydney</w:t>
                  </w:r>
                </w:p>
                <w:p w:rsidR="00F22F94" w:rsidRDefault="00F22F94">
                  <w:pPr>
                    <w:spacing w:before="1"/>
                    <w:ind w:left="746"/>
                    <w:rPr>
                      <w:sz w:val="15"/>
                    </w:rPr>
                  </w:pPr>
                  <w:r>
                    <w:rPr>
                      <w:w w:val="80"/>
                      <w:sz w:val="15"/>
                    </w:rPr>
                    <w:t>Southern</w:t>
                  </w:r>
                  <w:r>
                    <w:rPr>
                      <w:spacing w:val="8"/>
                      <w:sz w:val="15"/>
                    </w:rPr>
                    <w:t xml:space="preserve"> </w:t>
                  </w:r>
                  <w:r>
                    <w:rPr>
                      <w:spacing w:val="-5"/>
                      <w:w w:val="85"/>
                      <w:sz w:val="15"/>
                    </w:rPr>
                    <w:t>NSW</w:t>
                  </w:r>
                </w:p>
                <w:p w:rsidR="00F22F94" w:rsidRDefault="00F22F94">
                  <w:pPr>
                    <w:spacing w:before="74" w:line="343" w:lineRule="auto"/>
                    <w:ind w:left="661" w:right="18" w:firstLine="499"/>
                    <w:jc w:val="right"/>
                    <w:rPr>
                      <w:sz w:val="15"/>
                    </w:rPr>
                  </w:pPr>
                  <w:r>
                    <w:rPr>
                      <w:spacing w:val="-2"/>
                      <w:w w:val="80"/>
                      <w:sz w:val="15"/>
                    </w:rPr>
                    <w:t>Sydney</w:t>
                  </w:r>
                  <w:r>
                    <w:rPr>
                      <w:sz w:val="15"/>
                    </w:rPr>
                    <w:t xml:space="preserve"> </w:t>
                  </w:r>
                  <w:r>
                    <w:rPr>
                      <w:w w:val="90"/>
                      <w:sz w:val="15"/>
                    </w:rPr>
                    <w:t>Western</w:t>
                  </w:r>
                  <w:r>
                    <w:rPr>
                      <w:spacing w:val="-3"/>
                      <w:w w:val="90"/>
                      <w:sz w:val="15"/>
                    </w:rPr>
                    <w:t xml:space="preserve"> </w:t>
                  </w:r>
                  <w:r>
                    <w:rPr>
                      <w:w w:val="90"/>
                      <w:sz w:val="15"/>
                    </w:rPr>
                    <w:t>NSW</w:t>
                  </w:r>
                  <w:r>
                    <w:rPr>
                      <w:sz w:val="15"/>
                    </w:rPr>
                    <w:t xml:space="preserve"> </w:t>
                  </w:r>
                  <w:r>
                    <w:rPr>
                      <w:w w:val="80"/>
                      <w:sz w:val="15"/>
                    </w:rPr>
                    <w:t>Western</w:t>
                  </w:r>
                  <w:r>
                    <w:rPr>
                      <w:spacing w:val="7"/>
                      <w:sz w:val="15"/>
                    </w:rPr>
                    <w:t xml:space="preserve"> </w:t>
                  </w:r>
                  <w:r>
                    <w:rPr>
                      <w:spacing w:val="-2"/>
                      <w:w w:val="80"/>
                      <w:sz w:val="15"/>
                    </w:rPr>
                    <w:t>Sydney</w:t>
                  </w:r>
                </w:p>
                <w:p w:rsidR="00F22F94" w:rsidRDefault="00F22F94">
                  <w:pPr>
                    <w:spacing w:before="1"/>
                    <w:ind w:right="18"/>
                    <w:jc w:val="right"/>
                    <w:rPr>
                      <w:sz w:val="15"/>
                    </w:rPr>
                  </w:pPr>
                  <w:r>
                    <w:rPr>
                      <w:w w:val="80"/>
                      <w:sz w:val="15"/>
                    </w:rPr>
                    <w:t>Sydney</w:t>
                  </w:r>
                  <w:r>
                    <w:rPr>
                      <w:spacing w:val="6"/>
                      <w:sz w:val="15"/>
                    </w:rPr>
                    <w:t xml:space="preserve"> </w:t>
                  </w:r>
                  <w:r>
                    <w:rPr>
                      <w:w w:val="80"/>
                      <w:sz w:val="15"/>
                    </w:rPr>
                    <w:t>Children’s</w:t>
                  </w:r>
                  <w:r>
                    <w:rPr>
                      <w:spacing w:val="7"/>
                      <w:sz w:val="15"/>
                    </w:rPr>
                    <w:t xml:space="preserve"> </w:t>
                  </w:r>
                  <w:r>
                    <w:rPr>
                      <w:spacing w:val="-2"/>
                      <w:w w:val="80"/>
                      <w:sz w:val="15"/>
                    </w:rPr>
                    <w:t>Hospitals</w:t>
                  </w:r>
                </w:p>
              </w:txbxContent>
            </v:textbox>
            <w10:wrap anchorx="page"/>
          </v:shape>
        </w:pict>
      </w:r>
      <w:r w:rsidR="00F22F94">
        <w:rPr>
          <w:spacing w:val="-5"/>
          <w:sz w:val="15"/>
        </w:rPr>
        <w:t>30%</w:t>
      </w:r>
    </w:p>
    <w:p w:rsidR="002C1123" w:rsidRDefault="00F22F94">
      <w:pPr>
        <w:pStyle w:val="ListParagraph"/>
        <w:numPr>
          <w:ilvl w:val="3"/>
          <w:numId w:val="49"/>
        </w:numPr>
        <w:tabs>
          <w:tab w:val="left" w:pos="498"/>
        </w:tabs>
        <w:spacing w:before="71" w:line="249" w:lineRule="auto"/>
        <w:ind w:left="497"/>
        <w:rPr>
          <w:sz w:val="20"/>
        </w:rPr>
      </w:pPr>
      <w:r>
        <w:br w:type="column"/>
      </w:r>
      <w:r>
        <w:rPr>
          <w:w w:val="95"/>
          <w:sz w:val="20"/>
        </w:rPr>
        <w:t xml:space="preserve">NSW public hospital procedures encourage admitted </w:t>
      </w:r>
      <w:r>
        <w:rPr>
          <w:sz w:val="20"/>
        </w:rPr>
        <w:t>patients</w:t>
      </w:r>
      <w:r>
        <w:rPr>
          <w:spacing w:val="-14"/>
          <w:sz w:val="20"/>
        </w:rPr>
        <w:t xml:space="preserve"> </w:t>
      </w:r>
      <w:r>
        <w:rPr>
          <w:sz w:val="20"/>
        </w:rPr>
        <w:t>to</w:t>
      </w:r>
      <w:r>
        <w:rPr>
          <w:spacing w:val="-14"/>
          <w:sz w:val="20"/>
        </w:rPr>
        <w:t xml:space="preserve"> </w:t>
      </w:r>
      <w:r>
        <w:rPr>
          <w:sz w:val="20"/>
        </w:rPr>
        <w:t>use</w:t>
      </w:r>
      <w:r>
        <w:rPr>
          <w:spacing w:val="-14"/>
          <w:sz w:val="20"/>
        </w:rPr>
        <w:t xml:space="preserve"> </w:t>
      </w:r>
      <w:r>
        <w:rPr>
          <w:sz w:val="20"/>
        </w:rPr>
        <w:t>their</w:t>
      </w:r>
      <w:r>
        <w:rPr>
          <w:spacing w:val="-14"/>
          <w:sz w:val="20"/>
        </w:rPr>
        <w:t xml:space="preserve"> </w:t>
      </w:r>
      <w:r>
        <w:rPr>
          <w:sz w:val="20"/>
        </w:rPr>
        <w:t>private</w:t>
      </w:r>
      <w:r>
        <w:rPr>
          <w:spacing w:val="-14"/>
          <w:sz w:val="20"/>
        </w:rPr>
        <w:t xml:space="preserve"> </w:t>
      </w:r>
      <w:r>
        <w:rPr>
          <w:sz w:val="20"/>
        </w:rPr>
        <w:t>health</w:t>
      </w:r>
      <w:r>
        <w:rPr>
          <w:spacing w:val="-13"/>
          <w:sz w:val="20"/>
        </w:rPr>
        <w:t xml:space="preserve"> </w:t>
      </w:r>
      <w:r>
        <w:rPr>
          <w:sz w:val="20"/>
        </w:rPr>
        <w:t>insurance.</w:t>
      </w:r>
    </w:p>
    <w:p w:rsidR="002C1123" w:rsidRDefault="00F22F94">
      <w:pPr>
        <w:pStyle w:val="BodyText"/>
        <w:spacing w:before="143" w:line="249" w:lineRule="auto"/>
        <w:ind w:left="214"/>
      </w:pPr>
      <w:r>
        <w:t>In</w:t>
      </w:r>
      <w:r>
        <w:rPr>
          <w:spacing w:val="-13"/>
        </w:rPr>
        <w:t xml:space="preserve"> </w:t>
      </w:r>
      <w:r>
        <w:t>regards</w:t>
      </w:r>
      <w:r>
        <w:rPr>
          <w:spacing w:val="-13"/>
        </w:rPr>
        <w:t xml:space="preserve"> </w:t>
      </w:r>
      <w:r>
        <w:t>to</w:t>
      </w:r>
      <w:r>
        <w:rPr>
          <w:spacing w:val="-13"/>
        </w:rPr>
        <w:t xml:space="preserve"> </w:t>
      </w:r>
      <w:r>
        <w:t>private</w:t>
      </w:r>
      <w:r>
        <w:rPr>
          <w:spacing w:val="-13"/>
        </w:rPr>
        <w:t xml:space="preserve"> </w:t>
      </w:r>
      <w:r>
        <w:t>patients</w:t>
      </w:r>
      <w:r>
        <w:rPr>
          <w:spacing w:val="-13"/>
        </w:rPr>
        <w:t xml:space="preserve"> </w:t>
      </w:r>
      <w:r>
        <w:t>in</w:t>
      </w:r>
      <w:r>
        <w:rPr>
          <w:spacing w:val="-13"/>
        </w:rPr>
        <w:t xml:space="preserve"> </w:t>
      </w:r>
      <w:r>
        <w:t>public</w:t>
      </w:r>
      <w:r>
        <w:rPr>
          <w:spacing w:val="-13"/>
        </w:rPr>
        <w:t xml:space="preserve"> </w:t>
      </w:r>
      <w:r>
        <w:t>hospitals,</w:t>
      </w:r>
      <w:r>
        <w:rPr>
          <w:spacing w:val="-13"/>
        </w:rPr>
        <w:t xml:space="preserve"> </w:t>
      </w:r>
      <w:r>
        <w:t xml:space="preserve">public </w:t>
      </w:r>
      <w:r>
        <w:rPr>
          <w:w w:val="95"/>
        </w:rPr>
        <w:t>hospital</w:t>
      </w:r>
      <w:r>
        <w:rPr>
          <w:spacing w:val="-6"/>
          <w:w w:val="95"/>
        </w:rPr>
        <w:t xml:space="preserve"> </w:t>
      </w:r>
      <w:r>
        <w:rPr>
          <w:w w:val="95"/>
        </w:rPr>
        <w:t>CEOs</w:t>
      </w:r>
      <w:r>
        <w:rPr>
          <w:spacing w:val="-6"/>
          <w:w w:val="95"/>
        </w:rPr>
        <w:t xml:space="preserve"> </w:t>
      </w:r>
      <w:r>
        <w:rPr>
          <w:w w:val="95"/>
        </w:rPr>
        <w:t>have</w:t>
      </w:r>
      <w:r>
        <w:rPr>
          <w:spacing w:val="-6"/>
          <w:w w:val="95"/>
        </w:rPr>
        <w:t xml:space="preserve"> </w:t>
      </w:r>
      <w:r>
        <w:rPr>
          <w:w w:val="95"/>
        </w:rPr>
        <w:t>incentive</w:t>
      </w:r>
      <w:r>
        <w:rPr>
          <w:spacing w:val="-6"/>
          <w:w w:val="95"/>
        </w:rPr>
        <w:t xml:space="preserve"> </w:t>
      </w:r>
      <w:r>
        <w:rPr>
          <w:w w:val="95"/>
        </w:rPr>
        <w:t>to</w:t>
      </w:r>
      <w:r>
        <w:rPr>
          <w:spacing w:val="-6"/>
          <w:w w:val="95"/>
        </w:rPr>
        <w:t xml:space="preserve"> </w:t>
      </w:r>
      <w:r>
        <w:rPr>
          <w:w w:val="95"/>
        </w:rPr>
        <w:t>capture</w:t>
      </w:r>
      <w:r>
        <w:rPr>
          <w:spacing w:val="-6"/>
          <w:w w:val="95"/>
        </w:rPr>
        <w:t xml:space="preserve"> </w:t>
      </w:r>
      <w:r>
        <w:rPr>
          <w:w w:val="95"/>
        </w:rPr>
        <w:t>this</w:t>
      </w:r>
      <w:r>
        <w:rPr>
          <w:spacing w:val="-6"/>
          <w:w w:val="95"/>
        </w:rPr>
        <w:t xml:space="preserve"> </w:t>
      </w:r>
      <w:r>
        <w:rPr>
          <w:w w:val="95"/>
        </w:rPr>
        <w:t>revenue</w:t>
      </w:r>
      <w:r>
        <w:rPr>
          <w:spacing w:val="-6"/>
          <w:w w:val="95"/>
        </w:rPr>
        <w:t xml:space="preserve"> </w:t>
      </w:r>
      <w:r>
        <w:rPr>
          <w:w w:val="95"/>
        </w:rPr>
        <w:t xml:space="preserve">for both operating revenue and medical workforce retention reasons but do not have sufficiently clear accountability </w:t>
      </w:r>
      <w:r>
        <w:t>for long term capital implications.</w:t>
      </w:r>
    </w:p>
    <w:p w:rsidR="002C1123" w:rsidRDefault="00F22F94">
      <w:pPr>
        <w:pStyle w:val="BodyText"/>
        <w:spacing w:before="145" w:line="249" w:lineRule="auto"/>
        <w:ind w:left="214"/>
      </w:pPr>
      <w:r>
        <w:t>Local</w:t>
      </w:r>
      <w:r>
        <w:rPr>
          <w:spacing w:val="-13"/>
        </w:rPr>
        <w:t xml:space="preserve"> </w:t>
      </w:r>
      <w:r>
        <w:t>Health</w:t>
      </w:r>
      <w:r>
        <w:rPr>
          <w:spacing w:val="-13"/>
        </w:rPr>
        <w:t xml:space="preserve"> </w:t>
      </w:r>
      <w:r>
        <w:t>Districts</w:t>
      </w:r>
      <w:r>
        <w:rPr>
          <w:spacing w:val="-13"/>
        </w:rPr>
        <w:t xml:space="preserve"> </w:t>
      </w:r>
      <w:r>
        <w:t>and</w:t>
      </w:r>
      <w:r>
        <w:rPr>
          <w:spacing w:val="-13"/>
        </w:rPr>
        <w:t xml:space="preserve"> </w:t>
      </w:r>
      <w:r>
        <w:t>hospitals</w:t>
      </w:r>
      <w:r>
        <w:rPr>
          <w:spacing w:val="-13"/>
        </w:rPr>
        <w:t xml:space="preserve"> </w:t>
      </w:r>
      <w:r>
        <w:t>are</w:t>
      </w:r>
      <w:r>
        <w:rPr>
          <w:spacing w:val="-13"/>
        </w:rPr>
        <w:t xml:space="preserve"> </w:t>
      </w:r>
      <w:r>
        <w:t>proactive</w:t>
      </w:r>
      <w:r>
        <w:rPr>
          <w:spacing w:val="-13"/>
        </w:rPr>
        <w:t xml:space="preserve"> </w:t>
      </w:r>
      <w:r>
        <w:t xml:space="preserve">in </w:t>
      </w:r>
      <w:r>
        <w:rPr>
          <w:w w:val="95"/>
        </w:rPr>
        <w:t>seeking</w:t>
      </w:r>
      <w:r>
        <w:rPr>
          <w:spacing w:val="-11"/>
          <w:w w:val="95"/>
        </w:rPr>
        <w:t xml:space="preserve"> </w:t>
      </w:r>
      <w:r>
        <w:rPr>
          <w:w w:val="95"/>
        </w:rPr>
        <w:t>private</w:t>
      </w:r>
      <w:r>
        <w:rPr>
          <w:spacing w:val="-11"/>
          <w:w w:val="95"/>
        </w:rPr>
        <w:t xml:space="preserve"> </w:t>
      </w:r>
      <w:r>
        <w:rPr>
          <w:w w:val="95"/>
        </w:rPr>
        <w:t>patient</w:t>
      </w:r>
      <w:r>
        <w:rPr>
          <w:spacing w:val="-11"/>
          <w:w w:val="95"/>
        </w:rPr>
        <w:t xml:space="preserve"> </w:t>
      </w:r>
      <w:r>
        <w:rPr>
          <w:w w:val="95"/>
        </w:rPr>
        <w:t>revenue</w:t>
      </w:r>
      <w:r>
        <w:rPr>
          <w:spacing w:val="-11"/>
          <w:w w:val="95"/>
        </w:rPr>
        <w:t xml:space="preserve"> </w:t>
      </w:r>
      <w:r>
        <w:rPr>
          <w:w w:val="95"/>
        </w:rPr>
        <w:t>as</w:t>
      </w:r>
      <w:r>
        <w:rPr>
          <w:spacing w:val="-11"/>
          <w:w w:val="95"/>
        </w:rPr>
        <w:t xml:space="preserve"> </w:t>
      </w:r>
      <w:r>
        <w:rPr>
          <w:w w:val="95"/>
        </w:rPr>
        <w:t>a</w:t>
      </w:r>
      <w:r>
        <w:rPr>
          <w:spacing w:val="-11"/>
          <w:w w:val="95"/>
        </w:rPr>
        <w:t xml:space="preserve"> </w:t>
      </w:r>
      <w:r>
        <w:rPr>
          <w:w w:val="95"/>
        </w:rPr>
        <w:t>means</w:t>
      </w:r>
      <w:r>
        <w:rPr>
          <w:spacing w:val="-11"/>
          <w:w w:val="95"/>
        </w:rPr>
        <w:t xml:space="preserve"> </w:t>
      </w:r>
      <w:r>
        <w:rPr>
          <w:w w:val="95"/>
        </w:rPr>
        <w:t>of</w:t>
      </w:r>
      <w:r>
        <w:rPr>
          <w:spacing w:val="-11"/>
          <w:w w:val="95"/>
        </w:rPr>
        <w:t xml:space="preserve"> </w:t>
      </w:r>
      <w:r>
        <w:rPr>
          <w:w w:val="95"/>
        </w:rPr>
        <w:t xml:space="preserve">generating </w:t>
      </w:r>
      <w:r>
        <w:t>additional</w:t>
      </w:r>
      <w:r>
        <w:rPr>
          <w:spacing w:val="-9"/>
        </w:rPr>
        <w:t xml:space="preserve"> </w:t>
      </w:r>
      <w:r>
        <w:t>operating</w:t>
      </w:r>
      <w:r>
        <w:rPr>
          <w:spacing w:val="-9"/>
        </w:rPr>
        <w:t xml:space="preserve"> </w:t>
      </w:r>
      <w:r>
        <w:t>income.</w:t>
      </w:r>
      <w:r>
        <w:rPr>
          <w:spacing w:val="-9"/>
        </w:rPr>
        <w:t xml:space="preserve"> </w:t>
      </w:r>
      <w:r>
        <w:t>While</w:t>
      </w:r>
      <w:r>
        <w:rPr>
          <w:spacing w:val="-9"/>
        </w:rPr>
        <w:t xml:space="preserve"> </w:t>
      </w:r>
      <w:r>
        <w:t>a</w:t>
      </w:r>
      <w:r>
        <w:rPr>
          <w:spacing w:val="-9"/>
        </w:rPr>
        <w:t xml:space="preserve"> </w:t>
      </w:r>
      <w:r>
        <w:t>proportion</w:t>
      </w:r>
      <w:r>
        <w:rPr>
          <w:spacing w:val="-9"/>
        </w:rPr>
        <w:t xml:space="preserve"> </w:t>
      </w:r>
      <w:r>
        <w:t>of patients</w:t>
      </w:r>
      <w:r>
        <w:rPr>
          <w:spacing w:val="-9"/>
        </w:rPr>
        <w:t xml:space="preserve"> </w:t>
      </w:r>
      <w:r>
        <w:t>who</w:t>
      </w:r>
      <w:r>
        <w:rPr>
          <w:spacing w:val="-9"/>
        </w:rPr>
        <w:t xml:space="preserve"> </w:t>
      </w:r>
      <w:r>
        <w:t>elect</w:t>
      </w:r>
      <w:r>
        <w:rPr>
          <w:spacing w:val="-9"/>
        </w:rPr>
        <w:t xml:space="preserve"> </w:t>
      </w:r>
      <w:r>
        <w:t>to</w:t>
      </w:r>
      <w:r>
        <w:rPr>
          <w:spacing w:val="-9"/>
        </w:rPr>
        <w:t xml:space="preserve"> </w:t>
      </w:r>
      <w:r>
        <w:t>be</w:t>
      </w:r>
      <w:r>
        <w:rPr>
          <w:spacing w:val="-9"/>
        </w:rPr>
        <w:t xml:space="preserve"> </w:t>
      </w:r>
      <w:r>
        <w:t>private</w:t>
      </w:r>
      <w:r>
        <w:rPr>
          <w:spacing w:val="-9"/>
        </w:rPr>
        <w:t xml:space="preserve"> </w:t>
      </w:r>
      <w:r>
        <w:t>patients</w:t>
      </w:r>
      <w:r>
        <w:rPr>
          <w:spacing w:val="-9"/>
        </w:rPr>
        <w:t xml:space="preserve"> </w:t>
      </w:r>
      <w:r>
        <w:t>in</w:t>
      </w:r>
      <w:r>
        <w:rPr>
          <w:spacing w:val="-9"/>
        </w:rPr>
        <w:t xml:space="preserve"> </w:t>
      </w:r>
      <w:r>
        <w:t xml:space="preserve">public </w:t>
      </w:r>
      <w:r>
        <w:rPr>
          <w:w w:val="95"/>
        </w:rPr>
        <w:t xml:space="preserve">hospitals are admitted through emergency departments </w:t>
      </w:r>
      <w:r>
        <w:t>and</w:t>
      </w:r>
      <w:r>
        <w:rPr>
          <w:spacing w:val="-10"/>
        </w:rPr>
        <w:t xml:space="preserve"> </w:t>
      </w:r>
      <w:r>
        <w:t>would</w:t>
      </w:r>
      <w:r>
        <w:rPr>
          <w:spacing w:val="-10"/>
        </w:rPr>
        <w:t xml:space="preserve"> </w:t>
      </w:r>
      <w:r>
        <w:t>most</w:t>
      </w:r>
      <w:r>
        <w:rPr>
          <w:spacing w:val="-10"/>
        </w:rPr>
        <w:t xml:space="preserve"> </w:t>
      </w:r>
      <w:r>
        <w:t>likely</w:t>
      </w:r>
      <w:r>
        <w:rPr>
          <w:spacing w:val="-10"/>
        </w:rPr>
        <w:t xml:space="preserve"> </w:t>
      </w:r>
      <w:r>
        <w:t>be</w:t>
      </w:r>
      <w:r>
        <w:rPr>
          <w:spacing w:val="-10"/>
        </w:rPr>
        <w:t xml:space="preserve"> </w:t>
      </w:r>
      <w:r>
        <w:t>treated</w:t>
      </w:r>
      <w:r>
        <w:rPr>
          <w:spacing w:val="-10"/>
        </w:rPr>
        <w:t xml:space="preserve"> </w:t>
      </w:r>
      <w:r>
        <w:t>in</w:t>
      </w:r>
      <w:r>
        <w:rPr>
          <w:spacing w:val="-10"/>
        </w:rPr>
        <w:t xml:space="preserve"> </w:t>
      </w:r>
      <w:r>
        <w:t>a</w:t>
      </w:r>
      <w:r>
        <w:rPr>
          <w:spacing w:val="-10"/>
        </w:rPr>
        <w:t xml:space="preserve"> </w:t>
      </w:r>
      <w:r>
        <w:t>public</w:t>
      </w:r>
      <w:r>
        <w:rPr>
          <w:spacing w:val="-10"/>
        </w:rPr>
        <w:t xml:space="preserve"> </w:t>
      </w:r>
      <w:r>
        <w:t>hospital</w:t>
      </w:r>
    </w:p>
    <w:p w:rsidR="002C1123" w:rsidRDefault="00F22F94">
      <w:pPr>
        <w:spacing w:before="26"/>
        <w:ind w:left="446"/>
        <w:rPr>
          <w:sz w:val="16"/>
        </w:rPr>
      </w:pPr>
      <w:r>
        <w:br w:type="column"/>
      </w:r>
      <w:r>
        <w:rPr>
          <w:spacing w:val="-5"/>
          <w:w w:val="95"/>
          <w:sz w:val="16"/>
        </w:rPr>
        <w:t>16</w:t>
      </w:r>
    </w:p>
    <w:p w:rsidR="002C1123" w:rsidRDefault="002C1123">
      <w:pPr>
        <w:pStyle w:val="BodyText"/>
        <w:spacing w:before="9"/>
        <w:rPr>
          <w:sz w:val="16"/>
        </w:rPr>
      </w:pPr>
    </w:p>
    <w:p w:rsidR="002C1123" w:rsidRDefault="002060EF">
      <w:pPr>
        <w:ind w:left="446"/>
        <w:rPr>
          <w:sz w:val="16"/>
        </w:rPr>
      </w:pPr>
      <w:r>
        <w:pict>
          <v:group id="docshapegroup2311" o:spid="_x0000_s1703" style="position:absolute;left:0;text-align:left;margin-left:579.65pt;margin-top:-15.2pt;width:210.8pt;height:151.9pt;z-index:251642880;mso-position-horizontal-relative:page" coordorigin="11593,-304" coordsize="4216,3038">
            <v:line id="_x0000_s1726" style="position:absolute" from="11593,-300" to="15808,-300" strokecolor="#b2b1b3" strokeweight=".13969mm"/>
            <v:shape id="docshape2312" o:spid="_x0000_s1725" style="position:absolute;left:11592;top:78;width:4216;height:379" coordorigin="11593,78" coordsize="4216,379" o:spt="100" adj="0,,0" path="m11593,78r196,m12041,78r3767,m11593,456r196,m12041,456r2166,e" filled="f" strokecolor="#b2b1b3" strokeweight=".13969mm">
              <v:stroke joinstyle="round"/>
              <v:formulas/>
              <v:path arrowok="t" o:connecttype="segments"/>
            </v:shape>
            <v:shape id="docshape2313" o:spid="_x0000_s1724" style="position:absolute;left:11592;top:834;width:2614;height:1513" coordorigin="11593,834" coordsize="2614,1513" o:spt="100" adj="0,,0" path="m11593,834r196,m12041,834r2166,m11593,1212r196,m12041,1212r231,m11593,1591r196,m12041,1591r231,m11593,1969r196,m12041,1969r231,m11593,2347r196,m12041,2347r231,e" filled="f" strokecolor="#b2b1b3" strokeweight=".13969mm">
              <v:stroke joinstyle="round"/>
              <v:formulas/>
              <v:path arrowok="t" o:connecttype="segments"/>
            </v:shape>
            <v:rect id="docshape2314" o:spid="_x0000_s1723" style="position:absolute;left:11788;top:-295;width:253;height:3020" fillcolor="#2e3092" stroked="f"/>
            <v:line id="_x0000_s1722" style="position:absolute" from="12525,1212" to="14207,1212" strokecolor="#b2b1b3" strokeweight=".13969mm"/>
            <v:shape id="docshape2315" o:spid="_x0000_s1721" style="position:absolute;left:12524;top:1589;width:1199;height:4" coordorigin="12525,1590" coordsize="1199,4" o:spt="100" adj="0,,0" path="m12525,1594r1198,m12525,1590r1198,e" filled="f" strokecolor="#b2b1b3" strokeweight=".03297mm">
              <v:stroke joinstyle="round"/>
              <v:formulas/>
              <v:path arrowok="t" o:connecttype="segments"/>
            </v:shape>
            <v:shape id="docshape2316" o:spid="_x0000_s1720" style="position:absolute;left:12524;top:1968;width:232;height:379" coordorigin="12525,1969" coordsize="232,379" o:spt="100" adj="0,,0" path="m12525,1969r231,m12525,2347r231,e" filled="f" strokecolor="#b2b1b3" strokeweight=".13969mm">
              <v:stroke joinstyle="round"/>
              <v:formulas/>
              <v:path arrowok="t" o:connecttype="segments"/>
            </v:shape>
            <v:rect id="docshape2317" o:spid="_x0000_s1719" style="position:absolute;left:12272;top:1026;width:253;height:1699" fillcolor="#2e3092" stroked="f"/>
            <v:shape id="docshape2318" o:spid="_x0000_s1718" style="position:absolute;left:13008;top:1968;width:232;height:379" coordorigin="13008,1969" coordsize="232,379" o:spt="100" adj="0,,0" path="m13008,1969r232,m13008,2347r232,e" filled="f" strokecolor="#b2b1b3" strokeweight=".13969mm">
              <v:stroke joinstyle="round"/>
              <v:formulas/>
              <v:path arrowok="t" o:connecttype="segments"/>
            </v:shape>
            <v:rect id="docshape2319" o:spid="_x0000_s1717" style="position:absolute;left:12755;top:1781;width:253;height:944" fillcolor="#2e3092" stroked="f"/>
            <v:shape id="docshape2320" o:spid="_x0000_s1716" style="position:absolute;left:13492;top:1968;width:232;height:379" coordorigin="13492,1969" coordsize="232,379" o:spt="100" adj="0,,0" path="m13492,1969r231,m13492,2347r231,e" filled="f" strokecolor="#b2b1b3" strokeweight=".13969mm">
              <v:stroke joinstyle="round"/>
              <v:formulas/>
              <v:path arrowok="t" o:connecttype="segments"/>
            </v:shape>
            <v:rect id="docshape2321" o:spid="_x0000_s1715" style="position:absolute;left:13239;top:1592;width:253;height:1133" fillcolor="#2e3092" stroked="f"/>
            <v:shape id="docshape2322" o:spid="_x0000_s1714" style="position:absolute;left:13975;top:1589;width:232;height:4" coordorigin="13976,1590" coordsize="232,4" o:spt="100" adj="0,,0" path="m13976,1594r231,m13976,1590r231,e" filled="f" strokecolor="#b2b1b3" strokeweight=".03297mm">
              <v:stroke joinstyle="round"/>
              <v:formulas/>
              <v:path arrowok="t" o:connecttype="segments"/>
            </v:shape>
            <v:shape id="docshape2323" o:spid="_x0000_s1713" style="position:absolute;left:13975;top:1968;width:232;height:379" coordorigin="13976,1969" coordsize="232,379" o:spt="100" adj="0,,0" path="m13976,1969r231,m13976,2347r231,e" filled="f" strokecolor="#b2b1b3" strokeweight=".13969mm">
              <v:stroke joinstyle="round"/>
              <v:formulas/>
              <v:path arrowok="t" o:connecttype="segments"/>
            </v:shape>
            <v:rect id="docshape2324" o:spid="_x0000_s1712" style="position:absolute;left:13723;top:1404;width:253;height:1322" fillcolor="#2e3092" stroked="f"/>
            <v:line id="_x0000_s1711" style="position:absolute" from="14459,456" to="15808,456" strokecolor="#b2b1b3" strokeweight=".13969mm"/>
            <v:shape id="docshape2325" o:spid="_x0000_s1710" style="position:absolute;left:14459;top:834;width:1350;height:379" coordorigin="14459,834" coordsize="1350,379" o:spt="100" adj="0,,0" path="m14459,834r1349,m14459,1212r1349,e" filled="f" strokecolor="#b2b1b3" strokeweight=".13969mm">
              <v:stroke joinstyle="round"/>
              <v:formulas/>
              <v:path arrowok="t" o:connecttype="segments"/>
            </v:shape>
            <v:shape id="docshape2326" o:spid="_x0000_s1709" style="position:absolute;left:14459;top:1589;width:1350;height:4" coordorigin="14459,1590" coordsize="1350,4" o:spt="100" adj="0,,0" path="m14459,1594r231,m14943,1594r865,m14459,1590r1349,e" filled="f" strokecolor="#b2b1b3" strokeweight=".03297mm">
              <v:stroke joinstyle="round"/>
              <v:formulas/>
              <v:path arrowok="t" o:connecttype="segments"/>
            </v:shape>
            <v:shape id="docshape2327" o:spid="_x0000_s1708" style="position:absolute;left:14459;top:1968;width:232;height:379" coordorigin="14459,1969" coordsize="232,379" o:spt="100" adj="0,,0" path="m14459,1969r231,m14459,2347r231,e" filled="f" strokecolor="#b2b1b3" strokeweight=".13969mm">
              <v:stroke joinstyle="round"/>
              <v:formulas/>
              <v:path arrowok="t" o:connecttype="segments"/>
            </v:shape>
            <v:rect id="docshape2328" o:spid="_x0000_s1707" style="position:absolute;left:14206;top:82;width:253;height:2643" fillcolor="#2e3092" stroked="f"/>
            <v:shape id="docshape2329" o:spid="_x0000_s1706" style="position:absolute;left:14942;top:1968;width:866;height:379" coordorigin="14943,1969" coordsize="866,379" o:spt="100" adj="0,,0" path="m14943,1969r865,m14943,2347r865,e" filled="f" strokecolor="#b2b1b3" strokeweight=".13969mm">
              <v:stroke joinstyle="round"/>
              <v:formulas/>
              <v:path arrowok="t" o:connecttype="segments"/>
            </v:shape>
            <v:shape id="docshape2330" o:spid="_x0000_s1705" style="position:absolute;left:14690;top:1592;width:737;height:1133" coordorigin="14690,1593" coordsize="737,1133" o:spt="100" adj="0,,0" path="m14943,1593r-253,l14690,2725r253,l14943,1593xm15427,2536r-253,l15174,2725r253,l15427,2536xe" fillcolor="#2e3092" stroked="f">
              <v:stroke joinstyle="round"/>
              <v:formulas/>
              <v:path arrowok="t" o:connecttype="segments"/>
            </v:shape>
            <v:line id="_x0000_s1704" style="position:absolute" from="11640,2725" to="15803,2725" strokecolor="#b2b1b3" strokeweight=".27939mm"/>
            <w10:wrap anchorx="page"/>
          </v:group>
        </w:pict>
      </w:r>
      <w:r w:rsidR="00F22F94">
        <w:rPr>
          <w:spacing w:val="-5"/>
          <w:w w:val="95"/>
          <w:sz w:val="16"/>
        </w:rPr>
        <w:t>14</w:t>
      </w:r>
    </w:p>
    <w:p w:rsidR="002C1123" w:rsidRDefault="002C1123">
      <w:pPr>
        <w:pStyle w:val="BodyText"/>
        <w:spacing w:before="8"/>
        <w:rPr>
          <w:sz w:val="16"/>
        </w:rPr>
      </w:pPr>
    </w:p>
    <w:p w:rsidR="002C1123" w:rsidRDefault="002060EF">
      <w:pPr>
        <w:spacing w:before="1"/>
        <w:ind w:left="446"/>
        <w:rPr>
          <w:sz w:val="16"/>
        </w:rPr>
      </w:pPr>
      <w:r>
        <w:pict>
          <v:shape id="docshape2331" o:spid="_x0000_s1702" type="#_x0000_t202" style="position:absolute;left:0;text-align:left;margin-left:550.9pt;margin-top:-4.2pt;width:11pt;height:75.05pt;z-index:251644928;mso-position-horizontal-relative:page" filled="f" stroked="f">
            <v:textbox style="layout-flow:vertical;mso-layout-flow-alt:bottom-to-top" inset="0,0,0,0">
              <w:txbxContent>
                <w:p w:rsidR="00F22F94" w:rsidRDefault="00F22F94">
                  <w:pPr>
                    <w:spacing w:before="16"/>
                    <w:ind w:left="20"/>
                    <w:rPr>
                      <w:sz w:val="16"/>
                    </w:rPr>
                  </w:pPr>
                  <w:r>
                    <w:rPr>
                      <w:w w:val="75"/>
                      <w:sz w:val="16"/>
                    </w:rPr>
                    <w:t>Percentage</w:t>
                  </w:r>
                  <w:r>
                    <w:rPr>
                      <w:spacing w:val="3"/>
                      <w:sz w:val="16"/>
                    </w:rPr>
                    <w:t xml:space="preserve"> </w:t>
                  </w:r>
                  <w:r>
                    <w:rPr>
                      <w:w w:val="75"/>
                      <w:sz w:val="16"/>
                    </w:rPr>
                    <w:t>of</w:t>
                  </w:r>
                  <w:r>
                    <w:rPr>
                      <w:spacing w:val="4"/>
                      <w:sz w:val="16"/>
                    </w:rPr>
                    <w:t xml:space="preserve"> </w:t>
                  </w:r>
                  <w:r>
                    <w:rPr>
                      <w:spacing w:val="-2"/>
                      <w:w w:val="75"/>
                      <w:sz w:val="16"/>
                    </w:rPr>
                    <w:t>separations</w:t>
                  </w:r>
                </w:p>
              </w:txbxContent>
            </v:textbox>
            <w10:wrap anchorx="page"/>
          </v:shape>
        </w:pict>
      </w:r>
      <w:r w:rsidR="00F22F94">
        <w:rPr>
          <w:spacing w:val="-5"/>
          <w:w w:val="95"/>
          <w:sz w:val="16"/>
        </w:rPr>
        <w:t>12</w:t>
      </w:r>
    </w:p>
    <w:p w:rsidR="002C1123" w:rsidRDefault="002C1123">
      <w:pPr>
        <w:pStyle w:val="BodyText"/>
        <w:spacing w:before="8"/>
        <w:rPr>
          <w:sz w:val="16"/>
        </w:rPr>
      </w:pPr>
    </w:p>
    <w:p w:rsidR="002C1123" w:rsidRDefault="00F22F94">
      <w:pPr>
        <w:ind w:left="446"/>
        <w:rPr>
          <w:sz w:val="16"/>
        </w:rPr>
      </w:pPr>
      <w:r>
        <w:rPr>
          <w:spacing w:val="-5"/>
          <w:w w:val="95"/>
          <w:sz w:val="16"/>
        </w:rPr>
        <w:t>10</w:t>
      </w:r>
    </w:p>
    <w:p w:rsidR="002C1123" w:rsidRDefault="002C1123">
      <w:pPr>
        <w:pStyle w:val="BodyText"/>
        <w:spacing w:before="9"/>
        <w:rPr>
          <w:sz w:val="16"/>
        </w:rPr>
      </w:pPr>
    </w:p>
    <w:p w:rsidR="002C1123" w:rsidRDefault="00F22F94">
      <w:pPr>
        <w:ind w:left="522"/>
        <w:rPr>
          <w:sz w:val="16"/>
        </w:rPr>
      </w:pPr>
      <w:r>
        <w:rPr>
          <w:w w:val="85"/>
          <w:sz w:val="16"/>
        </w:rPr>
        <w:t>8</w:t>
      </w:r>
    </w:p>
    <w:p w:rsidR="002C1123" w:rsidRDefault="002C1123">
      <w:pPr>
        <w:pStyle w:val="BodyText"/>
        <w:spacing w:before="9"/>
        <w:rPr>
          <w:sz w:val="16"/>
        </w:rPr>
      </w:pPr>
    </w:p>
    <w:p w:rsidR="002C1123" w:rsidRDefault="00F22F94">
      <w:pPr>
        <w:ind w:left="522"/>
        <w:rPr>
          <w:sz w:val="16"/>
        </w:rPr>
      </w:pPr>
      <w:r>
        <w:rPr>
          <w:w w:val="85"/>
          <w:sz w:val="16"/>
        </w:rPr>
        <w:t>6</w:t>
      </w:r>
    </w:p>
    <w:p w:rsidR="002C1123" w:rsidRDefault="002C1123">
      <w:pPr>
        <w:pStyle w:val="BodyText"/>
        <w:spacing w:before="8"/>
        <w:rPr>
          <w:sz w:val="16"/>
        </w:rPr>
      </w:pPr>
    </w:p>
    <w:p w:rsidR="002C1123" w:rsidRDefault="00F22F94">
      <w:pPr>
        <w:ind w:left="522"/>
        <w:rPr>
          <w:sz w:val="16"/>
        </w:rPr>
      </w:pPr>
      <w:r>
        <w:rPr>
          <w:w w:val="85"/>
          <w:sz w:val="16"/>
        </w:rPr>
        <w:t>4</w:t>
      </w:r>
    </w:p>
    <w:p w:rsidR="002C1123" w:rsidRDefault="002C1123">
      <w:pPr>
        <w:pStyle w:val="BodyText"/>
        <w:spacing w:before="9"/>
        <w:rPr>
          <w:sz w:val="16"/>
        </w:rPr>
      </w:pPr>
    </w:p>
    <w:p w:rsidR="002C1123" w:rsidRDefault="00F22F94">
      <w:pPr>
        <w:ind w:left="522"/>
        <w:rPr>
          <w:sz w:val="16"/>
        </w:rPr>
      </w:pPr>
      <w:r>
        <w:rPr>
          <w:w w:val="85"/>
          <w:sz w:val="16"/>
        </w:rPr>
        <w:t>2</w:t>
      </w:r>
    </w:p>
    <w:p w:rsidR="002C1123" w:rsidRDefault="002C1123">
      <w:pPr>
        <w:pStyle w:val="BodyText"/>
        <w:spacing w:before="9"/>
        <w:rPr>
          <w:sz w:val="16"/>
        </w:rPr>
      </w:pPr>
    </w:p>
    <w:p w:rsidR="002C1123" w:rsidRDefault="00F22F94">
      <w:pPr>
        <w:ind w:left="522"/>
        <w:rPr>
          <w:sz w:val="16"/>
        </w:rPr>
      </w:pPr>
      <w:r>
        <w:rPr>
          <w:w w:val="85"/>
          <w:sz w:val="16"/>
        </w:rPr>
        <w:t>0</w:t>
      </w:r>
    </w:p>
    <w:p w:rsidR="002C1123" w:rsidRDefault="00F22F94">
      <w:pPr>
        <w:tabs>
          <w:tab w:val="left" w:pos="1451"/>
          <w:tab w:val="left" w:pos="1907"/>
          <w:tab w:val="left" w:pos="2414"/>
          <w:tab w:val="left" w:pos="2917"/>
          <w:tab w:val="left" w:pos="3365"/>
          <w:tab w:val="left" w:pos="3846"/>
          <w:tab w:val="left" w:pos="4368"/>
        </w:tabs>
        <w:spacing w:before="13"/>
        <w:ind w:left="922"/>
        <w:rPr>
          <w:sz w:val="16"/>
        </w:rPr>
      </w:pPr>
      <w:r>
        <w:rPr>
          <w:spacing w:val="-5"/>
          <w:w w:val="80"/>
          <w:sz w:val="16"/>
        </w:rPr>
        <w:t>NSW</w:t>
      </w:r>
      <w:r>
        <w:rPr>
          <w:sz w:val="16"/>
        </w:rPr>
        <w:tab/>
      </w:r>
      <w:r>
        <w:rPr>
          <w:spacing w:val="-5"/>
          <w:w w:val="80"/>
          <w:sz w:val="16"/>
        </w:rPr>
        <w:t>VIC</w:t>
      </w:r>
      <w:r>
        <w:rPr>
          <w:sz w:val="16"/>
        </w:rPr>
        <w:tab/>
      </w:r>
      <w:r>
        <w:rPr>
          <w:spacing w:val="-5"/>
          <w:w w:val="80"/>
          <w:sz w:val="16"/>
        </w:rPr>
        <w:t>QLD</w:t>
      </w:r>
      <w:r>
        <w:rPr>
          <w:sz w:val="16"/>
        </w:rPr>
        <w:tab/>
      </w:r>
      <w:r>
        <w:rPr>
          <w:spacing w:val="-5"/>
          <w:w w:val="80"/>
          <w:sz w:val="16"/>
        </w:rPr>
        <w:t>WA</w:t>
      </w:r>
      <w:r>
        <w:rPr>
          <w:sz w:val="16"/>
        </w:rPr>
        <w:tab/>
      </w:r>
      <w:r>
        <w:rPr>
          <w:spacing w:val="-5"/>
          <w:w w:val="80"/>
          <w:sz w:val="16"/>
        </w:rPr>
        <w:t>SA</w:t>
      </w:r>
      <w:r>
        <w:rPr>
          <w:sz w:val="16"/>
        </w:rPr>
        <w:tab/>
      </w:r>
      <w:r>
        <w:rPr>
          <w:spacing w:val="-5"/>
          <w:w w:val="80"/>
          <w:sz w:val="16"/>
        </w:rPr>
        <w:t>TAS</w:t>
      </w:r>
      <w:r>
        <w:rPr>
          <w:sz w:val="16"/>
        </w:rPr>
        <w:tab/>
      </w:r>
      <w:r>
        <w:rPr>
          <w:spacing w:val="-5"/>
          <w:w w:val="80"/>
          <w:sz w:val="16"/>
        </w:rPr>
        <w:t>ACT</w:t>
      </w:r>
      <w:r>
        <w:rPr>
          <w:sz w:val="16"/>
        </w:rPr>
        <w:tab/>
      </w:r>
      <w:r>
        <w:rPr>
          <w:spacing w:val="-5"/>
          <w:w w:val="80"/>
          <w:sz w:val="16"/>
        </w:rPr>
        <w:t>NT</w:t>
      </w:r>
    </w:p>
    <w:p w:rsidR="002C1123" w:rsidRDefault="002C1123">
      <w:pPr>
        <w:rPr>
          <w:sz w:val="16"/>
        </w:rPr>
        <w:sectPr w:rsidR="002C1123">
          <w:type w:val="continuous"/>
          <w:pgSz w:w="16840" w:h="11910" w:orient="landscape"/>
          <w:pgMar w:top="560" w:right="280" w:bottom="280" w:left="500" w:header="0" w:footer="517" w:gutter="0"/>
          <w:cols w:num="4" w:space="720" w:equalWidth="0">
            <w:col w:w="762" w:space="3629"/>
            <w:col w:w="874" w:space="40"/>
            <w:col w:w="5010" w:space="39"/>
            <w:col w:w="5706"/>
          </w:cols>
        </w:sect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spacing w:before="8"/>
        <w:rPr>
          <w:sz w:val="24"/>
        </w:rPr>
      </w:pPr>
    </w:p>
    <w:p w:rsidR="002C1123" w:rsidRDefault="002060EF">
      <w:pPr>
        <w:tabs>
          <w:tab w:val="left" w:pos="3089"/>
        </w:tabs>
        <w:spacing w:before="1"/>
        <w:ind w:left="1109"/>
        <w:rPr>
          <w:sz w:val="15"/>
        </w:rPr>
      </w:pPr>
      <w:r>
        <w:pict>
          <v:rect id="docshape2332" o:spid="_x0000_s1701" style="position:absolute;left:0;text-align:left;margin-left:67.9pt;margin-top:.1pt;width:8.4pt;height:8.4pt;z-index:251640832;mso-position-horizontal-relative:page" fillcolor="#2e3092" stroked="f">
            <w10:wrap anchorx="page"/>
          </v:rect>
        </w:pict>
      </w:r>
      <w:r>
        <w:pict>
          <v:line id="_x0000_s1700" style="position:absolute;left:0;text-align:left;z-index:-251455488;mso-position-horizontal-relative:page" from="175.25pt,4.3pt" to="158.5pt,4.3pt" strokecolor="#00aeef" strokeweight=".98956mm">
            <w10:wrap anchorx="page"/>
          </v:line>
        </w:pict>
      </w:r>
      <w:r w:rsidR="00F22F94">
        <w:rPr>
          <w:w w:val="80"/>
          <w:sz w:val="15"/>
        </w:rPr>
        <w:t>Average</w:t>
      </w:r>
      <w:r w:rsidR="00F22F94">
        <w:rPr>
          <w:spacing w:val="1"/>
          <w:sz w:val="15"/>
        </w:rPr>
        <w:t xml:space="preserve"> </w:t>
      </w:r>
      <w:r w:rsidR="00F22F94">
        <w:rPr>
          <w:w w:val="80"/>
          <w:sz w:val="15"/>
        </w:rPr>
        <w:t>available</w:t>
      </w:r>
      <w:r w:rsidR="00F22F94">
        <w:rPr>
          <w:spacing w:val="2"/>
          <w:sz w:val="15"/>
        </w:rPr>
        <w:t xml:space="preserve"> </w:t>
      </w:r>
      <w:r w:rsidR="00F22F94">
        <w:rPr>
          <w:spacing w:val="-4"/>
          <w:w w:val="80"/>
          <w:sz w:val="15"/>
        </w:rPr>
        <w:t>beds</w:t>
      </w:r>
      <w:r w:rsidR="00F22F94">
        <w:rPr>
          <w:sz w:val="15"/>
        </w:rPr>
        <w:tab/>
      </w:r>
      <w:r w:rsidR="00F22F94">
        <w:rPr>
          <w:w w:val="80"/>
          <w:sz w:val="15"/>
        </w:rPr>
        <w:t>Bed</w:t>
      </w:r>
      <w:r w:rsidR="00F22F94">
        <w:rPr>
          <w:spacing w:val="10"/>
          <w:sz w:val="15"/>
        </w:rPr>
        <w:t xml:space="preserve"> </w:t>
      </w:r>
      <w:r w:rsidR="00F22F94">
        <w:rPr>
          <w:w w:val="80"/>
          <w:sz w:val="15"/>
        </w:rPr>
        <w:t>occupancy</w:t>
      </w:r>
      <w:r w:rsidR="00F22F94">
        <w:rPr>
          <w:spacing w:val="11"/>
          <w:sz w:val="15"/>
        </w:rPr>
        <w:t xml:space="preserve"> </w:t>
      </w:r>
      <w:r w:rsidR="00F22F94">
        <w:rPr>
          <w:w w:val="80"/>
          <w:sz w:val="15"/>
        </w:rPr>
        <w:t>percentage</w:t>
      </w:r>
      <w:r w:rsidR="00F22F94">
        <w:rPr>
          <w:spacing w:val="11"/>
          <w:sz w:val="15"/>
        </w:rPr>
        <w:t xml:space="preserve"> </w:t>
      </w:r>
      <w:r w:rsidR="00F22F94">
        <w:rPr>
          <w:spacing w:val="-2"/>
          <w:w w:val="80"/>
          <w:sz w:val="15"/>
        </w:rPr>
        <w:t>(June)</w:t>
      </w:r>
    </w:p>
    <w:p w:rsidR="002C1123" w:rsidRDefault="00F22F94">
      <w:pPr>
        <w:spacing w:before="158"/>
        <w:ind w:left="532"/>
        <w:rPr>
          <w:sz w:val="14"/>
        </w:rPr>
      </w:pPr>
      <w:r>
        <w:rPr>
          <w:w w:val="95"/>
          <w:sz w:val="14"/>
        </w:rPr>
        <w:t>Source:</w:t>
      </w:r>
      <w:r>
        <w:rPr>
          <w:spacing w:val="-1"/>
          <w:sz w:val="14"/>
        </w:rPr>
        <w:t xml:space="preserve"> </w:t>
      </w:r>
      <w:r>
        <w:rPr>
          <w:w w:val="95"/>
          <w:sz w:val="14"/>
        </w:rPr>
        <w:t>NSW</w:t>
      </w:r>
      <w:r>
        <w:rPr>
          <w:spacing w:val="-1"/>
          <w:sz w:val="14"/>
        </w:rPr>
        <w:t xml:space="preserve"> </w:t>
      </w:r>
      <w:r>
        <w:rPr>
          <w:w w:val="95"/>
          <w:sz w:val="14"/>
        </w:rPr>
        <w:t>Auditor</w:t>
      </w:r>
      <w:r>
        <w:rPr>
          <w:sz w:val="14"/>
        </w:rPr>
        <w:t xml:space="preserve"> </w:t>
      </w:r>
      <w:r>
        <w:rPr>
          <w:spacing w:val="-2"/>
          <w:w w:val="95"/>
          <w:sz w:val="14"/>
        </w:rPr>
        <w:t>General.</w:t>
      </w:r>
    </w:p>
    <w:p w:rsidR="002C1123" w:rsidRDefault="00F22F94">
      <w:pPr>
        <w:pStyle w:val="BodyText"/>
        <w:spacing w:before="5" w:line="249" w:lineRule="auto"/>
        <w:ind w:left="498" w:right="183"/>
      </w:pPr>
      <w:r>
        <w:br w:type="column"/>
      </w:r>
      <w:r>
        <w:t>whether</w:t>
      </w:r>
      <w:r>
        <w:rPr>
          <w:spacing w:val="-11"/>
        </w:rPr>
        <w:t xml:space="preserve"> </w:t>
      </w:r>
      <w:r>
        <w:t>or</w:t>
      </w:r>
      <w:r>
        <w:rPr>
          <w:spacing w:val="-11"/>
        </w:rPr>
        <w:t xml:space="preserve"> </w:t>
      </w:r>
      <w:r>
        <w:t>not</w:t>
      </w:r>
      <w:r>
        <w:rPr>
          <w:spacing w:val="-11"/>
        </w:rPr>
        <w:t xml:space="preserve"> </w:t>
      </w:r>
      <w:r>
        <w:t>they</w:t>
      </w:r>
      <w:r>
        <w:rPr>
          <w:spacing w:val="-11"/>
        </w:rPr>
        <w:t xml:space="preserve"> </w:t>
      </w:r>
      <w:r>
        <w:t>were</w:t>
      </w:r>
      <w:r>
        <w:rPr>
          <w:spacing w:val="-11"/>
        </w:rPr>
        <w:t xml:space="preserve"> </w:t>
      </w:r>
      <w:r>
        <w:t>a</w:t>
      </w:r>
      <w:r>
        <w:rPr>
          <w:spacing w:val="-11"/>
        </w:rPr>
        <w:t xml:space="preserve"> </w:t>
      </w:r>
      <w:r>
        <w:t>public</w:t>
      </w:r>
      <w:r>
        <w:rPr>
          <w:spacing w:val="-11"/>
        </w:rPr>
        <w:t xml:space="preserve"> </w:t>
      </w:r>
      <w:r>
        <w:t>or</w:t>
      </w:r>
      <w:r>
        <w:rPr>
          <w:spacing w:val="-11"/>
        </w:rPr>
        <w:t xml:space="preserve"> </w:t>
      </w:r>
      <w:r>
        <w:t>private</w:t>
      </w:r>
      <w:r>
        <w:rPr>
          <w:spacing w:val="-11"/>
        </w:rPr>
        <w:t xml:space="preserve"> </w:t>
      </w:r>
      <w:r>
        <w:t>patient, another</w:t>
      </w:r>
      <w:r>
        <w:rPr>
          <w:spacing w:val="-13"/>
        </w:rPr>
        <w:t xml:space="preserve"> </w:t>
      </w:r>
      <w:r>
        <w:t>group</w:t>
      </w:r>
      <w:r>
        <w:rPr>
          <w:spacing w:val="-13"/>
        </w:rPr>
        <w:t xml:space="preserve"> </w:t>
      </w:r>
      <w:r>
        <w:t>of</w:t>
      </w:r>
      <w:r>
        <w:rPr>
          <w:spacing w:val="-13"/>
        </w:rPr>
        <w:t xml:space="preserve"> </w:t>
      </w:r>
      <w:r>
        <w:t>patients</w:t>
      </w:r>
      <w:r>
        <w:rPr>
          <w:spacing w:val="-13"/>
        </w:rPr>
        <w:t xml:space="preserve"> </w:t>
      </w:r>
      <w:r>
        <w:t>are</w:t>
      </w:r>
      <w:r>
        <w:rPr>
          <w:spacing w:val="-13"/>
        </w:rPr>
        <w:t xml:space="preserve"> </w:t>
      </w:r>
      <w:r>
        <w:t>elective</w:t>
      </w:r>
      <w:r>
        <w:rPr>
          <w:spacing w:val="-13"/>
        </w:rPr>
        <w:t xml:space="preserve"> </w:t>
      </w:r>
      <w:r>
        <w:t xml:space="preserve">admissions </w:t>
      </w:r>
      <w:r>
        <w:rPr>
          <w:w w:val="95"/>
        </w:rPr>
        <w:t>and</w:t>
      </w:r>
      <w:r>
        <w:rPr>
          <w:spacing w:val="-7"/>
          <w:w w:val="95"/>
        </w:rPr>
        <w:t xml:space="preserve"> </w:t>
      </w:r>
      <w:r>
        <w:rPr>
          <w:w w:val="95"/>
        </w:rPr>
        <w:t>could</w:t>
      </w:r>
      <w:r>
        <w:rPr>
          <w:spacing w:val="-7"/>
          <w:w w:val="95"/>
        </w:rPr>
        <w:t xml:space="preserve"> </w:t>
      </w:r>
      <w:r>
        <w:rPr>
          <w:w w:val="95"/>
        </w:rPr>
        <w:t>have</w:t>
      </w:r>
      <w:r>
        <w:rPr>
          <w:spacing w:val="-7"/>
          <w:w w:val="95"/>
        </w:rPr>
        <w:t xml:space="preserve"> </w:t>
      </w:r>
      <w:r>
        <w:rPr>
          <w:w w:val="95"/>
        </w:rPr>
        <w:t>been</w:t>
      </w:r>
      <w:r>
        <w:rPr>
          <w:spacing w:val="-7"/>
          <w:w w:val="95"/>
        </w:rPr>
        <w:t xml:space="preserve"> </w:t>
      </w:r>
      <w:r>
        <w:rPr>
          <w:w w:val="95"/>
        </w:rPr>
        <w:t>served</w:t>
      </w:r>
      <w:r>
        <w:rPr>
          <w:spacing w:val="-7"/>
          <w:w w:val="95"/>
        </w:rPr>
        <w:t xml:space="preserve"> </w:t>
      </w:r>
      <w:r>
        <w:rPr>
          <w:w w:val="95"/>
        </w:rPr>
        <w:t>in</w:t>
      </w:r>
      <w:r>
        <w:rPr>
          <w:spacing w:val="-7"/>
          <w:w w:val="95"/>
        </w:rPr>
        <w:t xml:space="preserve"> </w:t>
      </w:r>
      <w:r>
        <w:rPr>
          <w:w w:val="95"/>
        </w:rPr>
        <w:t>either</w:t>
      </w:r>
      <w:r>
        <w:rPr>
          <w:spacing w:val="-7"/>
          <w:w w:val="95"/>
        </w:rPr>
        <w:t xml:space="preserve"> </w:t>
      </w:r>
      <w:r>
        <w:rPr>
          <w:w w:val="95"/>
        </w:rPr>
        <w:t>public</w:t>
      </w:r>
      <w:r>
        <w:rPr>
          <w:spacing w:val="-7"/>
          <w:w w:val="95"/>
        </w:rPr>
        <w:t xml:space="preserve"> </w:t>
      </w:r>
      <w:r>
        <w:rPr>
          <w:w w:val="95"/>
        </w:rPr>
        <w:t>or</w:t>
      </w:r>
      <w:r>
        <w:rPr>
          <w:spacing w:val="-7"/>
          <w:w w:val="95"/>
        </w:rPr>
        <w:t xml:space="preserve"> </w:t>
      </w:r>
      <w:r>
        <w:rPr>
          <w:w w:val="95"/>
        </w:rPr>
        <w:t>private</w:t>
      </w:r>
    </w:p>
    <w:p w:rsidR="002C1123" w:rsidRDefault="00F22F94">
      <w:pPr>
        <w:pStyle w:val="BodyText"/>
        <w:spacing w:before="3" w:line="249" w:lineRule="auto"/>
        <w:ind w:left="498"/>
      </w:pPr>
      <w:r>
        <w:rPr>
          <w:w w:val="95"/>
        </w:rPr>
        <w:t>facilities.</w:t>
      </w:r>
      <w:r>
        <w:rPr>
          <w:spacing w:val="-8"/>
          <w:w w:val="95"/>
        </w:rPr>
        <w:t xml:space="preserve"> </w:t>
      </w:r>
      <w:r>
        <w:rPr>
          <w:w w:val="95"/>
        </w:rPr>
        <w:t>NSW</w:t>
      </w:r>
      <w:r>
        <w:rPr>
          <w:spacing w:val="-8"/>
          <w:w w:val="95"/>
        </w:rPr>
        <w:t xml:space="preserve"> </w:t>
      </w:r>
      <w:r>
        <w:rPr>
          <w:w w:val="95"/>
        </w:rPr>
        <w:t>has</w:t>
      </w:r>
      <w:r>
        <w:rPr>
          <w:spacing w:val="-8"/>
          <w:w w:val="95"/>
        </w:rPr>
        <w:t xml:space="preserve"> </w:t>
      </w:r>
      <w:r>
        <w:rPr>
          <w:w w:val="95"/>
        </w:rPr>
        <w:t>a</w:t>
      </w:r>
      <w:r>
        <w:rPr>
          <w:spacing w:val="-8"/>
          <w:w w:val="95"/>
        </w:rPr>
        <w:t xml:space="preserve"> </w:t>
      </w:r>
      <w:r>
        <w:rPr>
          <w:w w:val="95"/>
        </w:rPr>
        <w:t>higher</w:t>
      </w:r>
      <w:r>
        <w:rPr>
          <w:spacing w:val="-8"/>
          <w:w w:val="95"/>
        </w:rPr>
        <w:t xml:space="preserve"> </w:t>
      </w:r>
      <w:r>
        <w:rPr>
          <w:w w:val="95"/>
        </w:rPr>
        <w:t>proportion</w:t>
      </w:r>
      <w:r>
        <w:rPr>
          <w:spacing w:val="-8"/>
          <w:w w:val="95"/>
        </w:rPr>
        <w:t xml:space="preserve"> </w:t>
      </w:r>
      <w:r>
        <w:rPr>
          <w:w w:val="95"/>
        </w:rPr>
        <w:t>of</w:t>
      </w:r>
      <w:r>
        <w:rPr>
          <w:spacing w:val="-8"/>
          <w:w w:val="95"/>
        </w:rPr>
        <w:t xml:space="preserve"> </w:t>
      </w:r>
      <w:r>
        <w:rPr>
          <w:w w:val="95"/>
        </w:rPr>
        <w:t>private</w:t>
      </w:r>
      <w:r>
        <w:rPr>
          <w:spacing w:val="-8"/>
          <w:w w:val="95"/>
        </w:rPr>
        <w:t xml:space="preserve"> </w:t>
      </w:r>
      <w:r>
        <w:rPr>
          <w:w w:val="95"/>
        </w:rPr>
        <w:t xml:space="preserve">patients </w:t>
      </w:r>
      <w:r>
        <w:t>in</w:t>
      </w:r>
      <w:r>
        <w:rPr>
          <w:spacing w:val="-12"/>
        </w:rPr>
        <w:t xml:space="preserve"> </w:t>
      </w:r>
      <w:r>
        <w:t>public</w:t>
      </w:r>
      <w:r>
        <w:rPr>
          <w:spacing w:val="-12"/>
        </w:rPr>
        <w:t xml:space="preserve"> </w:t>
      </w:r>
      <w:r>
        <w:t>hospitals</w:t>
      </w:r>
      <w:r>
        <w:rPr>
          <w:spacing w:val="-12"/>
        </w:rPr>
        <w:t xml:space="preserve"> </w:t>
      </w:r>
      <w:r>
        <w:t>than</w:t>
      </w:r>
      <w:r>
        <w:rPr>
          <w:spacing w:val="-12"/>
        </w:rPr>
        <w:t xml:space="preserve"> </w:t>
      </w:r>
      <w:r>
        <w:t>any</w:t>
      </w:r>
      <w:r>
        <w:rPr>
          <w:spacing w:val="-12"/>
        </w:rPr>
        <w:t xml:space="preserve"> </w:t>
      </w:r>
      <w:r>
        <w:t>other</w:t>
      </w:r>
      <w:r>
        <w:rPr>
          <w:spacing w:val="-12"/>
        </w:rPr>
        <w:t xml:space="preserve"> </w:t>
      </w:r>
      <w:r>
        <w:t>state</w:t>
      </w:r>
      <w:r>
        <w:rPr>
          <w:spacing w:val="-12"/>
        </w:rPr>
        <w:t xml:space="preserve"> </w:t>
      </w:r>
      <w:r>
        <w:t>–</w:t>
      </w:r>
      <w:r>
        <w:rPr>
          <w:spacing w:val="-12"/>
        </w:rPr>
        <w:t xml:space="preserve"> </w:t>
      </w:r>
      <w:r>
        <w:t>16</w:t>
      </w:r>
      <w:r>
        <w:rPr>
          <w:spacing w:val="-12"/>
        </w:rPr>
        <w:t xml:space="preserve"> </w:t>
      </w:r>
      <w:r>
        <w:t>per</w:t>
      </w:r>
      <w:r>
        <w:rPr>
          <w:spacing w:val="-12"/>
        </w:rPr>
        <w:t xml:space="preserve"> </w:t>
      </w:r>
      <w:r>
        <w:t>cent</w:t>
      </w:r>
    </w:p>
    <w:p w:rsidR="002C1123" w:rsidRDefault="00F22F94">
      <w:pPr>
        <w:spacing w:before="126"/>
        <w:ind w:left="234"/>
        <w:rPr>
          <w:sz w:val="14"/>
        </w:rPr>
      </w:pPr>
      <w:r>
        <w:br w:type="column"/>
      </w:r>
      <w:r>
        <w:rPr>
          <w:w w:val="95"/>
          <w:sz w:val="14"/>
        </w:rPr>
        <w:t>Source:</w:t>
      </w:r>
      <w:r>
        <w:rPr>
          <w:spacing w:val="3"/>
          <w:sz w:val="14"/>
        </w:rPr>
        <w:t xml:space="preserve"> </w:t>
      </w:r>
      <w:r>
        <w:rPr>
          <w:spacing w:val="-2"/>
          <w:sz w:val="14"/>
        </w:rPr>
        <w:t>AIHW.</w:t>
      </w:r>
    </w:p>
    <w:p w:rsidR="002C1123" w:rsidRDefault="002C1123">
      <w:pPr>
        <w:rPr>
          <w:sz w:val="14"/>
        </w:rPr>
        <w:sectPr w:rsidR="002C1123">
          <w:type w:val="continuous"/>
          <w:pgSz w:w="16840" w:h="11910" w:orient="landscape"/>
          <w:pgMar w:top="560" w:right="280" w:bottom="280" w:left="500" w:header="0" w:footer="517" w:gutter="0"/>
          <w:cols w:num="3" w:space="720" w:equalWidth="0">
            <w:col w:w="4981" w:space="40"/>
            <w:col w:w="5259" w:space="39"/>
            <w:col w:w="5741"/>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060EF">
      <w:pPr>
        <w:pStyle w:val="BodyText"/>
        <w:spacing w:before="106" w:line="249" w:lineRule="auto"/>
        <w:ind w:left="492" w:right="10730"/>
      </w:pPr>
      <w:r>
        <w:pict>
          <v:group id="docshapegroup2333" o:spid="_x0000_s1629" style="position:absolute;left:0;text-align:left;margin-left:300.95pt;margin-top:7.55pt;width:490.75pt;height:409.75pt;z-index:251645952;mso-position-horizontal-relative:page" coordorigin="6019,151" coordsize="9815,8195">
            <v:rect id="docshape2334" o:spid="_x0000_s1699" style="position:absolute;left:6018;top:150;width:9815;height:8195" fillcolor="#e1e0e1" stroked="f"/>
            <v:rect id="docshape2335" o:spid="_x0000_s1698" style="position:absolute;left:12163;top:663;width:3578;height:3458" filled="f" strokecolor="#f47920" strokeweight=".351mm"/>
            <v:shape id="docshape2336" o:spid="_x0000_s1697" type="#_x0000_t75" style="position:absolute;left:12212;top:788;width:3253;height:3179">
              <v:imagedata r:id="rId213" o:title=""/>
            </v:shape>
            <v:shape id="docshape2337" o:spid="_x0000_s1696" type="#_x0000_t75" style="position:absolute;left:6307;top:876;width:5857;height:4132">
              <v:imagedata r:id="rId214" o:title=""/>
            </v:shape>
            <v:rect id="docshape2338" o:spid="_x0000_s1695" style="position:absolute;left:11135;top:5034;width:427;height:174" fillcolor="#9c9c9d" stroked="f"/>
            <v:rect id="docshape2339" o:spid="_x0000_s1694" style="position:absolute;left:11135;top:5251;width:427;height:174" fillcolor="#bbb8dc" stroked="f"/>
            <v:rect id="docshape2340" o:spid="_x0000_s1693" style="position:absolute;left:12492;top:5251;width:427;height:174" fillcolor="#2e3092" stroked="f"/>
            <v:rect id="docshape2341" o:spid="_x0000_s1692" style="position:absolute;left:12492;top:5034;width:427;height:174" fillcolor="#5b57a6" stroked="f"/>
            <v:rect id="docshape2342" o:spid="_x0000_s1691" style="position:absolute;left:12492;top:4817;width:427;height:174" fillcolor="#8781bd" stroked="f"/>
            <v:shape id="docshape2343" o:spid="_x0000_s1690" type="#_x0000_t75" style="position:absolute;left:11106;top:5773;width:219;height:219">
              <v:imagedata r:id="rId215" o:title=""/>
            </v:shape>
            <v:shape id="docshape2344" o:spid="_x0000_s1689" type="#_x0000_t75" style="position:absolute;left:11106;top:6032;width:219;height:219">
              <v:imagedata r:id="rId107" o:title=""/>
            </v:shape>
            <v:shape id="docshape2345" o:spid="_x0000_s1688" type="#_x0000_t75" style="position:absolute;left:11106;top:6469;width:219;height:219">
              <v:imagedata r:id="rId216" o:title=""/>
            </v:shape>
            <v:shape id="docshape2346" o:spid="_x0000_s1687" type="#_x0000_t75" style="position:absolute;left:11106;top:6733;width:219;height:219">
              <v:imagedata r:id="rId217" o:title=""/>
            </v:shape>
            <v:shape id="docshape2347" o:spid="_x0000_s1686" type="#_x0000_t75" style="position:absolute;left:11106;top:6984;width:219;height:219">
              <v:imagedata r:id="rId107" o:title=""/>
            </v:shape>
            <v:shape id="docshape2348" o:spid="_x0000_s1685" type="#_x0000_t75" style="position:absolute;left:11106;top:7425;width:219;height:219">
              <v:imagedata r:id="rId107" o:title=""/>
            </v:shape>
            <v:shape id="docshape2349" o:spid="_x0000_s1684" type="#_x0000_t75" style="position:absolute;left:13565;top:5773;width:219;height:219">
              <v:imagedata r:id="rId218" o:title=""/>
            </v:shape>
            <v:shape id="docshape2350" o:spid="_x0000_s1683" type="#_x0000_t75" style="position:absolute;left:13565;top:6032;width:219;height:219">
              <v:imagedata r:id="rId107" o:title=""/>
            </v:shape>
            <v:shape id="docshape2351" o:spid="_x0000_s1682" type="#_x0000_t75" style="position:absolute;left:13565;top:6292;width:219;height:219">
              <v:imagedata r:id="rId219" o:title=""/>
            </v:shape>
            <v:shape id="docshape2352" o:spid="_x0000_s1681" type="#_x0000_t75" style="position:absolute;left:13565;top:6551;width:219;height:219">
              <v:imagedata r:id="rId107" o:title=""/>
            </v:shape>
            <v:shape id="docshape2353" o:spid="_x0000_s1680" type="#_x0000_t75" style="position:absolute;left:13565;top:6810;width:219;height:219">
              <v:imagedata r:id="rId107" o:title=""/>
            </v:shape>
            <v:shape id="docshape2354" o:spid="_x0000_s1679" type="#_x0000_t75" style="position:absolute;left:13565;top:7069;width:219;height:219">
              <v:imagedata r:id="rId107" o:title=""/>
            </v:shape>
            <v:shape id="docshape2355" o:spid="_x0000_s1678" type="#_x0000_t75" style="position:absolute;left:6221;top:5773;width:219;height:219">
              <v:imagedata r:id="rId220" o:title=""/>
            </v:shape>
            <v:shape id="docshape2356" o:spid="_x0000_s1677" type="#_x0000_t75" style="position:absolute;left:6221;top:6355;width:219;height:219">
              <v:imagedata r:id="rId221" o:title=""/>
            </v:shape>
            <v:shape id="docshape2357" o:spid="_x0000_s1676" type="#_x0000_t75" style="position:absolute;left:6221;top:6605;width:219;height:219">
              <v:imagedata r:id="rId222" o:title=""/>
            </v:shape>
            <v:shape id="docshape2358" o:spid="_x0000_s1675" type="#_x0000_t75" style="position:absolute;left:6221;top:6854;width:219;height:219">
              <v:imagedata r:id="rId223" o:title=""/>
            </v:shape>
            <v:shape id="docshape2359" o:spid="_x0000_s1674" type="#_x0000_t75" style="position:absolute;left:6221;top:7104;width:219;height:219">
              <v:imagedata r:id="rId224" o:title=""/>
            </v:shape>
            <v:shape id="docshape2360" o:spid="_x0000_s1673" type="#_x0000_t75" style="position:absolute;left:6221;top:7354;width:219;height:219">
              <v:imagedata r:id="rId221" o:title=""/>
            </v:shape>
            <v:shape id="docshape2361" o:spid="_x0000_s1672" type="#_x0000_t75" style="position:absolute;left:8669;top:5773;width:219;height:219">
              <v:imagedata r:id="rId225" o:title=""/>
            </v:shape>
            <v:shape id="docshape2362" o:spid="_x0000_s1671" type="#_x0000_t75" style="position:absolute;left:8669;top:7069;width:219;height:219">
              <v:imagedata r:id="rId107" o:title=""/>
            </v:shape>
            <v:shape id="docshape2363" o:spid="_x0000_s1670" type="#_x0000_t75" style="position:absolute;left:8669;top:6810;width:219;height:219">
              <v:imagedata r:id="rId107" o:title=""/>
            </v:shape>
            <v:shape id="docshape2364" o:spid="_x0000_s1669" type="#_x0000_t75" style="position:absolute;left:8669;top:6551;width:219;height:219">
              <v:imagedata r:id="rId107" o:title=""/>
            </v:shape>
            <v:shape id="docshape2365" o:spid="_x0000_s1668" type="#_x0000_t75" style="position:absolute;left:8669;top:6292;width:219;height:219">
              <v:imagedata r:id="rId107" o:title=""/>
            </v:shape>
            <v:shape id="docshape2366" o:spid="_x0000_s1667" type="#_x0000_t75" style="position:absolute;left:8669;top:6032;width:219;height:219">
              <v:imagedata r:id="rId107" o:title=""/>
            </v:shape>
            <v:shape id="docshape2367" o:spid="_x0000_s1666" type="#_x0000_t202" style="position:absolute;left:12779;top:1118;width:972;height:1038" filled="f" stroked="f">
              <v:textbox inset="0,0,0,0">
                <w:txbxContent>
                  <w:p w:rsidR="00F22F94" w:rsidRDefault="00F22F94">
                    <w:pPr>
                      <w:spacing w:before="4"/>
                      <w:ind w:left="17"/>
                      <w:rPr>
                        <w:b/>
                        <w:sz w:val="13"/>
                      </w:rPr>
                    </w:pPr>
                    <w:r>
                      <w:rPr>
                        <w:b/>
                        <w:spacing w:val="-5"/>
                        <w:sz w:val="13"/>
                      </w:rPr>
                      <w:t>15</w:t>
                    </w:r>
                  </w:p>
                  <w:p w:rsidR="00F22F94" w:rsidRDefault="00F22F94">
                    <w:pPr>
                      <w:spacing w:before="6"/>
                      <w:rPr>
                        <w:b/>
                        <w:sz w:val="11"/>
                      </w:rPr>
                    </w:pPr>
                  </w:p>
                  <w:p w:rsidR="00F22F94" w:rsidRDefault="00F22F94">
                    <w:pPr>
                      <w:spacing w:line="247" w:lineRule="auto"/>
                      <w:rPr>
                        <w:sz w:val="16"/>
                      </w:rPr>
                    </w:pPr>
                    <w:r>
                      <w:rPr>
                        <w:color w:val="FFFFFF"/>
                        <w:w w:val="95"/>
                        <w:sz w:val="16"/>
                      </w:rPr>
                      <w:t>Nepean</w:t>
                    </w:r>
                    <w:r>
                      <w:rPr>
                        <w:color w:val="FFFFFF"/>
                        <w:spacing w:val="-8"/>
                        <w:w w:val="95"/>
                        <w:sz w:val="16"/>
                      </w:rPr>
                      <w:t xml:space="preserve"> </w:t>
                    </w:r>
                    <w:r>
                      <w:rPr>
                        <w:color w:val="FFFFFF"/>
                        <w:w w:val="95"/>
                        <w:sz w:val="16"/>
                      </w:rPr>
                      <w:t xml:space="preserve">Blue </w:t>
                    </w:r>
                    <w:r>
                      <w:rPr>
                        <w:color w:val="FFFFFF"/>
                        <w:w w:val="85"/>
                        <w:sz w:val="16"/>
                      </w:rPr>
                      <w:t>Mountains</w:t>
                    </w:r>
                    <w:r>
                      <w:rPr>
                        <w:color w:val="FFFFFF"/>
                        <w:spacing w:val="-5"/>
                        <w:w w:val="85"/>
                        <w:sz w:val="16"/>
                      </w:rPr>
                      <w:t xml:space="preserve"> </w:t>
                    </w:r>
                    <w:r>
                      <w:rPr>
                        <w:color w:val="FFFFFF"/>
                        <w:w w:val="85"/>
                        <w:sz w:val="16"/>
                      </w:rPr>
                      <w:t>20%</w:t>
                    </w:r>
                  </w:p>
                  <w:p w:rsidR="00F22F94" w:rsidRDefault="00F22F94">
                    <w:pPr>
                      <w:spacing w:before="125" w:line="235" w:lineRule="auto"/>
                      <w:ind w:left="27"/>
                      <w:rPr>
                        <w:b/>
                        <w:sz w:val="13"/>
                      </w:rPr>
                    </w:pPr>
                    <w:r>
                      <w:rPr>
                        <w:b/>
                        <w:sz w:val="13"/>
                      </w:rPr>
                      <w:t>16</w:t>
                    </w:r>
                    <w:r>
                      <w:rPr>
                        <w:b/>
                        <w:spacing w:val="16"/>
                        <w:sz w:val="13"/>
                      </w:rPr>
                      <w:t xml:space="preserve"> </w:t>
                    </w:r>
                    <w:r>
                      <w:rPr>
                        <w:b/>
                        <w:spacing w:val="-5"/>
                        <w:position w:val="-9"/>
                        <w:sz w:val="13"/>
                      </w:rPr>
                      <w:t>17</w:t>
                    </w:r>
                  </w:p>
                </w:txbxContent>
              </v:textbox>
            </v:shape>
            <v:shape id="docshape2368" o:spid="_x0000_s1665" type="#_x0000_t202" style="position:absolute;left:14475;top:1364;width:421;height:181" filled="f" stroked="f">
              <v:textbox inset="0,0,0,0">
                <w:txbxContent>
                  <w:p w:rsidR="00F22F94" w:rsidRDefault="00F22F94">
                    <w:pPr>
                      <w:spacing w:line="180" w:lineRule="exact"/>
                      <w:rPr>
                        <w:sz w:val="16"/>
                      </w:rPr>
                    </w:pPr>
                    <w:r>
                      <w:rPr>
                        <w:spacing w:val="-2"/>
                        <w:w w:val="80"/>
                        <w:sz w:val="16"/>
                      </w:rPr>
                      <w:t>Central</w:t>
                    </w:r>
                  </w:p>
                </w:txbxContent>
              </v:textbox>
            </v:shape>
            <v:shape id="docshape2369" o:spid="_x0000_s1664" type="#_x0000_t202" style="position:absolute;left:15145;top:1320;width:164;height:155" filled="f" stroked="f">
              <v:textbox inset="0,0,0,0">
                <w:txbxContent>
                  <w:p w:rsidR="00F22F94" w:rsidRDefault="00F22F94">
                    <w:pPr>
                      <w:spacing w:before="4"/>
                      <w:rPr>
                        <w:b/>
                        <w:sz w:val="13"/>
                      </w:rPr>
                    </w:pPr>
                    <w:r>
                      <w:rPr>
                        <w:b/>
                        <w:spacing w:val="-5"/>
                        <w:sz w:val="13"/>
                      </w:rPr>
                      <w:t>20</w:t>
                    </w:r>
                  </w:p>
                </w:txbxContent>
              </v:textbox>
            </v:shape>
            <v:shape id="docshape2370" o:spid="_x0000_s1663" type="#_x0000_t202" style="position:absolute;left:14475;top:1553;width:834;height:181" filled="f" stroked="f">
              <v:textbox inset="0,0,0,0">
                <w:txbxContent>
                  <w:p w:rsidR="00F22F94" w:rsidRDefault="00F22F94">
                    <w:pPr>
                      <w:spacing w:line="180" w:lineRule="exact"/>
                      <w:rPr>
                        <w:b/>
                        <w:sz w:val="13"/>
                      </w:rPr>
                    </w:pPr>
                    <w:r>
                      <w:rPr>
                        <w:w w:val="85"/>
                        <w:sz w:val="16"/>
                      </w:rPr>
                      <w:t>Coast</w:t>
                    </w:r>
                    <w:r>
                      <w:rPr>
                        <w:spacing w:val="-5"/>
                        <w:w w:val="85"/>
                        <w:sz w:val="16"/>
                      </w:rPr>
                      <w:t xml:space="preserve"> </w:t>
                    </w:r>
                    <w:r>
                      <w:rPr>
                        <w:w w:val="85"/>
                        <w:sz w:val="16"/>
                      </w:rPr>
                      <w:t>7%</w:t>
                    </w:r>
                    <w:r>
                      <w:rPr>
                        <w:spacing w:val="36"/>
                        <w:sz w:val="16"/>
                      </w:rPr>
                      <w:t xml:space="preserve"> </w:t>
                    </w:r>
                    <w:r>
                      <w:rPr>
                        <w:b/>
                        <w:spacing w:val="-5"/>
                        <w:w w:val="85"/>
                        <w:position w:val="1"/>
                        <w:sz w:val="13"/>
                      </w:rPr>
                      <w:t>21</w:t>
                    </w:r>
                  </w:p>
                </w:txbxContent>
              </v:textbox>
            </v:shape>
            <v:shape id="docshape2371" o:spid="_x0000_s1662" type="#_x0000_t202" style="position:absolute;left:12229;top:2344;width:730;height:370" filled="f" stroked="f">
              <v:textbox inset="0,0,0,0">
                <w:txbxContent>
                  <w:p w:rsidR="00F22F94" w:rsidRDefault="00F22F94">
                    <w:pPr>
                      <w:spacing w:line="247" w:lineRule="auto"/>
                      <w:ind w:right="10"/>
                      <w:rPr>
                        <w:sz w:val="16"/>
                      </w:rPr>
                    </w:pPr>
                    <w:r>
                      <w:rPr>
                        <w:spacing w:val="-2"/>
                        <w:w w:val="90"/>
                        <w:sz w:val="16"/>
                      </w:rPr>
                      <w:t>Western</w:t>
                    </w:r>
                    <w:r>
                      <w:rPr>
                        <w:sz w:val="16"/>
                      </w:rPr>
                      <w:t xml:space="preserve"> </w:t>
                    </w:r>
                    <w:r>
                      <w:rPr>
                        <w:spacing w:val="-2"/>
                        <w:w w:val="80"/>
                        <w:sz w:val="16"/>
                      </w:rPr>
                      <w:t>Sydney</w:t>
                    </w:r>
                    <w:r>
                      <w:rPr>
                        <w:spacing w:val="-10"/>
                        <w:sz w:val="16"/>
                      </w:rPr>
                      <w:t xml:space="preserve"> </w:t>
                    </w:r>
                    <w:r>
                      <w:rPr>
                        <w:spacing w:val="-2"/>
                        <w:w w:val="80"/>
                        <w:sz w:val="16"/>
                      </w:rPr>
                      <w:t>24%</w:t>
                    </w:r>
                  </w:p>
                </w:txbxContent>
              </v:textbox>
            </v:shape>
            <v:shape id="docshape2372" o:spid="_x0000_s1661" type="#_x0000_t202" style="position:absolute;left:14520;top:2081;width:249;height:441" filled="f" stroked="f">
              <v:textbox inset="0,0,0,0">
                <w:txbxContent>
                  <w:p w:rsidR="00F22F94" w:rsidRDefault="00F22F94">
                    <w:pPr>
                      <w:spacing w:before="4"/>
                      <w:ind w:left="84"/>
                      <w:rPr>
                        <w:b/>
                        <w:sz w:val="13"/>
                      </w:rPr>
                    </w:pPr>
                    <w:r>
                      <w:rPr>
                        <w:b/>
                        <w:spacing w:val="-5"/>
                        <w:sz w:val="13"/>
                      </w:rPr>
                      <w:t>22</w:t>
                    </w:r>
                  </w:p>
                  <w:p w:rsidR="00F22F94" w:rsidRDefault="00F22F94">
                    <w:pPr>
                      <w:spacing w:before="10"/>
                      <w:rPr>
                        <w:b/>
                        <w:sz w:val="11"/>
                      </w:rPr>
                    </w:pPr>
                  </w:p>
                  <w:p w:rsidR="00F22F94" w:rsidRDefault="00F22F94">
                    <w:pPr>
                      <w:rPr>
                        <w:b/>
                        <w:sz w:val="13"/>
                      </w:rPr>
                    </w:pPr>
                    <w:r>
                      <w:rPr>
                        <w:b/>
                        <w:spacing w:val="-5"/>
                        <w:sz w:val="13"/>
                      </w:rPr>
                      <w:t>23</w:t>
                    </w:r>
                  </w:p>
                </w:txbxContent>
              </v:textbox>
            </v:shape>
            <v:shape id="docshape2373" o:spid="_x0000_s1660" type="#_x0000_t202" style="position:absolute;left:14929;top:2023;width:730;height:370" filled="f" stroked="f">
              <v:textbox inset="0,0,0,0">
                <w:txbxContent>
                  <w:p w:rsidR="00F22F94" w:rsidRDefault="00F22F94">
                    <w:pPr>
                      <w:spacing w:line="247" w:lineRule="auto"/>
                      <w:ind w:right="10"/>
                      <w:rPr>
                        <w:sz w:val="16"/>
                      </w:rPr>
                    </w:pPr>
                    <w:r>
                      <w:rPr>
                        <w:spacing w:val="-2"/>
                        <w:w w:val="90"/>
                        <w:sz w:val="16"/>
                      </w:rPr>
                      <w:t>Northern</w:t>
                    </w:r>
                    <w:r>
                      <w:rPr>
                        <w:sz w:val="16"/>
                      </w:rPr>
                      <w:t xml:space="preserve"> </w:t>
                    </w:r>
                    <w:r>
                      <w:rPr>
                        <w:spacing w:val="-2"/>
                        <w:w w:val="80"/>
                        <w:sz w:val="16"/>
                      </w:rPr>
                      <w:t>Sydney</w:t>
                    </w:r>
                    <w:r>
                      <w:rPr>
                        <w:spacing w:val="-10"/>
                        <w:sz w:val="16"/>
                      </w:rPr>
                      <w:t xml:space="preserve"> </w:t>
                    </w:r>
                    <w:r>
                      <w:rPr>
                        <w:spacing w:val="-2"/>
                        <w:w w:val="80"/>
                        <w:sz w:val="16"/>
                      </w:rPr>
                      <w:t>16%</w:t>
                    </w:r>
                  </w:p>
                </w:txbxContent>
              </v:textbox>
            </v:shape>
            <v:shape id="docshape2374" o:spid="_x0000_s1659" type="#_x0000_t202" style="position:absolute;left:13105;top:2627;width:164;height:155" filled="f" stroked="f">
              <v:textbox inset="0,0,0,0">
                <w:txbxContent>
                  <w:p w:rsidR="00F22F94" w:rsidRDefault="00F22F94">
                    <w:pPr>
                      <w:spacing w:before="4"/>
                      <w:rPr>
                        <w:b/>
                        <w:sz w:val="13"/>
                      </w:rPr>
                    </w:pPr>
                    <w:r>
                      <w:rPr>
                        <w:b/>
                        <w:spacing w:val="-5"/>
                        <w:sz w:val="13"/>
                      </w:rPr>
                      <w:t>18</w:t>
                    </w:r>
                  </w:p>
                </w:txbxContent>
              </v:textbox>
            </v:shape>
            <v:shape id="docshape2375" o:spid="_x0000_s1658" type="#_x0000_t202" style="position:absolute;left:14862;top:2627;width:730;height:181" filled="f" stroked="f">
              <v:textbox inset="0,0,0,0">
                <w:txbxContent>
                  <w:p w:rsidR="00F22F94" w:rsidRDefault="00F22F94">
                    <w:pPr>
                      <w:spacing w:line="180" w:lineRule="exact"/>
                      <w:rPr>
                        <w:sz w:val="16"/>
                      </w:rPr>
                    </w:pPr>
                    <w:r>
                      <w:rPr>
                        <w:w w:val="75"/>
                        <w:sz w:val="16"/>
                      </w:rPr>
                      <w:t>Sydney</w:t>
                    </w:r>
                    <w:r>
                      <w:rPr>
                        <w:spacing w:val="-3"/>
                        <w:w w:val="90"/>
                        <w:sz w:val="16"/>
                      </w:rPr>
                      <w:t xml:space="preserve"> </w:t>
                    </w:r>
                    <w:r>
                      <w:rPr>
                        <w:spacing w:val="-5"/>
                        <w:w w:val="90"/>
                        <w:sz w:val="16"/>
                      </w:rPr>
                      <w:t>16%</w:t>
                    </w:r>
                  </w:p>
                </w:txbxContent>
              </v:textbox>
            </v:shape>
            <v:shape id="docshape2376" o:spid="_x0000_s1657" type="#_x0000_t202" style="position:absolute;left:12918;top:2776;width:1117;height:375" filled="f" stroked="f">
              <v:textbox inset="0,0,0,0">
                <w:txbxContent>
                  <w:p w:rsidR="00F22F94" w:rsidRDefault="00F22F94">
                    <w:pPr>
                      <w:spacing w:line="247" w:lineRule="auto"/>
                      <w:rPr>
                        <w:sz w:val="16"/>
                      </w:rPr>
                    </w:pPr>
                    <w:r>
                      <w:rPr>
                        <w:color w:val="FFFFFF"/>
                        <w:spacing w:val="-2"/>
                        <w:w w:val="85"/>
                        <w:sz w:val="16"/>
                      </w:rPr>
                      <w:t>Southern</w:t>
                    </w:r>
                    <w:r>
                      <w:rPr>
                        <w:color w:val="FFFFFF"/>
                        <w:spacing w:val="-3"/>
                        <w:w w:val="85"/>
                        <w:sz w:val="16"/>
                      </w:rPr>
                      <w:t xml:space="preserve"> </w:t>
                    </w:r>
                    <w:r>
                      <w:rPr>
                        <w:color w:val="FFFFFF"/>
                        <w:spacing w:val="-2"/>
                        <w:w w:val="85"/>
                        <w:sz w:val="16"/>
                      </w:rPr>
                      <w:t>Western</w:t>
                    </w:r>
                    <w:r>
                      <w:rPr>
                        <w:color w:val="FFFFFF"/>
                        <w:spacing w:val="-2"/>
                        <w:w w:val="95"/>
                        <w:sz w:val="16"/>
                      </w:rPr>
                      <w:t xml:space="preserve"> </w:t>
                    </w:r>
                    <w:r>
                      <w:rPr>
                        <w:color w:val="FFFFFF"/>
                        <w:w w:val="95"/>
                        <w:sz w:val="16"/>
                      </w:rPr>
                      <w:t>Sydney</w:t>
                    </w:r>
                    <w:r>
                      <w:rPr>
                        <w:color w:val="FFFFFF"/>
                        <w:spacing w:val="-8"/>
                        <w:w w:val="95"/>
                        <w:sz w:val="16"/>
                      </w:rPr>
                      <w:t xml:space="preserve"> </w:t>
                    </w:r>
                    <w:r>
                      <w:rPr>
                        <w:color w:val="FFFFFF"/>
                        <w:w w:val="95"/>
                        <w:sz w:val="16"/>
                      </w:rPr>
                      <w:t>16%</w:t>
                    </w:r>
                  </w:p>
                </w:txbxContent>
              </v:textbox>
            </v:shape>
            <v:shape id="docshape2377" o:spid="_x0000_s1656" type="#_x0000_t202" style="position:absolute;left:14334;top:2675;width:164;height:155" filled="f" stroked="f">
              <v:textbox inset="0,0,0,0">
                <w:txbxContent>
                  <w:p w:rsidR="00F22F94" w:rsidRDefault="00F22F94">
                    <w:pPr>
                      <w:spacing w:before="4"/>
                      <w:rPr>
                        <w:b/>
                        <w:sz w:val="13"/>
                      </w:rPr>
                    </w:pPr>
                    <w:r>
                      <w:rPr>
                        <w:b/>
                        <w:spacing w:val="-5"/>
                        <w:sz w:val="13"/>
                      </w:rPr>
                      <w:t>24</w:t>
                    </w:r>
                  </w:p>
                </w:txbxContent>
              </v:textbox>
            </v:shape>
            <v:shape id="docshape2378" o:spid="_x0000_s1655" type="#_x0000_t202" style="position:absolute;left:14580;top:3427;width:804;height:370" filled="f" stroked="f">
              <v:textbox inset="0,0,0,0">
                <w:txbxContent>
                  <w:p w:rsidR="00F22F94" w:rsidRDefault="00F22F94">
                    <w:pPr>
                      <w:spacing w:line="247" w:lineRule="auto"/>
                      <w:rPr>
                        <w:sz w:val="16"/>
                      </w:rPr>
                    </w:pPr>
                    <w:r>
                      <w:rPr>
                        <w:w w:val="75"/>
                        <w:sz w:val="16"/>
                      </w:rPr>
                      <w:t>South Eastern</w:t>
                    </w:r>
                    <w:r>
                      <w:rPr>
                        <w:sz w:val="16"/>
                      </w:rPr>
                      <w:t xml:space="preserve"> </w:t>
                    </w:r>
                    <w:r>
                      <w:rPr>
                        <w:w w:val="85"/>
                        <w:sz w:val="16"/>
                      </w:rPr>
                      <w:t>Sydney</w:t>
                    </w:r>
                    <w:r>
                      <w:rPr>
                        <w:spacing w:val="-5"/>
                        <w:w w:val="85"/>
                        <w:sz w:val="16"/>
                      </w:rPr>
                      <w:t xml:space="preserve"> </w:t>
                    </w:r>
                    <w:r>
                      <w:rPr>
                        <w:w w:val="85"/>
                        <w:sz w:val="16"/>
                      </w:rPr>
                      <w:t>17%</w:t>
                    </w:r>
                  </w:p>
                </w:txbxContent>
              </v:textbox>
            </v:shape>
            <v:shape id="docshape2379" o:spid="_x0000_s1654" type="#_x0000_t202" style="position:absolute;left:6236;top:254;width:6853;height:214" filled="f" stroked="f">
              <v:textbox inset="0,0,0,0">
                <w:txbxContent>
                  <w:p w:rsidR="00F22F94" w:rsidRDefault="00F22F94">
                    <w:pPr>
                      <w:spacing w:before="5"/>
                      <w:rPr>
                        <w:b/>
                        <w:sz w:val="18"/>
                      </w:rPr>
                    </w:pPr>
                    <w:r>
                      <w:rPr>
                        <w:b/>
                        <w:sz w:val="18"/>
                      </w:rPr>
                      <w:t>Figure</w:t>
                    </w:r>
                    <w:r>
                      <w:rPr>
                        <w:b/>
                        <w:spacing w:val="-7"/>
                        <w:sz w:val="18"/>
                      </w:rPr>
                      <w:t xml:space="preserve"> </w:t>
                    </w:r>
                    <w:r>
                      <w:rPr>
                        <w:b/>
                        <w:sz w:val="18"/>
                      </w:rPr>
                      <w:t>13.3</w:t>
                    </w:r>
                    <w:r>
                      <w:rPr>
                        <w:b/>
                        <w:spacing w:val="38"/>
                        <w:sz w:val="18"/>
                      </w:rPr>
                      <w:t xml:space="preserve"> </w:t>
                    </w:r>
                    <w:r>
                      <w:rPr>
                        <w:b/>
                        <w:sz w:val="18"/>
                      </w:rPr>
                      <w:t>Projected</w:t>
                    </w:r>
                    <w:r>
                      <w:rPr>
                        <w:b/>
                        <w:spacing w:val="-6"/>
                        <w:sz w:val="18"/>
                      </w:rPr>
                      <w:t xml:space="preserve"> </w:t>
                    </w:r>
                    <w:r>
                      <w:rPr>
                        <w:b/>
                        <w:sz w:val="18"/>
                      </w:rPr>
                      <w:t>growths</w:t>
                    </w:r>
                    <w:r>
                      <w:rPr>
                        <w:b/>
                        <w:spacing w:val="-7"/>
                        <w:sz w:val="18"/>
                      </w:rPr>
                      <w:t xml:space="preserve"> </w:t>
                    </w:r>
                    <w:r>
                      <w:rPr>
                        <w:b/>
                        <w:sz w:val="18"/>
                      </w:rPr>
                      <w:t>in</w:t>
                    </w:r>
                    <w:r>
                      <w:rPr>
                        <w:b/>
                        <w:spacing w:val="-6"/>
                        <w:sz w:val="18"/>
                      </w:rPr>
                      <w:t xml:space="preserve"> </w:t>
                    </w:r>
                    <w:r>
                      <w:rPr>
                        <w:b/>
                        <w:sz w:val="18"/>
                      </w:rPr>
                      <w:t>rural</w:t>
                    </w:r>
                    <w:r>
                      <w:rPr>
                        <w:b/>
                        <w:spacing w:val="-7"/>
                        <w:sz w:val="18"/>
                      </w:rPr>
                      <w:t xml:space="preserve"> </w:t>
                    </w:r>
                    <w:r>
                      <w:rPr>
                        <w:b/>
                        <w:sz w:val="18"/>
                      </w:rPr>
                      <w:t>acute</w:t>
                    </w:r>
                    <w:r>
                      <w:rPr>
                        <w:b/>
                        <w:spacing w:val="-6"/>
                        <w:sz w:val="18"/>
                      </w:rPr>
                      <w:t xml:space="preserve"> </w:t>
                    </w:r>
                    <w:r>
                      <w:rPr>
                        <w:b/>
                        <w:sz w:val="18"/>
                      </w:rPr>
                      <w:t>activity</w:t>
                    </w:r>
                    <w:r>
                      <w:rPr>
                        <w:b/>
                        <w:spacing w:val="-6"/>
                        <w:sz w:val="18"/>
                      </w:rPr>
                      <w:t xml:space="preserve"> </w:t>
                    </w:r>
                    <w:r>
                      <w:rPr>
                        <w:b/>
                        <w:sz w:val="18"/>
                      </w:rPr>
                      <w:t>and</w:t>
                    </w:r>
                    <w:r>
                      <w:rPr>
                        <w:b/>
                        <w:spacing w:val="-7"/>
                        <w:sz w:val="18"/>
                      </w:rPr>
                      <w:t xml:space="preserve"> </w:t>
                    </w:r>
                    <w:r>
                      <w:rPr>
                        <w:b/>
                        <w:sz w:val="18"/>
                      </w:rPr>
                      <w:t>major</w:t>
                    </w:r>
                    <w:r>
                      <w:rPr>
                        <w:b/>
                        <w:spacing w:val="-6"/>
                        <w:sz w:val="18"/>
                      </w:rPr>
                      <w:t xml:space="preserve"> </w:t>
                    </w:r>
                    <w:r>
                      <w:rPr>
                        <w:b/>
                        <w:sz w:val="18"/>
                      </w:rPr>
                      <w:t>hospital</w:t>
                    </w:r>
                    <w:r>
                      <w:rPr>
                        <w:b/>
                        <w:spacing w:val="-7"/>
                        <w:sz w:val="18"/>
                      </w:rPr>
                      <w:t xml:space="preserve"> </w:t>
                    </w:r>
                    <w:r>
                      <w:rPr>
                        <w:b/>
                        <w:spacing w:val="-2"/>
                        <w:sz w:val="18"/>
                      </w:rPr>
                      <w:t>projects</w:t>
                    </w:r>
                  </w:p>
                </w:txbxContent>
              </v:textbox>
            </v:shape>
            <v:shape id="docshape2380" o:spid="_x0000_s1653" type="#_x0000_t202" style="position:absolute;left:10075;top:1368;width:1063;height:630" filled="f" stroked="f">
              <v:textbox inset="0,0,0,0">
                <w:txbxContent>
                  <w:p w:rsidR="00F22F94" w:rsidRDefault="00F22F94">
                    <w:pPr>
                      <w:spacing w:before="4"/>
                      <w:ind w:left="294"/>
                      <w:rPr>
                        <w:b/>
                        <w:sz w:val="13"/>
                      </w:rPr>
                    </w:pPr>
                    <w:r>
                      <w:rPr>
                        <w:b/>
                        <w:w w:val="99"/>
                        <w:sz w:val="13"/>
                      </w:rPr>
                      <w:t>6</w:t>
                    </w:r>
                  </w:p>
                  <w:p w:rsidR="00F22F94" w:rsidRDefault="00F22F94">
                    <w:pPr>
                      <w:spacing w:before="105"/>
                      <w:ind w:left="6" w:right="62"/>
                      <w:jc w:val="center"/>
                      <w:rPr>
                        <w:sz w:val="16"/>
                      </w:rPr>
                    </w:pPr>
                    <w:r>
                      <w:rPr>
                        <w:spacing w:val="-2"/>
                        <w:w w:val="85"/>
                        <w:sz w:val="16"/>
                      </w:rPr>
                      <w:t>Hunter</w:t>
                    </w:r>
                  </w:p>
                  <w:p w:rsidR="00F22F94" w:rsidRDefault="00F22F94">
                    <w:pPr>
                      <w:spacing w:before="5" w:line="183" w:lineRule="exact"/>
                      <w:ind w:left="6" w:right="24"/>
                      <w:jc w:val="center"/>
                      <w:rPr>
                        <w:sz w:val="16"/>
                      </w:rPr>
                    </w:pPr>
                    <w:r>
                      <w:rPr>
                        <w:w w:val="75"/>
                        <w:sz w:val="16"/>
                      </w:rPr>
                      <w:t>New</w:t>
                    </w:r>
                    <w:r>
                      <w:rPr>
                        <w:spacing w:val="-1"/>
                        <w:sz w:val="16"/>
                      </w:rPr>
                      <w:t xml:space="preserve"> </w:t>
                    </w:r>
                    <w:r>
                      <w:rPr>
                        <w:w w:val="75"/>
                        <w:sz w:val="16"/>
                      </w:rPr>
                      <w:t>England</w:t>
                    </w:r>
                    <w:r>
                      <w:rPr>
                        <w:spacing w:val="-1"/>
                        <w:sz w:val="16"/>
                      </w:rPr>
                      <w:t xml:space="preserve"> </w:t>
                    </w:r>
                    <w:r>
                      <w:rPr>
                        <w:spacing w:val="-5"/>
                        <w:w w:val="75"/>
                        <w:sz w:val="16"/>
                      </w:rPr>
                      <w:t>13%</w:t>
                    </w:r>
                  </w:p>
                </w:txbxContent>
              </v:textbox>
            </v:shape>
            <v:shape id="docshape2381" o:spid="_x0000_s1652" type="#_x0000_t202" style="position:absolute;left:6589;top:2196;width:881;height:181" filled="f" stroked="f">
              <v:textbox inset="0,0,0,0">
                <w:txbxContent>
                  <w:p w:rsidR="00F22F94" w:rsidRDefault="00F22F94">
                    <w:pPr>
                      <w:spacing w:line="180" w:lineRule="exact"/>
                      <w:rPr>
                        <w:sz w:val="16"/>
                      </w:rPr>
                    </w:pPr>
                    <w:r>
                      <w:rPr>
                        <w:w w:val="75"/>
                        <w:sz w:val="16"/>
                      </w:rPr>
                      <w:t>Far</w:t>
                    </w:r>
                    <w:r>
                      <w:rPr>
                        <w:spacing w:val="-2"/>
                        <w:sz w:val="16"/>
                      </w:rPr>
                      <w:t xml:space="preserve"> </w:t>
                    </w:r>
                    <w:r>
                      <w:rPr>
                        <w:w w:val="75"/>
                        <w:sz w:val="16"/>
                      </w:rPr>
                      <w:t>West</w:t>
                    </w:r>
                    <w:r>
                      <w:rPr>
                        <w:spacing w:val="-2"/>
                        <w:sz w:val="16"/>
                      </w:rPr>
                      <w:t xml:space="preserve"> </w:t>
                    </w:r>
                    <w:r>
                      <w:rPr>
                        <w:w w:val="75"/>
                        <w:sz w:val="16"/>
                      </w:rPr>
                      <w:t>-</w:t>
                    </w:r>
                    <w:r>
                      <w:rPr>
                        <w:spacing w:val="-5"/>
                        <w:w w:val="75"/>
                        <w:sz w:val="16"/>
                      </w:rPr>
                      <w:t>10%</w:t>
                    </w:r>
                  </w:p>
                </w:txbxContent>
              </v:textbox>
            </v:shape>
            <v:shape id="docshape2382" o:spid="_x0000_s1651" type="#_x0000_t202" style="position:absolute;left:8628;top:2087;width:716;height:181" filled="f" stroked="f">
              <v:textbox inset="0,0,0,0">
                <w:txbxContent>
                  <w:p w:rsidR="00F22F94" w:rsidRDefault="00F22F94">
                    <w:pPr>
                      <w:spacing w:line="180" w:lineRule="exact"/>
                      <w:rPr>
                        <w:sz w:val="16"/>
                      </w:rPr>
                    </w:pPr>
                    <w:r>
                      <w:rPr>
                        <w:w w:val="75"/>
                        <w:sz w:val="16"/>
                      </w:rPr>
                      <w:t>Western</w:t>
                    </w:r>
                    <w:r>
                      <w:rPr>
                        <w:spacing w:val="10"/>
                        <w:sz w:val="16"/>
                      </w:rPr>
                      <w:t xml:space="preserve"> </w:t>
                    </w:r>
                    <w:r>
                      <w:rPr>
                        <w:spacing w:val="-7"/>
                        <w:w w:val="85"/>
                        <w:sz w:val="16"/>
                      </w:rPr>
                      <w:t>5%</w:t>
                    </w:r>
                  </w:p>
                </w:txbxContent>
              </v:textbox>
            </v:shape>
            <v:shape id="docshape2383" o:spid="_x0000_s1650" type="#_x0000_t202" style="position:absolute;left:10727;top:2193;width:92;height:155" filled="f" stroked="f">
              <v:textbox inset="0,0,0,0">
                <w:txbxContent>
                  <w:p w:rsidR="00F22F94" w:rsidRDefault="00F22F94">
                    <w:pPr>
                      <w:spacing w:before="4"/>
                      <w:rPr>
                        <w:b/>
                        <w:sz w:val="13"/>
                      </w:rPr>
                    </w:pPr>
                    <w:r>
                      <w:rPr>
                        <w:b/>
                        <w:w w:val="99"/>
                        <w:sz w:val="13"/>
                      </w:rPr>
                      <w:t>1</w:t>
                    </w:r>
                  </w:p>
                </w:txbxContent>
              </v:textbox>
            </v:shape>
            <v:shape id="docshape2384" o:spid="_x0000_s1649" type="#_x0000_t202" style="position:absolute;left:11430;top:1195;width:657;height:1284" filled="f" stroked="f">
              <v:textbox inset="0,0,0,0">
                <w:txbxContent>
                  <w:p w:rsidR="00F22F94" w:rsidRDefault="00F22F94">
                    <w:pPr>
                      <w:spacing w:line="247" w:lineRule="auto"/>
                      <w:rPr>
                        <w:sz w:val="16"/>
                      </w:rPr>
                    </w:pPr>
                    <w:r>
                      <w:rPr>
                        <w:spacing w:val="-2"/>
                        <w:w w:val="75"/>
                        <w:sz w:val="16"/>
                      </w:rPr>
                      <w:t>Northern</w:t>
                    </w:r>
                    <w:r>
                      <w:rPr>
                        <w:sz w:val="16"/>
                      </w:rPr>
                      <w:t xml:space="preserve"> </w:t>
                    </w:r>
                    <w:r>
                      <w:rPr>
                        <w:spacing w:val="-4"/>
                        <w:w w:val="90"/>
                        <w:sz w:val="16"/>
                      </w:rPr>
                      <w:t>13%</w:t>
                    </w:r>
                  </w:p>
                  <w:p w:rsidR="00F22F94" w:rsidRDefault="00F22F94">
                    <w:pPr>
                      <w:spacing w:before="137" w:line="247" w:lineRule="auto"/>
                      <w:ind w:left="11" w:right="8"/>
                      <w:rPr>
                        <w:sz w:val="16"/>
                      </w:rPr>
                    </w:pPr>
                    <w:r>
                      <w:rPr>
                        <w:w w:val="90"/>
                        <w:sz w:val="16"/>
                      </w:rPr>
                      <w:t>Mid</w:t>
                    </w:r>
                    <w:r>
                      <w:rPr>
                        <w:spacing w:val="-7"/>
                        <w:w w:val="90"/>
                        <w:sz w:val="16"/>
                      </w:rPr>
                      <w:t xml:space="preserve"> </w:t>
                    </w:r>
                    <w:r>
                      <w:rPr>
                        <w:w w:val="90"/>
                        <w:sz w:val="16"/>
                      </w:rPr>
                      <w:t>North</w:t>
                    </w:r>
                    <w:r>
                      <w:rPr>
                        <w:sz w:val="16"/>
                      </w:rPr>
                      <w:t xml:space="preserve"> </w:t>
                    </w:r>
                    <w:r>
                      <w:rPr>
                        <w:w w:val="75"/>
                        <w:sz w:val="16"/>
                      </w:rPr>
                      <w:t>Coast</w:t>
                    </w:r>
                    <w:r>
                      <w:rPr>
                        <w:spacing w:val="-3"/>
                        <w:sz w:val="16"/>
                      </w:rPr>
                      <w:t xml:space="preserve"> </w:t>
                    </w:r>
                    <w:r>
                      <w:rPr>
                        <w:spacing w:val="-5"/>
                        <w:w w:val="85"/>
                        <w:sz w:val="16"/>
                      </w:rPr>
                      <w:t>13%</w:t>
                    </w:r>
                  </w:p>
                  <w:p w:rsidR="00F22F94" w:rsidRDefault="00F22F94">
                    <w:pPr>
                      <w:spacing w:before="30"/>
                      <w:ind w:left="88"/>
                      <w:rPr>
                        <w:b/>
                        <w:sz w:val="13"/>
                      </w:rPr>
                    </w:pPr>
                    <w:r>
                      <w:rPr>
                        <w:b/>
                        <w:w w:val="99"/>
                        <w:sz w:val="13"/>
                      </w:rPr>
                      <w:t>8</w:t>
                    </w:r>
                  </w:p>
                  <w:p w:rsidR="00F22F94" w:rsidRDefault="00F22F94">
                    <w:pPr>
                      <w:spacing w:before="58"/>
                      <w:ind w:left="77"/>
                      <w:rPr>
                        <w:b/>
                        <w:sz w:val="13"/>
                      </w:rPr>
                    </w:pPr>
                    <w:r>
                      <w:rPr>
                        <w:b/>
                        <w:w w:val="99"/>
                        <w:sz w:val="13"/>
                      </w:rPr>
                      <w:t>7</w:t>
                    </w:r>
                  </w:p>
                </w:txbxContent>
              </v:textbox>
            </v:shape>
            <v:shape id="docshape2385" o:spid="_x0000_s1648" type="#_x0000_t202" style="position:absolute;left:9465;top:2627;width:291;height:155" filled="f" stroked="f">
              <v:textbox inset="0,0,0,0">
                <w:txbxContent>
                  <w:p w:rsidR="00F22F94" w:rsidRDefault="00F22F94">
                    <w:pPr>
                      <w:spacing w:before="4"/>
                      <w:rPr>
                        <w:b/>
                        <w:sz w:val="13"/>
                      </w:rPr>
                    </w:pPr>
                    <w:r>
                      <w:rPr>
                        <w:b/>
                        <w:sz w:val="13"/>
                      </w:rPr>
                      <w:t>5</w:t>
                    </w:r>
                    <w:r>
                      <w:rPr>
                        <w:b/>
                        <w:spacing w:val="71"/>
                        <w:w w:val="150"/>
                        <w:sz w:val="13"/>
                      </w:rPr>
                      <w:t xml:space="preserve"> </w:t>
                    </w:r>
                    <w:r>
                      <w:rPr>
                        <w:b/>
                        <w:spacing w:val="-12"/>
                        <w:sz w:val="13"/>
                      </w:rPr>
                      <w:t>3</w:t>
                    </w:r>
                  </w:p>
                </w:txbxContent>
              </v:textbox>
            </v:shape>
            <v:shape id="docshape2386" o:spid="_x0000_s1647" type="#_x0000_t202" style="position:absolute;left:10166;top:2726;width:92;height:155" filled="f" stroked="f">
              <v:textbox inset="0,0,0,0">
                <w:txbxContent>
                  <w:p w:rsidR="00F22F94" w:rsidRDefault="00F22F94">
                    <w:pPr>
                      <w:spacing w:before="4"/>
                      <w:rPr>
                        <w:b/>
                        <w:sz w:val="13"/>
                      </w:rPr>
                    </w:pPr>
                    <w:r>
                      <w:rPr>
                        <w:b/>
                        <w:w w:val="99"/>
                        <w:sz w:val="13"/>
                      </w:rPr>
                      <w:t>4</w:t>
                    </w:r>
                  </w:p>
                </w:txbxContent>
              </v:textbox>
            </v:shape>
            <v:shape id="docshape2387" o:spid="_x0000_s1646" type="#_x0000_t202" style="position:absolute;left:9315;top:3017;width:92;height:155" filled="f" stroked="f">
              <v:textbox inset="0,0,0,0">
                <w:txbxContent>
                  <w:p w:rsidR="00F22F94" w:rsidRDefault="00F22F94">
                    <w:pPr>
                      <w:spacing w:before="4"/>
                      <w:rPr>
                        <w:b/>
                        <w:sz w:val="13"/>
                      </w:rPr>
                    </w:pPr>
                    <w:r>
                      <w:rPr>
                        <w:b/>
                        <w:w w:val="99"/>
                        <w:sz w:val="13"/>
                      </w:rPr>
                      <w:t>2</w:t>
                    </w:r>
                  </w:p>
                </w:txbxContent>
              </v:textbox>
            </v:shape>
            <v:shape id="docshape2388" o:spid="_x0000_s1645" type="#_x0000_t202" style="position:absolute;left:10658;top:2918;width:164;height:155" filled="f" stroked="f">
              <v:textbox inset="0,0,0,0">
                <w:txbxContent>
                  <w:p w:rsidR="00F22F94" w:rsidRDefault="00F22F94">
                    <w:pPr>
                      <w:spacing w:before="4"/>
                      <w:rPr>
                        <w:b/>
                        <w:sz w:val="13"/>
                      </w:rPr>
                    </w:pPr>
                    <w:r>
                      <w:rPr>
                        <w:b/>
                        <w:spacing w:val="-5"/>
                        <w:sz w:val="13"/>
                      </w:rPr>
                      <w:t>10</w:t>
                    </w:r>
                  </w:p>
                </w:txbxContent>
              </v:textbox>
            </v:shape>
            <v:shape id="docshape2389" o:spid="_x0000_s1644" type="#_x0000_t202" style="position:absolute;left:10866;top:3102;width:92;height:155" filled="f" stroked="f">
              <v:textbox inset="0,0,0,0">
                <w:txbxContent>
                  <w:p w:rsidR="00F22F94" w:rsidRDefault="00F22F94">
                    <w:pPr>
                      <w:spacing w:before="4"/>
                      <w:rPr>
                        <w:b/>
                        <w:sz w:val="13"/>
                      </w:rPr>
                    </w:pPr>
                    <w:r>
                      <w:rPr>
                        <w:b/>
                        <w:w w:val="99"/>
                        <w:sz w:val="13"/>
                      </w:rPr>
                      <w:t>9</w:t>
                    </w:r>
                  </w:p>
                </w:txbxContent>
              </v:textbox>
            </v:shape>
            <v:shape id="docshape2390" o:spid="_x0000_s1643" type="#_x0000_t202" style="position:absolute;left:8237;top:3601;width:1231;height:442" filled="f" stroked="f">
              <v:textbox inset="0,0,0,0">
                <w:txbxContent>
                  <w:p w:rsidR="00F22F94" w:rsidRDefault="00F22F94">
                    <w:pPr>
                      <w:spacing w:before="1"/>
                      <w:rPr>
                        <w:sz w:val="16"/>
                      </w:rPr>
                    </w:pPr>
                    <w:r>
                      <w:rPr>
                        <w:color w:val="FFFFFF"/>
                        <w:w w:val="85"/>
                        <w:sz w:val="16"/>
                      </w:rPr>
                      <w:t>Murrumbidgee</w:t>
                    </w:r>
                    <w:r>
                      <w:rPr>
                        <w:color w:val="FFFFFF"/>
                        <w:spacing w:val="13"/>
                        <w:sz w:val="16"/>
                      </w:rPr>
                      <w:t xml:space="preserve"> </w:t>
                    </w:r>
                    <w:r>
                      <w:rPr>
                        <w:color w:val="FFFFFF"/>
                        <w:spacing w:val="-5"/>
                        <w:w w:val="90"/>
                        <w:sz w:val="16"/>
                      </w:rPr>
                      <w:t>16%</w:t>
                    </w:r>
                  </w:p>
                  <w:p w:rsidR="00F22F94" w:rsidRDefault="00F22F94">
                    <w:pPr>
                      <w:spacing w:before="106"/>
                      <w:ind w:left="595"/>
                      <w:rPr>
                        <w:b/>
                        <w:sz w:val="13"/>
                      </w:rPr>
                    </w:pPr>
                    <w:r>
                      <w:rPr>
                        <w:b/>
                        <w:sz w:val="13"/>
                      </w:rPr>
                      <w:t>13</w:t>
                    </w:r>
                    <w:r>
                      <w:rPr>
                        <w:b/>
                        <w:spacing w:val="63"/>
                        <w:sz w:val="13"/>
                      </w:rPr>
                      <w:t xml:space="preserve"> </w:t>
                    </w:r>
                    <w:r>
                      <w:rPr>
                        <w:b/>
                        <w:spacing w:val="-7"/>
                        <w:sz w:val="13"/>
                      </w:rPr>
                      <w:t>14</w:t>
                    </w:r>
                  </w:p>
                </w:txbxContent>
              </v:textbox>
            </v:shape>
            <v:shape id="docshape2391" o:spid="_x0000_s1642" type="#_x0000_t202" style="position:absolute;left:10031;top:3768;width:164;height:155" filled="f" stroked="f">
              <v:textbox inset="0,0,0,0">
                <w:txbxContent>
                  <w:p w:rsidR="00F22F94" w:rsidRDefault="00F22F94">
                    <w:pPr>
                      <w:spacing w:before="4"/>
                      <w:rPr>
                        <w:b/>
                        <w:sz w:val="13"/>
                      </w:rPr>
                    </w:pPr>
                    <w:r>
                      <w:rPr>
                        <w:b/>
                        <w:spacing w:val="-5"/>
                        <w:sz w:val="13"/>
                      </w:rPr>
                      <w:t>11</w:t>
                    </w:r>
                  </w:p>
                </w:txbxContent>
              </v:textbox>
            </v:shape>
            <v:shape id="docshape2392" o:spid="_x0000_s1641" type="#_x0000_t202" style="position:absolute;left:9001;top:4332;width:125;height:98" filled="f" stroked="f">
              <v:textbox inset="0,0,0,0">
                <w:txbxContent>
                  <w:p w:rsidR="00F22F94" w:rsidRDefault="00F22F94">
                    <w:pPr>
                      <w:spacing w:before="5"/>
                      <w:rPr>
                        <w:sz w:val="8"/>
                      </w:rPr>
                    </w:pPr>
                    <w:r>
                      <w:rPr>
                        <w:spacing w:val="-5"/>
                        <w:sz w:val="8"/>
                      </w:rPr>
                      <w:t>4%</w:t>
                    </w:r>
                  </w:p>
                </w:txbxContent>
              </v:textbox>
            </v:shape>
            <v:shape id="docshape2393" o:spid="_x0000_s1640" type="#_x0000_t202" style="position:absolute;left:9694;top:4316;width:640;height:556" filled="f" stroked="f">
              <v:textbox inset="0,0,0,0">
                <w:txbxContent>
                  <w:p w:rsidR="00F22F94" w:rsidRDefault="00F22F94">
                    <w:pPr>
                      <w:spacing w:before="1" w:line="247" w:lineRule="auto"/>
                      <w:rPr>
                        <w:sz w:val="16"/>
                      </w:rPr>
                    </w:pPr>
                    <w:r>
                      <w:rPr>
                        <w:color w:val="FFFFFF"/>
                        <w:spacing w:val="-2"/>
                        <w:w w:val="85"/>
                        <w:sz w:val="16"/>
                      </w:rPr>
                      <w:t>Southern</w:t>
                    </w:r>
                    <w:r>
                      <w:rPr>
                        <w:color w:val="FFFFFF"/>
                        <w:spacing w:val="-2"/>
                        <w:w w:val="95"/>
                        <w:sz w:val="16"/>
                      </w:rPr>
                      <w:t xml:space="preserve"> </w:t>
                    </w:r>
                    <w:r>
                      <w:rPr>
                        <w:color w:val="FFFFFF"/>
                        <w:spacing w:val="-4"/>
                        <w:w w:val="95"/>
                        <w:sz w:val="16"/>
                      </w:rPr>
                      <w:t>24%</w:t>
                    </w:r>
                  </w:p>
                  <w:p w:rsidR="00F22F94" w:rsidRDefault="00F22F94">
                    <w:pPr>
                      <w:spacing w:before="25"/>
                      <w:ind w:right="18"/>
                      <w:jc w:val="right"/>
                      <w:rPr>
                        <w:b/>
                        <w:sz w:val="13"/>
                      </w:rPr>
                    </w:pPr>
                    <w:r>
                      <w:rPr>
                        <w:b/>
                        <w:spacing w:val="-5"/>
                        <w:sz w:val="13"/>
                      </w:rPr>
                      <w:t>12</w:t>
                    </w:r>
                  </w:p>
                </w:txbxContent>
              </v:textbox>
            </v:shape>
            <v:shape id="docshape2394" o:spid="_x0000_s1639" type="#_x0000_t202" style="position:absolute;left:10429;top:3735;width:2589;height:1686" filled="f" stroked="f">
              <v:textbox inset="0,0,0,0">
                <w:txbxContent>
                  <w:p w:rsidR="00F22F94" w:rsidRDefault="00F22F94">
                    <w:pPr>
                      <w:spacing w:line="247" w:lineRule="auto"/>
                      <w:ind w:right="1446"/>
                      <w:rPr>
                        <w:sz w:val="16"/>
                      </w:rPr>
                    </w:pPr>
                    <w:r>
                      <w:rPr>
                        <w:spacing w:val="-2"/>
                        <w:w w:val="90"/>
                        <w:sz w:val="16"/>
                      </w:rPr>
                      <w:t>Illawarra</w:t>
                    </w:r>
                    <w:r>
                      <w:rPr>
                        <w:sz w:val="16"/>
                      </w:rPr>
                      <w:t xml:space="preserve"> </w:t>
                    </w:r>
                    <w:r>
                      <w:rPr>
                        <w:spacing w:val="-4"/>
                        <w:w w:val="80"/>
                        <w:sz w:val="16"/>
                      </w:rPr>
                      <w:t>Shoalhaven</w:t>
                    </w:r>
                    <w:r>
                      <w:rPr>
                        <w:spacing w:val="-8"/>
                        <w:sz w:val="16"/>
                      </w:rPr>
                      <w:t xml:space="preserve"> </w:t>
                    </w:r>
                    <w:r>
                      <w:rPr>
                        <w:spacing w:val="-4"/>
                        <w:w w:val="80"/>
                        <w:sz w:val="16"/>
                      </w:rPr>
                      <w:t>6%</w:t>
                    </w:r>
                  </w:p>
                  <w:p w:rsidR="00F22F94" w:rsidRDefault="00F22F94">
                    <w:pPr>
                      <w:spacing w:before="130" w:line="228" w:lineRule="auto"/>
                      <w:ind w:left="701"/>
                      <w:rPr>
                        <w:sz w:val="20"/>
                      </w:rPr>
                    </w:pPr>
                    <w:r>
                      <w:rPr>
                        <w:color w:val="2E3092"/>
                        <w:w w:val="90"/>
                        <w:sz w:val="20"/>
                      </w:rPr>
                      <w:t xml:space="preserve">Percentage growth in </w:t>
                    </w:r>
                    <w:r>
                      <w:rPr>
                        <w:color w:val="2E3092"/>
                        <w:w w:val="85"/>
                        <w:sz w:val="20"/>
                      </w:rPr>
                      <w:t>acute</w:t>
                    </w:r>
                    <w:r>
                      <w:rPr>
                        <w:color w:val="2E3092"/>
                        <w:spacing w:val="-6"/>
                        <w:w w:val="85"/>
                        <w:sz w:val="20"/>
                      </w:rPr>
                      <w:t xml:space="preserve"> </w:t>
                    </w:r>
                    <w:r>
                      <w:rPr>
                        <w:color w:val="2E3092"/>
                        <w:w w:val="85"/>
                        <w:sz w:val="20"/>
                      </w:rPr>
                      <w:t>activity</w:t>
                    </w:r>
                    <w:r>
                      <w:rPr>
                        <w:color w:val="2E3092"/>
                        <w:spacing w:val="-6"/>
                        <w:w w:val="85"/>
                        <w:sz w:val="20"/>
                      </w:rPr>
                      <w:t xml:space="preserve"> </w:t>
                    </w:r>
                    <w:r>
                      <w:rPr>
                        <w:color w:val="2E3092"/>
                        <w:w w:val="85"/>
                        <w:sz w:val="20"/>
                      </w:rPr>
                      <w:t>2009-2017</w:t>
                    </w:r>
                  </w:p>
                  <w:p w:rsidR="00F22F94" w:rsidRDefault="00F22F94">
                    <w:pPr>
                      <w:spacing w:before="119" w:line="285" w:lineRule="auto"/>
                      <w:ind w:left="1242" w:right="833"/>
                      <w:rPr>
                        <w:sz w:val="16"/>
                      </w:rPr>
                    </w:pPr>
                    <w:r>
                      <w:rPr>
                        <w:spacing w:val="-2"/>
                        <w:w w:val="75"/>
                        <w:sz w:val="16"/>
                      </w:rPr>
                      <w:t>Negative</w:t>
                    </w:r>
                    <w:r>
                      <w:rPr>
                        <w:sz w:val="16"/>
                      </w:rPr>
                      <w:t xml:space="preserve"> </w:t>
                    </w:r>
                    <w:r>
                      <w:rPr>
                        <w:w w:val="85"/>
                        <w:sz w:val="16"/>
                      </w:rPr>
                      <w:t>1</w:t>
                    </w:r>
                    <w:r>
                      <w:rPr>
                        <w:spacing w:val="-4"/>
                        <w:w w:val="85"/>
                        <w:sz w:val="16"/>
                      </w:rPr>
                      <w:t xml:space="preserve"> </w:t>
                    </w:r>
                    <w:r>
                      <w:rPr>
                        <w:w w:val="85"/>
                        <w:sz w:val="16"/>
                      </w:rPr>
                      <w:t>to</w:t>
                    </w:r>
                    <w:r>
                      <w:rPr>
                        <w:spacing w:val="-4"/>
                        <w:w w:val="85"/>
                        <w:sz w:val="16"/>
                      </w:rPr>
                      <w:t xml:space="preserve"> </w:t>
                    </w:r>
                    <w:r>
                      <w:rPr>
                        <w:spacing w:val="-7"/>
                        <w:w w:val="85"/>
                        <w:sz w:val="16"/>
                      </w:rPr>
                      <w:t>5%</w:t>
                    </w:r>
                  </w:p>
                  <w:p w:rsidR="00F22F94" w:rsidRDefault="00F22F94">
                    <w:pPr>
                      <w:spacing w:line="182" w:lineRule="exact"/>
                      <w:ind w:left="1242"/>
                      <w:rPr>
                        <w:sz w:val="16"/>
                      </w:rPr>
                    </w:pPr>
                    <w:r>
                      <w:rPr>
                        <w:w w:val="85"/>
                        <w:sz w:val="16"/>
                      </w:rPr>
                      <w:t>6</w:t>
                    </w:r>
                    <w:r>
                      <w:rPr>
                        <w:spacing w:val="-4"/>
                        <w:w w:val="85"/>
                        <w:sz w:val="16"/>
                      </w:rPr>
                      <w:t xml:space="preserve"> </w:t>
                    </w:r>
                    <w:r>
                      <w:rPr>
                        <w:w w:val="85"/>
                        <w:sz w:val="16"/>
                      </w:rPr>
                      <w:t>to</w:t>
                    </w:r>
                    <w:r>
                      <w:rPr>
                        <w:spacing w:val="-4"/>
                        <w:w w:val="85"/>
                        <w:sz w:val="16"/>
                      </w:rPr>
                      <w:t xml:space="preserve"> </w:t>
                    </w:r>
                    <w:r>
                      <w:rPr>
                        <w:spacing w:val="-5"/>
                        <w:w w:val="85"/>
                        <w:sz w:val="16"/>
                      </w:rPr>
                      <w:t>10%</w:t>
                    </w:r>
                  </w:p>
                </w:txbxContent>
              </v:textbox>
            </v:shape>
            <v:shape id="docshape2395" o:spid="_x0000_s1638" type="#_x0000_t202" style="position:absolute;left:13028;top:4803;width:626;height:618" filled="f" stroked="f">
              <v:textbox inset="0,0,0,0">
                <w:txbxContent>
                  <w:p w:rsidR="00F22F94" w:rsidRDefault="00F22F94">
                    <w:pPr>
                      <w:spacing w:line="181" w:lineRule="exact"/>
                      <w:rPr>
                        <w:sz w:val="16"/>
                      </w:rPr>
                    </w:pPr>
                    <w:r>
                      <w:rPr>
                        <w:w w:val="80"/>
                        <w:sz w:val="16"/>
                      </w:rPr>
                      <w:t>11</w:t>
                    </w:r>
                    <w:r>
                      <w:rPr>
                        <w:spacing w:val="-7"/>
                        <w:sz w:val="16"/>
                      </w:rPr>
                      <w:t xml:space="preserve"> </w:t>
                    </w:r>
                    <w:r>
                      <w:rPr>
                        <w:w w:val="80"/>
                        <w:sz w:val="16"/>
                      </w:rPr>
                      <w:t>to</w:t>
                    </w:r>
                    <w:r>
                      <w:rPr>
                        <w:spacing w:val="-7"/>
                        <w:sz w:val="16"/>
                      </w:rPr>
                      <w:t xml:space="preserve"> </w:t>
                    </w:r>
                    <w:r>
                      <w:rPr>
                        <w:spacing w:val="-5"/>
                        <w:w w:val="80"/>
                        <w:sz w:val="16"/>
                      </w:rPr>
                      <w:t>15%</w:t>
                    </w:r>
                  </w:p>
                  <w:p w:rsidR="00F22F94" w:rsidRDefault="00F22F94">
                    <w:pPr>
                      <w:spacing w:before="35"/>
                      <w:rPr>
                        <w:sz w:val="16"/>
                      </w:rPr>
                    </w:pPr>
                    <w:r>
                      <w:rPr>
                        <w:w w:val="80"/>
                        <w:sz w:val="16"/>
                      </w:rPr>
                      <w:t>16</w:t>
                    </w:r>
                    <w:r>
                      <w:rPr>
                        <w:spacing w:val="-5"/>
                        <w:sz w:val="16"/>
                      </w:rPr>
                      <w:t xml:space="preserve"> </w:t>
                    </w:r>
                    <w:r>
                      <w:rPr>
                        <w:w w:val="80"/>
                        <w:sz w:val="16"/>
                      </w:rPr>
                      <w:t>to</w:t>
                    </w:r>
                    <w:r>
                      <w:rPr>
                        <w:spacing w:val="-5"/>
                        <w:sz w:val="16"/>
                      </w:rPr>
                      <w:t xml:space="preserve"> </w:t>
                    </w:r>
                    <w:r>
                      <w:rPr>
                        <w:spacing w:val="-5"/>
                        <w:w w:val="80"/>
                        <w:sz w:val="16"/>
                      </w:rPr>
                      <w:t>20%</w:t>
                    </w:r>
                  </w:p>
                  <w:p w:rsidR="00F22F94" w:rsidRDefault="00F22F94">
                    <w:pPr>
                      <w:spacing w:before="35" w:line="183" w:lineRule="exact"/>
                      <w:rPr>
                        <w:sz w:val="16"/>
                      </w:rPr>
                    </w:pPr>
                    <w:r>
                      <w:rPr>
                        <w:spacing w:val="-4"/>
                        <w:sz w:val="16"/>
                      </w:rPr>
                      <w:t>21+%</w:t>
                    </w:r>
                  </w:p>
                </w:txbxContent>
              </v:textbox>
            </v:shape>
            <v:shape id="docshape2396" o:spid="_x0000_s1637" type="#_x0000_t202" style="position:absolute;left:6216;top:5421;width:2974;height:228" filled="f" stroked="f">
              <v:textbox inset="0,0,0,0">
                <w:txbxContent>
                  <w:p w:rsidR="00F22F94" w:rsidRDefault="00F22F94">
                    <w:pPr>
                      <w:spacing w:line="228" w:lineRule="exact"/>
                      <w:rPr>
                        <w:sz w:val="20"/>
                      </w:rPr>
                    </w:pPr>
                    <w:r>
                      <w:rPr>
                        <w:color w:val="2E3092"/>
                        <w:w w:val="80"/>
                        <w:sz w:val="20"/>
                      </w:rPr>
                      <w:t>New</w:t>
                    </w:r>
                    <w:r>
                      <w:rPr>
                        <w:color w:val="2E3092"/>
                        <w:spacing w:val="7"/>
                        <w:sz w:val="20"/>
                      </w:rPr>
                      <w:t xml:space="preserve"> </w:t>
                    </w:r>
                    <w:r>
                      <w:rPr>
                        <w:color w:val="2E3092"/>
                        <w:w w:val="80"/>
                        <w:sz w:val="20"/>
                      </w:rPr>
                      <w:t>major</w:t>
                    </w:r>
                    <w:r>
                      <w:rPr>
                        <w:color w:val="2E3092"/>
                        <w:spacing w:val="7"/>
                        <w:sz w:val="20"/>
                      </w:rPr>
                      <w:t xml:space="preserve"> </w:t>
                    </w:r>
                    <w:r>
                      <w:rPr>
                        <w:color w:val="2E3092"/>
                        <w:w w:val="80"/>
                        <w:sz w:val="20"/>
                      </w:rPr>
                      <w:t>health</w:t>
                    </w:r>
                    <w:r>
                      <w:rPr>
                        <w:color w:val="2E3092"/>
                        <w:spacing w:val="7"/>
                        <w:sz w:val="20"/>
                      </w:rPr>
                      <w:t xml:space="preserve"> </w:t>
                    </w:r>
                    <w:r>
                      <w:rPr>
                        <w:color w:val="2E3092"/>
                        <w:w w:val="80"/>
                        <w:sz w:val="20"/>
                      </w:rPr>
                      <w:t>projects</w:t>
                    </w:r>
                    <w:r>
                      <w:rPr>
                        <w:color w:val="2E3092"/>
                        <w:spacing w:val="7"/>
                        <w:sz w:val="20"/>
                      </w:rPr>
                      <w:t xml:space="preserve"> </w:t>
                    </w:r>
                    <w:r>
                      <w:rPr>
                        <w:color w:val="2E3092"/>
                        <w:w w:val="80"/>
                        <w:sz w:val="20"/>
                      </w:rPr>
                      <w:t>first</w:t>
                    </w:r>
                    <w:r>
                      <w:rPr>
                        <w:color w:val="2E3092"/>
                        <w:spacing w:val="7"/>
                        <w:sz w:val="20"/>
                      </w:rPr>
                      <w:t xml:space="preserve"> </w:t>
                    </w:r>
                    <w:r>
                      <w:rPr>
                        <w:color w:val="2E3092"/>
                        <w:w w:val="80"/>
                        <w:sz w:val="20"/>
                      </w:rPr>
                      <w:t>10</w:t>
                    </w:r>
                    <w:r>
                      <w:rPr>
                        <w:color w:val="2E3092"/>
                        <w:spacing w:val="7"/>
                        <w:sz w:val="20"/>
                      </w:rPr>
                      <w:t xml:space="preserve"> </w:t>
                    </w:r>
                    <w:r>
                      <w:rPr>
                        <w:color w:val="2E3092"/>
                        <w:spacing w:val="-4"/>
                        <w:w w:val="80"/>
                        <w:sz w:val="20"/>
                      </w:rPr>
                      <w:t>years</w:t>
                    </w:r>
                  </w:p>
                </w:txbxContent>
              </v:textbox>
            </v:shape>
            <v:shape id="docshape2397" o:spid="_x0000_s1636" type="#_x0000_t202" style="position:absolute;left:6284;top:5805;width:103;height:1735" filled="f" stroked="f">
              <v:textbox inset="0,0,0,0">
                <w:txbxContent>
                  <w:p w:rsidR="00F22F94" w:rsidRDefault="00F22F94">
                    <w:pPr>
                      <w:spacing w:before="4"/>
                      <w:rPr>
                        <w:b/>
                        <w:sz w:val="13"/>
                      </w:rPr>
                    </w:pPr>
                    <w:r>
                      <w:rPr>
                        <w:b/>
                        <w:w w:val="99"/>
                        <w:sz w:val="13"/>
                      </w:rPr>
                      <w:t>1</w:t>
                    </w:r>
                  </w:p>
                  <w:p w:rsidR="00F22F94" w:rsidRDefault="00F22F94">
                    <w:pPr>
                      <w:rPr>
                        <w:b/>
                        <w:sz w:val="14"/>
                      </w:rPr>
                    </w:pPr>
                  </w:p>
                  <w:p w:rsidR="00F22F94" w:rsidRDefault="00F22F94">
                    <w:pPr>
                      <w:rPr>
                        <w:b/>
                        <w:sz w:val="14"/>
                      </w:rPr>
                    </w:pPr>
                  </w:p>
                  <w:p w:rsidR="00F22F94" w:rsidRDefault="00F22F94">
                    <w:pPr>
                      <w:spacing w:before="110"/>
                      <w:ind w:left="10"/>
                      <w:rPr>
                        <w:b/>
                        <w:sz w:val="13"/>
                      </w:rPr>
                    </w:pPr>
                    <w:r>
                      <w:rPr>
                        <w:b/>
                        <w:w w:val="99"/>
                        <w:sz w:val="13"/>
                      </w:rPr>
                      <w:t>2</w:t>
                    </w:r>
                  </w:p>
                  <w:p w:rsidR="00F22F94" w:rsidRDefault="00F22F94">
                    <w:pPr>
                      <w:spacing w:before="100"/>
                      <w:ind w:left="10"/>
                      <w:rPr>
                        <w:b/>
                        <w:sz w:val="13"/>
                      </w:rPr>
                    </w:pPr>
                    <w:r>
                      <w:rPr>
                        <w:b/>
                        <w:w w:val="99"/>
                        <w:sz w:val="13"/>
                      </w:rPr>
                      <w:t>3</w:t>
                    </w:r>
                  </w:p>
                  <w:p w:rsidR="00F22F94" w:rsidRDefault="00F22F94">
                    <w:pPr>
                      <w:spacing w:before="100"/>
                      <w:ind w:left="10"/>
                      <w:rPr>
                        <w:b/>
                        <w:sz w:val="13"/>
                      </w:rPr>
                    </w:pPr>
                    <w:r>
                      <w:rPr>
                        <w:b/>
                        <w:w w:val="99"/>
                        <w:sz w:val="13"/>
                      </w:rPr>
                      <w:t>4</w:t>
                    </w:r>
                  </w:p>
                  <w:p w:rsidR="00F22F94" w:rsidRDefault="00F22F94">
                    <w:pPr>
                      <w:spacing w:before="101"/>
                      <w:ind w:left="10"/>
                      <w:rPr>
                        <w:b/>
                        <w:sz w:val="13"/>
                      </w:rPr>
                    </w:pPr>
                    <w:r>
                      <w:rPr>
                        <w:b/>
                        <w:w w:val="99"/>
                        <w:sz w:val="13"/>
                      </w:rPr>
                      <w:t>5</w:t>
                    </w:r>
                  </w:p>
                  <w:p w:rsidR="00F22F94" w:rsidRDefault="00F22F94">
                    <w:pPr>
                      <w:spacing w:before="100"/>
                      <w:ind w:left="10"/>
                      <w:rPr>
                        <w:b/>
                        <w:sz w:val="13"/>
                      </w:rPr>
                    </w:pPr>
                    <w:r>
                      <w:rPr>
                        <w:b/>
                        <w:w w:val="99"/>
                        <w:sz w:val="13"/>
                      </w:rPr>
                      <w:t>6</w:t>
                    </w:r>
                  </w:p>
                </w:txbxContent>
              </v:textbox>
            </v:shape>
            <v:shape id="docshape2398" o:spid="_x0000_s1635" type="#_x0000_t202" style="position:absolute;left:6514;top:5804;width:1720;height:1738" filled="f" stroked="f">
              <v:textbox inset="0,0,0,0">
                <w:txbxContent>
                  <w:p w:rsidR="00F22F94" w:rsidRDefault="00F22F94">
                    <w:pPr>
                      <w:spacing w:line="249" w:lineRule="auto"/>
                      <w:ind w:right="23"/>
                      <w:rPr>
                        <w:sz w:val="14"/>
                      </w:rPr>
                    </w:pPr>
                    <w:r>
                      <w:rPr>
                        <w:w w:val="75"/>
                        <w:sz w:val="14"/>
                      </w:rPr>
                      <w:t>Tamworth Hospital Redevelopment</w:t>
                    </w:r>
                    <w:r>
                      <w:rPr>
                        <w:spacing w:val="40"/>
                        <w:sz w:val="14"/>
                      </w:rPr>
                      <w:t xml:space="preserve"> </w:t>
                    </w:r>
                    <w:r>
                      <w:rPr>
                        <w:w w:val="90"/>
                        <w:sz w:val="14"/>
                      </w:rPr>
                      <w:t>Stage</w:t>
                    </w:r>
                    <w:r>
                      <w:rPr>
                        <w:spacing w:val="-6"/>
                        <w:w w:val="90"/>
                        <w:sz w:val="14"/>
                      </w:rPr>
                      <w:t xml:space="preserve"> </w:t>
                    </w:r>
                    <w:r>
                      <w:rPr>
                        <w:w w:val="90"/>
                        <w:sz w:val="14"/>
                      </w:rPr>
                      <w:t>2</w:t>
                    </w:r>
                  </w:p>
                  <w:p w:rsidR="00F22F94" w:rsidRDefault="00F22F94">
                    <w:pPr>
                      <w:spacing w:line="367" w:lineRule="auto"/>
                      <w:ind w:right="23"/>
                      <w:rPr>
                        <w:sz w:val="14"/>
                      </w:rPr>
                    </w:pPr>
                    <w:r>
                      <w:rPr>
                        <w:spacing w:val="-2"/>
                        <w:w w:val="80"/>
                        <w:sz w:val="14"/>
                      </w:rPr>
                      <w:t>Tamworth</w:t>
                    </w:r>
                    <w:r>
                      <w:rPr>
                        <w:spacing w:val="-8"/>
                        <w:sz w:val="14"/>
                      </w:rPr>
                      <w:t xml:space="preserve"> </w:t>
                    </w:r>
                    <w:r>
                      <w:rPr>
                        <w:spacing w:val="-2"/>
                        <w:w w:val="80"/>
                        <w:sz w:val="14"/>
                      </w:rPr>
                      <w:t>Stage</w:t>
                    </w:r>
                    <w:r>
                      <w:rPr>
                        <w:spacing w:val="-8"/>
                        <w:sz w:val="14"/>
                      </w:rPr>
                      <w:t xml:space="preserve"> </w:t>
                    </w:r>
                    <w:r>
                      <w:rPr>
                        <w:spacing w:val="-2"/>
                        <w:w w:val="80"/>
                        <w:sz w:val="14"/>
                      </w:rPr>
                      <w:t>3</w:t>
                    </w:r>
                    <w:r>
                      <w:rPr>
                        <w:spacing w:val="-8"/>
                        <w:sz w:val="14"/>
                      </w:rPr>
                      <w:t xml:space="preserve"> </w:t>
                    </w:r>
                    <w:r>
                      <w:rPr>
                        <w:spacing w:val="-2"/>
                        <w:w w:val="80"/>
                        <w:sz w:val="14"/>
                      </w:rPr>
                      <w:t>Redevelopment</w:t>
                    </w:r>
                    <w:r>
                      <w:rPr>
                        <w:spacing w:val="40"/>
                        <w:sz w:val="14"/>
                      </w:rPr>
                      <w:t xml:space="preserve"> </w:t>
                    </w:r>
                    <w:r>
                      <w:rPr>
                        <w:w w:val="75"/>
                        <w:sz w:val="14"/>
                      </w:rPr>
                      <w:t>Parkes and Forbes Health</w:t>
                    </w:r>
                    <w:r>
                      <w:rPr>
                        <w:sz w:val="14"/>
                      </w:rPr>
                      <w:t xml:space="preserve"> </w:t>
                    </w:r>
                    <w:r>
                      <w:rPr>
                        <w:w w:val="75"/>
                        <w:sz w:val="14"/>
                      </w:rPr>
                      <w:t>Service</w:t>
                    </w:r>
                    <w:r>
                      <w:rPr>
                        <w:spacing w:val="40"/>
                        <w:sz w:val="14"/>
                      </w:rPr>
                      <w:t xml:space="preserve"> </w:t>
                    </w:r>
                    <w:r>
                      <w:rPr>
                        <w:w w:val="85"/>
                        <w:sz w:val="14"/>
                      </w:rPr>
                      <w:t>Dubbo Hospital Stages 1 &amp; 2</w:t>
                    </w:r>
                    <w:r>
                      <w:rPr>
                        <w:spacing w:val="40"/>
                        <w:sz w:val="14"/>
                      </w:rPr>
                      <w:t xml:space="preserve"> </w:t>
                    </w:r>
                    <w:r>
                      <w:rPr>
                        <w:w w:val="85"/>
                        <w:sz w:val="14"/>
                      </w:rPr>
                      <w:t>Gulgong</w:t>
                    </w:r>
                    <w:r>
                      <w:rPr>
                        <w:spacing w:val="-1"/>
                        <w:w w:val="85"/>
                        <w:sz w:val="14"/>
                      </w:rPr>
                      <w:t xml:space="preserve"> </w:t>
                    </w:r>
                    <w:r>
                      <w:rPr>
                        <w:w w:val="85"/>
                        <w:sz w:val="14"/>
                      </w:rPr>
                      <w:t>Multipurpose</w:t>
                    </w:r>
                    <w:r>
                      <w:rPr>
                        <w:spacing w:val="-1"/>
                        <w:w w:val="85"/>
                        <w:sz w:val="14"/>
                      </w:rPr>
                      <w:t xml:space="preserve"> </w:t>
                    </w:r>
                    <w:r>
                      <w:rPr>
                        <w:w w:val="85"/>
                        <w:sz w:val="14"/>
                      </w:rPr>
                      <w:t>Service</w:t>
                    </w:r>
                    <w:r>
                      <w:rPr>
                        <w:spacing w:val="40"/>
                        <w:sz w:val="14"/>
                      </w:rPr>
                      <w:t xml:space="preserve"> </w:t>
                    </w:r>
                    <w:r>
                      <w:rPr>
                        <w:spacing w:val="-2"/>
                        <w:w w:val="90"/>
                        <w:sz w:val="14"/>
                      </w:rPr>
                      <w:t>Dubbo</w:t>
                    </w:r>
                    <w:r>
                      <w:rPr>
                        <w:spacing w:val="-4"/>
                        <w:w w:val="90"/>
                        <w:sz w:val="14"/>
                      </w:rPr>
                      <w:t xml:space="preserve"> </w:t>
                    </w:r>
                    <w:r>
                      <w:rPr>
                        <w:spacing w:val="-2"/>
                        <w:w w:val="90"/>
                        <w:sz w:val="14"/>
                      </w:rPr>
                      <w:t>Hospital</w:t>
                    </w:r>
                    <w:r>
                      <w:rPr>
                        <w:spacing w:val="-3"/>
                        <w:w w:val="90"/>
                        <w:sz w:val="14"/>
                      </w:rPr>
                      <w:t xml:space="preserve"> </w:t>
                    </w:r>
                    <w:r>
                      <w:rPr>
                        <w:spacing w:val="-2"/>
                        <w:w w:val="90"/>
                        <w:sz w:val="14"/>
                      </w:rPr>
                      <w:t>Stage</w:t>
                    </w:r>
                    <w:r>
                      <w:rPr>
                        <w:spacing w:val="-4"/>
                        <w:w w:val="90"/>
                        <w:sz w:val="14"/>
                      </w:rPr>
                      <w:t xml:space="preserve"> </w:t>
                    </w:r>
                    <w:r>
                      <w:rPr>
                        <w:spacing w:val="-2"/>
                        <w:w w:val="90"/>
                        <w:sz w:val="14"/>
                      </w:rPr>
                      <w:t>3/4</w:t>
                    </w:r>
                  </w:p>
                  <w:p w:rsidR="00F22F94" w:rsidRDefault="00F22F94">
                    <w:pPr>
                      <w:spacing w:before="11" w:line="160" w:lineRule="exact"/>
                      <w:rPr>
                        <w:sz w:val="14"/>
                      </w:rPr>
                    </w:pPr>
                    <w:r>
                      <w:rPr>
                        <w:w w:val="75"/>
                        <w:sz w:val="14"/>
                      </w:rPr>
                      <w:t>Northern</w:t>
                    </w:r>
                    <w:r>
                      <w:rPr>
                        <w:spacing w:val="10"/>
                        <w:sz w:val="14"/>
                      </w:rPr>
                      <w:t xml:space="preserve"> </w:t>
                    </w:r>
                    <w:r>
                      <w:rPr>
                        <w:spacing w:val="-5"/>
                        <w:w w:val="80"/>
                        <w:sz w:val="14"/>
                      </w:rPr>
                      <w:t>NSW</w:t>
                    </w:r>
                  </w:p>
                </w:txbxContent>
              </v:textbox>
            </v:shape>
            <v:shape id="docshape2399" o:spid="_x0000_s1634" type="#_x0000_t202" style="position:absolute;left:8742;top:5803;width:1906;height:675" filled="f" stroked="f">
              <v:textbox inset="0,0,0,0">
                <w:txbxContent>
                  <w:p w:rsidR="00F22F94" w:rsidRDefault="00F22F94">
                    <w:pPr>
                      <w:numPr>
                        <w:ilvl w:val="0"/>
                        <w:numId w:val="45"/>
                      </w:numPr>
                      <w:tabs>
                        <w:tab w:val="left" w:pos="221"/>
                      </w:tabs>
                      <w:spacing w:line="159" w:lineRule="exact"/>
                      <w:rPr>
                        <w:sz w:val="14"/>
                      </w:rPr>
                    </w:pPr>
                    <w:r>
                      <w:rPr>
                        <w:w w:val="75"/>
                        <w:sz w:val="14"/>
                      </w:rPr>
                      <w:t>Port</w:t>
                    </w:r>
                    <w:r>
                      <w:rPr>
                        <w:spacing w:val="5"/>
                        <w:sz w:val="14"/>
                      </w:rPr>
                      <w:t xml:space="preserve"> </w:t>
                    </w:r>
                    <w:r>
                      <w:rPr>
                        <w:w w:val="75"/>
                        <w:sz w:val="14"/>
                      </w:rPr>
                      <w:t>Macquarie</w:t>
                    </w:r>
                    <w:r>
                      <w:rPr>
                        <w:spacing w:val="5"/>
                        <w:sz w:val="14"/>
                      </w:rPr>
                      <w:t xml:space="preserve"> </w:t>
                    </w:r>
                    <w:r>
                      <w:rPr>
                        <w:w w:val="75"/>
                        <w:sz w:val="14"/>
                      </w:rPr>
                      <w:t>Base</w:t>
                    </w:r>
                    <w:r>
                      <w:rPr>
                        <w:spacing w:val="6"/>
                        <w:sz w:val="14"/>
                      </w:rPr>
                      <w:t xml:space="preserve"> </w:t>
                    </w:r>
                    <w:r>
                      <w:rPr>
                        <w:spacing w:val="-2"/>
                        <w:w w:val="75"/>
                        <w:sz w:val="14"/>
                      </w:rPr>
                      <w:t>Hospital</w:t>
                    </w:r>
                  </w:p>
                  <w:p w:rsidR="00F22F94" w:rsidRDefault="00F22F94">
                    <w:pPr>
                      <w:numPr>
                        <w:ilvl w:val="0"/>
                        <w:numId w:val="45"/>
                      </w:numPr>
                      <w:tabs>
                        <w:tab w:val="left" w:pos="221"/>
                      </w:tabs>
                      <w:spacing w:before="97"/>
                      <w:rPr>
                        <w:sz w:val="14"/>
                      </w:rPr>
                    </w:pPr>
                    <w:r>
                      <w:rPr>
                        <w:w w:val="75"/>
                        <w:sz w:val="14"/>
                      </w:rPr>
                      <w:t>Kempsey</w:t>
                    </w:r>
                    <w:r>
                      <w:rPr>
                        <w:spacing w:val="1"/>
                        <w:sz w:val="14"/>
                      </w:rPr>
                      <w:t xml:space="preserve"> </w:t>
                    </w:r>
                    <w:r>
                      <w:rPr>
                        <w:w w:val="75"/>
                        <w:sz w:val="14"/>
                      </w:rPr>
                      <w:t>Hospital</w:t>
                    </w:r>
                    <w:r>
                      <w:rPr>
                        <w:spacing w:val="2"/>
                        <w:sz w:val="14"/>
                      </w:rPr>
                      <w:t xml:space="preserve"> </w:t>
                    </w:r>
                    <w:r>
                      <w:rPr>
                        <w:spacing w:val="-2"/>
                        <w:w w:val="75"/>
                        <w:sz w:val="14"/>
                      </w:rPr>
                      <w:t>Redevelopment</w:t>
                    </w:r>
                  </w:p>
                  <w:p w:rsidR="00F22F94" w:rsidRDefault="00F22F94">
                    <w:pPr>
                      <w:numPr>
                        <w:ilvl w:val="0"/>
                        <w:numId w:val="45"/>
                      </w:numPr>
                      <w:tabs>
                        <w:tab w:val="left" w:pos="221"/>
                      </w:tabs>
                      <w:spacing w:before="98" w:line="160" w:lineRule="exact"/>
                      <w:rPr>
                        <w:sz w:val="14"/>
                      </w:rPr>
                    </w:pPr>
                    <w:r>
                      <w:rPr>
                        <w:spacing w:val="-2"/>
                        <w:w w:val="90"/>
                        <w:sz w:val="14"/>
                      </w:rPr>
                      <w:t>Morriset/Kestrel</w:t>
                    </w:r>
                  </w:p>
                </w:txbxContent>
              </v:textbox>
            </v:shape>
            <v:shape id="docshape2400" o:spid="_x0000_s1633" type="#_x0000_t202" style="position:absolute;left:8706;top:6579;width:2215;height:676" filled="f" stroked="f">
              <v:textbox inset="0,0,0,0">
                <w:txbxContent>
                  <w:p w:rsidR="00F22F94" w:rsidRDefault="00F22F94">
                    <w:pPr>
                      <w:numPr>
                        <w:ilvl w:val="0"/>
                        <w:numId w:val="44"/>
                      </w:numPr>
                      <w:tabs>
                        <w:tab w:val="left" w:pos="257"/>
                      </w:tabs>
                      <w:spacing w:line="159" w:lineRule="exact"/>
                      <w:rPr>
                        <w:sz w:val="14"/>
                      </w:rPr>
                    </w:pPr>
                    <w:r>
                      <w:rPr>
                        <w:w w:val="75"/>
                        <w:sz w:val="14"/>
                      </w:rPr>
                      <w:t>Maitland</w:t>
                    </w:r>
                    <w:r>
                      <w:rPr>
                        <w:spacing w:val="6"/>
                        <w:sz w:val="14"/>
                      </w:rPr>
                      <w:t xml:space="preserve"> </w:t>
                    </w:r>
                    <w:r>
                      <w:rPr>
                        <w:w w:val="75"/>
                        <w:sz w:val="14"/>
                      </w:rPr>
                      <w:t>(Lower</w:t>
                    </w:r>
                    <w:r>
                      <w:rPr>
                        <w:spacing w:val="7"/>
                        <w:sz w:val="14"/>
                      </w:rPr>
                      <w:t xml:space="preserve"> </w:t>
                    </w:r>
                    <w:r>
                      <w:rPr>
                        <w:w w:val="75"/>
                        <w:sz w:val="14"/>
                      </w:rPr>
                      <w:t>Hunter</w:t>
                    </w:r>
                    <w:r>
                      <w:rPr>
                        <w:spacing w:val="7"/>
                        <w:sz w:val="14"/>
                      </w:rPr>
                      <w:t xml:space="preserve"> </w:t>
                    </w:r>
                    <w:r>
                      <w:rPr>
                        <w:spacing w:val="-2"/>
                        <w:w w:val="75"/>
                        <w:sz w:val="14"/>
                      </w:rPr>
                      <w:t>Strategy)</w:t>
                    </w:r>
                  </w:p>
                  <w:p w:rsidR="00F22F94" w:rsidRDefault="00F22F94">
                    <w:pPr>
                      <w:numPr>
                        <w:ilvl w:val="0"/>
                        <w:numId w:val="44"/>
                      </w:numPr>
                      <w:tabs>
                        <w:tab w:val="left" w:pos="257"/>
                      </w:tabs>
                      <w:spacing w:before="98"/>
                      <w:rPr>
                        <w:sz w:val="14"/>
                      </w:rPr>
                    </w:pPr>
                    <w:r>
                      <w:rPr>
                        <w:w w:val="75"/>
                        <w:sz w:val="14"/>
                      </w:rPr>
                      <w:t>Goulburn</w:t>
                    </w:r>
                    <w:r>
                      <w:rPr>
                        <w:spacing w:val="2"/>
                        <w:sz w:val="14"/>
                      </w:rPr>
                      <w:t xml:space="preserve"> </w:t>
                    </w:r>
                    <w:r>
                      <w:rPr>
                        <w:w w:val="75"/>
                        <w:sz w:val="14"/>
                      </w:rPr>
                      <w:t>Base</w:t>
                    </w:r>
                    <w:r>
                      <w:rPr>
                        <w:spacing w:val="2"/>
                        <w:sz w:val="14"/>
                      </w:rPr>
                      <w:t xml:space="preserve"> </w:t>
                    </w:r>
                    <w:r>
                      <w:rPr>
                        <w:w w:val="75"/>
                        <w:sz w:val="14"/>
                      </w:rPr>
                      <w:t>Hospital</w:t>
                    </w:r>
                    <w:r>
                      <w:rPr>
                        <w:spacing w:val="2"/>
                        <w:sz w:val="14"/>
                      </w:rPr>
                      <w:t xml:space="preserve"> </w:t>
                    </w:r>
                    <w:r>
                      <w:rPr>
                        <w:spacing w:val="-2"/>
                        <w:w w:val="75"/>
                        <w:sz w:val="14"/>
                      </w:rPr>
                      <w:t>Redevelopment</w:t>
                    </w:r>
                  </w:p>
                  <w:p w:rsidR="00F22F94" w:rsidRDefault="00F22F94">
                    <w:pPr>
                      <w:numPr>
                        <w:ilvl w:val="0"/>
                        <w:numId w:val="44"/>
                      </w:numPr>
                      <w:tabs>
                        <w:tab w:val="left" w:pos="257"/>
                      </w:tabs>
                      <w:spacing w:before="98" w:line="160" w:lineRule="exact"/>
                      <w:rPr>
                        <w:sz w:val="14"/>
                      </w:rPr>
                    </w:pPr>
                    <w:r>
                      <w:rPr>
                        <w:w w:val="75"/>
                        <w:sz w:val="14"/>
                      </w:rPr>
                      <w:t>South</w:t>
                    </w:r>
                    <w:r>
                      <w:rPr>
                        <w:spacing w:val="-1"/>
                        <w:sz w:val="14"/>
                      </w:rPr>
                      <w:t xml:space="preserve"> </w:t>
                    </w:r>
                    <w:r>
                      <w:rPr>
                        <w:w w:val="75"/>
                        <w:sz w:val="14"/>
                      </w:rPr>
                      <w:t>East</w:t>
                    </w:r>
                    <w:r>
                      <w:rPr>
                        <w:spacing w:val="-1"/>
                        <w:sz w:val="14"/>
                      </w:rPr>
                      <w:t xml:space="preserve"> </w:t>
                    </w:r>
                    <w:r>
                      <w:rPr>
                        <w:w w:val="75"/>
                        <w:sz w:val="14"/>
                      </w:rPr>
                      <w:t>Regional</w:t>
                    </w:r>
                    <w:r>
                      <w:rPr>
                        <w:spacing w:val="-1"/>
                        <w:sz w:val="14"/>
                      </w:rPr>
                      <w:t xml:space="preserve"> </w:t>
                    </w:r>
                    <w:r>
                      <w:rPr>
                        <w:w w:val="75"/>
                        <w:sz w:val="14"/>
                      </w:rPr>
                      <w:t>Hospital</w:t>
                    </w:r>
                    <w:r>
                      <w:rPr>
                        <w:spacing w:val="-1"/>
                        <w:sz w:val="14"/>
                      </w:rPr>
                      <w:t xml:space="preserve"> </w:t>
                    </w:r>
                    <w:r>
                      <w:rPr>
                        <w:spacing w:val="-4"/>
                        <w:w w:val="75"/>
                        <w:sz w:val="14"/>
                      </w:rPr>
                      <w:t>Bega</w:t>
                    </w:r>
                  </w:p>
                </w:txbxContent>
              </v:textbox>
            </v:shape>
            <v:shape id="docshape2401" o:spid="_x0000_s1632" type="#_x0000_t202" style="position:absolute;left:11143;top:5803;width:2214;height:1810" filled="f" stroked="f">
              <v:textbox inset="0,0,0,0">
                <w:txbxContent>
                  <w:p w:rsidR="00F22F94" w:rsidRDefault="00F22F94">
                    <w:pPr>
                      <w:numPr>
                        <w:ilvl w:val="0"/>
                        <w:numId w:val="43"/>
                      </w:numPr>
                      <w:tabs>
                        <w:tab w:val="left" w:pos="268"/>
                      </w:tabs>
                      <w:spacing w:line="159" w:lineRule="exact"/>
                      <w:rPr>
                        <w:sz w:val="14"/>
                      </w:rPr>
                    </w:pPr>
                    <w:r>
                      <w:rPr>
                        <w:w w:val="75"/>
                        <w:sz w:val="14"/>
                      </w:rPr>
                      <w:t>Wagga</w:t>
                    </w:r>
                    <w:r>
                      <w:rPr>
                        <w:spacing w:val="-6"/>
                        <w:sz w:val="14"/>
                      </w:rPr>
                      <w:t xml:space="preserve"> </w:t>
                    </w:r>
                    <w:r>
                      <w:rPr>
                        <w:w w:val="75"/>
                        <w:sz w:val="14"/>
                      </w:rPr>
                      <w:t>Wagga</w:t>
                    </w:r>
                    <w:r>
                      <w:rPr>
                        <w:spacing w:val="1"/>
                        <w:sz w:val="14"/>
                      </w:rPr>
                      <w:t xml:space="preserve"> </w:t>
                    </w:r>
                    <w:r>
                      <w:rPr>
                        <w:w w:val="75"/>
                        <w:sz w:val="14"/>
                      </w:rPr>
                      <w:t>Hospital</w:t>
                    </w:r>
                    <w:r>
                      <w:rPr>
                        <w:spacing w:val="1"/>
                        <w:sz w:val="14"/>
                      </w:rPr>
                      <w:t xml:space="preserve"> </w:t>
                    </w:r>
                    <w:r>
                      <w:rPr>
                        <w:spacing w:val="-2"/>
                        <w:w w:val="75"/>
                        <w:sz w:val="14"/>
                      </w:rPr>
                      <w:t>Redevelopment</w:t>
                    </w:r>
                  </w:p>
                  <w:p w:rsidR="00F22F94" w:rsidRDefault="00F22F94">
                    <w:pPr>
                      <w:numPr>
                        <w:ilvl w:val="0"/>
                        <w:numId w:val="43"/>
                      </w:numPr>
                      <w:tabs>
                        <w:tab w:val="left" w:pos="268"/>
                      </w:tabs>
                      <w:spacing w:before="97" w:line="266" w:lineRule="auto"/>
                      <w:ind w:right="18"/>
                      <w:rPr>
                        <w:sz w:val="14"/>
                      </w:rPr>
                    </w:pPr>
                    <w:r>
                      <w:rPr>
                        <w:w w:val="75"/>
                        <w:sz w:val="14"/>
                      </w:rPr>
                      <w:t>Wagga Wagga</w:t>
                    </w:r>
                    <w:r>
                      <w:rPr>
                        <w:spacing w:val="-1"/>
                        <w:sz w:val="14"/>
                      </w:rPr>
                      <w:t xml:space="preserve"> </w:t>
                    </w:r>
                    <w:r>
                      <w:rPr>
                        <w:w w:val="75"/>
                        <w:sz w:val="14"/>
                      </w:rPr>
                      <w:t>Hospital</w:t>
                    </w:r>
                    <w:r>
                      <w:rPr>
                        <w:spacing w:val="-1"/>
                        <w:sz w:val="14"/>
                      </w:rPr>
                      <w:t xml:space="preserve"> </w:t>
                    </w:r>
                    <w:r>
                      <w:rPr>
                        <w:w w:val="75"/>
                        <w:sz w:val="14"/>
                      </w:rPr>
                      <w:t>Redevelopment</w:t>
                    </w:r>
                    <w:r>
                      <w:rPr>
                        <w:spacing w:val="40"/>
                        <w:sz w:val="14"/>
                      </w:rPr>
                      <w:t xml:space="preserve"> </w:t>
                    </w:r>
                    <w:r>
                      <w:rPr>
                        <w:w w:val="90"/>
                        <w:sz w:val="14"/>
                      </w:rPr>
                      <w:t>Stage</w:t>
                    </w:r>
                    <w:r>
                      <w:rPr>
                        <w:spacing w:val="-6"/>
                        <w:w w:val="90"/>
                        <w:sz w:val="14"/>
                      </w:rPr>
                      <w:t xml:space="preserve"> </w:t>
                    </w:r>
                    <w:r>
                      <w:rPr>
                        <w:w w:val="90"/>
                        <w:sz w:val="14"/>
                      </w:rPr>
                      <w:t>3</w:t>
                    </w:r>
                  </w:p>
                  <w:p w:rsidR="00F22F94" w:rsidRDefault="00F22F94">
                    <w:pPr>
                      <w:numPr>
                        <w:ilvl w:val="0"/>
                        <w:numId w:val="43"/>
                      </w:numPr>
                      <w:tabs>
                        <w:tab w:val="left" w:pos="268"/>
                      </w:tabs>
                      <w:spacing w:before="81"/>
                      <w:ind w:hanging="267"/>
                      <w:rPr>
                        <w:sz w:val="14"/>
                      </w:rPr>
                    </w:pPr>
                    <w:r>
                      <w:rPr>
                        <w:w w:val="75"/>
                        <w:sz w:val="14"/>
                      </w:rPr>
                      <w:t>Nepean</w:t>
                    </w:r>
                    <w:r>
                      <w:rPr>
                        <w:sz w:val="14"/>
                      </w:rPr>
                      <w:t xml:space="preserve"> </w:t>
                    </w:r>
                    <w:r>
                      <w:rPr>
                        <w:w w:val="75"/>
                        <w:sz w:val="14"/>
                      </w:rPr>
                      <w:t>Hospital</w:t>
                    </w:r>
                    <w:r>
                      <w:rPr>
                        <w:sz w:val="14"/>
                      </w:rPr>
                      <w:t xml:space="preserve"> </w:t>
                    </w:r>
                    <w:r>
                      <w:rPr>
                        <w:w w:val="75"/>
                        <w:sz w:val="14"/>
                      </w:rPr>
                      <w:t>Stage</w:t>
                    </w:r>
                    <w:r>
                      <w:rPr>
                        <w:sz w:val="14"/>
                      </w:rPr>
                      <w:t xml:space="preserve"> </w:t>
                    </w:r>
                    <w:r>
                      <w:rPr>
                        <w:spacing w:val="-10"/>
                        <w:w w:val="75"/>
                        <w:sz w:val="14"/>
                      </w:rPr>
                      <w:t>4</w:t>
                    </w:r>
                  </w:p>
                  <w:p w:rsidR="00F22F94" w:rsidRDefault="00F22F94">
                    <w:pPr>
                      <w:numPr>
                        <w:ilvl w:val="0"/>
                        <w:numId w:val="43"/>
                      </w:numPr>
                      <w:tabs>
                        <w:tab w:val="left" w:pos="268"/>
                      </w:tabs>
                      <w:spacing w:before="100"/>
                      <w:rPr>
                        <w:sz w:val="14"/>
                      </w:rPr>
                    </w:pPr>
                    <w:r>
                      <w:rPr>
                        <w:w w:val="75"/>
                        <w:sz w:val="14"/>
                      </w:rPr>
                      <w:t>Blacktown/Mt</w:t>
                    </w:r>
                    <w:r>
                      <w:rPr>
                        <w:spacing w:val="12"/>
                        <w:sz w:val="14"/>
                      </w:rPr>
                      <w:t xml:space="preserve"> </w:t>
                    </w:r>
                    <w:r>
                      <w:rPr>
                        <w:w w:val="75"/>
                        <w:sz w:val="14"/>
                      </w:rPr>
                      <w:t>Druitt</w:t>
                    </w:r>
                    <w:r>
                      <w:rPr>
                        <w:spacing w:val="12"/>
                        <w:sz w:val="14"/>
                      </w:rPr>
                      <w:t xml:space="preserve"> </w:t>
                    </w:r>
                    <w:r>
                      <w:rPr>
                        <w:w w:val="75"/>
                        <w:sz w:val="14"/>
                      </w:rPr>
                      <w:t>Hospitals</w:t>
                    </w:r>
                    <w:r>
                      <w:rPr>
                        <w:spacing w:val="13"/>
                        <w:sz w:val="14"/>
                      </w:rPr>
                      <w:t xml:space="preserve"> </w:t>
                    </w:r>
                    <w:r>
                      <w:rPr>
                        <w:w w:val="75"/>
                        <w:sz w:val="14"/>
                      </w:rPr>
                      <w:t>Stage</w:t>
                    </w:r>
                    <w:r>
                      <w:rPr>
                        <w:spacing w:val="12"/>
                        <w:sz w:val="14"/>
                      </w:rPr>
                      <w:t xml:space="preserve"> </w:t>
                    </w:r>
                    <w:r>
                      <w:rPr>
                        <w:spacing w:val="-10"/>
                        <w:w w:val="75"/>
                        <w:sz w:val="14"/>
                      </w:rPr>
                      <w:t>2</w:t>
                    </w:r>
                  </w:p>
                  <w:p w:rsidR="00F22F94" w:rsidRDefault="00F22F94">
                    <w:pPr>
                      <w:numPr>
                        <w:ilvl w:val="0"/>
                        <w:numId w:val="43"/>
                      </w:numPr>
                      <w:tabs>
                        <w:tab w:val="left" w:pos="268"/>
                      </w:tabs>
                      <w:spacing w:before="95" w:line="266" w:lineRule="auto"/>
                      <w:ind w:right="247"/>
                      <w:rPr>
                        <w:sz w:val="14"/>
                      </w:rPr>
                    </w:pPr>
                    <w:r>
                      <w:rPr>
                        <w:spacing w:val="-2"/>
                        <w:w w:val="80"/>
                        <w:sz w:val="14"/>
                      </w:rPr>
                      <w:t>Westmead</w:t>
                    </w:r>
                    <w:r>
                      <w:rPr>
                        <w:spacing w:val="-8"/>
                        <w:sz w:val="14"/>
                      </w:rPr>
                      <w:t xml:space="preserve"> </w:t>
                    </w:r>
                    <w:r>
                      <w:rPr>
                        <w:spacing w:val="-2"/>
                        <w:w w:val="80"/>
                        <w:sz w:val="14"/>
                      </w:rPr>
                      <w:t>Hospital</w:t>
                    </w:r>
                    <w:r>
                      <w:rPr>
                        <w:spacing w:val="-8"/>
                        <w:sz w:val="14"/>
                      </w:rPr>
                      <w:t xml:space="preserve"> </w:t>
                    </w:r>
                    <w:r>
                      <w:rPr>
                        <w:spacing w:val="-2"/>
                        <w:w w:val="80"/>
                        <w:sz w:val="14"/>
                      </w:rPr>
                      <w:t>Refurbishment</w:t>
                    </w:r>
                    <w:r>
                      <w:rPr>
                        <w:spacing w:val="40"/>
                        <w:sz w:val="14"/>
                      </w:rPr>
                      <w:t xml:space="preserve"> </w:t>
                    </w:r>
                    <w:r>
                      <w:rPr>
                        <w:spacing w:val="-2"/>
                        <w:w w:val="90"/>
                        <w:sz w:val="14"/>
                      </w:rPr>
                      <w:t>and</w:t>
                    </w:r>
                    <w:r>
                      <w:rPr>
                        <w:spacing w:val="-4"/>
                        <w:w w:val="90"/>
                        <w:sz w:val="14"/>
                      </w:rPr>
                      <w:t xml:space="preserve"> </w:t>
                    </w:r>
                    <w:r>
                      <w:rPr>
                        <w:spacing w:val="-2"/>
                        <w:w w:val="90"/>
                        <w:sz w:val="14"/>
                      </w:rPr>
                      <w:t>Expansion</w:t>
                    </w:r>
                    <w:r>
                      <w:rPr>
                        <w:spacing w:val="-4"/>
                        <w:w w:val="90"/>
                        <w:sz w:val="14"/>
                      </w:rPr>
                      <w:t xml:space="preserve"> </w:t>
                    </w:r>
                    <w:r>
                      <w:rPr>
                        <w:spacing w:val="-2"/>
                        <w:w w:val="90"/>
                        <w:sz w:val="14"/>
                      </w:rPr>
                      <w:t>Stage</w:t>
                    </w:r>
                    <w:r>
                      <w:rPr>
                        <w:spacing w:val="-4"/>
                        <w:w w:val="90"/>
                        <w:sz w:val="14"/>
                      </w:rPr>
                      <w:t xml:space="preserve"> </w:t>
                    </w:r>
                    <w:r>
                      <w:rPr>
                        <w:spacing w:val="-2"/>
                        <w:w w:val="90"/>
                        <w:sz w:val="14"/>
                      </w:rPr>
                      <w:t>1</w:t>
                    </w:r>
                  </w:p>
                  <w:p w:rsidR="00F22F94" w:rsidRDefault="00F22F94">
                    <w:pPr>
                      <w:numPr>
                        <w:ilvl w:val="0"/>
                        <w:numId w:val="43"/>
                      </w:numPr>
                      <w:tabs>
                        <w:tab w:val="left" w:pos="268"/>
                      </w:tabs>
                      <w:spacing w:before="81" w:line="160" w:lineRule="exact"/>
                      <w:rPr>
                        <w:sz w:val="14"/>
                      </w:rPr>
                    </w:pPr>
                    <w:r>
                      <w:rPr>
                        <w:spacing w:val="-2"/>
                        <w:w w:val="85"/>
                        <w:sz w:val="14"/>
                      </w:rPr>
                      <w:t>Liverpool</w:t>
                    </w:r>
                  </w:p>
                </w:txbxContent>
              </v:textbox>
            </v:shape>
            <v:shape id="docshape2402" o:spid="_x0000_s1631" type="#_x0000_t202" style="position:absolute;left:13603;top:5803;width:1952;height:1452" filled="f" stroked="f">
              <v:textbox inset="0,0,0,0">
                <w:txbxContent>
                  <w:p w:rsidR="00F22F94" w:rsidRDefault="00F22F94">
                    <w:pPr>
                      <w:numPr>
                        <w:ilvl w:val="0"/>
                        <w:numId w:val="42"/>
                      </w:numPr>
                      <w:tabs>
                        <w:tab w:val="left" w:pos="257"/>
                      </w:tabs>
                      <w:spacing w:line="159" w:lineRule="exact"/>
                      <w:rPr>
                        <w:sz w:val="14"/>
                      </w:rPr>
                    </w:pPr>
                    <w:r>
                      <w:rPr>
                        <w:w w:val="75"/>
                        <w:sz w:val="14"/>
                      </w:rPr>
                      <w:t>Campbelltown</w:t>
                    </w:r>
                    <w:r>
                      <w:rPr>
                        <w:spacing w:val="20"/>
                        <w:sz w:val="14"/>
                      </w:rPr>
                      <w:t xml:space="preserve"> </w:t>
                    </w:r>
                    <w:r>
                      <w:rPr>
                        <w:spacing w:val="-2"/>
                        <w:w w:val="90"/>
                        <w:sz w:val="14"/>
                      </w:rPr>
                      <w:t>Hospital</w:t>
                    </w:r>
                  </w:p>
                  <w:p w:rsidR="00F22F94" w:rsidRDefault="00F22F94">
                    <w:pPr>
                      <w:numPr>
                        <w:ilvl w:val="0"/>
                        <w:numId w:val="42"/>
                      </w:numPr>
                      <w:tabs>
                        <w:tab w:val="left" w:pos="257"/>
                      </w:tabs>
                      <w:spacing w:before="97"/>
                      <w:rPr>
                        <w:sz w:val="14"/>
                      </w:rPr>
                    </w:pPr>
                    <w:r>
                      <w:rPr>
                        <w:spacing w:val="-2"/>
                        <w:w w:val="85"/>
                        <w:sz w:val="14"/>
                      </w:rPr>
                      <w:t>Gosford/Wyong</w:t>
                    </w:r>
                  </w:p>
                  <w:p w:rsidR="00F22F94" w:rsidRDefault="00F22F94">
                    <w:pPr>
                      <w:numPr>
                        <w:ilvl w:val="0"/>
                        <w:numId w:val="42"/>
                      </w:numPr>
                      <w:tabs>
                        <w:tab w:val="left" w:pos="257"/>
                      </w:tabs>
                      <w:spacing w:before="98"/>
                      <w:rPr>
                        <w:sz w:val="14"/>
                      </w:rPr>
                    </w:pPr>
                    <w:r>
                      <w:rPr>
                        <w:w w:val="75"/>
                        <w:sz w:val="14"/>
                      </w:rPr>
                      <w:t>Central</w:t>
                    </w:r>
                    <w:r>
                      <w:rPr>
                        <w:spacing w:val="1"/>
                        <w:sz w:val="14"/>
                      </w:rPr>
                      <w:t xml:space="preserve"> </w:t>
                    </w:r>
                    <w:r>
                      <w:rPr>
                        <w:w w:val="75"/>
                        <w:sz w:val="14"/>
                      </w:rPr>
                      <w:t>Coast</w:t>
                    </w:r>
                    <w:r>
                      <w:rPr>
                        <w:spacing w:val="1"/>
                        <w:sz w:val="14"/>
                      </w:rPr>
                      <w:t xml:space="preserve"> </w:t>
                    </w:r>
                    <w:r>
                      <w:rPr>
                        <w:w w:val="75"/>
                        <w:sz w:val="14"/>
                      </w:rPr>
                      <w:t>Growth</w:t>
                    </w:r>
                    <w:r>
                      <w:rPr>
                        <w:spacing w:val="1"/>
                        <w:sz w:val="14"/>
                      </w:rPr>
                      <w:t xml:space="preserve"> </w:t>
                    </w:r>
                    <w:r>
                      <w:rPr>
                        <w:spacing w:val="-2"/>
                        <w:w w:val="75"/>
                        <w:sz w:val="14"/>
                      </w:rPr>
                      <w:t>Strategy</w:t>
                    </w:r>
                  </w:p>
                  <w:p w:rsidR="00F22F94" w:rsidRDefault="00F22F94">
                    <w:pPr>
                      <w:numPr>
                        <w:ilvl w:val="0"/>
                        <w:numId w:val="42"/>
                      </w:numPr>
                      <w:tabs>
                        <w:tab w:val="left" w:pos="257"/>
                      </w:tabs>
                      <w:spacing w:before="98"/>
                      <w:rPr>
                        <w:sz w:val="14"/>
                      </w:rPr>
                    </w:pPr>
                    <w:r>
                      <w:rPr>
                        <w:w w:val="75"/>
                        <w:sz w:val="14"/>
                      </w:rPr>
                      <w:t>Hornsby</w:t>
                    </w:r>
                    <w:r>
                      <w:rPr>
                        <w:spacing w:val="2"/>
                        <w:sz w:val="14"/>
                      </w:rPr>
                      <w:t xml:space="preserve"> </w:t>
                    </w:r>
                    <w:r>
                      <w:rPr>
                        <w:w w:val="75"/>
                        <w:sz w:val="14"/>
                      </w:rPr>
                      <w:t>Kuringai</w:t>
                    </w:r>
                    <w:r>
                      <w:rPr>
                        <w:spacing w:val="3"/>
                        <w:sz w:val="14"/>
                      </w:rPr>
                      <w:t xml:space="preserve"> </w:t>
                    </w:r>
                    <w:r>
                      <w:rPr>
                        <w:w w:val="75"/>
                        <w:sz w:val="14"/>
                      </w:rPr>
                      <w:t>Hospital</w:t>
                    </w:r>
                    <w:r>
                      <w:rPr>
                        <w:spacing w:val="2"/>
                        <w:sz w:val="14"/>
                      </w:rPr>
                      <w:t xml:space="preserve"> </w:t>
                    </w:r>
                    <w:r>
                      <w:rPr>
                        <w:w w:val="75"/>
                        <w:sz w:val="14"/>
                      </w:rPr>
                      <w:t>Stage</w:t>
                    </w:r>
                    <w:r>
                      <w:rPr>
                        <w:spacing w:val="3"/>
                        <w:sz w:val="14"/>
                      </w:rPr>
                      <w:t xml:space="preserve"> </w:t>
                    </w:r>
                    <w:r>
                      <w:rPr>
                        <w:spacing w:val="-10"/>
                        <w:w w:val="75"/>
                        <w:sz w:val="14"/>
                      </w:rPr>
                      <w:t>1</w:t>
                    </w:r>
                  </w:p>
                  <w:p w:rsidR="00F22F94" w:rsidRDefault="00F22F94">
                    <w:pPr>
                      <w:numPr>
                        <w:ilvl w:val="0"/>
                        <w:numId w:val="42"/>
                      </w:numPr>
                      <w:tabs>
                        <w:tab w:val="left" w:pos="257"/>
                      </w:tabs>
                      <w:spacing w:before="98"/>
                      <w:rPr>
                        <w:sz w:val="14"/>
                      </w:rPr>
                    </w:pPr>
                    <w:r>
                      <w:rPr>
                        <w:w w:val="75"/>
                        <w:sz w:val="14"/>
                      </w:rPr>
                      <w:t>Northern</w:t>
                    </w:r>
                    <w:r>
                      <w:rPr>
                        <w:spacing w:val="10"/>
                        <w:sz w:val="14"/>
                      </w:rPr>
                      <w:t xml:space="preserve"> </w:t>
                    </w:r>
                    <w:r>
                      <w:rPr>
                        <w:spacing w:val="-2"/>
                        <w:w w:val="85"/>
                        <w:sz w:val="14"/>
                      </w:rPr>
                      <w:t>Beaches</w:t>
                    </w:r>
                  </w:p>
                  <w:p w:rsidR="00F22F94" w:rsidRDefault="00F22F94">
                    <w:pPr>
                      <w:numPr>
                        <w:ilvl w:val="0"/>
                        <w:numId w:val="42"/>
                      </w:numPr>
                      <w:tabs>
                        <w:tab w:val="left" w:pos="257"/>
                      </w:tabs>
                      <w:spacing w:before="98" w:line="160" w:lineRule="exact"/>
                      <w:rPr>
                        <w:sz w:val="14"/>
                      </w:rPr>
                    </w:pPr>
                    <w:r>
                      <w:rPr>
                        <w:spacing w:val="-2"/>
                        <w:w w:val="85"/>
                        <w:sz w:val="14"/>
                      </w:rPr>
                      <w:t>Rozelle</w:t>
                    </w:r>
                  </w:p>
                </w:txbxContent>
              </v:textbox>
            </v:shape>
            <v:shape id="docshape2403" o:spid="_x0000_s1630" type="#_x0000_t202" style="position:absolute;left:6236;top:7854;width:5904;height:324" filled="f" stroked="f">
              <v:textbox inset="0,0,0,0">
                <w:txbxContent>
                  <w:p w:rsidR="00F22F94" w:rsidRDefault="00F22F94">
                    <w:pPr>
                      <w:spacing w:before="1"/>
                      <w:rPr>
                        <w:sz w:val="14"/>
                      </w:rPr>
                    </w:pPr>
                    <w:r>
                      <w:rPr>
                        <w:w w:val="95"/>
                        <w:sz w:val="14"/>
                      </w:rPr>
                      <w:t>Demand growth Source: NSW Health; Excludes chemotherapy, renal dialysis, unqualifed neonate,</w:t>
                    </w:r>
                    <w:r>
                      <w:rPr>
                        <w:spacing w:val="40"/>
                        <w:sz w:val="14"/>
                      </w:rPr>
                      <w:t xml:space="preserve"> </w:t>
                    </w:r>
                    <w:r>
                      <w:rPr>
                        <w:sz w:val="14"/>
                      </w:rPr>
                      <w:t>ED</w:t>
                    </w:r>
                    <w:r>
                      <w:rPr>
                        <w:spacing w:val="-7"/>
                        <w:sz w:val="14"/>
                      </w:rPr>
                      <w:t xml:space="preserve"> </w:t>
                    </w:r>
                    <w:r>
                      <w:rPr>
                        <w:sz w:val="14"/>
                      </w:rPr>
                      <w:t>only</w:t>
                    </w:r>
                    <w:r>
                      <w:rPr>
                        <w:spacing w:val="-7"/>
                        <w:sz w:val="14"/>
                      </w:rPr>
                      <w:t xml:space="preserve"> </w:t>
                    </w:r>
                    <w:r>
                      <w:rPr>
                        <w:sz w:val="14"/>
                      </w:rPr>
                      <w:t>and</w:t>
                    </w:r>
                    <w:r>
                      <w:rPr>
                        <w:spacing w:val="-7"/>
                        <w:sz w:val="14"/>
                      </w:rPr>
                      <w:t xml:space="preserve"> </w:t>
                    </w:r>
                    <w:r>
                      <w:rPr>
                        <w:sz w:val="14"/>
                      </w:rPr>
                      <w:t>Hospital</w:t>
                    </w:r>
                    <w:r>
                      <w:rPr>
                        <w:spacing w:val="-7"/>
                        <w:sz w:val="14"/>
                      </w:rPr>
                      <w:t xml:space="preserve"> </w:t>
                    </w:r>
                    <w:r>
                      <w:rPr>
                        <w:sz w:val="14"/>
                      </w:rPr>
                      <w:t>in</w:t>
                    </w:r>
                    <w:r>
                      <w:rPr>
                        <w:spacing w:val="-7"/>
                        <w:sz w:val="14"/>
                      </w:rPr>
                      <w:t xml:space="preserve"> </w:t>
                    </w:r>
                    <w:r>
                      <w:rPr>
                        <w:sz w:val="14"/>
                      </w:rPr>
                      <w:t>the</w:t>
                    </w:r>
                    <w:r>
                      <w:rPr>
                        <w:spacing w:val="-7"/>
                        <w:sz w:val="14"/>
                      </w:rPr>
                      <w:t xml:space="preserve"> </w:t>
                    </w:r>
                    <w:r>
                      <w:rPr>
                        <w:sz w:val="14"/>
                      </w:rPr>
                      <w:t>Home</w:t>
                    </w:r>
                    <w:r>
                      <w:rPr>
                        <w:spacing w:val="-7"/>
                        <w:sz w:val="14"/>
                      </w:rPr>
                      <w:t xml:space="preserve"> </w:t>
                    </w:r>
                    <w:r>
                      <w:rPr>
                        <w:sz w:val="14"/>
                      </w:rPr>
                      <w:t>admitted</w:t>
                    </w:r>
                    <w:r>
                      <w:rPr>
                        <w:spacing w:val="-7"/>
                        <w:sz w:val="14"/>
                      </w:rPr>
                      <w:t xml:space="preserve"> </w:t>
                    </w:r>
                    <w:r>
                      <w:rPr>
                        <w:sz w:val="14"/>
                      </w:rPr>
                      <w:t>services.</w:t>
                    </w:r>
                    <w:r>
                      <w:rPr>
                        <w:spacing w:val="26"/>
                        <w:sz w:val="14"/>
                      </w:rPr>
                      <w:t xml:space="preserve"> </w:t>
                    </w:r>
                    <w:r>
                      <w:rPr>
                        <w:sz w:val="14"/>
                      </w:rPr>
                      <w:t>Project</w:t>
                    </w:r>
                    <w:r>
                      <w:rPr>
                        <w:spacing w:val="-7"/>
                        <w:sz w:val="14"/>
                      </w:rPr>
                      <w:t xml:space="preserve"> </w:t>
                    </w:r>
                    <w:r>
                      <w:rPr>
                        <w:sz w:val="14"/>
                      </w:rPr>
                      <w:t>Source:</w:t>
                    </w:r>
                    <w:r>
                      <w:rPr>
                        <w:spacing w:val="-7"/>
                        <w:sz w:val="14"/>
                      </w:rPr>
                      <w:t xml:space="preserve"> </w:t>
                    </w:r>
                    <w:r>
                      <w:rPr>
                        <w:sz w:val="14"/>
                      </w:rPr>
                      <w:t>NSW</w:t>
                    </w:r>
                    <w:r>
                      <w:rPr>
                        <w:spacing w:val="-7"/>
                        <w:sz w:val="14"/>
                      </w:rPr>
                      <w:t xml:space="preserve"> </w:t>
                    </w:r>
                    <w:r>
                      <w:rPr>
                        <w:sz w:val="14"/>
                      </w:rPr>
                      <w:t>Government.</w:t>
                    </w:r>
                  </w:p>
                </w:txbxContent>
              </v:textbox>
            </v:shape>
            <w10:wrap anchorx="page"/>
          </v:group>
        </w:pict>
      </w:r>
      <w:bookmarkStart w:id="345" w:name="_bookmark243"/>
      <w:bookmarkEnd w:id="345"/>
      <w:r w:rsidR="00F22F94">
        <w:t>Infrastructure</w:t>
      </w:r>
      <w:r w:rsidR="00F22F94">
        <w:rPr>
          <w:spacing w:val="-11"/>
        </w:rPr>
        <w:t xml:space="preserve"> </w:t>
      </w:r>
      <w:r w:rsidR="00F22F94">
        <w:t>NSW</w:t>
      </w:r>
      <w:r w:rsidR="00F22F94">
        <w:rPr>
          <w:spacing w:val="-11"/>
        </w:rPr>
        <w:t xml:space="preserve"> </w:t>
      </w:r>
      <w:r w:rsidR="00F22F94">
        <w:t>recommends</w:t>
      </w:r>
      <w:r w:rsidR="00F22F94">
        <w:rPr>
          <w:spacing w:val="-11"/>
        </w:rPr>
        <w:t xml:space="preserve"> </w:t>
      </w:r>
      <w:r w:rsidR="00F22F94">
        <w:t>that</w:t>
      </w:r>
      <w:r w:rsidR="00F22F94">
        <w:rPr>
          <w:spacing w:val="-11"/>
        </w:rPr>
        <w:t xml:space="preserve"> </w:t>
      </w:r>
      <w:r w:rsidR="00F22F94">
        <w:t>NSW</w:t>
      </w:r>
      <w:r w:rsidR="00F22F94">
        <w:rPr>
          <w:spacing w:val="-11"/>
        </w:rPr>
        <w:t xml:space="preserve"> </w:t>
      </w:r>
      <w:r w:rsidR="00F22F94">
        <w:t>Health review</w:t>
      </w:r>
      <w:r w:rsidR="00F22F94">
        <w:rPr>
          <w:spacing w:val="-14"/>
        </w:rPr>
        <w:t xml:space="preserve"> </w:t>
      </w:r>
      <w:r w:rsidR="00F22F94">
        <w:t>the</w:t>
      </w:r>
      <w:r w:rsidR="00F22F94">
        <w:rPr>
          <w:spacing w:val="-14"/>
        </w:rPr>
        <w:t xml:space="preserve"> </w:t>
      </w:r>
      <w:r w:rsidR="00F22F94">
        <w:t>current</w:t>
      </w:r>
      <w:r w:rsidR="00F22F94">
        <w:rPr>
          <w:spacing w:val="-14"/>
        </w:rPr>
        <w:t xml:space="preserve"> </w:t>
      </w:r>
      <w:r w:rsidR="00F22F94">
        <w:t>practice,</w:t>
      </w:r>
      <w:r w:rsidR="00F22F94">
        <w:rPr>
          <w:spacing w:val="-14"/>
        </w:rPr>
        <w:t xml:space="preserve"> </w:t>
      </w:r>
      <w:r w:rsidR="00F22F94">
        <w:t>including</w:t>
      </w:r>
      <w:r w:rsidR="00F22F94">
        <w:rPr>
          <w:spacing w:val="-14"/>
        </w:rPr>
        <w:t xml:space="preserve"> </w:t>
      </w:r>
      <w:r w:rsidR="00F22F94">
        <w:t>the</w:t>
      </w:r>
      <w:r w:rsidR="00F22F94">
        <w:rPr>
          <w:spacing w:val="-14"/>
        </w:rPr>
        <w:t xml:space="preserve"> </w:t>
      </w:r>
      <w:r w:rsidR="00F22F94">
        <w:t>role</w:t>
      </w:r>
      <w:r w:rsidR="00F22F94">
        <w:rPr>
          <w:spacing w:val="-14"/>
        </w:rPr>
        <w:t xml:space="preserve"> </w:t>
      </w:r>
      <w:r w:rsidR="00F22F94">
        <w:t>of</w:t>
      </w:r>
      <w:r w:rsidR="00F22F94">
        <w:rPr>
          <w:spacing w:val="-14"/>
        </w:rPr>
        <w:t xml:space="preserve"> </w:t>
      </w:r>
      <w:r w:rsidR="00F22F94">
        <w:t>private revenue</w:t>
      </w:r>
      <w:r w:rsidR="00F22F94">
        <w:rPr>
          <w:spacing w:val="-9"/>
        </w:rPr>
        <w:t xml:space="preserve"> </w:t>
      </w:r>
      <w:r w:rsidR="00F22F94">
        <w:t>targets,</w:t>
      </w:r>
      <w:r w:rsidR="00F22F94">
        <w:rPr>
          <w:spacing w:val="-9"/>
        </w:rPr>
        <w:t xml:space="preserve"> </w:t>
      </w:r>
      <w:r w:rsidR="00F22F94">
        <w:t>and</w:t>
      </w:r>
      <w:r w:rsidR="00F22F94">
        <w:rPr>
          <w:spacing w:val="-9"/>
        </w:rPr>
        <w:t xml:space="preserve"> </w:t>
      </w:r>
      <w:r w:rsidR="00F22F94">
        <w:t>reduce</w:t>
      </w:r>
      <w:r w:rsidR="00F22F94">
        <w:rPr>
          <w:spacing w:val="-9"/>
        </w:rPr>
        <w:t xml:space="preserve"> </w:t>
      </w:r>
      <w:r w:rsidR="00F22F94">
        <w:t>the</w:t>
      </w:r>
      <w:r w:rsidR="00F22F94">
        <w:rPr>
          <w:spacing w:val="-9"/>
        </w:rPr>
        <w:t xml:space="preserve"> </w:t>
      </w:r>
      <w:r w:rsidR="00F22F94">
        <w:t>high</w:t>
      </w:r>
      <w:r w:rsidR="00F22F94">
        <w:rPr>
          <w:spacing w:val="-9"/>
        </w:rPr>
        <w:t xml:space="preserve"> </w:t>
      </w:r>
      <w:r w:rsidR="00F22F94">
        <w:t>proportion</w:t>
      </w:r>
      <w:r w:rsidR="00F22F94">
        <w:rPr>
          <w:spacing w:val="-9"/>
        </w:rPr>
        <w:t xml:space="preserve"> </w:t>
      </w:r>
      <w:r w:rsidR="00F22F94">
        <w:t>of private</w:t>
      </w:r>
      <w:r w:rsidR="00F22F94">
        <w:rPr>
          <w:spacing w:val="-13"/>
        </w:rPr>
        <w:t xml:space="preserve"> </w:t>
      </w:r>
      <w:r w:rsidR="00F22F94">
        <w:t>hospital</w:t>
      </w:r>
      <w:r w:rsidR="00F22F94">
        <w:rPr>
          <w:spacing w:val="-13"/>
        </w:rPr>
        <w:t xml:space="preserve"> </w:t>
      </w:r>
      <w:r w:rsidR="00F22F94">
        <w:t>patients</w:t>
      </w:r>
      <w:r w:rsidR="00F22F94">
        <w:rPr>
          <w:spacing w:val="-13"/>
        </w:rPr>
        <w:t xml:space="preserve"> </w:t>
      </w:r>
      <w:r w:rsidR="00F22F94">
        <w:t>in</w:t>
      </w:r>
      <w:r w:rsidR="00F22F94">
        <w:rPr>
          <w:spacing w:val="-13"/>
        </w:rPr>
        <w:t xml:space="preserve"> </w:t>
      </w:r>
      <w:r w:rsidR="00F22F94">
        <w:t>public</w:t>
      </w:r>
      <w:r w:rsidR="00F22F94">
        <w:rPr>
          <w:spacing w:val="-13"/>
        </w:rPr>
        <w:t xml:space="preserve"> </w:t>
      </w:r>
      <w:r w:rsidR="00F22F94">
        <w:t>hospitals</w:t>
      </w:r>
      <w:r w:rsidR="00F22F94">
        <w:rPr>
          <w:spacing w:val="-13"/>
        </w:rPr>
        <w:t xml:space="preserve"> </w:t>
      </w:r>
      <w:r w:rsidR="00F22F94">
        <w:t>to</w:t>
      </w:r>
      <w:r w:rsidR="00F22F94">
        <w:rPr>
          <w:spacing w:val="-13"/>
        </w:rPr>
        <w:t xml:space="preserve"> </w:t>
      </w:r>
      <w:r w:rsidR="00F22F94">
        <w:t>free</w:t>
      </w:r>
      <w:r w:rsidR="00F22F94">
        <w:rPr>
          <w:spacing w:val="-13"/>
        </w:rPr>
        <w:t xml:space="preserve"> </w:t>
      </w:r>
      <w:r w:rsidR="00F22F94">
        <w:t xml:space="preserve">up </w:t>
      </w:r>
      <w:r w:rsidR="00F22F94">
        <w:rPr>
          <w:w w:val="95"/>
        </w:rPr>
        <w:t>hospital</w:t>
      </w:r>
      <w:r w:rsidR="00F22F94">
        <w:rPr>
          <w:spacing w:val="-3"/>
          <w:w w:val="95"/>
        </w:rPr>
        <w:t xml:space="preserve"> </w:t>
      </w:r>
      <w:r w:rsidR="00F22F94">
        <w:rPr>
          <w:w w:val="95"/>
        </w:rPr>
        <w:t>capacity</w:t>
      </w:r>
      <w:r w:rsidR="00F22F94">
        <w:rPr>
          <w:spacing w:val="-3"/>
          <w:w w:val="95"/>
        </w:rPr>
        <w:t xml:space="preserve"> </w:t>
      </w:r>
      <w:r w:rsidR="00F22F94">
        <w:rPr>
          <w:w w:val="95"/>
        </w:rPr>
        <w:t>for</w:t>
      </w:r>
      <w:r w:rsidR="00F22F94">
        <w:rPr>
          <w:spacing w:val="-3"/>
          <w:w w:val="95"/>
        </w:rPr>
        <w:t xml:space="preserve"> </w:t>
      </w:r>
      <w:r w:rsidR="00F22F94">
        <w:rPr>
          <w:w w:val="95"/>
        </w:rPr>
        <w:t>public</w:t>
      </w:r>
      <w:r w:rsidR="00F22F94">
        <w:rPr>
          <w:spacing w:val="-3"/>
          <w:w w:val="95"/>
        </w:rPr>
        <w:t xml:space="preserve"> </w:t>
      </w:r>
      <w:r w:rsidR="00F22F94">
        <w:rPr>
          <w:w w:val="95"/>
        </w:rPr>
        <w:t>patients.</w:t>
      </w:r>
      <w:r w:rsidR="00F22F94">
        <w:rPr>
          <w:spacing w:val="-3"/>
          <w:w w:val="95"/>
        </w:rPr>
        <w:t xml:space="preserve"> </w:t>
      </w:r>
      <w:r w:rsidR="00F22F94">
        <w:rPr>
          <w:w w:val="95"/>
        </w:rPr>
        <w:t>The</w:t>
      </w:r>
      <w:r w:rsidR="00F22F94">
        <w:rPr>
          <w:spacing w:val="-3"/>
          <w:w w:val="95"/>
        </w:rPr>
        <w:t xml:space="preserve"> </w:t>
      </w:r>
      <w:r w:rsidR="00F22F94">
        <w:rPr>
          <w:w w:val="95"/>
        </w:rPr>
        <w:t>current</w:t>
      </w:r>
      <w:r w:rsidR="00F22F94">
        <w:rPr>
          <w:spacing w:val="-3"/>
          <w:w w:val="95"/>
        </w:rPr>
        <w:t xml:space="preserve"> </w:t>
      </w:r>
      <w:r w:rsidR="00F22F94">
        <w:rPr>
          <w:w w:val="95"/>
        </w:rPr>
        <w:t xml:space="preserve">reliance </w:t>
      </w:r>
      <w:r w:rsidR="00F22F94">
        <w:t>on</w:t>
      </w:r>
      <w:r w:rsidR="00F22F94">
        <w:rPr>
          <w:spacing w:val="-11"/>
        </w:rPr>
        <w:t xml:space="preserve"> </w:t>
      </w:r>
      <w:r w:rsidR="00F22F94">
        <w:t>income</w:t>
      </w:r>
      <w:r w:rsidR="00F22F94">
        <w:rPr>
          <w:spacing w:val="-11"/>
        </w:rPr>
        <w:t xml:space="preserve"> </w:t>
      </w:r>
      <w:r w:rsidR="00F22F94">
        <w:t>from</w:t>
      </w:r>
      <w:r w:rsidR="00F22F94">
        <w:rPr>
          <w:spacing w:val="-12"/>
        </w:rPr>
        <w:t xml:space="preserve"> </w:t>
      </w:r>
      <w:r w:rsidR="00F22F94">
        <w:t>the</w:t>
      </w:r>
      <w:r w:rsidR="00F22F94">
        <w:rPr>
          <w:spacing w:val="-11"/>
        </w:rPr>
        <w:t xml:space="preserve"> </w:t>
      </w:r>
      <w:r w:rsidR="00F22F94">
        <w:t>privately</w:t>
      </w:r>
      <w:r w:rsidR="00F22F94">
        <w:rPr>
          <w:spacing w:val="-11"/>
        </w:rPr>
        <w:t xml:space="preserve"> </w:t>
      </w:r>
      <w:r w:rsidR="00F22F94">
        <w:t>insured</w:t>
      </w:r>
      <w:r w:rsidR="00F22F94">
        <w:rPr>
          <w:spacing w:val="-11"/>
        </w:rPr>
        <w:t xml:space="preserve"> </w:t>
      </w:r>
      <w:r w:rsidR="00F22F94">
        <w:t>patients</w:t>
      </w:r>
      <w:r w:rsidR="00F22F94">
        <w:rPr>
          <w:spacing w:val="-11"/>
        </w:rPr>
        <w:t xml:space="preserve"> </w:t>
      </w:r>
      <w:r w:rsidR="00F22F94">
        <w:t>would need</w:t>
      </w:r>
      <w:r w:rsidR="00F22F94">
        <w:rPr>
          <w:spacing w:val="-9"/>
        </w:rPr>
        <w:t xml:space="preserve"> </w:t>
      </w:r>
      <w:r w:rsidR="00F22F94">
        <w:t>to</w:t>
      </w:r>
      <w:r w:rsidR="00F22F94">
        <w:rPr>
          <w:spacing w:val="-9"/>
        </w:rPr>
        <w:t xml:space="preserve"> </w:t>
      </w:r>
      <w:r w:rsidR="00F22F94">
        <w:t>be</w:t>
      </w:r>
      <w:r w:rsidR="00F22F94">
        <w:rPr>
          <w:spacing w:val="-9"/>
        </w:rPr>
        <w:t xml:space="preserve"> </w:t>
      </w:r>
      <w:r w:rsidR="00F22F94">
        <w:t>replaced</w:t>
      </w:r>
      <w:r w:rsidR="00F22F94">
        <w:rPr>
          <w:spacing w:val="-9"/>
        </w:rPr>
        <w:t xml:space="preserve"> </w:t>
      </w:r>
      <w:r w:rsidR="00F22F94">
        <w:t>with</w:t>
      </w:r>
      <w:r w:rsidR="00F22F94">
        <w:rPr>
          <w:spacing w:val="-9"/>
        </w:rPr>
        <w:t xml:space="preserve"> </w:t>
      </w:r>
      <w:r w:rsidR="00F22F94">
        <w:t>public</w:t>
      </w:r>
      <w:r w:rsidR="00F22F94">
        <w:rPr>
          <w:spacing w:val="-9"/>
        </w:rPr>
        <w:t xml:space="preserve"> </w:t>
      </w:r>
      <w:r w:rsidR="00F22F94">
        <w:t>funding</w:t>
      </w:r>
      <w:r w:rsidR="00F22F94">
        <w:rPr>
          <w:spacing w:val="-9"/>
        </w:rPr>
        <w:t xml:space="preserve"> </w:t>
      </w:r>
      <w:r w:rsidR="00F22F94">
        <w:t>over</w:t>
      </w:r>
      <w:r w:rsidR="00F22F94">
        <w:rPr>
          <w:spacing w:val="-9"/>
        </w:rPr>
        <w:t xml:space="preserve"> </w:t>
      </w:r>
      <w:r w:rsidR="00F22F94">
        <w:t>the</w:t>
      </w:r>
      <w:r w:rsidR="00F22F94">
        <w:rPr>
          <w:spacing w:val="-9"/>
        </w:rPr>
        <w:t xml:space="preserve"> </w:t>
      </w:r>
      <w:r w:rsidR="00F22F94">
        <w:t>next five</w:t>
      </w:r>
      <w:r w:rsidR="00F22F94">
        <w:rPr>
          <w:spacing w:val="-11"/>
        </w:rPr>
        <w:t xml:space="preserve"> </w:t>
      </w:r>
      <w:r w:rsidR="00F22F94">
        <w:t>years.</w:t>
      </w:r>
    </w:p>
    <w:p w:rsidR="002C1123" w:rsidRDefault="00F22F94">
      <w:pPr>
        <w:pStyle w:val="Heading6"/>
        <w:numPr>
          <w:ilvl w:val="2"/>
          <w:numId w:val="49"/>
        </w:numPr>
        <w:tabs>
          <w:tab w:val="left" w:pos="1087"/>
        </w:tabs>
        <w:spacing w:before="148"/>
        <w:ind w:left="1086"/>
        <w:jc w:val="left"/>
      </w:pPr>
      <w:r>
        <w:rPr>
          <w:color w:val="00AEEF"/>
          <w:spacing w:val="-2"/>
        </w:rPr>
        <w:t>Major</w:t>
      </w:r>
      <w:r>
        <w:rPr>
          <w:color w:val="00AEEF"/>
          <w:spacing w:val="-6"/>
        </w:rPr>
        <w:t xml:space="preserve"> </w:t>
      </w:r>
      <w:r>
        <w:rPr>
          <w:color w:val="00AEEF"/>
          <w:spacing w:val="-2"/>
        </w:rPr>
        <w:t>new</w:t>
      </w:r>
      <w:r>
        <w:rPr>
          <w:color w:val="00AEEF"/>
          <w:spacing w:val="-6"/>
        </w:rPr>
        <w:t xml:space="preserve"> </w:t>
      </w:r>
      <w:r>
        <w:rPr>
          <w:color w:val="00AEEF"/>
          <w:spacing w:val="-2"/>
        </w:rPr>
        <w:t>hospital</w:t>
      </w:r>
      <w:r>
        <w:rPr>
          <w:color w:val="00AEEF"/>
          <w:spacing w:val="-6"/>
        </w:rPr>
        <w:t xml:space="preserve"> </w:t>
      </w:r>
      <w:r>
        <w:rPr>
          <w:color w:val="00AEEF"/>
          <w:spacing w:val="-2"/>
        </w:rPr>
        <w:t>works</w:t>
      </w:r>
    </w:p>
    <w:p w:rsidR="002C1123" w:rsidRDefault="002060EF">
      <w:pPr>
        <w:pStyle w:val="BodyText"/>
        <w:spacing w:before="95" w:line="249" w:lineRule="auto"/>
        <w:ind w:left="492" w:right="11030"/>
      </w:pPr>
      <w:r>
        <w:pict>
          <v:shape id="_x0000_s1628" type="#_x0000_t136" style="position:absolute;left:0;text-align:left;margin-left:650.4pt;margin-top:41.85pt;width:7.3pt;height:6.5pt;rotation:357;z-index:251646976;mso-position-horizontal-relative:page" fillcolor="black" stroked="f">
            <o:extrusion v:ext="view" autorotationcenter="t"/>
            <v:textpath style="font-family:&quot;Arial&quot;;font-size:6pt;font-weight:bold;v-text-kern:t;mso-text-shadow:auto" string="19"/>
            <w10:wrap anchorx="page"/>
          </v:shape>
        </w:pict>
      </w:r>
      <w:r w:rsidR="00F22F94">
        <w:t>Infrastructure</w:t>
      </w:r>
      <w:r w:rsidR="00F22F94">
        <w:rPr>
          <w:spacing w:val="-14"/>
        </w:rPr>
        <w:t xml:space="preserve"> </w:t>
      </w:r>
      <w:r w:rsidR="00F22F94">
        <w:t>NSW</w:t>
      </w:r>
      <w:r w:rsidR="00F22F94">
        <w:rPr>
          <w:spacing w:val="-14"/>
        </w:rPr>
        <w:t xml:space="preserve"> </w:t>
      </w:r>
      <w:r w:rsidR="00F22F94">
        <w:t>concurs</w:t>
      </w:r>
      <w:r w:rsidR="00F22F94">
        <w:rPr>
          <w:spacing w:val="-14"/>
        </w:rPr>
        <w:t xml:space="preserve"> </w:t>
      </w:r>
      <w:r w:rsidR="00F22F94">
        <w:t>with</w:t>
      </w:r>
      <w:r w:rsidR="00F22F94">
        <w:rPr>
          <w:spacing w:val="-14"/>
        </w:rPr>
        <w:t xml:space="preserve"> </w:t>
      </w:r>
      <w:r w:rsidR="00F22F94">
        <w:t>the</w:t>
      </w:r>
      <w:r w:rsidR="00F22F94">
        <w:rPr>
          <w:spacing w:val="-14"/>
        </w:rPr>
        <w:t xml:space="preserve"> </w:t>
      </w:r>
      <w:r w:rsidR="00F22F94">
        <w:t>Commission</w:t>
      </w:r>
      <w:r w:rsidR="00F22F94">
        <w:rPr>
          <w:spacing w:val="-14"/>
        </w:rPr>
        <w:t xml:space="preserve"> </w:t>
      </w:r>
      <w:r w:rsidR="00F22F94">
        <w:t xml:space="preserve">of </w:t>
      </w:r>
      <w:r w:rsidR="00F22F94">
        <w:rPr>
          <w:w w:val="95"/>
        </w:rPr>
        <w:t>Audit’s</w:t>
      </w:r>
      <w:r w:rsidR="00F22F94">
        <w:rPr>
          <w:spacing w:val="-5"/>
          <w:w w:val="95"/>
        </w:rPr>
        <w:t xml:space="preserve"> </w:t>
      </w:r>
      <w:r w:rsidR="00F22F94">
        <w:rPr>
          <w:w w:val="95"/>
        </w:rPr>
        <w:t>conclusion</w:t>
      </w:r>
      <w:r w:rsidR="00F22F94">
        <w:rPr>
          <w:spacing w:val="-5"/>
          <w:w w:val="95"/>
        </w:rPr>
        <w:t xml:space="preserve"> </w:t>
      </w:r>
      <w:r w:rsidR="00F22F94">
        <w:rPr>
          <w:w w:val="95"/>
        </w:rPr>
        <w:t>that</w:t>
      </w:r>
      <w:r w:rsidR="00F22F94">
        <w:rPr>
          <w:spacing w:val="-5"/>
          <w:w w:val="95"/>
        </w:rPr>
        <w:t xml:space="preserve"> </w:t>
      </w:r>
      <w:r w:rsidR="00F22F94">
        <w:rPr>
          <w:w w:val="95"/>
        </w:rPr>
        <w:t>‘facilities</w:t>
      </w:r>
      <w:r w:rsidR="00F22F94">
        <w:rPr>
          <w:spacing w:val="-5"/>
          <w:w w:val="95"/>
        </w:rPr>
        <w:t xml:space="preserve"> </w:t>
      </w:r>
      <w:r w:rsidR="00F22F94">
        <w:rPr>
          <w:w w:val="95"/>
        </w:rPr>
        <w:t>are</w:t>
      </w:r>
      <w:r w:rsidR="00F22F94">
        <w:rPr>
          <w:spacing w:val="-5"/>
          <w:w w:val="95"/>
        </w:rPr>
        <w:t xml:space="preserve"> </w:t>
      </w:r>
      <w:r w:rsidR="00F22F94">
        <w:rPr>
          <w:w w:val="95"/>
        </w:rPr>
        <w:t>run</w:t>
      </w:r>
      <w:r w:rsidR="00F22F94">
        <w:rPr>
          <w:spacing w:val="-5"/>
          <w:w w:val="95"/>
        </w:rPr>
        <w:t xml:space="preserve"> </w:t>
      </w:r>
      <w:r w:rsidR="00F22F94">
        <w:rPr>
          <w:w w:val="95"/>
        </w:rPr>
        <w:t>down’</w:t>
      </w:r>
      <w:r w:rsidR="00F22F94">
        <w:rPr>
          <w:w w:val="95"/>
          <w:position w:val="7"/>
          <w:sz w:val="11"/>
        </w:rPr>
        <w:t>4</w:t>
      </w:r>
      <w:r w:rsidR="00F22F94">
        <w:rPr>
          <w:w w:val="95"/>
        </w:rPr>
        <w:t>.</w:t>
      </w:r>
      <w:r w:rsidR="00F22F94">
        <w:rPr>
          <w:spacing w:val="-5"/>
          <w:w w:val="95"/>
        </w:rPr>
        <w:t xml:space="preserve"> </w:t>
      </w:r>
      <w:r w:rsidR="00F22F94">
        <w:rPr>
          <w:w w:val="95"/>
        </w:rPr>
        <w:t xml:space="preserve">There </w:t>
      </w:r>
      <w:r w:rsidR="00F22F94">
        <w:t>is</w:t>
      </w:r>
      <w:r w:rsidR="00F22F94">
        <w:rPr>
          <w:spacing w:val="-10"/>
        </w:rPr>
        <w:t xml:space="preserve"> </w:t>
      </w:r>
      <w:r w:rsidR="00F22F94">
        <w:t>a</w:t>
      </w:r>
      <w:r w:rsidR="00F22F94">
        <w:rPr>
          <w:spacing w:val="-10"/>
        </w:rPr>
        <w:t xml:space="preserve"> </w:t>
      </w:r>
      <w:r w:rsidR="00F22F94">
        <w:t>clear</w:t>
      </w:r>
      <w:r w:rsidR="00F22F94">
        <w:rPr>
          <w:spacing w:val="-10"/>
        </w:rPr>
        <w:t xml:space="preserve"> </w:t>
      </w:r>
      <w:r w:rsidR="00F22F94">
        <w:t>need</w:t>
      </w:r>
      <w:r w:rsidR="00F22F94">
        <w:rPr>
          <w:spacing w:val="-10"/>
        </w:rPr>
        <w:t xml:space="preserve"> </w:t>
      </w:r>
      <w:r w:rsidR="00F22F94">
        <w:t>for</w:t>
      </w:r>
      <w:r w:rsidR="00F22F94">
        <w:rPr>
          <w:spacing w:val="-10"/>
        </w:rPr>
        <w:t xml:space="preserve"> </w:t>
      </w:r>
      <w:r w:rsidR="00F22F94">
        <w:t>ongoing</w:t>
      </w:r>
      <w:r w:rsidR="00F22F94">
        <w:rPr>
          <w:spacing w:val="-10"/>
        </w:rPr>
        <w:t xml:space="preserve"> </w:t>
      </w:r>
      <w:r w:rsidR="00F22F94">
        <w:t>planned</w:t>
      </w:r>
      <w:r w:rsidR="00F22F94">
        <w:rPr>
          <w:spacing w:val="-10"/>
        </w:rPr>
        <w:t xml:space="preserve"> </w:t>
      </w:r>
      <w:r w:rsidR="00F22F94">
        <w:t>and</w:t>
      </w:r>
      <w:r w:rsidR="00F22F94">
        <w:rPr>
          <w:spacing w:val="-10"/>
        </w:rPr>
        <w:t xml:space="preserve"> </w:t>
      </w:r>
      <w:r w:rsidR="00F22F94">
        <w:t xml:space="preserve">systemic </w:t>
      </w:r>
      <w:r w:rsidR="00F22F94">
        <w:rPr>
          <w:w w:val="95"/>
        </w:rPr>
        <w:t xml:space="preserve">investment and management of health infrastructure, </w:t>
      </w:r>
      <w:r w:rsidR="00F22F94">
        <w:t>a</w:t>
      </w:r>
      <w:r w:rsidR="00F22F94">
        <w:rPr>
          <w:spacing w:val="-13"/>
        </w:rPr>
        <w:t xml:space="preserve"> </w:t>
      </w:r>
      <w:r w:rsidR="00F22F94">
        <w:t>regular</w:t>
      </w:r>
      <w:r w:rsidR="00F22F94">
        <w:rPr>
          <w:spacing w:val="-13"/>
        </w:rPr>
        <w:t xml:space="preserve"> </w:t>
      </w:r>
      <w:r w:rsidR="00F22F94">
        <w:t>program</w:t>
      </w:r>
      <w:r w:rsidR="00F22F94">
        <w:rPr>
          <w:spacing w:val="-13"/>
        </w:rPr>
        <w:t xml:space="preserve"> </w:t>
      </w:r>
      <w:r w:rsidR="00F22F94">
        <w:t>of</w:t>
      </w:r>
      <w:r w:rsidR="00F22F94">
        <w:rPr>
          <w:spacing w:val="-13"/>
        </w:rPr>
        <w:t xml:space="preserve"> </w:t>
      </w:r>
      <w:r w:rsidR="00F22F94">
        <w:t>renewal</w:t>
      </w:r>
      <w:r w:rsidR="00F22F94">
        <w:rPr>
          <w:spacing w:val="-13"/>
        </w:rPr>
        <w:t xml:space="preserve"> </w:t>
      </w:r>
      <w:r w:rsidR="00F22F94">
        <w:t>to</w:t>
      </w:r>
      <w:r w:rsidR="00F22F94">
        <w:rPr>
          <w:spacing w:val="-13"/>
        </w:rPr>
        <w:t xml:space="preserve"> </w:t>
      </w:r>
      <w:r w:rsidR="00F22F94">
        <w:t>extend</w:t>
      </w:r>
      <w:r w:rsidR="00F22F94">
        <w:rPr>
          <w:spacing w:val="-13"/>
        </w:rPr>
        <w:t xml:space="preserve"> </w:t>
      </w:r>
      <w:r w:rsidR="00F22F94">
        <w:t>life</w:t>
      </w:r>
      <w:r w:rsidR="00F22F94">
        <w:rPr>
          <w:spacing w:val="-13"/>
        </w:rPr>
        <w:t xml:space="preserve"> </w:t>
      </w:r>
      <w:r w:rsidR="00F22F94">
        <w:t>and</w:t>
      </w:r>
      <w:r w:rsidR="00F22F94">
        <w:rPr>
          <w:spacing w:val="-13"/>
        </w:rPr>
        <w:t xml:space="preserve"> </w:t>
      </w:r>
      <w:r w:rsidR="00F22F94">
        <w:t>to</w:t>
      </w:r>
    </w:p>
    <w:p w:rsidR="002C1123" w:rsidRDefault="00F22F94">
      <w:pPr>
        <w:pStyle w:val="BodyText"/>
        <w:spacing w:before="4" w:line="249" w:lineRule="auto"/>
        <w:ind w:left="492" w:right="10835"/>
      </w:pPr>
      <w:r>
        <w:rPr>
          <w:w w:val="95"/>
        </w:rPr>
        <w:t>upgrade</w:t>
      </w:r>
      <w:r>
        <w:rPr>
          <w:spacing w:val="-3"/>
          <w:w w:val="95"/>
        </w:rPr>
        <w:t xml:space="preserve"> </w:t>
      </w:r>
      <w:r>
        <w:rPr>
          <w:w w:val="95"/>
        </w:rPr>
        <w:t>to</w:t>
      </w:r>
      <w:r>
        <w:rPr>
          <w:spacing w:val="-3"/>
          <w:w w:val="95"/>
        </w:rPr>
        <w:t xml:space="preserve"> </w:t>
      </w:r>
      <w:r>
        <w:rPr>
          <w:w w:val="95"/>
        </w:rPr>
        <w:t>modern</w:t>
      </w:r>
      <w:r>
        <w:rPr>
          <w:spacing w:val="-3"/>
          <w:w w:val="95"/>
        </w:rPr>
        <w:t xml:space="preserve"> </w:t>
      </w:r>
      <w:r>
        <w:rPr>
          <w:w w:val="95"/>
        </w:rPr>
        <w:t>standards</w:t>
      </w:r>
      <w:r>
        <w:rPr>
          <w:spacing w:val="-3"/>
          <w:w w:val="95"/>
        </w:rPr>
        <w:t xml:space="preserve"> </w:t>
      </w:r>
      <w:r>
        <w:rPr>
          <w:w w:val="95"/>
        </w:rPr>
        <w:t>for</w:t>
      </w:r>
      <w:r>
        <w:rPr>
          <w:spacing w:val="-3"/>
          <w:w w:val="95"/>
        </w:rPr>
        <w:t xml:space="preserve"> </w:t>
      </w:r>
      <w:r>
        <w:rPr>
          <w:w w:val="95"/>
        </w:rPr>
        <w:t>efficiency</w:t>
      </w:r>
      <w:r>
        <w:rPr>
          <w:spacing w:val="-3"/>
          <w:w w:val="95"/>
        </w:rPr>
        <w:t xml:space="preserve"> </w:t>
      </w:r>
      <w:r>
        <w:rPr>
          <w:w w:val="95"/>
        </w:rPr>
        <w:t>in</w:t>
      </w:r>
      <w:r>
        <w:rPr>
          <w:spacing w:val="-3"/>
          <w:w w:val="95"/>
        </w:rPr>
        <w:t xml:space="preserve"> </w:t>
      </w:r>
      <w:r>
        <w:rPr>
          <w:w w:val="95"/>
        </w:rPr>
        <w:t xml:space="preserve">delivering </w:t>
      </w:r>
      <w:r>
        <w:t>contemporary acute health care services.</w:t>
      </w:r>
    </w:p>
    <w:p w:rsidR="002C1123" w:rsidRDefault="00F22F94">
      <w:pPr>
        <w:pStyle w:val="BodyText"/>
        <w:spacing w:before="144" w:line="249" w:lineRule="auto"/>
        <w:ind w:left="492" w:right="10835"/>
      </w:pPr>
      <w:r>
        <w:rPr>
          <w:w w:val="95"/>
        </w:rPr>
        <w:t>NSW’s</w:t>
      </w:r>
      <w:r>
        <w:rPr>
          <w:spacing w:val="-4"/>
          <w:w w:val="95"/>
        </w:rPr>
        <w:t xml:space="preserve"> </w:t>
      </w:r>
      <w:r>
        <w:rPr>
          <w:w w:val="95"/>
        </w:rPr>
        <w:t>capital</w:t>
      </w:r>
      <w:r>
        <w:rPr>
          <w:spacing w:val="-4"/>
          <w:w w:val="95"/>
        </w:rPr>
        <w:t xml:space="preserve"> </w:t>
      </w:r>
      <w:r>
        <w:rPr>
          <w:w w:val="95"/>
        </w:rPr>
        <w:t>health</w:t>
      </w:r>
      <w:r>
        <w:rPr>
          <w:spacing w:val="-4"/>
          <w:w w:val="95"/>
        </w:rPr>
        <w:t xml:space="preserve"> </w:t>
      </w:r>
      <w:r>
        <w:rPr>
          <w:w w:val="95"/>
        </w:rPr>
        <w:t>expenditure</w:t>
      </w:r>
      <w:r>
        <w:rPr>
          <w:spacing w:val="-4"/>
          <w:w w:val="95"/>
        </w:rPr>
        <w:t xml:space="preserve"> </w:t>
      </w:r>
      <w:r>
        <w:rPr>
          <w:w w:val="95"/>
        </w:rPr>
        <w:t>per</w:t>
      </w:r>
      <w:r>
        <w:rPr>
          <w:spacing w:val="-4"/>
          <w:w w:val="95"/>
        </w:rPr>
        <w:t xml:space="preserve"> </w:t>
      </w:r>
      <w:r>
        <w:rPr>
          <w:w w:val="95"/>
        </w:rPr>
        <w:t>capita</w:t>
      </w:r>
      <w:r>
        <w:rPr>
          <w:spacing w:val="-4"/>
          <w:w w:val="95"/>
        </w:rPr>
        <w:t xml:space="preserve"> </w:t>
      </w:r>
      <w:r>
        <w:rPr>
          <w:w w:val="95"/>
        </w:rPr>
        <w:t>has</w:t>
      </w:r>
      <w:r>
        <w:rPr>
          <w:spacing w:val="-4"/>
          <w:w w:val="95"/>
        </w:rPr>
        <w:t xml:space="preserve"> </w:t>
      </w:r>
      <w:r>
        <w:rPr>
          <w:w w:val="95"/>
        </w:rPr>
        <w:t xml:space="preserve">been consistently lower than any other state. Health capital expenditure as a proportion of total state government </w:t>
      </w:r>
      <w:r>
        <w:rPr>
          <w:spacing w:val="-2"/>
        </w:rPr>
        <w:t>health</w:t>
      </w:r>
      <w:r>
        <w:rPr>
          <w:spacing w:val="-12"/>
        </w:rPr>
        <w:t xml:space="preserve"> </w:t>
      </w:r>
      <w:r>
        <w:rPr>
          <w:spacing w:val="-2"/>
        </w:rPr>
        <w:t>expenditure</w:t>
      </w:r>
      <w:r>
        <w:rPr>
          <w:spacing w:val="-12"/>
        </w:rPr>
        <w:t xml:space="preserve"> </w:t>
      </w:r>
      <w:r>
        <w:rPr>
          <w:spacing w:val="-2"/>
        </w:rPr>
        <w:t>in</w:t>
      </w:r>
      <w:r>
        <w:rPr>
          <w:spacing w:val="-12"/>
        </w:rPr>
        <w:t xml:space="preserve"> </w:t>
      </w:r>
      <w:r>
        <w:rPr>
          <w:spacing w:val="-2"/>
        </w:rPr>
        <w:t>NSW</w:t>
      </w:r>
      <w:r>
        <w:rPr>
          <w:spacing w:val="-12"/>
        </w:rPr>
        <w:t xml:space="preserve"> </w:t>
      </w:r>
      <w:r>
        <w:rPr>
          <w:spacing w:val="-2"/>
        </w:rPr>
        <w:t>in</w:t>
      </w:r>
      <w:r>
        <w:rPr>
          <w:spacing w:val="-12"/>
        </w:rPr>
        <w:t xml:space="preserve"> </w:t>
      </w:r>
      <w:r>
        <w:rPr>
          <w:spacing w:val="-2"/>
        </w:rPr>
        <w:t>2011-12</w:t>
      </w:r>
      <w:r>
        <w:rPr>
          <w:spacing w:val="-12"/>
        </w:rPr>
        <w:t xml:space="preserve"> </w:t>
      </w:r>
      <w:r>
        <w:rPr>
          <w:spacing w:val="-2"/>
        </w:rPr>
        <w:t>is</w:t>
      </w:r>
      <w:r>
        <w:rPr>
          <w:spacing w:val="-12"/>
        </w:rPr>
        <w:t xml:space="preserve"> </w:t>
      </w:r>
      <w:r>
        <w:rPr>
          <w:spacing w:val="-2"/>
        </w:rPr>
        <w:t>five</w:t>
      </w:r>
      <w:r>
        <w:rPr>
          <w:spacing w:val="-12"/>
        </w:rPr>
        <w:t xml:space="preserve"> </w:t>
      </w:r>
      <w:r>
        <w:rPr>
          <w:spacing w:val="-2"/>
        </w:rPr>
        <w:t xml:space="preserve">percent </w:t>
      </w:r>
      <w:r>
        <w:t>compared</w:t>
      </w:r>
      <w:r>
        <w:rPr>
          <w:spacing w:val="-9"/>
        </w:rPr>
        <w:t xml:space="preserve"> </w:t>
      </w:r>
      <w:r>
        <w:t>to</w:t>
      </w:r>
      <w:r>
        <w:rPr>
          <w:spacing w:val="-9"/>
        </w:rPr>
        <w:t xml:space="preserve"> </w:t>
      </w:r>
      <w:r>
        <w:t>16</w:t>
      </w:r>
      <w:r>
        <w:rPr>
          <w:spacing w:val="-9"/>
        </w:rPr>
        <w:t xml:space="preserve"> </w:t>
      </w:r>
      <w:r>
        <w:t>percent</w:t>
      </w:r>
      <w:r>
        <w:rPr>
          <w:spacing w:val="-9"/>
        </w:rPr>
        <w:t xml:space="preserve"> </w:t>
      </w:r>
      <w:r>
        <w:t>in</w:t>
      </w:r>
      <w:r>
        <w:rPr>
          <w:spacing w:val="-9"/>
        </w:rPr>
        <w:t xml:space="preserve"> </w:t>
      </w:r>
      <w:r>
        <w:t>Queensland</w:t>
      </w:r>
      <w:r>
        <w:rPr>
          <w:spacing w:val="-9"/>
        </w:rPr>
        <w:t xml:space="preserve"> </w:t>
      </w:r>
      <w:r>
        <w:t>and</w:t>
      </w:r>
      <w:r>
        <w:rPr>
          <w:spacing w:val="-9"/>
        </w:rPr>
        <w:t xml:space="preserve"> </w:t>
      </w:r>
      <w:r>
        <w:t>nearly</w:t>
      </w:r>
    </w:p>
    <w:p w:rsidR="002C1123" w:rsidRDefault="00F22F94">
      <w:pPr>
        <w:pStyle w:val="BodyText"/>
        <w:spacing w:before="4"/>
        <w:ind w:left="492"/>
      </w:pPr>
      <w:r>
        <w:rPr>
          <w:w w:val="95"/>
        </w:rPr>
        <w:t>11</w:t>
      </w:r>
      <w:r>
        <w:rPr>
          <w:spacing w:val="-10"/>
          <w:w w:val="95"/>
        </w:rPr>
        <w:t xml:space="preserve"> </w:t>
      </w:r>
      <w:r>
        <w:rPr>
          <w:w w:val="95"/>
        </w:rPr>
        <w:t>percent</w:t>
      </w:r>
      <w:r>
        <w:rPr>
          <w:spacing w:val="-10"/>
          <w:w w:val="95"/>
        </w:rPr>
        <w:t xml:space="preserve"> </w:t>
      </w:r>
      <w:r>
        <w:rPr>
          <w:w w:val="95"/>
        </w:rPr>
        <w:t>in</w:t>
      </w:r>
      <w:r>
        <w:rPr>
          <w:spacing w:val="-10"/>
          <w:w w:val="95"/>
        </w:rPr>
        <w:t xml:space="preserve"> </w:t>
      </w:r>
      <w:r>
        <w:rPr>
          <w:spacing w:val="-2"/>
          <w:w w:val="95"/>
        </w:rPr>
        <w:t>Victoria.</w:t>
      </w:r>
    </w:p>
    <w:p w:rsidR="002C1123" w:rsidRDefault="00F22F94">
      <w:pPr>
        <w:pStyle w:val="BodyText"/>
        <w:spacing w:before="152" w:line="249" w:lineRule="auto"/>
        <w:ind w:left="492" w:right="10835"/>
      </w:pPr>
      <w:r>
        <w:t>The</w:t>
      </w:r>
      <w:r>
        <w:rPr>
          <w:spacing w:val="-13"/>
        </w:rPr>
        <w:t xml:space="preserve"> </w:t>
      </w:r>
      <w:r>
        <w:t>prioritised</w:t>
      </w:r>
      <w:r>
        <w:rPr>
          <w:spacing w:val="-13"/>
        </w:rPr>
        <w:t xml:space="preserve"> </w:t>
      </w:r>
      <w:r>
        <w:t>capital</w:t>
      </w:r>
      <w:r>
        <w:rPr>
          <w:spacing w:val="-13"/>
        </w:rPr>
        <w:t xml:space="preserve"> </w:t>
      </w:r>
      <w:r>
        <w:t>program</w:t>
      </w:r>
      <w:r>
        <w:rPr>
          <w:spacing w:val="-13"/>
        </w:rPr>
        <w:t xml:space="preserve"> </w:t>
      </w:r>
      <w:r>
        <w:t>over</w:t>
      </w:r>
      <w:r>
        <w:rPr>
          <w:spacing w:val="-13"/>
        </w:rPr>
        <w:t xml:space="preserve"> </w:t>
      </w:r>
      <w:r>
        <w:t>the</w:t>
      </w:r>
      <w:r>
        <w:rPr>
          <w:spacing w:val="-13"/>
        </w:rPr>
        <w:t xml:space="preserve"> </w:t>
      </w:r>
      <w:r>
        <w:t>next</w:t>
      </w:r>
      <w:r>
        <w:rPr>
          <w:spacing w:val="-13"/>
        </w:rPr>
        <w:t xml:space="preserve"> </w:t>
      </w:r>
      <w:r>
        <w:t>20</w:t>
      </w:r>
      <w:r>
        <w:rPr>
          <w:spacing w:val="-13"/>
        </w:rPr>
        <w:t xml:space="preserve"> </w:t>
      </w:r>
      <w:r>
        <w:t>years to</w:t>
      </w:r>
      <w:r>
        <w:rPr>
          <w:spacing w:val="-3"/>
        </w:rPr>
        <w:t xml:space="preserve"> </w:t>
      </w:r>
      <w:r>
        <w:t>meet</w:t>
      </w:r>
      <w:r>
        <w:rPr>
          <w:spacing w:val="-3"/>
        </w:rPr>
        <w:t xml:space="preserve"> </w:t>
      </w:r>
      <w:r>
        <w:t>expected</w:t>
      </w:r>
      <w:r>
        <w:rPr>
          <w:spacing w:val="-3"/>
        </w:rPr>
        <w:t xml:space="preserve"> </w:t>
      </w:r>
      <w:r>
        <w:t>growth</w:t>
      </w:r>
      <w:r>
        <w:rPr>
          <w:spacing w:val="-3"/>
        </w:rPr>
        <w:t xml:space="preserve"> </w:t>
      </w:r>
      <w:r>
        <w:t>in</w:t>
      </w:r>
      <w:r>
        <w:rPr>
          <w:spacing w:val="-3"/>
        </w:rPr>
        <w:t xml:space="preserve"> </w:t>
      </w:r>
      <w:r>
        <w:t>demand</w:t>
      </w:r>
      <w:r>
        <w:rPr>
          <w:spacing w:val="-3"/>
        </w:rPr>
        <w:t xml:space="preserve"> </w:t>
      </w:r>
      <w:r>
        <w:t>includes</w:t>
      </w:r>
      <w:r>
        <w:rPr>
          <w:spacing w:val="-3"/>
        </w:rPr>
        <w:t xml:space="preserve"> </w:t>
      </w:r>
      <w:r>
        <w:t xml:space="preserve">the </w:t>
      </w:r>
      <w:r>
        <w:rPr>
          <w:w w:val="95"/>
        </w:rPr>
        <w:t>major</w:t>
      </w:r>
      <w:r>
        <w:rPr>
          <w:spacing w:val="-5"/>
          <w:w w:val="95"/>
        </w:rPr>
        <w:t xml:space="preserve"> </w:t>
      </w:r>
      <w:r>
        <w:rPr>
          <w:w w:val="95"/>
        </w:rPr>
        <w:t>projects</w:t>
      </w:r>
      <w:r>
        <w:rPr>
          <w:spacing w:val="-5"/>
          <w:w w:val="95"/>
        </w:rPr>
        <w:t xml:space="preserve"> </w:t>
      </w:r>
      <w:r>
        <w:rPr>
          <w:w w:val="95"/>
        </w:rPr>
        <w:t>shown</w:t>
      </w:r>
      <w:r>
        <w:rPr>
          <w:spacing w:val="-5"/>
          <w:w w:val="95"/>
        </w:rPr>
        <w:t xml:space="preserve"> </w:t>
      </w:r>
      <w:r>
        <w:rPr>
          <w:w w:val="95"/>
        </w:rPr>
        <w:t>in</w:t>
      </w:r>
      <w:r>
        <w:rPr>
          <w:spacing w:val="-5"/>
          <w:w w:val="95"/>
        </w:rPr>
        <w:t xml:space="preserve"> </w:t>
      </w:r>
      <w:r>
        <w:rPr>
          <w:w w:val="95"/>
        </w:rPr>
        <w:t>Figure</w:t>
      </w:r>
      <w:r>
        <w:rPr>
          <w:spacing w:val="-5"/>
          <w:w w:val="95"/>
        </w:rPr>
        <w:t xml:space="preserve"> </w:t>
      </w:r>
      <w:r>
        <w:rPr>
          <w:w w:val="95"/>
        </w:rPr>
        <w:t>13.3.</w:t>
      </w:r>
      <w:r>
        <w:rPr>
          <w:spacing w:val="-5"/>
          <w:w w:val="95"/>
        </w:rPr>
        <w:t xml:space="preserve"> </w:t>
      </w:r>
      <w:r>
        <w:rPr>
          <w:w w:val="95"/>
        </w:rPr>
        <w:t>The</w:t>
      </w:r>
      <w:r>
        <w:rPr>
          <w:spacing w:val="-5"/>
          <w:w w:val="95"/>
        </w:rPr>
        <w:t xml:space="preserve"> </w:t>
      </w:r>
      <w:r>
        <w:rPr>
          <w:w w:val="95"/>
        </w:rPr>
        <w:t>major</w:t>
      </w:r>
      <w:r>
        <w:rPr>
          <w:spacing w:val="-5"/>
          <w:w w:val="95"/>
        </w:rPr>
        <w:t xml:space="preserve"> </w:t>
      </w:r>
      <w:r>
        <w:rPr>
          <w:w w:val="95"/>
        </w:rPr>
        <w:t>hospital projects</w:t>
      </w:r>
      <w:r>
        <w:rPr>
          <w:spacing w:val="-10"/>
          <w:w w:val="95"/>
        </w:rPr>
        <w:t xml:space="preserve"> </w:t>
      </w:r>
      <w:r>
        <w:rPr>
          <w:w w:val="95"/>
        </w:rPr>
        <w:t>are</w:t>
      </w:r>
      <w:r>
        <w:rPr>
          <w:spacing w:val="-10"/>
          <w:w w:val="95"/>
        </w:rPr>
        <w:t xml:space="preserve"> </w:t>
      </w:r>
      <w:r>
        <w:rPr>
          <w:w w:val="95"/>
        </w:rPr>
        <w:t>those</w:t>
      </w:r>
      <w:r>
        <w:rPr>
          <w:spacing w:val="-10"/>
          <w:w w:val="95"/>
        </w:rPr>
        <w:t xml:space="preserve"> </w:t>
      </w:r>
      <w:r>
        <w:rPr>
          <w:w w:val="95"/>
        </w:rPr>
        <w:t>included</w:t>
      </w:r>
      <w:r>
        <w:rPr>
          <w:spacing w:val="-10"/>
          <w:w w:val="95"/>
        </w:rPr>
        <w:t xml:space="preserve"> </w:t>
      </w:r>
      <w:r>
        <w:rPr>
          <w:w w:val="95"/>
        </w:rPr>
        <w:t>in</w:t>
      </w:r>
      <w:r>
        <w:rPr>
          <w:spacing w:val="-10"/>
          <w:w w:val="95"/>
        </w:rPr>
        <w:t xml:space="preserve"> </w:t>
      </w:r>
      <w:r>
        <w:rPr>
          <w:w w:val="95"/>
        </w:rPr>
        <w:t>the</w:t>
      </w:r>
      <w:r>
        <w:rPr>
          <w:spacing w:val="-9"/>
          <w:w w:val="95"/>
        </w:rPr>
        <w:t xml:space="preserve"> </w:t>
      </w:r>
      <w:r>
        <w:rPr>
          <w:w w:val="95"/>
        </w:rPr>
        <w:t>2012-13</w:t>
      </w:r>
      <w:r>
        <w:rPr>
          <w:spacing w:val="-10"/>
          <w:w w:val="95"/>
        </w:rPr>
        <w:t xml:space="preserve"> </w:t>
      </w:r>
      <w:r>
        <w:rPr>
          <w:w w:val="95"/>
        </w:rPr>
        <w:t>Health</w:t>
      </w:r>
      <w:r>
        <w:rPr>
          <w:spacing w:val="-10"/>
          <w:w w:val="95"/>
        </w:rPr>
        <w:t xml:space="preserve"> </w:t>
      </w:r>
      <w:r>
        <w:rPr>
          <w:spacing w:val="-2"/>
          <w:w w:val="95"/>
        </w:rPr>
        <w:t>Plans.</w:t>
      </w:r>
    </w:p>
    <w:p w:rsidR="002C1123" w:rsidRDefault="00F22F94">
      <w:pPr>
        <w:pStyle w:val="BodyText"/>
        <w:spacing w:before="145" w:line="249" w:lineRule="auto"/>
        <w:ind w:left="492" w:right="10866"/>
        <w:jc w:val="both"/>
      </w:pPr>
      <w:r>
        <w:rPr>
          <w:w w:val="95"/>
        </w:rPr>
        <w:t>Infrastructure</w:t>
      </w:r>
      <w:r>
        <w:rPr>
          <w:spacing w:val="-12"/>
          <w:w w:val="95"/>
        </w:rPr>
        <w:t xml:space="preserve"> </w:t>
      </w:r>
      <w:r>
        <w:rPr>
          <w:w w:val="95"/>
        </w:rPr>
        <w:t>NSW,</w:t>
      </w:r>
      <w:r>
        <w:rPr>
          <w:spacing w:val="-11"/>
          <w:w w:val="95"/>
        </w:rPr>
        <w:t xml:space="preserve"> </w:t>
      </w:r>
      <w:r>
        <w:rPr>
          <w:w w:val="95"/>
        </w:rPr>
        <w:t>NSW</w:t>
      </w:r>
      <w:r>
        <w:rPr>
          <w:spacing w:val="-11"/>
          <w:w w:val="95"/>
        </w:rPr>
        <w:t xml:space="preserve"> </w:t>
      </w:r>
      <w:r>
        <w:rPr>
          <w:w w:val="95"/>
        </w:rPr>
        <w:t>Health</w:t>
      </w:r>
      <w:r>
        <w:rPr>
          <w:spacing w:val="-11"/>
          <w:w w:val="95"/>
        </w:rPr>
        <w:t xml:space="preserve"> </w:t>
      </w:r>
      <w:r>
        <w:rPr>
          <w:w w:val="95"/>
        </w:rPr>
        <w:t>and</w:t>
      </w:r>
      <w:r>
        <w:rPr>
          <w:spacing w:val="-11"/>
          <w:w w:val="95"/>
        </w:rPr>
        <w:t xml:space="preserve"> </w:t>
      </w:r>
      <w:r>
        <w:rPr>
          <w:w w:val="95"/>
        </w:rPr>
        <w:t>NSW</w:t>
      </w:r>
      <w:r>
        <w:rPr>
          <w:spacing w:val="-11"/>
          <w:w w:val="95"/>
        </w:rPr>
        <w:t xml:space="preserve"> </w:t>
      </w:r>
      <w:r>
        <w:rPr>
          <w:w w:val="95"/>
        </w:rPr>
        <w:t>Treasury</w:t>
      </w:r>
      <w:r>
        <w:rPr>
          <w:spacing w:val="-11"/>
          <w:w w:val="95"/>
        </w:rPr>
        <w:t xml:space="preserve"> </w:t>
      </w:r>
      <w:r>
        <w:rPr>
          <w:w w:val="95"/>
        </w:rPr>
        <w:t>are reviewing</w:t>
      </w:r>
      <w:r>
        <w:rPr>
          <w:spacing w:val="-5"/>
          <w:w w:val="95"/>
        </w:rPr>
        <w:t xml:space="preserve"> </w:t>
      </w:r>
      <w:r>
        <w:rPr>
          <w:w w:val="95"/>
        </w:rPr>
        <w:t>the</w:t>
      </w:r>
      <w:r>
        <w:rPr>
          <w:spacing w:val="-5"/>
          <w:w w:val="95"/>
        </w:rPr>
        <w:t xml:space="preserve"> </w:t>
      </w:r>
      <w:r>
        <w:rPr>
          <w:w w:val="95"/>
        </w:rPr>
        <w:t>capital</w:t>
      </w:r>
      <w:r>
        <w:rPr>
          <w:spacing w:val="-5"/>
          <w:w w:val="95"/>
        </w:rPr>
        <w:t xml:space="preserve"> </w:t>
      </w:r>
      <w:r>
        <w:rPr>
          <w:w w:val="95"/>
        </w:rPr>
        <w:t>plans</w:t>
      </w:r>
      <w:r>
        <w:rPr>
          <w:spacing w:val="-5"/>
          <w:w w:val="95"/>
        </w:rPr>
        <w:t xml:space="preserve"> </w:t>
      </w:r>
      <w:r>
        <w:rPr>
          <w:w w:val="95"/>
        </w:rPr>
        <w:t>to</w:t>
      </w:r>
      <w:r>
        <w:rPr>
          <w:spacing w:val="-5"/>
          <w:w w:val="95"/>
        </w:rPr>
        <w:t xml:space="preserve"> </w:t>
      </w:r>
      <w:r>
        <w:rPr>
          <w:w w:val="95"/>
        </w:rPr>
        <w:t>determine</w:t>
      </w:r>
      <w:r>
        <w:rPr>
          <w:spacing w:val="-5"/>
          <w:w w:val="95"/>
        </w:rPr>
        <w:t xml:space="preserve"> </w:t>
      </w:r>
      <w:r>
        <w:rPr>
          <w:w w:val="95"/>
        </w:rPr>
        <w:t>priorities</w:t>
      </w:r>
      <w:r>
        <w:rPr>
          <w:spacing w:val="-5"/>
          <w:w w:val="95"/>
        </w:rPr>
        <w:t xml:space="preserve"> </w:t>
      </w:r>
      <w:r>
        <w:rPr>
          <w:w w:val="95"/>
        </w:rPr>
        <w:t>for</w:t>
      </w:r>
      <w:r>
        <w:rPr>
          <w:spacing w:val="-5"/>
          <w:w w:val="95"/>
        </w:rPr>
        <w:t xml:space="preserve"> </w:t>
      </w:r>
      <w:r>
        <w:rPr>
          <w:w w:val="95"/>
        </w:rPr>
        <w:t xml:space="preserve">the </w:t>
      </w:r>
      <w:r>
        <w:t>2013-14</w:t>
      </w:r>
      <w:r>
        <w:rPr>
          <w:spacing w:val="-11"/>
        </w:rPr>
        <w:t xml:space="preserve"> </w:t>
      </w:r>
      <w:r>
        <w:t>budget.</w:t>
      </w:r>
    </w:p>
    <w:p w:rsidR="002C1123" w:rsidRDefault="002C1123">
      <w:pPr>
        <w:pStyle w:val="BodyText"/>
      </w:pPr>
    </w:p>
    <w:p w:rsidR="002C1123" w:rsidRDefault="002060EF">
      <w:pPr>
        <w:pStyle w:val="BodyText"/>
        <w:rPr>
          <w:sz w:val="21"/>
        </w:rPr>
      </w:pPr>
      <w:r>
        <w:pict>
          <v:shape id="docshape2404" o:spid="_x0000_s1627" style="position:absolute;margin-left:49.6pt;margin-top:13.3pt;width:1in;height:.1pt;z-index:-251334656;mso-wrap-distance-left:0;mso-wrap-distance-right:0;mso-position-horizontal-relative:page" coordorigin="992,266" coordsize="1440,0" path="m992,266r1440,e" filled="f" strokecolor="#9c9c9d" strokeweight=".5pt">
            <v:path arrowok="t"/>
            <w10:wrap type="topAndBottom" anchorx="page"/>
          </v:shape>
        </w:pict>
      </w:r>
    </w:p>
    <w:p w:rsidR="002C1123" w:rsidRDefault="00F22F94">
      <w:pPr>
        <w:pStyle w:val="ListParagraph"/>
        <w:numPr>
          <w:ilvl w:val="0"/>
          <w:numId w:val="46"/>
        </w:numPr>
        <w:tabs>
          <w:tab w:val="left" w:pos="691"/>
        </w:tabs>
        <w:spacing w:before="23"/>
        <w:jc w:val="left"/>
        <w:rPr>
          <w:sz w:val="14"/>
        </w:rPr>
      </w:pPr>
      <w:r>
        <w:rPr>
          <w:w w:val="95"/>
          <w:sz w:val="14"/>
        </w:rPr>
        <w:t>NSW</w:t>
      </w:r>
      <w:r>
        <w:rPr>
          <w:spacing w:val="-3"/>
          <w:w w:val="95"/>
          <w:sz w:val="14"/>
        </w:rPr>
        <w:t xml:space="preserve"> </w:t>
      </w:r>
      <w:r>
        <w:rPr>
          <w:w w:val="95"/>
          <w:sz w:val="14"/>
        </w:rPr>
        <w:t>Commission</w:t>
      </w:r>
      <w:r>
        <w:rPr>
          <w:spacing w:val="-3"/>
          <w:w w:val="95"/>
          <w:sz w:val="14"/>
        </w:rPr>
        <w:t xml:space="preserve"> </w:t>
      </w:r>
      <w:r>
        <w:rPr>
          <w:w w:val="95"/>
          <w:sz w:val="14"/>
        </w:rPr>
        <w:t>of</w:t>
      </w:r>
      <w:r>
        <w:rPr>
          <w:spacing w:val="-2"/>
          <w:w w:val="95"/>
          <w:sz w:val="14"/>
        </w:rPr>
        <w:t xml:space="preserve"> </w:t>
      </w:r>
      <w:r>
        <w:rPr>
          <w:w w:val="95"/>
          <w:sz w:val="14"/>
        </w:rPr>
        <w:t>Audit</w:t>
      </w:r>
      <w:r>
        <w:rPr>
          <w:spacing w:val="-3"/>
          <w:w w:val="95"/>
          <w:sz w:val="14"/>
        </w:rPr>
        <w:t xml:space="preserve"> </w:t>
      </w:r>
      <w:r>
        <w:rPr>
          <w:w w:val="95"/>
          <w:sz w:val="14"/>
        </w:rPr>
        <w:t>2012,</w:t>
      </w:r>
      <w:r>
        <w:rPr>
          <w:spacing w:val="-3"/>
          <w:w w:val="95"/>
          <w:sz w:val="14"/>
        </w:rPr>
        <w:t xml:space="preserve"> </w:t>
      </w:r>
      <w:r>
        <w:rPr>
          <w:w w:val="95"/>
          <w:sz w:val="14"/>
        </w:rPr>
        <w:t>Government</w:t>
      </w:r>
      <w:r>
        <w:rPr>
          <w:spacing w:val="-2"/>
          <w:w w:val="95"/>
          <w:sz w:val="14"/>
        </w:rPr>
        <w:t xml:space="preserve"> </w:t>
      </w:r>
      <w:r>
        <w:rPr>
          <w:w w:val="95"/>
          <w:sz w:val="14"/>
        </w:rPr>
        <w:t>Expenditure,</w:t>
      </w:r>
      <w:r>
        <w:rPr>
          <w:spacing w:val="-3"/>
          <w:w w:val="95"/>
          <w:sz w:val="14"/>
        </w:rPr>
        <w:t xml:space="preserve"> </w:t>
      </w:r>
      <w:r>
        <w:rPr>
          <w:w w:val="95"/>
          <w:sz w:val="14"/>
        </w:rPr>
        <w:t>Final</w:t>
      </w:r>
      <w:r>
        <w:rPr>
          <w:spacing w:val="-2"/>
          <w:w w:val="95"/>
          <w:sz w:val="14"/>
        </w:rPr>
        <w:t xml:space="preserve"> Report.</w:t>
      </w:r>
    </w:p>
    <w:p w:rsidR="002C1123" w:rsidRDefault="002C1123">
      <w:pPr>
        <w:rPr>
          <w:sz w:val="14"/>
        </w:rPr>
        <w:sectPr w:rsidR="002C1123">
          <w:pgSz w:w="16840" w:h="11910" w:orient="landscape"/>
          <w:pgMar w:top="560" w:right="280" w:bottom="700" w:left="500" w:header="0" w:footer="517"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9"/>
        <w:rPr>
          <w:sz w:val="17"/>
        </w:rPr>
      </w:pPr>
    </w:p>
    <w:p w:rsidR="002C1123" w:rsidRDefault="002C1123">
      <w:pPr>
        <w:rPr>
          <w:sz w:val="17"/>
        </w:rPr>
        <w:sectPr w:rsidR="002C1123">
          <w:pgSz w:w="16840" w:h="11910" w:orient="landscape"/>
          <w:pgMar w:top="560" w:right="280" w:bottom="700" w:left="500" w:header="0" w:footer="517" w:gutter="0"/>
          <w:cols w:space="720"/>
        </w:sectPr>
      </w:pPr>
    </w:p>
    <w:p w:rsidR="002C1123" w:rsidRDefault="00F22F94">
      <w:pPr>
        <w:pStyle w:val="Heading5"/>
        <w:numPr>
          <w:ilvl w:val="1"/>
          <w:numId w:val="49"/>
        </w:numPr>
        <w:tabs>
          <w:tab w:val="left" w:pos="1093"/>
        </w:tabs>
        <w:spacing w:before="125" w:line="223" w:lineRule="auto"/>
        <w:ind w:right="38"/>
        <w:jc w:val="left"/>
      </w:pPr>
      <w:bookmarkStart w:id="346" w:name="13.3__Changing_the_portfolio_of_health_i"/>
      <w:bookmarkStart w:id="347" w:name="_bookmark245"/>
      <w:bookmarkStart w:id="348" w:name="_bookmark244"/>
      <w:bookmarkEnd w:id="346"/>
      <w:bookmarkEnd w:id="347"/>
      <w:bookmarkEnd w:id="348"/>
      <w:r>
        <w:rPr>
          <w:color w:val="00AEEF"/>
          <w:spacing w:val="-4"/>
        </w:rPr>
        <w:t>Changing</w:t>
      </w:r>
      <w:r>
        <w:rPr>
          <w:color w:val="00AEEF"/>
          <w:spacing w:val="-16"/>
        </w:rPr>
        <w:t xml:space="preserve"> </w:t>
      </w:r>
      <w:r>
        <w:rPr>
          <w:color w:val="00AEEF"/>
          <w:spacing w:val="-4"/>
        </w:rPr>
        <w:t>the</w:t>
      </w:r>
      <w:r>
        <w:rPr>
          <w:color w:val="00AEEF"/>
          <w:spacing w:val="-15"/>
        </w:rPr>
        <w:t xml:space="preserve"> </w:t>
      </w:r>
      <w:r>
        <w:rPr>
          <w:color w:val="00AEEF"/>
          <w:spacing w:val="-4"/>
        </w:rPr>
        <w:t>portfolio</w:t>
      </w:r>
      <w:r>
        <w:rPr>
          <w:color w:val="00AEEF"/>
          <w:spacing w:val="-16"/>
        </w:rPr>
        <w:t xml:space="preserve"> </w:t>
      </w:r>
      <w:r>
        <w:rPr>
          <w:color w:val="00AEEF"/>
          <w:spacing w:val="-4"/>
        </w:rPr>
        <w:t xml:space="preserve">of </w:t>
      </w:r>
      <w:r>
        <w:rPr>
          <w:color w:val="00AEEF"/>
        </w:rPr>
        <w:t>health infrastructure</w:t>
      </w:r>
    </w:p>
    <w:p w:rsidR="002C1123" w:rsidRDefault="00F22F94">
      <w:pPr>
        <w:tabs>
          <w:tab w:val="left" w:pos="5470"/>
        </w:tabs>
        <w:spacing w:before="131"/>
        <w:ind w:left="492"/>
        <w:rPr>
          <w:b/>
          <w:sz w:val="20"/>
        </w:rPr>
      </w:pPr>
      <w:r>
        <w:br w:type="column"/>
      </w:r>
      <w:r>
        <w:rPr>
          <w:b/>
          <w:w w:val="95"/>
          <w:sz w:val="18"/>
        </w:rPr>
        <w:t>Figure</w:t>
      </w:r>
      <w:r>
        <w:rPr>
          <w:b/>
          <w:spacing w:val="-10"/>
          <w:w w:val="95"/>
          <w:sz w:val="18"/>
        </w:rPr>
        <w:t xml:space="preserve"> </w:t>
      </w:r>
      <w:r>
        <w:rPr>
          <w:b/>
          <w:w w:val="95"/>
          <w:sz w:val="18"/>
        </w:rPr>
        <w:t>13.4</w:t>
      </w:r>
      <w:r>
        <w:rPr>
          <w:b/>
          <w:spacing w:val="20"/>
          <w:sz w:val="18"/>
        </w:rPr>
        <w:t xml:space="preserve"> </w:t>
      </w:r>
      <w:r>
        <w:rPr>
          <w:b/>
          <w:w w:val="95"/>
          <w:sz w:val="18"/>
        </w:rPr>
        <w:t>Acute</w:t>
      </w:r>
      <w:r>
        <w:rPr>
          <w:b/>
          <w:spacing w:val="-10"/>
          <w:w w:val="95"/>
          <w:sz w:val="18"/>
        </w:rPr>
        <w:t xml:space="preserve"> </w:t>
      </w:r>
      <w:r>
        <w:rPr>
          <w:b/>
          <w:w w:val="95"/>
          <w:sz w:val="18"/>
        </w:rPr>
        <w:t>Bed</w:t>
      </w:r>
      <w:r>
        <w:rPr>
          <w:b/>
          <w:spacing w:val="-10"/>
          <w:w w:val="95"/>
          <w:sz w:val="18"/>
        </w:rPr>
        <w:t xml:space="preserve"> </w:t>
      </w:r>
      <w:r>
        <w:rPr>
          <w:b/>
          <w:w w:val="95"/>
          <w:sz w:val="18"/>
        </w:rPr>
        <w:t>Days</w:t>
      </w:r>
      <w:r>
        <w:rPr>
          <w:b/>
          <w:spacing w:val="-10"/>
          <w:w w:val="95"/>
          <w:sz w:val="18"/>
        </w:rPr>
        <w:t xml:space="preserve"> </w:t>
      </w:r>
      <w:r>
        <w:rPr>
          <w:b/>
          <w:w w:val="95"/>
          <w:sz w:val="18"/>
        </w:rPr>
        <w:t>for</w:t>
      </w:r>
      <w:r>
        <w:rPr>
          <w:b/>
          <w:spacing w:val="-10"/>
          <w:w w:val="95"/>
          <w:sz w:val="18"/>
        </w:rPr>
        <w:t xml:space="preserve"> </w:t>
      </w:r>
      <w:r>
        <w:rPr>
          <w:b/>
          <w:w w:val="95"/>
          <w:sz w:val="18"/>
        </w:rPr>
        <w:t>Persons</w:t>
      </w:r>
      <w:r>
        <w:rPr>
          <w:b/>
          <w:spacing w:val="-10"/>
          <w:w w:val="95"/>
          <w:sz w:val="18"/>
        </w:rPr>
        <w:t xml:space="preserve"> </w:t>
      </w:r>
      <w:r>
        <w:rPr>
          <w:b/>
          <w:w w:val="95"/>
          <w:sz w:val="18"/>
        </w:rPr>
        <w:t>Aged</w:t>
      </w:r>
      <w:r>
        <w:rPr>
          <w:b/>
          <w:spacing w:val="-10"/>
          <w:w w:val="95"/>
          <w:sz w:val="18"/>
        </w:rPr>
        <w:t xml:space="preserve"> </w:t>
      </w:r>
      <w:r>
        <w:rPr>
          <w:b/>
          <w:w w:val="95"/>
          <w:sz w:val="18"/>
        </w:rPr>
        <w:t>75</w:t>
      </w:r>
      <w:r>
        <w:rPr>
          <w:b/>
          <w:spacing w:val="-10"/>
          <w:w w:val="95"/>
          <w:sz w:val="18"/>
        </w:rPr>
        <w:t xml:space="preserve"> </w:t>
      </w:r>
      <w:r>
        <w:rPr>
          <w:b/>
          <w:w w:val="95"/>
          <w:sz w:val="18"/>
        </w:rPr>
        <w:t>and</w:t>
      </w:r>
      <w:r>
        <w:rPr>
          <w:b/>
          <w:spacing w:val="-10"/>
          <w:w w:val="95"/>
          <w:sz w:val="18"/>
        </w:rPr>
        <w:t xml:space="preserve"> </w:t>
      </w:r>
      <w:r>
        <w:rPr>
          <w:b/>
          <w:spacing w:val="-4"/>
          <w:w w:val="95"/>
          <w:sz w:val="18"/>
        </w:rPr>
        <w:t>over</w:t>
      </w:r>
      <w:r>
        <w:rPr>
          <w:b/>
          <w:sz w:val="18"/>
        </w:rPr>
        <w:tab/>
      </w:r>
      <w:r>
        <w:rPr>
          <w:b/>
          <w:color w:val="00AEEF"/>
          <w:spacing w:val="-2"/>
          <w:position w:val="6"/>
          <w:sz w:val="20"/>
        </w:rPr>
        <w:t>13.3.1</w:t>
      </w:r>
      <w:r>
        <w:rPr>
          <w:b/>
          <w:color w:val="00AEEF"/>
          <w:spacing w:val="-11"/>
          <w:position w:val="6"/>
          <w:sz w:val="20"/>
        </w:rPr>
        <w:t xml:space="preserve"> </w:t>
      </w:r>
      <w:r>
        <w:rPr>
          <w:b/>
          <w:color w:val="00AEEF"/>
          <w:spacing w:val="-2"/>
          <w:position w:val="6"/>
          <w:sz w:val="20"/>
        </w:rPr>
        <w:t>Non-hospital</w:t>
      </w:r>
      <w:r>
        <w:rPr>
          <w:b/>
          <w:color w:val="00AEEF"/>
          <w:spacing w:val="-10"/>
          <w:position w:val="6"/>
          <w:sz w:val="20"/>
        </w:rPr>
        <w:t xml:space="preserve"> </w:t>
      </w:r>
      <w:r>
        <w:rPr>
          <w:b/>
          <w:color w:val="00AEEF"/>
          <w:spacing w:val="-2"/>
          <w:position w:val="6"/>
          <w:sz w:val="20"/>
        </w:rPr>
        <w:t>service</w:t>
      </w:r>
      <w:r>
        <w:rPr>
          <w:b/>
          <w:color w:val="00AEEF"/>
          <w:spacing w:val="-10"/>
          <w:position w:val="6"/>
          <w:sz w:val="20"/>
        </w:rPr>
        <w:t xml:space="preserve"> </w:t>
      </w:r>
      <w:r>
        <w:rPr>
          <w:b/>
          <w:color w:val="00AEEF"/>
          <w:spacing w:val="-2"/>
          <w:position w:val="6"/>
          <w:sz w:val="20"/>
        </w:rPr>
        <w:t>reforms</w:t>
      </w:r>
      <w:r>
        <w:rPr>
          <w:b/>
          <w:color w:val="00AEEF"/>
          <w:spacing w:val="-10"/>
          <w:position w:val="6"/>
          <w:sz w:val="20"/>
        </w:rPr>
        <w:t xml:space="preserve"> </w:t>
      </w:r>
      <w:r>
        <w:rPr>
          <w:b/>
          <w:color w:val="00AEEF"/>
          <w:spacing w:val="-2"/>
          <w:position w:val="6"/>
          <w:sz w:val="20"/>
        </w:rPr>
        <w:t>to</w:t>
      </w:r>
      <w:r>
        <w:rPr>
          <w:b/>
          <w:color w:val="00AEEF"/>
          <w:spacing w:val="-10"/>
          <w:position w:val="6"/>
          <w:sz w:val="20"/>
        </w:rPr>
        <w:t xml:space="preserve"> </w:t>
      </w:r>
      <w:r>
        <w:rPr>
          <w:b/>
          <w:color w:val="00AEEF"/>
          <w:spacing w:val="-4"/>
          <w:position w:val="6"/>
          <w:sz w:val="20"/>
        </w:rPr>
        <w:t>date</w:t>
      </w:r>
    </w:p>
    <w:p w:rsidR="002C1123" w:rsidRDefault="00F22F94">
      <w:pPr>
        <w:pStyle w:val="BodyText"/>
        <w:spacing w:before="36" w:line="229" w:lineRule="exact"/>
        <w:ind w:left="5470"/>
      </w:pPr>
      <w:r>
        <w:rPr>
          <w:w w:val="90"/>
        </w:rPr>
        <w:t>HITH</w:t>
      </w:r>
      <w:r>
        <w:rPr>
          <w:spacing w:val="-3"/>
          <w:w w:val="90"/>
        </w:rPr>
        <w:t xml:space="preserve"> </w:t>
      </w:r>
      <w:r>
        <w:rPr>
          <w:w w:val="90"/>
        </w:rPr>
        <w:t>services</w:t>
      </w:r>
      <w:r>
        <w:rPr>
          <w:spacing w:val="-3"/>
          <w:w w:val="90"/>
        </w:rPr>
        <w:t xml:space="preserve"> </w:t>
      </w:r>
      <w:r>
        <w:rPr>
          <w:w w:val="90"/>
        </w:rPr>
        <w:t>provide</w:t>
      </w:r>
      <w:r>
        <w:rPr>
          <w:spacing w:val="-3"/>
          <w:w w:val="90"/>
        </w:rPr>
        <w:t xml:space="preserve"> </w:t>
      </w:r>
      <w:r>
        <w:rPr>
          <w:w w:val="90"/>
        </w:rPr>
        <w:t>acute</w:t>
      </w:r>
      <w:r>
        <w:rPr>
          <w:spacing w:val="-2"/>
          <w:w w:val="90"/>
        </w:rPr>
        <w:t xml:space="preserve"> </w:t>
      </w:r>
      <w:r>
        <w:rPr>
          <w:w w:val="90"/>
        </w:rPr>
        <w:t>and</w:t>
      </w:r>
      <w:r>
        <w:rPr>
          <w:spacing w:val="-3"/>
          <w:w w:val="90"/>
        </w:rPr>
        <w:t xml:space="preserve"> </w:t>
      </w:r>
      <w:r>
        <w:rPr>
          <w:w w:val="90"/>
        </w:rPr>
        <w:t>sub-acute</w:t>
      </w:r>
      <w:r>
        <w:rPr>
          <w:spacing w:val="-3"/>
          <w:w w:val="90"/>
        </w:rPr>
        <w:t xml:space="preserve"> </w:t>
      </w:r>
      <w:r>
        <w:rPr>
          <w:w w:val="90"/>
        </w:rPr>
        <w:t>care</w:t>
      </w:r>
      <w:r>
        <w:rPr>
          <w:spacing w:val="-3"/>
          <w:w w:val="90"/>
        </w:rPr>
        <w:t xml:space="preserve"> </w:t>
      </w:r>
      <w:r>
        <w:rPr>
          <w:w w:val="90"/>
        </w:rPr>
        <w:t>to</w:t>
      </w:r>
      <w:r>
        <w:rPr>
          <w:spacing w:val="-2"/>
          <w:w w:val="90"/>
        </w:rPr>
        <w:t xml:space="preserve"> patients</w:t>
      </w:r>
    </w:p>
    <w:p w:rsidR="002C1123" w:rsidRDefault="002C1123">
      <w:pPr>
        <w:spacing w:line="229" w:lineRule="exact"/>
        <w:sectPr w:rsidR="002C1123">
          <w:type w:val="continuous"/>
          <w:pgSz w:w="16840" w:h="11910" w:orient="landscape"/>
          <w:pgMar w:top="560" w:right="280" w:bottom="280" w:left="500" w:header="0" w:footer="517" w:gutter="0"/>
          <w:cols w:num="2" w:space="720" w:equalWidth="0">
            <w:col w:w="4354" w:space="721"/>
            <w:col w:w="10985"/>
          </w:cols>
        </w:sectPr>
      </w:pPr>
    </w:p>
    <w:p w:rsidR="002C1123" w:rsidRDefault="00F22F94">
      <w:pPr>
        <w:pStyle w:val="BodyText"/>
        <w:spacing w:before="143" w:line="249" w:lineRule="auto"/>
        <w:ind w:left="492"/>
      </w:pPr>
      <w:r>
        <w:rPr>
          <w:w w:val="95"/>
        </w:rPr>
        <w:t>Contemporary</w:t>
      </w:r>
      <w:r>
        <w:rPr>
          <w:spacing w:val="-5"/>
          <w:w w:val="95"/>
        </w:rPr>
        <w:t xml:space="preserve"> </w:t>
      </w:r>
      <w:r>
        <w:rPr>
          <w:w w:val="95"/>
        </w:rPr>
        <w:t>models</w:t>
      </w:r>
      <w:r>
        <w:rPr>
          <w:spacing w:val="-5"/>
          <w:w w:val="95"/>
        </w:rPr>
        <w:t xml:space="preserve"> </w:t>
      </w:r>
      <w:r>
        <w:rPr>
          <w:w w:val="95"/>
        </w:rPr>
        <w:t>of</w:t>
      </w:r>
      <w:r>
        <w:rPr>
          <w:spacing w:val="-5"/>
          <w:w w:val="95"/>
        </w:rPr>
        <w:t xml:space="preserve"> </w:t>
      </w:r>
      <w:r>
        <w:rPr>
          <w:w w:val="95"/>
        </w:rPr>
        <w:t>care</w:t>
      </w:r>
      <w:r>
        <w:rPr>
          <w:spacing w:val="-5"/>
          <w:w w:val="95"/>
        </w:rPr>
        <w:t xml:space="preserve"> </w:t>
      </w:r>
      <w:r>
        <w:rPr>
          <w:w w:val="95"/>
        </w:rPr>
        <w:t>can</w:t>
      </w:r>
      <w:r>
        <w:rPr>
          <w:spacing w:val="-5"/>
          <w:w w:val="95"/>
        </w:rPr>
        <w:t xml:space="preserve"> </w:t>
      </w:r>
      <w:r>
        <w:rPr>
          <w:w w:val="95"/>
        </w:rPr>
        <w:t>deliver</w:t>
      </w:r>
      <w:r>
        <w:rPr>
          <w:spacing w:val="-5"/>
          <w:w w:val="95"/>
        </w:rPr>
        <w:t xml:space="preserve"> </w:t>
      </w:r>
      <w:r>
        <w:rPr>
          <w:w w:val="95"/>
        </w:rPr>
        <w:t>efficiencies</w:t>
      </w:r>
      <w:r>
        <w:rPr>
          <w:spacing w:val="-5"/>
          <w:w w:val="95"/>
        </w:rPr>
        <w:t xml:space="preserve"> </w:t>
      </w:r>
      <w:r>
        <w:rPr>
          <w:w w:val="95"/>
        </w:rPr>
        <w:t xml:space="preserve">in both operating and capital costs while maintaining and </w:t>
      </w:r>
      <w:r>
        <w:t>even</w:t>
      </w:r>
      <w:r>
        <w:rPr>
          <w:spacing w:val="-14"/>
        </w:rPr>
        <w:t xml:space="preserve"> </w:t>
      </w:r>
      <w:r>
        <w:t>enhancing</w:t>
      </w:r>
      <w:r>
        <w:rPr>
          <w:spacing w:val="-14"/>
        </w:rPr>
        <w:t xml:space="preserve"> </w:t>
      </w:r>
      <w:r>
        <w:t>quality</w:t>
      </w:r>
      <w:r>
        <w:rPr>
          <w:spacing w:val="-14"/>
        </w:rPr>
        <w:t xml:space="preserve"> </w:t>
      </w:r>
      <w:r>
        <w:t>outcomes</w:t>
      </w:r>
      <w:r>
        <w:rPr>
          <w:spacing w:val="-14"/>
        </w:rPr>
        <w:t xml:space="preserve"> </w:t>
      </w:r>
      <w:r>
        <w:t>for</w:t>
      </w:r>
      <w:r>
        <w:rPr>
          <w:spacing w:val="-14"/>
        </w:rPr>
        <w:t xml:space="preserve"> </w:t>
      </w:r>
      <w:r>
        <w:t>patients.</w:t>
      </w:r>
      <w:r>
        <w:rPr>
          <w:spacing w:val="-13"/>
        </w:rPr>
        <w:t xml:space="preserve"> </w:t>
      </w:r>
      <w:r>
        <w:t>These models</w:t>
      </w:r>
      <w:r>
        <w:rPr>
          <w:spacing w:val="-5"/>
        </w:rPr>
        <w:t xml:space="preserve"> </w:t>
      </w:r>
      <w:r>
        <w:t>lower</w:t>
      </w:r>
      <w:r>
        <w:rPr>
          <w:spacing w:val="-5"/>
        </w:rPr>
        <w:t xml:space="preserve"> </w:t>
      </w:r>
      <w:r>
        <w:t>demand</w:t>
      </w:r>
      <w:r>
        <w:rPr>
          <w:spacing w:val="-5"/>
        </w:rPr>
        <w:t xml:space="preserve"> </w:t>
      </w:r>
      <w:r>
        <w:t>for</w:t>
      </w:r>
      <w:r>
        <w:rPr>
          <w:spacing w:val="-5"/>
        </w:rPr>
        <w:t xml:space="preserve"> </w:t>
      </w:r>
      <w:r>
        <w:t>high-cost</w:t>
      </w:r>
      <w:r>
        <w:rPr>
          <w:spacing w:val="-5"/>
        </w:rPr>
        <w:t xml:space="preserve"> </w:t>
      </w:r>
      <w:r>
        <w:t>hospital</w:t>
      </w:r>
      <w:r>
        <w:rPr>
          <w:spacing w:val="-5"/>
        </w:rPr>
        <w:t xml:space="preserve"> </w:t>
      </w:r>
      <w:r>
        <w:t>services over</w:t>
      </w:r>
      <w:r>
        <w:rPr>
          <w:spacing w:val="-13"/>
        </w:rPr>
        <w:t xml:space="preserve"> </w:t>
      </w:r>
      <w:r>
        <w:t>time</w:t>
      </w:r>
      <w:r>
        <w:rPr>
          <w:spacing w:val="-13"/>
        </w:rPr>
        <w:t xml:space="preserve"> </w:t>
      </w:r>
      <w:r>
        <w:t>and</w:t>
      </w:r>
      <w:r>
        <w:rPr>
          <w:spacing w:val="-13"/>
        </w:rPr>
        <w:t xml:space="preserve"> </w:t>
      </w:r>
      <w:r>
        <w:t>will</w:t>
      </w:r>
      <w:r>
        <w:rPr>
          <w:spacing w:val="-13"/>
        </w:rPr>
        <w:t xml:space="preserve"> </w:t>
      </w:r>
      <w:r>
        <w:t>significantly</w:t>
      </w:r>
      <w:r>
        <w:rPr>
          <w:spacing w:val="-13"/>
        </w:rPr>
        <w:t xml:space="preserve"> </w:t>
      </w:r>
      <w:r>
        <w:t>change</w:t>
      </w:r>
      <w:r>
        <w:rPr>
          <w:spacing w:val="-13"/>
        </w:rPr>
        <w:t xml:space="preserve"> </w:t>
      </w:r>
      <w:r>
        <w:t>the</w:t>
      </w:r>
      <w:r>
        <w:rPr>
          <w:spacing w:val="-13"/>
        </w:rPr>
        <w:t xml:space="preserve"> </w:t>
      </w:r>
      <w:r>
        <w:t>portfolio</w:t>
      </w:r>
      <w:r>
        <w:rPr>
          <w:spacing w:val="-13"/>
        </w:rPr>
        <w:t xml:space="preserve"> </w:t>
      </w:r>
      <w:r>
        <w:t>of health</w:t>
      </w:r>
      <w:r>
        <w:rPr>
          <w:spacing w:val="-4"/>
        </w:rPr>
        <w:t xml:space="preserve"> </w:t>
      </w:r>
      <w:r>
        <w:t>assets</w:t>
      </w:r>
      <w:r>
        <w:rPr>
          <w:spacing w:val="-4"/>
        </w:rPr>
        <w:t xml:space="preserve"> </w:t>
      </w:r>
      <w:r>
        <w:t>needed</w:t>
      </w:r>
      <w:r>
        <w:rPr>
          <w:spacing w:val="-4"/>
        </w:rPr>
        <w:t xml:space="preserve"> </w:t>
      </w:r>
      <w:r>
        <w:t>in</w:t>
      </w:r>
      <w:r>
        <w:rPr>
          <w:spacing w:val="-4"/>
        </w:rPr>
        <w:t xml:space="preserve"> </w:t>
      </w:r>
      <w:r>
        <w:t>the</w:t>
      </w:r>
      <w:r>
        <w:rPr>
          <w:spacing w:val="-4"/>
        </w:rPr>
        <w:t xml:space="preserve"> </w:t>
      </w:r>
      <w:r>
        <w:t>future.</w:t>
      </w:r>
    </w:p>
    <w:p w:rsidR="002C1123" w:rsidRDefault="00F22F94">
      <w:pPr>
        <w:pStyle w:val="BodyText"/>
        <w:spacing w:before="147" w:line="249" w:lineRule="auto"/>
        <w:ind w:left="492"/>
      </w:pPr>
      <w:r>
        <w:rPr>
          <w:w w:val="95"/>
        </w:rPr>
        <w:t>NSW</w:t>
      </w:r>
      <w:r>
        <w:rPr>
          <w:spacing w:val="-2"/>
          <w:w w:val="95"/>
        </w:rPr>
        <w:t xml:space="preserve"> </w:t>
      </w:r>
      <w:r>
        <w:rPr>
          <w:w w:val="95"/>
        </w:rPr>
        <w:t>Health</w:t>
      </w:r>
      <w:r>
        <w:rPr>
          <w:spacing w:val="-2"/>
          <w:w w:val="95"/>
        </w:rPr>
        <w:t xml:space="preserve"> </w:t>
      </w:r>
      <w:r>
        <w:rPr>
          <w:w w:val="95"/>
        </w:rPr>
        <w:t>has</w:t>
      </w:r>
      <w:r>
        <w:rPr>
          <w:spacing w:val="-2"/>
          <w:w w:val="95"/>
        </w:rPr>
        <w:t xml:space="preserve"> </w:t>
      </w:r>
      <w:r>
        <w:rPr>
          <w:w w:val="95"/>
        </w:rPr>
        <w:t>introduced</w:t>
      </w:r>
      <w:r>
        <w:rPr>
          <w:spacing w:val="-2"/>
          <w:w w:val="95"/>
        </w:rPr>
        <w:t xml:space="preserve"> </w:t>
      </w:r>
      <w:r>
        <w:rPr>
          <w:w w:val="95"/>
        </w:rPr>
        <w:t>a</w:t>
      </w:r>
      <w:r>
        <w:rPr>
          <w:spacing w:val="-2"/>
          <w:w w:val="95"/>
        </w:rPr>
        <w:t xml:space="preserve"> </w:t>
      </w:r>
      <w:r>
        <w:rPr>
          <w:w w:val="95"/>
        </w:rPr>
        <w:t>range</w:t>
      </w:r>
      <w:r>
        <w:rPr>
          <w:spacing w:val="-2"/>
          <w:w w:val="95"/>
        </w:rPr>
        <w:t xml:space="preserve"> </w:t>
      </w:r>
      <w:r>
        <w:rPr>
          <w:w w:val="95"/>
        </w:rPr>
        <w:t>of</w:t>
      </w:r>
      <w:r>
        <w:rPr>
          <w:spacing w:val="-2"/>
          <w:w w:val="95"/>
        </w:rPr>
        <w:t xml:space="preserve"> </w:t>
      </w:r>
      <w:r>
        <w:rPr>
          <w:w w:val="95"/>
        </w:rPr>
        <w:t>contemporary models</w:t>
      </w:r>
      <w:r>
        <w:rPr>
          <w:spacing w:val="-5"/>
          <w:w w:val="95"/>
        </w:rPr>
        <w:t xml:space="preserve"> </w:t>
      </w:r>
      <w:r>
        <w:rPr>
          <w:w w:val="95"/>
        </w:rPr>
        <w:t>of</w:t>
      </w:r>
      <w:r>
        <w:rPr>
          <w:spacing w:val="-4"/>
          <w:w w:val="95"/>
        </w:rPr>
        <w:t xml:space="preserve"> </w:t>
      </w:r>
      <w:r>
        <w:rPr>
          <w:w w:val="95"/>
        </w:rPr>
        <w:t>care</w:t>
      </w:r>
      <w:r>
        <w:rPr>
          <w:spacing w:val="-4"/>
          <w:w w:val="95"/>
        </w:rPr>
        <w:t xml:space="preserve"> </w:t>
      </w:r>
      <w:r>
        <w:rPr>
          <w:w w:val="95"/>
        </w:rPr>
        <w:t>including</w:t>
      </w:r>
      <w:r>
        <w:rPr>
          <w:spacing w:val="-5"/>
          <w:w w:val="95"/>
        </w:rPr>
        <w:t xml:space="preserve"> </w:t>
      </w:r>
      <w:r>
        <w:rPr>
          <w:w w:val="95"/>
        </w:rPr>
        <w:t>Hospital</w:t>
      </w:r>
      <w:r>
        <w:rPr>
          <w:spacing w:val="-4"/>
          <w:w w:val="95"/>
        </w:rPr>
        <w:t xml:space="preserve"> </w:t>
      </w:r>
      <w:r>
        <w:rPr>
          <w:w w:val="95"/>
        </w:rPr>
        <w:t>in</w:t>
      </w:r>
      <w:r>
        <w:rPr>
          <w:spacing w:val="-4"/>
          <w:w w:val="95"/>
        </w:rPr>
        <w:t xml:space="preserve"> </w:t>
      </w:r>
      <w:r>
        <w:rPr>
          <w:w w:val="95"/>
        </w:rPr>
        <w:t>the</w:t>
      </w:r>
      <w:r>
        <w:rPr>
          <w:spacing w:val="-5"/>
          <w:w w:val="95"/>
        </w:rPr>
        <w:t xml:space="preserve"> </w:t>
      </w:r>
      <w:r>
        <w:rPr>
          <w:w w:val="95"/>
        </w:rPr>
        <w:t>Home</w:t>
      </w:r>
      <w:r>
        <w:rPr>
          <w:spacing w:val="-4"/>
          <w:w w:val="95"/>
        </w:rPr>
        <w:t xml:space="preserve"> (HITH),</w:t>
      </w:r>
    </w:p>
    <w:p w:rsidR="002C1123" w:rsidRDefault="002060EF">
      <w:pPr>
        <w:pStyle w:val="BodyText"/>
        <w:spacing w:before="1" w:line="249" w:lineRule="auto"/>
        <w:ind w:left="492"/>
      </w:pPr>
      <w:r>
        <w:pict>
          <v:line id="_x0000_s1626" style="position:absolute;left:0;text-align:left;z-index:-251454464;mso-position-horizontal-relative:page" from="426.5pt,95.05pt" to="407.75pt,95.05pt" strokecolor="#00aeef" strokeweight="2.97pt">
            <w10:wrap anchorx="page"/>
          </v:line>
        </w:pict>
      </w:r>
      <w:r w:rsidR="00F22F94">
        <w:rPr>
          <w:w w:val="95"/>
        </w:rPr>
        <w:t xml:space="preserve">a multi-purpose centre strategy to repurpose short stay </w:t>
      </w:r>
      <w:r w:rsidR="00F22F94">
        <w:t xml:space="preserve">wards and community support packages to improve </w:t>
      </w:r>
      <w:r w:rsidR="00F22F94">
        <w:rPr>
          <w:w w:val="95"/>
        </w:rPr>
        <w:t>patient</w:t>
      </w:r>
      <w:r w:rsidR="00F22F94">
        <w:rPr>
          <w:spacing w:val="-2"/>
          <w:w w:val="95"/>
        </w:rPr>
        <w:t xml:space="preserve"> </w:t>
      </w:r>
      <w:r w:rsidR="00F22F94">
        <w:rPr>
          <w:w w:val="95"/>
        </w:rPr>
        <w:t>care</w:t>
      </w:r>
      <w:r w:rsidR="00F22F94">
        <w:rPr>
          <w:spacing w:val="-2"/>
          <w:w w:val="95"/>
        </w:rPr>
        <w:t xml:space="preserve"> </w:t>
      </w:r>
      <w:r w:rsidR="00F22F94">
        <w:rPr>
          <w:w w:val="95"/>
        </w:rPr>
        <w:t>and</w:t>
      </w:r>
      <w:r w:rsidR="00F22F94">
        <w:rPr>
          <w:spacing w:val="-2"/>
          <w:w w:val="95"/>
        </w:rPr>
        <w:t xml:space="preserve"> </w:t>
      </w:r>
      <w:r w:rsidR="00F22F94">
        <w:rPr>
          <w:w w:val="95"/>
        </w:rPr>
        <w:t>reduce</w:t>
      </w:r>
      <w:r w:rsidR="00F22F94">
        <w:rPr>
          <w:spacing w:val="-2"/>
          <w:w w:val="95"/>
        </w:rPr>
        <w:t xml:space="preserve"> </w:t>
      </w:r>
      <w:r w:rsidR="00F22F94">
        <w:rPr>
          <w:w w:val="95"/>
        </w:rPr>
        <w:t>hospital</w:t>
      </w:r>
      <w:r w:rsidR="00F22F94">
        <w:rPr>
          <w:spacing w:val="-2"/>
          <w:w w:val="95"/>
        </w:rPr>
        <w:t xml:space="preserve"> </w:t>
      </w:r>
      <w:r w:rsidR="00F22F94">
        <w:rPr>
          <w:w w:val="95"/>
        </w:rPr>
        <w:t>admissions,</w:t>
      </w:r>
      <w:r w:rsidR="00F22F94">
        <w:rPr>
          <w:spacing w:val="-2"/>
          <w:w w:val="95"/>
        </w:rPr>
        <w:t xml:space="preserve"> </w:t>
      </w:r>
      <w:r w:rsidR="00F22F94">
        <w:rPr>
          <w:w w:val="95"/>
        </w:rPr>
        <w:t>especially for</w:t>
      </w:r>
      <w:r w:rsidR="00F22F94">
        <w:rPr>
          <w:spacing w:val="-3"/>
          <w:w w:val="95"/>
        </w:rPr>
        <w:t xml:space="preserve"> </w:t>
      </w:r>
      <w:r w:rsidR="00F22F94">
        <w:rPr>
          <w:w w:val="95"/>
        </w:rPr>
        <w:t>older</w:t>
      </w:r>
      <w:r w:rsidR="00F22F94">
        <w:rPr>
          <w:spacing w:val="-3"/>
          <w:w w:val="95"/>
        </w:rPr>
        <w:t xml:space="preserve"> </w:t>
      </w:r>
      <w:r w:rsidR="00F22F94">
        <w:rPr>
          <w:w w:val="95"/>
        </w:rPr>
        <w:t>people.</w:t>
      </w:r>
      <w:r w:rsidR="00F22F94">
        <w:rPr>
          <w:spacing w:val="-3"/>
          <w:w w:val="95"/>
        </w:rPr>
        <w:t xml:space="preserve"> </w:t>
      </w:r>
      <w:r w:rsidR="00F22F94">
        <w:rPr>
          <w:w w:val="95"/>
        </w:rPr>
        <w:t>This</w:t>
      </w:r>
      <w:r w:rsidR="00F22F94">
        <w:rPr>
          <w:spacing w:val="-3"/>
          <w:w w:val="95"/>
        </w:rPr>
        <w:t xml:space="preserve"> </w:t>
      </w:r>
      <w:r w:rsidR="00F22F94">
        <w:rPr>
          <w:w w:val="95"/>
        </w:rPr>
        <w:t>has</w:t>
      </w:r>
      <w:r w:rsidR="00F22F94">
        <w:rPr>
          <w:spacing w:val="-3"/>
          <w:w w:val="95"/>
        </w:rPr>
        <w:t xml:space="preserve"> </w:t>
      </w:r>
      <w:r w:rsidR="00F22F94">
        <w:rPr>
          <w:w w:val="95"/>
        </w:rPr>
        <w:t>significantly</w:t>
      </w:r>
      <w:r w:rsidR="00F22F94">
        <w:rPr>
          <w:spacing w:val="-3"/>
          <w:w w:val="95"/>
        </w:rPr>
        <w:t xml:space="preserve"> </w:t>
      </w:r>
      <w:r w:rsidR="00F22F94">
        <w:rPr>
          <w:w w:val="95"/>
        </w:rPr>
        <w:t>reduced</w:t>
      </w:r>
      <w:r w:rsidR="00F22F94">
        <w:rPr>
          <w:spacing w:val="-3"/>
          <w:w w:val="95"/>
        </w:rPr>
        <w:t xml:space="preserve"> </w:t>
      </w:r>
      <w:r w:rsidR="00F22F94">
        <w:rPr>
          <w:w w:val="95"/>
        </w:rPr>
        <w:t>demand for</w:t>
      </w:r>
      <w:r w:rsidR="00F22F94">
        <w:rPr>
          <w:spacing w:val="-7"/>
          <w:w w:val="95"/>
        </w:rPr>
        <w:t xml:space="preserve"> </w:t>
      </w:r>
      <w:r w:rsidR="00F22F94">
        <w:rPr>
          <w:w w:val="95"/>
        </w:rPr>
        <w:t>acute</w:t>
      </w:r>
      <w:r w:rsidR="00F22F94">
        <w:rPr>
          <w:spacing w:val="-7"/>
          <w:w w:val="95"/>
        </w:rPr>
        <w:t xml:space="preserve"> </w:t>
      </w:r>
      <w:r w:rsidR="00F22F94">
        <w:rPr>
          <w:w w:val="95"/>
        </w:rPr>
        <w:t>bed-days</w:t>
      </w:r>
      <w:r w:rsidR="00F22F94">
        <w:rPr>
          <w:spacing w:val="-7"/>
          <w:w w:val="95"/>
        </w:rPr>
        <w:t xml:space="preserve"> </w:t>
      </w:r>
      <w:r w:rsidR="00F22F94">
        <w:rPr>
          <w:w w:val="95"/>
        </w:rPr>
        <w:t>by</w:t>
      </w:r>
      <w:r w:rsidR="00F22F94">
        <w:rPr>
          <w:spacing w:val="-7"/>
          <w:w w:val="95"/>
        </w:rPr>
        <w:t xml:space="preserve"> </w:t>
      </w:r>
      <w:r w:rsidR="00F22F94">
        <w:rPr>
          <w:w w:val="95"/>
        </w:rPr>
        <w:t>13.6</w:t>
      </w:r>
      <w:r w:rsidR="00F22F94">
        <w:rPr>
          <w:spacing w:val="-7"/>
          <w:w w:val="95"/>
        </w:rPr>
        <w:t xml:space="preserve"> </w:t>
      </w:r>
      <w:r w:rsidR="00F22F94">
        <w:rPr>
          <w:w w:val="95"/>
        </w:rPr>
        <w:t>percent</w:t>
      </w:r>
      <w:r w:rsidR="00F22F94">
        <w:rPr>
          <w:spacing w:val="-7"/>
          <w:w w:val="95"/>
        </w:rPr>
        <w:t xml:space="preserve"> </w:t>
      </w:r>
      <w:r w:rsidR="00F22F94">
        <w:rPr>
          <w:w w:val="95"/>
        </w:rPr>
        <w:t>in</w:t>
      </w:r>
      <w:r w:rsidR="00F22F94">
        <w:rPr>
          <w:spacing w:val="-7"/>
          <w:w w:val="95"/>
        </w:rPr>
        <w:t xml:space="preserve"> </w:t>
      </w:r>
      <w:r w:rsidR="00F22F94">
        <w:rPr>
          <w:w w:val="95"/>
        </w:rPr>
        <w:t>the</w:t>
      </w:r>
      <w:r w:rsidR="00F22F94">
        <w:rPr>
          <w:spacing w:val="-7"/>
          <w:w w:val="95"/>
        </w:rPr>
        <w:t xml:space="preserve"> </w:t>
      </w:r>
      <w:r w:rsidR="00F22F94">
        <w:rPr>
          <w:w w:val="95"/>
        </w:rPr>
        <w:t>last</w:t>
      </w:r>
      <w:r w:rsidR="00F22F94">
        <w:rPr>
          <w:spacing w:val="-7"/>
          <w:w w:val="95"/>
        </w:rPr>
        <w:t xml:space="preserve"> </w:t>
      </w:r>
      <w:r w:rsidR="00F22F94">
        <w:rPr>
          <w:w w:val="95"/>
        </w:rPr>
        <w:t>four</w:t>
      </w:r>
      <w:r w:rsidR="00F22F94">
        <w:rPr>
          <w:spacing w:val="-7"/>
          <w:w w:val="95"/>
        </w:rPr>
        <w:t xml:space="preserve"> </w:t>
      </w:r>
      <w:r w:rsidR="00F22F94">
        <w:rPr>
          <w:w w:val="95"/>
        </w:rPr>
        <w:t xml:space="preserve">years </w:t>
      </w:r>
      <w:r w:rsidR="00F22F94">
        <w:t>as</w:t>
      </w:r>
      <w:r w:rsidR="00F22F94">
        <w:rPr>
          <w:spacing w:val="-5"/>
        </w:rPr>
        <w:t xml:space="preserve"> </w:t>
      </w:r>
      <w:r w:rsidR="00F22F94">
        <w:t>shown</w:t>
      </w:r>
      <w:r w:rsidR="00F22F94">
        <w:rPr>
          <w:spacing w:val="-5"/>
        </w:rPr>
        <w:t xml:space="preserve"> </w:t>
      </w:r>
      <w:r w:rsidR="00F22F94">
        <w:t>in</w:t>
      </w:r>
      <w:r w:rsidR="00F22F94">
        <w:rPr>
          <w:spacing w:val="-5"/>
        </w:rPr>
        <w:t xml:space="preserve"> </w:t>
      </w:r>
      <w:r w:rsidR="00F22F94">
        <w:t>Figure</w:t>
      </w:r>
      <w:r w:rsidR="00F22F94">
        <w:rPr>
          <w:spacing w:val="-5"/>
        </w:rPr>
        <w:t xml:space="preserve"> </w:t>
      </w:r>
      <w:r w:rsidR="00F22F94">
        <w:t>13.4</w:t>
      </w:r>
      <w:r w:rsidR="00F22F94">
        <w:rPr>
          <w:spacing w:val="-5"/>
        </w:rPr>
        <w:t xml:space="preserve"> </w:t>
      </w:r>
      <w:r w:rsidR="00F22F94">
        <w:t>below.</w:t>
      </w:r>
    </w:p>
    <w:p w:rsidR="002C1123" w:rsidRDefault="00F22F94">
      <w:pPr>
        <w:spacing w:line="139" w:lineRule="exact"/>
        <w:ind w:left="597" w:right="335"/>
        <w:jc w:val="center"/>
        <w:rPr>
          <w:sz w:val="16"/>
        </w:rPr>
      </w:pPr>
      <w:r>
        <w:br w:type="column"/>
      </w:r>
      <w:r>
        <w:rPr>
          <w:spacing w:val="-2"/>
          <w:w w:val="95"/>
          <w:sz w:val="16"/>
        </w:rPr>
        <w:t>1,800,000</w:t>
      </w:r>
    </w:p>
    <w:p w:rsidR="002C1123" w:rsidRDefault="002060EF">
      <w:pPr>
        <w:spacing w:before="128"/>
        <w:ind w:right="377"/>
        <w:jc w:val="right"/>
        <w:rPr>
          <w:sz w:val="16"/>
        </w:rPr>
      </w:pPr>
      <w:r>
        <w:pict>
          <v:group id="docshapegroup2405" o:spid="_x0000_s1612" style="position:absolute;left:0;text-align:left;margin-left:355.8pt;margin-top:4.45pt;width:184.95pt;height:116.95pt;z-index:251650048;mso-position-horizontal-relative:page" coordorigin="7116,89" coordsize="3699,2339">
            <v:line id="_x0000_s1625" style="position:absolute" from="7116,2397" to="10814,2397" strokecolor="#b2b1b3" strokeweight=".13969mm"/>
            <v:line id="_x0000_s1624" style="position:absolute" from="7116,2085" to="10814,2085" strokecolor="#b2b1b3" strokeweight=".13969mm"/>
            <v:line id="_x0000_s1623" style="position:absolute" from="7116,1773" to="10814,1773" strokecolor="#b2b1b3" strokeweight=".13969mm"/>
            <v:line id="_x0000_s1622" style="position:absolute" from="7116,1460" to="10814,1460" strokecolor="#b2b1b3" strokeweight=".13969mm"/>
            <v:line id="_x0000_s1621" style="position:absolute" from="7116,1148" to="10814,1148" strokecolor="#b2b1b3" strokeweight=".13969mm"/>
            <v:line id="_x0000_s1620" style="position:absolute" from="7116,835" to="10814,835" strokecolor="#b2b1b3" strokeweight=".13969mm"/>
            <v:line id="_x0000_s1619" style="position:absolute" from="7116,523" to="10814,523" strokecolor="#b2b1b3" strokeweight=".13969mm"/>
            <v:line id="_x0000_s1618" style="position:absolute" from="7116,210" to="10814,210" strokecolor="#b2b1b3" strokeweight=".13969mm"/>
            <v:shape id="docshape2406" o:spid="_x0000_s1617" style="position:absolute;left:9421;top:118;width:1233;height:782" coordorigin="9422,118" coordsize="1233,782" path="m10654,118r-307,206l10040,521,9733,711,9422,900e" filled="f" strokecolor="#00aeef" strokeweight="2.97pt">
              <v:path arrowok="t"/>
            </v:shape>
            <v:line id="_x0000_s1616" style="position:absolute" from="10553,217" to="10553,666" strokecolor="#00aeef" strokeweight=".99pt"/>
            <v:shape id="docshape2407" o:spid="_x0000_s1615" style="position:absolute;left:10484;top:645;width:139;height:120" coordorigin="10484,645" coordsize="139,120" path="m10622,645r-138,l10553,765r69,-120xe" fillcolor="#00aeef" stroked="f">
              <v:path arrowok="t"/>
            </v:shape>
            <v:shape id="docshape2408" o:spid="_x0000_s1614" style="position:absolute;left:7272;top:866;width:3378;height:1532" coordorigin="7272,866" coordsize="3378,1532" path="m10650,873r-307,25l10036,976,9729,866r-307,34l9115,1057r-307,272l8501,1585r-308,63l7886,1773r-307,156l7272,2397e" filled="f" strokecolor="#2e3092" strokeweight="2.97pt">
              <v:path arrowok="t"/>
            </v:shape>
            <v:shape id="docshape2409" o:spid="_x0000_s1613" type="#_x0000_t202" style="position:absolute;left:10080;top:586;width:401;height:180" filled="f" stroked="f">
              <v:textbox inset="0,0,0,0">
                <w:txbxContent>
                  <w:p w:rsidR="00F22F94" w:rsidRDefault="00F22F94">
                    <w:pPr>
                      <w:spacing w:line="179" w:lineRule="exact"/>
                      <w:rPr>
                        <w:sz w:val="16"/>
                      </w:rPr>
                    </w:pPr>
                    <w:r>
                      <w:rPr>
                        <w:spacing w:val="-2"/>
                        <w:w w:val="85"/>
                        <w:sz w:val="16"/>
                      </w:rPr>
                      <w:t>13.6%</w:t>
                    </w:r>
                  </w:p>
                </w:txbxContent>
              </v:textbox>
            </v:shape>
            <w10:wrap anchorx="page"/>
          </v:group>
        </w:pict>
      </w:r>
      <w:r>
        <w:pict>
          <v:line id="_x0000_s1611" style="position:absolute;left:0;text-align:left;z-index:251651072;mso-position-horizontal-relative:page" from="355.8pt,-5.1pt" to="540.7pt,-5.1pt" strokecolor="#b2b1b3" strokeweight=".13969mm">
            <w10:wrap anchorx="page"/>
          </v:line>
        </w:pict>
      </w:r>
      <w:r w:rsidR="00F22F94">
        <w:rPr>
          <w:spacing w:val="-2"/>
          <w:w w:val="95"/>
          <w:sz w:val="16"/>
        </w:rPr>
        <w:t>1,700,000</w:t>
      </w:r>
    </w:p>
    <w:p w:rsidR="002C1123" w:rsidRDefault="00F22F94">
      <w:pPr>
        <w:spacing w:before="129"/>
        <w:ind w:right="377"/>
        <w:jc w:val="right"/>
        <w:rPr>
          <w:sz w:val="16"/>
        </w:rPr>
      </w:pPr>
      <w:r>
        <w:rPr>
          <w:spacing w:val="-2"/>
          <w:w w:val="95"/>
          <w:sz w:val="16"/>
        </w:rPr>
        <w:t>1,600,000</w:t>
      </w:r>
    </w:p>
    <w:p w:rsidR="002C1123" w:rsidRDefault="00F22F94">
      <w:pPr>
        <w:spacing w:before="128"/>
        <w:ind w:right="377"/>
        <w:jc w:val="right"/>
        <w:rPr>
          <w:sz w:val="16"/>
        </w:rPr>
      </w:pPr>
      <w:r>
        <w:rPr>
          <w:spacing w:val="-2"/>
          <w:w w:val="95"/>
          <w:sz w:val="16"/>
        </w:rPr>
        <w:t>1,500,000</w:t>
      </w:r>
    </w:p>
    <w:p w:rsidR="002C1123" w:rsidRDefault="002060EF">
      <w:pPr>
        <w:spacing w:before="129"/>
        <w:ind w:right="377"/>
        <w:jc w:val="right"/>
        <w:rPr>
          <w:sz w:val="16"/>
        </w:rPr>
      </w:pPr>
      <w:r>
        <w:pict>
          <v:shape id="docshape2410" o:spid="_x0000_s1610" type="#_x0000_t202" style="position:absolute;left:0;text-align:left;margin-left:301.6pt;margin-top:4pt;width:11pt;height:46.3pt;z-index:251653120;mso-position-horizontal-relative:page" filled="f" stroked="f">
            <v:textbox style="layout-flow:vertical;mso-layout-flow-alt:bottom-to-top" inset="0,0,0,0">
              <w:txbxContent>
                <w:p w:rsidR="00F22F94" w:rsidRDefault="00F22F94">
                  <w:pPr>
                    <w:spacing w:before="16"/>
                    <w:ind w:left="20"/>
                    <w:rPr>
                      <w:sz w:val="16"/>
                    </w:rPr>
                  </w:pPr>
                  <w:r>
                    <w:rPr>
                      <w:w w:val="75"/>
                      <w:sz w:val="16"/>
                    </w:rPr>
                    <w:t>Acute</w:t>
                  </w:r>
                  <w:r>
                    <w:rPr>
                      <w:sz w:val="16"/>
                    </w:rPr>
                    <w:t xml:space="preserve"> </w:t>
                  </w:r>
                  <w:r>
                    <w:rPr>
                      <w:w w:val="75"/>
                      <w:sz w:val="16"/>
                    </w:rPr>
                    <w:t>Bed</w:t>
                  </w:r>
                  <w:r>
                    <w:rPr>
                      <w:spacing w:val="1"/>
                      <w:sz w:val="16"/>
                    </w:rPr>
                    <w:t xml:space="preserve"> </w:t>
                  </w:r>
                  <w:r>
                    <w:rPr>
                      <w:spacing w:val="-4"/>
                      <w:w w:val="75"/>
                      <w:sz w:val="16"/>
                    </w:rPr>
                    <w:t>Days</w:t>
                  </w:r>
                </w:p>
              </w:txbxContent>
            </v:textbox>
            <w10:wrap anchorx="page"/>
          </v:shape>
        </w:pict>
      </w:r>
      <w:r w:rsidR="00F22F94">
        <w:rPr>
          <w:spacing w:val="-2"/>
          <w:w w:val="95"/>
          <w:sz w:val="16"/>
        </w:rPr>
        <w:t>1,400,000</w:t>
      </w:r>
    </w:p>
    <w:p w:rsidR="002C1123" w:rsidRDefault="00F22F94">
      <w:pPr>
        <w:spacing w:before="128"/>
        <w:ind w:right="377"/>
        <w:jc w:val="right"/>
        <w:rPr>
          <w:sz w:val="16"/>
        </w:rPr>
      </w:pPr>
      <w:r>
        <w:rPr>
          <w:spacing w:val="-2"/>
          <w:w w:val="95"/>
          <w:sz w:val="16"/>
        </w:rPr>
        <w:t>1,300,000</w:t>
      </w:r>
    </w:p>
    <w:p w:rsidR="002C1123" w:rsidRDefault="00F22F94">
      <w:pPr>
        <w:spacing w:before="129"/>
        <w:ind w:right="377"/>
        <w:jc w:val="right"/>
        <w:rPr>
          <w:sz w:val="16"/>
        </w:rPr>
      </w:pPr>
      <w:r>
        <w:rPr>
          <w:spacing w:val="-2"/>
          <w:w w:val="95"/>
          <w:sz w:val="16"/>
        </w:rPr>
        <w:t>1,200,000</w:t>
      </w:r>
    </w:p>
    <w:p w:rsidR="002C1123" w:rsidRDefault="00F22F94">
      <w:pPr>
        <w:spacing w:before="128"/>
        <w:ind w:right="377"/>
        <w:jc w:val="right"/>
        <w:rPr>
          <w:sz w:val="16"/>
        </w:rPr>
      </w:pPr>
      <w:r>
        <w:rPr>
          <w:spacing w:val="-2"/>
          <w:w w:val="95"/>
          <w:sz w:val="16"/>
        </w:rPr>
        <w:t>1,100,000</w:t>
      </w:r>
    </w:p>
    <w:p w:rsidR="002C1123" w:rsidRDefault="00F22F94">
      <w:pPr>
        <w:spacing w:before="129"/>
        <w:ind w:right="377"/>
        <w:jc w:val="right"/>
        <w:rPr>
          <w:sz w:val="16"/>
        </w:rPr>
      </w:pPr>
      <w:r>
        <w:rPr>
          <w:spacing w:val="-2"/>
          <w:w w:val="95"/>
          <w:sz w:val="16"/>
        </w:rPr>
        <w:t>1,000,000</w:t>
      </w:r>
    </w:p>
    <w:p w:rsidR="002C1123" w:rsidRDefault="002060EF">
      <w:pPr>
        <w:spacing w:before="129"/>
        <w:ind w:right="377"/>
        <w:jc w:val="right"/>
        <w:rPr>
          <w:sz w:val="16"/>
        </w:rPr>
      </w:pPr>
      <w:r>
        <w:pict>
          <v:line id="_x0000_s1609" style="position:absolute;left:0;text-align:left;z-index:251649024;mso-position-horizontal-relative:page" from="355.8pt,10.55pt" to="540.7pt,10.55pt" strokecolor="#b2b1b3" strokeweight=".13969mm">
            <w10:wrap anchorx="page"/>
          </v:line>
        </w:pict>
      </w:r>
      <w:r w:rsidR="00F22F94">
        <w:rPr>
          <w:spacing w:val="-2"/>
          <w:w w:val="95"/>
          <w:sz w:val="16"/>
        </w:rPr>
        <w:t>900,000</w:t>
      </w:r>
    </w:p>
    <w:p w:rsidR="002C1123" w:rsidRDefault="002060EF">
      <w:pPr>
        <w:spacing w:before="128"/>
        <w:ind w:right="377"/>
        <w:jc w:val="right"/>
        <w:rPr>
          <w:sz w:val="16"/>
        </w:rPr>
      </w:pPr>
      <w:r>
        <w:pict>
          <v:rect id="docshape2411" o:spid="_x0000_s1608" style="position:absolute;left:0;text-align:left;margin-left:355.1pt;margin-top:10.1pt;width:185.85pt;height:.8pt;z-index:251648000;mso-position-horizontal-relative:page" fillcolor="#b2b1b3" stroked="f">
            <w10:wrap anchorx="page"/>
          </v:rect>
        </w:pict>
      </w:r>
      <w:r>
        <w:pict>
          <v:shape id="docshape2412" o:spid="_x0000_s1607" type="#_x0000_t202" style="position:absolute;left:0;text-align:left;margin-left:357.5pt;margin-top:13.4pt;width:179.05pt;height:29.85pt;z-index:251654144;mso-position-horizontal-relative:page" filled="f" stroked="f">
            <v:textbox style="layout-flow:vertical;mso-layout-flow-alt:bottom-to-top" inset="0,0,0,0">
              <w:txbxContent>
                <w:p w:rsidR="00F22F94" w:rsidRDefault="00F22F94">
                  <w:pPr>
                    <w:spacing w:before="16"/>
                    <w:ind w:left="20"/>
                    <w:rPr>
                      <w:sz w:val="16"/>
                    </w:rPr>
                  </w:pPr>
                  <w:r>
                    <w:rPr>
                      <w:spacing w:val="-2"/>
                      <w:w w:val="95"/>
                      <w:sz w:val="16"/>
                    </w:rPr>
                    <w:t>2000/01</w:t>
                  </w:r>
                </w:p>
                <w:p w:rsidR="00F22F94" w:rsidRDefault="00F22F94">
                  <w:pPr>
                    <w:spacing w:before="122"/>
                    <w:ind w:left="20"/>
                    <w:rPr>
                      <w:sz w:val="16"/>
                    </w:rPr>
                  </w:pPr>
                  <w:r>
                    <w:rPr>
                      <w:spacing w:val="-2"/>
                      <w:w w:val="95"/>
                      <w:sz w:val="16"/>
                    </w:rPr>
                    <w:t>2001/02</w:t>
                  </w:r>
                </w:p>
                <w:p w:rsidR="00F22F94" w:rsidRDefault="00F22F94">
                  <w:pPr>
                    <w:spacing w:before="122"/>
                    <w:ind w:left="20"/>
                    <w:rPr>
                      <w:sz w:val="16"/>
                    </w:rPr>
                  </w:pPr>
                  <w:r>
                    <w:rPr>
                      <w:spacing w:val="-2"/>
                      <w:w w:val="95"/>
                      <w:sz w:val="16"/>
                    </w:rPr>
                    <w:t>2002/03</w:t>
                  </w:r>
                </w:p>
                <w:p w:rsidR="00F22F94" w:rsidRDefault="00F22F94">
                  <w:pPr>
                    <w:spacing w:before="121"/>
                    <w:ind w:left="20"/>
                    <w:rPr>
                      <w:sz w:val="16"/>
                    </w:rPr>
                  </w:pPr>
                  <w:r>
                    <w:rPr>
                      <w:spacing w:val="-2"/>
                      <w:w w:val="95"/>
                      <w:sz w:val="16"/>
                    </w:rPr>
                    <w:t>2003/04</w:t>
                  </w:r>
                </w:p>
                <w:p w:rsidR="00F22F94" w:rsidRDefault="00F22F94">
                  <w:pPr>
                    <w:spacing w:before="122"/>
                    <w:ind w:left="20"/>
                    <w:rPr>
                      <w:sz w:val="16"/>
                    </w:rPr>
                  </w:pPr>
                  <w:r>
                    <w:rPr>
                      <w:spacing w:val="-2"/>
                      <w:w w:val="95"/>
                      <w:sz w:val="16"/>
                    </w:rPr>
                    <w:t>2004/05</w:t>
                  </w:r>
                </w:p>
                <w:p w:rsidR="00F22F94" w:rsidRDefault="00F22F94">
                  <w:pPr>
                    <w:spacing w:before="121"/>
                    <w:ind w:left="20"/>
                    <w:rPr>
                      <w:sz w:val="16"/>
                    </w:rPr>
                  </w:pPr>
                  <w:r>
                    <w:rPr>
                      <w:spacing w:val="-2"/>
                      <w:w w:val="95"/>
                      <w:sz w:val="16"/>
                    </w:rPr>
                    <w:t>2005/06</w:t>
                  </w:r>
                </w:p>
                <w:p w:rsidR="00F22F94" w:rsidRDefault="00F22F94">
                  <w:pPr>
                    <w:spacing w:before="122"/>
                    <w:ind w:left="20"/>
                    <w:rPr>
                      <w:sz w:val="16"/>
                    </w:rPr>
                  </w:pPr>
                  <w:r>
                    <w:rPr>
                      <w:spacing w:val="-2"/>
                      <w:w w:val="95"/>
                      <w:sz w:val="16"/>
                    </w:rPr>
                    <w:t>2006/07</w:t>
                  </w:r>
                </w:p>
                <w:p w:rsidR="00F22F94" w:rsidRDefault="00F22F94">
                  <w:pPr>
                    <w:spacing w:before="121"/>
                    <w:ind w:left="20"/>
                    <w:rPr>
                      <w:sz w:val="16"/>
                    </w:rPr>
                  </w:pPr>
                  <w:r>
                    <w:rPr>
                      <w:spacing w:val="-2"/>
                      <w:w w:val="95"/>
                      <w:sz w:val="16"/>
                    </w:rPr>
                    <w:t>2007/08</w:t>
                  </w:r>
                </w:p>
                <w:p w:rsidR="00F22F94" w:rsidRDefault="00F22F94">
                  <w:pPr>
                    <w:spacing w:before="122"/>
                    <w:ind w:left="20"/>
                    <w:rPr>
                      <w:sz w:val="16"/>
                    </w:rPr>
                  </w:pPr>
                  <w:r>
                    <w:rPr>
                      <w:spacing w:val="-2"/>
                      <w:w w:val="95"/>
                      <w:sz w:val="16"/>
                    </w:rPr>
                    <w:t>2008/09</w:t>
                  </w:r>
                </w:p>
                <w:p w:rsidR="00F22F94" w:rsidRDefault="00F22F94">
                  <w:pPr>
                    <w:spacing w:before="122"/>
                    <w:ind w:left="20"/>
                    <w:rPr>
                      <w:sz w:val="16"/>
                    </w:rPr>
                  </w:pPr>
                  <w:r>
                    <w:rPr>
                      <w:spacing w:val="-2"/>
                      <w:w w:val="95"/>
                      <w:sz w:val="16"/>
                    </w:rPr>
                    <w:t>2009/10</w:t>
                  </w:r>
                </w:p>
                <w:p w:rsidR="00F22F94" w:rsidRDefault="00F22F94">
                  <w:pPr>
                    <w:spacing w:before="121"/>
                    <w:ind w:left="20"/>
                    <w:rPr>
                      <w:sz w:val="16"/>
                    </w:rPr>
                  </w:pPr>
                  <w:r>
                    <w:rPr>
                      <w:spacing w:val="-2"/>
                      <w:w w:val="95"/>
                      <w:sz w:val="16"/>
                    </w:rPr>
                    <w:t>2010/11</w:t>
                  </w:r>
                </w:p>
                <w:p w:rsidR="00F22F94" w:rsidRDefault="00F22F94">
                  <w:pPr>
                    <w:spacing w:before="122"/>
                    <w:ind w:left="23"/>
                    <w:rPr>
                      <w:sz w:val="16"/>
                    </w:rPr>
                  </w:pPr>
                  <w:r>
                    <w:rPr>
                      <w:spacing w:val="-2"/>
                      <w:w w:val="85"/>
                      <w:sz w:val="16"/>
                    </w:rPr>
                    <w:t>2011/12*</w:t>
                  </w:r>
                </w:p>
              </w:txbxContent>
            </v:textbox>
            <w10:wrap anchorx="page"/>
          </v:shape>
        </w:pict>
      </w:r>
      <w:r w:rsidR="00F22F94">
        <w:rPr>
          <w:spacing w:val="-2"/>
          <w:w w:val="95"/>
          <w:sz w:val="16"/>
        </w:rPr>
        <w:t>800,000</w:t>
      </w: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18"/>
        </w:rPr>
      </w:pPr>
    </w:p>
    <w:p w:rsidR="002C1123" w:rsidRDefault="002C1123">
      <w:pPr>
        <w:pStyle w:val="BodyText"/>
        <w:rPr>
          <w:sz w:val="26"/>
        </w:rPr>
      </w:pPr>
    </w:p>
    <w:p w:rsidR="002C1123" w:rsidRDefault="002060EF">
      <w:pPr>
        <w:ind w:left="356"/>
        <w:jc w:val="center"/>
        <w:rPr>
          <w:sz w:val="14"/>
        </w:rPr>
      </w:pPr>
      <w:r>
        <w:pict>
          <v:line id="_x0000_s1606" style="position:absolute;left:0;text-align:left;z-index:251652096;mso-position-horizontal-relative:page" from="372.95pt,-14.35pt" to="354.25pt,-14.35pt" strokecolor="#2e3092" strokeweight="2.97pt">
            <w10:wrap anchorx="page"/>
          </v:line>
        </w:pict>
      </w:r>
      <w:r w:rsidR="00F22F94">
        <w:rPr>
          <w:w w:val="95"/>
          <w:sz w:val="14"/>
        </w:rPr>
        <w:t>Source:</w:t>
      </w:r>
      <w:r w:rsidR="00F22F94">
        <w:rPr>
          <w:spacing w:val="1"/>
          <w:sz w:val="14"/>
        </w:rPr>
        <w:t xml:space="preserve"> </w:t>
      </w:r>
      <w:r w:rsidR="00F22F94">
        <w:rPr>
          <w:w w:val="95"/>
          <w:sz w:val="14"/>
        </w:rPr>
        <w:t>NSW</w:t>
      </w:r>
      <w:r w:rsidR="00F22F94">
        <w:rPr>
          <w:spacing w:val="1"/>
          <w:sz w:val="14"/>
        </w:rPr>
        <w:t xml:space="preserve"> </w:t>
      </w:r>
      <w:r w:rsidR="00F22F94">
        <w:rPr>
          <w:spacing w:val="-2"/>
          <w:w w:val="95"/>
          <w:sz w:val="14"/>
        </w:rPr>
        <w:t>Health.</w:t>
      </w:r>
    </w:p>
    <w:p w:rsidR="002C1123" w:rsidRDefault="00F22F94">
      <w:pPr>
        <w:rPr>
          <w:sz w:val="16"/>
        </w:rPr>
      </w:pPr>
      <w:r>
        <w:br w:type="column"/>
      </w:r>
    </w:p>
    <w:p w:rsidR="002C1123" w:rsidRDefault="002C1123">
      <w:pPr>
        <w:pStyle w:val="BodyText"/>
        <w:rPr>
          <w:sz w:val="16"/>
        </w:rPr>
      </w:pPr>
    </w:p>
    <w:p w:rsidR="002C1123" w:rsidRDefault="002C1123">
      <w:pPr>
        <w:pStyle w:val="BodyText"/>
        <w:rPr>
          <w:sz w:val="16"/>
        </w:rPr>
      </w:pPr>
    </w:p>
    <w:p w:rsidR="002C1123" w:rsidRDefault="002C1123">
      <w:pPr>
        <w:pStyle w:val="BodyText"/>
        <w:rPr>
          <w:sz w:val="16"/>
        </w:rPr>
      </w:pPr>
    </w:p>
    <w:p w:rsidR="002C1123" w:rsidRDefault="002C1123">
      <w:pPr>
        <w:pStyle w:val="BodyText"/>
        <w:rPr>
          <w:sz w:val="16"/>
        </w:rPr>
      </w:pPr>
    </w:p>
    <w:p w:rsidR="002C1123" w:rsidRDefault="002C1123">
      <w:pPr>
        <w:pStyle w:val="BodyText"/>
        <w:rPr>
          <w:sz w:val="16"/>
        </w:rPr>
      </w:pPr>
    </w:p>
    <w:p w:rsidR="002C1123" w:rsidRDefault="002C1123">
      <w:pPr>
        <w:pStyle w:val="BodyText"/>
        <w:rPr>
          <w:sz w:val="16"/>
        </w:rPr>
      </w:pPr>
    </w:p>
    <w:p w:rsidR="002C1123" w:rsidRDefault="002C1123">
      <w:pPr>
        <w:pStyle w:val="BodyText"/>
        <w:rPr>
          <w:sz w:val="16"/>
        </w:rPr>
      </w:pPr>
    </w:p>
    <w:p w:rsidR="002C1123" w:rsidRDefault="002C1123">
      <w:pPr>
        <w:pStyle w:val="BodyText"/>
        <w:rPr>
          <w:sz w:val="16"/>
        </w:rPr>
      </w:pPr>
    </w:p>
    <w:p w:rsidR="002C1123" w:rsidRDefault="002C1123">
      <w:pPr>
        <w:pStyle w:val="BodyText"/>
        <w:rPr>
          <w:sz w:val="16"/>
        </w:rPr>
      </w:pPr>
    </w:p>
    <w:p w:rsidR="002C1123" w:rsidRDefault="002C1123">
      <w:pPr>
        <w:pStyle w:val="BodyText"/>
        <w:rPr>
          <w:sz w:val="16"/>
        </w:rPr>
      </w:pPr>
    </w:p>
    <w:p w:rsidR="002C1123" w:rsidRDefault="002C1123">
      <w:pPr>
        <w:pStyle w:val="BodyText"/>
        <w:rPr>
          <w:sz w:val="16"/>
        </w:rPr>
      </w:pPr>
    </w:p>
    <w:p w:rsidR="002C1123" w:rsidRDefault="002C1123">
      <w:pPr>
        <w:pStyle w:val="BodyText"/>
        <w:rPr>
          <w:sz w:val="16"/>
        </w:rPr>
      </w:pPr>
    </w:p>
    <w:p w:rsidR="002C1123" w:rsidRDefault="002C1123">
      <w:pPr>
        <w:pStyle w:val="BodyText"/>
        <w:rPr>
          <w:sz w:val="16"/>
        </w:rPr>
      </w:pPr>
    </w:p>
    <w:p w:rsidR="002C1123" w:rsidRDefault="002C1123">
      <w:pPr>
        <w:pStyle w:val="BodyText"/>
        <w:rPr>
          <w:sz w:val="16"/>
        </w:rPr>
      </w:pPr>
    </w:p>
    <w:p w:rsidR="002C1123" w:rsidRDefault="002C1123">
      <w:pPr>
        <w:pStyle w:val="BodyText"/>
        <w:rPr>
          <w:sz w:val="16"/>
        </w:rPr>
      </w:pPr>
    </w:p>
    <w:p w:rsidR="002C1123" w:rsidRDefault="002C1123">
      <w:pPr>
        <w:pStyle w:val="BodyText"/>
        <w:rPr>
          <w:sz w:val="16"/>
        </w:rPr>
      </w:pPr>
    </w:p>
    <w:p w:rsidR="002C1123" w:rsidRDefault="002C1123">
      <w:pPr>
        <w:pStyle w:val="BodyText"/>
        <w:rPr>
          <w:sz w:val="16"/>
        </w:rPr>
      </w:pPr>
    </w:p>
    <w:p w:rsidR="002C1123" w:rsidRDefault="002C1123">
      <w:pPr>
        <w:pStyle w:val="BodyText"/>
        <w:rPr>
          <w:sz w:val="16"/>
        </w:rPr>
      </w:pPr>
    </w:p>
    <w:p w:rsidR="002C1123" w:rsidRDefault="002C1123">
      <w:pPr>
        <w:pStyle w:val="BodyText"/>
        <w:rPr>
          <w:sz w:val="16"/>
        </w:rPr>
      </w:pPr>
    </w:p>
    <w:p w:rsidR="002C1123" w:rsidRDefault="002C1123">
      <w:pPr>
        <w:pStyle w:val="BodyText"/>
        <w:rPr>
          <w:sz w:val="16"/>
        </w:rPr>
      </w:pPr>
    </w:p>
    <w:p w:rsidR="002C1123" w:rsidRDefault="002C1123">
      <w:pPr>
        <w:pStyle w:val="BodyText"/>
        <w:spacing w:before="8"/>
        <w:rPr>
          <w:sz w:val="13"/>
        </w:rPr>
      </w:pPr>
    </w:p>
    <w:p w:rsidR="002C1123" w:rsidRDefault="00F22F94">
      <w:pPr>
        <w:tabs>
          <w:tab w:val="left" w:pos="1232"/>
        </w:tabs>
        <w:spacing w:before="1"/>
        <w:ind w:left="162"/>
        <w:rPr>
          <w:sz w:val="14"/>
        </w:rPr>
      </w:pPr>
      <w:r>
        <w:rPr>
          <w:spacing w:val="-2"/>
          <w:sz w:val="14"/>
        </w:rPr>
        <w:t>Actual</w:t>
      </w:r>
      <w:r>
        <w:rPr>
          <w:sz w:val="14"/>
        </w:rPr>
        <w:tab/>
      </w:r>
      <w:r>
        <w:rPr>
          <w:w w:val="90"/>
          <w:sz w:val="14"/>
        </w:rPr>
        <w:t>Forecast</w:t>
      </w:r>
      <w:r>
        <w:rPr>
          <w:spacing w:val="-1"/>
          <w:w w:val="90"/>
          <w:sz w:val="14"/>
        </w:rPr>
        <w:t xml:space="preserve"> </w:t>
      </w:r>
      <w:r>
        <w:rPr>
          <w:w w:val="90"/>
          <w:sz w:val="14"/>
        </w:rPr>
        <w:t>if</w:t>
      </w:r>
      <w:r>
        <w:rPr>
          <w:spacing w:val="-1"/>
          <w:w w:val="90"/>
          <w:sz w:val="14"/>
        </w:rPr>
        <w:t xml:space="preserve"> </w:t>
      </w:r>
      <w:r>
        <w:rPr>
          <w:w w:val="90"/>
          <w:sz w:val="14"/>
        </w:rPr>
        <w:t>no</w:t>
      </w:r>
      <w:r>
        <w:rPr>
          <w:spacing w:val="-4"/>
          <w:sz w:val="14"/>
        </w:rPr>
        <w:t xml:space="preserve"> </w:t>
      </w:r>
      <w:r>
        <w:rPr>
          <w:spacing w:val="-2"/>
          <w:w w:val="90"/>
          <w:sz w:val="14"/>
        </w:rPr>
        <w:t>intervention</w:t>
      </w:r>
    </w:p>
    <w:p w:rsidR="002C1123" w:rsidRDefault="00F22F94">
      <w:pPr>
        <w:pStyle w:val="BodyText"/>
        <w:spacing w:line="199" w:lineRule="exact"/>
        <w:ind w:left="492"/>
      </w:pPr>
      <w:r>
        <w:br w:type="column"/>
      </w:r>
      <w:r>
        <w:rPr>
          <w:w w:val="90"/>
        </w:rPr>
        <w:t>with</w:t>
      </w:r>
      <w:r>
        <w:rPr>
          <w:spacing w:val="3"/>
        </w:rPr>
        <w:t xml:space="preserve"> </w:t>
      </w:r>
      <w:r>
        <w:rPr>
          <w:w w:val="90"/>
        </w:rPr>
        <w:t>certain</w:t>
      </w:r>
      <w:r>
        <w:rPr>
          <w:spacing w:val="3"/>
        </w:rPr>
        <w:t xml:space="preserve"> </w:t>
      </w:r>
      <w:r>
        <w:rPr>
          <w:w w:val="90"/>
        </w:rPr>
        <w:t>conditions,</w:t>
      </w:r>
      <w:r>
        <w:rPr>
          <w:spacing w:val="3"/>
        </w:rPr>
        <w:t xml:space="preserve"> </w:t>
      </w:r>
      <w:r>
        <w:rPr>
          <w:w w:val="90"/>
        </w:rPr>
        <w:t>who</w:t>
      </w:r>
      <w:r>
        <w:rPr>
          <w:spacing w:val="4"/>
        </w:rPr>
        <w:t xml:space="preserve"> </w:t>
      </w:r>
      <w:r>
        <w:rPr>
          <w:w w:val="90"/>
        </w:rPr>
        <w:t>may</w:t>
      </w:r>
      <w:r>
        <w:rPr>
          <w:spacing w:val="3"/>
        </w:rPr>
        <w:t xml:space="preserve"> </w:t>
      </w:r>
      <w:r>
        <w:rPr>
          <w:w w:val="90"/>
        </w:rPr>
        <w:t>otherwise</w:t>
      </w:r>
      <w:r>
        <w:rPr>
          <w:spacing w:val="5"/>
        </w:rPr>
        <w:t xml:space="preserve"> </w:t>
      </w:r>
      <w:r>
        <w:rPr>
          <w:w w:val="90"/>
        </w:rPr>
        <w:t>occupy</w:t>
      </w:r>
      <w:r>
        <w:rPr>
          <w:spacing w:val="6"/>
        </w:rPr>
        <w:t xml:space="preserve"> </w:t>
      </w:r>
      <w:r>
        <w:rPr>
          <w:spacing w:val="-10"/>
          <w:w w:val="90"/>
        </w:rPr>
        <w:t>a</w:t>
      </w:r>
    </w:p>
    <w:p w:rsidR="002C1123" w:rsidRDefault="00F22F94">
      <w:pPr>
        <w:pStyle w:val="BodyText"/>
        <w:spacing w:before="10" w:line="249" w:lineRule="auto"/>
        <w:ind w:left="492" w:right="835"/>
      </w:pPr>
      <w:r>
        <w:rPr>
          <w:w w:val="95"/>
        </w:rPr>
        <w:t>hospital</w:t>
      </w:r>
      <w:r>
        <w:rPr>
          <w:spacing w:val="-5"/>
          <w:w w:val="95"/>
        </w:rPr>
        <w:t xml:space="preserve"> </w:t>
      </w:r>
      <w:r>
        <w:rPr>
          <w:w w:val="95"/>
        </w:rPr>
        <w:t>bed</w:t>
      </w:r>
      <w:r>
        <w:rPr>
          <w:spacing w:val="-5"/>
          <w:w w:val="95"/>
        </w:rPr>
        <w:t xml:space="preserve"> </w:t>
      </w:r>
      <w:r>
        <w:rPr>
          <w:w w:val="95"/>
        </w:rPr>
        <w:t>in</w:t>
      </w:r>
      <w:r>
        <w:rPr>
          <w:spacing w:val="-5"/>
          <w:w w:val="95"/>
        </w:rPr>
        <w:t xml:space="preserve"> </w:t>
      </w:r>
      <w:r>
        <w:rPr>
          <w:w w:val="95"/>
        </w:rPr>
        <w:t>a</w:t>
      </w:r>
      <w:r>
        <w:rPr>
          <w:spacing w:val="-5"/>
          <w:w w:val="95"/>
        </w:rPr>
        <w:t xml:space="preserve"> </w:t>
      </w:r>
      <w:r>
        <w:rPr>
          <w:w w:val="95"/>
        </w:rPr>
        <w:t>lower</w:t>
      </w:r>
      <w:r>
        <w:rPr>
          <w:spacing w:val="-5"/>
          <w:w w:val="95"/>
        </w:rPr>
        <w:t xml:space="preserve"> </w:t>
      </w:r>
      <w:r>
        <w:rPr>
          <w:w w:val="95"/>
        </w:rPr>
        <w:t>cost</w:t>
      </w:r>
      <w:r>
        <w:rPr>
          <w:spacing w:val="-5"/>
          <w:w w:val="95"/>
        </w:rPr>
        <w:t xml:space="preserve"> </w:t>
      </w:r>
      <w:r>
        <w:rPr>
          <w:w w:val="95"/>
        </w:rPr>
        <w:t>setting.</w:t>
      </w:r>
      <w:r>
        <w:rPr>
          <w:spacing w:val="-5"/>
          <w:w w:val="95"/>
        </w:rPr>
        <w:t xml:space="preserve"> </w:t>
      </w:r>
      <w:r>
        <w:rPr>
          <w:w w:val="95"/>
        </w:rPr>
        <w:t>Various</w:t>
      </w:r>
      <w:r>
        <w:rPr>
          <w:spacing w:val="-5"/>
          <w:w w:val="95"/>
        </w:rPr>
        <w:t xml:space="preserve"> </w:t>
      </w:r>
      <w:r>
        <w:rPr>
          <w:w w:val="95"/>
        </w:rPr>
        <w:t>studies</w:t>
      </w:r>
      <w:r>
        <w:rPr>
          <w:w w:val="95"/>
          <w:position w:val="7"/>
          <w:sz w:val="11"/>
        </w:rPr>
        <w:t>5</w:t>
      </w:r>
      <w:r>
        <w:rPr>
          <w:spacing w:val="40"/>
          <w:position w:val="7"/>
          <w:sz w:val="11"/>
        </w:rPr>
        <w:t xml:space="preserve"> </w:t>
      </w:r>
      <w:r>
        <w:t>show significantly lower costs, by:</w:t>
      </w:r>
    </w:p>
    <w:p w:rsidR="002C1123" w:rsidRDefault="00F22F94">
      <w:pPr>
        <w:pStyle w:val="ListParagraph"/>
        <w:numPr>
          <w:ilvl w:val="0"/>
          <w:numId w:val="41"/>
        </w:numPr>
        <w:tabs>
          <w:tab w:val="left" w:pos="776"/>
        </w:tabs>
        <w:spacing w:before="131" w:line="249" w:lineRule="auto"/>
        <w:ind w:right="1332"/>
        <w:rPr>
          <w:sz w:val="20"/>
        </w:rPr>
      </w:pPr>
      <w:r>
        <w:rPr>
          <w:w w:val="95"/>
          <w:sz w:val="20"/>
        </w:rPr>
        <w:t xml:space="preserve">avoiding treatment costs that would otherwise </w:t>
      </w:r>
      <w:r>
        <w:rPr>
          <w:spacing w:val="-2"/>
          <w:sz w:val="20"/>
        </w:rPr>
        <w:t>be</w:t>
      </w:r>
      <w:r>
        <w:rPr>
          <w:spacing w:val="-9"/>
          <w:sz w:val="20"/>
        </w:rPr>
        <w:t xml:space="preserve"> </w:t>
      </w:r>
      <w:r>
        <w:rPr>
          <w:spacing w:val="-2"/>
          <w:sz w:val="20"/>
        </w:rPr>
        <w:t>incurred</w:t>
      </w:r>
      <w:r>
        <w:rPr>
          <w:spacing w:val="-9"/>
          <w:sz w:val="20"/>
        </w:rPr>
        <w:t xml:space="preserve"> </w:t>
      </w:r>
      <w:r>
        <w:rPr>
          <w:spacing w:val="-2"/>
          <w:sz w:val="20"/>
        </w:rPr>
        <w:t>as</w:t>
      </w:r>
      <w:r>
        <w:rPr>
          <w:spacing w:val="-9"/>
          <w:sz w:val="20"/>
        </w:rPr>
        <w:t xml:space="preserve"> </w:t>
      </w:r>
      <w:r>
        <w:rPr>
          <w:spacing w:val="-2"/>
          <w:sz w:val="20"/>
        </w:rPr>
        <w:t>a</w:t>
      </w:r>
      <w:r>
        <w:rPr>
          <w:spacing w:val="-9"/>
          <w:sz w:val="20"/>
        </w:rPr>
        <w:t xml:space="preserve"> </w:t>
      </w:r>
      <w:r>
        <w:rPr>
          <w:spacing w:val="-2"/>
          <w:sz w:val="20"/>
        </w:rPr>
        <w:t>result</w:t>
      </w:r>
      <w:r>
        <w:rPr>
          <w:spacing w:val="-9"/>
          <w:sz w:val="20"/>
        </w:rPr>
        <w:t xml:space="preserve"> </w:t>
      </w:r>
      <w:r>
        <w:rPr>
          <w:spacing w:val="-2"/>
          <w:sz w:val="20"/>
        </w:rPr>
        <w:t>of</w:t>
      </w:r>
      <w:r>
        <w:rPr>
          <w:spacing w:val="-9"/>
          <w:sz w:val="20"/>
        </w:rPr>
        <w:t xml:space="preserve"> </w:t>
      </w:r>
      <w:r>
        <w:rPr>
          <w:spacing w:val="-2"/>
          <w:sz w:val="20"/>
        </w:rPr>
        <w:t>hospital</w:t>
      </w:r>
      <w:r>
        <w:rPr>
          <w:spacing w:val="-9"/>
          <w:sz w:val="20"/>
        </w:rPr>
        <w:t xml:space="preserve"> </w:t>
      </w:r>
      <w:r>
        <w:rPr>
          <w:spacing w:val="-2"/>
          <w:sz w:val="20"/>
        </w:rPr>
        <w:t>acquired</w:t>
      </w:r>
      <w:r>
        <w:rPr>
          <w:spacing w:val="-9"/>
          <w:sz w:val="20"/>
        </w:rPr>
        <w:t xml:space="preserve"> </w:t>
      </w:r>
      <w:r>
        <w:rPr>
          <w:spacing w:val="-2"/>
          <w:sz w:val="20"/>
        </w:rPr>
        <w:t xml:space="preserve">or </w:t>
      </w:r>
      <w:r>
        <w:rPr>
          <w:sz w:val="20"/>
        </w:rPr>
        <w:t>associated</w:t>
      </w:r>
      <w:r>
        <w:rPr>
          <w:spacing w:val="-11"/>
          <w:sz w:val="20"/>
        </w:rPr>
        <w:t xml:space="preserve"> </w:t>
      </w:r>
      <w:r>
        <w:rPr>
          <w:sz w:val="20"/>
        </w:rPr>
        <w:t>infections</w:t>
      </w:r>
    </w:p>
    <w:p w:rsidR="002C1123" w:rsidRDefault="00F22F94">
      <w:pPr>
        <w:pStyle w:val="ListParagraph"/>
        <w:numPr>
          <w:ilvl w:val="0"/>
          <w:numId w:val="41"/>
        </w:numPr>
        <w:tabs>
          <w:tab w:val="left" w:pos="776"/>
        </w:tabs>
        <w:spacing w:before="131" w:line="249" w:lineRule="auto"/>
        <w:ind w:right="834"/>
        <w:jc w:val="both"/>
        <w:rPr>
          <w:sz w:val="20"/>
        </w:rPr>
      </w:pPr>
      <w:r>
        <w:rPr>
          <w:w w:val="95"/>
          <w:sz w:val="20"/>
        </w:rPr>
        <w:t>avoiding</w:t>
      </w:r>
      <w:r>
        <w:rPr>
          <w:spacing w:val="-12"/>
          <w:w w:val="95"/>
          <w:sz w:val="20"/>
        </w:rPr>
        <w:t xml:space="preserve"> </w:t>
      </w:r>
      <w:r>
        <w:rPr>
          <w:w w:val="95"/>
          <w:sz w:val="20"/>
        </w:rPr>
        <w:t>Emergency</w:t>
      </w:r>
      <w:r>
        <w:rPr>
          <w:spacing w:val="-11"/>
          <w:w w:val="95"/>
          <w:sz w:val="20"/>
        </w:rPr>
        <w:t xml:space="preserve"> </w:t>
      </w:r>
      <w:r>
        <w:rPr>
          <w:w w:val="95"/>
          <w:sz w:val="20"/>
        </w:rPr>
        <w:t>Department</w:t>
      </w:r>
      <w:r>
        <w:rPr>
          <w:spacing w:val="-11"/>
          <w:w w:val="95"/>
          <w:sz w:val="20"/>
        </w:rPr>
        <w:t xml:space="preserve"> </w:t>
      </w:r>
      <w:r>
        <w:rPr>
          <w:w w:val="95"/>
          <w:sz w:val="20"/>
        </w:rPr>
        <w:t>(ED)</w:t>
      </w:r>
      <w:r>
        <w:rPr>
          <w:spacing w:val="-11"/>
          <w:w w:val="95"/>
          <w:sz w:val="20"/>
        </w:rPr>
        <w:t xml:space="preserve"> </w:t>
      </w:r>
      <w:r>
        <w:rPr>
          <w:w w:val="95"/>
          <w:sz w:val="20"/>
        </w:rPr>
        <w:t xml:space="preserve">presentations and ambulance transfers where transfer to an acute </w:t>
      </w:r>
      <w:r>
        <w:rPr>
          <w:sz w:val="20"/>
        </w:rPr>
        <w:t>hospital ED is unnecessary</w:t>
      </w:r>
    </w:p>
    <w:p w:rsidR="002C1123" w:rsidRDefault="00F22F94">
      <w:pPr>
        <w:pStyle w:val="ListParagraph"/>
        <w:numPr>
          <w:ilvl w:val="0"/>
          <w:numId w:val="41"/>
        </w:numPr>
        <w:tabs>
          <w:tab w:val="left" w:pos="776"/>
        </w:tabs>
        <w:spacing w:before="131" w:line="249" w:lineRule="auto"/>
        <w:ind w:right="760"/>
        <w:rPr>
          <w:sz w:val="20"/>
        </w:rPr>
      </w:pPr>
      <w:r>
        <w:rPr>
          <w:sz w:val="20"/>
        </w:rPr>
        <w:t>improving</w:t>
      </w:r>
      <w:r>
        <w:rPr>
          <w:spacing w:val="-14"/>
          <w:sz w:val="20"/>
        </w:rPr>
        <w:t xml:space="preserve"> </w:t>
      </w:r>
      <w:r>
        <w:rPr>
          <w:sz w:val="20"/>
        </w:rPr>
        <w:t>hospital</w:t>
      </w:r>
      <w:r>
        <w:rPr>
          <w:spacing w:val="-14"/>
          <w:sz w:val="20"/>
        </w:rPr>
        <w:t xml:space="preserve"> </w:t>
      </w:r>
      <w:r>
        <w:rPr>
          <w:sz w:val="20"/>
        </w:rPr>
        <w:t>operational</w:t>
      </w:r>
      <w:r>
        <w:rPr>
          <w:spacing w:val="-14"/>
          <w:sz w:val="20"/>
        </w:rPr>
        <w:t xml:space="preserve"> </w:t>
      </w:r>
      <w:r>
        <w:rPr>
          <w:sz w:val="20"/>
        </w:rPr>
        <w:t>efficiency</w:t>
      </w:r>
      <w:r>
        <w:rPr>
          <w:spacing w:val="-14"/>
          <w:sz w:val="20"/>
        </w:rPr>
        <w:t xml:space="preserve"> </w:t>
      </w:r>
      <w:r>
        <w:rPr>
          <w:sz w:val="20"/>
        </w:rPr>
        <w:t>as</w:t>
      </w:r>
      <w:r>
        <w:rPr>
          <w:spacing w:val="-14"/>
          <w:sz w:val="20"/>
        </w:rPr>
        <w:t xml:space="preserve"> </w:t>
      </w:r>
      <w:r>
        <w:rPr>
          <w:sz w:val="20"/>
        </w:rPr>
        <w:t>a</w:t>
      </w:r>
      <w:r>
        <w:rPr>
          <w:spacing w:val="-14"/>
          <w:sz w:val="20"/>
        </w:rPr>
        <w:t xml:space="preserve"> </w:t>
      </w:r>
      <w:r>
        <w:rPr>
          <w:sz w:val="20"/>
        </w:rPr>
        <w:t>result of</w:t>
      </w:r>
      <w:r>
        <w:rPr>
          <w:spacing w:val="-14"/>
          <w:sz w:val="20"/>
        </w:rPr>
        <w:t xml:space="preserve"> </w:t>
      </w:r>
      <w:r>
        <w:rPr>
          <w:sz w:val="20"/>
        </w:rPr>
        <w:t>ensuring</w:t>
      </w:r>
      <w:r>
        <w:rPr>
          <w:spacing w:val="-13"/>
          <w:sz w:val="20"/>
        </w:rPr>
        <w:t xml:space="preserve"> </w:t>
      </w:r>
      <w:r>
        <w:rPr>
          <w:sz w:val="20"/>
        </w:rPr>
        <w:t>that</w:t>
      </w:r>
      <w:r>
        <w:rPr>
          <w:spacing w:val="-14"/>
          <w:sz w:val="20"/>
        </w:rPr>
        <w:t xml:space="preserve"> </w:t>
      </w:r>
      <w:r>
        <w:rPr>
          <w:sz w:val="20"/>
        </w:rPr>
        <w:t>the</w:t>
      </w:r>
      <w:r>
        <w:rPr>
          <w:spacing w:val="-13"/>
          <w:sz w:val="20"/>
        </w:rPr>
        <w:t xml:space="preserve"> </w:t>
      </w:r>
      <w:r>
        <w:rPr>
          <w:sz w:val="20"/>
        </w:rPr>
        <w:t>case</w:t>
      </w:r>
      <w:r>
        <w:rPr>
          <w:spacing w:val="-14"/>
          <w:sz w:val="20"/>
        </w:rPr>
        <w:t xml:space="preserve"> </w:t>
      </w:r>
      <w:r>
        <w:rPr>
          <w:sz w:val="20"/>
        </w:rPr>
        <w:t>mix</w:t>
      </w:r>
      <w:r>
        <w:rPr>
          <w:spacing w:val="-13"/>
          <w:sz w:val="20"/>
        </w:rPr>
        <w:t xml:space="preserve"> </w:t>
      </w:r>
      <w:r>
        <w:rPr>
          <w:sz w:val="20"/>
        </w:rPr>
        <w:t>of</w:t>
      </w:r>
      <w:r>
        <w:rPr>
          <w:spacing w:val="-14"/>
          <w:sz w:val="20"/>
        </w:rPr>
        <w:t xml:space="preserve"> </w:t>
      </w:r>
      <w:r>
        <w:rPr>
          <w:sz w:val="20"/>
        </w:rPr>
        <w:t>in-hospital</w:t>
      </w:r>
      <w:r>
        <w:rPr>
          <w:spacing w:val="-13"/>
          <w:sz w:val="20"/>
        </w:rPr>
        <w:t xml:space="preserve"> </w:t>
      </w:r>
      <w:r>
        <w:rPr>
          <w:sz w:val="20"/>
        </w:rPr>
        <w:t xml:space="preserve">services </w:t>
      </w:r>
      <w:r>
        <w:rPr>
          <w:w w:val="95"/>
          <w:sz w:val="20"/>
        </w:rPr>
        <w:t>aligns</w:t>
      </w:r>
      <w:r>
        <w:rPr>
          <w:spacing w:val="-6"/>
          <w:w w:val="95"/>
          <w:sz w:val="20"/>
        </w:rPr>
        <w:t xml:space="preserve"> </w:t>
      </w:r>
      <w:r>
        <w:rPr>
          <w:w w:val="95"/>
          <w:sz w:val="20"/>
        </w:rPr>
        <w:t>with</w:t>
      </w:r>
      <w:r>
        <w:rPr>
          <w:spacing w:val="-6"/>
          <w:w w:val="95"/>
          <w:sz w:val="20"/>
        </w:rPr>
        <w:t xml:space="preserve"> </w:t>
      </w:r>
      <w:r>
        <w:rPr>
          <w:w w:val="95"/>
          <w:sz w:val="20"/>
        </w:rPr>
        <w:t>the</w:t>
      </w:r>
      <w:r>
        <w:rPr>
          <w:spacing w:val="-6"/>
          <w:w w:val="95"/>
          <w:sz w:val="20"/>
        </w:rPr>
        <w:t xml:space="preserve"> </w:t>
      </w:r>
      <w:r>
        <w:rPr>
          <w:w w:val="95"/>
          <w:sz w:val="20"/>
        </w:rPr>
        <w:t>services</w:t>
      </w:r>
      <w:r>
        <w:rPr>
          <w:spacing w:val="-6"/>
          <w:w w:val="95"/>
          <w:sz w:val="20"/>
        </w:rPr>
        <w:t xml:space="preserve"> </w:t>
      </w:r>
      <w:r>
        <w:rPr>
          <w:w w:val="95"/>
          <w:sz w:val="20"/>
        </w:rPr>
        <w:t>that</w:t>
      </w:r>
      <w:r>
        <w:rPr>
          <w:spacing w:val="-6"/>
          <w:w w:val="95"/>
          <w:sz w:val="20"/>
        </w:rPr>
        <w:t xml:space="preserve"> </w:t>
      </w:r>
      <w:r>
        <w:rPr>
          <w:w w:val="95"/>
          <w:sz w:val="20"/>
        </w:rPr>
        <w:t>can</w:t>
      </w:r>
      <w:r>
        <w:rPr>
          <w:spacing w:val="-6"/>
          <w:w w:val="95"/>
          <w:sz w:val="20"/>
        </w:rPr>
        <w:t xml:space="preserve"> </w:t>
      </w:r>
      <w:r>
        <w:rPr>
          <w:w w:val="95"/>
          <w:sz w:val="20"/>
        </w:rPr>
        <w:t>only</w:t>
      </w:r>
      <w:r>
        <w:rPr>
          <w:spacing w:val="-6"/>
          <w:w w:val="95"/>
          <w:sz w:val="20"/>
        </w:rPr>
        <w:t xml:space="preserve"> </w:t>
      </w:r>
      <w:r>
        <w:rPr>
          <w:w w:val="95"/>
          <w:sz w:val="20"/>
        </w:rPr>
        <w:t>be</w:t>
      </w:r>
      <w:r>
        <w:rPr>
          <w:spacing w:val="-6"/>
          <w:w w:val="95"/>
          <w:sz w:val="20"/>
        </w:rPr>
        <w:t xml:space="preserve"> </w:t>
      </w:r>
      <w:r>
        <w:rPr>
          <w:w w:val="95"/>
          <w:sz w:val="20"/>
        </w:rPr>
        <w:t>provided</w:t>
      </w:r>
      <w:r>
        <w:rPr>
          <w:spacing w:val="-6"/>
          <w:w w:val="95"/>
          <w:sz w:val="20"/>
        </w:rPr>
        <w:t xml:space="preserve"> </w:t>
      </w:r>
      <w:r>
        <w:rPr>
          <w:w w:val="95"/>
          <w:sz w:val="20"/>
        </w:rPr>
        <w:t>in</w:t>
      </w:r>
      <w:r>
        <w:rPr>
          <w:spacing w:val="-6"/>
          <w:w w:val="95"/>
          <w:sz w:val="20"/>
        </w:rPr>
        <w:t xml:space="preserve"> </w:t>
      </w:r>
      <w:r>
        <w:rPr>
          <w:w w:val="95"/>
          <w:sz w:val="20"/>
        </w:rPr>
        <w:t xml:space="preserve">a </w:t>
      </w:r>
      <w:r>
        <w:rPr>
          <w:sz w:val="20"/>
        </w:rPr>
        <w:t>hospital</w:t>
      </w:r>
      <w:r>
        <w:rPr>
          <w:spacing w:val="-11"/>
          <w:sz w:val="20"/>
        </w:rPr>
        <w:t xml:space="preserve"> </w:t>
      </w:r>
      <w:r>
        <w:rPr>
          <w:sz w:val="20"/>
        </w:rPr>
        <w:t>setting.</w:t>
      </w:r>
    </w:p>
    <w:p w:rsidR="002C1123" w:rsidRDefault="00F22F94">
      <w:pPr>
        <w:pStyle w:val="BodyText"/>
        <w:spacing w:before="145" w:line="249" w:lineRule="auto"/>
        <w:ind w:left="492" w:right="726"/>
        <w:jc w:val="both"/>
      </w:pPr>
      <w:r>
        <w:rPr>
          <w:w w:val="95"/>
        </w:rPr>
        <w:t>A 2009 study showed the cost of episodes of acute care containing a HITH component were overall nine percent less</w:t>
      </w:r>
      <w:r>
        <w:rPr>
          <w:spacing w:val="-9"/>
          <w:w w:val="95"/>
        </w:rPr>
        <w:t xml:space="preserve"> </w:t>
      </w:r>
      <w:r>
        <w:rPr>
          <w:w w:val="95"/>
        </w:rPr>
        <w:t>expensive</w:t>
      </w:r>
      <w:r>
        <w:rPr>
          <w:spacing w:val="-9"/>
          <w:w w:val="95"/>
        </w:rPr>
        <w:t xml:space="preserve"> </w:t>
      </w:r>
      <w:r>
        <w:rPr>
          <w:w w:val="95"/>
        </w:rPr>
        <w:t>than</w:t>
      </w:r>
      <w:r>
        <w:rPr>
          <w:spacing w:val="-9"/>
          <w:w w:val="95"/>
        </w:rPr>
        <w:t xml:space="preserve"> </w:t>
      </w:r>
      <w:r>
        <w:rPr>
          <w:w w:val="95"/>
        </w:rPr>
        <w:t>in-hospital</w:t>
      </w:r>
      <w:r>
        <w:rPr>
          <w:spacing w:val="-9"/>
          <w:w w:val="95"/>
        </w:rPr>
        <w:t xml:space="preserve"> </w:t>
      </w:r>
      <w:r>
        <w:rPr>
          <w:w w:val="95"/>
        </w:rPr>
        <w:t>care</w:t>
      </w:r>
      <w:r>
        <w:rPr>
          <w:spacing w:val="-9"/>
          <w:w w:val="95"/>
        </w:rPr>
        <w:t xml:space="preserve"> </w:t>
      </w:r>
      <w:r>
        <w:rPr>
          <w:w w:val="95"/>
        </w:rPr>
        <w:t>while</w:t>
      </w:r>
      <w:r>
        <w:rPr>
          <w:spacing w:val="-9"/>
          <w:w w:val="95"/>
        </w:rPr>
        <w:t xml:space="preserve"> </w:t>
      </w:r>
      <w:r>
        <w:rPr>
          <w:w w:val="95"/>
        </w:rPr>
        <w:t>pure</w:t>
      </w:r>
      <w:r>
        <w:rPr>
          <w:spacing w:val="-9"/>
          <w:w w:val="95"/>
        </w:rPr>
        <w:t xml:space="preserve"> </w:t>
      </w:r>
      <w:r>
        <w:rPr>
          <w:w w:val="95"/>
        </w:rPr>
        <w:t>HITH</w:t>
      </w:r>
      <w:r>
        <w:rPr>
          <w:spacing w:val="-9"/>
          <w:w w:val="95"/>
        </w:rPr>
        <w:t xml:space="preserve"> </w:t>
      </w:r>
      <w:r>
        <w:rPr>
          <w:w w:val="95"/>
        </w:rPr>
        <w:t xml:space="preserve">was 38 percent cheaper than matched hospital care with the </w:t>
      </w:r>
      <w:r>
        <w:t>same or better clinical outcomes</w:t>
      </w:r>
      <w:r>
        <w:rPr>
          <w:position w:val="7"/>
          <w:sz w:val="11"/>
        </w:rPr>
        <w:t>6</w:t>
      </w:r>
      <w:r>
        <w:t>.</w:t>
      </w:r>
    </w:p>
    <w:p w:rsidR="002C1123" w:rsidRDefault="00F22F94">
      <w:pPr>
        <w:pStyle w:val="BodyText"/>
        <w:spacing w:before="146" w:line="249" w:lineRule="auto"/>
        <w:ind w:left="492" w:right="1307"/>
      </w:pPr>
      <w:r>
        <w:rPr>
          <w:w w:val="95"/>
        </w:rPr>
        <w:t>NSW</w:t>
      </w:r>
      <w:r>
        <w:rPr>
          <w:spacing w:val="-8"/>
          <w:w w:val="95"/>
        </w:rPr>
        <w:t xml:space="preserve"> </w:t>
      </w:r>
      <w:r>
        <w:rPr>
          <w:w w:val="95"/>
        </w:rPr>
        <w:t>Health</w:t>
      </w:r>
      <w:r>
        <w:rPr>
          <w:spacing w:val="-8"/>
          <w:w w:val="95"/>
        </w:rPr>
        <w:t xml:space="preserve"> </w:t>
      </w:r>
      <w:r>
        <w:rPr>
          <w:w w:val="95"/>
        </w:rPr>
        <w:t>has</w:t>
      </w:r>
      <w:r>
        <w:rPr>
          <w:spacing w:val="-8"/>
          <w:w w:val="95"/>
        </w:rPr>
        <w:t xml:space="preserve"> </w:t>
      </w:r>
      <w:r>
        <w:rPr>
          <w:w w:val="95"/>
        </w:rPr>
        <w:t>actively</w:t>
      </w:r>
      <w:r>
        <w:rPr>
          <w:spacing w:val="-8"/>
          <w:w w:val="95"/>
        </w:rPr>
        <w:t xml:space="preserve"> </w:t>
      </w:r>
      <w:r>
        <w:rPr>
          <w:w w:val="95"/>
        </w:rPr>
        <w:t>stimulated</w:t>
      </w:r>
      <w:r>
        <w:rPr>
          <w:spacing w:val="-8"/>
          <w:w w:val="95"/>
        </w:rPr>
        <w:t xml:space="preserve"> </w:t>
      </w:r>
      <w:r>
        <w:rPr>
          <w:w w:val="95"/>
        </w:rPr>
        <w:t>the</w:t>
      </w:r>
      <w:r>
        <w:rPr>
          <w:spacing w:val="-8"/>
          <w:w w:val="95"/>
        </w:rPr>
        <w:t xml:space="preserve"> </w:t>
      </w:r>
      <w:r>
        <w:rPr>
          <w:w w:val="95"/>
        </w:rPr>
        <w:t xml:space="preserve">‘Hospital </w:t>
      </w:r>
      <w:r>
        <w:t>at</w:t>
      </w:r>
      <w:r>
        <w:rPr>
          <w:spacing w:val="-8"/>
        </w:rPr>
        <w:t xml:space="preserve"> </w:t>
      </w:r>
      <w:r>
        <w:t>Home’</w:t>
      </w:r>
      <w:r>
        <w:rPr>
          <w:spacing w:val="-8"/>
        </w:rPr>
        <w:t xml:space="preserve"> </w:t>
      </w:r>
      <w:r>
        <w:t>services</w:t>
      </w:r>
      <w:r>
        <w:rPr>
          <w:spacing w:val="-8"/>
        </w:rPr>
        <w:t xml:space="preserve"> </w:t>
      </w:r>
      <w:r>
        <w:t>sector</w:t>
      </w:r>
      <w:r>
        <w:rPr>
          <w:spacing w:val="-8"/>
        </w:rPr>
        <w:t xml:space="preserve"> </w:t>
      </w:r>
      <w:r>
        <w:t>and</w:t>
      </w:r>
      <w:r>
        <w:rPr>
          <w:spacing w:val="-8"/>
        </w:rPr>
        <w:t xml:space="preserve"> </w:t>
      </w:r>
      <w:r>
        <w:t>has</w:t>
      </w:r>
      <w:r>
        <w:rPr>
          <w:spacing w:val="-8"/>
        </w:rPr>
        <w:t xml:space="preserve"> </w:t>
      </w:r>
      <w:r>
        <w:t>invested</w:t>
      </w:r>
      <w:r>
        <w:rPr>
          <w:spacing w:val="-8"/>
        </w:rPr>
        <w:t xml:space="preserve"> </w:t>
      </w:r>
      <w:r>
        <w:t>in eHealth</w:t>
      </w:r>
      <w:r>
        <w:rPr>
          <w:spacing w:val="-11"/>
        </w:rPr>
        <w:t xml:space="preserve"> </w:t>
      </w:r>
      <w:r>
        <w:t>programs.</w:t>
      </w:r>
    </w:p>
    <w:p w:rsidR="002C1123" w:rsidRDefault="00F22F94">
      <w:pPr>
        <w:pStyle w:val="BodyText"/>
        <w:spacing w:before="144" w:line="249" w:lineRule="auto"/>
        <w:ind w:left="492" w:right="646"/>
      </w:pPr>
      <w:r>
        <w:t>Information</w:t>
      </w:r>
      <w:r>
        <w:rPr>
          <w:spacing w:val="-14"/>
        </w:rPr>
        <w:t xml:space="preserve"> </w:t>
      </w:r>
      <w:r>
        <w:t>and</w:t>
      </w:r>
      <w:r>
        <w:rPr>
          <w:spacing w:val="-14"/>
        </w:rPr>
        <w:t xml:space="preserve"> </w:t>
      </w:r>
      <w:r>
        <w:t>communication</w:t>
      </w:r>
      <w:r>
        <w:rPr>
          <w:spacing w:val="-14"/>
        </w:rPr>
        <w:t xml:space="preserve"> </w:t>
      </w:r>
      <w:r>
        <w:t>technology</w:t>
      </w:r>
      <w:r>
        <w:rPr>
          <w:spacing w:val="-14"/>
        </w:rPr>
        <w:t xml:space="preserve"> </w:t>
      </w:r>
      <w:r>
        <w:t>(ICT) solutions</w:t>
      </w:r>
      <w:r>
        <w:rPr>
          <w:spacing w:val="-9"/>
        </w:rPr>
        <w:t xml:space="preserve"> </w:t>
      </w:r>
      <w:r>
        <w:t>have</w:t>
      </w:r>
      <w:r>
        <w:rPr>
          <w:spacing w:val="-9"/>
        </w:rPr>
        <w:t xml:space="preserve"> </w:t>
      </w:r>
      <w:r>
        <w:t>proven</w:t>
      </w:r>
      <w:r>
        <w:rPr>
          <w:spacing w:val="-9"/>
        </w:rPr>
        <w:t xml:space="preserve"> </w:t>
      </w:r>
      <w:r>
        <w:t>capability</w:t>
      </w:r>
      <w:r>
        <w:rPr>
          <w:spacing w:val="-9"/>
        </w:rPr>
        <w:t xml:space="preserve"> </w:t>
      </w:r>
      <w:r>
        <w:t>to</w:t>
      </w:r>
      <w:r>
        <w:rPr>
          <w:spacing w:val="-9"/>
        </w:rPr>
        <w:t xml:space="preserve"> </w:t>
      </w:r>
      <w:r>
        <w:t>support</w:t>
      </w:r>
      <w:r>
        <w:rPr>
          <w:spacing w:val="-9"/>
        </w:rPr>
        <w:t xml:space="preserve"> </w:t>
      </w:r>
      <w:r>
        <w:t>models</w:t>
      </w:r>
      <w:r>
        <w:rPr>
          <w:spacing w:val="-9"/>
        </w:rPr>
        <w:t xml:space="preserve"> </w:t>
      </w:r>
      <w:r>
        <w:t xml:space="preserve">of </w:t>
      </w:r>
      <w:r>
        <w:rPr>
          <w:w w:val="95"/>
        </w:rPr>
        <w:t>care</w:t>
      </w:r>
      <w:r>
        <w:rPr>
          <w:spacing w:val="-2"/>
          <w:w w:val="95"/>
        </w:rPr>
        <w:t xml:space="preserve"> </w:t>
      </w:r>
      <w:r>
        <w:rPr>
          <w:w w:val="95"/>
        </w:rPr>
        <w:t>that</w:t>
      </w:r>
      <w:r>
        <w:rPr>
          <w:spacing w:val="-2"/>
          <w:w w:val="95"/>
        </w:rPr>
        <w:t xml:space="preserve"> </w:t>
      </w:r>
      <w:r>
        <w:rPr>
          <w:w w:val="95"/>
        </w:rPr>
        <w:t>cost</w:t>
      </w:r>
      <w:r>
        <w:rPr>
          <w:spacing w:val="-2"/>
          <w:w w:val="95"/>
        </w:rPr>
        <w:t xml:space="preserve"> </w:t>
      </w:r>
      <w:r>
        <w:rPr>
          <w:w w:val="95"/>
        </w:rPr>
        <w:t>effectively</w:t>
      </w:r>
      <w:r>
        <w:rPr>
          <w:spacing w:val="-2"/>
          <w:w w:val="95"/>
        </w:rPr>
        <w:t xml:space="preserve"> </w:t>
      </w:r>
      <w:r>
        <w:rPr>
          <w:w w:val="95"/>
        </w:rPr>
        <w:t>shift</w:t>
      </w:r>
      <w:r>
        <w:rPr>
          <w:spacing w:val="-2"/>
          <w:w w:val="95"/>
        </w:rPr>
        <w:t xml:space="preserve"> </w:t>
      </w:r>
      <w:r>
        <w:rPr>
          <w:w w:val="95"/>
        </w:rPr>
        <w:t>some</w:t>
      </w:r>
      <w:r>
        <w:rPr>
          <w:spacing w:val="-2"/>
          <w:w w:val="95"/>
        </w:rPr>
        <w:t xml:space="preserve"> </w:t>
      </w:r>
      <w:r>
        <w:rPr>
          <w:w w:val="95"/>
        </w:rPr>
        <w:t>of</w:t>
      </w:r>
      <w:r>
        <w:rPr>
          <w:spacing w:val="-2"/>
          <w:w w:val="95"/>
        </w:rPr>
        <w:t xml:space="preserve"> </w:t>
      </w:r>
      <w:r>
        <w:rPr>
          <w:w w:val="95"/>
        </w:rPr>
        <w:t>the</w:t>
      </w:r>
      <w:r>
        <w:rPr>
          <w:spacing w:val="-2"/>
          <w:w w:val="95"/>
        </w:rPr>
        <w:t xml:space="preserve"> </w:t>
      </w:r>
      <w:r>
        <w:rPr>
          <w:w w:val="95"/>
        </w:rPr>
        <w:t>demand</w:t>
      </w:r>
      <w:r>
        <w:rPr>
          <w:spacing w:val="-2"/>
          <w:w w:val="95"/>
        </w:rPr>
        <w:t xml:space="preserve"> </w:t>
      </w:r>
      <w:r>
        <w:rPr>
          <w:w w:val="95"/>
        </w:rPr>
        <w:t xml:space="preserve">curve </w:t>
      </w:r>
      <w:r>
        <w:t>away</w:t>
      </w:r>
      <w:r>
        <w:rPr>
          <w:spacing w:val="-14"/>
        </w:rPr>
        <w:t xml:space="preserve"> </w:t>
      </w:r>
      <w:r>
        <w:t>from</w:t>
      </w:r>
      <w:r>
        <w:rPr>
          <w:spacing w:val="-14"/>
        </w:rPr>
        <w:t xml:space="preserve"> </w:t>
      </w:r>
      <w:r>
        <w:t>hospitals.</w:t>
      </w:r>
      <w:r>
        <w:rPr>
          <w:spacing w:val="-14"/>
        </w:rPr>
        <w:t xml:space="preserve"> </w:t>
      </w:r>
      <w:r>
        <w:t>Telemedicine,</w:t>
      </w:r>
      <w:r>
        <w:rPr>
          <w:spacing w:val="-14"/>
        </w:rPr>
        <w:t xml:space="preserve"> </w:t>
      </w:r>
      <w:r>
        <w:t>remote</w:t>
      </w:r>
      <w:r>
        <w:rPr>
          <w:spacing w:val="-14"/>
        </w:rPr>
        <w:t xml:space="preserve"> </w:t>
      </w:r>
      <w:r>
        <w:t>monitoring and</w:t>
      </w:r>
      <w:r>
        <w:rPr>
          <w:spacing w:val="-13"/>
        </w:rPr>
        <w:t xml:space="preserve"> </w:t>
      </w:r>
      <w:r>
        <w:t>other</w:t>
      </w:r>
      <w:r>
        <w:rPr>
          <w:spacing w:val="-13"/>
        </w:rPr>
        <w:t xml:space="preserve"> </w:t>
      </w:r>
      <w:r>
        <w:t>innovations</w:t>
      </w:r>
      <w:r>
        <w:rPr>
          <w:spacing w:val="-13"/>
        </w:rPr>
        <w:t xml:space="preserve"> </w:t>
      </w:r>
      <w:r>
        <w:t>in</w:t>
      </w:r>
      <w:r>
        <w:rPr>
          <w:spacing w:val="-13"/>
        </w:rPr>
        <w:t xml:space="preserve"> </w:t>
      </w:r>
      <w:r>
        <w:t>technology</w:t>
      </w:r>
      <w:r>
        <w:rPr>
          <w:spacing w:val="-13"/>
        </w:rPr>
        <w:t xml:space="preserve"> </w:t>
      </w:r>
      <w:r>
        <w:t>also</w:t>
      </w:r>
      <w:r>
        <w:rPr>
          <w:spacing w:val="-13"/>
        </w:rPr>
        <w:t xml:space="preserve"> </w:t>
      </w:r>
      <w:r>
        <w:t>provide</w:t>
      </w:r>
      <w:r>
        <w:rPr>
          <w:spacing w:val="-13"/>
        </w:rPr>
        <w:t xml:space="preserve"> </w:t>
      </w:r>
      <w:r>
        <w:t>a</w:t>
      </w:r>
    </w:p>
    <w:p w:rsidR="002C1123" w:rsidRDefault="002C1123">
      <w:pPr>
        <w:spacing w:line="249" w:lineRule="auto"/>
        <w:sectPr w:rsidR="002C1123">
          <w:type w:val="continuous"/>
          <w:pgSz w:w="16840" w:h="11910" w:orient="landscape"/>
          <w:pgMar w:top="560" w:right="280" w:bottom="280" w:left="500" w:header="0" w:footer="517" w:gutter="0"/>
          <w:cols w:num="4" w:space="720" w:equalWidth="0">
            <w:col w:w="5171" w:space="40"/>
            <w:col w:w="1631" w:space="39"/>
            <w:col w:w="2790" w:space="383"/>
            <w:col w:w="6006"/>
          </w:cols>
        </w:sectPr>
      </w:pPr>
    </w:p>
    <w:p w:rsidR="002C1123" w:rsidRDefault="002C1123">
      <w:pPr>
        <w:pStyle w:val="BodyText"/>
        <w:spacing w:before="3"/>
        <w:rPr>
          <w:sz w:val="25"/>
        </w:rPr>
      </w:pPr>
    </w:p>
    <w:p w:rsidR="002C1123" w:rsidRDefault="002060EF">
      <w:pPr>
        <w:pStyle w:val="BodyText"/>
        <w:spacing w:line="20" w:lineRule="exact"/>
        <w:ind w:left="10545"/>
        <w:rPr>
          <w:sz w:val="2"/>
        </w:rPr>
      </w:pPr>
      <w:r>
        <w:rPr>
          <w:sz w:val="2"/>
        </w:rPr>
      </w:r>
      <w:r>
        <w:rPr>
          <w:sz w:val="2"/>
        </w:rPr>
        <w:pict>
          <v:group id="docshapegroup2413" o:spid="_x0000_s1604" style="width:1in;height:.5pt;mso-position-horizontal-relative:char;mso-position-vertical-relative:line" coordsize="1440,10">
            <v:line id="_x0000_s1605" style="position:absolute" from="0,5" to="1440,5" strokecolor="#9c9c9d" strokeweight=".5pt"/>
            <w10:anchorlock/>
          </v:group>
        </w:pict>
      </w:r>
    </w:p>
    <w:p w:rsidR="002C1123" w:rsidRDefault="00F22F94">
      <w:pPr>
        <w:pStyle w:val="ListParagraph"/>
        <w:numPr>
          <w:ilvl w:val="0"/>
          <w:numId w:val="46"/>
        </w:numPr>
        <w:tabs>
          <w:tab w:val="left" w:pos="10745"/>
        </w:tabs>
        <w:spacing w:before="8" w:line="161" w:lineRule="exact"/>
        <w:ind w:left="10744" w:hanging="200"/>
        <w:jc w:val="left"/>
        <w:rPr>
          <w:sz w:val="14"/>
        </w:rPr>
      </w:pPr>
      <w:r>
        <w:rPr>
          <w:w w:val="95"/>
          <w:sz w:val="14"/>
        </w:rPr>
        <w:t>PwC</w:t>
      </w:r>
      <w:r>
        <w:rPr>
          <w:spacing w:val="-1"/>
          <w:w w:val="95"/>
          <w:sz w:val="14"/>
        </w:rPr>
        <w:t xml:space="preserve"> </w:t>
      </w:r>
      <w:r>
        <w:rPr>
          <w:w w:val="95"/>
          <w:sz w:val="14"/>
        </w:rPr>
        <w:t>2012,</w:t>
      </w:r>
      <w:r>
        <w:rPr>
          <w:spacing w:val="-1"/>
          <w:w w:val="95"/>
          <w:sz w:val="14"/>
        </w:rPr>
        <w:t xml:space="preserve"> </w:t>
      </w:r>
      <w:r>
        <w:rPr>
          <w:w w:val="95"/>
          <w:sz w:val="14"/>
        </w:rPr>
        <w:t>Health</w:t>
      </w:r>
      <w:r>
        <w:rPr>
          <w:spacing w:val="-1"/>
          <w:w w:val="95"/>
          <w:sz w:val="14"/>
        </w:rPr>
        <w:t xml:space="preserve"> </w:t>
      </w:r>
      <w:r>
        <w:rPr>
          <w:w w:val="95"/>
          <w:sz w:val="14"/>
        </w:rPr>
        <w:t>Baseline</w:t>
      </w:r>
      <w:r>
        <w:rPr>
          <w:spacing w:val="-1"/>
          <w:w w:val="95"/>
          <w:sz w:val="14"/>
        </w:rPr>
        <w:t xml:space="preserve"> </w:t>
      </w:r>
      <w:r>
        <w:rPr>
          <w:spacing w:val="-2"/>
          <w:w w:val="95"/>
          <w:sz w:val="14"/>
        </w:rPr>
        <w:t>Report.</w:t>
      </w:r>
    </w:p>
    <w:p w:rsidR="002C1123" w:rsidRDefault="00F22F94">
      <w:pPr>
        <w:pStyle w:val="ListParagraph"/>
        <w:numPr>
          <w:ilvl w:val="0"/>
          <w:numId w:val="46"/>
        </w:numPr>
        <w:tabs>
          <w:tab w:val="left" w:pos="10745"/>
        </w:tabs>
        <w:spacing w:line="161" w:lineRule="exact"/>
        <w:ind w:left="10744" w:hanging="200"/>
        <w:jc w:val="left"/>
        <w:rPr>
          <w:sz w:val="14"/>
        </w:rPr>
      </w:pPr>
      <w:r>
        <w:rPr>
          <w:w w:val="95"/>
          <w:sz w:val="14"/>
        </w:rPr>
        <w:t>MacIntyre,</w:t>
      </w:r>
      <w:r>
        <w:rPr>
          <w:spacing w:val="-1"/>
          <w:w w:val="95"/>
          <w:sz w:val="14"/>
        </w:rPr>
        <w:t xml:space="preserve"> </w:t>
      </w:r>
      <w:r>
        <w:rPr>
          <w:w w:val="95"/>
          <w:sz w:val="14"/>
        </w:rPr>
        <w:t>C.,</w:t>
      </w:r>
      <w:r>
        <w:rPr>
          <w:spacing w:val="-1"/>
          <w:w w:val="95"/>
          <w:sz w:val="14"/>
        </w:rPr>
        <w:t xml:space="preserve"> </w:t>
      </w:r>
      <w:r>
        <w:rPr>
          <w:w w:val="95"/>
          <w:sz w:val="14"/>
        </w:rPr>
        <w:t>Ruth,</w:t>
      </w:r>
      <w:r>
        <w:rPr>
          <w:spacing w:val="-1"/>
          <w:w w:val="95"/>
          <w:sz w:val="14"/>
        </w:rPr>
        <w:t xml:space="preserve"> </w:t>
      </w:r>
      <w:r>
        <w:rPr>
          <w:w w:val="95"/>
          <w:sz w:val="14"/>
        </w:rPr>
        <w:t>D.,</w:t>
      </w:r>
      <w:r>
        <w:rPr>
          <w:spacing w:val="-2"/>
          <w:sz w:val="14"/>
        </w:rPr>
        <w:t xml:space="preserve"> </w:t>
      </w:r>
      <w:r>
        <w:rPr>
          <w:w w:val="95"/>
          <w:sz w:val="14"/>
        </w:rPr>
        <w:t>and</w:t>
      </w:r>
      <w:r>
        <w:rPr>
          <w:spacing w:val="-1"/>
          <w:w w:val="95"/>
          <w:sz w:val="14"/>
        </w:rPr>
        <w:t xml:space="preserve"> </w:t>
      </w:r>
      <w:r>
        <w:rPr>
          <w:w w:val="95"/>
          <w:sz w:val="14"/>
        </w:rPr>
        <w:t>Ansari,</w:t>
      </w:r>
      <w:r>
        <w:rPr>
          <w:spacing w:val="-1"/>
          <w:w w:val="95"/>
          <w:sz w:val="14"/>
        </w:rPr>
        <w:t xml:space="preserve"> </w:t>
      </w:r>
      <w:r>
        <w:rPr>
          <w:w w:val="95"/>
          <w:sz w:val="14"/>
        </w:rPr>
        <w:t>Z.</w:t>
      </w:r>
      <w:r>
        <w:rPr>
          <w:spacing w:val="-2"/>
          <w:sz w:val="14"/>
        </w:rPr>
        <w:t xml:space="preserve"> </w:t>
      </w:r>
      <w:r>
        <w:rPr>
          <w:w w:val="95"/>
          <w:sz w:val="14"/>
        </w:rPr>
        <w:t>2002;</w:t>
      </w:r>
      <w:r>
        <w:rPr>
          <w:spacing w:val="-1"/>
          <w:w w:val="95"/>
          <w:sz w:val="14"/>
        </w:rPr>
        <w:t xml:space="preserve"> </w:t>
      </w:r>
      <w:r>
        <w:rPr>
          <w:w w:val="95"/>
          <w:sz w:val="14"/>
        </w:rPr>
        <w:t>cited</w:t>
      </w:r>
      <w:r>
        <w:rPr>
          <w:spacing w:val="-1"/>
          <w:w w:val="95"/>
          <w:sz w:val="14"/>
        </w:rPr>
        <w:t xml:space="preserve"> </w:t>
      </w:r>
      <w:r>
        <w:rPr>
          <w:w w:val="95"/>
          <w:sz w:val="14"/>
        </w:rPr>
        <w:t>by</w:t>
      </w:r>
      <w:r>
        <w:rPr>
          <w:spacing w:val="-2"/>
          <w:sz w:val="14"/>
        </w:rPr>
        <w:t xml:space="preserve"> </w:t>
      </w:r>
      <w:r>
        <w:rPr>
          <w:spacing w:val="-4"/>
          <w:w w:val="95"/>
          <w:sz w:val="14"/>
        </w:rPr>
        <w:t>PwC.</w:t>
      </w:r>
    </w:p>
    <w:p w:rsidR="002C1123" w:rsidRDefault="002C1123">
      <w:pPr>
        <w:spacing w:line="161" w:lineRule="exact"/>
        <w:rPr>
          <w:sz w:val="14"/>
        </w:rPr>
        <w:sectPr w:rsidR="002C1123">
          <w:type w:val="continuous"/>
          <w:pgSz w:w="16840" w:h="11910" w:orient="landscape"/>
          <w:pgMar w:top="560" w:right="280" w:bottom="280" w:left="500" w:header="0" w:footer="517"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C1123">
      <w:pPr>
        <w:rPr>
          <w:sz w:val="19"/>
        </w:rPr>
        <w:sectPr w:rsidR="002C1123">
          <w:headerReference w:type="default" r:id="rId226"/>
          <w:footerReference w:type="default" r:id="rId227"/>
          <w:pgSz w:w="16840" w:h="11910" w:orient="landscape"/>
          <w:pgMar w:top="560" w:right="280" w:bottom="700" w:left="500" w:header="0" w:footer="517" w:gutter="0"/>
          <w:cols w:space="720"/>
        </w:sectPr>
      </w:pPr>
    </w:p>
    <w:p w:rsidR="002C1123" w:rsidRDefault="00F22F94">
      <w:pPr>
        <w:pStyle w:val="BodyText"/>
        <w:spacing w:before="106" w:line="249" w:lineRule="auto"/>
        <w:ind w:left="491"/>
      </w:pPr>
      <w:bookmarkStart w:id="349" w:name="_bookmark246"/>
      <w:bookmarkEnd w:id="349"/>
      <w:r>
        <w:t>platform</w:t>
      </w:r>
      <w:r>
        <w:rPr>
          <w:spacing w:val="-13"/>
        </w:rPr>
        <w:t xml:space="preserve"> </w:t>
      </w:r>
      <w:r>
        <w:t>for</w:t>
      </w:r>
      <w:r>
        <w:rPr>
          <w:spacing w:val="-12"/>
        </w:rPr>
        <w:t xml:space="preserve"> </w:t>
      </w:r>
      <w:r>
        <w:t>greater</w:t>
      </w:r>
      <w:r>
        <w:rPr>
          <w:spacing w:val="-12"/>
        </w:rPr>
        <w:t xml:space="preserve"> </w:t>
      </w:r>
      <w:r>
        <w:t>efficiency</w:t>
      </w:r>
      <w:r>
        <w:rPr>
          <w:spacing w:val="-12"/>
        </w:rPr>
        <w:t xml:space="preserve"> </w:t>
      </w:r>
      <w:r>
        <w:t>and</w:t>
      </w:r>
      <w:r>
        <w:rPr>
          <w:spacing w:val="-12"/>
        </w:rPr>
        <w:t xml:space="preserve"> </w:t>
      </w:r>
      <w:r>
        <w:t>enable</w:t>
      </w:r>
      <w:r>
        <w:rPr>
          <w:spacing w:val="-12"/>
        </w:rPr>
        <w:t xml:space="preserve"> </w:t>
      </w:r>
      <w:r>
        <w:t>improved care.</w:t>
      </w:r>
      <w:r>
        <w:rPr>
          <w:spacing w:val="-14"/>
        </w:rPr>
        <w:t xml:space="preserve"> </w:t>
      </w:r>
      <w:r>
        <w:t>Capacity</w:t>
      </w:r>
      <w:r>
        <w:rPr>
          <w:spacing w:val="-14"/>
        </w:rPr>
        <w:t xml:space="preserve"> </w:t>
      </w:r>
      <w:r>
        <w:t>for</w:t>
      </w:r>
      <w:r>
        <w:rPr>
          <w:spacing w:val="-14"/>
        </w:rPr>
        <w:t xml:space="preserve"> </w:t>
      </w:r>
      <w:r>
        <w:t>real</w:t>
      </w:r>
      <w:r>
        <w:rPr>
          <w:spacing w:val="-14"/>
        </w:rPr>
        <w:t xml:space="preserve"> </w:t>
      </w:r>
      <w:r>
        <w:t>time</w:t>
      </w:r>
      <w:r>
        <w:rPr>
          <w:spacing w:val="-13"/>
        </w:rPr>
        <w:t xml:space="preserve"> </w:t>
      </w:r>
      <w:r>
        <w:t>transfer</w:t>
      </w:r>
      <w:r>
        <w:rPr>
          <w:spacing w:val="-14"/>
        </w:rPr>
        <w:t xml:space="preserve"> </w:t>
      </w:r>
      <w:r>
        <w:t>of</w:t>
      </w:r>
      <w:r>
        <w:rPr>
          <w:spacing w:val="-14"/>
        </w:rPr>
        <w:t xml:space="preserve"> </w:t>
      </w:r>
      <w:r>
        <w:t>patient</w:t>
      </w:r>
      <w:r>
        <w:rPr>
          <w:spacing w:val="-14"/>
        </w:rPr>
        <w:t xml:space="preserve"> </w:t>
      </w:r>
      <w:r>
        <w:t xml:space="preserve">records </w:t>
      </w:r>
      <w:r>
        <w:rPr>
          <w:w w:val="95"/>
        </w:rPr>
        <w:t>between</w:t>
      </w:r>
      <w:r>
        <w:rPr>
          <w:spacing w:val="-3"/>
          <w:w w:val="95"/>
        </w:rPr>
        <w:t xml:space="preserve"> </w:t>
      </w:r>
      <w:r>
        <w:rPr>
          <w:w w:val="95"/>
        </w:rPr>
        <w:t>a</w:t>
      </w:r>
      <w:r>
        <w:rPr>
          <w:spacing w:val="-3"/>
          <w:w w:val="95"/>
        </w:rPr>
        <w:t xml:space="preserve"> </w:t>
      </w:r>
      <w:r>
        <w:rPr>
          <w:w w:val="95"/>
        </w:rPr>
        <w:t>patient’s</w:t>
      </w:r>
      <w:r>
        <w:rPr>
          <w:spacing w:val="-3"/>
          <w:w w:val="95"/>
        </w:rPr>
        <w:t xml:space="preserve"> </w:t>
      </w:r>
      <w:r>
        <w:rPr>
          <w:w w:val="95"/>
        </w:rPr>
        <w:t>clinicians,</w:t>
      </w:r>
      <w:r>
        <w:rPr>
          <w:spacing w:val="-3"/>
          <w:w w:val="95"/>
        </w:rPr>
        <w:t xml:space="preserve"> </w:t>
      </w:r>
      <w:r>
        <w:rPr>
          <w:w w:val="95"/>
        </w:rPr>
        <w:t>removing</w:t>
      </w:r>
      <w:r>
        <w:rPr>
          <w:spacing w:val="-3"/>
          <w:w w:val="95"/>
        </w:rPr>
        <w:t xml:space="preserve"> </w:t>
      </w:r>
      <w:r>
        <w:rPr>
          <w:w w:val="95"/>
        </w:rPr>
        <w:t>scope</w:t>
      </w:r>
      <w:r>
        <w:rPr>
          <w:spacing w:val="-3"/>
          <w:w w:val="95"/>
        </w:rPr>
        <w:t xml:space="preserve"> </w:t>
      </w:r>
      <w:r>
        <w:rPr>
          <w:w w:val="95"/>
        </w:rPr>
        <w:t>for</w:t>
      </w:r>
      <w:r>
        <w:rPr>
          <w:spacing w:val="-3"/>
          <w:w w:val="95"/>
        </w:rPr>
        <w:t xml:space="preserve"> </w:t>
      </w:r>
      <w:r>
        <w:rPr>
          <w:w w:val="95"/>
        </w:rPr>
        <w:t xml:space="preserve">errors </w:t>
      </w:r>
      <w:r>
        <w:t>in</w:t>
      </w:r>
      <w:r>
        <w:rPr>
          <w:spacing w:val="-13"/>
        </w:rPr>
        <w:t xml:space="preserve"> </w:t>
      </w:r>
      <w:r>
        <w:t>administering</w:t>
      </w:r>
      <w:r>
        <w:rPr>
          <w:spacing w:val="-13"/>
        </w:rPr>
        <w:t xml:space="preserve"> </w:t>
      </w:r>
      <w:r>
        <w:t>medication,</w:t>
      </w:r>
      <w:r>
        <w:rPr>
          <w:spacing w:val="-13"/>
        </w:rPr>
        <w:t xml:space="preserve"> </w:t>
      </w:r>
      <w:r>
        <w:t>more</w:t>
      </w:r>
      <w:r>
        <w:rPr>
          <w:spacing w:val="-13"/>
        </w:rPr>
        <w:t xml:space="preserve"> </w:t>
      </w:r>
      <w:r>
        <w:t>efficient</w:t>
      </w:r>
      <w:r>
        <w:rPr>
          <w:spacing w:val="-13"/>
        </w:rPr>
        <w:t xml:space="preserve"> </w:t>
      </w:r>
      <w:r>
        <w:t>in-hospital administrative</w:t>
      </w:r>
      <w:r>
        <w:rPr>
          <w:spacing w:val="-10"/>
        </w:rPr>
        <w:t xml:space="preserve"> </w:t>
      </w:r>
      <w:r>
        <w:t>systems</w:t>
      </w:r>
      <w:r>
        <w:rPr>
          <w:spacing w:val="-11"/>
        </w:rPr>
        <w:t xml:space="preserve"> </w:t>
      </w:r>
      <w:r>
        <w:t>and</w:t>
      </w:r>
      <w:r>
        <w:rPr>
          <w:spacing w:val="-10"/>
        </w:rPr>
        <w:t xml:space="preserve"> </w:t>
      </w:r>
      <w:r>
        <w:t>capacity</w:t>
      </w:r>
      <w:r>
        <w:rPr>
          <w:spacing w:val="-11"/>
        </w:rPr>
        <w:t xml:space="preserve"> </w:t>
      </w:r>
      <w:r>
        <w:t>for</w:t>
      </w:r>
      <w:r>
        <w:rPr>
          <w:spacing w:val="-10"/>
        </w:rPr>
        <w:t xml:space="preserve"> </w:t>
      </w:r>
      <w:r>
        <w:t>remote treatment</w:t>
      </w:r>
      <w:r>
        <w:rPr>
          <w:spacing w:val="-11"/>
        </w:rPr>
        <w:t xml:space="preserve"> </w:t>
      </w:r>
      <w:r>
        <w:t>and</w:t>
      </w:r>
      <w:r>
        <w:rPr>
          <w:spacing w:val="-11"/>
        </w:rPr>
        <w:t xml:space="preserve"> </w:t>
      </w:r>
      <w:r>
        <w:t>diagnosis</w:t>
      </w:r>
      <w:r>
        <w:rPr>
          <w:spacing w:val="-11"/>
        </w:rPr>
        <w:t xml:space="preserve"> </w:t>
      </w:r>
      <w:r>
        <w:t>offer</w:t>
      </w:r>
      <w:r>
        <w:rPr>
          <w:spacing w:val="-11"/>
        </w:rPr>
        <w:t xml:space="preserve"> </w:t>
      </w:r>
      <w:r>
        <w:t>enormous</w:t>
      </w:r>
      <w:r>
        <w:rPr>
          <w:spacing w:val="-11"/>
        </w:rPr>
        <w:t xml:space="preserve"> </w:t>
      </w:r>
      <w:r>
        <w:t>potential</w:t>
      </w:r>
      <w:r>
        <w:rPr>
          <w:spacing w:val="-11"/>
        </w:rPr>
        <w:t xml:space="preserve"> </w:t>
      </w:r>
      <w:r>
        <w:t>for transforming</w:t>
      </w:r>
      <w:r>
        <w:rPr>
          <w:spacing w:val="-3"/>
        </w:rPr>
        <w:t xml:space="preserve"> </w:t>
      </w:r>
      <w:r>
        <w:t>health</w:t>
      </w:r>
      <w:r>
        <w:rPr>
          <w:spacing w:val="-3"/>
        </w:rPr>
        <w:t xml:space="preserve"> </w:t>
      </w:r>
      <w:r>
        <w:t>care</w:t>
      </w:r>
      <w:r>
        <w:rPr>
          <w:spacing w:val="-3"/>
        </w:rPr>
        <w:t xml:space="preserve"> </w:t>
      </w:r>
      <w:r>
        <w:t>service</w:t>
      </w:r>
      <w:r>
        <w:rPr>
          <w:spacing w:val="-3"/>
        </w:rPr>
        <w:t xml:space="preserve"> </w:t>
      </w:r>
      <w:r>
        <w:t>models.</w:t>
      </w:r>
    </w:p>
    <w:p w:rsidR="002C1123" w:rsidRDefault="00F22F94">
      <w:pPr>
        <w:pStyle w:val="Heading6"/>
        <w:spacing w:before="147" w:line="249" w:lineRule="auto"/>
        <w:ind w:left="1086" w:hanging="595"/>
      </w:pPr>
      <w:r>
        <w:rPr>
          <w:color w:val="00AEEF"/>
        </w:rPr>
        <w:t xml:space="preserve">13.3.2 Developing partnerships with the private </w:t>
      </w:r>
      <w:r>
        <w:rPr>
          <w:color w:val="00AEEF"/>
          <w:spacing w:val="-2"/>
        </w:rPr>
        <w:t>sector</w:t>
      </w:r>
      <w:r>
        <w:rPr>
          <w:color w:val="00AEEF"/>
          <w:spacing w:val="-12"/>
        </w:rPr>
        <w:t xml:space="preserve"> </w:t>
      </w:r>
      <w:r>
        <w:rPr>
          <w:color w:val="00AEEF"/>
          <w:spacing w:val="-2"/>
        </w:rPr>
        <w:t>(including</w:t>
      </w:r>
      <w:r>
        <w:rPr>
          <w:color w:val="00AEEF"/>
          <w:spacing w:val="-12"/>
        </w:rPr>
        <w:t xml:space="preserve"> </w:t>
      </w:r>
      <w:r>
        <w:rPr>
          <w:color w:val="00AEEF"/>
          <w:spacing w:val="-2"/>
        </w:rPr>
        <w:t>not-for-profit)</w:t>
      </w:r>
      <w:r>
        <w:rPr>
          <w:color w:val="00AEEF"/>
          <w:spacing w:val="-12"/>
        </w:rPr>
        <w:t xml:space="preserve"> </w:t>
      </w:r>
      <w:r>
        <w:rPr>
          <w:color w:val="00AEEF"/>
          <w:spacing w:val="-2"/>
        </w:rPr>
        <w:t>to</w:t>
      </w:r>
      <w:r>
        <w:rPr>
          <w:color w:val="00AEEF"/>
          <w:spacing w:val="-12"/>
        </w:rPr>
        <w:t xml:space="preserve"> </w:t>
      </w:r>
      <w:r>
        <w:rPr>
          <w:color w:val="00AEEF"/>
          <w:spacing w:val="-2"/>
        </w:rPr>
        <w:t xml:space="preserve">increase </w:t>
      </w:r>
      <w:r>
        <w:rPr>
          <w:color w:val="00AEEF"/>
        </w:rPr>
        <w:t>out of hospital care</w:t>
      </w:r>
    </w:p>
    <w:p w:rsidR="002C1123" w:rsidRDefault="00F22F94">
      <w:pPr>
        <w:pStyle w:val="BodyText"/>
        <w:spacing w:before="88" w:line="249" w:lineRule="auto"/>
        <w:ind w:left="491" w:right="437"/>
      </w:pPr>
      <w:r>
        <w:t>Primary</w:t>
      </w:r>
      <w:r>
        <w:rPr>
          <w:spacing w:val="-13"/>
        </w:rPr>
        <w:t xml:space="preserve"> </w:t>
      </w:r>
      <w:r>
        <w:t>interactions</w:t>
      </w:r>
      <w:r>
        <w:rPr>
          <w:spacing w:val="-13"/>
        </w:rPr>
        <w:t xml:space="preserve"> </w:t>
      </w:r>
      <w:r>
        <w:t>with</w:t>
      </w:r>
      <w:r>
        <w:rPr>
          <w:spacing w:val="-13"/>
        </w:rPr>
        <w:t xml:space="preserve"> </w:t>
      </w:r>
      <w:r>
        <w:t>the</w:t>
      </w:r>
      <w:r>
        <w:rPr>
          <w:spacing w:val="-13"/>
        </w:rPr>
        <w:t xml:space="preserve"> </w:t>
      </w:r>
      <w:r>
        <w:t>health</w:t>
      </w:r>
      <w:r>
        <w:rPr>
          <w:spacing w:val="-13"/>
        </w:rPr>
        <w:t xml:space="preserve"> </w:t>
      </w:r>
      <w:r>
        <w:t>care</w:t>
      </w:r>
      <w:r>
        <w:rPr>
          <w:spacing w:val="-13"/>
        </w:rPr>
        <w:t xml:space="preserve"> </w:t>
      </w:r>
      <w:r>
        <w:t xml:space="preserve">system </w:t>
      </w:r>
      <w:r>
        <w:rPr>
          <w:spacing w:val="-2"/>
        </w:rPr>
        <w:t>occur</w:t>
      </w:r>
      <w:r>
        <w:rPr>
          <w:spacing w:val="-9"/>
        </w:rPr>
        <w:t xml:space="preserve"> </w:t>
      </w:r>
      <w:r>
        <w:rPr>
          <w:spacing w:val="-2"/>
        </w:rPr>
        <w:t>at</w:t>
      </w:r>
      <w:r>
        <w:rPr>
          <w:spacing w:val="-9"/>
        </w:rPr>
        <w:t xml:space="preserve"> </w:t>
      </w:r>
      <w:r>
        <w:rPr>
          <w:spacing w:val="-2"/>
        </w:rPr>
        <w:t>a</w:t>
      </w:r>
      <w:r>
        <w:rPr>
          <w:spacing w:val="-9"/>
        </w:rPr>
        <w:t xml:space="preserve"> </w:t>
      </w:r>
      <w:r>
        <w:rPr>
          <w:spacing w:val="-2"/>
        </w:rPr>
        <w:t>local</w:t>
      </w:r>
      <w:r>
        <w:rPr>
          <w:spacing w:val="-9"/>
        </w:rPr>
        <w:t xml:space="preserve"> </w:t>
      </w:r>
      <w:r>
        <w:rPr>
          <w:spacing w:val="-2"/>
        </w:rPr>
        <w:t>level.</w:t>
      </w:r>
      <w:r>
        <w:rPr>
          <w:spacing w:val="-9"/>
        </w:rPr>
        <w:t xml:space="preserve"> </w:t>
      </w:r>
      <w:r>
        <w:rPr>
          <w:spacing w:val="-2"/>
        </w:rPr>
        <w:t>As</w:t>
      </w:r>
      <w:r>
        <w:rPr>
          <w:spacing w:val="-9"/>
        </w:rPr>
        <w:t xml:space="preserve"> </w:t>
      </w:r>
      <w:r>
        <w:rPr>
          <w:spacing w:val="-2"/>
        </w:rPr>
        <w:t>the</w:t>
      </w:r>
      <w:r>
        <w:rPr>
          <w:spacing w:val="-9"/>
        </w:rPr>
        <w:t xml:space="preserve"> </w:t>
      </w:r>
      <w:r>
        <w:rPr>
          <w:spacing w:val="-2"/>
        </w:rPr>
        <w:t>primary</w:t>
      </w:r>
      <w:r>
        <w:rPr>
          <w:spacing w:val="-9"/>
        </w:rPr>
        <w:t xml:space="preserve"> </w:t>
      </w:r>
      <w:r>
        <w:rPr>
          <w:spacing w:val="-2"/>
        </w:rPr>
        <w:t>coordinator</w:t>
      </w:r>
      <w:r>
        <w:rPr>
          <w:spacing w:val="-9"/>
        </w:rPr>
        <w:t xml:space="preserve"> </w:t>
      </w:r>
      <w:r>
        <w:rPr>
          <w:spacing w:val="-2"/>
        </w:rPr>
        <w:t xml:space="preserve">of </w:t>
      </w:r>
      <w:r>
        <w:rPr>
          <w:w w:val="95"/>
        </w:rPr>
        <w:t>a</w:t>
      </w:r>
      <w:r>
        <w:rPr>
          <w:spacing w:val="-5"/>
          <w:w w:val="95"/>
        </w:rPr>
        <w:t xml:space="preserve"> </w:t>
      </w:r>
      <w:r>
        <w:rPr>
          <w:w w:val="95"/>
        </w:rPr>
        <w:t>patient’s</w:t>
      </w:r>
      <w:r>
        <w:rPr>
          <w:spacing w:val="-5"/>
          <w:w w:val="95"/>
        </w:rPr>
        <w:t xml:space="preserve"> </w:t>
      </w:r>
      <w:r>
        <w:rPr>
          <w:w w:val="95"/>
        </w:rPr>
        <w:t>out</w:t>
      </w:r>
      <w:r>
        <w:rPr>
          <w:spacing w:val="-5"/>
          <w:w w:val="95"/>
        </w:rPr>
        <w:t xml:space="preserve"> </w:t>
      </w:r>
      <w:r>
        <w:rPr>
          <w:w w:val="95"/>
        </w:rPr>
        <w:t>of</w:t>
      </w:r>
      <w:r>
        <w:rPr>
          <w:spacing w:val="-5"/>
          <w:w w:val="95"/>
        </w:rPr>
        <w:t xml:space="preserve"> </w:t>
      </w:r>
      <w:r>
        <w:rPr>
          <w:w w:val="95"/>
        </w:rPr>
        <w:t>hospital</w:t>
      </w:r>
      <w:r>
        <w:rPr>
          <w:spacing w:val="-5"/>
          <w:w w:val="95"/>
        </w:rPr>
        <w:t xml:space="preserve"> </w:t>
      </w:r>
      <w:r>
        <w:rPr>
          <w:w w:val="95"/>
        </w:rPr>
        <w:t>care,</w:t>
      </w:r>
      <w:r>
        <w:rPr>
          <w:spacing w:val="-5"/>
          <w:w w:val="95"/>
        </w:rPr>
        <w:t xml:space="preserve"> </w:t>
      </w:r>
      <w:r>
        <w:rPr>
          <w:w w:val="95"/>
        </w:rPr>
        <w:t>general</w:t>
      </w:r>
      <w:r>
        <w:rPr>
          <w:spacing w:val="-5"/>
          <w:w w:val="95"/>
        </w:rPr>
        <w:t xml:space="preserve"> </w:t>
      </w:r>
      <w:r>
        <w:rPr>
          <w:w w:val="95"/>
        </w:rPr>
        <w:t xml:space="preserve">practitioners </w:t>
      </w:r>
      <w:r>
        <w:rPr>
          <w:spacing w:val="-2"/>
        </w:rPr>
        <w:t>(GPs)</w:t>
      </w:r>
      <w:r>
        <w:rPr>
          <w:spacing w:val="-8"/>
        </w:rPr>
        <w:t xml:space="preserve"> </w:t>
      </w:r>
      <w:r>
        <w:rPr>
          <w:spacing w:val="-2"/>
        </w:rPr>
        <w:t>are</w:t>
      </w:r>
      <w:r>
        <w:rPr>
          <w:spacing w:val="-8"/>
        </w:rPr>
        <w:t xml:space="preserve"> </w:t>
      </w:r>
      <w:r>
        <w:rPr>
          <w:spacing w:val="-2"/>
        </w:rPr>
        <w:t>integral</w:t>
      </w:r>
      <w:r>
        <w:rPr>
          <w:spacing w:val="-8"/>
        </w:rPr>
        <w:t xml:space="preserve"> </w:t>
      </w:r>
      <w:r>
        <w:rPr>
          <w:spacing w:val="-2"/>
        </w:rPr>
        <w:t>to</w:t>
      </w:r>
      <w:r>
        <w:rPr>
          <w:spacing w:val="-8"/>
        </w:rPr>
        <w:t xml:space="preserve"> </w:t>
      </w:r>
      <w:r>
        <w:rPr>
          <w:spacing w:val="-2"/>
        </w:rPr>
        <w:t>planning</w:t>
      </w:r>
      <w:r>
        <w:rPr>
          <w:spacing w:val="-8"/>
        </w:rPr>
        <w:t xml:space="preserve"> </w:t>
      </w:r>
      <w:r>
        <w:rPr>
          <w:spacing w:val="-2"/>
        </w:rPr>
        <w:t>for</w:t>
      </w:r>
      <w:r>
        <w:rPr>
          <w:spacing w:val="-8"/>
        </w:rPr>
        <w:t xml:space="preserve"> </w:t>
      </w:r>
      <w:r>
        <w:rPr>
          <w:spacing w:val="-2"/>
        </w:rPr>
        <w:t>primary</w:t>
      </w:r>
      <w:r>
        <w:rPr>
          <w:spacing w:val="-8"/>
        </w:rPr>
        <w:t xml:space="preserve"> </w:t>
      </w:r>
      <w:r>
        <w:rPr>
          <w:spacing w:val="-2"/>
        </w:rPr>
        <w:t xml:space="preserve">health </w:t>
      </w:r>
      <w:r>
        <w:t>care</w:t>
      </w:r>
      <w:r>
        <w:rPr>
          <w:spacing w:val="-13"/>
        </w:rPr>
        <w:t xml:space="preserve"> </w:t>
      </w:r>
      <w:r>
        <w:t>and</w:t>
      </w:r>
      <w:r>
        <w:rPr>
          <w:spacing w:val="-13"/>
        </w:rPr>
        <w:t xml:space="preserve"> </w:t>
      </w:r>
      <w:r>
        <w:t>its</w:t>
      </w:r>
      <w:r>
        <w:rPr>
          <w:spacing w:val="-13"/>
        </w:rPr>
        <w:t xml:space="preserve"> </w:t>
      </w:r>
      <w:r>
        <w:t>effective</w:t>
      </w:r>
      <w:r>
        <w:rPr>
          <w:spacing w:val="-13"/>
        </w:rPr>
        <w:t xml:space="preserve"> </w:t>
      </w:r>
      <w:r>
        <w:t>and</w:t>
      </w:r>
      <w:r>
        <w:rPr>
          <w:spacing w:val="-13"/>
        </w:rPr>
        <w:t xml:space="preserve"> </w:t>
      </w:r>
      <w:r>
        <w:t>efficient</w:t>
      </w:r>
      <w:r>
        <w:rPr>
          <w:spacing w:val="-13"/>
        </w:rPr>
        <w:t xml:space="preserve"> </w:t>
      </w:r>
      <w:r>
        <w:t>integration</w:t>
      </w:r>
      <w:r>
        <w:rPr>
          <w:spacing w:val="-13"/>
        </w:rPr>
        <w:t xml:space="preserve"> </w:t>
      </w:r>
      <w:r>
        <w:t>with hospital-based</w:t>
      </w:r>
      <w:r>
        <w:rPr>
          <w:spacing w:val="-11"/>
        </w:rPr>
        <w:t xml:space="preserve"> </w:t>
      </w:r>
      <w:r>
        <w:t>services.</w:t>
      </w:r>
    </w:p>
    <w:p w:rsidR="002C1123" w:rsidRDefault="00F22F94">
      <w:pPr>
        <w:pStyle w:val="BodyText"/>
        <w:spacing w:before="147" w:line="249" w:lineRule="auto"/>
        <w:ind w:left="491" w:right="61"/>
      </w:pPr>
      <w:r>
        <w:t>A</w:t>
      </w:r>
      <w:r>
        <w:rPr>
          <w:spacing w:val="-9"/>
        </w:rPr>
        <w:t xml:space="preserve"> </w:t>
      </w:r>
      <w:r>
        <w:t>combination</w:t>
      </w:r>
      <w:r>
        <w:rPr>
          <w:spacing w:val="-9"/>
        </w:rPr>
        <w:t xml:space="preserve"> </w:t>
      </w:r>
      <w:r>
        <w:t>of</w:t>
      </w:r>
      <w:r>
        <w:rPr>
          <w:spacing w:val="-9"/>
        </w:rPr>
        <w:t xml:space="preserve"> </w:t>
      </w:r>
      <w:r>
        <w:t>population</w:t>
      </w:r>
      <w:r>
        <w:rPr>
          <w:spacing w:val="-9"/>
        </w:rPr>
        <w:t xml:space="preserve"> </w:t>
      </w:r>
      <w:r>
        <w:t>age</w:t>
      </w:r>
      <w:r>
        <w:rPr>
          <w:spacing w:val="-9"/>
        </w:rPr>
        <w:t xml:space="preserve"> </w:t>
      </w:r>
      <w:r>
        <w:t>and</w:t>
      </w:r>
      <w:r>
        <w:rPr>
          <w:spacing w:val="-9"/>
        </w:rPr>
        <w:t xml:space="preserve"> </w:t>
      </w:r>
      <w:r>
        <w:t xml:space="preserve">lifestyle-based </w:t>
      </w:r>
      <w:r>
        <w:rPr>
          <w:w w:val="95"/>
        </w:rPr>
        <w:t>diseases</w:t>
      </w:r>
      <w:r>
        <w:rPr>
          <w:spacing w:val="-5"/>
          <w:w w:val="95"/>
        </w:rPr>
        <w:t xml:space="preserve"> </w:t>
      </w:r>
      <w:r>
        <w:rPr>
          <w:w w:val="95"/>
        </w:rPr>
        <w:t>generate</w:t>
      </w:r>
      <w:r>
        <w:rPr>
          <w:spacing w:val="-5"/>
          <w:w w:val="95"/>
        </w:rPr>
        <w:t xml:space="preserve"> </w:t>
      </w:r>
      <w:r>
        <w:rPr>
          <w:w w:val="95"/>
        </w:rPr>
        <w:t>demand</w:t>
      </w:r>
      <w:r>
        <w:rPr>
          <w:spacing w:val="-5"/>
          <w:w w:val="95"/>
        </w:rPr>
        <w:t xml:space="preserve"> </w:t>
      </w:r>
      <w:r>
        <w:rPr>
          <w:w w:val="95"/>
        </w:rPr>
        <w:t>for</w:t>
      </w:r>
      <w:r>
        <w:rPr>
          <w:spacing w:val="-5"/>
          <w:w w:val="95"/>
        </w:rPr>
        <w:t xml:space="preserve"> </w:t>
      </w:r>
      <w:r>
        <w:rPr>
          <w:w w:val="95"/>
        </w:rPr>
        <w:t>health</w:t>
      </w:r>
      <w:r>
        <w:rPr>
          <w:spacing w:val="-5"/>
          <w:w w:val="95"/>
        </w:rPr>
        <w:t xml:space="preserve"> </w:t>
      </w:r>
      <w:r>
        <w:rPr>
          <w:w w:val="95"/>
        </w:rPr>
        <w:t>services.</w:t>
      </w:r>
      <w:r>
        <w:rPr>
          <w:spacing w:val="-5"/>
          <w:w w:val="95"/>
        </w:rPr>
        <w:t xml:space="preserve"> </w:t>
      </w:r>
      <w:r>
        <w:rPr>
          <w:w w:val="95"/>
        </w:rPr>
        <w:t>As</w:t>
      </w:r>
      <w:r>
        <w:rPr>
          <w:spacing w:val="-5"/>
          <w:w w:val="95"/>
        </w:rPr>
        <w:t xml:space="preserve"> </w:t>
      </w:r>
      <w:r>
        <w:rPr>
          <w:w w:val="95"/>
        </w:rPr>
        <w:t xml:space="preserve">such, the interaction and collaboration of providers across the </w:t>
      </w:r>
      <w:r>
        <w:t>continuum</w:t>
      </w:r>
      <w:r>
        <w:rPr>
          <w:spacing w:val="-7"/>
        </w:rPr>
        <w:t xml:space="preserve"> </w:t>
      </w:r>
      <w:r>
        <w:t>of</w:t>
      </w:r>
      <w:r>
        <w:rPr>
          <w:spacing w:val="-6"/>
        </w:rPr>
        <w:t xml:space="preserve"> </w:t>
      </w:r>
      <w:r>
        <w:t>care</w:t>
      </w:r>
      <w:r>
        <w:rPr>
          <w:spacing w:val="-6"/>
        </w:rPr>
        <w:t xml:space="preserve"> </w:t>
      </w:r>
      <w:r>
        <w:t>is</w:t>
      </w:r>
      <w:r>
        <w:rPr>
          <w:spacing w:val="-6"/>
        </w:rPr>
        <w:t xml:space="preserve"> </w:t>
      </w:r>
      <w:r>
        <w:t>important</w:t>
      </w:r>
      <w:r>
        <w:rPr>
          <w:spacing w:val="-6"/>
        </w:rPr>
        <w:t xml:space="preserve"> </w:t>
      </w:r>
      <w:r>
        <w:t>in</w:t>
      </w:r>
      <w:r>
        <w:rPr>
          <w:spacing w:val="-6"/>
        </w:rPr>
        <w:t xml:space="preserve"> </w:t>
      </w:r>
      <w:r>
        <w:t>managing</w:t>
      </w:r>
      <w:r>
        <w:rPr>
          <w:spacing w:val="-6"/>
        </w:rPr>
        <w:t xml:space="preserve"> </w:t>
      </w:r>
      <w:r>
        <w:t xml:space="preserve">demand </w:t>
      </w:r>
      <w:r>
        <w:rPr>
          <w:w w:val="95"/>
        </w:rPr>
        <w:t xml:space="preserve">and providing opportunities for innovative care models, </w:t>
      </w:r>
      <w:r>
        <w:t>which</w:t>
      </w:r>
      <w:r>
        <w:rPr>
          <w:spacing w:val="-14"/>
        </w:rPr>
        <w:t xml:space="preserve"> </w:t>
      </w:r>
      <w:r>
        <w:t>might</w:t>
      </w:r>
      <w:r>
        <w:rPr>
          <w:spacing w:val="-14"/>
        </w:rPr>
        <w:t xml:space="preserve"> </w:t>
      </w:r>
      <w:r>
        <w:t>require</w:t>
      </w:r>
      <w:r>
        <w:rPr>
          <w:spacing w:val="-14"/>
        </w:rPr>
        <w:t xml:space="preserve"> </w:t>
      </w:r>
      <w:r>
        <w:t>less</w:t>
      </w:r>
      <w:r>
        <w:rPr>
          <w:spacing w:val="-14"/>
        </w:rPr>
        <w:t xml:space="preserve"> </w:t>
      </w:r>
      <w:r>
        <w:t>capital</w:t>
      </w:r>
      <w:r>
        <w:rPr>
          <w:spacing w:val="-14"/>
        </w:rPr>
        <w:t xml:space="preserve"> </w:t>
      </w:r>
      <w:r>
        <w:t>intensive</w:t>
      </w:r>
      <w:r>
        <w:rPr>
          <w:spacing w:val="-14"/>
        </w:rPr>
        <w:t xml:space="preserve"> </w:t>
      </w:r>
      <w:r>
        <w:t>investments.</w:t>
      </w:r>
    </w:p>
    <w:p w:rsidR="002C1123" w:rsidRDefault="00F22F94">
      <w:pPr>
        <w:pStyle w:val="BodyText"/>
        <w:spacing w:before="146" w:line="249" w:lineRule="auto"/>
        <w:ind w:left="491"/>
      </w:pPr>
      <w:r>
        <w:rPr>
          <w:w w:val="95"/>
        </w:rPr>
        <w:t>Community</w:t>
      </w:r>
      <w:r>
        <w:rPr>
          <w:spacing w:val="-7"/>
          <w:w w:val="95"/>
        </w:rPr>
        <w:t xml:space="preserve"> </w:t>
      </w:r>
      <w:r>
        <w:rPr>
          <w:w w:val="95"/>
        </w:rPr>
        <w:t>health</w:t>
      </w:r>
      <w:r>
        <w:rPr>
          <w:spacing w:val="-7"/>
          <w:w w:val="95"/>
        </w:rPr>
        <w:t xml:space="preserve"> </w:t>
      </w:r>
      <w:r>
        <w:rPr>
          <w:w w:val="95"/>
        </w:rPr>
        <w:t>centres</w:t>
      </w:r>
      <w:r>
        <w:rPr>
          <w:spacing w:val="-7"/>
          <w:w w:val="95"/>
        </w:rPr>
        <w:t xml:space="preserve"> </w:t>
      </w:r>
      <w:r>
        <w:rPr>
          <w:w w:val="95"/>
        </w:rPr>
        <w:t>with</w:t>
      </w:r>
      <w:r>
        <w:rPr>
          <w:spacing w:val="-7"/>
          <w:w w:val="95"/>
        </w:rPr>
        <w:t xml:space="preserve"> </w:t>
      </w:r>
      <w:r>
        <w:rPr>
          <w:w w:val="95"/>
        </w:rPr>
        <w:t>a</w:t>
      </w:r>
      <w:r>
        <w:rPr>
          <w:spacing w:val="-7"/>
          <w:w w:val="95"/>
        </w:rPr>
        <w:t xml:space="preserve"> </w:t>
      </w:r>
      <w:r>
        <w:rPr>
          <w:w w:val="95"/>
        </w:rPr>
        <w:t>mix</w:t>
      </w:r>
      <w:r>
        <w:rPr>
          <w:spacing w:val="-7"/>
          <w:w w:val="95"/>
        </w:rPr>
        <w:t xml:space="preserve"> </w:t>
      </w:r>
      <w:r>
        <w:rPr>
          <w:w w:val="95"/>
        </w:rPr>
        <w:t>of</w:t>
      </w:r>
      <w:r>
        <w:rPr>
          <w:spacing w:val="-7"/>
          <w:w w:val="95"/>
        </w:rPr>
        <w:t xml:space="preserve"> </w:t>
      </w:r>
      <w:r>
        <w:rPr>
          <w:w w:val="95"/>
        </w:rPr>
        <w:t>GP,</w:t>
      </w:r>
      <w:r>
        <w:rPr>
          <w:spacing w:val="-7"/>
          <w:w w:val="95"/>
        </w:rPr>
        <w:t xml:space="preserve"> </w:t>
      </w:r>
      <w:r>
        <w:rPr>
          <w:w w:val="95"/>
        </w:rPr>
        <w:t>public</w:t>
      </w:r>
      <w:r>
        <w:rPr>
          <w:spacing w:val="-7"/>
          <w:w w:val="95"/>
        </w:rPr>
        <w:t xml:space="preserve"> </w:t>
      </w:r>
      <w:r>
        <w:rPr>
          <w:w w:val="95"/>
        </w:rPr>
        <w:t>health and</w:t>
      </w:r>
      <w:r>
        <w:rPr>
          <w:spacing w:val="-1"/>
          <w:w w:val="95"/>
        </w:rPr>
        <w:t xml:space="preserve"> </w:t>
      </w:r>
      <w:r>
        <w:rPr>
          <w:w w:val="95"/>
        </w:rPr>
        <w:t>private</w:t>
      </w:r>
      <w:r>
        <w:rPr>
          <w:spacing w:val="-1"/>
          <w:w w:val="95"/>
        </w:rPr>
        <w:t xml:space="preserve"> </w:t>
      </w:r>
      <w:r>
        <w:rPr>
          <w:w w:val="95"/>
        </w:rPr>
        <w:t>services</w:t>
      </w:r>
      <w:r>
        <w:rPr>
          <w:spacing w:val="-1"/>
          <w:w w:val="95"/>
        </w:rPr>
        <w:t xml:space="preserve"> </w:t>
      </w:r>
      <w:r>
        <w:rPr>
          <w:w w:val="95"/>
        </w:rPr>
        <w:t>(such</w:t>
      </w:r>
      <w:r>
        <w:rPr>
          <w:spacing w:val="-1"/>
          <w:w w:val="95"/>
        </w:rPr>
        <w:t xml:space="preserve"> </w:t>
      </w:r>
      <w:r>
        <w:rPr>
          <w:w w:val="95"/>
        </w:rPr>
        <w:t>as</w:t>
      </w:r>
      <w:r>
        <w:rPr>
          <w:spacing w:val="-1"/>
          <w:w w:val="95"/>
        </w:rPr>
        <w:t xml:space="preserve"> </w:t>
      </w:r>
      <w:r>
        <w:rPr>
          <w:w w:val="95"/>
        </w:rPr>
        <w:t>diagnostics)</w:t>
      </w:r>
      <w:r>
        <w:rPr>
          <w:spacing w:val="-1"/>
          <w:w w:val="95"/>
        </w:rPr>
        <w:t xml:space="preserve"> </w:t>
      </w:r>
      <w:r>
        <w:rPr>
          <w:w w:val="95"/>
        </w:rPr>
        <w:t>have</w:t>
      </w:r>
      <w:r>
        <w:rPr>
          <w:spacing w:val="-1"/>
          <w:w w:val="95"/>
        </w:rPr>
        <w:t xml:space="preserve"> </w:t>
      </w:r>
      <w:r>
        <w:rPr>
          <w:w w:val="95"/>
        </w:rPr>
        <w:t xml:space="preserve">potential </w:t>
      </w:r>
      <w:r>
        <w:t>to</w:t>
      </w:r>
      <w:r>
        <w:rPr>
          <w:spacing w:val="-10"/>
        </w:rPr>
        <w:t xml:space="preserve"> </w:t>
      </w:r>
      <w:r>
        <w:t>provide</w:t>
      </w:r>
      <w:r>
        <w:rPr>
          <w:spacing w:val="-10"/>
        </w:rPr>
        <w:t xml:space="preserve"> </w:t>
      </w:r>
      <w:r>
        <w:t>a</w:t>
      </w:r>
      <w:r>
        <w:rPr>
          <w:spacing w:val="-10"/>
        </w:rPr>
        <w:t xml:space="preserve"> </w:t>
      </w:r>
      <w:r>
        <w:t>convenient</w:t>
      </w:r>
      <w:r>
        <w:rPr>
          <w:spacing w:val="-10"/>
        </w:rPr>
        <w:t xml:space="preserve"> </w:t>
      </w:r>
      <w:r>
        <w:t>local</w:t>
      </w:r>
      <w:r>
        <w:rPr>
          <w:spacing w:val="-10"/>
        </w:rPr>
        <w:t xml:space="preserve"> </w:t>
      </w:r>
      <w:r>
        <w:t>access</w:t>
      </w:r>
      <w:r>
        <w:rPr>
          <w:spacing w:val="-10"/>
        </w:rPr>
        <w:t xml:space="preserve"> </w:t>
      </w:r>
      <w:r>
        <w:t>point</w:t>
      </w:r>
      <w:r>
        <w:rPr>
          <w:spacing w:val="-10"/>
        </w:rPr>
        <w:t xml:space="preserve"> </w:t>
      </w:r>
      <w:r>
        <w:t>to</w:t>
      </w:r>
      <w:r>
        <w:rPr>
          <w:spacing w:val="-10"/>
        </w:rPr>
        <w:t xml:space="preserve"> </w:t>
      </w:r>
      <w:r>
        <w:t>health services</w:t>
      </w:r>
      <w:r>
        <w:rPr>
          <w:spacing w:val="-8"/>
        </w:rPr>
        <w:t xml:space="preserve"> </w:t>
      </w:r>
      <w:r>
        <w:t>that</w:t>
      </w:r>
      <w:r>
        <w:rPr>
          <w:spacing w:val="-8"/>
        </w:rPr>
        <w:t xml:space="preserve"> </w:t>
      </w:r>
      <w:r>
        <w:t>facilitate</w:t>
      </w:r>
      <w:r>
        <w:rPr>
          <w:spacing w:val="-8"/>
        </w:rPr>
        <w:t xml:space="preserve"> </w:t>
      </w:r>
      <w:r>
        <w:t>integrated</w:t>
      </w:r>
      <w:r>
        <w:rPr>
          <w:spacing w:val="-8"/>
        </w:rPr>
        <w:t xml:space="preserve"> </w:t>
      </w:r>
      <w:r>
        <w:t>care.</w:t>
      </w:r>
    </w:p>
    <w:p w:rsidR="002C1123" w:rsidRDefault="00F22F94">
      <w:pPr>
        <w:pStyle w:val="BodyText"/>
        <w:spacing w:before="145" w:line="249" w:lineRule="auto"/>
        <w:ind w:left="491"/>
      </w:pPr>
      <w:r>
        <w:t>The</w:t>
      </w:r>
      <w:r>
        <w:rPr>
          <w:spacing w:val="-5"/>
        </w:rPr>
        <w:t xml:space="preserve"> </w:t>
      </w:r>
      <w:r>
        <w:t>Commonwealth</w:t>
      </w:r>
      <w:r>
        <w:rPr>
          <w:spacing w:val="-5"/>
        </w:rPr>
        <w:t xml:space="preserve"> </w:t>
      </w:r>
      <w:r>
        <w:t>‘Medicare</w:t>
      </w:r>
      <w:r>
        <w:rPr>
          <w:spacing w:val="-5"/>
        </w:rPr>
        <w:t xml:space="preserve"> </w:t>
      </w:r>
      <w:r>
        <w:t>Local’</w:t>
      </w:r>
      <w:r>
        <w:rPr>
          <w:spacing w:val="-5"/>
        </w:rPr>
        <w:t xml:space="preserve"> </w:t>
      </w:r>
      <w:r>
        <w:t>GP</w:t>
      </w:r>
      <w:r>
        <w:rPr>
          <w:spacing w:val="-5"/>
        </w:rPr>
        <w:t xml:space="preserve"> </w:t>
      </w:r>
      <w:r>
        <w:t>Service program</w:t>
      </w:r>
      <w:r>
        <w:rPr>
          <w:spacing w:val="-2"/>
        </w:rPr>
        <w:t xml:space="preserve"> </w:t>
      </w:r>
      <w:r>
        <w:t>targets</w:t>
      </w:r>
      <w:r>
        <w:rPr>
          <w:spacing w:val="-2"/>
        </w:rPr>
        <w:t xml:space="preserve"> </w:t>
      </w:r>
      <w:r>
        <w:t>better</w:t>
      </w:r>
      <w:r>
        <w:rPr>
          <w:spacing w:val="-2"/>
        </w:rPr>
        <w:t xml:space="preserve"> </w:t>
      </w:r>
      <w:r>
        <w:t>co-ordination</w:t>
      </w:r>
      <w:r>
        <w:rPr>
          <w:spacing w:val="-2"/>
        </w:rPr>
        <w:t xml:space="preserve"> </w:t>
      </w:r>
      <w:r>
        <w:t>of</w:t>
      </w:r>
      <w:r>
        <w:rPr>
          <w:spacing w:val="-2"/>
        </w:rPr>
        <w:t xml:space="preserve"> </w:t>
      </w:r>
      <w:r>
        <w:t>care</w:t>
      </w:r>
      <w:r>
        <w:rPr>
          <w:spacing w:val="-2"/>
        </w:rPr>
        <w:t xml:space="preserve"> </w:t>
      </w:r>
      <w:r>
        <w:t>and reducing</w:t>
      </w:r>
      <w:r>
        <w:rPr>
          <w:spacing w:val="-14"/>
        </w:rPr>
        <w:t xml:space="preserve"> </w:t>
      </w:r>
      <w:r>
        <w:t>the</w:t>
      </w:r>
      <w:r>
        <w:rPr>
          <w:spacing w:val="-14"/>
        </w:rPr>
        <w:t xml:space="preserve"> </w:t>
      </w:r>
      <w:r>
        <w:t>pressure</w:t>
      </w:r>
      <w:r>
        <w:rPr>
          <w:spacing w:val="-14"/>
        </w:rPr>
        <w:t xml:space="preserve"> </w:t>
      </w:r>
      <w:r>
        <w:t>on</w:t>
      </w:r>
      <w:r>
        <w:rPr>
          <w:spacing w:val="-14"/>
        </w:rPr>
        <w:t xml:space="preserve"> </w:t>
      </w:r>
      <w:r>
        <w:t>public</w:t>
      </w:r>
      <w:r>
        <w:rPr>
          <w:spacing w:val="-14"/>
        </w:rPr>
        <w:t xml:space="preserve"> </w:t>
      </w:r>
      <w:r>
        <w:t>hospitals</w:t>
      </w:r>
      <w:r>
        <w:rPr>
          <w:spacing w:val="-14"/>
        </w:rPr>
        <w:t xml:space="preserve"> </w:t>
      </w:r>
      <w:r>
        <w:t>as</w:t>
      </w:r>
      <w:r>
        <w:rPr>
          <w:spacing w:val="-14"/>
        </w:rPr>
        <w:t xml:space="preserve"> </w:t>
      </w:r>
      <w:r>
        <w:t>a</w:t>
      </w:r>
      <w:r>
        <w:rPr>
          <w:spacing w:val="-14"/>
        </w:rPr>
        <w:t xml:space="preserve"> </w:t>
      </w:r>
      <w:r>
        <w:t>result</w:t>
      </w:r>
      <w:r>
        <w:rPr>
          <w:spacing w:val="-14"/>
        </w:rPr>
        <w:t xml:space="preserve"> </w:t>
      </w:r>
      <w:r>
        <w:t xml:space="preserve">of </w:t>
      </w:r>
      <w:r>
        <w:rPr>
          <w:w w:val="95"/>
        </w:rPr>
        <w:t xml:space="preserve">providing services to patients who could be better cared </w:t>
      </w:r>
      <w:r>
        <w:t>for</w:t>
      </w:r>
      <w:r>
        <w:rPr>
          <w:spacing w:val="-14"/>
        </w:rPr>
        <w:t xml:space="preserve"> </w:t>
      </w:r>
      <w:r>
        <w:t>in</w:t>
      </w:r>
      <w:r>
        <w:rPr>
          <w:spacing w:val="-14"/>
        </w:rPr>
        <w:t xml:space="preserve"> </w:t>
      </w:r>
      <w:r>
        <w:t>non-acute</w:t>
      </w:r>
      <w:r>
        <w:rPr>
          <w:spacing w:val="-14"/>
        </w:rPr>
        <w:t xml:space="preserve"> </w:t>
      </w:r>
      <w:r>
        <w:t>settings.</w:t>
      </w:r>
      <w:r>
        <w:rPr>
          <w:spacing w:val="-14"/>
        </w:rPr>
        <w:t xml:space="preserve"> </w:t>
      </w:r>
      <w:r>
        <w:t>The</w:t>
      </w:r>
      <w:r>
        <w:rPr>
          <w:spacing w:val="-14"/>
        </w:rPr>
        <w:t xml:space="preserve"> </w:t>
      </w:r>
      <w:r>
        <w:t>GP</w:t>
      </w:r>
      <w:r>
        <w:rPr>
          <w:spacing w:val="-14"/>
        </w:rPr>
        <w:t xml:space="preserve"> </w:t>
      </w:r>
      <w:r>
        <w:t>Service</w:t>
      </w:r>
      <w:r>
        <w:rPr>
          <w:spacing w:val="-14"/>
        </w:rPr>
        <w:t xml:space="preserve"> </w:t>
      </w:r>
      <w:r>
        <w:t>Centres</w:t>
      </w:r>
      <w:r>
        <w:rPr>
          <w:spacing w:val="-14"/>
        </w:rPr>
        <w:t xml:space="preserve"> </w:t>
      </w:r>
      <w:r>
        <w:t>are</w:t>
      </w:r>
    </w:p>
    <w:p w:rsidR="002C1123" w:rsidRDefault="00F22F94">
      <w:pPr>
        <w:pStyle w:val="BodyText"/>
        <w:spacing w:before="106" w:line="249" w:lineRule="auto"/>
        <w:ind w:left="188"/>
      </w:pPr>
      <w:r>
        <w:br w:type="column"/>
      </w:r>
      <w:r>
        <w:rPr>
          <w:w w:val="95"/>
        </w:rPr>
        <w:t>operated</w:t>
      </w:r>
      <w:r>
        <w:rPr>
          <w:spacing w:val="-5"/>
          <w:w w:val="95"/>
        </w:rPr>
        <w:t xml:space="preserve"> </w:t>
      </w:r>
      <w:r>
        <w:rPr>
          <w:w w:val="95"/>
        </w:rPr>
        <w:t>by</w:t>
      </w:r>
      <w:r>
        <w:rPr>
          <w:spacing w:val="-5"/>
          <w:w w:val="95"/>
        </w:rPr>
        <w:t xml:space="preserve"> </w:t>
      </w:r>
      <w:r>
        <w:rPr>
          <w:w w:val="95"/>
        </w:rPr>
        <w:t>the</w:t>
      </w:r>
      <w:r>
        <w:rPr>
          <w:spacing w:val="-5"/>
          <w:w w:val="95"/>
        </w:rPr>
        <w:t xml:space="preserve"> </w:t>
      </w:r>
      <w:r>
        <w:rPr>
          <w:w w:val="95"/>
        </w:rPr>
        <w:t>private</w:t>
      </w:r>
      <w:r>
        <w:rPr>
          <w:spacing w:val="-5"/>
          <w:w w:val="95"/>
        </w:rPr>
        <w:t xml:space="preserve"> </w:t>
      </w:r>
      <w:r>
        <w:rPr>
          <w:w w:val="95"/>
        </w:rPr>
        <w:t>sector</w:t>
      </w:r>
      <w:r>
        <w:rPr>
          <w:spacing w:val="-5"/>
          <w:w w:val="95"/>
        </w:rPr>
        <w:t xml:space="preserve"> </w:t>
      </w:r>
      <w:r>
        <w:rPr>
          <w:w w:val="95"/>
        </w:rPr>
        <w:t>and</w:t>
      </w:r>
      <w:r>
        <w:rPr>
          <w:spacing w:val="-5"/>
          <w:w w:val="95"/>
        </w:rPr>
        <w:t xml:space="preserve"> </w:t>
      </w:r>
      <w:r>
        <w:rPr>
          <w:w w:val="95"/>
        </w:rPr>
        <w:t>deliver</w:t>
      </w:r>
      <w:r>
        <w:rPr>
          <w:spacing w:val="-5"/>
          <w:w w:val="95"/>
        </w:rPr>
        <w:t xml:space="preserve"> </w:t>
      </w:r>
      <w:r>
        <w:rPr>
          <w:w w:val="95"/>
        </w:rPr>
        <w:t>services</w:t>
      </w:r>
      <w:r>
        <w:rPr>
          <w:spacing w:val="-5"/>
          <w:w w:val="95"/>
        </w:rPr>
        <w:t xml:space="preserve"> </w:t>
      </w:r>
      <w:r>
        <w:rPr>
          <w:w w:val="95"/>
        </w:rPr>
        <w:t xml:space="preserve">that </w:t>
      </w:r>
      <w:r>
        <w:t>would</w:t>
      </w:r>
      <w:r>
        <w:rPr>
          <w:spacing w:val="-3"/>
        </w:rPr>
        <w:t xml:space="preserve"> </w:t>
      </w:r>
      <w:r>
        <w:t>otherwise</w:t>
      </w:r>
      <w:r>
        <w:rPr>
          <w:spacing w:val="-3"/>
        </w:rPr>
        <w:t xml:space="preserve"> </w:t>
      </w:r>
      <w:r>
        <w:t>be</w:t>
      </w:r>
      <w:r>
        <w:rPr>
          <w:spacing w:val="-3"/>
        </w:rPr>
        <w:t xml:space="preserve"> </w:t>
      </w:r>
      <w:r>
        <w:t>provided</w:t>
      </w:r>
      <w:r>
        <w:rPr>
          <w:spacing w:val="-3"/>
        </w:rPr>
        <w:t xml:space="preserve"> </w:t>
      </w:r>
      <w:r>
        <w:t>by</w:t>
      </w:r>
      <w:r>
        <w:rPr>
          <w:spacing w:val="-3"/>
        </w:rPr>
        <w:t xml:space="preserve"> </w:t>
      </w:r>
      <w:r>
        <w:t>public</w:t>
      </w:r>
      <w:r>
        <w:rPr>
          <w:spacing w:val="-3"/>
        </w:rPr>
        <w:t xml:space="preserve"> </w:t>
      </w:r>
      <w:r>
        <w:t>hospitals.</w:t>
      </w:r>
    </w:p>
    <w:p w:rsidR="002C1123" w:rsidRDefault="00F22F94">
      <w:pPr>
        <w:pStyle w:val="BodyText"/>
        <w:spacing w:before="143" w:line="249" w:lineRule="auto"/>
        <w:ind w:left="188" w:right="218"/>
      </w:pPr>
      <w:r>
        <w:t>Partnerships</w:t>
      </w:r>
      <w:r>
        <w:rPr>
          <w:spacing w:val="-14"/>
        </w:rPr>
        <w:t xml:space="preserve"> </w:t>
      </w:r>
      <w:r>
        <w:t>with</w:t>
      </w:r>
      <w:r>
        <w:rPr>
          <w:spacing w:val="-14"/>
        </w:rPr>
        <w:t xml:space="preserve"> </w:t>
      </w:r>
      <w:r>
        <w:t>the</w:t>
      </w:r>
      <w:r>
        <w:rPr>
          <w:spacing w:val="-14"/>
        </w:rPr>
        <w:t xml:space="preserve"> </w:t>
      </w:r>
      <w:r>
        <w:t>private</w:t>
      </w:r>
      <w:r>
        <w:rPr>
          <w:spacing w:val="-14"/>
        </w:rPr>
        <w:t xml:space="preserve"> </w:t>
      </w:r>
      <w:r>
        <w:t>sector</w:t>
      </w:r>
      <w:r>
        <w:rPr>
          <w:spacing w:val="-14"/>
        </w:rPr>
        <w:t xml:space="preserve"> </w:t>
      </w:r>
      <w:r>
        <w:t>(including</w:t>
      </w:r>
      <w:r>
        <w:rPr>
          <w:spacing w:val="-14"/>
        </w:rPr>
        <w:t xml:space="preserve"> </w:t>
      </w:r>
      <w:r>
        <w:t xml:space="preserve">AHO </w:t>
      </w:r>
      <w:r>
        <w:rPr>
          <w:w w:val="95"/>
        </w:rPr>
        <w:t>and</w:t>
      </w:r>
      <w:r>
        <w:rPr>
          <w:spacing w:val="-5"/>
          <w:w w:val="95"/>
        </w:rPr>
        <w:t xml:space="preserve"> </w:t>
      </w:r>
      <w:r>
        <w:rPr>
          <w:w w:val="95"/>
        </w:rPr>
        <w:t>not-for-profit)</w:t>
      </w:r>
      <w:r>
        <w:rPr>
          <w:spacing w:val="-5"/>
          <w:w w:val="95"/>
        </w:rPr>
        <w:t xml:space="preserve"> </w:t>
      </w:r>
      <w:r>
        <w:rPr>
          <w:w w:val="95"/>
        </w:rPr>
        <w:t>to</w:t>
      </w:r>
      <w:r>
        <w:rPr>
          <w:spacing w:val="-5"/>
          <w:w w:val="95"/>
        </w:rPr>
        <w:t xml:space="preserve"> </w:t>
      </w:r>
      <w:r>
        <w:rPr>
          <w:w w:val="95"/>
        </w:rPr>
        <w:t>repurpose</w:t>
      </w:r>
      <w:r>
        <w:rPr>
          <w:spacing w:val="-5"/>
          <w:w w:val="95"/>
        </w:rPr>
        <w:t xml:space="preserve"> </w:t>
      </w:r>
      <w:r>
        <w:rPr>
          <w:w w:val="95"/>
        </w:rPr>
        <w:t>existing</w:t>
      </w:r>
      <w:r>
        <w:rPr>
          <w:spacing w:val="-5"/>
          <w:w w:val="95"/>
        </w:rPr>
        <w:t xml:space="preserve"> </w:t>
      </w:r>
      <w:r>
        <w:rPr>
          <w:w w:val="95"/>
        </w:rPr>
        <w:t>infrastructure would expand the delivery of new care models such as "Medicare Local" hospitals in nursing homes and</w:t>
      </w:r>
    </w:p>
    <w:p w:rsidR="002C1123" w:rsidRDefault="002060EF">
      <w:pPr>
        <w:pStyle w:val="BodyText"/>
        <w:spacing w:before="4" w:line="249" w:lineRule="auto"/>
        <w:ind w:left="188"/>
      </w:pPr>
      <w:r>
        <w:pict>
          <v:shape id="docshape2425" o:spid="_x0000_s1603" type="#_x0000_t202" style="position:absolute;left:0;text-align:left;margin-left:300.95pt;margin-top:56.65pt;width:239pt;height:93.35pt;z-index:251655168;mso-position-horizontal-relative:page" fillcolor="#e1e0e1" stroked="f">
            <v:textbox inset="0,0,0,0">
              <w:txbxContent>
                <w:p w:rsidR="00F22F94" w:rsidRDefault="00F22F94">
                  <w:pPr>
                    <w:pStyle w:val="BodyText"/>
                    <w:spacing w:before="68" w:line="249" w:lineRule="auto"/>
                    <w:ind w:left="113" w:right="115"/>
                    <w:rPr>
                      <w:color w:val="000000"/>
                    </w:rPr>
                  </w:pPr>
                  <w:r>
                    <w:rPr>
                      <w:b/>
                      <w:color w:val="00AEEF"/>
                    </w:rPr>
                    <w:t>Recommendation</w:t>
                  </w:r>
                  <w:r>
                    <w:rPr>
                      <w:b/>
                      <w:color w:val="00AEEF"/>
                      <w:spacing w:val="40"/>
                    </w:rPr>
                    <w:t xml:space="preserve"> </w:t>
                  </w:r>
                  <w:r>
                    <w:rPr>
                      <w:color w:val="000000"/>
                    </w:rPr>
                    <w:t>Infrastructure NSW recommends repurposing community and family health</w:t>
                  </w:r>
                  <w:r>
                    <w:rPr>
                      <w:color w:val="000000"/>
                      <w:spacing w:val="-12"/>
                    </w:rPr>
                    <w:t xml:space="preserve"> </w:t>
                  </w:r>
                  <w:r>
                    <w:rPr>
                      <w:color w:val="000000"/>
                    </w:rPr>
                    <w:t>centres</w:t>
                  </w:r>
                  <w:r>
                    <w:rPr>
                      <w:color w:val="000000"/>
                      <w:spacing w:val="-12"/>
                    </w:rPr>
                    <w:t xml:space="preserve"> </w:t>
                  </w:r>
                  <w:r>
                    <w:rPr>
                      <w:color w:val="000000"/>
                    </w:rPr>
                    <w:t>to</w:t>
                  </w:r>
                  <w:r>
                    <w:rPr>
                      <w:color w:val="000000"/>
                      <w:spacing w:val="-12"/>
                    </w:rPr>
                    <w:t xml:space="preserve"> </w:t>
                  </w:r>
                  <w:r>
                    <w:rPr>
                      <w:color w:val="000000"/>
                    </w:rPr>
                    <w:t>deliver</w:t>
                  </w:r>
                  <w:r>
                    <w:rPr>
                      <w:color w:val="000000"/>
                      <w:spacing w:val="-12"/>
                    </w:rPr>
                    <w:t xml:space="preserve"> </w:t>
                  </w:r>
                  <w:r>
                    <w:rPr>
                      <w:color w:val="000000"/>
                    </w:rPr>
                    <w:t>new</w:t>
                  </w:r>
                  <w:r>
                    <w:rPr>
                      <w:color w:val="000000"/>
                      <w:spacing w:val="-12"/>
                    </w:rPr>
                    <w:t xml:space="preserve"> </w:t>
                  </w:r>
                  <w:r>
                    <w:rPr>
                      <w:color w:val="000000"/>
                    </w:rPr>
                    <w:t>models</w:t>
                  </w:r>
                  <w:r>
                    <w:rPr>
                      <w:color w:val="000000"/>
                      <w:spacing w:val="-12"/>
                    </w:rPr>
                    <w:t xml:space="preserve"> </w:t>
                  </w:r>
                  <w:r>
                    <w:rPr>
                      <w:color w:val="000000"/>
                    </w:rPr>
                    <w:t>of</w:t>
                  </w:r>
                  <w:r>
                    <w:rPr>
                      <w:color w:val="000000"/>
                      <w:spacing w:val="-12"/>
                    </w:rPr>
                    <w:t xml:space="preserve"> </w:t>
                  </w:r>
                  <w:r>
                    <w:rPr>
                      <w:color w:val="000000"/>
                    </w:rPr>
                    <w:t>care</w:t>
                  </w:r>
                  <w:r>
                    <w:rPr>
                      <w:color w:val="000000"/>
                      <w:spacing w:val="-12"/>
                    </w:rPr>
                    <w:t xml:space="preserve"> </w:t>
                  </w:r>
                  <w:r>
                    <w:rPr>
                      <w:color w:val="000000"/>
                    </w:rPr>
                    <w:t>and</w:t>
                  </w:r>
                  <w:r>
                    <w:rPr>
                      <w:color w:val="000000"/>
                      <w:spacing w:val="-12"/>
                    </w:rPr>
                    <w:t xml:space="preserve"> </w:t>
                  </w:r>
                  <w:r>
                    <w:rPr>
                      <w:color w:val="000000"/>
                    </w:rPr>
                    <w:t xml:space="preserve">a </w:t>
                  </w:r>
                  <w:r>
                    <w:rPr>
                      <w:color w:val="000000"/>
                      <w:w w:val="95"/>
                    </w:rPr>
                    <w:t>greater</w:t>
                  </w:r>
                  <w:r>
                    <w:rPr>
                      <w:color w:val="000000"/>
                      <w:spacing w:val="-7"/>
                      <w:w w:val="95"/>
                    </w:rPr>
                    <w:t xml:space="preserve"> </w:t>
                  </w:r>
                  <w:r>
                    <w:rPr>
                      <w:color w:val="000000"/>
                      <w:w w:val="95"/>
                    </w:rPr>
                    <w:t>range</w:t>
                  </w:r>
                  <w:r>
                    <w:rPr>
                      <w:color w:val="000000"/>
                      <w:spacing w:val="-7"/>
                      <w:w w:val="95"/>
                    </w:rPr>
                    <w:t xml:space="preserve"> </w:t>
                  </w:r>
                  <w:r>
                    <w:rPr>
                      <w:color w:val="000000"/>
                      <w:w w:val="95"/>
                    </w:rPr>
                    <w:t>of</w:t>
                  </w:r>
                  <w:r>
                    <w:rPr>
                      <w:color w:val="000000"/>
                      <w:spacing w:val="-7"/>
                      <w:w w:val="95"/>
                    </w:rPr>
                    <w:t xml:space="preserve"> </w:t>
                  </w:r>
                  <w:r>
                    <w:rPr>
                      <w:color w:val="000000"/>
                      <w:w w:val="95"/>
                    </w:rPr>
                    <w:t>services,</w:t>
                  </w:r>
                  <w:r>
                    <w:rPr>
                      <w:color w:val="000000"/>
                      <w:spacing w:val="-7"/>
                      <w:w w:val="95"/>
                    </w:rPr>
                    <w:t xml:space="preserve"> </w:t>
                  </w:r>
                  <w:r>
                    <w:rPr>
                      <w:color w:val="000000"/>
                      <w:w w:val="95"/>
                    </w:rPr>
                    <w:t>integrating</w:t>
                  </w:r>
                  <w:r>
                    <w:rPr>
                      <w:color w:val="000000"/>
                      <w:spacing w:val="-7"/>
                      <w:w w:val="95"/>
                    </w:rPr>
                    <w:t xml:space="preserve"> </w:t>
                  </w:r>
                  <w:r>
                    <w:rPr>
                      <w:color w:val="000000"/>
                      <w:w w:val="95"/>
                    </w:rPr>
                    <w:t>Medicare</w:t>
                  </w:r>
                  <w:r>
                    <w:rPr>
                      <w:color w:val="000000"/>
                      <w:spacing w:val="-7"/>
                      <w:w w:val="95"/>
                    </w:rPr>
                    <w:t xml:space="preserve"> </w:t>
                  </w:r>
                  <w:r>
                    <w:rPr>
                      <w:color w:val="000000"/>
                      <w:w w:val="95"/>
                    </w:rPr>
                    <w:t xml:space="preserve">Local </w:t>
                  </w:r>
                  <w:r>
                    <w:rPr>
                      <w:color w:val="000000"/>
                    </w:rPr>
                    <w:t>or</w:t>
                  </w:r>
                  <w:r>
                    <w:rPr>
                      <w:color w:val="000000"/>
                      <w:spacing w:val="-7"/>
                    </w:rPr>
                    <w:t xml:space="preserve"> </w:t>
                  </w:r>
                  <w:r>
                    <w:rPr>
                      <w:color w:val="000000"/>
                    </w:rPr>
                    <w:t>other</w:t>
                  </w:r>
                  <w:r>
                    <w:rPr>
                      <w:color w:val="000000"/>
                      <w:spacing w:val="-7"/>
                    </w:rPr>
                    <w:t xml:space="preserve"> </w:t>
                  </w:r>
                  <w:r>
                    <w:rPr>
                      <w:color w:val="000000"/>
                    </w:rPr>
                    <w:t>GP</w:t>
                  </w:r>
                  <w:r>
                    <w:rPr>
                      <w:color w:val="000000"/>
                      <w:spacing w:val="-7"/>
                    </w:rPr>
                    <w:t xml:space="preserve"> </w:t>
                  </w:r>
                  <w:r>
                    <w:rPr>
                      <w:color w:val="000000"/>
                    </w:rPr>
                    <w:t>services</w:t>
                  </w:r>
                  <w:r>
                    <w:rPr>
                      <w:color w:val="000000"/>
                      <w:spacing w:val="-7"/>
                    </w:rPr>
                    <w:t xml:space="preserve"> </w:t>
                  </w:r>
                  <w:r>
                    <w:rPr>
                      <w:color w:val="000000"/>
                    </w:rPr>
                    <w:t>with</w:t>
                  </w:r>
                  <w:r>
                    <w:rPr>
                      <w:color w:val="000000"/>
                      <w:spacing w:val="-7"/>
                    </w:rPr>
                    <w:t xml:space="preserve"> </w:t>
                  </w:r>
                  <w:r>
                    <w:rPr>
                      <w:color w:val="000000"/>
                    </w:rPr>
                    <w:t>community</w:t>
                  </w:r>
                  <w:r>
                    <w:rPr>
                      <w:color w:val="000000"/>
                      <w:spacing w:val="-7"/>
                    </w:rPr>
                    <w:t xml:space="preserve"> </w:t>
                  </w:r>
                  <w:r>
                    <w:rPr>
                      <w:color w:val="000000"/>
                    </w:rPr>
                    <w:t>and</w:t>
                  </w:r>
                  <w:r>
                    <w:rPr>
                      <w:color w:val="000000"/>
                      <w:spacing w:val="-7"/>
                    </w:rPr>
                    <w:t xml:space="preserve"> </w:t>
                  </w:r>
                  <w:r>
                    <w:rPr>
                      <w:color w:val="000000"/>
                    </w:rPr>
                    <w:t>family health</w:t>
                  </w:r>
                  <w:r>
                    <w:rPr>
                      <w:color w:val="000000"/>
                      <w:spacing w:val="-13"/>
                    </w:rPr>
                    <w:t xml:space="preserve"> </w:t>
                  </w:r>
                  <w:r>
                    <w:rPr>
                      <w:color w:val="000000"/>
                    </w:rPr>
                    <w:t>centres.</w:t>
                  </w:r>
                  <w:r>
                    <w:rPr>
                      <w:color w:val="000000"/>
                      <w:spacing w:val="-13"/>
                    </w:rPr>
                    <w:t xml:space="preserve"> </w:t>
                  </w:r>
                  <w:r>
                    <w:rPr>
                      <w:color w:val="000000"/>
                    </w:rPr>
                    <w:t>A</w:t>
                  </w:r>
                  <w:r>
                    <w:rPr>
                      <w:color w:val="000000"/>
                      <w:spacing w:val="-13"/>
                    </w:rPr>
                    <w:t xml:space="preserve"> </w:t>
                  </w:r>
                  <w:r>
                    <w:rPr>
                      <w:color w:val="000000"/>
                    </w:rPr>
                    <w:t>trial</w:t>
                  </w:r>
                  <w:r>
                    <w:rPr>
                      <w:color w:val="000000"/>
                      <w:spacing w:val="-13"/>
                    </w:rPr>
                    <w:t xml:space="preserve"> </w:t>
                  </w:r>
                  <w:r>
                    <w:rPr>
                      <w:color w:val="000000"/>
                    </w:rPr>
                    <w:t>reconfiguration</w:t>
                  </w:r>
                  <w:r>
                    <w:rPr>
                      <w:color w:val="000000"/>
                      <w:spacing w:val="-13"/>
                    </w:rPr>
                    <w:t xml:space="preserve"> </w:t>
                  </w:r>
                  <w:r>
                    <w:rPr>
                      <w:color w:val="000000"/>
                    </w:rPr>
                    <w:t>program</w:t>
                  </w:r>
                  <w:r>
                    <w:rPr>
                      <w:color w:val="000000"/>
                      <w:spacing w:val="-13"/>
                    </w:rPr>
                    <w:t xml:space="preserve"> </w:t>
                  </w:r>
                  <w:r>
                    <w:rPr>
                      <w:color w:val="000000"/>
                    </w:rPr>
                    <w:t>is recommended as a first stage.</w:t>
                  </w:r>
                </w:p>
              </w:txbxContent>
            </v:textbox>
            <w10:wrap anchorx="page"/>
          </v:shape>
        </w:pict>
      </w:r>
      <w:r w:rsidR="00F22F94">
        <w:rPr>
          <w:w w:val="95"/>
        </w:rPr>
        <w:t>eHealth programs more rapidly than would otherwise be the</w:t>
      </w:r>
      <w:r w:rsidR="00F22F94">
        <w:rPr>
          <w:spacing w:val="-2"/>
          <w:w w:val="95"/>
        </w:rPr>
        <w:t xml:space="preserve"> </w:t>
      </w:r>
      <w:r w:rsidR="00F22F94">
        <w:rPr>
          <w:w w:val="95"/>
        </w:rPr>
        <w:t>case.</w:t>
      </w:r>
      <w:r w:rsidR="00F22F94">
        <w:rPr>
          <w:spacing w:val="-2"/>
          <w:w w:val="95"/>
        </w:rPr>
        <w:t xml:space="preserve"> </w:t>
      </w:r>
      <w:r w:rsidR="00F22F94">
        <w:rPr>
          <w:w w:val="95"/>
        </w:rPr>
        <w:t>The</w:t>
      </w:r>
      <w:r w:rsidR="00F22F94">
        <w:rPr>
          <w:spacing w:val="-2"/>
          <w:w w:val="95"/>
        </w:rPr>
        <w:t xml:space="preserve"> </w:t>
      </w:r>
      <w:r w:rsidR="00F22F94">
        <w:rPr>
          <w:w w:val="95"/>
        </w:rPr>
        <w:t>private</w:t>
      </w:r>
      <w:r w:rsidR="00F22F94">
        <w:rPr>
          <w:spacing w:val="-2"/>
          <w:w w:val="95"/>
        </w:rPr>
        <w:t xml:space="preserve"> </w:t>
      </w:r>
      <w:r w:rsidR="00F22F94">
        <w:rPr>
          <w:w w:val="95"/>
        </w:rPr>
        <w:t>sector</w:t>
      </w:r>
      <w:r w:rsidR="00F22F94">
        <w:rPr>
          <w:spacing w:val="-2"/>
          <w:w w:val="95"/>
        </w:rPr>
        <w:t xml:space="preserve"> </w:t>
      </w:r>
      <w:r w:rsidR="00F22F94">
        <w:rPr>
          <w:w w:val="95"/>
        </w:rPr>
        <w:t>could</w:t>
      </w:r>
      <w:r w:rsidR="00F22F94">
        <w:rPr>
          <w:spacing w:val="-2"/>
          <w:w w:val="95"/>
        </w:rPr>
        <w:t xml:space="preserve"> </w:t>
      </w:r>
      <w:r w:rsidR="00F22F94">
        <w:rPr>
          <w:w w:val="95"/>
        </w:rPr>
        <w:t>become</w:t>
      </w:r>
      <w:r w:rsidR="00F22F94">
        <w:rPr>
          <w:spacing w:val="-2"/>
          <w:w w:val="95"/>
        </w:rPr>
        <w:t xml:space="preserve"> </w:t>
      </w:r>
      <w:r w:rsidR="00F22F94">
        <w:rPr>
          <w:w w:val="95"/>
        </w:rPr>
        <w:t>a</w:t>
      </w:r>
      <w:r w:rsidR="00F22F94">
        <w:rPr>
          <w:spacing w:val="-2"/>
          <w:w w:val="95"/>
        </w:rPr>
        <w:t xml:space="preserve"> </w:t>
      </w:r>
      <w:r w:rsidR="00F22F94">
        <w:rPr>
          <w:w w:val="95"/>
        </w:rPr>
        <w:t xml:space="preserve">co-investor in the repurposing of existing facilities and public health </w:t>
      </w:r>
      <w:r w:rsidR="00F22F94">
        <w:t>service</w:t>
      </w:r>
      <w:r w:rsidR="00F22F94">
        <w:rPr>
          <w:spacing w:val="-5"/>
        </w:rPr>
        <w:t xml:space="preserve"> </w:t>
      </w:r>
      <w:r w:rsidR="00F22F94">
        <w:t>provider</w:t>
      </w:r>
      <w:r w:rsidR="00F22F94">
        <w:rPr>
          <w:spacing w:val="-5"/>
        </w:rPr>
        <w:t xml:space="preserve"> </w:t>
      </w:r>
      <w:r w:rsidR="00F22F94">
        <w:t>from</w:t>
      </w:r>
      <w:r w:rsidR="00F22F94">
        <w:rPr>
          <w:spacing w:val="-5"/>
        </w:rPr>
        <w:t xml:space="preserve"> </w:t>
      </w:r>
      <w:r w:rsidR="00F22F94">
        <w:t>these</w:t>
      </w:r>
      <w:r w:rsidR="00F22F94">
        <w:rPr>
          <w:spacing w:val="-5"/>
        </w:rPr>
        <w:t xml:space="preserve"> </w:t>
      </w:r>
      <w:r w:rsidR="00F22F94">
        <w:t>facilities.</w:t>
      </w: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spacing w:before="6"/>
        <w:rPr>
          <w:sz w:val="31"/>
        </w:rPr>
      </w:pPr>
    </w:p>
    <w:p w:rsidR="002C1123" w:rsidRDefault="00F22F94">
      <w:pPr>
        <w:pStyle w:val="Heading6"/>
        <w:spacing w:before="0" w:line="249" w:lineRule="auto"/>
        <w:ind w:left="783" w:right="1322" w:hanging="595"/>
      </w:pPr>
      <w:r>
        <w:rPr>
          <w:color w:val="00AEEF"/>
          <w:spacing w:val="-2"/>
        </w:rPr>
        <w:t>13.3.3</w:t>
      </w:r>
      <w:r>
        <w:rPr>
          <w:color w:val="00AEEF"/>
          <w:spacing w:val="-12"/>
        </w:rPr>
        <w:t xml:space="preserve"> </w:t>
      </w:r>
      <w:r>
        <w:rPr>
          <w:color w:val="00AEEF"/>
          <w:spacing w:val="-2"/>
        </w:rPr>
        <w:t>Changing</w:t>
      </w:r>
      <w:r>
        <w:rPr>
          <w:color w:val="00AEEF"/>
          <w:spacing w:val="-12"/>
        </w:rPr>
        <w:t xml:space="preserve"> </w:t>
      </w:r>
      <w:r>
        <w:rPr>
          <w:color w:val="00AEEF"/>
          <w:spacing w:val="-2"/>
        </w:rPr>
        <w:t>the</w:t>
      </w:r>
      <w:r>
        <w:rPr>
          <w:color w:val="00AEEF"/>
          <w:spacing w:val="-12"/>
        </w:rPr>
        <w:t xml:space="preserve"> </w:t>
      </w:r>
      <w:r>
        <w:rPr>
          <w:color w:val="00AEEF"/>
          <w:spacing w:val="-2"/>
        </w:rPr>
        <w:t>‘mix’</w:t>
      </w:r>
      <w:r>
        <w:rPr>
          <w:color w:val="00AEEF"/>
          <w:spacing w:val="-12"/>
        </w:rPr>
        <w:t xml:space="preserve"> </w:t>
      </w:r>
      <w:r>
        <w:rPr>
          <w:color w:val="00AEEF"/>
          <w:spacing w:val="-2"/>
        </w:rPr>
        <w:t>–</w:t>
      </w:r>
      <w:r>
        <w:rPr>
          <w:color w:val="00AEEF"/>
          <w:spacing w:val="-12"/>
        </w:rPr>
        <w:t xml:space="preserve"> </w:t>
      </w:r>
      <w:r>
        <w:rPr>
          <w:color w:val="00AEEF"/>
          <w:spacing w:val="-2"/>
        </w:rPr>
        <w:t xml:space="preserve">specialist </w:t>
      </w:r>
      <w:r>
        <w:rPr>
          <w:color w:val="00AEEF"/>
        </w:rPr>
        <w:t>medical facilities</w:t>
      </w:r>
    </w:p>
    <w:p w:rsidR="002C1123" w:rsidRDefault="00F22F94">
      <w:pPr>
        <w:pStyle w:val="BodyText"/>
        <w:spacing w:before="87" w:line="249" w:lineRule="auto"/>
        <w:ind w:left="188"/>
      </w:pPr>
      <w:r>
        <w:t>Australia</w:t>
      </w:r>
      <w:r>
        <w:rPr>
          <w:spacing w:val="-6"/>
        </w:rPr>
        <w:t xml:space="preserve"> </w:t>
      </w:r>
      <w:r>
        <w:t>is</w:t>
      </w:r>
      <w:r>
        <w:rPr>
          <w:spacing w:val="-6"/>
        </w:rPr>
        <w:t xml:space="preserve"> </w:t>
      </w:r>
      <w:r>
        <w:t>now</w:t>
      </w:r>
      <w:r>
        <w:rPr>
          <w:spacing w:val="-6"/>
        </w:rPr>
        <w:t xml:space="preserve"> </w:t>
      </w:r>
      <w:r>
        <w:t>starting</w:t>
      </w:r>
      <w:r>
        <w:rPr>
          <w:spacing w:val="-6"/>
        </w:rPr>
        <w:t xml:space="preserve"> </w:t>
      </w:r>
      <w:r>
        <w:t>to</w:t>
      </w:r>
      <w:r>
        <w:rPr>
          <w:spacing w:val="-6"/>
        </w:rPr>
        <w:t xml:space="preserve"> </w:t>
      </w:r>
      <w:r>
        <w:t>adopt</w:t>
      </w:r>
      <w:r>
        <w:rPr>
          <w:spacing w:val="-6"/>
        </w:rPr>
        <w:t xml:space="preserve"> </w:t>
      </w:r>
      <w:r>
        <w:t>the</w:t>
      </w:r>
      <w:r>
        <w:rPr>
          <w:spacing w:val="-6"/>
        </w:rPr>
        <w:t xml:space="preserve"> </w:t>
      </w:r>
      <w:r>
        <w:t>concept</w:t>
      </w:r>
      <w:r>
        <w:rPr>
          <w:spacing w:val="-6"/>
        </w:rPr>
        <w:t xml:space="preserve"> </w:t>
      </w:r>
      <w:r>
        <w:t xml:space="preserve">of </w:t>
      </w:r>
      <w:r>
        <w:rPr>
          <w:w w:val="95"/>
        </w:rPr>
        <w:t xml:space="preserve">specialist medical facilities (mini specialist hospitals) </w:t>
      </w:r>
      <w:r>
        <w:t>which</w:t>
      </w:r>
      <w:r>
        <w:rPr>
          <w:spacing w:val="-11"/>
        </w:rPr>
        <w:t xml:space="preserve"> </w:t>
      </w:r>
      <w:r>
        <w:t>provide</w:t>
      </w:r>
      <w:r>
        <w:rPr>
          <w:spacing w:val="-11"/>
        </w:rPr>
        <w:t xml:space="preserve"> </w:t>
      </w:r>
      <w:r>
        <w:t>a</w:t>
      </w:r>
      <w:r>
        <w:rPr>
          <w:spacing w:val="-11"/>
        </w:rPr>
        <w:t xml:space="preserve"> </w:t>
      </w:r>
      <w:r>
        <w:t>limited</w:t>
      </w:r>
      <w:r>
        <w:rPr>
          <w:spacing w:val="-11"/>
        </w:rPr>
        <w:t xml:space="preserve"> </w:t>
      </w:r>
      <w:r>
        <w:t>range</w:t>
      </w:r>
      <w:r>
        <w:rPr>
          <w:spacing w:val="-11"/>
        </w:rPr>
        <w:t xml:space="preserve"> </w:t>
      </w:r>
      <w:r>
        <w:t>of</w:t>
      </w:r>
      <w:r>
        <w:rPr>
          <w:spacing w:val="-11"/>
        </w:rPr>
        <w:t xml:space="preserve"> </w:t>
      </w:r>
      <w:r>
        <w:t>medical</w:t>
      </w:r>
      <w:r>
        <w:rPr>
          <w:spacing w:val="-11"/>
        </w:rPr>
        <w:t xml:space="preserve"> </w:t>
      </w:r>
      <w:r>
        <w:t xml:space="preserve">treatments </w:t>
      </w:r>
      <w:r>
        <w:rPr>
          <w:w w:val="95"/>
        </w:rPr>
        <w:t xml:space="preserve">such as dialysis, cancer treatment centres, cardiology </w:t>
      </w:r>
      <w:r>
        <w:t>diagnostics,</w:t>
      </w:r>
      <w:r>
        <w:rPr>
          <w:spacing w:val="-13"/>
        </w:rPr>
        <w:t xml:space="preserve"> </w:t>
      </w:r>
      <w:r>
        <w:t>sleep</w:t>
      </w:r>
      <w:r>
        <w:rPr>
          <w:spacing w:val="-13"/>
        </w:rPr>
        <w:t xml:space="preserve"> </w:t>
      </w:r>
      <w:r>
        <w:t>disorder</w:t>
      </w:r>
      <w:r>
        <w:rPr>
          <w:spacing w:val="-13"/>
        </w:rPr>
        <w:t xml:space="preserve"> </w:t>
      </w:r>
      <w:r>
        <w:t>therapy</w:t>
      </w:r>
      <w:r>
        <w:rPr>
          <w:spacing w:val="-13"/>
        </w:rPr>
        <w:t xml:space="preserve"> </w:t>
      </w:r>
      <w:r>
        <w:t>and</w:t>
      </w:r>
      <w:r>
        <w:rPr>
          <w:spacing w:val="-13"/>
        </w:rPr>
        <w:t xml:space="preserve"> </w:t>
      </w:r>
      <w:r>
        <w:t>day</w:t>
      </w:r>
      <w:r>
        <w:rPr>
          <w:spacing w:val="-13"/>
        </w:rPr>
        <w:t xml:space="preserve"> </w:t>
      </w:r>
      <w:r>
        <w:t>surgery. These</w:t>
      </w:r>
      <w:r>
        <w:rPr>
          <w:spacing w:val="-14"/>
        </w:rPr>
        <w:t xml:space="preserve"> </w:t>
      </w:r>
      <w:r>
        <w:t>facilities</w:t>
      </w:r>
      <w:r>
        <w:rPr>
          <w:spacing w:val="-14"/>
        </w:rPr>
        <w:t xml:space="preserve"> </w:t>
      </w:r>
      <w:r>
        <w:t>are</w:t>
      </w:r>
      <w:r>
        <w:rPr>
          <w:spacing w:val="-14"/>
        </w:rPr>
        <w:t xml:space="preserve"> </w:t>
      </w:r>
      <w:r>
        <w:t>purpose</w:t>
      </w:r>
      <w:r>
        <w:rPr>
          <w:spacing w:val="-14"/>
        </w:rPr>
        <w:t xml:space="preserve"> </w:t>
      </w:r>
      <w:r>
        <w:t>built</w:t>
      </w:r>
      <w:r>
        <w:rPr>
          <w:spacing w:val="-14"/>
        </w:rPr>
        <w:t xml:space="preserve"> </w:t>
      </w:r>
      <w:r>
        <w:t>and</w:t>
      </w:r>
      <w:r>
        <w:rPr>
          <w:spacing w:val="-14"/>
        </w:rPr>
        <w:t xml:space="preserve"> </w:t>
      </w:r>
      <w:r>
        <w:t>operate</w:t>
      </w:r>
      <w:r>
        <w:rPr>
          <w:spacing w:val="-14"/>
        </w:rPr>
        <w:t xml:space="preserve"> </w:t>
      </w:r>
      <w:r>
        <w:t xml:space="preserve">more </w:t>
      </w:r>
      <w:r>
        <w:rPr>
          <w:w w:val="95"/>
        </w:rPr>
        <w:t xml:space="preserve">efficient delivery models. Efficiency is derived partially </w:t>
      </w:r>
      <w:r>
        <w:t>from</w:t>
      </w:r>
      <w:r>
        <w:rPr>
          <w:spacing w:val="-10"/>
        </w:rPr>
        <w:t xml:space="preserve"> </w:t>
      </w:r>
      <w:r>
        <w:t>the</w:t>
      </w:r>
      <w:r>
        <w:rPr>
          <w:spacing w:val="-9"/>
        </w:rPr>
        <w:t xml:space="preserve"> </w:t>
      </w:r>
      <w:r>
        <w:t>medical</w:t>
      </w:r>
      <w:r>
        <w:rPr>
          <w:spacing w:val="-9"/>
        </w:rPr>
        <w:t xml:space="preserve"> </w:t>
      </w:r>
      <w:r>
        <w:t>specialisation,</w:t>
      </w:r>
      <w:r>
        <w:rPr>
          <w:spacing w:val="-9"/>
        </w:rPr>
        <w:t xml:space="preserve"> </w:t>
      </w:r>
      <w:r>
        <w:t>use</w:t>
      </w:r>
      <w:r>
        <w:rPr>
          <w:spacing w:val="-9"/>
        </w:rPr>
        <w:t xml:space="preserve"> </w:t>
      </w:r>
      <w:r>
        <w:t>of</w:t>
      </w:r>
      <w:r>
        <w:rPr>
          <w:spacing w:val="-9"/>
        </w:rPr>
        <w:t xml:space="preserve"> </w:t>
      </w:r>
      <w:r>
        <w:t>cutting</w:t>
      </w:r>
      <w:r>
        <w:rPr>
          <w:spacing w:val="-9"/>
        </w:rPr>
        <w:t xml:space="preserve"> </w:t>
      </w:r>
      <w:r>
        <w:t xml:space="preserve">edge </w:t>
      </w:r>
      <w:r>
        <w:rPr>
          <w:w w:val="95"/>
        </w:rPr>
        <w:t xml:space="preserve">technology and the ability to attract specialist staff who </w:t>
      </w:r>
      <w:r>
        <w:t>wish</w:t>
      </w:r>
      <w:r>
        <w:rPr>
          <w:spacing w:val="-2"/>
        </w:rPr>
        <w:t xml:space="preserve"> </w:t>
      </w:r>
      <w:r>
        <w:t>to</w:t>
      </w:r>
      <w:r>
        <w:rPr>
          <w:spacing w:val="-2"/>
        </w:rPr>
        <w:t xml:space="preserve"> </w:t>
      </w:r>
      <w:r>
        <w:t>work</w:t>
      </w:r>
      <w:r>
        <w:rPr>
          <w:spacing w:val="-2"/>
        </w:rPr>
        <w:t xml:space="preserve"> </w:t>
      </w:r>
      <w:r>
        <w:t>in</w:t>
      </w:r>
      <w:r>
        <w:rPr>
          <w:spacing w:val="-2"/>
        </w:rPr>
        <w:t xml:space="preserve"> </w:t>
      </w:r>
      <w:r>
        <w:t>the</w:t>
      </w:r>
      <w:r>
        <w:rPr>
          <w:spacing w:val="-2"/>
        </w:rPr>
        <w:t xml:space="preserve"> </w:t>
      </w:r>
      <w:r>
        <w:t>given</w:t>
      </w:r>
      <w:r>
        <w:rPr>
          <w:spacing w:val="-2"/>
        </w:rPr>
        <w:t xml:space="preserve"> </w:t>
      </w:r>
      <w:r>
        <w:t>field.</w:t>
      </w:r>
    </w:p>
    <w:p w:rsidR="002C1123" w:rsidRDefault="00F22F94">
      <w:pPr>
        <w:pStyle w:val="BodyText"/>
        <w:spacing w:before="106" w:line="249" w:lineRule="auto"/>
        <w:ind w:left="237" w:right="954"/>
      </w:pPr>
      <w:r>
        <w:br w:type="column"/>
      </w:r>
      <w:r>
        <w:t>In</w:t>
      </w:r>
      <w:r>
        <w:rPr>
          <w:spacing w:val="-14"/>
        </w:rPr>
        <w:t xml:space="preserve"> </w:t>
      </w:r>
      <w:r>
        <w:t>the</w:t>
      </w:r>
      <w:r>
        <w:rPr>
          <w:spacing w:val="-14"/>
        </w:rPr>
        <w:t xml:space="preserve"> </w:t>
      </w:r>
      <w:r>
        <w:t>UK,</w:t>
      </w:r>
      <w:r>
        <w:rPr>
          <w:spacing w:val="-14"/>
        </w:rPr>
        <w:t xml:space="preserve"> </w:t>
      </w:r>
      <w:r>
        <w:t>Independent</w:t>
      </w:r>
      <w:r>
        <w:rPr>
          <w:spacing w:val="-14"/>
        </w:rPr>
        <w:t xml:space="preserve"> </w:t>
      </w:r>
      <w:r>
        <w:t>Sector</w:t>
      </w:r>
      <w:r>
        <w:rPr>
          <w:spacing w:val="-14"/>
        </w:rPr>
        <w:t xml:space="preserve"> </w:t>
      </w:r>
      <w:r>
        <w:t>Treatment</w:t>
      </w:r>
      <w:r>
        <w:rPr>
          <w:spacing w:val="-14"/>
        </w:rPr>
        <w:t xml:space="preserve"> </w:t>
      </w:r>
      <w:r>
        <w:t xml:space="preserve">Centres </w:t>
      </w:r>
      <w:r>
        <w:rPr>
          <w:w w:val="95"/>
        </w:rPr>
        <w:t>demonstrate the role of the private sector in providing elective</w:t>
      </w:r>
      <w:r>
        <w:rPr>
          <w:spacing w:val="-1"/>
          <w:w w:val="95"/>
        </w:rPr>
        <w:t xml:space="preserve"> </w:t>
      </w:r>
      <w:r>
        <w:rPr>
          <w:w w:val="95"/>
        </w:rPr>
        <w:t>surgery,</w:t>
      </w:r>
      <w:r>
        <w:rPr>
          <w:spacing w:val="-1"/>
          <w:w w:val="95"/>
        </w:rPr>
        <w:t xml:space="preserve"> </w:t>
      </w:r>
      <w:r>
        <w:rPr>
          <w:w w:val="95"/>
        </w:rPr>
        <w:t>diagnostic</w:t>
      </w:r>
      <w:r>
        <w:rPr>
          <w:spacing w:val="-1"/>
          <w:w w:val="95"/>
        </w:rPr>
        <w:t xml:space="preserve"> </w:t>
      </w:r>
      <w:r>
        <w:rPr>
          <w:w w:val="95"/>
        </w:rPr>
        <w:t>and</w:t>
      </w:r>
      <w:r>
        <w:rPr>
          <w:spacing w:val="-1"/>
          <w:w w:val="95"/>
        </w:rPr>
        <w:t xml:space="preserve"> </w:t>
      </w:r>
      <w:r>
        <w:rPr>
          <w:w w:val="95"/>
        </w:rPr>
        <w:t>other</w:t>
      </w:r>
      <w:r>
        <w:rPr>
          <w:spacing w:val="-1"/>
          <w:w w:val="95"/>
        </w:rPr>
        <w:t xml:space="preserve"> </w:t>
      </w:r>
      <w:r>
        <w:rPr>
          <w:w w:val="95"/>
        </w:rPr>
        <w:t>clinical</w:t>
      </w:r>
      <w:r>
        <w:rPr>
          <w:spacing w:val="-1"/>
          <w:w w:val="95"/>
        </w:rPr>
        <w:t xml:space="preserve"> </w:t>
      </w:r>
      <w:r>
        <w:rPr>
          <w:w w:val="95"/>
        </w:rPr>
        <w:t xml:space="preserve">services </w:t>
      </w:r>
      <w:r>
        <w:rPr>
          <w:spacing w:val="-2"/>
        </w:rPr>
        <w:t>to</w:t>
      </w:r>
      <w:r>
        <w:rPr>
          <w:spacing w:val="-7"/>
        </w:rPr>
        <w:t xml:space="preserve"> </w:t>
      </w:r>
      <w:r>
        <w:rPr>
          <w:spacing w:val="-2"/>
        </w:rPr>
        <w:t>National</w:t>
      </w:r>
      <w:r>
        <w:rPr>
          <w:spacing w:val="-7"/>
        </w:rPr>
        <w:t xml:space="preserve"> </w:t>
      </w:r>
      <w:r>
        <w:rPr>
          <w:spacing w:val="-2"/>
        </w:rPr>
        <w:t>Health</w:t>
      </w:r>
      <w:r>
        <w:rPr>
          <w:spacing w:val="-7"/>
        </w:rPr>
        <w:t xml:space="preserve"> </w:t>
      </w:r>
      <w:r>
        <w:rPr>
          <w:spacing w:val="-2"/>
        </w:rPr>
        <w:t>Service</w:t>
      </w:r>
      <w:r>
        <w:rPr>
          <w:spacing w:val="-7"/>
        </w:rPr>
        <w:t xml:space="preserve"> </w:t>
      </w:r>
      <w:r>
        <w:rPr>
          <w:spacing w:val="-2"/>
        </w:rPr>
        <w:t>(NHS)</w:t>
      </w:r>
      <w:r>
        <w:rPr>
          <w:spacing w:val="-7"/>
        </w:rPr>
        <w:t xml:space="preserve"> </w:t>
      </w:r>
      <w:r>
        <w:rPr>
          <w:spacing w:val="-2"/>
        </w:rPr>
        <w:t>patients.</w:t>
      </w:r>
      <w:r>
        <w:rPr>
          <w:spacing w:val="-7"/>
        </w:rPr>
        <w:t xml:space="preserve"> </w:t>
      </w:r>
      <w:r>
        <w:rPr>
          <w:spacing w:val="-2"/>
        </w:rPr>
        <w:t>These facilities</w:t>
      </w:r>
      <w:r>
        <w:rPr>
          <w:spacing w:val="-6"/>
        </w:rPr>
        <w:t xml:space="preserve"> </w:t>
      </w:r>
      <w:r>
        <w:rPr>
          <w:spacing w:val="-2"/>
        </w:rPr>
        <w:t>are</w:t>
      </w:r>
      <w:r>
        <w:rPr>
          <w:spacing w:val="-6"/>
        </w:rPr>
        <w:t xml:space="preserve"> </w:t>
      </w:r>
      <w:r>
        <w:rPr>
          <w:spacing w:val="-2"/>
        </w:rPr>
        <w:t>owned</w:t>
      </w:r>
      <w:r>
        <w:rPr>
          <w:spacing w:val="-6"/>
        </w:rPr>
        <w:t xml:space="preserve"> </w:t>
      </w:r>
      <w:r>
        <w:rPr>
          <w:spacing w:val="-2"/>
        </w:rPr>
        <w:t>and</w:t>
      </w:r>
      <w:r>
        <w:rPr>
          <w:spacing w:val="-6"/>
        </w:rPr>
        <w:t xml:space="preserve"> </w:t>
      </w:r>
      <w:r>
        <w:rPr>
          <w:spacing w:val="-2"/>
        </w:rPr>
        <w:t>run</w:t>
      </w:r>
      <w:r>
        <w:rPr>
          <w:spacing w:val="-6"/>
        </w:rPr>
        <w:t xml:space="preserve"> </w:t>
      </w:r>
      <w:r>
        <w:rPr>
          <w:spacing w:val="-2"/>
        </w:rPr>
        <w:t>by</w:t>
      </w:r>
      <w:r>
        <w:rPr>
          <w:spacing w:val="-6"/>
        </w:rPr>
        <w:t xml:space="preserve"> </w:t>
      </w:r>
      <w:r>
        <w:rPr>
          <w:spacing w:val="-2"/>
        </w:rPr>
        <w:t>organisations</w:t>
      </w:r>
      <w:r>
        <w:rPr>
          <w:spacing w:val="-6"/>
        </w:rPr>
        <w:t xml:space="preserve"> </w:t>
      </w:r>
      <w:r>
        <w:rPr>
          <w:spacing w:val="-2"/>
        </w:rPr>
        <w:t xml:space="preserve">outside </w:t>
      </w:r>
      <w:r>
        <w:rPr>
          <w:w w:val="95"/>
        </w:rPr>
        <w:t>the NHS. Involving the private sector was considered a</w:t>
      </w:r>
      <w:r>
        <w:rPr>
          <w:spacing w:val="-8"/>
          <w:w w:val="95"/>
        </w:rPr>
        <w:t xml:space="preserve"> </w:t>
      </w:r>
      <w:r>
        <w:rPr>
          <w:w w:val="95"/>
        </w:rPr>
        <w:t>viable</w:t>
      </w:r>
      <w:r>
        <w:rPr>
          <w:spacing w:val="-8"/>
          <w:w w:val="95"/>
        </w:rPr>
        <w:t xml:space="preserve"> </w:t>
      </w:r>
      <w:r>
        <w:rPr>
          <w:w w:val="95"/>
        </w:rPr>
        <w:t>alternative</w:t>
      </w:r>
      <w:r>
        <w:rPr>
          <w:spacing w:val="-8"/>
          <w:w w:val="95"/>
        </w:rPr>
        <w:t xml:space="preserve"> </w:t>
      </w:r>
      <w:r>
        <w:rPr>
          <w:w w:val="95"/>
        </w:rPr>
        <w:t>for</w:t>
      </w:r>
      <w:r>
        <w:rPr>
          <w:spacing w:val="-8"/>
          <w:w w:val="95"/>
        </w:rPr>
        <w:t xml:space="preserve"> </w:t>
      </w:r>
      <w:r>
        <w:rPr>
          <w:w w:val="95"/>
        </w:rPr>
        <w:t>creating</w:t>
      </w:r>
      <w:r>
        <w:rPr>
          <w:spacing w:val="-8"/>
          <w:w w:val="95"/>
        </w:rPr>
        <w:t xml:space="preserve"> </w:t>
      </w:r>
      <w:r>
        <w:rPr>
          <w:w w:val="95"/>
        </w:rPr>
        <w:t>additional</w:t>
      </w:r>
      <w:r>
        <w:rPr>
          <w:spacing w:val="-8"/>
          <w:w w:val="95"/>
        </w:rPr>
        <w:t xml:space="preserve"> </w:t>
      </w:r>
      <w:r>
        <w:rPr>
          <w:w w:val="95"/>
        </w:rPr>
        <w:t>capacity</w:t>
      </w:r>
      <w:r>
        <w:rPr>
          <w:spacing w:val="-8"/>
          <w:w w:val="95"/>
        </w:rPr>
        <w:t xml:space="preserve"> </w:t>
      </w:r>
      <w:r>
        <w:rPr>
          <w:w w:val="95"/>
        </w:rPr>
        <w:t xml:space="preserve">and </w:t>
      </w:r>
      <w:r>
        <w:rPr>
          <w:spacing w:val="-2"/>
        </w:rPr>
        <w:t>provided</w:t>
      </w:r>
      <w:r>
        <w:rPr>
          <w:spacing w:val="-9"/>
        </w:rPr>
        <w:t xml:space="preserve"> </w:t>
      </w:r>
      <w:r>
        <w:rPr>
          <w:spacing w:val="-2"/>
        </w:rPr>
        <w:t>greater</w:t>
      </w:r>
      <w:r>
        <w:rPr>
          <w:spacing w:val="-9"/>
        </w:rPr>
        <w:t xml:space="preserve"> </w:t>
      </w:r>
      <w:r>
        <w:rPr>
          <w:spacing w:val="-2"/>
        </w:rPr>
        <w:t>choice</w:t>
      </w:r>
      <w:r>
        <w:rPr>
          <w:spacing w:val="-9"/>
        </w:rPr>
        <w:t xml:space="preserve"> </w:t>
      </w:r>
      <w:r>
        <w:rPr>
          <w:spacing w:val="-2"/>
        </w:rPr>
        <w:t>to</w:t>
      </w:r>
      <w:r>
        <w:rPr>
          <w:spacing w:val="-9"/>
        </w:rPr>
        <w:t xml:space="preserve"> </w:t>
      </w:r>
      <w:r>
        <w:rPr>
          <w:spacing w:val="-2"/>
        </w:rPr>
        <w:t>patients.</w:t>
      </w:r>
      <w:r>
        <w:rPr>
          <w:spacing w:val="-9"/>
        </w:rPr>
        <w:t xml:space="preserve"> </w:t>
      </w:r>
      <w:r>
        <w:rPr>
          <w:spacing w:val="-2"/>
        </w:rPr>
        <w:t>As</w:t>
      </w:r>
      <w:r>
        <w:rPr>
          <w:spacing w:val="-9"/>
        </w:rPr>
        <w:t xml:space="preserve"> </w:t>
      </w:r>
      <w:r>
        <w:rPr>
          <w:spacing w:val="-2"/>
        </w:rPr>
        <w:t>at</w:t>
      </w:r>
      <w:r>
        <w:rPr>
          <w:spacing w:val="-9"/>
        </w:rPr>
        <w:t xml:space="preserve"> </w:t>
      </w:r>
      <w:r>
        <w:rPr>
          <w:spacing w:val="-2"/>
        </w:rPr>
        <w:t>September</w:t>
      </w:r>
    </w:p>
    <w:p w:rsidR="002C1123" w:rsidRDefault="00F22F94">
      <w:pPr>
        <w:pStyle w:val="BodyText"/>
        <w:spacing w:before="6" w:line="249" w:lineRule="auto"/>
        <w:ind w:left="237" w:right="769"/>
      </w:pPr>
      <w:r>
        <w:rPr>
          <w:spacing w:val="-2"/>
        </w:rPr>
        <w:t>2011,</w:t>
      </w:r>
      <w:r>
        <w:rPr>
          <w:spacing w:val="-13"/>
        </w:rPr>
        <w:t xml:space="preserve"> </w:t>
      </w:r>
      <w:r>
        <w:rPr>
          <w:spacing w:val="-2"/>
        </w:rPr>
        <w:t>252</w:t>
      </w:r>
      <w:r>
        <w:rPr>
          <w:spacing w:val="-13"/>
        </w:rPr>
        <w:t xml:space="preserve"> </w:t>
      </w:r>
      <w:r>
        <w:rPr>
          <w:spacing w:val="-2"/>
        </w:rPr>
        <w:t>facilities</w:t>
      </w:r>
      <w:r>
        <w:rPr>
          <w:spacing w:val="-13"/>
        </w:rPr>
        <w:t xml:space="preserve"> </w:t>
      </w:r>
      <w:r>
        <w:rPr>
          <w:spacing w:val="-2"/>
        </w:rPr>
        <w:t>were</w:t>
      </w:r>
      <w:r>
        <w:rPr>
          <w:spacing w:val="-13"/>
        </w:rPr>
        <w:t xml:space="preserve"> </w:t>
      </w:r>
      <w:r>
        <w:rPr>
          <w:spacing w:val="-2"/>
        </w:rPr>
        <w:t>opened</w:t>
      </w:r>
      <w:r>
        <w:rPr>
          <w:spacing w:val="-13"/>
        </w:rPr>
        <w:t xml:space="preserve"> </w:t>
      </w:r>
      <w:r>
        <w:rPr>
          <w:spacing w:val="-2"/>
        </w:rPr>
        <w:t>under</w:t>
      </w:r>
      <w:r>
        <w:rPr>
          <w:spacing w:val="-13"/>
        </w:rPr>
        <w:t xml:space="preserve"> </w:t>
      </w:r>
      <w:r>
        <w:rPr>
          <w:spacing w:val="-2"/>
        </w:rPr>
        <w:t>the</w:t>
      </w:r>
      <w:r>
        <w:rPr>
          <w:spacing w:val="-13"/>
        </w:rPr>
        <w:t xml:space="preserve"> </w:t>
      </w:r>
      <w:r>
        <w:rPr>
          <w:spacing w:val="-2"/>
        </w:rPr>
        <w:t>NHS’s</w:t>
      </w:r>
      <w:r>
        <w:rPr>
          <w:spacing w:val="-13"/>
        </w:rPr>
        <w:t xml:space="preserve"> </w:t>
      </w:r>
      <w:r>
        <w:rPr>
          <w:spacing w:val="-2"/>
        </w:rPr>
        <w:t>LIFT</w:t>
      </w:r>
      <w:r>
        <w:rPr>
          <w:spacing w:val="-2"/>
          <w:position w:val="7"/>
          <w:sz w:val="11"/>
        </w:rPr>
        <w:t>7</w:t>
      </w:r>
      <w:r>
        <w:rPr>
          <w:spacing w:val="40"/>
          <w:position w:val="7"/>
          <w:sz w:val="11"/>
        </w:rPr>
        <w:t xml:space="preserve"> </w:t>
      </w:r>
      <w:r>
        <w:rPr>
          <w:spacing w:val="-2"/>
        </w:rPr>
        <w:t>scheme</w:t>
      </w:r>
      <w:r>
        <w:rPr>
          <w:spacing w:val="-9"/>
        </w:rPr>
        <w:t xml:space="preserve"> </w:t>
      </w:r>
      <w:r>
        <w:rPr>
          <w:spacing w:val="-2"/>
        </w:rPr>
        <w:t>with</w:t>
      </w:r>
      <w:r>
        <w:rPr>
          <w:spacing w:val="-9"/>
        </w:rPr>
        <w:t xml:space="preserve"> </w:t>
      </w:r>
      <w:r>
        <w:rPr>
          <w:spacing w:val="-2"/>
        </w:rPr>
        <w:t>an</w:t>
      </w:r>
      <w:r>
        <w:rPr>
          <w:spacing w:val="-9"/>
        </w:rPr>
        <w:t xml:space="preserve"> </w:t>
      </w:r>
      <w:r>
        <w:rPr>
          <w:spacing w:val="-2"/>
        </w:rPr>
        <w:t>additional</w:t>
      </w:r>
      <w:r>
        <w:rPr>
          <w:spacing w:val="-9"/>
        </w:rPr>
        <w:t xml:space="preserve"> </w:t>
      </w:r>
      <w:r>
        <w:rPr>
          <w:spacing w:val="-2"/>
        </w:rPr>
        <w:t>35</w:t>
      </w:r>
      <w:r>
        <w:rPr>
          <w:spacing w:val="-9"/>
        </w:rPr>
        <w:t xml:space="preserve"> </w:t>
      </w:r>
      <w:r>
        <w:rPr>
          <w:spacing w:val="-2"/>
        </w:rPr>
        <w:t>under</w:t>
      </w:r>
      <w:r>
        <w:rPr>
          <w:spacing w:val="-9"/>
        </w:rPr>
        <w:t xml:space="preserve"> </w:t>
      </w:r>
      <w:r>
        <w:rPr>
          <w:spacing w:val="-2"/>
        </w:rPr>
        <w:t>construction</w:t>
      </w:r>
      <w:r>
        <w:rPr>
          <w:spacing w:val="-9"/>
        </w:rPr>
        <w:t xml:space="preserve"> </w:t>
      </w:r>
      <w:r>
        <w:rPr>
          <w:spacing w:val="-2"/>
        </w:rPr>
        <w:t>with</w:t>
      </w:r>
      <w:r>
        <w:rPr>
          <w:spacing w:val="-9"/>
        </w:rPr>
        <w:t xml:space="preserve"> </w:t>
      </w:r>
      <w:r>
        <w:rPr>
          <w:spacing w:val="-2"/>
        </w:rPr>
        <w:t xml:space="preserve">a </w:t>
      </w:r>
      <w:r>
        <w:rPr>
          <w:w w:val="95"/>
        </w:rPr>
        <w:t>total</w:t>
      </w:r>
      <w:r>
        <w:rPr>
          <w:spacing w:val="-12"/>
          <w:w w:val="95"/>
        </w:rPr>
        <w:t xml:space="preserve"> </w:t>
      </w:r>
      <w:r>
        <w:rPr>
          <w:w w:val="95"/>
        </w:rPr>
        <w:t>value</w:t>
      </w:r>
      <w:r>
        <w:rPr>
          <w:spacing w:val="-11"/>
          <w:w w:val="95"/>
        </w:rPr>
        <w:t xml:space="preserve"> </w:t>
      </w:r>
      <w:r>
        <w:rPr>
          <w:w w:val="95"/>
        </w:rPr>
        <w:t>of</w:t>
      </w:r>
      <w:r>
        <w:rPr>
          <w:spacing w:val="-11"/>
          <w:w w:val="95"/>
        </w:rPr>
        <w:t xml:space="preserve"> </w:t>
      </w:r>
      <w:r>
        <w:rPr>
          <w:w w:val="95"/>
        </w:rPr>
        <w:t>all</w:t>
      </w:r>
      <w:r>
        <w:rPr>
          <w:spacing w:val="-11"/>
          <w:w w:val="95"/>
        </w:rPr>
        <w:t xml:space="preserve"> </w:t>
      </w:r>
      <w:r>
        <w:rPr>
          <w:w w:val="95"/>
        </w:rPr>
        <w:t>facilities</w:t>
      </w:r>
      <w:r>
        <w:rPr>
          <w:spacing w:val="-11"/>
          <w:w w:val="95"/>
        </w:rPr>
        <w:t xml:space="preserve"> </w:t>
      </w:r>
      <w:r>
        <w:rPr>
          <w:w w:val="95"/>
        </w:rPr>
        <w:t>of</w:t>
      </w:r>
      <w:r>
        <w:rPr>
          <w:spacing w:val="-11"/>
          <w:w w:val="95"/>
        </w:rPr>
        <w:t xml:space="preserve"> </w:t>
      </w:r>
      <w:r>
        <w:rPr>
          <w:w w:val="95"/>
        </w:rPr>
        <w:t>£2,039</w:t>
      </w:r>
      <w:r>
        <w:rPr>
          <w:spacing w:val="-11"/>
          <w:w w:val="95"/>
        </w:rPr>
        <w:t xml:space="preserve"> </w:t>
      </w:r>
      <w:r>
        <w:rPr>
          <w:w w:val="95"/>
        </w:rPr>
        <w:t>million.</w:t>
      </w:r>
      <w:r>
        <w:rPr>
          <w:spacing w:val="-11"/>
          <w:w w:val="95"/>
        </w:rPr>
        <w:t xml:space="preserve"> </w:t>
      </w:r>
      <w:r>
        <w:rPr>
          <w:w w:val="95"/>
        </w:rPr>
        <w:t>A</w:t>
      </w:r>
      <w:r>
        <w:rPr>
          <w:spacing w:val="-12"/>
          <w:w w:val="95"/>
        </w:rPr>
        <w:t xml:space="preserve"> </w:t>
      </w:r>
      <w:r>
        <w:rPr>
          <w:w w:val="95"/>
        </w:rPr>
        <w:t>review</w:t>
      </w:r>
      <w:r>
        <w:rPr>
          <w:spacing w:val="-11"/>
          <w:w w:val="95"/>
        </w:rPr>
        <w:t xml:space="preserve"> </w:t>
      </w:r>
      <w:r>
        <w:rPr>
          <w:w w:val="95"/>
        </w:rPr>
        <w:t>of</w:t>
      </w:r>
      <w:r>
        <w:rPr>
          <w:spacing w:val="-11"/>
          <w:w w:val="95"/>
        </w:rPr>
        <w:t xml:space="preserve"> </w:t>
      </w:r>
      <w:r>
        <w:rPr>
          <w:w w:val="95"/>
        </w:rPr>
        <w:t xml:space="preserve">the LIFT scheme carried out in 2008 concluded it had been particularly successful as a catalyst for building healthy communities by helping to shift hospital-based services </w:t>
      </w:r>
      <w:r>
        <w:t>into primary care</w:t>
      </w:r>
      <w:r>
        <w:rPr>
          <w:position w:val="7"/>
          <w:sz w:val="11"/>
        </w:rPr>
        <w:t>8</w:t>
      </w:r>
      <w:r>
        <w:t>.</w:t>
      </w:r>
    </w:p>
    <w:p w:rsidR="002C1123" w:rsidRDefault="00F22F94">
      <w:pPr>
        <w:pStyle w:val="BodyText"/>
        <w:spacing w:before="148" w:line="249" w:lineRule="auto"/>
        <w:ind w:left="237" w:right="769"/>
      </w:pPr>
      <w:r>
        <w:t>The</w:t>
      </w:r>
      <w:r>
        <w:rPr>
          <w:spacing w:val="-10"/>
        </w:rPr>
        <w:t xml:space="preserve"> </w:t>
      </w:r>
      <w:r>
        <w:t>expansion</w:t>
      </w:r>
      <w:r>
        <w:rPr>
          <w:spacing w:val="-10"/>
        </w:rPr>
        <w:t xml:space="preserve"> </w:t>
      </w:r>
      <w:r>
        <w:t>of</w:t>
      </w:r>
      <w:r>
        <w:rPr>
          <w:spacing w:val="-10"/>
        </w:rPr>
        <w:t xml:space="preserve"> </w:t>
      </w:r>
      <w:r>
        <w:t>existing</w:t>
      </w:r>
      <w:r>
        <w:rPr>
          <w:spacing w:val="-10"/>
        </w:rPr>
        <w:t xml:space="preserve"> </w:t>
      </w:r>
      <w:r>
        <w:t>hospitals</w:t>
      </w:r>
      <w:r>
        <w:rPr>
          <w:spacing w:val="-10"/>
        </w:rPr>
        <w:t xml:space="preserve"> </w:t>
      </w:r>
      <w:r>
        <w:t>to</w:t>
      </w:r>
      <w:r>
        <w:rPr>
          <w:spacing w:val="-10"/>
        </w:rPr>
        <w:t xml:space="preserve"> </w:t>
      </w:r>
      <w:r>
        <w:t>cope</w:t>
      </w:r>
      <w:r>
        <w:rPr>
          <w:spacing w:val="-10"/>
        </w:rPr>
        <w:t xml:space="preserve"> </w:t>
      </w:r>
      <w:r>
        <w:t xml:space="preserve">with </w:t>
      </w:r>
      <w:r>
        <w:rPr>
          <w:w w:val="95"/>
        </w:rPr>
        <w:t xml:space="preserve">increasing demand can be curbed through NSW Health developing specialist standalone facilities, as described </w:t>
      </w:r>
      <w:r>
        <w:rPr>
          <w:spacing w:val="-2"/>
        </w:rPr>
        <w:t>above,</w:t>
      </w:r>
      <w:r>
        <w:rPr>
          <w:spacing w:val="-9"/>
        </w:rPr>
        <w:t xml:space="preserve"> </w:t>
      </w:r>
      <w:r>
        <w:rPr>
          <w:spacing w:val="-2"/>
        </w:rPr>
        <w:t>or</w:t>
      </w:r>
      <w:r>
        <w:rPr>
          <w:spacing w:val="-9"/>
        </w:rPr>
        <w:t xml:space="preserve"> </w:t>
      </w:r>
      <w:r>
        <w:rPr>
          <w:spacing w:val="-2"/>
        </w:rPr>
        <w:t>through</w:t>
      </w:r>
      <w:r>
        <w:rPr>
          <w:spacing w:val="-9"/>
        </w:rPr>
        <w:t xml:space="preserve"> </w:t>
      </w:r>
      <w:r>
        <w:rPr>
          <w:spacing w:val="-2"/>
        </w:rPr>
        <w:t>the</w:t>
      </w:r>
      <w:r>
        <w:rPr>
          <w:spacing w:val="-9"/>
        </w:rPr>
        <w:t xml:space="preserve"> </w:t>
      </w:r>
      <w:r>
        <w:rPr>
          <w:spacing w:val="-2"/>
        </w:rPr>
        <w:t>purchases</w:t>
      </w:r>
      <w:r>
        <w:rPr>
          <w:spacing w:val="-9"/>
        </w:rPr>
        <w:t xml:space="preserve"> </w:t>
      </w:r>
      <w:r>
        <w:rPr>
          <w:spacing w:val="-2"/>
        </w:rPr>
        <w:t>of</w:t>
      </w:r>
      <w:r>
        <w:rPr>
          <w:spacing w:val="-9"/>
        </w:rPr>
        <w:t xml:space="preserve"> </w:t>
      </w:r>
      <w:r>
        <w:rPr>
          <w:spacing w:val="-2"/>
        </w:rPr>
        <w:t>such</w:t>
      </w:r>
      <w:r>
        <w:rPr>
          <w:spacing w:val="-9"/>
        </w:rPr>
        <w:t xml:space="preserve"> </w:t>
      </w:r>
      <w:r>
        <w:rPr>
          <w:spacing w:val="-2"/>
        </w:rPr>
        <w:t>services</w:t>
      </w:r>
      <w:r>
        <w:rPr>
          <w:spacing w:val="-9"/>
        </w:rPr>
        <w:t xml:space="preserve"> </w:t>
      </w:r>
      <w:r>
        <w:rPr>
          <w:spacing w:val="-2"/>
        </w:rPr>
        <w:t xml:space="preserve">from </w:t>
      </w:r>
      <w:r>
        <w:t>the private sector.</w:t>
      </w:r>
    </w:p>
    <w:p w:rsidR="002C1123" w:rsidRDefault="00F22F94">
      <w:pPr>
        <w:pStyle w:val="BodyText"/>
        <w:spacing w:before="146" w:line="249" w:lineRule="auto"/>
        <w:ind w:left="237" w:right="1109"/>
      </w:pPr>
      <w:r>
        <w:rPr>
          <w:w w:val="95"/>
        </w:rPr>
        <w:t>Infrastructure NSW supports further investigation and</w:t>
      </w:r>
      <w:r>
        <w:rPr>
          <w:spacing w:val="-6"/>
          <w:w w:val="95"/>
        </w:rPr>
        <w:t xml:space="preserve"> </w:t>
      </w:r>
      <w:r>
        <w:rPr>
          <w:w w:val="95"/>
        </w:rPr>
        <w:t>development</w:t>
      </w:r>
      <w:r>
        <w:rPr>
          <w:spacing w:val="-6"/>
          <w:w w:val="95"/>
        </w:rPr>
        <w:t xml:space="preserve"> </w:t>
      </w:r>
      <w:r>
        <w:rPr>
          <w:w w:val="95"/>
        </w:rPr>
        <w:t>of</w:t>
      </w:r>
      <w:r>
        <w:rPr>
          <w:spacing w:val="-6"/>
          <w:w w:val="95"/>
        </w:rPr>
        <w:t xml:space="preserve"> </w:t>
      </w:r>
      <w:r>
        <w:rPr>
          <w:w w:val="95"/>
        </w:rPr>
        <w:t>specialist</w:t>
      </w:r>
      <w:r>
        <w:rPr>
          <w:spacing w:val="-6"/>
          <w:w w:val="95"/>
        </w:rPr>
        <w:t xml:space="preserve"> </w:t>
      </w:r>
      <w:r>
        <w:rPr>
          <w:w w:val="95"/>
        </w:rPr>
        <w:t>medical</w:t>
      </w:r>
      <w:r>
        <w:rPr>
          <w:spacing w:val="-6"/>
          <w:w w:val="95"/>
        </w:rPr>
        <w:t xml:space="preserve"> </w:t>
      </w:r>
      <w:r>
        <w:rPr>
          <w:w w:val="95"/>
        </w:rPr>
        <w:t>facilities</w:t>
      </w:r>
      <w:r>
        <w:rPr>
          <w:spacing w:val="-6"/>
          <w:w w:val="95"/>
        </w:rPr>
        <w:t xml:space="preserve"> </w:t>
      </w:r>
      <w:r>
        <w:rPr>
          <w:w w:val="95"/>
        </w:rPr>
        <w:t>as</w:t>
      </w:r>
    </w:p>
    <w:p w:rsidR="002C1123" w:rsidRDefault="00F22F94">
      <w:pPr>
        <w:pStyle w:val="BodyText"/>
        <w:spacing w:before="1" w:line="249" w:lineRule="auto"/>
        <w:ind w:left="237" w:right="769"/>
      </w:pPr>
      <w:r>
        <w:rPr>
          <w:w w:val="95"/>
        </w:rPr>
        <w:t>alternatives</w:t>
      </w:r>
      <w:r>
        <w:rPr>
          <w:spacing w:val="-9"/>
          <w:w w:val="95"/>
        </w:rPr>
        <w:t xml:space="preserve"> </w:t>
      </w:r>
      <w:r>
        <w:rPr>
          <w:w w:val="95"/>
        </w:rPr>
        <w:t>for</w:t>
      </w:r>
      <w:r>
        <w:rPr>
          <w:spacing w:val="-9"/>
          <w:w w:val="95"/>
        </w:rPr>
        <w:t xml:space="preserve"> </w:t>
      </w:r>
      <w:r>
        <w:rPr>
          <w:w w:val="95"/>
        </w:rPr>
        <w:t>expanding</w:t>
      </w:r>
      <w:r>
        <w:rPr>
          <w:spacing w:val="-9"/>
          <w:w w:val="95"/>
        </w:rPr>
        <w:t xml:space="preserve"> </w:t>
      </w:r>
      <w:r>
        <w:rPr>
          <w:w w:val="95"/>
        </w:rPr>
        <w:t>existing</w:t>
      </w:r>
      <w:r>
        <w:rPr>
          <w:spacing w:val="-9"/>
          <w:w w:val="95"/>
        </w:rPr>
        <w:t xml:space="preserve"> </w:t>
      </w:r>
      <w:r>
        <w:rPr>
          <w:w w:val="95"/>
        </w:rPr>
        <w:t>hospitals,</w:t>
      </w:r>
      <w:r>
        <w:rPr>
          <w:spacing w:val="-9"/>
          <w:w w:val="95"/>
        </w:rPr>
        <w:t xml:space="preserve"> </w:t>
      </w:r>
      <w:r>
        <w:rPr>
          <w:w w:val="95"/>
        </w:rPr>
        <w:t>to</w:t>
      </w:r>
      <w:r>
        <w:rPr>
          <w:spacing w:val="-9"/>
          <w:w w:val="95"/>
        </w:rPr>
        <w:t xml:space="preserve"> </w:t>
      </w:r>
      <w:r>
        <w:rPr>
          <w:w w:val="95"/>
        </w:rPr>
        <w:t xml:space="preserve">improve </w:t>
      </w:r>
      <w:r>
        <w:t>efficiencies</w:t>
      </w:r>
      <w:r>
        <w:rPr>
          <w:spacing w:val="-12"/>
        </w:rPr>
        <w:t xml:space="preserve"> </w:t>
      </w:r>
      <w:r>
        <w:t>in</w:t>
      </w:r>
      <w:r>
        <w:rPr>
          <w:spacing w:val="-12"/>
        </w:rPr>
        <w:t xml:space="preserve"> </w:t>
      </w:r>
      <w:r>
        <w:t>delivery</w:t>
      </w:r>
      <w:r>
        <w:rPr>
          <w:spacing w:val="-12"/>
        </w:rPr>
        <w:t xml:space="preserve"> </w:t>
      </w:r>
      <w:r>
        <w:t>to</w:t>
      </w:r>
      <w:r>
        <w:rPr>
          <w:spacing w:val="-12"/>
        </w:rPr>
        <w:t xml:space="preserve"> </w:t>
      </w:r>
      <w:r>
        <w:t>public</w:t>
      </w:r>
      <w:r>
        <w:rPr>
          <w:spacing w:val="-12"/>
        </w:rPr>
        <w:t xml:space="preserve"> </w:t>
      </w:r>
      <w:r>
        <w:t>patients,</w:t>
      </w:r>
      <w:r>
        <w:rPr>
          <w:spacing w:val="-12"/>
        </w:rPr>
        <w:t xml:space="preserve"> </w:t>
      </w:r>
      <w:r>
        <w:t>cut</w:t>
      </w:r>
      <w:r>
        <w:rPr>
          <w:spacing w:val="-12"/>
        </w:rPr>
        <w:t xml:space="preserve"> </w:t>
      </w:r>
      <w:r>
        <w:t>waiting times and reduce capital costs.</w:t>
      </w: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060EF">
      <w:pPr>
        <w:pStyle w:val="BodyText"/>
        <w:spacing w:before="8"/>
        <w:rPr>
          <w:sz w:val="22"/>
        </w:rPr>
      </w:pPr>
      <w:r>
        <w:pict>
          <v:shape id="docshape2426" o:spid="_x0000_s1602" style="position:absolute;margin-left:552.3pt;margin-top:14.25pt;width:1in;height:.1pt;z-index:-251333632;mso-wrap-distance-left:0;mso-wrap-distance-right:0;mso-position-horizontal-relative:page" coordorigin="11046,285" coordsize="1440,0" path="m11046,285r1440,e" filled="f" strokecolor="#9c9c9d" strokeweight=".5pt">
            <v:path arrowok="t"/>
            <w10:wrap type="topAndBottom" anchorx="page"/>
          </v:shape>
        </w:pict>
      </w:r>
    </w:p>
    <w:p w:rsidR="002C1123" w:rsidRDefault="00F22F94">
      <w:pPr>
        <w:pStyle w:val="ListParagraph"/>
        <w:numPr>
          <w:ilvl w:val="0"/>
          <w:numId w:val="46"/>
        </w:numPr>
        <w:tabs>
          <w:tab w:val="left" w:pos="436"/>
        </w:tabs>
        <w:spacing w:before="23" w:line="161" w:lineRule="exact"/>
        <w:ind w:left="435"/>
        <w:jc w:val="left"/>
        <w:rPr>
          <w:sz w:val="14"/>
        </w:rPr>
      </w:pPr>
      <w:r>
        <w:rPr>
          <w:w w:val="95"/>
          <w:sz w:val="14"/>
        </w:rPr>
        <w:t>Local</w:t>
      </w:r>
      <w:r>
        <w:rPr>
          <w:spacing w:val="3"/>
          <w:sz w:val="14"/>
        </w:rPr>
        <w:t xml:space="preserve"> </w:t>
      </w:r>
      <w:r>
        <w:rPr>
          <w:w w:val="95"/>
          <w:sz w:val="14"/>
        </w:rPr>
        <w:t>Improvement</w:t>
      </w:r>
      <w:r>
        <w:rPr>
          <w:spacing w:val="4"/>
          <w:sz w:val="14"/>
        </w:rPr>
        <w:t xml:space="preserve"> </w:t>
      </w:r>
      <w:r>
        <w:rPr>
          <w:w w:val="95"/>
          <w:sz w:val="14"/>
        </w:rPr>
        <w:t>Finance</w:t>
      </w:r>
      <w:r>
        <w:rPr>
          <w:spacing w:val="4"/>
          <w:sz w:val="14"/>
        </w:rPr>
        <w:t xml:space="preserve"> </w:t>
      </w:r>
      <w:r>
        <w:rPr>
          <w:w w:val="95"/>
          <w:sz w:val="14"/>
        </w:rPr>
        <w:t>trust</w:t>
      </w:r>
      <w:r>
        <w:rPr>
          <w:spacing w:val="4"/>
          <w:sz w:val="14"/>
        </w:rPr>
        <w:t xml:space="preserve"> </w:t>
      </w:r>
      <w:r>
        <w:rPr>
          <w:spacing w:val="-2"/>
          <w:w w:val="95"/>
          <w:sz w:val="14"/>
        </w:rPr>
        <w:t>(LIFT).</w:t>
      </w:r>
    </w:p>
    <w:p w:rsidR="002C1123" w:rsidRDefault="00F22F94">
      <w:pPr>
        <w:pStyle w:val="ListParagraph"/>
        <w:numPr>
          <w:ilvl w:val="0"/>
          <w:numId w:val="46"/>
        </w:numPr>
        <w:tabs>
          <w:tab w:val="left" w:pos="436"/>
        </w:tabs>
        <w:spacing w:line="161" w:lineRule="exact"/>
        <w:ind w:left="435"/>
        <w:jc w:val="left"/>
        <w:rPr>
          <w:sz w:val="14"/>
        </w:rPr>
      </w:pPr>
      <w:r>
        <w:rPr>
          <w:w w:val="95"/>
          <w:sz w:val="14"/>
        </w:rPr>
        <w:t>PwC</w:t>
      </w:r>
      <w:r>
        <w:rPr>
          <w:spacing w:val="-1"/>
          <w:w w:val="95"/>
          <w:sz w:val="14"/>
        </w:rPr>
        <w:t xml:space="preserve"> </w:t>
      </w:r>
      <w:r>
        <w:rPr>
          <w:w w:val="95"/>
          <w:sz w:val="14"/>
        </w:rPr>
        <w:t>2012,</w:t>
      </w:r>
      <w:r>
        <w:rPr>
          <w:spacing w:val="-1"/>
          <w:w w:val="95"/>
          <w:sz w:val="14"/>
        </w:rPr>
        <w:t xml:space="preserve"> </w:t>
      </w:r>
      <w:r>
        <w:rPr>
          <w:w w:val="95"/>
          <w:sz w:val="14"/>
        </w:rPr>
        <w:t>Health</w:t>
      </w:r>
      <w:r>
        <w:rPr>
          <w:spacing w:val="-1"/>
          <w:w w:val="95"/>
          <w:sz w:val="14"/>
        </w:rPr>
        <w:t xml:space="preserve"> </w:t>
      </w:r>
      <w:r>
        <w:rPr>
          <w:w w:val="95"/>
          <w:sz w:val="14"/>
        </w:rPr>
        <w:t>Baseline</w:t>
      </w:r>
      <w:r>
        <w:rPr>
          <w:spacing w:val="-1"/>
          <w:w w:val="95"/>
          <w:sz w:val="14"/>
        </w:rPr>
        <w:t xml:space="preserve"> </w:t>
      </w:r>
      <w:r>
        <w:rPr>
          <w:spacing w:val="-2"/>
          <w:w w:val="95"/>
          <w:sz w:val="14"/>
        </w:rPr>
        <w:t>Report.</w:t>
      </w:r>
    </w:p>
    <w:p w:rsidR="002C1123" w:rsidRDefault="002C1123">
      <w:pPr>
        <w:spacing w:line="161" w:lineRule="exact"/>
        <w:rPr>
          <w:sz w:val="14"/>
        </w:rPr>
        <w:sectPr w:rsidR="002C1123">
          <w:type w:val="continuous"/>
          <w:pgSz w:w="16840" w:h="11910" w:orient="landscape"/>
          <w:pgMar w:top="560" w:right="280" w:bottom="280" w:left="500" w:header="0" w:footer="517" w:gutter="0"/>
          <w:cols w:num="3" w:space="720" w:equalWidth="0">
            <w:col w:w="5291" w:space="40"/>
            <w:col w:w="4939" w:space="39"/>
            <w:col w:w="5751"/>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7"/>
        </w:rPr>
      </w:pPr>
    </w:p>
    <w:p w:rsidR="002C1123" w:rsidRDefault="002C1123">
      <w:pPr>
        <w:rPr>
          <w:sz w:val="17"/>
        </w:rPr>
        <w:sectPr w:rsidR="002C1123">
          <w:pgSz w:w="16840" w:h="11910" w:orient="landscape"/>
          <w:pgMar w:top="560" w:right="280" w:bottom="700" w:left="500" w:header="0" w:footer="517" w:gutter="0"/>
          <w:cols w:space="720"/>
        </w:sectPr>
      </w:pPr>
    </w:p>
    <w:p w:rsidR="002C1123" w:rsidRDefault="00F22F94">
      <w:pPr>
        <w:pStyle w:val="Heading5"/>
        <w:numPr>
          <w:ilvl w:val="1"/>
          <w:numId w:val="49"/>
        </w:numPr>
        <w:tabs>
          <w:tab w:val="left" w:pos="1093"/>
        </w:tabs>
        <w:jc w:val="left"/>
      </w:pPr>
      <w:bookmarkStart w:id="350" w:name="13.4_Full_service_procurement"/>
      <w:bookmarkStart w:id="351" w:name="_bookmark248"/>
      <w:bookmarkStart w:id="352" w:name="_bookmark247"/>
      <w:bookmarkEnd w:id="350"/>
      <w:bookmarkEnd w:id="351"/>
      <w:bookmarkEnd w:id="352"/>
      <w:r>
        <w:rPr>
          <w:color w:val="00AEEF"/>
          <w:w w:val="95"/>
        </w:rPr>
        <w:t>Full</w:t>
      </w:r>
      <w:r>
        <w:rPr>
          <w:color w:val="00AEEF"/>
          <w:spacing w:val="-9"/>
          <w:w w:val="95"/>
        </w:rPr>
        <w:t xml:space="preserve"> </w:t>
      </w:r>
      <w:r>
        <w:rPr>
          <w:color w:val="00AEEF"/>
          <w:w w:val="95"/>
        </w:rPr>
        <w:t>service</w:t>
      </w:r>
      <w:r>
        <w:rPr>
          <w:color w:val="00AEEF"/>
          <w:spacing w:val="-8"/>
          <w:w w:val="95"/>
        </w:rPr>
        <w:t xml:space="preserve"> </w:t>
      </w:r>
      <w:r>
        <w:rPr>
          <w:color w:val="00AEEF"/>
          <w:spacing w:val="-2"/>
          <w:w w:val="95"/>
        </w:rPr>
        <w:t>procurement</w:t>
      </w:r>
    </w:p>
    <w:p w:rsidR="002C1123" w:rsidRDefault="00F22F94">
      <w:pPr>
        <w:pStyle w:val="BodyText"/>
        <w:spacing w:before="135" w:line="249" w:lineRule="auto"/>
        <w:ind w:left="492"/>
      </w:pPr>
      <w:r>
        <w:t>Full</w:t>
      </w:r>
      <w:r>
        <w:rPr>
          <w:spacing w:val="-11"/>
        </w:rPr>
        <w:t xml:space="preserve"> </w:t>
      </w:r>
      <w:r>
        <w:t>service</w:t>
      </w:r>
      <w:r>
        <w:rPr>
          <w:spacing w:val="-11"/>
        </w:rPr>
        <w:t xml:space="preserve"> </w:t>
      </w:r>
      <w:r>
        <w:t>procurement</w:t>
      </w:r>
      <w:r>
        <w:rPr>
          <w:spacing w:val="-11"/>
        </w:rPr>
        <w:t xml:space="preserve"> </w:t>
      </w:r>
      <w:r>
        <w:t>is</w:t>
      </w:r>
      <w:r>
        <w:rPr>
          <w:spacing w:val="-11"/>
        </w:rPr>
        <w:t xml:space="preserve"> </w:t>
      </w:r>
      <w:r>
        <w:t>proposed</w:t>
      </w:r>
      <w:r>
        <w:rPr>
          <w:spacing w:val="-11"/>
        </w:rPr>
        <w:t xml:space="preserve"> </w:t>
      </w:r>
      <w:r>
        <w:t>for</w:t>
      </w:r>
      <w:r>
        <w:rPr>
          <w:spacing w:val="-11"/>
        </w:rPr>
        <w:t xml:space="preserve"> </w:t>
      </w:r>
      <w:r>
        <w:t>public</w:t>
      </w:r>
      <w:r>
        <w:rPr>
          <w:spacing w:val="-11"/>
        </w:rPr>
        <w:t xml:space="preserve"> </w:t>
      </w:r>
      <w:r>
        <w:t>health services</w:t>
      </w:r>
      <w:r>
        <w:rPr>
          <w:spacing w:val="-14"/>
        </w:rPr>
        <w:t xml:space="preserve"> </w:t>
      </w:r>
      <w:r>
        <w:t>to</w:t>
      </w:r>
      <w:r>
        <w:rPr>
          <w:spacing w:val="-14"/>
        </w:rPr>
        <w:t xml:space="preserve"> </w:t>
      </w:r>
      <w:r>
        <w:t>be</w:t>
      </w:r>
      <w:r>
        <w:rPr>
          <w:spacing w:val="-14"/>
        </w:rPr>
        <w:t xml:space="preserve"> </w:t>
      </w:r>
      <w:r>
        <w:t>delivered</w:t>
      </w:r>
      <w:r>
        <w:rPr>
          <w:spacing w:val="-14"/>
        </w:rPr>
        <w:t xml:space="preserve"> </w:t>
      </w:r>
      <w:r>
        <w:t>by</w:t>
      </w:r>
      <w:r>
        <w:rPr>
          <w:spacing w:val="-14"/>
        </w:rPr>
        <w:t xml:space="preserve"> </w:t>
      </w:r>
      <w:r>
        <w:t>the</w:t>
      </w:r>
      <w:r>
        <w:rPr>
          <w:spacing w:val="-14"/>
        </w:rPr>
        <w:t xml:space="preserve"> </w:t>
      </w:r>
      <w:r>
        <w:t>private</w:t>
      </w:r>
      <w:r>
        <w:rPr>
          <w:spacing w:val="-14"/>
        </w:rPr>
        <w:t xml:space="preserve"> </w:t>
      </w:r>
      <w:r>
        <w:t>sector.</w:t>
      </w:r>
      <w:r>
        <w:rPr>
          <w:spacing w:val="-14"/>
        </w:rPr>
        <w:t xml:space="preserve"> </w:t>
      </w:r>
      <w:r>
        <w:t xml:space="preserve">The </w:t>
      </w:r>
      <w:r>
        <w:rPr>
          <w:w w:val="95"/>
        </w:rPr>
        <w:t xml:space="preserve">proposed full-services procurement model is consistent with activity-based funding and increased accountability </w:t>
      </w:r>
      <w:r>
        <w:t>of</w:t>
      </w:r>
      <w:r>
        <w:rPr>
          <w:spacing w:val="-12"/>
        </w:rPr>
        <w:t xml:space="preserve"> </w:t>
      </w:r>
      <w:r>
        <w:t>Local</w:t>
      </w:r>
      <w:r>
        <w:rPr>
          <w:spacing w:val="-12"/>
        </w:rPr>
        <w:t xml:space="preserve"> </w:t>
      </w:r>
      <w:r>
        <w:t>Health</w:t>
      </w:r>
      <w:r>
        <w:rPr>
          <w:spacing w:val="-12"/>
        </w:rPr>
        <w:t xml:space="preserve"> </w:t>
      </w:r>
      <w:r>
        <w:t>Boards</w:t>
      </w:r>
      <w:r>
        <w:rPr>
          <w:spacing w:val="-12"/>
        </w:rPr>
        <w:t xml:space="preserve"> </w:t>
      </w:r>
      <w:r>
        <w:t>and</w:t>
      </w:r>
      <w:r>
        <w:rPr>
          <w:spacing w:val="-12"/>
        </w:rPr>
        <w:t xml:space="preserve"> </w:t>
      </w:r>
      <w:r>
        <w:t>is</w:t>
      </w:r>
      <w:r>
        <w:rPr>
          <w:spacing w:val="-12"/>
        </w:rPr>
        <w:t xml:space="preserve"> </w:t>
      </w:r>
      <w:r>
        <w:t>expected</w:t>
      </w:r>
      <w:r>
        <w:rPr>
          <w:spacing w:val="-12"/>
        </w:rPr>
        <w:t xml:space="preserve"> </w:t>
      </w:r>
      <w:r>
        <w:t>to</w:t>
      </w:r>
      <w:r>
        <w:rPr>
          <w:spacing w:val="-12"/>
        </w:rPr>
        <w:t xml:space="preserve"> </w:t>
      </w:r>
      <w:r>
        <w:t>significantly improve</w:t>
      </w:r>
      <w:r>
        <w:rPr>
          <w:spacing w:val="-6"/>
        </w:rPr>
        <w:t xml:space="preserve"> </w:t>
      </w:r>
      <w:r>
        <w:t>productivity</w:t>
      </w:r>
      <w:r>
        <w:rPr>
          <w:spacing w:val="-6"/>
        </w:rPr>
        <w:t xml:space="preserve"> </w:t>
      </w:r>
      <w:r>
        <w:t>in</w:t>
      </w:r>
      <w:r>
        <w:rPr>
          <w:spacing w:val="-6"/>
        </w:rPr>
        <w:t xml:space="preserve"> </w:t>
      </w:r>
      <w:r>
        <w:t>the</w:t>
      </w:r>
      <w:r>
        <w:rPr>
          <w:spacing w:val="-6"/>
        </w:rPr>
        <w:t xml:space="preserve"> </w:t>
      </w:r>
      <w:r>
        <w:t>health</w:t>
      </w:r>
      <w:r>
        <w:rPr>
          <w:spacing w:val="-6"/>
        </w:rPr>
        <w:t xml:space="preserve"> </w:t>
      </w:r>
      <w:r>
        <w:t>sector.</w:t>
      </w:r>
    </w:p>
    <w:p w:rsidR="002C1123" w:rsidRDefault="00F22F94">
      <w:pPr>
        <w:pStyle w:val="Heading6"/>
        <w:numPr>
          <w:ilvl w:val="2"/>
          <w:numId w:val="49"/>
        </w:numPr>
        <w:tabs>
          <w:tab w:val="left" w:pos="1087"/>
        </w:tabs>
        <w:spacing w:before="146"/>
        <w:ind w:left="1086"/>
        <w:jc w:val="left"/>
      </w:pPr>
      <w:r>
        <w:rPr>
          <w:color w:val="00AEEF"/>
          <w:w w:val="95"/>
        </w:rPr>
        <w:t>Full</w:t>
      </w:r>
      <w:r>
        <w:rPr>
          <w:color w:val="00AEEF"/>
          <w:spacing w:val="-2"/>
          <w:w w:val="95"/>
        </w:rPr>
        <w:t xml:space="preserve"> </w:t>
      </w:r>
      <w:r>
        <w:rPr>
          <w:color w:val="00AEEF"/>
          <w:w w:val="95"/>
        </w:rPr>
        <w:t>service</w:t>
      </w:r>
      <w:r>
        <w:rPr>
          <w:color w:val="00AEEF"/>
          <w:spacing w:val="-2"/>
          <w:w w:val="95"/>
        </w:rPr>
        <w:t xml:space="preserve"> provision</w:t>
      </w:r>
    </w:p>
    <w:p w:rsidR="002C1123" w:rsidRDefault="00F22F94">
      <w:pPr>
        <w:pStyle w:val="BodyText"/>
        <w:spacing w:before="95" w:line="249" w:lineRule="auto"/>
        <w:ind w:left="492"/>
      </w:pPr>
      <w:r>
        <w:t>Infrastructure</w:t>
      </w:r>
      <w:r>
        <w:rPr>
          <w:spacing w:val="-9"/>
        </w:rPr>
        <w:t xml:space="preserve"> </w:t>
      </w:r>
      <w:r>
        <w:t>NSW</w:t>
      </w:r>
      <w:r>
        <w:rPr>
          <w:spacing w:val="-9"/>
        </w:rPr>
        <w:t xml:space="preserve"> </w:t>
      </w:r>
      <w:r>
        <w:t>supports</w:t>
      </w:r>
      <w:r>
        <w:rPr>
          <w:spacing w:val="-9"/>
        </w:rPr>
        <w:t xml:space="preserve"> </w:t>
      </w:r>
      <w:r>
        <w:t>long</w:t>
      </w:r>
      <w:r>
        <w:rPr>
          <w:spacing w:val="-9"/>
        </w:rPr>
        <w:t xml:space="preserve"> </w:t>
      </w:r>
      <w:r>
        <w:t>term</w:t>
      </w:r>
      <w:r>
        <w:rPr>
          <w:spacing w:val="-10"/>
        </w:rPr>
        <w:t xml:space="preserve"> </w:t>
      </w:r>
      <w:r>
        <w:t>reform</w:t>
      </w:r>
      <w:r>
        <w:rPr>
          <w:spacing w:val="-10"/>
        </w:rPr>
        <w:t xml:space="preserve"> </w:t>
      </w:r>
      <w:r>
        <w:t>to</w:t>
      </w:r>
      <w:r>
        <w:rPr>
          <w:spacing w:val="-9"/>
        </w:rPr>
        <w:t xml:space="preserve"> </w:t>
      </w:r>
      <w:r>
        <w:t>an outsourced</w:t>
      </w:r>
      <w:r>
        <w:rPr>
          <w:spacing w:val="-7"/>
        </w:rPr>
        <w:t xml:space="preserve"> </w:t>
      </w:r>
      <w:r>
        <w:t>model</w:t>
      </w:r>
      <w:r>
        <w:rPr>
          <w:spacing w:val="-7"/>
        </w:rPr>
        <w:t xml:space="preserve"> </w:t>
      </w:r>
      <w:r>
        <w:t>where</w:t>
      </w:r>
      <w:r>
        <w:rPr>
          <w:spacing w:val="-7"/>
        </w:rPr>
        <w:t xml:space="preserve"> </w:t>
      </w:r>
      <w:r>
        <w:t>the</w:t>
      </w:r>
      <w:r>
        <w:rPr>
          <w:spacing w:val="-7"/>
        </w:rPr>
        <w:t xml:space="preserve"> </w:t>
      </w:r>
      <w:r>
        <w:t>NSW</w:t>
      </w:r>
      <w:r>
        <w:rPr>
          <w:spacing w:val="-7"/>
        </w:rPr>
        <w:t xml:space="preserve"> </w:t>
      </w:r>
      <w:r>
        <w:t>Government</w:t>
      </w:r>
      <w:r>
        <w:rPr>
          <w:spacing w:val="-7"/>
        </w:rPr>
        <w:t xml:space="preserve"> </w:t>
      </w:r>
      <w:r>
        <w:t xml:space="preserve">would </w:t>
      </w:r>
      <w:r>
        <w:rPr>
          <w:w w:val="95"/>
        </w:rPr>
        <w:t>buy</w:t>
      </w:r>
      <w:r>
        <w:rPr>
          <w:spacing w:val="-5"/>
          <w:w w:val="95"/>
        </w:rPr>
        <w:t xml:space="preserve"> </w:t>
      </w:r>
      <w:r>
        <w:rPr>
          <w:w w:val="95"/>
        </w:rPr>
        <w:t>public</w:t>
      </w:r>
      <w:r>
        <w:rPr>
          <w:spacing w:val="-5"/>
          <w:w w:val="95"/>
        </w:rPr>
        <w:t xml:space="preserve"> </w:t>
      </w:r>
      <w:r>
        <w:rPr>
          <w:w w:val="95"/>
        </w:rPr>
        <w:t>hospital</w:t>
      </w:r>
      <w:r>
        <w:rPr>
          <w:spacing w:val="-5"/>
          <w:w w:val="95"/>
        </w:rPr>
        <w:t xml:space="preserve"> </w:t>
      </w:r>
      <w:r>
        <w:rPr>
          <w:w w:val="95"/>
        </w:rPr>
        <w:t>services,</w:t>
      </w:r>
      <w:r>
        <w:rPr>
          <w:spacing w:val="-5"/>
          <w:w w:val="95"/>
        </w:rPr>
        <w:t xml:space="preserve"> </w:t>
      </w:r>
      <w:r>
        <w:rPr>
          <w:w w:val="95"/>
        </w:rPr>
        <w:t>on</w:t>
      </w:r>
      <w:r>
        <w:rPr>
          <w:spacing w:val="-5"/>
          <w:w w:val="95"/>
        </w:rPr>
        <w:t xml:space="preserve"> </w:t>
      </w:r>
      <w:r>
        <w:rPr>
          <w:w w:val="95"/>
        </w:rPr>
        <w:t>an</w:t>
      </w:r>
      <w:r>
        <w:rPr>
          <w:spacing w:val="-5"/>
          <w:w w:val="95"/>
        </w:rPr>
        <w:t xml:space="preserve"> </w:t>
      </w:r>
      <w:r>
        <w:rPr>
          <w:w w:val="95"/>
        </w:rPr>
        <w:t>activity</w:t>
      </w:r>
      <w:r>
        <w:rPr>
          <w:spacing w:val="-5"/>
          <w:w w:val="95"/>
        </w:rPr>
        <w:t xml:space="preserve"> </w:t>
      </w:r>
      <w:r>
        <w:rPr>
          <w:w w:val="95"/>
        </w:rPr>
        <w:t>basis</w:t>
      </w:r>
      <w:r>
        <w:rPr>
          <w:spacing w:val="-5"/>
          <w:w w:val="95"/>
        </w:rPr>
        <w:t xml:space="preserve"> </w:t>
      </w:r>
      <w:r>
        <w:rPr>
          <w:w w:val="95"/>
        </w:rPr>
        <w:t>using</w:t>
      </w:r>
      <w:r>
        <w:rPr>
          <w:spacing w:val="-5"/>
          <w:w w:val="95"/>
        </w:rPr>
        <w:t xml:space="preserve"> </w:t>
      </w:r>
      <w:r>
        <w:rPr>
          <w:w w:val="95"/>
        </w:rPr>
        <w:t xml:space="preserve">an </w:t>
      </w:r>
      <w:r>
        <w:t>efficient price per service model.</w:t>
      </w:r>
    </w:p>
    <w:p w:rsidR="002C1123" w:rsidRDefault="00F22F94">
      <w:pPr>
        <w:pStyle w:val="BodyText"/>
        <w:spacing w:before="141" w:line="249" w:lineRule="auto"/>
        <w:ind w:left="492"/>
      </w:pPr>
      <w:r>
        <w:rPr>
          <w:w w:val="95"/>
        </w:rPr>
        <w:t>As</w:t>
      </w:r>
      <w:r>
        <w:rPr>
          <w:spacing w:val="-5"/>
          <w:w w:val="95"/>
        </w:rPr>
        <w:t xml:space="preserve"> </w:t>
      </w:r>
      <w:r>
        <w:rPr>
          <w:w w:val="95"/>
        </w:rPr>
        <w:t>noted</w:t>
      </w:r>
      <w:r>
        <w:rPr>
          <w:spacing w:val="-5"/>
          <w:w w:val="95"/>
        </w:rPr>
        <w:t xml:space="preserve"> </w:t>
      </w:r>
      <w:r>
        <w:rPr>
          <w:w w:val="95"/>
        </w:rPr>
        <w:t>above,</w:t>
      </w:r>
      <w:r>
        <w:rPr>
          <w:spacing w:val="-5"/>
          <w:w w:val="95"/>
        </w:rPr>
        <w:t xml:space="preserve"> </w:t>
      </w:r>
      <w:r>
        <w:rPr>
          <w:w w:val="95"/>
        </w:rPr>
        <w:t>NSW</w:t>
      </w:r>
      <w:r>
        <w:rPr>
          <w:spacing w:val="-5"/>
          <w:w w:val="95"/>
        </w:rPr>
        <w:t xml:space="preserve"> </w:t>
      </w:r>
      <w:r>
        <w:rPr>
          <w:w w:val="95"/>
        </w:rPr>
        <w:t>has</w:t>
      </w:r>
      <w:r>
        <w:rPr>
          <w:spacing w:val="-5"/>
          <w:w w:val="95"/>
        </w:rPr>
        <w:t xml:space="preserve"> </w:t>
      </w:r>
      <w:r>
        <w:rPr>
          <w:w w:val="95"/>
        </w:rPr>
        <w:t>more</w:t>
      </w:r>
      <w:r>
        <w:rPr>
          <w:spacing w:val="-5"/>
          <w:w w:val="95"/>
        </w:rPr>
        <w:t xml:space="preserve"> </w:t>
      </w:r>
      <w:r>
        <w:rPr>
          <w:w w:val="95"/>
        </w:rPr>
        <w:t>public</w:t>
      </w:r>
      <w:r>
        <w:rPr>
          <w:spacing w:val="-5"/>
          <w:w w:val="95"/>
        </w:rPr>
        <w:t xml:space="preserve"> </w:t>
      </w:r>
      <w:r>
        <w:rPr>
          <w:w w:val="95"/>
        </w:rPr>
        <w:t>sector</w:t>
      </w:r>
      <w:r>
        <w:rPr>
          <w:spacing w:val="-5"/>
          <w:w w:val="95"/>
        </w:rPr>
        <w:t xml:space="preserve"> </w:t>
      </w:r>
      <w:r>
        <w:rPr>
          <w:w w:val="95"/>
        </w:rPr>
        <w:t>and</w:t>
      </w:r>
      <w:r>
        <w:rPr>
          <w:spacing w:val="-5"/>
          <w:w w:val="95"/>
        </w:rPr>
        <w:t xml:space="preserve"> </w:t>
      </w:r>
      <w:r>
        <w:rPr>
          <w:w w:val="95"/>
        </w:rPr>
        <w:t xml:space="preserve">less </w:t>
      </w:r>
      <w:r>
        <w:t>private</w:t>
      </w:r>
      <w:r>
        <w:rPr>
          <w:spacing w:val="-11"/>
        </w:rPr>
        <w:t xml:space="preserve"> </w:t>
      </w:r>
      <w:r>
        <w:t>sector</w:t>
      </w:r>
      <w:r>
        <w:rPr>
          <w:spacing w:val="-11"/>
        </w:rPr>
        <w:t xml:space="preserve"> </w:t>
      </w:r>
      <w:r>
        <w:t>hospital</w:t>
      </w:r>
      <w:r>
        <w:rPr>
          <w:spacing w:val="-11"/>
        </w:rPr>
        <w:t xml:space="preserve"> </w:t>
      </w:r>
      <w:r>
        <w:t>beds</w:t>
      </w:r>
      <w:r>
        <w:rPr>
          <w:spacing w:val="-11"/>
        </w:rPr>
        <w:t xml:space="preserve"> </w:t>
      </w:r>
      <w:r>
        <w:t>than</w:t>
      </w:r>
      <w:r>
        <w:rPr>
          <w:spacing w:val="-11"/>
        </w:rPr>
        <w:t xml:space="preserve"> </w:t>
      </w:r>
      <w:r>
        <w:t>other</w:t>
      </w:r>
      <w:r>
        <w:rPr>
          <w:spacing w:val="-11"/>
        </w:rPr>
        <w:t xml:space="preserve"> </w:t>
      </w:r>
      <w:r>
        <w:t>states.</w:t>
      </w:r>
      <w:r>
        <w:rPr>
          <w:spacing w:val="-11"/>
        </w:rPr>
        <w:t xml:space="preserve"> </w:t>
      </w:r>
      <w:r>
        <w:t>The Productivity</w:t>
      </w:r>
      <w:r>
        <w:rPr>
          <w:spacing w:val="-12"/>
        </w:rPr>
        <w:t xml:space="preserve"> </w:t>
      </w:r>
      <w:r>
        <w:t>Commission</w:t>
      </w:r>
      <w:r>
        <w:rPr>
          <w:spacing w:val="-12"/>
        </w:rPr>
        <w:t xml:space="preserve"> </w:t>
      </w:r>
      <w:r>
        <w:t>developed</w:t>
      </w:r>
      <w:r>
        <w:rPr>
          <w:spacing w:val="-12"/>
        </w:rPr>
        <w:t xml:space="preserve"> </w:t>
      </w:r>
      <w:r>
        <w:t>estimates</w:t>
      </w:r>
      <w:r>
        <w:rPr>
          <w:spacing w:val="-12"/>
        </w:rPr>
        <w:t xml:space="preserve"> </w:t>
      </w:r>
      <w:r>
        <w:t>(with</w:t>
      </w:r>
    </w:p>
    <w:p w:rsidR="002C1123" w:rsidRDefault="00F22F94">
      <w:pPr>
        <w:spacing w:before="9"/>
        <w:rPr>
          <w:sz w:val="15"/>
        </w:rPr>
      </w:pPr>
      <w:r>
        <w:br w:type="column"/>
      </w:r>
    </w:p>
    <w:p w:rsidR="002C1123" w:rsidRDefault="00F22F94">
      <w:pPr>
        <w:spacing w:line="261" w:lineRule="auto"/>
        <w:ind w:left="1238" w:hanging="973"/>
        <w:rPr>
          <w:b/>
          <w:sz w:val="17"/>
        </w:rPr>
      </w:pPr>
      <w:r>
        <w:rPr>
          <w:b/>
          <w:w w:val="105"/>
          <w:sz w:val="17"/>
        </w:rPr>
        <w:t>Figure13.5</w:t>
      </w:r>
      <w:r>
        <w:rPr>
          <w:b/>
          <w:spacing w:val="29"/>
          <w:w w:val="105"/>
          <w:sz w:val="17"/>
        </w:rPr>
        <w:t xml:space="preserve"> </w:t>
      </w:r>
      <w:r>
        <w:rPr>
          <w:b/>
          <w:w w:val="105"/>
          <w:sz w:val="17"/>
        </w:rPr>
        <w:t>Cost</w:t>
      </w:r>
      <w:r>
        <w:rPr>
          <w:b/>
          <w:spacing w:val="-9"/>
          <w:w w:val="105"/>
          <w:sz w:val="17"/>
        </w:rPr>
        <w:t xml:space="preserve"> </w:t>
      </w:r>
      <w:r>
        <w:rPr>
          <w:b/>
          <w:w w:val="105"/>
          <w:sz w:val="17"/>
        </w:rPr>
        <w:t>per</w:t>
      </w:r>
      <w:r>
        <w:rPr>
          <w:b/>
          <w:spacing w:val="-9"/>
          <w:w w:val="105"/>
          <w:sz w:val="17"/>
        </w:rPr>
        <w:t xml:space="preserve"> </w:t>
      </w:r>
      <w:r>
        <w:rPr>
          <w:b/>
          <w:w w:val="105"/>
          <w:sz w:val="17"/>
        </w:rPr>
        <w:t>casemix-adjusted</w:t>
      </w:r>
      <w:r>
        <w:rPr>
          <w:b/>
          <w:spacing w:val="-9"/>
          <w:w w:val="105"/>
          <w:sz w:val="17"/>
        </w:rPr>
        <w:t xml:space="preserve"> </w:t>
      </w:r>
      <w:r>
        <w:rPr>
          <w:b/>
          <w:w w:val="105"/>
          <w:sz w:val="17"/>
        </w:rPr>
        <w:t>separation</w:t>
      </w:r>
      <w:r>
        <w:rPr>
          <w:b/>
          <w:spacing w:val="-9"/>
          <w:w w:val="105"/>
          <w:sz w:val="17"/>
        </w:rPr>
        <w:t xml:space="preserve"> </w:t>
      </w:r>
      <w:r>
        <w:rPr>
          <w:b/>
          <w:w w:val="105"/>
          <w:sz w:val="17"/>
        </w:rPr>
        <w:t>by Jurisdiction and Sector, 2007-08</w:t>
      </w:r>
    </w:p>
    <w:p w:rsidR="002C1123" w:rsidRDefault="002C1123">
      <w:pPr>
        <w:pStyle w:val="BodyText"/>
        <w:spacing w:before="7"/>
        <w:rPr>
          <w:b/>
          <w:sz w:val="15"/>
        </w:rPr>
      </w:pPr>
    </w:p>
    <w:p w:rsidR="002C1123" w:rsidRDefault="002060EF">
      <w:pPr>
        <w:ind w:left="266"/>
        <w:rPr>
          <w:sz w:val="15"/>
        </w:rPr>
      </w:pPr>
      <w:r>
        <w:pict>
          <v:line id="_x0000_s1601" style="position:absolute;left:0;text-align:left;z-index:251656192;mso-position-horizontal-relative:page" from="322.95pt,4.2pt" to="516.65pt,4.2pt" strokecolor="#b2b1b3" strokeweight=".139mm">
            <w10:wrap anchorx="page"/>
          </v:line>
        </w:pict>
      </w:r>
      <w:r>
        <w:pict>
          <v:group id="docshapegroup2427" o:spid="_x0000_s1575" style="position:absolute;left:0;text-align:left;margin-left:322.95pt;margin-top:14.9pt;width:193.7pt;height:158.35pt;z-index:251657216;mso-position-horizontal-relative:page" coordorigin="6459,298" coordsize="3874,3167">
            <v:shape id="docshape2428" o:spid="_x0000_s1600" style="position:absolute;left:6459;top:1208;width:1174;height:1686" coordorigin="6459,1208" coordsize="1174,1686" o:spt="100" adj="0,,0" path="m6459,1770r67,m6725,1770r354,m6459,1208r67,m6725,1208r907,m6459,2332r67,m6725,2332r22,m6946,2332r133,m6725,2894r22,m6946,2894r133,e" filled="f" strokecolor="#b2b1b3" strokeweight=".139mm">
              <v:stroke joinstyle="round"/>
              <v:formulas/>
              <v:path arrowok="t" o:connecttype="segments"/>
            </v:shape>
            <v:rect id="docshape2429" o:spid="_x0000_s1599" style="position:absolute;left:6746;top:2271;width:200;height:1185" fillcolor="#00aeef" stroked="f"/>
            <v:line id="_x0000_s1598" style="position:absolute" from="6459,2894" to="6526,2894" strokecolor="#b2b1b3" strokeweight=".139mm"/>
            <v:rect id="docshape2430" o:spid="_x0000_s1597" style="position:absolute;left:6525;top:980;width:200;height:2476" fillcolor="#2e3092" stroked="f"/>
            <v:shape id="docshape2431" o:spid="_x0000_s1596" style="position:absolute;left:7278;top:1770;width:355;height:1124" coordorigin="7278,1770" coordsize="355,1124" o:spt="100" adj="0,,0" path="m7278,1770r354,m7278,2332r22,m7500,2332r132,m7278,2894r22,m7500,2894r132,e" filled="f" strokecolor="#b2b1b3" strokeweight=".139mm">
              <v:stroke joinstyle="round"/>
              <v:formulas/>
              <v:path arrowok="t" o:connecttype="segments"/>
            </v:shape>
            <v:rect id="docshape2432" o:spid="_x0000_s1595" style="position:absolute;left:7300;top:2102;width:200;height:1354" fillcolor="#00aeef" stroked="f"/>
            <v:rect id="docshape2433" o:spid="_x0000_s1594" style="position:absolute;left:7078;top:1431;width:200;height:2025" fillcolor="#2e3092" stroked="f"/>
            <v:shape id="docshape2434" o:spid="_x0000_s1593" style="position:absolute;left:6459;top:646;width:3874;height:2248" coordorigin="6459,646" coordsize="3874,2248" o:spt="100" adj="0,,0" path="m7832,1770r354,m6459,646r1173,m7832,646r2501,m7832,1208r1461,m7832,2332r22,m8053,2332r133,m7832,2894r22,m8053,2894r133,e" filled="f" strokecolor="#b2b1b3" strokeweight=".139mm">
              <v:stroke joinstyle="round"/>
              <v:formulas/>
              <v:path arrowok="t" o:connecttype="segments"/>
            </v:shape>
            <v:rect id="docshape2435" o:spid="_x0000_s1592" style="position:absolute;left:7853;top:2198;width:200;height:1258" fillcolor="#00aeef" stroked="f"/>
            <v:rect id="docshape2436" o:spid="_x0000_s1591" style="position:absolute;left:7632;top:297;width:200;height:3159" fillcolor="#2e3092" stroked="f"/>
            <v:shape id="docshape2437" o:spid="_x0000_s1590" style="position:absolute;left:8385;top:1770;width:355;height:1124" coordorigin="8385,1770" coordsize="355,1124" o:spt="100" adj="0,,0" path="m8385,1770r354,m8385,2332r354,m8385,2894r22,m8607,2894r132,e" filled="f" strokecolor="#b2b1b3" strokeweight=".139mm">
              <v:stroke joinstyle="round"/>
              <v:formulas/>
              <v:path arrowok="t" o:connecttype="segments"/>
            </v:shape>
            <v:rect id="docshape2438" o:spid="_x0000_s1589" style="position:absolute;left:8407;top:2564;width:200;height:892" fillcolor="#00aeef" stroked="f"/>
            <v:rect id="docshape2439" o:spid="_x0000_s1588" style="position:absolute;left:8185;top:1307;width:200;height:2149" fillcolor="#2e3092" stroked="f"/>
            <v:shape id="docshape2440" o:spid="_x0000_s1587" style="position:absolute;left:8938;top:1770;width:355;height:1124" coordorigin="8939,1770" coordsize="355,1124" o:spt="100" adj="0,,0" path="m8939,1770r354,m8939,2332r22,m9160,2332r133,m8939,2894r22,m9160,2894r133,e" filled="f" strokecolor="#b2b1b3" strokeweight=".139mm">
              <v:stroke joinstyle="round"/>
              <v:formulas/>
              <v:path arrowok="t" o:connecttype="segments"/>
            </v:shape>
            <v:rect id="docshape2441" o:spid="_x0000_s1586" style="position:absolute;left:8960;top:1871;width:200;height:1585" fillcolor="#00aeef" stroked="f"/>
            <v:rect id="docshape2442" o:spid="_x0000_s1585" style="position:absolute;left:8739;top:1431;width:200;height:2025" fillcolor="#2e3092" stroked="f"/>
            <v:shape id="docshape2443" o:spid="_x0000_s1584" style="position:absolute;left:9491;top:1770;width:355;height:1124" coordorigin="9492,1770" coordsize="355,1124" o:spt="100" adj="0,,0" path="m9492,1770r22,m9713,1770r133,m9492,2332r22,m9713,2332r133,m9492,2894r22,m9713,2894r133,e" filled="f" strokecolor="#b2b1b3" strokeweight=".139mm">
              <v:stroke joinstyle="round"/>
              <v:formulas/>
              <v:path arrowok="t" o:connecttype="segments"/>
            </v:shape>
            <v:rect id="docshape2444" o:spid="_x0000_s1583" style="position:absolute;left:9514;top:1510;width:200;height:1946" fillcolor="#00aeef" stroked="f"/>
            <v:line id="_x0000_s1582" style="position:absolute" from="9492,1208" to="9846,1208" strokecolor="#b2b1b3" strokeweight=".139mm"/>
            <v:rect id="docshape2445" o:spid="_x0000_s1581" style="position:absolute;left:9292;top:935;width:200;height:2521" fillcolor="#2e3092" stroked="f"/>
            <v:shape id="docshape2446" o:spid="_x0000_s1580" style="position:absolute;left:10045;top:2332;width:288;height:562" coordorigin="10045,2332" coordsize="288,562" o:spt="100" adj="0,,0" path="m10045,2332r23,m10267,2332r66,m10045,2894r23,m10267,2894r66,e" filled="f" strokecolor="#b2b1b3" strokeweight=".139mm">
              <v:stroke joinstyle="round"/>
              <v:formulas/>
              <v:path arrowok="t" o:connecttype="segments"/>
            </v:shape>
            <v:rect id="docshape2447" o:spid="_x0000_s1579" style="position:absolute;left:10067;top:2158;width:200;height:1298" fillcolor="#00aeef" stroked="f"/>
            <v:shape id="docshape2448" o:spid="_x0000_s1578" style="position:absolute;left:10045;top:1208;width:288;height:562" coordorigin="10045,1208" coordsize="288,562" o:spt="100" adj="0,,0" path="m10045,1770r288,m10045,1208r288,e" filled="f" strokecolor="#b2b1b3" strokeweight=".139mm">
              <v:stroke joinstyle="round"/>
              <v:formulas/>
              <v:path arrowok="t" o:connecttype="segments"/>
            </v:shape>
            <v:rect id="docshape2449" o:spid="_x0000_s1577" style="position:absolute;left:9846;top:1053;width:200;height:2403" fillcolor="#2e3092" stroked="f"/>
            <v:line id="_x0000_s1576" style="position:absolute" from="6459,3456" to="10333,3456" strokecolor="#b2b1b3" strokeweight=".27833mm"/>
            <w10:wrap anchorx="page"/>
          </v:group>
        </w:pict>
      </w:r>
      <w:r w:rsidR="00F22F94">
        <w:rPr>
          <w:spacing w:val="-5"/>
          <w:sz w:val="15"/>
        </w:rPr>
        <w:t>600</w:t>
      </w:r>
    </w:p>
    <w:p w:rsidR="002C1123" w:rsidRDefault="002C1123">
      <w:pPr>
        <w:pStyle w:val="BodyText"/>
        <w:rPr>
          <w:sz w:val="18"/>
        </w:rPr>
      </w:pPr>
    </w:p>
    <w:p w:rsidR="002C1123" w:rsidRDefault="002C1123">
      <w:pPr>
        <w:pStyle w:val="BodyText"/>
        <w:spacing w:before="1"/>
        <w:rPr>
          <w:sz w:val="16"/>
        </w:rPr>
      </w:pPr>
    </w:p>
    <w:p w:rsidR="002C1123" w:rsidRDefault="00F22F94">
      <w:pPr>
        <w:ind w:left="266"/>
        <w:rPr>
          <w:sz w:val="15"/>
        </w:rPr>
      </w:pPr>
      <w:r>
        <w:rPr>
          <w:spacing w:val="-5"/>
          <w:sz w:val="15"/>
        </w:rPr>
        <w:t>500</w:t>
      </w:r>
    </w:p>
    <w:p w:rsidR="002C1123" w:rsidRDefault="002C1123">
      <w:pPr>
        <w:pStyle w:val="BodyText"/>
        <w:rPr>
          <w:sz w:val="18"/>
        </w:rPr>
      </w:pPr>
    </w:p>
    <w:p w:rsidR="002C1123" w:rsidRDefault="002C1123">
      <w:pPr>
        <w:pStyle w:val="BodyText"/>
        <w:rPr>
          <w:sz w:val="16"/>
        </w:rPr>
      </w:pPr>
    </w:p>
    <w:p w:rsidR="002C1123" w:rsidRDefault="00F22F94">
      <w:pPr>
        <w:ind w:left="266"/>
        <w:rPr>
          <w:sz w:val="15"/>
        </w:rPr>
      </w:pPr>
      <w:r>
        <w:rPr>
          <w:spacing w:val="-5"/>
          <w:sz w:val="15"/>
        </w:rPr>
        <w:t>400</w:t>
      </w:r>
    </w:p>
    <w:p w:rsidR="002C1123" w:rsidRDefault="002C1123">
      <w:pPr>
        <w:pStyle w:val="BodyText"/>
        <w:rPr>
          <w:sz w:val="18"/>
        </w:rPr>
      </w:pPr>
    </w:p>
    <w:p w:rsidR="002C1123" w:rsidRDefault="002C1123">
      <w:pPr>
        <w:pStyle w:val="BodyText"/>
        <w:spacing w:before="1"/>
        <w:rPr>
          <w:sz w:val="16"/>
        </w:rPr>
      </w:pPr>
    </w:p>
    <w:p w:rsidR="002C1123" w:rsidRDefault="00F22F94">
      <w:pPr>
        <w:ind w:left="266"/>
        <w:rPr>
          <w:sz w:val="15"/>
        </w:rPr>
      </w:pPr>
      <w:r>
        <w:rPr>
          <w:spacing w:val="-5"/>
          <w:sz w:val="15"/>
        </w:rPr>
        <w:t>300</w:t>
      </w:r>
    </w:p>
    <w:p w:rsidR="002C1123" w:rsidRDefault="002C1123">
      <w:pPr>
        <w:pStyle w:val="BodyText"/>
        <w:rPr>
          <w:sz w:val="18"/>
        </w:rPr>
      </w:pPr>
    </w:p>
    <w:p w:rsidR="002C1123" w:rsidRDefault="002C1123">
      <w:pPr>
        <w:pStyle w:val="BodyText"/>
        <w:rPr>
          <w:sz w:val="16"/>
        </w:rPr>
      </w:pPr>
    </w:p>
    <w:p w:rsidR="002C1123" w:rsidRDefault="00F22F94">
      <w:pPr>
        <w:ind w:left="266"/>
        <w:rPr>
          <w:sz w:val="15"/>
        </w:rPr>
      </w:pPr>
      <w:r>
        <w:rPr>
          <w:spacing w:val="-5"/>
          <w:sz w:val="15"/>
        </w:rPr>
        <w:t>200</w:t>
      </w:r>
    </w:p>
    <w:p w:rsidR="002C1123" w:rsidRDefault="002C1123">
      <w:pPr>
        <w:pStyle w:val="BodyText"/>
        <w:rPr>
          <w:sz w:val="18"/>
        </w:rPr>
      </w:pPr>
    </w:p>
    <w:p w:rsidR="002C1123" w:rsidRDefault="002C1123">
      <w:pPr>
        <w:pStyle w:val="BodyText"/>
        <w:rPr>
          <w:sz w:val="16"/>
        </w:rPr>
      </w:pPr>
    </w:p>
    <w:p w:rsidR="002C1123" w:rsidRDefault="00F22F94">
      <w:pPr>
        <w:spacing w:before="1"/>
        <w:ind w:left="266"/>
        <w:rPr>
          <w:sz w:val="15"/>
        </w:rPr>
      </w:pPr>
      <w:r>
        <w:rPr>
          <w:spacing w:val="-5"/>
          <w:sz w:val="15"/>
        </w:rPr>
        <w:t>100</w:t>
      </w:r>
    </w:p>
    <w:p w:rsidR="002C1123" w:rsidRDefault="002C1123">
      <w:pPr>
        <w:pStyle w:val="BodyText"/>
        <w:rPr>
          <w:sz w:val="18"/>
        </w:rPr>
      </w:pPr>
    </w:p>
    <w:p w:rsidR="002C1123" w:rsidRDefault="002C1123">
      <w:pPr>
        <w:pStyle w:val="BodyText"/>
        <w:rPr>
          <w:sz w:val="16"/>
        </w:rPr>
      </w:pPr>
    </w:p>
    <w:p w:rsidR="002C1123" w:rsidRDefault="00F22F94">
      <w:pPr>
        <w:spacing w:line="76" w:lineRule="exact"/>
        <w:ind w:left="417"/>
        <w:rPr>
          <w:sz w:val="15"/>
        </w:rPr>
      </w:pPr>
      <w:r>
        <w:rPr>
          <w:w w:val="90"/>
          <w:sz w:val="15"/>
        </w:rPr>
        <w:t>0</w:t>
      </w:r>
    </w:p>
    <w:p w:rsidR="002C1123" w:rsidRDefault="00F22F94">
      <w:pPr>
        <w:pStyle w:val="BodyText"/>
        <w:spacing w:before="129" w:line="249" w:lineRule="auto"/>
        <w:ind w:left="456" w:right="1074"/>
      </w:pPr>
      <w:r>
        <w:br w:type="column"/>
      </w:r>
      <w:r>
        <w:t>Whilst</w:t>
      </w:r>
      <w:r>
        <w:rPr>
          <w:spacing w:val="-14"/>
        </w:rPr>
        <w:t xml:space="preserve"> </w:t>
      </w:r>
      <w:r>
        <w:t>NSW</w:t>
      </w:r>
      <w:r>
        <w:rPr>
          <w:spacing w:val="-14"/>
        </w:rPr>
        <w:t xml:space="preserve"> </w:t>
      </w:r>
      <w:r>
        <w:t>Health/Local</w:t>
      </w:r>
      <w:r>
        <w:rPr>
          <w:spacing w:val="-14"/>
        </w:rPr>
        <w:t xml:space="preserve"> </w:t>
      </w:r>
      <w:r>
        <w:t>Health</w:t>
      </w:r>
      <w:r>
        <w:rPr>
          <w:spacing w:val="-14"/>
        </w:rPr>
        <w:t xml:space="preserve"> </w:t>
      </w:r>
      <w:r>
        <w:t>Districts</w:t>
      </w:r>
      <w:r>
        <w:rPr>
          <w:spacing w:val="-14"/>
        </w:rPr>
        <w:t xml:space="preserve"> </w:t>
      </w:r>
      <w:r>
        <w:t xml:space="preserve">already </w:t>
      </w:r>
      <w:r>
        <w:rPr>
          <w:w w:val="95"/>
        </w:rPr>
        <w:t>purchase</w:t>
      </w:r>
      <w:r>
        <w:rPr>
          <w:spacing w:val="-4"/>
          <w:w w:val="95"/>
        </w:rPr>
        <w:t xml:space="preserve"> </w:t>
      </w:r>
      <w:r>
        <w:rPr>
          <w:w w:val="95"/>
        </w:rPr>
        <w:t>services</w:t>
      </w:r>
      <w:r>
        <w:rPr>
          <w:spacing w:val="-4"/>
          <w:w w:val="95"/>
        </w:rPr>
        <w:t xml:space="preserve"> </w:t>
      </w:r>
      <w:r>
        <w:rPr>
          <w:w w:val="95"/>
        </w:rPr>
        <w:t>from</w:t>
      </w:r>
      <w:r>
        <w:rPr>
          <w:spacing w:val="-4"/>
          <w:w w:val="95"/>
        </w:rPr>
        <w:t xml:space="preserve"> </w:t>
      </w:r>
      <w:r>
        <w:rPr>
          <w:w w:val="95"/>
        </w:rPr>
        <w:t>the</w:t>
      </w:r>
      <w:r>
        <w:rPr>
          <w:spacing w:val="-4"/>
          <w:w w:val="95"/>
        </w:rPr>
        <w:t xml:space="preserve"> </w:t>
      </w:r>
      <w:r>
        <w:rPr>
          <w:w w:val="95"/>
        </w:rPr>
        <w:t>private</w:t>
      </w:r>
      <w:r>
        <w:rPr>
          <w:spacing w:val="-4"/>
          <w:w w:val="95"/>
        </w:rPr>
        <w:t xml:space="preserve"> </w:t>
      </w:r>
      <w:r>
        <w:rPr>
          <w:w w:val="95"/>
        </w:rPr>
        <w:t>sector,</w:t>
      </w:r>
      <w:r>
        <w:rPr>
          <w:spacing w:val="-4"/>
          <w:w w:val="95"/>
        </w:rPr>
        <w:t xml:space="preserve"> </w:t>
      </w:r>
      <w:r>
        <w:rPr>
          <w:w w:val="95"/>
        </w:rPr>
        <w:t>this</w:t>
      </w:r>
      <w:r>
        <w:rPr>
          <w:spacing w:val="-4"/>
          <w:w w:val="95"/>
        </w:rPr>
        <w:t xml:space="preserve"> </w:t>
      </w:r>
      <w:r>
        <w:rPr>
          <w:w w:val="95"/>
        </w:rPr>
        <w:t xml:space="preserve">mode </w:t>
      </w:r>
      <w:r>
        <w:t>of</w:t>
      </w:r>
      <w:r>
        <w:rPr>
          <w:spacing w:val="-14"/>
        </w:rPr>
        <w:t xml:space="preserve"> </w:t>
      </w:r>
      <w:r>
        <w:t>capital</w:t>
      </w:r>
      <w:r>
        <w:rPr>
          <w:spacing w:val="-14"/>
        </w:rPr>
        <w:t xml:space="preserve"> </w:t>
      </w:r>
      <w:r>
        <w:t>efficient</w:t>
      </w:r>
      <w:r>
        <w:rPr>
          <w:spacing w:val="-14"/>
        </w:rPr>
        <w:t xml:space="preserve"> </w:t>
      </w:r>
      <w:r>
        <w:t>procurement</w:t>
      </w:r>
      <w:r>
        <w:rPr>
          <w:spacing w:val="-14"/>
        </w:rPr>
        <w:t xml:space="preserve"> </w:t>
      </w:r>
      <w:r>
        <w:t>could</w:t>
      </w:r>
      <w:r>
        <w:rPr>
          <w:spacing w:val="-14"/>
        </w:rPr>
        <w:t xml:space="preserve"> </w:t>
      </w:r>
      <w:r>
        <w:t>be</w:t>
      </w:r>
      <w:r>
        <w:rPr>
          <w:spacing w:val="-14"/>
        </w:rPr>
        <w:t xml:space="preserve"> </w:t>
      </w:r>
      <w:r>
        <w:t>expanded and</w:t>
      </w:r>
      <w:r>
        <w:rPr>
          <w:spacing w:val="-11"/>
        </w:rPr>
        <w:t xml:space="preserve"> </w:t>
      </w:r>
      <w:r>
        <w:t>accelerated.</w:t>
      </w:r>
    </w:p>
    <w:p w:rsidR="002C1123" w:rsidRDefault="00F22F94">
      <w:pPr>
        <w:pStyle w:val="BodyText"/>
        <w:spacing w:before="145" w:line="249" w:lineRule="auto"/>
        <w:ind w:left="456" w:right="1074"/>
      </w:pPr>
      <w:r>
        <w:rPr>
          <w:w w:val="95"/>
        </w:rPr>
        <w:t>The</w:t>
      </w:r>
      <w:r>
        <w:rPr>
          <w:spacing w:val="-1"/>
          <w:w w:val="95"/>
        </w:rPr>
        <w:t xml:space="preserve"> </w:t>
      </w:r>
      <w:r>
        <w:rPr>
          <w:w w:val="95"/>
        </w:rPr>
        <w:t>recommendation</w:t>
      </w:r>
      <w:r>
        <w:rPr>
          <w:spacing w:val="-1"/>
          <w:w w:val="95"/>
        </w:rPr>
        <w:t xml:space="preserve"> </w:t>
      </w:r>
      <w:r>
        <w:rPr>
          <w:w w:val="95"/>
        </w:rPr>
        <w:t>for</w:t>
      </w:r>
      <w:r>
        <w:rPr>
          <w:spacing w:val="-1"/>
          <w:w w:val="95"/>
        </w:rPr>
        <w:t xml:space="preserve"> </w:t>
      </w:r>
      <w:r>
        <w:rPr>
          <w:w w:val="95"/>
        </w:rPr>
        <w:t>full</w:t>
      </w:r>
      <w:r>
        <w:rPr>
          <w:spacing w:val="-1"/>
          <w:w w:val="95"/>
        </w:rPr>
        <w:t xml:space="preserve"> </w:t>
      </w:r>
      <w:r>
        <w:rPr>
          <w:w w:val="95"/>
        </w:rPr>
        <w:t>service</w:t>
      </w:r>
      <w:r>
        <w:rPr>
          <w:spacing w:val="-1"/>
          <w:w w:val="95"/>
        </w:rPr>
        <w:t xml:space="preserve"> </w:t>
      </w:r>
      <w:r>
        <w:rPr>
          <w:w w:val="95"/>
        </w:rPr>
        <w:t>procurement</w:t>
      </w:r>
      <w:r>
        <w:rPr>
          <w:spacing w:val="-1"/>
          <w:w w:val="95"/>
        </w:rPr>
        <w:t xml:space="preserve"> </w:t>
      </w:r>
      <w:r>
        <w:rPr>
          <w:w w:val="95"/>
        </w:rPr>
        <w:t xml:space="preserve">of public health from private providers is very different </w:t>
      </w:r>
      <w:r>
        <w:rPr>
          <w:spacing w:val="-2"/>
        </w:rPr>
        <w:t>to</w:t>
      </w:r>
      <w:r>
        <w:rPr>
          <w:spacing w:val="-6"/>
        </w:rPr>
        <w:t xml:space="preserve"> </w:t>
      </w:r>
      <w:r>
        <w:rPr>
          <w:spacing w:val="-2"/>
        </w:rPr>
        <w:t>past</w:t>
      </w:r>
      <w:r>
        <w:rPr>
          <w:spacing w:val="-6"/>
        </w:rPr>
        <w:t xml:space="preserve"> </w:t>
      </w:r>
      <w:r>
        <w:rPr>
          <w:spacing w:val="-2"/>
        </w:rPr>
        <w:t>Public</w:t>
      </w:r>
      <w:r>
        <w:rPr>
          <w:spacing w:val="-6"/>
        </w:rPr>
        <w:t xml:space="preserve"> </w:t>
      </w:r>
      <w:r>
        <w:rPr>
          <w:spacing w:val="-2"/>
        </w:rPr>
        <w:t>Private</w:t>
      </w:r>
      <w:r>
        <w:rPr>
          <w:spacing w:val="-6"/>
        </w:rPr>
        <w:t xml:space="preserve"> </w:t>
      </w:r>
      <w:r>
        <w:rPr>
          <w:spacing w:val="-2"/>
        </w:rPr>
        <w:t>Partnership</w:t>
      </w:r>
      <w:r>
        <w:rPr>
          <w:spacing w:val="-6"/>
        </w:rPr>
        <w:t xml:space="preserve"> </w:t>
      </w:r>
      <w:r>
        <w:rPr>
          <w:spacing w:val="-2"/>
        </w:rPr>
        <w:t>(PPP)</w:t>
      </w:r>
      <w:r>
        <w:rPr>
          <w:spacing w:val="-6"/>
        </w:rPr>
        <w:t xml:space="preserve"> </w:t>
      </w:r>
      <w:r>
        <w:rPr>
          <w:spacing w:val="-2"/>
        </w:rPr>
        <w:t>models.</w:t>
      </w:r>
    </w:p>
    <w:p w:rsidR="002C1123" w:rsidRDefault="00F22F94">
      <w:pPr>
        <w:pStyle w:val="BodyText"/>
        <w:spacing w:before="2" w:line="249" w:lineRule="auto"/>
        <w:ind w:left="456" w:right="1074"/>
      </w:pPr>
      <w:r>
        <w:t>To</w:t>
      </w:r>
      <w:r>
        <w:rPr>
          <w:spacing w:val="-14"/>
        </w:rPr>
        <w:t xml:space="preserve"> </w:t>
      </w:r>
      <w:r>
        <w:t>date,</w:t>
      </w:r>
      <w:r>
        <w:rPr>
          <w:spacing w:val="-14"/>
        </w:rPr>
        <w:t xml:space="preserve"> </w:t>
      </w:r>
      <w:r>
        <w:t>PPP</w:t>
      </w:r>
      <w:r>
        <w:rPr>
          <w:spacing w:val="-14"/>
        </w:rPr>
        <w:t xml:space="preserve"> </w:t>
      </w:r>
      <w:r>
        <w:t>models</w:t>
      </w:r>
      <w:r>
        <w:rPr>
          <w:spacing w:val="-14"/>
        </w:rPr>
        <w:t xml:space="preserve"> </w:t>
      </w:r>
      <w:r>
        <w:t>have</w:t>
      </w:r>
      <w:r>
        <w:rPr>
          <w:spacing w:val="-14"/>
        </w:rPr>
        <w:t xml:space="preserve"> </w:t>
      </w:r>
      <w:r>
        <w:t>been</w:t>
      </w:r>
      <w:r>
        <w:rPr>
          <w:spacing w:val="-14"/>
        </w:rPr>
        <w:t xml:space="preserve"> </w:t>
      </w:r>
      <w:r>
        <w:t>used</w:t>
      </w:r>
      <w:r>
        <w:rPr>
          <w:spacing w:val="-14"/>
        </w:rPr>
        <w:t xml:space="preserve"> </w:t>
      </w:r>
      <w:r>
        <w:t>in</w:t>
      </w:r>
      <w:r>
        <w:rPr>
          <w:spacing w:val="-14"/>
        </w:rPr>
        <w:t xml:space="preserve"> </w:t>
      </w:r>
      <w:r>
        <w:t>NSW</w:t>
      </w:r>
      <w:r>
        <w:rPr>
          <w:spacing w:val="-14"/>
        </w:rPr>
        <w:t xml:space="preserve"> </w:t>
      </w:r>
      <w:r>
        <w:t xml:space="preserve">to </w:t>
      </w:r>
      <w:r>
        <w:rPr>
          <w:w w:val="95"/>
        </w:rPr>
        <w:t>deliver infrastructure and provide maintenance and some</w:t>
      </w:r>
      <w:r>
        <w:rPr>
          <w:spacing w:val="-2"/>
          <w:w w:val="95"/>
        </w:rPr>
        <w:t xml:space="preserve"> </w:t>
      </w:r>
      <w:r>
        <w:rPr>
          <w:w w:val="95"/>
        </w:rPr>
        <w:t>support</w:t>
      </w:r>
      <w:r>
        <w:rPr>
          <w:spacing w:val="-2"/>
          <w:w w:val="95"/>
        </w:rPr>
        <w:t xml:space="preserve"> </w:t>
      </w:r>
      <w:r>
        <w:rPr>
          <w:w w:val="95"/>
        </w:rPr>
        <w:t>services.</w:t>
      </w:r>
      <w:r>
        <w:rPr>
          <w:spacing w:val="-2"/>
          <w:w w:val="95"/>
        </w:rPr>
        <w:t xml:space="preserve"> </w:t>
      </w:r>
      <w:r>
        <w:rPr>
          <w:w w:val="95"/>
        </w:rPr>
        <w:t>The</w:t>
      </w:r>
      <w:r>
        <w:rPr>
          <w:spacing w:val="-2"/>
          <w:w w:val="95"/>
        </w:rPr>
        <w:t xml:space="preserve"> </w:t>
      </w:r>
      <w:r>
        <w:rPr>
          <w:w w:val="95"/>
        </w:rPr>
        <w:t>traditional</w:t>
      </w:r>
      <w:r>
        <w:rPr>
          <w:spacing w:val="-2"/>
          <w:w w:val="95"/>
        </w:rPr>
        <w:t xml:space="preserve"> </w:t>
      </w:r>
      <w:r>
        <w:rPr>
          <w:w w:val="95"/>
        </w:rPr>
        <w:t>PPP</w:t>
      </w:r>
      <w:r>
        <w:rPr>
          <w:spacing w:val="-2"/>
          <w:w w:val="95"/>
        </w:rPr>
        <w:t xml:space="preserve"> </w:t>
      </w:r>
      <w:r>
        <w:rPr>
          <w:w w:val="95"/>
        </w:rPr>
        <w:t>models</w:t>
      </w:r>
    </w:p>
    <w:p w:rsidR="002C1123" w:rsidRDefault="00F22F94">
      <w:pPr>
        <w:pStyle w:val="BodyText"/>
        <w:spacing w:before="3" w:line="249" w:lineRule="auto"/>
        <w:ind w:left="456" w:right="143"/>
      </w:pPr>
      <w:r>
        <w:rPr>
          <w:w w:val="95"/>
        </w:rPr>
        <w:t xml:space="preserve">reduced initial capital cost for government and provided </w:t>
      </w:r>
      <w:r>
        <w:t>capacity</w:t>
      </w:r>
      <w:r>
        <w:rPr>
          <w:spacing w:val="-14"/>
        </w:rPr>
        <w:t xml:space="preserve"> </w:t>
      </w:r>
      <w:r>
        <w:t>to</w:t>
      </w:r>
      <w:r>
        <w:rPr>
          <w:spacing w:val="-14"/>
        </w:rPr>
        <w:t xml:space="preserve"> </w:t>
      </w:r>
      <w:r>
        <w:t>accelerate</w:t>
      </w:r>
      <w:r>
        <w:rPr>
          <w:spacing w:val="-14"/>
        </w:rPr>
        <w:t xml:space="preserve"> </w:t>
      </w:r>
      <w:r>
        <w:t>infrastructure</w:t>
      </w:r>
      <w:r>
        <w:rPr>
          <w:spacing w:val="-14"/>
        </w:rPr>
        <w:t xml:space="preserve"> </w:t>
      </w:r>
      <w:r>
        <w:t>delivery</w:t>
      </w:r>
      <w:r>
        <w:rPr>
          <w:spacing w:val="-14"/>
        </w:rPr>
        <w:t xml:space="preserve"> </w:t>
      </w:r>
      <w:r>
        <w:t>as</w:t>
      </w:r>
      <w:r>
        <w:rPr>
          <w:spacing w:val="-14"/>
        </w:rPr>
        <w:t xml:space="preserve"> </w:t>
      </w:r>
      <w:r>
        <w:t>well</w:t>
      </w:r>
    </w:p>
    <w:p w:rsidR="002C1123" w:rsidRDefault="00F22F94">
      <w:pPr>
        <w:pStyle w:val="BodyText"/>
        <w:spacing w:before="2" w:line="249" w:lineRule="auto"/>
        <w:ind w:left="456" w:right="819"/>
      </w:pPr>
      <w:r>
        <w:rPr>
          <w:w w:val="95"/>
        </w:rPr>
        <w:t>as</w:t>
      </w:r>
      <w:r>
        <w:rPr>
          <w:spacing w:val="-1"/>
          <w:w w:val="95"/>
        </w:rPr>
        <w:t xml:space="preserve"> </w:t>
      </w:r>
      <w:r>
        <w:rPr>
          <w:w w:val="95"/>
        </w:rPr>
        <w:t>enabling</w:t>
      </w:r>
      <w:r>
        <w:rPr>
          <w:spacing w:val="-1"/>
          <w:w w:val="95"/>
        </w:rPr>
        <w:t xml:space="preserve"> </w:t>
      </w:r>
      <w:r>
        <w:rPr>
          <w:w w:val="95"/>
        </w:rPr>
        <w:t>outsourcing</w:t>
      </w:r>
      <w:r>
        <w:rPr>
          <w:spacing w:val="-1"/>
          <w:w w:val="95"/>
        </w:rPr>
        <w:t xml:space="preserve"> </w:t>
      </w:r>
      <w:r>
        <w:rPr>
          <w:w w:val="95"/>
        </w:rPr>
        <w:t>of</w:t>
      </w:r>
      <w:r>
        <w:rPr>
          <w:spacing w:val="-1"/>
          <w:w w:val="95"/>
        </w:rPr>
        <w:t xml:space="preserve"> </w:t>
      </w:r>
      <w:r>
        <w:rPr>
          <w:w w:val="95"/>
        </w:rPr>
        <w:t>ongoing</w:t>
      </w:r>
      <w:r>
        <w:rPr>
          <w:spacing w:val="-1"/>
          <w:w w:val="95"/>
        </w:rPr>
        <w:t xml:space="preserve"> </w:t>
      </w:r>
      <w:r>
        <w:rPr>
          <w:w w:val="95"/>
        </w:rPr>
        <w:t>maintenance</w:t>
      </w:r>
      <w:r>
        <w:rPr>
          <w:spacing w:val="-1"/>
          <w:w w:val="95"/>
        </w:rPr>
        <w:t xml:space="preserve"> </w:t>
      </w:r>
      <w:r>
        <w:rPr>
          <w:w w:val="95"/>
        </w:rPr>
        <w:t xml:space="preserve">and </w:t>
      </w:r>
      <w:r>
        <w:t>asset</w:t>
      </w:r>
      <w:r>
        <w:rPr>
          <w:spacing w:val="-14"/>
        </w:rPr>
        <w:t xml:space="preserve"> </w:t>
      </w:r>
      <w:r>
        <w:t>management</w:t>
      </w:r>
      <w:r>
        <w:rPr>
          <w:spacing w:val="-14"/>
        </w:rPr>
        <w:t xml:space="preserve"> </w:t>
      </w:r>
      <w:r>
        <w:t>to</w:t>
      </w:r>
      <w:r>
        <w:rPr>
          <w:spacing w:val="-14"/>
        </w:rPr>
        <w:t xml:space="preserve"> </w:t>
      </w:r>
      <w:r>
        <w:t>ensure</w:t>
      </w:r>
      <w:r>
        <w:rPr>
          <w:spacing w:val="-14"/>
        </w:rPr>
        <w:t xml:space="preserve"> </w:t>
      </w:r>
      <w:r>
        <w:t>facilities</w:t>
      </w:r>
      <w:r>
        <w:rPr>
          <w:spacing w:val="-14"/>
        </w:rPr>
        <w:t xml:space="preserve"> </w:t>
      </w:r>
      <w:r>
        <w:t>stay</w:t>
      </w:r>
      <w:r>
        <w:rPr>
          <w:spacing w:val="-14"/>
        </w:rPr>
        <w:t xml:space="preserve"> </w:t>
      </w:r>
      <w:r>
        <w:t>in</w:t>
      </w:r>
      <w:r>
        <w:rPr>
          <w:spacing w:val="-14"/>
        </w:rPr>
        <w:t xml:space="preserve"> </w:t>
      </w:r>
      <w:r>
        <w:t>near new</w:t>
      </w:r>
      <w:r>
        <w:rPr>
          <w:spacing w:val="-11"/>
        </w:rPr>
        <w:t xml:space="preserve"> </w:t>
      </w:r>
      <w:r>
        <w:t>condition.</w:t>
      </w:r>
    </w:p>
    <w:p w:rsidR="002C1123" w:rsidRDefault="00F22F94">
      <w:pPr>
        <w:pStyle w:val="BodyText"/>
        <w:spacing w:before="144"/>
        <w:ind w:left="456"/>
      </w:pPr>
      <w:r>
        <w:rPr>
          <w:w w:val="95"/>
        </w:rPr>
        <w:t>In</w:t>
      </w:r>
      <w:r>
        <w:rPr>
          <w:spacing w:val="-5"/>
          <w:w w:val="95"/>
        </w:rPr>
        <w:t xml:space="preserve"> </w:t>
      </w:r>
      <w:r>
        <w:rPr>
          <w:w w:val="95"/>
        </w:rPr>
        <w:t>the</w:t>
      </w:r>
      <w:r>
        <w:rPr>
          <w:spacing w:val="-4"/>
          <w:w w:val="95"/>
        </w:rPr>
        <w:t xml:space="preserve"> </w:t>
      </w:r>
      <w:r>
        <w:rPr>
          <w:w w:val="95"/>
        </w:rPr>
        <w:t>long</w:t>
      </w:r>
      <w:r>
        <w:rPr>
          <w:spacing w:val="-4"/>
          <w:w w:val="95"/>
        </w:rPr>
        <w:t xml:space="preserve"> </w:t>
      </w:r>
      <w:r>
        <w:rPr>
          <w:w w:val="95"/>
        </w:rPr>
        <w:t>term,</w:t>
      </w:r>
      <w:r>
        <w:rPr>
          <w:spacing w:val="-4"/>
          <w:w w:val="95"/>
        </w:rPr>
        <w:t xml:space="preserve"> </w:t>
      </w:r>
      <w:r>
        <w:rPr>
          <w:w w:val="95"/>
        </w:rPr>
        <w:t>a</w:t>
      </w:r>
      <w:r>
        <w:rPr>
          <w:spacing w:val="-4"/>
          <w:w w:val="95"/>
        </w:rPr>
        <w:t xml:space="preserve"> </w:t>
      </w:r>
      <w:r>
        <w:rPr>
          <w:w w:val="95"/>
        </w:rPr>
        <w:t>‘buy’</w:t>
      </w:r>
      <w:r>
        <w:rPr>
          <w:spacing w:val="-4"/>
          <w:w w:val="95"/>
        </w:rPr>
        <w:t xml:space="preserve"> </w:t>
      </w:r>
      <w:r>
        <w:rPr>
          <w:w w:val="95"/>
        </w:rPr>
        <w:t>rather</w:t>
      </w:r>
      <w:r>
        <w:rPr>
          <w:spacing w:val="-4"/>
          <w:w w:val="95"/>
        </w:rPr>
        <w:t xml:space="preserve"> </w:t>
      </w:r>
      <w:r>
        <w:rPr>
          <w:w w:val="95"/>
        </w:rPr>
        <w:t>than</w:t>
      </w:r>
      <w:r>
        <w:rPr>
          <w:spacing w:val="-4"/>
          <w:w w:val="95"/>
        </w:rPr>
        <w:t xml:space="preserve"> </w:t>
      </w:r>
      <w:r>
        <w:rPr>
          <w:w w:val="95"/>
        </w:rPr>
        <w:t>‘build’</w:t>
      </w:r>
      <w:r>
        <w:rPr>
          <w:spacing w:val="-4"/>
          <w:w w:val="95"/>
        </w:rPr>
        <w:t xml:space="preserve"> </w:t>
      </w:r>
      <w:r>
        <w:rPr>
          <w:w w:val="95"/>
        </w:rPr>
        <w:t>strategy</w:t>
      </w:r>
      <w:r>
        <w:rPr>
          <w:spacing w:val="-4"/>
          <w:w w:val="95"/>
        </w:rPr>
        <w:t xml:space="preserve"> could</w:t>
      </w:r>
    </w:p>
    <w:p w:rsidR="002C1123" w:rsidRDefault="002C1123">
      <w:pPr>
        <w:sectPr w:rsidR="002C1123">
          <w:type w:val="continuous"/>
          <w:pgSz w:w="16840" w:h="11910" w:orient="landscape"/>
          <w:pgMar w:top="560" w:right="280" w:bottom="280" w:left="500" w:header="0" w:footer="517" w:gutter="0"/>
          <w:cols w:num="3" w:space="720" w:equalWidth="0">
            <w:col w:w="5286" w:space="40"/>
            <w:col w:w="4724" w:space="39"/>
            <w:col w:w="5971"/>
          </w:cols>
        </w:sectPr>
      </w:pPr>
    </w:p>
    <w:p w:rsidR="002C1123" w:rsidRDefault="00F22F94">
      <w:pPr>
        <w:pStyle w:val="BodyText"/>
        <w:spacing w:before="7" w:line="249" w:lineRule="auto"/>
        <w:ind w:left="492"/>
      </w:pPr>
      <w:r>
        <w:rPr>
          <w:w w:val="95"/>
        </w:rPr>
        <w:t xml:space="preserve">significant caveats around the available data) that show </w:t>
      </w:r>
      <w:r>
        <w:t>the</w:t>
      </w:r>
      <w:r>
        <w:rPr>
          <w:spacing w:val="-9"/>
        </w:rPr>
        <w:t xml:space="preserve"> </w:t>
      </w:r>
      <w:r>
        <w:t>capital</w:t>
      </w:r>
      <w:r>
        <w:rPr>
          <w:spacing w:val="-9"/>
        </w:rPr>
        <w:t xml:space="preserve"> </w:t>
      </w:r>
      <w:r>
        <w:t>cost</w:t>
      </w:r>
      <w:r>
        <w:rPr>
          <w:spacing w:val="-9"/>
        </w:rPr>
        <w:t xml:space="preserve"> </w:t>
      </w:r>
      <w:r>
        <w:t>of</w:t>
      </w:r>
      <w:r>
        <w:rPr>
          <w:spacing w:val="-9"/>
        </w:rPr>
        <w:t xml:space="preserve"> </w:t>
      </w:r>
      <w:r>
        <w:t>health</w:t>
      </w:r>
      <w:r>
        <w:rPr>
          <w:spacing w:val="-9"/>
        </w:rPr>
        <w:t xml:space="preserve"> </w:t>
      </w:r>
      <w:r>
        <w:t>care</w:t>
      </w:r>
      <w:r>
        <w:rPr>
          <w:spacing w:val="-9"/>
        </w:rPr>
        <w:t xml:space="preserve"> </w:t>
      </w:r>
      <w:r>
        <w:t>per</w:t>
      </w:r>
      <w:r>
        <w:rPr>
          <w:spacing w:val="-9"/>
        </w:rPr>
        <w:t xml:space="preserve"> </w:t>
      </w:r>
      <w:r>
        <w:t xml:space="preserve">casemix-adjusted </w:t>
      </w:r>
      <w:r>
        <w:rPr>
          <w:w w:val="95"/>
        </w:rPr>
        <w:t>separation</w:t>
      </w:r>
      <w:r>
        <w:rPr>
          <w:spacing w:val="-5"/>
          <w:w w:val="95"/>
        </w:rPr>
        <w:t xml:space="preserve"> </w:t>
      </w:r>
      <w:r>
        <w:rPr>
          <w:w w:val="95"/>
        </w:rPr>
        <w:t>is</w:t>
      </w:r>
      <w:r>
        <w:rPr>
          <w:spacing w:val="-5"/>
          <w:w w:val="95"/>
        </w:rPr>
        <w:t xml:space="preserve"> </w:t>
      </w:r>
      <w:r>
        <w:rPr>
          <w:w w:val="95"/>
        </w:rPr>
        <w:t>much</w:t>
      </w:r>
      <w:r>
        <w:rPr>
          <w:spacing w:val="-5"/>
          <w:w w:val="95"/>
        </w:rPr>
        <w:t xml:space="preserve"> </w:t>
      </w:r>
      <w:r>
        <w:rPr>
          <w:w w:val="95"/>
        </w:rPr>
        <w:t>lower</w:t>
      </w:r>
      <w:r>
        <w:rPr>
          <w:spacing w:val="-5"/>
          <w:w w:val="95"/>
        </w:rPr>
        <w:t xml:space="preserve"> </w:t>
      </w:r>
      <w:r>
        <w:rPr>
          <w:w w:val="95"/>
        </w:rPr>
        <w:t>for</w:t>
      </w:r>
      <w:r>
        <w:rPr>
          <w:spacing w:val="-5"/>
          <w:w w:val="95"/>
        </w:rPr>
        <w:t xml:space="preserve"> </w:t>
      </w:r>
      <w:r>
        <w:rPr>
          <w:w w:val="95"/>
        </w:rPr>
        <w:t>private</w:t>
      </w:r>
      <w:r>
        <w:rPr>
          <w:spacing w:val="-5"/>
          <w:w w:val="95"/>
        </w:rPr>
        <w:t xml:space="preserve"> </w:t>
      </w:r>
      <w:r>
        <w:rPr>
          <w:w w:val="95"/>
        </w:rPr>
        <w:t>hospitals</w:t>
      </w:r>
      <w:r>
        <w:rPr>
          <w:spacing w:val="-5"/>
          <w:w w:val="95"/>
        </w:rPr>
        <w:t xml:space="preserve"> </w:t>
      </w:r>
      <w:r>
        <w:rPr>
          <w:w w:val="95"/>
        </w:rPr>
        <w:t>than</w:t>
      </w:r>
      <w:r>
        <w:rPr>
          <w:spacing w:val="-5"/>
          <w:w w:val="95"/>
        </w:rPr>
        <w:t xml:space="preserve"> </w:t>
      </w:r>
      <w:r>
        <w:rPr>
          <w:w w:val="95"/>
        </w:rPr>
        <w:t xml:space="preserve">public </w:t>
      </w:r>
      <w:r>
        <w:t>hospitals,</w:t>
      </w:r>
      <w:r>
        <w:rPr>
          <w:spacing w:val="-7"/>
        </w:rPr>
        <w:t xml:space="preserve"> </w:t>
      </w:r>
      <w:r>
        <w:t>as</w:t>
      </w:r>
      <w:r>
        <w:rPr>
          <w:spacing w:val="-7"/>
        </w:rPr>
        <w:t xml:space="preserve"> </w:t>
      </w:r>
      <w:r>
        <w:t>shown</w:t>
      </w:r>
      <w:r>
        <w:rPr>
          <w:spacing w:val="-7"/>
        </w:rPr>
        <w:t xml:space="preserve"> </w:t>
      </w:r>
      <w:r>
        <w:t>in</w:t>
      </w:r>
      <w:r>
        <w:rPr>
          <w:spacing w:val="-7"/>
        </w:rPr>
        <w:t xml:space="preserve"> </w:t>
      </w:r>
      <w:r>
        <w:t>Figure</w:t>
      </w:r>
      <w:r>
        <w:rPr>
          <w:spacing w:val="-7"/>
        </w:rPr>
        <w:t xml:space="preserve"> </w:t>
      </w:r>
      <w:r>
        <w:t>13.5.</w:t>
      </w:r>
    </w:p>
    <w:p w:rsidR="002C1123" w:rsidRDefault="00F22F94">
      <w:pPr>
        <w:tabs>
          <w:tab w:val="left" w:pos="1387"/>
          <w:tab w:val="left" w:pos="1913"/>
          <w:tab w:val="left" w:pos="2509"/>
        </w:tabs>
        <w:spacing w:before="77"/>
        <w:ind w:left="789"/>
        <w:rPr>
          <w:sz w:val="15"/>
        </w:rPr>
      </w:pPr>
      <w:r>
        <w:br w:type="column"/>
      </w:r>
      <w:r>
        <w:rPr>
          <w:spacing w:val="-5"/>
          <w:w w:val="85"/>
          <w:sz w:val="15"/>
        </w:rPr>
        <w:t>NSW</w:t>
      </w:r>
      <w:r>
        <w:rPr>
          <w:sz w:val="15"/>
        </w:rPr>
        <w:tab/>
      </w:r>
      <w:r>
        <w:rPr>
          <w:spacing w:val="-5"/>
          <w:w w:val="85"/>
          <w:sz w:val="15"/>
        </w:rPr>
        <w:t>VIC</w:t>
      </w:r>
      <w:r>
        <w:rPr>
          <w:sz w:val="15"/>
        </w:rPr>
        <w:tab/>
      </w:r>
      <w:r>
        <w:rPr>
          <w:spacing w:val="-5"/>
          <w:w w:val="85"/>
          <w:sz w:val="15"/>
        </w:rPr>
        <w:t>QLD</w:t>
      </w:r>
      <w:r>
        <w:rPr>
          <w:sz w:val="15"/>
        </w:rPr>
        <w:tab/>
      </w:r>
      <w:r>
        <w:rPr>
          <w:spacing w:val="-14"/>
          <w:w w:val="85"/>
          <w:sz w:val="15"/>
        </w:rPr>
        <w:t>SA</w:t>
      </w:r>
    </w:p>
    <w:p w:rsidR="002C1123" w:rsidRDefault="002C1123">
      <w:pPr>
        <w:pStyle w:val="BodyText"/>
        <w:spacing w:before="3"/>
        <w:rPr>
          <w:sz w:val="18"/>
        </w:rPr>
      </w:pPr>
    </w:p>
    <w:p w:rsidR="002C1123" w:rsidRDefault="002060EF">
      <w:pPr>
        <w:tabs>
          <w:tab w:val="left" w:pos="1794"/>
        </w:tabs>
        <w:ind w:left="967"/>
        <w:rPr>
          <w:sz w:val="14"/>
        </w:rPr>
      </w:pPr>
      <w:r>
        <w:pict>
          <v:rect id="docshape2450" o:spid="_x0000_s1574" style="position:absolute;left:0;text-align:left;margin-left:326.3pt;margin-top:-.4pt;width:8.4pt;height:8.4pt;z-index:251658240;mso-position-horizontal-relative:page" fillcolor="#2e3092" stroked="f">
            <w10:wrap anchorx="page"/>
          </v:rect>
        </w:pict>
      </w:r>
      <w:r>
        <w:pict>
          <v:rect id="docshape2451" o:spid="_x0000_s1573" style="position:absolute;left:0;text-align:left;margin-left:367.65pt;margin-top:-.4pt;width:8.4pt;height:8.4pt;z-index:-251453440;mso-position-horizontal-relative:page" fillcolor="#00aeef" stroked="f">
            <w10:wrap anchorx="page"/>
          </v:rect>
        </w:pict>
      </w:r>
      <w:r w:rsidR="00F22F94">
        <w:rPr>
          <w:spacing w:val="-2"/>
          <w:w w:val="85"/>
          <w:sz w:val="14"/>
        </w:rPr>
        <w:t>Public</w:t>
      </w:r>
      <w:r w:rsidR="00F22F94">
        <w:rPr>
          <w:sz w:val="14"/>
        </w:rPr>
        <w:tab/>
      </w:r>
      <w:r w:rsidR="00F22F94">
        <w:rPr>
          <w:spacing w:val="-2"/>
          <w:w w:val="85"/>
          <w:sz w:val="14"/>
        </w:rPr>
        <w:t>Private</w:t>
      </w:r>
    </w:p>
    <w:p w:rsidR="002C1123" w:rsidRDefault="002C1123">
      <w:pPr>
        <w:pStyle w:val="BodyText"/>
        <w:spacing w:before="3"/>
        <w:rPr>
          <w:sz w:val="15"/>
        </w:rPr>
      </w:pPr>
    </w:p>
    <w:p w:rsidR="002C1123" w:rsidRDefault="00F22F94">
      <w:pPr>
        <w:ind w:left="282"/>
        <w:rPr>
          <w:sz w:val="14"/>
        </w:rPr>
      </w:pPr>
      <w:r>
        <w:rPr>
          <w:w w:val="95"/>
          <w:sz w:val="14"/>
        </w:rPr>
        <w:t>Source:</w:t>
      </w:r>
      <w:r>
        <w:rPr>
          <w:spacing w:val="-1"/>
          <w:sz w:val="14"/>
        </w:rPr>
        <w:t xml:space="preserve"> </w:t>
      </w:r>
      <w:r>
        <w:rPr>
          <w:w w:val="95"/>
          <w:sz w:val="14"/>
        </w:rPr>
        <w:t>Productivity</w:t>
      </w:r>
      <w:r>
        <w:rPr>
          <w:spacing w:val="-1"/>
          <w:sz w:val="14"/>
        </w:rPr>
        <w:t xml:space="preserve"> </w:t>
      </w:r>
      <w:r>
        <w:rPr>
          <w:spacing w:val="-2"/>
          <w:w w:val="95"/>
          <w:sz w:val="14"/>
        </w:rPr>
        <w:t>Commission.</w:t>
      </w:r>
    </w:p>
    <w:p w:rsidR="002C1123" w:rsidRDefault="00F22F94">
      <w:pPr>
        <w:tabs>
          <w:tab w:val="left" w:pos="761"/>
        </w:tabs>
        <w:spacing w:before="83" w:line="230" w:lineRule="auto"/>
        <w:ind w:left="794" w:right="38" w:hanging="455"/>
        <w:rPr>
          <w:sz w:val="15"/>
        </w:rPr>
      </w:pPr>
      <w:r>
        <w:br w:type="column"/>
      </w:r>
      <w:r>
        <w:rPr>
          <w:spacing w:val="-6"/>
          <w:w w:val="90"/>
          <w:sz w:val="15"/>
        </w:rPr>
        <w:t>WA</w:t>
      </w:r>
      <w:r>
        <w:rPr>
          <w:sz w:val="15"/>
        </w:rPr>
        <w:tab/>
      </w:r>
      <w:r>
        <w:rPr>
          <w:spacing w:val="-2"/>
          <w:w w:val="85"/>
          <w:sz w:val="15"/>
        </w:rPr>
        <w:t>TAS,</w:t>
      </w:r>
      <w:r>
        <w:rPr>
          <w:spacing w:val="-3"/>
          <w:w w:val="85"/>
          <w:sz w:val="15"/>
        </w:rPr>
        <w:t xml:space="preserve"> </w:t>
      </w:r>
      <w:r>
        <w:rPr>
          <w:spacing w:val="-2"/>
          <w:w w:val="85"/>
          <w:sz w:val="15"/>
        </w:rPr>
        <w:t>NT</w:t>
      </w:r>
      <w:r>
        <w:rPr>
          <w:sz w:val="15"/>
        </w:rPr>
        <w:t xml:space="preserve"> </w:t>
      </w:r>
      <w:r>
        <w:rPr>
          <w:spacing w:val="-2"/>
          <w:w w:val="85"/>
          <w:sz w:val="15"/>
        </w:rPr>
        <w:t>Australia</w:t>
      </w:r>
      <w:r>
        <w:rPr>
          <w:sz w:val="15"/>
        </w:rPr>
        <w:t xml:space="preserve"> </w:t>
      </w:r>
      <w:r>
        <w:rPr>
          <w:w w:val="90"/>
          <w:sz w:val="15"/>
        </w:rPr>
        <w:t>&amp;</w:t>
      </w:r>
      <w:r>
        <w:rPr>
          <w:spacing w:val="-3"/>
          <w:w w:val="90"/>
          <w:sz w:val="15"/>
        </w:rPr>
        <w:t xml:space="preserve"> </w:t>
      </w:r>
      <w:r>
        <w:rPr>
          <w:w w:val="90"/>
          <w:sz w:val="15"/>
        </w:rPr>
        <w:t>ACT</w:t>
      </w:r>
    </w:p>
    <w:p w:rsidR="002C1123" w:rsidRDefault="00F22F94">
      <w:pPr>
        <w:pStyle w:val="BodyText"/>
        <w:spacing w:line="194" w:lineRule="exact"/>
        <w:ind w:left="492"/>
      </w:pPr>
      <w:r>
        <w:br w:type="column"/>
      </w:r>
      <w:r>
        <w:rPr>
          <w:w w:val="95"/>
        </w:rPr>
        <w:t>significantly</w:t>
      </w:r>
      <w:r>
        <w:rPr>
          <w:spacing w:val="-4"/>
          <w:w w:val="95"/>
        </w:rPr>
        <w:t xml:space="preserve"> </w:t>
      </w:r>
      <w:r>
        <w:rPr>
          <w:w w:val="95"/>
        </w:rPr>
        <w:t>reduce</w:t>
      </w:r>
      <w:r>
        <w:rPr>
          <w:spacing w:val="-4"/>
          <w:w w:val="95"/>
        </w:rPr>
        <w:t xml:space="preserve"> </w:t>
      </w:r>
      <w:r>
        <w:rPr>
          <w:w w:val="95"/>
        </w:rPr>
        <w:t>costs</w:t>
      </w:r>
      <w:r>
        <w:rPr>
          <w:spacing w:val="-4"/>
          <w:w w:val="95"/>
        </w:rPr>
        <w:t xml:space="preserve"> </w:t>
      </w:r>
      <w:r>
        <w:rPr>
          <w:w w:val="95"/>
        </w:rPr>
        <w:t>by</w:t>
      </w:r>
      <w:r>
        <w:rPr>
          <w:spacing w:val="-4"/>
          <w:w w:val="95"/>
        </w:rPr>
        <w:t xml:space="preserve"> </w:t>
      </w:r>
      <w:r>
        <w:rPr>
          <w:w w:val="95"/>
        </w:rPr>
        <w:t>improving</w:t>
      </w:r>
      <w:r>
        <w:rPr>
          <w:spacing w:val="-4"/>
          <w:w w:val="95"/>
        </w:rPr>
        <w:t xml:space="preserve"> </w:t>
      </w:r>
      <w:r>
        <w:rPr>
          <w:w w:val="95"/>
        </w:rPr>
        <w:t>the</w:t>
      </w:r>
      <w:r>
        <w:rPr>
          <w:spacing w:val="-4"/>
          <w:w w:val="95"/>
        </w:rPr>
        <w:t xml:space="preserve"> </w:t>
      </w:r>
      <w:r>
        <w:rPr>
          <w:spacing w:val="-2"/>
          <w:w w:val="95"/>
        </w:rPr>
        <w:t>competitive</w:t>
      </w:r>
    </w:p>
    <w:p w:rsidR="002C1123" w:rsidRDefault="00F22F94">
      <w:pPr>
        <w:pStyle w:val="BodyText"/>
        <w:spacing w:before="10" w:line="249" w:lineRule="auto"/>
        <w:ind w:left="492" w:right="707"/>
      </w:pPr>
      <w:r>
        <w:rPr>
          <w:w w:val="95"/>
        </w:rPr>
        <w:t>character</w:t>
      </w:r>
      <w:r>
        <w:rPr>
          <w:spacing w:val="-4"/>
          <w:w w:val="95"/>
        </w:rPr>
        <w:t xml:space="preserve"> </w:t>
      </w:r>
      <w:r>
        <w:rPr>
          <w:w w:val="95"/>
        </w:rPr>
        <w:t>of</w:t>
      </w:r>
      <w:r>
        <w:rPr>
          <w:spacing w:val="-4"/>
          <w:w w:val="95"/>
        </w:rPr>
        <w:t xml:space="preserve"> </w:t>
      </w:r>
      <w:r>
        <w:rPr>
          <w:w w:val="95"/>
        </w:rPr>
        <w:t>the</w:t>
      </w:r>
      <w:r>
        <w:rPr>
          <w:spacing w:val="-4"/>
          <w:w w:val="95"/>
        </w:rPr>
        <w:t xml:space="preserve"> </w:t>
      </w:r>
      <w:r>
        <w:rPr>
          <w:w w:val="95"/>
        </w:rPr>
        <w:t>NSW</w:t>
      </w:r>
      <w:r>
        <w:rPr>
          <w:spacing w:val="-4"/>
          <w:w w:val="95"/>
        </w:rPr>
        <w:t xml:space="preserve"> </w:t>
      </w:r>
      <w:r>
        <w:rPr>
          <w:w w:val="95"/>
        </w:rPr>
        <w:t>health</w:t>
      </w:r>
      <w:r>
        <w:rPr>
          <w:spacing w:val="-4"/>
          <w:w w:val="95"/>
        </w:rPr>
        <w:t xml:space="preserve"> </w:t>
      </w:r>
      <w:r>
        <w:rPr>
          <w:w w:val="95"/>
        </w:rPr>
        <w:t>market</w:t>
      </w:r>
      <w:r>
        <w:rPr>
          <w:spacing w:val="-4"/>
          <w:w w:val="95"/>
        </w:rPr>
        <w:t xml:space="preserve"> </w:t>
      </w:r>
      <w:r>
        <w:rPr>
          <w:w w:val="95"/>
        </w:rPr>
        <w:t>and</w:t>
      </w:r>
      <w:r>
        <w:rPr>
          <w:spacing w:val="-4"/>
          <w:w w:val="95"/>
        </w:rPr>
        <w:t xml:space="preserve"> </w:t>
      </w:r>
      <w:r>
        <w:rPr>
          <w:w w:val="95"/>
        </w:rPr>
        <w:t xml:space="preserve">expanding </w:t>
      </w:r>
      <w:r>
        <w:t>choices for the community.</w:t>
      </w:r>
    </w:p>
    <w:p w:rsidR="002C1123" w:rsidRDefault="00F22F94">
      <w:pPr>
        <w:pStyle w:val="BodyText"/>
        <w:spacing w:before="143"/>
        <w:ind w:left="492"/>
      </w:pPr>
      <w:r>
        <w:rPr>
          <w:w w:val="95"/>
        </w:rPr>
        <w:t>The</w:t>
      </w:r>
      <w:r>
        <w:rPr>
          <w:spacing w:val="-2"/>
        </w:rPr>
        <w:t xml:space="preserve"> </w:t>
      </w:r>
      <w:r>
        <w:rPr>
          <w:w w:val="95"/>
        </w:rPr>
        <w:t>recommended</w:t>
      </w:r>
      <w:r>
        <w:rPr>
          <w:spacing w:val="-2"/>
        </w:rPr>
        <w:t xml:space="preserve"> </w:t>
      </w:r>
      <w:r>
        <w:rPr>
          <w:w w:val="95"/>
        </w:rPr>
        <w:t>full</w:t>
      </w:r>
      <w:r>
        <w:rPr>
          <w:spacing w:val="-1"/>
        </w:rPr>
        <w:t xml:space="preserve"> </w:t>
      </w:r>
      <w:r>
        <w:rPr>
          <w:w w:val="95"/>
        </w:rPr>
        <w:t>service</w:t>
      </w:r>
      <w:r>
        <w:rPr>
          <w:spacing w:val="-2"/>
        </w:rPr>
        <w:t xml:space="preserve"> </w:t>
      </w:r>
      <w:r>
        <w:rPr>
          <w:w w:val="95"/>
        </w:rPr>
        <w:t>procurement</w:t>
      </w:r>
      <w:r>
        <w:rPr>
          <w:spacing w:val="-1"/>
        </w:rPr>
        <w:t xml:space="preserve"> </w:t>
      </w:r>
      <w:r>
        <w:rPr>
          <w:spacing w:val="-2"/>
          <w:w w:val="95"/>
        </w:rPr>
        <w:t>strategy</w:t>
      </w:r>
    </w:p>
    <w:p w:rsidR="002C1123" w:rsidRDefault="002C1123">
      <w:pPr>
        <w:sectPr w:rsidR="002C1123">
          <w:type w:val="continuous"/>
          <w:pgSz w:w="16840" w:h="11910" w:orient="landscape"/>
          <w:pgMar w:top="560" w:right="280" w:bottom="280" w:left="500" w:header="0" w:footer="517" w:gutter="0"/>
          <w:cols w:num="4" w:space="720" w:equalWidth="0">
            <w:col w:w="5270" w:space="40"/>
            <w:col w:w="2664" w:space="39"/>
            <w:col w:w="1807" w:space="233"/>
            <w:col w:w="6007"/>
          </w:cols>
        </w:sectPr>
      </w:pPr>
    </w:p>
    <w:p w:rsidR="002C1123" w:rsidRDefault="00F22F94">
      <w:pPr>
        <w:pStyle w:val="BodyText"/>
        <w:spacing w:before="98" w:line="249" w:lineRule="auto"/>
        <w:ind w:left="5518"/>
      </w:pPr>
      <w:r>
        <w:t>These</w:t>
      </w:r>
      <w:r>
        <w:rPr>
          <w:spacing w:val="-9"/>
        </w:rPr>
        <w:t xml:space="preserve"> </w:t>
      </w:r>
      <w:r>
        <w:t>comparisons</w:t>
      </w:r>
      <w:r>
        <w:rPr>
          <w:spacing w:val="-9"/>
        </w:rPr>
        <w:t xml:space="preserve"> </w:t>
      </w:r>
      <w:r>
        <w:t>of</w:t>
      </w:r>
      <w:r>
        <w:rPr>
          <w:spacing w:val="-9"/>
        </w:rPr>
        <w:t xml:space="preserve"> </w:t>
      </w:r>
      <w:r>
        <w:t>private</w:t>
      </w:r>
      <w:r>
        <w:rPr>
          <w:spacing w:val="-9"/>
        </w:rPr>
        <w:t xml:space="preserve"> </w:t>
      </w:r>
      <w:r>
        <w:t>and</w:t>
      </w:r>
      <w:r>
        <w:rPr>
          <w:spacing w:val="-9"/>
        </w:rPr>
        <w:t xml:space="preserve"> </w:t>
      </w:r>
      <w:r>
        <w:t>public</w:t>
      </w:r>
      <w:r>
        <w:rPr>
          <w:spacing w:val="-9"/>
        </w:rPr>
        <w:t xml:space="preserve"> </w:t>
      </w:r>
      <w:r>
        <w:t xml:space="preserve">hospital </w:t>
      </w:r>
      <w:r>
        <w:rPr>
          <w:w w:val="95"/>
        </w:rPr>
        <w:t>activity</w:t>
      </w:r>
      <w:r>
        <w:rPr>
          <w:spacing w:val="-3"/>
          <w:w w:val="95"/>
        </w:rPr>
        <w:t xml:space="preserve"> </w:t>
      </w:r>
      <w:r>
        <w:rPr>
          <w:w w:val="95"/>
        </w:rPr>
        <w:t>between</w:t>
      </w:r>
      <w:r>
        <w:rPr>
          <w:spacing w:val="-4"/>
          <w:w w:val="95"/>
        </w:rPr>
        <w:t xml:space="preserve"> </w:t>
      </w:r>
      <w:r>
        <w:rPr>
          <w:w w:val="95"/>
        </w:rPr>
        <w:t>states</w:t>
      </w:r>
      <w:r>
        <w:rPr>
          <w:spacing w:val="-3"/>
          <w:w w:val="95"/>
        </w:rPr>
        <w:t xml:space="preserve"> </w:t>
      </w:r>
      <w:r>
        <w:rPr>
          <w:w w:val="95"/>
        </w:rPr>
        <w:t>are</w:t>
      </w:r>
      <w:r>
        <w:rPr>
          <w:spacing w:val="-4"/>
          <w:w w:val="95"/>
        </w:rPr>
        <w:t xml:space="preserve"> </w:t>
      </w:r>
      <w:r>
        <w:rPr>
          <w:w w:val="95"/>
        </w:rPr>
        <w:t>blunt</w:t>
      </w:r>
      <w:r>
        <w:rPr>
          <w:spacing w:val="-3"/>
          <w:w w:val="95"/>
        </w:rPr>
        <w:t xml:space="preserve"> </w:t>
      </w:r>
      <w:r>
        <w:rPr>
          <w:w w:val="95"/>
        </w:rPr>
        <w:t>but</w:t>
      </w:r>
      <w:r>
        <w:rPr>
          <w:spacing w:val="-4"/>
          <w:w w:val="95"/>
        </w:rPr>
        <w:t xml:space="preserve"> </w:t>
      </w:r>
      <w:r>
        <w:rPr>
          <w:w w:val="95"/>
        </w:rPr>
        <w:t>indicate</w:t>
      </w:r>
      <w:r>
        <w:rPr>
          <w:spacing w:val="-3"/>
          <w:w w:val="95"/>
        </w:rPr>
        <w:t xml:space="preserve"> </w:t>
      </w:r>
      <w:r>
        <w:rPr>
          <w:w w:val="95"/>
        </w:rPr>
        <w:t>that</w:t>
      </w:r>
      <w:r>
        <w:rPr>
          <w:spacing w:val="-4"/>
          <w:w w:val="95"/>
        </w:rPr>
        <w:t xml:space="preserve"> </w:t>
      </w:r>
      <w:r>
        <w:rPr>
          <w:w w:val="95"/>
        </w:rPr>
        <w:t xml:space="preserve">there </w:t>
      </w:r>
      <w:r>
        <w:t>are</w:t>
      </w:r>
      <w:r>
        <w:rPr>
          <w:spacing w:val="-9"/>
        </w:rPr>
        <w:t xml:space="preserve"> </w:t>
      </w:r>
      <w:r>
        <w:t>opportunities</w:t>
      </w:r>
      <w:r>
        <w:rPr>
          <w:spacing w:val="-9"/>
        </w:rPr>
        <w:t xml:space="preserve"> </w:t>
      </w:r>
      <w:r>
        <w:t>for</w:t>
      </w:r>
      <w:r>
        <w:rPr>
          <w:spacing w:val="-9"/>
        </w:rPr>
        <w:t xml:space="preserve"> </w:t>
      </w:r>
      <w:r>
        <w:t>lower</w:t>
      </w:r>
      <w:r>
        <w:rPr>
          <w:spacing w:val="-9"/>
        </w:rPr>
        <w:t xml:space="preserve"> </w:t>
      </w:r>
      <w:r>
        <w:t>costs</w:t>
      </w:r>
      <w:r>
        <w:rPr>
          <w:spacing w:val="-9"/>
        </w:rPr>
        <w:t xml:space="preserve"> </w:t>
      </w:r>
      <w:r>
        <w:t>by</w:t>
      </w:r>
      <w:r>
        <w:rPr>
          <w:spacing w:val="-9"/>
        </w:rPr>
        <w:t xml:space="preserve"> </w:t>
      </w:r>
      <w:r>
        <w:t>increasing</w:t>
      </w:r>
      <w:r>
        <w:rPr>
          <w:spacing w:val="-9"/>
        </w:rPr>
        <w:t xml:space="preserve"> </w:t>
      </w:r>
      <w:r>
        <w:t>the private</w:t>
      </w:r>
      <w:r>
        <w:rPr>
          <w:spacing w:val="-8"/>
        </w:rPr>
        <w:t xml:space="preserve"> </w:t>
      </w:r>
      <w:r>
        <w:t>sector’s</w:t>
      </w:r>
      <w:r>
        <w:rPr>
          <w:spacing w:val="-8"/>
        </w:rPr>
        <w:t xml:space="preserve"> </w:t>
      </w:r>
      <w:r>
        <w:t>proportion</w:t>
      </w:r>
      <w:r>
        <w:rPr>
          <w:spacing w:val="-8"/>
        </w:rPr>
        <w:t xml:space="preserve"> </w:t>
      </w:r>
      <w:r>
        <w:t>of</w:t>
      </w:r>
      <w:r>
        <w:rPr>
          <w:spacing w:val="-8"/>
        </w:rPr>
        <w:t xml:space="preserve"> </w:t>
      </w:r>
      <w:r>
        <w:t>supply</w:t>
      </w:r>
      <w:r>
        <w:rPr>
          <w:spacing w:val="-8"/>
        </w:rPr>
        <w:t xml:space="preserve"> </w:t>
      </w:r>
      <w:r>
        <w:t>of</w:t>
      </w:r>
      <w:r>
        <w:rPr>
          <w:spacing w:val="-8"/>
        </w:rPr>
        <w:t xml:space="preserve"> </w:t>
      </w:r>
      <w:r>
        <w:t>public</w:t>
      </w:r>
      <w:r>
        <w:rPr>
          <w:spacing w:val="-8"/>
        </w:rPr>
        <w:t xml:space="preserve"> </w:t>
      </w:r>
      <w:r>
        <w:t>health services in NSW.</w:t>
      </w:r>
    </w:p>
    <w:p w:rsidR="002C1123" w:rsidRDefault="00F22F94">
      <w:pPr>
        <w:pStyle w:val="BodyText"/>
        <w:spacing w:before="145" w:line="249" w:lineRule="auto"/>
        <w:ind w:left="5518" w:right="162"/>
      </w:pPr>
      <w:r>
        <w:t>Infrastructure</w:t>
      </w:r>
      <w:r>
        <w:rPr>
          <w:spacing w:val="-13"/>
        </w:rPr>
        <w:t xml:space="preserve"> </w:t>
      </w:r>
      <w:r>
        <w:t>NSW</w:t>
      </w:r>
      <w:r>
        <w:rPr>
          <w:spacing w:val="-13"/>
        </w:rPr>
        <w:t xml:space="preserve"> </w:t>
      </w:r>
      <w:r>
        <w:t>has</w:t>
      </w:r>
      <w:r>
        <w:rPr>
          <w:spacing w:val="-13"/>
        </w:rPr>
        <w:t xml:space="preserve"> </w:t>
      </w:r>
      <w:r>
        <w:t>also</w:t>
      </w:r>
      <w:r>
        <w:rPr>
          <w:spacing w:val="-13"/>
        </w:rPr>
        <w:t xml:space="preserve"> </w:t>
      </w:r>
      <w:r>
        <w:t>found</w:t>
      </w:r>
      <w:r>
        <w:rPr>
          <w:spacing w:val="-13"/>
        </w:rPr>
        <w:t xml:space="preserve"> </w:t>
      </w:r>
      <w:r>
        <w:t>that</w:t>
      </w:r>
      <w:r>
        <w:rPr>
          <w:spacing w:val="-13"/>
        </w:rPr>
        <w:t xml:space="preserve"> </w:t>
      </w:r>
      <w:r>
        <w:t>there</w:t>
      </w:r>
      <w:r>
        <w:rPr>
          <w:spacing w:val="-13"/>
        </w:rPr>
        <w:t xml:space="preserve"> </w:t>
      </w:r>
      <w:r>
        <w:t>is under-utilisation</w:t>
      </w:r>
      <w:r>
        <w:rPr>
          <w:spacing w:val="-14"/>
        </w:rPr>
        <w:t xml:space="preserve"> </w:t>
      </w:r>
      <w:r>
        <w:t>of</w:t>
      </w:r>
      <w:r>
        <w:rPr>
          <w:spacing w:val="-14"/>
        </w:rPr>
        <w:t xml:space="preserve"> </w:t>
      </w:r>
      <w:r>
        <w:t>private</w:t>
      </w:r>
      <w:r>
        <w:rPr>
          <w:spacing w:val="-14"/>
        </w:rPr>
        <w:t xml:space="preserve"> </w:t>
      </w:r>
      <w:r>
        <w:t>sector</w:t>
      </w:r>
      <w:r>
        <w:rPr>
          <w:spacing w:val="-14"/>
        </w:rPr>
        <w:t xml:space="preserve"> </w:t>
      </w:r>
      <w:r>
        <w:t>infrastructure. Private</w:t>
      </w:r>
      <w:r>
        <w:rPr>
          <w:spacing w:val="-14"/>
        </w:rPr>
        <w:t xml:space="preserve"> </w:t>
      </w:r>
      <w:r>
        <w:t>providers</w:t>
      </w:r>
      <w:r>
        <w:rPr>
          <w:spacing w:val="-14"/>
        </w:rPr>
        <w:t xml:space="preserve"> </w:t>
      </w:r>
      <w:r>
        <w:t>have</w:t>
      </w:r>
      <w:r>
        <w:rPr>
          <w:spacing w:val="-14"/>
        </w:rPr>
        <w:t xml:space="preserve"> </w:t>
      </w:r>
      <w:r>
        <w:t>submitted</w:t>
      </w:r>
      <w:r>
        <w:rPr>
          <w:spacing w:val="-14"/>
        </w:rPr>
        <w:t xml:space="preserve"> </w:t>
      </w:r>
      <w:r>
        <w:t>that</w:t>
      </w:r>
      <w:r>
        <w:rPr>
          <w:spacing w:val="-14"/>
        </w:rPr>
        <w:t xml:space="preserve"> </w:t>
      </w:r>
      <w:r>
        <w:t>there</w:t>
      </w:r>
      <w:r>
        <w:rPr>
          <w:spacing w:val="-14"/>
        </w:rPr>
        <w:t xml:space="preserve"> </w:t>
      </w:r>
      <w:r>
        <w:t>are</w:t>
      </w:r>
      <w:r>
        <w:rPr>
          <w:spacing w:val="-14"/>
        </w:rPr>
        <w:t xml:space="preserve"> </w:t>
      </w:r>
      <w:r>
        <w:t xml:space="preserve">at </w:t>
      </w:r>
      <w:r>
        <w:rPr>
          <w:w w:val="95"/>
        </w:rPr>
        <w:t>least</w:t>
      </w:r>
      <w:r>
        <w:rPr>
          <w:spacing w:val="-2"/>
          <w:w w:val="95"/>
        </w:rPr>
        <w:t xml:space="preserve"> </w:t>
      </w:r>
      <w:r>
        <w:rPr>
          <w:w w:val="95"/>
        </w:rPr>
        <w:t>300</w:t>
      </w:r>
      <w:r>
        <w:rPr>
          <w:spacing w:val="-2"/>
          <w:w w:val="95"/>
        </w:rPr>
        <w:t xml:space="preserve"> </w:t>
      </w:r>
      <w:r>
        <w:rPr>
          <w:w w:val="95"/>
        </w:rPr>
        <w:t>‘moth-balled’</w:t>
      </w:r>
      <w:r>
        <w:rPr>
          <w:spacing w:val="-2"/>
          <w:w w:val="95"/>
        </w:rPr>
        <w:t xml:space="preserve"> </w:t>
      </w:r>
      <w:r>
        <w:rPr>
          <w:w w:val="95"/>
        </w:rPr>
        <w:t>beds</w:t>
      </w:r>
      <w:r>
        <w:rPr>
          <w:spacing w:val="-2"/>
          <w:w w:val="95"/>
        </w:rPr>
        <w:t xml:space="preserve"> </w:t>
      </w:r>
      <w:r>
        <w:rPr>
          <w:w w:val="95"/>
        </w:rPr>
        <w:t>available</w:t>
      </w:r>
      <w:r>
        <w:rPr>
          <w:spacing w:val="-2"/>
          <w:w w:val="95"/>
        </w:rPr>
        <w:t xml:space="preserve"> </w:t>
      </w:r>
      <w:r>
        <w:rPr>
          <w:w w:val="95"/>
        </w:rPr>
        <w:t>for</w:t>
      </w:r>
      <w:r>
        <w:rPr>
          <w:spacing w:val="-2"/>
          <w:w w:val="95"/>
        </w:rPr>
        <w:t xml:space="preserve"> </w:t>
      </w:r>
      <w:r>
        <w:rPr>
          <w:w w:val="95"/>
        </w:rPr>
        <w:t xml:space="preserve">full-service </w:t>
      </w:r>
      <w:r>
        <w:t>procurement</w:t>
      </w:r>
      <w:r>
        <w:rPr>
          <w:spacing w:val="-5"/>
        </w:rPr>
        <w:t xml:space="preserve"> </w:t>
      </w:r>
      <w:r>
        <w:t>for</w:t>
      </w:r>
      <w:r>
        <w:rPr>
          <w:spacing w:val="-5"/>
        </w:rPr>
        <w:t xml:space="preserve"> </w:t>
      </w:r>
      <w:r>
        <w:t>public</w:t>
      </w:r>
      <w:r>
        <w:rPr>
          <w:spacing w:val="-5"/>
        </w:rPr>
        <w:t xml:space="preserve"> </w:t>
      </w:r>
      <w:r>
        <w:t>health</w:t>
      </w:r>
      <w:r>
        <w:rPr>
          <w:spacing w:val="-5"/>
        </w:rPr>
        <w:t xml:space="preserve"> </w:t>
      </w:r>
      <w:r>
        <w:t>use,</w:t>
      </w:r>
      <w:r>
        <w:rPr>
          <w:spacing w:val="-5"/>
        </w:rPr>
        <w:t xml:space="preserve"> </w:t>
      </w:r>
      <w:r>
        <w:t>without</w:t>
      </w:r>
      <w:r>
        <w:rPr>
          <w:spacing w:val="-5"/>
        </w:rPr>
        <w:t xml:space="preserve"> </w:t>
      </w:r>
      <w:r>
        <w:t>any substantial capital investment.</w:t>
      </w:r>
    </w:p>
    <w:p w:rsidR="002C1123" w:rsidRDefault="00F22F94">
      <w:pPr>
        <w:pStyle w:val="BodyText"/>
        <w:spacing w:before="10" w:line="249" w:lineRule="auto"/>
        <w:ind w:left="388" w:right="660"/>
      </w:pPr>
      <w:r>
        <w:br w:type="column"/>
      </w:r>
      <w:r>
        <w:rPr>
          <w:w w:val="95"/>
        </w:rPr>
        <w:t xml:space="preserve">and specialist precinct strategies will create momentum </w:t>
      </w:r>
      <w:r>
        <w:rPr>
          <w:spacing w:val="-2"/>
        </w:rPr>
        <w:t>for</w:t>
      </w:r>
      <w:r>
        <w:rPr>
          <w:spacing w:val="-6"/>
        </w:rPr>
        <w:t xml:space="preserve"> </w:t>
      </w:r>
      <w:r>
        <w:rPr>
          <w:spacing w:val="-2"/>
        </w:rPr>
        <w:t>redressing</w:t>
      </w:r>
      <w:r>
        <w:rPr>
          <w:spacing w:val="-6"/>
        </w:rPr>
        <w:t xml:space="preserve"> </w:t>
      </w:r>
      <w:r>
        <w:rPr>
          <w:spacing w:val="-2"/>
        </w:rPr>
        <w:t>the</w:t>
      </w:r>
      <w:r>
        <w:rPr>
          <w:spacing w:val="-6"/>
        </w:rPr>
        <w:t xml:space="preserve"> </w:t>
      </w:r>
      <w:r>
        <w:rPr>
          <w:spacing w:val="-2"/>
        </w:rPr>
        <w:t>imbalance.</w:t>
      </w:r>
      <w:r>
        <w:rPr>
          <w:spacing w:val="-6"/>
        </w:rPr>
        <w:t xml:space="preserve"> </w:t>
      </w:r>
      <w:r>
        <w:rPr>
          <w:spacing w:val="-2"/>
        </w:rPr>
        <w:t>Private</w:t>
      </w:r>
      <w:r>
        <w:rPr>
          <w:spacing w:val="-6"/>
        </w:rPr>
        <w:t xml:space="preserve"> </w:t>
      </w:r>
      <w:r>
        <w:rPr>
          <w:spacing w:val="-2"/>
        </w:rPr>
        <w:t>providers</w:t>
      </w:r>
      <w:r>
        <w:rPr>
          <w:spacing w:val="-6"/>
        </w:rPr>
        <w:t xml:space="preserve"> </w:t>
      </w:r>
      <w:r>
        <w:rPr>
          <w:spacing w:val="-2"/>
        </w:rPr>
        <w:t xml:space="preserve">should </w:t>
      </w:r>
      <w:r>
        <w:t>also</w:t>
      </w:r>
      <w:r>
        <w:rPr>
          <w:spacing w:val="-14"/>
        </w:rPr>
        <w:t xml:space="preserve"> </w:t>
      </w:r>
      <w:r>
        <w:t>have</w:t>
      </w:r>
      <w:r>
        <w:rPr>
          <w:spacing w:val="-14"/>
        </w:rPr>
        <w:t xml:space="preserve"> </w:t>
      </w:r>
      <w:r>
        <w:t>greater</w:t>
      </w:r>
      <w:r>
        <w:rPr>
          <w:spacing w:val="-14"/>
        </w:rPr>
        <w:t xml:space="preserve"> </w:t>
      </w:r>
      <w:r>
        <w:t>involvement</w:t>
      </w:r>
      <w:r>
        <w:rPr>
          <w:spacing w:val="-14"/>
        </w:rPr>
        <w:t xml:space="preserve"> </w:t>
      </w:r>
      <w:r>
        <w:t>in</w:t>
      </w:r>
      <w:r>
        <w:rPr>
          <w:spacing w:val="-14"/>
        </w:rPr>
        <w:t xml:space="preserve"> </w:t>
      </w:r>
      <w:r>
        <w:t>the</w:t>
      </w:r>
      <w:r>
        <w:rPr>
          <w:spacing w:val="-14"/>
        </w:rPr>
        <w:t xml:space="preserve"> </w:t>
      </w:r>
      <w:r>
        <w:t>planning</w:t>
      </w:r>
      <w:r>
        <w:rPr>
          <w:spacing w:val="-14"/>
        </w:rPr>
        <w:t xml:space="preserve"> </w:t>
      </w:r>
      <w:r>
        <w:t xml:space="preserve">and </w:t>
      </w:r>
      <w:r>
        <w:rPr>
          <w:spacing w:val="-2"/>
        </w:rPr>
        <w:t>prioritisation</w:t>
      </w:r>
      <w:r>
        <w:rPr>
          <w:spacing w:val="-3"/>
        </w:rPr>
        <w:t xml:space="preserve"> </w:t>
      </w:r>
      <w:r>
        <w:rPr>
          <w:spacing w:val="-2"/>
        </w:rPr>
        <w:t>process</w:t>
      </w:r>
      <w:r>
        <w:rPr>
          <w:spacing w:val="-3"/>
        </w:rPr>
        <w:t xml:space="preserve"> </w:t>
      </w:r>
      <w:r>
        <w:rPr>
          <w:spacing w:val="-2"/>
        </w:rPr>
        <w:t>to</w:t>
      </w:r>
      <w:r>
        <w:rPr>
          <w:spacing w:val="-3"/>
        </w:rPr>
        <w:t xml:space="preserve"> </w:t>
      </w:r>
      <w:r>
        <w:rPr>
          <w:spacing w:val="-2"/>
        </w:rPr>
        <w:t>better</w:t>
      </w:r>
      <w:r>
        <w:rPr>
          <w:spacing w:val="-3"/>
        </w:rPr>
        <w:t xml:space="preserve"> </w:t>
      </w:r>
      <w:r>
        <w:rPr>
          <w:spacing w:val="-2"/>
        </w:rPr>
        <w:t>identify</w:t>
      </w:r>
      <w:r>
        <w:rPr>
          <w:spacing w:val="-3"/>
        </w:rPr>
        <w:t xml:space="preserve"> </w:t>
      </w:r>
      <w:r>
        <w:rPr>
          <w:spacing w:val="-2"/>
        </w:rPr>
        <w:t>possible</w:t>
      </w:r>
      <w:r>
        <w:rPr>
          <w:spacing w:val="-3"/>
        </w:rPr>
        <w:t xml:space="preserve"> </w:t>
      </w:r>
      <w:r>
        <w:rPr>
          <w:spacing w:val="-2"/>
        </w:rPr>
        <w:t xml:space="preserve">market </w:t>
      </w:r>
      <w:r>
        <w:t>entry</w:t>
      </w:r>
      <w:r>
        <w:rPr>
          <w:spacing w:val="-11"/>
        </w:rPr>
        <w:t xml:space="preserve"> </w:t>
      </w:r>
      <w:r>
        <w:t>points.</w:t>
      </w:r>
    </w:p>
    <w:p w:rsidR="002C1123" w:rsidRDefault="002C1123">
      <w:pPr>
        <w:spacing w:line="249" w:lineRule="auto"/>
        <w:sectPr w:rsidR="002C1123">
          <w:type w:val="continuous"/>
          <w:pgSz w:w="16840" w:h="11910" w:orient="landscape"/>
          <w:pgMar w:top="560" w:right="280" w:bottom="280" w:left="500" w:header="0" w:footer="517" w:gutter="0"/>
          <w:cols w:num="2" w:space="720" w:equalWidth="0">
            <w:col w:w="10118" w:space="40"/>
            <w:col w:w="5902"/>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3"/>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spacing w:before="10"/>
        <w:rPr>
          <w:sz w:val="35"/>
        </w:rPr>
      </w:pPr>
    </w:p>
    <w:p w:rsidR="002C1123" w:rsidRDefault="00F22F94">
      <w:pPr>
        <w:pStyle w:val="Heading6"/>
        <w:numPr>
          <w:ilvl w:val="2"/>
          <w:numId w:val="49"/>
        </w:numPr>
        <w:tabs>
          <w:tab w:val="left" w:pos="1087"/>
        </w:tabs>
        <w:spacing w:before="0"/>
        <w:ind w:left="1086"/>
        <w:jc w:val="left"/>
      </w:pPr>
      <w:bookmarkStart w:id="353" w:name="_bookmark249"/>
      <w:bookmarkEnd w:id="353"/>
      <w:r>
        <w:rPr>
          <w:color w:val="00AEEF"/>
          <w:spacing w:val="-2"/>
        </w:rPr>
        <w:t>Co-location</w:t>
      </w:r>
      <w:r>
        <w:rPr>
          <w:color w:val="00AEEF"/>
          <w:spacing w:val="-10"/>
        </w:rPr>
        <w:t xml:space="preserve"> </w:t>
      </w:r>
      <w:r>
        <w:rPr>
          <w:color w:val="00AEEF"/>
          <w:spacing w:val="-2"/>
        </w:rPr>
        <w:t>in</w:t>
      </w:r>
      <w:r>
        <w:rPr>
          <w:color w:val="00AEEF"/>
          <w:spacing w:val="-10"/>
        </w:rPr>
        <w:t xml:space="preserve"> </w:t>
      </w:r>
      <w:r>
        <w:rPr>
          <w:color w:val="00AEEF"/>
          <w:spacing w:val="-2"/>
        </w:rPr>
        <w:t>health</w:t>
      </w:r>
      <w:r>
        <w:rPr>
          <w:color w:val="00AEEF"/>
          <w:spacing w:val="-9"/>
        </w:rPr>
        <w:t xml:space="preserve"> </w:t>
      </w:r>
      <w:r>
        <w:rPr>
          <w:color w:val="00AEEF"/>
          <w:spacing w:val="-2"/>
        </w:rPr>
        <w:t>precincts</w:t>
      </w:r>
    </w:p>
    <w:p w:rsidR="002C1123" w:rsidRDefault="00F22F94">
      <w:pPr>
        <w:pStyle w:val="BodyText"/>
        <w:spacing w:before="95" w:line="249" w:lineRule="auto"/>
        <w:ind w:left="492" w:right="343"/>
      </w:pPr>
      <w:r>
        <w:rPr>
          <w:w w:val="95"/>
        </w:rPr>
        <w:t>NSW</w:t>
      </w:r>
      <w:r>
        <w:rPr>
          <w:spacing w:val="-11"/>
          <w:w w:val="95"/>
        </w:rPr>
        <w:t xml:space="preserve"> </w:t>
      </w:r>
      <w:r>
        <w:rPr>
          <w:w w:val="95"/>
        </w:rPr>
        <w:t>is</w:t>
      </w:r>
      <w:r>
        <w:rPr>
          <w:spacing w:val="-11"/>
          <w:w w:val="95"/>
        </w:rPr>
        <w:t xml:space="preserve"> </w:t>
      </w:r>
      <w:r>
        <w:rPr>
          <w:w w:val="95"/>
        </w:rPr>
        <w:t>already</w:t>
      </w:r>
      <w:r>
        <w:rPr>
          <w:spacing w:val="-11"/>
          <w:w w:val="95"/>
        </w:rPr>
        <w:t xml:space="preserve"> </w:t>
      </w:r>
      <w:r>
        <w:rPr>
          <w:w w:val="95"/>
        </w:rPr>
        <w:t>well</w:t>
      </w:r>
      <w:r>
        <w:rPr>
          <w:spacing w:val="-11"/>
          <w:w w:val="95"/>
        </w:rPr>
        <w:t xml:space="preserve"> </w:t>
      </w:r>
      <w:r>
        <w:rPr>
          <w:w w:val="95"/>
        </w:rPr>
        <w:t>serviced</w:t>
      </w:r>
      <w:r>
        <w:rPr>
          <w:spacing w:val="-11"/>
          <w:w w:val="95"/>
        </w:rPr>
        <w:t xml:space="preserve"> </w:t>
      </w:r>
      <w:r>
        <w:rPr>
          <w:w w:val="95"/>
        </w:rPr>
        <w:t>with</w:t>
      </w:r>
      <w:r>
        <w:rPr>
          <w:spacing w:val="-11"/>
          <w:w w:val="95"/>
        </w:rPr>
        <w:t xml:space="preserve"> </w:t>
      </w:r>
      <w:r>
        <w:rPr>
          <w:w w:val="95"/>
        </w:rPr>
        <w:t>large</w:t>
      </w:r>
      <w:r>
        <w:rPr>
          <w:spacing w:val="-11"/>
          <w:w w:val="95"/>
        </w:rPr>
        <w:t xml:space="preserve"> </w:t>
      </w:r>
      <w:r>
        <w:rPr>
          <w:w w:val="95"/>
        </w:rPr>
        <w:t>full-service general hospitals. The recommended strategy for better</w:t>
      </w:r>
      <w:r>
        <w:rPr>
          <w:spacing w:val="-2"/>
          <w:w w:val="95"/>
        </w:rPr>
        <w:t xml:space="preserve"> </w:t>
      </w:r>
      <w:r>
        <w:rPr>
          <w:w w:val="95"/>
        </w:rPr>
        <w:t>leveraging</w:t>
      </w:r>
      <w:r>
        <w:rPr>
          <w:spacing w:val="-2"/>
          <w:w w:val="95"/>
        </w:rPr>
        <w:t xml:space="preserve"> </w:t>
      </w:r>
      <w:r>
        <w:rPr>
          <w:w w:val="95"/>
        </w:rPr>
        <w:t>capital</w:t>
      </w:r>
      <w:r>
        <w:rPr>
          <w:spacing w:val="-2"/>
          <w:w w:val="95"/>
        </w:rPr>
        <w:t xml:space="preserve"> </w:t>
      </w:r>
      <w:r>
        <w:rPr>
          <w:w w:val="95"/>
        </w:rPr>
        <w:t>investment</w:t>
      </w:r>
      <w:r>
        <w:rPr>
          <w:spacing w:val="-2"/>
          <w:w w:val="95"/>
        </w:rPr>
        <w:t xml:space="preserve"> </w:t>
      </w:r>
      <w:r>
        <w:rPr>
          <w:w w:val="95"/>
        </w:rPr>
        <w:t>at</w:t>
      </w:r>
      <w:r>
        <w:rPr>
          <w:spacing w:val="-2"/>
          <w:w w:val="95"/>
        </w:rPr>
        <w:t xml:space="preserve"> </w:t>
      </w:r>
      <w:r>
        <w:rPr>
          <w:w w:val="95"/>
        </w:rPr>
        <w:t>current</w:t>
      </w:r>
      <w:r>
        <w:rPr>
          <w:spacing w:val="-2"/>
          <w:w w:val="95"/>
        </w:rPr>
        <w:t xml:space="preserve"> </w:t>
      </w:r>
      <w:r>
        <w:rPr>
          <w:w w:val="95"/>
        </w:rPr>
        <w:t xml:space="preserve">and new facilities, is to establish centres of excellence </w:t>
      </w:r>
      <w:r>
        <w:t>in</w:t>
      </w:r>
      <w:r>
        <w:rPr>
          <w:spacing w:val="-4"/>
        </w:rPr>
        <w:t xml:space="preserve"> </w:t>
      </w:r>
      <w:r>
        <w:t>pro-actively</w:t>
      </w:r>
      <w:r>
        <w:rPr>
          <w:spacing w:val="-4"/>
        </w:rPr>
        <w:t xml:space="preserve"> </w:t>
      </w:r>
      <w:r>
        <w:t>planned</w:t>
      </w:r>
      <w:r>
        <w:rPr>
          <w:spacing w:val="-4"/>
        </w:rPr>
        <w:t xml:space="preserve"> </w:t>
      </w:r>
      <w:r>
        <w:t>‘health</w:t>
      </w:r>
      <w:r>
        <w:rPr>
          <w:spacing w:val="-4"/>
        </w:rPr>
        <w:t xml:space="preserve"> </w:t>
      </w:r>
      <w:r>
        <w:t>care</w:t>
      </w:r>
      <w:r>
        <w:rPr>
          <w:spacing w:val="-4"/>
        </w:rPr>
        <w:t xml:space="preserve"> </w:t>
      </w:r>
      <w:r>
        <w:t>precincts’</w:t>
      </w:r>
    </w:p>
    <w:p w:rsidR="002C1123" w:rsidRDefault="00F22F94">
      <w:pPr>
        <w:pStyle w:val="BodyText"/>
        <w:spacing w:before="4" w:line="249" w:lineRule="auto"/>
        <w:ind w:left="492" w:right="343"/>
      </w:pPr>
      <w:r>
        <w:t>with</w:t>
      </w:r>
      <w:r>
        <w:rPr>
          <w:spacing w:val="-14"/>
        </w:rPr>
        <w:t xml:space="preserve"> </w:t>
      </w:r>
      <w:r>
        <w:t>clusters</w:t>
      </w:r>
      <w:r>
        <w:rPr>
          <w:spacing w:val="-14"/>
        </w:rPr>
        <w:t xml:space="preserve"> </w:t>
      </w:r>
      <w:r>
        <w:t>of</w:t>
      </w:r>
      <w:r>
        <w:rPr>
          <w:spacing w:val="-14"/>
        </w:rPr>
        <w:t xml:space="preserve"> </w:t>
      </w:r>
      <w:r>
        <w:t>related</w:t>
      </w:r>
      <w:r>
        <w:rPr>
          <w:spacing w:val="-14"/>
        </w:rPr>
        <w:t xml:space="preserve"> </w:t>
      </w:r>
      <w:r>
        <w:t>health</w:t>
      </w:r>
      <w:r>
        <w:rPr>
          <w:spacing w:val="-14"/>
        </w:rPr>
        <w:t xml:space="preserve"> </w:t>
      </w:r>
      <w:r>
        <w:t>services</w:t>
      </w:r>
      <w:r>
        <w:rPr>
          <w:spacing w:val="-14"/>
        </w:rPr>
        <w:t xml:space="preserve"> </w:t>
      </w:r>
      <w:r>
        <w:t xml:space="preserve">delivered </w:t>
      </w:r>
      <w:r>
        <w:rPr>
          <w:w w:val="95"/>
        </w:rPr>
        <w:t>by</w:t>
      </w:r>
      <w:r>
        <w:rPr>
          <w:spacing w:val="-1"/>
        </w:rPr>
        <w:t xml:space="preserve"> </w:t>
      </w:r>
      <w:r>
        <w:rPr>
          <w:w w:val="95"/>
        </w:rPr>
        <w:t>government</w:t>
      </w:r>
      <w:r>
        <w:rPr>
          <w:spacing w:val="-1"/>
        </w:rPr>
        <w:t xml:space="preserve"> </w:t>
      </w:r>
      <w:r>
        <w:rPr>
          <w:w w:val="95"/>
        </w:rPr>
        <w:t>and</w:t>
      </w:r>
      <w:r>
        <w:rPr>
          <w:spacing w:val="-1"/>
        </w:rPr>
        <w:t xml:space="preserve"> </w:t>
      </w:r>
      <w:r>
        <w:rPr>
          <w:w w:val="95"/>
        </w:rPr>
        <w:t>non-government</w:t>
      </w:r>
      <w:r>
        <w:rPr>
          <w:spacing w:val="-1"/>
        </w:rPr>
        <w:t xml:space="preserve"> </w:t>
      </w:r>
      <w:r>
        <w:rPr>
          <w:spacing w:val="-2"/>
          <w:w w:val="95"/>
        </w:rPr>
        <w:t>providers.</w:t>
      </w:r>
    </w:p>
    <w:p w:rsidR="002C1123" w:rsidRDefault="00F22F94">
      <w:pPr>
        <w:pStyle w:val="BodyText"/>
        <w:spacing w:before="2" w:line="249" w:lineRule="auto"/>
        <w:ind w:left="492" w:right="26"/>
      </w:pPr>
      <w:r>
        <w:t>This</w:t>
      </w:r>
      <w:r>
        <w:rPr>
          <w:spacing w:val="-12"/>
        </w:rPr>
        <w:t xml:space="preserve"> </w:t>
      </w:r>
      <w:r>
        <w:t>derives</w:t>
      </w:r>
      <w:r>
        <w:rPr>
          <w:spacing w:val="-12"/>
        </w:rPr>
        <w:t xml:space="preserve"> </w:t>
      </w:r>
      <w:r>
        <w:t>benefits</w:t>
      </w:r>
      <w:r>
        <w:rPr>
          <w:spacing w:val="-12"/>
        </w:rPr>
        <w:t xml:space="preserve"> </w:t>
      </w:r>
      <w:r>
        <w:t>from</w:t>
      </w:r>
      <w:r>
        <w:rPr>
          <w:spacing w:val="-12"/>
        </w:rPr>
        <w:t xml:space="preserve"> </w:t>
      </w:r>
      <w:r>
        <w:t>both</w:t>
      </w:r>
      <w:r>
        <w:rPr>
          <w:spacing w:val="-12"/>
        </w:rPr>
        <w:t xml:space="preserve"> </w:t>
      </w:r>
      <w:r>
        <w:t>agglomeration</w:t>
      </w:r>
      <w:r>
        <w:rPr>
          <w:spacing w:val="-12"/>
        </w:rPr>
        <w:t xml:space="preserve"> </w:t>
      </w:r>
      <w:r>
        <w:t xml:space="preserve">and </w:t>
      </w:r>
      <w:r>
        <w:rPr>
          <w:w w:val="95"/>
        </w:rPr>
        <w:t xml:space="preserve">specialisation, and complements the existing network </w:t>
      </w:r>
      <w:r>
        <w:t>of large general hospitals.</w:t>
      </w:r>
    </w:p>
    <w:p w:rsidR="002C1123" w:rsidRDefault="00F22F94">
      <w:pPr>
        <w:pStyle w:val="BodyText"/>
        <w:spacing w:before="144" w:line="249" w:lineRule="auto"/>
        <w:ind w:left="492" w:right="156"/>
      </w:pPr>
      <w:r>
        <w:t>Specialist</w:t>
      </w:r>
      <w:r>
        <w:rPr>
          <w:spacing w:val="-14"/>
        </w:rPr>
        <w:t xml:space="preserve"> </w:t>
      </w:r>
      <w:r>
        <w:t>centres,</w:t>
      </w:r>
      <w:r>
        <w:rPr>
          <w:spacing w:val="-14"/>
        </w:rPr>
        <w:t xml:space="preserve"> </w:t>
      </w:r>
      <w:r>
        <w:t>rather</w:t>
      </w:r>
      <w:r>
        <w:rPr>
          <w:spacing w:val="-14"/>
        </w:rPr>
        <w:t xml:space="preserve"> </w:t>
      </w:r>
      <w:r>
        <w:t>than</w:t>
      </w:r>
      <w:r>
        <w:rPr>
          <w:spacing w:val="-14"/>
        </w:rPr>
        <w:t xml:space="preserve"> </w:t>
      </w:r>
      <w:r>
        <w:t>having</w:t>
      </w:r>
      <w:r>
        <w:rPr>
          <w:spacing w:val="-14"/>
        </w:rPr>
        <w:t xml:space="preserve"> </w:t>
      </w:r>
      <w:r>
        <w:t>many</w:t>
      </w:r>
      <w:r>
        <w:rPr>
          <w:spacing w:val="-14"/>
        </w:rPr>
        <w:t xml:space="preserve"> </w:t>
      </w:r>
      <w:r>
        <w:t>general hospitals,</w:t>
      </w:r>
      <w:r>
        <w:rPr>
          <w:spacing w:val="-9"/>
        </w:rPr>
        <w:t xml:space="preserve"> </w:t>
      </w:r>
      <w:r>
        <w:t>provides</w:t>
      </w:r>
      <w:r>
        <w:rPr>
          <w:spacing w:val="-9"/>
        </w:rPr>
        <w:t xml:space="preserve"> </w:t>
      </w:r>
      <w:r>
        <w:t>the</w:t>
      </w:r>
      <w:r>
        <w:rPr>
          <w:spacing w:val="-9"/>
        </w:rPr>
        <w:t xml:space="preserve"> </w:t>
      </w:r>
      <w:r>
        <w:t>benefit</w:t>
      </w:r>
      <w:r>
        <w:rPr>
          <w:spacing w:val="-9"/>
        </w:rPr>
        <w:t xml:space="preserve"> </w:t>
      </w:r>
      <w:r>
        <w:t>of</w:t>
      </w:r>
      <w:r>
        <w:rPr>
          <w:spacing w:val="-9"/>
        </w:rPr>
        <w:t xml:space="preserve"> </w:t>
      </w:r>
      <w:r>
        <w:t>improving</w:t>
      </w:r>
      <w:r>
        <w:rPr>
          <w:spacing w:val="-9"/>
        </w:rPr>
        <w:t xml:space="preserve"> </w:t>
      </w:r>
      <w:r>
        <w:t>the quality</w:t>
      </w:r>
      <w:r>
        <w:rPr>
          <w:spacing w:val="-11"/>
        </w:rPr>
        <w:t xml:space="preserve"> </w:t>
      </w:r>
      <w:r>
        <w:t>of</w:t>
      </w:r>
      <w:r>
        <w:rPr>
          <w:spacing w:val="-11"/>
        </w:rPr>
        <w:t xml:space="preserve"> </w:t>
      </w:r>
      <w:r>
        <w:t>care</w:t>
      </w:r>
      <w:r>
        <w:rPr>
          <w:spacing w:val="-11"/>
        </w:rPr>
        <w:t xml:space="preserve"> </w:t>
      </w:r>
      <w:r>
        <w:t>where</w:t>
      </w:r>
      <w:r>
        <w:rPr>
          <w:spacing w:val="-11"/>
        </w:rPr>
        <w:t xml:space="preserve"> </w:t>
      </w:r>
      <w:r>
        <w:t>there</w:t>
      </w:r>
      <w:r>
        <w:rPr>
          <w:spacing w:val="-11"/>
        </w:rPr>
        <w:t xml:space="preserve"> </w:t>
      </w:r>
      <w:r>
        <w:t>is</w:t>
      </w:r>
      <w:r>
        <w:rPr>
          <w:spacing w:val="-11"/>
        </w:rPr>
        <w:t xml:space="preserve"> </w:t>
      </w:r>
      <w:r>
        <w:t>sufficient</w:t>
      </w:r>
      <w:r>
        <w:rPr>
          <w:spacing w:val="-11"/>
        </w:rPr>
        <w:t xml:space="preserve"> </w:t>
      </w:r>
      <w:r>
        <w:t>demand</w:t>
      </w:r>
      <w:r>
        <w:rPr>
          <w:spacing w:val="-11"/>
        </w:rPr>
        <w:t xml:space="preserve"> </w:t>
      </w:r>
      <w:r>
        <w:t xml:space="preserve">for </w:t>
      </w:r>
      <w:r>
        <w:rPr>
          <w:w w:val="95"/>
        </w:rPr>
        <w:t>services.</w:t>
      </w:r>
      <w:r>
        <w:rPr>
          <w:spacing w:val="-8"/>
          <w:w w:val="95"/>
        </w:rPr>
        <w:t xml:space="preserve"> </w:t>
      </w:r>
      <w:r>
        <w:rPr>
          <w:w w:val="95"/>
        </w:rPr>
        <w:t>Centres</w:t>
      </w:r>
      <w:r>
        <w:rPr>
          <w:spacing w:val="-8"/>
          <w:w w:val="95"/>
        </w:rPr>
        <w:t xml:space="preserve"> </w:t>
      </w:r>
      <w:r>
        <w:rPr>
          <w:w w:val="95"/>
        </w:rPr>
        <w:t>of</w:t>
      </w:r>
      <w:r>
        <w:rPr>
          <w:spacing w:val="-8"/>
          <w:w w:val="95"/>
        </w:rPr>
        <w:t xml:space="preserve"> </w:t>
      </w:r>
      <w:r>
        <w:rPr>
          <w:w w:val="95"/>
        </w:rPr>
        <w:t>excellence</w:t>
      </w:r>
      <w:r>
        <w:rPr>
          <w:spacing w:val="-8"/>
          <w:w w:val="95"/>
        </w:rPr>
        <w:t xml:space="preserve"> </w:t>
      </w:r>
      <w:r>
        <w:rPr>
          <w:w w:val="95"/>
        </w:rPr>
        <w:t>have</w:t>
      </w:r>
      <w:r>
        <w:rPr>
          <w:spacing w:val="-8"/>
          <w:w w:val="95"/>
        </w:rPr>
        <w:t xml:space="preserve"> </w:t>
      </w:r>
      <w:r>
        <w:rPr>
          <w:w w:val="95"/>
        </w:rPr>
        <w:t>greater</w:t>
      </w:r>
      <w:r>
        <w:rPr>
          <w:spacing w:val="-8"/>
          <w:w w:val="95"/>
        </w:rPr>
        <w:t xml:space="preserve"> </w:t>
      </w:r>
      <w:r>
        <w:rPr>
          <w:w w:val="95"/>
        </w:rPr>
        <w:t>capacity</w:t>
      </w:r>
    </w:p>
    <w:p w:rsidR="002C1123" w:rsidRDefault="00F22F94">
      <w:pPr>
        <w:pStyle w:val="BodyText"/>
        <w:spacing w:before="4" w:line="249" w:lineRule="auto"/>
        <w:ind w:left="492"/>
      </w:pPr>
      <w:r>
        <w:rPr>
          <w:w w:val="95"/>
        </w:rPr>
        <w:t>to</w:t>
      </w:r>
      <w:r>
        <w:rPr>
          <w:spacing w:val="-8"/>
          <w:w w:val="95"/>
        </w:rPr>
        <w:t xml:space="preserve"> </w:t>
      </w:r>
      <w:r>
        <w:rPr>
          <w:w w:val="95"/>
        </w:rPr>
        <w:t>attract</w:t>
      </w:r>
      <w:r>
        <w:rPr>
          <w:spacing w:val="-8"/>
          <w:w w:val="95"/>
        </w:rPr>
        <w:t xml:space="preserve"> </w:t>
      </w:r>
      <w:r>
        <w:rPr>
          <w:w w:val="95"/>
        </w:rPr>
        <w:t>a</w:t>
      </w:r>
      <w:r>
        <w:rPr>
          <w:spacing w:val="-8"/>
          <w:w w:val="95"/>
        </w:rPr>
        <w:t xml:space="preserve"> </w:t>
      </w:r>
      <w:r>
        <w:rPr>
          <w:w w:val="95"/>
        </w:rPr>
        <w:t>critical</w:t>
      </w:r>
      <w:r>
        <w:rPr>
          <w:spacing w:val="-8"/>
          <w:w w:val="95"/>
        </w:rPr>
        <w:t xml:space="preserve"> </w:t>
      </w:r>
      <w:r>
        <w:rPr>
          <w:w w:val="95"/>
        </w:rPr>
        <w:t>mass</w:t>
      </w:r>
      <w:r>
        <w:rPr>
          <w:spacing w:val="-8"/>
          <w:w w:val="95"/>
        </w:rPr>
        <w:t xml:space="preserve"> </w:t>
      </w:r>
      <w:r>
        <w:rPr>
          <w:w w:val="95"/>
        </w:rPr>
        <w:t>of</w:t>
      </w:r>
      <w:r>
        <w:rPr>
          <w:spacing w:val="-8"/>
          <w:w w:val="95"/>
        </w:rPr>
        <w:t xml:space="preserve"> </w:t>
      </w:r>
      <w:r>
        <w:rPr>
          <w:w w:val="95"/>
        </w:rPr>
        <w:t>specialist</w:t>
      </w:r>
      <w:r>
        <w:rPr>
          <w:spacing w:val="-8"/>
          <w:w w:val="95"/>
        </w:rPr>
        <w:t xml:space="preserve"> </w:t>
      </w:r>
      <w:r>
        <w:rPr>
          <w:w w:val="95"/>
        </w:rPr>
        <w:t>clinicians,</w:t>
      </w:r>
      <w:r>
        <w:rPr>
          <w:spacing w:val="-8"/>
          <w:w w:val="95"/>
        </w:rPr>
        <w:t xml:space="preserve"> </w:t>
      </w:r>
      <w:r>
        <w:rPr>
          <w:w w:val="95"/>
        </w:rPr>
        <w:t xml:space="preserve">facilitate </w:t>
      </w:r>
      <w:r>
        <w:t>high</w:t>
      </w:r>
      <w:r>
        <w:rPr>
          <w:spacing w:val="-12"/>
        </w:rPr>
        <w:t xml:space="preserve"> </w:t>
      </w:r>
      <w:r>
        <w:t>standards</w:t>
      </w:r>
      <w:r>
        <w:rPr>
          <w:spacing w:val="-12"/>
        </w:rPr>
        <w:t xml:space="preserve"> </w:t>
      </w:r>
      <w:r>
        <w:t>of</w:t>
      </w:r>
      <w:r>
        <w:rPr>
          <w:spacing w:val="-12"/>
        </w:rPr>
        <w:t xml:space="preserve"> </w:t>
      </w:r>
      <w:r>
        <w:t>training</w:t>
      </w:r>
      <w:r>
        <w:rPr>
          <w:spacing w:val="-12"/>
        </w:rPr>
        <w:t xml:space="preserve"> </w:t>
      </w:r>
      <w:r>
        <w:t>and</w:t>
      </w:r>
      <w:r>
        <w:rPr>
          <w:spacing w:val="-12"/>
        </w:rPr>
        <w:t xml:space="preserve"> </w:t>
      </w:r>
      <w:r>
        <w:t>invest</w:t>
      </w:r>
      <w:r>
        <w:rPr>
          <w:spacing w:val="-12"/>
        </w:rPr>
        <w:t xml:space="preserve"> </w:t>
      </w:r>
      <w:r>
        <w:t>in</w:t>
      </w:r>
      <w:r>
        <w:rPr>
          <w:spacing w:val="-12"/>
        </w:rPr>
        <w:t xml:space="preserve"> </w:t>
      </w:r>
      <w:r>
        <w:t>advanced specialty</w:t>
      </w:r>
      <w:r>
        <w:rPr>
          <w:spacing w:val="-11"/>
        </w:rPr>
        <w:t xml:space="preserve"> </w:t>
      </w:r>
      <w:r>
        <w:t>equipment.</w:t>
      </w:r>
    </w:p>
    <w:p w:rsidR="002C1123" w:rsidRDefault="00F22F94">
      <w:pPr>
        <w:pStyle w:val="BodyText"/>
        <w:spacing w:before="144" w:line="249" w:lineRule="auto"/>
        <w:ind w:left="492"/>
      </w:pPr>
      <w:r>
        <w:rPr>
          <w:w w:val="95"/>
        </w:rPr>
        <w:t>Given</w:t>
      </w:r>
      <w:r>
        <w:rPr>
          <w:spacing w:val="-8"/>
          <w:w w:val="95"/>
        </w:rPr>
        <w:t xml:space="preserve"> </w:t>
      </w:r>
      <w:r>
        <w:rPr>
          <w:w w:val="95"/>
        </w:rPr>
        <w:t>this</w:t>
      </w:r>
      <w:r>
        <w:rPr>
          <w:spacing w:val="-8"/>
          <w:w w:val="95"/>
        </w:rPr>
        <w:t xml:space="preserve"> </w:t>
      </w:r>
      <w:r>
        <w:rPr>
          <w:w w:val="95"/>
        </w:rPr>
        <w:t>approach,</w:t>
      </w:r>
      <w:r>
        <w:rPr>
          <w:spacing w:val="-8"/>
          <w:w w:val="95"/>
        </w:rPr>
        <w:t xml:space="preserve"> </w:t>
      </w:r>
      <w:r>
        <w:rPr>
          <w:w w:val="95"/>
        </w:rPr>
        <w:t>planning</w:t>
      </w:r>
      <w:r>
        <w:rPr>
          <w:spacing w:val="-8"/>
          <w:w w:val="95"/>
        </w:rPr>
        <w:t xml:space="preserve"> </w:t>
      </w:r>
      <w:r>
        <w:rPr>
          <w:w w:val="95"/>
        </w:rPr>
        <w:t>for</w:t>
      </w:r>
      <w:r>
        <w:rPr>
          <w:spacing w:val="-8"/>
          <w:w w:val="95"/>
        </w:rPr>
        <w:t xml:space="preserve"> </w:t>
      </w:r>
      <w:r>
        <w:rPr>
          <w:w w:val="95"/>
        </w:rPr>
        <w:t>a</w:t>
      </w:r>
      <w:r>
        <w:rPr>
          <w:spacing w:val="-8"/>
          <w:w w:val="95"/>
        </w:rPr>
        <w:t xml:space="preserve"> </w:t>
      </w:r>
      <w:r>
        <w:rPr>
          <w:w w:val="95"/>
        </w:rPr>
        <w:t>general</w:t>
      </w:r>
      <w:r>
        <w:rPr>
          <w:spacing w:val="-8"/>
          <w:w w:val="95"/>
        </w:rPr>
        <w:t xml:space="preserve"> </w:t>
      </w:r>
      <w:r>
        <w:rPr>
          <w:w w:val="95"/>
        </w:rPr>
        <w:t>hospital</w:t>
      </w:r>
      <w:r>
        <w:rPr>
          <w:spacing w:val="-8"/>
          <w:w w:val="95"/>
        </w:rPr>
        <w:t xml:space="preserve"> </w:t>
      </w:r>
      <w:r>
        <w:rPr>
          <w:w w:val="95"/>
        </w:rPr>
        <w:t xml:space="preserve">for </w:t>
      </w:r>
      <w:r>
        <w:t>the</w:t>
      </w:r>
      <w:r>
        <w:rPr>
          <w:spacing w:val="-8"/>
        </w:rPr>
        <w:t xml:space="preserve"> </w:t>
      </w:r>
      <w:r>
        <w:t>Northern</w:t>
      </w:r>
      <w:r>
        <w:rPr>
          <w:spacing w:val="-8"/>
        </w:rPr>
        <w:t xml:space="preserve"> </w:t>
      </w:r>
      <w:r>
        <w:t>Beaches</w:t>
      </w:r>
      <w:r>
        <w:rPr>
          <w:spacing w:val="-8"/>
        </w:rPr>
        <w:t xml:space="preserve"> </w:t>
      </w:r>
      <w:r>
        <w:t>Hospital</w:t>
      </w:r>
      <w:r>
        <w:rPr>
          <w:spacing w:val="-8"/>
        </w:rPr>
        <w:t xml:space="preserve"> </w:t>
      </w:r>
      <w:r>
        <w:t>site</w:t>
      </w:r>
      <w:r>
        <w:rPr>
          <w:spacing w:val="-8"/>
        </w:rPr>
        <w:t xml:space="preserve"> </w:t>
      </w:r>
      <w:r>
        <w:t>is</w:t>
      </w:r>
      <w:r>
        <w:rPr>
          <w:spacing w:val="-8"/>
        </w:rPr>
        <w:t xml:space="preserve"> </w:t>
      </w:r>
      <w:r>
        <w:t>an</w:t>
      </w:r>
      <w:r>
        <w:rPr>
          <w:spacing w:val="-8"/>
        </w:rPr>
        <w:t xml:space="preserve"> </w:t>
      </w:r>
      <w:r>
        <w:t>opportunity to</w:t>
      </w:r>
      <w:r>
        <w:rPr>
          <w:spacing w:val="-10"/>
        </w:rPr>
        <w:t xml:space="preserve"> </w:t>
      </w:r>
      <w:r>
        <w:t>develop</w:t>
      </w:r>
      <w:r>
        <w:rPr>
          <w:spacing w:val="-10"/>
        </w:rPr>
        <w:t xml:space="preserve"> </w:t>
      </w:r>
      <w:r>
        <w:t>a</w:t>
      </w:r>
      <w:r>
        <w:rPr>
          <w:spacing w:val="-10"/>
        </w:rPr>
        <w:t xml:space="preserve"> </w:t>
      </w:r>
      <w:r>
        <w:t>model</w:t>
      </w:r>
      <w:r>
        <w:rPr>
          <w:spacing w:val="-10"/>
        </w:rPr>
        <w:t xml:space="preserve"> </w:t>
      </w:r>
      <w:r>
        <w:t>of</w:t>
      </w:r>
      <w:r>
        <w:rPr>
          <w:spacing w:val="-10"/>
        </w:rPr>
        <w:t xml:space="preserve"> </w:t>
      </w:r>
      <w:r>
        <w:t>developing</w:t>
      </w:r>
      <w:r>
        <w:rPr>
          <w:spacing w:val="-10"/>
        </w:rPr>
        <w:t xml:space="preserve"> </w:t>
      </w:r>
      <w:r>
        <w:t>the</w:t>
      </w:r>
      <w:r>
        <w:rPr>
          <w:spacing w:val="-10"/>
        </w:rPr>
        <w:t xml:space="preserve"> </w:t>
      </w:r>
      <w:r>
        <w:t>public</w:t>
      </w:r>
      <w:r>
        <w:rPr>
          <w:spacing w:val="-10"/>
        </w:rPr>
        <w:t xml:space="preserve"> </w:t>
      </w:r>
      <w:r>
        <w:t>hospital</w:t>
      </w:r>
    </w:p>
    <w:p w:rsidR="002C1123" w:rsidRDefault="00F22F94">
      <w:pPr>
        <w:pStyle w:val="BodyText"/>
        <w:spacing w:before="108" w:line="249" w:lineRule="auto"/>
        <w:ind w:left="336" w:right="133"/>
      </w:pPr>
      <w:r>
        <w:br w:type="column"/>
      </w:r>
      <w:r>
        <w:rPr>
          <w:spacing w:val="-2"/>
        </w:rPr>
        <w:t>co-located</w:t>
      </w:r>
      <w:r>
        <w:rPr>
          <w:spacing w:val="-6"/>
        </w:rPr>
        <w:t xml:space="preserve"> </w:t>
      </w:r>
      <w:r>
        <w:rPr>
          <w:spacing w:val="-2"/>
        </w:rPr>
        <w:t>with</w:t>
      </w:r>
      <w:r>
        <w:rPr>
          <w:spacing w:val="-6"/>
        </w:rPr>
        <w:t xml:space="preserve"> </w:t>
      </w:r>
      <w:r>
        <w:rPr>
          <w:spacing w:val="-2"/>
        </w:rPr>
        <w:t>a</w:t>
      </w:r>
      <w:r>
        <w:rPr>
          <w:spacing w:val="-6"/>
        </w:rPr>
        <w:t xml:space="preserve"> </w:t>
      </w:r>
      <w:r>
        <w:rPr>
          <w:spacing w:val="-2"/>
        </w:rPr>
        <w:t>private</w:t>
      </w:r>
      <w:r>
        <w:rPr>
          <w:spacing w:val="-6"/>
        </w:rPr>
        <w:t xml:space="preserve"> </w:t>
      </w:r>
      <w:r>
        <w:rPr>
          <w:spacing w:val="-2"/>
        </w:rPr>
        <w:t>facility,</w:t>
      </w:r>
      <w:r>
        <w:rPr>
          <w:spacing w:val="-6"/>
        </w:rPr>
        <w:t xml:space="preserve"> </w:t>
      </w:r>
      <w:r>
        <w:rPr>
          <w:spacing w:val="-2"/>
        </w:rPr>
        <w:t>timed</w:t>
      </w:r>
      <w:r>
        <w:rPr>
          <w:spacing w:val="-6"/>
        </w:rPr>
        <w:t xml:space="preserve"> </w:t>
      </w:r>
      <w:r>
        <w:rPr>
          <w:spacing w:val="-2"/>
        </w:rPr>
        <w:t>and</w:t>
      </w:r>
      <w:r>
        <w:rPr>
          <w:spacing w:val="-6"/>
        </w:rPr>
        <w:t xml:space="preserve"> </w:t>
      </w:r>
      <w:r>
        <w:rPr>
          <w:spacing w:val="-2"/>
        </w:rPr>
        <w:t xml:space="preserve">designed </w:t>
      </w:r>
      <w:r>
        <w:t>to</w:t>
      </w:r>
      <w:r>
        <w:rPr>
          <w:spacing w:val="-4"/>
        </w:rPr>
        <w:t xml:space="preserve"> </w:t>
      </w:r>
      <w:r>
        <w:t>match</w:t>
      </w:r>
      <w:r>
        <w:rPr>
          <w:spacing w:val="-4"/>
        </w:rPr>
        <w:t xml:space="preserve"> </w:t>
      </w:r>
      <w:r>
        <w:t>health</w:t>
      </w:r>
      <w:r>
        <w:rPr>
          <w:spacing w:val="-4"/>
        </w:rPr>
        <w:t xml:space="preserve"> </w:t>
      </w:r>
      <w:r>
        <w:t>demand</w:t>
      </w:r>
      <w:r>
        <w:rPr>
          <w:spacing w:val="-4"/>
        </w:rPr>
        <w:t xml:space="preserve"> </w:t>
      </w:r>
      <w:r>
        <w:t>and</w:t>
      </w:r>
      <w:r>
        <w:rPr>
          <w:spacing w:val="-4"/>
        </w:rPr>
        <w:t xml:space="preserve"> </w:t>
      </w:r>
      <w:r>
        <w:t>to</w:t>
      </w:r>
      <w:r>
        <w:rPr>
          <w:spacing w:val="-4"/>
        </w:rPr>
        <w:t xml:space="preserve"> </w:t>
      </w:r>
      <w:r>
        <w:t>complement</w:t>
      </w:r>
      <w:r>
        <w:rPr>
          <w:spacing w:val="-4"/>
        </w:rPr>
        <w:t xml:space="preserve"> </w:t>
      </w:r>
      <w:r>
        <w:t xml:space="preserve">rather </w:t>
      </w:r>
      <w:r>
        <w:rPr>
          <w:w w:val="95"/>
        </w:rPr>
        <w:t>than</w:t>
      </w:r>
      <w:r>
        <w:rPr>
          <w:spacing w:val="-6"/>
          <w:w w:val="95"/>
        </w:rPr>
        <w:t xml:space="preserve"> </w:t>
      </w:r>
      <w:r>
        <w:rPr>
          <w:w w:val="95"/>
        </w:rPr>
        <w:t>duplicate</w:t>
      </w:r>
      <w:r>
        <w:rPr>
          <w:spacing w:val="-6"/>
          <w:w w:val="95"/>
        </w:rPr>
        <w:t xml:space="preserve"> </w:t>
      </w:r>
      <w:r>
        <w:rPr>
          <w:w w:val="95"/>
        </w:rPr>
        <w:t>specialist</w:t>
      </w:r>
      <w:r>
        <w:rPr>
          <w:spacing w:val="-6"/>
          <w:w w:val="95"/>
        </w:rPr>
        <w:t xml:space="preserve"> </w:t>
      </w:r>
      <w:r>
        <w:rPr>
          <w:w w:val="95"/>
        </w:rPr>
        <w:t>services</w:t>
      </w:r>
      <w:r>
        <w:rPr>
          <w:spacing w:val="-6"/>
          <w:w w:val="95"/>
        </w:rPr>
        <w:t xml:space="preserve"> </w:t>
      </w:r>
      <w:r>
        <w:rPr>
          <w:w w:val="95"/>
        </w:rPr>
        <w:t>that</w:t>
      </w:r>
      <w:r>
        <w:rPr>
          <w:spacing w:val="-6"/>
          <w:w w:val="95"/>
        </w:rPr>
        <w:t xml:space="preserve"> </w:t>
      </w:r>
      <w:r>
        <w:rPr>
          <w:w w:val="95"/>
        </w:rPr>
        <w:t>are</w:t>
      </w:r>
      <w:r>
        <w:rPr>
          <w:spacing w:val="-6"/>
          <w:w w:val="95"/>
        </w:rPr>
        <w:t xml:space="preserve"> </w:t>
      </w:r>
      <w:r>
        <w:rPr>
          <w:w w:val="95"/>
        </w:rPr>
        <w:t>provided</w:t>
      </w:r>
      <w:r>
        <w:rPr>
          <w:spacing w:val="-6"/>
          <w:w w:val="95"/>
        </w:rPr>
        <w:t xml:space="preserve"> </w:t>
      </w:r>
      <w:r>
        <w:rPr>
          <w:w w:val="95"/>
        </w:rPr>
        <w:t xml:space="preserve">(or </w:t>
      </w:r>
      <w:r>
        <w:t>planned</w:t>
      </w:r>
      <w:r>
        <w:rPr>
          <w:spacing w:val="-14"/>
        </w:rPr>
        <w:t xml:space="preserve"> </w:t>
      </w:r>
      <w:r>
        <w:t>for)</w:t>
      </w:r>
      <w:r>
        <w:rPr>
          <w:spacing w:val="-14"/>
        </w:rPr>
        <w:t xml:space="preserve"> </w:t>
      </w:r>
      <w:r>
        <w:t>other</w:t>
      </w:r>
      <w:r>
        <w:rPr>
          <w:spacing w:val="-14"/>
        </w:rPr>
        <w:t xml:space="preserve"> </w:t>
      </w:r>
      <w:r>
        <w:t>locations</w:t>
      </w:r>
      <w:r>
        <w:rPr>
          <w:spacing w:val="-14"/>
        </w:rPr>
        <w:t xml:space="preserve"> </w:t>
      </w:r>
      <w:r>
        <w:t>in</w:t>
      </w:r>
      <w:r>
        <w:rPr>
          <w:spacing w:val="-14"/>
        </w:rPr>
        <w:t xml:space="preserve"> </w:t>
      </w:r>
      <w:r>
        <w:t>surrounding</w:t>
      </w:r>
      <w:r>
        <w:rPr>
          <w:spacing w:val="-14"/>
        </w:rPr>
        <w:t xml:space="preserve"> </w:t>
      </w:r>
      <w:r>
        <w:t>areas.</w:t>
      </w:r>
    </w:p>
    <w:p w:rsidR="002C1123" w:rsidRDefault="002060EF">
      <w:pPr>
        <w:pStyle w:val="BodyText"/>
        <w:spacing w:before="145" w:line="249" w:lineRule="auto"/>
        <w:ind w:left="336"/>
      </w:pPr>
      <w:r>
        <w:pict>
          <v:shape id="docshape2452" o:spid="_x0000_s1572" type="#_x0000_t202" style="position:absolute;left:0;text-align:left;margin-left:49.6pt;margin-top:-45.6pt;width:240pt;height:124.4pt;z-index:251660288;mso-position-horizontal-relative:page" fillcolor="#e1e0e1" stroked="f">
            <v:textbox inset="0,0,0,0">
              <w:txbxContent>
                <w:p w:rsidR="00F22F94" w:rsidRDefault="00F22F94">
                  <w:pPr>
                    <w:pStyle w:val="BodyText"/>
                    <w:spacing w:before="68" w:line="249" w:lineRule="auto"/>
                    <w:ind w:left="113" w:right="122"/>
                    <w:rPr>
                      <w:color w:val="000000"/>
                    </w:rPr>
                  </w:pPr>
                  <w:r>
                    <w:rPr>
                      <w:b/>
                      <w:color w:val="00AEEF"/>
                      <w:w w:val="95"/>
                    </w:rPr>
                    <w:t>Recommendation</w:t>
                  </w:r>
                  <w:r>
                    <w:rPr>
                      <w:b/>
                      <w:color w:val="00AEEF"/>
                      <w:spacing w:val="40"/>
                    </w:rPr>
                    <w:t xml:space="preserve"> </w:t>
                  </w:r>
                  <w:r>
                    <w:rPr>
                      <w:color w:val="000000"/>
                      <w:w w:val="95"/>
                    </w:rPr>
                    <w:t xml:space="preserve">Infrastructure NSW recommends long term reform to service purchaser models for new public hospital capacity, to lower investment in capital </w:t>
                  </w:r>
                  <w:r>
                    <w:rPr>
                      <w:color w:val="000000"/>
                    </w:rPr>
                    <w:t>intensive</w:t>
                  </w:r>
                  <w:r>
                    <w:rPr>
                      <w:color w:val="000000"/>
                      <w:spacing w:val="-14"/>
                    </w:rPr>
                    <w:t xml:space="preserve"> </w:t>
                  </w:r>
                  <w:r>
                    <w:rPr>
                      <w:color w:val="000000"/>
                    </w:rPr>
                    <w:t>infrastructure</w:t>
                  </w:r>
                  <w:r>
                    <w:rPr>
                      <w:color w:val="000000"/>
                      <w:spacing w:val="-14"/>
                    </w:rPr>
                    <w:t xml:space="preserve"> </w:t>
                  </w:r>
                  <w:r>
                    <w:rPr>
                      <w:color w:val="000000"/>
                    </w:rPr>
                    <w:t>and</w:t>
                  </w:r>
                  <w:r>
                    <w:rPr>
                      <w:color w:val="000000"/>
                      <w:spacing w:val="-14"/>
                    </w:rPr>
                    <w:t xml:space="preserve"> </w:t>
                  </w:r>
                  <w:r>
                    <w:rPr>
                      <w:color w:val="000000"/>
                    </w:rPr>
                    <w:t>achieve</w:t>
                  </w:r>
                  <w:r>
                    <w:rPr>
                      <w:color w:val="000000"/>
                      <w:spacing w:val="-14"/>
                    </w:rPr>
                    <w:t xml:space="preserve"> </w:t>
                  </w:r>
                  <w:r>
                    <w:rPr>
                      <w:color w:val="000000"/>
                    </w:rPr>
                    <w:t>a</w:t>
                  </w:r>
                  <w:r>
                    <w:rPr>
                      <w:color w:val="000000"/>
                      <w:spacing w:val="-14"/>
                    </w:rPr>
                    <w:t xml:space="preserve"> </w:t>
                  </w:r>
                  <w:r>
                    <w:rPr>
                      <w:color w:val="000000"/>
                    </w:rPr>
                    <w:t>better</w:t>
                  </w:r>
                  <w:r>
                    <w:rPr>
                      <w:color w:val="000000"/>
                      <w:spacing w:val="-14"/>
                    </w:rPr>
                    <w:t xml:space="preserve"> </w:t>
                  </w:r>
                  <w:r>
                    <w:rPr>
                      <w:color w:val="000000"/>
                    </w:rPr>
                    <w:t>mix</w:t>
                  </w:r>
                  <w:r>
                    <w:rPr>
                      <w:color w:val="000000"/>
                      <w:spacing w:val="-14"/>
                    </w:rPr>
                    <w:t xml:space="preserve"> </w:t>
                  </w:r>
                  <w:r>
                    <w:rPr>
                      <w:color w:val="000000"/>
                    </w:rPr>
                    <w:t xml:space="preserve">of </w:t>
                  </w:r>
                  <w:r>
                    <w:rPr>
                      <w:color w:val="000000"/>
                      <w:spacing w:val="-2"/>
                    </w:rPr>
                    <w:t>services.</w:t>
                  </w:r>
                </w:p>
                <w:p w:rsidR="00F22F94" w:rsidRDefault="00F22F94">
                  <w:pPr>
                    <w:pStyle w:val="BodyText"/>
                    <w:spacing w:before="146" w:line="249" w:lineRule="auto"/>
                    <w:ind w:left="113" w:right="122"/>
                    <w:rPr>
                      <w:color w:val="000000"/>
                    </w:rPr>
                  </w:pPr>
                  <w:r>
                    <w:rPr>
                      <w:color w:val="000000"/>
                    </w:rPr>
                    <w:t>In</w:t>
                  </w:r>
                  <w:r>
                    <w:rPr>
                      <w:color w:val="000000"/>
                      <w:spacing w:val="-9"/>
                    </w:rPr>
                    <w:t xml:space="preserve"> </w:t>
                  </w:r>
                  <w:r>
                    <w:rPr>
                      <w:color w:val="000000"/>
                    </w:rPr>
                    <w:t>the</w:t>
                  </w:r>
                  <w:r>
                    <w:rPr>
                      <w:color w:val="000000"/>
                      <w:spacing w:val="-9"/>
                    </w:rPr>
                    <w:t xml:space="preserve"> </w:t>
                  </w:r>
                  <w:r>
                    <w:rPr>
                      <w:color w:val="000000"/>
                    </w:rPr>
                    <w:t>short</w:t>
                  </w:r>
                  <w:r>
                    <w:rPr>
                      <w:color w:val="000000"/>
                      <w:spacing w:val="-9"/>
                    </w:rPr>
                    <w:t xml:space="preserve"> </w:t>
                  </w:r>
                  <w:r>
                    <w:rPr>
                      <w:color w:val="000000"/>
                    </w:rPr>
                    <w:t>term,</w:t>
                  </w:r>
                  <w:r>
                    <w:rPr>
                      <w:color w:val="000000"/>
                      <w:spacing w:val="-9"/>
                    </w:rPr>
                    <w:t xml:space="preserve"> </w:t>
                  </w:r>
                  <w:r>
                    <w:rPr>
                      <w:color w:val="000000"/>
                    </w:rPr>
                    <w:t>Infrastructure</w:t>
                  </w:r>
                  <w:r>
                    <w:rPr>
                      <w:color w:val="000000"/>
                      <w:spacing w:val="-9"/>
                    </w:rPr>
                    <w:t xml:space="preserve"> </w:t>
                  </w:r>
                  <w:r>
                    <w:rPr>
                      <w:color w:val="000000"/>
                    </w:rPr>
                    <w:t>NSW</w:t>
                  </w:r>
                  <w:r>
                    <w:rPr>
                      <w:color w:val="000000"/>
                      <w:spacing w:val="-9"/>
                    </w:rPr>
                    <w:t xml:space="preserve"> </w:t>
                  </w:r>
                  <w:r>
                    <w:rPr>
                      <w:color w:val="000000"/>
                    </w:rPr>
                    <w:t xml:space="preserve">recommends </w:t>
                  </w:r>
                  <w:r>
                    <w:rPr>
                      <w:color w:val="000000"/>
                      <w:w w:val="95"/>
                    </w:rPr>
                    <w:t>investigating</w:t>
                  </w:r>
                  <w:r>
                    <w:rPr>
                      <w:color w:val="000000"/>
                      <w:spacing w:val="-7"/>
                      <w:w w:val="95"/>
                    </w:rPr>
                    <w:t xml:space="preserve"> </w:t>
                  </w:r>
                  <w:r>
                    <w:rPr>
                      <w:color w:val="000000"/>
                      <w:w w:val="95"/>
                    </w:rPr>
                    <w:t>excess</w:t>
                  </w:r>
                  <w:r>
                    <w:rPr>
                      <w:color w:val="000000"/>
                      <w:spacing w:val="-7"/>
                      <w:w w:val="95"/>
                    </w:rPr>
                    <w:t xml:space="preserve"> </w:t>
                  </w:r>
                  <w:r>
                    <w:rPr>
                      <w:color w:val="000000"/>
                      <w:w w:val="95"/>
                    </w:rPr>
                    <w:t>capacity</w:t>
                  </w:r>
                  <w:r>
                    <w:rPr>
                      <w:color w:val="000000"/>
                      <w:spacing w:val="-7"/>
                      <w:w w:val="95"/>
                    </w:rPr>
                    <w:t xml:space="preserve"> </w:t>
                  </w:r>
                  <w:r>
                    <w:rPr>
                      <w:color w:val="000000"/>
                      <w:w w:val="95"/>
                    </w:rPr>
                    <w:t>in</w:t>
                  </w:r>
                  <w:r>
                    <w:rPr>
                      <w:color w:val="000000"/>
                      <w:spacing w:val="-7"/>
                      <w:w w:val="95"/>
                    </w:rPr>
                    <w:t xml:space="preserve"> </w:t>
                  </w:r>
                  <w:r>
                    <w:rPr>
                      <w:color w:val="000000"/>
                      <w:w w:val="95"/>
                    </w:rPr>
                    <w:t>the</w:t>
                  </w:r>
                  <w:r>
                    <w:rPr>
                      <w:color w:val="000000"/>
                      <w:spacing w:val="-7"/>
                      <w:w w:val="95"/>
                    </w:rPr>
                    <w:t xml:space="preserve"> </w:t>
                  </w:r>
                  <w:r>
                    <w:rPr>
                      <w:color w:val="000000"/>
                      <w:w w:val="95"/>
                    </w:rPr>
                    <w:t>private</w:t>
                  </w:r>
                  <w:r>
                    <w:rPr>
                      <w:color w:val="000000"/>
                      <w:spacing w:val="-7"/>
                      <w:w w:val="95"/>
                    </w:rPr>
                    <w:t xml:space="preserve"> </w:t>
                  </w:r>
                  <w:r>
                    <w:rPr>
                      <w:color w:val="000000"/>
                      <w:w w:val="95"/>
                    </w:rPr>
                    <w:t>sector</w:t>
                  </w:r>
                  <w:r>
                    <w:rPr>
                      <w:color w:val="000000"/>
                      <w:spacing w:val="-7"/>
                      <w:w w:val="95"/>
                    </w:rPr>
                    <w:t xml:space="preserve"> </w:t>
                  </w:r>
                  <w:r>
                    <w:rPr>
                      <w:color w:val="000000"/>
                      <w:w w:val="95"/>
                    </w:rPr>
                    <w:t xml:space="preserve">and </w:t>
                  </w:r>
                  <w:r>
                    <w:rPr>
                      <w:color w:val="000000"/>
                    </w:rPr>
                    <w:t>options</w:t>
                  </w:r>
                  <w:r>
                    <w:rPr>
                      <w:color w:val="000000"/>
                      <w:spacing w:val="-9"/>
                    </w:rPr>
                    <w:t xml:space="preserve"> </w:t>
                  </w:r>
                  <w:r>
                    <w:rPr>
                      <w:color w:val="000000"/>
                    </w:rPr>
                    <w:t>to</w:t>
                  </w:r>
                  <w:r>
                    <w:rPr>
                      <w:color w:val="000000"/>
                      <w:spacing w:val="-9"/>
                    </w:rPr>
                    <w:t xml:space="preserve"> </w:t>
                  </w:r>
                  <w:r>
                    <w:rPr>
                      <w:color w:val="000000"/>
                    </w:rPr>
                    <w:t>purchase</w:t>
                  </w:r>
                  <w:r>
                    <w:rPr>
                      <w:color w:val="000000"/>
                      <w:spacing w:val="-9"/>
                    </w:rPr>
                    <w:t xml:space="preserve"> </w:t>
                  </w:r>
                  <w:r>
                    <w:rPr>
                      <w:color w:val="000000"/>
                    </w:rPr>
                    <w:t>full</w:t>
                  </w:r>
                  <w:r>
                    <w:rPr>
                      <w:color w:val="000000"/>
                      <w:spacing w:val="-9"/>
                    </w:rPr>
                    <w:t xml:space="preserve"> </w:t>
                  </w:r>
                  <w:r>
                    <w:rPr>
                      <w:color w:val="000000"/>
                    </w:rPr>
                    <w:t>hospital</w:t>
                  </w:r>
                  <w:r>
                    <w:rPr>
                      <w:color w:val="000000"/>
                      <w:spacing w:val="-9"/>
                    </w:rPr>
                    <w:t xml:space="preserve"> </w:t>
                  </w:r>
                  <w:r>
                    <w:rPr>
                      <w:color w:val="000000"/>
                    </w:rPr>
                    <w:t>services</w:t>
                  </w:r>
                  <w:r>
                    <w:rPr>
                      <w:color w:val="000000"/>
                      <w:spacing w:val="-9"/>
                    </w:rPr>
                    <w:t xml:space="preserve"> </w:t>
                  </w:r>
                  <w:r>
                    <w:rPr>
                      <w:color w:val="000000"/>
                    </w:rPr>
                    <w:t>for</w:t>
                  </w:r>
                  <w:r>
                    <w:rPr>
                      <w:color w:val="000000"/>
                      <w:spacing w:val="-9"/>
                    </w:rPr>
                    <w:t xml:space="preserve"> </w:t>
                  </w:r>
                  <w:r>
                    <w:rPr>
                      <w:color w:val="000000"/>
                    </w:rPr>
                    <w:t>public patients from the private sector.</w:t>
                  </w:r>
                </w:p>
              </w:txbxContent>
            </v:textbox>
            <w10:wrap anchorx="page"/>
          </v:shape>
        </w:pict>
      </w:r>
      <w:r w:rsidR="00F22F94">
        <w:t>A</w:t>
      </w:r>
      <w:r w:rsidR="00F22F94">
        <w:rPr>
          <w:spacing w:val="-9"/>
        </w:rPr>
        <w:t xml:space="preserve"> </w:t>
      </w:r>
      <w:r w:rsidR="00F22F94">
        <w:t>precinct</w:t>
      </w:r>
      <w:r w:rsidR="00F22F94">
        <w:rPr>
          <w:spacing w:val="-9"/>
        </w:rPr>
        <w:t xml:space="preserve"> </w:t>
      </w:r>
      <w:r w:rsidR="00F22F94">
        <w:t>approach</w:t>
      </w:r>
      <w:r w:rsidR="00F22F94">
        <w:rPr>
          <w:spacing w:val="-9"/>
        </w:rPr>
        <w:t xml:space="preserve"> </w:t>
      </w:r>
      <w:r w:rsidR="00F22F94">
        <w:t>allows</w:t>
      </w:r>
      <w:r w:rsidR="00F22F94">
        <w:rPr>
          <w:spacing w:val="-9"/>
        </w:rPr>
        <w:t xml:space="preserve"> </w:t>
      </w:r>
      <w:r w:rsidR="00F22F94">
        <w:t>private</w:t>
      </w:r>
      <w:r w:rsidR="00F22F94">
        <w:rPr>
          <w:spacing w:val="-9"/>
        </w:rPr>
        <w:t xml:space="preserve"> </w:t>
      </w:r>
      <w:r w:rsidR="00F22F94">
        <w:t>operators</w:t>
      </w:r>
      <w:r w:rsidR="00F22F94">
        <w:rPr>
          <w:spacing w:val="-9"/>
        </w:rPr>
        <w:t xml:space="preserve"> </w:t>
      </w:r>
      <w:r w:rsidR="00F22F94">
        <w:t>to</w:t>
      </w:r>
      <w:r w:rsidR="00F22F94">
        <w:rPr>
          <w:spacing w:val="-9"/>
        </w:rPr>
        <w:t xml:space="preserve"> </w:t>
      </w:r>
      <w:r w:rsidR="00F22F94">
        <w:t xml:space="preserve">plan </w:t>
      </w:r>
      <w:r w:rsidR="00F22F94">
        <w:rPr>
          <w:w w:val="95"/>
        </w:rPr>
        <w:t>and establish services on the same site and derive the benefits</w:t>
      </w:r>
      <w:r w:rsidR="00F22F94">
        <w:rPr>
          <w:spacing w:val="-1"/>
          <w:w w:val="95"/>
        </w:rPr>
        <w:t xml:space="preserve"> </w:t>
      </w:r>
      <w:r w:rsidR="00F22F94">
        <w:rPr>
          <w:w w:val="95"/>
        </w:rPr>
        <w:t>of</w:t>
      </w:r>
      <w:r w:rsidR="00F22F94">
        <w:rPr>
          <w:spacing w:val="-1"/>
          <w:w w:val="95"/>
        </w:rPr>
        <w:t xml:space="preserve"> </w:t>
      </w:r>
      <w:r w:rsidR="00F22F94">
        <w:rPr>
          <w:w w:val="95"/>
        </w:rPr>
        <w:t>shared</w:t>
      </w:r>
      <w:r w:rsidR="00F22F94">
        <w:rPr>
          <w:spacing w:val="-1"/>
          <w:w w:val="95"/>
        </w:rPr>
        <w:t xml:space="preserve"> </w:t>
      </w:r>
      <w:r w:rsidR="00F22F94">
        <w:rPr>
          <w:w w:val="95"/>
        </w:rPr>
        <w:t>infrastructure,</w:t>
      </w:r>
      <w:r w:rsidR="00F22F94">
        <w:rPr>
          <w:spacing w:val="-1"/>
          <w:w w:val="95"/>
        </w:rPr>
        <w:t xml:space="preserve"> </w:t>
      </w:r>
      <w:r w:rsidR="00F22F94">
        <w:rPr>
          <w:w w:val="95"/>
        </w:rPr>
        <w:t>shared</w:t>
      </w:r>
      <w:r w:rsidR="00F22F94">
        <w:rPr>
          <w:spacing w:val="-1"/>
          <w:w w:val="95"/>
        </w:rPr>
        <w:t xml:space="preserve"> </w:t>
      </w:r>
      <w:r w:rsidR="00F22F94">
        <w:rPr>
          <w:w w:val="95"/>
        </w:rPr>
        <w:t>workforce</w:t>
      </w:r>
      <w:r w:rsidR="00F22F94">
        <w:rPr>
          <w:spacing w:val="-1"/>
          <w:w w:val="95"/>
        </w:rPr>
        <w:t xml:space="preserve"> </w:t>
      </w:r>
      <w:r w:rsidR="00F22F94">
        <w:rPr>
          <w:w w:val="95"/>
        </w:rPr>
        <w:t xml:space="preserve">and </w:t>
      </w:r>
      <w:r w:rsidR="00F22F94">
        <w:t>ancillary</w:t>
      </w:r>
      <w:r w:rsidR="00F22F94">
        <w:rPr>
          <w:spacing w:val="-11"/>
        </w:rPr>
        <w:t xml:space="preserve"> </w:t>
      </w:r>
      <w:r w:rsidR="00F22F94">
        <w:t>services.</w:t>
      </w:r>
    </w:p>
    <w:p w:rsidR="002C1123" w:rsidRDefault="00F22F94">
      <w:pPr>
        <w:pStyle w:val="BodyText"/>
        <w:spacing w:before="145" w:line="249" w:lineRule="auto"/>
        <w:ind w:left="336"/>
      </w:pPr>
      <w:r>
        <w:rPr>
          <w:w w:val="95"/>
        </w:rPr>
        <w:t>Planning</w:t>
      </w:r>
      <w:r>
        <w:rPr>
          <w:spacing w:val="-7"/>
          <w:w w:val="95"/>
        </w:rPr>
        <w:t xml:space="preserve"> </w:t>
      </w:r>
      <w:r>
        <w:rPr>
          <w:w w:val="95"/>
        </w:rPr>
        <w:t>for</w:t>
      </w:r>
      <w:r>
        <w:rPr>
          <w:spacing w:val="-7"/>
          <w:w w:val="95"/>
        </w:rPr>
        <w:t xml:space="preserve"> </w:t>
      </w:r>
      <w:r>
        <w:rPr>
          <w:w w:val="95"/>
        </w:rPr>
        <w:t>co-location</w:t>
      </w:r>
      <w:r>
        <w:rPr>
          <w:spacing w:val="-7"/>
          <w:w w:val="95"/>
        </w:rPr>
        <w:t xml:space="preserve"> </w:t>
      </w:r>
      <w:r>
        <w:rPr>
          <w:w w:val="95"/>
        </w:rPr>
        <w:t>of</w:t>
      </w:r>
      <w:r>
        <w:rPr>
          <w:spacing w:val="-7"/>
          <w:w w:val="95"/>
        </w:rPr>
        <w:t xml:space="preserve"> </w:t>
      </w:r>
      <w:r>
        <w:rPr>
          <w:w w:val="95"/>
        </w:rPr>
        <w:t>public</w:t>
      </w:r>
      <w:r>
        <w:rPr>
          <w:spacing w:val="-7"/>
          <w:w w:val="95"/>
        </w:rPr>
        <w:t xml:space="preserve"> </w:t>
      </w:r>
      <w:r>
        <w:rPr>
          <w:w w:val="95"/>
        </w:rPr>
        <w:t>and</w:t>
      </w:r>
      <w:r>
        <w:rPr>
          <w:spacing w:val="-7"/>
          <w:w w:val="95"/>
        </w:rPr>
        <w:t xml:space="preserve"> </w:t>
      </w:r>
      <w:r>
        <w:rPr>
          <w:w w:val="95"/>
        </w:rPr>
        <w:t>private</w:t>
      </w:r>
      <w:r>
        <w:rPr>
          <w:spacing w:val="-7"/>
          <w:w w:val="95"/>
        </w:rPr>
        <w:t xml:space="preserve"> </w:t>
      </w:r>
      <w:r>
        <w:rPr>
          <w:w w:val="95"/>
        </w:rPr>
        <w:t>facilities</w:t>
      </w:r>
      <w:r>
        <w:rPr>
          <w:spacing w:val="-7"/>
          <w:w w:val="95"/>
        </w:rPr>
        <w:t xml:space="preserve"> </w:t>
      </w:r>
      <w:r>
        <w:rPr>
          <w:w w:val="95"/>
        </w:rPr>
        <w:t xml:space="preserve">will also increase the attractiveness of private sector service </w:t>
      </w:r>
      <w:r>
        <w:t>provision with the benefits of:</w:t>
      </w:r>
    </w:p>
    <w:p w:rsidR="002C1123" w:rsidRDefault="00F22F94">
      <w:pPr>
        <w:pStyle w:val="ListParagraph"/>
        <w:numPr>
          <w:ilvl w:val="0"/>
          <w:numId w:val="40"/>
        </w:numPr>
        <w:tabs>
          <w:tab w:val="left" w:pos="620"/>
        </w:tabs>
        <w:spacing w:before="132" w:line="249" w:lineRule="auto"/>
        <w:ind w:left="619" w:right="16"/>
        <w:jc w:val="both"/>
        <w:rPr>
          <w:sz w:val="20"/>
        </w:rPr>
      </w:pPr>
      <w:r>
        <w:rPr>
          <w:w w:val="95"/>
          <w:sz w:val="20"/>
        </w:rPr>
        <w:t xml:space="preserve">knowledge transfer across public and private sectors (both clinical and management where these services </w:t>
      </w:r>
      <w:r>
        <w:rPr>
          <w:sz w:val="20"/>
        </w:rPr>
        <w:t>are</w:t>
      </w:r>
      <w:r>
        <w:rPr>
          <w:spacing w:val="-11"/>
          <w:sz w:val="20"/>
        </w:rPr>
        <w:t xml:space="preserve"> </w:t>
      </w:r>
      <w:r>
        <w:rPr>
          <w:sz w:val="20"/>
        </w:rPr>
        <w:t>co-located)</w:t>
      </w:r>
    </w:p>
    <w:p w:rsidR="002C1123" w:rsidRDefault="00F22F94">
      <w:pPr>
        <w:pStyle w:val="ListParagraph"/>
        <w:numPr>
          <w:ilvl w:val="0"/>
          <w:numId w:val="40"/>
        </w:numPr>
        <w:tabs>
          <w:tab w:val="left" w:pos="620"/>
        </w:tabs>
        <w:spacing w:before="131"/>
        <w:rPr>
          <w:sz w:val="20"/>
        </w:rPr>
      </w:pPr>
      <w:r>
        <w:rPr>
          <w:w w:val="95"/>
          <w:sz w:val="20"/>
        </w:rPr>
        <w:t>labour</w:t>
      </w:r>
      <w:r>
        <w:rPr>
          <w:spacing w:val="-2"/>
          <w:w w:val="95"/>
          <w:sz w:val="20"/>
        </w:rPr>
        <w:t xml:space="preserve"> </w:t>
      </w:r>
      <w:r>
        <w:rPr>
          <w:w w:val="95"/>
          <w:sz w:val="20"/>
        </w:rPr>
        <w:t>pool</w:t>
      </w:r>
      <w:r>
        <w:rPr>
          <w:spacing w:val="-1"/>
          <w:w w:val="95"/>
          <w:sz w:val="20"/>
        </w:rPr>
        <w:t xml:space="preserve"> </w:t>
      </w:r>
      <w:r>
        <w:rPr>
          <w:w w:val="95"/>
          <w:sz w:val="20"/>
        </w:rPr>
        <w:t>sharing</w:t>
      </w:r>
      <w:r>
        <w:rPr>
          <w:spacing w:val="-1"/>
          <w:w w:val="95"/>
          <w:sz w:val="20"/>
        </w:rPr>
        <w:t xml:space="preserve"> </w:t>
      </w:r>
      <w:r>
        <w:rPr>
          <w:w w:val="95"/>
          <w:sz w:val="20"/>
        </w:rPr>
        <w:t>and</w:t>
      </w:r>
      <w:r>
        <w:rPr>
          <w:spacing w:val="-1"/>
          <w:w w:val="95"/>
          <w:sz w:val="20"/>
        </w:rPr>
        <w:t xml:space="preserve"> </w:t>
      </w:r>
      <w:r>
        <w:rPr>
          <w:w w:val="95"/>
          <w:sz w:val="20"/>
        </w:rPr>
        <w:t>recruitment</w:t>
      </w:r>
      <w:r>
        <w:rPr>
          <w:spacing w:val="-1"/>
          <w:w w:val="95"/>
          <w:sz w:val="20"/>
        </w:rPr>
        <w:t xml:space="preserve"> </w:t>
      </w:r>
      <w:r>
        <w:rPr>
          <w:w w:val="95"/>
          <w:sz w:val="20"/>
        </w:rPr>
        <w:t>and</w:t>
      </w:r>
      <w:r>
        <w:rPr>
          <w:spacing w:val="-1"/>
          <w:w w:val="95"/>
          <w:sz w:val="20"/>
        </w:rPr>
        <w:t xml:space="preserve"> </w:t>
      </w:r>
      <w:r>
        <w:rPr>
          <w:spacing w:val="-2"/>
          <w:w w:val="95"/>
          <w:sz w:val="20"/>
        </w:rPr>
        <w:t>retention</w:t>
      </w:r>
    </w:p>
    <w:p w:rsidR="002C1123" w:rsidRDefault="00F22F94">
      <w:pPr>
        <w:pStyle w:val="ListParagraph"/>
        <w:numPr>
          <w:ilvl w:val="0"/>
          <w:numId w:val="40"/>
        </w:numPr>
        <w:tabs>
          <w:tab w:val="left" w:pos="620"/>
        </w:tabs>
        <w:spacing w:before="140"/>
        <w:rPr>
          <w:sz w:val="20"/>
        </w:rPr>
      </w:pPr>
      <w:r>
        <w:rPr>
          <w:w w:val="95"/>
          <w:sz w:val="20"/>
        </w:rPr>
        <w:t>demand</w:t>
      </w:r>
      <w:r>
        <w:rPr>
          <w:spacing w:val="-1"/>
          <w:sz w:val="20"/>
        </w:rPr>
        <w:t xml:space="preserve"> </w:t>
      </w:r>
      <w:r>
        <w:rPr>
          <w:w w:val="95"/>
          <w:sz w:val="20"/>
        </w:rPr>
        <w:t>and</w:t>
      </w:r>
      <w:r>
        <w:rPr>
          <w:sz w:val="20"/>
        </w:rPr>
        <w:t xml:space="preserve"> </w:t>
      </w:r>
      <w:r>
        <w:rPr>
          <w:w w:val="95"/>
          <w:sz w:val="20"/>
        </w:rPr>
        <w:t>labour</w:t>
      </w:r>
      <w:r>
        <w:rPr>
          <w:sz w:val="20"/>
        </w:rPr>
        <w:t xml:space="preserve"> </w:t>
      </w:r>
      <w:r>
        <w:rPr>
          <w:spacing w:val="-2"/>
          <w:w w:val="95"/>
          <w:sz w:val="20"/>
        </w:rPr>
        <w:t>matching</w:t>
      </w:r>
    </w:p>
    <w:p w:rsidR="002C1123" w:rsidRDefault="002060EF">
      <w:pPr>
        <w:pStyle w:val="ListParagraph"/>
        <w:numPr>
          <w:ilvl w:val="0"/>
          <w:numId w:val="40"/>
        </w:numPr>
        <w:tabs>
          <w:tab w:val="left" w:pos="620"/>
        </w:tabs>
        <w:spacing w:before="139" w:line="249" w:lineRule="auto"/>
        <w:ind w:left="619" w:right="340"/>
        <w:rPr>
          <w:sz w:val="20"/>
        </w:rPr>
      </w:pPr>
      <w:r>
        <w:pict>
          <v:shape id="docshape2453" o:spid="_x0000_s1571" type="#_x0000_t202" style="position:absolute;left:0;text-align:left;margin-left:300.95pt;margin-top:64pt;width:240pt;height:81.35pt;z-index:251659264;mso-position-horizontal-relative:page" fillcolor="#e1e0e1" stroked="f">
            <v:textbox inset="0,0,0,0">
              <w:txbxContent>
                <w:p w:rsidR="00F22F94" w:rsidRDefault="00F22F94">
                  <w:pPr>
                    <w:pStyle w:val="BodyText"/>
                    <w:spacing w:before="68" w:line="249" w:lineRule="auto"/>
                    <w:ind w:left="113" w:right="245"/>
                    <w:rPr>
                      <w:color w:val="000000"/>
                    </w:rPr>
                  </w:pPr>
                  <w:r>
                    <w:rPr>
                      <w:b/>
                      <w:color w:val="00AEEF"/>
                      <w:w w:val="95"/>
                    </w:rPr>
                    <w:t>Recommendation</w:t>
                  </w:r>
                  <w:r>
                    <w:rPr>
                      <w:b/>
                      <w:color w:val="00AEEF"/>
                      <w:spacing w:val="40"/>
                    </w:rPr>
                    <w:t xml:space="preserve"> </w:t>
                  </w:r>
                  <w:r>
                    <w:rPr>
                      <w:color w:val="000000"/>
                      <w:w w:val="95"/>
                    </w:rPr>
                    <w:t xml:space="preserve">Establish pro-actively planned </w:t>
                  </w:r>
                  <w:r>
                    <w:rPr>
                      <w:color w:val="000000"/>
                    </w:rPr>
                    <w:t>‘health</w:t>
                  </w:r>
                  <w:r>
                    <w:rPr>
                      <w:color w:val="000000"/>
                      <w:spacing w:val="-6"/>
                    </w:rPr>
                    <w:t xml:space="preserve"> </w:t>
                  </w:r>
                  <w:r>
                    <w:rPr>
                      <w:color w:val="000000"/>
                    </w:rPr>
                    <w:t>care</w:t>
                  </w:r>
                  <w:r>
                    <w:rPr>
                      <w:color w:val="000000"/>
                      <w:spacing w:val="-6"/>
                    </w:rPr>
                    <w:t xml:space="preserve"> </w:t>
                  </w:r>
                  <w:r>
                    <w:rPr>
                      <w:color w:val="000000"/>
                    </w:rPr>
                    <w:t>precincts’</w:t>
                  </w:r>
                  <w:r>
                    <w:rPr>
                      <w:color w:val="000000"/>
                      <w:spacing w:val="-6"/>
                    </w:rPr>
                    <w:t xml:space="preserve"> </w:t>
                  </w:r>
                  <w:r>
                    <w:rPr>
                      <w:color w:val="000000"/>
                    </w:rPr>
                    <w:t>with</w:t>
                  </w:r>
                  <w:r>
                    <w:rPr>
                      <w:color w:val="000000"/>
                      <w:spacing w:val="-6"/>
                    </w:rPr>
                    <w:t xml:space="preserve"> </w:t>
                  </w:r>
                  <w:r>
                    <w:rPr>
                      <w:color w:val="000000"/>
                    </w:rPr>
                    <w:t>clusters</w:t>
                  </w:r>
                  <w:r>
                    <w:rPr>
                      <w:color w:val="000000"/>
                      <w:spacing w:val="-6"/>
                    </w:rPr>
                    <w:t xml:space="preserve"> </w:t>
                  </w:r>
                  <w:r>
                    <w:rPr>
                      <w:color w:val="000000"/>
                    </w:rPr>
                    <w:t>of</w:t>
                  </w:r>
                  <w:r>
                    <w:rPr>
                      <w:color w:val="000000"/>
                      <w:spacing w:val="-6"/>
                    </w:rPr>
                    <w:t xml:space="preserve"> </w:t>
                  </w:r>
                  <w:r>
                    <w:rPr>
                      <w:color w:val="000000"/>
                    </w:rPr>
                    <w:t>related private</w:t>
                  </w:r>
                  <w:r>
                    <w:rPr>
                      <w:color w:val="000000"/>
                      <w:spacing w:val="-12"/>
                    </w:rPr>
                    <w:t xml:space="preserve"> </w:t>
                  </w:r>
                  <w:r>
                    <w:rPr>
                      <w:color w:val="000000"/>
                    </w:rPr>
                    <w:t>and</w:t>
                  </w:r>
                  <w:r>
                    <w:rPr>
                      <w:color w:val="000000"/>
                      <w:spacing w:val="-12"/>
                    </w:rPr>
                    <w:t xml:space="preserve"> </w:t>
                  </w:r>
                  <w:r>
                    <w:rPr>
                      <w:color w:val="000000"/>
                    </w:rPr>
                    <w:t>public</w:t>
                  </w:r>
                  <w:r>
                    <w:rPr>
                      <w:color w:val="000000"/>
                      <w:spacing w:val="-12"/>
                    </w:rPr>
                    <w:t xml:space="preserve"> </w:t>
                  </w:r>
                  <w:r>
                    <w:rPr>
                      <w:color w:val="000000"/>
                    </w:rPr>
                    <w:t>health</w:t>
                  </w:r>
                  <w:r>
                    <w:rPr>
                      <w:color w:val="000000"/>
                      <w:spacing w:val="-12"/>
                    </w:rPr>
                    <w:t xml:space="preserve"> </w:t>
                  </w:r>
                  <w:r>
                    <w:rPr>
                      <w:color w:val="000000"/>
                    </w:rPr>
                    <w:t>services</w:t>
                  </w:r>
                  <w:r>
                    <w:rPr>
                      <w:color w:val="000000"/>
                      <w:spacing w:val="-12"/>
                    </w:rPr>
                    <w:t xml:space="preserve"> </w:t>
                  </w:r>
                  <w:r>
                    <w:rPr>
                      <w:color w:val="000000"/>
                    </w:rPr>
                    <w:t>delivered</w:t>
                  </w:r>
                  <w:r>
                    <w:rPr>
                      <w:color w:val="000000"/>
                      <w:spacing w:val="-12"/>
                    </w:rPr>
                    <w:t xml:space="preserve"> </w:t>
                  </w:r>
                  <w:r>
                    <w:rPr>
                      <w:color w:val="000000"/>
                    </w:rPr>
                    <w:t>by</w:t>
                  </w:r>
                </w:p>
                <w:p w:rsidR="00F22F94" w:rsidRDefault="00F22F94">
                  <w:pPr>
                    <w:pStyle w:val="BodyText"/>
                    <w:spacing w:before="3" w:line="249" w:lineRule="auto"/>
                    <w:ind w:left="113" w:right="491"/>
                    <w:jc w:val="both"/>
                    <w:rPr>
                      <w:color w:val="000000"/>
                    </w:rPr>
                  </w:pPr>
                  <w:r>
                    <w:rPr>
                      <w:color w:val="000000"/>
                      <w:w w:val="95"/>
                    </w:rPr>
                    <w:t xml:space="preserve">both government and non-government providers. Potentially, the Northern Beaches Hospital will be </w:t>
                  </w:r>
                  <w:r>
                    <w:rPr>
                      <w:color w:val="000000"/>
                    </w:rPr>
                    <w:t>constructed using this approach.</w:t>
                  </w:r>
                </w:p>
              </w:txbxContent>
            </v:textbox>
            <w10:wrap anchorx="page"/>
          </v:shape>
        </w:pict>
      </w:r>
      <w:r w:rsidR="00F22F94">
        <w:rPr>
          <w:w w:val="95"/>
          <w:sz w:val="20"/>
        </w:rPr>
        <w:t>scales</w:t>
      </w:r>
      <w:r w:rsidR="00F22F94">
        <w:rPr>
          <w:spacing w:val="-7"/>
          <w:w w:val="95"/>
          <w:sz w:val="20"/>
        </w:rPr>
        <w:t xml:space="preserve"> </w:t>
      </w:r>
      <w:r w:rsidR="00F22F94">
        <w:rPr>
          <w:w w:val="95"/>
          <w:sz w:val="20"/>
        </w:rPr>
        <w:t>of</w:t>
      </w:r>
      <w:r w:rsidR="00F22F94">
        <w:rPr>
          <w:spacing w:val="-7"/>
          <w:w w:val="95"/>
          <w:sz w:val="20"/>
        </w:rPr>
        <w:t xml:space="preserve"> </w:t>
      </w:r>
      <w:r w:rsidR="00F22F94">
        <w:rPr>
          <w:w w:val="95"/>
          <w:sz w:val="20"/>
        </w:rPr>
        <w:t>economy</w:t>
      </w:r>
      <w:r w:rsidR="00F22F94">
        <w:rPr>
          <w:spacing w:val="-7"/>
          <w:w w:val="95"/>
          <w:sz w:val="20"/>
        </w:rPr>
        <w:t xml:space="preserve"> </w:t>
      </w:r>
      <w:r w:rsidR="00F22F94">
        <w:rPr>
          <w:w w:val="95"/>
          <w:sz w:val="20"/>
        </w:rPr>
        <w:t>–</w:t>
      </w:r>
      <w:r w:rsidR="00F22F94">
        <w:rPr>
          <w:spacing w:val="-7"/>
          <w:w w:val="95"/>
          <w:sz w:val="20"/>
        </w:rPr>
        <w:t xml:space="preserve"> </w:t>
      </w:r>
      <w:r w:rsidR="00F22F94">
        <w:rPr>
          <w:w w:val="95"/>
          <w:sz w:val="20"/>
        </w:rPr>
        <w:t>e.g.</w:t>
      </w:r>
      <w:r w:rsidR="00F22F94">
        <w:rPr>
          <w:spacing w:val="-7"/>
          <w:w w:val="95"/>
          <w:sz w:val="20"/>
        </w:rPr>
        <w:t xml:space="preserve"> </w:t>
      </w:r>
      <w:r w:rsidR="00F22F94">
        <w:rPr>
          <w:w w:val="95"/>
          <w:sz w:val="20"/>
        </w:rPr>
        <w:t>sharing</w:t>
      </w:r>
      <w:r w:rsidR="00F22F94">
        <w:rPr>
          <w:spacing w:val="-7"/>
          <w:w w:val="95"/>
          <w:sz w:val="20"/>
        </w:rPr>
        <w:t xml:space="preserve"> </w:t>
      </w:r>
      <w:r w:rsidR="00F22F94">
        <w:rPr>
          <w:w w:val="95"/>
          <w:sz w:val="20"/>
        </w:rPr>
        <w:t>of</w:t>
      </w:r>
      <w:r w:rsidR="00F22F94">
        <w:rPr>
          <w:spacing w:val="-7"/>
          <w:w w:val="95"/>
          <w:sz w:val="20"/>
        </w:rPr>
        <w:t xml:space="preserve"> </w:t>
      </w:r>
      <w:r w:rsidR="00F22F94">
        <w:rPr>
          <w:w w:val="95"/>
          <w:sz w:val="20"/>
        </w:rPr>
        <w:t>infrastructure and</w:t>
      </w:r>
      <w:r w:rsidR="00F22F94">
        <w:rPr>
          <w:spacing w:val="-1"/>
          <w:w w:val="95"/>
          <w:sz w:val="20"/>
        </w:rPr>
        <w:t xml:space="preserve"> </w:t>
      </w:r>
      <w:r w:rsidR="00F22F94">
        <w:rPr>
          <w:w w:val="95"/>
          <w:sz w:val="20"/>
        </w:rPr>
        <w:t>reducing</w:t>
      </w:r>
      <w:r w:rsidR="00F22F94">
        <w:rPr>
          <w:spacing w:val="-1"/>
          <w:w w:val="95"/>
          <w:sz w:val="20"/>
        </w:rPr>
        <w:t xml:space="preserve"> </w:t>
      </w:r>
      <w:r w:rsidR="00F22F94">
        <w:rPr>
          <w:w w:val="95"/>
          <w:sz w:val="20"/>
        </w:rPr>
        <w:t>the</w:t>
      </w:r>
      <w:r w:rsidR="00F22F94">
        <w:rPr>
          <w:spacing w:val="-1"/>
          <w:w w:val="95"/>
          <w:sz w:val="20"/>
        </w:rPr>
        <w:t xml:space="preserve"> </w:t>
      </w:r>
      <w:r w:rsidR="00F22F94">
        <w:rPr>
          <w:w w:val="95"/>
          <w:sz w:val="20"/>
        </w:rPr>
        <w:t>capital</w:t>
      </w:r>
      <w:r w:rsidR="00F22F94">
        <w:rPr>
          <w:spacing w:val="-1"/>
          <w:w w:val="95"/>
          <w:sz w:val="20"/>
        </w:rPr>
        <w:t xml:space="preserve"> </w:t>
      </w:r>
      <w:r w:rsidR="00F22F94">
        <w:rPr>
          <w:w w:val="95"/>
          <w:sz w:val="20"/>
        </w:rPr>
        <w:t>cost</w:t>
      </w:r>
      <w:r w:rsidR="00F22F94">
        <w:rPr>
          <w:spacing w:val="-1"/>
          <w:w w:val="95"/>
          <w:sz w:val="20"/>
        </w:rPr>
        <w:t xml:space="preserve"> </w:t>
      </w:r>
      <w:r w:rsidR="00F22F94">
        <w:rPr>
          <w:w w:val="95"/>
          <w:sz w:val="20"/>
        </w:rPr>
        <w:t>per</w:t>
      </w:r>
      <w:r w:rsidR="00F22F94">
        <w:rPr>
          <w:spacing w:val="-1"/>
          <w:w w:val="95"/>
          <w:sz w:val="20"/>
        </w:rPr>
        <w:t xml:space="preserve"> </w:t>
      </w:r>
      <w:r w:rsidR="00F22F94">
        <w:rPr>
          <w:w w:val="95"/>
          <w:sz w:val="20"/>
        </w:rPr>
        <w:t>patient;</w:t>
      </w:r>
      <w:r w:rsidR="00F22F94">
        <w:rPr>
          <w:spacing w:val="-1"/>
          <w:w w:val="95"/>
          <w:sz w:val="20"/>
        </w:rPr>
        <w:t xml:space="preserve"> </w:t>
      </w:r>
      <w:r w:rsidR="00F22F94">
        <w:rPr>
          <w:w w:val="95"/>
          <w:sz w:val="20"/>
        </w:rPr>
        <w:t>or</w:t>
      </w:r>
      <w:r w:rsidR="00F22F94">
        <w:rPr>
          <w:spacing w:val="-1"/>
          <w:w w:val="95"/>
          <w:sz w:val="20"/>
        </w:rPr>
        <w:t xml:space="preserve"> </w:t>
      </w:r>
      <w:r w:rsidR="00F22F94">
        <w:rPr>
          <w:w w:val="95"/>
          <w:sz w:val="20"/>
        </w:rPr>
        <w:t xml:space="preserve">price </w:t>
      </w:r>
      <w:r w:rsidR="00F22F94">
        <w:rPr>
          <w:sz w:val="20"/>
        </w:rPr>
        <w:t>savings</w:t>
      </w:r>
      <w:r w:rsidR="00F22F94">
        <w:rPr>
          <w:spacing w:val="-6"/>
          <w:sz w:val="20"/>
        </w:rPr>
        <w:t xml:space="preserve"> </w:t>
      </w:r>
      <w:r w:rsidR="00F22F94">
        <w:rPr>
          <w:sz w:val="20"/>
        </w:rPr>
        <w:t>through</w:t>
      </w:r>
      <w:r w:rsidR="00F22F94">
        <w:rPr>
          <w:spacing w:val="-6"/>
          <w:sz w:val="20"/>
        </w:rPr>
        <w:t xml:space="preserve"> </w:t>
      </w:r>
      <w:r w:rsidR="00F22F94">
        <w:rPr>
          <w:sz w:val="20"/>
        </w:rPr>
        <w:t>greater</w:t>
      </w:r>
      <w:r w:rsidR="00F22F94">
        <w:rPr>
          <w:spacing w:val="-6"/>
          <w:sz w:val="20"/>
        </w:rPr>
        <w:t xml:space="preserve"> </w:t>
      </w:r>
      <w:r w:rsidR="00F22F94">
        <w:rPr>
          <w:sz w:val="20"/>
        </w:rPr>
        <w:t>buying</w:t>
      </w:r>
      <w:r w:rsidR="00F22F94">
        <w:rPr>
          <w:spacing w:val="-6"/>
          <w:sz w:val="20"/>
        </w:rPr>
        <w:t xml:space="preserve"> </w:t>
      </w:r>
      <w:r w:rsidR="00F22F94">
        <w:rPr>
          <w:sz w:val="20"/>
        </w:rPr>
        <w:t>power</w:t>
      </w:r>
      <w:r w:rsidR="00F22F94">
        <w:rPr>
          <w:spacing w:val="-6"/>
          <w:sz w:val="20"/>
        </w:rPr>
        <w:t xml:space="preserve"> </w:t>
      </w:r>
      <w:r w:rsidR="00F22F94">
        <w:rPr>
          <w:sz w:val="20"/>
        </w:rPr>
        <w:t>through suppliers of services.</w:t>
      </w:r>
    </w:p>
    <w:p w:rsidR="002C1123" w:rsidRDefault="00F22F94">
      <w:pPr>
        <w:pStyle w:val="Heading6"/>
        <w:numPr>
          <w:ilvl w:val="2"/>
          <w:numId w:val="49"/>
        </w:numPr>
        <w:tabs>
          <w:tab w:val="left" w:pos="814"/>
        </w:tabs>
        <w:ind w:left="813" w:hanging="596"/>
        <w:jc w:val="left"/>
      </w:pPr>
      <w:r>
        <w:rPr>
          <w:b w:val="0"/>
        </w:rPr>
        <w:br w:type="column"/>
      </w:r>
      <w:r>
        <w:rPr>
          <w:color w:val="00AEEF"/>
          <w:spacing w:val="-4"/>
        </w:rPr>
        <w:t>Exit from support</w:t>
      </w:r>
      <w:r>
        <w:rPr>
          <w:color w:val="00AEEF"/>
          <w:spacing w:val="-3"/>
        </w:rPr>
        <w:t xml:space="preserve"> </w:t>
      </w:r>
      <w:r>
        <w:rPr>
          <w:color w:val="00AEEF"/>
          <w:spacing w:val="-4"/>
        </w:rPr>
        <w:t>infrastructure</w:t>
      </w:r>
    </w:p>
    <w:p w:rsidR="002C1123" w:rsidRDefault="00F22F94">
      <w:pPr>
        <w:pStyle w:val="BodyText"/>
        <w:spacing w:before="95" w:line="249" w:lineRule="auto"/>
        <w:ind w:left="218" w:right="581"/>
      </w:pPr>
      <w:r>
        <w:rPr>
          <w:spacing w:val="-2"/>
        </w:rPr>
        <w:t>There</w:t>
      </w:r>
      <w:r>
        <w:rPr>
          <w:spacing w:val="-8"/>
        </w:rPr>
        <w:t xml:space="preserve"> </w:t>
      </w:r>
      <w:r>
        <w:rPr>
          <w:spacing w:val="-2"/>
        </w:rPr>
        <w:t>are</w:t>
      </w:r>
      <w:r>
        <w:rPr>
          <w:spacing w:val="-8"/>
        </w:rPr>
        <w:t xml:space="preserve"> </w:t>
      </w:r>
      <w:r>
        <w:rPr>
          <w:spacing w:val="-2"/>
        </w:rPr>
        <w:t>also</w:t>
      </w:r>
      <w:r>
        <w:rPr>
          <w:spacing w:val="-8"/>
        </w:rPr>
        <w:t xml:space="preserve"> </w:t>
      </w:r>
      <w:r>
        <w:rPr>
          <w:spacing w:val="-2"/>
        </w:rPr>
        <w:t>opportunities</w:t>
      </w:r>
      <w:r>
        <w:rPr>
          <w:spacing w:val="-8"/>
        </w:rPr>
        <w:t xml:space="preserve"> </w:t>
      </w:r>
      <w:r>
        <w:rPr>
          <w:spacing w:val="-2"/>
        </w:rPr>
        <w:t>for</w:t>
      </w:r>
      <w:r>
        <w:rPr>
          <w:spacing w:val="-8"/>
        </w:rPr>
        <w:t xml:space="preserve"> </w:t>
      </w:r>
      <w:r>
        <w:rPr>
          <w:spacing w:val="-2"/>
        </w:rPr>
        <w:t>NSW</w:t>
      </w:r>
      <w:r>
        <w:rPr>
          <w:spacing w:val="-8"/>
        </w:rPr>
        <w:t xml:space="preserve"> </w:t>
      </w:r>
      <w:r>
        <w:rPr>
          <w:spacing w:val="-2"/>
        </w:rPr>
        <w:t>Health</w:t>
      </w:r>
      <w:r>
        <w:rPr>
          <w:spacing w:val="-8"/>
        </w:rPr>
        <w:t xml:space="preserve"> </w:t>
      </w:r>
      <w:r>
        <w:rPr>
          <w:spacing w:val="-2"/>
        </w:rPr>
        <w:t>to</w:t>
      </w:r>
      <w:r>
        <w:rPr>
          <w:spacing w:val="-8"/>
        </w:rPr>
        <w:t xml:space="preserve"> </w:t>
      </w:r>
      <w:r>
        <w:rPr>
          <w:spacing w:val="-2"/>
        </w:rPr>
        <w:t xml:space="preserve">better </w:t>
      </w:r>
      <w:r>
        <w:t>utilise</w:t>
      </w:r>
      <w:r>
        <w:rPr>
          <w:spacing w:val="-14"/>
        </w:rPr>
        <w:t xml:space="preserve"> </w:t>
      </w:r>
      <w:r>
        <w:t>existing</w:t>
      </w:r>
      <w:r>
        <w:rPr>
          <w:spacing w:val="-14"/>
        </w:rPr>
        <w:t xml:space="preserve"> </w:t>
      </w:r>
      <w:r>
        <w:t>capital</w:t>
      </w:r>
      <w:r>
        <w:rPr>
          <w:spacing w:val="-14"/>
        </w:rPr>
        <w:t xml:space="preserve"> </w:t>
      </w:r>
      <w:r>
        <w:t>stock</w:t>
      </w:r>
      <w:r>
        <w:rPr>
          <w:spacing w:val="-14"/>
        </w:rPr>
        <w:t xml:space="preserve"> </w:t>
      </w:r>
      <w:r>
        <w:t>by</w:t>
      </w:r>
      <w:r>
        <w:rPr>
          <w:spacing w:val="-14"/>
        </w:rPr>
        <w:t xml:space="preserve"> </w:t>
      </w:r>
      <w:r>
        <w:t>exiting</w:t>
      </w:r>
      <w:r>
        <w:rPr>
          <w:spacing w:val="-14"/>
        </w:rPr>
        <w:t xml:space="preserve"> </w:t>
      </w:r>
      <w:r>
        <w:t>some</w:t>
      </w:r>
      <w:r>
        <w:rPr>
          <w:spacing w:val="-14"/>
        </w:rPr>
        <w:t xml:space="preserve"> </w:t>
      </w:r>
      <w:r>
        <w:t>clinical support</w:t>
      </w:r>
      <w:r>
        <w:rPr>
          <w:spacing w:val="-8"/>
        </w:rPr>
        <w:t xml:space="preserve"> </w:t>
      </w:r>
      <w:r>
        <w:t>services</w:t>
      </w:r>
      <w:r>
        <w:rPr>
          <w:spacing w:val="-8"/>
        </w:rPr>
        <w:t xml:space="preserve"> </w:t>
      </w:r>
      <w:r>
        <w:t>at</w:t>
      </w:r>
      <w:r>
        <w:rPr>
          <w:spacing w:val="-8"/>
        </w:rPr>
        <w:t xml:space="preserve"> </w:t>
      </w:r>
      <w:r>
        <w:t>existing</w:t>
      </w:r>
      <w:r>
        <w:rPr>
          <w:spacing w:val="-8"/>
        </w:rPr>
        <w:t xml:space="preserve"> </w:t>
      </w:r>
      <w:r>
        <w:t>sites</w:t>
      </w:r>
      <w:r>
        <w:rPr>
          <w:spacing w:val="-8"/>
        </w:rPr>
        <w:t xml:space="preserve"> </w:t>
      </w:r>
      <w:r>
        <w:t>such</w:t>
      </w:r>
      <w:r>
        <w:rPr>
          <w:spacing w:val="-8"/>
        </w:rPr>
        <w:t xml:space="preserve"> </w:t>
      </w:r>
      <w:r>
        <w:t>as</w:t>
      </w:r>
      <w:r>
        <w:rPr>
          <w:spacing w:val="-8"/>
        </w:rPr>
        <w:t xml:space="preserve"> </w:t>
      </w:r>
      <w:r>
        <w:t xml:space="preserve">medical </w:t>
      </w:r>
      <w:r>
        <w:rPr>
          <w:w w:val="95"/>
        </w:rPr>
        <w:t xml:space="preserve">imaging, pathology, pharmacy and surgical instrument sterilisation services and non-clinical support services, </w:t>
      </w:r>
      <w:r>
        <w:t>including car parking.</w:t>
      </w:r>
    </w:p>
    <w:p w:rsidR="002C1123" w:rsidRDefault="00F22F94">
      <w:pPr>
        <w:pStyle w:val="BodyText"/>
        <w:spacing w:before="146" w:line="249" w:lineRule="auto"/>
        <w:ind w:left="218" w:right="581"/>
      </w:pPr>
      <w:r>
        <w:t>The</w:t>
      </w:r>
      <w:r>
        <w:rPr>
          <w:spacing w:val="-14"/>
        </w:rPr>
        <w:t xml:space="preserve"> </w:t>
      </w:r>
      <w:r>
        <w:t>private</w:t>
      </w:r>
      <w:r>
        <w:rPr>
          <w:spacing w:val="-14"/>
        </w:rPr>
        <w:t xml:space="preserve"> </w:t>
      </w:r>
      <w:r>
        <w:t>sector</w:t>
      </w:r>
      <w:r>
        <w:rPr>
          <w:spacing w:val="-14"/>
        </w:rPr>
        <w:t xml:space="preserve"> </w:t>
      </w:r>
      <w:r>
        <w:t>is</w:t>
      </w:r>
      <w:r>
        <w:rPr>
          <w:spacing w:val="-14"/>
        </w:rPr>
        <w:t xml:space="preserve"> </w:t>
      </w:r>
      <w:r>
        <w:t>already</w:t>
      </w:r>
      <w:r>
        <w:rPr>
          <w:spacing w:val="-14"/>
        </w:rPr>
        <w:t xml:space="preserve"> </w:t>
      </w:r>
      <w:r>
        <w:t>set</w:t>
      </w:r>
      <w:r>
        <w:rPr>
          <w:spacing w:val="-14"/>
        </w:rPr>
        <w:t xml:space="preserve"> </w:t>
      </w:r>
      <w:r>
        <w:t>up</w:t>
      </w:r>
      <w:r>
        <w:rPr>
          <w:spacing w:val="-14"/>
        </w:rPr>
        <w:t xml:space="preserve"> </w:t>
      </w:r>
      <w:r>
        <w:t>to</w:t>
      </w:r>
      <w:r>
        <w:rPr>
          <w:spacing w:val="-13"/>
        </w:rPr>
        <w:t xml:space="preserve"> </w:t>
      </w:r>
      <w:r>
        <w:t>provide</w:t>
      </w:r>
      <w:r>
        <w:rPr>
          <w:spacing w:val="-14"/>
        </w:rPr>
        <w:t xml:space="preserve"> </w:t>
      </w:r>
      <w:r>
        <w:t xml:space="preserve">these </w:t>
      </w:r>
      <w:r>
        <w:rPr>
          <w:w w:val="95"/>
        </w:rPr>
        <w:t>services at an efficient price. A planned careful exit of these</w:t>
      </w:r>
      <w:r>
        <w:rPr>
          <w:spacing w:val="-7"/>
          <w:w w:val="95"/>
        </w:rPr>
        <w:t xml:space="preserve"> </w:t>
      </w:r>
      <w:r>
        <w:rPr>
          <w:w w:val="95"/>
        </w:rPr>
        <w:t>services</w:t>
      </w:r>
      <w:r>
        <w:rPr>
          <w:spacing w:val="-7"/>
          <w:w w:val="95"/>
        </w:rPr>
        <w:t xml:space="preserve"> </w:t>
      </w:r>
      <w:r>
        <w:rPr>
          <w:w w:val="95"/>
        </w:rPr>
        <w:t>will</w:t>
      </w:r>
      <w:r>
        <w:rPr>
          <w:spacing w:val="-7"/>
          <w:w w:val="95"/>
        </w:rPr>
        <w:t xml:space="preserve"> </w:t>
      </w:r>
      <w:r>
        <w:rPr>
          <w:w w:val="95"/>
        </w:rPr>
        <w:t>mean</w:t>
      </w:r>
      <w:r>
        <w:rPr>
          <w:spacing w:val="-7"/>
          <w:w w:val="95"/>
        </w:rPr>
        <w:t xml:space="preserve"> </w:t>
      </w:r>
      <w:r>
        <w:rPr>
          <w:w w:val="95"/>
        </w:rPr>
        <w:t>that</w:t>
      </w:r>
      <w:r>
        <w:rPr>
          <w:spacing w:val="-7"/>
          <w:w w:val="95"/>
        </w:rPr>
        <w:t xml:space="preserve"> </w:t>
      </w:r>
      <w:r>
        <w:rPr>
          <w:w w:val="95"/>
        </w:rPr>
        <w:t>NSW</w:t>
      </w:r>
      <w:r>
        <w:rPr>
          <w:spacing w:val="-7"/>
          <w:w w:val="95"/>
        </w:rPr>
        <w:t xml:space="preserve"> </w:t>
      </w:r>
      <w:r>
        <w:rPr>
          <w:w w:val="95"/>
        </w:rPr>
        <w:t>Health</w:t>
      </w:r>
      <w:r>
        <w:rPr>
          <w:spacing w:val="-7"/>
          <w:w w:val="95"/>
        </w:rPr>
        <w:t xml:space="preserve"> </w:t>
      </w:r>
      <w:r>
        <w:rPr>
          <w:w w:val="95"/>
        </w:rPr>
        <w:t>can</w:t>
      </w:r>
      <w:r>
        <w:rPr>
          <w:spacing w:val="-7"/>
          <w:w w:val="95"/>
        </w:rPr>
        <w:t xml:space="preserve"> </w:t>
      </w:r>
      <w:r>
        <w:rPr>
          <w:w w:val="95"/>
        </w:rPr>
        <w:t xml:space="preserve">provide </w:t>
      </w:r>
      <w:r>
        <w:t>more</w:t>
      </w:r>
      <w:r>
        <w:rPr>
          <w:spacing w:val="-6"/>
        </w:rPr>
        <w:t xml:space="preserve"> </w:t>
      </w:r>
      <w:r>
        <w:t>beds</w:t>
      </w:r>
      <w:r>
        <w:rPr>
          <w:spacing w:val="-6"/>
        </w:rPr>
        <w:t xml:space="preserve"> </w:t>
      </w:r>
      <w:r>
        <w:t>where</w:t>
      </w:r>
      <w:r>
        <w:rPr>
          <w:spacing w:val="-6"/>
        </w:rPr>
        <w:t xml:space="preserve"> </w:t>
      </w:r>
      <w:r>
        <w:t>needed</w:t>
      </w:r>
      <w:r>
        <w:rPr>
          <w:spacing w:val="-6"/>
        </w:rPr>
        <w:t xml:space="preserve"> </w:t>
      </w:r>
      <w:r>
        <w:t>at</w:t>
      </w:r>
      <w:r>
        <w:rPr>
          <w:spacing w:val="-6"/>
        </w:rPr>
        <w:t xml:space="preserve"> </w:t>
      </w:r>
      <w:r>
        <w:t>a</w:t>
      </w:r>
      <w:r>
        <w:rPr>
          <w:spacing w:val="-6"/>
        </w:rPr>
        <w:t xml:space="preserve"> </w:t>
      </w:r>
      <w:r>
        <w:t>lower</w:t>
      </w:r>
      <w:r>
        <w:rPr>
          <w:spacing w:val="-6"/>
        </w:rPr>
        <w:t xml:space="preserve"> </w:t>
      </w:r>
      <w:r>
        <w:t>cost</w:t>
      </w:r>
      <w:r>
        <w:rPr>
          <w:spacing w:val="-6"/>
        </w:rPr>
        <w:t xml:space="preserve"> </w:t>
      </w:r>
      <w:r>
        <w:t>through recycling</w:t>
      </w:r>
      <w:r>
        <w:rPr>
          <w:spacing w:val="-14"/>
        </w:rPr>
        <w:t xml:space="preserve"> </w:t>
      </w:r>
      <w:r>
        <w:t>capital</w:t>
      </w:r>
      <w:r>
        <w:rPr>
          <w:spacing w:val="-14"/>
        </w:rPr>
        <w:t xml:space="preserve"> </w:t>
      </w:r>
      <w:r>
        <w:t>or</w:t>
      </w:r>
      <w:r>
        <w:rPr>
          <w:spacing w:val="-14"/>
        </w:rPr>
        <w:t xml:space="preserve"> </w:t>
      </w:r>
      <w:r>
        <w:t>repurposing</w:t>
      </w:r>
      <w:r>
        <w:rPr>
          <w:spacing w:val="-14"/>
        </w:rPr>
        <w:t xml:space="preserve"> </w:t>
      </w:r>
      <w:r>
        <w:t>existing</w:t>
      </w:r>
      <w:r>
        <w:rPr>
          <w:spacing w:val="-14"/>
        </w:rPr>
        <w:t xml:space="preserve"> </w:t>
      </w:r>
      <w:r>
        <w:t>facilities.</w:t>
      </w:r>
    </w:p>
    <w:p w:rsidR="002C1123" w:rsidRDefault="002060EF">
      <w:pPr>
        <w:pStyle w:val="BodyText"/>
        <w:rPr>
          <w:sz w:val="13"/>
        </w:rPr>
      </w:pPr>
      <w:r>
        <w:pict>
          <v:shape id="docshape2454" o:spid="_x0000_s1570" type="#_x0000_t202" style="position:absolute;margin-left:552.3pt;margin-top:8.7pt;width:240pt;height:69.35pt;z-index:-251332608;mso-wrap-distance-left:0;mso-wrap-distance-right:0;mso-position-horizontal-relative:page" fillcolor="#e1e0e1" stroked="f">
            <v:textbox inset="0,0,0,0">
              <w:txbxContent>
                <w:p w:rsidR="00F22F94" w:rsidRDefault="00F22F94">
                  <w:pPr>
                    <w:pStyle w:val="BodyText"/>
                    <w:spacing w:before="68" w:line="249" w:lineRule="auto"/>
                    <w:ind w:left="113" w:right="122"/>
                    <w:rPr>
                      <w:color w:val="000000"/>
                    </w:rPr>
                  </w:pPr>
                  <w:r>
                    <w:rPr>
                      <w:b/>
                      <w:color w:val="00AEEF"/>
                    </w:rPr>
                    <w:t>Recommendation</w:t>
                  </w:r>
                  <w:r>
                    <w:rPr>
                      <w:b/>
                      <w:color w:val="00AEEF"/>
                      <w:spacing w:val="40"/>
                    </w:rPr>
                    <w:t xml:space="preserve"> </w:t>
                  </w:r>
                  <w:r>
                    <w:rPr>
                      <w:color w:val="000000"/>
                    </w:rPr>
                    <w:t xml:space="preserve">NSW Health to reconfigure or </w:t>
                  </w:r>
                  <w:r>
                    <w:rPr>
                      <w:color w:val="000000"/>
                      <w:spacing w:val="-2"/>
                    </w:rPr>
                    <w:t>divest</w:t>
                  </w:r>
                  <w:r>
                    <w:rPr>
                      <w:color w:val="000000"/>
                      <w:spacing w:val="-7"/>
                    </w:rPr>
                    <w:t xml:space="preserve"> </w:t>
                  </w:r>
                  <w:r>
                    <w:rPr>
                      <w:color w:val="000000"/>
                      <w:spacing w:val="-2"/>
                    </w:rPr>
                    <w:t>surplus</w:t>
                  </w:r>
                  <w:r>
                    <w:rPr>
                      <w:color w:val="000000"/>
                      <w:spacing w:val="-7"/>
                    </w:rPr>
                    <w:t xml:space="preserve"> </w:t>
                  </w:r>
                  <w:r>
                    <w:rPr>
                      <w:color w:val="000000"/>
                      <w:spacing w:val="-2"/>
                    </w:rPr>
                    <w:t>assets</w:t>
                  </w:r>
                  <w:r>
                    <w:rPr>
                      <w:color w:val="000000"/>
                      <w:spacing w:val="-7"/>
                    </w:rPr>
                    <w:t xml:space="preserve"> </w:t>
                  </w:r>
                  <w:r>
                    <w:rPr>
                      <w:color w:val="000000"/>
                      <w:spacing w:val="-2"/>
                    </w:rPr>
                    <w:t>associated</w:t>
                  </w:r>
                  <w:r>
                    <w:rPr>
                      <w:color w:val="000000"/>
                      <w:spacing w:val="-7"/>
                    </w:rPr>
                    <w:t xml:space="preserve"> </w:t>
                  </w:r>
                  <w:r>
                    <w:rPr>
                      <w:color w:val="000000"/>
                      <w:spacing w:val="-2"/>
                    </w:rPr>
                    <w:t>with</w:t>
                  </w:r>
                  <w:r>
                    <w:rPr>
                      <w:color w:val="000000"/>
                      <w:spacing w:val="-7"/>
                    </w:rPr>
                    <w:t xml:space="preserve"> </w:t>
                  </w:r>
                  <w:r>
                    <w:rPr>
                      <w:color w:val="000000"/>
                      <w:spacing w:val="-2"/>
                    </w:rPr>
                    <w:t>exit</w:t>
                  </w:r>
                  <w:r>
                    <w:rPr>
                      <w:color w:val="000000"/>
                      <w:spacing w:val="-7"/>
                    </w:rPr>
                    <w:t xml:space="preserve"> </w:t>
                  </w:r>
                  <w:r>
                    <w:rPr>
                      <w:color w:val="000000"/>
                      <w:spacing w:val="-2"/>
                    </w:rPr>
                    <w:t>from</w:t>
                  </w:r>
                  <w:r>
                    <w:rPr>
                      <w:color w:val="000000"/>
                      <w:spacing w:val="-8"/>
                    </w:rPr>
                    <w:t xml:space="preserve"> </w:t>
                  </w:r>
                  <w:r>
                    <w:rPr>
                      <w:color w:val="000000"/>
                      <w:spacing w:val="-2"/>
                    </w:rPr>
                    <w:t xml:space="preserve">some </w:t>
                  </w:r>
                  <w:r>
                    <w:rPr>
                      <w:color w:val="000000"/>
                      <w:w w:val="95"/>
                    </w:rPr>
                    <w:t xml:space="preserve">support services such as medical imaging, pathology, </w:t>
                  </w:r>
                  <w:r>
                    <w:rPr>
                      <w:color w:val="000000"/>
                    </w:rPr>
                    <w:t>pharmacy</w:t>
                  </w:r>
                  <w:r>
                    <w:rPr>
                      <w:color w:val="000000"/>
                      <w:spacing w:val="-6"/>
                    </w:rPr>
                    <w:t xml:space="preserve"> </w:t>
                  </w:r>
                  <w:r>
                    <w:rPr>
                      <w:color w:val="000000"/>
                    </w:rPr>
                    <w:t>and</w:t>
                  </w:r>
                  <w:r>
                    <w:rPr>
                      <w:color w:val="000000"/>
                      <w:spacing w:val="-6"/>
                    </w:rPr>
                    <w:t xml:space="preserve"> </w:t>
                  </w:r>
                  <w:r>
                    <w:rPr>
                      <w:color w:val="000000"/>
                    </w:rPr>
                    <w:t>non-clinical</w:t>
                  </w:r>
                  <w:r>
                    <w:rPr>
                      <w:color w:val="000000"/>
                      <w:spacing w:val="-6"/>
                    </w:rPr>
                    <w:t xml:space="preserve"> </w:t>
                  </w:r>
                  <w:r>
                    <w:rPr>
                      <w:color w:val="000000"/>
                    </w:rPr>
                    <w:t>services,</w:t>
                  </w:r>
                  <w:r>
                    <w:rPr>
                      <w:color w:val="000000"/>
                      <w:spacing w:val="-6"/>
                    </w:rPr>
                    <w:t xml:space="preserve"> </w:t>
                  </w:r>
                  <w:r>
                    <w:rPr>
                      <w:color w:val="000000"/>
                    </w:rPr>
                    <w:t>including</w:t>
                  </w:r>
                  <w:r>
                    <w:rPr>
                      <w:color w:val="000000"/>
                      <w:spacing w:val="-6"/>
                    </w:rPr>
                    <w:t xml:space="preserve"> </w:t>
                  </w:r>
                  <w:r>
                    <w:rPr>
                      <w:color w:val="000000"/>
                    </w:rPr>
                    <w:t>car parking</w:t>
                  </w:r>
                  <w:r>
                    <w:rPr>
                      <w:color w:val="000000"/>
                      <w:spacing w:val="-8"/>
                    </w:rPr>
                    <w:t xml:space="preserve"> </w:t>
                  </w:r>
                  <w:r>
                    <w:rPr>
                      <w:color w:val="000000"/>
                    </w:rPr>
                    <w:t>and</w:t>
                  </w:r>
                  <w:r>
                    <w:rPr>
                      <w:color w:val="000000"/>
                      <w:spacing w:val="-8"/>
                    </w:rPr>
                    <w:t xml:space="preserve"> </w:t>
                  </w:r>
                  <w:r>
                    <w:rPr>
                      <w:color w:val="000000"/>
                    </w:rPr>
                    <w:t>nursing</w:t>
                  </w:r>
                  <w:r>
                    <w:rPr>
                      <w:color w:val="000000"/>
                      <w:spacing w:val="-8"/>
                    </w:rPr>
                    <w:t xml:space="preserve"> </w:t>
                  </w:r>
                  <w:r>
                    <w:rPr>
                      <w:color w:val="000000"/>
                    </w:rPr>
                    <w:t>homes,</w:t>
                  </w:r>
                  <w:r>
                    <w:rPr>
                      <w:color w:val="000000"/>
                      <w:spacing w:val="-8"/>
                    </w:rPr>
                    <w:t xml:space="preserve"> </w:t>
                  </w:r>
                  <w:r>
                    <w:rPr>
                      <w:color w:val="000000"/>
                    </w:rPr>
                    <w:t>in</w:t>
                  </w:r>
                  <w:r>
                    <w:rPr>
                      <w:color w:val="000000"/>
                      <w:spacing w:val="-8"/>
                    </w:rPr>
                    <w:t xml:space="preserve"> </w:t>
                  </w:r>
                  <w:r>
                    <w:rPr>
                      <w:color w:val="000000"/>
                    </w:rPr>
                    <w:t>a</w:t>
                  </w:r>
                  <w:r>
                    <w:rPr>
                      <w:color w:val="000000"/>
                      <w:spacing w:val="-8"/>
                    </w:rPr>
                    <w:t xml:space="preserve"> </w:t>
                  </w:r>
                  <w:r>
                    <w:rPr>
                      <w:color w:val="000000"/>
                    </w:rPr>
                    <w:t>targeted</w:t>
                  </w:r>
                  <w:r>
                    <w:rPr>
                      <w:color w:val="000000"/>
                      <w:spacing w:val="-8"/>
                    </w:rPr>
                    <w:t xml:space="preserve"> </w:t>
                  </w:r>
                  <w:r>
                    <w:rPr>
                      <w:color w:val="000000"/>
                    </w:rPr>
                    <w:t>program.</w:t>
                  </w:r>
                </w:p>
              </w:txbxContent>
            </v:textbox>
            <w10:wrap type="topAndBottom" anchorx="page"/>
          </v:shape>
        </w:pict>
      </w:r>
    </w:p>
    <w:p w:rsidR="002C1123" w:rsidRDefault="002C1123">
      <w:pPr>
        <w:rPr>
          <w:sz w:val="13"/>
        </w:rPr>
        <w:sectPr w:rsidR="002C1123">
          <w:type w:val="continuous"/>
          <w:pgSz w:w="16840" w:h="11910" w:orient="landscape"/>
          <w:pgMar w:top="560" w:right="280" w:bottom="280" w:left="500" w:header="0" w:footer="517" w:gutter="0"/>
          <w:cols w:num="3" w:space="720" w:equalWidth="0">
            <w:col w:w="5143" w:space="40"/>
            <w:col w:w="5105" w:space="39"/>
            <w:col w:w="5733"/>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7"/>
        </w:rPr>
      </w:pPr>
    </w:p>
    <w:p w:rsidR="002C1123" w:rsidRDefault="002C1123">
      <w:pPr>
        <w:rPr>
          <w:sz w:val="17"/>
        </w:rPr>
        <w:sectPr w:rsidR="002C1123">
          <w:pgSz w:w="16840" w:h="11910" w:orient="landscape"/>
          <w:pgMar w:top="560" w:right="280" w:bottom="700" w:left="500" w:header="0" w:footer="517" w:gutter="0"/>
          <w:cols w:space="720"/>
        </w:sectPr>
      </w:pPr>
    </w:p>
    <w:p w:rsidR="002C1123" w:rsidRDefault="00F22F94">
      <w:pPr>
        <w:pStyle w:val="Heading5"/>
        <w:numPr>
          <w:ilvl w:val="1"/>
          <w:numId w:val="49"/>
        </w:numPr>
        <w:tabs>
          <w:tab w:val="left" w:pos="1093"/>
        </w:tabs>
        <w:jc w:val="left"/>
      </w:pPr>
      <w:bookmarkStart w:id="354" w:name="13.5_Recommended_actions"/>
      <w:bookmarkStart w:id="355" w:name="_bookmark251"/>
      <w:bookmarkStart w:id="356" w:name="_bookmark250"/>
      <w:bookmarkEnd w:id="354"/>
      <w:bookmarkEnd w:id="355"/>
      <w:bookmarkEnd w:id="356"/>
      <w:r>
        <w:rPr>
          <w:color w:val="00AEEF"/>
          <w:spacing w:val="-2"/>
        </w:rPr>
        <w:t>Recommended</w:t>
      </w:r>
      <w:r>
        <w:rPr>
          <w:color w:val="00AEEF"/>
          <w:spacing w:val="-17"/>
        </w:rPr>
        <w:t xml:space="preserve"> </w:t>
      </w:r>
      <w:r>
        <w:rPr>
          <w:color w:val="00AEEF"/>
          <w:spacing w:val="-2"/>
        </w:rPr>
        <w:t>actions</w:t>
      </w:r>
    </w:p>
    <w:p w:rsidR="002C1123" w:rsidRDefault="002C1123">
      <w:pPr>
        <w:pStyle w:val="BodyText"/>
        <w:spacing w:before="5"/>
        <w:rPr>
          <w:b/>
          <w:sz w:val="36"/>
        </w:rPr>
      </w:pPr>
    </w:p>
    <w:p w:rsidR="002C1123" w:rsidRDefault="00F22F94">
      <w:pPr>
        <w:pStyle w:val="Heading6"/>
        <w:tabs>
          <w:tab w:val="left" w:pos="5934"/>
          <w:tab w:val="left" w:pos="6728"/>
        </w:tabs>
        <w:spacing w:before="0"/>
        <w:ind w:left="605"/>
      </w:pPr>
      <w:r>
        <w:rPr>
          <w:color w:val="2E3092"/>
          <w:spacing w:val="-2"/>
        </w:rPr>
        <w:t>Recommendations</w:t>
      </w:r>
      <w:r>
        <w:rPr>
          <w:color w:val="2E3092"/>
        </w:rPr>
        <w:tab/>
      </w:r>
      <w:r>
        <w:rPr>
          <w:color w:val="2E3092"/>
          <w:spacing w:val="-2"/>
        </w:rPr>
        <w:t>Years</w:t>
      </w:r>
      <w:r>
        <w:rPr>
          <w:color w:val="2E3092"/>
        </w:rPr>
        <w:tab/>
      </w:r>
      <w:r>
        <w:rPr>
          <w:color w:val="2E3092"/>
          <w:spacing w:val="-4"/>
        </w:rPr>
        <w:t>Type</w:t>
      </w:r>
    </w:p>
    <w:p w:rsidR="002C1123" w:rsidRDefault="00F22F94">
      <w:pPr>
        <w:rPr>
          <w:b/>
          <w:sz w:val="24"/>
        </w:rPr>
      </w:pPr>
      <w:r>
        <w:br w:type="column"/>
      </w:r>
    </w:p>
    <w:p w:rsidR="002C1123" w:rsidRDefault="002C1123">
      <w:pPr>
        <w:pStyle w:val="BodyText"/>
        <w:spacing w:before="3"/>
        <w:rPr>
          <w:b/>
          <w:sz w:val="29"/>
        </w:rPr>
      </w:pPr>
    </w:p>
    <w:p w:rsidR="002C1123" w:rsidRDefault="00F22F94">
      <w:pPr>
        <w:spacing w:line="249" w:lineRule="auto"/>
        <w:ind w:left="492" w:right="5200"/>
        <w:rPr>
          <w:b/>
          <w:sz w:val="20"/>
        </w:rPr>
      </w:pPr>
      <w:r>
        <w:rPr>
          <w:b/>
          <w:color w:val="2E3092"/>
          <w:spacing w:val="-2"/>
          <w:sz w:val="20"/>
        </w:rPr>
        <w:t>Cost</w:t>
      </w:r>
      <w:r>
        <w:rPr>
          <w:b/>
          <w:color w:val="2E3092"/>
          <w:spacing w:val="-12"/>
          <w:sz w:val="20"/>
        </w:rPr>
        <w:t xml:space="preserve"> </w:t>
      </w:r>
      <w:r>
        <w:rPr>
          <w:b/>
          <w:color w:val="2E3092"/>
          <w:spacing w:val="-2"/>
          <w:sz w:val="20"/>
        </w:rPr>
        <w:t>and</w:t>
      </w:r>
      <w:r>
        <w:rPr>
          <w:b/>
          <w:color w:val="2E3092"/>
          <w:spacing w:val="-12"/>
          <w:sz w:val="20"/>
        </w:rPr>
        <w:t xml:space="preserve"> </w:t>
      </w:r>
      <w:r>
        <w:rPr>
          <w:b/>
          <w:color w:val="2E3092"/>
          <w:spacing w:val="-2"/>
          <w:sz w:val="20"/>
        </w:rPr>
        <w:t>Funding Implications</w:t>
      </w:r>
    </w:p>
    <w:p w:rsidR="002C1123" w:rsidRDefault="002C1123">
      <w:pPr>
        <w:spacing w:line="249" w:lineRule="auto"/>
        <w:rPr>
          <w:sz w:val="20"/>
        </w:rPr>
        <w:sectPr w:rsidR="002C1123">
          <w:type w:val="continuous"/>
          <w:pgSz w:w="16840" w:h="11910" w:orient="landscape"/>
          <w:pgMar w:top="560" w:right="280" w:bottom="280" w:left="500" w:header="0" w:footer="517" w:gutter="0"/>
          <w:cols w:num="2" w:space="720" w:equalWidth="0">
            <w:col w:w="7210" w:space="387"/>
            <w:col w:w="8463"/>
          </w:cols>
        </w:sectPr>
      </w:pPr>
    </w:p>
    <w:p w:rsidR="002C1123" w:rsidRDefault="002C1123">
      <w:pPr>
        <w:pStyle w:val="BodyText"/>
        <w:spacing w:before="6"/>
        <w:rPr>
          <w:b/>
          <w:sz w:val="4"/>
        </w:rPr>
      </w:pPr>
    </w:p>
    <w:tbl>
      <w:tblPr>
        <w:tblW w:w="0" w:type="auto"/>
        <w:tblInd w:w="48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10"/>
        <w:gridCol w:w="4819"/>
        <w:gridCol w:w="794"/>
        <w:gridCol w:w="1361"/>
        <w:gridCol w:w="2835"/>
      </w:tblGrid>
      <w:tr w:rsidR="002C1123">
        <w:trPr>
          <w:trHeight w:val="555"/>
        </w:trPr>
        <w:tc>
          <w:tcPr>
            <w:tcW w:w="510" w:type="dxa"/>
            <w:tcBorders>
              <w:top w:val="nil"/>
              <w:left w:val="nil"/>
            </w:tcBorders>
            <w:shd w:val="clear" w:color="auto" w:fill="C9C8C9"/>
          </w:tcPr>
          <w:p w:rsidR="002C1123" w:rsidRDefault="00F22F94">
            <w:pPr>
              <w:pStyle w:val="TableParagraph"/>
              <w:spacing w:before="63"/>
              <w:rPr>
                <w:sz w:val="18"/>
              </w:rPr>
            </w:pPr>
            <w:r>
              <w:rPr>
                <w:spacing w:val="-5"/>
                <w:sz w:val="18"/>
              </w:rPr>
              <w:t>57</w:t>
            </w:r>
          </w:p>
        </w:tc>
        <w:tc>
          <w:tcPr>
            <w:tcW w:w="4819" w:type="dxa"/>
            <w:tcBorders>
              <w:top w:val="nil"/>
            </w:tcBorders>
            <w:shd w:val="clear" w:color="auto" w:fill="C9C8C9"/>
          </w:tcPr>
          <w:p w:rsidR="002C1123" w:rsidRDefault="00F22F94">
            <w:pPr>
              <w:pStyle w:val="TableParagraph"/>
              <w:spacing w:before="63" w:line="254" w:lineRule="auto"/>
              <w:ind w:right="65"/>
              <w:rPr>
                <w:sz w:val="18"/>
              </w:rPr>
            </w:pPr>
            <w:r>
              <w:rPr>
                <w:spacing w:val="-2"/>
                <w:w w:val="105"/>
                <w:sz w:val="18"/>
              </w:rPr>
              <w:t>Construct</w:t>
            </w:r>
            <w:r>
              <w:rPr>
                <w:spacing w:val="-10"/>
                <w:w w:val="105"/>
                <w:sz w:val="18"/>
              </w:rPr>
              <w:t xml:space="preserve"> </w:t>
            </w:r>
            <w:r>
              <w:rPr>
                <w:spacing w:val="-2"/>
                <w:w w:val="105"/>
                <w:sz w:val="18"/>
              </w:rPr>
              <w:t>Northern</w:t>
            </w:r>
            <w:r>
              <w:rPr>
                <w:spacing w:val="-10"/>
                <w:w w:val="105"/>
                <w:sz w:val="18"/>
              </w:rPr>
              <w:t xml:space="preserve"> </w:t>
            </w:r>
            <w:r>
              <w:rPr>
                <w:spacing w:val="-2"/>
                <w:w w:val="105"/>
                <w:sz w:val="18"/>
              </w:rPr>
              <w:t>Beaches</w:t>
            </w:r>
            <w:r>
              <w:rPr>
                <w:spacing w:val="-10"/>
                <w:w w:val="105"/>
                <w:sz w:val="18"/>
              </w:rPr>
              <w:t xml:space="preserve"> </w:t>
            </w:r>
            <w:r>
              <w:rPr>
                <w:spacing w:val="-2"/>
                <w:w w:val="105"/>
                <w:sz w:val="18"/>
              </w:rPr>
              <w:t>Healthcare</w:t>
            </w:r>
            <w:r>
              <w:rPr>
                <w:spacing w:val="-10"/>
                <w:w w:val="105"/>
                <w:sz w:val="18"/>
              </w:rPr>
              <w:t xml:space="preserve"> </w:t>
            </w:r>
            <w:r>
              <w:rPr>
                <w:spacing w:val="-2"/>
                <w:w w:val="105"/>
                <w:sz w:val="18"/>
              </w:rPr>
              <w:t>Precinct,</w:t>
            </w:r>
            <w:r>
              <w:rPr>
                <w:spacing w:val="-10"/>
                <w:w w:val="105"/>
                <w:sz w:val="18"/>
              </w:rPr>
              <w:t xml:space="preserve"> </w:t>
            </w:r>
            <w:r>
              <w:rPr>
                <w:spacing w:val="-2"/>
                <w:w w:val="105"/>
                <w:sz w:val="18"/>
              </w:rPr>
              <w:t xml:space="preserve">public </w:t>
            </w:r>
            <w:r>
              <w:rPr>
                <w:w w:val="105"/>
                <w:sz w:val="18"/>
              </w:rPr>
              <w:t>and private facilities co-located</w:t>
            </w:r>
          </w:p>
        </w:tc>
        <w:tc>
          <w:tcPr>
            <w:tcW w:w="794" w:type="dxa"/>
            <w:shd w:val="clear" w:color="auto" w:fill="E1E0E1"/>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361" w:type="dxa"/>
            <w:shd w:val="clear" w:color="auto" w:fill="E1E0E1"/>
          </w:tcPr>
          <w:p w:rsidR="002C1123" w:rsidRDefault="00F22F94">
            <w:pPr>
              <w:pStyle w:val="TableParagraph"/>
              <w:rPr>
                <w:sz w:val="16"/>
              </w:rPr>
            </w:pPr>
            <w:r>
              <w:rPr>
                <w:w w:val="95"/>
                <w:sz w:val="16"/>
              </w:rPr>
              <w:t>Major</w:t>
            </w:r>
            <w:r>
              <w:rPr>
                <w:spacing w:val="-2"/>
                <w:sz w:val="16"/>
              </w:rPr>
              <w:t xml:space="preserve"> </w:t>
            </w:r>
            <w:r>
              <w:rPr>
                <w:spacing w:val="-2"/>
                <w:w w:val="95"/>
                <w:sz w:val="16"/>
              </w:rPr>
              <w:t>project</w:t>
            </w:r>
          </w:p>
        </w:tc>
        <w:tc>
          <w:tcPr>
            <w:tcW w:w="2835" w:type="dxa"/>
            <w:shd w:val="clear" w:color="auto" w:fill="E1E0E1"/>
          </w:tcPr>
          <w:p w:rsidR="002C1123" w:rsidRDefault="00F22F94">
            <w:pPr>
              <w:pStyle w:val="TableParagraph"/>
              <w:ind w:left="112"/>
              <w:rPr>
                <w:sz w:val="16"/>
              </w:rPr>
            </w:pPr>
            <w:r>
              <w:rPr>
                <w:w w:val="95"/>
                <w:sz w:val="16"/>
              </w:rPr>
              <w:t>Existing</w:t>
            </w:r>
            <w:r>
              <w:rPr>
                <w:spacing w:val="-1"/>
                <w:sz w:val="16"/>
              </w:rPr>
              <w:t xml:space="preserve"> </w:t>
            </w:r>
            <w:r>
              <w:rPr>
                <w:w w:val="95"/>
                <w:sz w:val="16"/>
              </w:rPr>
              <w:t>Government</w:t>
            </w:r>
            <w:r>
              <w:rPr>
                <w:sz w:val="16"/>
              </w:rPr>
              <w:t xml:space="preserve"> </w:t>
            </w:r>
            <w:r>
              <w:rPr>
                <w:spacing w:val="-2"/>
                <w:w w:val="95"/>
                <w:sz w:val="16"/>
              </w:rPr>
              <w:t>commitment</w:t>
            </w:r>
          </w:p>
        </w:tc>
      </w:tr>
      <w:tr w:rsidR="002C1123">
        <w:trPr>
          <w:trHeight w:val="555"/>
        </w:trPr>
        <w:tc>
          <w:tcPr>
            <w:tcW w:w="510" w:type="dxa"/>
            <w:tcBorders>
              <w:left w:val="nil"/>
            </w:tcBorders>
            <w:shd w:val="clear" w:color="auto" w:fill="C9C8C9"/>
          </w:tcPr>
          <w:p w:rsidR="002C1123" w:rsidRDefault="00F22F94">
            <w:pPr>
              <w:pStyle w:val="TableParagraph"/>
              <w:spacing w:before="63"/>
              <w:rPr>
                <w:sz w:val="18"/>
              </w:rPr>
            </w:pPr>
            <w:r>
              <w:rPr>
                <w:spacing w:val="-5"/>
                <w:sz w:val="18"/>
              </w:rPr>
              <w:t>58</w:t>
            </w:r>
          </w:p>
        </w:tc>
        <w:tc>
          <w:tcPr>
            <w:tcW w:w="4819" w:type="dxa"/>
            <w:shd w:val="clear" w:color="auto" w:fill="C9C8C9"/>
          </w:tcPr>
          <w:p w:rsidR="002C1123" w:rsidRDefault="00F22F94">
            <w:pPr>
              <w:pStyle w:val="TableParagraph"/>
              <w:spacing w:before="63" w:line="254" w:lineRule="auto"/>
              <w:ind w:right="614"/>
              <w:rPr>
                <w:sz w:val="18"/>
              </w:rPr>
            </w:pPr>
            <w:r>
              <w:rPr>
                <w:sz w:val="18"/>
              </w:rPr>
              <w:t>Divest non-core</w:t>
            </w:r>
            <w:r>
              <w:rPr>
                <w:spacing w:val="-1"/>
                <w:sz w:val="18"/>
              </w:rPr>
              <w:t xml:space="preserve"> </w:t>
            </w:r>
            <w:r>
              <w:rPr>
                <w:sz w:val="18"/>
              </w:rPr>
              <w:t>assets such</w:t>
            </w:r>
            <w:r>
              <w:rPr>
                <w:spacing w:val="-1"/>
                <w:sz w:val="18"/>
              </w:rPr>
              <w:t xml:space="preserve"> </w:t>
            </w:r>
            <w:r>
              <w:rPr>
                <w:sz w:val="18"/>
              </w:rPr>
              <w:t>as pharmacies</w:t>
            </w:r>
            <w:r>
              <w:rPr>
                <w:spacing w:val="-1"/>
                <w:sz w:val="18"/>
              </w:rPr>
              <w:t xml:space="preserve"> </w:t>
            </w:r>
            <w:r>
              <w:rPr>
                <w:sz w:val="18"/>
              </w:rPr>
              <w:t xml:space="preserve">and </w:t>
            </w:r>
            <w:r>
              <w:rPr>
                <w:w w:val="105"/>
                <w:sz w:val="18"/>
              </w:rPr>
              <w:t>car</w:t>
            </w:r>
            <w:r>
              <w:rPr>
                <w:spacing w:val="-3"/>
                <w:w w:val="105"/>
                <w:sz w:val="18"/>
              </w:rPr>
              <w:t xml:space="preserve"> </w:t>
            </w:r>
            <w:r>
              <w:rPr>
                <w:w w:val="105"/>
                <w:sz w:val="18"/>
              </w:rPr>
              <w:t>parks</w:t>
            </w:r>
          </w:p>
        </w:tc>
        <w:tc>
          <w:tcPr>
            <w:tcW w:w="794" w:type="dxa"/>
            <w:shd w:val="clear" w:color="auto" w:fill="E1E0E1"/>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361" w:type="dxa"/>
            <w:shd w:val="clear" w:color="auto" w:fill="E1E0E1"/>
          </w:tcPr>
          <w:p w:rsidR="002C1123" w:rsidRDefault="00F22F94">
            <w:pPr>
              <w:pStyle w:val="TableParagraph"/>
              <w:rPr>
                <w:sz w:val="16"/>
              </w:rPr>
            </w:pPr>
            <w:r>
              <w:rPr>
                <w:w w:val="95"/>
                <w:sz w:val="16"/>
              </w:rPr>
              <w:t>Asset</w:t>
            </w:r>
            <w:r>
              <w:rPr>
                <w:spacing w:val="-1"/>
                <w:sz w:val="16"/>
              </w:rPr>
              <w:t xml:space="preserve"> </w:t>
            </w:r>
            <w:r>
              <w:rPr>
                <w:spacing w:val="-2"/>
                <w:sz w:val="16"/>
              </w:rPr>
              <w:t>utilisation</w:t>
            </w:r>
          </w:p>
        </w:tc>
        <w:tc>
          <w:tcPr>
            <w:tcW w:w="2835" w:type="dxa"/>
            <w:shd w:val="clear" w:color="auto" w:fill="E1E0E1"/>
          </w:tcPr>
          <w:p w:rsidR="002C1123" w:rsidRDefault="00F22F94">
            <w:pPr>
              <w:pStyle w:val="TableParagraph"/>
              <w:ind w:left="112"/>
              <w:rPr>
                <w:sz w:val="16"/>
              </w:rPr>
            </w:pPr>
            <w:r>
              <w:rPr>
                <w:w w:val="95"/>
                <w:sz w:val="16"/>
              </w:rPr>
              <w:t>Potential</w:t>
            </w:r>
            <w:r>
              <w:rPr>
                <w:spacing w:val="-2"/>
                <w:w w:val="95"/>
                <w:sz w:val="16"/>
              </w:rPr>
              <w:t xml:space="preserve"> </w:t>
            </w:r>
            <w:r>
              <w:rPr>
                <w:w w:val="95"/>
                <w:sz w:val="16"/>
              </w:rPr>
              <w:t>capital</w:t>
            </w:r>
            <w:r>
              <w:rPr>
                <w:spacing w:val="-1"/>
                <w:w w:val="95"/>
                <w:sz w:val="16"/>
              </w:rPr>
              <w:t xml:space="preserve"> </w:t>
            </w:r>
            <w:r>
              <w:rPr>
                <w:spacing w:val="-2"/>
                <w:w w:val="95"/>
                <w:sz w:val="16"/>
              </w:rPr>
              <w:t>savings</w:t>
            </w:r>
          </w:p>
        </w:tc>
      </w:tr>
      <w:tr w:rsidR="002C1123">
        <w:trPr>
          <w:trHeight w:val="555"/>
        </w:trPr>
        <w:tc>
          <w:tcPr>
            <w:tcW w:w="510" w:type="dxa"/>
            <w:tcBorders>
              <w:left w:val="nil"/>
            </w:tcBorders>
            <w:shd w:val="clear" w:color="auto" w:fill="C9C8C9"/>
          </w:tcPr>
          <w:p w:rsidR="002C1123" w:rsidRDefault="00F22F94">
            <w:pPr>
              <w:pStyle w:val="TableParagraph"/>
              <w:spacing w:before="63"/>
              <w:rPr>
                <w:sz w:val="18"/>
              </w:rPr>
            </w:pPr>
            <w:r>
              <w:rPr>
                <w:spacing w:val="-5"/>
                <w:sz w:val="18"/>
              </w:rPr>
              <w:t>59</w:t>
            </w:r>
          </w:p>
        </w:tc>
        <w:tc>
          <w:tcPr>
            <w:tcW w:w="4819" w:type="dxa"/>
            <w:shd w:val="clear" w:color="auto" w:fill="C9C8C9"/>
          </w:tcPr>
          <w:p w:rsidR="002C1123" w:rsidRDefault="00F22F94">
            <w:pPr>
              <w:pStyle w:val="TableParagraph"/>
              <w:spacing w:before="63" w:line="254" w:lineRule="auto"/>
              <w:ind w:right="65"/>
              <w:rPr>
                <w:sz w:val="18"/>
              </w:rPr>
            </w:pPr>
            <w:r>
              <w:rPr>
                <w:spacing w:val="-2"/>
                <w:w w:val="105"/>
                <w:sz w:val="18"/>
              </w:rPr>
              <w:t>Trial</w:t>
            </w:r>
            <w:r>
              <w:rPr>
                <w:spacing w:val="-7"/>
                <w:w w:val="105"/>
                <w:sz w:val="18"/>
              </w:rPr>
              <w:t xml:space="preserve"> </w:t>
            </w:r>
            <w:r>
              <w:rPr>
                <w:spacing w:val="-2"/>
                <w:w w:val="105"/>
                <w:sz w:val="18"/>
              </w:rPr>
              <w:t>reconfiguration</w:t>
            </w:r>
            <w:r>
              <w:rPr>
                <w:spacing w:val="-7"/>
                <w:w w:val="105"/>
                <w:sz w:val="18"/>
              </w:rPr>
              <w:t xml:space="preserve"> </w:t>
            </w:r>
            <w:r>
              <w:rPr>
                <w:spacing w:val="-2"/>
                <w:w w:val="105"/>
                <w:sz w:val="18"/>
              </w:rPr>
              <w:t>of</w:t>
            </w:r>
            <w:r>
              <w:rPr>
                <w:spacing w:val="-7"/>
                <w:w w:val="105"/>
                <w:sz w:val="18"/>
              </w:rPr>
              <w:t xml:space="preserve"> </w:t>
            </w:r>
            <w:r>
              <w:rPr>
                <w:spacing w:val="-2"/>
                <w:w w:val="105"/>
                <w:sz w:val="18"/>
              </w:rPr>
              <w:t>existing</w:t>
            </w:r>
            <w:r>
              <w:rPr>
                <w:spacing w:val="-7"/>
                <w:w w:val="105"/>
                <w:sz w:val="18"/>
              </w:rPr>
              <w:t xml:space="preserve"> </w:t>
            </w:r>
            <w:r>
              <w:rPr>
                <w:spacing w:val="-2"/>
                <w:w w:val="105"/>
                <w:sz w:val="18"/>
              </w:rPr>
              <w:t>health</w:t>
            </w:r>
            <w:r>
              <w:rPr>
                <w:spacing w:val="-7"/>
                <w:w w:val="105"/>
                <w:sz w:val="18"/>
              </w:rPr>
              <w:t xml:space="preserve"> </w:t>
            </w:r>
            <w:r>
              <w:rPr>
                <w:spacing w:val="-2"/>
                <w:w w:val="105"/>
                <w:sz w:val="18"/>
              </w:rPr>
              <w:t>centres</w:t>
            </w:r>
            <w:r>
              <w:rPr>
                <w:spacing w:val="-7"/>
                <w:w w:val="105"/>
                <w:sz w:val="18"/>
              </w:rPr>
              <w:t xml:space="preserve"> </w:t>
            </w:r>
            <w:r>
              <w:rPr>
                <w:spacing w:val="-2"/>
                <w:w w:val="105"/>
                <w:sz w:val="18"/>
              </w:rPr>
              <w:t>to</w:t>
            </w:r>
            <w:r>
              <w:rPr>
                <w:spacing w:val="-7"/>
                <w:w w:val="105"/>
                <w:sz w:val="18"/>
              </w:rPr>
              <w:t xml:space="preserve"> </w:t>
            </w:r>
            <w:r>
              <w:rPr>
                <w:spacing w:val="-2"/>
                <w:w w:val="105"/>
                <w:sz w:val="18"/>
              </w:rPr>
              <w:t xml:space="preserve">support </w:t>
            </w:r>
            <w:r>
              <w:rPr>
                <w:w w:val="105"/>
                <w:sz w:val="18"/>
              </w:rPr>
              <w:t>new models of care</w:t>
            </w:r>
          </w:p>
        </w:tc>
        <w:tc>
          <w:tcPr>
            <w:tcW w:w="794" w:type="dxa"/>
            <w:shd w:val="clear" w:color="auto" w:fill="E1E0E1"/>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361" w:type="dxa"/>
            <w:shd w:val="clear" w:color="auto" w:fill="E1E0E1"/>
          </w:tcPr>
          <w:p w:rsidR="002C1123" w:rsidRDefault="00F22F94">
            <w:pPr>
              <w:pStyle w:val="TableParagraph"/>
              <w:rPr>
                <w:sz w:val="16"/>
              </w:rPr>
            </w:pPr>
            <w:r>
              <w:rPr>
                <w:w w:val="95"/>
                <w:sz w:val="16"/>
              </w:rPr>
              <w:t>Asset</w:t>
            </w:r>
            <w:r>
              <w:rPr>
                <w:spacing w:val="-1"/>
                <w:sz w:val="16"/>
              </w:rPr>
              <w:t xml:space="preserve"> </w:t>
            </w:r>
            <w:r>
              <w:rPr>
                <w:spacing w:val="-2"/>
                <w:sz w:val="16"/>
              </w:rPr>
              <w:t>utilisation</w:t>
            </w:r>
          </w:p>
        </w:tc>
        <w:tc>
          <w:tcPr>
            <w:tcW w:w="2835" w:type="dxa"/>
            <w:shd w:val="clear" w:color="auto" w:fill="E1E0E1"/>
          </w:tcPr>
          <w:p w:rsidR="002C1123" w:rsidRDefault="00F22F94">
            <w:pPr>
              <w:pStyle w:val="TableParagraph"/>
              <w:ind w:left="112"/>
              <w:rPr>
                <w:sz w:val="16"/>
              </w:rPr>
            </w:pPr>
            <w:r>
              <w:rPr>
                <w:w w:val="95"/>
                <w:sz w:val="16"/>
              </w:rPr>
              <w:t>Cost</w:t>
            </w:r>
            <w:r>
              <w:rPr>
                <w:spacing w:val="-1"/>
                <w:sz w:val="16"/>
              </w:rPr>
              <w:t xml:space="preserve"> </w:t>
            </w:r>
            <w:r>
              <w:rPr>
                <w:w w:val="95"/>
                <w:sz w:val="16"/>
              </w:rPr>
              <w:t>of</w:t>
            </w:r>
            <w:r>
              <w:rPr>
                <w:sz w:val="16"/>
              </w:rPr>
              <w:t xml:space="preserve"> </w:t>
            </w:r>
            <w:r>
              <w:rPr>
                <w:w w:val="95"/>
                <w:sz w:val="16"/>
              </w:rPr>
              <w:t>trial</w:t>
            </w:r>
            <w:r>
              <w:rPr>
                <w:sz w:val="16"/>
              </w:rPr>
              <w:t xml:space="preserve"> </w:t>
            </w:r>
            <w:r>
              <w:rPr>
                <w:w w:val="95"/>
                <w:sz w:val="16"/>
              </w:rPr>
              <w:t>not</w:t>
            </w:r>
            <w:r>
              <w:rPr>
                <w:sz w:val="16"/>
              </w:rPr>
              <w:t xml:space="preserve"> </w:t>
            </w:r>
            <w:r>
              <w:rPr>
                <w:spacing w:val="-2"/>
                <w:w w:val="95"/>
                <w:sz w:val="16"/>
              </w:rPr>
              <w:t>material</w:t>
            </w:r>
          </w:p>
        </w:tc>
      </w:tr>
      <w:tr w:rsidR="002C1123">
        <w:trPr>
          <w:trHeight w:val="555"/>
        </w:trPr>
        <w:tc>
          <w:tcPr>
            <w:tcW w:w="510" w:type="dxa"/>
            <w:tcBorders>
              <w:left w:val="nil"/>
            </w:tcBorders>
            <w:shd w:val="clear" w:color="auto" w:fill="C9C8C9"/>
          </w:tcPr>
          <w:p w:rsidR="002C1123" w:rsidRDefault="00F22F94">
            <w:pPr>
              <w:pStyle w:val="TableParagraph"/>
              <w:spacing w:before="63"/>
              <w:rPr>
                <w:sz w:val="18"/>
              </w:rPr>
            </w:pPr>
            <w:r>
              <w:rPr>
                <w:spacing w:val="-5"/>
                <w:sz w:val="18"/>
              </w:rPr>
              <w:t>60</w:t>
            </w:r>
          </w:p>
        </w:tc>
        <w:tc>
          <w:tcPr>
            <w:tcW w:w="4819" w:type="dxa"/>
            <w:shd w:val="clear" w:color="auto" w:fill="C9C8C9"/>
          </w:tcPr>
          <w:p w:rsidR="002C1123" w:rsidRDefault="00F22F94">
            <w:pPr>
              <w:pStyle w:val="TableParagraph"/>
              <w:spacing w:before="63" w:line="254" w:lineRule="auto"/>
              <w:ind w:right="65"/>
              <w:rPr>
                <w:sz w:val="18"/>
              </w:rPr>
            </w:pPr>
            <w:r>
              <w:rPr>
                <w:spacing w:val="-2"/>
                <w:w w:val="105"/>
                <w:sz w:val="18"/>
              </w:rPr>
              <w:t>Evaluate</w:t>
            </w:r>
            <w:r>
              <w:rPr>
                <w:spacing w:val="-5"/>
                <w:w w:val="105"/>
                <w:sz w:val="18"/>
              </w:rPr>
              <w:t xml:space="preserve"> </w:t>
            </w:r>
            <w:r>
              <w:rPr>
                <w:spacing w:val="-2"/>
                <w:w w:val="105"/>
                <w:sz w:val="18"/>
              </w:rPr>
              <w:t>provision</w:t>
            </w:r>
            <w:r>
              <w:rPr>
                <w:spacing w:val="-5"/>
                <w:w w:val="105"/>
                <w:sz w:val="18"/>
              </w:rPr>
              <w:t xml:space="preserve"> </w:t>
            </w:r>
            <w:r>
              <w:rPr>
                <w:spacing w:val="-2"/>
                <w:w w:val="105"/>
                <w:sz w:val="18"/>
              </w:rPr>
              <w:t>of</w:t>
            </w:r>
            <w:r>
              <w:rPr>
                <w:spacing w:val="-5"/>
                <w:w w:val="105"/>
                <w:sz w:val="18"/>
              </w:rPr>
              <w:t xml:space="preserve"> </w:t>
            </w:r>
            <w:r>
              <w:rPr>
                <w:spacing w:val="-2"/>
                <w:w w:val="105"/>
                <w:sz w:val="18"/>
              </w:rPr>
              <w:t>new</w:t>
            </w:r>
            <w:r>
              <w:rPr>
                <w:spacing w:val="-5"/>
                <w:w w:val="105"/>
                <w:sz w:val="18"/>
              </w:rPr>
              <w:t xml:space="preserve"> </w:t>
            </w:r>
            <w:r>
              <w:rPr>
                <w:spacing w:val="-2"/>
                <w:w w:val="105"/>
                <w:sz w:val="18"/>
              </w:rPr>
              <w:t>public</w:t>
            </w:r>
            <w:r>
              <w:rPr>
                <w:spacing w:val="-5"/>
                <w:w w:val="105"/>
                <w:sz w:val="18"/>
              </w:rPr>
              <w:t xml:space="preserve"> </w:t>
            </w:r>
            <w:r>
              <w:rPr>
                <w:spacing w:val="-2"/>
                <w:w w:val="105"/>
                <w:sz w:val="18"/>
              </w:rPr>
              <w:t>hospital</w:t>
            </w:r>
            <w:r>
              <w:rPr>
                <w:spacing w:val="-5"/>
                <w:w w:val="105"/>
                <w:sz w:val="18"/>
              </w:rPr>
              <w:t xml:space="preserve"> </w:t>
            </w:r>
            <w:r>
              <w:rPr>
                <w:spacing w:val="-2"/>
                <w:w w:val="105"/>
                <w:sz w:val="18"/>
              </w:rPr>
              <w:t>capacity</w:t>
            </w:r>
            <w:r>
              <w:rPr>
                <w:spacing w:val="-5"/>
                <w:w w:val="105"/>
                <w:sz w:val="18"/>
              </w:rPr>
              <w:t xml:space="preserve"> </w:t>
            </w:r>
            <w:r>
              <w:rPr>
                <w:spacing w:val="-2"/>
                <w:w w:val="105"/>
                <w:sz w:val="18"/>
              </w:rPr>
              <w:t xml:space="preserve">by </w:t>
            </w:r>
            <w:r>
              <w:rPr>
                <w:w w:val="105"/>
                <w:sz w:val="18"/>
              </w:rPr>
              <w:t>private sector providers</w:t>
            </w:r>
          </w:p>
        </w:tc>
        <w:tc>
          <w:tcPr>
            <w:tcW w:w="794" w:type="dxa"/>
            <w:shd w:val="clear" w:color="auto" w:fill="E1E0E1"/>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361" w:type="dxa"/>
            <w:shd w:val="clear" w:color="auto" w:fill="E1E0E1"/>
          </w:tcPr>
          <w:p w:rsidR="002C1123" w:rsidRDefault="00F22F94">
            <w:pPr>
              <w:pStyle w:val="TableParagraph"/>
              <w:rPr>
                <w:sz w:val="16"/>
              </w:rPr>
            </w:pPr>
            <w:r>
              <w:rPr>
                <w:spacing w:val="-2"/>
                <w:sz w:val="16"/>
              </w:rPr>
              <w:t>Review</w:t>
            </w:r>
          </w:p>
        </w:tc>
        <w:tc>
          <w:tcPr>
            <w:tcW w:w="2835" w:type="dxa"/>
            <w:shd w:val="clear" w:color="auto" w:fill="E1E0E1"/>
          </w:tcPr>
          <w:p w:rsidR="002C1123" w:rsidRDefault="00F22F94">
            <w:pPr>
              <w:pStyle w:val="TableParagraph"/>
              <w:ind w:left="112"/>
              <w:rPr>
                <w:sz w:val="16"/>
              </w:rPr>
            </w:pPr>
            <w:r>
              <w:rPr>
                <w:w w:val="95"/>
                <w:sz w:val="16"/>
              </w:rPr>
              <w:t>Potential</w:t>
            </w:r>
            <w:r>
              <w:rPr>
                <w:spacing w:val="-2"/>
                <w:w w:val="95"/>
                <w:sz w:val="16"/>
              </w:rPr>
              <w:t xml:space="preserve"> </w:t>
            </w:r>
            <w:r>
              <w:rPr>
                <w:w w:val="95"/>
                <w:sz w:val="16"/>
              </w:rPr>
              <w:t>capital</w:t>
            </w:r>
            <w:r>
              <w:rPr>
                <w:spacing w:val="-1"/>
                <w:w w:val="95"/>
                <w:sz w:val="16"/>
              </w:rPr>
              <w:t xml:space="preserve"> </w:t>
            </w:r>
            <w:r>
              <w:rPr>
                <w:spacing w:val="-2"/>
                <w:w w:val="95"/>
                <w:sz w:val="16"/>
              </w:rPr>
              <w:t>savings</w:t>
            </w:r>
          </w:p>
        </w:tc>
      </w:tr>
      <w:tr w:rsidR="002C1123">
        <w:trPr>
          <w:trHeight w:val="681"/>
        </w:trPr>
        <w:tc>
          <w:tcPr>
            <w:tcW w:w="510" w:type="dxa"/>
            <w:tcBorders>
              <w:left w:val="nil"/>
            </w:tcBorders>
            <w:shd w:val="clear" w:color="auto" w:fill="C9C8C9"/>
          </w:tcPr>
          <w:p w:rsidR="002C1123" w:rsidRDefault="00F22F94">
            <w:pPr>
              <w:pStyle w:val="TableParagraph"/>
              <w:spacing w:before="63"/>
              <w:rPr>
                <w:sz w:val="18"/>
              </w:rPr>
            </w:pPr>
            <w:r>
              <w:rPr>
                <w:spacing w:val="-5"/>
                <w:sz w:val="18"/>
              </w:rPr>
              <w:t>61</w:t>
            </w:r>
          </w:p>
        </w:tc>
        <w:tc>
          <w:tcPr>
            <w:tcW w:w="4819" w:type="dxa"/>
            <w:shd w:val="clear" w:color="auto" w:fill="C9C8C9"/>
          </w:tcPr>
          <w:p w:rsidR="002C1123" w:rsidRDefault="00F22F94">
            <w:pPr>
              <w:pStyle w:val="TableParagraph"/>
              <w:spacing w:before="63" w:line="254" w:lineRule="auto"/>
              <w:ind w:right="65"/>
              <w:rPr>
                <w:sz w:val="18"/>
              </w:rPr>
            </w:pPr>
            <w:r>
              <w:rPr>
                <w:spacing w:val="-2"/>
                <w:w w:val="105"/>
                <w:sz w:val="18"/>
              </w:rPr>
              <w:t>Upgrade</w:t>
            </w:r>
            <w:r>
              <w:rPr>
                <w:spacing w:val="-10"/>
                <w:w w:val="105"/>
                <w:sz w:val="18"/>
              </w:rPr>
              <w:t xml:space="preserve"> </w:t>
            </w:r>
            <w:r>
              <w:rPr>
                <w:spacing w:val="-2"/>
                <w:w w:val="105"/>
                <w:sz w:val="18"/>
              </w:rPr>
              <w:t>and</w:t>
            </w:r>
            <w:r>
              <w:rPr>
                <w:spacing w:val="-10"/>
                <w:w w:val="105"/>
                <w:sz w:val="18"/>
              </w:rPr>
              <w:t xml:space="preserve"> </w:t>
            </w:r>
            <w:r>
              <w:rPr>
                <w:spacing w:val="-2"/>
                <w:w w:val="105"/>
                <w:sz w:val="18"/>
              </w:rPr>
              <w:t>build</w:t>
            </w:r>
            <w:r>
              <w:rPr>
                <w:spacing w:val="-10"/>
                <w:w w:val="105"/>
                <w:sz w:val="18"/>
              </w:rPr>
              <w:t xml:space="preserve"> </w:t>
            </w:r>
            <w:r>
              <w:rPr>
                <w:spacing w:val="-2"/>
                <w:w w:val="105"/>
                <w:sz w:val="18"/>
              </w:rPr>
              <w:t>new</w:t>
            </w:r>
            <w:r>
              <w:rPr>
                <w:spacing w:val="-10"/>
                <w:w w:val="105"/>
                <w:sz w:val="18"/>
              </w:rPr>
              <w:t xml:space="preserve"> </w:t>
            </w:r>
            <w:r>
              <w:rPr>
                <w:spacing w:val="-2"/>
                <w:w w:val="105"/>
                <w:sz w:val="18"/>
              </w:rPr>
              <w:t>healthcare</w:t>
            </w:r>
            <w:r>
              <w:rPr>
                <w:spacing w:val="-10"/>
                <w:w w:val="105"/>
                <w:sz w:val="18"/>
              </w:rPr>
              <w:t xml:space="preserve"> </w:t>
            </w:r>
            <w:r>
              <w:rPr>
                <w:spacing w:val="-2"/>
                <w:w w:val="105"/>
                <w:sz w:val="18"/>
              </w:rPr>
              <w:t>facilities</w:t>
            </w:r>
            <w:r>
              <w:rPr>
                <w:spacing w:val="-10"/>
                <w:w w:val="105"/>
                <w:sz w:val="18"/>
              </w:rPr>
              <w:t xml:space="preserve"> </w:t>
            </w:r>
            <w:r>
              <w:rPr>
                <w:spacing w:val="-2"/>
                <w:w w:val="105"/>
                <w:sz w:val="18"/>
              </w:rPr>
              <w:t xml:space="preserve">in </w:t>
            </w:r>
            <w:r>
              <w:rPr>
                <w:w w:val="105"/>
                <w:sz w:val="18"/>
              </w:rPr>
              <w:t>accordance with projected demand</w:t>
            </w:r>
          </w:p>
        </w:tc>
        <w:tc>
          <w:tcPr>
            <w:tcW w:w="794" w:type="dxa"/>
            <w:shd w:val="clear" w:color="auto" w:fill="E1E0E1"/>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5"/>
                <w:sz w:val="16"/>
              </w:rPr>
              <w:t>20</w:t>
            </w:r>
          </w:p>
        </w:tc>
        <w:tc>
          <w:tcPr>
            <w:tcW w:w="1361" w:type="dxa"/>
            <w:shd w:val="clear" w:color="auto" w:fill="E1E0E1"/>
          </w:tcPr>
          <w:p w:rsidR="002C1123" w:rsidRDefault="00F22F94">
            <w:pPr>
              <w:pStyle w:val="TableParagraph"/>
              <w:rPr>
                <w:sz w:val="16"/>
              </w:rPr>
            </w:pPr>
            <w:r>
              <w:rPr>
                <w:spacing w:val="-2"/>
                <w:sz w:val="16"/>
              </w:rPr>
              <w:t>Program</w:t>
            </w:r>
          </w:p>
        </w:tc>
        <w:tc>
          <w:tcPr>
            <w:tcW w:w="2835" w:type="dxa"/>
            <w:shd w:val="clear" w:color="auto" w:fill="E1E0E1"/>
          </w:tcPr>
          <w:p w:rsidR="002C1123" w:rsidRDefault="00F22F94">
            <w:pPr>
              <w:pStyle w:val="TableParagraph"/>
              <w:spacing w:before="70" w:line="235" w:lineRule="auto"/>
              <w:ind w:left="112"/>
              <w:rPr>
                <w:sz w:val="16"/>
              </w:rPr>
            </w:pPr>
            <w:r>
              <w:rPr>
                <w:w w:val="95"/>
                <w:sz w:val="16"/>
              </w:rPr>
              <w:t xml:space="preserve">Existing Government commitment. </w:t>
            </w:r>
            <w:r>
              <w:rPr>
                <w:sz w:val="16"/>
              </w:rPr>
              <w:t>Program will reflect NSW Health preferred models of care</w:t>
            </w:r>
          </w:p>
        </w:tc>
      </w:tr>
    </w:tbl>
    <w:p w:rsidR="002C1123" w:rsidRDefault="002C1123">
      <w:pPr>
        <w:spacing w:line="235" w:lineRule="auto"/>
        <w:rPr>
          <w:sz w:val="16"/>
        </w:rPr>
        <w:sectPr w:rsidR="002C1123">
          <w:type w:val="continuous"/>
          <w:pgSz w:w="16840" w:h="11910" w:orient="landscape"/>
          <w:pgMar w:top="560" w:right="280" w:bottom="280" w:left="500" w:header="0" w:footer="517" w:gutter="0"/>
          <w:cols w:space="720"/>
        </w:sectPr>
      </w:pPr>
    </w:p>
    <w:p w:rsidR="002C1123" w:rsidRDefault="002C1123">
      <w:pPr>
        <w:pStyle w:val="BodyText"/>
        <w:rPr>
          <w:b/>
        </w:rPr>
      </w:pPr>
    </w:p>
    <w:p w:rsidR="002C1123" w:rsidRDefault="00F22F94">
      <w:pPr>
        <w:pStyle w:val="Heading1"/>
      </w:pPr>
      <w:bookmarkStart w:id="357" w:name="14.0_Social_infrastructure____14.1_Educa"/>
      <w:bookmarkStart w:id="358" w:name="_bookmark253"/>
      <w:bookmarkStart w:id="359" w:name="_bookmark252"/>
      <w:bookmarkEnd w:id="357"/>
      <w:bookmarkEnd w:id="358"/>
      <w:bookmarkEnd w:id="359"/>
      <w:r>
        <w:rPr>
          <w:color w:val="2E3092"/>
          <w:w w:val="55"/>
        </w:rPr>
        <w:t>14.0</w:t>
      </w:r>
      <w:r>
        <w:rPr>
          <w:color w:val="2E3092"/>
          <w:spacing w:val="-25"/>
          <w:w w:val="55"/>
        </w:rPr>
        <w:t xml:space="preserve"> </w:t>
      </w:r>
      <w:r>
        <w:rPr>
          <w:color w:val="00AEEF"/>
          <w:w w:val="55"/>
        </w:rPr>
        <w:t>Social</w:t>
      </w:r>
      <w:r>
        <w:rPr>
          <w:color w:val="00AEEF"/>
          <w:spacing w:val="-23"/>
          <w:w w:val="55"/>
        </w:rPr>
        <w:t xml:space="preserve"> </w:t>
      </w:r>
      <w:r>
        <w:rPr>
          <w:color w:val="00AEEF"/>
          <w:w w:val="55"/>
        </w:rPr>
        <w:t>infrastructure</w:t>
      </w:r>
      <w:r>
        <w:rPr>
          <w:color w:val="00AEEF"/>
          <w:spacing w:val="-5"/>
        </w:rPr>
        <w:t xml:space="preserve">  </w:t>
      </w:r>
      <w:r>
        <w:rPr>
          <w:color w:val="2E3092"/>
          <w:w w:val="55"/>
        </w:rPr>
        <w:t>14.1</w:t>
      </w:r>
      <w:r>
        <w:rPr>
          <w:color w:val="2E3092"/>
          <w:spacing w:val="-22"/>
          <w:w w:val="55"/>
        </w:rPr>
        <w:t xml:space="preserve"> </w:t>
      </w:r>
      <w:r>
        <w:rPr>
          <w:color w:val="00AEEF"/>
          <w:spacing w:val="-2"/>
          <w:w w:val="55"/>
        </w:rPr>
        <w:t>Education</w:t>
      </w:r>
    </w:p>
    <w:p w:rsidR="002C1123" w:rsidRDefault="002C1123">
      <w:pPr>
        <w:pStyle w:val="BodyText"/>
        <w:spacing w:before="4"/>
        <w:rPr>
          <w:rFonts w:ascii="Trebuchet MS"/>
          <w:sz w:val="10"/>
        </w:rPr>
      </w:pPr>
    </w:p>
    <w:p w:rsidR="002C1123" w:rsidRDefault="002C1123">
      <w:pPr>
        <w:rPr>
          <w:rFonts w:ascii="Trebuchet MS"/>
          <w:sz w:val="10"/>
        </w:rPr>
        <w:sectPr w:rsidR="002C1123">
          <w:headerReference w:type="default" r:id="rId228"/>
          <w:footerReference w:type="default" r:id="rId229"/>
          <w:pgSz w:w="16840" w:h="11910" w:orient="landscape"/>
          <w:pgMar w:top="560" w:right="280" w:bottom="700" w:left="500" w:header="0" w:footer="517" w:gutter="0"/>
          <w:cols w:space="720"/>
        </w:sectPr>
      </w:pPr>
    </w:p>
    <w:p w:rsidR="002C1123" w:rsidRDefault="002060EF">
      <w:pPr>
        <w:pStyle w:val="Heading6"/>
        <w:numPr>
          <w:ilvl w:val="2"/>
          <w:numId w:val="39"/>
        </w:numPr>
        <w:tabs>
          <w:tab w:val="left" w:pos="6114"/>
        </w:tabs>
        <w:ind w:hanging="596"/>
        <w:jc w:val="left"/>
      </w:pPr>
      <w:r>
        <w:pict>
          <v:shape id="docshape2466" o:spid="_x0000_s1569" type="#_x0000_t202" style="position:absolute;left:0;text-align:left;margin-left:38.25pt;margin-top:-3.7pt;width:251.35pt;height:422.4pt;z-index:251662336;mso-position-horizontal-relative:page" fillcolor="#e1e0e1" stroked="f">
            <v:textbox inset="0,0,0,0">
              <w:txbxContent>
                <w:p w:rsidR="00F22F94" w:rsidRDefault="00F22F94">
                  <w:pPr>
                    <w:spacing w:before="164"/>
                    <w:ind w:left="226"/>
                    <w:rPr>
                      <w:b/>
                      <w:color w:val="000000"/>
                      <w:sz w:val="28"/>
                    </w:rPr>
                  </w:pPr>
                  <w:r>
                    <w:rPr>
                      <w:b/>
                      <w:color w:val="00AEEF"/>
                      <w:spacing w:val="-2"/>
                      <w:sz w:val="28"/>
                    </w:rPr>
                    <w:t>Summary</w:t>
                  </w:r>
                </w:p>
                <w:p w:rsidR="00F22F94" w:rsidRDefault="00F22F94">
                  <w:pPr>
                    <w:pStyle w:val="BodyText"/>
                    <w:numPr>
                      <w:ilvl w:val="0"/>
                      <w:numId w:val="37"/>
                    </w:numPr>
                    <w:tabs>
                      <w:tab w:val="left" w:pos="511"/>
                    </w:tabs>
                    <w:spacing w:before="122" w:line="249" w:lineRule="auto"/>
                    <w:ind w:right="441"/>
                    <w:rPr>
                      <w:color w:val="000000"/>
                    </w:rPr>
                  </w:pPr>
                  <w:r>
                    <w:rPr>
                      <w:color w:val="000000"/>
                      <w:w w:val="95"/>
                    </w:rPr>
                    <w:t>NSW’s</w:t>
                  </w:r>
                  <w:r>
                    <w:rPr>
                      <w:color w:val="000000"/>
                      <w:spacing w:val="-3"/>
                      <w:w w:val="95"/>
                    </w:rPr>
                    <w:t xml:space="preserve"> </w:t>
                  </w:r>
                  <w:r>
                    <w:rPr>
                      <w:color w:val="000000"/>
                      <w:w w:val="95"/>
                    </w:rPr>
                    <w:t>school</w:t>
                  </w:r>
                  <w:r>
                    <w:rPr>
                      <w:color w:val="000000"/>
                      <w:spacing w:val="-3"/>
                      <w:w w:val="95"/>
                    </w:rPr>
                    <w:t xml:space="preserve"> </w:t>
                  </w:r>
                  <w:r>
                    <w:rPr>
                      <w:color w:val="000000"/>
                      <w:w w:val="95"/>
                    </w:rPr>
                    <w:t>population</w:t>
                  </w:r>
                  <w:r>
                    <w:rPr>
                      <w:color w:val="000000"/>
                      <w:spacing w:val="-3"/>
                      <w:w w:val="95"/>
                    </w:rPr>
                    <w:t xml:space="preserve"> </w:t>
                  </w:r>
                  <w:r>
                    <w:rPr>
                      <w:color w:val="000000"/>
                      <w:w w:val="95"/>
                    </w:rPr>
                    <w:t>is</w:t>
                  </w:r>
                  <w:r>
                    <w:rPr>
                      <w:color w:val="000000"/>
                      <w:spacing w:val="-3"/>
                      <w:w w:val="95"/>
                    </w:rPr>
                    <w:t xml:space="preserve"> </w:t>
                  </w:r>
                  <w:r>
                    <w:rPr>
                      <w:color w:val="000000"/>
                      <w:w w:val="95"/>
                    </w:rPr>
                    <w:t>expected</w:t>
                  </w:r>
                  <w:r>
                    <w:rPr>
                      <w:color w:val="000000"/>
                      <w:spacing w:val="-3"/>
                      <w:w w:val="95"/>
                    </w:rPr>
                    <w:t xml:space="preserve"> </w:t>
                  </w:r>
                  <w:r>
                    <w:rPr>
                      <w:color w:val="000000"/>
                      <w:w w:val="95"/>
                    </w:rPr>
                    <w:t>to</w:t>
                  </w:r>
                  <w:r>
                    <w:rPr>
                      <w:color w:val="000000"/>
                      <w:spacing w:val="-3"/>
                      <w:w w:val="95"/>
                    </w:rPr>
                    <w:t xml:space="preserve"> </w:t>
                  </w:r>
                  <w:r>
                    <w:rPr>
                      <w:color w:val="000000"/>
                      <w:w w:val="95"/>
                    </w:rPr>
                    <w:t>grow</w:t>
                  </w:r>
                  <w:r>
                    <w:rPr>
                      <w:color w:val="000000"/>
                      <w:spacing w:val="-3"/>
                      <w:w w:val="95"/>
                    </w:rPr>
                    <w:t xml:space="preserve"> </w:t>
                  </w:r>
                  <w:r>
                    <w:rPr>
                      <w:color w:val="000000"/>
                      <w:w w:val="95"/>
                    </w:rPr>
                    <w:t xml:space="preserve">by </w:t>
                  </w:r>
                  <w:r>
                    <w:rPr>
                      <w:color w:val="000000"/>
                      <w:spacing w:val="-2"/>
                    </w:rPr>
                    <w:t>around</w:t>
                  </w:r>
                  <w:r>
                    <w:rPr>
                      <w:color w:val="000000"/>
                      <w:spacing w:val="-9"/>
                    </w:rPr>
                    <w:t xml:space="preserve"> </w:t>
                  </w:r>
                  <w:r>
                    <w:rPr>
                      <w:color w:val="000000"/>
                      <w:spacing w:val="-2"/>
                    </w:rPr>
                    <w:t>250,000</w:t>
                  </w:r>
                  <w:r>
                    <w:rPr>
                      <w:color w:val="000000"/>
                      <w:spacing w:val="-9"/>
                    </w:rPr>
                    <w:t xml:space="preserve"> </w:t>
                  </w:r>
                  <w:r>
                    <w:rPr>
                      <w:color w:val="000000"/>
                      <w:spacing w:val="-2"/>
                    </w:rPr>
                    <w:t>in</w:t>
                  </w:r>
                  <w:r>
                    <w:rPr>
                      <w:color w:val="000000"/>
                      <w:spacing w:val="-9"/>
                    </w:rPr>
                    <w:t xml:space="preserve"> </w:t>
                  </w:r>
                  <w:r>
                    <w:rPr>
                      <w:color w:val="000000"/>
                      <w:spacing w:val="-2"/>
                    </w:rPr>
                    <w:t>the</w:t>
                  </w:r>
                  <w:r>
                    <w:rPr>
                      <w:color w:val="000000"/>
                      <w:spacing w:val="-9"/>
                    </w:rPr>
                    <w:t xml:space="preserve"> </w:t>
                  </w:r>
                  <w:r>
                    <w:rPr>
                      <w:color w:val="000000"/>
                      <w:spacing w:val="-2"/>
                    </w:rPr>
                    <w:t>next</w:t>
                  </w:r>
                  <w:r>
                    <w:rPr>
                      <w:color w:val="000000"/>
                      <w:spacing w:val="-9"/>
                    </w:rPr>
                    <w:t xml:space="preserve"> </w:t>
                  </w:r>
                  <w:r>
                    <w:rPr>
                      <w:color w:val="000000"/>
                      <w:spacing w:val="-2"/>
                    </w:rPr>
                    <w:t>20</w:t>
                  </w:r>
                  <w:r>
                    <w:rPr>
                      <w:color w:val="000000"/>
                      <w:spacing w:val="-9"/>
                    </w:rPr>
                    <w:t xml:space="preserve"> </w:t>
                  </w:r>
                  <w:r>
                    <w:rPr>
                      <w:color w:val="000000"/>
                      <w:spacing w:val="-2"/>
                    </w:rPr>
                    <w:t>years,</w:t>
                  </w:r>
                  <w:r>
                    <w:rPr>
                      <w:color w:val="000000"/>
                      <w:spacing w:val="-9"/>
                    </w:rPr>
                    <w:t xml:space="preserve"> </w:t>
                  </w:r>
                  <w:r>
                    <w:rPr>
                      <w:color w:val="000000"/>
                      <w:spacing w:val="-2"/>
                    </w:rPr>
                    <w:t>with</w:t>
                  </w:r>
                  <w:r>
                    <w:rPr>
                      <w:color w:val="000000"/>
                      <w:spacing w:val="-9"/>
                    </w:rPr>
                    <w:t xml:space="preserve"> </w:t>
                  </w:r>
                  <w:r>
                    <w:rPr>
                      <w:color w:val="000000"/>
                      <w:spacing w:val="-2"/>
                    </w:rPr>
                    <w:t xml:space="preserve">more </w:t>
                  </w:r>
                  <w:r>
                    <w:rPr>
                      <w:color w:val="000000"/>
                    </w:rPr>
                    <w:t>than</w:t>
                  </w:r>
                  <w:r>
                    <w:rPr>
                      <w:color w:val="000000"/>
                      <w:spacing w:val="-6"/>
                    </w:rPr>
                    <w:t xml:space="preserve"> </w:t>
                  </w:r>
                  <w:r>
                    <w:rPr>
                      <w:color w:val="000000"/>
                    </w:rPr>
                    <w:t>a</w:t>
                  </w:r>
                  <w:r>
                    <w:rPr>
                      <w:color w:val="000000"/>
                      <w:spacing w:val="-6"/>
                    </w:rPr>
                    <w:t xml:space="preserve"> </w:t>
                  </w:r>
                  <w:r>
                    <w:rPr>
                      <w:color w:val="000000"/>
                    </w:rPr>
                    <w:t>million</w:t>
                  </w:r>
                  <w:r>
                    <w:rPr>
                      <w:color w:val="000000"/>
                      <w:spacing w:val="-6"/>
                    </w:rPr>
                    <w:t xml:space="preserve"> </w:t>
                  </w:r>
                  <w:r>
                    <w:rPr>
                      <w:color w:val="000000"/>
                    </w:rPr>
                    <w:t>students</w:t>
                  </w:r>
                  <w:r>
                    <w:rPr>
                      <w:color w:val="000000"/>
                      <w:spacing w:val="-6"/>
                    </w:rPr>
                    <w:t xml:space="preserve"> </w:t>
                  </w:r>
                  <w:r>
                    <w:rPr>
                      <w:color w:val="000000"/>
                    </w:rPr>
                    <w:t>in</w:t>
                  </w:r>
                  <w:r>
                    <w:rPr>
                      <w:color w:val="000000"/>
                      <w:spacing w:val="-6"/>
                    </w:rPr>
                    <w:t xml:space="preserve"> </w:t>
                  </w:r>
                  <w:r>
                    <w:rPr>
                      <w:color w:val="000000"/>
                    </w:rPr>
                    <w:t>2031.</w:t>
                  </w:r>
                </w:p>
                <w:p w:rsidR="00F22F94" w:rsidRDefault="00F22F94">
                  <w:pPr>
                    <w:pStyle w:val="BodyText"/>
                    <w:numPr>
                      <w:ilvl w:val="0"/>
                      <w:numId w:val="37"/>
                    </w:numPr>
                    <w:tabs>
                      <w:tab w:val="left" w:pos="511"/>
                    </w:tabs>
                    <w:spacing w:before="131" w:line="249" w:lineRule="auto"/>
                    <w:ind w:right="273"/>
                    <w:rPr>
                      <w:color w:val="000000"/>
                    </w:rPr>
                  </w:pPr>
                  <w:r>
                    <w:rPr>
                      <w:color w:val="000000"/>
                      <w:w w:val="95"/>
                    </w:rPr>
                    <w:t>Infrastructure</w:t>
                  </w:r>
                  <w:r>
                    <w:rPr>
                      <w:color w:val="000000"/>
                      <w:spacing w:val="-2"/>
                      <w:w w:val="95"/>
                    </w:rPr>
                    <w:t xml:space="preserve"> </w:t>
                  </w:r>
                  <w:r>
                    <w:rPr>
                      <w:color w:val="000000"/>
                      <w:w w:val="95"/>
                    </w:rPr>
                    <w:t>NSW’s</w:t>
                  </w:r>
                  <w:r>
                    <w:rPr>
                      <w:color w:val="000000"/>
                      <w:spacing w:val="-2"/>
                      <w:w w:val="95"/>
                    </w:rPr>
                    <w:t xml:space="preserve"> </w:t>
                  </w:r>
                  <w:r>
                    <w:rPr>
                      <w:color w:val="000000"/>
                      <w:w w:val="95"/>
                    </w:rPr>
                    <w:t>recommended</w:t>
                  </w:r>
                  <w:r>
                    <w:rPr>
                      <w:color w:val="000000"/>
                      <w:spacing w:val="-2"/>
                      <w:w w:val="95"/>
                    </w:rPr>
                    <w:t xml:space="preserve"> </w:t>
                  </w:r>
                  <w:r>
                    <w:rPr>
                      <w:color w:val="000000"/>
                      <w:w w:val="95"/>
                    </w:rPr>
                    <w:t>strategy</w:t>
                  </w:r>
                  <w:r>
                    <w:rPr>
                      <w:color w:val="000000"/>
                      <w:spacing w:val="-2"/>
                      <w:w w:val="95"/>
                    </w:rPr>
                    <w:t xml:space="preserve"> </w:t>
                  </w:r>
                  <w:r>
                    <w:rPr>
                      <w:color w:val="000000"/>
                      <w:w w:val="95"/>
                    </w:rPr>
                    <w:t>is</w:t>
                  </w:r>
                  <w:r>
                    <w:rPr>
                      <w:color w:val="000000"/>
                      <w:spacing w:val="-2"/>
                      <w:w w:val="95"/>
                    </w:rPr>
                    <w:t xml:space="preserve"> </w:t>
                  </w:r>
                  <w:r>
                    <w:rPr>
                      <w:color w:val="000000"/>
                      <w:w w:val="95"/>
                    </w:rPr>
                    <w:t xml:space="preserve">for </w:t>
                  </w:r>
                  <w:r>
                    <w:rPr>
                      <w:color w:val="000000"/>
                    </w:rPr>
                    <w:t>90</w:t>
                  </w:r>
                  <w:r>
                    <w:rPr>
                      <w:color w:val="000000"/>
                      <w:spacing w:val="-14"/>
                    </w:rPr>
                    <w:t xml:space="preserve"> </w:t>
                  </w:r>
                  <w:r>
                    <w:rPr>
                      <w:color w:val="000000"/>
                    </w:rPr>
                    <w:t>percent</w:t>
                  </w:r>
                  <w:r>
                    <w:rPr>
                      <w:color w:val="000000"/>
                      <w:spacing w:val="-14"/>
                    </w:rPr>
                    <w:t xml:space="preserve"> </w:t>
                  </w:r>
                  <w:r>
                    <w:rPr>
                      <w:color w:val="000000"/>
                    </w:rPr>
                    <w:t>of</w:t>
                  </w:r>
                  <w:r>
                    <w:rPr>
                      <w:color w:val="000000"/>
                      <w:spacing w:val="-14"/>
                    </w:rPr>
                    <w:t xml:space="preserve"> </w:t>
                  </w:r>
                  <w:r>
                    <w:rPr>
                      <w:color w:val="000000"/>
                    </w:rPr>
                    <w:t>new</w:t>
                  </w:r>
                  <w:r>
                    <w:rPr>
                      <w:color w:val="000000"/>
                      <w:spacing w:val="-14"/>
                    </w:rPr>
                    <w:t xml:space="preserve"> </w:t>
                  </w:r>
                  <w:r>
                    <w:rPr>
                      <w:color w:val="000000"/>
                    </w:rPr>
                    <w:t>students</w:t>
                  </w:r>
                  <w:r>
                    <w:rPr>
                      <w:color w:val="000000"/>
                      <w:spacing w:val="-14"/>
                    </w:rPr>
                    <w:t xml:space="preserve"> </w:t>
                  </w:r>
                  <w:r>
                    <w:rPr>
                      <w:color w:val="000000"/>
                    </w:rPr>
                    <w:t>to</w:t>
                  </w:r>
                  <w:r>
                    <w:rPr>
                      <w:color w:val="000000"/>
                      <w:spacing w:val="-14"/>
                    </w:rPr>
                    <w:t xml:space="preserve"> </w:t>
                  </w:r>
                  <w:r>
                    <w:rPr>
                      <w:color w:val="000000"/>
                    </w:rPr>
                    <w:t>be</w:t>
                  </w:r>
                  <w:r>
                    <w:rPr>
                      <w:color w:val="000000"/>
                      <w:spacing w:val="-14"/>
                    </w:rPr>
                    <w:t xml:space="preserve"> </w:t>
                  </w:r>
                  <w:r>
                    <w:rPr>
                      <w:color w:val="000000"/>
                    </w:rPr>
                    <w:t>accommodated in</w:t>
                  </w:r>
                  <w:r>
                    <w:rPr>
                      <w:color w:val="000000"/>
                      <w:spacing w:val="-14"/>
                    </w:rPr>
                    <w:t xml:space="preserve"> </w:t>
                  </w:r>
                  <w:r>
                    <w:rPr>
                      <w:color w:val="000000"/>
                    </w:rPr>
                    <w:t>existing</w:t>
                  </w:r>
                  <w:r>
                    <w:rPr>
                      <w:color w:val="000000"/>
                      <w:spacing w:val="-14"/>
                    </w:rPr>
                    <w:t xml:space="preserve"> </w:t>
                  </w:r>
                  <w:r>
                    <w:rPr>
                      <w:color w:val="000000"/>
                    </w:rPr>
                    <w:t>schools,</w:t>
                  </w:r>
                  <w:r>
                    <w:rPr>
                      <w:color w:val="000000"/>
                      <w:spacing w:val="-14"/>
                    </w:rPr>
                    <w:t xml:space="preserve"> </w:t>
                  </w:r>
                  <w:r>
                    <w:rPr>
                      <w:color w:val="000000"/>
                    </w:rPr>
                    <w:t>leveraging</w:t>
                  </w:r>
                  <w:r>
                    <w:rPr>
                      <w:color w:val="000000"/>
                      <w:spacing w:val="-14"/>
                    </w:rPr>
                    <w:t xml:space="preserve"> </w:t>
                  </w:r>
                  <w:r>
                    <w:rPr>
                      <w:color w:val="000000"/>
                    </w:rPr>
                    <w:t>the</w:t>
                  </w:r>
                  <w:r>
                    <w:rPr>
                      <w:color w:val="000000"/>
                      <w:spacing w:val="-14"/>
                    </w:rPr>
                    <w:t xml:space="preserve"> </w:t>
                  </w:r>
                  <w:r>
                    <w:rPr>
                      <w:color w:val="000000"/>
                    </w:rPr>
                    <w:t>existing infrastructure,</w:t>
                  </w:r>
                  <w:r>
                    <w:rPr>
                      <w:color w:val="000000"/>
                      <w:spacing w:val="-9"/>
                    </w:rPr>
                    <w:t xml:space="preserve"> </w:t>
                  </w:r>
                  <w:r>
                    <w:rPr>
                      <w:color w:val="000000"/>
                    </w:rPr>
                    <w:t>with</w:t>
                  </w:r>
                  <w:r>
                    <w:rPr>
                      <w:color w:val="000000"/>
                      <w:spacing w:val="-9"/>
                    </w:rPr>
                    <w:t xml:space="preserve"> </w:t>
                  </w:r>
                  <w:r>
                    <w:rPr>
                      <w:color w:val="000000"/>
                    </w:rPr>
                    <w:t>some</w:t>
                  </w:r>
                  <w:r>
                    <w:rPr>
                      <w:color w:val="000000"/>
                      <w:spacing w:val="-9"/>
                    </w:rPr>
                    <w:t xml:space="preserve"> </w:t>
                  </w:r>
                  <w:r>
                    <w:rPr>
                      <w:color w:val="000000"/>
                    </w:rPr>
                    <w:t>conversions</w:t>
                  </w:r>
                  <w:r>
                    <w:rPr>
                      <w:color w:val="000000"/>
                      <w:spacing w:val="-9"/>
                    </w:rPr>
                    <w:t xml:space="preserve"> </w:t>
                  </w:r>
                  <w:r>
                    <w:rPr>
                      <w:color w:val="000000"/>
                    </w:rPr>
                    <w:t>to</w:t>
                  </w:r>
                  <w:r>
                    <w:rPr>
                      <w:color w:val="000000"/>
                      <w:spacing w:val="-9"/>
                    </w:rPr>
                    <w:t xml:space="preserve"> </w:t>
                  </w:r>
                  <w:r>
                    <w:rPr>
                      <w:color w:val="000000"/>
                    </w:rPr>
                    <w:t>renew the</w:t>
                  </w:r>
                  <w:r>
                    <w:rPr>
                      <w:color w:val="000000"/>
                      <w:spacing w:val="-4"/>
                    </w:rPr>
                    <w:t xml:space="preserve"> </w:t>
                  </w:r>
                  <w:r>
                    <w:rPr>
                      <w:color w:val="000000"/>
                    </w:rPr>
                    <w:t>portfolio</w:t>
                  </w:r>
                  <w:r>
                    <w:rPr>
                      <w:color w:val="000000"/>
                      <w:spacing w:val="-4"/>
                    </w:rPr>
                    <w:t xml:space="preserve"> </w:t>
                  </w:r>
                  <w:r>
                    <w:rPr>
                      <w:color w:val="000000"/>
                    </w:rPr>
                    <w:t>of</w:t>
                  </w:r>
                  <w:r>
                    <w:rPr>
                      <w:color w:val="000000"/>
                      <w:spacing w:val="-4"/>
                    </w:rPr>
                    <w:t xml:space="preserve"> </w:t>
                  </w:r>
                  <w:r>
                    <w:rPr>
                      <w:color w:val="000000"/>
                    </w:rPr>
                    <w:t>education</w:t>
                  </w:r>
                  <w:r>
                    <w:rPr>
                      <w:color w:val="000000"/>
                      <w:spacing w:val="-4"/>
                    </w:rPr>
                    <w:t xml:space="preserve"> </w:t>
                  </w:r>
                  <w:r>
                    <w:rPr>
                      <w:color w:val="000000"/>
                    </w:rPr>
                    <w:t>without</w:t>
                  </w:r>
                  <w:r>
                    <w:rPr>
                      <w:color w:val="000000"/>
                      <w:spacing w:val="-4"/>
                    </w:rPr>
                    <w:t xml:space="preserve"> </w:t>
                  </w:r>
                  <w:r>
                    <w:rPr>
                      <w:color w:val="000000"/>
                    </w:rPr>
                    <w:t>increasing</w:t>
                  </w:r>
                  <w:r>
                    <w:rPr>
                      <w:color w:val="000000"/>
                      <w:spacing w:val="-4"/>
                    </w:rPr>
                    <w:t xml:space="preserve"> </w:t>
                  </w:r>
                  <w:r>
                    <w:rPr>
                      <w:color w:val="000000"/>
                    </w:rPr>
                    <w:t>its footprint.</w:t>
                  </w:r>
                  <w:r>
                    <w:rPr>
                      <w:color w:val="000000"/>
                      <w:spacing w:val="-14"/>
                    </w:rPr>
                    <w:t xml:space="preserve"> </w:t>
                  </w:r>
                  <w:r>
                    <w:rPr>
                      <w:color w:val="000000"/>
                    </w:rPr>
                    <w:t>Increasing</w:t>
                  </w:r>
                  <w:r>
                    <w:rPr>
                      <w:color w:val="000000"/>
                      <w:spacing w:val="-14"/>
                    </w:rPr>
                    <w:t xml:space="preserve"> </w:t>
                  </w:r>
                  <w:r>
                    <w:rPr>
                      <w:color w:val="000000"/>
                    </w:rPr>
                    <w:t>the</w:t>
                  </w:r>
                  <w:r>
                    <w:rPr>
                      <w:color w:val="000000"/>
                      <w:spacing w:val="-14"/>
                    </w:rPr>
                    <w:t xml:space="preserve"> </w:t>
                  </w:r>
                  <w:r>
                    <w:rPr>
                      <w:color w:val="000000"/>
                    </w:rPr>
                    <w:t>average</w:t>
                  </w:r>
                  <w:r>
                    <w:rPr>
                      <w:color w:val="000000"/>
                      <w:spacing w:val="-14"/>
                    </w:rPr>
                    <w:t xml:space="preserve"> </w:t>
                  </w:r>
                  <w:r>
                    <w:rPr>
                      <w:color w:val="000000"/>
                    </w:rPr>
                    <w:t>size</w:t>
                  </w:r>
                  <w:r>
                    <w:rPr>
                      <w:color w:val="000000"/>
                      <w:spacing w:val="-14"/>
                    </w:rPr>
                    <w:t xml:space="preserve"> </w:t>
                  </w:r>
                  <w:r>
                    <w:rPr>
                      <w:color w:val="000000"/>
                    </w:rPr>
                    <w:t>of</w:t>
                  </w:r>
                  <w:r>
                    <w:rPr>
                      <w:color w:val="000000"/>
                      <w:spacing w:val="-14"/>
                    </w:rPr>
                    <w:t xml:space="preserve"> </w:t>
                  </w:r>
                  <w:r>
                    <w:rPr>
                      <w:color w:val="000000"/>
                    </w:rPr>
                    <w:t>schools makes</w:t>
                  </w:r>
                  <w:r>
                    <w:rPr>
                      <w:color w:val="000000"/>
                      <w:spacing w:val="-14"/>
                    </w:rPr>
                    <w:t xml:space="preserve"> </w:t>
                  </w:r>
                  <w:r>
                    <w:rPr>
                      <w:color w:val="000000"/>
                    </w:rPr>
                    <w:t>better</w:t>
                  </w:r>
                  <w:r>
                    <w:rPr>
                      <w:color w:val="000000"/>
                      <w:spacing w:val="-14"/>
                    </w:rPr>
                    <w:t xml:space="preserve"> </w:t>
                  </w:r>
                  <w:r>
                    <w:rPr>
                      <w:color w:val="000000"/>
                    </w:rPr>
                    <w:t>use</w:t>
                  </w:r>
                  <w:r>
                    <w:rPr>
                      <w:color w:val="000000"/>
                      <w:spacing w:val="-14"/>
                    </w:rPr>
                    <w:t xml:space="preserve"> </w:t>
                  </w:r>
                  <w:r>
                    <w:rPr>
                      <w:color w:val="000000"/>
                    </w:rPr>
                    <w:t>of</w:t>
                  </w:r>
                  <w:r>
                    <w:rPr>
                      <w:color w:val="000000"/>
                      <w:spacing w:val="-14"/>
                    </w:rPr>
                    <w:t xml:space="preserve"> </w:t>
                  </w:r>
                  <w:r>
                    <w:rPr>
                      <w:color w:val="000000"/>
                    </w:rPr>
                    <w:t>existing</w:t>
                  </w:r>
                  <w:r>
                    <w:rPr>
                      <w:color w:val="000000"/>
                      <w:spacing w:val="-14"/>
                    </w:rPr>
                    <w:t xml:space="preserve"> </w:t>
                  </w:r>
                  <w:r>
                    <w:rPr>
                      <w:color w:val="000000"/>
                    </w:rPr>
                    <w:t>assets</w:t>
                  </w:r>
                  <w:r>
                    <w:rPr>
                      <w:color w:val="000000"/>
                      <w:spacing w:val="-14"/>
                    </w:rPr>
                    <w:t xml:space="preserve"> </w:t>
                  </w:r>
                  <w:r>
                    <w:rPr>
                      <w:color w:val="000000"/>
                    </w:rPr>
                    <w:t>and</w:t>
                  </w:r>
                  <w:r>
                    <w:rPr>
                      <w:color w:val="000000"/>
                      <w:spacing w:val="-14"/>
                    </w:rPr>
                    <w:t xml:space="preserve"> </w:t>
                  </w:r>
                  <w:r>
                    <w:rPr>
                      <w:color w:val="000000"/>
                    </w:rPr>
                    <w:t>provides better learning outcomes.</w:t>
                  </w:r>
                </w:p>
                <w:p w:rsidR="00F22F94" w:rsidRDefault="00F22F94">
                  <w:pPr>
                    <w:pStyle w:val="BodyText"/>
                    <w:numPr>
                      <w:ilvl w:val="0"/>
                      <w:numId w:val="37"/>
                    </w:numPr>
                    <w:tabs>
                      <w:tab w:val="left" w:pos="511"/>
                    </w:tabs>
                    <w:spacing w:before="136" w:line="249" w:lineRule="auto"/>
                    <w:ind w:right="627"/>
                    <w:rPr>
                      <w:color w:val="000000"/>
                    </w:rPr>
                  </w:pPr>
                  <w:r>
                    <w:rPr>
                      <w:color w:val="000000"/>
                      <w:w w:val="95"/>
                    </w:rPr>
                    <w:t>In addition, 29 new schools, including eight in regional</w:t>
                  </w:r>
                  <w:r>
                    <w:rPr>
                      <w:color w:val="000000"/>
                      <w:spacing w:val="-7"/>
                      <w:w w:val="95"/>
                    </w:rPr>
                    <w:t xml:space="preserve"> </w:t>
                  </w:r>
                  <w:r>
                    <w:rPr>
                      <w:color w:val="000000"/>
                      <w:w w:val="95"/>
                    </w:rPr>
                    <w:t>areas,</w:t>
                  </w:r>
                  <w:r>
                    <w:rPr>
                      <w:color w:val="000000"/>
                      <w:spacing w:val="-7"/>
                      <w:w w:val="95"/>
                    </w:rPr>
                    <w:t xml:space="preserve"> </w:t>
                  </w:r>
                  <w:r>
                    <w:rPr>
                      <w:color w:val="000000"/>
                      <w:w w:val="95"/>
                    </w:rPr>
                    <w:t>are</w:t>
                  </w:r>
                  <w:r>
                    <w:rPr>
                      <w:color w:val="000000"/>
                      <w:spacing w:val="-7"/>
                      <w:w w:val="95"/>
                    </w:rPr>
                    <w:t xml:space="preserve"> </w:t>
                  </w:r>
                  <w:r>
                    <w:rPr>
                      <w:color w:val="000000"/>
                      <w:w w:val="95"/>
                    </w:rPr>
                    <w:t>expected</w:t>
                  </w:r>
                  <w:r>
                    <w:rPr>
                      <w:color w:val="000000"/>
                      <w:spacing w:val="-7"/>
                      <w:w w:val="95"/>
                    </w:rPr>
                    <w:t xml:space="preserve"> </w:t>
                  </w:r>
                  <w:r>
                    <w:rPr>
                      <w:color w:val="000000"/>
                      <w:w w:val="95"/>
                    </w:rPr>
                    <w:t>to</w:t>
                  </w:r>
                  <w:r>
                    <w:rPr>
                      <w:color w:val="000000"/>
                      <w:spacing w:val="-7"/>
                      <w:w w:val="95"/>
                    </w:rPr>
                    <w:t xml:space="preserve"> </w:t>
                  </w:r>
                  <w:r>
                    <w:rPr>
                      <w:color w:val="000000"/>
                      <w:w w:val="95"/>
                    </w:rPr>
                    <w:t>be</w:t>
                  </w:r>
                  <w:r>
                    <w:rPr>
                      <w:color w:val="000000"/>
                      <w:spacing w:val="-7"/>
                      <w:w w:val="95"/>
                    </w:rPr>
                    <w:t xml:space="preserve"> </w:t>
                  </w:r>
                  <w:r>
                    <w:rPr>
                      <w:color w:val="000000"/>
                      <w:w w:val="95"/>
                    </w:rPr>
                    <w:t>built</w:t>
                  </w:r>
                  <w:r>
                    <w:rPr>
                      <w:color w:val="000000"/>
                      <w:spacing w:val="-7"/>
                      <w:w w:val="95"/>
                    </w:rPr>
                    <w:t xml:space="preserve"> </w:t>
                  </w:r>
                  <w:r>
                    <w:rPr>
                      <w:color w:val="000000"/>
                      <w:w w:val="95"/>
                    </w:rPr>
                    <w:t xml:space="preserve">across </w:t>
                  </w:r>
                  <w:r>
                    <w:rPr>
                      <w:color w:val="000000"/>
                    </w:rPr>
                    <w:t>NSW</w:t>
                  </w:r>
                  <w:r>
                    <w:rPr>
                      <w:color w:val="000000"/>
                      <w:spacing w:val="-1"/>
                    </w:rPr>
                    <w:t xml:space="preserve"> </w:t>
                  </w:r>
                  <w:r>
                    <w:rPr>
                      <w:color w:val="000000"/>
                    </w:rPr>
                    <w:t>in</w:t>
                  </w:r>
                  <w:r>
                    <w:rPr>
                      <w:color w:val="000000"/>
                      <w:spacing w:val="-1"/>
                    </w:rPr>
                    <w:t xml:space="preserve"> </w:t>
                  </w:r>
                  <w:r>
                    <w:rPr>
                      <w:color w:val="000000"/>
                    </w:rPr>
                    <w:t>the</w:t>
                  </w:r>
                  <w:r>
                    <w:rPr>
                      <w:color w:val="000000"/>
                      <w:spacing w:val="-1"/>
                    </w:rPr>
                    <w:t xml:space="preserve"> </w:t>
                  </w:r>
                  <w:r>
                    <w:rPr>
                      <w:color w:val="000000"/>
                    </w:rPr>
                    <w:t>next</w:t>
                  </w:r>
                  <w:r>
                    <w:rPr>
                      <w:color w:val="000000"/>
                      <w:spacing w:val="-1"/>
                    </w:rPr>
                    <w:t xml:space="preserve"> </w:t>
                  </w:r>
                  <w:r>
                    <w:rPr>
                      <w:color w:val="000000"/>
                    </w:rPr>
                    <w:t>10</w:t>
                  </w:r>
                  <w:r>
                    <w:rPr>
                      <w:color w:val="000000"/>
                      <w:spacing w:val="-1"/>
                    </w:rPr>
                    <w:t xml:space="preserve"> </w:t>
                  </w:r>
                  <w:r>
                    <w:rPr>
                      <w:color w:val="000000"/>
                    </w:rPr>
                    <w:t>years.</w:t>
                  </w:r>
                </w:p>
                <w:p w:rsidR="00F22F94" w:rsidRDefault="00F22F94">
                  <w:pPr>
                    <w:pStyle w:val="BodyText"/>
                    <w:numPr>
                      <w:ilvl w:val="0"/>
                      <w:numId w:val="37"/>
                    </w:numPr>
                    <w:tabs>
                      <w:tab w:val="left" w:pos="511"/>
                    </w:tabs>
                    <w:spacing w:before="131" w:line="249" w:lineRule="auto"/>
                    <w:ind w:right="407"/>
                    <w:rPr>
                      <w:color w:val="000000"/>
                    </w:rPr>
                  </w:pPr>
                  <w:r>
                    <w:rPr>
                      <w:color w:val="000000"/>
                    </w:rPr>
                    <w:t>A</w:t>
                  </w:r>
                  <w:r>
                    <w:rPr>
                      <w:color w:val="000000"/>
                      <w:spacing w:val="-7"/>
                    </w:rPr>
                    <w:t xml:space="preserve"> </w:t>
                  </w:r>
                  <w:r>
                    <w:rPr>
                      <w:color w:val="000000"/>
                    </w:rPr>
                    <w:t>new</w:t>
                  </w:r>
                  <w:r>
                    <w:rPr>
                      <w:color w:val="000000"/>
                      <w:spacing w:val="-7"/>
                    </w:rPr>
                    <w:t xml:space="preserve"> </w:t>
                  </w:r>
                  <w:r>
                    <w:rPr>
                      <w:color w:val="000000"/>
                    </w:rPr>
                    <w:t>classroom</w:t>
                  </w:r>
                  <w:r>
                    <w:rPr>
                      <w:color w:val="000000"/>
                      <w:spacing w:val="-7"/>
                    </w:rPr>
                    <w:t xml:space="preserve"> </w:t>
                  </w:r>
                  <w:r>
                    <w:rPr>
                      <w:color w:val="000000"/>
                    </w:rPr>
                    <w:t>design</w:t>
                  </w:r>
                  <w:r>
                    <w:rPr>
                      <w:color w:val="000000"/>
                      <w:spacing w:val="-7"/>
                    </w:rPr>
                    <w:t xml:space="preserve"> </w:t>
                  </w:r>
                  <w:r>
                    <w:rPr>
                      <w:color w:val="000000"/>
                    </w:rPr>
                    <w:t>for</w:t>
                  </w:r>
                  <w:r>
                    <w:rPr>
                      <w:color w:val="000000"/>
                      <w:spacing w:val="-7"/>
                    </w:rPr>
                    <w:t xml:space="preserve"> </w:t>
                  </w:r>
                  <w:r>
                    <w:rPr>
                      <w:color w:val="000000"/>
                    </w:rPr>
                    <w:t>technology</w:t>
                  </w:r>
                  <w:r>
                    <w:rPr>
                      <w:color w:val="000000"/>
                      <w:spacing w:val="-7"/>
                    </w:rPr>
                    <w:t xml:space="preserve"> </w:t>
                  </w:r>
                  <w:r>
                    <w:rPr>
                      <w:color w:val="000000"/>
                    </w:rPr>
                    <w:t xml:space="preserve">driven </w:t>
                  </w:r>
                  <w:r>
                    <w:rPr>
                      <w:color w:val="000000"/>
                      <w:w w:val="95"/>
                    </w:rPr>
                    <w:t xml:space="preserve">teaching methods and learning is recommended </w:t>
                  </w:r>
                  <w:r>
                    <w:rPr>
                      <w:color w:val="000000"/>
                    </w:rPr>
                    <w:t>as</w:t>
                  </w:r>
                  <w:r>
                    <w:rPr>
                      <w:color w:val="000000"/>
                      <w:spacing w:val="-8"/>
                    </w:rPr>
                    <w:t xml:space="preserve"> </w:t>
                  </w:r>
                  <w:r>
                    <w:rPr>
                      <w:color w:val="000000"/>
                    </w:rPr>
                    <w:t>an</w:t>
                  </w:r>
                  <w:r>
                    <w:rPr>
                      <w:color w:val="000000"/>
                      <w:spacing w:val="-8"/>
                    </w:rPr>
                    <w:t xml:space="preserve"> </w:t>
                  </w:r>
                  <w:r>
                    <w:rPr>
                      <w:color w:val="000000"/>
                    </w:rPr>
                    <w:t>urgent</w:t>
                  </w:r>
                  <w:r>
                    <w:rPr>
                      <w:color w:val="000000"/>
                      <w:spacing w:val="-8"/>
                    </w:rPr>
                    <w:t xml:space="preserve"> </w:t>
                  </w:r>
                  <w:r>
                    <w:rPr>
                      <w:color w:val="000000"/>
                    </w:rPr>
                    <w:t>priority.</w:t>
                  </w:r>
                  <w:r>
                    <w:rPr>
                      <w:color w:val="000000"/>
                      <w:spacing w:val="-8"/>
                    </w:rPr>
                    <w:t xml:space="preserve"> </w:t>
                  </w:r>
                  <w:r>
                    <w:rPr>
                      <w:color w:val="000000"/>
                    </w:rPr>
                    <w:t>Input</w:t>
                  </w:r>
                  <w:r>
                    <w:rPr>
                      <w:color w:val="000000"/>
                      <w:spacing w:val="-8"/>
                    </w:rPr>
                    <w:t xml:space="preserve"> </w:t>
                  </w:r>
                  <w:r>
                    <w:rPr>
                      <w:color w:val="000000"/>
                    </w:rPr>
                    <w:t>from</w:t>
                  </w:r>
                  <w:r>
                    <w:rPr>
                      <w:color w:val="000000"/>
                      <w:spacing w:val="-8"/>
                    </w:rPr>
                    <w:t xml:space="preserve"> </w:t>
                  </w:r>
                  <w:r>
                    <w:rPr>
                      <w:color w:val="000000"/>
                    </w:rPr>
                    <w:t>the</w:t>
                  </w:r>
                  <w:r>
                    <w:rPr>
                      <w:color w:val="000000"/>
                      <w:spacing w:val="-8"/>
                    </w:rPr>
                    <w:t xml:space="preserve"> </w:t>
                  </w:r>
                  <w:r>
                    <w:rPr>
                      <w:color w:val="000000"/>
                    </w:rPr>
                    <w:t>NSW Government’s</w:t>
                  </w:r>
                  <w:r>
                    <w:rPr>
                      <w:color w:val="000000"/>
                      <w:spacing w:val="-14"/>
                    </w:rPr>
                    <w:t xml:space="preserve"> </w:t>
                  </w:r>
                  <w:r>
                    <w:rPr>
                      <w:color w:val="000000"/>
                    </w:rPr>
                    <w:t>Information</w:t>
                  </w:r>
                  <w:r>
                    <w:rPr>
                      <w:color w:val="000000"/>
                      <w:spacing w:val="-14"/>
                    </w:rPr>
                    <w:t xml:space="preserve"> </w:t>
                  </w:r>
                  <w:r>
                    <w:rPr>
                      <w:color w:val="000000"/>
                    </w:rPr>
                    <w:t>and</w:t>
                  </w:r>
                  <w:r>
                    <w:rPr>
                      <w:color w:val="000000"/>
                      <w:spacing w:val="-14"/>
                    </w:rPr>
                    <w:t xml:space="preserve"> </w:t>
                  </w:r>
                  <w:r>
                    <w:rPr>
                      <w:color w:val="000000"/>
                    </w:rPr>
                    <w:t xml:space="preserve">Communication </w:t>
                  </w:r>
                  <w:r>
                    <w:rPr>
                      <w:color w:val="000000"/>
                      <w:w w:val="95"/>
                    </w:rPr>
                    <w:t>Technology</w:t>
                  </w:r>
                  <w:r>
                    <w:rPr>
                      <w:color w:val="000000"/>
                      <w:spacing w:val="-7"/>
                      <w:w w:val="95"/>
                    </w:rPr>
                    <w:t xml:space="preserve"> </w:t>
                  </w:r>
                  <w:r>
                    <w:rPr>
                      <w:color w:val="000000"/>
                      <w:w w:val="95"/>
                    </w:rPr>
                    <w:t>(ICT)</w:t>
                  </w:r>
                  <w:r>
                    <w:rPr>
                      <w:color w:val="000000"/>
                      <w:spacing w:val="-7"/>
                      <w:w w:val="95"/>
                    </w:rPr>
                    <w:t xml:space="preserve"> </w:t>
                  </w:r>
                  <w:r>
                    <w:rPr>
                      <w:color w:val="000000"/>
                      <w:w w:val="95"/>
                    </w:rPr>
                    <w:t>Board,</w:t>
                  </w:r>
                  <w:r>
                    <w:rPr>
                      <w:color w:val="000000"/>
                      <w:spacing w:val="-7"/>
                      <w:w w:val="95"/>
                    </w:rPr>
                    <w:t xml:space="preserve"> </w:t>
                  </w:r>
                  <w:r>
                    <w:rPr>
                      <w:color w:val="000000"/>
                      <w:w w:val="95"/>
                    </w:rPr>
                    <w:t>industry</w:t>
                  </w:r>
                  <w:r>
                    <w:rPr>
                      <w:color w:val="000000"/>
                      <w:spacing w:val="-7"/>
                      <w:w w:val="95"/>
                    </w:rPr>
                    <w:t xml:space="preserve"> </w:t>
                  </w:r>
                  <w:r>
                    <w:rPr>
                      <w:color w:val="000000"/>
                      <w:w w:val="95"/>
                    </w:rPr>
                    <w:t>and</w:t>
                  </w:r>
                  <w:r>
                    <w:rPr>
                      <w:color w:val="000000"/>
                      <w:spacing w:val="-7"/>
                      <w:w w:val="95"/>
                    </w:rPr>
                    <w:t xml:space="preserve"> </w:t>
                  </w:r>
                  <w:r>
                    <w:rPr>
                      <w:color w:val="000000"/>
                      <w:w w:val="95"/>
                    </w:rPr>
                    <w:t>the</w:t>
                  </w:r>
                  <w:r>
                    <w:rPr>
                      <w:color w:val="000000"/>
                      <w:spacing w:val="-7"/>
                      <w:w w:val="95"/>
                    </w:rPr>
                    <w:t xml:space="preserve"> </w:t>
                  </w:r>
                  <w:r>
                    <w:rPr>
                      <w:color w:val="000000"/>
                      <w:w w:val="95"/>
                    </w:rPr>
                    <w:t xml:space="preserve">private sector will ensure the standard is innovative and </w:t>
                  </w:r>
                  <w:r>
                    <w:rPr>
                      <w:color w:val="000000"/>
                      <w:spacing w:val="-2"/>
                    </w:rPr>
                    <w:t>reflects</w:t>
                  </w:r>
                  <w:r>
                    <w:rPr>
                      <w:color w:val="000000"/>
                      <w:spacing w:val="-13"/>
                    </w:rPr>
                    <w:t xml:space="preserve"> </w:t>
                  </w:r>
                  <w:r>
                    <w:rPr>
                      <w:color w:val="000000"/>
                      <w:spacing w:val="-2"/>
                    </w:rPr>
                    <w:t>the</w:t>
                  </w:r>
                  <w:r>
                    <w:rPr>
                      <w:color w:val="000000"/>
                      <w:spacing w:val="-13"/>
                    </w:rPr>
                    <w:t xml:space="preserve"> </w:t>
                  </w:r>
                  <w:r>
                    <w:rPr>
                      <w:color w:val="000000"/>
                      <w:spacing w:val="-2"/>
                    </w:rPr>
                    <w:t>next</w:t>
                  </w:r>
                  <w:r>
                    <w:rPr>
                      <w:color w:val="000000"/>
                      <w:spacing w:val="-13"/>
                    </w:rPr>
                    <w:t xml:space="preserve"> </w:t>
                  </w:r>
                  <w:r>
                    <w:rPr>
                      <w:color w:val="000000"/>
                      <w:spacing w:val="-2"/>
                    </w:rPr>
                    <w:t>generation’s</w:t>
                  </w:r>
                  <w:r>
                    <w:rPr>
                      <w:color w:val="000000"/>
                      <w:spacing w:val="-13"/>
                    </w:rPr>
                    <w:t xml:space="preserve"> </w:t>
                  </w:r>
                  <w:r>
                    <w:rPr>
                      <w:color w:val="000000"/>
                      <w:spacing w:val="-2"/>
                    </w:rPr>
                    <w:t>use</w:t>
                  </w:r>
                  <w:r>
                    <w:rPr>
                      <w:color w:val="000000"/>
                      <w:spacing w:val="-13"/>
                    </w:rPr>
                    <w:t xml:space="preserve"> </w:t>
                  </w:r>
                  <w:r>
                    <w:rPr>
                      <w:color w:val="000000"/>
                      <w:spacing w:val="-2"/>
                    </w:rPr>
                    <w:t>of</w:t>
                  </w:r>
                  <w:r>
                    <w:rPr>
                      <w:color w:val="000000"/>
                      <w:spacing w:val="-13"/>
                    </w:rPr>
                    <w:t xml:space="preserve"> </w:t>
                  </w:r>
                  <w:r>
                    <w:rPr>
                      <w:color w:val="000000"/>
                      <w:spacing w:val="-2"/>
                    </w:rPr>
                    <w:t>technology.</w:t>
                  </w:r>
                </w:p>
                <w:p w:rsidR="00F22F94" w:rsidRDefault="00F22F94">
                  <w:pPr>
                    <w:pStyle w:val="BodyText"/>
                    <w:numPr>
                      <w:ilvl w:val="0"/>
                      <w:numId w:val="37"/>
                    </w:numPr>
                    <w:tabs>
                      <w:tab w:val="left" w:pos="511"/>
                    </w:tabs>
                    <w:spacing w:before="135" w:line="249" w:lineRule="auto"/>
                    <w:ind w:right="193"/>
                    <w:rPr>
                      <w:color w:val="000000"/>
                    </w:rPr>
                  </w:pPr>
                  <w:r>
                    <w:rPr>
                      <w:color w:val="000000"/>
                      <w:w w:val="95"/>
                    </w:rPr>
                    <w:t>Strategies</w:t>
                  </w:r>
                  <w:r>
                    <w:rPr>
                      <w:color w:val="000000"/>
                      <w:spacing w:val="-6"/>
                      <w:w w:val="95"/>
                    </w:rPr>
                    <w:t xml:space="preserve"> </w:t>
                  </w:r>
                  <w:r>
                    <w:rPr>
                      <w:color w:val="000000"/>
                      <w:w w:val="95"/>
                    </w:rPr>
                    <w:t>are</w:t>
                  </w:r>
                  <w:r>
                    <w:rPr>
                      <w:color w:val="000000"/>
                      <w:spacing w:val="-6"/>
                      <w:w w:val="95"/>
                    </w:rPr>
                    <w:t xml:space="preserve"> </w:t>
                  </w:r>
                  <w:r>
                    <w:rPr>
                      <w:color w:val="000000"/>
                      <w:w w:val="95"/>
                    </w:rPr>
                    <w:t>recommended</w:t>
                  </w:r>
                  <w:r>
                    <w:rPr>
                      <w:color w:val="000000"/>
                      <w:spacing w:val="-6"/>
                      <w:w w:val="95"/>
                    </w:rPr>
                    <w:t xml:space="preserve"> </w:t>
                  </w:r>
                  <w:r>
                    <w:rPr>
                      <w:color w:val="000000"/>
                      <w:w w:val="95"/>
                    </w:rPr>
                    <w:t>to</w:t>
                  </w:r>
                  <w:r>
                    <w:rPr>
                      <w:color w:val="000000"/>
                      <w:spacing w:val="-6"/>
                      <w:w w:val="95"/>
                    </w:rPr>
                    <w:t xml:space="preserve"> </w:t>
                  </w:r>
                  <w:r>
                    <w:rPr>
                      <w:color w:val="000000"/>
                      <w:w w:val="95"/>
                    </w:rPr>
                    <w:t>increase</w:t>
                  </w:r>
                  <w:r>
                    <w:rPr>
                      <w:color w:val="000000"/>
                      <w:spacing w:val="-6"/>
                      <w:w w:val="95"/>
                    </w:rPr>
                    <w:t xml:space="preserve"> </w:t>
                  </w:r>
                  <w:r>
                    <w:rPr>
                      <w:color w:val="000000"/>
                      <w:w w:val="95"/>
                    </w:rPr>
                    <w:t>the</w:t>
                  </w:r>
                  <w:r>
                    <w:rPr>
                      <w:color w:val="000000"/>
                      <w:spacing w:val="-6"/>
                      <w:w w:val="95"/>
                    </w:rPr>
                    <w:t xml:space="preserve"> </w:t>
                  </w:r>
                  <w:r>
                    <w:rPr>
                      <w:color w:val="000000"/>
                      <w:w w:val="95"/>
                    </w:rPr>
                    <w:t>use</w:t>
                  </w:r>
                  <w:r>
                    <w:rPr>
                      <w:color w:val="000000"/>
                      <w:spacing w:val="-6"/>
                      <w:w w:val="95"/>
                    </w:rPr>
                    <w:t xml:space="preserve"> </w:t>
                  </w:r>
                  <w:r>
                    <w:rPr>
                      <w:color w:val="000000"/>
                      <w:w w:val="95"/>
                    </w:rPr>
                    <w:t xml:space="preserve">of school facilities by the community, such as playing </w:t>
                  </w:r>
                  <w:r>
                    <w:rPr>
                      <w:color w:val="000000"/>
                    </w:rPr>
                    <w:t>fields and libraries.</w:t>
                  </w:r>
                </w:p>
                <w:p w:rsidR="00F22F94" w:rsidRDefault="00F22F94">
                  <w:pPr>
                    <w:pStyle w:val="BodyText"/>
                    <w:numPr>
                      <w:ilvl w:val="0"/>
                      <w:numId w:val="37"/>
                    </w:numPr>
                    <w:tabs>
                      <w:tab w:val="left" w:pos="511"/>
                    </w:tabs>
                    <w:spacing w:before="131" w:line="249" w:lineRule="auto"/>
                    <w:ind w:right="172"/>
                    <w:rPr>
                      <w:color w:val="000000"/>
                    </w:rPr>
                  </w:pPr>
                  <w:r>
                    <w:rPr>
                      <w:color w:val="000000"/>
                    </w:rPr>
                    <w:t>Local</w:t>
                  </w:r>
                  <w:r>
                    <w:rPr>
                      <w:color w:val="000000"/>
                      <w:spacing w:val="-7"/>
                    </w:rPr>
                    <w:t xml:space="preserve"> </w:t>
                  </w:r>
                  <w:r>
                    <w:rPr>
                      <w:color w:val="000000"/>
                    </w:rPr>
                    <w:t>decision-making</w:t>
                  </w:r>
                  <w:r>
                    <w:rPr>
                      <w:color w:val="000000"/>
                      <w:spacing w:val="-7"/>
                    </w:rPr>
                    <w:t xml:space="preserve"> </w:t>
                  </w:r>
                  <w:r>
                    <w:rPr>
                      <w:color w:val="000000"/>
                    </w:rPr>
                    <w:t>about</w:t>
                  </w:r>
                  <w:r>
                    <w:rPr>
                      <w:color w:val="000000"/>
                      <w:spacing w:val="-7"/>
                    </w:rPr>
                    <w:t xml:space="preserve"> </w:t>
                  </w:r>
                  <w:r>
                    <w:rPr>
                      <w:color w:val="000000"/>
                    </w:rPr>
                    <w:t>minor</w:t>
                  </w:r>
                  <w:r>
                    <w:rPr>
                      <w:color w:val="000000"/>
                      <w:spacing w:val="-7"/>
                    </w:rPr>
                    <w:t xml:space="preserve"> </w:t>
                  </w:r>
                  <w:r>
                    <w:rPr>
                      <w:color w:val="000000"/>
                    </w:rPr>
                    <w:t>capital</w:t>
                  </w:r>
                  <w:r>
                    <w:rPr>
                      <w:color w:val="000000"/>
                      <w:spacing w:val="-7"/>
                    </w:rPr>
                    <w:t xml:space="preserve"> </w:t>
                  </w:r>
                  <w:r>
                    <w:rPr>
                      <w:color w:val="000000"/>
                    </w:rPr>
                    <w:t xml:space="preserve">works </w:t>
                  </w:r>
                  <w:r>
                    <w:rPr>
                      <w:color w:val="000000"/>
                      <w:w w:val="95"/>
                    </w:rPr>
                    <w:t xml:space="preserve">and infrastructure priorities will help to rapidly bring </w:t>
                  </w:r>
                  <w:r>
                    <w:rPr>
                      <w:color w:val="000000"/>
                    </w:rPr>
                    <w:t>NSW</w:t>
                  </w:r>
                  <w:r>
                    <w:rPr>
                      <w:color w:val="000000"/>
                      <w:spacing w:val="-13"/>
                    </w:rPr>
                    <w:t xml:space="preserve"> </w:t>
                  </w:r>
                  <w:r>
                    <w:rPr>
                      <w:color w:val="000000"/>
                    </w:rPr>
                    <w:t>schools</w:t>
                  </w:r>
                  <w:r>
                    <w:rPr>
                      <w:color w:val="000000"/>
                      <w:spacing w:val="-13"/>
                    </w:rPr>
                    <w:t xml:space="preserve"> </w:t>
                  </w:r>
                  <w:r>
                    <w:rPr>
                      <w:color w:val="000000"/>
                    </w:rPr>
                    <w:t>up</w:t>
                  </w:r>
                  <w:r>
                    <w:rPr>
                      <w:color w:val="000000"/>
                      <w:spacing w:val="-13"/>
                    </w:rPr>
                    <w:t xml:space="preserve"> </w:t>
                  </w:r>
                  <w:r>
                    <w:rPr>
                      <w:color w:val="000000"/>
                    </w:rPr>
                    <w:t>to</w:t>
                  </w:r>
                  <w:r>
                    <w:rPr>
                      <w:color w:val="000000"/>
                      <w:spacing w:val="-13"/>
                    </w:rPr>
                    <w:t xml:space="preserve"> </w:t>
                  </w:r>
                  <w:r>
                    <w:rPr>
                      <w:color w:val="000000"/>
                    </w:rPr>
                    <w:t>the</w:t>
                  </w:r>
                  <w:r>
                    <w:rPr>
                      <w:color w:val="000000"/>
                      <w:spacing w:val="-13"/>
                    </w:rPr>
                    <w:t xml:space="preserve"> </w:t>
                  </w:r>
                  <w:r>
                    <w:rPr>
                      <w:color w:val="000000"/>
                    </w:rPr>
                    <w:t>new</w:t>
                  </w:r>
                  <w:r>
                    <w:rPr>
                      <w:color w:val="000000"/>
                      <w:spacing w:val="-13"/>
                    </w:rPr>
                    <w:t xml:space="preserve"> </w:t>
                  </w:r>
                  <w:r>
                    <w:rPr>
                      <w:color w:val="000000"/>
                    </w:rPr>
                    <w:t>national</w:t>
                  </w:r>
                  <w:r>
                    <w:rPr>
                      <w:color w:val="000000"/>
                      <w:spacing w:val="-13"/>
                    </w:rPr>
                    <w:t xml:space="preserve"> </w:t>
                  </w:r>
                  <w:r>
                    <w:rPr>
                      <w:color w:val="000000"/>
                    </w:rPr>
                    <w:t xml:space="preserve">minimum </w:t>
                  </w:r>
                  <w:r>
                    <w:rPr>
                      <w:color w:val="000000"/>
                      <w:w w:val="95"/>
                    </w:rPr>
                    <w:t>standard. School principals and TAFE directors will have</w:t>
                  </w:r>
                  <w:r>
                    <w:rPr>
                      <w:color w:val="000000"/>
                      <w:spacing w:val="-10"/>
                      <w:w w:val="95"/>
                    </w:rPr>
                    <w:t xml:space="preserve"> </w:t>
                  </w:r>
                  <w:r>
                    <w:rPr>
                      <w:color w:val="000000"/>
                      <w:w w:val="95"/>
                    </w:rPr>
                    <w:t>authority</w:t>
                  </w:r>
                  <w:r>
                    <w:rPr>
                      <w:color w:val="000000"/>
                      <w:spacing w:val="-10"/>
                      <w:w w:val="95"/>
                    </w:rPr>
                    <w:t xml:space="preserve"> </w:t>
                  </w:r>
                  <w:r>
                    <w:rPr>
                      <w:color w:val="000000"/>
                      <w:w w:val="95"/>
                    </w:rPr>
                    <w:t>to</w:t>
                  </w:r>
                  <w:r>
                    <w:rPr>
                      <w:color w:val="000000"/>
                      <w:spacing w:val="-10"/>
                      <w:w w:val="95"/>
                    </w:rPr>
                    <w:t xml:space="preserve"> </w:t>
                  </w:r>
                  <w:r>
                    <w:rPr>
                      <w:color w:val="000000"/>
                      <w:w w:val="95"/>
                    </w:rPr>
                    <w:t>prioritise</w:t>
                  </w:r>
                  <w:r>
                    <w:rPr>
                      <w:color w:val="000000"/>
                      <w:spacing w:val="-10"/>
                      <w:w w:val="95"/>
                    </w:rPr>
                    <w:t xml:space="preserve"> </w:t>
                  </w:r>
                  <w:r>
                    <w:rPr>
                      <w:color w:val="000000"/>
                      <w:w w:val="95"/>
                    </w:rPr>
                    <w:t>work</w:t>
                  </w:r>
                  <w:r>
                    <w:rPr>
                      <w:color w:val="000000"/>
                      <w:spacing w:val="-10"/>
                      <w:w w:val="95"/>
                    </w:rPr>
                    <w:t xml:space="preserve"> </w:t>
                  </w:r>
                  <w:r>
                    <w:rPr>
                      <w:color w:val="000000"/>
                      <w:w w:val="95"/>
                    </w:rPr>
                    <w:t>to</w:t>
                  </w:r>
                  <w:r>
                    <w:rPr>
                      <w:color w:val="000000"/>
                      <w:spacing w:val="-10"/>
                      <w:w w:val="95"/>
                    </w:rPr>
                    <w:t xml:space="preserve"> </w:t>
                  </w:r>
                  <w:r>
                    <w:rPr>
                      <w:color w:val="000000"/>
                      <w:w w:val="95"/>
                    </w:rPr>
                    <w:t>meet</w:t>
                  </w:r>
                  <w:r>
                    <w:rPr>
                      <w:color w:val="000000"/>
                      <w:spacing w:val="-10"/>
                      <w:w w:val="95"/>
                    </w:rPr>
                    <w:t xml:space="preserve"> </w:t>
                  </w:r>
                  <w:r>
                    <w:rPr>
                      <w:color w:val="000000"/>
                      <w:w w:val="95"/>
                    </w:rPr>
                    <w:t>local</w:t>
                  </w:r>
                  <w:r>
                    <w:rPr>
                      <w:color w:val="000000"/>
                      <w:spacing w:val="-10"/>
                      <w:w w:val="95"/>
                    </w:rPr>
                    <w:t xml:space="preserve"> </w:t>
                  </w:r>
                  <w:r>
                    <w:rPr>
                      <w:color w:val="000000"/>
                      <w:w w:val="95"/>
                    </w:rPr>
                    <w:t>needs.</w:t>
                  </w:r>
                </w:p>
              </w:txbxContent>
            </v:textbox>
            <w10:wrap anchorx="page"/>
          </v:shape>
        </w:pict>
      </w:r>
      <w:r w:rsidR="00F22F94">
        <w:rPr>
          <w:color w:val="00AEEF"/>
          <w:w w:val="95"/>
        </w:rPr>
        <w:t>Education</w:t>
      </w:r>
      <w:r w:rsidR="00F22F94">
        <w:rPr>
          <w:color w:val="00AEEF"/>
          <w:spacing w:val="9"/>
        </w:rPr>
        <w:t xml:space="preserve"> </w:t>
      </w:r>
      <w:r w:rsidR="00F22F94">
        <w:rPr>
          <w:color w:val="00AEEF"/>
          <w:spacing w:val="-2"/>
          <w:w w:val="95"/>
        </w:rPr>
        <w:t>snapshot</w:t>
      </w:r>
    </w:p>
    <w:p w:rsidR="002C1123" w:rsidRDefault="00F22F94">
      <w:pPr>
        <w:pStyle w:val="BodyText"/>
        <w:spacing w:before="95" w:line="249" w:lineRule="auto"/>
        <w:ind w:left="5518"/>
      </w:pPr>
      <w:r>
        <w:rPr>
          <w:w w:val="95"/>
        </w:rPr>
        <w:t>The</w:t>
      </w:r>
      <w:r>
        <w:rPr>
          <w:spacing w:val="-7"/>
          <w:w w:val="95"/>
        </w:rPr>
        <w:t xml:space="preserve"> </w:t>
      </w:r>
      <w:r>
        <w:rPr>
          <w:w w:val="95"/>
        </w:rPr>
        <w:t>NSW</w:t>
      </w:r>
      <w:r>
        <w:rPr>
          <w:spacing w:val="-7"/>
          <w:w w:val="95"/>
        </w:rPr>
        <w:t xml:space="preserve"> </w:t>
      </w:r>
      <w:r>
        <w:rPr>
          <w:w w:val="95"/>
        </w:rPr>
        <w:t>Government</w:t>
      </w:r>
      <w:r>
        <w:rPr>
          <w:spacing w:val="-7"/>
          <w:w w:val="95"/>
        </w:rPr>
        <w:t xml:space="preserve"> </w:t>
      </w:r>
      <w:r>
        <w:rPr>
          <w:w w:val="95"/>
        </w:rPr>
        <w:t>provides</w:t>
      </w:r>
      <w:r>
        <w:rPr>
          <w:spacing w:val="-7"/>
          <w:w w:val="95"/>
        </w:rPr>
        <w:t xml:space="preserve"> </w:t>
      </w:r>
      <w:r>
        <w:rPr>
          <w:w w:val="95"/>
        </w:rPr>
        <w:t>teaching</w:t>
      </w:r>
      <w:r>
        <w:rPr>
          <w:spacing w:val="-7"/>
          <w:w w:val="95"/>
        </w:rPr>
        <w:t xml:space="preserve"> </w:t>
      </w:r>
      <w:r>
        <w:rPr>
          <w:w w:val="95"/>
        </w:rPr>
        <w:t>and</w:t>
      </w:r>
      <w:r>
        <w:rPr>
          <w:spacing w:val="-7"/>
          <w:w w:val="95"/>
        </w:rPr>
        <w:t xml:space="preserve"> </w:t>
      </w:r>
      <w:r>
        <w:rPr>
          <w:w w:val="95"/>
        </w:rPr>
        <w:t>learning</w:t>
      </w:r>
      <w:r>
        <w:rPr>
          <w:spacing w:val="-7"/>
          <w:w w:val="95"/>
        </w:rPr>
        <w:t xml:space="preserve"> </w:t>
      </w:r>
      <w:r>
        <w:rPr>
          <w:w w:val="95"/>
        </w:rPr>
        <w:t xml:space="preserve">to </w:t>
      </w:r>
      <w:r>
        <w:t>over 1.4 million students.</w:t>
      </w:r>
    </w:p>
    <w:p w:rsidR="002C1123" w:rsidRDefault="00F22F94">
      <w:pPr>
        <w:pStyle w:val="ListParagraph"/>
        <w:numPr>
          <w:ilvl w:val="3"/>
          <w:numId w:val="39"/>
        </w:numPr>
        <w:tabs>
          <w:tab w:val="left" w:pos="5803"/>
        </w:tabs>
        <w:spacing w:before="131" w:line="249" w:lineRule="auto"/>
        <w:ind w:right="373"/>
        <w:rPr>
          <w:sz w:val="20"/>
        </w:rPr>
      </w:pPr>
      <w:r>
        <w:rPr>
          <w:w w:val="95"/>
          <w:sz w:val="20"/>
        </w:rPr>
        <w:t>the</w:t>
      </w:r>
      <w:r>
        <w:rPr>
          <w:spacing w:val="-11"/>
          <w:w w:val="95"/>
          <w:sz w:val="20"/>
        </w:rPr>
        <w:t xml:space="preserve"> </w:t>
      </w:r>
      <w:r>
        <w:rPr>
          <w:w w:val="95"/>
          <w:sz w:val="20"/>
        </w:rPr>
        <w:t>NSW</w:t>
      </w:r>
      <w:r>
        <w:rPr>
          <w:spacing w:val="-11"/>
          <w:w w:val="95"/>
          <w:sz w:val="20"/>
        </w:rPr>
        <w:t xml:space="preserve"> </w:t>
      </w:r>
      <w:r>
        <w:rPr>
          <w:w w:val="95"/>
          <w:sz w:val="20"/>
        </w:rPr>
        <w:t>Government</w:t>
      </w:r>
      <w:r>
        <w:rPr>
          <w:spacing w:val="-11"/>
          <w:w w:val="95"/>
          <w:sz w:val="20"/>
        </w:rPr>
        <w:t xml:space="preserve"> </w:t>
      </w:r>
      <w:r>
        <w:rPr>
          <w:w w:val="95"/>
          <w:sz w:val="20"/>
        </w:rPr>
        <w:t>has</w:t>
      </w:r>
      <w:r>
        <w:rPr>
          <w:spacing w:val="-11"/>
          <w:w w:val="95"/>
          <w:sz w:val="20"/>
        </w:rPr>
        <w:t xml:space="preserve"> </w:t>
      </w:r>
      <w:r>
        <w:rPr>
          <w:w w:val="95"/>
          <w:sz w:val="20"/>
        </w:rPr>
        <w:t>$21</w:t>
      </w:r>
      <w:r>
        <w:rPr>
          <w:spacing w:val="-11"/>
          <w:w w:val="95"/>
          <w:sz w:val="20"/>
        </w:rPr>
        <w:t xml:space="preserve"> </w:t>
      </w:r>
      <w:r>
        <w:rPr>
          <w:w w:val="95"/>
          <w:sz w:val="20"/>
        </w:rPr>
        <w:t>billion</w:t>
      </w:r>
      <w:r>
        <w:rPr>
          <w:w w:val="95"/>
          <w:position w:val="7"/>
          <w:sz w:val="11"/>
        </w:rPr>
        <w:t>1</w:t>
      </w:r>
      <w:r>
        <w:rPr>
          <w:spacing w:val="12"/>
          <w:position w:val="7"/>
          <w:sz w:val="11"/>
        </w:rPr>
        <w:t xml:space="preserve"> </w:t>
      </w:r>
      <w:r>
        <w:rPr>
          <w:w w:val="95"/>
          <w:sz w:val="20"/>
        </w:rPr>
        <w:t>invested</w:t>
      </w:r>
      <w:r>
        <w:rPr>
          <w:spacing w:val="-11"/>
          <w:w w:val="95"/>
          <w:sz w:val="20"/>
        </w:rPr>
        <w:t xml:space="preserve"> </w:t>
      </w:r>
      <w:r>
        <w:rPr>
          <w:w w:val="95"/>
          <w:sz w:val="20"/>
        </w:rPr>
        <w:t xml:space="preserve">in </w:t>
      </w:r>
      <w:r>
        <w:rPr>
          <w:sz w:val="20"/>
        </w:rPr>
        <w:t>public education infrastructure.</w:t>
      </w:r>
    </w:p>
    <w:p w:rsidR="002C1123" w:rsidRDefault="00F22F94">
      <w:pPr>
        <w:pStyle w:val="ListParagraph"/>
        <w:numPr>
          <w:ilvl w:val="4"/>
          <w:numId w:val="39"/>
        </w:numPr>
        <w:tabs>
          <w:tab w:val="left" w:pos="6086"/>
        </w:tabs>
        <w:spacing w:before="143" w:line="249" w:lineRule="auto"/>
        <w:ind w:right="194"/>
        <w:rPr>
          <w:sz w:val="20"/>
        </w:rPr>
      </w:pPr>
      <w:r>
        <w:rPr>
          <w:w w:val="95"/>
          <w:sz w:val="20"/>
        </w:rPr>
        <w:t xml:space="preserve">66 percent of NSW’s school student population </w:t>
      </w:r>
      <w:r>
        <w:rPr>
          <w:spacing w:val="-2"/>
          <w:sz w:val="20"/>
        </w:rPr>
        <w:t>attends</w:t>
      </w:r>
      <w:r>
        <w:rPr>
          <w:spacing w:val="-6"/>
          <w:sz w:val="20"/>
        </w:rPr>
        <w:t xml:space="preserve"> </w:t>
      </w:r>
      <w:r>
        <w:rPr>
          <w:spacing w:val="-2"/>
          <w:sz w:val="20"/>
        </w:rPr>
        <w:t>Government</w:t>
      </w:r>
      <w:r>
        <w:rPr>
          <w:spacing w:val="-6"/>
          <w:sz w:val="20"/>
        </w:rPr>
        <w:t xml:space="preserve"> </w:t>
      </w:r>
      <w:r>
        <w:rPr>
          <w:spacing w:val="-2"/>
          <w:sz w:val="20"/>
        </w:rPr>
        <w:t>schools</w:t>
      </w:r>
      <w:r>
        <w:rPr>
          <w:spacing w:val="-6"/>
          <w:sz w:val="20"/>
        </w:rPr>
        <w:t xml:space="preserve"> </w:t>
      </w:r>
      <w:r>
        <w:rPr>
          <w:spacing w:val="-2"/>
          <w:sz w:val="20"/>
        </w:rPr>
        <w:t>(around</w:t>
      </w:r>
      <w:r>
        <w:rPr>
          <w:spacing w:val="-6"/>
          <w:sz w:val="20"/>
        </w:rPr>
        <w:t xml:space="preserve"> </w:t>
      </w:r>
      <w:r>
        <w:rPr>
          <w:spacing w:val="-2"/>
          <w:sz w:val="20"/>
        </w:rPr>
        <w:t>800,000 students).</w:t>
      </w:r>
    </w:p>
    <w:p w:rsidR="002C1123" w:rsidRDefault="00F22F94">
      <w:pPr>
        <w:pStyle w:val="ListParagraph"/>
        <w:numPr>
          <w:ilvl w:val="4"/>
          <w:numId w:val="39"/>
        </w:numPr>
        <w:tabs>
          <w:tab w:val="left" w:pos="6086"/>
        </w:tabs>
        <w:spacing w:before="144" w:line="249" w:lineRule="auto"/>
        <w:ind w:right="373"/>
        <w:rPr>
          <w:sz w:val="20"/>
        </w:rPr>
      </w:pPr>
      <w:r>
        <w:rPr>
          <w:w w:val="95"/>
          <w:sz w:val="20"/>
        </w:rPr>
        <w:t>TAFE</w:t>
      </w:r>
      <w:r>
        <w:rPr>
          <w:spacing w:val="-9"/>
          <w:w w:val="95"/>
          <w:sz w:val="20"/>
        </w:rPr>
        <w:t xml:space="preserve"> </w:t>
      </w:r>
      <w:r>
        <w:rPr>
          <w:w w:val="95"/>
          <w:sz w:val="20"/>
        </w:rPr>
        <w:t>delivers</w:t>
      </w:r>
      <w:r>
        <w:rPr>
          <w:spacing w:val="-9"/>
          <w:w w:val="95"/>
          <w:sz w:val="20"/>
        </w:rPr>
        <w:t xml:space="preserve"> </w:t>
      </w:r>
      <w:r>
        <w:rPr>
          <w:w w:val="95"/>
          <w:sz w:val="20"/>
        </w:rPr>
        <w:t>around</w:t>
      </w:r>
      <w:r>
        <w:rPr>
          <w:spacing w:val="-9"/>
          <w:w w:val="95"/>
          <w:sz w:val="20"/>
        </w:rPr>
        <w:t xml:space="preserve"> </w:t>
      </w:r>
      <w:r>
        <w:rPr>
          <w:w w:val="95"/>
          <w:sz w:val="20"/>
        </w:rPr>
        <w:t>two</w:t>
      </w:r>
      <w:r>
        <w:rPr>
          <w:spacing w:val="-9"/>
          <w:w w:val="95"/>
          <w:sz w:val="20"/>
        </w:rPr>
        <w:t xml:space="preserve"> </w:t>
      </w:r>
      <w:r>
        <w:rPr>
          <w:w w:val="95"/>
          <w:sz w:val="20"/>
        </w:rPr>
        <w:t>thirds</w:t>
      </w:r>
      <w:r>
        <w:rPr>
          <w:spacing w:val="-9"/>
          <w:w w:val="95"/>
          <w:sz w:val="20"/>
        </w:rPr>
        <w:t xml:space="preserve"> </w:t>
      </w:r>
      <w:r>
        <w:rPr>
          <w:w w:val="95"/>
          <w:sz w:val="20"/>
        </w:rPr>
        <w:t>of</w:t>
      </w:r>
      <w:r>
        <w:rPr>
          <w:spacing w:val="-9"/>
          <w:w w:val="95"/>
          <w:sz w:val="20"/>
        </w:rPr>
        <w:t xml:space="preserve"> </w:t>
      </w:r>
      <w:r>
        <w:rPr>
          <w:w w:val="95"/>
          <w:sz w:val="20"/>
        </w:rPr>
        <w:t>accredited training in NSW to around 600,000 students.</w:t>
      </w:r>
    </w:p>
    <w:p w:rsidR="002C1123" w:rsidRDefault="00F22F94">
      <w:pPr>
        <w:pStyle w:val="ListParagraph"/>
        <w:numPr>
          <w:ilvl w:val="3"/>
          <w:numId w:val="39"/>
        </w:numPr>
        <w:tabs>
          <w:tab w:val="left" w:pos="5803"/>
        </w:tabs>
        <w:spacing w:before="131" w:line="249" w:lineRule="auto"/>
        <w:ind w:right="204"/>
        <w:rPr>
          <w:sz w:val="20"/>
        </w:rPr>
      </w:pPr>
      <w:r>
        <w:rPr>
          <w:w w:val="95"/>
          <w:sz w:val="20"/>
        </w:rPr>
        <w:t>these</w:t>
      </w:r>
      <w:r>
        <w:rPr>
          <w:spacing w:val="-1"/>
          <w:w w:val="95"/>
          <w:sz w:val="20"/>
        </w:rPr>
        <w:t xml:space="preserve"> </w:t>
      </w:r>
      <w:r>
        <w:rPr>
          <w:w w:val="95"/>
          <w:sz w:val="20"/>
        </w:rPr>
        <w:t>services</w:t>
      </w:r>
      <w:r>
        <w:rPr>
          <w:spacing w:val="-1"/>
          <w:w w:val="95"/>
          <w:sz w:val="20"/>
        </w:rPr>
        <w:t xml:space="preserve"> </w:t>
      </w:r>
      <w:r>
        <w:rPr>
          <w:w w:val="95"/>
          <w:sz w:val="20"/>
        </w:rPr>
        <w:t>are</w:t>
      </w:r>
      <w:r>
        <w:rPr>
          <w:spacing w:val="-1"/>
          <w:w w:val="95"/>
          <w:sz w:val="20"/>
        </w:rPr>
        <w:t xml:space="preserve"> </w:t>
      </w:r>
      <w:r>
        <w:rPr>
          <w:w w:val="95"/>
          <w:sz w:val="20"/>
        </w:rPr>
        <w:t>provided</w:t>
      </w:r>
      <w:r>
        <w:rPr>
          <w:spacing w:val="-1"/>
          <w:w w:val="95"/>
          <w:sz w:val="20"/>
        </w:rPr>
        <w:t xml:space="preserve"> </w:t>
      </w:r>
      <w:r>
        <w:rPr>
          <w:w w:val="95"/>
          <w:sz w:val="20"/>
        </w:rPr>
        <w:t>through</w:t>
      </w:r>
      <w:r>
        <w:rPr>
          <w:spacing w:val="-1"/>
          <w:w w:val="95"/>
          <w:sz w:val="20"/>
        </w:rPr>
        <w:t xml:space="preserve"> </w:t>
      </w:r>
      <w:r>
        <w:rPr>
          <w:w w:val="95"/>
          <w:sz w:val="20"/>
        </w:rPr>
        <w:t>2,234</w:t>
      </w:r>
      <w:r>
        <w:rPr>
          <w:spacing w:val="-1"/>
          <w:w w:val="95"/>
          <w:sz w:val="20"/>
        </w:rPr>
        <w:t xml:space="preserve"> </w:t>
      </w:r>
      <w:r>
        <w:rPr>
          <w:w w:val="95"/>
          <w:sz w:val="20"/>
        </w:rPr>
        <w:t xml:space="preserve">schools </w:t>
      </w:r>
      <w:r>
        <w:rPr>
          <w:spacing w:val="-2"/>
          <w:sz w:val="20"/>
        </w:rPr>
        <w:t>and</w:t>
      </w:r>
      <w:r>
        <w:rPr>
          <w:spacing w:val="-13"/>
          <w:sz w:val="20"/>
        </w:rPr>
        <w:t xml:space="preserve"> </w:t>
      </w:r>
      <w:r>
        <w:rPr>
          <w:spacing w:val="-2"/>
          <w:sz w:val="20"/>
        </w:rPr>
        <w:t>130</w:t>
      </w:r>
      <w:r>
        <w:rPr>
          <w:spacing w:val="-13"/>
          <w:sz w:val="20"/>
        </w:rPr>
        <w:t xml:space="preserve"> </w:t>
      </w:r>
      <w:r>
        <w:rPr>
          <w:spacing w:val="-2"/>
          <w:sz w:val="20"/>
        </w:rPr>
        <w:t>TAFE</w:t>
      </w:r>
      <w:r>
        <w:rPr>
          <w:spacing w:val="-13"/>
          <w:sz w:val="20"/>
        </w:rPr>
        <w:t xml:space="preserve"> </w:t>
      </w:r>
      <w:r>
        <w:rPr>
          <w:spacing w:val="-2"/>
          <w:sz w:val="20"/>
        </w:rPr>
        <w:t>campuses,</w:t>
      </w:r>
      <w:r>
        <w:rPr>
          <w:spacing w:val="-13"/>
          <w:sz w:val="20"/>
        </w:rPr>
        <w:t xml:space="preserve"> </w:t>
      </w:r>
      <w:r>
        <w:rPr>
          <w:spacing w:val="-2"/>
          <w:sz w:val="20"/>
        </w:rPr>
        <w:t>accommodated</w:t>
      </w:r>
      <w:r>
        <w:rPr>
          <w:spacing w:val="-13"/>
          <w:sz w:val="20"/>
        </w:rPr>
        <w:t xml:space="preserve"> </w:t>
      </w:r>
      <w:r>
        <w:rPr>
          <w:spacing w:val="-2"/>
          <w:sz w:val="20"/>
        </w:rPr>
        <w:t>in</w:t>
      </w:r>
      <w:r>
        <w:rPr>
          <w:spacing w:val="-13"/>
          <w:sz w:val="20"/>
        </w:rPr>
        <w:t xml:space="preserve"> </w:t>
      </w:r>
      <w:r>
        <w:rPr>
          <w:spacing w:val="-2"/>
          <w:sz w:val="20"/>
        </w:rPr>
        <w:t xml:space="preserve">over </w:t>
      </w:r>
      <w:r>
        <w:rPr>
          <w:sz w:val="20"/>
        </w:rPr>
        <w:t>26,000</w:t>
      </w:r>
      <w:r>
        <w:rPr>
          <w:spacing w:val="-11"/>
          <w:sz w:val="20"/>
        </w:rPr>
        <w:t xml:space="preserve"> </w:t>
      </w:r>
      <w:r>
        <w:rPr>
          <w:sz w:val="20"/>
        </w:rPr>
        <w:t>buildings.</w:t>
      </w:r>
    </w:p>
    <w:p w:rsidR="002C1123" w:rsidRDefault="00F22F94">
      <w:pPr>
        <w:pStyle w:val="ListParagraph"/>
        <w:numPr>
          <w:ilvl w:val="3"/>
          <w:numId w:val="39"/>
        </w:numPr>
        <w:tabs>
          <w:tab w:val="left" w:pos="5803"/>
        </w:tabs>
        <w:spacing w:before="131" w:line="249" w:lineRule="auto"/>
        <w:ind w:right="431"/>
        <w:rPr>
          <w:sz w:val="20"/>
        </w:rPr>
      </w:pPr>
      <w:r>
        <w:rPr>
          <w:sz w:val="20"/>
        </w:rPr>
        <w:t>investment</w:t>
      </w:r>
      <w:r>
        <w:rPr>
          <w:spacing w:val="-10"/>
          <w:sz w:val="20"/>
        </w:rPr>
        <w:t xml:space="preserve"> </w:t>
      </w:r>
      <w:r>
        <w:rPr>
          <w:sz w:val="20"/>
        </w:rPr>
        <w:t>in</w:t>
      </w:r>
      <w:r>
        <w:rPr>
          <w:spacing w:val="-10"/>
          <w:sz w:val="20"/>
        </w:rPr>
        <w:t xml:space="preserve"> </w:t>
      </w:r>
      <w:r>
        <w:rPr>
          <w:sz w:val="20"/>
        </w:rPr>
        <w:t>education</w:t>
      </w:r>
      <w:r>
        <w:rPr>
          <w:spacing w:val="-10"/>
          <w:sz w:val="20"/>
        </w:rPr>
        <w:t xml:space="preserve"> </w:t>
      </w:r>
      <w:r>
        <w:rPr>
          <w:sz w:val="20"/>
        </w:rPr>
        <w:t>infrastructure</w:t>
      </w:r>
      <w:r>
        <w:rPr>
          <w:spacing w:val="-10"/>
          <w:sz w:val="20"/>
        </w:rPr>
        <w:t xml:space="preserve"> </w:t>
      </w:r>
      <w:r>
        <w:rPr>
          <w:sz w:val="20"/>
        </w:rPr>
        <w:t>in</w:t>
      </w:r>
      <w:r>
        <w:rPr>
          <w:spacing w:val="-10"/>
          <w:sz w:val="20"/>
        </w:rPr>
        <w:t xml:space="preserve"> </w:t>
      </w:r>
      <w:r>
        <w:rPr>
          <w:sz w:val="20"/>
        </w:rPr>
        <w:t xml:space="preserve">the </w:t>
      </w:r>
      <w:r>
        <w:rPr>
          <w:w w:val="95"/>
          <w:sz w:val="20"/>
        </w:rPr>
        <w:t>past</w:t>
      </w:r>
      <w:r>
        <w:rPr>
          <w:spacing w:val="-5"/>
          <w:w w:val="95"/>
          <w:sz w:val="20"/>
        </w:rPr>
        <w:t xml:space="preserve"> </w:t>
      </w:r>
      <w:r>
        <w:rPr>
          <w:w w:val="95"/>
          <w:sz w:val="20"/>
        </w:rPr>
        <w:t>decade</w:t>
      </w:r>
      <w:r>
        <w:rPr>
          <w:spacing w:val="-5"/>
          <w:w w:val="95"/>
          <w:sz w:val="20"/>
        </w:rPr>
        <w:t xml:space="preserve"> </w:t>
      </w:r>
      <w:r>
        <w:rPr>
          <w:w w:val="95"/>
          <w:sz w:val="20"/>
        </w:rPr>
        <w:t>was</w:t>
      </w:r>
      <w:r>
        <w:rPr>
          <w:spacing w:val="-5"/>
          <w:w w:val="95"/>
          <w:sz w:val="20"/>
        </w:rPr>
        <w:t xml:space="preserve"> </w:t>
      </w:r>
      <w:r>
        <w:rPr>
          <w:w w:val="95"/>
          <w:sz w:val="20"/>
        </w:rPr>
        <w:t>driven</w:t>
      </w:r>
      <w:r>
        <w:rPr>
          <w:spacing w:val="-5"/>
          <w:w w:val="95"/>
          <w:sz w:val="20"/>
        </w:rPr>
        <w:t xml:space="preserve"> </w:t>
      </w:r>
      <w:r>
        <w:rPr>
          <w:w w:val="95"/>
          <w:sz w:val="20"/>
        </w:rPr>
        <w:t>by</w:t>
      </w:r>
      <w:r>
        <w:rPr>
          <w:spacing w:val="-5"/>
          <w:w w:val="95"/>
          <w:sz w:val="20"/>
        </w:rPr>
        <w:t xml:space="preserve"> </w:t>
      </w:r>
      <w:r>
        <w:rPr>
          <w:w w:val="95"/>
          <w:sz w:val="20"/>
        </w:rPr>
        <w:t>changing</w:t>
      </w:r>
      <w:r>
        <w:rPr>
          <w:spacing w:val="-5"/>
          <w:w w:val="95"/>
          <w:sz w:val="20"/>
        </w:rPr>
        <w:t xml:space="preserve"> </w:t>
      </w:r>
      <w:r>
        <w:rPr>
          <w:w w:val="95"/>
          <w:sz w:val="20"/>
        </w:rPr>
        <w:t>class</w:t>
      </w:r>
      <w:r>
        <w:rPr>
          <w:spacing w:val="-5"/>
          <w:w w:val="95"/>
          <w:sz w:val="20"/>
        </w:rPr>
        <w:t xml:space="preserve"> </w:t>
      </w:r>
      <w:r>
        <w:rPr>
          <w:w w:val="95"/>
          <w:sz w:val="20"/>
        </w:rPr>
        <w:t xml:space="preserve">sizes and other policies; the school population did not </w:t>
      </w:r>
      <w:r>
        <w:rPr>
          <w:sz w:val="20"/>
        </w:rPr>
        <w:t>significantly</w:t>
      </w:r>
      <w:r>
        <w:rPr>
          <w:spacing w:val="-11"/>
          <w:sz w:val="20"/>
        </w:rPr>
        <w:t xml:space="preserve"> </w:t>
      </w:r>
      <w:r>
        <w:rPr>
          <w:sz w:val="20"/>
        </w:rPr>
        <w:t>grow.</w:t>
      </w:r>
    </w:p>
    <w:p w:rsidR="002C1123" w:rsidRDefault="00F22F94">
      <w:pPr>
        <w:pStyle w:val="ListParagraph"/>
        <w:numPr>
          <w:ilvl w:val="3"/>
          <w:numId w:val="39"/>
        </w:numPr>
        <w:tabs>
          <w:tab w:val="left" w:pos="5803"/>
        </w:tabs>
        <w:spacing w:before="132" w:line="249" w:lineRule="auto"/>
        <w:ind w:right="10"/>
        <w:jc w:val="both"/>
        <w:rPr>
          <w:sz w:val="20"/>
        </w:rPr>
      </w:pPr>
      <w:r>
        <w:rPr>
          <w:w w:val="95"/>
          <w:sz w:val="20"/>
        </w:rPr>
        <w:t>however, primary and secondary school populations are</w:t>
      </w:r>
      <w:r>
        <w:rPr>
          <w:spacing w:val="-2"/>
          <w:w w:val="95"/>
          <w:sz w:val="20"/>
        </w:rPr>
        <w:t xml:space="preserve"> </w:t>
      </w:r>
      <w:r>
        <w:rPr>
          <w:w w:val="95"/>
          <w:sz w:val="20"/>
        </w:rPr>
        <w:t>expected</w:t>
      </w:r>
      <w:r>
        <w:rPr>
          <w:spacing w:val="-2"/>
          <w:w w:val="95"/>
          <w:sz w:val="20"/>
        </w:rPr>
        <w:t xml:space="preserve"> </w:t>
      </w:r>
      <w:r>
        <w:rPr>
          <w:w w:val="95"/>
          <w:sz w:val="20"/>
        </w:rPr>
        <w:t>to</w:t>
      </w:r>
      <w:r>
        <w:rPr>
          <w:spacing w:val="-2"/>
          <w:w w:val="95"/>
          <w:sz w:val="20"/>
        </w:rPr>
        <w:t xml:space="preserve"> </w:t>
      </w:r>
      <w:r>
        <w:rPr>
          <w:w w:val="95"/>
          <w:sz w:val="20"/>
        </w:rPr>
        <w:t>grow,</w:t>
      </w:r>
      <w:r>
        <w:rPr>
          <w:spacing w:val="-2"/>
          <w:w w:val="95"/>
          <w:sz w:val="20"/>
        </w:rPr>
        <w:t xml:space="preserve"> </w:t>
      </w:r>
      <w:r>
        <w:rPr>
          <w:w w:val="95"/>
          <w:sz w:val="20"/>
        </w:rPr>
        <w:t>with</w:t>
      </w:r>
      <w:r>
        <w:rPr>
          <w:spacing w:val="-2"/>
          <w:w w:val="95"/>
          <w:sz w:val="20"/>
        </w:rPr>
        <w:t xml:space="preserve"> </w:t>
      </w:r>
      <w:r>
        <w:rPr>
          <w:w w:val="95"/>
          <w:sz w:val="20"/>
        </w:rPr>
        <w:t>over</w:t>
      </w:r>
      <w:r>
        <w:rPr>
          <w:spacing w:val="-2"/>
          <w:w w:val="95"/>
          <w:sz w:val="20"/>
        </w:rPr>
        <w:t xml:space="preserve"> </w:t>
      </w:r>
      <w:r>
        <w:rPr>
          <w:w w:val="95"/>
          <w:sz w:val="20"/>
        </w:rPr>
        <w:t>70,000</w:t>
      </w:r>
      <w:r>
        <w:rPr>
          <w:spacing w:val="-2"/>
          <w:w w:val="95"/>
          <w:sz w:val="20"/>
        </w:rPr>
        <w:t xml:space="preserve"> </w:t>
      </w:r>
      <w:r>
        <w:rPr>
          <w:w w:val="95"/>
          <w:sz w:val="20"/>
        </w:rPr>
        <w:t>new</w:t>
      </w:r>
      <w:r>
        <w:rPr>
          <w:spacing w:val="-2"/>
          <w:w w:val="95"/>
          <w:sz w:val="20"/>
        </w:rPr>
        <w:t xml:space="preserve"> </w:t>
      </w:r>
      <w:r>
        <w:rPr>
          <w:w w:val="95"/>
          <w:sz w:val="20"/>
        </w:rPr>
        <w:t xml:space="preserve">students </w:t>
      </w:r>
      <w:r>
        <w:rPr>
          <w:sz w:val="20"/>
        </w:rPr>
        <w:t>in the next 10 years.</w:t>
      </w:r>
    </w:p>
    <w:p w:rsidR="002C1123" w:rsidRDefault="00F22F94">
      <w:pPr>
        <w:pStyle w:val="ListParagraph"/>
        <w:numPr>
          <w:ilvl w:val="3"/>
          <w:numId w:val="39"/>
        </w:numPr>
        <w:tabs>
          <w:tab w:val="left" w:pos="5803"/>
        </w:tabs>
        <w:spacing w:before="132" w:line="249" w:lineRule="auto"/>
        <w:ind w:right="322"/>
        <w:rPr>
          <w:sz w:val="20"/>
        </w:rPr>
      </w:pPr>
      <w:r>
        <w:rPr>
          <w:sz w:val="20"/>
        </w:rPr>
        <w:t>TAFE</w:t>
      </w:r>
      <w:r>
        <w:rPr>
          <w:spacing w:val="-8"/>
          <w:sz w:val="20"/>
        </w:rPr>
        <w:t xml:space="preserve"> </w:t>
      </w:r>
      <w:r>
        <w:rPr>
          <w:sz w:val="20"/>
        </w:rPr>
        <w:t>demand</w:t>
      </w:r>
      <w:r>
        <w:rPr>
          <w:spacing w:val="-8"/>
          <w:sz w:val="20"/>
        </w:rPr>
        <w:t xml:space="preserve"> </w:t>
      </w:r>
      <w:r>
        <w:rPr>
          <w:sz w:val="20"/>
        </w:rPr>
        <w:t>is</w:t>
      </w:r>
      <w:r>
        <w:rPr>
          <w:spacing w:val="-8"/>
          <w:sz w:val="20"/>
        </w:rPr>
        <w:t xml:space="preserve"> </w:t>
      </w:r>
      <w:r>
        <w:rPr>
          <w:sz w:val="20"/>
        </w:rPr>
        <w:t>not</w:t>
      </w:r>
      <w:r>
        <w:rPr>
          <w:spacing w:val="-8"/>
          <w:sz w:val="20"/>
        </w:rPr>
        <w:t xml:space="preserve"> </w:t>
      </w:r>
      <w:r>
        <w:rPr>
          <w:sz w:val="20"/>
        </w:rPr>
        <w:t>expected</w:t>
      </w:r>
      <w:r>
        <w:rPr>
          <w:spacing w:val="-8"/>
          <w:sz w:val="20"/>
        </w:rPr>
        <w:t xml:space="preserve"> </w:t>
      </w:r>
      <w:r>
        <w:rPr>
          <w:sz w:val="20"/>
        </w:rPr>
        <w:t>to</w:t>
      </w:r>
      <w:r>
        <w:rPr>
          <w:spacing w:val="-8"/>
          <w:sz w:val="20"/>
        </w:rPr>
        <w:t xml:space="preserve"> </w:t>
      </w:r>
      <w:r>
        <w:rPr>
          <w:sz w:val="20"/>
        </w:rPr>
        <w:t>grow</w:t>
      </w:r>
      <w:r>
        <w:rPr>
          <w:spacing w:val="-8"/>
          <w:sz w:val="20"/>
        </w:rPr>
        <w:t xml:space="preserve"> </w:t>
      </w:r>
      <w:r>
        <w:rPr>
          <w:sz w:val="20"/>
        </w:rPr>
        <w:t xml:space="preserve">as </w:t>
      </w:r>
      <w:r>
        <w:rPr>
          <w:w w:val="95"/>
          <w:sz w:val="20"/>
        </w:rPr>
        <w:t>vocational</w:t>
      </w:r>
      <w:r>
        <w:rPr>
          <w:spacing w:val="-10"/>
          <w:w w:val="95"/>
          <w:sz w:val="20"/>
        </w:rPr>
        <w:t xml:space="preserve"> </w:t>
      </w:r>
      <w:r>
        <w:rPr>
          <w:w w:val="95"/>
          <w:sz w:val="20"/>
        </w:rPr>
        <w:t>learning</w:t>
      </w:r>
      <w:r>
        <w:rPr>
          <w:spacing w:val="-10"/>
          <w:w w:val="95"/>
          <w:sz w:val="20"/>
        </w:rPr>
        <w:t xml:space="preserve"> </w:t>
      </w:r>
      <w:r>
        <w:rPr>
          <w:w w:val="95"/>
          <w:sz w:val="20"/>
        </w:rPr>
        <w:t>is</w:t>
      </w:r>
      <w:r>
        <w:rPr>
          <w:spacing w:val="-10"/>
          <w:w w:val="95"/>
          <w:sz w:val="20"/>
        </w:rPr>
        <w:t xml:space="preserve"> </w:t>
      </w:r>
      <w:r>
        <w:rPr>
          <w:w w:val="95"/>
          <w:sz w:val="20"/>
        </w:rPr>
        <w:t>increasingly</w:t>
      </w:r>
      <w:r>
        <w:rPr>
          <w:spacing w:val="-10"/>
          <w:w w:val="95"/>
          <w:sz w:val="20"/>
        </w:rPr>
        <w:t xml:space="preserve"> </w:t>
      </w:r>
      <w:r>
        <w:rPr>
          <w:w w:val="95"/>
          <w:sz w:val="20"/>
        </w:rPr>
        <w:t>provided</w:t>
      </w:r>
      <w:r>
        <w:rPr>
          <w:spacing w:val="-10"/>
          <w:w w:val="95"/>
          <w:sz w:val="20"/>
        </w:rPr>
        <w:t xml:space="preserve"> </w:t>
      </w:r>
      <w:r>
        <w:rPr>
          <w:w w:val="95"/>
          <w:sz w:val="20"/>
        </w:rPr>
        <w:t>by</w:t>
      </w:r>
      <w:r>
        <w:rPr>
          <w:spacing w:val="-10"/>
          <w:w w:val="95"/>
          <w:sz w:val="20"/>
        </w:rPr>
        <w:t xml:space="preserve"> </w:t>
      </w:r>
      <w:r>
        <w:rPr>
          <w:w w:val="95"/>
          <w:sz w:val="20"/>
        </w:rPr>
        <w:t xml:space="preserve">the </w:t>
      </w:r>
      <w:r>
        <w:rPr>
          <w:sz w:val="20"/>
        </w:rPr>
        <w:t>private</w:t>
      </w:r>
      <w:r>
        <w:rPr>
          <w:spacing w:val="-11"/>
          <w:sz w:val="20"/>
        </w:rPr>
        <w:t xml:space="preserve"> </w:t>
      </w:r>
      <w:r>
        <w:rPr>
          <w:sz w:val="20"/>
        </w:rPr>
        <w:t>market.</w:t>
      </w:r>
    </w:p>
    <w:p w:rsidR="002C1123" w:rsidRDefault="00F22F94">
      <w:pPr>
        <w:pStyle w:val="ListParagraph"/>
        <w:numPr>
          <w:ilvl w:val="3"/>
          <w:numId w:val="39"/>
        </w:numPr>
        <w:tabs>
          <w:tab w:val="left" w:pos="5803"/>
        </w:tabs>
        <w:spacing w:before="128" w:line="249" w:lineRule="auto"/>
        <w:ind w:right="185"/>
        <w:rPr>
          <w:sz w:val="20"/>
        </w:rPr>
      </w:pPr>
      <w:r>
        <w:rPr>
          <w:w w:val="95"/>
          <w:sz w:val="20"/>
        </w:rPr>
        <w:t>average</w:t>
      </w:r>
      <w:r>
        <w:rPr>
          <w:spacing w:val="-10"/>
          <w:w w:val="95"/>
          <w:sz w:val="20"/>
        </w:rPr>
        <w:t xml:space="preserve"> </w:t>
      </w:r>
      <w:r>
        <w:rPr>
          <w:w w:val="95"/>
          <w:sz w:val="20"/>
        </w:rPr>
        <w:t>expenditure</w:t>
      </w:r>
      <w:r>
        <w:rPr>
          <w:spacing w:val="-10"/>
          <w:w w:val="95"/>
          <w:sz w:val="20"/>
        </w:rPr>
        <w:t xml:space="preserve"> </w:t>
      </w:r>
      <w:r>
        <w:rPr>
          <w:w w:val="95"/>
          <w:sz w:val="20"/>
        </w:rPr>
        <w:t>by</w:t>
      </w:r>
      <w:r>
        <w:rPr>
          <w:spacing w:val="-10"/>
          <w:w w:val="95"/>
          <w:sz w:val="20"/>
        </w:rPr>
        <w:t xml:space="preserve"> </w:t>
      </w:r>
      <w:r>
        <w:rPr>
          <w:w w:val="95"/>
          <w:sz w:val="20"/>
        </w:rPr>
        <w:t>the</w:t>
      </w:r>
      <w:r>
        <w:rPr>
          <w:spacing w:val="-10"/>
          <w:w w:val="95"/>
          <w:sz w:val="20"/>
        </w:rPr>
        <w:t xml:space="preserve"> </w:t>
      </w:r>
      <w:r>
        <w:rPr>
          <w:w w:val="95"/>
          <w:sz w:val="20"/>
        </w:rPr>
        <w:t>NSW</w:t>
      </w:r>
      <w:r>
        <w:rPr>
          <w:spacing w:val="-10"/>
          <w:w w:val="95"/>
          <w:sz w:val="20"/>
        </w:rPr>
        <w:t xml:space="preserve"> </w:t>
      </w:r>
      <w:r>
        <w:rPr>
          <w:w w:val="95"/>
          <w:sz w:val="20"/>
        </w:rPr>
        <w:t>Government</w:t>
      </w:r>
      <w:r>
        <w:rPr>
          <w:spacing w:val="-10"/>
          <w:w w:val="95"/>
          <w:sz w:val="20"/>
        </w:rPr>
        <w:t xml:space="preserve"> </w:t>
      </w:r>
      <w:r>
        <w:rPr>
          <w:w w:val="95"/>
          <w:sz w:val="20"/>
        </w:rPr>
        <w:t xml:space="preserve">over </w:t>
      </w:r>
      <w:r>
        <w:rPr>
          <w:sz w:val="20"/>
        </w:rPr>
        <w:t>the</w:t>
      </w:r>
      <w:r>
        <w:rPr>
          <w:spacing w:val="-10"/>
          <w:sz w:val="20"/>
        </w:rPr>
        <w:t xml:space="preserve"> </w:t>
      </w:r>
      <w:r>
        <w:rPr>
          <w:sz w:val="20"/>
        </w:rPr>
        <w:t>past</w:t>
      </w:r>
      <w:r>
        <w:rPr>
          <w:spacing w:val="-10"/>
          <w:sz w:val="20"/>
        </w:rPr>
        <w:t xml:space="preserve"> </w:t>
      </w:r>
      <w:r>
        <w:rPr>
          <w:sz w:val="20"/>
        </w:rPr>
        <w:t>10</w:t>
      </w:r>
      <w:r>
        <w:rPr>
          <w:spacing w:val="-10"/>
          <w:sz w:val="20"/>
        </w:rPr>
        <w:t xml:space="preserve"> </w:t>
      </w:r>
      <w:r>
        <w:rPr>
          <w:sz w:val="20"/>
        </w:rPr>
        <w:t>years</w:t>
      </w:r>
      <w:r>
        <w:rPr>
          <w:spacing w:val="-10"/>
          <w:sz w:val="20"/>
        </w:rPr>
        <w:t xml:space="preserve"> </w:t>
      </w:r>
      <w:r>
        <w:rPr>
          <w:sz w:val="20"/>
        </w:rPr>
        <w:t>has</w:t>
      </w:r>
      <w:r>
        <w:rPr>
          <w:spacing w:val="-10"/>
          <w:sz w:val="20"/>
        </w:rPr>
        <w:t xml:space="preserve"> </w:t>
      </w:r>
      <w:r>
        <w:rPr>
          <w:sz w:val="20"/>
        </w:rPr>
        <w:t>been</w:t>
      </w:r>
      <w:r>
        <w:rPr>
          <w:spacing w:val="-10"/>
          <w:sz w:val="20"/>
        </w:rPr>
        <w:t xml:space="preserve"> </w:t>
      </w:r>
      <w:r>
        <w:rPr>
          <w:sz w:val="20"/>
        </w:rPr>
        <w:t>around</w:t>
      </w:r>
      <w:r>
        <w:rPr>
          <w:spacing w:val="-10"/>
          <w:sz w:val="20"/>
        </w:rPr>
        <w:t xml:space="preserve"> </w:t>
      </w:r>
      <w:r>
        <w:rPr>
          <w:sz w:val="20"/>
        </w:rPr>
        <w:t>$500</w:t>
      </w:r>
      <w:r>
        <w:rPr>
          <w:spacing w:val="-10"/>
          <w:sz w:val="20"/>
        </w:rPr>
        <w:t xml:space="preserve"> </w:t>
      </w:r>
      <w:r>
        <w:rPr>
          <w:sz w:val="20"/>
        </w:rPr>
        <w:t>million per</w:t>
      </w:r>
      <w:r>
        <w:rPr>
          <w:spacing w:val="-12"/>
          <w:sz w:val="20"/>
        </w:rPr>
        <w:t xml:space="preserve"> </w:t>
      </w:r>
      <w:r>
        <w:rPr>
          <w:sz w:val="20"/>
        </w:rPr>
        <w:t>annum</w:t>
      </w:r>
      <w:r>
        <w:rPr>
          <w:spacing w:val="-12"/>
          <w:sz w:val="20"/>
        </w:rPr>
        <w:t xml:space="preserve"> </w:t>
      </w:r>
      <w:r>
        <w:rPr>
          <w:sz w:val="20"/>
        </w:rPr>
        <w:t>across</w:t>
      </w:r>
      <w:r>
        <w:rPr>
          <w:spacing w:val="-12"/>
          <w:sz w:val="20"/>
        </w:rPr>
        <w:t xml:space="preserve"> </w:t>
      </w:r>
      <w:r>
        <w:rPr>
          <w:sz w:val="20"/>
        </w:rPr>
        <w:t>the</w:t>
      </w:r>
      <w:r>
        <w:rPr>
          <w:spacing w:val="-12"/>
          <w:sz w:val="20"/>
        </w:rPr>
        <w:t xml:space="preserve"> </w:t>
      </w:r>
      <w:r>
        <w:rPr>
          <w:sz w:val="20"/>
        </w:rPr>
        <w:t>school</w:t>
      </w:r>
      <w:r>
        <w:rPr>
          <w:spacing w:val="-12"/>
          <w:sz w:val="20"/>
        </w:rPr>
        <w:t xml:space="preserve"> </w:t>
      </w:r>
      <w:r>
        <w:rPr>
          <w:sz w:val="20"/>
        </w:rPr>
        <w:t>and</w:t>
      </w:r>
      <w:r>
        <w:rPr>
          <w:spacing w:val="-12"/>
          <w:sz w:val="20"/>
        </w:rPr>
        <w:t xml:space="preserve"> </w:t>
      </w:r>
      <w:r>
        <w:rPr>
          <w:sz w:val="20"/>
        </w:rPr>
        <w:t>TAFE</w:t>
      </w:r>
      <w:r>
        <w:rPr>
          <w:spacing w:val="-12"/>
          <w:sz w:val="20"/>
        </w:rPr>
        <w:t xml:space="preserve"> </w:t>
      </w:r>
      <w:r>
        <w:rPr>
          <w:sz w:val="20"/>
        </w:rPr>
        <w:t xml:space="preserve">sectors </w:t>
      </w:r>
      <w:r>
        <w:rPr>
          <w:w w:val="95"/>
          <w:sz w:val="20"/>
        </w:rPr>
        <w:t>(excluding</w:t>
      </w:r>
      <w:r>
        <w:rPr>
          <w:spacing w:val="-8"/>
          <w:w w:val="95"/>
          <w:sz w:val="20"/>
        </w:rPr>
        <w:t xml:space="preserve"> </w:t>
      </w:r>
      <w:r>
        <w:rPr>
          <w:w w:val="95"/>
          <w:sz w:val="20"/>
        </w:rPr>
        <w:t>the</w:t>
      </w:r>
      <w:r>
        <w:rPr>
          <w:spacing w:val="-8"/>
          <w:w w:val="95"/>
          <w:sz w:val="20"/>
        </w:rPr>
        <w:t xml:space="preserve"> </w:t>
      </w:r>
      <w:r>
        <w:rPr>
          <w:w w:val="95"/>
          <w:sz w:val="20"/>
        </w:rPr>
        <w:t>Building</w:t>
      </w:r>
      <w:r>
        <w:rPr>
          <w:spacing w:val="-8"/>
          <w:w w:val="95"/>
          <w:sz w:val="20"/>
        </w:rPr>
        <w:t xml:space="preserve"> </w:t>
      </w:r>
      <w:r>
        <w:rPr>
          <w:w w:val="95"/>
          <w:sz w:val="20"/>
        </w:rPr>
        <w:t>the</w:t>
      </w:r>
      <w:r>
        <w:rPr>
          <w:spacing w:val="-8"/>
          <w:w w:val="95"/>
          <w:sz w:val="20"/>
        </w:rPr>
        <w:t xml:space="preserve"> </w:t>
      </w:r>
      <w:r>
        <w:rPr>
          <w:w w:val="95"/>
          <w:sz w:val="20"/>
        </w:rPr>
        <w:t>Education</w:t>
      </w:r>
      <w:r>
        <w:rPr>
          <w:spacing w:val="-8"/>
          <w:w w:val="95"/>
          <w:sz w:val="20"/>
        </w:rPr>
        <w:t xml:space="preserve"> </w:t>
      </w:r>
      <w:r>
        <w:rPr>
          <w:w w:val="95"/>
          <w:sz w:val="20"/>
        </w:rPr>
        <w:t>investment</w:t>
      </w:r>
      <w:r>
        <w:rPr>
          <w:spacing w:val="-8"/>
          <w:w w:val="95"/>
          <w:sz w:val="20"/>
        </w:rPr>
        <w:t xml:space="preserve"> </w:t>
      </w:r>
      <w:r>
        <w:rPr>
          <w:w w:val="95"/>
          <w:sz w:val="20"/>
        </w:rPr>
        <w:t>of</w:t>
      </w:r>
    </w:p>
    <w:p w:rsidR="002C1123" w:rsidRDefault="00F22F94">
      <w:pPr>
        <w:pStyle w:val="ListParagraph"/>
        <w:numPr>
          <w:ilvl w:val="0"/>
          <w:numId w:val="38"/>
        </w:numPr>
        <w:tabs>
          <w:tab w:val="left" w:pos="501"/>
        </w:tabs>
        <w:spacing w:before="95" w:line="249" w:lineRule="auto"/>
        <w:ind w:right="1096"/>
        <w:jc w:val="both"/>
        <w:rPr>
          <w:sz w:val="20"/>
        </w:rPr>
      </w:pPr>
      <w:r>
        <w:br w:type="column"/>
      </w:r>
      <w:r>
        <w:rPr>
          <w:w w:val="95"/>
          <w:sz w:val="20"/>
        </w:rPr>
        <w:t>the Education Department’s forecast investment in</w:t>
      </w:r>
      <w:r>
        <w:rPr>
          <w:spacing w:val="-9"/>
          <w:w w:val="95"/>
          <w:sz w:val="20"/>
        </w:rPr>
        <w:t xml:space="preserve"> </w:t>
      </w:r>
      <w:r>
        <w:rPr>
          <w:w w:val="95"/>
          <w:sz w:val="20"/>
        </w:rPr>
        <w:t>education</w:t>
      </w:r>
      <w:r>
        <w:rPr>
          <w:spacing w:val="-9"/>
          <w:w w:val="95"/>
          <w:sz w:val="20"/>
        </w:rPr>
        <w:t xml:space="preserve"> </w:t>
      </w:r>
      <w:r>
        <w:rPr>
          <w:w w:val="95"/>
          <w:sz w:val="20"/>
        </w:rPr>
        <w:t>infrastructure</w:t>
      </w:r>
      <w:r>
        <w:rPr>
          <w:spacing w:val="-9"/>
          <w:w w:val="95"/>
          <w:sz w:val="20"/>
        </w:rPr>
        <w:t xml:space="preserve"> </w:t>
      </w:r>
      <w:r>
        <w:rPr>
          <w:w w:val="95"/>
          <w:sz w:val="20"/>
        </w:rPr>
        <w:t>for</w:t>
      </w:r>
      <w:r>
        <w:rPr>
          <w:spacing w:val="-9"/>
          <w:w w:val="95"/>
          <w:sz w:val="20"/>
        </w:rPr>
        <w:t xml:space="preserve"> </w:t>
      </w:r>
      <w:r>
        <w:rPr>
          <w:w w:val="95"/>
          <w:sz w:val="20"/>
        </w:rPr>
        <w:t>the</w:t>
      </w:r>
      <w:r>
        <w:rPr>
          <w:spacing w:val="-9"/>
          <w:w w:val="95"/>
          <w:sz w:val="20"/>
        </w:rPr>
        <w:t xml:space="preserve"> </w:t>
      </w:r>
      <w:r>
        <w:rPr>
          <w:w w:val="95"/>
          <w:sz w:val="20"/>
        </w:rPr>
        <w:t>next</w:t>
      </w:r>
      <w:r>
        <w:rPr>
          <w:spacing w:val="-9"/>
          <w:w w:val="95"/>
          <w:sz w:val="20"/>
        </w:rPr>
        <w:t xml:space="preserve"> </w:t>
      </w:r>
      <w:r>
        <w:rPr>
          <w:w w:val="95"/>
          <w:sz w:val="20"/>
        </w:rPr>
        <w:t>10</w:t>
      </w:r>
      <w:r>
        <w:rPr>
          <w:spacing w:val="-9"/>
          <w:w w:val="95"/>
          <w:sz w:val="20"/>
        </w:rPr>
        <w:t xml:space="preserve"> </w:t>
      </w:r>
      <w:r>
        <w:rPr>
          <w:w w:val="95"/>
          <w:sz w:val="20"/>
        </w:rPr>
        <w:t>years</w:t>
      </w:r>
      <w:r>
        <w:rPr>
          <w:spacing w:val="-9"/>
          <w:w w:val="95"/>
          <w:sz w:val="20"/>
        </w:rPr>
        <w:t xml:space="preserve"> </w:t>
      </w:r>
      <w:r>
        <w:rPr>
          <w:w w:val="95"/>
          <w:sz w:val="20"/>
        </w:rPr>
        <w:t xml:space="preserve">is </w:t>
      </w:r>
      <w:r>
        <w:rPr>
          <w:sz w:val="20"/>
        </w:rPr>
        <w:t>around $600 million per annum.</w:t>
      </w:r>
    </w:p>
    <w:p w:rsidR="002C1123" w:rsidRDefault="00F22F94">
      <w:pPr>
        <w:pStyle w:val="ListParagraph"/>
        <w:numPr>
          <w:ilvl w:val="0"/>
          <w:numId w:val="38"/>
        </w:numPr>
        <w:tabs>
          <w:tab w:val="left" w:pos="501"/>
        </w:tabs>
        <w:spacing w:before="132" w:line="249" w:lineRule="auto"/>
        <w:ind w:right="844"/>
        <w:rPr>
          <w:sz w:val="20"/>
        </w:rPr>
      </w:pPr>
      <w:r>
        <w:rPr>
          <w:w w:val="95"/>
          <w:sz w:val="20"/>
        </w:rPr>
        <w:t>higher</w:t>
      </w:r>
      <w:r>
        <w:rPr>
          <w:spacing w:val="-4"/>
          <w:w w:val="95"/>
          <w:sz w:val="20"/>
        </w:rPr>
        <w:t xml:space="preserve"> </w:t>
      </w:r>
      <w:r>
        <w:rPr>
          <w:w w:val="95"/>
          <w:sz w:val="20"/>
        </w:rPr>
        <w:t>education</w:t>
      </w:r>
      <w:r>
        <w:rPr>
          <w:spacing w:val="-4"/>
          <w:w w:val="95"/>
          <w:sz w:val="20"/>
        </w:rPr>
        <w:t xml:space="preserve"> </w:t>
      </w:r>
      <w:r>
        <w:rPr>
          <w:w w:val="95"/>
          <w:sz w:val="20"/>
        </w:rPr>
        <w:t>and</w:t>
      </w:r>
      <w:r>
        <w:rPr>
          <w:spacing w:val="-4"/>
          <w:w w:val="95"/>
          <w:sz w:val="20"/>
        </w:rPr>
        <w:t xml:space="preserve"> </w:t>
      </w:r>
      <w:r>
        <w:rPr>
          <w:w w:val="95"/>
          <w:sz w:val="20"/>
        </w:rPr>
        <w:t>the</w:t>
      </w:r>
      <w:r>
        <w:rPr>
          <w:spacing w:val="-4"/>
          <w:w w:val="95"/>
          <w:sz w:val="20"/>
        </w:rPr>
        <w:t xml:space="preserve"> </w:t>
      </w:r>
      <w:r>
        <w:rPr>
          <w:w w:val="95"/>
          <w:sz w:val="20"/>
        </w:rPr>
        <w:t>university</w:t>
      </w:r>
      <w:r>
        <w:rPr>
          <w:spacing w:val="-4"/>
          <w:w w:val="95"/>
          <w:sz w:val="20"/>
        </w:rPr>
        <w:t xml:space="preserve"> </w:t>
      </w:r>
      <w:r>
        <w:rPr>
          <w:w w:val="95"/>
          <w:sz w:val="20"/>
        </w:rPr>
        <w:t>sector</w:t>
      </w:r>
      <w:r>
        <w:rPr>
          <w:spacing w:val="-4"/>
          <w:w w:val="95"/>
          <w:sz w:val="20"/>
        </w:rPr>
        <w:t xml:space="preserve"> </w:t>
      </w:r>
      <w:r>
        <w:rPr>
          <w:w w:val="95"/>
          <w:sz w:val="20"/>
        </w:rPr>
        <w:t>is</w:t>
      </w:r>
      <w:r>
        <w:rPr>
          <w:spacing w:val="-4"/>
          <w:w w:val="95"/>
          <w:sz w:val="20"/>
        </w:rPr>
        <w:t xml:space="preserve"> </w:t>
      </w:r>
      <w:r>
        <w:rPr>
          <w:w w:val="95"/>
          <w:sz w:val="20"/>
        </w:rPr>
        <w:t xml:space="preserve">outside </w:t>
      </w:r>
      <w:r>
        <w:rPr>
          <w:sz w:val="20"/>
        </w:rPr>
        <w:t>the</w:t>
      </w:r>
      <w:r>
        <w:rPr>
          <w:spacing w:val="-12"/>
          <w:sz w:val="20"/>
        </w:rPr>
        <w:t xml:space="preserve"> </w:t>
      </w:r>
      <w:r>
        <w:rPr>
          <w:sz w:val="20"/>
        </w:rPr>
        <w:t>scope</w:t>
      </w:r>
      <w:r>
        <w:rPr>
          <w:spacing w:val="-12"/>
          <w:sz w:val="20"/>
        </w:rPr>
        <w:t xml:space="preserve"> </w:t>
      </w:r>
      <w:r>
        <w:rPr>
          <w:sz w:val="20"/>
        </w:rPr>
        <w:t>of</w:t>
      </w:r>
      <w:r>
        <w:rPr>
          <w:spacing w:val="-13"/>
          <w:sz w:val="20"/>
        </w:rPr>
        <w:t xml:space="preserve"> </w:t>
      </w:r>
      <w:r>
        <w:rPr>
          <w:sz w:val="20"/>
        </w:rPr>
        <w:t>the</w:t>
      </w:r>
      <w:r>
        <w:rPr>
          <w:spacing w:val="-12"/>
          <w:sz w:val="20"/>
        </w:rPr>
        <w:t xml:space="preserve"> </w:t>
      </w:r>
      <w:r>
        <w:rPr>
          <w:sz w:val="20"/>
        </w:rPr>
        <w:t>Strategy.</w:t>
      </w:r>
      <w:r>
        <w:rPr>
          <w:spacing w:val="-12"/>
          <w:sz w:val="20"/>
        </w:rPr>
        <w:t xml:space="preserve"> </w:t>
      </w:r>
      <w:r>
        <w:rPr>
          <w:sz w:val="20"/>
        </w:rPr>
        <w:t>However,</w:t>
      </w:r>
      <w:r>
        <w:rPr>
          <w:spacing w:val="-13"/>
          <w:sz w:val="20"/>
        </w:rPr>
        <w:t xml:space="preserve"> </w:t>
      </w:r>
      <w:r>
        <w:rPr>
          <w:sz w:val="20"/>
        </w:rPr>
        <w:t>a</w:t>
      </w:r>
      <w:r>
        <w:rPr>
          <w:spacing w:val="-12"/>
          <w:sz w:val="20"/>
        </w:rPr>
        <w:t xml:space="preserve"> </w:t>
      </w:r>
      <w:r>
        <w:rPr>
          <w:sz w:val="20"/>
        </w:rPr>
        <w:t>robust</w:t>
      </w:r>
      <w:r>
        <w:rPr>
          <w:spacing w:val="-12"/>
          <w:sz w:val="20"/>
        </w:rPr>
        <w:t xml:space="preserve"> </w:t>
      </w:r>
      <w:r>
        <w:rPr>
          <w:sz w:val="20"/>
        </w:rPr>
        <w:t>and successful</w:t>
      </w:r>
      <w:r>
        <w:rPr>
          <w:spacing w:val="-12"/>
          <w:sz w:val="20"/>
        </w:rPr>
        <w:t xml:space="preserve"> </w:t>
      </w:r>
      <w:r>
        <w:rPr>
          <w:sz w:val="20"/>
        </w:rPr>
        <w:t>tertiary</w:t>
      </w:r>
      <w:r>
        <w:rPr>
          <w:spacing w:val="-12"/>
          <w:sz w:val="20"/>
        </w:rPr>
        <w:t xml:space="preserve"> </w:t>
      </w:r>
      <w:r>
        <w:rPr>
          <w:sz w:val="20"/>
        </w:rPr>
        <w:t>sector</w:t>
      </w:r>
      <w:r>
        <w:rPr>
          <w:spacing w:val="-12"/>
          <w:sz w:val="20"/>
        </w:rPr>
        <w:t xml:space="preserve"> </w:t>
      </w:r>
      <w:r>
        <w:rPr>
          <w:sz w:val="20"/>
        </w:rPr>
        <w:t>is</w:t>
      </w:r>
      <w:r>
        <w:rPr>
          <w:spacing w:val="-12"/>
          <w:sz w:val="20"/>
        </w:rPr>
        <w:t xml:space="preserve"> </w:t>
      </w:r>
      <w:r>
        <w:rPr>
          <w:sz w:val="20"/>
        </w:rPr>
        <w:t>vital</w:t>
      </w:r>
      <w:r>
        <w:rPr>
          <w:spacing w:val="-12"/>
          <w:sz w:val="20"/>
        </w:rPr>
        <w:t xml:space="preserve"> </w:t>
      </w:r>
      <w:r>
        <w:rPr>
          <w:sz w:val="20"/>
        </w:rPr>
        <w:t>to</w:t>
      </w:r>
      <w:r>
        <w:rPr>
          <w:spacing w:val="-12"/>
          <w:sz w:val="20"/>
        </w:rPr>
        <w:t xml:space="preserve"> </w:t>
      </w:r>
      <w:r>
        <w:rPr>
          <w:sz w:val="20"/>
        </w:rPr>
        <w:t>ensuring</w:t>
      </w:r>
      <w:r>
        <w:rPr>
          <w:spacing w:val="-12"/>
          <w:sz w:val="20"/>
        </w:rPr>
        <w:t xml:space="preserve"> </w:t>
      </w:r>
      <w:r>
        <w:rPr>
          <w:sz w:val="20"/>
        </w:rPr>
        <w:t>NSW</w:t>
      </w:r>
    </w:p>
    <w:p w:rsidR="002C1123" w:rsidRDefault="00F22F94">
      <w:pPr>
        <w:pStyle w:val="BodyText"/>
        <w:spacing w:before="2" w:line="249" w:lineRule="auto"/>
        <w:ind w:left="500" w:right="646"/>
      </w:pPr>
      <w:r>
        <w:rPr>
          <w:w w:val="95"/>
        </w:rPr>
        <w:t>is</w:t>
      </w:r>
      <w:r>
        <w:rPr>
          <w:spacing w:val="-2"/>
          <w:w w:val="95"/>
        </w:rPr>
        <w:t xml:space="preserve"> </w:t>
      </w:r>
      <w:r>
        <w:rPr>
          <w:w w:val="95"/>
        </w:rPr>
        <w:t>attractive</w:t>
      </w:r>
      <w:r>
        <w:rPr>
          <w:spacing w:val="-2"/>
          <w:w w:val="95"/>
        </w:rPr>
        <w:t xml:space="preserve"> </w:t>
      </w:r>
      <w:r>
        <w:rPr>
          <w:w w:val="95"/>
        </w:rPr>
        <w:t>to</w:t>
      </w:r>
      <w:r>
        <w:rPr>
          <w:spacing w:val="-2"/>
          <w:w w:val="95"/>
        </w:rPr>
        <w:t xml:space="preserve"> </w:t>
      </w:r>
      <w:r>
        <w:rPr>
          <w:w w:val="95"/>
        </w:rPr>
        <w:t>both</w:t>
      </w:r>
      <w:r>
        <w:rPr>
          <w:spacing w:val="-2"/>
          <w:w w:val="95"/>
        </w:rPr>
        <w:t xml:space="preserve"> </w:t>
      </w:r>
      <w:r>
        <w:rPr>
          <w:w w:val="95"/>
        </w:rPr>
        <w:t>business</w:t>
      </w:r>
      <w:r>
        <w:rPr>
          <w:spacing w:val="-2"/>
          <w:w w:val="95"/>
        </w:rPr>
        <w:t xml:space="preserve"> </w:t>
      </w:r>
      <w:r>
        <w:rPr>
          <w:w w:val="95"/>
        </w:rPr>
        <w:t>and</w:t>
      </w:r>
      <w:r>
        <w:rPr>
          <w:spacing w:val="-2"/>
          <w:w w:val="95"/>
        </w:rPr>
        <w:t xml:space="preserve"> </w:t>
      </w:r>
      <w:r>
        <w:rPr>
          <w:w w:val="95"/>
        </w:rPr>
        <w:t>the</w:t>
      </w:r>
      <w:r>
        <w:rPr>
          <w:spacing w:val="-2"/>
          <w:w w:val="95"/>
        </w:rPr>
        <w:t xml:space="preserve"> </w:t>
      </w:r>
      <w:r>
        <w:rPr>
          <w:w w:val="95"/>
        </w:rPr>
        <w:t xml:space="preserve">knowledge </w:t>
      </w:r>
      <w:r>
        <w:t>workers who drive the economy.</w:t>
      </w:r>
    </w:p>
    <w:p w:rsidR="002C1123" w:rsidRDefault="00F22F94">
      <w:pPr>
        <w:pStyle w:val="Heading6"/>
        <w:numPr>
          <w:ilvl w:val="2"/>
          <w:numId w:val="39"/>
        </w:numPr>
        <w:tabs>
          <w:tab w:val="left" w:pos="813"/>
        </w:tabs>
        <w:spacing w:before="143"/>
        <w:ind w:left="812" w:hanging="596"/>
        <w:jc w:val="left"/>
      </w:pPr>
      <w:r>
        <w:rPr>
          <w:color w:val="00AEEF"/>
          <w:w w:val="95"/>
        </w:rPr>
        <w:t>Review</w:t>
      </w:r>
      <w:r>
        <w:rPr>
          <w:color w:val="00AEEF"/>
          <w:spacing w:val="2"/>
        </w:rPr>
        <w:t xml:space="preserve"> </w:t>
      </w:r>
      <w:r>
        <w:rPr>
          <w:color w:val="00AEEF"/>
          <w:w w:val="95"/>
        </w:rPr>
        <w:t>of</w:t>
      </w:r>
      <w:r>
        <w:rPr>
          <w:color w:val="00AEEF"/>
          <w:spacing w:val="2"/>
        </w:rPr>
        <w:t xml:space="preserve"> </w:t>
      </w:r>
      <w:r>
        <w:rPr>
          <w:color w:val="00AEEF"/>
          <w:w w:val="95"/>
        </w:rPr>
        <w:t>Funding</w:t>
      </w:r>
      <w:r>
        <w:rPr>
          <w:color w:val="00AEEF"/>
          <w:spacing w:val="2"/>
        </w:rPr>
        <w:t xml:space="preserve"> </w:t>
      </w:r>
      <w:r>
        <w:rPr>
          <w:color w:val="00AEEF"/>
          <w:w w:val="95"/>
        </w:rPr>
        <w:t>for</w:t>
      </w:r>
      <w:r>
        <w:rPr>
          <w:color w:val="00AEEF"/>
          <w:spacing w:val="2"/>
        </w:rPr>
        <w:t xml:space="preserve"> </w:t>
      </w:r>
      <w:r>
        <w:rPr>
          <w:color w:val="00AEEF"/>
          <w:w w:val="95"/>
        </w:rPr>
        <w:t>Schooling</w:t>
      </w:r>
      <w:r>
        <w:rPr>
          <w:color w:val="00AEEF"/>
          <w:spacing w:val="3"/>
        </w:rPr>
        <w:t xml:space="preserve"> </w:t>
      </w:r>
      <w:r>
        <w:rPr>
          <w:color w:val="00AEEF"/>
          <w:spacing w:val="-2"/>
          <w:w w:val="95"/>
        </w:rPr>
        <w:t>Findings</w:t>
      </w:r>
    </w:p>
    <w:p w:rsidR="002C1123" w:rsidRDefault="00F22F94">
      <w:pPr>
        <w:pStyle w:val="BodyText"/>
        <w:spacing w:before="95" w:line="249" w:lineRule="auto"/>
        <w:ind w:left="217" w:right="895"/>
      </w:pPr>
      <w:r>
        <w:rPr>
          <w:w w:val="95"/>
        </w:rPr>
        <w:t xml:space="preserve">Infrastructure NSW’s recommendations and strategies </w:t>
      </w:r>
      <w:r>
        <w:t>for</w:t>
      </w:r>
      <w:r>
        <w:rPr>
          <w:spacing w:val="-10"/>
        </w:rPr>
        <w:t xml:space="preserve"> </w:t>
      </w:r>
      <w:r>
        <w:t>public</w:t>
      </w:r>
      <w:r>
        <w:rPr>
          <w:spacing w:val="-10"/>
        </w:rPr>
        <w:t xml:space="preserve"> </w:t>
      </w:r>
      <w:r>
        <w:t>education</w:t>
      </w:r>
      <w:r>
        <w:rPr>
          <w:spacing w:val="-10"/>
        </w:rPr>
        <w:t xml:space="preserve"> </w:t>
      </w:r>
      <w:r>
        <w:t>are</w:t>
      </w:r>
      <w:r>
        <w:rPr>
          <w:spacing w:val="-10"/>
        </w:rPr>
        <w:t xml:space="preserve"> </w:t>
      </w:r>
      <w:r>
        <w:t>informed</w:t>
      </w:r>
      <w:r>
        <w:rPr>
          <w:spacing w:val="-10"/>
        </w:rPr>
        <w:t xml:space="preserve"> </w:t>
      </w:r>
      <w:r>
        <w:t>by</w:t>
      </w:r>
      <w:r>
        <w:rPr>
          <w:spacing w:val="-10"/>
        </w:rPr>
        <w:t xml:space="preserve"> </w:t>
      </w:r>
      <w:r>
        <w:t>the</w:t>
      </w:r>
      <w:r>
        <w:rPr>
          <w:spacing w:val="-10"/>
        </w:rPr>
        <w:t xml:space="preserve"> </w:t>
      </w:r>
      <w:r>
        <w:t>findings</w:t>
      </w:r>
      <w:r>
        <w:rPr>
          <w:spacing w:val="-10"/>
        </w:rPr>
        <w:t xml:space="preserve"> </w:t>
      </w:r>
      <w:r>
        <w:t>and recommendations</w:t>
      </w:r>
      <w:r>
        <w:rPr>
          <w:spacing w:val="-14"/>
        </w:rPr>
        <w:t xml:space="preserve"> </w:t>
      </w:r>
      <w:r>
        <w:t>of</w:t>
      </w:r>
      <w:r>
        <w:rPr>
          <w:spacing w:val="-14"/>
        </w:rPr>
        <w:t xml:space="preserve"> </w:t>
      </w:r>
      <w:r>
        <w:t>the</w:t>
      </w:r>
      <w:r>
        <w:rPr>
          <w:spacing w:val="-14"/>
        </w:rPr>
        <w:t xml:space="preserve"> </w:t>
      </w:r>
      <w:r>
        <w:t>Commonwealth’s</w:t>
      </w:r>
      <w:r>
        <w:rPr>
          <w:spacing w:val="-14"/>
        </w:rPr>
        <w:t xml:space="preserve"> </w:t>
      </w:r>
      <w:r>
        <w:t>Review</w:t>
      </w:r>
      <w:r>
        <w:rPr>
          <w:spacing w:val="-14"/>
        </w:rPr>
        <w:t xml:space="preserve"> </w:t>
      </w:r>
      <w:r>
        <w:t xml:space="preserve">of </w:t>
      </w:r>
      <w:r>
        <w:rPr>
          <w:spacing w:val="-2"/>
        </w:rPr>
        <w:t>Funding</w:t>
      </w:r>
      <w:r>
        <w:rPr>
          <w:spacing w:val="-5"/>
        </w:rPr>
        <w:t xml:space="preserve"> </w:t>
      </w:r>
      <w:r>
        <w:rPr>
          <w:spacing w:val="-2"/>
        </w:rPr>
        <w:t>for</w:t>
      </w:r>
      <w:r>
        <w:rPr>
          <w:spacing w:val="-5"/>
        </w:rPr>
        <w:t xml:space="preserve"> </w:t>
      </w:r>
      <w:r>
        <w:rPr>
          <w:spacing w:val="-2"/>
        </w:rPr>
        <w:t>Schooling,</w:t>
      </w:r>
      <w:r>
        <w:rPr>
          <w:spacing w:val="-5"/>
        </w:rPr>
        <w:t xml:space="preserve"> </w:t>
      </w:r>
      <w:r>
        <w:rPr>
          <w:spacing w:val="-2"/>
        </w:rPr>
        <w:t>(the</w:t>
      </w:r>
      <w:r>
        <w:rPr>
          <w:spacing w:val="-5"/>
        </w:rPr>
        <w:t xml:space="preserve"> </w:t>
      </w:r>
      <w:r>
        <w:rPr>
          <w:spacing w:val="-2"/>
        </w:rPr>
        <w:t>Gonski</w:t>
      </w:r>
      <w:r>
        <w:rPr>
          <w:spacing w:val="-5"/>
        </w:rPr>
        <w:t xml:space="preserve"> </w:t>
      </w:r>
      <w:r>
        <w:rPr>
          <w:spacing w:val="-2"/>
        </w:rPr>
        <w:t>Review).</w:t>
      </w:r>
    </w:p>
    <w:p w:rsidR="002C1123" w:rsidRDefault="00F22F94">
      <w:pPr>
        <w:pStyle w:val="BodyText"/>
        <w:spacing w:before="145" w:line="249" w:lineRule="auto"/>
        <w:ind w:left="217" w:right="646"/>
      </w:pPr>
      <w:r>
        <w:rPr>
          <w:w w:val="95"/>
        </w:rPr>
        <w:t>The</w:t>
      </w:r>
      <w:r>
        <w:rPr>
          <w:spacing w:val="-5"/>
          <w:w w:val="95"/>
        </w:rPr>
        <w:t xml:space="preserve"> </w:t>
      </w:r>
      <w:r>
        <w:rPr>
          <w:w w:val="95"/>
        </w:rPr>
        <w:t>Review</w:t>
      </w:r>
      <w:r>
        <w:rPr>
          <w:spacing w:val="-5"/>
          <w:w w:val="95"/>
        </w:rPr>
        <w:t xml:space="preserve"> </w:t>
      </w:r>
      <w:r>
        <w:rPr>
          <w:w w:val="95"/>
        </w:rPr>
        <w:t>reported</w:t>
      </w:r>
      <w:r>
        <w:rPr>
          <w:spacing w:val="-5"/>
          <w:w w:val="95"/>
        </w:rPr>
        <w:t xml:space="preserve"> </w:t>
      </w:r>
      <w:r>
        <w:rPr>
          <w:w w:val="95"/>
        </w:rPr>
        <w:t>a</w:t>
      </w:r>
      <w:r>
        <w:rPr>
          <w:spacing w:val="-5"/>
          <w:w w:val="95"/>
        </w:rPr>
        <w:t xml:space="preserve"> </w:t>
      </w:r>
      <w:r>
        <w:rPr>
          <w:w w:val="95"/>
        </w:rPr>
        <w:t>decline</w:t>
      </w:r>
      <w:r>
        <w:rPr>
          <w:spacing w:val="-5"/>
          <w:w w:val="95"/>
        </w:rPr>
        <w:t xml:space="preserve"> </w:t>
      </w:r>
      <w:r>
        <w:rPr>
          <w:w w:val="95"/>
        </w:rPr>
        <w:t>in</w:t>
      </w:r>
      <w:r>
        <w:rPr>
          <w:spacing w:val="-5"/>
          <w:w w:val="95"/>
        </w:rPr>
        <w:t xml:space="preserve"> </w:t>
      </w:r>
      <w:r>
        <w:rPr>
          <w:w w:val="95"/>
        </w:rPr>
        <w:t>education</w:t>
      </w:r>
      <w:r>
        <w:rPr>
          <w:spacing w:val="-5"/>
          <w:w w:val="95"/>
        </w:rPr>
        <w:t xml:space="preserve"> </w:t>
      </w:r>
      <w:r>
        <w:rPr>
          <w:w w:val="95"/>
        </w:rPr>
        <w:t>standards</w:t>
      </w:r>
      <w:r>
        <w:rPr>
          <w:spacing w:val="-5"/>
          <w:w w:val="95"/>
        </w:rPr>
        <w:t xml:space="preserve"> </w:t>
      </w:r>
      <w:r>
        <w:rPr>
          <w:w w:val="95"/>
        </w:rPr>
        <w:t xml:space="preserve">in the past decade and recommended increased funding. </w:t>
      </w:r>
      <w:r>
        <w:t>The</w:t>
      </w:r>
      <w:r>
        <w:rPr>
          <w:spacing w:val="-13"/>
        </w:rPr>
        <w:t xml:space="preserve"> </w:t>
      </w:r>
      <w:r>
        <w:t>report</w:t>
      </w:r>
      <w:r>
        <w:rPr>
          <w:spacing w:val="-13"/>
        </w:rPr>
        <w:t xml:space="preserve"> </w:t>
      </w:r>
      <w:r>
        <w:t>highlighted</w:t>
      </w:r>
      <w:r>
        <w:rPr>
          <w:spacing w:val="-13"/>
        </w:rPr>
        <w:t xml:space="preserve"> </w:t>
      </w:r>
      <w:r>
        <w:t>that</w:t>
      </w:r>
      <w:r>
        <w:rPr>
          <w:spacing w:val="-13"/>
        </w:rPr>
        <w:t xml:space="preserve"> </w:t>
      </w:r>
      <w:r>
        <w:t>the</w:t>
      </w:r>
      <w:r>
        <w:rPr>
          <w:spacing w:val="-13"/>
        </w:rPr>
        <w:t xml:space="preserve"> </w:t>
      </w:r>
      <w:r>
        <w:t>quality</w:t>
      </w:r>
      <w:r>
        <w:rPr>
          <w:spacing w:val="-13"/>
        </w:rPr>
        <w:t xml:space="preserve"> </w:t>
      </w:r>
      <w:r>
        <w:t>of</w:t>
      </w:r>
      <w:r>
        <w:rPr>
          <w:spacing w:val="-13"/>
        </w:rPr>
        <w:t xml:space="preserve"> </w:t>
      </w:r>
      <w:r>
        <w:t>infrastructure does</w:t>
      </w:r>
      <w:r>
        <w:rPr>
          <w:spacing w:val="-10"/>
        </w:rPr>
        <w:t xml:space="preserve"> </w:t>
      </w:r>
      <w:r>
        <w:t>have</w:t>
      </w:r>
      <w:r>
        <w:rPr>
          <w:spacing w:val="-10"/>
        </w:rPr>
        <w:t xml:space="preserve"> </w:t>
      </w:r>
      <w:r>
        <w:t>a</w:t>
      </w:r>
      <w:r>
        <w:rPr>
          <w:spacing w:val="-10"/>
        </w:rPr>
        <w:t xml:space="preserve"> </w:t>
      </w:r>
      <w:r>
        <w:t>strong</w:t>
      </w:r>
      <w:r>
        <w:rPr>
          <w:spacing w:val="-10"/>
        </w:rPr>
        <w:t xml:space="preserve"> </w:t>
      </w:r>
      <w:r>
        <w:t>influence</w:t>
      </w:r>
      <w:r>
        <w:rPr>
          <w:spacing w:val="-10"/>
        </w:rPr>
        <w:t xml:space="preserve"> </w:t>
      </w:r>
      <w:r>
        <w:t>on</w:t>
      </w:r>
      <w:r>
        <w:rPr>
          <w:spacing w:val="-10"/>
        </w:rPr>
        <w:t xml:space="preserve"> </w:t>
      </w:r>
      <w:r>
        <w:t>education</w:t>
      </w:r>
      <w:r>
        <w:rPr>
          <w:spacing w:val="-10"/>
        </w:rPr>
        <w:t xml:space="preserve"> </w:t>
      </w:r>
      <w:r>
        <w:t>outcomes (although</w:t>
      </w:r>
      <w:r>
        <w:rPr>
          <w:spacing w:val="-10"/>
        </w:rPr>
        <w:t xml:space="preserve"> </w:t>
      </w:r>
      <w:r>
        <w:t>it</w:t>
      </w:r>
      <w:r>
        <w:rPr>
          <w:spacing w:val="-10"/>
        </w:rPr>
        <w:t xml:space="preserve"> </w:t>
      </w:r>
      <w:r>
        <w:t>is</w:t>
      </w:r>
      <w:r>
        <w:rPr>
          <w:spacing w:val="-10"/>
        </w:rPr>
        <w:t xml:space="preserve"> </w:t>
      </w:r>
      <w:r>
        <w:t>difficult</w:t>
      </w:r>
      <w:r>
        <w:rPr>
          <w:spacing w:val="-10"/>
        </w:rPr>
        <w:t xml:space="preserve"> </w:t>
      </w:r>
      <w:r>
        <w:t>to</w:t>
      </w:r>
      <w:r>
        <w:rPr>
          <w:spacing w:val="-10"/>
        </w:rPr>
        <w:t xml:space="preserve"> </w:t>
      </w:r>
      <w:r>
        <w:t>measure)</w:t>
      </w:r>
      <w:r>
        <w:rPr>
          <w:position w:val="7"/>
          <w:sz w:val="11"/>
        </w:rPr>
        <w:t>2</w:t>
      </w:r>
      <w:r>
        <w:t>.</w:t>
      </w:r>
    </w:p>
    <w:p w:rsidR="002C1123" w:rsidRDefault="00F22F94">
      <w:pPr>
        <w:pStyle w:val="BodyText"/>
        <w:spacing w:before="146" w:line="249" w:lineRule="auto"/>
        <w:ind w:left="217" w:right="646"/>
      </w:pPr>
      <w:r>
        <w:rPr>
          <w:w w:val="95"/>
        </w:rPr>
        <w:t>The</w:t>
      </w:r>
      <w:r>
        <w:rPr>
          <w:spacing w:val="-1"/>
          <w:w w:val="95"/>
        </w:rPr>
        <w:t xml:space="preserve"> </w:t>
      </w:r>
      <w:r>
        <w:rPr>
          <w:w w:val="95"/>
        </w:rPr>
        <w:t>Review</w:t>
      </w:r>
      <w:r>
        <w:rPr>
          <w:spacing w:val="-1"/>
          <w:w w:val="95"/>
        </w:rPr>
        <w:t xml:space="preserve"> </w:t>
      </w:r>
      <w:r>
        <w:rPr>
          <w:w w:val="95"/>
        </w:rPr>
        <w:t>concluded</w:t>
      </w:r>
      <w:r>
        <w:rPr>
          <w:spacing w:val="-1"/>
          <w:w w:val="95"/>
        </w:rPr>
        <w:t xml:space="preserve"> </w:t>
      </w:r>
      <w:r>
        <w:rPr>
          <w:w w:val="95"/>
        </w:rPr>
        <w:t>that</w:t>
      </w:r>
      <w:r>
        <w:rPr>
          <w:spacing w:val="-1"/>
          <w:w w:val="95"/>
        </w:rPr>
        <w:t xml:space="preserve"> </w:t>
      </w:r>
      <w:r>
        <w:rPr>
          <w:w w:val="95"/>
        </w:rPr>
        <w:t>both</w:t>
      </w:r>
      <w:r>
        <w:rPr>
          <w:spacing w:val="-1"/>
          <w:w w:val="95"/>
        </w:rPr>
        <w:t xml:space="preserve"> </w:t>
      </w:r>
      <w:r>
        <w:rPr>
          <w:w w:val="95"/>
        </w:rPr>
        <w:t>additional</w:t>
      </w:r>
      <w:r>
        <w:rPr>
          <w:spacing w:val="-1"/>
          <w:w w:val="95"/>
        </w:rPr>
        <w:t xml:space="preserve"> </w:t>
      </w:r>
      <w:r>
        <w:rPr>
          <w:w w:val="95"/>
        </w:rPr>
        <w:t xml:space="preserve">infrastructure </w:t>
      </w:r>
      <w:r>
        <w:t>funding</w:t>
      </w:r>
      <w:r>
        <w:rPr>
          <w:spacing w:val="-5"/>
        </w:rPr>
        <w:t xml:space="preserve"> </w:t>
      </w:r>
      <w:r>
        <w:t>and</w:t>
      </w:r>
      <w:r>
        <w:rPr>
          <w:spacing w:val="-5"/>
        </w:rPr>
        <w:t xml:space="preserve"> </w:t>
      </w:r>
      <w:r>
        <w:t>better</w:t>
      </w:r>
      <w:r>
        <w:rPr>
          <w:spacing w:val="-5"/>
        </w:rPr>
        <w:t xml:space="preserve"> </w:t>
      </w:r>
      <w:r>
        <w:t>planning</w:t>
      </w:r>
      <w:r>
        <w:rPr>
          <w:spacing w:val="-5"/>
        </w:rPr>
        <w:t xml:space="preserve"> </w:t>
      </w:r>
      <w:r>
        <w:t>was</w:t>
      </w:r>
      <w:r>
        <w:rPr>
          <w:spacing w:val="-5"/>
        </w:rPr>
        <w:t xml:space="preserve"> </w:t>
      </w:r>
      <w:r>
        <w:t>needed</w:t>
      </w:r>
      <w:r>
        <w:rPr>
          <w:spacing w:val="-5"/>
        </w:rPr>
        <w:t xml:space="preserve"> </w:t>
      </w:r>
      <w:r>
        <w:t>to</w:t>
      </w:r>
      <w:r>
        <w:rPr>
          <w:spacing w:val="-5"/>
        </w:rPr>
        <w:t xml:space="preserve"> </w:t>
      </w:r>
      <w:r>
        <w:t>bring Government</w:t>
      </w:r>
      <w:r>
        <w:rPr>
          <w:spacing w:val="-6"/>
        </w:rPr>
        <w:t xml:space="preserve"> </w:t>
      </w:r>
      <w:r>
        <w:t>schools</w:t>
      </w:r>
      <w:r>
        <w:rPr>
          <w:spacing w:val="-7"/>
        </w:rPr>
        <w:t xml:space="preserve"> </w:t>
      </w:r>
      <w:r>
        <w:t>up</w:t>
      </w:r>
      <w:r>
        <w:rPr>
          <w:spacing w:val="-6"/>
        </w:rPr>
        <w:t xml:space="preserve"> </w:t>
      </w:r>
      <w:r>
        <w:t>to</w:t>
      </w:r>
      <w:r>
        <w:rPr>
          <w:spacing w:val="-7"/>
        </w:rPr>
        <w:t xml:space="preserve"> </w:t>
      </w:r>
      <w:r>
        <w:t>a</w:t>
      </w:r>
      <w:r>
        <w:rPr>
          <w:spacing w:val="-6"/>
        </w:rPr>
        <w:t xml:space="preserve"> </w:t>
      </w:r>
      <w:r>
        <w:t>quality</w:t>
      </w:r>
      <w:r>
        <w:rPr>
          <w:spacing w:val="-7"/>
        </w:rPr>
        <w:t xml:space="preserve"> </w:t>
      </w:r>
      <w:r>
        <w:t>standard</w:t>
      </w:r>
      <w:r>
        <w:rPr>
          <w:spacing w:val="-6"/>
        </w:rPr>
        <w:t xml:space="preserve"> </w:t>
      </w:r>
      <w:r>
        <w:t>and recommended</w:t>
      </w:r>
      <w:r>
        <w:rPr>
          <w:spacing w:val="-2"/>
        </w:rPr>
        <w:t xml:space="preserve"> </w:t>
      </w:r>
      <w:r>
        <w:t>the</w:t>
      </w:r>
      <w:r>
        <w:rPr>
          <w:spacing w:val="-2"/>
        </w:rPr>
        <w:t xml:space="preserve"> </w:t>
      </w:r>
      <w:r>
        <w:t>introduction</w:t>
      </w:r>
      <w:r>
        <w:rPr>
          <w:spacing w:val="-2"/>
        </w:rPr>
        <w:t xml:space="preserve"> </w:t>
      </w:r>
      <w:r>
        <w:t>of</w:t>
      </w:r>
      <w:r>
        <w:rPr>
          <w:spacing w:val="-2"/>
        </w:rPr>
        <w:t xml:space="preserve"> </w:t>
      </w:r>
      <w:r>
        <w:t>new</w:t>
      </w:r>
      <w:r>
        <w:rPr>
          <w:spacing w:val="-2"/>
        </w:rPr>
        <w:t xml:space="preserve"> </w:t>
      </w:r>
      <w:r>
        <w:t>national</w:t>
      </w:r>
    </w:p>
    <w:p w:rsidR="002C1123" w:rsidRDefault="00F22F94">
      <w:pPr>
        <w:pStyle w:val="BodyText"/>
        <w:spacing w:before="3" w:line="249" w:lineRule="auto"/>
        <w:ind w:left="217" w:right="1479"/>
      </w:pPr>
      <w:r>
        <w:rPr>
          <w:w w:val="95"/>
        </w:rPr>
        <w:t>facilities</w:t>
      </w:r>
      <w:r>
        <w:rPr>
          <w:spacing w:val="-1"/>
          <w:w w:val="95"/>
        </w:rPr>
        <w:t xml:space="preserve"> </w:t>
      </w:r>
      <w:r>
        <w:rPr>
          <w:w w:val="95"/>
        </w:rPr>
        <w:t>standards.</w:t>
      </w:r>
      <w:r>
        <w:rPr>
          <w:spacing w:val="-1"/>
          <w:w w:val="95"/>
        </w:rPr>
        <w:t xml:space="preserve"> </w:t>
      </w:r>
      <w:r>
        <w:rPr>
          <w:w w:val="95"/>
        </w:rPr>
        <w:t>The</w:t>
      </w:r>
      <w:r>
        <w:rPr>
          <w:spacing w:val="-1"/>
          <w:w w:val="95"/>
        </w:rPr>
        <w:t xml:space="preserve"> </w:t>
      </w:r>
      <w:r>
        <w:rPr>
          <w:w w:val="95"/>
        </w:rPr>
        <w:t>panel</w:t>
      </w:r>
      <w:r>
        <w:rPr>
          <w:spacing w:val="-1"/>
          <w:w w:val="95"/>
        </w:rPr>
        <w:t xml:space="preserve"> </w:t>
      </w:r>
      <w:r>
        <w:rPr>
          <w:w w:val="95"/>
        </w:rPr>
        <w:t xml:space="preserve">recommended </w:t>
      </w:r>
      <w:r>
        <w:t>the</w:t>
      </w:r>
      <w:r>
        <w:rPr>
          <w:spacing w:val="-1"/>
        </w:rPr>
        <w:t xml:space="preserve"> </w:t>
      </w:r>
      <w:r>
        <w:t>Commonwealth</w:t>
      </w:r>
      <w:r>
        <w:rPr>
          <w:spacing w:val="-1"/>
        </w:rPr>
        <w:t xml:space="preserve"> </w:t>
      </w:r>
      <w:r>
        <w:t>Government</w:t>
      </w:r>
      <w:r>
        <w:rPr>
          <w:spacing w:val="-1"/>
        </w:rPr>
        <w:t xml:space="preserve"> </w:t>
      </w:r>
      <w:r>
        <w:t>provide</w:t>
      </w:r>
      <w:r>
        <w:rPr>
          <w:spacing w:val="-1"/>
        </w:rPr>
        <w:t xml:space="preserve"> </w:t>
      </w:r>
      <w:r>
        <w:t>a substantial</w:t>
      </w:r>
      <w:r>
        <w:rPr>
          <w:spacing w:val="-11"/>
        </w:rPr>
        <w:t xml:space="preserve"> </w:t>
      </w:r>
      <w:r>
        <w:t>contribution</w:t>
      </w:r>
      <w:r>
        <w:rPr>
          <w:position w:val="7"/>
          <w:sz w:val="11"/>
        </w:rPr>
        <w:t>3</w:t>
      </w:r>
      <w:r>
        <w:t>.</w:t>
      </w:r>
    </w:p>
    <w:p w:rsidR="002C1123" w:rsidRDefault="002C1123">
      <w:pPr>
        <w:spacing w:line="249" w:lineRule="auto"/>
        <w:sectPr w:rsidR="002C1123">
          <w:type w:val="continuous"/>
          <w:pgSz w:w="16840" w:h="11910" w:orient="landscape"/>
          <w:pgMar w:top="560" w:right="280" w:bottom="280" w:left="500" w:header="0" w:footer="517" w:gutter="0"/>
          <w:cols w:num="2" w:space="720" w:equalWidth="0">
            <w:col w:w="10289" w:space="40"/>
            <w:col w:w="5731"/>
          </w:cols>
        </w:sectPr>
      </w:pPr>
    </w:p>
    <w:p w:rsidR="002C1123" w:rsidRDefault="00F22F94">
      <w:pPr>
        <w:pStyle w:val="BodyText"/>
        <w:tabs>
          <w:tab w:val="left" w:pos="10545"/>
          <w:tab w:val="left" w:pos="11985"/>
        </w:tabs>
        <w:spacing w:before="6"/>
        <w:ind w:left="5802"/>
      </w:pPr>
      <w:r>
        <w:rPr>
          <w:w w:val="95"/>
        </w:rPr>
        <w:t>around</w:t>
      </w:r>
      <w:r>
        <w:rPr>
          <w:spacing w:val="-7"/>
          <w:w w:val="95"/>
        </w:rPr>
        <w:t xml:space="preserve"> </w:t>
      </w:r>
      <w:r>
        <w:rPr>
          <w:w w:val="95"/>
        </w:rPr>
        <w:t>$3</w:t>
      </w:r>
      <w:r>
        <w:rPr>
          <w:spacing w:val="-7"/>
          <w:w w:val="95"/>
        </w:rPr>
        <w:t xml:space="preserve"> </w:t>
      </w:r>
      <w:r>
        <w:rPr>
          <w:w w:val="95"/>
        </w:rPr>
        <w:t>billion</w:t>
      </w:r>
      <w:r>
        <w:rPr>
          <w:spacing w:val="-7"/>
          <w:w w:val="95"/>
        </w:rPr>
        <w:t xml:space="preserve"> </w:t>
      </w:r>
      <w:r>
        <w:rPr>
          <w:w w:val="95"/>
        </w:rPr>
        <w:t>in</w:t>
      </w:r>
      <w:r>
        <w:rPr>
          <w:spacing w:val="-6"/>
          <w:w w:val="95"/>
        </w:rPr>
        <w:t xml:space="preserve"> </w:t>
      </w:r>
      <w:r>
        <w:rPr>
          <w:w w:val="95"/>
        </w:rPr>
        <w:t>the</w:t>
      </w:r>
      <w:r>
        <w:rPr>
          <w:spacing w:val="-7"/>
          <w:w w:val="95"/>
        </w:rPr>
        <w:t xml:space="preserve"> </w:t>
      </w:r>
      <w:r>
        <w:rPr>
          <w:w w:val="95"/>
        </w:rPr>
        <w:t>past</w:t>
      </w:r>
      <w:r>
        <w:rPr>
          <w:spacing w:val="-7"/>
          <w:w w:val="95"/>
        </w:rPr>
        <w:t xml:space="preserve"> </w:t>
      </w:r>
      <w:r>
        <w:rPr>
          <w:w w:val="95"/>
        </w:rPr>
        <w:t>three</w:t>
      </w:r>
      <w:r>
        <w:rPr>
          <w:spacing w:val="-7"/>
          <w:w w:val="95"/>
        </w:rPr>
        <w:t xml:space="preserve"> </w:t>
      </w:r>
      <w:r>
        <w:rPr>
          <w:spacing w:val="-2"/>
          <w:w w:val="95"/>
        </w:rPr>
        <w:t>years).</w:t>
      </w:r>
      <w:r>
        <w:tab/>
      </w:r>
      <w:r>
        <w:rPr>
          <w:u w:val="single" w:color="9C9C9D"/>
        </w:rPr>
        <w:tab/>
      </w:r>
    </w:p>
    <w:p w:rsidR="002C1123" w:rsidRDefault="002060EF">
      <w:pPr>
        <w:spacing w:before="44" w:line="156" w:lineRule="exact"/>
        <w:ind w:left="10545"/>
        <w:rPr>
          <w:sz w:val="14"/>
        </w:rPr>
      </w:pPr>
      <w:r>
        <w:pict>
          <v:line id="_x0000_s1568" style="position:absolute;left:0;text-align:left;z-index:251661312;mso-position-horizontal-relative:page" from="300.95pt,8.75pt" to="372.95pt,8.75pt" strokecolor="#9c9c9d" strokeweight=".5pt">
            <w10:wrap anchorx="page"/>
          </v:line>
        </w:pict>
      </w:r>
      <w:r w:rsidR="00F22F94">
        <w:rPr>
          <w:w w:val="95"/>
          <w:sz w:val="14"/>
        </w:rPr>
        <w:t>2</w:t>
      </w:r>
      <w:r w:rsidR="00F22F94">
        <w:rPr>
          <w:spacing w:val="73"/>
          <w:w w:val="150"/>
          <w:sz w:val="14"/>
        </w:rPr>
        <w:t xml:space="preserve"> </w:t>
      </w:r>
      <w:r w:rsidR="00F22F94">
        <w:rPr>
          <w:w w:val="95"/>
          <w:sz w:val="14"/>
        </w:rPr>
        <w:t>Australian</w:t>
      </w:r>
      <w:r w:rsidR="00F22F94">
        <w:rPr>
          <w:spacing w:val="-4"/>
          <w:w w:val="95"/>
          <w:sz w:val="14"/>
        </w:rPr>
        <w:t xml:space="preserve"> </w:t>
      </w:r>
      <w:r w:rsidR="00F22F94">
        <w:rPr>
          <w:w w:val="95"/>
          <w:sz w:val="14"/>
        </w:rPr>
        <w:t>Government</w:t>
      </w:r>
      <w:r w:rsidR="00F22F94">
        <w:rPr>
          <w:spacing w:val="-4"/>
          <w:w w:val="95"/>
          <w:sz w:val="14"/>
        </w:rPr>
        <w:t xml:space="preserve"> </w:t>
      </w:r>
      <w:r w:rsidR="00F22F94">
        <w:rPr>
          <w:w w:val="95"/>
          <w:sz w:val="14"/>
        </w:rPr>
        <w:t>2011,</w:t>
      </w:r>
      <w:r w:rsidR="00F22F94">
        <w:rPr>
          <w:spacing w:val="-4"/>
          <w:w w:val="95"/>
          <w:sz w:val="14"/>
        </w:rPr>
        <w:t xml:space="preserve"> </w:t>
      </w:r>
      <w:r w:rsidR="00F22F94">
        <w:rPr>
          <w:w w:val="95"/>
          <w:sz w:val="14"/>
        </w:rPr>
        <w:t>Review</w:t>
      </w:r>
      <w:r w:rsidR="00F22F94">
        <w:rPr>
          <w:spacing w:val="-4"/>
          <w:w w:val="95"/>
          <w:sz w:val="14"/>
        </w:rPr>
        <w:t xml:space="preserve"> </w:t>
      </w:r>
      <w:r w:rsidR="00F22F94">
        <w:rPr>
          <w:w w:val="95"/>
          <w:sz w:val="14"/>
        </w:rPr>
        <w:t>of</w:t>
      </w:r>
      <w:r w:rsidR="00F22F94">
        <w:rPr>
          <w:spacing w:val="-4"/>
          <w:w w:val="95"/>
          <w:sz w:val="14"/>
        </w:rPr>
        <w:t xml:space="preserve"> </w:t>
      </w:r>
      <w:r w:rsidR="00F22F94">
        <w:rPr>
          <w:w w:val="95"/>
          <w:sz w:val="14"/>
        </w:rPr>
        <w:t>Funding</w:t>
      </w:r>
      <w:r w:rsidR="00F22F94">
        <w:rPr>
          <w:spacing w:val="-3"/>
          <w:w w:val="95"/>
          <w:sz w:val="14"/>
        </w:rPr>
        <w:t xml:space="preserve"> </w:t>
      </w:r>
      <w:r w:rsidR="00F22F94">
        <w:rPr>
          <w:w w:val="95"/>
          <w:sz w:val="14"/>
        </w:rPr>
        <w:t>for</w:t>
      </w:r>
      <w:r w:rsidR="00F22F94">
        <w:rPr>
          <w:spacing w:val="-4"/>
          <w:w w:val="95"/>
          <w:sz w:val="14"/>
        </w:rPr>
        <w:t xml:space="preserve"> </w:t>
      </w:r>
      <w:r w:rsidR="00F22F94">
        <w:rPr>
          <w:w w:val="95"/>
          <w:sz w:val="14"/>
        </w:rPr>
        <w:t>Schooling,</w:t>
      </w:r>
      <w:r w:rsidR="00F22F94">
        <w:rPr>
          <w:spacing w:val="-4"/>
          <w:w w:val="95"/>
          <w:sz w:val="14"/>
        </w:rPr>
        <w:t xml:space="preserve"> </w:t>
      </w:r>
      <w:r w:rsidR="00F22F94">
        <w:rPr>
          <w:w w:val="95"/>
          <w:sz w:val="14"/>
        </w:rPr>
        <w:t>Final</w:t>
      </w:r>
      <w:r w:rsidR="00F22F94">
        <w:rPr>
          <w:spacing w:val="-4"/>
          <w:w w:val="95"/>
          <w:sz w:val="14"/>
        </w:rPr>
        <w:t xml:space="preserve"> </w:t>
      </w:r>
      <w:r w:rsidR="00F22F94">
        <w:rPr>
          <w:spacing w:val="-2"/>
          <w:w w:val="95"/>
          <w:sz w:val="14"/>
        </w:rPr>
        <w:t>Report.</w:t>
      </w:r>
    </w:p>
    <w:p w:rsidR="002C1123" w:rsidRDefault="00F22F94">
      <w:pPr>
        <w:tabs>
          <w:tab w:val="left" w:pos="10545"/>
        </w:tabs>
        <w:spacing w:before="4"/>
        <w:ind w:left="5518"/>
        <w:rPr>
          <w:sz w:val="14"/>
        </w:rPr>
      </w:pPr>
      <w:r>
        <w:rPr>
          <w:w w:val="95"/>
          <w:sz w:val="14"/>
        </w:rPr>
        <w:t>1</w:t>
      </w:r>
      <w:r>
        <w:rPr>
          <w:spacing w:val="31"/>
          <w:sz w:val="14"/>
        </w:rPr>
        <w:t xml:space="preserve">  </w:t>
      </w:r>
      <w:r>
        <w:rPr>
          <w:w w:val="95"/>
          <w:sz w:val="14"/>
        </w:rPr>
        <w:t>NSW</w:t>
      </w:r>
      <w:r>
        <w:rPr>
          <w:spacing w:val="-2"/>
          <w:sz w:val="14"/>
        </w:rPr>
        <w:t xml:space="preserve"> </w:t>
      </w:r>
      <w:r>
        <w:rPr>
          <w:w w:val="95"/>
          <w:sz w:val="14"/>
        </w:rPr>
        <w:t>Government,</w:t>
      </w:r>
      <w:r>
        <w:rPr>
          <w:spacing w:val="-2"/>
          <w:w w:val="95"/>
          <w:sz w:val="14"/>
        </w:rPr>
        <w:t xml:space="preserve"> </w:t>
      </w:r>
      <w:r>
        <w:rPr>
          <w:w w:val="95"/>
          <w:sz w:val="14"/>
        </w:rPr>
        <w:t>2012-13</w:t>
      </w:r>
      <w:r>
        <w:rPr>
          <w:spacing w:val="-1"/>
          <w:w w:val="95"/>
          <w:sz w:val="14"/>
        </w:rPr>
        <w:t xml:space="preserve"> </w:t>
      </w:r>
      <w:r>
        <w:rPr>
          <w:w w:val="95"/>
          <w:sz w:val="14"/>
        </w:rPr>
        <w:t>Budget</w:t>
      </w:r>
      <w:r>
        <w:rPr>
          <w:spacing w:val="-1"/>
          <w:w w:val="95"/>
          <w:sz w:val="14"/>
        </w:rPr>
        <w:t xml:space="preserve"> </w:t>
      </w:r>
      <w:r>
        <w:rPr>
          <w:w w:val="95"/>
          <w:sz w:val="14"/>
        </w:rPr>
        <w:t>Paper</w:t>
      </w:r>
      <w:r>
        <w:rPr>
          <w:spacing w:val="-2"/>
          <w:w w:val="95"/>
          <w:sz w:val="14"/>
        </w:rPr>
        <w:t xml:space="preserve"> </w:t>
      </w:r>
      <w:r>
        <w:rPr>
          <w:spacing w:val="-5"/>
          <w:w w:val="95"/>
          <w:sz w:val="14"/>
        </w:rPr>
        <w:t>4.</w:t>
      </w:r>
      <w:r>
        <w:rPr>
          <w:sz w:val="14"/>
        </w:rPr>
        <w:tab/>
      </w:r>
      <w:r>
        <w:rPr>
          <w:w w:val="95"/>
          <w:sz w:val="14"/>
        </w:rPr>
        <w:t>3</w:t>
      </w:r>
      <w:r>
        <w:rPr>
          <w:spacing w:val="73"/>
          <w:w w:val="150"/>
          <w:sz w:val="14"/>
        </w:rPr>
        <w:t xml:space="preserve"> </w:t>
      </w:r>
      <w:r>
        <w:rPr>
          <w:w w:val="95"/>
          <w:sz w:val="14"/>
        </w:rPr>
        <w:t>Australian</w:t>
      </w:r>
      <w:r>
        <w:rPr>
          <w:spacing w:val="-4"/>
          <w:w w:val="95"/>
          <w:sz w:val="14"/>
        </w:rPr>
        <w:t xml:space="preserve"> </w:t>
      </w:r>
      <w:r>
        <w:rPr>
          <w:w w:val="95"/>
          <w:sz w:val="14"/>
        </w:rPr>
        <w:t>Government</w:t>
      </w:r>
      <w:r>
        <w:rPr>
          <w:spacing w:val="-4"/>
          <w:w w:val="95"/>
          <w:sz w:val="14"/>
        </w:rPr>
        <w:t xml:space="preserve"> </w:t>
      </w:r>
      <w:r>
        <w:rPr>
          <w:w w:val="95"/>
          <w:sz w:val="14"/>
        </w:rPr>
        <w:t>2011,</w:t>
      </w:r>
      <w:r>
        <w:rPr>
          <w:spacing w:val="-4"/>
          <w:w w:val="95"/>
          <w:sz w:val="14"/>
        </w:rPr>
        <w:t xml:space="preserve"> </w:t>
      </w:r>
      <w:r>
        <w:rPr>
          <w:w w:val="95"/>
          <w:sz w:val="14"/>
        </w:rPr>
        <w:t>Review</w:t>
      </w:r>
      <w:r>
        <w:rPr>
          <w:spacing w:val="-4"/>
          <w:w w:val="95"/>
          <w:sz w:val="14"/>
        </w:rPr>
        <w:t xml:space="preserve"> </w:t>
      </w:r>
      <w:r>
        <w:rPr>
          <w:w w:val="95"/>
          <w:sz w:val="14"/>
        </w:rPr>
        <w:t>of</w:t>
      </w:r>
      <w:r>
        <w:rPr>
          <w:spacing w:val="-4"/>
          <w:w w:val="95"/>
          <w:sz w:val="14"/>
        </w:rPr>
        <w:t xml:space="preserve"> </w:t>
      </w:r>
      <w:r>
        <w:rPr>
          <w:w w:val="95"/>
          <w:sz w:val="14"/>
        </w:rPr>
        <w:t>Funding</w:t>
      </w:r>
      <w:r>
        <w:rPr>
          <w:spacing w:val="-3"/>
          <w:w w:val="95"/>
          <w:sz w:val="14"/>
        </w:rPr>
        <w:t xml:space="preserve"> </w:t>
      </w:r>
      <w:r>
        <w:rPr>
          <w:w w:val="95"/>
          <w:sz w:val="14"/>
        </w:rPr>
        <w:t>for</w:t>
      </w:r>
      <w:r>
        <w:rPr>
          <w:spacing w:val="-4"/>
          <w:w w:val="95"/>
          <w:sz w:val="14"/>
        </w:rPr>
        <w:t xml:space="preserve"> </w:t>
      </w:r>
      <w:r>
        <w:rPr>
          <w:w w:val="95"/>
          <w:sz w:val="14"/>
        </w:rPr>
        <w:t>Schooling,</w:t>
      </w:r>
      <w:r>
        <w:rPr>
          <w:spacing w:val="-4"/>
          <w:w w:val="95"/>
          <w:sz w:val="14"/>
        </w:rPr>
        <w:t xml:space="preserve"> </w:t>
      </w:r>
      <w:r>
        <w:rPr>
          <w:w w:val="95"/>
          <w:sz w:val="14"/>
        </w:rPr>
        <w:t>Final</w:t>
      </w:r>
      <w:r>
        <w:rPr>
          <w:spacing w:val="-4"/>
          <w:w w:val="95"/>
          <w:sz w:val="14"/>
        </w:rPr>
        <w:t xml:space="preserve"> </w:t>
      </w:r>
      <w:r>
        <w:rPr>
          <w:spacing w:val="-2"/>
          <w:w w:val="95"/>
          <w:sz w:val="14"/>
        </w:rPr>
        <w:t>Report.</w:t>
      </w:r>
    </w:p>
    <w:p w:rsidR="002C1123" w:rsidRDefault="002C1123">
      <w:pPr>
        <w:rPr>
          <w:sz w:val="14"/>
        </w:rPr>
        <w:sectPr w:rsidR="002C1123">
          <w:type w:val="continuous"/>
          <w:pgSz w:w="16840" w:h="11910" w:orient="landscape"/>
          <w:pgMar w:top="560" w:right="280" w:bottom="280" w:left="500" w:header="0" w:footer="517"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BodyText"/>
        <w:spacing w:before="106" w:line="249" w:lineRule="auto"/>
        <w:ind w:left="492"/>
      </w:pPr>
      <w:bookmarkStart w:id="360" w:name="_bookmark254"/>
      <w:bookmarkEnd w:id="360"/>
      <w:r>
        <w:rPr>
          <w:w w:val="95"/>
        </w:rPr>
        <w:t>Infrastructure</w:t>
      </w:r>
      <w:r>
        <w:rPr>
          <w:spacing w:val="-9"/>
          <w:w w:val="95"/>
        </w:rPr>
        <w:t xml:space="preserve"> </w:t>
      </w:r>
      <w:r>
        <w:rPr>
          <w:w w:val="95"/>
        </w:rPr>
        <w:t>NSW’s</w:t>
      </w:r>
      <w:r>
        <w:rPr>
          <w:spacing w:val="-9"/>
          <w:w w:val="95"/>
        </w:rPr>
        <w:t xml:space="preserve"> </w:t>
      </w:r>
      <w:r>
        <w:rPr>
          <w:w w:val="95"/>
        </w:rPr>
        <w:t>recommendations</w:t>
      </w:r>
      <w:r>
        <w:rPr>
          <w:spacing w:val="-9"/>
          <w:w w:val="95"/>
        </w:rPr>
        <w:t xml:space="preserve"> </w:t>
      </w:r>
      <w:r>
        <w:rPr>
          <w:w w:val="95"/>
        </w:rPr>
        <w:t>reflect</w:t>
      </w:r>
      <w:r>
        <w:rPr>
          <w:spacing w:val="-9"/>
          <w:w w:val="95"/>
        </w:rPr>
        <w:t xml:space="preserve"> </w:t>
      </w:r>
      <w:r>
        <w:rPr>
          <w:w w:val="95"/>
        </w:rPr>
        <w:t>some</w:t>
      </w:r>
      <w:r>
        <w:rPr>
          <w:spacing w:val="-9"/>
          <w:w w:val="95"/>
        </w:rPr>
        <w:t xml:space="preserve"> </w:t>
      </w:r>
      <w:r>
        <w:rPr>
          <w:w w:val="95"/>
        </w:rPr>
        <w:t xml:space="preserve">of </w:t>
      </w:r>
      <w:r>
        <w:t>the</w:t>
      </w:r>
      <w:r>
        <w:rPr>
          <w:spacing w:val="-14"/>
        </w:rPr>
        <w:t xml:space="preserve"> </w:t>
      </w:r>
      <w:r>
        <w:t>Gonski</w:t>
      </w:r>
      <w:r>
        <w:rPr>
          <w:spacing w:val="-14"/>
        </w:rPr>
        <w:t xml:space="preserve"> </w:t>
      </w:r>
      <w:r>
        <w:t>Review</w:t>
      </w:r>
      <w:r>
        <w:rPr>
          <w:spacing w:val="-14"/>
        </w:rPr>
        <w:t xml:space="preserve"> </w:t>
      </w:r>
      <w:r>
        <w:t>conclusions,</w:t>
      </w:r>
      <w:r>
        <w:rPr>
          <w:spacing w:val="-14"/>
        </w:rPr>
        <w:t xml:space="preserve"> </w:t>
      </w:r>
      <w:r>
        <w:t>as</w:t>
      </w:r>
      <w:r>
        <w:rPr>
          <w:spacing w:val="-14"/>
        </w:rPr>
        <w:t xml:space="preserve"> </w:t>
      </w:r>
      <w:r>
        <w:t>outlined</w:t>
      </w:r>
      <w:r>
        <w:rPr>
          <w:spacing w:val="-14"/>
        </w:rPr>
        <w:t xml:space="preserve"> </w:t>
      </w:r>
      <w:r>
        <w:t>below:</w:t>
      </w:r>
    </w:p>
    <w:p w:rsidR="002C1123" w:rsidRDefault="00F22F94">
      <w:pPr>
        <w:pStyle w:val="ListParagraph"/>
        <w:numPr>
          <w:ilvl w:val="0"/>
          <w:numId w:val="36"/>
        </w:numPr>
        <w:tabs>
          <w:tab w:val="left" w:pos="686"/>
        </w:tabs>
        <w:spacing w:before="143" w:line="249" w:lineRule="auto"/>
        <w:ind w:right="1598"/>
        <w:rPr>
          <w:sz w:val="20"/>
        </w:rPr>
      </w:pPr>
      <w:r>
        <w:rPr>
          <w:w w:val="95"/>
          <w:sz w:val="20"/>
        </w:rPr>
        <w:t>Introducing</w:t>
      </w:r>
      <w:r>
        <w:rPr>
          <w:spacing w:val="-5"/>
          <w:w w:val="95"/>
          <w:sz w:val="20"/>
        </w:rPr>
        <w:t xml:space="preserve"> </w:t>
      </w:r>
      <w:r>
        <w:rPr>
          <w:w w:val="95"/>
          <w:sz w:val="20"/>
        </w:rPr>
        <w:t>new</w:t>
      </w:r>
      <w:r>
        <w:rPr>
          <w:spacing w:val="-5"/>
          <w:w w:val="95"/>
          <w:sz w:val="20"/>
        </w:rPr>
        <w:t xml:space="preserve"> </w:t>
      </w:r>
      <w:r>
        <w:rPr>
          <w:w w:val="95"/>
          <w:sz w:val="20"/>
        </w:rPr>
        <w:t>facilities</w:t>
      </w:r>
      <w:r>
        <w:rPr>
          <w:spacing w:val="-5"/>
          <w:w w:val="95"/>
          <w:sz w:val="20"/>
        </w:rPr>
        <w:t xml:space="preserve"> </w:t>
      </w:r>
      <w:r>
        <w:rPr>
          <w:w w:val="95"/>
          <w:sz w:val="20"/>
        </w:rPr>
        <w:t xml:space="preserve">standards </w:t>
      </w:r>
      <w:r>
        <w:rPr>
          <w:sz w:val="20"/>
        </w:rPr>
        <w:t>(refer Recommendation 5)</w:t>
      </w:r>
    </w:p>
    <w:p w:rsidR="002C1123" w:rsidRDefault="00F22F94">
      <w:pPr>
        <w:pStyle w:val="ListParagraph"/>
        <w:numPr>
          <w:ilvl w:val="0"/>
          <w:numId w:val="36"/>
        </w:numPr>
        <w:tabs>
          <w:tab w:val="left" w:pos="694"/>
        </w:tabs>
        <w:spacing w:before="144" w:line="249" w:lineRule="auto"/>
        <w:ind w:left="693" w:right="1487" w:hanging="202"/>
        <w:rPr>
          <w:sz w:val="20"/>
        </w:rPr>
      </w:pPr>
      <w:r>
        <w:rPr>
          <w:w w:val="95"/>
          <w:sz w:val="20"/>
        </w:rPr>
        <w:t>Joint</w:t>
      </w:r>
      <w:r>
        <w:rPr>
          <w:spacing w:val="-6"/>
          <w:w w:val="95"/>
          <w:sz w:val="20"/>
        </w:rPr>
        <w:t xml:space="preserve"> </w:t>
      </w:r>
      <w:r>
        <w:rPr>
          <w:w w:val="95"/>
          <w:sz w:val="20"/>
        </w:rPr>
        <w:t>planning</w:t>
      </w:r>
      <w:r>
        <w:rPr>
          <w:spacing w:val="-6"/>
          <w:w w:val="95"/>
          <w:sz w:val="20"/>
        </w:rPr>
        <w:t xml:space="preserve"> </w:t>
      </w:r>
      <w:r>
        <w:rPr>
          <w:w w:val="95"/>
          <w:sz w:val="20"/>
        </w:rPr>
        <w:t>with</w:t>
      </w:r>
      <w:r>
        <w:rPr>
          <w:spacing w:val="-6"/>
          <w:w w:val="95"/>
          <w:sz w:val="20"/>
        </w:rPr>
        <w:t xml:space="preserve"> </w:t>
      </w:r>
      <w:r>
        <w:rPr>
          <w:w w:val="95"/>
          <w:sz w:val="20"/>
        </w:rPr>
        <w:t>the</w:t>
      </w:r>
      <w:r>
        <w:rPr>
          <w:spacing w:val="-6"/>
          <w:w w:val="95"/>
          <w:sz w:val="20"/>
        </w:rPr>
        <w:t xml:space="preserve"> </w:t>
      </w:r>
      <w:r>
        <w:rPr>
          <w:w w:val="95"/>
          <w:sz w:val="20"/>
        </w:rPr>
        <w:t>private</w:t>
      </w:r>
      <w:r>
        <w:rPr>
          <w:spacing w:val="-6"/>
          <w:w w:val="95"/>
          <w:sz w:val="20"/>
        </w:rPr>
        <w:t xml:space="preserve"> </w:t>
      </w:r>
      <w:r>
        <w:rPr>
          <w:w w:val="95"/>
          <w:sz w:val="20"/>
        </w:rPr>
        <w:t xml:space="preserve">sector </w:t>
      </w:r>
      <w:r>
        <w:rPr>
          <w:sz w:val="20"/>
        </w:rPr>
        <w:t>(discussed</w:t>
      </w:r>
      <w:r>
        <w:rPr>
          <w:spacing w:val="-11"/>
          <w:sz w:val="20"/>
        </w:rPr>
        <w:t xml:space="preserve"> </w:t>
      </w:r>
      <w:r>
        <w:rPr>
          <w:sz w:val="20"/>
        </w:rPr>
        <w:t>below)</w:t>
      </w:r>
    </w:p>
    <w:p w:rsidR="002C1123" w:rsidRDefault="00F22F94">
      <w:pPr>
        <w:pStyle w:val="ListParagraph"/>
        <w:numPr>
          <w:ilvl w:val="0"/>
          <w:numId w:val="36"/>
        </w:numPr>
        <w:tabs>
          <w:tab w:val="left" w:pos="699"/>
        </w:tabs>
        <w:spacing w:before="143" w:line="249" w:lineRule="auto"/>
        <w:ind w:left="698" w:right="337" w:hanging="207"/>
        <w:rPr>
          <w:sz w:val="20"/>
        </w:rPr>
      </w:pPr>
      <w:r>
        <w:rPr>
          <w:w w:val="95"/>
          <w:sz w:val="20"/>
        </w:rPr>
        <w:t>Greater</w:t>
      </w:r>
      <w:r>
        <w:rPr>
          <w:spacing w:val="-11"/>
          <w:w w:val="95"/>
          <w:sz w:val="20"/>
        </w:rPr>
        <w:t xml:space="preserve"> </w:t>
      </w:r>
      <w:r>
        <w:rPr>
          <w:w w:val="95"/>
          <w:sz w:val="20"/>
        </w:rPr>
        <w:t>local</w:t>
      </w:r>
      <w:r>
        <w:rPr>
          <w:spacing w:val="-11"/>
          <w:w w:val="95"/>
          <w:sz w:val="20"/>
        </w:rPr>
        <w:t xml:space="preserve"> </w:t>
      </w:r>
      <w:r>
        <w:rPr>
          <w:w w:val="95"/>
          <w:sz w:val="20"/>
        </w:rPr>
        <w:t>accountability</w:t>
      </w:r>
      <w:r>
        <w:rPr>
          <w:spacing w:val="-11"/>
          <w:w w:val="95"/>
          <w:sz w:val="20"/>
        </w:rPr>
        <w:t xml:space="preserve"> </w:t>
      </w:r>
      <w:r>
        <w:rPr>
          <w:w w:val="95"/>
          <w:sz w:val="20"/>
        </w:rPr>
        <w:t>for</w:t>
      </w:r>
      <w:r>
        <w:rPr>
          <w:spacing w:val="-11"/>
          <w:w w:val="95"/>
          <w:sz w:val="20"/>
        </w:rPr>
        <w:t xml:space="preserve"> </w:t>
      </w:r>
      <w:r>
        <w:rPr>
          <w:w w:val="95"/>
          <w:sz w:val="20"/>
        </w:rPr>
        <w:t>investment</w:t>
      </w:r>
      <w:r>
        <w:rPr>
          <w:spacing w:val="-11"/>
          <w:w w:val="95"/>
          <w:sz w:val="20"/>
        </w:rPr>
        <w:t xml:space="preserve"> </w:t>
      </w:r>
      <w:r>
        <w:rPr>
          <w:w w:val="95"/>
          <w:sz w:val="20"/>
        </w:rPr>
        <w:t>(refer</w:t>
      </w:r>
      <w:r>
        <w:rPr>
          <w:spacing w:val="-11"/>
          <w:w w:val="95"/>
          <w:sz w:val="20"/>
        </w:rPr>
        <w:t xml:space="preserve"> </w:t>
      </w:r>
      <w:r>
        <w:rPr>
          <w:w w:val="95"/>
          <w:sz w:val="20"/>
        </w:rPr>
        <w:t xml:space="preserve">to </w:t>
      </w:r>
      <w:r>
        <w:rPr>
          <w:sz w:val="20"/>
        </w:rPr>
        <w:t>Recommendation</w:t>
      </w:r>
      <w:r>
        <w:rPr>
          <w:spacing w:val="-11"/>
          <w:sz w:val="20"/>
        </w:rPr>
        <w:t xml:space="preserve"> </w:t>
      </w:r>
      <w:r>
        <w:rPr>
          <w:sz w:val="20"/>
        </w:rPr>
        <w:t>4).</w:t>
      </w:r>
    </w:p>
    <w:p w:rsidR="002C1123" w:rsidRDefault="00F22F94">
      <w:pPr>
        <w:pStyle w:val="BodyText"/>
        <w:spacing w:before="144"/>
        <w:ind w:left="492"/>
      </w:pPr>
      <w:r>
        <w:rPr>
          <w:w w:val="105"/>
        </w:rPr>
        <w:t>New</w:t>
      </w:r>
      <w:r>
        <w:rPr>
          <w:spacing w:val="-13"/>
          <w:w w:val="105"/>
        </w:rPr>
        <w:t xml:space="preserve"> </w:t>
      </w:r>
      <w:r>
        <w:rPr>
          <w:w w:val="105"/>
        </w:rPr>
        <w:t>facilities</w:t>
      </w:r>
      <w:r>
        <w:rPr>
          <w:spacing w:val="-13"/>
          <w:w w:val="105"/>
        </w:rPr>
        <w:t xml:space="preserve"> </w:t>
      </w:r>
      <w:r>
        <w:rPr>
          <w:spacing w:val="-2"/>
          <w:w w:val="105"/>
        </w:rPr>
        <w:t>standards</w:t>
      </w:r>
    </w:p>
    <w:p w:rsidR="002C1123" w:rsidRDefault="00F22F94">
      <w:pPr>
        <w:pStyle w:val="BodyText"/>
        <w:spacing w:before="10" w:line="249" w:lineRule="auto"/>
        <w:ind w:left="492" w:right="365"/>
      </w:pPr>
      <w:r>
        <w:t>Infrastructure</w:t>
      </w:r>
      <w:r>
        <w:rPr>
          <w:spacing w:val="-10"/>
        </w:rPr>
        <w:t xml:space="preserve"> </w:t>
      </w:r>
      <w:r>
        <w:t>NSW</w:t>
      </w:r>
      <w:r>
        <w:rPr>
          <w:spacing w:val="-10"/>
        </w:rPr>
        <w:t xml:space="preserve"> </w:t>
      </w:r>
      <w:r>
        <w:t>supports</w:t>
      </w:r>
      <w:r>
        <w:rPr>
          <w:spacing w:val="-10"/>
        </w:rPr>
        <w:t xml:space="preserve"> </w:t>
      </w:r>
      <w:r>
        <w:t>a</w:t>
      </w:r>
      <w:r>
        <w:rPr>
          <w:spacing w:val="-10"/>
        </w:rPr>
        <w:t xml:space="preserve"> </w:t>
      </w:r>
      <w:r>
        <w:t>national</w:t>
      </w:r>
      <w:r>
        <w:rPr>
          <w:spacing w:val="-10"/>
        </w:rPr>
        <w:t xml:space="preserve"> </w:t>
      </w:r>
      <w:r>
        <w:t xml:space="preserve">minimum </w:t>
      </w:r>
      <w:r>
        <w:rPr>
          <w:w w:val="95"/>
        </w:rPr>
        <w:t>standard for education facilities if it is implemented consistently</w:t>
      </w:r>
      <w:r>
        <w:rPr>
          <w:spacing w:val="-12"/>
          <w:w w:val="95"/>
        </w:rPr>
        <w:t xml:space="preserve"> </w:t>
      </w:r>
      <w:r>
        <w:rPr>
          <w:w w:val="95"/>
        </w:rPr>
        <w:t>with</w:t>
      </w:r>
      <w:r>
        <w:rPr>
          <w:spacing w:val="-11"/>
          <w:w w:val="95"/>
        </w:rPr>
        <w:t xml:space="preserve"> </w:t>
      </w:r>
      <w:r>
        <w:rPr>
          <w:w w:val="95"/>
        </w:rPr>
        <w:t>the</w:t>
      </w:r>
      <w:r>
        <w:rPr>
          <w:spacing w:val="-11"/>
          <w:w w:val="95"/>
        </w:rPr>
        <w:t xml:space="preserve"> </w:t>
      </w:r>
      <w:r>
        <w:rPr>
          <w:w w:val="95"/>
        </w:rPr>
        <w:t>Local</w:t>
      </w:r>
      <w:r>
        <w:rPr>
          <w:spacing w:val="-11"/>
          <w:w w:val="95"/>
        </w:rPr>
        <w:t xml:space="preserve"> </w:t>
      </w:r>
      <w:r>
        <w:rPr>
          <w:w w:val="95"/>
        </w:rPr>
        <w:t>Schools,</w:t>
      </w:r>
      <w:r>
        <w:rPr>
          <w:spacing w:val="-11"/>
          <w:w w:val="95"/>
        </w:rPr>
        <w:t xml:space="preserve"> </w:t>
      </w:r>
      <w:r>
        <w:rPr>
          <w:w w:val="95"/>
        </w:rPr>
        <w:t>Local</w:t>
      </w:r>
      <w:r>
        <w:rPr>
          <w:spacing w:val="-12"/>
          <w:w w:val="95"/>
        </w:rPr>
        <w:t xml:space="preserve"> </w:t>
      </w:r>
      <w:r>
        <w:rPr>
          <w:w w:val="95"/>
        </w:rPr>
        <w:t xml:space="preserve">Decisions </w:t>
      </w:r>
      <w:r>
        <w:t>reform</w:t>
      </w:r>
      <w:r>
        <w:rPr>
          <w:spacing w:val="-14"/>
        </w:rPr>
        <w:t xml:space="preserve"> </w:t>
      </w:r>
      <w:r>
        <w:t>by</w:t>
      </w:r>
      <w:r>
        <w:rPr>
          <w:spacing w:val="-14"/>
        </w:rPr>
        <w:t xml:space="preserve"> </w:t>
      </w:r>
      <w:r>
        <w:t>the</w:t>
      </w:r>
      <w:r>
        <w:rPr>
          <w:spacing w:val="-14"/>
        </w:rPr>
        <w:t xml:space="preserve"> </w:t>
      </w:r>
      <w:r>
        <w:t>NSW</w:t>
      </w:r>
      <w:r>
        <w:rPr>
          <w:spacing w:val="-14"/>
        </w:rPr>
        <w:t xml:space="preserve"> </w:t>
      </w:r>
      <w:r>
        <w:t>Government.</w:t>
      </w:r>
      <w:r>
        <w:rPr>
          <w:spacing w:val="-14"/>
        </w:rPr>
        <w:t xml:space="preserve"> </w:t>
      </w:r>
      <w:r>
        <w:t>Infrastructure NSW</w:t>
      </w:r>
      <w:r>
        <w:rPr>
          <w:spacing w:val="-2"/>
        </w:rPr>
        <w:t xml:space="preserve"> </w:t>
      </w:r>
      <w:r>
        <w:t>supports</w:t>
      </w:r>
      <w:r>
        <w:rPr>
          <w:spacing w:val="-2"/>
        </w:rPr>
        <w:t xml:space="preserve"> </w:t>
      </w:r>
      <w:r>
        <w:t>publishing</w:t>
      </w:r>
      <w:r>
        <w:rPr>
          <w:spacing w:val="-2"/>
        </w:rPr>
        <w:t xml:space="preserve"> </w:t>
      </w:r>
      <w:r>
        <w:t>a</w:t>
      </w:r>
      <w:r>
        <w:rPr>
          <w:spacing w:val="-2"/>
        </w:rPr>
        <w:t xml:space="preserve"> </w:t>
      </w:r>
      <w:r>
        <w:t>minimum</w:t>
      </w:r>
      <w:r>
        <w:rPr>
          <w:spacing w:val="-3"/>
        </w:rPr>
        <w:t xml:space="preserve"> </w:t>
      </w:r>
      <w:r>
        <w:t>standard, (which</w:t>
      </w:r>
      <w:r>
        <w:rPr>
          <w:spacing w:val="-9"/>
        </w:rPr>
        <w:t xml:space="preserve"> </w:t>
      </w:r>
      <w:r>
        <w:t>would</w:t>
      </w:r>
      <w:r>
        <w:rPr>
          <w:spacing w:val="-9"/>
        </w:rPr>
        <w:t xml:space="preserve"> </w:t>
      </w:r>
      <w:r>
        <w:t>be</w:t>
      </w:r>
      <w:r>
        <w:rPr>
          <w:spacing w:val="-9"/>
        </w:rPr>
        <w:t xml:space="preserve"> </w:t>
      </w:r>
      <w:r>
        <w:t>known</w:t>
      </w:r>
      <w:r>
        <w:rPr>
          <w:spacing w:val="-9"/>
        </w:rPr>
        <w:t xml:space="preserve"> </w:t>
      </w:r>
      <w:r>
        <w:t>to</w:t>
      </w:r>
      <w:r>
        <w:rPr>
          <w:spacing w:val="-10"/>
        </w:rPr>
        <w:t xml:space="preserve"> </w:t>
      </w:r>
      <w:r>
        <w:t>communities)</w:t>
      </w:r>
      <w:r>
        <w:rPr>
          <w:spacing w:val="-10"/>
        </w:rPr>
        <w:t xml:space="preserve"> </w:t>
      </w:r>
      <w:r>
        <w:t>with</w:t>
      </w:r>
    </w:p>
    <w:p w:rsidR="002C1123" w:rsidRDefault="00F22F94">
      <w:pPr>
        <w:pStyle w:val="BodyText"/>
        <w:spacing w:before="4" w:line="249" w:lineRule="auto"/>
        <w:ind w:left="492" w:hanging="1"/>
      </w:pPr>
      <w:r>
        <w:rPr>
          <w:w w:val="95"/>
        </w:rPr>
        <w:t>responsibility</w:t>
      </w:r>
      <w:r>
        <w:rPr>
          <w:spacing w:val="-14"/>
          <w:w w:val="95"/>
        </w:rPr>
        <w:t xml:space="preserve"> </w:t>
      </w:r>
      <w:r>
        <w:rPr>
          <w:w w:val="95"/>
        </w:rPr>
        <w:t>for</w:t>
      </w:r>
      <w:r>
        <w:rPr>
          <w:spacing w:val="-11"/>
          <w:w w:val="95"/>
        </w:rPr>
        <w:t xml:space="preserve"> </w:t>
      </w:r>
      <w:r>
        <w:rPr>
          <w:w w:val="95"/>
        </w:rPr>
        <w:t>maintaining</w:t>
      </w:r>
      <w:r>
        <w:rPr>
          <w:spacing w:val="-11"/>
          <w:w w:val="95"/>
        </w:rPr>
        <w:t xml:space="preserve"> </w:t>
      </w:r>
      <w:r>
        <w:rPr>
          <w:w w:val="95"/>
        </w:rPr>
        <w:t>that</w:t>
      </w:r>
      <w:r>
        <w:rPr>
          <w:spacing w:val="-11"/>
          <w:w w:val="95"/>
        </w:rPr>
        <w:t xml:space="preserve"> </w:t>
      </w:r>
      <w:r>
        <w:rPr>
          <w:w w:val="95"/>
        </w:rPr>
        <w:t>standard</w:t>
      </w:r>
      <w:r>
        <w:rPr>
          <w:spacing w:val="-11"/>
          <w:w w:val="95"/>
        </w:rPr>
        <w:t xml:space="preserve"> </w:t>
      </w:r>
      <w:r>
        <w:rPr>
          <w:w w:val="95"/>
        </w:rPr>
        <w:t>devolved</w:t>
      </w:r>
      <w:r>
        <w:rPr>
          <w:spacing w:val="-11"/>
          <w:w w:val="95"/>
        </w:rPr>
        <w:t xml:space="preserve"> </w:t>
      </w:r>
      <w:r>
        <w:rPr>
          <w:w w:val="95"/>
        </w:rPr>
        <w:t xml:space="preserve">to </w:t>
      </w:r>
      <w:r>
        <w:t>school</w:t>
      </w:r>
      <w:r>
        <w:rPr>
          <w:spacing w:val="-11"/>
        </w:rPr>
        <w:t xml:space="preserve"> </w:t>
      </w:r>
      <w:r>
        <w:t>principals.</w:t>
      </w:r>
    </w:p>
    <w:p w:rsidR="002C1123" w:rsidRDefault="00F22F94">
      <w:pPr>
        <w:pStyle w:val="Heading6"/>
        <w:spacing w:before="144"/>
        <w:ind w:left="492"/>
      </w:pPr>
      <w:r>
        <w:t>Joint</w:t>
      </w:r>
      <w:r>
        <w:rPr>
          <w:spacing w:val="-11"/>
        </w:rPr>
        <w:t xml:space="preserve"> </w:t>
      </w:r>
      <w:r>
        <w:rPr>
          <w:spacing w:val="-2"/>
        </w:rPr>
        <w:t>planning</w:t>
      </w:r>
    </w:p>
    <w:p w:rsidR="002C1123" w:rsidRDefault="00F22F94">
      <w:pPr>
        <w:pStyle w:val="BodyText"/>
        <w:spacing w:before="10" w:line="249" w:lineRule="auto"/>
        <w:ind w:left="492" w:right="145"/>
      </w:pPr>
      <w:r>
        <w:t>The</w:t>
      </w:r>
      <w:r>
        <w:rPr>
          <w:spacing w:val="-14"/>
        </w:rPr>
        <w:t xml:space="preserve"> </w:t>
      </w:r>
      <w:r>
        <w:t>Review</w:t>
      </w:r>
      <w:r>
        <w:rPr>
          <w:spacing w:val="-14"/>
        </w:rPr>
        <w:t xml:space="preserve"> </w:t>
      </w:r>
      <w:r>
        <w:t>Panel</w:t>
      </w:r>
      <w:r>
        <w:rPr>
          <w:spacing w:val="-14"/>
        </w:rPr>
        <w:t xml:space="preserve"> </w:t>
      </w:r>
      <w:r>
        <w:t>observed</w:t>
      </w:r>
      <w:r>
        <w:rPr>
          <w:spacing w:val="-14"/>
        </w:rPr>
        <w:t xml:space="preserve"> </w:t>
      </w:r>
      <w:r>
        <w:t>that</w:t>
      </w:r>
      <w:r>
        <w:rPr>
          <w:spacing w:val="-14"/>
        </w:rPr>
        <w:t xml:space="preserve"> </w:t>
      </w:r>
      <w:r>
        <w:t>there</w:t>
      </w:r>
      <w:r>
        <w:rPr>
          <w:spacing w:val="-14"/>
        </w:rPr>
        <w:t xml:space="preserve"> </w:t>
      </w:r>
      <w:r>
        <w:t>are</w:t>
      </w:r>
      <w:r>
        <w:rPr>
          <w:spacing w:val="-14"/>
        </w:rPr>
        <w:t xml:space="preserve"> </w:t>
      </w:r>
      <w:r>
        <w:t xml:space="preserve">currently </w:t>
      </w:r>
      <w:r>
        <w:rPr>
          <w:w w:val="95"/>
        </w:rPr>
        <w:t>no</w:t>
      </w:r>
      <w:r>
        <w:rPr>
          <w:spacing w:val="-3"/>
          <w:w w:val="95"/>
        </w:rPr>
        <w:t xml:space="preserve"> </w:t>
      </w:r>
      <w:r>
        <w:rPr>
          <w:w w:val="95"/>
        </w:rPr>
        <w:t>coherent</w:t>
      </w:r>
      <w:r>
        <w:rPr>
          <w:spacing w:val="-3"/>
          <w:w w:val="95"/>
        </w:rPr>
        <w:t xml:space="preserve"> </w:t>
      </w:r>
      <w:r>
        <w:rPr>
          <w:w w:val="95"/>
        </w:rPr>
        <w:t>and</w:t>
      </w:r>
      <w:r>
        <w:rPr>
          <w:spacing w:val="-3"/>
          <w:w w:val="95"/>
        </w:rPr>
        <w:t xml:space="preserve"> </w:t>
      </w:r>
      <w:r>
        <w:rPr>
          <w:w w:val="95"/>
        </w:rPr>
        <w:t>transparent</w:t>
      </w:r>
      <w:r>
        <w:rPr>
          <w:spacing w:val="-3"/>
          <w:w w:val="95"/>
        </w:rPr>
        <w:t xml:space="preserve"> </w:t>
      </w:r>
      <w:r>
        <w:rPr>
          <w:w w:val="95"/>
        </w:rPr>
        <w:t>institutional</w:t>
      </w:r>
      <w:r>
        <w:rPr>
          <w:spacing w:val="-3"/>
          <w:w w:val="95"/>
        </w:rPr>
        <w:t xml:space="preserve"> </w:t>
      </w:r>
      <w:r>
        <w:rPr>
          <w:w w:val="95"/>
        </w:rPr>
        <w:t>or</w:t>
      </w:r>
      <w:r>
        <w:rPr>
          <w:spacing w:val="-3"/>
          <w:w w:val="95"/>
        </w:rPr>
        <w:t xml:space="preserve"> </w:t>
      </w:r>
      <w:r>
        <w:rPr>
          <w:w w:val="95"/>
        </w:rPr>
        <w:t>regulatory</w:t>
      </w:r>
    </w:p>
    <w:p w:rsidR="002C1123" w:rsidRDefault="00F22F94">
      <w:pPr>
        <w:pStyle w:val="BodyText"/>
        <w:spacing w:before="1" w:line="249" w:lineRule="auto"/>
        <w:ind w:left="492"/>
      </w:pPr>
      <w:r>
        <w:rPr>
          <w:w w:val="95"/>
        </w:rPr>
        <w:t xml:space="preserve">arrangements by which the public and private education </w:t>
      </w:r>
      <w:r>
        <w:t>sectors</w:t>
      </w:r>
      <w:r>
        <w:rPr>
          <w:spacing w:val="-7"/>
        </w:rPr>
        <w:t xml:space="preserve"> </w:t>
      </w:r>
      <w:r>
        <w:t>can</w:t>
      </w:r>
      <w:r>
        <w:rPr>
          <w:spacing w:val="-7"/>
        </w:rPr>
        <w:t xml:space="preserve"> </w:t>
      </w:r>
      <w:r>
        <w:t>participate</w:t>
      </w:r>
      <w:r>
        <w:rPr>
          <w:spacing w:val="-7"/>
        </w:rPr>
        <w:t xml:space="preserve"> </w:t>
      </w:r>
      <w:r>
        <w:t>to</w:t>
      </w:r>
      <w:r>
        <w:rPr>
          <w:spacing w:val="-7"/>
        </w:rPr>
        <w:t xml:space="preserve"> </w:t>
      </w:r>
      <w:r>
        <w:t>agree</w:t>
      </w:r>
      <w:r>
        <w:rPr>
          <w:spacing w:val="-7"/>
        </w:rPr>
        <w:t xml:space="preserve"> </w:t>
      </w:r>
      <w:r>
        <w:t>the</w:t>
      </w:r>
      <w:r>
        <w:rPr>
          <w:spacing w:val="-7"/>
        </w:rPr>
        <w:t xml:space="preserve"> </w:t>
      </w:r>
      <w:r>
        <w:t>best</w:t>
      </w:r>
      <w:r>
        <w:rPr>
          <w:spacing w:val="-7"/>
        </w:rPr>
        <w:t xml:space="preserve"> </w:t>
      </w:r>
      <w:r>
        <w:t>approach</w:t>
      </w:r>
      <w:r>
        <w:rPr>
          <w:spacing w:val="-7"/>
        </w:rPr>
        <w:t xml:space="preserve"> </w:t>
      </w:r>
      <w:r>
        <w:t>to school</w:t>
      </w:r>
      <w:r>
        <w:rPr>
          <w:spacing w:val="-11"/>
        </w:rPr>
        <w:t xml:space="preserve"> </w:t>
      </w:r>
      <w:r>
        <w:t>provision</w:t>
      </w:r>
      <w:r>
        <w:rPr>
          <w:position w:val="7"/>
          <w:sz w:val="11"/>
        </w:rPr>
        <w:t>4</w:t>
      </w:r>
      <w:r>
        <w:t>.</w:t>
      </w: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060EF">
      <w:pPr>
        <w:pStyle w:val="BodyText"/>
        <w:spacing w:before="4"/>
        <w:rPr>
          <w:sz w:val="21"/>
        </w:rPr>
      </w:pPr>
      <w:r>
        <w:pict>
          <v:shape id="docshape2467" o:spid="_x0000_s1567" style="position:absolute;margin-left:49.6pt;margin-top:13.5pt;width:1in;height:.1pt;z-index:-251331584;mso-wrap-distance-left:0;mso-wrap-distance-right:0;mso-position-horizontal-relative:page" coordorigin="992,270" coordsize="1440,0" path="m992,270r1440,e" filled="f" strokecolor="#9c9c9d" strokeweight=".5pt">
            <v:path arrowok="t"/>
            <w10:wrap type="topAndBottom" anchorx="page"/>
          </v:shape>
        </w:pict>
      </w:r>
    </w:p>
    <w:p w:rsidR="002C1123" w:rsidRDefault="00F22F94">
      <w:pPr>
        <w:pStyle w:val="ListParagraph"/>
        <w:numPr>
          <w:ilvl w:val="0"/>
          <w:numId w:val="35"/>
        </w:numPr>
        <w:tabs>
          <w:tab w:val="left" w:pos="691"/>
        </w:tabs>
        <w:spacing w:before="23"/>
        <w:jc w:val="left"/>
        <w:rPr>
          <w:sz w:val="14"/>
        </w:rPr>
      </w:pPr>
      <w:r>
        <w:rPr>
          <w:w w:val="95"/>
          <w:sz w:val="14"/>
        </w:rPr>
        <w:t>Australian</w:t>
      </w:r>
      <w:r>
        <w:rPr>
          <w:spacing w:val="-3"/>
          <w:w w:val="95"/>
          <w:sz w:val="14"/>
        </w:rPr>
        <w:t xml:space="preserve"> </w:t>
      </w:r>
      <w:r>
        <w:rPr>
          <w:w w:val="95"/>
          <w:sz w:val="14"/>
        </w:rPr>
        <w:t>Government,</w:t>
      </w:r>
      <w:r>
        <w:rPr>
          <w:spacing w:val="-2"/>
          <w:w w:val="95"/>
          <w:sz w:val="14"/>
        </w:rPr>
        <w:t xml:space="preserve"> </w:t>
      </w:r>
      <w:r>
        <w:rPr>
          <w:w w:val="95"/>
          <w:sz w:val="14"/>
        </w:rPr>
        <w:t>2011</w:t>
      </w:r>
      <w:r>
        <w:rPr>
          <w:spacing w:val="-2"/>
          <w:w w:val="95"/>
          <w:sz w:val="14"/>
        </w:rPr>
        <w:t xml:space="preserve"> </w:t>
      </w:r>
      <w:r>
        <w:rPr>
          <w:w w:val="95"/>
          <w:sz w:val="14"/>
        </w:rPr>
        <w:t>Review</w:t>
      </w:r>
      <w:r>
        <w:rPr>
          <w:spacing w:val="-2"/>
          <w:w w:val="95"/>
          <w:sz w:val="14"/>
        </w:rPr>
        <w:t xml:space="preserve"> </w:t>
      </w:r>
      <w:r>
        <w:rPr>
          <w:w w:val="95"/>
          <w:sz w:val="14"/>
        </w:rPr>
        <w:t>of</w:t>
      </w:r>
      <w:r>
        <w:rPr>
          <w:spacing w:val="-2"/>
          <w:w w:val="95"/>
          <w:sz w:val="14"/>
        </w:rPr>
        <w:t xml:space="preserve"> </w:t>
      </w:r>
      <w:r>
        <w:rPr>
          <w:w w:val="95"/>
          <w:sz w:val="14"/>
        </w:rPr>
        <w:t>Funding</w:t>
      </w:r>
      <w:r>
        <w:rPr>
          <w:spacing w:val="-2"/>
          <w:w w:val="95"/>
          <w:sz w:val="14"/>
        </w:rPr>
        <w:t xml:space="preserve"> </w:t>
      </w:r>
      <w:r>
        <w:rPr>
          <w:w w:val="95"/>
          <w:sz w:val="14"/>
        </w:rPr>
        <w:t>for</w:t>
      </w:r>
      <w:r>
        <w:rPr>
          <w:spacing w:val="-2"/>
          <w:w w:val="95"/>
          <w:sz w:val="14"/>
        </w:rPr>
        <w:t xml:space="preserve"> </w:t>
      </w:r>
      <w:r>
        <w:rPr>
          <w:w w:val="95"/>
          <w:sz w:val="14"/>
        </w:rPr>
        <w:t>Schooling,</w:t>
      </w:r>
      <w:r>
        <w:rPr>
          <w:spacing w:val="-2"/>
          <w:w w:val="95"/>
          <w:sz w:val="14"/>
        </w:rPr>
        <w:t xml:space="preserve"> </w:t>
      </w:r>
      <w:r>
        <w:rPr>
          <w:w w:val="95"/>
          <w:sz w:val="14"/>
        </w:rPr>
        <w:t>Final</w:t>
      </w:r>
      <w:r>
        <w:rPr>
          <w:spacing w:val="-2"/>
          <w:w w:val="95"/>
          <w:sz w:val="14"/>
        </w:rPr>
        <w:t xml:space="preserve"> Report.</w:t>
      </w:r>
    </w:p>
    <w:p w:rsidR="002C1123" w:rsidRDefault="00F22F94">
      <w:pPr>
        <w:pStyle w:val="BodyText"/>
        <w:spacing w:before="106" w:line="249" w:lineRule="auto"/>
        <w:ind w:left="212"/>
      </w:pPr>
      <w:r>
        <w:br w:type="column"/>
      </w:r>
      <w:r>
        <w:rPr>
          <w:w w:val="95"/>
        </w:rPr>
        <w:t xml:space="preserve">The Review recommended a School Planning Authority </w:t>
      </w:r>
      <w:r>
        <w:t>be</w:t>
      </w:r>
      <w:r>
        <w:rPr>
          <w:spacing w:val="-10"/>
        </w:rPr>
        <w:t xml:space="preserve"> </w:t>
      </w:r>
      <w:r>
        <w:t>established</w:t>
      </w:r>
      <w:r>
        <w:rPr>
          <w:spacing w:val="-10"/>
        </w:rPr>
        <w:t xml:space="preserve"> </w:t>
      </w:r>
      <w:r>
        <w:t>in</w:t>
      </w:r>
      <w:r>
        <w:rPr>
          <w:spacing w:val="-10"/>
        </w:rPr>
        <w:t xml:space="preserve"> </w:t>
      </w:r>
      <w:r>
        <w:t>each</w:t>
      </w:r>
      <w:r>
        <w:rPr>
          <w:spacing w:val="-10"/>
        </w:rPr>
        <w:t xml:space="preserve"> </w:t>
      </w:r>
      <w:r>
        <w:t>state</w:t>
      </w:r>
      <w:r>
        <w:rPr>
          <w:spacing w:val="-10"/>
        </w:rPr>
        <w:t xml:space="preserve"> </w:t>
      </w:r>
      <w:r>
        <w:t>and</w:t>
      </w:r>
      <w:r>
        <w:rPr>
          <w:spacing w:val="-10"/>
        </w:rPr>
        <w:t xml:space="preserve"> </w:t>
      </w:r>
      <w:r>
        <w:t>territory</w:t>
      </w:r>
      <w:r>
        <w:rPr>
          <w:spacing w:val="-10"/>
        </w:rPr>
        <w:t xml:space="preserve"> </w:t>
      </w:r>
      <w:r>
        <w:t>to</w:t>
      </w:r>
      <w:r>
        <w:rPr>
          <w:spacing w:val="-10"/>
        </w:rPr>
        <w:t xml:space="preserve"> </w:t>
      </w:r>
      <w:r>
        <w:t xml:space="preserve">promote </w:t>
      </w:r>
      <w:r>
        <w:rPr>
          <w:w w:val="95"/>
        </w:rPr>
        <w:t xml:space="preserve">comprehensive and co-ordinated planning for schooling </w:t>
      </w:r>
      <w:r>
        <w:t>(across</w:t>
      </w:r>
      <w:r>
        <w:rPr>
          <w:spacing w:val="-13"/>
        </w:rPr>
        <w:t xml:space="preserve"> </w:t>
      </w:r>
      <w:r>
        <w:t>public</w:t>
      </w:r>
      <w:r>
        <w:rPr>
          <w:spacing w:val="-13"/>
        </w:rPr>
        <w:t xml:space="preserve"> </w:t>
      </w:r>
      <w:r>
        <w:t>and</w:t>
      </w:r>
      <w:r>
        <w:rPr>
          <w:spacing w:val="-13"/>
        </w:rPr>
        <w:t xml:space="preserve"> </w:t>
      </w:r>
      <w:r>
        <w:t>private</w:t>
      </w:r>
      <w:r>
        <w:rPr>
          <w:spacing w:val="-13"/>
        </w:rPr>
        <w:t xml:space="preserve"> </w:t>
      </w:r>
      <w:r>
        <w:t>sectors)</w:t>
      </w:r>
      <w:r>
        <w:rPr>
          <w:spacing w:val="-13"/>
        </w:rPr>
        <w:t xml:space="preserve"> </w:t>
      </w:r>
      <w:r>
        <w:t>and</w:t>
      </w:r>
      <w:r>
        <w:rPr>
          <w:spacing w:val="-13"/>
        </w:rPr>
        <w:t xml:space="preserve"> </w:t>
      </w:r>
      <w:r>
        <w:t>to</w:t>
      </w:r>
      <w:r>
        <w:rPr>
          <w:spacing w:val="-13"/>
        </w:rPr>
        <w:t xml:space="preserve"> </w:t>
      </w:r>
      <w:r>
        <w:t xml:space="preserve">avoid </w:t>
      </w:r>
      <w:r>
        <w:rPr>
          <w:w w:val="95"/>
        </w:rPr>
        <w:t>unnecessary</w:t>
      </w:r>
      <w:r>
        <w:rPr>
          <w:spacing w:val="-3"/>
          <w:w w:val="95"/>
        </w:rPr>
        <w:t xml:space="preserve"> </w:t>
      </w:r>
      <w:r>
        <w:rPr>
          <w:w w:val="95"/>
        </w:rPr>
        <w:t>duplication</w:t>
      </w:r>
      <w:r>
        <w:rPr>
          <w:spacing w:val="-2"/>
          <w:w w:val="95"/>
        </w:rPr>
        <w:t xml:space="preserve"> </w:t>
      </w:r>
      <w:r>
        <w:rPr>
          <w:w w:val="95"/>
        </w:rPr>
        <w:t>and</w:t>
      </w:r>
      <w:r>
        <w:rPr>
          <w:spacing w:val="-3"/>
          <w:w w:val="95"/>
        </w:rPr>
        <w:t xml:space="preserve"> </w:t>
      </w:r>
      <w:r>
        <w:rPr>
          <w:w w:val="95"/>
        </w:rPr>
        <w:t>under-utilisation</w:t>
      </w:r>
      <w:r>
        <w:rPr>
          <w:spacing w:val="-2"/>
          <w:w w:val="95"/>
        </w:rPr>
        <w:t xml:space="preserve"> </w:t>
      </w:r>
      <w:r>
        <w:rPr>
          <w:w w:val="95"/>
        </w:rPr>
        <w:t>of</w:t>
      </w:r>
      <w:r>
        <w:rPr>
          <w:spacing w:val="-2"/>
          <w:w w:val="95"/>
        </w:rPr>
        <w:t xml:space="preserve"> assets.</w:t>
      </w:r>
    </w:p>
    <w:p w:rsidR="002C1123" w:rsidRDefault="00F22F94">
      <w:pPr>
        <w:pStyle w:val="BodyText"/>
        <w:spacing w:before="146" w:line="249" w:lineRule="auto"/>
        <w:ind w:left="212"/>
      </w:pPr>
      <w:r>
        <w:rPr>
          <w:w w:val="95"/>
        </w:rPr>
        <w:t>Infrastructure</w:t>
      </w:r>
      <w:r>
        <w:rPr>
          <w:spacing w:val="-2"/>
          <w:w w:val="95"/>
        </w:rPr>
        <w:t xml:space="preserve"> </w:t>
      </w:r>
      <w:r>
        <w:rPr>
          <w:w w:val="95"/>
        </w:rPr>
        <w:t>NSW</w:t>
      </w:r>
      <w:r>
        <w:rPr>
          <w:spacing w:val="-2"/>
          <w:w w:val="95"/>
        </w:rPr>
        <w:t xml:space="preserve"> </w:t>
      </w:r>
      <w:r>
        <w:rPr>
          <w:w w:val="95"/>
        </w:rPr>
        <w:t>notes</w:t>
      </w:r>
      <w:r>
        <w:rPr>
          <w:spacing w:val="-2"/>
          <w:w w:val="95"/>
        </w:rPr>
        <w:t xml:space="preserve"> </w:t>
      </w:r>
      <w:r>
        <w:rPr>
          <w:w w:val="95"/>
        </w:rPr>
        <w:t>that,</w:t>
      </w:r>
      <w:r>
        <w:rPr>
          <w:spacing w:val="-2"/>
          <w:w w:val="95"/>
        </w:rPr>
        <w:t xml:space="preserve"> </w:t>
      </w:r>
      <w:r>
        <w:rPr>
          <w:w w:val="95"/>
        </w:rPr>
        <w:t>collaborative</w:t>
      </w:r>
      <w:r>
        <w:rPr>
          <w:spacing w:val="-2"/>
          <w:w w:val="95"/>
        </w:rPr>
        <w:t xml:space="preserve"> </w:t>
      </w:r>
      <w:r>
        <w:rPr>
          <w:w w:val="95"/>
        </w:rPr>
        <w:t xml:space="preserve">co-planning </w:t>
      </w:r>
      <w:r>
        <w:t>could be achieved by:</w:t>
      </w:r>
    </w:p>
    <w:p w:rsidR="002C1123" w:rsidRDefault="00F22F94">
      <w:pPr>
        <w:pStyle w:val="ListParagraph"/>
        <w:numPr>
          <w:ilvl w:val="3"/>
          <w:numId w:val="39"/>
        </w:numPr>
        <w:tabs>
          <w:tab w:val="left" w:pos="496"/>
        </w:tabs>
        <w:spacing w:before="131" w:line="249" w:lineRule="auto"/>
        <w:ind w:left="495" w:right="217"/>
        <w:rPr>
          <w:sz w:val="20"/>
        </w:rPr>
      </w:pPr>
      <w:r>
        <w:rPr>
          <w:w w:val="95"/>
          <w:sz w:val="20"/>
        </w:rPr>
        <w:t>providing</w:t>
      </w:r>
      <w:r>
        <w:rPr>
          <w:spacing w:val="-1"/>
          <w:w w:val="95"/>
          <w:sz w:val="20"/>
        </w:rPr>
        <w:t xml:space="preserve"> </w:t>
      </w:r>
      <w:r>
        <w:rPr>
          <w:w w:val="95"/>
          <w:sz w:val="20"/>
        </w:rPr>
        <w:t>greater</w:t>
      </w:r>
      <w:r>
        <w:rPr>
          <w:spacing w:val="-1"/>
          <w:w w:val="95"/>
          <w:sz w:val="20"/>
        </w:rPr>
        <w:t xml:space="preserve"> </w:t>
      </w:r>
      <w:r>
        <w:rPr>
          <w:w w:val="95"/>
          <w:sz w:val="20"/>
        </w:rPr>
        <w:t>opportunity</w:t>
      </w:r>
      <w:r>
        <w:rPr>
          <w:spacing w:val="-1"/>
          <w:w w:val="95"/>
          <w:sz w:val="20"/>
        </w:rPr>
        <w:t xml:space="preserve"> </w:t>
      </w:r>
      <w:r>
        <w:rPr>
          <w:w w:val="95"/>
          <w:sz w:val="20"/>
        </w:rPr>
        <w:t>for</w:t>
      </w:r>
      <w:r>
        <w:rPr>
          <w:spacing w:val="-1"/>
          <w:w w:val="95"/>
          <w:sz w:val="20"/>
        </w:rPr>
        <w:t xml:space="preserve"> </w:t>
      </w:r>
      <w:r>
        <w:rPr>
          <w:w w:val="95"/>
          <w:sz w:val="20"/>
        </w:rPr>
        <w:t>the</w:t>
      </w:r>
      <w:r>
        <w:rPr>
          <w:spacing w:val="-1"/>
          <w:w w:val="95"/>
          <w:sz w:val="20"/>
        </w:rPr>
        <w:t xml:space="preserve"> </w:t>
      </w:r>
      <w:r>
        <w:rPr>
          <w:w w:val="95"/>
          <w:sz w:val="20"/>
        </w:rPr>
        <w:t>private</w:t>
      </w:r>
      <w:r>
        <w:rPr>
          <w:spacing w:val="-1"/>
          <w:w w:val="95"/>
          <w:sz w:val="20"/>
        </w:rPr>
        <w:t xml:space="preserve"> </w:t>
      </w:r>
      <w:r>
        <w:rPr>
          <w:w w:val="95"/>
          <w:sz w:val="20"/>
        </w:rPr>
        <w:t xml:space="preserve">sector </w:t>
      </w:r>
      <w:r>
        <w:rPr>
          <w:sz w:val="20"/>
        </w:rPr>
        <w:t>to</w:t>
      </w:r>
      <w:r>
        <w:rPr>
          <w:spacing w:val="-10"/>
          <w:sz w:val="20"/>
        </w:rPr>
        <w:t xml:space="preserve"> </w:t>
      </w:r>
      <w:r>
        <w:rPr>
          <w:sz w:val="20"/>
        </w:rPr>
        <w:t>identify</w:t>
      </w:r>
      <w:r>
        <w:rPr>
          <w:spacing w:val="-10"/>
          <w:sz w:val="20"/>
        </w:rPr>
        <w:t xml:space="preserve"> </w:t>
      </w:r>
      <w:r>
        <w:rPr>
          <w:sz w:val="20"/>
        </w:rPr>
        <w:t>market</w:t>
      </w:r>
      <w:r>
        <w:rPr>
          <w:spacing w:val="-10"/>
          <w:sz w:val="20"/>
        </w:rPr>
        <w:t xml:space="preserve"> </w:t>
      </w:r>
      <w:r>
        <w:rPr>
          <w:sz w:val="20"/>
        </w:rPr>
        <w:t>entry</w:t>
      </w:r>
      <w:r>
        <w:rPr>
          <w:spacing w:val="-10"/>
          <w:sz w:val="20"/>
        </w:rPr>
        <w:t xml:space="preserve"> </w:t>
      </w:r>
      <w:r>
        <w:rPr>
          <w:sz w:val="20"/>
        </w:rPr>
        <w:t>points</w:t>
      </w:r>
      <w:r>
        <w:rPr>
          <w:spacing w:val="-10"/>
          <w:sz w:val="20"/>
        </w:rPr>
        <w:t xml:space="preserve"> </w:t>
      </w:r>
      <w:r>
        <w:rPr>
          <w:sz w:val="20"/>
        </w:rPr>
        <w:t>through</w:t>
      </w:r>
      <w:r>
        <w:rPr>
          <w:spacing w:val="-10"/>
          <w:sz w:val="20"/>
        </w:rPr>
        <w:t xml:space="preserve"> </w:t>
      </w:r>
      <w:r>
        <w:rPr>
          <w:sz w:val="20"/>
        </w:rPr>
        <w:t>published demographic and planning information</w:t>
      </w:r>
    </w:p>
    <w:p w:rsidR="002C1123" w:rsidRDefault="00F22F94">
      <w:pPr>
        <w:pStyle w:val="ListParagraph"/>
        <w:numPr>
          <w:ilvl w:val="3"/>
          <w:numId w:val="39"/>
        </w:numPr>
        <w:tabs>
          <w:tab w:val="left" w:pos="496"/>
        </w:tabs>
        <w:spacing w:before="131" w:line="249" w:lineRule="auto"/>
        <w:ind w:left="495" w:right="451"/>
        <w:rPr>
          <w:sz w:val="20"/>
        </w:rPr>
      </w:pPr>
      <w:r>
        <w:rPr>
          <w:w w:val="95"/>
          <w:sz w:val="20"/>
        </w:rPr>
        <w:t>removing</w:t>
      </w:r>
      <w:r>
        <w:rPr>
          <w:spacing w:val="-10"/>
          <w:w w:val="95"/>
          <w:sz w:val="20"/>
        </w:rPr>
        <w:t xml:space="preserve"> </w:t>
      </w:r>
      <w:r>
        <w:rPr>
          <w:w w:val="95"/>
          <w:sz w:val="20"/>
        </w:rPr>
        <w:t>any</w:t>
      </w:r>
      <w:r>
        <w:rPr>
          <w:spacing w:val="-10"/>
          <w:w w:val="95"/>
          <w:sz w:val="20"/>
        </w:rPr>
        <w:t xml:space="preserve"> </w:t>
      </w:r>
      <w:r>
        <w:rPr>
          <w:w w:val="95"/>
          <w:sz w:val="20"/>
        </w:rPr>
        <w:t>barriers</w:t>
      </w:r>
      <w:r>
        <w:rPr>
          <w:spacing w:val="-10"/>
          <w:w w:val="95"/>
          <w:sz w:val="20"/>
        </w:rPr>
        <w:t xml:space="preserve"> </w:t>
      </w:r>
      <w:r>
        <w:rPr>
          <w:w w:val="95"/>
          <w:sz w:val="20"/>
        </w:rPr>
        <w:t>against</w:t>
      </w:r>
      <w:r>
        <w:rPr>
          <w:spacing w:val="-10"/>
          <w:w w:val="95"/>
          <w:sz w:val="20"/>
        </w:rPr>
        <w:t xml:space="preserve"> </w:t>
      </w:r>
      <w:r>
        <w:rPr>
          <w:w w:val="95"/>
          <w:sz w:val="20"/>
        </w:rPr>
        <w:t>private</w:t>
      </w:r>
      <w:r>
        <w:rPr>
          <w:spacing w:val="-10"/>
          <w:w w:val="95"/>
          <w:sz w:val="20"/>
        </w:rPr>
        <w:t xml:space="preserve"> </w:t>
      </w:r>
      <w:r>
        <w:rPr>
          <w:w w:val="95"/>
          <w:sz w:val="20"/>
        </w:rPr>
        <w:t>schools</w:t>
      </w:r>
      <w:r>
        <w:rPr>
          <w:spacing w:val="-10"/>
          <w:w w:val="95"/>
          <w:sz w:val="20"/>
        </w:rPr>
        <w:t xml:space="preserve"> </w:t>
      </w:r>
      <w:r>
        <w:rPr>
          <w:w w:val="95"/>
          <w:sz w:val="20"/>
        </w:rPr>
        <w:t xml:space="preserve">in </w:t>
      </w:r>
      <w:r>
        <w:rPr>
          <w:spacing w:val="-2"/>
          <w:sz w:val="20"/>
        </w:rPr>
        <w:t>the</w:t>
      </w:r>
      <w:r>
        <w:rPr>
          <w:spacing w:val="-5"/>
          <w:sz w:val="20"/>
        </w:rPr>
        <w:t xml:space="preserve"> </w:t>
      </w:r>
      <w:r>
        <w:rPr>
          <w:spacing w:val="-2"/>
          <w:sz w:val="20"/>
        </w:rPr>
        <w:t>planning,</w:t>
      </w:r>
      <w:r>
        <w:rPr>
          <w:spacing w:val="-5"/>
          <w:sz w:val="20"/>
        </w:rPr>
        <w:t xml:space="preserve"> </w:t>
      </w:r>
      <w:r>
        <w:rPr>
          <w:spacing w:val="-2"/>
          <w:sz w:val="20"/>
        </w:rPr>
        <w:t>licensing</w:t>
      </w:r>
      <w:r>
        <w:rPr>
          <w:spacing w:val="-5"/>
          <w:sz w:val="20"/>
        </w:rPr>
        <w:t xml:space="preserve"> </w:t>
      </w:r>
      <w:r>
        <w:rPr>
          <w:spacing w:val="-2"/>
          <w:sz w:val="20"/>
        </w:rPr>
        <w:t>process</w:t>
      </w:r>
      <w:r>
        <w:rPr>
          <w:spacing w:val="-5"/>
          <w:sz w:val="20"/>
        </w:rPr>
        <w:t xml:space="preserve"> </w:t>
      </w:r>
      <w:r>
        <w:rPr>
          <w:spacing w:val="-2"/>
          <w:sz w:val="20"/>
        </w:rPr>
        <w:t>and</w:t>
      </w:r>
      <w:r>
        <w:rPr>
          <w:spacing w:val="-5"/>
          <w:sz w:val="20"/>
        </w:rPr>
        <w:t xml:space="preserve"> </w:t>
      </w:r>
      <w:r>
        <w:rPr>
          <w:spacing w:val="-2"/>
          <w:sz w:val="20"/>
        </w:rPr>
        <w:t>promoting</w:t>
      </w:r>
    </w:p>
    <w:p w:rsidR="002C1123" w:rsidRDefault="00F22F94">
      <w:pPr>
        <w:pStyle w:val="BodyText"/>
        <w:spacing w:before="1" w:line="249" w:lineRule="auto"/>
        <w:ind w:left="495"/>
      </w:pPr>
      <w:r>
        <w:rPr>
          <w:w w:val="95"/>
        </w:rPr>
        <w:t>coordination</w:t>
      </w:r>
      <w:r>
        <w:rPr>
          <w:spacing w:val="-5"/>
          <w:w w:val="95"/>
        </w:rPr>
        <w:t xml:space="preserve"> </w:t>
      </w:r>
      <w:r>
        <w:rPr>
          <w:w w:val="95"/>
        </w:rPr>
        <w:t>from</w:t>
      </w:r>
      <w:r>
        <w:rPr>
          <w:spacing w:val="-5"/>
          <w:w w:val="95"/>
        </w:rPr>
        <w:t xml:space="preserve"> </w:t>
      </w:r>
      <w:r>
        <w:rPr>
          <w:w w:val="95"/>
        </w:rPr>
        <w:t>the</w:t>
      </w:r>
      <w:r>
        <w:rPr>
          <w:spacing w:val="-5"/>
          <w:w w:val="95"/>
        </w:rPr>
        <w:t xml:space="preserve"> </w:t>
      </w:r>
      <w:r>
        <w:rPr>
          <w:w w:val="95"/>
        </w:rPr>
        <w:t>earliest</w:t>
      </w:r>
      <w:r>
        <w:rPr>
          <w:spacing w:val="-5"/>
          <w:w w:val="95"/>
        </w:rPr>
        <w:t xml:space="preserve"> </w:t>
      </w:r>
      <w:r>
        <w:rPr>
          <w:w w:val="95"/>
        </w:rPr>
        <w:t>stages</w:t>
      </w:r>
      <w:r>
        <w:rPr>
          <w:spacing w:val="-5"/>
          <w:w w:val="95"/>
        </w:rPr>
        <w:t xml:space="preserve"> </w:t>
      </w:r>
      <w:r>
        <w:rPr>
          <w:w w:val="95"/>
        </w:rPr>
        <w:t>of</w:t>
      </w:r>
      <w:r>
        <w:rPr>
          <w:spacing w:val="-5"/>
          <w:w w:val="95"/>
        </w:rPr>
        <w:t xml:space="preserve"> </w:t>
      </w:r>
      <w:r>
        <w:rPr>
          <w:w w:val="95"/>
        </w:rPr>
        <w:t>the</w:t>
      </w:r>
      <w:r>
        <w:rPr>
          <w:spacing w:val="-5"/>
          <w:w w:val="95"/>
        </w:rPr>
        <w:t xml:space="preserve"> </w:t>
      </w:r>
      <w:r>
        <w:rPr>
          <w:w w:val="95"/>
        </w:rPr>
        <w:t xml:space="preserve">planning </w:t>
      </w:r>
      <w:r>
        <w:rPr>
          <w:spacing w:val="-2"/>
        </w:rPr>
        <w:t>process</w:t>
      </w:r>
    </w:p>
    <w:p w:rsidR="002C1123" w:rsidRDefault="00F22F94">
      <w:pPr>
        <w:pStyle w:val="ListParagraph"/>
        <w:numPr>
          <w:ilvl w:val="3"/>
          <w:numId w:val="39"/>
        </w:numPr>
        <w:tabs>
          <w:tab w:val="left" w:pos="496"/>
        </w:tabs>
        <w:spacing w:before="131"/>
        <w:ind w:left="495"/>
        <w:rPr>
          <w:sz w:val="20"/>
        </w:rPr>
      </w:pPr>
      <w:r>
        <w:rPr>
          <w:w w:val="95"/>
          <w:sz w:val="20"/>
        </w:rPr>
        <w:t>increasing</w:t>
      </w:r>
      <w:r>
        <w:rPr>
          <w:spacing w:val="-5"/>
          <w:w w:val="95"/>
          <w:sz w:val="20"/>
        </w:rPr>
        <w:t xml:space="preserve"> </w:t>
      </w:r>
      <w:r>
        <w:rPr>
          <w:w w:val="95"/>
          <w:sz w:val="20"/>
        </w:rPr>
        <w:t>opportunities</w:t>
      </w:r>
      <w:r>
        <w:rPr>
          <w:spacing w:val="-4"/>
          <w:w w:val="95"/>
          <w:sz w:val="20"/>
        </w:rPr>
        <w:t xml:space="preserve"> </w:t>
      </w:r>
      <w:r>
        <w:rPr>
          <w:w w:val="95"/>
          <w:sz w:val="20"/>
        </w:rPr>
        <w:t>for</w:t>
      </w:r>
      <w:r>
        <w:rPr>
          <w:spacing w:val="-5"/>
          <w:w w:val="95"/>
          <w:sz w:val="20"/>
        </w:rPr>
        <w:t xml:space="preserve"> </w:t>
      </w:r>
      <w:r>
        <w:rPr>
          <w:w w:val="95"/>
          <w:sz w:val="20"/>
        </w:rPr>
        <w:t>shared</w:t>
      </w:r>
      <w:r>
        <w:rPr>
          <w:spacing w:val="-4"/>
          <w:w w:val="95"/>
          <w:sz w:val="20"/>
        </w:rPr>
        <w:t xml:space="preserve"> </w:t>
      </w:r>
      <w:r>
        <w:rPr>
          <w:w w:val="95"/>
          <w:sz w:val="20"/>
        </w:rPr>
        <w:t>use</w:t>
      </w:r>
      <w:r>
        <w:rPr>
          <w:spacing w:val="-4"/>
          <w:w w:val="95"/>
          <w:sz w:val="20"/>
        </w:rPr>
        <w:t xml:space="preserve"> </w:t>
      </w:r>
      <w:r>
        <w:rPr>
          <w:w w:val="95"/>
          <w:sz w:val="20"/>
        </w:rPr>
        <w:t>of</w:t>
      </w:r>
      <w:r>
        <w:rPr>
          <w:spacing w:val="-5"/>
          <w:w w:val="95"/>
          <w:sz w:val="20"/>
        </w:rPr>
        <w:t xml:space="preserve"> </w:t>
      </w:r>
      <w:r>
        <w:rPr>
          <w:spacing w:val="-2"/>
          <w:w w:val="95"/>
          <w:sz w:val="20"/>
        </w:rPr>
        <w:t>facilities</w:t>
      </w:r>
    </w:p>
    <w:p w:rsidR="002C1123" w:rsidRDefault="00F22F94">
      <w:pPr>
        <w:pStyle w:val="BodyText"/>
        <w:spacing w:before="10" w:line="249" w:lineRule="auto"/>
        <w:ind w:left="495"/>
      </w:pPr>
      <w:r>
        <w:rPr>
          <w:w w:val="95"/>
        </w:rPr>
        <w:t>e.g.</w:t>
      </w:r>
      <w:r>
        <w:rPr>
          <w:spacing w:val="-3"/>
          <w:w w:val="95"/>
        </w:rPr>
        <w:t xml:space="preserve"> </w:t>
      </w:r>
      <w:r>
        <w:rPr>
          <w:w w:val="95"/>
        </w:rPr>
        <w:t>design</w:t>
      </w:r>
      <w:r>
        <w:rPr>
          <w:spacing w:val="-3"/>
          <w:w w:val="95"/>
        </w:rPr>
        <w:t xml:space="preserve"> </w:t>
      </w:r>
      <w:r>
        <w:rPr>
          <w:w w:val="95"/>
        </w:rPr>
        <w:t>new</w:t>
      </w:r>
      <w:r>
        <w:rPr>
          <w:spacing w:val="-3"/>
          <w:w w:val="95"/>
        </w:rPr>
        <w:t xml:space="preserve"> </w:t>
      </w:r>
      <w:r>
        <w:rPr>
          <w:w w:val="95"/>
        </w:rPr>
        <w:t>schools</w:t>
      </w:r>
      <w:r>
        <w:rPr>
          <w:spacing w:val="-3"/>
          <w:w w:val="95"/>
        </w:rPr>
        <w:t xml:space="preserve"> </w:t>
      </w:r>
      <w:r>
        <w:rPr>
          <w:w w:val="95"/>
        </w:rPr>
        <w:t>to</w:t>
      </w:r>
      <w:r>
        <w:rPr>
          <w:spacing w:val="-3"/>
          <w:w w:val="95"/>
        </w:rPr>
        <w:t xml:space="preserve"> </w:t>
      </w:r>
      <w:r>
        <w:rPr>
          <w:w w:val="95"/>
        </w:rPr>
        <w:t>enable</w:t>
      </w:r>
      <w:r>
        <w:rPr>
          <w:spacing w:val="-3"/>
          <w:w w:val="95"/>
        </w:rPr>
        <w:t xml:space="preserve"> </w:t>
      </w:r>
      <w:r>
        <w:rPr>
          <w:w w:val="95"/>
        </w:rPr>
        <w:t>shared</w:t>
      </w:r>
      <w:r>
        <w:rPr>
          <w:spacing w:val="-3"/>
          <w:w w:val="95"/>
        </w:rPr>
        <w:t xml:space="preserve"> </w:t>
      </w:r>
      <w:r>
        <w:rPr>
          <w:w w:val="95"/>
        </w:rPr>
        <w:t>access</w:t>
      </w:r>
      <w:r>
        <w:rPr>
          <w:spacing w:val="-3"/>
          <w:w w:val="95"/>
        </w:rPr>
        <w:t xml:space="preserve"> </w:t>
      </w:r>
      <w:r>
        <w:rPr>
          <w:w w:val="95"/>
        </w:rPr>
        <w:t xml:space="preserve">to </w:t>
      </w:r>
      <w:r>
        <w:t>playing fields or libraries.</w:t>
      </w:r>
    </w:p>
    <w:p w:rsidR="002C1123" w:rsidRDefault="00F22F94">
      <w:pPr>
        <w:pStyle w:val="Heading6"/>
        <w:spacing w:before="144" w:line="249" w:lineRule="auto"/>
        <w:ind w:left="212" w:right="841"/>
      </w:pPr>
      <w:r>
        <w:t>Inefficient</w:t>
      </w:r>
      <w:r>
        <w:rPr>
          <w:spacing w:val="-14"/>
        </w:rPr>
        <w:t xml:space="preserve"> </w:t>
      </w:r>
      <w:r>
        <w:t>investment</w:t>
      </w:r>
      <w:r>
        <w:rPr>
          <w:spacing w:val="-14"/>
        </w:rPr>
        <w:t xml:space="preserve"> </w:t>
      </w:r>
      <w:r>
        <w:t>in</w:t>
      </w:r>
      <w:r>
        <w:rPr>
          <w:spacing w:val="-14"/>
        </w:rPr>
        <w:t xml:space="preserve"> </w:t>
      </w:r>
      <w:r>
        <w:t>and</w:t>
      </w:r>
      <w:r>
        <w:rPr>
          <w:spacing w:val="-14"/>
        </w:rPr>
        <w:t xml:space="preserve"> </w:t>
      </w:r>
      <w:r>
        <w:t>use</w:t>
      </w:r>
      <w:r>
        <w:rPr>
          <w:spacing w:val="-14"/>
        </w:rPr>
        <w:t xml:space="preserve"> </w:t>
      </w:r>
      <w:r>
        <w:t>of school facilities</w:t>
      </w:r>
    </w:p>
    <w:p w:rsidR="002C1123" w:rsidRDefault="00F22F94">
      <w:pPr>
        <w:pStyle w:val="BodyText"/>
        <w:spacing w:before="1" w:line="249" w:lineRule="auto"/>
        <w:ind w:left="212"/>
      </w:pPr>
      <w:r>
        <w:t>The</w:t>
      </w:r>
      <w:r>
        <w:rPr>
          <w:spacing w:val="-6"/>
        </w:rPr>
        <w:t xml:space="preserve"> </w:t>
      </w:r>
      <w:r>
        <w:t>Review</w:t>
      </w:r>
      <w:r>
        <w:rPr>
          <w:spacing w:val="-6"/>
        </w:rPr>
        <w:t xml:space="preserve"> </w:t>
      </w:r>
      <w:r>
        <w:t>identified</w:t>
      </w:r>
      <w:r>
        <w:rPr>
          <w:spacing w:val="-6"/>
        </w:rPr>
        <w:t xml:space="preserve"> </w:t>
      </w:r>
      <w:r>
        <w:t>community</w:t>
      </w:r>
      <w:r>
        <w:rPr>
          <w:spacing w:val="-6"/>
        </w:rPr>
        <w:t xml:space="preserve"> </w:t>
      </w:r>
      <w:r>
        <w:t>concerns</w:t>
      </w:r>
      <w:r>
        <w:rPr>
          <w:spacing w:val="-6"/>
        </w:rPr>
        <w:t xml:space="preserve"> </w:t>
      </w:r>
      <w:r>
        <w:t xml:space="preserve">about </w:t>
      </w:r>
      <w:r>
        <w:rPr>
          <w:w w:val="95"/>
        </w:rPr>
        <w:t xml:space="preserve">inefficient investment in and use of school facilities with </w:t>
      </w:r>
      <w:r>
        <w:t>some</w:t>
      </w:r>
      <w:r>
        <w:rPr>
          <w:spacing w:val="-12"/>
        </w:rPr>
        <w:t xml:space="preserve"> </w:t>
      </w:r>
      <w:r>
        <w:t>submissions</w:t>
      </w:r>
      <w:r>
        <w:rPr>
          <w:spacing w:val="-12"/>
        </w:rPr>
        <w:t xml:space="preserve"> </w:t>
      </w:r>
      <w:r>
        <w:t>to</w:t>
      </w:r>
      <w:r>
        <w:rPr>
          <w:spacing w:val="-12"/>
        </w:rPr>
        <w:t xml:space="preserve"> </w:t>
      </w:r>
      <w:r>
        <w:t>the</w:t>
      </w:r>
      <w:r>
        <w:rPr>
          <w:spacing w:val="-12"/>
        </w:rPr>
        <w:t xml:space="preserve"> </w:t>
      </w:r>
      <w:r>
        <w:t>inquiry</w:t>
      </w:r>
      <w:r>
        <w:rPr>
          <w:spacing w:val="-12"/>
        </w:rPr>
        <w:t xml:space="preserve"> </w:t>
      </w:r>
      <w:r>
        <w:t>raising</w:t>
      </w:r>
      <w:r>
        <w:rPr>
          <w:spacing w:val="-12"/>
        </w:rPr>
        <w:t xml:space="preserve"> </w:t>
      </w:r>
      <w:r>
        <w:t>the</w:t>
      </w:r>
      <w:r>
        <w:rPr>
          <w:spacing w:val="-12"/>
        </w:rPr>
        <w:t xml:space="preserve"> </w:t>
      </w:r>
      <w:r>
        <w:t>need</w:t>
      </w:r>
      <w:r>
        <w:rPr>
          <w:spacing w:val="-12"/>
        </w:rPr>
        <w:t xml:space="preserve"> </w:t>
      </w:r>
      <w:r>
        <w:t xml:space="preserve">for </w:t>
      </w:r>
      <w:r>
        <w:rPr>
          <w:w w:val="95"/>
        </w:rPr>
        <w:t>school</w:t>
      </w:r>
      <w:r>
        <w:rPr>
          <w:spacing w:val="-1"/>
          <w:w w:val="95"/>
        </w:rPr>
        <w:t xml:space="preserve"> </w:t>
      </w:r>
      <w:r>
        <w:rPr>
          <w:w w:val="95"/>
        </w:rPr>
        <w:t>facilities</w:t>
      </w:r>
      <w:r>
        <w:rPr>
          <w:spacing w:val="-1"/>
          <w:w w:val="95"/>
        </w:rPr>
        <w:t xml:space="preserve"> </w:t>
      </w:r>
      <w:r>
        <w:rPr>
          <w:w w:val="95"/>
        </w:rPr>
        <w:t>to</w:t>
      </w:r>
      <w:r>
        <w:rPr>
          <w:spacing w:val="-1"/>
          <w:w w:val="95"/>
        </w:rPr>
        <w:t xml:space="preserve"> </w:t>
      </w:r>
      <w:r>
        <w:rPr>
          <w:w w:val="95"/>
        </w:rPr>
        <w:t>be</w:t>
      </w:r>
      <w:r>
        <w:rPr>
          <w:spacing w:val="-1"/>
          <w:w w:val="95"/>
        </w:rPr>
        <w:t xml:space="preserve"> </w:t>
      </w:r>
      <w:r>
        <w:rPr>
          <w:w w:val="95"/>
        </w:rPr>
        <w:t>accessible</w:t>
      </w:r>
      <w:r>
        <w:rPr>
          <w:spacing w:val="-1"/>
          <w:w w:val="95"/>
        </w:rPr>
        <w:t xml:space="preserve"> </w:t>
      </w:r>
      <w:r>
        <w:rPr>
          <w:w w:val="95"/>
        </w:rPr>
        <w:t>outside</w:t>
      </w:r>
      <w:r>
        <w:rPr>
          <w:spacing w:val="-1"/>
          <w:w w:val="95"/>
        </w:rPr>
        <w:t xml:space="preserve"> </w:t>
      </w:r>
      <w:r>
        <w:rPr>
          <w:w w:val="95"/>
        </w:rPr>
        <w:t>of</w:t>
      </w:r>
      <w:r>
        <w:rPr>
          <w:spacing w:val="-1"/>
          <w:w w:val="95"/>
        </w:rPr>
        <w:t xml:space="preserve"> </w:t>
      </w:r>
      <w:r>
        <w:rPr>
          <w:w w:val="95"/>
        </w:rPr>
        <w:t>school</w:t>
      </w:r>
      <w:r>
        <w:rPr>
          <w:spacing w:val="-1"/>
          <w:w w:val="95"/>
        </w:rPr>
        <w:t xml:space="preserve"> </w:t>
      </w:r>
      <w:r>
        <w:rPr>
          <w:w w:val="95"/>
        </w:rPr>
        <w:t xml:space="preserve">hours </w:t>
      </w:r>
      <w:r>
        <w:t>for</w:t>
      </w:r>
      <w:r>
        <w:rPr>
          <w:spacing w:val="-9"/>
        </w:rPr>
        <w:t xml:space="preserve"> </w:t>
      </w:r>
      <w:r>
        <w:t>community</w:t>
      </w:r>
      <w:r>
        <w:rPr>
          <w:spacing w:val="-9"/>
        </w:rPr>
        <w:t xml:space="preserve"> </w:t>
      </w:r>
      <w:r>
        <w:t>use.</w:t>
      </w:r>
      <w:r>
        <w:rPr>
          <w:spacing w:val="-9"/>
        </w:rPr>
        <w:t xml:space="preserve"> </w:t>
      </w:r>
      <w:r>
        <w:t>The</w:t>
      </w:r>
      <w:r>
        <w:rPr>
          <w:spacing w:val="-9"/>
        </w:rPr>
        <w:t xml:space="preserve"> </w:t>
      </w:r>
      <w:r>
        <w:t>Department</w:t>
      </w:r>
      <w:r>
        <w:rPr>
          <w:spacing w:val="-9"/>
        </w:rPr>
        <w:t xml:space="preserve"> </w:t>
      </w:r>
      <w:r>
        <w:t>of</w:t>
      </w:r>
      <w:r>
        <w:rPr>
          <w:spacing w:val="-9"/>
        </w:rPr>
        <w:t xml:space="preserve"> </w:t>
      </w:r>
      <w:r>
        <w:t>Education</w:t>
      </w:r>
      <w:r>
        <w:rPr>
          <w:spacing w:val="-9"/>
        </w:rPr>
        <w:t xml:space="preserve"> </w:t>
      </w:r>
      <w:r>
        <w:t xml:space="preserve">and </w:t>
      </w:r>
      <w:r>
        <w:rPr>
          <w:w w:val="95"/>
        </w:rPr>
        <w:t xml:space="preserve">Communities has identified options such as open space </w:t>
      </w:r>
      <w:r>
        <w:t>sharing</w:t>
      </w:r>
      <w:r>
        <w:rPr>
          <w:spacing w:val="-13"/>
        </w:rPr>
        <w:t xml:space="preserve"> </w:t>
      </w:r>
      <w:r>
        <w:t>on</w:t>
      </w:r>
      <w:r>
        <w:rPr>
          <w:spacing w:val="-13"/>
        </w:rPr>
        <w:t xml:space="preserve"> </w:t>
      </w:r>
      <w:r>
        <w:t>a</w:t>
      </w:r>
      <w:r>
        <w:rPr>
          <w:spacing w:val="-13"/>
        </w:rPr>
        <w:t xml:space="preserve"> </w:t>
      </w:r>
      <w:r>
        <w:t>case-by-case</w:t>
      </w:r>
      <w:r>
        <w:rPr>
          <w:spacing w:val="-13"/>
        </w:rPr>
        <w:t xml:space="preserve"> </w:t>
      </w:r>
      <w:r>
        <w:t>basis.</w:t>
      </w:r>
      <w:r>
        <w:rPr>
          <w:spacing w:val="-13"/>
        </w:rPr>
        <w:t xml:space="preserve"> </w:t>
      </w:r>
      <w:r>
        <w:t>Infrastructure</w:t>
      </w:r>
      <w:r>
        <w:rPr>
          <w:spacing w:val="-13"/>
        </w:rPr>
        <w:t xml:space="preserve"> </w:t>
      </w:r>
      <w:r>
        <w:t xml:space="preserve">NSW </w:t>
      </w:r>
      <w:r>
        <w:rPr>
          <w:w w:val="95"/>
        </w:rPr>
        <w:t>notes</w:t>
      </w:r>
      <w:r>
        <w:rPr>
          <w:spacing w:val="-3"/>
          <w:w w:val="95"/>
        </w:rPr>
        <w:t xml:space="preserve"> </w:t>
      </w:r>
      <w:r>
        <w:rPr>
          <w:w w:val="95"/>
        </w:rPr>
        <w:t>that</w:t>
      </w:r>
      <w:r>
        <w:rPr>
          <w:spacing w:val="-3"/>
          <w:w w:val="95"/>
        </w:rPr>
        <w:t xml:space="preserve"> </w:t>
      </w:r>
      <w:r>
        <w:rPr>
          <w:w w:val="95"/>
        </w:rPr>
        <w:t>there</w:t>
      </w:r>
      <w:r>
        <w:rPr>
          <w:spacing w:val="-3"/>
          <w:w w:val="95"/>
        </w:rPr>
        <w:t xml:space="preserve"> </w:t>
      </w:r>
      <w:r>
        <w:rPr>
          <w:w w:val="95"/>
        </w:rPr>
        <w:t>is</w:t>
      </w:r>
      <w:r>
        <w:rPr>
          <w:spacing w:val="-3"/>
          <w:w w:val="95"/>
        </w:rPr>
        <w:t xml:space="preserve"> </w:t>
      </w:r>
      <w:r>
        <w:rPr>
          <w:w w:val="95"/>
        </w:rPr>
        <w:t>potential</w:t>
      </w:r>
      <w:r>
        <w:rPr>
          <w:spacing w:val="-3"/>
          <w:w w:val="95"/>
        </w:rPr>
        <w:t xml:space="preserve"> </w:t>
      </w:r>
      <w:r>
        <w:rPr>
          <w:w w:val="95"/>
        </w:rPr>
        <w:t>for</w:t>
      </w:r>
      <w:r>
        <w:rPr>
          <w:spacing w:val="-3"/>
          <w:w w:val="95"/>
        </w:rPr>
        <w:t xml:space="preserve"> </w:t>
      </w:r>
      <w:r>
        <w:rPr>
          <w:w w:val="95"/>
        </w:rPr>
        <w:t>greater</w:t>
      </w:r>
      <w:r>
        <w:rPr>
          <w:spacing w:val="-3"/>
          <w:w w:val="95"/>
        </w:rPr>
        <w:t xml:space="preserve"> </w:t>
      </w:r>
      <w:r>
        <w:rPr>
          <w:w w:val="95"/>
        </w:rPr>
        <w:t>collaboration</w:t>
      </w:r>
      <w:r>
        <w:rPr>
          <w:spacing w:val="-3"/>
          <w:w w:val="95"/>
        </w:rPr>
        <w:t xml:space="preserve"> </w:t>
      </w:r>
      <w:r>
        <w:rPr>
          <w:w w:val="95"/>
        </w:rPr>
        <w:t xml:space="preserve">and development particularly with other education providers </w:t>
      </w:r>
      <w:r>
        <w:t>and local councils.</w:t>
      </w:r>
    </w:p>
    <w:p w:rsidR="002C1123" w:rsidRDefault="00F22F94">
      <w:pPr>
        <w:pStyle w:val="BodyText"/>
        <w:spacing w:before="106" w:line="249" w:lineRule="auto"/>
        <w:ind w:left="246" w:right="867"/>
      </w:pPr>
      <w:r>
        <w:br w:type="column"/>
      </w:r>
      <w:r>
        <w:rPr>
          <w:w w:val="95"/>
        </w:rPr>
        <w:t>These</w:t>
      </w:r>
      <w:r>
        <w:rPr>
          <w:spacing w:val="-10"/>
          <w:w w:val="95"/>
        </w:rPr>
        <w:t xml:space="preserve"> </w:t>
      </w:r>
      <w:r>
        <w:rPr>
          <w:w w:val="95"/>
        </w:rPr>
        <w:t>findings</w:t>
      </w:r>
      <w:r>
        <w:rPr>
          <w:spacing w:val="-10"/>
          <w:w w:val="95"/>
        </w:rPr>
        <w:t xml:space="preserve"> </w:t>
      </w:r>
      <w:r>
        <w:rPr>
          <w:w w:val="95"/>
        </w:rPr>
        <w:t>are</w:t>
      </w:r>
      <w:r>
        <w:rPr>
          <w:spacing w:val="-10"/>
          <w:w w:val="95"/>
        </w:rPr>
        <w:t xml:space="preserve"> </w:t>
      </w:r>
      <w:r>
        <w:rPr>
          <w:w w:val="95"/>
        </w:rPr>
        <w:t>built</w:t>
      </w:r>
      <w:r>
        <w:rPr>
          <w:spacing w:val="-10"/>
          <w:w w:val="95"/>
        </w:rPr>
        <w:t xml:space="preserve"> </w:t>
      </w:r>
      <w:r>
        <w:rPr>
          <w:w w:val="95"/>
        </w:rPr>
        <w:t>into</w:t>
      </w:r>
      <w:r>
        <w:rPr>
          <w:spacing w:val="-10"/>
          <w:w w:val="95"/>
        </w:rPr>
        <w:t xml:space="preserve"> </w:t>
      </w:r>
      <w:r>
        <w:rPr>
          <w:w w:val="95"/>
        </w:rPr>
        <w:t>the</w:t>
      </w:r>
      <w:r>
        <w:rPr>
          <w:spacing w:val="-10"/>
          <w:w w:val="95"/>
        </w:rPr>
        <w:t xml:space="preserve"> </w:t>
      </w:r>
      <w:r>
        <w:rPr>
          <w:w w:val="95"/>
        </w:rPr>
        <w:t>strategies</w:t>
      </w:r>
      <w:r>
        <w:rPr>
          <w:spacing w:val="-10"/>
          <w:w w:val="95"/>
        </w:rPr>
        <w:t xml:space="preserve"> </w:t>
      </w:r>
      <w:r>
        <w:rPr>
          <w:w w:val="95"/>
        </w:rPr>
        <w:t xml:space="preserve">and </w:t>
      </w:r>
      <w:r>
        <w:t>recommendations</w:t>
      </w:r>
      <w:r>
        <w:rPr>
          <w:spacing w:val="-11"/>
        </w:rPr>
        <w:t xml:space="preserve"> </w:t>
      </w:r>
      <w:r>
        <w:t>below.</w:t>
      </w:r>
    </w:p>
    <w:p w:rsidR="002C1123" w:rsidRDefault="00F22F94">
      <w:pPr>
        <w:pStyle w:val="Heading6"/>
        <w:numPr>
          <w:ilvl w:val="2"/>
          <w:numId w:val="39"/>
        </w:numPr>
        <w:tabs>
          <w:tab w:val="left" w:pos="842"/>
        </w:tabs>
        <w:spacing w:before="144"/>
        <w:ind w:left="841" w:hanging="596"/>
        <w:jc w:val="both"/>
      </w:pPr>
      <w:r>
        <w:rPr>
          <w:color w:val="00AEEF"/>
          <w:w w:val="95"/>
        </w:rPr>
        <w:t>School</w:t>
      </w:r>
      <w:r>
        <w:rPr>
          <w:color w:val="00AEEF"/>
        </w:rPr>
        <w:t xml:space="preserve"> </w:t>
      </w:r>
      <w:r>
        <w:rPr>
          <w:color w:val="00AEEF"/>
          <w:spacing w:val="-2"/>
        </w:rPr>
        <w:t>Demand</w:t>
      </w:r>
    </w:p>
    <w:p w:rsidR="002C1123" w:rsidRDefault="00F22F94">
      <w:pPr>
        <w:pStyle w:val="BodyText"/>
        <w:spacing w:before="95" w:line="249" w:lineRule="auto"/>
        <w:ind w:left="246" w:right="1227"/>
        <w:jc w:val="both"/>
      </w:pPr>
      <w:r>
        <w:rPr>
          <w:w w:val="95"/>
        </w:rPr>
        <w:t>There</w:t>
      </w:r>
      <w:r>
        <w:rPr>
          <w:spacing w:val="-4"/>
          <w:w w:val="95"/>
        </w:rPr>
        <w:t xml:space="preserve"> </w:t>
      </w:r>
      <w:r>
        <w:rPr>
          <w:w w:val="95"/>
        </w:rPr>
        <w:t>were</w:t>
      </w:r>
      <w:r>
        <w:rPr>
          <w:spacing w:val="-4"/>
          <w:w w:val="95"/>
        </w:rPr>
        <w:t xml:space="preserve"> </w:t>
      </w:r>
      <w:r>
        <w:rPr>
          <w:w w:val="95"/>
        </w:rPr>
        <w:t>435,000</w:t>
      </w:r>
      <w:r>
        <w:rPr>
          <w:spacing w:val="-4"/>
          <w:w w:val="95"/>
        </w:rPr>
        <w:t xml:space="preserve"> </w:t>
      </w:r>
      <w:r>
        <w:rPr>
          <w:w w:val="95"/>
        </w:rPr>
        <w:t>primary</w:t>
      </w:r>
      <w:r>
        <w:rPr>
          <w:spacing w:val="-4"/>
          <w:w w:val="95"/>
        </w:rPr>
        <w:t xml:space="preserve"> </w:t>
      </w:r>
      <w:r>
        <w:rPr>
          <w:w w:val="95"/>
        </w:rPr>
        <w:t>students</w:t>
      </w:r>
      <w:r>
        <w:rPr>
          <w:spacing w:val="-4"/>
          <w:w w:val="95"/>
        </w:rPr>
        <w:t xml:space="preserve"> </w:t>
      </w:r>
      <w:r>
        <w:rPr>
          <w:w w:val="95"/>
        </w:rPr>
        <w:t>and</w:t>
      </w:r>
      <w:r>
        <w:rPr>
          <w:spacing w:val="-4"/>
          <w:w w:val="95"/>
        </w:rPr>
        <w:t xml:space="preserve"> </w:t>
      </w:r>
      <w:r>
        <w:rPr>
          <w:w w:val="95"/>
        </w:rPr>
        <w:t>317,000 high school students in 2,234 NSW public schools in</w:t>
      </w:r>
      <w:r>
        <w:rPr>
          <w:spacing w:val="-4"/>
          <w:w w:val="95"/>
        </w:rPr>
        <w:t xml:space="preserve"> </w:t>
      </w:r>
      <w:r>
        <w:rPr>
          <w:w w:val="95"/>
        </w:rPr>
        <w:t>2011.</w:t>
      </w:r>
      <w:r>
        <w:rPr>
          <w:spacing w:val="-4"/>
          <w:w w:val="95"/>
        </w:rPr>
        <w:t xml:space="preserve"> </w:t>
      </w:r>
      <w:r>
        <w:rPr>
          <w:w w:val="95"/>
        </w:rPr>
        <w:t>The</w:t>
      </w:r>
      <w:r>
        <w:rPr>
          <w:spacing w:val="-4"/>
          <w:w w:val="95"/>
        </w:rPr>
        <w:t xml:space="preserve"> </w:t>
      </w:r>
      <w:r>
        <w:rPr>
          <w:w w:val="95"/>
        </w:rPr>
        <w:t>school</w:t>
      </w:r>
      <w:r>
        <w:rPr>
          <w:spacing w:val="-4"/>
          <w:w w:val="95"/>
        </w:rPr>
        <w:t xml:space="preserve"> </w:t>
      </w:r>
      <w:r>
        <w:rPr>
          <w:w w:val="95"/>
        </w:rPr>
        <w:t>population</w:t>
      </w:r>
      <w:r>
        <w:rPr>
          <w:spacing w:val="-4"/>
          <w:w w:val="95"/>
        </w:rPr>
        <w:t xml:space="preserve"> </w:t>
      </w:r>
      <w:r>
        <w:rPr>
          <w:w w:val="95"/>
        </w:rPr>
        <w:t>is</w:t>
      </w:r>
      <w:r>
        <w:rPr>
          <w:spacing w:val="-4"/>
          <w:w w:val="95"/>
        </w:rPr>
        <w:t xml:space="preserve"> </w:t>
      </w:r>
      <w:r>
        <w:rPr>
          <w:w w:val="95"/>
        </w:rPr>
        <w:t>expected</w:t>
      </w:r>
      <w:r>
        <w:rPr>
          <w:spacing w:val="-4"/>
          <w:w w:val="95"/>
        </w:rPr>
        <w:t xml:space="preserve"> </w:t>
      </w:r>
      <w:r>
        <w:rPr>
          <w:w w:val="95"/>
        </w:rPr>
        <w:t>to</w:t>
      </w:r>
      <w:r>
        <w:rPr>
          <w:spacing w:val="-4"/>
          <w:w w:val="95"/>
        </w:rPr>
        <w:t xml:space="preserve"> </w:t>
      </w:r>
      <w:r>
        <w:rPr>
          <w:w w:val="95"/>
        </w:rPr>
        <w:t>grow to</w:t>
      </w:r>
      <w:r>
        <w:rPr>
          <w:spacing w:val="-2"/>
          <w:w w:val="95"/>
        </w:rPr>
        <w:t xml:space="preserve"> </w:t>
      </w:r>
      <w:r>
        <w:rPr>
          <w:w w:val="95"/>
        </w:rPr>
        <w:t>486,000</w:t>
      </w:r>
      <w:r>
        <w:rPr>
          <w:spacing w:val="-2"/>
          <w:w w:val="95"/>
        </w:rPr>
        <w:t xml:space="preserve"> </w:t>
      </w:r>
      <w:r>
        <w:rPr>
          <w:w w:val="95"/>
        </w:rPr>
        <w:t>and</w:t>
      </w:r>
      <w:r>
        <w:rPr>
          <w:spacing w:val="-1"/>
          <w:w w:val="95"/>
        </w:rPr>
        <w:t xml:space="preserve"> </w:t>
      </w:r>
      <w:r>
        <w:rPr>
          <w:w w:val="95"/>
        </w:rPr>
        <w:t>335,000</w:t>
      </w:r>
      <w:r>
        <w:rPr>
          <w:spacing w:val="-2"/>
          <w:w w:val="95"/>
        </w:rPr>
        <w:t xml:space="preserve"> </w:t>
      </w:r>
      <w:r>
        <w:rPr>
          <w:w w:val="95"/>
        </w:rPr>
        <w:t>respectively</w:t>
      </w:r>
      <w:r>
        <w:rPr>
          <w:spacing w:val="-1"/>
          <w:w w:val="95"/>
        </w:rPr>
        <w:t xml:space="preserve"> </w:t>
      </w:r>
      <w:r>
        <w:rPr>
          <w:w w:val="95"/>
        </w:rPr>
        <w:t>in</w:t>
      </w:r>
      <w:r>
        <w:rPr>
          <w:spacing w:val="-2"/>
          <w:w w:val="95"/>
        </w:rPr>
        <w:t xml:space="preserve"> </w:t>
      </w:r>
      <w:r>
        <w:rPr>
          <w:w w:val="95"/>
        </w:rPr>
        <w:t>the</w:t>
      </w:r>
      <w:r>
        <w:rPr>
          <w:spacing w:val="-2"/>
          <w:w w:val="95"/>
        </w:rPr>
        <w:t xml:space="preserve"> </w:t>
      </w:r>
      <w:r>
        <w:rPr>
          <w:w w:val="95"/>
        </w:rPr>
        <w:t>next</w:t>
      </w:r>
      <w:r>
        <w:rPr>
          <w:spacing w:val="-1"/>
          <w:w w:val="95"/>
        </w:rPr>
        <w:t xml:space="preserve"> </w:t>
      </w:r>
      <w:r>
        <w:rPr>
          <w:spacing w:val="-5"/>
          <w:w w:val="95"/>
        </w:rPr>
        <w:t>10</w:t>
      </w:r>
    </w:p>
    <w:p w:rsidR="002C1123" w:rsidRDefault="00F22F94">
      <w:pPr>
        <w:pStyle w:val="BodyText"/>
        <w:spacing w:before="3" w:line="249" w:lineRule="auto"/>
        <w:ind w:left="246" w:right="970"/>
        <w:jc w:val="both"/>
      </w:pPr>
      <w:r>
        <w:rPr>
          <w:w w:val="95"/>
        </w:rPr>
        <w:t>years,</w:t>
      </w:r>
      <w:r>
        <w:rPr>
          <w:spacing w:val="-3"/>
          <w:w w:val="95"/>
        </w:rPr>
        <w:t xml:space="preserve"> </w:t>
      </w:r>
      <w:r>
        <w:rPr>
          <w:w w:val="95"/>
        </w:rPr>
        <w:t>meaning</w:t>
      </w:r>
      <w:r>
        <w:rPr>
          <w:spacing w:val="-3"/>
          <w:w w:val="95"/>
        </w:rPr>
        <w:t xml:space="preserve"> </w:t>
      </w:r>
      <w:r>
        <w:rPr>
          <w:w w:val="95"/>
        </w:rPr>
        <w:t>nearly</w:t>
      </w:r>
      <w:r>
        <w:rPr>
          <w:spacing w:val="-3"/>
          <w:w w:val="95"/>
        </w:rPr>
        <w:t xml:space="preserve"> </w:t>
      </w:r>
      <w:r>
        <w:rPr>
          <w:w w:val="95"/>
        </w:rPr>
        <w:t>70,000</w:t>
      </w:r>
      <w:r>
        <w:rPr>
          <w:spacing w:val="-3"/>
          <w:w w:val="95"/>
        </w:rPr>
        <w:t xml:space="preserve"> </w:t>
      </w:r>
      <w:r>
        <w:rPr>
          <w:w w:val="95"/>
        </w:rPr>
        <w:t>additional</w:t>
      </w:r>
      <w:r>
        <w:rPr>
          <w:spacing w:val="-3"/>
          <w:w w:val="95"/>
        </w:rPr>
        <w:t xml:space="preserve"> </w:t>
      </w:r>
      <w:r>
        <w:rPr>
          <w:w w:val="95"/>
        </w:rPr>
        <w:t>public</w:t>
      </w:r>
      <w:r>
        <w:rPr>
          <w:spacing w:val="-3"/>
          <w:w w:val="95"/>
        </w:rPr>
        <w:t xml:space="preserve"> </w:t>
      </w:r>
      <w:r>
        <w:rPr>
          <w:w w:val="95"/>
        </w:rPr>
        <w:t xml:space="preserve">school </w:t>
      </w:r>
      <w:r>
        <w:t>enrolments</w:t>
      </w:r>
      <w:r>
        <w:rPr>
          <w:spacing w:val="-4"/>
        </w:rPr>
        <w:t xml:space="preserve"> </w:t>
      </w:r>
      <w:r>
        <w:t>are</w:t>
      </w:r>
      <w:r>
        <w:rPr>
          <w:spacing w:val="-4"/>
        </w:rPr>
        <w:t xml:space="preserve"> </w:t>
      </w:r>
      <w:r>
        <w:t>expected</w:t>
      </w:r>
      <w:r>
        <w:rPr>
          <w:spacing w:val="-4"/>
        </w:rPr>
        <w:t xml:space="preserve"> </w:t>
      </w:r>
      <w:r>
        <w:t>throughout</w:t>
      </w:r>
      <w:r>
        <w:rPr>
          <w:spacing w:val="-4"/>
        </w:rPr>
        <w:t xml:space="preserve"> </w:t>
      </w:r>
      <w:r>
        <w:t>NSW.</w:t>
      </w:r>
    </w:p>
    <w:p w:rsidR="002C1123" w:rsidRDefault="00F22F94">
      <w:pPr>
        <w:pStyle w:val="BodyText"/>
        <w:spacing w:before="143" w:line="249" w:lineRule="auto"/>
        <w:ind w:left="246" w:right="867"/>
      </w:pPr>
      <w:r>
        <w:rPr>
          <w:w w:val="95"/>
        </w:rPr>
        <w:t>Demand</w:t>
      </w:r>
      <w:r>
        <w:rPr>
          <w:spacing w:val="-2"/>
          <w:w w:val="95"/>
        </w:rPr>
        <w:t xml:space="preserve"> </w:t>
      </w:r>
      <w:r>
        <w:rPr>
          <w:w w:val="95"/>
        </w:rPr>
        <w:t>for</w:t>
      </w:r>
      <w:r>
        <w:rPr>
          <w:spacing w:val="-2"/>
          <w:w w:val="95"/>
        </w:rPr>
        <w:t xml:space="preserve"> </w:t>
      </w:r>
      <w:r>
        <w:rPr>
          <w:w w:val="95"/>
        </w:rPr>
        <w:t>education</w:t>
      </w:r>
      <w:r>
        <w:rPr>
          <w:spacing w:val="-2"/>
          <w:w w:val="95"/>
        </w:rPr>
        <w:t xml:space="preserve"> </w:t>
      </w:r>
      <w:r>
        <w:rPr>
          <w:w w:val="95"/>
        </w:rPr>
        <w:t>infrastructure</w:t>
      </w:r>
      <w:r>
        <w:rPr>
          <w:spacing w:val="-2"/>
          <w:w w:val="95"/>
        </w:rPr>
        <w:t xml:space="preserve"> </w:t>
      </w:r>
      <w:r>
        <w:rPr>
          <w:w w:val="95"/>
        </w:rPr>
        <w:t>has</w:t>
      </w:r>
      <w:r>
        <w:rPr>
          <w:spacing w:val="-2"/>
          <w:w w:val="95"/>
        </w:rPr>
        <w:t xml:space="preserve"> </w:t>
      </w:r>
      <w:r>
        <w:rPr>
          <w:w w:val="95"/>
        </w:rPr>
        <w:t xml:space="preserve">been </w:t>
      </w:r>
      <w:r>
        <w:t>impacted</w:t>
      </w:r>
      <w:r>
        <w:rPr>
          <w:spacing w:val="-11"/>
        </w:rPr>
        <w:t xml:space="preserve"> </w:t>
      </w:r>
      <w:r>
        <w:t>by:</w:t>
      </w:r>
    </w:p>
    <w:p w:rsidR="002C1123" w:rsidRDefault="00F22F94">
      <w:pPr>
        <w:pStyle w:val="ListParagraph"/>
        <w:numPr>
          <w:ilvl w:val="3"/>
          <w:numId w:val="39"/>
        </w:numPr>
        <w:tabs>
          <w:tab w:val="left" w:pos="531"/>
        </w:tabs>
        <w:spacing w:before="103" w:line="249" w:lineRule="auto"/>
        <w:ind w:left="530" w:right="757"/>
        <w:rPr>
          <w:sz w:val="20"/>
        </w:rPr>
      </w:pPr>
      <w:r>
        <w:rPr>
          <w:sz w:val="20"/>
        </w:rPr>
        <w:t>the</w:t>
      </w:r>
      <w:r>
        <w:rPr>
          <w:spacing w:val="-9"/>
          <w:sz w:val="20"/>
        </w:rPr>
        <w:t xml:space="preserve"> </w:t>
      </w:r>
      <w:r>
        <w:rPr>
          <w:sz w:val="20"/>
        </w:rPr>
        <w:t>post</w:t>
      </w:r>
      <w:r>
        <w:rPr>
          <w:spacing w:val="-9"/>
          <w:sz w:val="20"/>
        </w:rPr>
        <w:t xml:space="preserve"> </w:t>
      </w:r>
      <w:r>
        <w:rPr>
          <w:sz w:val="20"/>
        </w:rPr>
        <w:t>millennium</w:t>
      </w:r>
      <w:r>
        <w:rPr>
          <w:spacing w:val="-9"/>
          <w:sz w:val="20"/>
        </w:rPr>
        <w:t xml:space="preserve"> </w:t>
      </w:r>
      <w:r>
        <w:rPr>
          <w:sz w:val="20"/>
        </w:rPr>
        <w:t>‘baby</w:t>
      </w:r>
      <w:r>
        <w:rPr>
          <w:spacing w:val="-9"/>
          <w:sz w:val="20"/>
        </w:rPr>
        <w:t xml:space="preserve"> </w:t>
      </w:r>
      <w:r>
        <w:rPr>
          <w:sz w:val="20"/>
        </w:rPr>
        <w:t>boom’</w:t>
      </w:r>
      <w:r>
        <w:rPr>
          <w:spacing w:val="-9"/>
          <w:sz w:val="20"/>
        </w:rPr>
        <w:t xml:space="preserve"> </w:t>
      </w:r>
      <w:r>
        <w:rPr>
          <w:sz w:val="20"/>
        </w:rPr>
        <w:t>–</w:t>
      </w:r>
      <w:r>
        <w:rPr>
          <w:spacing w:val="-9"/>
          <w:sz w:val="20"/>
        </w:rPr>
        <w:t xml:space="preserve"> </w:t>
      </w:r>
      <w:r>
        <w:rPr>
          <w:sz w:val="20"/>
        </w:rPr>
        <w:t>the</w:t>
      </w:r>
      <w:r>
        <w:rPr>
          <w:spacing w:val="-9"/>
          <w:sz w:val="20"/>
        </w:rPr>
        <w:t xml:space="preserve"> </w:t>
      </w:r>
      <w:r>
        <w:rPr>
          <w:sz w:val="20"/>
        </w:rPr>
        <w:t>size</w:t>
      </w:r>
      <w:r>
        <w:rPr>
          <w:spacing w:val="-9"/>
          <w:sz w:val="20"/>
        </w:rPr>
        <w:t xml:space="preserve"> </w:t>
      </w:r>
      <w:r>
        <w:rPr>
          <w:sz w:val="20"/>
        </w:rPr>
        <w:t>of</w:t>
      </w:r>
      <w:r>
        <w:rPr>
          <w:spacing w:val="-9"/>
          <w:sz w:val="20"/>
        </w:rPr>
        <w:t xml:space="preserve"> </w:t>
      </w:r>
      <w:r>
        <w:rPr>
          <w:sz w:val="20"/>
        </w:rPr>
        <w:t xml:space="preserve">the </w:t>
      </w:r>
      <w:r>
        <w:rPr>
          <w:w w:val="95"/>
          <w:sz w:val="20"/>
        </w:rPr>
        <w:t>student</w:t>
      </w:r>
      <w:r>
        <w:rPr>
          <w:spacing w:val="-2"/>
          <w:w w:val="95"/>
          <w:sz w:val="20"/>
        </w:rPr>
        <w:t xml:space="preserve"> </w:t>
      </w:r>
      <w:r>
        <w:rPr>
          <w:w w:val="95"/>
          <w:sz w:val="20"/>
        </w:rPr>
        <w:t>aged</w:t>
      </w:r>
      <w:r>
        <w:rPr>
          <w:spacing w:val="-2"/>
          <w:w w:val="95"/>
          <w:sz w:val="20"/>
        </w:rPr>
        <w:t xml:space="preserve"> </w:t>
      </w:r>
      <w:r>
        <w:rPr>
          <w:w w:val="95"/>
          <w:sz w:val="20"/>
        </w:rPr>
        <w:t>population</w:t>
      </w:r>
      <w:r>
        <w:rPr>
          <w:spacing w:val="-2"/>
          <w:w w:val="95"/>
          <w:sz w:val="20"/>
        </w:rPr>
        <w:t xml:space="preserve"> </w:t>
      </w:r>
      <w:r>
        <w:rPr>
          <w:w w:val="95"/>
          <w:sz w:val="20"/>
        </w:rPr>
        <w:t>is</w:t>
      </w:r>
      <w:r>
        <w:rPr>
          <w:spacing w:val="-2"/>
          <w:w w:val="95"/>
          <w:sz w:val="20"/>
        </w:rPr>
        <w:t xml:space="preserve"> </w:t>
      </w:r>
      <w:r>
        <w:rPr>
          <w:w w:val="95"/>
          <w:sz w:val="20"/>
        </w:rPr>
        <w:t>forecast</w:t>
      </w:r>
      <w:r>
        <w:rPr>
          <w:spacing w:val="-2"/>
          <w:w w:val="95"/>
          <w:sz w:val="20"/>
        </w:rPr>
        <w:t xml:space="preserve"> </w:t>
      </w:r>
      <w:r>
        <w:rPr>
          <w:w w:val="95"/>
          <w:sz w:val="20"/>
        </w:rPr>
        <w:t>to</w:t>
      </w:r>
      <w:r>
        <w:rPr>
          <w:spacing w:val="-2"/>
          <w:w w:val="95"/>
          <w:sz w:val="20"/>
        </w:rPr>
        <w:t xml:space="preserve"> </w:t>
      </w:r>
      <w:r>
        <w:rPr>
          <w:w w:val="95"/>
          <w:sz w:val="20"/>
        </w:rPr>
        <w:t>grow</w:t>
      </w:r>
      <w:r>
        <w:rPr>
          <w:spacing w:val="-2"/>
          <w:w w:val="95"/>
          <w:sz w:val="20"/>
        </w:rPr>
        <w:t xml:space="preserve"> </w:t>
      </w:r>
      <w:r>
        <w:rPr>
          <w:w w:val="95"/>
          <w:sz w:val="20"/>
        </w:rPr>
        <w:t>by</w:t>
      </w:r>
      <w:r>
        <w:rPr>
          <w:spacing w:val="-2"/>
          <w:w w:val="95"/>
          <w:sz w:val="20"/>
        </w:rPr>
        <w:t xml:space="preserve"> </w:t>
      </w:r>
      <w:r>
        <w:rPr>
          <w:w w:val="95"/>
          <w:sz w:val="20"/>
        </w:rPr>
        <w:t xml:space="preserve">nearly </w:t>
      </w:r>
      <w:r>
        <w:rPr>
          <w:sz w:val="20"/>
        </w:rPr>
        <w:t>one</w:t>
      </w:r>
      <w:r>
        <w:rPr>
          <w:spacing w:val="-7"/>
          <w:sz w:val="20"/>
        </w:rPr>
        <w:t xml:space="preserve"> </w:t>
      </w:r>
      <w:r>
        <w:rPr>
          <w:sz w:val="20"/>
        </w:rPr>
        <w:t>percent</w:t>
      </w:r>
      <w:r>
        <w:rPr>
          <w:spacing w:val="-7"/>
          <w:sz w:val="20"/>
        </w:rPr>
        <w:t xml:space="preserve"> </w:t>
      </w:r>
      <w:r>
        <w:rPr>
          <w:sz w:val="20"/>
        </w:rPr>
        <w:t>per</w:t>
      </w:r>
      <w:r>
        <w:rPr>
          <w:spacing w:val="-7"/>
          <w:sz w:val="20"/>
        </w:rPr>
        <w:t xml:space="preserve"> </w:t>
      </w:r>
      <w:r>
        <w:rPr>
          <w:sz w:val="20"/>
        </w:rPr>
        <w:t>annum</w:t>
      </w:r>
      <w:r>
        <w:rPr>
          <w:spacing w:val="-8"/>
          <w:sz w:val="20"/>
        </w:rPr>
        <w:t xml:space="preserve"> </w:t>
      </w:r>
      <w:r>
        <w:rPr>
          <w:sz w:val="20"/>
        </w:rPr>
        <w:t>in</w:t>
      </w:r>
      <w:r>
        <w:rPr>
          <w:spacing w:val="-7"/>
          <w:sz w:val="20"/>
        </w:rPr>
        <w:t xml:space="preserve"> </w:t>
      </w:r>
      <w:r>
        <w:rPr>
          <w:sz w:val="20"/>
        </w:rPr>
        <w:t>the</w:t>
      </w:r>
      <w:r>
        <w:rPr>
          <w:spacing w:val="-7"/>
          <w:sz w:val="20"/>
        </w:rPr>
        <w:t xml:space="preserve"> </w:t>
      </w:r>
      <w:r>
        <w:rPr>
          <w:sz w:val="20"/>
        </w:rPr>
        <w:t>next</w:t>
      </w:r>
      <w:r>
        <w:rPr>
          <w:spacing w:val="-7"/>
          <w:sz w:val="20"/>
        </w:rPr>
        <w:t xml:space="preserve"> </w:t>
      </w:r>
      <w:r>
        <w:rPr>
          <w:sz w:val="20"/>
        </w:rPr>
        <w:t>20</w:t>
      </w:r>
      <w:r>
        <w:rPr>
          <w:spacing w:val="-7"/>
          <w:sz w:val="20"/>
        </w:rPr>
        <w:t xml:space="preserve"> </w:t>
      </w:r>
      <w:r>
        <w:rPr>
          <w:sz w:val="20"/>
        </w:rPr>
        <w:t>years</w:t>
      </w:r>
    </w:p>
    <w:p w:rsidR="002C1123" w:rsidRDefault="00F22F94">
      <w:pPr>
        <w:pStyle w:val="ListParagraph"/>
        <w:numPr>
          <w:ilvl w:val="3"/>
          <w:numId w:val="39"/>
        </w:numPr>
        <w:tabs>
          <w:tab w:val="left" w:pos="531"/>
        </w:tabs>
        <w:spacing w:before="103" w:line="249" w:lineRule="auto"/>
        <w:ind w:left="530" w:right="842"/>
        <w:rPr>
          <w:sz w:val="20"/>
        </w:rPr>
      </w:pPr>
      <w:r>
        <w:rPr>
          <w:w w:val="95"/>
          <w:sz w:val="20"/>
        </w:rPr>
        <w:t>an</w:t>
      </w:r>
      <w:r>
        <w:rPr>
          <w:spacing w:val="-6"/>
          <w:w w:val="95"/>
          <w:sz w:val="20"/>
        </w:rPr>
        <w:t xml:space="preserve"> </w:t>
      </w:r>
      <w:r>
        <w:rPr>
          <w:w w:val="95"/>
          <w:sz w:val="20"/>
        </w:rPr>
        <w:t>increase</w:t>
      </w:r>
      <w:r>
        <w:rPr>
          <w:spacing w:val="-6"/>
          <w:w w:val="95"/>
          <w:sz w:val="20"/>
        </w:rPr>
        <w:t xml:space="preserve"> </w:t>
      </w:r>
      <w:r>
        <w:rPr>
          <w:w w:val="95"/>
          <w:sz w:val="20"/>
        </w:rPr>
        <w:t>in</w:t>
      </w:r>
      <w:r>
        <w:rPr>
          <w:spacing w:val="-6"/>
          <w:w w:val="95"/>
          <w:sz w:val="20"/>
        </w:rPr>
        <w:t xml:space="preserve"> </w:t>
      </w:r>
      <w:r>
        <w:rPr>
          <w:w w:val="95"/>
          <w:sz w:val="20"/>
        </w:rPr>
        <w:t>private</w:t>
      </w:r>
      <w:r>
        <w:rPr>
          <w:spacing w:val="-6"/>
          <w:w w:val="95"/>
          <w:sz w:val="20"/>
        </w:rPr>
        <w:t xml:space="preserve"> </w:t>
      </w:r>
      <w:r>
        <w:rPr>
          <w:w w:val="95"/>
          <w:sz w:val="20"/>
        </w:rPr>
        <w:t>enrolments</w:t>
      </w:r>
      <w:r>
        <w:rPr>
          <w:spacing w:val="-6"/>
          <w:w w:val="95"/>
          <w:sz w:val="20"/>
        </w:rPr>
        <w:t xml:space="preserve"> </w:t>
      </w:r>
      <w:r>
        <w:rPr>
          <w:w w:val="95"/>
          <w:sz w:val="20"/>
        </w:rPr>
        <w:t>to</w:t>
      </w:r>
      <w:r>
        <w:rPr>
          <w:spacing w:val="-6"/>
          <w:w w:val="95"/>
          <w:sz w:val="20"/>
        </w:rPr>
        <w:t xml:space="preserve"> </w:t>
      </w:r>
      <w:r>
        <w:rPr>
          <w:w w:val="95"/>
          <w:sz w:val="20"/>
        </w:rPr>
        <w:t>34</w:t>
      </w:r>
      <w:r>
        <w:rPr>
          <w:spacing w:val="-6"/>
          <w:w w:val="95"/>
          <w:sz w:val="20"/>
        </w:rPr>
        <w:t xml:space="preserve"> </w:t>
      </w:r>
      <w:r>
        <w:rPr>
          <w:w w:val="95"/>
          <w:sz w:val="20"/>
        </w:rPr>
        <w:t>percent</w:t>
      </w:r>
      <w:r>
        <w:rPr>
          <w:spacing w:val="-6"/>
          <w:w w:val="95"/>
          <w:sz w:val="20"/>
        </w:rPr>
        <w:t xml:space="preserve"> </w:t>
      </w:r>
      <w:r>
        <w:rPr>
          <w:w w:val="95"/>
          <w:sz w:val="20"/>
        </w:rPr>
        <w:t xml:space="preserve">from </w:t>
      </w:r>
      <w:r>
        <w:rPr>
          <w:sz w:val="20"/>
        </w:rPr>
        <w:t>just under 31 percent in 2000</w:t>
      </w:r>
    </w:p>
    <w:p w:rsidR="002C1123" w:rsidRDefault="00F22F94">
      <w:pPr>
        <w:pStyle w:val="ListParagraph"/>
        <w:numPr>
          <w:ilvl w:val="3"/>
          <w:numId w:val="39"/>
        </w:numPr>
        <w:tabs>
          <w:tab w:val="left" w:pos="531"/>
        </w:tabs>
        <w:spacing w:before="102" w:line="249" w:lineRule="auto"/>
        <w:ind w:left="530" w:right="802"/>
        <w:rPr>
          <w:sz w:val="20"/>
        </w:rPr>
      </w:pPr>
      <w:r>
        <w:rPr>
          <w:w w:val="95"/>
          <w:sz w:val="20"/>
        </w:rPr>
        <w:t>smaller</w:t>
      </w:r>
      <w:r>
        <w:rPr>
          <w:spacing w:val="-9"/>
          <w:w w:val="95"/>
          <w:sz w:val="20"/>
        </w:rPr>
        <w:t xml:space="preserve"> </w:t>
      </w:r>
      <w:r>
        <w:rPr>
          <w:w w:val="95"/>
          <w:sz w:val="20"/>
        </w:rPr>
        <w:t>class</w:t>
      </w:r>
      <w:r>
        <w:rPr>
          <w:spacing w:val="-9"/>
          <w:w w:val="95"/>
          <w:sz w:val="20"/>
        </w:rPr>
        <w:t xml:space="preserve"> </w:t>
      </w:r>
      <w:r>
        <w:rPr>
          <w:w w:val="95"/>
          <w:sz w:val="20"/>
        </w:rPr>
        <w:t>sizes</w:t>
      </w:r>
      <w:r>
        <w:rPr>
          <w:spacing w:val="-9"/>
          <w:w w:val="95"/>
          <w:sz w:val="20"/>
        </w:rPr>
        <w:t xml:space="preserve"> </w:t>
      </w:r>
      <w:r>
        <w:rPr>
          <w:w w:val="95"/>
          <w:sz w:val="20"/>
        </w:rPr>
        <w:t>introduced</w:t>
      </w:r>
      <w:r>
        <w:rPr>
          <w:spacing w:val="-9"/>
          <w:w w:val="95"/>
          <w:sz w:val="20"/>
        </w:rPr>
        <w:t xml:space="preserve"> </w:t>
      </w:r>
      <w:r>
        <w:rPr>
          <w:w w:val="95"/>
          <w:sz w:val="20"/>
        </w:rPr>
        <w:t>over</w:t>
      </w:r>
      <w:r>
        <w:rPr>
          <w:spacing w:val="-9"/>
          <w:w w:val="95"/>
          <w:sz w:val="20"/>
        </w:rPr>
        <w:t xml:space="preserve"> </w:t>
      </w:r>
      <w:r>
        <w:rPr>
          <w:w w:val="95"/>
          <w:sz w:val="20"/>
        </w:rPr>
        <w:t>the</w:t>
      </w:r>
      <w:r>
        <w:rPr>
          <w:spacing w:val="-9"/>
          <w:w w:val="95"/>
          <w:sz w:val="20"/>
        </w:rPr>
        <w:t xml:space="preserve"> </w:t>
      </w:r>
      <w:r>
        <w:rPr>
          <w:w w:val="95"/>
          <w:sz w:val="20"/>
        </w:rPr>
        <w:t>past</w:t>
      </w:r>
      <w:r>
        <w:rPr>
          <w:spacing w:val="-9"/>
          <w:w w:val="95"/>
          <w:sz w:val="20"/>
        </w:rPr>
        <w:t xml:space="preserve"> </w:t>
      </w:r>
      <w:r>
        <w:rPr>
          <w:w w:val="95"/>
          <w:sz w:val="20"/>
        </w:rPr>
        <w:t>10</w:t>
      </w:r>
      <w:r>
        <w:rPr>
          <w:spacing w:val="-9"/>
          <w:w w:val="95"/>
          <w:sz w:val="20"/>
        </w:rPr>
        <w:t xml:space="preserve"> </w:t>
      </w:r>
      <w:r>
        <w:rPr>
          <w:w w:val="95"/>
          <w:sz w:val="20"/>
        </w:rPr>
        <w:t xml:space="preserve">years </w:t>
      </w:r>
      <w:r>
        <w:rPr>
          <w:sz w:val="20"/>
        </w:rPr>
        <w:t>which</w:t>
      </w:r>
      <w:r>
        <w:rPr>
          <w:spacing w:val="-8"/>
          <w:sz w:val="20"/>
        </w:rPr>
        <w:t xml:space="preserve"> </w:t>
      </w:r>
      <w:r>
        <w:rPr>
          <w:sz w:val="20"/>
        </w:rPr>
        <w:t>require</w:t>
      </w:r>
      <w:r>
        <w:rPr>
          <w:spacing w:val="-8"/>
          <w:sz w:val="20"/>
        </w:rPr>
        <w:t xml:space="preserve"> </w:t>
      </w:r>
      <w:r>
        <w:rPr>
          <w:sz w:val="20"/>
        </w:rPr>
        <w:t>more</w:t>
      </w:r>
      <w:r>
        <w:rPr>
          <w:spacing w:val="-8"/>
          <w:sz w:val="20"/>
        </w:rPr>
        <w:t xml:space="preserve"> </w:t>
      </w:r>
      <w:r>
        <w:rPr>
          <w:sz w:val="20"/>
        </w:rPr>
        <w:t>separate</w:t>
      </w:r>
      <w:r>
        <w:rPr>
          <w:spacing w:val="-8"/>
          <w:sz w:val="20"/>
        </w:rPr>
        <w:t xml:space="preserve"> </w:t>
      </w:r>
      <w:r>
        <w:rPr>
          <w:sz w:val="20"/>
        </w:rPr>
        <w:t>teaching</w:t>
      </w:r>
      <w:r>
        <w:rPr>
          <w:spacing w:val="-8"/>
          <w:sz w:val="20"/>
        </w:rPr>
        <w:t xml:space="preserve"> </w:t>
      </w:r>
      <w:r>
        <w:rPr>
          <w:sz w:val="20"/>
        </w:rPr>
        <w:t>spaces</w:t>
      </w:r>
    </w:p>
    <w:p w:rsidR="002C1123" w:rsidRDefault="00F22F94">
      <w:pPr>
        <w:pStyle w:val="BodyText"/>
        <w:spacing w:before="1" w:line="249" w:lineRule="auto"/>
        <w:ind w:left="530" w:right="782"/>
      </w:pPr>
      <w:r>
        <w:rPr>
          <w:w w:val="95"/>
        </w:rPr>
        <w:t xml:space="preserve">and have reduced capacity to absorb additional </w:t>
      </w:r>
      <w:r>
        <w:t>enrolments</w:t>
      </w:r>
      <w:r>
        <w:rPr>
          <w:spacing w:val="-6"/>
        </w:rPr>
        <w:t xml:space="preserve"> </w:t>
      </w:r>
      <w:r>
        <w:t>within</w:t>
      </w:r>
      <w:r>
        <w:rPr>
          <w:spacing w:val="-6"/>
        </w:rPr>
        <w:t xml:space="preserve"> </w:t>
      </w:r>
      <w:r>
        <w:t>existing</w:t>
      </w:r>
      <w:r>
        <w:rPr>
          <w:spacing w:val="-6"/>
        </w:rPr>
        <w:t xml:space="preserve"> </w:t>
      </w:r>
      <w:r>
        <w:t>facilities</w:t>
      </w:r>
    </w:p>
    <w:p w:rsidR="002C1123" w:rsidRDefault="00F22F94">
      <w:pPr>
        <w:pStyle w:val="ListParagraph"/>
        <w:numPr>
          <w:ilvl w:val="3"/>
          <w:numId w:val="39"/>
        </w:numPr>
        <w:tabs>
          <w:tab w:val="left" w:pos="531"/>
        </w:tabs>
        <w:spacing w:before="103" w:line="249" w:lineRule="auto"/>
        <w:ind w:left="530" w:right="943"/>
        <w:rPr>
          <w:sz w:val="20"/>
        </w:rPr>
      </w:pPr>
      <w:r>
        <w:rPr>
          <w:w w:val="95"/>
          <w:sz w:val="20"/>
        </w:rPr>
        <w:t>the</w:t>
      </w:r>
      <w:r>
        <w:rPr>
          <w:spacing w:val="-9"/>
          <w:w w:val="95"/>
          <w:sz w:val="20"/>
        </w:rPr>
        <w:t xml:space="preserve"> </w:t>
      </w:r>
      <w:r>
        <w:rPr>
          <w:w w:val="95"/>
          <w:sz w:val="20"/>
        </w:rPr>
        <w:t>increase</w:t>
      </w:r>
      <w:r>
        <w:rPr>
          <w:spacing w:val="-9"/>
          <w:w w:val="95"/>
          <w:sz w:val="20"/>
        </w:rPr>
        <w:t xml:space="preserve"> </w:t>
      </w:r>
      <w:r>
        <w:rPr>
          <w:w w:val="95"/>
          <w:sz w:val="20"/>
        </w:rPr>
        <w:t>in</w:t>
      </w:r>
      <w:r>
        <w:rPr>
          <w:spacing w:val="-9"/>
          <w:w w:val="95"/>
          <w:sz w:val="20"/>
        </w:rPr>
        <w:t xml:space="preserve"> </w:t>
      </w:r>
      <w:r>
        <w:rPr>
          <w:w w:val="95"/>
          <w:sz w:val="20"/>
        </w:rPr>
        <w:t>2010</w:t>
      </w:r>
      <w:r>
        <w:rPr>
          <w:spacing w:val="-9"/>
          <w:w w:val="95"/>
          <w:sz w:val="20"/>
        </w:rPr>
        <w:t xml:space="preserve"> </w:t>
      </w:r>
      <w:r>
        <w:rPr>
          <w:w w:val="95"/>
          <w:sz w:val="20"/>
        </w:rPr>
        <w:t>of</w:t>
      </w:r>
      <w:r>
        <w:rPr>
          <w:spacing w:val="-9"/>
          <w:w w:val="95"/>
          <w:sz w:val="20"/>
        </w:rPr>
        <w:t xml:space="preserve"> </w:t>
      </w:r>
      <w:r>
        <w:rPr>
          <w:w w:val="95"/>
          <w:sz w:val="20"/>
        </w:rPr>
        <w:t>the</w:t>
      </w:r>
      <w:r>
        <w:rPr>
          <w:spacing w:val="-9"/>
          <w:w w:val="95"/>
          <w:sz w:val="20"/>
        </w:rPr>
        <w:t xml:space="preserve"> </w:t>
      </w:r>
      <w:r>
        <w:rPr>
          <w:w w:val="95"/>
          <w:sz w:val="20"/>
        </w:rPr>
        <w:t>minimum</w:t>
      </w:r>
      <w:r>
        <w:rPr>
          <w:spacing w:val="-10"/>
          <w:w w:val="95"/>
          <w:sz w:val="20"/>
        </w:rPr>
        <w:t xml:space="preserve"> </w:t>
      </w:r>
      <w:r>
        <w:rPr>
          <w:w w:val="95"/>
          <w:sz w:val="20"/>
        </w:rPr>
        <w:t>school</w:t>
      </w:r>
      <w:r>
        <w:rPr>
          <w:spacing w:val="-9"/>
          <w:w w:val="95"/>
          <w:sz w:val="20"/>
        </w:rPr>
        <w:t xml:space="preserve"> </w:t>
      </w:r>
      <w:r>
        <w:rPr>
          <w:w w:val="95"/>
          <w:sz w:val="20"/>
        </w:rPr>
        <w:t xml:space="preserve">leaving </w:t>
      </w:r>
      <w:r>
        <w:rPr>
          <w:sz w:val="20"/>
        </w:rPr>
        <w:t>age from 15 to 17</w:t>
      </w:r>
    </w:p>
    <w:p w:rsidR="002C1123" w:rsidRDefault="00F22F94">
      <w:pPr>
        <w:pStyle w:val="ListParagraph"/>
        <w:numPr>
          <w:ilvl w:val="3"/>
          <w:numId w:val="39"/>
        </w:numPr>
        <w:tabs>
          <w:tab w:val="left" w:pos="531"/>
        </w:tabs>
        <w:spacing w:before="102" w:line="249" w:lineRule="auto"/>
        <w:ind w:left="530" w:right="849"/>
        <w:rPr>
          <w:sz w:val="20"/>
        </w:rPr>
      </w:pPr>
      <w:r>
        <w:rPr>
          <w:sz w:val="20"/>
        </w:rPr>
        <w:t>demand</w:t>
      </w:r>
      <w:r>
        <w:rPr>
          <w:spacing w:val="-2"/>
          <w:sz w:val="20"/>
        </w:rPr>
        <w:t xml:space="preserve"> </w:t>
      </w:r>
      <w:r>
        <w:rPr>
          <w:sz w:val="20"/>
        </w:rPr>
        <w:t>is</w:t>
      </w:r>
      <w:r>
        <w:rPr>
          <w:spacing w:val="-2"/>
          <w:sz w:val="20"/>
        </w:rPr>
        <w:t xml:space="preserve"> </w:t>
      </w:r>
      <w:r>
        <w:rPr>
          <w:sz w:val="20"/>
        </w:rPr>
        <w:t>managed</w:t>
      </w:r>
      <w:r>
        <w:rPr>
          <w:spacing w:val="-2"/>
          <w:sz w:val="20"/>
        </w:rPr>
        <w:t xml:space="preserve"> </w:t>
      </w:r>
      <w:r>
        <w:rPr>
          <w:sz w:val="20"/>
        </w:rPr>
        <w:t>to</w:t>
      </w:r>
      <w:r>
        <w:rPr>
          <w:spacing w:val="-2"/>
          <w:sz w:val="20"/>
        </w:rPr>
        <w:t xml:space="preserve"> </w:t>
      </w:r>
      <w:r>
        <w:rPr>
          <w:sz w:val="20"/>
        </w:rPr>
        <w:t>some</w:t>
      </w:r>
      <w:r>
        <w:rPr>
          <w:spacing w:val="-2"/>
          <w:sz w:val="20"/>
        </w:rPr>
        <w:t xml:space="preserve"> </w:t>
      </w:r>
      <w:r>
        <w:rPr>
          <w:sz w:val="20"/>
        </w:rPr>
        <w:t>extent</w:t>
      </w:r>
      <w:r>
        <w:rPr>
          <w:spacing w:val="-2"/>
          <w:sz w:val="20"/>
        </w:rPr>
        <w:t xml:space="preserve"> </w:t>
      </w:r>
      <w:r>
        <w:rPr>
          <w:sz w:val="20"/>
        </w:rPr>
        <w:t xml:space="preserve">through </w:t>
      </w:r>
      <w:r>
        <w:rPr>
          <w:w w:val="95"/>
          <w:sz w:val="20"/>
        </w:rPr>
        <w:t xml:space="preserve">catchment boundaries, which are reviewed to direct </w:t>
      </w:r>
      <w:r>
        <w:rPr>
          <w:sz w:val="20"/>
        </w:rPr>
        <w:t>students to schools with capacity.</w:t>
      </w:r>
    </w:p>
    <w:p w:rsidR="002C1123" w:rsidRDefault="00F22F94">
      <w:pPr>
        <w:pStyle w:val="BodyText"/>
        <w:spacing w:before="115" w:line="249" w:lineRule="auto"/>
        <w:ind w:left="246" w:right="782"/>
      </w:pPr>
      <w:r>
        <w:rPr>
          <w:w w:val="95"/>
        </w:rPr>
        <w:t>Growth occurs largely in the primary sector in the next 10</w:t>
      </w:r>
      <w:r>
        <w:rPr>
          <w:spacing w:val="-3"/>
          <w:w w:val="95"/>
        </w:rPr>
        <w:t xml:space="preserve"> </w:t>
      </w:r>
      <w:r>
        <w:rPr>
          <w:w w:val="95"/>
        </w:rPr>
        <w:t>years,</w:t>
      </w:r>
      <w:r>
        <w:rPr>
          <w:spacing w:val="-3"/>
          <w:w w:val="95"/>
        </w:rPr>
        <w:t xml:space="preserve"> </w:t>
      </w:r>
      <w:r>
        <w:rPr>
          <w:w w:val="95"/>
        </w:rPr>
        <w:t>which</w:t>
      </w:r>
      <w:r>
        <w:rPr>
          <w:spacing w:val="-3"/>
          <w:w w:val="95"/>
        </w:rPr>
        <w:t xml:space="preserve"> </w:t>
      </w:r>
      <w:r>
        <w:rPr>
          <w:w w:val="95"/>
        </w:rPr>
        <w:t>means</w:t>
      </w:r>
      <w:r>
        <w:rPr>
          <w:spacing w:val="-3"/>
          <w:w w:val="95"/>
        </w:rPr>
        <w:t xml:space="preserve"> </w:t>
      </w:r>
      <w:r>
        <w:rPr>
          <w:w w:val="95"/>
        </w:rPr>
        <w:t>that</w:t>
      </w:r>
      <w:r>
        <w:rPr>
          <w:spacing w:val="-3"/>
          <w:w w:val="95"/>
        </w:rPr>
        <w:t xml:space="preserve"> </w:t>
      </w:r>
      <w:r>
        <w:rPr>
          <w:w w:val="95"/>
        </w:rPr>
        <w:t>the</w:t>
      </w:r>
      <w:r>
        <w:rPr>
          <w:spacing w:val="-3"/>
          <w:w w:val="95"/>
        </w:rPr>
        <w:t xml:space="preserve"> </w:t>
      </w:r>
      <w:r>
        <w:rPr>
          <w:w w:val="95"/>
        </w:rPr>
        <w:t>secondary</w:t>
      </w:r>
      <w:r>
        <w:rPr>
          <w:spacing w:val="-3"/>
          <w:w w:val="95"/>
        </w:rPr>
        <w:t xml:space="preserve"> </w:t>
      </w:r>
      <w:r>
        <w:rPr>
          <w:w w:val="95"/>
        </w:rPr>
        <w:t>schools</w:t>
      </w:r>
      <w:r>
        <w:rPr>
          <w:spacing w:val="-3"/>
          <w:w w:val="95"/>
        </w:rPr>
        <w:t xml:space="preserve"> </w:t>
      </w:r>
      <w:r>
        <w:rPr>
          <w:w w:val="95"/>
        </w:rPr>
        <w:t xml:space="preserve">will </w:t>
      </w:r>
      <w:r>
        <w:t>see</w:t>
      </w:r>
      <w:r>
        <w:rPr>
          <w:spacing w:val="-8"/>
        </w:rPr>
        <w:t xml:space="preserve"> </w:t>
      </w:r>
      <w:r>
        <w:t>more</w:t>
      </w:r>
      <w:r>
        <w:rPr>
          <w:spacing w:val="-8"/>
        </w:rPr>
        <w:t xml:space="preserve"> </w:t>
      </w:r>
      <w:r>
        <w:t>growth</w:t>
      </w:r>
      <w:r>
        <w:rPr>
          <w:spacing w:val="-8"/>
        </w:rPr>
        <w:t xml:space="preserve"> </w:t>
      </w:r>
      <w:r>
        <w:t>in</w:t>
      </w:r>
      <w:r>
        <w:rPr>
          <w:spacing w:val="-8"/>
        </w:rPr>
        <w:t xml:space="preserve"> </w:t>
      </w:r>
      <w:r>
        <w:t>the</w:t>
      </w:r>
      <w:r>
        <w:rPr>
          <w:spacing w:val="-8"/>
        </w:rPr>
        <w:t xml:space="preserve"> </w:t>
      </w:r>
      <w:r>
        <w:t>second</w:t>
      </w:r>
      <w:r>
        <w:rPr>
          <w:spacing w:val="-8"/>
        </w:rPr>
        <w:t xml:space="preserve"> </w:t>
      </w:r>
      <w:r>
        <w:t>decade,</w:t>
      </w:r>
      <w:r>
        <w:rPr>
          <w:spacing w:val="-8"/>
        </w:rPr>
        <w:t xml:space="preserve"> </w:t>
      </w:r>
      <w:r>
        <w:t>as</w:t>
      </w:r>
      <w:r>
        <w:rPr>
          <w:spacing w:val="-8"/>
        </w:rPr>
        <w:t xml:space="preserve"> </w:t>
      </w:r>
      <w:r>
        <w:t>shown</w:t>
      </w:r>
      <w:r>
        <w:rPr>
          <w:spacing w:val="-8"/>
        </w:rPr>
        <w:t xml:space="preserve"> </w:t>
      </w:r>
      <w:r>
        <w:t>in Figure</w:t>
      </w:r>
      <w:r>
        <w:rPr>
          <w:spacing w:val="-11"/>
        </w:rPr>
        <w:t xml:space="preserve"> </w:t>
      </w:r>
      <w:r>
        <w:t>14.1.</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267" w:space="40"/>
            <w:col w:w="4953" w:space="39"/>
            <w:col w:w="5761"/>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8"/>
        <w:rPr>
          <w:sz w:val="23"/>
        </w:rPr>
      </w:pPr>
    </w:p>
    <w:p w:rsidR="002C1123" w:rsidRDefault="002C1123">
      <w:pPr>
        <w:rPr>
          <w:sz w:val="23"/>
        </w:rPr>
        <w:sectPr w:rsidR="002C1123">
          <w:pgSz w:w="16840" w:h="11910" w:orient="landscape"/>
          <w:pgMar w:top="560" w:right="280" w:bottom="700" w:left="500" w:header="0" w:footer="517" w:gutter="0"/>
          <w:cols w:space="720"/>
        </w:sectPr>
      </w:pPr>
    </w:p>
    <w:p w:rsidR="002C1123" w:rsidRDefault="00F22F94">
      <w:pPr>
        <w:spacing w:before="140" w:line="249" w:lineRule="auto"/>
        <w:ind w:left="1595" w:hanging="1040"/>
        <w:rPr>
          <w:b/>
          <w:sz w:val="18"/>
        </w:rPr>
      </w:pPr>
      <w:bookmarkStart w:id="361" w:name="_bookmark255"/>
      <w:bookmarkEnd w:id="361"/>
      <w:r>
        <w:rPr>
          <w:b/>
          <w:sz w:val="18"/>
        </w:rPr>
        <w:t>Figure</w:t>
      </w:r>
      <w:r>
        <w:rPr>
          <w:b/>
          <w:spacing w:val="-9"/>
          <w:sz w:val="18"/>
        </w:rPr>
        <w:t xml:space="preserve"> </w:t>
      </w:r>
      <w:r>
        <w:rPr>
          <w:b/>
          <w:sz w:val="18"/>
        </w:rPr>
        <w:t>14.1</w:t>
      </w:r>
      <w:r>
        <w:rPr>
          <w:b/>
          <w:spacing w:val="32"/>
          <w:sz w:val="18"/>
        </w:rPr>
        <w:t xml:space="preserve"> </w:t>
      </w:r>
      <w:r>
        <w:rPr>
          <w:b/>
          <w:sz w:val="18"/>
        </w:rPr>
        <w:t>Forecast</w:t>
      </w:r>
      <w:r>
        <w:rPr>
          <w:b/>
          <w:spacing w:val="-9"/>
          <w:sz w:val="18"/>
        </w:rPr>
        <w:t xml:space="preserve"> </w:t>
      </w:r>
      <w:r>
        <w:rPr>
          <w:b/>
          <w:sz w:val="18"/>
        </w:rPr>
        <w:t>Annual</w:t>
      </w:r>
      <w:r>
        <w:rPr>
          <w:b/>
          <w:spacing w:val="-9"/>
          <w:sz w:val="18"/>
        </w:rPr>
        <w:t xml:space="preserve"> </w:t>
      </w:r>
      <w:r>
        <w:rPr>
          <w:b/>
          <w:sz w:val="18"/>
        </w:rPr>
        <w:t>Increase</w:t>
      </w:r>
      <w:r>
        <w:rPr>
          <w:b/>
          <w:spacing w:val="-9"/>
          <w:sz w:val="18"/>
        </w:rPr>
        <w:t xml:space="preserve"> </w:t>
      </w:r>
      <w:r>
        <w:rPr>
          <w:b/>
          <w:sz w:val="18"/>
        </w:rPr>
        <w:t>in</w:t>
      </w:r>
      <w:r>
        <w:rPr>
          <w:b/>
          <w:spacing w:val="-9"/>
          <w:sz w:val="18"/>
        </w:rPr>
        <w:t xml:space="preserve"> </w:t>
      </w:r>
      <w:r>
        <w:rPr>
          <w:b/>
          <w:sz w:val="18"/>
        </w:rPr>
        <w:t>Student Numbers – 2012-21</w:t>
      </w:r>
    </w:p>
    <w:p w:rsidR="002C1123" w:rsidRDefault="002060EF">
      <w:pPr>
        <w:spacing w:before="94"/>
        <w:ind w:left="748"/>
        <w:rPr>
          <w:sz w:val="16"/>
        </w:rPr>
      </w:pPr>
      <w:r>
        <w:pict>
          <v:line id="_x0000_s1566" style="position:absolute;left:0;text-align:left;z-index:251667456;mso-position-horizontal-relative:page" from="90.5pt,9.35pt" to="288.75pt,9.35pt" strokecolor="#b2b1b3" strokeweight=".4pt">
            <w10:wrap anchorx="page"/>
          </v:line>
        </w:pict>
      </w:r>
      <w:r w:rsidR="00F22F94">
        <w:rPr>
          <w:spacing w:val="-2"/>
          <w:w w:val="95"/>
          <w:sz w:val="16"/>
        </w:rPr>
        <w:t>10,000</w:t>
      </w:r>
    </w:p>
    <w:p w:rsidR="002C1123" w:rsidRDefault="00F22F94">
      <w:pPr>
        <w:spacing w:before="107" w:line="249" w:lineRule="auto"/>
        <w:ind w:left="1587" w:hanging="1032"/>
        <w:rPr>
          <w:b/>
          <w:sz w:val="18"/>
        </w:rPr>
      </w:pPr>
      <w:r>
        <w:br w:type="column"/>
      </w:r>
      <w:r>
        <w:rPr>
          <w:b/>
          <w:sz w:val="18"/>
        </w:rPr>
        <w:t>Figure</w:t>
      </w:r>
      <w:r>
        <w:rPr>
          <w:b/>
          <w:spacing w:val="-12"/>
          <w:sz w:val="18"/>
        </w:rPr>
        <w:t xml:space="preserve"> </w:t>
      </w:r>
      <w:r>
        <w:rPr>
          <w:b/>
          <w:sz w:val="18"/>
        </w:rPr>
        <w:t>14.2</w:t>
      </w:r>
      <w:r>
        <w:rPr>
          <w:b/>
          <w:spacing w:val="27"/>
          <w:sz w:val="18"/>
        </w:rPr>
        <w:t xml:space="preserve"> </w:t>
      </w:r>
      <w:r>
        <w:rPr>
          <w:b/>
          <w:sz w:val="18"/>
        </w:rPr>
        <w:t>Teaching</w:t>
      </w:r>
      <w:r>
        <w:rPr>
          <w:b/>
          <w:spacing w:val="-12"/>
          <w:sz w:val="18"/>
        </w:rPr>
        <w:t xml:space="preserve"> </w:t>
      </w:r>
      <w:r>
        <w:rPr>
          <w:b/>
          <w:sz w:val="18"/>
        </w:rPr>
        <w:t>Space</w:t>
      </w:r>
      <w:r>
        <w:rPr>
          <w:b/>
          <w:spacing w:val="-12"/>
          <w:sz w:val="18"/>
        </w:rPr>
        <w:t xml:space="preserve"> </w:t>
      </w:r>
      <w:r>
        <w:rPr>
          <w:b/>
          <w:sz w:val="18"/>
        </w:rPr>
        <w:t>Utilisation</w:t>
      </w:r>
      <w:r>
        <w:rPr>
          <w:b/>
          <w:spacing w:val="-12"/>
          <w:sz w:val="18"/>
        </w:rPr>
        <w:t xml:space="preserve"> </w:t>
      </w:r>
      <w:r>
        <w:rPr>
          <w:b/>
          <w:sz w:val="18"/>
        </w:rPr>
        <w:t>for Public Primary Schools 2011</w:t>
      </w:r>
    </w:p>
    <w:p w:rsidR="002C1123" w:rsidRDefault="002060EF">
      <w:pPr>
        <w:spacing w:before="97"/>
        <w:ind w:left="720"/>
        <w:rPr>
          <w:sz w:val="16"/>
        </w:rPr>
      </w:pPr>
      <w:r>
        <w:pict>
          <v:line id="_x0000_s1565" style="position:absolute;left:0;text-align:left;z-index:251671552;mso-position-horizontal-relative:page" from="328.1pt,9.35pt" to="539.85pt,9.35pt" strokecolor="#b2b1b3" strokeweight=".4pt">
            <w10:wrap anchorx="page"/>
          </v:line>
        </w:pict>
      </w:r>
      <w:r w:rsidR="00F22F94">
        <w:rPr>
          <w:spacing w:val="-5"/>
          <w:w w:val="95"/>
          <w:sz w:val="16"/>
        </w:rPr>
        <w:t>120</w:t>
      </w:r>
    </w:p>
    <w:p w:rsidR="002C1123" w:rsidRDefault="00F22F94">
      <w:pPr>
        <w:spacing w:before="112" w:line="249" w:lineRule="auto"/>
        <w:ind w:left="1583" w:right="1424" w:hanging="1029"/>
        <w:rPr>
          <w:b/>
          <w:sz w:val="18"/>
        </w:rPr>
      </w:pPr>
      <w:r>
        <w:br w:type="column"/>
      </w:r>
      <w:r>
        <w:rPr>
          <w:b/>
          <w:sz w:val="18"/>
        </w:rPr>
        <w:t>Figure</w:t>
      </w:r>
      <w:r>
        <w:rPr>
          <w:b/>
          <w:spacing w:val="-11"/>
          <w:sz w:val="18"/>
        </w:rPr>
        <w:t xml:space="preserve"> </w:t>
      </w:r>
      <w:r>
        <w:rPr>
          <w:b/>
          <w:sz w:val="18"/>
        </w:rPr>
        <w:t>14.3</w:t>
      </w:r>
      <w:r>
        <w:rPr>
          <w:b/>
          <w:spacing w:val="28"/>
          <w:sz w:val="18"/>
        </w:rPr>
        <w:t xml:space="preserve"> </w:t>
      </w:r>
      <w:r>
        <w:rPr>
          <w:b/>
          <w:sz w:val="18"/>
        </w:rPr>
        <w:t>Teaching</w:t>
      </w:r>
      <w:r>
        <w:rPr>
          <w:b/>
          <w:spacing w:val="-11"/>
          <w:sz w:val="18"/>
        </w:rPr>
        <w:t xml:space="preserve"> </w:t>
      </w:r>
      <w:r>
        <w:rPr>
          <w:b/>
          <w:sz w:val="18"/>
        </w:rPr>
        <w:t>Space</w:t>
      </w:r>
      <w:r>
        <w:rPr>
          <w:b/>
          <w:spacing w:val="-11"/>
          <w:sz w:val="18"/>
        </w:rPr>
        <w:t xml:space="preserve"> </w:t>
      </w:r>
      <w:r>
        <w:rPr>
          <w:b/>
          <w:sz w:val="18"/>
        </w:rPr>
        <w:t>Utilisation</w:t>
      </w:r>
      <w:r>
        <w:rPr>
          <w:b/>
          <w:spacing w:val="-11"/>
          <w:sz w:val="18"/>
        </w:rPr>
        <w:t xml:space="preserve"> </w:t>
      </w:r>
      <w:r>
        <w:rPr>
          <w:b/>
          <w:sz w:val="18"/>
        </w:rPr>
        <w:t>for Public High Schools 2011</w:t>
      </w:r>
    </w:p>
    <w:p w:rsidR="002C1123" w:rsidRDefault="002060EF">
      <w:pPr>
        <w:spacing w:before="97"/>
        <w:ind w:left="748"/>
        <w:rPr>
          <w:sz w:val="16"/>
        </w:rPr>
      </w:pPr>
      <w:r>
        <w:pict>
          <v:shape id="docshape2468" o:spid="_x0000_s1564" style="position:absolute;left:0;text-align:left;margin-left:580.9pt;margin-top:9.35pt;width:211.3pt;height:.1pt;z-index:251673600;mso-position-horizontal-relative:page" coordorigin="11618,187" coordsize="4226,0" o:spt="100" adj="0,,0" path="m11618,187r4225,m11618,187r4225,e" filled="f" strokecolor="#b2b1b3" strokeweight=".4pt">
            <v:stroke joinstyle="round"/>
            <v:formulas/>
            <v:path arrowok="t" o:connecttype="segments"/>
            <w10:wrap anchorx="page"/>
          </v:shape>
        </w:pict>
      </w:r>
      <w:r w:rsidR="00F22F94">
        <w:rPr>
          <w:spacing w:val="-5"/>
          <w:w w:val="95"/>
          <w:sz w:val="16"/>
        </w:rPr>
        <w:t>120</w:t>
      </w:r>
    </w:p>
    <w:p w:rsidR="002C1123" w:rsidRDefault="002C1123">
      <w:pPr>
        <w:rPr>
          <w:sz w:val="16"/>
        </w:rPr>
        <w:sectPr w:rsidR="002C1123">
          <w:type w:val="continuous"/>
          <w:pgSz w:w="16840" w:h="11910" w:orient="landscape"/>
          <w:pgMar w:top="560" w:right="280" w:bottom="280" w:left="500" w:header="0" w:footer="517" w:gutter="0"/>
          <w:cols w:num="3" w:space="720" w:equalWidth="0">
            <w:col w:w="4743" w:space="227"/>
            <w:col w:w="4196" w:space="831"/>
            <w:col w:w="6063"/>
          </w:cols>
        </w:sectPr>
      </w:pPr>
    </w:p>
    <w:p w:rsidR="002C1123" w:rsidRDefault="002C1123">
      <w:pPr>
        <w:pStyle w:val="BodyText"/>
        <w:spacing w:before="1"/>
        <w:rPr>
          <w:sz w:val="13"/>
        </w:rPr>
      </w:pPr>
    </w:p>
    <w:p w:rsidR="002C1123" w:rsidRDefault="002C1123">
      <w:pPr>
        <w:rPr>
          <w:sz w:val="13"/>
        </w:rPr>
        <w:sectPr w:rsidR="002C1123">
          <w:type w:val="continuous"/>
          <w:pgSz w:w="16840" w:h="11910" w:orient="landscape"/>
          <w:pgMar w:top="560" w:right="280" w:bottom="280" w:left="500" w:header="0" w:footer="517" w:gutter="0"/>
          <w:cols w:space="720"/>
        </w:sectPr>
      </w:pPr>
    </w:p>
    <w:p w:rsidR="002C1123" w:rsidRDefault="00F22F94">
      <w:pPr>
        <w:spacing w:before="98"/>
        <w:ind w:right="43"/>
        <w:jc w:val="right"/>
        <w:rPr>
          <w:sz w:val="16"/>
        </w:rPr>
      </w:pPr>
      <w:r>
        <w:rPr>
          <w:spacing w:val="-2"/>
          <w:w w:val="95"/>
          <w:sz w:val="16"/>
        </w:rPr>
        <w:t>8,000</w:t>
      </w:r>
    </w:p>
    <w:p w:rsidR="002C1123" w:rsidRDefault="002C1123">
      <w:pPr>
        <w:pStyle w:val="BodyText"/>
        <w:spacing w:before="7"/>
        <w:rPr>
          <w:sz w:val="21"/>
        </w:rPr>
      </w:pPr>
    </w:p>
    <w:p w:rsidR="002C1123" w:rsidRDefault="002060EF">
      <w:pPr>
        <w:ind w:right="43"/>
        <w:jc w:val="right"/>
        <w:rPr>
          <w:sz w:val="16"/>
        </w:rPr>
      </w:pPr>
      <w:r>
        <w:pict>
          <v:shape id="docshape2469" o:spid="_x0000_s1563" type="#_x0000_t202" style="position:absolute;left:0;text-align:left;margin-left:51pt;margin-top:-2.3pt;width:11.05pt;height:57.85pt;z-index:251676672;mso-position-horizontal-relative:page" filled="f" stroked="f">
            <v:textbox style="layout-flow:vertical;mso-layout-flow-alt:bottom-to-top" inset="0,0,0,0">
              <w:txbxContent>
                <w:p w:rsidR="00F22F94" w:rsidRDefault="00F22F94">
                  <w:pPr>
                    <w:spacing w:before="18"/>
                    <w:ind w:left="20"/>
                    <w:rPr>
                      <w:sz w:val="16"/>
                    </w:rPr>
                  </w:pPr>
                  <w:r>
                    <w:rPr>
                      <w:w w:val="80"/>
                      <w:sz w:val="16"/>
                    </w:rPr>
                    <w:t>Number</w:t>
                  </w:r>
                  <w:r>
                    <w:rPr>
                      <w:spacing w:val="-2"/>
                      <w:w w:val="80"/>
                      <w:sz w:val="16"/>
                    </w:rPr>
                    <w:t xml:space="preserve"> </w:t>
                  </w:r>
                  <w:r>
                    <w:rPr>
                      <w:w w:val="80"/>
                      <w:sz w:val="16"/>
                    </w:rPr>
                    <w:t>of</w:t>
                  </w:r>
                  <w:r>
                    <w:rPr>
                      <w:spacing w:val="-2"/>
                      <w:w w:val="80"/>
                      <w:sz w:val="16"/>
                    </w:rPr>
                    <w:t xml:space="preserve"> students</w:t>
                  </w:r>
                </w:p>
              </w:txbxContent>
            </v:textbox>
            <w10:wrap anchorx="page"/>
          </v:shape>
        </w:pict>
      </w:r>
      <w:r w:rsidR="00F22F94">
        <w:rPr>
          <w:spacing w:val="-2"/>
          <w:w w:val="95"/>
          <w:sz w:val="16"/>
        </w:rPr>
        <w:t>6,000</w:t>
      </w:r>
    </w:p>
    <w:p w:rsidR="002C1123" w:rsidRDefault="002C1123">
      <w:pPr>
        <w:pStyle w:val="BodyText"/>
        <w:spacing w:before="7"/>
        <w:rPr>
          <w:sz w:val="21"/>
        </w:rPr>
      </w:pPr>
    </w:p>
    <w:p w:rsidR="002C1123" w:rsidRDefault="00F22F94">
      <w:pPr>
        <w:spacing w:before="1"/>
        <w:ind w:right="43"/>
        <w:jc w:val="right"/>
        <w:rPr>
          <w:sz w:val="16"/>
        </w:rPr>
      </w:pPr>
      <w:r>
        <w:rPr>
          <w:spacing w:val="-2"/>
          <w:w w:val="95"/>
          <w:sz w:val="16"/>
        </w:rPr>
        <w:t>4,000</w:t>
      </w:r>
    </w:p>
    <w:p w:rsidR="002C1123" w:rsidRDefault="002C1123">
      <w:pPr>
        <w:pStyle w:val="BodyText"/>
        <w:spacing w:before="7"/>
        <w:rPr>
          <w:sz w:val="21"/>
        </w:rPr>
      </w:pPr>
    </w:p>
    <w:p w:rsidR="002C1123" w:rsidRDefault="00F22F94">
      <w:pPr>
        <w:ind w:right="43"/>
        <w:jc w:val="right"/>
        <w:rPr>
          <w:sz w:val="16"/>
        </w:rPr>
      </w:pPr>
      <w:r>
        <w:rPr>
          <w:spacing w:val="-2"/>
          <w:w w:val="95"/>
          <w:sz w:val="16"/>
        </w:rPr>
        <w:t>2,000</w:t>
      </w:r>
    </w:p>
    <w:p w:rsidR="002C1123" w:rsidRDefault="002C1123">
      <w:pPr>
        <w:pStyle w:val="BodyText"/>
        <w:spacing w:before="7"/>
        <w:rPr>
          <w:sz w:val="21"/>
        </w:rPr>
      </w:pPr>
    </w:p>
    <w:p w:rsidR="002C1123" w:rsidRDefault="00F22F94">
      <w:pPr>
        <w:jc w:val="right"/>
        <w:rPr>
          <w:sz w:val="16"/>
        </w:rPr>
      </w:pPr>
      <w:r>
        <w:rPr>
          <w:w w:val="79"/>
          <w:sz w:val="16"/>
        </w:rPr>
        <w:t>0</w:t>
      </w:r>
    </w:p>
    <w:p w:rsidR="002C1123" w:rsidRDefault="002C1123">
      <w:pPr>
        <w:pStyle w:val="BodyText"/>
        <w:spacing w:before="7"/>
        <w:rPr>
          <w:sz w:val="21"/>
        </w:rPr>
      </w:pPr>
    </w:p>
    <w:p w:rsidR="002C1123" w:rsidRDefault="002060EF">
      <w:pPr>
        <w:ind w:right="43"/>
        <w:jc w:val="right"/>
        <w:rPr>
          <w:sz w:val="16"/>
        </w:rPr>
      </w:pPr>
      <w:r>
        <w:pict>
          <v:shape id="docshape2470" o:spid="_x0000_s1562" type="#_x0000_t202" style="position:absolute;left:0;text-align:left;margin-left:91.25pt;margin-top:9.9pt;width:11.05pt;height:17.4pt;z-index:251677696;mso-position-horizontal-relative:page" filled="f" stroked="f">
            <v:textbox style="layout-flow:vertical;mso-layout-flow-alt:bottom-to-top" inset="0,0,0,0">
              <w:txbxContent>
                <w:p w:rsidR="00F22F94" w:rsidRDefault="00F22F94">
                  <w:pPr>
                    <w:spacing w:before="18"/>
                    <w:ind w:left="20"/>
                    <w:rPr>
                      <w:sz w:val="16"/>
                    </w:rPr>
                  </w:pPr>
                  <w:r>
                    <w:rPr>
                      <w:spacing w:val="-4"/>
                      <w:w w:val="90"/>
                      <w:sz w:val="16"/>
                    </w:rPr>
                    <w:t>2012</w:t>
                  </w:r>
                </w:p>
              </w:txbxContent>
            </v:textbox>
            <w10:wrap anchorx="page"/>
          </v:shape>
        </w:pict>
      </w:r>
      <w:r>
        <w:pict>
          <v:shape id="docshape2471" o:spid="_x0000_s1561" type="#_x0000_t202" style="position:absolute;left:0;text-align:left;margin-left:111.6pt;margin-top:9.9pt;width:11.05pt;height:17.4pt;z-index:251678720;mso-position-horizontal-relative:page" filled="f" stroked="f">
            <v:textbox style="layout-flow:vertical;mso-layout-flow-alt:bottom-to-top" inset="0,0,0,0">
              <w:txbxContent>
                <w:p w:rsidR="00F22F94" w:rsidRDefault="00F22F94">
                  <w:pPr>
                    <w:spacing w:before="18"/>
                    <w:ind w:left="20"/>
                    <w:rPr>
                      <w:sz w:val="16"/>
                    </w:rPr>
                  </w:pPr>
                  <w:r>
                    <w:rPr>
                      <w:spacing w:val="-4"/>
                      <w:w w:val="90"/>
                      <w:sz w:val="16"/>
                    </w:rPr>
                    <w:t>2013</w:t>
                  </w:r>
                </w:p>
              </w:txbxContent>
            </v:textbox>
            <w10:wrap anchorx="page"/>
          </v:shape>
        </w:pict>
      </w:r>
      <w:r>
        <w:pict>
          <v:shape id="docshape2472" o:spid="_x0000_s1560" type="#_x0000_t202" style="position:absolute;left:0;text-align:left;margin-left:132pt;margin-top:9.9pt;width:11.05pt;height:17.4pt;z-index:251679744;mso-position-horizontal-relative:page" filled="f" stroked="f">
            <v:textbox style="layout-flow:vertical;mso-layout-flow-alt:bottom-to-top" inset="0,0,0,0">
              <w:txbxContent>
                <w:p w:rsidR="00F22F94" w:rsidRDefault="00F22F94">
                  <w:pPr>
                    <w:spacing w:before="18"/>
                    <w:ind w:left="20"/>
                    <w:rPr>
                      <w:sz w:val="16"/>
                    </w:rPr>
                  </w:pPr>
                  <w:r>
                    <w:rPr>
                      <w:spacing w:val="-4"/>
                      <w:w w:val="90"/>
                      <w:sz w:val="16"/>
                    </w:rPr>
                    <w:t>2014</w:t>
                  </w:r>
                </w:p>
              </w:txbxContent>
            </v:textbox>
            <w10:wrap anchorx="page"/>
          </v:shape>
        </w:pict>
      </w:r>
      <w:r>
        <w:pict>
          <v:shape id="docshape2473" o:spid="_x0000_s1559" type="#_x0000_t202" style="position:absolute;left:0;text-align:left;margin-left:152.4pt;margin-top:9.9pt;width:11.05pt;height:17.4pt;z-index:251680768;mso-position-horizontal-relative:page" filled="f" stroked="f">
            <v:textbox style="layout-flow:vertical;mso-layout-flow-alt:bottom-to-top" inset="0,0,0,0">
              <w:txbxContent>
                <w:p w:rsidR="00F22F94" w:rsidRDefault="00F22F94">
                  <w:pPr>
                    <w:spacing w:before="18"/>
                    <w:ind w:left="20"/>
                    <w:rPr>
                      <w:sz w:val="16"/>
                    </w:rPr>
                  </w:pPr>
                  <w:r>
                    <w:rPr>
                      <w:spacing w:val="-4"/>
                      <w:w w:val="90"/>
                      <w:sz w:val="16"/>
                    </w:rPr>
                    <w:t>2015</w:t>
                  </w:r>
                </w:p>
              </w:txbxContent>
            </v:textbox>
            <w10:wrap anchorx="page"/>
          </v:shape>
        </w:pict>
      </w:r>
      <w:r>
        <w:pict>
          <v:shape id="docshape2474" o:spid="_x0000_s1558" type="#_x0000_t202" style="position:absolute;left:0;text-align:left;margin-left:172.75pt;margin-top:9.9pt;width:11.05pt;height:17.4pt;z-index:251681792;mso-position-horizontal-relative:page" filled="f" stroked="f">
            <v:textbox style="layout-flow:vertical;mso-layout-flow-alt:bottom-to-top" inset="0,0,0,0">
              <w:txbxContent>
                <w:p w:rsidR="00F22F94" w:rsidRDefault="00F22F94">
                  <w:pPr>
                    <w:spacing w:before="18"/>
                    <w:ind w:left="20"/>
                    <w:rPr>
                      <w:sz w:val="16"/>
                    </w:rPr>
                  </w:pPr>
                  <w:r>
                    <w:rPr>
                      <w:spacing w:val="-4"/>
                      <w:w w:val="90"/>
                      <w:sz w:val="16"/>
                    </w:rPr>
                    <w:t>2016</w:t>
                  </w:r>
                </w:p>
              </w:txbxContent>
            </v:textbox>
            <w10:wrap anchorx="page"/>
          </v:shape>
        </w:pict>
      </w:r>
      <w:r>
        <w:pict>
          <v:shape id="docshape2475" o:spid="_x0000_s1557" type="#_x0000_t202" style="position:absolute;left:0;text-align:left;margin-left:193.15pt;margin-top:9.9pt;width:11.05pt;height:17.4pt;z-index:251682816;mso-position-horizontal-relative:page" filled="f" stroked="f">
            <v:textbox style="layout-flow:vertical;mso-layout-flow-alt:bottom-to-top" inset="0,0,0,0">
              <w:txbxContent>
                <w:p w:rsidR="00F22F94" w:rsidRDefault="00F22F94">
                  <w:pPr>
                    <w:spacing w:before="18"/>
                    <w:ind w:left="20"/>
                    <w:rPr>
                      <w:sz w:val="16"/>
                    </w:rPr>
                  </w:pPr>
                  <w:r>
                    <w:rPr>
                      <w:spacing w:val="-4"/>
                      <w:w w:val="90"/>
                      <w:sz w:val="16"/>
                    </w:rPr>
                    <w:t>2017</w:t>
                  </w:r>
                </w:p>
              </w:txbxContent>
            </v:textbox>
            <w10:wrap anchorx="page"/>
          </v:shape>
        </w:pict>
      </w:r>
      <w:r>
        <w:pict>
          <v:shape id="docshape2476" o:spid="_x0000_s1556" type="#_x0000_t202" style="position:absolute;left:0;text-align:left;margin-left:213.55pt;margin-top:9.9pt;width:11.05pt;height:17.4pt;z-index:251683840;mso-position-horizontal-relative:page" filled="f" stroked="f">
            <v:textbox style="layout-flow:vertical;mso-layout-flow-alt:bottom-to-top" inset="0,0,0,0">
              <w:txbxContent>
                <w:p w:rsidR="00F22F94" w:rsidRDefault="00F22F94">
                  <w:pPr>
                    <w:spacing w:before="18"/>
                    <w:ind w:left="20"/>
                    <w:rPr>
                      <w:sz w:val="16"/>
                    </w:rPr>
                  </w:pPr>
                  <w:r>
                    <w:rPr>
                      <w:spacing w:val="-4"/>
                      <w:w w:val="90"/>
                      <w:sz w:val="16"/>
                    </w:rPr>
                    <w:t>2018</w:t>
                  </w:r>
                </w:p>
              </w:txbxContent>
            </v:textbox>
            <w10:wrap anchorx="page"/>
          </v:shape>
        </w:pict>
      </w:r>
      <w:r>
        <w:pict>
          <v:shape id="docshape2477" o:spid="_x0000_s1555" type="#_x0000_t202" style="position:absolute;left:0;text-align:left;margin-left:233.95pt;margin-top:9.9pt;width:11.05pt;height:17.4pt;z-index:251684864;mso-position-horizontal-relative:page" filled="f" stroked="f">
            <v:textbox style="layout-flow:vertical;mso-layout-flow-alt:bottom-to-top" inset="0,0,0,0">
              <w:txbxContent>
                <w:p w:rsidR="00F22F94" w:rsidRDefault="00F22F94">
                  <w:pPr>
                    <w:spacing w:before="18"/>
                    <w:ind w:left="20"/>
                    <w:rPr>
                      <w:sz w:val="16"/>
                    </w:rPr>
                  </w:pPr>
                  <w:r>
                    <w:rPr>
                      <w:spacing w:val="-4"/>
                      <w:w w:val="90"/>
                      <w:sz w:val="16"/>
                    </w:rPr>
                    <w:t>2019</w:t>
                  </w:r>
                </w:p>
              </w:txbxContent>
            </v:textbox>
            <w10:wrap anchorx="page"/>
          </v:shape>
        </w:pict>
      </w:r>
      <w:r>
        <w:pict>
          <v:shape id="docshape2478" o:spid="_x0000_s1554" type="#_x0000_t202" style="position:absolute;left:0;text-align:left;margin-left:254.3pt;margin-top:9.9pt;width:11.05pt;height:17.4pt;z-index:251685888;mso-position-horizontal-relative:page" filled="f" stroked="f">
            <v:textbox style="layout-flow:vertical;mso-layout-flow-alt:bottom-to-top" inset="0,0,0,0">
              <w:txbxContent>
                <w:p w:rsidR="00F22F94" w:rsidRDefault="00F22F94">
                  <w:pPr>
                    <w:spacing w:before="18"/>
                    <w:ind w:left="20"/>
                    <w:rPr>
                      <w:sz w:val="16"/>
                    </w:rPr>
                  </w:pPr>
                  <w:r>
                    <w:rPr>
                      <w:spacing w:val="-4"/>
                      <w:w w:val="90"/>
                      <w:sz w:val="16"/>
                    </w:rPr>
                    <w:t>2020</w:t>
                  </w:r>
                </w:p>
              </w:txbxContent>
            </v:textbox>
            <w10:wrap anchorx="page"/>
          </v:shape>
        </w:pict>
      </w:r>
      <w:r w:rsidR="00F22F94">
        <w:rPr>
          <w:spacing w:val="-2"/>
          <w:w w:val="90"/>
          <w:sz w:val="16"/>
        </w:rPr>
        <w:t>(2,000)</w:t>
      </w:r>
    </w:p>
    <w:p w:rsidR="002C1123" w:rsidRDefault="00F22F94">
      <w:pPr>
        <w:rPr>
          <w:sz w:val="20"/>
        </w:rPr>
      </w:pPr>
      <w:r>
        <w:br w:type="column"/>
      </w: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2"/>
        <w:rPr>
          <w:sz w:val="19"/>
        </w:rPr>
      </w:pPr>
    </w:p>
    <w:p w:rsidR="002C1123" w:rsidRDefault="002060EF">
      <w:pPr>
        <w:ind w:left="308"/>
        <w:rPr>
          <w:sz w:val="16"/>
        </w:rPr>
      </w:pPr>
      <w:r>
        <w:pict>
          <v:rect id="docshape2479" o:spid="_x0000_s1553" style="position:absolute;left:0;text-align:left;margin-left:90.5pt;margin-top:.4pt;width:8.5pt;height:8.5pt;z-index:251663360;mso-position-horizontal-relative:page" fillcolor="#2e3092" stroked="f">
            <w10:wrap anchorx="page"/>
          </v:rect>
        </w:pict>
      </w:r>
      <w:r w:rsidR="00F22F94">
        <w:rPr>
          <w:spacing w:val="-2"/>
          <w:w w:val="75"/>
          <w:sz w:val="16"/>
        </w:rPr>
        <w:t>Primary</w:t>
      </w:r>
    </w:p>
    <w:p w:rsidR="002C1123" w:rsidRDefault="00F22F94">
      <w:pPr>
        <w:rPr>
          <w:sz w:val="20"/>
        </w:rPr>
      </w:pPr>
      <w:r>
        <w:br w:type="column"/>
      </w: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2"/>
        <w:rPr>
          <w:sz w:val="19"/>
        </w:rPr>
      </w:pPr>
    </w:p>
    <w:p w:rsidR="002C1123" w:rsidRDefault="002060EF">
      <w:pPr>
        <w:ind w:left="534"/>
        <w:rPr>
          <w:sz w:val="16"/>
        </w:rPr>
      </w:pPr>
      <w:r>
        <w:pict>
          <v:rect id="docshape2480" o:spid="_x0000_s1552" style="position:absolute;left:0;text-align:left;margin-left:141pt;margin-top:.4pt;width:8.5pt;height:8.5pt;z-index:251664384;mso-position-horizontal-relative:page" fillcolor="#00aeef" stroked="f">
            <w10:wrap anchorx="page"/>
          </v:rect>
        </w:pict>
      </w:r>
      <w:r w:rsidR="00F22F94">
        <w:rPr>
          <w:spacing w:val="-2"/>
          <w:w w:val="80"/>
          <w:sz w:val="16"/>
        </w:rPr>
        <w:t>Secondary</w:t>
      </w:r>
    </w:p>
    <w:p w:rsidR="002C1123" w:rsidRDefault="00F22F94">
      <w:pPr>
        <w:spacing w:before="128"/>
        <w:ind w:right="38"/>
        <w:jc w:val="right"/>
        <w:rPr>
          <w:sz w:val="16"/>
        </w:rPr>
      </w:pPr>
      <w:r>
        <w:br w:type="column"/>
      </w:r>
      <w:r>
        <w:rPr>
          <w:spacing w:val="-5"/>
          <w:w w:val="95"/>
          <w:sz w:val="16"/>
        </w:rPr>
        <w:t>100</w:t>
      </w:r>
    </w:p>
    <w:p w:rsidR="002C1123" w:rsidRDefault="002C1123">
      <w:pPr>
        <w:pStyle w:val="BodyText"/>
        <w:spacing w:before="9"/>
        <w:rPr>
          <w:sz w:val="26"/>
        </w:rPr>
      </w:pPr>
    </w:p>
    <w:p w:rsidR="002C1123" w:rsidRDefault="002060EF">
      <w:pPr>
        <w:ind w:right="38"/>
        <w:jc w:val="right"/>
        <w:rPr>
          <w:sz w:val="16"/>
        </w:rPr>
      </w:pPr>
      <w:r>
        <w:pict>
          <v:group id="docshapegroup2481" o:spid="_x0000_s1518" style="position:absolute;left:0;text-align:left;margin-left:90.5pt;margin-top:-27.9pt;width:198.25pt;height:103.25pt;z-index:251666432;mso-position-horizontal-relative:page" coordorigin="1810,-558" coordsize="3965,2065">
            <v:shape id="docshape2482" o:spid="_x0000_s1551" style="position:absolute;left:1809;top:1286;width:96;height:5" coordorigin="1810,1286" coordsize="96,5" o:spt="100" adj="0,,0" path="m1810,1286r95,m1810,1291r95,e" filled="f" strokecolor="#939598" strokeweight=".08833mm">
              <v:stroke joinstyle="round"/>
              <v:formulas/>
              <v:path arrowok="t" o:connecttype="segments"/>
            </v:shape>
            <v:shape id="docshape2483" o:spid="_x0000_s1550" style="position:absolute;left:1809;top:428;width:445;height:431" coordorigin="1810,428" coordsize="445,431" o:spt="100" adj="0,,0" path="m1810,859r46,m1993,859r261,m1810,428r46,m1993,428r261,e" filled="f" strokecolor="#b2b1b3" strokeweight=".4pt">
              <v:stroke joinstyle="round"/>
              <v:formulas/>
              <v:path arrowok="t" o:connecttype="segments"/>
            </v:shape>
            <v:rect id="docshape2484" o:spid="_x0000_s1549" style="position:absolute;left:2008;top:1288;width:138;height:93" fillcolor="#00aeef" stroked="f"/>
            <v:rect id="docshape2485" o:spid="_x0000_s1548" style="position:absolute;left:1855;top:170;width:138;height:1119" fillcolor="#2e3092" stroked="f"/>
            <v:shape id="docshape2486" o:spid="_x0000_s1547" style="position:absolute;left:1809;top:-2;width:843;height:861" coordorigin="1810,-2" coordsize="843,861" o:spt="100" adj="0,,0" path="m2391,859r261,m2391,428r261,m1810,-2r444,m2391,-2r261,e" filled="f" strokecolor="#b2b1b3" strokeweight=".4pt">
              <v:stroke joinstyle="round"/>
              <v:formulas/>
              <v:path arrowok="t" o:connecttype="segments"/>
            </v:shape>
            <v:rect id="docshape2487" o:spid="_x0000_s1546" style="position:absolute;left:2406;top:1288;width:138;height:218" fillcolor="#00aeef" stroked="f"/>
            <v:rect id="docshape2488" o:spid="_x0000_s1545" style="position:absolute;left:2253;top:-302;width:138;height:1590" fillcolor="#2e3092" stroked="f"/>
            <v:shape id="docshape2489" o:spid="_x0000_s1544" style="position:absolute;left:1809;top:-432;width:3965;height:1291" coordorigin="1810,-432" coordsize="3965,1291" o:spt="100" adj="0,,0" path="m2790,859r261,m2790,428r261,m2790,-2r261,m1810,-432r842,m2790,-432r2985,e" filled="f" strokecolor="#b2b1b3" strokeweight=".4pt">
              <v:stroke joinstyle="round"/>
              <v:formulas/>
              <v:path arrowok="t" o:connecttype="segments"/>
            </v:shape>
            <v:rect id="docshape2490" o:spid="_x0000_s1543" style="position:absolute;left:2805;top:1288;width:138;height:194" fillcolor="#00aeef" stroked="f"/>
            <v:rect id="docshape2491" o:spid="_x0000_s1542" style="position:absolute;left:2652;top:-559;width:138;height:1847" fillcolor="#2e3092" stroked="f"/>
            <v:rect id="docshape2492" o:spid="_x0000_s1541" style="position:absolute;left:3203;top:1288;width:138;height:58" fillcolor="#00aeef" stroked="f"/>
            <v:shape id="docshape2493" o:spid="_x0000_s1540" style="position:absolute;left:3188;top:-2;width:660;height:861" coordorigin="3188,-2" coordsize="660,861" o:spt="100" adj="0,,0" path="m3188,859r261,m3188,428r261,m3188,-2r659,e" filled="f" strokecolor="#b2b1b3" strokeweight=".4pt">
              <v:stroke joinstyle="round"/>
              <v:formulas/>
              <v:path arrowok="t" o:connecttype="segments"/>
            </v:shape>
            <v:rect id="docshape2494" o:spid="_x0000_s1539" style="position:absolute;left:3050;top:-286;width:138;height:1575" fillcolor="#2e3092" stroked="f"/>
            <v:rect id="docshape2495" o:spid="_x0000_s1538" style="position:absolute;left:3601;top:1101;width:138;height:188" fillcolor="#00aeef" stroked="f"/>
            <v:shape id="docshape2496" o:spid="_x0000_s1537" style="position:absolute;left:3586;top:428;width:261;height:431" coordorigin="3587,428" coordsize="261,431" o:spt="100" adj="0,,0" path="m3587,859r260,m3587,428r260,e" filled="f" strokecolor="#b2b1b3" strokeweight=".4pt">
              <v:stroke joinstyle="round"/>
              <v:formulas/>
              <v:path arrowok="t" o:connecttype="segments"/>
            </v:shape>
            <v:rect id="docshape2497" o:spid="_x0000_s1536" style="position:absolute;left:3448;top:291;width:138;height:998" fillcolor="#2e3092" stroked="f"/>
            <v:shape id="docshape2498" o:spid="_x0000_s1535" style="position:absolute;left:3984;top:858;width:261;height:2" coordorigin="3985,859" coordsize="261,0" o:spt="100" adj="0,,0" path="m3985,859r15,m4138,859r108,e" filled="f" strokecolor="#b2b1b3" strokeweight=".4pt">
              <v:stroke joinstyle="round"/>
              <v:formulas/>
              <v:path arrowok="t" o:connecttype="segments"/>
            </v:shape>
            <v:rect id="docshape2499" o:spid="_x0000_s1534" style="position:absolute;left:4000;top:607;width:138;height:681" fillcolor="#00aeef" stroked="f"/>
            <v:shape id="docshape2500" o:spid="_x0000_s1533" style="position:absolute;left:3984;top:-2;width:1790;height:431" coordorigin="3985,-2" coordsize="1790,431" o:spt="100" adj="0,,0" path="m3985,428r1210,m3985,-2r1790,e" filled="f" strokecolor="#b2b1b3" strokeweight=".4pt">
              <v:stroke joinstyle="round"/>
              <v:formulas/>
              <v:path arrowok="t" o:connecttype="segments"/>
            </v:shape>
            <v:rect id="docshape2501" o:spid="_x0000_s1532" style="position:absolute;left:3847;top:-155;width:138;height:1444" fillcolor="#2e3092" stroked="f"/>
            <v:shape id="docshape2502" o:spid="_x0000_s1531" style="position:absolute;left:4383;top:858;width:261;height:2" coordorigin="4383,859" coordsize="261,0" o:spt="100" adj="0,,0" path="m4383,859r16,m4536,859r108,e" filled="f" strokecolor="#b2b1b3" strokeweight=".4pt">
              <v:stroke joinstyle="round"/>
              <v:formulas/>
              <v:path arrowok="t" o:connecttype="segments"/>
            </v:shape>
            <v:rect id="docshape2503" o:spid="_x0000_s1530" style="position:absolute;left:4398;top:674;width:138;height:615" fillcolor="#00aeef" stroked="f"/>
            <v:rect id="docshape2504" o:spid="_x0000_s1529" style="position:absolute;left:4245;top:494;width:138;height:795" fillcolor="#2e3092" stroked="f"/>
            <v:shape id="docshape2505" o:spid="_x0000_s1528" style="position:absolute;left:4781;top:858;width:261;height:2" coordorigin="4782,859" coordsize="261,0" o:spt="100" adj="0,,0" path="m4782,859r15,m4934,859r108,e" filled="f" strokecolor="#b2b1b3" strokeweight=".4pt">
              <v:stroke joinstyle="round"/>
              <v:formulas/>
              <v:path arrowok="t" o:connecttype="segments"/>
            </v:shape>
            <v:rect id="docshape2506" o:spid="_x0000_s1527" style="position:absolute;left:4796;top:522;width:138;height:767" fillcolor="#00aeef" stroked="f"/>
            <v:rect id="docshape2507" o:spid="_x0000_s1526" style="position:absolute;left:4644;top:674;width:138;height:614" fillcolor="#2e3092" stroked="f"/>
            <v:shape id="docshape2508" o:spid="_x0000_s1525" style="position:absolute;left:5179;top:428;width:414;height:431" coordorigin="5180,428" coordsize="414,431" o:spt="100" adj="0,,0" path="m5180,859r15,m5333,859r261,m5333,428r261,e" filled="f" strokecolor="#b2b1b3" strokeweight=".4pt">
              <v:stroke joinstyle="round"/>
              <v:formulas/>
              <v:path arrowok="t" o:connecttype="segments"/>
            </v:shape>
            <v:rect id="docshape2509" o:spid="_x0000_s1524" style="position:absolute;left:5195;top:165;width:138;height:1124" fillcolor="#00aeef" stroked="f"/>
            <v:rect id="docshape2510" o:spid="_x0000_s1523" style="position:absolute;left:5042;top:777;width:138;height:512" fillcolor="#2e3092" stroked="f"/>
            <v:shape id="docshape2511" o:spid="_x0000_s1522" style="position:absolute;left:5731;top:428;width:44;height:431" coordorigin="5731,428" coordsize="44,431" o:spt="100" adj="0,,0" path="m5731,859r44,m5731,428r44,e" filled="f" strokecolor="#b2b1b3" strokeweight=".4pt">
              <v:stroke joinstyle="round"/>
              <v:formulas/>
              <v:path arrowok="t" o:connecttype="segments"/>
            </v:shape>
            <v:rect id="docshape2512" o:spid="_x0000_s1521" style="position:absolute;left:5593;top:197;width:138;height:1092" fillcolor="#00aeef" stroked="f"/>
            <v:rect id="docshape2513" o:spid="_x0000_s1520" style="position:absolute;left:5440;top:905;width:138;height:384" fillcolor="#2e3092" stroked="f"/>
            <v:line id="_x0000_s1519" style="position:absolute" from="1810,1289" to="5775,1289" strokecolor="#b2b1b3" strokeweight=".8pt"/>
            <w10:wrap anchorx="page"/>
          </v:group>
        </w:pict>
      </w:r>
      <w:r>
        <w:pict>
          <v:shape id="docshape2514" o:spid="_x0000_s1517" type="#_x0000_t202" style="position:absolute;left:0;text-align:left;margin-left:299.5pt;margin-top:12.6pt;width:11.05pt;height:34pt;z-index:251687936;mso-position-horizontal-relative:page" filled="f" stroked="f">
            <v:textbox style="layout-flow:vertical;mso-layout-flow-alt:bottom-to-top" inset="0,0,0,0">
              <w:txbxContent>
                <w:p w:rsidR="00F22F94" w:rsidRDefault="00F22F94">
                  <w:pPr>
                    <w:spacing w:before="18"/>
                    <w:ind w:left="20"/>
                    <w:rPr>
                      <w:sz w:val="16"/>
                    </w:rPr>
                  </w:pPr>
                  <w:r>
                    <w:rPr>
                      <w:spacing w:val="-2"/>
                      <w:w w:val="80"/>
                      <w:sz w:val="16"/>
                    </w:rPr>
                    <w:t>Percentage</w:t>
                  </w:r>
                </w:p>
              </w:txbxContent>
            </v:textbox>
            <w10:wrap anchorx="page"/>
          </v:shape>
        </w:pict>
      </w:r>
      <w:r w:rsidR="00F22F94">
        <w:rPr>
          <w:spacing w:val="-5"/>
          <w:w w:val="95"/>
          <w:sz w:val="16"/>
        </w:rPr>
        <w:t>80</w:t>
      </w:r>
    </w:p>
    <w:p w:rsidR="002C1123" w:rsidRDefault="002C1123">
      <w:pPr>
        <w:pStyle w:val="BodyText"/>
        <w:spacing w:before="10"/>
        <w:rPr>
          <w:sz w:val="26"/>
        </w:rPr>
      </w:pPr>
    </w:p>
    <w:p w:rsidR="002C1123" w:rsidRDefault="00F22F94">
      <w:pPr>
        <w:ind w:right="38"/>
        <w:jc w:val="right"/>
        <w:rPr>
          <w:sz w:val="16"/>
        </w:rPr>
      </w:pPr>
      <w:r>
        <w:rPr>
          <w:spacing w:val="-5"/>
          <w:w w:val="95"/>
          <w:sz w:val="16"/>
        </w:rPr>
        <w:t>60</w:t>
      </w:r>
    </w:p>
    <w:p w:rsidR="002C1123" w:rsidRDefault="002C1123">
      <w:pPr>
        <w:pStyle w:val="BodyText"/>
        <w:spacing w:before="9"/>
        <w:rPr>
          <w:sz w:val="26"/>
        </w:rPr>
      </w:pPr>
    </w:p>
    <w:p w:rsidR="002C1123" w:rsidRDefault="00F22F94">
      <w:pPr>
        <w:spacing w:before="1"/>
        <w:ind w:right="38"/>
        <w:jc w:val="right"/>
        <w:rPr>
          <w:sz w:val="16"/>
        </w:rPr>
      </w:pPr>
      <w:r>
        <w:rPr>
          <w:spacing w:val="-5"/>
          <w:w w:val="95"/>
          <w:sz w:val="16"/>
        </w:rPr>
        <w:t>40</w:t>
      </w:r>
    </w:p>
    <w:p w:rsidR="002C1123" w:rsidRDefault="002C1123">
      <w:pPr>
        <w:pStyle w:val="BodyText"/>
        <w:spacing w:before="9"/>
        <w:rPr>
          <w:sz w:val="26"/>
        </w:rPr>
      </w:pPr>
    </w:p>
    <w:p w:rsidR="002C1123" w:rsidRDefault="002060EF">
      <w:pPr>
        <w:ind w:right="38"/>
        <w:jc w:val="right"/>
        <w:rPr>
          <w:sz w:val="16"/>
        </w:rPr>
      </w:pPr>
      <w:r>
        <w:pict>
          <v:line id="_x0000_s1516" style="position:absolute;left:0;text-align:left;z-index:251665408;mso-position-horizontal-relative:page" from="90.5pt,12.1pt" to="288.75pt,12.1pt" strokecolor="#b2b1b3" strokeweight=".4pt">
            <w10:wrap anchorx="page"/>
          </v:line>
        </w:pict>
      </w:r>
      <w:r w:rsidR="00F22F94">
        <w:rPr>
          <w:spacing w:val="-5"/>
          <w:w w:val="95"/>
          <w:sz w:val="16"/>
        </w:rPr>
        <w:t>20</w:t>
      </w:r>
    </w:p>
    <w:p w:rsidR="002C1123" w:rsidRDefault="002C1123">
      <w:pPr>
        <w:pStyle w:val="BodyText"/>
        <w:spacing w:before="9"/>
        <w:rPr>
          <w:sz w:val="26"/>
        </w:rPr>
      </w:pPr>
    </w:p>
    <w:p w:rsidR="002C1123" w:rsidRDefault="002060EF">
      <w:pPr>
        <w:spacing w:before="1"/>
        <w:ind w:right="38"/>
        <w:jc w:val="right"/>
        <w:rPr>
          <w:sz w:val="16"/>
        </w:rPr>
      </w:pPr>
      <w:r>
        <w:pict>
          <v:shape id="docshape2515" o:spid="_x0000_s1515" type="#_x0000_t202" style="position:absolute;left:0;text-align:left;margin-left:274.7pt;margin-top:-6.5pt;width:11.05pt;height:17.4pt;z-index:251686912;mso-position-horizontal-relative:page" filled="f" stroked="f">
            <v:textbox style="layout-flow:vertical;mso-layout-flow-alt:bottom-to-top" inset="0,0,0,0">
              <w:txbxContent>
                <w:p w:rsidR="00F22F94" w:rsidRDefault="00F22F94">
                  <w:pPr>
                    <w:spacing w:before="18"/>
                    <w:ind w:left="20"/>
                    <w:rPr>
                      <w:sz w:val="16"/>
                    </w:rPr>
                  </w:pPr>
                  <w:r>
                    <w:rPr>
                      <w:spacing w:val="-4"/>
                      <w:w w:val="90"/>
                      <w:sz w:val="16"/>
                    </w:rPr>
                    <w:t>2021</w:t>
                  </w:r>
                </w:p>
              </w:txbxContent>
            </v:textbox>
            <w10:wrap anchorx="page"/>
          </v:shape>
        </w:pict>
      </w:r>
      <w:r w:rsidR="00F22F94">
        <w:rPr>
          <w:w w:val="86"/>
          <w:sz w:val="16"/>
        </w:rPr>
        <w:t>0</w:t>
      </w:r>
    </w:p>
    <w:p w:rsidR="002C1123" w:rsidRDefault="00F22F94">
      <w:pPr>
        <w:spacing w:before="133"/>
        <w:ind w:right="5080"/>
        <w:jc w:val="right"/>
        <w:rPr>
          <w:sz w:val="16"/>
        </w:rPr>
      </w:pPr>
      <w:r>
        <w:br w:type="column"/>
      </w:r>
      <w:r>
        <w:rPr>
          <w:spacing w:val="-5"/>
          <w:w w:val="95"/>
          <w:sz w:val="16"/>
        </w:rPr>
        <w:t>100</w:t>
      </w:r>
    </w:p>
    <w:p w:rsidR="002C1123" w:rsidRDefault="002C1123">
      <w:pPr>
        <w:pStyle w:val="BodyText"/>
        <w:spacing w:before="9"/>
        <w:rPr>
          <w:sz w:val="26"/>
        </w:rPr>
      </w:pPr>
    </w:p>
    <w:p w:rsidR="002C1123" w:rsidRDefault="002060EF">
      <w:pPr>
        <w:ind w:right="5080"/>
        <w:jc w:val="right"/>
        <w:rPr>
          <w:sz w:val="16"/>
        </w:rPr>
      </w:pPr>
      <w:r>
        <w:pict>
          <v:group id="docshapegroup2516" o:spid="_x0000_s1473" style="position:absolute;left:0;text-align:left;margin-left:328.1pt;margin-top:-38.3pt;width:211.75pt;height:141.1pt;z-index:251670528;mso-position-horizontal-relative:page" coordorigin="6562,-766" coordsize="4235,2822">
            <v:shape id="docshape2517" o:spid="_x0000_s1514" style="position:absolute;left:6562;top:2045;width:4235;height:4" coordorigin="6562,2045" coordsize="4235,4" o:spt="100" adj="0,,0" path="m6562,2045r42,m6728,2045r260,m7112,2045r14,m7250,2045r122,m7496,2045r14,m7634,2045r122,m7880,2045r14,m8018,2045r122,m8264,2045r14,m8402,2045r122,m8648,2045r14,m8786,2045r122,m9032,2045r14,m9170,2045r122,m9416,2045r14,m9554,2045r121,m9800,2045r13,m9938,2045r121,m10184,2045r13,m10322,2045r121,m10568,2045r13,m10706,2045r91,m6562,2049r4235,e" filled="f" strokecolor="#b2b1b3" strokeweight=".07058mm">
              <v:stroke joinstyle="round"/>
              <v:formulas/>
              <v:path arrowok="t" o:connecttype="segments"/>
            </v:shape>
            <v:shape id="docshape2518" o:spid="_x0000_s1513" style="position:absolute;left:6728;top:573;width:260;height:983" coordorigin="6728,573" coordsize="260,983" o:spt="100" adj="0,,0" path="m6728,1556r14,m6866,1556r122,m6728,1065r14,m6866,1065r122,m6728,573r14,m6866,573r122,e" filled="f" strokecolor="#b2b1b3" strokeweight=".4pt">
              <v:stroke joinstyle="round"/>
              <v:formulas/>
              <v:path arrowok="t" o:connecttype="segments"/>
            </v:shape>
            <v:rect id="docshape2519" o:spid="_x0000_s1512" style="position:absolute;left:6741;top:180;width:125;height:1867" fillcolor="#00aeef" stroked="f"/>
            <v:shape id="docshape2520" o:spid="_x0000_s1511" style="position:absolute;left:6562;top:573;width:42;height:983" coordorigin="6562,573" coordsize="42,983" o:spt="100" adj="0,,0" path="m6562,1556r42,m6562,1065r42,m6562,573r42,e" filled="f" strokecolor="#b2b1b3" strokeweight=".4pt">
              <v:stroke joinstyle="round"/>
              <v:formulas/>
              <v:path arrowok="t" o:connecttype="segments"/>
            </v:shape>
            <v:rect id="docshape2521" o:spid="_x0000_s1510" style="position:absolute;left:6603;top:-130;width:125;height:2177" fillcolor="#2e3092" stroked="f"/>
            <v:shape id="docshape2522" o:spid="_x0000_s1509" style="position:absolute;left:7111;top:573;width:260;height:983" coordorigin="7112,573" coordsize="260,983" o:spt="100" adj="0,,0" path="m7112,1556r14,m7250,1556r122,m7112,1065r14,m7250,1065r122,m7112,573r14,m7250,573r122,e" filled="f" strokecolor="#b2b1b3" strokeweight=".4pt">
              <v:stroke joinstyle="round"/>
              <v:formulas/>
              <v:path arrowok="t" o:connecttype="segments"/>
            </v:shape>
            <v:rect id="docshape2523" o:spid="_x0000_s1508" style="position:absolute;left:7125;top:77;width:125;height:1970" fillcolor="#00aeef" stroked="f"/>
            <v:rect id="docshape2524" o:spid="_x0000_s1507" style="position:absolute;left:6987;top:-100;width:125;height:2147" fillcolor="#2e3092" stroked="f"/>
            <v:shape id="docshape2525" o:spid="_x0000_s1506" style="position:absolute;left:7495;top:573;width:260;height:983" coordorigin="7496,573" coordsize="260,983" o:spt="100" adj="0,,0" path="m7496,1556r14,m7634,1556r122,m7496,1065r14,m7634,1065r122,m7496,573r14,m7634,573r122,e" filled="f" strokecolor="#b2b1b3" strokeweight=".4pt">
              <v:stroke joinstyle="round"/>
              <v:formulas/>
              <v:path arrowok="t" o:connecttype="segments"/>
            </v:shape>
            <v:rect id="docshape2526" o:spid="_x0000_s1505" style="position:absolute;left:7509;top:175;width:125;height:1872" fillcolor="#00aeef" stroked="f"/>
            <v:rect id="docshape2527" o:spid="_x0000_s1504" style="position:absolute;left:7371;top:50;width:125;height:1997" fillcolor="#2e3092" stroked="f"/>
            <v:shape id="docshape2528" o:spid="_x0000_s1503" style="position:absolute;left:7879;top:573;width:260;height:983" coordorigin="7880,573" coordsize="260,983" o:spt="100" adj="0,,0" path="m7880,1556r14,m8018,1556r122,m7880,1065r14,m8018,1065r122,m7880,573r14,m8018,573r122,e" filled="f" strokecolor="#b2b1b3" strokeweight=".4pt">
              <v:stroke joinstyle="round"/>
              <v:formulas/>
              <v:path arrowok="t" o:connecttype="segments"/>
            </v:shape>
            <v:rect id="docshape2529" o:spid="_x0000_s1502" style="position:absolute;left:7893;top:-107;width:125;height:2155" fillcolor="#00aeef" stroked="f"/>
            <v:rect id="docshape2530" o:spid="_x0000_s1501" style="position:absolute;left:7755;top:-294;width:125;height:2341" fillcolor="#2e3092" stroked="f"/>
            <v:shape id="docshape2531" o:spid="_x0000_s1500" style="position:absolute;left:8263;top:573;width:260;height:983" coordorigin="8264,573" coordsize="260,983" o:spt="100" adj="0,,0" path="m8264,1556r14,m8402,1556r122,m8264,1065r14,m8402,1065r122,m8264,573r14,m8402,573r122,e" filled="f" strokecolor="#b2b1b3" strokeweight=".4pt">
              <v:stroke joinstyle="round"/>
              <v:formulas/>
              <v:path arrowok="t" o:connecttype="segments"/>
            </v:shape>
            <v:rect id="docshape2532" o:spid="_x0000_s1499" style="position:absolute;left:8277;top:-4;width:125;height:2052" fillcolor="#00aeef" stroked="f"/>
            <v:rect id="docshape2533" o:spid="_x0000_s1498" style="position:absolute;left:8139;top:-368;width:125;height:2415" fillcolor="#2e3092" stroked="f"/>
            <v:shape id="docshape2534" o:spid="_x0000_s1497" style="position:absolute;left:8647;top:573;width:260;height:983" coordorigin="8648,573" coordsize="260,983" o:spt="100" adj="0,,0" path="m8648,1556r14,m8786,1556r122,m8648,1065r14,m8786,1065r122,m8648,573r14,m8786,573r122,e" filled="f" strokecolor="#b2b1b3" strokeweight=".4pt">
              <v:stroke joinstyle="round"/>
              <v:formulas/>
              <v:path arrowok="t" o:connecttype="segments"/>
            </v:shape>
            <v:rect id="docshape2535" o:spid="_x0000_s1496" style="position:absolute;left:8661;top:-132;width:125;height:2179" fillcolor="#00aeef" stroked="f"/>
            <v:rect id="docshape2536" o:spid="_x0000_s1495" style="position:absolute;left:8523;top:-520;width:125;height:2567" fillcolor="#2e3092" stroked="f"/>
            <v:shape id="docshape2537" o:spid="_x0000_s1494" style="position:absolute;left:9031;top:573;width:260;height:983" coordorigin="9032,573" coordsize="260,983" o:spt="100" adj="0,,0" path="m9032,1556r14,m9170,1556r122,m9032,1065r14,m9170,1065r122,m9032,573r14,m9170,573r122,e" filled="f" strokecolor="#b2b1b3" strokeweight=".4pt">
              <v:stroke joinstyle="round"/>
              <v:formulas/>
              <v:path arrowok="t" o:connecttype="segments"/>
            </v:shape>
            <v:rect id="docshape2538" o:spid="_x0000_s1493" style="position:absolute;left:9045;top:-80;width:125;height:2128" fillcolor="#00aeef" stroked="f"/>
            <v:rect id="docshape2539" o:spid="_x0000_s1492" style="position:absolute;left:8907;top:-483;width:125;height:2531" fillcolor="#2e3092" stroked="f"/>
            <v:shape id="docshape2540" o:spid="_x0000_s1491" style="position:absolute;left:9415;top:573;width:260;height:983" coordorigin="9416,573" coordsize="260,983" o:spt="100" adj="0,,0" path="m9416,1556r14,m9554,1556r121,m9416,1065r14,m9554,1065r121,m9416,573r14,m9554,573r121,e" filled="f" strokecolor="#b2b1b3" strokeweight=".4pt">
              <v:stroke joinstyle="round"/>
              <v:formulas/>
              <v:path arrowok="t" o:connecttype="segments"/>
            </v:shape>
            <v:rect id="docshape2541" o:spid="_x0000_s1490" style="position:absolute;left:9429;top:-120;width:125;height:2167" fillcolor="#00aeef" stroked="f"/>
            <v:rect id="docshape2542" o:spid="_x0000_s1489" style="position:absolute;left:9291;top:-550;width:125;height:2597" fillcolor="#2e3092" stroked="f"/>
            <v:shape id="docshape2543" o:spid="_x0000_s1488" style="position:absolute;left:9799;top:573;width:260;height:983" coordorigin="9800,573" coordsize="260,983" o:spt="100" adj="0,,0" path="m9800,1556r13,m9938,1556r121,m9800,1065r13,m9938,1065r121,m9800,573r13,m9938,573r121,e" filled="f" strokecolor="#b2b1b3" strokeweight=".4pt">
              <v:stroke joinstyle="round"/>
              <v:formulas/>
              <v:path arrowok="t" o:connecttype="segments"/>
            </v:shape>
            <v:rect id="docshape2544" o:spid="_x0000_s1487" style="position:absolute;left:9813;top:-78;width:125;height:2125" fillcolor="#00aeef" stroked="f"/>
            <v:rect id="docshape2545" o:spid="_x0000_s1486" style="position:absolute;left:9675;top:-510;width:125;height:2558" fillcolor="#2e3092" stroked="f"/>
            <v:shape id="docshape2546" o:spid="_x0000_s1485" style="position:absolute;left:10183;top:573;width:260;height:983" coordorigin="10184,573" coordsize="260,983" o:spt="100" adj="0,,0" path="m10184,1556r13,m10322,1556r121,m10184,1065r13,m10322,1065r121,m10184,573r13,m10322,573r121,e" filled="f" strokecolor="#b2b1b3" strokeweight=".4pt">
              <v:stroke joinstyle="round"/>
              <v:formulas/>
              <v:path arrowok="t" o:connecttype="segments"/>
            </v:shape>
            <v:rect id="docshape2547" o:spid="_x0000_s1484" style="position:absolute;left:10197;top:-198;width:125;height:2246" fillcolor="#00aeef" stroked="f"/>
            <v:rect id="docshape2548" o:spid="_x0000_s1483" style="position:absolute;left:10059;top:-660;width:125;height:2707" fillcolor="#2e3092" stroked="f"/>
            <v:shape id="docshape2549" o:spid="_x0000_s1482" style="position:absolute;left:10567;top:573;width:230;height:983" coordorigin="10568,573" coordsize="230,983" o:spt="100" adj="0,,0" path="m10568,1556r13,m10706,1556r91,m10568,1065r13,m10706,1065r91,m10568,573r13,m10706,573r91,e" filled="f" strokecolor="#b2b1b3" strokeweight=".4pt">
              <v:stroke joinstyle="round"/>
              <v:formulas/>
              <v:path arrowok="t" o:connecttype="segments"/>
            </v:shape>
            <v:rect id="docshape2550" o:spid="_x0000_s1481" style="position:absolute;left:10581;top:-71;width:125;height:2118" fillcolor="#00aeef" stroked="f"/>
            <v:rect id="docshape2551" o:spid="_x0000_s1480" style="position:absolute;left:10443;top:-387;width:125;height:2435" fillcolor="#2e3092" stroked="f"/>
            <v:line id="_x0000_s1479" style="position:absolute" from="6562,2047" to="10797,2047" strokecolor="#b2b1b3" strokeweight=".8pt"/>
            <v:line id="_x0000_s1478" style="position:absolute" from="6562,82" to="10797,82" strokecolor="#f067a6" strokeweight=".4pt"/>
            <v:line id="_x0000_s1477" style="position:absolute" from="6562,-409" to="10797,-409" strokecolor="#f067a6" strokeweight=".4pt"/>
            <v:line id="_x0000_s1476" style="position:absolute" from="7004,-726" to="7004,-247" strokecolor="#ec008c" strokeweight=".8pt"/>
            <v:shape id="docshape2552" o:spid="_x0000_s1475" style="position:absolute;left:6948;top:-264;width:112;height:97" coordorigin="6948,-263" coordsize="112,97" path="m7060,-263r-112,l7004,-166r56,-97xe" fillcolor="#ec008c" stroked="f">
              <v:path arrowok="t"/>
            </v:shape>
            <v:shape id="docshape2553" o:spid="_x0000_s1474" type="#_x0000_t202" style="position:absolute;left:7025;top:-767;width:749;height:198" filled="f" stroked="f">
              <v:textbox inset="0,0,0,0">
                <w:txbxContent>
                  <w:p w:rsidR="00F22F94" w:rsidRDefault="00F22F94">
                    <w:pPr>
                      <w:spacing w:before="7"/>
                      <w:rPr>
                        <w:sz w:val="16"/>
                      </w:rPr>
                    </w:pPr>
                    <w:r>
                      <w:rPr>
                        <w:w w:val="70"/>
                        <w:sz w:val="16"/>
                      </w:rPr>
                      <w:t>Target</w:t>
                    </w:r>
                    <w:r>
                      <w:rPr>
                        <w:spacing w:val="9"/>
                        <w:sz w:val="16"/>
                      </w:rPr>
                      <w:t xml:space="preserve"> </w:t>
                    </w:r>
                    <w:r>
                      <w:rPr>
                        <w:spacing w:val="-2"/>
                        <w:w w:val="75"/>
                        <w:sz w:val="16"/>
                      </w:rPr>
                      <w:t>Range</w:t>
                    </w:r>
                  </w:p>
                </w:txbxContent>
              </v:textbox>
            </v:shape>
            <w10:wrap anchorx="page"/>
          </v:group>
        </w:pict>
      </w:r>
      <w:r>
        <w:pict>
          <v:group id="docshapegroup2554" o:spid="_x0000_s1432" style="position:absolute;left:0;text-align:left;margin-left:580.9pt;margin-top:-38.05pt;width:211.3pt;height:141.1pt;z-index:251672576;mso-position-horizontal-relative:page" coordorigin="11618,-761" coordsize="4226,2822">
            <v:shape id="docshape2555" o:spid="_x0000_s1472" style="position:absolute;left:11617;top:578;width:424;height:983" coordorigin="11618,579" coordsize="424,983" o:spt="100" adj="0,,0" path="m11618,1561r40,m11783,1561r14,m11922,1561r119,m11783,1070r14,m11922,1070r119,m11783,579r14,m11922,579r119,e" filled="f" strokecolor="#b2b1b3" strokeweight=".4pt">
              <v:stroke joinstyle="round"/>
              <v:formulas/>
              <v:path arrowok="t" o:connecttype="segments"/>
            </v:shape>
            <v:rect id="docshape2556" o:spid="_x0000_s1471" style="position:absolute;left:11796;top:79;width:126;height:1980" fillcolor="#00aeef" stroked="f"/>
            <v:shape id="docshape2557" o:spid="_x0000_s1470" style="position:absolute;left:11617;top:578;width:41;height:492" coordorigin="11618,579" coordsize="41,492" o:spt="100" adj="0,,0" path="m11618,1070r40,m11618,579r40,e" filled="f" strokecolor="#b2b1b3" strokeweight=".4pt">
              <v:stroke joinstyle="round"/>
              <v:formulas/>
              <v:path arrowok="t" o:connecttype="segments"/>
            </v:shape>
            <v:rect id="docshape2558" o:spid="_x0000_s1469" style="position:absolute;left:11657;top:59;width:126;height:2000" fillcolor="#2e3092" stroked="f"/>
            <v:shape id="docshape2559" o:spid="_x0000_s1468" style="position:absolute;left:12166;top:578;width:259;height:983" coordorigin="12167,579" coordsize="259,983" o:spt="100" adj="0,,0" path="m12167,1561r13,m12306,1561r119,m12167,1070r13,m12306,1070r119,m12167,579r13,m12306,579r119,e" filled="f" strokecolor="#b2b1b3" strokeweight=".4pt">
              <v:stroke joinstyle="round"/>
              <v:formulas/>
              <v:path arrowok="t" o:connecttype="segments"/>
            </v:shape>
            <v:rect id="docshape2560" o:spid="_x0000_s1467" style="position:absolute;left:12180;top:116;width:126;height:1943" fillcolor="#00aeef" stroked="f"/>
            <v:rect id="docshape2561" o:spid="_x0000_s1466" style="position:absolute;left:12041;top:34;width:126;height:2025" fillcolor="#2e3092" stroked="f"/>
            <v:shape id="docshape2562" o:spid="_x0000_s1465" style="position:absolute;left:12550;top:578;width:259;height:983" coordorigin="12550,579" coordsize="259,983" o:spt="100" adj="0,,0" path="m12550,1561r14,m12689,1561r120,m12550,1070r14,m12689,1070r120,m12550,579r14,m12689,579r120,e" filled="f" strokecolor="#b2b1b3" strokeweight=".4pt">
              <v:stroke joinstyle="round"/>
              <v:formulas/>
              <v:path arrowok="t" o:connecttype="segments"/>
            </v:shape>
            <v:rect id="docshape2563" o:spid="_x0000_s1464" style="position:absolute;left:12564;top:22;width:126;height:2038" fillcolor="#00aeef" stroked="f"/>
            <v:rect id="docshape2564" o:spid="_x0000_s1463" style="position:absolute;left:12425;top:-58;width:126;height:2117" fillcolor="#2e3092" stroked="f"/>
            <v:shape id="docshape2565" o:spid="_x0000_s1462" style="position:absolute;left:12934;top:578;width:259;height:983" coordorigin="12934,579" coordsize="259,983" o:spt="100" adj="0,,0" path="m12934,1561r14,m13073,1561r120,m12934,1070r14,m13073,1070r120,m12934,579r14,m13073,579r120,e" filled="f" strokecolor="#b2b1b3" strokeweight=".4pt">
              <v:stroke joinstyle="round"/>
              <v:formulas/>
              <v:path arrowok="t" o:connecttype="segments"/>
            </v:shape>
            <v:rect id="docshape2566" o:spid="_x0000_s1461" style="position:absolute;left:12948;top:119;width:126;height:1941" fillcolor="#00aeef" stroked="f"/>
            <v:rect id="docshape2567" o:spid="_x0000_s1460" style="position:absolute;left:12809;top:94;width:126;height:1966" fillcolor="#2e3092" stroked="f"/>
            <v:shape id="docshape2568" o:spid="_x0000_s1459" style="position:absolute;left:13318;top:578;width:259;height:983" coordorigin="13318,579" coordsize="259,983" o:spt="100" adj="0,,0" path="m13318,1561r14,m13457,1561r120,m13318,1070r14,m13457,1070r120,m13318,579r14,m13457,579r120,e" filled="f" strokecolor="#b2b1b3" strokeweight=".4pt">
              <v:stroke joinstyle="round"/>
              <v:formulas/>
              <v:path arrowok="t" o:connecttype="segments"/>
            </v:shape>
            <v:rect id="docshape2569" o:spid="_x0000_s1458" style="position:absolute;left:13331;top:14;width:126;height:2045" fillcolor="#00aeef" stroked="f"/>
            <v:rect id="docshape2570" o:spid="_x0000_s1457" style="position:absolute;left:13192;top:-115;width:126;height:2174" fillcolor="#2e3092" stroked="f"/>
            <v:shape id="docshape2571" o:spid="_x0000_s1456" style="position:absolute;left:13701;top:578;width:259;height:983" coordorigin="13702,579" coordsize="259,983" o:spt="100" adj="0,,0" path="m13702,1561r14,m13841,1561r120,m13702,1070r14,m13841,1070r120,m13702,579r14,m13841,579r120,e" filled="f" strokecolor="#b2b1b3" strokeweight=".4pt">
              <v:stroke joinstyle="round"/>
              <v:formulas/>
              <v:path arrowok="t" o:connecttype="segments"/>
            </v:shape>
            <v:rect id="docshape2572" o:spid="_x0000_s1455" style="position:absolute;left:13715;top:42;width:126;height:2018" fillcolor="#00aeef" stroked="f"/>
            <v:rect id="docshape2573" o:spid="_x0000_s1454" style="position:absolute;left:13576;top:-45;width:126;height:2104" fillcolor="#2e3092" stroked="f"/>
            <v:shape id="docshape2574" o:spid="_x0000_s1453" style="position:absolute;left:14085;top:578;width:259;height:983" coordorigin="14086,579" coordsize="259,983" o:spt="100" adj="0,,0" path="m14086,1561r14,m14225,1561r119,m14086,1070r14,m14225,1070r119,m14086,579r14,m14225,579r119,e" filled="f" strokecolor="#b2b1b3" strokeweight=".4pt">
              <v:stroke joinstyle="round"/>
              <v:formulas/>
              <v:path arrowok="t" o:connecttype="segments"/>
            </v:shape>
            <v:rect id="docshape2575" o:spid="_x0000_s1452" style="position:absolute;left:14099;top:-68;width:126;height:2127" fillcolor="#00aeef" stroked="f"/>
            <v:rect id="docshape2576" o:spid="_x0000_s1451" style="position:absolute;left:13960;top:-269;width:126;height:2328" fillcolor="#2e3092" stroked="f"/>
            <v:shape id="docshape2577" o:spid="_x0000_s1450" style="position:absolute;left:14469;top:578;width:259;height:983" coordorigin="14469,579" coordsize="259,983" o:spt="100" adj="0,,0" path="m14469,1561r14,m14609,1561r119,m14469,1070r14,m14609,1070r119,m14469,579r14,m14609,579r119,e" filled="f" strokecolor="#b2b1b3" strokeweight=".4pt">
              <v:stroke joinstyle="round"/>
              <v:formulas/>
              <v:path arrowok="t" o:connecttype="segments"/>
            </v:shape>
            <v:rect id="docshape2578" o:spid="_x0000_s1449" style="position:absolute;left:14483;top:54;width:126;height:2005" fillcolor="#00aeef" stroked="f"/>
            <v:rect id="docshape2579" o:spid="_x0000_s1448" style="position:absolute;left:14344;top:-33;width:126;height:2092" fillcolor="#2e3092" stroked="f"/>
            <v:shape id="docshape2580" o:spid="_x0000_s1447" style="position:absolute;left:14853;top:578;width:259;height:983" coordorigin="14853,579" coordsize="259,983" o:spt="100" adj="0,,0" path="m14853,1561r14,m14992,1561r120,m14853,1070r14,m14992,1070r120,m14853,579r14,m14992,579r120,e" filled="f" strokecolor="#b2b1b3" strokeweight=".4pt">
              <v:stroke joinstyle="round"/>
              <v:formulas/>
              <v:path arrowok="t" o:connecttype="segments"/>
            </v:shape>
            <v:rect id="docshape2581" o:spid="_x0000_s1446" style="position:absolute;left:14867;top:-65;width:126;height:2124" fillcolor="#00aeef" stroked="f"/>
            <v:rect id="docshape2582" o:spid="_x0000_s1445" style="position:absolute;left:14728;top:-197;width:126;height:2256" fillcolor="#2e3092" stroked="f"/>
            <v:shape id="docshape2583" o:spid="_x0000_s1444" style="position:absolute;left:15237;top:578;width:259;height:983" coordorigin="15237,579" coordsize="259,983" o:spt="100" adj="0,,0" path="m15237,1561r14,m15376,1561r120,m15237,1070r14,m15376,1070r120,m15237,579r14,m15376,579r120,e" filled="f" strokecolor="#b2b1b3" strokeweight=".4pt">
              <v:stroke joinstyle="round"/>
              <v:formulas/>
              <v:path arrowok="t" o:connecttype="segments"/>
            </v:shape>
            <v:rect id="docshape2584" o:spid="_x0000_s1443" style="position:absolute;left:15251;top:29;width:126;height:2030" fillcolor="#00aeef" stroked="f"/>
            <v:rect id="docshape2585" o:spid="_x0000_s1442" style="position:absolute;left:15111;top:-97;width:126;height:2157" fillcolor="#2e3092" stroked="f"/>
            <v:shape id="docshape2586" o:spid="_x0000_s1441" style="position:absolute;left:15620;top:578;width:223;height:983" coordorigin="15621,579" coordsize="223,983" o:spt="100" adj="0,,0" path="m15621,1561r14,m15760,1561r83,m15621,1070r14,m15760,1070r83,m15621,579r14,m15760,579r83,e" filled="f" strokecolor="#b2b1b3" strokeweight=".4pt">
              <v:stroke joinstyle="round"/>
              <v:formulas/>
              <v:path arrowok="t" o:connecttype="segments"/>
            </v:shape>
            <v:rect id="docshape2587" o:spid="_x0000_s1440" style="position:absolute;left:15634;top:19;width:126;height:2040" fillcolor="#00aeef" stroked="f"/>
            <v:rect id="docshape2588" o:spid="_x0000_s1439" style="position:absolute;left:15495;top:-87;width:126;height:2147" fillcolor="#2e3092" stroked="f"/>
            <v:shape id="docshape2589" o:spid="_x0000_s1438" style="position:absolute;left:11617;top:2052;width:4226;height:2" coordorigin="11618,2052" coordsize="4226,0" o:spt="100" adj="0,,0" path="m11618,2052r4225,m11618,2052r4225,e" filled="f" strokecolor="#b2b1b3" strokeweight=".8pt">
              <v:stroke joinstyle="round"/>
              <v:formulas/>
              <v:path arrowok="t" o:connecttype="segments"/>
            </v:shape>
            <v:line id="_x0000_s1437" style="position:absolute" from="11618,87" to="15843,87" strokecolor="#f067a6" strokeweight=".4pt"/>
            <v:line id="_x0000_s1436" style="position:absolute" from="11618,-404" to="15843,-404" strokecolor="#f067a6" strokeweight=".4pt"/>
            <v:line id="_x0000_s1435" style="position:absolute" from="12058,-721" to="12058,-242" strokecolor="#ec008c" strokeweight=".8pt"/>
            <v:shape id="docshape2590" o:spid="_x0000_s1434" style="position:absolute;left:12002;top:-258;width:112;height:97" coordorigin="12002,-258" coordsize="112,97" path="m12114,-258r-112,l12058,-161r56,-97xe" fillcolor="#ec008c" stroked="f">
              <v:path arrowok="t"/>
            </v:shape>
            <v:shape id="docshape2591" o:spid="_x0000_s1433" type="#_x0000_t202" style="position:absolute;left:12079;top:-761;width:749;height:198" filled="f" stroked="f">
              <v:textbox inset="0,0,0,0">
                <w:txbxContent>
                  <w:p w:rsidR="00F22F94" w:rsidRDefault="00F22F94">
                    <w:pPr>
                      <w:spacing w:before="7"/>
                      <w:rPr>
                        <w:sz w:val="16"/>
                      </w:rPr>
                    </w:pPr>
                    <w:r>
                      <w:rPr>
                        <w:w w:val="70"/>
                        <w:sz w:val="16"/>
                      </w:rPr>
                      <w:t>Target</w:t>
                    </w:r>
                    <w:r>
                      <w:rPr>
                        <w:spacing w:val="9"/>
                        <w:sz w:val="16"/>
                      </w:rPr>
                      <w:t xml:space="preserve"> </w:t>
                    </w:r>
                    <w:r>
                      <w:rPr>
                        <w:spacing w:val="-2"/>
                        <w:w w:val="75"/>
                        <w:sz w:val="16"/>
                      </w:rPr>
                      <w:t>Range</w:t>
                    </w:r>
                  </w:p>
                </w:txbxContent>
              </v:textbox>
            </v:shape>
            <w10:wrap anchorx="page"/>
          </v:group>
        </w:pict>
      </w:r>
      <w:r>
        <w:pict>
          <v:shape id="docshape2592" o:spid="_x0000_s1431" type="#_x0000_t202" style="position:absolute;left:0;text-align:left;margin-left:550.85pt;margin-top:12.65pt;width:11.05pt;height:34pt;z-index:251697152;mso-position-horizontal-relative:page" filled="f" stroked="f">
            <v:textbox style="layout-flow:vertical;mso-layout-flow-alt:bottom-to-top" inset="0,0,0,0">
              <w:txbxContent>
                <w:p w:rsidR="00F22F94" w:rsidRDefault="00F22F94">
                  <w:pPr>
                    <w:spacing w:before="18"/>
                    <w:ind w:left="20"/>
                    <w:rPr>
                      <w:sz w:val="16"/>
                    </w:rPr>
                  </w:pPr>
                  <w:r>
                    <w:rPr>
                      <w:spacing w:val="-2"/>
                      <w:w w:val="80"/>
                      <w:sz w:val="16"/>
                    </w:rPr>
                    <w:t>Percentage</w:t>
                  </w:r>
                </w:p>
              </w:txbxContent>
            </v:textbox>
            <w10:wrap anchorx="page"/>
          </v:shape>
        </w:pict>
      </w:r>
      <w:r w:rsidR="00F22F94">
        <w:rPr>
          <w:spacing w:val="-5"/>
          <w:w w:val="95"/>
          <w:sz w:val="16"/>
        </w:rPr>
        <w:t>80</w:t>
      </w:r>
    </w:p>
    <w:p w:rsidR="002C1123" w:rsidRDefault="002C1123">
      <w:pPr>
        <w:pStyle w:val="BodyText"/>
        <w:spacing w:before="10"/>
        <w:rPr>
          <w:sz w:val="26"/>
        </w:rPr>
      </w:pPr>
    </w:p>
    <w:p w:rsidR="002C1123" w:rsidRDefault="00F22F94">
      <w:pPr>
        <w:ind w:right="5080"/>
        <w:jc w:val="right"/>
        <w:rPr>
          <w:sz w:val="16"/>
        </w:rPr>
      </w:pPr>
      <w:r>
        <w:rPr>
          <w:spacing w:val="-5"/>
          <w:w w:val="95"/>
          <w:sz w:val="16"/>
        </w:rPr>
        <w:t>60</w:t>
      </w:r>
    </w:p>
    <w:p w:rsidR="002C1123" w:rsidRDefault="002C1123">
      <w:pPr>
        <w:pStyle w:val="BodyText"/>
        <w:spacing w:before="9"/>
        <w:rPr>
          <w:sz w:val="26"/>
        </w:rPr>
      </w:pPr>
    </w:p>
    <w:p w:rsidR="002C1123" w:rsidRDefault="00F22F94">
      <w:pPr>
        <w:spacing w:before="1"/>
        <w:ind w:right="5080"/>
        <w:jc w:val="right"/>
        <w:rPr>
          <w:sz w:val="16"/>
        </w:rPr>
      </w:pPr>
      <w:r>
        <w:rPr>
          <w:spacing w:val="-5"/>
          <w:w w:val="95"/>
          <w:sz w:val="16"/>
        </w:rPr>
        <w:t>40</w:t>
      </w:r>
    </w:p>
    <w:p w:rsidR="002C1123" w:rsidRDefault="002C1123">
      <w:pPr>
        <w:pStyle w:val="BodyText"/>
        <w:spacing w:before="9"/>
        <w:rPr>
          <w:sz w:val="26"/>
        </w:rPr>
      </w:pPr>
    </w:p>
    <w:p w:rsidR="002C1123" w:rsidRDefault="00F22F94">
      <w:pPr>
        <w:ind w:right="5080"/>
        <w:jc w:val="right"/>
        <w:rPr>
          <w:sz w:val="16"/>
        </w:rPr>
      </w:pPr>
      <w:r>
        <w:rPr>
          <w:spacing w:val="-5"/>
          <w:w w:val="95"/>
          <w:sz w:val="16"/>
        </w:rPr>
        <w:t>20</w:t>
      </w:r>
    </w:p>
    <w:p w:rsidR="002C1123" w:rsidRDefault="002C1123">
      <w:pPr>
        <w:pStyle w:val="BodyText"/>
        <w:spacing w:before="9"/>
        <w:rPr>
          <w:sz w:val="26"/>
        </w:rPr>
      </w:pPr>
    </w:p>
    <w:p w:rsidR="002C1123" w:rsidRDefault="00F22F94">
      <w:pPr>
        <w:spacing w:before="1"/>
        <w:ind w:right="5080"/>
        <w:jc w:val="right"/>
        <w:rPr>
          <w:sz w:val="16"/>
        </w:rPr>
      </w:pPr>
      <w:r>
        <w:rPr>
          <w:w w:val="86"/>
          <w:sz w:val="16"/>
        </w:rPr>
        <w:t>0</w:t>
      </w:r>
    </w:p>
    <w:p w:rsidR="002C1123" w:rsidRDefault="002C1123">
      <w:pPr>
        <w:jc w:val="right"/>
        <w:rPr>
          <w:sz w:val="16"/>
        </w:rPr>
        <w:sectPr w:rsidR="002C1123">
          <w:type w:val="continuous"/>
          <w:pgSz w:w="16840" w:h="11910" w:orient="landscape"/>
          <w:pgMar w:top="560" w:right="280" w:bottom="280" w:left="500" w:header="0" w:footer="517" w:gutter="0"/>
          <w:cols w:num="5" w:space="720" w:equalWidth="0">
            <w:col w:w="1217" w:space="40"/>
            <w:col w:w="745" w:space="39"/>
            <w:col w:w="1161" w:space="1734"/>
            <w:col w:w="1025" w:space="4030"/>
            <w:col w:w="6069"/>
          </w:cols>
        </w:sectPr>
      </w:pPr>
    </w:p>
    <w:p w:rsidR="002C1123" w:rsidRDefault="002060EF">
      <w:pPr>
        <w:spacing w:before="86"/>
        <w:ind w:left="555"/>
        <w:rPr>
          <w:sz w:val="14"/>
        </w:rPr>
      </w:pPr>
      <w:r>
        <w:pict>
          <v:shape id="docshape2593" o:spid="_x0000_s1430" type="#_x0000_t202" style="position:absolute;left:0;text-align:left;margin-left:329.1pt;margin-top:-18.15pt;width:11.05pt;height:24.5pt;z-index:251688960;mso-position-horizontal-relative:page" filled="f" stroked="f">
            <v:textbox style="layout-flow:vertical;mso-layout-flow-alt:bottom-to-top" inset="0,0,0,0">
              <w:txbxContent>
                <w:p w:rsidR="00F22F94" w:rsidRDefault="00F22F94">
                  <w:pPr>
                    <w:spacing w:before="18"/>
                    <w:ind w:left="20"/>
                    <w:rPr>
                      <w:sz w:val="16"/>
                    </w:rPr>
                  </w:pPr>
                  <w:r>
                    <w:rPr>
                      <w:spacing w:val="-2"/>
                      <w:w w:val="80"/>
                      <w:sz w:val="16"/>
                    </w:rPr>
                    <w:t>Riverina</w:t>
                  </w:r>
                </w:p>
              </w:txbxContent>
            </v:textbox>
            <w10:wrap anchorx="page"/>
          </v:shape>
        </w:pict>
      </w:r>
      <w:r>
        <w:pict>
          <v:shape id="docshape2594" o:spid="_x0000_s1429" type="#_x0000_t202" style="position:absolute;left:0;text-align:left;margin-left:347.1pt;margin-top:-18.15pt;width:11.05pt;height:39pt;z-index:251689984;mso-position-horizontal-relative:page" filled="f" stroked="f">
            <v:textbox style="layout-flow:vertical;mso-layout-flow-alt:bottom-to-top" inset="0,0,0,0">
              <w:txbxContent>
                <w:p w:rsidR="00F22F94" w:rsidRDefault="00F22F94">
                  <w:pPr>
                    <w:spacing w:before="18"/>
                    <w:ind w:left="20"/>
                    <w:rPr>
                      <w:sz w:val="16"/>
                    </w:rPr>
                  </w:pPr>
                  <w:r>
                    <w:rPr>
                      <w:w w:val="75"/>
                      <w:sz w:val="16"/>
                    </w:rPr>
                    <w:t>New</w:t>
                  </w:r>
                  <w:r>
                    <w:rPr>
                      <w:spacing w:val="-1"/>
                      <w:sz w:val="16"/>
                    </w:rPr>
                    <w:t xml:space="preserve"> </w:t>
                  </w:r>
                  <w:r>
                    <w:rPr>
                      <w:spacing w:val="-2"/>
                      <w:w w:val="80"/>
                      <w:sz w:val="16"/>
                    </w:rPr>
                    <w:t>England</w:t>
                  </w:r>
                </w:p>
              </w:txbxContent>
            </v:textbox>
            <w10:wrap anchorx="page"/>
          </v:shape>
        </w:pict>
      </w:r>
      <w:r>
        <w:pict>
          <v:shape id="docshape2595" o:spid="_x0000_s1428" type="#_x0000_t202" style="position:absolute;left:0;text-align:left;margin-left:366.3pt;margin-top:-18.15pt;width:11.05pt;height:41.25pt;z-index:251691008;mso-position-horizontal-relative:page" filled="f" stroked="f">
            <v:textbox style="layout-flow:vertical;mso-layout-flow-alt:bottom-to-top" inset="0,0,0,0">
              <w:txbxContent>
                <w:p w:rsidR="00F22F94" w:rsidRDefault="00F22F94">
                  <w:pPr>
                    <w:spacing w:before="18"/>
                    <w:ind w:left="20"/>
                    <w:rPr>
                      <w:sz w:val="16"/>
                    </w:rPr>
                  </w:pPr>
                  <w:r>
                    <w:rPr>
                      <w:w w:val="75"/>
                      <w:sz w:val="16"/>
                    </w:rPr>
                    <w:t>Western</w:t>
                  </w:r>
                  <w:r>
                    <w:rPr>
                      <w:spacing w:val="10"/>
                      <w:sz w:val="16"/>
                    </w:rPr>
                    <w:t xml:space="preserve"> </w:t>
                  </w:r>
                  <w:r>
                    <w:rPr>
                      <w:spacing w:val="-5"/>
                      <w:w w:val="80"/>
                      <w:sz w:val="16"/>
                    </w:rPr>
                    <w:t>NSW</w:t>
                  </w:r>
                </w:p>
              </w:txbxContent>
            </v:textbox>
            <w10:wrap anchorx="page"/>
          </v:shape>
        </w:pict>
      </w:r>
      <w:r>
        <w:pict>
          <v:shape id="docshape2596" o:spid="_x0000_s1427" type="#_x0000_t202" style="position:absolute;left:0;text-align:left;margin-left:386.7pt;margin-top:-18.15pt;width:11.05pt;height:22.3pt;z-index:251692032;mso-position-horizontal-relative:page" filled="f" stroked="f">
            <v:textbox style="layout-flow:vertical;mso-layout-flow-alt:bottom-to-top" inset="0,0,0,0">
              <w:txbxContent>
                <w:p w:rsidR="00F22F94" w:rsidRDefault="00F22F94">
                  <w:pPr>
                    <w:spacing w:before="18"/>
                    <w:ind w:left="20"/>
                    <w:rPr>
                      <w:sz w:val="16"/>
                    </w:rPr>
                  </w:pPr>
                  <w:r>
                    <w:rPr>
                      <w:spacing w:val="-2"/>
                      <w:w w:val="75"/>
                      <w:sz w:val="16"/>
                    </w:rPr>
                    <w:t>Sydney</w:t>
                  </w:r>
                </w:p>
              </w:txbxContent>
            </v:textbox>
            <w10:wrap anchorx="page"/>
          </v:shape>
        </w:pict>
      </w:r>
      <w:r>
        <w:pict>
          <v:shape id="docshape2597" o:spid="_x0000_s1426" type="#_x0000_t202" style="position:absolute;left:0;text-align:left;margin-left:403.85pt;margin-top:-18.15pt;width:31.15pt;height:47.6pt;z-index:251693056;mso-position-horizontal-relative:page" filled="f" stroked="f">
            <v:textbox style="layout-flow:vertical;mso-layout-flow-alt:bottom-to-top" inset="0,0,0,0">
              <w:txbxContent>
                <w:p w:rsidR="00F22F94" w:rsidRDefault="00F22F94">
                  <w:pPr>
                    <w:spacing w:before="54" w:line="182" w:lineRule="auto"/>
                    <w:ind w:left="328" w:right="18" w:firstLine="127"/>
                    <w:jc w:val="right"/>
                    <w:rPr>
                      <w:sz w:val="16"/>
                    </w:rPr>
                  </w:pPr>
                  <w:r>
                    <w:rPr>
                      <w:spacing w:val="-2"/>
                      <w:w w:val="75"/>
                      <w:sz w:val="16"/>
                    </w:rPr>
                    <w:t>Illawarra</w:t>
                  </w:r>
                  <w:r>
                    <w:rPr>
                      <w:sz w:val="16"/>
                    </w:rPr>
                    <w:t xml:space="preserve"> </w:t>
                  </w:r>
                  <w:r>
                    <w:rPr>
                      <w:w w:val="75"/>
                      <w:sz w:val="16"/>
                    </w:rPr>
                    <w:t>South</w:t>
                  </w:r>
                  <w:r>
                    <w:rPr>
                      <w:spacing w:val="1"/>
                      <w:sz w:val="16"/>
                    </w:rPr>
                    <w:t xml:space="preserve"> </w:t>
                  </w:r>
                  <w:r>
                    <w:rPr>
                      <w:spacing w:val="-6"/>
                      <w:w w:val="80"/>
                      <w:sz w:val="16"/>
                    </w:rPr>
                    <w:t>East</w:t>
                  </w:r>
                </w:p>
                <w:p w:rsidR="00F22F94" w:rsidRDefault="00F22F94">
                  <w:pPr>
                    <w:spacing w:before="85"/>
                    <w:ind w:right="18"/>
                    <w:jc w:val="right"/>
                    <w:rPr>
                      <w:sz w:val="16"/>
                    </w:rPr>
                  </w:pPr>
                  <w:r>
                    <w:rPr>
                      <w:w w:val="75"/>
                      <w:sz w:val="16"/>
                    </w:rPr>
                    <w:t>Western</w:t>
                  </w:r>
                  <w:r>
                    <w:rPr>
                      <w:spacing w:val="10"/>
                      <w:sz w:val="16"/>
                    </w:rPr>
                    <w:t xml:space="preserve"> </w:t>
                  </w:r>
                  <w:r>
                    <w:rPr>
                      <w:spacing w:val="-2"/>
                      <w:w w:val="80"/>
                      <w:sz w:val="16"/>
                    </w:rPr>
                    <w:t>Sydney</w:t>
                  </w:r>
                </w:p>
              </w:txbxContent>
            </v:textbox>
            <w10:wrap anchorx="page"/>
          </v:shape>
        </w:pict>
      </w:r>
      <w:r>
        <w:pict>
          <v:shape id="docshape2598" o:spid="_x0000_s1425" type="#_x0000_t202" style="position:absolute;left:0;text-align:left;margin-left:443.1pt;margin-top:-18.15pt;width:30.25pt;height:43.65pt;z-index:251694080;mso-position-horizontal-relative:page" filled="f" stroked="f">
            <v:textbox style="layout-flow:vertical;mso-layout-flow-alt:bottom-to-top" inset="0,0,0,0">
              <w:txbxContent>
                <w:p w:rsidR="00F22F94" w:rsidRDefault="00F22F94">
                  <w:pPr>
                    <w:spacing w:before="18" w:line="162" w:lineRule="exact"/>
                    <w:ind w:right="18"/>
                    <w:jc w:val="right"/>
                    <w:rPr>
                      <w:sz w:val="16"/>
                    </w:rPr>
                  </w:pPr>
                  <w:r>
                    <w:rPr>
                      <w:w w:val="75"/>
                      <w:sz w:val="16"/>
                    </w:rPr>
                    <w:t>South</w:t>
                  </w:r>
                  <w:r>
                    <w:rPr>
                      <w:spacing w:val="1"/>
                      <w:sz w:val="16"/>
                    </w:rPr>
                    <w:t xml:space="preserve"> </w:t>
                  </w:r>
                  <w:r>
                    <w:rPr>
                      <w:spacing w:val="-2"/>
                      <w:w w:val="80"/>
                      <w:sz w:val="16"/>
                    </w:rPr>
                    <w:t>Western</w:t>
                  </w:r>
                </w:p>
                <w:p w:rsidR="00F22F94" w:rsidRDefault="00F22F94">
                  <w:pPr>
                    <w:spacing w:line="162" w:lineRule="exact"/>
                    <w:ind w:right="18"/>
                    <w:jc w:val="right"/>
                    <w:rPr>
                      <w:sz w:val="16"/>
                    </w:rPr>
                  </w:pPr>
                  <w:r>
                    <w:rPr>
                      <w:spacing w:val="-2"/>
                      <w:w w:val="85"/>
                      <w:sz w:val="16"/>
                    </w:rPr>
                    <w:t>Sydney</w:t>
                  </w:r>
                </w:p>
                <w:p w:rsidR="00F22F94" w:rsidRDefault="00F22F94">
                  <w:pPr>
                    <w:spacing w:before="60"/>
                    <w:ind w:right="18"/>
                    <w:jc w:val="right"/>
                    <w:rPr>
                      <w:sz w:val="16"/>
                    </w:rPr>
                  </w:pPr>
                  <w:r>
                    <w:rPr>
                      <w:w w:val="75"/>
                      <w:sz w:val="16"/>
                    </w:rPr>
                    <w:t>North</w:t>
                  </w:r>
                  <w:r>
                    <w:rPr>
                      <w:spacing w:val="4"/>
                      <w:sz w:val="16"/>
                    </w:rPr>
                    <w:t xml:space="preserve"> </w:t>
                  </w:r>
                  <w:r>
                    <w:rPr>
                      <w:spacing w:val="-2"/>
                      <w:w w:val="85"/>
                      <w:sz w:val="16"/>
                    </w:rPr>
                    <w:t>Coast</w:t>
                  </w:r>
                </w:p>
              </w:txbxContent>
            </v:textbox>
            <w10:wrap anchorx="page"/>
          </v:shape>
        </w:pict>
      </w:r>
      <w:r>
        <w:pict>
          <v:shape id="docshape2599" o:spid="_x0000_s1424" type="#_x0000_t202" style="position:absolute;left:0;text-align:left;margin-left:481.5pt;margin-top:-18.15pt;width:30.25pt;height:48.8pt;z-index:251695104;mso-position-horizontal-relative:page" filled="f" stroked="f">
            <v:textbox style="layout-flow:vertical;mso-layout-flow-alt:bottom-to-top" inset="0,0,0,0">
              <w:txbxContent>
                <w:p w:rsidR="00F22F94" w:rsidRDefault="00F22F94">
                  <w:pPr>
                    <w:spacing w:before="18" w:line="162" w:lineRule="exact"/>
                    <w:ind w:right="19"/>
                    <w:jc w:val="right"/>
                    <w:rPr>
                      <w:sz w:val="16"/>
                    </w:rPr>
                  </w:pPr>
                  <w:r>
                    <w:rPr>
                      <w:spacing w:val="-2"/>
                      <w:w w:val="90"/>
                      <w:sz w:val="16"/>
                    </w:rPr>
                    <w:t>Hunter/Central</w:t>
                  </w:r>
                </w:p>
                <w:p w:rsidR="00F22F94" w:rsidRDefault="00F22F94">
                  <w:pPr>
                    <w:spacing w:line="162" w:lineRule="exact"/>
                    <w:ind w:right="19"/>
                    <w:jc w:val="right"/>
                    <w:rPr>
                      <w:sz w:val="16"/>
                    </w:rPr>
                  </w:pPr>
                  <w:r>
                    <w:rPr>
                      <w:spacing w:val="-4"/>
                      <w:w w:val="85"/>
                      <w:sz w:val="16"/>
                    </w:rPr>
                    <w:t>Coast</w:t>
                  </w:r>
                </w:p>
                <w:p w:rsidR="00F22F94" w:rsidRDefault="00F22F94">
                  <w:pPr>
                    <w:spacing w:before="60"/>
                    <w:ind w:right="18"/>
                    <w:jc w:val="right"/>
                    <w:rPr>
                      <w:sz w:val="16"/>
                    </w:rPr>
                  </w:pPr>
                  <w:r>
                    <w:rPr>
                      <w:w w:val="75"/>
                      <w:sz w:val="16"/>
                    </w:rPr>
                    <w:t>Northern</w:t>
                  </w:r>
                  <w:r>
                    <w:rPr>
                      <w:spacing w:val="17"/>
                      <w:sz w:val="16"/>
                    </w:rPr>
                    <w:t xml:space="preserve"> </w:t>
                  </w:r>
                  <w:r>
                    <w:rPr>
                      <w:spacing w:val="-2"/>
                      <w:w w:val="80"/>
                      <w:sz w:val="16"/>
                    </w:rPr>
                    <w:t>Sydney</w:t>
                  </w:r>
                </w:p>
              </w:txbxContent>
            </v:textbox>
            <w10:wrap anchorx="page"/>
          </v:shape>
        </w:pict>
      </w:r>
      <w:r>
        <w:pict>
          <v:shape id="docshape2600" o:spid="_x0000_s1423" type="#_x0000_t202" style="position:absolute;left:0;text-align:left;margin-left:521.25pt;margin-top:-18.15pt;width:11.05pt;height:31.6pt;z-index:251696128;mso-position-horizontal-relative:page" filled="f" stroked="f">
            <v:textbox style="layout-flow:vertical;mso-layout-flow-alt:bottom-to-top" inset="0,0,0,0">
              <w:txbxContent>
                <w:p w:rsidR="00F22F94" w:rsidRDefault="00F22F94">
                  <w:pPr>
                    <w:spacing w:before="18"/>
                    <w:ind w:left="20"/>
                    <w:rPr>
                      <w:sz w:val="16"/>
                    </w:rPr>
                  </w:pPr>
                  <w:r>
                    <w:rPr>
                      <w:w w:val="75"/>
                      <w:sz w:val="16"/>
                    </w:rPr>
                    <w:t>NSW</w:t>
                  </w:r>
                  <w:r>
                    <w:rPr>
                      <w:spacing w:val="-2"/>
                      <w:w w:val="80"/>
                      <w:sz w:val="16"/>
                    </w:rPr>
                    <w:t xml:space="preserve"> Total</w:t>
                  </w:r>
                </w:p>
              </w:txbxContent>
            </v:textbox>
            <w10:wrap anchorx="page"/>
          </v:shape>
        </w:pict>
      </w:r>
      <w:r>
        <w:pict>
          <v:shape id="docshape2601" o:spid="_x0000_s1422" type="#_x0000_t202" style="position:absolute;left:0;text-align:left;margin-left:579.75pt;margin-top:-17.9pt;width:11.05pt;height:24.5pt;z-index:251698176;mso-position-horizontal-relative:page" filled="f" stroked="f">
            <v:textbox style="layout-flow:vertical;mso-layout-flow-alt:bottom-to-top" inset="0,0,0,0">
              <w:txbxContent>
                <w:p w:rsidR="00F22F94" w:rsidRDefault="00F22F94">
                  <w:pPr>
                    <w:spacing w:before="18"/>
                    <w:ind w:left="20"/>
                    <w:rPr>
                      <w:sz w:val="16"/>
                    </w:rPr>
                  </w:pPr>
                  <w:r>
                    <w:rPr>
                      <w:spacing w:val="-2"/>
                      <w:w w:val="80"/>
                      <w:sz w:val="16"/>
                    </w:rPr>
                    <w:t>Riverina</w:t>
                  </w:r>
                </w:p>
              </w:txbxContent>
            </v:textbox>
            <w10:wrap anchorx="page"/>
          </v:shape>
        </w:pict>
      </w:r>
      <w:r>
        <w:pict>
          <v:shape id="docshape2602" o:spid="_x0000_s1421" type="#_x0000_t202" style="position:absolute;left:0;text-align:left;margin-left:597.8pt;margin-top:-17.9pt;width:11.05pt;height:39pt;z-index:251699200;mso-position-horizontal-relative:page" filled="f" stroked="f">
            <v:textbox style="layout-flow:vertical;mso-layout-flow-alt:bottom-to-top" inset="0,0,0,0">
              <w:txbxContent>
                <w:p w:rsidR="00F22F94" w:rsidRDefault="00F22F94">
                  <w:pPr>
                    <w:spacing w:before="18"/>
                    <w:ind w:left="20"/>
                    <w:rPr>
                      <w:sz w:val="16"/>
                    </w:rPr>
                  </w:pPr>
                  <w:r>
                    <w:rPr>
                      <w:w w:val="75"/>
                      <w:sz w:val="16"/>
                    </w:rPr>
                    <w:t>New</w:t>
                  </w:r>
                  <w:r>
                    <w:rPr>
                      <w:spacing w:val="-1"/>
                      <w:sz w:val="16"/>
                    </w:rPr>
                    <w:t xml:space="preserve"> </w:t>
                  </w:r>
                  <w:r>
                    <w:rPr>
                      <w:spacing w:val="-2"/>
                      <w:w w:val="80"/>
                      <w:sz w:val="16"/>
                    </w:rPr>
                    <w:t>England</w:t>
                  </w:r>
                </w:p>
              </w:txbxContent>
            </v:textbox>
            <w10:wrap anchorx="page"/>
          </v:shape>
        </w:pict>
      </w:r>
      <w:r>
        <w:pict>
          <v:shape id="docshape2603" o:spid="_x0000_s1420" type="#_x0000_t202" style="position:absolute;left:0;text-align:left;margin-left:617pt;margin-top:-17.9pt;width:11.05pt;height:41.25pt;z-index:251700224;mso-position-horizontal-relative:page" filled="f" stroked="f">
            <v:textbox style="layout-flow:vertical;mso-layout-flow-alt:bottom-to-top" inset="0,0,0,0">
              <w:txbxContent>
                <w:p w:rsidR="00F22F94" w:rsidRDefault="00F22F94">
                  <w:pPr>
                    <w:spacing w:before="18"/>
                    <w:ind w:left="20"/>
                    <w:rPr>
                      <w:sz w:val="16"/>
                    </w:rPr>
                  </w:pPr>
                  <w:r>
                    <w:rPr>
                      <w:w w:val="75"/>
                      <w:sz w:val="16"/>
                    </w:rPr>
                    <w:t>Western</w:t>
                  </w:r>
                  <w:r>
                    <w:rPr>
                      <w:spacing w:val="10"/>
                      <w:sz w:val="16"/>
                    </w:rPr>
                    <w:t xml:space="preserve"> </w:t>
                  </w:r>
                  <w:r>
                    <w:rPr>
                      <w:spacing w:val="-5"/>
                      <w:w w:val="80"/>
                      <w:sz w:val="16"/>
                    </w:rPr>
                    <w:t>NSW</w:t>
                  </w:r>
                </w:p>
              </w:txbxContent>
            </v:textbox>
            <w10:wrap anchorx="page"/>
          </v:shape>
        </w:pict>
      </w:r>
      <w:r>
        <w:pict>
          <v:shape id="docshape2604" o:spid="_x0000_s1419" type="#_x0000_t202" style="position:absolute;left:0;text-align:left;margin-left:637.35pt;margin-top:-17.9pt;width:11.05pt;height:22.3pt;z-index:251701248;mso-position-horizontal-relative:page" filled="f" stroked="f">
            <v:textbox style="layout-flow:vertical;mso-layout-flow-alt:bottom-to-top" inset="0,0,0,0">
              <w:txbxContent>
                <w:p w:rsidR="00F22F94" w:rsidRDefault="00F22F94">
                  <w:pPr>
                    <w:spacing w:before="18"/>
                    <w:ind w:left="20"/>
                    <w:rPr>
                      <w:sz w:val="16"/>
                    </w:rPr>
                  </w:pPr>
                  <w:r>
                    <w:rPr>
                      <w:spacing w:val="-2"/>
                      <w:w w:val="75"/>
                      <w:sz w:val="16"/>
                    </w:rPr>
                    <w:t>Sydney</w:t>
                  </w:r>
                </w:p>
              </w:txbxContent>
            </v:textbox>
            <w10:wrap anchorx="page"/>
          </v:shape>
        </w:pict>
      </w:r>
      <w:r>
        <w:pict>
          <v:shape id="docshape2605" o:spid="_x0000_s1418" type="#_x0000_t202" style="position:absolute;left:0;text-align:left;margin-left:654.5pt;margin-top:-17.9pt;width:31.15pt;height:47.6pt;z-index:251702272;mso-position-horizontal-relative:page" filled="f" stroked="f">
            <v:textbox style="layout-flow:vertical;mso-layout-flow-alt:bottom-to-top" inset="0,0,0,0">
              <w:txbxContent>
                <w:p w:rsidR="00F22F94" w:rsidRDefault="00F22F94">
                  <w:pPr>
                    <w:spacing w:before="54" w:line="182" w:lineRule="auto"/>
                    <w:ind w:left="328" w:right="18" w:firstLine="127"/>
                    <w:jc w:val="right"/>
                    <w:rPr>
                      <w:sz w:val="16"/>
                    </w:rPr>
                  </w:pPr>
                  <w:r>
                    <w:rPr>
                      <w:spacing w:val="-2"/>
                      <w:w w:val="75"/>
                      <w:sz w:val="16"/>
                    </w:rPr>
                    <w:t>Illawarra</w:t>
                  </w:r>
                  <w:r>
                    <w:rPr>
                      <w:sz w:val="16"/>
                    </w:rPr>
                    <w:t xml:space="preserve"> </w:t>
                  </w:r>
                  <w:r>
                    <w:rPr>
                      <w:w w:val="75"/>
                      <w:sz w:val="16"/>
                    </w:rPr>
                    <w:t>South</w:t>
                  </w:r>
                  <w:r>
                    <w:rPr>
                      <w:spacing w:val="1"/>
                      <w:sz w:val="16"/>
                    </w:rPr>
                    <w:t xml:space="preserve"> </w:t>
                  </w:r>
                  <w:r>
                    <w:rPr>
                      <w:spacing w:val="-6"/>
                      <w:w w:val="80"/>
                      <w:sz w:val="16"/>
                    </w:rPr>
                    <w:t>East</w:t>
                  </w:r>
                </w:p>
                <w:p w:rsidR="00F22F94" w:rsidRDefault="00F22F94">
                  <w:pPr>
                    <w:spacing w:before="85"/>
                    <w:ind w:right="18"/>
                    <w:jc w:val="right"/>
                    <w:rPr>
                      <w:sz w:val="16"/>
                    </w:rPr>
                  </w:pPr>
                  <w:r>
                    <w:rPr>
                      <w:w w:val="75"/>
                      <w:sz w:val="16"/>
                    </w:rPr>
                    <w:t>Western</w:t>
                  </w:r>
                  <w:r>
                    <w:rPr>
                      <w:spacing w:val="10"/>
                      <w:sz w:val="16"/>
                    </w:rPr>
                    <w:t xml:space="preserve"> </w:t>
                  </w:r>
                  <w:r>
                    <w:rPr>
                      <w:spacing w:val="-2"/>
                      <w:w w:val="80"/>
                      <w:sz w:val="16"/>
                    </w:rPr>
                    <w:t>Sydney</w:t>
                  </w:r>
                </w:p>
              </w:txbxContent>
            </v:textbox>
            <w10:wrap anchorx="page"/>
          </v:shape>
        </w:pict>
      </w:r>
      <w:r>
        <w:pict>
          <v:shape id="docshape2606" o:spid="_x0000_s1417" type="#_x0000_t202" style="position:absolute;left:0;text-align:left;margin-left:693.75pt;margin-top:-17.9pt;width:30.25pt;height:43.65pt;z-index:251703296;mso-position-horizontal-relative:page" filled="f" stroked="f">
            <v:textbox style="layout-flow:vertical;mso-layout-flow-alt:bottom-to-top" inset="0,0,0,0">
              <w:txbxContent>
                <w:p w:rsidR="00F22F94" w:rsidRDefault="00F22F94">
                  <w:pPr>
                    <w:spacing w:before="18" w:line="162" w:lineRule="exact"/>
                    <w:ind w:right="18"/>
                    <w:jc w:val="right"/>
                    <w:rPr>
                      <w:sz w:val="16"/>
                    </w:rPr>
                  </w:pPr>
                  <w:r>
                    <w:rPr>
                      <w:w w:val="75"/>
                      <w:sz w:val="16"/>
                    </w:rPr>
                    <w:t>South</w:t>
                  </w:r>
                  <w:r>
                    <w:rPr>
                      <w:spacing w:val="1"/>
                      <w:sz w:val="16"/>
                    </w:rPr>
                    <w:t xml:space="preserve"> </w:t>
                  </w:r>
                  <w:r>
                    <w:rPr>
                      <w:spacing w:val="-2"/>
                      <w:w w:val="80"/>
                      <w:sz w:val="16"/>
                    </w:rPr>
                    <w:t>Western</w:t>
                  </w:r>
                </w:p>
                <w:p w:rsidR="00F22F94" w:rsidRDefault="00F22F94">
                  <w:pPr>
                    <w:spacing w:line="162" w:lineRule="exact"/>
                    <w:ind w:right="18"/>
                    <w:jc w:val="right"/>
                    <w:rPr>
                      <w:sz w:val="16"/>
                    </w:rPr>
                  </w:pPr>
                  <w:r>
                    <w:rPr>
                      <w:spacing w:val="-2"/>
                      <w:w w:val="85"/>
                      <w:sz w:val="16"/>
                    </w:rPr>
                    <w:t>Sydney</w:t>
                  </w:r>
                </w:p>
                <w:p w:rsidR="00F22F94" w:rsidRDefault="00F22F94">
                  <w:pPr>
                    <w:spacing w:before="60"/>
                    <w:ind w:right="18"/>
                    <w:jc w:val="right"/>
                    <w:rPr>
                      <w:sz w:val="16"/>
                    </w:rPr>
                  </w:pPr>
                  <w:r>
                    <w:rPr>
                      <w:w w:val="75"/>
                      <w:sz w:val="16"/>
                    </w:rPr>
                    <w:t>North</w:t>
                  </w:r>
                  <w:r>
                    <w:rPr>
                      <w:spacing w:val="4"/>
                      <w:sz w:val="16"/>
                    </w:rPr>
                    <w:t xml:space="preserve"> </w:t>
                  </w:r>
                  <w:r>
                    <w:rPr>
                      <w:spacing w:val="-2"/>
                      <w:w w:val="85"/>
                      <w:sz w:val="16"/>
                    </w:rPr>
                    <w:t>Coast</w:t>
                  </w:r>
                </w:p>
              </w:txbxContent>
            </v:textbox>
            <w10:wrap anchorx="page"/>
          </v:shape>
        </w:pict>
      </w:r>
      <w:r>
        <w:pict>
          <v:shape id="docshape2607" o:spid="_x0000_s1416" type="#_x0000_t202" style="position:absolute;left:0;text-align:left;margin-left:732.15pt;margin-top:-17.9pt;width:30.25pt;height:48.8pt;z-index:251704320;mso-position-horizontal-relative:page" filled="f" stroked="f">
            <v:textbox style="layout-flow:vertical;mso-layout-flow-alt:bottom-to-top" inset="0,0,0,0">
              <w:txbxContent>
                <w:p w:rsidR="00F22F94" w:rsidRDefault="00F22F94">
                  <w:pPr>
                    <w:spacing w:before="18" w:line="162" w:lineRule="exact"/>
                    <w:ind w:right="19"/>
                    <w:jc w:val="right"/>
                    <w:rPr>
                      <w:sz w:val="16"/>
                    </w:rPr>
                  </w:pPr>
                  <w:r>
                    <w:rPr>
                      <w:spacing w:val="-2"/>
                      <w:w w:val="90"/>
                      <w:sz w:val="16"/>
                    </w:rPr>
                    <w:t>Hunter/Central</w:t>
                  </w:r>
                </w:p>
                <w:p w:rsidR="00F22F94" w:rsidRDefault="00F22F94">
                  <w:pPr>
                    <w:spacing w:line="162" w:lineRule="exact"/>
                    <w:ind w:right="19"/>
                    <w:jc w:val="right"/>
                    <w:rPr>
                      <w:sz w:val="16"/>
                    </w:rPr>
                  </w:pPr>
                  <w:r>
                    <w:rPr>
                      <w:spacing w:val="-4"/>
                      <w:w w:val="85"/>
                      <w:sz w:val="16"/>
                    </w:rPr>
                    <w:t>Coast</w:t>
                  </w:r>
                </w:p>
                <w:p w:rsidR="00F22F94" w:rsidRDefault="00F22F94">
                  <w:pPr>
                    <w:spacing w:before="60"/>
                    <w:ind w:right="18"/>
                    <w:jc w:val="right"/>
                    <w:rPr>
                      <w:sz w:val="16"/>
                    </w:rPr>
                  </w:pPr>
                  <w:r>
                    <w:rPr>
                      <w:w w:val="75"/>
                      <w:sz w:val="16"/>
                    </w:rPr>
                    <w:t>Northern</w:t>
                  </w:r>
                  <w:r>
                    <w:rPr>
                      <w:spacing w:val="17"/>
                      <w:sz w:val="16"/>
                    </w:rPr>
                    <w:t xml:space="preserve"> </w:t>
                  </w:r>
                  <w:r>
                    <w:rPr>
                      <w:spacing w:val="-2"/>
                      <w:w w:val="80"/>
                      <w:sz w:val="16"/>
                    </w:rPr>
                    <w:t>Sydney</w:t>
                  </w:r>
                </w:p>
              </w:txbxContent>
            </v:textbox>
            <w10:wrap anchorx="page"/>
          </v:shape>
        </w:pict>
      </w:r>
      <w:r>
        <w:pict>
          <v:shape id="docshape2608" o:spid="_x0000_s1415" type="#_x0000_t202" style="position:absolute;left:0;text-align:left;margin-left:771.9pt;margin-top:-17.9pt;width:11.05pt;height:31.6pt;z-index:251705344;mso-position-horizontal-relative:page" filled="f" stroked="f">
            <v:textbox style="layout-flow:vertical;mso-layout-flow-alt:bottom-to-top" inset="0,0,0,0">
              <w:txbxContent>
                <w:p w:rsidR="00F22F94" w:rsidRDefault="00F22F94">
                  <w:pPr>
                    <w:spacing w:before="18"/>
                    <w:ind w:left="20"/>
                    <w:rPr>
                      <w:sz w:val="16"/>
                    </w:rPr>
                  </w:pPr>
                  <w:r>
                    <w:rPr>
                      <w:w w:val="75"/>
                      <w:sz w:val="16"/>
                    </w:rPr>
                    <w:t>NSW</w:t>
                  </w:r>
                  <w:r>
                    <w:rPr>
                      <w:spacing w:val="-2"/>
                      <w:w w:val="80"/>
                      <w:sz w:val="16"/>
                    </w:rPr>
                    <w:t xml:space="preserve"> Total</w:t>
                  </w:r>
                </w:p>
              </w:txbxContent>
            </v:textbox>
            <w10:wrap anchorx="page"/>
          </v:shape>
        </w:pict>
      </w:r>
      <w:r w:rsidR="00F22F94">
        <w:rPr>
          <w:w w:val="95"/>
          <w:sz w:val="14"/>
        </w:rPr>
        <w:t>Source:</w:t>
      </w:r>
      <w:r w:rsidR="00F22F94">
        <w:rPr>
          <w:spacing w:val="7"/>
          <w:sz w:val="14"/>
        </w:rPr>
        <w:t xml:space="preserve"> </w:t>
      </w:r>
      <w:r w:rsidR="00F22F94">
        <w:rPr>
          <w:w w:val="95"/>
          <w:sz w:val="14"/>
        </w:rPr>
        <w:t>NSW</w:t>
      </w:r>
      <w:r w:rsidR="00F22F94">
        <w:rPr>
          <w:spacing w:val="8"/>
          <w:sz w:val="14"/>
        </w:rPr>
        <w:t xml:space="preserve"> </w:t>
      </w:r>
      <w:r w:rsidR="00F22F94">
        <w:rPr>
          <w:w w:val="95"/>
          <w:sz w:val="14"/>
        </w:rPr>
        <w:t>Department</w:t>
      </w:r>
      <w:r w:rsidR="00F22F94">
        <w:rPr>
          <w:spacing w:val="8"/>
          <w:sz w:val="14"/>
        </w:rPr>
        <w:t xml:space="preserve"> </w:t>
      </w:r>
      <w:r w:rsidR="00F22F94">
        <w:rPr>
          <w:w w:val="95"/>
          <w:sz w:val="14"/>
        </w:rPr>
        <w:t>of</w:t>
      </w:r>
      <w:r w:rsidR="00F22F94">
        <w:rPr>
          <w:spacing w:val="8"/>
          <w:sz w:val="14"/>
        </w:rPr>
        <w:t xml:space="preserve"> </w:t>
      </w:r>
      <w:r w:rsidR="00F22F94">
        <w:rPr>
          <w:w w:val="95"/>
          <w:sz w:val="14"/>
        </w:rPr>
        <w:t>Education</w:t>
      </w:r>
      <w:r w:rsidR="00F22F94">
        <w:rPr>
          <w:spacing w:val="8"/>
          <w:sz w:val="14"/>
        </w:rPr>
        <w:t xml:space="preserve"> </w:t>
      </w:r>
      <w:r w:rsidR="00F22F94">
        <w:rPr>
          <w:w w:val="95"/>
          <w:sz w:val="14"/>
        </w:rPr>
        <w:t>and</w:t>
      </w:r>
      <w:r w:rsidR="00F22F94">
        <w:rPr>
          <w:spacing w:val="8"/>
          <w:sz w:val="14"/>
        </w:rPr>
        <w:t xml:space="preserve"> </w:t>
      </w:r>
      <w:r w:rsidR="00F22F94">
        <w:rPr>
          <w:spacing w:val="-2"/>
          <w:w w:val="95"/>
          <w:sz w:val="14"/>
        </w:rPr>
        <w:t>Communities.</w:t>
      </w:r>
    </w:p>
    <w:p w:rsidR="002C1123" w:rsidRDefault="002C1123">
      <w:pPr>
        <w:pStyle w:val="BodyText"/>
        <w:spacing w:before="7"/>
        <w:rPr>
          <w:sz w:val="29"/>
        </w:rPr>
      </w:pPr>
    </w:p>
    <w:p w:rsidR="002C1123" w:rsidRDefault="00F22F94">
      <w:pPr>
        <w:tabs>
          <w:tab w:val="left" w:pos="12214"/>
        </w:tabs>
        <w:spacing w:before="94"/>
        <w:ind w:left="7233"/>
        <w:rPr>
          <w:sz w:val="16"/>
        </w:rPr>
      </w:pPr>
      <w:r>
        <w:rPr>
          <w:w w:val="75"/>
          <w:position w:val="1"/>
          <w:sz w:val="16"/>
        </w:rPr>
        <w:t>Department</w:t>
      </w:r>
      <w:r>
        <w:rPr>
          <w:spacing w:val="10"/>
          <w:position w:val="1"/>
          <w:sz w:val="16"/>
        </w:rPr>
        <w:t xml:space="preserve"> </w:t>
      </w:r>
      <w:r>
        <w:rPr>
          <w:w w:val="75"/>
          <w:position w:val="1"/>
          <w:sz w:val="16"/>
        </w:rPr>
        <w:t>of</w:t>
      </w:r>
      <w:r>
        <w:rPr>
          <w:spacing w:val="11"/>
          <w:position w:val="1"/>
          <w:sz w:val="16"/>
        </w:rPr>
        <w:t xml:space="preserve"> </w:t>
      </w:r>
      <w:r>
        <w:rPr>
          <w:w w:val="75"/>
          <w:position w:val="1"/>
          <w:sz w:val="16"/>
        </w:rPr>
        <w:t>Education</w:t>
      </w:r>
      <w:r>
        <w:rPr>
          <w:spacing w:val="11"/>
          <w:position w:val="1"/>
          <w:sz w:val="16"/>
        </w:rPr>
        <w:t xml:space="preserve"> </w:t>
      </w:r>
      <w:r>
        <w:rPr>
          <w:spacing w:val="-2"/>
          <w:w w:val="75"/>
          <w:position w:val="1"/>
          <w:sz w:val="16"/>
        </w:rPr>
        <w:t>Regions</w:t>
      </w:r>
      <w:r>
        <w:rPr>
          <w:position w:val="1"/>
          <w:sz w:val="16"/>
        </w:rPr>
        <w:tab/>
      </w:r>
      <w:r>
        <w:rPr>
          <w:w w:val="75"/>
          <w:sz w:val="16"/>
        </w:rPr>
        <w:t>Department</w:t>
      </w:r>
      <w:r>
        <w:rPr>
          <w:spacing w:val="10"/>
          <w:sz w:val="16"/>
        </w:rPr>
        <w:t xml:space="preserve"> </w:t>
      </w:r>
      <w:r>
        <w:rPr>
          <w:w w:val="75"/>
          <w:sz w:val="16"/>
        </w:rPr>
        <w:t>of</w:t>
      </w:r>
      <w:r>
        <w:rPr>
          <w:spacing w:val="11"/>
          <w:sz w:val="16"/>
        </w:rPr>
        <w:t xml:space="preserve"> </w:t>
      </w:r>
      <w:r>
        <w:rPr>
          <w:w w:val="75"/>
          <w:sz w:val="16"/>
        </w:rPr>
        <w:t>Education</w:t>
      </w:r>
      <w:r>
        <w:rPr>
          <w:spacing w:val="11"/>
          <w:sz w:val="16"/>
        </w:rPr>
        <w:t xml:space="preserve"> </w:t>
      </w:r>
      <w:r>
        <w:rPr>
          <w:spacing w:val="-2"/>
          <w:w w:val="75"/>
          <w:sz w:val="16"/>
        </w:rPr>
        <w:t>Regions</w:t>
      </w:r>
    </w:p>
    <w:p w:rsidR="002C1123" w:rsidRDefault="002C1123">
      <w:pPr>
        <w:rPr>
          <w:sz w:val="16"/>
        </w:rPr>
        <w:sectPr w:rsidR="002C1123">
          <w:type w:val="continuous"/>
          <w:pgSz w:w="16840" w:h="11910" w:orient="landscape"/>
          <w:pgMar w:top="560" w:right="280" w:bottom="280" w:left="500" w:header="0" w:footer="517" w:gutter="0"/>
          <w:cols w:space="720"/>
        </w:sectPr>
      </w:pPr>
    </w:p>
    <w:p w:rsidR="002C1123" w:rsidRDefault="002C1123">
      <w:pPr>
        <w:pStyle w:val="BodyText"/>
        <w:spacing w:before="2"/>
        <w:rPr>
          <w:sz w:val="15"/>
        </w:rPr>
      </w:pPr>
    </w:p>
    <w:p w:rsidR="002C1123" w:rsidRDefault="002060EF">
      <w:pPr>
        <w:jc w:val="right"/>
        <w:rPr>
          <w:sz w:val="16"/>
        </w:rPr>
      </w:pPr>
      <w:r>
        <w:pict>
          <v:rect id="docshape2609" o:spid="_x0000_s1414" style="position:absolute;left:0;text-align:left;margin-left:329.7pt;margin-top:.4pt;width:8.5pt;height:8.5pt;z-index:251668480;mso-position-horizontal-relative:page" fillcolor="#2e3092" stroked="f">
            <w10:wrap anchorx="page"/>
          </v:rect>
        </w:pict>
      </w:r>
      <w:r w:rsidR="00F22F94">
        <w:rPr>
          <w:w w:val="75"/>
          <w:sz w:val="16"/>
        </w:rPr>
        <w:t>PTS</w:t>
      </w:r>
      <w:r w:rsidR="00F22F94">
        <w:rPr>
          <w:spacing w:val="-2"/>
          <w:sz w:val="16"/>
        </w:rPr>
        <w:t xml:space="preserve"> </w:t>
      </w:r>
      <w:r w:rsidR="00F22F94">
        <w:rPr>
          <w:w w:val="75"/>
          <w:sz w:val="16"/>
        </w:rPr>
        <w:t>Utilisation</w:t>
      </w:r>
      <w:r w:rsidR="00F22F94">
        <w:rPr>
          <w:spacing w:val="-1"/>
          <w:sz w:val="16"/>
        </w:rPr>
        <w:t xml:space="preserve"> </w:t>
      </w:r>
      <w:r w:rsidR="00F22F94">
        <w:rPr>
          <w:spacing w:val="-10"/>
          <w:w w:val="75"/>
          <w:sz w:val="16"/>
        </w:rPr>
        <w:t>%</w:t>
      </w:r>
    </w:p>
    <w:p w:rsidR="002C1123" w:rsidRDefault="00F22F94">
      <w:pPr>
        <w:spacing w:before="2"/>
        <w:rPr>
          <w:sz w:val="15"/>
        </w:rPr>
      </w:pPr>
      <w:r>
        <w:br w:type="column"/>
      </w:r>
    </w:p>
    <w:p w:rsidR="002C1123" w:rsidRDefault="002060EF">
      <w:pPr>
        <w:ind w:left="491"/>
        <w:rPr>
          <w:sz w:val="16"/>
        </w:rPr>
      </w:pPr>
      <w:r>
        <w:pict>
          <v:rect id="docshape2610" o:spid="_x0000_s1413" style="position:absolute;left:0;text-align:left;margin-left:404.35pt;margin-top:.45pt;width:8.5pt;height:8.5pt;z-index:251669504;mso-position-horizontal-relative:page" fillcolor="#00aeef" stroked="f">
            <w10:wrap anchorx="page"/>
          </v:rect>
        </w:pict>
      </w:r>
      <w:r w:rsidR="00F22F94">
        <w:rPr>
          <w:w w:val="75"/>
          <w:sz w:val="16"/>
        </w:rPr>
        <w:t>TTS</w:t>
      </w:r>
      <w:r w:rsidR="00F22F94">
        <w:rPr>
          <w:spacing w:val="-2"/>
          <w:sz w:val="16"/>
        </w:rPr>
        <w:t xml:space="preserve"> </w:t>
      </w:r>
      <w:r w:rsidR="00F22F94">
        <w:rPr>
          <w:w w:val="75"/>
          <w:sz w:val="16"/>
        </w:rPr>
        <w:t>Utilisation</w:t>
      </w:r>
      <w:r w:rsidR="00F22F94">
        <w:rPr>
          <w:spacing w:val="-1"/>
          <w:sz w:val="16"/>
        </w:rPr>
        <w:t xml:space="preserve"> </w:t>
      </w:r>
      <w:r w:rsidR="00F22F94">
        <w:rPr>
          <w:spacing w:val="-10"/>
          <w:w w:val="75"/>
          <w:sz w:val="16"/>
        </w:rPr>
        <w:t>%</w:t>
      </w:r>
    </w:p>
    <w:p w:rsidR="002C1123" w:rsidRDefault="00F22F94">
      <w:pPr>
        <w:spacing w:before="7"/>
        <w:rPr>
          <w:sz w:val="15"/>
        </w:rPr>
      </w:pPr>
      <w:r>
        <w:br w:type="column"/>
      </w:r>
    </w:p>
    <w:p w:rsidR="002C1123" w:rsidRDefault="002060EF">
      <w:pPr>
        <w:jc w:val="right"/>
        <w:rPr>
          <w:sz w:val="16"/>
        </w:rPr>
      </w:pPr>
      <w:r>
        <w:pict>
          <v:rect id="docshape2611" o:spid="_x0000_s1412" style="position:absolute;left:0;text-align:left;margin-left:581.05pt;margin-top:.45pt;width:8.5pt;height:8.5pt;z-index:251674624;mso-position-horizontal-relative:page" fillcolor="#2e3092" stroked="f">
            <w10:wrap anchorx="page"/>
          </v:rect>
        </w:pict>
      </w:r>
      <w:r w:rsidR="00F22F94">
        <w:rPr>
          <w:w w:val="75"/>
          <w:sz w:val="16"/>
        </w:rPr>
        <w:t>PTS</w:t>
      </w:r>
      <w:r w:rsidR="00F22F94">
        <w:rPr>
          <w:spacing w:val="-2"/>
          <w:sz w:val="16"/>
        </w:rPr>
        <w:t xml:space="preserve"> </w:t>
      </w:r>
      <w:r w:rsidR="00F22F94">
        <w:rPr>
          <w:w w:val="75"/>
          <w:sz w:val="16"/>
        </w:rPr>
        <w:t>Utilisation</w:t>
      </w:r>
      <w:r w:rsidR="00F22F94">
        <w:rPr>
          <w:spacing w:val="-1"/>
          <w:sz w:val="16"/>
        </w:rPr>
        <w:t xml:space="preserve"> </w:t>
      </w:r>
      <w:r w:rsidR="00F22F94">
        <w:rPr>
          <w:spacing w:val="-10"/>
          <w:w w:val="75"/>
          <w:sz w:val="16"/>
        </w:rPr>
        <w:t>%</w:t>
      </w:r>
    </w:p>
    <w:p w:rsidR="002C1123" w:rsidRDefault="00F22F94">
      <w:pPr>
        <w:spacing w:before="7"/>
        <w:rPr>
          <w:sz w:val="15"/>
        </w:rPr>
      </w:pPr>
      <w:r>
        <w:br w:type="column"/>
      </w:r>
    </w:p>
    <w:p w:rsidR="002C1123" w:rsidRDefault="002060EF">
      <w:pPr>
        <w:ind w:left="491"/>
        <w:rPr>
          <w:sz w:val="16"/>
        </w:rPr>
      </w:pPr>
      <w:r>
        <w:pict>
          <v:rect id="docshape2612" o:spid="_x0000_s1411" style="position:absolute;left:0;text-align:left;margin-left:655.7pt;margin-top:.45pt;width:8.5pt;height:8.5pt;z-index:251675648;mso-position-horizontal-relative:page" fillcolor="#00aeef" stroked="f">
            <w10:wrap anchorx="page"/>
          </v:rect>
        </w:pict>
      </w:r>
      <w:r w:rsidR="00F22F94">
        <w:rPr>
          <w:w w:val="75"/>
          <w:sz w:val="16"/>
        </w:rPr>
        <w:t>TTS</w:t>
      </w:r>
      <w:r w:rsidR="00F22F94">
        <w:rPr>
          <w:spacing w:val="-2"/>
          <w:sz w:val="16"/>
        </w:rPr>
        <w:t xml:space="preserve"> </w:t>
      </w:r>
      <w:r w:rsidR="00F22F94">
        <w:rPr>
          <w:w w:val="75"/>
          <w:sz w:val="16"/>
        </w:rPr>
        <w:t>Utilisation</w:t>
      </w:r>
      <w:r w:rsidR="00F22F94">
        <w:rPr>
          <w:spacing w:val="-1"/>
          <w:sz w:val="16"/>
        </w:rPr>
        <w:t xml:space="preserve"> </w:t>
      </w:r>
      <w:r w:rsidR="00F22F94">
        <w:rPr>
          <w:spacing w:val="-10"/>
          <w:w w:val="75"/>
          <w:sz w:val="16"/>
        </w:rPr>
        <w:t>%</w:t>
      </w:r>
    </w:p>
    <w:p w:rsidR="002C1123" w:rsidRDefault="002C1123">
      <w:pPr>
        <w:rPr>
          <w:sz w:val="16"/>
        </w:rPr>
        <w:sectPr w:rsidR="002C1123">
          <w:type w:val="continuous"/>
          <w:pgSz w:w="16840" w:h="11910" w:orient="landscape"/>
          <w:pgMar w:top="560" w:right="280" w:bottom="280" w:left="500" w:header="0" w:footer="517" w:gutter="0"/>
          <w:cols w:num="4" w:space="720" w:equalWidth="0">
            <w:col w:w="7311" w:space="40"/>
            <w:col w:w="1447" w:space="39"/>
            <w:col w:w="3500" w:space="40"/>
            <w:col w:w="3683"/>
          </w:cols>
        </w:sectPr>
      </w:pPr>
    </w:p>
    <w:p w:rsidR="002C1123" w:rsidRDefault="002C1123">
      <w:pPr>
        <w:pStyle w:val="BodyText"/>
        <w:rPr>
          <w:sz w:val="24"/>
        </w:rPr>
      </w:pPr>
    </w:p>
    <w:p w:rsidR="002C1123" w:rsidRDefault="002C1123">
      <w:pPr>
        <w:pStyle w:val="BodyText"/>
        <w:rPr>
          <w:sz w:val="24"/>
        </w:rPr>
      </w:pPr>
    </w:p>
    <w:p w:rsidR="002C1123" w:rsidRDefault="002C1123">
      <w:pPr>
        <w:pStyle w:val="BodyText"/>
        <w:spacing w:before="10"/>
      </w:pPr>
    </w:p>
    <w:p w:rsidR="002C1123" w:rsidRDefault="00F22F94">
      <w:pPr>
        <w:pStyle w:val="Heading6"/>
        <w:numPr>
          <w:ilvl w:val="2"/>
          <w:numId w:val="39"/>
        </w:numPr>
        <w:tabs>
          <w:tab w:val="left" w:pos="1087"/>
        </w:tabs>
        <w:spacing w:before="0"/>
        <w:ind w:left="1086"/>
        <w:jc w:val="left"/>
      </w:pPr>
      <w:r>
        <w:rPr>
          <w:color w:val="00AEEF"/>
          <w:w w:val="95"/>
        </w:rPr>
        <w:t>School</w:t>
      </w:r>
      <w:r>
        <w:rPr>
          <w:color w:val="00AEEF"/>
        </w:rPr>
        <w:t xml:space="preserve"> </w:t>
      </w:r>
      <w:r>
        <w:rPr>
          <w:color w:val="00AEEF"/>
          <w:spacing w:val="-2"/>
        </w:rPr>
        <w:t>capacity</w:t>
      </w:r>
    </w:p>
    <w:p w:rsidR="002C1123" w:rsidRDefault="00F22F94">
      <w:pPr>
        <w:pStyle w:val="BodyText"/>
        <w:spacing w:before="95" w:line="249" w:lineRule="auto"/>
        <w:ind w:left="492" w:right="222"/>
      </w:pPr>
      <w:r>
        <w:t>Overall,</w:t>
      </w:r>
      <w:r>
        <w:rPr>
          <w:spacing w:val="-14"/>
        </w:rPr>
        <w:t xml:space="preserve"> </w:t>
      </w:r>
      <w:r>
        <w:t>NSW</w:t>
      </w:r>
      <w:r>
        <w:rPr>
          <w:spacing w:val="-14"/>
        </w:rPr>
        <w:t xml:space="preserve"> </w:t>
      </w:r>
      <w:r>
        <w:t>primary</w:t>
      </w:r>
      <w:r>
        <w:rPr>
          <w:spacing w:val="-14"/>
        </w:rPr>
        <w:t xml:space="preserve"> </w:t>
      </w:r>
      <w:r>
        <w:t>schools</w:t>
      </w:r>
      <w:r>
        <w:rPr>
          <w:spacing w:val="-14"/>
        </w:rPr>
        <w:t xml:space="preserve"> </w:t>
      </w:r>
      <w:r>
        <w:t>had</w:t>
      </w:r>
      <w:r>
        <w:rPr>
          <w:spacing w:val="-14"/>
        </w:rPr>
        <w:t xml:space="preserve"> </w:t>
      </w:r>
      <w:r>
        <w:t>a</w:t>
      </w:r>
      <w:r>
        <w:rPr>
          <w:spacing w:val="-14"/>
        </w:rPr>
        <w:t xml:space="preserve"> </w:t>
      </w:r>
      <w:r>
        <w:t>utilisation</w:t>
      </w:r>
      <w:r>
        <w:rPr>
          <w:spacing w:val="-14"/>
        </w:rPr>
        <w:t xml:space="preserve"> </w:t>
      </w:r>
      <w:r>
        <w:t xml:space="preserve">rate </w:t>
      </w:r>
      <w:r>
        <w:rPr>
          <w:w w:val="95"/>
        </w:rPr>
        <w:t>of</w:t>
      </w:r>
      <w:r>
        <w:rPr>
          <w:spacing w:val="-10"/>
          <w:w w:val="95"/>
        </w:rPr>
        <w:t xml:space="preserve"> </w:t>
      </w:r>
      <w:r>
        <w:rPr>
          <w:w w:val="95"/>
        </w:rPr>
        <w:t>permanent</w:t>
      </w:r>
      <w:r>
        <w:rPr>
          <w:spacing w:val="-10"/>
          <w:w w:val="95"/>
        </w:rPr>
        <w:t xml:space="preserve"> </w:t>
      </w:r>
      <w:r>
        <w:rPr>
          <w:w w:val="95"/>
        </w:rPr>
        <w:t>teaching</w:t>
      </w:r>
      <w:r>
        <w:rPr>
          <w:spacing w:val="-10"/>
          <w:w w:val="95"/>
        </w:rPr>
        <w:t xml:space="preserve"> </w:t>
      </w:r>
      <w:r>
        <w:rPr>
          <w:w w:val="95"/>
        </w:rPr>
        <w:t>spaces</w:t>
      </w:r>
      <w:r>
        <w:rPr>
          <w:spacing w:val="-10"/>
          <w:w w:val="95"/>
        </w:rPr>
        <w:t xml:space="preserve"> </w:t>
      </w:r>
      <w:r>
        <w:rPr>
          <w:w w:val="95"/>
        </w:rPr>
        <w:t>(PTS)</w:t>
      </w:r>
      <w:r>
        <w:rPr>
          <w:spacing w:val="-10"/>
          <w:w w:val="95"/>
        </w:rPr>
        <w:t xml:space="preserve"> </w:t>
      </w:r>
      <w:r>
        <w:rPr>
          <w:w w:val="95"/>
        </w:rPr>
        <w:t>of</w:t>
      </w:r>
      <w:r>
        <w:rPr>
          <w:spacing w:val="-10"/>
          <w:w w:val="95"/>
        </w:rPr>
        <w:t xml:space="preserve"> </w:t>
      </w:r>
      <w:r>
        <w:rPr>
          <w:w w:val="95"/>
        </w:rPr>
        <w:t>99.1</w:t>
      </w:r>
      <w:r>
        <w:rPr>
          <w:spacing w:val="-10"/>
          <w:w w:val="95"/>
        </w:rPr>
        <w:t xml:space="preserve"> </w:t>
      </w:r>
      <w:r>
        <w:rPr>
          <w:w w:val="95"/>
        </w:rPr>
        <w:t>per</w:t>
      </w:r>
      <w:r>
        <w:rPr>
          <w:spacing w:val="-10"/>
          <w:w w:val="95"/>
        </w:rPr>
        <w:t xml:space="preserve"> </w:t>
      </w:r>
      <w:r>
        <w:rPr>
          <w:w w:val="95"/>
        </w:rPr>
        <w:t>cent in</w:t>
      </w:r>
      <w:r>
        <w:rPr>
          <w:spacing w:val="-11"/>
          <w:w w:val="95"/>
        </w:rPr>
        <w:t xml:space="preserve"> </w:t>
      </w:r>
      <w:r>
        <w:rPr>
          <w:w w:val="95"/>
        </w:rPr>
        <w:t>2011</w:t>
      </w:r>
      <w:r>
        <w:rPr>
          <w:spacing w:val="-11"/>
          <w:w w:val="95"/>
        </w:rPr>
        <w:t xml:space="preserve"> </w:t>
      </w:r>
      <w:r>
        <w:rPr>
          <w:w w:val="95"/>
        </w:rPr>
        <w:t>(refer</w:t>
      </w:r>
      <w:r>
        <w:rPr>
          <w:spacing w:val="-11"/>
          <w:w w:val="95"/>
        </w:rPr>
        <w:t xml:space="preserve"> </w:t>
      </w:r>
      <w:r>
        <w:rPr>
          <w:w w:val="95"/>
        </w:rPr>
        <w:t>to</w:t>
      </w:r>
      <w:r>
        <w:rPr>
          <w:spacing w:val="-11"/>
          <w:w w:val="95"/>
        </w:rPr>
        <w:t xml:space="preserve"> </w:t>
      </w:r>
      <w:r>
        <w:rPr>
          <w:w w:val="95"/>
        </w:rPr>
        <w:t>Figure</w:t>
      </w:r>
      <w:r>
        <w:rPr>
          <w:spacing w:val="-11"/>
          <w:w w:val="95"/>
        </w:rPr>
        <w:t xml:space="preserve"> </w:t>
      </w:r>
      <w:r>
        <w:rPr>
          <w:w w:val="95"/>
        </w:rPr>
        <w:t>14.2).</w:t>
      </w:r>
      <w:r>
        <w:rPr>
          <w:spacing w:val="-11"/>
          <w:w w:val="95"/>
        </w:rPr>
        <w:t xml:space="preserve"> </w:t>
      </w:r>
      <w:r>
        <w:rPr>
          <w:w w:val="95"/>
        </w:rPr>
        <w:t>Utilisation</w:t>
      </w:r>
      <w:r>
        <w:rPr>
          <w:spacing w:val="-11"/>
          <w:w w:val="95"/>
        </w:rPr>
        <w:t xml:space="preserve"> </w:t>
      </w:r>
      <w:r>
        <w:rPr>
          <w:w w:val="95"/>
        </w:rPr>
        <w:t>rates</w:t>
      </w:r>
      <w:r>
        <w:rPr>
          <w:spacing w:val="-11"/>
          <w:w w:val="95"/>
        </w:rPr>
        <w:t xml:space="preserve"> </w:t>
      </w:r>
      <w:r>
        <w:rPr>
          <w:w w:val="95"/>
        </w:rPr>
        <w:t xml:space="preserve">greater </w:t>
      </w:r>
      <w:r>
        <w:t>than</w:t>
      </w:r>
      <w:r>
        <w:rPr>
          <w:spacing w:val="-11"/>
        </w:rPr>
        <w:t xml:space="preserve"> </w:t>
      </w:r>
      <w:r>
        <w:t>100</w:t>
      </w:r>
      <w:r>
        <w:rPr>
          <w:spacing w:val="-11"/>
        </w:rPr>
        <w:t xml:space="preserve"> </w:t>
      </w:r>
      <w:r>
        <w:t>per</w:t>
      </w:r>
      <w:r>
        <w:rPr>
          <w:spacing w:val="-11"/>
        </w:rPr>
        <w:t xml:space="preserve"> </w:t>
      </w:r>
      <w:r>
        <w:t>cent</w:t>
      </w:r>
      <w:r>
        <w:rPr>
          <w:spacing w:val="-11"/>
        </w:rPr>
        <w:t xml:space="preserve"> </w:t>
      </w:r>
      <w:r>
        <w:t>are</w:t>
      </w:r>
      <w:r>
        <w:rPr>
          <w:spacing w:val="-11"/>
        </w:rPr>
        <w:t xml:space="preserve"> </w:t>
      </w:r>
      <w:r>
        <w:t>supported</w:t>
      </w:r>
      <w:r>
        <w:rPr>
          <w:spacing w:val="-11"/>
        </w:rPr>
        <w:t xml:space="preserve"> </w:t>
      </w:r>
      <w:r>
        <w:t>with</w:t>
      </w:r>
      <w:r>
        <w:rPr>
          <w:spacing w:val="-11"/>
        </w:rPr>
        <w:t xml:space="preserve"> </w:t>
      </w:r>
      <w:r>
        <w:t>demountable</w:t>
      </w:r>
    </w:p>
    <w:p w:rsidR="002C1123" w:rsidRDefault="00F22F94">
      <w:pPr>
        <w:pStyle w:val="BodyText"/>
        <w:spacing w:before="3" w:line="249" w:lineRule="auto"/>
        <w:ind w:left="492"/>
      </w:pPr>
      <w:r>
        <w:rPr>
          <w:w w:val="95"/>
        </w:rPr>
        <w:t>accommodation,</w:t>
      </w:r>
      <w:r>
        <w:rPr>
          <w:spacing w:val="-4"/>
          <w:w w:val="95"/>
        </w:rPr>
        <w:t xml:space="preserve"> </w:t>
      </w:r>
      <w:r>
        <w:rPr>
          <w:w w:val="95"/>
        </w:rPr>
        <w:t>counted</w:t>
      </w:r>
      <w:r>
        <w:rPr>
          <w:spacing w:val="-4"/>
          <w:w w:val="95"/>
        </w:rPr>
        <w:t xml:space="preserve"> </w:t>
      </w:r>
      <w:r>
        <w:rPr>
          <w:w w:val="95"/>
        </w:rPr>
        <w:t>in</w:t>
      </w:r>
      <w:r>
        <w:rPr>
          <w:spacing w:val="-4"/>
          <w:w w:val="95"/>
        </w:rPr>
        <w:t xml:space="preserve"> </w:t>
      </w:r>
      <w:r>
        <w:rPr>
          <w:w w:val="95"/>
        </w:rPr>
        <w:t>the</w:t>
      </w:r>
      <w:r>
        <w:rPr>
          <w:spacing w:val="-4"/>
          <w:w w:val="95"/>
        </w:rPr>
        <w:t xml:space="preserve"> </w:t>
      </w:r>
      <w:r>
        <w:rPr>
          <w:w w:val="95"/>
        </w:rPr>
        <w:t>Total</w:t>
      </w:r>
      <w:r>
        <w:rPr>
          <w:spacing w:val="-4"/>
          <w:w w:val="95"/>
        </w:rPr>
        <w:t xml:space="preserve"> </w:t>
      </w:r>
      <w:r>
        <w:rPr>
          <w:w w:val="95"/>
        </w:rPr>
        <w:t>Teaching</w:t>
      </w:r>
      <w:r>
        <w:rPr>
          <w:spacing w:val="-4"/>
          <w:w w:val="95"/>
        </w:rPr>
        <w:t xml:space="preserve"> </w:t>
      </w:r>
      <w:r>
        <w:rPr>
          <w:w w:val="95"/>
        </w:rPr>
        <w:t xml:space="preserve">Spaces </w:t>
      </w:r>
      <w:r>
        <w:t>(TTS)</w:t>
      </w:r>
      <w:r>
        <w:rPr>
          <w:spacing w:val="-11"/>
        </w:rPr>
        <w:t xml:space="preserve"> </w:t>
      </w:r>
      <w:r>
        <w:t>ratio.</w:t>
      </w:r>
    </w:p>
    <w:p w:rsidR="002C1123" w:rsidRDefault="00F22F94">
      <w:pPr>
        <w:spacing w:before="137" w:line="247" w:lineRule="auto"/>
        <w:ind w:left="901" w:right="1856"/>
        <w:rPr>
          <w:sz w:val="16"/>
        </w:rPr>
      </w:pPr>
      <w:r>
        <w:br w:type="column"/>
      </w:r>
      <w:r>
        <w:rPr>
          <w:spacing w:val="-2"/>
          <w:w w:val="80"/>
          <w:sz w:val="16"/>
        </w:rPr>
        <w:t>PTS</w:t>
      </w:r>
      <w:r>
        <w:rPr>
          <w:spacing w:val="-10"/>
          <w:sz w:val="16"/>
        </w:rPr>
        <w:t xml:space="preserve"> </w:t>
      </w:r>
      <w:r>
        <w:rPr>
          <w:spacing w:val="-2"/>
          <w:w w:val="80"/>
          <w:sz w:val="16"/>
        </w:rPr>
        <w:t>=</w:t>
      </w:r>
      <w:r>
        <w:rPr>
          <w:spacing w:val="-9"/>
          <w:sz w:val="16"/>
        </w:rPr>
        <w:t xml:space="preserve"> </w:t>
      </w:r>
      <w:r>
        <w:rPr>
          <w:spacing w:val="-2"/>
          <w:w w:val="80"/>
          <w:sz w:val="16"/>
        </w:rPr>
        <w:t>Permanent</w:t>
      </w:r>
      <w:r>
        <w:rPr>
          <w:spacing w:val="-9"/>
          <w:sz w:val="16"/>
        </w:rPr>
        <w:t xml:space="preserve"> </w:t>
      </w:r>
      <w:r>
        <w:rPr>
          <w:spacing w:val="-2"/>
          <w:w w:val="80"/>
          <w:sz w:val="16"/>
        </w:rPr>
        <w:t>Teaching</w:t>
      </w:r>
      <w:r>
        <w:rPr>
          <w:spacing w:val="-9"/>
          <w:sz w:val="16"/>
        </w:rPr>
        <w:t xml:space="preserve"> </w:t>
      </w:r>
      <w:r>
        <w:rPr>
          <w:spacing w:val="-2"/>
          <w:w w:val="80"/>
          <w:sz w:val="16"/>
        </w:rPr>
        <w:t>Spaces</w:t>
      </w:r>
      <w:r>
        <w:rPr>
          <w:sz w:val="16"/>
        </w:rPr>
        <w:t xml:space="preserve"> </w:t>
      </w:r>
      <w:r>
        <w:rPr>
          <w:w w:val="85"/>
          <w:sz w:val="16"/>
        </w:rPr>
        <w:t>TTS = Total Teaching Spaces</w:t>
      </w:r>
    </w:p>
    <w:p w:rsidR="002C1123" w:rsidRDefault="00F22F94">
      <w:pPr>
        <w:spacing w:before="123"/>
        <w:ind w:left="336"/>
        <w:jc w:val="both"/>
        <w:rPr>
          <w:sz w:val="14"/>
        </w:rPr>
      </w:pPr>
      <w:r>
        <w:rPr>
          <w:w w:val="95"/>
          <w:sz w:val="14"/>
        </w:rPr>
        <w:t>Source:</w:t>
      </w:r>
      <w:r>
        <w:rPr>
          <w:spacing w:val="3"/>
          <w:sz w:val="14"/>
        </w:rPr>
        <w:t xml:space="preserve"> </w:t>
      </w:r>
      <w:r>
        <w:rPr>
          <w:w w:val="95"/>
          <w:sz w:val="14"/>
        </w:rPr>
        <w:t>NSW</w:t>
      </w:r>
      <w:r>
        <w:rPr>
          <w:spacing w:val="3"/>
          <w:sz w:val="14"/>
        </w:rPr>
        <w:t xml:space="preserve"> </w:t>
      </w:r>
      <w:r>
        <w:rPr>
          <w:w w:val="95"/>
          <w:sz w:val="14"/>
        </w:rPr>
        <w:t>Department</w:t>
      </w:r>
      <w:r>
        <w:rPr>
          <w:spacing w:val="3"/>
          <w:sz w:val="14"/>
        </w:rPr>
        <w:t xml:space="preserve"> </w:t>
      </w:r>
      <w:r>
        <w:rPr>
          <w:w w:val="95"/>
          <w:sz w:val="14"/>
        </w:rPr>
        <w:t>of</w:t>
      </w:r>
      <w:r>
        <w:rPr>
          <w:spacing w:val="3"/>
          <w:sz w:val="14"/>
        </w:rPr>
        <w:t xml:space="preserve"> </w:t>
      </w:r>
      <w:r>
        <w:rPr>
          <w:w w:val="95"/>
          <w:sz w:val="14"/>
        </w:rPr>
        <w:t>Education</w:t>
      </w:r>
      <w:r>
        <w:rPr>
          <w:spacing w:val="3"/>
          <w:sz w:val="14"/>
        </w:rPr>
        <w:t xml:space="preserve"> </w:t>
      </w:r>
      <w:r>
        <w:rPr>
          <w:w w:val="95"/>
          <w:sz w:val="14"/>
        </w:rPr>
        <w:t>and</w:t>
      </w:r>
      <w:r>
        <w:rPr>
          <w:spacing w:val="3"/>
          <w:sz w:val="14"/>
        </w:rPr>
        <w:t xml:space="preserve"> </w:t>
      </w:r>
      <w:r>
        <w:rPr>
          <w:w w:val="95"/>
          <w:sz w:val="14"/>
        </w:rPr>
        <w:t>Communities</w:t>
      </w:r>
      <w:r>
        <w:rPr>
          <w:spacing w:val="3"/>
          <w:sz w:val="14"/>
        </w:rPr>
        <w:t xml:space="preserve"> </w:t>
      </w:r>
      <w:r>
        <w:rPr>
          <w:w w:val="95"/>
          <w:sz w:val="14"/>
        </w:rPr>
        <w:t>cited</w:t>
      </w:r>
      <w:r>
        <w:rPr>
          <w:spacing w:val="3"/>
          <w:sz w:val="14"/>
        </w:rPr>
        <w:t xml:space="preserve"> </w:t>
      </w:r>
      <w:r>
        <w:rPr>
          <w:w w:val="95"/>
          <w:sz w:val="14"/>
        </w:rPr>
        <w:t>by</w:t>
      </w:r>
      <w:r>
        <w:rPr>
          <w:spacing w:val="3"/>
          <w:sz w:val="14"/>
        </w:rPr>
        <w:t xml:space="preserve"> </w:t>
      </w:r>
      <w:r>
        <w:rPr>
          <w:spacing w:val="-4"/>
          <w:w w:val="95"/>
          <w:sz w:val="14"/>
        </w:rPr>
        <w:t>PwC.</w:t>
      </w:r>
    </w:p>
    <w:p w:rsidR="002C1123" w:rsidRDefault="002C1123">
      <w:pPr>
        <w:pStyle w:val="BodyText"/>
        <w:rPr>
          <w:sz w:val="16"/>
        </w:rPr>
      </w:pPr>
    </w:p>
    <w:p w:rsidR="002C1123" w:rsidRDefault="002C1123">
      <w:pPr>
        <w:pStyle w:val="BodyText"/>
        <w:spacing w:before="10"/>
        <w:rPr>
          <w:sz w:val="16"/>
        </w:rPr>
      </w:pPr>
    </w:p>
    <w:p w:rsidR="002C1123" w:rsidRDefault="00F22F94">
      <w:pPr>
        <w:pStyle w:val="BodyText"/>
        <w:spacing w:line="249" w:lineRule="auto"/>
        <w:ind w:left="329" w:right="274"/>
        <w:jc w:val="both"/>
      </w:pPr>
      <w:r>
        <w:rPr>
          <w:w w:val="95"/>
        </w:rPr>
        <w:t>High</w:t>
      </w:r>
      <w:r>
        <w:rPr>
          <w:spacing w:val="-2"/>
          <w:w w:val="95"/>
        </w:rPr>
        <w:t xml:space="preserve"> </w:t>
      </w:r>
      <w:r>
        <w:rPr>
          <w:w w:val="95"/>
        </w:rPr>
        <w:t>schools</w:t>
      </w:r>
      <w:r>
        <w:rPr>
          <w:spacing w:val="-2"/>
          <w:w w:val="95"/>
        </w:rPr>
        <w:t xml:space="preserve"> </w:t>
      </w:r>
      <w:r>
        <w:rPr>
          <w:w w:val="95"/>
        </w:rPr>
        <w:t>have</w:t>
      </w:r>
      <w:r>
        <w:rPr>
          <w:spacing w:val="-2"/>
          <w:w w:val="95"/>
        </w:rPr>
        <w:t xml:space="preserve"> </w:t>
      </w:r>
      <w:r>
        <w:rPr>
          <w:w w:val="95"/>
        </w:rPr>
        <w:t>lower</w:t>
      </w:r>
      <w:r>
        <w:rPr>
          <w:spacing w:val="-2"/>
          <w:w w:val="95"/>
        </w:rPr>
        <w:t xml:space="preserve"> </w:t>
      </w:r>
      <w:r>
        <w:rPr>
          <w:w w:val="95"/>
        </w:rPr>
        <w:t>permanent</w:t>
      </w:r>
      <w:r>
        <w:rPr>
          <w:spacing w:val="-2"/>
          <w:w w:val="95"/>
        </w:rPr>
        <w:t xml:space="preserve"> </w:t>
      </w:r>
      <w:r>
        <w:rPr>
          <w:w w:val="95"/>
        </w:rPr>
        <w:t>teaching</w:t>
      </w:r>
      <w:r>
        <w:rPr>
          <w:spacing w:val="-2"/>
          <w:w w:val="95"/>
        </w:rPr>
        <w:t xml:space="preserve"> </w:t>
      </w:r>
      <w:r>
        <w:rPr>
          <w:w w:val="95"/>
        </w:rPr>
        <w:t xml:space="preserve">space </w:t>
      </w:r>
      <w:r>
        <w:t>utilisation</w:t>
      </w:r>
      <w:r>
        <w:rPr>
          <w:position w:val="7"/>
          <w:sz w:val="11"/>
        </w:rPr>
        <w:t>5</w:t>
      </w:r>
      <w:r>
        <w:rPr>
          <w:spacing w:val="12"/>
          <w:position w:val="7"/>
          <w:sz w:val="11"/>
        </w:rPr>
        <w:t xml:space="preserve"> </w:t>
      </w:r>
      <w:r>
        <w:t>rate</w:t>
      </w:r>
      <w:r>
        <w:rPr>
          <w:spacing w:val="-13"/>
        </w:rPr>
        <w:t xml:space="preserve"> </w:t>
      </w:r>
      <w:r>
        <w:t>of</w:t>
      </w:r>
      <w:r>
        <w:rPr>
          <w:spacing w:val="-13"/>
        </w:rPr>
        <w:t xml:space="preserve"> </w:t>
      </w:r>
      <w:r>
        <w:t>86.5</w:t>
      </w:r>
      <w:r>
        <w:rPr>
          <w:spacing w:val="-13"/>
        </w:rPr>
        <w:t xml:space="preserve"> </w:t>
      </w:r>
      <w:r>
        <w:t>percent,</w:t>
      </w:r>
      <w:r>
        <w:rPr>
          <w:spacing w:val="-13"/>
        </w:rPr>
        <w:t xml:space="preserve"> </w:t>
      </w:r>
      <w:r>
        <w:t>that</w:t>
      </w:r>
      <w:r>
        <w:rPr>
          <w:spacing w:val="-13"/>
        </w:rPr>
        <w:t xml:space="preserve"> </w:t>
      </w:r>
      <w:r>
        <w:t>is,</w:t>
      </w:r>
      <w:r>
        <w:rPr>
          <w:spacing w:val="-13"/>
        </w:rPr>
        <w:t xml:space="preserve"> </w:t>
      </w:r>
      <w:r>
        <w:t>there</w:t>
      </w:r>
      <w:r>
        <w:rPr>
          <w:spacing w:val="-13"/>
        </w:rPr>
        <w:t xml:space="preserve"> </w:t>
      </w:r>
      <w:r>
        <w:t>are</w:t>
      </w:r>
    </w:p>
    <w:p w:rsidR="002C1123" w:rsidRDefault="00F22F94">
      <w:pPr>
        <w:pStyle w:val="BodyText"/>
        <w:spacing w:before="2" w:line="249" w:lineRule="auto"/>
        <w:ind w:left="329" w:right="50"/>
        <w:jc w:val="both"/>
      </w:pPr>
      <w:r>
        <w:rPr>
          <w:w w:val="95"/>
        </w:rPr>
        <w:t>2,443 permanent teaching spaces more than required by</w:t>
      </w:r>
      <w:r>
        <w:rPr>
          <w:spacing w:val="-9"/>
          <w:w w:val="95"/>
        </w:rPr>
        <w:t xml:space="preserve"> </w:t>
      </w:r>
      <w:r>
        <w:rPr>
          <w:w w:val="95"/>
        </w:rPr>
        <w:t>the</w:t>
      </w:r>
      <w:r>
        <w:rPr>
          <w:spacing w:val="-9"/>
          <w:w w:val="95"/>
        </w:rPr>
        <w:t xml:space="preserve"> </w:t>
      </w:r>
      <w:r>
        <w:rPr>
          <w:w w:val="95"/>
        </w:rPr>
        <w:t>overall</w:t>
      </w:r>
      <w:r>
        <w:rPr>
          <w:spacing w:val="-9"/>
          <w:w w:val="95"/>
        </w:rPr>
        <w:t xml:space="preserve"> </w:t>
      </w:r>
      <w:r>
        <w:rPr>
          <w:w w:val="95"/>
        </w:rPr>
        <w:t>current</w:t>
      </w:r>
      <w:r>
        <w:rPr>
          <w:spacing w:val="-9"/>
          <w:w w:val="95"/>
        </w:rPr>
        <w:t xml:space="preserve"> </w:t>
      </w:r>
      <w:r>
        <w:rPr>
          <w:w w:val="95"/>
        </w:rPr>
        <w:t>level</w:t>
      </w:r>
      <w:r>
        <w:rPr>
          <w:spacing w:val="-9"/>
          <w:w w:val="95"/>
        </w:rPr>
        <w:t xml:space="preserve"> </w:t>
      </w:r>
      <w:r>
        <w:rPr>
          <w:w w:val="95"/>
        </w:rPr>
        <w:t>of</w:t>
      </w:r>
      <w:r>
        <w:rPr>
          <w:spacing w:val="-9"/>
          <w:w w:val="95"/>
        </w:rPr>
        <w:t xml:space="preserve"> </w:t>
      </w:r>
      <w:r>
        <w:rPr>
          <w:w w:val="95"/>
        </w:rPr>
        <w:t>high</w:t>
      </w:r>
      <w:r>
        <w:rPr>
          <w:spacing w:val="-9"/>
          <w:w w:val="95"/>
        </w:rPr>
        <w:t xml:space="preserve"> </w:t>
      </w:r>
      <w:r>
        <w:rPr>
          <w:w w:val="95"/>
        </w:rPr>
        <w:t>school</w:t>
      </w:r>
      <w:r>
        <w:rPr>
          <w:spacing w:val="-9"/>
          <w:w w:val="95"/>
        </w:rPr>
        <w:t xml:space="preserve"> </w:t>
      </w:r>
      <w:r>
        <w:rPr>
          <w:w w:val="95"/>
        </w:rPr>
        <w:t>demand</w:t>
      </w:r>
      <w:r>
        <w:rPr>
          <w:spacing w:val="-9"/>
          <w:w w:val="95"/>
        </w:rPr>
        <w:t xml:space="preserve"> </w:t>
      </w:r>
      <w:r>
        <w:rPr>
          <w:w w:val="95"/>
        </w:rPr>
        <w:t>as</w:t>
      </w:r>
      <w:r>
        <w:rPr>
          <w:spacing w:val="-9"/>
          <w:w w:val="95"/>
        </w:rPr>
        <w:t xml:space="preserve"> </w:t>
      </w:r>
      <w:r>
        <w:rPr>
          <w:w w:val="95"/>
        </w:rPr>
        <w:t xml:space="preserve">of </w:t>
      </w:r>
      <w:r>
        <w:t>March</w:t>
      </w:r>
      <w:r>
        <w:rPr>
          <w:spacing w:val="-14"/>
        </w:rPr>
        <w:t xml:space="preserve"> </w:t>
      </w:r>
      <w:r>
        <w:t>2011</w:t>
      </w:r>
      <w:r>
        <w:rPr>
          <w:spacing w:val="-14"/>
        </w:rPr>
        <w:t xml:space="preserve"> </w:t>
      </w:r>
      <w:r>
        <w:t>as</w:t>
      </w:r>
      <w:r>
        <w:rPr>
          <w:spacing w:val="-14"/>
        </w:rPr>
        <w:t xml:space="preserve"> </w:t>
      </w:r>
      <w:r>
        <w:t>shown</w:t>
      </w:r>
      <w:r>
        <w:rPr>
          <w:spacing w:val="-14"/>
        </w:rPr>
        <w:t xml:space="preserve"> </w:t>
      </w:r>
      <w:r>
        <w:t>in</w:t>
      </w:r>
      <w:r>
        <w:rPr>
          <w:spacing w:val="-14"/>
        </w:rPr>
        <w:t xml:space="preserve"> </w:t>
      </w:r>
      <w:r>
        <w:t>Figure</w:t>
      </w:r>
      <w:r>
        <w:rPr>
          <w:spacing w:val="-14"/>
        </w:rPr>
        <w:t xml:space="preserve"> </w:t>
      </w:r>
      <w:r>
        <w:t>14.2</w:t>
      </w:r>
      <w:r>
        <w:rPr>
          <w:spacing w:val="-14"/>
        </w:rPr>
        <w:t xml:space="preserve"> </w:t>
      </w:r>
      <w:r>
        <w:t>and</w:t>
      </w:r>
      <w:r>
        <w:rPr>
          <w:spacing w:val="-14"/>
        </w:rPr>
        <w:t xml:space="preserve"> </w:t>
      </w:r>
      <w:r>
        <w:t>14.3.</w:t>
      </w:r>
    </w:p>
    <w:p w:rsidR="002C1123" w:rsidRDefault="002060EF">
      <w:pPr>
        <w:pStyle w:val="BodyText"/>
        <w:spacing w:before="4"/>
        <w:rPr>
          <w:sz w:val="17"/>
        </w:rPr>
      </w:pPr>
      <w:r>
        <w:pict>
          <v:shape id="docshape2613" o:spid="_x0000_s1410" style="position:absolute;margin-left:300.95pt;margin-top:11.2pt;width:1in;height:.1pt;z-index:-251330560;mso-wrap-distance-left:0;mso-wrap-distance-right:0;mso-position-horizontal-relative:page" coordorigin="6019,224" coordsize="1440,0" path="m6019,224r1440,e" filled="f" strokecolor="#9c9c9d" strokeweight=".5pt">
            <v:path arrowok="t"/>
            <w10:wrap type="topAndBottom" anchorx="page"/>
          </v:shape>
        </w:pict>
      </w:r>
    </w:p>
    <w:p w:rsidR="002C1123" w:rsidRDefault="00F22F94">
      <w:pPr>
        <w:pStyle w:val="ListParagraph"/>
        <w:numPr>
          <w:ilvl w:val="0"/>
          <w:numId w:val="35"/>
        </w:numPr>
        <w:tabs>
          <w:tab w:val="left" w:pos="529"/>
        </w:tabs>
        <w:spacing w:before="23"/>
        <w:ind w:left="528"/>
        <w:jc w:val="left"/>
        <w:rPr>
          <w:sz w:val="14"/>
        </w:rPr>
      </w:pPr>
      <w:r>
        <w:rPr>
          <w:w w:val="95"/>
          <w:sz w:val="14"/>
        </w:rPr>
        <w:t>Teaching space ratios are calculated differently for high schools, based on</w:t>
      </w:r>
      <w:r>
        <w:rPr>
          <w:spacing w:val="40"/>
          <w:sz w:val="14"/>
        </w:rPr>
        <w:t xml:space="preserve"> </w:t>
      </w:r>
      <w:r>
        <w:rPr>
          <w:sz w:val="14"/>
        </w:rPr>
        <w:t>teacher</w:t>
      </w:r>
      <w:r>
        <w:rPr>
          <w:spacing w:val="-3"/>
          <w:sz w:val="14"/>
        </w:rPr>
        <w:t xml:space="preserve"> </w:t>
      </w:r>
      <w:r>
        <w:rPr>
          <w:sz w:val="14"/>
        </w:rPr>
        <w:t>numbers</w:t>
      </w:r>
      <w:r>
        <w:rPr>
          <w:spacing w:val="-3"/>
          <w:sz w:val="14"/>
        </w:rPr>
        <w:t xml:space="preserve"> </w:t>
      </w:r>
      <w:r>
        <w:rPr>
          <w:sz w:val="14"/>
        </w:rPr>
        <w:t>times</w:t>
      </w:r>
      <w:r>
        <w:rPr>
          <w:spacing w:val="-3"/>
          <w:sz w:val="14"/>
        </w:rPr>
        <w:t xml:space="preserve"> </w:t>
      </w:r>
      <w:r>
        <w:rPr>
          <w:sz w:val="14"/>
        </w:rPr>
        <w:t>a</w:t>
      </w:r>
      <w:r>
        <w:rPr>
          <w:spacing w:val="-3"/>
          <w:sz w:val="14"/>
        </w:rPr>
        <w:t xml:space="preserve"> </w:t>
      </w:r>
      <w:r>
        <w:rPr>
          <w:sz w:val="14"/>
        </w:rPr>
        <w:t>ratio</w:t>
      </w:r>
      <w:r>
        <w:rPr>
          <w:spacing w:val="-3"/>
          <w:sz w:val="14"/>
        </w:rPr>
        <w:t xml:space="preserve"> </w:t>
      </w:r>
      <w:r>
        <w:rPr>
          <w:sz w:val="14"/>
        </w:rPr>
        <w:t>of</w:t>
      </w:r>
      <w:r>
        <w:rPr>
          <w:spacing w:val="-3"/>
          <w:sz w:val="14"/>
        </w:rPr>
        <w:t xml:space="preserve"> </w:t>
      </w:r>
      <w:r>
        <w:rPr>
          <w:sz w:val="14"/>
        </w:rPr>
        <w:t>face</w:t>
      </w:r>
      <w:r>
        <w:rPr>
          <w:spacing w:val="-3"/>
          <w:sz w:val="14"/>
        </w:rPr>
        <w:t xml:space="preserve"> </w:t>
      </w:r>
      <w:r>
        <w:rPr>
          <w:sz w:val="14"/>
        </w:rPr>
        <w:t>to</w:t>
      </w:r>
      <w:r>
        <w:rPr>
          <w:spacing w:val="-3"/>
          <w:sz w:val="14"/>
        </w:rPr>
        <w:t xml:space="preserve"> </w:t>
      </w:r>
      <w:r>
        <w:rPr>
          <w:sz w:val="14"/>
        </w:rPr>
        <w:t>face</w:t>
      </w:r>
      <w:r>
        <w:rPr>
          <w:spacing w:val="-3"/>
          <w:sz w:val="14"/>
        </w:rPr>
        <w:t xml:space="preserve"> </w:t>
      </w:r>
      <w:r>
        <w:rPr>
          <w:sz w:val="14"/>
        </w:rPr>
        <w:t>teaching</w:t>
      </w:r>
      <w:r>
        <w:rPr>
          <w:spacing w:val="-3"/>
          <w:sz w:val="14"/>
        </w:rPr>
        <w:t xml:space="preserve"> </w:t>
      </w:r>
      <w:r>
        <w:rPr>
          <w:sz w:val="14"/>
        </w:rPr>
        <w:t>time.</w:t>
      </w:r>
    </w:p>
    <w:p w:rsidR="002C1123" w:rsidRDefault="00F22F94">
      <w:pPr>
        <w:spacing w:before="142" w:line="247" w:lineRule="auto"/>
        <w:ind w:left="905" w:right="2716"/>
        <w:rPr>
          <w:sz w:val="16"/>
        </w:rPr>
      </w:pPr>
      <w:r>
        <w:br w:type="column"/>
      </w:r>
      <w:r>
        <w:rPr>
          <w:spacing w:val="-2"/>
          <w:w w:val="80"/>
          <w:sz w:val="16"/>
        </w:rPr>
        <w:t>PTS</w:t>
      </w:r>
      <w:r>
        <w:rPr>
          <w:spacing w:val="-10"/>
          <w:sz w:val="16"/>
        </w:rPr>
        <w:t xml:space="preserve"> </w:t>
      </w:r>
      <w:r>
        <w:rPr>
          <w:spacing w:val="-2"/>
          <w:w w:val="80"/>
          <w:sz w:val="16"/>
        </w:rPr>
        <w:t>=</w:t>
      </w:r>
      <w:r>
        <w:rPr>
          <w:spacing w:val="-9"/>
          <w:sz w:val="16"/>
        </w:rPr>
        <w:t xml:space="preserve"> </w:t>
      </w:r>
      <w:r>
        <w:rPr>
          <w:spacing w:val="-2"/>
          <w:w w:val="80"/>
          <w:sz w:val="16"/>
        </w:rPr>
        <w:t>Permanent</w:t>
      </w:r>
      <w:r>
        <w:rPr>
          <w:spacing w:val="-9"/>
          <w:sz w:val="16"/>
        </w:rPr>
        <w:t xml:space="preserve"> </w:t>
      </w:r>
      <w:r>
        <w:rPr>
          <w:spacing w:val="-2"/>
          <w:w w:val="80"/>
          <w:sz w:val="16"/>
        </w:rPr>
        <w:t>Teaching</w:t>
      </w:r>
      <w:r>
        <w:rPr>
          <w:spacing w:val="-9"/>
          <w:sz w:val="16"/>
        </w:rPr>
        <w:t xml:space="preserve"> </w:t>
      </w:r>
      <w:r>
        <w:rPr>
          <w:spacing w:val="-2"/>
          <w:w w:val="80"/>
          <w:sz w:val="16"/>
        </w:rPr>
        <w:t>Spaces</w:t>
      </w:r>
      <w:r>
        <w:rPr>
          <w:sz w:val="16"/>
        </w:rPr>
        <w:t xml:space="preserve"> </w:t>
      </w:r>
      <w:r>
        <w:rPr>
          <w:w w:val="85"/>
          <w:sz w:val="16"/>
        </w:rPr>
        <w:t>TTS = Total Teaching Spaces</w:t>
      </w:r>
    </w:p>
    <w:p w:rsidR="002C1123" w:rsidRDefault="00F22F94">
      <w:pPr>
        <w:spacing w:before="123"/>
        <w:ind w:left="340"/>
        <w:rPr>
          <w:sz w:val="14"/>
        </w:rPr>
      </w:pPr>
      <w:r>
        <w:rPr>
          <w:w w:val="95"/>
          <w:sz w:val="14"/>
        </w:rPr>
        <w:t>Source:</w:t>
      </w:r>
      <w:r>
        <w:rPr>
          <w:spacing w:val="8"/>
          <w:sz w:val="14"/>
        </w:rPr>
        <w:t xml:space="preserve"> </w:t>
      </w:r>
      <w:r>
        <w:rPr>
          <w:w w:val="95"/>
          <w:sz w:val="14"/>
        </w:rPr>
        <w:t>NSW</w:t>
      </w:r>
      <w:r>
        <w:rPr>
          <w:spacing w:val="9"/>
          <w:sz w:val="14"/>
        </w:rPr>
        <w:t xml:space="preserve"> </w:t>
      </w:r>
      <w:r>
        <w:rPr>
          <w:w w:val="95"/>
          <w:sz w:val="14"/>
        </w:rPr>
        <w:t>Department</w:t>
      </w:r>
      <w:r>
        <w:rPr>
          <w:spacing w:val="9"/>
          <w:sz w:val="14"/>
        </w:rPr>
        <w:t xml:space="preserve"> </w:t>
      </w:r>
      <w:r>
        <w:rPr>
          <w:w w:val="95"/>
          <w:sz w:val="14"/>
        </w:rPr>
        <w:t>of</w:t>
      </w:r>
      <w:r>
        <w:rPr>
          <w:spacing w:val="9"/>
          <w:sz w:val="14"/>
        </w:rPr>
        <w:t xml:space="preserve"> </w:t>
      </w:r>
      <w:r>
        <w:rPr>
          <w:w w:val="95"/>
          <w:sz w:val="14"/>
        </w:rPr>
        <w:t>Education</w:t>
      </w:r>
      <w:r>
        <w:rPr>
          <w:spacing w:val="9"/>
          <w:sz w:val="14"/>
        </w:rPr>
        <w:t xml:space="preserve"> </w:t>
      </w:r>
      <w:r>
        <w:rPr>
          <w:w w:val="95"/>
          <w:sz w:val="14"/>
        </w:rPr>
        <w:t>and</w:t>
      </w:r>
      <w:r>
        <w:rPr>
          <w:spacing w:val="9"/>
          <w:sz w:val="14"/>
        </w:rPr>
        <w:t xml:space="preserve"> </w:t>
      </w:r>
      <w:r>
        <w:rPr>
          <w:w w:val="95"/>
          <w:sz w:val="14"/>
        </w:rPr>
        <w:t>Communities</w:t>
      </w:r>
      <w:r>
        <w:rPr>
          <w:spacing w:val="8"/>
          <w:sz w:val="14"/>
        </w:rPr>
        <w:t xml:space="preserve"> </w:t>
      </w:r>
      <w:r>
        <w:rPr>
          <w:w w:val="95"/>
          <w:sz w:val="14"/>
        </w:rPr>
        <w:t>cited</w:t>
      </w:r>
      <w:r>
        <w:rPr>
          <w:spacing w:val="9"/>
          <w:sz w:val="14"/>
        </w:rPr>
        <w:t xml:space="preserve"> </w:t>
      </w:r>
      <w:r>
        <w:rPr>
          <w:w w:val="95"/>
          <w:sz w:val="14"/>
        </w:rPr>
        <w:t>by</w:t>
      </w:r>
      <w:r>
        <w:rPr>
          <w:spacing w:val="9"/>
          <w:sz w:val="14"/>
        </w:rPr>
        <w:t xml:space="preserve"> </w:t>
      </w:r>
      <w:r>
        <w:rPr>
          <w:spacing w:val="-4"/>
          <w:w w:val="95"/>
          <w:sz w:val="14"/>
        </w:rPr>
        <w:t>PwC.</w:t>
      </w:r>
    </w:p>
    <w:p w:rsidR="002C1123" w:rsidRDefault="002C1123">
      <w:pPr>
        <w:pStyle w:val="BodyText"/>
        <w:rPr>
          <w:sz w:val="16"/>
        </w:rPr>
      </w:pPr>
    </w:p>
    <w:p w:rsidR="002C1123" w:rsidRDefault="002C1123">
      <w:pPr>
        <w:pStyle w:val="BodyText"/>
        <w:spacing w:before="3"/>
        <w:rPr>
          <w:sz w:val="15"/>
        </w:rPr>
      </w:pPr>
    </w:p>
    <w:p w:rsidR="002C1123" w:rsidRDefault="00F22F94">
      <w:pPr>
        <w:pStyle w:val="BodyText"/>
        <w:spacing w:line="249" w:lineRule="auto"/>
        <w:ind w:left="333" w:right="169"/>
      </w:pPr>
      <w:r>
        <w:t>In</w:t>
      </w:r>
      <w:r>
        <w:rPr>
          <w:spacing w:val="-9"/>
        </w:rPr>
        <w:t xml:space="preserve"> </w:t>
      </w:r>
      <w:r>
        <w:t>high</w:t>
      </w:r>
      <w:r>
        <w:rPr>
          <w:spacing w:val="-9"/>
        </w:rPr>
        <w:t xml:space="preserve"> </w:t>
      </w:r>
      <w:r>
        <w:t>schools,</w:t>
      </w:r>
      <w:r>
        <w:rPr>
          <w:spacing w:val="-9"/>
        </w:rPr>
        <w:t xml:space="preserve"> </w:t>
      </w:r>
      <w:r>
        <w:t>low</w:t>
      </w:r>
      <w:r>
        <w:rPr>
          <w:spacing w:val="-9"/>
        </w:rPr>
        <w:t xml:space="preserve"> </w:t>
      </w:r>
      <w:r>
        <w:t>enrolments</w:t>
      </w:r>
      <w:r>
        <w:rPr>
          <w:spacing w:val="-9"/>
        </w:rPr>
        <w:t xml:space="preserve"> </w:t>
      </w:r>
      <w:r>
        <w:t>lead</w:t>
      </w:r>
      <w:r>
        <w:rPr>
          <w:spacing w:val="-9"/>
        </w:rPr>
        <w:t xml:space="preserve"> </w:t>
      </w:r>
      <w:r>
        <w:t>to</w:t>
      </w:r>
      <w:r>
        <w:rPr>
          <w:spacing w:val="-9"/>
        </w:rPr>
        <w:t xml:space="preserve"> </w:t>
      </w:r>
      <w:r>
        <w:t>poor</w:t>
      </w:r>
      <w:r>
        <w:rPr>
          <w:spacing w:val="-9"/>
        </w:rPr>
        <w:t xml:space="preserve"> </w:t>
      </w:r>
      <w:r>
        <w:t xml:space="preserve">student </w:t>
      </w:r>
      <w:r>
        <w:rPr>
          <w:w w:val="95"/>
        </w:rPr>
        <w:t xml:space="preserve">outcomes because the full range of subject choices and </w:t>
      </w:r>
      <w:r>
        <w:t>teachers</w:t>
      </w:r>
      <w:r>
        <w:rPr>
          <w:spacing w:val="-13"/>
        </w:rPr>
        <w:t xml:space="preserve"> </w:t>
      </w:r>
      <w:r>
        <w:t>for</w:t>
      </w:r>
      <w:r>
        <w:rPr>
          <w:spacing w:val="-13"/>
        </w:rPr>
        <w:t xml:space="preserve"> </w:t>
      </w:r>
      <w:r>
        <w:t>specialty</w:t>
      </w:r>
      <w:r>
        <w:rPr>
          <w:spacing w:val="-13"/>
        </w:rPr>
        <w:t xml:space="preserve"> </w:t>
      </w:r>
      <w:r>
        <w:t>subjects</w:t>
      </w:r>
      <w:r>
        <w:rPr>
          <w:spacing w:val="-13"/>
        </w:rPr>
        <w:t xml:space="preserve"> </w:t>
      </w:r>
      <w:r>
        <w:t>become</w:t>
      </w:r>
      <w:r>
        <w:rPr>
          <w:spacing w:val="-13"/>
        </w:rPr>
        <w:t xml:space="preserve"> </w:t>
      </w:r>
      <w:r>
        <w:t>unavailable</w:t>
      </w:r>
      <w:r>
        <w:rPr>
          <w:spacing w:val="-13"/>
        </w:rPr>
        <w:t xml:space="preserve"> </w:t>
      </w:r>
      <w:r>
        <w:t xml:space="preserve">to </w:t>
      </w:r>
      <w:r>
        <w:rPr>
          <w:spacing w:val="-2"/>
        </w:rPr>
        <w:t>students</w:t>
      </w:r>
      <w:r>
        <w:rPr>
          <w:spacing w:val="-7"/>
        </w:rPr>
        <w:t xml:space="preserve"> </w:t>
      </w:r>
      <w:r>
        <w:rPr>
          <w:spacing w:val="-2"/>
        </w:rPr>
        <w:t>and</w:t>
      </w:r>
      <w:r>
        <w:rPr>
          <w:spacing w:val="-7"/>
        </w:rPr>
        <w:t xml:space="preserve"> </w:t>
      </w:r>
      <w:r>
        <w:rPr>
          <w:spacing w:val="-2"/>
        </w:rPr>
        <w:t>the</w:t>
      </w:r>
      <w:r>
        <w:rPr>
          <w:spacing w:val="-7"/>
        </w:rPr>
        <w:t xml:space="preserve"> </w:t>
      </w:r>
      <w:r>
        <w:rPr>
          <w:spacing w:val="-2"/>
        </w:rPr>
        <w:t>average</w:t>
      </w:r>
      <w:r>
        <w:rPr>
          <w:spacing w:val="-7"/>
        </w:rPr>
        <w:t xml:space="preserve"> </w:t>
      </w:r>
      <w:r>
        <w:rPr>
          <w:spacing w:val="-2"/>
        </w:rPr>
        <w:t>achievement</w:t>
      </w:r>
      <w:r>
        <w:rPr>
          <w:spacing w:val="-7"/>
        </w:rPr>
        <w:t xml:space="preserve"> </w:t>
      </w:r>
      <w:r>
        <w:rPr>
          <w:spacing w:val="-2"/>
        </w:rPr>
        <w:t>level</w:t>
      </w:r>
      <w:r>
        <w:rPr>
          <w:spacing w:val="-7"/>
        </w:rPr>
        <w:t xml:space="preserve"> </w:t>
      </w:r>
      <w:r>
        <w:rPr>
          <w:spacing w:val="-2"/>
        </w:rPr>
        <w:t>falls.</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149" w:space="40"/>
            <w:col w:w="4984" w:space="39"/>
            <w:col w:w="5848"/>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3"/>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Heading6"/>
        <w:numPr>
          <w:ilvl w:val="2"/>
          <w:numId w:val="39"/>
        </w:numPr>
        <w:tabs>
          <w:tab w:val="left" w:pos="1087"/>
        </w:tabs>
        <w:ind w:left="1086"/>
        <w:jc w:val="left"/>
      </w:pPr>
      <w:bookmarkStart w:id="362" w:name="_bookmark256"/>
      <w:bookmarkEnd w:id="362"/>
      <w:r>
        <w:rPr>
          <w:color w:val="00AEEF"/>
          <w:spacing w:val="-4"/>
        </w:rPr>
        <w:t>TAFE</w:t>
      </w:r>
      <w:r>
        <w:rPr>
          <w:color w:val="00AEEF"/>
          <w:spacing w:val="-8"/>
        </w:rPr>
        <w:t xml:space="preserve"> </w:t>
      </w:r>
      <w:r>
        <w:rPr>
          <w:color w:val="00AEEF"/>
          <w:spacing w:val="-4"/>
        </w:rPr>
        <w:t>demand</w:t>
      </w:r>
      <w:r>
        <w:rPr>
          <w:color w:val="00AEEF"/>
          <w:spacing w:val="-8"/>
        </w:rPr>
        <w:t xml:space="preserve"> </w:t>
      </w:r>
      <w:r>
        <w:rPr>
          <w:color w:val="00AEEF"/>
          <w:spacing w:val="-4"/>
        </w:rPr>
        <w:t>and</w:t>
      </w:r>
      <w:r>
        <w:rPr>
          <w:color w:val="00AEEF"/>
          <w:spacing w:val="-8"/>
        </w:rPr>
        <w:t xml:space="preserve"> </w:t>
      </w:r>
      <w:r>
        <w:rPr>
          <w:color w:val="00AEEF"/>
          <w:spacing w:val="-4"/>
        </w:rPr>
        <w:t>capacity</w:t>
      </w:r>
    </w:p>
    <w:p w:rsidR="002C1123" w:rsidRDefault="00F22F94">
      <w:pPr>
        <w:pStyle w:val="BodyText"/>
        <w:spacing w:before="95" w:line="249" w:lineRule="auto"/>
        <w:ind w:left="492" w:right="8"/>
      </w:pPr>
      <w:r>
        <w:rPr>
          <w:w w:val="95"/>
        </w:rPr>
        <w:t>Increased</w:t>
      </w:r>
      <w:r>
        <w:rPr>
          <w:spacing w:val="-5"/>
          <w:w w:val="95"/>
        </w:rPr>
        <w:t xml:space="preserve"> </w:t>
      </w:r>
      <w:r>
        <w:rPr>
          <w:w w:val="95"/>
        </w:rPr>
        <w:t>contestability</w:t>
      </w:r>
      <w:r>
        <w:rPr>
          <w:spacing w:val="-5"/>
          <w:w w:val="95"/>
        </w:rPr>
        <w:t xml:space="preserve"> </w:t>
      </w:r>
      <w:r>
        <w:rPr>
          <w:w w:val="95"/>
        </w:rPr>
        <w:t>of</w:t>
      </w:r>
      <w:r>
        <w:rPr>
          <w:spacing w:val="-5"/>
          <w:w w:val="95"/>
        </w:rPr>
        <w:t xml:space="preserve"> </w:t>
      </w:r>
      <w:r>
        <w:rPr>
          <w:w w:val="95"/>
        </w:rPr>
        <w:t>funding</w:t>
      </w:r>
      <w:r>
        <w:rPr>
          <w:spacing w:val="-5"/>
          <w:w w:val="95"/>
        </w:rPr>
        <w:t xml:space="preserve"> </w:t>
      </w:r>
      <w:r>
        <w:rPr>
          <w:w w:val="95"/>
        </w:rPr>
        <w:t>for</w:t>
      </w:r>
      <w:r>
        <w:rPr>
          <w:spacing w:val="-5"/>
          <w:w w:val="95"/>
        </w:rPr>
        <w:t xml:space="preserve"> </w:t>
      </w:r>
      <w:r>
        <w:rPr>
          <w:w w:val="95"/>
        </w:rPr>
        <w:t>vocational</w:t>
      </w:r>
      <w:r>
        <w:rPr>
          <w:spacing w:val="-5"/>
          <w:w w:val="95"/>
        </w:rPr>
        <w:t xml:space="preserve"> </w:t>
      </w:r>
      <w:r>
        <w:rPr>
          <w:w w:val="95"/>
        </w:rPr>
        <w:t xml:space="preserve">training </w:t>
      </w:r>
      <w:r>
        <w:t>and</w:t>
      </w:r>
      <w:r>
        <w:rPr>
          <w:spacing w:val="-10"/>
        </w:rPr>
        <w:t xml:space="preserve"> </w:t>
      </w:r>
      <w:r>
        <w:t>flat</w:t>
      </w:r>
      <w:r>
        <w:rPr>
          <w:spacing w:val="-10"/>
        </w:rPr>
        <w:t xml:space="preserve"> </w:t>
      </w:r>
      <w:r>
        <w:t>student</w:t>
      </w:r>
      <w:r>
        <w:rPr>
          <w:spacing w:val="-10"/>
        </w:rPr>
        <w:t xml:space="preserve"> </w:t>
      </w:r>
      <w:r>
        <w:t>numbers</w:t>
      </w:r>
      <w:r>
        <w:rPr>
          <w:spacing w:val="-10"/>
        </w:rPr>
        <w:t xml:space="preserve"> </w:t>
      </w:r>
      <w:r>
        <w:t>over</w:t>
      </w:r>
      <w:r>
        <w:rPr>
          <w:spacing w:val="-10"/>
        </w:rPr>
        <w:t xml:space="preserve"> </w:t>
      </w:r>
      <w:r>
        <w:t>the</w:t>
      </w:r>
      <w:r>
        <w:rPr>
          <w:spacing w:val="-10"/>
        </w:rPr>
        <w:t xml:space="preserve"> </w:t>
      </w:r>
      <w:r>
        <w:t>past</w:t>
      </w:r>
      <w:r>
        <w:rPr>
          <w:spacing w:val="-10"/>
        </w:rPr>
        <w:t xml:space="preserve"> </w:t>
      </w:r>
      <w:r>
        <w:t>eight</w:t>
      </w:r>
      <w:r>
        <w:rPr>
          <w:spacing w:val="-10"/>
        </w:rPr>
        <w:t xml:space="preserve"> </w:t>
      </w:r>
      <w:r>
        <w:t>years suggests</w:t>
      </w:r>
      <w:r>
        <w:rPr>
          <w:spacing w:val="-14"/>
        </w:rPr>
        <w:t xml:space="preserve"> </w:t>
      </w:r>
      <w:r>
        <w:t>that</w:t>
      </w:r>
      <w:r>
        <w:rPr>
          <w:spacing w:val="-14"/>
        </w:rPr>
        <w:t xml:space="preserve"> </w:t>
      </w:r>
      <w:r>
        <w:t>TAFE</w:t>
      </w:r>
      <w:r>
        <w:rPr>
          <w:spacing w:val="-14"/>
        </w:rPr>
        <w:t xml:space="preserve"> </w:t>
      </w:r>
      <w:r>
        <w:t>enrolment</w:t>
      </w:r>
      <w:r>
        <w:rPr>
          <w:spacing w:val="-14"/>
        </w:rPr>
        <w:t xml:space="preserve"> </w:t>
      </w:r>
      <w:r>
        <w:t>numbers</w:t>
      </w:r>
      <w:r>
        <w:rPr>
          <w:spacing w:val="-14"/>
        </w:rPr>
        <w:t xml:space="preserve"> </w:t>
      </w:r>
      <w:r>
        <w:t>will</w:t>
      </w:r>
      <w:r>
        <w:rPr>
          <w:spacing w:val="-14"/>
        </w:rPr>
        <w:t xml:space="preserve"> </w:t>
      </w:r>
      <w:r>
        <w:t>be</w:t>
      </w:r>
      <w:r>
        <w:rPr>
          <w:spacing w:val="-14"/>
        </w:rPr>
        <w:t xml:space="preserve"> </w:t>
      </w:r>
      <w:r>
        <w:t>lower than population growth.</w:t>
      </w:r>
    </w:p>
    <w:p w:rsidR="002C1123" w:rsidRDefault="00F22F94">
      <w:pPr>
        <w:pStyle w:val="BodyText"/>
        <w:spacing w:before="145" w:line="249" w:lineRule="auto"/>
        <w:ind w:left="492" w:right="8"/>
      </w:pPr>
      <w:r>
        <w:rPr>
          <w:w w:val="95"/>
        </w:rPr>
        <w:t>Demand</w:t>
      </w:r>
      <w:r>
        <w:rPr>
          <w:spacing w:val="-9"/>
          <w:w w:val="95"/>
        </w:rPr>
        <w:t xml:space="preserve"> </w:t>
      </w:r>
      <w:r>
        <w:rPr>
          <w:w w:val="95"/>
        </w:rPr>
        <w:t>for</w:t>
      </w:r>
      <w:r>
        <w:rPr>
          <w:spacing w:val="-9"/>
          <w:w w:val="95"/>
        </w:rPr>
        <w:t xml:space="preserve"> </w:t>
      </w:r>
      <w:r>
        <w:rPr>
          <w:w w:val="95"/>
        </w:rPr>
        <w:t>infrastructure</w:t>
      </w:r>
      <w:r>
        <w:rPr>
          <w:spacing w:val="-9"/>
          <w:w w:val="95"/>
        </w:rPr>
        <w:t xml:space="preserve"> </w:t>
      </w:r>
      <w:r>
        <w:rPr>
          <w:w w:val="95"/>
        </w:rPr>
        <w:t>in</w:t>
      </w:r>
      <w:r>
        <w:rPr>
          <w:spacing w:val="-9"/>
          <w:w w:val="95"/>
        </w:rPr>
        <w:t xml:space="preserve"> </w:t>
      </w:r>
      <w:r>
        <w:rPr>
          <w:w w:val="95"/>
        </w:rPr>
        <w:t>this</w:t>
      </w:r>
      <w:r>
        <w:rPr>
          <w:spacing w:val="-9"/>
          <w:w w:val="95"/>
        </w:rPr>
        <w:t xml:space="preserve"> </w:t>
      </w:r>
      <w:r>
        <w:rPr>
          <w:w w:val="95"/>
        </w:rPr>
        <w:t>sector</w:t>
      </w:r>
      <w:r>
        <w:rPr>
          <w:spacing w:val="-9"/>
          <w:w w:val="95"/>
        </w:rPr>
        <w:t xml:space="preserve"> </w:t>
      </w:r>
      <w:r>
        <w:rPr>
          <w:w w:val="95"/>
        </w:rPr>
        <w:t>is</w:t>
      </w:r>
      <w:r>
        <w:rPr>
          <w:spacing w:val="-9"/>
          <w:w w:val="95"/>
        </w:rPr>
        <w:t xml:space="preserve"> </w:t>
      </w:r>
      <w:r>
        <w:rPr>
          <w:w w:val="95"/>
        </w:rPr>
        <w:t>more</w:t>
      </w:r>
      <w:r>
        <w:rPr>
          <w:spacing w:val="-9"/>
          <w:w w:val="95"/>
        </w:rPr>
        <w:t xml:space="preserve"> </w:t>
      </w:r>
      <w:r>
        <w:rPr>
          <w:w w:val="95"/>
        </w:rPr>
        <w:t>likely</w:t>
      </w:r>
      <w:r>
        <w:rPr>
          <w:spacing w:val="-9"/>
          <w:w w:val="95"/>
        </w:rPr>
        <w:t xml:space="preserve"> </w:t>
      </w:r>
      <w:r>
        <w:rPr>
          <w:w w:val="95"/>
        </w:rPr>
        <w:t xml:space="preserve">to be driven by the need for use of upgraded technology </w:t>
      </w:r>
      <w:r>
        <w:t>and</w:t>
      </w:r>
      <w:r>
        <w:rPr>
          <w:spacing w:val="-9"/>
        </w:rPr>
        <w:t xml:space="preserve"> </w:t>
      </w:r>
      <w:r>
        <w:t>industry</w:t>
      </w:r>
      <w:r>
        <w:rPr>
          <w:spacing w:val="-9"/>
        </w:rPr>
        <w:t xml:space="preserve"> </w:t>
      </w:r>
      <w:r>
        <w:t>compatible</w:t>
      </w:r>
      <w:r>
        <w:rPr>
          <w:spacing w:val="-9"/>
        </w:rPr>
        <w:t xml:space="preserve"> </w:t>
      </w:r>
      <w:r>
        <w:t>facilities</w:t>
      </w:r>
      <w:r>
        <w:rPr>
          <w:spacing w:val="-9"/>
        </w:rPr>
        <w:t xml:space="preserve"> </w:t>
      </w:r>
      <w:r>
        <w:t>to</w:t>
      </w:r>
      <w:r>
        <w:rPr>
          <w:spacing w:val="-9"/>
        </w:rPr>
        <w:t xml:space="preserve"> </w:t>
      </w:r>
      <w:r>
        <w:t>enhance</w:t>
      </w:r>
      <w:r>
        <w:rPr>
          <w:spacing w:val="-9"/>
        </w:rPr>
        <w:t xml:space="preserve"> </w:t>
      </w:r>
      <w:r>
        <w:t xml:space="preserve">the </w:t>
      </w:r>
      <w:r>
        <w:rPr>
          <w:w w:val="95"/>
        </w:rPr>
        <w:t xml:space="preserve">development of vocational skills. Future TAFE reforms </w:t>
      </w:r>
      <w:r>
        <w:t>may</w:t>
      </w:r>
      <w:r>
        <w:rPr>
          <w:spacing w:val="-14"/>
        </w:rPr>
        <w:t xml:space="preserve"> </w:t>
      </w:r>
      <w:r>
        <w:t>significantly</w:t>
      </w:r>
      <w:r>
        <w:rPr>
          <w:spacing w:val="-14"/>
        </w:rPr>
        <w:t xml:space="preserve"> </w:t>
      </w:r>
      <w:r>
        <w:t>alter</w:t>
      </w:r>
      <w:r>
        <w:rPr>
          <w:spacing w:val="-14"/>
        </w:rPr>
        <w:t xml:space="preserve"> </w:t>
      </w:r>
      <w:r>
        <w:t>asset</w:t>
      </w:r>
      <w:r>
        <w:rPr>
          <w:spacing w:val="-14"/>
        </w:rPr>
        <w:t xml:space="preserve"> </w:t>
      </w:r>
      <w:r>
        <w:t>requirements.</w:t>
      </w:r>
    </w:p>
    <w:p w:rsidR="002C1123" w:rsidRDefault="00F22F94">
      <w:pPr>
        <w:pStyle w:val="BodyText"/>
        <w:spacing w:before="146" w:line="249" w:lineRule="auto"/>
        <w:ind w:left="492" w:right="8"/>
      </w:pPr>
      <w:r>
        <w:t>Around</w:t>
      </w:r>
      <w:r>
        <w:rPr>
          <w:spacing w:val="-9"/>
        </w:rPr>
        <w:t xml:space="preserve"> </w:t>
      </w:r>
      <w:r>
        <w:t>575</w:t>
      </w:r>
      <w:r>
        <w:rPr>
          <w:spacing w:val="-9"/>
        </w:rPr>
        <w:t xml:space="preserve"> </w:t>
      </w:r>
      <w:r>
        <w:t>hectares</w:t>
      </w:r>
      <w:r>
        <w:rPr>
          <w:spacing w:val="-9"/>
        </w:rPr>
        <w:t xml:space="preserve"> </w:t>
      </w:r>
      <w:r>
        <w:t>of</w:t>
      </w:r>
      <w:r>
        <w:rPr>
          <w:spacing w:val="-9"/>
        </w:rPr>
        <w:t xml:space="preserve"> </w:t>
      </w:r>
      <w:r>
        <w:t>land</w:t>
      </w:r>
      <w:r>
        <w:rPr>
          <w:spacing w:val="-9"/>
        </w:rPr>
        <w:t xml:space="preserve"> </w:t>
      </w:r>
      <w:r>
        <w:t>is</w:t>
      </w:r>
      <w:r>
        <w:rPr>
          <w:spacing w:val="-9"/>
        </w:rPr>
        <w:t xml:space="preserve"> </w:t>
      </w:r>
      <w:r>
        <w:t>shared</w:t>
      </w:r>
      <w:r>
        <w:rPr>
          <w:spacing w:val="-9"/>
        </w:rPr>
        <w:t xml:space="preserve"> </w:t>
      </w:r>
      <w:r>
        <w:t>between schools</w:t>
      </w:r>
      <w:r>
        <w:rPr>
          <w:spacing w:val="-14"/>
        </w:rPr>
        <w:t xml:space="preserve"> </w:t>
      </w:r>
      <w:r>
        <w:t>and</w:t>
      </w:r>
      <w:r>
        <w:rPr>
          <w:spacing w:val="-14"/>
        </w:rPr>
        <w:t xml:space="preserve"> </w:t>
      </w:r>
      <w:r>
        <w:t>TAFE,</w:t>
      </w:r>
      <w:r>
        <w:rPr>
          <w:spacing w:val="-14"/>
        </w:rPr>
        <w:t xml:space="preserve"> </w:t>
      </w:r>
      <w:r>
        <w:t>and</w:t>
      </w:r>
      <w:r>
        <w:rPr>
          <w:spacing w:val="-14"/>
        </w:rPr>
        <w:t xml:space="preserve"> </w:t>
      </w:r>
      <w:r>
        <w:t>in</w:t>
      </w:r>
      <w:r>
        <w:rPr>
          <w:spacing w:val="-14"/>
        </w:rPr>
        <w:t xml:space="preserve"> </w:t>
      </w:r>
      <w:r>
        <w:t>many</w:t>
      </w:r>
      <w:r>
        <w:rPr>
          <w:spacing w:val="-14"/>
        </w:rPr>
        <w:t xml:space="preserve"> </w:t>
      </w:r>
      <w:r>
        <w:t>cases</w:t>
      </w:r>
      <w:r>
        <w:rPr>
          <w:spacing w:val="-14"/>
        </w:rPr>
        <w:t xml:space="preserve"> </w:t>
      </w:r>
      <w:r>
        <w:t>the</w:t>
      </w:r>
      <w:r>
        <w:rPr>
          <w:spacing w:val="-14"/>
        </w:rPr>
        <w:t xml:space="preserve"> </w:t>
      </w:r>
      <w:r>
        <w:t xml:space="preserve">learning </w:t>
      </w:r>
      <w:r>
        <w:rPr>
          <w:w w:val="95"/>
        </w:rPr>
        <w:t>environments</w:t>
      </w:r>
      <w:r>
        <w:rPr>
          <w:spacing w:val="-11"/>
          <w:w w:val="95"/>
        </w:rPr>
        <w:t xml:space="preserve"> </w:t>
      </w:r>
      <w:r>
        <w:rPr>
          <w:w w:val="95"/>
        </w:rPr>
        <w:t>needed</w:t>
      </w:r>
      <w:r>
        <w:rPr>
          <w:spacing w:val="-11"/>
          <w:w w:val="95"/>
        </w:rPr>
        <w:t xml:space="preserve"> </w:t>
      </w:r>
      <w:r>
        <w:rPr>
          <w:w w:val="95"/>
        </w:rPr>
        <w:t>to</w:t>
      </w:r>
      <w:r>
        <w:rPr>
          <w:spacing w:val="-11"/>
          <w:w w:val="95"/>
        </w:rPr>
        <w:t xml:space="preserve"> </w:t>
      </w:r>
      <w:r>
        <w:rPr>
          <w:w w:val="95"/>
        </w:rPr>
        <w:t>deliver</w:t>
      </w:r>
      <w:r>
        <w:rPr>
          <w:spacing w:val="-11"/>
          <w:w w:val="95"/>
        </w:rPr>
        <w:t xml:space="preserve"> </w:t>
      </w:r>
      <w:r>
        <w:rPr>
          <w:w w:val="95"/>
        </w:rPr>
        <w:t>TAFE</w:t>
      </w:r>
      <w:r>
        <w:rPr>
          <w:spacing w:val="-11"/>
          <w:w w:val="95"/>
        </w:rPr>
        <w:t xml:space="preserve"> </w:t>
      </w:r>
      <w:r>
        <w:rPr>
          <w:w w:val="95"/>
        </w:rPr>
        <w:t>and</w:t>
      </w:r>
      <w:r>
        <w:rPr>
          <w:spacing w:val="-11"/>
          <w:w w:val="95"/>
        </w:rPr>
        <w:t xml:space="preserve"> </w:t>
      </w:r>
      <w:r>
        <w:rPr>
          <w:w w:val="95"/>
        </w:rPr>
        <w:t>high</w:t>
      </w:r>
      <w:r>
        <w:rPr>
          <w:spacing w:val="-11"/>
          <w:w w:val="95"/>
        </w:rPr>
        <w:t xml:space="preserve"> </w:t>
      </w:r>
      <w:r>
        <w:rPr>
          <w:w w:val="95"/>
        </w:rPr>
        <w:t xml:space="preserve">school </w:t>
      </w:r>
      <w:r>
        <w:t>courses are compatible.</w:t>
      </w:r>
    </w:p>
    <w:p w:rsidR="002C1123" w:rsidRDefault="002C1123">
      <w:pPr>
        <w:pStyle w:val="BodyText"/>
        <w:rPr>
          <w:sz w:val="15"/>
        </w:rPr>
      </w:pPr>
    </w:p>
    <w:p w:rsidR="002C1123" w:rsidRDefault="002060EF">
      <w:pPr>
        <w:pStyle w:val="BodyText"/>
        <w:ind w:left="492" w:right="-72"/>
      </w:pPr>
      <w:r>
        <w:pict>
          <v:shape id="docshape2614" o:spid="_x0000_s5258" type="#_x0000_t202" style="width:239pt;height:69.35pt;mso-left-percent:-10001;mso-top-percent:-10001;mso-position-horizontal:absolute;mso-position-horizontal-relative:char;mso-position-vertical:absolute;mso-position-vertical-relative:line;mso-left-percent:-10001;mso-top-percent:-10001" fillcolor="#e1e0e1" stroked="f">
            <v:textbox inset="0,0,0,0">
              <w:txbxContent>
                <w:p w:rsidR="00F22F94" w:rsidRDefault="00F22F94">
                  <w:pPr>
                    <w:pStyle w:val="BodyText"/>
                    <w:spacing w:before="68" w:line="249" w:lineRule="auto"/>
                    <w:ind w:left="113" w:right="115"/>
                    <w:rPr>
                      <w:color w:val="000000"/>
                    </w:rPr>
                  </w:pPr>
                  <w:r>
                    <w:rPr>
                      <w:color w:val="00AEEF"/>
                    </w:rPr>
                    <w:t>Recommendation</w:t>
                  </w:r>
                  <w:r>
                    <w:rPr>
                      <w:color w:val="00AEEF"/>
                      <w:spacing w:val="40"/>
                    </w:rPr>
                    <w:t xml:space="preserve"> </w:t>
                  </w:r>
                  <w:r>
                    <w:rPr>
                      <w:color w:val="000000"/>
                    </w:rPr>
                    <w:t>Given forecasts of demand, Infrastructure</w:t>
                  </w:r>
                  <w:r>
                    <w:rPr>
                      <w:color w:val="000000"/>
                      <w:spacing w:val="-12"/>
                    </w:rPr>
                    <w:t xml:space="preserve"> </w:t>
                  </w:r>
                  <w:r>
                    <w:rPr>
                      <w:color w:val="000000"/>
                    </w:rPr>
                    <w:t>NSW</w:t>
                  </w:r>
                  <w:r>
                    <w:rPr>
                      <w:color w:val="000000"/>
                      <w:spacing w:val="-12"/>
                    </w:rPr>
                    <w:t xml:space="preserve"> </w:t>
                  </w:r>
                  <w:r>
                    <w:rPr>
                      <w:color w:val="000000"/>
                    </w:rPr>
                    <w:t>recommends</w:t>
                  </w:r>
                  <w:r>
                    <w:rPr>
                      <w:color w:val="000000"/>
                      <w:spacing w:val="-12"/>
                    </w:rPr>
                    <w:t xml:space="preserve"> </w:t>
                  </w:r>
                  <w:r>
                    <w:rPr>
                      <w:color w:val="000000"/>
                    </w:rPr>
                    <w:t>merging</w:t>
                  </w:r>
                  <w:r>
                    <w:rPr>
                      <w:color w:val="000000"/>
                      <w:spacing w:val="-12"/>
                    </w:rPr>
                    <w:t xml:space="preserve"> </w:t>
                  </w:r>
                  <w:r>
                    <w:rPr>
                      <w:color w:val="000000"/>
                    </w:rPr>
                    <w:t>the</w:t>
                  </w:r>
                  <w:r>
                    <w:rPr>
                      <w:color w:val="000000"/>
                      <w:spacing w:val="-12"/>
                    </w:rPr>
                    <w:t xml:space="preserve"> </w:t>
                  </w:r>
                  <w:r>
                    <w:rPr>
                      <w:color w:val="000000"/>
                    </w:rPr>
                    <w:t xml:space="preserve">asset </w:t>
                  </w:r>
                  <w:r>
                    <w:rPr>
                      <w:color w:val="000000"/>
                      <w:w w:val="95"/>
                    </w:rPr>
                    <w:t xml:space="preserve">management functions across the education portfolio </w:t>
                  </w:r>
                  <w:r>
                    <w:rPr>
                      <w:color w:val="000000"/>
                    </w:rPr>
                    <w:t>to unlock the significant potential to improve asset utilisation across TAFE and high schools.</w:t>
                  </w:r>
                </w:p>
              </w:txbxContent>
            </v:textbox>
            <w10:anchorlock/>
          </v:shape>
        </w:pict>
      </w:r>
    </w:p>
    <w:p w:rsidR="002C1123" w:rsidRDefault="002C1123">
      <w:pPr>
        <w:pStyle w:val="BodyText"/>
        <w:spacing w:before="2"/>
      </w:pPr>
    </w:p>
    <w:p w:rsidR="002C1123" w:rsidRDefault="00F22F94">
      <w:pPr>
        <w:pStyle w:val="BodyText"/>
        <w:spacing w:line="249" w:lineRule="auto"/>
        <w:ind w:left="492"/>
      </w:pPr>
      <w:r>
        <w:t>Infrastructure</w:t>
      </w:r>
      <w:r>
        <w:rPr>
          <w:spacing w:val="-14"/>
        </w:rPr>
        <w:t xml:space="preserve"> </w:t>
      </w:r>
      <w:r>
        <w:t>NSW</w:t>
      </w:r>
      <w:r>
        <w:rPr>
          <w:spacing w:val="-14"/>
        </w:rPr>
        <w:t xml:space="preserve"> </w:t>
      </w:r>
      <w:r>
        <w:t>supports</w:t>
      </w:r>
      <w:r>
        <w:rPr>
          <w:spacing w:val="-14"/>
        </w:rPr>
        <w:t xml:space="preserve"> </w:t>
      </w:r>
      <w:r>
        <w:t>greater</w:t>
      </w:r>
      <w:r>
        <w:rPr>
          <w:spacing w:val="-14"/>
        </w:rPr>
        <w:t xml:space="preserve"> </w:t>
      </w:r>
      <w:r>
        <w:t>local</w:t>
      </w:r>
      <w:r>
        <w:rPr>
          <w:spacing w:val="-14"/>
        </w:rPr>
        <w:t xml:space="preserve"> </w:t>
      </w:r>
      <w:r>
        <w:t xml:space="preserve">decision </w:t>
      </w:r>
      <w:r>
        <w:rPr>
          <w:w w:val="95"/>
        </w:rPr>
        <w:t>making</w:t>
      </w:r>
      <w:r>
        <w:rPr>
          <w:spacing w:val="-12"/>
          <w:w w:val="95"/>
        </w:rPr>
        <w:t xml:space="preserve"> </w:t>
      </w:r>
      <w:r>
        <w:rPr>
          <w:w w:val="95"/>
        </w:rPr>
        <w:t>by</w:t>
      </w:r>
      <w:r>
        <w:rPr>
          <w:spacing w:val="-11"/>
          <w:w w:val="95"/>
        </w:rPr>
        <w:t xml:space="preserve"> </w:t>
      </w:r>
      <w:r>
        <w:rPr>
          <w:w w:val="95"/>
        </w:rPr>
        <w:t>school</w:t>
      </w:r>
      <w:r>
        <w:rPr>
          <w:spacing w:val="-11"/>
          <w:w w:val="95"/>
        </w:rPr>
        <w:t xml:space="preserve"> </w:t>
      </w:r>
      <w:r>
        <w:rPr>
          <w:w w:val="95"/>
        </w:rPr>
        <w:t>principals</w:t>
      </w:r>
      <w:r>
        <w:rPr>
          <w:spacing w:val="-11"/>
          <w:w w:val="95"/>
        </w:rPr>
        <w:t xml:space="preserve"> </w:t>
      </w:r>
      <w:r>
        <w:rPr>
          <w:w w:val="95"/>
        </w:rPr>
        <w:t>and</w:t>
      </w:r>
      <w:r>
        <w:rPr>
          <w:spacing w:val="-12"/>
          <w:w w:val="95"/>
        </w:rPr>
        <w:t xml:space="preserve"> </w:t>
      </w:r>
      <w:r>
        <w:rPr>
          <w:w w:val="95"/>
        </w:rPr>
        <w:t>TAFE</w:t>
      </w:r>
      <w:r>
        <w:rPr>
          <w:spacing w:val="-11"/>
          <w:w w:val="95"/>
        </w:rPr>
        <w:t xml:space="preserve"> </w:t>
      </w:r>
      <w:r>
        <w:rPr>
          <w:w w:val="95"/>
        </w:rPr>
        <w:t>directors.</w:t>
      </w:r>
      <w:r>
        <w:rPr>
          <w:spacing w:val="-11"/>
          <w:w w:val="95"/>
        </w:rPr>
        <w:t xml:space="preserve"> </w:t>
      </w:r>
      <w:r>
        <w:rPr>
          <w:w w:val="95"/>
        </w:rPr>
        <w:t xml:space="preserve">Merging </w:t>
      </w:r>
      <w:r>
        <w:t>the</w:t>
      </w:r>
      <w:r>
        <w:rPr>
          <w:spacing w:val="-14"/>
        </w:rPr>
        <w:t xml:space="preserve"> </w:t>
      </w:r>
      <w:r>
        <w:t>asset</w:t>
      </w:r>
      <w:r>
        <w:rPr>
          <w:spacing w:val="-14"/>
        </w:rPr>
        <w:t xml:space="preserve"> </w:t>
      </w:r>
      <w:r>
        <w:t>‘head</w:t>
      </w:r>
      <w:r>
        <w:rPr>
          <w:spacing w:val="-14"/>
        </w:rPr>
        <w:t xml:space="preserve"> </w:t>
      </w:r>
      <w:r>
        <w:t>office’</w:t>
      </w:r>
      <w:r>
        <w:rPr>
          <w:spacing w:val="-14"/>
        </w:rPr>
        <w:t xml:space="preserve"> </w:t>
      </w:r>
      <w:r>
        <w:t>functions</w:t>
      </w:r>
      <w:r>
        <w:rPr>
          <w:spacing w:val="-14"/>
        </w:rPr>
        <w:t xml:space="preserve"> </w:t>
      </w:r>
      <w:r>
        <w:t>is</w:t>
      </w:r>
      <w:r>
        <w:rPr>
          <w:spacing w:val="-14"/>
        </w:rPr>
        <w:t xml:space="preserve"> </w:t>
      </w:r>
      <w:r>
        <w:t>consistent</w:t>
      </w:r>
      <w:r>
        <w:rPr>
          <w:spacing w:val="-14"/>
        </w:rPr>
        <w:t xml:space="preserve"> </w:t>
      </w:r>
      <w:r>
        <w:t>with</w:t>
      </w:r>
      <w:r>
        <w:rPr>
          <w:spacing w:val="-14"/>
        </w:rPr>
        <w:t xml:space="preserve"> </w:t>
      </w:r>
      <w:r>
        <w:t>the Commission</w:t>
      </w:r>
      <w:r>
        <w:rPr>
          <w:spacing w:val="-14"/>
        </w:rPr>
        <w:t xml:space="preserve"> </w:t>
      </w:r>
      <w:r>
        <w:t>of</w:t>
      </w:r>
      <w:r>
        <w:rPr>
          <w:spacing w:val="-14"/>
        </w:rPr>
        <w:t xml:space="preserve"> </w:t>
      </w:r>
      <w:r>
        <w:t>Audit</w:t>
      </w:r>
      <w:r>
        <w:rPr>
          <w:spacing w:val="-14"/>
        </w:rPr>
        <w:t xml:space="preserve"> </w:t>
      </w:r>
      <w:r>
        <w:t>recommendations</w:t>
      </w:r>
      <w:r>
        <w:rPr>
          <w:spacing w:val="-14"/>
        </w:rPr>
        <w:t xml:space="preserve"> </w:t>
      </w:r>
      <w:r>
        <w:t>for</w:t>
      </w:r>
      <w:r>
        <w:rPr>
          <w:spacing w:val="-14"/>
        </w:rPr>
        <w:t xml:space="preserve"> </w:t>
      </w:r>
      <w:r>
        <w:t>greater devolution and efficiency.</w:t>
      </w:r>
    </w:p>
    <w:p w:rsidR="002C1123" w:rsidRDefault="00F22F94">
      <w:pPr>
        <w:pStyle w:val="Heading6"/>
        <w:numPr>
          <w:ilvl w:val="2"/>
          <w:numId w:val="39"/>
        </w:numPr>
        <w:tabs>
          <w:tab w:val="left" w:pos="1087"/>
        </w:tabs>
        <w:spacing w:before="146"/>
        <w:ind w:left="1086"/>
        <w:jc w:val="both"/>
      </w:pPr>
      <w:r>
        <w:rPr>
          <w:color w:val="00AEEF"/>
        </w:rPr>
        <w:t>Meeting</w:t>
      </w:r>
      <w:r>
        <w:rPr>
          <w:color w:val="00AEEF"/>
          <w:spacing w:val="-8"/>
        </w:rPr>
        <w:t xml:space="preserve"> </w:t>
      </w:r>
      <w:r>
        <w:rPr>
          <w:color w:val="00AEEF"/>
          <w:spacing w:val="-2"/>
        </w:rPr>
        <w:t>demand</w:t>
      </w:r>
    </w:p>
    <w:p w:rsidR="002C1123" w:rsidRDefault="00F22F94">
      <w:pPr>
        <w:pStyle w:val="BodyText"/>
        <w:spacing w:before="95" w:line="249" w:lineRule="auto"/>
        <w:ind w:left="492" w:right="323"/>
        <w:jc w:val="both"/>
      </w:pPr>
      <w:r>
        <w:rPr>
          <w:w w:val="95"/>
        </w:rPr>
        <w:t>Infrastructure NSW recommends a new approach to accommodating more students through greater use of</w:t>
      </w:r>
      <w:r>
        <w:rPr>
          <w:spacing w:val="-5"/>
          <w:w w:val="95"/>
        </w:rPr>
        <w:t xml:space="preserve"> </w:t>
      </w:r>
      <w:r>
        <w:rPr>
          <w:w w:val="95"/>
        </w:rPr>
        <w:t>existing</w:t>
      </w:r>
      <w:r>
        <w:rPr>
          <w:spacing w:val="-5"/>
          <w:w w:val="95"/>
        </w:rPr>
        <w:t xml:space="preserve"> </w:t>
      </w:r>
      <w:r>
        <w:rPr>
          <w:w w:val="95"/>
        </w:rPr>
        <w:t>assets.</w:t>
      </w:r>
      <w:r>
        <w:rPr>
          <w:spacing w:val="-5"/>
          <w:w w:val="95"/>
        </w:rPr>
        <w:t xml:space="preserve"> </w:t>
      </w:r>
      <w:r>
        <w:rPr>
          <w:w w:val="95"/>
        </w:rPr>
        <w:t>90</w:t>
      </w:r>
      <w:r>
        <w:rPr>
          <w:spacing w:val="-5"/>
          <w:w w:val="95"/>
        </w:rPr>
        <w:t xml:space="preserve"> </w:t>
      </w:r>
      <w:r>
        <w:rPr>
          <w:w w:val="95"/>
        </w:rPr>
        <w:t>percent</w:t>
      </w:r>
      <w:r>
        <w:rPr>
          <w:spacing w:val="-5"/>
          <w:w w:val="95"/>
        </w:rPr>
        <w:t xml:space="preserve"> </w:t>
      </w:r>
      <w:r>
        <w:rPr>
          <w:w w:val="95"/>
        </w:rPr>
        <w:t>of</w:t>
      </w:r>
      <w:r>
        <w:rPr>
          <w:spacing w:val="-5"/>
          <w:w w:val="95"/>
        </w:rPr>
        <w:t xml:space="preserve"> </w:t>
      </w:r>
      <w:r>
        <w:rPr>
          <w:w w:val="95"/>
        </w:rPr>
        <w:t>new</w:t>
      </w:r>
      <w:r>
        <w:rPr>
          <w:spacing w:val="-5"/>
          <w:w w:val="95"/>
        </w:rPr>
        <w:t xml:space="preserve"> </w:t>
      </w:r>
      <w:r>
        <w:rPr>
          <w:w w:val="95"/>
        </w:rPr>
        <w:t>students</w:t>
      </w:r>
      <w:r>
        <w:rPr>
          <w:spacing w:val="-5"/>
          <w:w w:val="95"/>
        </w:rPr>
        <w:t xml:space="preserve"> </w:t>
      </w:r>
      <w:r>
        <w:rPr>
          <w:w w:val="95"/>
        </w:rPr>
        <w:t>will</w:t>
      </w:r>
      <w:r>
        <w:rPr>
          <w:spacing w:val="-4"/>
          <w:w w:val="95"/>
        </w:rPr>
        <w:t xml:space="preserve"> </w:t>
      </w:r>
      <w:r>
        <w:rPr>
          <w:spacing w:val="-5"/>
          <w:w w:val="95"/>
        </w:rPr>
        <w:t>be</w:t>
      </w:r>
    </w:p>
    <w:p w:rsidR="002C1123" w:rsidRDefault="00F22F94">
      <w:pPr>
        <w:pStyle w:val="BodyText"/>
        <w:spacing w:before="2"/>
        <w:ind w:left="492"/>
        <w:jc w:val="both"/>
      </w:pPr>
      <w:r>
        <w:rPr>
          <w:w w:val="95"/>
        </w:rPr>
        <w:t>accommodated</w:t>
      </w:r>
      <w:r>
        <w:rPr>
          <w:spacing w:val="-1"/>
        </w:rPr>
        <w:t xml:space="preserve"> </w:t>
      </w:r>
      <w:r>
        <w:rPr>
          <w:w w:val="95"/>
        </w:rPr>
        <w:t>by</w:t>
      </w:r>
      <w:r>
        <w:rPr>
          <w:spacing w:val="-1"/>
        </w:rPr>
        <w:t xml:space="preserve"> </w:t>
      </w:r>
      <w:r>
        <w:rPr>
          <w:w w:val="95"/>
        </w:rPr>
        <w:t>expanding</w:t>
      </w:r>
      <w:r>
        <w:t xml:space="preserve"> </w:t>
      </w:r>
      <w:r>
        <w:rPr>
          <w:w w:val="95"/>
        </w:rPr>
        <w:t>existing</w:t>
      </w:r>
      <w:r>
        <w:rPr>
          <w:spacing w:val="-1"/>
        </w:rPr>
        <w:t xml:space="preserve"> </w:t>
      </w:r>
      <w:r>
        <w:rPr>
          <w:w w:val="95"/>
        </w:rPr>
        <w:t>schools.</w:t>
      </w:r>
      <w:r>
        <w:rPr>
          <w:spacing w:val="-1"/>
        </w:rPr>
        <w:t xml:space="preserve"> </w:t>
      </w:r>
      <w:r>
        <w:rPr>
          <w:w w:val="95"/>
        </w:rPr>
        <w:t>This</w:t>
      </w:r>
      <w:r>
        <w:t xml:space="preserve"> </w:t>
      </w:r>
      <w:r>
        <w:rPr>
          <w:spacing w:val="-5"/>
          <w:w w:val="95"/>
        </w:rPr>
        <w:t>has</w:t>
      </w:r>
    </w:p>
    <w:p w:rsidR="002C1123" w:rsidRDefault="00F22F94">
      <w:pPr>
        <w:pStyle w:val="BodyText"/>
        <w:spacing w:before="108" w:line="249" w:lineRule="auto"/>
        <w:ind w:left="233"/>
      </w:pPr>
      <w:r>
        <w:br w:type="column"/>
      </w:r>
      <w:r>
        <w:t>the</w:t>
      </w:r>
      <w:r>
        <w:rPr>
          <w:spacing w:val="-8"/>
        </w:rPr>
        <w:t xml:space="preserve"> </w:t>
      </w:r>
      <w:r>
        <w:t>potential</w:t>
      </w:r>
      <w:r>
        <w:rPr>
          <w:spacing w:val="-8"/>
        </w:rPr>
        <w:t xml:space="preserve"> </w:t>
      </w:r>
      <w:r>
        <w:t>to</w:t>
      </w:r>
      <w:r>
        <w:rPr>
          <w:spacing w:val="-8"/>
        </w:rPr>
        <w:t xml:space="preserve"> </w:t>
      </w:r>
      <w:r>
        <w:t>lower</w:t>
      </w:r>
      <w:r>
        <w:rPr>
          <w:spacing w:val="-8"/>
        </w:rPr>
        <w:t xml:space="preserve"> </w:t>
      </w:r>
      <w:r>
        <w:t>the</w:t>
      </w:r>
      <w:r>
        <w:rPr>
          <w:spacing w:val="-8"/>
        </w:rPr>
        <w:t xml:space="preserve"> </w:t>
      </w:r>
      <w:r>
        <w:t>capital</w:t>
      </w:r>
      <w:r>
        <w:rPr>
          <w:spacing w:val="-8"/>
        </w:rPr>
        <w:t xml:space="preserve"> </w:t>
      </w:r>
      <w:r>
        <w:t>cost</w:t>
      </w:r>
      <w:r>
        <w:rPr>
          <w:spacing w:val="-8"/>
        </w:rPr>
        <w:t xml:space="preserve"> </w:t>
      </w:r>
      <w:r>
        <w:t>per</w:t>
      </w:r>
      <w:r>
        <w:rPr>
          <w:spacing w:val="-8"/>
        </w:rPr>
        <w:t xml:space="preserve"> </w:t>
      </w:r>
      <w:r>
        <w:t>student</w:t>
      </w:r>
      <w:r>
        <w:rPr>
          <w:spacing w:val="-8"/>
        </w:rPr>
        <w:t xml:space="preserve"> </w:t>
      </w:r>
      <w:r>
        <w:t xml:space="preserve">and </w:t>
      </w:r>
      <w:r>
        <w:rPr>
          <w:w w:val="95"/>
        </w:rPr>
        <w:t>improves</w:t>
      </w:r>
      <w:r>
        <w:rPr>
          <w:spacing w:val="-1"/>
          <w:w w:val="95"/>
        </w:rPr>
        <w:t xml:space="preserve"> </w:t>
      </w:r>
      <w:r>
        <w:rPr>
          <w:w w:val="95"/>
        </w:rPr>
        <w:t>educational</w:t>
      </w:r>
      <w:r>
        <w:rPr>
          <w:spacing w:val="-1"/>
          <w:w w:val="95"/>
        </w:rPr>
        <w:t xml:space="preserve"> </w:t>
      </w:r>
      <w:r>
        <w:rPr>
          <w:w w:val="95"/>
        </w:rPr>
        <w:t>outcomes,</w:t>
      </w:r>
      <w:r>
        <w:rPr>
          <w:spacing w:val="-1"/>
          <w:w w:val="95"/>
        </w:rPr>
        <w:t xml:space="preserve"> </w:t>
      </w:r>
      <w:r>
        <w:rPr>
          <w:w w:val="95"/>
        </w:rPr>
        <w:t>as</w:t>
      </w:r>
      <w:r>
        <w:rPr>
          <w:spacing w:val="-1"/>
          <w:w w:val="95"/>
        </w:rPr>
        <w:t xml:space="preserve"> </w:t>
      </w:r>
      <w:r>
        <w:rPr>
          <w:w w:val="95"/>
        </w:rPr>
        <w:t>research</w:t>
      </w:r>
      <w:r>
        <w:rPr>
          <w:spacing w:val="-1"/>
          <w:w w:val="95"/>
        </w:rPr>
        <w:t xml:space="preserve"> </w:t>
      </w:r>
      <w:r>
        <w:rPr>
          <w:w w:val="95"/>
        </w:rPr>
        <w:t>has</w:t>
      </w:r>
      <w:r>
        <w:rPr>
          <w:spacing w:val="-1"/>
          <w:w w:val="95"/>
        </w:rPr>
        <w:t xml:space="preserve"> </w:t>
      </w:r>
      <w:r>
        <w:rPr>
          <w:w w:val="95"/>
        </w:rPr>
        <w:t xml:space="preserve">shown </w:t>
      </w:r>
      <w:r>
        <w:rPr>
          <w:spacing w:val="-2"/>
        </w:rPr>
        <w:t>that</w:t>
      </w:r>
      <w:r>
        <w:rPr>
          <w:spacing w:val="-7"/>
        </w:rPr>
        <w:t xml:space="preserve"> </w:t>
      </w:r>
      <w:r>
        <w:rPr>
          <w:spacing w:val="-2"/>
        </w:rPr>
        <w:t>larger</w:t>
      </w:r>
      <w:r>
        <w:rPr>
          <w:spacing w:val="-7"/>
        </w:rPr>
        <w:t xml:space="preserve"> </w:t>
      </w:r>
      <w:r>
        <w:rPr>
          <w:spacing w:val="-2"/>
        </w:rPr>
        <w:t>schools</w:t>
      </w:r>
      <w:r>
        <w:rPr>
          <w:spacing w:val="-7"/>
        </w:rPr>
        <w:t xml:space="preserve"> </w:t>
      </w:r>
      <w:r>
        <w:rPr>
          <w:spacing w:val="-2"/>
        </w:rPr>
        <w:t>achieve</w:t>
      </w:r>
      <w:r>
        <w:rPr>
          <w:spacing w:val="-7"/>
        </w:rPr>
        <w:t xml:space="preserve"> </w:t>
      </w:r>
      <w:r>
        <w:rPr>
          <w:spacing w:val="-2"/>
        </w:rPr>
        <w:t>higher</w:t>
      </w:r>
      <w:r>
        <w:rPr>
          <w:spacing w:val="-7"/>
        </w:rPr>
        <w:t xml:space="preserve"> </w:t>
      </w:r>
      <w:r>
        <w:rPr>
          <w:spacing w:val="-2"/>
        </w:rPr>
        <w:t>results</w:t>
      </w:r>
      <w:r>
        <w:rPr>
          <w:spacing w:val="-7"/>
        </w:rPr>
        <w:t xml:space="preserve"> </w:t>
      </w:r>
      <w:r>
        <w:rPr>
          <w:spacing w:val="-2"/>
        </w:rPr>
        <w:t>on</w:t>
      </w:r>
      <w:r>
        <w:rPr>
          <w:spacing w:val="-7"/>
        </w:rPr>
        <w:t xml:space="preserve"> </w:t>
      </w:r>
      <w:r>
        <w:rPr>
          <w:spacing w:val="-2"/>
        </w:rPr>
        <w:t>average.</w:t>
      </w:r>
    </w:p>
    <w:p w:rsidR="002C1123" w:rsidRDefault="00F22F94">
      <w:pPr>
        <w:pStyle w:val="BodyText"/>
        <w:spacing w:before="144" w:line="249" w:lineRule="auto"/>
        <w:ind w:left="233"/>
      </w:pPr>
      <w:r>
        <w:rPr>
          <w:w w:val="95"/>
        </w:rPr>
        <w:t>However,</w:t>
      </w:r>
      <w:r>
        <w:rPr>
          <w:spacing w:val="-6"/>
          <w:w w:val="95"/>
        </w:rPr>
        <w:t xml:space="preserve"> </w:t>
      </w:r>
      <w:r>
        <w:rPr>
          <w:w w:val="95"/>
        </w:rPr>
        <w:t>29</w:t>
      </w:r>
      <w:r>
        <w:rPr>
          <w:spacing w:val="-6"/>
          <w:w w:val="95"/>
        </w:rPr>
        <w:t xml:space="preserve"> </w:t>
      </w:r>
      <w:r>
        <w:rPr>
          <w:w w:val="95"/>
        </w:rPr>
        <w:t>new</w:t>
      </w:r>
      <w:r>
        <w:rPr>
          <w:spacing w:val="-6"/>
          <w:w w:val="95"/>
        </w:rPr>
        <w:t xml:space="preserve"> </w:t>
      </w:r>
      <w:r>
        <w:rPr>
          <w:w w:val="95"/>
        </w:rPr>
        <w:t>schools</w:t>
      </w:r>
      <w:r>
        <w:rPr>
          <w:spacing w:val="-6"/>
          <w:w w:val="95"/>
        </w:rPr>
        <w:t xml:space="preserve"> </w:t>
      </w:r>
      <w:r>
        <w:rPr>
          <w:w w:val="95"/>
        </w:rPr>
        <w:t>are</w:t>
      </w:r>
      <w:r>
        <w:rPr>
          <w:spacing w:val="-6"/>
          <w:w w:val="95"/>
        </w:rPr>
        <w:t xml:space="preserve"> </w:t>
      </w:r>
      <w:r>
        <w:rPr>
          <w:w w:val="95"/>
        </w:rPr>
        <w:t>expected</w:t>
      </w:r>
      <w:r>
        <w:rPr>
          <w:spacing w:val="-6"/>
          <w:w w:val="95"/>
        </w:rPr>
        <w:t xml:space="preserve"> </w:t>
      </w:r>
      <w:r>
        <w:rPr>
          <w:w w:val="95"/>
        </w:rPr>
        <w:t>to</w:t>
      </w:r>
      <w:r>
        <w:rPr>
          <w:spacing w:val="-6"/>
          <w:w w:val="95"/>
        </w:rPr>
        <w:t xml:space="preserve"> </w:t>
      </w:r>
      <w:r>
        <w:rPr>
          <w:w w:val="95"/>
        </w:rPr>
        <w:t>be</w:t>
      </w:r>
      <w:r>
        <w:rPr>
          <w:spacing w:val="-6"/>
          <w:w w:val="95"/>
        </w:rPr>
        <w:t xml:space="preserve"> </w:t>
      </w:r>
      <w:r>
        <w:rPr>
          <w:w w:val="95"/>
        </w:rPr>
        <w:t>built,</w:t>
      </w:r>
      <w:r>
        <w:rPr>
          <w:spacing w:val="-6"/>
          <w:w w:val="95"/>
        </w:rPr>
        <w:t xml:space="preserve"> </w:t>
      </w:r>
      <w:r>
        <w:rPr>
          <w:w w:val="95"/>
        </w:rPr>
        <w:t>in</w:t>
      </w:r>
      <w:r>
        <w:rPr>
          <w:spacing w:val="-6"/>
          <w:w w:val="95"/>
        </w:rPr>
        <w:t xml:space="preserve"> </w:t>
      </w:r>
      <w:r>
        <w:rPr>
          <w:w w:val="95"/>
        </w:rPr>
        <w:t>the next</w:t>
      </w:r>
      <w:r>
        <w:rPr>
          <w:spacing w:val="-1"/>
          <w:w w:val="95"/>
        </w:rPr>
        <w:t xml:space="preserve"> </w:t>
      </w:r>
      <w:r>
        <w:rPr>
          <w:w w:val="95"/>
        </w:rPr>
        <w:t>10</w:t>
      </w:r>
      <w:r>
        <w:rPr>
          <w:spacing w:val="-1"/>
          <w:w w:val="95"/>
        </w:rPr>
        <w:t xml:space="preserve"> </w:t>
      </w:r>
      <w:r>
        <w:rPr>
          <w:w w:val="95"/>
        </w:rPr>
        <w:t>years,</w:t>
      </w:r>
      <w:r>
        <w:rPr>
          <w:spacing w:val="-1"/>
          <w:w w:val="95"/>
        </w:rPr>
        <w:t xml:space="preserve"> </w:t>
      </w:r>
      <w:r>
        <w:rPr>
          <w:w w:val="95"/>
        </w:rPr>
        <w:t>subject</w:t>
      </w:r>
      <w:r>
        <w:rPr>
          <w:spacing w:val="-1"/>
          <w:w w:val="95"/>
        </w:rPr>
        <w:t xml:space="preserve"> </w:t>
      </w:r>
      <w:r>
        <w:rPr>
          <w:w w:val="95"/>
        </w:rPr>
        <w:t>to</w:t>
      </w:r>
      <w:r>
        <w:rPr>
          <w:spacing w:val="-1"/>
          <w:w w:val="95"/>
        </w:rPr>
        <w:t xml:space="preserve"> </w:t>
      </w:r>
      <w:r>
        <w:rPr>
          <w:w w:val="95"/>
        </w:rPr>
        <w:t>location</w:t>
      </w:r>
      <w:r>
        <w:rPr>
          <w:spacing w:val="-1"/>
          <w:w w:val="95"/>
        </w:rPr>
        <w:t xml:space="preserve"> </w:t>
      </w:r>
      <w:r>
        <w:rPr>
          <w:w w:val="95"/>
        </w:rPr>
        <w:t>reviews</w:t>
      </w:r>
      <w:r>
        <w:rPr>
          <w:spacing w:val="-1"/>
          <w:w w:val="95"/>
        </w:rPr>
        <w:t xml:space="preserve"> </w:t>
      </w:r>
      <w:r>
        <w:rPr>
          <w:w w:val="95"/>
        </w:rPr>
        <w:t>in</w:t>
      </w:r>
      <w:r>
        <w:rPr>
          <w:spacing w:val="-1"/>
          <w:w w:val="95"/>
        </w:rPr>
        <w:t xml:space="preserve"> </w:t>
      </w:r>
      <w:r>
        <w:rPr>
          <w:w w:val="95"/>
        </w:rPr>
        <w:t>due</w:t>
      </w:r>
      <w:r>
        <w:rPr>
          <w:spacing w:val="-1"/>
          <w:w w:val="95"/>
        </w:rPr>
        <w:t xml:space="preserve"> </w:t>
      </w:r>
      <w:r>
        <w:rPr>
          <w:w w:val="95"/>
        </w:rPr>
        <w:t xml:space="preserve">course. </w:t>
      </w:r>
      <w:r>
        <w:t>The</w:t>
      </w:r>
      <w:r>
        <w:rPr>
          <w:spacing w:val="-1"/>
        </w:rPr>
        <w:t xml:space="preserve"> </w:t>
      </w:r>
      <w:r>
        <w:t>proposed</w:t>
      </w:r>
      <w:r>
        <w:rPr>
          <w:spacing w:val="-1"/>
        </w:rPr>
        <w:t xml:space="preserve"> </w:t>
      </w:r>
      <w:r>
        <w:t>new</w:t>
      </w:r>
      <w:r>
        <w:rPr>
          <w:spacing w:val="-1"/>
        </w:rPr>
        <w:t xml:space="preserve"> </w:t>
      </w:r>
      <w:r>
        <w:t>schools</w:t>
      </w:r>
      <w:r>
        <w:rPr>
          <w:spacing w:val="-1"/>
        </w:rPr>
        <w:t xml:space="preserve"> </w:t>
      </w:r>
      <w:r>
        <w:t>and</w:t>
      </w:r>
      <w:r>
        <w:rPr>
          <w:spacing w:val="-1"/>
        </w:rPr>
        <w:t xml:space="preserve"> </w:t>
      </w:r>
      <w:r>
        <w:t>the</w:t>
      </w:r>
      <w:r>
        <w:rPr>
          <w:spacing w:val="-1"/>
        </w:rPr>
        <w:t xml:space="preserve"> </w:t>
      </w:r>
      <w:r>
        <w:t>demographic trends</w:t>
      </w:r>
      <w:r>
        <w:rPr>
          <w:spacing w:val="-14"/>
        </w:rPr>
        <w:t xml:space="preserve"> </w:t>
      </w:r>
      <w:r>
        <w:t>in</w:t>
      </w:r>
      <w:r>
        <w:rPr>
          <w:spacing w:val="-14"/>
        </w:rPr>
        <w:t xml:space="preserve"> </w:t>
      </w:r>
      <w:r>
        <w:t>each</w:t>
      </w:r>
      <w:r>
        <w:rPr>
          <w:spacing w:val="-14"/>
        </w:rPr>
        <w:t xml:space="preserve"> </w:t>
      </w:r>
      <w:r>
        <w:t>region</w:t>
      </w:r>
      <w:r>
        <w:rPr>
          <w:spacing w:val="-14"/>
        </w:rPr>
        <w:t xml:space="preserve"> </w:t>
      </w:r>
      <w:r>
        <w:t>as</w:t>
      </w:r>
      <w:r>
        <w:rPr>
          <w:spacing w:val="-14"/>
        </w:rPr>
        <w:t xml:space="preserve"> </w:t>
      </w:r>
      <w:r>
        <w:t>shown</w:t>
      </w:r>
      <w:r>
        <w:rPr>
          <w:spacing w:val="-14"/>
        </w:rPr>
        <w:t xml:space="preserve"> </w:t>
      </w:r>
      <w:r>
        <w:t>in</w:t>
      </w:r>
      <w:r>
        <w:rPr>
          <w:spacing w:val="-13"/>
        </w:rPr>
        <w:t xml:space="preserve"> </w:t>
      </w:r>
      <w:r>
        <w:t>Figure</w:t>
      </w:r>
      <w:r>
        <w:rPr>
          <w:spacing w:val="-14"/>
        </w:rPr>
        <w:t xml:space="preserve"> </w:t>
      </w:r>
      <w:r>
        <w:t>14.4</w:t>
      </w:r>
    </w:p>
    <w:p w:rsidR="002C1123" w:rsidRDefault="00F22F94">
      <w:pPr>
        <w:pStyle w:val="BodyText"/>
        <w:spacing w:before="3" w:line="249" w:lineRule="auto"/>
        <w:ind w:left="233"/>
      </w:pPr>
      <w:r>
        <w:rPr>
          <w:w w:val="95"/>
        </w:rPr>
        <w:t>(note:</w:t>
      </w:r>
      <w:r>
        <w:rPr>
          <w:spacing w:val="-8"/>
          <w:w w:val="95"/>
        </w:rPr>
        <w:t xml:space="preserve"> </w:t>
      </w:r>
      <w:r>
        <w:rPr>
          <w:w w:val="95"/>
        </w:rPr>
        <w:t>some</w:t>
      </w:r>
      <w:r>
        <w:rPr>
          <w:spacing w:val="-8"/>
          <w:w w:val="95"/>
        </w:rPr>
        <w:t xml:space="preserve"> </w:t>
      </w:r>
      <w:r>
        <w:rPr>
          <w:w w:val="95"/>
        </w:rPr>
        <w:t>of</w:t>
      </w:r>
      <w:r>
        <w:rPr>
          <w:spacing w:val="-8"/>
          <w:w w:val="95"/>
        </w:rPr>
        <w:t xml:space="preserve"> </w:t>
      </w:r>
      <w:r>
        <w:rPr>
          <w:w w:val="95"/>
        </w:rPr>
        <w:t>these</w:t>
      </w:r>
      <w:r>
        <w:rPr>
          <w:spacing w:val="-8"/>
          <w:w w:val="95"/>
        </w:rPr>
        <w:t xml:space="preserve"> </w:t>
      </w:r>
      <w:r>
        <w:rPr>
          <w:w w:val="95"/>
        </w:rPr>
        <w:t>projects</w:t>
      </w:r>
      <w:r>
        <w:rPr>
          <w:spacing w:val="-8"/>
          <w:w w:val="95"/>
        </w:rPr>
        <w:t xml:space="preserve"> </w:t>
      </w:r>
      <w:r>
        <w:rPr>
          <w:w w:val="95"/>
        </w:rPr>
        <w:t>are</w:t>
      </w:r>
      <w:r>
        <w:rPr>
          <w:spacing w:val="-8"/>
          <w:w w:val="95"/>
        </w:rPr>
        <w:t xml:space="preserve"> </w:t>
      </w:r>
      <w:r>
        <w:rPr>
          <w:w w:val="95"/>
        </w:rPr>
        <w:t>yet</w:t>
      </w:r>
      <w:r>
        <w:rPr>
          <w:spacing w:val="-8"/>
          <w:w w:val="95"/>
        </w:rPr>
        <w:t xml:space="preserve"> </w:t>
      </w:r>
      <w:r>
        <w:rPr>
          <w:w w:val="95"/>
        </w:rPr>
        <w:t>to</w:t>
      </w:r>
      <w:r>
        <w:rPr>
          <w:spacing w:val="-8"/>
          <w:w w:val="95"/>
        </w:rPr>
        <w:t xml:space="preserve"> </w:t>
      </w:r>
      <w:r>
        <w:rPr>
          <w:w w:val="95"/>
        </w:rPr>
        <w:t>be</w:t>
      </w:r>
      <w:r>
        <w:rPr>
          <w:spacing w:val="-8"/>
          <w:w w:val="95"/>
        </w:rPr>
        <w:t xml:space="preserve"> </w:t>
      </w:r>
      <w:r>
        <w:rPr>
          <w:w w:val="95"/>
        </w:rPr>
        <w:t>assessed</w:t>
      </w:r>
      <w:r>
        <w:rPr>
          <w:spacing w:val="-8"/>
          <w:w w:val="95"/>
        </w:rPr>
        <w:t xml:space="preserve"> </w:t>
      </w:r>
      <w:r>
        <w:rPr>
          <w:w w:val="95"/>
        </w:rPr>
        <w:t xml:space="preserve">or </w:t>
      </w:r>
      <w:r>
        <w:t>considered for funding).</w:t>
      </w:r>
    </w:p>
    <w:p w:rsidR="002C1123" w:rsidRDefault="00F22F94">
      <w:pPr>
        <w:pStyle w:val="BodyText"/>
        <w:spacing w:before="144" w:line="249" w:lineRule="auto"/>
        <w:ind w:left="233" w:right="262"/>
      </w:pPr>
      <w:r>
        <w:rPr>
          <w:w w:val="95"/>
        </w:rPr>
        <w:t xml:space="preserve">Accommodating 90 percent of students in existing </w:t>
      </w:r>
      <w:r>
        <w:t>schools</w:t>
      </w:r>
      <w:r>
        <w:rPr>
          <w:spacing w:val="-6"/>
        </w:rPr>
        <w:t xml:space="preserve"> </w:t>
      </w:r>
      <w:r>
        <w:t>will</w:t>
      </w:r>
      <w:r>
        <w:rPr>
          <w:spacing w:val="-6"/>
        </w:rPr>
        <w:t xml:space="preserve"> </w:t>
      </w:r>
      <w:r>
        <w:t>meet</w:t>
      </w:r>
      <w:r>
        <w:rPr>
          <w:spacing w:val="-6"/>
        </w:rPr>
        <w:t xml:space="preserve"> </w:t>
      </w:r>
      <w:r>
        <w:t>demand</w:t>
      </w:r>
      <w:r>
        <w:rPr>
          <w:spacing w:val="-6"/>
        </w:rPr>
        <w:t xml:space="preserve"> </w:t>
      </w:r>
      <w:r>
        <w:t>at</w:t>
      </w:r>
      <w:r>
        <w:rPr>
          <w:spacing w:val="-6"/>
        </w:rPr>
        <w:t xml:space="preserve"> </w:t>
      </w:r>
      <w:r>
        <w:t>a</w:t>
      </w:r>
      <w:r>
        <w:rPr>
          <w:spacing w:val="-6"/>
        </w:rPr>
        <w:t xml:space="preserve"> </w:t>
      </w:r>
      <w:r>
        <w:t>lower</w:t>
      </w:r>
      <w:r>
        <w:rPr>
          <w:spacing w:val="-6"/>
        </w:rPr>
        <w:t xml:space="preserve"> </w:t>
      </w:r>
      <w:r>
        <w:t>capital</w:t>
      </w:r>
      <w:r>
        <w:rPr>
          <w:spacing w:val="-6"/>
        </w:rPr>
        <w:t xml:space="preserve"> </w:t>
      </w:r>
      <w:r>
        <w:t xml:space="preserve">cost </w:t>
      </w:r>
      <w:r>
        <w:rPr>
          <w:w w:val="95"/>
        </w:rPr>
        <w:t>and</w:t>
      </w:r>
      <w:r>
        <w:rPr>
          <w:spacing w:val="-1"/>
          <w:w w:val="95"/>
        </w:rPr>
        <w:t xml:space="preserve"> </w:t>
      </w:r>
      <w:r>
        <w:rPr>
          <w:w w:val="95"/>
        </w:rPr>
        <w:t>will</w:t>
      </w:r>
      <w:r>
        <w:rPr>
          <w:spacing w:val="-1"/>
          <w:w w:val="95"/>
        </w:rPr>
        <w:t xml:space="preserve"> </w:t>
      </w:r>
      <w:r>
        <w:rPr>
          <w:w w:val="95"/>
        </w:rPr>
        <w:t>reduce</w:t>
      </w:r>
      <w:r>
        <w:rPr>
          <w:spacing w:val="-1"/>
          <w:w w:val="95"/>
        </w:rPr>
        <w:t xml:space="preserve"> </w:t>
      </w:r>
      <w:r>
        <w:rPr>
          <w:w w:val="95"/>
        </w:rPr>
        <w:t>operating</w:t>
      </w:r>
      <w:r>
        <w:rPr>
          <w:spacing w:val="-1"/>
          <w:w w:val="95"/>
        </w:rPr>
        <w:t xml:space="preserve"> </w:t>
      </w:r>
      <w:r>
        <w:rPr>
          <w:w w:val="95"/>
        </w:rPr>
        <w:t>costs</w:t>
      </w:r>
      <w:r>
        <w:rPr>
          <w:spacing w:val="-1"/>
          <w:w w:val="95"/>
        </w:rPr>
        <w:t xml:space="preserve"> </w:t>
      </w:r>
      <w:r>
        <w:rPr>
          <w:w w:val="95"/>
        </w:rPr>
        <w:t>over</w:t>
      </w:r>
      <w:r>
        <w:rPr>
          <w:spacing w:val="-1"/>
          <w:w w:val="95"/>
        </w:rPr>
        <w:t xml:space="preserve"> </w:t>
      </w:r>
      <w:r>
        <w:rPr>
          <w:w w:val="95"/>
        </w:rPr>
        <w:t>the</w:t>
      </w:r>
      <w:r>
        <w:rPr>
          <w:spacing w:val="-1"/>
          <w:w w:val="95"/>
        </w:rPr>
        <w:t xml:space="preserve"> </w:t>
      </w:r>
      <w:r>
        <w:rPr>
          <w:w w:val="95"/>
        </w:rPr>
        <w:t>long</w:t>
      </w:r>
      <w:r>
        <w:rPr>
          <w:spacing w:val="-1"/>
          <w:w w:val="95"/>
        </w:rPr>
        <w:t xml:space="preserve"> </w:t>
      </w:r>
      <w:r>
        <w:rPr>
          <w:w w:val="95"/>
        </w:rPr>
        <w:t xml:space="preserve">term. Larger schools can have advantages over smaller schools including providing greater subject choice, </w:t>
      </w:r>
      <w:r>
        <w:t>more</w:t>
      </w:r>
      <w:r>
        <w:rPr>
          <w:spacing w:val="-8"/>
        </w:rPr>
        <w:t xml:space="preserve"> </w:t>
      </w:r>
      <w:r>
        <w:t>extra-curricular</w:t>
      </w:r>
      <w:r>
        <w:rPr>
          <w:spacing w:val="-8"/>
        </w:rPr>
        <w:t xml:space="preserve"> </w:t>
      </w:r>
      <w:r>
        <w:t>activities,</w:t>
      </w:r>
      <w:r>
        <w:rPr>
          <w:spacing w:val="-8"/>
        </w:rPr>
        <w:t xml:space="preserve"> </w:t>
      </w:r>
      <w:r>
        <w:t>ability</w:t>
      </w:r>
      <w:r>
        <w:rPr>
          <w:spacing w:val="-8"/>
        </w:rPr>
        <w:t xml:space="preserve"> </w:t>
      </w:r>
      <w:r>
        <w:t>to</w:t>
      </w:r>
      <w:r>
        <w:rPr>
          <w:spacing w:val="-8"/>
        </w:rPr>
        <w:t xml:space="preserve"> </w:t>
      </w:r>
      <w:r>
        <w:t>attract</w:t>
      </w:r>
    </w:p>
    <w:p w:rsidR="002C1123" w:rsidRDefault="00F22F94">
      <w:pPr>
        <w:pStyle w:val="BodyText"/>
        <w:spacing w:before="5" w:line="249" w:lineRule="auto"/>
        <w:ind w:left="233"/>
      </w:pPr>
      <w:r>
        <w:rPr>
          <w:w w:val="95"/>
        </w:rPr>
        <w:t xml:space="preserve">experienced, quality teachers and capacity to provide </w:t>
      </w:r>
      <w:r>
        <w:t>more</w:t>
      </w:r>
      <w:r>
        <w:rPr>
          <w:spacing w:val="-6"/>
        </w:rPr>
        <w:t xml:space="preserve"> </w:t>
      </w:r>
      <w:r>
        <w:t>specialised</w:t>
      </w:r>
      <w:r>
        <w:rPr>
          <w:spacing w:val="-6"/>
        </w:rPr>
        <w:t xml:space="preserve"> </w:t>
      </w:r>
      <w:r>
        <w:t>infrastructure</w:t>
      </w:r>
      <w:r>
        <w:rPr>
          <w:spacing w:val="-6"/>
        </w:rPr>
        <w:t xml:space="preserve"> </w:t>
      </w:r>
      <w:r>
        <w:t>and</w:t>
      </w:r>
      <w:r>
        <w:rPr>
          <w:spacing w:val="-6"/>
        </w:rPr>
        <w:t xml:space="preserve"> </w:t>
      </w:r>
      <w:r>
        <w:t>equipment.</w:t>
      </w:r>
    </w:p>
    <w:p w:rsidR="002C1123" w:rsidRDefault="00F22F94">
      <w:pPr>
        <w:pStyle w:val="BodyText"/>
        <w:spacing w:before="1" w:line="249" w:lineRule="auto"/>
        <w:ind w:left="233" w:right="262"/>
      </w:pPr>
      <w:r>
        <w:t>However,</w:t>
      </w:r>
      <w:r>
        <w:rPr>
          <w:spacing w:val="-13"/>
        </w:rPr>
        <w:t xml:space="preserve"> </w:t>
      </w:r>
      <w:r>
        <w:t>expanding</w:t>
      </w:r>
      <w:r>
        <w:rPr>
          <w:spacing w:val="-13"/>
        </w:rPr>
        <w:t xml:space="preserve"> </w:t>
      </w:r>
      <w:r>
        <w:t>existing</w:t>
      </w:r>
      <w:r>
        <w:rPr>
          <w:spacing w:val="-13"/>
        </w:rPr>
        <w:t xml:space="preserve"> </w:t>
      </w:r>
      <w:r>
        <w:t>schools</w:t>
      </w:r>
      <w:r>
        <w:rPr>
          <w:spacing w:val="-13"/>
        </w:rPr>
        <w:t xml:space="preserve"> </w:t>
      </w:r>
      <w:r>
        <w:t>in</w:t>
      </w:r>
      <w:r>
        <w:rPr>
          <w:spacing w:val="-13"/>
        </w:rPr>
        <w:t xml:space="preserve"> </w:t>
      </w:r>
      <w:r>
        <w:t>built</w:t>
      </w:r>
      <w:r>
        <w:rPr>
          <w:spacing w:val="-13"/>
        </w:rPr>
        <w:t xml:space="preserve"> </w:t>
      </w:r>
      <w:r>
        <w:t xml:space="preserve">up </w:t>
      </w:r>
      <w:r>
        <w:rPr>
          <w:spacing w:val="-2"/>
        </w:rPr>
        <w:t>areas</w:t>
      </w:r>
      <w:r>
        <w:rPr>
          <w:spacing w:val="-6"/>
        </w:rPr>
        <w:t xml:space="preserve"> </w:t>
      </w:r>
      <w:r>
        <w:rPr>
          <w:spacing w:val="-2"/>
        </w:rPr>
        <w:t>including</w:t>
      </w:r>
      <w:r>
        <w:rPr>
          <w:spacing w:val="-6"/>
        </w:rPr>
        <w:t xml:space="preserve"> </w:t>
      </w:r>
      <w:r>
        <w:rPr>
          <w:spacing w:val="-2"/>
        </w:rPr>
        <w:t>large</w:t>
      </w:r>
      <w:r>
        <w:rPr>
          <w:spacing w:val="-6"/>
        </w:rPr>
        <w:t xml:space="preserve"> </w:t>
      </w:r>
      <w:r>
        <w:rPr>
          <w:spacing w:val="-2"/>
        </w:rPr>
        <w:t>infill</w:t>
      </w:r>
      <w:r>
        <w:rPr>
          <w:spacing w:val="-6"/>
        </w:rPr>
        <w:t xml:space="preserve"> </w:t>
      </w:r>
      <w:r>
        <w:rPr>
          <w:spacing w:val="-2"/>
        </w:rPr>
        <w:t>developments</w:t>
      </w:r>
      <w:r>
        <w:rPr>
          <w:spacing w:val="-6"/>
        </w:rPr>
        <w:t xml:space="preserve"> </w:t>
      </w:r>
      <w:r>
        <w:rPr>
          <w:spacing w:val="-2"/>
        </w:rPr>
        <w:t>requires</w:t>
      </w:r>
      <w:r>
        <w:rPr>
          <w:spacing w:val="-6"/>
        </w:rPr>
        <w:t xml:space="preserve"> </w:t>
      </w:r>
      <w:r>
        <w:rPr>
          <w:spacing w:val="-2"/>
        </w:rPr>
        <w:t xml:space="preserve">a </w:t>
      </w:r>
      <w:r>
        <w:rPr>
          <w:w w:val="95"/>
        </w:rPr>
        <w:t xml:space="preserve">new approach and a “Brownfield Partnership” model </w:t>
      </w:r>
      <w:r>
        <w:t>is</w:t>
      </w:r>
      <w:r>
        <w:rPr>
          <w:spacing w:val="-12"/>
        </w:rPr>
        <w:t xml:space="preserve"> </w:t>
      </w:r>
      <w:r>
        <w:t>being</w:t>
      </w:r>
      <w:r>
        <w:rPr>
          <w:spacing w:val="-12"/>
        </w:rPr>
        <w:t xml:space="preserve"> </w:t>
      </w:r>
      <w:r>
        <w:t>developed.</w:t>
      </w:r>
      <w:r>
        <w:rPr>
          <w:spacing w:val="-12"/>
        </w:rPr>
        <w:t xml:space="preserve"> </w:t>
      </w:r>
      <w:r>
        <w:t>The</w:t>
      </w:r>
      <w:r>
        <w:rPr>
          <w:spacing w:val="-12"/>
        </w:rPr>
        <w:t xml:space="preserve"> </w:t>
      </w:r>
      <w:r>
        <w:t>new</w:t>
      </w:r>
      <w:r>
        <w:rPr>
          <w:spacing w:val="-12"/>
        </w:rPr>
        <w:t xml:space="preserve"> </w:t>
      </w:r>
      <w:r>
        <w:t>approach</w:t>
      </w:r>
      <w:r>
        <w:rPr>
          <w:spacing w:val="-12"/>
        </w:rPr>
        <w:t xml:space="preserve"> </w:t>
      </w:r>
      <w:r>
        <w:t>involves</w:t>
      </w:r>
    </w:p>
    <w:p w:rsidR="002C1123" w:rsidRDefault="00F22F94">
      <w:pPr>
        <w:pStyle w:val="BodyText"/>
        <w:spacing w:before="4" w:line="249" w:lineRule="auto"/>
        <w:ind w:left="233" w:right="50"/>
      </w:pPr>
      <w:r>
        <w:rPr>
          <w:w w:val="95"/>
        </w:rPr>
        <w:t xml:space="preserve">partnerships with developers, local councils and greater </w:t>
      </w:r>
      <w:r>
        <w:t>co-ordination</w:t>
      </w:r>
      <w:r>
        <w:rPr>
          <w:spacing w:val="-12"/>
        </w:rPr>
        <w:t xml:space="preserve"> </w:t>
      </w:r>
      <w:r>
        <w:t>across</w:t>
      </w:r>
      <w:r>
        <w:rPr>
          <w:spacing w:val="-12"/>
        </w:rPr>
        <w:t xml:space="preserve"> </w:t>
      </w:r>
      <w:r>
        <w:t>Government</w:t>
      </w:r>
      <w:r>
        <w:rPr>
          <w:spacing w:val="-12"/>
        </w:rPr>
        <w:t xml:space="preserve"> </w:t>
      </w:r>
      <w:r>
        <w:t>and</w:t>
      </w:r>
      <w:r>
        <w:rPr>
          <w:spacing w:val="-12"/>
        </w:rPr>
        <w:t xml:space="preserve"> </w:t>
      </w:r>
      <w:r>
        <w:t>with</w:t>
      </w:r>
      <w:r>
        <w:rPr>
          <w:spacing w:val="-12"/>
        </w:rPr>
        <w:t xml:space="preserve"> </w:t>
      </w:r>
      <w:r>
        <w:t>the</w:t>
      </w:r>
      <w:r>
        <w:rPr>
          <w:spacing w:val="-12"/>
        </w:rPr>
        <w:t xml:space="preserve"> </w:t>
      </w:r>
      <w:r>
        <w:t>private education</w:t>
      </w:r>
      <w:r>
        <w:rPr>
          <w:spacing w:val="-11"/>
        </w:rPr>
        <w:t xml:space="preserve"> </w:t>
      </w:r>
      <w:r>
        <w:t>sector.</w:t>
      </w:r>
    </w:p>
    <w:p w:rsidR="002C1123" w:rsidRDefault="00F22F94">
      <w:pPr>
        <w:pStyle w:val="BodyText"/>
        <w:spacing w:before="144"/>
        <w:ind w:left="233"/>
      </w:pPr>
      <w:r>
        <w:rPr>
          <w:w w:val="95"/>
        </w:rPr>
        <w:t>These</w:t>
      </w:r>
      <w:r>
        <w:rPr>
          <w:spacing w:val="-5"/>
          <w:w w:val="95"/>
        </w:rPr>
        <w:t xml:space="preserve"> </w:t>
      </w:r>
      <w:r>
        <w:rPr>
          <w:w w:val="95"/>
        </w:rPr>
        <w:t>partnerships</w:t>
      </w:r>
      <w:r>
        <w:rPr>
          <w:spacing w:val="-5"/>
          <w:w w:val="95"/>
        </w:rPr>
        <w:t xml:space="preserve"> </w:t>
      </w:r>
      <w:r>
        <w:rPr>
          <w:w w:val="95"/>
        </w:rPr>
        <w:t>may</w:t>
      </w:r>
      <w:r>
        <w:rPr>
          <w:spacing w:val="-5"/>
          <w:w w:val="95"/>
        </w:rPr>
        <w:t xml:space="preserve"> </w:t>
      </w:r>
      <w:r>
        <w:rPr>
          <w:spacing w:val="-2"/>
          <w:w w:val="95"/>
        </w:rPr>
        <w:t>involve:</w:t>
      </w:r>
    </w:p>
    <w:p w:rsidR="002C1123" w:rsidRDefault="00F22F94">
      <w:pPr>
        <w:pStyle w:val="ListParagraph"/>
        <w:numPr>
          <w:ilvl w:val="3"/>
          <w:numId w:val="39"/>
        </w:numPr>
        <w:tabs>
          <w:tab w:val="left" w:pos="517"/>
        </w:tabs>
        <w:spacing w:before="139" w:line="249" w:lineRule="auto"/>
        <w:ind w:left="516" w:right="451"/>
        <w:rPr>
          <w:sz w:val="20"/>
        </w:rPr>
      </w:pPr>
      <w:r>
        <w:rPr>
          <w:sz w:val="20"/>
        </w:rPr>
        <w:t>Working</w:t>
      </w:r>
      <w:r>
        <w:rPr>
          <w:spacing w:val="-1"/>
          <w:sz w:val="20"/>
        </w:rPr>
        <w:t xml:space="preserve"> </w:t>
      </w:r>
      <w:r>
        <w:rPr>
          <w:sz w:val="20"/>
        </w:rPr>
        <w:t>with</w:t>
      </w:r>
      <w:r>
        <w:rPr>
          <w:spacing w:val="-1"/>
          <w:sz w:val="20"/>
        </w:rPr>
        <w:t xml:space="preserve"> </w:t>
      </w:r>
      <w:r>
        <w:rPr>
          <w:sz w:val="20"/>
        </w:rPr>
        <w:t>developers</w:t>
      </w:r>
      <w:r>
        <w:rPr>
          <w:spacing w:val="-1"/>
          <w:sz w:val="20"/>
        </w:rPr>
        <w:t xml:space="preserve"> </w:t>
      </w:r>
      <w:r>
        <w:rPr>
          <w:sz w:val="20"/>
        </w:rPr>
        <w:t>to</w:t>
      </w:r>
      <w:r>
        <w:rPr>
          <w:spacing w:val="-1"/>
          <w:sz w:val="20"/>
        </w:rPr>
        <w:t xml:space="preserve"> </w:t>
      </w:r>
      <w:r>
        <w:rPr>
          <w:sz w:val="20"/>
        </w:rPr>
        <w:t>expand</w:t>
      </w:r>
      <w:r>
        <w:rPr>
          <w:spacing w:val="-1"/>
          <w:sz w:val="20"/>
        </w:rPr>
        <w:t xml:space="preserve"> </w:t>
      </w:r>
      <w:r>
        <w:rPr>
          <w:sz w:val="20"/>
        </w:rPr>
        <w:t xml:space="preserve">school </w:t>
      </w:r>
      <w:r>
        <w:rPr>
          <w:w w:val="95"/>
          <w:sz w:val="20"/>
        </w:rPr>
        <w:t>infrastructure</w:t>
      </w:r>
      <w:r>
        <w:rPr>
          <w:spacing w:val="-6"/>
          <w:w w:val="95"/>
          <w:sz w:val="20"/>
        </w:rPr>
        <w:t xml:space="preserve"> </w:t>
      </w:r>
      <w:r>
        <w:rPr>
          <w:w w:val="95"/>
          <w:sz w:val="20"/>
        </w:rPr>
        <w:t>at</w:t>
      </w:r>
      <w:r>
        <w:rPr>
          <w:spacing w:val="-6"/>
          <w:w w:val="95"/>
          <w:sz w:val="20"/>
        </w:rPr>
        <w:t xml:space="preserve"> </w:t>
      </w:r>
      <w:r>
        <w:rPr>
          <w:w w:val="95"/>
          <w:sz w:val="20"/>
        </w:rPr>
        <w:t>the</w:t>
      </w:r>
      <w:r>
        <w:rPr>
          <w:spacing w:val="-6"/>
          <w:w w:val="95"/>
          <w:sz w:val="20"/>
        </w:rPr>
        <w:t xml:space="preserve"> </w:t>
      </w:r>
      <w:r>
        <w:rPr>
          <w:w w:val="95"/>
          <w:sz w:val="20"/>
        </w:rPr>
        <w:t>time</w:t>
      </w:r>
      <w:r>
        <w:rPr>
          <w:spacing w:val="-6"/>
          <w:w w:val="95"/>
          <w:sz w:val="20"/>
        </w:rPr>
        <w:t xml:space="preserve"> </w:t>
      </w:r>
      <w:r>
        <w:rPr>
          <w:w w:val="95"/>
          <w:sz w:val="20"/>
        </w:rPr>
        <w:t>of</w:t>
      </w:r>
      <w:r>
        <w:rPr>
          <w:spacing w:val="-6"/>
          <w:w w:val="95"/>
          <w:sz w:val="20"/>
        </w:rPr>
        <w:t xml:space="preserve"> </w:t>
      </w:r>
      <w:r>
        <w:rPr>
          <w:w w:val="95"/>
          <w:sz w:val="20"/>
        </w:rPr>
        <w:t>building</w:t>
      </w:r>
      <w:r>
        <w:rPr>
          <w:spacing w:val="-6"/>
          <w:w w:val="95"/>
          <w:sz w:val="20"/>
        </w:rPr>
        <w:t xml:space="preserve"> </w:t>
      </w:r>
      <w:r>
        <w:rPr>
          <w:w w:val="95"/>
          <w:sz w:val="20"/>
        </w:rPr>
        <w:t>high</w:t>
      </w:r>
      <w:r>
        <w:rPr>
          <w:spacing w:val="-6"/>
          <w:w w:val="95"/>
          <w:sz w:val="20"/>
        </w:rPr>
        <w:t xml:space="preserve"> </w:t>
      </w:r>
      <w:r>
        <w:rPr>
          <w:w w:val="95"/>
          <w:sz w:val="20"/>
        </w:rPr>
        <w:t xml:space="preserve">density </w:t>
      </w:r>
      <w:r>
        <w:rPr>
          <w:sz w:val="20"/>
        </w:rPr>
        <w:t>residential</w:t>
      </w:r>
      <w:r>
        <w:rPr>
          <w:spacing w:val="-11"/>
          <w:sz w:val="20"/>
        </w:rPr>
        <w:t xml:space="preserve"> </w:t>
      </w:r>
      <w:r>
        <w:rPr>
          <w:sz w:val="20"/>
        </w:rPr>
        <w:t>developments.</w:t>
      </w:r>
    </w:p>
    <w:p w:rsidR="002C1123" w:rsidRDefault="00F22F94">
      <w:pPr>
        <w:pStyle w:val="ListParagraph"/>
        <w:numPr>
          <w:ilvl w:val="3"/>
          <w:numId w:val="39"/>
        </w:numPr>
        <w:tabs>
          <w:tab w:val="left" w:pos="517"/>
        </w:tabs>
        <w:spacing w:before="131" w:line="249" w:lineRule="auto"/>
        <w:ind w:left="516" w:right="49"/>
        <w:rPr>
          <w:sz w:val="20"/>
        </w:rPr>
      </w:pPr>
      <w:r>
        <w:rPr>
          <w:sz w:val="20"/>
        </w:rPr>
        <w:t>Active</w:t>
      </w:r>
      <w:r>
        <w:rPr>
          <w:spacing w:val="-11"/>
          <w:sz w:val="20"/>
        </w:rPr>
        <w:t xml:space="preserve"> </w:t>
      </w:r>
      <w:r>
        <w:rPr>
          <w:sz w:val="20"/>
        </w:rPr>
        <w:t>management</w:t>
      </w:r>
      <w:r>
        <w:rPr>
          <w:spacing w:val="-11"/>
          <w:sz w:val="20"/>
        </w:rPr>
        <w:t xml:space="preserve"> </w:t>
      </w:r>
      <w:r>
        <w:rPr>
          <w:sz w:val="20"/>
        </w:rPr>
        <w:t>of</w:t>
      </w:r>
      <w:r>
        <w:rPr>
          <w:spacing w:val="-11"/>
          <w:sz w:val="20"/>
        </w:rPr>
        <w:t xml:space="preserve"> </w:t>
      </w:r>
      <w:r>
        <w:rPr>
          <w:sz w:val="20"/>
        </w:rPr>
        <w:t>land</w:t>
      </w:r>
      <w:r>
        <w:rPr>
          <w:spacing w:val="-11"/>
          <w:sz w:val="20"/>
        </w:rPr>
        <w:t xml:space="preserve"> </w:t>
      </w:r>
      <w:r>
        <w:rPr>
          <w:sz w:val="20"/>
        </w:rPr>
        <w:t>and</w:t>
      </w:r>
      <w:r>
        <w:rPr>
          <w:spacing w:val="-11"/>
          <w:sz w:val="20"/>
        </w:rPr>
        <w:t xml:space="preserve"> </w:t>
      </w:r>
      <w:r>
        <w:rPr>
          <w:sz w:val="20"/>
        </w:rPr>
        <w:t>exploiting</w:t>
      </w:r>
      <w:r>
        <w:rPr>
          <w:spacing w:val="-11"/>
          <w:sz w:val="20"/>
        </w:rPr>
        <w:t xml:space="preserve"> </w:t>
      </w:r>
      <w:r>
        <w:rPr>
          <w:sz w:val="20"/>
        </w:rPr>
        <w:t xml:space="preserve">all </w:t>
      </w:r>
      <w:r>
        <w:rPr>
          <w:w w:val="95"/>
          <w:sz w:val="20"/>
        </w:rPr>
        <w:t xml:space="preserve">opportunities for expanding using other Government </w:t>
      </w:r>
      <w:r>
        <w:rPr>
          <w:sz w:val="20"/>
        </w:rPr>
        <w:t>land</w:t>
      </w:r>
      <w:r>
        <w:rPr>
          <w:spacing w:val="-13"/>
          <w:sz w:val="20"/>
        </w:rPr>
        <w:t xml:space="preserve"> </w:t>
      </w:r>
      <w:r>
        <w:rPr>
          <w:sz w:val="20"/>
        </w:rPr>
        <w:t>and</w:t>
      </w:r>
      <w:r>
        <w:rPr>
          <w:spacing w:val="-13"/>
          <w:sz w:val="20"/>
        </w:rPr>
        <w:t xml:space="preserve"> </w:t>
      </w:r>
      <w:r>
        <w:rPr>
          <w:sz w:val="20"/>
        </w:rPr>
        <w:t>sharing</w:t>
      </w:r>
      <w:r>
        <w:rPr>
          <w:spacing w:val="-13"/>
          <w:sz w:val="20"/>
        </w:rPr>
        <w:t xml:space="preserve"> </w:t>
      </w:r>
      <w:r>
        <w:rPr>
          <w:sz w:val="20"/>
        </w:rPr>
        <w:t>land</w:t>
      </w:r>
      <w:r>
        <w:rPr>
          <w:spacing w:val="-13"/>
          <w:sz w:val="20"/>
        </w:rPr>
        <w:t xml:space="preserve"> </w:t>
      </w:r>
      <w:r>
        <w:rPr>
          <w:sz w:val="20"/>
        </w:rPr>
        <w:t>(eg</w:t>
      </w:r>
      <w:r>
        <w:rPr>
          <w:spacing w:val="-13"/>
          <w:sz w:val="20"/>
        </w:rPr>
        <w:t xml:space="preserve"> </w:t>
      </w:r>
      <w:r>
        <w:rPr>
          <w:sz w:val="20"/>
        </w:rPr>
        <w:t>sporting</w:t>
      </w:r>
      <w:r>
        <w:rPr>
          <w:spacing w:val="-13"/>
          <w:sz w:val="20"/>
        </w:rPr>
        <w:t xml:space="preserve"> </w:t>
      </w:r>
      <w:r>
        <w:rPr>
          <w:sz w:val="20"/>
        </w:rPr>
        <w:t>fields).</w:t>
      </w:r>
    </w:p>
    <w:p w:rsidR="002C1123" w:rsidRDefault="00F22F94">
      <w:pPr>
        <w:pStyle w:val="ListParagraph"/>
        <w:numPr>
          <w:ilvl w:val="3"/>
          <w:numId w:val="39"/>
        </w:numPr>
        <w:tabs>
          <w:tab w:val="left" w:pos="502"/>
        </w:tabs>
        <w:spacing w:before="96" w:line="249" w:lineRule="auto"/>
        <w:ind w:left="501" w:right="860"/>
        <w:rPr>
          <w:sz w:val="20"/>
        </w:rPr>
      </w:pPr>
      <w:r>
        <w:br w:type="column"/>
      </w:r>
      <w:r>
        <w:rPr>
          <w:sz w:val="20"/>
        </w:rPr>
        <w:t>Reconfiguration</w:t>
      </w:r>
      <w:r>
        <w:rPr>
          <w:spacing w:val="-9"/>
          <w:sz w:val="20"/>
        </w:rPr>
        <w:t xml:space="preserve"> </w:t>
      </w:r>
      <w:r>
        <w:rPr>
          <w:sz w:val="20"/>
        </w:rPr>
        <w:t>of</w:t>
      </w:r>
      <w:r>
        <w:rPr>
          <w:spacing w:val="-9"/>
          <w:sz w:val="20"/>
        </w:rPr>
        <w:t xml:space="preserve"> </w:t>
      </w:r>
      <w:r>
        <w:rPr>
          <w:sz w:val="20"/>
        </w:rPr>
        <w:t>a</w:t>
      </w:r>
      <w:r>
        <w:rPr>
          <w:spacing w:val="-9"/>
          <w:sz w:val="20"/>
        </w:rPr>
        <w:t xml:space="preserve"> </w:t>
      </w:r>
      <w:r>
        <w:rPr>
          <w:sz w:val="20"/>
        </w:rPr>
        <w:t>precinct</w:t>
      </w:r>
      <w:r>
        <w:rPr>
          <w:spacing w:val="-9"/>
          <w:sz w:val="20"/>
        </w:rPr>
        <w:t xml:space="preserve"> </w:t>
      </w:r>
      <w:r>
        <w:rPr>
          <w:sz w:val="20"/>
        </w:rPr>
        <w:t>of</w:t>
      </w:r>
      <w:r>
        <w:rPr>
          <w:spacing w:val="-9"/>
          <w:sz w:val="20"/>
        </w:rPr>
        <w:t xml:space="preserve"> </w:t>
      </w:r>
      <w:r>
        <w:rPr>
          <w:sz w:val="20"/>
        </w:rPr>
        <w:t>small</w:t>
      </w:r>
      <w:r>
        <w:rPr>
          <w:spacing w:val="-9"/>
          <w:sz w:val="20"/>
        </w:rPr>
        <w:t xml:space="preserve"> </w:t>
      </w:r>
      <w:r>
        <w:rPr>
          <w:sz w:val="20"/>
        </w:rPr>
        <w:t>schools</w:t>
      </w:r>
      <w:r>
        <w:rPr>
          <w:spacing w:val="-9"/>
          <w:sz w:val="20"/>
        </w:rPr>
        <w:t xml:space="preserve"> </w:t>
      </w:r>
      <w:r>
        <w:rPr>
          <w:sz w:val="20"/>
        </w:rPr>
        <w:t xml:space="preserve">to </w:t>
      </w:r>
      <w:r>
        <w:rPr>
          <w:w w:val="95"/>
          <w:sz w:val="20"/>
        </w:rPr>
        <w:t>increase</w:t>
      </w:r>
      <w:r>
        <w:rPr>
          <w:spacing w:val="-2"/>
          <w:w w:val="95"/>
          <w:sz w:val="20"/>
        </w:rPr>
        <w:t xml:space="preserve"> </w:t>
      </w:r>
      <w:r>
        <w:rPr>
          <w:w w:val="95"/>
          <w:sz w:val="20"/>
        </w:rPr>
        <w:t>total</w:t>
      </w:r>
      <w:r>
        <w:rPr>
          <w:spacing w:val="-2"/>
          <w:w w:val="95"/>
          <w:sz w:val="20"/>
        </w:rPr>
        <w:t xml:space="preserve"> </w:t>
      </w:r>
      <w:r>
        <w:rPr>
          <w:w w:val="95"/>
          <w:sz w:val="20"/>
        </w:rPr>
        <w:t>capacity.</w:t>
      </w:r>
      <w:r>
        <w:rPr>
          <w:spacing w:val="-2"/>
          <w:w w:val="95"/>
          <w:sz w:val="20"/>
        </w:rPr>
        <w:t xml:space="preserve"> </w:t>
      </w:r>
      <w:r>
        <w:rPr>
          <w:w w:val="95"/>
          <w:sz w:val="20"/>
        </w:rPr>
        <w:t>Some</w:t>
      </w:r>
      <w:r>
        <w:rPr>
          <w:spacing w:val="-2"/>
          <w:w w:val="95"/>
          <w:sz w:val="20"/>
        </w:rPr>
        <w:t xml:space="preserve"> </w:t>
      </w:r>
      <w:r>
        <w:rPr>
          <w:w w:val="95"/>
          <w:sz w:val="20"/>
        </w:rPr>
        <w:t>opportunities</w:t>
      </w:r>
      <w:r>
        <w:rPr>
          <w:spacing w:val="-2"/>
          <w:w w:val="95"/>
          <w:sz w:val="20"/>
        </w:rPr>
        <w:t xml:space="preserve"> </w:t>
      </w:r>
      <w:r>
        <w:rPr>
          <w:w w:val="95"/>
          <w:sz w:val="20"/>
        </w:rPr>
        <w:t>exist</w:t>
      </w:r>
      <w:r>
        <w:rPr>
          <w:spacing w:val="-2"/>
          <w:w w:val="95"/>
          <w:sz w:val="20"/>
        </w:rPr>
        <w:t xml:space="preserve"> </w:t>
      </w:r>
      <w:r>
        <w:rPr>
          <w:w w:val="95"/>
          <w:sz w:val="20"/>
        </w:rPr>
        <w:t xml:space="preserve">for rationalistion and recycling capital to provide quality </w:t>
      </w:r>
      <w:r>
        <w:rPr>
          <w:sz w:val="20"/>
        </w:rPr>
        <w:t>school</w:t>
      </w:r>
      <w:r>
        <w:rPr>
          <w:spacing w:val="-11"/>
          <w:sz w:val="20"/>
        </w:rPr>
        <w:t xml:space="preserve"> </w:t>
      </w:r>
      <w:r>
        <w:rPr>
          <w:sz w:val="20"/>
        </w:rPr>
        <w:t>outcomes.</w:t>
      </w:r>
    </w:p>
    <w:p w:rsidR="002C1123" w:rsidRDefault="002060EF">
      <w:pPr>
        <w:pStyle w:val="BodyText"/>
        <w:spacing w:before="9"/>
        <w:rPr>
          <w:sz w:val="12"/>
        </w:rPr>
      </w:pPr>
      <w:r>
        <w:pict>
          <v:shape id="docshape2615" o:spid="_x0000_s1408" type="#_x0000_t202" style="position:absolute;margin-left:552.3pt;margin-top:8.6pt;width:239pt;height:69.35pt;z-index:-251329536;mso-wrap-distance-left:0;mso-wrap-distance-right:0;mso-position-horizontal-relative:page" fillcolor="#e1e0e1" stroked="f">
            <v:textbox inset="0,0,0,0">
              <w:txbxContent>
                <w:p w:rsidR="00F22F94" w:rsidRDefault="00F22F94">
                  <w:pPr>
                    <w:pStyle w:val="BodyText"/>
                    <w:spacing w:before="68" w:line="249" w:lineRule="auto"/>
                    <w:ind w:left="113"/>
                    <w:rPr>
                      <w:color w:val="000000"/>
                    </w:rPr>
                  </w:pPr>
                  <w:r>
                    <w:rPr>
                      <w:color w:val="00AEEF"/>
                    </w:rPr>
                    <w:t xml:space="preserve">Recommendation </w:t>
                  </w:r>
                  <w:r>
                    <w:rPr>
                      <w:color w:val="000000"/>
                    </w:rPr>
                    <w:t>Infrastructure</w:t>
                  </w:r>
                  <w:r>
                    <w:rPr>
                      <w:color w:val="000000"/>
                      <w:spacing w:val="-14"/>
                    </w:rPr>
                    <w:t xml:space="preserve"> </w:t>
                  </w:r>
                  <w:r>
                    <w:rPr>
                      <w:color w:val="000000"/>
                    </w:rPr>
                    <w:t>NSW</w:t>
                  </w:r>
                  <w:r>
                    <w:rPr>
                      <w:color w:val="000000"/>
                      <w:spacing w:val="-14"/>
                    </w:rPr>
                    <w:t xml:space="preserve"> </w:t>
                  </w:r>
                  <w:r>
                    <w:rPr>
                      <w:color w:val="000000"/>
                    </w:rPr>
                    <w:t xml:space="preserve">recommends accommodating 90 percent of new students in </w:t>
                  </w:r>
                  <w:r>
                    <w:rPr>
                      <w:color w:val="000000"/>
                      <w:spacing w:val="-2"/>
                    </w:rPr>
                    <w:t>existing</w:t>
                  </w:r>
                  <w:r>
                    <w:rPr>
                      <w:color w:val="000000"/>
                      <w:spacing w:val="-8"/>
                    </w:rPr>
                    <w:t xml:space="preserve"> </w:t>
                  </w:r>
                  <w:r>
                    <w:rPr>
                      <w:color w:val="000000"/>
                      <w:spacing w:val="-2"/>
                    </w:rPr>
                    <w:t>schools.</w:t>
                  </w:r>
                  <w:r>
                    <w:rPr>
                      <w:color w:val="000000"/>
                      <w:spacing w:val="-8"/>
                    </w:rPr>
                    <w:t xml:space="preserve"> </w:t>
                  </w:r>
                  <w:r>
                    <w:rPr>
                      <w:color w:val="000000"/>
                      <w:spacing w:val="-2"/>
                    </w:rPr>
                    <w:t>The</w:t>
                  </w:r>
                  <w:r>
                    <w:rPr>
                      <w:color w:val="000000"/>
                      <w:spacing w:val="-8"/>
                    </w:rPr>
                    <w:t xml:space="preserve"> </w:t>
                  </w:r>
                  <w:r>
                    <w:rPr>
                      <w:color w:val="000000"/>
                      <w:spacing w:val="-2"/>
                    </w:rPr>
                    <w:t>increase</w:t>
                  </w:r>
                  <w:r>
                    <w:rPr>
                      <w:color w:val="000000"/>
                      <w:spacing w:val="-8"/>
                    </w:rPr>
                    <w:t xml:space="preserve"> </w:t>
                  </w:r>
                  <w:r>
                    <w:rPr>
                      <w:color w:val="000000"/>
                      <w:spacing w:val="-2"/>
                    </w:rPr>
                    <w:t>in</w:t>
                  </w:r>
                  <w:r>
                    <w:rPr>
                      <w:color w:val="000000"/>
                      <w:spacing w:val="-8"/>
                    </w:rPr>
                    <w:t xml:space="preserve"> </w:t>
                  </w:r>
                  <w:r>
                    <w:rPr>
                      <w:color w:val="000000"/>
                      <w:spacing w:val="-2"/>
                    </w:rPr>
                    <w:t>average</w:t>
                  </w:r>
                  <w:r>
                    <w:rPr>
                      <w:color w:val="000000"/>
                      <w:spacing w:val="-8"/>
                    </w:rPr>
                    <w:t xml:space="preserve"> </w:t>
                  </w:r>
                  <w:r>
                    <w:rPr>
                      <w:color w:val="000000"/>
                      <w:spacing w:val="-2"/>
                    </w:rPr>
                    <w:t>size</w:t>
                  </w:r>
                  <w:r>
                    <w:rPr>
                      <w:color w:val="000000"/>
                      <w:spacing w:val="-8"/>
                    </w:rPr>
                    <w:t xml:space="preserve"> </w:t>
                  </w:r>
                  <w:r>
                    <w:rPr>
                      <w:color w:val="000000"/>
                      <w:spacing w:val="-2"/>
                    </w:rPr>
                    <w:t xml:space="preserve">of </w:t>
                  </w:r>
                  <w:r>
                    <w:rPr>
                      <w:color w:val="000000"/>
                    </w:rPr>
                    <w:t>schools</w:t>
                  </w:r>
                  <w:r>
                    <w:rPr>
                      <w:color w:val="000000"/>
                      <w:spacing w:val="-10"/>
                    </w:rPr>
                    <w:t xml:space="preserve"> </w:t>
                  </w:r>
                  <w:r>
                    <w:rPr>
                      <w:color w:val="000000"/>
                    </w:rPr>
                    <w:t>makes</w:t>
                  </w:r>
                  <w:r>
                    <w:rPr>
                      <w:color w:val="000000"/>
                      <w:spacing w:val="-10"/>
                    </w:rPr>
                    <w:t xml:space="preserve"> </w:t>
                  </w:r>
                  <w:r>
                    <w:rPr>
                      <w:color w:val="000000"/>
                    </w:rPr>
                    <w:t>better</w:t>
                  </w:r>
                  <w:r>
                    <w:rPr>
                      <w:color w:val="000000"/>
                      <w:spacing w:val="-10"/>
                    </w:rPr>
                    <w:t xml:space="preserve"> </w:t>
                  </w:r>
                  <w:r>
                    <w:rPr>
                      <w:color w:val="000000"/>
                    </w:rPr>
                    <w:t>use</w:t>
                  </w:r>
                  <w:r>
                    <w:rPr>
                      <w:color w:val="000000"/>
                      <w:spacing w:val="-10"/>
                    </w:rPr>
                    <w:t xml:space="preserve"> </w:t>
                  </w:r>
                  <w:r>
                    <w:rPr>
                      <w:color w:val="000000"/>
                    </w:rPr>
                    <w:t>of</w:t>
                  </w:r>
                  <w:r>
                    <w:rPr>
                      <w:color w:val="000000"/>
                      <w:spacing w:val="-10"/>
                    </w:rPr>
                    <w:t xml:space="preserve"> </w:t>
                  </w:r>
                  <w:r>
                    <w:rPr>
                      <w:color w:val="000000"/>
                    </w:rPr>
                    <w:t>existing</w:t>
                  </w:r>
                  <w:r>
                    <w:rPr>
                      <w:color w:val="000000"/>
                      <w:spacing w:val="-10"/>
                    </w:rPr>
                    <w:t xml:space="preserve"> </w:t>
                  </w:r>
                  <w:r>
                    <w:rPr>
                      <w:color w:val="000000"/>
                    </w:rPr>
                    <w:t>assets</w:t>
                  </w:r>
                  <w:r>
                    <w:rPr>
                      <w:color w:val="000000"/>
                      <w:spacing w:val="-10"/>
                    </w:rPr>
                    <w:t xml:space="preserve"> </w:t>
                  </w:r>
                  <w:r>
                    <w:rPr>
                      <w:color w:val="000000"/>
                    </w:rPr>
                    <w:t>and provides better learning outcomes.</w:t>
                  </w:r>
                </w:p>
              </w:txbxContent>
            </v:textbox>
            <w10:wrap type="topAndBottom" anchorx="page"/>
          </v:shape>
        </w:pict>
      </w:r>
    </w:p>
    <w:p w:rsidR="002C1123" w:rsidRDefault="002C1123">
      <w:pPr>
        <w:pStyle w:val="BodyText"/>
        <w:spacing w:before="2"/>
        <w:rPr>
          <w:sz w:val="22"/>
        </w:rPr>
      </w:pPr>
    </w:p>
    <w:p w:rsidR="002C1123" w:rsidRDefault="00F22F94">
      <w:pPr>
        <w:pStyle w:val="Heading6"/>
        <w:spacing w:before="1"/>
        <w:ind w:left="217"/>
      </w:pPr>
      <w:r>
        <w:t>New</w:t>
      </w:r>
      <w:r>
        <w:rPr>
          <w:spacing w:val="-6"/>
        </w:rPr>
        <w:t xml:space="preserve"> </w:t>
      </w:r>
      <w:r>
        <w:t>classroom</w:t>
      </w:r>
      <w:r>
        <w:rPr>
          <w:spacing w:val="-6"/>
        </w:rPr>
        <w:t xml:space="preserve"> </w:t>
      </w:r>
      <w:r>
        <w:rPr>
          <w:spacing w:val="-2"/>
        </w:rPr>
        <w:t>designs</w:t>
      </w:r>
    </w:p>
    <w:p w:rsidR="002C1123" w:rsidRDefault="00F22F94">
      <w:pPr>
        <w:pStyle w:val="BodyText"/>
        <w:spacing w:before="10" w:line="249" w:lineRule="auto"/>
        <w:ind w:left="217" w:right="674"/>
      </w:pPr>
      <w:r>
        <w:rPr>
          <w:spacing w:val="-2"/>
        </w:rPr>
        <w:t>The</w:t>
      </w:r>
      <w:r>
        <w:rPr>
          <w:spacing w:val="-6"/>
        </w:rPr>
        <w:t xml:space="preserve"> </w:t>
      </w:r>
      <w:r>
        <w:rPr>
          <w:spacing w:val="-2"/>
        </w:rPr>
        <w:t>current</w:t>
      </w:r>
      <w:r>
        <w:rPr>
          <w:spacing w:val="-6"/>
        </w:rPr>
        <w:t xml:space="preserve"> </w:t>
      </w:r>
      <w:r>
        <w:rPr>
          <w:spacing w:val="-2"/>
        </w:rPr>
        <w:t>standards</w:t>
      </w:r>
      <w:r>
        <w:rPr>
          <w:spacing w:val="-6"/>
        </w:rPr>
        <w:t xml:space="preserve"> </w:t>
      </w:r>
      <w:r>
        <w:rPr>
          <w:spacing w:val="-2"/>
        </w:rPr>
        <w:t>for</w:t>
      </w:r>
      <w:r>
        <w:rPr>
          <w:spacing w:val="-6"/>
        </w:rPr>
        <w:t xml:space="preserve"> </w:t>
      </w:r>
      <w:r>
        <w:rPr>
          <w:spacing w:val="-2"/>
        </w:rPr>
        <w:t>schools,</w:t>
      </w:r>
      <w:r>
        <w:rPr>
          <w:spacing w:val="-6"/>
        </w:rPr>
        <w:t xml:space="preserve"> </w:t>
      </w:r>
      <w:r>
        <w:rPr>
          <w:spacing w:val="-2"/>
        </w:rPr>
        <w:t>including</w:t>
      </w:r>
      <w:r>
        <w:rPr>
          <w:spacing w:val="-6"/>
        </w:rPr>
        <w:t xml:space="preserve"> </w:t>
      </w:r>
      <w:r>
        <w:rPr>
          <w:spacing w:val="-2"/>
        </w:rPr>
        <w:t>the</w:t>
      </w:r>
      <w:r>
        <w:rPr>
          <w:spacing w:val="-6"/>
        </w:rPr>
        <w:t xml:space="preserve"> </w:t>
      </w:r>
      <w:r>
        <w:rPr>
          <w:spacing w:val="-2"/>
        </w:rPr>
        <w:t xml:space="preserve">spatial </w:t>
      </w:r>
      <w:r>
        <w:rPr>
          <w:w w:val="95"/>
        </w:rPr>
        <w:t>and</w:t>
      </w:r>
      <w:r>
        <w:rPr>
          <w:spacing w:val="-1"/>
          <w:w w:val="95"/>
        </w:rPr>
        <w:t xml:space="preserve"> </w:t>
      </w:r>
      <w:r>
        <w:rPr>
          <w:w w:val="95"/>
        </w:rPr>
        <w:t>technical</w:t>
      </w:r>
      <w:r>
        <w:rPr>
          <w:spacing w:val="-1"/>
          <w:w w:val="95"/>
        </w:rPr>
        <w:t xml:space="preserve"> </w:t>
      </w:r>
      <w:r>
        <w:rPr>
          <w:w w:val="95"/>
        </w:rPr>
        <w:t>requirements</w:t>
      </w:r>
      <w:r>
        <w:rPr>
          <w:spacing w:val="-1"/>
          <w:w w:val="95"/>
        </w:rPr>
        <w:t xml:space="preserve"> </w:t>
      </w:r>
      <w:r>
        <w:rPr>
          <w:w w:val="95"/>
        </w:rPr>
        <w:t>and</w:t>
      </w:r>
      <w:r>
        <w:rPr>
          <w:spacing w:val="-1"/>
          <w:w w:val="95"/>
        </w:rPr>
        <w:t xml:space="preserve"> </w:t>
      </w:r>
      <w:r>
        <w:rPr>
          <w:w w:val="95"/>
        </w:rPr>
        <w:t>design,</w:t>
      </w:r>
      <w:r>
        <w:rPr>
          <w:spacing w:val="-1"/>
          <w:w w:val="95"/>
        </w:rPr>
        <w:t xml:space="preserve"> </w:t>
      </w:r>
      <w:r>
        <w:rPr>
          <w:w w:val="95"/>
        </w:rPr>
        <w:t>were</w:t>
      </w:r>
      <w:r>
        <w:rPr>
          <w:spacing w:val="-1"/>
          <w:w w:val="95"/>
        </w:rPr>
        <w:t xml:space="preserve"> </w:t>
      </w:r>
      <w:r>
        <w:rPr>
          <w:w w:val="95"/>
        </w:rPr>
        <w:t xml:space="preserve">developed </w:t>
      </w:r>
      <w:r>
        <w:t>in</w:t>
      </w:r>
      <w:r>
        <w:rPr>
          <w:spacing w:val="-8"/>
        </w:rPr>
        <w:t xml:space="preserve"> </w:t>
      </w:r>
      <w:r>
        <w:t>the</w:t>
      </w:r>
      <w:r>
        <w:rPr>
          <w:spacing w:val="-8"/>
        </w:rPr>
        <w:t xml:space="preserve"> </w:t>
      </w:r>
      <w:r>
        <w:t>1970s</w:t>
      </w:r>
      <w:r>
        <w:rPr>
          <w:spacing w:val="-8"/>
        </w:rPr>
        <w:t xml:space="preserve"> </w:t>
      </w:r>
      <w:r>
        <w:t>and</w:t>
      </w:r>
      <w:r>
        <w:rPr>
          <w:spacing w:val="-8"/>
        </w:rPr>
        <w:t xml:space="preserve"> </w:t>
      </w:r>
      <w:r>
        <w:t>do</w:t>
      </w:r>
      <w:r>
        <w:rPr>
          <w:spacing w:val="-8"/>
        </w:rPr>
        <w:t xml:space="preserve"> </w:t>
      </w:r>
      <w:r>
        <w:t>not</w:t>
      </w:r>
      <w:r>
        <w:rPr>
          <w:spacing w:val="-8"/>
        </w:rPr>
        <w:t xml:space="preserve"> </w:t>
      </w:r>
      <w:r>
        <w:t>reflect</w:t>
      </w:r>
      <w:r>
        <w:rPr>
          <w:spacing w:val="-8"/>
        </w:rPr>
        <w:t xml:space="preserve"> </w:t>
      </w:r>
      <w:r>
        <w:t>rapid</w:t>
      </w:r>
      <w:r>
        <w:rPr>
          <w:spacing w:val="-8"/>
        </w:rPr>
        <w:t xml:space="preserve"> </w:t>
      </w:r>
      <w:r>
        <w:t>technology</w:t>
      </w:r>
    </w:p>
    <w:p w:rsidR="002C1123" w:rsidRDefault="00F22F94">
      <w:pPr>
        <w:pStyle w:val="BodyText"/>
        <w:spacing w:before="2"/>
        <w:ind w:left="217"/>
      </w:pPr>
      <w:r>
        <w:rPr>
          <w:w w:val="95"/>
        </w:rPr>
        <w:t>driven</w:t>
      </w:r>
      <w:r>
        <w:rPr>
          <w:spacing w:val="-5"/>
          <w:w w:val="95"/>
        </w:rPr>
        <w:t xml:space="preserve"> </w:t>
      </w:r>
      <w:r>
        <w:rPr>
          <w:w w:val="95"/>
        </w:rPr>
        <w:t>changes</w:t>
      </w:r>
      <w:r>
        <w:rPr>
          <w:spacing w:val="-4"/>
          <w:w w:val="95"/>
        </w:rPr>
        <w:t xml:space="preserve"> </w:t>
      </w:r>
      <w:r>
        <w:rPr>
          <w:w w:val="95"/>
        </w:rPr>
        <w:t>to</w:t>
      </w:r>
      <w:r>
        <w:rPr>
          <w:spacing w:val="-4"/>
          <w:w w:val="95"/>
        </w:rPr>
        <w:t xml:space="preserve"> </w:t>
      </w:r>
      <w:r>
        <w:rPr>
          <w:w w:val="95"/>
        </w:rPr>
        <w:t>how</w:t>
      </w:r>
      <w:r>
        <w:rPr>
          <w:spacing w:val="-4"/>
          <w:w w:val="95"/>
        </w:rPr>
        <w:t xml:space="preserve"> </w:t>
      </w:r>
      <w:r>
        <w:rPr>
          <w:w w:val="95"/>
        </w:rPr>
        <w:t>teaching</w:t>
      </w:r>
      <w:r>
        <w:rPr>
          <w:spacing w:val="-4"/>
          <w:w w:val="95"/>
        </w:rPr>
        <w:t xml:space="preserve"> </w:t>
      </w:r>
      <w:r>
        <w:rPr>
          <w:w w:val="95"/>
        </w:rPr>
        <w:t>and</w:t>
      </w:r>
      <w:r>
        <w:rPr>
          <w:spacing w:val="-5"/>
          <w:w w:val="95"/>
        </w:rPr>
        <w:t xml:space="preserve"> </w:t>
      </w:r>
      <w:r>
        <w:rPr>
          <w:w w:val="95"/>
        </w:rPr>
        <w:t>learning</w:t>
      </w:r>
      <w:r>
        <w:rPr>
          <w:spacing w:val="-4"/>
          <w:w w:val="95"/>
        </w:rPr>
        <w:t xml:space="preserve"> </w:t>
      </w:r>
      <w:r>
        <w:rPr>
          <w:spacing w:val="-2"/>
          <w:w w:val="95"/>
        </w:rPr>
        <w:t>occur.</w:t>
      </w:r>
    </w:p>
    <w:p w:rsidR="002C1123" w:rsidRDefault="00F22F94">
      <w:pPr>
        <w:pStyle w:val="BodyText"/>
        <w:spacing w:before="10" w:line="249" w:lineRule="auto"/>
        <w:ind w:left="217" w:right="676"/>
      </w:pPr>
      <w:r>
        <w:t>The</w:t>
      </w:r>
      <w:r>
        <w:rPr>
          <w:spacing w:val="-9"/>
        </w:rPr>
        <w:t xml:space="preserve"> </w:t>
      </w:r>
      <w:r>
        <w:t>Department</w:t>
      </w:r>
      <w:r>
        <w:rPr>
          <w:spacing w:val="-9"/>
        </w:rPr>
        <w:t xml:space="preserve"> </w:t>
      </w:r>
      <w:r>
        <w:t>of</w:t>
      </w:r>
      <w:r>
        <w:rPr>
          <w:spacing w:val="-9"/>
        </w:rPr>
        <w:t xml:space="preserve"> </w:t>
      </w:r>
      <w:r>
        <w:t>Education</w:t>
      </w:r>
      <w:r>
        <w:rPr>
          <w:spacing w:val="-9"/>
        </w:rPr>
        <w:t xml:space="preserve"> </w:t>
      </w:r>
      <w:r>
        <w:t>and</w:t>
      </w:r>
      <w:r>
        <w:rPr>
          <w:spacing w:val="-9"/>
        </w:rPr>
        <w:t xml:space="preserve"> </w:t>
      </w:r>
      <w:r>
        <w:t>Communities</w:t>
      </w:r>
      <w:r>
        <w:rPr>
          <w:spacing w:val="-9"/>
        </w:rPr>
        <w:t xml:space="preserve"> </w:t>
      </w:r>
      <w:r>
        <w:t xml:space="preserve">has </w:t>
      </w:r>
      <w:r>
        <w:rPr>
          <w:w w:val="95"/>
        </w:rPr>
        <w:t>started</w:t>
      </w:r>
      <w:r>
        <w:rPr>
          <w:spacing w:val="-1"/>
          <w:w w:val="95"/>
        </w:rPr>
        <w:t xml:space="preserve"> </w:t>
      </w:r>
      <w:r>
        <w:rPr>
          <w:w w:val="95"/>
        </w:rPr>
        <w:t>the</w:t>
      </w:r>
      <w:r>
        <w:rPr>
          <w:spacing w:val="-1"/>
          <w:w w:val="95"/>
        </w:rPr>
        <w:t xml:space="preserve"> </w:t>
      </w:r>
      <w:r>
        <w:rPr>
          <w:w w:val="95"/>
        </w:rPr>
        <w:t>project</w:t>
      </w:r>
      <w:r>
        <w:rPr>
          <w:spacing w:val="-1"/>
          <w:w w:val="95"/>
        </w:rPr>
        <w:t xml:space="preserve"> </w:t>
      </w:r>
      <w:r>
        <w:rPr>
          <w:w w:val="95"/>
        </w:rPr>
        <w:t>to</w:t>
      </w:r>
      <w:r>
        <w:rPr>
          <w:spacing w:val="-1"/>
          <w:w w:val="95"/>
        </w:rPr>
        <w:t xml:space="preserve"> </w:t>
      </w:r>
      <w:r>
        <w:rPr>
          <w:w w:val="95"/>
        </w:rPr>
        <w:t>review</w:t>
      </w:r>
      <w:r>
        <w:rPr>
          <w:spacing w:val="-1"/>
          <w:w w:val="95"/>
        </w:rPr>
        <w:t xml:space="preserve"> </w:t>
      </w:r>
      <w:r>
        <w:rPr>
          <w:w w:val="95"/>
        </w:rPr>
        <w:t>and</w:t>
      </w:r>
      <w:r>
        <w:rPr>
          <w:spacing w:val="-1"/>
          <w:w w:val="95"/>
        </w:rPr>
        <w:t xml:space="preserve"> </w:t>
      </w:r>
      <w:r>
        <w:rPr>
          <w:w w:val="95"/>
        </w:rPr>
        <w:t>modernise</w:t>
      </w:r>
      <w:r>
        <w:rPr>
          <w:spacing w:val="-1"/>
          <w:w w:val="95"/>
        </w:rPr>
        <w:t xml:space="preserve"> </w:t>
      </w:r>
      <w:r>
        <w:rPr>
          <w:w w:val="95"/>
        </w:rPr>
        <w:t>the</w:t>
      </w:r>
      <w:r>
        <w:rPr>
          <w:spacing w:val="-1"/>
          <w:w w:val="95"/>
        </w:rPr>
        <w:t xml:space="preserve"> </w:t>
      </w:r>
      <w:r>
        <w:rPr>
          <w:w w:val="95"/>
        </w:rPr>
        <w:t xml:space="preserve">designs, and develop a new classroom standard. The first step is to assess functionality and requirements of the physical </w:t>
      </w:r>
      <w:r>
        <w:t>learning</w:t>
      </w:r>
      <w:r>
        <w:rPr>
          <w:spacing w:val="-14"/>
        </w:rPr>
        <w:t xml:space="preserve"> </w:t>
      </w:r>
      <w:r>
        <w:t>environment</w:t>
      </w:r>
      <w:r>
        <w:rPr>
          <w:spacing w:val="-14"/>
        </w:rPr>
        <w:t xml:space="preserve"> </w:t>
      </w:r>
      <w:r>
        <w:t>which</w:t>
      </w:r>
      <w:r>
        <w:rPr>
          <w:spacing w:val="-14"/>
        </w:rPr>
        <w:t xml:space="preserve"> </w:t>
      </w:r>
      <w:r>
        <w:t>will</w:t>
      </w:r>
      <w:r>
        <w:rPr>
          <w:spacing w:val="-14"/>
        </w:rPr>
        <w:t xml:space="preserve"> </w:t>
      </w:r>
      <w:r>
        <w:t>involve</w:t>
      </w:r>
      <w:r>
        <w:rPr>
          <w:spacing w:val="-14"/>
        </w:rPr>
        <w:t xml:space="preserve"> </w:t>
      </w:r>
      <w:r>
        <w:t>case</w:t>
      </w:r>
      <w:r>
        <w:rPr>
          <w:spacing w:val="-14"/>
        </w:rPr>
        <w:t xml:space="preserve"> </w:t>
      </w:r>
      <w:r>
        <w:t>studies</w:t>
      </w:r>
    </w:p>
    <w:p w:rsidR="002C1123" w:rsidRDefault="00F22F94">
      <w:pPr>
        <w:pStyle w:val="BodyText"/>
        <w:spacing w:before="4"/>
        <w:ind w:left="217"/>
      </w:pPr>
      <w:r>
        <w:rPr>
          <w:spacing w:val="-2"/>
          <w:w w:val="95"/>
        </w:rPr>
        <w:t>of</w:t>
      </w:r>
      <w:r>
        <w:rPr>
          <w:spacing w:val="-9"/>
          <w:w w:val="95"/>
        </w:rPr>
        <w:t xml:space="preserve"> </w:t>
      </w:r>
      <w:r>
        <w:rPr>
          <w:spacing w:val="-2"/>
          <w:w w:val="95"/>
        </w:rPr>
        <w:t>13</w:t>
      </w:r>
      <w:r>
        <w:rPr>
          <w:spacing w:val="-9"/>
          <w:w w:val="95"/>
        </w:rPr>
        <w:t xml:space="preserve"> </w:t>
      </w:r>
      <w:r>
        <w:rPr>
          <w:spacing w:val="-2"/>
          <w:w w:val="95"/>
        </w:rPr>
        <w:t>schools.</w:t>
      </w:r>
    </w:p>
    <w:p w:rsidR="002C1123" w:rsidRDefault="00F22F94">
      <w:pPr>
        <w:pStyle w:val="BodyText"/>
        <w:spacing w:before="152" w:line="249" w:lineRule="auto"/>
        <w:ind w:left="217" w:right="676"/>
      </w:pPr>
      <w:r>
        <w:t>Infrastructure</w:t>
      </w:r>
      <w:r>
        <w:rPr>
          <w:spacing w:val="-7"/>
        </w:rPr>
        <w:t xml:space="preserve"> </w:t>
      </w:r>
      <w:r>
        <w:t>NSW</w:t>
      </w:r>
      <w:r>
        <w:rPr>
          <w:spacing w:val="-7"/>
        </w:rPr>
        <w:t xml:space="preserve"> </w:t>
      </w:r>
      <w:r>
        <w:t>recommends</w:t>
      </w:r>
      <w:r>
        <w:rPr>
          <w:spacing w:val="-7"/>
        </w:rPr>
        <w:t xml:space="preserve"> </w:t>
      </w:r>
      <w:r>
        <w:t>that</w:t>
      </w:r>
      <w:r>
        <w:rPr>
          <w:spacing w:val="-7"/>
        </w:rPr>
        <w:t xml:space="preserve"> </w:t>
      </w:r>
      <w:r>
        <w:t>this</w:t>
      </w:r>
      <w:r>
        <w:rPr>
          <w:spacing w:val="-7"/>
        </w:rPr>
        <w:t xml:space="preserve"> </w:t>
      </w:r>
      <w:r>
        <w:t>work</w:t>
      </w:r>
      <w:r>
        <w:rPr>
          <w:spacing w:val="-7"/>
        </w:rPr>
        <w:t xml:space="preserve"> </w:t>
      </w:r>
      <w:r>
        <w:t>be supported</w:t>
      </w:r>
      <w:r>
        <w:rPr>
          <w:spacing w:val="-2"/>
        </w:rPr>
        <w:t xml:space="preserve"> </w:t>
      </w:r>
      <w:r>
        <w:t>and</w:t>
      </w:r>
      <w:r>
        <w:rPr>
          <w:spacing w:val="-2"/>
        </w:rPr>
        <w:t xml:space="preserve"> </w:t>
      </w:r>
      <w:r>
        <w:t>accelerated.</w:t>
      </w:r>
      <w:r>
        <w:rPr>
          <w:spacing w:val="-2"/>
        </w:rPr>
        <w:t xml:space="preserve"> </w:t>
      </w:r>
      <w:r>
        <w:t>This</w:t>
      </w:r>
      <w:r>
        <w:rPr>
          <w:spacing w:val="-2"/>
        </w:rPr>
        <w:t xml:space="preserve"> </w:t>
      </w:r>
      <w:r>
        <w:t>program</w:t>
      </w:r>
      <w:r>
        <w:rPr>
          <w:spacing w:val="-3"/>
        </w:rPr>
        <w:t xml:space="preserve"> </w:t>
      </w:r>
      <w:r>
        <w:t xml:space="preserve">should </w:t>
      </w:r>
      <w:r>
        <w:rPr>
          <w:w w:val="95"/>
        </w:rPr>
        <w:t>employ</w:t>
      </w:r>
      <w:r>
        <w:rPr>
          <w:spacing w:val="-4"/>
          <w:w w:val="95"/>
        </w:rPr>
        <w:t xml:space="preserve"> </w:t>
      </w:r>
      <w:r>
        <w:rPr>
          <w:w w:val="95"/>
        </w:rPr>
        <w:t>the</w:t>
      </w:r>
      <w:r>
        <w:rPr>
          <w:spacing w:val="-4"/>
          <w:w w:val="95"/>
        </w:rPr>
        <w:t xml:space="preserve"> </w:t>
      </w:r>
      <w:r>
        <w:rPr>
          <w:w w:val="95"/>
        </w:rPr>
        <w:t>Government’s</w:t>
      </w:r>
      <w:r>
        <w:rPr>
          <w:spacing w:val="-4"/>
          <w:w w:val="95"/>
        </w:rPr>
        <w:t xml:space="preserve"> </w:t>
      </w:r>
      <w:r>
        <w:rPr>
          <w:w w:val="95"/>
        </w:rPr>
        <w:t>ICT</w:t>
      </w:r>
      <w:r>
        <w:rPr>
          <w:spacing w:val="-4"/>
          <w:w w:val="95"/>
        </w:rPr>
        <w:t xml:space="preserve"> </w:t>
      </w:r>
      <w:r>
        <w:rPr>
          <w:w w:val="95"/>
        </w:rPr>
        <w:t>Board,</w:t>
      </w:r>
      <w:r>
        <w:rPr>
          <w:spacing w:val="-4"/>
          <w:w w:val="95"/>
        </w:rPr>
        <w:t xml:space="preserve"> </w:t>
      </w:r>
      <w:r>
        <w:rPr>
          <w:w w:val="95"/>
        </w:rPr>
        <w:t>industry</w:t>
      </w:r>
      <w:r>
        <w:rPr>
          <w:spacing w:val="-4"/>
          <w:w w:val="95"/>
        </w:rPr>
        <w:t xml:space="preserve"> </w:t>
      </w:r>
      <w:r>
        <w:rPr>
          <w:w w:val="95"/>
        </w:rPr>
        <w:t>and</w:t>
      </w:r>
      <w:r>
        <w:rPr>
          <w:spacing w:val="-4"/>
          <w:w w:val="95"/>
        </w:rPr>
        <w:t xml:space="preserve"> </w:t>
      </w:r>
      <w:r>
        <w:rPr>
          <w:w w:val="95"/>
        </w:rPr>
        <w:t>the private</w:t>
      </w:r>
      <w:r>
        <w:rPr>
          <w:spacing w:val="-6"/>
          <w:w w:val="95"/>
        </w:rPr>
        <w:t xml:space="preserve"> </w:t>
      </w:r>
      <w:r>
        <w:rPr>
          <w:w w:val="95"/>
        </w:rPr>
        <w:t>sector</w:t>
      </w:r>
      <w:r>
        <w:rPr>
          <w:spacing w:val="-6"/>
          <w:w w:val="95"/>
        </w:rPr>
        <w:t xml:space="preserve"> </w:t>
      </w:r>
      <w:r>
        <w:rPr>
          <w:w w:val="95"/>
        </w:rPr>
        <w:t>to</w:t>
      </w:r>
      <w:r>
        <w:rPr>
          <w:spacing w:val="-6"/>
          <w:w w:val="95"/>
        </w:rPr>
        <w:t xml:space="preserve"> </w:t>
      </w:r>
      <w:r>
        <w:rPr>
          <w:w w:val="95"/>
        </w:rPr>
        <w:t>ensure</w:t>
      </w:r>
      <w:r>
        <w:rPr>
          <w:spacing w:val="-6"/>
          <w:w w:val="95"/>
        </w:rPr>
        <w:t xml:space="preserve"> </w:t>
      </w:r>
      <w:r>
        <w:rPr>
          <w:w w:val="95"/>
        </w:rPr>
        <w:t>the</w:t>
      </w:r>
      <w:r>
        <w:rPr>
          <w:spacing w:val="-6"/>
          <w:w w:val="95"/>
        </w:rPr>
        <w:t xml:space="preserve"> </w:t>
      </w:r>
      <w:r>
        <w:rPr>
          <w:w w:val="95"/>
        </w:rPr>
        <w:t>standard</w:t>
      </w:r>
      <w:r>
        <w:rPr>
          <w:spacing w:val="-6"/>
          <w:w w:val="95"/>
        </w:rPr>
        <w:t xml:space="preserve"> </w:t>
      </w:r>
      <w:r>
        <w:rPr>
          <w:w w:val="95"/>
        </w:rPr>
        <w:t>is</w:t>
      </w:r>
      <w:r>
        <w:rPr>
          <w:spacing w:val="-6"/>
          <w:w w:val="95"/>
        </w:rPr>
        <w:t xml:space="preserve"> </w:t>
      </w:r>
      <w:r>
        <w:rPr>
          <w:w w:val="95"/>
        </w:rPr>
        <w:t>innovative</w:t>
      </w:r>
      <w:r>
        <w:rPr>
          <w:spacing w:val="-6"/>
          <w:w w:val="95"/>
        </w:rPr>
        <w:t xml:space="preserve"> </w:t>
      </w:r>
      <w:r>
        <w:rPr>
          <w:w w:val="95"/>
        </w:rPr>
        <w:t xml:space="preserve">and </w:t>
      </w:r>
      <w:r>
        <w:t>reflects</w:t>
      </w:r>
      <w:r>
        <w:rPr>
          <w:spacing w:val="-14"/>
        </w:rPr>
        <w:t xml:space="preserve"> </w:t>
      </w:r>
      <w:r>
        <w:t>the</w:t>
      </w:r>
      <w:r>
        <w:rPr>
          <w:spacing w:val="-14"/>
        </w:rPr>
        <w:t xml:space="preserve"> </w:t>
      </w:r>
      <w:r>
        <w:t>next</w:t>
      </w:r>
      <w:r>
        <w:rPr>
          <w:spacing w:val="-14"/>
        </w:rPr>
        <w:t xml:space="preserve"> </w:t>
      </w:r>
      <w:r>
        <w:t>generation’s</w:t>
      </w:r>
      <w:r>
        <w:rPr>
          <w:spacing w:val="-14"/>
        </w:rPr>
        <w:t xml:space="preserve"> </w:t>
      </w:r>
      <w:r>
        <w:t>use</w:t>
      </w:r>
      <w:r>
        <w:rPr>
          <w:spacing w:val="-14"/>
        </w:rPr>
        <w:t xml:space="preserve"> </w:t>
      </w:r>
      <w:r>
        <w:t>of</w:t>
      </w:r>
      <w:r>
        <w:rPr>
          <w:spacing w:val="-14"/>
        </w:rPr>
        <w:t xml:space="preserve"> </w:t>
      </w:r>
      <w:r>
        <w:t>technology.</w:t>
      </w:r>
    </w:p>
    <w:p w:rsidR="002C1123" w:rsidRDefault="002060EF">
      <w:pPr>
        <w:pStyle w:val="BodyText"/>
        <w:rPr>
          <w:sz w:val="13"/>
        </w:rPr>
      </w:pPr>
      <w:r>
        <w:pict>
          <v:shape id="docshape2616" o:spid="_x0000_s1407" type="#_x0000_t202" style="position:absolute;margin-left:552.3pt;margin-top:8.7pt;width:239pt;height:45.35pt;z-index:-251328512;mso-wrap-distance-left:0;mso-wrap-distance-right:0;mso-position-horizontal-relative:page" fillcolor="#e1e0e1" stroked="f">
            <v:textbox inset="0,0,0,0">
              <w:txbxContent>
                <w:p w:rsidR="00F22F94" w:rsidRDefault="00F22F94">
                  <w:pPr>
                    <w:pStyle w:val="BodyText"/>
                    <w:spacing w:before="68" w:line="249" w:lineRule="auto"/>
                    <w:ind w:left="113" w:right="498"/>
                    <w:jc w:val="both"/>
                    <w:rPr>
                      <w:color w:val="000000"/>
                    </w:rPr>
                  </w:pPr>
                  <w:r>
                    <w:rPr>
                      <w:color w:val="00AEEF"/>
                    </w:rPr>
                    <w:t>Recommendation</w:t>
                  </w:r>
                  <w:r>
                    <w:rPr>
                      <w:color w:val="00AEEF"/>
                      <w:spacing w:val="10"/>
                    </w:rPr>
                    <w:t xml:space="preserve"> </w:t>
                  </w:r>
                  <w:r>
                    <w:rPr>
                      <w:color w:val="000000"/>
                    </w:rPr>
                    <w:t>Infrastructure</w:t>
                  </w:r>
                  <w:r>
                    <w:rPr>
                      <w:color w:val="000000"/>
                      <w:spacing w:val="-14"/>
                    </w:rPr>
                    <w:t xml:space="preserve"> </w:t>
                  </w:r>
                  <w:r>
                    <w:rPr>
                      <w:color w:val="000000"/>
                    </w:rPr>
                    <w:t>NSW</w:t>
                  </w:r>
                  <w:r>
                    <w:rPr>
                      <w:color w:val="000000"/>
                      <w:spacing w:val="-14"/>
                    </w:rPr>
                    <w:t xml:space="preserve"> </w:t>
                  </w:r>
                  <w:r>
                    <w:rPr>
                      <w:color w:val="000000"/>
                    </w:rPr>
                    <w:t xml:space="preserve">supports </w:t>
                  </w:r>
                  <w:r>
                    <w:rPr>
                      <w:color w:val="000000"/>
                      <w:w w:val="95"/>
                    </w:rPr>
                    <w:t xml:space="preserve">rapid development of new classroom design and </w:t>
                  </w:r>
                  <w:r>
                    <w:rPr>
                      <w:color w:val="000000"/>
                    </w:rPr>
                    <w:t>standards for</w:t>
                  </w:r>
                  <w:r>
                    <w:rPr>
                      <w:color w:val="000000"/>
                      <w:spacing w:val="-1"/>
                    </w:rPr>
                    <w:t xml:space="preserve"> </w:t>
                  </w:r>
                  <w:r>
                    <w:rPr>
                      <w:color w:val="000000"/>
                    </w:rPr>
                    <w:t>technology-driven learning.</w:t>
                  </w:r>
                </w:p>
              </w:txbxContent>
            </v:textbox>
            <w10:wrap type="topAndBottom" anchorx="page"/>
          </v:shape>
        </w:pict>
      </w:r>
    </w:p>
    <w:p w:rsidR="002C1123" w:rsidRDefault="002C1123">
      <w:pPr>
        <w:rPr>
          <w:sz w:val="13"/>
        </w:rPr>
        <w:sectPr w:rsidR="002C1123">
          <w:type w:val="continuous"/>
          <w:pgSz w:w="16840" w:h="11910" w:orient="landscape"/>
          <w:pgMar w:top="560" w:right="280" w:bottom="280" w:left="500" w:header="0" w:footer="517" w:gutter="0"/>
          <w:cols w:num="3" w:space="720" w:equalWidth="0">
            <w:col w:w="5246" w:space="40"/>
            <w:col w:w="5003" w:space="39"/>
            <w:col w:w="5732"/>
          </w:cols>
        </w:sectPr>
      </w:pPr>
    </w:p>
    <w:p w:rsidR="002C1123" w:rsidRDefault="002060EF">
      <w:pPr>
        <w:pStyle w:val="BodyText"/>
      </w:pPr>
      <w:r>
        <w:lastRenderedPageBreak/>
        <w:pict>
          <v:rect id="docshape2617" o:spid="_x0000_s1406" style="position:absolute;margin-left:0;margin-top:28.35pt;width:841.9pt;height:566.95pt;z-index:-251452416;mso-position-horizontal-relative:page;mso-position-vertical-relative:page" fillcolor="#e1e0e1" stroked="f">
            <w10:wrap anchorx="page" anchory="page"/>
          </v:rect>
        </w:pict>
      </w:r>
      <w:r>
        <w:pict>
          <v:group id="docshapegroup2618" o:spid="_x0000_s1397" style="position:absolute;margin-left:0;margin-top:0;width:841.9pt;height:28.35pt;z-index:-251451392;mso-position-horizontal-relative:page;mso-position-vertical-relative:page" coordsize="16838,567">
            <v:rect id="docshape2619" o:spid="_x0000_s1405" style="position:absolute;width:16838;height:567" fillcolor="#00aeef" stroked="f"/>
            <v:shape id="docshape2620" o:spid="_x0000_s1404" type="#_x0000_t75" style="position:absolute;left:972;top:148;width:399;height:312">
              <v:imagedata r:id="rId59" o:title=""/>
            </v:shape>
            <v:shape id="docshape2621" o:spid="_x0000_s1403" style="position:absolute;left:2815;top:150;width:307;height:307" coordorigin="2815,151" coordsize="307,307" o:spt="100" adj="0,,0" path="m3055,284r-173,l2882,324r173,l3055,284xm3121,304r-12,-60l3095,223r,81l3085,353r-27,40l3017,421r-49,9l2919,421r-40,-28l2852,353r-10,-49l2852,255r27,-40l2919,187r49,-9l3017,187r41,28l3085,255r10,49l3095,223r-19,-27l3049,178r-21,-15l2968,151r-59,12l2860,196r-33,48l2815,304r12,60l2860,412r49,33l2968,457r60,-12l3049,430r27,-18l3109,364r12,-60xe" stroked="f">
              <v:stroke joinstyle="round"/>
              <v:formulas/>
              <v:path arrowok="t" o:connecttype="segments"/>
            </v:shape>
            <v:shape id="docshape2622" o:spid="_x0000_s1402" type="#_x0000_t75" style="position:absolute;left:3250;top:150;width:307;height:307">
              <v:imagedata r:id="rId60" o:title=""/>
            </v:shape>
            <v:shape id="docshape2623" o:spid="_x0000_s1401" type="#_x0000_t75" style="position:absolute;left:14523;top:147;width:330;height:313">
              <v:imagedata r:id="rId61" o:title=""/>
            </v:shape>
            <v:shape id="docshape2624" o:spid="_x0000_s1400" type="#_x0000_t75" style="position:absolute;left:15144;top:150;width:307;height:307">
              <v:imagedata r:id="rId62" o:title=""/>
            </v:shape>
            <v:shape id="docshape2625" o:spid="_x0000_s1399" type="#_x0000_t75" style="position:absolute;left:15557;top:150;width:307;height:307">
              <v:imagedata r:id="rId63" o:title=""/>
            </v:shape>
            <v:shape id="docshape2626" o:spid="_x0000_s1398" type="#_x0000_t75" style="position:absolute;left:1687;top:147;width:314;height:313">
              <v:imagedata r:id="rId64" o:title=""/>
            </v:shape>
            <w10:wrap anchorx="page" anchory="page"/>
          </v:group>
        </w:pict>
      </w: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2"/>
        <w:rPr>
          <w:sz w:val="18"/>
        </w:rPr>
      </w:pPr>
    </w:p>
    <w:p w:rsidR="002C1123" w:rsidRDefault="00F22F94">
      <w:pPr>
        <w:spacing w:before="110"/>
        <w:ind w:left="745"/>
        <w:rPr>
          <w:b/>
          <w:sz w:val="18"/>
        </w:rPr>
      </w:pPr>
      <w:bookmarkStart w:id="363" w:name="_bookmark257"/>
      <w:bookmarkEnd w:id="363"/>
      <w:r>
        <w:rPr>
          <w:b/>
          <w:sz w:val="18"/>
        </w:rPr>
        <w:t>Figure</w:t>
      </w:r>
      <w:r>
        <w:rPr>
          <w:b/>
          <w:spacing w:val="3"/>
          <w:sz w:val="18"/>
        </w:rPr>
        <w:t xml:space="preserve"> </w:t>
      </w:r>
      <w:r>
        <w:rPr>
          <w:b/>
          <w:sz w:val="18"/>
        </w:rPr>
        <w:t>14.4</w:t>
      </w:r>
      <w:r>
        <w:rPr>
          <w:b/>
          <w:spacing w:val="57"/>
          <w:sz w:val="18"/>
        </w:rPr>
        <w:t xml:space="preserve"> </w:t>
      </w:r>
      <w:r>
        <w:rPr>
          <w:b/>
          <w:sz w:val="18"/>
        </w:rPr>
        <w:t>New</w:t>
      </w:r>
      <w:r>
        <w:rPr>
          <w:b/>
          <w:spacing w:val="4"/>
          <w:sz w:val="18"/>
        </w:rPr>
        <w:t xml:space="preserve"> </w:t>
      </w:r>
      <w:r>
        <w:rPr>
          <w:b/>
          <w:sz w:val="18"/>
        </w:rPr>
        <w:t>Schools</w:t>
      </w:r>
      <w:r>
        <w:rPr>
          <w:b/>
          <w:spacing w:val="4"/>
          <w:sz w:val="18"/>
        </w:rPr>
        <w:t xml:space="preserve"> </w:t>
      </w:r>
      <w:r>
        <w:rPr>
          <w:b/>
          <w:sz w:val="18"/>
        </w:rPr>
        <w:t>and</w:t>
      </w:r>
      <w:r>
        <w:rPr>
          <w:b/>
          <w:spacing w:val="4"/>
          <w:sz w:val="18"/>
        </w:rPr>
        <w:t xml:space="preserve"> </w:t>
      </w:r>
      <w:r>
        <w:rPr>
          <w:b/>
          <w:sz w:val="18"/>
        </w:rPr>
        <w:t>Demographic</w:t>
      </w:r>
      <w:r>
        <w:rPr>
          <w:b/>
          <w:spacing w:val="3"/>
          <w:sz w:val="18"/>
        </w:rPr>
        <w:t xml:space="preserve"> </w:t>
      </w:r>
      <w:r>
        <w:rPr>
          <w:b/>
          <w:sz w:val="18"/>
        </w:rPr>
        <w:t>Trends</w:t>
      </w:r>
      <w:r>
        <w:rPr>
          <w:b/>
          <w:spacing w:val="4"/>
          <w:sz w:val="18"/>
        </w:rPr>
        <w:t xml:space="preserve"> </w:t>
      </w:r>
      <w:r>
        <w:rPr>
          <w:b/>
          <w:sz w:val="18"/>
        </w:rPr>
        <w:t>by</w:t>
      </w:r>
      <w:r>
        <w:rPr>
          <w:b/>
          <w:spacing w:val="4"/>
          <w:sz w:val="18"/>
        </w:rPr>
        <w:t xml:space="preserve"> </w:t>
      </w:r>
      <w:r>
        <w:rPr>
          <w:b/>
          <w:spacing w:val="-2"/>
          <w:sz w:val="18"/>
        </w:rPr>
        <w:t>region</w:t>
      </w:r>
    </w:p>
    <w:p w:rsidR="002C1123" w:rsidRDefault="002C1123">
      <w:pPr>
        <w:pStyle w:val="BodyText"/>
        <w:rPr>
          <w:b/>
        </w:rPr>
      </w:pPr>
    </w:p>
    <w:p w:rsidR="002C1123" w:rsidRDefault="002060EF">
      <w:pPr>
        <w:pStyle w:val="BodyText"/>
        <w:spacing w:before="10"/>
        <w:rPr>
          <w:b/>
          <w:sz w:val="27"/>
        </w:rPr>
      </w:pPr>
      <w:r>
        <w:pict>
          <v:group id="docshapegroup2627" o:spid="_x0000_s1383" style="position:absolute;margin-left:83.95pt;margin-top:17.25pt;width:716.05pt;height:255pt;z-index:-251327488;mso-wrap-distance-left:0;mso-wrap-distance-right:0;mso-position-horizontal-relative:page" coordorigin="1679,345" coordsize="14321,5100">
            <v:shape id="docshape2628" o:spid="_x0000_s1396" type="#_x0000_t75" style="position:absolute;left:1678;top:344;width:14321;height:4925">
              <v:imagedata r:id="rId230" o:title=""/>
            </v:shape>
            <v:shape id="docshape2629" o:spid="_x0000_s1395" type="#_x0000_t202" style="position:absolute;left:1693;top:404;width:1347;height:234" filled="f" stroked="f">
              <v:textbox inset="0,0,0,0">
                <w:txbxContent>
                  <w:p w:rsidR="00F22F94" w:rsidRDefault="00F22F94">
                    <w:pPr>
                      <w:spacing w:before="2"/>
                      <w:rPr>
                        <w:sz w:val="20"/>
                      </w:rPr>
                    </w:pPr>
                    <w:r>
                      <w:rPr>
                        <w:color w:val="2E3092"/>
                        <w:w w:val="80"/>
                        <w:sz w:val="20"/>
                      </w:rPr>
                      <w:t>New</w:t>
                    </w:r>
                    <w:r>
                      <w:rPr>
                        <w:color w:val="2E3092"/>
                        <w:spacing w:val="8"/>
                        <w:sz w:val="20"/>
                      </w:rPr>
                      <w:t xml:space="preserve"> </w:t>
                    </w:r>
                    <w:r>
                      <w:rPr>
                        <w:color w:val="2E3092"/>
                        <w:w w:val="80"/>
                        <w:sz w:val="20"/>
                      </w:rPr>
                      <w:t>South</w:t>
                    </w:r>
                    <w:r>
                      <w:rPr>
                        <w:color w:val="2E3092"/>
                        <w:spacing w:val="8"/>
                        <w:sz w:val="20"/>
                      </w:rPr>
                      <w:t xml:space="preserve"> </w:t>
                    </w:r>
                    <w:r>
                      <w:rPr>
                        <w:color w:val="2E3092"/>
                        <w:spacing w:val="-2"/>
                        <w:w w:val="80"/>
                        <w:sz w:val="20"/>
                      </w:rPr>
                      <w:t>Wales</w:t>
                    </w:r>
                  </w:p>
                </w:txbxContent>
              </v:textbox>
            </v:shape>
            <v:shape id="docshape2630" o:spid="_x0000_s1394" type="#_x0000_t202" style="position:absolute;left:10681;top:404;width:1174;height:234" filled="f" stroked="f">
              <v:textbox inset="0,0,0,0">
                <w:txbxContent>
                  <w:p w:rsidR="00F22F94" w:rsidRDefault="00F22F94">
                    <w:pPr>
                      <w:spacing w:before="2"/>
                      <w:rPr>
                        <w:sz w:val="20"/>
                      </w:rPr>
                    </w:pPr>
                    <w:r>
                      <w:rPr>
                        <w:color w:val="2E3092"/>
                        <w:w w:val="80"/>
                        <w:sz w:val="20"/>
                      </w:rPr>
                      <w:t>Greater</w:t>
                    </w:r>
                    <w:r>
                      <w:rPr>
                        <w:color w:val="2E3092"/>
                        <w:spacing w:val="2"/>
                        <w:sz w:val="20"/>
                      </w:rPr>
                      <w:t xml:space="preserve"> </w:t>
                    </w:r>
                    <w:r>
                      <w:rPr>
                        <w:color w:val="2E3092"/>
                        <w:spacing w:val="-2"/>
                        <w:w w:val="85"/>
                        <w:sz w:val="20"/>
                      </w:rPr>
                      <w:t>Sydney</w:t>
                    </w:r>
                  </w:p>
                </w:txbxContent>
              </v:textbox>
            </v:shape>
            <v:shape id="docshape2631" o:spid="_x0000_s1393" type="#_x0000_t202" style="position:absolute;left:7796;top:1117;width:935;height:185" filled="f" stroked="f">
              <v:textbox inset="0,0,0,0">
                <w:txbxContent>
                  <w:p w:rsidR="00F22F94" w:rsidRDefault="00F22F94">
                    <w:pPr>
                      <w:spacing w:before="1" w:line="183" w:lineRule="exact"/>
                      <w:rPr>
                        <w:sz w:val="16"/>
                      </w:rPr>
                    </w:pPr>
                    <w:r>
                      <w:rPr>
                        <w:w w:val="80"/>
                        <w:sz w:val="16"/>
                      </w:rPr>
                      <w:t>North</w:t>
                    </w:r>
                    <w:r>
                      <w:rPr>
                        <w:spacing w:val="-2"/>
                        <w:w w:val="80"/>
                        <w:sz w:val="16"/>
                      </w:rPr>
                      <w:t xml:space="preserve"> </w:t>
                    </w:r>
                    <w:r>
                      <w:rPr>
                        <w:w w:val="80"/>
                        <w:sz w:val="16"/>
                      </w:rPr>
                      <w:t>Coast</w:t>
                    </w:r>
                    <w:r>
                      <w:rPr>
                        <w:spacing w:val="-1"/>
                        <w:w w:val="80"/>
                        <w:sz w:val="16"/>
                      </w:rPr>
                      <w:t xml:space="preserve"> </w:t>
                    </w:r>
                    <w:r>
                      <w:rPr>
                        <w:spacing w:val="-5"/>
                        <w:w w:val="80"/>
                        <w:sz w:val="16"/>
                      </w:rPr>
                      <w:t>8%</w:t>
                    </w:r>
                  </w:p>
                </w:txbxContent>
              </v:textbox>
            </v:shape>
            <v:shape id="docshape2632" o:spid="_x0000_s1392" type="#_x0000_t202" style="position:absolute;left:10230;top:1431;width:808;height:185" filled="f" stroked="f">
              <v:textbox inset="0,0,0,0">
                <w:txbxContent>
                  <w:p w:rsidR="00F22F94" w:rsidRDefault="00F22F94">
                    <w:pPr>
                      <w:spacing w:before="1" w:line="183" w:lineRule="exact"/>
                      <w:rPr>
                        <w:sz w:val="16"/>
                      </w:rPr>
                    </w:pPr>
                    <w:r>
                      <w:rPr>
                        <w:spacing w:val="-2"/>
                        <w:w w:val="80"/>
                        <w:sz w:val="16"/>
                      </w:rPr>
                      <w:t>Western</w:t>
                    </w:r>
                    <w:r>
                      <w:rPr>
                        <w:sz w:val="16"/>
                      </w:rPr>
                      <w:t xml:space="preserve"> </w:t>
                    </w:r>
                    <w:r>
                      <w:rPr>
                        <w:spacing w:val="-5"/>
                        <w:w w:val="90"/>
                        <w:sz w:val="16"/>
                      </w:rPr>
                      <w:t>19%</w:t>
                    </w:r>
                  </w:p>
                </w:txbxContent>
              </v:textbox>
            </v:shape>
            <v:shape id="docshape2633" o:spid="_x0000_s1391" type="#_x0000_t202" style="position:absolute;left:3417;top:1738;width:1136;height:185" filled="f" stroked="f">
              <v:textbox inset="0,0,0,0">
                <w:txbxContent>
                  <w:p w:rsidR="00F22F94" w:rsidRDefault="00F22F94">
                    <w:pPr>
                      <w:spacing w:before="1" w:line="183" w:lineRule="exact"/>
                      <w:rPr>
                        <w:sz w:val="16"/>
                      </w:rPr>
                    </w:pPr>
                    <w:r>
                      <w:rPr>
                        <w:w w:val="80"/>
                        <w:sz w:val="16"/>
                      </w:rPr>
                      <w:t>Inland</w:t>
                    </w:r>
                    <w:r>
                      <w:rPr>
                        <w:spacing w:val="-2"/>
                        <w:w w:val="80"/>
                        <w:sz w:val="16"/>
                      </w:rPr>
                      <w:t xml:space="preserve"> </w:t>
                    </w:r>
                    <w:r>
                      <w:rPr>
                        <w:w w:val="80"/>
                        <w:sz w:val="16"/>
                      </w:rPr>
                      <w:t>NSW</w:t>
                    </w:r>
                    <w:r>
                      <w:rPr>
                        <w:spacing w:val="-1"/>
                        <w:w w:val="80"/>
                        <w:sz w:val="16"/>
                      </w:rPr>
                      <w:t xml:space="preserve"> </w:t>
                    </w:r>
                    <w:r>
                      <w:rPr>
                        <w:w w:val="80"/>
                        <w:sz w:val="16"/>
                      </w:rPr>
                      <w:t>-</w:t>
                    </w:r>
                    <w:r>
                      <w:rPr>
                        <w:spacing w:val="-1"/>
                        <w:w w:val="80"/>
                        <w:sz w:val="16"/>
                      </w:rPr>
                      <w:t xml:space="preserve"> </w:t>
                    </w:r>
                    <w:r>
                      <w:rPr>
                        <w:spacing w:val="-4"/>
                        <w:w w:val="80"/>
                        <w:sz w:val="16"/>
                      </w:rPr>
                      <w:t>0.7%</w:t>
                    </w:r>
                  </w:p>
                </w:txbxContent>
              </v:textbox>
            </v:shape>
            <v:shape id="docshape2634" o:spid="_x0000_s1390" type="#_x0000_t202" style="position:absolute;left:7134;top:2329;width:663;height:187" filled="f" stroked="f">
              <v:textbox inset="0,0,0,0">
                <w:txbxContent>
                  <w:p w:rsidR="00F22F94" w:rsidRDefault="00F22F94">
                    <w:pPr>
                      <w:spacing w:before="2"/>
                      <w:rPr>
                        <w:sz w:val="16"/>
                      </w:rPr>
                    </w:pPr>
                    <w:r>
                      <w:rPr>
                        <w:w w:val="80"/>
                        <w:sz w:val="16"/>
                      </w:rPr>
                      <w:t>Hunter</w:t>
                    </w:r>
                    <w:r>
                      <w:rPr>
                        <w:spacing w:val="8"/>
                        <w:sz w:val="16"/>
                      </w:rPr>
                      <w:t xml:space="preserve"> </w:t>
                    </w:r>
                    <w:r>
                      <w:rPr>
                        <w:spacing w:val="-5"/>
                        <w:w w:val="95"/>
                        <w:sz w:val="16"/>
                      </w:rPr>
                      <w:t>8%</w:t>
                    </w:r>
                  </w:p>
                </w:txbxContent>
              </v:textbox>
            </v:shape>
            <v:shape id="docshape2635" o:spid="_x0000_s1389" type="#_x0000_t202" style="position:absolute;left:12995;top:2287;width:835;height:185" filled="f" stroked="f">
              <v:textbox inset="0,0,0,0">
                <w:txbxContent>
                  <w:p w:rsidR="00F22F94" w:rsidRDefault="00F22F94">
                    <w:pPr>
                      <w:spacing w:before="1" w:line="183" w:lineRule="exact"/>
                      <w:rPr>
                        <w:sz w:val="16"/>
                      </w:rPr>
                    </w:pPr>
                    <w:r>
                      <w:rPr>
                        <w:color w:val="FFFFFF"/>
                        <w:w w:val="80"/>
                        <w:sz w:val="16"/>
                      </w:rPr>
                      <w:t>Northern</w:t>
                    </w:r>
                    <w:r>
                      <w:rPr>
                        <w:color w:val="FFFFFF"/>
                        <w:spacing w:val="-2"/>
                        <w:w w:val="90"/>
                        <w:sz w:val="16"/>
                      </w:rPr>
                      <w:t xml:space="preserve"> </w:t>
                    </w:r>
                    <w:r>
                      <w:rPr>
                        <w:color w:val="FFFFFF"/>
                        <w:spacing w:val="-5"/>
                        <w:w w:val="90"/>
                        <w:sz w:val="16"/>
                      </w:rPr>
                      <w:t>16%</w:t>
                    </w:r>
                  </w:p>
                </w:txbxContent>
              </v:textbox>
            </v:shape>
            <v:shape id="docshape2636" o:spid="_x0000_s1388" type="#_x0000_t202" style="position:absolute;left:3320;top:3545;width:660;height:185" filled="f" stroked="f">
              <v:textbox inset="0,0,0,0">
                <w:txbxContent>
                  <w:p w:rsidR="00F22F94" w:rsidRDefault="00F22F94">
                    <w:pPr>
                      <w:spacing w:before="1" w:line="183" w:lineRule="exact"/>
                      <w:rPr>
                        <w:sz w:val="16"/>
                      </w:rPr>
                    </w:pPr>
                    <w:r>
                      <w:rPr>
                        <w:color w:val="FFFFFF"/>
                        <w:w w:val="80"/>
                        <w:sz w:val="16"/>
                      </w:rPr>
                      <w:t>Murray</w:t>
                    </w:r>
                    <w:r>
                      <w:rPr>
                        <w:color w:val="FFFFFF"/>
                        <w:spacing w:val="-2"/>
                        <w:sz w:val="16"/>
                      </w:rPr>
                      <w:t xml:space="preserve"> </w:t>
                    </w:r>
                    <w:r>
                      <w:rPr>
                        <w:color w:val="FFFFFF"/>
                        <w:spacing w:val="-5"/>
                        <w:w w:val="90"/>
                        <w:sz w:val="16"/>
                      </w:rPr>
                      <w:t>4%</w:t>
                    </w:r>
                  </w:p>
                </w:txbxContent>
              </v:textbox>
            </v:shape>
            <v:shape id="docshape2637" o:spid="_x0000_s1387" type="#_x0000_t202" style="position:absolute;left:14819;top:3219;width:1007;height:368" filled="f" stroked="f">
              <v:textbox inset="0,0,0,0">
                <w:txbxContent>
                  <w:p w:rsidR="00F22F94" w:rsidRDefault="00F22F94">
                    <w:pPr>
                      <w:rPr>
                        <w:sz w:val="16"/>
                      </w:rPr>
                    </w:pPr>
                    <w:r>
                      <w:rPr>
                        <w:spacing w:val="-4"/>
                        <w:w w:val="80"/>
                        <w:sz w:val="16"/>
                      </w:rPr>
                      <w:t>Sydney</w:t>
                    </w:r>
                    <w:r>
                      <w:rPr>
                        <w:spacing w:val="-8"/>
                        <w:sz w:val="16"/>
                      </w:rPr>
                      <w:t xml:space="preserve"> </w:t>
                    </w:r>
                    <w:r>
                      <w:rPr>
                        <w:spacing w:val="-4"/>
                        <w:w w:val="80"/>
                        <w:sz w:val="16"/>
                      </w:rPr>
                      <w:t>(East</w:t>
                    </w:r>
                    <w:r>
                      <w:rPr>
                        <w:spacing w:val="-7"/>
                        <w:sz w:val="16"/>
                      </w:rPr>
                      <w:t xml:space="preserve"> </w:t>
                    </w:r>
                    <w:r>
                      <w:rPr>
                        <w:spacing w:val="-4"/>
                        <w:w w:val="80"/>
                        <w:sz w:val="16"/>
                      </w:rPr>
                      <w:t>and</w:t>
                    </w:r>
                    <w:r>
                      <w:rPr>
                        <w:sz w:val="16"/>
                      </w:rPr>
                      <w:t xml:space="preserve"> </w:t>
                    </w:r>
                    <w:r>
                      <w:rPr>
                        <w:w w:val="80"/>
                        <w:sz w:val="16"/>
                      </w:rPr>
                      <w:t>Inner</w:t>
                    </w:r>
                    <w:r>
                      <w:rPr>
                        <w:spacing w:val="-1"/>
                        <w:w w:val="80"/>
                        <w:sz w:val="16"/>
                      </w:rPr>
                      <w:t xml:space="preserve"> </w:t>
                    </w:r>
                    <w:r>
                      <w:rPr>
                        <w:w w:val="80"/>
                        <w:sz w:val="16"/>
                      </w:rPr>
                      <w:t>west)</w:t>
                    </w:r>
                    <w:r>
                      <w:rPr>
                        <w:spacing w:val="-1"/>
                        <w:w w:val="80"/>
                        <w:sz w:val="16"/>
                      </w:rPr>
                      <w:t xml:space="preserve"> </w:t>
                    </w:r>
                    <w:r>
                      <w:rPr>
                        <w:spacing w:val="-5"/>
                        <w:w w:val="80"/>
                        <w:sz w:val="16"/>
                      </w:rPr>
                      <w:t>14%</w:t>
                    </w:r>
                  </w:p>
                </w:txbxContent>
              </v:textbox>
            </v:shape>
            <v:shape id="docshape2638" o:spid="_x0000_s1386" type="#_x0000_t202" style="position:absolute;left:5776;top:4604;width:986;height:187" filled="f" stroked="f">
              <v:textbox inset="0,0,0,0">
                <w:txbxContent>
                  <w:p w:rsidR="00F22F94" w:rsidRDefault="00F22F94">
                    <w:pPr>
                      <w:spacing w:before="2"/>
                      <w:rPr>
                        <w:sz w:val="16"/>
                      </w:rPr>
                    </w:pPr>
                    <w:r>
                      <w:rPr>
                        <w:w w:val="80"/>
                        <w:sz w:val="16"/>
                      </w:rPr>
                      <w:t>South</w:t>
                    </w:r>
                    <w:r>
                      <w:rPr>
                        <w:sz w:val="16"/>
                      </w:rPr>
                      <w:t xml:space="preserve"> </w:t>
                    </w:r>
                    <w:r>
                      <w:rPr>
                        <w:w w:val="80"/>
                        <w:sz w:val="16"/>
                      </w:rPr>
                      <w:t>Coast</w:t>
                    </w:r>
                    <w:r>
                      <w:rPr>
                        <w:sz w:val="16"/>
                      </w:rPr>
                      <w:t xml:space="preserve"> </w:t>
                    </w:r>
                    <w:r>
                      <w:rPr>
                        <w:spacing w:val="-5"/>
                        <w:w w:val="80"/>
                        <w:sz w:val="16"/>
                      </w:rPr>
                      <w:t>8%</w:t>
                    </w:r>
                  </w:p>
                </w:txbxContent>
              </v:textbox>
            </v:shape>
            <v:shape id="docshape2639" o:spid="_x0000_s1385" type="#_x0000_t202" style="position:absolute;left:1688;top:5007;width:1929;height:438" filled="f" stroked="f">
              <v:textbox inset="0,0,0,0">
                <w:txbxContent>
                  <w:p w:rsidR="00F22F94" w:rsidRDefault="00F22F94">
                    <w:pPr>
                      <w:spacing w:before="23" w:line="213" w:lineRule="auto"/>
                      <w:rPr>
                        <w:sz w:val="20"/>
                      </w:rPr>
                    </w:pPr>
                    <w:r>
                      <w:rPr>
                        <w:color w:val="2E3092"/>
                        <w:w w:val="95"/>
                        <w:sz w:val="20"/>
                      </w:rPr>
                      <w:t>Percentage</w:t>
                    </w:r>
                    <w:r>
                      <w:rPr>
                        <w:color w:val="2E3092"/>
                        <w:spacing w:val="-12"/>
                        <w:w w:val="95"/>
                        <w:sz w:val="20"/>
                      </w:rPr>
                      <w:t xml:space="preserve"> </w:t>
                    </w:r>
                    <w:r>
                      <w:rPr>
                        <w:color w:val="2E3092"/>
                        <w:w w:val="95"/>
                        <w:sz w:val="20"/>
                      </w:rPr>
                      <w:t>growth</w:t>
                    </w:r>
                    <w:r>
                      <w:rPr>
                        <w:color w:val="2E3092"/>
                        <w:spacing w:val="-11"/>
                        <w:w w:val="95"/>
                        <w:sz w:val="20"/>
                      </w:rPr>
                      <w:t xml:space="preserve"> </w:t>
                    </w:r>
                    <w:r>
                      <w:rPr>
                        <w:color w:val="2E3092"/>
                        <w:w w:val="95"/>
                        <w:sz w:val="20"/>
                      </w:rPr>
                      <w:t xml:space="preserve">in </w:t>
                    </w:r>
                    <w:r>
                      <w:rPr>
                        <w:color w:val="2E3092"/>
                        <w:w w:val="85"/>
                        <w:sz w:val="20"/>
                      </w:rPr>
                      <w:t>primary</w:t>
                    </w:r>
                    <w:r>
                      <w:rPr>
                        <w:color w:val="2E3092"/>
                        <w:spacing w:val="-5"/>
                        <w:w w:val="85"/>
                        <w:sz w:val="20"/>
                      </w:rPr>
                      <w:t xml:space="preserve"> </w:t>
                    </w:r>
                    <w:r>
                      <w:rPr>
                        <w:color w:val="2E3092"/>
                        <w:w w:val="85"/>
                        <w:sz w:val="20"/>
                      </w:rPr>
                      <w:t>student</w:t>
                    </w:r>
                    <w:r>
                      <w:rPr>
                        <w:color w:val="2E3092"/>
                        <w:spacing w:val="-5"/>
                        <w:w w:val="85"/>
                        <w:sz w:val="20"/>
                      </w:rPr>
                      <w:t xml:space="preserve"> </w:t>
                    </w:r>
                    <w:r>
                      <w:rPr>
                        <w:color w:val="2E3092"/>
                        <w:w w:val="85"/>
                        <w:sz w:val="20"/>
                      </w:rPr>
                      <w:t>numbers</w:t>
                    </w:r>
                  </w:p>
                </w:txbxContent>
              </v:textbox>
            </v:shape>
            <v:shape id="docshape2640" o:spid="_x0000_s1384" type="#_x0000_t202" style="position:absolute;left:10209;top:5231;width:1173;height:185" filled="f" stroked="f">
              <v:textbox inset="0,0,0,0">
                <w:txbxContent>
                  <w:p w:rsidR="00F22F94" w:rsidRDefault="00F22F94">
                    <w:pPr>
                      <w:spacing w:before="1" w:line="183" w:lineRule="exact"/>
                      <w:rPr>
                        <w:sz w:val="16"/>
                      </w:rPr>
                    </w:pPr>
                    <w:r>
                      <w:rPr>
                        <w:w w:val="75"/>
                        <w:sz w:val="16"/>
                      </w:rPr>
                      <w:t>South</w:t>
                    </w:r>
                    <w:r>
                      <w:rPr>
                        <w:spacing w:val="5"/>
                        <w:sz w:val="16"/>
                      </w:rPr>
                      <w:t xml:space="preserve"> </w:t>
                    </w:r>
                    <w:r>
                      <w:rPr>
                        <w:w w:val="75"/>
                        <w:sz w:val="16"/>
                      </w:rPr>
                      <w:t>Western</w:t>
                    </w:r>
                    <w:r>
                      <w:rPr>
                        <w:spacing w:val="15"/>
                        <w:sz w:val="16"/>
                      </w:rPr>
                      <w:t xml:space="preserve"> </w:t>
                    </w:r>
                    <w:r>
                      <w:rPr>
                        <w:spacing w:val="-5"/>
                        <w:w w:val="75"/>
                        <w:sz w:val="16"/>
                      </w:rPr>
                      <w:t>15%</w:t>
                    </w:r>
                  </w:p>
                </w:txbxContent>
              </v:textbox>
            </v:shape>
            <w10:wrap type="topAndBottom" anchorx="page"/>
          </v:group>
        </w:pict>
      </w:r>
    </w:p>
    <w:p w:rsidR="002C1123" w:rsidRDefault="00F22F94">
      <w:pPr>
        <w:spacing w:before="160" w:line="292" w:lineRule="auto"/>
        <w:ind w:left="1743" w:right="13379"/>
        <w:rPr>
          <w:sz w:val="16"/>
        </w:rPr>
      </w:pPr>
      <w:r>
        <w:rPr>
          <w:w w:val="80"/>
          <w:sz w:val="16"/>
        </w:rPr>
        <w:t>Negative</w:t>
      </w:r>
      <w:r>
        <w:rPr>
          <w:spacing w:val="-3"/>
          <w:w w:val="80"/>
          <w:sz w:val="16"/>
        </w:rPr>
        <w:t xml:space="preserve"> </w:t>
      </w:r>
      <w:r>
        <w:rPr>
          <w:w w:val="80"/>
          <w:sz w:val="16"/>
        </w:rPr>
        <w:t>growth</w:t>
      </w:r>
      <w:r>
        <w:rPr>
          <w:sz w:val="16"/>
        </w:rPr>
        <w:t xml:space="preserve"> </w:t>
      </w:r>
      <w:r>
        <w:rPr>
          <w:spacing w:val="-4"/>
          <w:w w:val="90"/>
          <w:sz w:val="16"/>
        </w:rPr>
        <w:t>0-5%</w:t>
      </w:r>
    </w:p>
    <w:p w:rsidR="002C1123" w:rsidRDefault="002060EF">
      <w:pPr>
        <w:spacing w:line="184" w:lineRule="exact"/>
        <w:ind w:left="1743"/>
        <w:rPr>
          <w:sz w:val="16"/>
        </w:rPr>
      </w:pPr>
      <w:r>
        <w:pict>
          <v:group id="docshapegroup2641" o:spid="_x0000_s1378" style="position:absolute;left:0;text-align:left;margin-left:84.7pt;margin-top:-21.8pt;width:21.85pt;height:42.25pt;z-index:251706368;mso-position-horizontal-relative:page" coordorigin="1694,-436" coordsize="437,845">
            <v:rect id="docshape2642" o:spid="_x0000_s1382" style="position:absolute;left:1693;top:-436;width:437;height:178" fillcolor="#b2b1b3" stroked="f"/>
            <v:rect id="docshape2643" o:spid="_x0000_s1381" style="position:absolute;left:1693;top:-214;width:437;height:178" fillcolor="#9c9c9d" stroked="f"/>
            <v:rect id="docshape2644" o:spid="_x0000_s1380" style="position:absolute;left:1693;top:231;width:437;height:178" fillcolor="#2e3092" stroked="f"/>
            <v:rect id="docshape2645" o:spid="_x0000_s1379" style="position:absolute;left:1693;top:9;width:437;height:178" fillcolor="#8781bd" stroked="f"/>
            <w10:wrap anchorx="page"/>
          </v:group>
        </w:pict>
      </w:r>
      <w:r w:rsidR="00F22F94">
        <w:rPr>
          <w:noProof/>
        </w:rPr>
        <w:drawing>
          <wp:anchor distT="0" distB="0" distL="0" distR="0" simplePos="0" relativeHeight="251204608" behindDoc="0" locked="0" layoutInCell="1" allowOverlap="1">
            <wp:simplePos x="0" y="0"/>
            <wp:positionH relativeFrom="page">
              <wp:posOffset>6492580</wp:posOffset>
            </wp:positionH>
            <wp:positionV relativeFrom="paragraph">
              <wp:posOffset>-342126</wp:posOffset>
            </wp:positionV>
            <wp:extent cx="205663" cy="233629"/>
            <wp:effectExtent l="0" t="0" r="0" b="0"/>
            <wp:wrapNone/>
            <wp:docPr id="61" name="image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56.png"/>
                    <pic:cNvPicPr/>
                  </pic:nvPicPr>
                  <pic:blipFill>
                    <a:blip r:embed="rId231" cstate="print"/>
                    <a:stretch>
                      <a:fillRect/>
                    </a:stretch>
                  </pic:blipFill>
                  <pic:spPr>
                    <a:xfrm>
                      <a:off x="0" y="0"/>
                      <a:ext cx="205663" cy="233629"/>
                    </a:xfrm>
                    <a:prstGeom prst="rect">
                      <a:avLst/>
                    </a:prstGeom>
                  </pic:spPr>
                </pic:pic>
              </a:graphicData>
            </a:graphic>
          </wp:anchor>
        </w:drawing>
      </w:r>
      <w:r w:rsidR="00F22F94">
        <w:rPr>
          <w:noProof/>
        </w:rPr>
        <w:drawing>
          <wp:anchor distT="0" distB="0" distL="0" distR="0" simplePos="0" relativeHeight="251205632" behindDoc="0" locked="0" layoutInCell="1" allowOverlap="1">
            <wp:simplePos x="0" y="0"/>
            <wp:positionH relativeFrom="page">
              <wp:posOffset>6760213</wp:posOffset>
            </wp:positionH>
            <wp:positionV relativeFrom="paragraph">
              <wp:posOffset>-342126</wp:posOffset>
            </wp:positionV>
            <wp:extent cx="205663" cy="233629"/>
            <wp:effectExtent l="0" t="0" r="0" b="0"/>
            <wp:wrapNone/>
            <wp:docPr id="63" name="image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57.png"/>
                    <pic:cNvPicPr/>
                  </pic:nvPicPr>
                  <pic:blipFill>
                    <a:blip r:embed="rId232" cstate="print"/>
                    <a:stretch>
                      <a:fillRect/>
                    </a:stretch>
                  </pic:blipFill>
                  <pic:spPr>
                    <a:xfrm>
                      <a:off x="0" y="0"/>
                      <a:ext cx="205663" cy="233629"/>
                    </a:xfrm>
                    <a:prstGeom prst="rect">
                      <a:avLst/>
                    </a:prstGeom>
                  </pic:spPr>
                </pic:pic>
              </a:graphicData>
            </a:graphic>
          </wp:anchor>
        </w:drawing>
      </w:r>
      <w:r w:rsidR="00F22F94">
        <w:rPr>
          <w:noProof/>
        </w:rPr>
        <w:drawing>
          <wp:anchor distT="0" distB="0" distL="0" distR="0" simplePos="0" relativeHeight="251206656" behindDoc="0" locked="0" layoutInCell="1" allowOverlap="1">
            <wp:simplePos x="0" y="0"/>
            <wp:positionH relativeFrom="page">
              <wp:posOffset>7027844</wp:posOffset>
            </wp:positionH>
            <wp:positionV relativeFrom="paragraph">
              <wp:posOffset>-342126</wp:posOffset>
            </wp:positionV>
            <wp:extent cx="205663" cy="233629"/>
            <wp:effectExtent l="0" t="0" r="0" b="0"/>
            <wp:wrapNone/>
            <wp:docPr id="65" name="image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56.png"/>
                    <pic:cNvPicPr/>
                  </pic:nvPicPr>
                  <pic:blipFill>
                    <a:blip r:embed="rId231" cstate="print"/>
                    <a:stretch>
                      <a:fillRect/>
                    </a:stretch>
                  </pic:blipFill>
                  <pic:spPr>
                    <a:xfrm>
                      <a:off x="0" y="0"/>
                      <a:ext cx="205663" cy="233629"/>
                    </a:xfrm>
                    <a:prstGeom prst="rect">
                      <a:avLst/>
                    </a:prstGeom>
                  </pic:spPr>
                </pic:pic>
              </a:graphicData>
            </a:graphic>
          </wp:anchor>
        </w:drawing>
      </w:r>
      <w:r w:rsidR="00F22F94">
        <w:rPr>
          <w:noProof/>
        </w:rPr>
        <w:drawing>
          <wp:anchor distT="0" distB="0" distL="0" distR="0" simplePos="0" relativeHeight="251207680" behindDoc="0" locked="0" layoutInCell="1" allowOverlap="1">
            <wp:simplePos x="0" y="0"/>
            <wp:positionH relativeFrom="page">
              <wp:posOffset>6492580</wp:posOffset>
            </wp:positionH>
            <wp:positionV relativeFrom="paragraph">
              <wp:posOffset>-56063</wp:posOffset>
            </wp:positionV>
            <wp:extent cx="205663" cy="233629"/>
            <wp:effectExtent l="0" t="0" r="0" b="0"/>
            <wp:wrapNone/>
            <wp:docPr id="67" name="image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56.png"/>
                    <pic:cNvPicPr/>
                  </pic:nvPicPr>
                  <pic:blipFill>
                    <a:blip r:embed="rId231" cstate="print"/>
                    <a:stretch>
                      <a:fillRect/>
                    </a:stretch>
                  </pic:blipFill>
                  <pic:spPr>
                    <a:xfrm>
                      <a:off x="0" y="0"/>
                      <a:ext cx="205663" cy="233629"/>
                    </a:xfrm>
                    <a:prstGeom prst="rect">
                      <a:avLst/>
                    </a:prstGeom>
                  </pic:spPr>
                </pic:pic>
              </a:graphicData>
            </a:graphic>
          </wp:anchor>
        </w:drawing>
      </w:r>
      <w:r w:rsidR="00F22F94">
        <w:rPr>
          <w:noProof/>
        </w:rPr>
        <w:drawing>
          <wp:anchor distT="0" distB="0" distL="0" distR="0" simplePos="0" relativeHeight="251208704" behindDoc="0" locked="0" layoutInCell="1" allowOverlap="1">
            <wp:simplePos x="0" y="0"/>
            <wp:positionH relativeFrom="page">
              <wp:posOffset>6760213</wp:posOffset>
            </wp:positionH>
            <wp:positionV relativeFrom="paragraph">
              <wp:posOffset>-56063</wp:posOffset>
            </wp:positionV>
            <wp:extent cx="205663" cy="233629"/>
            <wp:effectExtent l="0" t="0" r="0" b="0"/>
            <wp:wrapNone/>
            <wp:docPr id="69" name="image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58.png"/>
                    <pic:cNvPicPr/>
                  </pic:nvPicPr>
                  <pic:blipFill>
                    <a:blip r:embed="rId233" cstate="print"/>
                    <a:stretch>
                      <a:fillRect/>
                    </a:stretch>
                  </pic:blipFill>
                  <pic:spPr>
                    <a:xfrm>
                      <a:off x="0" y="0"/>
                      <a:ext cx="205663" cy="233629"/>
                    </a:xfrm>
                    <a:prstGeom prst="rect">
                      <a:avLst/>
                    </a:prstGeom>
                  </pic:spPr>
                </pic:pic>
              </a:graphicData>
            </a:graphic>
          </wp:anchor>
        </w:drawing>
      </w:r>
      <w:r w:rsidR="00F22F94">
        <w:rPr>
          <w:noProof/>
        </w:rPr>
        <w:drawing>
          <wp:anchor distT="0" distB="0" distL="0" distR="0" simplePos="0" relativeHeight="251209728" behindDoc="0" locked="0" layoutInCell="1" allowOverlap="1">
            <wp:simplePos x="0" y="0"/>
            <wp:positionH relativeFrom="page">
              <wp:posOffset>7027844</wp:posOffset>
            </wp:positionH>
            <wp:positionV relativeFrom="paragraph">
              <wp:posOffset>-56063</wp:posOffset>
            </wp:positionV>
            <wp:extent cx="205663" cy="233629"/>
            <wp:effectExtent l="0" t="0" r="0" b="0"/>
            <wp:wrapNone/>
            <wp:docPr id="71" name="image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56.png"/>
                    <pic:cNvPicPr/>
                  </pic:nvPicPr>
                  <pic:blipFill>
                    <a:blip r:embed="rId231" cstate="print"/>
                    <a:stretch>
                      <a:fillRect/>
                    </a:stretch>
                  </pic:blipFill>
                  <pic:spPr>
                    <a:xfrm>
                      <a:off x="0" y="0"/>
                      <a:ext cx="205663" cy="233629"/>
                    </a:xfrm>
                    <a:prstGeom prst="rect">
                      <a:avLst/>
                    </a:prstGeom>
                  </pic:spPr>
                </pic:pic>
              </a:graphicData>
            </a:graphic>
          </wp:anchor>
        </w:drawing>
      </w:r>
      <w:r w:rsidR="00F22F94">
        <w:rPr>
          <w:w w:val="85"/>
          <w:sz w:val="16"/>
        </w:rPr>
        <w:t>5-</w:t>
      </w:r>
      <w:r w:rsidR="00F22F94">
        <w:rPr>
          <w:spacing w:val="-5"/>
          <w:sz w:val="16"/>
        </w:rPr>
        <w:t>10%</w:t>
      </w:r>
    </w:p>
    <w:p w:rsidR="002C1123" w:rsidRDefault="00F22F94">
      <w:pPr>
        <w:spacing w:before="41" w:line="398" w:lineRule="auto"/>
        <w:ind w:left="1743" w:right="13042"/>
        <w:rPr>
          <w:sz w:val="16"/>
        </w:rPr>
      </w:pPr>
      <w:r>
        <w:rPr>
          <w:noProof/>
        </w:rPr>
        <w:drawing>
          <wp:anchor distT="0" distB="0" distL="0" distR="0" simplePos="0" relativeHeight="251203584" behindDoc="0" locked="0" layoutInCell="1" allowOverlap="1">
            <wp:simplePos x="0" y="0"/>
            <wp:positionH relativeFrom="page">
              <wp:posOffset>1111484</wp:posOffset>
            </wp:positionH>
            <wp:positionV relativeFrom="paragraph">
              <wp:posOffset>192908</wp:posOffset>
            </wp:positionV>
            <wp:extent cx="205651" cy="233629"/>
            <wp:effectExtent l="0" t="0" r="0" b="0"/>
            <wp:wrapNone/>
            <wp:docPr id="73" name="image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59.png"/>
                    <pic:cNvPicPr/>
                  </pic:nvPicPr>
                  <pic:blipFill>
                    <a:blip r:embed="rId234" cstate="print"/>
                    <a:stretch>
                      <a:fillRect/>
                    </a:stretch>
                  </pic:blipFill>
                  <pic:spPr>
                    <a:xfrm>
                      <a:off x="0" y="0"/>
                      <a:ext cx="205651" cy="233629"/>
                    </a:xfrm>
                    <a:prstGeom prst="rect">
                      <a:avLst/>
                    </a:prstGeom>
                  </pic:spPr>
                </pic:pic>
              </a:graphicData>
            </a:graphic>
          </wp:anchor>
        </w:drawing>
      </w:r>
      <w:r>
        <w:rPr>
          <w:w w:val="80"/>
          <w:sz w:val="16"/>
        </w:rPr>
        <w:t>Greater</w:t>
      </w:r>
      <w:r>
        <w:rPr>
          <w:spacing w:val="-2"/>
          <w:w w:val="80"/>
          <w:sz w:val="16"/>
        </w:rPr>
        <w:t xml:space="preserve"> </w:t>
      </w:r>
      <w:r>
        <w:rPr>
          <w:w w:val="80"/>
          <w:sz w:val="16"/>
        </w:rPr>
        <w:t>than</w:t>
      </w:r>
      <w:r>
        <w:rPr>
          <w:spacing w:val="-2"/>
          <w:w w:val="80"/>
          <w:sz w:val="16"/>
        </w:rPr>
        <w:t xml:space="preserve"> </w:t>
      </w:r>
      <w:r>
        <w:rPr>
          <w:w w:val="80"/>
          <w:sz w:val="16"/>
        </w:rPr>
        <w:t>10%</w:t>
      </w:r>
      <w:r>
        <w:rPr>
          <w:sz w:val="16"/>
        </w:rPr>
        <w:t xml:space="preserve"> </w:t>
      </w:r>
      <w:r>
        <w:rPr>
          <w:w w:val="90"/>
          <w:sz w:val="16"/>
        </w:rPr>
        <w:t>New</w:t>
      </w:r>
      <w:r>
        <w:rPr>
          <w:spacing w:val="-4"/>
          <w:w w:val="90"/>
          <w:sz w:val="16"/>
        </w:rPr>
        <w:t xml:space="preserve"> </w:t>
      </w:r>
      <w:r>
        <w:rPr>
          <w:w w:val="90"/>
          <w:sz w:val="16"/>
        </w:rPr>
        <w:t>School</w:t>
      </w: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1"/>
      </w:pPr>
    </w:p>
    <w:p w:rsidR="002C1123" w:rsidRDefault="00F22F94">
      <w:pPr>
        <w:spacing w:before="107"/>
        <w:ind w:left="752"/>
        <w:rPr>
          <w:sz w:val="14"/>
        </w:rPr>
      </w:pPr>
      <w:r>
        <w:rPr>
          <w:sz w:val="14"/>
        </w:rPr>
        <w:t>Source:</w:t>
      </w:r>
      <w:r>
        <w:rPr>
          <w:spacing w:val="-6"/>
          <w:sz w:val="14"/>
        </w:rPr>
        <w:t xml:space="preserve"> </w:t>
      </w:r>
      <w:r>
        <w:rPr>
          <w:sz w:val="14"/>
        </w:rPr>
        <w:t>Department</w:t>
      </w:r>
      <w:r>
        <w:rPr>
          <w:spacing w:val="-6"/>
          <w:sz w:val="14"/>
        </w:rPr>
        <w:t xml:space="preserve"> </w:t>
      </w:r>
      <w:r>
        <w:rPr>
          <w:sz w:val="14"/>
        </w:rPr>
        <w:t>of</w:t>
      </w:r>
      <w:r>
        <w:rPr>
          <w:spacing w:val="-5"/>
          <w:sz w:val="14"/>
        </w:rPr>
        <w:t xml:space="preserve"> </w:t>
      </w:r>
      <w:r>
        <w:rPr>
          <w:sz w:val="14"/>
        </w:rPr>
        <w:t>Education</w:t>
      </w:r>
      <w:r>
        <w:rPr>
          <w:spacing w:val="-6"/>
          <w:sz w:val="14"/>
        </w:rPr>
        <w:t xml:space="preserve"> </w:t>
      </w:r>
      <w:r>
        <w:rPr>
          <w:sz w:val="14"/>
        </w:rPr>
        <w:t>and</w:t>
      </w:r>
      <w:r>
        <w:rPr>
          <w:spacing w:val="-6"/>
          <w:sz w:val="14"/>
        </w:rPr>
        <w:t xml:space="preserve"> </w:t>
      </w:r>
      <w:r>
        <w:rPr>
          <w:spacing w:val="-2"/>
          <w:sz w:val="14"/>
        </w:rPr>
        <w:t>Communities.</w:t>
      </w:r>
    </w:p>
    <w:p w:rsidR="002C1123" w:rsidRDefault="00F22F94">
      <w:pPr>
        <w:spacing w:before="2"/>
        <w:ind w:left="752"/>
        <w:rPr>
          <w:sz w:val="14"/>
        </w:rPr>
      </w:pPr>
      <w:r>
        <w:rPr>
          <w:sz w:val="14"/>
        </w:rPr>
        <w:t>*</w:t>
      </w:r>
      <w:r>
        <w:rPr>
          <w:spacing w:val="-10"/>
          <w:sz w:val="14"/>
        </w:rPr>
        <w:t xml:space="preserve"> </w:t>
      </w:r>
      <w:r>
        <w:rPr>
          <w:sz w:val="14"/>
        </w:rPr>
        <w:t>Greater</w:t>
      </w:r>
      <w:r>
        <w:rPr>
          <w:spacing w:val="-9"/>
          <w:sz w:val="14"/>
        </w:rPr>
        <w:t xml:space="preserve"> </w:t>
      </w:r>
      <w:r>
        <w:rPr>
          <w:sz w:val="14"/>
        </w:rPr>
        <w:t>Sydney</w:t>
      </w:r>
      <w:r>
        <w:rPr>
          <w:spacing w:val="-9"/>
          <w:sz w:val="14"/>
        </w:rPr>
        <w:t xml:space="preserve"> </w:t>
      </w:r>
      <w:r>
        <w:rPr>
          <w:sz w:val="14"/>
        </w:rPr>
        <w:t>represented</w:t>
      </w:r>
      <w:r>
        <w:rPr>
          <w:spacing w:val="-9"/>
          <w:sz w:val="14"/>
        </w:rPr>
        <w:t xml:space="preserve"> </w:t>
      </w:r>
      <w:r>
        <w:rPr>
          <w:sz w:val="14"/>
        </w:rPr>
        <w:t>by</w:t>
      </w:r>
      <w:r>
        <w:rPr>
          <w:spacing w:val="-9"/>
          <w:sz w:val="14"/>
        </w:rPr>
        <w:t xml:space="preserve"> </w:t>
      </w:r>
      <w:r>
        <w:rPr>
          <w:sz w:val="14"/>
        </w:rPr>
        <w:t>Department</w:t>
      </w:r>
      <w:r>
        <w:rPr>
          <w:spacing w:val="-10"/>
          <w:sz w:val="14"/>
        </w:rPr>
        <w:t xml:space="preserve"> </w:t>
      </w:r>
      <w:r>
        <w:rPr>
          <w:sz w:val="14"/>
        </w:rPr>
        <w:t>of</w:t>
      </w:r>
      <w:r>
        <w:rPr>
          <w:spacing w:val="-9"/>
          <w:sz w:val="14"/>
        </w:rPr>
        <w:t xml:space="preserve"> </w:t>
      </w:r>
      <w:r>
        <w:rPr>
          <w:sz w:val="14"/>
        </w:rPr>
        <w:t>Education</w:t>
      </w:r>
      <w:r>
        <w:rPr>
          <w:spacing w:val="-9"/>
          <w:sz w:val="14"/>
        </w:rPr>
        <w:t xml:space="preserve"> </w:t>
      </w:r>
      <w:r>
        <w:rPr>
          <w:sz w:val="14"/>
        </w:rPr>
        <w:t>and</w:t>
      </w:r>
      <w:r>
        <w:rPr>
          <w:spacing w:val="-9"/>
          <w:sz w:val="14"/>
        </w:rPr>
        <w:t xml:space="preserve"> </w:t>
      </w:r>
      <w:r>
        <w:rPr>
          <w:sz w:val="14"/>
        </w:rPr>
        <w:t>Communities</w:t>
      </w:r>
      <w:r>
        <w:rPr>
          <w:spacing w:val="-9"/>
          <w:sz w:val="14"/>
        </w:rPr>
        <w:t xml:space="preserve"> </w:t>
      </w:r>
      <w:r>
        <w:rPr>
          <w:spacing w:val="-2"/>
          <w:sz w:val="14"/>
        </w:rPr>
        <w:t>boundaries.</w:t>
      </w:r>
    </w:p>
    <w:p w:rsidR="002C1123" w:rsidRDefault="002C1123">
      <w:pPr>
        <w:pStyle w:val="BodyText"/>
      </w:pPr>
    </w:p>
    <w:p w:rsidR="002C1123" w:rsidRDefault="002C1123">
      <w:pPr>
        <w:pStyle w:val="BodyText"/>
        <w:spacing w:before="2"/>
        <w:rPr>
          <w:sz w:val="23"/>
        </w:rPr>
      </w:pPr>
    </w:p>
    <w:p w:rsidR="002C1123" w:rsidRDefault="00F22F94">
      <w:pPr>
        <w:spacing w:before="105"/>
        <w:ind w:right="285"/>
        <w:jc w:val="right"/>
        <w:rPr>
          <w:sz w:val="14"/>
        </w:rPr>
      </w:pPr>
      <w:r>
        <w:rPr>
          <w:w w:val="95"/>
          <w:sz w:val="14"/>
        </w:rPr>
        <w:t>Infrastructure</w:t>
      </w:r>
      <w:r>
        <w:rPr>
          <w:spacing w:val="12"/>
          <w:sz w:val="14"/>
        </w:rPr>
        <w:t xml:space="preserve"> </w:t>
      </w:r>
      <w:r>
        <w:rPr>
          <w:w w:val="95"/>
          <w:sz w:val="14"/>
        </w:rPr>
        <w:t>NSW</w:t>
      </w:r>
      <w:r>
        <w:rPr>
          <w:spacing w:val="12"/>
          <w:sz w:val="14"/>
        </w:rPr>
        <w:t xml:space="preserve"> </w:t>
      </w:r>
      <w:r>
        <w:rPr>
          <w:w w:val="95"/>
          <w:sz w:val="14"/>
        </w:rPr>
        <w:t>|</w:t>
      </w:r>
      <w:r>
        <w:rPr>
          <w:spacing w:val="12"/>
          <w:sz w:val="14"/>
        </w:rPr>
        <w:t xml:space="preserve"> </w:t>
      </w:r>
      <w:r>
        <w:rPr>
          <w:w w:val="95"/>
          <w:sz w:val="14"/>
        </w:rPr>
        <w:t>State</w:t>
      </w:r>
      <w:r>
        <w:rPr>
          <w:spacing w:val="13"/>
          <w:sz w:val="14"/>
        </w:rPr>
        <w:t xml:space="preserve"> </w:t>
      </w:r>
      <w:r>
        <w:rPr>
          <w:w w:val="95"/>
          <w:sz w:val="14"/>
        </w:rPr>
        <w:t>Infrastructure</w:t>
      </w:r>
      <w:r>
        <w:rPr>
          <w:spacing w:val="12"/>
          <w:sz w:val="14"/>
        </w:rPr>
        <w:t xml:space="preserve"> </w:t>
      </w:r>
      <w:r>
        <w:rPr>
          <w:spacing w:val="-2"/>
          <w:w w:val="95"/>
          <w:sz w:val="14"/>
        </w:rPr>
        <w:t>Strategy</w:t>
      </w:r>
    </w:p>
    <w:p w:rsidR="002C1123" w:rsidRDefault="002C1123">
      <w:pPr>
        <w:jc w:val="right"/>
        <w:rPr>
          <w:sz w:val="14"/>
        </w:rPr>
        <w:sectPr w:rsidR="002C1123">
          <w:headerReference w:type="default" r:id="rId235"/>
          <w:footerReference w:type="default" r:id="rId236"/>
          <w:pgSz w:w="16840" w:h="11910" w:orient="landscape"/>
          <w:pgMar w:top="0" w:right="280" w:bottom="280" w:left="500" w:header="0" w:footer="0"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3"/>
        <w:rPr>
          <w:sz w:val="19"/>
        </w:rPr>
      </w:pPr>
    </w:p>
    <w:p w:rsidR="002C1123" w:rsidRDefault="002C1123">
      <w:pPr>
        <w:rPr>
          <w:sz w:val="19"/>
        </w:rPr>
        <w:sectPr w:rsidR="002C1123">
          <w:headerReference w:type="default" r:id="rId237"/>
          <w:footerReference w:type="default" r:id="rId238"/>
          <w:pgSz w:w="16840" w:h="11910" w:orient="landscape"/>
          <w:pgMar w:top="560" w:right="280" w:bottom="700" w:left="500" w:header="0" w:footer="517" w:gutter="0"/>
          <w:pgNumType w:start="178"/>
          <w:cols w:space="720"/>
        </w:sectPr>
      </w:pPr>
    </w:p>
    <w:p w:rsidR="002C1123" w:rsidRDefault="00F22F94">
      <w:pPr>
        <w:pStyle w:val="Heading6"/>
        <w:numPr>
          <w:ilvl w:val="2"/>
          <w:numId w:val="39"/>
        </w:numPr>
        <w:tabs>
          <w:tab w:val="left" w:pos="1087"/>
        </w:tabs>
        <w:ind w:left="1086"/>
        <w:jc w:val="left"/>
      </w:pPr>
      <w:bookmarkStart w:id="364" w:name="_bookmark258"/>
      <w:bookmarkEnd w:id="364"/>
      <w:r>
        <w:rPr>
          <w:color w:val="00AEEF"/>
          <w:spacing w:val="-2"/>
        </w:rPr>
        <w:t>Local</w:t>
      </w:r>
      <w:r>
        <w:rPr>
          <w:color w:val="00AEEF"/>
          <w:spacing w:val="-11"/>
        </w:rPr>
        <w:t xml:space="preserve"> </w:t>
      </w:r>
      <w:r>
        <w:rPr>
          <w:color w:val="00AEEF"/>
          <w:spacing w:val="-2"/>
        </w:rPr>
        <w:t>decisions</w:t>
      </w:r>
      <w:r>
        <w:rPr>
          <w:color w:val="00AEEF"/>
          <w:spacing w:val="-11"/>
        </w:rPr>
        <w:t xml:space="preserve"> </w:t>
      </w:r>
      <w:r>
        <w:rPr>
          <w:color w:val="00AEEF"/>
          <w:spacing w:val="-2"/>
        </w:rPr>
        <w:t>for</w:t>
      </w:r>
      <w:r>
        <w:rPr>
          <w:color w:val="00AEEF"/>
          <w:spacing w:val="-11"/>
        </w:rPr>
        <w:t xml:space="preserve"> </w:t>
      </w:r>
      <w:r>
        <w:rPr>
          <w:color w:val="00AEEF"/>
          <w:spacing w:val="-2"/>
        </w:rPr>
        <w:t>better</w:t>
      </w:r>
      <w:r>
        <w:rPr>
          <w:color w:val="00AEEF"/>
          <w:spacing w:val="-11"/>
        </w:rPr>
        <w:t xml:space="preserve"> </w:t>
      </w:r>
      <w:r>
        <w:rPr>
          <w:color w:val="00AEEF"/>
          <w:spacing w:val="-2"/>
        </w:rPr>
        <w:t>value</w:t>
      </w:r>
      <w:r>
        <w:rPr>
          <w:color w:val="00AEEF"/>
          <w:spacing w:val="-11"/>
        </w:rPr>
        <w:t xml:space="preserve"> </w:t>
      </w:r>
      <w:r>
        <w:rPr>
          <w:color w:val="00AEEF"/>
          <w:spacing w:val="-2"/>
        </w:rPr>
        <w:t>for</w:t>
      </w:r>
      <w:r>
        <w:rPr>
          <w:color w:val="00AEEF"/>
          <w:spacing w:val="-11"/>
        </w:rPr>
        <w:t xml:space="preserve"> </w:t>
      </w:r>
      <w:r>
        <w:rPr>
          <w:color w:val="00AEEF"/>
          <w:spacing w:val="-2"/>
        </w:rPr>
        <w:t>money</w:t>
      </w:r>
    </w:p>
    <w:p w:rsidR="002C1123" w:rsidRDefault="00F22F94">
      <w:pPr>
        <w:pStyle w:val="BodyText"/>
        <w:spacing w:before="95" w:line="249" w:lineRule="auto"/>
        <w:ind w:left="492" w:right="189"/>
      </w:pPr>
      <w:r>
        <w:t>The</w:t>
      </w:r>
      <w:r>
        <w:rPr>
          <w:spacing w:val="-13"/>
        </w:rPr>
        <w:t xml:space="preserve"> </w:t>
      </w:r>
      <w:r>
        <w:t>NSW</w:t>
      </w:r>
      <w:r>
        <w:rPr>
          <w:spacing w:val="-13"/>
        </w:rPr>
        <w:t xml:space="preserve"> </w:t>
      </w:r>
      <w:r>
        <w:t>Government</w:t>
      </w:r>
      <w:r>
        <w:rPr>
          <w:spacing w:val="-13"/>
        </w:rPr>
        <w:t xml:space="preserve"> </w:t>
      </w:r>
      <w:r>
        <w:t>is</w:t>
      </w:r>
      <w:r>
        <w:rPr>
          <w:spacing w:val="-13"/>
        </w:rPr>
        <w:t xml:space="preserve"> </w:t>
      </w:r>
      <w:r>
        <w:t>implementing</w:t>
      </w:r>
      <w:r>
        <w:rPr>
          <w:spacing w:val="-13"/>
        </w:rPr>
        <w:t xml:space="preserve"> </w:t>
      </w:r>
      <w:r>
        <w:t>the</w:t>
      </w:r>
      <w:r>
        <w:rPr>
          <w:spacing w:val="-13"/>
        </w:rPr>
        <w:t xml:space="preserve"> </w:t>
      </w:r>
      <w:r>
        <w:t xml:space="preserve">Local </w:t>
      </w:r>
      <w:r>
        <w:rPr>
          <w:w w:val="95"/>
        </w:rPr>
        <w:t>Schools</w:t>
      </w:r>
      <w:r>
        <w:rPr>
          <w:spacing w:val="-2"/>
          <w:w w:val="95"/>
        </w:rPr>
        <w:t xml:space="preserve"> </w:t>
      </w:r>
      <w:r>
        <w:rPr>
          <w:w w:val="95"/>
        </w:rPr>
        <w:t>Local</w:t>
      </w:r>
      <w:r>
        <w:rPr>
          <w:spacing w:val="-2"/>
          <w:w w:val="95"/>
        </w:rPr>
        <w:t xml:space="preserve"> </w:t>
      </w:r>
      <w:r>
        <w:rPr>
          <w:w w:val="95"/>
        </w:rPr>
        <w:t>Decisions</w:t>
      </w:r>
      <w:r>
        <w:rPr>
          <w:spacing w:val="-2"/>
          <w:w w:val="95"/>
        </w:rPr>
        <w:t xml:space="preserve"> </w:t>
      </w:r>
      <w:r>
        <w:rPr>
          <w:w w:val="95"/>
        </w:rPr>
        <w:t>policy</w:t>
      </w:r>
      <w:r>
        <w:rPr>
          <w:spacing w:val="-2"/>
          <w:w w:val="95"/>
        </w:rPr>
        <w:t xml:space="preserve"> </w:t>
      </w:r>
      <w:r>
        <w:rPr>
          <w:w w:val="95"/>
        </w:rPr>
        <w:t>and</w:t>
      </w:r>
      <w:r>
        <w:rPr>
          <w:spacing w:val="-2"/>
          <w:w w:val="95"/>
        </w:rPr>
        <w:t xml:space="preserve"> </w:t>
      </w:r>
      <w:r>
        <w:rPr>
          <w:w w:val="95"/>
        </w:rPr>
        <w:t>action</w:t>
      </w:r>
      <w:r>
        <w:rPr>
          <w:spacing w:val="-2"/>
          <w:w w:val="95"/>
        </w:rPr>
        <w:t xml:space="preserve"> </w:t>
      </w:r>
      <w:r>
        <w:rPr>
          <w:w w:val="95"/>
        </w:rPr>
        <w:t>plan</w:t>
      </w:r>
      <w:r>
        <w:rPr>
          <w:spacing w:val="-2"/>
          <w:w w:val="95"/>
        </w:rPr>
        <w:t xml:space="preserve"> </w:t>
      </w:r>
      <w:r>
        <w:rPr>
          <w:w w:val="95"/>
        </w:rPr>
        <w:t xml:space="preserve">aimed </w:t>
      </w:r>
      <w:r>
        <w:t>at</w:t>
      </w:r>
      <w:r>
        <w:rPr>
          <w:spacing w:val="-12"/>
        </w:rPr>
        <w:t xml:space="preserve"> </w:t>
      </w:r>
      <w:r>
        <w:t>improving</w:t>
      </w:r>
      <w:r>
        <w:rPr>
          <w:spacing w:val="-12"/>
        </w:rPr>
        <w:t xml:space="preserve"> </w:t>
      </w:r>
      <w:r>
        <w:t>teaching</w:t>
      </w:r>
      <w:r>
        <w:rPr>
          <w:spacing w:val="-12"/>
        </w:rPr>
        <w:t xml:space="preserve"> </w:t>
      </w:r>
      <w:r>
        <w:t>and</w:t>
      </w:r>
      <w:r>
        <w:rPr>
          <w:spacing w:val="-12"/>
        </w:rPr>
        <w:t xml:space="preserve"> </w:t>
      </w:r>
      <w:r>
        <w:t>learning</w:t>
      </w:r>
      <w:r>
        <w:rPr>
          <w:spacing w:val="-12"/>
        </w:rPr>
        <w:t xml:space="preserve"> </w:t>
      </w:r>
      <w:r>
        <w:t>in</w:t>
      </w:r>
      <w:r>
        <w:rPr>
          <w:spacing w:val="-12"/>
        </w:rPr>
        <w:t xml:space="preserve"> </w:t>
      </w:r>
      <w:r>
        <w:t>public</w:t>
      </w:r>
      <w:r>
        <w:rPr>
          <w:spacing w:val="-12"/>
        </w:rPr>
        <w:t xml:space="preserve"> </w:t>
      </w:r>
      <w:r>
        <w:t>schools by</w:t>
      </w:r>
      <w:r>
        <w:rPr>
          <w:spacing w:val="-11"/>
        </w:rPr>
        <w:t xml:space="preserve"> </w:t>
      </w:r>
      <w:r>
        <w:t>increasing</w:t>
      </w:r>
      <w:r>
        <w:rPr>
          <w:spacing w:val="-11"/>
        </w:rPr>
        <w:t xml:space="preserve"> </w:t>
      </w:r>
      <w:r>
        <w:t>the</w:t>
      </w:r>
      <w:r>
        <w:rPr>
          <w:spacing w:val="-11"/>
        </w:rPr>
        <w:t xml:space="preserve"> </w:t>
      </w:r>
      <w:r>
        <w:t>authority</w:t>
      </w:r>
      <w:r>
        <w:rPr>
          <w:spacing w:val="-11"/>
        </w:rPr>
        <w:t xml:space="preserve"> </w:t>
      </w:r>
      <w:r>
        <w:t>of</w:t>
      </w:r>
      <w:r>
        <w:rPr>
          <w:spacing w:val="-11"/>
        </w:rPr>
        <w:t xml:space="preserve"> </w:t>
      </w:r>
      <w:r>
        <w:t>local</w:t>
      </w:r>
      <w:r>
        <w:rPr>
          <w:spacing w:val="-11"/>
        </w:rPr>
        <w:t xml:space="preserve"> </w:t>
      </w:r>
      <w:r>
        <w:t>schools</w:t>
      </w:r>
      <w:r>
        <w:rPr>
          <w:spacing w:val="-11"/>
        </w:rPr>
        <w:t xml:space="preserve"> </w:t>
      </w:r>
      <w:r>
        <w:t>to</w:t>
      </w:r>
      <w:r>
        <w:rPr>
          <w:spacing w:val="-11"/>
        </w:rPr>
        <w:t xml:space="preserve"> </w:t>
      </w:r>
      <w:r>
        <w:t>make</w:t>
      </w:r>
    </w:p>
    <w:p w:rsidR="002C1123" w:rsidRDefault="00F22F94">
      <w:pPr>
        <w:pStyle w:val="BodyText"/>
        <w:spacing w:before="3" w:line="249" w:lineRule="auto"/>
        <w:ind w:left="492"/>
      </w:pPr>
      <w:r>
        <w:rPr>
          <w:w w:val="95"/>
        </w:rPr>
        <w:t>decisions</w:t>
      </w:r>
      <w:r>
        <w:rPr>
          <w:spacing w:val="-2"/>
          <w:w w:val="95"/>
        </w:rPr>
        <w:t xml:space="preserve"> </w:t>
      </w:r>
      <w:r>
        <w:rPr>
          <w:w w:val="95"/>
        </w:rPr>
        <w:t>about</w:t>
      </w:r>
      <w:r>
        <w:rPr>
          <w:spacing w:val="-2"/>
          <w:w w:val="95"/>
        </w:rPr>
        <w:t xml:space="preserve"> </w:t>
      </w:r>
      <w:r>
        <w:rPr>
          <w:w w:val="95"/>
        </w:rPr>
        <w:t>how</w:t>
      </w:r>
      <w:r>
        <w:rPr>
          <w:spacing w:val="-2"/>
          <w:w w:val="95"/>
        </w:rPr>
        <w:t xml:space="preserve"> </w:t>
      </w:r>
      <w:r>
        <w:rPr>
          <w:w w:val="95"/>
        </w:rPr>
        <w:t>they</w:t>
      </w:r>
      <w:r>
        <w:rPr>
          <w:spacing w:val="-2"/>
          <w:w w:val="95"/>
        </w:rPr>
        <w:t xml:space="preserve"> </w:t>
      </w:r>
      <w:r>
        <w:rPr>
          <w:w w:val="95"/>
        </w:rPr>
        <w:t>deliver</w:t>
      </w:r>
      <w:r>
        <w:rPr>
          <w:spacing w:val="-2"/>
          <w:w w:val="95"/>
        </w:rPr>
        <w:t xml:space="preserve"> </w:t>
      </w:r>
      <w:r>
        <w:rPr>
          <w:w w:val="95"/>
        </w:rPr>
        <w:t>education</w:t>
      </w:r>
      <w:r>
        <w:rPr>
          <w:spacing w:val="-2"/>
          <w:w w:val="95"/>
        </w:rPr>
        <w:t xml:space="preserve"> </w:t>
      </w:r>
      <w:r>
        <w:rPr>
          <w:w w:val="95"/>
        </w:rPr>
        <w:t>and</w:t>
      </w:r>
      <w:r>
        <w:rPr>
          <w:spacing w:val="-2"/>
          <w:w w:val="95"/>
        </w:rPr>
        <w:t xml:space="preserve"> </w:t>
      </w:r>
      <w:r>
        <w:rPr>
          <w:w w:val="95"/>
        </w:rPr>
        <w:t xml:space="preserve">maintain </w:t>
      </w:r>
      <w:r>
        <w:t>facilities for students.</w:t>
      </w:r>
    </w:p>
    <w:p w:rsidR="002C1123" w:rsidRDefault="00F22F94">
      <w:pPr>
        <w:pStyle w:val="BodyText"/>
        <w:spacing w:before="144" w:line="249" w:lineRule="auto"/>
        <w:ind w:left="492" w:right="189"/>
      </w:pPr>
      <w:r>
        <w:rPr>
          <w:w w:val="95"/>
        </w:rPr>
        <w:t>As part of this process, schools will manage a much greater</w:t>
      </w:r>
      <w:r>
        <w:rPr>
          <w:spacing w:val="-2"/>
          <w:w w:val="95"/>
        </w:rPr>
        <w:t xml:space="preserve"> </w:t>
      </w:r>
      <w:r>
        <w:rPr>
          <w:w w:val="95"/>
        </w:rPr>
        <w:t>proportion</w:t>
      </w:r>
      <w:r>
        <w:rPr>
          <w:spacing w:val="-2"/>
          <w:w w:val="95"/>
        </w:rPr>
        <w:t xml:space="preserve"> </w:t>
      </w:r>
      <w:r>
        <w:rPr>
          <w:w w:val="95"/>
        </w:rPr>
        <w:t>of</w:t>
      </w:r>
      <w:r>
        <w:rPr>
          <w:spacing w:val="-2"/>
          <w:w w:val="95"/>
        </w:rPr>
        <w:t xml:space="preserve"> </w:t>
      </w:r>
      <w:r>
        <w:rPr>
          <w:w w:val="95"/>
        </w:rPr>
        <w:t>their</w:t>
      </w:r>
      <w:r>
        <w:rPr>
          <w:spacing w:val="-2"/>
          <w:w w:val="95"/>
        </w:rPr>
        <w:t xml:space="preserve"> </w:t>
      </w:r>
      <w:r>
        <w:rPr>
          <w:w w:val="95"/>
        </w:rPr>
        <w:t>budgets.</w:t>
      </w:r>
      <w:r>
        <w:rPr>
          <w:spacing w:val="-2"/>
          <w:w w:val="95"/>
        </w:rPr>
        <w:t xml:space="preserve"> </w:t>
      </w:r>
      <w:r>
        <w:rPr>
          <w:w w:val="95"/>
        </w:rPr>
        <w:t>Schools</w:t>
      </w:r>
      <w:r>
        <w:rPr>
          <w:spacing w:val="-2"/>
          <w:w w:val="95"/>
        </w:rPr>
        <w:t xml:space="preserve"> </w:t>
      </w:r>
      <w:r>
        <w:rPr>
          <w:w w:val="95"/>
        </w:rPr>
        <w:t>have</w:t>
      </w:r>
      <w:r>
        <w:rPr>
          <w:spacing w:val="-2"/>
          <w:w w:val="95"/>
        </w:rPr>
        <w:t xml:space="preserve"> </w:t>
      </w:r>
      <w:r>
        <w:rPr>
          <w:w w:val="95"/>
        </w:rPr>
        <w:t xml:space="preserve">the choice to self-manage annual planned maintenance, </w:t>
      </w:r>
      <w:r>
        <w:t>and</w:t>
      </w:r>
      <w:r>
        <w:rPr>
          <w:spacing w:val="-6"/>
        </w:rPr>
        <w:t xml:space="preserve"> </w:t>
      </w:r>
      <w:r>
        <w:t>a</w:t>
      </w:r>
      <w:r>
        <w:rPr>
          <w:spacing w:val="-6"/>
        </w:rPr>
        <w:t xml:space="preserve"> </w:t>
      </w:r>
      <w:r>
        <w:t>$40</w:t>
      </w:r>
      <w:r>
        <w:rPr>
          <w:spacing w:val="-6"/>
        </w:rPr>
        <w:t xml:space="preserve"> </w:t>
      </w:r>
      <w:r>
        <w:t>million</w:t>
      </w:r>
      <w:r>
        <w:rPr>
          <w:spacing w:val="-6"/>
        </w:rPr>
        <w:t xml:space="preserve"> </w:t>
      </w:r>
      <w:r>
        <w:t>“Local</w:t>
      </w:r>
      <w:r>
        <w:rPr>
          <w:spacing w:val="-6"/>
        </w:rPr>
        <w:t xml:space="preserve"> </w:t>
      </w:r>
      <w:r>
        <w:t>Schools</w:t>
      </w:r>
      <w:r>
        <w:rPr>
          <w:spacing w:val="-6"/>
        </w:rPr>
        <w:t xml:space="preserve"> </w:t>
      </w:r>
      <w:r>
        <w:t>Upgrade</w:t>
      </w:r>
      <w:r>
        <w:rPr>
          <w:spacing w:val="-6"/>
        </w:rPr>
        <w:t xml:space="preserve"> </w:t>
      </w:r>
      <w:r>
        <w:t>Fund”</w:t>
      </w:r>
    </w:p>
    <w:p w:rsidR="002C1123" w:rsidRDefault="00F22F94">
      <w:pPr>
        <w:pStyle w:val="BodyText"/>
        <w:spacing w:before="3" w:line="249" w:lineRule="auto"/>
        <w:ind w:left="492" w:right="189"/>
      </w:pPr>
      <w:r>
        <w:t>has</w:t>
      </w:r>
      <w:r>
        <w:rPr>
          <w:spacing w:val="-8"/>
        </w:rPr>
        <w:t xml:space="preserve"> </w:t>
      </w:r>
      <w:r>
        <w:t>been</w:t>
      </w:r>
      <w:r>
        <w:rPr>
          <w:spacing w:val="-8"/>
        </w:rPr>
        <w:t xml:space="preserve"> </w:t>
      </w:r>
      <w:r>
        <w:t>established</w:t>
      </w:r>
      <w:r>
        <w:rPr>
          <w:spacing w:val="-8"/>
        </w:rPr>
        <w:t xml:space="preserve"> </w:t>
      </w:r>
      <w:r>
        <w:t>to</w:t>
      </w:r>
      <w:r>
        <w:rPr>
          <w:spacing w:val="-8"/>
        </w:rPr>
        <w:t xml:space="preserve"> </w:t>
      </w:r>
      <w:r>
        <w:t>empower</w:t>
      </w:r>
      <w:r>
        <w:rPr>
          <w:spacing w:val="-8"/>
        </w:rPr>
        <w:t xml:space="preserve"> </w:t>
      </w:r>
      <w:r>
        <w:t>local</w:t>
      </w:r>
      <w:r>
        <w:rPr>
          <w:spacing w:val="-8"/>
        </w:rPr>
        <w:t xml:space="preserve"> </w:t>
      </w:r>
      <w:r>
        <w:t xml:space="preserve">principals </w:t>
      </w:r>
      <w:r>
        <w:rPr>
          <w:w w:val="95"/>
        </w:rPr>
        <w:t>and</w:t>
      </w:r>
      <w:r>
        <w:rPr>
          <w:spacing w:val="-2"/>
          <w:w w:val="95"/>
        </w:rPr>
        <w:t xml:space="preserve"> </w:t>
      </w:r>
      <w:r>
        <w:rPr>
          <w:w w:val="95"/>
        </w:rPr>
        <w:t>communities</w:t>
      </w:r>
      <w:r>
        <w:rPr>
          <w:spacing w:val="-2"/>
          <w:w w:val="95"/>
        </w:rPr>
        <w:t xml:space="preserve"> </w:t>
      </w:r>
      <w:r>
        <w:rPr>
          <w:w w:val="95"/>
        </w:rPr>
        <w:t>to</w:t>
      </w:r>
      <w:r>
        <w:rPr>
          <w:spacing w:val="-2"/>
          <w:w w:val="95"/>
        </w:rPr>
        <w:t xml:space="preserve"> </w:t>
      </w:r>
      <w:r>
        <w:rPr>
          <w:w w:val="95"/>
        </w:rPr>
        <w:t>upgrade</w:t>
      </w:r>
      <w:r>
        <w:rPr>
          <w:spacing w:val="-2"/>
          <w:w w:val="95"/>
        </w:rPr>
        <w:t xml:space="preserve"> </w:t>
      </w:r>
      <w:r>
        <w:rPr>
          <w:w w:val="95"/>
        </w:rPr>
        <w:t>facilities</w:t>
      </w:r>
      <w:r>
        <w:rPr>
          <w:spacing w:val="-2"/>
          <w:w w:val="95"/>
        </w:rPr>
        <w:t xml:space="preserve"> </w:t>
      </w:r>
      <w:r>
        <w:rPr>
          <w:w w:val="95"/>
        </w:rPr>
        <w:t>based</w:t>
      </w:r>
      <w:r>
        <w:rPr>
          <w:spacing w:val="-2"/>
          <w:w w:val="95"/>
        </w:rPr>
        <w:t xml:space="preserve"> </w:t>
      </w:r>
      <w:r>
        <w:rPr>
          <w:w w:val="95"/>
        </w:rPr>
        <w:t>on</w:t>
      </w:r>
      <w:r>
        <w:rPr>
          <w:spacing w:val="-2"/>
          <w:w w:val="95"/>
        </w:rPr>
        <w:t xml:space="preserve"> </w:t>
      </w:r>
      <w:r>
        <w:rPr>
          <w:w w:val="95"/>
        </w:rPr>
        <w:t xml:space="preserve">local </w:t>
      </w:r>
      <w:r>
        <w:t>agreed</w:t>
      </w:r>
      <w:r>
        <w:rPr>
          <w:spacing w:val="-11"/>
        </w:rPr>
        <w:t xml:space="preserve"> </w:t>
      </w:r>
      <w:r>
        <w:t>priorities.</w:t>
      </w:r>
    </w:p>
    <w:p w:rsidR="002C1123" w:rsidRDefault="00F22F94">
      <w:pPr>
        <w:pStyle w:val="BodyText"/>
        <w:spacing w:before="144" w:line="249" w:lineRule="auto"/>
        <w:ind w:left="492"/>
      </w:pPr>
      <w:r>
        <w:t>A</w:t>
      </w:r>
      <w:r>
        <w:rPr>
          <w:spacing w:val="-9"/>
        </w:rPr>
        <w:t xml:space="preserve"> </w:t>
      </w:r>
      <w:r>
        <w:t>large</w:t>
      </w:r>
      <w:r>
        <w:rPr>
          <w:spacing w:val="-9"/>
        </w:rPr>
        <w:t xml:space="preserve"> </w:t>
      </w:r>
      <w:r>
        <w:t>proportion</w:t>
      </w:r>
      <w:r>
        <w:rPr>
          <w:spacing w:val="-9"/>
        </w:rPr>
        <w:t xml:space="preserve"> </w:t>
      </w:r>
      <w:r>
        <w:t>of</w:t>
      </w:r>
      <w:r>
        <w:rPr>
          <w:spacing w:val="-9"/>
        </w:rPr>
        <w:t xml:space="preserve"> </w:t>
      </w:r>
      <w:r>
        <w:t>the</w:t>
      </w:r>
      <w:r>
        <w:rPr>
          <w:spacing w:val="-9"/>
        </w:rPr>
        <w:t xml:space="preserve"> </w:t>
      </w:r>
      <w:r>
        <w:t>existing</w:t>
      </w:r>
      <w:r>
        <w:rPr>
          <w:spacing w:val="-9"/>
        </w:rPr>
        <w:t xml:space="preserve"> </w:t>
      </w:r>
      <w:r>
        <w:t>capital</w:t>
      </w:r>
      <w:r>
        <w:rPr>
          <w:spacing w:val="-9"/>
        </w:rPr>
        <w:t xml:space="preserve"> </w:t>
      </w:r>
      <w:r>
        <w:t>budget</w:t>
      </w:r>
      <w:r>
        <w:rPr>
          <w:spacing w:val="-9"/>
        </w:rPr>
        <w:t xml:space="preserve"> </w:t>
      </w:r>
      <w:r>
        <w:t xml:space="preserve">is </w:t>
      </w:r>
      <w:r>
        <w:rPr>
          <w:w w:val="95"/>
        </w:rPr>
        <w:t xml:space="preserve">absorbed in refurbishments which are often avoidable if maintenance standards had been kept up. Infrastructure </w:t>
      </w:r>
      <w:r>
        <w:t>NSW</w:t>
      </w:r>
      <w:r>
        <w:rPr>
          <w:spacing w:val="-12"/>
        </w:rPr>
        <w:t xml:space="preserve"> </w:t>
      </w:r>
      <w:r>
        <w:t>supports</w:t>
      </w:r>
      <w:r>
        <w:rPr>
          <w:spacing w:val="-12"/>
        </w:rPr>
        <w:t xml:space="preserve"> </w:t>
      </w:r>
      <w:r>
        <w:t>a</w:t>
      </w:r>
      <w:r>
        <w:rPr>
          <w:spacing w:val="-12"/>
        </w:rPr>
        <w:t xml:space="preserve"> </w:t>
      </w:r>
      <w:r>
        <w:t>minimum</w:t>
      </w:r>
      <w:r>
        <w:rPr>
          <w:spacing w:val="-12"/>
        </w:rPr>
        <w:t xml:space="preserve"> </w:t>
      </w:r>
      <w:r>
        <w:t>facilities</w:t>
      </w:r>
      <w:r>
        <w:rPr>
          <w:spacing w:val="-12"/>
        </w:rPr>
        <w:t xml:space="preserve"> </w:t>
      </w:r>
      <w:r>
        <w:t>standard</w:t>
      </w:r>
      <w:r>
        <w:rPr>
          <w:spacing w:val="-12"/>
        </w:rPr>
        <w:t xml:space="preserve"> </w:t>
      </w:r>
      <w:r>
        <w:t>with</w:t>
      </w:r>
      <w:r>
        <w:rPr>
          <w:spacing w:val="-12"/>
        </w:rPr>
        <w:t xml:space="preserve"> </w:t>
      </w:r>
      <w:r>
        <w:t>local principals</w:t>
      </w:r>
      <w:r>
        <w:rPr>
          <w:spacing w:val="-9"/>
        </w:rPr>
        <w:t xml:space="preserve"> </w:t>
      </w:r>
      <w:r>
        <w:t>responsible</w:t>
      </w:r>
      <w:r>
        <w:rPr>
          <w:spacing w:val="-9"/>
        </w:rPr>
        <w:t xml:space="preserve"> </w:t>
      </w:r>
      <w:r>
        <w:t>for</w:t>
      </w:r>
      <w:r>
        <w:rPr>
          <w:spacing w:val="-9"/>
        </w:rPr>
        <w:t xml:space="preserve"> </w:t>
      </w:r>
      <w:r>
        <w:t>monitoring</w:t>
      </w:r>
      <w:r>
        <w:rPr>
          <w:spacing w:val="-9"/>
        </w:rPr>
        <w:t xml:space="preserve"> </w:t>
      </w:r>
      <w:r>
        <w:t>the</w:t>
      </w:r>
      <w:r>
        <w:rPr>
          <w:spacing w:val="-9"/>
        </w:rPr>
        <w:t xml:space="preserve"> </w:t>
      </w:r>
      <w:r>
        <w:t>standard.</w:t>
      </w:r>
    </w:p>
    <w:p w:rsidR="002C1123" w:rsidRDefault="00F22F94">
      <w:pPr>
        <w:pStyle w:val="BodyText"/>
        <w:spacing w:before="4" w:line="249" w:lineRule="auto"/>
        <w:ind w:left="492"/>
      </w:pPr>
      <w:r>
        <w:t>Asset</w:t>
      </w:r>
      <w:r>
        <w:rPr>
          <w:spacing w:val="-8"/>
        </w:rPr>
        <w:t xml:space="preserve"> </w:t>
      </w:r>
      <w:r>
        <w:t>management</w:t>
      </w:r>
      <w:r>
        <w:rPr>
          <w:spacing w:val="-8"/>
        </w:rPr>
        <w:t xml:space="preserve"> </w:t>
      </w:r>
      <w:r>
        <w:t>plans</w:t>
      </w:r>
      <w:r>
        <w:rPr>
          <w:spacing w:val="-8"/>
        </w:rPr>
        <w:t xml:space="preserve"> </w:t>
      </w:r>
      <w:r>
        <w:t>will</w:t>
      </w:r>
      <w:r>
        <w:rPr>
          <w:spacing w:val="-8"/>
        </w:rPr>
        <w:t xml:space="preserve"> </w:t>
      </w:r>
      <w:r>
        <w:t>be</w:t>
      </w:r>
      <w:r>
        <w:rPr>
          <w:spacing w:val="-8"/>
        </w:rPr>
        <w:t xml:space="preserve"> </w:t>
      </w:r>
      <w:r>
        <w:t>provided</w:t>
      </w:r>
      <w:r>
        <w:rPr>
          <w:spacing w:val="-8"/>
        </w:rPr>
        <w:t xml:space="preserve"> </w:t>
      </w:r>
      <w:r>
        <w:t>to</w:t>
      </w:r>
      <w:r>
        <w:rPr>
          <w:spacing w:val="-8"/>
        </w:rPr>
        <w:t xml:space="preserve"> </w:t>
      </w:r>
      <w:r>
        <w:t>school communities</w:t>
      </w:r>
      <w:r>
        <w:rPr>
          <w:spacing w:val="-5"/>
        </w:rPr>
        <w:t xml:space="preserve"> </w:t>
      </w:r>
      <w:r>
        <w:t>about</w:t>
      </w:r>
      <w:r>
        <w:rPr>
          <w:spacing w:val="-5"/>
        </w:rPr>
        <w:t xml:space="preserve"> </w:t>
      </w:r>
      <w:r>
        <w:t>the</w:t>
      </w:r>
      <w:r>
        <w:rPr>
          <w:spacing w:val="-5"/>
        </w:rPr>
        <w:t xml:space="preserve"> </w:t>
      </w:r>
      <w:r>
        <w:t>condition</w:t>
      </w:r>
      <w:r>
        <w:rPr>
          <w:spacing w:val="-5"/>
        </w:rPr>
        <w:t xml:space="preserve"> </w:t>
      </w:r>
      <w:r>
        <w:t>of</w:t>
      </w:r>
      <w:r>
        <w:rPr>
          <w:spacing w:val="-5"/>
        </w:rPr>
        <w:t xml:space="preserve"> </w:t>
      </w:r>
      <w:r>
        <w:t>assets</w:t>
      </w:r>
      <w:r>
        <w:rPr>
          <w:spacing w:val="-5"/>
        </w:rPr>
        <w:t xml:space="preserve"> </w:t>
      </w:r>
      <w:r>
        <w:t>and</w:t>
      </w:r>
      <w:r>
        <w:rPr>
          <w:spacing w:val="-5"/>
        </w:rPr>
        <w:t xml:space="preserve"> </w:t>
      </w:r>
      <w:r>
        <w:t>when major</w:t>
      </w:r>
      <w:r>
        <w:rPr>
          <w:spacing w:val="-14"/>
        </w:rPr>
        <w:t xml:space="preserve"> </w:t>
      </w:r>
      <w:r>
        <w:t>refurbishments</w:t>
      </w:r>
      <w:r>
        <w:rPr>
          <w:spacing w:val="-14"/>
        </w:rPr>
        <w:t xml:space="preserve"> </w:t>
      </w:r>
      <w:r>
        <w:t>will</w:t>
      </w:r>
      <w:r>
        <w:rPr>
          <w:spacing w:val="-14"/>
        </w:rPr>
        <w:t xml:space="preserve"> </w:t>
      </w:r>
      <w:r>
        <w:t>occur.</w:t>
      </w:r>
      <w:r>
        <w:rPr>
          <w:spacing w:val="-14"/>
        </w:rPr>
        <w:t xml:space="preserve"> </w:t>
      </w:r>
      <w:r>
        <w:t>This</w:t>
      </w:r>
      <w:r>
        <w:rPr>
          <w:spacing w:val="-14"/>
        </w:rPr>
        <w:t xml:space="preserve"> </w:t>
      </w:r>
      <w:r>
        <w:t>can</w:t>
      </w:r>
      <w:r>
        <w:rPr>
          <w:spacing w:val="-14"/>
        </w:rPr>
        <w:t xml:space="preserve"> </w:t>
      </w:r>
      <w:r>
        <w:t>generate</w:t>
      </w:r>
      <w:r>
        <w:rPr>
          <w:spacing w:val="-14"/>
        </w:rPr>
        <w:t xml:space="preserve"> </w:t>
      </w:r>
      <w:r>
        <w:t xml:space="preserve">a </w:t>
      </w:r>
      <w:r>
        <w:rPr>
          <w:w w:val="95"/>
        </w:rPr>
        <w:t>range</w:t>
      </w:r>
      <w:r>
        <w:rPr>
          <w:spacing w:val="-11"/>
          <w:w w:val="95"/>
        </w:rPr>
        <w:t xml:space="preserve"> </w:t>
      </w:r>
      <w:r>
        <w:rPr>
          <w:w w:val="95"/>
        </w:rPr>
        <w:t>of</w:t>
      </w:r>
      <w:r>
        <w:rPr>
          <w:spacing w:val="-11"/>
          <w:w w:val="95"/>
        </w:rPr>
        <w:t xml:space="preserve"> </w:t>
      </w:r>
      <w:r>
        <w:rPr>
          <w:w w:val="95"/>
        </w:rPr>
        <w:t>benefits</w:t>
      </w:r>
      <w:r>
        <w:rPr>
          <w:spacing w:val="-11"/>
          <w:w w:val="95"/>
        </w:rPr>
        <w:t xml:space="preserve"> </w:t>
      </w:r>
      <w:r>
        <w:rPr>
          <w:w w:val="95"/>
        </w:rPr>
        <w:t>and</w:t>
      </w:r>
      <w:r>
        <w:rPr>
          <w:spacing w:val="-11"/>
          <w:w w:val="95"/>
        </w:rPr>
        <w:t xml:space="preserve"> </w:t>
      </w:r>
      <w:r>
        <w:rPr>
          <w:w w:val="95"/>
        </w:rPr>
        <w:t>leverage</w:t>
      </w:r>
      <w:r>
        <w:rPr>
          <w:spacing w:val="-11"/>
          <w:w w:val="95"/>
        </w:rPr>
        <w:t xml:space="preserve"> </w:t>
      </w:r>
      <w:r>
        <w:rPr>
          <w:w w:val="95"/>
        </w:rPr>
        <w:t>Parents</w:t>
      </w:r>
      <w:r>
        <w:rPr>
          <w:spacing w:val="-11"/>
          <w:w w:val="95"/>
        </w:rPr>
        <w:t xml:space="preserve"> </w:t>
      </w:r>
      <w:r>
        <w:rPr>
          <w:w w:val="95"/>
        </w:rPr>
        <w:t>and</w:t>
      </w:r>
      <w:r>
        <w:rPr>
          <w:spacing w:val="-11"/>
          <w:w w:val="95"/>
        </w:rPr>
        <w:t xml:space="preserve"> </w:t>
      </w:r>
      <w:r>
        <w:rPr>
          <w:w w:val="95"/>
        </w:rPr>
        <w:t>Citizens</w:t>
      </w:r>
      <w:r>
        <w:rPr>
          <w:spacing w:val="-11"/>
          <w:w w:val="95"/>
        </w:rPr>
        <w:t xml:space="preserve"> </w:t>
      </w:r>
      <w:r>
        <w:rPr>
          <w:w w:val="95"/>
        </w:rPr>
        <w:t xml:space="preserve">input </w:t>
      </w:r>
      <w:r>
        <w:t>to funding school facilities.</w:t>
      </w:r>
    </w:p>
    <w:p w:rsidR="002C1123" w:rsidRDefault="00F22F94">
      <w:pPr>
        <w:pStyle w:val="BodyText"/>
        <w:spacing w:before="146" w:line="249" w:lineRule="auto"/>
        <w:ind w:left="492" w:right="42"/>
      </w:pPr>
      <w:r>
        <w:t xml:space="preserve">Impact of the Building the Education Revolution </w:t>
      </w:r>
      <w:r>
        <w:rPr>
          <w:w w:val="95"/>
        </w:rPr>
        <w:t>Between</w:t>
      </w:r>
      <w:r>
        <w:rPr>
          <w:spacing w:val="-8"/>
          <w:w w:val="95"/>
        </w:rPr>
        <w:t xml:space="preserve"> </w:t>
      </w:r>
      <w:r>
        <w:rPr>
          <w:w w:val="95"/>
        </w:rPr>
        <w:t>2009-10</w:t>
      </w:r>
      <w:r>
        <w:rPr>
          <w:spacing w:val="-8"/>
          <w:w w:val="95"/>
        </w:rPr>
        <w:t xml:space="preserve"> </w:t>
      </w:r>
      <w:r>
        <w:rPr>
          <w:w w:val="95"/>
        </w:rPr>
        <w:t>to</w:t>
      </w:r>
      <w:r>
        <w:rPr>
          <w:spacing w:val="-8"/>
          <w:w w:val="95"/>
        </w:rPr>
        <w:t xml:space="preserve"> </w:t>
      </w:r>
      <w:r>
        <w:rPr>
          <w:w w:val="95"/>
        </w:rPr>
        <w:t>2010-11,</w:t>
      </w:r>
      <w:r>
        <w:rPr>
          <w:spacing w:val="-8"/>
          <w:w w:val="95"/>
        </w:rPr>
        <w:t xml:space="preserve"> </w:t>
      </w:r>
      <w:r>
        <w:rPr>
          <w:w w:val="95"/>
        </w:rPr>
        <w:t>the</w:t>
      </w:r>
      <w:r>
        <w:rPr>
          <w:spacing w:val="-8"/>
          <w:w w:val="95"/>
        </w:rPr>
        <w:t xml:space="preserve"> </w:t>
      </w:r>
      <w:r>
        <w:rPr>
          <w:w w:val="95"/>
        </w:rPr>
        <w:t>Building</w:t>
      </w:r>
      <w:r>
        <w:rPr>
          <w:spacing w:val="-8"/>
          <w:w w:val="95"/>
        </w:rPr>
        <w:t xml:space="preserve"> </w:t>
      </w:r>
      <w:r>
        <w:rPr>
          <w:w w:val="95"/>
        </w:rPr>
        <w:t>the</w:t>
      </w:r>
      <w:r>
        <w:rPr>
          <w:spacing w:val="-8"/>
          <w:w w:val="95"/>
        </w:rPr>
        <w:t xml:space="preserve"> </w:t>
      </w:r>
      <w:r>
        <w:rPr>
          <w:w w:val="95"/>
        </w:rPr>
        <w:t>Education Revolution (BER) fiscal stimulus provided an additional</w:t>
      </w:r>
    </w:p>
    <w:p w:rsidR="002C1123" w:rsidRDefault="00F22F94">
      <w:pPr>
        <w:pStyle w:val="BodyText"/>
        <w:spacing w:before="3" w:line="249" w:lineRule="auto"/>
        <w:ind w:left="492" w:right="42"/>
      </w:pPr>
      <w:r>
        <w:t>$3</w:t>
      </w:r>
      <w:r>
        <w:rPr>
          <w:spacing w:val="-13"/>
        </w:rPr>
        <w:t xml:space="preserve"> </w:t>
      </w:r>
      <w:r>
        <w:t>billion</w:t>
      </w:r>
      <w:r>
        <w:rPr>
          <w:spacing w:val="-13"/>
        </w:rPr>
        <w:t xml:space="preserve"> </w:t>
      </w:r>
      <w:r>
        <w:t>of</w:t>
      </w:r>
      <w:r>
        <w:rPr>
          <w:spacing w:val="-13"/>
        </w:rPr>
        <w:t xml:space="preserve"> </w:t>
      </w:r>
      <w:r>
        <w:t>additional</w:t>
      </w:r>
      <w:r>
        <w:rPr>
          <w:spacing w:val="-13"/>
        </w:rPr>
        <w:t xml:space="preserve"> </w:t>
      </w:r>
      <w:r>
        <w:t>investment</w:t>
      </w:r>
      <w:r>
        <w:rPr>
          <w:spacing w:val="-13"/>
        </w:rPr>
        <w:t xml:space="preserve"> </w:t>
      </w:r>
      <w:r>
        <w:t>in</w:t>
      </w:r>
      <w:r>
        <w:rPr>
          <w:spacing w:val="-13"/>
        </w:rPr>
        <w:t xml:space="preserve"> </w:t>
      </w:r>
      <w:r>
        <w:t>schools.</w:t>
      </w:r>
      <w:r>
        <w:rPr>
          <w:spacing w:val="-13"/>
        </w:rPr>
        <w:t xml:space="preserve"> </w:t>
      </w:r>
      <w:r>
        <w:t>The Commonwealth</w:t>
      </w:r>
      <w:r>
        <w:rPr>
          <w:spacing w:val="-12"/>
        </w:rPr>
        <w:t xml:space="preserve"> </w:t>
      </w:r>
      <w:r>
        <w:t>investment</w:t>
      </w:r>
      <w:r>
        <w:rPr>
          <w:spacing w:val="-12"/>
        </w:rPr>
        <w:t xml:space="preserve"> </w:t>
      </w:r>
      <w:r>
        <w:t>in</w:t>
      </w:r>
      <w:r>
        <w:rPr>
          <w:spacing w:val="-12"/>
        </w:rPr>
        <w:t xml:space="preserve"> </w:t>
      </w:r>
      <w:r>
        <w:t>infrastructure</w:t>
      </w:r>
      <w:r>
        <w:rPr>
          <w:spacing w:val="-12"/>
        </w:rPr>
        <w:t xml:space="preserve"> </w:t>
      </w:r>
      <w:r>
        <w:t>has</w:t>
      </w:r>
      <w:r>
        <w:rPr>
          <w:spacing w:val="-12"/>
        </w:rPr>
        <w:t xml:space="preserve"> </w:t>
      </w:r>
      <w:r>
        <w:t>not reduced</w:t>
      </w:r>
      <w:r>
        <w:rPr>
          <w:spacing w:val="-14"/>
        </w:rPr>
        <w:t xml:space="preserve"> </w:t>
      </w:r>
      <w:r>
        <w:t>the</w:t>
      </w:r>
      <w:r>
        <w:rPr>
          <w:spacing w:val="-14"/>
        </w:rPr>
        <w:t xml:space="preserve"> </w:t>
      </w:r>
      <w:r>
        <w:t>need</w:t>
      </w:r>
      <w:r>
        <w:rPr>
          <w:spacing w:val="-14"/>
        </w:rPr>
        <w:t xml:space="preserve"> </w:t>
      </w:r>
      <w:r>
        <w:t>for</w:t>
      </w:r>
      <w:r>
        <w:rPr>
          <w:spacing w:val="-14"/>
        </w:rPr>
        <w:t xml:space="preserve"> </w:t>
      </w:r>
      <w:r>
        <w:t>NSW</w:t>
      </w:r>
      <w:r>
        <w:rPr>
          <w:spacing w:val="-14"/>
        </w:rPr>
        <w:t xml:space="preserve"> </w:t>
      </w:r>
      <w:r>
        <w:t>Government</w:t>
      </w:r>
      <w:r>
        <w:rPr>
          <w:spacing w:val="-14"/>
        </w:rPr>
        <w:t xml:space="preserve"> </w:t>
      </w:r>
      <w:r>
        <w:t>investment</w:t>
      </w:r>
      <w:r>
        <w:rPr>
          <w:spacing w:val="-14"/>
        </w:rPr>
        <w:t xml:space="preserve"> </w:t>
      </w:r>
      <w:r>
        <w:t xml:space="preserve">in </w:t>
      </w:r>
      <w:r>
        <w:rPr>
          <w:w w:val="95"/>
        </w:rPr>
        <w:t>any measureable way and, in some cases, has caused local planning disruption and community dissatisfaction</w:t>
      </w:r>
    </w:p>
    <w:p w:rsidR="002C1123" w:rsidRDefault="00F22F94">
      <w:pPr>
        <w:pStyle w:val="BodyText"/>
        <w:spacing w:before="108" w:line="249" w:lineRule="auto"/>
        <w:ind w:left="189" w:right="6039"/>
      </w:pPr>
      <w:r>
        <w:br w:type="column"/>
      </w:r>
      <w:r>
        <w:t>with</w:t>
      </w:r>
      <w:r>
        <w:rPr>
          <w:spacing w:val="-14"/>
        </w:rPr>
        <w:t xml:space="preserve"> </w:t>
      </w:r>
      <w:r>
        <w:t>other</w:t>
      </w:r>
      <w:r>
        <w:rPr>
          <w:spacing w:val="-14"/>
        </w:rPr>
        <w:t xml:space="preserve"> </w:t>
      </w:r>
      <w:r>
        <w:t>facilities.</w:t>
      </w:r>
      <w:r>
        <w:rPr>
          <w:spacing w:val="-14"/>
        </w:rPr>
        <w:t xml:space="preserve"> </w:t>
      </w:r>
      <w:r>
        <w:t>Maintaining</w:t>
      </w:r>
      <w:r>
        <w:rPr>
          <w:spacing w:val="-13"/>
        </w:rPr>
        <w:t xml:space="preserve"> </w:t>
      </w:r>
      <w:r>
        <w:t>the</w:t>
      </w:r>
      <w:r>
        <w:rPr>
          <w:spacing w:val="-14"/>
        </w:rPr>
        <w:t xml:space="preserve"> </w:t>
      </w:r>
      <w:r>
        <w:t>Building</w:t>
      </w:r>
      <w:r>
        <w:rPr>
          <w:spacing w:val="-14"/>
        </w:rPr>
        <w:t xml:space="preserve"> </w:t>
      </w:r>
      <w:r>
        <w:t>the Education</w:t>
      </w:r>
      <w:r>
        <w:rPr>
          <w:spacing w:val="-14"/>
        </w:rPr>
        <w:t xml:space="preserve"> </w:t>
      </w:r>
      <w:r>
        <w:t>Revolution</w:t>
      </w:r>
      <w:r>
        <w:rPr>
          <w:spacing w:val="-14"/>
        </w:rPr>
        <w:t xml:space="preserve"> </w:t>
      </w:r>
      <w:r>
        <w:t>facilities</w:t>
      </w:r>
      <w:r>
        <w:rPr>
          <w:spacing w:val="-14"/>
        </w:rPr>
        <w:t xml:space="preserve"> </w:t>
      </w:r>
      <w:r>
        <w:t>could</w:t>
      </w:r>
      <w:r>
        <w:rPr>
          <w:spacing w:val="-14"/>
        </w:rPr>
        <w:t xml:space="preserve"> </w:t>
      </w:r>
      <w:r>
        <w:t>also</w:t>
      </w:r>
      <w:r>
        <w:rPr>
          <w:spacing w:val="-14"/>
        </w:rPr>
        <w:t xml:space="preserve"> </w:t>
      </w:r>
      <w:r>
        <w:t>cost</w:t>
      </w:r>
      <w:r>
        <w:rPr>
          <w:spacing w:val="-14"/>
        </w:rPr>
        <w:t xml:space="preserve"> </w:t>
      </w:r>
      <w:r>
        <w:t>in</w:t>
      </w:r>
      <w:r>
        <w:rPr>
          <w:spacing w:val="-14"/>
        </w:rPr>
        <w:t xml:space="preserve"> </w:t>
      </w:r>
      <w:r>
        <w:t xml:space="preserve">the </w:t>
      </w:r>
      <w:r>
        <w:rPr>
          <w:w w:val="95"/>
        </w:rPr>
        <w:t>order</w:t>
      </w:r>
      <w:r>
        <w:rPr>
          <w:spacing w:val="-7"/>
          <w:w w:val="95"/>
        </w:rPr>
        <w:t xml:space="preserve"> </w:t>
      </w:r>
      <w:r>
        <w:rPr>
          <w:w w:val="95"/>
        </w:rPr>
        <w:t>of</w:t>
      </w:r>
      <w:r>
        <w:rPr>
          <w:spacing w:val="-7"/>
          <w:w w:val="95"/>
        </w:rPr>
        <w:t xml:space="preserve"> </w:t>
      </w:r>
      <w:r>
        <w:rPr>
          <w:w w:val="95"/>
        </w:rPr>
        <w:t>$60</w:t>
      </w:r>
      <w:r>
        <w:rPr>
          <w:spacing w:val="-7"/>
          <w:w w:val="95"/>
        </w:rPr>
        <w:t xml:space="preserve"> </w:t>
      </w:r>
      <w:r>
        <w:rPr>
          <w:w w:val="95"/>
        </w:rPr>
        <w:t>million</w:t>
      </w:r>
      <w:r>
        <w:rPr>
          <w:spacing w:val="-7"/>
          <w:w w:val="95"/>
        </w:rPr>
        <w:t xml:space="preserve"> </w:t>
      </w:r>
      <w:r>
        <w:rPr>
          <w:w w:val="95"/>
        </w:rPr>
        <w:t>per</w:t>
      </w:r>
      <w:r>
        <w:rPr>
          <w:spacing w:val="-7"/>
          <w:w w:val="95"/>
        </w:rPr>
        <w:t xml:space="preserve"> </w:t>
      </w:r>
      <w:r>
        <w:rPr>
          <w:w w:val="95"/>
        </w:rPr>
        <w:t>annum</w:t>
      </w:r>
      <w:r>
        <w:rPr>
          <w:spacing w:val="-7"/>
          <w:w w:val="95"/>
        </w:rPr>
        <w:t xml:space="preserve"> </w:t>
      </w:r>
      <w:r>
        <w:rPr>
          <w:w w:val="95"/>
        </w:rPr>
        <w:t>once</w:t>
      </w:r>
      <w:r>
        <w:rPr>
          <w:spacing w:val="-7"/>
          <w:w w:val="95"/>
        </w:rPr>
        <w:t xml:space="preserve"> </w:t>
      </w:r>
      <w:r>
        <w:rPr>
          <w:w w:val="95"/>
        </w:rPr>
        <w:t>the</w:t>
      </w:r>
      <w:r>
        <w:rPr>
          <w:spacing w:val="-7"/>
          <w:w w:val="95"/>
        </w:rPr>
        <w:t xml:space="preserve"> </w:t>
      </w:r>
      <w:r>
        <w:rPr>
          <w:w w:val="95"/>
        </w:rPr>
        <w:t>facilities</w:t>
      </w:r>
      <w:r>
        <w:rPr>
          <w:spacing w:val="-7"/>
          <w:w w:val="95"/>
        </w:rPr>
        <w:t xml:space="preserve"> </w:t>
      </w:r>
      <w:r>
        <w:rPr>
          <w:w w:val="95"/>
        </w:rPr>
        <w:t>age.</w:t>
      </w:r>
    </w:p>
    <w:p w:rsidR="002C1123" w:rsidRDefault="002060EF">
      <w:pPr>
        <w:pStyle w:val="Heading6"/>
        <w:spacing w:before="144"/>
        <w:ind w:left="189"/>
      </w:pPr>
      <w:r>
        <w:pict>
          <v:shape id="docshape2657" o:spid="_x0000_s1377" type="#_x0000_t202" style="position:absolute;left:0;text-align:left;margin-left:552.3pt;margin-top:-33.65pt;width:240pt;height:93.35pt;z-index:251707392;mso-position-horizontal-relative:page" fillcolor="#e1e0e1" stroked="f">
            <v:textbox inset="0,0,0,0">
              <w:txbxContent>
                <w:p w:rsidR="00F22F94" w:rsidRDefault="00F22F94">
                  <w:pPr>
                    <w:pStyle w:val="BodyText"/>
                    <w:spacing w:before="68" w:line="249" w:lineRule="auto"/>
                    <w:ind w:left="113" w:right="518"/>
                    <w:rPr>
                      <w:color w:val="000000"/>
                    </w:rPr>
                  </w:pPr>
                  <w:r>
                    <w:rPr>
                      <w:color w:val="00AEEF"/>
                    </w:rPr>
                    <w:t>Recommendation</w:t>
                  </w:r>
                  <w:r>
                    <w:rPr>
                      <w:color w:val="00AEEF"/>
                      <w:spacing w:val="10"/>
                    </w:rPr>
                    <w:t xml:space="preserve"> </w:t>
                  </w:r>
                  <w:r>
                    <w:rPr>
                      <w:color w:val="000000"/>
                    </w:rPr>
                    <w:t>Infrastructure</w:t>
                  </w:r>
                  <w:r>
                    <w:rPr>
                      <w:color w:val="000000"/>
                      <w:spacing w:val="-14"/>
                    </w:rPr>
                    <w:t xml:space="preserve"> </w:t>
                  </w:r>
                  <w:r>
                    <w:rPr>
                      <w:color w:val="000000"/>
                    </w:rPr>
                    <w:t>NSW</w:t>
                  </w:r>
                  <w:r>
                    <w:rPr>
                      <w:color w:val="000000"/>
                      <w:spacing w:val="-14"/>
                    </w:rPr>
                    <w:t xml:space="preserve"> </w:t>
                  </w:r>
                  <w:r>
                    <w:rPr>
                      <w:color w:val="000000"/>
                    </w:rPr>
                    <w:t>supports a</w:t>
                  </w:r>
                  <w:r>
                    <w:rPr>
                      <w:color w:val="000000"/>
                      <w:spacing w:val="-13"/>
                    </w:rPr>
                    <w:t xml:space="preserve"> </w:t>
                  </w:r>
                  <w:r>
                    <w:rPr>
                      <w:color w:val="000000"/>
                    </w:rPr>
                    <w:t>new</w:t>
                  </w:r>
                  <w:r>
                    <w:rPr>
                      <w:color w:val="000000"/>
                      <w:spacing w:val="-13"/>
                    </w:rPr>
                    <w:t xml:space="preserve"> </w:t>
                  </w:r>
                  <w:r>
                    <w:rPr>
                      <w:color w:val="000000"/>
                    </w:rPr>
                    <w:t>school</w:t>
                  </w:r>
                  <w:r>
                    <w:rPr>
                      <w:color w:val="000000"/>
                      <w:spacing w:val="-13"/>
                    </w:rPr>
                    <w:t xml:space="preserve"> </w:t>
                  </w:r>
                  <w:r>
                    <w:rPr>
                      <w:color w:val="000000"/>
                    </w:rPr>
                    <w:t>facilities</w:t>
                  </w:r>
                  <w:r>
                    <w:rPr>
                      <w:color w:val="000000"/>
                      <w:spacing w:val="-13"/>
                    </w:rPr>
                    <w:t xml:space="preserve"> </w:t>
                  </w:r>
                  <w:r>
                    <w:rPr>
                      <w:color w:val="000000"/>
                    </w:rPr>
                    <w:t>national</w:t>
                  </w:r>
                  <w:r>
                    <w:rPr>
                      <w:color w:val="000000"/>
                      <w:spacing w:val="-13"/>
                    </w:rPr>
                    <w:t xml:space="preserve"> </w:t>
                  </w:r>
                  <w:r>
                    <w:rPr>
                      <w:color w:val="000000"/>
                    </w:rPr>
                    <w:t>standard</w:t>
                  </w:r>
                  <w:r>
                    <w:rPr>
                      <w:color w:val="000000"/>
                      <w:spacing w:val="-13"/>
                    </w:rPr>
                    <w:t xml:space="preserve"> </w:t>
                  </w:r>
                  <w:r>
                    <w:rPr>
                      <w:color w:val="000000"/>
                    </w:rPr>
                    <w:t>(to</w:t>
                  </w:r>
                  <w:r>
                    <w:rPr>
                      <w:color w:val="000000"/>
                      <w:spacing w:val="-13"/>
                    </w:rPr>
                    <w:t xml:space="preserve"> </w:t>
                  </w:r>
                  <w:r>
                    <w:rPr>
                      <w:color w:val="000000"/>
                    </w:rPr>
                    <w:t xml:space="preserve">be </w:t>
                  </w:r>
                  <w:r>
                    <w:rPr>
                      <w:color w:val="000000"/>
                      <w:w w:val="95"/>
                    </w:rPr>
                    <w:t>determined</w:t>
                  </w:r>
                  <w:r>
                    <w:rPr>
                      <w:color w:val="000000"/>
                      <w:spacing w:val="-3"/>
                      <w:w w:val="95"/>
                    </w:rPr>
                    <w:t xml:space="preserve"> </w:t>
                  </w:r>
                  <w:r>
                    <w:rPr>
                      <w:color w:val="000000"/>
                      <w:w w:val="95"/>
                    </w:rPr>
                    <w:t>federally)</w:t>
                  </w:r>
                  <w:r>
                    <w:rPr>
                      <w:color w:val="000000"/>
                      <w:spacing w:val="-3"/>
                      <w:w w:val="95"/>
                    </w:rPr>
                    <w:t xml:space="preserve"> </w:t>
                  </w:r>
                  <w:r>
                    <w:rPr>
                      <w:color w:val="000000"/>
                      <w:w w:val="95"/>
                    </w:rPr>
                    <w:t>and</w:t>
                  </w:r>
                  <w:r>
                    <w:rPr>
                      <w:color w:val="000000"/>
                      <w:spacing w:val="-3"/>
                      <w:w w:val="95"/>
                    </w:rPr>
                    <w:t xml:space="preserve"> </w:t>
                  </w:r>
                  <w:r>
                    <w:rPr>
                      <w:color w:val="000000"/>
                      <w:w w:val="95"/>
                    </w:rPr>
                    <w:t>greater</w:t>
                  </w:r>
                  <w:r>
                    <w:rPr>
                      <w:color w:val="000000"/>
                      <w:spacing w:val="-3"/>
                      <w:w w:val="95"/>
                    </w:rPr>
                    <w:t xml:space="preserve"> </w:t>
                  </w:r>
                  <w:r>
                    <w:rPr>
                      <w:color w:val="000000"/>
                      <w:w w:val="95"/>
                    </w:rPr>
                    <w:t>community</w:t>
                  </w:r>
                  <w:r>
                    <w:rPr>
                      <w:color w:val="000000"/>
                      <w:spacing w:val="-3"/>
                      <w:w w:val="95"/>
                    </w:rPr>
                    <w:t xml:space="preserve"> </w:t>
                  </w:r>
                  <w:r>
                    <w:rPr>
                      <w:color w:val="000000"/>
                      <w:w w:val="95"/>
                    </w:rPr>
                    <w:t xml:space="preserve">use </w:t>
                  </w:r>
                  <w:r>
                    <w:rPr>
                      <w:color w:val="000000"/>
                    </w:rPr>
                    <w:t>of</w:t>
                  </w:r>
                  <w:r>
                    <w:rPr>
                      <w:color w:val="000000"/>
                      <w:spacing w:val="-14"/>
                    </w:rPr>
                    <w:t xml:space="preserve"> </w:t>
                  </w:r>
                  <w:r>
                    <w:rPr>
                      <w:color w:val="000000"/>
                    </w:rPr>
                    <w:t>facilities</w:t>
                  </w:r>
                  <w:r>
                    <w:rPr>
                      <w:color w:val="000000"/>
                      <w:spacing w:val="-14"/>
                    </w:rPr>
                    <w:t xml:space="preserve"> </w:t>
                  </w:r>
                  <w:r>
                    <w:rPr>
                      <w:color w:val="000000"/>
                    </w:rPr>
                    <w:t>out</w:t>
                  </w:r>
                  <w:r>
                    <w:rPr>
                      <w:color w:val="000000"/>
                      <w:spacing w:val="-14"/>
                    </w:rPr>
                    <w:t xml:space="preserve"> </w:t>
                  </w:r>
                  <w:r>
                    <w:rPr>
                      <w:color w:val="000000"/>
                    </w:rPr>
                    <w:t>of</w:t>
                  </w:r>
                  <w:r>
                    <w:rPr>
                      <w:color w:val="000000"/>
                      <w:spacing w:val="-14"/>
                    </w:rPr>
                    <w:t xml:space="preserve"> </w:t>
                  </w:r>
                  <w:r>
                    <w:rPr>
                      <w:color w:val="000000"/>
                    </w:rPr>
                    <w:t>school</w:t>
                  </w:r>
                  <w:r>
                    <w:rPr>
                      <w:color w:val="000000"/>
                      <w:spacing w:val="-14"/>
                    </w:rPr>
                    <w:t xml:space="preserve"> </w:t>
                  </w:r>
                  <w:r>
                    <w:rPr>
                      <w:color w:val="000000"/>
                    </w:rPr>
                    <w:t>hours</w:t>
                  </w:r>
                  <w:r>
                    <w:rPr>
                      <w:color w:val="000000"/>
                      <w:spacing w:val="-14"/>
                    </w:rPr>
                    <w:t xml:space="preserve"> </w:t>
                  </w:r>
                  <w:r>
                    <w:rPr>
                      <w:color w:val="000000"/>
                    </w:rPr>
                    <w:t>i.e.</w:t>
                  </w:r>
                  <w:r>
                    <w:rPr>
                      <w:color w:val="000000"/>
                      <w:spacing w:val="-14"/>
                    </w:rPr>
                    <w:t xml:space="preserve"> </w:t>
                  </w:r>
                  <w:r>
                    <w:rPr>
                      <w:color w:val="000000"/>
                    </w:rPr>
                    <w:t>libraries</w:t>
                  </w:r>
                  <w:r>
                    <w:rPr>
                      <w:color w:val="000000"/>
                      <w:spacing w:val="-14"/>
                    </w:rPr>
                    <w:t xml:space="preserve"> </w:t>
                  </w:r>
                  <w:r>
                    <w:rPr>
                      <w:color w:val="000000"/>
                    </w:rPr>
                    <w:t>and, co-use</w:t>
                  </w:r>
                  <w:r>
                    <w:rPr>
                      <w:color w:val="000000"/>
                      <w:spacing w:val="-1"/>
                    </w:rPr>
                    <w:t xml:space="preserve"> </w:t>
                  </w:r>
                  <w:r>
                    <w:rPr>
                      <w:color w:val="000000"/>
                    </w:rPr>
                    <w:t>of</w:t>
                  </w:r>
                  <w:r>
                    <w:rPr>
                      <w:color w:val="000000"/>
                      <w:spacing w:val="-1"/>
                    </w:rPr>
                    <w:t xml:space="preserve"> </w:t>
                  </w:r>
                  <w:r>
                    <w:rPr>
                      <w:color w:val="000000"/>
                    </w:rPr>
                    <w:t>open</w:t>
                  </w:r>
                  <w:r>
                    <w:rPr>
                      <w:color w:val="000000"/>
                      <w:spacing w:val="-1"/>
                    </w:rPr>
                    <w:t xml:space="preserve"> </w:t>
                  </w:r>
                  <w:r>
                    <w:rPr>
                      <w:color w:val="000000"/>
                    </w:rPr>
                    <w:t>space.</w:t>
                  </w:r>
                  <w:r>
                    <w:rPr>
                      <w:color w:val="000000"/>
                      <w:spacing w:val="-1"/>
                    </w:rPr>
                    <w:t xml:space="preserve"> </w:t>
                  </w:r>
                  <w:r>
                    <w:rPr>
                      <w:color w:val="000000"/>
                    </w:rPr>
                    <w:t>These</w:t>
                  </w:r>
                  <w:r>
                    <w:rPr>
                      <w:color w:val="000000"/>
                      <w:spacing w:val="-1"/>
                    </w:rPr>
                    <w:t xml:space="preserve"> </w:t>
                  </w:r>
                  <w:r>
                    <w:rPr>
                      <w:color w:val="000000"/>
                    </w:rPr>
                    <w:t>recommendation</w:t>
                  </w:r>
                </w:p>
                <w:p w:rsidR="00F22F94" w:rsidRDefault="00F22F94">
                  <w:pPr>
                    <w:pStyle w:val="BodyText"/>
                    <w:spacing w:before="4" w:line="249" w:lineRule="auto"/>
                    <w:ind w:left="113" w:right="122"/>
                    <w:rPr>
                      <w:color w:val="000000"/>
                    </w:rPr>
                  </w:pPr>
                  <w:r>
                    <w:rPr>
                      <w:color w:val="000000"/>
                      <w:w w:val="95"/>
                    </w:rPr>
                    <w:t>could</w:t>
                  </w:r>
                  <w:r>
                    <w:rPr>
                      <w:color w:val="000000"/>
                      <w:spacing w:val="-2"/>
                      <w:w w:val="95"/>
                    </w:rPr>
                    <w:t xml:space="preserve"> </w:t>
                  </w:r>
                  <w:r>
                    <w:rPr>
                      <w:color w:val="000000"/>
                      <w:w w:val="95"/>
                    </w:rPr>
                    <w:t>be</w:t>
                  </w:r>
                  <w:r>
                    <w:rPr>
                      <w:color w:val="000000"/>
                      <w:spacing w:val="-2"/>
                      <w:w w:val="95"/>
                    </w:rPr>
                    <w:t xml:space="preserve"> </w:t>
                  </w:r>
                  <w:r>
                    <w:rPr>
                      <w:color w:val="000000"/>
                      <w:w w:val="95"/>
                    </w:rPr>
                    <w:t>delivered</w:t>
                  </w:r>
                  <w:r>
                    <w:rPr>
                      <w:color w:val="000000"/>
                      <w:spacing w:val="-2"/>
                      <w:w w:val="95"/>
                    </w:rPr>
                    <w:t xml:space="preserve"> </w:t>
                  </w:r>
                  <w:r>
                    <w:rPr>
                      <w:color w:val="000000"/>
                      <w:w w:val="95"/>
                    </w:rPr>
                    <w:t>through</w:t>
                  </w:r>
                  <w:r>
                    <w:rPr>
                      <w:color w:val="000000"/>
                      <w:spacing w:val="-2"/>
                      <w:w w:val="95"/>
                    </w:rPr>
                    <w:t xml:space="preserve"> </w:t>
                  </w:r>
                  <w:r>
                    <w:rPr>
                      <w:color w:val="000000"/>
                      <w:w w:val="95"/>
                    </w:rPr>
                    <w:t>the</w:t>
                  </w:r>
                  <w:r>
                    <w:rPr>
                      <w:color w:val="000000"/>
                      <w:spacing w:val="-2"/>
                      <w:w w:val="95"/>
                    </w:rPr>
                    <w:t xml:space="preserve"> </w:t>
                  </w:r>
                  <w:r>
                    <w:rPr>
                      <w:color w:val="000000"/>
                      <w:w w:val="95"/>
                    </w:rPr>
                    <w:t>Local</w:t>
                  </w:r>
                  <w:r>
                    <w:rPr>
                      <w:color w:val="000000"/>
                      <w:spacing w:val="-2"/>
                      <w:w w:val="95"/>
                    </w:rPr>
                    <w:t xml:space="preserve"> </w:t>
                  </w:r>
                  <w:r>
                    <w:rPr>
                      <w:color w:val="000000"/>
                      <w:w w:val="95"/>
                    </w:rPr>
                    <w:t>Schools</w:t>
                  </w:r>
                  <w:r>
                    <w:rPr>
                      <w:color w:val="000000"/>
                      <w:spacing w:val="-2"/>
                      <w:w w:val="95"/>
                    </w:rPr>
                    <w:t xml:space="preserve"> </w:t>
                  </w:r>
                  <w:r>
                    <w:rPr>
                      <w:color w:val="000000"/>
                      <w:w w:val="95"/>
                    </w:rPr>
                    <w:t xml:space="preserve">Local </w:t>
                  </w:r>
                  <w:r>
                    <w:rPr>
                      <w:color w:val="000000"/>
                    </w:rPr>
                    <w:t>Decisions</w:t>
                  </w:r>
                  <w:r>
                    <w:rPr>
                      <w:color w:val="000000"/>
                      <w:spacing w:val="-11"/>
                    </w:rPr>
                    <w:t xml:space="preserve"> </w:t>
                  </w:r>
                  <w:r>
                    <w:rPr>
                      <w:color w:val="000000"/>
                    </w:rPr>
                    <w:t>policy.</w:t>
                  </w:r>
                </w:p>
              </w:txbxContent>
            </v:textbox>
            <w10:wrap anchorx="page"/>
          </v:shape>
        </w:pict>
      </w:r>
      <w:r w:rsidR="00F22F94">
        <w:rPr>
          <w:spacing w:val="-2"/>
        </w:rPr>
        <w:t>Community</w:t>
      </w:r>
      <w:r w:rsidR="00F22F94">
        <w:rPr>
          <w:spacing w:val="6"/>
        </w:rPr>
        <w:t xml:space="preserve"> </w:t>
      </w:r>
      <w:r w:rsidR="00F22F94">
        <w:rPr>
          <w:spacing w:val="-2"/>
        </w:rPr>
        <w:t>co-</w:t>
      </w:r>
      <w:r w:rsidR="00F22F94">
        <w:rPr>
          <w:spacing w:val="-5"/>
        </w:rPr>
        <w:t>use</w:t>
      </w:r>
    </w:p>
    <w:p w:rsidR="002C1123" w:rsidRDefault="00F22F94">
      <w:pPr>
        <w:pStyle w:val="BodyText"/>
        <w:spacing w:before="10" w:line="249" w:lineRule="auto"/>
        <w:ind w:left="189" w:right="5797"/>
      </w:pPr>
      <w:r>
        <w:t>The</w:t>
      </w:r>
      <w:r>
        <w:rPr>
          <w:spacing w:val="-12"/>
        </w:rPr>
        <w:t xml:space="preserve"> </w:t>
      </w:r>
      <w:r>
        <w:t>Department</w:t>
      </w:r>
      <w:r>
        <w:rPr>
          <w:spacing w:val="-12"/>
        </w:rPr>
        <w:t xml:space="preserve"> </w:t>
      </w:r>
      <w:r>
        <w:t>of</w:t>
      </w:r>
      <w:r>
        <w:rPr>
          <w:spacing w:val="-12"/>
        </w:rPr>
        <w:t xml:space="preserve"> </w:t>
      </w:r>
      <w:r>
        <w:t>Education</w:t>
      </w:r>
      <w:r>
        <w:rPr>
          <w:spacing w:val="-12"/>
        </w:rPr>
        <w:t xml:space="preserve"> </w:t>
      </w:r>
      <w:r>
        <w:t>has</w:t>
      </w:r>
      <w:r>
        <w:rPr>
          <w:spacing w:val="-12"/>
        </w:rPr>
        <w:t xml:space="preserve"> </w:t>
      </w:r>
      <w:r>
        <w:t>also</w:t>
      </w:r>
      <w:r>
        <w:rPr>
          <w:spacing w:val="-12"/>
        </w:rPr>
        <w:t xml:space="preserve"> </w:t>
      </w:r>
      <w:r>
        <w:t>initiated measures</w:t>
      </w:r>
      <w:r>
        <w:rPr>
          <w:spacing w:val="-12"/>
        </w:rPr>
        <w:t xml:space="preserve"> </w:t>
      </w:r>
      <w:r>
        <w:t>to</w:t>
      </w:r>
      <w:r>
        <w:rPr>
          <w:spacing w:val="-12"/>
        </w:rPr>
        <w:t xml:space="preserve"> </w:t>
      </w:r>
      <w:r>
        <w:t>increase</w:t>
      </w:r>
      <w:r>
        <w:rPr>
          <w:spacing w:val="-12"/>
        </w:rPr>
        <w:t xml:space="preserve"> </w:t>
      </w:r>
      <w:r>
        <w:t>the</w:t>
      </w:r>
      <w:r>
        <w:rPr>
          <w:spacing w:val="-12"/>
        </w:rPr>
        <w:t xml:space="preserve"> </w:t>
      </w:r>
      <w:r>
        <w:t>extent</w:t>
      </w:r>
      <w:r>
        <w:rPr>
          <w:spacing w:val="-12"/>
        </w:rPr>
        <w:t xml:space="preserve"> </w:t>
      </w:r>
      <w:r>
        <w:t>of</w:t>
      </w:r>
      <w:r>
        <w:rPr>
          <w:spacing w:val="-12"/>
        </w:rPr>
        <w:t xml:space="preserve"> </w:t>
      </w:r>
      <w:r>
        <w:t>engagement</w:t>
      </w:r>
      <w:r>
        <w:rPr>
          <w:spacing w:val="-12"/>
        </w:rPr>
        <w:t xml:space="preserve"> </w:t>
      </w:r>
      <w:r>
        <w:t xml:space="preserve">with </w:t>
      </w:r>
      <w:r>
        <w:rPr>
          <w:w w:val="95"/>
        </w:rPr>
        <w:t>the</w:t>
      </w:r>
      <w:r>
        <w:rPr>
          <w:spacing w:val="-5"/>
          <w:w w:val="95"/>
        </w:rPr>
        <w:t xml:space="preserve"> </w:t>
      </w:r>
      <w:r>
        <w:rPr>
          <w:w w:val="95"/>
        </w:rPr>
        <w:t>local</w:t>
      </w:r>
      <w:r>
        <w:rPr>
          <w:spacing w:val="-5"/>
          <w:w w:val="95"/>
        </w:rPr>
        <w:t xml:space="preserve"> </w:t>
      </w:r>
      <w:r>
        <w:rPr>
          <w:w w:val="95"/>
        </w:rPr>
        <w:t>community</w:t>
      </w:r>
      <w:r>
        <w:rPr>
          <w:spacing w:val="-5"/>
          <w:w w:val="95"/>
        </w:rPr>
        <w:t xml:space="preserve"> </w:t>
      </w:r>
      <w:r>
        <w:rPr>
          <w:w w:val="95"/>
        </w:rPr>
        <w:t>to</w:t>
      </w:r>
      <w:r>
        <w:rPr>
          <w:spacing w:val="-5"/>
          <w:w w:val="95"/>
        </w:rPr>
        <w:t xml:space="preserve"> </w:t>
      </w:r>
      <w:r>
        <w:rPr>
          <w:w w:val="95"/>
        </w:rPr>
        <w:t>ensure</w:t>
      </w:r>
      <w:r>
        <w:rPr>
          <w:spacing w:val="-5"/>
          <w:w w:val="95"/>
        </w:rPr>
        <w:t xml:space="preserve"> </w:t>
      </w:r>
      <w:r>
        <w:rPr>
          <w:w w:val="95"/>
        </w:rPr>
        <w:t>co-use</w:t>
      </w:r>
      <w:r>
        <w:rPr>
          <w:spacing w:val="-5"/>
          <w:w w:val="95"/>
        </w:rPr>
        <w:t xml:space="preserve"> </w:t>
      </w:r>
      <w:r>
        <w:rPr>
          <w:w w:val="95"/>
        </w:rPr>
        <w:t>of</w:t>
      </w:r>
      <w:r>
        <w:rPr>
          <w:spacing w:val="-5"/>
          <w:w w:val="95"/>
        </w:rPr>
        <w:t xml:space="preserve"> </w:t>
      </w:r>
      <w:r>
        <w:rPr>
          <w:w w:val="95"/>
        </w:rPr>
        <w:t>facilities</w:t>
      </w:r>
      <w:r>
        <w:rPr>
          <w:spacing w:val="-5"/>
          <w:w w:val="95"/>
        </w:rPr>
        <w:t xml:space="preserve"> </w:t>
      </w:r>
      <w:r>
        <w:rPr>
          <w:w w:val="95"/>
        </w:rPr>
        <w:t>(such as</w:t>
      </w:r>
      <w:r>
        <w:rPr>
          <w:spacing w:val="-3"/>
          <w:w w:val="95"/>
        </w:rPr>
        <w:t xml:space="preserve"> </w:t>
      </w:r>
      <w:r>
        <w:rPr>
          <w:w w:val="95"/>
        </w:rPr>
        <w:t>playing</w:t>
      </w:r>
      <w:r>
        <w:rPr>
          <w:spacing w:val="-3"/>
          <w:w w:val="95"/>
        </w:rPr>
        <w:t xml:space="preserve"> </w:t>
      </w:r>
      <w:r>
        <w:rPr>
          <w:w w:val="95"/>
        </w:rPr>
        <w:t>fields,</w:t>
      </w:r>
      <w:r>
        <w:rPr>
          <w:spacing w:val="-3"/>
          <w:w w:val="95"/>
        </w:rPr>
        <w:t xml:space="preserve"> </w:t>
      </w:r>
      <w:r>
        <w:rPr>
          <w:w w:val="95"/>
        </w:rPr>
        <w:t>libraries</w:t>
      </w:r>
      <w:r>
        <w:rPr>
          <w:spacing w:val="-3"/>
          <w:w w:val="95"/>
        </w:rPr>
        <w:t xml:space="preserve"> </w:t>
      </w:r>
      <w:r>
        <w:rPr>
          <w:w w:val="95"/>
        </w:rPr>
        <w:t>etc)</w:t>
      </w:r>
      <w:r>
        <w:rPr>
          <w:spacing w:val="-3"/>
          <w:w w:val="95"/>
        </w:rPr>
        <w:t xml:space="preserve"> </w:t>
      </w:r>
      <w:r>
        <w:rPr>
          <w:w w:val="95"/>
        </w:rPr>
        <w:t>are</w:t>
      </w:r>
      <w:r>
        <w:rPr>
          <w:spacing w:val="-3"/>
          <w:w w:val="95"/>
        </w:rPr>
        <w:t xml:space="preserve"> </w:t>
      </w:r>
      <w:r>
        <w:rPr>
          <w:w w:val="95"/>
        </w:rPr>
        <w:t>fully</w:t>
      </w:r>
      <w:r>
        <w:rPr>
          <w:spacing w:val="-3"/>
          <w:w w:val="95"/>
        </w:rPr>
        <w:t xml:space="preserve"> </w:t>
      </w:r>
      <w:r>
        <w:rPr>
          <w:w w:val="95"/>
        </w:rPr>
        <w:t>explored</w:t>
      </w:r>
      <w:r>
        <w:rPr>
          <w:spacing w:val="-3"/>
          <w:w w:val="95"/>
        </w:rPr>
        <w:t xml:space="preserve"> </w:t>
      </w:r>
      <w:r>
        <w:rPr>
          <w:w w:val="95"/>
        </w:rPr>
        <w:t xml:space="preserve">before </w:t>
      </w:r>
      <w:r>
        <w:t>building projects are authorised.</w:t>
      </w:r>
    </w:p>
    <w:p w:rsidR="002C1123" w:rsidRDefault="00F22F94">
      <w:pPr>
        <w:pStyle w:val="BodyText"/>
        <w:spacing w:before="146" w:line="249" w:lineRule="auto"/>
        <w:ind w:left="189" w:right="5072"/>
      </w:pPr>
      <w:r>
        <w:t>The</w:t>
      </w:r>
      <w:r>
        <w:rPr>
          <w:spacing w:val="-14"/>
        </w:rPr>
        <w:t xml:space="preserve"> </w:t>
      </w:r>
      <w:r>
        <w:t>Local</w:t>
      </w:r>
      <w:r>
        <w:rPr>
          <w:spacing w:val="-14"/>
        </w:rPr>
        <w:t xml:space="preserve"> </w:t>
      </w:r>
      <w:r>
        <w:t>Schools</w:t>
      </w:r>
      <w:r>
        <w:rPr>
          <w:spacing w:val="-14"/>
        </w:rPr>
        <w:t xml:space="preserve"> </w:t>
      </w:r>
      <w:r>
        <w:t>Local</w:t>
      </w:r>
      <w:r>
        <w:rPr>
          <w:spacing w:val="-14"/>
        </w:rPr>
        <w:t xml:space="preserve"> </w:t>
      </w:r>
      <w:r>
        <w:t>Decisions</w:t>
      </w:r>
      <w:r>
        <w:rPr>
          <w:spacing w:val="-14"/>
        </w:rPr>
        <w:t xml:space="preserve"> </w:t>
      </w:r>
      <w:r>
        <w:t>policy</w:t>
      </w:r>
      <w:r>
        <w:rPr>
          <w:spacing w:val="-14"/>
        </w:rPr>
        <w:t xml:space="preserve"> </w:t>
      </w:r>
      <w:r>
        <w:t>is</w:t>
      </w:r>
      <w:r>
        <w:rPr>
          <w:spacing w:val="-14"/>
        </w:rPr>
        <w:t xml:space="preserve"> </w:t>
      </w:r>
      <w:r>
        <w:t>fostering innovation</w:t>
      </w:r>
      <w:r>
        <w:rPr>
          <w:spacing w:val="-7"/>
        </w:rPr>
        <w:t xml:space="preserve"> </w:t>
      </w:r>
      <w:r>
        <w:t>and</w:t>
      </w:r>
      <w:r>
        <w:rPr>
          <w:spacing w:val="-7"/>
        </w:rPr>
        <w:t xml:space="preserve"> </w:t>
      </w:r>
      <w:r>
        <w:t>significant</w:t>
      </w:r>
      <w:r>
        <w:rPr>
          <w:spacing w:val="-7"/>
        </w:rPr>
        <w:t xml:space="preserve"> </w:t>
      </w:r>
      <w:r>
        <w:t>opportunities</w:t>
      </w:r>
      <w:r>
        <w:rPr>
          <w:spacing w:val="-7"/>
        </w:rPr>
        <w:t xml:space="preserve"> </w:t>
      </w:r>
      <w:r>
        <w:t>for</w:t>
      </w:r>
      <w:r>
        <w:rPr>
          <w:spacing w:val="-7"/>
        </w:rPr>
        <w:t xml:space="preserve"> </w:t>
      </w:r>
      <w:r>
        <w:t xml:space="preserve">co-use. </w:t>
      </w:r>
      <w:r>
        <w:rPr>
          <w:w w:val="95"/>
        </w:rPr>
        <w:t>Engagement</w:t>
      </w:r>
      <w:r>
        <w:rPr>
          <w:spacing w:val="-6"/>
          <w:w w:val="95"/>
        </w:rPr>
        <w:t xml:space="preserve"> </w:t>
      </w:r>
      <w:r>
        <w:rPr>
          <w:w w:val="95"/>
        </w:rPr>
        <w:t>at</w:t>
      </w:r>
      <w:r>
        <w:rPr>
          <w:spacing w:val="-6"/>
          <w:w w:val="95"/>
        </w:rPr>
        <w:t xml:space="preserve"> </w:t>
      </w:r>
      <w:r>
        <w:rPr>
          <w:w w:val="95"/>
        </w:rPr>
        <w:t>the</w:t>
      </w:r>
      <w:r>
        <w:rPr>
          <w:spacing w:val="-6"/>
          <w:w w:val="95"/>
        </w:rPr>
        <w:t xml:space="preserve"> </w:t>
      </w:r>
      <w:r>
        <w:rPr>
          <w:w w:val="95"/>
        </w:rPr>
        <w:t>early</w:t>
      </w:r>
      <w:r>
        <w:rPr>
          <w:spacing w:val="-6"/>
          <w:w w:val="95"/>
        </w:rPr>
        <w:t xml:space="preserve"> </w:t>
      </w:r>
      <w:r>
        <w:rPr>
          <w:w w:val="95"/>
        </w:rPr>
        <w:t>stages</w:t>
      </w:r>
      <w:r>
        <w:rPr>
          <w:spacing w:val="-6"/>
          <w:w w:val="95"/>
        </w:rPr>
        <w:t xml:space="preserve"> </w:t>
      </w:r>
      <w:r>
        <w:rPr>
          <w:w w:val="95"/>
        </w:rPr>
        <w:t>of</w:t>
      </w:r>
      <w:r>
        <w:rPr>
          <w:spacing w:val="-6"/>
          <w:w w:val="95"/>
        </w:rPr>
        <w:t xml:space="preserve"> </w:t>
      </w:r>
      <w:r>
        <w:rPr>
          <w:w w:val="95"/>
        </w:rPr>
        <w:t>planning</w:t>
      </w:r>
      <w:r>
        <w:rPr>
          <w:spacing w:val="-6"/>
          <w:w w:val="95"/>
        </w:rPr>
        <w:t xml:space="preserve"> </w:t>
      </w:r>
      <w:r>
        <w:rPr>
          <w:w w:val="95"/>
        </w:rPr>
        <w:t>with</w:t>
      </w:r>
      <w:r>
        <w:rPr>
          <w:spacing w:val="-6"/>
          <w:w w:val="95"/>
        </w:rPr>
        <w:t xml:space="preserve"> </w:t>
      </w:r>
      <w:r>
        <w:rPr>
          <w:w w:val="95"/>
        </w:rPr>
        <w:t>the</w:t>
      </w:r>
      <w:r>
        <w:rPr>
          <w:spacing w:val="-6"/>
          <w:w w:val="95"/>
        </w:rPr>
        <w:t xml:space="preserve"> </w:t>
      </w:r>
      <w:r>
        <w:rPr>
          <w:w w:val="95"/>
        </w:rPr>
        <w:t xml:space="preserve">local </w:t>
      </w:r>
      <w:r>
        <w:t>community</w:t>
      </w:r>
      <w:r>
        <w:rPr>
          <w:spacing w:val="-8"/>
        </w:rPr>
        <w:t xml:space="preserve"> </w:t>
      </w:r>
      <w:r>
        <w:t>means</w:t>
      </w:r>
      <w:r>
        <w:rPr>
          <w:spacing w:val="-8"/>
        </w:rPr>
        <w:t xml:space="preserve"> </w:t>
      </w:r>
      <w:r>
        <w:t>proposals</w:t>
      </w:r>
      <w:r>
        <w:rPr>
          <w:spacing w:val="-8"/>
        </w:rPr>
        <w:t xml:space="preserve"> </w:t>
      </w:r>
      <w:r>
        <w:t>are</w:t>
      </w:r>
      <w:r>
        <w:rPr>
          <w:spacing w:val="-8"/>
        </w:rPr>
        <w:t xml:space="preserve"> </w:t>
      </w:r>
      <w:r>
        <w:t>being</w:t>
      </w:r>
      <w:r>
        <w:rPr>
          <w:spacing w:val="-8"/>
        </w:rPr>
        <w:t xml:space="preserve"> </w:t>
      </w:r>
      <w:r>
        <w:t>generated</w:t>
      </w:r>
      <w:r>
        <w:rPr>
          <w:spacing w:val="-8"/>
        </w:rPr>
        <w:t xml:space="preserve"> </w:t>
      </w:r>
      <w:r>
        <w:t>that encompass</w:t>
      </w:r>
      <w:r>
        <w:rPr>
          <w:spacing w:val="-2"/>
        </w:rPr>
        <w:t xml:space="preserve"> </w:t>
      </w:r>
      <w:r>
        <w:t>greater</w:t>
      </w:r>
      <w:r>
        <w:rPr>
          <w:spacing w:val="-2"/>
        </w:rPr>
        <w:t xml:space="preserve"> </w:t>
      </w:r>
      <w:r>
        <w:t>co-use</w:t>
      </w:r>
      <w:r>
        <w:rPr>
          <w:spacing w:val="-2"/>
        </w:rPr>
        <w:t xml:space="preserve"> </w:t>
      </w:r>
      <w:r>
        <w:t>of</w:t>
      </w:r>
      <w:r>
        <w:rPr>
          <w:spacing w:val="-2"/>
        </w:rPr>
        <w:t xml:space="preserve"> </w:t>
      </w:r>
      <w:r>
        <w:t>facilities.</w:t>
      </w:r>
    </w:p>
    <w:p w:rsidR="002C1123" w:rsidRDefault="002060EF">
      <w:pPr>
        <w:pStyle w:val="BodyText"/>
        <w:spacing w:before="4"/>
      </w:pPr>
      <w:r>
        <w:pict>
          <v:shape id="docshape2658" o:spid="_x0000_s1376" type="#_x0000_t202" style="position:absolute;margin-left:300.95pt;margin-top:12.95pt;width:240pt;height:195.1pt;z-index:-251326464;mso-wrap-distance-left:0;mso-wrap-distance-right:0;mso-position-horizontal-relative:page" fillcolor="#00aeef" stroked="f">
            <v:textbox inset="0,0,0,0">
              <w:txbxContent>
                <w:p w:rsidR="00F22F94" w:rsidRDefault="00F22F94">
                  <w:pPr>
                    <w:spacing w:before="125"/>
                    <w:ind w:left="113"/>
                    <w:rPr>
                      <w:b/>
                      <w:color w:val="000000"/>
                      <w:sz w:val="20"/>
                    </w:rPr>
                  </w:pPr>
                  <w:r>
                    <w:rPr>
                      <w:b/>
                      <w:color w:val="FFFFFF"/>
                      <w:w w:val="95"/>
                      <w:sz w:val="20"/>
                    </w:rPr>
                    <w:t>Case</w:t>
                  </w:r>
                  <w:r>
                    <w:rPr>
                      <w:b/>
                      <w:color w:val="FFFFFF"/>
                      <w:spacing w:val="-3"/>
                      <w:w w:val="95"/>
                      <w:sz w:val="20"/>
                    </w:rPr>
                    <w:t xml:space="preserve"> </w:t>
                  </w:r>
                  <w:r>
                    <w:rPr>
                      <w:b/>
                      <w:color w:val="FFFFFF"/>
                      <w:w w:val="95"/>
                      <w:sz w:val="20"/>
                    </w:rPr>
                    <w:t>Study:</w:t>
                  </w:r>
                  <w:r>
                    <w:rPr>
                      <w:b/>
                      <w:color w:val="FFFFFF"/>
                      <w:spacing w:val="-3"/>
                      <w:w w:val="95"/>
                      <w:sz w:val="20"/>
                    </w:rPr>
                    <w:t xml:space="preserve"> </w:t>
                  </w:r>
                  <w:r>
                    <w:rPr>
                      <w:b/>
                      <w:color w:val="FFFFFF"/>
                      <w:w w:val="95"/>
                      <w:sz w:val="20"/>
                    </w:rPr>
                    <w:t>Canada</w:t>
                  </w:r>
                  <w:r>
                    <w:rPr>
                      <w:b/>
                      <w:color w:val="FFFFFF"/>
                      <w:spacing w:val="-2"/>
                      <w:w w:val="95"/>
                      <w:sz w:val="20"/>
                    </w:rPr>
                    <w:t xml:space="preserve"> </w:t>
                  </w:r>
                  <w:r>
                    <w:rPr>
                      <w:b/>
                      <w:color w:val="FFFFFF"/>
                      <w:w w:val="95"/>
                      <w:sz w:val="20"/>
                    </w:rPr>
                    <w:t>Bay</w:t>
                  </w:r>
                  <w:r>
                    <w:rPr>
                      <w:b/>
                      <w:color w:val="FFFFFF"/>
                      <w:spacing w:val="-3"/>
                      <w:w w:val="95"/>
                      <w:sz w:val="20"/>
                    </w:rPr>
                    <w:t xml:space="preserve"> </w:t>
                  </w:r>
                  <w:r>
                    <w:rPr>
                      <w:b/>
                      <w:color w:val="FFFFFF"/>
                      <w:w w:val="95"/>
                      <w:sz w:val="20"/>
                    </w:rPr>
                    <w:t>LGA</w:t>
                  </w:r>
                  <w:r>
                    <w:rPr>
                      <w:b/>
                      <w:color w:val="FFFFFF"/>
                      <w:spacing w:val="-2"/>
                      <w:w w:val="95"/>
                      <w:sz w:val="20"/>
                    </w:rPr>
                    <w:t xml:space="preserve"> </w:t>
                  </w:r>
                  <w:r>
                    <w:rPr>
                      <w:b/>
                      <w:color w:val="FFFFFF"/>
                      <w:w w:val="95"/>
                      <w:sz w:val="20"/>
                    </w:rPr>
                    <w:t>Primary</w:t>
                  </w:r>
                  <w:r>
                    <w:rPr>
                      <w:b/>
                      <w:color w:val="FFFFFF"/>
                      <w:spacing w:val="-3"/>
                      <w:w w:val="95"/>
                      <w:sz w:val="20"/>
                    </w:rPr>
                    <w:t xml:space="preserve"> </w:t>
                  </w:r>
                  <w:r>
                    <w:rPr>
                      <w:b/>
                      <w:color w:val="FFFFFF"/>
                      <w:spacing w:val="-2"/>
                      <w:w w:val="95"/>
                      <w:sz w:val="20"/>
                    </w:rPr>
                    <w:t>School</w:t>
                  </w:r>
                </w:p>
                <w:p w:rsidR="00F22F94" w:rsidRDefault="00F22F94">
                  <w:pPr>
                    <w:pStyle w:val="BodyText"/>
                    <w:numPr>
                      <w:ilvl w:val="0"/>
                      <w:numId w:val="34"/>
                    </w:numPr>
                    <w:tabs>
                      <w:tab w:val="left" w:pos="397"/>
                    </w:tabs>
                    <w:spacing w:before="139" w:line="247" w:lineRule="auto"/>
                    <w:ind w:right="233"/>
                    <w:rPr>
                      <w:color w:val="000000"/>
                    </w:rPr>
                  </w:pPr>
                  <w:r>
                    <w:rPr>
                      <w:color w:val="FFFFFF"/>
                    </w:rPr>
                    <w:t xml:space="preserve">DEC has been working with City of Canada Bay Council to identify a site for new schools. The community is being encouraged to be involved in the school’s development and </w:t>
                  </w:r>
                  <w:r>
                    <w:rPr>
                      <w:color w:val="FFFFFF"/>
                      <w:spacing w:val="-2"/>
                    </w:rPr>
                    <w:t>operation</w:t>
                  </w:r>
                </w:p>
                <w:p w:rsidR="00F22F94" w:rsidRDefault="00F22F94">
                  <w:pPr>
                    <w:pStyle w:val="BodyText"/>
                    <w:numPr>
                      <w:ilvl w:val="0"/>
                      <w:numId w:val="34"/>
                    </w:numPr>
                    <w:tabs>
                      <w:tab w:val="left" w:pos="397"/>
                    </w:tabs>
                    <w:spacing w:before="131" w:line="244" w:lineRule="auto"/>
                    <w:ind w:right="123"/>
                    <w:rPr>
                      <w:color w:val="000000"/>
                    </w:rPr>
                  </w:pPr>
                  <w:r>
                    <w:rPr>
                      <w:color w:val="FFFFFF"/>
                    </w:rPr>
                    <w:t>A council-owned site has been identified and there</w:t>
                  </w:r>
                  <w:r>
                    <w:rPr>
                      <w:color w:val="FFFFFF"/>
                      <w:spacing w:val="-1"/>
                    </w:rPr>
                    <w:t xml:space="preserve"> </w:t>
                  </w:r>
                  <w:r>
                    <w:rPr>
                      <w:color w:val="FFFFFF"/>
                    </w:rPr>
                    <w:t>is</w:t>
                  </w:r>
                  <w:r>
                    <w:rPr>
                      <w:color w:val="FFFFFF"/>
                      <w:spacing w:val="-1"/>
                    </w:rPr>
                    <w:t xml:space="preserve"> </w:t>
                  </w:r>
                  <w:r>
                    <w:rPr>
                      <w:color w:val="FFFFFF"/>
                    </w:rPr>
                    <w:t>in-principle</w:t>
                  </w:r>
                  <w:r>
                    <w:rPr>
                      <w:color w:val="FFFFFF"/>
                      <w:spacing w:val="-1"/>
                    </w:rPr>
                    <w:t xml:space="preserve"> </w:t>
                  </w:r>
                  <w:r>
                    <w:rPr>
                      <w:color w:val="FFFFFF"/>
                    </w:rPr>
                    <w:t>agreement</w:t>
                  </w:r>
                  <w:r>
                    <w:rPr>
                      <w:color w:val="FFFFFF"/>
                      <w:spacing w:val="-1"/>
                    </w:rPr>
                    <w:t xml:space="preserve"> </w:t>
                  </w:r>
                  <w:r>
                    <w:rPr>
                      <w:color w:val="FFFFFF"/>
                    </w:rPr>
                    <w:t>to</w:t>
                  </w:r>
                  <w:r>
                    <w:rPr>
                      <w:color w:val="FFFFFF"/>
                      <w:spacing w:val="-1"/>
                    </w:rPr>
                    <w:t xml:space="preserve"> </w:t>
                  </w:r>
                  <w:r>
                    <w:rPr>
                      <w:color w:val="FFFFFF"/>
                    </w:rPr>
                    <w:t>use</w:t>
                  </w:r>
                  <w:r>
                    <w:rPr>
                      <w:color w:val="FFFFFF"/>
                      <w:spacing w:val="-1"/>
                    </w:rPr>
                    <w:t xml:space="preserve"> </w:t>
                  </w:r>
                  <w:r>
                    <w:rPr>
                      <w:color w:val="FFFFFF"/>
                    </w:rPr>
                    <w:t>part</w:t>
                  </w:r>
                  <w:r>
                    <w:rPr>
                      <w:color w:val="FFFFFF"/>
                      <w:spacing w:val="-1"/>
                    </w:rPr>
                    <w:t xml:space="preserve"> </w:t>
                  </w:r>
                  <w:r>
                    <w:rPr>
                      <w:color w:val="FFFFFF"/>
                    </w:rPr>
                    <w:t>of</w:t>
                  </w:r>
                  <w:r>
                    <w:rPr>
                      <w:color w:val="FFFFFF"/>
                      <w:spacing w:val="-1"/>
                    </w:rPr>
                    <w:t xml:space="preserve"> </w:t>
                  </w:r>
                  <w:r>
                    <w:rPr>
                      <w:color w:val="FFFFFF"/>
                    </w:rPr>
                    <w:t xml:space="preserve">the </w:t>
                  </w:r>
                  <w:r>
                    <w:rPr>
                      <w:color w:val="FFFFFF"/>
                      <w:spacing w:val="-2"/>
                    </w:rPr>
                    <w:t>site</w:t>
                  </w:r>
                  <w:r>
                    <w:rPr>
                      <w:color w:val="FFFFFF"/>
                      <w:spacing w:val="-12"/>
                    </w:rPr>
                    <w:t xml:space="preserve"> </w:t>
                  </w:r>
                  <w:r>
                    <w:rPr>
                      <w:color w:val="FFFFFF"/>
                      <w:spacing w:val="-2"/>
                    </w:rPr>
                    <w:t>for</w:t>
                  </w:r>
                  <w:r>
                    <w:rPr>
                      <w:color w:val="FFFFFF"/>
                      <w:spacing w:val="-12"/>
                    </w:rPr>
                    <w:t xml:space="preserve"> </w:t>
                  </w:r>
                  <w:r>
                    <w:rPr>
                      <w:color w:val="FFFFFF"/>
                      <w:spacing w:val="-2"/>
                    </w:rPr>
                    <w:t>the</w:t>
                  </w:r>
                  <w:r>
                    <w:rPr>
                      <w:color w:val="FFFFFF"/>
                      <w:spacing w:val="-12"/>
                    </w:rPr>
                    <w:t xml:space="preserve"> </w:t>
                  </w:r>
                  <w:r>
                    <w:rPr>
                      <w:color w:val="FFFFFF"/>
                      <w:spacing w:val="-2"/>
                    </w:rPr>
                    <w:t>new</w:t>
                  </w:r>
                  <w:r>
                    <w:rPr>
                      <w:color w:val="FFFFFF"/>
                      <w:spacing w:val="-11"/>
                    </w:rPr>
                    <w:t xml:space="preserve"> </w:t>
                  </w:r>
                  <w:r>
                    <w:rPr>
                      <w:color w:val="FFFFFF"/>
                      <w:spacing w:val="-2"/>
                    </w:rPr>
                    <w:t>school</w:t>
                  </w:r>
                  <w:r>
                    <w:rPr>
                      <w:color w:val="FFFFFF"/>
                      <w:spacing w:val="-12"/>
                    </w:rPr>
                    <w:t xml:space="preserve"> </w:t>
                  </w:r>
                  <w:r>
                    <w:rPr>
                      <w:color w:val="FFFFFF"/>
                      <w:spacing w:val="-2"/>
                    </w:rPr>
                    <w:t>and</w:t>
                  </w:r>
                  <w:r>
                    <w:rPr>
                      <w:color w:val="FFFFFF"/>
                      <w:spacing w:val="-12"/>
                    </w:rPr>
                    <w:t xml:space="preserve"> </w:t>
                  </w:r>
                  <w:r>
                    <w:rPr>
                      <w:color w:val="FFFFFF"/>
                      <w:spacing w:val="-2"/>
                    </w:rPr>
                    <w:t>to</w:t>
                  </w:r>
                  <w:r>
                    <w:rPr>
                      <w:color w:val="FFFFFF"/>
                      <w:spacing w:val="-12"/>
                    </w:rPr>
                    <w:t xml:space="preserve"> </w:t>
                  </w:r>
                  <w:r>
                    <w:rPr>
                      <w:color w:val="FFFFFF"/>
                      <w:spacing w:val="-2"/>
                    </w:rPr>
                    <w:t>share</w:t>
                  </w:r>
                  <w:r>
                    <w:rPr>
                      <w:color w:val="FFFFFF"/>
                      <w:spacing w:val="-12"/>
                    </w:rPr>
                    <w:t xml:space="preserve"> </w:t>
                  </w:r>
                  <w:r>
                    <w:rPr>
                      <w:color w:val="FFFFFF"/>
                      <w:spacing w:val="-2"/>
                    </w:rPr>
                    <w:t>the</w:t>
                  </w:r>
                  <w:r>
                    <w:rPr>
                      <w:color w:val="FFFFFF"/>
                      <w:spacing w:val="-11"/>
                    </w:rPr>
                    <w:t xml:space="preserve"> </w:t>
                  </w:r>
                  <w:r>
                    <w:rPr>
                      <w:color w:val="FFFFFF"/>
                      <w:spacing w:val="-2"/>
                    </w:rPr>
                    <w:t xml:space="preserve">remaining </w:t>
                  </w:r>
                  <w:r>
                    <w:rPr>
                      <w:color w:val="FFFFFF"/>
                    </w:rPr>
                    <w:t>playing field part with the local community</w:t>
                  </w:r>
                </w:p>
                <w:p w:rsidR="00F22F94" w:rsidRDefault="00F22F94">
                  <w:pPr>
                    <w:pStyle w:val="BodyText"/>
                    <w:numPr>
                      <w:ilvl w:val="0"/>
                      <w:numId w:val="34"/>
                    </w:numPr>
                    <w:tabs>
                      <w:tab w:val="left" w:pos="397"/>
                    </w:tabs>
                    <w:spacing w:before="136" w:line="242" w:lineRule="auto"/>
                    <w:ind w:right="156"/>
                    <w:rPr>
                      <w:color w:val="000000"/>
                    </w:rPr>
                  </w:pPr>
                  <w:r>
                    <w:rPr>
                      <w:color w:val="FFFFFF"/>
                    </w:rPr>
                    <w:t xml:space="preserve">The development will provide new parking and </w:t>
                  </w:r>
                  <w:r>
                    <w:rPr>
                      <w:color w:val="FFFFFF"/>
                      <w:spacing w:val="-2"/>
                    </w:rPr>
                    <w:t>bus</w:t>
                  </w:r>
                  <w:r>
                    <w:rPr>
                      <w:color w:val="FFFFFF"/>
                      <w:spacing w:val="-9"/>
                    </w:rPr>
                    <w:t xml:space="preserve"> </w:t>
                  </w:r>
                  <w:r>
                    <w:rPr>
                      <w:color w:val="FFFFFF"/>
                      <w:spacing w:val="-2"/>
                    </w:rPr>
                    <w:t>layover</w:t>
                  </w:r>
                  <w:r>
                    <w:rPr>
                      <w:color w:val="FFFFFF"/>
                      <w:spacing w:val="-9"/>
                    </w:rPr>
                    <w:t xml:space="preserve"> </w:t>
                  </w:r>
                  <w:r>
                    <w:rPr>
                      <w:color w:val="FFFFFF"/>
                      <w:spacing w:val="-2"/>
                    </w:rPr>
                    <w:t>facilities</w:t>
                  </w:r>
                  <w:r>
                    <w:rPr>
                      <w:color w:val="FFFFFF"/>
                      <w:spacing w:val="-9"/>
                    </w:rPr>
                    <w:t xml:space="preserve"> </w:t>
                  </w:r>
                  <w:r>
                    <w:rPr>
                      <w:color w:val="FFFFFF"/>
                      <w:spacing w:val="-2"/>
                    </w:rPr>
                    <w:t>for</w:t>
                  </w:r>
                  <w:r>
                    <w:rPr>
                      <w:color w:val="FFFFFF"/>
                      <w:spacing w:val="-9"/>
                    </w:rPr>
                    <w:t xml:space="preserve"> </w:t>
                  </w:r>
                  <w:r>
                    <w:rPr>
                      <w:color w:val="FFFFFF"/>
                      <w:spacing w:val="-2"/>
                    </w:rPr>
                    <w:t>the</w:t>
                  </w:r>
                  <w:r>
                    <w:rPr>
                      <w:color w:val="FFFFFF"/>
                      <w:spacing w:val="-9"/>
                    </w:rPr>
                    <w:t xml:space="preserve"> </w:t>
                  </w:r>
                  <w:r>
                    <w:rPr>
                      <w:color w:val="FFFFFF"/>
                      <w:spacing w:val="-2"/>
                    </w:rPr>
                    <w:t>school</w:t>
                  </w:r>
                  <w:r>
                    <w:rPr>
                      <w:color w:val="FFFFFF"/>
                      <w:spacing w:val="-9"/>
                    </w:rPr>
                    <w:t xml:space="preserve"> </w:t>
                  </w:r>
                  <w:r>
                    <w:rPr>
                      <w:color w:val="FFFFFF"/>
                      <w:spacing w:val="-2"/>
                    </w:rPr>
                    <w:t>which</w:t>
                  </w:r>
                  <w:r>
                    <w:rPr>
                      <w:color w:val="FFFFFF"/>
                      <w:spacing w:val="-9"/>
                    </w:rPr>
                    <w:t xml:space="preserve"> </w:t>
                  </w:r>
                  <w:r>
                    <w:rPr>
                      <w:color w:val="FFFFFF"/>
                      <w:spacing w:val="-2"/>
                    </w:rPr>
                    <w:t>will</w:t>
                  </w:r>
                  <w:r>
                    <w:rPr>
                      <w:color w:val="FFFFFF"/>
                      <w:spacing w:val="-9"/>
                    </w:rPr>
                    <w:t xml:space="preserve"> </w:t>
                  </w:r>
                  <w:r>
                    <w:rPr>
                      <w:color w:val="FFFFFF"/>
                      <w:spacing w:val="-2"/>
                    </w:rPr>
                    <w:t xml:space="preserve">also </w:t>
                  </w:r>
                  <w:r>
                    <w:rPr>
                      <w:color w:val="FFFFFF"/>
                    </w:rPr>
                    <w:t>be</w:t>
                  </w:r>
                  <w:r>
                    <w:rPr>
                      <w:color w:val="FFFFFF"/>
                      <w:spacing w:val="-6"/>
                    </w:rPr>
                    <w:t xml:space="preserve"> </w:t>
                  </w:r>
                  <w:r>
                    <w:rPr>
                      <w:color w:val="FFFFFF"/>
                    </w:rPr>
                    <w:t>used</w:t>
                  </w:r>
                  <w:r>
                    <w:rPr>
                      <w:color w:val="FFFFFF"/>
                      <w:spacing w:val="-6"/>
                    </w:rPr>
                    <w:t xml:space="preserve"> </w:t>
                  </w:r>
                  <w:r>
                    <w:rPr>
                      <w:color w:val="FFFFFF"/>
                    </w:rPr>
                    <w:t>by</w:t>
                  </w:r>
                  <w:r>
                    <w:rPr>
                      <w:color w:val="FFFFFF"/>
                      <w:spacing w:val="-6"/>
                    </w:rPr>
                    <w:t xml:space="preserve"> </w:t>
                  </w:r>
                  <w:r>
                    <w:rPr>
                      <w:color w:val="FFFFFF"/>
                    </w:rPr>
                    <w:t>the</w:t>
                  </w:r>
                  <w:r>
                    <w:rPr>
                      <w:color w:val="FFFFFF"/>
                      <w:spacing w:val="-6"/>
                    </w:rPr>
                    <w:t xml:space="preserve"> </w:t>
                  </w:r>
                  <w:r>
                    <w:rPr>
                      <w:color w:val="FFFFFF"/>
                    </w:rPr>
                    <w:t>community</w:t>
                  </w:r>
                  <w:r>
                    <w:rPr>
                      <w:color w:val="FFFFFF"/>
                      <w:spacing w:val="-6"/>
                    </w:rPr>
                    <w:t xml:space="preserve"> </w:t>
                  </w:r>
                  <w:r>
                    <w:rPr>
                      <w:color w:val="FFFFFF"/>
                    </w:rPr>
                    <w:t>during</w:t>
                  </w:r>
                  <w:r>
                    <w:rPr>
                      <w:color w:val="FFFFFF"/>
                      <w:spacing w:val="-6"/>
                    </w:rPr>
                    <w:t xml:space="preserve"> </w:t>
                  </w:r>
                  <w:r>
                    <w:rPr>
                      <w:color w:val="FFFFFF"/>
                    </w:rPr>
                    <w:t>sports</w:t>
                  </w:r>
                  <w:r>
                    <w:rPr>
                      <w:color w:val="FFFFFF"/>
                      <w:spacing w:val="-6"/>
                    </w:rPr>
                    <w:t xml:space="preserve"> </w:t>
                  </w:r>
                  <w:r>
                    <w:rPr>
                      <w:color w:val="FFFFFF"/>
                    </w:rPr>
                    <w:t>events.</w:t>
                  </w:r>
                </w:p>
              </w:txbxContent>
            </v:textbox>
            <w10:wrap type="topAndBottom" anchorx="page"/>
          </v:shape>
        </w:pict>
      </w:r>
    </w:p>
    <w:p w:rsidR="002C1123" w:rsidRDefault="002C1123">
      <w:pPr>
        <w:sectPr w:rsidR="002C1123">
          <w:type w:val="continuous"/>
          <w:pgSz w:w="16840" w:h="11910" w:orient="landscape"/>
          <w:pgMar w:top="560" w:right="280" w:bottom="280" w:left="500" w:header="0" w:footer="517" w:gutter="0"/>
          <w:cols w:num="2" w:space="720" w:equalWidth="0">
            <w:col w:w="5289" w:space="40"/>
            <w:col w:w="10731"/>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3"/>
        <w:rPr>
          <w:sz w:val="19"/>
        </w:rPr>
      </w:pPr>
    </w:p>
    <w:p w:rsidR="002C1123" w:rsidRDefault="00F22F94">
      <w:pPr>
        <w:pStyle w:val="Heading6"/>
        <w:ind w:left="492"/>
      </w:pPr>
      <w:bookmarkStart w:id="365" w:name="_bookmark259"/>
      <w:bookmarkEnd w:id="365"/>
      <w:r>
        <w:rPr>
          <w:color w:val="00AEEF"/>
          <w:spacing w:val="-2"/>
        </w:rPr>
        <w:t>14.1.9</w:t>
      </w:r>
      <w:r>
        <w:rPr>
          <w:color w:val="00AEEF"/>
          <w:spacing w:val="-12"/>
        </w:rPr>
        <w:t xml:space="preserve"> </w:t>
      </w:r>
      <w:r>
        <w:rPr>
          <w:color w:val="00AEEF"/>
          <w:spacing w:val="-2"/>
        </w:rPr>
        <w:t>Summary</w:t>
      </w:r>
      <w:r>
        <w:rPr>
          <w:color w:val="00AEEF"/>
          <w:spacing w:val="-12"/>
        </w:rPr>
        <w:t xml:space="preserve"> </w:t>
      </w:r>
      <w:r>
        <w:rPr>
          <w:color w:val="00AEEF"/>
          <w:spacing w:val="-2"/>
        </w:rPr>
        <w:t>of</w:t>
      </w:r>
      <w:r>
        <w:rPr>
          <w:color w:val="00AEEF"/>
          <w:spacing w:val="-11"/>
        </w:rPr>
        <w:t xml:space="preserve"> </w:t>
      </w:r>
      <w:r>
        <w:rPr>
          <w:color w:val="00AEEF"/>
          <w:spacing w:val="-2"/>
        </w:rPr>
        <w:t>education</w:t>
      </w:r>
      <w:r>
        <w:rPr>
          <w:color w:val="00AEEF"/>
          <w:spacing w:val="-12"/>
        </w:rPr>
        <w:t xml:space="preserve"> </w:t>
      </w:r>
      <w:r>
        <w:rPr>
          <w:color w:val="00AEEF"/>
          <w:spacing w:val="-2"/>
        </w:rPr>
        <w:t>recommendations</w:t>
      </w:r>
    </w:p>
    <w:p w:rsidR="002C1123" w:rsidRDefault="00F22F94">
      <w:pPr>
        <w:spacing w:before="196"/>
        <w:ind w:left="512"/>
        <w:rPr>
          <w:b/>
          <w:sz w:val="18"/>
        </w:rPr>
      </w:pPr>
      <w:r>
        <w:rPr>
          <w:b/>
          <w:sz w:val="18"/>
        </w:rPr>
        <w:t>Table</w:t>
      </w:r>
      <w:r>
        <w:rPr>
          <w:b/>
          <w:spacing w:val="-19"/>
          <w:sz w:val="18"/>
        </w:rPr>
        <w:t xml:space="preserve"> </w:t>
      </w:r>
      <w:r>
        <w:rPr>
          <w:b/>
          <w:sz w:val="18"/>
        </w:rPr>
        <w:t>14.1</w:t>
      </w:r>
      <w:r>
        <w:rPr>
          <w:b/>
          <w:spacing w:val="7"/>
          <w:sz w:val="18"/>
        </w:rPr>
        <w:t xml:space="preserve"> </w:t>
      </w:r>
      <w:r>
        <w:rPr>
          <w:b/>
          <w:sz w:val="18"/>
        </w:rPr>
        <w:t>Summary</w:t>
      </w:r>
      <w:r>
        <w:rPr>
          <w:b/>
          <w:spacing w:val="-19"/>
          <w:sz w:val="18"/>
        </w:rPr>
        <w:t xml:space="preserve"> </w:t>
      </w:r>
      <w:r>
        <w:rPr>
          <w:b/>
          <w:sz w:val="18"/>
        </w:rPr>
        <w:t>of</w:t>
      </w:r>
      <w:r>
        <w:rPr>
          <w:b/>
          <w:spacing w:val="-20"/>
          <w:sz w:val="18"/>
        </w:rPr>
        <w:t xml:space="preserve"> </w:t>
      </w:r>
      <w:r>
        <w:rPr>
          <w:b/>
          <w:sz w:val="18"/>
        </w:rPr>
        <w:t>recommended</w:t>
      </w:r>
      <w:r>
        <w:rPr>
          <w:b/>
          <w:spacing w:val="-19"/>
          <w:sz w:val="18"/>
        </w:rPr>
        <w:t xml:space="preserve"> </w:t>
      </w:r>
      <w:r>
        <w:rPr>
          <w:b/>
          <w:spacing w:val="-2"/>
          <w:sz w:val="18"/>
        </w:rPr>
        <w:t>actions</w:t>
      </w:r>
    </w:p>
    <w:p w:rsidR="002C1123" w:rsidRDefault="00F22F94">
      <w:pPr>
        <w:tabs>
          <w:tab w:val="left" w:pos="8145"/>
          <w:tab w:val="left" w:pos="9279"/>
          <w:tab w:val="left" w:pos="11433"/>
        </w:tabs>
        <w:spacing w:before="148" w:after="9"/>
        <w:ind w:left="1172"/>
        <w:rPr>
          <w:b/>
          <w:sz w:val="18"/>
        </w:rPr>
      </w:pPr>
      <w:r>
        <w:rPr>
          <w:b/>
          <w:color w:val="2E3092"/>
          <w:sz w:val="18"/>
        </w:rPr>
        <w:t xml:space="preserve">Recommended </w:t>
      </w:r>
      <w:r>
        <w:rPr>
          <w:b/>
          <w:color w:val="2E3092"/>
          <w:spacing w:val="-2"/>
          <w:sz w:val="18"/>
        </w:rPr>
        <w:t>action</w:t>
      </w:r>
      <w:r>
        <w:rPr>
          <w:b/>
          <w:color w:val="2E3092"/>
          <w:sz w:val="18"/>
        </w:rPr>
        <w:tab/>
      </w:r>
      <w:r>
        <w:rPr>
          <w:b/>
          <w:color w:val="2E3092"/>
          <w:spacing w:val="-2"/>
          <w:sz w:val="18"/>
        </w:rPr>
        <w:t>Years</w:t>
      </w:r>
      <w:r>
        <w:rPr>
          <w:b/>
          <w:color w:val="2E3092"/>
          <w:sz w:val="18"/>
        </w:rPr>
        <w:tab/>
      </w:r>
      <w:r>
        <w:rPr>
          <w:b/>
          <w:color w:val="2E3092"/>
          <w:spacing w:val="-4"/>
          <w:sz w:val="18"/>
        </w:rPr>
        <w:t>Type</w:t>
      </w:r>
      <w:r>
        <w:rPr>
          <w:b/>
          <w:color w:val="2E3092"/>
          <w:sz w:val="18"/>
        </w:rPr>
        <w:tab/>
        <w:t>Cost</w:t>
      </w:r>
      <w:r>
        <w:rPr>
          <w:b/>
          <w:color w:val="2E3092"/>
          <w:spacing w:val="-11"/>
          <w:sz w:val="18"/>
        </w:rPr>
        <w:t xml:space="preserve"> </w:t>
      </w:r>
      <w:r>
        <w:rPr>
          <w:b/>
          <w:color w:val="2E3092"/>
          <w:sz w:val="18"/>
        </w:rPr>
        <w:t>and</w:t>
      </w:r>
      <w:r>
        <w:rPr>
          <w:b/>
          <w:color w:val="2E3092"/>
          <w:spacing w:val="-10"/>
          <w:sz w:val="18"/>
        </w:rPr>
        <w:t xml:space="preserve"> </w:t>
      </w:r>
      <w:r>
        <w:rPr>
          <w:b/>
          <w:color w:val="2E3092"/>
          <w:sz w:val="18"/>
        </w:rPr>
        <w:t>funding</w:t>
      </w:r>
      <w:r>
        <w:rPr>
          <w:b/>
          <w:color w:val="2E3092"/>
          <w:spacing w:val="-10"/>
          <w:sz w:val="18"/>
        </w:rPr>
        <w:t xml:space="preserve"> </w:t>
      </w:r>
      <w:r>
        <w:rPr>
          <w:b/>
          <w:color w:val="2E3092"/>
          <w:spacing w:val="-2"/>
          <w:sz w:val="18"/>
        </w:rPr>
        <w:t>implications</w:t>
      </w:r>
    </w:p>
    <w:tbl>
      <w:tblPr>
        <w:tblW w:w="0" w:type="auto"/>
        <w:tblInd w:w="49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57"/>
        <w:gridCol w:w="6973"/>
        <w:gridCol w:w="1134"/>
        <w:gridCol w:w="2154"/>
        <w:gridCol w:w="4024"/>
      </w:tblGrid>
      <w:tr w:rsidR="002C1123">
        <w:trPr>
          <w:trHeight w:val="391"/>
        </w:trPr>
        <w:tc>
          <w:tcPr>
            <w:tcW w:w="557" w:type="dxa"/>
            <w:tcBorders>
              <w:top w:val="nil"/>
              <w:left w:val="nil"/>
            </w:tcBorders>
            <w:shd w:val="clear" w:color="auto" w:fill="C9C8C9"/>
          </w:tcPr>
          <w:p w:rsidR="002C1123" w:rsidRDefault="00F22F94">
            <w:pPr>
              <w:pStyle w:val="TableParagraph"/>
              <w:spacing w:before="63"/>
              <w:rPr>
                <w:sz w:val="18"/>
              </w:rPr>
            </w:pPr>
            <w:r>
              <w:rPr>
                <w:spacing w:val="-5"/>
                <w:sz w:val="18"/>
              </w:rPr>
              <w:t>62</w:t>
            </w:r>
          </w:p>
        </w:tc>
        <w:tc>
          <w:tcPr>
            <w:tcW w:w="6973" w:type="dxa"/>
            <w:tcBorders>
              <w:top w:val="nil"/>
            </w:tcBorders>
            <w:shd w:val="clear" w:color="auto" w:fill="C9C8C9"/>
          </w:tcPr>
          <w:p w:rsidR="002C1123" w:rsidRDefault="00F22F94">
            <w:pPr>
              <w:pStyle w:val="TableParagraph"/>
              <w:spacing w:before="63"/>
              <w:rPr>
                <w:sz w:val="18"/>
              </w:rPr>
            </w:pPr>
            <w:r>
              <w:rPr>
                <w:spacing w:val="-2"/>
                <w:w w:val="105"/>
                <w:sz w:val="18"/>
              </w:rPr>
              <w:t>Target</w:t>
            </w:r>
            <w:r>
              <w:rPr>
                <w:spacing w:val="-7"/>
                <w:w w:val="105"/>
                <w:sz w:val="18"/>
              </w:rPr>
              <w:t xml:space="preserve"> </w:t>
            </w:r>
            <w:r>
              <w:rPr>
                <w:spacing w:val="-2"/>
                <w:w w:val="105"/>
                <w:sz w:val="18"/>
              </w:rPr>
              <w:t>provision</w:t>
            </w:r>
            <w:r>
              <w:rPr>
                <w:spacing w:val="-7"/>
                <w:w w:val="105"/>
                <w:sz w:val="18"/>
              </w:rPr>
              <w:t xml:space="preserve"> </w:t>
            </w:r>
            <w:r>
              <w:rPr>
                <w:spacing w:val="-2"/>
                <w:w w:val="105"/>
                <w:sz w:val="18"/>
              </w:rPr>
              <w:t>of</w:t>
            </w:r>
            <w:r>
              <w:rPr>
                <w:spacing w:val="-7"/>
                <w:w w:val="105"/>
                <w:sz w:val="18"/>
              </w:rPr>
              <w:t xml:space="preserve"> </w:t>
            </w:r>
            <w:r>
              <w:rPr>
                <w:spacing w:val="-2"/>
                <w:w w:val="105"/>
                <w:sz w:val="18"/>
              </w:rPr>
              <w:t>90</w:t>
            </w:r>
            <w:r>
              <w:rPr>
                <w:spacing w:val="-7"/>
                <w:w w:val="105"/>
                <w:sz w:val="18"/>
              </w:rPr>
              <w:t xml:space="preserve"> </w:t>
            </w:r>
            <w:r>
              <w:rPr>
                <w:spacing w:val="-2"/>
                <w:w w:val="105"/>
                <w:sz w:val="18"/>
              </w:rPr>
              <w:t>percent</w:t>
            </w:r>
            <w:r>
              <w:rPr>
                <w:spacing w:val="-7"/>
                <w:w w:val="105"/>
                <w:sz w:val="18"/>
              </w:rPr>
              <w:t xml:space="preserve"> </w:t>
            </w:r>
            <w:r>
              <w:rPr>
                <w:spacing w:val="-2"/>
                <w:w w:val="105"/>
                <w:sz w:val="18"/>
              </w:rPr>
              <w:t>of</w:t>
            </w:r>
            <w:r>
              <w:rPr>
                <w:spacing w:val="-7"/>
                <w:w w:val="105"/>
                <w:sz w:val="18"/>
              </w:rPr>
              <w:t xml:space="preserve"> </w:t>
            </w:r>
            <w:r>
              <w:rPr>
                <w:spacing w:val="-2"/>
                <w:w w:val="105"/>
                <w:sz w:val="18"/>
              </w:rPr>
              <w:t>new</w:t>
            </w:r>
            <w:r>
              <w:rPr>
                <w:spacing w:val="-7"/>
                <w:w w:val="105"/>
                <w:sz w:val="18"/>
              </w:rPr>
              <w:t xml:space="preserve"> </w:t>
            </w:r>
            <w:r>
              <w:rPr>
                <w:spacing w:val="-2"/>
                <w:w w:val="105"/>
                <w:sz w:val="18"/>
              </w:rPr>
              <w:t>school</w:t>
            </w:r>
            <w:r>
              <w:rPr>
                <w:spacing w:val="-7"/>
                <w:w w:val="105"/>
                <w:sz w:val="18"/>
              </w:rPr>
              <w:t xml:space="preserve"> </w:t>
            </w:r>
            <w:r>
              <w:rPr>
                <w:spacing w:val="-2"/>
                <w:w w:val="105"/>
                <w:sz w:val="18"/>
              </w:rPr>
              <w:t>places</w:t>
            </w:r>
            <w:r>
              <w:rPr>
                <w:spacing w:val="-6"/>
                <w:w w:val="105"/>
                <w:sz w:val="18"/>
              </w:rPr>
              <w:t xml:space="preserve"> </w:t>
            </w:r>
            <w:r>
              <w:rPr>
                <w:spacing w:val="-2"/>
                <w:w w:val="105"/>
                <w:sz w:val="18"/>
              </w:rPr>
              <w:t>on</w:t>
            </w:r>
            <w:r>
              <w:rPr>
                <w:spacing w:val="-7"/>
                <w:w w:val="105"/>
                <w:sz w:val="18"/>
              </w:rPr>
              <w:t xml:space="preserve"> </w:t>
            </w:r>
            <w:r>
              <w:rPr>
                <w:spacing w:val="-2"/>
                <w:w w:val="105"/>
                <w:sz w:val="18"/>
              </w:rPr>
              <w:t>existing</w:t>
            </w:r>
            <w:r>
              <w:rPr>
                <w:spacing w:val="-7"/>
                <w:w w:val="105"/>
                <w:sz w:val="18"/>
              </w:rPr>
              <w:t xml:space="preserve"> </w:t>
            </w:r>
            <w:r>
              <w:rPr>
                <w:spacing w:val="-2"/>
                <w:w w:val="105"/>
                <w:sz w:val="18"/>
              </w:rPr>
              <w:t>school</w:t>
            </w:r>
            <w:r>
              <w:rPr>
                <w:spacing w:val="-7"/>
                <w:w w:val="105"/>
                <w:sz w:val="18"/>
              </w:rPr>
              <w:t xml:space="preserve"> </w:t>
            </w:r>
            <w:r>
              <w:rPr>
                <w:spacing w:val="-2"/>
                <w:w w:val="105"/>
                <w:sz w:val="18"/>
              </w:rPr>
              <w:t>sites</w:t>
            </w:r>
          </w:p>
        </w:tc>
        <w:tc>
          <w:tcPr>
            <w:tcW w:w="1134" w:type="dxa"/>
            <w:shd w:val="clear" w:color="auto" w:fill="E1E0E1"/>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2154" w:type="dxa"/>
            <w:shd w:val="clear" w:color="auto" w:fill="E1E0E1"/>
          </w:tcPr>
          <w:p w:rsidR="002C1123" w:rsidRDefault="00F22F94">
            <w:pPr>
              <w:pStyle w:val="TableParagraph"/>
              <w:rPr>
                <w:sz w:val="16"/>
              </w:rPr>
            </w:pPr>
            <w:r>
              <w:rPr>
                <w:spacing w:val="-2"/>
                <w:sz w:val="16"/>
              </w:rPr>
              <w:t>Program</w:t>
            </w:r>
          </w:p>
        </w:tc>
        <w:tc>
          <w:tcPr>
            <w:tcW w:w="4024" w:type="dxa"/>
            <w:shd w:val="clear" w:color="auto" w:fill="E1E0E1"/>
          </w:tcPr>
          <w:p w:rsidR="002C1123" w:rsidRDefault="00F22F94">
            <w:pPr>
              <w:pStyle w:val="TableParagraph"/>
              <w:rPr>
                <w:sz w:val="16"/>
              </w:rPr>
            </w:pPr>
            <w:r>
              <w:rPr>
                <w:w w:val="95"/>
                <w:sz w:val="16"/>
              </w:rPr>
              <w:t>Potential</w:t>
            </w:r>
            <w:r>
              <w:rPr>
                <w:spacing w:val="-2"/>
                <w:w w:val="95"/>
                <w:sz w:val="16"/>
              </w:rPr>
              <w:t xml:space="preserve"> </w:t>
            </w:r>
            <w:r>
              <w:rPr>
                <w:w w:val="95"/>
                <w:sz w:val="16"/>
              </w:rPr>
              <w:t>capital</w:t>
            </w:r>
            <w:r>
              <w:rPr>
                <w:spacing w:val="-1"/>
                <w:w w:val="95"/>
                <w:sz w:val="16"/>
              </w:rPr>
              <w:t xml:space="preserve"> </w:t>
            </w:r>
            <w:r>
              <w:rPr>
                <w:spacing w:val="-2"/>
                <w:w w:val="95"/>
                <w:sz w:val="16"/>
              </w:rPr>
              <w:t>savings</w:t>
            </w:r>
          </w:p>
        </w:tc>
      </w:tr>
      <w:tr w:rsidR="002C1123">
        <w:trPr>
          <w:trHeight w:val="391"/>
        </w:trPr>
        <w:tc>
          <w:tcPr>
            <w:tcW w:w="557" w:type="dxa"/>
            <w:tcBorders>
              <w:left w:val="nil"/>
            </w:tcBorders>
            <w:shd w:val="clear" w:color="auto" w:fill="C9C8C9"/>
          </w:tcPr>
          <w:p w:rsidR="002C1123" w:rsidRDefault="00F22F94">
            <w:pPr>
              <w:pStyle w:val="TableParagraph"/>
              <w:spacing w:before="63"/>
              <w:rPr>
                <w:sz w:val="18"/>
              </w:rPr>
            </w:pPr>
            <w:r>
              <w:rPr>
                <w:spacing w:val="-5"/>
                <w:sz w:val="18"/>
              </w:rPr>
              <w:t>63</w:t>
            </w:r>
          </w:p>
        </w:tc>
        <w:tc>
          <w:tcPr>
            <w:tcW w:w="6973" w:type="dxa"/>
            <w:shd w:val="clear" w:color="auto" w:fill="C9C8C9"/>
          </w:tcPr>
          <w:p w:rsidR="002C1123" w:rsidRDefault="00F22F94">
            <w:pPr>
              <w:pStyle w:val="TableParagraph"/>
              <w:spacing w:before="63"/>
              <w:rPr>
                <w:sz w:val="18"/>
              </w:rPr>
            </w:pPr>
            <w:r>
              <w:rPr>
                <w:spacing w:val="-2"/>
                <w:w w:val="105"/>
                <w:sz w:val="18"/>
              </w:rPr>
              <w:t>New</w:t>
            </w:r>
            <w:r>
              <w:rPr>
                <w:spacing w:val="-5"/>
                <w:w w:val="105"/>
                <w:sz w:val="18"/>
              </w:rPr>
              <w:t xml:space="preserve"> </w:t>
            </w:r>
            <w:r>
              <w:rPr>
                <w:spacing w:val="-2"/>
                <w:w w:val="105"/>
                <w:sz w:val="18"/>
              </w:rPr>
              <w:t>classroom</w:t>
            </w:r>
            <w:r>
              <w:rPr>
                <w:spacing w:val="-5"/>
                <w:w w:val="105"/>
                <w:sz w:val="18"/>
              </w:rPr>
              <w:t xml:space="preserve"> </w:t>
            </w:r>
            <w:r>
              <w:rPr>
                <w:spacing w:val="-2"/>
                <w:w w:val="105"/>
                <w:sz w:val="18"/>
              </w:rPr>
              <w:t>design</w:t>
            </w:r>
            <w:r>
              <w:rPr>
                <w:spacing w:val="-5"/>
                <w:w w:val="105"/>
                <w:sz w:val="18"/>
              </w:rPr>
              <w:t xml:space="preserve"> </w:t>
            </w:r>
            <w:r>
              <w:rPr>
                <w:spacing w:val="-2"/>
                <w:w w:val="105"/>
                <w:sz w:val="18"/>
              </w:rPr>
              <w:t>for</w:t>
            </w:r>
            <w:r>
              <w:rPr>
                <w:spacing w:val="-5"/>
                <w:w w:val="105"/>
                <w:sz w:val="18"/>
              </w:rPr>
              <w:t xml:space="preserve"> </w:t>
            </w:r>
            <w:r>
              <w:rPr>
                <w:spacing w:val="-2"/>
                <w:w w:val="105"/>
                <w:sz w:val="18"/>
              </w:rPr>
              <w:t>technology-driven</w:t>
            </w:r>
            <w:r>
              <w:rPr>
                <w:spacing w:val="-5"/>
                <w:w w:val="105"/>
                <w:sz w:val="18"/>
              </w:rPr>
              <w:t xml:space="preserve"> </w:t>
            </w:r>
            <w:r>
              <w:rPr>
                <w:spacing w:val="-2"/>
                <w:w w:val="105"/>
                <w:sz w:val="18"/>
              </w:rPr>
              <w:t>learning</w:t>
            </w:r>
          </w:p>
        </w:tc>
        <w:tc>
          <w:tcPr>
            <w:tcW w:w="1134" w:type="dxa"/>
            <w:shd w:val="clear" w:color="auto" w:fill="E1E0E1"/>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2154" w:type="dxa"/>
            <w:shd w:val="clear" w:color="auto" w:fill="E1E0E1"/>
          </w:tcPr>
          <w:p w:rsidR="002C1123" w:rsidRDefault="00F22F94">
            <w:pPr>
              <w:pStyle w:val="TableParagraph"/>
              <w:rPr>
                <w:sz w:val="16"/>
              </w:rPr>
            </w:pPr>
            <w:r>
              <w:rPr>
                <w:spacing w:val="-2"/>
                <w:sz w:val="16"/>
              </w:rPr>
              <w:t>Planning</w:t>
            </w:r>
          </w:p>
        </w:tc>
        <w:tc>
          <w:tcPr>
            <w:tcW w:w="4024" w:type="dxa"/>
            <w:shd w:val="clear" w:color="auto" w:fill="E1E0E1"/>
          </w:tcPr>
          <w:p w:rsidR="002C1123" w:rsidRDefault="00F22F94">
            <w:pPr>
              <w:pStyle w:val="TableParagraph"/>
              <w:rPr>
                <w:sz w:val="16"/>
              </w:rPr>
            </w:pPr>
            <w:r>
              <w:rPr>
                <w:w w:val="95"/>
                <w:sz w:val="16"/>
              </w:rPr>
              <w:t>Cost</w:t>
            </w:r>
            <w:r>
              <w:rPr>
                <w:spacing w:val="6"/>
                <w:sz w:val="16"/>
              </w:rPr>
              <w:t xml:space="preserve"> </w:t>
            </w:r>
            <w:r>
              <w:rPr>
                <w:w w:val="95"/>
                <w:sz w:val="16"/>
              </w:rPr>
              <w:t>of</w:t>
            </w:r>
            <w:r>
              <w:rPr>
                <w:spacing w:val="6"/>
                <w:sz w:val="16"/>
              </w:rPr>
              <w:t xml:space="preserve"> </w:t>
            </w:r>
            <w:r>
              <w:rPr>
                <w:w w:val="95"/>
                <w:sz w:val="16"/>
              </w:rPr>
              <w:t>concept</w:t>
            </w:r>
            <w:r>
              <w:rPr>
                <w:spacing w:val="6"/>
                <w:sz w:val="16"/>
              </w:rPr>
              <w:t xml:space="preserve"> </w:t>
            </w:r>
            <w:r>
              <w:rPr>
                <w:w w:val="95"/>
                <w:sz w:val="16"/>
              </w:rPr>
              <w:t>development</w:t>
            </w:r>
            <w:r>
              <w:rPr>
                <w:spacing w:val="6"/>
                <w:sz w:val="16"/>
              </w:rPr>
              <w:t xml:space="preserve"> </w:t>
            </w:r>
            <w:r>
              <w:rPr>
                <w:w w:val="95"/>
                <w:sz w:val="16"/>
              </w:rPr>
              <w:t>is</w:t>
            </w:r>
            <w:r>
              <w:rPr>
                <w:spacing w:val="6"/>
                <w:sz w:val="16"/>
              </w:rPr>
              <w:t xml:space="preserve"> </w:t>
            </w:r>
            <w:r>
              <w:rPr>
                <w:w w:val="95"/>
                <w:sz w:val="16"/>
              </w:rPr>
              <w:t>not</w:t>
            </w:r>
            <w:r>
              <w:rPr>
                <w:spacing w:val="6"/>
                <w:sz w:val="16"/>
              </w:rPr>
              <w:t xml:space="preserve"> </w:t>
            </w:r>
            <w:r>
              <w:rPr>
                <w:spacing w:val="-2"/>
                <w:w w:val="95"/>
                <w:sz w:val="16"/>
              </w:rPr>
              <w:t>material</w:t>
            </w:r>
          </w:p>
        </w:tc>
      </w:tr>
      <w:tr w:rsidR="002C1123">
        <w:trPr>
          <w:trHeight w:val="611"/>
        </w:trPr>
        <w:tc>
          <w:tcPr>
            <w:tcW w:w="557" w:type="dxa"/>
            <w:tcBorders>
              <w:left w:val="nil"/>
            </w:tcBorders>
            <w:shd w:val="clear" w:color="auto" w:fill="C9C8C9"/>
          </w:tcPr>
          <w:p w:rsidR="002C1123" w:rsidRDefault="00F22F94">
            <w:pPr>
              <w:pStyle w:val="TableParagraph"/>
              <w:spacing w:before="63"/>
              <w:rPr>
                <w:sz w:val="18"/>
              </w:rPr>
            </w:pPr>
            <w:r>
              <w:rPr>
                <w:spacing w:val="-5"/>
                <w:sz w:val="18"/>
              </w:rPr>
              <w:t>64</w:t>
            </w:r>
          </w:p>
        </w:tc>
        <w:tc>
          <w:tcPr>
            <w:tcW w:w="6973" w:type="dxa"/>
            <w:shd w:val="clear" w:color="auto" w:fill="C9C8C9"/>
          </w:tcPr>
          <w:p w:rsidR="002C1123" w:rsidRDefault="00F22F94">
            <w:pPr>
              <w:pStyle w:val="TableParagraph"/>
              <w:spacing w:before="63" w:line="254" w:lineRule="auto"/>
              <w:rPr>
                <w:sz w:val="18"/>
              </w:rPr>
            </w:pPr>
            <w:r>
              <w:rPr>
                <w:spacing w:val="-2"/>
                <w:w w:val="105"/>
                <w:sz w:val="18"/>
              </w:rPr>
              <w:t>Increase</w:t>
            </w:r>
            <w:r>
              <w:rPr>
                <w:spacing w:val="-9"/>
                <w:w w:val="105"/>
                <w:sz w:val="18"/>
              </w:rPr>
              <w:t xml:space="preserve"> </w:t>
            </w:r>
            <w:r>
              <w:rPr>
                <w:spacing w:val="-2"/>
                <w:w w:val="105"/>
                <w:sz w:val="18"/>
              </w:rPr>
              <w:t>shared</w:t>
            </w:r>
            <w:r>
              <w:rPr>
                <w:spacing w:val="-9"/>
                <w:w w:val="105"/>
                <w:sz w:val="18"/>
              </w:rPr>
              <w:t xml:space="preserve"> </w:t>
            </w:r>
            <w:r>
              <w:rPr>
                <w:spacing w:val="-2"/>
                <w:w w:val="105"/>
                <w:sz w:val="18"/>
              </w:rPr>
              <w:t>community</w:t>
            </w:r>
            <w:r>
              <w:rPr>
                <w:spacing w:val="-9"/>
                <w:w w:val="105"/>
                <w:sz w:val="18"/>
              </w:rPr>
              <w:t xml:space="preserve"> </w:t>
            </w:r>
            <w:r>
              <w:rPr>
                <w:spacing w:val="-2"/>
                <w:w w:val="105"/>
                <w:sz w:val="18"/>
              </w:rPr>
              <w:t>use</w:t>
            </w:r>
            <w:r>
              <w:rPr>
                <w:spacing w:val="-9"/>
                <w:w w:val="105"/>
                <w:sz w:val="18"/>
              </w:rPr>
              <w:t xml:space="preserve"> </w:t>
            </w:r>
            <w:r>
              <w:rPr>
                <w:spacing w:val="-2"/>
                <w:w w:val="105"/>
                <w:sz w:val="18"/>
              </w:rPr>
              <w:t>of</w:t>
            </w:r>
            <w:r>
              <w:rPr>
                <w:spacing w:val="-9"/>
                <w:w w:val="105"/>
                <w:sz w:val="18"/>
              </w:rPr>
              <w:t xml:space="preserve"> </w:t>
            </w:r>
            <w:r>
              <w:rPr>
                <w:spacing w:val="-2"/>
                <w:w w:val="105"/>
                <w:sz w:val="18"/>
              </w:rPr>
              <w:t>school</w:t>
            </w:r>
            <w:r>
              <w:rPr>
                <w:spacing w:val="-9"/>
                <w:w w:val="105"/>
                <w:sz w:val="18"/>
              </w:rPr>
              <w:t xml:space="preserve"> </w:t>
            </w:r>
            <w:r>
              <w:rPr>
                <w:spacing w:val="-2"/>
                <w:w w:val="105"/>
                <w:sz w:val="18"/>
              </w:rPr>
              <w:t>assets,</w:t>
            </w:r>
            <w:r>
              <w:rPr>
                <w:spacing w:val="-9"/>
                <w:w w:val="105"/>
                <w:sz w:val="18"/>
              </w:rPr>
              <w:t xml:space="preserve"> </w:t>
            </w:r>
            <w:r>
              <w:rPr>
                <w:spacing w:val="-2"/>
                <w:w w:val="105"/>
                <w:sz w:val="18"/>
              </w:rPr>
              <w:t>including</w:t>
            </w:r>
            <w:r>
              <w:rPr>
                <w:spacing w:val="-9"/>
                <w:w w:val="105"/>
                <w:sz w:val="18"/>
              </w:rPr>
              <w:t xml:space="preserve"> </w:t>
            </w:r>
            <w:r>
              <w:rPr>
                <w:spacing w:val="-2"/>
                <w:w w:val="105"/>
                <w:sz w:val="18"/>
              </w:rPr>
              <w:t>repurposing</w:t>
            </w:r>
            <w:r>
              <w:rPr>
                <w:spacing w:val="-9"/>
                <w:w w:val="105"/>
                <w:sz w:val="18"/>
              </w:rPr>
              <w:t xml:space="preserve"> </w:t>
            </w:r>
            <w:r>
              <w:rPr>
                <w:spacing w:val="-2"/>
                <w:w w:val="105"/>
                <w:sz w:val="18"/>
              </w:rPr>
              <w:t xml:space="preserve">assets </w:t>
            </w:r>
            <w:r>
              <w:rPr>
                <w:w w:val="105"/>
                <w:sz w:val="18"/>
              </w:rPr>
              <w:t>where</w:t>
            </w:r>
            <w:r>
              <w:rPr>
                <w:spacing w:val="-1"/>
                <w:w w:val="105"/>
                <w:sz w:val="18"/>
              </w:rPr>
              <w:t xml:space="preserve"> </w:t>
            </w:r>
            <w:r>
              <w:rPr>
                <w:w w:val="105"/>
                <w:sz w:val="18"/>
              </w:rPr>
              <w:t>appropriate</w:t>
            </w:r>
          </w:p>
        </w:tc>
        <w:tc>
          <w:tcPr>
            <w:tcW w:w="1134" w:type="dxa"/>
            <w:shd w:val="clear" w:color="auto" w:fill="E1E0E1"/>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2154" w:type="dxa"/>
            <w:shd w:val="clear" w:color="auto" w:fill="E1E0E1"/>
          </w:tcPr>
          <w:p w:rsidR="002C1123" w:rsidRDefault="00F22F94">
            <w:pPr>
              <w:pStyle w:val="TableParagraph"/>
              <w:rPr>
                <w:sz w:val="16"/>
              </w:rPr>
            </w:pPr>
            <w:r>
              <w:rPr>
                <w:w w:val="95"/>
                <w:sz w:val="16"/>
              </w:rPr>
              <w:t>Asset</w:t>
            </w:r>
            <w:r>
              <w:rPr>
                <w:spacing w:val="-1"/>
                <w:sz w:val="16"/>
              </w:rPr>
              <w:t xml:space="preserve"> </w:t>
            </w:r>
            <w:r>
              <w:rPr>
                <w:spacing w:val="-2"/>
                <w:sz w:val="16"/>
              </w:rPr>
              <w:t>utilisation</w:t>
            </w:r>
          </w:p>
        </w:tc>
        <w:tc>
          <w:tcPr>
            <w:tcW w:w="4024" w:type="dxa"/>
            <w:shd w:val="clear" w:color="auto" w:fill="E1E0E1"/>
          </w:tcPr>
          <w:p w:rsidR="002C1123" w:rsidRDefault="00F22F94">
            <w:pPr>
              <w:pStyle w:val="TableParagraph"/>
              <w:rPr>
                <w:sz w:val="16"/>
              </w:rPr>
            </w:pPr>
            <w:r>
              <w:rPr>
                <w:w w:val="95"/>
                <w:sz w:val="16"/>
              </w:rPr>
              <w:t>Potential</w:t>
            </w:r>
            <w:r>
              <w:rPr>
                <w:spacing w:val="-2"/>
                <w:w w:val="95"/>
                <w:sz w:val="16"/>
              </w:rPr>
              <w:t xml:space="preserve"> </w:t>
            </w:r>
            <w:r>
              <w:rPr>
                <w:w w:val="95"/>
                <w:sz w:val="16"/>
              </w:rPr>
              <w:t>capital</w:t>
            </w:r>
            <w:r>
              <w:rPr>
                <w:spacing w:val="-1"/>
                <w:w w:val="95"/>
                <w:sz w:val="16"/>
              </w:rPr>
              <w:t xml:space="preserve"> </w:t>
            </w:r>
            <w:r>
              <w:rPr>
                <w:spacing w:val="-2"/>
                <w:w w:val="95"/>
                <w:sz w:val="16"/>
              </w:rPr>
              <w:t>savings</w:t>
            </w:r>
          </w:p>
        </w:tc>
      </w:tr>
      <w:tr w:rsidR="002C1123">
        <w:trPr>
          <w:trHeight w:val="391"/>
        </w:trPr>
        <w:tc>
          <w:tcPr>
            <w:tcW w:w="557" w:type="dxa"/>
            <w:tcBorders>
              <w:left w:val="nil"/>
            </w:tcBorders>
            <w:shd w:val="clear" w:color="auto" w:fill="C9C8C9"/>
          </w:tcPr>
          <w:p w:rsidR="002C1123" w:rsidRDefault="00F22F94">
            <w:pPr>
              <w:pStyle w:val="TableParagraph"/>
              <w:spacing w:before="63"/>
              <w:rPr>
                <w:sz w:val="18"/>
              </w:rPr>
            </w:pPr>
            <w:r>
              <w:rPr>
                <w:spacing w:val="-5"/>
                <w:sz w:val="18"/>
              </w:rPr>
              <w:t>65</w:t>
            </w:r>
          </w:p>
        </w:tc>
        <w:tc>
          <w:tcPr>
            <w:tcW w:w="6973" w:type="dxa"/>
            <w:shd w:val="clear" w:color="auto" w:fill="C9C8C9"/>
          </w:tcPr>
          <w:p w:rsidR="002C1123" w:rsidRDefault="00F22F94">
            <w:pPr>
              <w:pStyle w:val="TableParagraph"/>
              <w:spacing w:before="63"/>
              <w:rPr>
                <w:sz w:val="18"/>
              </w:rPr>
            </w:pPr>
            <w:r>
              <w:rPr>
                <w:sz w:val="18"/>
              </w:rPr>
              <w:t>Combine</w:t>
            </w:r>
            <w:r>
              <w:rPr>
                <w:spacing w:val="3"/>
                <w:sz w:val="18"/>
              </w:rPr>
              <w:t xml:space="preserve"> </w:t>
            </w:r>
            <w:r>
              <w:rPr>
                <w:sz w:val="18"/>
              </w:rPr>
              <w:t>TAFE</w:t>
            </w:r>
            <w:r>
              <w:rPr>
                <w:spacing w:val="4"/>
                <w:sz w:val="18"/>
              </w:rPr>
              <w:t xml:space="preserve"> </w:t>
            </w:r>
            <w:r>
              <w:rPr>
                <w:sz w:val="18"/>
              </w:rPr>
              <w:t>and</w:t>
            </w:r>
            <w:r>
              <w:rPr>
                <w:spacing w:val="4"/>
                <w:sz w:val="18"/>
              </w:rPr>
              <w:t xml:space="preserve"> </w:t>
            </w:r>
            <w:r>
              <w:rPr>
                <w:sz w:val="18"/>
              </w:rPr>
              <w:t>school</w:t>
            </w:r>
            <w:r>
              <w:rPr>
                <w:spacing w:val="4"/>
                <w:sz w:val="18"/>
              </w:rPr>
              <w:t xml:space="preserve"> </w:t>
            </w:r>
            <w:r>
              <w:rPr>
                <w:sz w:val="18"/>
              </w:rPr>
              <w:t>asset</w:t>
            </w:r>
            <w:r>
              <w:rPr>
                <w:spacing w:val="4"/>
                <w:sz w:val="18"/>
              </w:rPr>
              <w:t xml:space="preserve"> </w:t>
            </w:r>
            <w:r>
              <w:rPr>
                <w:sz w:val="18"/>
              </w:rPr>
              <w:t>management</w:t>
            </w:r>
            <w:r>
              <w:rPr>
                <w:spacing w:val="4"/>
                <w:sz w:val="18"/>
              </w:rPr>
              <w:t xml:space="preserve"> </w:t>
            </w:r>
            <w:r>
              <w:rPr>
                <w:sz w:val="18"/>
              </w:rPr>
              <w:t>function</w:t>
            </w:r>
            <w:r>
              <w:rPr>
                <w:spacing w:val="4"/>
                <w:sz w:val="18"/>
              </w:rPr>
              <w:t xml:space="preserve"> </w:t>
            </w:r>
            <w:r>
              <w:rPr>
                <w:sz w:val="18"/>
              </w:rPr>
              <w:t>to</w:t>
            </w:r>
            <w:r>
              <w:rPr>
                <w:spacing w:val="4"/>
                <w:sz w:val="18"/>
              </w:rPr>
              <w:t xml:space="preserve"> </w:t>
            </w:r>
            <w:r>
              <w:rPr>
                <w:sz w:val="18"/>
              </w:rPr>
              <w:t>increase</w:t>
            </w:r>
            <w:r>
              <w:rPr>
                <w:spacing w:val="4"/>
                <w:sz w:val="18"/>
              </w:rPr>
              <w:t xml:space="preserve"> </w:t>
            </w:r>
            <w:r>
              <w:rPr>
                <w:spacing w:val="-2"/>
                <w:sz w:val="18"/>
              </w:rPr>
              <w:t>utilisation</w:t>
            </w:r>
          </w:p>
        </w:tc>
        <w:tc>
          <w:tcPr>
            <w:tcW w:w="1134" w:type="dxa"/>
            <w:shd w:val="clear" w:color="auto" w:fill="E1E0E1"/>
          </w:tcPr>
          <w:p w:rsidR="002C1123" w:rsidRDefault="00F22F94">
            <w:pPr>
              <w:pStyle w:val="TableParagraph"/>
              <w:rPr>
                <w:sz w:val="16"/>
              </w:rPr>
            </w:pPr>
            <w:r>
              <w:rPr>
                <w:sz w:val="16"/>
              </w:rPr>
              <w:t>5</w:t>
            </w:r>
            <w:r>
              <w:rPr>
                <w:spacing w:val="-10"/>
                <w:sz w:val="16"/>
              </w:rPr>
              <w:t xml:space="preserve"> </w:t>
            </w:r>
            <w:r>
              <w:rPr>
                <w:sz w:val="16"/>
              </w:rPr>
              <w:t>–</w:t>
            </w:r>
            <w:r>
              <w:rPr>
                <w:spacing w:val="-9"/>
                <w:sz w:val="16"/>
              </w:rPr>
              <w:t xml:space="preserve"> </w:t>
            </w:r>
            <w:r>
              <w:rPr>
                <w:spacing w:val="-5"/>
                <w:sz w:val="16"/>
              </w:rPr>
              <w:t>10</w:t>
            </w:r>
          </w:p>
        </w:tc>
        <w:tc>
          <w:tcPr>
            <w:tcW w:w="2154" w:type="dxa"/>
            <w:shd w:val="clear" w:color="auto" w:fill="E1E0E1"/>
          </w:tcPr>
          <w:p w:rsidR="002C1123" w:rsidRDefault="00F22F94">
            <w:pPr>
              <w:pStyle w:val="TableParagraph"/>
              <w:rPr>
                <w:sz w:val="16"/>
              </w:rPr>
            </w:pPr>
            <w:r>
              <w:rPr>
                <w:w w:val="95"/>
                <w:sz w:val="16"/>
              </w:rPr>
              <w:t>Asset</w:t>
            </w:r>
            <w:r>
              <w:rPr>
                <w:spacing w:val="-1"/>
                <w:sz w:val="16"/>
              </w:rPr>
              <w:t xml:space="preserve"> </w:t>
            </w:r>
            <w:r>
              <w:rPr>
                <w:spacing w:val="-2"/>
                <w:sz w:val="16"/>
              </w:rPr>
              <w:t>utilisation</w:t>
            </w:r>
          </w:p>
        </w:tc>
        <w:tc>
          <w:tcPr>
            <w:tcW w:w="4024" w:type="dxa"/>
            <w:shd w:val="clear" w:color="auto" w:fill="E1E0E1"/>
          </w:tcPr>
          <w:p w:rsidR="002C1123" w:rsidRDefault="00F22F94">
            <w:pPr>
              <w:pStyle w:val="TableParagraph"/>
              <w:rPr>
                <w:sz w:val="16"/>
              </w:rPr>
            </w:pPr>
            <w:r>
              <w:rPr>
                <w:w w:val="95"/>
                <w:sz w:val="16"/>
              </w:rPr>
              <w:t>Potential</w:t>
            </w:r>
            <w:r>
              <w:rPr>
                <w:spacing w:val="-2"/>
                <w:w w:val="95"/>
                <w:sz w:val="16"/>
              </w:rPr>
              <w:t xml:space="preserve"> </w:t>
            </w:r>
            <w:r>
              <w:rPr>
                <w:w w:val="95"/>
                <w:sz w:val="16"/>
              </w:rPr>
              <w:t>capital</w:t>
            </w:r>
            <w:r>
              <w:rPr>
                <w:spacing w:val="-1"/>
                <w:w w:val="95"/>
                <w:sz w:val="16"/>
              </w:rPr>
              <w:t xml:space="preserve"> </w:t>
            </w:r>
            <w:r>
              <w:rPr>
                <w:spacing w:val="-2"/>
                <w:w w:val="95"/>
                <w:sz w:val="16"/>
              </w:rPr>
              <w:t>savings</w:t>
            </w:r>
          </w:p>
        </w:tc>
      </w:tr>
      <w:tr w:rsidR="002C1123">
        <w:trPr>
          <w:trHeight w:val="557"/>
        </w:trPr>
        <w:tc>
          <w:tcPr>
            <w:tcW w:w="557" w:type="dxa"/>
            <w:tcBorders>
              <w:left w:val="nil"/>
            </w:tcBorders>
            <w:shd w:val="clear" w:color="auto" w:fill="C9C8C9"/>
          </w:tcPr>
          <w:p w:rsidR="002C1123" w:rsidRDefault="00F22F94">
            <w:pPr>
              <w:pStyle w:val="TableParagraph"/>
              <w:spacing w:before="63"/>
              <w:rPr>
                <w:sz w:val="18"/>
              </w:rPr>
            </w:pPr>
            <w:r>
              <w:rPr>
                <w:spacing w:val="-5"/>
                <w:sz w:val="18"/>
              </w:rPr>
              <w:t>66</w:t>
            </w:r>
          </w:p>
        </w:tc>
        <w:tc>
          <w:tcPr>
            <w:tcW w:w="6973" w:type="dxa"/>
            <w:shd w:val="clear" w:color="auto" w:fill="C9C8C9"/>
          </w:tcPr>
          <w:p w:rsidR="002C1123" w:rsidRDefault="00F22F94">
            <w:pPr>
              <w:pStyle w:val="TableParagraph"/>
              <w:spacing w:before="63"/>
              <w:rPr>
                <w:sz w:val="18"/>
              </w:rPr>
            </w:pPr>
            <w:r>
              <w:rPr>
                <w:spacing w:val="-2"/>
                <w:w w:val="105"/>
                <w:sz w:val="18"/>
              </w:rPr>
              <w:t>Upgrade</w:t>
            </w:r>
            <w:r>
              <w:rPr>
                <w:spacing w:val="-4"/>
                <w:w w:val="105"/>
                <w:sz w:val="18"/>
              </w:rPr>
              <w:t xml:space="preserve"> </w:t>
            </w:r>
            <w:r>
              <w:rPr>
                <w:spacing w:val="-2"/>
                <w:w w:val="105"/>
                <w:sz w:val="18"/>
              </w:rPr>
              <w:t>and</w:t>
            </w:r>
            <w:r>
              <w:rPr>
                <w:spacing w:val="-3"/>
                <w:w w:val="105"/>
                <w:sz w:val="18"/>
              </w:rPr>
              <w:t xml:space="preserve"> </w:t>
            </w:r>
            <w:r>
              <w:rPr>
                <w:spacing w:val="-2"/>
                <w:w w:val="105"/>
                <w:sz w:val="18"/>
              </w:rPr>
              <w:t>build</w:t>
            </w:r>
            <w:r>
              <w:rPr>
                <w:spacing w:val="-4"/>
                <w:w w:val="105"/>
                <w:sz w:val="18"/>
              </w:rPr>
              <w:t xml:space="preserve"> </w:t>
            </w:r>
            <w:r>
              <w:rPr>
                <w:spacing w:val="-2"/>
                <w:w w:val="105"/>
                <w:sz w:val="18"/>
              </w:rPr>
              <w:t>new</w:t>
            </w:r>
            <w:r>
              <w:rPr>
                <w:spacing w:val="-3"/>
                <w:w w:val="105"/>
                <w:sz w:val="18"/>
              </w:rPr>
              <w:t xml:space="preserve"> </w:t>
            </w:r>
            <w:r>
              <w:rPr>
                <w:spacing w:val="-2"/>
                <w:w w:val="105"/>
                <w:sz w:val="18"/>
              </w:rPr>
              <w:t>educational</w:t>
            </w:r>
            <w:r>
              <w:rPr>
                <w:spacing w:val="-3"/>
                <w:w w:val="105"/>
                <w:sz w:val="18"/>
              </w:rPr>
              <w:t xml:space="preserve"> </w:t>
            </w:r>
            <w:r>
              <w:rPr>
                <w:spacing w:val="-2"/>
                <w:w w:val="105"/>
                <w:sz w:val="18"/>
              </w:rPr>
              <w:t>facilities</w:t>
            </w:r>
            <w:r>
              <w:rPr>
                <w:spacing w:val="-4"/>
                <w:w w:val="105"/>
                <w:sz w:val="18"/>
              </w:rPr>
              <w:t xml:space="preserve"> </w:t>
            </w:r>
            <w:r>
              <w:rPr>
                <w:spacing w:val="-2"/>
                <w:w w:val="105"/>
                <w:sz w:val="18"/>
              </w:rPr>
              <w:t>in</w:t>
            </w:r>
            <w:r>
              <w:rPr>
                <w:spacing w:val="-3"/>
                <w:w w:val="105"/>
                <w:sz w:val="18"/>
              </w:rPr>
              <w:t xml:space="preserve"> </w:t>
            </w:r>
            <w:r>
              <w:rPr>
                <w:spacing w:val="-2"/>
                <w:w w:val="105"/>
                <w:sz w:val="18"/>
              </w:rPr>
              <w:t>accordance</w:t>
            </w:r>
            <w:r>
              <w:rPr>
                <w:spacing w:val="-4"/>
                <w:w w:val="105"/>
                <w:sz w:val="18"/>
              </w:rPr>
              <w:t xml:space="preserve"> </w:t>
            </w:r>
            <w:r>
              <w:rPr>
                <w:spacing w:val="-2"/>
                <w:w w:val="105"/>
                <w:sz w:val="18"/>
              </w:rPr>
              <w:t>with</w:t>
            </w:r>
            <w:r>
              <w:rPr>
                <w:spacing w:val="-3"/>
                <w:w w:val="105"/>
                <w:sz w:val="18"/>
              </w:rPr>
              <w:t xml:space="preserve"> </w:t>
            </w:r>
            <w:r>
              <w:rPr>
                <w:spacing w:val="-2"/>
                <w:w w:val="105"/>
                <w:sz w:val="18"/>
              </w:rPr>
              <w:t>projected</w:t>
            </w:r>
            <w:r>
              <w:rPr>
                <w:spacing w:val="-3"/>
                <w:w w:val="105"/>
                <w:sz w:val="18"/>
              </w:rPr>
              <w:t xml:space="preserve"> </w:t>
            </w:r>
            <w:r>
              <w:rPr>
                <w:spacing w:val="-2"/>
                <w:w w:val="105"/>
                <w:sz w:val="18"/>
              </w:rPr>
              <w:t>demand</w:t>
            </w:r>
          </w:p>
        </w:tc>
        <w:tc>
          <w:tcPr>
            <w:tcW w:w="1134" w:type="dxa"/>
            <w:shd w:val="clear" w:color="auto" w:fill="E1E0E1"/>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5"/>
                <w:sz w:val="16"/>
              </w:rPr>
              <w:t>20</w:t>
            </w:r>
          </w:p>
        </w:tc>
        <w:tc>
          <w:tcPr>
            <w:tcW w:w="2154" w:type="dxa"/>
            <w:shd w:val="clear" w:color="auto" w:fill="E1E0E1"/>
          </w:tcPr>
          <w:p w:rsidR="002C1123" w:rsidRDefault="00F22F94">
            <w:pPr>
              <w:pStyle w:val="TableParagraph"/>
              <w:rPr>
                <w:sz w:val="16"/>
              </w:rPr>
            </w:pPr>
            <w:r>
              <w:rPr>
                <w:spacing w:val="-2"/>
                <w:sz w:val="16"/>
              </w:rPr>
              <w:t>Program</w:t>
            </w:r>
          </w:p>
        </w:tc>
        <w:tc>
          <w:tcPr>
            <w:tcW w:w="4024" w:type="dxa"/>
            <w:shd w:val="clear" w:color="auto" w:fill="E1E0E1"/>
          </w:tcPr>
          <w:p w:rsidR="002C1123" w:rsidRDefault="00F22F94">
            <w:pPr>
              <w:pStyle w:val="TableParagraph"/>
              <w:spacing w:before="70" w:line="235" w:lineRule="auto"/>
              <w:rPr>
                <w:sz w:val="16"/>
              </w:rPr>
            </w:pPr>
            <w:r>
              <w:rPr>
                <w:w w:val="95"/>
                <w:sz w:val="16"/>
              </w:rPr>
              <w:t xml:space="preserve">Existing Government commitment. Program will reflect </w:t>
            </w:r>
            <w:r>
              <w:rPr>
                <w:sz w:val="16"/>
              </w:rPr>
              <w:t>agency preferred models of learning</w:t>
            </w:r>
          </w:p>
        </w:tc>
      </w:tr>
    </w:tbl>
    <w:p w:rsidR="002C1123" w:rsidRDefault="002C1123">
      <w:pPr>
        <w:spacing w:line="235" w:lineRule="auto"/>
        <w:rPr>
          <w:sz w:val="16"/>
        </w:rPr>
        <w:sectPr w:rsidR="002C1123">
          <w:pgSz w:w="16840" w:h="11910" w:orient="landscape"/>
          <w:pgMar w:top="560" w:right="280" w:bottom="700" w:left="500" w:header="0" w:footer="517" w:gutter="0"/>
          <w:cols w:space="720"/>
        </w:sectPr>
      </w:pPr>
    </w:p>
    <w:p w:rsidR="002C1123" w:rsidRDefault="002C1123">
      <w:pPr>
        <w:pStyle w:val="BodyText"/>
        <w:rPr>
          <w:b/>
        </w:rPr>
      </w:pPr>
    </w:p>
    <w:p w:rsidR="002C1123" w:rsidRDefault="00F22F94">
      <w:pPr>
        <w:pStyle w:val="Heading1"/>
        <w:numPr>
          <w:ilvl w:val="1"/>
          <w:numId w:val="33"/>
        </w:numPr>
        <w:tabs>
          <w:tab w:val="left" w:pos="1908"/>
        </w:tabs>
      </w:pPr>
      <w:bookmarkStart w:id="366" w:name="14.2_Arts,_recreation_and_the_visitor_ec"/>
      <w:bookmarkStart w:id="367" w:name="Summary_"/>
      <w:bookmarkStart w:id="368" w:name="_bookmark261"/>
      <w:bookmarkStart w:id="369" w:name="_bookmark260"/>
      <w:bookmarkEnd w:id="366"/>
      <w:bookmarkEnd w:id="367"/>
      <w:bookmarkEnd w:id="368"/>
      <w:bookmarkEnd w:id="369"/>
      <w:r>
        <w:rPr>
          <w:color w:val="00AEEF"/>
          <w:spacing w:val="-2"/>
          <w:w w:val="55"/>
        </w:rPr>
        <w:t>Arts,</w:t>
      </w:r>
      <w:r>
        <w:rPr>
          <w:color w:val="00AEEF"/>
          <w:spacing w:val="-16"/>
          <w:w w:val="55"/>
        </w:rPr>
        <w:t xml:space="preserve"> </w:t>
      </w:r>
      <w:r>
        <w:rPr>
          <w:color w:val="00AEEF"/>
          <w:spacing w:val="-2"/>
          <w:w w:val="55"/>
        </w:rPr>
        <w:t>recreation</w:t>
      </w:r>
      <w:r>
        <w:rPr>
          <w:color w:val="00AEEF"/>
          <w:spacing w:val="-16"/>
          <w:w w:val="55"/>
        </w:rPr>
        <w:t xml:space="preserve"> </w:t>
      </w:r>
      <w:r>
        <w:rPr>
          <w:color w:val="00AEEF"/>
          <w:spacing w:val="-2"/>
          <w:w w:val="55"/>
        </w:rPr>
        <w:t>and</w:t>
      </w:r>
      <w:r>
        <w:rPr>
          <w:color w:val="00AEEF"/>
          <w:spacing w:val="-15"/>
          <w:w w:val="55"/>
        </w:rPr>
        <w:t xml:space="preserve"> </w:t>
      </w:r>
      <w:r>
        <w:rPr>
          <w:color w:val="00AEEF"/>
          <w:spacing w:val="-2"/>
          <w:w w:val="55"/>
        </w:rPr>
        <w:t>the</w:t>
      </w:r>
      <w:r>
        <w:rPr>
          <w:color w:val="00AEEF"/>
          <w:spacing w:val="-16"/>
          <w:w w:val="55"/>
        </w:rPr>
        <w:t xml:space="preserve"> </w:t>
      </w:r>
      <w:r>
        <w:rPr>
          <w:color w:val="00AEEF"/>
          <w:spacing w:val="-2"/>
          <w:w w:val="55"/>
        </w:rPr>
        <w:t>visitor</w:t>
      </w:r>
      <w:r>
        <w:rPr>
          <w:color w:val="00AEEF"/>
          <w:spacing w:val="-16"/>
          <w:w w:val="55"/>
        </w:rPr>
        <w:t xml:space="preserve"> </w:t>
      </w:r>
      <w:r>
        <w:rPr>
          <w:color w:val="00AEEF"/>
          <w:spacing w:val="-2"/>
          <w:w w:val="55"/>
        </w:rPr>
        <w:t>economy</w:t>
      </w:r>
    </w:p>
    <w:p w:rsidR="002C1123" w:rsidRDefault="002C1123">
      <w:pPr>
        <w:sectPr w:rsidR="002C1123">
          <w:pgSz w:w="16840" w:h="11910" w:orient="landscape"/>
          <w:pgMar w:top="560" w:right="280" w:bottom="700" w:left="500" w:header="0" w:footer="517" w:gutter="0"/>
          <w:cols w:space="720"/>
        </w:sectPr>
      </w:pPr>
    </w:p>
    <w:p w:rsidR="002C1123" w:rsidRDefault="002060EF">
      <w:pPr>
        <w:pStyle w:val="Heading5"/>
        <w:spacing w:before="210"/>
        <w:ind w:left="492" w:firstLine="0"/>
      </w:pPr>
      <w:r>
        <w:pict>
          <v:rect id="docshape2659" o:spid="_x0000_s1375" style="position:absolute;left:0;text-align:left;margin-left:38.25pt;margin-top:2.3pt;width:507.4pt;height:417.9pt;z-index:-251450368;mso-position-horizontal-relative:page" fillcolor="#e1e0e1" stroked="f">
            <w10:wrap anchorx="page"/>
          </v:rect>
        </w:pict>
      </w:r>
      <w:r w:rsidR="00F22F94">
        <w:rPr>
          <w:color w:val="00AEEF"/>
          <w:spacing w:val="-2"/>
        </w:rPr>
        <w:t>Summary</w:t>
      </w:r>
    </w:p>
    <w:p w:rsidR="002C1123" w:rsidRDefault="00F22F94">
      <w:pPr>
        <w:pStyle w:val="ListParagraph"/>
        <w:numPr>
          <w:ilvl w:val="0"/>
          <w:numId w:val="29"/>
        </w:numPr>
        <w:tabs>
          <w:tab w:val="left" w:pos="776"/>
        </w:tabs>
        <w:spacing w:before="122" w:line="249" w:lineRule="auto"/>
        <w:ind w:right="297"/>
        <w:rPr>
          <w:sz w:val="20"/>
        </w:rPr>
      </w:pPr>
      <w:r>
        <w:rPr>
          <w:sz w:val="20"/>
        </w:rPr>
        <w:t>Our</w:t>
      </w:r>
      <w:r>
        <w:rPr>
          <w:spacing w:val="-8"/>
          <w:sz w:val="20"/>
        </w:rPr>
        <w:t xml:space="preserve"> </w:t>
      </w:r>
      <w:r>
        <w:rPr>
          <w:sz w:val="20"/>
        </w:rPr>
        <w:t>arts</w:t>
      </w:r>
      <w:r>
        <w:rPr>
          <w:spacing w:val="-8"/>
          <w:sz w:val="20"/>
        </w:rPr>
        <w:t xml:space="preserve"> </w:t>
      </w:r>
      <w:r>
        <w:rPr>
          <w:sz w:val="20"/>
        </w:rPr>
        <w:t>and</w:t>
      </w:r>
      <w:r>
        <w:rPr>
          <w:spacing w:val="-8"/>
          <w:sz w:val="20"/>
        </w:rPr>
        <w:t xml:space="preserve"> </w:t>
      </w:r>
      <w:r>
        <w:rPr>
          <w:sz w:val="20"/>
        </w:rPr>
        <w:t>recreational</w:t>
      </w:r>
      <w:r>
        <w:rPr>
          <w:spacing w:val="-8"/>
          <w:sz w:val="20"/>
        </w:rPr>
        <w:t xml:space="preserve"> </w:t>
      </w:r>
      <w:r>
        <w:rPr>
          <w:sz w:val="20"/>
        </w:rPr>
        <w:t>facilities</w:t>
      </w:r>
      <w:r>
        <w:rPr>
          <w:spacing w:val="-8"/>
          <w:sz w:val="20"/>
        </w:rPr>
        <w:t xml:space="preserve"> </w:t>
      </w:r>
      <w:r>
        <w:rPr>
          <w:sz w:val="20"/>
        </w:rPr>
        <w:t>support</w:t>
      </w:r>
      <w:r>
        <w:rPr>
          <w:spacing w:val="-8"/>
          <w:sz w:val="20"/>
        </w:rPr>
        <w:t xml:space="preserve"> </w:t>
      </w:r>
      <w:r>
        <w:rPr>
          <w:sz w:val="20"/>
        </w:rPr>
        <w:t>a vibrant</w:t>
      </w:r>
      <w:r>
        <w:rPr>
          <w:spacing w:val="-14"/>
          <w:sz w:val="20"/>
        </w:rPr>
        <w:t xml:space="preserve"> </w:t>
      </w:r>
      <w:r>
        <w:rPr>
          <w:sz w:val="20"/>
        </w:rPr>
        <w:t>and</w:t>
      </w:r>
      <w:r>
        <w:rPr>
          <w:spacing w:val="-14"/>
          <w:sz w:val="20"/>
        </w:rPr>
        <w:t xml:space="preserve"> </w:t>
      </w:r>
      <w:r>
        <w:rPr>
          <w:sz w:val="20"/>
        </w:rPr>
        <w:t>creative</w:t>
      </w:r>
      <w:r>
        <w:rPr>
          <w:spacing w:val="-14"/>
          <w:sz w:val="20"/>
        </w:rPr>
        <w:t xml:space="preserve"> </w:t>
      </w:r>
      <w:r>
        <w:rPr>
          <w:sz w:val="20"/>
        </w:rPr>
        <w:t>NSW.</w:t>
      </w:r>
      <w:r>
        <w:rPr>
          <w:spacing w:val="-14"/>
          <w:sz w:val="20"/>
        </w:rPr>
        <w:t xml:space="preserve"> </w:t>
      </w:r>
      <w:r>
        <w:rPr>
          <w:sz w:val="20"/>
        </w:rPr>
        <w:t>Cultural</w:t>
      </w:r>
      <w:r>
        <w:rPr>
          <w:spacing w:val="-14"/>
          <w:sz w:val="20"/>
        </w:rPr>
        <w:t xml:space="preserve"> </w:t>
      </w:r>
      <w:r>
        <w:rPr>
          <w:sz w:val="20"/>
        </w:rPr>
        <w:t>and</w:t>
      </w:r>
      <w:r>
        <w:rPr>
          <w:spacing w:val="-14"/>
          <w:sz w:val="20"/>
        </w:rPr>
        <w:t xml:space="preserve"> </w:t>
      </w:r>
      <w:r>
        <w:rPr>
          <w:sz w:val="20"/>
        </w:rPr>
        <w:t xml:space="preserve">sporting </w:t>
      </w:r>
      <w:r>
        <w:rPr>
          <w:w w:val="95"/>
          <w:sz w:val="20"/>
        </w:rPr>
        <w:t>institutions</w:t>
      </w:r>
      <w:r>
        <w:rPr>
          <w:spacing w:val="-9"/>
          <w:w w:val="95"/>
          <w:sz w:val="20"/>
        </w:rPr>
        <w:t xml:space="preserve"> </w:t>
      </w:r>
      <w:r>
        <w:rPr>
          <w:w w:val="95"/>
          <w:sz w:val="20"/>
        </w:rPr>
        <w:t>are</w:t>
      </w:r>
      <w:r>
        <w:rPr>
          <w:spacing w:val="-9"/>
          <w:w w:val="95"/>
          <w:sz w:val="20"/>
        </w:rPr>
        <w:t xml:space="preserve"> </w:t>
      </w:r>
      <w:r>
        <w:rPr>
          <w:w w:val="95"/>
          <w:sz w:val="20"/>
        </w:rPr>
        <w:t>vital</w:t>
      </w:r>
      <w:r>
        <w:rPr>
          <w:spacing w:val="-9"/>
          <w:w w:val="95"/>
          <w:sz w:val="20"/>
        </w:rPr>
        <w:t xml:space="preserve"> </w:t>
      </w:r>
      <w:r>
        <w:rPr>
          <w:w w:val="95"/>
          <w:sz w:val="20"/>
        </w:rPr>
        <w:t>for</w:t>
      </w:r>
      <w:r>
        <w:rPr>
          <w:spacing w:val="-9"/>
          <w:w w:val="95"/>
          <w:sz w:val="20"/>
        </w:rPr>
        <w:t xml:space="preserve"> </w:t>
      </w:r>
      <w:r>
        <w:rPr>
          <w:w w:val="95"/>
          <w:sz w:val="20"/>
        </w:rPr>
        <w:t>attracting</w:t>
      </w:r>
      <w:r>
        <w:rPr>
          <w:spacing w:val="-9"/>
          <w:w w:val="95"/>
          <w:sz w:val="20"/>
        </w:rPr>
        <w:t xml:space="preserve"> </w:t>
      </w:r>
      <w:r>
        <w:rPr>
          <w:w w:val="95"/>
          <w:sz w:val="20"/>
        </w:rPr>
        <w:t>and</w:t>
      </w:r>
      <w:r>
        <w:rPr>
          <w:spacing w:val="-9"/>
          <w:w w:val="95"/>
          <w:sz w:val="20"/>
        </w:rPr>
        <w:t xml:space="preserve"> </w:t>
      </w:r>
      <w:r>
        <w:rPr>
          <w:w w:val="95"/>
          <w:sz w:val="20"/>
        </w:rPr>
        <w:t>retaining</w:t>
      </w:r>
      <w:r>
        <w:rPr>
          <w:spacing w:val="-9"/>
          <w:w w:val="95"/>
          <w:sz w:val="20"/>
        </w:rPr>
        <w:t xml:space="preserve"> </w:t>
      </w:r>
      <w:r>
        <w:rPr>
          <w:w w:val="95"/>
          <w:sz w:val="20"/>
        </w:rPr>
        <w:t xml:space="preserve">the </w:t>
      </w:r>
      <w:r>
        <w:rPr>
          <w:sz w:val="20"/>
        </w:rPr>
        <w:t>people</w:t>
      </w:r>
      <w:r>
        <w:rPr>
          <w:spacing w:val="-14"/>
          <w:sz w:val="20"/>
        </w:rPr>
        <w:t xml:space="preserve"> </w:t>
      </w:r>
      <w:r>
        <w:rPr>
          <w:sz w:val="20"/>
        </w:rPr>
        <w:t>and</w:t>
      </w:r>
      <w:r>
        <w:rPr>
          <w:spacing w:val="-14"/>
          <w:sz w:val="20"/>
        </w:rPr>
        <w:t xml:space="preserve"> </w:t>
      </w:r>
      <w:r>
        <w:rPr>
          <w:sz w:val="20"/>
        </w:rPr>
        <w:t>skills</w:t>
      </w:r>
      <w:r>
        <w:rPr>
          <w:spacing w:val="-14"/>
          <w:sz w:val="20"/>
        </w:rPr>
        <w:t xml:space="preserve"> </w:t>
      </w:r>
      <w:r>
        <w:rPr>
          <w:sz w:val="20"/>
        </w:rPr>
        <w:t>that</w:t>
      </w:r>
      <w:r>
        <w:rPr>
          <w:spacing w:val="-14"/>
          <w:sz w:val="20"/>
        </w:rPr>
        <w:t xml:space="preserve"> </w:t>
      </w:r>
      <w:r>
        <w:rPr>
          <w:sz w:val="20"/>
        </w:rPr>
        <w:t>NSW</w:t>
      </w:r>
      <w:r>
        <w:rPr>
          <w:spacing w:val="-14"/>
          <w:sz w:val="20"/>
        </w:rPr>
        <w:t xml:space="preserve"> </w:t>
      </w:r>
      <w:r>
        <w:rPr>
          <w:sz w:val="20"/>
        </w:rPr>
        <w:t>needs</w:t>
      </w:r>
      <w:r>
        <w:rPr>
          <w:spacing w:val="-14"/>
          <w:sz w:val="20"/>
        </w:rPr>
        <w:t xml:space="preserve"> </w:t>
      </w:r>
      <w:r>
        <w:rPr>
          <w:sz w:val="20"/>
        </w:rPr>
        <w:t>to</w:t>
      </w:r>
      <w:r>
        <w:rPr>
          <w:spacing w:val="-14"/>
          <w:sz w:val="20"/>
        </w:rPr>
        <w:t xml:space="preserve"> </w:t>
      </w:r>
      <w:r>
        <w:rPr>
          <w:sz w:val="20"/>
        </w:rPr>
        <w:t>compete</w:t>
      </w:r>
      <w:r>
        <w:rPr>
          <w:spacing w:val="-14"/>
          <w:sz w:val="20"/>
        </w:rPr>
        <w:t xml:space="preserve"> </w:t>
      </w:r>
      <w:r>
        <w:rPr>
          <w:sz w:val="20"/>
        </w:rPr>
        <w:t>in the global economy.</w:t>
      </w:r>
    </w:p>
    <w:p w:rsidR="002C1123" w:rsidRDefault="00F22F94">
      <w:pPr>
        <w:pStyle w:val="ListParagraph"/>
        <w:numPr>
          <w:ilvl w:val="0"/>
          <w:numId w:val="29"/>
        </w:numPr>
        <w:tabs>
          <w:tab w:val="left" w:pos="776"/>
        </w:tabs>
        <w:spacing w:before="133" w:line="249" w:lineRule="auto"/>
        <w:ind w:right="240"/>
        <w:rPr>
          <w:sz w:val="20"/>
        </w:rPr>
      </w:pPr>
      <w:r>
        <w:rPr>
          <w:w w:val="95"/>
          <w:sz w:val="20"/>
        </w:rPr>
        <w:t xml:space="preserve">The NSW Government’s plan to double the visitor </w:t>
      </w:r>
      <w:r>
        <w:rPr>
          <w:sz w:val="20"/>
        </w:rPr>
        <w:t>economy</w:t>
      </w:r>
      <w:r>
        <w:rPr>
          <w:spacing w:val="-10"/>
          <w:sz w:val="20"/>
        </w:rPr>
        <w:t xml:space="preserve"> </w:t>
      </w:r>
      <w:r>
        <w:rPr>
          <w:sz w:val="20"/>
        </w:rPr>
        <w:t>will</w:t>
      </w:r>
      <w:r>
        <w:rPr>
          <w:spacing w:val="-10"/>
          <w:sz w:val="20"/>
        </w:rPr>
        <w:t xml:space="preserve"> </w:t>
      </w:r>
      <w:r>
        <w:rPr>
          <w:sz w:val="20"/>
        </w:rPr>
        <w:t>require</w:t>
      </w:r>
      <w:r>
        <w:rPr>
          <w:spacing w:val="-10"/>
          <w:sz w:val="20"/>
        </w:rPr>
        <w:t xml:space="preserve"> </w:t>
      </w:r>
      <w:r>
        <w:rPr>
          <w:sz w:val="20"/>
        </w:rPr>
        <w:t>targeted</w:t>
      </w:r>
      <w:r>
        <w:rPr>
          <w:spacing w:val="-10"/>
          <w:sz w:val="20"/>
        </w:rPr>
        <w:t xml:space="preserve"> </w:t>
      </w:r>
      <w:r>
        <w:rPr>
          <w:sz w:val="20"/>
        </w:rPr>
        <w:t>investment</w:t>
      </w:r>
      <w:r>
        <w:rPr>
          <w:spacing w:val="-10"/>
          <w:sz w:val="20"/>
        </w:rPr>
        <w:t xml:space="preserve"> </w:t>
      </w:r>
      <w:r>
        <w:rPr>
          <w:sz w:val="20"/>
        </w:rPr>
        <w:t xml:space="preserve">in </w:t>
      </w:r>
      <w:r>
        <w:rPr>
          <w:w w:val="95"/>
          <w:sz w:val="20"/>
        </w:rPr>
        <w:t>infrastructure</w:t>
      </w:r>
      <w:r>
        <w:rPr>
          <w:spacing w:val="-9"/>
          <w:w w:val="95"/>
          <w:sz w:val="20"/>
        </w:rPr>
        <w:t xml:space="preserve"> </w:t>
      </w:r>
      <w:r>
        <w:rPr>
          <w:w w:val="95"/>
          <w:sz w:val="20"/>
        </w:rPr>
        <w:t>relevant</w:t>
      </w:r>
      <w:r>
        <w:rPr>
          <w:spacing w:val="-9"/>
          <w:w w:val="95"/>
          <w:sz w:val="20"/>
        </w:rPr>
        <w:t xml:space="preserve"> </w:t>
      </w:r>
      <w:r>
        <w:rPr>
          <w:w w:val="95"/>
          <w:sz w:val="20"/>
        </w:rPr>
        <w:t>to</w:t>
      </w:r>
      <w:r>
        <w:rPr>
          <w:spacing w:val="-9"/>
          <w:w w:val="95"/>
          <w:sz w:val="20"/>
        </w:rPr>
        <w:t xml:space="preserve"> </w:t>
      </w:r>
      <w:r>
        <w:rPr>
          <w:w w:val="95"/>
          <w:sz w:val="20"/>
        </w:rPr>
        <w:t>visitors,</w:t>
      </w:r>
      <w:r>
        <w:rPr>
          <w:spacing w:val="-9"/>
          <w:w w:val="95"/>
          <w:sz w:val="20"/>
        </w:rPr>
        <w:t xml:space="preserve"> </w:t>
      </w:r>
      <w:r>
        <w:rPr>
          <w:w w:val="95"/>
          <w:sz w:val="20"/>
        </w:rPr>
        <w:t>particularly</w:t>
      </w:r>
      <w:r>
        <w:rPr>
          <w:spacing w:val="-9"/>
          <w:w w:val="95"/>
          <w:sz w:val="20"/>
        </w:rPr>
        <w:t xml:space="preserve"> </w:t>
      </w:r>
      <w:r>
        <w:rPr>
          <w:w w:val="95"/>
          <w:sz w:val="20"/>
        </w:rPr>
        <w:t xml:space="preserve">those </w:t>
      </w:r>
      <w:r>
        <w:rPr>
          <w:sz w:val="20"/>
        </w:rPr>
        <w:t>coming from overseas.</w:t>
      </w:r>
    </w:p>
    <w:p w:rsidR="002C1123" w:rsidRDefault="00F22F94">
      <w:pPr>
        <w:pStyle w:val="ListParagraph"/>
        <w:numPr>
          <w:ilvl w:val="0"/>
          <w:numId w:val="29"/>
        </w:numPr>
        <w:tabs>
          <w:tab w:val="left" w:pos="776"/>
        </w:tabs>
        <w:spacing w:before="132" w:line="249" w:lineRule="auto"/>
        <w:ind w:right="234"/>
        <w:rPr>
          <w:sz w:val="20"/>
        </w:rPr>
      </w:pPr>
      <w:r>
        <w:rPr>
          <w:sz w:val="20"/>
        </w:rPr>
        <w:t>The</w:t>
      </w:r>
      <w:r>
        <w:rPr>
          <w:spacing w:val="-14"/>
          <w:sz w:val="20"/>
        </w:rPr>
        <w:t xml:space="preserve"> </w:t>
      </w:r>
      <w:r>
        <w:rPr>
          <w:sz w:val="20"/>
        </w:rPr>
        <w:t>Visitor</w:t>
      </w:r>
      <w:r>
        <w:rPr>
          <w:spacing w:val="-14"/>
          <w:sz w:val="20"/>
        </w:rPr>
        <w:t xml:space="preserve"> </w:t>
      </w:r>
      <w:r>
        <w:rPr>
          <w:sz w:val="20"/>
        </w:rPr>
        <w:t>Economy</w:t>
      </w:r>
      <w:r>
        <w:rPr>
          <w:spacing w:val="-14"/>
          <w:sz w:val="20"/>
        </w:rPr>
        <w:t xml:space="preserve"> </w:t>
      </w:r>
      <w:r>
        <w:rPr>
          <w:sz w:val="20"/>
        </w:rPr>
        <w:t>Taskforce</w:t>
      </w:r>
      <w:r>
        <w:rPr>
          <w:spacing w:val="-14"/>
          <w:sz w:val="20"/>
        </w:rPr>
        <w:t xml:space="preserve"> </w:t>
      </w:r>
      <w:r>
        <w:rPr>
          <w:sz w:val="20"/>
        </w:rPr>
        <w:t>has</w:t>
      </w:r>
      <w:r>
        <w:rPr>
          <w:spacing w:val="-14"/>
          <w:sz w:val="20"/>
        </w:rPr>
        <w:t xml:space="preserve"> </w:t>
      </w:r>
      <w:r>
        <w:rPr>
          <w:sz w:val="20"/>
        </w:rPr>
        <w:t xml:space="preserve">identified </w:t>
      </w:r>
      <w:r>
        <w:rPr>
          <w:w w:val="95"/>
          <w:sz w:val="20"/>
        </w:rPr>
        <w:t>potential</w:t>
      </w:r>
      <w:r>
        <w:rPr>
          <w:spacing w:val="-7"/>
          <w:w w:val="95"/>
          <w:sz w:val="20"/>
        </w:rPr>
        <w:t xml:space="preserve"> </w:t>
      </w:r>
      <w:r>
        <w:rPr>
          <w:w w:val="95"/>
          <w:sz w:val="20"/>
        </w:rPr>
        <w:t>for</w:t>
      </w:r>
      <w:r>
        <w:rPr>
          <w:spacing w:val="-7"/>
          <w:w w:val="95"/>
          <w:sz w:val="20"/>
        </w:rPr>
        <w:t xml:space="preserve"> </w:t>
      </w:r>
      <w:r>
        <w:rPr>
          <w:w w:val="95"/>
          <w:sz w:val="20"/>
        </w:rPr>
        <w:t>arts</w:t>
      </w:r>
      <w:r>
        <w:rPr>
          <w:spacing w:val="-7"/>
          <w:w w:val="95"/>
          <w:sz w:val="20"/>
        </w:rPr>
        <w:t xml:space="preserve"> </w:t>
      </w:r>
      <w:r>
        <w:rPr>
          <w:w w:val="95"/>
          <w:sz w:val="20"/>
        </w:rPr>
        <w:t>infrastructure</w:t>
      </w:r>
      <w:r>
        <w:rPr>
          <w:spacing w:val="-7"/>
          <w:w w:val="95"/>
          <w:sz w:val="20"/>
        </w:rPr>
        <w:t xml:space="preserve"> </w:t>
      </w:r>
      <w:r>
        <w:rPr>
          <w:w w:val="95"/>
          <w:sz w:val="20"/>
        </w:rPr>
        <w:t>to</w:t>
      </w:r>
      <w:r>
        <w:rPr>
          <w:spacing w:val="-7"/>
          <w:w w:val="95"/>
          <w:sz w:val="20"/>
        </w:rPr>
        <w:t xml:space="preserve"> </w:t>
      </w:r>
      <w:r>
        <w:rPr>
          <w:w w:val="95"/>
          <w:sz w:val="20"/>
        </w:rPr>
        <w:t>act</w:t>
      </w:r>
      <w:r>
        <w:rPr>
          <w:spacing w:val="-7"/>
          <w:w w:val="95"/>
          <w:sz w:val="20"/>
        </w:rPr>
        <w:t xml:space="preserve"> </w:t>
      </w:r>
      <w:r>
        <w:rPr>
          <w:w w:val="95"/>
          <w:sz w:val="20"/>
        </w:rPr>
        <w:t>as</w:t>
      </w:r>
      <w:r>
        <w:rPr>
          <w:spacing w:val="-7"/>
          <w:w w:val="95"/>
          <w:sz w:val="20"/>
        </w:rPr>
        <w:t xml:space="preserve"> </w:t>
      </w:r>
      <w:r>
        <w:rPr>
          <w:w w:val="95"/>
          <w:sz w:val="20"/>
        </w:rPr>
        <w:t>an</w:t>
      </w:r>
      <w:r>
        <w:rPr>
          <w:spacing w:val="-7"/>
          <w:w w:val="95"/>
          <w:sz w:val="20"/>
        </w:rPr>
        <w:t xml:space="preserve"> </w:t>
      </w:r>
      <w:r>
        <w:rPr>
          <w:w w:val="95"/>
          <w:sz w:val="20"/>
        </w:rPr>
        <w:t xml:space="preserve">enabler </w:t>
      </w:r>
      <w:r>
        <w:rPr>
          <w:sz w:val="20"/>
        </w:rPr>
        <w:t>to</w:t>
      </w:r>
      <w:r>
        <w:rPr>
          <w:spacing w:val="-7"/>
          <w:sz w:val="20"/>
        </w:rPr>
        <w:t xml:space="preserve"> </w:t>
      </w:r>
      <w:r>
        <w:rPr>
          <w:sz w:val="20"/>
        </w:rPr>
        <w:t>support</w:t>
      </w:r>
      <w:r>
        <w:rPr>
          <w:spacing w:val="-7"/>
          <w:sz w:val="20"/>
        </w:rPr>
        <w:t xml:space="preserve"> </w:t>
      </w:r>
      <w:r>
        <w:rPr>
          <w:sz w:val="20"/>
        </w:rPr>
        <w:t>visitor</w:t>
      </w:r>
      <w:r>
        <w:rPr>
          <w:spacing w:val="-7"/>
          <w:sz w:val="20"/>
        </w:rPr>
        <w:t xml:space="preserve"> </w:t>
      </w:r>
      <w:r>
        <w:rPr>
          <w:sz w:val="20"/>
        </w:rPr>
        <w:t>growth,</w:t>
      </w:r>
      <w:r>
        <w:rPr>
          <w:spacing w:val="-7"/>
          <w:sz w:val="20"/>
        </w:rPr>
        <w:t xml:space="preserve"> </w:t>
      </w:r>
      <w:r>
        <w:rPr>
          <w:sz w:val="20"/>
        </w:rPr>
        <w:t>creative</w:t>
      </w:r>
      <w:r>
        <w:rPr>
          <w:spacing w:val="-7"/>
          <w:sz w:val="20"/>
        </w:rPr>
        <w:t xml:space="preserve"> </w:t>
      </w:r>
      <w:r>
        <w:rPr>
          <w:sz w:val="20"/>
        </w:rPr>
        <w:t>industries</w:t>
      </w:r>
      <w:r>
        <w:rPr>
          <w:spacing w:val="-7"/>
          <w:sz w:val="20"/>
        </w:rPr>
        <w:t xml:space="preserve"> </w:t>
      </w:r>
      <w:r>
        <w:rPr>
          <w:sz w:val="20"/>
        </w:rPr>
        <w:t>and economic growth in regional NSW.</w:t>
      </w:r>
    </w:p>
    <w:p w:rsidR="002C1123" w:rsidRDefault="00F22F94">
      <w:pPr>
        <w:pStyle w:val="ListParagraph"/>
        <w:numPr>
          <w:ilvl w:val="0"/>
          <w:numId w:val="29"/>
        </w:numPr>
        <w:tabs>
          <w:tab w:val="left" w:pos="776"/>
        </w:tabs>
        <w:spacing w:before="132" w:line="249" w:lineRule="auto"/>
        <w:rPr>
          <w:sz w:val="20"/>
        </w:rPr>
      </w:pPr>
      <w:r>
        <w:rPr>
          <w:w w:val="95"/>
          <w:sz w:val="20"/>
        </w:rPr>
        <w:t>Given</w:t>
      </w:r>
      <w:r>
        <w:rPr>
          <w:spacing w:val="-5"/>
          <w:w w:val="95"/>
          <w:sz w:val="20"/>
        </w:rPr>
        <w:t xml:space="preserve"> </w:t>
      </w:r>
      <w:r>
        <w:rPr>
          <w:w w:val="95"/>
          <w:sz w:val="20"/>
        </w:rPr>
        <w:t>constraints</w:t>
      </w:r>
      <w:r>
        <w:rPr>
          <w:spacing w:val="-5"/>
          <w:w w:val="95"/>
          <w:sz w:val="20"/>
        </w:rPr>
        <w:t xml:space="preserve"> </w:t>
      </w:r>
      <w:r>
        <w:rPr>
          <w:w w:val="95"/>
          <w:sz w:val="20"/>
        </w:rPr>
        <w:t>on</w:t>
      </w:r>
      <w:r>
        <w:rPr>
          <w:spacing w:val="-5"/>
          <w:w w:val="95"/>
          <w:sz w:val="20"/>
        </w:rPr>
        <w:t xml:space="preserve"> </w:t>
      </w:r>
      <w:r>
        <w:rPr>
          <w:w w:val="95"/>
          <w:sz w:val="20"/>
        </w:rPr>
        <w:t>NSW</w:t>
      </w:r>
      <w:r>
        <w:rPr>
          <w:spacing w:val="-5"/>
          <w:w w:val="95"/>
          <w:sz w:val="20"/>
        </w:rPr>
        <w:t xml:space="preserve"> </w:t>
      </w:r>
      <w:r>
        <w:rPr>
          <w:w w:val="95"/>
          <w:sz w:val="20"/>
        </w:rPr>
        <w:t>Government</w:t>
      </w:r>
      <w:r>
        <w:rPr>
          <w:spacing w:val="-5"/>
          <w:w w:val="95"/>
          <w:sz w:val="20"/>
        </w:rPr>
        <w:t xml:space="preserve"> </w:t>
      </w:r>
      <w:r>
        <w:rPr>
          <w:w w:val="95"/>
          <w:sz w:val="20"/>
        </w:rPr>
        <w:t>funding,</w:t>
      </w:r>
      <w:r>
        <w:rPr>
          <w:spacing w:val="-5"/>
          <w:w w:val="95"/>
          <w:sz w:val="20"/>
        </w:rPr>
        <w:t xml:space="preserve"> </w:t>
      </w:r>
      <w:r>
        <w:rPr>
          <w:w w:val="95"/>
          <w:sz w:val="20"/>
        </w:rPr>
        <w:t xml:space="preserve">new </w:t>
      </w:r>
      <w:r>
        <w:rPr>
          <w:sz w:val="20"/>
        </w:rPr>
        <w:t>partnership</w:t>
      </w:r>
      <w:r>
        <w:rPr>
          <w:spacing w:val="-8"/>
          <w:sz w:val="20"/>
        </w:rPr>
        <w:t xml:space="preserve"> </w:t>
      </w:r>
      <w:r>
        <w:rPr>
          <w:sz w:val="20"/>
        </w:rPr>
        <w:t>models</w:t>
      </w:r>
      <w:r>
        <w:rPr>
          <w:spacing w:val="-8"/>
          <w:sz w:val="20"/>
        </w:rPr>
        <w:t xml:space="preserve"> </w:t>
      </w:r>
      <w:r>
        <w:rPr>
          <w:sz w:val="20"/>
        </w:rPr>
        <w:t>with</w:t>
      </w:r>
      <w:r>
        <w:rPr>
          <w:spacing w:val="-8"/>
          <w:sz w:val="20"/>
        </w:rPr>
        <w:t xml:space="preserve"> </w:t>
      </w:r>
      <w:r>
        <w:rPr>
          <w:sz w:val="20"/>
        </w:rPr>
        <w:t>the</w:t>
      </w:r>
      <w:r>
        <w:rPr>
          <w:spacing w:val="-8"/>
          <w:sz w:val="20"/>
        </w:rPr>
        <w:t xml:space="preserve"> </w:t>
      </w:r>
      <w:r>
        <w:rPr>
          <w:sz w:val="20"/>
        </w:rPr>
        <w:t>private</w:t>
      </w:r>
      <w:r>
        <w:rPr>
          <w:spacing w:val="-8"/>
          <w:sz w:val="20"/>
        </w:rPr>
        <w:t xml:space="preserve"> </w:t>
      </w:r>
      <w:r>
        <w:rPr>
          <w:sz w:val="20"/>
        </w:rPr>
        <w:t>sector</w:t>
      </w:r>
      <w:r>
        <w:rPr>
          <w:spacing w:val="-8"/>
          <w:sz w:val="20"/>
        </w:rPr>
        <w:t xml:space="preserve"> </w:t>
      </w:r>
      <w:r>
        <w:rPr>
          <w:sz w:val="20"/>
        </w:rPr>
        <w:t>will</w:t>
      </w:r>
      <w:r>
        <w:rPr>
          <w:spacing w:val="-8"/>
          <w:sz w:val="20"/>
        </w:rPr>
        <w:t xml:space="preserve"> </w:t>
      </w:r>
      <w:r>
        <w:rPr>
          <w:sz w:val="20"/>
        </w:rPr>
        <w:t>be required</w:t>
      </w:r>
      <w:r>
        <w:rPr>
          <w:spacing w:val="-14"/>
          <w:sz w:val="20"/>
        </w:rPr>
        <w:t xml:space="preserve"> </w:t>
      </w:r>
      <w:r>
        <w:rPr>
          <w:sz w:val="20"/>
        </w:rPr>
        <w:t>to</w:t>
      </w:r>
      <w:r>
        <w:rPr>
          <w:spacing w:val="-14"/>
          <w:sz w:val="20"/>
        </w:rPr>
        <w:t xml:space="preserve"> </w:t>
      </w:r>
      <w:r>
        <w:rPr>
          <w:sz w:val="20"/>
        </w:rPr>
        <w:t>deliver</w:t>
      </w:r>
      <w:r>
        <w:rPr>
          <w:spacing w:val="-14"/>
          <w:sz w:val="20"/>
        </w:rPr>
        <w:t xml:space="preserve"> </w:t>
      </w:r>
      <w:r>
        <w:rPr>
          <w:sz w:val="20"/>
        </w:rPr>
        <w:t>the</w:t>
      </w:r>
      <w:r>
        <w:rPr>
          <w:spacing w:val="-14"/>
          <w:sz w:val="20"/>
        </w:rPr>
        <w:t xml:space="preserve"> </w:t>
      </w:r>
      <w:r>
        <w:rPr>
          <w:sz w:val="20"/>
        </w:rPr>
        <w:t>infrastructure</w:t>
      </w:r>
      <w:r>
        <w:rPr>
          <w:spacing w:val="-14"/>
          <w:sz w:val="20"/>
        </w:rPr>
        <w:t xml:space="preserve"> </w:t>
      </w:r>
      <w:r>
        <w:rPr>
          <w:sz w:val="20"/>
        </w:rPr>
        <w:t>proposals</w:t>
      </w:r>
      <w:r>
        <w:rPr>
          <w:spacing w:val="-14"/>
          <w:sz w:val="20"/>
        </w:rPr>
        <w:t xml:space="preserve"> </w:t>
      </w:r>
      <w:r>
        <w:rPr>
          <w:sz w:val="20"/>
        </w:rPr>
        <w:t>from the</w:t>
      </w:r>
      <w:r>
        <w:rPr>
          <w:spacing w:val="-13"/>
          <w:sz w:val="20"/>
        </w:rPr>
        <w:t xml:space="preserve"> </w:t>
      </w:r>
      <w:r>
        <w:rPr>
          <w:sz w:val="20"/>
        </w:rPr>
        <w:t>sector</w:t>
      </w:r>
      <w:r>
        <w:rPr>
          <w:spacing w:val="-13"/>
          <w:sz w:val="20"/>
        </w:rPr>
        <w:t xml:space="preserve"> </w:t>
      </w:r>
      <w:r>
        <w:rPr>
          <w:sz w:val="20"/>
        </w:rPr>
        <w:t>over</w:t>
      </w:r>
      <w:r>
        <w:rPr>
          <w:spacing w:val="-13"/>
          <w:sz w:val="20"/>
        </w:rPr>
        <w:t xml:space="preserve"> </w:t>
      </w:r>
      <w:r>
        <w:rPr>
          <w:sz w:val="20"/>
        </w:rPr>
        <w:t>the</w:t>
      </w:r>
      <w:r>
        <w:rPr>
          <w:spacing w:val="-13"/>
          <w:sz w:val="20"/>
        </w:rPr>
        <w:t xml:space="preserve"> </w:t>
      </w:r>
      <w:r>
        <w:rPr>
          <w:sz w:val="20"/>
        </w:rPr>
        <w:t>timeframe</w:t>
      </w:r>
      <w:r>
        <w:rPr>
          <w:spacing w:val="-13"/>
          <w:sz w:val="20"/>
        </w:rPr>
        <w:t xml:space="preserve"> </w:t>
      </w:r>
      <w:r>
        <w:rPr>
          <w:sz w:val="20"/>
        </w:rPr>
        <w:t>of</w:t>
      </w:r>
      <w:r>
        <w:rPr>
          <w:spacing w:val="-13"/>
          <w:sz w:val="20"/>
        </w:rPr>
        <w:t xml:space="preserve"> </w:t>
      </w:r>
      <w:r>
        <w:rPr>
          <w:sz w:val="20"/>
        </w:rPr>
        <w:t>the</w:t>
      </w:r>
      <w:r>
        <w:rPr>
          <w:spacing w:val="-13"/>
          <w:sz w:val="20"/>
        </w:rPr>
        <w:t xml:space="preserve"> </w:t>
      </w:r>
      <w:r>
        <w:rPr>
          <w:sz w:val="20"/>
        </w:rPr>
        <w:t>Strategy.</w:t>
      </w:r>
    </w:p>
    <w:p w:rsidR="002C1123" w:rsidRDefault="00F22F94">
      <w:pPr>
        <w:pStyle w:val="BodyText"/>
        <w:spacing w:before="145"/>
        <w:ind w:left="492"/>
      </w:pPr>
      <w:r>
        <w:rPr>
          <w:w w:val="95"/>
        </w:rPr>
        <w:t>In</w:t>
      </w:r>
      <w:r>
        <w:rPr>
          <w:spacing w:val="-11"/>
          <w:w w:val="95"/>
        </w:rPr>
        <w:t xml:space="preserve"> </w:t>
      </w:r>
      <w:r>
        <w:rPr>
          <w:w w:val="95"/>
        </w:rPr>
        <w:t>the</w:t>
      </w:r>
      <w:r>
        <w:rPr>
          <w:spacing w:val="-10"/>
          <w:w w:val="95"/>
        </w:rPr>
        <w:t xml:space="preserve"> </w:t>
      </w:r>
      <w:r>
        <w:rPr>
          <w:w w:val="95"/>
        </w:rPr>
        <w:t>area</w:t>
      </w:r>
      <w:r>
        <w:rPr>
          <w:spacing w:val="-10"/>
          <w:w w:val="95"/>
        </w:rPr>
        <w:t xml:space="preserve"> </w:t>
      </w:r>
      <w:r>
        <w:rPr>
          <w:w w:val="95"/>
        </w:rPr>
        <w:t>of</w:t>
      </w:r>
      <w:r>
        <w:rPr>
          <w:spacing w:val="-10"/>
          <w:w w:val="95"/>
        </w:rPr>
        <w:t xml:space="preserve"> </w:t>
      </w:r>
      <w:r>
        <w:rPr>
          <w:w w:val="95"/>
        </w:rPr>
        <w:t>the</w:t>
      </w:r>
      <w:r>
        <w:rPr>
          <w:spacing w:val="-11"/>
          <w:w w:val="95"/>
        </w:rPr>
        <w:t xml:space="preserve"> </w:t>
      </w:r>
      <w:r>
        <w:rPr>
          <w:w w:val="95"/>
        </w:rPr>
        <w:t>arts,</w:t>
      </w:r>
      <w:r>
        <w:rPr>
          <w:spacing w:val="-10"/>
          <w:w w:val="95"/>
        </w:rPr>
        <w:t xml:space="preserve"> </w:t>
      </w:r>
      <w:r>
        <w:rPr>
          <w:w w:val="95"/>
        </w:rPr>
        <w:t>Infrastructure</w:t>
      </w:r>
      <w:r>
        <w:rPr>
          <w:spacing w:val="-10"/>
          <w:w w:val="95"/>
        </w:rPr>
        <w:t xml:space="preserve"> </w:t>
      </w:r>
      <w:r>
        <w:rPr>
          <w:w w:val="95"/>
        </w:rPr>
        <w:t>NSW</w:t>
      </w:r>
      <w:r>
        <w:rPr>
          <w:spacing w:val="-10"/>
          <w:w w:val="95"/>
        </w:rPr>
        <w:t xml:space="preserve"> </w:t>
      </w:r>
      <w:r>
        <w:rPr>
          <w:spacing w:val="-2"/>
          <w:w w:val="95"/>
        </w:rPr>
        <w:t>supports:</w:t>
      </w:r>
    </w:p>
    <w:p w:rsidR="002C1123" w:rsidRDefault="00F22F94">
      <w:pPr>
        <w:pStyle w:val="ListParagraph"/>
        <w:numPr>
          <w:ilvl w:val="0"/>
          <w:numId w:val="29"/>
        </w:numPr>
        <w:tabs>
          <w:tab w:val="left" w:pos="776"/>
        </w:tabs>
        <w:spacing w:before="139" w:line="249" w:lineRule="auto"/>
        <w:ind w:right="56"/>
        <w:rPr>
          <w:sz w:val="20"/>
        </w:rPr>
      </w:pPr>
      <w:r>
        <w:rPr>
          <w:sz w:val="20"/>
        </w:rPr>
        <w:t>Arts</w:t>
      </w:r>
      <w:r>
        <w:rPr>
          <w:spacing w:val="-14"/>
          <w:sz w:val="20"/>
        </w:rPr>
        <w:t xml:space="preserve"> </w:t>
      </w:r>
      <w:r>
        <w:rPr>
          <w:sz w:val="20"/>
        </w:rPr>
        <w:t>NSW’s</w:t>
      </w:r>
      <w:r>
        <w:rPr>
          <w:spacing w:val="-14"/>
          <w:sz w:val="20"/>
        </w:rPr>
        <w:t xml:space="preserve"> </w:t>
      </w:r>
      <w:r>
        <w:rPr>
          <w:sz w:val="20"/>
        </w:rPr>
        <w:t>Cultural</w:t>
      </w:r>
      <w:r>
        <w:rPr>
          <w:spacing w:val="-14"/>
          <w:sz w:val="20"/>
        </w:rPr>
        <w:t xml:space="preserve"> </w:t>
      </w:r>
      <w:r>
        <w:rPr>
          <w:sz w:val="20"/>
        </w:rPr>
        <w:t>Venues</w:t>
      </w:r>
      <w:r>
        <w:rPr>
          <w:spacing w:val="-14"/>
          <w:sz w:val="20"/>
        </w:rPr>
        <w:t xml:space="preserve"> </w:t>
      </w:r>
      <w:r>
        <w:rPr>
          <w:sz w:val="20"/>
        </w:rPr>
        <w:t>Plan,</w:t>
      </w:r>
      <w:r>
        <w:rPr>
          <w:spacing w:val="-14"/>
          <w:sz w:val="20"/>
        </w:rPr>
        <w:t xml:space="preserve"> </w:t>
      </w:r>
      <w:r>
        <w:rPr>
          <w:sz w:val="20"/>
        </w:rPr>
        <w:t>which</w:t>
      </w:r>
      <w:r>
        <w:rPr>
          <w:spacing w:val="-14"/>
          <w:sz w:val="20"/>
        </w:rPr>
        <w:t xml:space="preserve"> </w:t>
      </w:r>
      <w:r>
        <w:rPr>
          <w:sz w:val="20"/>
        </w:rPr>
        <w:t xml:space="preserve">includes </w:t>
      </w:r>
      <w:r>
        <w:rPr>
          <w:w w:val="95"/>
          <w:sz w:val="20"/>
        </w:rPr>
        <w:t>the</w:t>
      </w:r>
      <w:r>
        <w:rPr>
          <w:spacing w:val="-3"/>
          <w:w w:val="95"/>
          <w:sz w:val="20"/>
        </w:rPr>
        <w:t xml:space="preserve"> </w:t>
      </w:r>
      <w:r>
        <w:rPr>
          <w:w w:val="95"/>
          <w:sz w:val="20"/>
        </w:rPr>
        <w:t>development</w:t>
      </w:r>
      <w:r>
        <w:rPr>
          <w:spacing w:val="-3"/>
          <w:w w:val="95"/>
          <w:sz w:val="20"/>
        </w:rPr>
        <w:t xml:space="preserve"> </w:t>
      </w:r>
      <w:r>
        <w:rPr>
          <w:w w:val="95"/>
          <w:sz w:val="20"/>
        </w:rPr>
        <w:t>of</w:t>
      </w:r>
      <w:r>
        <w:rPr>
          <w:spacing w:val="-3"/>
          <w:w w:val="95"/>
          <w:sz w:val="20"/>
        </w:rPr>
        <w:t xml:space="preserve"> </w:t>
      </w:r>
      <w:r>
        <w:rPr>
          <w:w w:val="95"/>
          <w:sz w:val="20"/>
        </w:rPr>
        <w:t>an</w:t>
      </w:r>
      <w:r>
        <w:rPr>
          <w:spacing w:val="-3"/>
          <w:w w:val="95"/>
          <w:sz w:val="20"/>
        </w:rPr>
        <w:t xml:space="preserve"> </w:t>
      </w:r>
      <w:r>
        <w:rPr>
          <w:w w:val="95"/>
          <w:sz w:val="20"/>
        </w:rPr>
        <w:t>Arts</w:t>
      </w:r>
      <w:r>
        <w:rPr>
          <w:spacing w:val="-3"/>
          <w:w w:val="95"/>
          <w:sz w:val="20"/>
        </w:rPr>
        <w:t xml:space="preserve"> </w:t>
      </w:r>
      <w:r>
        <w:rPr>
          <w:w w:val="95"/>
          <w:sz w:val="20"/>
        </w:rPr>
        <w:t>Ribbon</w:t>
      </w:r>
      <w:r>
        <w:rPr>
          <w:spacing w:val="-3"/>
          <w:w w:val="95"/>
          <w:sz w:val="20"/>
        </w:rPr>
        <w:t xml:space="preserve"> </w:t>
      </w:r>
      <w:r>
        <w:rPr>
          <w:w w:val="95"/>
          <w:sz w:val="20"/>
        </w:rPr>
        <w:t>around</w:t>
      </w:r>
      <w:r>
        <w:rPr>
          <w:spacing w:val="-3"/>
          <w:w w:val="95"/>
          <w:sz w:val="20"/>
        </w:rPr>
        <w:t xml:space="preserve"> </w:t>
      </w:r>
      <w:r>
        <w:rPr>
          <w:w w:val="95"/>
          <w:sz w:val="20"/>
        </w:rPr>
        <w:t>the</w:t>
      </w:r>
      <w:r>
        <w:rPr>
          <w:spacing w:val="-3"/>
          <w:w w:val="95"/>
          <w:sz w:val="20"/>
        </w:rPr>
        <w:t xml:space="preserve"> </w:t>
      </w:r>
      <w:r>
        <w:rPr>
          <w:w w:val="95"/>
          <w:sz w:val="20"/>
        </w:rPr>
        <w:t xml:space="preserve">CBD, </w:t>
      </w:r>
      <w:r>
        <w:rPr>
          <w:sz w:val="20"/>
        </w:rPr>
        <w:t>the</w:t>
      </w:r>
      <w:r>
        <w:rPr>
          <w:spacing w:val="-9"/>
          <w:sz w:val="20"/>
        </w:rPr>
        <w:t xml:space="preserve"> </w:t>
      </w:r>
      <w:r>
        <w:rPr>
          <w:sz w:val="20"/>
        </w:rPr>
        <w:t>development</w:t>
      </w:r>
      <w:r>
        <w:rPr>
          <w:spacing w:val="-9"/>
          <w:sz w:val="20"/>
        </w:rPr>
        <w:t xml:space="preserve"> </w:t>
      </w:r>
      <w:r>
        <w:rPr>
          <w:sz w:val="20"/>
        </w:rPr>
        <w:t>of</w:t>
      </w:r>
      <w:r>
        <w:rPr>
          <w:spacing w:val="-9"/>
          <w:sz w:val="20"/>
        </w:rPr>
        <w:t xml:space="preserve"> </w:t>
      </w:r>
      <w:r>
        <w:rPr>
          <w:sz w:val="20"/>
        </w:rPr>
        <w:t>a</w:t>
      </w:r>
      <w:r>
        <w:rPr>
          <w:spacing w:val="-9"/>
          <w:sz w:val="20"/>
        </w:rPr>
        <w:t xml:space="preserve"> </w:t>
      </w:r>
      <w:r>
        <w:rPr>
          <w:sz w:val="20"/>
        </w:rPr>
        <w:t>world</w:t>
      </w:r>
      <w:r>
        <w:rPr>
          <w:spacing w:val="-9"/>
          <w:sz w:val="20"/>
        </w:rPr>
        <w:t xml:space="preserve"> </w:t>
      </w:r>
      <w:r>
        <w:rPr>
          <w:sz w:val="20"/>
        </w:rPr>
        <w:t>class</w:t>
      </w:r>
      <w:r>
        <w:rPr>
          <w:spacing w:val="-9"/>
          <w:sz w:val="20"/>
        </w:rPr>
        <w:t xml:space="preserve"> </w:t>
      </w:r>
      <w:r>
        <w:rPr>
          <w:sz w:val="20"/>
        </w:rPr>
        <w:t>arts</w:t>
      </w:r>
      <w:r>
        <w:rPr>
          <w:spacing w:val="-9"/>
          <w:sz w:val="20"/>
        </w:rPr>
        <w:t xml:space="preserve"> </w:t>
      </w:r>
      <w:r>
        <w:rPr>
          <w:sz w:val="20"/>
        </w:rPr>
        <w:t>and</w:t>
      </w:r>
      <w:r>
        <w:rPr>
          <w:spacing w:val="-9"/>
          <w:sz w:val="20"/>
        </w:rPr>
        <w:t xml:space="preserve"> </w:t>
      </w:r>
      <w:r>
        <w:rPr>
          <w:sz w:val="20"/>
        </w:rPr>
        <w:t>cultural precinct</w:t>
      </w:r>
      <w:r>
        <w:rPr>
          <w:spacing w:val="-11"/>
          <w:sz w:val="20"/>
        </w:rPr>
        <w:t xml:space="preserve"> </w:t>
      </w:r>
      <w:r>
        <w:rPr>
          <w:sz w:val="20"/>
        </w:rPr>
        <w:t>at</w:t>
      </w:r>
      <w:r>
        <w:rPr>
          <w:spacing w:val="-11"/>
          <w:sz w:val="20"/>
        </w:rPr>
        <w:t xml:space="preserve"> </w:t>
      </w:r>
      <w:r>
        <w:rPr>
          <w:sz w:val="20"/>
        </w:rPr>
        <w:t>Walsh</w:t>
      </w:r>
      <w:r>
        <w:rPr>
          <w:spacing w:val="-11"/>
          <w:sz w:val="20"/>
        </w:rPr>
        <w:t xml:space="preserve"> </w:t>
      </w:r>
      <w:r>
        <w:rPr>
          <w:sz w:val="20"/>
        </w:rPr>
        <w:t>Bay</w:t>
      </w:r>
      <w:r>
        <w:rPr>
          <w:spacing w:val="-11"/>
          <w:sz w:val="20"/>
        </w:rPr>
        <w:t xml:space="preserve"> </w:t>
      </w:r>
      <w:r>
        <w:rPr>
          <w:sz w:val="20"/>
        </w:rPr>
        <w:t>and</w:t>
      </w:r>
      <w:r>
        <w:rPr>
          <w:spacing w:val="-11"/>
          <w:sz w:val="20"/>
        </w:rPr>
        <w:t xml:space="preserve"> </w:t>
      </w:r>
      <w:r>
        <w:rPr>
          <w:sz w:val="20"/>
        </w:rPr>
        <w:t>phased</w:t>
      </w:r>
      <w:r>
        <w:rPr>
          <w:spacing w:val="-11"/>
          <w:sz w:val="20"/>
        </w:rPr>
        <w:t xml:space="preserve"> </w:t>
      </w:r>
      <w:r>
        <w:rPr>
          <w:sz w:val="20"/>
        </w:rPr>
        <w:t>renewal</w:t>
      </w:r>
      <w:r>
        <w:rPr>
          <w:spacing w:val="-11"/>
          <w:sz w:val="20"/>
        </w:rPr>
        <w:t xml:space="preserve"> </w:t>
      </w:r>
      <w:r>
        <w:rPr>
          <w:sz w:val="20"/>
        </w:rPr>
        <w:t>of</w:t>
      </w:r>
      <w:r>
        <w:rPr>
          <w:spacing w:val="-11"/>
          <w:sz w:val="20"/>
        </w:rPr>
        <w:t xml:space="preserve"> </w:t>
      </w:r>
      <w:r>
        <w:rPr>
          <w:sz w:val="20"/>
        </w:rPr>
        <w:t>the Opera</w:t>
      </w:r>
      <w:r>
        <w:rPr>
          <w:spacing w:val="-12"/>
          <w:sz w:val="20"/>
        </w:rPr>
        <w:t xml:space="preserve"> </w:t>
      </w:r>
      <w:r>
        <w:rPr>
          <w:sz w:val="20"/>
        </w:rPr>
        <w:t>House</w:t>
      </w:r>
      <w:r>
        <w:rPr>
          <w:spacing w:val="-12"/>
          <w:sz w:val="20"/>
        </w:rPr>
        <w:t xml:space="preserve"> </w:t>
      </w:r>
      <w:r>
        <w:rPr>
          <w:sz w:val="20"/>
        </w:rPr>
        <w:t>and</w:t>
      </w:r>
      <w:r>
        <w:rPr>
          <w:spacing w:val="-12"/>
          <w:sz w:val="20"/>
        </w:rPr>
        <w:t xml:space="preserve"> </w:t>
      </w:r>
      <w:r>
        <w:rPr>
          <w:sz w:val="20"/>
        </w:rPr>
        <w:t>expansion</w:t>
      </w:r>
      <w:r>
        <w:rPr>
          <w:spacing w:val="-12"/>
          <w:sz w:val="20"/>
        </w:rPr>
        <w:t xml:space="preserve"> </w:t>
      </w:r>
      <w:r>
        <w:rPr>
          <w:sz w:val="20"/>
        </w:rPr>
        <w:t>of</w:t>
      </w:r>
      <w:r>
        <w:rPr>
          <w:spacing w:val="-12"/>
          <w:sz w:val="20"/>
        </w:rPr>
        <w:t xml:space="preserve"> </w:t>
      </w:r>
      <w:r>
        <w:rPr>
          <w:sz w:val="20"/>
        </w:rPr>
        <w:t>the</w:t>
      </w:r>
      <w:r>
        <w:rPr>
          <w:spacing w:val="-12"/>
          <w:sz w:val="20"/>
        </w:rPr>
        <w:t xml:space="preserve"> </w:t>
      </w:r>
      <w:r>
        <w:rPr>
          <w:sz w:val="20"/>
        </w:rPr>
        <w:t>Art</w:t>
      </w:r>
      <w:r>
        <w:rPr>
          <w:spacing w:val="-12"/>
          <w:sz w:val="20"/>
        </w:rPr>
        <w:t xml:space="preserve"> </w:t>
      </w:r>
      <w:r>
        <w:rPr>
          <w:sz w:val="20"/>
        </w:rPr>
        <w:t>Gallery</w:t>
      </w:r>
      <w:r>
        <w:rPr>
          <w:spacing w:val="-12"/>
          <w:sz w:val="20"/>
        </w:rPr>
        <w:t xml:space="preserve"> </w:t>
      </w:r>
      <w:r>
        <w:rPr>
          <w:sz w:val="20"/>
        </w:rPr>
        <w:t>of New South Wales.</w:t>
      </w:r>
    </w:p>
    <w:p w:rsidR="002C1123" w:rsidRDefault="00F22F94">
      <w:pPr>
        <w:pStyle w:val="ListParagraph"/>
        <w:numPr>
          <w:ilvl w:val="0"/>
          <w:numId w:val="29"/>
        </w:numPr>
        <w:tabs>
          <w:tab w:val="left" w:pos="776"/>
        </w:tabs>
        <w:spacing w:before="134" w:line="249" w:lineRule="auto"/>
        <w:ind w:right="27"/>
        <w:rPr>
          <w:sz w:val="20"/>
        </w:rPr>
      </w:pPr>
      <w:r>
        <w:rPr>
          <w:sz w:val="20"/>
        </w:rPr>
        <w:t>The</w:t>
      </w:r>
      <w:r>
        <w:rPr>
          <w:spacing w:val="-8"/>
          <w:sz w:val="20"/>
        </w:rPr>
        <w:t xml:space="preserve"> </w:t>
      </w:r>
      <w:r>
        <w:rPr>
          <w:sz w:val="20"/>
        </w:rPr>
        <w:t>establishment</w:t>
      </w:r>
      <w:r>
        <w:rPr>
          <w:spacing w:val="-8"/>
          <w:sz w:val="20"/>
        </w:rPr>
        <w:t xml:space="preserve"> </w:t>
      </w:r>
      <w:r>
        <w:rPr>
          <w:sz w:val="20"/>
        </w:rPr>
        <w:t>of</w:t>
      </w:r>
      <w:r>
        <w:rPr>
          <w:spacing w:val="-8"/>
          <w:sz w:val="20"/>
        </w:rPr>
        <w:t xml:space="preserve"> </w:t>
      </w:r>
      <w:r>
        <w:rPr>
          <w:sz w:val="20"/>
        </w:rPr>
        <w:t>new</w:t>
      </w:r>
      <w:r>
        <w:rPr>
          <w:spacing w:val="-8"/>
          <w:sz w:val="20"/>
        </w:rPr>
        <w:t xml:space="preserve"> </w:t>
      </w:r>
      <w:r>
        <w:rPr>
          <w:sz w:val="20"/>
        </w:rPr>
        <w:t>partnership</w:t>
      </w:r>
      <w:r>
        <w:rPr>
          <w:spacing w:val="-8"/>
          <w:sz w:val="20"/>
        </w:rPr>
        <w:t xml:space="preserve"> </w:t>
      </w:r>
      <w:r>
        <w:rPr>
          <w:sz w:val="20"/>
        </w:rPr>
        <w:t>models</w:t>
      </w:r>
      <w:r>
        <w:rPr>
          <w:spacing w:val="-8"/>
          <w:sz w:val="20"/>
        </w:rPr>
        <w:t xml:space="preserve"> </w:t>
      </w:r>
      <w:r>
        <w:rPr>
          <w:sz w:val="20"/>
        </w:rPr>
        <w:t xml:space="preserve">with </w:t>
      </w:r>
      <w:r>
        <w:rPr>
          <w:w w:val="95"/>
          <w:sz w:val="20"/>
        </w:rPr>
        <w:t>the</w:t>
      </w:r>
      <w:r>
        <w:rPr>
          <w:spacing w:val="-1"/>
          <w:w w:val="95"/>
          <w:sz w:val="20"/>
        </w:rPr>
        <w:t xml:space="preserve"> </w:t>
      </w:r>
      <w:r>
        <w:rPr>
          <w:w w:val="95"/>
          <w:sz w:val="20"/>
        </w:rPr>
        <w:t>private</w:t>
      </w:r>
      <w:r>
        <w:rPr>
          <w:spacing w:val="-1"/>
          <w:w w:val="95"/>
          <w:sz w:val="20"/>
        </w:rPr>
        <w:t xml:space="preserve"> </w:t>
      </w:r>
      <w:r>
        <w:rPr>
          <w:w w:val="95"/>
          <w:sz w:val="20"/>
        </w:rPr>
        <w:t>sector</w:t>
      </w:r>
      <w:r>
        <w:rPr>
          <w:spacing w:val="-1"/>
          <w:w w:val="95"/>
          <w:sz w:val="20"/>
        </w:rPr>
        <w:t xml:space="preserve"> </w:t>
      </w:r>
      <w:r>
        <w:rPr>
          <w:w w:val="95"/>
          <w:sz w:val="20"/>
        </w:rPr>
        <w:t>and</w:t>
      </w:r>
      <w:r>
        <w:rPr>
          <w:spacing w:val="-1"/>
          <w:w w:val="95"/>
          <w:sz w:val="20"/>
        </w:rPr>
        <w:t xml:space="preserve"> </w:t>
      </w:r>
      <w:r>
        <w:rPr>
          <w:w w:val="95"/>
          <w:sz w:val="20"/>
        </w:rPr>
        <w:t>the</w:t>
      </w:r>
      <w:r>
        <w:rPr>
          <w:spacing w:val="-1"/>
          <w:w w:val="95"/>
          <w:sz w:val="20"/>
        </w:rPr>
        <w:t xml:space="preserve"> </w:t>
      </w:r>
      <w:r>
        <w:rPr>
          <w:w w:val="95"/>
          <w:sz w:val="20"/>
        </w:rPr>
        <w:t>Commonwealth,</w:t>
      </w:r>
      <w:r>
        <w:rPr>
          <w:spacing w:val="-1"/>
          <w:w w:val="95"/>
          <w:sz w:val="20"/>
        </w:rPr>
        <w:t xml:space="preserve"> </w:t>
      </w:r>
      <w:r>
        <w:rPr>
          <w:w w:val="95"/>
          <w:sz w:val="20"/>
        </w:rPr>
        <w:t>based</w:t>
      </w:r>
      <w:r>
        <w:rPr>
          <w:spacing w:val="-1"/>
          <w:w w:val="95"/>
          <w:sz w:val="20"/>
        </w:rPr>
        <w:t xml:space="preserve"> </w:t>
      </w:r>
      <w:r>
        <w:rPr>
          <w:w w:val="95"/>
          <w:sz w:val="20"/>
        </w:rPr>
        <w:t xml:space="preserve">on </w:t>
      </w:r>
      <w:r>
        <w:rPr>
          <w:sz w:val="20"/>
        </w:rPr>
        <w:t>the</w:t>
      </w:r>
      <w:r>
        <w:rPr>
          <w:spacing w:val="-4"/>
          <w:sz w:val="20"/>
        </w:rPr>
        <w:t xml:space="preserve"> </w:t>
      </w:r>
      <w:r>
        <w:rPr>
          <w:sz w:val="20"/>
        </w:rPr>
        <w:t>successful</w:t>
      </w:r>
      <w:r>
        <w:rPr>
          <w:spacing w:val="-4"/>
          <w:sz w:val="20"/>
        </w:rPr>
        <w:t xml:space="preserve"> </w:t>
      </w:r>
      <w:r>
        <w:rPr>
          <w:sz w:val="20"/>
        </w:rPr>
        <w:t>“Development</w:t>
      </w:r>
      <w:r>
        <w:rPr>
          <w:spacing w:val="-4"/>
          <w:sz w:val="20"/>
        </w:rPr>
        <w:t xml:space="preserve"> </w:t>
      </w:r>
      <w:r>
        <w:rPr>
          <w:sz w:val="20"/>
        </w:rPr>
        <w:t>Partnership”</w:t>
      </w:r>
      <w:r>
        <w:rPr>
          <w:spacing w:val="-4"/>
          <w:sz w:val="20"/>
        </w:rPr>
        <w:t xml:space="preserve"> </w:t>
      </w:r>
      <w:r>
        <w:rPr>
          <w:sz w:val="20"/>
        </w:rPr>
        <w:t>models used in London and New York.</w:t>
      </w:r>
    </w:p>
    <w:p w:rsidR="002C1123" w:rsidRDefault="00F22F94">
      <w:pPr>
        <w:rPr>
          <w:sz w:val="24"/>
        </w:rPr>
      </w:pPr>
      <w:r>
        <w:br w:type="column"/>
      </w:r>
    </w:p>
    <w:p w:rsidR="002C1123" w:rsidRDefault="002C1123">
      <w:pPr>
        <w:pStyle w:val="BodyText"/>
        <w:rPr>
          <w:sz w:val="34"/>
        </w:rPr>
      </w:pPr>
    </w:p>
    <w:p w:rsidR="002C1123" w:rsidRDefault="00F22F94">
      <w:pPr>
        <w:pStyle w:val="BodyText"/>
        <w:ind w:left="233"/>
      </w:pPr>
      <w:r>
        <w:rPr>
          <w:spacing w:val="-2"/>
          <w:w w:val="95"/>
        </w:rPr>
        <w:t>In</w:t>
      </w:r>
      <w:r>
        <w:rPr>
          <w:spacing w:val="-4"/>
        </w:rPr>
        <w:t xml:space="preserve"> </w:t>
      </w:r>
      <w:r>
        <w:rPr>
          <w:spacing w:val="-2"/>
          <w:w w:val="95"/>
        </w:rPr>
        <w:t>the</w:t>
      </w:r>
      <w:r>
        <w:rPr>
          <w:spacing w:val="-4"/>
        </w:rPr>
        <w:t xml:space="preserve"> </w:t>
      </w:r>
      <w:r>
        <w:rPr>
          <w:spacing w:val="-2"/>
          <w:w w:val="95"/>
        </w:rPr>
        <w:t>area</w:t>
      </w:r>
      <w:r>
        <w:rPr>
          <w:spacing w:val="-4"/>
        </w:rPr>
        <w:t xml:space="preserve"> </w:t>
      </w:r>
      <w:r>
        <w:rPr>
          <w:spacing w:val="-2"/>
          <w:w w:val="95"/>
        </w:rPr>
        <w:t>of</w:t>
      </w:r>
      <w:r>
        <w:rPr>
          <w:spacing w:val="-4"/>
        </w:rPr>
        <w:t xml:space="preserve"> </w:t>
      </w:r>
      <w:r>
        <w:rPr>
          <w:spacing w:val="-2"/>
          <w:w w:val="95"/>
        </w:rPr>
        <w:t>Recreation,</w:t>
      </w:r>
      <w:r>
        <w:rPr>
          <w:spacing w:val="-4"/>
        </w:rPr>
        <w:t xml:space="preserve"> </w:t>
      </w:r>
      <w:r>
        <w:rPr>
          <w:spacing w:val="-2"/>
          <w:w w:val="95"/>
        </w:rPr>
        <w:t>Infrastructure</w:t>
      </w:r>
      <w:r>
        <w:rPr>
          <w:spacing w:val="-4"/>
        </w:rPr>
        <w:t xml:space="preserve"> </w:t>
      </w:r>
      <w:r>
        <w:rPr>
          <w:spacing w:val="-2"/>
          <w:w w:val="95"/>
        </w:rPr>
        <w:t>NSW</w:t>
      </w:r>
      <w:r>
        <w:rPr>
          <w:spacing w:val="-4"/>
        </w:rPr>
        <w:t xml:space="preserve"> </w:t>
      </w:r>
      <w:r>
        <w:rPr>
          <w:spacing w:val="-2"/>
          <w:w w:val="95"/>
        </w:rPr>
        <w:t>supports:</w:t>
      </w:r>
    </w:p>
    <w:p w:rsidR="002C1123" w:rsidRDefault="00F22F94">
      <w:pPr>
        <w:pStyle w:val="ListParagraph"/>
        <w:numPr>
          <w:ilvl w:val="0"/>
          <w:numId w:val="32"/>
        </w:numPr>
        <w:tabs>
          <w:tab w:val="left" w:pos="518"/>
        </w:tabs>
        <w:spacing w:before="139" w:line="249" w:lineRule="auto"/>
        <w:ind w:right="218"/>
        <w:rPr>
          <w:sz w:val="20"/>
        </w:rPr>
      </w:pPr>
      <w:r>
        <w:rPr>
          <w:w w:val="95"/>
          <w:sz w:val="20"/>
        </w:rPr>
        <w:t>A</w:t>
      </w:r>
      <w:r>
        <w:rPr>
          <w:spacing w:val="-1"/>
          <w:w w:val="95"/>
          <w:sz w:val="20"/>
        </w:rPr>
        <w:t xml:space="preserve"> </w:t>
      </w:r>
      <w:r>
        <w:rPr>
          <w:w w:val="95"/>
          <w:sz w:val="20"/>
        </w:rPr>
        <w:t>review</w:t>
      </w:r>
      <w:r>
        <w:rPr>
          <w:spacing w:val="-1"/>
          <w:w w:val="95"/>
          <w:sz w:val="20"/>
        </w:rPr>
        <w:t xml:space="preserve"> </w:t>
      </w:r>
      <w:r>
        <w:rPr>
          <w:w w:val="95"/>
          <w:sz w:val="20"/>
        </w:rPr>
        <w:t>of</w:t>
      </w:r>
      <w:r>
        <w:rPr>
          <w:spacing w:val="-1"/>
          <w:w w:val="95"/>
          <w:sz w:val="20"/>
        </w:rPr>
        <w:t xml:space="preserve"> </w:t>
      </w:r>
      <w:r>
        <w:rPr>
          <w:w w:val="95"/>
          <w:sz w:val="20"/>
        </w:rPr>
        <w:t>Sydney</w:t>
      </w:r>
      <w:r>
        <w:rPr>
          <w:spacing w:val="-1"/>
          <w:w w:val="95"/>
          <w:sz w:val="20"/>
        </w:rPr>
        <w:t xml:space="preserve"> </w:t>
      </w:r>
      <w:r>
        <w:rPr>
          <w:w w:val="95"/>
          <w:sz w:val="20"/>
        </w:rPr>
        <w:t>Olympic</w:t>
      </w:r>
      <w:r>
        <w:rPr>
          <w:spacing w:val="-1"/>
          <w:w w:val="95"/>
          <w:sz w:val="20"/>
        </w:rPr>
        <w:t xml:space="preserve"> </w:t>
      </w:r>
      <w:r>
        <w:rPr>
          <w:w w:val="95"/>
          <w:sz w:val="20"/>
        </w:rPr>
        <w:t>Park</w:t>
      </w:r>
      <w:r>
        <w:rPr>
          <w:spacing w:val="-1"/>
          <w:w w:val="95"/>
          <w:sz w:val="20"/>
        </w:rPr>
        <w:t xml:space="preserve"> </w:t>
      </w:r>
      <w:r>
        <w:rPr>
          <w:w w:val="95"/>
          <w:sz w:val="20"/>
        </w:rPr>
        <w:t>to</w:t>
      </w:r>
      <w:r>
        <w:rPr>
          <w:spacing w:val="-1"/>
          <w:w w:val="95"/>
          <w:sz w:val="20"/>
        </w:rPr>
        <w:t xml:space="preserve"> </w:t>
      </w:r>
      <w:r>
        <w:rPr>
          <w:w w:val="95"/>
          <w:sz w:val="20"/>
        </w:rPr>
        <w:t>consider</w:t>
      </w:r>
      <w:r>
        <w:rPr>
          <w:spacing w:val="-1"/>
          <w:w w:val="95"/>
          <w:sz w:val="20"/>
        </w:rPr>
        <w:t xml:space="preserve"> </w:t>
      </w:r>
      <w:r>
        <w:rPr>
          <w:w w:val="95"/>
          <w:sz w:val="20"/>
        </w:rPr>
        <w:t>how best</w:t>
      </w:r>
      <w:r>
        <w:rPr>
          <w:spacing w:val="-10"/>
          <w:w w:val="95"/>
          <w:sz w:val="20"/>
        </w:rPr>
        <w:t xml:space="preserve"> </w:t>
      </w:r>
      <w:r>
        <w:rPr>
          <w:w w:val="95"/>
          <w:sz w:val="20"/>
        </w:rPr>
        <w:t>to</w:t>
      </w:r>
      <w:r>
        <w:rPr>
          <w:spacing w:val="-10"/>
          <w:w w:val="95"/>
          <w:sz w:val="20"/>
        </w:rPr>
        <w:t xml:space="preserve"> </w:t>
      </w:r>
      <w:r>
        <w:rPr>
          <w:w w:val="95"/>
          <w:sz w:val="20"/>
        </w:rPr>
        <w:t>realise</w:t>
      </w:r>
      <w:r>
        <w:rPr>
          <w:spacing w:val="-10"/>
          <w:w w:val="95"/>
          <w:sz w:val="20"/>
        </w:rPr>
        <w:t xml:space="preserve"> </w:t>
      </w:r>
      <w:r>
        <w:rPr>
          <w:w w:val="95"/>
          <w:sz w:val="20"/>
        </w:rPr>
        <w:t>the</w:t>
      </w:r>
      <w:r>
        <w:rPr>
          <w:spacing w:val="-10"/>
          <w:w w:val="95"/>
          <w:sz w:val="20"/>
        </w:rPr>
        <w:t xml:space="preserve"> </w:t>
      </w:r>
      <w:r>
        <w:rPr>
          <w:w w:val="95"/>
          <w:sz w:val="20"/>
        </w:rPr>
        <w:t>value</w:t>
      </w:r>
      <w:r>
        <w:rPr>
          <w:spacing w:val="-10"/>
          <w:w w:val="95"/>
          <w:sz w:val="20"/>
        </w:rPr>
        <w:t xml:space="preserve"> </w:t>
      </w:r>
      <w:r>
        <w:rPr>
          <w:w w:val="95"/>
          <w:sz w:val="20"/>
        </w:rPr>
        <w:t>of</w:t>
      </w:r>
      <w:r>
        <w:rPr>
          <w:spacing w:val="-10"/>
          <w:w w:val="95"/>
          <w:sz w:val="20"/>
        </w:rPr>
        <w:t xml:space="preserve"> </w:t>
      </w:r>
      <w:r>
        <w:rPr>
          <w:w w:val="95"/>
          <w:sz w:val="20"/>
        </w:rPr>
        <w:t>the</w:t>
      </w:r>
      <w:r>
        <w:rPr>
          <w:spacing w:val="-10"/>
          <w:w w:val="95"/>
          <w:sz w:val="20"/>
        </w:rPr>
        <w:t xml:space="preserve"> </w:t>
      </w:r>
      <w:r>
        <w:rPr>
          <w:w w:val="95"/>
          <w:sz w:val="20"/>
        </w:rPr>
        <w:t>NSW</w:t>
      </w:r>
      <w:r>
        <w:rPr>
          <w:spacing w:val="-10"/>
          <w:w w:val="95"/>
          <w:sz w:val="20"/>
        </w:rPr>
        <w:t xml:space="preserve"> </w:t>
      </w:r>
      <w:r>
        <w:rPr>
          <w:w w:val="95"/>
          <w:sz w:val="20"/>
        </w:rPr>
        <w:t>Government’s</w:t>
      </w:r>
    </w:p>
    <w:p w:rsidR="002C1123" w:rsidRDefault="00F22F94">
      <w:pPr>
        <w:pStyle w:val="BodyText"/>
        <w:spacing w:before="2"/>
        <w:ind w:left="517"/>
      </w:pPr>
      <w:r>
        <w:rPr>
          <w:spacing w:val="-2"/>
          <w:w w:val="95"/>
        </w:rPr>
        <w:t>$1.8</w:t>
      </w:r>
      <w:r>
        <w:rPr>
          <w:spacing w:val="-2"/>
        </w:rPr>
        <w:t xml:space="preserve"> </w:t>
      </w:r>
      <w:r>
        <w:rPr>
          <w:spacing w:val="-2"/>
          <w:w w:val="95"/>
        </w:rPr>
        <w:t>billion</w:t>
      </w:r>
      <w:r>
        <w:rPr>
          <w:spacing w:val="-2"/>
        </w:rPr>
        <w:t xml:space="preserve"> </w:t>
      </w:r>
      <w:r>
        <w:rPr>
          <w:spacing w:val="-2"/>
          <w:w w:val="95"/>
        </w:rPr>
        <w:t>infrastructure</w:t>
      </w:r>
      <w:r>
        <w:rPr>
          <w:spacing w:val="-1"/>
        </w:rPr>
        <w:t xml:space="preserve"> </w:t>
      </w:r>
      <w:r>
        <w:rPr>
          <w:spacing w:val="-2"/>
          <w:w w:val="95"/>
        </w:rPr>
        <w:t>investment</w:t>
      </w:r>
      <w:r>
        <w:rPr>
          <w:spacing w:val="-2"/>
        </w:rPr>
        <w:t xml:space="preserve"> </w:t>
      </w:r>
      <w:r>
        <w:rPr>
          <w:spacing w:val="-2"/>
          <w:w w:val="95"/>
        </w:rPr>
        <w:t>in</w:t>
      </w:r>
      <w:r>
        <w:rPr>
          <w:spacing w:val="-2"/>
        </w:rPr>
        <w:t xml:space="preserve"> </w:t>
      </w:r>
      <w:r>
        <w:rPr>
          <w:spacing w:val="-2"/>
          <w:w w:val="95"/>
        </w:rPr>
        <w:t>this</w:t>
      </w:r>
      <w:r>
        <w:rPr>
          <w:spacing w:val="-1"/>
        </w:rPr>
        <w:t xml:space="preserve"> </w:t>
      </w:r>
      <w:r>
        <w:rPr>
          <w:spacing w:val="-2"/>
          <w:w w:val="95"/>
        </w:rPr>
        <w:t>precinct.</w:t>
      </w:r>
    </w:p>
    <w:p w:rsidR="002C1123" w:rsidRDefault="00F22F94">
      <w:pPr>
        <w:pStyle w:val="ListParagraph"/>
        <w:numPr>
          <w:ilvl w:val="0"/>
          <w:numId w:val="32"/>
        </w:numPr>
        <w:tabs>
          <w:tab w:val="left" w:pos="518"/>
        </w:tabs>
        <w:spacing w:before="139" w:line="249" w:lineRule="auto"/>
        <w:rPr>
          <w:sz w:val="20"/>
        </w:rPr>
      </w:pPr>
      <w:r>
        <w:rPr>
          <w:w w:val="95"/>
          <w:sz w:val="20"/>
        </w:rPr>
        <w:t>Linking</w:t>
      </w:r>
      <w:r>
        <w:rPr>
          <w:spacing w:val="-6"/>
          <w:w w:val="95"/>
          <w:sz w:val="20"/>
        </w:rPr>
        <w:t xml:space="preserve"> </w:t>
      </w:r>
      <w:r>
        <w:rPr>
          <w:w w:val="95"/>
          <w:sz w:val="20"/>
        </w:rPr>
        <w:t>the</w:t>
      </w:r>
      <w:r>
        <w:rPr>
          <w:spacing w:val="-6"/>
          <w:w w:val="95"/>
          <w:sz w:val="20"/>
        </w:rPr>
        <w:t xml:space="preserve"> </w:t>
      </w:r>
      <w:r>
        <w:rPr>
          <w:w w:val="95"/>
          <w:sz w:val="20"/>
        </w:rPr>
        <w:t>Moore</w:t>
      </w:r>
      <w:r>
        <w:rPr>
          <w:spacing w:val="-6"/>
          <w:w w:val="95"/>
          <w:sz w:val="20"/>
        </w:rPr>
        <w:t xml:space="preserve"> </w:t>
      </w:r>
      <w:r>
        <w:rPr>
          <w:w w:val="95"/>
          <w:sz w:val="20"/>
        </w:rPr>
        <w:t>Park</w:t>
      </w:r>
      <w:r>
        <w:rPr>
          <w:spacing w:val="-6"/>
          <w:w w:val="95"/>
          <w:sz w:val="20"/>
        </w:rPr>
        <w:t xml:space="preserve"> </w:t>
      </w:r>
      <w:r>
        <w:rPr>
          <w:w w:val="95"/>
          <w:sz w:val="20"/>
        </w:rPr>
        <w:t>precinct</w:t>
      </w:r>
      <w:r>
        <w:rPr>
          <w:spacing w:val="-6"/>
          <w:w w:val="95"/>
          <w:sz w:val="20"/>
        </w:rPr>
        <w:t xml:space="preserve"> </w:t>
      </w:r>
      <w:r>
        <w:rPr>
          <w:w w:val="95"/>
          <w:sz w:val="20"/>
        </w:rPr>
        <w:t>with</w:t>
      </w:r>
      <w:r>
        <w:rPr>
          <w:spacing w:val="-6"/>
          <w:w w:val="95"/>
          <w:sz w:val="20"/>
        </w:rPr>
        <w:t xml:space="preserve"> </w:t>
      </w:r>
      <w:r>
        <w:rPr>
          <w:w w:val="95"/>
          <w:sz w:val="20"/>
        </w:rPr>
        <w:t>Central</w:t>
      </w:r>
      <w:r>
        <w:rPr>
          <w:spacing w:val="-6"/>
          <w:w w:val="95"/>
          <w:sz w:val="20"/>
        </w:rPr>
        <w:t xml:space="preserve"> </w:t>
      </w:r>
      <w:r>
        <w:rPr>
          <w:w w:val="95"/>
          <w:sz w:val="20"/>
        </w:rPr>
        <w:t xml:space="preserve">Railway </w:t>
      </w:r>
      <w:r>
        <w:rPr>
          <w:sz w:val="20"/>
        </w:rPr>
        <w:t>Station by light rail.</w:t>
      </w:r>
    </w:p>
    <w:p w:rsidR="002C1123" w:rsidRDefault="00F22F94">
      <w:pPr>
        <w:pStyle w:val="BodyText"/>
        <w:spacing w:before="143" w:line="249" w:lineRule="auto"/>
        <w:ind w:left="233"/>
      </w:pPr>
      <w:r>
        <w:t>For</w:t>
      </w:r>
      <w:r>
        <w:rPr>
          <w:spacing w:val="-12"/>
        </w:rPr>
        <w:t xml:space="preserve"> </w:t>
      </w:r>
      <w:r>
        <w:t>the</w:t>
      </w:r>
      <w:r>
        <w:rPr>
          <w:spacing w:val="-12"/>
        </w:rPr>
        <w:t xml:space="preserve"> </w:t>
      </w:r>
      <w:r>
        <w:t>visitor</w:t>
      </w:r>
      <w:r>
        <w:rPr>
          <w:spacing w:val="-12"/>
        </w:rPr>
        <w:t xml:space="preserve"> </w:t>
      </w:r>
      <w:r>
        <w:t>economy</w:t>
      </w:r>
      <w:r>
        <w:rPr>
          <w:spacing w:val="-12"/>
        </w:rPr>
        <w:t xml:space="preserve"> </w:t>
      </w:r>
      <w:r>
        <w:t>Infrastructure</w:t>
      </w:r>
      <w:r>
        <w:rPr>
          <w:spacing w:val="-12"/>
        </w:rPr>
        <w:t xml:space="preserve"> </w:t>
      </w:r>
      <w:r>
        <w:t>NSW</w:t>
      </w:r>
      <w:r>
        <w:rPr>
          <w:spacing w:val="-12"/>
        </w:rPr>
        <w:t xml:space="preserve"> </w:t>
      </w:r>
      <w:r>
        <w:t xml:space="preserve">supports </w:t>
      </w:r>
      <w:r>
        <w:rPr>
          <w:w w:val="95"/>
        </w:rPr>
        <w:t>the</w:t>
      </w:r>
      <w:r>
        <w:rPr>
          <w:spacing w:val="-7"/>
          <w:w w:val="95"/>
        </w:rPr>
        <w:t xml:space="preserve"> </w:t>
      </w:r>
      <w:r>
        <w:rPr>
          <w:w w:val="95"/>
        </w:rPr>
        <w:t>construction</w:t>
      </w:r>
      <w:r>
        <w:rPr>
          <w:spacing w:val="-7"/>
          <w:w w:val="95"/>
        </w:rPr>
        <w:t xml:space="preserve"> </w:t>
      </w:r>
      <w:r>
        <w:rPr>
          <w:w w:val="95"/>
        </w:rPr>
        <w:t>and</w:t>
      </w:r>
      <w:r>
        <w:rPr>
          <w:spacing w:val="-7"/>
          <w:w w:val="95"/>
        </w:rPr>
        <w:t xml:space="preserve"> </w:t>
      </w:r>
      <w:r>
        <w:rPr>
          <w:w w:val="95"/>
        </w:rPr>
        <w:t>delivery</w:t>
      </w:r>
      <w:r>
        <w:rPr>
          <w:spacing w:val="-7"/>
          <w:w w:val="95"/>
        </w:rPr>
        <w:t xml:space="preserve"> </w:t>
      </w:r>
      <w:r>
        <w:rPr>
          <w:w w:val="95"/>
        </w:rPr>
        <w:t>of</w:t>
      </w:r>
      <w:r>
        <w:rPr>
          <w:spacing w:val="-7"/>
          <w:w w:val="95"/>
        </w:rPr>
        <w:t xml:space="preserve"> </w:t>
      </w:r>
      <w:r>
        <w:rPr>
          <w:w w:val="95"/>
        </w:rPr>
        <w:t>the</w:t>
      </w:r>
      <w:r>
        <w:rPr>
          <w:spacing w:val="-7"/>
          <w:w w:val="95"/>
        </w:rPr>
        <w:t xml:space="preserve"> </w:t>
      </w:r>
      <w:r>
        <w:rPr>
          <w:w w:val="95"/>
        </w:rPr>
        <w:t>Sydney</w:t>
      </w:r>
      <w:r>
        <w:rPr>
          <w:spacing w:val="-7"/>
          <w:w w:val="95"/>
        </w:rPr>
        <w:t xml:space="preserve"> </w:t>
      </w:r>
      <w:r>
        <w:rPr>
          <w:w w:val="95"/>
        </w:rPr>
        <w:t xml:space="preserve">International </w:t>
      </w:r>
      <w:r>
        <w:t>Convention,</w:t>
      </w:r>
      <w:r>
        <w:rPr>
          <w:spacing w:val="-13"/>
        </w:rPr>
        <w:t xml:space="preserve"> </w:t>
      </w:r>
      <w:r>
        <w:t>Exhibition</w:t>
      </w:r>
      <w:r>
        <w:rPr>
          <w:spacing w:val="-13"/>
        </w:rPr>
        <w:t xml:space="preserve"> </w:t>
      </w:r>
      <w:r>
        <w:t>and</w:t>
      </w:r>
      <w:r>
        <w:rPr>
          <w:spacing w:val="-13"/>
        </w:rPr>
        <w:t xml:space="preserve"> </w:t>
      </w:r>
      <w:r>
        <w:t>Entertainment</w:t>
      </w:r>
      <w:r>
        <w:rPr>
          <w:spacing w:val="-13"/>
        </w:rPr>
        <w:t xml:space="preserve"> </w:t>
      </w:r>
      <w:r>
        <w:t xml:space="preserve">Precinct </w:t>
      </w:r>
      <w:r>
        <w:rPr>
          <w:spacing w:val="-2"/>
        </w:rPr>
        <w:t>(SICEEP).</w:t>
      </w:r>
    </w:p>
    <w:p w:rsidR="002C1123" w:rsidRDefault="00F22F94">
      <w:pPr>
        <w:spacing w:before="10"/>
        <w:rPr>
          <w:sz w:val="19"/>
        </w:rPr>
      </w:pPr>
      <w:r>
        <w:br w:type="column"/>
      </w:r>
    </w:p>
    <w:p w:rsidR="002C1123" w:rsidRDefault="00F22F94">
      <w:pPr>
        <w:pStyle w:val="Heading6"/>
        <w:numPr>
          <w:ilvl w:val="2"/>
          <w:numId w:val="31"/>
        </w:numPr>
        <w:tabs>
          <w:tab w:val="left" w:pos="854"/>
        </w:tabs>
        <w:spacing w:before="0"/>
        <w:ind w:hanging="596"/>
        <w:jc w:val="left"/>
      </w:pPr>
      <w:r>
        <w:rPr>
          <w:color w:val="00AEEF"/>
          <w:spacing w:val="-2"/>
        </w:rPr>
        <w:t>Arts</w:t>
      </w:r>
      <w:r>
        <w:rPr>
          <w:color w:val="00AEEF"/>
          <w:spacing w:val="-10"/>
        </w:rPr>
        <w:t xml:space="preserve"> </w:t>
      </w:r>
      <w:r>
        <w:rPr>
          <w:color w:val="00AEEF"/>
          <w:spacing w:val="-2"/>
        </w:rPr>
        <w:t>and</w:t>
      </w:r>
      <w:r>
        <w:rPr>
          <w:color w:val="00AEEF"/>
          <w:spacing w:val="-10"/>
        </w:rPr>
        <w:t xml:space="preserve"> </w:t>
      </w:r>
      <w:r>
        <w:rPr>
          <w:color w:val="00AEEF"/>
          <w:spacing w:val="-2"/>
        </w:rPr>
        <w:t>Recreation</w:t>
      </w:r>
      <w:r>
        <w:rPr>
          <w:color w:val="00AEEF"/>
          <w:spacing w:val="-10"/>
        </w:rPr>
        <w:t xml:space="preserve"> </w:t>
      </w:r>
      <w:r>
        <w:rPr>
          <w:color w:val="00AEEF"/>
          <w:spacing w:val="-2"/>
        </w:rPr>
        <w:t>Snapshot</w:t>
      </w:r>
    </w:p>
    <w:p w:rsidR="002C1123" w:rsidRDefault="00F22F94">
      <w:pPr>
        <w:pStyle w:val="ListParagraph"/>
        <w:numPr>
          <w:ilvl w:val="3"/>
          <w:numId w:val="31"/>
        </w:numPr>
        <w:tabs>
          <w:tab w:val="left" w:pos="543"/>
        </w:tabs>
        <w:spacing w:before="83" w:line="249" w:lineRule="auto"/>
        <w:ind w:right="869"/>
        <w:rPr>
          <w:sz w:val="20"/>
        </w:rPr>
      </w:pPr>
      <w:r>
        <w:rPr>
          <w:w w:val="95"/>
          <w:sz w:val="20"/>
        </w:rPr>
        <w:t>The</w:t>
      </w:r>
      <w:r>
        <w:rPr>
          <w:spacing w:val="-8"/>
          <w:w w:val="95"/>
          <w:sz w:val="20"/>
        </w:rPr>
        <w:t xml:space="preserve"> </w:t>
      </w:r>
      <w:r>
        <w:rPr>
          <w:w w:val="95"/>
          <w:sz w:val="20"/>
        </w:rPr>
        <w:t>NSW</w:t>
      </w:r>
      <w:r>
        <w:rPr>
          <w:spacing w:val="-8"/>
          <w:w w:val="95"/>
          <w:sz w:val="20"/>
        </w:rPr>
        <w:t xml:space="preserve"> </w:t>
      </w:r>
      <w:r>
        <w:rPr>
          <w:w w:val="95"/>
          <w:sz w:val="20"/>
        </w:rPr>
        <w:t>Government</w:t>
      </w:r>
      <w:r>
        <w:rPr>
          <w:spacing w:val="-8"/>
          <w:w w:val="95"/>
          <w:sz w:val="20"/>
        </w:rPr>
        <w:t xml:space="preserve"> </w:t>
      </w:r>
      <w:r>
        <w:rPr>
          <w:w w:val="95"/>
          <w:sz w:val="20"/>
        </w:rPr>
        <w:t>has</w:t>
      </w:r>
      <w:r>
        <w:rPr>
          <w:spacing w:val="-8"/>
          <w:w w:val="95"/>
          <w:sz w:val="20"/>
        </w:rPr>
        <w:t xml:space="preserve"> </w:t>
      </w:r>
      <w:r>
        <w:rPr>
          <w:w w:val="95"/>
          <w:sz w:val="20"/>
        </w:rPr>
        <w:t>about</w:t>
      </w:r>
      <w:r>
        <w:rPr>
          <w:spacing w:val="-8"/>
          <w:w w:val="95"/>
          <w:sz w:val="20"/>
        </w:rPr>
        <w:t xml:space="preserve"> </w:t>
      </w:r>
      <w:r>
        <w:rPr>
          <w:w w:val="95"/>
          <w:sz w:val="20"/>
        </w:rPr>
        <w:t>$9</w:t>
      </w:r>
      <w:r>
        <w:rPr>
          <w:spacing w:val="-8"/>
          <w:w w:val="95"/>
          <w:sz w:val="20"/>
        </w:rPr>
        <w:t xml:space="preserve"> </w:t>
      </w:r>
      <w:r>
        <w:rPr>
          <w:w w:val="95"/>
          <w:sz w:val="20"/>
        </w:rPr>
        <w:t>billion</w:t>
      </w:r>
      <w:r>
        <w:rPr>
          <w:spacing w:val="-8"/>
          <w:w w:val="95"/>
          <w:sz w:val="20"/>
        </w:rPr>
        <w:t xml:space="preserve"> </w:t>
      </w:r>
      <w:r>
        <w:rPr>
          <w:w w:val="95"/>
          <w:sz w:val="20"/>
        </w:rPr>
        <w:t xml:space="preserve">invested </w:t>
      </w:r>
      <w:r>
        <w:rPr>
          <w:sz w:val="20"/>
        </w:rPr>
        <w:t>in</w:t>
      </w:r>
      <w:r>
        <w:rPr>
          <w:spacing w:val="-7"/>
          <w:sz w:val="20"/>
        </w:rPr>
        <w:t xml:space="preserve"> </w:t>
      </w:r>
      <w:r>
        <w:rPr>
          <w:sz w:val="20"/>
        </w:rPr>
        <w:t>the</w:t>
      </w:r>
      <w:r>
        <w:rPr>
          <w:spacing w:val="-7"/>
          <w:sz w:val="20"/>
        </w:rPr>
        <w:t xml:space="preserve"> </w:t>
      </w:r>
      <w:r>
        <w:rPr>
          <w:sz w:val="20"/>
        </w:rPr>
        <w:t>Arts</w:t>
      </w:r>
      <w:r>
        <w:rPr>
          <w:spacing w:val="-7"/>
          <w:sz w:val="20"/>
        </w:rPr>
        <w:t xml:space="preserve"> </w:t>
      </w:r>
      <w:r>
        <w:rPr>
          <w:sz w:val="20"/>
        </w:rPr>
        <w:t>and</w:t>
      </w:r>
      <w:r>
        <w:rPr>
          <w:spacing w:val="-7"/>
          <w:sz w:val="20"/>
        </w:rPr>
        <w:t xml:space="preserve"> </w:t>
      </w:r>
      <w:r>
        <w:rPr>
          <w:sz w:val="20"/>
        </w:rPr>
        <w:t>Recreation</w:t>
      </w:r>
      <w:r>
        <w:rPr>
          <w:spacing w:val="-7"/>
          <w:sz w:val="20"/>
        </w:rPr>
        <w:t xml:space="preserve"> </w:t>
      </w:r>
      <w:r>
        <w:rPr>
          <w:sz w:val="20"/>
        </w:rPr>
        <w:t>portfolios,</w:t>
      </w:r>
      <w:r>
        <w:rPr>
          <w:spacing w:val="-7"/>
          <w:sz w:val="20"/>
        </w:rPr>
        <w:t xml:space="preserve"> </w:t>
      </w:r>
      <w:r>
        <w:rPr>
          <w:sz w:val="20"/>
        </w:rPr>
        <w:t>including</w:t>
      </w:r>
    </w:p>
    <w:p w:rsidR="002C1123" w:rsidRDefault="00F22F94">
      <w:pPr>
        <w:pStyle w:val="BodyText"/>
        <w:spacing w:before="1" w:line="249" w:lineRule="auto"/>
        <w:ind w:left="542" w:right="703"/>
      </w:pPr>
      <w:r>
        <w:rPr>
          <w:w w:val="95"/>
        </w:rPr>
        <w:t>$3</w:t>
      </w:r>
      <w:r>
        <w:rPr>
          <w:spacing w:val="-9"/>
          <w:w w:val="95"/>
        </w:rPr>
        <w:t xml:space="preserve"> </w:t>
      </w:r>
      <w:r>
        <w:rPr>
          <w:w w:val="95"/>
        </w:rPr>
        <w:t>billion</w:t>
      </w:r>
      <w:r>
        <w:rPr>
          <w:spacing w:val="-9"/>
          <w:w w:val="95"/>
        </w:rPr>
        <w:t xml:space="preserve"> </w:t>
      </w:r>
      <w:r>
        <w:rPr>
          <w:w w:val="95"/>
        </w:rPr>
        <w:t>in</w:t>
      </w:r>
      <w:r>
        <w:rPr>
          <w:spacing w:val="-9"/>
          <w:w w:val="95"/>
        </w:rPr>
        <w:t xml:space="preserve"> </w:t>
      </w:r>
      <w:r>
        <w:rPr>
          <w:w w:val="95"/>
        </w:rPr>
        <w:t>cultural</w:t>
      </w:r>
      <w:r>
        <w:rPr>
          <w:spacing w:val="-9"/>
          <w:w w:val="95"/>
        </w:rPr>
        <w:t xml:space="preserve"> </w:t>
      </w:r>
      <w:r>
        <w:rPr>
          <w:w w:val="95"/>
        </w:rPr>
        <w:t>institutions,</w:t>
      </w:r>
      <w:r>
        <w:rPr>
          <w:spacing w:val="-9"/>
          <w:w w:val="95"/>
        </w:rPr>
        <w:t xml:space="preserve"> </w:t>
      </w:r>
      <w:r>
        <w:rPr>
          <w:w w:val="95"/>
        </w:rPr>
        <w:t>more</w:t>
      </w:r>
      <w:r>
        <w:rPr>
          <w:spacing w:val="-9"/>
          <w:w w:val="95"/>
        </w:rPr>
        <w:t xml:space="preserve"> </w:t>
      </w:r>
      <w:r>
        <w:rPr>
          <w:w w:val="95"/>
        </w:rPr>
        <w:t>than</w:t>
      </w:r>
      <w:r>
        <w:rPr>
          <w:spacing w:val="-9"/>
          <w:w w:val="95"/>
        </w:rPr>
        <w:t xml:space="preserve"> </w:t>
      </w:r>
      <w:r>
        <w:rPr>
          <w:w w:val="95"/>
        </w:rPr>
        <w:t>$4</w:t>
      </w:r>
      <w:r>
        <w:rPr>
          <w:spacing w:val="-9"/>
          <w:w w:val="95"/>
        </w:rPr>
        <w:t xml:space="preserve"> </w:t>
      </w:r>
      <w:r>
        <w:rPr>
          <w:w w:val="95"/>
        </w:rPr>
        <w:t>billion</w:t>
      </w:r>
      <w:r>
        <w:rPr>
          <w:spacing w:val="-9"/>
          <w:w w:val="95"/>
        </w:rPr>
        <w:t xml:space="preserve"> </w:t>
      </w:r>
      <w:r>
        <w:rPr>
          <w:w w:val="95"/>
        </w:rPr>
        <w:t xml:space="preserve">in </w:t>
      </w:r>
      <w:r>
        <w:t>collections</w:t>
      </w:r>
      <w:r>
        <w:rPr>
          <w:spacing w:val="-7"/>
        </w:rPr>
        <w:t xml:space="preserve"> </w:t>
      </w:r>
      <w:r>
        <w:t>and</w:t>
      </w:r>
      <w:r>
        <w:rPr>
          <w:spacing w:val="-7"/>
        </w:rPr>
        <w:t xml:space="preserve"> </w:t>
      </w:r>
      <w:r>
        <w:t>$2</w:t>
      </w:r>
      <w:r>
        <w:rPr>
          <w:spacing w:val="-7"/>
        </w:rPr>
        <w:t xml:space="preserve"> </w:t>
      </w:r>
      <w:r>
        <w:t>billion</w:t>
      </w:r>
      <w:r>
        <w:rPr>
          <w:spacing w:val="-7"/>
        </w:rPr>
        <w:t xml:space="preserve"> </w:t>
      </w:r>
      <w:r>
        <w:t>in</w:t>
      </w:r>
      <w:r>
        <w:rPr>
          <w:spacing w:val="-7"/>
        </w:rPr>
        <w:t xml:space="preserve"> </w:t>
      </w:r>
      <w:r>
        <w:t>sporting</w:t>
      </w:r>
      <w:r>
        <w:rPr>
          <w:spacing w:val="-7"/>
        </w:rPr>
        <w:t xml:space="preserve"> </w:t>
      </w:r>
      <w:r>
        <w:t>venues.</w:t>
      </w:r>
    </w:p>
    <w:p w:rsidR="002C1123" w:rsidRDefault="00F22F94">
      <w:pPr>
        <w:pStyle w:val="ListParagraph"/>
        <w:numPr>
          <w:ilvl w:val="3"/>
          <w:numId w:val="31"/>
        </w:numPr>
        <w:tabs>
          <w:tab w:val="left" w:pos="543"/>
        </w:tabs>
        <w:spacing w:before="114" w:line="249" w:lineRule="auto"/>
        <w:ind w:right="970"/>
        <w:rPr>
          <w:sz w:val="20"/>
        </w:rPr>
      </w:pPr>
      <w:r>
        <w:rPr>
          <w:w w:val="95"/>
          <w:sz w:val="20"/>
        </w:rPr>
        <w:t>The</w:t>
      </w:r>
      <w:r>
        <w:rPr>
          <w:spacing w:val="-10"/>
          <w:w w:val="95"/>
          <w:sz w:val="20"/>
        </w:rPr>
        <w:t xml:space="preserve"> </w:t>
      </w:r>
      <w:r>
        <w:rPr>
          <w:w w:val="95"/>
          <w:sz w:val="20"/>
        </w:rPr>
        <w:t>average</w:t>
      </w:r>
      <w:r>
        <w:rPr>
          <w:spacing w:val="-10"/>
          <w:w w:val="95"/>
          <w:sz w:val="20"/>
        </w:rPr>
        <w:t xml:space="preserve"> </w:t>
      </w:r>
      <w:r>
        <w:rPr>
          <w:w w:val="95"/>
          <w:sz w:val="20"/>
        </w:rPr>
        <w:t>expenditure</w:t>
      </w:r>
      <w:r>
        <w:rPr>
          <w:spacing w:val="-10"/>
          <w:w w:val="95"/>
          <w:sz w:val="20"/>
        </w:rPr>
        <w:t xml:space="preserve"> </w:t>
      </w:r>
      <w:r>
        <w:rPr>
          <w:w w:val="95"/>
          <w:sz w:val="20"/>
        </w:rPr>
        <w:t>by</w:t>
      </w:r>
      <w:r>
        <w:rPr>
          <w:spacing w:val="-10"/>
          <w:w w:val="95"/>
          <w:sz w:val="20"/>
        </w:rPr>
        <w:t xml:space="preserve"> </w:t>
      </w:r>
      <w:r>
        <w:rPr>
          <w:w w:val="95"/>
          <w:sz w:val="20"/>
        </w:rPr>
        <w:t>the</w:t>
      </w:r>
      <w:r>
        <w:rPr>
          <w:spacing w:val="-10"/>
          <w:w w:val="95"/>
          <w:sz w:val="20"/>
        </w:rPr>
        <w:t xml:space="preserve"> </w:t>
      </w:r>
      <w:r>
        <w:rPr>
          <w:w w:val="95"/>
          <w:sz w:val="20"/>
        </w:rPr>
        <w:t>NSW</w:t>
      </w:r>
      <w:r>
        <w:rPr>
          <w:spacing w:val="-10"/>
          <w:w w:val="95"/>
          <w:sz w:val="20"/>
        </w:rPr>
        <w:t xml:space="preserve"> </w:t>
      </w:r>
      <w:r>
        <w:rPr>
          <w:w w:val="95"/>
          <w:sz w:val="20"/>
        </w:rPr>
        <w:t xml:space="preserve">Government </w:t>
      </w:r>
      <w:r>
        <w:rPr>
          <w:spacing w:val="-2"/>
          <w:sz w:val="20"/>
        </w:rPr>
        <w:t>over</w:t>
      </w:r>
      <w:r>
        <w:rPr>
          <w:spacing w:val="-10"/>
          <w:sz w:val="20"/>
        </w:rPr>
        <w:t xml:space="preserve"> </w:t>
      </w:r>
      <w:r>
        <w:rPr>
          <w:spacing w:val="-2"/>
          <w:sz w:val="20"/>
        </w:rPr>
        <w:t>the</w:t>
      </w:r>
      <w:r>
        <w:rPr>
          <w:spacing w:val="-10"/>
          <w:sz w:val="20"/>
        </w:rPr>
        <w:t xml:space="preserve"> </w:t>
      </w:r>
      <w:r>
        <w:rPr>
          <w:spacing w:val="-2"/>
          <w:sz w:val="20"/>
        </w:rPr>
        <w:t>last</w:t>
      </w:r>
      <w:r>
        <w:rPr>
          <w:spacing w:val="-10"/>
          <w:sz w:val="20"/>
        </w:rPr>
        <w:t xml:space="preserve"> </w:t>
      </w:r>
      <w:r>
        <w:rPr>
          <w:spacing w:val="-2"/>
          <w:sz w:val="20"/>
        </w:rPr>
        <w:t>10</w:t>
      </w:r>
      <w:r>
        <w:rPr>
          <w:spacing w:val="-10"/>
          <w:sz w:val="20"/>
        </w:rPr>
        <w:t xml:space="preserve"> </w:t>
      </w:r>
      <w:r>
        <w:rPr>
          <w:spacing w:val="-2"/>
          <w:sz w:val="20"/>
        </w:rPr>
        <w:t>years</w:t>
      </w:r>
      <w:r>
        <w:rPr>
          <w:spacing w:val="-10"/>
          <w:sz w:val="20"/>
        </w:rPr>
        <w:t xml:space="preserve"> </w:t>
      </w:r>
      <w:r>
        <w:rPr>
          <w:spacing w:val="-2"/>
          <w:sz w:val="20"/>
        </w:rPr>
        <w:t>has</w:t>
      </w:r>
      <w:r>
        <w:rPr>
          <w:spacing w:val="-10"/>
          <w:sz w:val="20"/>
        </w:rPr>
        <w:t xml:space="preserve"> </w:t>
      </w:r>
      <w:r>
        <w:rPr>
          <w:spacing w:val="-2"/>
          <w:sz w:val="20"/>
        </w:rPr>
        <w:t>been</w:t>
      </w:r>
      <w:r>
        <w:rPr>
          <w:spacing w:val="-10"/>
          <w:sz w:val="20"/>
        </w:rPr>
        <w:t xml:space="preserve"> </w:t>
      </w:r>
      <w:r>
        <w:rPr>
          <w:spacing w:val="-2"/>
          <w:sz w:val="20"/>
        </w:rPr>
        <w:t>$114</w:t>
      </w:r>
      <w:r>
        <w:rPr>
          <w:spacing w:val="-10"/>
          <w:sz w:val="20"/>
        </w:rPr>
        <w:t xml:space="preserve"> </w:t>
      </w:r>
      <w:r>
        <w:rPr>
          <w:spacing w:val="-2"/>
          <w:sz w:val="20"/>
        </w:rPr>
        <w:t>million</w:t>
      </w:r>
      <w:r>
        <w:rPr>
          <w:spacing w:val="-10"/>
          <w:sz w:val="20"/>
        </w:rPr>
        <w:t xml:space="preserve"> </w:t>
      </w:r>
      <w:r>
        <w:rPr>
          <w:spacing w:val="-2"/>
          <w:sz w:val="20"/>
        </w:rPr>
        <w:t xml:space="preserve">per </w:t>
      </w:r>
      <w:r>
        <w:rPr>
          <w:sz w:val="20"/>
        </w:rPr>
        <w:t>annum,</w:t>
      </w:r>
      <w:r>
        <w:rPr>
          <w:spacing w:val="-1"/>
          <w:sz w:val="20"/>
        </w:rPr>
        <w:t xml:space="preserve"> </w:t>
      </w:r>
      <w:r>
        <w:rPr>
          <w:sz w:val="20"/>
        </w:rPr>
        <w:t>55</w:t>
      </w:r>
      <w:r>
        <w:rPr>
          <w:spacing w:val="-1"/>
          <w:sz w:val="20"/>
        </w:rPr>
        <w:t xml:space="preserve"> </w:t>
      </w:r>
      <w:r>
        <w:rPr>
          <w:sz w:val="20"/>
        </w:rPr>
        <w:t>percent</w:t>
      </w:r>
      <w:r>
        <w:rPr>
          <w:spacing w:val="-1"/>
          <w:sz w:val="20"/>
        </w:rPr>
        <w:t xml:space="preserve"> </w:t>
      </w:r>
      <w:r>
        <w:rPr>
          <w:sz w:val="20"/>
        </w:rPr>
        <w:t>on</w:t>
      </w:r>
      <w:r>
        <w:rPr>
          <w:spacing w:val="-1"/>
          <w:sz w:val="20"/>
        </w:rPr>
        <w:t xml:space="preserve"> </w:t>
      </w:r>
      <w:r>
        <w:rPr>
          <w:sz w:val="20"/>
        </w:rPr>
        <w:t>sporting</w:t>
      </w:r>
      <w:r>
        <w:rPr>
          <w:spacing w:val="-1"/>
          <w:sz w:val="20"/>
        </w:rPr>
        <w:t xml:space="preserve"> </w:t>
      </w:r>
      <w:r>
        <w:rPr>
          <w:sz w:val="20"/>
        </w:rPr>
        <w:t>venues</w:t>
      </w:r>
      <w:r>
        <w:rPr>
          <w:spacing w:val="-1"/>
          <w:sz w:val="20"/>
        </w:rPr>
        <w:t xml:space="preserve"> </w:t>
      </w:r>
      <w:r>
        <w:rPr>
          <w:sz w:val="20"/>
        </w:rPr>
        <w:t>and</w:t>
      </w:r>
    </w:p>
    <w:p w:rsidR="002C1123" w:rsidRDefault="00F22F94">
      <w:pPr>
        <w:pStyle w:val="BodyText"/>
        <w:spacing w:before="2"/>
        <w:ind w:left="542"/>
      </w:pPr>
      <w:r>
        <w:rPr>
          <w:w w:val="95"/>
        </w:rPr>
        <w:t>45</w:t>
      </w:r>
      <w:r>
        <w:rPr>
          <w:spacing w:val="-4"/>
          <w:w w:val="95"/>
        </w:rPr>
        <w:t xml:space="preserve"> </w:t>
      </w:r>
      <w:r>
        <w:rPr>
          <w:w w:val="95"/>
        </w:rPr>
        <w:t>per</w:t>
      </w:r>
      <w:r>
        <w:rPr>
          <w:spacing w:val="-3"/>
          <w:w w:val="95"/>
        </w:rPr>
        <w:t xml:space="preserve"> </w:t>
      </w:r>
      <w:r>
        <w:rPr>
          <w:w w:val="95"/>
        </w:rPr>
        <w:t>cent</w:t>
      </w:r>
      <w:r>
        <w:rPr>
          <w:spacing w:val="-3"/>
          <w:w w:val="95"/>
        </w:rPr>
        <w:t xml:space="preserve"> </w:t>
      </w:r>
      <w:r>
        <w:rPr>
          <w:w w:val="95"/>
        </w:rPr>
        <w:t>on</w:t>
      </w:r>
      <w:r>
        <w:rPr>
          <w:spacing w:val="-3"/>
          <w:w w:val="95"/>
        </w:rPr>
        <w:t xml:space="preserve"> </w:t>
      </w:r>
      <w:r>
        <w:rPr>
          <w:w w:val="95"/>
        </w:rPr>
        <w:t>cultural</w:t>
      </w:r>
      <w:r>
        <w:rPr>
          <w:spacing w:val="-3"/>
          <w:w w:val="95"/>
        </w:rPr>
        <w:t xml:space="preserve"> </w:t>
      </w:r>
      <w:r>
        <w:rPr>
          <w:spacing w:val="-2"/>
          <w:w w:val="95"/>
        </w:rPr>
        <w:t>venues</w:t>
      </w:r>
      <w:r>
        <w:rPr>
          <w:spacing w:val="-2"/>
          <w:w w:val="95"/>
          <w:position w:val="7"/>
          <w:sz w:val="11"/>
        </w:rPr>
        <w:t>1</w:t>
      </w:r>
      <w:r>
        <w:rPr>
          <w:spacing w:val="-2"/>
          <w:w w:val="95"/>
        </w:rPr>
        <w:t>.</w:t>
      </w:r>
    </w:p>
    <w:p w:rsidR="002C1123" w:rsidRDefault="00F22F94">
      <w:pPr>
        <w:pStyle w:val="ListParagraph"/>
        <w:numPr>
          <w:ilvl w:val="3"/>
          <w:numId w:val="31"/>
        </w:numPr>
        <w:tabs>
          <w:tab w:val="left" w:pos="543"/>
        </w:tabs>
        <w:spacing w:before="121" w:line="249" w:lineRule="auto"/>
        <w:ind w:right="763"/>
        <w:rPr>
          <w:sz w:val="20"/>
        </w:rPr>
      </w:pPr>
      <w:r>
        <w:rPr>
          <w:sz w:val="20"/>
        </w:rPr>
        <w:t>The</w:t>
      </w:r>
      <w:r>
        <w:rPr>
          <w:spacing w:val="-11"/>
          <w:sz w:val="20"/>
        </w:rPr>
        <w:t xml:space="preserve"> </w:t>
      </w:r>
      <w:r>
        <w:rPr>
          <w:sz w:val="20"/>
        </w:rPr>
        <w:t>capital</w:t>
      </w:r>
      <w:r>
        <w:rPr>
          <w:spacing w:val="-11"/>
          <w:sz w:val="20"/>
        </w:rPr>
        <w:t xml:space="preserve"> </w:t>
      </w:r>
      <w:r>
        <w:rPr>
          <w:sz w:val="20"/>
        </w:rPr>
        <w:t>budget</w:t>
      </w:r>
      <w:r>
        <w:rPr>
          <w:spacing w:val="-11"/>
          <w:sz w:val="20"/>
        </w:rPr>
        <w:t xml:space="preserve"> </w:t>
      </w:r>
      <w:r>
        <w:rPr>
          <w:sz w:val="20"/>
        </w:rPr>
        <w:t>for</w:t>
      </w:r>
      <w:r>
        <w:rPr>
          <w:spacing w:val="-11"/>
          <w:sz w:val="20"/>
        </w:rPr>
        <w:t xml:space="preserve"> </w:t>
      </w:r>
      <w:r>
        <w:rPr>
          <w:sz w:val="20"/>
        </w:rPr>
        <w:t>2012-13</w:t>
      </w:r>
      <w:r>
        <w:rPr>
          <w:spacing w:val="-11"/>
          <w:sz w:val="20"/>
        </w:rPr>
        <w:t xml:space="preserve"> </w:t>
      </w:r>
      <w:r>
        <w:rPr>
          <w:sz w:val="20"/>
        </w:rPr>
        <w:t>for</w:t>
      </w:r>
      <w:r>
        <w:rPr>
          <w:spacing w:val="-11"/>
          <w:sz w:val="20"/>
        </w:rPr>
        <w:t xml:space="preserve"> </w:t>
      </w:r>
      <w:r>
        <w:rPr>
          <w:sz w:val="20"/>
        </w:rPr>
        <w:t>the</w:t>
      </w:r>
      <w:r>
        <w:rPr>
          <w:spacing w:val="-11"/>
          <w:sz w:val="20"/>
        </w:rPr>
        <w:t xml:space="preserve"> </w:t>
      </w:r>
      <w:r>
        <w:rPr>
          <w:sz w:val="20"/>
        </w:rPr>
        <w:t>Arts</w:t>
      </w:r>
      <w:r>
        <w:rPr>
          <w:spacing w:val="-11"/>
          <w:sz w:val="20"/>
        </w:rPr>
        <w:t xml:space="preserve"> </w:t>
      </w:r>
      <w:r>
        <w:rPr>
          <w:sz w:val="20"/>
        </w:rPr>
        <w:t xml:space="preserve">and </w:t>
      </w:r>
      <w:r>
        <w:rPr>
          <w:w w:val="95"/>
          <w:sz w:val="20"/>
        </w:rPr>
        <w:t>Recreation</w:t>
      </w:r>
      <w:r>
        <w:rPr>
          <w:spacing w:val="-3"/>
          <w:w w:val="95"/>
          <w:sz w:val="20"/>
        </w:rPr>
        <w:t xml:space="preserve"> </w:t>
      </w:r>
      <w:r>
        <w:rPr>
          <w:w w:val="95"/>
          <w:sz w:val="20"/>
        </w:rPr>
        <w:t>portfolios</w:t>
      </w:r>
      <w:r>
        <w:rPr>
          <w:spacing w:val="-3"/>
          <w:w w:val="95"/>
          <w:sz w:val="20"/>
        </w:rPr>
        <w:t xml:space="preserve"> </w:t>
      </w:r>
      <w:r>
        <w:rPr>
          <w:w w:val="95"/>
          <w:sz w:val="20"/>
        </w:rPr>
        <w:t>is</w:t>
      </w:r>
      <w:r>
        <w:rPr>
          <w:spacing w:val="-3"/>
          <w:w w:val="95"/>
          <w:sz w:val="20"/>
        </w:rPr>
        <w:t xml:space="preserve"> </w:t>
      </w:r>
      <w:r>
        <w:rPr>
          <w:w w:val="95"/>
          <w:sz w:val="20"/>
        </w:rPr>
        <w:t>around</w:t>
      </w:r>
      <w:r>
        <w:rPr>
          <w:spacing w:val="-3"/>
          <w:w w:val="95"/>
          <w:sz w:val="20"/>
        </w:rPr>
        <w:t xml:space="preserve"> </w:t>
      </w:r>
      <w:r>
        <w:rPr>
          <w:w w:val="95"/>
          <w:sz w:val="20"/>
        </w:rPr>
        <w:t>$250</w:t>
      </w:r>
      <w:r>
        <w:rPr>
          <w:spacing w:val="-3"/>
          <w:w w:val="95"/>
          <w:sz w:val="20"/>
        </w:rPr>
        <w:t xml:space="preserve"> </w:t>
      </w:r>
      <w:r>
        <w:rPr>
          <w:w w:val="95"/>
          <w:sz w:val="20"/>
        </w:rPr>
        <w:t>million</w:t>
      </w:r>
      <w:r>
        <w:rPr>
          <w:spacing w:val="-3"/>
          <w:w w:val="95"/>
          <w:sz w:val="20"/>
        </w:rPr>
        <w:t xml:space="preserve"> </w:t>
      </w:r>
      <w:r>
        <w:rPr>
          <w:w w:val="95"/>
          <w:sz w:val="20"/>
        </w:rPr>
        <w:t xml:space="preserve">including </w:t>
      </w:r>
      <w:r>
        <w:rPr>
          <w:sz w:val="20"/>
        </w:rPr>
        <w:t>major</w:t>
      </w:r>
      <w:r>
        <w:rPr>
          <w:spacing w:val="-14"/>
          <w:sz w:val="20"/>
        </w:rPr>
        <w:t xml:space="preserve"> </w:t>
      </w:r>
      <w:r>
        <w:rPr>
          <w:sz w:val="20"/>
        </w:rPr>
        <w:t>work</w:t>
      </w:r>
      <w:r>
        <w:rPr>
          <w:spacing w:val="-14"/>
          <w:sz w:val="20"/>
        </w:rPr>
        <w:t xml:space="preserve"> </w:t>
      </w:r>
      <w:r>
        <w:rPr>
          <w:sz w:val="20"/>
        </w:rPr>
        <w:t>at</w:t>
      </w:r>
      <w:r>
        <w:rPr>
          <w:spacing w:val="-14"/>
          <w:sz w:val="20"/>
        </w:rPr>
        <w:t xml:space="preserve"> </w:t>
      </w:r>
      <w:r>
        <w:rPr>
          <w:sz w:val="20"/>
        </w:rPr>
        <w:t>the</w:t>
      </w:r>
      <w:r>
        <w:rPr>
          <w:spacing w:val="-13"/>
          <w:sz w:val="20"/>
        </w:rPr>
        <w:t xml:space="preserve"> </w:t>
      </w:r>
      <w:r>
        <w:rPr>
          <w:sz w:val="20"/>
        </w:rPr>
        <w:t>Opera</w:t>
      </w:r>
      <w:r>
        <w:rPr>
          <w:spacing w:val="-14"/>
          <w:sz w:val="20"/>
        </w:rPr>
        <w:t xml:space="preserve"> </w:t>
      </w:r>
      <w:r>
        <w:rPr>
          <w:sz w:val="20"/>
        </w:rPr>
        <w:t>House</w:t>
      </w:r>
      <w:r>
        <w:rPr>
          <w:spacing w:val="-14"/>
          <w:sz w:val="20"/>
        </w:rPr>
        <w:t xml:space="preserve"> </w:t>
      </w:r>
      <w:r>
        <w:rPr>
          <w:sz w:val="20"/>
        </w:rPr>
        <w:t>($82</w:t>
      </w:r>
      <w:r>
        <w:rPr>
          <w:spacing w:val="-14"/>
          <w:sz w:val="20"/>
        </w:rPr>
        <w:t xml:space="preserve"> </w:t>
      </w:r>
      <w:r>
        <w:rPr>
          <w:sz w:val="20"/>
        </w:rPr>
        <w:t>million)</w:t>
      </w:r>
      <w:r>
        <w:rPr>
          <w:spacing w:val="-13"/>
          <w:sz w:val="20"/>
        </w:rPr>
        <w:t xml:space="preserve"> </w:t>
      </w:r>
      <w:r>
        <w:rPr>
          <w:sz w:val="20"/>
        </w:rPr>
        <w:t>and Sydney</w:t>
      </w:r>
      <w:r>
        <w:rPr>
          <w:spacing w:val="-14"/>
          <w:sz w:val="20"/>
        </w:rPr>
        <w:t xml:space="preserve"> </w:t>
      </w:r>
      <w:r>
        <w:rPr>
          <w:sz w:val="20"/>
        </w:rPr>
        <w:t>Cricket</w:t>
      </w:r>
      <w:r>
        <w:rPr>
          <w:spacing w:val="-14"/>
          <w:sz w:val="20"/>
        </w:rPr>
        <w:t xml:space="preserve"> </w:t>
      </w:r>
      <w:r>
        <w:rPr>
          <w:sz w:val="20"/>
        </w:rPr>
        <w:t>Ground</w:t>
      </w:r>
      <w:r>
        <w:rPr>
          <w:spacing w:val="-14"/>
          <w:sz w:val="20"/>
        </w:rPr>
        <w:t xml:space="preserve"> </w:t>
      </w:r>
      <w:r>
        <w:rPr>
          <w:sz w:val="20"/>
        </w:rPr>
        <w:t>($72</w:t>
      </w:r>
      <w:r>
        <w:rPr>
          <w:spacing w:val="-14"/>
          <w:sz w:val="20"/>
        </w:rPr>
        <w:t xml:space="preserve"> </w:t>
      </w:r>
      <w:r>
        <w:rPr>
          <w:sz w:val="20"/>
        </w:rPr>
        <w:t>million).</w:t>
      </w:r>
    </w:p>
    <w:p w:rsidR="002C1123" w:rsidRDefault="00F22F94">
      <w:pPr>
        <w:pStyle w:val="ListParagraph"/>
        <w:numPr>
          <w:ilvl w:val="3"/>
          <w:numId w:val="31"/>
        </w:numPr>
        <w:tabs>
          <w:tab w:val="left" w:pos="543"/>
        </w:tabs>
        <w:spacing w:before="115" w:line="249" w:lineRule="auto"/>
        <w:ind w:right="860"/>
        <w:rPr>
          <w:sz w:val="20"/>
        </w:rPr>
      </w:pPr>
      <w:r>
        <w:rPr>
          <w:w w:val="95"/>
          <w:sz w:val="20"/>
        </w:rPr>
        <w:t>Some five million people attended a sporting event at</w:t>
      </w:r>
      <w:r>
        <w:rPr>
          <w:spacing w:val="-11"/>
          <w:w w:val="95"/>
          <w:sz w:val="20"/>
        </w:rPr>
        <w:t xml:space="preserve"> </w:t>
      </w:r>
      <w:r>
        <w:rPr>
          <w:w w:val="95"/>
          <w:sz w:val="20"/>
        </w:rPr>
        <w:t>NSW</w:t>
      </w:r>
      <w:r>
        <w:rPr>
          <w:spacing w:val="-11"/>
          <w:w w:val="95"/>
          <w:sz w:val="20"/>
        </w:rPr>
        <w:t xml:space="preserve"> </w:t>
      </w:r>
      <w:r>
        <w:rPr>
          <w:w w:val="95"/>
          <w:sz w:val="20"/>
        </w:rPr>
        <w:t>Government</w:t>
      </w:r>
      <w:r>
        <w:rPr>
          <w:spacing w:val="-11"/>
          <w:w w:val="95"/>
          <w:sz w:val="20"/>
        </w:rPr>
        <w:t xml:space="preserve"> </w:t>
      </w:r>
      <w:r>
        <w:rPr>
          <w:w w:val="95"/>
          <w:sz w:val="20"/>
        </w:rPr>
        <w:t>venues</w:t>
      </w:r>
      <w:r>
        <w:rPr>
          <w:spacing w:val="-11"/>
          <w:w w:val="95"/>
          <w:sz w:val="20"/>
        </w:rPr>
        <w:t xml:space="preserve"> </w:t>
      </w:r>
      <w:r>
        <w:rPr>
          <w:w w:val="95"/>
          <w:sz w:val="20"/>
        </w:rPr>
        <w:t>last</w:t>
      </w:r>
      <w:r>
        <w:rPr>
          <w:spacing w:val="-11"/>
          <w:w w:val="95"/>
          <w:sz w:val="20"/>
        </w:rPr>
        <w:t xml:space="preserve"> </w:t>
      </w:r>
      <w:r>
        <w:rPr>
          <w:w w:val="95"/>
          <w:sz w:val="20"/>
        </w:rPr>
        <w:t>year</w:t>
      </w:r>
      <w:r>
        <w:rPr>
          <w:spacing w:val="-11"/>
          <w:w w:val="95"/>
          <w:sz w:val="20"/>
        </w:rPr>
        <w:t xml:space="preserve"> </w:t>
      </w:r>
      <w:r>
        <w:rPr>
          <w:w w:val="95"/>
          <w:sz w:val="20"/>
        </w:rPr>
        <w:t>and</w:t>
      </w:r>
      <w:r>
        <w:rPr>
          <w:spacing w:val="-11"/>
          <w:w w:val="95"/>
          <w:sz w:val="20"/>
        </w:rPr>
        <w:t xml:space="preserve"> </w:t>
      </w:r>
      <w:r>
        <w:rPr>
          <w:w w:val="95"/>
          <w:sz w:val="20"/>
        </w:rPr>
        <w:t>25</w:t>
      </w:r>
      <w:r>
        <w:rPr>
          <w:spacing w:val="-11"/>
          <w:w w:val="95"/>
          <w:sz w:val="20"/>
        </w:rPr>
        <w:t xml:space="preserve"> </w:t>
      </w:r>
      <w:r>
        <w:rPr>
          <w:w w:val="95"/>
          <w:sz w:val="20"/>
        </w:rPr>
        <w:t>million</w:t>
      </w:r>
    </w:p>
    <w:p w:rsidR="002C1123" w:rsidRDefault="00F22F94">
      <w:pPr>
        <w:pStyle w:val="BodyText"/>
        <w:spacing w:before="2" w:line="249" w:lineRule="auto"/>
        <w:ind w:left="542" w:right="703"/>
      </w:pPr>
      <w:r>
        <w:rPr>
          <w:w w:val="95"/>
        </w:rPr>
        <w:t>visited</w:t>
      </w:r>
      <w:r>
        <w:rPr>
          <w:spacing w:val="-3"/>
          <w:w w:val="95"/>
        </w:rPr>
        <w:t xml:space="preserve"> </w:t>
      </w:r>
      <w:r>
        <w:rPr>
          <w:w w:val="95"/>
        </w:rPr>
        <w:t>the</w:t>
      </w:r>
      <w:r>
        <w:rPr>
          <w:spacing w:val="-3"/>
          <w:w w:val="95"/>
        </w:rPr>
        <w:t xml:space="preserve"> </w:t>
      </w:r>
      <w:r>
        <w:rPr>
          <w:w w:val="95"/>
        </w:rPr>
        <w:t>many</w:t>
      </w:r>
      <w:r>
        <w:rPr>
          <w:spacing w:val="-3"/>
          <w:w w:val="95"/>
        </w:rPr>
        <w:t xml:space="preserve"> </w:t>
      </w:r>
      <w:r>
        <w:rPr>
          <w:w w:val="95"/>
        </w:rPr>
        <w:t>parks</w:t>
      </w:r>
      <w:r>
        <w:rPr>
          <w:spacing w:val="-3"/>
          <w:w w:val="95"/>
        </w:rPr>
        <w:t xml:space="preserve"> </w:t>
      </w:r>
      <w:r>
        <w:rPr>
          <w:w w:val="95"/>
        </w:rPr>
        <w:t>and</w:t>
      </w:r>
      <w:r>
        <w:rPr>
          <w:spacing w:val="-3"/>
          <w:w w:val="95"/>
        </w:rPr>
        <w:t xml:space="preserve"> </w:t>
      </w:r>
      <w:r>
        <w:rPr>
          <w:w w:val="95"/>
        </w:rPr>
        <w:t>outdoor</w:t>
      </w:r>
      <w:r>
        <w:rPr>
          <w:spacing w:val="-3"/>
          <w:w w:val="95"/>
        </w:rPr>
        <w:t xml:space="preserve"> </w:t>
      </w:r>
      <w:r>
        <w:rPr>
          <w:w w:val="95"/>
        </w:rPr>
        <w:t>facilities</w:t>
      </w:r>
      <w:r>
        <w:rPr>
          <w:spacing w:val="-3"/>
          <w:w w:val="95"/>
        </w:rPr>
        <w:t xml:space="preserve"> </w:t>
      </w:r>
      <w:r>
        <w:rPr>
          <w:w w:val="95"/>
        </w:rPr>
        <w:t xml:space="preserve">provided </w:t>
      </w:r>
      <w:r>
        <w:t>and</w:t>
      </w:r>
      <w:r>
        <w:rPr>
          <w:spacing w:val="-4"/>
        </w:rPr>
        <w:t xml:space="preserve"> </w:t>
      </w:r>
      <w:r>
        <w:t>operated</w:t>
      </w:r>
      <w:r>
        <w:rPr>
          <w:spacing w:val="-4"/>
        </w:rPr>
        <w:t xml:space="preserve"> </w:t>
      </w:r>
      <w:r>
        <w:t>by</w:t>
      </w:r>
      <w:r>
        <w:rPr>
          <w:spacing w:val="-4"/>
        </w:rPr>
        <w:t xml:space="preserve"> </w:t>
      </w:r>
      <w:r>
        <w:t>the</w:t>
      </w:r>
      <w:r>
        <w:rPr>
          <w:spacing w:val="-4"/>
        </w:rPr>
        <w:t xml:space="preserve"> </w:t>
      </w:r>
      <w:r>
        <w:t>NSW</w:t>
      </w:r>
      <w:r>
        <w:rPr>
          <w:spacing w:val="-4"/>
        </w:rPr>
        <w:t xml:space="preserve"> </w:t>
      </w:r>
      <w:r>
        <w:t>Government.</w:t>
      </w:r>
    </w:p>
    <w:p w:rsidR="002C1123" w:rsidRDefault="00F22F94">
      <w:pPr>
        <w:pStyle w:val="ListParagraph"/>
        <w:numPr>
          <w:ilvl w:val="3"/>
          <w:numId w:val="31"/>
        </w:numPr>
        <w:tabs>
          <w:tab w:val="left" w:pos="543"/>
        </w:tabs>
        <w:spacing w:before="114" w:line="249" w:lineRule="auto"/>
        <w:ind w:right="760"/>
        <w:rPr>
          <w:sz w:val="20"/>
        </w:rPr>
      </w:pPr>
      <w:r>
        <w:rPr>
          <w:w w:val="95"/>
          <w:sz w:val="20"/>
        </w:rPr>
        <w:t>Nearly</w:t>
      </w:r>
      <w:r>
        <w:rPr>
          <w:spacing w:val="-10"/>
          <w:w w:val="95"/>
          <w:sz w:val="20"/>
        </w:rPr>
        <w:t xml:space="preserve"> </w:t>
      </w:r>
      <w:r>
        <w:rPr>
          <w:w w:val="95"/>
          <w:sz w:val="20"/>
        </w:rPr>
        <w:t>five</w:t>
      </w:r>
      <w:r>
        <w:rPr>
          <w:spacing w:val="-10"/>
          <w:w w:val="95"/>
          <w:sz w:val="20"/>
        </w:rPr>
        <w:t xml:space="preserve"> </w:t>
      </w:r>
      <w:r>
        <w:rPr>
          <w:w w:val="95"/>
          <w:sz w:val="20"/>
        </w:rPr>
        <w:t>million</w:t>
      </w:r>
      <w:r>
        <w:rPr>
          <w:spacing w:val="-10"/>
          <w:w w:val="95"/>
          <w:sz w:val="20"/>
        </w:rPr>
        <w:t xml:space="preserve"> </w:t>
      </w:r>
      <w:r>
        <w:rPr>
          <w:w w:val="95"/>
          <w:sz w:val="20"/>
        </w:rPr>
        <w:t>people</w:t>
      </w:r>
      <w:r>
        <w:rPr>
          <w:spacing w:val="-10"/>
          <w:w w:val="95"/>
          <w:sz w:val="20"/>
        </w:rPr>
        <w:t xml:space="preserve"> </w:t>
      </w:r>
      <w:r>
        <w:rPr>
          <w:w w:val="95"/>
          <w:sz w:val="20"/>
        </w:rPr>
        <w:t>attended</w:t>
      </w:r>
      <w:r>
        <w:rPr>
          <w:spacing w:val="-10"/>
          <w:w w:val="95"/>
          <w:sz w:val="20"/>
        </w:rPr>
        <w:t xml:space="preserve"> </w:t>
      </w:r>
      <w:r>
        <w:rPr>
          <w:w w:val="95"/>
          <w:sz w:val="20"/>
        </w:rPr>
        <w:t>a</w:t>
      </w:r>
      <w:r>
        <w:rPr>
          <w:spacing w:val="-10"/>
          <w:w w:val="95"/>
          <w:sz w:val="20"/>
        </w:rPr>
        <w:t xml:space="preserve"> </w:t>
      </w:r>
      <w:r>
        <w:rPr>
          <w:w w:val="95"/>
          <w:sz w:val="20"/>
        </w:rPr>
        <w:t>cultural</w:t>
      </w:r>
      <w:r>
        <w:rPr>
          <w:spacing w:val="-10"/>
          <w:w w:val="95"/>
          <w:sz w:val="20"/>
        </w:rPr>
        <w:t xml:space="preserve"> </w:t>
      </w:r>
      <w:r>
        <w:rPr>
          <w:w w:val="95"/>
          <w:sz w:val="20"/>
        </w:rPr>
        <w:t>venue</w:t>
      </w:r>
      <w:r>
        <w:rPr>
          <w:spacing w:val="-10"/>
          <w:w w:val="95"/>
          <w:sz w:val="20"/>
        </w:rPr>
        <w:t xml:space="preserve"> </w:t>
      </w:r>
      <w:r>
        <w:rPr>
          <w:w w:val="95"/>
          <w:sz w:val="20"/>
        </w:rPr>
        <w:t xml:space="preserve">at </w:t>
      </w:r>
      <w:r>
        <w:rPr>
          <w:sz w:val="20"/>
        </w:rPr>
        <w:t>lEast once last year.</w:t>
      </w:r>
    </w:p>
    <w:p w:rsidR="002C1123" w:rsidRDefault="00F22F94">
      <w:pPr>
        <w:pStyle w:val="ListParagraph"/>
        <w:numPr>
          <w:ilvl w:val="3"/>
          <w:numId w:val="31"/>
        </w:numPr>
        <w:tabs>
          <w:tab w:val="left" w:pos="543"/>
        </w:tabs>
        <w:spacing w:before="113" w:line="249" w:lineRule="auto"/>
        <w:ind w:right="728"/>
        <w:rPr>
          <w:sz w:val="20"/>
        </w:rPr>
      </w:pPr>
      <w:r>
        <w:rPr>
          <w:spacing w:val="-2"/>
          <w:sz w:val="20"/>
        </w:rPr>
        <w:t>The</w:t>
      </w:r>
      <w:r>
        <w:rPr>
          <w:spacing w:val="-10"/>
          <w:sz w:val="20"/>
        </w:rPr>
        <w:t xml:space="preserve"> </w:t>
      </w:r>
      <w:r>
        <w:rPr>
          <w:spacing w:val="-2"/>
          <w:sz w:val="20"/>
        </w:rPr>
        <w:t>Australia</w:t>
      </w:r>
      <w:r>
        <w:rPr>
          <w:spacing w:val="-10"/>
          <w:sz w:val="20"/>
        </w:rPr>
        <w:t xml:space="preserve"> </w:t>
      </w:r>
      <w:r>
        <w:rPr>
          <w:spacing w:val="-2"/>
          <w:sz w:val="20"/>
        </w:rPr>
        <w:t>Bureau</w:t>
      </w:r>
      <w:r>
        <w:rPr>
          <w:spacing w:val="-10"/>
          <w:sz w:val="20"/>
        </w:rPr>
        <w:t xml:space="preserve"> </w:t>
      </w:r>
      <w:r>
        <w:rPr>
          <w:spacing w:val="-2"/>
          <w:sz w:val="20"/>
        </w:rPr>
        <w:t>of</w:t>
      </w:r>
      <w:r>
        <w:rPr>
          <w:spacing w:val="-10"/>
          <w:sz w:val="20"/>
        </w:rPr>
        <w:t xml:space="preserve"> </w:t>
      </w:r>
      <w:r>
        <w:rPr>
          <w:spacing w:val="-2"/>
          <w:sz w:val="20"/>
        </w:rPr>
        <w:t>Statistics</w:t>
      </w:r>
      <w:r>
        <w:rPr>
          <w:spacing w:val="-10"/>
          <w:sz w:val="20"/>
        </w:rPr>
        <w:t xml:space="preserve"> </w:t>
      </w:r>
      <w:r>
        <w:rPr>
          <w:spacing w:val="-2"/>
          <w:sz w:val="20"/>
        </w:rPr>
        <w:t>(ABS)</w:t>
      </w:r>
      <w:r>
        <w:rPr>
          <w:spacing w:val="-10"/>
          <w:sz w:val="20"/>
        </w:rPr>
        <w:t xml:space="preserve"> </w:t>
      </w:r>
      <w:r>
        <w:rPr>
          <w:spacing w:val="-2"/>
          <w:sz w:val="20"/>
        </w:rPr>
        <w:t xml:space="preserve">estimates </w:t>
      </w:r>
      <w:r>
        <w:rPr>
          <w:w w:val="95"/>
          <w:sz w:val="20"/>
        </w:rPr>
        <w:t>that</w:t>
      </w:r>
      <w:r>
        <w:rPr>
          <w:spacing w:val="-1"/>
          <w:w w:val="95"/>
          <w:sz w:val="20"/>
        </w:rPr>
        <w:t xml:space="preserve"> </w:t>
      </w:r>
      <w:r>
        <w:rPr>
          <w:w w:val="95"/>
          <w:sz w:val="20"/>
        </w:rPr>
        <w:t>key</w:t>
      </w:r>
      <w:r>
        <w:rPr>
          <w:spacing w:val="-1"/>
          <w:w w:val="95"/>
          <w:sz w:val="20"/>
        </w:rPr>
        <w:t xml:space="preserve"> </w:t>
      </w:r>
      <w:r>
        <w:rPr>
          <w:w w:val="95"/>
          <w:sz w:val="20"/>
        </w:rPr>
        <w:t>cultural</w:t>
      </w:r>
      <w:r>
        <w:rPr>
          <w:spacing w:val="-1"/>
          <w:w w:val="95"/>
          <w:sz w:val="20"/>
        </w:rPr>
        <w:t xml:space="preserve"> </w:t>
      </w:r>
      <w:r>
        <w:rPr>
          <w:w w:val="95"/>
          <w:sz w:val="20"/>
        </w:rPr>
        <w:t>and</w:t>
      </w:r>
      <w:r>
        <w:rPr>
          <w:spacing w:val="-1"/>
          <w:w w:val="95"/>
          <w:sz w:val="20"/>
        </w:rPr>
        <w:t xml:space="preserve"> </w:t>
      </w:r>
      <w:r>
        <w:rPr>
          <w:w w:val="95"/>
          <w:sz w:val="20"/>
        </w:rPr>
        <w:t>arts</w:t>
      </w:r>
      <w:r>
        <w:rPr>
          <w:spacing w:val="-1"/>
          <w:w w:val="95"/>
          <w:sz w:val="20"/>
        </w:rPr>
        <w:t xml:space="preserve"> </w:t>
      </w:r>
      <w:r>
        <w:rPr>
          <w:w w:val="95"/>
          <w:sz w:val="20"/>
        </w:rPr>
        <w:t>sectors</w:t>
      </w:r>
      <w:r>
        <w:rPr>
          <w:spacing w:val="-1"/>
          <w:w w:val="95"/>
          <w:sz w:val="20"/>
        </w:rPr>
        <w:t xml:space="preserve"> </w:t>
      </w:r>
      <w:r>
        <w:rPr>
          <w:w w:val="95"/>
          <w:sz w:val="20"/>
        </w:rPr>
        <w:t>contribute</w:t>
      </w:r>
      <w:r>
        <w:rPr>
          <w:spacing w:val="-1"/>
          <w:w w:val="95"/>
          <w:sz w:val="20"/>
        </w:rPr>
        <w:t xml:space="preserve"> </w:t>
      </w:r>
      <w:r>
        <w:rPr>
          <w:w w:val="95"/>
          <w:sz w:val="20"/>
        </w:rPr>
        <w:t>over</w:t>
      </w:r>
      <w:r>
        <w:rPr>
          <w:spacing w:val="-1"/>
          <w:w w:val="95"/>
          <w:sz w:val="20"/>
        </w:rPr>
        <w:t xml:space="preserve"> </w:t>
      </w:r>
      <w:r>
        <w:rPr>
          <w:w w:val="95"/>
          <w:sz w:val="20"/>
        </w:rPr>
        <w:t>$4.5 billion</w:t>
      </w:r>
      <w:r>
        <w:rPr>
          <w:spacing w:val="-12"/>
          <w:w w:val="95"/>
          <w:sz w:val="20"/>
        </w:rPr>
        <w:t xml:space="preserve"> </w:t>
      </w:r>
      <w:r>
        <w:rPr>
          <w:w w:val="95"/>
          <w:sz w:val="20"/>
        </w:rPr>
        <w:t>annually</w:t>
      </w:r>
      <w:r>
        <w:rPr>
          <w:spacing w:val="-11"/>
          <w:w w:val="95"/>
          <w:sz w:val="20"/>
        </w:rPr>
        <w:t xml:space="preserve"> </w:t>
      </w:r>
      <w:r>
        <w:rPr>
          <w:w w:val="95"/>
          <w:sz w:val="20"/>
        </w:rPr>
        <w:t>(or</w:t>
      </w:r>
      <w:r>
        <w:rPr>
          <w:spacing w:val="-11"/>
          <w:w w:val="95"/>
          <w:sz w:val="20"/>
        </w:rPr>
        <w:t xml:space="preserve"> </w:t>
      </w:r>
      <w:r>
        <w:rPr>
          <w:w w:val="95"/>
          <w:sz w:val="20"/>
        </w:rPr>
        <w:t>four</w:t>
      </w:r>
      <w:r>
        <w:rPr>
          <w:spacing w:val="-11"/>
          <w:w w:val="95"/>
          <w:sz w:val="20"/>
        </w:rPr>
        <w:t xml:space="preserve"> </w:t>
      </w:r>
      <w:r>
        <w:rPr>
          <w:w w:val="95"/>
          <w:sz w:val="20"/>
        </w:rPr>
        <w:t>percent)</w:t>
      </w:r>
      <w:r>
        <w:rPr>
          <w:spacing w:val="-11"/>
          <w:w w:val="95"/>
          <w:sz w:val="20"/>
        </w:rPr>
        <w:t xml:space="preserve"> </w:t>
      </w:r>
      <w:r>
        <w:rPr>
          <w:w w:val="95"/>
          <w:sz w:val="20"/>
        </w:rPr>
        <w:t>to</w:t>
      </w:r>
      <w:r>
        <w:rPr>
          <w:spacing w:val="-11"/>
          <w:w w:val="95"/>
          <w:sz w:val="20"/>
        </w:rPr>
        <w:t xml:space="preserve"> </w:t>
      </w:r>
      <w:r>
        <w:rPr>
          <w:w w:val="95"/>
          <w:sz w:val="20"/>
        </w:rPr>
        <w:t>the</w:t>
      </w:r>
      <w:r>
        <w:rPr>
          <w:spacing w:val="-11"/>
          <w:w w:val="95"/>
          <w:sz w:val="20"/>
        </w:rPr>
        <w:t xml:space="preserve"> </w:t>
      </w:r>
      <w:r>
        <w:rPr>
          <w:w w:val="95"/>
          <w:sz w:val="20"/>
        </w:rPr>
        <w:t>NSW</w:t>
      </w:r>
      <w:r>
        <w:rPr>
          <w:spacing w:val="-11"/>
          <w:w w:val="95"/>
          <w:sz w:val="20"/>
        </w:rPr>
        <w:t xml:space="preserve"> </w:t>
      </w:r>
      <w:r>
        <w:rPr>
          <w:w w:val="95"/>
          <w:sz w:val="20"/>
        </w:rPr>
        <w:t>economy.</w:t>
      </w:r>
    </w:p>
    <w:p w:rsidR="002C1123" w:rsidRDefault="00F22F94">
      <w:pPr>
        <w:pStyle w:val="ListParagraph"/>
        <w:numPr>
          <w:ilvl w:val="3"/>
          <w:numId w:val="31"/>
        </w:numPr>
        <w:tabs>
          <w:tab w:val="left" w:pos="543"/>
        </w:tabs>
        <w:spacing w:before="114" w:line="249" w:lineRule="auto"/>
        <w:ind w:right="810"/>
        <w:rPr>
          <w:sz w:val="20"/>
        </w:rPr>
      </w:pPr>
      <w:r>
        <w:rPr>
          <w:sz w:val="20"/>
        </w:rPr>
        <w:t>Infrastructure</w:t>
      </w:r>
      <w:r>
        <w:rPr>
          <w:spacing w:val="-12"/>
          <w:sz w:val="20"/>
        </w:rPr>
        <w:t xml:space="preserve"> </w:t>
      </w:r>
      <w:r>
        <w:rPr>
          <w:sz w:val="20"/>
        </w:rPr>
        <w:t>in</w:t>
      </w:r>
      <w:r>
        <w:rPr>
          <w:spacing w:val="-12"/>
          <w:sz w:val="20"/>
        </w:rPr>
        <w:t xml:space="preserve"> </w:t>
      </w:r>
      <w:r>
        <w:rPr>
          <w:sz w:val="20"/>
        </w:rPr>
        <w:t>Regional</w:t>
      </w:r>
      <w:r>
        <w:rPr>
          <w:spacing w:val="-12"/>
          <w:sz w:val="20"/>
        </w:rPr>
        <w:t xml:space="preserve"> </w:t>
      </w:r>
      <w:r>
        <w:rPr>
          <w:sz w:val="20"/>
        </w:rPr>
        <w:t>NSW</w:t>
      </w:r>
      <w:r>
        <w:rPr>
          <w:spacing w:val="-12"/>
          <w:sz w:val="20"/>
        </w:rPr>
        <w:t xml:space="preserve"> </w:t>
      </w:r>
      <w:r>
        <w:rPr>
          <w:sz w:val="20"/>
        </w:rPr>
        <w:t>to</w:t>
      </w:r>
      <w:r>
        <w:rPr>
          <w:spacing w:val="-12"/>
          <w:sz w:val="20"/>
        </w:rPr>
        <w:t xml:space="preserve"> </w:t>
      </w:r>
      <w:r>
        <w:rPr>
          <w:sz w:val="20"/>
        </w:rPr>
        <w:t>support</w:t>
      </w:r>
      <w:r>
        <w:rPr>
          <w:spacing w:val="-12"/>
          <w:sz w:val="20"/>
        </w:rPr>
        <w:t xml:space="preserve"> </w:t>
      </w:r>
      <w:r>
        <w:rPr>
          <w:sz w:val="20"/>
        </w:rPr>
        <w:t xml:space="preserve">cultural </w:t>
      </w:r>
      <w:r>
        <w:rPr>
          <w:w w:val="95"/>
          <w:sz w:val="20"/>
        </w:rPr>
        <w:t>facilities</w:t>
      </w:r>
      <w:r>
        <w:rPr>
          <w:spacing w:val="-2"/>
          <w:w w:val="95"/>
          <w:sz w:val="20"/>
        </w:rPr>
        <w:t xml:space="preserve"> </w:t>
      </w:r>
      <w:r>
        <w:rPr>
          <w:w w:val="95"/>
          <w:sz w:val="20"/>
        </w:rPr>
        <w:t>is</w:t>
      </w:r>
      <w:r>
        <w:rPr>
          <w:spacing w:val="-2"/>
          <w:w w:val="95"/>
          <w:sz w:val="20"/>
        </w:rPr>
        <w:t xml:space="preserve"> </w:t>
      </w:r>
      <w:r>
        <w:rPr>
          <w:w w:val="95"/>
          <w:sz w:val="20"/>
        </w:rPr>
        <w:t>provided</w:t>
      </w:r>
      <w:r>
        <w:rPr>
          <w:spacing w:val="-2"/>
          <w:w w:val="95"/>
          <w:sz w:val="20"/>
        </w:rPr>
        <w:t xml:space="preserve"> </w:t>
      </w:r>
      <w:r>
        <w:rPr>
          <w:w w:val="95"/>
          <w:sz w:val="20"/>
        </w:rPr>
        <w:t>by</w:t>
      </w:r>
      <w:r>
        <w:rPr>
          <w:spacing w:val="-2"/>
          <w:w w:val="95"/>
          <w:sz w:val="20"/>
        </w:rPr>
        <w:t xml:space="preserve"> </w:t>
      </w:r>
      <w:r>
        <w:rPr>
          <w:w w:val="95"/>
          <w:sz w:val="20"/>
        </w:rPr>
        <w:t>local</w:t>
      </w:r>
      <w:r>
        <w:rPr>
          <w:spacing w:val="-2"/>
          <w:w w:val="95"/>
          <w:sz w:val="20"/>
        </w:rPr>
        <w:t xml:space="preserve"> </w:t>
      </w:r>
      <w:r>
        <w:rPr>
          <w:w w:val="95"/>
          <w:sz w:val="20"/>
        </w:rPr>
        <w:t>Government,</w:t>
      </w:r>
      <w:r>
        <w:rPr>
          <w:spacing w:val="-2"/>
          <w:w w:val="95"/>
          <w:sz w:val="20"/>
        </w:rPr>
        <w:t xml:space="preserve"> </w:t>
      </w:r>
      <w:r>
        <w:rPr>
          <w:w w:val="95"/>
          <w:sz w:val="20"/>
        </w:rPr>
        <w:t xml:space="preserve">supported </w:t>
      </w:r>
      <w:r>
        <w:rPr>
          <w:sz w:val="20"/>
        </w:rPr>
        <w:t>by</w:t>
      </w:r>
      <w:r>
        <w:rPr>
          <w:spacing w:val="-14"/>
          <w:sz w:val="20"/>
        </w:rPr>
        <w:t xml:space="preserve"> </w:t>
      </w:r>
      <w:r>
        <w:rPr>
          <w:sz w:val="20"/>
        </w:rPr>
        <w:t>grants</w:t>
      </w:r>
      <w:r>
        <w:rPr>
          <w:spacing w:val="-14"/>
          <w:sz w:val="20"/>
        </w:rPr>
        <w:t xml:space="preserve"> </w:t>
      </w:r>
      <w:r>
        <w:rPr>
          <w:sz w:val="20"/>
        </w:rPr>
        <w:t>from</w:t>
      </w:r>
      <w:r>
        <w:rPr>
          <w:spacing w:val="-14"/>
          <w:sz w:val="20"/>
        </w:rPr>
        <w:t xml:space="preserve"> </w:t>
      </w:r>
      <w:r>
        <w:rPr>
          <w:sz w:val="20"/>
        </w:rPr>
        <w:t>the</w:t>
      </w:r>
      <w:r>
        <w:rPr>
          <w:spacing w:val="-14"/>
          <w:sz w:val="20"/>
        </w:rPr>
        <w:t xml:space="preserve"> </w:t>
      </w:r>
      <w:r>
        <w:rPr>
          <w:sz w:val="20"/>
        </w:rPr>
        <w:t>NSW</w:t>
      </w:r>
      <w:r>
        <w:rPr>
          <w:spacing w:val="-14"/>
          <w:sz w:val="20"/>
        </w:rPr>
        <w:t xml:space="preserve"> </w:t>
      </w:r>
      <w:r>
        <w:rPr>
          <w:sz w:val="20"/>
        </w:rPr>
        <w:t>Government.</w:t>
      </w:r>
      <w:r>
        <w:rPr>
          <w:spacing w:val="-14"/>
          <w:sz w:val="20"/>
        </w:rPr>
        <w:t xml:space="preserve"> </w:t>
      </w:r>
      <w:r>
        <w:rPr>
          <w:sz w:val="20"/>
        </w:rPr>
        <w:t>The</w:t>
      </w:r>
      <w:r>
        <w:rPr>
          <w:spacing w:val="-14"/>
          <w:sz w:val="20"/>
        </w:rPr>
        <w:t xml:space="preserve"> </w:t>
      </w:r>
      <w:r>
        <w:rPr>
          <w:sz w:val="20"/>
        </w:rPr>
        <w:t>majority of</w:t>
      </w:r>
      <w:r>
        <w:rPr>
          <w:spacing w:val="-9"/>
          <w:sz w:val="20"/>
        </w:rPr>
        <w:t xml:space="preserve"> </w:t>
      </w:r>
      <w:r>
        <w:rPr>
          <w:sz w:val="20"/>
        </w:rPr>
        <w:t>the</w:t>
      </w:r>
      <w:r>
        <w:rPr>
          <w:spacing w:val="-9"/>
          <w:sz w:val="20"/>
        </w:rPr>
        <w:t xml:space="preserve"> </w:t>
      </w:r>
      <w:r>
        <w:rPr>
          <w:sz w:val="20"/>
        </w:rPr>
        <w:t>State</w:t>
      </w:r>
      <w:r>
        <w:rPr>
          <w:spacing w:val="-9"/>
          <w:sz w:val="20"/>
        </w:rPr>
        <w:t xml:space="preserve"> </w:t>
      </w:r>
      <w:r>
        <w:rPr>
          <w:sz w:val="20"/>
        </w:rPr>
        <w:t>Government’s</w:t>
      </w:r>
      <w:r>
        <w:rPr>
          <w:spacing w:val="-9"/>
          <w:sz w:val="20"/>
        </w:rPr>
        <w:t xml:space="preserve"> </w:t>
      </w:r>
      <w:r>
        <w:rPr>
          <w:sz w:val="20"/>
        </w:rPr>
        <w:t>expenditure</w:t>
      </w:r>
      <w:r>
        <w:rPr>
          <w:spacing w:val="-9"/>
          <w:sz w:val="20"/>
        </w:rPr>
        <w:t xml:space="preserve"> </w:t>
      </w:r>
      <w:r>
        <w:rPr>
          <w:sz w:val="20"/>
        </w:rPr>
        <w:t>on</w:t>
      </w:r>
      <w:r>
        <w:rPr>
          <w:spacing w:val="-9"/>
          <w:sz w:val="20"/>
        </w:rPr>
        <w:t xml:space="preserve"> </w:t>
      </w:r>
      <w:r>
        <w:rPr>
          <w:sz w:val="20"/>
        </w:rPr>
        <w:t>arts</w:t>
      </w:r>
    </w:p>
    <w:p w:rsidR="002C1123" w:rsidRDefault="00F22F94">
      <w:pPr>
        <w:pStyle w:val="BodyText"/>
        <w:spacing w:before="3" w:line="249" w:lineRule="auto"/>
        <w:ind w:left="542" w:right="1002"/>
      </w:pPr>
      <w:r>
        <w:rPr>
          <w:w w:val="95"/>
        </w:rPr>
        <w:t>and</w:t>
      </w:r>
      <w:r>
        <w:rPr>
          <w:spacing w:val="-4"/>
          <w:w w:val="95"/>
        </w:rPr>
        <w:t xml:space="preserve"> </w:t>
      </w:r>
      <w:r>
        <w:rPr>
          <w:w w:val="95"/>
        </w:rPr>
        <w:t>recreation</w:t>
      </w:r>
      <w:r>
        <w:rPr>
          <w:spacing w:val="-4"/>
          <w:w w:val="95"/>
        </w:rPr>
        <w:t xml:space="preserve"> </w:t>
      </w:r>
      <w:r>
        <w:rPr>
          <w:w w:val="95"/>
        </w:rPr>
        <w:t>is</w:t>
      </w:r>
      <w:r>
        <w:rPr>
          <w:spacing w:val="-4"/>
          <w:w w:val="95"/>
        </w:rPr>
        <w:t xml:space="preserve"> </w:t>
      </w:r>
      <w:r>
        <w:rPr>
          <w:w w:val="95"/>
        </w:rPr>
        <w:t>provided</w:t>
      </w:r>
      <w:r>
        <w:rPr>
          <w:spacing w:val="-4"/>
          <w:w w:val="95"/>
        </w:rPr>
        <w:t xml:space="preserve"> </w:t>
      </w:r>
      <w:r>
        <w:rPr>
          <w:w w:val="95"/>
        </w:rPr>
        <w:t>to</w:t>
      </w:r>
      <w:r>
        <w:rPr>
          <w:spacing w:val="-4"/>
          <w:w w:val="95"/>
        </w:rPr>
        <w:t xml:space="preserve"> </w:t>
      </w:r>
      <w:r>
        <w:rPr>
          <w:w w:val="95"/>
        </w:rPr>
        <w:t>local</w:t>
      </w:r>
      <w:r>
        <w:rPr>
          <w:spacing w:val="-4"/>
          <w:w w:val="95"/>
        </w:rPr>
        <w:t xml:space="preserve"> </w:t>
      </w:r>
      <w:r>
        <w:rPr>
          <w:w w:val="95"/>
        </w:rPr>
        <w:t xml:space="preserve">Government </w:t>
      </w:r>
      <w:r>
        <w:t>and arts organisations.</w:t>
      </w:r>
    </w:p>
    <w:p w:rsidR="002C1123" w:rsidRDefault="002C1123">
      <w:pPr>
        <w:pStyle w:val="BodyText"/>
      </w:pPr>
    </w:p>
    <w:p w:rsidR="002C1123" w:rsidRDefault="002060EF">
      <w:pPr>
        <w:pStyle w:val="BodyText"/>
        <w:spacing w:before="1"/>
        <w:rPr>
          <w:sz w:val="12"/>
        </w:rPr>
      </w:pPr>
      <w:r>
        <w:pict>
          <v:shape id="docshape2660" o:spid="_x0000_s1374" style="position:absolute;margin-left:552.3pt;margin-top:8.2pt;width:1in;height:.1pt;z-index:-251325440;mso-wrap-distance-left:0;mso-wrap-distance-right:0;mso-position-horizontal-relative:page" coordorigin="11046,164" coordsize="1440,0" path="m11046,164r1440,e" filled="f" strokecolor="#9c9c9d" strokeweight=".5pt">
            <v:path arrowok="t"/>
            <w10:wrap type="topAndBottom" anchorx="page"/>
          </v:shape>
        </w:pict>
      </w:r>
    </w:p>
    <w:p w:rsidR="002C1123" w:rsidRDefault="00F22F94">
      <w:pPr>
        <w:spacing w:before="23"/>
        <w:ind w:left="457" w:right="1002" w:hanging="199"/>
        <w:rPr>
          <w:sz w:val="14"/>
        </w:rPr>
      </w:pPr>
      <w:r>
        <w:rPr>
          <w:w w:val="95"/>
          <w:sz w:val="14"/>
        </w:rPr>
        <w:t>1</w:t>
      </w:r>
      <w:r>
        <w:rPr>
          <w:spacing w:val="80"/>
          <w:sz w:val="14"/>
        </w:rPr>
        <w:t xml:space="preserve"> </w:t>
      </w:r>
      <w:r>
        <w:rPr>
          <w:w w:val="95"/>
          <w:sz w:val="14"/>
        </w:rPr>
        <w:t>Asset values and expenditure exclude Museum of Contemporary Art’s</w:t>
      </w:r>
      <w:r>
        <w:rPr>
          <w:spacing w:val="40"/>
          <w:sz w:val="14"/>
        </w:rPr>
        <w:t xml:space="preserve"> </w:t>
      </w:r>
      <w:r>
        <w:rPr>
          <w:sz w:val="14"/>
        </w:rPr>
        <w:t>expansion</w:t>
      </w:r>
      <w:r>
        <w:rPr>
          <w:spacing w:val="-3"/>
          <w:sz w:val="14"/>
        </w:rPr>
        <w:t xml:space="preserve"> </w:t>
      </w:r>
      <w:r>
        <w:rPr>
          <w:sz w:val="14"/>
        </w:rPr>
        <w:t>as</w:t>
      </w:r>
      <w:r>
        <w:rPr>
          <w:spacing w:val="-3"/>
          <w:sz w:val="14"/>
        </w:rPr>
        <w:t xml:space="preserve"> </w:t>
      </w:r>
      <w:r>
        <w:rPr>
          <w:sz w:val="14"/>
        </w:rPr>
        <w:t>it</w:t>
      </w:r>
      <w:r>
        <w:rPr>
          <w:spacing w:val="-3"/>
          <w:sz w:val="14"/>
        </w:rPr>
        <w:t xml:space="preserve"> </w:t>
      </w:r>
      <w:r>
        <w:rPr>
          <w:sz w:val="14"/>
        </w:rPr>
        <w:t>is</w:t>
      </w:r>
      <w:r>
        <w:rPr>
          <w:spacing w:val="-3"/>
          <w:sz w:val="14"/>
        </w:rPr>
        <w:t xml:space="preserve"> </w:t>
      </w:r>
      <w:r>
        <w:rPr>
          <w:sz w:val="14"/>
        </w:rPr>
        <w:t>not</w:t>
      </w:r>
      <w:r>
        <w:rPr>
          <w:spacing w:val="-3"/>
          <w:sz w:val="14"/>
        </w:rPr>
        <w:t xml:space="preserve"> </w:t>
      </w:r>
      <w:r>
        <w:rPr>
          <w:sz w:val="14"/>
        </w:rPr>
        <w:t>a</w:t>
      </w:r>
      <w:r>
        <w:rPr>
          <w:spacing w:val="-3"/>
          <w:sz w:val="14"/>
        </w:rPr>
        <w:t xml:space="preserve"> </w:t>
      </w:r>
      <w:r>
        <w:rPr>
          <w:sz w:val="14"/>
        </w:rPr>
        <w:t>NSW</w:t>
      </w:r>
      <w:r>
        <w:rPr>
          <w:spacing w:val="-3"/>
          <w:sz w:val="14"/>
        </w:rPr>
        <w:t xml:space="preserve"> </w:t>
      </w:r>
      <w:r>
        <w:rPr>
          <w:sz w:val="14"/>
        </w:rPr>
        <w:t>Government</w:t>
      </w:r>
      <w:r>
        <w:rPr>
          <w:spacing w:val="-3"/>
          <w:sz w:val="14"/>
        </w:rPr>
        <w:t xml:space="preserve"> </w:t>
      </w:r>
      <w:r>
        <w:rPr>
          <w:sz w:val="14"/>
        </w:rPr>
        <w:t>owned</w:t>
      </w:r>
      <w:r>
        <w:rPr>
          <w:spacing w:val="-3"/>
          <w:sz w:val="14"/>
        </w:rPr>
        <w:t xml:space="preserve"> </w:t>
      </w:r>
      <w:r>
        <w:rPr>
          <w:sz w:val="14"/>
        </w:rPr>
        <w:t>institution.</w:t>
      </w:r>
    </w:p>
    <w:p w:rsidR="002C1123" w:rsidRDefault="002C1123">
      <w:pPr>
        <w:rPr>
          <w:sz w:val="14"/>
        </w:rPr>
        <w:sectPr w:rsidR="002C1123">
          <w:type w:val="continuous"/>
          <w:pgSz w:w="16840" w:h="11910" w:orient="landscape"/>
          <w:pgMar w:top="560" w:right="280" w:bottom="280" w:left="500" w:header="0" w:footer="517" w:gutter="0"/>
          <w:cols w:num="3" w:space="720" w:equalWidth="0">
            <w:col w:w="5245" w:space="40"/>
            <w:col w:w="4962" w:space="39"/>
            <w:col w:w="5774"/>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3"/>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ListParagraph"/>
        <w:numPr>
          <w:ilvl w:val="0"/>
          <w:numId w:val="30"/>
        </w:numPr>
        <w:tabs>
          <w:tab w:val="left" w:pos="776"/>
        </w:tabs>
        <w:spacing w:before="95" w:line="249" w:lineRule="auto"/>
        <w:ind w:right="416"/>
        <w:jc w:val="both"/>
        <w:rPr>
          <w:sz w:val="20"/>
        </w:rPr>
      </w:pPr>
      <w:bookmarkStart w:id="370" w:name="_bookmark262"/>
      <w:bookmarkEnd w:id="370"/>
      <w:r>
        <w:rPr>
          <w:w w:val="95"/>
          <w:sz w:val="20"/>
        </w:rPr>
        <w:t>Infrastructure investment in these portfolios has, however,</w:t>
      </w:r>
      <w:r>
        <w:rPr>
          <w:spacing w:val="-6"/>
          <w:w w:val="95"/>
          <w:sz w:val="20"/>
        </w:rPr>
        <w:t xml:space="preserve"> </w:t>
      </w:r>
      <w:r>
        <w:rPr>
          <w:w w:val="95"/>
          <w:sz w:val="20"/>
        </w:rPr>
        <w:t>historically</w:t>
      </w:r>
      <w:r>
        <w:rPr>
          <w:spacing w:val="-6"/>
          <w:w w:val="95"/>
          <w:sz w:val="20"/>
        </w:rPr>
        <w:t xml:space="preserve"> </w:t>
      </w:r>
      <w:r>
        <w:rPr>
          <w:w w:val="95"/>
          <w:sz w:val="20"/>
        </w:rPr>
        <w:t>been</w:t>
      </w:r>
      <w:r>
        <w:rPr>
          <w:spacing w:val="-6"/>
          <w:w w:val="95"/>
          <w:sz w:val="20"/>
        </w:rPr>
        <w:t xml:space="preserve"> </w:t>
      </w:r>
      <w:r>
        <w:rPr>
          <w:w w:val="95"/>
          <w:sz w:val="20"/>
        </w:rPr>
        <w:t>ad</w:t>
      </w:r>
      <w:r>
        <w:rPr>
          <w:spacing w:val="-6"/>
          <w:w w:val="95"/>
          <w:sz w:val="20"/>
        </w:rPr>
        <w:t xml:space="preserve"> </w:t>
      </w:r>
      <w:r>
        <w:rPr>
          <w:w w:val="95"/>
          <w:sz w:val="20"/>
        </w:rPr>
        <w:t>hoc</w:t>
      </w:r>
      <w:r>
        <w:rPr>
          <w:spacing w:val="-6"/>
          <w:w w:val="95"/>
          <w:sz w:val="20"/>
        </w:rPr>
        <w:t xml:space="preserve"> </w:t>
      </w:r>
      <w:r>
        <w:rPr>
          <w:w w:val="95"/>
          <w:sz w:val="20"/>
        </w:rPr>
        <w:t>and</w:t>
      </w:r>
      <w:r>
        <w:rPr>
          <w:spacing w:val="-6"/>
          <w:w w:val="95"/>
          <w:sz w:val="20"/>
        </w:rPr>
        <w:t xml:space="preserve"> </w:t>
      </w:r>
      <w:r>
        <w:rPr>
          <w:w w:val="95"/>
          <w:sz w:val="20"/>
        </w:rPr>
        <w:t>without</w:t>
      </w:r>
      <w:r>
        <w:rPr>
          <w:spacing w:val="-6"/>
          <w:w w:val="95"/>
          <w:sz w:val="20"/>
        </w:rPr>
        <w:t xml:space="preserve"> </w:t>
      </w:r>
      <w:r>
        <w:rPr>
          <w:w w:val="95"/>
          <w:sz w:val="20"/>
        </w:rPr>
        <w:t xml:space="preserve">an </w:t>
      </w:r>
      <w:r>
        <w:rPr>
          <w:sz w:val="20"/>
        </w:rPr>
        <w:t>overarching</w:t>
      </w:r>
      <w:r>
        <w:rPr>
          <w:spacing w:val="-11"/>
          <w:sz w:val="20"/>
        </w:rPr>
        <w:t xml:space="preserve"> </w:t>
      </w:r>
      <w:r>
        <w:rPr>
          <w:sz w:val="20"/>
        </w:rPr>
        <w:t>strategy.</w:t>
      </w:r>
    </w:p>
    <w:p w:rsidR="002C1123" w:rsidRDefault="00F22F94">
      <w:pPr>
        <w:pStyle w:val="ListParagraph"/>
        <w:numPr>
          <w:ilvl w:val="0"/>
          <w:numId w:val="30"/>
        </w:numPr>
        <w:tabs>
          <w:tab w:val="left" w:pos="776"/>
        </w:tabs>
        <w:spacing w:before="132" w:line="249" w:lineRule="auto"/>
        <w:ind w:right="27"/>
        <w:rPr>
          <w:sz w:val="20"/>
        </w:rPr>
      </w:pPr>
      <w:r>
        <w:rPr>
          <w:w w:val="95"/>
          <w:sz w:val="20"/>
        </w:rPr>
        <w:t>The</w:t>
      </w:r>
      <w:r>
        <w:rPr>
          <w:spacing w:val="-12"/>
          <w:w w:val="95"/>
          <w:sz w:val="20"/>
        </w:rPr>
        <w:t xml:space="preserve"> </w:t>
      </w:r>
      <w:r>
        <w:rPr>
          <w:w w:val="95"/>
          <w:sz w:val="20"/>
        </w:rPr>
        <w:t>NSW</w:t>
      </w:r>
      <w:r>
        <w:rPr>
          <w:spacing w:val="-11"/>
          <w:w w:val="95"/>
          <w:sz w:val="20"/>
        </w:rPr>
        <w:t xml:space="preserve"> </w:t>
      </w:r>
      <w:r>
        <w:rPr>
          <w:w w:val="95"/>
          <w:sz w:val="20"/>
        </w:rPr>
        <w:t>Government</w:t>
      </w:r>
      <w:r>
        <w:rPr>
          <w:spacing w:val="-11"/>
          <w:w w:val="95"/>
          <w:sz w:val="20"/>
        </w:rPr>
        <w:t xml:space="preserve"> </w:t>
      </w:r>
      <w:r>
        <w:rPr>
          <w:w w:val="95"/>
          <w:sz w:val="20"/>
        </w:rPr>
        <w:t>is</w:t>
      </w:r>
      <w:r>
        <w:rPr>
          <w:spacing w:val="-11"/>
          <w:w w:val="95"/>
          <w:sz w:val="20"/>
        </w:rPr>
        <w:t xml:space="preserve"> </w:t>
      </w:r>
      <w:r>
        <w:rPr>
          <w:w w:val="95"/>
          <w:sz w:val="20"/>
        </w:rPr>
        <w:t>preparing</w:t>
      </w:r>
      <w:r>
        <w:rPr>
          <w:spacing w:val="-11"/>
          <w:w w:val="95"/>
          <w:sz w:val="20"/>
        </w:rPr>
        <w:t xml:space="preserve"> </w:t>
      </w:r>
      <w:r>
        <w:rPr>
          <w:w w:val="95"/>
          <w:sz w:val="20"/>
        </w:rPr>
        <w:t>a</w:t>
      </w:r>
      <w:r>
        <w:rPr>
          <w:spacing w:val="-11"/>
          <w:w w:val="95"/>
          <w:sz w:val="20"/>
        </w:rPr>
        <w:t xml:space="preserve"> </w:t>
      </w:r>
      <w:r>
        <w:rPr>
          <w:w w:val="95"/>
          <w:sz w:val="20"/>
        </w:rPr>
        <w:t>Cultural</w:t>
      </w:r>
      <w:r>
        <w:rPr>
          <w:spacing w:val="-11"/>
          <w:w w:val="95"/>
          <w:sz w:val="20"/>
        </w:rPr>
        <w:t xml:space="preserve"> </w:t>
      </w:r>
      <w:r>
        <w:rPr>
          <w:w w:val="95"/>
          <w:sz w:val="20"/>
        </w:rPr>
        <w:t xml:space="preserve">Venues </w:t>
      </w:r>
      <w:r>
        <w:rPr>
          <w:sz w:val="20"/>
        </w:rPr>
        <w:t>Plan</w:t>
      </w:r>
      <w:r>
        <w:rPr>
          <w:spacing w:val="-12"/>
          <w:sz w:val="20"/>
        </w:rPr>
        <w:t xml:space="preserve"> </w:t>
      </w:r>
      <w:r>
        <w:rPr>
          <w:sz w:val="20"/>
        </w:rPr>
        <w:t>and</w:t>
      </w:r>
      <w:r>
        <w:rPr>
          <w:spacing w:val="-12"/>
          <w:sz w:val="20"/>
        </w:rPr>
        <w:t xml:space="preserve"> </w:t>
      </w:r>
      <w:r>
        <w:rPr>
          <w:sz w:val="20"/>
        </w:rPr>
        <w:t>has</w:t>
      </w:r>
      <w:r>
        <w:rPr>
          <w:spacing w:val="-12"/>
          <w:sz w:val="20"/>
        </w:rPr>
        <w:t xml:space="preserve"> </w:t>
      </w:r>
      <w:r>
        <w:rPr>
          <w:sz w:val="20"/>
        </w:rPr>
        <w:t>initiated</w:t>
      </w:r>
      <w:r>
        <w:rPr>
          <w:spacing w:val="-12"/>
          <w:sz w:val="20"/>
        </w:rPr>
        <w:t xml:space="preserve"> </w:t>
      </w:r>
      <w:r>
        <w:rPr>
          <w:sz w:val="20"/>
        </w:rPr>
        <w:t>reform</w:t>
      </w:r>
      <w:r>
        <w:rPr>
          <w:spacing w:val="-13"/>
          <w:sz w:val="20"/>
        </w:rPr>
        <w:t xml:space="preserve"> </w:t>
      </w:r>
      <w:r>
        <w:rPr>
          <w:sz w:val="20"/>
        </w:rPr>
        <w:t>to</w:t>
      </w:r>
      <w:r>
        <w:rPr>
          <w:spacing w:val="-12"/>
          <w:sz w:val="20"/>
        </w:rPr>
        <w:t xml:space="preserve"> </w:t>
      </w:r>
      <w:r>
        <w:rPr>
          <w:sz w:val="20"/>
        </w:rPr>
        <w:t>the</w:t>
      </w:r>
      <w:r>
        <w:rPr>
          <w:spacing w:val="-12"/>
          <w:sz w:val="20"/>
        </w:rPr>
        <w:t xml:space="preserve"> </w:t>
      </w:r>
      <w:r>
        <w:rPr>
          <w:sz w:val="20"/>
        </w:rPr>
        <w:t>management</w:t>
      </w:r>
    </w:p>
    <w:p w:rsidR="002C1123" w:rsidRDefault="00F22F94">
      <w:pPr>
        <w:pStyle w:val="BodyText"/>
        <w:spacing w:before="1" w:line="249" w:lineRule="auto"/>
        <w:ind w:left="775" w:right="189"/>
      </w:pPr>
      <w:r>
        <w:t>of</w:t>
      </w:r>
      <w:r>
        <w:rPr>
          <w:spacing w:val="-14"/>
        </w:rPr>
        <w:t xml:space="preserve"> </w:t>
      </w:r>
      <w:r>
        <w:t>recreational</w:t>
      </w:r>
      <w:r>
        <w:rPr>
          <w:spacing w:val="-14"/>
        </w:rPr>
        <w:t xml:space="preserve"> </w:t>
      </w:r>
      <w:r>
        <w:t>venues</w:t>
      </w:r>
      <w:r>
        <w:rPr>
          <w:spacing w:val="-14"/>
        </w:rPr>
        <w:t xml:space="preserve"> </w:t>
      </w:r>
      <w:r>
        <w:t>via</w:t>
      </w:r>
      <w:r>
        <w:rPr>
          <w:spacing w:val="-14"/>
        </w:rPr>
        <w:t xml:space="preserve"> </w:t>
      </w:r>
      <w:r>
        <w:t>development</w:t>
      </w:r>
      <w:r>
        <w:rPr>
          <w:spacing w:val="-14"/>
        </w:rPr>
        <w:t xml:space="preserve"> </w:t>
      </w:r>
      <w:r>
        <w:t>of</w:t>
      </w:r>
      <w:r>
        <w:rPr>
          <w:spacing w:val="-14"/>
        </w:rPr>
        <w:t xml:space="preserve"> </w:t>
      </w:r>
      <w:r>
        <w:t xml:space="preserve">the </w:t>
      </w:r>
      <w:r>
        <w:rPr>
          <w:w w:val="95"/>
        </w:rPr>
        <w:t>NSW</w:t>
      </w:r>
      <w:r>
        <w:rPr>
          <w:spacing w:val="-4"/>
          <w:w w:val="95"/>
        </w:rPr>
        <w:t xml:space="preserve"> </w:t>
      </w:r>
      <w:r>
        <w:rPr>
          <w:w w:val="95"/>
        </w:rPr>
        <w:t>Stadium</w:t>
      </w:r>
      <w:r>
        <w:rPr>
          <w:spacing w:val="-5"/>
          <w:w w:val="95"/>
        </w:rPr>
        <w:t xml:space="preserve"> </w:t>
      </w:r>
      <w:r>
        <w:rPr>
          <w:w w:val="95"/>
        </w:rPr>
        <w:t>Strategy</w:t>
      </w:r>
      <w:r>
        <w:rPr>
          <w:spacing w:val="-4"/>
          <w:w w:val="95"/>
        </w:rPr>
        <w:t xml:space="preserve"> </w:t>
      </w:r>
      <w:r>
        <w:rPr>
          <w:w w:val="95"/>
        </w:rPr>
        <w:t>and</w:t>
      </w:r>
      <w:r>
        <w:rPr>
          <w:spacing w:val="-4"/>
          <w:w w:val="95"/>
        </w:rPr>
        <w:t xml:space="preserve"> </w:t>
      </w:r>
      <w:r>
        <w:rPr>
          <w:w w:val="95"/>
        </w:rPr>
        <w:t>the</w:t>
      </w:r>
      <w:r>
        <w:rPr>
          <w:spacing w:val="-5"/>
          <w:w w:val="95"/>
        </w:rPr>
        <w:t xml:space="preserve"> </w:t>
      </w:r>
      <w:r>
        <w:rPr>
          <w:w w:val="95"/>
        </w:rPr>
        <w:t>establishment</w:t>
      </w:r>
      <w:r>
        <w:rPr>
          <w:spacing w:val="-4"/>
          <w:w w:val="95"/>
        </w:rPr>
        <w:t xml:space="preserve"> </w:t>
      </w:r>
      <w:r>
        <w:rPr>
          <w:w w:val="95"/>
        </w:rPr>
        <w:t xml:space="preserve">of </w:t>
      </w:r>
      <w:r>
        <w:t>Venues</w:t>
      </w:r>
      <w:r>
        <w:rPr>
          <w:spacing w:val="-11"/>
        </w:rPr>
        <w:t xml:space="preserve"> </w:t>
      </w:r>
      <w:r>
        <w:t>NSW.</w:t>
      </w:r>
    </w:p>
    <w:p w:rsidR="002C1123" w:rsidRDefault="00F22F94">
      <w:pPr>
        <w:pStyle w:val="ListParagraph"/>
        <w:numPr>
          <w:ilvl w:val="0"/>
          <w:numId w:val="30"/>
        </w:numPr>
        <w:tabs>
          <w:tab w:val="left" w:pos="776"/>
        </w:tabs>
        <w:spacing w:before="132" w:line="249" w:lineRule="auto"/>
        <w:rPr>
          <w:sz w:val="20"/>
        </w:rPr>
      </w:pPr>
      <w:r>
        <w:rPr>
          <w:spacing w:val="-2"/>
          <w:sz w:val="20"/>
        </w:rPr>
        <w:t>The</w:t>
      </w:r>
      <w:r>
        <w:rPr>
          <w:spacing w:val="-10"/>
          <w:sz w:val="20"/>
        </w:rPr>
        <w:t xml:space="preserve"> </w:t>
      </w:r>
      <w:r>
        <w:rPr>
          <w:spacing w:val="-2"/>
          <w:sz w:val="20"/>
        </w:rPr>
        <w:t>NSW</w:t>
      </w:r>
      <w:r>
        <w:rPr>
          <w:spacing w:val="-10"/>
          <w:sz w:val="20"/>
        </w:rPr>
        <w:t xml:space="preserve"> </w:t>
      </w:r>
      <w:r>
        <w:rPr>
          <w:spacing w:val="-2"/>
          <w:sz w:val="20"/>
        </w:rPr>
        <w:t>Government’s</w:t>
      </w:r>
      <w:r>
        <w:rPr>
          <w:spacing w:val="-10"/>
          <w:sz w:val="20"/>
        </w:rPr>
        <w:t xml:space="preserve"> </w:t>
      </w:r>
      <w:r>
        <w:rPr>
          <w:spacing w:val="-2"/>
          <w:sz w:val="20"/>
        </w:rPr>
        <w:t>Visitor</w:t>
      </w:r>
      <w:r>
        <w:rPr>
          <w:spacing w:val="-10"/>
          <w:sz w:val="20"/>
        </w:rPr>
        <w:t xml:space="preserve"> </w:t>
      </w:r>
      <w:r>
        <w:rPr>
          <w:spacing w:val="-2"/>
          <w:sz w:val="20"/>
        </w:rPr>
        <w:t>Economy</w:t>
      </w:r>
      <w:r>
        <w:rPr>
          <w:spacing w:val="-10"/>
          <w:sz w:val="20"/>
        </w:rPr>
        <w:t xml:space="preserve"> </w:t>
      </w:r>
      <w:r>
        <w:rPr>
          <w:spacing w:val="-2"/>
          <w:sz w:val="20"/>
        </w:rPr>
        <w:t xml:space="preserve">Taskforce </w:t>
      </w:r>
      <w:r>
        <w:rPr>
          <w:sz w:val="20"/>
        </w:rPr>
        <w:t>has</w:t>
      </w:r>
      <w:r>
        <w:rPr>
          <w:spacing w:val="-10"/>
          <w:sz w:val="20"/>
        </w:rPr>
        <w:t xml:space="preserve"> </w:t>
      </w:r>
      <w:r>
        <w:rPr>
          <w:sz w:val="20"/>
        </w:rPr>
        <w:t>also</w:t>
      </w:r>
      <w:r>
        <w:rPr>
          <w:spacing w:val="-10"/>
          <w:sz w:val="20"/>
        </w:rPr>
        <w:t xml:space="preserve"> </w:t>
      </w:r>
      <w:r>
        <w:rPr>
          <w:sz w:val="20"/>
        </w:rPr>
        <w:t>recognised</w:t>
      </w:r>
      <w:r>
        <w:rPr>
          <w:spacing w:val="-10"/>
          <w:sz w:val="20"/>
        </w:rPr>
        <w:t xml:space="preserve"> </w:t>
      </w:r>
      <w:r>
        <w:rPr>
          <w:sz w:val="20"/>
        </w:rPr>
        <w:t>the</w:t>
      </w:r>
      <w:r>
        <w:rPr>
          <w:spacing w:val="-10"/>
          <w:sz w:val="20"/>
        </w:rPr>
        <w:t xml:space="preserve"> </w:t>
      </w:r>
      <w:r>
        <w:rPr>
          <w:sz w:val="20"/>
        </w:rPr>
        <w:t>critical</w:t>
      </w:r>
      <w:r>
        <w:rPr>
          <w:spacing w:val="-10"/>
          <w:sz w:val="20"/>
        </w:rPr>
        <w:t xml:space="preserve"> </w:t>
      </w:r>
      <w:r>
        <w:rPr>
          <w:sz w:val="20"/>
        </w:rPr>
        <w:t>role</w:t>
      </w:r>
      <w:r>
        <w:rPr>
          <w:spacing w:val="-10"/>
          <w:sz w:val="20"/>
        </w:rPr>
        <w:t xml:space="preserve"> </w:t>
      </w:r>
      <w:r>
        <w:rPr>
          <w:sz w:val="20"/>
        </w:rPr>
        <w:t>of</w:t>
      </w:r>
      <w:r>
        <w:rPr>
          <w:spacing w:val="-10"/>
          <w:sz w:val="20"/>
        </w:rPr>
        <w:t xml:space="preserve"> </w:t>
      </w:r>
      <w:r>
        <w:rPr>
          <w:sz w:val="20"/>
        </w:rPr>
        <w:t>arts</w:t>
      </w:r>
      <w:r>
        <w:rPr>
          <w:spacing w:val="-10"/>
          <w:sz w:val="20"/>
        </w:rPr>
        <w:t xml:space="preserve"> </w:t>
      </w:r>
      <w:r>
        <w:rPr>
          <w:sz w:val="20"/>
        </w:rPr>
        <w:t>and recreation</w:t>
      </w:r>
      <w:r>
        <w:rPr>
          <w:spacing w:val="-12"/>
          <w:sz w:val="20"/>
        </w:rPr>
        <w:t xml:space="preserve"> </w:t>
      </w:r>
      <w:r>
        <w:rPr>
          <w:sz w:val="20"/>
        </w:rPr>
        <w:t>in</w:t>
      </w:r>
      <w:r>
        <w:rPr>
          <w:spacing w:val="-12"/>
          <w:sz w:val="20"/>
        </w:rPr>
        <w:t xml:space="preserve"> </w:t>
      </w:r>
      <w:r>
        <w:rPr>
          <w:sz w:val="20"/>
        </w:rPr>
        <w:t>achieving</w:t>
      </w:r>
      <w:r>
        <w:rPr>
          <w:spacing w:val="-12"/>
          <w:sz w:val="20"/>
        </w:rPr>
        <w:t xml:space="preserve"> </w:t>
      </w:r>
      <w:r>
        <w:rPr>
          <w:sz w:val="20"/>
        </w:rPr>
        <w:t>economic</w:t>
      </w:r>
      <w:r>
        <w:rPr>
          <w:spacing w:val="-12"/>
          <w:sz w:val="20"/>
        </w:rPr>
        <w:t xml:space="preserve"> </w:t>
      </w:r>
      <w:r>
        <w:rPr>
          <w:sz w:val="20"/>
        </w:rPr>
        <w:t>benefits</w:t>
      </w:r>
      <w:r>
        <w:rPr>
          <w:spacing w:val="-12"/>
          <w:sz w:val="20"/>
        </w:rPr>
        <w:t xml:space="preserve"> </w:t>
      </w:r>
      <w:r>
        <w:rPr>
          <w:sz w:val="20"/>
        </w:rPr>
        <w:t>from</w:t>
      </w:r>
      <w:r>
        <w:rPr>
          <w:spacing w:val="-12"/>
          <w:sz w:val="20"/>
        </w:rPr>
        <w:t xml:space="preserve"> </w:t>
      </w:r>
      <w:r>
        <w:rPr>
          <w:sz w:val="20"/>
        </w:rPr>
        <w:t xml:space="preserve">the </w:t>
      </w:r>
      <w:r>
        <w:rPr>
          <w:w w:val="95"/>
          <w:sz w:val="20"/>
        </w:rPr>
        <w:t>visitor</w:t>
      </w:r>
      <w:r>
        <w:rPr>
          <w:spacing w:val="-10"/>
          <w:w w:val="95"/>
          <w:sz w:val="20"/>
        </w:rPr>
        <w:t xml:space="preserve"> </w:t>
      </w:r>
      <w:r>
        <w:rPr>
          <w:w w:val="95"/>
          <w:sz w:val="20"/>
        </w:rPr>
        <w:t>economy</w:t>
      </w:r>
      <w:r>
        <w:rPr>
          <w:spacing w:val="-10"/>
          <w:w w:val="95"/>
          <w:sz w:val="20"/>
        </w:rPr>
        <w:t xml:space="preserve"> </w:t>
      </w:r>
      <w:r>
        <w:rPr>
          <w:w w:val="95"/>
          <w:sz w:val="20"/>
        </w:rPr>
        <w:t>both</w:t>
      </w:r>
      <w:r>
        <w:rPr>
          <w:spacing w:val="-10"/>
          <w:w w:val="95"/>
          <w:sz w:val="20"/>
        </w:rPr>
        <w:t xml:space="preserve"> </w:t>
      </w:r>
      <w:r>
        <w:rPr>
          <w:w w:val="95"/>
          <w:sz w:val="20"/>
        </w:rPr>
        <w:t>in</w:t>
      </w:r>
      <w:r>
        <w:rPr>
          <w:spacing w:val="-10"/>
          <w:w w:val="95"/>
          <w:sz w:val="20"/>
        </w:rPr>
        <w:t xml:space="preserve"> </w:t>
      </w:r>
      <w:r>
        <w:rPr>
          <w:w w:val="95"/>
          <w:sz w:val="20"/>
        </w:rPr>
        <w:t>Sydney</w:t>
      </w:r>
      <w:r>
        <w:rPr>
          <w:spacing w:val="-10"/>
          <w:w w:val="95"/>
          <w:sz w:val="20"/>
        </w:rPr>
        <w:t xml:space="preserve"> </w:t>
      </w:r>
      <w:r>
        <w:rPr>
          <w:w w:val="95"/>
          <w:sz w:val="20"/>
        </w:rPr>
        <w:t>and</w:t>
      </w:r>
      <w:r>
        <w:rPr>
          <w:spacing w:val="-10"/>
          <w:w w:val="95"/>
          <w:sz w:val="20"/>
        </w:rPr>
        <w:t xml:space="preserve"> </w:t>
      </w:r>
      <w:r>
        <w:rPr>
          <w:w w:val="95"/>
          <w:sz w:val="20"/>
        </w:rPr>
        <w:t>in</w:t>
      </w:r>
      <w:r>
        <w:rPr>
          <w:spacing w:val="-10"/>
          <w:w w:val="95"/>
          <w:sz w:val="20"/>
        </w:rPr>
        <w:t xml:space="preserve"> </w:t>
      </w:r>
      <w:r>
        <w:rPr>
          <w:w w:val="95"/>
          <w:sz w:val="20"/>
        </w:rPr>
        <w:t>Regional</w:t>
      </w:r>
      <w:r>
        <w:rPr>
          <w:spacing w:val="-10"/>
          <w:w w:val="95"/>
          <w:sz w:val="20"/>
        </w:rPr>
        <w:t xml:space="preserve"> </w:t>
      </w:r>
      <w:r>
        <w:rPr>
          <w:w w:val="95"/>
          <w:sz w:val="20"/>
        </w:rPr>
        <w:t>NSW.</w:t>
      </w:r>
    </w:p>
    <w:p w:rsidR="002C1123" w:rsidRDefault="00F22F94">
      <w:pPr>
        <w:pStyle w:val="Heading6"/>
        <w:ind w:left="190"/>
      </w:pPr>
      <w:r>
        <w:rPr>
          <w:b w:val="0"/>
        </w:rPr>
        <w:br w:type="column"/>
      </w:r>
      <w:r>
        <w:rPr>
          <w:spacing w:val="-2"/>
        </w:rPr>
        <w:t>Recreation</w:t>
      </w:r>
    </w:p>
    <w:p w:rsidR="002C1123" w:rsidRDefault="00F22F94">
      <w:pPr>
        <w:pStyle w:val="BodyText"/>
        <w:spacing w:before="10" w:line="249" w:lineRule="auto"/>
        <w:ind w:left="190" w:right="300"/>
        <w:jc w:val="both"/>
      </w:pPr>
      <w:r>
        <w:rPr>
          <w:w w:val="95"/>
        </w:rPr>
        <w:t>NSW’s recreational facilities include leading sporting venues,</w:t>
      </w:r>
      <w:r>
        <w:rPr>
          <w:spacing w:val="-3"/>
          <w:w w:val="95"/>
        </w:rPr>
        <w:t xml:space="preserve"> </w:t>
      </w:r>
      <w:r>
        <w:rPr>
          <w:w w:val="95"/>
        </w:rPr>
        <w:t>beaches,</w:t>
      </w:r>
      <w:r>
        <w:rPr>
          <w:spacing w:val="-3"/>
          <w:w w:val="95"/>
        </w:rPr>
        <w:t xml:space="preserve"> </w:t>
      </w:r>
      <w:r>
        <w:rPr>
          <w:w w:val="95"/>
        </w:rPr>
        <w:t>parks</w:t>
      </w:r>
      <w:r>
        <w:rPr>
          <w:spacing w:val="-3"/>
          <w:w w:val="95"/>
        </w:rPr>
        <w:t xml:space="preserve"> </w:t>
      </w:r>
      <w:r>
        <w:rPr>
          <w:w w:val="95"/>
        </w:rPr>
        <w:t>and</w:t>
      </w:r>
      <w:r>
        <w:rPr>
          <w:spacing w:val="-3"/>
          <w:w w:val="95"/>
        </w:rPr>
        <w:t xml:space="preserve"> </w:t>
      </w:r>
      <w:r>
        <w:rPr>
          <w:w w:val="95"/>
        </w:rPr>
        <w:t>reserves.</w:t>
      </w:r>
      <w:r>
        <w:rPr>
          <w:spacing w:val="-3"/>
          <w:w w:val="95"/>
        </w:rPr>
        <w:t xml:space="preserve"> </w:t>
      </w:r>
      <w:r>
        <w:rPr>
          <w:w w:val="95"/>
        </w:rPr>
        <w:t>Many</w:t>
      </w:r>
      <w:r>
        <w:rPr>
          <w:spacing w:val="-3"/>
          <w:w w:val="95"/>
        </w:rPr>
        <w:t xml:space="preserve"> </w:t>
      </w:r>
      <w:r>
        <w:rPr>
          <w:w w:val="95"/>
        </w:rPr>
        <w:t>of</w:t>
      </w:r>
      <w:r>
        <w:rPr>
          <w:spacing w:val="-3"/>
          <w:w w:val="95"/>
        </w:rPr>
        <w:t xml:space="preserve"> </w:t>
      </w:r>
      <w:r>
        <w:rPr>
          <w:w w:val="95"/>
        </w:rPr>
        <w:t>these facilities</w:t>
      </w:r>
      <w:r>
        <w:rPr>
          <w:spacing w:val="-8"/>
          <w:w w:val="95"/>
        </w:rPr>
        <w:t xml:space="preserve"> </w:t>
      </w:r>
      <w:r>
        <w:rPr>
          <w:w w:val="95"/>
        </w:rPr>
        <w:t>have</w:t>
      </w:r>
      <w:r>
        <w:rPr>
          <w:spacing w:val="-8"/>
          <w:w w:val="95"/>
        </w:rPr>
        <w:t xml:space="preserve"> </w:t>
      </w:r>
      <w:r>
        <w:rPr>
          <w:w w:val="95"/>
        </w:rPr>
        <w:t>strong</w:t>
      </w:r>
      <w:r>
        <w:rPr>
          <w:spacing w:val="-8"/>
          <w:w w:val="95"/>
        </w:rPr>
        <w:t xml:space="preserve"> </w:t>
      </w:r>
      <w:r>
        <w:rPr>
          <w:w w:val="95"/>
        </w:rPr>
        <w:t>links</w:t>
      </w:r>
      <w:r>
        <w:rPr>
          <w:spacing w:val="-8"/>
          <w:w w:val="95"/>
        </w:rPr>
        <w:t xml:space="preserve"> </w:t>
      </w:r>
      <w:r>
        <w:rPr>
          <w:w w:val="95"/>
        </w:rPr>
        <w:t>to</w:t>
      </w:r>
      <w:r>
        <w:rPr>
          <w:spacing w:val="-8"/>
          <w:w w:val="95"/>
        </w:rPr>
        <w:t xml:space="preserve"> </w:t>
      </w:r>
      <w:r>
        <w:rPr>
          <w:w w:val="95"/>
        </w:rPr>
        <w:t>the</w:t>
      </w:r>
      <w:r>
        <w:rPr>
          <w:spacing w:val="-8"/>
          <w:w w:val="95"/>
        </w:rPr>
        <w:t xml:space="preserve"> </w:t>
      </w:r>
      <w:r>
        <w:rPr>
          <w:w w:val="95"/>
        </w:rPr>
        <w:t>community</w:t>
      </w:r>
      <w:r>
        <w:rPr>
          <w:spacing w:val="-8"/>
          <w:w w:val="95"/>
        </w:rPr>
        <w:t xml:space="preserve"> </w:t>
      </w:r>
      <w:r>
        <w:rPr>
          <w:w w:val="95"/>
        </w:rPr>
        <w:t>and</w:t>
      </w:r>
      <w:r>
        <w:rPr>
          <w:spacing w:val="-8"/>
          <w:w w:val="95"/>
        </w:rPr>
        <w:t xml:space="preserve"> </w:t>
      </w:r>
      <w:r>
        <w:rPr>
          <w:w w:val="95"/>
        </w:rPr>
        <w:t>are</w:t>
      </w:r>
      <w:r>
        <w:rPr>
          <w:spacing w:val="-8"/>
          <w:w w:val="95"/>
        </w:rPr>
        <w:t xml:space="preserve"> </w:t>
      </w:r>
      <w:r>
        <w:rPr>
          <w:w w:val="95"/>
        </w:rPr>
        <w:t xml:space="preserve">a </w:t>
      </w:r>
      <w:r>
        <w:t>core</w:t>
      </w:r>
      <w:r>
        <w:rPr>
          <w:spacing w:val="-5"/>
        </w:rPr>
        <w:t xml:space="preserve"> </w:t>
      </w:r>
      <w:r>
        <w:t>component</w:t>
      </w:r>
      <w:r>
        <w:rPr>
          <w:spacing w:val="-5"/>
        </w:rPr>
        <w:t xml:space="preserve"> </w:t>
      </w:r>
      <w:r>
        <w:t>of</w:t>
      </w:r>
      <w:r>
        <w:rPr>
          <w:spacing w:val="-5"/>
        </w:rPr>
        <w:t xml:space="preserve"> </w:t>
      </w:r>
      <w:r>
        <w:t>a</w:t>
      </w:r>
      <w:r>
        <w:rPr>
          <w:spacing w:val="-5"/>
        </w:rPr>
        <w:t xml:space="preserve"> </w:t>
      </w:r>
      <w:r>
        <w:t>high</w:t>
      </w:r>
      <w:r>
        <w:rPr>
          <w:spacing w:val="-5"/>
        </w:rPr>
        <w:t xml:space="preserve"> </w:t>
      </w:r>
      <w:r>
        <w:t>quality</w:t>
      </w:r>
      <w:r>
        <w:rPr>
          <w:spacing w:val="-5"/>
        </w:rPr>
        <w:t xml:space="preserve"> </w:t>
      </w:r>
      <w:r>
        <w:t>of</w:t>
      </w:r>
      <w:r>
        <w:rPr>
          <w:spacing w:val="-5"/>
        </w:rPr>
        <w:t xml:space="preserve"> </w:t>
      </w:r>
      <w:r>
        <w:t>life.</w:t>
      </w:r>
    </w:p>
    <w:p w:rsidR="002C1123" w:rsidRDefault="00F22F94">
      <w:pPr>
        <w:pStyle w:val="BodyText"/>
        <w:spacing w:before="145"/>
        <w:ind w:left="190"/>
      </w:pPr>
      <w:r>
        <w:rPr>
          <w:w w:val="95"/>
        </w:rPr>
        <w:t>There</w:t>
      </w:r>
      <w:r>
        <w:rPr>
          <w:spacing w:val="-11"/>
          <w:w w:val="95"/>
        </w:rPr>
        <w:t xml:space="preserve"> </w:t>
      </w:r>
      <w:r>
        <w:rPr>
          <w:w w:val="95"/>
        </w:rPr>
        <w:t>are</w:t>
      </w:r>
      <w:r>
        <w:rPr>
          <w:spacing w:val="-11"/>
          <w:w w:val="95"/>
        </w:rPr>
        <w:t xml:space="preserve"> </w:t>
      </w:r>
      <w:r>
        <w:rPr>
          <w:w w:val="95"/>
        </w:rPr>
        <w:t>over</w:t>
      </w:r>
      <w:r>
        <w:rPr>
          <w:spacing w:val="-10"/>
          <w:w w:val="95"/>
        </w:rPr>
        <w:t xml:space="preserve"> </w:t>
      </w:r>
      <w:r>
        <w:rPr>
          <w:w w:val="95"/>
        </w:rPr>
        <w:t>25</w:t>
      </w:r>
      <w:r>
        <w:rPr>
          <w:spacing w:val="-11"/>
          <w:w w:val="95"/>
        </w:rPr>
        <w:t xml:space="preserve"> </w:t>
      </w:r>
      <w:r>
        <w:rPr>
          <w:w w:val="95"/>
        </w:rPr>
        <w:t>million</w:t>
      </w:r>
      <w:r>
        <w:rPr>
          <w:spacing w:val="-11"/>
          <w:w w:val="95"/>
        </w:rPr>
        <w:t xml:space="preserve"> </w:t>
      </w:r>
      <w:r>
        <w:rPr>
          <w:w w:val="95"/>
        </w:rPr>
        <w:t>visits</w:t>
      </w:r>
      <w:r>
        <w:rPr>
          <w:spacing w:val="-10"/>
          <w:w w:val="95"/>
        </w:rPr>
        <w:t xml:space="preserve"> </w:t>
      </w:r>
      <w:r>
        <w:rPr>
          <w:w w:val="95"/>
        </w:rPr>
        <w:t>to</w:t>
      </w:r>
      <w:r>
        <w:rPr>
          <w:spacing w:val="-11"/>
          <w:w w:val="95"/>
        </w:rPr>
        <w:t xml:space="preserve"> </w:t>
      </w:r>
      <w:r>
        <w:rPr>
          <w:w w:val="95"/>
        </w:rPr>
        <w:t>parklands</w:t>
      </w:r>
      <w:r>
        <w:rPr>
          <w:spacing w:val="-11"/>
          <w:w w:val="95"/>
        </w:rPr>
        <w:t xml:space="preserve"> </w:t>
      </w:r>
      <w:r>
        <w:rPr>
          <w:w w:val="95"/>
        </w:rPr>
        <w:t>each</w:t>
      </w:r>
      <w:r>
        <w:rPr>
          <w:spacing w:val="-10"/>
          <w:w w:val="95"/>
        </w:rPr>
        <w:t xml:space="preserve"> </w:t>
      </w:r>
      <w:r>
        <w:rPr>
          <w:spacing w:val="-4"/>
          <w:w w:val="95"/>
        </w:rPr>
        <w:t>year</w:t>
      </w:r>
    </w:p>
    <w:p w:rsidR="002C1123" w:rsidRDefault="00F22F94">
      <w:pPr>
        <w:pStyle w:val="BodyText"/>
        <w:spacing w:before="10" w:line="249" w:lineRule="auto"/>
        <w:ind w:left="190" w:right="180"/>
      </w:pPr>
      <w:r>
        <w:rPr>
          <w:spacing w:val="-2"/>
        </w:rPr>
        <w:t>-</w:t>
      </w:r>
      <w:r>
        <w:rPr>
          <w:spacing w:val="-8"/>
        </w:rPr>
        <w:t xml:space="preserve"> </w:t>
      </w:r>
      <w:r>
        <w:rPr>
          <w:spacing w:val="-2"/>
        </w:rPr>
        <w:t>12</w:t>
      </w:r>
      <w:r>
        <w:rPr>
          <w:spacing w:val="-8"/>
        </w:rPr>
        <w:t xml:space="preserve"> </w:t>
      </w:r>
      <w:r>
        <w:rPr>
          <w:spacing w:val="-2"/>
        </w:rPr>
        <w:t>million</w:t>
      </w:r>
      <w:r>
        <w:rPr>
          <w:spacing w:val="-8"/>
        </w:rPr>
        <w:t xml:space="preserve"> </w:t>
      </w:r>
      <w:r>
        <w:rPr>
          <w:spacing w:val="-2"/>
        </w:rPr>
        <w:t>visits</w:t>
      </w:r>
      <w:r>
        <w:rPr>
          <w:spacing w:val="-8"/>
        </w:rPr>
        <w:t xml:space="preserve"> </w:t>
      </w:r>
      <w:r>
        <w:rPr>
          <w:spacing w:val="-2"/>
        </w:rPr>
        <w:t>to</w:t>
      </w:r>
      <w:r>
        <w:rPr>
          <w:spacing w:val="-8"/>
        </w:rPr>
        <w:t xml:space="preserve"> </w:t>
      </w:r>
      <w:r>
        <w:rPr>
          <w:spacing w:val="-2"/>
        </w:rPr>
        <w:t>Sydney</w:t>
      </w:r>
      <w:r>
        <w:rPr>
          <w:spacing w:val="-8"/>
        </w:rPr>
        <w:t xml:space="preserve"> </w:t>
      </w:r>
      <w:r>
        <w:rPr>
          <w:spacing w:val="-2"/>
        </w:rPr>
        <w:t>Olympic</w:t>
      </w:r>
      <w:r>
        <w:rPr>
          <w:spacing w:val="-8"/>
        </w:rPr>
        <w:t xml:space="preserve"> </w:t>
      </w:r>
      <w:r>
        <w:rPr>
          <w:spacing w:val="-2"/>
        </w:rPr>
        <w:t>Park,</w:t>
      </w:r>
      <w:r>
        <w:rPr>
          <w:spacing w:val="-8"/>
        </w:rPr>
        <w:t xml:space="preserve"> </w:t>
      </w:r>
      <w:r>
        <w:rPr>
          <w:spacing w:val="-2"/>
        </w:rPr>
        <w:t>11</w:t>
      </w:r>
      <w:r>
        <w:rPr>
          <w:spacing w:val="-8"/>
        </w:rPr>
        <w:t xml:space="preserve"> </w:t>
      </w:r>
      <w:r>
        <w:rPr>
          <w:spacing w:val="-2"/>
        </w:rPr>
        <w:t xml:space="preserve">million </w:t>
      </w:r>
      <w:r>
        <w:t>at</w:t>
      </w:r>
      <w:r>
        <w:rPr>
          <w:spacing w:val="-12"/>
        </w:rPr>
        <w:t xml:space="preserve"> </w:t>
      </w:r>
      <w:r>
        <w:t>Centennial</w:t>
      </w:r>
      <w:r>
        <w:rPr>
          <w:spacing w:val="-12"/>
        </w:rPr>
        <w:t xml:space="preserve"> </w:t>
      </w:r>
      <w:r>
        <w:t>Parklands</w:t>
      </w:r>
      <w:r>
        <w:rPr>
          <w:spacing w:val="-12"/>
        </w:rPr>
        <w:t xml:space="preserve"> </w:t>
      </w:r>
      <w:r>
        <w:t>and</w:t>
      </w:r>
      <w:r>
        <w:rPr>
          <w:spacing w:val="-12"/>
        </w:rPr>
        <w:t xml:space="preserve"> </w:t>
      </w:r>
      <w:r>
        <w:t>around</w:t>
      </w:r>
      <w:r>
        <w:rPr>
          <w:spacing w:val="-12"/>
        </w:rPr>
        <w:t xml:space="preserve"> </w:t>
      </w:r>
      <w:r>
        <w:t>two</w:t>
      </w:r>
      <w:r>
        <w:rPr>
          <w:spacing w:val="-12"/>
        </w:rPr>
        <w:t xml:space="preserve"> </w:t>
      </w:r>
      <w:r>
        <w:t>million</w:t>
      </w:r>
      <w:r>
        <w:rPr>
          <w:spacing w:val="-12"/>
        </w:rPr>
        <w:t xml:space="preserve"> </w:t>
      </w:r>
      <w:r>
        <w:t xml:space="preserve">at </w:t>
      </w:r>
      <w:r>
        <w:rPr>
          <w:w w:val="95"/>
        </w:rPr>
        <w:t>Parramatta</w:t>
      </w:r>
      <w:r>
        <w:rPr>
          <w:spacing w:val="-7"/>
          <w:w w:val="95"/>
        </w:rPr>
        <w:t xml:space="preserve"> </w:t>
      </w:r>
      <w:r>
        <w:rPr>
          <w:w w:val="95"/>
        </w:rPr>
        <w:t>Park.</w:t>
      </w:r>
      <w:r>
        <w:rPr>
          <w:spacing w:val="-7"/>
          <w:w w:val="95"/>
        </w:rPr>
        <w:t xml:space="preserve"> </w:t>
      </w:r>
      <w:r>
        <w:rPr>
          <w:w w:val="95"/>
        </w:rPr>
        <w:t>The</w:t>
      </w:r>
      <w:r>
        <w:rPr>
          <w:spacing w:val="-7"/>
          <w:w w:val="95"/>
        </w:rPr>
        <w:t xml:space="preserve"> </w:t>
      </w:r>
      <w:r>
        <w:rPr>
          <w:w w:val="95"/>
        </w:rPr>
        <w:t>NSW</w:t>
      </w:r>
      <w:r>
        <w:rPr>
          <w:spacing w:val="-7"/>
          <w:w w:val="95"/>
        </w:rPr>
        <w:t xml:space="preserve"> </w:t>
      </w:r>
      <w:r>
        <w:rPr>
          <w:w w:val="95"/>
        </w:rPr>
        <w:t>Stadium</w:t>
      </w:r>
      <w:r>
        <w:rPr>
          <w:spacing w:val="-7"/>
          <w:w w:val="95"/>
        </w:rPr>
        <w:t xml:space="preserve"> </w:t>
      </w:r>
      <w:r>
        <w:rPr>
          <w:w w:val="95"/>
        </w:rPr>
        <w:t>Strategy</w:t>
      </w:r>
      <w:r>
        <w:rPr>
          <w:spacing w:val="-7"/>
          <w:w w:val="95"/>
        </w:rPr>
        <w:t xml:space="preserve"> </w:t>
      </w:r>
      <w:r>
        <w:rPr>
          <w:w w:val="95"/>
        </w:rPr>
        <w:t>and</w:t>
      </w:r>
      <w:r>
        <w:rPr>
          <w:spacing w:val="-7"/>
          <w:w w:val="95"/>
        </w:rPr>
        <w:t xml:space="preserve"> </w:t>
      </w:r>
      <w:r>
        <w:rPr>
          <w:w w:val="95"/>
        </w:rPr>
        <w:t>the</w:t>
      </w:r>
    </w:p>
    <w:p w:rsidR="002C1123" w:rsidRDefault="00F22F94">
      <w:pPr>
        <w:pStyle w:val="BodyText"/>
        <w:spacing w:line="249" w:lineRule="auto"/>
        <w:ind w:left="190"/>
      </w:pPr>
      <w:r>
        <w:rPr>
          <w:w w:val="95"/>
        </w:rPr>
        <w:t>establishment</w:t>
      </w:r>
      <w:r>
        <w:rPr>
          <w:spacing w:val="-8"/>
          <w:w w:val="95"/>
        </w:rPr>
        <w:t xml:space="preserve"> </w:t>
      </w:r>
      <w:r>
        <w:rPr>
          <w:w w:val="95"/>
        </w:rPr>
        <w:t>of</w:t>
      </w:r>
      <w:r>
        <w:rPr>
          <w:spacing w:val="-8"/>
          <w:w w:val="95"/>
        </w:rPr>
        <w:t xml:space="preserve"> </w:t>
      </w:r>
      <w:r>
        <w:rPr>
          <w:w w:val="95"/>
        </w:rPr>
        <w:t>Venues</w:t>
      </w:r>
      <w:r>
        <w:rPr>
          <w:spacing w:val="-8"/>
          <w:w w:val="95"/>
        </w:rPr>
        <w:t xml:space="preserve"> </w:t>
      </w:r>
      <w:r>
        <w:rPr>
          <w:w w:val="95"/>
        </w:rPr>
        <w:t>NSW</w:t>
      </w:r>
      <w:r>
        <w:rPr>
          <w:spacing w:val="-8"/>
          <w:w w:val="95"/>
        </w:rPr>
        <w:t xml:space="preserve"> </w:t>
      </w:r>
      <w:r>
        <w:rPr>
          <w:w w:val="95"/>
        </w:rPr>
        <w:t>will</w:t>
      </w:r>
      <w:r>
        <w:rPr>
          <w:spacing w:val="-8"/>
          <w:w w:val="95"/>
        </w:rPr>
        <w:t xml:space="preserve"> </w:t>
      </w:r>
      <w:r>
        <w:rPr>
          <w:w w:val="95"/>
        </w:rPr>
        <w:t>improve</w:t>
      </w:r>
      <w:r>
        <w:rPr>
          <w:spacing w:val="-8"/>
          <w:w w:val="95"/>
        </w:rPr>
        <w:t xml:space="preserve"> </w:t>
      </w:r>
      <w:r>
        <w:rPr>
          <w:w w:val="95"/>
        </w:rPr>
        <w:t xml:space="preserve">management </w:t>
      </w:r>
      <w:r>
        <w:t xml:space="preserve">of Government-owned sporting and entertainment </w:t>
      </w:r>
      <w:r>
        <w:rPr>
          <w:w w:val="95"/>
        </w:rPr>
        <w:t>venues</w:t>
      </w:r>
      <w:r>
        <w:rPr>
          <w:spacing w:val="-4"/>
          <w:w w:val="95"/>
        </w:rPr>
        <w:t xml:space="preserve"> </w:t>
      </w:r>
      <w:r>
        <w:rPr>
          <w:w w:val="95"/>
        </w:rPr>
        <w:t>in</w:t>
      </w:r>
      <w:r>
        <w:rPr>
          <w:spacing w:val="-4"/>
          <w:w w:val="95"/>
        </w:rPr>
        <w:t xml:space="preserve"> </w:t>
      </w:r>
      <w:r>
        <w:rPr>
          <w:w w:val="95"/>
        </w:rPr>
        <w:t>the</w:t>
      </w:r>
      <w:r>
        <w:rPr>
          <w:spacing w:val="-4"/>
          <w:w w:val="95"/>
        </w:rPr>
        <w:t xml:space="preserve"> </w:t>
      </w:r>
      <w:r>
        <w:rPr>
          <w:w w:val="95"/>
        </w:rPr>
        <w:t>Hunter,</w:t>
      </w:r>
      <w:r>
        <w:rPr>
          <w:spacing w:val="-4"/>
          <w:w w:val="95"/>
        </w:rPr>
        <w:t xml:space="preserve"> </w:t>
      </w:r>
      <w:r>
        <w:rPr>
          <w:w w:val="95"/>
        </w:rPr>
        <w:t>Western</w:t>
      </w:r>
      <w:r>
        <w:rPr>
          <w:spacing w:val="-4"/>
          <w:w w:val="95"/>
        </w:rPr>
        <w:t xml:space="preserve"> </w:t>
      </w:r>
      <w:r>
        <w:rPr>
          <w:w w:val="95"/>
        </w:rPr>
        <w:t>Sydney</w:t>
      </w:r>
      <w:r>
        <w:rPr>
          <w:spacing w:val="-4"/>
          <w:w w:val="95"/>
        </w:rPr>
        <w:t xml:space="preserve"> </w:t>
      </w:r>
      <w:r>
        <w:rPr>
          <w:w w:val="95"/>
        </w:rPr>
        <w:t>and</w:t>
      </w:r>
      <w:r>
        <w:rPr>
          <w:spacing w:val="-4"/>
          <w:w w:val="95"/>
        </w:rPr>
        <w:t xml:space="preserve"> </w:t>
      </w:r>
      <w:r>
        <w:rPr>
          <w:w w:val="95"/>
        </w:rPr>
        <w:t>the</w:t>
      </w:r>
      <w:r>
        <w:rPr>
          <w:spacing w:val="-4"/>
          <w:w w:val="95"/>
        </w:rPr>
        <w:t xml:space="preserve"> </w:t>
      </w:r>
      <w:r>
        <w:rPr>
          <w:w w:val="95"/>
        </w:rPr>
        <w:t xml:space="preserve">Illawarra. </w:t>
      </w:r>
      <w:r>
        <w:t>Infrastructure</w:t>
      </w:r>
      <w:r>
        <w:rPr>
          <w:spacing w:val="-11"/>
        </w:rPr>
        <w:t xml:space="preserve"> </w:t>
      </w:r>
      <w:r>
        <w:t>NSW</w:t>
      </w:r>
      <w:r>
        <w:rPr>
          <w:spacing w:val="-11"/>
        </w:rPr>
        <w:t xml:space="preserve"> </w:t>
      </w:r>
      <w:r>
        <w:t>has</w:t>
      </w:r>
      <w:r>
        <w:rPr>
          <w:spacing w:val="-11"/>
        </w:rPr>
        <w:t xml:space="preserve"> </w:t>
      </w:r>
      <w:r>
        <w:t>considered</w:t>
      </w:r>
      <w:r>
        <w:rPr>
          <w:spacing w:val="-11"/>
        </w:rPr>
        <w:t xml:space="preserve"> </w:t>
      </w:r>
      <w:r>
        <w:t>the</w:t>
      </w:r>
      <w:r>
        <w:rPr>
          <w:spacing w:val="-11"/>
        </w:rPr>
        <w:t xml:space="preserve"> </w:t>
      </w:r>
      <w:r>
        <w:t>two</w:t>
      </w:r>
      <w:r>
        <w:rPr>
          <w:spacing w:val="-11"/>
        </w:rPr>
        <w:t xml:space="preserve"> </w:t>
      </w:r>
      <w:r>
        <w:t>largest</w:t>
      </w:r>
    </w:p>
    <w:p w:rsidR="002C1123" w:rsidRDefault="00F22F94">
      <w:pPr>
        <w:spacing w:before="136" w:line="249" w:lineRule="auto"/>
        <w:ind w:left="1262" w:right="930" w:hanging="1029"/>
        <w:rPr>
          <w:b/>
          <w:sz w:val="18"/>
        </w:rPr>
      </w:pPr>
      <w:r>
        <w:br w:type="column"/>
      </w:r>
      <w:r>
        <w:rPr>
          <w:b/>
          <w:sz w:val="18"/>
        </w:rPr>
        <w:t>Figure</w:t>
      </w:r>
      <w:r>
        <w:rPr>
          <w:b/>
          <w:spacing w:val="-3"/>
          <w:sz w:val="18"/>
        </w:rPr>
        <w:t xml:space="preserve"> </w:t>
      </w:r>
      <w:r>
        <w:rPr>
          <w:b/>
          <w:sz w:val="18"/>
        </w:rPr>
        <w:t>14.5</w:t>
      </w:r>
      <w:r>
        <w:rPr>
          <w:b/>
          <w:spacing w:val="40"/>
          <w:sz w:val="18"/>
        </w:rPr>
        <w:t xml:space="preserve"> </w:t>
      </w:r>
      <w:r>
        <w:rPr>
          <w:b/>
          <w:sz w:val="18"/>
        </w:rPr>
        <w:t>Attendance</w:t>
      </w:r>
      <w:r>
        <w:rPr>
          <w:b/>
          <w:spacing w:val="-3"/>
          <w:sz w:val="18"/>
        </w:rPr>
        <w:t xml:space="preserve"> </w:t>
      </w:r>
      <w:r>
        <w:rPr>
          <w:b/>
          <w:sz w:val="18"/>
        </w:rPr>
        <w:t>at</w:t>
      </w:r>
      <w:r>
        <w:rPr>
          <w:b/>
          <w:spacing w:val="-3"/>
          <w:sz w:val="18"/>
        </w:rPr>
        <w:t xml:space="preserve"> </w:t>
      </w:r>
      <w:r>
        <w:rPr>
          <w:b/>
          <w:sz w:val="18"/>
        </w:rPr>
        <w:t>Major</w:t>
      </w:r>
      <w:r>
        <w:rPr>
          <w:b/>
          <w:spacing w:val="-3"/>
          <w:sz w:val="18"/>
        </w:rPr>
        <w:t xml:space="preserve"> </w:t>
      </w:r>
      <w:r>
        <w:rPr>
          <w:b/>
          <w:sz w:val="18"/>
        </w:rPr>
        <w:t>Cultural</w:t>
      </w:r>
      <w:r>
        <w:rPr>
          <w:b/>
          <w:spacing w:val="-3"/>
          <w:sz w:val="18"/>
        </w:rPr>
        <w:t xml:space="preserve"> </w:t>
      </w:r>
      <w:r>
        <w:rPr>
          <w:b/>
          <w:sz w:val="18"/>
        </w:rPr>
        <w:t>and Recreational</w:t>
      </w:r>
      <w:r>
        <w:rPr>
          <w:b/>
          <w:spacing w:val="-10"/>
          <w:sz w:val="18"/>
        </w:rPr>
        <w:t xml:space="preserve"> </w:t>
      </w:r>
      <w:r>
        <w:rPr>
          <w:b/>
          <w:sz w:val="18"/>
        </w:rPr>
        <w:t>Institutions</w:t>
      </w:r>
      <w:r>
        <w:rPr>
          <w:b/>
          <w:spacing w:val="-10"/>
          <w:sz w:val="18"/>
        </w:rPr>
        <w:t xml:space="preserve"> </w:t>
      </w:r>
      <w:r>
        <w:rPr>
          <w:b/>
          <w:spacing w:val="-2"/>
          <w:sz w:val="18"/>
        </w:rPr>
        <w:t>2010/11</w:t>
      </w:r>
    </w:p>
    <w:p w:rsidR="002C1123" w:rsidRDefault="002060EF">
      <w:pPr>
        <w:spacing w:before="128"/>
        <w:ind w:right="4984"/>
        <w:jc w:val="right"/>
        <w:rPr>
          <w:sz w:val="16"/>
        </w:rPr>
      </w:pPr>
      <w:r>
        <w:pict>
          <v:group id="docshapegroup2661" o:spid="_x0000_s1357" style="position:absolute;left:0;text-align:left;margin-left:585.25pt;margin-top:16.4pt;width:207.05pt;height:123.15pt;z-index:251708416;mso-position-horizontal-relative:page" coordorigin="11705,328" coordsize="4141,2463">
            <v:shape id="docshape2662" o:spid="_x0000_s1373" style="position:absolute;left:11705;top:476;width:4141;height:2057" coordorigin="11705,476" coordsize="4141,2057" o:spt="100" adj="0,,0" path="m12126,2525r-421,l11705,2533r421,l12126,2525xm12126,2267r-421,l11705,2275r421,l12126,2267xm12126,2015r-421,l11705,2023r421,l12126,2015xm12126,1765r-421,l11705,1773r421,l12126,1765xm12126,1505r-421,l11705,1513r421,l12126,1505xm12126,1247r-421,l11705,1250r,5l12126,1255r,-5l12126,1247xm14099,2525r-553,l13546,2533r553,l14099,2525xm14099,2267r-553,l13546,2275r553,l14099,2267xm14099,2015r-553,l13546,2023r553,l14099,2015xm14099,1765r-553,l13546,1773r553,l14099,1765xm14099,1505r-553,l13546,1513r553,l14099,1505xm14099,990r-553,l13546,998r553,l14099,990xm14099,732r-2394,l11705,740r2394,l14099,732xm14099,476r-2394,l11705,484r2394,l14099,476xm15846,2267r-327,l15519,2275r327,l15846,2267xm15846,1247r-2300,l13546,1250r,5l14099,1255r,-5l15519,1250r,5l15846,1255r,-5l15846,1247xm15846,990r-327,l15519,998r327,l15846,990xm15846,732r-327,l15519,740r327,l15846,732xm15846,476r-327,l15519,484r327,l15846,476xe" fillcolor="#b2b1b3" stroked="f">
              <v:stroke joinstyle="round"/>
              <v:formulas/>
              <v:path arrowok="t" o:connecttype="segments"/>
            </v:shape>
            <v:rect id="docshape2663" o:spid="_x0000_s1372" style="position:absolute;left:14098;top:328;width:1421;height:820" fillcolor="#c9c8c9" stroked="f"/>
            <v:rect id="docshape2664" o:spid="_x0000_s1371" style="position:absolute;left:14098;top:1147;width:1421;height:103" fillcolor="#9c9c9d" stroked="f"/>
            <v:rect id="docshape2665" o:spid="_x0000_s1370" style="position:absolute;left:11705;top:990;width:421;height:8" fillcolor="#b2b1b3" stroked="f"/>
            <v:rect id="docshape2666" o:spid="_x0000_s1369" style="position:absolute;left:12126;top:942;width:1421;height:666" fillcolor="#b9e5fa" stroked="f"/>
            <v:rect id="docshape2667" o:spid="_x0000_s1368" style="position:absolute;left:14098;top:1249;width:1421;height:103" fillcolor="#c4df9b" stroked="f"/>
            <v:rect id="docshape2668" o:spid="_x0000_s1367" style="position:absolute;left:12126;top:1608;width:1421;height:359" fillcolor="#8781bd" stroked="f"/>
            <v:shape id="docshape2669" o:spid="_x0000_s1366" style="position:absolute;left:15518;top:1505;width:327;height:268" coordorigin="15519,1505" coordsize="327,268" o:spt="100" adj="0,,0" path="m15846,1765r-327,l15519,1773r327,l15846,1765xm15846,1505r-327,l15519,1513r327,l15846,1505xe" fillcolor="#b2b1b3" stroked="f">
              <v:stroke joinstyle="round"/>
              <v:formulas/>
              <v:path arrowok="t" o:connecttype="segments"/>
            </v:shape>
            <v:rect id="docshape2670" o:spid="_x0000_s1365" style="position:absolute;left:14098;top:1352;width:1421;height:359" fillcolor="#f9cbdf" stroked="f"/>
            <v:rect id="docshape2671" o:spid="_x0000_s1364" style="position:absolute;left:12126;top:1967;width:1421;height:154" fillcolor="#00aeef" stroked="f"/>
            <v:rect id="docshape2672" o:spid="_x0000_s1363" style="position:absolute;left:15518;top:2015;width:327;height:8" fillcolor="#b2b1b3" stroked="f"/>
            <v:rect id="docshape2673" o:spid="_x0000_s1362" style="position:absolute;left:14098;top:1710;width:1421;height:666" fillcolor="#a9d26d" stroked="f"/>
            <v:rect id="docshape2674" o:spid="_x0000_s1361" style="position:absolute;left:12126;top:2120;width:1421;height:666" fillcolor="#2e3092" stroked="f"/>
            <v:rect id="docshape2675" o:spid="_x0000_s1360" style="position:absolute;left:15518;top:2525;width:327;height:8" fillcolor="#b2b1b3" stroked="f"/>
            <v:rect id="docshape2676" o:spid="_x0000_s1359" style="position:absolute;left:14098;top:2376;width:1421;height:410" fillcolor="#f067a6" stroked="f"/>
            <v:rect id="docshape2677" o:spid="_x0000_s1358" style="position:absolute;left:11705;top:2774;width:4141;height:16" fillcolor="#b2b1b3" stroked="f"/>
            <w10:wrap anchorx="page"/>
          </v:group>
        </w:pict>
      </w:r>
      <w:r>
        <w:pict>
          <v:rect id="docshape2678" o:spid="_x0000_s1356" style="position:absolute;left:0;text-align:left;margin-left:585.25pt;margin-top:11pt;width:207pt;height:.4pt;z-index:251709440;mso-position-horizontal-relative:page" fillcolor="#b2b1b3" stroked="f">
            <w10:wrap anchorx="page"/>
          </v:rect>
        </w:pict>
      </w:r>
      <w:r w:rsidR="00F22F94">
        <w:rPr>
          <w:spacing w:val="-5"/>
          <w:w w:val="95"/>
          <w:sz w:val="16"/>
        </w:rPr>
        <w:t>5.0</w:t>
      </w:r>
    </w:p>
    <w:p w:rsidR="002C1123" w:rsidRDefault="002060EF">
      <w:pPr>
        <w:spacing w:before="73"/>
        <w:ind w:right="4984"/>
        <w:jc w:val="right"/>
        <w:rPr>
          <w:sz w:val="16"/>
        </w:rPr>
      </w:pPr>
      <w:r>
        <w:pict>
          <v:shape id="docshape2679" o:spid="_x0000_s1355" type="#_x0000_t202" style="position:absolute;left:0;text-align:left;margin-left:552.1pt;margin-top:3pt;width:11.05pt;height:87.9pt;z-index:251720704;mso-position-horizontal-relative:page" filled="f" stroked="f">
            <v:textbox style="layout-flow:vertical;mso-layout-flow-alt:bottom-to-top" inset="0,0,0,0">
              <w:txbxContent>
                <w:p w:rsidR="00F22F94" w:rsidRDefault="00F22F94">
                  <w:pPr>
                    <w:spacing w:before="18"/>
                    <w:ind w:left="20"/>
                    <w:rPr>
                      <w:sz w:val="16"/>
                    </w:rPr>
                  </w:pPr>
                  <w:r>
                    <w:rPr>
                      <w:w w:val="75"/>
                      <w:sz w:val="16"/>
                    </w:rPr>
                    <w:t>Total</w:t>
                  </w:r>
                  <w:r>
                    <w:rPr>
                      <w:spacing w:val="8"/>
                      <w:sz w:val="16"/>
                    </w:rPr>
                    <w:t xml:space="preserve"> </w:t>
                  </w:r>
                  <w:r>
                    <w:rPr>
                      <w:w w:val="75"/>
                      <w:sz w:val="16"/>
                    </w:rPr>
                    <w:t>number</w:t>
                  </w:r>
                  <w:r>
                    <w:rPr>
                      <w:spacing w:val="8"/>
                      <w:sz w:val="16"/>
                    </w:rPr>
                    <w:t xml:space="preserve"> </w:t>
                  </w:r>
                  <w:r>
                    <w:rPr>
                      <w:w w:val="75"/>
                      <w:sz w:val="16"/>
                    </w:rPr>
                    <w:t>of</w:t>
                  </w:r>
                  <w:r>
                    <w:rPr>
                      <w:spacing w:val="8"/>
                      <w:sz w:val="16"/>
                    </w:rPr>
                    <w:t xml:space="preserve"> </w:t>
                  </w:r>
                  <w:r>
                    <w:rPr>
                      <w:w w:val="75"/>
                      <w:sz w:val="16"/>
                    </w:rPr>
                    <w:t>Attendees</w:t>
                  </w:r>
                  <w:r>
                    <w:rPr>
                      <w:spacing w:val="9"/>
                      <w:sz w:val="16"/>
                    </w:rPr>
                    <w:t xml:space="preserve"> </w:t>
                  </w:r>
                  <w:r>
                    <w:rPr>
                      <w:spacing w:val="-5"/>
                      <w:w w:val="75"/>
                      <w:sz w:val="16"/>
                    </w:rPr>
                    <w:t>(m)</w:t>
                  </w:r>
                </w:p>
              </w:txbxContent>
            </v:textbox>
            <w10:wrap anchorx="page"/>
          </v:shape>
        </w:pict>
      </w:r>
      <w:r w:rsidR="00F22F94">
        <w:rPr>
          <w:spacing w:val="-5"/>
          <w:w w:val="95"/>
          <w:sz w:val="16"/>
        </w:rPr>
        <w:t>4.5</w:t>
      </w:r>
    </w:p>
    <w:p w:rsidR="002C1123" w:rsidRDefault="00F22F94">
      <w:pPr>
        <w:spacing w:before="71"/>
        <w:ind w:right="4984"/>
        <w:jc w:val="right"/>
        <w:rPr>
          <w:sz w:val="16"/>
        </w:rPr>
      </w:pPr>
      <w:r>
        <w:rPr>
          <w:spacing w:val="-5"/>
          <w:w w:val="95"/>
          <w:sz w:val="16"/>
        </w:rPr>
        <w:t>4.0</w:t>
      </w:r>
    </w:p>
    <w:p w:rsidR="002C1123" w:rsidRDefault="00F22F94">
      <w:pPr>
        <w:spacing w:before="76"/>
        <w:ind w:right="4984"/>
        <w:jc w:val="right"/>
        <w:rPr>
          <w:sz w:val="16"/>
        </w:rPr>
      </w:pPr>
      <w:r>
        <w:rPr>
          <w:spacing w:val="-5"/>
          <w:w w:val="95"/>
          <w:sz w:val="16"/>
        </w:rPr>
        <w:t>3.5</w:t>
      </w:r>
    </w:p>
    <w:p w:rsidR="002C1123" w:rsidRDefault="00F22F94">
      <w:pPr>
        <w:spacing w:before="75"/>
        <w:ind w:right="4984"/>
        <w:jc w:val="right"/>
        <w:rPr>
          <w:sz w:val="16"/>
        </w:rPr>
      </w:pPr>
      <w:r>
        <w:rPr>
          <w:spacing w:val="-5"/>
          <w:w w:val="95"/>
          <w:sz w:val="16"/>
        </w:rPr>
        <w:t>3.0</w:t>
      </w:r>
    </w:p>
    <w:p w:rsidR="002C1123" w:rsidRDefault="00F22F94">
      <w:pPr>
        <w:spacing w:before="76"/>
        <w:ind w:right="4984"/>
        <w:jc w:val="right"/>
        <w:rPr>
          <w:sz w:val="16"/>
        </w:rPr>
      </w:pPr>
      <w:r>
        <w:rPr>
          <w:spacing w:val="-5"/>
          <w:w w:val="95"/>
          <w:sz w:val="16"/>
        </w:rPr>
        <w:t>2.5</w:t>
      </w:r>
    </w:p>
    <w:p w:rsidR="002C1123" w:rsidRDefault="00F22F94">
      <w:pPr>
        <w:spacing w:before="78"/>
        <w:ind w:right="4984"/>
        <w:jc w:val="right"/>
        <w:rPr>
          <w:sz w:val="16"/>
        </w:rPr>
      </w:pPr>
      <w:r>
        <w:rPr>
          <w:spacing w:val="-5"/>
          <w:w w:val="95"/>
          <w:sz w:val="16"/>
        </w:rPr>
        <w:t>2.0</w:t>
      </w:r>
    </w:p>
    <w:p w:rsidR="002C1123" w:rsidRDefault="00F22F94">
      <w:pPr>
        <w:spacing w:before="68"/>
        <w:ind w:right="4984"/>
        <w:jc w:val="right"/>
        <w:rPr>
          <w:sz w:val="16"/>
        </w:rPr>
      </w:pPr>
      <w:r>
        <w:rPr>
          <w:spacing w:val="-5"/>
          <w:w w:val="95"/>
          <w:sz w:val="16"/>
        </w:rPr>
        <w:t>1.5</w:t>
      </w:r>
    </w:p>
    <w:p w:rsidR="002C1123" w:rsidRDefault="00F22F94">
      <w:pPr>
        <w:spacing w:before="70"/>
        <w:ind w:right="4984"/>
        <w:jc w:val="right"/>
        <w:rPr>
          <w:sz w:val="16"/>
        </w:rPr>
      </w:pPr>
      <w:r>
        <w:rPr>
          <w:spacing w:val="-5"/>
          <w:w w:val="95"/>
          <w:sz w:val="16"/>
        </w:rPr>
        <w:t>1.0</w:t>
      </w:r>
    </w:p>
    <w:p w:rsidR="002C1123" w:rsidRDefault="00F22F94">
      <w:pPr>
        <w:spacing w:before="76"/>
        <w:ind w:right="4984"/>
        <w:jc w:val="right"/>
        <w:rPr>
          <w:sz w:val="16"/>
        </w:rPr>
      </w:pPr>
      <w:r>
        <w:rPr>
          <w:spacing w:val="-5"/>
          <w:w w:val="95"/>
          <w:sz w:val="16"/>
        </w:rPr>
        <w:t>0.5</w:t>
      </w:r>
    </w:p>
    <w:p w:rsidR="002C1123" w:rsidRDefault="00F22F94">
      <w:pPr>
        <w:spacing w:before="71" w:line="95" w:lineRule="exact"/>
        <w:ind w:right="4984"/>
        <w:jc w:val="right"/>
        <w:rPr>
          <w:sz w:val="16"/>
        </w:rPr>
      </w:pPr>
      <w:r>
        <w:rPr>
          <w:w w:val="79"/>
          <w:sz w:val="16"/>
        </w:rPr>
        <w:t>0</w:t>
      </w:r>
    </w:p>
    <w:p w:rsidR="002C1123" w:rsidRDefault="002C1123">
      <w:pPr>
        <w:spacing w:line="95" w:lineRule="exact"/>
        <w:jc w:val="right"/>
        <w:rPr>
          <w:sz w:val="16"/>
        </w:rPr>
        <w:sectPr w:rsidR="002C1123">
          <w:type w:val="continuous"/>
          <w:pgSz w:w="16840" w:h="11910" w:orient="landscape"/>
          <w:pgMar w:top="560" w:right="280" w:bottom="280" w:left="500" w:header="0" w:footer="517" w:gutter="0"/>
          <w:cols w:num="3" w:space="720" w:equalWidth="0">
            <w:col w:w="5289" w:space="40"/>
            <w:col w:w="4968" w:space="39"/>
            <w:col w:w="5724"/>
          </w:cols>
        </w:sectPr>
      </w:pPr>
    </w:p>
    <w:p w:rsidR="002C1123" w:rsidRDefault="00F22F94">
      <w:pPr>
        <w:pStyle w:val="Heading6"/>
        <w:numPr>
          <w:ilvl w:val="2"/>
          <w:numId w:val="31"/>
        </w:numPr>
        <w:tabs>
          <w:tab w:val="left" w:pos="1087"/>
        </w:tabs>
        <w:spacing w:before="49"/>
        <w:ind w:left="1086"/>
        <w:jc w:val="left"/>
      </w:pPr>
      <w:r>
        <w:rPr>
          <w:color w:val="00AEEF"/>
          <w:w w:val="95"/>
        </w:rPr>
        <w:t>Industry</w:t>
      </w:r>
      <w:r>
        <w:rPr>
          <w:color w:val="00AEEF"/>
          <w:spacing w:val="-3"/>
        </w:rPr>
        <w:t xml:space="preserve"> </w:t>
      </w:r>
      <w:r>
        <w:rPr>
          <w:color w:val="00AEEF"/>
          <w:spacing w:val="-2"/>
        </w:rPr>
        <w:t>Structure</w:t>
      </w:r>
    </w:p>
    <w:p w:rsidR="002C1123" w:rsidRDefault="00F22F94">
      <w:pPr>
        <w:spacing w:before="95"/>
        <w:ind w:left="492"/>
        <w:rPr>
          <w:b/>
          <w:sz w:val="20"/>
        </w:rPr>
      </w:pPr>
      <w:r>
        <w:rPr>
          <w:b/>
          <w:spacing w:val="-4"/>
          <w:sz w:val="20"/>
        </w:rPr>
        <w:t>Arts</w:t>
      </w:r>
    </w:p>
    <w:p w:rsidR="002C1123" w:rsidRDefault="00F22F94">
      <w:pPr>
        <w:pStyle w:val="BodyText"/>
        <w:spacing w:before="10" w:line="249" w:lineRule="auto"/>
        <w:ind w:left="492"/>
      </w:pPr>
      <w:r>
        <w:t>Sydney</w:t>
      </w:r>
      <w:r>
        <w:rPr>
          <w:spacing w:val="-14"/>
        </w:rPr>
        <w:t xml:space="preserve"> </w:t>
      </w:r>
      <w:r>
        <w:t>has</w:t>
      </w:r>
      <w:r>
        <w:rPr>
          <w:spacing w:val="-14"/>
        </w:rPr>
        <w:t xml:space="preserve"> </w:t>
      </w:r>
      <w:r>
        <w:t>Australia’s</w:t>
      </w:r>
      <w:r>
        <w:rPr>
          <w:spacing w:val="-14"/>
        </w:rPr>
        <w:t xml:space="preserve"> </w:t>
      </w:r>
      <w:r>
        <w:t>largest</w:t>
      </w:r>
      <w:r>
        <w:rPr>
          <w:spacing w:val="-14"/>
        </w:rPr>
        <w:t xml:space="preserve"> </w:t>
      </w:r>
      <w:r>
        <w:t>community</w:t>
      </w:r>
      <w:r>
        <w:rPr>
          <w:spacing w:val="-14"/>
        </w:rPr>
        <w:t xml:space="preserve"> </w:t>
      </w:r>
      <w:r>
        <w:t>of</w:t>
      </w:r>
      <w:r>
        <w:rPr>
          <w:spacing w:val="-14"/>
        </w:rPr>
        <w:t xml:space="preserve"> </w:t>
      </w:r>
      <w:r>
        <w:t xml:space="preserve">artists </w:t>
      </w:r>
      <w:r>
        <w:rPr>
          <w:w w:val="95"/>
        </w:rPr>
        <w:t>across</w:t>
      </w:r>
      <w:r>
        <w:rPr>
          <w:spacing w:val="-5"/>
          <w:w w:val="95"/>
        </w:rPr>
        <w:t xml:space="preserve"> </w:t>
      </w:r>
      <w:r>
        <w:rPr>
          <w:w w:val="95"/>
        </w:rPr>
        <w:t>fields</w:t>
      </w:r>
      <w:r>
        <w:rPr>
          <w:spacing w:val="-5"/>
          <w:w w:val="95"/>
        </w:rPr>
        <w:t xml:space="preserve"> </w:t>
      </w:r>
      <w:r>
        <w:rPr>
          <w:w w:val="95"/>
        </w:rPr>
        <w:t>including</w:t>
      </w:r>
      <w:r>
        <w:rPr>
          <w:spacing w:val="-5"/>
          <w:w w:val="95"/>
        </w:rPr>
        <w:t xml:space="preserve"> </w:t>
      </w:r>
      <w:r>
        <w:rPr>
          <w:w w:val="95"/>
        </w:rPr>
        <w:t>music,</w:t>
      </w:r>
      <w:r>
        <w:rPr>
          <w:spacing w:val="-5"/>
          <w:w w:val="95"/>
        </w:rPr>
        <w:t xml:space="preserve"> </w:t>
      </w:r>
      <w:r>
        <w:rPr>
          <w:w w:val="95"/>
        </w:rPr>
        <w:t>film,</w:t>
      </w:r>
      <w:r>
        <w:rPr>
          <w:spacing w:val="-5"/>
          <w:w w:val="95"/>
        </w:rPr>
        <w:t xml:space="preserve"> </w:t>
      </w:r>
      <w:r>
        <w:rPr>
          <w:w w:val="95"/>
        </w:rPr>
        <w:t>performing</w:t>
      </w:r>
      <w:r>
        <w:rPr>
          <w:spacing w:val="-5"/>
          <w:w w:val="95"/>
        </w:rPr>
        <w:t xml:space="preserve"> </w:t>
      </w:r>
      <w:r>
        <w:rPr>
          <w:w w:val="95"/>
        </w:rPr>
        <w:t>arts,</w:t>
      </w:r>
      <w:r>
        <w:rPr>
          <w:spacing w:val="-5"/>
          <w:w w:val="95"/>
        </w:rPr>
        <w:t xml:space="preserve"> </w:t>
      </w:r>
      <w:r>
        <w:rPr>
          <w:w w:val="95"/>
        </w:rPr>
        <w:t xml:space="preserve">visual </w:t>
      </w:r>
      <w:r>
        <w:rPr>
          <w:spacing w:val="-2"/>
        </w:rPr>
        <w:t>arts,</w:t>
      </w:r>
      <w:r>
        <w:rPr>
          <w:spacing w:val="-8"/>
        </w:rPr>
        <w:t xml:space="preserve"> </w:t>
      </w:r>
      <w:r>
        <w:rPr>
          <w:spacing w:val="-2"/>
        </w:rPr>
        <w:t>museums</w:t>
      </w:r>
      <w:r>
        <w:rPr>
          <w:spacing w:val="-8"/>
        </w:rPr>
        <w:t xml:space="preserve"> </w:t>
      </w:r>
      <w:r>
        <w:rPr>
          <w:spacing w:val="-2"/>
        </w:rPr>
        <w:t>and</w:t>
      </w:r>
      <w:r>
        <w:rPr>
          <w:spacing w:val="-8"/>
        </w:rPr>
        <w:t xml:space="preserve"> </w:t>
      </w:r>
      <w:r>
        <w:rPr>
          <w:spacing w:val="-2"/>
        </w:rPr>
        <w:t>festival</w:t>
      </w:r>
      <w:r>
        <w:rPr>
          <w:spacing w:val="-8"/>
        </w:rPr>
        <w:t xml:space="preserve"> </w:t>
      </w:r>
      <w:r>
        <w:rPr>
          <w:spacing w:val="-2"/>
        </w:rPr>
        <w:t>events.</w:t>
      </w:r>
      <w:r>
        <w:rPr>
          <w:spacing w:val="-8"/>
        </w:rPr>
        <w:t xml:space="preserve"> </w:t>
      </w:r>
      <w:r>
        <w:rPr>
          <w:spacing w:val="-2"/>
        </w:rPr>
        <w:t>Ten</w:t>
      </w:r>
      <w:r>
        <w:rPr>
          <w:spacing w:val="-8"/>
        </w:rPr>
        <w:t xml:space="preserve"> </w:t>
      </w:r>
      <w:r>
        <w:rPr>
          <w:spacing w:val="-2"/>
        </w:rPr>
        <w:t>of</w:t>
      </w:r>
      <w:r>
        <w:rPr>
          <w:spacing w:val="-8"/>
        </w:rPr>
        <w:t xml:space="preserve"> </w:t>
      </w:r>
      <w:r>
        <w:rPr>
          <w:spacing w:val="-2"/>
        </w:rPr>
        <w:t>the</w:t>
      </w:r>
      <w:r>
        <w:rPr>
          <w:spacing w:val="-8"/>
        </w:rPr>
        <w:t xml:space="preserve"> </w:t>
      </w:r>
      <w:r>
        <w:rPr>
          <w:spacing w:val="-2"/>
        </w:rPr>
        <w:t>28</w:t>
      </w:r>
      <w:r>
        <w:rPr>
          <w:spacing w:val="-8"/>
        </w:rPr>
        <w:t xml:space="preserve"> </w:t>
      </w:r>
      <w:r>
        <w:rPr>
          <w:spacing w:val="-2"/>
        </w:rPr>
        <w:t>major performing</w:t>
      </w:r>
      <w:r>
        <w:rPr>
          <w:spacing w:val="-7"/>
        </w:rPr>
        <w:t xml:space="preserve"> </w:t>
      </w:r>
      <w:r>
        <w:rPr>
          <w:spacing w:val="-2"/>
        </w:rPr>
        <w:t>arts</w:t>
      </w:r>
      <w:r>
        <w:rPr>
          <w:spacing w:val="-7"/>
        </w:rPr>
        <w:t xml:space="preserve"> </w:t>
      </w:r>
      <w:r>
        <w:rPr>
          <w:spacing w:val="-2"/>
        </w:rPr>
        <w:t>group</w:t>
      </w:r>
      <w:r>
        <w:rPr>
          <w:spacing w:val="-7"/>
        </w:rPr>
        <w:t xml:space="preserve"> </w:t>
      </w:r>
      <w:r>
        <w:rPr>
          <w:spacing w:val="-2"/>
        </w:rPr>
        <w:t>in</w:t>
      </w:r>
      <w:r>
        <w:rPr>
          <w:spacing w:val="-7"/>
        </w:rPr>
        <w:t xml:space="preserve"> </w:t>
      </w:r>
      <w:r>
        <w:rPr>
          <w:spacing w:val="-2"/>
        </w:rPr>
        <w:t>Australia</w:t>
      </w:r>
      <w:r>
        <w:rPr>
          <w:spacing w:val="-7"/>
        </w:rPr>
        <w:t xml:space="preserve"> </w:t>
      </w:r>
      <w:r>
        <w:rPr>
          <w:spacing w:val="-2"/>
        </w:rPr>
        <w:t>are</w:t>
      </w:r>
      <w:r>
        <w:rPr>
          <w:spacing w:val="-7"/>
        </w:rPr>
        <w:t xml:space="preserve"> </w:t>
      </w:r>
      <w:r>
        <w:rPr>
          <w:spacing w:val="-2"/>
        </w:rPr>
        <w:t>located</w:t>
      </w:r>
      <w:r>
        <w:rPr>
          <w:spacing w:val="-7"/>
        </w:rPr>
        <w:t xml:space="preserve"> </w:t>
      </w:r>
      <w:r>
        <w:rPr>
          <w:spacing w:val="-2"/>
        </w:rPr>
        <w:t>within</w:t>
      </w:r>
      <w:r>
        <w:rPr>
          <w:spacing w:val="-7"/>
        </w:rPr>
        <w:t xml:space="preserve"> </w:t>
      </w:r>
      <w:r>
        <w:rPr>
          <w:spacing w:val="-2"/>
        </w:rPr>
        <w:t>the State.</w:t>
      </w:r>
      <w:r>
        <w:rPr>
          <w:spacing w:val="-3"/>
        </w:rPr>
        <w:t xml:space="preserve"> </w:t>
      </w:r>
      <w:r>
        <w:rPr>
          <w:spacing w:val="-2"/>
        </w:rPr>
        <w:t>The</w:t>
      </w:r>
      <w:r>
        <w:rPr>
          <w:spacing w:val="-3"/>
        </w:rPr>
        <w:t xml:space="preserve"> </w:t>
      </w:r>
      <w:r>
        <w:rPr>
          <w:spacing w:val="-2"/>
        </w:rPr>
        <w:t>Sydney-based</w:t>
      </w:r>
      <w:r>
        <w:rPr>
          <w:spacing w:val="-3"/>
        </w:rPr>
        <w:t xml:space="preserve"> </w:t>
      </w:r>
      <w:r>
        <w:rPr>
          <w:spacing w:val="-2"/>
        </w:rPr>
        <w:t>cultural</w:t>
      </w:r>
      <w:r>
        <w:rPr>
          <w:spacing w:val="-3"/>
        </w:rPr>
        <w:t xml:space="preserve"> </w:t>
      </w:r>
      <w:r>
        <w:rPr>
          <w:spacing w:val="-2"/>
        </w:rPr>
        <w:t>institutions</w:t>
      </w:r>
      <w:r>
        <w:rPr>
          <w:spacing w:val="-3"/>
        </w:rPr>
        <w:t xml:space="preserve"> </w:t>
      </w:r>
      <w:r>
        <w:rPr>
          <w:spacing w:val="-2"/>
        </w:rPr>
        <w:t>also</w:t>
      </w:r>
      <w:r>
        <w:rPr>
          <w:spacing w:val="-3"/>
        </w:rPr>
        <w:t xml:space="preserve"> </w:t>
      </w:r>
      <w:r>
        <w:rPr>
          <w:spacing w:val="-2"/>
        </w:rPr>
        <w:t xml:space="preserve">play </w:t>
      </w:r>
      <w:r>
        <w:rPr>
          <w:w w:val="95"/>
        </w:rPr>
        <w:t xml:space="preserve">an important role in Regional NSW through lending and </w:t>
      </w:r>
      <w:r>
        <w:t>touring</w:t>
      </w:r>
      <w:r>
        <w:rPr>
          <w:spacing w:val="-12"/>
        </w:rPr>
        <w:t xml:space="preserve"> </w:t>
      </w:r>
      <w:r>
        <w:t>collections,</w:t>
      </w:r>
      <w:r>
        <w:rPr>
          <w:spacing w:val="-12"/>
        </w:rPr>
        <w:t xml:space="preserve"> </w:t>
      </w:r>
      <w:r>
        <w:t>offsite</w:t>
      </w:r>
      <w:r>
        <w:rPr>
          <w:spacing w:val="-12"/>
        </w:rPr>
        <w:t xml:space="preserve"> </w:t>
      </w:r>
      <w:r>
        <w:t>presentations</w:t>
      </w:r>
      <w:r>
        <w:rPr>
          <w:spacing w:val="-12"/>
        </w:rPr>
        <w:t xml:space="preserve"> </w:t>
      </w:r>
      <w:r>
        <w:t>and</w:t>
      </w:r>
      <w:r>
        <w:rPr>
          <w:spacing w:val="-12"/>
        </w:rPr>
        <w:t xml:space="preserve"> </w:t>
      </w:r>
      <w:r>
        <w:t>providing online</w:t>
      </w:r>
      <w:r>
        <w:rPr>
          <w:spacing w:val="-10"/>
        </w:rPr>
        <w:t xml:space="preserve"> </w:t>
      </w:r>
      <w:r>
        <w:t>access</w:t>
      </w:r>
      <w:r>
        <w:rPr>
          <w:spacing w:val="-10"/>
        </w:rPr>
        <w:t xml:space="preserve"> </w:t>
      </w:r>
      <w:r>
        <w:t>to</w:t>
      </w:r>
      <w:r>
        <w:rPr>
          <w:spacing w:val="-10"/>
        </w:rPr>
        <w:t xml:space="preserve"> </w:t>
      </w:r>
      <w:r>
        <w:t>resources</w:t>
      </w:r>
      <w:r>
        <w:rPr>
          <w:spacing w:val="-10"/>
        </w:rPr>
        <w:t xml:space="preserve"> </w:t>
      </w:r>
      <w:r>
        <w:t>and</w:t>
      </w:r>
      <w:r>
        <w:rPr>
          <w:spacing w:val="-10"/>
        </w:rPr>
        <w:t xml:space="preserve"> </w:t>
      </w:r>
      <w:r>
        <w:t>digitised</w:t>
      </w:r>
      <w:r>
        <w:rPr>
          <w:spacing w:val="-10"/>
        </w:rPr>
        <w:t xml:space="preserve"> </w:t>
      </w:r>
      <w:r>
        <w:t>collections.</w:t>
      </w:r>
    </w:p>
    <w:p w:rsidR="002C1123" w:rsidRDefault="00F22F94">
      <w:pPr>
        <w:pStyle w:val="BodyText"/>
        <w:spacing w:before="145" w:line="249" w:lineRule="auto"/>
        <w:ind w:left="492"/>
      </w:pPr>
      <w:r>
        <w:rPr>
          <w:spacing w:val="-2"/>
        </w:rPr>
        <w:t>Future</w:t>
      </w:r>
      <w:r>
        <w:rPr>
          <w:spacing w:val="-10"/>
        </w:rPr>
        <w:t xml:space="preserve"> </w:t>
      </w:r>
      <w:r>
        <w:rPr>
          <w:spacing w:val="-2"/>
        </w:rPr>
        <w:t>growth</w:t>
      </w:r>
      <w:r>
        <w:rPr>
          <w:spacing w:val="-10"/>
        </w:rPr>
        <w:t xml:space="preserve"> </w:t>
      </w:r>
      <w:r>
        <w:rPr>
          <w:spacing w:val="-2"/>
        </w:rPr>
        <w:t>of</w:t>
      </w:r>
      <w:r>
        <w:rPr>
          <w:spacing w:val="-10"/>
        </w:rPr>
        <w:t xml:space="preserve"> </w:t>
      </w:r>
      <w:r>
        <w:rPr>
          <w:spacing w:val="-2"/>
        </w:rPr>
        <w:t>these</w:t>
      </w:r>
      <w:r>
        <w:rPr>
          <w:spacing w:val="-10"/>
        </w:rPr>
        <w:t xml:space="preserve"> </w:t>
      </w:r>
      <w:r>
        <w:rPr>
          <w:spacing w:val="-2"/>
        </w:rPr>
        <w:t>institutions,</w:t>
      </w:r>
      <w:r>
        <w:rPr>
          <w:spacing w:val="-10"/>
        </w:rPr>
        <w:t xml:space="preserve"> </w:t>
      </w:r>
      <w:r>
        <w:rPr>
          <w:spacing w:val="-2"/>
        </w:rPr>
        <w:t>however,</w:t>
      </w:r>
      <w:r>
        <w:rPr>
          <w:spacing w:val="-10"/>
        </w:rPr>
        <w:t xml:space="preserve"> </w:t>
      </w:r>
      <w:r>
        <w:rPr>
          <w:spacing w:val="-2"/>
        </w:rPr>
        <w:t>may</w:t>
      </w:r>
      <w:r>
        <w:rPr>
          <w:spacing w:val="-10"/>
        </w:rPr>
        <w:t xml:space="preserve"> </w:t>
      </w:r>
      <w:r>
        <w:rPr>
          <w:spacing w:val="-2"/>
        </w:rPr>
        <w:t xml:space="preserve">be </w:t>
      </w:r>
      <w:r>
        <w:rPr>
          <w:w w:val="95"/>
        </w:rPr>
        <w:t>constrained</w:t>
      </w:r>
      <w:r>
        <w:rPr>
          <w:spacing w:val="-7"/>
          <w:w w:val="95"/>
        </w:rPr>
        <w:t xml:space="preserve"> </w:t>
      </w:r>
      <w:r>
        <w:rPr>
          <w:w w:val="95"/>
        </w:rPr>
        <w:t>by</w:t>
      </w:r>
      <w:r>
        <w:rPr>
          <w:spacing w:val="-7"/>
          <w:w w:val="95"/>
        </w:rPr>
        <w:t xml:space="preserve"> </w:t>
      </w:r>
      <w:r>
        <w:rPr>
          <w:w w:val="95"/>
        </w:rPr>
        <w:t>infrastructure</w:t>
      </w:r>
      <w:r>
        <w:rPr>
          <w:spacing w:val="-7"/>
          <w:w w:val="95"/>
        </w:rPr>
        <w:t xml:space="preserve"> </w:t>
      </w:r>
      <w:r>
        <w:rPr>
          <w:w w:val="95"/>
        </w:rPr>
        <w:t>limitations.</w:t>
      </w:r>
      <w:r>
        <w:rPr>
          <w:spacing w:val="-7"/>
          <w:w w:val="95"/>
        </w:rPr>
        <w:t xml:space="preserve"> </w:t>
      </w:r>
      <w:r>
        <w:rPr>
          <w:w w:val="95"/>
        </w:rPr>
        <w:t>For</w:t>
      </w:r>
      <w:r>
        <w:rPr>
          <w:spacing w:val="-7"/>
          <w:w w:val="95"/>
        </w:rPr>
        <w:t xml:space="preserve"> </w:t>
      </w:r>
      <w:r>
        <w:rPr>
          <w:w w:val="95"/>
        </w:rPr>
        <w:t>example,</w:t>
      </w:r>
    </w:p>
    <w:p w:rsidR="002C1123" w:rsidRDefault="00F22F94">
      <w:pPr>
        <w:pStyle w:val="BodyText"/>
        <w:spacing w:before="6" w:line="249" w:lineRule="auto"/>
        <w:ind w:left="198"/>
      </w:pPr>
      <w:r>
        <w:br w:type="column"/>
      </w:r>
      <w:r>
        <w:rPr>
          <w:w w:val="95"/>
        </w:rPr>
        <w:t>infrastructure</w:t>
      </w:r>
      <w:r>
        <w:rPr>
          <w:spacing w:val="-8"/>
          <w:w w:val="95"/>
        </w:rPr>
        <w:t xml:space="preserve"> </w:t>
      </w:r>
      <w:r>
        <w:rPr>
          <w:w w:val="95"/>
        </w:rPr>
        <w:t>assets</w:t>
      </w:r>
      <w:r>
        <w:rPr>
          <w:spacing w:val="-8"/>
          <w:w w:val="95"/>
        </w:rPr>
        <w:t xml:space="preserve"> </w:t>
      </w:r>
      <w:r>
        <w:rPr>
          <w:w w:val="95"/>
        </w:rPr>
        <w:t>–</w:t>
      </w:r>
      <w:r>
        <w:rPr>
          <w:spacing w:val="-8"/>
          <w:w w:val="95"/>
        </w:rPr>
        <w:t xml:space="preserve"> </w:t>
      </w:r>
      <w:r>
        <w:rPr>
          <w:w w:val="95"/>
        </w:rPr>
        <w:t>Sydney</w:t>
      </w:r>
      <w:r>
        <w:rPr>
          <w:spacing w:val="-8"/>
          <w:w w:val="95"/>
        </w:rPr>
        <w:t xml:space="preserve"> </w:t>
      </w:r>
      <w:r>
        <w:rPr>
          <w:w w:val="95"/>
        </w:rPr>
        <w:t>Olympic</w:t>
      </w:r>
      <w:r>
        <w:rPr>
          <w:spacing w:val="-8"/>
          <w:w w:val="95"/>
        </w:rPr>
        <w:t xml:space="preserve"> </w:t>
      </w:r>
      <w:r>
        <w:rPr>
          <w:w w:val="95"/>
        </w:rPr>
        <w:t>Park</w:t>
      </w:r>
      <w:r>
        <w:rPr>
          <w:spacing w:val="-8"/>
          <w:w w:val="95"/>
        </w:rPr>
        <w:t xml:space="preserve"> </w:t>
      </w:r>
      <w:r>
        <w:rPr>
          <w:w w:val="95"/>
        </w:rPr>
        <w:t>and</w:t>
      </w:r>
      <w:r>
        <w:rPr>
          <w:spacing w:val="-8"/>
          <w:w w:val="95"/>
        </w:rPr>
        <w:t xml:space="preserve"> </w:t>
      </w:r>
      <w:r>
        <w:rPr>
          <w:w w:val="95"/>
        </w:rPr>
        <w:t xml:space="preserve">the </w:t>
      </w:r>
      <w:r>
        <w:t>Moore Park precinct.</w:t>
      </w:r>
    </w:p>
    <w:p w:rsidR="002C1123" w:rsidRDefault="00F22F94">
      <w:pPr>
        <w:pStyle w:val="Heading6"/>
        <w:spacing w:before="143"/>
        <w:ind w:left="198"/>
      </w:pPr>
      <w:r>
        <w:rPr>
          <w:w w:val="95"/>
        </w:rPr>
        <w:t>Visitor</w:t>
      </w:r>
      <w:r>
        <w:rPr>
          <w:spacing w:val="4"/>
        </w:rPr>
        <w:t xml:space="preserve"> </w:t>
      </w:r>
      <w:r>
        <w:rPr>
          <w:spacing w:val="-2"/>
        </w:rPr>
        <w:t>Economy</w:t>
      </w:r>
    </w:p>
    <w:p w:rsidR="002C1123" w:rsidRDefault="00F22F94">
      <w:pPr>
        <w:pStyle w:val="BodyText"/>
        <w:spacing w:before="10" w:line="249" w:lineRule="auto"/>
        <w:ind w:left="198"/>
      </w:pPr>
      <w:r>
        <w:rPr>
          <w:w w:val="95"/>
        </w:rPr>
        <w:t>Overall</w:t>
      </w:r>
      <w:r>
        <w:rPr>
          <w:spacing w:val="-12"/>
          <w:w w:val="95"/>
        </w:rPr>
        <w:t xml:space="preserve"> </w:t>
      </w:r>
      <w:r>
        <w:rPr>
          <w:w w:val="95"/>
        </w:rPr>
        <w:t>visitor</w:t>
      </w:r>
      <w:r>
        <w:rPr>
          <w:spacing w:val="-11"/>
          <w:w w:val="95"/>
        </w:rPr>
        <w:t xml:space="preserve"> </w:t>
      </w:r>
      <w:r>
        <w:rPr>
          <w:w w:val="95"/>
        </w:rPr>
        <w:t>numbers</w:t>
      </w:r>
      <w:r>
        <w:rPr>
          <w:spacing w:val="-11"/>
          <w:w w:val="95"/>
        </w:rPr>
        <w:t xml:space="preserve"> </w:t>
      </w:r>
      <w:r>
        <w:rPr>
          <w:w w:val="95"/>
        </w:rPr>
        <w:t>in</w:t>
      </w:r>
      <w:r>
        <w:rPr>
          <w:spacing w:val="-11"/>
          <w:w w:val="95"/>
        </w:rPr>
        <w:t xml:space="preserve"> </w:t>
      </w:r>
      <w:r>
        <w:rPr>
          <w:w w:val="95"/>
        </w:rPr>
        <w:t>Sydney</w:t>
      </w:r>
      <w:r>
        <w:rPr>
          <w:spacing w:val="-11"/>
          <w:w w:val="95"/>
        </w:rPr>
        <w:t xml:space="preserve"> </w:t>
      </w:r>
      <w:r>
        <w:rPr>
          <w:w w:val="95"/>
        </w:rPr>
        <w:t>have</w:t>
      </w:r>
      <w:r>
        <w:rPr>
          <w:spacing w:val="-11"/>
          <w:w w:val="95"/>
        </w:rPr>
        <w:t xml:space="preserve"> </w:t>
      </w:r>
      <w:r>
        <w:rPr>
          <w:w w:val="95"/>
        </w:rPr>
        <w:t>remained</w:t>
      </w:r>
      <w:r>
        <w:rPr>
          <w:spacing w:val="-11"/>
          <w:w w:val="95"/>
        </w:rPr>
        <w:t xml:space="preserve"> </w:t>
      </w:r>
      <w:r>
        <w:rPr>
          <w:w w:val="95"/>
        </w:rPr>
        <w:t xml:space="preserve">broadly </w:t>
      </w:r>
      <w:r>
        <w:rPr>
          <w:spacing w:val="-2"/>
        </w:rPr>
        <w:t>flat</w:t>
      </w:r>
      <w:r>
        <w:rPr>
          <w:spacing w:val="-7"/>
        </w:rPr>
        <w:t xml:space="preserve"> </w:t>
      </w:r>
      <w:r>
        <w:rPr>
          <w:spacing w:val="-2"/>
        </w:rPr>
        <w:t>over</w:t>
      </w:r>
      <w:r>
        <w:rPr>
          <w:spacing w:val="-7"/>
        </w:rPr>
        <w:t xml:space="preserve"> </w:t>
      </w:r>
      <w:r>
        <w:rPr>
          <w:spacing w:val="-2"/>
        </w:rPr>
        <w:t>the</w:t>
      </w:r>
      <w:r>
        <w:rPr>
          <w:spacing w:val="-7"/>
        </w:rPr>
        <w:t xml:space="preserve"> </w:t>
      </w:r>
      <w:r>
        <w:rPr>
          <w:spacing w:val="-2"/>
        </w:rPr>
        <w:t>past</w:t>
      </w:r>
      <w:r>
        <w:rPr>
          <w:spacing w:val="-7"/>
        </w:rPr>
        <w:t xml:space="preserve"> </w:t>
      </w:r>
      <w:r>
        <w:rPr>
          <w:spacing w:val="-2"/>
        </w:rPr>
        <w:t>decade,</w:t>
      </w:r>
      <w:r>
        <w:rPr>
          <w:spacing w:val="-7"/>
        </w:rPr>
        <w:t xml:space="preserve"> </w:t>
      </w:r>
      <w:r>
        <w:rPr>
          <w:spacing w:val="-2"/>
        </w:rPr>
        <w:t>averaging</w:t>
      </w:r>
      <w:r>
        <w:rPr>
          <w:spacing w:val="-7"/>
        </w:rPr>
        <w:t xml:space="preserve"> </w:t>
      </w:r>
      <w:r>
        <w:rPr>
          <w:spacing w:val="-2"/>
        </w:rPr>
        <w:t>2.7</w:t>
      </w:r>
      <w:r>
        <w:rPr>
          <w:spacing w:val="-7"/>
        </w:rPr>
        <w:t xml:space="preserve"> </w:t>
      </w:r>
      <w:r>
        <w:rPr>
          <w:spacing w:val="-2"/>
        </w:rPr>
        <w:t>million</w:t>
      </w:r>
      <w:r>
        <w:rPr>
          <w:spacing w:val="-7"/>
        </w:rPr>
        <w:t xml:space="preserve"> </w:t>
      </w:r>
      <w:r>
        <w:rPr>
          <w:spacing w:val="-2"/>
        </w:rPr>
        <w:t xml:space="preserve">visitors </w:t>
      </w:r>
      <w:r>
        <w:rPr>
          <w:w w:val="95"/>
        </w:rPr>
        <w:t>per year. International holiday visitor numbers are lower in</w:t>
      </w:r>
      <w:r>
        <w:rPr>
          <w:spacing w:val="-3"/>
          <w:w w:val="95"/>
        </w:rPr>
        <w:t xml:space="preserve"> </w:t>
      </w:r>
      <w:r>
        <w:rPr>
          <w:w w:val="95"/>
        </w:rPr>
        <w:t>2010</w:t>
      </w:r>
      <w:r>
        <w:rPr>
          <w:spacing w:val="-3"/>
          <w:w w:val="95"/>
        </w:rPr>
        <w:t xml:space="preserve"> </w:t>
      </w:r>
      <w:r>
        <w:rPr>
          <w:w w:val="95"/>
        </w:rPr>
        <w:t>(1.9</w:t>
      </w:r>
      <w:r>
        <w:rPr>
          <w:spacing w:val="-3"/>
          <w:w w:val="95"/>
        </w:rPr>
        <w:t xml:space="preserve"> </w:t>
      </w:r>
      <w:r>
        <w:rPr>
          <w:w w:val="95"/>
        </w:rPr>
        <w:t>million)</w:t>
      </w:r>
      <w:r>
        <w:rPr>
          <w:spacing w:val="-3"/>
          <w:w w:val="95"/>
        </w:rPr>
        <w:t xml:space="preserve"> </w:t>
      </w:r>
      <w:r>
        <w:rPr>
          <w:w w:val="95"/>
        </w:rPr>
        <w:t>than</w:t>
      </w:r>
      <w:r>
        <w:rPr>
          <w:spacing w:val="-3"/>
          <w:w w:val="95"/>
        </w:rPr>
        <w:t xml:space="preserve"> </w:t>
      </w:r>
      <w:r>
        <w:rPr>
          <w:w w:val="95"/>
        </w:rPr>
        <w:t>they</w:t>
      </w:r>
      <w:r>
        <w:rPr>
          <w:spacing w:val="-3"/>
          <w:w w:val="95"/>
        </w:rPr>
        <w:t xml:space="preserve"> </w:t>
      </w:r>
      <w:r>
        <w:rPr>
          <w:w w:val="95"/>
        </w:rPr>
        <w:t>were</w:t>
      </w:r>
      <w:r>
        <w:rPr>
          <w:spacing w:val="-3"/>
          <w:w w:val="95"/>
        </w:rPr>
        <w:t xml:space="preserve"> </w:t>
      </w:r>
      <w:r>
        <w:rPr>
          <w:w w:val="95"/>
        </w:rPr>
        <w:t>in</w:t>
      </w:r>
      <w:r>
        <w:rPr>
          <w:spacing w:val="-3"/>
          <w:w w:val="95"/>
        </w:rPr>
        <w:t xml:space="preserve"> </w:t>
      </w:r>
      <w:r>
        <w:rPr>
          <w:w w:val="95"/>
        </w:rPr>
        <w:t>2001</w:t>
      </w:r>
      <w:r>
        <w:rPr>
          <w:spacing w:val="-3"/>
          <w:w w:val="95"/>
        </w:rPr>
        <w:t xml:space="preserve"> </w:t>
      </w:r>
      <w:r>
        <w:rPr>
          <w:w w:val="95"/>
        </w:rPr>
        <w:t>(2.3</w:t>
      </w:r>
      <w:r>
        <w:rPr>
          <w:spacing w:val="-3"/>
          <w:w w:val="95"/>
        </w:rPr>
        <w:t xml:space="preserve"> </w:t>
      </w:r>
      <w:r>
        <w:rPr>
          <w:w w:val="95"/>
        </w:rPr>
        <w:t>million).</w:t>
      </w:r>
    </w:p>
    <w:p w:rsidR="002C1123" w:rsidRDefault="00F22F94">
      <w:pPr>
        <w:pStyle w:val="BodyText"/>
        <w:spacing w:before="145" w:line="249" w:lineRule="auto"/>
        <w:ind w:left="198" w:right="217"/>
      </w:pPr>
      <w:r>
        <w:t>The</w:t>
      </w:r>
      <w:r>
        <w:rPr>
          <w:spacing w:val="-14"/>
        </w:rPr>
        <w:t xml:space="preserve"> </w:t>
      </w:r>
      <w:r>
        <w:t>Visitor</w:t>
      </w:r>
      <w:r>
        <w:rPr>
          <w:spacing w:val="-14"/>
        </w:rPr>
        <w:t xml:space="preserve"> </w:t>
      </w:r>
      <w:r>
        <w:t>Economy</w:t>
      </w:r>
      <w:r>
        <w:rPr>
          <w:spacing w:val="-14"/>
        </w:rPr>
        <w:t xml:space="preserve"> </w:t>
      </w:r>
      <w:r>
        <w:t>Taskforce</w:t>
      </w:r>
      <w:r>
        <w:rPr>
          <w:spacing w:val="-14"/>
        </w:rPr>
        <w:t xml:space="preserve"> </w:t>
      </w:r>
      <w:r>
        <w:t>strategies</w:t>
      </w:r>
      <w:r>
        <w:rPr>
          <w:spacing w:val="-14"/>
        </w:rPr>
        <w:t xml:space="preserve"> </w:t>
      </w:r>
      <w:r>
        <w:t xml:space="preserve">to </w:t>
      </w:r>
      <w:r>
        <w:rPr>
          <w:w w:val="95"/>
        </w:rPr>
        <w:t>increase</w:t>
      </w:r>
      <w:r>
        <w:rPr>
          <w:spacing w:val="-9"/>
          <w:w w:val="95"/>
        </w:rPr>
        <w:t xml:space="preserve"> </w:t>
      </w:r>
      <w:r>
        <w:rPr>
          <w:w w:val="95"/>
        </w:rPr>
        <w:t>visitor</w:t>
      </w:r>
      <w:r>
        <w:rPr>
          <w:spacing w:val="-9"/>
          <w:w w:val="95"/>
        </w:rPr>
        <w:t xml:space="preserve"> </w:t>
      </w:r>
      <w:r>
        <w:rPr>
          <w:w w:val="95"/>
        </w:rPr>
        <w:t>numbers</w:t>
      </w:r>
      <w:r>
        <w:rPr>
          <w:spacing w:val="-9"/>
          <w:w w:val="95"/>
        </w:rPr>
        <w:t xml:space="preserve"> </w:t>
      </w:r>
      <w:r>
        <w:rPr>
          <w:w w:val="95"/>
        </w:rPr>
        <w:t>rely,</w:t>
      </w:r>
      <w:r>
        <w:rPr>
          <w:spacing w:val="-9"/>
          <w:w w:val="95"/>
        </w:rPr>
        <w:t xml:space="preserve"> </w:t>
      </w:r>
      <w:r>
        <w:rPr>
          <w:w w:val="95"/>
        </w:rPr>
        <w:t>to</w:t>
      </w:r>
      <w:r>
        <w:rPr>
          <w:spacing w:val="-9"/>
          <w:w w:val="95"/>
        </w:rPr>
        <w:t xml:space="preserve"> </w:t>
      </w:r>
      <w:r>
        <w:rPr>
          <w:w w:val="95"/>
        </w:rPr>
        <w:t>some</w:t>
      </w:r>
      <w:r>
        <w:rPr>
          <w:spacing w:val="-9"/>
          <w:w w:val="95"/>
        </w:rPr>
        <w:t xml:space="preserve"> </w:t>
      </w:r>
      <w:r>
        <w:rPr>
          <w:w w:val="95"/>
        </w:rPr>
        <w:t>extent,</w:t>
      </w:r>
      <w:r>
        <w:rPr>
          <w:spacing w:val="-9"/>
          <w:w w:val="95"/>
        </w:rPr>
        <w:t xml:space="preserve"> </w:t>
      </w:r>
      <w:r>
        <w:rPr>
          <w:w w:val="95"/>
        </w:rPr>
        <w:t>on</w:t>
      </w:r>
      <w:r>
        <w:rPr>
          <w:spacing w:val="-9"/>
          <w:w w:val="95"/>
        </w:rPr>
        <w:t xml:space="preserve"> </w:t>
      </w:r>
      <w:r>
        <w:rPr>
          <w:w w:val="95"/>
        </w:rPr>
        <w:t>the</w:t>
      </w:r>
    </w:p>
    <w:p w:rsidR="002C1123" w:rsidRDefault="00F22F94">
      <w:pPr>
        <w:pStyle w:val="BodyText"/>
        <w:spacing w:before="2"/>
        <w:ind w:left="198"/>
      </w:pPr>
      <w:r>
        <w:rPr>
          <w:w w:val="95"/>
        </w:rPr>
        <w:t>attractiveness</w:t>
      </w:r>
      <w:r>
        <w:rPr>
          <w:spacing w:val="-6"/>
          <w:w w:val="95"/>
        </w:rPr>
        <w:t xml:space="preserve"> </w:t>
      </w:r>
      <w:r>
        <w:rPr>
          <w:w w:val="95"/>
        </w:rPr>
        <w:t>of</w:t>
      </w:r>
      <w:r>
        <w:rPr>
          <w:spacing w:val="-6"/>
          <w:w w:val="95"/>
        </w:rPr>
        <w:t xml:space="preserve"> </w:t>
      </w:r>
      <w:r>
        <w:rPr>
          <w:w w:val="95"/>
        </w:rPr>
        <w:t>our</w:t>
      </w:r>
      <w:r>
        <w:rPr>
          <w:spacing w:val="-6"/>
          <w:w w:val="95"/>
        </w:rPr>
        <w:t xml:space="preserve"> </w:t>
      </w:r>
      <w:r>
        <w:rPr>
          <w:w w:val="95"/>
        </w:rPr>
        <w:t>cultural</w:t>
      </w:r>
      <w:r>
        <w:rPr>
          <w:spacing w:val="-6"/>
          <w:w w:val="95"/>
        </w:rPr>
        <w:t xml:space="preserve"> </w:t>
      </w:r>
      <w:r>
        <w:rPr>
          <w:w w:val="95"/>
        </w:rPr>
        <w:t>institutions</w:t>
      </w:r>
      <w:r>
        <w:rPr>
          <w:spacing w:val="-6"/>
          <w:w w:val="95"/>
        </w:rPr>
        <w:t xml:space="preserve"> </w:t>
      </w:r>
      <w:r>
        <w:rPr>
          <w:w w:val="95"/>
        </w:rPr>
        <w:t>and</w:t>
      </w:r>
      <w:r>
        <w:rPr>
          <w:spacing w:val="-6"/>
          <w:w w:val="95"/>
        </w:rPr>
        <w:t xml:space="preserve"> </w:t>
      </w:r>
      <w:r>
        <w:rPr>
          <w:spacing w:val="-2"/>
          <w:w w:val="95"/>
        </w:rPr>
        <w:t>programs.</w:t>
      </w:r>
    </w:p>
    <w:p w:rsidR="002C1123" w:rsidRDefault="00F22F94">
      <w:pPr>
        <w:pStyle w:val="BodyText"/>
        <w:spacing w:before="122" w:line="240" w:lineRule="atLeast"/>
        <w:ind w:left="198"/>
      </w:pPr>
      <w:r>
        <w:rPr>
          <w:spacing w:val="-2"/>
        </w:rPr>
        <w:t>As</w:t>
      </w:r>
      <w:r>
        <w:rPr>
          <w:spacing w:val="-13"/>
        </w:rPr>
        <w:t xml:space="preserve"> </w:t>
      </w:r>
      <w:r>
        <w:rPr>
          <w:spacing w:val="-2"/>
        </w:rPr>
        <w:t>figure</w:t>
      </w:r>
      <w:r>
        <w:rPr>
          <w:spacing w:val="-13"/>
        </w:rPr>
        <w:t xml:space="preserve"> </w:t>
      </w:r>
      <w:r>
        <w:rPr>
          <w:spacing w:val="-2"/>
        </w:rPr>
        <w:t>14.5</w:t>
      </w:r>
      <w:r>
        <w:rPr>
          <w:spacing w:val="-13"/>
        </w:rPr>
        <w:t xml:space="preserve"> </w:t>
      </w:r>
      <w:r>
        <w:rPr>
          <w:spacing w:val="-2"/>
        </w:rPr>
        <w:t>illustrates,</w:t>
      </w:r>
      <w:r>
        <w:rPr>
          <w:spacing w:val="-13"/>
        </w:rPr>
        <w:t xml:space="preserve"> </w:t>
      </w:r>
      <w:r>
        <w:rPr>
          <w:spacing w:val="-2"/>
        </w:rPr>
        <w:t>in</w:t>
      </w:r>
      <w:r>
        <w:rPr>
          <w:spacing w:val="-13"/>
        </w:rPr>
        <w:t xml:space="preserve"> </w:t>
      </w:r>
      <w:r>
        <w:rPr>
          <w:spacing w:val="-2"/>
        </w:rPr>
        <w:t>2010</w:t>
      </w:r>
      <w:r>
        <w:rPr>
          <w:spacing w:val="-13"/>
        </w:rPr>
        <w:t xml:space="preserve"> </w:t>
      </w:r>
      <w:r>
        <w:rPr>
          <w:spacing w:val="-2"/>
        </w:rPr>
        <w:t>3.6</w:t>
      </w:r>
      <w:r>
        <w:rPr>
          <w:spacing w:val="-13"/>
        </w:rPr>
        <w:t xml:space="preserve"> </w:t>
      </w:r>
      <w:r>
        <w:rPr>
          <w:spacing w:val="-2"/>
        </w:rPr>
        <w:t>million</w:t>
      </w:r>
      <w:r>
        <w:rPr>
          <w:spacing w:val="-13"/>
        </w:rPr>
        <w:t xml:space="preserve"> </w:t>
      </w:r>
      <w:r>
        <w:rPr>
          <w:spacing w:val="-2"/>
        </w:rPr>
        <w:t xml:space="preserve">people </w:t>
      </w:r>
      <w:r>
        <w:rPr>
          <w:w w:val="95"/>
        </w:rPr>
        <w:t>attended</w:t>
      </w:r>
      <w:r>
        <w:rPr>
          <w:spacing w:val="-6"/>
          <w:w w:val="95"/>
        </w:rPr>
        <w:t xml:space="preserve"> </w:t>
      </w:r>
      <w:r>
        <w:rPr>
          <w:w w:val="95"/>
        </w:rPr>
        <w:t>the</w:t>
      </w:r>
      <w:r>
        <w:rPr>
          <w:spacing w:val="-6"/>
          <w:w w:val="95"/>
        </w:rPr>
        <w:t xml:space="preserve"> </w:t>
      </w:r>
      <w:r>
        <w:rPr>
          <w:w w:val="95"/>
        </w:rPr>
        <w:t>State’s</w:t>
      </w:r>
      <w:r>
        <w:rPr>
          <w:spacing w:val="-6"/>
          <w:w w:val="95"/>
        </w:rPr>
        <w:t xml:space="preserve"> </w:t>
      </w:r>
      <w:r>
        <w:rPr>
          <w:w w:val="95"/>
        </w:rPr>
        <w:t>four</w:t>
      </w:r>
      <w:r>
        <w:rPr>
          <w:spacing w:val="-6"/>
          <w:w w:val="95"/>
        </w:rPr>
        <w:t xml:space="preserve"> </w:t>
      </w:r>
      <w:r>
        <w:rPr>
          <w:w w:val="95"/>
        </w:rPr>
        <w:t>leading</w:t>
      </w:r>
      <w:r>
        <w:rPr>
          <w:spacing w:val="-6"/>
          <w:w w:val="95"/>
        </w:rPr>
        <w:t xml:space="preserve"> </w:t>
      </w:r>
      <w:r>
        <w:rPr>
          <w:w w:val="95"/>
        </w:rPr>
        <w:t>cultural</w:t>
      </w:r>
      <w:r>
        <w:rPr>
          <w:spacing w:val="-6"/>
          <w:w w:val="95"/>
        </w:rPr>
        <w:t xml:space="preserve"> </w:t>
      </w:r>
      <w:r>
        <w:rPr>
          <w:w w:val="95"/>
        </w:rPr>
        <w:t>institutions</w:t>
      </w:r>
    </w:p>
    <w:p w:rsidR="002C1123" w:rsidRDefault="00F22F94">
      <w:pPr>
        <w:spacing w:before="55"/>
        <w:ind w:left="1577"/>
        <w:rPr>
          <w:sz w:val="16"/>
        </w:rPr>
      </w:pPr>
      <w:r>
        <w:br w:type="column"/>
      </w:r>
      <w:r>
        <w:rPr>
          <w:w w:val="75"/>
          <w:sz w:val="16"/>
        </w:rPr>
        <w:t>Culture</w:t>
      </w:r>
      <w:r>
        <w:rPr>
          <w:spacing w:val="8"/>
          <w:sz w:val="16"/>
        </w:rPr>
        <w:t xml:space="preserve"> </w:t>
      </w:r>
      <w:r>
        <w:rPr>
          <w:spacing w:val="-2"/>
          <w:w w:val="90"/>
          <w:sz w:val="16"/>
        </w:rPr>
        <w:t>venues</w:t>
      </w:r>
    </w:p>
    <w:p w:rsidR="002C1123" w:rsidRDefault="002060EF">
      <w:pPr>
        <w:spacing w:before="147" w:line="345" w:lineRule="auto"/>
        <w:ind w:left="496" w:right="1077" w:hanging="3"/>
        <w:rPr>
          <w:sz w:val="16"/>
        </w:rPr>
      </w:pPr>
      <w:r>
        <w:pict>
          <v:rect id="docshape2680" o:spid="_x0000_s1354" style="position:absolute;left:0;text-align:left;margin-left:553.6pt;margin-top:7.75pt;width:8.5pt;height:8.5pt;z-index:251710464;mso-position-horizontal-relative:page" fillcolor="#b9e5fa" stroked="f">
            <w10:wrap anchorx="page"/>
          </v:rect>
        </w:pict>
      </w:r>
      <w:r>
        <w:pict>
          <v:rect id="docshape2681" o:spid="_x0000_s1353" style="position:absolute;left:0;text-align:left;margin-left:553.6pt;margin-top:21pt;width:8.5pt;height:8.5pt;z-index:251712512;mso-position-horizontal-relative:page" fillcolor="#00aeef" stroked="f">
            <w10:wrap anchorx="page"/>
          </v:rect>
        </w:pict>
      </w:r>
      <w:r w:rsidR="00F22F94">
        <w:rPr>
          <w:w w:val="75"/>
          <w:sz w:val="16"/>
        </w:rPr>
        <w:t>Sydney Opera House</w:t>
      </w:r>
      <w:r w:rsidR="00F22F94">
        <w:rPr>
          <w:sz w:val="16"/>
        </w:rPr>
        <w:t xml:space="preserve"> </w:t>
      </w:r>
      <w:r w:rsidR="00F22F94">
        <w:rPr>
          <w:w w:val="85"/>
          <w:sz w:val="16"/>
        </w:rPr>
        <w:t>Australian</w:t>
      </w:r>
      <w:r w:rsidR="00F22F94">
        <w:rPr>
          <w:spacing w:val="-5"/>
          <w:w w:val="85"/>
          <w:sz w:val="16"/>
        </w:rPr>
        <w:t xml:space="preserve"> </w:t>
      </w:r>
      <w:r w:rsidR="00F22F94">
        <w:rPr>
          <w:w w:val="85"/>
          <w:sz w:val="16"/>
        </w:rPr>
        <w:t>Museum</w:t>
      </w:r>
    </w:p>
    <w:p w:rsidR="002C1123" w:rsidRDefault="002060EF">
      <w:pPr>
        <w:spacing w:line="345" w:lineRule="auto"/>
        <w:ind w:left="492" w:firstLine="2"/>
        <w:rPr>
          <w:sz w:val="16"/>
        </w:rPr>
      </w:pPr>
      <w:r>
        <w:pict>
          <v:rect id="docshape2682" o:spid="_x0000_s1352" style="position:absolute;left:0;text-align:left;margin-left:553.6pt;margin-top:.45pt;width:8.5pt;height:8.5pt;z-index:251718656;mso-position-horizontal-relative:page" fillcolor="#8781bd" stroked="f">
            <w10:wrap anchorx="page"/>
          </v:rect>
        </w:pict>
      </w:r>
      <w:r>
        <w:pict>
          <v:rect id="docshape2683" o:spid="_x0000_s1351" style="position:absolute;left:0;text-align:left;margin-left:553.5pt;margin-top:13.65pt;width:8.5pt;height:8.5pt;z-index:251719680;mso-position-horizontal-relative:page" fillcolor="#2e3092" stroked="f">
            <w10:wrap anchorx="page"/>
          </v:rect>
        </w:pict>
      </w:r>
      <w:r w:rsidR="00F22F94">
        <w:rPr>
          <w:spacing w:val="-2"/>
          <w:w w:val="80"/>
          <w:sz w:val="16"/>
        </w:rPr>
        <w:t>Museum</w:t>
      </w:r>
      <w:r w:rsidR="00F22F94">
        <w:rPr>
          <w:spacing w:val="-7"/>
          <w:sz w:val="16"/>
        </w:rPr>
        <w:t xml:space="preserve"> </w:t>
      </w:r>
      <w:r w:rsidR="00F22F94">
        <w:rPr>
          <w:spacing w:val="-2"/>
          <w:w w:val="80"/>
          <w:sz w:val="16"/>
        </w:rPr>
        <w:t>of</w:t>
      </w:r>
      <w:r w:rsidR="00F22F94">
        <w:rPr>
          <w:spacing w:val="-7"/>
          <w:sz w:val="16"/>
        </w:rPr>
        <w:t xml:space="preserve"> </w:t>
      </w:r>
      <w:r w:rsidR="00F22F94">
        <w:rPr>
          <w:spacing w:val="-2"/>
          <w:w w:val="80"/>
          <w:sz w:val="16"/>
        </w:rPr>
        <w:t>Applied</w:t>
      </w:r>
      <w:r w:rsidR="00F22F94">
        <w:rPr>
          <w:spacing w:val="-7"/>
          <w:sz w:val="16"/>
        </w:rPr>
        <w:t xml:space="preserve"> </w:t>
      </w:r>
      <w:r w:rsidR="00F22F94">
        <w:rPr>
          <w:spacing w:val="-2"/>
          <w:w w:val="80"/>
          <w:sz w:val="16"/>
        </w:rPr>
        <w:t>Arts</w:t>
      </w:r>
      <w:r w:rsidR="00F22F94">
        <w:rPr>
          <w:spacing w:val="-7"/>
          <w:sz w:val="16"/>
        </w:rPr>
        <w:t xml:space="preserve"> </w:t>
      </w:r>
      <w:r w:rsidR="00F22F94">
        <w:rPr>
          <w:spacing w:val="-2"/>
          <w:w w:val="80"/>
          <w:sz w:val="16"/>
        </w:rPr>
        <w:t>and</w:t>
      </w:r>
      <w:r w:rsidR="00F22F94">
        <w:rPr>
          <w:spacing w:val="-7"/>
          <w:sz w:val="16"/>
        </w:rPr>
        <w:t xml:space="preserve"> </w:t>
      </w:r>
      <w:r w:rsidR="00F22F94">
        <w:rPr>
          <w:spacing w:val="-2"/>
          <w:w w:val="80"/>
          <w:sz w:val="16"/>
        </w:rPr>
        <w:t>Sciences</w:t>
      </w:r>
      <w:r w:rsidR="00F22F94">
        <w:rPr>
          <w:sz w:val="16"/>
        </w:rPr>
        <w:t xml:space="preserve"> </w:t>
      </w:r>
      <w:r w:rsidR="00F22F94">
        <w:rPr>
          <w:w w:val="90"/>
          <w:sz w:val="16"/>
        </w:rPr>
        <w:t>Art</w:t>
      </w:r>
      <w:r w:rsidR="00F22F94">
        <w:rPr>
          <w:spacing w:val="-9"/>
          <w:w w:val="90"/>
          <w:sz w:val="16"/>
        </w:rPr>
        <w:t xml:space="preserve"> </w:t>
      </w:r>
      <w:r w:rsidR="00F22F94">
        <w:rPr>
          <w:w w:val="90"/>
          <w:sz w:val="16"/>
        </w:rPr>
        <w:t>Gallery</w:t>
      </w:r>
      <w:r w:rsidR="00F22F94">
        <w:rPr>
          <w:spacing w:val="-7"/>
          <w:w w:val="90"/>
          <w:sz w:val="16"/>
        </w:rPr>
        <w:t xml:space="preserve"> </w:t>
      </w:r>
      <w:r w:rsidR="00F22F94">
        <w:rPr>
          <w:w w:val="90"/>
          <w:sz w:val="16"/>
        </w:rPr>
        <w:t>of</w:t>
      </w:r>
      <w:r w:rsidR="00F22F94">
        <w:rPr>
          <w:spacing w:val="-6"/>
          <w:w w:val="90"/>
          <w:sz w:val="16"/>
        </w:rPr>
        <w:t xml:space="preserve"> </w:t>
      </w:r>
      <w:r w:rsidR="00F22F94">
        <w:rPr>
          <w:w w:val="90"/>
          <w:sz w:val="16"/>
        </w:rPr>
        <w:t>NSW</w:t>
      </w:r>
    </w:p>
    <w:p w:rsidR="002C1123" w:rsidRDefault="002060EF">
      <w:pPr>
        <w:spacing w:line="345" w:lineRule="auto"/>
        <w:ind w:left="494" w:firstLine="2"/>
        <w:rPr>
          <w:sz w:val="16"/>
        </w:rPr>
      </w:pPr>
      <w:r>
        <w:pict>
          <v:rect id="docshape2684" o:spid="_x0000_s1350" style="position:absolute;left:0;text-align:left;margin-left:553.7pt;margin-top:.45pt;width:8.5pt;height:8.5pt;z-index:251711488;mso-position-horizontal-relative:page" fillcolor="#f067a6" stroked="f">
            <w10:wrap anchorx="page"/>
          </v:rect>
        </w:pict>
      </w:r>
      <w:r>
        <w:pict>
          <v:rect id="docshape2685" o:spid="_x0000_s1349" style="position:absolute;left:0;text-align:left;margin-left:553.6pt;margin-top:13.7pt;width:8.5pt;height:8.5pt;z-index:251713536;mso-position-horizontal-relative:page" fillcolor="#f9cbdf" stroked="f">
            <w10:wrap anchorx="page"/>
          </v:rect>
        </w:pict>
      </w:r>
      <w:r>
        <w:pict>
          <v:rect id="docshape2686" o:spid="_x0000_s1348" style="position:absolute;left:0;text-align:left;margin-left:553.7pt;margin-top:26.9pt;width:8.5pt;height:8.5pt;z-index:251714560;mso-position-horizontal-relative:page" fillcolor="#a9d26d" stroked="f">
            <w10:wrap anchorx="page"/>
          </v:rect>
        </w:pict>
      </w:r>
      <w:r>
        <w:pict>
          <v:rect id="docshape2687" o:spid="_x0000_s1347" style="position:absolute;left:0;text-align:left;margin-left:553.6pt;margin-top:40.15pt;width:8.5pt;height:8.5pt;z-index:251715584;mso-position-horizontal-relative:page" fillcolor="#c4df9b" stroked="f">
            <w10:wrap anchorx="page"/>
          </v:rect>
        </w:pict>
      </w:r>
      <w:r w:rsidR="00F22F94">
        <w:rPr>
          <w:w w:val="80"/>
          <w:sz w:val="16"/>
        </w:rPr>
        <w:t>Centennial</w:t>
      </w:r>
      <w:r w:rsidR="00F22F94">
        <w:rPr>
          <w:spacing w:val="-3"/>
          <w:w w:val="80"/>
          <w:sz w:val="16"/>
        </w:rPr>
        <w:t xml:space="preserve"> </w:t>
      </w:r>
      <w:r w:rsidR="00F22F94">
        <w:rPr>
          <w:w w:val="80"/>
          <w:sz w:val="16"/>
        </w:rPr>
        <w:t>Park</w:t>
      </w:r>
      <w:r w:rsidR="00F22F94">
        <w:rPr>
          <w:spacing w:val="-2"/>
          <w:w w:val="80"/>
          <w:sz w:val="16"/>
        </w:rPr>
        <w:t xml:space="preserve"> </w:t>
      </w:r>
      <w:r w:rsidR="00F22F94">
        <w:rPr>
          <w:w w:val="80"/>
          <w:sz w:val="16"/>
        </w:rPr>
        <w:t>and</w:t>
      </w:r>
      <w:r w:rsidR="00F22F94">
        <w:rPr>
          <w:spacing w:val="-2"/>
          <w:w w:val="80"/>
          <w:sz w:val="16"/>
        </w:rPr>
        <w:t xml:space="preserve"> </w:t>
      </w:r>
      <w:r w:rsidR="00F22F94">
        <w:rPr>
          <w:w w:val="80"/>
          <w:sz w:val="16"/>
        </w:rPr>
        <w:t>Moore</w:t>
      </w:r>
      <w:r w:rsidR="00F22F94">
        <w:rPr>
          <w:spacing w:val="-2"/>
          <w:w w:val="80"/>
          <w:sz w:val="16"/>
        </w:rPr>
        <w:t xml:space="preserve"> </w:t>
      </w:r>
      <w:r w:rsidR="00F22F94">
        <w:rPr>
          <w:w w:val="80"/>
          <w:sz w:val="16"/>
        </w:rPr>
        <w:t>Park</w:t>
      </w:r>
      <w:r w:rsidR="00F22F94">
        <w:rPr>
          <w:spacing w:val="-3"/>
          <w:w w:val="80"/>
          <w:sz w:val="16"/>
        </w:rPr>
        <w:t xml:space="preserve"> </w:t>
      </w:r>
      <w:r w:rsidR="00F22F94">
        <w:rPr>
          <w:w w:val="80"/>
          <w:sz w:val="16"/>
        </w:rPr>
        <w:t>Trust</w:t>
      </w:r>
      <w:r w:rsidR="00F22F94">
        <w:rPr>
          <w:sz w:val="16"/>
        </w:rPr>
        <w:t xml:space="preserve"> </w:t>
      </w:r>
      <w:r w:rsidR="00F22F94">
        <w:rPr>
          <w:w w:val="85"/>
          <w:sz w:val="16"/>
        </w:rPr>
        <w:t>Hunter</w:t>
      </w:r>
      <w:r w:rsidR="00F22F94">
        <w:rPr>
          <w:spacing w:val="-5"/>
          <w:w w:val="85"/>
          <w:sz w:val="16"/>
        </w:rPr>
        <w:t xml:space="preserve"> </w:t>
      </w:r>
      <w:r w:rsidR="00F22F94">
        <w:rPr>
          <w:w w:val="85"/>
          <w:sz w:val="16"/>
        </w:rPr>
        <w:t>Region</w:t>
      </w:r>
      <w:r w:rsidR="00F22F94">
        <w:rPr>
          <w:spacing w:val="-4"/>
          <w:w w:val="85"/>
          <w:sz w:val="16"/>
        </w:rPr>
        <w:t xml:space="preserve"> </w:t>
      </w:r>
      <w:r w:rsidR="00F22F94">
        <w:rPr>
          <w:w w:val="85"/>
          <w:sz w:val="16"/>
        </w:rPr>
        <w:t>Sporting</w:t>
      </w:r>
      <w:r w:rsidR="00F22F94">
        <w:rPr>
          <w:spacing w:val="-5"/>
          <w:w w:val="85"/>
          <w:sz w:val="16"/>
        </w:rPr>
        <w:t xml:space="preserve"> </w:t>
      </w:r>
      <w:r w:rsidR="00F22F94">
        <w:rPr>
          <w:w w:val="85"/>
          <w:sz w:val="16"/>
        </w:rPr>
        <w:t>Venues</w:t>
      </w:r>
      <w:r w:rsidR="00F22F94">
        <w:rPr>
          <w:sz w:val="16"/>
        </w:rPr>
        <w:t xml:space="preserve"> </w:t>
      </w:r>
      <w:r w:rsidR="00F22F94">
        <w:rPr>
          <w:w w:val="75"/>
          <w:sz w:val="16"/>
        </w:rPr>
        <w:t>Sydney Cricket and Sports</w:t>
      </w:r>
      <w:r w:rsidR="00F22F94">
        <w:rPr>
          <w:sz w:val="16"/>
        </w:rPr>
        <w:t xml:space="preserve"> </w:t>
      </w:r>
      <w:r w:rsidR="00F22F94">
        <w:rPr>
          <w:w w:val="75"/>
          <w:sz w:val="16"/>
        </w:rPr>
        <w:t>Grand</w:t>
      </w:r>
      <w:r w:rsidR="00F22F94">
        <w:rPr>
          <w:sz w:val="16"/>
        </w:rPr>
        <w:t xml:space="preserve"> </w:t>
      </w:r>
      <w:r w:rsidR="00F22F94">
        <w:rPr>
          <w:w w:val="75"/>
          <w:sz w:val="16"/>
        </w:rPr>
        <w:t>Trust</w:t>
      </w:r>
      <w:r w:rsidR="00F22F94">
        <w:rPr>
          <w:sz w:val="16"/>
        </w:rPr>
        <w:t xml:space="preserve"> </w:t>
      </w:r>
      <w:r w:rsidR="00F22F94">
        <w:rPr>
          <w:w w:val="85"/>
          <w:sz w:val="16"/>
        </w:rPr>
        <w:t>Illawarra</w:t>
      </w:r>
      <w:r w:rsidR="00F22F94">
        <w:rPr>
          <w:spacing w:val="-4"/>
          <w:w w:val="85"/>
          <w:sz w:val="16"/>
        </w:rPr>
        <w:t xml:space="preserve"> </w:t>
      </w:r>
      <w:r w:rsidR="00F22F94">
        <w:rPr>
          <w:w w:val="85"/>
          <w:sz w:val="16"/>
        </w:rPr>
        <w:t>Venues</w:t>
      </w:r>
    </w:p>
    <w:p w:rsidR="002C1123" w:rsidRDefault="002060EF">
      <w:pPr>
        <w:spacing w:line="345" w:lineRule="auto"/>
        <w:ind w:left="499" w:hanging="5"/>
        <w:rPr>
          <w:sz w:val="16"/>
        </w:rPr>
      </w:pPr>
      <w:r>
        <w:pict>
          <v:rect id="docshape2688" o:spid="_x0000_s1346" style="position:absolute;left:0;text-align:left;margin-left:553.7pt;margin-top:13.7pt;width:8.5pt;height:8.5pt;z-index:251716608;mso-position-horizontal-relative:page" fillcolor="#9c9c9d" stroked="f">
            <w10:wrap anchorx="page"/>
          </v:rect>
        </w:pict>
      </w:r>
      <w:r>
        <w:pict>
          <v:rect id="docshape2689" o:spid="_x0000_s1345" style="position:absolute;left:0;text-align:left;margin-left:553.6pt;margin-top:.45pt;width:8.5pt;height:8.5pt;z-index:251717632;mso-position-horizontal-relative:page" fillcolor="#c9c8c9" stroked="f">
            <w10:wrap anchorx="page"/>
          </v:rect>
        </w:pict>
      </w:r>
      <w:r w:rsidR="00F22F94">
        <w:rPr>
          <w:w w:val="75"/>
          <w:sz w:val="16"/>
        </w:rPr>
        <w:t>Major Stadiums at Sydney</w:t>
      </w:r>
      <w:r w:rsidR="00F22F94">
        <w:rPr>
          <w:sz w:val="16"/>
        </w:rPr>
        <w:t xml:space="preserve"> </w:t>
      </w:r>
      <w:r w:rsidR="00F22F94">
        <w:rPr>
          <w:w w:val="75"/>
          <w:sz w:val="16"/>
        </w:rPr>
        <w:t>Olympic</w:t>
      </w:r>
      <w:r w:rsidR="00F22F94">
        <w:rPr>
          <w:sz w:val="16"/>
        </w:rPr>
        <w:t xml:space="preserve"> </w:t>
      </w:r>
      <w:r w:rsidR="00F22F94">
        <w:rPr>
          <w:w w:val="75"/>
          <w:sz w:val="16"/>
        </w:rPr>
        <w:t>Park</w:t>
      </w:r>
      <w:r w:rsidR="00F22F94">
        <w:rPr>
          <w:sz w:val="16"/>
        </w:rPr>
        <w:t xml:space="preserve"> </w:t>
      </w:r>
      <w:r w:rsidR="00F22F94">
        <w:rPr>
          <w:w w:val="90"/>
          <w:sz w:val="16"/>
        </w:rPr>
        <w:t>Parramatta</w:t>
      </w:r>
      <w:r w:rsidR="00F22F94">
        <w:rPr>
          <w:spacing w:val="-7"/>
          <w:w w:val="90"/>
          <w:sz w:val="16"/>
        </w:rPr>
        <w:t xml:space="preserve"> </w:t>
      </w:r>
      <w:r w:rsidR="00F22F94">
        <w:rPr>
          <w:w w:val="90"/>
          <w:sz w:val="16"/>
        </w:rPr>
        <w:t>Stadium</w:t>
      </w:r>
    </w:p>
    <w:p w:rsidR="002C1123" w:rsidRDefault="00F22F94">
      <w:pPr>
        <w:spacing w:before="55"/>
        <w:ind w:left="401"/>
        <w:rPr>
          <w:sz w:val="16"/>
        </w:rPr>
      </w:pPr>
      <w:r>
        <w:br w:type="column"/>
      </w:r>
      <w:r>
        <w:rPr>
          <w:w w:val="75"/>
          <w:sz w:val="16"/>
        </w:rPr>
        <w:t>Sporting</w:t>
      </w:r>
      <w:r>
        <w:rPr>
          <w:spacing w:val="5"/>
          <w:sz w:val="16"/>
        </w:rPr>
        <w:t xml:space="preserve"> </w:t>
      </w:r>
      <w:r>
        <w:rPr>
          <w:w w:val="75"/>
          <w:sz w:val="16"/>
        </w:rPr>
        <w:t>venues</w:t>
      </w:r>
      <w:r>
        <w:rPr>
          <w:spacing w:val="5"/>
          <w:sz w:val="16"/>
        </w:rPr>
        <w:t xml:space="preserve"> </w:t>
      </w:r>
      <w:r>
        <w:rPr>
          <w:w w:val="75"/>
          <w:sz w:val="16"/>
        </w:rPr>
        <w:t>and</w:t>
      </w:r>
      <w:r>
        <w:rPr>
          <w:spacing w:val="5"/>
          <w:sz w:val="16"/>
        </w:rPr>
        <w:t xml:space="preserve"> </w:t>
      </w:r>
      <w:r>
        <w:rPr>
          <w:spacing w:val="-2"/>
          <w:w w:val="75"/>
          <w:sz w:val="16"/>
        </w:rPr>
        <w:t>events</w:t>
      </w:r>
    </w:p>
    <w:p w:rsidR="002C1123" w:rsidRDefault="002C1123">
      <w:pPr>
        <w:rPr>
          <w:sz w:val="16"/>
        </w:rPr>
        <w:sectPr w:rsidR="002C1123">
          <w:type w:val="continuous"/>
          <w:pgSz w:w="16840" w:h="11910" w:orient="landscape"/>
          <w:pgMar w:top="560" w:right="280" w:bottom="280" w:left="500" w:header="0" w:footer="517" w:gutter="0"/>
          <w:cols w:num="4" w:space="720" w:equalWidth="0">
            <w:col w:w="5281" w:space="40"/>
            <w:col w:w="4967" w:space="45"/>
            <w:col w:w="2753" w:space="39"/>
            <w:col w:w="2935"/>
          </w:cols>
        </w:sectPr>
      </w:pPr>
    </w:p>
    <w:p w:rsidR="002C1123" w:rsidRDefault="00F22F94">
      <w:pPr>
        <w:pStyle w:val="BodyText"/>
        <w:spacing w:line="105" w:lineRule="exact"/>
        <w:ind w:left="492"/>
      </w:pPr>
      <w:r>
        <w:rPr>
          <w:w w:val="95"/>
        </w:rPr>
        <w:t>the</w:t>
      </w:r>
      <w:r>
        <w:rPr>
          <w:spacing w:val="-10"/>
          <w:w w:val="95"/>
        </w:rPr>
        <w:t xml:space="preserve"> </w:t>
      </w:r>
      <w:r>
        <w:rPr>
          <w:w w:val="95"/>
        </w:rPr>
        <w:t>Art</w:t>
      </w:r>
      <w:r>
        <w:rPr>
          <w:spacing w:val="-10"/>
          <w:w w:val="95"/>
        </w:rPr>
        <w:t xml:space="preserve"> </w:t>
      </w:r>
      <w:r>
        <w:rPr>
          <w:w w:val="95"/>
        </w:rPr>
        <w:t>Gallery</w:t>
      </w:r>
      <w:r>
        <w:rPr>
          <w:spacing w:val="-10"/>
          <w:w w:val="95"/>
        </w:rPr>
        <w:t xml:space="preserve"> </w:t>
      </w:r>
      <w:r>
        <w:rPr>
          <w:w w:val="95"/>
        </w:rPr>
        <w:t>NSW</w:t>
      </w:r>
      <w:r>
        <w:rPr>
          <w:spacing w:val="-10"/>
          <w:w w:val="95"/>
        </w:rPr>
        <w:t xml:space="preserve"> </w:t>
      </w:r>
      <w:r>
        <w:rPr>
          <w:w w:val="95"/>
        </w:rPr>
        <w:t>exhibition</w:t>
      </w:r>
      <w:r>
        <w:rPr>
          <w:spacing w:val="-10"/>
          <w:w w:val="95"/>
        </w:rPr>
        <w:t xml:space="preserve"> </w:t>
      </w:r>
      <w:r>
        <w:rPr>
          <w:w w:val="95"/>
        </w:rPr>
        <w:t>space,</w:t>
      </w:r>
      <w:r>
        <w:rPr>
          <w:spacing w:val="-10"/>
          <w:w w:val="95"/>
        </w:rPr>
        <w:t xml:space="preserve"> </w:t>
      </w:r>
      <w:r>
        <w:rPr>
          <w:w w:val="95"/>
        </w:rPr>
        <w:t>(23,000m²),</w:t>
      </w:r>
      <w:r>
        <w:rPr>
          <w:spacing w:val="-10"/>
          <w:w w:val="95"/>
        </w:rPr>
        <w:t xml:space="preserve"> </w:t>
      </w:r>
      <w:r>
        <w:rPr>
          <w:w w:val="95"/>
        </w:rPr>
        <w:t>is</w:t>
      </w:r>
      <w:r>
        <w:rPr>
          <w:spacing w:val="-10"/>
          <w:w w:val="95"/>
        </w:rPr>
        <w:t xml:space="preserve"> </w:t>
      </w:r>
      <w:r>
        <w:rPr>
          <w:spacing w:val="-4"/>
          <w:w w:val="95"/>
        </w:rPr>
        <w:t>half</w:t>
      </w:r>
    </w:p>
    <w:p w:rsidR="002C1123" w:rsidRDefault="00F22F94">
      <w:pPr>
        <w:pStyle w:val="BodyText"/>
        <w:spacing w:before="10" w:line="249" w:lineRule="auto"/>
        <w:ind w:left="492"/>
      </w:pPr>
      <w:r>
        <w:rPr>
          <w:w w:val="95"/>
        </w:rPr>
        <w:t>the</w:t>
      </w:r>
      <w:r>
        <w:rPr>
          <w:spacing w:val="-7"/>
          <w:w w:val="95"/>
        </w:rPr>
        <w:t xml:space="preserve"> </w:t>
      </w:r>
      <w:r>
        <w:rPr>
          <w:w w:val="95"/>
        </w:rPr>
        <w:t>size</w:t>
      </w:r>
      <w:r>
        <w:rPr>
          <w:spacing w:val="-7"/>
          <w:w w:val="95"/>
        </w:rPr>
        <w:t xml:space="preserve"> </w:t>
      </w:r>
      <w:r>
        <w:rPr>
          <w:w w:val="95"/>
        </w:rPr>
        <w:t>of</w:t>
      </w:r>
      <w:r>
        <w:rPr>
          <w:spacing w:val="-7"/>
          <w:w w:val="95"/>
        </w:rPr>
        <w:t xml:space="preserve"> </w:t>
      </w:r>
      <w:r>
        <w:rPr>
          <w:w w:val="95"/>
        </w:rPr>
        <w:t>comparable</w:t>
      </w:r>
      <w:r>
        <w:rPr>
          <w:spacing w:val="-7"/>
          <w:w w:val="95"/>
        </w:rPr>
        <w:t xml:space="preserve"> </w:t>
      </w:r>
      <w:r>
        <w:rPr>
          <w:w w:val="95"/>
        </w:rPr>
        <w:t>facilities</w:t>
      </w:r>
      <w:r>
        <w:rPr>
          <w:spacing w:val="-7"/>
          <w:w w:val="95"/>
        </w:rPr>
        <w:t xml:space="preserve"> </w:t>
      </w:r>
      <w:r>
        <w:rPr>
          <w:w w:val="95"/>
        </w:rPr>
        <w:t>in</w:t>
      </w:r>
      <w:r>
        <w:rPr>
          <w:spacing w:val="-7"/>
          <w:w w:val="95"/>
        </w:rPr>
        <w:t xml:space="preserve"> </w:t>
      </w:r>
      <w:r>
        <w:rPr>
          <w:w w:val="95"/>
        </w:rPr>
        <w:t>Canberra,</w:t>
      </w:r>
      <w:r>
        <w:rPr>
          <w:spacing w:val="-7"/>
          <w:w w:val="95"/>
        </w:rPr>
        <w:t xml:space="preserve"> </w:t>
      </w:r>
      <w:r>
        <w:rPr>
          <w:w w:val="95"/>
        </w:rPr>
        <w:t xml:space="preserve">Melbourne </w:t>
      </w:r>
      <w:r>
        <w:t>and</w:t>
      </w:r>
      <w:r>
        <w:rPr>
          <w:spacing w:val="-8"/>
        </w:rPr>
        <w:t xml:space="preserve"> </w:t>
      </w:r>
      <w:r>
        <w:t>Brisbane.</w:t>
      </w:r>
      <w:r>
        <w:rPr>
          <w:spacing w:val="-8"/>
        </w:rPr>
        <w:t xml:space="preserve"> </w:t>
      </w:r>
      <w:r>
        <w:t>Only</w:t>
      </w:r>
      <w:r>
        <w:rPr>
          <w:spacing w:val="-8"/>
        </w:rPr>
        <w:t xml:space="preserve"> </w:t>
      </w:r>
      <w:r>
        <w:t>two</w:t>
      </w:r>
      <w:r>
        <w:rPr>
          <w:spacing w:val="-8"/>
        </w:rPr>
        <w:t xml:space="preserve"> </w:t>
      </w:r>
      <w:r>
        <w:t>of</w:t>
      </w:r>
      <w:r>
        <w:rPr>
          <w:spacing w:val="-8"/>
        </w:rPr>
        <w:t xml:space="preserve"> </w:t>
      </w:r>
      <w:r>
        <w:t>the</w:t>
      </w:r>
      <w:r>
        <w:rPr>
          <w:spacing w:val="-8"/>
        </w:rPr>
        <w:t xml:space="preserve"> </w:t>
      </w:r>
      <w:r>
        <w:t>last</w:t>
      </w:r>
      <w:r>
        <w:rPr>
          <w:spacing w:val="-8"/>
        </w:rPr>
        <w:t xml:space="preserve"> </w:t>
      </w:r>
      <w:r>
        <w:t>10</w:t>
      </w:r>
      <w:r>
        <w:rPr>
          <w:spacing w:val="-8"/>
        </w:rPr>
        <w:t xml:space="preserve"> </w:t>
      </w:r>
      <w:r>
        <w:t>blockbuster exhibitions</w:t>
      </w:r>
      <w:r>
        <w:rPr>
          <w:spacing w:val="-14"/>
        </w:rPr>
        <w:t xml:space="preserve"> </w:t>
      </w:r>
      <w:r>
        <w:t>in</w:t>
      </w:r>
      <w:r>
        <w:rPr>
          <w:spacing w:val="-14"/>
        </w:rPr>
        <w:t xml:space="preserve"> </w:t>
      </w:r>
      <w:r>
        <w:t>Australia</w:t>
      </w:r>
      <w:r>
        <w:rPr>
          <w:spacing w:val="-14"/>
        </w:rPr>
        <w:t xml:space="preserve"> </w:t>
      </w:r>
      <w:r>
        <w:t>took</w:t>
      </w:r>
      <w:r>
        <w:rPr>
          <w:spacing w:val="-13"/>
        </w:rPr>
        <w:t xml:space="preserve"> </w:t>
      </w:r>
      <w:r>
        <w:t>place</w:t>
      </w:r>
      <w:r>
        <w:rPr>
          <w:spacing w:val="-14"/>
        </w:rPr>
        <w:t xml:space="preserve"> </w:t>
      </w:r>
      <w:r>
        <w:t>in</w:t>
      </w:r>
      <w:r>
        <w:rPr>
          <w:spacing w:val="-14"/>
        </w:rPr>
        <w:t xml:space="preserve"> </w:t>
      </w:r>
      <w:r>
        <w:t>Sydney</w:t>
      </w:r>
      <w:r>
        <w:rPr>
          <w:position w:val="7"/>
          <w:sz w:val="11"/>
        </w:rPr>
        <w:t>2</w:t>
      </w:r>
      <w:r>
        <w:t>.</w:t>
      </w:r>
    </w:p>
    <w:p w:rsidR="002C1123" w:rsidRDefault="00F22F94">
      <w:pPr>
        <w:pStyle w:val="BodyText"/>
        <w:spacing w:before="30" w:line="249" w:lineRule="auto"/>
        <w:ind w:left="271"/>
      </w:pPr>
      <w:r>
        <w:br w:type="column"/>
      </w:r>
      <w:r>
        <w:rPr>
          <w:w w:val="95"/>
        </w:rPr>
        <w:t xml:space="preserve">and 4.7 million people attended Government-owned </w:t>
      </w:r>
      <w:r>
        <w:t>sporting</w:t>
      </w:r>
      <w:r>
        <w:rPr>
          <w:spacing w:val="-11"/>
        </w:rPr>
        <w:t xml:space="preserve"> </w:t>
      </w:r>
      <w:r>
        <w:t>venues:</w:t>
      </w:r>
    </w:p>
    <w:p w:rsidR="002C1123" w:rsidRDefault="00F22F94">
      <w:pPr>
        <w:spacing w:before="26" w:line="161" w:lineRule="exact"/>
        <w:ind w:left="492"/>
        <w:rPr>
          <w:sz w:val="14"/>
        </w:rPr>
      </w:pPr>
      <w:r>
        <w:br w:type="column"/>
      </w:r>
      <w:r>
        <w:rPr>
          <w:w w:val="95"/>
          <w:sz w:val="14"/>
        </w:rPr>
        <w:t>Source:</w:t>
      </w:r>
      <w:r>
        <w:rPr>
          <w:spacing w:val="5"/>
          <w:sz w:val="14"/>
        </w:rPr>
        <w:t xml:space="preserve"> </w:t>
      </w:r>
      <w:r>
        <w:rPr>
          <w:w w:val="95"/>
          <w:sz w:val="14"/>
        </w:rPr>
        <w:t>Arts</w:t>
      </w:r>
      <w:r>
        <w:rPr>
          <w:spacing w:val="6"/>
          <w:sz w:val="14"/>
        </w:rPr>
        <w:t xml:space="preserve"> </w:t>
      </w:r>
      <w:r>
        <w:rPr>
          <w:w w:val="95"/>
          <w:sz w:val="14"/>
        </w:rPr>
        <w:t>NSW,</w:t>
      </w:r>
      <w:r>
        <w:rPr>
          <w:spacing w:val="5"/>
          <w:sz w:val="14"/>
        </w:rPr>
        <w:t xml:space="preserve"> </w:t>
      </w:r>
      <w:r>
        <w:rPr>
          <w:w w:val="95"/>
          <w:sz w:val="14"/>
        </w:rPr>
        <w:t>referenced</w:t>
      </w:r>
      <w:r>
        <w:rPr>
          <w:spacing w:val="6"/>
          <w:sz w:val="14"/>
        </w:rPr>
        <w:t xml:space="preserve"> </w:t>
      </w:r>
      <w:r>
        <w:rPr>
          <w:w w:val="95"/>
          <w:sz w:val="14"/>
        </w:rPr>
        <w:t>in</w:t>
      </w:r>
      <w:r>
        <w:rPr>
          <w:spacing w:val="5"/>
          <w:sz w:val="14"/>
        </w:rPr>
        <w:t xml:space="preserve"> </w:t>
      </w:r>
      <w:r>
        <w:rPr>
          <w:w w:val="95"/>
          <w:sz w:val="14"/>
        </w:rPr>
        <w:t>PwC;</w:t>
      </w:r>
      <w:r>
        <w:rPr>
          <w:spacing w:val="6"/>
          <w:sz w:val="14"/>
        </w:rPr>
        <w:t xml:space="preserve"> </w:t>
      </w:r>
      <w:r>
        <w:rPr>
          <w:w w:val="95"/>
          <w:sz w:val="14"/>
        </w:rPr>
        <w:t>Repucom;</w:t>
      </w:r>
      <w:r>
        <w:rPr>
          <w:spacing w:val="6"/>
          <w:sz w:val="14"/>
        </w:rPr>
        <w:t xml:space="preserve"> </w:t>
      </w:r>
      <w:r>
        <w:rPr>
          <w:w w:val="95"/>
          <w:sz w:val="14"/>
        </w:rPr>
        <w:t>INSW</w:t>
      </w:r>
      <w:r>
        <w:rPr>
          <w:spacing w:val="5"/>
          <w:sz w:val="14"/>
        </w:rPr>
        <w:t xml:space="preserve"> </w:t>
      </w:r>
      <w:r>
        <w:rPr>
          <w:spacing w:val="-2"/>
          <w:w w:val="95"/>
          <w:sz w:val="14"/>
        </w:rPr>
        <w:t>analysis</w:t>
      </w:r>
    </w:p>
    <w:p w:rsidR="002C1123" w:rsidRDefault="00F22F94">
      <w:pPr>
        <w:ind w:left="492" w:right="766"/>
        <w:rPr>
          <w:sz w:val="14"/>
        </w:rPr>
      </w:pPr>
      <w:r>
        <w:rPr>
          <w:sz w:val="14"/>
        </w:rPr>
        <w:t>Note:</w:t>
      </w:r>
      <w:r>
        <w:rPr>
          <w:spacing w:val="-1"/>
          <w:sz w:val="14"/>
        </w:rPr>
        <w:t xml:space="preserve"> </w:t>
      </w:r>
      <w:r>
        <w:rPr>
          <w:sz w:val="14"/>
        </w:rPr>
        <w:t>Does</w:t>
      </w:r>
      <w:r>
        <w:rPr>
          <w:spacing w:val="-1"/>
          <w:sz w:val="14"/>
        </w:rPr>
        <w:t xml:space="preserve"> </w:t>
      </w:r>
      <w:r>
        <w:rPr>
          <w:sz w:val="14"/>
        </w:rPr>
        <w:t>not</w:t>
      </w:r>
      <w:r>
        <w:rPr>
          <w:spacing w:val="-1"/>
          <w:sz w:val="14"/>
        </w:rPr>
        <w:t xml:space="preserve"> </w:t>
      </w:r>
      <w:r>
        <w:rPr>
          <w:sz w:val="14"/>
        </w:rPr>
        <w:t>include</w:t>
      </w:r>
      <w:r>
        <w:rPr>
          <w:spacing w:val="-1"/>
          <w:sz w:val="14"/>
        </w:rPr>
        <w:t xml:space="preserve"> </w:t>
      </w:r>
      <w:r>
        <w:rPr>
          <w:sz w:val="14"/>
        </w:rPr>
        <w:t>estimated</w:t>
      </w:r>
      <w:r>
        <w:rPr>
          <w:spacing w:val="-1"/>
          <w:sz w:val="14"/>
        </w:rPr>
        <w:t xml:space="preserve"> </w:t>
      </w:r>
      <w:r>
        <w:rPr>
          <w:sz w:val="14"/>
        </w:rPr>
        <w:t>site</w:t>
      </w:r>
      <w:r>
        <w:rPr>
          <w:spacing w:val="-1"/>
          <w:sz w:val="14"/>
        </w:rPr>
        <w:t xml:space="preserve"> </w:t>
      </w:r>
      <w:r>
        <w:rPr>
          <w:sz w:val="14"/>
        </w:rPr>
        <w:t>visits</w:t>
      </w:r>
      <w:r>
        <w:rPr>
          <w:spacing w:val="-1"/>
          <w:sz w:val="14"/>
        </w:rPr>
        <w:t xml:space="preserve"> </w:t>
      </w:r>
      <w:r>
        <w:rPr>
          <w:sz w:val="14"/>
        </w:rPr>
        <w:t>or</w:t>
      </w:r>
      <w:r>
        <w:rPr>
          <w:spacing w:val="-1"/>
          <w:sz w:val="14"/>
        </w:rPr>
        <w:t xml:space="preserve"> </w:t>
      </w:r>
      <w:r>
        <w:rPr>
          <w:sz w:val="14"/>
        </w:rPr>
        <w:t>trips</w:t>
      </w:r>
      <w:r>
        <w:rPr>
          <w:spacing w:val="-1"/>
          <w:sz w:val="14"/>
        </w:rPr>
        <w:t xml:space="preserve"> </w:t>
      </w:r>
      <w:r>
        <w:rPr>
          <w:sz w:val="14"/>
        </w:rPr>
        <w:t>to</w:t>
      </w:r>
      <w:r>
        <w:rPr>
          <w:spacing w:val="-1"/>
          <w:sz w:val="14"/>
        </w:rPr>
        <w:t xml:space="preserve"> </w:t>
      </w:r>
      <w:r>
        <w:rPr>
          <w:sz w:val="14"/>
        </w:rPr>
        <w:t>parklands.</w:t>
      </w:r>
      <w:r>
        <w:rPr>
          <w:spacing w:val="-1"/>
          <w:sz w:val="14"/>
        </w:rPr>
        <w:t xml:space="preserve"> </w:t>
      </w:r>
      <w:r>
        <w:rPr>
          <w:sz w:val="14"/>
        </w:rPr>
        <w:t>Visits</w:t>
      </w:r>
      <w:r>
        <w:rPr>
          <w:spacing w:val="-1"/>
          <w:sz w:val="14"/>
        </w:rPr>
        <w:t xml:space="preserve"> </w:t>
      </w:r>
      <w:r>
        <w:rPr>
          <w:sz w:val="14"/>
        </w:rPr>
        <w:t>to</w:t>
      </w:r>
      <w:r>
        <w:rPr>
          <w:spacing w:val="40"/>
          <w:sz w:val="14"/>
        </w:rPr>
        <w:t xml:space="preserve"> </w:t>
      </w:r>
      <w:r>
        <w:rPr>
          <w:w w:val="95"/>
          <w:sz w:val="14"/>
        </w:rPr>
        <w:t>parklands are estimated at 12.5million visits to Sydney Olympic Park, 11million</w:t>
      </w:r>
      <w:r>
        <w:rPr>
          <w:spacing w:val="40"/>
          <w:sz w:val="14"/>
        </w:rPr>
        <w:t xml:space="preserve"> </w:t>
      </w:r>
      <w:r>
        <w:rPr>
          <w:sz w:val="14"/>
        </w:rPr>
        <w:t>at</w:t>
      </w:r>
      <w:r>
        <w:rPr>
          <w:spacing w:val="-6"/>
          <w:sz w:val="14"/>
        </w:rPr>
        <w:t xml:space="preserve"> </w:t>
      </w:r>
      <w:r>
        <w:rPr>
          <w:sz w:val="14"/>
        </w:rPr>
        <w:t>Centennial</w:t>
      </w:r>
      <w:r>
        <w:rPr>
          <w:spacing w:val="-6"/>
          <w:sz w:val="14"/>
        </w:rPr>
        <w:t xml:space="preserve"> </w:t>
      </w:r>
      <w:r>
        <w:rPr>
          <w:sz w:val="14"/>
        </w:rPr>
        <w:t>Park</w:t>
      </w:r>
      <w:r>
        <w:rPr>
          <w:spacing w:val="-6"/>
          <w:sz w:val="14"/>
        </w:rPr>
        <w:t xml:space="preserve"> </w:t>
      </w:r>
      <w:r>
        <w:rPr>
          <w:sz w:val="14"/>
        </w:rPr>
        <w:t>and</w:t>
      </w:r>
      <w:r>
        <w:rPr>
          <w:spacing w:val="-6"/>
          <w:sz w:val="14"/>
        </w:rPr>
        <w:t xml:space="preserve"> </w:t>
      </w:r>
      <w:r>
        <w:rPr>
          <w:sz w:val="14"/>
        </w:rPr>
        <w:t>over</w:t>
      </w:r>
      <w:r>
        <w:rPr>
          <w:spacing w:val="-6"/>
          <w:sz w:val="14"/>
        </w:rPr>
        <w:t xml:space="preserve"> </w:t>
      </w:r>
      <w:r>
        <w:rPr>
          <w:sz w:val="14"/>
        </w:rPr>
        <w:t>1.7million</w:t>
      </w:r>
      <w:r>
        <w:rPr>
          <w:spacing w:val="-6"/>
          <w:sz w:val="14"/>
        </w:rPr>
        <w:t xml:space="preserve"> </w:t>
      </w:r>
      <w:r>
        <w:rPr>
          <w:sz w:val="14"/>
        </w:rPr>
        <w:t>at</w:t>
      </w:r>
      <w:r>
        <w:rPr>
          <w:spacing w:val="-6"/>
          <w:sz w:val="14"/>
        </w:rPr>
        <w:t xml:space="preserve"> </w:t>
      </w:r>
      <w:r>
        <w:rPr>
          <w:sz w:val="14"/>
        </w:rPr>
        <w:t>Parramatta</w:t>
      </w:r>
      <w:r>
        <w:rPr>
          <w:spacing w:val="-6"/>
          <w:sz w:val="14"/>
        </w:rPr>
        <w:t xml:space="preserve"> </w:t>
      </w:r>
      <w:r>
        <w:rPr>
          <w:sz w:val="14"/>
        </w:rPr>
        <w:t>Park.</w:t>
      </w:r>
      <w:r>
        <w:rPr>
          <w:spacing w:val="-6"/>
          <w:sz w:val="14"/>
        </w:rPr>
        <w:t xml:space="preserve"> </w:t>
      </w:r>
      <w:r>
        <w:rPr>
          <w:sz w:val="14"/>
        </w:rPr>
        <w:t>Figures</w:t>
      </w:r>
      <w:r>
        <w:rPr>
          <w:spacing w:val="-6"/>
          <w:sz w:val="14"/>
        </w:rPr>
        <w:t xml:space="preserve"> </w:t>
      </w:r>
      <w:r>
        <w:rPr>
          <w:sz w:val="14"/>
        </w:rPr>
        <w:t>for</w:t>
      </w:r>
      <w:r>
        <w:rPr>
          <w:spacing w:val="-6"/>
          <w:sz w:val="14"/>
        </w:rPr>
        <w:t xml:space="preserve"> </w:t>
      </w:r>
      <w:r>
        <w:rPr>
          <w:sz w:val="14"/>
        </w:rPr>
        <w:t>Major</w:t>
      </w:r>
      <w:r>
        <w:rPr>
          <w:spacing w:val="40"/>
          <w:sz w:val="14"/>
        </w:rPr>
        <w:t xml:space="preserve"> </w:t>
      </w:r>
      <w:r>
        <w:rPr>
          <w:sz w:val="14"/>
        </w:rPr>
        <w:t>stadiums at Sydney Olympic Park and Parramatta Stadium not specifed for</w:t>
      </w:r>
      <w:r>
        <w:rPr>
          <w:spacing w:val="40"/>
          <w:sz w:val="14"/>
        </w:rPr>
        <w:t xml:space="preserve"> </w:t>
      </w:r>
      <w:r>
        <w:rPr>
          <w:sz w:val="14"/>
        </w:rPr>
        <w:t>2010/11; based on 2009/10 data.</w:t>
      </w:r>
    </w:p>
    <w:p w:rsidR="002C1123" w:rsidRDefault="002C1123">
      <w:pPr>
        <w:rPr>
          <w:sz w:val="14"/>
        </w:rPr>
        <w:sectPr w:rsidR="002C1123">
          <w:type w:val="continuous"/>
          <w:pgSz w:w="16840" w:h="11910" w:orient="landscape"/>
          <w:pgMar w:top="560" w:right="280" w:bottom="280" w:left="500" w:header="0" w:footer="517" w:gutter="0"/>
          <w:cols w:num="3" w:space="720" w:equalWidth="0">
            <w:col w:w="5208" w:space="40"/>
            <w:col w:w="4724" w:space="105"/>
            <w:col w:w="5983"/>
          </w:cols>
        </w:sectPr>
      </w:pPr>
    </w:p>
    <w:p w:rsidR="002C1123" w:rsidRDefault="002C1123">
      <w:pPr>
        <w:pStyle w:val="BodyText"/>
      </w:pPr>
    </w:p>
    <w:p w:rsidR="002C1123" w:rsidRDefault="002C1123">
      <w:pPr>
        <w:pStyle w:val="BodyText"/>
      </w:pPr>
    </w:p>
    <w:p w:rsidR="002C1123" w:rsidRDefault="002C1123">
      <w:pPr>
        <w:pStyle w:val="BodyText"/>
        <w:spacing w:before="1"/>
        <w:rPr>
          <w:sz w:val="10"/>
        </w:rPr>
      </w:pPr>
    </w:p>
    <w:p w:rsidR="002C1123" w:rsidRDefault="002060EF">
      <w:pPr>
        <w:pStyle w:val="BodyText"/>
        <w:spacing w:line="20" w:lineRule="exact"/>
        <w:ind w:left="492"/>
        <w:rPr>
          <w:sz w:val="2"/>
        </w:rPr>
      </w:pPr>
      <w:r>
        <w:rPr>
          <w:sz w:val="2"/>
        </w:rPr>
      </w:r>
      <w:r>
        <w:rPr>
          <w:sz w:val="2"/>
        </w:rPr>
        <w:pict>
          <v:group id="docshapegroup2690" o:spid="_x0000_s1343" style="width:1in;height:.5pt;mso-position-horizontal-relative:char;mso-position-vertical-relative:line" coordsize="1440,10">
            <v:line id="_x0000_s1344" style="position:absolute" from="0,5" to="1440,5" strokecolor="#9c9c9d" strokeweight=".5pt"/>
            <w10:anchorlock/>
          </v:group>
        </w:pict>
      </w:r>
    </w:p>
    <w:p w:rsidR="002C1123" w:rsidRDefault="00F22F94">
      <w:pPr>
        <w:spacing w:before="8"/>
        <w:ind w:left="492"/>
        <w:rPr>
          <w:sz w:val="14"/>
        </w:rPr>
      </w:pPr>
      <w:r>
        <w:rPr>
          <w:w w:val="95"/>
          <w:sz w:val="14"/>
        </w:rPr>
        <w:t>2</w:t>
      </w:r>
      <w:r>
        <w:rPr>
          <w:spacing w:val="31"/>
          <w:sz w:val="14"/>
        </w:rPr>
        <w:t xml:space="preserve">  </w:t>
      </w:r>
      <w:r>
        <w:rPr>
          <w:w w:val="95"/>
          <w:sz w:val="14"/>
        </w:rPr>
        <w:t>PwC</w:t>
      </w:r>
      <w:r>
        <w:rPr>
          <w:spacing w:val="-2"/>
          <w:w w:val="95"/>
          <w:sz w:val="14"/>
        </w:rPr>
        <w:t xml:space="preserve"> </w:t>
      </w:r>
      <w:r>
        <w:rPr>
          <w:w w:val="95"/>
          <w:sz w:val="14"/>
        </w:rPr>
        <w:t>2012,</w:t>
      </w:r>
      <w:r>
        <w:rPr>
          <w:spacing w:val="-2"/>
          <w:w w:val="95"/>
          <w:sz w:val="14"/>
        </w:rPr>
        <w:t xml:space="preserve"> </w:t>
      </w:r>
      <w:r>
        <w:rPr>
          <w:w w:val="95"/>
          <w:sz w:val="14"/>
        </w:rPr>
        <w:t>Arts</w:t>
      </w:r>
      <w:r>
        <w:rPr>
          <w:spacing w:val="-2"/>
          <w:w w:val="95"/>
          <w:sz w:val="14"/>
        </w:rPr>
        <w:t xml:space="preserve"> </w:t>
      </w:r>
      <w:r>
        <w:rPr>
          <w:w w:val="95"/>
          <w:sz w:val="14"/>
        </w:rPr>
        <w:t>and</w:t>
      </w:r>
      <w:r>
        <w:rPr>
          <w:spacing w:val="-1"/>
          <w:w w:val="95"/>
          <w:sz w:val="14"/>
        </w:rPr>
        <w:t xml:space="preserve"> </w:t>
      </w:r>
      <w:r>
        <w:rPr>
          <w:w w:val="95"/>
          <w:sz w:val="14"/>
        </w:rPr>
        <w:t>Recreation</w:t>
      </w:r>
      <w:r>
        <w:rPr>
          <w:spacing w:val="-2"/>
          <w:w w:val="95"/>
          <w:sz w:val="14"/>
        </w:rPr>
        <w:t xml:space="preserve"> Report.</w:t>
      </w:r>
    </w:p>
    <w:p w:rsidR="002C1123" w:rsidRDefault="002C1123">
      <w:pPr>
        <w:rPr>
          <w:sz w:val="14"/>
        </w:rPr>
        <w:sectPr w:rsidR="002C1123">
          <w:type w:val="continuous"/>
          <w:pgSz w:w="16840" w:h="11910" w:orient="landscape"/>
          <w:pgMar w:top="560" w:right="280" w:bottom="280" w:left="500" w:header="0" w:footer="517"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3"/>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Heading6"/>
        <w:numPr>
          <w:ilvl w:val="2"/>
          <w:numId w:val="31"/>
        </w:numPr>
        <w:tabs>
          <w:tab w:val="left" w:pos="1087"/>
        </w:tabs>
        <w:ind w:left="1086"/>
        <w:jc w:val="left"/>
      </w:pPr>
      <w:bookmarkStart w:id="371" w:name="_bookmark263"/>
      <w:bookmarkEnd w:id="371"/>
      <w:r>
        <w:rPr>
          <w:color w:val="00AEEF"/>
          <w:spacing w:val="-2"/>
        </w:rPr>
        <w:t>Private</w:t>
      </w:r>
      <w:r>
        <w:rPr>
          <w:color w:val="00AEEF"/>
          <w:spacing w:val="-12"/>
        </w:rPr>
        <w:t xml:space="preserve"> </w:t>
      </w:r>
      <w:r>
        <w:rPr>
          <w:color w:val="00AEEF"/>
          <w:spacing w:val="-2"/>
        </w:rPr>
        <w:t>Participation</w:t>
      </w:r>
      <w:r>
        <w:rPr>
          <w:color w:val="00AEEF"/>
          <w:spacing w:val="-12"/>
        </w:rPr>
        <w:t xml:space="preserve"> </w:t>
      </w:r>
      <w:r>
        <w:rPr>
          <w:color w:val="00AEEF"/>
          <w:spacing w:val="-2"/>
        </w:rPr>
        <w:t>and</w:t>
      </w:r>
      <w:r>
        <w:rPr>
          <w:color w:val="00AEEF"/>
          <w:spacing w:val="-12"/>
        </w:rPr>
        <w:t xml:space="preserve"> </w:t>
      </w:r>
      <w:r>
        <w:rPr>
          <w:color w:val="00AEEF"/>
          <w:spacing w:val="-2"/>
        </w:rPr>
        <w:t>Funding</w:t>
      </w:r>
    </w:p>
    <w:p w:rsidR="002C1123" w:rsidRDefault="00F22F94">
      <w:pPr>
        <w:pStyle w:val="BodyText"/>
        <w:spacing w:before="95" w:line="249" w:lineRule="auto"/>
        <w:ind w:left="492"/>
      </w:pPr>
      <w:r>
        <w:t>The</w:t>
      </w:r>
      <w:r>
        <w:rPr>
          <w:spacing w:val="-11"/>
        </w:rPr>
        <w:t xml:space="preserve"> </w:t>
      </w:r>
      <w:r>
        <w:t>arts</w:t>
      </w:r>
      <w:r>
        <w:rPr>
          <w:spacing w:val="-11"/>
        </w:rPr>
        <w:t xml:space="preserve"> </w:t>
      </w:r>
      <w:r>
        <w:t>sector</w:t>
      </w:r>
      <w:r>
        <w:rPr>
          <w:spacing w:val="-11"/>
        </w:rPr>
        <w:t xml:space="preserve"> </w:t>
      </w:r>
      <w:r>
        <w:t>is</w:t>
      </w:r>
      <w:r>
        <w:rPr>
          <w:spacing w:val="-11"/>
        </w:rPr>
        <w:t xml:space="preserve"> </w:t>
      </w:r>
      <w:r>
        <w:t>funded</w:t>
      </w:r>
      <w:r>
        <w:rPr>
          <w:spacing w:val="-11"/>
        </w:rPr>
        <w:t xml:space="preserve"> </w:t>
      </w:r>
      <w:r>
        <w:t>by</w:t>
      </w:r>
      <w:r>
        <w:rPr>
          <w:spacing w:val="-11"/>
        </w:rPr>
        <w:t xml:space="preserve"> </w:t>
      </w:r>
      <w:r>
        <w:t>ticket</w:t>
      </w:r>
      <w:r>
        <w:rPr>
          <w:spacing w:val="-11"/>
        </w:rPr>
        <w:t xml:space="preserve"> </w:t>
      </w:r>
      <w:r>
        <w:t>sales,</w:t>
      </w:r>
      <w:r>
        <w:rPr>
          <w:spacing w:val="-11"/>
        </w:rPr>
        <w:t xml:space="preserve"> </w:t>
      </w:r>
      <w:r>
        <w:t>sponsorship, philanthropy</w:t>
      </w:r>
      <w:r>
        <w:rPr>
          <w:spacing w:val="-14"/>
        </w:rPr>
        <w:t xml:space="preserve"> </w:t>
      </w:r>
      <w:r>
        <w:t>and</w:t>
      </w:r>
      <w:r>
        <w:rPr>
          <w:spacing w:val="-14"/>
        </w:rPr>
        <w:t xml:space="preserve"> </w:t>
      </w:r>
      <w:r>
        <w:t>the</w:t>
      </w:r>
      <w:r>
        <w:rPr>
          <w:spacing w:val="-14"/>
        </w:rPr>
        <w:t xml:space="preserve"> </w:t>
      </w:r>
      <w:r>
        <w:t>three</w:t>
      </w:r>
      <w:r>
        <w:rPr>
          <w:spacing w:val="-14"/>
        </w:rPr>
        <w:t xml:space="preserve"> </w:t>
      </w:r>
      <w:r>
        <w:t>levels</w:t>
      </w:r>
      <w:r>
        <w:rPr>
          <w:spacing w:val="-14"/>
        </w:rPr>
        <w:t xml:space="preserve"> </w:t>
      </w:r>
      <w:r>
        <w:t>of</w:t>
      </w:r>
      <w:r>
        <w:rPr>
          <w:spacing w:val="-14"/>
        </w:rPr>
        <w:t xml:space="preserve"> </w:t>
      </w:r>
      <w:r>
        <w:t xml:space="preserve">Government, </w:t>
      </w:r>
      <w:r>
        <w:rPr>
          <w:w w:val="95"/>
        </w:rPr>
        <w:t>Commonwealth,</w:t>
      </w:r>
      <w:r>
        <w:rPr>
          <w:spacing w:val="-5"/>
          <w:w w:val="95"/>
        </w:rPr>
        <w:t xml:space="preserve"> </w:t>
      </w:r>
      <w:r>
        <w:rPr>
          <w:w w:val="95"/>
        </w:rPr>
        <w:t>state</w:t>
      </w:r>
      <w:r>
        <w:rPr>
          <w:spacing w:val="-5"/>
          <w:w w:val="95"/>
        </w:rPr>
        <w:t xml:space="preserve"> </w:t>
      </w:r>
      <w:r>
        <w:rPr>
          <w:w w:val="95"/>
        </w:rPr>
        <w:t>and</w:t>
      </w:r>
      <w:r>
        <w:rPr>
          <w:spacing w:val="-5"/>
          <w:w w:val="95"/>
        </w:rPr>
        <w:t xml:space="preserve"> </w:t>
      </w:r>
      <w:r>
        <w:rPr>
          <w:w w:val="95"/>
        </w:rPr>
        <w:t>local.</w:t>
      </w:r>
      <w:r>
        <w:rPr>
          <w:spacing w:val="-5"/>
          <w:w w:val="95"/>
        </w:rPr>
        <w:t xml:space="preserve"> </w:t>
      </w:r>
      <w:r>
        <w:rPr>
          <w:w w:val="95"/>
        </w:rPr>
        <w:t>Arts</w:t>
      </w:r>
      <w:r>
        <w:rPr>
          <w:spacing w:val="-5"/>
          <w:w w:val="95"/>
        </w:rPr>
        <w:t xml:space="preserve"> </w:t>
      </w:r>
      <w:r>
        <w:rPr>
          <w:w w:val="95"/>
        </w:rPr>
        <w:t>ticket</w:t>
      </w:r>
      <w:r>
        <w:rPr>
          <w:spacing w:val="-5"/>
          <w:w w:val="95"/>
        </w:rPr>
        <w:t xml:space="preserve"> </w:t>
      </w:r>
      <w:r>
        <w:rPr>
          <w:w w:val="95"/>
        </w:rPr>
        <w:t>sales</w:t>
      </w:r>
      <w:r>
        <w:rPr>
          <w:spacing w:val="-5"/>
          <w:w w:val="95"/>
        </w:rPr>
        <w:t xml:space="preserve"> </w:t>
      </w:r>
      <w:r>
        <w:rPr>
          <w:w w:val="95"/>
        </w:rPr>
        <w:t>in</w:t>
      </w:r>
      <w:r>
        <w:rPr>
          <w:spacing w:val="-5"/>
          <w:w w:val="95"/>
        </w:rPr>
        <w:t xml:space="preserve"> </w:t>
      </w:r>
      <w:r>
        <w:rPr>
          <w:w w:val="95"/>
        </w:rPr>
        <w:t xml:space="preserve">NSW </w:t>
      </w:r>
      <w:r>
        <w:t>raised</w:t>
      </w:r>
      <w:r>
        <w:rPr>
          <w:spacing w:val="-14"/>
        </w:rPr>
        <w:t xml:space="preserve"> </w:t>
      </w:r>
      <w:r>
        <w:t>$465</w:t>
      </w:r>
      <w:r>
        <w:rPr>
          <w:spacing w:val="-14"/>
        </w:rPr>
        <w:t xml:space="preserve"> </w:t>
      </w:r>
      <w:r>
        <w:t>million</w:t>
      </w:r>
      <w:r>
        <w:rPr>
          <w:spacing w:val="-14"/>
        </w:rPr>
        <w:t xml:space="preserve"> </w:t>
      </w:r>
      <w:r>
        <w:t>in</w:t>
      </w:r>
      <w:r>
        <w:rPr>
          <w:spacing w:val="-14"/>
        </w:rPr>
        <w:t xml:space="preserve"> </w:t>
      </w:r>
      <w:r>
        <w:t>2009-10,</w:t>
      </w:r>
      <w:r>
        <w:rPr>
          <w:spacing w:val="-14"/>
        </w:rPr>
        <w:t xml:space="preserve"> </w:t>
      </w:r>
      <w:r>
        <w:t>the</w:t>
      </w:r>
      <w:r>
        <w:rPr>
          <w:spacing w:val="-14"/>
        </w:rPr>
        <w:t xml:space="preserve"> </w:t>
      </w:r>
      <w:r>
        <w:t>largest</w:t>
      </w:r>
      <w:r>
        <w:rPr>
          <w:spacing w:val="-14"/>
        </w:rPr>
        <w:t xml:space="preserve"> </w:t>
      </w:r>
      <w:r>
        <w:t>of</w:t>
      </w:r>
      <w:r>
        <w:rPr>
          <w:spacing w:val="-14"/>
        </w:rPr>
        <w:t xml:space="preserve"> </w:t>
      </w:r>
      <w:r>
        <w:t>any</w:t>
      </w:r>
      <w:r>
        <w:rPr>
          <w:spacing w:val="-14"/>
        </w:rPr>
        <w:t xml:space="preserve"> </w:t>
      </w:r>
      <w:r>
        <w:t>State, but</w:t>
      </w:r>
      <w:r>
        <w:rPr>
          <w:spacing w:val="-4"/>
        </w:rPr>
        <w:t xml:space="preserve"> </w:t>
      </w:r>
      <w:r>
        <w:t>this</w:t>
      </w:r>
      <w:r>
        <w:rPr>
          <w:spacing w:val="-4"/>
        </w:rPr>
        <w:t xml:space="preserve"> </w:t>
      </w:r>
      <w:r>
        <w:t>is</w:t>
      </w:r>
      <w:r>
        <w:rPr>
          <w:spacing w:val="-4"/>
        </w:rPr>
        <w:t xml:space="preserve"> </w:t>
      </w:r>
      <w:r>
        <w:t>not</w:t>
      </w:r>
      <w:r>
        <w:rPr>
          <w:spacing w:val="-4"/>
        </w:rPr>
        <w:t xml:space="preserve"> </w:t>
      </w:r>
      <w:r>
        <w:t>used</w:t>
      </w:r>
      <w:r>
        <w:rPr>
          <w:spacing w:val="-4"/>
        </w:rPr>
        <w:t xml:space="preserve"> </w:t>
      </w:r>
      <w:r>
        <w:t>to</w:t>
      </w:r>
      <w:r>
        <w:rPr>
          <w:spacing w:val="-4"/>
        </w:rPr>
        <w:t xml:space="preserve"> </w:t>
      </w:r>
      <w:r>
        <w:t>fund</w:t>
      </w:r>
      <w:r>
        <w:rPr>
          <w:spacing w:val="-4"/>
        </w:rPr>
        <w:t xml:space="preserve"> </w:t>
      </w:r>
      <w:r>
        <w:t>infrastructure.</w:t>
      </w:r>
    </w:p>
    <w:p w:rsidR="002C1123" w:rsidRDefault="00F22F94">
      <w:pPr>
        <w:pStyle w:val="BodyText"/>
        <w:spacing w:before="146" w:line="249" w:lineRule="auto"/>
        <w:ind w:left="492" w:right="217"/>
      </w:pPr>
      <w:r>
        <w:rPr>
          <w:w w:val="95"/>
        </w:rPr>
        <w:t>Private</w:t>
      </w:r>
      <w:r>
        <w:rPr>
          <w:spacing w:val="-12"/>
          <w:w w:val="95"/>
        </w:rPr>
        <w:t xml:space="preserve"> </w:t>
      </w:r>
      <w:r>
        <w:rPr>
          <w:w w:val="95"/>
        </w:rPr>
        <w:t>funding</w:t>
      </w:r>
      <w:r>
        <w:rPr>
          <w:spacing w:val="-11"/>
          <w:w w:val="95"/>
        </w:rPr>
        <w:t xml:space="preserve"> </w:t>
      </w:r>
      <w:r>
        <w:rPr>
          <w:w w:val="95"/>
        </w:rPr>
        <w:t>for</w:t>
      </w:r>
      <w:r>
        <w:rPr>
          <w:spacing w:val="-11"/>
          <w:w w:val="95"/>
        </w:rPr>
        <w:t xml:space="preserve"> </w:t>
      </w:r>
      <w:r>
        <w:rPr>
          <w:w w:val="95"/>
        </w:rPr>
        <w:t>NSW</w:t>
      </w:r>
      <w:r>
        <w:rPr>
          <w:spacing w:val="-11"/>
          <w:w w:val="95"/>
        </w:rPr>
        <w:t xml:space="preserve"> </w:t>
      </w:r>
      <w:r>
        <w:rPr>
          <w:w w:val="95"/>
        </w:rPr>
        <w:t>cultural</w:t>
      </w:r>
      <w:r>
        <w:rPr>
          <w:spacing w:val="-11"/>
          <w:w w:val="95"/>
        </w:rPr>
        <w:t xml:space="preserve"> </w:t>
      </w:r>
      <w:r>
        <w:rPr>
          <w:w w:val="95"/>
        </w:rPr>
        <w:t>institutions</w:t>
      </w:r>
      <w:r>
        <w:rPr>
          <w:spacing w:val="-11"/>
          <w:w w:val="95"/>
        </w:rPr>
        <w:t xml:space="preserve"> </w:t>
      </w:r>
      <w:r>
        <w:rPr>
          <w:w w:val="95"/>
        </w:rPr>
        <w:t>has</w:t>
      </w:r>
      <w:r>
        <w:rPr>
          <w:spacing w:val="-11"/>
          <w:w w:val="95"/>
        </w:rPr>
        <w:t xml:space="preserve"> </w:t>
      </w:r>
      <w:r>
        <w:rPr>
          <w:w w:val="95"/>
        </w:rPr>
        <w:t xml:space="preserve">nearly </w:t>
      </w:r>
      <w:r>
        <w:t>doubled</w:t>
      </w:r>
      <w:r>
        <w:rPr>
          <w:spacing w:val="-12"/>
        </w:rPr>
        <w:t xml:space="preserve"> </w:t>
      </w:r>
      <w:r>
        <w:t>over</w:t>
      </w:r>
      <w:r>
        <w:rPr>
          <w:spacing w:val="-12"/>
        </w:rPr>
        <w:t xml:space="preserve"> </w:t>
      </w:r>
      <w:r>
        <w:t>the</w:t>
      </w:r>
      <w:r>
        <w:rPr>
          <w:spacing w:val="-12"/>
        </w:rPr>
        <w:t xml:space="preserve"> </w:t>
      </w:r>
      <w:r>
        <w:t>past</w:t>
      </w:r>
      <w:r>
        <w:rPr>
          <w:spacing w:val="-12"/>
        </w:rPr>
        <w:t xml:space="preserve"> </w:t>
      </w:r>
      <w:r>
        <w:t>decade</w:t>
      </w:r>
      <w:r>
        <w:rPr>
          <w:spacing w:val="-12"/>
        </w:rPr>
        <w:t xml:space="preserve"> </w:t>
      </w:r>
      <w:r>
        <w:t>and</w:t>
      </w:r>
      <w:r>
        <w:rPr>
          <w:spacing w:val="-12"/>
        </w:rPr>
        <w:t xml:space="preserve"> </w:t>
      </w:r>
      <w:r>
        <w:t>now</w:t>
      </w:r>
      <w:r>
        <w:rPr>
          <w:spacing w:val="-12"/>
        </w:rPr>
        <w:t xml:space="preserve"> </w:t>
      </w:r>
      <w:r>
        <w:t>accounts</w:t>
      </w:r>
      <w:r>
        <w:rPr>
          <w:spacing w:val="-12"/>
        </w:rPr>
        <w:t xml:space="preserve"> </w:t>
      </w:r>
      <w:r>
        <w:t>for over</w:t>
      </w:r>
      <w:r>
        <w:rPr>
          <w:spacing w:val="-10"/>
        </w:rPr>
        <w:t xml:space="preserve"> </w:t>
      </w:r>
      <w:r>
        <w:t>10</w:t>
      </w:r>
      <w:r>
        <w:rPr>
          <w:spacing w:val="-10"/>
        </w:rPr>
        <w:t xml:space="preserve"> </w:t>
      </w:r>
      <w:r>
        <w:t>percent</w:t>
      </w:r>
      <w:r>
        <w:rPr>
          <w:spacing w:val="-10"/>
        </w:rPr>
        <w:t xml:space="preserve"> </w:t>
      </w:r>
      <w:r>
        <w:t>of</w:t>
      </w:r>
      <w:r>
        <w:rPr>
          <w:spacing w:val="-10"/>
        </w:rPr>
        <w:t xml:space="preserve"> </w:t>
      </w:r>
      <w:r>
        <w:t>total</w:t>
      </w:r>
      <w:r>
        <w:rPr>
          <w:spacing w:val="-10"/>
        </w:rPr>
        <w:t xml:space="preserve"> </w:t>
      </w:r>
      <w:r>
        <w:t>funding.</w:t>
      </w:r>
      <w:r>
        <w:rPr>
          <w:spacing w:val="-10"/>
        </w:rPr>
        <w:t xml:space="preserve"> </w:t>
      </w:r>
      <w:r>
        <w:t>NSW</w:t>
      </w:r>
      <w:r>
        <w:rPr>
          <w:spacing w:val="-10"/>
        </w:rPr>
        <w:t xml:space="preserve"> </w:t>
      </w:r>
      <w:r>
        <w:t>accounts</w:t>
      </w:r>
      <w:r>
        <w:rPr>
          <w:spacing w:val="-10"/>
        </w:rPr>
        <w:t xml:space="preserve"> </w:t>
      </w:r>
      <w:r>
        <w:t xml:space="preserve">for </w:t>
      </w:r>
      <w:r>
        <w:rPr>
          <w:w w:val="95"/>
        </w:rPr>
        <w:t>the</w:t>
      </w:r>
      <w:r>
        <w:rPr>
          <w:spacing w:val="-6"/>
          <w:w w:val="95"/>
        </w:rPr>
        <w:t xml:space="preserve"> </w:t>
      </w:r>
      <w:r>
        <w:rPr>
          <w:w w:val="95"/>
        </w:rPr>
        <w:t>largest</w:t>
      </w:r>
      <w:r>
        <w:rPr>
          <w:spacing w:val="-6"/>
          <w:w w:val="95"/>
        </w:rPr>
        <w:t xml:space="preserve"> </w:t>
      </w:r>
      <w:r>
        <w:rPr>
          <w:w w:val="95"/>
        </w:rPr>
        <w:t>share</w:t>
      </w:r>
      <w:r>
        <w:rPr>
          <w:spacing w:val="-6"/>
          <w:w w:val="95"/>
        </w:rPr>
        <w:t xml:space="preserve"> </w:t>
      </w:r>
      <w:r>
        <w:rPr>
          <w:w w:val="95"/>
        </w:rPr>
        <w:t>of</w:t>
      </w:r>
      <w:r>
        <w:rPr>
          <w:spacing w:val="-6"/>
          <w:w w:val="95"/>
        </w:rPr>
        <w:t xml:space="preserve"> </w:t>
      </w:r>
      <w:r>
        <w:rPr>
          <w:w w:val="95"/>
        </w:rPr>
        <w:t>private</w:t>
      </w:r>
      <w:r>
        <w:rPr>
          <w:spacing w:val="-6"/>
          <w:w w:val="95"/>
        </w:rPr>
        <w:t xml:space="preserve"> </w:t>
      </w:r>
      <w:r>
        <w:rPr>
          <w:w w:val="95"/>
        </w:rPr>
        <w:t>sector</w:t>
      </w:r>
      <w:r>
        <w:rPr>
          <w:spacing w:val="-6"/>
          <w:w w:val="95"/>
        </w:rPr>
        <w:t xml:space="preserve"> </w:t>
      </w:r>
      <w:r>
        <w:rPr>
          <w:w w:val="95"/>
        </w:rPr>
        <w:t>support</w:t>
      </w:r>
      <w:r>
        <w:rPr>
          <w:spacing w:val="-6"/>
          <w:w w:val="95"/>
        </w:rPr>
        <w:t xml:space="preserve"> </w:t>
      </w:r>
      <w:r>
        <w:rPr>
          <w:w w:val="95"/>
        </w:rPr>
        <w:t>in</w:t>
      </w:r>
      <w:r>
        <w:rPr>
          <w:spacing w:val="-6"/>
          <w:w w:val="95"/>
        </w:rPr>
        <w:t xml:space="preserve"> </w:t>
      </w:r>
      <w:r>
        <w:rPr>
          <w:w w:val="95"/>
        </w:rPr>
        <w:t xml:space="preserve">Australia, </w:t>
      </w:r>
      <w:r>
        <w:t>37</w:t>
      </w:r>
      <w:r>
        <w:rPr>
          <w:spacing w:val="-11"/>
        </w:rPr>
        <w:t xml:space="preserve"> </w:t>
      </w:r>
      <w:r>
        <w:t>percent.</w:t>
      </w:r>
    </w:p>
    <w:p w:rsidR="002C1123" w:rsidRDefault="00F22F94">
      <w:pPr>
        <w:pStyle w:val="BodyText"/>
        <w:spacing w:before="146" w:line="249" w:lineRule="auto"/>
        <w:ind w:left="492"/>
      </w:pPr>
      <w:r>
        <w:t>Arts</w:t>
      </w:r>
      <w:r>
        <w:rPr>
          <w:spacing w:val="-14"/>
        </w:rPr>
        <w:t xml:space="preserve"> </w:t>
      </w:r>
      <w:r>
        <w:t>NSW</w:t>
      </w:r>
      <w:r>
        <w:rPr>
          <w:spacing w:val="-14"/>
        </w:rPr>
        <w:t xml:space="preserve"> </w:t>
      </w:r>
      <w:r>
        <w:t>advise</w:t>
      </w:r>
      <w:r>
        <w:rPr>
          <w:spacing w:val="-14"/>
        </w:rPr>
        <w:t xml:space="preserve"> </w:t>
      </w:r>
      <w:r>
        <w:t>that</w:t>
      </w:r>
      <w:r>
        <w:rPr>
          <w:spacing w:val="-14"/>
        </w:rPr>
        <w:t xml:space="preserve"> </w:t>
      </w:r>
      <w:r>
        <w:t>private</w:t>
      </w:r>
      <w:r>
        <w:rPr>
          <w:spacing w:val="-14"/>
        </w:rPr>
        <w:t xml:space="preserve"> </w:t>
      </w:r>
      <w:r>
        <w:t>and</w:t>
      </w:r>
      <w:r>
        <w:rPr>
          <w:spacing w:val="-14"/>
        </w:rPr>
        <w:t xml:space="preserve"> </w:t>
      </w:r>
      <w:r>
        <w:t>philanthropic</w:t>
      </w:r>
      <w:r>
        <w:rPr>
          <w:spacing w:val="-14"/>
        </w:rPr>
        <w:t xml:space="preserve"> </w:t>
      </w:r>
      <w:r>
        <w:t xml:space="preserve">funding </w:t>
      </w:r>
      <w:r>
        <w:rPr>
          <w:spacing w:val="-2"/>
        </w:rPr>
        <w:t>is</w:t>
      </w:r>
      <w:r>
        <w:rPr>
          <w:spacing w:val="-8"/>
        </w:rPr>
        <w:t xml:space="preserve"> </w:t>
      </w:r>
      <w:r>
        <w:rPr>
          <w:spacing w:val="-2"/>
        </w:rPr>
        <w:t>directed</w:t>
      </w:r>
      <w:r>
        <w:rPr>
          <w:spacing w:val="-8"/>
        </w:rPr>
        <w:t xml:space="preserve"> </w:t>
      </w:r>
      <w:r>
        <w:rPr>
          <w:spacing w:val="-2"/>
        </w:rPr>
        <w:t>to</w:t>
      </w:r>
      <w:r>
        <w:rPr>
          <w:spacing w:val="-8"/>
        </w:rPr>
        <w:t xml:space="preserve"> </w:t>
      </w:r>
      <w:r>
        <w:rPr>
          <w:spacing w:val="-2"/>
        </w:rPr>
        <w:t>public</w:t>
      </w:r>
      <w:r>
        <w:rPr>
          <w:spacing w:val="-8"/>
        </w:rPr>
        <w:t xml:space="preserve"> </w:t>
      </w:r>
      <w:r>
        <w:rPr>
          <w:spacing w:val="-2"/>
        </w:rPr>
        <w:t>facing</w:t>
      </w:r>
      <w:r>
        <w:rPr>
          <w:spacing w:val="-8"/>
        </w:rPr>
        <w:t xml:space="preserve"> </w:t>
      </w:r>
      <w:r>
        <w:rPr>
          <w:spacing w:val="-2"/>
        </w:rPr>
        <w:t>works</w:t>
      </w:r>
      <w:r>
        <w:rPr>
          <w:spacing w:val="-8"/>
        </w:rPr>
        <w:t xml:space="preserve"> </w:t>
      </w:r>
      <w:r>
        <w:rPr>
          <w:spacing w:val="-2"/>
        </w:rPr>
        <w:t>such</w:t>
      </w:r>
      <w:r>
        <w:rPr>
          <w:spacing w:val="-8"/>
        </w:rPr>
        <w:t xml:space="preserve"> </w:t>
      </w:r>
      <w:r>
        <w:rPr>
          <w:spacing w:val="-2"/>
        </w:rPr>
        <w:t>as</w:t>
      </w:r>
      <w:r>
        <w:rPr>
          <w:spacing w:val="-8"/>
        </w:rPr>
        <w:t xml:space="preserve"> </w:t>
      </w:r>
      <w:r>
        <w:rPr>
          <w:spacing w:val="-2"/>
        </w:rPr>
        <w:t>new</w:t>
      </w:r>
      <w:r>
        <w:rPr>
          <w:spacing w:val="-8"/>
        </w:rPr>
        <w:t xml:space="preserve"> </w:t>
      </w:r>
      <w:r>
        <w:rPr>
          <w:spacing w:val="-2"/>
        </w:rPr>
        <w:t xml:space="preserve">galleries, </w:t>
      </w:r>
      <w:r>
        <w:rPr>
          <w:spacing w:val="-2"/>
          <w:w w:val="90"/>
        </w:rPr>
        <w:t>acquisitions</w:t>
      </w:r>
      <w:r>
        <w:rPr>
          <w:spacing w:val="-7"/>
          <w:w w:val="90"/>
        </w:rPr>
        <w:t xml:space="preserve"> </w:t>
      </w:r>
      <w:r>
        <w:rPr>
          <w:spacing w:val="-2"/>
          <w:w w:val="90"/>
        </w:rPr>
        <w:t>or</w:t>
      </w:r>
      <w:r>
        <w:rPr>
          <w:spacing w:val="-7"/>
          <w:w w:val="90"/>
        </w:rPr>
        <w:t xml:space="preserve"> </w:t>
      </w:r>
      <w:r>
        <w:rPr>
          <w:spacing w:val="-2"/>
          <w:w w:val="90"/>
        </w:rPr>
        <w:t>extensions</w:t>
      </w:r>
      <w:r>
        <w:rPr>
          <w:spacing w:val="-7"/>
          <w:w w:val="90"/>
        </w:rPr>
        <w:t xml:space="preserve"> </w:t>
      </w:r>
      <w:r>
        <w:rPr>
          <w:spacing w:val="-2"/>
          <w:w w:val="90"/>
        </w:rPr>
        <w:t>to</w:t>
      </w:r>
      <w:r>
        <w:rPr>
          <w:spacing w:val="-7"/>
          <w:w w:val="90"/>
        </w:rPr>
        <w:t xml:space="preserve"> </w:t>
      </w:r>
      <w:r>
        <w:rPr>
          <w:spacing w:val="-2"/>
          <w:w w:val="90"/>
        </w:rPr>
        <w:t>exhibition</w:t>
      </w:r>
      <w:r>
        <w:rPr>
          <w:spacing w:val="-7"/>
          <w:w w:val="90"/>
        </w:rPr>
        <w:t xml:space="preserve"> </w:t>
      </w:r>
      <w:r>
        <w:rPr>
          <w:spacing w:val="-2"/>
          <w:w w:val="90"/>
        </w:rPr>
        <w:t>space.</w:t>
      </w:r>
      <w:r>
        <w:rPr>
          <w:spacing w:val="-7"/>
          <w:w w:val="90"/>
        </w:rPr>
        <w:t xml:space="preserve"> </w:t>
      </w:r>
      <w:r>
        <w:rPr>
          <w:spacing w:val="-2"/>
          <w:w w:val="90"/>
        </w:rPr>
        <w:t>All</w:t>
      </w:r>
      <w:r>
        <w:rPr>
          <w:spacing w:val="-7"/>
          <w:w w:val="90"/>
        </w:rPr>
        <w:t xml:space="preserve"> </w:t>
      </w:r>
      <w:r>
        <w:rPr>
          <w:spacing w:val="-2"/>
          <w:w w:val="90"/>
        </w:rPr>
        <w:t xml:space="preserve">acquisitions </w:t>
      </w:r>
      <w:r>
        <w:rPr>
          <w:w w:val="90"/>
        </w:rPr>
        <w:t>made</w:t>
      </w:r>
      <w:r>
        <w:t xml:space="preserve"> </w:t>
      </w:r>
      <w:r>
        <w:rPr>
          <w:w w:val="90"/>
        </w:rPr>
        <w:t>by</w:t>
      </w:r>
      <w:r>
        <w:rPr>
          <w:spacing w:val="1"/>
        </w:rPr>
        <w:t xml:space="preserve"> </w:t>
      </w:r>
      <w:r>
        <w:rPr>
          <w:w w:val="90"/>
        </w:rPr>
        <w:t>the</w:t>
      </w:r>
      <w:r>
        <w:rPr>
          <w:spacing w:val="1"/>
        </w:rPr>
        <w:t xml:space="preserve"> </w:t>
      </w:r>
      <w:r>
        <w:rPr>
          <w:w w:val="90"/>
        </w:rPr>
        <w:t>Art</w:t>
      </w:r>
      <w:r>
        <w:rPr>
          <w:spacing w:val="1"/>
        </w:rPr>
        <w:t xml:space="preserve"> </w:t>
      </w:r>
      <w:r>
        <w:rPr>
          <w:w w:val="90"/>
        </w:rPr>
        <w:t>Gallery</w:t>
      </w:r>
      <w:r>
        <w:t xml:space="preserve"> </w:t>
      </w:r>
      <w:r>
        <w:rPr>
          <w:w w:val="90"/>
        </w:rPr>
        <w:t>of</w:t>
      </w:r>
      <w:r>
        <w:rPr>
          <w:spacing w:val="1"/>
        </w:rPr>
        <w:t xml:space="preserve"> </w:t>
      </w:r>
      <w:r>
        <w:rPr>
          <w:w w:val="90"/>
        </w:rPr>
        <w:t>NSW</w:t>
      </w:r>
      <w:r>
        <w:rPr>
          <w:spacing w:val="1"/>
        </w:rPr>
        <w:t xml:space="preserve"> </w:t>
      </w:r>
      <w:r>
        <w:rPr>
          <w:w w:val="90"/>
        </w:rPr>
        <w:t>are</w:t>
      </w:r>
      <w:r>
        <w:rPr>
          <w:spacing w:val="1"/>
        </w:rPr>
        <w:t xml:space="preserve"> </w:t>
      </w:r>
      <w:r>
        <w:rPr>
          <w:w w:val="90"/>
        </w:rPr>
        <w:t>fully</w:t>
      </w:r>
      <w:r>
        <w:t xml:space="preserve"> </w:t>
      </w:r>
      <w:r>
        <w:rPr>
          <w:w w:val="90"/>
        </w:rPr>
        <w:t>privately</w:t>
      </w:r>
      <w:r>
        <w:rPr>
          <w:spacing w:val="1"/>
        </w:rPr>
        <w:t xml:space="preserve"> </w:t>
      </w:r>
      <w:r>
        <w:rPr>
          <w:spacing w:val="-2"/>
          <w:w w:val="90"/>
        </w:rPr>
        <w:t>funded.</w:t>
      </w:r>
    </w:p>
    <w:p w:rsidR="002C1123" w:rsidRDefault="00F22F94">
      <w:pPr>
        <w:pStyle w:val="BodyText"/>
        <w:spacing w:before="145" w:line="249" w:lineRule="auto"/>
        <w:ind w:left="492"/>
      </w:pPr>
      <w:r>
        <w:t>Infrastructure</w:t>
      </w:r>
      <w:r>
        <w:rPr>
          <w:spacing w:val="-14"/>
        </w:rPr>
        <w:t xml:space="preserve"> </w:t>
      </w:r>
      <w:r>
        <w:t>NSW</w:t>
      </w:r>
      <w:r>
        <w:rPr>
          <w:spacing w:val="-14"/>
        </w:rPr>
        <w:t xml:space="preserve"> </w:t>
      </w:r>
      <w:r>
        <w:t>notes</w:t>
      </w:r>
      <w:r>
        <w:rPr>
          <w:spacing w:val="-14"/>
        </w:rPr>
        <w:t xml:space="preserve"> </w:t>
      </w:r>
      <w:r>
        <w:t>that</w:t>
      </w:r>
      <w:r>
        <w:rPr>
          <w:spacing w:val="-14"/>
        </w:rPr>
        <w:t xml:space="preserve"> </w:t>
      </w:r>
      <w:r>
        <w:t>arts</w:t>
      </w:r>
      <w:r>
        <w:rPr>
          <w:spacing w:val="-14"/>
        </w:rPr>
        <w:t xml:space="preserve"> </w:t>
      </w:r>
      <w:r>
        <w:t>cluster</w:t>
      </w:r>
      <w:r>
        <w:rPr>
          <w:spacing w:val="-14"/>
        </w:rPr>
        <w:t xml:space="preserve"> </w:t>
      </w:r>
      <w:r>
        <w:t>renewal</w:t>
      </w:r>
      <w:r>
        <w:rPr>
          <w:spacing w:val="-14"/>
        </w:rPr>
        <w:t xml:space="preserve"> </w:t>
      </w:r>
      <w:r>
        <w:t>and support</w:t>
      </w:r>
      <w:r>
        <w:rPr>
          <w:spacing w:val="-12"/>
        </w:rPr>
        <w:t xml:space="preserve"> </w:t>
      </w:r>
      <w:r>
        <w:t>of</w:t>
      </w:r>
      <w:r>
        <w:rPr>
          <w:spacing w:val="-12"/>
        </w:rPr>
        <w:t xml:space="preserve"> </w:t>
      </w:r>
      <w:r>
        <w:t>institutions</w:t>
      </w:r>
      <w:r>
        <w:rPr>
          <w:spacing w:val="-12"/>
        </w:rPr>
        <w:t xml:space="preserve"> </w:t>
      </w:r>
      <w:r>
        <w:t>in</w:t>
      </w:r>
      <w:r>
        <w:rPr>
          <w:spacing w:val="-12"/>
        </w:rPr>
        <w:t xml:space="preserve"> </w:t>
      </w:r>
      <w:r>
        <w:t>other</w:t>
      </w:r>
      <w:r>
        <w:rPr>
          <w:spacing w:val="-12"/>
        </w:rPr>
        <w:t xml:space="preserve"> </w:t>
      </w:r>
      <w:r>
        <w:t>cities</w:t>
      </w:r>
      <w:r>
        <w:rPr>
          <w:spacing w:val="-12"/>
        </w:rPr>
        <w:t xml:space="preserve"> </w:t>
      </w:r>
      <w:r>
        <w:t>has</w:t>
      </w:r>
      <w:r>
        <w:rPr>
          <w:spacing w:val="-12"/>
        </w:rPr>
        <w:t xml:space="preserve"> </w:t>
      </w:r>
      <w:r>
        <w:t>been</w:t>
      </w:r>
      <w:r>
        <w:rPr>
          <w:spacing w:val="-12"/>
        </w:rPr>
        <w:t xml:space="preserve"> </w:t>
      </w:r>
      <w:r>
        <w:t xml:space="preserve">driven, </w:t>
      </w:r>
      <w:r>
        <w:rPr>
          <w:w w:val="95"/>
        </w:rPr>
        <w:t xml:space="preserve">supported and delivered by businesses, industry groups </w:t>
      </w:r>
      <w:r>
        <w:t>and</w:t>
      </w:r>
      <w:r>
        <w:rPr>
          <w:spacing w:val="-13"/>
        </w:rPr>
        <w:t xml:space="preserve"> </w:t>
      </w:r>
      <w:r>
        <w:t>individuals</w:t>
      </w:r>
      <w:r>
        <w:rPr>
          <w:spacing w:val="-13"/>
        </w:rPr>
        <w:t xml:space="preserve"> </w:t>
      </w:r>
      <w:r>
        <w:t>in</w:t>
      </w:r>
      <w:r>
        <w:rPr>
          <w:spacing w:val="-13"/>
        </w:rPr>
        <w:t xml:space="preserve"> </w:t>
      </w:r>
      <w:r>
        <w:t>a</w:t>
      </w:r>
      <w:r>
        <w:rPr>
          <w:spacing w:val="-13"/>
        </w:rPr>
        <w:t xml:space="preserve"> </w:t>
      </w:r>
      <w:r>
        <w:t>“Development</w:t>
      </w:r>
      <w:r>
        <w:rPr>
          <w:spacing w:val="-13"/>
        </w:rPr>
        <w:t xml:space="preserve"> </w:t>
      </w:r>
      <w:r>
        <w:t>Partnership”</w:t>
      </w:r>
      <w:r>
        <w:rPr>
          <w:spacing w:val="-13"/>
        </w:rPr>
        <w:t xml:space="preserve"> </w:t>
      </w:r>
      <w:r>
        <w:t xml:space="preserve">model. </w:t>
      </w:r>
      <w:r>
        <w:rPr>
          <w:w w:val="95"/>
        </w:rPr>
        <w:t>For</w:t>
      </w:r>
      <w:r>
        <w:rPr>
          <w:spacing w:val="-4"/>
          <w:w w:val="95"/>
        </w:rPr>
        <w:t xml:space="preserve"> </w:t>
      </w:r>
      <w:r>
        <w:rPr>
          <w:w w:val="95"/>
        </w:rPr>
        <w:t>example,</w:t>
      </w:r>
      <w:r>
        <w:rPr>
          <w:spacing w:val="-4"/>
          <w:w w:val="95"/>
        </w:rPr>
        <w:t xml:space="preserve"> </w:t>
      </w:r>
      <w:r>
        <w:rPr>
          <w:w w:val="95"/>
        </w:rPr>
        <w:t>development</w:t>
      </w:r>
      <w:r>
        <w:rPr>
          <w:spacing w:val="-4"/>
          <w:w w:val="95"/>
        </w:rPr>
        <w:t xml:space="preserve"> </w:t>
      </w:r>
      <w:r>
        <w:rPr>
          <w:w w:val="95"/>
        </w:rPr>
        <w:t>partnerships</w:t>
      </w:r>
      <w:r>
        <w:rPr>
          <w:spacing w:val="-4"/>
          <w:w w:val="95"/>
        </w:rPr>
        <w:t xml:space="preserve"> </w:t>
      </w:r>
      <w:r>
        <w:rPr>
          <w:w w:val="95"/>
        </w:rPr>
        <w:t>have</w:t>
      </w:r>
      <w:r>
        <w:rPr>
          <w:spacing w:val="-4"/>
          <w:w w:val="95"/>
        </w:rPr>
        <w:t xml:space="preserve"> </w:t>
      </w:r>
      <w:r>
        <w:rPr>
          <w:w w:val="95"/>
        </w:rPr>
        <w:t>been</w:t>
      </w:r>
      <w:r>
        <w:rPr>
          <w:spacing w:val="-4"/>
          <w:w w:val="95"/>
        </w:rPr>
        <w:t xml:space="preserve"> </w:t>
      </w:r>
      <w:r>
        <w:rPr>
          <w:w w:val="95"/>
        </w:rPr>
        <w:t xml:space="preserve">used in London and New York to increase funding for clusters </w:t>
      </w:r>
      <w:r>
        <w:t>as part of broad regeneration efforts</w:t>
      </w:r>
      <w:r>
        <w:rPr>
          <w:position w:val="7"/>
          <w:sz w:val="11"/>
        </w:rPr>
        <w:t>3</w:t>
      </w:r>
      <w:r>
        <w:t>.</w:t>
      </w:r>
    </w:p>
    <w:p w:rsidR="002C1123" w:rsidRDefault="00F22F94">
      <w:pPr>
        <w:pStyle w:val="BodyText"/>
        <w:spacing w:before="147" w:line="249" w:lineRule="auto"/>
        <w:ind w:left="492" w:right="283"/>
        <w:jc w:val="both"/>
      </w:pPr>
      <w:r>
        <w:rPr>
          <w:w w:val="95"/>
        </w:rPr>
        <w:t>Investment</w:t>
      </w:r>
      <w:r>
        <w:rPr>
          <w:spacing w:val="-4"/>
          <w:w w:val="95"/>
        </w:rPr>
        <w:t xml:space="preserve"> </w:t>
      </w:r>
      <w:r>
        <w:rPr>
          <w:w w:val="95"/>
        </w:rPr>
        <w:t>in</w:t>
      </w:r>
      <w:r>
        <w:rPr>
          <w:spacing w:val="-4"/>
          <w:w w:val="95"/>
        </w:rPr>
        <w:t xml:space="preserve"> </w:t>
      </w:r>
      <w:r>
        <w:rPr>
          <w:w w:val="95"/>
        </w:rPr>
        <w:t>infrastructure</w:t>
      </w:r>
      <w:r>
        <w:rPr>
          <w:spacing w:val="-4"/>
          <w:w w:val="95"/>
        </w:rPr>
        <w:t xml:space="preserve"> </w:t>
      </w:r>
      <w:r>
        <w:rPr>
          <w:w w:val="95"/>
        </w:rPr>
        <w:t>could</w:t>
      </w:r>
      <w:r>
        <w:rPr>
          <w:spacing w:val="-4"/>
          <w:w w:val="95"/>
        </w:rPr>
        <w:t xml:space="preserve"> </w:t>
      </w:r>
      <w:r>
        <w:rPr>
          <w:w w:val="95"/>
        </w:rPr>
        <w:t>also</w:t>
      </w:r>
      <w:r>
        <w:rPr>
          <w:spacing w:val="-4"/>
          <w:w w:val="95"/>
        </w:rPr>
        <w:t xml:space="preserve"> </w:t>
      </w:r>
      <w:r>
        <w:rPr>
          <w:w w:val="95"/>
        </w:rPr>
        <w:t>generate</w:t>
      </w:r>
      <w:r>
        <w:rPr>
          <w:spacing w:val="-4"/>
          <w:w w:val="95"/>
        </w:rPr>
        <w:t xml:space="preserve"> </w:t>
      </w:r>
      <w:r>
        <w:rPr>
          <w:w w:val="95"/>
        </w:rPr>
        <w:t xml:space="preserve">more philanthropy for collections, sponsorship of programs </w:t>
      </w:r>
      <w:r>
        <w:t>and</w:t>
      </w:r>
      <w:r>
        <w:rPr>
          <w:spacing w:val="-14"/>
        </w:rPr>
        <w:t xml:space="preserve"> </w:t>
      </w:r>
      <w:r>
        <w:t>events</w:t>
      </w:r>
      <w:r>
        <w:rPr>
          <w:spacing w:val="-14"/>
        </w:rPr>
        <w:t xml:space="preserve"> </w:t>
      </w:r>
      <w:r>
        <w:t>and</w:t>
      </w:r>
      <w:r>
        <w:rPr>
          <w:spacing w:val="-14"/>
        </w:rPr>
        <w:t xml:space="preserve"> </w:t>
      </w:r>
      <w:r>
        <w:t>increase</w:t>
      </w:r>
      <w:r>
        <w:rPr>
          <w:spacing w:val="-14"/>
        </w:rPr>
        <w:t xml:space="preserve"> </w:t>
      </w:r>
      <w:r>
        <w:t>self-generated</w:t>
      </w:r>
      <w:r>
        <w:rPr>
          <w:spacing w:val="-14"/>
        </w:rPr>
        <w:t xml:space="preserve"> </w:t>
      </w:r>
      <w:r>
        <w:t>revenue.</w:t>
      </w:r>
    </w:p>
    <w:p w:rsidR="002C1123" w:rsidRDefault="00F22F94">
      <w:pPr>
        <w:pStyle w:val="BodyText"/>
        <w:spacing w:before="144" w:line="249" w:lineRule="auto"/>
        <w:ind w:left="492" w:right="217"/>
      </w:pPr>
      <w:r>
        <w:rPr>
          <w:w w:val="95"/>
        </w:rPr>
        <w:t>Infrastructure</w:t>
      </w:r>
      <w:r>
        <w:rPr>
          <w:spacing w:val="-3"/>
          <w:w w:val="95"/>
        </w:rPr>
        <w:t xml:space="preserve"> </w:t>
      </w:r>
      <w:r>
        <w:rPr>
          <w:w w:val="95"/>
        </w:rPr>
        <w:t>NSW</w:t>
      </w:r>
      <w:r>
        <w:rPr>
          <w:spacing w:val="-3"/>
          <w:w w:val="95"/>
        </w:rPr>
        <w:t xml:space="preserve"> </w:t>
      </w:r>
      <w:r>
        <w:rPr>
          <w:w w:val="95"/>
        </w:rPr>
        <w:t>proposes</w:t>
      </w:r>
      <w:r>
        <w:rPr>
          <w:spacing w:val="-3"/>
          <w:w w:val="95"/>
        </w:rPr>
        <w:t xml:space="preserve"> </w:t>
      </w:r>
      <w:r>
        <w:rPr>
          <w:w w:val="95"/>
        </w:rPr>
        <w:t>that</w:t>
      </w:r>
      <w:r>
        <w:rPr>
          <w:spacing w:val="-3"/>
          <w:w w:val="95"/>
        </w:rPr>
        <w:t xml:space="preserve"> </w:t>
      </w:r>
      <w:r>
        <w:rPr>
          <w:w w:val="95"/>
        </w:rPr>
        <w:t>Arts</w:t>
      </w:r>
      <w:r>
        <w:rPr>
          <w:spacing w:val="-3"/>
          <w:w w:val="95"/>
        </w:rPr>
        <w:t xml:space="preserve"> </w:t>
      </w:r>
      <w:r>
        <w:rPr>
          <w:w w:val="95"/>
        </w:rPr>
        <w:t>NSW</w:t>
      </w:r>
      <w:r>
        <w:rPr>
          <w:spacing w:val="-3"/>
          <w:w w:val="95"/>
        </w:rPr>
        <w:t xml:space="preserve"> </w:t>
      </w:r>
      <w:r>
        <w:rPr>
          <w:w w:val="95"/>
        </w:rPr>
        <w:t>and</w:t>
      </w:r>
      <w:r>
        <w:rPr>
          <w:spacing w:val="-3"/>
          <w:w w:val="95"/>
        </w:rPr>
        <w:t xml:space="preserve"> </w:t>
      </w:r>
      <w:r>
        <w:rPr>
          <w:w w:val="95"/>
        </w:rPr>
        <w:t xml:space="preserve">the </w:t>
      </w:r>
      <w:r>
        <w:t>Australian</w:t>
      </w:r>
      <w:r>
        <w:rPr>
          <w:spacing w:val="-14"/>
        </w:rPr>
        <w:t xml:space="preserve"> </w:t>
      </w:r>
      <w:r>
        <w:t>Business</w:t>
      </w:r>
      <w:r>
        <w:rPr>
          <w:spacing w:val="-14"/>
        </w:rPr>
        <w:t xml:space="preserve"> </w:t>
      </w:r>
      <w:r>
        <w:t>Arts</w:t>
      </w:r>
      <w:r>
        <w:rPr>
          <w:spacing w:val="-14"/>
        </w:rPr>
        <w:t xml:space="preserve"> </w:t>
      </w:r>
      <w:r>
        <w:t>Foundation</w:t>
      </w:r>
      <w:r>
        <w:rPr>
          <w:spacing w:val="-14"/>
        </w:rPr>
        <w:t xml:space="preserve"> </w:t>
      </w:r>
      <w:r>
        <w:t>develop</w:t>
      </w:r>
      <w:r>
        <w:rPr>
          <w:spacing w:val="-14"/>
        </w:rPr>
        <w:t xml:space="preserve"> </w:t>
      </w:r>
      <w:r>
        <w:t>the new</w:t>
      </w:r>
      <w:r>
        <w:rPr>
          <w:spacing w:val="-5"/>
        </w:rPr>
        <w:t xml:space="preserve"> </w:t>
      </w:r>
      <w:r>
        <w:t>“Arts</w:t>
      </w:r>
      <w:r>
        <w:rPr>
          <w:spacing w:val="-5"/>
        </w:rPr>
        <w:t xml:space="preserve"> </w:t>
      </w:r>
      <w:r>
        <w:t>Development</w:t>
      </w:r>
      <w:r>
        <w:rPr>
          <w:spacing w:val="-5"/>
        </w:rPr>
        <w:t xml:space="preserve"> </w:t>
      </w:r>
      <w:r>
        <w:t>Partnership”</w:t>
      </w:r>
      <w:r>
        <w:rPr>
          <w:spacing w:val="-5"/>
        </w:rPr>
        <w:t xml:space="preserve"> </w:t>
      </w:r>
      <w:r>
        <w:t>approach</w:t>
      </w:r>
      <w:r>
        <w:rPr>
          <w:spacing w:val="-5"/>
        </w:rPr>
        <w:t xml:space="preserve"> </w:t>
      </w:r>
      <w:r>
        <w:t>to infrastructure</w:t>
      </w:r>
      <w:r>
        <w:rPr>
          <w:spacing w:val="-11"/>
        </w:rPr>
        <w:t xml:space="preserve"> </w:t>
      </w:r>
      <w:r>
        <w:t>funding.</w:t>
      </w:r>
    </w:p>
    <w:p w:rsidR="002C1123" w:rsidRDefault="00F22F94">
      <w:pPr>
        <w:spacing w:before="7"/>
        <w:rPr>
          <w:sz w:val="16"/>
        </w:rPr>
      </w:pPr>
      <w:r>
        <w:br w:type="column"/>
      </w:r>
    </w:p>
    <w:p w:rsidR="002C1123" w:rsidRDefault="00F22F94">
      <w:pPr>
        <w:ind w:left="203"/>
        <w:rPr>
          <w:b/>
          <w:sz w:val="18"/>
        </w:rPr>
      </w:pPr>
      <w:r>
        <w:rPr>
          <w:b/>
          <w:sz w:val="18"/>
        </w:rPr>
        <w:t>Figure</w:t>
      </w:r>
      <w:r>
        <w:rPr>
          <w:b/>
          <w:spacing w:val="-11"/>
          <w:sz w:val="18"/>
        </w:rPr>
        <w:t xml:space="preserve"> </w:t>
      </w:r>
      <w:r>
        <w:rPr>
          <w:b/>
          <w:sz w:val="18"/>
        </w:rPr>
        <w:t>14.6</w:t>
      </w:r>
      <w:r>
        <w:rPr>
          <w:b/>
          <w:spacing w:val="29"/>
          <w:sz w:val="18"/>
        </w:rPr>
        <w:t xml:space="preserve"> </w:t>
      </w:r>
      <w:r>
        <w:rPr>
          <w:b/>
          <w:sz w:val="18"/>
        </w:rPr>
        <w:t>Arts</w:t>
      </w:r>
      <w:r>
        <w:rPr>
          <w:b/>
          <w:spacing w:val="-11"/>
          <w:sz w:val="18"/>
        </w:rPr>
        <w:t xml:space="preserve"> </w:t>
      </w:r>
      <w:r>
        <w:rPr>
          <w:b/>
          <w:sz w:val="18"/>
        </w:rPr>
        <w:t>sponsorship</w:t>
      </w:r>
      <w:r>
        <w:rPr>
          <w:b/>
          <w:spacing w:val="-10"/>
          <w:sz w:val="18"/>
        </w:rPr>
        <w:t xml:space="preserve"> </w:t>
      </w:r>
      <w:r>
        <w:rPr>
          <w:b/>
          <w:sz w:val="18"/>
        </w:rPr>
        <w:t>&amp;</w:t>
      </w:r>
      <w:r>
        <w:rPr>
          <w:b/>
          <w:spacing w:val="-11"/>
          <w:sz w:val="18"/>
        </w:rPr>
        <w:t xml:space="preserve"> </w:t>
      </w:r>
      <w:r>
        <w:rPr>
          <w:b/>
          <w:sz w:val="18"/>
        </w:rPr>
        <w:t>giving</w:t>
      </w:r>
      <w:r>
        <w:rPr>
          <w:b/>
          <w:spacing w:val="-10"/>
          <w:sz w:val="18"/>
        </w:rPr>
        <w:t xml:space="preserve"> </w:t>
      </w:r>
      <w:r>
        <w:rPr>
          <w:b/>
          <w:sz w:val="18"/>
        </w:rPr>
        <w:t>by</w:t>
      </w:r>
      <w:r>
        <w:rPr>
          <w:b/>
          <w:spacing w:val="-11"/>
          <w:sz w:val="18"/>
        </w:rPr>
        <w:t xml:space="preserve"> </w:t>
      </w:r>
      <w:r>
        <w:rPr>
          <w:b/>
          <w:spacing w:val="-2"/>
          <w:sz w:val="18"/>
        </w:rPr>
        <w:t>State/Territory</w:t>
      </w:r>
    </w:p>
    <w:p w:rsidR="002C1123" w:rsidRDefault="002060EF">
      <w:pPr>
        <w:spacing w:before="88"/>
        <w:ind w:left="203"/>
        <w:rPr>
          <w:sz w:val="16"/>
        </w:rPr>
      </w:pPr>
      <w:r>
        <w:pict>
          <v:rect id="docshape2691" o:spid="_x0000_s1342" style="position:absolute;left:0;text-align:left;margin-left:319.7pt;margin-top:9.25pt;width:221.25pt;height:.4pt;z-index:251722752;mso-position-horizontal-relative:page" fillcolor="#b2b1b3" stroked="f">
            <w10:wrap anchorx="page"/>
          </v:rect>
        </w:pict>
      </w:r>
      <w:r w:rsidR="00F22F94">
        <w:rPr>
          <w:spacing w:val="-5"/>
          <w:w w:val="95"/>
          <w:sz w:val="16"/>
        </w:rPr>
        <w:t>100</w:t>
      </w:r>
    </w:p>
    <w:p w:rsidR="002C1123" w:rsidRDefault="002C1123">
      <w:pPr>
        <w:pStyle w:val="BodyText"/>
        <w:rPr>
          <w:sz w:val="18"/>
        </w:rPr>
      </w:pPr>
    </w:p>
    <w:p w:rsidR="002C1123" w:rsidRDefault="002C1123">
      <w:pPr>
        <w:pStyle w:val="BodyText"/>
        <w:rPr>
          <w:sz w:val="18"/>
        </w:rPr>
      </w:pPr>
    </w:p>
    <w:p w:rsidR="002C1123" w:rsidRDefault="002060EF">
      <w:pPr>
        <w:spacing w:before="116"/>
        <w:ind w:left="280"/>
        <w:rPr>
          <w:sz w:val="16"/>
        </w:rPr>
      </w:pPr>
      <w:r>
        <w:pict>
          <v:group id="docshapegroup2692" o:spid="_x0000_s1329" style="position:absolute;left:0;text-align:left;margin-left:319.7pt;margin-top:7.15pt;width:221.3pt;height:146.5pt;z-index:251721728;mso-position-horizontal-relative:page" coordorigin="6394,143" coordsize="4426,2930">
            <v:shape id="docshape2693" o:spid="_x0000_s1341" style="position:absolute;left:6393;top:3056;width:4426;height:16" coordorigin="6394,3056" coordsize="4426,16" path="m10819,3056r-278,l10541,3064r-338,l10203,3056r-831,l9372,3064r-337,l9035,3056r-247,l8788,3064r-337,l8451,3056r-247,l8204,3064r-337,l7867,3056r-247,l7620,3064r-337,l7283,3056r-889,l6394,3064r,8l10819,3072r,-8l10819,3056xe" fillcolor="#b2b1b3" stroked="f">
              <v:path arrowok="t"/>
            </v:shape>
            <v:shape id="docshape2694" o:spid="_x0000_s1340" style="position:absolute;left:9619;top:2743;width:922;height:250" coordorigin="9619,2744" coordsize="922,250" o:spt="100" adj="0,,0" path="m9957,2922r-338,l9619,2993r338,l9957,2922xm10541,2744r-338,l10203,2922r338,l10541,2744xe" fillcolor="#00aeef" stroked="f">
              <v:stroke joinstyle="round"/>
              <v:formulas/>
              <v:path arrowok="t" o:connecttype="segments"/>
            </v:shape>
            <v:shape id="docshape2695" o:spid="_x0000_s1339" style="position:absolute;left:6393;top:210;width:4426;height:2146" coordorigin="6394,211" coordsize="4426,2146" o:spt="100" adj="0,,0" path="m6699,2348r-305,l6394,2356r305,l6699,2348xm6699,1636r-305,l6394,1644r305,l6699,1636xm6699,923r-305,l6394,931r305,l6699,923xm6699,211r-305,l6394,219r305,l6699,211xm7283,2348r-247,l7036,2356r247,l7283,2348xm7283,1636r-247,l7036,1644r247,l7283,1636xm7283,923r-247,l7036,931r247,l7283,923xm7867,2348r-247,l7620,2356r247,l7867,2348xm10819,211r-3783,l7036,219r3783,l10819,211xe" fillcolor="#b2b1b3" stroked="f">
              <v:stroke joinstyle="round"/>
              <v:formulas/>
              <v:path arrowok="t" o:connecttype="segments"/>
            </v:shape>
            <v:rect id="docshape2696" o:spid="_x0000_s1338" style="position:absolute;left:6698;top:143;width:338;height:1746" fillcolor="#00aeef" stroked="f"/>
            <v:shape id="docshape2697" o:spid="_x0000_s1337" style="position:absolute;left:7620;top:923;width:3199;height:721" coordorigin="7620,923" coordsize="3199,721" o:spt="100" adj="0,,0" path="m10819,1636r-3199,l7620,1644r3199,l10819,1636xm10819,923r-3199,l7620,931r3199,l10819,923xe" fillcolor="#b2b1b3" stroked="f">
              <v:stroke joinstyle="round"/>
              <v:formulas/>
              <v:path arrowok="t" o:connecttype="segments"/>
            </v:shape>
            <v:rect id="docshape2698" o:spid="_x0000_s1336" style="position:absolute;left:7282;top:855;width:338;height:1461" fillcolor="#00aeef" stroked="f"/>
            <v:rect id="docshape2699" o:spid="_x0000_s1335" style="position:absolute;left:8204;top:2348;width:247;height:8" fillcolor="#b2b1b3" stroked="f"/>
            <v:rect id="docshape2700" o:spid="_x0000_s1334" style="position:absolute;left:7866;top:2102;width:338;height:570" fillcolor="#00aeef" stroked="f"/>
            <v:rect id="docshape2701" o:spid="_x0000_s1333" style="position:absolute;left:8788;top:2348;width:2031;height:8" fillcolor="#b2b1b3" stroked="f"/>
            <v:shape id="docshape2702" o:spid="_x0000_s1332" style="position:absolute;left:8451;top:2280;width:922;height:321" coordorigin="8451,2281" coordsize="922,321" o:spt="100" adj="0,,0" path="m8788,2281r-337,l8451,2530r337,l8788,2281xm9372,2495r-337,l9035,2601r337,l9372,2495xe" fillcolor="#00aeef" stroked="f">
              <v:stroke joinstyle="round"/>
              <v:formulas/>
              <v:path arrowok="t" o:connecttype="segments"/>
            </v:shape>
            <v:shape id="docshape2703" o:spid="_x0000_s1331" style="position:absolute;left:6698;top:1888;width:3842;height:1176" coordorigin="6699,1889" coordsize="3842,1176" o:spt="100" adj="0,,0" path="m7036,1889r-337,l6699,3064r337,l7036,1889xm7620,2316r-337,l7283,3064r337,l7620,2316xm8204,2673r-337,l7867,3064r337,l8204,2673xm8788,2530r-337,l8451,3064r337,l8788,2530xm9372,2601r-337,l9035,3064r337,l9372,2601xm9957,2993r-338,l9619,3064r338,l9957,2993xm10541,2922r-338,l10203,3064r338,l10541,2922xe" fillcolor="#2e3092" stroked="f">
              <v:stroke joinstyle="round"/>
              <v:formulas/>
              <v:path arrowok="t" o:connecttype="segments"/>
            </v:shape>
            <v:rect id="docshape2704" o:spid="_x0000_s1330" style="position:absolute;left:6393;top:3056;width:4426;height:16" fillcolor="#b2b1b3" stroked="f"/>
            <w10:wrap anchorx="page"/>
          </v:group>
        </w:pict>
      </w:r>
      <w:r w:rsidR="00F22F94">
        <w:rPr>
          <w:spacing w:val="-5"/>
          <w:w w:val="95"/>
          <w:sz w:val="16"/>
        </w:rPr>
        <w:t>80</w:t>
      </w:r>
    </w:p>
    <w:p w:rsidR="002C1123" w:rsidRDefault="002C1123">
      <w:pPr>
        <w:pStyle w:val="BodyText"/>
        <w:rPr>
          <w:sz w:val="18"/>
        </w:rPr>
      </w:pPr>
    </w:p>
    <w:p w:rsidR="002C1123" w:rsidRDefault="002C1123">
      <w:pPr>
        <w:pStyle w:val="BodyText"/>
        <w:rPr>
          <w:sz w:val="18"/>
        </w:rPr>
      </w:pPr>
    </w:p>
    <w:p w:rsidR="002C1123" w:rsidRDefault="00F22F94">
      <w:pPr>
        <w:spacing w:before="115"/>
        <w:ind w:left="280"/>
        <w:rPr>
          <w:sz w:val="16"/>
        </w:rPr>
      </w:pPr>
      <w:r>
        <w:rPr>
          <w:spacing w:val="-5"/>
          <w:w w:val="95"/>
          <w:sz w:val="16"/>
        </w:rPr>
        <w:t>60</w:t>
      </w:r>
    </w:p>
    <w:p w:rsidR="002C1123" w:rsidRDefault="002C1123">
      <w:pPr>
        <w:pStyle w:val="BodyText"/>
        <w:rPr>
          <w:sz w:val="18"/>
        </w:rPr>
      </w:pPr>
    </w:p>
    <w:p w:rsidR="002C1123" w:rsidRDefault="002C1123">
      <w:pPr>
        <w:pStyle w:val="BodyText"/>
        <w:rPr>
          <w:sz w:val="18"/>
        </w:rPr>
      </w:pPr>
    </w:p>
    <w:p w:rsidR="002C1123" w:rsidRDefault="00F22F94">
      <w:pPr>
        <w:spacing w:before="115"/>
        <w:ind w:left="280"/>
        <w:rPr>
          <w:sz w:val="16"/>
        </w:rPr>
      </w:pPr>
      <w:r>
        <w:rPr>
          <w:spacing w:val="-5"/>
          <w:w w:val="95"/>
          <w:sz w:val="16"/>
        </w:rPr>
        <w:t>40</w:t>
      </w:r>
    </w:p>
    <w:p w:rsidR="002C1123" w:rsidRDefault="002C1123">
      <w:pPr>
        <w:pStyle w:val="BodyText"/>
        <w:rPr>
          <w:sz w:val="18"/>
        </w:rPr>
      </w:pPr>
    </w:p>
    <w:p w:rsidR="002C1123" w:rsidRDefault="002C1123">
      <w:pPr>
        <w:pStyle w:val="BodyText"/>
        <w:rPr>
          <w:sz w:val="18"/>
        </w:rPr>
      </w:pPr>
    </w:p>
    <w:p w:rsidR="002C1123" w:rsidRDefault="00F22F94">
      <w:pPr>
        <w:spacing w:before="114"/>
        <w:ind w:left="280"/>
        <w:rPr>
          <w:sz w:val="16"/>
        </w:rPr>
      </w:pPr>
      <w:r>
        <w:rPr>
          <w:spacing w:val="-5"/>
          <w:w w:val="95"/>
          <w:sz w:val="16"/>
        </w:rPr>
        <w:t>20</w:t>
      </w:r>
    </w:p>
    <w:p w:rsidR="002C1123" w:rsidRDefault="002C1123">
      <w:pPr>
        <w:pStyle w:val="BodyText"/>
        <w:rPr>
          <w:sz w:val="18"/>
        </w:rPr>
      </w:pPr>
    </w:p>
    <w:p w:rsidR="002C1123" w:rsidRDefault="002C1123">
      <w:pPr>
        <w:pStyle w:val="BodyText"/>
        <w:rPr>
          <w:sz w:val="18"/>
        </w:rPr>
      </w:pPr>
    </w:p>
    <w:p w:rsidR="002C1123" w:rsidRDefault="00F22F94">
      <w:pPr>
        <w:spacing w:before="115"/>
        <w:ind w:left="357"/>
        <w:rPr>
          <w:sz w:val="16"/>
        </w:rPr>
      </w:pPr>
      <w:r>
        <w:rPr>
          <w:w w:val="86"/>
          <w:sz w:val="16"/>
        </w:rPr>
        <w:t>0</w:t>
      </w:r>
    </w:p>
    <w:p w:rsidR="002C1123" w:rsidRDefault="00F22F94">
      <w:pPr>
        <w:tabs>
          <w:tab w:val="left" w:pos="1433"/>
          <w:tab w:val="left" w:pos="2017"/>
          <w:tab w:val="left" w:pos="2601"/>
          <w:tab w:val="left" w:pos="3185"/>
          <w:tab w:val="left" w:pos="3769"/>
          <w:tab w:val="left" w:pos="4353"/>
        </w:tabs>
        <w:spacing w:before="29"/>
        <w:ind w:left="850"/>
        <w:rPr>
          <w:sz w:val="16"/>
        </w:rPr>
      </w:pPr>
      <w:r>
        <w:rPr>
          <w:spacing w:val="-2"/>
          <w:w w:val="95"/>
          <w:sz w:val="16"/>
        </w:rPr>
        <w:t>09/10</w:t>
      </w:r>
      <w:r>
        <w:rPr>
          <w:sz w:val="16"/>
        </w:rPr>
        <w:tab/>
      </w:r>
      <w:r>
        <w:rPr>
          <w:spacing w:val="-2"/>
          <w:w w:val="95"/>
          <w:sz w:val="16"/>
        </w:rPr>
        <w:t>09/10</w:t>
      </w:r>
      <w:r>
        <w:rPr>
          <w:sz w:val="16"/>
        </w:rPr>
        <w:tab/>
      </w:r>
      <w:r>
        <w:rPr>
          <w:spacing w:val="-2"/>
          <w:w w:val="95"/>
          <w:sz w:val="16"/>
        </w:rPr>
        <w:t>09/10</w:t>
      </w:r>
      <w:r>
        <w:rPr>
          <w:sz w:val="16"/>
        </w:rPr>
        <w:tab/>
      </w:r>
      <w:r>
        <w:rPr>
          <w:spacing w:val="-2"/>
          <w:w w:val="95"/>
          <w:sz w:val="16"/>
        </w:rPr>
        <w:t>09/10</w:t>
      </w:r>
      <w:r>
        <w:rPr>
          <w:sz w:val="16"/>
        </w:rPr>
        <w:tab/>
      </w:r>
      <w:r>
        <w:rPr>
          <w:spacing w:val="-2"/>
          <w:w w:val="95"/>
          <w:sz w:val="16"/>
        </w:rPr>
        <w:t>09/10</w:t>
      </w:r>
      <w:r>
        <w:rPr>
          <w:sz w:val="16"/>
        </w:rPr>
        <w:tab/>
      </w:r>
      <w:r>
        <w:rPr>
          <w:spacing w:val="-2"/>
          <w:w w:val="95"/>
          <w:sz w:val="16"/>
        </w:rPr>
        <w:t>09/10</w:t>
      </w:r>
      <w:r>
        <w:rPr>
          <w:sz w:val="16"/>
        </w:rPr>
        <w:tab/>
      </w:r>
      <w:r>
        <w:rPr>
          <w:spacing w:val="-2"/>
          <w:w w:val="95"/>
          <w:sz w:val="16"/>
        </w:rPr>
        <w:t>09/10</w:t>
      </w:r>
    </w:p>
    <w:p w:rsidR="002C1123" w:rsidRDefault="00F22F94">
      <w:pPr>
        <w:tabs>
          <w:tab w:val="left" w:pos="1519"/>
          <w:tab w:val="left" w:pos="2084"/>
          <w:tab w:val="left" w:pos="2700"/>
          <w:tab w:val="left" w:pos="3312"/>
          <w:tab w:val="left" w:pos="3870"/>
          <w:tab w:val="left" w:pos="4459"/>
        </w:tabs>
        <w:spacing w:before="70"/>
        <w:ind w:left="881"/>
        <w:rPr>
          <w:sz w:val="16"/>
        </w:rPr>
      </w:pPr>
      <w:r>
        <w:rPr>
          <w:spacing w:val="-5"/>
          <w:w w:val="85"/>
          <w:sz w:val="16"/>
        </w:rPr>
        <w:t>NSW</w:t>
      </w:r>
      <w:r>
        <w:rPr>
          <w:sz w:val="16"/>
        </w:rPr>
        <w:tab/>
      </w:r>
      <w:r>
        <w:rPr>
          <w:spacing w:val="-5"/>
          <w:w w:val="85"/>
          <w:sz w:val="16"/>
        </w:rPr>
        <w:t>VIC</w:t>
      </w:r>
      <w:r>
        <w:rPr>
          <w:sz w:val="16"/>
        </w:rPr>
        <w:tab/>
      </w:r>
      <w:r>
        <w:rPr>
          <w:spacing w:val="-5"/>
          <w:w w:val="85"/>
          <w:sz w:val="16"/>
        </w:rPr>
        <w:t>QLD</w:t>
      </w:r>
      <w:r>
        <w:rPr>
          <w:sz w:val="16"/>
        </w:rPr>
        <w:tab/>
      </w:r>
      <w:r>
        <w:rPr>
          <w:spacing w:val="-5"/>
          <w:w w:val="85"/>
          <w:sz w:val="16"/>
        </w:rPr>
        <w:t>WA</w:t>
      </w:r>
      <w:r>
        <w:rPr>
          <w:sz w:val="16"/>
        </w:rPr>
        <w:tab/>
      </w:r>
      <w:r>
        <w:rPr>
          <w:spacing w:val="-5"/>
          <w:w w:val="85"/>
          <w:sz w:val="16"/>
        </w:rPr>
        <w:t>SA</w:t>
      </w:r>
      <w:r>
        <w:rPr>
          <w:sz w:val="16"/>
        </w:rPr>
        <w:tab/>
      </w:r>
      <w:r>
        <w:rPr>
          <w:spacing w:val="-5"/>
          <w:w w:val="85"/>
          <w:sz w:val="16"/>
        </w:rPr>
        <w:t>TAS</w:t>
      </w:r>
      <w:r>
        <w:rPr>
          <w:sz w:val="16"/>
        </w:rPr>
        <w:tab/>
      </w:r>
      <w:r>
        <w:rPr>
          <w:spacing w:val="-5"/>
          <w:w w:val="85"/>
          <w:sz w:val="16"/>
        </w:rPr>
        <w:t>ACT</w:t>
      </w:r>
    </w:p>
    <w:p w:rsidR="002C1123" w:rsidRDefault="002060EF">
      <w:pPr>
        <w:tabs>
          <w:tab w:val="left" w:pos="1923"/>
        </w:tabs>
        <w:spacing w:before="61"/>
        <w:ind w:left="826"/>
        <w:rPr>
          <w:sz w:val="16"/>
        </w:rPr>
      </w:pPr>
      <w:r>
        <w:pict>
          <v:rect id="docshape2705" o:spid="_x0000_s1328" style="position:absolute;left:0;text-align:left;margin-left:319.7pt;margin-top:3.45pt;width:8.5pt;height:8.5pt;z-index:251723776;mso-position-horizontal-relative:page" fillcolor="#00aeef" stroked="f">
            <w10:wrap anchorx="page"/>
          </v:rect>
        </w:pict>
      </w:r>
      <w:r>
        <w:pict>
          <v:rect id="docshape2706" o:spid="_x0000_s1327" style="position:absolute;left:0;text-align:left;margin-left:374.55pt;margin-top:3.45pt;width:8.5pt;height:8.5pt;z-index:-251449344;mso-position-horizontal-relative:page" fillcolor="#2e3092" stroked="f">
            <w10:wrap anchorx="page"/>
          </v:rect>
        </w:pict>
      </w:r>
      <w:r w:rsidR="00F22F94">
        <w:rPr>
          <w:spacing w:val="-2"/>
          <w:w w:val="90"/>
          <w:position w:val="2"/>
          <w:sz w:val="16"/>
        </w:rPr>
        <w:t>Donations</w:t>
      </w:r>
      <w:r w:rsidR="00F22F94">
        <w:rPr>
          <w:position w:val="2"/>
          <w:sz w:val="16"/>
        </w:rPr>
        <w:tab/>
      </w:r>
      <w:r w:rsidR="00F22F94">
        <w:rPr>
          <w:spacing w:val="-2"/>
          <w:w w:val="90"/>
          <w:sz w:val="16"/>
        </w:rPr>
        <w:t>Sponsorship</w:t>
      </w:r>
    </w:p>
    <w:p w:rsidR="002C1123" w:rsidRDefault="00F22F94">
      <w:pPr>
        <w:spacing w:before="67"/>
        <w:ind w:left="203"/>
        <w:rPr>
          <w:sz w:val="14"/>
        </w:rPr>
      </w:pPr>
      <w:r>
        <w:rPr>
          <w:w w:val="95"/>
          <w:sz w:val="14"/>
        </w:rPr>
        <w:t>Source:</w:t>
      </w:r>
      <w:r>
        <w:rPr>
          <w:spacing w:val="4"/>
          <w:sz w:val="14"/>
        </w:rPr>
        <w:t xml:space="preserve"> </w:t>
      </w:r>
      <w:r>
        <w:rPr>
          <w:w w:val="95"/>
          <w:sz w:val="14"/>
        </w:rPr>
        <w:t>Australia</w:t>
      </w:r>
      <w:r>
        <w:rPr>
          <w:spacing w:val="4"/>
          <w:sz w:val="14"/>
        </w:rPr>
        <w:t xml:space="preserve"> </w:t>
      </w:r>
      <w:r>
        <w:rPr>
          <w:w w:val="95"/>
          <w:sz w:val="14"/>
        </w:rPr>
        <w:t>Business</w:t>
      </w:r>
      <w:r>
        <w:rPr>
          <w:spacing w:val="5"/>
          <w:sz w:val="14"/>
        </w:rPr>
        <w:t xml:space="preserve"> </w:t>
      </w:r>
      <w:r>
        <w:rPr>
          <w:w w:val="95"/>
          <w:sz w:val="14"/>
        </w:rPr>
        <w:t>Arts</w:t>
      </w:r>
      <w:r>
        <w:rPr>
          <w:spacing w:val="4"/>
          <w:sz w:val="14"/>
        </w:rPr>
        <w:t xml:space="preserve"> </w:t>
      </w:r>
      <w:r>
        <w:rPr>
          <w:w w:val="95"/>
          <w:sz w:val="14"/>
        </w:rPr>
        <w:t>Foundation;</w:t>
      </w:r>
      <w:r>
        <w:rPr>
          <w:spacing w:val="4"/>
          <w:sz w:val="14"/>
        </w:rPr>
        <w:t xml:space="preserve"> </w:t>
      </w:r>
      <w:r>
        <w:rPr>
          <w:w w:val="95"/>
          <w:sz w:val="14"/>
        </w:rPr>
        <w:t>cited</w:t>
      </w:r>
      <w:r>
        <w:rPr>
          <w:spacing w:val="5"/>
          <w:sz w:val="14"/>
        </w:rPr>
        <w:t xml:space="preserve"> </w:t>
      </w:r>
      <w:r>
        <w:rPr>
          <w:w w:val="95"/>
          <w:sz w:val="14"/>
        </w:rPr>
        <w:t>by</w:t>
      </w:r>
      <w:r>
        <w:rPr>
          <w:spacing w:val="4"/>
          <w:sz w:val="14"/>
        </w:rPr>
        <w:t xml:space="preserve"> </w:t>
      </w:r>
      <w:r>
        <w:rPr>
          <w:spacing w:val="-4"/>
          <w:w w:val="95"/>
          <w:sz w:val="14"/>
        </w:rPr>
        <w:t>PwC.</w:t>
      </w:r>
    </w:p>
    <w:p w:rsidR="002C1123" w:rsidRDefault="002C1123">
      <w:pPr>
        <w:pStyle w:val="BodyText"/>
      </w:pPr>
    </w:p>
    <w:p w:rsidR="002C1123" w:rsidRDefault="002060EF">
      <w:pPr>
        <w:pStyle w:val="BodyText"/>
        <w:spacing w:before="3"/>
        <w:rPr>
          <w:sz w:val="13"/>
        </w:rPr>
      </w:pPr>
      <w:r>
        <w:pict>
          <v:shape id="docshape2707" o:spid="_x0000_s1326" type="#_x0000_t202" style="position:absolute;margin-left:300.95pt;margin-top:8.85pt;width:239pt;height:69.35pt;z-index:-251324416;mso-wrap-distance-left:0;mso-wrap-distance-right:0;mso-position-horizontal-relative:page" fillcolor="#e1e0e1" stroked="f">
            <v:textbox inset="0,0,0,0">
              <w:txbxContent>
                <w:p w:rsidR="00F22F94" w:rsidRDefault="00F22F94">
                  <w:pPr>
                    <w:pStyle w:val="BodyText"/>
                    <w:spacing w:before="68" w:line="249" w:lineRule="auto"/>
                    <w:ind w:left="113" w:right="115"/>
                    <w:rPr>
                      <w:color w:val="000000"/>
                    </w:rPr>
                  </w:pPr>
                  <w:r>
                    <w:rPr>
                      <w:color w:val="00AEEF"/>
                    </w:rPr>
                    <w:t xml:space="preserve">Recommendation </w:t>
                  </w:r>
                  <w:r>
                    <w:rPr>
                      <w:color w:val="000000"/>
                    </w:rPr>
                    <w:t>Infrastructure</w:t>
                  </w:r>
                  <w:r>
                    <w:rPr>
                      <w:color w:val="000000"/>
                      <w:spacing w:val="-14"/>
                    </w:rPr>
                    <w:t xml:space="preserve"> </w:t>
                  </w:r>
                  <w:r>
                    <w:rPr>
                      <w:color w:val="000000"/>
                    </w:rPr>
                    <w:t>NSW</w:t>
                  </w:r>
                  <w:r>
                    <w:rPr>
                      <w:color w:val="000000"/>
                      <w:spacing w:val="-14"/>
                    </w:rPr>
                    <w:t xml:space="preserve"> </w:t>
                  </w:r>
                  <w:r>
                    <w:rPr>
                      <w:color w:val="000000"/>
                    </w:rPr>
                    <w:t>recommends a</w:t>
                  </w:r>
                  <w:r>
                    <w:rPr>
                      <w:color w:val="000000"/>
                      <w:spacing w:val="-4"/>
                    </w:rPr>
                    <w:t xml:space="preserve"> </w:t>
                  </w:r>
                  <w:r>
                    <w:rPr>
                      <w:color w:val="000000"/>
                    </w:rPr>
                    <w:t>new</w:t>
                  </w:r>
                  <w:r>
                    <w:rPr>
                      <w:color w:val="000000"/>
                      <w:spacing w:val="-4"/>
                    </w:rPr>
                    <w:t xml:space="preserve"> </w:t>
                  </w:r>
                  <w:r>
                    <w:rPr>
                      <w:color w:val="000000"/>
                    </w:rPr>
                    <w:t>approach</w:t>
                  </w:r>
                  <w:r>
                    <w:rPr>
                      <w:color w:val="000000"/>
                      <w:spacing w:val="-4"/>
                    </w:rPr>
                    <w:t xml:space="preserve"> </w:t>
                  </w:r>
                  <w:r>
                    <w:rPr>
                      <w:color w:val="000000"/>
                    </w:rPr>
                    <w:t>to</w:t>
                  </w:r>
                  <w:r>
                    <w:rPr>
                      <w:color w:val="000000"/>
                      <w:spacing w:val="-4"/>
                    </w:rPr>
                    <w:t xml:space="preserve"> </w:t>
                  </w:r>
                  <w:r>
                    <w:rPr>
                      <w:color w:val="000000"/>
                    </w:rPr>
                    <w:t>arts</w:t>
                  </w:r>
                  <w:r>
                    <w:rPr>
                      <w:color w:val="000000"/>
                      <w:spacing w:val="-4"/>
                    </w:rPr>
                    <w:t xml:space="preserve"> </w:t>
                  </w:r>
                  <w:r>
                    <w:rPr>
                      <w:color w:val="000000"/>
                    </w:rPr>
                    <w:t>funding</w:t>
                  </w:r>
                  <w:r>
                    <w:rPr>
                      <w:color w:val="000000"/>
                      <w:spacing w:val="-4"/>
                    </w:rPr>
                    <w:t xml:space="preserve"> </w:t>
                  </w:r>
                  <w:r>
                    <w:rPr>
                      <w:color w:val="000000"/>
                    </w:rPr>
                    <w:t>by</w:t>
                  </w:r>
                  <w:r>
                    <w:rPr>
                      <w:color w:val="000000"/>
                      <w:spacing w:val="-4"/>
                    </w:rPr>
                    <w:t xml:space="preserve"> </w:t>
                  </w:r>
                  <w:r>
                    <w:rPr>
                      <w:color w:val="000000"/>
                    </w:rPr>
                    <w:t>supporting</w:t>
                  </w:r>
                  <w:r>
                    <w:rPr>
                      <w:color w:val="000000"/>
                      <w:spacing w:val="-4"/>
                    </w:rPr>
                    <w:t xml:space="preserve"> </w:t>
                  </w:r>
                  <w:r>
                    <w:rPr>
                      <w:color w:val="000000"/>
                    </w:rPr>
                    <w:t>the establishment</w:t>
                  </w:r>
                  <w:r>
                    <w:rPr>
                      <w:color w:val="000000"/>
                      <w:spacing w:val="-11"/>
                    </w:rPr>
                    <w:t xml:space="preserve"> </w:t>
                  </w:r>
                  <w:r>
                    <w:rPr>
                      <w:color w:val="000000"/>
                    </w:rPr>
                    <w:t>of</w:t>
                  </w:r>
                  <w:r>
                    <w:rPr>
                      <w:color w:val="000000"/>
                      <w:spacing w:val="-11"/>
                    </w:rPr>
                    <w:t xml:space="preserve"> </w:t>
                  </w:r>
                  <w:r>
                    <w:rPr>
                      <w:color w:val="000000"/>
                    </w:rPr>
                    <w:t>an</w:t>
                  </w:r>
                  <w:r>
                    <w:rPr>
                      <w:color w:val="000000"/>
                      <w:spacing w:val="-11"/>
                    </w:rPr>
                    <w:t xml:space="preserve"> </w:t>
                  </w:r>
                  <w:r>
                    <w:rPr>
                      <w:color w:val="000000"/>
                    </w:rPr>
                    <w:t>Arts</w:t>
                  </w:r>
                  <w:r>
                    <w:rPr>
                      <w:color w:val="000000"/>
                      <w:spacing w:val="-11"/>
                    </w:rPr>
                    <w:t xml:space="preserve"> </w:t>
                  </w:r>
                  <w:r>
                    <w:rPr>
                      <w:color w:val="000000"/>
                    </w:rPr>
                    <w:t>Development</w:t>
                  </w:r>
                  <w:r>
                    <w:rPr>
                      <w:color w:val="000000"/>
                      <w:spacing w:val="-11"/>
                    </w:rPr>
                    <w:t xml:space="preserve"> </w:t>
                  </w:r>
                  <w:r>
                    <w:rPr>
                      <w:color w:val="000000"/>
                    </w:rPr>
                    <w:t>Partnership which</w:t>
                  </w:r>
                  <w:r>
                    <w:rPr>
                      <w:color w:val="000000"/>
                      <w:spacing w:val="-11"/>
                    </w:rPr>
                    <w:t xml:space="preserve"> </w:t>
                  </w:r>
                  <w:r>
                    <w:rPr>
                      <w:color w:val="000000"/>
                    </w:rPr>
                    <w:t>explores</w:t>
                  </w:r>
                  <w:r>
                    <w:rPr>
                      <w:color w:val="000000"/>
                      <w:spacing w:val="-11"/>
                    </w:rPr>
                    <w:t xml:space="preserve"> </w:t>
                  </w:r>
                  <w:r>
                    <w:rPr>
                      <w:color w:val="000000"/>
                    </w:rPr>
                    <w:t>alternative</w:t>
                  </w:r>
                  <w:r>
                    <w:rPr>
                      <w:color w:val="000000"/>
                      <w:spacing w:val="-11"/>
                    </w:rPr>
                    <w:t xml:space="preserve"> </w:t>
                  </w:r>
                  <w:r>
                    <w:rPr>
                      <w:color w:val="000000"/>
                    </w:rPr>
                    <w:t>partnership</w:t>
                  </w:r>
                  <w:r>
                    <w:rPr>
                      <w:color w:val="000000"/>
                      <w:spacing w:val="-11"/>
                    </w:rPr>
                    <w:t xml:space="preserve"> </w:t>
                  </w:r>
                  <w:r>
                    <w:rPr>
                      <w:color w:val="000000"/>
                    </w:rPr>
                    <w:t>models</w:t>
                  </w:r>
                  <w:r>
                    <w:rPr>
                      <w:color w:val="000000"/>
                      <w:spacing w:val="-11"/>
                    </w:rPr>
                    <w:t xml:space="preserve"> </w:t>
                  </w:r>
                  <w:r>
                    <w:rPr>
                      <w:color w:val="000000"/>
                    </w:rPr>
                    <w:t>for capital</w:t>
                  </w:r>
                  <w:r>
                    <w:rPr>
                      <w:color w:val="000000"/>
                      <w:spacing w:val="-11"/>
                    </w:rPr>
                    <w:t xml:space="preserve"> </w:t>
                  </w:r>
                  <w:r>
                    <w:rPr>
                      <w:color w:val="000000"/>
                    </w:rPr>
                    <w:t>funding.</w:t>
                  </w:r>
                </w:p>
              </w:txbxContent>
            </v:textbox>
            <w10:wrap type="topAndBottom" anchorx="page"/>
          </v:shape>
        </w:pict>
      </w:r>
    </w:p>
    <w:p w:rsidR="002C1123" w:rsidRDefault="00F22F94">
      <w:pPr>
        <w:pStyle w:val="Heading6"/>
        <w:numPr>
          <w:ilvl w:val="2"/>
          <w:numId w:val="31"/>
        </w:numPr>
        <w:tabs>
          <w:tab w:val="left" w:pos="798"/>
        </w:tabs>
        <w:ind w:left="797" w:hanging="596"/>
        <w:jc w:val="left"/>
      </w:pPr>
      <w:r>
        <w:rPr>
          <w:b w:val="0"/>
        </w:rPr>
        <w:br w:type="column"/>
      </w:r>
      <w:r>
        <w:rPr>
          <w:color w:val="00AEEF"/>
          <w:spacing w:val="-4"/>
        </w:rPr>
        <w:t>Developing</w:t>
      </w:r>
      <w:r>
        <w:rPr>
          <w:color w:val="00AEEF"/>
          <w:spacing w:val="-2"/>
        </w:rPr>
        <w:t xml:space="preserve"> </w:t>
      </w:r>
      <w:r>
        <w:rPr>
          <w:color w:val="00AEEF"/>
          <w:spacing w:val="-4"/>
        </w:rPr>
        <w:t>the</w:t>
      </w:r>
      <w:r>
        <w:rPr>
          <w:color w:val="00AEEF"/>
          <w:spacing w:val="-2"/>
        </w:rPr>
        <w:t xml:space="preserve"> </w:t>
      </w:r>
      <w:r>
        <w:rPr>
          <w:color w:val="00AEEF"/>
          <w:spacing w:val="-4"/>
        </w:rPr>
        <w:t>Arts</w:t>
      </w:r>
      <w:r>
        <w:rPr>
          <w:color w:val="00AEEF"/>
          <w:spacing w:val="-1"/>
        </w:rPr>
        <w:t xml:space="preserve"> </w:t>
      </w:r>
      <w:r>
        <w:rPr>
          <w:color w:val="00AEEF"/>
          <w:spacing w:val="-4"/>
        </w:rPr>
        <w:t>Ribbon</w:t>
      </w:r>
    </w:p>
    <w:p w:rsidR="002C1123" w:rsidRDefault="00F22F94">
      <w:pPr>
        <w:pStyle w:val="BodyText"/>
        <w:spacing w:before="95" w:line="249" w:lineRule="auto"/>
        <w:ind w:left="202" w:right="749"/>
      </w:pPr>
      <w:r>
        <w:t>Arts</w:t>
      </w:r>
      <w:r>
        <w:rPr>
          <w:spacing w:val="-12"/>
        </w:rPr>
        <w:t xml:space="preserve"> </w:t>
      </w:r>
      <w:r>
        <w:t>and</w:t>
      </w:r>
      <w:r>
        <w:rPr>
          <w:spacing w:val="-12"/>
        </w:rPr>
        <w:t xml:space="preserve"> </w:t>
      </w:r>
      <w:r>
        <w:t>cultural</w:t>
      </w:r>
      <w:r>
        <w:rPr>
          <w:spacing w:val="-12"/>
        </w:rPr>
        <w:t xml:space="preserve"> </w:t>
      </w:r>
      <w:r>
        <w:t>policies</w:t>
      </w:r>
      <w:r>
        <w:rPr>
          <w:spacing w:val="-12"/>
        </w:rPr>
        <w:t xml:space="preserve"> </w:t>
      </w:r>
      <w:r>
        <w:t>and</w:t>
      </w:r>
      <w:r>
        <w:rPr>
          <w:spacing w:val="-12"/>
        </w:rPr>
        <w:t xml:space="preserve"> </w:t>
      </w:r>
      <w:r>
        <w:t>investments</w:t>
      </w:r>
      <w:r>
        <w:rPr>
          <w:spacing w:val="-12"/>
        </w:rPr>
        <w:t xml:space="preserve"> </w:t>
      </w:r>
      <w:r>
        <w:t>that</w:t>
      </w:r>
      <w:r>
        <w:rPr>
          <w:spacing w:val="-12"/>
        </w:rPr>
        <w:t xml:space="preserve"> </w:t>
      </w:r>
      <w:r>
        <w:t xml:space="preserve">are </w:t>
      </w:r>
      <w:r>
        <w:rPr>
          <w:w w:val="95"/>
        </w:rPr>
        <w:t xml:space="preserve">integrated with broader development and regeneration </w:t>
      </w:r>
      <w:r>
        <w:rPr>
          <w:spacing w:val="-2"/>
        </w:rPr>
        <w:t>effort</w:t>
      </w:r>
      <w:r>
        <w:rPr>
          <w:spacing w:val="-5"/>
        </w:rPr>
        <w:t xml:space="preserve"> </w:t>
      </w:r>
      <w:r>
        <w:rPr>
          <w:spacing w:val="-2"/>
        </w:rPr>
        <w:t>achieve</w:t>
      </w:r>
      <w:r>
        <w:rPr>
          <w:spacing w:val="-5"/>
        </w:rPr>
        <w:t xml:space="preserve"> </w:t>
      </w:r>
      <w:r>
        <w:rPr>
          <w:spacing w:val="-2"/>
        </w:rPr>
        <w:t>the</w:t>
      </w:r>
      <w:r>
        <w:rPr>
          <w:spacing w:val="-5"/>
        </w:rPr>
        <w:t xml:space="preserve"> </w:t>
      </w:r>
      <w:r>
        <w:rPr>
          <w:spacing w:val="-2"/>
        </w:rPr>
        <w:t>highest</w:t>
      </w:r>
      <w:r>
        <w:rPr>
          <w:spacing w:val="-5"/>
        </w:rPr>
        <w:t xml:space="preserve"> </w:t>
      </w:r>
      <w:r>
        <w:rPr>
          <w:spacing w:val="-2"/>
        </w:rPr>
        <w:t>benefits.</w:t>
      </w:r>
      <w:r>
        <w:rPr>
          <w:spacing w:val="-5"/>
        </w:rPr>
        <w:t xml:space="preserve"> </w:t>
      </w:r>
      <w:r>
        <w:rPr>
          <w:spacing w:val="-2"/>
        </w:rPr>
        <w:t>Infrastructure</w:t>
      </w:r>
      <w:r>
        <w:rPr>
          <w:spacing w:val="-5"/>
        </w:rPr>
        <w:t xml:space="preserve"> </w:t>
      </w:r>
      <w:r>
        <w:rPr>
          <w:spacing w:val="-2"/>
        </w:rPr>
        <w:t xml:space="preserve">NSW </w:t>
      </w:r>
      <w:r>
        <w:rPr>
          <w:w w:val="95"/>
        </w:rPr>
        <w:t xml:space="preserve">supports the development of the Arts Ribbon linking the </w:t>
      </w:r>
      <w:r>
        <w:t>cultural</w:t>
      </w:r>
      <w:r>
        <w:rPr>
          <w:spacing w:val="-14"/>
        </w:rPr>
        <w:t xml:space="preserve"> </w:t>
      </w:r>
      <w:r>
        <w:t>venues</w:t>
      </w:r>
      <w:r>
        <w:rPr>
          <w:spacing w:val="-14"/>
        </w:rPr>
        <w:t xml:space="preserve"> </w:t>
      </w:r>
      <w:r>
        <w:t>around</w:t>
      </w:r>
      <w:r>
        <w:rPr>
          <w:spacing w:val="-14"/>
        </w:rPr>
        <w:t xml:space="preserve"> </w:t>
      </w:r>
      <w:r>
        <w:t>Sydney</w:t>
      </w:r>
      <w:r>
        <w:rPr>
          <w:spacing w:val="-14"/>
        </w:rPr>
        <w:t xml:space="preserve"> </w:t>
      </w:r>
      <w:r>
        <w:t>Harbour</w:t>
      </w:r>
      <w:r>
        <w:rPr>
          <w:spacing w:val="-14"/>
        </w:rPr>
        <w:t xml:space="preserve"> </w:t>
      </w:r>
      <w:r>
        <w:t>and</w:t>
      </w:r>
      <w:r>
        <w:rPr>
          <w:spacing w:val="-14"/>
        </w:rPr>
        <w:t xml:space="preserve"> </w:t>
      </w:r>
      <w:r>
        <w:t>the</w:t>
      </w:r>
      <w:r>
        <w:rPr>
          <w:spacing w:val="-14"/>
        </w:rPr>
        <w:t xml:space="preserve"> </w:t>
      </w:r>
      <w:r>
        <w:t>CBD.</w:t>
      </w:r>
    </w:p>
    <w:p w:rsidR="002C1123" w:rsidRDefault="00F22F94">
      <w:pPr>
        <w:pStyle w:val="BodyText"/>
        <w:spacing w:before="146" w:line="249" w:lineRule="auto"/>
        <w:ind w:left="202" w:right="749"/>
      </w:pPr>
      <w:r>
        <w:t>Government</w:t>
      </w:r>
      <w:r>
        <w:rPr>
          <w:spacing w:val="-9"/>
        </w:rPr>
        <w:t xml:space="preserve"> </w:t>
      </w:r>
      <w:r>
        <w:t>funding</w:t>
      </w:r>
      <w:r>
        <w:rPr>
          <w:spacing w:val="-9"/>
        </w:rPr>
        <w:t xml:space="preserve"> </w:t>
      </w:r>
      <w:r>
        <w:t>is</w:t>
      </w:r>
      <w:r>
        <w:rPr>
          <w:spacing w:val="-9"/>
        </w:rPr>
        <w:t xml:space="preserve"> </w:t>
      </w:r>
      <w:r>
        <w:t>limited,</w:t>
      </w:r>
      <w:r>
        <w:rPr>
          <w:spacing w:val="-9"/>
        </w:rPr>
        <w:t xml:space="preserve"> </w:t>
      </w:r>
      <w:r>
        <w:t>and</w:t>
      </w:r>
      <w:r>
        <w:rPr>
          <w:spacing w:val="-9"/>
        </w:rPr>
        <w:t xml:space="preserve"> </w:t>
      </w:r>
      <w:r>
        <w:t xml:space="preserve">accordingly </w:t>
      </w:r>
      <w:r>
        <w:rPr>
          <w:w w:val="95"/>
        </w:rPr>
        <w:t>alternative</w:t>
      </w:r>
      <w:r>
        <w:rPr>
          <w:spacing w:val="-8"/>
          <w:w w:val="95"/>
        </w:rPr>
        <w:t xml:space="preserve"> </w:t>
      </w:r>
      <w:r>
        <w:rPr>
          <w:w w:val="95"/>
        </w:rPr>
        <w:t>funding</w:t>
      </w:r>
      <w:r>
        <w:rPr>
          <w:spacing w:val="-8"/>
          <w:w w:val="95"/>
        </w:rPr>
        <w:t xml:space="preserve"> </w:t>
      </w:r>
      <w:r>
        <w:rPr>
          <w:w w:val="95"/>
        </w:rPr>
        <w:t>sources</w:t>
      </w:r>
      <w:r>
        <w:rPr>
          <w:spacing w:val="-8"/>
          <w:w w:val="95"/>
        </w:rPr>
        <w:t xml:space="preserve"> </w:t>
      </w:r>
      <w:r>
        <w:rPr>
          <w:w w:val="95"/>
        </w:rPr>
        <w:t>will</w:t>
      </w:r>
      <w:r>
        <w:rPr>
          <w:spacing w:val="-8"/>
          <w:w w:val="95"/>
        </w:rPr>
        <w:t xml:space="preserve"> </w:t>
      </w:r>
      <w:r>
        <w:rPr>
          <w:w w:val="95"/>
        </w:rPr>
        <w:t>be</w:t>
      </w:r>
      <w:r>
        <w:rPr>
          <w:spacing w:val="-8"/>
          <w:w w:val="95"/>
        </w:rPr>
        <w:t xml:space="preserve"> </w:t>
      </w:r>
      <w:r>
        <w:rPr>
          <w:w w:val="95"/>
        </w:rPr>
        <w:t>critical,</w:t>
      </w:r>
      <w:r>
        <w:rPr>
          <w:spacing w:val="-8"/>
          <w:w w:val="95"/>
        </w:rPr>
        <w:t xml:space="preserve"> </w:t>
      </w:r>
      <w:r>
        <w:rPr>
          <w:w w:val="95"/>
        </w:rPr>
        <w:t>particularly</w:t>
      </w:r>
      <w:r>
        <w:rPr>
          <w:spacing w:val="-8"/>
          <w:w w:val="95"/>
        </w:rPr>
        <w:t xml:space="preserve"> </w:t>
      </w:r>
      <w:r>
        <w:rPr>
          <w:w w:val="95"/>
        </w:rPr>
        <w:t>in respect of planned refurbishment of the Opera House.</w:t>
      </w:r>
    </w:p>
    <w:p w:rsidR="002C1123" w:rsidRDefault="00F22F94">
      <w:pPr>
        <w:pStyle w:val="BodyText"/>
        <w:spacing w:before="144" w:line="249" w:lineRule="auto"/>
        <w:ind w:left="202" w:right="749"/>
      </w:pPr>
      <w:r>
        <w:rPr>
          <w:w w:val="95"/>
        </w:rPr>
        <w:t>In</w:t>
      </w:r>
      <w:r>
        <w:rPr>
          <w:spacing w:val="-9"/>
          <w:w w:val="95"/>
        </w:rPr>
        <w:t xml:space="preserve"> </w:t>
      </w:r>
      <w:r>
        <w:rPr>
          <w:w w:val="95"/>
        </w:rPr>
        <w:t>the</w:t>
      </w:r>
      <w:r>
        <w:rPr>
          <w:spacing w:val="-9"/>
          <w:w w:val="95"/>
        </w:rPr>
        <w:t xml:space="preserve"> </w:t>
      </w:r>
      <w:r>
        <w:rPr>
          <w:w w:val="95"/>
        </w:rPr>
        <w:t>next</w:t>
      </w:r>
      <w:r>
        <w:rPr>
          <w:spacing w:val="-9"/>
          <w:w w:val="95"/>
        </w:rPr>
        <w:t xml:space="preserve"> </w:t>
      </w:r>
      <w:r>
        <w:rPr>
          <w:w w:val="95"/>
        </w:rPr>
        <w:t>five</w:t>
      </w:r>
      <w:r>
        <w:rPr>
          <w:spacing w:val="-9"/>
          <w:w w:val="95"/>
        </w:rPr>
        <w:t xml:space="preserve"> </w:t>
      </w:r>
      <w:r>
        <w:rPr>
          <w:w w:val="95"/>
        </w:rPr>
        <w:t>years,</w:t>
      </w:r>
      <w:r>
        <w:rPr>
          <w:spacing w:val="-9"/>
          <w:w w:val="95"/>
        </w:rPr>
        <w:t xml:space="preserve"> </w:t>
      </w:r>
      <w:r>
        <w:rPr>
          <w:w w:val="95"/>
        </w:rPr>
        <w:t>the</w:t>
      </w:r>
      <w:r>
        <w:rPr>
          <w:spacing w:val="-9"/>
          <w:w w:val="95"/>
        </w:rPr>
        <w:t xml:space="preserve"> </w:t>
      </w:r>
      <w:r>
        <w:rPr>
          <w:w w:val="95"/>
        </w:rPr>
        <w:t>Arts</w:t>
      </w:r>
      <w:r>
        <w:rPr>
          <w:spacing w:val="-9"/>
          <w:w w:val="95"/>
        </w:rPr>
        <w:t xml:space="preserve"> </w:t>
      </w:r>
      <w:r>
        <w:rPr>
          <w:w w:val="95"/>
        </w:rPr>
        <w:t>Ribbon</w:t>
      </w:r>
      <w:r>
        <w:rPr>
          <w:spacing w:val="-9"/>
          <w:w w:val="95"/>
        </w:rPr>
        <w:t xml:space="preserve"> </w:t>
      </w:r>
      <w:r>
        <w:rPr>
          <w:w w:val="95"/>
        </w:rPr>
        <w:t>will</w:t>
      </w:r>
      <w:r>
        <w:rPr>
          <w:spacing w:val="-9"/>
          <w:w w:val="95"/>
        </w:rPr>
        <w:t xml:space="preserve"> </w:t>
      </w:r>
      <w:r>
        <w:rPr>
          <w:w w:val="95"/>
        </w:rPr>
        <w:t>be</w:t>
      </w:r>
      <w:r>
        <w:rPr>
          <w:spacing w:val="-9"/>
          <w:w w:val="95"/>
        </w:rPr>
        <w:t xml:space="preserve"> </w:t>
      </w:r>
      <w:r>
        <w:rPr>
          <w:w w:val="95"/>
        </w:rPr>
        <w:t xml:space="preserve">stimulated </w:t>
      </w:r>
      <w:r>
        <w:rPr>
          <w:spacing w:val="-2"/>
        </w:rPr>
        <w:t>by</w:t>
      </w:r>
      <w:r>
        <w:rPr>
          <w:spacing w:val="-6"/>
        </w:rPr>
        <w:t xml:space="preserve"> </w:t>
      </w:r>
      <w:r>
        <w:rPr>
          <w:spacing w:val="-2"/>
        </w:rPr>
        <w:t>committed</w:t>
      </w:r>
      <w:r>
        <w:rPr>
          <w:spacing w:val="-6"/>
        </w:rPr>
        <w:t xml:space="preserve"> </w:t>
      </w:r>
      <w:r>
        <w:rPr>
          <w:spacing w:val="-2"/>
        </w:rPr>
        <w:t>investments</w:t>
      </w:r>
      <w:r>
        <w:rPr>
          <w:spacing w:val="-6"/>
        </w:rPr>
        <w:t xml:space="preserve"> </w:t>
      </w:r>
      <w:r>
        <w:rPr>
          <w:spacing w:val="-2"/>
        </w:rPr>
        <w:t>at</w:t>
      </w:r>
      <w:r>
        <w:rPr>
          <w:spacing w:val="-6"/>
        </w:rPr>
        <w:t xml:space="preserve"> </w:t>
      </w:r>
      <w:r>
        <w:rPr>
          <w:spacing w:val="-2"/>
        </w:rPr>
        <w:t>Walsh</w:t>
      </w:r>
      <w:r>
        <w:rPr>
          <w:spacing w:val="-6"/>
        </w:rPr>
        <w:t xml:space="preserve"> </w:t>
      </w:r>
      <w:r>
        <w:rPr>
          <w:spacing w:val="-2"/>
        </w:rPr>
        <w:t>Bay,</w:t>
      </w:r>
      <w:r>
        <w:rPr>
          <w:spacing w:val="-6"/>
        </w:rPr>
        <w:t xml:space="preserve"> </w:t>
      </w:r>
      <w:r>
        <w:rPr>
          <w:spacing w:val="-2"/>
        </w:rPr>
        <w:t xml:space="preserve">Barangaroo </w:t>
      </w:r>
      <w:r>
        <w:t>and Darling Harbour.</w:t>
      </w:r>
    </w:p>
    <w:p w:rsidR="002C1123" w:rsidRDefault="00F22F94">
      <w:pPr>
        <w:pStyle w:val="BodyText"/>
        <w:spacing w:before="144" w:line="249" w:lineRule="auto"/>
        <w:ind w:left="202" w:right="749"/>
      </w:pPr>
      <w:r>
        <w:t>The</w:t>
      </w:r>
      <w:r>
        <w:rPr>
          <w:spacing w:val="-11"/>
        </w:rPr>
        <w:t xml:space="preserve"> </w:t>
      </w:r>
      <w:r>
        <w:t>Barangaroo</w:t>
      </w:r>
      <w:r>
        <w:rPr>
          <w:spacing w:val="-11"/>
        </w:rPr>
        <w:t xml:space="preserve"> </w:t>
      </w:r>
      <w:r>
        <w:t>Delivery</w:t>
      </w:r>
      <w:r>
        <w:rPr>
          <w:spacing w:val="-11"/>
        </w:rPr>
        <w:t xml:space="preserve"> </w:t>
      </w:r>
      <w:r>
        <w:t>Authority</w:t>
      </w:r>
      <w:r>
        <w:rPr>
          <w:spacing w:val="-11"/>
        </w:rPr>
        <w:t xml:space="preserve"> </w:t>
      </w:r>
      <w:r>
        <w:t>proposes</w:t>
      </w:r>
      <w:r>
        <w:rPr>
          <w:spacing w:val="-11"/>
        </w:rPr>
        <w:t xml:space="preserve"> </w:t>
      </w:r>
      <w:r>
        <w:t xml:space="preserve">the </w:t>
      </w:r>
      <w:r>
        <w:rPr>
          <w:w w:val="95"/>
        </w:rPr>
        <w:t>following core cultural components for Barangaroo:</w:t>
      </w:r>
    </w:p>
    <w:p w:rsidR="002C1123" w:rsidRDefault="00F22F94">
      <w:pPr>
        <w:pStyle w:val="ListParagraph"/>
        <w:numPr>
          <w:ilvl w:val="3"/>
          <w:numId w:val="31"/>
        </w:numPr>
        <w:tabs>
          <w:tab w:val="left" w:pos="487"/>
        </w:tabs>
        <w:spacing w:before="131" w:line="249" w:lineRule="auto"/>
        <w:ind w:left="486" w:right="990"/>
        <w:rPr>
          <w:sz w:val="20"/>
        </w:rPr>
      </w:pPr>
      <w:r>
        <w:rPr>
          <w:sz w:val="20"/>
        </w:rPr>
        <w:t>a</w:t>
      </w:r>
      <w:r>
        <w:rPr>
          <w:spacing w:val="-14"/>
          <w:sz w:val="20"/>
        </w:rPr>
        <w:t xml:space="preserve"> </w:t>
      </w:r>
      <w:r>
        <w:rPr>
          <w:sz w:val="20"/>
        </w:rPr>
        <w:t>new</w:t>
      </w:r>
      <w:r>
        <w:rPr>
          <w:spacing w:val="-14"/>
          <w:sz w:val="20"/>
        </w:rPr>
        <w:t xml:space="preserve"> </w:t>
      </w:r>
      <w:r>
        <w:rPr>
          <w:sz w:val="20"/>
        </w:rPr>
        <w:t>Australian</w:t>
      </w:r>
      <w:r>
        <w:rPr>
          <w:spacing w:val="-14"/>
          <w:sz w:val="20"/>
        </w:rPr>
        <w:t xml:space="preserve"> </w:t>
      </w:r>
      <w:r>
        <w:rPr>
          <w:sz w:val="20"/>
        </w:rPr>
        <w:t>Centre</w:t>
      </w:r>
      <w:r>
        <w:rPr>
          <w:spacing w:val="-14"/>
          <w:sz w:val="20"/>
        </w:rPr>
        <w:t xml:space="preserve"> </w:t>
      </w:r>
      <w:r>
        <w:rPr>
          <w:sz w:val="20"/>
        </w:rPr>
        <w:t>for</w:t>
      </w:r>
      <w:r>
        <w:rPr>
          <w:spacing w:val="-14"/>
          <w:sz w:val="20"/>
        </w:rPr>
        <w:t xml:space="preserve"> </w:t>
      </w:r>
      <w:r>
        <w:rPr>
          <w:sz w:val="20"/>
        </w:rPr>
        <w:t>Indigenous</w:t>
      </w:r>
      <w:r>
        <w:rPr>
          <w:spacing w:val="-14"/>
          <w:sz w:val="20"/>
        </w:rPr>
        <w:t xml:space="preserve"> </w:t>
      </w:r>
      <w:r>
        <w:rPr>
          <w:sz w:val="20"/>
        </w:rPr>
        <w:t xml:space="preserve">Culture </w:t>
      </w:r>
      <w:r>
        <w:rPr>
          <w:w w:val="95"/>
          <w:sz w:val="20"/>
        </w:rPr>
        <w:t>including</w:t>
      </w:r>
      <w:r>
        <w:rPr>
          <w:spacing w:val="-2"/>
          <w:w w:val="95"/>
          <w:sz w:val="20"/>
        </w:rPr>
        <w:t xml:space="preserve"> </w:t>
      </w:r>
      <w:r>
        <w:rPr>
          <w:w w:val="95"/>
          <w:sz w:val="20"/>
        </w:rPr>
        <w:t>a</w:t>
      </w:r>
      <w:r>
        <w:rPr>
          <w:spacing w:val="-2"/>
          <w:w w:val="95"/>
          <w:sz w:val="20"/>
        </w:rPr>
        <w:t xml:space="preserve"> </w:t>
      </w:r>
      <w:r>
        <w:rPr>
          <w:w w:val="95"/>
          <w:sz w:val="20"/>
        </w:rPr>
        <w:t>Gallery</w:t>
      </w:r>
      <w:r>
        <w:rPr>
          <w:spacing w:val="-2"/>
          <w:w w:val="95"/>
          <w:sz w:val="20"/>
        </w:rPr>
        <w:t xml:space="preserve"> </w:t>
      </w:r>
      <w:r>
        <w:rPr>
          <w:w w:val="95"/>
          <w:sz w:val="20"/>
        </w:rPr>
        <w:t>of</w:t>
      </w:r>
      <w:r>
        <w:rPr>
          <w:spacing w:val="-2"/>
          <w:w w:val="95"/>
          <w:sz w:val="20"/>
        </w:rPr>
        <w:t xml:space="preserve"> </w:t>
      </w:r>
      <w:r>
        <w:rPr>
          <w:w w:val="95"/>
          <w:sz w:val="20"/>
        </w:rPr>
        <w:t>Art</w:t>
      </w:r>
      <w:r>
        <w:rPr>
          <w:spacing w:val="-2"/>
          <w:w w:val="95"/>
          <w:sz w:val="20"/>
        </w:rPr>
        <w:t xml:space="preserve"> </w:t>
      </w:r>
      <w:r>
        <w:rPr>
          <w:w w:val="95"/>
          <w:sz w:val="20"/>
        </w:rPr>
        <w:t>and</w:t>
      </w:r>
      <w:r>
        <w:rPr>
          <w:spacing w:val="-2"/>
          <w:w w:val="95"/>
          <w:sz w:val="20"/>
        </w:rPr>
        <w:t xml:space="preserve"> </w:t>
      </w:r>
      <w:r>
        <w:rPr>
          <w:w w:val="95"/>
          <w:sz w:val="20"/>
        </w:rPr>
        <w:t>performance</w:t>
      </w:r>
      <w:r>
        <w:rPr>
          <w:spacing w:val="-2"/>
          <w:w w:val="95"/>
          <w:sz w:val="20"/>
        </w:rPr>
        <w:t xml:space="preserve"> </w:t>
      </w:r>
      <w:r>
        <w:rPr>
          <w:w w:val="95"/>
          <w:sz w:val="20"/>
        </w:rPr>
        <w:t>spaces</w:t>
      </w:r>
    </w:p>
    <w:p w:rsidR="002C1123" w:rsidRDefault="00F22F94">
      <w:pPr>
        <w:pStyle w:val="ListParagraph"/>
        <w:numPr>
          <w:ilvl w:val="3"/>
          <w:numId w:val="31"/>
        </w:numPr>
        <w:tabs>
          <w:tab w:val="left" w:pos="487"/>
        </w:tabs>
        <w:spacing w:before="131"/>
        <w:ind w:left="486" w:hanging="285"/>
        <w:rPr>
          <w:sz w:val="20"/>
        </w:rPr>
      </w:pPr>
      <w:r>
        <w:rPr>
          <w:w w:val="95"/>
          <w:sz w:val="20"/>
        </w:rPr>
        <w:t>a</w:t>
      </w:r>
      <w:r>
        <w:rPr>
          <w:spacing w:val="-10"/>
          <w:w w:val="95"/>
          <w:sz w:val="20"/>
        </w:rPr>
        <w:t xml:space="preserve"> </w:t>
      </w:r>
      <w:r>
        <w:rPr>
          <w:w w:val="95"/>
          <w:sz w:val="20"/>
        </w:rPr>
        <w:t>new</w:t>
      </w:r>
      <w:r>
        <w:rPr>
          <w:spacing w:val="-10"/>
          <w:w w:val="95"/>
          <w:sz w:val="20"/>
        </w:rPr>
        <w:t xml:space="preserve"> </w:t>
      </w:r>
      <w:r>
        <w:rPr>
          <w:w w:val="95"/>
          <w:sz w:val="20"/>
        </w:rPr>
        <w:t>Australian</w:t>
      </w:r>
      <w:r>
        <w:rPr>
          <w:spacing w:val="-10"/>
          <w:w w:val="95"/>
          <w:sz w:val="20"/>
        </w:rPr>
        <w:t xml:space="preserve"> </w:t>
      </w:r>
      <w:r>
        <w:rPr>
          <w:w w:val="95"/>
          <w:sz w:val="20"/>
        </w:rPr>
        <w:t>design</w:t>
      </w:r>
      <w:r>
        <w:rPr>
          <w:spacing w:val="-9"/>
          <w:w w:val="95"/>
          <w:sz w:val="20"/>
        </w:rPr>
        <w:t xml:space="preserve"> </w:t>
      </w:r>
      <w:r>
        <w:rPr>
          <w:spacing w:val="-2"/>
          <w:w w:val="95"/>
          <w:sz w:val="20"/>
        </w:rPr>
        <w:t>centre</w:t>
      </w:r>
    </w:p>
    <w:p w:rsidR="002C1123" w:rsidRDefault="00F22F94">
      <w:pPr>
        <w:pStyle w:val="ListParagraph"/>
        <w:numPr>
          <w:ilvl w:val="3"/>
          <w:numId w:val="31"/>
        </w:numPr>
        <w:tabs>
          <w:tab w:val="left" w:pos="487"/>
        </w:tabs>
        <w:spacing w:before="139"/>
        <w:ind w:left="486" w:hanging="285"/>
        <w:rPr>
          <w:sz w:val="20"/>
        </w:rPr>
      </w:pPr>
      <w:r>
        <w:rPr>
          <w:w w:val="95"/>
          <w:sz w:val="20"/>
        </w:rPr>
        <w:t>a</w:t>
      </w:r>
      <w:r>
        <w:rPr>
          <w:spacing w:val="-1"/>
          <w:w w:val="95"/>
          <w:sz w:val="20"/>
        </w:rPr>
        <w:t xml:space="preserve"> </w:t>
      </w:r>
      <w:r>
        <w:rPr>
          <w:w w:val="95"/>
          <w:sz w:val="20"/>
        </w:rPr>
        <w:t>landmark</w:t>
      </w:r>
      <w:r>
        <w:rPr>
          <w:spacing w:val="-3"/>
          <w:sz w:val="20"/>
        </w:rPr>
        <w:t xml:space="preserve"> </w:t>
      </w:r>
      <w:r>
        <w:rPr>
          <w:w w:val="95"/>
          <w:sz w:val="20"/>
        </w:rPr>
        <w:t>public</w:t>
      </w:r>
      <w:r>
        <w:rPr>
          <w:spacing w:val="-1"/>
          <w:w w:val="95"/>
          <w:sz w:val="20"/>
        </w:rPr>
        <w:t xml:space="preserve"> </w:t>
      </w:r>
      <w:r>
        <w:rPr>
          <w:w w:val="95"/>
          <w:sz w:val="20"/>
        </w:rPr>
        <w:t>art</w:t>
      </w:r>
      <w:r>
        <w:rPr>
          <w:spacing w:val="-3"/>
          <w:sz w:val="20"/>
        </w:rPr>
        <w:t xml:space="preserve"> </w:t>
      </w:r>
      <w:r>
        <w:rPr>
          <w:spacing w:val="-2"/>
          <w:w w:val="95"/>
          <w:sz w:val="20"/>
        </w:rPr>
        <w:t>commission.</w:t>
      </w:r>
    </w:p>
    <w:p w:rsidR="002C1123" w:rsidRDefault="00F22F94">
      <w:pPr>
        <w:pStyle w:val="BodyText"/>
        <w:spacing w:before="152" w:line="249" w:lineRule="auto"/>
        <w:ind w:left="202" w:right="717"/>
      </w:pPr>
      <w:r>
        <w:rPr>
          <w:w w:val="95"/>
        </w:rPr>
        <w:t>These</w:t>
      </w:r>
      <w:r>
        <w:rPr>
          <w:spacing w:val="-8"/>
          <w:w w:val="95"/>
        </w:rPr>
        <w:t xml:space="preserve"> </w:t>
      </w:r>
      <w:r>
        <w:rPr>
          <w:w w:val="95"/>
        </w:rPr>
        <w:t>projects</w:t>
      </w:r>
      <w:r>
        <w:rPr>
          <w:spacing w:val="-8"/>
          <w:w w:val="95"/>
        </w:rPr>
        <w:t xml:space="preserve"> </w:t>
      </w:r>
      <w:r>
        <w:rPr>
          <w:w w:val="95"/>
        </w:rPr>
        <w:t>will</w:t>
      </w:r>
      <w:r>
        <w:rPr>
          <w:spacing w:val="-8"/>
          <w:w w:val="95"/>
        </w:rPr>
        <w:t xml:space="preserve"> </w:t>
      </w:r>
      <w:r>
        <w:rPr>
          <w:w w:val="95"/>
        </w:rPr>
        <w:t>be</w:t>
      </w:r>
      <w:r>
        <w:rPr>
          <w:spacing w:val="-8"/>
          <w:w w:val="95"/>
        </w:rPr>
        <w:t xml:space="preserve"> </w:t>
      </w:r>
      <w:r>
        <w:rPr>
          <w:w w:val="95"/>
        </w:rPr>
        <w:t>privately</w:t>
      </w:r>
      <w:r>
        <w:rPr>
          <w:spacing w:val="-8"/>
          <w:w w:val="95"/>
        </w:rPr>
        <w:t xml:space="preserve"> </w:t>
      </w:r>
      <w:r>
        <w:rPr>
          <w:w w:val="95"/>
        </w:rPr>
        <w:t>funded.</w:t>
      </w:r>
      <w:r>
        <w:rPr>
          <w:spacing w:val="-8"/>
          <w:w w:val="95"/>
        </w:rPr>
        <w:t xml:space="preserve"> </w:t>
      </w:r>
      <w:r>
        <w:rPr>
          <w:w w:val="95"/>
        </w:rPr>
        <w:t>At</w:t>
      </w:r>
      <w:r>
        <w:rPr>
          <w:spacing w:val="-8"/>
          <w:w w:val="95"/>
        </w:rPr>
        <w:t xml:space="preserve"> </w:t>
      </w:r>
      <w:r>
        <w:rPr>
          <w:w w:val="95"/>
        </w:rPr>
        <w:t>this</w:t>
      </w:r>
      <w:r>
        <w:rPr>
          <w:spacing w:val="-8"/>
          <w:w w:val="95"/>
        </w:rPr>
        <w:t xml:space="preserve"> </w:t>
      </w:r>
      <w:r>
        <w:rPr>
          <w:w w:val="95"/>
        </w:rPr>
        <w:t>time</w:t>
      </w:r>
      <w:r>
        <w:rPr>
          <w:spacing w:val="-8"/>
          <w:w w:val="95"/>
        </w:rPr>
        <w:t xml:space="preserve"> </w:t>
      </w:r>
      <w:r>
        <w:rPr>
          <w:w w:val="95"/>
        </w:rPr>
        <w:t xml:space="preserve">there is no detailed timeline or funding strategy for delivery of </w:t>
      </w:r>
      <w:r>
        <w:t>these</w:t>
      </w:r>
      <w:r>
        <w:rPr>
          <w:spacing w:val="-11"/>
        </w:rPr>
        <w:t xml:space="preserve"> </w:t>
      </w:r>
      <w:r>
        <w:t>assets.</w:t>
      </w:r>
    </w:p>
    <w:p w:rsidR="002C1123" w:rsidRDefault="00F22F94">
      <w:pPr>
        <w:pStyle w:val="BodyText"/>
        <w:spacing w:before="144" w:line="249" w:lineRule="auto"/>
        <w:ind w:left="202" w:right="828"/>
      </w:pPr>
      <w:r>
        <w:t>Infrastructure</w:t>
      </w:r>
      <w:r>
        <w:rPr>
          <w:spacing w:val="-14"/>
        </w:rPr>
        <w:t xml:space="preserve"> </w:t>
      </w:r>
      <w:r>
        <w:t>NSW</w:t>
      </w:r>
      <w:r>
        <w:rPr>
          <w:spacing w:val="-14"/>
        </w:rPr>
        <w:t xml:space="preserve"> </w:t>
      </w:r>
      <w:r>
        <w:t>has</w:t>
      </w:r>
      <w:r>
        <w:rPr>
          <w:spacing w:val="-14"/>
        </w:rPr>
        <w:t xml:space="preserve"> </w:t>
      </w:r>
      <w:r>
        <w:t>reviewed</w:t>
      </w:r>
      <w:r>
        <w:rPr>
          <w:spacing w:val="-14"/>
        </w:rPr>
        <w:t xml:space="preserve"> </w:t>
      </w:r>
      <w:r>
        <w:t>the</w:t>
      </w:r>
      <w:r>
        <w:rPr>
          <w:spacing w:val="-14"/>
        </w:rPr>
        <w:t xml:space="preserve"> </w:t>
      </w:r>
      <w:r>
        <w:t xml:space="preserve">following </w:t>
      </w:r>
      <w:r>
        <w:rPr>
          <w:w w:val="95"/>
        </w:rPr>
        <w:t>infrastructure</w:t>
      </w:r>
      <w:r>
        <w:rPr>
          <w:spacing w:val="-4"/>
          <w:w w:val="95"/>
        </w:rPr>
        <w:t xml:space="preserve"> </w:t>
      </w:r>
      <w:r>
        <w:rPr>
          <w:w w:val="95"/>
        </w:rPr>
        <w:t>priorities</w:t>
      </w:r>
      <w:r>
        <w:rPr>
          <w:spacing w:val="-4"/>
          <w:w w:val="95"/>
        </w:rPr>
        <w:t xml:space="preserve"> </w:t>
      </w:r>
      <w:r>
        <w:rPr>
          <w:w w:val="95"/>
        </w:rPr>
        <w:t>within</w:t>
      </w:r>
      <w:r>
        <w:rPr>
          <w:spacing w:val="-4"/>
          <w:w w:val="95"/>
        </w:rPr>
        <w:t xml:space="preserve"> </w:t>
      </w:r>
      <w:r>
        <w:rPr>
          <w:w w:val="95"/>
        </w:rPr>
        <w:t>the</w:t>
      </w:r>
      <w:r>
        <w:rPr>
          <w:spacing w:val="-4"/>
          <w:w w:val="95"/>
        </w:rPr>
        <w:t xml:space="preserve"> </w:t>
      </w:r>
      <w:r>
        <w:rPr>
          <w:w w:val="95"/>
        </w:rPr>
        <w:t>Arts</w:t>
      </w:r>
      <w:r>
        <w:rPr>
          <w:spacing w:val="-4"/>
          <w:w w:val="95"/>
        </w:rPr>
        <w:t xml:space="preserve"> </w:t>
      </w:r>
      <w:r>
        <w:rPr>
          <w:w w:val="95"/>
        </w:rPr>
        <w:t>Ribbon</w:t>
      </w:r>
      <w:r>
        <w:rPr>
          <w:spacing w:val="-4"/>
          <w:w w:val="95"/>
        </w:rPr>
        <w:t xml:space="preserve"> </w:t>
      </w:r>
      <w:r>
        <w:rPr>
          <w:w w:val="95"/>
        </w:rPr>
        <w:t>that</w:t>
      </w:r>
      <w:r>
        <w:rPr>
          <w:spacing w:val="-4"/>
          <w:w w:val="95"/>
        </w:rPr>
        <w:t xml:space="preserve"> </w:t>
      </w:r>
      <w:r>
        <w:rPr>
          <w:w w:val="95"/>
        </w:rPr>
        <w:t xml:space="preserve">are </w:t>
      </w:r>
      <w:r>
        <w:t>highest</w:t>
      </w:r>
      <w:r>
        <w:rPr>
          <w:spacing w:val="-12"/>
        </w:rPr>
        <w:t xml:space="preserve"> </w:t>
      </w:r>
      <w:r>
        <w:t>value</w:t>
      </w:r>
      <w:r>
        <w:rPr>
          <w:spacing w:val="-12"/>
        </w:rPr>
        <w:t xml:space="preserve"> </w:t>
      </w:r>
      <w:r>
        <w:t>in</w:t>
      </w:r>
      <w:r>
        <w:rPr>
          <w:spacing w:val="-12"/>
        </w:rPr>
        <w:t xml:space="preserve"> </w:t>
      </w:r>
      <w:r>
        <w:t>the</w:t>
      </w:r>
      <w:r>
        <w:rPr>
          <w:spacing w:val="-12"/>
        </w:rPr>
        <w:t xml:space="preserve"> </w:t>
      </w:r>
      <w:r>
        <w:t>proposed</w:t>
      </w:r>
      <w:r>
        <w:rPr>
          <w:spacing w:val="-12"/>
        </w:rPr>
        <w:t xml:space="preserve"> </w:t>
      </w:r>
      <w:r>
        <w:t>NSW</w:t>
      </w:r>
      <w:r>
        <w:rPr>
          <w:spacing w:val="-12"/>
        </w:rPr>
        <w:t xml:space="preserve"> </w:t>
      </w:r>
      <w:r>
        <w:t>Government’s Culture</w:t>
      </w:r>
      <w:r>
        <w:rPr>
          <w:spacing w:val="-14"/>
        </w:rPr>
        <w:t xml:space="preserve"> </w:t>
      </w:r>
      <w:r>
        <w:t>Venues</w:t>
      </w:r>
      <w:r>
        <w:rPr>
          <w:spacing w:val="-14"/>
        </w:rPr>
        <w:t xml:space="preserve"> </w:t>
      </w:r>
      <w:r>
        <w:t>Plan</w:t>
      </w:r>
      <w:r>
        <w:rPr>
          <w:spacing w:val="-14"/>
        </w:rPr>
        <w:t xml:space="preserve"> </w:t>
      </w:r>
      <w:r>
        <w:t>(while</w:t>
      </w:r>
      <w:r>
        <w:rPr>
          <w:spacing w:val="-14"/>
        </w:rPr>
        <w:t xml:space="preserve"> </w:t>
      </w:r>
      <w:r>
        <w:t>noting</w:t>
      </w:r>
      <w:r>
        <w:rPr>
          <w:spacing w:val="-14"/>
        </w:rPr>
        <w:t xml:space="preserve"> </w:t>
      </w:r>
      <w:r>
        <w:t>that</w:t>
      </w:r>
      <w:r>
        <w:rPr>
          <w:spacing w:val="-14"/>
        </w:rPr>
        <w:t xml:space="preserve"> </w:t>
      </w:r>
      <w:r>
        <w:t xml:space="preserve">other </w:t>
      </w:r>
      <w:r>
        <w:rPr>
          <w:w w:val="95"/>
        </w:rPr>
        <w:t xml:space="preserve">proposals, State Library and Australian Museum, are </w:t>
      </w:r>
      <w:r>
        <w:t>being</w:t>
      </w:r>
      <w:r>
        <w:rPr>
          <w:spacing w:val="-11"/>
        </w:rPr>
        <w:t xml:space="preserve"> </w:t>
      </w:r>
      <w:r>
        <w:t>prepared).</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283" w:space="40"/>
            <w:col w:w="4981" w:space="39"/>
            <w:col w:w="5717"/>
          </w:cols>
        </w:sectPr>
      </w:pPr>
    </w:p>
    <w:p w:rsidR="002C1123" w:rsidRDefault="002C1123">
      <w:pPr>
        <w:pStyle w:val="BodyText"/>
        <w:spacing w:before="11"/>
        <w:rPr>
          <w:sz w:val="16"/>
        </w:rPr>
      </w:pPr>
    </w:p>
    <w:p w:rsidR="002C1123" w:rsidRDefault="002060EF">
      <w:pPr>
        <w:pStyle w:val="BodyText"/>
        <w:spacing w:line="20" w:lineRule="exact"/>
        <w:ind w:left="492"/>
        <w:rPr>
          <w:sz w:val="2"/>
        </w:rPr>
      </w:pPr>
      <w:r>
        <w:rPr>
          <w:sz w:val="2"/>
        </w:rPr>
      </w:r>
      <w:r>
        <w:rPr>
          <w:sz w:val="2"/>
        </w:rPr>
        <w:pict>
          <v:group id="docshapegroup2708" o:spid="_x0000_s1324" style="width:1in;height:.5pt;mso-position-horizontal-relative:char;mso-position-vertical-relative:line" coordsize="1440,10">
            <v:line id="_x0000_s1325" style="position:absolute" from="0,5" to="1440,5" strokecolor="#9c9c9d" strokeweight=".5pt"/>
            <w10:anchorlock/>
          </v:group>
        </w:pict>
      </w:r>
    </w:p>
    <w:p w:rsidR="002C1123" w:rsidRDefault="00F22F94">
      <w:pPr>
        <w:spacing w:before="8"/>
        <w:ind w:left="690" w:right="10835" w:hanging="199"/>
        <w:rPr>
          <w:sz w:val="14"/>
        </w:rPr>
      </w:pPr>
      <w:r>
        <w:rPr>
          <w:w w:val="95"/>
          <w:sz w:val="14"/>
        </w:rPr>
        <w:t>3</w:t>
      </w:r>
      <w:r>
        <w:rPr>
          <w:spacing w:val="80"/>
          <w:sz w:val="14"/>
        </w:rPr>
        <w:t xml:space="preserve"> </w:t>
      </w:r>
      <w:r>
        <w:rPr>
          <w:w w:val="95"/>
          <w:sz w:val="14"/>
        </w:rPr>
        <w:t>Global</w:t>
      </w:r>
      <w:r>
        <w:rPr>
          <w:spacing w:val="-4"/>
          <w:w w:val="95"/>
          <w:sz w:val="14"/>
        </w:rPr>
        <w:t xml:space="preserve"> </w:t>
      </w:r>
      <w:r>
        <w:rPr>
          <w:w w:val="95"/>
          <w:sz w:val="14"/>
        </w:rPr>
        <w:t>Sydney,</w:t>
      </w:r>
      <w:r>
        <w:rPr>
          <w:spacing w:val="-4"/>
          <w:w w:val="95"/>
          <w:sz w:val="14"/>
        </w:rPr>
        <w:t xml:space="preserve"> </w:t>
      </w:r>
      <w:r>
        <w:rPr>
          <w:w w:val="95"/>
          <w:sz w:val="14"/>
        </w:rPr>
        <w:t>A</w:t>
      </w:r>
      <w:r>
        <w:rPr>
          <w:spacing w:val="-4"/>
          <w:w w:val="95"/>
          <w:sz w:val="14"/>
        </w:rPr>
        <w:t xml:space="preserve"> </w:t>
      </w:r>
      <w:r>
        <w:rPr>
          <w:w w:val="95"/>
          <w:sz w:val="14"/>
        </w:rPr>
        <w:t>Five</w:t>
      </w:r>
      <w:r>
        <w:rPr>
          <w:spacing w:val="-4"/>
          <w:w w:val="95"/>
          <w:sz w:val="14"/>
        </w:rPr>
        <w:t xml:space="preserve"> </w:t>
      </w:r>
      <w:r>
        <w:rPr>
          <w:w w:val="95"/>
          <w:sz w:val="14"/>
        </w:rPr>
        <w:t>Year</w:t>
      </w:r>
      <w:r>
        <w:rPr>
          <w:spacing w:val="-4"/>
          <w:w w:val="95"/>
          <w:sz w:val="14"/>
        </w:rPr>
        <w:t xml:space="preserve"> </w:t>
      </w:r>
      <w:r>
        <w:rPr>
          <w:w w:val="95"/>
          <w:sz w:val="14"/>
        </w:rPr>
        <w:t>Strategy</w:t>
      </w:r>
      <w:r>
        <w:rPr>
          <w:spacing w:val="-4"/>
          <w:w w:val="95"/>
          <w:sz w:val="14"/>
        </w:rPr>
        <w:t xml:space="preserve"> </w:t>
      </w:r>
      <w:r>
        <w:rPr>
          <w:w w:val="95"/>
          <w:sz w:val="14"/>
        </w:rPr>
        <w:t>for</w:t>
      </w:r>
      <w:r>
        <w:rPr>
          <w:spacing w:val="-4"/>
          <w:w w:val="95"/>
          <w:sz w:val="14"/>
        </w:rPr>
        <w:t xml:space="preserve"> </w:t>
      </w:r>
      <w:r>
        <w:rPr>
          <w:w w:val="95"/>
          <w:sz w:val="14"/>
        </w:rPr>
        <w:t>a</w:t>
      </w:r>
      <w:r>
        <w:rPr>
          <w:spacing w:val="-4"/>
          <w:w w:val="95"/>
          <w:sz w:val="14"/>
        </w:rPr>
        <w:t xml:space="preserve"> </w:t>
      </w:r>
      <w:r>
        <w:rPr>
          <w:w w:val="95"/>
          <w:sz w:val="14"/>
        </w:rPr>
        <w:t>Vibrant</w:t>
      </w:r>
      <w:r>
        <w:rPr>
          <w:spacing w:val="-4"/>
          <w:w w:val="95"/>
          <w:sz w:val="14"/>
        </w:rPr>
        <w:t xml:space="preserve"> </w:t>
      </w:r>
      <w:r>
        <w:rPr>
          <w:w w:val="95"/>
          <w:sz w:val="14"/>
        </w:rPr>
        <w:t>&amp;</w:t>
      </w:r>
      <w:r>
        <w:rPr>
          <w:spacing w:val="-4"/>
          <w:w w:val="95"/>
          <w:sz w:val="14"/>
        </w:rPr>
        <w:t xml:space="preserve"> </w:t>
      </w:r>
      <w:r>
        <w:rPr>
          <w:w w:val="95"/>
          <w:sz w:val="14"/>
        </w:rPr>
        <w:t>Competitive</w:t>
      </w:r>
      <w:r>
        <w:rPr>
          <w:spacing w:val="-4"/>
          <w:w w:val="95"/>
          <w:sz w:val="14"/>
        </w:rPr>
        <w:t xml:space="preserve"> </w:t>
      </w:r>
      <w:r>
        <w:rPr>
          <w:w w:val="95"/>
          <w:sz w:val="14"/>
        </w:rPr>
        <w:t>City</w:t>
      </w:r>
      <w:r>
        <w:rPr>
          <w:spacing w:val="-4"/>
          <w:w w:val="95"/>
          <w:sz w:val="14"/>
        </w:rPr>
        <w:t xml:space="preserve"> </w:t>
      </w:r>
      <w:r>
        <w:rPr>
          <w:w w:val="95"/>
          <w:sz w:val="14"/>
        </w:rPr>
        <w:t>of</w:t>
      </w:r>
      <w:r>
        <w:rPr>
          <w:spacing w:val="40"/>
          <w:sz w:val="14"/>
        </w:rPr>
        <w:t xml:space="preserve"> </w:t>
      </w:r>
      <w:r>
        <w:rPr>
          <w:spacing w:val="-2"/>
          <w:sz w:val="14"/>
        </w:rPr>
        <w:t>Sydney.</w:t>
      </w:r>
    </w:p>
    <w:p w:rsidR="002C1123" w:rsidRDefault="002C1123">
      <w:pPr>
        <w:rPr>
          <w:sz w:val="14"/>
        </w:rPr>
        <w:sectPr w:rsidR="002C1123">
          <w:type w:val="continuous"/>
          <w:pgSz w:w="16840" w:h="11910" w:orient="landscape"/>
          <w:pgMar w:top="560" w:right="280" w:bottom="280" w:left="500" w:header="0" w:footer="517"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3"/>
        <w:rPr>
          <w:sz w:val="19"/>
        </w:rPr>
      </w:pPr>
    </w:p>
    <w:p w:rsidR="002C1123" w:rsidRDefault="002060EF">
      <w:pPr>
        <w:pStyle w:val="Heading6"/>
        <w:ind w:left="10545"/>
      </w:pPr>
      <w:r>
        <w:pict>
          <v:group id="docshapegroup2709" o:spid="_x0000_s1202" style="position:absolute;left:0;text-align:left;margin-left:47.2pt;margin-top:5.25pt;width:495.1pt;height:415.85pt;z-index:251724800;mso-position-horizontal-relative:page" coordorigin="944,105" coordsize="9902,8317">
            <v:rect id="docshape2710" o:spid="_x0000_s1323" style="position:absolute;left:992;top:152;width:9827;height:8221" fillcolor="#c9c8c9" stroked="f"/>
            <v:shape id="docshape2711" o:spid="_x0000_s1322" type="#_x0000_t75" style="position:absolute;left:992;top:155;width:9827;height:6780">
              <v:imagedata r:id="rId239" o:title=""/>
            </v:shape>
            <v:shape id="docshape2712" o:spid="_x0000_s1321" style="position:absolute;left:1019;top:6643;width:4656;height:916" coordorigin="1019,6643" coordsize="4656,916" path="m1019,7559r474,-106l1756,7392r145,-41l2024,7306r359,-99l2595,7157r149,-18l2914,7138r397,-7l3526,7125r111,-5l3717,7111r569,-27l4594,7067r153,-15l4851,7032r471,-389l5675,6866e" filled="f" strokecolor="#e6e7e8" strokeweight="1.59208mm">
              <v:path arrowok="t"/>
            </v:shape>
            <v:shape id="docshape2713" o:spid="_x0000_s1320" style="position:absolute;left:2871;top:7103;width:1002;height:1271" coordorigin="2871,7103" coordsize="1002,1271" path="m2871,8373r70,-71l3064,8136r161,-212l3321,7811r72,-51l3479,7733r121,-51l3667,7640r37,-57l3735,7490r138,-387e" filled="f" strokecolor="#e6e7e8" strokeweight="1.59208mm">
              <v:path arrowok="t"/>
            </v:shape>
            <v:shape id="docshape2714" o:spid="_x0000_s1319" style="position:absolute;left:1476;top:4435;width:3424;height:1223" coordorigin="1477,4435" coordsize="3424,1223" path="m1477,4631r252,-140l1899,4435r166,20l2304,4541r674,205l3095,4792r66,29l3235,4873r50,50l3327,4945r58,-2l3481,4921r94,-17l3634,4923r47,76l3742,5156r179,339l4000,5613r64,45l4148,5634r138,-87l4547,5468r151,-39l4796,5421r104,11e" filled="f" strokecolor="#e6e7e8" strokeweight="1.59208mm">
              <v:path arrowok="t"/>
            </v:shape>
            <v:shape id="docshape2715" o:spid="_x0000_s1318" style="position:absolute;left:992;top:4153;width:446;height:498" coordorigin="992,4154" coordsize="446,498" path="m992,4154r10,7l1052,4179r67,8l1300,4252r93,69l1429,4440r8,212e" filled="f" strokecolor="#e6e7e8" strokeweight="1.59208mm">
              <v:path arrowok="t"/>
            </v:shape>
            <v:shape id="docshape2716" o:spid="_x0000_s1317" style="position:absolute;left:5290;top:152;width:2091;height:8221" coordorigin="5290,153" coordsize="2091,8221" path="m5951,153r-4,66l5974,377r70,208l6216,990r70,240l6267,1399r-96,192l5429,3021r-115,174l5290,3289r80,49l5567,3375r431,29l6223,3425r90,21l6342,3480r37,17l6389,3532r-20,80l6316,3763r-77,157l6231,4019r78,82l6487,4206r360,91l7016,4401r23,185l6960,4918r-89,584l6765,6269r-28,434l6792,6965r146,251l7213,7813r136,350l7381,8373e" filled="f" strokecolor="#e6e7e8" strokeweight="1.59208mm">
              <v:path arrowok="t"/>
            </v:shape>
            <v:shape id="docshape2717" o:spid="_x0000_s1316" style="position:absolute;left:7038;top:7387;width:3524;height:787" coordorigin="7038,7388" coordsize="3524,787" path="m10562,7972r-323,-93l10048,7855r-138,53l9751,8043r-176,100l9462,8175r-99,-39l9229,8024,9043,7919r-116,-42l8833,7895r-122,70l8481,8003r-146,-16l8212,7894,8048,7697,7665,7490r-233,-95l7255,7388r-217,56e" filled="f" strokecolor="#e6e7e8" strokeweight="1.59208mm">
              <v:path arrowok="t"/>
            </v:shape>
            <v:shape id="docshape2718" o:spid="_x0000_s1315" style="position:absolute;left:6865;top:5504;width:3020;height:2431" coordorigin="6865,5505" coordsize="3020,2431" path="m9885,7935l9512,6344r-30,-75l9411,6213r-74,-7l9260,6196r-50,-20l9163,6132r-64,-82l8952,5832r-130,-89l8633,5768r-320,125l7902,5885r-222,-16l7570,5834r-73,-67l7242,5594r-151,-80l6985,5505r-120,41e" filled="f" strokecolor="#e6e7e8" strokeweight="1.59208mm">
              <v:path arrowok="t"/>
            </v:shape>
            <v:shape id="docshape2719" o:spid="_x0000_s1314" style="position:absolute;left:4159;top:3154;width:1214;height:2451" coordorigin="4159,3154" coordsize="1214,2451" path="m5372,3154r-122,266l5186,3568r-26,85l5150,3729r-53,162l5064,3988r-27,71l5001,4143r-41,107l4940,4321r-6,64l4938,4474r105,423l5051,5129r-111,126l4684,5357r-525,248e" filled="f" strokecolor="#e6e7e8" strokeweight="1.59208mm">
              <v:path arrowok="t"/>
            </v:shape>
            <v:shape id="docshape2720" o:spid="_x0000_s1313" style="position:absolute;left:998;top:4948;width:1507;height:2224" coordorigin="998,4948" coordsize="1507,2224" path="m998,4948r247,282l1278,5277r13,55l1289,5430r-17,175l1258,5665r5,39l1295,5739r69,48l1411,5802r28,28l1459,5892r24,118l1500,6203r29,103l1592,6355r116,30l1910,6459r107,46l2068,6541r31,45l2505,7172e" filled="f" strokecolor="#e6e7e8" strokeweight=".95533mm">
              <v:path arrowok="t"/>
            </v:shape>
            <v:shape id="docshape2721" o:spid="_x0000_s1312" style="position:absolute;left:992;top:6713;width:716;height:1454" coordorigin="992,6713" coordsize="716,1454" path="m992,6713r84,42l1139,6795r61,47l1257,6897r51,63l1350,7032r358,1135e" filled="f" strokecolor="#e6e7e8" strokeweight=".95533mm">
              <v:path arrowok="t"/>
            </v:shape>
            <v:shape id="docshape2722" o:spid="_x0000_s1311" style="position:absolute;left:992;top:8124;width:2027;height:164" coordorigin="992,8124" coordsize="2027,164" path="m992,8221r289,67l1781,8141r81,-16l1912,8124r41,18l2005,8184r136,41l2225,8241r67,-5l2375,8211r328,-30l2879,8169r85,5l3019,8195e" filled="f" strokecolor="#e6e7e8" strokeweight=".95533mm">
              <v:path arrowok="t"/>
            </v:shape>
            <v:shape id="docshape2723" o:spid="_x0000_s1310" style="position:absolute;left:992;top:2528;width:660;height:1767" coordorigin="992,2528" coordsize="660,1767" path="m992,2594r199,-6l1440,2534r132,-6l1628,2581r24,123l1570,3294r-133,215l1421,3617r-1,77l1439,3778r45,127l1556,4023r4,79l1477,4181r-189,114e" filled="f" strokecolor="#e6e7e8" strokeweight=".95533mm">
              <v:path arrowok="t"/>
            </v:shape>
            <v:shape id="docshape2724" o:spid="_x0000_s1309" style="position:absolute;left:1252;top:5988;width:2389;height:1128" coordorigin="1252,5989" coordsize="2389,1128" path="m1252,6892l2573,5989r280,379l3641,7117e" filled="f" strokecolor="#e6e7e8" strokeweight=".95533mm">
              <v:path arrowok="t"/>
            </v:shape>
            <v:shape id="docshape2725" o:spid="_x0000_s1308" style="position:absolute;left:992;top:4671;width:3859;height:2868" coordorigin="992,4672" coordsize="3859,2868" path="m992,7540r260,-182l1358,7274r64,-47l1471,7199r60,-27l1811,7029r150,-82l2033,6895r45,-54l2969,6277r108,-74l3118,6152r-21,-52l3019,6023r-89,-74l2917,5894r77,-63l3176,5735r465,-405l3873,5029r269,-261l4282,4672r56,63l4355,4948r-16,299l4339,5418r21,110l4407,5640r444,930l4661,6635e" filled="f" strokecolor="#e6e7e8" strokeweight=".95533mm">
              <v:path arrowok="t"/>
            </v:shape>
            <v:line id="_x0000_s1307" style="position:absolute" from="992,5845" to="1245,5230" strokecolor="#e6e7e8" strokeweight=".95533mm"/>
            <v:shape id="docshape2726" o:spid="_x0000_s1306" style="position:absolute;left:1751;top:7054;width:594;height:1319" coordorigin="1752,7055" coordsize="594,1319" path="m1752,7055r67,313l2022,7629r109,133l2189,7840r26,54l2228,7952r117,421e" filled="f" strokecolor="#e6e7e8" strokeweight=".95533mm">
              <v:path arrowok="t"/>
            </v:shape>
            <v:shape id="docshape2727" o:spid="_x0000_s1305" style="position:absolute;left:3670;top:7599;width:3112;height:719" coordorigin="3671,7599" coordsize="3112,719" path="m3671,7599r1119,219l5560,7935r508,276l6202,8211r581,107e" filled="f" strokecolor="#e6e7e8" strokeweight=".95533mm">
              <v:path arrowok="t"/>
            </v:shape>
            <v:shape id="docshape2728" o:spid="_x0000_s1304" style="position:absolute;left:3239;top:5678;width:3285;height:874" coordorigin="3240,5679" coordsize="3285,874" path="m3240,5679r168,164l3572,6127r58,155l3684,6350r79,-5l3899,6282r572,-287l4547,5959r47,-12l4631,5959r47,36l4688,6001r13,-1l4724,5990r42,-22l4865,5931r57,-13l4959,5928r37,31l5793,6131r163,39l5974,6311r262,160l6525,6553e" filled="f" strokecolor="#e6e7e8" strokeweight=".95533mm">
              <v:path arrowok="t"/>
            </v:shape>
            <v:shape id="docshape2729" o:spid="_x0000_s1303" style="position:absolute;left:4843;top:2180;width:1060;height:5067" coordorigin="4843,2180" coordsize="1060,5067" path="m4931,7247r154,-359l5202,6539r101,-514l5445,5532r36,-611l5493,4380r39,-311l5532,3757r143,-364l5698,3124r73,-193l5727,2716r-55,-110l5658,2547r31,-26l5771,2506r92,-6l5903,2479r-5,-50l5857,2333r-84,-120l5720,2180r-44,60l5617,2399r-245,271l5041,2731r-147,-98l4856,2633r-13,14l4856,2690r38,85l4907,2902r2,325l4975,3994r98,947l4970,4956e" filled="f" strokecolor="#e6e7e8" strokeweight=".95533mm">
              <v:path arrowok="t"/>
            </v:shape>
            <v:shape id="docshape2730" o:spid="_x0000_s1302" style="position:absolute;left:3865;top:5346;width:1111;height:3027" coordorigin="3865,5347" coordsize="1111,3027" path="m4466,8373r52,-132l4570,8175r67,-50l4682,8117r82,-51l4802,8007r,-107l4775,7708r-26,-141l4745,7490r22,-38l4819,7424r112,-55l4976,7320r-15,-71l4892,7127,4708,6761,4426,6159,4168,5596,4054,5347r-189,43e" filled="f" strokecolor="#e6e7e8" strokeweight=".95533mm">
              <v:path arrowok="t"/>
            </v:shape>
            <v:shape id="docshape2731" o:spid="_x0000_s1301" style="position:absolute;left:6783;top:7432;width:306;height:942" coordorigin="6784,7432" coordsize="306,942" path="m6784,8373r149,-909l7089,7432e" filled="f" strokecolor="#e6e7e8" strokeweight="1.59208mm">
              <v:path arrowok="t"/>
            </v:shape>
            <v:shape id="docshape2732" o:spid="_x0000_s1300" style="position:absolute;left:3412;top:5399;width:988;height:2975" coordorigin="3412,5399" coordsize="988,2975" path="m3412,8373r505,-206l4195,8109r142,-78l4391,7879r8,-280l4381,7075,3562,5399e" filled="f" strokecolor="#e6e7e8" strokeweight="1.59208mm">
              <v:path arrowok="t"/>
            </v:shape>
            <v:shape id="docshape2733" o:spid="_x0000_s1299" style="position:absolute;left:4645;top:5201;width:4094;height:628" coordorigin="4645,5202" coordsize="4094,628" path="m4645,5417r448,-139l5237,5221r96,-19l5421,5221r124,57l6192,5380r378,57l6871,5502r607,151l7836,5755r457,11l8540,5778r120,19l8739,5829e" filled="f" strokecolor="#e6e7e8" strokeweight=".95533mm">
              <v:path arrowok="t"/>
            </v:shape>
            <v:shape id="docshape2734" o:spid="_x0000_s1298" style="position:absolute;left:5162;top:5778;width:3874;height:2595" coordorigin="5162,5779" coordsize="3874,2595" path="m8884,8373r32,-32l9035,8152r-35,-157l8829,7790,8375,7342r-98,-92l8206,7202r-77,-20l8011,7175r-243,-55l7636,7083r-67,-33l7523,7004r-37,-36l7453,6946r-47,-19l7328,6902r-65,-59l7221,6800r-36,-49l7136,6676,6269,5978r-114,-81l5162,5779e" filled="f" strokecolor="#e6e7e8" strokeweight=".95533mm">
              <v:path arrowok="t"/>
            </v:shape>
            <v:shape id="docshape2735" o:spid="_x0000_s1297" style="position:absolute;left:9428;top:6063;width:1391;height:1895" coordorigin="9429,6064" coordsize="1391,1895" path="m10562,7959r-116,-77l10382,7815r-37,-95l10311,7558r18,-6l10329,7542r-22,-20l10258,7484r-206,-71l9967,7356r20,-74l10099,7163r108,-68l10243,7032r-36,-94l10099,6776,9973,6553r-76,-168l9842,6306r-62,-14l9684,6324r-108,-9l9513,6303r-41,-23l9429,6238r152,39l9666,6290r45,-13l9747,6238r144,-125l9980,6064r69,19l10135,6165r81,127l10267,6361r39,38l10355,6429r85,30l10483,6500r13,82l10491,6734r83,162l10639,6978r84,27l10819,7003e" filled="f" strokecolor="#e6e7e8" strokeweight=".95533mm">
              <v:path arrowok="t"/>
            </v:shape>
            <v:shape id="docshape2736" o:spid="_x0000_s1296" style="position:absolute;left:8765;top:6864;width:869;height:862" coordorigin="8766,6865" coordsize="869,862" path="m8766,7727r357,-43l9363,7383r271,-518e" filled="f" strokecolor="#e6e7e8" strokeweight=".95533mm">
              <v:path arrowok="t"/>
            </v:shape>
            <v:shape id="docshape2737" o:spid="_x0000_s1295" style="position:absolute;left:8375;top:5933;width:573;height:1409" coordorigin="8375,5934" coordsize="573,1409" path="m8375,7342r186,-220l8703,7122r63,-342l8948,6238r,-304e" filled="f" strokecolor="#e6e7e8" strokeweight=".95533mm">
              <v:path arrowok="t"/>
            </v:shape>
            <v:shape id="docshape2738" o:spid="_x0000_s1294" style="position:absolute;left:7254;top:6628;width:2219;height:1077" coordorigin="7254,6628" coordsize="2219,1077" path="m9473,7704l9363,7383,8758,6821,8375,6703r-83,31l8146,6734r-65,26l7950,6734r-93,-96l7766,6628r-56,7l7665,6667r-57,67l7550,6783r-26,35l7525,6853r22,53l7558,6942r-5,18l7528,6967r-54,1l7412,6957r-46,-22l7337,6913r-9,-11l7311,7098r-57,297e" filled="f" strokecolor="#e6e7e8" strokeweight=".95533mm">
              <v:path arrowok="t"/>
            </v:shape>
            <v:shape id="docshape2739" o:spid="_x0000_s1293" style="position:absolute;left:6586;top:5829;width:1865;height:1387" coordorigin="6587,5829" coordsize="1865,1387" path="m6587,6133r850,147l7504,6342r54,66l7572,6442r285,196l7979,6430r244,-192l8451,5829r-476,361l7682,6308r-184,204l7291,6605r-204,31l6938,7216e" filled="f" strokecolor="#e6e7e8" strokeweight=".95533mm">
              <v:path arrowok="t"/>
            </v:shape>
            <v:shape id="docshape2740" o:spid="_x0000_s1292" style="position:absolute;left:5033;top:2956;width:1288;height:908" coordorigin="5034,2956" coordsize="1288,908" path="m6321,3749r-199,l5728,3773r-183,l5402,3733r91,-200l5562,3348r28,-277l5034,2956r25,437l5105,3864e" filled="f" strokecolor="#e6e7e8" strokeweight=".95533mm">
              <v:path arrowok="t"/>
            </v:shape>
            <v:shape id="docshape2741" o:spid="_x0000_s1291" style="position:absolute;left:5535;top:4015;width:550;height:4358" coordorigin="5535,4016" coordsize="550,4358" path="m6085,4016r-115,211l5910,4838,5807,5856r-45,493l5675,6849r-32,469l5602,7935r-67,438e" filled="f" strokecolor="#e6e7e8" strokeweight=".95533mm">
              <v:path arrowok="t"/>
            </v:shape>
            <v:shape id="docshape2742" o:spid="_x0000_s1290" style="position:absolute;left:5303;top:6866;width:1693;height:1508" coordorigin="5303,6866" coordsize="1693,1508" path="m5303,8373r142,-893l5675,6866r364,266l6407,7170r243,46l6996,7409e" filled="f" strokecolor="#e6e7e8" strokeweight=".95533mm">
              <v:path arrowok="t"/>
            </v:shape>
            <v:shape id="docshape2743" o:spid="_x0000_s1289" style="position:absolute;left:6209;top:6997;width:624;height:1376" coordorigin="6210,6998" coordsize="624,1376" path="m6210,8373r89,-561l6547,7904r40,-175l6687,6998r146,34e" filled="f" strokecolor="#e6e7e8" strokeweight=".95533mm">
              <v:path arrowok="t"/>
            </v:shape>
            <v:shape id="docshape2744" o:spid="_x0000_s1288" style="position:absolute;left:4780;top:4009;width:3198;height:2513" coordorigin="4781,4010" coordsize="3198,2513" path="m4781,5375r198,157l4979,5961r26,251l5273,6226r490,110l6019,6135r136,-238l6273,4901r114,l6510,5047r134,60l6984,4730r-2,-138l6996,4533r44,10l7127,4610r73,54l7267,4701r63,18l7390,4713r59,-31l7507,4621r68,-103l7611,4437r16,-72l7685,4178r35,-94l7745,4052r28,1l7859,4014r38,-4l7894,4048r-36,88l7841,4282r137,180l7824,5261r-149,117l7448,5645r-194,430l7170,6261r-37,100l6946,6523e" filled="f" strokecolor="#e6e7e8" strokeweight=".95533mm">
              <v:path arrowok="t"/>
            </v:shape>
            <v:shape id="docshape2745" o:spid="_x0000_s1287" style="position:absolute;left:10479;top:5288;width:340;height:951" coordorigin="10480,5288" coordsize="340,951" path="m10819,5288r-2,1l10773,5326r-8,63l10781,5502r3,112l10770,5678r-42,40l10645,5760r-96,53l10500,5849r-18,35l10480,5934r214,197l10819,6239e" filled="f" strokecolor="#e6e7e8" strokeweight=".95533mm">
              <v:path arrowok="t"/>
            </v:shape>
            <v:shape id="docshape2746" o:spid="_x0000_s1286" style="position:absolute;left:7467;top:4597;width:476;height:1053" coordorigin="7468,4598" coordsize="476,1053" path="m7944,4641r-286,-43l7468,5650e" filled="f" strokecolor="#e6e7e8" strokeweight=".95533mm">
              <v:path arrowok="t"/>
            </v:shape>
            <v:shape id="docshape2747" o:spid="_x0000_s1285" style="position:absolute;left:6298;top:4923;width:511;height:2889" coordorigin="6299,4924" coordsize="511,2889" path="m6810,4924r-118,551l6525,6378r-106,792l6299,7812e" filled="f" strokecolor="#e6e7e8" strokeweight=".95533mm">
              <v:path arrowok="t"/>
            </v:shape>
            <v:shape id="docshape2748" o:spid="_x0000_s1284" style="position:absolute;left:4851;top:4941;width:362;height:1629" coordorigin="4851,4941" coordsize="362,1629" path="m5073,4941r139,1285l5108,6429r-257,141e" filled="f" strokecolor="#e6e7e8" strokeweight=".95533mm">
              <v:path arrowok="t"/>
            </v:shape>
            <v:shape id="docshape2749" o:spid="_x0000_s1283" style="position:absolute;left:4664;top:8135;width:19;height:239" coordorigin="4664,8135" coordsize="19,239" path="m4668,8373r,-1l4683,8269r-19,-134e" filled="f" strokecolor="#e6e7e8" strokeweight=".95533mm">
              <v:path arrowok="t"/>
            </v:shape>
            <v:line id="_x0000_s1282" style="position:absolute" from="5319,5233" to="5144,3748" strokecolor="#e6e7e8" strokeweight=".95533mm"/>
            <v:shape id="docshape2750" o:spid="_x0000_s1281" style="position:absolute;left:4957;top:4068;width:1423;height:855" coordorigin="4957,4069" coordsize="1423,855" path="m4957,4291r410,-28l5405,4924r319,-3l6142,4751r54,-524l6213,4116r25,-47l6288,4075r92,51e" filled="f" strokecolor="#e6e7e8" strokeweight=".95533mm">
              <v:path arrowok="t"/>
            </v:shape>
            <v:shape id="docshape2751" o:spid="_x0000_s1280" style="position:absolute;left:5031;top:4597;width:896;height:71" coordorigin="5032,4598" coordsize="896,71" path="m5032,4598r413,l5927,4668e" filled="f" strokecolor="#e6e7e8" strokeweight=".95533mm">
              <v:path arrowok="t"/>
            </v:shape>
            <v:shape id="docshape2752" o:spid="_x0000_s1279" style="position:absolute;left:5319;top:4100;width:875;height:155" coordorigin="5319,4101" coordsize="875,155" path="m5319,4101r387,41l5970,4227r223,28e" filled="f" strokecolor="#e6e7e8" strokeweight=".95533mm">
              <v:path arrowok="t"/>
            </v:shape>
            <v:shape id="docshape2753" o:spid="_x0000_s1278" style="position:absolute;left:5231;top:3305;width:136;height:959" coordorigin="5232,3305" coordsize="136,959" path="m5367,4263l5232,3539r114,-234e" filled="f" strokecolor="#e6e7e8" strokeweight=".95533mm">
              <v:path arrowok="t"/>
            </v:shape>
            <v:shape id="docshape2754" o:spid="_x0000_s1277" style="position:absolute;left:7774;top:5047;width:451;height:690" coordorigin="7774,5047" coordsize="451,690" path="m7865,5047r265,l8201,5061r24,18l8201,5112r-71,60l7978,5256r-59,150l7816,5531r-42,206e" filled="f" strokecolor="#e6e7e8" strokeweight=".95533mm">
              <v:path arrowok="t"/>
            </v:shape>
            <v:shape id="docshape2755" o:spid="_x0000_s1276" style="position:absolute;left:5711;top:6637;width:976;height:360" coordorigin="5712,6638" coordsize="976,360" path="m5712,6638r447,256l6327,6921r360,77e" filled="f" strokecolor="#e6e7e8" strokeweight=".95533mm">
              <v:path arrowok="t"/>
            </v:shape>
            <v:shape id="docshape2756" o:spid="_x0000_s1275" style="position:absolute;left:5642;top:6522;width:725;height:1133" coordorigin="5643,6523" coordsize="725,1133" path="m6367,6523l6115,7655,5643,7424e" filled="f" strokecolor="#e6e7e8" strokeweight=".95533mm">
              <v:path arrowok="t"/>
            </v:shape>
            <v:line id="_x0000_s1274" style="position:absolute" from="3910,7101" to="3830,6329" strokecolor="#e6e7e8" strokeweight=".95533mm"/>
            <v:shape id="docshape2757" o:spid="_x0000_s1273" style="position:absolute;left:3997;top:4920;width:364;height:504" coordorigin="3997,4921" coordsize="364,504" path="m3997,4921r84,267l4147,5329r82,63l4361,5425e" filled="f" strokecolor="#e6e7e8" strokeweight=".95533mm">
              <v:path arrowok="t"/>
            </v:shape>
            <v:line id="_x0000_s1272" style="position:absolute" from="4275,5829" to="4361,5756" strokecolor="#e6e7e8" strokeweight=".95533mm"/>
            <v:line id="_x0000_s1271" style="position:absolute" from="8033,7177" to="7914,7629" strokecolor="#e6e7e8" strokeweight=".95533mm"/>
            <v:shape id="docshape2758" o:spid="_x0000_s1270" style="position:absolute;left:8617;top:7122;width:237;height:460" coordorigin="8618,7122" coordsize="237,460" path="m8703,7122r152,125l8618,7581e" filled="f" strokecolor="#e6e7e8" strokeweight=".95533mm">
              <v:path arrowok="t"/>
            </v:shape>
            <v:shape id="docshape2759" o:spid="_x0000_s1269" style="position:absolute;left:1037;top:4045;width:184;height:488" coordorigin="1038,4045" coordsize="184,488" path="m1221,4045r-37,395l1038,4533e" filled="f" strokecolor="#e6e7e8" strokeweight=".93064mm">
              <v:path arrowok="t"/>
            </v:shape>
            <v:shape id="docshape2760" o:spid="_x0000_s1268" style="position:absolute;left:992;top:4512;width:426;height:57" coordorigin="992,4512" coordsize="426,57" path="m1418,4512r-201,57l992,4569e" filled="f" strokecolor="#e6e7e8" strokeweight=".95533mm">
              <v:path arrowok="t"/>
            </v:shape>
            <v:line id="_x0000_s1267" style="position:absolute" from="1038,3214" to="1073,3225" strokecolor="#e6e7e8" strokeweight=".93064mm"/>
            <v:shape id="docshape2761" o:spid="_x0000_s1266" style="position:absolute;left:6160;top:900;width:4;height:14" coordorigin="6160,901" coordsize="4,14" path="m6160,901r2,4l6164,914e" filled="f" strokecolor="#9c9c9d" strokeweight=".64136mm">
              <v:path arrowok="t"/>
            </v:shape>
            <v:shape id="docshape2762" o:spid="_x0000_s1265" style="position:absolute;left:6169;top:939;width:2;height:2" coordorigin="6170,940" coordsize="1,1" path="m6170,940r,e" filled="f" strokecolor="#9c9c9d" strokeweight=".64136mm">
              <v:path arrowok="t"/>
            </v:shape>
            <v:shape id="docshape2763" o:spid="_x0000_s1264" style="position:absolute;left:6169;top:940;width:901;height:6510" coordorigin="6170,940" coordsize="901,6510" path="m6170,940r21,96l6210,1130r21,117l6242,1313r11,72l6265,1461r11,82l6287,1629r11,91l6308,1816r10,100l6327,2020r8,108l6342,2240r6,116l6353,2475r3,123l6387,3047r11,256l6387,3465r-31,163l6214,3883r-36,146l6259,4120r208,91l6830,4270r172,96l7026,4566r-77,373l6876,5531r-37,318l6825,6004r-2,100l6758,6628r4,315l6858,7175r213,275e" filled="f" strokecolor="#9c9c9d" strokeweight=".64136mm">
              <v:stroke dashstyle="1 1"/>
              <v:path arrowok="t"/>
            </v:shape>
            <v:shape id="docshape2764" o:spid="_x0000_s1263" style="position:absolute;left:7070;top:7449;width:9;height:11" coordorigin="7071,7450" coordsize="9,11" path="m7071,7450r3,3l7077,7457r2,3e" filled="f" strokecolor="#9c9c9d" strokeweight=".64136mm">
              <v:path arrowok="t"/>
            </v:shape>
            <v:shape id="docshape2765" o:spid="_x0000_s1262" style="position:absolute;left:4854;top:5328;width:3044;height:450" coordorigin="4855,5328" coordsize="3044,450" path="m4855,5456r159,-65l5114,5370r82,21l5302,5456r218,90l5648,5580r88,-20l5834,5491r182,-115l6139,5328r122,13l6437,5405r773,177l7501,5647r168,42l7780,5726r118,52e" filled="f" strokecolor="#9c9c9d" strokeweight=".64136mm">
              <v:stroke dashstyle="1 1"/>
              <v:path arrowok="t"/>
            </v:shape>
            <v:shape id="docshape2766" o:spid="_x0000_s1261" style="position:absolute;left:6592;top:4768;width:380;height:752" coordorigin="6592,4768" coordsize="380,752" path="m6972,4768r-188,163l6688,5032r-35,81l6648,5215r-56,304e" filled="f" strokecolor="#9c9c9d" strokeweight=".64136mm">
              <v:stroke dashstyle="1 1"/>
              <v:path arrowok="t"/>
            </v:shape>
            <v:shape id="docshape2767" o:spid="_x0000_s1260" style="position:absolute;left:4788;top:4838;width:3075;height:985" coordorigin="4789,4838" coordsize="3075,985" path="m4980,4838r106,277l5108,5264r-73,72l4855,5381r-66,37l5151,5393r461,-44l5839,5326r924,251l7042,5613r235,65l7440,5740r61,28l7600,5809r120,14l7821,5821r42,-3e" filled="f" strokecolor="#9c9c9d" strokeweight=".64136mm">
              <v:stroke dashstyle="1 1"/>
              <v:path arrowok="t"/>
            </v:shape>
            <v:shape id="docshape2768" o:spid="_x0000_s1259" style="position:absolute;left:1019;top:6643;width:4656;height:916" coordorigin="1019,6643" coordsize="4656,916" path="m1019,7559r474,-106l1756,7392r145,-41l2024,7306r359,-99l2595,7157r149,-18l2914,7138r397,-7l3526,7125r111,-5l3717,7111r569,-27l4594,7067r153,-15l4851,7032r471,-389l5675,6866e" filled="f" strokecolor="#b2b1b3" strokeweight="1.68522mm">
              <v:path arrowok="t"/>
            </v:shape>
            <v:shape id="docshape2769" o:spid="_x0000_s1258" style="position:absolute;left:2871;top:7103;width:1002;height:1271" coordorigin="2871,7103" coordsize="1002,1271" path="m2871,8373r70,-71l3064,8136r161,-212l3321,7811r72,-51l3479,7733r121,-51l3667,7640r37,-57l3735,7490r138,-387e" filled="f" strokecolor="#b2b1b3" strokeweight="1.68522mm">
              <v:path arrowok="t"/>
            </v:shape>
            <v:shape id="docshape2770" o:spid="_x0000_s1257" style="position:absolute;left:992;top:4435;width:3909;height:1223" coordorigin="992,4435" coordsize="3909,1223" path="m992,4953r72,-54l1135,4847r72,-50l1279,4749r69,-45l1415,4664r62,-33l1729,4491r170,-56l2065,4455r239,86l2978,4746r117,46l3161,4821r74,52l3285,4923r42,22l3385,4943r96,-22l3575,4904r59,19l3681,4999r61,157l3921,5495r79,118l4064,5658r84,-24l4286,5547r261,-79l4698,5429r98,-8l4900,5432e" filled="f" strokecolor="#b2b1b3" strokeweight="1.68522mm">
              <v:path arrowok="t"/>
            </v:shape>
            <v:shape id="docshape2771" o:spid="_x0000_s1256" style="position:absolute;left:992;top:4153;width:446;height:498" coordorigin="992,4154" coordsize="446,498" path="m992,4154r10,7l1052,4179r67,8l1300,4252r93,69l1429,4440r8,212e" filled="f" strokecolor="#b2b1b3" strokeweight="1.68522mm">
              <v:path arrowok="t"/>
            </v:shape>
            <v:shape id="docshape2772" o:spid="_x0000_s1255" style="position:absolute;left:5290;top:152;width:2090;height:8221" coordorigin="5290,153" coordsize="2090,8221" path="m5949,153r-2,42l5974,353r70,208l6216,966r70,240l6267,1375r-96,191l5429,2997r-115,173l5290,3265r80,49l5567,3351r431,29l6223,3400r90,22l6342,3455r37,17l6389,3507r-20,80l6316,3738r-77,158l6231,3995r78,81l6487,4182r360,90l7016,4377r23,184l6960,4893r-89,585l6765,6245r-28,434l6792,6941r146,251l7215,7824r137,368l7380,8373e" filled="f" strokecolor="#b2b1b3" strokeweight="1.68522mm">
              <v:path arrowok="t"/>
            </v:shape>
            <v:shape id="docshape2773" o:spid="_x0000_s1254" style="position:absolute;left:7038;top:7387;width:3524;height:787" coordorigin="7038,7388" coordsize="3524,787" path="m10562,7972r-323,-93l10048,7855r-138,53l9751,8043r-176,100l9462,8175r-99,-39l9229,8024,9043,7919r-116,-42l8833,7895r-122,70l8481,8003r-146,-16l8212,7894,8048,7697,7665,7490r-233,-95l7255,7388r-217,56e" filled="f" strokecolor="#b2b1b3" strokeweight="1.68522mm">
              <v:path arrowok="t"/>
            </v:shape>
            <v:shape id="docshape2774" o:spid="_x0000_s1253" style="position:absolute;left:6865;top:5504;width:3020;height:2431" coordorigin="6865,5505" coordsize="3020,2431" path="m9885,7935l9512,6344r-30,-75l9411,6213r-74,-7l9260,6196r-50,-20l9163,6132r-64,-82l8952,5832r-130,-89l8633,5768r-320,125l7902,5885r-222,-16l7570,5834r-73,-67l7242,5594r-151,-80l6985,5505r-120,41e" filled="f" strokecolor="#b2b1b3" strokeweight="1.68522mm">
              <v:path arrowok="t"/>
            </v:shape>
            <v:shape id="docshape2775" o:spid="_x0000_s1252" style="position:absolute;left:6783;top:7432;width:306;height:942" coordorigin="6784,7432" coordsize="306,942" path="m6784,8373r149,-909l7089,7432e" filled="f" strokecolor="#b2b1b3" strokeweight="1.68522mm">
              <v:path arrowok="t"/>
            </v:shape>
            <v:shape id="docshape2776" o:spid="_x0000_s1251" style="position:absolute;left:3412;top:5399;width:988;height:2975" coordorigin="3412,5399" coordsize="988,2975" path="m3412,8373r505,-206l4195,8109r142,-78l4391,7879r8,-280l4381,7075,3562,5399e" filled="f" strokecolor="#b2b1b3" strokeweight="1.68522mm">
              <v:path arrowok="t"/>
            </v:shape>
            <v:shape id="docshape2777" o:spid="_x0000_s1250" type="#_x0000_t75" style="position:absolute;left:3739;top:1692;width:3515;height:5140">
              <v:imagedata r:id="rId240" o:title=""/>
            </v:shape>
            <v:shape id="docshape2778" o:spid="_x0000_s1249" type="#_x0000_t202" style="position:absolute;left:1221;top:288;width:5426;height:215" filled="f" stroked="f">
              <v:textbox inset="0,0,0,0">
                <w:txbxContent>
                  <w:p w:rsidR="00F22F94" w:rsidRDefault="00F22F94">
                    <w:pPr>
                      <w:spacing w:before="6"/>
                      <w:rPr>
                        <w:b/>
                        <w:sz w:val="18"/>
                      </w:rPr>
                    </w:pPr>
                    <w:r>
                      <w:rPr>
                        <w:b/>
                        <w:sz w:val="18"/>
                      </w:rPr>
                      <w:t>Figure</w:t>
                    </w:r>
                    <w:r>
                      <w:rPr>
                        <w:b/>
                        <w:spacing w:val="-12"/>
                        <w:sz w:val="18"/>
                      </w:rPr>
                      <w:t xml:space="preserve"> </w:t>
                    </w:r>
                    <w:r>
                      <w:rPr>
                        <w:b/>
                        <w:sz w:val="18"/>
                      </w:rPr>
                      <w:t>14.7</w:t>
                    </w:r>
                    <w:r>
                      <w:rPr>
                        <w:b/>
                        <w:spacing w:val="31"/>
                        <w:sz w:val="18"/>
                      </w:rPr>
                      <w:t xml:space="preserve"> </w:t>
                    </w:r>
                    <w:r>
                      <w:rPr>
                        <w:b/>
                        <w:sz w:val="18"/>
                      </w:rPr>
                      <w:t>Cultural</w:t>
                    </w:r>
                    <w:r>
                      <w:rPr>
                        <w:b/>
                        <w:spacing w:val="-10"/>
                        <w:sz w:val="18"/>
                      </w:rPr>
                      <w:t xml:space="preserve"> </w:t>
                    </w:r>
                    <w:r>
                      <w:rPr>
                        <w:b/>
                        <w:sz w:val="18"/>
                      </w:rPr>
                      <w:t>venues</w:t>
                    </w:r>
                    <w:r>
                      <w:rPr>
                        <w:b/>
                        <w:spacing w:val="-10"/>
                        <w:sz w:val="18"/>
                      </w:rPr>
                      <w:t xml:space="preserve"> </w:t>
                    </w:r>
                    <w:r>
                      <w:rPr>
                        <w:b/>
                        <w:sz w:val="18"/>
                      </w:rPr>
                      <w:t>around</w:t>
                    </w:r>
                    <w:r>
                      <w:rPr>
                        <w:b/>
                        <w:spacing w:val="-9"/>
                        <w:sz w:val="18"/>
                      </w:rPr>
                      <w:t xml:space="preserve"> </w:t>
                    </w:r>
                    <w:r>
                      <w:rPr>
                        <w:b/>
                        <w:sz w:val="18"/>
                      </w:rPr>
                      <w:t>Sydney’s</w:t>
                    </w:r>
                    <w:r>
                      <w:rPr>
                        <w:b/>
                        <w:spacing w:val="-10"/>
                        <w:sz w:val="18"/>
                      </w:rPr>
                      <w:t xml:space="preserve"> </w:t>
                    </w:r>
                    <w:r>
                      <w:rPr>
                        <w:b/>
                        <w:sz w:val="18"/>
                      </w:rPr>
                      <w:t>Harbour</w:t>
                    </w:r>
                    <w:r>
                      <w:rPr>
                        <w:b/>
                        <w:spacing w:val="-10"/>
                        <w:sz w:val="18"/>
                      </w:rPr>
                      <w:t xml:space="preserve"> </w:t>
                    </w:r>
                    <w:r>
                      <w:rPr>
                        <w:b/>
                        <w:sz w:val="18"/>
                      </w:rPr>
                      <w:t>and</w:t>
                    </w:r>
                    <w:r>
                      <w:rPr>
                        <w:b/>
                        <w:spacing w:val="-9"/>
                        <w:sz w:val="18"/>
                      </w:rPr>
                      <w:t xml:space="preserve"> </w:t>
                    </w:r>
                    <w:r>
                      <w:rPr>
                        <w:b/>
                        <w:spacing w:val="-5"/>
                        <w:sz w:val="18"/>
                      </w:rPr>
                      <w:t>CBD</w:t>
                    </w:r>
                  </w:p>
                </w:txbxContent>
              </v:textbox>
            </v:shape>
            <v:shape id="docshape2779" o:spid="_x0000_s1248" type="#_x0000_t202" style="position:absolute;left:4849;top:698;width:609;height:164" filled="f" stroked="f">
              <v:textbox inset="0,0,0,0">
                <w:txbxContent>
                  <w:p w:rsidR="00F22F94" w:rsidRDefault="00F22F94">
                    <w:pPr>
                      <w:spacing w:before="2"/>
                      <w:rPr>
                        <w:sz w:val="14"/>
                      </w:rPr>
                    </w:pPr>
                    <w:r>
                      <w:rPr>
                        <w:color w:val="2E3092"/>
                        <w:spacing w:val="-2"/>
                        <w:w w:val="85"/>
                        <w:sz w:val="14"/>
                      </w:rPr>
                      <w:t>McMahons</w:t>
                    </w:r>
                  </w:p>
                </w:txbxContent>
              </v:textbox>
            </v:shape>
            <v:shape id="docshape2780" o:spid="_x0000_s1247" type="#_x0000_t202" style="position:absolute;left:5658;top:626;width:1577;height:164" filled="f" stroked="f">
              <v:textbox inset="0,0,0,0">
                <w:txbxContent>
                  <w:p w:rsidR="00F22F94" w:rsidRDefault="00F22F94">
                    <w:pPr>
                      <w:tabs>
                        <w:tab w:val="left" w:pos="923"/>
                      </w:tabs>
                      <w:spacing w:before="2"/>
                      <w:rPr>
                        <w:sz w:val="14"/>
                      </w:rPr>
                    </w:pPr>
                    <w:r>
                      <w:rPr>
                        <w:color w:val="2E3092"/>
                        <w:w w:val="85"/>
                        <w:sz w:val="14"/>
                      </w:rPr>
                      <w:t>North</w:t>
                    </w:r>
                    <w:r>
                      <w:rPr>
                        <w:color w:val="2E3092"/>
                        <w:spacing w:val="-1"/>
                        <w:w w:val="95"/>
                        <w:sz w:val="14"/>
                      </w:rPr>
                      <w:t xml:space="preserve"> </w:t>
                    </w:r>
                    <w:r>
                      <w:rPr>
                        <w:color w:val="2E3092"/>
                        <w:spacing w:val="-2"/>
                        <w:w w:val="95"/>
                        <w:sz w:val="14"/>
                      </w:rPr>
                      <w:t>Sydney</w:t>
                    </w:r>
                    <w:r>
                      <w:rPr>
                        <w:color w:val="2E3092"/>
                        <w:sz w:val="14"/>
                      </w:rPr>
                      <w:tab/>
                    </w:r>
                    <w:r>
                      <w:rPr>
                        <w:color w:val="2E3092"/>
                        <w:w w:val="85"/>
                        <w:sz w:val="14"/>
                      </w:rPr>
                      <w:t>Milson</w:t>
                    </w:r>
                    <w:r>
                      <w:rPr>
                        <w:color w:val="2E3092"/>
                        <w:spacing w:val="2"/>
                        <w:sz w:val="14"/>
                      </w:rPr>
                      <w:t xml:space="preserve"> </w:t>
                    </w:r>
                    <w:r>
                      <w:rPr>
                        <w:color w:val="2E3092"/>
                        <w:spacing w:val="-4"/>
                        <w:w w:val="90"/>
                        <w:sz w:val="14"/>
                      </w:rPr>
                      <w:t>Park</w:t>
                    </w:r>
                  </w:p>
                </w:txbxContent>
              </v:textbox>
            </v:shape>
            <v:shape id="docshape2781" o:spid="_x0000_s1246" type="#_x0000_t202" style="position:absolute;left:5007;top:838;width:293;height:164" filled="f" stroked="f">
              <v:textbox inset="0,0,0,0">
                <w:txbxContent>
                  <w:p w:rsidR="00F22F94" w:rsidRDefault="00F22F94">
                    <w:pPr>
                      <w:spacing w:before="2"/>
                      <w:rPr>
                        <w:sz w:val="14"/>
                      </w:rPr>
                    </w:pPr>
                    <w:r>
                      <w:rPr>
                        <w:color w:val="2E3092"/>
                        <w:spacing w:val="-2"/>
                        <w:w w:val="90"/>
                        <w:sz w:val="14"/>
                      </w:rPr>
                      <w:t>Point</w:t>
                    </w:r>
                  </w:p>
                </w:txbxContent>
              </v:textbox>
            </v:shape>
            <v:shape id="docshape2782" o:spid="_x0000_s1245" type="#_x0000_t202" style="position:absolute;left:1478;top:968;width:568;height:299" filled="f" stroked="f">
              <v:textbox inset="0,0,0,0">
                <w:txbxContent>
                  <w:p w:rsidR="00F22F94" w:rsidRDefault="00F22F94">
                    <w:pPr>
                      <w:spacing w:before="15" w:line="208" w:lineRule="auto"/>
                      <w:ind w:left="150" w:hanging="151"/>
                      <w:rPr>
                        <w:sz w:val="14"/>
                      </w:rPr>
                    </w:pPr>
                    <w:r>
                      <w:rPr>
                        <w:color w:val="2E3092"/>
                        <w:spacing w:val="-2"/>
                        <w:w w:val="75"/>
                        <w:sz w:val="14"/>
                      </w:rPr>
                      <w:t>Parramatta</w:t>
                    </w:r>
                    <w:r>
                      <w:rPr>
                        <w:color w:val="2E3092"/>
                        <w:spacing w:val="40"/>
                        <w:sz w:val="14"/>
                      </w:rPr>
                      <w:t xml:space="preserve"> </w:t>
                    </w:r>
                    <w:r>
                      <w:rPr>
                        <w:color w:val="2E3092"/>
                        <w:spacing w:val="-2"/>
                        <w:w w:val="85"/>
                        <w:sz w:val="14"/>
                      </w:rPr>
                      <w:t>River</w:t>
                    </w:r>
                  </w:p>
                </w:txbxContent>
              </v:textbox>
            </v:shape>
            <v:shape id="docshape2783" o:spid="_x0000_s1244" type="#_x0000_t202" style="position:absolute;left:4008;top:968;width:552;height:159" filled="f" stroked="f">
              <v:textbox inset="0,0,0,0">
                <w:txbxContent>
                  <w:p w:rsidR="00F22F94" w:rsidRDefault="00F22F94">
                    <w:pPr>
                      <w:spacing w:line="158" w:lineRule="exact"/>
                      <w:rPr>
                        <w:sz w:val="14"/>
                      </w:rPr>
                    </w:pPr>
                    <w:r>
                      <w:rPr>
                        <w:color w:val="2E3092"/>
                        <w:w w:val="75"/>
                        <w:sz w:val="14"/>
                      </w:rPr>
                      <w:t>Berrys</w:t>
                    </w:r>
                    <w:r>
                      <w:rPr>
                        <w:color w:val="2E3092"/>
                        <w:spacing w:val="3"/>
                        <w:sz w:val="14"/>
                      </w:rPr>
                      <w:t xml:space="preserve"> </w:t>
                    </w:r>
                    <w:r>
                      <w:rPr>
                        <w:color w:val="2E3092"/>
                        <w:spacing w:val="-5"/>
                        <w:w w:val="80"/>
                        <w:sz w:val="14"/>
                      </w:rPr>
                      <w:t>Bay</w:t>
                    </w:r>
                  </w:p>
                </w:txbxContent>
              </v:textbox>
            </v:shape>
            <v:shape id="docshape2784" o:spid="_x0000_s1243" type="#_x0000_t202" style="position:absolute;left:5350;top:968;width:1129;height:330" filled="f" stroked="f">
              <v:textbox inset="0,0,0,0">
                <w:txbxContent>
                  <w:p w:rsidR="00F22F94" w:rsidRDefault="00F22F94">
                    <w:pPr>
                      <w:spacing w:line="149" w:lineRule="exact"/>
                      <w:rPr>
                        <w:sz w:val="14"/>
                      </w:rPr>
                    </w:pPr>
                    <w:r>
                      <w:rPr>
                        <w:color w:val="2E3092"/>
                        <w:spacing w:val="-2"/>
                        <w:w w:val="85"/>
                        <w:sz w:val="14"/>
                      </w:rPr>
                      <w:t>Lavender</w:t>
                    </w:r>
                  </w:p>
                  <w:p w:rsidR="00F22F94" w:rsidRDefault="00F22F94">
                    <w:pPr>
                      <w:tabs>
                        <w:tab w:val="left" w:pos="693"/>
                      </w:tabs>
                      <w:spacing w:line="180" w:lineRule="exact"/>
                      <w:ind w:left="136"/>
                      <w:rPr>
                        <w:sz w:val="14"/>
                      </w:rPr>
                    </w:pPr>
                    <w:r>
                      <w:rPr>
                        <w:color w:val="2E3092"/>
                        <w:spacing w:val="-5"/>
                        <w:position w:val="3"/>
                        <w:sz w:val="14"/>
                      </w:rPr>
                      <w:t>Bay</w:t>
                    </w:r>
                    <w:r>
                      <w:rPr>
                        <w:color w:val="2E3092"/>
                        <w:position w:val="3"/>
                        <w:sz w:val="14"/>
                      </w:rPr>
                      <w:tab/>
                    </w:r>
                    <w:r>
                      <w:rPr>
                        <w:color w:val="2E3092"/>
                        <w:spacing w:val="-2"/>
                        <w:w w:val="95"/>
                        <w:sz w:val="14"/>
                      </w:rPr>
                      <w:t>Kirribilli</w:t>
                    </w:r>
                  </w:p>
                </w:txbxContent>
              </v:textbox>
            </v:shape>
            <v:shape id="docshape2785" o:spid="_x0000_s1242" type="#_x0000_t202" style="position:absolute;left:8270;top:696;width:886;height:741" filled="f" stroked="f">
              <v:textbox inset="0,0,0,0">
                <w:txbxContent>
                  <w:p w:rsidR="00F22F94" w:rsidRDefault="00F22F94">
                    <w:pPr>
                      <w:spacing w:before="15" w:line="208" w:lineRule="auto"/>
                      <w:ind w:left="560" w:right="12" w:hanging="124"/>
                      <w:rPr>
                        <w:sz w:val="14"/>
                      </w:rPr>
                    </w:pPr>
                    <w:r>
                      <w:rPr>
                        <w:color w:val="2E3092"/>
                        <w:spacing w:val="-2"/>
                        <w:w w:val="80"/>
                        <w:sz w:val="14"/>
                      </w:rPr>
                      <w:t>Mosman</w:t>
                    </w:r>
                    <w:r>
                      <w:rPr>
                        <w:color w:val="2E3092"/>
                        <w:spacing w:val="40"/>
                        <w:sz w:val="14"/>
                      </w:rPr>
                      <w:t xml:space="preserve"> </w:t>
                    </w:r>
                    <w:r>
                      <w:rPr>
                        <w:color w:val="2E3092"/>
                        <w:spacing w:val="-4"/>
                        <w:w w:val="85"/>
                        <w:sz w:val="14"/>
                      </w:rPr>
                      <w:t>Bay</w:t>
                    </w:r>
                  </w:p>
                  <w:p w:rsidR="00F22F94" w:rsidRDefault="00F22F94">
                    <w:pPr>
                      <w:rPr>
                        <w:sz w:val="14"/>
                      </w:rPr>
                    </w:pPr>
                  </w:p>
                  <w:p w:rsidR="00F22F94" w:rsidRDefault="00F22F94">
                    <w:pPr>
                      <w:spacing w:line="208" w:lineRule="auto"/>
                      <w:ind w:left="127" w:right="353" w:hanging="128"/>
                      <w:rPr>
                        <w:sz w:val="14"/>
                      </w:rPr>
                    </w:pPr>
                    <w:r>
                      <w:rPr>
                        <w:color w:val="2E3092"/>
                        <w:spacing w:val="-2"/>
                        <w:w w:val="85"/>
                        <w:sz w:val="14"/>
                      </w:rPr>
                      <w:t>Cremorne</w:t>
                    </w:r>
                    <w:r>
                      <w:rPr>
                        <w:color w:val="2E3092"/>
                        <w:spacing w:val="40"/>
                        <w:sz w:val="14"/>
                      </w:rPr>
                      <w:t xml:space="preserve"> </w:t>
                    </w:r>
                    <w:r>
                      <w:rPr>
                        <w:color w:val="2E3092"/>
                        <w:spacing w:val="-4"/>
                        <w:w w:val="95"/>
                        <w:sz w:val="14"/>
                      </w:rPr>
                      <w:t>Point</w:t>
                    </w:r>
                  </w:p>
                </w:txbxContent>
              </v:textbox>
            </v:shape>
            <v:shape id="docshape2786" o:spid="_x0000_s1241" type="#_x0000_t202" style="position:absolute;left:3889;top:1717;width:465;height:304" filled="f" stroked="f">
              <v:textbox inset="0,0,0,0">
                <w:txbxContent>
                  <w:p w:rsidR="00F22F94" w:rsidRDefault="00F22F94">
                    <w:pPr>
                      <w:spacing w:before="19" w:line="208" w:lineRule="auto"/>
                      <w:ind w:firstLine="113"/>
                      <w:rPr>
                        <w:sz w:val="14"/>
                      </w:rPr>
                    </w:pPr>
                    <w:r>
                      <w:rPr>
                        <w:color w:val="2E3092"/>
                        <w:spacing w:val="-4"/>
                        <w:w w:val="95"/>
                        <w:sz w:val="14"/>
                      </w:rPr>
                      <w:t>Port</w:t>
                    </w:r>
                    <w:r>
                      <w:rPr>
                        <w:color w:val="2E3092"/>
                        <w:spacing w:val="40"/>
                        <w:sz w:val="14"/>
                      </w:rPr>
                      <w:t xml:space="preserve"> </w:t>
                    </w:r>
                    <w:r>
                      <w:rPr>
                        <w:color w:val="2E3092"/>
                        <w:spacing w:val="-2"/>
                        <w:w w:val="85"/>
                        <w:sz w:val="14"/>
                      </w:rPr>
                      <w:t>Jackson</w:t>
                    </w:r>
                  </w:p>
                </w:txbxContent>
              </v:textbox>
            </v:shape>
            <v:shape id="docshape2787" o:spid="_x0000_s1240" type="#_x0000_t202" style="position:absolute;left:1803;top:2018;width:599;height:164" filled="f" stroked="f">
              <v:textbox inset="0,0,0,0">
                <w:txbxContent>
                  <w:p w:rsidR="00F22F94" w:rsidRDefault="00F22F94">
                    <w:pPr>
                      <w:spacing w:before="2"/>
                      <w:rPr>
                        <w:sz w:val="14"/>
                      </w:rPr>
                    </w:pPr>
                    <w:r>
                      <w:rPr>
                        <w:color w:val="2E3092"/>
                        <w:spacing w:val="-2"/>
                        <w:w w:val="85"/>
                        <w:sz w:val="14"/>
                      </w:rPr>
                      <w:t>Birchgrove</w:t>
                    </w:r>
                  </w:p>
                </w:txbxContent>
              </v:textbox>
            </v:shape>
            <v:shape id="docshape2788" o:spid="_x0000_s1239" type="#_x0000_t202" style="position:absolute;left:2968;top:2237;width:464;height:159" filled="f" stroked="f">
              <v:textbox inset="0,0,0,0">
                <w:txbxContent>
                  <w:p w:rsidR="00F22F94" w:rsidRDefault="00F22F94">
                    <w:pPr>
                      <w:spacing w:line="158" w:lineRule="exact"/>
                      <w:rPr>
                        <w:sz w:val="14"/>
                      </w:rPr>
                    </w:pPr>
                    <w:r>
                      <w:rPr>
                        <w:color w:val="2E3092"/>
                        <w:w w:val="80"/>
                        <w:sz w:val="14"/>
                      </w:rPr>
                      <w:t>Mort</w:t>
                    </w:r>
                    <w:r>
                      <w:rPr>
                        <w:color w:val="2E3092"/>
                        <w:spacing w:val="-4"/>
                        <w:sz w:val="14"/>
                      </w:rPr>
                      <w:t xml:space="preserve"> </w:t>
                    </w:r>
                    <w:r>
                      <w:rPr>
                        <w:color w:val="2E3092"/>
                        <w:spacing w:val="-5"/>
                        <w:w w:val="80"/>
                        <w:sz w:val="14"/>
                      </w:rPr>
                      <w:t>Bay</w:t>
                    </w:r>
                  </w:p>
                </w:txbxContent>
              </v:textbox>
            </v:shape>
            <v:shape id="docshape2789" o:spid="_x0000_s1238" type="#_x0000_t202" style="position:absolute;left:5329;top:2150;width:689;height:164" filled="f" stroked="f">
              <v:textbox inset="0,0,0,0">
                <w:txbxContent>
                  <w:p w:rsidR="00F22F94" w:rsidRDefault="00F22F94">
                    <w:pPr>
                      <w:spacing w:before="2"/>
                      <w:rPr>
                        <w:sz w:val="14"/>
                      </w:rPr>
                    </w:pPr>
                    <w:r>
                      <w:rPr>
                        <w:color w:val="2E3092"/>
                        <w:w w:val="80"/>
                        <w:sz w:val="14"/>
                      </w:rPr>
                      <w:t>Dawes</w:t>
                    </w:r>
                    <w:r>
                      <w:rPr>
                        <w:color w:val="2E3092"/>
                        <w:spacing w:val="11"/>
                        <w:sz w:val="14"/>
                      </w:rPr>
                      <w:t xml:space="preserve"> </w:t>
                    </w:r>
                    <w:r>
                      <w:rPr>
                        <w:color w:val="2E3092"/>
                        <w:spacing w:val="-2"/>
                        <w:w w:val="90"/>
                        <w:sz w:val="14"/>
                      </w:rPr>
                      <w:t>Point</w:t>
                    </w:r>
                  </w:p>
                </w:txbxContent>
              </v:textbox>
            </v:shape>
            <v:shape id="docshape2790" o:spid="_x0000_s1237" type="#_x0000_t202" style="position:absolute;left:4487;top:2492;width:536;height:159" filled="f" stroked="f">
              <v:textbox inset="0,0,0,0">
                <w:txbxContent>
                  <w:p w:rsidR="00F22F94" w:rsidRDefault="00F22F94">
                    <w:pPr>
                      <w:spacing w:line="158" w:lineRule="exact"/>
                      <w:rPr>
                        <w:sz w:val="14"/>
                      </w:rPr>
                    </w:pPr>
                    <w:r>
                      <w:rPr>
                        <w:color w:val="EC008C"/>
                        <w:w w:val="75"/>
                        <w:sz w:val="14"/>
                      </w:rPr>
                      <w:t>Walsh</w:t>
                    </w:r>
                    <w:r>
                      <w:rPr>
                        <w:color w:val="EC008C"/>
                        <w:sz w:val="14"/>
                      </w:rPr>
                      <w:t xml:space="preserve"> </w:t>
                    </w:r>
                    <w:r>
                      <w:rPr>
                        <w:color w:val="EC008C"/>
                        <w:spacing w:val="-5"/>
                        <w:w w:val="85"/>
                        <w:sz w:val="14"/>
                      </w:rPr>
                      <w:t>Bay</w:t>
                    </w:r>
                  </w:p>
                </w:txbxContent>
              </v:textbox>
            </v:shape>
            <v:shape id="docshape2791" o:spid="_x0000_s1236" type="#_x0000_t202" style="position:absolute;left:1874;top:2746;width:458;height:164" filled="f" stroked="f">
              <v:textbox inset="0,0,0,0">
                <w:txbxContent>
                  <w:p w:rsidR="00F22F94" w:rsidRDefault="00F22F94">
                    <w:pPr>
                      <w:spacing w:before="2"/>
                      <w:rPr>
                        <w:sz w:val="14"/>
                      </w:rPr>
                    </w:pPr>
                    <w:r>
                      <w:rPr>
                        <w:color w:val="2E3092"/>
                        <w:spacing w:val="-2"/>
                        <w:w w:val="90"/>
                        <w:sz w:val="14"/>
                      </w:rPr>
                      <w:t>Balmain</w:t>
                    </w:r>
                  </w:p>
                </w:txbxContent>
              </v:textbox>
            </v:shape>
            <v:shape id="docshape2792" o:spid="_x0000_s1235" type="#_x0000_t202" style="position:absolute;left:3489;top:2657;width:458;height:304" filled="f" stroked="f">
              <v:textbox inset="0,0,0,0">
                <w:txbxContent>
                  <w:p w:rsidR="00F22F94" w:rsidRDefault="00F22F94">
                    <w:pPr>
                      <w:spacing w:before="19" w:line="208" w:lineRule="auto"/>
                      <w:ind w:left="103" w:hanging="104"/>
                      <w:rPr>
                        <w:sz w:val="14"/>
                      </w:rPr>
                    </w:pPr>
                    <w:r>
                      <w:rPr>
                        <w:color w:val="2E3092"/>
                        <w:spacing w:val="-2"/>
                        <w:w w:val="85"/>
                        <w:sz w:val="14"/>
                      </w:rPr>
                      <w:t>Balmain</w:t>
                    </w:r>
                    <w:r>
                      <w:rPr>
                        <w:color w:val="2E3092"/>
                        <w:spacing w:val="40"/>
                        <w:sz w:val="14"/>
                      </w:rPr>
                      <w:t xml:space="preserve"> </w:t>
                    </w:r>
                    <w:r>
                      <w:rPr>
                        <w:color w:val="2E3092"/>
                        <w:spacing w:val="-4"/>
                        <w:w w:val="95"/>
                        <w:sz w:val="14"/>
                      </w:rPr>
                      <w:t>East</w:t>
                    </w:r>
                  </w:p>
                </w:txbxContent>
              </v:textbox>
            </v:shape>
            <v:shape id="docshape2793" o:spid="_x0000_s1234" type="#_x0000_t202" style="position:absolute;left:5236;top:2677;width:924;height:197" filled="f" stroked="f">
              <v:textbox inset="0,0,0,0">
                <w:txbxContent>
                  <w:p w:rsidR="00F22F94" w:rsidRDefault="00F22F94">
                    <w:pPr>
                      <w:spacing w:before="10" w:line="218" w:lineRule="auto"/>
                      <w:rPr>
                        <w:sz w:val="14"/>
                      </w:rPr>
                    </w:pPr>
                    <w:r>
                      <w:rPr>
                        <w:color w:val="2E3092"/>
                        <w:w w:val="85"/>
                        <w:sz w:val="14"/>
                      </w:rPr>
                      <w:t>The</w:t>
                    </w:r>
                    <w:r>
                      <w:rPr>
                        <w:color w:val="2E3092"/>
                        <w:spacing w:val="-4"/>
                        <w:w w:val="85"/>
                        <w:sz w:val="14"/>
                      </w:rPr>
                      <w:t xml:space="preserve"> </w:t>
                    </w:r>
                    <w:r>
                      <w:rPr>
                        <w:color w:val="2E3092"/>
                        <w:w w:val="85"/>
                        <w:sz w:val="14"/>
                      </w:rPr>
                      <w:t>Rocks</w:t>
                    </w:r>
                    <w:r>
                      <w:rPr>
                        <w:color w:val="2E3092"/>
                        <w:spacing w:val="50"/>
                        <w:sz w:val="14"/>
                      </w:rPr>
                      <w:t xml:space="preserve"> </w:t>
                    </w:r>
                    <w:r>
                      <w:rPr>
                        <w:color w:val="2E3092"/>
                        <w:spacing w:val="-4"/>
                        <w:w w:val="80"/>
                        <w:position w:val="-3"/>
                        <w:sz w:val="14"/>
                      </w:rPr>
                      <w:t>Cove</w:t>
                    </w:r>
                  </w:p>
                </w:txbxContent>
              </v:textbox>
            </v:shape>
            <v:shape id="docshape2794" o:spid="_x0000_s1233" type="#_x0000_t202" style="position:absolute;left:5841;top:2576;width:375;height:159" filled="f" stroked="f">
              <v:textbox inset="0,0,0,0">
                <w:txbxContent>
                  <w:p w:rsidR="00F22F94" w:rsidRDefault="00F22F94">
                    <w:pPr>
                      <w:spacing w:line="158" w:lineRule="exact"/>
                      <w:rPr>
                        <w:sz w:val="14"/>
                      </w:rPr>
                    </w:pPr>
                    <w:r>
                      <w:rPr>
                        <w:color w:val="2E3092"/>
                        <w:spacing w:val="-2"/>
                        <w:w w:val="80"/>
                        <w:sz w:val="14"/>
                      </w:rPr>
                      <w:t>Sydney</w:t>
                    </w:r>
                  </w:p>
                </w:txbxContent>
              </v:textbox>
            </v:shape>
            <v:shape id="docshape2795" o:spid="_x0000_s1232" type="#_x0000_t202" style="position:absolute;left:6326;top:2732;width:661;height:299" filled="f" stroked="f">
              <v:textbox inset="0,0,0,0">
                <w:txbxContent>
                  <w:p w:rsidR="00F22F94" w:rsidRDefault="00F22F94">
                    <w:pPr>
                      <w:spacing w:before="15" w:line="208" w:lineRule="auto"/>
                      <w:ind w:right="16" w:firstLine="142"/>
                      <w:rPr>
                        <w:sz w:val="14"/>
                      </w:rPr>
                    </w:pPr>
                    <w:r>
                      <w:rPr>
                        <w:color w:val="EC008C"/>
                        <w:spacing w:val="-2"/>
                        <w:w w:val="85"/>
                        <w:sz w:val="14"/>
                      </w:rPr>
                      <w:t>Sydney</w:t>
                    </w:r>
                    <w:r>
                      <w:rPr>
                        <w:color w:val="EC008C"/>
                        <w:spacing w:val="40"/>
                        <w:sz w:val="14"/>
                      </w:rPr>
                      <w:t xml:space="preserve"> </w:t>
                    </w:r>
                    <w:r>
                      <w:rPr>
                        <w:color w:val="EC008C"/>
                        <w:w w:val="75"/>
                        <w:sz w:val="14"/>
                      </w:rPr>
                      <w:t>Opera House</w:t>
                    </w:r>
                  </w:p>
                </w:txbxContent>
              </v:textbox>
            </v:shape>
            <v:shape id="docshape2796" o:spid="_x0000_s1231" type="#_x0000_t202" style="position:absolute;left:3935;top:3182;width:1138;height:354" filled="f" stroked="f">
              <v:textbox inset="0,0,0,0">
                <w:txbxContent>
                  <w:p w:rsidR="00F22F94" w:rsidRDefault="00F22F94">
                    <w:pPr>
                      <w:spacing w:before="2"/>
                      <w:ind w:left="495"/>
                      <w:rPr>
                        <w:sz w:val="14"/>
                      </w:rPr>
                    </w:pPr>
                    <w:r>
                      <w:rPr>
                        <w:color w:val="2E3092"/>
                        <w:spacing w:val="-2"/>
                        <w:w w:val="85"/>
                        <w:sz w:val="14"/>
                      </w:rPr>
                      <w:t>Barangaroo</w:t>
                    </w:r>
                  </w:p>
                  <w:p w:rsidR="00F22F94" w:rsidRDefault="00F22F94">
                    <w:pPr>
                      <w:spacing w:before="30" w:line="160" w:lineRule="exact"/>
                      <w:rPr>
                        <w:sz w:val="14"/>
                      </w:rPr>
                    </w:pPr>
                    <w:r>
                      <w:rPr>
                        <w:color w:val="2E3092"/>
                        <w:w w:val="75"/>
                        <w:sz w:val="14"/>
                      </w:rPr>
                      <w:t>Darling</w:t>
                    </w:r>
                    <w:r>
                      <w:rPr>
                        <w:color w:val="2E3092"/>
                        <w:spacing w:val="7"/>
                        <w:sz w:val="14"/>
                      </w:rPr>
                      <w:t xml:space="preserve"> </w:t>
                    </w:r>
                    <w:r>
                      <w:rPr>
                        <w:color w:val="2E3092"/>
                        <w:spacing w:val="-2"/>
                        <w:w w:val="90"/>
                        <w:sz w:val="14"/>
                      </w:rPr>
                      <w:t>Harbour</w:t>
                    </w:r>
                  </w:p>
                </w:txbxContent>
              </v:textbox>
            </v:shape>
            <v:shape id="docshape2797" o:spid="_x0000_s1230" type="#_x0000_t202" style="position:absolute;left:5376;top:3240;width:889;height:299" filled="f" stroked="f">
              <v:textbox inset="0,0,0,0">
                <w:txbxContent>
                  <w:p w:rsidR="00F22F94" w:rsidRDefault="00F22F94">
                    <w:pPr>
                      <w:spacing w:before="15" w:line="208" w:lineRule="auto"/>
                      <w:ind w:firstLine="155"/>
                      <w:rPr>
                        <w:sz w:val="14"/>
                      </w:rPr>
                    </w:pPr>
                    <w:r>
                      <w:rPr>
                        <w:color w:val="EC008C"/>
                        <w:w w:val="90"/>
                        <w:sz w:val="14"/>
                      </w:rPr>
                      <w:t>Museum</w:t>
                    </w:r>
                    <w:r>
                      <w:rPr>
                        <w:color w:val="EC008C"/>
                        <w:spacing w:val="-6"/>
                        <w:w w:val="90"/>
                        <w:sz w:val="14"/>
                      </w:rPr>
                      <w:t xml:space="preserve"> </w:t>
                    </w:r>
                    <w:r>
                      <w:rPr>
                        <w:color w:val="EC008C"/>
                        <w:w w:val="90"/>
                        <w:sz w:val="14"/>
                      </w:rPr>
                      <w:t>of</w:t>
                    </w:r>
                    <w:r>
                      <w:rPr>
                        <w:color w:val="EC008C"/>
                        <w:spacing w:val="40"/>
                        <w:sz w:val="14"/>
                      </w:rPr>
                      <w:t xml:space="preserve"> </w:t>
                    </w:r>
                    <w:r>
                      <w:rPr>
                        <w:color w:val="EC008C"/>
                        <w:spacing w:val="-2"/>
                        <w:w w:val="80"/>
                        <w:sz w:val="14"/>
                      </w:rPr>
                      <w:t>Contemporary</w:t>
                    </w:r>
                    <w:r>
                      <w:rPr>
                        <w:color w:val="EC008C"/>
                        <w:spacing w:val="-4"/>
                        <w:w w:val="80"/>
                        <w:sz w:val="14"/>
                      </w:rPr>
                      <w:t xml:space="preserve"> </w:t>
                    </w:r>
                    <w:r>
                      <w:rPr>
                        <w:color w:val="EC008C"/>
                        <w:spacing w:val="-2"/>
                        <w:w w:val="80"/>
                        <w:sz w:val="14"/>
                      </w:rPr>
                      <w:t>Art</w:t>
                    </w:r>
                  </w:p>
                </w:txbxContent>
              </v:textbox>
            </v:shape>
            <v:shape id="docshape2798" o:spid="_x0000_s1229" type="#_x0000_t202" style="position:absolute;left:2954;top:3591;width:492;height:299" filled="f" stroked="f">
              <v:textbox inset="0,0,0,0">
                <w:txbxContent>
                  <w:p w:rsidR="00F22F94" w:rsidRDefault="00F22F94">
                    <w:pPr>
                      <w:spacing w:before="15" w:line="208" w:lineRule="auto"/>
                      <w:ind w:left="145" w:hanging="146"/>
                      <w:rPr>
                        <w:sz w:val="14"/>
                      </w:rPr>
                    </w:pPr>
                    <w:r>
                      <w:rPr>
                        <w:color w:val="2E3092"/>
                        <w:spacing w:val="-2"/>
                        <w:w w:val="75"/>
                        <w:sz w:val="14"/>
                      </w:rPr>
                      <w:t>Johnsons</w:t>
                    </w:r>
                    <w:r>
                      <w:rPr>
                        <w:color w:val="2E3092"/>
                        <w:spacing w:val="40"/>
                        <w:sz w:val="14"/>
                      </w:rPr>
                      <w:t xml:space="preserve"> </w:t>
                    </w:r>
                    <w:r>
                      <w:rPr>
                        <w:color w:val="2E3092"/>
                        <w:spacing w:val="-4"/>
                        <w:w w:val="85"/>
                        <w:sz w:val="14"/>
                      </w:rPr>
                      <w:t>Bay</w:t>
                    </w:r>
                  </w:p>
                </w:txbxContent>
              </v:textbox>
            </v:shape>
            <v:shape id="docshape2799" o:spid="_x0000_s1228" type="#_x0000_t202" style="position:absolute;left:6464;top:3244;width:840;height:559" filled="f" stroked="f">
              <v:textbox inset="0,0,0,0">
                <w:txbxContent>
                  <w:p w:rsidR="00F22F94" w:rsidRDefault="00F22F94">
                    <w:pPr>
                      <w:spacing w:line="159" w:lineRule="exact"/>
                      <w:ind w:left="287"/>
                      <w:rPr>
                        <w:sz w:val="14"/>
                      </w:rPr>
                    </w:pPr>
                    <w:r>
                      <w:rPr>
                        <w:color w:val="2E3092"/>
                        <w:w w:val="75"/>
                        <w:sz w:val="14"/>
                      </w:rPr>
                      <w:t>Farm</w:t>
                    </w:r>
                    <w:r>
                      <w:rPr>
                        <w:color w:val="2E3092"/>
                        <w:sz w:val="14"/>
                      </w:rPr>
                      <w:t xml:space="preserve"> </w:t>
                    </w:r>
                    <w:r>
                      <w:rPr>
                        <w:color w:val="2E3092"/>
                        <w:spacing w:val="-4"/>
                        <w:w w:val="80"/>
                        <w:sz w:val="14"/>
                      </w:rPr>
                      <w:t>Cove</w:t>
                    </w:r>
                  </w:p>
                  <w:p w:rsidR="00F22F94" w:rsidRDefault="00F22F94">
                    <w:pPr>
                      <w:spacing w:before="115" w:line="208" w:lineRule="auto"/>
                      <w:ind w:left="145" w:hanging="146"/>
                      <w:rPr>
                        <w:sz w:val="14"/>
                      </w:rPr>
                    </w:pPr>
                    <w:r>
                      <w:rPr>
                        <w:color w:val="2E3092"/>
                        <w:spacing w:val="-2"/>
                        <w:w w:val="85"/>
                        <w:sz w:val="14"/>
                      </w:rPr>
                      <w:t>Royal</w:t>
                    </w:r>
                    <w:r>
                      <w:rPr>
                        <w:color w:val="2E3092"/>
                        <w:spacing w:val="-8"/>
                        <w:sz w:val="14"/>
                      </w:rPr>
                      <w:t xml:space="preserve"> </w:t>
                    </w:r>
                    <w:r>
                      <w:rPr>
                        <w:color w:val="2E3092"/>
                        <w:spacing w:val="-2"/>
                        <w:w w:val="85"/>
                        <w:sz w:val="14"/>
                      </w:rPr>
                      <w:t>Botanic</w:t>
                    </w:r>
                    <w:r>
                      <w:rPr>
                        <w:color w:val="2E3092"/>
                        <w:spacing w:val="40"/>
                        <w:sz w:val="14"/>
                      </w:rPr>
                      <w:t xml:space="preserve"> </w:t>
                    </w:r>
                    <w:r>
                      <w:rPr>
                        <w:color w:val="2E3092"/>
                        <w:spacing w:val="-2"/>
                        <w:w w:val="95"/>
                        <w:sz w:val="14"/>
                      </w:rPr>
                      <w:t>Gardens</w:t>
                    </w:r>
                  </w:p>
                </w:txbxContent>
              </v:textbox>
            </v:shape>
            <v:shape id="docshape2800" o:spid="_x0000_s1227" type="#_x0000_t202" style="position:absolute;left:3994;top:3913;width:1921;height:657" filled="f" stroked="f">
              <v:textbox inset="0,0,0,0">
                <w:txbxContent>
                  <w:p w:rsidR="00F22F94" w:rsidRDefault="00F22F94">
                    <w:pPr>
                      <w:spacing w:line="149" w:lineRule="exact"/>
                      <w:rPr>
                        <w:sz w:val="14"/>
                      </w:rPr>
                    </w:pPr>
                    <w:r>
                      <w:rPr>
                        <w:color w:val="2E3092"/>
                        <w:spacing w:val="-2"/>
                        <w:w w:val="90"/>
                        <w:sz w:val="14"/>
                      </w:rPr>
                      <w:t>Pyrmont</w:t>
                    </w:r>
                  </w:p>
                  <w:p w:rsidR="00F22F94" w:rsidRDefault="00F22F94">
                    <w:pPr>
                      <w:tabs>
                        <w:tab w:val="left" w:pos="1437"/>
                      </w:tabs>
                      <w:spacing w:line="150" w:lineRule="exact"/>
                      <w:ind w:left="113"/>
                      <w:rPr>
                        <w:sz w:val="14"/>
                      </w:rPr>
                    </w:pPr>
                    <w:r>
                      <w:rPr>
                        <w:color w:val="2E3092"/>
                        <w:spacing w:val="-5"/>
                        <w:w w:val="90"/>
                        <w:sz w:val="14"/>
                      </w:rPr>
                      <w:t>Bay</w:t>
                    </w:r>
                    <w:r>
                      <w:rPr>
                        <w:color w:val="2E3092"/>
                        <w:sz w:val="14"/>
                      </w:rPr>
                      <w:tab/>
                    </w:r>
                    <w:r>
                      <w:rPr>
                        <w:color w:val="2E3092"/>
                        <w:spacing w:val="-2"/>
                        <w:w w:val="85"/>
                        <w:sz w:val="14"/>
                      </w:rPr>
                      <w:t>Wynyard</w:t>
                    </w:r>
                  </w:p>
                  <w:p w:rsidR="00F22F94" w:rsidRDefault="00F22F94">
                    <w:pPr>
                      <w:spacing w:before="74" w:line="208" w:lineRule="auto"/>
                      <w:ind w:left="172" w:right="1311" w:hanging="3"/>
                      <w:rPr>
                        <w:sz w:val="14"/>
                      </w:rPr>
                    </w:pPr>
                    <w:r>
                      <w:rPr>
                        <w:color w:val="EC008C"/>
                        <w:spacing w:val="-2"/>
                        <w:w w:val="80"/>
                        <w:sz w:val="14"/>
                      </w:rPr>
                      <w:t>Maritime</w:t>
                    </w:r>
                    <w:r>
                      <w:rPr>
                        <w:color w:val="EC008C"/>
                        <w:spacing w:val="40"/>
                        <w:sz w:val="14"/>
                      </w:rPr>
                      <w:t xml:space="preserve"> </w:t>
                    </w:r>
                    <w:r>
                      <w:rPr>
                        <w:color w:val="EC008C"/>
                        <w:spacing w:val="-2"/>
                        <w:w w:val="80"/>
                        <w:sz w:val="14"/>
                      </w:rPr>
                      <w:t>Museum</w:t>
                    </w:r>
                  </w:p>
                </w:txbxContent>
              </v:textbox>
            </v:shape>
            <v:shape id="docshape2801" o:spid="_x0000_s1226" type="#_x0000_t202" style="position:absolute;left:6378;top:3884;width:2182;height:851" filled="f" stroked="f">
              <v:textbox inset="0,0,0,0">
                <w:txbxContent>
                  <w:p w:rsidR="00F22F94" w:rsidRDefault="00F22F94">
                    <w:pPr>
                      <w:spacing w:line="137" w:lineRule="exact"/>
                      <w:ind w:left="1020"/>
                      <w:rPr>
                        <w:sz w:val="14"/>
                      </w:rPr>
                    </w:pPr>
                    <w:r>
                      <w:rPr>
                        <w:color w:val="2E3092"/>
                        <w:spacing w:val="-2"/>
                        <w:w w:val="90"/>
                        <w:sz w:val="14"/>
                      </w:rPr>
                      <w:t>Woolloomooloo</w:t>
                    </w:r>
                  </w:p>
                  <w:p w:rsidR="00F22F94" w:rsidRDefault="00F22F94">
                    <w:pPr>
                      <w:tabs>
                        <w:tab w:val="left" w:pos="1304"/>
                      </w:tabs>
                      <w:spacing w:before="3" w:line="184" w:lineRule="auto"/>
                      <w:ind w:left="128" w:right="693" w:hanging="129"/>
                      <w:rPr>
                        <w:sz w:val="14"/>
                      </w:rPr>
                    </w:pPr>
                    <w:r>
                      <w:rPr>
                        <w:color w:val="EC008C"/>
                        <w:w w:val="85"/>
                        <w:sz w:val="14"/>
                      </w:rPr>
                      <w:t>State</w:t>
                    </w:r>
                    <w:r>
                      <w:rPr>
                        <w:color w:val="EC008C"/>
                        <w:spacing w:val="-4"/>
                        <w:w w:val="85"/>
                        <w:sz w:val="14"/>
                      </w:rPr>
                      <w:t xml:space="preserve"> </w:t>
                    </w:r>
                    <w:r>
                      <w:rPr>
                        <w:color w:val="EC008C"/>
                        <w:w w:val="85"/>
                        <w:sz w:val="14"/>
                      </w:rPr>
                      <w:t>Library</w:t>
                    </w:r>
                    <w:r>
                      <w:rPr>
                        <w:color w:val="EC008C"/>
                        <w:sz w:val="14"/>
                      </w:rPr>
                      <w:tab/>
                    </w:r>
                    <w:r>
                      <w:rPr>
                        <w:color w:val="2E3092"/>
                        <w:spacing w:val="-6"/>
                        <w:w w:val="80"/>
                        <w:position w:val="-1"/>
                        <w:sz w:val="14"/>
                      </w:rPr>
                      <w:t>Bay</w:t>
                    </w:r>
                    <w:r>
                      <w:rPr>
                        <w:color w:val="2E3092"/>
                        <w:spacing w:val="40"/>
                        <w:position w:val="-1"/>
                        <w:sz w:val="14"/>
                      </w:rPr>
                      <w:t xml:space="preserve"> </w:t>
                    </w:r>
                    <w:r>
                      <w:rPr>
                        <w:color w:val="EC008C"/>
                        <w:w w:val="85"/>
                        <w:sz w:val="14"/>
                      </w:rPr>
                      <w:t>of</w:t>
                    </w:r>
                    <w:r>
                      <w:rPr>
                        <w:color w:val="EC008C"/>
                        <w:spacing w:val="-4"/>
                        <w:w w:val="85"/>
                        <w:sz w:val="14"/>
                      </w:rPr>
                      <w:t xml:space="preserve"> </w:t>
                    </w:r>
                    <w:r>
                      <w:rPr>
                        <w:color w:val="EC008C"/>
                        <w:w w:val="85"/>
                        <w:sz w:val="14"/>
                      </w:rPr>
                      <w:t>NSW</w:t>
                    </w:r>
                  </w:p>
                  <w:p w:rsidR="00F22F94" w:rsidRDefault="00F22F94">
                    <w:pPr>
                      <w:spacing w:before="10"/>
                      <w:rPr>
                        <w:sz w:val="13"/>
                      </w:rPr>
                    </w:pPr>
                  </w:p>
                  <w:p w:rsidR="00F22F94" w:rsidRDefault="00F22F94">
                    <w:pPr>
                      <w:spacing w:line="208" w:lineRule="auto"/>
                      <w:ind w:left="1850" w:hanging="130"/>
                      <w:rPr>
                        <w:sz w:val="14"/>
                      </w:rPr>
                    </w:pPr>
                    <w:r>
                      <w:rPr>
                        <w:color w:val="2E3092"/>
                        <w:spacing w:val="-2"/>
                        <w:w w:val="75"/>
                        <w:sz w:val="14"/>
                      </w:rPr>
                      <w:t>Elizabeth</w:t>
                    </w:r>
                    <w:r>
                      <w:rPr>
                        <w:color w:val="2E3092"/>
                        <w:spacing w:val="40"/>
                        <w:sz w:val="14"/>
                      </w:rPr>
                      <w:t xml:space="preserve"> </w:t>
                    </w:r>
                    <w:r>
                      <w:rPr>
                        <w:color w:val="2E3092"/>
                        <w:spacing w:val="-4"/>
                        <w:w w:val="85"/>
                        <w:sz w:val="14"/>
                      </w:rPr>
                      <w:t>Bay</w:t>
                    </w:r>
                  </w:p>
                </w:txbxContent>
              </v:textbox>
            </v:shape>
            <v:shape id="docshape2802" o:spid="_x0000_s1225" type="#_x0000_t202" style="position:absolute;left:1911;top:4866;width:585;height:159" filled="f" stroked="f">
              <v:textbox inset="0,0,0,0">
                <w:txbxContent>
                  <w:p w:rsidR="00F22F94" w:rsidRDefault="00F22F94">
                    <w:pPr>
                      <w:spacing w:line="158" w:lineRule="exact"/>
                      <w:rPr>
                        <w:sz w:val="14"/>
                      </w:rPr>
                    </w:pPr>
                    <w:r>
                      <w:rPr>
                        <w:color w:val="2E3092"/>
                        <w:w w:val="70"/>
                        <w:sz w:val="14"/>
                      </w:rPr>
                      <w:t>Rozelle</w:t>
                    </w:r>
                    <w:r>
                      <w:rPr>
                        <w:color w:val="2E3092"/>
                        <w:spacing w:val="12"/>
                        <w:sz w:val="14"/>
                      </w:rPr>
                      <w:t xml:space="preserve"> </w:t>
                    </w:r>
                    <w:r>
                      <w:rPr>
                        <w:color w:val="2E3092"/>
                        <w:spacing w:val="-5"/>
                        <w:w w:val="85"/>
                        <w:sz w:val="14"/>
                      </w:rPr>
                      <w:t>Bay</w:t>
                    </w:r>
                  </w:p>
                </w:txbxContent>
              </v:textbox>
            </v:shape>
            <v:shape id="docshape2803" o:spid="_x0000_s1224" type="#_x0000_t202" style="position:absolute;left:3727;top:4811;width:808;height:840" filled="f" stroked="f">
              <v:textbox inset="0,0,0,0">
                <w:txbxContent>
                  <w:p w:rsidR="00F22F94" w:rsidRDefault="00F22F94">
                    <w:pPr>
                      <w:spacing w:before="2"/>
                      <w:ind w:left="195"/>
                      <w:rPr>
                        <w:sz w:val="14"/>
                      </w:rPr>
                    </w:pPr>
                    <w:r>
                      <w:rPr>
                        <w:color w:val="2E3092"/>
                        <w:w w:val="80"/>
                        <w:sz w:val="14"/>
                      </w:rPr>
                      <w:t>Cockle</w:t>
                    </w:r>
                    <w:r>
                      <w:rPr>
                        <w:color w:val="2E3092"/>
                        <w:spacing w:val="9"/>
                        <w:sz w:val="14"/>
                      </w:rPr>
                      <w:t xml:space="preserve"> </w:t>
                    </w:r>
                    <w:r>
                      <w:rPr>
                        <w:color w:val="2E3092"/>
                        <w:spacing w:val="-5"/>
                        <w:w w:val="90"/>
                        <w:sz w:val="14"/>
                      </w:rPr>
                      <w:t>Bay</w:t>
                    </w:r>
                  </w:p>
                  <w:p w:rsidR="00F22F94" w:rsidRDefault="00F22F94">
                    <w:pPr>
                      <w:spacing w:before="113" w:line="208" w:lineRule="auto"/>
                      <w:ind w:right="117" w:hanging="1"/>
                      <w:jc w:val="center"/>
                      <w:rPr>
                        <w:sz w:val="14"/>
                      </w:rPr>
                    </w:pPr>
                    <w:r>
                      <w:rPr>
                        <w:color w:val="EC008C"/>
                        <w:spacing w:val="-2"/>
                        <w:w w:val="85"/>
                        <w:sz w:val="14"/>
                      </w:rPr>
                      <w:t>Sydney</w:t>
                    </w:r>
                    <w:r>
                      <w:rPr>
                        <w:color w:val="EC008C"/>
                        <w:spacing w:val="40"/>
                        <w:sz w:val="14"/>
                      </w:rPr>
                      <w:t xml:space="preserve"> </w:t>
                    </w:r>
                    <w:r>
                      <w:rPr>
                        <w:color w:val="EC008C"/>
                        <w:spacing w:val="-2"/>
                        <w:w w:val="80"/>
                        <w:sz w:val="14"/>
                      </w:rPr>
                      <w:t>Exhibition</w:t>
                    </w:r>
                    <w:r>
                      <w:rPr>
                        <w:color w:val="EC008C"/>
                        <w:spacing w:val="-8"/>
                        <w:sz w:val="14"/>
                      </w:rPr>
                      <w:t xml:space="preserve"> </w:t>
                    </w:r>
                    <w:r>
                      <w:rPr>
                        <w:color w:val="EC008C"/>
                        <w:spacing w:val="-2"/>
                        <w:w w:val="80"/>
                        <w:sz w:val="14"/>
                      </w:rPr>
                      <w:t>and</w:t>
                    </w:r>
                    <w:r>
                      <w:rPr>
                        <w:color w:val="EC008C"/>
                        <w:spacing w:val="40"/>
                        <w:sz w:val="14"/>
                      </w:rPr>
                      <w:t xml:space="preserve"> </w:t>
                    </w:r>
                    <w:r>
                      <w:rPr>
                        <w:color w:val="EC008C"/>
                        <w:spacing w:val="-2"/>
                        <w:w w:val="85"/>
                        <w:sz w:val="14"/>
                      </w:rPr>
                      <w:t>Convention</w:t>
                    </w:r>
                    <w:r>
                      <w:rPr>
                        <w:color w:val="EC008C"/>
                        <w:spacing w:val="40"/>
                        <w:sz w:val="14"/>
                      </w:rPr>
                      <w:t xml:space="preserve"> </w:t>
                    </w:r>
                    <w:r>
                      <w:rPr>
                        <w:color w:val="EC008C"/>
                        <w:spacing w:val="-2"/>
                        <w:w w:val="85"/>
                        <w:sz w:val="14"/>
                      </w:rPr>
                      <w:t>Centre</w:t>
                    </w:r>
                  </w:p>
                </w:txbxContent>
              </v:textbox>
            </v:shape>
            <v:shape id="docshape2804" o:spid="_x0000_s1223" type="#_x0000_t202" style="position:absolute;left:5402;top:4829;width:500;height:159" filled="f" stroked="f">
              <v:textbox inset="0,0,0,0">
                <w:txbxContent>
                  <w:p w:rsidR="00F22F94" w:rsidRDefault="00F22F94">
                    <w:pPr>
                      <w:spacing w:line="158" w:lineRule="exact"/>
                      <w:rPr>
                        <w:sz w:val="14"/>
                      </w:rPr>
                    </w:pPr>
                    <w:r>
                      <w:rPr>
                        <w:w w:val="80"/>
                        <w:sz w:val="14"/>
                      </w:rPr>
                      <w:t>Market</w:t>
                    </w:r>
                    <w:r>
                      <w:rPr>
                        <w:spacing w:val="-3"/>
                        <w:w w:val="90"/>
                        <w:sz w:val="14"/>
                      </w:rPr>
                      <w:t xml:space="preserve"> </w:t>
                    </w:r>
                    <w:r>
                      <w:rPr>
                        <w:spacing w:val="-5"/>
                        <w:w w:val="90"/>
                        <w:sz w:val="14"/>
                      </w:rPr>
                      <w:t>St</w:t>
                    </w:r>
                  </w:p>
                </w:txbxContent>
              </v:textbox>
            </v:shape>
            <v:shape id="docshape2805" o:spid="_x0000_s1222" type="#_x0000_t202" style="position:absolute;left:2803;top:5044;width:585;height:299" filled="f" stroked="f">
              <v:textbox inset="0,0,0,0">
                <w:txbxContent>
                  <w:p w:rsidR="00F22F94" w:rsidRDefault="00F22F94">
                    <w:pPr>
                      <w:spacing w:before="15" w:line="208" w:lineRule="auto"/>
                      <w:ind w:left="191" w:hanging="192"/>
                      <w:rPr>
                        <w:sz w:val="14"/>
                      </w:rPr>
                    </w:pPr>
                    <w:r>
                      <w:rPr>
                        <w:color w:val="2E3092"/>
                        <w:spacing w:val="-2"/>
                        <w:w w:val="80"/>
                        <w:sz w:val="14"/>
                      </w:rPr>
                      <w:t>Blackwattle</w:t>
                    </w:r>
                    <w:r>
                      <w:rPr>
                        <w:color w:val="2E3092"/>
                        <w:spacing w:val="40"/>
                        <w:sz w:val="14"/>
                      </w:rPr>
                      <w:t xml:space="preserve"> </w:t>
                    </w:r>
                    <w:r>
                      <w:rPr>
                        <w:color w:val="2E3092"/>
                        <w:spacing w:val="-4"/>
                        <w:w w:val="85"/>
                        <w:sz w:val="14"/>
                      </w:rPr>
                      <w:t>Bay</w:t>
                    </w:r>
                  </w:p>
                </w:txbxContent>
              </v:textbox>
            </v:shape>
            <v:shape id="docshape2806" o:spid="_x0000_s1221" type="#_x0000_t202" style="position:absolute;left:6393;top:4510;width:1459;height:644" filled="f" stroked="f">
              <v:textbox inset="0,0,0,0">
                <w:txbxContent>
                  <w:p w:rsidR="00F22F94" w:rsidRDefault="00F22F94">
                    <w:pPr>
                      <w:spacing w:line="159" w:lineRule="exact"/>
                      <w:rPr>
                        <w:sz w:val="14"/>
                      </w:rPr>
                    </w:pPr>
                    <w:r>
                      <w:rPr>
                        <w:color w:val="EC008C"/>
                        <w:w w:val="75"/>
                        <w:sz w:val="14"/>
                      </w:rPr>
                      <w:t>Art</w:t>
                    </w:r>
                    <w:r>
                      <w:rPr>
                        <w:color w:val="EC008C"/>
                        <w:spacing w:val="-1"/>
                        <w:sz w:val="14"/>
                      </w:rPr>
                      <w:t xml:space="preserve"> </w:t>
                    </w:r>
                    <w:r>
                      <w:rPr>
                        <w:color w:val="EC008C"/>
                        <w:w w:val="75"/>
                        <w:sz w:val="14"/>
                      </w:rPr>
                      <w:t>Gallery</w:t>
                    </w:r>
                    <w:r>
                      <w:rPr>
                        <w:color w:val="EC008C"/>
                        <w:sz w:val="14"/>
                      </w:rPr>
                      <w:t xml:space="preserve"> </w:t>
                    </w:r>
                    <w:r>
                      <w:rPr>
                        <w:color w:val="EC008C"/>
                        <w:w w:val="75"/>
                        <w:sz w:val="14"/>
                      </w:rPr>
                      <w:t>of</w:t>
                    </w:r>
                    <w:r>
                      <w:rPr>
                        <w:color w:val="EC008C"/>
                        <w:spacing w:val="-1"/>
                        <w:sz w:val="14"/>
                      </w:rPr>
                      <w:t xml:space="preserve"> </w:t>
                    </w:r>
                    <w:r>
                      <w:rPr>
                        <w:color w:val="EC008C"/>
                        <w:spacing w:val="-5"/>
                        <w:w w:val="75"/>
                        <w:sz w:val="14"/>
                      </w:rPr>
                      <w:t>NSW</w:t>
                    </w:r>
                  </w:p>
                  <w:p w:rsidR="00F22F94" w:rsidRDefault="00F22F94">
                    <w:pPr>
                      <w:spacing w:before="26"/>
                      <w:ind w:left="440"/>
                      <w:rPr>
                        <w:sz w:val="14"/>
                      </w:rPr>
                    </w:pPr>
                    <w:r>
                      <w:rPr>
                        <w:color w:val="2E3092"/>
                        <w:spacing w:val="-2"/>
                        <w:w w:val="95"/>
                        <w:sz w:val="14"/>
                      </w:rPr>
                      <w:t>Woolloomooloo</w:t>
                    </w:r>
                  </w:p>
                  <w:p w:rsidR="00F22F94" w:rsidRDefault="00F22F94">
                    <w:pPr>
                      <w:spacing w:before="135"/>
                      <w:ind w:left="860"/>
                      <w:rPr>
                        <w:sz w:val="14"/>
                      </w:rPr>
                    </w:pPr>
                    <w:r>
                      <w:rPr>
                        <w:color w:val="2E3092"/>
                        <w:w w:val="85"/>
                        <w:sz w:val="14"/>
                      </w:rPr>
                      <w:t>Potts</w:t>
                    </w:r>
                    <w:r>
                      <w:rPr>
                        <w:color w:val="2E3092"/>
                        <w:spacing w:val="-1"/>
                        <w:w w:val="85"/>
                        <w:sz w:val="14"/>
                      </w:rPr>
                      <w:t xml:space="preserve"> </w:t>
                    </w:r>
                    <w:r>
                      <w:rPr>
                        <w:color w:val="2E3092"/>
                        <w:spacing w:val="-4"/>
                        <w:w w:val="90"/>
                        <w:sz w:val="14"/>
                      </w:rPr>
                      <w:t>Point</w:t>
                    </w:r>
                  </w:p>
                </w:txbxContent>
              </v:textbox>
            </v:shape>
            <v:shape id="docshape2807" o:spid="_x0000_s1220" type="#_x0000_t202" style="position:absolute;left:8157;top:4990;width:510;height:304" filled="f" stroked="f">
              <v:textbox inset="0,0,0,0">
                <w:txbxContent>
                  <w:p w:rsidR="00F22F94" w:rsidRDefault="00F22F94">
                    <w:pPr>
                      <w:spacing w:before="19" w:line="208" w:lineRule="auto"/>
                      <w:ind w:left="145" w:hanging="146"/>
                      <w:rPr>
                        <w:sz w:val="14"/>
                      </w:rPr>
                    </w:pPr>
                    <w:r>
                      <w:rPr>
                        <w:color w:val="2E3092"/>
                        <w:spacing w:val="-2"/>
                        <w:w w:val="85"/>
                        <w:sz w:val="14"/>
                      </w:rPr>
                      <w:t>Elizabeth</w:t>
                    </w:r>
                    <w:r>
                      <w:rPr>
                        <w:color w:val="2E3092"/>
                        <w:spacing w:val="40"/>
                        <w:sz w:val="14"/>
                      </w:rPr>
                      <w:t xml:space="preserve"> </w:t>
                    </w:r>
                    <w:r>
                      <w:rPr>
                        <w:color w:val="2E3092"/>
                        <w:spacing w:val="-4"/>
                        <w:w w:val="95"/>
                        <w:sz w:val="14"/>
                      </w:rPr>
                      <w:t>Bay</w:t>
                    </w:r>
                  </w:p>
                </w:txbxContent>
              </v:textbox>
            </v:shape>
            <v:shape id="docshape2808" o:spid="_x0000_s1219" type="#_x0000_t202" style="position:absolute;left:9408;top:4771;width:404;height:304" filled="f" stroked="f">
              <v:textbox inset="0,0,0,0">
                <w:txbxContent>
                  <w:p w:rsidR="00F22F94" w:rsidRDefault="00F22F94">
                    <w:pPr>
                      <w:spacing w:before="19" w:line="208" w:lineRule="auto"/>
                      <w:ind w:left="55" w:hanging="56"/>
                      <w:rPr>
                        <w:sz w:val="14"/>
                      </w:rPr>
                    </w:pPr>
                    <w:r>
                      <w:rPr>
                        <w:color w:val="2E3092"/>
                        <w:spacing w:val="-2"/>
                        <w:w w:val="85"/>
                        <w:sz w:val="14"/>
                      </w:rPr>
                      <w:t>Darling</w:t>
                    </w:r>
                    <w:r>
                      <w:rPr>
                        <w:color w:val="2E3092"/>
                        <w:spacing w:val="40"/>
                        <w:sz w:val="14"/>
                      </w:rPr>
                      <w:t xml:space="preserve"> </w:t>
                    </w:r>
                    <w:r>
                      <w:rPr>
                        <w:color w:val="2E3092"/>
                        <w:spacing w:val="-2"/>
                        <w:w w:val="95"/>
                        <w:sz w:val="14"/>
                      </w:rPr>
                      <w:t>Point</w:t>
                    </w:r>
                  </w:p>
                </w:txbxContent>
              </v:textbox>
            </v:shape>
            <v:shape id="docshape2809" o:spid="_x0000_s1218" type="#_x0000_t202" style="position:absolute;left:4650;top:5333;width:442;height:299" filled="f" stroked="f">
              <v:textbox inset="0,0,0,0">
                <w:txbxContent>
                  <w:p w:rsidR="00F22F94" w:rsidRDefault="00F22F94">
                    <w:pPr>
                      <w:spacing w:before="15" w:line="208" w:lineRule="auto"/>
                      <w:ind w:left="8" w:hanging="9"/>
                      <w:rPr>
                        <w:sz w:val="14"/>
                      </w:rPr>
                    </w:pPr>
                    <w:r>
                      <w:rPr>
                        <w:color w:val="EC008C"/>
                        <w:spacing w:val="-2"/>
                        <w:w w:val="80"/>
                        <w:sz w:val="14"/>
                      </w:rPr>
                      <w:t>Chinese</w:t>
                    </w:r>
                    <w:r>
                      <w:rPr>
                        <w:color w:val="EC008C"/>
                        <w:spacing w:val="40"/>
                        <w:sz w:val="14"/>
                      </w:rPr>
                      <w:t xml:space="preserve"> </w:t>
                    </w:r>
                    <w:r>
                      <w:rPr>
                        <w:color w:val="EC008C"/>
                        <w:spacing w:val="-2"/>
                        <w:w w:val="75"/>
                        <w:sz w:val="14"/>
                      </w:rPr>
                      <w:t>Gardens</w:t>
                    </w:r>
                  </w:p>
                </w:txbxContent>
              </v:textbox>
            </v:shape>
            <v:shape id="docshape2810" o:spid="_x0000_s1217" type="#_x0000_t202" style="position:absolute;left:5978;top:5549;width:513;height:299" filled="f" stroked="f">
              <v:textbox inset="0,0,0,0">
                <w:txbxContent>
                  <w:p w:rsidR="00F22F94" w:rsidRDefault="00F22F94">
                    <w:pPr>
                      <w:spacing w:before="15" w:line="208" w:lineRule="auto"/>
                      <w:ind w:left="30" w:hanging="31"/>
                      <w:rPr>
                        <w:sz w:val="14"/>
                      </w:rPr>
                    </w:pPr>
                    <w:r>
                      <w:rPr>
                        <w:color w:val="EC008C"/>
                        <w:spacing w:val="-2"/>
                        <w:w w:val="75"/>
                        <w:sz w:val="14"/>
                      </w:rPr>
                      <w:t>Australian</w:t>
                    </w:r>
                    <w:r>
                      <w:rPr>
                        <w:color w:val="EC008C"/>
                        <w:spacing w:val="40"/>
                        <w:sz w:val="14"/>
                      </w:rPr>
                      <w:t xml:space="preserve"> </w:t>
                    </w:r>
                    <w:r>
                      <w:rPr>
                        <w:color w:val="EC008C"/>
                        <w:spacing w:val="-2"/>
                        <w:w w:val="85"/>
                        <w:sz w:val="14"/>
                      </w:rPr>
                      <w:t>Museum</w:t>
                    </w:r>
                  </w:p>
                </w:txbxContent>
              </v:textbox>
            </v:shape>
            <v:shape id="docshape2811" o:spid="_x0000_s1216" type="#_x0000_t202" style="position:absolute;left:4277;top:5858;width:603;height:164" filled="f" stroked="f">
              <v:textbox inset="0,0,0,0">
                <w:txbxContent>
                  <w:p w:rsidR="00F22F94" w:rsidRDefault="00F22F94">
                    <w:pPr>
                      <w:spacing w:before="2"/>
                      <w:rPr>
                        <w:sz w:val="14"/>
                      </w:rPr>
                    </w:pPr>
                    <w:r>
                      <w:rPr>
                        <w:color w:val="2E3092"/>
                        <w:spacing w:val="-2"/>
                        <w:w w:val="85"/>
                        <w:sz w:val="14"/>
                      </w:rPr>
                      <w:t>Haymarket</w:t>
                    </w:r>
                  </w:p>
                </w:txbxContent>
              </v:textbox>
            </v:shape>
            <v:shape id="docshape2812" o:spid="_x0000_s1215" type="#_x0000_t202" style="position:absolute;left:7902;top:5606;width:666;height:304" filled="f" stroked="f">
              <v:textbox inset="0,0,0,0">
                <w:txbxContent>
                  <w:p w:rsidR="00F22F94" w:rsidRDefault="00F22F94">
                    <w:pPr>
                      <w:spacing w:before="19" w:line="208" w:lineRule="auto"/>
                      <w:ind w:left="222" w:hanging="223"/>
                      <w:rPr>
                        <w:sz w:val="14"/>
                      </w:rPr>
                    </w:pPr>
                    <w:r>
                      <w:rPr>
                        <w:color w:val="2E3092"/>
                        <w:spacing w:val="-2"/>
                        <w:w w:val="85"/>
                        <w:sz w:val="14"/>
                      </w:rPr>
                      <w:t>Rushcutters</w:t>
                    </w:r>
                    <w:r>
                      <w:rPr>
                        <w:color w:val="2E3092"/>
                        <w:spacing w:val="40"/>
                        <w:sz w:val="14"/>
                      </w:rPr>
                      <w:t xml:space="preserve"> </w:t>
                    </w:r>
                    <w:r>
                      <w:rPr>
                        <w:color w:val="2E3092"/>
                        <w:spacing w:val="-4"/>
                        <w:w w:val="95"/>
                        <w:sz w:val="14"/>
                      </w:rPr>
                      <w:t>Bay</w:t>
                    </w:r>
                  </w:p>
                </w:txbxContent>
              </v:textbox>
            </v:shape>
            <v:shape id="docshape2813" o:spid="_x0000_s1214" type="#_x0000_t202" style="position:absolute;left:9777;top:5923;width:627;height:164" filled="f" stroked="f">
              <v:textbox inset="0,0,0,0">
                <w:txbxContent>
                  <w:p w:rsidR="00F22F94" w:rsidRDefault="00F22F94">
                    <w:pPr>
                      <w:spacing w:before="2"/>
                      <w:rPr>
                        <w:sz w:val="14"/>
                      </w:rPr>
                    </w:pPr>
                    <w:r>
                      <w:rPr>
                        <w:color w:val="2E3092"/>
                        <w:w w:val="80"/>
                        <w:sz w:val="14"/>
                      </w:rPr>
                      <w:t>Double</w:t>
                    </w:r>
                    <w:r>
                      <w:rPr>
                        <w:color w:val="2E3092"/>
                        <w:spacing w:val="11"/>
                        <w:sz w:val="14"/>
                      </w:rPr>
                      <w:t xml:space="preserve"> </w:t>
                    </w:r>
                    <w:r>
                      <w:rPr>
                        <w:color w:val="2E3092"/>
                        <w:spacing w:val="-5"/>
                        <w:w w:val="90"/>
                        <w:sz w:val="14"/>
                      </w:rPr>
                      <w:t>Bay</w:t>
                    </w:r>
                  </w:p>
                </w:txbxContent>
              </v:textbox>
            </v:shape>
            <v:shape id="docshape2814" o:spid="_x0000_s1213" type="#_x0000_t202" style="position:absolute;left:2913;top:6474;width:324;height:164" filled="f" stroked="f">
              <v:textbox inset="0,0,0,0">
                <w:txbxContent>
                  <w:p w:rsidR="00F22F94" w:rsidRDefault="00F22F94">
                    <w:pPr>
                      <w:spacing w:before="2"/>
                      <w:rPr>
                        <w:sz w:val="14"/>
                      </w:rPr>
                    </w:pPr>
                    <w:r>
                      <w:rPr>
                        <w:color w:val="2E3092"/>
                        <w:spacing w:val="-2"/>
                        <w:w w:val="85"/>
                        <w:sz w:val="14"/>
                      </w:rPr>
                      <w:t>Glebe</w:t>
                    </w:r>
                  </w:p>
                </w:txbxContent>
              </v:textbox>
            </v:shape>
            <v:shape id="docshape2815" o:spid="_x0000_s1212" type="#_x0000_t202" style="position:absolute;left:4145;top:6364;width:627;height:299" filled="f" stroked="f">
              <v:textbox inset="0,0,0,0">
                <w:txbxContent>
                  <w:p w:rsidR="00F22F94" w:rsidRDefault="00F22F94">
                    <w:pPr>
                      <w:spacing w:before="15" w:line="208" w:lineRule="auto"/>
                      <w:ind w:left="87" w:hanging="88"/>
                      <w:rPr>
                        <w:sz w:val="14"/>
                      </w:rPr>
                    </w:pPr>
                    <w:r>
                      <w:rPr>
                        <w:color w:val="EC008C"/>
                        <w:spacing w:val="-2"/>
                        <w:w w:val="75"/>
                        <w:sz w:val="14"/>
                      </w:rPr>
                      <w:t>Powerhouse</w:t>
                    </w:r>
                    <w:r>
                      <w:rPr>
                        <w:color w:val="EC008C"/>
                        <w:spacing w:val="40"/>
                        <w:sz w:val="14"/>
                      </w:rPr>
                      <w:t xml:space="preserve"> </w:t>
                    </w:r>
                    <w:r>
                      <w:rPr>
                        <w:color w:val="EC008C"/>
                        <w:spacing w:val="-2"/>
                        <w:w w:val="90"/>
                        <w:sz w:val="14"/>
                      </w:rPr>
                      <w:t>Museum</w:t>
                    </w:r>
                  </w:p>
                </w:txbxContent>
              </v:textbox>
            </v:shape>
            <v:shape id="docshape2816" o:spid="_x0000_s1211" type="#_x0000_t202" style="position:absolute;left:6688;top:6402;width:681;height:164" filled="f" stroked="f">
              <v:textbox inset="0,0,0,0">
                <w:txbxContent>
                  <w:p w:rsidR="00F22F94" w:rsidRDefault="00F22F94">
                    <w:pPr>
                      <w:spacing w:before="2"/>
                      <w:rPr>
                        <w:sz w:val="14"/>
                      </w:rPr>
                    </w:pPr>
                    <w:r>
                      <w:rPr>
                        <w:color w:val="2E3092"/>
                        <w:spacing w:val="-2"/>
                        <w:w w:val="90"/>
                        <w:sz w:val="14"/>
                      </w:rPr>
                      <w:t>Darlinghurst</w:t>
                    </w:r>
                  </w:p>
                </w:txbxContent>
              </v:textbox>
            </v:shape>
            <v:shape id="docshape2817" o:spid="_x0000_s1210" type="#_x0000_t202" style="position:absolute;left:4723;top:6897;width:365;height:164" filled="f" stroked="f">
              <v:textbox inset="0,0,0,0">
                <w:txbxContent>
                  <w:p w:rsidR="00F22F94" w:rsidRDefault="00F22F94">
                    <w:pPr>
                      <w:spacing w:before="2"/>
                      <w:rPr>
                        <w:sz w:val="14"/>
                      </w:rPr>
                    </w:pPr>
                    <w:r>
                      <w:rPr>
                        <w:color w:val="2E3092"/>
                        <w:spacing w:val="-2"/>
                        <w:w w:val="90"/>
                        <w:sz w:val="14"/>
                      </w:rPr>
                      <w:t>Ultimo</w:t>
                    </w:r>
                  </w:p>
                </w:txbxContent>
              </v:textbox>
            </v:shape>
            <v:shape id="docshape2818" o:spid="_x0000_s1209" type="#_x0000_t202" style="position:absolute;left:7770;top:7024;width:627;height:164" filled="f" stroked="f">
              <v:textbox inset="0,0,0,0">
                <w:txbxContent>
                  <w:p w:rsidR="00F22F94" w:rsidRDefault="00F22F94">
                    <w:pPr>
                      <w:spacing w:before="2"/>
                      <w:rPr>
                        <w:sz w:val="14"/>
                      </w:rPr>
                    </w:pPr>
                    <w:r>
                      <w:rPr>
                        <w:color w:val="2E3092"/>
                        <w:spacing w:val="-2"/>
                        <w:w w:val="85"/>
                        <w:sz w:val="14"/>
                      </w:rPr>
                      <w:t>Paddington</w:t>
                    </w:r>
                  </w:p>
                </w:txbxContent>
              </v:textbox>
            </v:shape>
            <v:shape id="docshape2819" o:spid="_x0000_s1208" type="#_x0000_t202" style="position:absolute;left:1067;top:7388;width:732;height:164" filled="f" stroked="f">
              <v:textbox inset="0,0,0,0">
                <w:txbxContent>
                  <w:p w:rsidR="00F22F94" w:rsidRDefault="00F22F94">
                    <w:pPr>
                      <w:spacing w:before="2"/>
                      <w:rPr>
                        <w:sz w:val="14"/>
                      </w:rPr>
                    </w:pPr>
                    <w:r>
                      <w:rPr>
                        <w:color w:val="2E3092"/>
                        <w:spacing w:val="-2"/>
                        <w:w w:val="85"/>
                        <w:sz w:val="14"/>
                      </w:rPr>
                      <w:t>Camperdown</w:t>
                    </w:r>
                  </w:p>
                </w:txbxContent>
              </v:textbox>
            </v:shape>
            <v:shape id="docshape2820" o:spid="_x0000_s1207" type="#_x0000_t202" style="position:absolute;left:2239;top:7477;width:1114;height:164" filled="f" stroked="f">
              <v:textbox inset="0,0,0,0">
                <w:txbxContent>
                  <w:p w:rsidR="00F22F94" w:rsidRDefault="00F22F94">
                    <w:pPr>
                      <w:spacing w:before="2"/>
                      <w:rPr>
                        <w:sz w:val="14"/>
                      </w:rPr>
                    </w:pPr>
                    <w:r>
                      <w:rPr>
                        <w:color w:val="2E3092"/>
                        <w:w w:val="85"/>
                        <w:sz w:val="14"/>
                      </w:rPr>
                      <w:t>University</w:t>
                    </w:r>
                    <w:r>
                      <w:rPr>
                        <w:color w:val="2E3092"/>
                        <w:spacing w:val="-2"/>
                        <w:sz w:val="14"/>
                      </w:rPr>
                      <w:t xml:space="preserve"> </w:t>
                    </w:r>
                    <w:r>
                      <w:rPr>
                        <w:color w:val="2E3092"/>
                        <w:w w:val="85"/>
                        <w:sz w:val="14"/>
                      </w:rPr>
                      <w:t>of</w:t>
                    </w:r>
                    <w:r>
                      <w:rPr>
                        <w:color w:val="2E3092"/>
                        <w:spacing w:val="-1"/>
                        <w:sz w:val="14"/>
                      </w:rPr>
                      <w:t xml:space="preserve"> </w:t>
                    </w:r>
                    <w:r>
                      <w:rPr>
                        <w:color w:val="2E3092"/>
                        <w:spacing w:val="-2"/>
                        <w:w w:val="85"/>
                        <w:sz w:val="14"/>
                      </w:rPr>
                      <w:t>Sydney</w:t>
                    </w:r>
                  </w:p>
                </w:txbxContent>
              </v:textbox>
            </v:shape>
            <v:shape id="docshape2821" o:spid="_x0000_s1206" type="#_x0000_t202" style="position:absolute;left:9215;top:7641;width:554;height:164" filled="f" stroked="f">
              <v:textbox inset="0,0,0,0">
                <w:txbxContent>
                  <w:p w:rsidR="00F22F94" w:rsidRDefault="00F22F94">
                    <w:pPr>
                      <w:spacing w:before="2"/>
                      <w:rPr>
                        <w:sz w:val="14"/>
                      </w:rPr>
                    </w:pPr>
                    <w:r>
                      <w:rPr>
                        <w:color w:val="2E3092"/>
                        <w:spacing w:val="-2"/>
                        <w:w w:val="85"/>
                        <w:sz w:val="14"/>
                      </w:rPr>
                      <w:t>Woollahra</w:t>
                    </w:r>
                  </w:p>
                </w:txbxContent>
              </v:textbox>
            </v:shape>
            <v:shape id="docshape2822" o:spid="_x0000_s1205" type="#_x0000_t202" style="position:absolute;left:5992;top:7979;width:575;height:164" filled="f" stroked="f">
              <v:textbox inset="0,0,0,0">
                <w:txbxContent>
                  <w:p w:rsidR="00F22F94" w:rsidRDefault="00F22F94">
                    <w:pPr>
                      <w:spacing w:before="2"/>
                      <w:rPr>
                        <w:sz w:val="14"/>
                      </w:rPr>
                    </w:pPr>
                    <w:r>
                      <w:rPr>
                        <w:color w:val="2E3092"/>
                        <w:w w:val="85"/>
                        <w:sz w:val="14"/>
                      </w:rPr>
                      <w:t>Surry</w:t>
                    </w:r>
                    <w:r>
                      <w:rPr>
                        <w:color w:val="2E3092"/>
                        <w:spacing w:val="-2"/>
                        <w:sz w:val="14"/>
                      </w:rPr>
                      <w:t xml:space="preserve"> </w:t>
                    </w:r>
                    <w:r>
                      <w:rPr>
                        <w:color w:val="2E3092"/>
                        <w:spacing w:val="-2"/>
                        <w:w w:val="95"/>
                        <w:sz w:val="14"/>
                      </w:rPr>
                      <w:t>Hills</w:t>
                    </w:r>
                  </w:p>
                </w:txbxContent>
              </v:textbox>
            </v:shape>
            <v:shape id="docshape2823" o:spid="_x0000_s1204" type="#_x0000_t202" style="position:absolute;left:1063;top:8120;width:858;height:166" filled="f" stroked="f">
              <v:textbox inset="0,0,0,0">
                <w:txbxContent>
                  <w:p w:rsidR="00F22F94" w:rsidRDefault="00F22F94">
                    <w:pPr>
                      <w:spacing w:before="4"/>
                      <w:rPr>
                        <w:sz w:val="14"/>
                      </w:rPr>
                    </w:pPr>
                    <w:r>
                      <w:rPr>
                        <w:w w:val="95"/>
                        <w:sz w:val="14"/>
                      </w:rPr>
                      <w:t>Source:</w:t>
                    </w:r>
                    <w:r>
                      <w:rPr>
                        <w:spacing w:val="9"/>
                        <w:sz w:val="14"/>
                      </w:rPr>
                      <w:t xml:space="preserve"> </w:t>
                    </w:r>
                    <w:r>
                      <w:rPr>
                        <w:spacing w:val="-4"/>
                        <w:sz w:val="14"/>
                      </w:rPr>
                      <w:t>PwC.</w:t>
                    </w:r>
                  </w:p>
                </w:txbxContent>
              </v:textbox>
            </v:shape>
            <v:shape id="docshape2824" o:spid="_x0000_s1203" type="#_x0000_t202" style="position:absolute;left:4891;top:8085;width:444;height:164" filled="f" stroked="f">
              <v:textbox inset="0,0,0,0">
                <w:txbxContent>
                  <w:p w:rsidR="00F22F94" w:rsidRDefault="00F22F94">
                    <w:pPr>
                      <w:spacing w:before="2"/>
                      <w:rPr>
                        <w:sz w:val="14"/>
                      </w:rPr>
                    </w:pPr>
                    <w:r>
                      <w:rPr>
                        <w:color w:val="2E3092"/>
                        <w:spacing w:val="-2"/>
                        <w:w w:val="85"/>
                        <w:sz w:val="14"/>
                      </w:rPr>
                      <w:t>Redfern</w:t>
                    </w:r>
                  </w:p>
                </w:txbxContent>
              </v:textbox>
            </v:shape>
            <w10:wrap anchorx="page"/>
          </v:group>
        </w:pict>
      </w:r>
      <w:bookmarkStart w:id="372" w:name="_bookmark264"/>
      <w:bookmarkEnd w:id="372"/>
      <w:r w:rsidR="00F22F94">
        <w:rPr>
          <w:spacing w:val="-2"/>
        </w:rPr>
        <w:t>Walsh</w:t>
      </w:r>
      <w:r w:rsidR="00F22F94">
        <w:rPr>
          <w:spacing w:val="-9"/>
        </w:rPr>
        <w:t xml:space="preserve"> </w:t>
      </w:r>
      <w:r w:rsidR="00F22F94">
        <w:rPr>
          <w:spacing w:val="-2"/>
        </w:rPr>
        <w:t>Bay</w:t>
      </w:r>
      <w:r w:rsidR="00F22F94">
        <w:rPr>
          <w:spacing w:val="-9"/>
        </w:rPr>
        <w:t xml:space="preserve"> </w:t>
      </w:r>
      <w:r w:rsidR="00F22F94">
        <w:rPr>
          <w:spacing w:val="-2"/>
        </w:rPr>
        <w:t>Arts</w:t>
      </w:r>
      <w:r w:rsidR="00F22F94">
        <w:rPr>
          <w:spacing w:val="-9"/>
        </w:rPr>
        <w:t xml:space="preserve"> </w:t>
      </w:r>
      <w:r w:rsidR="00F22F94">
        <w:rPr>
          <w:spacing w:val="-2"/>
        </w:rPr>
        <w:t>Precinct</w:t>
      </w:r>
    </w:p>
    <w:p w:rsidR="002C1123" w:rsidRDefault="00F22F94">
      <w:pPr>
        <w:pStyle w:val="BodyText"/>
        <w:spacing w:before="10" w:line="249" w:lineRule="auto"/>
        <w:ind w:left="10545" w:right="709"/>
      </w:pPr>
      <w:r>
        <w:t>A</w:t>
      </w:r>
      <w:r>
        <w:rPr>
          <w:spacing w:val="-13"/>
        </w:rPr>
        <w:t xml:space="preserve"> </w:t>
      </w:r>
      <w:r>
        <w:t>priority</w:t>
      </w:r>
      <w:r>
        <w:rPr>
          <w:spacing w:val="-13"/>
        </w:rPr>
        <w:t xml:space="preserve"> </w:t>
      </w:r>
      <w:r>
        <w:t>action</w:t>
      </w:r>
      <w:r>
        <w:rPr>
          <w:spacing w:val="-13"/>
        </w:rPr>
        <w:t xml:space="preserve"> </w:t>
      </w:r>
      <w:r>
        <w:t>in</w:t>
      </w:r>
      <w:r>
        <w:rPr>
          <w:spacing w:val="-13"/>
        </w:rPr>
        <w:t xml:space="preserve"> </w:t>
      </w:r>
      <w:r>
        <w:t>NSW</w:t>
      </w:r>
      <w:r>
        <w:rPr>
          <w:spacing w:val="-13"/>
        </w:rPr>
        <w:t xml:space="preserve"> </w:t>
      </w:r>
      <w:r>
        <w:t>2021,</w:t>
      </w:r>
      <w:r>
        <w:rPr>
          <w:spacing w:val="-13"/>
        </w:rPr>
        <w:t xml:space="preserve"> </w:t>
      </w:r>
      <w:r>
        <w:t>and</w:t>
      </w:r>
      <w:r>
        <w:rPr>
          <w:spacing w:val="-13"/>
        </w:rPr>
        <w:t xml:space="preserve"> </w:t>
      </w:r>
      <w:r>
        <w:t>hence</w:t>
      </w:r>
      <w:r>
        <w:rPr>
          <w:spacing w:val="-13"/>
        </w:rPr>
        <w:t xml:space="preserve"> </w:t>
      </w:r>
      <w:r>
        <w:t>the</w:t>
      </w:r>
      <w:r>
        <w:rPr>
          <w:spacing w:val="-13"/>
        </w:rPr>
        <w:t xml:space="preserve"> </w:t>
      </w:r>
      <w:r>
        <w:t xml:space="preserve">main </w:t>
      </w:r>
      <w:r>
        <w:rPr>
          <w:w w:val="95"/>
        </w:rPr>
        <w:t>priority</w:t>
      </w:r>
      <w:r>
        <w:rPr>
          <w:spacing w:val="-5"/>
          <w:w w:val="95"/>
        </w:rPr>
        <w:t xml:space="preserve"> </w:t>
      </w:r>
      <w:r>
        <w:rPr>
          <w:w w:val="95"/>
        </w:rPr>
        <w:t>for</w:t>
      </w:r>
      <w:r>
        <w:rPr>
          <w:spacing w:val="-5"/>
          <w:w w:val="95"/>
        </w:rPr>
        <w:t xml:space="preserve"> </w:t>
      </w:r>
      <w:r>
        <w:rPr>
          <w:w w:val="95"/>
        </w:rPr>
        <w:t>Arts</w:t>
      </w:r>
      <w:r>
        <w:rPr>
          <w:spacing w:val="-5"/>
          <w:w w:val="95"/>
        </w:rPr>
        <w:t xml:space="preserve"> </w:t>
      </w:r>
      <w:r>
        <w:rPr>
          <w:w w:val="95"/>
        </w:rPr>
        <w:t>NSW,</w:t>
      </w:r>
      <w:r>
        <w:rPr>
          <w:spacing w:val="-5"/>
          <w:w w:val="95"/>
        </w:rPr>
        <w:t xml:space="preserve"> </w:t>
      </w:r>
      <w:r>
        <w:rPr>
          <w:w w:val="95"/>
        </w:rPr>
        <w:t>is</w:t>
      </w:r>
      <w:r>
        <w:rPr>
          <w:spacing w:val="-5"/>
          <w:w w:val="95"/>
        </w:rPr>
        <w:t xml:space="preserve"> </w:t>
      </w:r>
      <w:r>
        <w:rPr>
          <w:w w:val="95"/>
        </w:rPr>
        <w:t>finalising</w:t>
      </w:r>
      <w:r>
        <w:rPr>
          <w:spacing w:val="-5"/>
          <w:w w:val="95"/>
        </w:rPr>
        <w:t xml:space="preserve"> </w:t>
      </w:r>
      <w:r>
        <w:rPr>
          <w:w w:val="95"/>
        </w:rPr>
        <w:t>long-term</w:t>
      </w:r>
      <w:r>
        <w:rPr>
          <w:spacing w:val="-5"/>
          <w:w w:val="95"/>
        </w:rPr>
        <w:t xml:space="preserve"> </w:t>
      </w:r>
      <w:r>
        <w:rPr>
          <w:w w:val="95"/>
        </w:rPr>
        <w:t>plans</w:t>
      </w:r>
      <w:r>
        <w:rPr>
          <w:spacing w:val="-5"/>
          <w:w w:val="95"/>
        </w:rPr>
        <w:t xml:space="preserve"> </w:t>
      </w:r>
      <w:r>
        <w:rPr>
          <w:w w:val="95"/>
        </w:rPr>
        <w:t>for</w:t>
      </w:r>
      <w:r>
        <w:rPr>
          <w:spacing w:val="-5"/>
          <w:w w:val="95"/>
        </w:rPr>
        <w:t xml:space="preserve"> </w:t>
      </w:r>
      <w:r>
        <w:rPr>
          <w:w w:val="95"/>
        </w:rPr>
        <w:t>Pier 2/3,</w:t>
      </w:r>
      <w:r>
        <w:rPr>
          <w:spacing w:val="-7"/>
          <w:w w:val="95"/>
        </w:rPr>
        <w:t xml:space="preserve"> </w:t>
      </w:r>
      <w:r>
        <w:rPr>
          <w:w w:val="95"/>
        </w:rPr>
        <w:t>Wharf</w:t>
      </w:r>
      <w:r>
        <w:rPr>
          <w:spacing w:val="-7"/>
          <w:w w:val="95"/>
        </w:rPr>
        <w:t xml:space="preserve"> </w:t>
      </w:r>
      <w:r>
        <w:rPr>
          <w:w w:val="95"/>
        </w:rPr>
        <w:t>4/5</w:t>
      </w:r>
      <w:r>
        <w:rPr>
          <w:spacing w:val="-7"/>
          <w:w w:val="95"/>
        </w:rPr>
        <w:t xml:space="preserve"> </w:t>
      </w:r>
      <w:r>
        <w:rPr>
          <w:w w:val="95"/>
        </w:rPr>
        <w:t>and</w:t>
      </w:r>
      <w:r>
        <w:rPr>
          <w:spacing w:val="-7"/>
          <w:w w:val="95"/>
        </w:rPr>
        <w:t xml:space="preserve"> </w:t>
      </w:r>
      <w:r>
        <w:rPr>
          <w:w w:val="95"/>
        </w:rPr>
        <w:t>Sydney</w:t>
      </w:r>
      <w:r>
        <w:rPr>
          <w:spacing w:val="-7"/>
          <w:w w:val="95"/>
        </w:rPr>
        <w:t xml:space="preserve"> </w:t>
      </w:r>
      <w:r>
        <w:rPr>
          <w:w w:val="95"/>
        </w:rPr>
        <w:t>Theatre</w:t>
      </w:r>
      <w:r>
        <w:rPr>
          <w:spacing w:val="-7"/>
          <w:w w:val="95"/>
        </w:rPr>
        <w:t xml:space="preserve"> </w:t>
      </w:r>
      <w:r>
        <w:rPr>
          <w:w w:val="95"/>
        </w:rPr>
        <w:t>at</w:t>
      </w:r>
      <w:r>
        <w:rPr>
          <w:spacing w:val="-7"/>
          <w:w w:val="95"/>
        </w:rPr>
        <w:t xml:space="preserve"> </w:t>
      </w:r>
      <w:r>
        <w:rPr>
          <w:w w:val="95"/>
        </w:rPr>
        <w:t>Walsh</w:t>
      </w:r>
      <w:r>
        <w:rPr>
          <w:spacing w:val="-7"/>
          <w:w w:val="95"/>
        </w:rPr>
        <w:t xml:space="preserve"> </w:t>
      </w:r>
      <w:r>
        <w:rPr>
          <w:w w:val="95"/>
        </w:rPr>
        <w:t>Bay</w:t>
      </w:r>
      <w:r>
        <w:rPr>
          <w:spacing w:val="-7"/>
          <w:w w:val="95"/>
        </w:rPr>
        <w:t xml:space="preserve"> </w:t>
      </w:r>
      <w:r>
        <w:rPr>
          <w:w w:val="95"/>
        </w:rPr>
        <w:t>and</w:t>
      </w:r>
      <w:r>
        <w:rPr>
          <w:spacing w:val="-7"/>
          <w:w w:val="95"/>
        </w:rPr>
        <w:t xml:space="preserve"> </w:t>
      </w:r>
      <w:r>
        <w:rPr>
          <w:w w:val="95"/>
        </w:rPr>
        <w:t xml:space="preserve">the </w:t>
      </w:r>
      <w:r>
        <w:t>development</w:t>
      </w:r>
      <w:r>
        <w:rPr>
          <w:spacing w:val="-9"/>
        </w:rPr>
        <w:t xml:space="preserve"> </w:t>
      </w:r>
      <w:r>
        <w:t>of</w:t>
      </w:r>
      <w:r>
        <w:rPr>
          <w:spacing w:val="-9"/>
        </w:rPr>
        <w:t xml:space="preserve"> </w:t>
      </w:r>
      <w:r>
        <w:t>the</w:t>
      </w:r>
      <w:r>
        <w:rPr>
          <w:spacing w:val="-9"/>
        </w:rPr>
        <w:t xml:space="preserve"> </w:t>
      </w:r>
      <w:r>
        <w:t>Walsh</w:t>
      </w:r>
      <w:r>
        <w:rPr>
          <w:spacing w:val="-9"/>
        </w:rPr>
        <w:t xml:space="preserve"> </w:t>
      </w:r>
      <w:r>
        <w:t>Bay</w:t>
      </w:r>
      <w:r>
        <w:rPr>
          <w:spacing w:val="-9"/>
        </w:rPr>
        <w:t xml:space="preserve"> </w:t>
      </w:r>
      <w:r>
        <w:t>Arts</w:t>
      </w:r>
      <w:r>
        <w:rPr>
          <w:spacing w:val="-9"/>
        </w:rPr>
        <w:t xml:space="preserve"> </w:t>
      </w:r>
      <w:r>
        <w:t>Precinct.</w:t>
      </w:r>
    </w:p>
    <w:p w:rsidR="002C1123" w:rsidRDefault="00F22F94">
      <w:pPr>
        <w:pStyle w:val="BodyText"/>
        <w:spacing w:before="145" w:line="249" w:lineRule="auto"/>
        <w:ind w:left="10545" w:right="744"/>
      </w:pPr>
      <w:r>
        <w:rPr>
          <w:w w:val="95"/>
        </w:rPr>
        <w:t>The vision for Walsh Bay is to create a world class arts and</w:t>
      </w:r>
      <w:r>
        <w:rPr>
          <w:spacing w:val="-4"/>
          <w:w w:val="95"/>
        </w:rPr>
        <w:t xml:space="preserve"> </w:t>
      </w:r>
      <w:r>
        <w:rPr>
          <w:w w:val="95"/>
        </w:rPr>
        <w:t>culture</w:t>
      </w:r>
      <w:r>
        <w:rPr>
          <w:spacing w:val="-4"/>
          <w:w w:val="95"/>
        </w:rPr>
        <w:t xml:space="preserve"> </w:t>
      </w:r>
      <w:r>
        <w:rPr>
          <w:w w:val="95"/>
        </w:rPr>
        <w:t>precinct</w:t>
      </w:r>
      <w:r>
        <w:rPr>
          <w:spacing w:val="-4"/>
          <w:w w:val="95"/>
        </w:rPr>
        <w:t xml:space="preserve"> </w:t>
      </w:r>
      <w:r>
        <w:rPr>
          <w:w w:val="95"/>
        </w:rPr>
        <w:t>that</w:t>
      </w:r>
      <w:r>
        <w:rPr>
          <w:spacing w:val="-4"/>
          <w:w w:val="95"/>
        </w:rPr>
        <w:t xml:space="preserve"> </w:t>
      </w:r>
      <w:r>
        <w:rPr>
          <w:w w:val="95"/>
        </w:rPr>
        <w:t>supports</w:t>
      </w:r>
      <w:r>
        <w:rPr>
          <w:spacing w:val="-4"/>
          <w:w w:val="95"/>
        </w:rPr>
        <w:t xml:space="preserve"> </w:t>
      </w:r>
      <w:r>
        <w:rPr>
          <w:w w:val="95"/>
        </w:rPr>
        <w:t>and</w:t>
      </w:r>
      <w:r>
        <w:rPr>
          <w:spacing w:val="-4"/>
          <w:w w:val="95"/>
        </w:rPr>
        <w:t xml:space="preserve"> </w:t>
      </w:r>
      <w:r>
        <w:rPr>
          <w:w w:val="95"/>
        </w:rPr>
        <w:t>nurtures</w:t>
      </w:r>
      <w:r>
        <w:rPr>
          <w:spacing w:val="-4"/>
          <w:w w:val="95"/>
        </w:rPr>
        <w:t xml:space="preserve"> </w:t>
      </w:r>
      <w:r>
        <w:rPr>
          <w:w w:val="95"/>
        </w:rPr>
        <w:t xml:space="preserve">Sydney’s </w:t>
      </w:r>
      <w:r>
        <w:t>home-grown</w:t>
      </w:r>
      <w:r>
        <w:rPr>
          <w:spacing w:val="-14"/>
        </w:rPr>
        <w:t xml:space="preserve"> </w:t>
      </w:r>
      <w:r>
        <w:t>culture</w:t>
      </w:r>
      <w:r>
        <w:rPr>
          <w:spacing w:val="-14"/>
        </w:rPr>
        <w:t xml:space="preserve"> </w:t>
      </w:r>
      <w:r>
        <w:t>and</w:t>
      </w:r>
      <w:r>
        <w:rPr>
          <w:spacing w:val="-14"/>
        </w:rPr>
        <w:t xml:space="preserve"> </w:t>
      </w:r>
      <w:r>
        <w:t>creativity,</w:t>
      </w:r>
      <w:r>
        <w:rPr>
          <w:spacing w:val="-14"/>
        </w:rPr>
        <w:t xml:space="preserve"> </w:t>
      </w:r>
      <w:r>
        <w:t>including</w:t>
      </w:r>
      <w:r>
        <w:rPr>
          <w:spacing w:val="-14"/>
        </w:rPr>
        <w:t xml:space="preserve"> </w:t>
      </w:r>
      <w:r>
        <w:t>the</w:t>
      </w:r>
      <w:r>
        <w:rPr>
          <w:spacing w:val="-14"/>
        </w:rPr>
        <w:t xml:space="preserve"> </w:t>
      </w:r>
      <w:r>
        <w:t xml:space="preserve">next </w:t>
      </w:r>
      <w:r>
        <w:rPr>
          <w:w w:val="95"/>
        </w:rPr>
        <w:t>generation of artists, performers and cultural innovators.</w:t>
      </w:r>
    </w:p>
    <w:p w:rsidR="002C1123" w:rsidRDefault="002060EF">
      <w:pPr>
        <w:pStyle w:val="BodyText"/>
        <w:spacing w:before="145" w:line="249" w:lineRule="auto"/>
        <w:ind w:left="10545" w:right="709"/>
      </w:pPr>
      <w:r>
        <w:pict>
          <v:shape id="_x0000_s1201" type="#_x0000_t136" style="position:absolute;left:0;text-align:left;margin-left:235.65pt;margin-top:87.7pt;width:24.35pt;height:7pt;rotation:86;z-index:251736064;mso-position-horizontal-relative:page" fillcolor="black" stroked="f">
            <o:extrusion v:ext="view" autorotationcenter="t"/>
            <v:textpath style="font-family:&quot;Arial&quot;;font-size:7pt;v-text-kern:t;mso-text-shadow:auto" string="Sussex St"/>
            <w10:wrap anchorx="page"/>
          </v:shape>
        </w:pict>
      </w:r>
      <w:r>
        <w:pict>
          <v:shape id="_x0000_s1200" type="#_x0000_t136" style="position:absolute;left:0;text-align:left;margin-left:282.45pt;margin-top:65.3pt;width:22.7pt;height:7pt;rotation:357;z-index:251745280;mso-position-horizontal-relative:page" fillcolor="black" stroked="f">
            <o:extrusion v:ext="view" autorotationcenter="t"/>
            <v:textpath style="font-family:&quot;Arial&quot;;font-size:7pt;v-text-kern:t;mso-text-shadow:auto" string="Bridge St"/>
            <w10:wrap anchorx="page"/>
          </v:shape>
        </w:pict>
      </w:r>
      <w:r w:rsidR="00F22F94">
        <w:t>It</w:t>
      </w:r>
      <w:r w:rsidR="00F22F94">
        <w:rPr>
          <w:spacing w:val="-14"/>
        </w:rPr>
        <w:t xml:space="preserve"> </w:t>
      </w:r>
      <w:r w:rsidR="00F22F94">
        <w:t>will</w:t>
      </w:r>
      <w:r w:rsidR="00F22F94">
        <w:rPr>
          <w:spacing w:val="-14"/>
        </w:rPr>
        <w:t xml:space="preserve"> </w:t>
      </w:r>
      <w:r w:rsidR="00F22F94">
        <w:t>be</w:t>
      </w:r>
      <w:r w:rsidR="00F22F94">
        <w:rPr>
          <w:spacing w:val="-14"/>
        </w:rPr>
        <w:t xml:space="preserve"> </w:t>
      </w:r>
      <w:r w:rsidR="00F22F94">
        <w:t>a</w:t>
      </w:r>
      <w:r w:rsidR="00F22F94">
        <w:rPr>
          <w:spacing w:val="-14"/>
        </w:rPr>
        <w:t xml:space="preserve"> </w:t>
      </w:r>
      <w:r w:rsidR="00F22F94">
        <w:t>distinctly</w:t>
      </w:r>
      <w:r w:rsidR="00F22F94">
        <w:rPr>
          <w:spacing w:val="-14"/>
        </w:rPr>
        <w:t xml:space="preserve"> </w:t>
      </w:r>
      <w:r w:rsidR="00F22F94">
        <w:t>Sydney</w:t>
      </w:r>
      <w:r w:rsidR="00F22F94">
        <w:rPr>
          <w:spacing w:val="-14"/>
        </w:rPr>
        <w:t xml:space="preserve"> </w:t>
      </w:r>
      <w:r w:rsidR="00F22F94">
        <w:t>experience</w:t>
      </w:r>
      <w:r w:rsidR="00F22F94">
        <w:rPr>
          <w:spacing w:val="-14"/>
        </w:rPr>
        <w:t xml:space="preserve"> </w:t>
      </w:r>
      <w:r w:rsidR="00F22F94">
        <w:t>profiling</w:t>
      </w:r>
      <w:r w:rsidR="00F22F94">
        <w:rPr>
          <w:spacing w:val="-14"/>
        </w:rPr>
        <w:t xml:space="preserve"> </w:t>
      </w:r>
      <w:r w:rsidR="00F22F94">
        <w:t>the State’s</w:t>
      </w:r>
      <w:r w:rsidR="00F22F94">
        <w:rPr>
          <w:spacing w:val="-14"/>
        </w:rPr>
        <w:t xml:space="preserve"> </w:t>
      </w:r>
      <w:r w:rsidR="00F22F94">
        <w:t>major</w:t>
      </w:r>
      <w:r w:rsidR="00F22F94">
        <w:rPr>
          <w:spacing w:val="-14"/>
        </w:rPr>
        <w:t xml:space="preserve"> </w:t>
      </w:r>
      <w:r w:rsidR="00F22F94">
        <w:t>arts</w:t>
      </w:r>
      <w:r w:rsidR="00F22F94">
        <w:rPr>
          <w:spacing w:val="-14"/>
        </w:rPr>
        <w:t xml:space="preserve"> </w:t>
      </w:r>
      <w:r w:rsidR="00F22F94">
        <w:t>organisations</w:t>
      </w:r>
      <w:r w:rsidR="00F22F94">
        <w:rPr>
          <w:spacing w:val="-14"/>
        </w:rPr>
        <w:t xml:space="preserve"> </w:t>
      </w:r>
      <w:r w:rsidR="00F22F94">
        <w:t>in</w:t>
      </w:r>
      <w:r w:rsidR="00F22F94">
        <w:rPr>
          <w:spacing w:val="-14"/>
        </w:rPr>
        <w:t xml:space="preserve"> </w:t>
      </w:r>
      <w:r w:rsidR="00F22F94">
        <w:t>a</w:t>
      </w:r>
      <w:r w:rsidR="00F22F94">
        <w:rPr>
          <w:spacing w:val="-14"/>
        </w:rPr>
        <w:t xml:space="preserve"> </w:t>
      </w:r>
      <w:r w:rsidR="00F22F94">
        <w:t>renewed</w:t>
      </w:r>
      <w:r w:rsidR="00F22F94">
        <w:rPr>
          <w:spacing w:val="-14"/>
        </w:rPr>
        <w:t xml:space="preserve"> </w:t>
      </w:r>
      <w:r w:rsidR="00F22F94">
        <w:t xml:space="preserve">urban </w:t>
      </w:r>
      <w:r w:rsidR="00F22F94">
        <w:rPr>
          <w:w w:val="95"/>
        </w:rPr>
        <w:t>environment. It will complement neighbouring cultural activities</w:t>
      </w:r>
      <w:r w:rsidR="00F22F94">
        <w:rPr>
          <w:spacing w:val="-6"/>
          <w:w w:val="95"/>
        </w:rPr>
        <w:t xml:space="preserve"> </w:t>
      </w:r>
      <w:r w:rsidR="00F22F94">
        <w:rPr>
          <w:w w:val="95"/>
        </w:rPr>
        <w:t>at</w:t>
      </w:r>
      <w:r w:rsidR="00F22F94">
        <w:rPr>
          <w:spacing w:val="-6"/>
          <w:w w:val="95"/>
        </w:rPr>
        <w:t xml:space="preserve"> </w:t>
      </w:r>
      <w:r w:rsidR="00F22F94">
        <w:rPr>
          <w:w w:val="95"/>
        </w:rPr>
        <w:t>Barangaroo,</w:t>
      </w:r>
      <w:r w:rsidR="00F22F94">
        <w:rPr>
          <w:spacing w:val="-6"/>
          <w:w w:val="95"/>
        </w:rPr>
        <w:t xml:space="preserve"> </w:t>
      </w:r>
      <w:r w:rsidR="00F22F94">
        <w:rPr>
          <w:w w:val="95"/>
        </w:rPr>
        <w:t>Sydney</w:t>
      </w:r>
      <w:r w:rsidR="00F22F94">
        <w:rPr>
          <w:spacing w:val="-6"/>
          <w:w w:val="95"/>
        </w:rPr>
        <w:t xml:space="preserve"> </w:t>
      </w:r>
      <w:r w:rsidR="00F22F94">
        <w:rPr>
          <w:w w:val="95"/>
        </w:rPr>
        <w:t>Opera</w:t>
      </w:r>
      <w:r w:rsidR="00F22F94">
        <w:rPr>
          <w:spacing w:val="-6"/>
          <w:w w:val="95"/>
        </w:rPr>
        <w:t xml:space="preserve"> </w:t>
      </w:r>
      <w:r w:rsidR="00F22F94">
        <w:rPr>
          <w:w w:val="95"/>
        </w:rPr>
        <w:t>House</w:t>
      </w:r>
      <w:r w:rsidR="00F22F94">
        <w:rPr>
          <w:spacing w:val="-6"/>
          <w:w w:val="95"/>
        </w:rPr>
        <w:t xml:space="preserve"> </w:t>
      </w:r>
      <w:r w:rsidR="00F22F94">
        <w:rPr>
          <w:w w:val="95"/>
        </w:rPr>
        <w:t>and</w:t>
      </w:r>
      <w:r w:rsidR="00F22F94">
        <w:rPr>
          <w:spacing w:val="-6"/>
          <w:w w:val="95"/>
        </w:rPr>
        <w:t xml:space="preserve"> </w:t>
      </w:r>
      <w:r w:rsidR="00F22F94">
        <w:rPr>
          <w:w w:val="95"/>
        </w:rPr>
        <w:t xml:space="preserve">the </w:t>
      </w:r>
      <w:r w:rsidR="00F22F94">
        <w:t>Museum</w:t>
      </w:r>
      <w:r w:rsidR="00F22F94">
        <w:rPr>
          <w:spacing w:val="-8"/>
        </w:rPr>
        <w:t xml:space="preserve"> </w:t>
      </w:r>
      <w:r w:rsidR="00F22F94">
        <w:t>of</w:t>
      </w:r>
      <w:r w:rsidR="00F22F94">
        <w:rPr>
          <w:spacing w:val="-8"/>
        </w:rPr>
        <w:t xml:space="preserve"> </w:t>
      </w:r>
      <w:r w:rsidR="00F22F94">
        <w:t>Contemporary</w:t>
      </w:r>
      <w:r w:rsidR="00F22F94">
        <w:rPr>
          <w:spacing w:val="-8"/>
        </w:rPr>
        <w:t xml:space="preserve"> </w:t>
      </w:r>
      <w:r w:rsidR="00F22F94">
        <w:t>Art.</w:t>
      </w:r>
      <w:r w:rsidR="00F22F94">
        <w:rPr>
          <w:spacing w:val="-8"/>
        </w:rPr>
        <w:t xml:space="preserve"> </w:t>
      </w:r>
      <w:r w:rsidR="00F22F94">
        <w:t>A</w:t>
      </w:r>
      <w:r w:rsidR="00F22F94">
        <w:rPr>
          <w:spacing w:val="-8"/>
        </w:rPr>
        <w:t xml:space="preserve"> </w:t>
      </w:r>
      <w:r w:rsidR="00F22F94">
        <w:t>masterplan</w:t>
      </w:r>
      <w:r w:rsidR="00F22F94">
        <w:rPr>
          <w:spacing w:val="-8"/>
        </w:rPr>
        <w:t xml:space="preserve"> </w:t>
      </w:r>
      <w:r w:rsidR="00F22F94">
        <w:t>for</w:t>
      </w:r>
      <w:r w:rsidR="00F22F94">
        <w:rPr>
          <w:spacing w:val="-8"/>
        </w:rPr>
        <w:t xml:space="preserve"> </w:t>
      </w:r>
      <w:r w:rsidR="00F22F94">
        <w:t>the investment has been completed.</w:t>
      </w:r>
    </w:p>
    <w:p w:rsidR="002C1123" w:rsidRDefault="00F22F94">
      <w:pPr>
        <w:pStyle w:val="Heading6"/>
        <w:spacing w:before="147"/>
        <w:ind w:left="10545"/>
      </w:pPr>
      <w:r>
        <w:t>Art</w:t>
      </w:r>
      <w:r>
        <w:rPr>
          <w:spacing w:val="-12"/>
        </w:rPr>
        <w:t xml:space="preserve"> </w:t>
      </w:r>
      <w:r>
        <w:t>Gallery</w:t>
      </w:r>
      <w:r>
        <w:rPr>
          <w:spacing w:val="-11"/>
        </w:rPr>
        <w:t xml:space="preserve"> </w:t>
      </w:r>
      <w:r>
        <w:t>of</w:t>
      </w:r>
      <w:r>
        <w:rPr>
          <w:spacing w:val="-12"/>
        </w:rPr>
        <w:t xml:space="preserve"> </w:t>
      </w:r>
      <w:r>
        <w:rPr>
          <w:spacing w:val="-5"/>
        </w:rPr>
        <w:t>NSW</w:t>
      </w:r>
    </w:p>
    <w:p w:rsidR="002C1123" w:rsidRDefault="002060EF">
      <w:pPr>
        <w:pStyle w:val="BodyText"/>
        <w:spacing w:before="10" w:line="249" w:lineRule="auto"/>
        <w:ind w:left="10545" w:right="744"/>
      </w:pPr>
      <w:r>
        <w:pict>
          <v:shape id="_x0000_s1199" type="#_x0000_t136" style="position:absolute;left:0;text-align:left;margin-left:278.7pt;margin-top:9.05pt;width:17.75pt;height:7pt;rotation:7;z-index:251725824;mso-position-horizontal-relative:page" fillcolor="black" stroked="f">
            <o:extrusion v:ext="view" autorotationcenter="t"/>
            <v:textpath style="font-family:&quot;Arial&quot;;font-size:7pt;v-text-kern:t;mso-text-shadow:auto" string="King St"/>
            <w10:wrap anchorx="page"/>
          </v:shape>
        </w:pict>
      </w:r>
      <w:r>
        <w:pict>
          <v:shape id="_x0000_s1198" type="#_x0000_t136" style="position:absolute;left:0;text-align:left;margin-left:254.7pt;margin-top:69.65pt;width:29.05pt;height:7pt;rotation:7;z-index:251726848;mso-position-horizontal-relative:page" fillcolor="black" stroked="f">
            <o:extrusion v:ext="view" autorotationcenter="t"/>
            <v:textpath style="font-family:&quot;Arial&quot;;font-size:7pt;v-text-kern:t;mso-text-shadow:auto" string="Liverpool St"/>
            <w10:wrap anchorx="page"/>
          </v:shape>
        </w:pict>
      </w:r>
      <w:r>
        <w:pict>
          <v:shape id="_x0000_s1197" type="#_x0000_t136" style="position:absolute;left:0;text-align:left;margin-left:248.6pt;margin-top:80.6pt;width:29.3pt;height:7pt;rotation:7;z-index:251727872;mso-position-horizontal-relative:page" fillcolor="black" stroked="f">
            <o:extrusion v:ext="view" autorotationcenter="t"/>
            <v:textpath style="font-family:&quot;Arial&quot;;font-size:7pt;v-text-kern:t;mso-text-shadow:auto" string="Goulburn St"/>
            <w10:wrap anchorx="page"/>
          </v:shape>
        </w:pict>
      </w:r>
      <w:r>
        <w:pict>
          <v:shape id="_x0000_s1196" type="#_x0000_t136" style="position:absolute;left:0;text-align:left;margin-left:348.7pt;margin-top:92.65pt;width:23.2pt;height:7pt;rotation:7;z-index:251728896;mso-position-horizontal-relative:page" fillcolor="black" stroked="f">
            <o:extrusion v:ext="view" autorotationcenter="t"/>
            <v:textpath style="font-family:&quot;Arial&quot;;font-size:7pt;v-text-kern:t;mso-text-shadow:auto" string="Burton St"/>
            <w10:wrap anchorx="page"/>
          </v:shape>
        </w:pict>
      </w:r>
      <w:r>
        <w:pict>
          <v:shape id="_x0000_s1195" type="#_x0000_t136" style="position:absolute;left:0;text-align:left;margin-left:110.5pt;margin-top:6.55pt;width:29.95pt;height:7pt;rotation:16;z-index:251729920;mso-position-horizontal-relative:page" fillcolor="black" stroked="f">
            <o:extrusion v:ext="view" autorotationcenter="t"/>
            <v:textpath style="font-family:&quot;Arial&quot;;font-size:7pt;v-text-kern:t;mso-text-shadow:auto" string="M4 Western"/>
            <w10:wrap anchorx="page"/>
          </v:shape>
        </w:pict>
      </w:r>
      <w:r>
        <w:pict>
          <v:shape id="_x0000_s1194" type="#_x0000_t136" style="position:absolute;left:0;text-align:left;margin-left:99.6pt;margin-top:13.3pt;width:47.85pt;height:7pt;rotation:16;z-index:251730944;mso-position-horizontal-relative:page" fillcolor="black" stroked="f">
            <o:extrusion v:ext="view" autorotationcenter="t"/>
            <v:textpath style="font-family:&quot;Arial&quot;;font-size:7pt;v-text-kern:t;mso-text-shadow:auto" string="Distributor Freeway"/>
            <w10:wrap anchorx="page"/>
          </v:shape>
        </w:pict>
      </w:r>
      <w:r>
        <w:pict>
          <v:shape id="_x0000_s1193" type="#_x0000_t136" style="position:absolute;left:0;text-align:left;margin-left:186.3pt;margin-top:88.35pt;width:22.3pt;height:7pt;rotation:65;z-index:251732992;mso-position-horizontal-relative:page" fillcolor="black" stroked="f">
            <o:extrusion v:ext="view" autorotationcenter="t"/>
            <v:textpath style="font-family:&quot;Arial&quot;;font-size:7pt;v-text-kern:t;mso-text-shadow:auto" string="Wattle St"/>
            <w10:wrap anchorx="page"/>
          </v:shape>
        </w:pict>
      </w:r>
      <w:r>
        <w:pict>
          <v:shape id="_x0000_s1192" type="#_x0000_t136" style="position:absolute;left:0;text-align:left;margin-left:259.95pt;margin-top:7.2pt;width:17.25pt;height:7pt;rotation:82;z-index:251735040;mso-position-horizontal-relative:page" fillcolor="black" stroked="f">
            <o:extrusion v:ext="view" autorotationcenter="t"/>
            <v:textpath style="font-family:&quot;Arial&quot;;font-size:7pt;v-text-kern:t;mso-text-shadow:auto" string="York St"/>
            <w10:wrap anchorx="page"/>
          </v:shape>
        </w:pict>
      </w:r>
      <w:r>
        <w:pict>
          <v:shape id="_x0000_s1191" type="#_x0000_t136" style="position:absolute;left:0;text-align:left;margin-left:315.85pt;margin-top:79.35pt;width:22.55pt;height:7pt;rotation:278;z-index:251739136;mso-position-horizontal-relative:page" fillcolor="black" stroked="f">
            <o:extrusion v:ext="view" autorotationcenter="t"/>
            <v:textpath style="font-family:&quot;Arial&quot;;font-size:7pt;v-text-kern:t;mso-text-shadow:auto" string="Crown St"/>
            <w10:wrap anchorx="page"/>
          </v:shape>
        </w:pict>
      </w:r>
      <w:r>
        <w:pict>
          <v:shape id="_x0000_s1190" type="#_x0000_t136" style="position:absolute;left:0;text-align:left;margin-left:80.85pt;margin-top:101.6pt;width:27.65pt;height:7pt;rotation:327;z-index:251742208;mso-position-horizontal-relative:page" fillcolor="black" stroked="f">
            <o:extrusion v:ext="view" autorotationcenter="t"/>
            <v:textpath style="font-family:&quot;Arial&quot;;font-size:7pt;v-text-kern:t;mso-text-shadow:auto" string="Wigram Rd"/>
            <w10:wrap anchorx="page"/>
          </v:shape>
        </w:pict>
      </w:r>
      <w:r>
        <w:pict>
          <v:shape id="_x0000_s1189" type="#_x0000_t136" style="position:absolute;left:0;text-align:left;margin-left:235.7pt;margin-top:105.6pt;width:24pt;height:7pt;rotation:336;z-index:251743232;mso-position-horizontal-relative:page" fillcolor="black" stroked="f">
            <o:extrusion v:ext="view" autorotationcenter="t"/>
            <v:textpath style="font-family:&quot;Arial&quot;;font-size:7pt;v-text-kern:t;mso-text-shadow:auto" string="Ultimo Rd"/>
            <w10:wrap anchorx="page"/>
          </v:shape>
        </w:pict>
      </w:r>
      <w:r w:rsidR="00F22F94">
        <w:t>The</w:t>
      </w:r>
      <w:r w:rsidR="00F22F94">
        <w:rPr>
          <w:spacing w:val="-12"/>
        </w:rPr>
        <w:t xml:space="preserve"> </w:t>
      </w:r>
      <w:r w:rsidR="00F22F94">
        <w:t>Art</w:t>
      </w:r>
      <w:r w:rsidR="00F22F94">
        <w:rPr>
          <w:spacing w:val="-12"/>
        </w:rPr>
        <w:t xml:space="preserve"> </w:t>
      </w:r>
      <w:r w:rsidR="00F22F94">
        <w:t>Gallery</w:t>
      </w:r>
      <w:r w:rsidR="00F22F94">
        <w:rPr>
          <w:spacing w:val="-12"/>
        </w:rPr>
        <w:t xml:space="preserve"> </w:t>
      </w:r>
      <w:r w:rsidR="00F22F94">
        <w:t>has</w:t>
      </w:r>
      <w:r w:rsidR="00F22F94">
        <w:rPr>
          <w:spacing w:val="-12"/>
        </w:rPr>
        <w:t xml:space="preserve"> </w:t>
      </w:r>
      <w:r w:rsidR="00F22F94">
        <w:t>reached</w:t>
      </w:r>
      <w:r w:rsidR="00F22F94">
        <w:rPr>
          <w:spacing w:val="-12"/>
        </w:rPr>
        <w:t xml:space="preserve"> </w:t>
      </w:r>
      <w:r w:rsidR="00F22F94">
        <w:t>the</w:t>
      </w:r>
      <w:r w:rsidR="00F22F94">
        <w:rPr>
          <w:spacing w:val="-12"/>
        </w:rPr>
        <w:t xml:space="preserve"> </w:t>
      </w:r>
      <w:r w:rsidR="00F22F94">
        <w:t>capacity</w:t>
      </w:r>
      <w:r w:rsidR="00F22F94">
        <w:rPr>
          <w:spacing w:val="-12"/>
        </w:rPr>
        <w:t xml:space="preserve"> </w:t>
      </w:r>
      <w:r w:rsidR="00F22F94">
        <w:t>of</w:t>
      </w:r>
      <w:r w:rsidR="00F22F94">
        <w:rPr>
          <w:spacing w:val="-12"/>
        </w:rPr>
        <w:t xml:space="preserve"> </w:t>
      </w:r>
      <w:r w:rsidR="00F22F94">
        <w:t>its</w:t>
      </w:r>
      <w:r w:rsidR="00F22F94">
        <w:rPr>
          <w:spacing w:val="-12"/>
        </w:rPr>
        <w:t xml:space="preserve"> </w:t>
      </w:r>
      <w:r w:rsidR="00F22F94">
        <w:t xml:space="preserve">current </w:t>
      </w:r>
      <w:r w:rsidR="00F22F94">
        <w:rPr>
          <w:spacing w:val="-2"/>
        </w:rPr>
        <w:t>footprint</w:t>
      </w:r>
      <w:r w:rsidR="00F22F94">
        <w:rPr>
          <w:spacing w:val="-9"/>
        </w:rPr>
        <w:t xml:space="preserve"> </w:t>
      </w:r>
      <w:r w:rsidR="00F22F94">
        <w:rPr>
          <w:spacing w:val="-2"/>
        </w:rPr>
        <w:t>and</w:t>
      </w:r>
      <w:r w:rsidR="00F22F94">
        <w:rPr>
          <w:spacing w:val="-9"/>
        </w:rPr>
        <w:t xml:space="preserve"> </w:t>
      </w:r>
      <w:r w:rsidR="00F22F94">
        <w:rPr>
          <w:spacing w:val="-2"/>
        </w:rPr>
        <w:t>proposes</w:t>
      </w:r>
      <w:r w:rsidR="00F22F94">
        <w:rPr>
          <w:spacing w:val="-9"/>
        </w:rPr>
        <w:t xml:space="preserve"> </w:t>
      </w:r>
      <w:r w:rsidR="00F22F94">
        <w:rPr>
          <w:spacing w:val="-2"/>
        </w:rPr>
        <w:t>to</w:t>
      </w:r>
      <w:r w:rsidR="00F22F94">
        <w:rPr>
          <w:spacing w:val="-9"/>
        </w:rPr>
        <w:t xml:space="preserve"> </w:t>
      </w:r>
      <w:r w:rsidR="00F22F94">
        <w:rPr>
          <w:spacing w:val="-2"/>
        </w:rPr>
        <w:t>double</w:t>
      </w:r>
      <w:r w:rsidR="00F22F94">
        <w:rPr>
          <w:spacing w:val="-9"/>
        </w:rPr>
        <w:t xml:space="preserve"> </w:t>
      </w:r>
      <w:r w:rsidR="00F22F94">
        <w:rPr>
          <w:spacing w:val="-2"/>
        </w:rPr>
        <w:t>the</w:t>
      </w:r>
      <w:r w:rsidR="00F22F94">
        <w:rPr>
          <w:spacing w:val="-9"/>
        </w:rPr>
        <w:t xml:space="preserve"> </w:t>
      </w:r>
      <w:r w:rsidR="00F22F94">
        <w:rPr>
          <w:spacing w:val="-2"/>
        </w:rPr>
        <w:t>floor</w:t>
      </w:r>
      <w:r w:rsidR="00F22F94">
        <w:rPr>
          <w:spacing w:val="-9"/>
        </w:rPr>
        <w:t xml:space="preserve"> </w:t>
      </w:r>
      <w:r w:rsidR="00F22F94">
        <w:rPr>
          <w:spacing w:val="-2"/>
        </w:rPr>
        <w:t>area</w:t>
      </w:r>
      <w:r w:rsidR="00F22F94">
        <w:rPr>
          <w:spacing w:val="-9"/>
        </w:rPr>
        <w:t xml:space="preserve"> </w:t>
      </w:r>
      <w:r w:rsidR="00F22F94">
        <w:rPr>
          <w:spacing w:val="-2"/>
        </w:rPr>
        <w:t xml:space="preserve">through </w:t>
      </w:r>
      <w:r w:rsidR="00F22F94">
        <w:t>the</w:t>
      </w:r>
      <w:r w:rsidR="00F22F94">
        <w:rPr>
          <w:spacing w:val="-6"/>
        </w:rPr>
        <w:t xml:space="preserve"> </w:t>
      </w:r>
      <w:r w:rsidR="00F22F94">
        <w:t>construction</w:t>
      </w:r>
      <w:r w:rsidR="00F22F94">
        <w:rPr>
          <w:spacing w:val="-6"/>
        </w:rPr>
        <w:t xml:space="preserve"> </w:t>
      </w:r>
      <w:r w:rsidR="00F22F94">
        <w:t>of</w:t>
      </w:r>
      <w:r w:rsidR="00F22F94">
        <w:rPr>
          <w:spacing w:val="-6"/>
        </w:rPr>
        <w:t xml:space="preserve"> </w:t>
      </w:r>
      <w:r w:rsidR="00F22F94">
        <w:t>a</w:t>
      </w:r>
      <w:r w:rsidR="00F22F94">
        <w:rPr>
          <w:spacing w:val="-6"/>
        </w:rPr>
        <w:t xml:space="preserve"> </w:t>
      </w:r>
      <w:r w:rsidR="00F22F94">
        <w:t>new</w:t>
      </w:r>
      <w:r w:rsidR="00F22F94">
        <w:rPr>
          <w:spacing w:val="-6"/>
        </w:rPr>
        <w:t xml:space="preserve"> </w:t>
      </w:r>
      <w:r w:rsidR="00F22F94">
        <w:t>wing,</w:t>
      </w:r>
      <w:r w:rsidR="00F22F94">
        <w:rPr>
          <w:spacing w:val="-6"/>
        </w:rPr>
        <w:t xml:space="preserve"> </w:t>
      </w:r>
      <w:r w:rsidR="00F22F94">
        <w:t>possibly</w:t>
      </w:r>
      <w:r w:rsidR="00F22F94">
        <w:rPr>
          <w:spacing w:val="-6"/>
        </w:rPr>
        <w:t xml:space="preserve"> </w:t>
      </w:r>
      <w:r w:rsidR="00F22F94">
        <w:t>to</w:t>
      </w:r>
      <w:r w:rsidR="00F22F94">
        <w:rPr>
          <w:spacing w:val="-6"/>
        </w:rPr>
        <w:t xml:space="preserve"> </w:t>
      </w:r>
      <w:r w:rsidR="00F22F94">
        <w:t>the</w:t>
      </w:r>
      <w:r w:rsidR="00F22F94">
        <w:rPr>
          <w:spacing w:val="-6"/>
        </w:rPr>
        <w:t xml:space="preserve"> </w:t>
      </w:r>
      <w:r w:rsidR="00F22F94">
        <w:t xml:space="preserve">North </w:t>
      </w:r>
      <w:r w:rsidR="00F22F94">
        <w:rPr>
          <w:w w:val="95"/>
        </w:rPr>
        <w:t>East</w:t>
      </w:r>
      <w:r w:rsidR="00F22F94">
        <w:rPr>
          <w:spacing w:val="-6"/>
          <w:w w:val="95"/>
        </w:rPr>
        <w:t xml:space="preserve"> </w:t>
      </w:r>
      <w:r w:rsidR="00F22F94">
        <w:rPr>
          <w:w w:val="95"/>
        </w:rPr>
        <w:t>of</w:t>
      </w:r>
      <w:r w:rsidR="00F22F94">
        <w:rPr>
          <w:spacing w:val="-6"/>
          <w:w w:val="95"/>
        </w:rPr>
        <w:t xml:space="preserve"> </w:t>
      </w:r>
      <w:r w:rsidR="00F22F94">
        <w:rPr>
          <w:w w:val="95"/>
        </w:rPr>
        <w:t>the</w:t>
      </w:r>
      <w:r w:rsidR="00F22F94">
        <w:rPr>
          <w:spacing w:val="-6"/>
          <w:w w:val="95"/>
        </w:rPr>
        <w:t xml:space="preserve"> </w:t>
      </w:r>
      <w:r w:rsidR="00F22F94">
        <w:rPr>
          <w:w w:val="95"/>
        </w:rPr>
        <w:t>existing</w:t>
      </w:r>
      <w:r w:rsidR="00F22F94">
        <w:rPr>
          <w:spacing w:val="-6"/>
          <w:w w:val="95"/>
        </w:rPr>
        <w:t xml:space="preserve"> </w:t>
      </w:r>
      <w:r w:rsidR="00F22F94">
        <w:rPr>
          <w:w w:val="95"/>
        </w:rPr>
        <w:t>building,</w:t>
      </w:r>
      <w:r w:rsidR="00F22F94">
        <w:rPr>
          <w:spacing w:val="-6"/>
          <w:w w:val="95"/>
        </w:rPr>
        <w:t xml:space="preserve"> </w:t>
      </w:r>
      <w:r w:rsidR="00F22F94">
        <w:rPr>
          <w:w w:val="95"/>
        </w:rPr>
        <w:t>at</w:t>
      </w:r>
      <w:r w:rsidR="00F22F94">
        <w:rPr>
          <w:spacing w:val="-6"/>
          <w:w w:val="95"/>
        </w:rPr>
        <w:t xml:space="preserve"> </w:t>
      </w:r>
      <w:r w:rsidR="00F22F94">
        <w:rPr>
          <w:w w:val="95"/>
        </w:rPr>
        <w:t>an</w:t>
      </w:r>
      <w:r w:rsidR="00F22F94">
        <w:rPr>
          <w:spacing w:val="-6"/>
          <w:w w:val="95"/>
        </w:rPr>
        <w:t xml:space="preserve"> </w:t>
      </w:r>
      <w:r w:rsidR="00F22F94">
        <w:rPr>
          <w:w w:val="95"/>
        </w:rPr>
        <w:t>estimated</w:t>
      </w:r>
      <w:r w:rsidR="00F22F94">
        <w:rPr>
          <w:spacing w:val="-6"/>
          <w:w w:val="95"/>
        </w:rPr>
        <w:t xml:space="preserve"> </w:t>
      </w:r>
      <w:r w:rsidR="00F22F94">
        <w:rPr>
          <w:w w:val="95"/>
        </w:rPr>
        <w:t>capital</w:t>
      </w:r>
      <w:r w:rsidR="00F22F94">
        <w:rPr>
          <w:spacing w:val="-6"/>
          <w:w w:val="95"/>
        </w:rPr>
        <w:t xml:space="preserve"> </w:t>
      </w:r>
      <w:r w:rsidR="00F22F94">
        <w:rPr>
          <w:w w:val="95"/>
        </w:rPr>
        <w:t xml:space="preserve">cost </w:t>
      </w:r>
      <w:r w:rsidR="00F22F94">
        <w:t>of</w:t>
      </w:r>
      <w:r w:rsidR="00F22F94">
        <w:rPr>
          <w:spacing w:val="-11"/>
        </w:rPr>
        <w:t xml:space="preserve"> </w:t>
      </w:r>
      <w:r w:rsidR="00F22F94">
        <w:t>$400</w:t>
      </w:r>
      <w:r w:rsidR="00F22F94">
        <w:rPr>
          <w:spacing w:val="-11"/>
        </w:rPr>
        <w:t xml:space="preserve"> </w:t>
      </w:r>
      <w:r w:rsidR="00F22F94">
        <w:t>million.</w:t>
      </w:r>
      <w:r w:rsidR="00F22F94">
        <w:rPr>
          <w:spacing w:val="-11"/>
        </w:rPr>
        <w:t xml:space="preserve"> </w:t>
      </w:r>
      <w:r w:rsidR="00F22F94">
        <w:t>The</w:t>
      </w:r>
      <w:r w:rsidR="00F22F94">
        <w:rPr>
          <w:spacing w:val="-11"/>
        </w:rPr>
        <w:t xml:space="preserve"> </w:t>
      </w:r>
      <w:r w:rsidR="00F22F94">
        <w:t>concepts</w:t>
      </w:r>
      <w:r w:rsidR="00F22F94">
        <w:rPr>
          <w:spacing w:val="-11"/>
        </w:rPr>
        <w:t xml:space="preserve"> </w:t>
      </w:r>
      <w:r w:rsidR="00F22F94">
        <w:t>for</w:t>
      </w:r>
      <w:r w:rsidR="00F22F94">
        <w:rPr>
          <w:spacing w:val="-11"/>
        </w:rPr>
        <w:t xml:space="preserve"> </w:t>
      </w:r>
      <w:r w:rsidR="00F22F94">
        <w:t>the</w:t>
      </w:r>
      <w:r w:rsidR="00F22F94">
        <w:rPr>
          <w:spacing w:val="-11"/>
        </w:rPr>
        <w:t xml:space="preserve"> </w:t>
      </w:r>
      <w:r w:rsidR="00F22F94">
        <w:t>expansion</w:t>
      </w:r>
      <w:r w:rsidR="00F22F94">
        <w:rPr>
          <w:spacing w:val="-11"/>
        </w:rPr>
        <w:t xml:space="preserve"> </w:t>
      </w:r>
      <w:r w:rsidR="00F22F94">
        <w:t>of</w:t>
      </w:r>
      <w:r w:rsidR="00F22F94">
        <w:rPr>
          <w:spacing w:val="-11"/>
        </w:rPr>
        <w:t xml:space="preserve"> </w:t>
      </w:r>
      <w:r w:rsidR="00F22F94">
        <w:t xml:space="preserve">the </w:t>
      </w:r>
      <w:r w:rsidR="00F22F94">
        <w:rPr>
          <w:w w:val="95"/>
        </w:rPr>
        <w:t xml:space="preserve">gallery could include new transport links and a doubling </w:t>
      </w:r>
      <w:r w:rsidR="00F22F94">
        <w:t>of</w:t>
      </w:r>
      <w:r w:rsidR="00F22F94">
        <w:rPr>
          <w:spacing w:val="-14"/>
        </w:rPr>
        <w:t xml:space="preserve"> </w:t>
      </w:r>
      <w:r w:rsidR="00F22F94">
        <w:t>the</w:t>
      </w:r>
      <w:r w:rsidR="00F22F94">
        <w:rPr>
          <w:spacing w:val="-14"/>
        </w:rPr>
        <w:t xml:space="preserve"> </w:t>
      </w:r>
      <w:r w:rsidR="00F22F94">
        <w:t>existing</w:t>
      </w:r>
      <w:r w:rsidR="00F22F94">
        <w:rPr>
          <w:spacing w:val="-14"/>
        </w:rPr>
        <w:t xml:space="preserve"> </w:t>
      </w:r>
      <w:r w:rsidR="00F22F94">
        <w:t>exhibition</w:t>
      </w:r>
      <w:r w:rsidR="00F22F94">
        <w:rPr>
          <w:spacing w:val="-14"/>
        </w:rPr>
        <w:t xml:space="preserve"> </w:t>
      </w:r>
      <w:r w:rsidR="00F22F94">
        <w:t>space</w:t>
      </w:r>
      <w:r w:rsidR="00F22F94">
        <w:rPr>
          <w:spacing w:val="-14"/>
        </w:rPr>
        <w:t xml:space="preserve"> </w:t>
      </w:r>
      <w:r w:rsidR="00F22F94">
        <w:t>as</w:t>
      </w:r>
      <w:r w:rsidR="00F22F94">
        <w:rPr>
          <w:spacing w:val="-14"/>
        </w:rPr>
        <w:t xml:space="preserve"> </w:t>
      </w:r>
      <w:r w:rsidR="00F22F94">
        <w:t>well</w:t>
      </w:r>
      <w:r w:rsidR="00F22F94">
        <w:rPr>
          <w:spacing w:val="-14"/>
        </w:rPr>
        <w:t xml:space="preserve"> </w:t>
      </w:r>
      <w:r w:rsidR="00F22F94">
        <w:t>as</w:t>
      </w:r>
      <w:r w:rsidR="00F22F94">
        <w:rPr>
          <w:spacing w:val="-14"/>
        </w:rPr>
        <w:t xml:space="preserve"> </w:t>
      </w:r>
      <w:r w:rsidR="00F22F94">
        <w:t>allowing</w:t>
      </w:r>
      <w:r w:rsidR="00F22F94">
        <w:rPr>
          <w:spacing w:val="-14"/>
        </w:rPr>
        <w:t xml:space="preserve"> </w:t>
      </w:r>
      <w:r w:rsidR="00F22F94">
        <w:t>for blockbuster</w:t>
      </w:r>
      <w:r w:rsidR="00F22F94">
        <w:rPr>
          <w:spacing w:val="-6"/>
        </w:rPr>
        <w:t xml:space="preserve"> </w:t>
      </w:r>
      <w:r w:rsidR="00F22F94">
        <w:t>exhibitions</w:t>
      </w:r>
      <w:r w:rsidR="00F22F94">
        <w:rPr>
          <w:spacing w:val="-6"/>
        </w:rPr>
        <w:t xml:space="preserve"> </w:t>
      </w:r>
      <w:r w:rsidR="00F22F94">
        <w:t>and</w:t>
      </w:r>
      <w:r w:rsidR="00F22F94">
        <w:rPr>
          <w:spacing w:val="-6"/>
        </w:rPr>
        <w:t xml:space="preserve"> </w:t>
      </w:r>
      <w:r w:rsidR="00F22F94">
        <w:t>more</w:t>
      </w:r>
      <w:r w:rsidR="00F22F94">
        <w:rPr>
          <w:spacing w:val="-6"/>
        </w:rPr>
        <w:t xml:space="preserve"> </w:t>
      </w:r>
      <w:r w:rsidR="00F22F94">
        <w:t>of</w:t>
      </w:r>
      <w:r w:rsidR="00F22F94">
        <w:rPr>
          <w:spacing w:val="-6"/>
        </w:rPr>
        <w:t xml:space="preserve"> </w:t>
      </w:r>
      <w:r w:rsidR="00F22F94">
        <w:t>the</w:t>
      </w:r>
      <w:r w:rsidR="00F22F94">
        <w:rPr>
          <w:spacing w:val="-6"/>
        </w:rPr>
        <w:t xml:space="preserve"> </w:t>
      </w:r>
      <w:r w:rsidR="00F22F94">
        <w:t>permanent collection to be on display.</w:t>
      </w:r>
    </w:p>
    <w:p w:rsidR="002C1123" w:rsidRDefault="002060EF">
      <w:pPr>
        <w:pStyle w:val="BodyText"/>
        <w:spacing w:before="149" w:line="249" w:lineRule="auto"/>
        <w:ind w:left="10545" w:right="709"/>
      </w:pPr>
      <w:r>
        <w:pict>
          <v:shape id="_x0000_s1188" type="#_x0000_t136" style="position:absolute;left:0;text-align:left;margin-left:352.05pt;margin-top:13.55pt;width:22.95pt;height:7pt;rotation:28;z-index:251731968;mso-position-horizontal-relative:page" fillcolor="black" stroked="f">
            <o:extrusion v:ext="view" autorotationcenter="t"/>
            <v:textpath style="font-family:&quot;Arial&quot;;font-size:7pt;v-text-kern:t;mso-text-shadow:auto" string="Oxford St"/>
            <w10:wrap anchorx="page"/>
          </v:shape>
        </w:pict>
      </w:r>
      <w:r>
        <w:pict>
          <v:shape id="_x0000_s1187" type="#_x0000_t136" style="position:absolute;left:0;text-align:left;margin-left:470.3pt;margin-top:19.05pt;width:22.7pt;height:7pt;rotation:77;z-index:251734016;mso-position-horizontal-relative:page" fillcolor="black" stroked="f">
            <o:extrusion v:ext="view" autorotationcenter="t"/>
            <v:textpath style="font-family:&quot;Arial&quot;;font-size:7pt;v-text-kern:t;mso-text-shadow:auto" string="Ocean St"/>
            <w10:wrap anchorx="page"/>
          </v:shape>
        </w:pict>
      </w:r>
      <w:r>
        <w:pict>
          <v:shape id="_x0000_s1186" type="#_x0000_t136" style="position:absolute;left:0;text-align:left;margin-left:268.75pt;margin-top:46.3pt;width:28.9pt;height:7pt;rotation:274;z-index:251737088;mso-position-horizontal-relative:page" fillcolor="black" stroked="f">
            <o:extrusion v:ext="view" autorotationcenter="t"/>
            <v:textpath style="font-family:&quot;Arial&quot;;font-size:7pt;v-text-kern:t;mso-text-shadow:auto" string="Elizabeth St"/>
            <w10:wrap anchorx="page"/>
          </v:shape>
        </w:pict>
      </w:r>
      <w:r>
        <w:pict>
          <v:shape id="_x0000_s1185" type="#_x0000_t136" style="position:absolute;left:0;text-align:left;margin-left:254.7pt;margin-top:43.3pt;width:30.35pt;height:7pt;rotation:278;z-index:251738112;mso-position-horizontal-relative:page" fillcolor="black" stroked="f">
            <o:extrusion v:ext="view" autorotationcenter="t"/>
            <v:textpath style="font-family:&quot;Arial&quot;;font-size:7pt;v-text-kern:t;mso-text-shadow:auto" string="Chalmers St"/>
            <w10:wrap anchorx="page"/>
          </v:shape>
        </w:pict>
      </w:r>
      <w:r>
        <w:pict>
          <v:shape id="_x0000_s1184" type="#_x0000_t136" style="position:absolute;left:0;text-align:left;margin-left:320.6pt;margin-top:34.5pt;width:24.1pt;height:7pt;rotation:278;z-index:251740160;mso-position-horizontal-relative:page" fillcolor="black" stroked="f">
            <o:extrusion v:ext="view" autorotationcenter="t"/>
            <v:textpath style="font-family:&quot;Arial&quot;;font-size:7pt;v-text-kern:t;mso-text-shadow:auto" string="Bourke St"/>
            <w10:wrap anchorx="page"/>
          </v:shape>
        </w:pict>
      </w:r>
      <w:r>
        <w:pict>
          <v:shape id="_x0000_s1183" type="#_x0000_t136" style="position:absolute;left:0;text-align:left;margin-left:252.05pt;margin-top:9.5pt;width:14.75pt;height:7pt;rotation:325;z-index:251741184;mso-position-horizontal-relative:page" fillcolor="black" stroked="f">
            <o:extrusion v:ext="view" autorotationcenter="t"/>
            <v:textpath style="font-family:&quot;Arial&quot;;font-size:7pt;v-text-kern:t;mso-text-shadow:auto" string="Pitt St"/>
            <w10:wrap anchorx="page"/>
          </v:shape>
        </w:pict>
      </w:r>
      <w:r>
        <w:pict>
          <v:shape id="_x0000_s1182" type="#_x0000_t136" style="position:absolute;left:0;text-align:left;margin-left:97.85pt;margin-top:33pt;width:35.8pt;height:7pt;rotation:346;z-index:251744256;mso-position-horizontal-relative:page" fillcolor="black" stroked="f">
            <o:extrusion v:ext="view" autorotationcenter="t"/>
            <v:textpath style="font-family:&quot;Arial&quot;;font-size:7pt;v-text-kern:t;mso-text-shadow:auto" string="Parramatta Rd"/>
            <w10:wrap anchorx="page"/>
          </v:shape>
        </w:pict>
      </w:r>
      <w:r w:rsidR="00F22F94">
        <w:rPr>
          <w:w w:val="95"/>
        </w:rPr>
        <w:t>There</w:t>
      </w:r>
      <w:r w:rsidR="00F22F94">
        <w:rPr>
          <w:spacing w:val="-3"/>
          <w:w w:val="95"/>
        </w:rPr>
        <w:t xml:space="preserve"> </w:t>
      </w:r>
      <w:r w:rsidR="00F22F94">
        <w:rPr>
          <w:w w:val="95"/>
        </w:rPr>
        <w:t>is</w:t>
      </w:r>
      <w:r w:rsidR="00F22F94">
        <w:rPr>
          <w:spacing w:val="-3"/>
          <w:w w:val="95"/>
        </w:rPr>
        <w:t xml:space="preserve"> </w:t>
      </w:r>
      <w:r w:rsidR="00F22F94">
        <w:rPr>
          <w:w w:val="95"/>
        </w:rPr>
        <w:t>an</w:t>
      </w:r>
      <w:r w:rsidR="00F22F94">
        <w:rPr>
          <w:spacing w:val="-3"/>
          <w:w w:val="95"/>
        </w:rPr>
        <w:t xml:space="preserve"> </w:t>
      </w:r>
      <w:r w:rsidR="00F22F94">
        <w:rPr>
          <w:w w:val="95"/>
        </w:rPr>
        <w:t>opportunity</w:t>
      </w:r>
      <w:r w:rsidR="00F22F94">
        <w:rPr>
          <w:spacing w:val="-3"/>
          <w:w w:val="95"/>
        </w:rPr>
        <w:t xml:space="preserve"> </w:t>
      </w:r>
      <w:r w:rsidR="00F22F94">
        <w:rPr>
          <w:w w:val="95"/>
        </w:rPr>
        <w:t>for</w:t>
      </w:r>
      <w:r w:rsidR="00F22F94">
        <w:rPr>
          <w:spacing w:val="-3"/>
          <w:w w:val="95"/>
        </w:rPr>
        <w:t xml:space="preserve"> </w:t>
      </w:r>
      <w:r w:rsidR="00F22F94">
        <w:rPr>
          <w:w w:val="95"/>
        </w:rPr>
        <w:t>this</w:t>
      </w:r>
      <w:r w:rsidR="00F22F94">
        <w:rPr>
          <w:spacing w:val="-3"/>
          <w:w w:val="95"/>
        </w:rPr>
        <w:t xml:space="preserve"> </w:t>
      </w:r>
      <w:r w:rsidR="00F22F94">
        <w:rPr>
          <w:w w:val="95"/>
        </w:rPr>
        <w:t>proposal</w:t>
      </w:r>
      <w:r w:rsidR="00F22F94">
        <w:rPr>
          <w:spacing w:val="-3"/>
          <w:w w:val="95"/>
        </w:rPr>
        <w:t xml:space="preserve"> </w:t>
      </w:r>
      <w:r w:rsidR="00F22F94">
        <w:rPr>
          <w:w w:val="95"/>
        </w:rPr>
        <w:t>to</w:t>
      </w:r>
      <w:r w:rsidR="00F22F94">
        <w:rPr>
          <w:spacing w:val="-3"/>
          <w:w w:val="95"/>
        </w:rPr>
        <w:t xml:space="preserve"> </w:t>
      </w:r>
      <w:r w:rsidR="00F22F94">
        <w:rPr>
          <w:w w:val="95"/>
        </w:rPr>
        <w:t>be</w:t>
      </w:r>
      <w:r w:rsidR="00F22F94">
        <w:rPr>
          <w:spacing w:val="-3"/>
          <w:w w:val="95"/>
        </w:rPr>
        <w:t xml:space="preserve"> </w:t>
      </w:r>
      <w:r w:rsidR="00F22F94">
        <w:rPr>
          <w:w w:val="95"/>
        </w:rPr>
        <w:t xml:space="preserve">integrated </w:t>
      </w:r>
      <w:r w:rsidR="00F22F94">
        <w:t>with</w:t>
      </w:r>
      <w:r w:rsidR="00F22F94">
        <w:rPr>
          <w:spacing w:val="-13"/>
        </w:rPr>
        <w:t xml:space="preserve"> </w:t>
      </w:r>
      <w:r w:rsidR="00F22F94">
        <w:t>a</w:t>
      </w:r>
      <w:r w:rsidR="00F22F94">
        <w:rPr>
          <w:spacing w:val="-13"/>
        </w:rPr>
        <w:t xml:space="preserve"> </w:t>
      </w:r>
      <w:r w:rsidR="00F22F94">
        <w:t>broader</w:t>
      </w:r>
      <w:r w:rsidR="00F22F94">
        <w:rPr>
          <w:spacing w:val="-13"/>
        </w:rPr>
        <w:t xml:space="preserve"> </w:t>
      </w:r>
      <w:r w:rsidR="00F22F94">
        <w:t>vision</w:t>
      </w:r>
      <w:r w:rsidR="00F22F94">
        <w:rPr>
          <w:spacing w:val="-13"/>
        </w:rPr>
        <w:t xml:space="preserve"> </w:t>
      </w:r>
      <w:r w:rsidR="00F22F94">
        <w:t>for</w:t>
      </w:r>
      <w:r w:rsidR="00F22F94">
        <w:rPr>
          <w:spacing w:val="-13"/>
        </w:rPr>
        <w:t xml:space="preserve"> </w:t>
      </w:r>
      <w:r w:rsidR="00F22F94">
        <w:t>improved</w:t>
      </w:r>
      <w:r w:rsidR="00F22F94">
        <w:rPr>
          <w:spacing w:val="-13"/>
        </w:rPr>
        <w:t xml:space="preserve"> </w:t>
      </w:r>
      <w:r w:rsidR="00F22F94">
        <w:t>access</w:t>
      </w:r>
      <w:r w:rsidR="00F22F94">
        <w:rPr>
          <w:spacing w:val="-13"/>
        </w:rPr>
        <w:t xml:space="preserve"> </w:t>
      </w:r>
      <w:r w:rsidR="00F22F94">
        <w:t>to</w:t>
      </w:r>
      <w:r w:rsidR="00F22F94">
        <w:rPr>
          <w:spacing w:val="-13"/>
        </w:rPr>
        <w:t xml:space="preserve"> </w:t>
      </w:r>
      <w:r w:rsidR="00F22F94">
        <w:t>the</w:t>
      </w:r>
      <w:r w:rsidR="00F22F94">
        <w:rPr>
          <w:spacing w:val="-13"/>
        </w:rPr>
        <w:t xml:space="preserve"> </w:t>
      </w:r>
      <w:r w:rsidR="00F22F94">
        <w:t xml:space="preserve">Royal </w:t>
      </w:r>
      <w:r w:rsidR="00F22F94">
        <w:rPr>
          <w:w w:val="95"/>
        </w:rPr>
        <w:t xml:space="preserve">Botanic Gardens and the Domain. No design or funding </w:t>
      </w:r>
      <w:r w:rsidR="00F22F94">
        <w:t>strategy</w:t>
      </w:r>
      <w:r w:rsidR="00F22F94">
        <w:rPr>
          <w:spacing w:val="-13"/>
        </w:rPr>
        <w:t xml:space="preserve"> </w:t>
      </w:r>
      <w:r w:rsidR="00F22F94">
        <w:t>has</w:t>
      </w:r>
      <w:r w:rsidR="00F22F94">
        <w:rPr>
          <w:spacing w:val="-13"/>
        </w:rPr>
        <w:t xml:space="preserve"> </w:t>
      </w:r>
      <w:r w:rsidR="00F22F94">
        <w:t>yet</w:t>
      </w:r>
      <w:r w:rsidR="00F22F94">
        <w:rPr>
          <w:spacing w:val="-13"/>
        </w:rPr>
        <w:t xml:space="preserve"> </w:t>
      </w:r>
      <w:r w:rsidR="00F22F94">
        <w:t>been</w:t>
      </w:r>
      <w:r w:rsidR="00F22F94">
        <w:rPr>
          <w:spacing w:val="-13"/>
        </w:rPr>
        <w:t xml:space="preserve"> </w:t>
      </w:r>
      <w:r w:rsidR="00F22F94">
        <w:t>identified</w:t>
      </w:r>
      <w:r w:rsidR="00F22F94">
        <w:rPr>
          <w:spacing w:val="-13"/>
        </w:rPr>
        <w:t xml:space="preserve"> </w:t>
      </w:r>
      <w:r w:rsidR="00F22F94">
        <w:t>for</w:t>
      </w:r>
      <w:r w:rsidR="00F22F94">
        <w:rPr>
          <w:spacing w:val="-13"/>
        </w:rPr>
        <w:t xml:space="preserve"> </w:t>
      </w:r>
      <w:r w:rsidR="00F22F94">
        <w:t>this</w:t>
      </w:r>
      <w:r w:rsidR="00F22F94">
        <w:rPr>
          <w:spacing w:val="-13"/>
        </w:rPr>
        <w:t xml:space="preserve"> </w:t>
      </w:r>
      <w:r w:rsidR="00F22F94">
        <w:t>scheme.</w:t>
      </w:r>
    </w:p>
    <w:p w:rsidR="002C1123" w:rsidRDefault="002C1123">
      <w:pPr>
        <w:spacing w:line="249" w:lineRule="auto"/>
        <w:sectPr w:rsidR="002C1123">
          <w:pgSz w:w="16840" w:h="11910" w:orient="landscape"/>
          <w:pgMar w:top="560" w:right="280" w:bottom="700" w:left="500" w:header="0" w:footer="517"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3"/>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Heading6"/>
        <w:ind w:left="492"/>
      </w:pPr>
      <w:bookmarkStart w:id="373" w:name="_bookmark265"/>
      <w:bookmarkEnd w:id="373"/>
      <w:r>
        <w:rPr>
          <w:spacing w:val="-2"/>
        </w:rPr>
        <w:t>Sydney</w:t>
      </w:r>
      <w:r>
        <w:rPr>
          <w:spacing w:val="-4"/>
        </w:rPr>
        <w:t xml:space="preserve"> </w:t>
      </w:r>
      <w:r>
        <w:rPr>
          <w:spacing w:val="-2"/>
        </w:rPr>
        <w:t>Opera</w:t>
      </w:r>
      <w:r>
        <w:rPr>
          <w:spacing w:val="-3"/>
        </w:rPr>
        <w:t xml:space="preserve"> </w:t>
      </w:r>
      <w:r>
        <w:rPr>
          <w:spacing w:val="-2"/>
        </w:rPr>
        <w:t>House</w:t>
      </w:r>
    </w:p>
    <w:p w:rsidR="002C1123" w:rsidRDefault="00F22F94">
      <w:pPr>
        <w:pStyle w:val="BodyText"/>
        <w:spacing w:before="10" w:line="249" w:lineRule="auto"/>
        <w:ind w:left="492" w:right="28"/>
      </w:pPr>
      <w:r>
        <w:rPr>
          <w:w w:val="95"/>
        </w:rPr>
        <w:t>The Sydney Opera House is currently undergoing staged</w:t>
      </w:r>
      <w:r>
        <w:rPr>
          <w:spacing w:val="-3"/>
          <w:w w:val="95"/>
        </w:rPr>
        <w:t xml:space="preserve"> </w:t>
      </w:r>
      <w:r>
        <w:rPr>
          <w:w w:val="95"/>
        </w:rPr>
        <w:t>refurbishment</w:t>
      </w:r>
      <w:r>
        <w:rPr>
          <w:spacing w:val="-3"/>
          <w:w w:val="95"/>
        </w:rPr>
        <w:t xml:space="preserve"> </w:t>
      </w:r>
      <w:r>
        <w:rPr>
          <w:w w:val="95"/>
        </w:rPr>
        <w:t>and</w:t>
      </w:r>
      <w:r>
        <w:rPr>
          <w:spacing w:val="-3"/>
          <w:w w:val="95"/>
        </w:rPr>
        <w:t xml:space="preserve"> </w:t>
      </w:r>
      <w:r>
        <w:rPr>
          <w:w w:val="95"/>
        </w:rPr>
        <w:t>a</w:t>
      </w:r>
      <w:r>
        <w:rPr>
          <w:spacing w:val="-3"/>
          <w:w w:val="95"/>
        </w:rPr>
        <w:t xml:space="preserve"> </w:t>
      </w:r>
      <w:r>
        <w:rPr>
          <w:w w:val="95"/>
        </w:rPr>
        <w:t>broad</w:t>
      </w:r>
      <w:r>
        <w:rPr>
          <w:spacing w:val="-3"/>
          <w:w w:val="95"/>
        </w:rPr>
        <w:t xml:space="preserve"> </w:t>
      </w:r>
      <w:r>
        <w:rPr>
          <w:w w:val="95"/>
        </w:rPr>
        <w:t>ranging</w:t>
      </w:r>
      <w:r>
        <w:rPr>
          <w:spacing w:val="-3"/>
          <w:w w:val="95"/>
        </w:rPr>
        <w:t xml:space="preserve"> </w:t>
      </w:r>
      <w:r>
        <w:rPr>
          <w:w w:val="95"/>
        </w:rPr>
        <w:t xml:space="preserve">renewal </w:t>
      </w:r>
      <w:r>
        <w:t>proposal</w:t>
      </w:r>
      <w:r>
        <w:rPr>
          <w:spacing w:val="-14"/>
        </w:rPr>
        <w:t xml:space="preserve"> </w:t>
      </w:r>
      <w:r>
        <w:t>is</w:t>
      </w:r>
      <w:r>
        <w:rPr>
          <w:spacing w:val="-14"/>
        </w:rPr>
        <w:t xml:space="preserve"> </w:t>
      </w:r>
      <w:r>
        <w:t>expected</w:t>
      </w:r>
      <w:r>
        <w:rPr>
          <w:spacing w:val="-14"/>
        </w:rPr>
        <w:t xml:space="preserve"> </w:t>
      </w:r>
      <w:r>
        <w:t>to</w:t>
      </w:r>
      <w:r>
        <w:rPr>
          <w:spacing w:val="-14"/>
        </w:rPr>
        <w:t xml:space="preserve"> </w:t>
      </w:r>
      <w:r>
        <w:t>be</w:t>
      </w:r>
      <w:r>
        <w:rPr>
          <w:spacing w:val="-14"/>
        </w:rPr>
        <w:t xml:space="preserve"> </w:t>
      </w:r>
      <w:r>
        <w:t>finalised</w:t>
      </w:r>
      <w:r>
        <w:rPr>
          <w:spacing w:val="-14"/>
        </w:rPr>
        <w:t xml:space="preserve"> </w:t>
      </w:r>
      <w:r>
        <w:t>in</w:t>
      </w:r>
      <w:r>
        <w:rPr>
          <w:spacing w:val="-14"/>
        </w:rPr>
        <w:t xml:space="preserve"> </w:t>
      </w:r>
      <w:r>
        <w:t>2012-13.</w:t>
      </w:r>
    </w:p>
    <w:p w:rsidR="002C1123" w:rsidRDefault="00F22F94">
      <w:pPr>
        <w:pStyle w:val="BodyText"/>
        <w:spacing w:before="144" w:line="249" w:lineRule="auto"/>
        <w:ind w:left="492"/>
      </w:pPr>
      <w:r>
        <w:t>The</w:t>
      </w:r>
      <w:r>
        <w:rPr>
          <w:spacing w:val="-10"/>
        </w:rPr>
        <w:t xml:space="preserve"> </w:t>
      </w:r>
      <w:r>
        <w:t>current</w:t>
      </w:r>
      <w:r>
        <w:rPr>
          <w:spacing w:val="-10"/>
        </w:rPr>
        <w:t xml:space="preserve"> </w:t>
      </w:r>
      <w:r>
        <w:t>works</w:t>
      </w:r>
      <w:r>
        <w:rPr>
          <w:spacing w:val="-10"/>
        </w:rPr>
        <w:t xml:space="preserve"> </w:t>
      </w:r>
      <w:r>
        <w:t>are</w:t>
      </w:r>
      <w:r>
        <w:rPr>
          <w:spacing w:val="-10"/>
        </w:rPr>
        <w:t xml:space="preserve"> </w:t>
      </w:r>
      <w:r>
        <w:t>modular</w:t>
      </w:r>
      <w:r>
        <w:rPr>
          <w:spacing w:val="-10"/>
        </w:rPr>
        <w:t xml:space="preserve"> </w:t>
      </w:r>
      <w:r>
        <w:t>–</w:t>
      </w:r>
      <w:r>
        <w:rPr>
          <w:spacing w:val="-10"/>
        </w:rPr>
        <w:t xml:space="preserve"> </w:t>
      </w:r>
      <w:r>
        <w:t>works</w:t>
      </w:r>
      <w:r>
        <w:rPr>
          <w:spacing w:val="-10"/>
        </w:rPr>
        <w:t xml:space="preserve"> </w:t>
      </w:r>
      <w:r>
        <w:t>to</w:t>
      </w:r>
      <w:r>
        <w:rPr>
          <w:spacing w:val="-10"/>
        </w:rPr>
        <w:t xml:space="preserve"> </w:t>
      </w:r>
      <w:r>
        <w:t xml:space="preserve">improve </w:t>
      </w:r>
      <w:r>
        <w:rPr>
          <w:w w:val="95"/>
        </w:rPr>
        <w:t>access</w:t>
      </w:r>
      <w:r>
        <w:rPr>
          <w:spacing w:val="-4"/>
          <w:w w:val="95"/>
        </w:rPr>
        <w:t xml:space="preserve"> </w:t>
      </w:r>
      <w:r>
        <w:rPr>
          <w:w w:val="95"/>
        </w:rPr>
        <w:t>have</w:t>
      </w:r>
      <w:r>
        <w:rPr>
          <w:spacing w:val="-4"/>
          <w:w w:val="95"/>
        </w:rPr>
        <w:t xml:space="preserve"> </w:t>
      </w:r>
      <w:r>
        <w:rPr>
          <w:w w:val="95"/>
        </w:rPr>
        <w:t>commenced</w:t>
      </w:r>
      <w:r>
        <w:rPr>
          <w:spacing w:val="-4"/>
          <w:w w:val="95"/>
        </w:rPr>
        <w:t xml:space="preserve"> </w:t>
      </w:r>
      <w:r>
        <w:rPr>
          <w:w w:val="95"/>
        </w:rPr>
        <w:t>at</w:t>
      </w:r>
      <w:r>
        <w:rPr>
          <w:spacing w:val="-4"/>
          <w:w w:val="95"/>
        </w:rPr>
        <w:t xml:space="preserve"> </w:t>
      </w:r>
      <w:r>
        <w:rPr>
          <w:w w:val="95"/>
        </w:rPr>
        <w:t>a</w:t>
      </w:r>
      <w:r>
        <w:rPr>
          <w:spacing w:val="-4"/>
          <w:w w:val="95"/>
        </w:rPr>
        <w:t xml:space="preserve"> </w:t>
      </w:r>
      <w:r>
        <w:rPr>
          <w:w w:val="95"/>
        </w:rPr>
        <w:t>cost</w:t>
      </w:r>
      <w:r>
        <w:rPr>
          <w:spacing w:val="-4"/>
          <w:w w:val="95"/>
        </w:rPr>
        <w:t xml:space="preserve"> </w:t>
      </w:r>
      <w:r>
        <w:rPr>
          <w:w w:val="95"/>
        </w:rPr>
        <w:t>of</w:t>
      </w:r>
      <w:r>
        <w:rPr>
          <w:spacing w:val="-4"/>
          <w:w w:val="95"/>
        </w:rPr>
        <w:t xml:space="preserve"> </w:t>
      </w:r>
      <w:r>
        <w:rPr>
          <w:w w:val="95"/>
        </w:rPr>
        <w:t>$152</w:t>
      </w:r>
      <w:r>
        <w:rPr>
          <w:spacing w:val="-4"/>
          <w:w w:val="95"/>
        </w:rPr>
        <w:t xml:space="preserve"> </w:t>
      </w:r>
      <w:r>
        <w:rPr>
          <w:w w:val="95"/>
        </w:rPr>
        <w:t>million</w:t>
      </w:r>
      <w:r>
        <w:rPr>
          <w:spacing w:val="-4"/>
          <w:w w:val="95"/>
        </w:rPr>
        <w:t xml:space="preserve"> </w:t>
      </w:r>
      <w:r>
        <w:rPr>
          <w:w w:val="95"/>
        </w:rPr>
        <w:t xml:space="preserve">and </w:t>
      </w:r>
      <w:r>
        <w:t>accounts</w:t>
      </w:r>
      <w:r>
        <w:rPr>
          <w:spacing w:val="-8"/>
        </w:rPr>
        <w:t xml:space="preserve"> </w:t>
      </w:r>
      <w:r>
        <w:t>for</w:t>
      </w:r>
      <w:r>
        <w:rPr>
          <w:spacing w:val="-8"/>
        </w:rPr>
        <w:t xml:space="preserve"> </w:t>
      </w:r>
      <w:r>
        <w:t>the</w:t>
      </w:r>
      <w:r>
        <w:rPr>
          <w:spacing w:val="-8"/>
        </w:rPr>
        <w:t xml:space="preserve"> </w:t>
      </w:r>
      <w:r>
        <w:t>increase</w:t>
      </w:r>
      <w:r>
        <w:rPr>
          <w:spacing w:val="-8"/>
        </w:rPr>
        <w:t xml:space="preserve"> </w:t>
      </w:r>
      <w:r>
        <w:t>in</w:t>
      </w:r>
      <w:r>
        <w:rPr>
          <w:spacing w:val="-8"/>
        </w:rPr>
        <w:t xml:space="preserve"> </w:t>
      </w:r>
      <w:r>
        <w:t>the</w:t>
      </w:r>
      <w:r>
        <w:rPr>
          <w:spacing w:val="-8"/>
        </w:rPr>
        <w:t xml:space="preserve"> </w:t>
      </w:r>
      <w:r>
        <w:t>arts</w:t>
      </w:r>
      <w:r>
        <w:rPr>
          <w:spacing w:val="-8"/>
        </w:rPr>
        <w:t xml:space="preserve"> </w:t>
      </w:r>
      <w:r>
        <w:t>capital</w:t>
      </w:r>
      <w:r>
        <w:rPr>
          <w:spacing w:val="-8"/>
        </w:rPr>
        <w:t xml:space="preserve"> </w:t>
      </w:r>
      <w:r>
        <w:t>budget</w:t>
      </w:r>
    </w:p>
    <w:p w:rsidR="002C1123" w:rsidRDefault="00F22F94">
      <w:pPr>
        <w:pStyle w:val="BodyText"/>
        <w:spacing w:before="3" w:line="249" w:lineRule="auto"/>
        <w:ind w:left="492"/>
      </w:pPr>
      <w:r>
        <w:rPr>
          <w:spacing w:val="-2"/>
        </w:rPr>
        <w:t>in</w:t>
      </w:r>
      <w:r>
        <w:rPr>
          <w:spacing w:val="-11"/>
        </w:rPr>
        <w:t xml:space="preserve"> </w:t>
      </w:r>
      <w:r>
        <w:rPr>
          <w:spacing w:val="-2"/>
        </w:rPr>
        <w:t>2011-12</w:t>
      </w:r>
      <w:r>
        <w:rPr>
          <w:spacing w:val="-11"/>
        </w:rPr>
        <w:t xml:space="preserve"> </w:t>
      </w:r>
      <w:r>
        <w:rPr>
          <w:spacing w:val="-2"/>
        </w:rPr>
        <w:t>and</w:t>
      </w:r>
      <w:r>
        <w:rPr>
          <w:spacing w:val="-11"/>
        </w:rPr>
        <w:t xml:space="preserve"> </w:t>
      </w:r>
      <w:r>
        <w:rPr>
          <w:spacing w:val="-2"/>
        </w:rPr>
        <w:t>2012-13.</w:t>
      </w:r>
      <w:r>
        <w:rPr>
          <w:spacing w:val="-11"/>
        </w:rPr>
        <w:t xml:space="preserve"> </w:t>
      </w:r>
      <w:r>
        <w:rPr>
          <w:spacing w:val="-2"/>
        </w:rPr>
        <w:t>The</w:t>
      </w:r>
      <w:r>
        <w:rPr>
          <w:spacing w:val="-11"/>
        </w:rPr>
        <w:t xml:space="preserve"> </w:t>
      </w:r>
      <w:r>
        <w:rPr>
          <w:spacing w:val="-2"/>
        </w:rPr>
        <w:t>proposed</w:t>
      </w:r>
      <w:r>
        <w:rPr>
          <w:spacing w:val="-11"/>
        </w:rPr>
        <w:t xml:space="preserve"> </w:t>
      </w:r>
      <w:r>
        <w:rPr>
          <w:spacing w:val="-2"/>
        </w:rPr>
        <w:t>next</w:t>
      </w:r>
      <w:r>
        <w:rPr>
          <w:spacing w:val="-11"/>
        </w:rPr>
        <w:t xml:space="preserve"> </w:t>
      </w:r>
      <w:r>
        <w:rPr>
          <w:spacing w:val="-2"/>
        </w:rPr>
        <w:t>stage</w:t>
      </w:r>
      <w:r>
        <w:rPr>
          <w:spacing w:val="-11"/>
        </w:rPr>
        <w:t xml:space="preserve"> </w:t>
      </w:r>
      <w:r>
        <w:rPr>
          <w:spacing w:val="-2"/>
        </w:rPr>
        <w:t xml:space="preserve">is </w:t>
      </w:r>
      <w:r>
        <w:rPr>
          <w:w w:val="95"/>
        </w:rPr>
        <w:t>refurbishment</w:t>
      </w:r>
      <w:r>
        <w:rPr>
          <w:spacing w:val="-8"/>
          <w:w w:val="95"/>
        </w:rPr>
        <w:t xml:space="preserve"> </w:t>
      </w:r>
      <w:r>
        <w:rPr>
          <w:w w:val="95"/>
        </w:rPr>
        <w:t>of</w:t>
      </w:r>
      <w:r>
        <w:rPr>
          <w:spacing w:val="-8"/>
          <w:w w:val="95"/>
        </w:rPr>
        <w:t xml:space="preserve"> </w:t>
      </w:r>
      <w:r>
        <w:rPr>
          <w:w w:val="95"/>
        </w:rPr>
        <w:t>the</w:t>
      </w:r>
      <w:r>
        <w:rPr>
          <w:spacing w:val="-8"/>
          <w:w w:val="95"/>
        </w:rPr>
        <w:t xml:space="preserve"> </w:t>
      </w:r>
      <w:r>
        <w:rPr>
          <w:w w:val="95"/>
        </w:rPr>
        <w:t>Opera</w:t>
      </w:r>
      <w:r>
        <w:rPr>
          <w:spacing w:val="-8"/>
          <w:w w:val="95"/>
        </w:rPr>
        <w:t xml:space="preserve"> </w:t>
      </w:r>
      <w:r>
        <w:rPr>
          <w:w w:val="95"/>
        </w:rPr>
        <w:t>Theatre.</w:t>
      </w:r>
      <w:r>
        <w:rPr>
          <w:spacing w:val="-8"/>
          <w:w w:val="95"/>
        </w:rPr>
        <w:t xml:space="preserve"> </w:t>
      </w:r>
      <w:r>
        <w:rPr>
          <w:w w:val="95"/>
        </w:rPr>
        <w:t>The</w:t>
      </w:r>
      <w:r>
        <w:rPr>
          <w:spacing w:val="-8"/>
          <w:w w:val="95"/>
        </w:rPr>
        <w:t xml:space="preserve"> </w:t>
      </w:r>
      <w:r>
        <w:rPr>
          <w:w w:val="95"/>
        </w:rPr>
        <w:t>Opera</w:t>
      </w:r>
      <w:r>
        <w:rPr>
          <w:spacing w:val="-8"/>
          <w:w w:val="95"/>
        </w:rPr>
        <w:t xml:space="preserve"> </w:t>
      </w:r>
      <w:r>
        <w:rPr>
          <w:w w:val="95"/>
        </w:rPr>
        <w:t xml:space="preserve">House </w:t>
      </w:r>
      <w:r>
        <w:rPr>
          <w:spacing w:val="-2"/>
        </w:rPr>
        <w:t>reports</w:t>
      </w:r>
      <w:r>
        <w:rPr>
          <w:spacing w:val="-9"/>
        </w:rPr>
        <w:t xml:space="preserve"> </w:t>
      </w:r>
      <w:r>
        <w:rPr>
          <w:spacing w:val="-2"/>
        </w:rPr>
        <w:t>that,</w:t>
      </w:r>
      <w:r>
        <w:rPr>
          <w:spacing w:val="-9"/>
        </w:rPr>
        <w:t xml:space="preserve"> </w:t>
      </w:r>
      <w:r>
        <w:rPr>
          <w:spacing w:val="-2"/>
        </w:rPr>
        <w:t>without</w:t>
      </w:r>
      <w:r>
        <w:rPr>
          <w:spacing w:val="-9"/>
        </w:rPr>
        <w:t xml:space="preserve"> </w:t>
      </w:r>
      <w:r>
        <w:rPr>
          <w:spacing w:val="-2"/>
        </w:rPr>
        <w:t>renewal,</w:t>
      </w:r>
      <w:r>
        <w:rPr>
          <w:spacing w:val="-9"/>
        </w:rPr>
        <w:t xml:space="preserve"> </w:t>
      </w:r>
      <w:r>
        <w:rPr>
          <w:spacing w:val="-2"/>
        </w:rPr>
        <w:t>the</w:t>
      </w:r>
      <w:r>
        <w:rPr>
          <w:spacing w:val="-9"/>
        </w:rPr>
        <w:t xml:space="preserve"> </w:t>
      </w:r>
      <w:r>
        <w:rPr>
          <w:spacing w:val="-2"/>
        </w:rPr>
        <w:t>Opera</w:t>
      </w:r>
      <w:r>
        <w:rPr>
          <w:spacing w:val="-9"/>
        </w:rPr>
        <w:t xml:space="preserve"> </w:t>
      </w:r>
      <w:r>
        <w:rPr>
          <w:spacing w:val="-2"/>
        </w:rPr>
        <w:t>Theatre</w:t>
      </w:r>
      <w:r>
        <w:rPr>
          <w:spacing w:val="-9"/>
        </w:rPr>
        <w:t xml:space="preserve"> </w:t>
      </w:r>
      <w:r>
        <w:rPr>
          <w:spacing w:val="-2"/>
        </w:rPr>
        <w:t xml:space="preserve">may </w:t>
      </w:r>
      <w:r>
        <w:t>have</w:t>
      </w:r>
      <w:r>
        <w:rPr>
          <w:spacing w:val="-11"/>
        </w:rPr>
        <w:t xml:space="preserve"> </w:t>
      </w:r>
      <w:r>
        <w:t>to</w:t>
      </w:r>
      <w:r>
        <w:rPr>
          <w:spacing w:val="-11"/>
        </w:rPr>
        <w:t xml:space="preserve"> </w:t>
      </w:r>
      <w:r>
        <w:t>be</w:t>
      </w:r>
      <w:r>
        <w:rPr>
          <w:spacing w:val="-11"/>
        </w:rPr>
        <w:t xml:space="preserve"> </w:t>
      </w:r>
      <w:r>
        <w:t>repurposed</w:t>
      </w:r>
      <w:r>
        <w:rPr>
          <w:spacing w:val="-11"/>
        </w:rPr>
        <w:t xml:space="preserve"> </w:t>
      </w:r>
      <w:r>
        <w:t>to</w:t>
      </w:r>
      <w:r>
        <w:rPr>
          <w:spacing w:val="-11"/>
        </w:rPr>
        <w:t xml:space="preserve"> </w:t>
      </w:r>
      <w:r>
        <w:t>a</w:t>
      </w:r>
      <w:r>
        <w:rPr>
          <w:spacing w:val="-11"/>
        </w:rPr>
        <w:t xml:space="preserve"> </w:t>
      </w:r>
      <w:r>
        <w:t>drama</w:t>
      </w:r>
      <w:r>
        <w:rPr>
          <w:spacing w:val="-11"/>
        </w:rPr>
        <w:t xml:space="preserve"> </w:t>
      </w:r>
      <w:r>
        <w:t>or</w:t>
      </w:r>
      <w:r>
        <w:rPr>
          <w:spacing w:val="-11"/>
        </w:rPr>
        <w:t xml:space="preserve"> </w:t>
      </w:r>
      <w:r>
        <w:t>recital</w:t>
      </w:r>
      <w:r>
        <w:rPr>
          <w:spacing w:val="-11"/>
        </w:rPr>
        <w:t xml:space="preserve"> </w:t>
      </w:r>
      <w:r>
        <w:t>hall.</w:t>
      </w:r>
    </w:p>
    <w:p w:rsidR="002C1123" w:rsidRDefault="00F22F94">
      <w:pPr>
        <w:pStyle w:val="BodyText"/>
        <w:spacing w:before="145" w:line="249" w:lineRule="auto"/>
        <w:ind w:left="492"/>
      </w:pPr>
      <w:r>
        <w:t>Infrastructure</w:t>
      </w:r>
      <w:r>
        <w:rPr>
          <w:spacing w:val="-11"/>
        </w:rPr>
        <w:t xml:space="preserve"> </w:t>
      </w:r>
      <w:r>
        <w:t>NSW</w:t>
      </w:r>
      <w:r>
        <w:rPr>
          <w:spacing w:val="-11"/>
        </w:rPr>
        <w:t xml:space="preserve"> </w:t>
      </w:r>
      <w:r>
        <w:t>has</w:t>
      </w:r>
      <w:r>
        <w:rPr>
          <w:spacing w:val="-11"/>
        </w:rPr>
        <w:t xml:space="preserve"> </w:t>
      </w:r>
      <w:r>
        <w:t>concluded</w:t>
      </w:r>
      <w:r>
        <w:rPr>
          <w:spacing w:val="-11"/>
        </w:rPr>
        <w:t xml:space="preserve"> </w:t>
      </w:r>
      <w:r>
        <w:t>that</w:t>
      </w:r>
      <w:r>
        <w:rPr>
          <w:spacing w:val="-11"/>
        </w:rPr>
        <w:t xml:space="preserve"> </w:t>
      </w:r>
      <w:r>
        <w:t>the</w:t>
      </w:r>
      <w:r>
        <w:rPr>
          <w:spacing w:val="-11"/>
        </w:rPr>
        <w:t xml:space="preserve"> </w:t>
      </w:r>
      <w:r>
        <w:t>scale</w:t>
      </w:r>
      <w:r>
        <w:rPr>
          <w:spacing w:val="-11"/>
        </w:rPr>
        <w:t xml:space="preserve"> </w:t>
      </w:r>
      <w:r>
        <w:t xml:space="preserve">of </w:t>
      </w:r>
      <w:r>
        <w:rPr>
          <w:w w:val="95"/>
        </w:rPr>
        <w:t>expenditure</w:t>
      </w:r>
      <w:r>
        <w:rPr>
          <w:spacing w:val="-6"/>
          <w:w w:val="95"/>
        </w:rPr>
        <w:t xml:space="preserve"> </w:t>
      </w:r>
      <w:r>
        <w:rPr>
          <w:w w:val="95"/>
        </w:rPr>
        <w:t>proposed</w:t>
      </w:r>
      <w:r>
        <w:rPr>
          <w:spacing w:val="-6"/>
          <w:w w:val="95"/>
        </w:rPr>
        <w:t xml:space="preserve"> </w:t>
      </w:r>
      <w:r>
        <w:rPr>
          <w:w w:val="95"/>
        </w:rPr>
        <w:t>by</w:t>
      </w:r>
      <w:r>
        <w:rPr>
          <w:spacing w:val="-6"/>
          <w:w w:val="95"/>
        </w:rPr>
        <w:t xml:space="preserve"> </w:t>
      </w:r>
      <w:r>
        <w:rPr>
          <w:w w:val="95"/>
        </w:rPr>
        <w:t>the</w:t>
      </w:r>
      <w:r>
        <w:rPr>
          <w:spacing w:val="-6"/>
          <w:w w:val="95"/>
        </w:rPr>
        <w:t xml:space="preserve"> </w:t>
      </w:r>
      <w:r>
        <w:rPr>
          <w:w w:val="95"/>
        </w:rPr>
        <w:t>Opera</w:t>
      </w:r>
      <w:r>
        <w:rPr>
          <w:spacing w:val="-6"/>
          <w:w w:val="95"/>
        </w:rPr>
        <w:t xml:space="preserve"> </w:t>
      </w:r>
      <w:r>
        <w:rPr>
          <w:w w:val="95"/>
        </w:rPr>
        <w:t>House</w:t>
      </w:r>
      <w:r>
        <w:rPr>
          <w:spacing w:val="-6"/>
          <w:w w:val="95"/>
        </w:rPr>
        <w:t xml:space="preserve"> </w:t>
      </w:r>
      <w:r>
        <w:rPr>
          <w:w w:val="95"/>
        </w:rPr>
        <w:t>is</w:t>
      </w:r>
      <w:r>
        <w:rPr>
          <w:spacing w:val="-6"/>
          <w:w w:val="95"/>
        </w:rPr>
        <w:t xml:space="preserve"> </w:t>
      </w:r>
      <w:r>
        <w:rPr>
          <w:w w:val="95"/>
        </w:rPr>
        <w:t>likely</w:t>
      </w:r>
      <w:r>
        <w:rPr>
          <w:spacing w:val="-6"/>
          <w:w w:val="95"/>
        </w:rPr>
        <w:t xml:space="preserve"> </w:t>
      </w:r>
      <w:r>
        <w:rPr>
          <w:w w:val="95"/>
        </w:rPr>
        <w:t>to</w:t>
      </w:r>
      <w:r>
        <w:rPr>
          <w:spacing w:val="-6"/>
          <w:w w:val="95"/>
        </w:rPr>
        <w:t xml:space="preserve"> </w:t>
      </w:r>
      <w:r>
        <w:rPr>
          <w:w w:val="95"/>
        </w:rPr>
        <w:t xml:space="preserve">be </w:t>
      </w:r>
      <w:r>
        <w:t>beyond</w:t>
      </w:r>
      <w:r>
        <w:rPr>
          <w:spacing w:val="-14"/>
        </w:rPr>
        <w:t xml:space="preserve"> </w:t>
      </w:r>
      <w:r>
        <w:t>the</w:t>
      </w:r>
      <w:r>
        <w:rPr>
          <w:spacing w:val="-14"/>
        </w:rPr>
        <w:t xml:space="preserve"> </w:t>
      </w:r>
      <w:r>
        <w:t>funding</w:t>
      </w:r>
      <w:r>
        <w:rPr>
          <w:spacing w:val="-14"/>
        </w:rPr>
        <w:t xml:space="preserve"> </w:t>
      </w:r>
      <w:r>
        <w:t>capacity</w:t>
      </w:r>
      <w:r>
        <w:rPr>
          <w:spacing w:val="-14"/>
        </w:rPr>
        <w:t xml:space="preserve"> </w:t>
      </w:r>
      <w:r>
        <w:t>of</w:t>
      </w:r>
      <w:r>
        <w:rPr>
          <w:spacing w:val="-14"/>
        </w:rPr>
        <w:t xml:space="preserve"> </w:t>
      </w:r>
      <w:r>
        <w:t>the</w:t>
      </w:r>
      <w:r>
        <w:rPr>
          <w:spacing w:val="-13"/>
        </w:rPr>
        <w:t xml:space="preserve"> </w:t>
      </w:r>
      <w:r>
        <w:t>NSW</w:t>
      </w:r>
      <w:r>
        <w:rPr>
          <w:spacing w:val="-14"/>
        </w:rPr>
        <w:t xml:space="preserve"> </w:t>
      </w:r>
      <w:r>
        <w:t>Government.</w:t>
      </w:r>
    </w:p>
    <w:p w:rsidR="002C1123" w:rsidRDefault="00F22F94">
      <w:pPr>
        <w:pStyle w:val="BodyText"/>
        <w:spacing w:before="144" w:line="249" w:lineRule="auto"/>
        <w:ind w:left="492" w:right="281"/>
      </w:pPr>
      <w:r>
        <w:rPr>
          <w:w w:val="95"/>
        </w:rPr>
        <w:t xml:space="preserve">The Sydney Opera House is a World Heritage listed </w:t>
      </w:r>
      <w:r>
        <w:t>site,</w:t>
      </w:r>
      <w:r>
        <w:rPr>
          <w:spacing w:val="-14"/>
        </w:rPr>
        <w:t xml:space="preserve"> </w:t>
      </w:r>
      <w:r>
        <w:t>with</w:t>
      </w:r>
      <w:r>
        <w:rPr>
          <w:spacing w:val="-14"/>
        </w:rPr>
        <w:t xml:space="preserve"> </w:t>
      </w:r>
      <w:r>
        <w:t>iconic</w:t>
      </w:r>
      <w:r>
        <w:rPr>
          <w:spacing w:val="-14"/>
        </w:rPr>
        <w:t xml:space="preserve"> </w:t>
      </w:r>
      <w:r>
        <w:t>status.</w:t>
      </w:r>
      <w:r>
        <w:rPr>
          <w:spacing w:val="-14"/>
        </w:rPr>
        <w:t xml:space="preserve"> </w:t>
      </w:r>
      <w:r>
        <w:t>Given</w:t>
      </w:r>
      <w:r>
        <w:rPr>
          <w:spacing w:val="-14"/>
        </w:rPr>
        <w:t xml:space="preserve"> </w:t>
      </w:r>
      <w:r>
        <w:t>the</w:t>
      </w:r>
      <w:r>
        <w:rPr>
          <w:spacing w:val="-14"/>
        </w:rPr>
        <w:t xml:space="preserve"> </w:t>
      </w:r>
      <w:r>
        <w:t>significance</w:t>
      </w:r>
      <w:r>
        <w:rPr>
          <w:spacing w:val="-14"/>
        </w:rPr>
        <w:t xml:space="preserve"> </w:t>
      </w:r>
      <w:r>
        <w:t>of</w:t>
      </w:r>
      <w:r>
        <w:rPr>
          <w:spacing w:val="-14"/>
        </w:rPr>
        <w:t xml:space="preserve"> </w:t>
      </w:r>
      <w:r>
        <w:t>the Opera</w:t>
      </w:r>
      <w:r>
        <w:rPr>
          <w:spacing w:val="-14"/>
        </w:rPr>
        <w:t xml:space="preserve"> </w:t>
      </w:r>
      <w:r>
        <w:t>House</w:t>
      </w:r>
      <w:r>
        <w:rPr>
          <w:spacing w:val="-14"/>
        </w:rPr>
        <w:t xml:space="preserve"> </w:t>
      </w:r>
      <w:r>
        <w:t>to</w:t>
      </w:r>
      <w:r>
        <w:rPr>
          <w:spacing w:val="-14"/>
        </w:rPr>
        <w:t xml:space="preserve"> </w:t>
      </w:r>
      <w:r>
        <w:t>Australia</w:t>
      </w:r>
      <w:r>
        <w:rPr>
          <w:spacing w:val="-14"/>
        </w:rPr>
        <w:t xml:space="preserve"> </w:t>
      </w:r>
      <w:r>
        <w:t>and</w:t>
      </w:r>
      <w:r>
        <w:rPr>
          <w:spacing w:val="-14"/>
        </w:rPr>
        <w:t xml:space="preserve"> </w:t>
      </w:r>
      <w:r>
        <w:t>the</w:t>
      </w:r>
      <w:r>
        <w:rPr>
          <w:spacing w:val="-14"/>
        </w:rPr>
        <w:t xml:space="preserve"> </w:t>
      </w:r>
      <w:r>
        <w:t>visitor</w:t>
      </w:r>
      <w:r>
        <w:rPr>
          <w:spacing w:val="-14"/>
        </w:rPr>
        <w:t xml:space="preserve"> </w:t>
      </w:r>
      <w:r>
        <w:t xml:space="preserve">economy, </w:t>
      </w:r>
      <w:r>
        <w:rPr>
          <w:spacing w:val="-2"/>
        </w:rPr>
        <w:t>Infrastructure</w:t>
      </w:r>
      <w:r>
        <w:rPr>
          <w:spacing w:val="-9"/>
        </w:rPr>
        <w:t xml:space="preserve"> </w:t>
      </w:r>
      <w:r>
        <w:rPr>
          <w:spacing w:val="-2"/>
        </w:rPr>
        <w:t>NSW</w:t>
      </w:r>
      <w:r>
        <w:rPr>
          <w:spacing w:val="-9"/>
        </w:rPr>
        <w:t xml:space="preserve"> </w:t>
      </w:r>
      <w:r>
        <w:rPr>
          <w:spacing w:val="-2"/>
        </w:rPr>
        <w:t>is</w:t>
      </w:r>
      <w:r>
        <w:rPr>
          <w:spacing w:val="-9"/>
        </w:rPr>
        <w:t xml:space="preserve"> </w:t>
      </w:r>
      <w:r>
        <w:rPr>
          <w:spacing w:val="-2"/>
        </w:rPr>
        <w:t>of</w:t>
      </w:r>
      <w:r>
        <w:rPr>
          <w:spacing w:val="-9"/>
        </w:rPr>
        <w:t xml:space="preserve"> </w:t>
      </w:r>
      <w:r>
        <w:rPr>
          <w:spacing w:val="-2"/>
        </w:rPr>
        <w:t>the</w:t>
      </w:r>
      <w:r>
        <w:rPr>
          <w:spacing w:val="-9"/>
        </w:rPr>
        <w:t xml:space="preserve"> </w:t>
      </w:r>
      <w:r>
        <w:rPr>
          <w:spacing w:val="-2"/>
        </w:rPr>
        <w:t>view</w:t>
      </w:r>
      <w:r>
        <w:rPr>
          <w:spacing w:val="-9"/>
        </w:rPr>
        <w:t xml:space="preserve"> </w:t>
      </w:r>
      <w:r>
        <w:rPr>
          <w:spacing w:val="-2"/>
        </w:rPr>
        <w:t>that</w:t>
      </w:r>
      <w:r>
        <w:rPr>
          <w:spacing w:val="-9"/>
        </w:rPr>
        <w:t xml:space="preserve"> </w:t>
      </w:r>
      <w:r>
        <w:rPr>
          <w:spacing w:val="-2"/>
        </w:rPr>
        <w:t>future</w:t>
      </w:r>
      <w:r>
        <w:rPr>
          <w:spacing w:val="-9"/>
        </w:rPr>
        <w:t xml:space="preserve"> </w:t>
      </w:r>
      <w:r>
        <w:rPr>
          <w:spacing w:val="-2"/>
        </w:rPr>
        <w:t xml:space="preserve">funding </w:t>
      </w:r>
      <w:r>
        <w:rPr>
          <w:w w:val="95"/>
        </w:rPr>
        <w:t xml:space="preserve">discussions should be held with the Commonwealth, </w:t>
      </w:r>
      <w:r>
        <w:t>the</w:t>
      </w:r>
      <w:r>
        <w:rPr>
          <w:spacing w:val="-12"/>
        </w:rPr>
        <w:t xml:space="preserve"> </w:t>
      </w:r>
      <w:r>
        <w:t>private</w:t>
      </w:r>
      <w:r>
        <w:rPr>
          <w:spacing w:val="-12"/>
        </w:rPr>
        <w:t xml:space="preserve"> </w:t>
      </w:r>
      <w:r>
        <w:t>sector</w:t>
      </w:r>
      <w:r>
        <w:rPr>
          <w:spacing w:val="-12"/>
        </w:rPr>
        <w:t xml:space="preserve"> </w:t>
      </w:r>
      <w:r>
        <w:t>and</w:t>
      </w:r>
      <w:r>
        <w:rPr>
          <w:spacing w:val="-12"/>
        </w:rPr>
        <w:t xml:space="preserve"> </w:t>
      </w:r>
      <w:r>
        <w:t>individual</w:t>
      </w:r>
      <w:r>
        <w:rPr>
          <w:spacing w:val="-12"/>
        </w:rPr>
        <w:t xml:space="preserve"> </w:t>
      </w:r>
      <w:r>
        <w:t>philanthropists</w:t>
      </w:r>
      <w:r>
        <w:rPr>
          <w:spacing w:val="-12"/>
        </w:rPr>
        <w:t xml:space="preserve"> </w:t>
      </w:r>
      <w:r>
        <w:t>to fund the project.</w:t>
      </w:r>
    </w:p>
    <w:p w:rsidR="002C1123" w:rsidRDefault="00F22F94">
      <w:pPr>
        <w:pStyle w:val="Heading6"/>
        <w:spacing w:before="147" w:line="249" w:lineRule="auto"/>
        <w:ind w:left="492" w:right="327"/>
      </w:pPr>
      <w:r>
        <w:rPr>
          <w:spacing w:val="-2"/>
        </w:rPr>
        <w:t>Sydney</w:t>
      </w:r>
      <w:r>
        <w:rPr>
          <w:spacing w:val="-12"/>
        </w:rPr>
        <w:t xml:space="preserve"> </w:t>
      </w:r>
      <w:r>
        <w:rPr>
          <w:spacing w:val="-2"/>
        </w:rPr>
        <w:t>International</w:t>
      </w:r>
      <w:r>
        <w:rPr>
          <w:spacing w:val="-12"/>
        </w:rPr>
        <w:t xml:space="preserve"> </w:t>
      </w:r>
      <w:r>
        <w:rPr>
          <w:spacing w:val="-2"/>
        </w:rPr>
        <w:t>Convention,</w:t>
      </w:r>
      <w:r>
        <w:rPr>
          <w:spacing w:val="-12"/>
        </w:rPr>
        <w:t xml:space="preserve"> </w:t>
      </w:r>
      <w:r>
        <w:rPr>
          <w:spacing w:val="-2"/>
        </w:rPr>
        <w:t xml:space="preserve">Exhibition </w:t>
      </w:r>
      <w:r>
        <w:t>and Entertainment Centre</w:t>
      </w:r>
    </w:p>
    <w:p w:rsidR="002C1123" w:rsidRDefault="00F22F94">
      <w:pPr>
        <w:pStyle w:val="BodyText"/>
        <w:spacing w:before="2" w:line="249" w:lineRule="auto"/>
        <w:ind w:left="492"/>
      </w:pPr>
      <w:r>
        <w:rPr>
          <w:spacing w:val="-2"/>
        </w:rPr>
        <w:t>The</w:t>
      </w:r>
      <w:r>
        <w:rPr>
          <w:spacing w:val="-5"/>
        </w:rPr>
        <w:t xml:space="preserve"> </w:t>
      </w:r>
      <w:r>
        <w:rPr>
          <w:spacing w:val="-2"/>
        </w:rPr>
        <w:t>Sydney</w:t>
      </w:r>
      <w:r>
        <w:rPr>
          <w:spacing w:val="-5"/>
        </w:rPr>
        <w:t xml:space="preserve"> </w:t>
      </w:r>
      <w:r>
        <w:rPr>
          <w:spacing w:val="-2"/>
        </w:rPr>
        <w:t>International</w:t>
      </w:r>
      <w:r>
        <w:rPr>
          <w:spacing w:val="-5"/>
        </w:rPr>
        <w:t xml:space="preserve"> </w:t>
      </w:r>
      <w:r>
        <w:rPr>
          <w:spacing w:val="-2"/>
        </w:rPr>
        <w:t>Convention,</w:t>
      </w:r>
      <w:r>
        <w:rPr>
          <w:spacing w:val="-5"/>
        </w:rPr>
        <w:t xml:space="preserve"> </w:t>
      </w:r>
      <w:r>
        <w:rPr>
          <w:spacing w:val="-2"/>
        </w:rPr>
        <w:t>Exhibition</w:t>
      </w:r>
      <w:r>
        <w:rPr>
          <w:spacing w:val="-5"/>
        </w:rPr>
        <w:t xml:space="preserve"> </w:t>
      </w:r>
      <w:r>
        <w:rPr>
          <w:spacing w:val="-2"/>
        </w:rPr>
        <w:t xml:space="preserve">and </w:t>
      </w:r>
      <w:r>
        <w:rPr>
          <w:w w:val="95"/>
        </w:rPr>
        <w:t xml:space="preserve">Entertainment Precinct (SICEEP) will deliver Australia’s </w:t>
      </w:r>
      <w:r>
        <w:t>largest</w:t>
      </w:r>
      <w:r>
        <w:rPr>
          <w:spacing w:val="-11"/>
        </w:rPr>
        <w:t xml:space="preserve"> </w:t>
      </w:r>
      <w:r>
        <w:t>convention,</w:t>
      </w:r>
      <w:r>
        <w:rPr>
          <w:spacing w:val="-11"/>
        </w:rPr>
        <w:t xml:space="preserve"> </w:t>
      </w:r>
      <w:r>
        <w:t>exhibition</w:t>
      </w:r>
      <w:r>
        <w:rPr>
          <w:spacing w:val="-11"/>
        </w:rPr>
        <w:t xml:space="preserve"> </w:t>
      </w:r>
      <w:r>
        <w:t>and</w:t>
      </w:r>
      <w:r>
        <w:rPr>
          <w:spacing w:val="-11"/>
        </w:rPr>
        <w:t xml:space="preserve"> </w:t>
      </w:r>
      <w:r>
        <w:t xml:space="preserve">entertainment </w:t>
      </w:r>
      <w:r>
        <w:rPr>
          <w:w w:val="95"/>
        </w:rPr>
        <w:t>facilities</w:t>
      </w:r>
      <w:r>
        <w:rPr>
          <w:spacing w:val="-9"/>
          <w:w w:val="95"/>
        </w:rPr>
        <w:t xml:space="preserve"> </w:t>
      </w:r>
      <w:r>
        <w:rPr>
          <w:w w:val="95"/>
        </w:rPr>
        <w:t>on</w:t>
      </w:r>
      <w:r>
        <w:rPr>
          <w:spacing w:val="-9"/>
          <w:w w:val="95"/>
        </w:rPr>
        <w:t xml:space="preserve"> </w:t>
      </w:r>
      <w:r>
        <w:rPr>
          <w:w w:val="95"/>
        </w:rPr>
        <w:t>a</w:t>
      </w:r>
      <w:r>
        <w:rPr>
          <w:spacing w:val="-9"/>
          <w:w w:val="95"/>
        </w:rPr>
        <w:t xml:space="preserve"> </w:t>
      </w:r>
      <w:r>
        <w:rPr>
          <w:w w:val="95"/>
        </w:rPr>
        <w:t>20</w:t>
      </w:r>
      <w:r>
        <w:rPr>
          <w:spacing w:val="-9"/>
          <w:w w:val="95"/>
        </w:rPr>
        <w:t xml:space="preserve"> </w:t>
      </w:r>
      <w:r>
        <w:rPr>
          <w:w w:val="95"/>
        </w:rPr>
        <w:t>hectare</w:t>
      </w:r>
      <w:r>
        <w:rPr>
          <w:spacing w:val="-9"/>
          <w:w w:val="95"/>
        </w:rPr>
        <w:t xml:space="preserve"> </w:t>
      </w:r>
      <w:r>
        <w:rPr>
          <w:w w:val="95"/>
        </w:rPr>
        <w:t>site</w:t>
      </w:r>
      <w:r>
        <w:rPr>
          <w:spacing w:val="-9"/>
          <w:w w:val="95"/>
        </w:rPr>
        <w:t xml:space="preserve"> </w:t>
      </w:r>
      <w:r>
        <w:rPr>
          <w:w w:val="95"/>
        </w:rPr>
        <w:t>in</w:t>
      </w:r>
      <w:r>
        <w:rPr>
          <w:spacing w:val="-9"/>
          <w:w w:val="95"/>
        </w:rPr>
        <w:t xml:space="preserve"> </w:t>
      </w:r>
      <w:r>
        <w:rPr>
          <w:w w:val="95"/>
        </w:rPr>
        <w:t>South</w:t>
      </w:r>
      <w:r>
        <w:rPr>
          <w:spacing w:val="-9"/>
          <w:w w:val="95"/>
        </w:rPr>
        <w:t xml:space="preserve"> </w:t>
      </w:r>
      <w:r>
        <w:rPr>
          <w:w w:val="95"/>
        </w:rPr>
        <w:t>Darling</w:t>
      </w:r>
      <w:r>
        <w:rPr>
          <w:spacing w:val="-9"/>
          <w:w w:val="95"/>
        </w:rPr>
        <w:t xml:space="preserve"> </w:t>
      </w:r>
      <w:r>
        <w:rPr>
          <w:w w:val="95"/>
        </w:rPr>
        <w:t>Harbour</w:t>
      </w:r>
      <w:r>
        <w:rPr>
          <w:spacing w:val="-9"/>
          <w:w w:val="95"/>
        </w:rPr>
        <w:t xml:space="preserve"> </w:t>
      </w:r>
      <w:r>
        <w:rPr>
          <w:w w:val="95"/>
        </w:rPr>
        <w:t xml:space="preserve">by </w:t>
      </w:r>
      <w:r>
        <w:t>the end of 2016.</w:t>
      </w:r>
    </w:p>
    <w:p w:rsidR="002C1123" w:rsidRDefault="00F22F94">
      <w:pPr>
        <w:pStyle w:val="BodyText"/>
        <w:spacing w:before="142" w:line="249" w:lineRule="auto"/>
        <w:ind w:left="492"/>
      </w:pPr>
      <w:r>
        <w:rPr>
          <w:w w:val="95"/>
        </w:rPr>
        <w:t>SICEEP</w:t>
      </w:r>
      <w:r>
        <w:rPr>
          <w:spacing w:val="-6"/>
          <w:w w:val="95"/>
        </w:rPr>
        <w:t xml:space="preserve"> </w:t>
      </w:r>
      <w:r>
        <w:rPr>
          <w:w w:val="95"/>
        </w:rPr>
        <w:t>has</w:t>
      </w:r>
      <w:r>
        <w:rPr>
          <w:spacing w:val="-6"/>
          <w:w w:val="95"/>
        </w:rPr>
        <w:t xml:space="preserve"> </w:t>
      </w:r>
      <w:r>
        <w:rPr>
          <w:w w:val="95"/>
        </w:rPr>
        <w:t>been</w:t>
      </w:r>
      <w:r>
        <w:rPr>
          <w:spacing w:val="-6"/>
          <w:w w:val="95"/>
        </w:rPr>
        <w:t xml:space="preserve"> </w:t>
      </w:r>
      <w:r>
        <w:rPr>
          <w:w w:val="95"/>
        </w:rPr>
        <w:t>designed</w:t>
      </w:r>
      <w:r>
        <w:rPr>
          <w:spacing w:val="-6"/>
          <w:w w:val="95"/>
        </w:rPr>
        <w:t xml:space="preserve"> </w:t>
      </w:r>
      <w:r>
        <w:rPr>
          <w:w w:val="95"/>
        </w:rPr>
        <w:t>to</w:t>
      </w:r>
      <w:r>
        <w:rPr>
          <w:spacing w:val="-6"/>
          <w:w w:val="95"/>
        </w:rPr>
        <w:t xml:space="preserve"> </w:t>
      </w:r>
      <w:r>
        <w:rPr>
          <w:w w:val="95"/>
        </w:rPr>
        <w:t>complement</w:t>
      </w:r>
      <w:r>
        <w:rPr>
          <w:spacing w:val="-6"/>
          <w:w w:val="95"/>
        </w:rPr>
        <w:t xml:space="preserve"> </w:t>
      </w:r>
      <w:r>
        <w:rPr>
          <w:w w:val="95"/>
        </w:rPr>
        <w:t xml:space="preserve">Sydney </w:t>
      </w:r>
      <w:r>
        <w:t>Olympic</w:t>
      </w:r>
      <w:r>
        <w:rPr>
          <w:spacing w:val="-14"/>
        </w:rPr>
        <w:t xml:space="preserve"> </w:t>
      </w:r>
      <w:r>
        <w:t>Park</w:t>
      </w:r>
      <w:r>
        <w:rPr>
          <w:spacing w:val="-14"/>
        </w:rPr>
        <w:t xml:space="preserve"> </w:t>
      </w:r>
      <w:r>
        <w:t>(SOP)</w:t>
      </w:r>
      <w:r>
        <w:rPr>
          <w:spacing w:val="-14"/>
        </w:rPr>
        <w:t xml:space="preserve"> </w:t>
      </w:r>
      <w:r>
        <w:t>over</w:t>
      </w:r>
      <w:r>
        <w:rPr>
          <w:spacing w:val="-14"/>
        </w:rPr>
        <w:t xml:space="preserve"> </w:t>
      </w:r>
      <w:r>
        <w:t>the</w:t>
      </w:r>
      <w:r>
        <w:rPr>
          <w:spacing w:val="-14"/>
        </w:rPr>
        <w:t xml:space="preserve"> </w:t>
      </w:r>
      <w:r>
        <w:t>longer</w:t>
      </w:r>
      <w:r>
        <w:rPr>
          <w:spacing w:val="-14"/>
        </w:rPr>
        <w:t xml:space="preserve"> </w:t>
      </w:r>
      <w:r>
        <w:t>term.</w:t>
      </w:r>
      <w:r>
        <w:rPr>
          <w:spacing w:val="-14"/>
        </w:rPr>
        <w:t xml:space="preserve"> </w:t>
      </w:r>
      <w:r>
        <w:t>As</w:t>
      </w:r>
      <w:r>
        <w:rPr>
          <w:spacing w:val="-14"/>
        </w:rPr>
        <w:t xml:space="preserve"> </w:t>
      </w:r>
      <w:r>
        <w:t>the</w:t>
      </w:r>
    </w:p>
    <w:p w:rsidR="002C1123" w:rsidRDefault="00F22F94">
      <w:pPr>
        <w:pStyle w:val="BodyText"/>
        <w:spacing w:before="108" w:line="249" w:lineRule="auto"/>
        <w:ind w:left="240"/>
      </w:pPr>
      <w:r>
        <w:br w:type="column"/>
      </w:r>
      <w:r>
        <w:rPr>
          <w:w w:val="95"/>
        </w:rPr>
        <w:t xml:space="preserve">a ‘two precinct’ model for exhibitions, with the largest </w:t>
      </w:r>
      <w:r>
        <w:t>exhibitions</w:t>
      </w:r>
      <w:r>
        <w:rPr>
          <w:spacing w:val="-14"/>
        </w:rPr>
        <w:t xml:space="preserve"> </w:t>
      </w:r>
      <w:r>
        <w:t>potentially</w:t>
      </w:r>
      <w:r>
        <w:rPr>
          <w:spacing w:val="-14"/>
        </w:rPr>
        <w:t xml:space="preserve"> </w:t>
      </w:r>
      <w:r>
        <w:t>moving</w:t>
      </w:r>
      <w:r>
        <w:rPr>
          <w:spacing w:val="-13"/>
        </w:rPr>
        <w:t xml:space="preserve"> </w:t>
      </w:r>
      <w:r>
        <w:t>out</w:t>
      </w:r>
      <w:r>
        <w:rPr>
          <w:spacing w:val="-14"/>
        </w:rPr>
        <w:t xml:space="preserve"> </w:t>
      </w:r>
      <w:r>
        <w:t>to</w:t>
      </w:r>
      <w:r>
        <w:rPr>
          <w:spacing w:val="-14"/>
        </w:rPr>
        <w:t xml:space="preserve"> </w:t>
      </w:r>
      <w:r>
        <w:t>SOP.</w:t>
      </w:r>
    </w:p>
    <w:p w:rsidR="002C1123" w:rsidRDefault="002C1123">
      <w:pPr>
        <w:pStyle w:val="BodyText"/>
        <w:spacing w:before="10"/>
        <w:rPr>
          <w:sz w:val="14"/>
        </w:rPr>
      </w:pPr>
    </w:p>
    <w:p w:rsidR="002C1123" w:rsidRDefault="002060EF">
      <w:pPr>
        <w:pStyle w:val="BodyText"/>
        <w:ind w:left="240" w:right="-87"/>
      </w:pPr>
      <w:r>
        <w:pict>
          <v:shape id="docshape2825" o:spid="_x0000_s5257" type="#_x0000_t202" style="width:239pt;height:93.35pt;mso-left-percent:-10001;mso-top-percent:-10001;mso-position-horizontal:absolute;mso-position-horizontal-relative:char;mso-position-vertical:absolute;mso-position-vertical-relative:line;mso-left-percent:-10001;mso-top-percent:-10001" fillcolor="#e1e0e1" stroked="f">
            <v:textbox inset="0,0,0,0">
              <w:txbxContent>
                <w:p w:rsidR="00F22F94" w:rsidRDefault="00F22F94">
                  <w:pPr>
                    <w:pStyle w:val="BodyText"/>
                    <w:spacing w:before="68" w:line="249" w:lineRule="auto"/>
                    <w:ind w:left="113" w:right="138"/>
                    <w:rPr>
                      <w:color w:val="000000"/>
                    </w:rPr>
                  </w:pPr>
                  <w:r>
                    <w:rPr>
                      <w:color w:val="00AEEF"/>
                    </w:rPr>
                    <w:t>Recommendation</w:t>
                  </w:r>
                  <w:r>
                    <w:rPr>
                      <w:color w:val="00AEEF"/>
                      <w:spacing w:val="40"/>
                    </w:rPr>
                    <w:t xml:space="preserve"> </w:t>
                  </w:r>
                  <w:r>
                    <w:rPr>
                      <w:color w:val="000000"/>
                    </w:rPr>
                    <w:t xml:space="preserve">Infrastructure NSW supports </w:t>
                  </w:r>
                  <w:r>
                    <w:rPr>
                      <w:color w:val="000000"/>
                      <w:w w:val="95"/>
                    </w:rPr>
                    <w:t>Arts</w:t>
                  </w:r>
                  <w:r>
                    <w:rPr>
                      <w:color w:val="000000"/>
                      <w:spacing w:val="-3"/>
                      <w:w w:val="95"/>
                    </w:rPr>
                    <w:t xml:space="preserve"> </w:t>
                  </w:r>
                  <w:r>
                    <w:rPr>
                      <w:color w:val="000000"/>
                      <w:w w:val="95"/>
                    </w:rPr>
                    <w:t>NSW’s</w:t>
                  </w:r>
                  <w:r>
                    <w:rPr>
                      <w:color w:val="000000"/>
                      <w:spacing w:val="-3"/>
                      <w:w w:val="95"/>
                    </w:rPr>
                    <w:t xml:space="preserve"> </w:t>
                  </w:r>
                  <w:r>
                    <w:rPr>
                      <w:color w:val="000000"/>
                      <w:w w:val="95"/>
                    </w:rPr>
                    <w:t>Cultural</w:t>
                  </w:r>
                  <w:r>
                    <w:rPr>
                      <w:color w:val="000000"/>
                      <w:spacing w:val="-3"/>
                      <w:w w:val="95"/>
                    </w:rPr>
                    <w:t xml:space="preserve"> </w:t>
                  </w:r>
                  <w:r>
                    <w:rPr>
                      <w:color w:val="000000"/>
                      <w:w w:val="95"/>
                    </w:rPr>
                    <w:t>Venues</w:t>
                  </w:r>
                  <w:r>
                    <w:rPr>
                      <w:color w:val="000000"/>
                      <w:spacing w:val="-3"/>
                      <w:w w:val="95"/>
                    </w:rPr>
                    <w:t xml:space="preserve"> </w:t>
                  </w:r>
                  <w:r>
                    <w:rPr>
                      <w:color w:val="000000"/>
                      <w:w w:val="95"/>
                    </w:rPr>
                    <w:t>Plan</w:t>
                  </w:r>
                  <w:r>
                    <w:rPr>
                      <w:color w:val="000000"/>
                      <w:spacing w:val="-3"/>
                      <w:w w:val="95"/>
                    </w:rPr>
                    <w:t xml:space="preserve"> </w:t>
                  </w:r>
                  <w:r>
                    <w:rPr>
                      <w:color w:val="000000"/>
                      <w:w w:val="95"/>
                    </w:rPr>
                    <w:t>(draft)</w:t>
                  </w:r>
                  <w:r>
                    <w:rPr>
                      <w:color w:val="000000"/>
                      <w:spacing w:val="-3"/>
                      <w:w w:val="95"/>
                    </w:rPr>
                    <w:t xml:space="preserve"> </w:t>
                  </w:r>
                  <w:r>
                    <w:rPr>
                      <w:color w:val="000000"/>
                      <w:w w:val="95"/>
                    </w:rPr>
                    <w:t>and</w:t>
                  </w:r>
                  <w:r>
                    <w:rPr>
                      <w:color w:val="000000"/>
                      <w:spacing w:val="-3"/>
                      <w:w w:val="95"/>
                    </w:rPr>
                    <w:t xml:space="preserve"> </w:t>
                  </w:r>
                  <w:r>
                    <w:rPr>
                      <w:color w:val="000000"/>
                      <w:w w:val="95"/>
                    </w:rPr>
                    <w:t>focus</w:t>
                  </w:r>
                  <w:r>
                    <w:rPr>
                      <w:color w:val="000000"/>
                      <w:spacing w:val="-3"/>
                      <w:w w:val="95"/>
                    </w:rPr>
                    <w:t xml:space="preserve"> </w:t>
                  </w:r>
                  <w:r>
                    <w:rPr>
                      <w:color w:val="000000"/>
                      <w:w w:val="95"/>
                    </w:rPr>
                    <w:t xml:space="preserve">on </w:t>
                  </w:r>
                  <w:r>
                    <w:rPr>
                      <w:color w:val="000000"/>
                    </w:rPr>
                    <w:t>the</w:t>
                  </w:r>
                  <w:r>
                    <w:rPr>
                      <w:color w:val="000000"/>
                      <w:spacing w:val="-14"/>
                    </w:rPr>
                    <w:t xml:space="preserve"> </w:t>
                  </w:r>
                  <w:r>
                    <w:rPr>
                      <w:color w:val="000000"/>
                    </w:rPr>
                    <w:t>development</w:t>
                  </w:r>
                  <w:r>
                    <w:rPr>
                      <w:color w:val="000000"/>
                      <w:spacing w:val="-14"/>
                    </w:rPr>
                    <w:t xml:space="preserve"> </w:t>
                  </w:r>
                  <w:r>
                    <w:rPr>
                      <w:color w:val="000000"/>
                    </w:rPr>
                    <w:t>of</w:t>
                  </w:r>
                  <w:r>
                    <w:rPr>
                      <w:color w:val="000000"/>
                      <w:spacing w:val="-14"/>
                    </w:rPr>
                    <w:t xml:space="preserve"> </w:t>
                  </w:r>
                  <w:r>
                    <w:rPr>
                      <w:color w:val="000000"/>
                    </w:rPr>
                    <w:t>an</w:t>
                  </w:r>
                  <w:r>
                    <w:rPr>
                      <w:color w:val="000000"/>
                      <w:spacing w:val="-14"/>
                    </w:rPr>
                    <w:t xml:space="preserve"> </w:t>
                  </w:r>
                  <w:r>
                    <w:rPr>
                      <w:color w:val="000000"/>
                    </w:rPr>
                    <w:t>Arts</w:t>
                  </w:r>
                  <w:r>
                    <w:rPr>
                      <w:color w:val="000000"/>
                      <w:spacing w:val="-14"/>
                    </w:rPr>
                    <w:t xml:space="preserve"> </w:t>
                  </w:r>
                  <w:r>
                    <w:rPr>
                      <w:color w:val="000000"/>
                    </w:rPr>
                    <w:t>Ribbon</w:t>
                  </w:r>
                  <w:r>
                    <w:rPr>
                      <w:color w:val="000000"/>
                      <w:spacing w:val="-14"/>
                    </w:rPr>
                    <w:t xml:space="preserve"> </w:t>
                  </w:r>
                  <w:r>
                    <w:rPr>
                      <w:color w:val="000000"/>
                    </w:rPr>
                    <w:t>around</w:t>
                  </w:r>
                  <w:r>
                    <w:rPr>
                      <w:color w:val="000000"/>
                      <w:spacing w:val="-14"/>
                    </w:rPr>
                    <w:t xml:space="preserve"> </w:t>
                  </w:r>
                  <w:r>
                    <w:rPr>
                      <w:color w:val="000000"/>
                    </w:rPr>
                    <w:t>the</w:t>
                  </w:r>
                  <w:r>
                    <w:rPr>
                      <w:color w:val="000000"/>
                      <w:spacing w:val="-14"/>
                    </w:rPr>
                    <w:t xml:space="preserve"> </w:t>
                  </w:r>
                  <w:r>
                    <w:rPr>
                      <w:color w:val="000000"/>
                    </w:rPr>
                    <w:t xml:space="preserve">CBD, the development of a world class arts and cultural precinct at Walsh Bay and phased renewal of the </w:t>
                  </w:r>
                  <w:r>
                    <w:rPr>
                      <w:color w:val="000000"/>
                      <w:w w:val="95"/>
                    </w:rPr>
                    <w:t>Opera</w:t>
                  </w:r>
                  <w:r>
                    <w:rPr>
                      <w:color w:val="000000"/>
                      <w:spacing w:val="-6"/>
                      <w:w w:val="95"/>
                    </w:rPr>
                    <w:t xml:space="preserve"> </w:t>
                  </w:r>
                  <w:r>
                    <w:rPr>
                      <w:color w:val="000000"/>
                      <w:w w:val="95"/>
                    </w:rPr>
                    <w:t>House</w:t>
                  </w:r>
                  <w:r>
                    <w:rPr>
                      <w:color w:val="000000"/>
                      <w:spacing w:val="-6"/>
                      <w:w w:val="95"/>
                    </w:rPr>
                    <w:t xml:space="preserve"> </w:t>
                  </w:r>
                  <w:r>
                    <w:rPr>
                      <w:color w:val="000000"/>
                      <w:w w:val="95"/>
                    </w:rPr>
                    <w:t>and</w:t>
                  </w:r>
                  <w:r>
                    <w:rPr>
                      <w:color w:val="000000"/>
                      <w:spacing w:val="-6"/>
                      <w:w w:val="95"/>
                    </w:rPr>
                    <w:t xml:space="preserve"> </w:t>
                  </w:r>
                  <w:r>
                    <w:rPr>
                      <w:color w:val="000000"/>
                      <w:w w:val="95"/>
                    </w:rPr>
                    <w:t>expansion</w:t>
                  </w:r>
                  <w:r>
                    <w:rPr>
                      <w:color w:val="000000"/>
                      <w:spacing w:val="-6"/>
                      <w:w w:val="95"/>
                    </w:rPr>
                    <w:t xml:space="preserve"> </w:t>
                  </w:r>
                  <w:r>
                    <w:rPr>
                      <w:color w:val="000000"/>
                      <w:w w:val="95"/>
                    </w:rPr>
                    <w:t>of</w:t>
                  </w:r>
                  <w:r>
                    <w:rPr>
                      <w:color w:val="000000"/>
                      <w:spacing w:val="-6"/>
                      <w:w w:val="95"/>
                    </w:rPr>
                    <w:t xml:space="preserve"> </w:t>
                  </w:r>
                  <w:r>
                    <w:rPr>
                      <w:color w:val="000000"/>
                      <w:w w:val="95"/>
                    </w:rPr>
                    <w:t>the</w:t>
                  </w:r>
                  <w:r>
                    <w:rPr>
                      <w:color w:val="000000"/>
                      <w:spacing w:val="-6"/>
                      <w:w w:val="95"/>
                    </w:rPr>
                    <w:t xml:space="preserve"> </w:t>
                  </w:r>
                  <w:r>
                    <w:rPr>
                      <w:color w:val="000000"/>
                      <w:w w:val="95"/>
                    </w:rPr>
                    <w:t>Art</w:t>
                  </w:r>
                  <w:r>
                    <w:rPr>
                      <w:color w:val="000000"/>
                      <w:spacing w:val="-6"/>
                      <w:w w:val="95"/>
                    </w:rPr>
                    <w:t xml:space="preserve"> </w:t>
                  </w:r>
                  <w:r>
                    <w:rPr>
                      <w:color w:val="000000"/>
                      <w:w w:val="95"/>
                    </w:rPr>
                    <w:t>Gallery</w:t>
                  </w:r>
                  <w:r>
                    <w:rPr>
                      <w:color w:val="000000"/>
                      <w:spacing w:val="-6"/>
                      <w:w w:val="95"/>
                    </w:rPr>
                    <w:t xml:space="preserve"> </w:t>
                  </w:r>
                  <w:r>
                    <w:rPr>
                      <w:color w:val="000000"/>
                      <w:w w:val="95"/>
                    </w:rPr>
                    <w:t>of</w:t>
                  </w:r>
                  <w:r>
                    <w:rPr>
                      <w:color w:val="000000"/>
                      <w:spacing w:val="-6"/>
                      <w:w w:val="95"/>
                    </w:rPr>
                    <w:t xml:space="preserve"> </w:t>
                  </w:r>
                  <w:r>
                    <w:rPr>
                      <w:color w:val="000000"/>
                      <w:w w:val="95"/>
                    </w:rPr>
                    <w:t xml:space="preserve">New </w:t>
                  </w:r>
                  <w:r>
                    <w:rPr>
                      <w:color w:val="000000"/>
                    </w:rPr>
                    <w:t>South</w:t>
                  </w:r>
                  <w:r>
                    <w:rPr>
                      <w:color w:val="000000"/>
                      <w:spacing w:val="-7"/>
                    </w:rPr>
                    <w:t xml:space="preserve"> </w:t>
                  </w:r>
                  <w:r>
                    <w:rPr>
                      <w:color w:val="000000"/>
                    </w:rPr>
                    <w:t>Wales.</w:t>
                  </w:r>
                </w:p>
              </w:txbxContent>
            </v:textbox>
            <w10:anchorlock/>
          </v:shape>
        </w:pict>
      </w:r>
    </w:p>
    <w:p w:rsidR="002C1123" w:rsidRDefault="002C1123">
      <w:pPr>
        <w:pStyle w:val="BodyText"/>
        <w:spacing w:before="2"/>
      </w:pPr>
    </w:p>
    <w:p w:rsidR="002C1123" w:rsidRDefault="00F22F94">
      <w:pPr>
        <w:pStyle w:val="BodyText"/>
        <w:spacing w:line="249" w:lineRule="auto"/>
        <w:ind w:left="240"/>
      </w:pPr>
      <w:r>
        <w:rPr>
          <w:w w:val="95"/>
        </w:rPr>
        <w:t>All</w:t>
      </w:r>
      <w:r>
        <w:rPr>
          <w:spacing w:val="-4"/>
          <w:w w:val="95"/>
        </w:rPr>
        <w:t xml:space="preserve"> </w:t>
      </w:r>
      <w:r>
        <w:rPr>
          <w:w w:val="95"/>
        </w:rPr>
        <w:t>projects</w:t>
      </w:r>
      <w:r>
        <w:rPr>
          <w:spacing w:val="-4"/>
          <w:w w:val="95"/>
        </w:rPr>
        <w:t xml:space="preserve"> </w:t>
      </w:r>
      <w:r>
        <w:rPr>
          <w:w w:val="95"/>
        </w:rPr>
        <w:t>are</w:t>
      </w:r>
      <w:r>
        <w:rPr>
          <w:spacing w:val="-4"/>
          <w:w w:val="95"/>
        </w:rPr>
        <w:t xml:space="preserve"> </w:t>
      </w:r>
      <w:r>
        <w:rPr>
          <w:w w:val="95"/>
        </w:rPr>
        <w:t>subject</w:t>
      </w:r>
      <w:r>
        <w:rPr>
          <w:spacing w:val="-4"/>
          <w:w w:val="95"/>
        </w:rPr>
        <w:t xml:space="preserve"> </w:t>
      </w:r>
      <w:r>
        <w:rPr>
          <w:w w:val="95"/>
        </w:rPr>
        <w:t>to</w:t>
      </w:r>
      <w:r>
        <w:rPr>
          <w:spacing w:val="-4"/>
          <w:w w:val="95"/>
        </w:rPr>
        <w:t xml:space="preserve"> </w:t>
      </w:r>
      <w:r>
        <w:rPr>
          <w:w w:val="95"/>
        </w:rPr>
        <w:t>future</w:t>
      </w:r>
      <w:r>
        <w:rPr>
          <w:spacing w:val="-4"/>
          <w:w w:val="95"/>
        </w:rPr>
        <w:t xml:space="preserve"> </w:t>
      </w:r>
      <w:r>
        <w:rPr>
          <w:w w:val="95"/>
        </w:rPr>
        <w:t>detailed</w:t>
      </w:r>
      <w:r>
        <w:rPr>
          <w:spacing w:val="-4"/>
          <w:w w:val="95"/>
        </w:rPr>
        <w:t xml:space="preserve"> </w:t>
      </w:r>
      <w:r>
        <w:rPr>
          <w:w w:val="95"/>
        </w:rPr>
        <w:t>planning</w:t>
      </w:r>
      <w:r>
        <w:rPr>
          <w:spacing w:val="-4"/>
          <w:w w:val="95"/>
        </w:rPr>
        <w:t xml:space="preserve"> </w:t>
      </w:r>
      <w:r>
        <w:rPr>
          <w:w w:val="95"/>
        </w:rPr>
        <w:t xml:space="preserve">work </w:t>
      </w:r>
      <w:r>
        <w:t>and</w:t>
      </w:r>
      <w:r>
        <w:rPr>
          <w:spacing w:val="-11"/>
        </w:rPr>
        <w:t xml:space="preserve"> </w:t>
      </w:r>
      <w:r>
        <w:t>approvals.</w:t>
      </w:r>
    </w:p>
    <w:p w:rsidR="002C1123" w:rsidRDefault="00F22F94">
      <w:pPr>
        <w:pStyle w:val="Heading6"/>
        <w:spacing w:before="53" w:line="320" w:lineRule="atLeast"/>
        <w:ind w:left="240" w:right="313"/>
      </w:pPr>
      <w:r>
        <w:rPr>
          <w:color w:val="00AEEF"/>
          <w:spacing w:val="-2"/>
        </w:rPr>
        <w:t>14.2.6</w:t>
      </w:r>
      <w:r>
        <w:rPr>
          <w:color w:val="00AEEF"/>
          <w:spacing w:val="-12"/>
        </w:rPr>
        <w:t xml:space="preserve"> </w:t>
      </w:r>
      <w:r>
        <w:rPr>
          <w:color w:val="00AEEF"/>
          <w:spacing w:val="-2"/>
        </w:rPr>
        <w:t>Sports</w:t>
      </w:r>
      <w:r>
        <w:rPr>
          <w:color w:val="00AEEF"/>
          <w:spacing w:val="-12"/>
        </w:rPr>
        <w:t xml:space="preserve"> </w:t>
      </w:r>
      <w:r>
        <w:rPr>
          <w:color w:val="00AEEF"/>
          <w:spacing w:val="-2"/>
        </w:rPr>
        <w:t>and</w:t>
      </w:r>
      <w:r>
        <w:rPr>
          <w:color w:val="00AEEF"/>
          <w:spacing w:val="-12"/>
        </w:rPr>
        <w:t xml:space="preserve"> </w:t>
      </w:r>
      <w:r>
        <w:rPr>
          <w:color w:val="00AEEF"/>
          <w:spacing w:val="-2"/>
        </w:rPr>
        <w:t>Recreational</w:t>
      </w:r>
      <w:r>
        <w:rPr>
          <w:color w:val="00AEEF"/>
          <w:spacing w:val="-12"/>
        </w:rPr>
        <w:t xml:space="preserve"> </w:t>
      </w:r>
      <w:r>
        <w:rPr>
          <w:color w:val="00AEEF"/>
          <w:spacing w:val="-2"/>
        </w:rPr>
        <w:t xml:space="preserve">Precincts </w:t>
      </w:r>
      <w:r>
        <w:t>Sydney Olympic Park</w:t>
      </w:r>
    </w:p>
    <w:p w:rsidR="002C1123" w:rsidRDefault="00F22F94">
      <w:pPr>
        <w:pStyle w:val="BodyText"/>
        <w:spacing w:before="15" w:line="249" w:lineRule="auto"/>
        <w:ind w:left="240" w:right="179"/>
      </w:pPr>
      <w:r>
        <w:rPr>
          <w:w w:val="95"/>
        </w:rPr>
        <w:t>Sydney</w:t>
      </w:r>
      <w:r>
        <w:rPr>
          <w:spacing w:val="-9"/>
          <w:w w:val="95"/>
        </w:rPr>
        <w:t xml:space="preserve"> </w:t>
      </w:r>
      <w:r>
        <w:rPr>
          <w:w w:val="95"/>
        </w:rPr>
        <w:t>Olympic</w:t>
      </w:r>
      <w:r>
        <w:rPr>
          <w:spacing w:val="-9"/>
          <w:w w:val="95"/>
        </w:rPr>
        <w:t xml:space="preserve"> </w:t>
      </w:r>
      <w:r>
        <w:rPr>
          <w:w w:val="95"/>
        </w:rPr>
        <w:t>Park</w:t>
      </w:r>
      <w:r>
        <w:rPr>
          <w:spacing w:val="-9"/>
          <w:w w:val="95"/>
        </w:rPr>
        <w:t xml:space="preserve"> </w:t>
      </w:r>
      <w:r>
        <w:rPr>
          <w:w w:val="95"/>
        </w:rPr>
        <w:t>(SOP)</w:t>
      </w:r>
      <w:r>
        <w:rPr>
          <w:spacing w:val="-9"/>
          <w:w w:val="95"/>
        </w:rPr>
        <w:t xml:space="preserve"> </w:t>
      </w:r>
      <w:r>
        <w:rPr>
          <w:w w:val="95"/>
        </w:rPr>
        <w:t>comprises</w:t>
      </w:r>
      <w:r>
        <w:rPr>
          <w:spacing w:val="-9"/>
          <w:w w:val="95"/>
        </w:rPr>
        <w:t xml:space="preserve"> </w:t>
      </w:r>
      <w:r>
        <w:rPr>
          <w:w w:val="95"/>
        </w:rPr>
        <w:t>a</w:t>
      </w:r>
      <w:r>
        <w:rPr>
          <w:spacing w:val="-9"/>
          <w:w w:val="95"/>
        </w:rPr>
        <w:t xml:space="preserve"> </w:t>
      </w:r>
      <w:r>
        <w:rPr>
          <w:w w:val="95"/>
        </w:rPr>
        <w:t>640</w:t>
      </w:r>
      <w:r>
        <w:rPr>
          <w:spacing w:val="-9"/>
          <w:w w:val="95"/>
        </w:rPr>
        <w:t xml:space="preserve"> </w:t>
      </w:r>
      <w:r>
        <w:rPr>
          <w:w w:val="95"/>
        </w:rPr>
        <w:t xml:space="preserve">hectare </w:t>
      </w:r>
      <w:r>
        <w:t>precinct</w:t>
      </w:r>
      <w:r>
        <w:rPr>
          <w:spacing w:val="-3"/>
        </w:rPr>
        <w:t xml:space="preserve"> </w:t>
      </w:r>
      <w:r>
        <w:t>at</w:t>
      </w:r>
      <w:r>
        <w:rPr>
          <w:spacing w:val="-3"/>
        </w:rPr>
        <w:t xml:space="preserve"> </w:t>
      </w:r>
      <w:r>
        <w:t>Homebush,</w:t>
      </w:r>
      <w:r>
        <w:rPr>
          <w:spacing w:val="-3"/>
        </w:rPr>
        <w:t xml:space="preserve"> </w:t>
      </w:r>
      <w:r>
        <w:t>under</w:t>
      </w:r>
      <w:r>
        <w:rPr>
          <w:spacing w:val="-3"/>
        </w:rPr>
        <w:t xml:space="preserve"> </w:t>
      </w:r>
      <w:r>
        <w:t>the</w:t>
      </w:r>
      <w:r>
        <w:rPr>
          <w:spacing w:val="-3"/>
        </w:rPr>
        <w:t xml:space="preserve"> </w:t>
      </w:r>
      <w:r>
        <w:t>management</w:t>
      </w:r>
      <w:r>
        <w:rPr>
          <w:spacing w:val="-3"/>
        </w:rPr>
        <w:t xml:space="preserve"> </w:t>
      </w:r>
      <w:r>
        <w:t xml:space="preserve">of </w:t>
      </w:r>
      <w:r>
        <w:rPr>
          <w:w w:val="95"/>
        </w:rPr>
        <w:t xml:space="preserve">the Sydney Olympic Park Authority. The site includes </w:t>
      </w:r>
      <w:r>
        <w:t>sporting</w:t>
      </w:r>
      <w:r>
        <w:rPr>
          <w:spacing w:val="-14"/>
        </w:rPr>
        <w:t xml:space="preserve"> </w:t>
      </w:r>
      <w:r>
        <w:t>venues,</w:t>
      </w:r>
      <w:r>
        <w:rPr>
          <w:spacing w:val="-14"/>
        </w:rPr>
        <w:t xml:space="preserve"> </w:t>
      </w:r>
      <w:r>
        <w:t>parklands,</w:t>
      </w:r>
      <w:r>
        <w:rPr>
          <w:spacing w:val="-14"/>
        </w:rPr>
        <w:t xml:space="preserve"> </w:t>
      </w:r>
      <w:r>
        <w:t>the</w:t>
      </w:r>
      <w:r>
        <w:rPr>
          <w:spacing w:val="-14"/>
        </w:rPr>
        <w:t xml:space="preserve"> </w:t>
      </w:r>
      <w:r>
        <w:t>Royal</w:t>
      </w:r>
      <w:r>
        <w:rPr>
          <w:spacing w:val="-14"/>
        </w:rPr>
        <w:t xml:space="preserve"> </w:t>
      </w:r>
      <w:r>
        <w:t>Agricultural</w:t>
      </w:r>
    </w:p>
    <w:p w:rsidR="002C1123" w:rsidRDefault="00F22F94">
      <w:pPr>
        <w:pStyle w:val="BodyText"/>
        <w:spacing w:before="4" w:line="249" w:lineRule="auto"/>
        <w:ind w:left="240"/>
      </w:pPr>
      <w:r>
        <w:t>Society</w:t>
      </w:r>
      <w:r>
        <w:rPr>
          <w:spacing w:val="-14"/>
        </w:rPr>
        <w:t xml:space="preserve"> </w:t>
      </w:r>
      <w:r>
        <w:t>(RAS)</w:t>
      </w:r>
      <w:r>
        <w:rPr>
          <w:spacing w:val="-14"/>
        </w:rPr>
        <w:t xml:space="preserve"> </w:t>
      </w:r>
      <w:r>
        <w:t>showground,</w:t>
      </w:r>
      <w:r>
        <w:rPr>
          <w:spacing w:val="-14"/>
        </w:rPr>
        <w:t xml:space="preserve"> </w:t>
      </w:r>
      <w:r>
        <w:t>commercial</w:t>
      </w:r>
      <w:r>
        <w:rPr>
          <w:spacing w:val="-14"/>
        </w:rPr>
        <w:t xml:space="preserve"> </w:t>
      </w:r>
      <w:r>
        <w:t xml:space="preserve">development </w:t>
      </w:r>
      <w:r>
        <w:rPr>
          <w:w w:val="95"/>
        </w:rPr>
        <w:t>and</w:t>
      </w:r>
      <w:r>
        <w:rPr>
          <w:spacing w:val="-7"/>
          <w:w w:val="95"/>
        </w:rPr>
        <w:t xml:space="preserve"> </w:t>
      </w:r>
      <w:r>
        <w:rPr>
          <w:w w:val="95"/>
        </w:rPr>
        <w:t>residential</w:t>
      </w:r>
      <w:r>
        <w:rPr>
          <w:spacing w:val="-7"/>
          <w:w w:val="95"/>
        </w:rPr>
        <w:t xml:space="preserve"> </w:t>
      </w:r>
      <w:r>
        <w:rPr>
          <w:w w:val="95"/>
        </w:rPr>
        <w:t>development.</w:t>
      </w:r>
      <w:r>
        <w:rPr>
          <w:spacing w:val="-7"/>
          <w:w w:val="95"/>
        </w:rPr>
        <w:t xml:space="preserve"> </w:t>
      </w:r>
      <w:r>
        <w:rPr>
          <w:w w:val="95"/>
        </w:rPr>
        <w:t>There</w:t>
      </w:r>
      <w:r>
        <w:rPr>
          <w:spacing w:val="-7"/>
          <w:w w:val="95"/>
        </w:rPr>
        <w:t xml:space="preserve"> </w:t>
      </w:r>
      <w:r>
        <w:rPr>
          <w:w w:val="95"/>
        </w:rPr>
        <w:t>is</w:t>
      </w:r>
      <w:r>
        <w:rPr>
          <w:spacing w:val="-7"/>
          <w:w w:val="95"/>
        </w:rPr>
        <w:t xml:space="preserve"> </w:t>
      </w:r>
      <w:r>
        <w:rPr>
          <w:w w:val="95"/>
        </w:rPr>
        <w:t>over</w:t>
      </w:r>
      <w:r>
        <w:rPr>
          <w:spacing w:val="-7"/>
          <w:w w:val="95"/>
        </w:rPr>
        <w:t xml:space="preserve"> </w:t>
      </w:r>
      <w:r>
        <w:rPr>
          <w:w w:val="95"/>
        </w:rPr>
        <w:t>$1.8</w:t>
      </w:r>
      <w:r>
        <w:rPr>
          <w:spacing w:val="-7"/>
          <w:w w:val="95"/>
        </w:rPr>
        <w:t xml:space="preserve"> </w:t>
      </w:r>
      <w:r>
        <w:rPr>
          <w:w w:val="95"/>
        </w:rPr>
        <w:t>billion</w:t>
      </w:r>
      <w:r>
        <w:rPr>
          <w:spacing w:val="-7"/>
          <w:w w:val="95"/>
        </w:rPr>
        <w:t xml:space="preserve"> </w:t>
      </w:r>
      <w:r>
        <w:rPr>
          <w:w w:val="95"/>
        </w:rPr>
        <w:t>of infrastructure</w:t>
      </w:r>
      <w:r>
        <w:rPr>
          <w:spacing w:val="-6"/>
          <w:w w:val="95"/>
        </w:rPr>
        <w:t xml:space="preserve"> </w:t>
      </w:r>
      <w:r>
        <w:rPr>
          <w:w w:val="95"/>
        </w:rPr>
        <w:t>at</w:t>
      </w:r>
      <w:r>
        <w:rPr>
          <w:spacing w:val="-6"/>
          <w:w w:val="95"/>
        </w:rPr>
        <w:t xml:space="preserve"> </w:t>
      </w:r>
      <w:r>
        <w:rPr>
          <w:w w:val="95"/>
        </w:rPr>
        <w:t>SOP,</w:t>
      </w:r>
      <w:r>
        <w:rPr>
          <w:spacing w:val="-6"/>
          <w:w w:val="95"/>
        </w:rPr>
        <w:t xml:space="preserve"> </w:t>
      </w:r>
      <w:r>
        <w:rPr>
          <w:w w:val="95"/>
        </w:rPr>
        <w:t>most</w:t>
      </w:r>
      <w:r>
        <w:rPr>
          <w:spacing w:val="-6"/>
          <w:w w:val="95"/>
        </w:rPr>
        <w:t xml:space="preserve"> </w:t>
      </w:r>
      <w:r>
        <w:rPr>
          <w:w w:val="95"/>
        </w:rPr>
        <w:t>of</w:t>
      </w:r>
      <w:r>
        <w:rPr>
          <w:spacing w:val="-6"/>
          <w:w w:val="95"/>
        </w:rPr>
        <w:t xml:space="preserve"> </w:t>
      </w:r>
      <w:r>
        <w:rPr>
          <w:w w:val="95"/>
        </w:rPr>
        <w:t>which</w:t>
      </w:r>
      <w:r>
        <w:rPr>
          <w:spacing w:val="-6"/>
          <w:w w:val="95"/>
        </w:rPr>
        <w:t xml:space="preserve"> </w:t>
      </w:r>
      <w:r>
        <w:rPr>
          <w:w w:val="95"/>
        </w:rPr>
        <w:t>has</w:t>
      </w:r>
      <w:r>
        <w:rPr>
          <w:spacing w:val="-6"/>
          <w:w w:val="95"/>
        </w:rPr>
        <w:t xml:space="preserve"> </w:t>
      </w:r>
      <w:r>
        <w:rPr>
          <w:w w:val="95"/>
        </w:rPr>
        <w:t>been</w:t>
      </w:r>
      <w:r>
        <w:rPr>
          <w:spacing w:val="-6"/>
          <w:w w:val="95"/>
        </w:rPr>
        <w:t xml:space="preserve"> </w:t>
      </w:r>
      <w:r>
        <w:rPr>
          <w:w w:val="95"/>
        </w:rPr>
        <w:t>funded</w:t>
      </w:r>
      <w:r>
        <w:rPr>
          <w:spacing w:val="-6"/>
          <w:w w:val="95"/>
        </w:rPr>
        <w:t xml:space="preserve"> </w:t>
      </w:r>
      <w:r>
        <w:rPr>
          <w:w w:val="95"/>
        </w:rPr>
        <w:t xml:space="preserve">by </w:t>
      </w:r>
      <w:r>
        <w:t>the NSW Government</w:t>
      </w:r>
      <w:r>
        <w:rPr>
          <w:position w:val="7"/>
          <w:sz w:val="11"/>
        </w:rPr>
        <w:t>4</w:t>
      </w:r>
      <w:r>
        <w:t>.</w:t>
      </w:r>
    </w:p>
    <w:p w:rsidR="002C1123" w:rsidRDefault="00F22F94">
      <w:pPr>
        <w:pStyle w:val="BodyText"/>
        <w:spacing w:before="145" w:line="249" w:lineRule="auto"/>
        <w:ind w:left="240"/>
      </w:pPr>
      <w:r>
        <w:rPr>
          <w:w w:val="95"/>
        </w:rPr>
        <w:t>The</w:t>
      </w:r>
      <w:r>
        <w:rPr>
          <w:spacing w:val="-11"/>
          <w:w w:val="95"/>
        </w:rPr>
        <w:t xml:space="preserve"> </w:t>
      </w:r>
      <w:r>
        <w:rPr>
          <w:w w:val="95"/>
        </w:rPr>
        <w:t>SOP</w:t>
      </w:r>
      <w:r>
        <w:rPr>
          <w:spacing w:val="-11"/>
          <w:w w:val="95"/>
        </w:rPr>
        <w:t xml:space="preserve"> </w:t>
      </w:r>
      <w:r>
        <w:rPr>
          <w:w w:val="95"/>
        </w:rPr>
        <w:t>has</w:t>
      </w:r>
      <w:r>
        <w:rPr>
          <w:spacing w:val="-11"/>
          <w:w w:val="95"/>
        </w:rPr>
        <w:t xml:space="preserve"> </w:t>
      </w:r>
      <w:r>
        <w:rPr>
          <w:w w:val="95"/>
        </w:rPr>
        <w:t>largely</w:t>
      </w:r>
      <w:r>
        <w:rPr>
          <w:spacing w:val="-11"/>
          <w:w w:val="95"/>
        </w:rPr>
        <w:t xml:space="preserve"> </w:t>
      </w:r>
      <w:r>
        <w:rPr>
          <w:w w:val="95"/>
        </w:rPr>
        <w:t>achieved</w:t>
      </w:r>
      <w:r>
        <w:rPr>
          <w:spacing w:val="-11"/>
          <w:w w:val="95"/>
        </w:rPr>
        <w:t xml:space="preserve"> </w:t>
      </w:r>
      <w:r>
        <w:rPr>
          <w:w w:val="95"/>
        </w:rPr>
        <w:t>its</w:t>
      </w:r>
      <w:r>
        <w:rPr>
          <w:spacing w:val="-11"/>
          <w:w w:val="95"/>
        </w:rPr>
        <w:t xml:space="preserve"> </w:t>
      </w:r>
      <w:r>
        <w:rPr>
          <w:w w:val="95"/>
        </w:rPr>
        <w:t>masterplan</w:t>
      </w:r>
      <w:r>
        <w:rPr>
          <w:spacing w:val="-11"/>
          <w:w w:val="95"/>
        </w:rPr>
        <w:t xml:space="preserve"> </w:t>
      </w:r>
      <w:r>
        <w:rPr>
          <w:w w:val="95"/>
        </w:rPr>
        <w:t>to</w:t>
      </w:r>
      <w:r>
        <w:rPr>
          <w:spacing w:val="-11"/>
          <w:w w:val="95"/>
        </w:rPr>
        <w:t xml:space="preserve"> </w:t>
      </w:r>
      <w:r>
        <w:rPr>
          <w:w w:val="95"/>
        </w:rPr>
        <w:t xml:space="preserve">provide </w:t>
      </w:r>
      <w:r>
        <w:t>capacity</w:t>
      </w:r>
      <w:r>
        <w:rPr>
          <w:spacing w:val="-13"/>
        </w:rPr>
        <w:t xml:space="preserve"> </w:t>
      </w:r>
      <w:r>
        <w:t>for</w:t>
      </w:r>
      <w:r>
        <w:rPr>
          <w:spacing w:val="-13"/>
        </w:rPr>
        <w:t xml:space="preserve"> </w:t>
      </w:r>
      <w:r>
        <w:t>a</w:t>
      </w:r>
      <w:r>
        <w:rPr>
          <w:spacing w:val="-13"/>
        </w:rPr>
        <w:t xml:space="preserve"> </w:t>
      </w:r>
      <w:r>
        <w:t>daily</w:t>
      </w:r>
      <w:r>
        <w:rPr>
          <w:spacing w:val="-13"/>
        </w:rPr>
        <w:t xml:space="preserve"> </w:t>
      </w:r>
      <w:r>
        <w:t>population</w:t>
      </w:r>
      <w:r>
        <w:rPr>
          <w:spacing w:val="-13"/>
        </w:rPr>
        <w:t xml:space="preserve"> </w:t>
      </w:r>
      <w:r>
        <w:t>of</w:t>
      </w:r>
      <w:r>
        <w:rPr>
          <w:spacing w:val="-13"/>
        </w:rPr>
        <w:t xml:space="preserve"> </w:t>
      </w:r>
      <w:r>
        <w:t>over</w:t>
      </w:r>
      <w:r>
        <w:rPr>
          <w:spacing w:val="-13"/>
        </w:rPr>
        <w:t xml:space="preserve"> </w:t>
      </w:r>
      <w:r>
        <w:t>51,500</w:t>
      </w:r>
      <w:r>
        <w:rPr>
          <w:spacing w:val="-13"/>
        </w:rPr>
        <w:t xml:space="preserve"> </w:t>
      </w:r>
      <w:r>
        <w:t>people</w:t>
      </w:r>
    </w:p>
    <w:p w:rsidR="002C1123" w:rsidRDefault="00F22F94">
      <w:pPr>
        <w:pStyle w:val="BodyText"/>
        <w:spacing w:before="1" w:line="249" w:lineRule="auto"/>
        <w:ind w:left="240" w:right="93"/>
      </w:pPr>
      <w:r>
        <w:t>in</w:t>
      </w:r>
      <w:r>
        <w:rPr>
          <w:spacing w:val="-12"/>
        </w:rPr>
        <w:t xml:space="preserve"> </w:t>
      </w:r>
      <w:r>
        <w:t>addition</w:t>
      </w:r>
      <w:r>
        <w:rPr>
          <w:spacing w:val="-12"/>
        </w:rPr>
        <w:t xml:space="preserve"> </w:t>
      </w:r>
      <w:r>
        <w:t>to</w:t>
      </w:r>
      <w:r>
        <w:rPr>
          <w:spacing w:val="-12"/>
        </w:rPr>
        <w:t xml:space="preserve"> </w:t>
      </w:r>
      <w:r>
        <w:t>visitors</w:t>
      </w:r>
      <w:r>
        <w:rPr>
          <w:spacing w:val="-12"/>
        </w:rPr>
        <w:t xml:space="preserve"> </w:t>
      </w:r>
      <w:r>
        <w:t>and</w:t>
      </w:r>
      <w:r>
        <w:rPr>
          <w:spacing w:val="-12"/>
        </w:rPr>
        <w:t xml:space="preserve"> </w:t>
      </w:r>
      <w:r>
        <w:t>event</w:t>
      </w:r>
      <w:r>
        <w:rPr>
          <w:spacing w:val="-12"/>
        </w:rPr>
        <w:t xml:space="preserve"> </w:t>
      </w:r>
      <w:r>
        <w:t>patrons,</w:t>
      </w:r>
      <w:r>
        <w:rPr>
          <w:spacing w:val="-12"/>
        </w:rPr>
        <w:t xml:space="preserve"> </w:t>
      </w:r>
      <w:r>
        <w:t xml:space="preserve">including </w:t>
      </w:r>
      <w:r>
        <w:rPr>
          <w:w w:val="95"/>
        </w:rPr>
        <w:t>more</w:t>
      </w:r>
      <w:r>
        <w:rPr>
          <w:spacing w:val="-1"/>
          <w:w w:val="95"/>
        </w:rPr>
        <w:t xml:space="preserve"> </w:t>
      </w:r>
      <w:r>
        <w:rPr>
          <w:w w:val="95"/>
        </w:rPr>
        <w:t>than</w:t>
      </w:r>
      <w:r>
        <w:rPr>
          <w:spacing w:val="-1"/>
          <w:w w:val="95"/>
        </w:rPr>
        <w:t xml:space="preserve"> </w:t>
      </w:r>
      <w:r>
        <w:rPr>
          <w:w w:val="95"/>
        </w:rPr>
        <w:t>31,500</w:t>
      </w:r>
      <w:r>
        <w:rPr>
          <w:spacing w:val="-1"/>
          <w:w w:val="95"/>
        </w:rPr>
        <w:t xml:space="preserve"> </w:t>
      </w:r>
      <w:r>
        <w:rPr>
          <w:w w:val="95"/>
        </w:rPr>
        <w:t>jobs</w:t>
      </w:r>
      <w:r>
        <w:rPr>
          <w:spacing w:val="-1"/>
          <w:w w:val="95"/>
        </w:rPr>
        <w:t xml:space="preserve"> </w:t>
      </w:r>
      <w:r>
        <w:rPr>
          <w:w w:val="95"/>
        </w:rPr>
        <w:t>and</w:t>
      </w:r>
      <w:r>
        <w:rPr>
          <w:spacing w:val="-1"/>
          <w:w w:val="95"/>
        </w:rPr>
        <w:t xml:space="preserve"> </w:t>
      </w:r>
      <w:r>
        <w:rPr>
          <w:w w:val="95"/>
        </w:rPr>
        <w:t>about</w:t>
      </w:r>
      <w:r>
        <w:rPr>
          <w:spacing w:val="-1"/>
          <w:w w:val="95"/>
        </w:rPr>
        <w:t xml:space="preserve"> </w:t>
      </w:r>
      <w:r>
        <w:rPr>
          <w:w w:val="95"/>
        </w:rPr>
        <w:t>6,000</w:t>
      </w:r>
      <w:r>
        <w:rPr>
          <w:spacing w:val="-1"/>
          <w:w w:val="95"/>
        </w:rPr>
        <w:t xml:space="preserve"> </w:t>
      </w:r>
      <w:r>
        <w:rPr>
          <w:w w:val="95"/>
        </w:rPr>
        <w:t>new</w:t>
      </w:r>
      <w:r>
        <w:rPr>
          <w:spacing w:val="-1"/>
          <w:w w:val="95"/>
        </w:rPr>
        <w:t xml:space="preserve"> </w:t>
      </w:r>
      <w:r>
        <w:rPr>
          <w:w w:val="95"/>
        </w:rPr>
        <w:t xml:space="preserve">dwellings </w:t>
      </w:r>
      <w:r>
        <w:t>housing</w:t>
      </w:r>
      <w:r>
        <w:rPr>
          <w:spacing w:val="-14"/>
        </w:rPr>
        <w:t xml:space="preserve"> </w:t>
      </w:r>
      <w:r>
        <w:t>approximately</w:t>
      </w:r>
      <w:r>
        <w:rPr>
          <w:spacing w:val="-14"/>
        </w:rPr>
        <w:t xml:space="preserve"> </w:t>
      </w:r>
      <w:r>
        <w:t>14,000</w:t>
      </w:r>
      <w:r>
        <w:rPr>
          <w:spacing w:val="-14"/>
        </w:rPr>
        <w:t xml:space="preserve"> </w:t>
      </w:r>
      <w:r>
        <w:t>residents.</w:t>
      </w:r>
      <w:r>
        <w:rPr>
          <w:spacing w:val="-14"/>
        </w:rPr>
        <w:t xml:space="preserve"> </w:t>
      </w:r>
      <w:r>
        <w:t xml:space="preserve">Sydney </w:t>
      </w:r>
      <w:r>
        <w:rPr>
          <w:w w:val="95"/>
        </w:rPr>
        <w:t>Olympic</w:t>
      </w:r>
      <w:r>
        <w:rPr>
          <w:spacing w:val="-2"/>
          <w:w w:val="95"/>
        </w:rPr>
        <w:t xml:space="preserve"> </w:t>
      </w:r>
      <w:r>
        <w:rPr>
          <w:w w:val="95"/>
        </w:rPr>
        <w:t>Park’s</w:t>
      </w:r>
      <w:r>
        <w:rPr>
          <w:spacing w:val="-2"/>
          <w:w w:val="95"/>
        </w:rPr>
        <w:t xml:space="preserve"> </w:t>
      </w:r>
      <w:r>
        <w:rPr>
          <w:w w:val="95"/>
        </w:rPr>
        <w:t>major</w:t>
      </w:r>
      <w:r>
        <w:rPr>
          <w:spacing w:val="-2"/>
          <w:w w:val="95"/>
        </w:rPr>
        <w:t xml:space="preserve"> </w:t>
      </w:r>
      <w:r>
        <w:rPr>
          <w:w w:val="95"/>
        </w:rPr>
        <w:t>event</w:t>
      </w:r>
      <w:r>
        <w:rPr>
          <w:spacing w:val="-2"/>
          <w:w w:val="95"/>
        </w:rPr>
        <w:t xml:space="preserve"> </w:t>
      </w:r>
      <w:r>
        <w:rPr>
          <w:w w:val="95"/>
        </w:rPr>
        <w:t>capability</w:t>
      </w:r>
      <w:r>
        <w:rPr>
          <w:spacing w:val="-2"/>
          <w:w w:val="95"/>
        </w:rPr>
        <w:t xml:space="preserve"> </w:t>
      </w:r>
      <w:r>
        <w:rPr>
          <w:w w:val="95"/>
        </w:rPr>
        <w:t>is</w:t>
      </w:r>
      <w:r>
        <w:rPr>
          <w:spacing w:val="-2"/>
          <w:w w:val="95"/>
        </w:rPr>
        <w:t xml:space="preserve"> </w:t>
      </w:r>
      <w:r>
        <w:rPr>
          <w:w w:val="95"/>
        </w:rPr>
        <w:t>up</w:t>
      </w:r>
      <w:r>
        <w:rPr>
          <w:spacing w:val="-2"/>
          <w:w w:val="95"/>
        </w:rPr>
        <w:t xml:space="preserve"> </w:t>
      </w:r>
      <w:r>
        <w:rPr>
          <w:w w:val="95"/>
        </w:rPr>
        <w:t>to</w:t>
      </w:r>
      <w:r>
        <w:rPr>
          <w:spacing w:val="-2"/>
          <w:w w:val="95"/>
        </w:rPr>
        <w:t xml:space="preserve"> </w:t>
      </w:r>
      <w:r>
        <w:rPr>
          <w:w w:val="95"/>
        </w:rPr>
        <w:t xml:space="preserve">250,000 </w:t>
      </w:r>
      <w:r>
        <w:t>patrons at any one time.</w:t>
      </w:r>
    </w:p>
    <w:p w:rsidR="002C1123" w:rsidRDefault="00F22F94">
      <w:pPr>
        <w:pStyle w:val="BodyText"/>
        <w:spacing w:before="108" w:line="249" w:lineRule="auto"/>
        <w:ind w:left="234" w:right="932"/>
      </w:pPr>
      <w:r>
        <w:br w:type="column"/>
      </w:r>
      <w:r>
        <w:t>SOP</w:t>
      </w:r>
      <w:r>
        <w:rPr>
          <w:spacing w:val="-14"/>
        </w:rPr>
        <w:t xml:space="preserve"> </w:t>
      </w:r>
      <w:r>
        <w:t>is</w:t>
      </w:r>
      <w:r>
        <w:rPr>
          <w:spacing w:val="-14"/>
        </w:rPr>
        <w:t xml:space="preserve"> </w:t>
      </w:r>
      <w:r>
        <w:t>now</w:t>
      </w:r>
      <w:r>
        <w:rPr>
          <w:spacing w:val="-14"/>
        </w:rPr>
        <w:t xml:space="preserve"> </w:t>
      </w:r>
      <w:r>
        <w:t>a</w:t>
      </w:r>
      <w:r>
        <w:rPr>
          <w:spacing w:val="-14"/>
        </w:rPr>
        <w:t xml:space="preserve"> </w:t>
      </w:r>
      <w:r>
        <w:t>maturing</w:t>
      </w:r>
      <w:r>
        <w:rPr>
          <w:spacing w:val="-14"/>
        </w:rPr>
        <w:t xml:space="preserve"> </w:t>
      </w:r>
      <w:r>
        <w:t>asset,</w:t>
      </w:r>
      <w:r>
        <w:rPr>
          <w:spacing w:val="-14"/>
        </w:rPr>
        <w:t xml:space="preserve"> </w:t>
      </w:r>
      <w:r>
        <w:t>which</w:t>
      </w:r>
      <w:r>
        <w:rPr>
          <w:spacing w:val="-14"/>
        </w:rPr>
        <w:t xml:space="preserve"> </w:t>
      </w:r>
      <w:r>
        <w:t>requires</w:t>
      </w:r>
      <w:r>
        <w:rPr>
          <w:spacing w:val="-13"/>
        </w:rPr>
        <w:t xml:space="preserve"> </w:t>
      </w:r>
      <w:r>
        <w:t>a</w:t>
      </w:r>
      <w:r>
        <w:rPr>
          <w:spacing w:val="-14"/>
        </w:rPr>
        <w:t xml:space="preserve"> </w:t>
      </w:r>
      <w:r>
        <w:t>new strategy</w:t>
      </w:r>
      <w:r>
        <w:rPr>
          <w:spacing w:val="-7"/>
        </w:rPr>
        <w:t xml:space="preserve"> </w:t>
      </w:r>
      <w:r>
        <w:t>that</w:t>
      </w:r>
      <w:r>
        <w:rPr>
          <w:spacing w:val="-7"/>
        </w:rPr>
        <w:t xml:space="preserve"> </w:t>
      </w:r>
      <w:r>
        <w:t>can</w:t>
      </w:r>
      <w:r>
        <w:rPr>
          <w:spacing w:val="-7"/>
        </w:rPr>
        <w:t xml:space="preserve"> </w:t>
      </w:r>
      <w:r>
        <w:t>move</w:t>
      </w:r>
      <w:r>
        <w:rPr>
          <w:spacing w:val="-7"/>
        </w:rPr>
        <w:t xml:space="preserve"> </w:t>
      </w:r>
      <w:r>
        <w:t>forward</w:t>
      </w:r>
      <w:r>
        <w:rPr>
          <w:spacing w:val="-7"/>
        </w:rPr>
        <w:t xml:space="preserve"> </w:t>
      </w:r>
      <w:r>
        <w:t>from</w:t>
      </w:r>
      <w:r>
        <w:rPr>
          <w:spacing w:val="-8"/>
        </w:rPr>
        <w:t xml:space="preserve"> </w:t>
      </w:r>
      <w:r>
        <w:t>the</w:t>
      </w:r>
      <w:r>
        <w:rPr>
          <w:spacing w:val="-7"/>
        </w:rPr>
        <w:t xml:space="preserve"> </w:t>
      </w:r>
      <w:r>
        <w:t>Olympics era.</w:t>
      </w:r>
      <w:r>
        <w:rPr>
          <w:spacing w:val="-9"/>
        </w:rPr>
        <w:t xml:space="preserve"> </w:t>
      </w:r>
      <w:r>
        <w:t>With</w:t>
      </w:r>
      <w:r>
        <w:rPr>
          <w:spacing w:val="-9"/>
        </w:rPr>
        <w:t xml:space="preserve"> </w:t>
      </w:r>
      <w:r>
        <w:t>more</w:t>
      </w:r>
      <w:r>
        <w:rPr>
          <w:spacing w:val="-9"/>
        </w:rPr>
        <w:t xml:space="preserve"> </w:t>
      </w:r>
      <w:r>
        <w:t>than</w:t>
      </w:r>
      <w:r>
        <w:rPr>
          <w:spacing w:val="-9"/>
        </w:rPr>
        <w:t xml:space="preserve"> </w:t>
      </w:r>
      <w:r>
        <w:t>a</w:t>
      </w:r>
      <w:r>
        <w:rPr>
          <w:spacing w:val="-9"/>
        </w:rPr>
        <w:t xml:space="preserve"> </w:t>
      </w:r>
      <w:r>
        <w:t>decade’s</w:t>
      </w:r>
      <w:r>
        <w:rPr>
          <w:spacing w:val="-9"/>
        </w:rPr>
        <w:t xml:space="preserve"> </w:t>
      </w:r>
      <w:r>
        <w:t>worth</w:t>
      </w:r>
      <w:r>
        <w:rPr>
          <w:spacing w:val="-9"/>
        </w:rPr>
        <w:t xml:space="preserve"> </w:t>
      </w:r>
      <w:r>
        <w:t>of</w:t>
      </w:r>
      <w:r>
        <w:rPr>
          <w:spacing w:val="-9"/>
        </w:rPr>
        <w:t xml:space="preserve"> </w:t>
      </w:r>
      <w:r>
        <w:t xml:space="preserve">operating </w:t>
      </w:r>
      <w:r>
        <w:rPr>
          <w:w w:val="95"/>
        </w:rPr>
        <w:t>experience,</w:t>
      </w:r>
      <w:r>
        <w:rPr>
          <w:spacing w:val="-5"/>
          <w:w w:val="95"/>
        </w:rPr>
        <w:t xml:space="preserve"> </w:t>
      </w:r>
      <w:r>
        <w:rPr>
          <w:w w:val="95"/>
        </w:rPr>
        <w:t>it</w:t>
      </w:r>
      <w:r>
        <w:rPr>
          <w:spacing w:val="-5"/>
          <w:w w:val="95"/>
        </w:rPr>
        <w:t xml:space="preserve"> </w:t>
      </w:r>
      <w:r>
        <w:rPr>
          <w:w w:val="95"/>
        </w:rPr>
        <w:t>is</w:t>
      </w:r>
      <w:r>
        <w:rPr>
          <w:spacing w:val="-5"/>
          <w:w w:val="95"/>
        </w:rPr>
        <w:t xml:space="preserve"> </w:t>
      </w:r>
      <w:r>
        <w:rPr>
          <w:w w:val="95"/>
        </w:rPr>
        <w:t>now</w:t>
      </w:r>
      <w:r>
        <w:rPr>
          <w:spacing w:val="-5"/>
          <w:w w:val="95"/>
        </w:rPr>
        <w:t xml:space="preserve"> </w:t>
      </w:r>
      <w:r>
        <w:rPr>
          <w:w w:val="95"/>
        </w:rPr>
        <w:t>possible</w:t>
      </w:r>
      <w:r>
        <w:rPr>
          <w:spacing w:val="-5"/>
          <w:w w:val="95"/>
        </w:rPr>
        <w:t xml:space="preserve"> </w:t>
      </w:r>
      <w:r>
        <w:rPr>
          <w:w w:val="95"/>
        </w:rPr>
        <w:t>to</w:t>
      </w:r>
      <w:r>
        <w:rPr>
          <w:spacing w:val="-5"/>
          <w:w w:val="95"/>
        </w:rPr>
        <w:t xml:space="preserve"> </w:t>
      </w:r>
      <w:r>
        <w:rPr>
          <w:w w:val="95"/>
        </w:rPr>
        <w:t>assess</w:t>
      </w:r>
      <w:r>
        <w:rPr>
          <w:spacing w:val="-5"/>
          <w:w w:val="95"/>
        </w:rPr>
        <w:t xml:space="preserve"> </w:t>
      </w:r>
      <w:r>
        <w:rPr>
          <w:w w:val="95"/>
        </w:rPr>
        <w:t>the</w:t>
      </w:r>
      <w:r>
        <w:rPr>
          <w:spacing w:val="-5"/>
          <w:w w:val="95"/>
        </w:rPr>
        <w:t xml:space="preserve"> </w:t>
      </w:r>
      <w:r>
        <w:rPr>
          <w:w w:val="95"/>
        </w:rPr>
        <w:t xml:space="preserve">strengths </w:t>
      </w:r>
      <w:r>
        <w:t>and</w:t>
      </w:r>
      <w:r>
        <w:rPr>
          <w:spacing w:val="-14"/>
        </w:rPr>
        <w:t xml:space="preserve"> </w:t>
      </w:r>
      <w:r>
        <w:t>weaknesses</w:t>
      </w:r>
      <w:r>
        <w:rPr>
          <w:spacing w:val="-14"/>
        </w:rPr>
        <w:t xml:space="preserve"> </w:t>
      </w:r>
      <w:r>
        <w:t>of</w:t>
      </w:r>
      <w:r>
        <w:rPr>
          <w:spacing w:val="-14"/>
        </w:rPr>
        <w:t xml:space="preserve"> </w:t>
      </w:r>
      <w:r>
        <w:t>the</w:t>
      </w:r>
      <w:r>
        <w:rPr>
          <w:spacing w:val="-14"/>
        </w:rPr>
        <w:t xml:space="preserve"> </w:t>
      </w:r>
      <w:r>
        <w:t>current</w:t>
      </w:r>
      <w:r>
        <w:rPr>
          <w:spacing w:val="-14"/>
        </w:rPr>
        <w:t xml:space="preserve"> </w:t>
      </w:r>
      <w:r>
        <w:t>customer</w:t>
      </w:r>
      <w:r>
        <w:rPr>
          <w:spacing w:val="-14"/>
        </w:rPr>
        <w:t xml:space="preserve"> </w:t>
      </w:r>
      <w:r>
        <w:t>offering</w:t>
      </w:r>
      <w:r>
        <w:rPr>
          <w:spacing w:val="-14"/>
        </w:rPr>
        <w:t xml:space="preserve"> </w:t>
      </w:r>
      <w:r>
        <w:t xml:space="preserve">at </w:t>
      </w:r>
      <w:r>
        <w:rPr>
          <w:w w:val="95"/>
        </w:rPr>
        <w:t>SOP.</w:t>
      </w:r>
      <w:r>
        <w:rPr>
          <w:spacing w:val="-5"/>
          <w:w w:val="95"/>
        </w:rPr>
        <w:t xml:space="preserve"> </w:t>
      </w:r>
      <w:r>
        <w:rPr>
          <w:w w:val="95"/>
        </w:rPr>
        <w:t>Consideration</w:t>
      </w:r>
      <w:r>
        <w:rPr>
          <w:spacing w:val="-5"/>
          <w:w w:val="95"/>
        </w:rPr>
        <w:t xml:space="preserve"> </w:t>
      </w:r>
      <w:r>
        <w:rPr>
          <w:w w:val="95"/>
        </w:rPr>
        <w:t>can</w:t>
      </w:r>
      <w:r>
        <w:rPr>
          <w:spacing w:val="-5"/>
          <w:w w:val="95"/>
        </w:rPr>
        <w:t xml:space="preserve"> </w:t>
      </w:r>
      <w:r>
        <w:rPr>
          <w:w w:val="95"/>
        </w:rPr>
        <w:t>also</w:t>
      </w:r>
      <w:r>
        <w:rPr>
          <w:spacing w:val="-5"/>
          <w:w w:val="95"/>
        </w:rPr>
        <w:t xml:space="preserve"> </w:t>
      </w:r>
      <w:r>
        <w:rPr>
          <w:w w:val="95"/>
        </w:rPr>
        <w:t>be</w:t>
      </w:r>
      <w:r>
        <w:rPr>
          <w:spacing w:val="-5"/>
          <w:w w:val="95"/>
        </w:rPr>
        <w:t xml:space="preserve"> </w:t>
      </w:r>
      <w:r>
        <w:rPr>
          <w:w w:val="95"/>
        </w:rPr>
        <w:t>given</w:t>
      </w:r>
      <w:r>
        <w:rPr>
          <w:spacing w:val="-5"/>
          <w:w w:val="95"/>
        </w:rPr>
        <w:t xml:space="preserve"> </w:t>
      </w:r>
      <w:r>
        <w:rPr>
          <w:w w:val="95"/>
        </w:rPr>
        <w:t>as</w:t>
      </w:r>
      <w:r>
        <w:rPr>
          <w:spacing w:val="-5"/>
          <w:w w:val="95"/>
        </w:rPr>
        <w:t xml:space="preserve"> </w:t>
      </w:r>
      <w:r>
        <w:rPr>
          <w:w w:val="95"/>
        </w:rPr>
        <w:t>to</w:t>
      </w:r>
      <w:r>
        <w:rPr>
          <w:spacing w:val="-5"/>
          <w:w w:val="95"/>
        </w:rPr>
        <w:t xml:space="preserve"> </w:t>
      </w:r>
      <w:r>
        <w:rPr>
          <w:w w:val="95"/>
        </w:rPr>
        <w:t>how</w:t>
      </w:r>
      <w:r>
        <w:rPr>
          <w:spacing w:val="-5"/>
          <w:w w:val="95"/>
        </w:rPr>
        <w:t xml:space="preserve"> </w:t>
      </w:r>
      <w:r>
        <w:rPr>
          <w:w w:val="95"/>
        </w:rPr>
        <w:t xml:space="preserve">best to realise value from the Government’s investment in </w:t>
      </w:r>
      <w:r>
        <w:t>the</w:t>
      </w:r>
      <w:r>
        <w:rPr>
          <w:spacing w:val="-11"/>
        </w:rPr>
        <w:t xml:space="preserve"> </w:t>
      </w:r>
      <w:r>
        <w:t>precinct.</w:t>
      </w:r>
    </w:p>
    <w:p w:rsidR="002C1123" w:rsidRDefault="002060EF">
      <w:pPr>
        <w:pStyle w:val="BodyText"/>
        <w:spacing w:before="2"/>
        <w:rPr>
          <w:sz w:val="13"/>
        </w:rPr>
      </w:pPr>
      <w:r>
        <w:pict>
          <v:shape id="docshape2826" o:spid="_x0000_s1180" type="#_x0000_t202" style="position:absolute;margin-left:552.3pt;margin-top:8.8pt;width:239pt;height:69.35pt;z-index:-251323392;mso-wrap-distance-left:0;mso-wrap-distance-right:0;mso-position-horizontal-relative:page" fillcolor="#e1e0e1" stroked="f">
            <v:textbox inset="0,0,0,0">
              <w:txbxContent>
                <w:p w:rsidR="00F22F94" w:rsidRDefault="00F22F94">
                  <w:pPr>
                    <w:pStyle w:val="BodyText"/>
                    <w:spacing w:before="68" w:line="249" w:lineRule="auto"/>
                    <w:ind w:left="113" w:right="115"/>
                    <w:rPr>
                      <w:color w:val="000000"/>
                    </w:rPr>
                  </w:pPr>
                  <w:r>
                    <w:rPr>
                      <w:color w:val="00AEEF"/>
                    </w:rPr>
                    <w:t xml:space="preserve">Recommendation </w:t>
                  </w:r>
                  <w:r>
                    <w:rPr>
                      <w:color w:val="000000"/>
                    </w:rPr>
                    <w:t>Infrastructure</w:t>
                  </w:r>
                  <w:r>
                    <w:rPr>
                      <w:color w:val="000000"/>
                      <w:spacing w:val="-14"/>
                    </w:rPr>
                    <w:t xml:space="preserve"> </w:t>
                  </w:r>
                  <w:r>
                    <w:rPr>
                      <w:color w:val="000000"/>
                    </w:rPr>
                    <w:t>NSW</w:t>
                  </w:r>
                  <w:r>
                    <w:rPr>
                      <w:color w:val="000000"/>
                      <w:spacing w:val="-14"/>
                    </w:rPr>
                    <w:t xml:space="preserve"> </w:t>
                  </w:r>
                  <w:r>
                    <w:rPr>
                      <w:color w:val="000000"/>
                    </w:rPr>
                    <w:t>recommends a</w:t>
                  </w:r>
                  <w:r>
                    <w:rPr>
                      <w:color w:val="000000"/>
                      <w:spacing w:val="-13"/>
                    </w:rPr>
                    <w:t xml:space="preserve"> </w:t>
                  </w:r>
                  <w:r>
                    <w:rPr>
                      <w:color w:val="000000"/>
                    </w:rPr>
                    <w:t>review</w:t>
                  </w:r>
                  <w:r>
                    <w:rPr>
                      <w:color w:val="000000"/>
                      <w:spacing w:val="-13"/>
                    </w:rPr>
                    <w:t xml:space="preserve"> </w:t>
                  </w:r>
                  <w:r>
                    <w:rPr>
                      <w:color w:val="000000"/>
                    </w:rPr>
                    <w:t>of</w:t>
                  </w:r>
                  <w:r>
                    <w:rPr>
                      <w:color w:val="000000"/>
                      <w:spacing w:val="-13"/>
                    </w:rPr>
                    <w:t xml:space="preserve"> </w:t>
                  </w:r>
                  <w:r>
                    <w:rPr>
                      <w:color w:val="000000"/>
                    </w:rPr>
                    <w:t>Sydney</w:t>
                  </w:r>
                  <w:r>
                    <w:rPr>
                      <w:color w:val="000000"/>
                      <w:spacing w:val="-13"/>
                    </w:rPr>
                    <w:t xml:space="preserve"> </w:t>
                  </w:r>
                  <w:r>
                    <w:rPr>
                      <w:color w:val="000000"/>
                    </w:rPr>
                    <w:t>Olympic</w:t>
                  </w:r>
                  <w:r>
                    <w:rPr>
                      <w:color w:val="000000"/>
                      <w:spacing w:val="-13"/>
                    </w:rPr>
                    <w:t xml:space="preserve"> </w:t>
                  </w:r>
                  <w:r>
                    <w:rPr>
                      <w:color w:val="000000"/>
                    </w:rPr>
                    <w:t>Park</w:t>
                  </w:r>
                  <w:r>
                    <w:rPr>
                      <w:color w:val="000000"/>
                      <w:spacing w:val="-13"/>
                    </w:rPr>
                    <w:t xml:space="preserve"> </w:t>
                  </w:r>
                  <w:r>
                    <w:rPr>
                      <w:color w:val="000000"/>
                    </w:rPr>
                    <w:t>to</w:t>
                  </w:r>
                  <w:r>
                    <w:rPr>
                      <w:color w:val="000000"/>
                      <w:spacing w:val="-13"/>
                    </w:rPr>
                    <w:t xml:space="preserve"> </w:t>
                  </w:r>
                  <w:r>
                    <w:rPr>
                      <w:color w:val="000000"/>
                    </w:rPr>
                    <w:t>identify</w:t>
                  </w:r>
                  <w:r>
                    <w:rPr>
                      <w:color w:val="000000"/>
                      <w:spacing w:val="-13"/>
                    </w:rPr>
                    <w:t xml:space="preserve"> </w:t>
                  </w:r>
                  <w:r>
                    <w:rPr>
                      <w:color w:val="000000"/>
                    </w:rPr>
                    <w:t>the optimal</w:t>
                  </w:r>
                  <w:r>
                    <w:rPr>
                      <w:color w:val="000000"/>
                      <w:spacing w:val="-12"/>
                    </w:rPr>
                    <w:t xml:space="preserve"> </w:t>
                  </w:r>
                  <w:r>
                    <w:rPr>
                      <w:color w:val="000000"/>
                    </w:rPr>
                    <w:t>development</w:t>
                  </w:r>
                  <w:r>
                    <w:rPr>
                      <w:color w:val="000000"/>
                      <w:spacing w:val="-12"/>
                    </w:rPr>
                    <w:t xml:space="preserve"> </w:t>
                  </w:r>
                  <w:r>
                    <w:rPr>
                      <w:color w:val="000000"/>
                    </w:rPr>
                    <w:t>path.</w:t>
                  </w:r>
                  <w:r>
                    <w:rPr>
                      <w:color w:val="000000"/>
                      <w:spacing w:val="-12"/>
                    </w:rPr>
                    <w:t xml:space="preserve"> </w:t>
                  </w:r>
                  <w:r>
                    <w:rPr>
                      <w:color w:val="000000"/>
                    </w:rPr>
                    <w:t>The</w:t>
                  </w:r>
                  <w:r>
                    <w:rPr>
                      <w:color w:val="000000"/>
                      <w:spacing w:val="-12"/>
                    </w:rPr>
                    <w:t xml:space="preserve"> </w:t>
                  </w:r>
                  <w:r>
                    <w:rPr>
                      <w:color w:val="000000"/>
                    </w:rPr>
                    <w:t>focus</w:t>
                  </w:r>
                  <w:r>
                    <w:rPr>
                      <w:color w:val="000000"/>
                      <w:spacing w:val="-12"/>
                    </w:rPr>
                    <w:t xml:space="preserve"> </w:t>
                  </w:r>
                  <w:r>
                    <w:rPr>
                      <w:color w:val="000000"/>
                    </w:rPr>
                    <w:t>of</w:t>
                  </w:r>
                  <w:r>
                    <w:rPr>
                      <w:color w:val="000000"/>
                      <w:spacing w:val="-12"/>
                    </w:rPr>
                    <w:t xml:space="preserve"> </w:t>
                  </w:r>
                  <w:r>
                    <w:rPr>
                      <w:color w:val="000000"/>
                    </w:rPr>
                    <w:t>this</w:t>
                  </w:r>
                  <w:r>
                    <w:rPr>
                      <w:color w:val="000000"/>
                      <w:spacing w:val="-12"/>
                    </w:rPr>
                    <w:t xml:space="preserve"> </w:t>
                  </w:r>
                  <w:r>
                    <w:rPr>
                      <w:color w:val="000000"/>
                    </w:rPr>
                    <w:t xml:space="preserve">review </w:t>
                  </w:r>
                  <w:r>
                    <w:rPr>
                      <w:color w:val="000000"/>
                      <w:w w:val="95"/>
                    </w:rPr>
                    <w:t xml:space="preserve">should be identifying a business plan that best meets </w:t>
                  </w:r>
                  <w:r>
                    <w:rPr>
                      <w:color w:val="000000"/>
                    </w:rPr>
                    <w:t>the</w:t>
                  </w:r>
                  <w:r>
                    <w:rPr>
                      <w:color w:val="000000"/>
                      <w:spacing w:val="-14"/>
                    </w:rPr>
                    <w:t xml:space="preserve"> </w:t>
                  </w:r>
                  <w:r>
                    <w:rPr>
                      <w:color w:val="000000"/>
                    </w:rPr>
                    <w:t>State’s</w:t>
                  </w:r>
                  <w:r>
                    <w:rPr>
                      <w:color w:val="000000"/>
                      <w:spacing w:val="-14"/>
                    </w:rPr>
                    <w:t xml:space="preserve"> </w:t>
                  </w:r>
                  <w:r>
                    <w:rPr>
                      <w:color w:val="000000"/>
                    </w:rPr>
                    <w:t>development</w:t>
                  </w:r>
                  <w:r>
                    <w:rPr>
                      <w:color w:val="000000"/>
                      <w:spacing w:val="-14"/>
                    </w:rPr>
                    <w:t xml:space="preserve"> </w:t>
                  </w:r>
                  <w:r>
                    <w:rPr>
                      <w:color w:val="000000"/>
                    </w:rPr>
                    <w:t>and</w:t>
                  </w:r>
                  <w:r>
                    <w:rPr>
                      <w:color w:val="000000"/>
                      <w:spacing w:val="-14"/>
                    </w:rPr>
                    <w:t xml:space="preserve"> </w:t>
                  </w:r>
                  <w:r>
                    <w:rPr>
                      <w:color w:val="000000"/>
                    </w:rPr>
                    <w:t>financial</w:t>
                  </w:r>
                  <w:r>
                    <w:rPr>
                      <w:color w:val="000000"/>
                      <w:spacing w:val="-14"/>
                    </w:rPr>
                    <w:t xml:space="preserve"> </w:t>
                  </w:r>
                  <w:r>
                    <w:rPr>
                      <w:color w:val="000000"/>
                    </w:rPr>
                    <w:t>objectives.</w:t>
                  </w:r>
                </w:p>
              </w:txbxContent>
            </v:textbox>
            <w10:wrap type="topAndBottom" anchorx="page"/>
          </v:shape>
        </w:pict>
      </w:r>
    </w:p>
    <w:p w:rsidR="002C1123" w:rsidRDefault="002C1123">
      <w:pPr>
        <w:pStyle w:val="BodyText"/>
        <w:spacing w:before="2"/>
        <w:rPr>
          <w:sz w:val="22"/>
        </w:rPr>
      </w:pPr>
    </w:p>
    <w:p w:rsidR="002C1123" w:rsidRDefault="00F22F94">
      <w:pPr>
        <w:pStyle w:val="Heading6"/>
        <w:spacing w:before="1"/>
        <w:ind w:left="234"/>
      </w:pPr>
      <w:r>
        <w:t>Moore</w:t>
      </w:r>
      <w:r>
        <w:rPr>
          <w:spacing w:val="3"/>
        </w:rPr>
        <w:t xml:space="preserve"> </w:t>
      </w:r>
      <w:r>
        <w:t>Park</w:t>
      </w:r>
      <w:r>
        <w:rPr>
          <w:spacing w:val="4"/>
        </w:rPr>
        <w:t xml:space="preserve"> </w:t>
      </w:r>
      <w:r>
        <w:rPr>
          <w:spacing w:val="-2"/>
        </w:rPr>
        <w:t>Precinct</w:t>
      </w:r>
    </w:p>
    <w:p w:rsidR="002C1123" w:rsidRDefault="00F22F94">
      <w:pPr>
        <w:pStyle w:val="BodyText"/>
        <w:spacing w:before="10" w:line="249" w:lineRule="auto"/>
        <w:ind w:left="234" w:right="788"/>
      </w:pPr>
      <w:r>
        <w:rPr>
          <w:w w:val="95"/>
        </w:rPr>
        <w:t>The</w:t>
      </w:r>
      <w:r>
        <w:rPr>
          <w:spacing w:val="-2"/>
          <w:w w:val="95"/>
        </w:rPr>
        <w:t xml:space="preserve"> </w:t>
      </w:r>
      <w:r>
        <w:rPr>
          <w:w w:val="95"/>
        </w:rPr>
        <w:t>Moore</w:t>
      </w:r>
      <w:r>
        <w:rPr>
          <w:spacing w:val="-2"/>
          <w:w w:val="95"/>
        </w:rPr>
        <w:t xml:space="preserve"> </w:t>
      </w:r>
      <w:r>
        <w:rPr>
          <w:w w:val="95"/>
        </w:rPr>
        <w:t>Park</w:t>
      </w:r>
      <w:r>
        <w:rPr>
          <w:spacing w:val="-2"/>
          <w:w w:val="95"/>
        </w:rPr>
        <w:t xml:space="preserve"> </w:t>
      </w:r>
      <w:r>
        <w:rPr>
          <w:w w:val="95"/>
        </w:rPr>
        <w:t>provides</w:t>
      </w:r>
      <w:r>
        <w:rPr>
          <w:spacing w:val="-2"/>
          <w:w w:val="95"/>
        </w:rPr>
        <w:t xml:space="preserve"> </w:t>
      </w:r>
      <w:r>
        <w:rPr>
          <w:w w:val="95"/>
        </w:rPr>
        <w:t>a</w:t>
      </w:r>
      <w:r>
        <w:rPr>
          <w:spacing w:val="-2"/>
          <w:w w:val="95"/>
        </w:rPr>
        <w:t xml:space="preserve"> </w:t>
      </w:r>
      <w:r>
        <w:rPr>
          <w:w w:val="95"/>
        </w:rPr>
        <w:t>sporting</w:t>
      </w:r>
      <w:r>
        <w:rPr>
          <w:spacing w:val="-2"/>
          <w:w w:val="95"/>
        </w:rPr>
        <w:t xml:space="preserve"> </w:t>
      </w:r>
      <w:r>
        <w:rPr>
          <w:w w:val="95"/>
        </w:rPr>
        <w:t>and</w:t>
      </w:r>
      <w:r>
        <w:rPr>
          <w:spacing w:val="-2"/>
          <w:w w:val="95"/>
        </w:rPr>
        <w:t xml:space="preserve"> </w:t>
      </w:r>
      <w:r>
        <w:rPr>
          <w:w w:val="95"/>
        </w:rPr>
        <w:t xml:space="preserve">recreational </w:t>
      </w:r>
      <w:r>
        <w:t>precinct</w:t>
      </w:r>
      <w:r>
        <w:rPr>
          <w:spacing w:val="-7"/>
        </w:rPr>
        <w:t xml:space="preserve"> </w:t>
      </w:r>
      <w:r>
        <w:t>that</w:t>
      </w:r>
      <w:r>
        <w:rPr>
          <w:spacing w:val="-7"/>
        </w:rPr>
        <w:t xml:space="preserve"> </w:t>
      </w:r>
      <w:r>
        <w:t>includes</w:t>
      </w:r>
      <w:r>
        <w:rPr>
          <w:spacing w:val="-7"/>
        </w:rPr>
        <w:t xml:space="preserve"> </w:t>
      </w:r>
      <w:r>
        <w:t>the</w:t>
      </w:r>
      <w:r>
        <w:rPr>
          <w:spacing w:val="-7"/>
        </w:rPr>
        <w:t xml:space="preserve"> </w:t>
      </w:r>
      <w:r>
        <w:t>Sydney</w:t>
      </w:r>
      <w:r>
        <w:rPr>
          <w:spacing w:val="-7"/>
        </w:rPr>
        <w:t xml:space="preserve"> </w:t>
      </w:r>
      <w:r>
        <w:t>Cricket</w:t>
      </w:r>
      <w:r>
        <w:rPr>
          <w:spacing w:val="-7"/>
        </w:rPr>
        <w:t xml:space="preserve"> </w:t>
      </w:r>
      <w:r>
        <w:t xml:space="preserve">Ground </w:t>
      </w:r>
      <w:r>
        <w:rPr>
          <w:spacing w:val="-2"/>
          <w:w w:val="95"/>
        </w:rPr>
        <w:t>(SCG),</w:t>
      </w:r>
      <w:r>
        <w:rPr>
          <w:spacing w:val="-8"/>
          <w:w w:val="95"/>
        </w:rPr>
        <w:t xml:space="preserve"> </w:t>
      </w:r>
      <w:r>
        <w:rPr>
          <w:spacing w:val="-2"/>
          <w:w w:val="95"/>
        </w:rPr>
        <w:t>the</w:t>
      </w:r>
      <w:r>
        <w:rPr>
          <w:spacing w:val="-8"/>
          <w:w w:val="95"/>
        </w:rPr>
        <w:t xml:space="preserve"> </w:t>
      </w:r>
      <w:r>
        <w:rPr>
          <w:spacing w:val="-2"/>
          <w:w w:val="95"/>
        </w:rPr>
        <w:t>Sydney</w:t>
      </w:r>
      <w:r>
        <w:rPr>
          <w:spacing w:val="-8"/>
          <w:w w:val="95"/>
        </w:rPr>
        <w:t xml:space="preserve"> </w:t>
      </w:r>
      <w:r>
        <w:rPr>
          <w:spacing w:val="-2"/>
          <w:w w:val="95"/>
        </w:rPr>
        <w:t>Football</w:t>
      </w:r>
      <w:r>
        <w:rPr>
          <w:spacing w:val="-8"/>
          <w:w w:val="95"/>
        </w:rPr>
        <w:t xml:space="preserve"> </w:t>
      </w:r>
      <w:r>
        <w:rPr>
          <w:spacing w:val="-2"/>
          <w:w w:val="95"/>
        </w:rPr>
        <w:t>Stadium</w:t>
      </w:r>
      <w:r>
        <w:rPr>
          <w:spacing w:val="-9"/>
          <w:w w:val="95"/>
        </w:rPr>
        <w:t xml:space="preserve"> </w:t>
      </w:r>
      <w:r>
        <w:rPr>
          <w:spacing w:val="-2"/>
          <w:w w:val="95"/>
        </w:rPr>
        <w:t>(Allianz</w:t>
      </w:r>
      <w:r>
        <w:rPr>
          <w:spacing w:val="-8"/>
          <w:w w:val="95"/>
        </w:rPr>
        <w:t xml:space="preserve"> </w:t>
      </w:r>
      <w:r>
        <w:rPr>
          <w:spacing w:val="-2"/>
          <w:w w:val="95"/>
        </w:rPr>
        <w:t xml:space="preserve">Stadium) </w:t>
      </w:r>
      <w:r>
        <w:t>and</w:t>
      </w:r>
      <w:r>
        <w:rPr>
          <w:spacing w:val="-14"/>
        </w:rPr>
        <w:t xml:space="preserve"> </w:t>
      </w:r>
      <w:r>
        <w:t>the</w:t>
      </w:r>
      <w:r>
        <w:rPr>
          <w:spacing w:val="-14"/>
        </w:rPr>
        <w:t xml:space="preserve"> </w:t>
      </w:r>
      <w:r>
        <w:t>Entertainment</w:t>
      </w:r>
      <w:r>
        <w:rPr>
          <w:spacing w:val="-14"/>
        </w:rPr>
        <w:t xml:space="preserve"> </w:t>
      </w:r>
      <w:r>
        <w:t>Quarter.</w:t>
      </w:r>
      <w:r>
        <w:rPr>
          <w:spacing w:val="-14"/>
        </w:rPr>
        <w:t xml:space="preserve"> </w:t>
      </w:r>
      <w:r>
        <w:t>It</w:t>
      </w:r>
      <w:r>
        <w:rPr>
          <w:spacing w:val="-14"/>
        </w:rPr>
        <w:t xml:space="preserve"> </w:t>
      </w:r>
      <w:r>
        <w:t>also</w:t>
      </w:r>
      <w:r>
        <w:rPr>
          <w:spacing w:val="-14"/>
        </w:rPr>
        <w:t xml:space="preserve"> </w:t>
      </w:r>
      <w:r>
        <w:t>adjoins</w:t>
      </w:r>
      <w:r>
        <w:rPr>
          <w:spacing w:val="-14"/>
        </w:rPr>
        <w:t xml:space="preserve"> </w:t>
      </w:r>
      <w:r>
        <w:t>the Centennial</w:t>
      </w:r>
      <w:r>
        <w:rPr>
          <w:spacing w:val="-11"/>
        </w:rPr>
        <w:t xml:space="preserve"> </w:t>
      </w:r>
      <w:r>
        <w:t>Parklands.</w:t>
      </w:r>
    </w:p>
    <w:p w:rsidR="002C1123" w:rsidRDefault="00F22F94">
      <w:pPr>
        <w:pStyle w:val="BodyText"/>
        <w:spacing w:before="146" w:line="249" w:lineRule="auto"/>
        <w:ind w:left="234" w:right="699"/>
      </w:pPr>
      <w:r>
        <w:rPr>
          <w:w w:val="95"/>
        </w:rPr>
        <w:t>The</w:t>
      </w:r>
      <w:r>
        <w:rPr>
          <w:spacing w:val="-7"/>
          <w:w w:val="95"/>
        </w:rPr>
        <w:t xml:space="preserve"> </w:t>
      </w:r>
      <w:r>
        <w:rPr>
          <w:w w:val="95"/>
        </w:rPr>
        <w:t>NSW</w:t>
      </w:r>
      <w:r>
        <w:rPr>
          <w:spacing w:val="-7"/>
          <w:w w:val="95"/>
        </w:rPr>
        <w:t xml:space="preserve"> </w:t>
      </w:r>
      <w:r>
        <w:rPr>
          <w:w w:val="95"/>
        </w:rPr>
        <w:t>Government</w:t>
      </w:r>
      <w:r>
        <w:rPr>
          <w:spacing w:val="-7"/>
          <w:w w:val="95"/>
        </w:rPr>
        <w:t xml:space="preserve"> </w:t>
      </w:r>
      <w:r>
        <w:rPr>
          <w:w w:val="95"/>
        </w:rPr>
        <w:t>has</w:t>
      </w:r>
      <w:r>
        <w:rPr>
          <w:spacing w:val="-7"/>
          <w:w w:val="95"/>
        </w:rPr>
        <w:t xml:space="preserve"> </w:t>
      </w:r>
      <w:r>
        <w:rPr>
          <w:w w:val="95"/>
        </w:rPr>
        <w:t>allocated</w:t>
      </w:r>
      <w:r>
        <w:rPr>
          <w:spacing w:val="-7"/>
          <w:w w:val="95"/>
        </w:rPr>
        <w:t xml:space="preserve"> </w:t>
      </w:r>
      <w:r>
        <w:rPr>
          <w:w w:val="95"/>
        </w:rPr>
        <w:t>$72</w:t>
      </w:r>
      <w:r>
        <w:rPr>
          <w:spacing w:val="-7"/>
          <w:w w:val="95"/>
        </w:rPr>
        <w:t xml:space="preserve"> </w:t>
      </w:r>
      <w:r>
        <w:rPr>
          <w:w w:val="95"/>
        </w:rPr>
        <w:t>million</w:t>
      </w:r>
      <w:r>
        <w:rPr>
          <w:spacing w:val="-7"/>
          <w:w w:val="95"/>
        </w:rPr>
        <w:t xml:space="preserve"> </w:t>
      </w:r>
      <w:r>
        <w:rPr>
          <w:w w:val="95"/>
        </w:rPr>
        <w:t xml:space="preserve">towards </w:t>
      </w:r>
      <w:r>
        <w:t>a</w:t>
      </w:r>
      <w:r>
        <w:rPr>
          <w:spacing w:val="-14"/>
        </w:rPr>
        <w:t xml:space="preserve"> </w:t>
      </w:r>
      <w:r>
        <w:t>major</w:t>
      </w:r>
      <w:r>
        <w:rPr>
          <w:spacing w:val="-14"/>
        </w:rPr>
        <w:t xml:space="preserve"> </w:t>
      </w:r>
      <w:r>
        <w:t>renewal</w:t>
      </w:r>
      <w:r>
        <w:rPr>
          <w:spacing w:val="-14"/>
        </w:rPr>
        <w:t xml:space="preserve"> </w:t>
      </w:r>
      <w:r>
        <w:t>of</w:t>
      </w:r>
      <w:r>
        <w:rPr>
          <w:spacing w:val="-14"/>
        </w:rPr>
        <w:t xml:space="preserve"> </w:t>
      </w:r>
      <w:r>
        <w:t>the</w:t>
      </w:r>
      <w:r>
        <w:rPr>
          <w:spacing w:val="-14"/>
        </w:rPr>
        <w:t xml:space="preserve"> </w:t>
      </w:r>
      <w:r>
        <w:t>SCG</w:t>
      </w:r>
      <w:r>
        <w:rPr>
          <w:spacing w:val="-14"/>
        </w:rPr>
        <w:t xml:space="preserve"> </w:t>
      </w:r>
      <w:r>
        <w:t>by</w:t>
      </w:r>
      <w:r>
        <w:rPr>
          <w:spacing w:val="-14"/>
        </w:rPr>
        <w:t xml:space="preserve"> </w:t>
      </w:r>
      <w:r>
        <w:t>the</w:t>
      </w:r>
      <w:r>
        <w:rPr>
          <w:spacing w:val="-14"/>
        </w:rPr>
        <w:t xml:space="preserve"> </w:t>
      </w:r>
      <w:r>
        <w:t>end</w:t>
      </w:r>
      <w:r>
        <w:rPr>
          <w:spacing w:val="-14"/>
        </w:rPr>
        <w:t xml:space="preserve"> </w:t>
      </w:r>
      <w:r>
        <w:t>of</w:t>
      </w:r>
      <w:r>
        <w:rPr>
          <w:spacing w:val="-13"/>
        </w:rPr>
        <w:t xml:space="preserve"> </w:t>
      </w:r>
      <w:r>
        <w:t>2014.</w:t>
      </w:r>
      <w:r>
        <w:rPr>
          <w:spacing w:val="-14"/>
        </w:rPr>
        <w:t xml:space="preserve"> </w:t>
      </w:r>
      <w:r>
        <w:t>This upgrade</w:t>
      </w:r>
      <w:r>
        <w:rPr>
          <w:spacing w:val="-14"/>
        </w:rPr>
        <w:t xml:space="preserve"> </w:t>
      </w:r>
      <w:r>
        <w:t>will</w:t>
      </w:r>
      <w:r>
        <w:rPr>
          <w:spacing w:val="-14"/>
        </w:rPr>
        <w:t xml:space="preserve"> </w:t>
      </w:r>
      <w:r>
        <w:t>secure</w:t>
      </w:r>
      <w:r>
        <w:rPr>
          <w:spacing w:val="-14"/>
        </w:rPr>
        <w:t xml:space="preserve"> </w:t>
      </w:r>
      <w:r>
        <w:t>the</w:t>
      </w:r>
      <w:r>
        <w:rPr>
          <w:spacing w:val="-14"/>
        </w:rPr>
        <w:t xml:space="preserve"> </w:t>
      </w:r>
      <w:r>
        <w:t>SCG’s</w:t>
      </w:r>
      <w:r>
        <w:rPr>
          <w:spacing w:val="-14"/>
        </w:rPr>
        <w:t xml:space="preserve"> </w:t>
      </w:r>
      <w:r>
        <w:t>future</w:t>
      </w:r>
      <w:r>
        <w:rPr>
          <w:spacing w:val="-14"/>
        </w:rPr>
        <w:t xml:space="preserve"> </w:t>
      </w:r>
      <w:r>
        <w:t>as</w:t>
      </w:r>
      <w:r>
        <w:rPr>
          <w:spacing w:val="-14"/>
        </w:rPr>
        <w:t xml:space="preserve"> </w:t>
      </w:r>
      <w:r>
        <w:t>a</w:t>
      </w:r>
      <w:r>
        <w:rPr>
          <w:spacing w:val="-14"/>
        </w:rPr>
        <w:t xml:space="preserve"> </w:t>
      </w:r>
      <w:r>
        <w:t>leading sporting</w:t>
      </w:r>
      <w:r>
        <w:rPr>
          <w:spacing w:val="-4"/>
        </w:rPr>
        <w:t xml:space="preserve"> </w:t>
      </w:r>
      <w:r>
        <w:t>venue</w:t>
      </w:r>
      <w:r>
        <w:rPr>
          <w:spacing w:val="-4"/>
        </w:rPr>
        <w:t xml:space="preserve"> </w:t>
      </w:r>
      <w:r>
        <w:t>for</w:t>
      </w:r>
      <w:r>
        <w:rPr>
          <w:spacing w:val="-4"/>
        </w:rPr>
        <w:t xml:space="preserve"> </w:t>
      </w:r>
      <w:r>
        <w:t>the</w:t>
      </w:r>
      <w:r>
        <w:rPr>
          <w:spacing w:val="-4"/>
        </w:rPr>
        <w:t xml:space="preserve"> </w:t>
      </w:r>
      <w:r>
        <w:t>next</w:t>
      </w:r>
      <w:r>
        <w:rPr>
          <w:spacing w:val="-4"/>
        </w:rPr>
        <w:t xml:space="preserve"> </w:t>
      </w:r>
      <w:r>
        <w:t>generation.</w:t>
      </w:r>
    </w:p>
    <w:p w:rsidR="002C1123" w:rsidRDefault="00F22F94">
      <w:pPr>
        <w:pStyle w:val="BodyText"/>
        <w:spacing w:before="145" w:line="249" w:lineRule="auto"/>
        <w:ind w:left="234" w:right="788"/>
      </w:pPr>
      <w:r>
        <w:t>Public</w:t>
      </w:r>
      <w:r>
        <w:rPr>
          <w:spacing w:val="-14"/>
        </w:rPr>
        <w:t xml:space="preserve"> </w:t>
      </w:r>
      <w:r>
        <w:t>transport</w:t>
      </w:r>
      <w:r>
        <w:rPr>
          <w:spacing w:val="-14"/>
        </w:rPr>
        <w:t xml:space="preserve"> </w:t>
      </w:r>
      <w:r>
        <w:t>to</w:t>
      </w:r>
      <w:r>
        <w:rPr>
          <w:spacing w:val="-14"/>
        </w:rPr>
        <w:t xml:space="preserve"> </w:t>
      </w:r>
      <w:r>
        <w:t>the</w:t>
      </w:r>
      <w:r>
        <w:rPr>
          <w:spacing w:val="-14"/>
        </w:rPr>
        <w:t xml:space="preserve"> </w:t>
      </w:r>
      <w:r>
        <w:t>Moore</w:t>
      </w:r>
      <w:r>
        <w:rPr>
          <w:spacing w:val="-14"/>
        </w:rPr>
        <w:t xml:space="preserve"> </w:t>
      </w:r>
      <w:r>
        <w:t>Park</w:t>
      </w:r>
      <w:r>
        <w:rPr>
          <w:spacing w:val="-14"/>
        </w:rPr>
        <w:t xml:space="preserve"> </w:t>
      </w:r>
      <w:r>
        <w:t>precinct</w:t>
      </w:r>
      <w:r>
        <w:rPr>
          <w:spacing w:val="-14"/>
        </w:rPr>
        <w:t xml:space="preserve"> </w:t>
      </w:r>
      <w:r>
        <w:t>is</w:t>
      </w:r>
      <w:r>
        <w:rPr>
          <w:spacing w:val="-14"/>
        </w:rPr>
        <w:t xml:space="preserve"> </w:t>
      </w:r>
      <w:r>
        <w:t>currently provided</w:t>
      </w:r>
      <w:r>
        <w:rPr>
          <w:spacing w:val="-10"/>
        </w:rPr>
        <w:t xml:space="preserve"> </w:t>
      </w:r>
      <w:r>
        <w:t>by</w:t>
      </w:r>
      <w:r>
        <w:rPr>
          <w:spacing w:val="-10"/>
        </w:rPr>
        <w:t xml:space="preserve"> </w:t>
      </w:r>
      <w:r>
        <w:t>special</w:t>
      </w:r>
      <w:r>
        <w:rPr>
          <w:spacing w:val="-10"/>
        </w:rPr>
        <w:t xml:space="preserve"> </w:t>
      </w:r>
      <w:r>
        <w:t>event</w:t>
      </w:r>
      <w:r>
        <w:rPr>
          <w:spacing w:val="-10"/>
        </w:rPr>
        <w:t xml:space="preserve"> </w:t>
      </w:r>
      <w:r>
        <w:t>buses</w:t>
      </w:r>
      <w:r>
        <w:rPr>
          <w:spacing w:val="-10"/>
        </w:rPr>
        <w:t xml:space="preserve"> </w:t>
      </w:r>
      <w:r>
        <w:t>from</w:t>
      </w:r>
      <w:r>
        <w:rPr>
          <w:spacing w:val="-11"/>
        </w:rPr>
        <w:t xml:space="preserve"> </w:t>
      </w:r>
      <w:r>
        <w:t>Central</w:t>
      </w:r>
      <w:r>
        <w:rPr>
          <w:spacing w:val="-10"/>
        </w:rPr>
        <w:t xml:space="preserve"> </w:t>
      </w:r>
      <w:r>
        <w:t xml:space="preserve">and </w:t>
      </w:r>
      <w:r>
        <w:rPr>
          <w:w w:val="95"/>
        </w:rPr>
        <w:t>Circular</w:t>
      </w:r>
      <w:r>
        <w:rPr>
          <w:spacing w:val="-12"/>
          <w:w w:val="95"/>
        </w:rPr>
        <w:t xml:space="preserve"> </w:t>
      </w:r>
      <w:r>
        <w:rPr>
          <w:w w:val="95"/>
        </w:rPr>
        <w:t>Quay.</w:t>
      </w:r>
      <w:r>
        <w:rPr>
          <w:spacing w:val="-11"/>
          <w:w w:val="95"/>
        </w:rPr>
        <w:t xml:space="preserve"> </w:t>
      </w:r>
      <w:r>
        <w:rPr>
          <w:w w:val="95"/>
        </w:rPr>
        <w:t>While</w:t>
      </w:r>
      <w:r>
        <w:rPr>
          <w:spacing w:val="-11"/>
          <w:w w:val="95"/>
        </w:rPr>
        <w:t xml:space="preserve"> </w:t>
      </w:r>
      <w:r>
        <w:rPr>
          <w:w w:val="95"/>
        </w:rPr>
        <w:t>these</w:t>
      </w:r>
      <w:r>
        <w:rPr>
          <w:spacing w:val="-11"/>
          <w:w w:val="95"/>
        </w:rPr>
        <w:t xml:space="preserve"> </w:t>
      </w:r>
      <w:r>
        <w:rPr>
          <w:w w:val="95"/>
        </w:rPr>
        <w:t>arrangements</w:t>
      </w:r>
      <w:r>
        <w:rPr>
          <w:spacing w:val="-11"/>
          <w:w w:val="95"/>
        </w:rPr>
        <w:t xml:space="preserve"> </w:t>
      </w:r>
      <w:r>
        <w:rPr>
          <w:w w:val="95"/>
        </w:rPr>
        <w:t>have</w:t>
      </w:r>
      <w:r>
        <w:rPr>
          <w:spacing w:val="-11"/>
          <w:w w:val="95"/>
        </w:rPr>
        <w:t xml:space="preserve"> </w:t>
      </w:r>
      <w:r>
        <w:rPr>
          <w:w w:val="95"/>
        </w:rPr>
        <w:t xml:space="preserve">generally </w:t>
      </w:r>
      <w:r>
        <w:t>proved</w:t>
      </w:r>
      <w:r>
        <w:rPr>
          <w:spacing w:val="-11"/>
        </w:rPr>
        <w:t xml:space="preserve"> </w:t>
      </w:r>
      <w:r>
        <w:t>adequate,</w:t>
      </w:r>
      <w:r>
        <w:rPr>
          <w:spacing w:val="-11"/>
        </w:rPr>
        <w:t xml:space="preserve"> </w:t>
      </w:r>
      <w:r>
        <w:t>the</w:t>
      </w:r>
      <w:r>
        <w:rPr>
          <w:spacing w:val="-11"/>
        </w:rPr>
        <w:t xml:space="preserve"> </w:t>
      </w:r>
      <w:r>
        <w:t>experience</w:t>
      </w:r>
      <w:r>
        <w:rPr>
          <w:spacing w:val="-11"/>
        </w:rPr>
        <w:t xml:space="preserve"> </w:t>
      </w:r>
      <w:r>
        <w:t>falls</w:t>
      </w:r>
      <w:r>
        <w:rPr>
          <w:spacing w:val="-11"/>
        </w:rPr>
        <w:t xml:space="preserve"> </w:t>
      </w:r>
      <w:r>
        <w:t>short</w:t>
      </w:r>
      <w:r>
        <w:rPr>
          <w:spacing w:val="-11"/>
        </w:rPr>
        <w:t xml:space="preserve"> </w:t>
      </w:r>
      <w:r>
        <w:t>of</w:t>
      </w:r>
      <w:r>
        <w:rPr>
          <w:spacing w:val="-11"/>
        </w:rPr>
        <w:t xml:space="preserve"> </w:t>
      </w:r>
      <w:r>
        <w:t>world class</w:t>
      </w:r>
      <w:r>
        <w:rPr>
          <w:spacing w:val="-14"/>
        </w:rPr>
        <w:t xml:space="preserve"> </w:t>
      </w:r>
      <w:r>
        <w:t>standards.</w:t>
      </w:r>
      <w:r>
        <w:rPr>
          <w:spacing w:val="-14"/>
        </w:rPr>
        <w:t xml:space="preserve"> </w:t>
      </w:r>
      <w:r>
        <w:t>For</w:t>
      </w:r>
      <w:r>
        <w:rPr>
          <w:spacing w:val="-14"/>
        </w:rPr>
        <w:t xml:space="preserve"> </w:t>
      </w:r>
      <w:r>
        <w:t>example,</w:t>
      </w:r>
      <w:r>
        <w:rPr>
          <w:spacing w:val="-14"/>
        </w:rPr>
        <w:t xml:space="preserve"> </w:t>
      </w:r>
      <w:r>
        <w:t>Melbourne’s</w:t>
      </w:r>
      <w:r>
        <w:rPr>
          <w:spacing w:val="-14"/>
        </w:rPr>
        <w:t xml:space="preserve"> </w:t>
      </w:r>
      <w:r>
        <w:t>leading venues</w:t>
      </w:r>
      <w:r>
        <w:rPr>
          <w:spacing w:val="-12"/>
        </w:rPr>
        <w:t xml:space="preserve"> </w:t>
      </w:r>
      <w:r>
        <w:t>are</w:t>
      </w:r>
      <w:r>
        <w:rPr>
          <w:spacing w:val="-12"/>
        </w:rPr>
        <w:t xml:space="preserve"> </w:t>
      </w:r>
      <w:r>
        <w:t>well</w:t>
      </w:r>
      <w:r>
        <w:rPr>
          <w:spacing w:val="-12"/>
        </w:rPr>
        <w:t xml:space="preserve"> </w:t>
      </w:r>
      <w:r>
        <w:t>served</w:t>
      </w:r>
      <w:r>
        <w:rPr>
          <w:spacing w:val="-12"/>
        </w:rPr>
        <w:t xml:space="preserve"> </w:t>
      </w:r>
      <w:r>
        <w:t>by</w:t>
      </w:r>
      <w:r>
        <w:rPr>
          <w:spacing w:val="-12"/>
        </w:rPr>
        <w:t xml:space="preserve"> </w:t>
      </w:r>
      <w:r>
        <w:t>both</w:t>
      </w:r>
      <w:r>
        <w:rPr>
          <w:spacing w:val="-12"/>
        </w:rPr>
        <w:t xml:space="preserve"> </w:t>
      </w:r>
      <w:r>
        <w:t>trains</w:t>
      </w:r>
      <w:r>
        <w:rPr>
          <w:spacing w:val="-12"/>
        </w:rPr>
        <w:t xml:space="preserve"> </w:t>
      </w:r>
      <w:r>
        <w:t>and</w:t>
      </w:r>
      <w:r>
        <w:rPr>
          <w:spacing w:val="-12"/>
        </w:rPr>
        <w:t xml:space="preserve"> </w:t>
      </w:r>
      <w:r>
        <w:t>trams.</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239" w:space="40"/>
            <w:col w:w="4993" w:space="39"/>
            <w:col w:w="5749"/>
          </w:cols>
        </w:sectPr>
      </w:pPr>
    </w:p>
    <w:p w:rsidR="002C1123" w:rsidRDefault="00F22F94">
      <w:pPr>
        <w:pStyle w:val="BodyText"/>
        <w:tabs>
          <w:tab w:val="left" w:pos="5518"/>
          <w:tab w:val="left" w:pos="6958"/>
        </w:tabs>
        <w:spacing w:before="6" w:line="227" w:lineRule="exact"/>
        <w:ind w:left="492"/>
      </w:pPr>
      <w:r>
        <w:rPr>
          <w:w w:val="95"/>
        </w:rPr>
        <w:t>Homebush</w:t>
      </w:r>
      <w:r>
        <w:rPr>
          <w:spacing w:val="-12"/>
          <w:w w:val="95"/>
        </w:rPr>
        <w:t xml:space="preserve"> </w:t>
      </w:r>
      <w:r>
        <w:rPr>
          <w:w w:val="95"/>
        </w:rPr>
        <w:t>site</w:t>
      </w:r>
      <w:r>
        <w:rPr>
          <w:spacing w:val="-11"/>
          <w:w w:val="95"/>
        </w:rPr>
        <w:t xml:space="preserve"> </w:t>
      </w:r>
      <w:r>
        <w:rPr>
          <w:w w:val="95"/>
        </w:rPr>
        <w:t>evolves,</w:t>
      </w:r>
      <w:r>
        <w:rPr>
          <w:spacing w:val="-11"/>
          <w:w w:val="95"/>
        </w:rPr>
        <w:t xml:space="preserve"> </w:t>
      </w:r>
      <w:r>
        <w:rPr>
          <w:w w:val="95"/>
        </w:rPr>
        <w:t>Sydney</w:t>
      </w:r>
      <w:r>
        <w:rPr>
          <w:spacing w:val="-11"/>
          <w:w w:val="95"/>
        </w:rPr>
        <w:t xml:space="preserve"> </w:t>
      </w:r>
      <w:r>
        <w:rPr>
          <w:w w:val="95"/>
        </w:rPr>
        <w:t>will</w:t>
      </w:r>
      <w:r>
        <w:rPr>
          <w:spacing w:val="-11"/>
          <w:w w:val="95"/>
        </w:rPr>
        <w:t xml:space="preserve"> </w:t>
      </w:r>
      <w:r>
        <w:rPr>
          <w:w w:val="95"/>
        </w:rPr>
        <w:t>enjoy</w:t>
      </w:r>
      <w:r>
        <w:rPr>
          <w:spacing w:val="-11"/>
          <w:w w:val="95"/>
        </w:rPr>
        <w:t xml:space="preserve"> </w:t>
      </w:r>
      <w:r>
        <w:rPr>
          <w:w w:val="95"/>
        </w:rPr>
        <w:t>the</w:t>
      </w:r>
      <w:r>
        <w:rPr>
          <w:spacing w:val="-11"/>
          <w:w w:val="95"/>
        </w:rPr>
        <w:t xml:space="preserve"> </w:t>
      </w:r>
      <w:r>
        <w:rPr>
          <w:w w:val="95"/>
        </w:rPr>
        <w:t>benefits</w:t>
      </w:r>
      <w:r>
        <w:rPr>
          <w:spacing w:val="-11"/>
          <w:w w:val="95"/>
        </w:rPr>
        <w:t xml:space="preserve"> </w:t>
      </w:r>
      <w:r>
        <w:rPr>
          <w:spacing w:val="-5"/>
          <w:w w:val="95"/>
        </w:rPr>
        <w:t>of</w:t>
      </w:r>
      <w:r>
        <w:tab/>
      </w:r>
      <w:r>
        <w:rPr>
          <w:u w:val="single" w:color="9C9C9D"/>
        </w:rPr>
        <w:tab/>
      </w:r>
    </w:p>
    <w:p w:rsidR="002C1123" w:rsidRDefault="00F22F94">
      <w:pPr>
        <w:spacing w:line="158" w:lineRule="exact"/>
        <w:ind w:left="5518"/>
        <w:rPr>
          <w:sz w:val="14"/>
        </w:rPr>
      </w:pPr>
      <w:r>
        <w:rPr>
          <w:w w:val="95"/>
          <w:sz w:val="14"/>
        </w:rPr>
        <w:t>4</w:t>
      </w:r>
      <w:r>
        <w:rPr>
          <w:spacing w:val="78"/>
          <w:w w:val="150"/>
          <w:sz w:val="14"/>
        </w:rPr>
        <w:t xml:space="preserve"> </w:t>
      </w:r>
      <w:r>
        <w:rPr>
          <w:w w:val="95"/>
          <w:sz w:val="14"/>
        </w:rPr>
        <w:t>Sydney</w:t>
      </w:r>
      <w:r>
        <w:rPr>
          <w:spacing w:val="-2"/>
          <w:w w:val="95"/>
          <w:sz w:val="14"/>
        </w:rPr>
        <w:t xml:space="preserve"> </w:t>
      </w:r>
      <w:r>
        <w:rPr>
          <w:w w:val="95"/>
          <w:sz w:val="14"/>
        </w:rPr>
        <w:t>Olympic</w:t>
      </w:r>
      <w:r>
        <w:rPr>
          <w:spacing w:val="-3"/>
          <w:w w:val="95"/>
          <w:sz w:val="14"/>
        </w:rPr>
        <w:t xml:space="preserve"> </w:t>
      </w:r>
      <w:r>
        <w:rPr>
          <w:w w:val="95"/>
          <w:sz w:val="14"/>
        </w:rPr>
        <w:t>Park</w:t>
      </w:r>
      <w:r>
        <w:rPr>
          <w:spacing w:val="-2"/>
          <w:w w:val="95"/>
          <w:sz w:val="14"/>
        </w:rPr>
        <w:t xml:space="preserve"> Authority.</w:t>
      </w:r>
    </w:p>
    <w:p w:rsidR="002C1123" w:rsidRDefault="002C1123">
      <w:pPr>
        <w:spacing w:line="158" w:lineRule="exact"/>
        <w:rPr>
          <w:sz w:val="14"/>
        </w:rPr>
        <w:sectPr w:rsidR="002C1123">
          <w:type w:val="continuous"/>
          <w:pgSz w:w="16840" w:h="11910" w:orient="landscape"/>
          <w:pgMar w:top="560" w:right="280" w:bottom="280" w:left="500" w:header="0" w:footer="517"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3"/>
        <w:rPr>
          <w:sz w:val="19"/>
        </w:rPr>
      </w:pPr>
    </w:p>
    <w:p w:rsidR="002C1123" w:rsidRDefault="00F22F94">
      <w:pPr>
        <w:pStyle w:val="Heading6"/>
        <w:ind w:left="502"/>
      </w:pPr>
      <w:bookmarkStart w:id="374" w:name="_bookmark266"/>
      <w:bookmarkEnd w:id="374"/>
      <w:r>
        <w:rPr>
          <w:color w:val="00AEEF"/>
          <w:w w:val="95"/>
        </w:rPr>
        <w:t>14.2.7</w:t>
      </w:r>
      <w:r>
        <w:rPr>
          <w:color w:val="00AEEF"/>
          <w:spacing w:val="-2"/>
          <w:w w:val="95"/>
        </w:rPr>
        <w:t xml:space="preserve"> </w:t>
      </w:r>
      <w:r>
        <w:rPr>
          <w:color w:val="00AEEF"/>
          <w:w w:val="95"/>
        </w:rPr>
        <w:t>Summary</w:t>
      </w:r>
      <w:r>
        <w:rPr>
          <w:color w:val="00AEEF"/>
          <w:spacing w:val="-1"/>
          <w:w w:val="95"/>
        </w:rPr>
        <w:t xml:space="preserve"> </w:t>
      </w:r>
      <w:r>
        <w:rPr>
          <w:color w:val="00AEEF"/>
          <w:w w:val="95"/>
        </w:rPr>
        <w:t>of</w:t>
      </w:r>
      <w:r>
        <w:rPr>
          <w:color w:val="00AEEF"/>
          <w:spacing w:val="-1"/>
          <w:w w:val="95"/>
        </w:rPr>
        <w:t xml:space="preserve"> </w:t>
      </w:r>
      <w:r>
        <w:rPr>
          <w:color w:val="00AEEF"/>
          <w:w w:val="95"/>
        </w:rPr>
        <w:t>Arts</w:t>
      </w:r>
      <w:r>
        <w:rPr>
          <w:color w:val="00AEEF"/>
          <w:spacing w:val="-1"/>
          <w:w w:val="95"/>
        </w:rPr>
        <w:t xml:space="preserve"> </w:t>
      </w:r>
      <w:r>
        <w:rPr>
          <w:color w:val="00AEEF"/>
          <w:w w:val="95"/>
        </w:rPr>
        <w:t>and</w:t>
      </w:r>
      <w:r>
        <w:rPr>
          <w:color w:val="00AEEF"/>
          <w:spacing w:val="-1"/>
          <w:w w:val="95"/>
        </w:rPr>
        <w:t xml:space="preserve"> </w:t>
      </w:r>
      <w:r>
        <w:rPr>
          <w:color w:val="00AEEF"/>
          <w:w w:val="95"/>
        </w:rPr>
        <w:t>Recreation</w:t>
      </w:r>
      <w:r>
        <w:rPr>
          <w:color w:val="00AEEF"/>
          <w:spacing w:val="-1"/>
          <w:w w:val="95"/>
        </w:rPr>
        <w:t xml:space="preserve"> </w:t>
      </w:r>
      <w:r>
        <w:rPr>
          <w:color w:val="00AEEF"/>
          <w:spacing w:val="-2"/>
          <w:w w:val="95"/>
        </w:rPr>
        <w:t>Recommendations</w:t>
      </w:r>
    </w:p>
    <w:p w:rsidR="002C1123" w:rsidRDefault="00F22F94">
      <w:pPr>
        <w:spacing w:before="144"/>
        <w:ind w:left="502"/>
        <w:rPr>
          <w:b/>
          <w:sz w:val="18"/>
        </w:rPr>
      </w:pPr>
      <w:r>
        <w:rPr>
          <w:b/>
          <w:sz w:val="18"/>
        </w:rPr>
        <w:t>Table</w:t>
      </w:r>
      <w:r>
        <w:rPr>
          <w:b/>
          <w:spacing w:val="-18"/>
          <w:sz w:val="18"/>
        </w:rPr>
        <w:t xml:space="preserve"> </w:t>
      </w:r>
      <w:r>
        <w:rPr>
          <w:b/>
          <w:sz w:val="18"/>
        </w:rPr>
        <w:t>14.2</w:t>
      </w:r>
      <w:r>
        <w:rPr>
          <w:b/>
          <w:spacing w:val="18"/>
          <w:sz w:val="18"/>
        </w:rPr>
        <w:t xml:space="preserve"> </w:t>
      </w:r>
      <w:r>
        <w:rPr>
          <w:b/>
          <w:sz w:val="18"/>
        </w:rPr>
        <w:t>Summary</w:t>
      </w:r>
      <w:r>
        <w:rPr>
          <w:b/>
          <w:spacing w:val="-17"/>
          <w:sz w:val="18"/>
        </w:rPr>
        <w:t xml:space="preserve"> </w:t>
      </w:r>
      <w:r>
        <w:rPr>
          <w:b/>
          <w:sz w:val="18"/>
        </w:rPr>
        <w:t>of</w:t>
      </w:r>
      <w:r>
        <w:rPr>
          <w:b/>
          <w:spacing w:val="-18"/>
          <w:sz w:val="18"/>
        </w:rPr>
        <w:t xml:space="preserve"> </w:t>
      </w:r>
      <w:r>
        <w:rPr>
          <w:b/>
          <w:sz w:val="18"/>
        </w:rPr>
        <w:t>arts</w:t>
      </w:r>
      <w:r>
        <w:rPr>
          <w:b/>
          <w:spacing w:val="-17"/>
          <w:sz w:val="18"/>
        </w:rPr>
        <w:t xml:space="preserve"> </w:t>
      </w:r>
      <w:r>
        <w:rPr>
          <w:b/>
          <w:sz w:val="18"/>
        </w:rPr>
        <w:t>and</w:t>
      </w:r>
      <w:r>
        <w:rPr>
          <w:b/>
          <w:spacing w:val="-17"/>
          <w:sz w:val="18"/>
        </w:rPr>
        <w:t xml:space="preserve"> </w:t>
      </w:r>
      <w:r>
        <w:rPr>
          <w:b/>
          <w:sz w:val="18"/>
        </w:rPr>
        <w:t>recreation</w:t>
      </w:r>
      <w:r>
        <w:rPr>
          <w:b/>
          <w:spacing w:val="-17"/>
          <w:sz w:val="18"/>
        </w:rPr>
        <w:t xml:space="preserve"> </w:t>
      </w:r>
      <w:r>
        <w:rPr>
          <w:b/>
          <w:spacing w:val="-2"/>
          <w:sz w:val="18"/>
        </w:rPr>
        <w:t>recommendations</w:t>
      </w:r>
    </w:p>
    <w:p w:rsidR="002C1123" w:rsidRDefault="00F22F94">
      <w:pPr>
        <w:tabs>
          <w:tab w:val="left" w:pos="4999"/>
          <w:tab w:val="left" w:pos="5736"/>
          <w:tab w:val="left" w:pos="6586"/>
        </w:tabs>
        <w:spacing w:before="92"/>
        <w:ind w:left="1088"/>
        <w:rPr>
          <w:b/>
          <w:sz w:val="18"/>
        </w:rPr>
      </w:pPr>
      <w:r>
        <w:rPr>
          <w:b/>
          <w:color w:val="2E3092"/>
          <w:spacing w:val="-2"/>
          <w:sz w:val="18"/>
        </w:rPr>
        <w:t>Recommendation</w:t>
      </w:r>
      <w:r>
        <w:rPr>
          <w:b/>
          <w:color w:val="2E3092"/>
          <w:sz w:val="18"/>
        </w:rPr>
        <w:tab/>
      </w:r>
      <w:r>
        <w:rPr>
          <w:b/>
          <w:color w:val="2E3092"/>
          <w:spacing w:val="-4"/>
          <w:sz w:val="18"/>
        </w:rPr>
        <w:t>Year</w:t>
      </w:r>
      <w:r>
        <w:rPr>
          <w:b/>
          <w:color w:val="2E3092"/>
          <w:sz w:val="18"/>
        </w:rPr>
        <w:tab/>
      </w:r>
      <w:r>
        <w:rPr>
          <w:b/>
          <w:color w:val="2E3092"/>
          <w:spacing w:val="-4"/>
          <w:sz w:val="18"/>
        </w:rPr>
        <w:t>Type</w:t>
      </w:r>
      <w:r>
        <w:rPr>
          <w:b/>
          <w:color w:val="2E3092"/>
          <w:sz w:val="18"/>
        </w:rPr>
        <w:tab/>
        <w:t>Cost</w:t>
      </w:r>
      <w:r>
        <w:rPr>
          <w:b/>
          <w:color w:val="2E3092"/>
          <w:spacing w:val="-11"/>
          <w:sz w:val="18"/>
        </w:rPr>
        <w:t xml:space="preserve"> </w:t>
      </w:r>
      <w:r>
        <w:rPr>
          <w:b/>
          <w:color w:val="2E3092"/>
          <w:sz w:val="18"/>
        </w:rPr>
        <w:t>and</w:t>
      </w:r>
      <w:r>
        <w:rPr>
          <w:b/>
          <w:color w:val="2E3092"/>
          <w:spacing w:val="-10"/>
          <w:sz w:val="18"/>
        </w:rPr>
        <w:t xml:space="preserve"> </w:t>
      </w:r>
      <w:r>
        <w:rPr>
          <w:b/>
          <w:color w:val="2E3092"/>
          <w:sz w:val="18"/>
        </w:rPr>
        <w:t>funding</w:t>
      </w:r>
      <w:r>
        <w:rPr>
          <w:b/>
          <w:color w:val="2E3092"/>
          <w:spacing w:val="-10"/>
          <w:sz w:val="18"/>
        </w:rPr>
        <w:t xml:space="preserve"> </w:t>
      </w:r>
      <w:r>
        <w:rPr>
          <w:b/>
          <w:color w:val="2E3092"/>
          <w:spacing w:val="-2"/>
          <w:sz w:val="18"/>
        </w:rPr>
        <w:t>implications</w:t>
      </w:r>
    </w:p>
    <w:p w:rsidR="002C1123" w:rsidRDefault="002C1123">
      <w:pPr>
        <w:pStyle w:val="BodyText"/>
        <w:spacing w:before="7"/>
        <w:rPr>
          <w:b/>
          <w:sz w:val="5"/>
        </w:rPr>
      </w:pPr>
    </w:p>
    <w:tbl>
      <w:tblPr>
        <w:tblW w:w="0" w:type="auto"/>
        <w:tblInd w:w="5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472"/>
        <w:gridCol w:w="3911"/>
        <w:gridCol w:w="736"/>
        <w:gridCol w:w="849"/>
        <w:gridCol w:w="3854"/>
      </w:tblGrid>
      <w:tr w:rsidR="002C1123">
        <w:trPr>
          <w:trHeight w:val="841"/>
        </w:trPr>
        <w:tc>
          <w:tcPr>
            <w:tcW w:w="472" w:type="dxa"/>
            <w:tcBorders>
              <w:top w:val="nil"/>
            </w:tcBorders>
            <w:shd w:val="clear" w:color="auto" w:fill="E1E0E1"/>
          </w:tcPr>
          <w:p w:rsidR="002C1123" w:rsidRDefault="00F22F94">
            <w:pPr>
              <w:pStyle w:val="TableParagraph"/>
              <w:spacing w:before="73"/>
              <w:rPr>
                <w:sz w:val="18"/>
              </w:rPr>
            </w:pPr>
            <w:r>
              <w:rPr>
                <w:spacing w:val="-5"/>
                <w:sz w:val="18"/>
              </w:rPr>
              <w:t>67</w:t>
            </w:r>
          </w:p>
        </w:tc>
        <w:tc>
          <w:tcPr>
            <w:tcW w:w="3911" w:type="dxa"/>
            <w:tcBorders>
              <w:top w:val="nil"/>
            </w:tcBorders>
            <w:shd w:val="clear" w:color="auto" w:fill="C9C8C9"/>
          </w:tcPr>
          <w:p w:rsidR="002C1123" w:rsidRDefault="00F22F94">
            <w:pPr>
              <w:pStyle w:val="TableParagraph"/>
              <w:spacing w:before="73" w:line="254" w:lineRule="auto"/>
              <w:ind w:right="388"/>
              <w:rPr>
                <w:sz w:val="18"/>
              </w:rPr>
            </w:pPr>
            <w:r>
              <w:rPr>
                <w:w w:val="105"/>
                <w:sz w:val="18"/>
              </w:rPr>
              <w:t xml:space="preserve">Construct the new Sydney International </w:t>
            </w:r>
            <w:r>
              <w:rPr>
                <w:spacing w:val="-2"/>
                <w:w w:val="105"/>
                <w:sz w:val="18"/>
              </w:rPr>
              <w:t>Convention,</w:t>
            </w:r>
            <w:r>
              <w:rPr>
                <w:spacing w:val="-12"/>
                <w:w w:val="105"/>
                <w:sz w:val="18"/>
              </w:rPr>
              <w:t xml:space="preserve"> </w:t>
            </w:r>
            <w:r>
              <w:rPr>
                <w:spacing w:val="-2"/>
                <w:w w:val="105"/>
                <w:sz w:val="18"/>
              </w:rPr>
              <w:t>Exhibition</w:t>
            </w:r>
            <w:r>
              <w:rPr>
                <w:spacing w:val="-11"/>
                <w:w w:val="105"/>
                <w:sz w:val="18"/>
              </w:rPr>
              <w:t xml:space="preserve"> </w:t>
            </w:r>
            <w:r>
              <w:rPr>
                <w:spacing w:val="-2"/>
                <w:w w:val="105"/>
                <w:sz w:val="18"/>
              </w:rPr>
              <w:t>and</w:t>
            </w:r>
            <w:r>
              <w:rPr>
                <w:spacing w:val="-11"/>
                <w:w w:val="105"/>
                <w:sz w:val="18"/>
              </w:rPr>
              <w:t xml:space="preserve"> </w:t>
            </w:r>
            <w:r>
              <w:rPr>
                <w:spacing w:val="-2"/>
                <w:w w:val="105"/>
                <w:sz w:val="18"/>
              </w:rPr>
              <w:t>Entertainment Precinct</w:t>
            </w:r>
          </w:p>
        </w:tc>
        <w:tc>
          <w:tcPr>
            <w:tcW w:w="736" w:type="dxa"/>
            <w:tcBorders>
              <w:top w:val="nil"/>
            </w:tcBorders>
            <w:shd w:val="clear" w:color="auto" w:fill="E1E0E1"/>
          </w:tcPr>
          <w:p w:rsidR="002C1123" w:rsidRDefault="00F22F94">
            <w:pPr>
              <w:pStyle w:val="TableParagraph"/>
              <w:spacing w:before="77"/>
              <w:ind w:left="114"/>
              <w:rPr>
                <w:sz w:val="16"/>
              </w:rPr>
            </w:pPr>
            <w:r>
              <w:rPr>
                <w:w w:val="90"/>
                <w:sz w:val="16"/>
              </w:rPr>
              <w:t>0</w:t>
            </w:r>
            <w:r>
              <w:rPr>
                <w:spacing w:val="-3"/>
                <w:w w:val="90"/>
                <w:sz w:val="16"/>
              </w:rPr>
              <w:t xml:space="preserve"> </w:t>
            </w:r>
            <w:r>
              <w:rPr>
                <w:w w:val="90"/>
                <w:sz w:val="16"/>
              </w:rPr>
              <w:t>–</w:t>
            </w:r>
            <w:r>
              <w:rPr>
                <w:spacing w:val="-3"/>
                <w:w w:val="90"/>
                <w:sz w:val="16"/>
              </w:rPr>
              <w:t xml:space="preserve"> </w:t>
            </w:r>
            <w:r>
              <w:rPr>
                <w:spacing w:val="-10"/>
                <w:w w:val="90"/>
                <w:sz w:val="16"/>
              </w:rPr>
              <w:t>5</w:t>
            </w:r>
          </w:p>
        </w:tc>
        <w:tc>
          <w:tcPr>
            <w:tcW w:w="849" w:type="dxa"/>
            <w:tcBorders>
              <w:top w:val="nil"/>
            </w:tcBorders>
            <w:shd w:val="clear" w:color="auto" w:fill="E1E0E1"/>
          </w:tcPr>
          <w:p w:rsidR="002C1123" w:rsidRDefault="00F22F94">
            <w:pPr>
              <w:pStyle w:val="TableParagraph"/>
              <w:spacing w:before="80" w:line="235" w:lineRule="auto"/>
              <w:ind w:left="115"/>
              <w:rPr>
                <w:sz w:val="16"/>
              </w:rPr>
            </w:pPr>
            <w:r>
              <w:rPr>
                <w:spacing w:val="-2"/>
                <w:sz w:val="16"/>
              </w:rPr>
              <w:t xml:space="preserve">Major </w:t>
            </w:r>
            <w:r>
              <w:rPr>
                <w:spacing w:val="-2"/>
                <w:w w:val="95"/>
                <w:sz w:val="16"/>
              </w:rPr>
              <w:t>project</w:t>
            </w:r>
          </w:p>
        </w:tc>
        <w:tc>
          <w:tcPr>
            <w:tcW w:w="3854" w:type="dxa"/>
            <w:tcBorders>
              <w:top w:val="nil"/>
            </w:tcBorders>
            <w:shd w:val="clear" w:color="auto" w:fill="E1E0E1"/>
          </w:tcPr>
          <w:p w:rsidR="002C1123" w:rsidRDefault="00F22F94">
            <w:pPr>
              <w:pStyle w:val="TableParagraph"/>
              <w:spacing w:before="77"/>
              <w:ind w:left="116"/>
              <w:rPr>
                <w:sz w:val="16"/>
              </w:rPr>
            </w:pPr>
            <w:r>
              <w:rPr>
                <w:w w:val="95"/>
                <w:sz w:val="16"/>
              </w:rPr>
              <w:t>Existing</w:t>
            </w:r>
            <w:r>
              <w:rPr>
                <w:sz w:val="16"/>
              </w:rPr>
              <w:t xml:space="preserve"> </w:t>
            </w:r>
            <w:r>
              <w:rPr>
                <w:w w:val="95"/>
                <w:sz w:val="16"/>
              </w:rPr>
              <w:t>Government</w:t>
            </w:r>
            <w:r>
              <w:rPr>
                <w:spacing w:val="1"/>
                <w:sz w:val="16"/>
              </w:rPr>
              <w:t xml:space="preserve"> </w:t>
            </w:r>
            <w:r>
              <w:rPr>
                <w:spacing w:val="-2"/>
                <w:w w:val="95"/>
                <w:sz w:val="16"/>
              </w:rPr>
              <w:t>commitment</w:t>
            </w:r>
          </w:p>
        </w:tc>
      </w:tr>
      <w:tr w:rsidR="002C1123">
        <w:trPr>
          <w:trHeight w:val="611"/>
        </w:trPr>
        <w:tc>
          <w:tcPr>
            <w:tcW w:w="472" w:type="dxa"/>
            <w:shd w:val="clear" w:color="auto" w:fill="E1E0E1"/>
          </w:tcPr>
          <w:p w:rsidR="002C1123" w:rsidRDefault="00F22F94">
            <w:pPr>
              <w:pStyle w:val="TableParagraph"/>
              <w:spacing w:before="63"/>
              <w:rPr>
                <w:sz w:val="18"/>
              </w:rPr>
            </w:pPr>
            <w:r>
              <w:rPr>
                <w:spacing w:val="-5"/>
                <w:sz w:val="18"/>
              </w:rPr>
              <w:t>68</w:t>
            </w:r>
          </w:p>
        </w:tc>
        <w:tc>
          <w:tcPr>
            <w:tcW w:w="3911" w:type="dxa"/>
            <w:shd w:val="clear" w:color="auto" w:fill="C9C8C9"/>
          </w:tcPr>
          <w:p w:rsidR="002C1123" w:rsidRDefault="00F22F94">
            <w:pPr>
              <w:pStyle w:val="TableParagraph"/>
              <w:spacing w:before="63" w:line="254" w:lineRule="auto"/>
              <w:ind w:right="133"/>
              <w:rPr>
                <w:sz w:val="18"/>
              </w:rPr>
            </w:pPr>
            <w:r>
              <w:rPr>
                <w:spacing w:val="-2"/>
                <w:w w:val="105"/>
                <w:sz w:val="18"/>
              </w:rPr>
              <w:t>Identify</w:t>
            </w:r>
            <w:r>
              <w:rPr>
                <w:spacing w:val="-5"/>
                <w:w w:val="105"/>
                <w:sz w:val="18"/>
              </w:rPr>
              <w:t xml:space="preserve"> </w:t>
            </w:r>
            <w:r>
              <w:rPr>
                <w:spacing w:val="-2"/>
                <w:w w:val="105"/>
                <w:sz w:val="18"/>
              </w:rPr>
              <w:t>strategy</w:t>
            </w:r>
            <w:r>
              <w:rPr>
                <w:spacing w:val="-5"/>
                <w:w w:val="105"/>
                <w:sz w:val="18"/>
              </w:rPr>
              <w:t xml:space="preserve"> </w:t>
            </w:r>
            <w:r>
              <w:rPr>
                <w:spacing w:val="-2"/>
                <w:w w:val="105"/>
                <w:sz w:val="18"/>
              </w:rPr>
              <w:t>to</w:t>
            </w:r>
            <w:r>
              <w:rPr>
                <w:spacing w:val="-5"/>
                <w:w w:val="105"/>
                <w:sz w:val="18"/>
              </w:rPr>
              <w:t xml:space="preserve"> </w:t>
            </w:r>
            <w:r>
              <w:rPr>
                <w:spacing w:val="-2"/>
                <w:w w:val="105"/>
                <w:sz w:val="18"/>
              </w:rPr>
              <w:t>improve</w:t>
            </w:r>
            <w:r>
              <w:rPr>
                <w:spacing w:val="-5"/>
                <w:w w:val="105"/>
                <w:sz w:val="18"/>
              </w:rPr>
              <w:t xml:space="preserve"> </w:t>
            </w:r>
            <w:r>
              <w:rPr>
                <w:spacing w:val="-2"/>
                <w:w w:val="105"/>
                <w:sz w:val="18"/>
              </w:rPr>
              <w:t>asset</w:t>
            </w:r>
            <w:r>
              <w:rPr>
                <w:spacing w:val="-5"/>
                <w:w w:val="105"/>
                <w:sz w:val="18"/>
              </w:rPr>
              <w:t xml:space="preserve"> </w:t>
            </w:r>
            <w:r>
              <w:rPr>
                <w:spacing w:val="-2"/>
                <w:w w:val="105"/>
                <w:sz w:val="18"/>
              </w:rPr>
              <w:t xml:space="preserve">utilisation </w:t>
            </w:r>
            <w:r>
              <w:rPr>
                <w:w w:val="105"/>
                <w:sz w:val="18"/>
              </w:rPr>
              <w:t>at Sydney Olympic Park</w:t>
            </w:r>
          </w:p>
        </w:tc>
        <w:tc>
          <w:tcPr>
            <w:tcW w:w="736" w:type="dxa"/>
            <w:shd w:val="clear" w:color="auto" w:fill="E1E0E1"/>
          </w:tcPr>
          <w:p w:rsidR="002C1123" w:rsidRDefault="00F22F94">
            <w:pPr>
              <w:pStyle w:val="TableParagraph"/>
              <w:ind w:left="114"/>
              <w:rPr>
                <w:sz w:val="16"/>
              </w:rPr>
            </w:pPr>
            <w:r>
              <w:rPr>
                <w:w w:val="90"/>
                <w:sz w:val="16"/>
              </w:rPr>
              <w:t>0</w:t>
            </w:r>
            <w:r>
              <w:rPr>
                <w:spacing w:val="-3"/>
                <w:w w:val="90"/>
                <w:sz w:val="16"/>
              </w:rPr>
              <w:t xml:space="preserve"> </w:t>
            </w:r>
            <w:r>
              <w:rPr>
                <w:w w:val="90"/>
                <w:sz w:val="16"/>
              </w:rPr>
              <w:t>–</w:t>
            </w:r>
            <w:r>
              <w:rPr>
                <w:spacing w:val="-3"/>
                <w:w w:val="90"/>
                <w:sz w:val="16"/>
              </w:rPr>
              <w:t xml:space="preserve"> </w:t>
            </w:r>
            <w:r>
              <w:rPr>
                <w:spacing w:val="-10"/>
                <w:w w:val="90"/>
                <w:sz w:val="16"/>
              </w:rPr>
              <w:t>5</w:t>
            </w:r>
          </w:p>
        </w:tc>
        <w:tc>
          <w:tcPr>
            <w:tcW w:w="849" w:type="dxa"/>
            <w:shd w:val="clear" w:color="auto" w:fill="E1E0E1"/>
          </w:tcPr>
          <w:p w:rsidR="002C1123" w:rsidRDefault="00F22F94">
            <w:pPr>
              <w:pStyle w:val="TableParagraph"/>
              <w:ind w:left="115"/>
              <w:rPr>
                <w:sz w:val="16"/>
              </w:rPr>
            </w:pPr>
            <w:r>
              <w:rPr>
                <w:spacing w:val="-2"/>
                <w:sz w:val="16"/>
              </w:rPr>
              <w:t>Review</w:t>
            </w:r>
          </w:p>
        </w:tc>
        <w:tc>
          <w:tcPr>
            <w:tcW w:w="3854" w:type="dxa"/>
            <w:shd w:val="clear" w:color="auto" w:fill="E1E0E1"/>
          </w:tcPr>
          <w:p w:rsidR="002C1123" w:rsidRDefault="00F22F94">
            <w:pPr>
              <w:pStyle w:val="TableParagraph"/>
              <w:ind w:left="116"/>
              <w:rPr>
                <w:sz w:val="16"/>
              </w:rPr>
            </w:pPr>
            <w:r>
              <w:rPr>
                <w:w w:val="95"/>
                <w:sz w:val="16"/>
              </w:rPr>
              <w:t>Cost</w:t>
            </w:r>
            <w:r>
              <w:rPr>
                <w:spacing w:val="-4"/>
                <w:w w:val="95"/>
                <w:sz w:val="16"/>
              </w:rPr>
              <w:t xml:space="preserve"> </w:t>
            </w:r>
            <w:r>
              <w:rPr>
                <w:w w:val="95"/>
                <w:sz w:val="16"/>
              </w:rPr>
              <w:t>of</w:t>
            </w:r>
            <w:r>
              <w:rPr>
                <w:spacing w:val="-4"/>
                <w:w w:val="95"/>
                <w:sz w:val="16"/>
              </w:rPr>
              <w:t xml:space="preserve"> </w:t>
            </w:r>
            <w:r>
              <w:rPr>
                <w:w w:val="95"/>
                <w:sz w:val="16"/>
              </w:rPr>
              <w:t>review</w:t>
            </w:r>
            <w:r>
              <w:rPr>
                <w:spacing w:val="-4"/>
                <w:w w:val="95"/>
                <w:sz w:val="16"/>
              </w:rPr>
              <w:t xml:space="preserve"> </w:t>
            </w:r>
            <w:r>
              <w:rPr>
                <w:w w:val="95"/>
                <w:sz w:val="16"/>
              </w:rPr>
              <w:t>is</w:t>
            </w:r>
            <w:r>
              <w:rPr>
                <w:spacing w:val="-4"/>
                <w:w w:val="95"/>
                <w:sz w:val="16"/>
              </w:rPr>
              <w:t xml:space="preserve"> </w:t>
            </w:r>
            <w:r>
              <w:rPr>
                <w:w w:val="95"/>
                <w:sz w:val="16"/>
              </w:rPr>
              <w:t>not</w:t>
            </w:r>
            <w:r>
              <w:rPr>
                <w:spacing w:val="-4"/>
                <w:w w:val="95"/>
                <w:sz w:val="16"/>
              </w:rPr>
              <w:t xml:space="preserve"> </w:t>
            </w:r>
            <w:r>
              <w:rPr>
                <w:spacing w:val="-2"/>
                <w:w w:val="95"/>
                <w:sz w:val="16"/>
              </w:rPr>
              <w:t>material</w:t>
            </w:r>
          </w:p>
        </w:tc>
      </w:tr>
      <w:tr w:rsidR="002C1123">
        <w:trPr>
          <w:trHeight w:val="917"/>
        </w:trPr>
        <w:tc>
          <w:tcPr>
            <w:tcW w:w="472" w:type="dxa"/>
            <w:shd w:val="clear" w:color="auto" w:fill="E1E0E1"/>
          </w:tcPr>
          <w:p w:rsidR="002C1123" w:rsidRDefault="00F22F94">
            <w:pPr>
              <w:pStyle w:val="TableParagraph"/>
              <w:spacing w:before="63"/>
              <w:rPr>
                <w:sz w:val="18"/>
              </w:rPr>
            </w:pPr>
            <w:r>
              <w:rPr>
                <w:spacing w:val="-5"/>
                <w:sz w:val="18"/>
              </w:rPr>
              <w:t>69</w:t>
            </w:r>
          </w:p>
        </w:tc>
        <w:tc>
          <w:tcPr>
            <w:tcW w:w="3911" w:type="dxa"/>
            <w:shd w:val="clear" w:color="auto" w:fill="C9C8C9"/>
          </w:tcPr>
          <w:p w:rsidR="002C1123" w:rsidRDefault="00F22F94">
            <w:pPr>
              <w:pStyle w:val="TableParagraph"/>
              <w:spacing w:before="63"/>
              <w:rPr>
                <w:sz w:val="18"/>
              </w:rPr>
            </w:pPr>
            <w:r>
              <w:rPr>
                <w:spacing w:val="-4"/>
                <w:w w:val="105"/>
                <w:sz w:val="18"/>
              </w:rPr>
              <w:t>Investment</w:t>
            </w:r>
            <w:r>
              <w:rPr>
                <w:spacing w:val="-1"/>
                <w:w w:val="105"/>
                <w:sz w:val="18"/>
              </w:rPr>
              <w:t xml:space="preserve"> </w:t>
            </w:r>
            <w:r>
              <w:rPr>
                <w:spacing w:val="-4"/>
                <w:w w:val="105"/>
                <w:sz w:val="18"/>
              </w:rPr>
              <w:t>in</w:t>
            </w:r>
            <w:r>
              <w:rPr>
                <w:spacing w:val="-1"/>
                <w:w w:val="105"/>
                <w:sz w:val="18"/>
              </w:rPr>
              <w:t xml:space="preserve"> </w:t>
            </w:r>
            <w:r>
              <w:rPr>
                <w:spacing w:val="-4"/>
                <w:w w:val="105"/>
                <w:sz w:val="18"/>
              </w:rPr>
              <w:t>Sydney’s</w:t>
            </w:r>
            <w:r>
              <w:rPr>
                <w:w w:val="105"/>
                <w:sz w:val="18"/>
              </w:rPr>
              <w:t xml:space="preserve"> </w:t>
            </w:r>
            <w:r>
              <w:rPr>
                <w:spacing w:val="-4"/>
                <w:w w:val="105"/>
                <w:sz w:val="18"/>
              </w:rPr>
              <w:t>Arts</w:t>
            </w:r>
            <w:r>
              <w:rPr>
                <w:spacing w:val="-1"/>
                <w:w w:val="105"/>
                <w:sz w:val="18"/>
              </w:rPr>
              <w:t xml:space="preserve"> </w:t>
            </w:r>
            <w:r>
              <w:rPr>
                <w:spacing w:val="-4"/>
                <w:w w:val="105"/>
                <w:sz w:val="18"/>
              </w:rPr>
              <w:t>Ribbon</w:t>
            </w:r>
          </w:p>
          <w:p w:rsidR="002C1123" w:rsidRDefault="00F22F94">
            <w:pPr>
              <w:pStyle w:val="TableParagraph"/>
              <w:spacing w:before="13" w:line="254" w:lineRule="auto"/>
              <w:ind w:right="133"/>
              <w:rPr>
                <w:sz w:val="18"/>
              </w:rPr>
            </w:pPr>
            <w:r>
              <w:rPr>
                <w:spacing w:val="-2"/>
                <w:sz w:val="18"/>
              </w:rPr>
              <w:t>Opera</w:t>
            </w:r>
            <w:r>
              <w:rPr>
                <w:spacing w:val="-10"/>
                <w:sz w:val="18"/>
              </w:rPr>
              <w:t xml:space="preserve"> </w:t>
            </w:r>
            <w:r>
              <w:rPr>
                <w:spacing w:val="-2"/>
                <w:sz w:val="18"/>
              </w:rPr>
              <w:t>House,</w:t>
            </w:r>
            <w:r>
              <w:rPr>
                <w:spacing w:val="-10"/>
                <w:sz w:val="18"/>
              </w:rPr>
              <w:t xml:space="preserve"> </w:t>
            </w:r>
            <w:r>
              <w:rPr>
                <w:spacing w:val="-2"/>
                <w:sz w:val="18"/>
              </w:rPr>
              <w:t>Art</w:t>
            </w:r>
            <w:r>
              <w:rPr>
                <w:spacing w:val="-10"/>
                <w:sz w:val="18"/>
              </w:rPr>
              <w:t xml:space="preserve"> </w:t>
            </w:r>
            <w:r>
              <w:rPr>
                <w:spacing w:val="-2"/>
                <w:sz w:val="18"/>
              </w:rPr>
              <w:t>Gallery</w:t>
            </w:r>
            <w:r>
              <w:rPr>
                <w:spacing w:val="-10"/>
                <w:sz w:val="18"/>
              </w:rPr>
              <w:t xml:space="preserve"> </w:t>
            </w:r>
            <w:r>
              <w:rPr>
                <w:spacing w:val="-2"/>
                <w:sz w:val="18"/>
              </w:rPr>
              <w:t>of</w:t>
            </w:r>
            <w:r>
              <w:rPr>
                <w:spacing w:val="-10"/>
                <w:sz w:val="18"/>
              </w:rPr>
              <w:t xml:space="preserve"> </w:t>
            </w:r>
            <w:r>
              <w:rPr>
                <w:spacing w:val="-2"/>
                <w:sz w:val="18"/>
              </w:rPr>
              <w:t>NSW</w:t>
            </w:r>
            <w:r>
              <w:rPr>
                <w:spacing w:val="-10"/>
                <w:sz w:val="18"/>
              </w:rPr>
              <w:t xml:space="preserve"> </w:t>
            </w:r>
            <w:r>
              <w:rPr>
                <w:spacing w:val="-2"/>
                <w:sz w:val="18"/>
              </w:rPr>
              <w:t>and</w:t>
            </w:r>
            <w:r>
              <w:rPr>
                <w:spacing w:val="-10"/>
                <w:sz w:val="18"/>
              </w:rPr>
              <w:t xml:space="preserve"> </w:t>
            </w:r>
            <w:r>
              <w:rPr>
                <w:spacing w:val="-2"/>
                <w:sz w:val="18"/>
              </w:rPr>
              <w:t xml:space="preserve">Walsh </w:t>
            </w:r>
            <w:r>
              <w:rPr>
                <w:spacing w:val="-4"/>
                <w:sz w:val="18"/>
              </w:rPr>
              <w:t>Bay</w:t>
            </w:r>
          </w:p>
        </w:tc>
        <w:tc>
          <w:tcPr>
            <w:tcW w:w="736" w:type="dxa"/>
            <w:shd w:val="clear" w:color="auto" w:fill="E1E0E1"/>
          </w:tcPr>
          <w:p w:rsidR="002C1123" w:rsidRDefault="00F22F94">
            <w:pPr>
              <w:pStyle w:val="TableParagraph"/>
              <w:ind w:left="114"/>
              <w:rPr>
                <w:sz w:val="16"/>
              </w:rPr>
            </w:pPr>
            <w:r>
              <w:rPr>
                <w:w w:val="90"/>
                <w:sz w:val="16"/>
              </w:rPr>
              <w:t>0</w:t>
            </w:r>
            <w:r>
              <w:rPr>
                <w:spacing w:val="-3"/>
                <w:w w:val="90"/>
                <w:sz w:val="16"/>
              </w:rPr>
              <w:t xml:space="preserve"> </w:t>
            </w:r>
            <w:r>
              <w:rPr>
                <w:w w:val="90"/>
                <w:sz w:val="16"/>
              </w:rPr>
              <w:t>–</w:t>
            </w:r>
            <w:r>
              <w:rPr>
                <w:spacing w:val="-3"/>
                <w:w w:val="90"/>
                <w:sz w:val="16"/>
              </w:rPr>
              <w:t xml:space="preserve"> </w:t>
            </w:r>
            <w:r>
              <w:rPr>
                <w:spacing w:val="-5"/>
                <w:w w:val="90"/>
                <w:sz w:val="16"/>
              </w:rPr>
              <w:t>20</w:t>
            </w:r>
          </w:p>
        </w:tc>
        <w:tc>
          <w:tcPr>
            <w:tcW w:w="849" w:type="dxa"/>
            <w:shd w:val="clear" w:color="auto" w:fill="E1E0E1"/>
          </w:tcPr>
          <w:p w:rsidR="002C1123" w:rsidRDefault="00F22F94">
            <w:pPr>
              <w:pStyle w:val="TableParagraph"/>
              <w:ind w:left="115"/>
              <w:rPr>
                <w:sz w:val="16"/>
              </w:rPr>
            </w:pPr>
            <w:r>
              <w:rPr>
                <w:spacing w:val="-2"/>
                <w:sz w:val="16"/>
              </w:rPr>
              <w:t>Program</w:t>
            </w:r>
          </w:p>
        </w:tc>
        <w:tc>
          <w:tcPr>
            <w:tcW w:w="3854" w:type="dxa"/>
            <w:shd w:val="clear" w:color="auto" w:fill="E1E0E1"/>
          </w:tcPr>
          <w:p w:rsidR="002C1123" w:rsidRDefault="00F22F94">
            <w:pPr>
              <w:pStyle w:val="TableParagraph"/>
              <w:spacing w:before="70" w:line="235" w:lineRule="auto"/>
              <w:ind w:left="116"/>
              <w:rPr>
                <w:sz w:val="16"/>
              </w:rPr>
            </w:pPr>
            <w:r>
              <w:rPr>
                <w:w w:val="95"/>
                <w:sz w:val="16"/>
              </w:rPr>
              <w:t xml:space="preserve">Government funding constraints will require a staged </w:t>
            </w:r>
            <w:r>
              <w:rPr>
                <w:sz w:val="16"/>
              </w:rPr>
              <w:t>approach and significant contributions from</w:t>
            </w:r>
            <w:r>
              <w:rPr>
                <w:spacing w:val="-1"/>
                <w:sz w:val="16"/>
              </w:rPr>
              <w:t xml:space="preserve"> </w:t>
            </w:r>
            <w:r>
              <w:rPr>
                <w:sz w:val="16"/>
              </w:rPr>
              <w:t>private sector and Commonwealth. Scoping of $1 billion, with assumed net State funding of $600 million</w:t>
            </w:r>
          </w:p>
        </w:tc>
      </w:tr>
    </w:tbl>
    <w:p w:rsidR="002C1123" w:rsidRDefault="00F22F94">
      <w:pPr>
        <w:pStyle w:val="BodyText"/>
        <w:spacing w:before="127" w:line="249" w:lineRule="auto"/>
        <w:ind w:left="492" w:right="10891"/>
      </w:pPr>
      <w:r>
        <w:rPr>
          <w:w w:val="95"/>
        </w:rPr>
        <w:t>As</w:t>
      </w:r>
      <w:r>
        <w:rPr>
          <w:spacing w:val="-6"/>
          <w:w w:val="95"/>
        </w:rPr>
        <w:t xml:space="preserve"> </w:t>
      </w:r>
      <w:r>
        <w:rPr>
          <w:w w:val="95"/>
        </w:rPr>
        <w:t>noted</w:t>
      </w:r>
      <w:r>
        <w:rPr>
          <w:spacing w:val="-6"/>
          <w:w w:val="95"/>
        </w:rPr>
        <w:t xml:space="preserve"> </w:t>
      </w:r>
      <w:r>
        <w:rPr>
          <w:w w:val="95"/>
        </w:rPr>
        <w:t>in</w:t>
      </w:r>
      <w:r>
        <w:rPr>
          <w:spacing w:val="-6"/>
          <w:w w:val="95"/>
        </w:rPr>
        <w:t xml:space="preserve"> </w:t>
      </w:r>
      <w:r>
        <w:rPr>
          <w:w w:val="95"/>
        </w:rPr>
        <w:t>Section</w:t>
      </w:r>
      <w:r>
        <w:rPr>
          <w:spacing w:val="-6"/>
          <w:w w:val="95"/>
        </w:rPr>
        <w:t xml:space="preserve"> </w:t>
      </w:r>
      <w:r>
        <w:rPr>
          <w:w w:val="95"/>
        </w:rPr>
        <w:t>7,</w:t>
      </w:r>
      <w:r>
        <w:rPr>
          <w:spacing w:val="-6"/>
          <w:w w:val="95"/>
        </w:rPr>
        <w:t xml:space="preserve"> </w:t>
      </w:r>
      <w:r>
        <w:rPr>
          <w:w w:val="95"/>
        </w:rPr>
        <w:t>Infrastructure</w:t>
      </w:r>
      <w:r>
        <w:rPr>
          <w:spacing w:val="-6"/>
          <w:w w:val="95"/>
        </w:rPr>
        <w:t xml:space="preserve"> </w:t>
      </w:r>
      <w:r>
        <w:rPr>
          <w:w w:val="95"/>
        </w:rPr>
        <w:t>NSW</w:t>
      </w:r>
      <w:r>
        <w:rPr>
          <w:spacing w:val="-6"/>
          <w:w w:val="95"/>
        </w:rPr>
        <w:t xml:space="preserve"> </w:t>
      </w:r>
      <w:r>
        <w:rPr>
          <w:w w:val="95"/>
        </w:rPr>
        <w:t xml:space="preserve">recommends the development of light rail from Central to the UNSW </w:t>
      </w:r>
      <w:r>
        <w:t>at</w:t>
      </w:r>
      <w:r>
        <w:rPr>
          <w:spacing w:val="-14"/>
        </w:rPr>
        <w:t xml:space="preserve"> </w:t>
      </w:r>
      <w:r>
        <w:t>Kingsford</w:t>
      </w:r>
      <w:r>
        <w:rPr>
          <w:spacing w:val="-14"/>
        </w:rPr>
        <w:t xml:space="preserve"> </w:t>
      </w:r>
      <w:r>
        <w:t>via</w:t>
      </w:r>
      <w:r>
        <w:rPr>
          <w:spacing w:val="-14"/>
        </w:rPr>
        <w:t xml:space="preserve"> </w:t>
      </w:r>
      <w:r>
        <w:t>Anzac</w:t>
      </w:r>
      <w:r>
        <w:rPr>
          <w:spacing w:val="-14"/>
        </w:rPr>
        <w:t xml:space="preserve"> </w:t>
      </w:r>
      <w:r>
        <w:t>Parade.</w:t>
      </w:r>
      <w:r>
        <w:rPr>
          <w:spacing w:val="-14"/>
        </w:rPr>
        <w:t xml:space="preserve"> </w:t>
      </w:r>
      <w:r>
        <w:t>This</w:t>
      </w:r>
      <w:r>
        <w:rPr>
          <w:spacing w:val="-14"/>
        </w:rPr>
        <w:t xml:space="preserve"> </w:t>
      </w:r>
      <w:r>
        <w:t>line</w:t>
      </w:r>
      <w:r>
        <w:rPr>
          <w:spacing w:val="-14"/>
        </w:rPr>
        <w:t xml:space="preserve"> </w:t>
      </w:r>
      <w:r>
        <w:t>would</w:t>
      </w:r>
      <w:r>
        <w:rPr>
          <w:spacing w:val="-14"/>
        </w:rPr>
        <w:t xml:space="preserve"> </w:t>
      </w:r>
      <w:r>
        <w:t xml:space="preserve">be </w:t>
      </w:r>
      <w:r>
        <w:rPr>
          <w:w w:val="95"/>
        </w:rPr>
        <w:t xml:space="preserve">ideally placed for the core public transport provision for </w:t>
      </w:r>
      <w:r>
        <w:t>the</w:t>
      </w:r>
      <w:r>
        <w:rPr>
          <w:spacing w:val="-13"/>
        </w:rPr>
        <w:t xml:space="preserve"> </w:t>
      </w:r>
      <w:r>
        <w:t>Moore</w:t>
      </w:r>
      <w:r>
        <w:rPr>
          <w:spacing w:val="-13"/>
        </w:rPr>
        <w:t xml:space="preserve"> </w:t>
      </w:r>
      <w:r>
        <w:t>Park</w:t>
      </w:r>
      <w:r>
        <w:rPr>
          <w:spacing w:val="-13"/>
        </w:rPr>
        <w:t xml:space="preserve"> </w:t>
      </w:r>
      <w:r>
        <w:t>venues,</w:t>
      </w:r>
      <w:r>
        <w:rPr>
          <w:spacing w:val="-13"/>
        </w:rPr>
        <w:t xml:space="preserve"> </w:t>
      </w:r>
      <w:r>
        <w:t>with</w:t>
      </w:r>
      <w:r>
        <w:rPr>
          <w:spacing w:val="-13"/>
        </w:rPr>
        <w:t xml:space="preserve"> </w:t>
      </w:r>
      <w:r>
        <w:t>buses</w:t>
      </w:r>
      <w:r>
        <w:rPr>
          <w:spacing w:val="-13"/>
        </w:rPr>
        <w:t xml:space="preserve"> </w:t>
      </w:r>
      <w:r>
        <w:t>required</w:t>
      </w:r>
      <w:r>
        <w:rPr>
          <w:spacing w:val="-13"/>
        </w:rPr>
        <w:t xml:space="preserve"> </w:t>
      </w:r>
      <w:r>
        <w:t>only</w:t>
      </w:r>
      <w:r>
        <w:rPr>
          <w:spacing w:val="-13"/>
        </w:rPr>
        <w:t xml:space="preserve"> </w:t>
      </w:r>
      <w:r>
        <w:t>for supplementary</w:t>
      </w:r>
      <w:r>
        <w:rPr>
          <w:spacing w:val="-6"/>
        </w:rPr>
        <w:t xml:space="preserve"> </w:t>
      </w:r>
      <w:r>
        <w:t>capacity</w:t>
      </w:r>
      <w:r>
        <w:rPr>
          <w:spacing w:val="-6"/>
        </w:rPr>
        <w:t xml:space="preserve"> </w:t>
      </w:r>
      <w:r>
        <w:t>at</w:t>
      </w:r>
      <w:r>
        <w:rPr>
          <w:spacing w:val="-6"/>
        </w:rPr>
        <w:t xml:space="preserve"> </w:t>
      </w:r>
      <w:r>
        <w:t>the</w:t>
      </w:r>
      <w:r>
        <w:rPr>
          <w:spacing w:val="-6"/>
        </w:rPr>
        <w:t xml:space="preserve"> </w:t>
      </w:r>
      <w:r>
        <w:t>largest</w:t>
      </w:r>
      <w:r>
        <w:rPr>
          <w:spacing w:val="-6"/>
        </w:rPr>
        <w:t xml:space="preserve"> </w:t>
      </w:r>
      <w:r>
        <w:t>events.</w:t>
      </w:r>
    </w:p>
    <w:p w:rsidR="002C1123" w:rsidRDefault="002C1123">
      <w:pPr>
        <w:spacing w:line="249" w:lineRule="auto"/>
        <w:sectPr w:rsidR="002C1123">
          <w:pgSz w:w="16840" w:h="11910" w:orient="landscape"/>
          <w:pgMar w:top="560" w:right="280" w:bottom="700" w:left="500" w:header="0" w:footer="517" w:gutter="0"/>
          <w:cols w:space="720"/>
        </w:sectPr>
      </w:pPr>
    </w:p>
    <w:p w:rsidR="002C1123" w:rsidRDefault="002C1123">
      <w:pPr>
        <w:pStyle w:val="BodyText"/>
      </w:pPr>
    </w:p>
    <w:p w:rsidR="002C1123" w:rsidRDefault="002C1123">
      <w:pPr>
        <w:sectPr w:rsidR="002C1123">
          <w:pgSz w:w="16840" w:h="11910" w:orient="landscape"/>
          <w:pgMar w:top="560" w:right="280" w:bottom="700" w:left="500" w:header="0" w:footer="517" w:gutter="0"/>
          <w:cols w:space="720"/>
        </w:sectPr>
      </w:pPr>
    </w:p>
    <w:p w:rsidR="002C1123" w:rsidRDefault="00F22F94">
      <w:pPr>
        <w:pStyle w:val="Heading1"/>
        <w:numPr>
          <w:ilvl w:val="1"/>
          <w:numId w:val="33"/>
        </w:numPr>
        <w:tabs>
          <w:tab w:val="left" w:pos="1904"/>
        </w:tabs>
        <w:ind w:left="1903" w:hanging="1412"/>
      </w:pPr>
      <w:bookmarkStart w:id="375" w:name="14.3_Justice"/>
      <w:bookmarkStart w:id="376" w:name="_bookmark268"/>
      <w:bookmarkStart w:id="377" w:name="_bookmark267"/>
      <w:bookmarkEnd w:id="375"/>
      <w:bookmarkEnd w:id="376"/>
      <w:bookmarkEnd w:id="377"/>
      <w:r>
        <w:rPr>
          <w:color w:val="00AEEF"/>
          <w:spacing w:val="-10"/>
          <w:w w:val="60"/>
        </w:rPr>
        <w:t>Justice</w:t>
      </w:r>
    </w:p>
    <w:p w:rsidR="002C1123" w:rsidRDefault="00F22F94">
      <w:pPr>
        <w:rPr>
          <w:rFonts w:ascii="Trebuchet MS"/>
          <w:sz w:val="24"/>
        </w:rPr>
      </w:pPr>
      <w:r>
        <w:br w:type="column"/>
      </w:r>
    </w:p>
    <w:p w:rsidR="002C1123" w:rsidRDefault="002C1123">
      <w:pPr>
        <w:pStyle w:val="BodyText"/>
        <w:rPr>
          <w:rFonts w:ascii="Trebuchet MS"/>
          <w:sz w:val="24"/>
        </w:rPr>
      </w:pPr>
    </w:p>
    <w:p w:rsidR="002C1123" w:rsidRDefault="002C1123">
      <w:pPr>
        <w:pStyle w:val="BodyText"/>
        <w:rPr>
          <w:rFonts w:ascii="Trebuchet MS"/>
          <w:sz w:val="24"/>
        </w:rPr>
      </w:pPr>
    </w:p>
    <w:p w:rsidR="002C1123" w:rsidRDefault="002C1123">
      <w:pPr>
        <w:pStyle w:val="BodyText"/>
        <w:rPr>
          <w:rFonts w:ascii="Trebuchet MS"/>
          <w:sz w:val="24"/>
        </w:rPr>
      </w:pPr>
    </w:p>
    <w:p w:rsidR="002C1123" w:rsidRDefault="002C1123">
      <w:pPr>
        <w:pStyle w:val="BodyText"/>
        <w:rPr>
          <w:rFonts w:ascii="Trebuchet MS"/>
          <w:sz w:val="24"/>
        </w:rPr>
      </w:pPr>
    </w:p>
    <w:p w:rsidR="002C1123" w:rsidRDefault="002C1123">
      <w:pPr>
        <w:pStyle w:val="BodyText"/>
        <w:spacing w:before="10"/>
        <w:rPr>
          <w:rFonts w:ascii="Trebuchet MS"/>
          <w:sz w:val="34"/>
        </w:rPr>
      </w:pPr>
    </w:p>
    <w:p w:rsidR="002C1123" w:rsidRDefault="002060EF">
      <w:pPr>
        <w:pStyle w:val="Heading6"/>
        <w:numPr>
          <w:ilvl w:val="2"/>
          <w:numId w:val="33"/>
        </w:numPr>
        <w:tabs>
          <w:tab w:val="left" w:pos="1087"/>
        </w:tabs>
        <w:spacing w:before="0"/>
        <w:jc w:val="left"/>
      </w:pPr>
      <w:r>
        <w:pict>
          <v:shape id="docshape2827" o:spid="_x0000_s1179" type="#_x0000_t202" style="position:absolute;left:0;text-align:left;margin-left:38.25pt;margin-top:-9.1pt;width:251.35pt;height:417.95pt;z-index:251746304;mso-position-horizontal-relative:page" fillcolor="#e1e0e1" stroked="f">
            <v:textbox inset="0,0,0,0">
              <w:txbxContent>
                <w:p w:rsidR="00F22F94" w:rsidRDefault="00F22F94">
                  <w:pPr>
                    <w:spacing w:before="164"/>
                    <w:ind w:left="226"/>
                    <w:rPr>
                      <w:b/>
                      <w:color w:val="000000"/>
                      <w:sz w:val="28"/>
                    </w:rPr>
                  </w:pPr>
                  <w:r>
                    <w:rPr>
                      <w:b/>
                      <w:color w:val="00AEEF"/>
                      <w:spacing w:val="-2"/>
                      <w:sz w:val="28"/>
                    </w:rPr>
                    <w:t>Summary</w:t>
                  </w:r>
                </w:p>
                <w:p w:rsidR="00F22F94" w:rsidRDefault="00F22F94">
                  <w:pPr>
                    <w:pStyle w:val="BodyText"/>
                    <w:numPr>
                      <w:ilvl w:val="0"/>
                      <w:numId w:val="28"/>
                    </w:numPr>
                    <w:tabs>
                      <w:tab w:val="left" w:pos="511"/>
                    </w:tabs>
                    <w:spacing w:before="122" w:line="249" w:lineRule="auto"/>
                    <w:ind w:right="752"/>
                    <w:rPr>
                      <w:color w:val="000000"/>
                    </w:rPr>
                  </w:pPr>
                  <w:r>
                    <w:rPr>
                      <w:color w:val="000000"/>
                      <w:w w:val="95"/>
                    </w:rPr>
                    <w:t>The</w:t>
                  </w:r>
                  <w:r>
                    <w:rPr>
                      <w:color w:val="000000"/>
                      <w:spacing w:val="-12"/>
                      <w:w w:val="95"/>
                    </w:rPr>
                    <w:t xml:space="preserve"> </w:t>
                  </w:r>
                  <w:r>
                    <w:rPr>
                      <w:color w:val="000000"/>
                      <w:w w:val="95"/>
                    </w:rPr>
                    <w:t>justice</w:t>
                  </w:r>
                  <w:r>
                    <w:rPr>
                      <w:color w:val="000000"/>
                      <w:spacing w:val="-11"/>
                      <w:w w:val="95"/>
                    </w:rPr>
                    <w:t xml:space="preserve"> </w:t>
                  </w:r>
                  <w:r>
                    <w:rPr>
                      <w:color w:val="000000"/>
                      <w:w w:val="95"/>
                    </w:rPr>
                    <w:t>sector</w:t>
                  </w:r>
                  <w:r>
                    <w:rPr>
                      <w:color w:val="000000"/>
                      <w:spacing w:val="-11"/>
                      <w:w w:val="95"/>
                    </w:rPr>
                    <w:t xml:space="preserve"> </w:t>
                  </w:r>
                  <w:r>
                    <w:rPr>
                      <w:color w:val="000000"/>
                      <w:w w:val="95"/>
                    </w:rPr>
                    <w:t>requires</w:t>
                  </w:r>
                  <w:r>
                    <w:rPr>
                      <w:color w:val="000000"/>
                      <w:spacing w:val="-11"/>
                      <w:w w:val="95"/>
                    </w:rPr>
                    <w:t xml:space="preserve"> </w:t>
                  </w:r>
                  <w:r>
                    <w:rPr>
                      <w:color w:val="000000"/>
                      <w:w w:val="95"/>
                    </w:rPr>
                    <w:t>less</w:t>
                  </w:r>
                  <w:r>
                    <w:rPr>
                      <w:color w:val="000000"/>
                      <w:spacing w:val="-11"/>
                      <w:w w:val="95"/>
                    </w:rPr>
                    <w:t xml:space="preserve"> </w:t>
                  </w:r>
                  <w:r>
                    <w:rPr>
                      <w:color w:val="000000"/>
                      <w:w w:val="95"/>
                    </w:rPr>
                    <w:t>investment</w:t>
                  </w:r>
                  <w:r>
                    <w:rPr>
                      <w:color w:val="000000"/>
                      <w:spacing w:val="-11"/>
                      <w:w w:val="95"/>
                    </w:rPr>
                    <w:t xml:space="preserve"> </w:t>
                  </w:r>
                  <w:r>
                    <w:rPr>
                      <w:color w:val="000000"/>
                      <w:w w:val="95"/>
                    </w:rPr>
                    <w:t xml:space="preserve">in </w:t>
                  </w:r>
                  <w:r>
                    <w:rPr>
                      <w:color w:val="000000"/>
                    </w:rPr>
                    <w:t>infrastructure</w:t>
                  </w:r>
                  <w:r>
                    <w:rPr>
                      <w:color w:val="000000"/>
                      <w:spacing w:val="-4"/>
                    </w:rPr>
                    <w:t xml:space="preserve"> </w:t>
                  </w:r>
                  <w:r>
                    <w:rPr>
                      <w:color w:val="000000"/>
                    </w:rPr>
                    <w:t>in</w:t>
                  </w:r>
                  <w:r>
                    <w:rPr>
                      <w:color w:val="000000"/>
                      <w:spacing w:val="-4"/>
                    </w:rPr>
                    <w:t xml:space="preserve"> </w:t>
                  </w:r>
                  <w:r>
                    <w:rPr>
                      <w:color w:val="000000"/>
                    </w:rPr>
                    <w:t>the</w:t>
                  </w:r>
                  <w:r>
                    <w:rPr>
                      <w:color w:val="000000"/>
                      <w:spacing w:val="-4"/>
                    </w:rPr>
                    <w:t xml:space="preserve"> </w:t>
                  </w:r>
                  <w:r>
                    <w:rPr>
                      <w:color w:val="000000"/>
                    </w:rPr>
                    <w:t>next</w:t>
                  </w:r>
                  <w:r>
                    <w:rPr>
                      <w:color w:val="000000"/>
                      <w:spacing w:val="-4"/>
                    </w:rPr>
                    <w:t xml:space="preserve"> </w:t>
                  </w:r>
                  <w:r>
                    <w:rPr>
                      <w:color w:val="000000"/>
                    </w:rPr>
                    <w:t>20</w:t>
                  </w:r>
                  <w:r>
                    <w:rPr>
                      <w:color w:val="000000"/>
                      <w:spacing w:val="-4"/>
                    </w:rPr>
                    <w:t xml:space="preserve"> </w:t>
                  </w:r>
                  <w:r>
                    <w:rPr>
                      <w:color w:val="000000"/>
                    </w:rPr>
                    <w:t>years.</w:t>
                  </w:r>
                </w:p>
                <w:p w:rsidR="00F22F94" w:rsidRDefault="00F22F94">
                  <w:pPr>
                    <w:pStyle w:val="BodyText"/>
                    <w:numPr>
                      <w:ilvl w:val="0"/>
                      <w:numId w:val="28"/>
                    </w:numPr>
                    <w:tabs>
                      <w:tab w:val="left" w:pos="511"/>
                    </w:tabs>
                    <w:spacing w:before="131" w:line="249" w:lineRule="auto"/>
                    <w:ind w:right="253"/>
                    <w:rPr>
                      <w:color w:val="000000"/>
                    </w:rPr>
                  </w:pPr>
                  <w:r>
                    <w:rPr>
                      <w:color w:val="000000"/>
                    </w:rPr>
                    <w:t>As</w:t>
                  </w:r>
                  <w:r>
                    <w:rPr>
                      <w:color w:val="000000"/>
                      <w:spacing w:val="-6"/>
                    </w:rPr>
                    <w:t xml:space="preserve"> </w:t>
                  </w:r>
                  <w:r>
                    <w:rPr>
                      <w:color w:val="000000"/>
                    </w:rPr>
                    <w:t>a</w:t>
                  </w:r>
                  <w:r>
                    <w:rPr>
                      <w:color w:val="000000"/>
                      <w:spacing w:val="-6"/>
                    </w:rPr>
                    <w:t xml:space="preserve"> </w:t>
                  </w:r>
                  <w:r>
                    <w:rPr>
                      <w:color w:val="000000"/>
                    </w:rPr>
                    <w:t>result</w:t>
                  </w:r>
                  <w:r>
                    <w:rPr>
                      <w:color w:val="000000"/>
                      <w:spacing w:val="-6"/>
                    </w:rPr>
                    <w:t xml:space="preserve"> </w:t>
                  </w:r>
                  <w:r>
                    <w:rPr>
                      <w:color w:val="000000"/>
                    </w:rPr>
                    <w:t>of</w:t>
                  </w:r>
                  <w:r>
                    <w:rPr>
                      <w:color w:val="000000"/>
                      <w:spacing w:val="-6"/>
                    </w:rPr>
                    <w:t xml:space="preserve"> </w:t>
                  </w:r>
                  <w:r>
                    <w:rPr>
                      <w:color w:val="000000"/>
                    </w:rPr>
                    <w:t>lower</w:t>
                  </w:r>
                  <w:r>
                    <w:rPr>
                      <w:color w:val="000000"/>
                      <w:spacing w:val="-6"/>
                    </w:rPr>
                    <w:t xml:space="preserve"> </w:t>
                  </w:r>
                  <w:r>
                    <w:rPr>
                      <w:color w:val="000000"/>
                    </w:rPr>
                    <w:t>demand</w:t>
                  </w:r>
                  <w:r>
                    <w:rPr>
                      <w:color w:val="000000"/>
                      <w:spacing w:val="-6"/>
                    </w:rPr>
                    <w:t xml:space="preserve"> </w:t>
                  </w:r>
                  <w:r>
                    <w:rPr>
                      <w:color w:val="000000"/>
                    </w:rPr>
                    <w:t>and</w:t>
                  </w:r>
                  <w:r>
                    <w:rPr>
                      <w:color w:val="000000"/>
                      <w:spacing w:val="-6"/>
                    </w:rPr>
                    <w:t xml:space="preserve"> </w:t>
                  </w:r>
                  <w:r>
                    <w:rPr>
                      <w:color w:val="000000"/>
                    </w:rPr>
                    <w:t xml:space="preserve">technology </w:t>
                  </w:r>
                  <w:r>
                    <w:rPr>
                      <w:color w:val="000000"/>
                      <w:w w:val="95"/>
                    </w:rPr>
                    <w:t>driven</w:t>
                  </w:r>
                  <w:r>
                    <w:rPr>
                      <w:color w:val="000000"/>
                      <w:spacing w:val="-8"/>
                      <w:w w:val="95"/>
                    </w:rPr>
                    <w:t xml:space="preserve"> </w:t>
                  </w:r>
                  <w:r>
                    <w:rPr>
                      <w:color w:val="000000"/>
                      <w:w w:val="95"/>
                    </w:rPr>
                    <w:t>improvements</w:t>
                  </w:r>
                  <w:r>
                    <w:rPr>
                      <w:color w:val="000000"/>
                      <w:spacing w:val="-8"/>
                      <w:w w:val="95"/>
                    </w:rPr>
                    <w:t xml:space="preserve"> </w:t>
                  </w:r>
                  <w:r>
                    <w:rPr>
                      <w:color w:val="000000"/>
                      <w:w w:val="95"/>
                    </w:rPr>
                    <w:t>in</w:t>
                  </w:r>
                  <w:r>
                    <w:rPr>
                      <w:color w:val="000000"/>
                      <w:spacing w:val="-8"/>
                      <w:w w:val="95"/>
                    </w:rPr>
                    <w:t xml:space="preserve"> </w:t>
                  </w:r>
                  <w:r>
                    <w:rPr>
                      <w:color w:val="000000"/>
                      <w:w w:val="95"/>
                    </w:rPr>
                    <w:t>service</w:t>
                  </w:r>
                  <w:r>
                    <w:rPr>
                      <w:color w:val="000000"/>
                      <w:spacing w:val="-8"/>
                      <w:w w:val="95"/>
                    </w:rPr>
                    <w:t xml:space="preserve"> </w:t>
                  </w:r>
                  <w:r>
                    <w:rPr>
                      <w:color w:val="000000"/>
                      <w:w w:val="95"/>
                    </w:rPr>
                    <w:t>models,</w:t>
                  </w:r>
                  <w:r>
                    <w:rPr>
                      <w:color w:val="000000"/>
                      <w:spacing w:val="-8"/>
                      <w:w w:val="95"/>
                    </w:rPr>
                    <w:t xml:space="preserve"> </w:t>
                  </w:r>
                  <w:r>
                    <w:rPr>
                      <w:color w:val="000000"/>
                      <w:w w:val="95"/>
                    </w:rPr>
                    <w:t>there</w:t>
                  </w:r>
                  <w:r>
                    <w:rPr>
                      <w:color w:val="000000"/>
                      <w:spacing w:val="-8"/>
                      <w:w w:val="95"/>
                    </w:rPr>
                    <w:t xml:space="preserve"> </w:t>
                  </w:r>
                  <w:r>
                    <w:rPr>
                      <w:color w:val="000000"/>
                      <w:w w:val="95"/>
                    </w:rPr>
                    <w:t>is</w:t>
                  </w:r>
                  <w:r>
                    <w:rPr>
                      <w:color w:val="000000"/>
                      <w:spacing w:val="-8"/>
                      <w:w w:val="95"/>
                    </w:rPr>
                    <w:t xml:space="preserve"> </w:t>
                  </w:r>
                  <w:r>
                    <w:rPr>
                      <w:color w:val="000000"/>
                      <w:w w:val="95"/>
                    </w:rPr>
                    <w:t xml:space="preserve">an </w:t>
                  </w:r>
                  <w:r>
                    <w:rPr>
                      <w:color w:val="000000"/>
                    </w:rPr>
                    <w:t>opportunity</w:t>
                  </w:r>
                  <w:r>
                    <w:rPr>
                      <w:color w:val="000000"/>
                      <w:spacing w:val="-14"/>
                    </w:rPr>
                    <w:t xml:space="preserve"> </w:t>
                  </w:r>
                  <w:r>
                    <w:rPr>
                      <w:color w:val="000000"/>
                    </w:rPr>
                    <w:t>to</w:t>
                  </w:r>
                  <w:r>
                    <w:rPr>
                      <w:color w:val="000000"/>
                      <w:spacing w:val="-14"/>
                    </w:rPr>
                    <w:t xml:space="preserve"> </w:t>
                  </w:r>
                  <w:r>
                    <w:rPr>
                      <w:color w:val="000000"/>
                    </w:rPr>
                    <w:t>reconfigure</w:t>
                  </w:r>
                  <w:r>
                    <w:rPr>
                      <w:color w:val="000000"/>
                      <w:spacing w:val="-14"/>
                    </w:rPr>
                    <w:t xml:space="preserve"> </w:t>
                  </w:r>
                  <w:r>
                    <w:rPr>
                      <w:color w:val="000000"/>
                    </w:rPr>
                    <w:t>and</w:t>
                  </w:r>
                  <w:r>
                    <w:rPr>
                      <w:color w:val="000000"/>
                      <w:spacing w:val="-14"/>
                    </w:rPr>
                    <w:t xml:space="preserve"> </w:t>
                  </w:r>
                  <w:r>
                    <w:rPr>
                      <w:color w:val="000000"/>
                    </w:rPr>
                    <w:t>dispose</w:t>
                  </w:r>
                  <w:r>
                    <w:rPr>
                      <w:color w:val="000000"/>
                      <w:spacing w:val="-14"/>
                    </w:rPr>
                    <w:t xml:space="preserve"> </w:t>
                  </w:r>
                  <w:r>
                    <w:rPr>
                      <w:color w:val="000000"/>
                    </w:rPr>
                    <w:t>of</w:t>
                  </w:r>
                  <w:r>
                    <w:rPr>
                      <w:color w:val="000000"/>
                      <w:spacing w:val="-14"/>
                    </w:rPr>
                    <w:t xml:space="preserve"> </w:t>
                  </w:r>
                  <w:r>
                    <w:rPr>
                      <w:color w:val="000000"/>
                    </w:rPr>
                    <w:t>surplus justice infrastructure in NSW.</w:t>
                  </w:r>
                </w:p>
                <w:p w:rsidR="00F22F94" w:rsidRDefault="00F22F94">
                  <w:pPr>
                    <w:pStyle w:val="BodyText"/>
                    <w:numPr>
                      <w:ilvl w:val="0"/>
                      <w:numId w:val="28"/>
                    </w:numPr>
                    <w:tabs>
                      <w:tab w:val="left" w:pos="511"/>
                    </w:tabs>
                    <w:spacing w:before="132" w:line="249" w:lineRule="auto"/>
                    <w:ind w:right="240"/>
                    <w:rPr>
                      <w:color w:val="000000"/>
                    </w:rPr>
                  </w:pPr>
                  <w:r>
                    <w:rPr>
                      <w:color w:val="000000"/>
                      <w:w w:val="95"/>
                    </w:rPr>
                    <w:t>The</w:t>
                  </w:r>
                  <w:r>
                    <w:rPr>
                      <w:color w:val="000000"/>
                      <w:spacing w:val="-4"/>
                      <w:w w:val="95"/>
                    </w:rPr>
                    <w:t xml:space="preserve"> </w:t>
                  </w:r>
                  <w:r>
                    <w:rPr>
                      <w:color w:val="000000"/>
                      <w:w w:val="95"/>
                    </w:rPr>
                    <w:t>NSW</w:t>
                  </w:r>
                  <w:r>
                    <w:rPr>
                      <w:color w:val="000000"/>
                      <w:spacing w:val="-4"/>
                      <w:w w:val="95"/>
                    </w:rPr>
                    <w:t xml:space="preserve"> </w:t>
                  </w:r>
                  <w:r>
                    <w:rPr>
                      <w:color w:val="000000"/>
                      <w:w w:val="95"/>
                    </w:rPr>
                    <w:t>Government</w:t>
                  </w:r>
                  <w:r>
                    <w:rPr>
                      <w:color w:val="000000"/>
                      <w:spacing w:val="-4"/>
                      <w:w w:val="95"/>
                    </w:rPr>
                    <w:t xml:space="preserve"> </w:t>
                  </w:r>
                  <w:r>
                    <w:rPr>
                      <w:color w:val="000000"/>
                      <w:w w:val="95"/>
                    </w:rPr>
                    <w:t>has</w:t>
                  </w:r>
                  <w:r>
                    <w:rPr>
                      <w:color w:val="000000"/>
                      <w:spacing w:val="-4"/>
                      <w:w w:val="95"/>
                    </w:rPr>
                    <w:t xml:space="preserve"> </w:t>
                  </w:r>
                  <w:r>
                    <w:rPr>
                      <w:color w:val="000000"/>
                      <w:w w:val="95"/>
                    </w:rPr>
                    <w:t>expanded</w:t>
                  </w:r>
                  <w:r>
                    <w:rPr>
                      <w:color w:val="000000"/>
                      <w:spacing w:val="-4"/>
                      <w:w w:val="95"/>
                    </w:rPr>
                    <w:t xml:space="preserve"> </w:t>
                  </w:r>
                  <w:r>
                    <w:rPr>
                      <w:color w:val="000000"/>
                      <w:w w:val="95"/>
                    </w:rPr>
                    <w:t>policing</w:t>
                  </w:r>
                  <w:r>
                    <w:rPr>
                      <w:color w:val="000000"/>
                      <w:spacing w:val="-4"/>
                      <w:w w:val="95"/>
                    </w:rPr>
                    <w:t xml:space="preserve"> </w:t>
                  </w:r>
                  <w:r>
                    <w:rPr>
                      <w:color w:val="000000"/>
                      <w:w w:val="95"/>
                    </w:rPr>
                    <w:t xml:space="preserve">with </w:t>
                  </w:r>
                  <w:r>
                    <w:rPr>
                      <w:color w:val="000000"/>
                    </w:rPr>
                    <w:t>more community and transport police presence; this</w:t>
                  </w:r>
                  <w:r>
                    <w:rPr>
                      <w:color w:val="000000"/>
                      <w:spacing w:val="-8"/>
                    </w:rPr>
                    <w:t xml:space="preserve"> </w:t>
                  </w:r>
                  <w:r>
                    <w:rPr>
                      <w:color w:val="000000"/>
                    </w:rPr>
                    <w:t>means</w:t>
                  </w:r>
                  <w:r>
                    <w:rPr>
                      <w:color w:val="000000"/>
                      <w:spacing w:val="-8"/>
                    </w:rPr>
                    <w:t xml:space="preserve"> </w:t>
                  </w:r>
                  <w:r>
                    <w:rPr>
                      <w:color w:val="000000"/>
                    </w:rPr>
                    <w:t>more</w:t>
                  </w:r>
                  <w:r>
                    <w:rPr>
                      <w:color w:val="000000"/>
                      <w:spacing w:val="-8"/>
                    </w:rPr>
                    <w:t xml:space="preserve"> </w:t>
                  </w:r>
                  <w:r>
                    <w:rPr>
                      <w:color w:val="000000"/>
                    </w:rPr>
                    <w:t>police</w:t>
                  </w:r>
                  <w:r>
                    <w:rPr>
                      <w:color w:val="000000"/>
                      <w:spacing w:val="-8"/>
                    </w:rPr>
                    <w:t xml:space="preserve"> </w:t>
                  </w:r>
                  <w:r>
                    <w:rPr>
                      <w:color w:val="000000"/>
                    </w:rPr>
                    <w:t>stations</w:t>
                  </w:r>
                  <w:r>
                    <w:rPr>
                      <w:color w:val="000000"/>
                      <w:spacing w:val="-8"/>
                    </w:rPr>
                    <w:t xml:space="preserve"> </w:t>
                  </w:r>
                  <w:r>
                    <w:rPr>
                      <w:color w:val="000000"/>
                    </w:rPr>
                    <w:t>are</w:t>
                  </w:r>
                  <w:r>
                    <w:rPr>
                      <w:color w:val="000000"/>
                      <w:spacing w:val="-8"/>
                    </w:rPr>
                    <w:t xml:space="preserve"> </w:t>
                  </w:r>
                  <w:r>
                    <w:rPr>
                      <w:color w:val="000000"/>
                    </w:rPr>
                    <w:t>needed.</w:t>
                  </w:r>
                </w:p>
                <w:p w:rsidR="00F22F94" w:rsidRDefault="00F22F94">
                  <w:pPr>
                    <w:pStyle w:val="BodyText"/>
                    <w:numPr>
                      <w:ilvl w:val="0"/>
                      <w:numId w:val="28"/>
                    </w:numPr>
                    <w:tabs>
                      <w:tab w:val="left" w:pos="511"/>
                    </w:tabs>
                    <w:spacing w:before="131" w:line="249" w:lineRule="auto"/>
                    <w:ind w:right="514"/>
                    <w:rPr>
                      <w:color w:val="000000"/>
                    </w:rPr>
                  </w:pPr>
                  <w:r>
                    <w:rPr>
                      <w:color w:val="000000"/>
                    </w:rPr>
                    <w:t>Infrastructure</w:t>
                  </w:r>
                  <w:r>
                    <w:rPr>
                      <w:color w:val="000000"/>
                      <w:spacing w:val="-14"/>
                    </w:rPr>
                    <w:t xml:space="preserve"> </w:t>
                  </w:r>
                  <w:r>
                    <w:rPr>
                      <w:color w:val="000000"/>
                    </w:rPr>
                    <w:t>NSW</w:t>
                  </w:r>
                  <w:r>
                    <w:rPr>
                      <w:color w:val="000000"/>
                      <w:spacing w:val="-14"/>
                    </w:rPr>
                    <w:t xml:space="preserve"> </w:t>
                  </w:r>
                  <w:r>
                    <w:rPr>
                      <w:color w:val="000000"/>
                    </w:rPr>
                    <w:t>recommends</w:t>
                  </w:r>
                  <w:r>
                    <w:rPr>
                      <w:color w:val="000000"/>
                      <w:spacing w:val="-14"/>
                    </w:rPr>
                    <w:t xml:space="preserve"> </w:t>
                  </w:r>
                  <w:r>
                    <w:rPr>
                      <w:color w:val="000000"/>
                    </w:rPr>
                    <w:t xml:space="preserve">repurposing </w:t>
                  </w:r>
                  <w:r>
                    <w:rPr>
                      <w:color w:val="000000"/>
                      <w:w w:val="95"/>
                    </w:rPr>
                    <w:t xml:space="preserve">underused Court Houses, which would provide </w:t>
                  </w:r>
                  <w:r>
                    <w:rPr>
                      <w:color w:val="000000"/>
                    </w:rPr>
                    <w:t>additional</w:t>
                  </w:r>
                  <w:r>
                    <w:rPr>
                      <w:color w:val="000000"/>
                      <w:spacing w:val="-1"/>
                    </w:rPr>
                    <w:t xml:space="preserve"> </w:t>
                  </w:r>
                  <w:r>
                    <w:rPr>
                      <w:color w:val="000000"/>
                    </w:rPr>
                    <w:t>capital</w:t>
                  </w:r>
                  <w:r>
                    <w:rPr>
                      <w:color w:val="000000"/>
                      <w:spacing w:val="-1"/>
                    </w:rPr>
                    <w:t xml:space="preserve"> </w:t>
                  </w:r>
                  <w:r>
                    <w:rPr>
                      <w:color w:val="000000"/>
                    </w:rPr>
                    <w:t>for</w:t>
                  </w:r>
                  <w:r>
                    <w:rPr>
                      <w:color w:val="000000"/>
                      <w:spacing w:val="-1"/>
                    </w:rPr>
                    <w:t xml:space="preserve"> </w:t>
                  </w:r>
                  <w:r>
                    <w:rPr>
                      <w:color w:val="000000"/>
                    </w:rPr>
                    <w:t>the</w:t>
                  </w:r>
                  <w:r>
                    <w:rPr>
                      <w:color w:val="000000"/>
                      <w:spacing w:val="-1"/>
                    </w:rPr>
                    <w:t xml:space="preserve"> </w:t>
                  </w:r>
                  <w:r>
                    <w:rPr>
                      <w:color w:val="000000"/>
                    </w:rPr>
                    <w:t>police</w:t>
                  </w:r>
                  <w:r>
                    <w:rPr>
                      <w:color w:val="000000"/>
                      <w:spacing w:val="-1"/>
                    </w:rPr>
                    <w:t xml:space="preserve"> </w:t>
                  </w:r>
                  <w:r>
                    <w:rPr>
                      <w:color w:val="000000"/>
                    </w:rPr>
                    <w:t>program.</w:t>
                  </w:r>
                </w:p>
                <w:p w:rsidR="00F22F94" w:rsidRDefault="00F22F94">
                  <w:pPr>
                    <w:pStyle w:val="BodyText"/>
                    <w:numPr>
                      <w:ilvl w:val="0"/>
                      <w:numId w:val="28"/>
                    </w:numPr>
                    <w:tabs>
                      <w:tab w:val="left" w:pos="511"/>
                    </w:tabs>
                    <w:spacing w:before="131" w:line="249" w:lineRule="auto"/>
                    <w:ind w:right="1241"/>
                    <w:rPr>
                      <w:color w:val="000000"/>
                    </w:rPr>
                  </w:pPr>
                  <w:r>
                    <w:rPr>
                      <w:color w:val="000000"/>
                      <w:w w:val="95"/>
                    </w:rPr>
                    <w:t>There</w:t>
                  </w:r>
                  <w:r>
                    <w:rPr>
                      <w:color w:val="000000"/>
                      <w:spacing w:val="-10"/>
                      <w:w w:val="95"/>
                    </w:rPr>
                    <w:t xml:space="preserve"> </w:t>
                  </w:r>
                  <w:r>
                    <w:rPr>
                      <w:color w:val="000000"/>
                      <w:w w:val="95"/>
                    </w:rPr>
                    <w:t>is</w:t>
                  </w:r>
                  <w:r>
                    <w:rPr>
                      <w:color w:val="000000"/>
                      <w:spacing w:val="-10"/>
                      <w:w w:val="95"/>
                    </w:rPr>
                    <w:t xml:space="preserve"> </w:t>
                  </w:r>
                  <w:r>
                    <w:rPr>
                      <w:color w:val="000000"/>
                      <w:w w:val="95"/>
                    </w:rPr>
                    <w:t>no</w:t>
                  </w:r>
                  <w:r>
                    <w:rPr>
                      <w:color w:val="000000"/>
                      <w:spacing w:val="-10"/>
                      <w:w w:val="95"/>
                    </w:rPr>
                    <w:t xml:space="preserve"> </w:t>
                  </w:r>
                  <w:r>
                    <w:rPr>
                      <w:color w:val="000000"/>
                      <w:w w:val="95"/>
                    </w:rPr>
                    <w:t>forecast</w:t>
                  </w:r>
                  <w:r>
                    <w:rPr>
                      <w:color w:val="000000"/>
                      <w:spacing w:val="-10"/>
                      <w:w w:val="95"/>
                    </w:rPr>
                    <w:t xml:space="preserve"> </w:t>
                  </w:r>
                  <w:r>
                    <w:rPr>
                      <w:color w:val="000000"/>
                      <w:w w:val="95"/>
                    </w:rPr>
                    <w:t>need</w:t>
                  </w:r>
                  <w:r>
                    <w:rPr>
                      <w:color w:val="000000"/>
                      <w:spacing w:val="-10"/>
                      <w:w w:val="95"/>
                    </w:rPr>
                    <w:t xml:space="preserve"> </w:t>
                  </w:r>
                  <w:r>
                    <w:rPr>
                      <w:color w:val="000000"/>
                      <w:w w:val="95"/>
                    </w:rPr>
                    <w:t>for</w:t>
                  </w:r>
                  <w:r>
                    <w:rPr>
                      <w:color w:val="000000"/>
                      <w:spacing w:val="-10"/>
                      <w:w w:val="95"/>
                    </w:rPr>
                    <w:t xml:space="preserve"> </w:t>
                  </w:r>
                  <w:r>
                    <w:rPr>
                      <w:color w:val="000000"/>
                      <w:w w:val="95"/>
                    </w:rPr>
                    <w:t>new</w:t>
                  </w:r>
                  <w:r>
                    <w:rPr>
                      <w:color w:val="000000"/>
                      <w:spacing w:val="-10"/>
                      <w:w w:val="95"/>
                    </w:rPr>
                    <w:t xml:space="preserve"> </w:t>
                  </w:r>
                  <w:r>
                    <w:rPr>
                      <w:color w:val="000000"/>
                      <w:w w:val="95"/>
                    </w:rPr>
                    <w:t xml:space="preserve">large </w:t>
                  </w:r>
                  <w:r>
                    <w:rPr>
                      <w:color w:val="000000"/>
                    </w:rPr>
                    <w:t>correctional</w:t>
                  </w:r>
                  <w:r>
                    <w:rPr>
                      <w:color w:val="000000"/>
                      <w:spacing w:val="-1"/>
                    </w:rPr>
                    <w:t xml:space="preserve"> </w:t>
                  </w:r>
                  <w:r>
                    <w:rPr>
                      <w:color w:val="000000"/>
                    </w:rPr>
                    <w:t>facilities.</w:t>
                  </w:r>
                  <w:r>
                    <w:rPr>
                      <w:color w:val="000000"/>
                      <w:spacing w:val="-1"/>
                    </w:rPr>
                    <w:t xml:space="preserve"> </w:t>
                  </w:r>
                  <w:r>
                    <w:rPr>
                      <w:color w:val="000000"/>
                    </w:rPr>
                    <w:t>Infrastructure</w:t>
                  </w:r>
                </w:p>
                <w:p w:rsidR="00F22F94" w:rsidRDefault="00F22F94">
                  <w:pPr>
                    <w:pStyle w:val="BodyText"/>
                    <w:spacing w:before="1" w:line="249" w:lineRule="auto"/>
                    <w:ind w:left="510" w:right="811"/>
                    <w:rPr>
                      <w:color w:val="000000"/>
                    </w:rPr>
                  </w:pPr>
                  <w:r>
                    <w:rPr>
                      <w:color w:val="000000"/>
                      <w:w w:val="95"/>
                    </w:rPr>
                    <w:t>NSW</w:t>
                  </w:r>
                  <w:r>
                    <w:rPr>
                      <w:color w:val="000000"/>
                      <w:spacing w:val="-7"/>
                      <w:w w:val="95"/>
                    </w:rPr>
                    <w:t xml:space="preserve"> </w:t>
                  </w:r>
                  <w:r>
                    <w:rPr>
                      <w:color w:val="000000"/>
                      <w:w w:val="95"/>
                    </w:rPr>
                    <w:t>recommends</w:t>
                  </w:r>
                  <w:r>
                    <w:rPr>
                      <w:color w:val="000000"/>
                      <w:spacing w:val="-7"/>
                      <w:w w:val="95"/>
                    </w:rPr>
                    <w:t xml:space="preserve"> </w:t>
                  </w:r>
                  <w:r>
                    <w:rPr>
                      <w:color w:val="000000"/>
                      <w:w w:val="95"/>
                    </w:rPr>
                    <w:t>a</w:t>
                  </w:r>
                  <w:r>
                    <w:rPr>
                      <w:color w:val="000000"/>
                      <w:spacing w:val="-7"/>
                      <w:w w:val="95"/>
                    </w:rPr>
                    <w:t xml:space="preserve"> </w:t>
                  </w:r>
                  <w:r>
                    <w:rPr>
                      <w:color w:val="000000"/>
                      <w:w w:val="95"/>
                    </w:rPr>
                    <w:t>review</w:t>
                  </w:r>
                  <w:r>
                    <w:rPr>
                      <w:color w:val="000000"/>
                      <w:spacing w:val="-7"/>
                      <w:w w:val="95"/>
                    </w:rPr>
                    <w:t xml:space="preserve"> </w:t>
                  </w:r>
                  <w:r>
                    <w:rPr>
                      <w:color w:val="000000"/>
                      <w:w w:val="95"/>
                    </w:rPr>
                    <w:t>of</w:t>
                  </w:r>
                  <w:r>
                    <w:rPr>
                      <w:color w:val="000000"/>
                      <w:spacing w:val="-7"/>
                      <w:w w:val="95"/>
                    </w:rPr>
                    <w:t xml:space="preserve"> </w:t>
                  </w:r>
                  <w:r>
                    <w:rPr>
                      <w:color w:val="000000"/>
                      <w:w w:val="95"/>
                    </w:rPr>
                    <w:t>the</w:t>
                  </w:r>
                  <w:r>
                    <w:rPr>
                      <w:color w:val="000000"/>
                      <w:spacing w:val="-7"/>
                      <w:w w:val="95"/>
                    </w:rPr>
                    <w:t xml:space="preserve"> </w:t>
                  </w:r>
                  <w:r>
                    <w:rPr>
                      <w:color w:val="000000"/>
                      <w:w w:val="95"/>
                    </w:rPr>
                    <w:t xml:space="preserve">benefits </w:t>
                  </w:r>
                  <w:r>
                    <w:rPr>
                      <w:color w:val="000000"/>
                    </w:rPr>
                    <w:t>of</w:t>
                  </w:r>
                  <w:r>
                    <w:rPr>
                      <w:color w:val="000000"/>
                      <w:spacing w:val="-4"/>
                    </w:rPr>
                    <w:t xml:space="preserve"> </w:t>
                  </w:r>
                  <w:r>
                    <w:rPr>
                      <w:color w:val="000000"/>
                    </w:rPr>
                    <w:t>a</w:t>
                  </w:r>
                  <w:r>
                    <w:rPr>
                      <w:color w:val="000000"/>
                      <w:spacing w:val="-4"/>
                    </w:rPr>
                    <w:t xml:space="preserve"> </w:t>
                  </w:r>
                  <w:r>
                    <w:rPr>
                      <w:color w:val="000000"/>
                    </w:rPr>
                    <w:t>full</w:t>
                  </w:r>
                  <w:r>
                    <w:rPr>
                      <w:color w:val="000000"/>
                      <w:spacing w:val="-4"/>
                    </w:rPr>
                    <w:t xml:space="preserve"> </w:t>
                  </w:r>
                  <w:r>
                    <w:rPr>
                      <w:color w:val="000000"/>
                    </w:rPr>
                    <w:t>service</w:t>
                  </w:r>
                  <w:r>
                    <w:rPr>
                      <w:color w:val="000000"/>
                      <w:spacing w:val="-4"/>
                    </w:rPr>
                    <w:t xml:space="preserve"> </w:t>
                  </w:r>
                  <w:r>
                    <w:rPr>
                      <w:color w:val="000000"/>
                    </w:rPr>
                    <w:t>outsourcing</w:t>
                  </w:r>
                  <w:r>
                    <w:rPr>
                      <w:color w:val="000000"/>
                      <w:spacing w:val="-4"/>
                    </w:rPr>
                    <w:t xml:space="preserve"> </w:t>
                  </w:r>
                  <w:r>
                    <w:rPr>
                      <w:color w:val="000000"/>
                    </w:rPr>
                    <w:t>model</w:t>
                  </w:r>
                  <w:r>
                    <w:rPr>
                      <w:color w:val="000000"/>
                      <w:spacing w:val="-4"/>
                    </w:rPr>
                    <w:t xml:space="preserve"> </w:t>
                  </w:r>
                  <w:r>
                    <w:rPr>
                      <w:color w:val="000000"/>
                    </w:rPr>
                    <w:t>for correctional</w:t>
                  </w:r>
                  <w:r>
                    <w:rPr>
                      <w:color w:val="000000"/>
                      <w:spacing w:val="-11"/>
                    </w:rPr>
                    <w:t xml:space="preserve"> </w:t>
                  </w:r>
                  <w:r>
                    <w:rPr>
                      <w:color w:val="000000"/>
                    </w:rPr>
                    <w:t>facilities.</w:t>
                  </w:r>
                </w:p>
              </w:txbxContent>
            </v:textbox>
            <w10:wrap anchorx="page"/>
          </v:shape>
        </w:pict>
      </w:r>
      <w:r w:rsidR="00F22F94">
        <w:rPr>
          <w:color w:val="00AEEF"/>
          <w:w w:val="95"/>
        </w:rPr>
        <w:t>Justice</w:t>
      </w:r>
      <w:r w:rsidR="00F22F94">
        <w:rPr>
          <w:color w:val="00AEEF"/>
          <w:spacing w:val="4"/>
        </w:rPr>
        <w:t xml:space="preserve"> </w:t>
      </w:r>
      <w:r w:rsidR="00F22F94">
        <w:rPr>
          <w:color w:val="00AEEF"/>
          <w:spacing w:val="-2"/>
        </w:rPr>
        <w:t>snapshot</w:t>
      </w:r>
    </w:p>
    <w:p w:rsidR="002C1123" w:rsidRDefault="00F22F94">
      <w:pPr>
        <w:pStyle w:val="ListParagraph"/>
        <w:numPr>
          <w:ilvl w:val="3"/>
          <w:numId w:val="33"/>
        </w:numPr>
        <w:tabs>
          <w:tab w:val="left" w:pos="776"/>
        </w:tabs>
        <w:spacing w:before="83" w:line="249" w:lineRule="auto"/>
        <w:ind w:right="504"/>
        <w:rPr>
          <w:sz w:val="20"/>
        </w:rPr>
      </w:pPr>
      <w:r>
        <w:rPr>
          <w:w w:val="95"/>
          <w:sz w:val="20"/>
        </w:rPr>
        <w:t>The</w:t>
      </w:r>
      <w:r>
        <w:rPr>
          <w:spacing w:val="-12"/>
          <w:w w:val="95"/>
          <w:sz w:val="20"/>
        </w:rPr>
        <w:t xml:space="preserve"> </w:t>
      </w:r>
      <w:r>
        <w:rPr>
          <w:w w:val="95"/>
          <w:sz w:val="20"/>
        </w:rPr>
        <w:t>NSW</w:t>
      </w:r>
      <w:r>
        <w:rPr>
          <w:spacing w:val="-11"/>
          <w:w w:val="95"/>
          <w:sz w:val="20"/>
        </w:rPr>
        <w:t xml:space="preserve"> </w:t>
      </w:r>
      <w:r>
        <w:rPr>
          <w:w w:val="95"/>
          <w:sz w:val="20"/>
        </w:rPr>
        <w:t>Government</w:t>
      </w:r>
      <w:r>
        <w:rPr>
          <w:spacing w:val="-11"/>
          <w:w w:val="95"/>
          <w:sz w:val="20"/>
        </w:rPr>
        <w:t xml:space="preserve"> </w:t>
      </w:r>
      <w:r>
        <w:rPr>
          <w:w w:val="95"/>
          <w:sz w:val="20"/>
        </w:rPr>
        <w:t>has</w:t>
      </w:r>
      <w:r>
        <w:rPr>
          <w:spacing w:val="-11"/>
          <w:w w:val="95"/>
          <w:sz w:val="20"/>
        </w:rPr>
        <w:t xml:space="preserve"> </w:t>
      </w:r>
      <w:r>
        <w:rPr>
          <w:w w:val="95"/>
          <w:sz w:val="20"/>
        </w:rPr>
        <w:t>$5</w:t>
      </w:r>
      <w:r>
        <w:rPr>
          <w:spacing w:val="-11"/>
          <w:w w:val="95"/>
          <w:sz w:val="20"/>
        </w:rPr>
        <w:t xml:space="preserve"> </w:t>
      </w:r>
      <w:r>
        <w:rPr>
          <w:w w:val="95"/>
          <w:sz w:val="20"/>
        </w:rPr>
        <w:t>billion</w:t>
      </w:r>
      <w:r>
        <w:rPr>
          <w:spacing w:val="-11"/>
          <w:w w:val="95"/>
          <w:sz w:val="20"/>
        </w:rPr>
        <w:t xml:space="preserve"> </w:t>
      </w:r>
      <w:r>
        <w:rPr>
          <w:w w:val="95"/>
          <w:sz w:val="20"/>
        </w:rPr>
        <w:t>invested</w:t>
      </w:r>
      <w:r>
        <w:rPr>
          <w:spacing w:val="-11"/>
          <w:w w:val="95"/>
          <w:sz w:val="20"/>
        </w:rPr>
        <w:t xml:space="preserve"> </w:t>
      </w:r>
      <w:r>
        <w:rPr>
          <w:w w:val="95"/>
          <w:sz w:val="20"/>
        </w:rPr>
        <w:t xml:space="preserve">in </w:t>
      </w:r>
      <w:r>
        <w:rPr>
          <w:sz w:val="20"/>
        </w:rPr>
        <w:t>justice</w:t>
      </w:r>
      <w:r>
        <w:rPr>
          <w:spacing w:val="-11"/>
          <w:sz w:val="20"/>
        </w:rPr>
        <w:t xml:space="preserve"> </w:t>
      </w:r>
      <w:r>
        <w:rPr>
          <w:sz w:val="20"/>
        </w:rPr>
        <w:t>assets.</w:t>
      </w:r>
    </w:p>
    <w:p w:rsidR="002C1123" w:rsidRDefault="00F22F94">
      <w:pPr>
        <w:pStyle w:val="ListParagraph"/>
        <w:numPr>
          <w:ilvl w:val="3"/>
          <w:numId w:val="33"/>
        </w:numPr>
        <w:tabs>
          <w:tab w:val="left" w:pos="776"/>
        </w:tabs>
        <w:spacing w:before="130" w:line="249" w:lineRule="auto"/>
        <w:ind w:right="353"/>
        <w:rPr>
          <w:sz w:val="20"/>
        </w:rPr>
      </w:pPr>
      <w:r>
        <w:rPr>
          <w:w w:val="95"/>
          <w:sz w:val="20"/>
        </w:rPr>
        <w:t>Justice</w:t>
      </w:r>
      <w:r>
        <w:rPr>
          <w:spacing w:val="-3"/>
          <w:w w:val="95"/>
          <w:sz w:val="20"/>
        </w:rPr>
        <w:t xml:space="preserve"> </w:t>
      </w:r>
      <w:r>
        <w:rPr>
          <w:w w:val="95"/>
          <w:sz w:val="20"/>
        </w:rPr>
        <w:t>infrastructure</w:t>
      </w:r>
      <w:r>
        <w:rPr>
          <w:spacing w:val="-3"/>
          <w:w w:val="95"/>
          <w:sz w:val="20"/>
        </w:rPr>
        <w:t xml:space="preserve"> </w:t>
      </w:r>
      <w:r>
        <w:rPr>
          <w:w w:val="95"/>
          <w:sz w:val="20"/>
        </w:rPr>
        <w:t>includes</w:t>
      </w:r>
      <w:r>
        <w:rPr>
          <w:spacing w:val="-3"/>
          <w:w w:val="95"/>
          <w:sz w:val="20"/>
        </w:rPr>
        <w:t xml:space="preserve"> </w:t>
      </w:r>
      <w:r>
        <w:rPr>
          <w:w w:val="95"/>
          <w:sz w:val="20"/>
        </w:rPr>
        <w:t>163</w:t>
      </w:r>
      <w:r>
        <w:rPr>
          <w:spacing w:val="-3"/>
          <w:w w:val="95"/>
          <w:sz w:val="20"/>
        </w:rPr>
        <w:t xml:space="preserve"> </w:t>
      </w:r>
      <w:r>
        <w:rPr>
          <w:w w:val="95"/>
          <w:sz w:val="20"/>
        </w:rPr>
        <w:t>court</w:t>
      </w:r>
      <w:r>
        <w:rPr>
          <w:spacing w:val="-3"/>
          <w:w w:val="95"/>
          <w:sz w:val="20"/>
        </w:rPr>
        <w:t xml:space="preserve"> </w:t>
      </w:r>
      <w:r>
        <w:rPr>
          <w:w w:val="95"/>
          <w:sz w:val="20"/>
        </w:rPr>
        <w:t xml:space="preserve">facilities, </w:t>
      </w:r>
      <w:r>
        <w:rPr>
          <w:sz w:val="20"/>
        </w:rPr>
        <w:t>33</w:t>
      </w:r>
      <w:r>
        <w:rPr>
          <w:spacing w:val="-12"/>
          <w:sz w:val="20"/>
        </w:rPr>
        <w:t xml:space="preserve"> </w:t>
      </w:r>
      <w:r>
        <w:rPr>
          <w:sz w:val="20"/>
        </w:rPr>
        <w:t>correctional</w:t>
      </w:r>
      <w:r>
        <w:rPr>
          <w:spacing w:val="-12"/>
          <w:sz w:val="20"/>
        </w:rPr>
        <w:t xml:space="preserve"> </w:t>
      </w:r>
      <w:r>
        <w:rPr>
          <w:sz w:val="20"/>
        </w:rPr>
        <w:t>centres,</w:t>
      </w:r>
      <w:r>
        <w:rPr>
          <w:spacing w:val="-12"/>
          <w:sz w:val="20"/>
        </w:rPr>
        <w:t xml:space="preserve"> </w:t>
      </w:r>
      <w:r>
        <w:rPr>
          <w:sz w:val="20"/>
        </w:rPr>
        <w:t>nine</w:t>
      </w:r>
      <w:r>
        <w:rPr>
          <w:spacing w:val="-12"/>
          <w:sz w:val="20"/>
        </w:rPr>
        <w:t xml:space="preserve"> </w:t>
      </w:r>
      <w:r>
        <w:rPr>
          <w:sz w:val="20"/>
        </w:rPr>
        <w:t>juvenile</w:t>
      </w:r>
      <w:r>
        <w:rPr>
          <w:spacing w:val="-12"/>
          <w:sz w:val="20"/>
        </w:rPr>
        <w:t xml:space="preserve"> </w:t>
      </w:r>
      <w:r>
        <w:rPr>
          <w:sz w:val="20"/>
        </w:rPr>
        <w:t>custodial centres</w:t>
      </w:r>
      <w:r>
        <w:rPr>
          <w:spacing w:val="-14"/>
          <w:sz w:val="20"/>
        </w:rPr>
        <w:t xml:space="preserve"> </w:t>
      </w:r>
      <w:r>
        <w:rPr>
          <w:sz w:val="20"/>
        </w:rPr>
        <w:t>(two</w:t>
      </w:r>
      <w:r>
        <w:rPr>
          <w:spacing w:val="-14"/>
          <w:sz w:val="20"/>
        </w:rPr>
        <w:t xml:space="preserve"> </w:t>
      </w:r>
      <w:r>
        <w:rPr>
          <w:sz w:val="20"/>
        </w:rPr>
        <w:t>will</w:t>
      </w:r>
      <w:r>
        <w:rPr>
          <w:spacing w:val="-14"/>
          <w:sz w:val="20"/>
        </w:rPr>
        <w:t xml:space="preserve"> </w:t>
      </w:r>
      <w:r>
        <w:rPr>
          <w:sz w:val="20"/>
        </w:rPr>
        <w:t>be</w:t>
      </w:r>
      <w:r>
        <w:rPr>
          <w:spacing w:val="-14"/>
          <w:sz w:val="20"/>
        </w:rPr>
        <w:t xml:space="preserve"> </w:t>
      </w:r>
      <w:r>
        <w:rPr>
          <w:sz w:val="20"/>
        </w:rPr>
        <w:t>closed</w:t>
      </w:r>
      <w:r>
        <w:rPr>
          <w:spacing w:val="-14"/>
          <w:sz w:val="20"/>
        </w:rPr>
        <w:t xml:space="preserve"> </w:t>
      </w:r>
      <w:r>
        <w:rPr>
          <w:sz w:val="20"/>
        </w:rPr>
        <w:t>in</w:t>
      </w:r>
      <w:r>
        <w:rPr>
          <w:spacing w:val="-14"/>
          <w:sz w:val="20"/>
        </w:rPr>
        <w:t xml:space="preserve"> </w:t>
      </w:r>
      <w:r>
        <w:rPr>
          <w:sz w:val="20"/>
        </w:rPr>
        <w:t>2012-13)</w:t>
      </w:r>
      <w:r>
        <w:rPr>
          <w:spacing w:val="-14"/>
          <w:sz w:val="20"/>
        </w:rPr>
        <w:t xml:space="preserve"> </w:t>
      </w:r>
      <w:r>
        <w:rPr>
          <w:sz w:val="20"/>
        </w:rPr>
        <w:t>and</w:t>
      </w:r>
    </w:p>
    <w:p w:rsidR="002C1123" w:rsidRDefault="00F22F94">
      <w:pPr>
        <w:pStyle w:val="BodyText"/>
        <w:spacing w:before="2"/>
        <w:ind w:left="775"/>
      </w:pPr>
      <w:r>
        <w:rPr>
          <w:w w:val="95"/>
        </w:rPr>
        <w:t>1,500</w:t>
      </w:r>
      <w:r>
        <w:rPr>
          <w:spacing w:val="-4"/>
          <w:w w:val="95"/>
        </w:rPr>
        <w:t xml:space="preserve"> </w:t>
      </w:r>
      <w:r>
        <w:rPr>
          <w:w w:val="95"/>
        </w:rPr>
        <w:t>police</w:t>
      </w:r>
      <w:r>
        <w:rPr>
          <w:spacing w:val="-3"/>
          <w:w w:val="95"/>
        </w:rPr>
        <w:t xml:space="preserve"> </w:t>
      </w:r>
      <w:r>
        <w:rPr>
          <w:w w:val="95"/>
        </w:rPr>
        <w:t>stations</w:t>
      </w:r>
      <w:r>
        <w:rPr>
          <w:spacing w:val="-4"/>
          <w:w w:val="95"/>
        </w:rPr>
        <w:t xml:space="preserve"> </w:t>
      </w:r>
      <w:r>
        <w:rPr>
          <w:w w:val="95"/>
        </w:rPr>
        <w:t>and</w:t>
      </w:r>
      <w:r>
        <w:rPr>
          <w:spacing w:val="-3"/>
          <w:w w:val="95"/>
        </w:rPr>
        <w:t xml:space="preserve"> </w:t>
      </w:r>
      <w:r>
        <w:rPr>
          <w:spacing w:val="-2"/>
          <w:w w:val="95"/>
        </w:rPr>
        <w:t>residences.</w:t>
      </w:r>
    </w:p>
    <w:p w:rsidR="002C1123" w:rsidRDefault="00F22F94">
      <w:pPr>
        <w:pStyle w:val="ListParagraph"/>
        <w:numPr>
          <w:ilvl w:val="3"/>
          <w:numId w:val="33"/>
        </w:numPr>
        <w:tabs>
          <w:tab w:val="left" w:pos="776"/>
        </w:tabs>
        <w:spacing w:before="140" w:line="249" w:lineRule="auto"/>
        <w:ind w:right="520"/>
        <w:rPr>
          <w:sz w:val="20"/>
        </w:rPr>
      </w:pPr>
      <w:r>
        <w:rPr>
          <w:w w:val="95"/>
          <w:sz w:val="20"/>
        </w:rPr>
        <w:t xml:space="preserve">Capital expenditure has averaged $324 million </w:t>
      </w:r>
      <w:r>
        <w:rPr>
          <w:sz w:val="20"/>
        </w:rPr>
        <w:t>per</w:t>
      </w:r>
      <w:r>
        <w:rPr>
          <w:spacing w:val="-10"/>
          <w:sz w:val="20"/>
        </w:rPr>
        <w:t xml:space="preserve"> </w:t>
      </w:r>
      <w:r>
        <w:rPr>
          <w:sz w:val="20"/>
        </w:rPr>
        <w:t>annum</w:t>
      </w:r>
      <w:r>
        <w:rPr>
          <w:spacing w:val="-11"/>
          <w:sz w:val="20"/>
        </w:rPr>
        <w:t xml:space="preserve"> </w:t>
      </w:r>
      <w:r>
        <w:rPr>
          <w:sz w:val="20"/>
        </w:rPr>
        <w:t>over</w:t>
      </w:r>
      <w:r>
        <w:rPr>
          <w:spacing w:val="-10"/>
          <w:sz w:val="20"/>
        </w:rPr>
        <w:t xml:space="preserve"> </w:t>
      </w:r>
      <w:r>
        <w:rPr>
          <w:sz w:val="20"/>
        </w:rPr>
        <w:t>the</w:t>
      </w:r>
      <w:r>
        <w:rPr>
          <w:spacing w:val="-10"/>
          <w:sz w:val="20"/>
        </w:rPr>
        <w:t xml:space="preserve"> </w:t>
      </w:r>
      <w:r>
        <w:rPr>
          <w:sz w:val="20"/>
        </w:rPr>
        <w:t>last</w:t>
      </w:r>
      <w:r>
        <w:rPr>
          <w:spacing w:val="-10"/>
          <w:sz w:val="20"/>
        </w:rPr>
        <w:t xml:space="preserve"> </w:t>
      </w:r>
      <w:r>
        <w:rPr>
          <w:sz w:val="20"/>
        </w:rPr>
        <w:t>10</w:t>
      </w:r>
      <w:r>
        <w:rPr>
          <w:spacing w:val="-10"/>
          <w:sz w:val="20"/>
        </w:rPr>
        <w:t xml:space="preserve"> </w:t>
      </w:r>
      <w:r>
        <w:rPr>
          <w:sz w:val="20"/>
        </w:rPr>
        <w:t>years</w:t>
      </w:r>
      <w:r>
        <w:rPr>
          <w:spacing w:val="-10"/>
          <w:sz w:val="20"/>
        </w:rPr>
        <w:t xml:space="preserve"> </w:t>
      </w:r>
      <w:r>
        <w:rPr>
          <w:sz w:val="20"/>
        </w:rPr>
        <w:t>but</w:t>
      </w:r>
      <w:r>
        <w:rPr>
          <w:spacing w:val="-10"/>
          <w:sz w:val="20"/>
        </w:rPr>
        <w:t xml:space="preserve"> </w:t>
      </w:r>
      <w:r>
        <w:rPr>
          <w:sz w:val="20"/>
        </w:rPr>
        <w:t xml:space="preserve">forecast </w:t>
      </w:r>
      <w:r>
        <w:rPr>
          <w:w w:val="95"/>
          <w:sz w:val="20"/>
        </w:rPr>
        <w:t>expenditure</w:t>
      </w:r>
      <w:r>
        <w:rPr>
          <w:spacing w:val="-8"/>
          <w:w w:val="95"/>
          <w:sz w:val="20"/>
        </w:rPr>
        <w:t xml:space="preserve"> </w:t>
      </w:r>
      <w:r>
        <w:rPr>
          <w:w w:val="95"/>
          <w:sz w:val="20"/>
        </w:rPr>
        <w:t>over</w:t>
      </w:r>
      <w:r>
        <w:rPr>
          <w:spacing w:val="-8"/>
          <w:w w:val="95"/>
          <w:sz w:val="20"/>
        </w:rPr>
        <w:t xml:space="preserve"> </w:t>
      </w:r>
      <w:r>
        <w:rPr>
          <w:w w:val="95"/>
          <w:sz w:val="20"/>
        </w:rPr>
        <w:t>the</w:t>
      </w:r>
      <w:r>
        <w:rPr>
          <w:spacing w:val="-8"/>
          <w:w w:val="95"/>
          <w:sz w:val="20"/>
        </w:rPr>
        <w:t xml:space="preserve"> </w:t>
      </w:r>
      <w:r>
        <w:rPr>
          <w:w w:val="95"/>
          <w:sz w:val="20"/>
        </w:rPr>
        <w:t>budget</w:t>
      </w:r>
      <w:r>
        <w:rPr>
          <w:spacing w:val="-8"/>
          <w:w w:val="95"/>
          <w:sz w:val="20"/>
        </w:rPr>
        <w:t xml:space="preserve"> </w:t>
      </w:r>
      <w:r>
        <w:rPr>
          <w:w w:val="95"/>
          <w:sz w:val="20"/>
        </w:rPr>
        <w:t>estimates</w:t>
      </w:r>
      <w:r>
        <w:rPr>
          <w:spacing w:val="-8"/>
          <w:w w:val="95"/>
          <w:sz w:val="20"/>
        </w:rPr>
        <w:t xml:space="preserve"> </w:t>
      </w:r>
      <w:r>
        <w:rPr>
          <w:w w:val="95"/>
          <w:sz w:val="20"/>
        </w:rPr>
        <w:t>is</w:t>
      </w:r>
      <w:r>
        <w:rPr>
          <w:spacing w:val="-8"/>
          <w:w w:val="95"/>
          <w:sz w:val="20"/>
        </w:rPr>
        <w:t xml:space="preserve"> </w:t>
      </w:r>
      <w:r>
        <w:rPr>
          <w:w w:val="95"/>
          <w:sz w:val="20"/>
        </w:rPr>
        <w:t xml:space="preserve">nearly </w:t>
      </w:r>
      <w:r>
        <w:rPr>
          <w:sz w:val="20"/>
        </w:rPr>
        <w:t>25</w:t>
      </w:r>
      <w:r>
        <w:rPr>
          <w:spacing w:val="-7"/>
          <w:sz w:val="20"/>
        </w:rPr>
        <w:t xml:space="preserve"> </w:t>
      </w:r>
      <w:r>
        <w:rPr>
          <w:sz w:val="20"/>
        </w:rPr>
        <w:t>percent</w:t>
      </w:r>
      <w:r>
        <w:rPr>
          <w:spacing w:val="-7"/>
          <w:sz w:val="20"/>
        </w:rPr>
        <w:t xml:space="preserve"> </w:t>
      </w:r>
      <w:r>
        <w:rPr>
          <w:sz w:val="20"/>
        </w:rPr>
        <w:t>lower</w:t>
      </w:r>
      <w:r>
        <w:rPr>
          <w:spacing w:val="-7"/>
          <w:sz w:val="20"/>
        </w:rPr>
        <w:t xml:space="preserve"> </w:t>
      </w:r>
      <w:r>
        <w:rPr>
          <w:sz w:val="20"/>
        </w:rPr>
        <w:t>at</w:t>
      </w:r>
      <w:r>
        <w:rPr>
          <w:spacing w:val="-7"/>
          <w:sz w:val="20"/>
        </w:rPr>
        <w:t xml:space="preserve"> </w:t>
      </w:r>
      <w:r>
        <w:rPr>
          <w:sz w:val="20"/>
        </w:rPr>
        <w:t>$263</w:t>
      </w:r>
      <w:r>
        <w:rPr>
          <w:spacing w:val="-7"/>
          <w:sz w:val="20"/>
        </w:rPr>
        <w:t xml:space="preserve"> </w:t>
      </w:r>
      <w:r>
        <w:rPr>
          <w:sz w:val="20"/>
        </w:rPr>
        <w:t>million</w:t>
      </w:r>
      <w:r>
        <w:rPr>
          <w:spacing w:val="-7"/>
          <w:sz w:val="20"/>
        </w:rPr>
        <w:t xml:space="preserve"> </w:t>
      </w:r>
      <w:r>
        <w:rPr>
          <w:sz w:val="20"/>
        </w:rPr>
        <w:t>per</w:t>
      </w:r>
      <w:r>
        <w:rPr>
          <w:spacing w:val="-7"/>
          <w:sz w:val="20"/>
        </w:rPr>
        <w:t xml:space="preserve"> </w:t>
      </w:r>
      <w:r>
        <w:rPr>
          <w:sz w:val="20"/>
        </w:rPr>
        <w:t>annum.</w:t>
      </w:r>
    </w:p>
    <w:p w:rsidR="002C1123" w:rsidRDefault="00F22F94">
      <w:pPr>
        <w:pStyle w:val="ListParagraph"/>
        <w:numPr>
          <w:ilvl w:val="3"/>
          <w:numId w:val="33"/>
        </w:numPr>
        <w:tabs>
          <w:tab w:val="left" w:pos="776"/>
        </w:tabs>
        <w:spacing w:before="132" w:line="249" w:lineRule="auto"/>
        <w:rPr>
          <w:sz w:val="20"/>
        </w:rPr>
      </w:pPr>
      <w:r>
        <w:rPr>
          <w:sz w:val="20"/>
        </w:rPr>
        <w:t>Less</w:t>
      </w:r>
      <w:r>
        <w:rPr>
          <w:spacing w:val="-14"/>
          <w:sz w:val="20"/>
        </w:rPr>
        <w:t xml:space="preserve"> </w:t>
      </w:r>
      <w:r>
        <w:rPr>
          <w:sz w:val="20"/>
        </w:rPr>
        <w:t>investment</w:t>
      </w:r>
      <w:r>
        <w:rPr>
          <w:spacing w:val="-14"/>
          <w:sz w:val="20"/>
        </w:rPr>
        <w:t xml:space="preserve"> </w:t>
      </w:r>
      <w:r>
        <w:rPr>
          <w:sz w:val="20"/>
        </w:rPr>
        <w:t>is</w:t>
      </w:r>
      <w:r>
        <w:rPr>
          <w:spacing w:val="-14"/>
          <w:sz w:val="20"/>
        </w:rPr>
        <w:t xml:space="preserve"> </w:t>
      </w:r>
      <w:r>
        <w:rPr>
          <w:sz w:val="20"/>
        </w:rPr>
        <w:t>needed</w:t>
      </w:r>
      <w:r>
        <w:rPr>
          <w:spacing w:val="-13"/>
          <w:sz w:val="20"/>
        </w:rPr>
        <w:t xml:space="preserve"> </w:t>
      </w:r>
      <w:r>
        <w:rPr>
          <w:sz w:val="20"/>
        </w:rPr>
        <w:t>over</w:t>
      </w:r>
      <w:r>
        <w:rPr>
          <w:spacing w:val="-14"/>
          <w:sz w:val="20"/>
        </w:rPr>
        <w:t xml:space="preserve"> </w:t>
      </w:r>
      <w:r>
        <w:rPr>
          <w:sz w:val="20"/>
        </w:rPr>
        <w:t>the</w:t>
      </w:r>
      <w:r>
        <w:rPr>
          <w:spacing w:val="-14"/>
          <w:sz w:val="20"/>
        </w:rPr>
        <w:t xml:space="preserve"> </w:t>
      </w:r>
      <w:r>
        <w:rPr>
          <w:sz w:val="20"/>
        </w:rPr>
        <w:t>next</w:t>
      </w:r>
      <w:r>
        <w:rPr>
          <w:spacing w:val="-14"/>
          <w:sz w:val="20"/>
        </w:rPr>
        <w:t xml:space="preserve"> </w:t>
      </w:r>
      <w:r>
        <w:rPr>
          <w:sz w:val="20"/>
        </w:rPr>
        <w:t>20</w:t>
      </w:r>
      <w:r>
        <w:rPr>
          <w:spacing w:val="-13"/>
          <w:sz w:val="20"/>
        </w:rPr>
        <w:t xml:space="preserve"> </w:t>
      </w:r>
      <w:r>
        <w:rPr>
          <w:sz w:val="20"/>
        </w:rPr>
        <w:t xml:space="preserve">years </w:t>
      </w:r>
      <w:r>
        <w:rPr>
          <w:w w:val="95"/>
          <w:sz w:val="20"/>
        </w:rPr>
        <w:t xml:space="preserve">because existing infrastructure largely meets existing </w:t>
      </w:r>
      <w:r>
        <w:rPr>
          <w:sz w:val="20"/>
        </w:rPr>
        <w:t>demand</w:t>
      </w:r>
      <w:r>
        <w:rPr>
          <w:spacing w:val="-11"/>
          <w:sz w:val="20"/>
        </w:rPr>
        <w:t xml:space="preserve"> </w:t>
      </w:r>
      <w:r>
        <w:rPr>
          <w:sz w:val="20"/>
        </w:rPr>
        <w:t>and</w:t>
      </w:r>
      <w:r>
        <w:rPr>
          <w:spacing w:val="-11"/>
          <w:sz w:val="20"/>
        </w:rPr>
        <w:t xml:space="preserve"> </w:t>
      </w:r>
      <w:r>
        <w:rPr>
          <w:sz w:val="20"/>
        </w:rPr>
        <w:t>ICT</w:t>
      </w:r>
      <w:r>
        <w:rPr>
          <w:spacing w:val="-11"/>
          <w:sz w:val="20"/>
        </w:rPr>
        <w:t xml:space="preserve"> </w:t>
      </w:r>
      <w:r>
        <w:rPr>
          <w:sz w:val="20"/>
        </w:rPr>
        <w:t>is</w:t>
      </w:r>
      <w:r>
        <w:rPr>
          <w:spacing w:val="-11"/>
          <w:sz w:val="20"/>
        </w:rPr>
        <w:t xml:space="preserve"> </w:t>
      </w:r>
      <w:r>
        <w:rPr>
          <w:sz w:val="20"/>
        </w:rPr>
        <w:t>facilitating</w:t>
      </w:r>
      <w:r>
        <w:rPr>
          <w:spacing w:val="-11"/>
          <w:sz w:val="20"/>
        </w:rPr>
        <w:t xml:space="preserve"> </w:t>
      </w:r>
      <w:r>
        <w:rPr>
          <w:sz w:val="20"/>
        </w:rPr>
        <w:t>improved</w:t>
      </w:r>
      <w:r>
        <w:rPr>
          <w:spacing w:val="-11"/>
          <w:sz w:val="20"/>
        </w:rPr>
        <w:t xml:space="preserve"> </w:t>
      </w:r>
      <w:r>
        <w:rPr>
          <w:sz w:val="20"/>
        </w:rPr>
        <w:t>access</w:t>
      </w:r>
      <w:r>
        <w:rPr>
          <w:spacing w:val="-11"/>
          <w:sz w:val="20"/>
        </w:rPr>
        <w:t xml:space="preserve"> </w:t>
      </w:r>
      <w:r>
        <w:rPr>
          <w:sz w:val="20"/>
        </w:rPr>
        <w:t xml:space="preserve">to </w:t>
      </w:r>
      <w:r>
        <w:rPr>
          <w:w w:val="95"/>
          <w:sz w:val="20"/>
        </w:rPr>
        <w:t xml:space="preserve">services with less reliance on physical infrastructure. </w:t>
      </w:r>
      <w:r>
        <w:rPr>
          <w:sz w:val="20"/>
        </w:rPr>
        <w:t>Some</w:t>
      </w:r>
      <w:r>
        <w:rPr>
          <w:spacing w:val="-12"/>
          <w:sz w:val="20"/>
        </w:rPr>
        <w:t xml:space="preserve"> </w:t>
      </w:r>
      <w:r>
        <w:rPr>
          <w:sz w:val="20"/>
        </w:rPr>
        <w:t>assets</w:t>
      </w:r>
      <w:r>
        <w:rPr>
          <w:spacing w:val="-12"/>
          <w:sz w:val="20"/>
        </w:rPr>
        <w:t xml:space="preserve"> </w:t>
      </w:r>
      <w:r>
        <w:rPr>
          <w:sz w:val="20"/>
        </w:rPr>
        <w:t>are</w:t>
      </w:r>
      <w:r>
        <w:rPr>
          <w:spacing w:val="-12"/>
          <w:sz w:val="20"/>
        </w:rPr>
        <w:t xml:space="preserve"> </w:t>
      </w:r>
      <w:r>
        <w:rPr>
          <w:sz w:val="20"/>
        </w:rPr>
        <w:t>already</w:t>
      </w:r>
      <w:r>
        <w:rPr>
          <w:spacing w:val="-12"/>
          <w:sz w:val="20"/>
        </w:rPr>
        <w:t xml:space="preserve"> </w:t>
      </w:r>
      <w:r>
        <w:rPr>
          <w:sz w:val="20"/>
        </w:rPr>
        <w:t>under-utilised</w:t>
      </w:r>
      <w:r>
        <w:rPr>
          <w:spacing w:val="-12"/>
          <w:sz w:val="20"/>
        </w:rPr>
        <w:t xml:space="preserve"> </w:t>
      </w:r>
      <w:r>
        <w:rPr>
          <w:sz w:val="20"/>
        </w:rPr>
        <w:t>–</w:t>
      </w:r>
      <w:r>
        <w:rPr>
          <w:spacing w:val="-12"/>
          <w:sz w:val="20"/>
        </w:rPr>
        <w:t xml:space="preserve"> </w:t>
      </w:r>
      <w:r>
        <w:rPr>
          <w:sz w:val="20"/>
        </w:rPr>
        <w:t xml:space="preserve">court </w:t>
      </w:r>
      <w:r>
        <w:rPr>
          <w:w w:val="95"/>
          <w:sz w:val="20"/>
        </w:rPr>
        <w:t>houses</w:t>
      </w:r>
      <w:r>
        <w:rPr>
          <w:spacing w:val="-12"/>
          <w:w w:val="95"/>
          <w:sz w:val="20"/>
        </w:rPr>
        <w:t xml:space="preserve"> </w:t>
      </w:r>
      <w:r>
        <w:rPr>
          <w:w w:val="95"/>
          <w:sz w:val="20"/>
        </w:rPr>
        <w:t>have</w:t>
      </w:r>
      <w:r>
        <w:rPr>
          <w:spacing w:val="-11"/>
          <w:w w:val="95"/>
          <w:sz w:val="20"/>
        </w:rPr>
        <w:t xml:space="preserve"> </w:t>
      </w:r>
      <w:r>
        <w:rPr>
          <w:w w:val="95"/>
          <w:sz w:val="20"/>
        </w:rPr>
        <w:t>an</w:t>
      </w:r>
      <w:r>
        <w:rPr>
          <w:spacing w:val="-11"/>
          <w:w w:val="95"/>
          <w:sz w:val="20"/>
        </w:rPr>
        <w:t xml:space="preserve"> </w:t>
      </w:r>
      <w:r>
        <w:rPr>
          <w:w w:val="95"/>
          <w:sz w:val="20"/>
        </w:rPr>
        <w:t>average</w:t>
      </w:r>
      <w:r>
        <w:rPr>
          <w:spacing w:val="-11"/>
          <w:w w:val="95"/>
          <w:sz w:val="20"/>
        </w:rPr>
        <w:t xml:space="preserve"> </w:t>
      </w:r>
      <w:r>
        <w:rPr>
          <w:w w:val="95"/>
          <w:sz w:val="20"/>
        </w:rPr>
        <w:t>utilisation</w:t>
      </w:r>
      <w:r>
        <w:rPr>
          <w:spacing w:val="-11"/>
          <w:w w:val="95"/>
          <w:sz w:val="20"/>
        </w:rPr>
        <w:t xml:space="preserve"> </w:t>
      </w:r>
      <w:r>
        <w:rPr>
          <w:w w:val="95"/>
          <w:sz w:val="20"/>
        </w:rPr>
        <w:t>rate</w:t>
      </w:r>
      <w:r>
        <w:rPr>
          <w:spacing w:val="-11"/>
          <w:w w:val="95"/>
          <w:sz w:val="20"/>
        </w:rPr>
        <w:t xml:space="preserve"> </w:t>
      </w:r>
      <w:r>
        <w:rPr>
          <w:w w:val="95"/>
          <w:sz w:val="20"/>
        </w:rPr>
        <w:t>of</w:t>
      </w:r>
      <w:r>
        <w:rPr>
          <w:spacing w:val="-11"/>
          <w:w w:val="95"/>
          <w:sz w:val="20"/>
        </w:rPr>
        <w:t xml:space="preserve"> </w:t>
      </w:r>
      <w:r>
        <w:rPr>
          <w:w w:val="95"/>
          <w:sz w:val="20"/>
        </w:rPr>
        <w:t>52</w:t>
      </w:r>
      <w:r>
        <w:rPr>
          <w:spacing w:val="-11"/>
          <w:w w:val="95"/>
          <w:sz w:val="20"/>
        </w:rPr>
        <w:t xml:space="preserve"> </w:t>
      </w:r>
      <w:r>
        <w:rPr>
          <w:w w:val="95"/>
          <w:sz w:val="20"/>
        </w:rPr>
        <w:t>per</w:t>
      </w:r>
      <w:r>
        <w:rPr>
          <w:spacing w:val="-12"/>
          <w:w w:val="95"/>
          <w:sz w:val="20"/>
        </w:rPr>
        <w:t xml:space="preserve"> </w:t>
      </w:r>
      <w:r>
        <w:rPr>
          <w:w w:val="95"/>
          <w:sz w:val="20"/>
        </w:rPr>
        <w:t>cent.</w:t>
      </w:r>
    </w:p>
    <w:p w:rsidR="002C1123" w:rsidRDefault="00F22F94">
      <w:pPr>
        <w:pStyle w:val="Heading6"/>
        <w:numPr>
          <w:ilvl w:val="2"/>
          <w:numId w:val="33"/>
        </w:numPr>
        <w:tabs>
          <w:tab w:val="left" w:pos="1087"/>
        </w:tabs>
        <w:spacing w:before="146"/>
        <w:jc w:val="left"/>
      </w:pPr>
      <w:r>
        <w:rPr>
          <w:color w:val="00AEEF"/>
          <w:spacing w:val="-2"/>
        </w:rPr>
        <w:t>Demand</w:t>
      </w:r>
    </w:p>
    <w:p w:rsidR="002C1123" w:rsidRDefault="00F22F94">
      <w:pPr>
        <w:pStyle w:val="BodyText"/>
        <w:spacing w:before="95" w:line="249" w:lineRule="auto"/>
        <w:ind w:left="492" w:right="24"/>
      </w:pPr>
      <w:r>
        <w:rPr>
          <w:w w:val="95"/>
        </w:rPr>
        <w:t xml:space="preserve">Demand across the justice portfolio is relatively flat and </w:t>
      </w:r>
      <w:r>
        <w:rPr>
          <w:spacing w:val="-2"/>
        </w:rPr>
        <w:t>in</w:t>
      </w:r>
      <w:r>
        <w:rPr>
          <w:spacing w:val="-8"/>
        </w:rPr>
        <w:t xml:space="preserve"> </w:t>
      </w:r>
      <w:r>
        <w:rPr>
          <w:spacing w:val="-2"/>
        </w:rPr>
        <w:t>some</w:t>
      </w:r>
      <w:r>
        <w:rPr>
          <w:spacing w:val="-8"/>
        </w:rPr>
        <w:t xml:space="preserve"> </w:t>
      </w:r>
      <w:r>
        <w:rPr>
          <w:spacing w:val="-2"/>
        </w:rPr>
        <w:t>areas</w:t>
      </w:r>
      <w:r>
        <w:rPr>
          <w:spacing w:val="-8"/>
        </w:rPr>
        <w:t xml:space="preserve"> </w:t>
      </w:r>
      <w:r>
        <w:rPr>
          <w:spacing w:val="-2"/>
        </w:rPr>
        <w:t>declining.</w:t>
      </w:r>
      <w:r>
        <w:rPr>
          <w:spacing w:val="-8"/>
        </w:rPr>
        <w:t xml:space="preserve"> </w:t>
      </w:r>
      <w:r>
        <w:rPr>
          <w:spacing w:val="-2"/>
        </w:rPr>
        <w:t>In</w:t>
      </w:r>
      <w:r>
        <w:rPr>
          <w:spacing w:val="-8"/>
        </w:rPr>
        <w:t xml:space="preserve"> </w:t>
      </w:r>
      <w:r>
        <w:rPr>
          <w:spacing w:val="-2"/>
        </w:rPr>
        <w:t>2010-11</w:t>
      </w:r>
      <w:r>
        <w:rPr>
          <w:spacing w:val="-8"/>
        </w:rPr>
        <w:t xml:space="preserve"> </w:t>
      </w:r>
      <w:r>
        <w:rPr>
          <w:spacing w:val="-2"/>
        </w:rPr>
        <w:t>the</w:t>
      </w:r>
      <w:r>
        <w:rPr>
          <w:spacing w:val="-8"/>
        </w:rPr>
        <w:t xml:space="preserve"> </w:t>
      </w:r>
      <w:r>
        <w:rPr>
          <w:spacing w:val="-2"/>
        </w:rPr>
        <w:t>prison</w:t>
      </w:r>
      <w:r>
        <w:rPr>
          <w:spacing w:val="-8"/>
        </w:rPr>
        <w:t xml:space="preserve"> </w:t>
      </w:r>
      <w:r>
        <w:rPr>
          <w:spacing w:val="-2"/>
        </w:rPr>
        <w:t xml:space="preserve">inmate </w:t>
      </w:r>
      <w:r>
        <w:rPr>
          <w:w w:val="95"/>
        </w:rPr>
        <w:t>population</w:t>
      </w:r>
      <w:r>
        <w:rPr>
          <w:spacing w:val="-11"/>
          <w:w w:val="95"/>
        </w:rPr>
        <w:t xml:space="preserve"> </w:t>
      </w:r>
      <w:r>
        <w:rPr>
          <w:w w:val="95"/>
        </w:rPr>
        <w:t>declined</w:t>
      </w:r>
      <w:r>
        <w:rPr>
          <w:spacing w:val="-11"/>
          <w:w w:val="95"/>
        </w:rPr>
        <w:t xml:space="preserve"> </w:t>
      </w:r>
      <w:r>
        <w:rPr>
          <w:w w:val="95"/>
        </w:rPr>
        <w:t>(for</w:t>
      </w:r>
      <w:r>
        <w:rPr>
          <w:spacing w:val="-11"/>
          <w:w w:val="95"/>
        </w:rPr>
        <w:t xml:space="preserve"> </w:t>
      </w:r>
      <w:r>
        <w:rPr>
          <w:w w:val="95"/>
        </w:rPr>
        <w:t>the</w:t>
      </w:r>
      <w:r>
        <w:rPr>
          <w:spacing w:val="-11"/>
          <w:w w:val="95"/>
        </w:rPr>
        <w:t xml:space="preserve"> </w:t>
      </w:r>
      <w:r>
        <w:rPr>
          <w:w w:val="95"/>
        </w:rPr>
        <w:t>first</w:t>
      </w:r>
      <w:r>
        <w:rPr>
          <w:spacing w:val="-11"/>
          <w:w w:val="95"/>
        </w:rPr>
        <w:t xml:space="preserve"> </w:t>
      </w:r>
      <w:r>
        <w:rPr>
          <w:w w:val="95"/>
        </w:rPr>
        <w:t>time</w:t>
      </w:r>
      <w:r>
        <w:rPr>
          <w:spacing w:val="-11"/>
          <w:w w:val="95"/>
        </w:rPr>
        <w:t xml:space="preserve"> </w:t>
      </w:r>
      <w:r>
        <w:rPr>
          <w:w w:val="95"/>
        </w:rPr>
        <w:t>in</w:t>
      </w:r>
      <w:r>
        <w:rPr>
          <w:spacing w:val="-11"/>
          <w:w w:val="95"/>
        </w:rPr>
        <w:t xml:space="preserve"> </w:t>
      </w:r>
      <w:r>
        <w:rPr>
          <w:w w:val="95"/>
        </w:rPr>
        <w:t>13</w:t>
      </w:r>
      <w:r>
        <w:rPr>
          <w:spacing w:val="-11"/>
          <w:w w:val="95"/>
        </w:rPr>
        <w:t xml:space="preserve"> </w:t>
      </w:r>
      <w:r>
        <w:rPr>
          <w:w w:val="95"/>
        </w:rPr>
        <w:t>years)</w:t>
      </w:r>
      <w:r>
        <w:rPr>
          <w:spacing w:val="-11"/>
          <w:w w:val="95"/>
        </w:rPr>
        <w:t xml:space="preserve"> </w:t>
      </w:r>
      <w:r>
        <w:rPr>
          <w:w w:val="95"/>
        </w:rPr>
        <w:t>by</w:t>
      </w:r>
      <w:r>
        <w:rPr>
          <w:spacing w:val="-11"/>
          <w:w w:val="95"/>
        </w:rPr>
        <w:t xml:space="preserve"> </w:t>
      </w:r>
      <w:r>
        <w:rPr>
          <w:w w:val="95"/>
        </w:rPr>
        <w:t xml:space="preserve">337, </w:t>
      </w:r>
      <w:r>
        <w:t>around</w:t>
      </w:r>
      <w:r>
        <w:rPr>
          <w:spacing w:val="-13"/>
        </w:rPr>
        <w:t xml:space="preserve"> </w:t>
      </w:r>
      <w:r>
        <w:t>three</w:t>
      </w:r>
      <w:r>
        <w:rPr>
          <w:spacing w:val="-13"/>
        </w:rPr>
        <w:t xml:space="preserve"> </w:t>
      </w:r>
      <w:r>
        <w:t>percent</w:t>
      </w:r>
      <w:r>
        <w:rPr>
          <w:spacing w:val="-13"/>
        </w:rPr>
        <w:t xml:space="preserve"> </w:t>
      </w:r>
      <w:r>
        <w:t>of</w:t>
      </w:r>
      <w:r>
        <w:rPr>
          <w:spacing w:val="-13"/>
        </w:rPr>
        <w:t xml:space="preserve"> </w:t>
      </w:r>
      <w:r>
        <w:t>capacity,</w:t>
      </w:r>
      <w:r>
        <w:rPr>
          <w:spacing w:val="-13"/>
        </w:rPr>
        <w:t xml:space="preserve"> </w:t>
      </w:r>
      <w:r>
        <w:t>and</w:t>
      </w:r>
      <w:r>
        <w:rPr>
          <w:spacing w:val="-13"/>
        </w:rPr>
        <w:t xml:space="preserve"> </w:t>
      </w:r>
      <w:r>
        <w:t>a</w:t>
      </w:r>
      <w:r>
        <w:rPr>
          <w:spacing w:val="-13"/>
        </w:rPr>
        <w:t xml:space="preserve"> </w:t>
      </w:r>
      <w:r>
        <w:t>2006</w:t>
      </w:r>
      <w:r>
        <w:rPr>
          <w:spacing w:val="-13"/>
        </w:rPr>
        <w:t xml:space="preserve"> </w:t>
      </w:r>
      <w:r>
        <w:t xml:space="preserve">program </w:t>
      </w:r>
      <w:r>
        <w:rPr>
          <w:w w:val="95"/>
        </w:rPr>
        <w:t>to</w:t>
      </w:r>
      <w:r>
        <w:rPr>
          <w:spacing w:val="-2"/>
          <w:w w:val="95"/>
        </w:rPr>
        <w:t xml:space="preserve"> </w:t>
      </w:r>
      <w:r>
        <w:rPr>
          <w:w w:val="95"/>
        </w:rPr>
        <w:t>provide</w:t>
      </w:r>
      <w:r>
        <w:rPr>
          <w:spacing w:val="-2"/>
          <w:w w:val="95"/>
        </w:rPr>
        <w:t xml:space="preserve"> </w:t>
      </w:r>
      <w:r>
        <w:rPr>
          <w:w w:val="95"/>
        </w:rPr>
        <w:t>1,000</w:t>
      </w:r>
      <w:r>
        <w:rPr>
          <w:spacing w:val="-2"/>
          <w:w w:val="95"/>
        </w:rPr>
        <w:t xml:space="preserve"> </w:t>
      </w:r>
      <w:r>
        <w:rPr>
          <w:w w:val="95"/>
        </w:rPr>
        <w:t>additional</w:t>
      </w:r>
      <w:r>
        <w:rPr>
          <w:spacing w:val="-2"/>
          <w:w w:val="95"/>
        </w:rPr>
        <w:t xml:space="preserve"> </w:t>
      </w:r>
      <w:r>
        <w:rPr>
          <w:w w:val="95"/>
        </w:rPr>
        <w:t>beds</w:t>
      </w:r>
      <w:r>
        <w:rPr>
          <w:spacing w:val="-2"/>
          <w:w w:val="95"/>
        </w:rPr>
        <w:t xml:space="preserve"> </w:t>
      </w:r>
      <w:r>
        <w:rPr>
          <w:w w:val="95"/>
        </w:rPr>
        <w:t>will</w:t>
      </w:r>
      <w:r>
        <w:rPr>
          <w:spacing w:val="-2"/>
          <w:w w:val="95"/>
        </w:rPr>
        <w:t xml:space="preserve"> </w:t>
      </w:r>
      <w:r>
        <w:rPr>
          <w:w w:val="95"/>
        </w:rPr>
        <w:t>be</w:t>
      </w:r>
      <w:r>
        <w:rPr>
          <w:spacing w:val="-2"/>
          <w:w w:val="95"/>
        </w:rPr>
        <w:t xml:space="preserve"> </w:t>
      </w:r>
      <w:r>
        <w:rPr>
          <w:w w:val="95"/>
        </w:rPr>
        <w:t>suspended</w:t>
      </w:r>
      <w:r>
        <w:rPr>
          <w:spacing w:val="-2"/>
          <w:w w:val="95"/>
        </w:rPr>
        <w:t xml:space="preserve"> </w:t>
      </w:r>
      <w:r>
        <w:rPr>
          <w:w w:val="95"/>
        </w:rPr>
        <w:t xml:space="preserve">after </w:t>
      </w:r>
      <w:r>
        <w:t>securing 850 new beds.</w:t>
      </w:r>
    </w:p>
    <w:p w:rsidR="002C1123" w:rsidRDefault="00F22F94">
      <w:pPr>
        <w:pStyle w:val="BodyText"/>
        <w:spacing w:before="147" w:line="249" w:lineRule="auto"/>
        <w:ind w:left="492" w:right="387"/>
      </w:pPr>
      <w:r>
        <w:rPr>
          <w:w w:val="95"/>
        </w:rPr>
        <w:t>Court</w:t>
      </w:r>
      <w:r>
        <w:rPr>
          <w:spacing w:val="-5"/>
          <w:w w:val="95"/>
        </w:rPr>
        <w:t xml:space="preserve"> </w:t>
      </w:r>
      <w:r>
        <w:rPr>
          <w:w w:val="95"/>
        </w:rPr>
        <w:t>houses</w:t>
      </w:r>
      <w:r>
        <w:rPr>
          <w:spacing w:val="-5"/>
          <w:w w:val="95"/>
        </w:rPr>
        <w:t xml:space="preserve"> </w:t>
      </w:r>
      <w:r>
        <w:rPr>
          <w:w w:val="95"/>
        </w:rPr>
        <w:t>in</w:t>
      </w:r>
      <w:r>
        <w:rPr>
          <w:spacing w:val="-5"/>
          <w:w w:val="95"/>
        </w:rPr>
        <w:t xml:space="preserve"> </w:t>
      </w:r>
      <w:r>
        <w:rPr>
          <w:w w:val="95"/>
        </w:rPr>
        <w:t>particular</w:t>
      </w:r>
      <w:r>
        <w:rPr>
          <w:spacing w:val="-5"/>
          <w:w w:val="95"/>
        </w:rPr>
        <w:t xml:space="preserve"> </w:t>
      </w:r>
      <w:r>
        <w:rPr>
          <w:w w:val="95"/>
        </w:rPr>
        <w:t>have</w:t>
      </w:r>
      <w:r>
        <w:rPr>
          <w:spacing w:val="-5"/>
          <w:w w:val="95"/>
        </w:rPr>
        <w:t xml:space="preserve"> </w:t>
      </w:r>
      <w:r>
        <w:rPr>
          <w:w w:val="95"/>
        </w:rPr>
        <w:t>excess</w:t>
      </w:r>
      <w:r>
        <w:rPr>
          <w:spacing w:val="-5"/>
          <w:w w:val="95"/>
        </w:rPr>
        <w:t xml:space="preserve"> </w:t>
      </w:r>
      <w:r>
        <w:rPr>
          <w:w w:val="95"/>
        </w:rPr>
        <w:t xml:space="preserve">capacity. </w:t>
      </w:r>
      <w:r>
        <w:t>This</w:t>
      </w:r>
      <w:r>
        <w:rPr>
          <w:spacing w:val="-2"/>
        </w:rPr>
        <w:t xml:space="preserve"> </w:t>
      </w:r>
      <w:r>
        <w:t>results</w:t>
      </w:r>
      <w:r>
        <w:rPr>
          <w:spacing w:val="-2"/>
        </w:rPr>
        <w:t xml:space="preserve"> </w:t>
      </w:r>
      <w:r>
        <w:t>from</w:t>
      </w:r>
      <w:r>
        <w:rPr>
          <w:spacing w:val="-2"/>
        </w:rPr>
        <w:t xml:space="preserve"> </w:t>
      </w:r>
      <w:r>
        <w:t>a</w:t>
      </w:r>
      <w:r>
        <w:rPr>
          <w:spacing w:val="-2"/>
        </w:rPr>
        <w:t xml:space="preserve"> </w:t>
      </w:r>
      <w:r>
        <w:t>combination</w:t>
      </w:r>
      <w:r>
        <w:rPr>
          <w:spacing w:val="-2"/>
        </w:rPr>
        <w:t xml:space="preserve"> </w:t>
      </w:r>
      <w:r>
        <w:t>of:</w:t>
      </w:r>
    </w:p>
    <w:p w:rsidR="002C1123" w:rsidRDefault="00F22F94">
      <w:pPr>
        <w:pStyle w:val="ListParagraph"/>
        <w:numPr>
          <w:ilvl w:val="3"/>
          <w:numId w:val="33"/>
        </w:numPr>
        <w:tabs>
          <w:tab w:val="left" w:pos="776"/>
        </w:tabs>
        <w:spacing w:before="131" w:line="249" w:lineRule="auto"/>
        <w:ind w:right="233"/>
        <w:rPr>
          <w:sz w:val="20"/>
        </w:rPr>
      </w:pPr>
      <w:r>
        <w:rPr>
          <w:sz w:val="20"/>
        </w:rPr>
        <w:t>Policies</w:t>
      </w:r>
      <w:r>
        <w:rPr>
          <w:spacing w:val="-8"/>
          <w:sz w:val="20"/>
        </w:rPr>
        <w:t xml:space="preserve"> </w:t>
      </w:r>
      <w:r>
        <w:rPr>
          <w:sz w:val="20"/>
        </w:rPr>
        <w:t>to</w:t>
      </w:r>
      <w:r>
        <w:rPr>
          <w:spacing w:val="-8"/>
          <w:sz w:val="20"/>
        </w:rPr>
        <w:t xml:space="preserve"> </w:t>
      </w:r>
      <w:r>
        <w:rPr>
          <w:sz w:val="20"/>
        </w:rPr>
        <w:t>reduce</w:t>
      </w:r>
      <w:r>
        <w:rPr>
          <w:spacing w:val="-8"/>
          <w:sz w:val="20"/>
        </w:rPr>
        <w:t xml:space="preserve"> </w:t>
      </w:r>
      <w:r>
        <w:rPr>
          <w:sz w:val="20"/>
        </w:rPr>
        <w:t>recidivism</w:t>
      </w:r>
      <w:r>
        <w:rPr>
          <w:spacing w:val="-9"/>
          <w:sz w:val="20"/>
        </w:rPr>
        <w:t xml:space="preserve"> </w:t>
      </w:r>
      <w:r>
        <w:rPr>
          <w:sz w:val="20"/>
        </w:rPr>
        <w:t>including</w:t>
      </w:r>
      <w:r>
        <w:rPr>
          <w:spacing w:val="-8"/>
          <w:sz w:val="20"/>
        </w:rPr>
        <w:t xml:space="preserve"> </w:t>
      </w:r>
      <w:r>
        <w:rPr>
          <w:sz w:val="20"/>
        </w:rPr>
        <w:t>through greater</w:t>
      </w:r>
      <w:r>
        <w:rPr>
          <w:spacing w:val="-10"/>
          <w:sz w:val="20"/>
        </w:rPr>
        <w:t xml:space="preserve"> </w:t>
      </w:r>
      <w:r>
        <w:rPr>
          <w:sz w:val="20"/>
        </w:rPr>
        <w:t>use</w:t>
      </w:r>
      <w:r>
        <w:rPr>
          <w:spacing w:val="-10"/>
          <w:sz w:val="20"/>
        </w:rPr>
        <w:t xml:space="preserve"> </w:t>
      </w:r>
      <w:r>
        <w:rPr>
          <w:sz w:val="20"/>
        </w:rPr>
        <w:t>of</w:t>
      </w:r>
      <w:r>
        <w:rPr>
          <w:spacing w:val="-10"/>
          <w:sz w:val="20"/>
        </w:rPr>
        <w:t xml:space="preserve"> </w:t>
      </w:r>
      <w:r>
        <w:rPr>
          <w:sz w:val="20"/>
        </w:rPr>
        <w:t>non-custodial</w:t>
      </w:r>
      <w:r>
        <w:rPr>
          <w:spacing w:val="-10"/>
          <w:sz w:val="20"/>
        </w:rPr>
        <w:t xml:space="preserve"> </w:t>
      </w:r>
      <w:r>
        <w:rPr>
          <w:sz w:val="20"/>
        </w:rPr>
        <w:t>punishment</w:t>
      </w:r>
      <w:r>
        <w:rPr>
          <w:spacing w:val="-10"/>
          <w:sz w:val="20"/>
        </w:rPr>
        <w:t xml:space="preserve"> </w:t>
      </w:r>
      <w:r>
        <w:rPr>
          <w:sz w:val="20"/>
        </w:rPr>
        <w:t>for</w:t>
      </w:r>
      <w:r>
        <w:rPr>
          <w:spacing w:val="-10"/>
          <w:sz w:val="20"/>
        </w:rPr>
        <w:t xml:space="preserve"> </w:t>
      </w:r>
      <w:r>
        <w:rPr>
          <w:sz w:val="20"/>
        </w:rPr>
        <w:t xml:space="preserve">less </w:t>
      </w:r>
      <w:r>
        <w:rPr>
          <w:w w:val="95"/>
          <w:sz w:val="20"/>
        </w:rPr>
        <w:t>serious</w:t>
      </w:r>
      <w:r>
        <w:rPr>
          <w:spacing w:val="-9"/>
          <w:w w:val="95"/>
          <w:sz w:val="20"/>
        </w:rPr>
        <w:t xml:space="preserve"> </w:t>
      </w:r>
      <w:r>
        <w:rPr>
          <w:w w:val="95"/>
          <w:sz w:val="20"/>
        </w:rPr>
        <w:t>offences,</w:t>
      </w:r>
      <w:r>
        <w:rPr>
          <w:spacing w:val="-9"/>
          <w:w w:val="95"/>
          <w:sz w:val="20"/>
        </w:rPr>
        <w:t xml:space="preserve"> </w:t>
      </w:r>
      <w:r>
        <w:rPr>
          <w:w w:val="95"/>
          <w:sz w:val="20"/>
        </w:rPr>
        <w:t>particularly</w:t>
      </w:r>
      <w:r>
        <w:rPr>
          <w:spacing w:val="-9"/>
          <w:w w:val="95"/>
          <w:sz w:val="20"/>
        </w:rPr>
        <w:t xml:space="preserve"> </w:t>
      </w:r>
      <w:r>
        <w:rPr>
          <w:w w:val="95"/>
          <w:sz w:val="20"/>
        </w:rPr>
        <w:t>for</w:t>
      </w:r>
      <w:r>
        <w:rPr>
          <w:spacing w:val="-9"/>
          <w:w w:val="95"/>
          <w:sz w:val="20"/>
        </w:rPr>
        <w:t xml:space="preserve"> </w:t>
      </w:r>
      <w:r>
        <w:rPr>
          <w:w w:val="95"/>
          <w:sz w:val="20"/>
        </w:rPr>
        <w:t>juvenile</w:t>
      </w:r>
      <w:r>
        <w:rPr>
          <w:spacing w:val="-9"/>
          <w:w w:val="95"/>
          <w:sz w:val="20"/>
        </w:rPr>
        <w:t xml:space="preserve"> </w:t>
      </w:r>
      <w:r>
        <w:rPr>
          <w:w w:val="95"/>
          <w:sz w:val="20"/>
        </w:rPr>
        <w:t>offenders.</w:t>
      </w:r>
    </w:p>
    <w:p w:rsidR="002C1123" w:rsidRDefault="00F22F94">
      <w:pPr>
        <w:rPr>
          <w:sz w:val="24"/>
        </w:rPr>
      </w:pPr>
      <w:r>
        <w:br w:type="column"/>
      </w: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spacing w:before="4"/>
        <w:rPr>
          <w:sz w:val="35"/>
        </w:rPr>
      </w:pPr>
    </w:p>
    <w:p w:rsidR="002C1123" w:rsidRDefault="00F22F94">
      <w:pPr>
        <w:pStyle w:val="ListParagraph"/>
        <w:numPr>
          <w:ilvl w:val="3"/>
          <w:numId w:val="33"/>
        </w:numPr>
        <w:tabs>
          <w:tab w:val="left" w:pos="479"/>
        </w:tabs>
        <w:spacing w:line="249" w:lineRule="auto"/>
        <w:ind w:left="478" w:right="914"/>
        <w:rPr>
          <w:sz w:val="20"/>
        </w:rPr>
      </w:pPr>
      <w:r>
        <w:rPr>
          <w:sz w:val="20"/>
        </w:rPr>
        <w:t>Greater</w:t>
      </w:r>
      <w:r>
        <w:rPr>
          <w:spacing w:val="-7"/>
          <w:sz w:val="20"/>
        </w:rPr>
        <w:t xml:space="preserve"> </w:t>
      </w:r>
      <w:r>
        <w:rPr>
          <w:sz w:val="20"/>
        </w:rPr>
        <w:t>use</w:t>
      </w:r>
      <w:r>
        <w:rPr>
          <w:spacing w:val="-7"/>
          <w:sz w:val="20"/>
        </w:rPr>
        <w:t xml:space="preserve"> </w:t>
      </w:r>
      <w:r>
        <w:rPr>
          <w:sz w:val="20"/>
        </w:rPr>
        <w:t>of</w:t>
      </w:r>
      <w:r>
        <w:rPr>
          <w:spacing w:val="-7"/>
          <w:sz w:val="20"/>
        </w:rPr>
        <w:t xml:space="preserve"> </w:t>
      </w:r>
      <w:r>
        <w:rPr>
          <w:sz w:val="20"/>
        </w:rPr>
        <w:t>technology</w:t>
      </w:r>
      <w:r>
        <w:rPr>
          <w:spacing w:val="-7"/>
          <w:sz w:val="20"/>
        </w:rPr>
        <w:t xml:space="preserve"> </w:t>
      </w:r>
      <w:r>
        <w:rPr>
          <w:sz w:val="20"/>
        </w:rPr>
        <w:t>across</w:t>
      </w:r>
      <w:r>
        <w:rPr>
          <w:spacing w:val="-7"/>
          <w:sz w:val="20"/>
        </w:rPr>
        <w:t xml:space="preserve"> </w:t>
      </w:r>
      <w:r>
        <w:rPr>
          <w:sz w:val="20"/>
        </w:rPr>
        <w:t>the</w:t>
      </w:r>
      <w:r>
        <w:rPr>
          <w:spacing w:val="-7"/>
          <w:sz w:val="20"/>
        </w:rPr>
        <w:t xml:space="preserve"> </w:t>
      </w:r>
      <w:r>
        <w:rPr>
          <w:sz w:val="20"/>
        </w:rPr>
        <w:t xml:space="preserve">portfolio </w:t>
      </w:r>
      <w:r>
        <w:rPr>
          <w:w w:val="95"/>
          <w:sz w:val="20"/>
        </w:rPr>
        <w:t>which</w:t>
      </w:r>
      <w:r>
        <w:rPr>
          <w:spacing w:val="-7"/>
          <w:w w:val="95"/>
          <w:sz w:val="20"/>
        </w:rPr>
        <w:t xml:space="preserve"> </w:t>
      </w:r>
      <w:r>
        <w:rPr>
          <w:w w:val="95"/>
          <w:sz w:val="20"/>
        </w:rPr>
        <w:t>means</w:t>
      </w:r>
      <w:r>
        <w:rPr>
          <w:spacing w:val="-7"/>
          <w:w w:val="95"/>
          <w:sz w:val="20"/>
        </w:rPr>
        <w:t xml:space="preserve"> </w:t>
      </w:r>
      <w:r>
        <w:rPr>
          <w:w w:val="95"/>
          <w:sz w:val="20"/>
        </w:rPr>
        <w:t>there</w:t>
      </w:r>
      <w:r>
        <w:rPr>
          <w:spacing w:val="-7"/>
          <w:w w:val="95"/>
          <w:sz w:val="20"/>
        </w:rPr>
        <w:t xml:space="preserve"> </w:t>
      </w:r>
      <w:r>
        <w:rPr>
          <w:w w:val="95"/>
          <w:sz w:val="20"/>
        </w:rPr>
        <w:t>is</w:t>
      </w:r>
      <w:r>
        <w:rPr>
          <w:spacing w:val="-7"/>
          <w:w w:val="95"/>
          <w:sz w:val="20"/>
        </w:rPr>
        <w:t xml:space="preserve"> </w:t>
      </w:r>
      <w:r>
        <w:rPr>
          <w:w w:val="95"/>
          <w:sz w:val="20"/>
        </w:rPr>
        <w:t>less</w:t>
      </w:r>
      <w:r>
        <w:rPr>
          <w:spacing w:val="-7"/>
          <w:w w:val="95"/>
          <w:sz w:val="20"/>
        </w:rPr>
        <w:t xml:space="preserve"> </w:t>
      </w:r>
      <w:r>
        <w:rPr>
          <w:w w:val="95"/>
          <w:sz w:val="20"/>
        </w:rPr>
        <w:t>need</w:t>
      </w:r>
      <w:r>
        <w:rPr>
          <w:spacing w:val="-7"/>
          <w:w w:val="95"/>
          <w:sz w:val="20"/>
        </w:rPr>
        <w:t xml:space="preserve"> </w:t>
      </w:r>
      <w:r>
        <w:rPr>
          <w:w w:val="95"/>
          <w:sz w:val="20"/>
        </w:rPr>
        <w:t>for</w:t>
      </w:r>
      <w:r>
        <w:rPr>
          <w:spacing w:val="-7"/>
          <w:w w:val="95"/>
          <w:sz w:val="20"/>
        </w:rPr>
        <w:t xml:space="preserve"> </w:t>
      </w:r>
      <w:r>
        <w:rPr>
          <w:w w:val="95"/>
          <w:sz w:val="20"/>
        </w:rPr>
        <w:t>individuals</w:t>
      </w:r>
      <w:r>
        <w:rPr>
          <w:spacing w:val="-7"/>
          <w:w w:val="95"/>
          <w:sz w:val="20"/>
        </w:rPr>
        <w:t xml:space="preserve"> </w:t>
      </w:r>
      <w:r>
        <w:rPr>
          <w:w w:val="95"/>
          <w:sz w:val="20"/>
        </w:rPr>
        <w:t>to</w:t>
      </w:r>
      <w:r>
        <w:rPr>
          <w:spacing w:val="-7"/>
          <w:w w:val="95"/>
          <w:sz w:val="20"/>
        </w:rPr>
        <w:t xml:space="preserve"> </w:t>
      </w:r>
      <w:r>
        <w:rPr>
          <w:w w:val="95"/>
          <w:sz w:val="20"/>
        </w:rPr>
        <w:t xml:space="preserve">be </w:t>
      </w:r>
      <w:r>
        <w:rPr>
          <w:sz w:val="20"/>
        </w:rPr>
        <w:t>physically</w:t>
      </w:r>
      <w:r>
        <w:rPr>
          <w:spacing w:val="-14"/>
          <w:sz w:val="20"/>
        </w:rPr>
        <w:t xml:space="preserve"> </w:t>
      </w:r>
      <w:r>
        <w:rPr>
          <w:sz w:val="20"/>
        </w:rPr>
        <w:t>present</w:t>
      </w:r>
      <w:r>
        <w:rPr>
          <w:spacing w:val="-14"/>
          <w:sz w:val="20"/>
        </w:rPr>
        <w:t xml:space="preserve"> </w:t>
      </w:r>
      <w:r>
        <w:rPr>
          <w:sz w:val="20"/>
        </w:rPr>
        <w:t>e.g.</w:t>
      </w:r>
      <w:r>
        <w:rPr>
          <w:spacing w:val="-14"/>
          <w:sz w:val="20"/>
        </w:rPr>
        <w:t xml:space="preserve"> </w:t>
      </w:r>
      <w:r>
        <w:rPr>
          <w:sz w:val="20"/>
        </w:rPr>
        <w:t>‘virtual’</w:t>
      </w:r>
      <w:r>
        <w:rPr>
          <w:spacing w:val="-14"/>
          <w:sz w:val="20"/>
        </w:rPr>
        <w:t xml:space="preserve"> </w:t>
      </w:r>
      <w:r>
        <w:rPr>
          <w:sz w:val="20"/>
        </w:rPr>
        <w:t>court</w:t>
      </w:r>
      <w:r>
        <w:rPr>
          <w:spacing w:val="-14"/>
          <w:sz w:val="20"/>
        </w:rPr>
        <w:t xml:space="preserve"> </w:t>
      </w:r>
      <w:r>
        <w:rPr>
          <w:sz w:val="20"/>
        </w:rPr>
        <w:t>proceedings.</w:t>
      </w:r>
    </w:p>
    <w:p w:rsidR="002C1123" w:rsidRDefault="00F22F94">
      <w:pPr>
        <w:pStyle w:val="ListParagraph"/>
        <w:numPr>
          <w:ilvl w:val="3"/>
          <w:numId w:val="33"/>
        </w:numPr>
        <w:tabs>
          <w:tab w:val="left" w:pos="479"/>
        </w:tabs>
        <w:spacing w:before="131" w:line="249" w:lineRule="auto"/>
        <w:ind w:left="478" w:right="710"/>
        <w:rPr>
          <w:sz w:val="20"/>
        </w:rPr>
      </w:pPr>
      <w:r>
        <w:rPr>
          <w:sz w:val="20"/>
        </w:rPr>
        <w:t>The</w:t>
      </w:r>
      <w:r>
        <w:rPr>
          <w:spacing w:val="-10"/>
          <w:sz w:val="20"/>
        </w:rPr>
        <w:t xml:space="preserve"> </w:t>
      </w:r>
      <w:r>
        <w:rPr>
          <w:sz w:val="20"/>
        </w:rPr>
        <w:t>decline</w:t>
      </w:r>
      <w:r>
        <w:rPr>
          <w:spacing w:val="-10"/>
          <w:sz w:val="20"/>
        </w:rPr>
        <w:t xml:space="preserve"> </w:t>
      </w:r>
      <w:r>
        <w:rPr>
          <w:sz w:val="20"/>
        </w:rPr>
        <w:t>in</w:t>
      </w:r>
      <w:r>
        <w:rPr>
          <w:spacing w:val="-10"/>
          <w:sz w:val="20"/>
        </w:rPr>
        <w:t xml:space="preserve"> </w:t>
      </w:r>
      <w:r>
        <w:rPr>
          <w:sz w:val="20"/>
        </w:rPr>
        <w:t>the</w:t>
      </w:r>
      <w:r>
        <w:rPr>
          <w:spacing w:val="-10"/>
          <w:sz w:val="20"/>
        </w:rPr>
        <w:t xml:space="preserve"> </w:t>
      </w:r>
      <w:r>
        <w:rPr>
          <w:sz w:val="20"/>
        </w:rPr>
        <w:t>prison</w:t>
      </w:r>
      <w:r>
        <w:rPr>
          <w:spacing w:val="-10"/>
          <w:sz w:val="20"/>
        </w:rPr>
        <w:t xml:space="preserve"> </w:t>
      </w:r>
      <w:r>
        <w:rPr>
          <w:sz w:val="20"/>
        </w:rPr>
        <w:t>population</w:t>
      </w:r>
      <w:r>
        <w:rPr>
          <w:spacing w:val="-10"/>
          <w:sz w:val="20"/>
        </w:rPr>
        <w:t xml:space="preserve"> </w:t>
      </w:r>
      <w:r>
        <w:rPr>
          <w:sz w:val="20"/>
        </w:rPr>
        <w:t>in</w:t>
      </w:r>
      <w:r>
        <w:rPr>
          <w:spacing w:val="-10"/>
          <w:sz w:val="20"/>
        </w:rPr>
        <w:t xml:space="preserve"> </w:t>
      </w:r>
      <w:r>
        <w:rPr>
          <w:sz w:val="20"/>
        </w:rPr>
        <w:t>tandem</w:t>
      </w:r>
      <w:r>
        <w:rPr>
          <w:spacing w:val="-10"/>
          <w:sz w:val="20"/>
        </w:rPr>
        <w:t xml:space="preserve"> </w:t>
      </w:r>
      <w:r>
        <w:rPr>
          <w:sz w:val="20"/>
        </w:rPr>
        <w:t xml:space="preserve">with </w:t>
      </w:r>
      <w:r>
        <w:rPr>
          <w:w w:val="95"/>
          <w:sz w:val="20"/>
        </w:rPr>
        <w:t>the</w:t>
      </w:r>
      <w:r>
        <w:rPr>
          <w:spacing w:val="-4"/>
          <w:w w:val="95"/>
          <w:sz w:val="20"/>
        </w:rPr>
        <w:t xml:space="preserve"> </w:t>
      </w:r>
      <w:r>
        <w:rPr>
          <w:w w:val="95"/>
          <w:sz w:val="20"/>
        </w:rPr>
        <w:t>opening</w:t>
      </w:r>
      <w:r>
        <w:rPr>
          <w:spacing w:val="-4"/>
          <w:w w:val="95"/>
          <w:sz w:val="20"/>
        </w:rPr>
        <w:t xml:space="preserve"> </w:t>
      </w:r>
      <w:r>
        <w:rPr>
          <w:w w:val="95"/>
          <w:sz w:val="20"/>
        </w:rPr>
        <w:t>of</w:t>
      </w:r>
      <w:r>
        <w:rPr>
          <w:spacing w:val="-4"/>
          <w:w w:val="95"/>
          <w:sz w:val="20"/>
        </w:rPr>
        <w:t xml:space="preserve"> </w:t>
      </w:r>
      <w:r>
        <w:rPr>
          <w:w w:val="95"/>
          <w:sz w:val="20"/>
        </w:rPr>
        <w:t>a</w:t>
      </w:r>
      <w:r>
        <w:rPr>
          <w:spacing w:val="-4"/>
          <w:w w:val="95"/>
          <w:sz w:val="20"/>
        </w:rPr>
        <w:t xml:space="preserve"> </w:t>
      </w:r>
      <w:r>
        <w:rPr>
          <w:w w:val="95"/>
          <w:sz w:val="20"/>
        </w:rPr>
        <w:t>new</w:t>
      </w:r>
      <w:r>
        <w:rPr>
          <w:spacing w:val="-4"/>
          <w:w w:val="95"/>
          <w:sz w:val="20"/>
        </w:rPr>
        <w:t xml:space="preserve"> </w:t>
      </w:r>
      <w:r>
        <w:rPr>
          <w:w w:val="95"/>
          <w:sz w:val="20"/>
        </w:rPr>
        <w:t>correctional</w:t>
      </w:r>
      <w:r>
        <w:rPr>
          <w:spacing w:val="-4"/>
          <w:w w:val="95"/>
          <w:sz w:val="20"/>
        </w:rPr>
        <w:t xml:space="preserve"> </w:t>
      </w:r>
      <w:r>
        <w:rPr>
          <w:w w:val="95"/>
          <w:sz w:val="20"/>
        </w:rPr>
        <w:t>centre</w:t>
      </w:r>
      <w:r>
        <w:rPr>
          <w:spacing w:val="-4"/>
          <w:w w:val="95"/>
          <w:sz w:val="20"/>
        </w:rPr>
        <w:t xml:space="preserve"> </w:t>
      </w:r>
      <w:r>
        <w:rPr>
          <w:w w:val="95"/>
          <w:sz w:val="20"/>
        </w:rPr>
        <w:t>on</w:t>
      </w:r>
      <w:r>
        <w:rPr>
          <w:spacing w:val="-4"/>
          <w:w w:val="95"/>
          <w:sz w:val="20"/>
        </w:rPr>
        <w:t xml:space="preserve"> </w:t>
      </w:r>
      <w:r>
        <w:rPr>
          <w:w w:val="95"/>
          <w:sz w:val="20"/>
        </w:rPr>
        <w:t>the</w:t>
      </w:r>
      <w:r>
        <w:rPr>
          <w:spacing w:val="-4"/>
          <w:w w:val="95"/>
          <w:sz w:val="20"/>
        </w:rPr>
        <w:t xml:space="preserve"> </w:t>
      </w:r>
      <w:r>
        <w:rPr>
          <w:w w:val="95"/>
          <w:sz w:val="20"/>
        </w:rPr>
        <w:t xml:space="preserve">South </w:t>
      </w:r>
      <w:r>
        <w:rPr>
          <w:sz w:val="20"/>
        </w:rPr>
        <w:t>Coast</w:t>
      </w:r>
      <w:r>
        <w:rPr>
          <w:spacing w:val="-14"/>
          <w:sz w:val="20"/>
        </w:rPr>
        <w:t xml:space="preserve"> </w:t>
      </w:r>
      <w:r>
        <w:rPr>
          <w:sz w:val="20"/>
        </w:rPr>
        <w:t>allowed</w:t>
      </w:r>
      <w:r>
        <w:rPr>
          <w:spacing w:val="-14"/>
          <w:sz w:val="20"/>
        </w:rPr>
        <w:t xml:space="preserve"> </w:t>
      </w:r>
      <w:r>
        <w:rPr>
          <w:sz w:val="20"/>
        </w:rPr>
        <w:t>for</w:t>
      </w:r>
      <w:r>
        <w:rPr>
          <w:spacing w:val="-14"/>
          <w:sz w:val="20"/>
        </w:rPr>
        <w:t xml:space="preserve"> </w:t>
      </w:r>
      <w:r>
        <w:rPr>
          <w:sz w:val="20"/>
        </w:rPr>
        <w:t>closure</w:t>
      </w:r>
      <w:r>
        <w:rPr>
          <w:spacing w:val="-14"/>
          <w:sz w:val="20"/>
        </w:rPr>
        <w:t xml:space="preserve"> </w:t>
      </w:r>
      <w:r>
        <w:rPr>
          <w:sz w:val="20"/>
        </w:rPr>
        <w:t>of</w:t>
      </w:r>
      <w:r>
        <w:rPr>
          <w:spacing w:val="-14"/>
          <w:sz w:val="20"/>
        </w:rPr>
        <w:t xml:space="preserve"> </w:t>
      </w:r>
      <w:r>
        <w:rPr>
          <w:sz w:val="20"/>
        </w:rPr>
        <w:t>three</w:t>
      </w:r>
      <w:r>
        <w:rPr>
          <w:spacing w:val="-14"/>
          <w:sz w:val="20"/>
        </w:rPr>
        <w:t xml:space="preserve"> </w:t>
      </w:r>
      <w:r>
        <w:rPr>
          <w:sz w:val="20"/>
        </w:rPr>
        <w:t>prisons</w:t>
      </w:r>
      <w:r>
        <w:rPr>
          <w:spacing w:val="-14"/>
          <w:sz w:val="20"/>
        </w:rPr>
        <w:t xml:space="preserve"> </w:t>
      </w:r>
      <w:r>
        <w:rPr>
          <w:sz w:val="20"/>
        </w:rPr>
        <w:t>in</w:t>
      </w:r>
      <w:r>
        <w:rPr>
          <w:spacing w:val="-14"/>
          <w:sz w:val="20"/>
        </w:rPr>
        <w:t xml:space="preserve"> </w:t>
      </w:r>
      <w:r>
        <w:rPr>
          <w:sz w:val="20"/>
        </w:rPr>
        <w:t>2011.</w:t>
      </w:r>
    </w:p>
    <w:p w:rsidR="002C1123" w:rsidRDefault="00F22F94">
      <w:pPr>
        <w:pStyle w:val="BodyText"/>
        <w:spacing w:before="144" w:line="249" w:lineRule="auto"/>
        <w:ind w:left="194" w:right="867"/>
      </w:pPr>
      <w:r>
        <w:t>There</w:t>
      </w:r>
      <w:r>
        <w:rPr>
          <w:spacing w:val="-12"/>
        </w:rPr>
        <w:t xml:space="preserve"> </w:t>
      </w:r>
      <w:r>
        <w:t>is</w:t>
      </w:r>
      <w:r>
        <w:rPr>
          <w:spacing w:val="-12"/>
        </w:rPr>
        <w:t xml:space="preserve"> </w:t>
      </w:r>
      <w:r>
        <w:t>higher</w:t>
      </w:r>
      <w:r>
        <w:rPr>
          <w:spacing w:val="-12"/>
        </w:rPr>
        <w:t xml:space="preserve"> </w:t>
      </w:r>
      <w:r>
        <w:t>demand</w:t>
      </w:r>
      <w:r>
        <w:rPr>
          <w:spacing w:val="-12"/>
        </w:rPr>
        <w:t xml:space="preserve"> </w:t>
      </w:r>
      <w:r>
        <w:t>for</w:t>
      </w:r>
      <w:r>
        <w:rPr>
          <w:spacing w:val="-12"/>
        </w:rPr>
        <w:t xml:space="preserve"> </w:t>
      </w:r>
      <w:r>
        <w:t>police</w:t>
      </w:r>
      <w:r>
        <w:rPr>
          <w:spacing w:val="-12"/>
        </w:rPr>
        <w:t xml:space="preserve"> </w:t>
      </w:r>
      <w:r>
        <w:t xml:space="preserve">infrastructure. </w:t>
      </w:r>
      <w:r>
        <w:rPr>
          <w:w w:val="95"/>
        </w:rPr>
        <w:t>Increasing police numbers means targeted expansion of</w:t>
      </w:r>
      <w:r>
        <w:rPr>
          <w:spacing w:val="-1"/>
          <w:w w:val="95"/>
        </w:rPr>
        <w:t xml:space="preserve"> </w:t>
      </w:r>
      <w:r>
        <w:rPr>
          <w:w w:val="95"/>
        </w:rPr>
        <w:t>some</w:t>
      </w:r>
      <w:r>
        <w:rPr>
          <w:spacing w:val="-1"/>
          <w:w w:val="95"/>
        </w:rPr>
        <w:t xml:space="preserve"> </w:t>
      </w:r>
      <w:r>
        <w:rPr>
          <w:w w:val="95"/>
        </w:rPr>
        <w:t>facilities</w:t>
      </w:r>
      <w:r>
        <w:rPr>
          <w:spacing w:val="-1"/>
          <w:w w:val="95"/>
        </w:rPr>
        <w:t xml:space="preserve"> </w:t>
      </w:r>
      <w:r>
        <w:rPr>
          <w:w w:val="95"/>
        </w:rPr>
        <w:t>is</w:t>
      </w:r>
      <w:r>
        <w:rPr>
          <w:spacing w:val="-1"/>
          <w:w w:val="95"/>
        </w:rPr>
        <w:t xml:space="preserve"> </w:t>
      </w:r>
      <w:r>
        <w:rPr>
          <w:w w:val="95"/>
        </w:rPr>
        <w:t>needed</w:t>
      </w:r>
      <w:r>
        <w:rPr>
          <w:spacing w:val="-1"/>
          <w:w w:val="95"/>
        </w:rPr>
        <w:t xml:space="preserve"> </w:t>
      </w:r>
      <w:r>
        <w:rPr>
          <w:w w:val="95"/>
        </w:rPr>
        <w:t>to</w:t>
      </w:r>
      <w:r>
        <w:rPr>
          <w:spacing w:val="-1"/>
          <w:w w:val="95"/>
        </w:rPr>
        <w:t xml:space="preserve"> </w:t>
      </w:r>
      <w:r>
        <w:rPr>
          <w:w w:val="95"/>
        </w:rPr>
        <w:t>accommodate</w:t>
      </w:r>
      <w:r>
        <w:rPr>
          <w:spacing w:val="-1"/>
          <w:w w:val="95"/>
        </w:rPr>
        <w:t xml:space="preserve"> </w:t>
      </w:r>
      <w:r>
        <w:rPr>
          <w:w w:val="95"/>
        </w:rPr>
        <w:t>additional</w:t>
      </w:r>
    </w:p>
    <w:p w:rsidR="002C1123" w:rsidRDefault="00F22F94">
      <w:pPr>
        <w:pStyle w:val="BodyText"/>
        <w:spacing w:before="3" w:line="249" w:lineRule="auto"/>
        <w:ind w:left="194" w:right="487"/>
      </w:pPr>
      <w:r>
        <w:rPr>
          <w:w w:val="95"/>
        </w:rPr>
        <w:t>police</w:t>
      </w:r>
      <w:r>
        <w:rPr>
          <w:spacing w:val="-2"/>
          <w:w w:val="95"/>
        </w:rPr>
        <w:t xml:space="preserve"> </w:t>
      </w:r>
      <w:r>
        <w:rPr>
          <w:w w:val="95"/>
        </w:rPr>
        <w:t xml:space="preserve">and delivery of new community services, including </w:t>
      </w:r>
      <w:r>
        <w:t>transport</w:t>
      </w:r>
      <w:r>
        <w:rPr>
          <w:spacing w:val="-11"/>
        </w:rPr>
        <w:t xml:space="preserve"> </w:t>
      </w:r>
      <w:r>
        <w:t>policing.</w:t>
      </w:r>
    </w:p>
    <w:p w:rsidR="002C1123" w:rsidRDefault="00F22F94">
      <w:pPr>
        <w:pStyle w:val="Heading6"/>
        <w:numPr>
          <w:ilvl w:val="2"/>
          <w:numId w:val="33"/>
        </w:numPr>
        <w:tabs>
          <w:tab w:val="left" w:pos="790"/>
        </w:tabs>
        <w:spacing w:before="143"/>
        <w:ind w:left="789" w:hanging="596"/>
        <w:jc w:val="left"/>
      </w:pPr>
      <w:r>
        <w:rPr>
          <w:color w:val="00AEEF"/>
          <w:spacing w:val="-2"/>
        </w:rPr>
        <w:t>ICT</w:t>
      </w:r>
      <w:r>
        <w:rPr>
          <w:color w:val="00AEEF"/>
          <w:spacing w:val="-8"/>
        </w:rPr>
        <w:t xml:space="preserve"> </w:t>
      </w:r>
      <w:r>
        <w:rPr>
          <w:color w:val="00AEEF"/>
          <w:spacing w:val="-2"/>
        </w:rPr>
        <w:t>enabled</w:t>
      </w:r>
      <w:r>
        <w:rPr>
          <w:color w:val="00AEEF"/>
          <w:spacing w:val="-8"/>
        </w:rPr>
        <w:t xml:space="preserve"> </w:t>
      </w:r>
      <w:r>
        <w:rPr>
          <w:color w:val="00AEEF"/>
          <w:spacing w:val="-2"/>
        </w:rPr>
        <w:t>service</w:t>
      </w:r>
      <w:r>
        <w:rPr>
          <w:color w:val="00AEEF"/>
          <w:spacing w:val="-8"/>
        </w:rPr>
        <w:t xml:space="preserve"> </w:t>
      </w:r>
      <w:r>
        <w:rPr>
          <w:color w:val="00AEEF"/>
          <w:spacing w:val="-2"/>
        </w:rPr>
        <w:t>delivery</w:t>
      </w:r>
    </w:p>
    <w:p w:rsidR="002C1123" w:rsidRDefault="00F22F94">
      <w:pPr>
        <w:pStyle w:val="BodyText"/>
        <w:spacing w:before="95" w:line="249" w:lineRule="auto"/>
        <w:ind w:left="194" w:right="487"/>
      </w:pPr>
      <w:r>
        <w:rPr>
          <w:spacing w:val="-2"/>
        </w:rPr>
        <w:t>A</w:t>
      </w:r>
      <w:r>
        <w:rPr>
          <w:spacing w:val="-7"/>
        </w:rPr>
        <w:t xml:space="preserve"> </w:t>
      </w:r>
      <w:r>
        <w:rPr>
          <w:spacing w:val="-2"/>
        </w:rPr>
        <w:t>variety</w:t>
      </w:r>
      <w:r>
        <w:rPr>
          <w:spacing w:val="-7"/>
        </w:rPr>
        <w:t xml:space="preserve"> </w:t>
      </w:r>
      <w:r>
        <w:rPr>
          <w:spacing w:val="-2"/>
        </w:rPr>
        <w:t>of</w:t>
      </w:r>
      <w:r>
        <w:rPr>
          <w:spacing w:val="-7"/>
        </w:rPr>
        <w:t xml:space="preserve"> </w:t>
      </w:r>
      <w:r>
        <w:rPr>
          <w:spacing w:val="-2"/>
        </w:rPr>
        <w:t>delivery</w:t>
      </w:r>
      <w:r>
        <w:rPr>
          <w:spacing w:val="-7"/>
        </w:rPr>
        <w:t xml:space="preserve"> </w:t>
      </w:r>
      <w:r>
        <w:rPr>
          <w:spacing w:val="-2"/>
        </w:rPr>
        <w:t>models</w:t>
      </w:r>
      <w:r>
        <w:rPr>
          <w:spacing w:val="-7"/>
        </w:rPr>
        <w:t xml:space="preserve"> </w:t>
      </w:r>
      <w:r>
        <w:rPr>
          <w:spacing w:val="-2"/>
        </w:rPr>
        <w:t>have</w:t>
      </w:r>
      <w:r>
        <w:rPr>
          <w:spacing w:val="-7"/>
        </w:rPr>
        <w:t xml:space="preserve"> </w:t>
      </w:r>
      <w:r>
        <w:rPr>
          <w:spacing w:val="-2"/>
        </w:rPr>
        <w:t>potential</w:t>
      </w:r>
      <w:r>
        <w:rPr>
          <w:spacing w:val="-7"/>
        </w:rPr>
        <w:t xml:space="preserve"> </w:t>
      </w:r>
      <w:r>
        <w:rPr>
          <w:spacing w:val="-2"/>
        </w:rPr>
        <w:t>to</w:t>
      </w:r>
      <w:r>
        <w:rPr>
          <w:spacing w:val="-7"/>
        </w:rPr>
        <w:t xml:space="preserve"> </w:t>
      </w:r>
      <w:r>
        <w:rPr>
          <w:spacing w:val="-2"/>
        </w:rPr>
        <w:t xml:space="preserve">generate </w:t>
      </w:r>
      <w:r>
        <w:rPr>
          <w:w w:val="95"/>
        </w:rPr>
        <w:t>capital and operating cost savings if delivered effectively and</w:t>
      </w:r>
      <w:r>
        <w:rPr>
          <w:spacing w:val="-4"/>
          <w:w w:val="95"/>
        </w:rPr>
        <w:t xml:space="preserve"> </w:t>
      </w:r>
      <w:r>
        <w:rPr>
          <w:w w:val="95"/>
        </w:rPr>
        <w:t>if</w:t>
      </w:r>
      <w:r>
        <w:rPr>
          <w:spacing w:val="-4"/>
          <w:w w:val="95"/>
        </w:rPr>
        <w:t xml:space="preserve"> </w:t>
      </w:r>
      <w:r>
        <w:rPr>
          <w:w w:val="95"/>
        </w:rPr>
        <w:t>they</w:t>
      </w:r>
      <w:r>
        <w:rPr>
          <w:spacing w:val="-4"/>
          <w:w w:val="95"/>
        </w:rPr>
        <w:t xml:space="preserve"> </w:t>
      </w:r>
      <w:r>
        <w:rPr>
          <w:w w:val="95"/>
        </w:rPr>
        <w:t>are</w:t>
      </w:r>
      <w:r>
        <w:rPr>
          <w:spacing w:val="-4"/>
          <w:w w:val="95"/>
        </w:rPr>
        <w:t xml:space="preserve"> </w:t>
      </w:r>
      <w:r>
        <w:rPr>
          <w:w w:val="95"/>
        </w:rPr>
        <w:t>accompanied</w:t>
      </w:r>
      <w:r>
        <w:rPr>
          <w:spacing w:val="-4"/>
          <w:w w:val="95"/>
        </w:rPr>
        <w:t xml:space="preserve"> </w:t>
      </w:r>
      <w:r>
        <w:rPr>
          <w:w w:val="95"/>
        </w:rPr>
        <w:t>by</w:t>
      </w:r>
      <w:r>
        <w:rPr>
          <w:spacing w:val="-4"/>
          <w:w w:val="95"/>
        </w:rPr>
        <w:t xml:space="preserve"> </w:t>
      </w:r>
      <w:r>
        <w:rPr>
          <w:w w:val="95"/>
        </w:rPr>
        <w:t>disposal</w:t>
      </w:r>
      <w:r>
        <w:rPr>
          <w:spacing w:val="-4"/>
          <w:w w:val="95"/>
        </w:rPr>
        <w:t xml:space="preserve"> </w:t>
      </w:r>
      <w:r>
        <w:rPr>
          <w:w w:val="95"/>
        </w:rPr>
        <w:t>of</w:t>
      </w:r>
      <w:r>
        <w:rPr>
          <w:spacing w:val="-4"/>
          <w:w w:val="95"/>
        </w:rPr>
        <w:t xml:space="preserve"> </w:t>
      </w:r>
      <w:r>
        <w:rPr>
          <w:w w:val="95"/>
        </w:rPr>
        <w:t xml:space="preserve">under-utilised </w:t>
      </w:r>
      <w:r>
        <w:t>assets.</w:t>
      </w:r>
      <w:r>
        <w:rPr>
          <w:spacing w:val="-14"/>
        </w:rPr>
        <w:t xml:space="preserve"> </w:t>
      </w:r>
      <w:r>
        <w:t>Information</w:t>
      </w:r>
      <w:r>
        <w:rPr>
          <w:spacing w:val="-14"/>
        </w:rPr>
        <w:t xml:space="preserve"> </w:t>
      </w:r>
      <w:r>
        <w:t>and</w:t>
      </w:r>
      <w:r>
        <w:rPr>
          <w:spacing w:val="-14"/>
        </w:rPr>
        <w:t xml:space="preserve"> </w:t>
      </w:r>
      <w:r>
        <w:t>Communication</w:t>
      </w:r>
      <w:r>
        <w:rPr>
          <w:spacing w:val="-14"/>
        </w:rPr>
        <w:t xml:space="preserve"> </w:t>
      </w:r>
      <w:r>
        <w:t>Technologies (ICT)</w:t>
      </w:r>
      <w:r>
        <w:rPr>
          <w:spacing w:val="-14"/>
        </w:rPr>
        <w:t xml:space="preserve"> </w:t>
      </w:r>
      <w:r>
        <w:t>is</w:t>
      </w:r>
      <w:r>
        <w:rPr>
          <w:spacing w:val="-14"/>
        </w:rPr>
        <w:t xml:space="preserve"> </w:t>
      </w:r>
      <w:r>
        <w:t>reducing</w:t>
      </w:r>
      <w:r>
        <w:rPr>
          <w:spacing w:val="-14"/>
        </w:rPr>
        <w:t xml:space="preserve"> </w:t>
      </w:r>
      <w:r>
        <w:t>the</w:t>
      </w:r>
      <w:r>
        <w:rPr>
          <w:spacing w:val="-14"/>
        </w:rPr>
        <w:t xml:space="preserve"> </w:t>
      </w:r>
      <w:r>
        <w:t>dependence</w:t>
      </w:r>
      <w:r>
        <w:rPr>
          <w:spacing w:val="-14"/>
        </w:rPr>
        <w:t xml:space="preserve"> </w:t>
      </w:r>
      <w:r>
        <w:t>on</w:t>
      </w:r>
      <w:r>
        <w:rPr>
          <w:spacing w:val="-14"/>
        </w:rPr>
        <w:t xml:space="preserve"> </w:t>
      </w:r>
      <w:r>
        <w:t>physical</w:t>
      </w:r>
      <w:r>
        <w:rPr>
          <w:spacing w:val="-14"/>
        </w:rPr>
        <w:t xml:space="preserve"> </w:t>
      </w:r>
      <w:r>
        <w:t>assets.</w:t>
      </w:r>
    </w:p>
    <w:p w:rsidR="002C1123" w:rsidRDefault="00F22F94">
      <w:pPr>
        <w:pStyle w:val="BodyText"/>
        <w:spacing w:before="4" w:line="249" w:lineRule="auto"/>
        <w:ind w:left="194" w:right="807"/>
      </w:pPr>
      <w:r>
        <w:rPr>
          <w:w w:val="95"/>
        </w:rPr>
        <w:t>For example, remote witness and video conferencing facilities</w:t>
      </w:r>
      <w:r>
        <w:rPr>
          <w:spacing w:val="-7"/>
          <w:w w:val="95"/>
        </w:rPr>
        <w:t xml:space="preserve"> </w:t>
      </w:r>
      <w:r>
        <w:rPr>
          <w:w w:val="95"/>
        </w:rPr>
        <w:t>are</w:t>
      </w:r>
      <w:r>
        <w:rPr>
          <w:spacing w:val="-7"/>
          <w:w w:val="95"/>
        </w:rPr>
        <w:t xml:space="preserve"> </w:t>
      </w:r>
      <w:r>
        <w:rPr>
          <w:w w:val="95"/>
        </w:rPr>
        <w:t>being</w:t>
      </w:r>
      <w:r>
        <w:rPr>
          <w:spacing w:val="-7"/>
          <w:w w:val="95"/>
        </w:rPr>
        <w:t xml:space="preserve"> </w:t>
      </w:r>
      <w:r>
        <w:rPr>
          <w:w w:val="95"/>
        </w:rPr>
        <w:t>expanded</w:t>
      </w:r>
      <w:r>
        <w:rPr>
          <w:spacing w:val="-7"/>
          <w:w w:val="95"/>
        </w:rPr>
        <w:t xml:space="preserve"> </w:t>
      </w:r>
      <w:r>
        <w:rPr>
          <w:w w:val="95"/>
        </w:rPr>
        <w:t>across</w:t>
      </w:r>
      <w:r>
        <w:rPr>
          <w:spacing w:val="-7"/>
          <w:w w:val="95"/>
        </w:rPr>
        <w:t xml:space="preserve"> </w:t>
      </w:r>
      <w:r>
        <w:rPr>
          <w:w w:val="95"/>
        </w:rPr>
        <w:t>the</w:t>
      </w:r>
      <w:r>
        <w:rPr>
          <w:spacing w:val="-7"/>
          <w:w w:val="95"/>
        </w:rPr>
        <w:t xml:space="preserve"> </w:t>
      </w:r>
      <w:r>
        <w:rPr>
          <w:w w:val="95"/>
        </w:rPr>
        <w:t>State</w:t>
      </w:r>
      <w:r>
        <w:rPr>
          <w:spacing w:val="-7"/>
          <w:w w:val="95"/>
        </w:rPr>
        <w:t xml:space="preserve"> </w:t>
      </w:r>
      <w:r>
        <w:rPr>
          <w:w w:val="95"/>
        </w:rPr>
        <w:t xml:space="preserve">allowing </w:t>
      </w:r>
      <w:r>
        <w:t>witnesses</w:t>
      </w:r>
      <w:r>
        <w:rPr>
          <w:spacing w:val="-11"/>
        </w:rPr>
        <w:t xml:space="preserve"> </w:t>
      </w:r>
      <w:r>
        <w:t>to</w:t>
      </w:r>
      <w:r>
        <w:rPr>
          <w:spacing w:val="-11"/>
        </w:rPr>
        <w:t xml:space="preserve"> </w:t>
      </w:r>
      <w:r>
        <w:t>give</w:t>
      </w:r>
      <w:r>
        <w:rPr>
          <w:spacing w:val="-11"/>
        </w:rPr>
        <w:t xml:space="preserve"> </w:t>
      </w:r>
      <w:r>
        <w:t>evidence</w:t>
      </w:r>
      <w:r>
        <w:rPr>
          <w:spacing w:val="-11"/>
        </w:rPr>
        <w:t xml:space="preserve"> </w:t>
      </w:r>
      <w:r>
        <w:t>from</w:t>
      </w:r>
      <w:r>
        <w:rPr>
          <w:spacing w:val="-12"/>
        </w:rPr>
        <w:t xml:space="preserve"> </w:t>
      </w:r>
      <w:r>
        <w:t>remote</w:t>
      </w:r>
      <w:r>
        <w:rPr>
          <w:spacing w:val="-11"/>
        </w:rPr>
        <w:t xml:space="preserve"> </w:t>
      </w:r>
      <w:r>
        <w:t xml:space="preserve">locations </w:t>
      </w:r>
      <w:r>
        <w:rPr>
          <w:w w:val="95"/>
        </w:rPr>
        <w:t>thereby reducing the need for purpose built buildings.</w:t>
      </w:r>
    </w:p>
    <w:p w:rsidR="002C1123" w:rsidRDefault="00F22F94">
      <w:pPr>
        <w:pStyle w:val="BodyText"/>
        <w:spacing w:before="145" w:line="249" w:lineRule="auto"/>
        <w:ind w:left="194" w:right="845"/>
      </w:pPr>
      <w:r>
        <w:rPr>
          <w:w w:val="95"/>
        </w:rPr>
        <w:t>As a result, less physical infrastructure is needed. Investment</w:t>
      </w:r>
      <w:r>
        <w:rPr>
          <w:spacing w:val="-5"/>
          <w:w w:val="95"/>
        </w:rPr>
        <w:t xml:space="preserve"> </w:t>
      </w:r>
      <w:r>
        <w:rPr>
          <w:w w:val="95"/>
        </w:rPr>
        <w:t>is</w:t>
      </w:r>
      <w:r>
        <w:rPr>
          <w:spacing w:val="-5"/>
          <w:w w:val="95"/>
        </w:rPr>
        <w:t xml:space="preserve"> </w:t>
      </w:r>
      <w:r>
        <w:rPr>
          <w:w w:val="95"/>
        </w:rPr>
        <w:t>needed</w:t>
      </w:r>
      <w:r>
        <w:rPr>
          <w:spacing w:val="-5"/>
          <w:w w:val="95"/>
        </w:rPr>
        <w:t xml:space="preserve"> </w:t>
      </w:r>
      <w:r>
        <w:rPr>
          <w:w w:val="95"/>
        </w:rPr>
        <w:t>in</w:t>
      </w:r>
      <w:r>
        <w:rPr>
          <w:spacing w:val="-5"/>
          <w:w w:val="95"/>
        </w:rPr>
        <w:t xml:space="preserve"> </w:t>
      </w:r>
      <w:r>
        <w:rPr>
          <w:w w:val="95"/>
        </w:rPr>
        <w:t>technology</w:t>
      </w:r>
      <w:r>
        <w:rPr>
          <w:spacing w:val="-5"/>
          <w:w w:val="95"/>
        </w:rPr>
        <w:t xml:space="preserve"> </w:t>
      </w:r>
      <w:r>
        <w:rPr>
          <w:w w:val="95"/>
        </w:rPr>
        <w:t>infrastructure.</w:t>
      </w:r>
    </w:p>
    <w:p w:rsidR="002C1123" w:rsidRDefault="002060EF">
      <w:pPr>
        <w:pStyle w:val="BodyText"/>
        <w:spacing w:before="8"/>
        <w:rPr>
          <w:sz w:val="12"/>
        </w:rPr>
      </w:pPr>
      <w:r>
        <w:pict>
          <v:shape id="docshape2828" o:spid="_x0000_s1178" type="#_x0000_t202" style="position:absolute;margin-left:552.3pt;margin-top:8.55pt;width:240pt;height:57.35pt;z-index:-251322368;mso-wrap-distance-left:0;mso-wrap-distance-right:0;mso-position-horizontal-relative:page" fillcolor="#e1e0e1" stroked="f">
            <v:textbox inset="0,0,0,0">
              <w:txbxContent>
                <w:p w:rsidR="00F22F94" w:rsidRDefault="00F22F94">
                  <w:pPr>
                    <w:pStyle w:val="BodyText"/>
                    <w:spacing w:before="68" w:line="249" w:lineRule="auto"/>
                    <w:ind w:left="113" w:right="245"/>
                    <w:rPr>
                      <w:color w:val="000000"/>
                    </w:rPr>
                  </w:pPr>
                  <w:r>
                    <w:rPr>
                      <w:b/>
                      <w:color w:val="00AEEF"/>
                    </w:rPr>
                    <w:t>Recommendation</w:t>
                  </w:r>
                  <w:r>
                    <w:rPr>
                      <w:b/>
                      <w:color w:val="00AEEF"/>
                      <w:spacing w:val="40"/>
                    </w:rPr>
                    <w:t xml:space="preserve"> </w:t>
                  </w:r>
                  <w:r>
                    <w:rPr>
                      <w:color w:val="000000"/>
                    </w:rPr>
                    <w:t xml:space="preserve">Infrastructure NSW </w:t>
                  </w:r>
                  <w:r>
                    <w:rPr>
                      <w:color w:val="000000"/>
                      <w:w w:val="95"/>
                    </w:rPr>
                    <w:t xml:space="preserve">recommends reconfiguring and disposing of surplus </w:t>
                  </w:r>
                  <w:r>
                    <w:rPr>
                      <w:color w:val="000000"/>
                    </w:rPr>
                    <w:t>court</w:t>
                  </w:r>
                  <w:r>
                    <w:rPr>
                      <w:color w:val="000000"/>
                      <w:spacing w:val="-6"/>
                    </w:rPr>
                    <w:t xml:space="preserve"> </w:t>
                  </w:r>
                  <w:r>
                    <w:rPr>
                      <w:color w:val="000000"/>
                    </w:rPr>
                    <w:t>house,</w:t>
                  </w:r>
                  <w:r>
                    <w:rPr>
                      <w:color w:val="000000"/>
                      <w:spacing w:val="-6"/>
                    </w:rPr>
                    <w:t xml:space="preserve"> </w:t>
                  </w:r>
                  <w:r>
                    <w:rPr>
                      <w:color w:val="000000"/>
                    </w:rPr>
                    <w:t>with</w:t>
                  </w:r>
                  <w:r>
                    <w:rPr>
                      <w:color w:val="000000"/>
                      <w:spacing w:val="-6"/>
                    </w:rPr>
                    <w:t xml:space="preserve"> </w:t>
                  </w:r>
                  <w:r>
                    <w:rPr>
                      <w:color w:val="000000"/>
                    </w:rPr>
                    <w:t>increased</w:t>
                  </w:r>
                  <w:r>
                    <w:rPr>
                      <w:color w:val="000000"/>
                      <w:spacing w:val="-6"/>
                    </w:rPr>
                    <w:t xml:space="preserve"> </w:t>
                  </w:r>
                  <w:r>
                    <w:rPr>
                      <w:color w:val="000000"/>
                    </w:rPr>
                    <w:t>use</w:t>
                  </w:r>
                  <w:r>
                    <w:rPr>
                      <w:color w:val="000000"/>
                      <w:spacing w:val="-6"/>
                    </w:rPr>
                    <w:t xml:space="preserve"> </w:t>
                  </w:r>
                  <w:r>
                    <w:rPr>
                      <w:color w:val="000000"/>
                    </w:rPr>
                    <w:t>of</w:t>
                  </w:r>
                  <w:r>
                    <w:rPr>
                      <w:color w:val="000000"/>
                      <w:spacing w:val="-6"/>
                    </w:rPr>
                    <w:t xml:space="preserve"> </w:t>
                  </w:r>
                  <w:r>
                    <w:rPr>
                      <w:color w:val="000000"/>
                    </w:rPr>
                    <w:t>technology</w:t>
                  </w:r>
                  <w:r>
                    <w:rPr>
                      <w:color w:val="000000"/>
                      <w:spacing w:val="-6"/>
                    </w:rPr>
                    <w:t xml:space="preserve"> </w:t>
                  </w:r>
                  <w:r>
                    <w:rPr>
                      <w:color w:val="000000"/>
                    </w:rPr>
                    <w:t>to offset capital requirements</w:t>
                  </w:r>
                </w:p>
              </w:txbxContent>
            </v:textbox>
            <w10:wrap type="topAndBottom" anchorx="page"/>
          </v:shape>
        </w:pict>
      </w:r>
    </w:p>
    <w:p w:rsidR="002C1123" w:rsidRDefault="002C1123">
      <w:pPr>
        <w:rPr>
          <w:sz w:val="12"/>
        </w:rPr>
        <w:sectPr w:rsidR="002C1123">
          <w:type w:val="continuous"/>
          <w:pgSz w:w="16840" w:h="11910" w:orient="landscape"/>
          <w:pgMar w:top="560" w:right="280" w:bottom="280" w:left="500" w:header="0" w:footer="517" w:gutter="0"/>
          <w:cols w:num="3" w:space="720" w:equalWidth="0">
            <w:col w:w="3971" w:space="1056"/>
            <w:col w:w="5284" w:space="39"/>
            <w:col w:w="5710"/>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3"/>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spacing w:before="108" w:line="249" w:lineRule="auto"/>
        <w:ind w:left="492" w:right="483"/>
        <w:rPr>
          <w:sz w:val="20"/>
        </w:rPr>
      </w:pPr>
      <w:bookmarkStart w:id="378" w:name="_bookmark269"/>
      <w:bookmarkEnd w:id="378"/>
      <w:r>
        <w:rPr>
          <w:b/>
          <w:sz w:val="20"/>
        </w:rPr>
        <w:t xml:space="preserve">Centres of Excellence and justice precincts </w:t>
      </w:r>
      <w:r>
        <w:rPr>
          <w:w w:val="95"/>
          <w:sz w:val="20"/>
        </w:rPr>
        <w:t>Co-location of court, police and education facilities (University law faculties) has some agglomeration</w:t>
      </w:r>
    </w:p>
    <w:p w:rsidR="002C1123" w:rsidRDefault="00F22F94">
      <w:pPr>
        <w:pStyle w:val="BodyText"/>
        <w:spacing w:before="2" w:line="249" w:lineRule="auto"/>
        <w:ind w:left="492"/>
      </w:pPr>
      <w:r>
        <w:rPr>
          <w:w w:val="95"/>
        </w:rPr>
        <w:t>benefit</w:t>
      </w:r>
      <w:r>
        <w:rPr>
          <w:spacing w:val="-5"/>
          <w:w w:val="95"/>
        </w:rPr>
        <w:t xml:space="preserve"> </w:t>
      </w:r>
      <w:r>
        <w:rPr>
          <w:w w:val="95"/>
        </w:rPr>
        <w:t>and</w:t>
      </w:r>
      <w:r>
        <w:rPr>
          <w:spacing w:val="-5"/>
          <w:w w:val="95"/>
        </w:rPr>
        <w:t xml:space="preserve"> </w:t>
      </w:r>
      <w:r>
        <w:rPr>
          <w:w w:val="95"/>
        </w:rPr>
        <w:t>also</w:t>
      </w:r>
      <w:r>
        <w:rPr>
          <w:spacing w:val="-5"/>
          <w:w w:val="95"/>
        </w:rPr>
        <w:t xml:space="preserve"> </w:t>
      </w:r>
      <w:r>
        <w:rPr>
          <w:w w:val="95"/>
        </w:rPr>
        <w:t>provides</w:t>
      </w:r>
      <w:r>
        <w:rPr>
          <w:spacing w:val="-5"/>
          <w:w w:val="95"/>
        </w:rPr>
        <w:t xml:space="preserve"> </w:t>
      </w:r>
      <w:r>
        <w:rPr>
          <w:w w:val="95"/>
        </w:rPr>
        <w:t>potential</w:t>
      </w:r>
      <w:r>
        <w:rPr>
          <w:spacing w:val="-5"/>
          <w:w w:val="95"/>
        </w:rPr>
        <w:t xml:space="preserve"> </w:t>
      </w:r>
      <w:r>
        <w:rPr>
          <w:w w:val="95"/>
        </w:rPr>
        <w:t>for</w:t>
      </w:r>
      <w:r>
        <w:rPr>
          <w:spacing w:val="-5"/>
          <w:w w:val="95"/>
        </w:rPr>
        <w:t xml:space="preserve"> </w:t>
      </w:r>
      <w:r>
        <w:rPr>
          <w:w w:val="95"/>
        </w:rPr>
        <w:t>development</w:t>
      </w:r>
      <w:r>
        <w:rPr>
          <w:spacing w:val="-5"/>
          <w:w w:val="95"/>
        </w:rPr>
        <w:t xml:space="preserve"> </w:t>
      </w:r>
      <w:r>
        <w:rPr>
          <w:w w:val="95"/>
        </w:rPr>
        <w:t xml:space="preserve">of </w:t>
      </w:r>
      <w:r>
        <w:t>specialty</w:t>
      </w:r>
      <w:r>
        <w:rPr>
          <w:spacing w:val="-11"/>
        </w:rPr>
        <w:t xml:space="preserve"> </w:t>
      </w:r>
      <w:r>
        <w:t>centres.</w:t>
      </w:r>
    </w:p>
    <w:p w:rsidR="002C1123" w:rsidRDefault="00F22F94">
      <w:pPr>
        <w:pStyle w:val="BodyText"/>
        <w:spacing w:before="144" w:line="249" w:lineRule="auto"/>
        <w:ind w:left="492" w:right="9"/>
      </w:pPr>
      <w:r>
        <w:rPr>
          <w:w w:val="95"/>
        </w:rPr>
        <w:t xml:space="preserve">A justice precinct strategy was the basis for investment </w:t>
      </w:r>
      <w:r>
        <w:t>in</w:t>
      </w:r>
      <w:r>
        <w:rPr>
          <w:spacing w:val="-14"/>
        </w:rPr>
        <w:t xml:space="preserve"> </w:t>
      </w:r>
      <w:r>
        <w:t>a</w:t>
      </w:r>
      <w:r>
        <w:rPr>
          <w:spacing w:val="-14"/>
        </w:rPr>
        <w:t xml:space="preserve"> </w:t>
      </w:r>
      <w:r>
        <w:t>new</w:t>
      </w:r>
      <w:r>
        <w:rPr>
          <w:spacing w:val="-14"/>
        </w:rPr>
        <w:t xml:space="preserve"> </w:t>
      </w:r>
      <w:r>
        <w:t>building</w:t>
      </w:r>
      <w:r>
        <w:rPr>
          <w:spacing w:val="-14"/>
        </w:rPr>
        <w:t xml:space="preserve"> </w:t>
      </w:r>
      <w:r>
        <w:t>in</w:t>
      </w:r>
      <w:r>
        <w:rPr>
          <w:spacing w:val="-14"/>
        </w:rPr>
        <w:t xml:space="preserve"> </w:t>
      </w:r>
      <w:r>
        <w:t>Parramatta</w:t>
      </w:r>
      <w:r>
        <w:rPr>
          <w:spacing w:val="-14"/>
        </w:rPr>
        <w:t xml:space="preserve"> </w:t>
      </w:r>
      <w:r>
        <w:t>and</w:t>
      </w:r>
      <w:r>
        <w:rPr>
          <w:spacing w:val="-14"/>
        </w:rPr>
        <w:t xml:space="preserve"> </w:t>
      </w:r>
      <w:r>
        <w:t>is</w:t>
      </w:r>
      <w:r>
        <w:rPr>
          <w:spacing w:val="-14"/>
        </w:rPr>
        <w:t xml:space="preserve"> </w:t>
      </w:r>
      <w:r>
        <w:t>being</w:t>
      </w:r>
      <w:r>
        <w:rPr>
          <w:spacing w:val="-13"/>
        </w:rPr>
        <w:t xml:space="preserve"> </w:t>
      </w:r>
      <w:r>
        <w:t xml:space="preserve">partially </w:t>
      </w:r>
      <w:r>
        <w:rPr>
          <w:spacing w:val="-2"/>
        </w:rPr>
        <w:t>implemented</w:t>
      </w:r>
      <w:r>
        <w:rPr>
          <w:spacing w:val="-6"/>
        </w:rPr>
        <w:t xml:space="preserve"> </w:t>
      </w:r>
      <w:r>
        <w:rPr>
          <w:spacing w:val="-2"/>
        </w:rPr>
        <w:t>in</w:t>
      </w:r>
      <w:r>
        <w:rPr>
          <w:spacing w:val="-6"/>
        </w:rPr>
        <w:t xml:space="preserve"> </w:t>
      </w:r>
      <w:r>
        <w:rPr>
          <w:spacing w:val="-2"/>
        </w:rPr>
        <w:t>Newcastle.</w:t>
      </w:r>
      <w:r>
        <w:rPr>
          <w:spacing w:val="-6"/>
        </w:rPr>
        <w:t xml:space="preserve"> </w:t>
      </w:r>
      <w:r>
        <w:rPr>
          <w:spacing w:val="-2"/>
        </w:rPr>
        <w:t>It</w:t>
      </w:r>
      <w:r>
        <w:rPr>
          <w:spacing w:val="-6"/>
        </w:rPr>
        <w:t xml:space="preserve"> </w:t>
      </w:r>
      <w:r>
        <w:rPr>
          <w:spacing w:val="-2"/>
        </w:rPr>
        <w:t>was</w:t>
      </w:r>
      <w:r>
        <w:rPr>
          <w:spacing w:val="-6"/>
        </w:rPr>
        <w:t xml:space="preserve"> </w:t>
      </w:r>
      <w:r>
        <w:rPr>
          <w:spacing w:val="-2"/>
        </w:rPr>
        <w:t>originally</w:t>
      </w:r>
      <w:r>
        <w:rPr>
          <w:spacing w:val="-6"/>
        </w:rPr>
        <w:t xml:space="preserve"> </w:t>
      </w:r>
      <w:r>
        <w:rPr>
          <w:spacing w:val="-2"/>
        </w:rPr>
        <w:t xml:space="preserve">envisaged </w:t>
      </w:r>
      <w:r>
        <w:rPr>
          <w:w w:val="95"/>
        </w:rPr>
        <w:t>that</w:t>
      </w:r>
      <w:r>
        <w:rPr>
          <w:spacing w:val="-6"/>
          <w:w w:val="95"/>
        </w:rPr>
        <w:t xml:space="preserve"> </w:t>
      </w:r>
      <w:r>
        <w:rPr>
          <w:w w:val="95"/>
        </w:rPr>
        <w:t>State</w:t>
      </w:r>
      <w:r>
        <w:rPr>
          <w:spacing w:val="-6"/>
          <w:w w:val="95"/>
        </w:rPr>
        <w:t xml:space="preserve"> </w:t>
      </w:r>
      <w:r>
        <w:rPr>
          <w:w w:val="95"/>
        </w:rPr>
        <w:t>and</w:t>
      </w:r>
      <w:r>
        <w:rPr>
          <w:spacing w:val="-6"/>
          <w:w w:val="95"/>
        </w:rPr>
        <w:t xml:space="preserve"> </w:t>
      </w:r>
      <w:r>
        <w:rPr>
          <w:w w:val="95"/>
        </w:rPr>
        <w:t>Federal</w:t>
      </w:r>
      <w:r>
        <w:rPr>
          <w:spacing w:val="-6"/>
          <w:w w:val="95"/>
        </w:rPr>
        <w:t xml:space="preserve"> </w:t>
      </w:r>
      <w:r>
        <w:rPr>
          <w:w w:val="95"/>
        </w:rPr>
        <w:t>Police</w:t>
      </w:r>
      <w:r>
        <w:rPr>
          <w:spacing w:val="-6"/>
          <w:w w:val="95"/>
        </w:rPr>
        <w:t xml:space="preserve"> </w:t>
      </w:r>
      <w:r>
        <w:rPr>
          <w:w w:val="95"/>
        </w:rPr>
        <w:t>and</w:t>
      </w:r>
      <w:r>
        <w:rPr>
          <w:spacing w:val="-6"/>
          <w:w w:val="95"/>
        </w:rPr>
        <w:t xml:space="preserve"> </w:t>
      </w:r>
      <w:r>
        <w:rPr>
          <w:w w:val="95"/>
        </w:rPr>
        <w:t>Court</w:t>
      </w:r>
      <w:r>
        <w:rPr>
          <w:spacing w:val="-6"/>
          <w:w w:val="95"/>
        </w:rPr>
        <w:t xml:space="preserve"> </w:t>
      </w:r>
      <w:r>
        <w:rPr>
          <w:w w:val="95"/>
        </w:rPr>
        <w:t>facilities</w:t>
      </w:r>
      <w:r>
        <w:rPr>
          <w:spacing w:val="-6"/>
          <w:w w:val="95"/>
        </w:rPr>
        <w:t xml:space="preserve"> </w:t>
      </w:r>
      <w:r>
        <w:rPr>
          <w:w w:val="95"/>
        </w:rPr>
        <w:t>as</w:t>
      </w:r>
      <w:r>
        <w:rPr>
          <w:spacing w:val="-6"/>
          <w:w w:val="95"/>
        </w:rPr>
        <w:t xml:space="preserve"> </w:t>
      </w:r>
      <w:r>
        <w:rPr>
          <w:w w:val="95"/>
        </w:rPr>
        <w:t xml:space="preserve">well </w:t>
      </w:r>
      <w:r>
        <w:rPr>
          <w:spacing w:val="-2"/>
        </w:rPr>
        <w:t>as</w:t>
      </w:r>
      <w:r>
        <w:rPr>
          <w:spacing w:val="-6"/>
        </w:rPr>
        <w:t xml:space="preserve"> </w:t>
      </w:r>
      <w:r>
        <w:rPr>
          <w:spacing w:val="-2"/>
        </w:rPr>
        <w:t>the</w:t>
      </w:r>
      <w:r>
        <w:rPr>
          <w:spacing w:val="-6"/>
        </w:rPr>
        <w:t xml:space="preserve"> </w:t>
      </w:r>
      <w:r>
        <w:rPr>
          <w:spacing w:val="-2"/>
        </w:rPr>
        <w:t>University</w:t>
      </w:r>
      <w:r>
        <w:rPr>
          <w:spacing w:val="-6"/>
        </w:rPr>
        <w:t xml:space="preserve"> </w:t>
      </w:r>
      <w:r>
        <w:rPr>
          <w:spacing w:val="-2"/>
        </w:rPr>
        <w:t>of</w:t>
      </w:r>
      <w:r>
        <w:rPr>
          <w:spacing w:val="-6"/>
        </w:rPr>
        <w:t xml:space="preserve"> </w:t>
      </w:r>
      <w:r>
        <w:rPr>
          <w:spacing w:val="-2"/>
        </w:rPr>
        <w:t>Newcastle</w:t>
      </w:r>
      <w:r>
        <w:rPr>
          <w:spacing w:val="-6"/>
        </w:rPr>
        <w:t xml:space="preserve"> </w:t>
      </w:r>
      <w:r>
        <w:rPr>
          <w:spacing w:val="-2"/>
        </w:rPr>
        <w:t>University</w:t>
      </w:r>
      <w:r>
        <w:rPr>
          <w:spacing w:val="-6"/>
        </w:rPr>
        <w:t xml:space="preserve"> </w:t>
      </w:r>
      <w:r>
        <w:rPr>
          <w:spacing w:val="-2"/>
        </w:rPr>
        <w:t>Law</w:t>
      </w:r>
      <w:r>
        <w:rPr>
          <w:spacing w:val="-6"/>
        </w:rPr>
        <w:t xml:space="preserve"> </w:t>
      </w:r>
      <w:r>
        <w:rPr>
          <w:spacing w:val="-2"/>
        </w:rPr>
        <w:t xml:space="preserve">Faculty </w:t>
      </w:r>
      <w:r>
        <w:t>would</w:t>
      </w:r>
      <w:r>
        <w:rPr>
          <w:spacing w:val="-14"/>
        </w:rPr>
        <w:t xml:space="preserve"> </w:t>
      </w:r>
      <w:r>
        <w:t>be</w:t>
      </w:r>
      <w:r>
        <w:rPr>
          <w:spacing w:val="-14"/>
        </w:rPr>
        <w:t xml:space="preserve"> </w:t>
      </w:r>
      <w:r>
        <w:t>co-located.</w:t>
      </w:r>
      <w:r>
        <w:rPr>
          <w:spacing w:val="-14"/>
        </w:rPr>
        <w:t xml:space="preserve"> </w:t>
      </w:r>
      <w:r>
        <w:t>Currently,</w:t>
      </w:r>
      <w:r>
        <w:rPr>
          <w:spacing w:val="-14"/>
        </w:rPr>
        <w:t xml:space="preserve"> </w:t>
      </w:r>
      <w:r>
        <w:t>a</w:t>
      </w:r>
      <w:r>
        <w:rPr>
          <w:spacing w:val="-14"/>
        </w:rPr>
        <w:t xml:space="preserve"> </w:t>
      </w:r>
      <w:r>
        <w:t>NSW</w:t>
      </w:r>
      <w:r>
        <w:rPr>
          <w:spacing w:val="-14"/>
        </w:rPr>
        <w:t xml:space="preserve"> </w:t>
      </w:r>
      <w:r>
        <w:t>court</w:t>
      </w:r>
      <w:r>
        <w:rPr>
          <w:spacing w:val="-13"/>
        </w:rPr>
        <w:t xml:space="preserve"> </w:t>
      </w:r>
      <w:r>
        <w:t xml:space="preserve">complex </w:t>
      </w:r>
      <w:r>
        <w:rPr>
          <w:w w:val="95"/>
        </w:rPr>
        <w:t>is</w:t>
      </w:r>
      <w:r>
        <w:rPr>
          <w:spacing w:val="-1"/>
          <w:w w:val="95"/>
        </w:rPr>
        <w:t xml:space="preserve"> </w:t>
      </w:r>
      <w:r>
        <w:rPr>
          <w:w w:val="95"/>
        </w:rPr>
        <w:t>under</w:t>
      </w:r>
      <w:r>
        <w:rPr>
          <w:spacing w:val="-1"/>
          <w:w w:val="95"/>
        </w:rPr>
        <w:t xml:space="preserve"> </w:t>
      </w:r>
      <w:r>
        <w:rPr>
          <w:w w:val="95"/>
        </w:rPr>
        <w:t>construction</w:t>
      </w:r>
      <w:r>
        <w:rPr>
          <w:spacing w:val="-1"/>
          <w:w w:val="95"/>
        </w:rPr>
        <w:t xml:space="preserve"> </w:t>
      </w:r>
      <w:r>
        <w:rPr>
          <w:w w:val="95"/>
        </w:rPr>
        <w:t>with</w:t>
      </w:r>
      <w:r>
        <w:rPr>
          <w:spacing w:val="-1"/>
          <w:w w:val="95"/>
        </w:rPr>
        <w:t xml:space="preserve"> </w:t>
      </w:r>
      <w:r>
        <w:rPr>
          <w:w w:val="95"/>
        </w:rPr>
        <w:t>potential</w:t>
      </w:r>
      <w:r>
        <w:rPr>
          <w:spacing w:val="-1"/>
          <w:w w:val="95"/>
        </w:rPr>
        <w:t xml:space="preserve"> </w:t>
      </w:r>
      <w:r>
        <w:rPr>
          <w:w w:val="95"/>
        </w:rPr>
        <w:t>for</w:t>
      </w:r>
      <w:r>
        <w:rPr>
          <w:spacing w:val="-1"/>
          <w:w w:val="95"/>
        </w:rPr>
        <w:t xml:space="preserve"> </w:t>
      </w:r>
      <w:r>
        <w:rPr>
          <w:w w:val="95"/>
        </w:rPr>
        <w:t>re-location</w:t>
      </w:r>
      <w:r>
        <w:rPr>
          <w:spacing w:val="-1"/>
          <w:w w:val="95"/>
        </w:rPr>
        <w:t xml:space="preserve"> </w:t>
      </w:r>
      <w:r>
        <w:rPr>
          <w:w w:val="95"/>
        </w:rPr>
        <w:t>of</w:t>
      </w:r>
      <w:r>
        <w:rPr>
          <w:spacing w:val="-1"/>
          <w:w w:val="95"/>
        </w:rPr>
        <w:t xml:space="preserve"> </w:t>
      </w:r>
      <w:r>
        <w:rPr>
          <w:w w:val="95"/>
        </w:rPr>
        <w:t xml:space="preserve">the </w:t>
      </w:r>
      <w:r>
        <w:t>Newcastle</w:t>
      </w:r>
      <w:r>
        <w:rPr>
          <w:spacing w:val="-6"/>
        </w:rPr>
        <w:t xml:space="preserve"> </w:t>
      </w:r>
      <w:r>
        <w:t>University</w:t>
      </w:r>
      <w:r>
        <w:rPr>
          <w:spacing w:val="-6"/>
        </w:rPr>
        <w:t xml:space="preserve"> </w:t>
      </w:r>
      <w:r>
        <w:t>Law</w:t>
      </w:r>
      <w:r>
        <w:rPr>
          <w:spacing w:val="-6"/>
        </w:rPr>
        <w:t xml:space="preserve"> </w:t>
      </w:r>
      <w:r>
        <w:t>Faculty.</w:t>
      </w:r>
    </w:p>
    <w:p w:rsidR="002C1123" w:rsidRDefault="00F22F94">
      <w:pPr>
        <w:pStyle w:val="BodyText"/>
        <w:spacing w:before="148" w:line="249" w:lineRule="auto"/>
        <w:ind w:left="492"/>
      </w:pPr>
      <w:r>
        <w:t>Shortcomings</w:t>
      </w:r>
      <w:r>
        <w:rPr>
          <w:spacing w:val="-13"/>
        </w:rPr>
        <w:t xml:space="preserve"> </w:t>
      </w:r>
      <w:r>
        <w:t>in</w:t>
      </w:r>
      <w:r>
        <w:rPr>
          <w:spacing w:val="-13"/>
        </w:rPr>
        <w:t xml:space="preserve"> </w:t>
      </w:r>
      <w:r>
        <w:t>cross-portfolio</w:t>
      </w:r>
      <w:r>
        <w:rPr>
          <w:spacing w:val="-13"/>
        </w:rPr>
        <w:t xml:space="preserve"> </w:t>
      </w:r>
      <w:r>
        <w:t>planning</w:t>
      </w:r>
      <w:r>
        <w:rPr>
          <w:spacing w:val="-13"/>
        </w:rPr>
        <w:t xml:space="preserve"> </w:t>
      </w:r>
      <w:r>
        <w:t>and</w:t>
      </w:r>
      <w:r>
        <w:rPr>
          <w:spacing w:val="-13"/>
        </w:rPr>
        <w:t xml:space="preserve"> </w:t>
      </w:r>
      <w:r>
        <w:t>securing agreement</w:t>
      </w:r>
      <w:r>
        <w:rPr>
          <w:spacing w:val="-9"/>
        </w:rPr>
        <w:t xml:space="preserve"> </w:t>
      </w:r>
      <w:r>
        <w:t>with</w:t>
      </w:r>
      <w:r>
        <w:rPr>
          <w:spacing w:val="-9"/>
        </w:rPr>
        <w:t xml:space="preserve"> </w:t>
      </w:r>
      <w:r>
        <w:t>the</w:t>
      </w:r>
      <w:r>
        <w:rPr>
          <w:spacing w:val="-9"/>
        </w:rPr>
        <w:t xml:space="preserve"> </w:t>
      </w:r>
      <w:r>
        <w:t>Commonwealth</w:t>
      </w:r>
      <w:r>
        <w:rPr>
          <w:spacing w:val="-9"/>
        </w:rPr>
        <w:t xml:space="preserve"> </w:t>
      </w:r>
      <w:r>
        <w:t>Government</w:t>
      </w:r>
      <w:r>
        <w:rPr>
          <w:spacing w:val="-9"/>
        </w:rPr>
        <w:t xml:space="preserve"> </w:t>
      </w:r>
      <w:r>
        <w:t xml:space="preserve">has </w:t>
      </w:r>
      <w:r>
        <w:rPr>
          <w:w w:val="95"/>
        </w:rPr>
        <w:t>hampered</w:t>
      </w:r>
      <w:r>
        <w:rPr>
          <w:spacing w:val="-3"/>
          <w:w w:val="95"/>
        </w:rPr>
        <w:t xml:space="preserve"> </w:t>
      </w:r>
      <w:r>
        <w:rPr>
          <w:w w:val="95"/>
        </w:rPr>
        <w:t>this</w:t>
      </w:r>
      <w:r>
        <w:rPr>
          <w:spacing w:val="-3"/>
          <w:w w:val="95"/>
        </w:rPr>
        <w:t xml:space="preserve"> </w:t>
      </w:r>
      <w:r>
        <w:rPr>
          <w:w w:val="95"/>
        </w:rPr>
        <w:t>initiative</w:t>
      </w:r>
      <w:r>
        <w:rPr>
          <w:spacing w:val="-3"/>
          <w:w w:val="95"/>
        </w:rPr>
        <w:t xml:space="preserve"> </w:t>
      </w:r>
      <w:r>
        <w:rPr>
          <w:w w:val="95"/>
        </w:rPr>
        <w:t>and</w:t>
      </w:r>
      <w:r>
        <w:rPr>
          <w:spacing w:val="-3"/>
          <w:w w:val="95"/>
        </w:rPr>
        <w:t xml:space="preserve"> </w:t>
      </w:r>
      <w:r>
        <w:rPr>
          <w:w w:val="95"/>
        </w:rPr>
        <w:t>future</w:t>
      </w:r>
      <w:r>
        <w:rPr>
          <w:spacing w:val="-3"/>
          <w:w w:val="95"/>
        </w:rPr>
        <w:t xml:space="preserve"> </w:t>
      </w:r>
      <w:r>
        <w:rPr>
          <w:w w:val="95"/>
        </w:rPr>
        <w:t>cross-sector</w:t>
      </w:r>
      <w:r>
        <w:rPr>
          <w:spacing w:val="-3"/>
          <w:w w:val="95"/>
        </w:rPr>
        <w:t xml:space="preserve"> </w:t>
      </w:r>
      <w:r>
        <w:rPr>
          <w:w w:val="95"/>
        </w:rPr>
        <w:t xml:space="preserve">planning </w:t>
      </w:r>
      <w:r>
        <w:t>needs greater integration.</w:t>
      </w:r>
    </w:p>
    <w:p w:rsidR="002C1123" w:rsidRDefault="00F22F94">
      <w:pPr>
        <w:pStyle w:val="Heading6"/>
        <w:spacing w:before="145"/>
        <w:ind w:left="492"/>
      </w:pPr>
      <w:r>
        <w:t>Private</w:t>
      </w:r>
      <w:r>
        <w:rPr>
          <w:spacing w:val="-8"/>
        </w:rPr>
        <w:t xml:space="preserve"> </w:t>
      </w:r>
      <w:r>
        <w:t>sector</w:t>
      </w:r>
      <w:r>
        <w:rPr>
          <w:spacing w:val="-8"/>
        </w:rPr>
        <w:t xml:space="preserve"> </w:t>
      </w:r>
      <w:r>
        <w:rPr>
          <w:spacing w:val="-2"/>
        </w:rPr>
        <w:t>provision</w:t>
      </w:r>
    </w:p>
    <w:p w:rsidR="002C1123" w:rsidRDefault="00F22F94">
      <w:pPr>
        <w:pStyle w:val="BodyText"/>
        <w:spacing w:before="10" w:line="249" w:lineRule="auto"/>
        <w:ind w:left="492"/>
      </w:pPr>
      <w:r>
        <w:rPr>
          <w:spacing w:val="-2"/>
        </w:rPr>
        <w:t>The</w:t>
      </w:r>
      <w:r>
        <w:rPr>
          <w:spacing w:val="-11"/>
        </w:rPr>
        <w:t xml:space="preserve"> </w:t>
      </w:r>
      <w:r>
        <w:rPr>
          <w:spacing w:val="-2"/>
        </w:rPr>
        <w:t>level</w:t>
      </w:r>
      <w:r>
        <w:rPr>
          <w:spacing w:val="-11"/>
        </w:rPr>
        <w:t xml:space="preserve"> </w:t>
      </w:r>
      <w:r>
        <w:rPr>
          <w:spacing w:val="-2"/>
        </w:rPr>
        <w:t>of</w:t>
      </w:r>
      <w:r>
        <w:rPr>
          <w:spacing w:val="-11"/>
        </w:rPr>
        <w:t xml:space="preserve"> </w:t>
      </w:r>
      <w:r>
        <w:rPr>
          <w:spacing w:val="-2"/>
        </w:rPr>
        <w:t>involvement</w:t>
      </w:r>
      <w:r>
        <w:rPr>
          <w:spacing w:val="-11"/>
        </w:rPr>
        <w:t xml:space="preserve"> </w:t>
      </w:r>
      <w:r>
        <w:rPr>
          <w:spacing w:val="-2"/>
        </w:rPr>
        <w:t>of</w:t>
      </w:r>
      <w:r>
        <w:rPr>
          <w:spacing w:val="-11"/>
        </w:rPr>
        <w:t xml:space="preserve"> </w:t>
      </w:r>
      <w:r>
        <w:rPr>
          <w:spacing w:val="-2"/>
        </w:rPr>
        <w:t>the</w:t>
      </w:r>
      <w:r>
        <w:rPr>
          <w:spacing w:val="-11"/>
        </w:rPr>
        <w:t xml:space="preserve"> </w:t>
      </w:r>
      <w:r>
        <w:rPr>
          <w:spacing w:val="-2"/>
        </w:rPr>
        <w:t>private</w:t>
      </w:r>
      <w:r>
        <w:rPr>
          <w:spacing w:val="-11"/>
        </w:rPr>
        <w:t xml:space="preserve"> </w:t>
      </w:r>
      <w:r>
        <w:rPr>
          <w:spacing w:val="-2"/>
        </w:rPr>
        <w:t>sector</w:t>
      </w:r>
      <w:r>
        <w:rPr>
          <w:spacing w:val="-11"/>
        </w:rPr>
        <w:t xml:space="preserve"> </w:t>
      </w:r>
      <w:r>
        <w:rPr>
          <w:spacing w:val="-2"/>
        </w:rPr>
        <w:t>in</w:t>
      </w:r>
      <w:r>
        <w:rPr>
          <w:spacing w:val="-11"/>
        </w:rPr>
        <w:t xml:space="preserve"> </w:t>
      </w:r>
      <w:r>
        <w:rPr>
          <w:spacing w:val="-2"/>
        </w:rPr>
        <w:t>NSW</w:t>
      </w:r>
      <w:r>
        <w:rPr>
          <w:spacing w:val="-11"/>
        </w:rPr>
        <w:t xml:space="preserve"> </w:t>
      </w:r>
      <w:r>
        <w:rPr>
          <w:spacing w:val="-2"/>
        </w:rPr>
        <w:t xml:space="preserve">is </w:t>
      </w:r>
      <w:r>
        <w:rPr>
          <w:w w:val="95"/>
        </w:rPr>
        <w:t xml:space="preserve">lower than Victoria, which has a much higher proportion </w:t>
      </w:r>
      <w:r>
        <w:rPr>
          <w:spacing w:val="-2"/>
        </w:rPr>
        <w:t>of</w:t>
      </w:r>
      <w:r>
        <w:rPr>
          <w:spacing w:val="-11"/>
        </w:rPr>
        <w:t xml:space="preserve"> </w:t>
      </w:r>
      <w:r>
        <w:rPr>
          <w:spacing w:val="-2"/>
        </w:rPr>
        <w:t>inmates</w:t>
      </w:r>
      <w:r>
        <w:rPr>
          <w:spacing w:val="-11"/>
        </w:rPr>
        <w:t xml:space="preserve"> </w:t>
      </w:r>
      <w:r>
        <w:rPr>
          <w:spacing w:val="-2"/>
        </w:rPr>
        <w:t>in</w:t>
      </w:r>
      <w:r>
        <w:rPr>
          <w:spacing w:val="-11"/>
        </w:rPr>
        <w:t xml:space="preserve"> </w:t>
      </w:r>
      <w:r>
        <w:rPr>
          <w:spacing w:val="-2"/>
        </w:rPr>
        <w:t>private</w:t>
      </w:r>
      <w:r>
        <w:rPr>
          <w:spacing w:val="-11"/>
        </w:rPr>
        <w:t xml:space="preserve"> </w:t>
      </w:r>
      <w:r>
        <w:rPr>
          <w:spacing w:val="-2"/>
        </w:rPr>
        <w:t>facilities.</w:t>
      </w:r>
      <w:r>
        <w:rPr>
          <w:spacing w:val="-11"/>
        </w:rPr>
        <w:t xml:space="preserve"> </w:t>
      </w:r>
      <w:r>
        <w:rPr>
          <w:spacing w:val="-2"/>
        </w:rPr>
        <w:t>Two</w:t>
      </w:r>
      <w:r>
        <w:rPr>
          <w:spacing w:val="-11"/>
        </w:rPr>
        <w:t xml:space="preserve"> </w:t>
      </w:r>
      <w:r>
        <w:rPr>
          <w:spacing w:val="-2"/>
        </w:rPr>
        <w:t>prisons</w:t>
      </w:r>
      <w:r>
        <w:rPr>
          <w:spacing w:val="-11"/>
        </w:rPr>
        <w:t xml:space="preserve"> </w:t>
      </w:r>
      <w:r>
        <w:rPr>
          <w:spacing w:val="-2"/>
        </w:rPr>
        <w:t>in</w:t>
      </w:r>
      <w:r>
        <w:rPr>
          <w:spacing w:val="-11"/>
        </w:rPr>
        <w:t xml:space="preserve"> </w:t>
      </w:r>
      <w:r>
        <w:rPr>
          <w:spacing w:val="-2"/>
        </w:rPr>
        <w:t>NSW</w:t>
      </w:r>
      <w:r>
        <w:rPr>
          <w:spacing w:val="-11"/>
        </w:rPr>
        <w:t xml:space="preserve"> </w:t>
      </w:r>
      <w:r>
        <w:rPr>
          <w:spacing w:val="-2"/>
        </w:rPr>
        <w:t xml:space="preserve">are </w:t>
      </w:r>
      <w:r>
        <w:t>currently</w:t>
      </w:r>
      <w:r>
        <w:rPr>
          <w:spacing w:val="-13"/>
        </w:rPr>
        <w:t xml:space="preserve"> </w:t>
      </w:r>
      <w:r>
        <w:t>operated</w:t>
      </w:r>
      <w:r>
        <w:rPr>
          <w:spacing w:val="-13"/>
        </w:rPr>
        <w:t xml:space="preserve"> </w:t>
      </w:r>
      <w:r>
        <w:t>by</w:t>
      </w:r>
      <w:r>
        <w:rPr>
          <w:spacing w:val="-13"/>
        </w:rPr>
        <w:t xml:space="preserve"> </w:t>
      </w:r>
      <w:r>
        <w:t>the</w:t>
      </w:r>
      <w:r>
        <w:rPr>
          <w:spacing w:val="-13"/>
        </w:rPr>
        <w:t xml:space="preserve"> </w:t>
      </w:r>
      <w:r>
        <w:t>private</w:t>
      </w:r>
      <w:r>
        <w:rPr>
          <w:spacing w:val="-13"/>
        </w:rPr>
        <w:t xml:space="preserve"> </w:t>
      </w:r>
      <w:r>
        <w:t>sector</w:t>
      </w:r>
      <w:r>
        <w:rPr>
          <w:spacing w:val="-13"/>
        </w:rPr>
        <w:t xml:space="preserve"> </w:t>
      </w:r>
      <w:r>
        <w:t>–</w:t>
      </w:r>
      <w:r>
        <w:rPr>
          <w:spacing w:val="-13"/>
        </w:rPr>
        <w:t xml:space="preserve"> </w:t>
      </w:r>
      <w:r>
        <w:t>Junee</w:t>
      </w:r>
      <w:r>
        <w:rPr>
          <w:spacing w:val="-13"/>
        </w:rPr>
        <w:t xml:space="preserve"> </w:t>
      </w:r>
      <w:r>
        <w:t>and Parklea.</w:t>
      </w:r>
      <w:r>
        <w:rPr>
          <w:spacing w:val="-14"/>
        </w:rPr>
        <w:t xml:space="preserve"> </w:t>
      </w:r>
      <w:r>
        <w:t>The</w:t>
      </w:r>
      <w:r>
        <w:rPr>
          <w:spacing w:val="-14"/>
        </w:rPr>
        <w:t xml:space="preserve"> </w:t>
      </w:r>
      <w:r>
        <w:t>private</w:t>
      </w:r>
      <w:r>
        <w:rPr>
          <w:spacing w:val="-14"/>
        </w:rPr>
        <w:t xml:space="preserve"> </w:t>
      </w:r>
      <w:r>
        <w:t>sector</w:t>
      </w:r>
      <w:r>
        <w:rPr>
          <w:spacing w:val="-14"/>
        </w:rPr>
        <w:t xml:space="preserve"> </w:t>
      </w:r>
      <w:r>
        <w:t>designed</w:t>
      </w:r>
      <w:r>
        <w:rPr>
          <w:spacing w:val="-14"/>
        </w:rPr>
        <w:t xml:space="preserve"> </w:t>
      </w:r>
      <w:r>
        <w:t>and</w:t>
      </w:r>
      <w:r>
        <w:rPr>
          <w:spacing w:val="-14"/>
        </w:rPr>
        <w:t xml:space="preserve"> </w:t>
      </w:r>
      <w:r>
        <w:t>built</w:t>
      </w:r>
      <w:r>
        <w:rPr>
          <w:spacing w:val="-14"/>
        </w:rPr>
        <w:t xml:space="preserve"> </w:t>
      </w:r>
      <w:r>
        <w:t>Junee Correctional</w:t>
      </w:r>
      <w:r>
        <w:rPr>
          <w:spacing w:val="-14"/>
        </w:rPr>
        <w:t xml:space="preserve"> </w:t>
      </w:r>
      <w:r>
        <w:t>Centre</w:t>
      </w:r>
      <w:r>
        <w:rPr>
          <w:spacing w:val="-14"/>
        </w:rPr>
        <w:t xml:space="preserve"> </w:t>
      </w:r>
      <w:r>
        <w:t>in</w:t>
      </w:r>
      <w:r>
        <w:rPr>
          <w:spacing w:val="-14"/>
        </w:rPr>
        <w:t xml:space="preserve"> </w:t>
      </w:r>
      <w:r>
        <w:t>the</w:t>
      </w:r>
      <w:r>
        <w:rPr>
          <w:spacing w:val="-14"/>
        </w:rPr>
        <w:t xml:space="preserve"> </w:t>
      </w:r>
      <w:r>
        <w:t>early</w:t>
      </w:r>
      <w:r>
        <w:rPr>
          <w:spacing w:val="-14"/>
        </w:rPr>
        <w:t xml:space="preserve"> </w:t>
      </w:r>
      <w:r>
        <w:t>1990s.</w:t>
      </w:r>
      <w:r>
        <w:rPr>
          <w:spacing w:val="-14"/>
        </w:rPr>
        <w:t xml:space="preserve"> </w:t>
      </w:r>
      <w:r>
        <w:t>Parklea</w:t>
      </w:r>
      <w:r>
        <w:rPr>
          <w:spacing w:val="-14"/>
        </w:rPr>
        <w:t xml:space="preserve"> </w:t>
      </w:r>
      <w:r>
        <w:t xml:space="preserve">was </w:t>
      </w:r>
      <w:r>
        <w:rPr>
          <w:w w:val="95"/>
        </w:rPr>
        <w:t>originally</w:t>
      </w:r>
      <w:r>
        <w:rPr>
          <w:spacing w:val="-2"/>
          <w:w w:val="95"/>
        </w:rPr>
        <w:t xml:space="preserve"> </w:t>
      </w:r>
      <w:r>
        <w:rPr>
          <w:w w:val="95"/>
        </w:rPr>
        <w:t>publicly</w:t>
      </w:r>
      <w:r>
        <w:rPr>
          <w:spacing w:val="-2"/>
          <w:w w:val="95"/>
        </w:rPr>
        <w:t xml:space="preserve"> </w:t>
      </w:r>
      <w:r>
        <w:rPr>
          <w:w w:val="95"/>
        </w:rPr>
        <w:t>built</w:t>
      </w:r>
      <w:r>
        <w:rPr>
          <w:spacing w:val="-2"/>
          <w:w w:val="95"/>
        </w:rPr>
        <w:t xml:space="preserve"> </w:t>
      </w:r>
      <w:r>
        <w:rPr>
          <w:w w:val="95"/>
        </w:rPr>
        <w:t>and</w:t>
      </w:r>
      <w:r>
        <w:rPr>
          <w:spacing w:val="-2"/>
          <w:w w:val="95"/>
        </w:rPr>
        <w:t xml:space="preserve"> </w:t>
      </w:r>
      <w:r>
        <w:rPr>
          <w:w w:val="95"/>
        </w:rPr>
        <w:t>operated</w:t>
      </w:r>
      <w:r>
        <w:rPr>
          <w:spacing w:val="-2"/>
          <w:w w:val="95"/>
        </w:rPr>
        <w:t xml:space="preserve"> </w:t>
      </w:r>
      <w:r>
        <w:rPr>
          <w:w w:val="95"/>
        </w:rPr>
        <w:t>but</w:t>
      </w:r>
      <w:r>
        <w:rPr>
          <w:spacing w:val="-2"/>
          <w:w w:val="95"/>
        </w:rPr>
        <w:t xml:space="preserve"> </w:t>
      </w:r>
      <w:r>
        <w:rPr>
          <w:w w:val="95"/>
        </w:rPr>
        <w:t>its</w:t>
      </w:r>
      <w:r>
        <w:rPr>
          <w:spacing w:val="-2"/>
          <w:w w:val="95"/>
        </w:rPr>
        <w:t xml:space="preserve"> </w:t>
      </w:r>
      <w:r>
        <w:rPr>
          <w:w w:val="95"/>
        </w:rPr>
        <w:t xml:space="preserve">management </w:t>
      </w:r>
      <w:r>
        <w:t>and operation was contracted out in 2009.</w:t>
      </w:r>
    </w:p>
    <w:p w:rsidR="002C1123" w:rsidRDefault="00F22F94">
      <w:pPr>
        <w:pStyle w:val="BodyText"/>
        <w:spacing w:before="108" w:line="249" w:lineRule="auto"/>
        <w:ind w:left="227" w:right="5668"/>
      </w:pPr>
      <w:r>
        <w:br w:type="column"/>
      </w:r>
      <w:r>
        <w:rPr>
          <w:spacing w:val="-2"/>
        </w:rPr>
        <w:t>Some</w:t>
      </w:r>
      <w:r>
        <w:rPr>
          <w:spacing w:val="-6"/>
        </w:rPr>
        <w:t xml:space="preserve"> </w:t>
      </w:r>
      <w:r>
        <w:rPr>
          <w:spacing w:val="-2"/>
        </w:rPr>
        <w:t>facilities</w:t>
      </w:r>
      <w:r>
        <w:rPr>
          <w:spacing w:val="-6"/>
        </w:rPr>
        <w:t xml:space="preserve"> </w:t>
      </w:r>
      <w:r>
        <w:rPr>
          <w:spacing w:val="-2"/>
        </w:rPr>
        <w:t>within</w:t>
      </w:r>
      <w:r>
        <w:rPr>
          <w:spacing w:val="-6"/>
        </w:rPr>
        <w:t xml:space="preserve"> </w:t>
      </w:r>
      <w:r>
        <w:rPr>
          <w:spacing w:val="-2"/>
        </w:rPr>
        <w:t>prison</w:t>
      </w:r>
      <w:r>
        <w:rPr>
          <w:spacing w:val="-6"/>
        </w:rPr>
        <w:t xml:space="preserve"> </w:t>
      </w:r>
      <w:r>
        <w:rPr>
          <w:spacing w:val="-2"/>
        </w:rPr>
        <w:t>complexes</w:t>
      </w:r>
      <w:r>
        <w:rPr>
          <w:spacing w:val="-6"/>
        </w:rPr>
        <w:t xml:space="preserve"> </w:t>
      </w:r>
      <w:r>
        <w:rPr>
          <w:spacing w:val="-2"/>
        </w:rPr>
        <w:t>have</w:t>
      </w:r>
      <w:r>
        <w:rPr>
          <w:spacing w:val="-6"/>
        </w:rPr>
        <w:t xml:space="preserve"> </w:t>
      </w:r>
      <w:r>
        <w:rPr>
          <w:spacing w:val="-2"/>
        </w:rPr>
        <w:t>also</w:t>
      </w:r>
      <w:r>
        <w:rPr>
          <w:spacing w:val="-6"/>
        </w:rPr>
        <w:t xml:space="preserve"> </w:t>
      </w:r>
      <w:r>
        <w:rPr>
          <w:spacing w:val="-2"/>
        </w:rPr>
        <w:t xml:space="preserve">been </w:t>
      </w:r>
      <w:r>
        <w:rPr>
          <w:w w:val="95"/>
        </w:rPr>
        <w:t>delivered</w:t>
      </w:r>
      <w:r>
        <w:rPr>
          <w:spacing w:val="-5"/>
          <w:w w:val="95"/>
        </w:rPr>
        <w:t xml:space="preserve"> </w:t>
      </w:r>
      <w:r>
        <w:rPr>
          <w:w w:val="95"/>
        </w:rPr>
        <w:t>using</w:t>
      </w:r>
      <w:r>
        <w:rPr>
          <w:spacing w:val="-5"/>
          <w:w w:val="95"/>
        </w:rPr>
        <w:t xml:space="preserve"> </w:t>
      </w:r>
      <w:r>
        <w:rPr>
          <w:w w:val="95"/>
        </w:rPr>
        <w:t>PPPs</w:t>
      </w:r>
      <w:r>
        <w:rPr>
          <w:spacing w:val="-5"/>
          <w:w w:val="95"/>
        </w:rPr>
        <w:t xml:space="preserve"> </w:t>
      </w:r>
      <w:r>
        <w:rPr>
          <w:w w:val="95"/>
        </w:rPr>
        <w:t>including</w:t>
      </w:r>
      <w:r>
        <w:rPr>
          <w:spacing w:val="-5"/>
          <w:w w:val="95"/>
        </w:rPr>
        <w:t xml:space="preserve"> </w:t>
      </w:r>
      <w:r>
        <w:rPr>
          <w:w w:val="95"/>
        </w:rPr>
        <w:t>an</w:t>
      </w:r>
      <w:r>
        <w:rPr>
          <w:spacing w:val="-5"/>
          <w:w w:val="95"/>
        </w:rPr>
        <w:t xml:space="preserve"> </w:t>
      </w:r>
      <w:r>
        <w:rPr>
          <w:w w:val="95"/>
        </w:rPr>
        <w:t>85</w:t>
      </w:r>
      <w:r>
        <w:rPr>
          <w:spacing w:val="-5"/>
          <w:w w:val="95"/>
        </w:rPr>
        <w:t xml:space="preserve"> </w:t>
      </w:r>
      <w:r>
        <w:rPr>
          <w:w w:val="95"/>
        </w:rPr>
        <w:t>bed</w:t>
      </w:r>
      <w:r>
        <w:rPr>
          <w:spacing w:val="-5"/>
          <w:w w:val="95"/>
        </w:rPr>
        <w:t xml:space="preserve"> </w:t>
      </w:r>
      <w:r>
        <w:rPr>
          <w:w w:val="95"/>
        </w:rPr>
        <w:t>prison</w:t>
      </w:r>
      <w:r>
        <w:rPr>
          <w:spacing w:val="-5"/>
          <w:w w:val="95"/>
        </w:rPr>
        <w:t xml:space="preserve"> </w:t>
      </w:r>
      <w:r>
        <w:rPr>
          <w:w w:val="95"/>
        </w:rPr>
        <w:t>hospital to</w:t>
      </w:r>
      <w:r>
        <w:rPr>
          <w:spacing w:val="-8"/>
          <w:w w:val="95"/>
        </w:rPr>
        <w:t xml:space="preserve"> </w:t>
      </w:r>
      <w:r>
        <w:rPr>
          <w:w w:val="95"/>
        </w:rPr>
        <w:t>replace</w:t>
      </w:r>
      <w:r>
        <w:rPr>
          <w:spacing w:val="-8"/>
          <w:w w:val="95"/>
        </w:rPr>
        <w:t xml:space="preserve"> </w:t>
      </w:r>
      <w:r>
        <w:rPr>
          <w:w w:val="95"/>
        </w:rPr>
        <w:t>an</w:t>
      </w:r>
      <w:r>
        <w:rPr>
          <w:spacing w:val="-8"/>
          <w:w w:val="95"/>
        </w:rPr>
        <w:t xml:space="preserve"> </w:t>
      </w:r>
      <w:r>
        <w:rPr>
          <w:w w:val="95"/>
        </w:rPr>
        <w:t>existing</w:t>
      </w:r>
      <w:r>
        <w:rPr>
          <w:spacing w:val="-8"/>
          <w:w w:val="95"/>
        </w:rPr>
        <w:t xml:space="preserve"> </w:t>
      </w:r>
      <w:r>
        <w:rPr>
          <w:w w:val="95"/>
        </w:rPr>
        <w:t>facility,</w:t>
      </w:r>
      <w:r>
        <w:rPr>
          <w:spacing w:val="-8"/>
          <w:w w:val="95"/>
        </w:rPr>
        <w:t xml:space="preserve"> </w:t>
      </w:r>
      <w:r>
        <w:rPr>
          <w:w w:val="95"/>
        </w:rPr>
        <w:t>and</w:t>
      </w:r>
      <w:r>
        <w:rPr>
          <w:spacing w:val="-8"/>
          <w:w w:val="95"/>
        </w:rPr>
        <w:t xml:space="preserve"> </w:t>
      </w:r>
      <w:r>
        <w:rPr>
          <w:w w:val="95"/>
        </w:rPr>
        <w:t>a</w:t>
      </w:r>
      <w:r>
        <w:rPr>
          <w:spacing w:val="-8"/>
          <w:w w:val="95"/>
        </w:rPr>
        <w:t xml:space="preserve"> </w:t>
      </w:r>
      <w:r>
        <w:rPr>
          <w:w w:val="95"/>
        </w:rPr>
        <w:t>new</w:t>
      </w:r>
      <w:r>
        <w:rPr>
          <w:spacing w:val="-8"/>
          <w:w w:val="95"/>
        </w:rPr>
        <w:t xml:space="preserve"> </w:t>
      </w:r>
      <w:r>
        <w:rPr>
          <w:w w:val="95"/>
        </w:rPr>
        <w:t>135</w:t>
      </w:r>
      <w:r>
        <w:rPr>
          <w:spacing w:val="-8"/>
          <w:w w:val="95"/>
        </w:rPr>
        <w:t xml:space="preserve"> </w:t>
      </w:r>
      <w:r>
        <w:rPr>
          <w:w w:val="95"/>
        </w:rPr>
        <w:t>bed</w:t>
      </w:r>
      <w:r>
        <w:rPr>
          <w:spacing w:val="-8"/>
          <w:w w:val="95"/>
        </w:rPr>
        <w:t xml:space="preserve"> </w:t>
      </w:r>
      <w:r>
        <w:rPr>
          <w:w w:val="95"/>
        </w:rPr>
        <w:t xml:space="preserve">forensic </w:t>
      </w:r>
      <w:r>
        <w:t>hospital</w:t>
      </w:r>
      <w:r>
        <w:rPr>
          <w:spacing w:val="-11"/>
        </w:rPr>
        <w:t xml:space="preserve"> </w:t>
      </w:r>
      <w:r>
        <w:t>within</w:t>
      </w:r>
      <w:r>
        <w:rPr>
          <w:spacing w:val="-11"/>
        </w:rPr>
        <w:t xml:space="preserve"> </w:t>
      </w:r>
      <w:r>
        <w:t>the</w:t>
      </w:r>
      <w:r>
        <w:rPr>
          <w:spacing w:val="-11"/>
        </w:rPr>
        <w:t xml:space="preserve"> </w:t>
      </w:r>
      <w:r>
        <w:t>Long</w:t>
      </w:r>
      <w:r>
        <w:rPr>
          <w:spacing w:val="-11"/>
        </w:rPr>
        <w:t xml:space="preserve"> </w:t>
      </w:r>
      <w:r>
        <w:t>Bay</w:t>
      </w:r>
      <w:r>
        <w:rPr>
          <w:spacing w:val="-11"/>
        </w:rPr>
        <w:t xml:space="preserve"> </w:t>
      </w:r>
      <w:r>
        <w:t>Correctional</w:t>
      </w:r>
      <w:r>
        <w:rPr>
          <w:spacing w:val="-11"/>
        </w:rPr>
        <w:t xml:space="preserve"> </w:t>
      </w:r>
      <w:r>
        <w:t>Complex</w:t>
      </w:r>
      <w:r>
        <w:rPr>
          <w:spacing w:val="-11"/>
        </w:rPr>
        <w:t xml:space="preserve"> </w:t>
      </w:r>
      <w:r>
        <w:t>at Malabar, completed in 2008.</w:t>
      </w:r>
    </w:p>
    <w:p w:rsidR="002C1123" w:rsidRDefault="00F22F94">
      <w:pPr>
        <w:pStyle w:val="BodyText"/>
        <w:spacing w:before="146" w:line="249" w:lineRule="auto"/>
        <w:ind w:left="227" w:right="5668"/>
      </w:pPr>
      <w:r>
        <w:rPr>
          <w:spacing w:val="-2"/>
        </w:rPr>
        <w:t>There</w:t>
      </w:r>
      <w:r>
        <w:rPr>
          <w:spacing w:val="-7"/>
        </w:rPr>
        <w:t xml:space="preserve"> </w:t>
      </w:r>
      <w:r>
        <w:rPr>
          <w:spacing w:val="-2"/>
        </w:rPr>
        <w:t>are</w:t>
      </w:r>
      <w:r>
        <w:rPr>
          <w:spacing w:val="-7"/>
        </w:rPr>
        <w:t xml:space="preserve"> </w:t>
      </w:r>
      <w:r>
        <w:rPr>
          <w:spacing w:val="-2"/>
        </w:rPr>
        <w:t>varying</w:t>
      </w:r>
      <w:r>
        <w:rPr>
          <w:spacing w:val="-7"/>
        </w:rPr>
        <w:t xml:space="preserve"> </w:t>
      </w:r>
      <w:r>
        <w:rPr>
          <w:spacing w:val="-2"/>
        </w:rPr>
        <w:t>estimates</w:t>
      </w:r>
      <w:r>
        <w:rPr>
          <w:spacing w:val="-7"/>
        </w:rPr>
        <w:t xml:space="preserve"> </w:t>
      </w:r>
      <w:r>
        <w:rPr>
          <w:spacing w:val="-2"/>
        </w:rPr>
        <w:t>of</w:t>
      </w:r>
      <w:r>
        <w:rPr>
          <w:spacing w:val="-7"/>
        </w:rPr>
        <w:t xml:space="preserve"> </w:t>
      </w:r>
      <w:r>
        <w:rPr>
          <w:spacing w:val="-2"/>
        </w:rPr>
        <w:t>cost</w:t>
      </w:r>
      <w:r>
        <w:rPr>
          <w:spacing w:val="-7"/>
        </w:rPr>
        <w:t xml:space="preserve"> </w:t>
      </w:r>
      <w:r>
        <w:rPr>
          <w:spacing w:val="-2"/>
        </w:rPr>
        <w:t>savings</w:t>
      </w:r>
      <w:r>
        <w:rPr>
          <w:spacing w:val="-7"/>
        </w:rPr>
        <w:t xml:space="preserve"> </w:t>
      </w:r>
      <w:r>
        <w:rPr>
          <w:spacing w:val="-2"/>
        </w:rPr>
        <w:t>for</w:t>
      </w:r>
      <w:r>
        <w:rPr>
          <w:spacing w:val="-7"/>
        </w:rPr>
        <w:t xml:space="preserve"> </w:t>
      </w:r>
      <w:r>
        <w:rPr>
          <w:spacing w:val="-2"/>
        </w:rPr>
        <w:t xml:space="preserve">private </w:t>
      </w:r>
      <w:r>
        <w:rPr>
          <w:w w:val="95"/>
        </w:rPr>
        <w:t>prisons</w:t>
      </w:r>
      <w:r>
        <w:rPr>
          <w:spacing w:val="-8"/>
          <w:w w:val="95"/>
        </w:rPr>
        <w:t xml:space="preserve"> </w:t>
      </w:r>
      <w:r>
        <w:rPr>
          <w:w w:val="95"/>
        </w:rPr>
        <w:t>relative</w:t>
      </w:r>
      <w:r>
        <w:rPr>
          <w:spacing w:val="-8"/>
          <w:w w:val="95"/>
        </w:rPr>
        <w:t xml:space="preserve"> </w:t>
      </w:r>
      <w:r>
        <w:rPr>
          <w:w w:val="95"/>
        </w:rPr>
        <w:t>to</w:t>
      </w:r>
      <w:r>
        <w:rPr>
          <w:spacing w:val="-8"/>
          <w:w w:val="95"/>
        </w:rPr>
        <w:t xml:space="preserve"> </w:t>
      </w:r>
      <w:r>
        <w:rPr>
          <w:w w:val="95"/>
        </w:rPr>
        <w:t>public</w:t>
      </w:r>
      <w:r>
        <w:rPr>
          <w:spacing w:val="-8"/>
          <w:w w:val="95"/>
        </w:rPr>
        <w:t xml:space="preserve"> </w:t>
      </w:r>
      <w:r>
        <w:rPr>
          <w:w w:val="95"/>
        </w:rPr>
        <w:t>prisons</w:t>
      </w:r>
      <w:r>
        <w:rPr>
          <w:spacing w:val="-8"/>
          <w:w w:val="95"/>
        </w:rPr>
        <w:t xml:space="preserve"> </w:t>
      </w:r>
      <w:r>
        <w:rPr>
          <w:w w:val="95"/>
        </w:rPr>
        <w:t>–</w:t>
      </w:r>
      <w:r>
        <w:rPr>
          <w:spacing w:val="-8"/>
          <w:w w:val="95"/>
        </w:rPr>
        <w:t xml:space="preserve"> </w:t>
      </w:r>
      <w:r>
        <w:rPr>
          <w:w w:val="95"/>
        </w:rPr>
        <w:t>these</w:t>
      </w:r>
      <w:r>
        <w:rPr>
          <w:spacing w:val="-8"/>
          <w:w w:val="95"/>
        </w:rPr>
        <w:t xml:space="preserve"> </w:t>
      </w:r>
      <w:r>
        <w:rPr>
          <w:w w:val="95"/>
        </w:rPr>
        <w:t>include</w:t>
      </w:r>
      <w:r>
        <w:rPr>
          <w:spacing w:val="-8"/>
          <w:w w:val="95"/>
        </w:rPr>
        <w:t xml:space="preserve"> </w:t>
      </w:r>
      <w:r>
        <w:rPr>
          <w:w w:val="95"/>
        </w:rPr>
        <w:t>11</w:t>
      </w:r>
      <w:r>
        <w:rPr>
          <w:spacing w:val="-8"/>
          <w:w w:val="95"/>
        </w:rPr>
        <w:t xml:space="preserve"> </w:t>
      </w:r>
      <w:r>
        <w:rPr>
          <w:w w:val="95"/>
        </w:rPr>
        <w:t>to</w:t>
      </w:r>
      <w:r>
        <w:rPr>
          <w:spacing w:val="-8"/>
          <w:w w:val="95"/>
        </w:rPr>
        <w:t xml:space="preserve"> </w:t>
      </w:r>
      <w:r>
        <w:rPr>
          <w:w w:val="95"/>
        </w:rPr>
        <w:t xml:space="preserve">30 per cent in the United Kingdom and five to 15 percent in </w:t>
      </w:r>
      <w:r>
        <w:rPr>
          <w:spacing w:val="-2"/>
        </w:rPr>
        <w:t>the</w:t>
      </w:r>
      <w:r>
        <w:rPr>
          <w:spacing w:val="-12"/>
        </w:rPr>
        <w:t xml:space="preserve"> </w:t>
      </w:r>
      <w:r>
        <w:rPr>
          <w:spacing w:val="-2"/>
        </w:rPr>
        <w:t>United</w:t>
      </w:r>
      <w:r>
        <w:rPr>
          <w:spacing w:val="-12"/>
        </w:rPr>
        <w:t xml:space="preserve"> </w:t>
      </w:r>
      <w:r>
        <w:rPr>
          <w:spacing w:val="-2"/>
        </w:rPr>
        <w:t>States</w:t>
      </w:r>
      <w:r>
        <w:rPr>
          <w:spacing w:val="-2"/>
          <w:position w:val="7"/>
          <w:sz w:val="11"/>
        </w:rPr>
        <w:t>1</w:t>
      </w:r>
      <w:r>
        <w:rPr>
          <w:spacing w:val="-2"/>
        </w:rPr>
        <w:t>.</w:t>
      </w:r>
      <w:r>
        <w:rPr>
          <w:spacing w:val="-12"/>
        </w:rPr>
        <w:t xml:space="preserve"> </w:t>
      </w:r>
      <w:r>
        <w:rPr>
          <w:spacing w:val="-2"/>
        </w:rPr>
        <w:t>However,</w:t>
      </w:r>
      <w:r>
        <w:rPr>
          <w:spacing w:val="-12"/>
        </w:rPr>
        <w:t xml:space="preserve"> </w:t>
      </w:r>
      <w:r>
        <w:rPr>
          <w:spacing w:val="-2"/>
        </w:rPr>
        <w:t>there</w:t>
      </w:r>
      <w:r>
        <w:rPr>
          <w:spacing w:val="-12"/>
        </w:rPr>
        <w:t xml:space="preserve"> </w:t>
      </w:r>
      <w:r>
        <w:rPr>
          <w:spacing w:val="-2"/>
        </w:rPr>
        <w:t>are</w:t>
      </w:r>
      <w:r>
        <w:rPr>
          <w:spacing w:val="-12"/>
        </w:rPr>
        <w:t xml:space="preserve"> </w:t>
      </w:r>
      <w:r>
        <w:rPr>
          <w:spacing w:val="-2"/>
        </w:rPr>
        <w:t>no</w:t>
      </w:r>
      <w:r>
        <w:rPr>
          <w:spacing w:val="-12"/>
        </w:rPr>
        <w:t xml:space="preserve"> </w:t>
      </w:r>
      <w:r>
        <w:rPr>
          <w:spacing w:val="-2"/>
        </w:rPr>
        <w:t>comparisons available</w:t>
      </w:r>
      <w:r>
        <w:rPr>
          <w:spacing w:val="-8"/>
        </w:rPr>
        <w:t xml:space="preserve"> </w:t>
      </w:r>
      <w:r>
        <w:rPr>
          <w:spacing w:val="-2"/>
        </w:rPr>
        <w:t>for</w:t>
      </w:r>
      <w:r>
        <w:rPr>
          <w:spacing w:val="-8"/>
        </w:rPr>
        <w:t xml:space="preserve"> </w:t>
      </w:r>
      <w:r>
        <w:rPr>
          <w:spacing w:val="-2"/>
        </w:rPr>
        <w:t>NSW</w:t>
      </w:r>
      <w:r>
        <w:rPr>
          <w:spacing w:val="-8"/>
        </w:rPr>
        <w:t xml:space="preserve"> </w:t>
      </w:r>
      <w:r>
        <w:rPr>
          <w:spacing w:val="-2"/>
        </w:rPr>
        <w:t>on</w:t>
      </w:r>
      <w:r>
        <w:rPr>
          <w:spacing w:val="-8"/>
        </w:rPr>
        <w:t xml:space="preserve"> </w:t>
      </w:r>
      <w:r>
        <w:rPr>
          <w:spacing w:val="-2"/>
        </w:rPr>
        <w:t>a</w:t>
      </w:r>
      <w:r>
        <w:rPr>
          <w:spacing w:val="-8"/>
        </w:rPr>
        <w:t xml:space="preserve"> </w:t>
      </w:r>
      <w:r>
        <w:rPr>
          <w:spacing w:val="-2"/>
        </w:rPr>
        <w:t>like-for-like</w:t>
      </w:r>
      <w:r>
        <w:rPr>
          <w:spacing w:val="-8"/>
        </w:rPr>
        <w:t xml:space="preserve"> </w:t>
      </w:r>
      <w:r>
        <w:rPr>
          <w:spacing w:val="-2"/>
        </w:rPr>
        <w:t>basis,</w:t>
      </w:r>
      <w:r>
        <w:rPr>
          <w:spacing w:val="-8"/>
        </w:rPr>
        <w:t xml:space="preserve"> </w:t>
      </w:r>
      <w:r>
        <w:rPr>
          <w:spacing w:val="-2"/>
        </w:rPr>
        <w:t xml:space="preserve">including </w:t>
      </w:r>
      <w:r>
        <w:t>consideration</w:t>
      </w:r>
      <w:r>
        <w:rPr>
          <w:spacing w:val="-14"/>
        </w:rPr>
        <w:t xml:space="preserve"> </w:t>
      </w:r>
      <w:r>
        <w:t>of</w:t>
      </w:r>
      <w:r>
        <w:rPr>
          <w:spacing w:val="-14"/>
        </w:rPr>
        <w:t xml:space="preserve"> </w:t>
      </w:r>
      <w:r>
        <w:t>the</w:t>
      </w:r>
      <w:r>
        <w:rPr>
          <w:spacing w:val="-14"/>
        </w:rPr>
        <w:t xml:space="preserve"> </w:t>
      </w:r>
      <w:r>
        <w:t>many</w:t>
      </w:r>
      <w:r>
        <w:rPr>
          <w:spacing w:val="-14"/>
        </w:rPr>
        <w:t xml:space="preserve"> </w:t>
      </w:r>
      <w:r>
        <w:t>maintenance</w:t>
      </w:r>
      <w:r>
        <w:rPr>
          <w:spacing w:val="-14"/>
        </w:rPr>
        <w:t xml:space="preserve"> </w:t>
      </w:r>
      <w:r>
        <w:t>roles</w:t>
      </w:r>
      <w:r>
        <w:rPr>
          <w:spacing w:val="-14"/>
        </w:rPr>
        <w:t xml:space="preserve"> </w:t>
      </w:r>
      <w:r>
        <w:t>currently performed by prisoners.</w:t>
      </w:r>
    </w:p>
    <w:p w:rsidR="002C1123" w:rsidRDefault="00F22F94">
      <w:pPr>
        <w:pStyle w:val="BodyText"/>
        <w:spacing w:before="147" w:line="249" w:lineRule="auto"/>
        <w:ind w:left="227" w:right="5668"/>
      </w:pPr>
      <w:r>
        <w:rPr>
          <w:spacing w:val="-2"/>
        </w:rPr>
        <w:t>Infrastructure</w:t>
      </w:r>
      <w:r>
        <w:rPr>
          <w:spacing w:val="-8"/>
        </w:rPr>
        <w:t xml:space="preserve"> </w:t>
      </w:r>
      <w:r>
        <w:rPr>
          <w:spacing w:val="-2"/>
        </w:rPr>
        <w:t>NSW</w:t>
      </w:r>
      <w:r>
        <w:rPr>
          <w:spacing w:val="-8"/>
        </w:rPr>
        <w:t xml:space="preserve"> </w:t>
      </w:r>
      <w:r>
        <w:rPr>
          <w:spacing w:val="-2"/>
        </w:rPr>
        <w:t>supports</w:t>
      </w:r>
      <w:r>
        <w:rPr>
          <w:spacing w:val="-8"/>
        </w:rPr>
        <w:t xml:space="preserve"> </w:t>
      </w:r>
      <w:r>
        <w:rPr>
          <w:spacing w:val="-2"/>
        </w:rPr>
        <w:t>development</w:t>
      </w:r>
      <w:r>
        <w:rPr>
          <w:spacing w:val="-8"/>
        </w:rPr>
        <w:t xml:space="preserve"> </w:t>
      </w:r>
      <w:r>
        <w:rPr>
          <w:spacing w:val="-2"/>
        </w:rPr>
        <w:t>of</w:t>
      </w:r>
      <w:r>
        <w:rPr>
          <w:spacing w:val="-8"/>
        </w:rPr>
        <w:t xml:space="preserve"> </w:t>
      </w:r>
      <w:r>
        <w:rPr>
          <w:spacing w:val="-2"/>
        </w:rPr>
        <w:t>a</w:t>
      </w:r>
      <w:r>
        <w:rPr>
          <w:spacing w:val="-8"/>
        </w:rPr>
        <w:t xml:space="preserve"> </w:t>
      </w:r>
      <w:r>
        <w:rPr>
          <w:spacing w:val="-2"/>
        </w:rPr>
        <w:t xml:space="preserve">full </w:t>
      </w:r>
      <w:r>
        <w:rPr>
          <w:w w:val="95"/>
        </w:rPr>
        <w:t>service</w:t>
      </w:r>
      <w:r>
        <w:rPr>
          <w:spacing w:val="-1"/>
          <w:w w:val="95"/>
        </w:rPr>
        <w:t xml:space="preserve"> </w:t>
      </w:r>
      <w:r>
        <w:rPr>
          <w:w w:val="95"/>
        </w:rPr>
        <w:t>outsourcing</w:t>
      </w:r>
      <w:r>
        <w:rPr>
          <w:spacing w:val="-1"/>
          <w:w w:val="95"/>
        </w:rPr>
        <w:t xml:space="preserve"> </w:t>
      </w:r>
      <w:r>
        <w:rPr>
          <w:w w:val="95"/>
        </w:rPr>
        <w:t>model</w:t>
      </w:r>
      <w:r>
        <w:rPr>
          <w:spacing w:val="-1"/>
          <w:w w:val="95"/>
        </w:rPr>
        <w:t xml:space="preserve"> </w:t>
      </w:r>
      <w:r>
        <w:rPr>
          <w:w w:val="95"/>
        </w:rPr>
        <w:t>for</w:t>
      </w:r>
      <w:r>
        <w:rPr>
          <w:spacing w:val="-1"/>
          <w:w w:val="95"/>
        </w:rPr>
        <w:t xml:space="preserve"> </w:t>
      </w:r>
      <w:r>
        <w:rPr>
          <w:w w:val="95"/>
        </w:rPr>
        <w:t>correctional</w:t>
      </w:r>
      <w:r>
        <w:rPr>
          <w:spacing w:val="-1"/>
          <w:w w:val="95"/>
        </w:rPr>
        <w:t xml:space="preserve"> </w:t>
      </w:r>
      <w:r>
        <w:rPr>
          <w:w w:val="95"/>
        </w:rPr>
        <w:t>facilities.</w:t>
      </w:r>
    </w:p>
    <w:p w:rsidR="002C1123" w:rsidRDefault="002C1123">
      <w:pPr>
        <w:pStyle w:val="BodyText"/>
        <w:spacing w:before="2"/>
        <w:rPr>
          <w:sz w:val="21"/>
        </w:rPr>
      </w:pPr>
    </w:p>
    <w:p w:rsidR="002C1123" w:rsidRDefault="00F22F94">
      <w:pPr>
        <w:spacing w:before="1"/>
        <w:ind w:left="247"/>
        <w:rPr>
          <w:b/>
          <w:sz w:val="18"/>
        </w:rPr>
      </w:pPr>
      <w:r>
        <w:rPr>
          <w:b/>
          <w:sz w:val="18"/>
        </w:rPr>
        <w:t>Table</w:t>
      </w:r>
      <w:r>
        <w:rPr>
          <w:b/>
          <w:spacing w:val="-18"/>
          <w:sz w:val="18"/>
        </w:rPr>
        <w:t xml:space="preserve"> </w:t>
      </w:r>
      <w:r>
        <w:rPr>
          <w:b/>
          <w:sz w:val="18"/>
        </w:rPr>
        <w:t>14.3</w:t>
      </w:r>
      <w:r>
        <w:rPr>
          <w:b/>
          <w:spacing w:val="19"/>
          <w:sz w:val="18"/>
        </w:rPr>
        <w:t xml:space="preserve"> </w:t>
      </w:r>
      <w:r>
        <w:rPr>
          <w:b/>
          <w:sz w:val="18"/>
        </w:rPr>
        <w:t>Summary</w:t>
      </w:r>
      <w:r>
        <w:rPr>
          <w:b/>
          <w:spacing w:val="-17"/>
          <w:sz w:val="18"/>
        </w:rPr>
        <w:t xml:space="preserve"> </w:t>
      </w:r>
      <w:r>
        <w:rPr>
          <w:b/>
          <w:sz w:val="18"/>
        </w:rPr>
        <w:t>of</w:t>
      </w:r>
      <w:r>
        <w:rPr>
          <w:b/>
          <w:spacing w:val="-18"/>
          <w:sz w:val="18"/>
        </w:rPr>
        <w:t xml:space="preserve"> </w:t>
      </w:r>
      <w:r>
        <w:rPr>
          <w:b/>
          <w:sz w:val="18"/>
        </w:rPr>
        <w:t>justice</w:t>
      </w:r>
      <w:r>
        <w:rPr>
          <w:b/>
          <w:spacing w:val="-17"/>
          <w:sz w:val="18"/>
        </w:rPr>
        <w:t xml:space="preserve"> </w:t>
      </w:r>
      <w:r>
        <w:rPr>
          <w:b/>
          <w:sz w:val="18"/>
        </w:rPr>
        <w:t>recommended</w:t>
      </w:r>
      <w:r>
        <w:rPr>
          <w:b/>
          <w:spacing w:val="-17"/>
          <w:sz w:val="18"/>
        </w:rPr>
        <w:t xml:space="preserve"> </w:t>
      </w:r>
      <w:r>
        <w:rPr>
          <w:b/>
          <w:spacing w:val="-2"/>
          <w:sz w:val="18"/>
        </w:rPr>
        <w:t>actions</w:t>
      </w:r>
    </w:p>
    <w:p w:rsidR="002C1123" w:rsidRDefault="00F22F94">
      <w:pPr>
        <w:tabs>
          <w:tab w:val="left" w:pos="5065"/>
          <w:tab w:val="left" w:pos="6085"/>
          <w:tab w:val="left" w:pos="7503"/>
        </w:tabs>
        <w:spacing w:before="96"/>
        <w:ind w:left="870"/>
        <w:rPr>
          <w:b/>
          <w:sz w:val="16"/>
        </w:rPr>
      </w:pPr>
      <w:r>
        <w:rPr>
          <w:b/>
          <w:color w:val="2E3092"/>
          <w:spacing w:val="-2"/>
          <w:sz w:val="16"/>
        </w:rPr>
        <w:t>Recommended</w:t>
      </w:r>
      <w:r>
        <w:rPr>
          <w:b/>
          <w:color w:val="2E3092"/>
          <w:spacing w:val="9"/>
          <w:sz w:val="16"/>
        </w:rPr>
        <w:t xml:space="preserve"> </w:t>
      </w:r>
      <w:r>
        <w:rPr>
          <w:b/>
          <w:color w:val="2E3092"/>
          <w:spacing w:val="-2"/>
          <w:sz w:val="16"/>
        </w:rPr>
        <w:t>Action</w:t>
      </w:r>
      <w:r>
        <w:rPr>
          <w:b/>
          <w:color w:val="2E3092"/>
          <w:sz w:val="16"/>
        </w:rPr>
        <w:tab/>
      </w:r>
      <w:r>
        <w:rPr>
          <w:b/>
          <w:color w:val="2E3092"/>
          <w:spacing w:val="-4"/>
          <w:sz w:val="16"/>
        </w:rPr>
        <w:t>Year</w:t>
      </w:r>
      <w:r>
        <w:rPr>
          <w:b/>
          <w:color w:val="2E3092"/>
          <w:sz w:val="16"/>
        </w:rPr>
        <w:tab/>
      </w:r>
      <w:r>
        <w:rPr>
          <w:b/>
          <w:color w:val="2E3092"/>
          <w:spacing w:val="-4"/>
          <w:sz w:val="16"/>
        </w:rPr>
        <w:t>Type</w:t>
      </w:r>
      <w:r>
        <w:rPr>
          <w:b/>
          <w:color w:val="2E3092"/>
          <w:sz w:val="16"/>
        </w:rPr>
        <w:tab/>
      </w:r>
      <w:r>
        <w:rPr>
          <w:b/>
          <w:color w:val="2E3092"/>
          <w:spacing w:val="-2"/>
          <w:sz w:val="16"/>
        </w:rPr>
        <w:t>Cost</w:t>
      </w:r>
      <w:r>
        <w:rPr>
          <w:b/>
          <w:color w:val="2E3092"/>
          <w:spacing w:val="-6"/>
          <w:sz w:val="16"/>
        </w:rPr>
        <w:t xml:space="preserve"> </w:t>
      </w:r>
      <w:r>
        <w:rPr>
          <w:b/>
          <w:color w:val="2E3092"/>
          <w:spacing w:val="-2"/>
          <w:sz w:val="16"/>
        </w:rPr>
        <w:t>and</w:t>
      </w:r>
      <w:r>
        <w:rPr>
          <w:b/>
          <w:color w:val="2E3092"/>
          <w:spacing w:val="-6"/>
          <w:sz w:val="16"/>
        </w:rPr>
        <w:t xml:space="preserve"> </w:t>
      </w:r>
      <w:r>
        <w:rPr>
          <w:b/>
          <w:color w:val="2E3092"/>
          <w:spacing w:val="-2"/>
          <w:sz w:val="16"/>
        </w:rPr>
        <w:t>funding</w:t>
      </w:r>
      <w:r>
        <w:rPr>
          <w:b/>
          <w:color w:val="2E3092"/>
          <w:spacing w:val="-6"/>
          <w:sz w:val="16"/>
        </w:rPr>
        <w:t xml:space="preserve"> </w:t>
      </w:r>
      <w:r>
        <w:rPr>
          <w:b/>
          <w:color w:val="2E3092"/>
          <w:spacing w:val="-2"/>
          <w:sz w:val="16"/>
        </w:rPr>
        <w:t>implications</w:t>
      </w:r>
    </w:p>
    <w:tbl>
      <w:tblPr>
        <w:tblW w:w="0" w:type="auto"/>
        <w:tblInd w:w="23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19"/>
        <w:gridCol w:w="4195"/>
        <w:gridCol w:w="1020"/>
        <w:gridCol w:w="1417"/>
        <w:gridCol w:w="2654"/>
      </w:tblGrid>
      <w:tr w:rsidR="002C1123">
        <w:trPr>
          <w:trHeight w:val="611"/>
        </w:trPr>
        <w:tc>
          <w:tcPr>
            <w:tcW w:w="519" w:type="dxa"/>
            <w:tcBorders>
              <w:top w:val="nil"/>
              <w:left w:val="nil"/>
            </w:tcBorders>
            <w:shd w:val="clear" w:color="auto" w:fill="C9C8C9"/>
          </w:tcPr>
          <w:p w:rsidR="002C1123" w:rsidRDefault="00F22F94">
            <w:pPr>
              <w:pStyle w:val="TableParagraph"/>
              <w:spacing w:before="63"/>
              <w:rPr>
                <w:sz w:val="18"/>
              </w:rPr>
            </w:pPr>
            <w:r>
              <w:rPr>
                <w:spacing w:val="-5"/>
                <w:sz w:val="18"/>
              </w:rPr>
              <w:t>70</w:t>
            </w:r>
          </w:p>
        </w:tc>
        <w:tc>
          <w:tcPr>
            <w:tcW w:w="4195" w:type="dxa"/>
            <w:tcBorders>
              <w:top w:val="nil"/>
            </w:tcBorders>
            <w:shd w:val="clear" w:color="auto" w:fill="C9C8C9"/>
          </w:tcPr>
          <w:p w:rsidR="002C1123" w:rsidRDefault="00F22F94">
            <w:pPr>
              <w:pStyle w:val="TableParagraph"/>
              <w:spacing w:before="63" w:line="254" w:lineRule="auto"/>
              <w:rPr>
                <w:sz w:val="18"/>
              </w:rPr>
            </w:pPr>
            <w:r>
              <w:rPr>
                <w:spacing w:val="-2"/>
                <w:w w:val="105"/>
                <w:sz w:val="18"/>
              </w:rPr>
              <w:t>Reconfigure</w:t>
            </w:r>
            <w:r>
              <w:rPr>
                <w:spacing w:val="-12"/>
                <w:w w:val="105"/>
                <w:sz w:val="18"/>
              </w:rPr>
              <w:t xml:space="preserve"> </w:t>
            </w:r>
            <w:r>
              <w:rPr>
                <w:spacing w:val="-2"/>
                <w:w w:val="105"/>
                <w:sz w:val="18"/>
              </w:rPr>
              <w:t>court</w:t>
            </w:r>
            <w:r>
              <w:rPr>
                <w:spacing w:val="-11"/>
                <w:w w:val="105"/>
                <w:sz w:val="18"/>
              </w:rPr>
              <w:t xml:space="preserve"> </w:t>
            </w:r>
            <w:r>
              <w:rPr>
                <w:spacing w:val="-2"/>
                <w:w w:val="105"/>
                <w:sz w:val="18"/>
              </w:rPr>
              <w:t>house</w:t>
            </w:r>
            <w:r>
              <w:rPr>
                <w:spacing w:val="-11"/>
                <w:w w:val="105"/>
                <w:sz w:val="18"/>
              </w:rPr>
              <w:t xml:space="preserve"> </w:t>
            </w:r>
            <w:r>
              <w:rPr>
                <w:spacing w:val="-2"/>
                <w:w w:val="105"/>
                <w:sz w:val="18"/>
              </w:rPr>
              <w:t>assets,</w:t>
            </w:r>
            <w:r>
              <w:rPr>
                <w:spacing w:val="-11"/>
                <w:w w:val="105"/>
                <w:sz w:val="18"/>
              </w:rPr>
              <w:t xml:space="preserve"> </w:t>
            </w:r>
            <w:r>
              <w:rPr>
                <w:spacing w:val="-2"/>
                <w:w w:val="105"/>
                <w:sz w:val="18"/>
              </w:rPr>
              <w:t>with</w:t>
            </w:r>
            <w:r>
              <w:rPr>
                <w:spacing w:val="-11"/>
                <w:w w:val="105"/>
                <w:sz w:val="18"/>
              </w:rPr>
              <w:t xml:space="preserve"> </w:t>
            </w:r>
            <w:r>
              <w:rPr>
                <w:spacing w:val="-2"/>
                <w:w w:val="105"/>
                <w:sz w:val="18"/>
              </w:rPr>
              <w:t xml:space="preserve">increased </w:t>
            </w:r>
            <w:r>
              <w:rPr>
                <w:w w:val="105"/>
                <w:sz w:val="18"/>
              </w:rPr>
              <w:t>use of ICT for less capital intensive delivery</w:t>
            </w:r>
          </w:p>
        </w:tc>
        <w:tc>
          <w:tcPr>
            <w:tcW w:w="1020" w:type="dxa"/>
            <w:shd w:val="clear" w:color="auto" w:fill="E1E0E1"/>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417" w:type="dxa"/>
            <w:shd w:val="clear" w:color="auto" w:fill="E1E0E1"/>
          </w:tcPr>
          <w:p w:rsidR="002C1123" w:rsidRDefault="00F22F94">
            <w:pPr>
              <w:pStyle w:val="TableParagraph"/>
              <w:ind w:left="114"/>
              <w:rPr>
                <w:sz w:val="16"/>
              </w:rPr>
            </w:pPr>
            <w:r>
              <w:rPr>
                <w:w w:val="95"/>
                <w:sz w:val="16"/>
              </w:rPr>
              <w:t>Asset</w:t>
            </w:r>
            <w:r>
              <w:rPr>
                <w:spacing w:val="-1"/>
                <w:sz w:val="16"/>
              </w:rPr>
              <w:t xml:space="preserve"> </w:t>
            </w:r>
            <w:r>
              <w:rPr>
                <w:spacing w:val="-2"/>
                <w:sz w:val="16"/>
              </w:rPr>
              <w:t>utilisation</w:t>
            </w:r>
          </w:p>
        </w:tc>
        <w:tc>
          <w:tcPr>
            <w:tcW w:w="2654" w:type="dxa"/>
            <w:shd w:val="clear" w:color="auto" w:fill="E1E0E1"/>
          </w:tcPr>
          <w:p w:rsidR="002C1123" w:rsidRDefault="00F22F94">
            <w:pPr>
              <w:pStyle w:val="TableParagraph"/>
              <w:ind w:left="114"/>
              <w:rPr>
                <w:sz w:val="16"/>
              </w:rPr>
            </w:pPr>
            <w:r>
              <w:rPr>
                <w:w w:val="95"/>
                <w:sz w:val="16"/>
              </w:rPr>
              <w:t>Potential</w:t>
            </w:r>
            <w:r>
              <w:rPr>
                <w:spacing w:val="-2"/>
                <w:w w:val="95"/>
                <w:sz w:val="16"/>
              </w:rPr>
              <w:t xml:space="preserve"> </w:t>
            </w:r>
            <w:r>
              <w:rPr>
                <w:w w:val="95"/>
                <w:sz w:val="16"/>
              </w:rPr>
              <w:t>capital</w:t>
            </w:r>
            <w:r>
              <w:rPr>
                <w:spacing w:val="-1"/>
                <w:w w:val="95"/>
                <w:sz w:val="16"/>
              </w:rPr>
              <w:t xml:space="preserve"> </w:t>
            </w:r>
            <w:r>
              <w:rPr>
                <w:spacing w:val="-2"/>
                <w:w w:val="95"/>
                <w:sz w:val="16"/>
              </w:rPr>
              <w:t>savings</w:t>
            </w:r>
          </w:p>
        </w:tc>
      </w:tr>
    </w:tbl>
    <w:p w:rsidR="002C1123" w:rsidRDefault="002C1123">
      <w:pPr>
        <w:rPr>
          <w:sz w:val="16"/>
        </w:rPr>
        <w:sectPr w:rsidR="002C1123">
          <w:type w:val="continuous"/>
          <w:pgSz w:w="16840" w:h="11910" w:orient="landscape"/>
          <w:pgMar w:top="560" w:right="280" w:bottom="280" w:left="500" w:header="0" w:footer="517" w:gutter="0"/>
          <w:cols w:num="2" w:space="720" w:equalWidth="0">
            <w:col w:w="5252" w:space="40"/>
            <w:col w:w="10768"/>
          </w:cols>
        </w:sect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sz w:val="18"/>
        </w:rPr>
      </w:pPr>
    </w:p>
    <w:p w:rsidR="002C1123" w:rsidRDefault="002060EF">
      <w:pPr>
        <w:pStyle w:val="BodyText"/>
        <w:spacing w:line="20" w:lineRule="exact"/>
        <w:ind w:left="5518"/>
        <w:rPr>
          <w:sz w:val="2"/>
        </w:rPr>
      </w:pPr>
      <w:r>
        <w:rPr>
          <w:sz w:val="2"/>
        </w:rPr>
      </w:r>
      <w:r>
        <w:rPr>
          <w:sz w:val="2"/>
        </w:rPr>
        <w:pict>
          <v:group id="docshapegroup2829" o:spid="_x0000_s1176" style="width:1in;height:.5pt;mso-position-horizontal-relative:char;mso-position-vertical-relative:line" coordsize="1440,10">
            <v:line id="_x0000_s1177" style="position:absolute" from="0,5" to="1440,5" strokecolor="#9c9c9d" strokeweight=".5pt"/>
            <w10:anchorlock/>
          </v:group>
        </w:pict>
      </w:r>
    </w:p>
    <w:p w:rsidR="002C1123" w:rsidRDefault="00F22F94">
      <w:pPr>
        <w:spacing w:before="8"/>
        <w:ind w:left="5717" w:right="5932" w:hanging="199"/>
        <w:rPr>
          <w:sz w:val="14"/>
        </w:rPr>
      </w:pPr>
      <w:r>
        <w:rPr>
          <w:w w:val="95"/>
          <w:sz w:val="14"/>
        </w:rPr>
        <w:t>1</w:t>
      </w:r>
      <w:r>
        <w:rPr>
          <w:spacing w:val="80"/>
          <w:w w:val="150"/>
          <w:sz w:val="14"/>
        </w:rPr>
        <w:t xml:space="preserve"> </w:t>
      </w:r>
      <w:r>
        <w:rPr>
          <w:w w:val="95"/>
          <w:sz w:val="14"/>
        </w:rPr>
        <w:t>The expected savings for contracting out the management and operation</w:t>
      </w:r>
      <w:r>
        <w:rPr>
          <w:spacing w:val="40"/>
          <w:sz w:val="14"/>
        </w:rPr>
        <w:t xml:space="preserve"> </w:t>
      </w:r>
      <w:r>
        <w:rPr>
          <w:sz w:val="14"/>
        </w:rPr>
        <w:t>of</w:t>
      </w:r>
      <w:r>
        <w:rPr>
          <w:spacing w:val="-3"/>
          <w:sz w:val="14"/>
        </w:rPr>
        <w:t xml:space="preserve"> </w:t>
      </w:r>
      <w:r>
        <w:rPr>
          <w:sz w:val="14"/>
        </w:rPr>
        <w:t>Parklea</w:t>
      </w:r>
      <w:r>
        <w:rPr>
          <w:spacing w:val="-3"/>
          <w:sz w:val="14"/>
        </w:rPr>
        <w:t xml:space="preserve"> </w:t>
      </w:r>
      <w:r>
        <w:rPr>
          <w:sz w:val="14"/>
        </w:rPr>
        <w:t>and</w:t>
      </w:r>
      <w:r>
        <w:rPr>
          <w:spacing w:val="-3"/>
          <w:sz w:val="14"/>
        </w:rPr>
        <w:t xml:space="preserve"> </w:t>
      </w:r>
      <w:r>
        <w:rPr>
          <w:sz w:val="14"/>
        </w:rPr>
        <w:t>Cessnock</w:t>
      </w:r>
      <w:r>
        <w:rPr>
          <w:spacing w:val="-3"/>
          <w:sz w:val="14"/>
        </w:rPr>
        <w:t xml:space="preserve"> </w:t>
      </w:r>
      <w:r>
        <w:rPr>
          <w:sz w:val="14"/>
        </w:rPr>
        <w:t>prisons</w:t>
      </w:r>
      <w:r>
        <w:rPr>
          <w:spacing w:val="-3"/>
          <w:sz w:val="14"/>
        </w:rPr>
        <w:t xml:space="preserve"> </w:t>
      </w:r>
      <w:r>
        <w:rPr>
          <w:sz w:val="14"/>
        </w:rPr>
        <w:t>was</w:t>
      </w:r>
      <w:r>
        <w:rPr>
          <w:spacing w:val="-3"/>
          <w:sz w:val="14"/>
        </w:rPr>
        <w:t xml:space="preserve"> </w:t>
      </w:r>
      <w:r>
        <w:rPr>
          <w:sz w:val="14"/>
        </w:rPr>
        <w:t>$15</w:t>
      </w:r>
      <w:r>
        <w:rPr>
          <w:spacing w:val="-3"/>
          <w:sz w:val="14"/>
        </w:rPr>
        <w:t xml:space="preserve"> </w:t>
      </w:r>
      <w:r>
        <w:rPr>
          <w:sz w:val="14"/>
        </w:rPr>
        <w:t>million</w:t>
      </w:r>
      <w:r>
        <w:rPr>
          <w:spacing w:val="-3"/>
          <w:sz w:val="14"/>
        </w:rPr>
        <w:t xml:space="preserve"> </w:t>
      </w:r>
      <w:r>
        <w:rPr>
          <w:sz w:val="14"/>
        </w:rPr>
        <w:t>per</w:t>
      </w:r>
      <w:r>
        <w:rPr>
          <w:spacing w:val="-3"/>
          <w:sz w:val="14"/>
        </w:rPr>
        <w:t xml:space="preserve"> </w:t>
      </w:r>
      <w:r>
        <w:rPr>
          <w:sz w:val="14"/>
        </w:rPr>
        <w:t>annum.</w:t>
      </w:r>
    </w:p>
    <w:p w:rsidR="002C1123" w:rsidRDefault="00F22F94">
      <w:pPr>
        <w:spacing w:line="159" w:lineRule="exact"/>
        <w:ind w:left="5717"/>
        <w:rPr>
          <w:sz w:val="14"/>
        </w:rPr>
      </w:pPr>
      <w:r>
        <w:rPr>
          <w:w w:val="95"/>
          <w:sz w:val="14"/>
        </w:rPr>
        <w:t>Source:</w:t>
      </w:r>
      <w:r>
        <w:rPr>
          <w:spacing w:val="6"/>
          <w:sz w:val="14"/>
        </w:rPr>
        <w:t xml:space="preserve"> </w:t>
      </w:r>
      <w:r>
        <w:rPr>
          <w:w w:val="95"/>
          <w:sz w:val="14"/>
        </w:rPr>
        <w:t>General</w:t>
      </w:r>
      <w:r>
        <w:rPr>
          <w:spacing w:val="6"/>
          <w:sz w:val="14"/>
        </w:rPr>
        <w:t xml:space="preserve"> </w:t>
      </w:r>
      <w:r>
        <w:rPr>
          <w:w w:val="95"/>
          <w:sz w:val="14"/>
        </w:rPr>
        <w:t>Purpose</w:t>
      </w:r>
      <w:r>
        <w:rPr>
          <w:spacing w:val="6"/>
          <w:sz w:val="14"/>
        </w:rPr>
        <w:t xml:space="preserve"> </w:t>
      </w:r>
      <w:r>
        <w:rPr>
          <w:w w:val="95"/>
          <w:sz w:val="14"/>
        </w:rPr>
        <w:t>Standing</w:t>
      </w:r>
      <w:r>
        <w:rPr>
          <w:spacing w:val="6"/>
          <w:sz w:val="14"/>
        </w:rPr>
        <w:t xml:space="preserve"> </w:t>
      </w:r>
      <w:r>
        <w:rPr>
          <w:w w:val="95"/>
          <w:sz w:val="14"/>
        </w:rPr>
        <w:t>Committee</w:t>
      </w:r>
      <w:r>
        <w:rPr>
          <w:spacing w:val="6"/>
          <w:sz w:val="14"/>
        </w:rPr>
        <w:t xml:space="preserve"> </w:t>
      </w:r>
      <w:r>
        <w:rPr>
          <w:w w:val="95"/>
          <w:sz w:val="14"/>
        </w:rPr>
        <w:t>No.3</w:t>
      </w:r>
      <w:r>
        <w:rPr>
          <w:spacing w:val="6"/>
          <w:sz w:val="14"/>
        </w:rPr>
        <w:t xml:space="preserve"> </w:t>
      </w:r>
      <w:r>
        <w:rPr>
          <w:spacing w:val="-4"/>
          <w:w w:val="95"/>
          <w:sz w:val="14"/>
        </w:rPr>
        <w:t>2009.</w:t>
      </w:r>
    </w:p>
    <w:p w:rsidR="002C1123" w:rsidRDefault="002C1123">
      <w:pPr>
        <w:spacing w:line="159" w:lineRule="exact"/>
        <w:rPr>
          <w:sz w:val="14"/>
        </w:rPr>
        <w:sectPr w:rsidR="002C1123">
          <w:type w:val="continuous"/>
          <w:pgSz w:w="16840" w:h="11910" w:orient="landscape"/>
          <w:pgMar w:top="560" w:right="280" w:bottom="280" w:left="500" w:header="0" w:footer="517" w:gutter="0"/>
          <w:cols w:space="720"/>
        </w:sectPr>
      </w:pPr>
    </w:p>
    <w:p w:rsidR="002C1123" w:rsidRDefault="002C1123">
      <w:pPr>
        <w:pStyle w:val="BodyText"/>
      </w:pPr>
    </w:p>
    <w:p w:rsidR="002C1123" w:rsidRDefault="002C1123">
      <w:pPr>
        <w:sectPr w:rsidR="002C1123">
          <w:headerReference w:type="default" r:id="rId241"/>
          <w:footerReference w:type="default" r:id="rId242"/>
          <w:pgSz w:w="16840" w:h="11910" w:orient="landscape"/>
          <w:pgMar w:top="560" w:right="280" w:bottom="700" w:left="500" w:header="0" w:footer="517" w:gutter="0"/>
          <w:cols w:space="720"/>
        </w:sectPr>
      </w:pPr>
    </w:p>
    <w:p w:rsidR="002C1123" w:rsidRDefault="002060EF">
      <w:pPr>
        <w:pStyle w:val="Heading1"/>
      </w:pPr>
      <w:r>
        <w:pict>
          <v:shape id="docshape2841" o:spid="_x0000_s1175" type="#_x0000_t202" style="position:absolute;left:0;text-align:left;margin-left:38.25pt;margin-top:80.8pt;width:251.35pt;height:417.95pt;z-index:251747328;mso-position-horizontal-relative:page" fillcolor="#e1e0e1" stroked="f">
            <v:textbox inset="0,0,0,0">
              <w:txbxContent>
                <w:p w:rsidR="00F22F94" w:rsidRDefault="00F22F94">
                  <w:pPr>
                    <w:spacing w:before="164"/>
                    <w:ind w:left="226"/>
                    <w:rPr>
                      <w:b/>
                      <w:color w:val="000000"/>
                      <w:sz w:val="28"/>
                    </w:rPr>
                  </w:pPr>
                  <w:r>
                    <w:rPr>
                      <w:b/>
                      <w:color w:val="00AEEF"/>
                      <w:spacing w:val="-2"/>
                      <w:sz w:val="28"/>
                    </w:rPr>
                    <w:t>Summary</w:t>
                  </w:r>
                </w:p>
                <w:p w:rsidR="00F22F94" w:rsidRDefault="00F22F94">
                  <w:pPr>
                    <w:pStyle w:val="BodyText"/>
                    <w:numPr>
                      <w:ilvl w:val="0"/>
                      <w:numId w:val="26"/>
                    </w:numPr>
                    <w:tabs>
                      <w:tab w:val="left" w:pos="511"/>
                    </w:tabs>
                    <w:spacing w:before="122" w:line="249" w:lineRule="auto"/>
                    <w:ind w:right="1341"/>
                    <w:rPr>
                      <w:color w:val="000000"/>
                    </w:rPr>
                  </w:pPr>
                  <w:r>
                    <w:rPr>
                      <w:color w:val="000000"/>
                      <w:w w:val="95"/>
                    </w:rPr>
                    <w:t>This</w:t>
                  </w:r>
                  <w:r>
                    <w:rPr>
                      <w:color w:val="000000"/>
                      <w:spacing w:val="-9"/>
                      <w:w w:val="95"/>
                    </w:rPr>
                    <w:t xml:space="preserve"> </w:t>
                  </w:r>
                  <w:r>
                    <w:rPr>
                      <w:color w:val="000000"/>
                      <w:w w:val="95"/>
                    </w:rPr>
                    <w:t>section</w:t>
                  </w:r>
                  <w:r>
                    <w:rPr>
                      <w:color w:val="000000"/>
                      <w:spacing w:val="-9"/>
                      <w:w w:val="95"/>
                    </w:rPr>
                    <w:t xml:space="preserve"> </w:t>
                  </w:r>
                  <w:r>
                    <w:rPr>
                      <w:color w:val="000000"/>
                      <w:w w:val="95"/>
                    </w:rPr>
                    <w:t>summarises</w:t>
                  </w:r>
                  <w:r>
                    <w:rPr>
                      <w:color w:val="000000"/>
                      <w:spacing w:val="-9"/>
                      <w:w w:val="95"/>
                    </w:rPr>
                    <w:t xml:space="preserve"> </w:t>
                  </w:r>
                  <w:r>
                    <w:rPr>
                      <w:color w:val="000000"/>
                      <w:w w:val="95"/>
                    </w:rPr>
                    <w:t>the</w:t>
                  </w:r>
                  <w:r>
                    <w:rPr>
                      <w:color w:val="000000"/>
                      <w:spacing w:val="-9"/>
                      <w:w w:val="95"/>
                    </w:rPr>
                    <w:t xml:space="preserve"> </w:t>
                  </w:r>
                  <w:r>
                    <w:rPr>
                      <w:color w:val="000000"/>
                      <w:w w:val="95"/>
                    </w:rPr>
                    <w:t xml:space="preserve">Strategy </w:t>
                  </w:r>
                  <w:r>
                    <w:rPr>
                      <w:color w:val="000000"/>
                    </w:rPr>
                    <w:t>recommendations by sector.</w:t>
                  </w:r>
                </w:p>
                <w:p w:rsidR="00F22F94" w:rsidRDefault="00F22F94">
                  <w:pPr>
                    <w:pStyle w:val="BodyText"/>
                    <w:numPr>
                      <w:ilvl w:val="0"/>
                      <w:numId w:val="26"/>
                    </w:numPr>
                    <w:tabs>
                      <w:tab w:val="left" w:pos="511"/>
                    </w:tabs>
                    <w:spacing w:before="131" w:line="249" w:lineRule="auto"/>
                    <w:ind w:right="186"/>
                    <w:rPr>
                      <w:color w:val="000000"/>
                    </w:rPr>
                  </w:pPr>
                  <w:r>
                    <w:rPr>
                      <w:color w:val="000000"/>
                    </w:rPr>
                    <w:t>The</w:t>
                  </w:r>
                  <w:r>
                    <w:rPr>
                      <w:color w:val="000000"/>
                      <w:spacing w:val="-13"/>
                    </w:rPr>
                    <w:t xml:space="preserve"> </w:t>
                  </w:r>
                  <w:r>
                    <w:rPr>
                      <w:color w:val="000000"/>
                    </w:rPr>
                    <w:t>recommendations</w:t>
                  </w:r>
                  <w:r>
                    <w:rPr>
                      <w:color w:val="000000"/>
                      <w:spacing w:val="-13"/>
                    </w:rPr>
                    <w:t xml:space="preserve"> </w:t>
                  </w:r>
                  <w:r>
                    <w:rPr>
                      <w:color w:val="000000"/>
                    </w:rPr>
                    <w:t>in</w:t>
                  </w:r>
                  <w:r>
                    <w:rPr>
                      <w:color w:val="000000"/>
                      <w:spacing w:val="-13"/>
                    </w:rPr>
                    <w:t xml:space="preserve"> </w:t>
                  </w:r>
                  <w:r>
                    <w:rPr>
                      <w:color w:val="000000"/>
                    </w:rPr>
                    <w:t>the</w:t>
                  </w:r>
                  <w:r>
                    <w:rPr>
                      <w:color w:val="000000"/>
                      <w:spacing w:val="-13"/>
                    </w:rPr>
                    <w:t xml:space="preserve"> </w:t>
                  </w:r>
                  <w:r>
                    <w:rPr>
                      <w:color w:val="000000"/>
                    </w:rPr>
                    <w:t>Strategy</w:t>
                  </w:r>
                  <w:r>
                    <w:rPr>
                      <w:color w:val="000000"/>
                      <w:spacing w:val="-13"/>
                    </w:rPr>
                    <w:t xml:space="preserve"> </w:t>
                  </w:r>
                  <w:r>
                    <w:rPr>
                      <w:color w:val="000000"/>
                    </w:rPr>
                    <w:t>have</w:t>
                  </w:r>
                  <w:r>
                    <w:rPr>
                      <w:color w:val="000000"/>
                      <w:spacing w:val="-13"/>
                    </w:rPr>
                    <w:t xml:space="preserve"> </w:t>
                  </w:r>
                  <w:r>
                    <w:rPr>
                      <w:color w:val="000000"/>
                    </w:rPr>
                    <w:t xml:space="preserve">been </w:t>
                  </w:r>
                  <w:r>
                    <w:rPr>
                      <w:color w:val="000000"/>
                      <w:w w:val="95"/>
                    </w:rPr>
                    <w:t>developed</w:t>
                  </w:r>
                  <w:r>
                    <w:rPr>
                      <w:color w:val="000000"/>
                      <w:spacing w:val="-5"/>
                      <w:w w:val="95"/>
                    </w:rPr>
                    <w:t xml:space="preserve"> </w:t>
                  </w:r>
                  <w:r>
                    <w:rPr>
                      <w:color w:val="000000"/>
                      <w:w w:val="95"/>
                    </w:rPr>
                    <w:t>to</w:t>
                  </w:r>
                  <w:r>
                    <w:rPr>
                      <w:color w:val="000000"/>
                      <w:spacing w:val="-5"/>
                      <w:w w:val="95"/>
                    </w:rPr>
                    <w:t xml:space="preserve"> </w:t>
                  </w:r>
                  <w:r>
                    <w:rPr>
                      <w:color w:val="000000"/>
                      <w:w w:val="95"/>
                    </w:rPr>
                    <w:t>be</w:t>
                  </w:r>
                  <w:r>
                    <w:rPr>
                      <w:color w:val="000000"/>
                      <w:spacing w:val="-5"/>
                      <w:w w:val="95"/>
                    </w:rPr>
                    <w:t xml:space="preserve"> </w:t>
                  </w:r>
                  <w:r>
                    <w:rPr>
                      <w:color w:val="000000"/>
                      <w:w w:val="95"/>
                    </w:rPr>
                    <w:t>realistically</w:t>
                  </w:r>
                  <w:r>
                    <w:rPr>
                      <w:color w:val="000000"/>
                      <w:spacing w:val="-5"/>
                      <w:w w:val="95"/>
                    </w:rPr>
                    <w:t xml:space="preserve"> </w:t>
                  </w:r>
                  <w:r>
                    <w:rPr>
                      <w:color w:val="000000"/>
                      <w:w w:val="95"/>
                    </w:rPr>
                    <w:t>affordable</w:t>
                  </w:r>
                  <w:r>
                    <w:rPr>
                      <w:color w:val="000000"/>
                      <w:spacing w:val="-5"/>
                      <w:w w:val="95"/>
                    </w:rPr>
                    <w:t xml:space="preserve"> </w:t>
                  </w:r>
                  <w:r>
                    <w:rPr>
                      <w:color w:val="000000"/>
                      <w:w w:val="95"/>
                    </w:rPr>
                    <w:t>and</w:t>
                  </w:r>
                  <w:r>
                    <w:rPr>
                      <w:color w:val="000000"/>
                      <w:spacing w:val="-5"/>
                      <w:w w:val="95"/>
                    </w:rPr>
                    <w:t xml:space="preserve"> </w:t>
                  </w:r>
                  <w:r>
                    <w:rPr>
                      <w:color w:val="000000"/>
                      <w:w w:val="95"/>
                    </w:rPr>
                    <w:t xml:space="preserve">capable </w:t>
                  </w:r>
                  <w:r>
                    <w:rPr>
                      <w:color w:val="000000"/>
                    </w:rPr>
                    <w:t>of being delivered.</w:t>
                  </w:r>
                </w:p>
                <w:p w:rsidR="00F22F94" w:rsidRDefault="00F22F94">
                  <w:pPr>
                    <w:pStyle w:val="BodyText"/>
                    <w:numPr>
                      <w:ilvl w:val="0"/>
                      <w:numId w:val="26"/>
                    </w:numPr>
                    <w:tabs>
                      <w:tab w:val="left" w:pos="511"/>
                    </w:tabs>
                    <w:spacing w:before="131" w:line="249" w:lineRule="auto"/>
                    <w:ind w:right="504"/>
                    <w:rPr>
                      <w:color w:val="000000"/>
                    </w:rPr>
                  </w:pPr>
                  <w:r>
                    <w:rPr>
                      <w:color w:val="000000"/>
                      <w:w w:val="95"/>
                    </w:rPr>
                    <w:t xml:space="preserve">The new projects and programs recommended </w:t>
                  </w:r>
                  <w:r>
                    <w:rPr>
                      <w:color w:val="000000"/>
                    </w:rPr>
                    <w:t>by</w:t>
                  </w:r>
                  <w:r>
                    <w:rPr>
                      <w:color w:val="000000"/>
                      <w:spacing w:val="-9"/>
                    </w:rPr>
                    <w:t xml:space="preserve"> </w:t>
                  </w:r>
                  <w:r>
                    <w:rPr>
                      <w:color w:val="000000"/>
                    </w:rPr>
                    <w:t>Infrastructure</w:t>
                  </w:r>
                  <w:r>
                    <w:rPr>
                      <w:color w:val="000000"/>
                      <w:spacing w:val="-9"/>
                    </w:rPr>
                    <w:t xml:space="preserve"> </w:t>
                  </w:r>
                  <w:r>
                    <w:rPr>
                      <w:color w:val="000000"/>
                    </w:rPr>
                    <w:t>NSW</w:t>
                  </w:r>
                  <w:r>
                    <w:rPr>
                      <w:color w:val="000000"/>
                      <w:spacing w:val="-9"/>
                    </w:rPr>
                    <w:t xml:space="preserve"> </w:t>
                  </w:r>
                  <w:r>
                    <w:rPr>
                      <w:color w:val="000000"/>
                    </w:rPr>
                    <w:t>are</w:t>
                  </w:r>
                  <w:r>
                    <w:rPr>
                      <w:color w:val="000000"/>
                      <w:spacing w:val="-9"/>
                    </w:rPr>
                    <w:t xml:space="preserve"> </w:t>
                  </w:r>
                  <w:r>
                    <w:rPr>
                      <w:color w:val="000000"/>
                    </w:rPr>
                    <w:t>estimated</w:t>
                  </w:r>
                  <w:r>
                    <w:rPr>
                      <w:color w:val="000000"/>
                      <w:spacing w:val="-9"/>
                    </w:rPr>
                    <w:t xml:space="preserve"> </w:t>
                  </w:r>
                  <w:r>
                    <w:rPr>
                      <w:color w:val="000000"/>
                    </w:rPr>
                    <w:t>to</w:t>
                  </w:r>
                  <w:r>
                    <w:rPr>
                      <w:color w:val="000000"/>
                      <w:spacing w:val="-9"/>
                    </w:rPr>
                    <w:t xml:space="preserve"> </w:t>
                  </w:r>
                  <w:r>
                    <w:rPr>
                      <w:color w:val="000000"/>
                    </w:rPr>
                    <w:t>cost approximately</w:t>
                  </w:r>
                  <w:r>
                    <w:rPr>
                      <w:color w:val="000000"/>
                      <w:spacing w:val="-9"/>
                    </w:rPr>
                    <w:t xml:space="preserve"> </w:t>
                  </w:r>
                  <w:r>
                    <w:rPr>
                      <w:color w:val="000000"/>
                    </w:rPr>
                    <w:t>$30</w:t>
                  </w:r>
                  <w:r>
                    <w:rPr>
                      <w:color w:val="000000"/>
                      <w:spacing w:val="-9"/>
                    </w:rPr>
                    <w:t xml:space="preserve"> </w:t>
                  </w:r>
                  <w:r>
                    <w:rPr>
                      <w:color w:val="000000"/>
                    </w:rPr>
                    <w:t>billion</w:t>
                  </w:r>
                  <w:r>
                    <w:rPr>
                      <w:color w:val="000000"/>
                      <w:spacing w:val="-9"/>
                    </w:rPr>
                    <w:t xml:space="preserve"> </w:t>
                  </w:r>
                  <w:r>
                    <w:rPr>
                      <w:color w:val="000000"/>
                    </w:rPr>
                    <w:t>over</w:t>
                  </w:r>
                  <w:r>
                    <w:rPr>
                      <w:color w:val="000000"/>
                      <w:spacing w:val="-9"/>
                    </w:rPr>
                    <w:t xml:space="preserve"> </w:t>
                  </w:r>
                  <w:r>
                    <w:rPr>
                      <w:color w:val="000000"/>
                    </w:rPr>
                    <w:t>20</w:t>
                  </w:r>
                  <w:r>
                    <w:rPr>
                      <w:color w:val="000000"/>
                      <w:spacing w:val="-9"/>
                    </w:rPr>
                    <w:t xml:space="preserve"> </w:t>
                  </w:r>
                  <w:r>
                    <w:rPr>
                      <w:color w:val="000000"/>
                    </w:rPr>
                    <w:t>years.</w:t>
                  </w:r>
                </w:p>
                <w:p w:rsidR="00F22F94" w:rsidRDefault="00F22F94">
                  <w:pPr>
                    <w:pStyle w:val="BodyText"/>
                    <w:spacing w:before="2" w:line="249" w:lineRule="auto"/>
                    <w:ind w:left="510" w:right="393"/>
                    <w:rPr>
                      <w:color w:val="000000"/>
                    </w:rPr>
                  </w:pPr>
                  <w:r>
                    <w:rPr>
                      <w:color w:val="000000"/>
                      <w:w w:val="95"/>
                    </w:rPr>
                    <w:t>The</w:t>
                  </w:r>
                  <w:r>
                    <w:rPr>
                      <w:color w:val="000000"/>
                      <w:spacing w:val="-6"/>
                      <w:w w:val="95"/>
                    </w:rPr>
                    <w:t xml:space="preserve"> </w:t>
                  </w:r>
                  <w:r>
                    <w:rPr>
                      <w:color w:val="000000"/>
                      <w:w w:val="95"/>
                    </w:rPr>
                    <w:t>indicative</w:t>
                  </w:r>
                  <w:r>
                    <w:rPr>
                      <w:color w:val="000000"/>
                      <w:spacing w:val="-6"/>
                      <w:w w:val="95"/>
                    </w:rPr>
                    <w:t xml:space="preserve"> </w:t>
                  </w:r>
                  <w:r>
                    <w:rPr>
                      <w:color w:val="000000"/>
                      <w:w w:val="95"/>
                    </w:rPr>
                    <w:t>funding</w:t>
                  </w:r>
                  <w:r>
                    <w:rPr>
                      <w:color w:val="000000"/>
                      <w:spacing w:val="-6"/>
                      <w:w w:val="95"/>
                    </w:rPr>
                    <w:t xml:space="preserve"> </w:t>
                  </w:r>
                  <w:r>
                    <w:rPr>
                      <w:color w:val="000000"/>
                      <w:w w:val="95"/>
                    </w:rPr>
                    <w:t>mix</w:t>
                  </w:r>
                  <w:r>
                    <w:rPr>
                      <w:color w:val="000000"/>
                      <w:spacing w:val="-6"/>
                      <w:w w:val="95"/>
                    </w:rPr>
                    <w:t xml:space="preserve"> </w:t>
                  </w:r>
                  <w:r>
                    <w:rPr>
                      <w:color w:val="000000"/>
                      <w:w w:val="95"/>
                    </w:rPr>
                    <w:t>comprises</w:t>
                  </w:r>
                  <w:r>
                    <w:rPr>
                      <w:color w:val="000000"/>
                      <w:spacing w:val="-6"/>
                      <w:w w:val="95"/>
                    </w:rPr>
                    <w:t xml:space="preserve"> </w:t>
                  </w:r>
                  <w:r>
                    <w:rPr>
                      <w:color w:val="000000"/>
                      <w:w w:val="95"/>
                    </w:rPr>
                    <w:t>$20</w:t>
                  </w:r>
                  <w:r>
                    <w:rPr>
                      <w:color w:val="000000"/>
                      <w:spacing w:val="-6"/>
                      <w:w w:val="95"/>
                    </w:rPr>
                    <w:t xml:space="preserve"> </w:t>
                  </w:r>
                  <w:r>
                    <w:rPr>
                      <w:color w:val="000000"/>
                      <w:w w:val="95"/>
                    </w:rPr>
                    <w:t xml:space="preserve">billion </w:t>
                  </w:r>
                  <w:r>
                    <w:rPr>
                      <w:color w:val="000000"/>
                    </w:rPr>
                    <w:t>in</w:t>
                  </w:r>
                  <w:r>
                    <w:rPr>
                      <w:color w:val="000000"/>
                      <w:spacing w:val="-10"/>
                    </w:rPr>
                    <w:t xml:space="preserve"> </w:t>
                  </w:r>
                  <w:r>
                    <w:rPr>
                      <w:color w:val="000000"/>
                    </w:rPr>
                    <w:t>Government</w:t>
                  </w:r>
                  <w:r>
                    <w:rPr>
                      <w:color w:val="000000"/>
                      <w:spacing w:val="-10"/>
                    </w:rPr>
                    <w:t xml:space="preserve"> </w:t>
                  </w:r>
                  <w:r>
                    <w:rPr>
                      <w:color w:val="000000"/>
                    </w:rPr>
                    <w:t>funding</w:t>
                  </w:r>
                  <w:r>
                    <w:rPr>
                      <w:color w:val="000000"/>
                      <w:spacing w:val="-10"/>
                    </w:rPr>
                    <w:t xml:space="preserve"> </w:t>
                  </w:r>
                  <w:r>
                    <w:rPr>
                      <w:color w:val="000000"/>
                    </w:rPr>
                    <w:t>and</w:t>
                  </w:r>
                  <w:r>
                    <w:rPr>
                      <w:color w:val="000000"/>
                      <w:spacing w:val="-10"/>
                    </w:rPr>
                    <w:t xml:space="preserve"> </w:t>
                  </w:r>
                  <w:r>
                    <w:rPr>
                      <w:color w:val="000000"/>
                    </w:rPr>
                    <w:t>$10</w:t>
                  </w:r>
                  <w:r>
                    <w:rPr>
                      <w:color w:val="000000"/>
                      <w:spacing w:val="-10"/>
                    </w:rPr>
                    <w:t xml:space="preserve"> </w:t>
                  </w:r>
                  <w:r>
                    <w:rPr>
                      <w:color w:val="000000"/>
                    </w:rPr>
                    <w:t>billion</w:t>
                  </w:r>
                  <w:r>
                    <w:rPr>
                      <w:color w:val="000000"/>
                      <w:spacing w:val="-10"/>
                    </w:rPr>
                    <w:t xml:space="preserve"> </w:t>
                  </w:r>
                  <w:r>
                    <w:rPr>
                      <w:color w:val="000000"/>
                    </w:rPr>
                    <w:t>in</w:t>
                  </w:r>
                </w:p>
                <w:p w:rsidR="00F22F94" w:rsidRDefault="00F22F94">
                  <w:pPr>
                    <w:pStyle w:val="BodyText"/>
                    <w:spacing w:before="1"/>
                    <w:ind w:left="510"/>
                    <w:rPr>
                      <w:color w:val="000000"/>
                    </w:rPr>
                  </w:pPr>
                  <w:r>
                    <w:rPr>
                      <w:color w:val="000000"/>
                      <w:w w:val="90"/>
                    </w:rPr>
                    <w:t>user</w:t>
                  </w:r>
                  <w:r>
                    <w:rPr>
                      <w:color w:val="000000"/>
                      <w:spacing w:val="5"/>
                    </w:rPr>
                    <w:t xml:space="preserve"> </w:t>
                  </w:r>
                  <w:r>
                    <w:rPr>
                      <w:color w:val="000000"/>
                      <w:spacing w:val="-2"/>
                    </w:rPr>
                    <w:t>funding.</w:t>
                  </w:r>
                </w:p>
                <w:p w:rsidR="00F22F94" w:rsidRDefault="00F22F94">
                  <w:pPr>
                    <w:pStyle w:val="BodyText"/>
                    <w:numPr>
                      <w:ilvl w:val="0"/>
                      <w:numId w:val="26"/>
                    </w:numPr>
                    <w:tabs>
                      <w:tab w:val="left" w:pos="511"/>
                    </w:tabs>
                    <w:spacing w:before="140" w:line="249" w:lineRule="auto"/>
                    <w:ind w:right="335"/>
                    <w:rPr>
                      <w:color w:val="000000"/>
                    </w:rPr>
                  </w:pPr>
                  <w:r>
                    <w:rPr>
                      <w:color w:val="000000"/>
                      <w:spacing w:val="-2"/>
                    </w:rPr>
                    <w:t>The</w:t>
                  </w:r>
                  <w:r>
                    <w:rPr>
                      <w:color w:val="000000"/>
                      <w:spacing w:val="-8"/>
                    </w:rPr>
                    <w:t xml:space="preserve"> </w:t>
                  </w:r>
                  <w:r>
                    <w:rPr>
                      <w:color w:val="000000"/>
                      <w:spacing w:val="-2"/>
                    </w:rPr>
                    <w:t>cost</w:t>
                  </w:r>
                  <w:r>
                    <w:rPr>
                      <w:color w:val="000000"/>
                      <w:spacing w:val="-8"/>
                    </w:rPr>
                    <w:t xml:space="preserve"> </w:t>
                  </w:r>
                  <w:r>
                    <w:rPr>
                      <w:color w:val="000000"/>
                      <w:spacing w:val="-2"/>
                    </w:rPr>
                    <w:t>to</w:t>
                  </w:r>
                  <w:r>
                    <w:rPr>
                      <w:color w:val="000000"/>
                      <w:spacing w:val="-8"/>
                    </w:rPr>
                    <w:t xml:space="preserve"> </w:t>
                  </w:r>
                  <w:r>
                    <w:rPr>
                      <w:color w:val="000000"/>
                      <w:spacing w:val="-2"/>
                    </w:rPr>
                    <w:t>Government</w:t>
                  </w:r>
                  <w:r>
                    <w:rPr>
                      <w:color w:val="000000"/>
                      <w:spacing w:val="-8"/>
                    </w:rPr>
                    <w:t xml:space="preserve"> </w:t>
                  </w:r>
                  <w:r>
                    <w:rPr>
                      <w:color w:val="000000"/>
                      <w:spacing w:val="-2"/>
                    </w:rPr>
                    <w:t>of</w:t>
                  </w:r>
                  <w:r>
                    <w:rPr>
                      <w:color w:val="000000"/>
                      <w:spacing w:val="-8"/>
                    </w:rPr>
                    <w:t xml:space="preserve"> </w:t>
                  </w:r>
                  <w:r>
                    <w:rPr>
                      <w:color w:val="000000"/>
                      <w:spacing w:val="-2"/>
                    </w:rPr>
                    <w:t>Infrastructure</w:t>
                  </w:r>
                  <w:r>
                    <w:rPr>
                      <w:color w:val="000000"/>
                      <w:spacing w:val="-8"/>
                    </w:rPr>
                    <w:t xml:space="preserve"> </w:t>
                  </w:r>
                  <w:r>
                    <w:rPr>
                      <w:color w:val="000000"/>
                      <w:spacing w:val="-2"/>
                    </w:rPr>
                    <w:t xml:space="preserve">NSW’s </w:t>
                  </w:r>
                  <w:r>
                    <w:rPr>
                      <w:color w:val="000000"/>
                      <w:w w:val="95"/>
                    </w:rPr>
                    <w:t>recommendations</w:t>
                  </w:r>
                  <w:r>
                    <w:rPr>
                      <w:color w:val="000000"/>
                      <w:spacing w:val="-4"/>
                      <w:w w:val="95"/>
                    </w:rPr>
                    <w:t xml:space="preserve"> </w:t>
                  </w:r>
                  <w:r>
                    <w:rPr>
                      <w:color w:val="000000"/>
                      <w:w w:val="95"/>
                    </w:rPr>
                    <w:t>averages</w:t>
                  </w:r>
                  <w:r>
                    <w:rPr>
                      <w:color w:val="000000"/>
                      <w:spacing w:val="-4"/>
                      <w:w w:val="95"/>
                    </w:rPr>
                    <w:t xml:space="preserve"> </w:t>
                  </w:r>
                  <w:r>
                    <w:rPr>
                      <w:color w:val="000000"/>
                      <w:w w:val="95"/>
                    </w:rPr>
                    <w:t>$1</w:t>
                  </w:r>
                  <w:r>
                    <w:rPr>
                      <w:color w:val="000000"/>
                      <w:spacing w:val="-4"/>
                      <w:w w:val="95"/>
                    </w:rPr>
                    <w:t xml:space="preserve"> </w:t>
                  </w:r>
                  <w:r>
                    <w:rPr>
                      <w:color w:val="000000"/>
                      <w:w w:val="95"/>
                    </w:rPr>
                    <w:t>billion</w:t>
                  </w:r>
                  <w:r>
                    <w:rPr>
                      <w:color w:val="000000"/>
                      <w:spacing w:val="-4"/>
                      <w:w w:val="95"/>
                    </w:rPr>
                    <w:t xml:space="preserve"> </w:t>
                  </w:r>
                  <w:r>
                    <w:rPr>
                      <w:color w:val="000000"/>
                      <w:w w:val="95"/>
                    </w:rPr>
                    <w:t>per</w:t>
                  </w:r>
                  <w:r>
                    <w:rPr>
                      <w:color w:val="000000"/>
                      <w:spacing w:val="-4"/>
                      <w:w w:val="95"/>
                    </w:rPr>
                    <w:t xml:space="preserve"> </w:t>
                  </w:r>
                  <w:r>
                    <w:rPr>
                      <w:color w:val="000000"/>
                      <w:w w:val="95"/>
                    </w:rPr>
                    <w:t xml:space="preserve">annum, </w:t>
                  </w:r>
                  <w:r>
                    <w:rPr>
                      <w:color w:val="000000"/>
                    </w:rPr>
                    <w:t>out</w:t>
                  </w:r>
                  <w:r>
                    <w:rPr>
                      <w:color w:val="000000"/>
                      <w:spacing w:val="-4"/>
                    </w:rPr>
                    <w:t xml:space="preserve"> </w:t>
                  </w:r>
                  <w:r>
                    <w:rPr>
                      <w:color w:val="000000"/>
                    </w:rPr>
                    <w:t>of</w:t>
                  </w:r>
                  <w:r>
                    <w:rPr>
                      <w:color w:val="000000"/>
                      <w:spacing w:val="-4"/>
                    </w:rPr>
                    <w:t xml:space="preserve"> </w:t>
                  </w:r>
                  <w:r>
                    <w:rPr>
                      <w:color w:val="000000"/>
                    </w:rPr>
                    <w:t>a</w:t>
                  </w:r>
                  <w:r>
                    <w:rPr>
                      <w:color w:val="000000"/>
                      <w:spacing w:val="-4"/>
                    </w:rPr>
                    <w:t xml:space="preserve"> </w:t>
                  </w:r>
                  <w:r>
                    <w:rPr>
                      <w:color w:val="000000"/>
                    </w:rPr>
                    <w:t>total</w:t>
                  </w:r>
                  <w:r>
                    <w:rPr>
                      <w:color w:val="000000"/>
                      <w:spacing w:val="-4"/>
                    </w:rPr>
                    <w:t xml:space="preserve"> </w:t>
                  </w:r>
                  <w:r>
                    <w:rPr>
                      <w:color w:val="000000"/>
                    </w:rPr>
                    <w:t>Government</w:t>
                  </w:r>
                  <w:r>
                    <w:rPr>
                      <w:color w:val="000000"/>
                      <w:spacing w:val="-4"/>
                    </w:rPr>
                    <w:t xml:space="preserve"> </w:t>
                  </w:r>
                  <w:r>
                    <w:rPr>
                      <w:color w:val="000000"/>
                    </w:rPr>
                    <w:t>capital</w:t>
                  </w:r>
                  <w:r>
                    <w:rPr>
                      <w:color w:val="000000"/>
                      <w:spacing w:val="-4"/>
                    </w:rPr>
                    <w:t xml:space="preserve"> </w:t>
                  </w:r>
                  <w:r>
                    <w:rPr>
                      <w:color w:val="000000"/>
                    </w:rPr>
                    <w:t>spending envelope</w:t>
                  </w:r>
                  <w:r>
                    <w:rPr>
                      <w:color w:val="000000"/>
                      <w:spacing w:val="-11"/>
                    </w:rPr>
                    <w:t xml:space="preserve"> </w:t>
                  </w:r>
                  <w:r>
                    <w:rPr>
                      <w:color w:val="000000"/>
                    </w:rPr>
                    <w:t>of</w:t>
                  </w:r>
                  <w:r>
                    <w:rPr>
                      <w:color w:val="000000"/>
                      <w:spacing w:val="-11"/>
                    </w:rPr>
                    <w:t xml:space="preserve"> </w:t>
                  </w:r>
                  <w:r>
                    <w:rPr>
                      <w:color w:val="000000"/>
                    </w:rPr>
                    <w:t>around</w:t>
                  </w:r>
                  <w:r>
                    <w:rPr>
                      <w:color w:val="000000"/>
                      <w:spacing w:val="-11"/>
                    </w:rPr>
                    <w:t xml:space="preserve"> </w:t>
                  </w:r>
                  <w:r>
                    <w:rPr>
                      <w:color w:val="000000"/>
                    </w:rPr>
                    <w:t>$15</w:t>
                  </w:r>
                  <w:r>
                    <w:rPr>
                      <w:color w:val="000000"/>
                      <w:spacing w:val="-11"/>
                    </w:rPr>
                    <w:t xml:space="preserve"> </w:t>
                  </w:r>
                  <w:r>
                    <w:rPr>
                      <w:color w:val="000000"/>
                    </w:rPr>
                    <w:t>billion</w:t>
                  </w:r>
                  <w:r>
                    <w:rPr>
                      <w:color w:val="000000"/>
                      <w:spacing w:val="-11"/>
                    </w:rPr>
                    <w:t xml:space="preserve"> </w:t>
                  </w:r>
                  <w:r>
                    <w:rPr>
                      <w:color w:val="000000"/>
                    </w:rPr>
                    <w:t>per</w:t>
                  </w:r>
                  <w:r>
                    <w:rPr>
                      <w:color w:val="000000"/>
                      <w:spacing w:val="-11"/>
                    </w:rPr>
                    <w:t xml:space="preserve"> </w:t>
                  </w:r>
                  <w:r>
                    <w:rPr>
                      <w:color w:val="000000"/>
                    </w:rPr>
                    <w:t>annum.</w:t>
                  </w:r>
                </w:p>
                <w:p w:rsidR="00F22F94" w:rsidRDefault="00F22F94">
                  <w:pPr>
                    <w:pStyle w:val="BodyText"/>
                    <w:numPr>
                      <w:ilvl w:val="0"/>
                      <w:numId w:val="26"/>
                    </w:numPr>
                    <w:tabs>
                      <w:tab w:val="left" w:pos="511"/>
                    </w:tabs>
                    <w:spacing w:before="132" w:line="249" w:lineRule="auto"/>
                    <w:ind w:right="979"/>
                    <w:rPr>
                      <w:color w:val="000000"/>
                    </w:rPr>
                  </w:pPr>
                  <w:r>
                    <w:rPr>
                      <w:color w:val="000000"/>
                    </w:rPr>
                    <w:t>In</w:t>
                  </w:r>
                  <w:r>
                    <w:rPr>
                      <w:color w:val="000000"/>
                      <w:spacing w:val="-7"/>
                    </w:rPr>
                    <w:t xml:space="preserve"> </w:t>
                  </w:r>
                  <w:r>
                    <w:rPr>
                      <w:color w:val="000000"/>
                    </w:rPr>
                    <w:t>all</w:t>
                  </w:r>
                  <w:r>
                    <w:rPr>
                      <w:color w:val="000000"/>
                      <w:spacing w:val="-7"/>
                    </w:rPr>
                    <w:t xml:space="preserve"> </w:t>
                  </w:r>
                  <w:r>
                    <w:rPr>
                      <w:color w:val="000000"/>
                    </w:rPr>
                    <w:t>cases,</w:t>
                  </w:r>
                  <w:r>
                    <w:rPr>
                      <w:color w:val="000000"/>
                      <w:spacing w:val="-7"/>
                    </w:rPr>
                    <w:t xml:space="preserve"> </w:t>
                  </w:r>
                  <w:r>
                    <w:rPr>
                      <w:color w:val="000000"/>
                    </w:rPr>
                    <w:t>Infrastructure</w:t>
                  </w:r>
                  <w:r>
                    <w:rPr>
                      <w:color w:val="000000"/>
                      <w:spacing w:val="-7"/>
                    </w:rPr>
                    <w:t xml:space="preserve"> </w:t>
                  </w:r>
                  <w:r>
                    <w:rPr>
                      <w:color w:val="000000"/>
                    </w:rPr>
                    <w:t xml:space="preserve">NSW’s </w:t>
                  </w:r>
                  <w:r>
                    <w:rPr>
                      <w:color w:val="000000"/>
                      <w:w w:val="95"/>
                    </w:rPr>
                    <w:t xml:space="preserve">recommendations will be subject to future planning work, business cases and NSW </w:t>
                  </w:r>
                  <w:r>
                    <w:rPr>
                      <w:color w:val="000000"/>
                    </w:rPr>
                    <w:t>Government</w:t>
                  </w:r>
                  <w:r>
                    <w:rPr>
                      <w:color w:val="000000"/>
                      <w:spacing w:val="-11"/>
                    </w:rPr>
                    <w:t xml:space="preserve"> </w:t>
                  </w:r>
                  <w:r>
                    <w:rPr>
                      <w:color w:val="000000"/>
                    </w:rPr>
                    <w:t>approval.</w:t>
                  </w:r>
                </w:p>
                <w:p w:rsidR="00F22F94" w:rsidRDefault="00F22F94">
                  <w:pPr>
                    <w:pStyle w:val="BodyText"/>
                    <w:numPr>
                      <w:ilvl w:val="0"/>
                      <w:numId w:val="26"/>
                    </w:numPr>
                    <w:tabs>
                      <w:tab w:val="left" w:pos="511"/>
                    </w:tabs>
                    <w:spacing w:before="132" w:line="249" w:lineRule="auto"/>
                    <w:ind w:right="398"/>
                    <w:rPr>
                      <w:color w:val="000000"/>
                    </w:rPr>
                  </w:pPr>
                  <w:r>
                    <w:rPr>
                      <w:color w:val="000000"/>
                    </w:rPr>
                    <w:t>Section</w:t>
                  </w:r>
                  <w:r>
                    <w:rPr>
                      <w:color w:val="000000"/>
                      <w:spacing w:val="-9"/>
                    </w:rPr>
                    <w:t xml:space="preserve"> </w:t>
                  </w:r>
                  <w:r>
                    <w:rPr>
                      <w:color w:val="000000"/>
                    </w:rPr>
                    <w:t>16</w:t>
                  </w:r>
                  <w:r>
                    <w:rPr>
                      <w:color w:val="000000"/>
                      <w:spacing w:val="-9"/>
                    </w:rPr>
                    <w:t xml:space="preserve"> </w:t>
                  </w:r>
                  <w:r>
                    <w:rPr>
                      <w:color w:val="000000"/>
                    </w:rPr>
                    <w:t>outlines</w:t>
                  </w:r>
                  <w:r>
                    <w:rPr>
                      <w:color w:val="000000"/>
                      <w:spacing w:val="-9"/>
                    </w:rPr>
                    <w:t xml:space="preserve"> </w:t>
                  </w:r>
                  <w:r>
                    <w:rPr>
                      <w:color w:val="000000"/>
                    </w:rPr>
                    <w:t>a</w:t>
                  </w:r>
                  <w:r>
                    <w:rPr>
                      <w:color w:val="000000"/>
                      <w:spacing w:val="-9"/>
                    </w:rPr>
                    <w:t xml:space="preserve"> </w:t>
                  </w:r>
                  <w:r>
                    <w:rPr>
                      <w:color w:val="000000"/>
                    </w:rPr>
                    <w:t>funding</w:t>
                  </w:r>
                  <w:r>
                    <w:rPr>
                      <w:color w:val="000000"/>
                      <w:spacing w:val="-9"/>
                    </w:rPr>
                    <w:t xml:space="preserve"> </w:t>
                  </w:r>
                  <w:r>
                    <w:rPr>
                      <w:color w:val="000000"/>
                    </w:rPr>
                    <w:t>and</w:t>
                  </w:r>
                  <w:r>
                    <w:rPr>
                      <w:color w:val="000000"/>
                      <w:spacing w:val="-9"/>
                    </w:rPr>
                    <w:t xml:space="preserve"> </w:t>
                  </w:r>
                  <w:r>
                    <w:rPr>
                      <w:color w:val="000000"/>
                    </w:rPr>
                    <w:t xml:space="preserve">delivery </w:t>
                  </w:r>
                  <w:r>
                    <w:rPr>
                      <w:color w:val="000000"/>
                      <w:w w:val="95"/>
                    </w:rPr>
                    <w:t>strategy for implementing the recommendations.</w:t>
                  </w:r>
                </w:p>
              </w:txbxContent>
            </v:textbox>
            <w10:wrap anchorx="page"/>
          </v:shape>
        </w:pict>
      </w:r>
      <w:bookmarkStart w:id="379" w:name="15.0_Recommendations_"/>
      <w:bookmarkStart w:id="380" w:name="15.1_Introduction"/>
      <w:bookmarkStart w:id="381" w:name="15.2_Recommendations_"/>
      <w:bookmarkStart w:id="382" w:name="_bookmark271"/>
      <w:bookmarkStart w:id="383" w:name="_bookmark270"/>
      <w:bookmarkEnd w:id="379"/>
      <w:bookmarkEnd w:id="380"/>
      <w:bookmarkEnd w:id="381"/>
      <w:bookmarkEnd w:id="382"/>
      <w:bookmarkEnd w:id="383"/>
      <w:r w:rsidR="00F22F94">
        <w:rPr>
          <w:color w:val="2E3092"/>
          <w:w w:val="55"/>
        </w:rPr>
        <w:t>15.0</w:t>
      </w:r>
      <w:r w:rsidR="00F22F94">
        <w:rPr>
          <w:color w:val="2E3092"/>
          <w:spacing w:val="-17"/>
          <w:w w:val="55"/>
        </w:rPr>
        <w:t xml:space="preserve"> </w:t>
      </w:r>
      <w:r w:rsidR="00F22F94">
        <w:rPr>
          <w:color w:val="00AEEF"/>
          <w:spacing w:val="-2"/>
          <w:w w:val="55"/>
        </w:rPr>
        <w:t>Recommendations</w:t>
      </w:r>
    </w:p>
    <w:p w:rsidR="002C1123" w:rsidRDefault="00F22F94">
      <w:pPr>
        <w:pStyle w:val="Heading5"/>
        <w:numPr>
          <w:ilvl w:val="1"/>
          <w:numId w:val="27"/>
        </w:numPr>
        <w:tabs>
          <w:tab w:val="left" w:pos="6120"/>
        </w:tabs>
        <w:spacing w:before="210"/>
        <w:ind w:hanging="602"/>
        <w:jc w:val="left"/>
      </w:pPr>
      <w:r>
        <w:rPr>
          <w:color w:val="00AEEF"/>
          <w:spacing w:val="-2"/>
        </w:rPr>
        <w:t>Introduction</w:t>
      </w:r>
    </w:p>
    <w:p w:rsidR="002C1123" w:rsidRDefault="00F22F94">
      <w:pPr>
        <w:pStyle w:val="BodyText"/>
        <w:spacing w:before="135" w:line="249" w:lineRule="auto"/>
        <w:ind w:left="5518" w:right="135"/>
      </w:pPr>
      <w:r>
        <w:rPr>
          <w:w w:val="95"/>
        </w:rPr>
        <w:t>The</w:t>
      </w:r>
      <w:r>
        <w:rPr>
          <w:spacing w:val="-1"/>
          <w:w w:val="95"/>
        </w:rPr>
        <w:t xml:space="preserve"> </w:t>
      </w:r>
      <w:r>
        <w:rPr>
          <w:w w:val="95"/>
        </w:rPr>
        <w:t>Strategy’s</w:t>
      </w:r>
      <w:r>
        <w:rPr>
          <w:spacing w:val="-1"/>
          <w:w w:val="95"/>
        </w:rPr>
        <w:t xml:space="preserve"> </w:t>
      </w:r>
      <w:r>
        <w:rPr>
          <w:w w:val="95"/>
        </w:rPr>
        <w:t>recommendations</w:t>
      </w:r>
      <w:r>
        <w:rPr>
          <w:spacing w:val="-1"/>
          <w:w w:val="95"/>
        </w:rPr>
        <w:t xml:space="preserve"> </w:t>
      </w:r>
      <w:r>
        <w:rPr>
          <w:w w:val="95"/>
        </w:rPr>
        <w:t>are</w:t>
      </w:r>
      <w:r>
        <w:rPr>
          <w:spacing w:val="-1"/>
          <w:w w:val="95"/>
        </w:rPr>
        <w:t xml:space="preserve"> </w:t>
      </w:r>
      <w:r>
        <w:rPr>
          <w:w w:val="95"/>
        </w:rPr>
        <w:t>those</w:t>
      </w:r>
      <w:r>
        <w:rPr>
          <w:spacing w:val="-1"/>
          <w:w w:val="95"/>
        </w:rPr>
        <w:t xml:space="preserve"> </w:t>
      </w:r>
      <w:r>
        <w:rPr>
          <w:w w:val="95"/>
        </w:rPr>
        <w:t xml:space="preserve">projects </w:t>
      </w:r>
      <w:r>
        <w:t>and</w:t>
      </w:r>
      <w:r>
        <w:rPr>
          <w:spacing w:val="-10"/>
        </w:rPr>
        <w:t xml:space="preserve"> </w:t>
      </w:r>
      <w:r>
        <w:t>other</w:t>
      </w:r>
      <w:r>
        <w:rPr>
          <w:spacing w:val="-10"/>
        </w:rPr>
        <w:t xml:space="preserve"> </w:t>
      </w:r>
      <w:r>
        <w:t>actions</w:t>
      </w:r>
      <w:r>
        <w:rPr>
          <w:spacing w:val="-10"/>
        </w:rPr>
        <w:t xml:space="preserve"> </w:t>
      </w:r>
      <w:r>
        <w:t>that</w:t>
      </w:r>
      <w:r>
        <w:rPr>
          <w:spacing w:val="-10"/>
        </w:rPr>
        <w:t xml:space="preserve"> </w:t>
      </w:r>
      <w:r>
        <w:t>will</w:t>
      </w:r>
      <w:r>
        <w:rPr>
          <w:spacing w:val="-10"/>
        </w:rPr>
        <w:t xml:space="preserve"> </w:t>
      </w:r>
      <w:r>
        <w:t>best</w:t>
      </w:r>
      <w:r>
        <w:rPr>
          <w:spacing w:val="-10"/>
        </w:rPr>
        <w:t xml:space="preserve"> </w:t>
      </w:r>
      <w:r>
        <w:t>deal</w:t>
      </w:r>
      <w:r>
        <w:rPr>
          <w:spacing w:val="-10"/>
        </w:rPr>
        <w:t xml:space="preserve"> </w:t>
      </w:r>
      <w:r>
        <w:t>with</w:t>
      </w:r>
      <w:r>
        <w:rPr>
          <w:spacing w:val="-10"/>
        </w:rPr>
        <w:t xml:space="preserve"> </w:t>
      </w:r>
      <w:r>
        <w:t>identified infrastructure</w:t>
      </w:r>
      <w:r>
        <w:rPr>
          <w:spacing w:val="-12"/>
        </w:rPr>
        <w:t xml:space="preserve"> </w:t>
      </w:r>
      <w:r>
        <w:t>deficiencies,</w:t>
      </w:r>
      <w:r>
        <w:rPr>
          <w:spacing w:val="-12"/>
        </w:rPr>
        <w:t xml:space="preserve"> </w:t>
      </w:r>
      <w:r>
        <w:t>as</w:t>
      </w:r>
      <w:r>
        <w:rPr>
          <w:spacing w:val="-12"/>
        </w:rPr>
        <w:t xml:space="preserve"> </w:t>
      </w:r>
      <w:r>
        <w:t>required</w:t>
      </w:r>
      <w:r>
        <w:rPr>
          <w:spacing w:val="-12"/>
        </w:rPr>
        <w:t xml:space="preserve"> </w:t>
      </w:r>
      <w:r>
        <w:t>by</w:t>
      </w:r>
      <w:r>
        <w:rPr>
          <w:spacing w:val="-12"/>
        </w:rPr>
        <w:t xml:space="preserve"> </w:t>
      </w:r>
      <w:r>
        <w:t>the Infrastructure</w:t>
      </w:r>
      <w:r>
        <w:rPr>
          <w:spacing w:val="-2"/>
        </w:rPr>
        <w:t xml:space="preserve"> </w:t>
      </w:r>
      <w:r>
        <w:t>NSW</w:t>
      </w:r>
      <w:r>
        <w:rPr>
          <w:spacing w:val="-2"/>
        </w:rPr>
        <w:t xml:space="preserve"> </w:t>
      </w:r>
      <w:r>
        <w:t>Act</w:t>
      </w:r>
      <w:r>
        <w:rPr>
          <w:spacing w:val="-2"/>
        </w:rPr>
        <w:t xml:space="preserve"> </w:t>
      </w:r>
      <w:r>
        <w:t>2011.</w:t>
      </w:r>
    </w:p>
    <w:p w:rsidR="002C1123" w:rsidRDefault="00F22F94">
      <w:pPr>
        <w:pStyle w:val="BodyText"/>
        <w:spacing w:before="145" w:line="249" w:lineRule="auto"/>
        <w:ind w:left="5518" w:right="237"/>
        <w:jc w:val="both"/>
      </w:pPr>
      <w:r>
        <w:rPr>
          <w:w w:val="95"/>
        </w:rPr>
        <w:t>Infrastructure NSW’s recommendations reflect a “first things</w:t>
      </w:r>
      <w:r>
        <w:rPr>
          <w:spacing w:val="-3"/>
          <w:w w:val="95"/>
        </w:rPr>
        <w:t xml:space="preserve"> </w:t>
      </w:r>
      <w:r>
        <w:rPr>
          <w:w w:val="95"/>
        </w:rPr>
        <w:t>first”</w:t>
      </w:r>
      <w:r>
        <w:rPr>
          <w:spacing w:val="-3"/>
          <w:w w:val="95"/>
        </w:rPr>
        <w:t xml:space="preserve"> </w:t>
      </w:r>
      <w:r>
        <w:rPr>
          <w:w w:val="95"/>
        </w:rPr>
        <w:t>approach.</w:t>
      </w:r>
      <w:r>
        <w:rPr>
          <w:spacing w:val="-3"/>
          <w:w w:val="95"/>
        </w:rPr>
        <w:t xml:space="preserve"> </w:t>
      </w:r>
      <w:r>
        <w:rPr>
          <w:w w:val="95"/>
        </w:rPr>
        <w:t>Priority</w:t>
      </w:r>
      <w:r>
        <w:rPr>
          <w:spacing w:val="-3"/>
          <w:w w:val="95"/>
        </w:rPr>
        <w:t xml:space="preserve"> </w:t>
      </w:r>
      <w:r>
        <w:rPr>
          <w:w w:val="95"/>
        </w:rPr>
        <w:t>has</w:t>
      </w:r>
      <w:r>
        <w:rPr>
          <w:spacing w:val="-3"/>
          <w:w w:val="95"/>
        </w:rPr>
        <w:t xml:space="preserve"> </w:t>
      </w:r>
      <w:r>
        <w:rPr>
          <w:w w:val="95"/>
        </w:rPr>
        <w:t>been</w:t>
      </w:r>
      <w:r>
        <w:rPr>
          <w:spacing w:val="-3"/>
          <w:w w:val="95"/>
        </w:rPr>
        <w:t xml:space="preserve"> </w:t>
      </w:r>
      <w:r>
        <w:rPr>
          <w:w w:val="95"/>
        </w:rPr>
        <w:t>given</w:t>
      </w:r>
      <w:r>
        <w:rPr>
          <w:spacing w:val="-3"/>
          <w:w w:val="95"/>
        </w:rPr>
        <w:t xml:space="preserve"> </w:t>
      </w:r>
      <w:r>
        <w:rPr>
          <w:w w:val="95"/>
        </w:rPr>
        <w:t>to</w:t>
      </w:r>
      <w:r>
        <w:rPr>
          <w:spacing w:val="-3"/>
          <w:w w:val="95"/>
        </w:rPr>
        <w:t xml:space="preserve"> </w:t>
      </w:r>
      <w:r>
        <w:rPr>
          <w:w w:val="95"/>
        </w:rPr>
        <w:t xml:space="preserve">those </w:t>
      </w:r>
      <w:r>
        <w:t>projects</w:t>
      </w:r>
      <w:r>
        <w:rPr>
          <w:spacing w:val="-11"/>
        </w:rPr>
        <w:t xml:space="preserve"> </w:t>
      </w:r>
      <w:r>
        <w:t>that:</w:t>
      </w:r>
    </w:p>
    <w:p w:rsidR="002C1123" w:rsidRDefault="00F22F94">
      <w:pPr>
        <w:pStyle w:val="ListParagraph"/>
        <w:numPr>
          <w:ilvl w:val="2"/>
          <w:numId w:val="27"/>
        </w:numPr>
        <w:tabs>
          <w:tab w:val="left" w:pos="5803"/>
        </w:tabs>
        <w:spacing w:before="132" w:line="249" w:lineRule="auto"/>
        <w:ind w:right="201"/>
        <w:rPr>
          <w:rFonts w:ascii="Tahoma" w:hAnsi="Tahoma"/>
          <w:sz w:val="20"/>
        </w:rPr>
      </w:pPr>
      <w:r>
        <w:rPr>
          <w:w w:val="95"/>
          <w:sz w:val="20"/>
        </w:rPr>
        <w:t>address</w:t>
      </w:r>
      <w:r>
        <w:rPr>
          <w:spacing w:val="-4"/>
          <w:w w:val="95"/>
          <w:sz w:val="20"/>
        </w:rPr>
        <w:t xml:space="preserve"> </w:t>
      </w:r>
      <w:r>
        <w:rPr>
          <w:w w:val="95"/>
          <w:sz w:val="20"/>
        </w:rPr>
        <w:t>the</w:t>
      </w:r>
      <w:r>
        <w:rPr>
          <w:spacing w:val="-4"/>
          <w:w w:val="95"/>
          <w:sz w:val="20"/>
        </w:rPr>
        <w:t xml:space="preserve"> </w:t>
      </w:r>
      <w:r>
        <w:rPr>
          <w:w w:val="95"/>
          <w:sz w:val="20"/>
        </w:rPr>
        <w:t>most</w:t>
      </w:r>
      <w:r>
        <w:rPr>
          <w:spacing w:val="-4"/>
          <w:w w:val="95"/>
          <w:sz w:val="20"/>
        </w:rPr>
        <w:t xml:space="preserve"> </w:t>
      </w:r>
      <w:r>
        <w:rPr>
          <w:w w:val="95"/>
          <w:sz w:val="20"/>
        </w:rPr>
        <w:t>pressing</w:t>
      </w:r>
      <w:r>
        <w:rPr>
          <w:spacing w:val="-4"/>
          <w:w w:val="95"/>
          <w:sz w:val="20"/>
        </w:rPr>
        <w:t xml:space="preserve"> </w:t>
      </w:r>
      <w:r>
        <w:rPr>
          <w:w w:val="95"/>
          <w:sz w:val="20"/>
        </w:rPr>
        <w:t>deficiencies</w:t>
      </w:r>
      <w:r>
        <w:rPr>
          <w:spacing w:val="-4"/>
          <w:w w:val="95"/>
          <w:sz w:val="20"/>
        </w:rPr>
        <w:t xml:space="preserve"> </w:t>
      </w:r>
      <w:r>
        <w:rPr>
          <w:w w:val="95"/>
          <w:sz w:val="20"/>
        </w:rPr>
        <w:t>identified</w:t>
      </w:r>
      <w:r>
        <w:rPr>
          <w:spacing w:val="-4"/>
          <w:w w:val="95"/>
          <w:sz w:val="20"/>
        </w:rPr>
        <w:t xml:space="preserve"> </w:t>
      </w:r>
      <w:r>
        <w:rPr>
          <w:w w:val="95"/>
          <w:sz w:val="20"/>
        </w:rPr>
        <w:t xml:space="preserve">in </w:t>
      </w:r>
      <w:r>
        <w:rPr>
          <w:sz w:val="20"/>
        </w:rPr>
        <w:t>Section</w:t>
      </w:r>
      <w:r>
        <w:rPr>
          <w:spacing w:val="-11"/>
          <w:sz w:val="20"/>
        </w:rPr>
        <w:t xml:space="preserve"> </w:t>
      </w:r>
      <w:r>
        <w:rPr>
          <w:sz w:val="20"/>
        </w:rPr>
        <w:t>2</w:t>
      </w:r>
    </w:p>
    <w:p w:rsidR="002C1123" w:rsidRDefault="00F22F94">
      <w:pPr>
        <w:pStyle w:val="ListParagraph"/>
        <w:numPr>
          <w:ilvl w:val="2"/>
          <w:numId w:val="27"/>
        </w:numPr>
        <w:tabs>
          <w:tab w:val="left" w:pos="5803"/>
        </w:tabs>
        <w:spacing w:before="130" w:line="249" w:lineRule="auto"/>
        <w:ind w:right="526"/>
        <w:rPr>
          <w:rFonts w:ascii="Tahoma" w:hAnsi="Tahoma"/>
          <w:sz w:val="20"/>
        </w:rPr>
      </w:pPr>
      <w:r>
        <w:rPr>
          <w:w w:val="95"/>
          <w:sz w:val="20"/>
        </w:rPr>
        <w:t>have</w:t>
      </w:r>
      <w:r>
        <w:rPr>
          <w:spacing w:val="-1"/>
          <w:w w:val="95"/>
          <w:sz w:val="20"/>
        </w:rPr>
        <w:t xml:space="preserve"> </w:t>
      </w:r>
      <w:r>
        <w:rPr>
          <w:w w:val="95"/>
          <w:sz w:val="20"/>
        </w:rPr>
        <w:t>the</w:t>
      </w:r>
      <w:r>
        <w:rPr>
          <w:spacing w:val="-1"/>
          <w:w w:val="95"/>
          <w:sz w:val="20"/>
        </w:rPr>
        <w:t xml:space="preserve"> </w:t>
      </w:r>
      <w:r>
        <w:rPr>
          <w:w w:val="95"/>
          <w:sz w:val="20"/>
        </w:rPr>
        <w:t>most</w:t>
      </w:r>
      <w:r>
        <w:rPr>
          <w:spacing w:val="-1"/>
          <w:w w:val="95"/>
          <w:sz w:val="20"/>
        </w:rPr>
        <w:t xml:space="preserve"> </w:t>
      </w:r>
      <w:r>
        <w:rPr>
          <w:w w:val="95"/>
          <w:sz w:val="20"/>
        </w:rPr>
        <w:t>impact</w:t>
      </w:r>
      <w:r>
        <w:rPr>
          <w:spacing w:val="-1"/>
          <w:w w:val="95"/>
          <w:sz w:val="20"/>
        </w:rPr>
        <w:t xml:space="preserve"> </w:t>
      </w:r>
      <w:r>
        <w:rPr>
          <w:w w:val="95"/>
          <w:sz w:val="20"/>
        </w:rPr>
        <w:t>on</w:t>
      </w:r>
      <w:r>
        <w:rPr>
          <w:spacing w:val="-1"/>
          <w:w w:val="95"/>
          <w:sz w:val="20"/>
        </w:rPr>
        <w:t xml:space="preserve"> </w:t>
      </w:r>
      <w:r>
        <w:rPr>
          <w:w w:val="95"/>
          <w:sz w:val="20"/>
        </w:rPr>
        <w:t>NSW</w:t>
      </w:r>
      <w:r>
        <w:rPr>
          <w:spacing w:val="-1"/>
          <w:w w:val="95"/>
          <w:sz w:val="20"/>
        </w:rPr>
        <w:t xml:space="preserve"> </w:t>
      </w:r>
      <w:r>
        <w:rPr>
          <w:w w:val="95"/>
          <w:sz w:val="20"/>
        </w:rPr>
        <w:t>productivity</w:t>
      </w:r>
      <w:r>
        <w:rPr>
          <w:spacing w:val="-1"/>
          <w:w w:val="95"/>
          <w:sz w:val="20"/>
        </w:rPr>
        <w:t xml:space="preserve"> </w:t>
      </w:r>
      <w:r>
        <w:rPr>
          <w:w w:val="95"/>
          <w:sz w:val="20"/>
        </w:rPr>
        <w:t xml:space="preserve">and </w:t>
      </w:r>
      <w:r>
        <w:rPr>
          <w:sz w:val="20"/>
        </w:rPr>
        <w:t>economic</w:t>
      </w:r>
      <w:r>
        <w:rPr>
          <w:spacing w:val="-1"/>
          <w:sz w:val="20"/>
        </w:rPr>
        <w:t xml:space="preserve"> </w:t>
      </w:r>
      <w:r>
        <w:rPr>
          <w:sz w:val="20"/>
        </w:rPr>
        <w:t>growth</w:t>
      </w:r>
      <w:r>
        <w:rPr>
          <w:spacing w:val="-1"/>
          <w:sz w:val="20"/>
        </w:rPr>
        <w:t xml:space="preserve"> </w:t>
      </w:r>
      <w:r>
        <w:rPr>
          <w:sz w:val="20"/>
        </w:rPr>
        <w:t>over</w:t>
      </w:r>
      <w:r>
        <w:rPr>
          <w:spacing w:val="-1"/>
          <w:sz w:val="20"/>
        </w:rPr>
        <w:t xml:space="preserve"> </w:t>
      </w:r>
      <w:r>
        <w:rPr>
          <w:sz w:val="20"/>
        </w:rPr>
        <w:t>the</w:t>
      </w:r>
      <w:r>
        <w:rPr>
          <w:spacing w:val="-1"/>
          <w:sz w:val="20"/>
        </w:rPr>
        <w:t xml:space="preserve"> </w:t>
      </w:r>
      <w:r>
        <w:rPr>
          <w:sz w:val="20"/>
        </w:rPr>
        <w:t>next</w:t>
      </w:r>
      <w:r>
        <w:rPr>
          <w:spacing w:val="-1"/>
          <w:sz w:val="20"/>
        </w:rPr>
        <w:t xml:space="preserve"> </w:t>
      </w:r>
      <w:r>
        <w:rPr>
          <w:sz w:val="20"/>
        </w:rPr>
        <w:t>20</w:t>
      </w:r>
      <w:r>
        <w:rPr>
          <w:spacing w:val="-1"/>
          <w:sz w:val="20"/>
        </w:rPr>
        <w:t xml:space="preserve"> </w:t>
      </w:r>
      <w:r>
        <w:rPr>
          <w:sz w:val="20"/>
        </w:rPr>
        <w:t>years</w:t>
      </w:r>
    </w:p>
    <w:p w:rsidR="002C1123" w:rsidRDefault="00F22F94">
      <w:pPr>
        <w:pStyle w:val="ListParagraph"/>
        <w:numPr>
          <w:ilvl w:val="2"/>
          <w:numId w:val="27"/>
        </w:numPr>
        <w:tabs>
          <w:tab w:val="left" w:pos="5803"/>
        </w:tabs>
        <w:spacing w:before="131" w:line="249" w:lineRule="auto"/>
        <w:ind w:right="176"/>
        <w:rPr>
          <w:rFonts w:ascii="Tahoma" w:hAnsi="Tahoma"/>
          <w:sz w:val="20"/>
        </w:rPr>
      </w:pPr>
      <w:r>
        <w:rPr>
          <w:w w:val="95"/>
          <w:sz w:val="20"/>
        </w:rPr>
        <w:t>support</w:t>
      </w:r>
      <w:r>
        <w:rPr>
          <w:spacing w:val="-7"/>
          <w:w w:val="95"/>
          <w:sz w:val="20"/>
        </w:rPr>
        <w:t xml:space="preserve"> </w:t>
      </w:r>
      <w:r>
        <w:rPr>
          <w:w w:val="95"/>
          <w:sz w:val="20"/>
        </w:rPr>
        <w:t>the</w:t>
      </w:r>
      <w:r>
        <w:rPr>
          <w:spacing w:val="-7"/>
          <w:w w:val="95"/>
          <w:sz w:val="20"/>
        </w:rPr>
        <w:t xml:space="preserve"> </w:t>
      </w:r>
      <w:r>
        <w:rPr>
          <w:w w:val="95"/>
          <w:sz w:val="20"/>
        </w:rPr>
        <w:t>attractiveness</w:t>
      </w:r>
      <w:r>
        <w:rPr>
          <w:spacing w:val="-7"/>
          <w:w w:val="95"/>
          <w:sz w:val="20"/>
        </w:rPr>
        <w:t xml:space="preserve"> </w:t>
      </w:r>
      <w:r>
        <w:rPr>
          <w:w w:val="95"/>
          <w:sz w:val="20"/>
        </w:rPr>
        <w:t>of</w:t>
      </w:r>
      <w:r>
        <w:rPr>
          <w:spacing w:val="-7"/>
          <w:w w:val="95"/>
          <w:sz w:val="20"/>
        </w:rPr>
        <w:t xml:space="preserve"> </w:t>
      </w:r>
      <w:r>
        <w:rPr>
          <w:w w:val="95"/>
          <w:sz w:val="20"/>
        </w:rPr>
        <w:t>NSW</w:t>
      </w:r>
      <w:r>
        <w:rPr>
          <w:spacing w:val="-7"/>
          <w:w w:val="95"/>
          <w:sz w:val="20"/>
        </w:rPr>
        <w:t xml:space="preserve"> </w:t>
      </w:r>
      <w:r>
        <w:rPr>
          <w:w w:val="95"/>
          <w:sz w:val="20"/>
        </w:rPr>
        <w:t>as</w:t>
      </w:r>
      <w:r>
        <w:rPr>
          <w:spacing w:val="-7"/>
          <w:w w:val="95"/>
          <w:sz w:val="20"/>
        </w:rPr>
        <w:t xml:space="preserve"> </w:t>
      </w:r>
      <w:r>
        <w:rPr>
          <w:w w:val="95"/>
          <w:sz w:val="20"/>
        </w:rPr>
        <w:t>a</w:t>
      </w:r>
      <w:r>
        <w:rPr>
          <w:spacing w:val="-7"/>
          <w:w w:val="95"/>
          <w:sz w:val="20"/>
        </w:rPr>
        <w:t xml:space="preserve"> </w:t>
      </w:r>
      <w:r>
        <w:rPr>
          <w:w w:val="95"/>
          <w:sz w:val="20"/>
        </w:rPr>
        <w:t>place</w:t>
      </w:r>
      <w:r>
        <w:rPr>
          <w:spacing w:val="-7"/>
          <w:w w:val="95"/>
          <w:sz w:val="20"/>
        </w:rPr>
        <w:t xml:space="preserve"> </w:t>
      </w:r>
      <w:r>
        <w:rPr>
          <w:w w:val="95"/>
          <w:sz w:val="20"/>
        </w:rPr>
        <w:t>to</w:t>
      </w:r>
      <w:r>
        <w:rPr>
          <w:spacing w:val="-7"/>
          <w:w w:val="95"/>
          <w:sz w:val="20"/>
        </w:rPr>
        <w:t xml:space="preserve"> </w:t>
      </w:r>
      <w:r>
        <w:rPr>
          <w:w w:val="95"/>
          <w:sz w:val="20"/>
        </w:rPr>
        <w:t xml:space="preserve">live </w:t>
      </w:r>
      <w:r>
        <w:rPr>
          <w:sz w:val="20"/>
        </w:rPr>
        <w:t>and</w:t>
      </w:r>
      <w:r>
        <w:rPr>
          <w:spacing w:val="-11"/>
          <w:sz w:val="20"/>
        </w:rPr>
        <w:t xml:space="preserve"> </w:t>
      </w:r>
      <w:r>
        <w:rPr>
          <w:sz w:val="20"/>
        </w:rPr>
        <w:t>work</w:t>
      </w:r>
    </w:p>
    <w:p w:rsidR="002C1123" w:rsidRDefault="00F22F94">
      <w:pPr>
        <w:pStyle w:val="ListParagraph"/>
        <w:numPr>
          <w:ilvl w:val="2"/>
          <w:numId w:val="27"/>
        </w:numPr>
        <w:tabs>
          <w:tab w:val="left" w:pos="5803"/>
        </w:tabs>
        <w:spacing w:before="130" w:line="249" w:lineRule="auto"/>
        <w:ind w:right="246"/>
        <w:rPr>
          <w:rFonts w:ascii="Tahoma" w:hAnsi="Tahoma"/>
          <w:sz w:val="20"/>
        </w:rPr>
      </w:pPr>
      <w:r>
        <w:rPr>
          <w:w w:val="95"/>
          <w:sz w:val="20"/>
        </w:rPr>
        <w:t>prioritise</w:t>
      </w:r>
      <w:r>
        <w:rPr>
          <w:spacing w:val="-5"/>
          <w:w w:val="95"/>
          <w:sz w:val="20"/>
        </w:rPr>
        <w:t xml:space="preserve"> </w:t>
      </w:r>
      <w:r>
        <w:rPr>
          <w:w w:val="95"/>
          <w:sz w:val="20"/>
        </w:rPr>
        <w:t>incremental</w:t>
      </w:r>
      <w:r>
        <w:rPr>
          <w:spacing w:val="-5"/>
          <w:w w:val="95"/>
          <w:sz w:val="20"/>
        </w:rPr>
        <w:t xml:space="preserve"> </w:t>
      </w:r>
      <w:r>
        <w:rPr>
          <w:w w:val="95"/>
          <w:sz w:val="20"/>
        </w:rPr>
        <w:t>projects</w:t>
      </w:r>
      <w:r>
        <w:rPr>
          <w:spacing w:val="-5"/>
          <w:w w:val="95"/>
          <w:sz w:val="20"/>
        </w:rPr>
        <w:t xml:space="preserve"> </w:t>
      </w:r>
      <w:r>
        <w:rPr>
          <w:w w:val="95"/>
          <w:sz w:val="20"/>
        </w:rPr>
        <w:t>that</w:t>
      </w:r>
      <w:r>
        <w:rPr>
          <w:spacing w:val="-5"/>
          <w:w w:val="95"/>
          <w:sz w:val="20"/>
        </w:rPr>
        <w:t xml:space="preserve"> </w:t>
      </w:r>
      <w:r>
        <w:rPr>
          <w:w w:val="95"/>
          <w:sz w:val="20"/>
        </w:rPr>
        <w:t>yield</w:t>
      </w:r>
      <w:r>
        <w:rPr>
          <w:spacing w:val="-5"/>
          <w:w w:val="95"/>
          <w:sz w:val="20"/>
        </w:rPr>
        <w:t xml:space="preserve"> </w:t>
      </w:r>
      <w:r>
        <w:rPr>
          <w:w w:val="95"/>
          <w:sz w:val="20"/>
        </w:rPr>
        <w:t xml:space="preserve">substantial </w:t>
      </w:r>
      <w:r>
        <w:rPr>
          <w:sz w:val="20"/>
        </w:rPr>
        <w:t>benefits</w:t>
      </w:r>
      <w:r>
        <w:rPr>
          <w:spacing w:val="-8"/>
          <w:sz w:val="20"/>
        </w:rPr>
        <w:t xml:space="preserve"> </w:t>
      </w:r>
      <w:r>
        <w:rPr>
          <w:sz w:val="20"/>
        </w:rPr>
        <w:t>and</w:t>
      </w:r>
      <w:r>
        <w:rPr>
          <w:spacing w:val="-8"/>
          <w:sz w:val="20"/>
        </w:rPr>
        <w:t xml:space="preserve"> </w:t>
      </w:r>
      <w:r>
        <w:rPr>
          <w:sz w:val="20"/>
        </w:rPr>
        <w:t>address</w:t>
      </w:r>
      <w:r>
        <w:rPr>
          <w:spacing w:val="-8"/>
          <w:sz w:val="20"/>
        </w:rPr>
        <w:t xml:space="preserve"> </w:t>
      </w:r>
      <w:r>
        <w:rPr>
          <w:sz w:val="20"/>
        </w:rPr>
        <w:t>critical</w:t>
      </w:r>
      <w:r>
        <w:rPr>
          <w:spacing w:val="-8"/>
          <w:sz w:val="20"/>
        </w:rPr>
        <w:t xml:space="preserve"> </w:t>
      </w:r>
      <w:r>
        <w:rPr>
          <w:sz w:val="20"/>
        </w:rPr>
        <w:t>pinch</w:t>
      </w:r>
      <w:r>
        <w:rPr>
          <w:spacing w:val="-8"/>
          <w:sz w:val="20"/>
        </w:rPr>
        <w:t xml:space="preserve"> </w:t>
      </w:r>
      <w:r>
        <w:rPr>
          <w:sz w:val="20"/>
        </w:rPr>
        <w:t>points</w:t>
      </w:r>
      <w:r>
        <w:rPr>
          <w:spacing w:val="-8"/>
          <w:sz w:val="20"/>
        </w:rPr>
        <w:t xml:space="preserve"> </w:t>
      </w:r>
      <w:r>
        <w:rPr>
          <w:sz w:val="20"/>
        </w:rPr>
        <w:t>early</w:t>
      </w:r>
    </w:p>
    <w:p w:rsidR="002C1123" w:rsidRDefault="00F22F94">
      <w:pPr>
        <w:pStyle w:val="ListParagraph"/>
        <w:numPr>
          <w:ilvl w:val="2"/>
          <w:numId w:val="27"/>
        </w:numPr>
        <w:tabs>
          <w:tab w:val="left" w:pos="5803"/>
        </w:tabs>
        <w:spacing w:before="25" w:line="382" w:lineRule="exact"/>
        <w:ind w:left="5518" w:right="10" w:firstLine="0"/>
        <w:rPr>
          <w:rFonts w:ascii="Tahoma" w:hAnsi="Tahoma"/>
          <w:sz w:val="20"/>
        </w:rPr>
      </w:pPr>
      <w:r>
        <w:rPr>
          <w:w w:val="95"/>
          <w:sz w:val="20"/>
        </w:rPr>
        <w:t>make</w:t>
      </w:r>
      <w:r>
        <w:rPr>
          <w:spacing w:val="-8"/>
          <w:w w:val="95"/>
          <w:sz w:val="20"/>
        </w:rPr>
        <w:t xml:space="preserve"> </w:t>
      </w:r>
      <w:r>
        <w:rPr>
          <w:w w:val="95"/>
          <w:sz w:val="20"/>
        </w:rPr>
        <w:t>better</w:t>
      </w:r>
      <w:r>
        <w:rPr>
          <w:spacing w:val="-8"/>
          <w:w w:val="95"/>
          <w:sz w:val="20"/>
        </w:rPr>
        <w:t xml:space="preserve"> </w:t>
      </w:r>
      <w:r>
        <w:rPr>
          <w:w w:val="95"/>
          <w:sz w:val="20"/>
        </w:rPr>
        <w:t>use</w:t>
      </w:r>
      <w:r>
        <w:rPr>
          <w:spacing w:val="-8"/>
          <w:w w:val="95"/>
          <w:sz w:val="20"/>
        </w:rPr>
        <w:t xml:space="preserve"> </w:t>
      </w:r>
      <w:r>
        <w:rPr>
          <w:w w:val="95"/>
          <w:sz w:val="20"/>
        </w:rPr>
        <w:t>of</w:t>
      </w:r>
      <w:r>
        <w:rPr>
          <w:spacing w:val="-8"/>
          <w:w w:val="95"/>
          <w:sz w:val="20"/>
        </w:rPr>
        <w:t xml:space="preserve"> </w:t>
      </w:r>
      <w:r>
        <w:rPr>
          <w:w w:val="95"/>
          <w:sz w:val="20"/>
        </w:rPr>
        <w:t>existing</w:t>
      </w:r>
      <w:r>
        <w:rPr>
          <w:spacing w:val="-8"/>
          <w:w w:val="95"/>
          <w:sz w:val="20"/>
        </w:rPr>
        <w:t xml:space="preserve"> </w:t>
      </w:r>
      <w:r>
        <w:rPr>
          <w:w w:val="95"/>
          <w:sz w:val="20"/>
        </w:rPr>
        <w:t>assets</w:t>
      </w:r>
      <w:r>
        <w:rPr>
          <w:spacing w:val="-8"/>
          <w:w w:val="95"/>
          <w:sz w:val="20"/>
        </w:rPr>
        <w:t xml:space="preserve"> </w:t>
      </w:r>
      <w:r>
        <w:rPr>
          <w:w w:val="95"/>
          <w:sz w:val="20"/>
        </w:rPr>
        <w:t>wherever</w:t>
      </w:r>
      <w:r>
        <w:rPr>
          <w:spacing w:val="-8"/>
          <w:w w:val="95"/>
          <w:sz w:val="20"/>
        </w:rPr>
        <w:t xml:space="preserve"> </w:t>
      </w:r>
      <w:r>
        <w:rPr>
          <w:w w:val="95"/>
          <w:sz w:val="20"/>
        </w:rPr>
        <w:t xml:space="preserve">possible. </w:t>
      </w:r>
      <w:r>
        <w:rPr>
          <w:sz w:val="20"/>
        </w:rPr>
        <w:t>The</w:t>
      </w:r>
      <w:r>
        <w:rPr>
          <w:spacing w:val="-14"/>
          <w:sz w:val="20"/>
        </w:rPr>
        <w:t xml:space="preserve"> </w:t>
      </w:r>
      <w:r>
        <w:rPr>
          <w:sz w:val="20"/>
        </w:rPr>
        <w:t>Strategy</w:t>
      </w:r>
      <w:r>
        <w:rPr>
          <w:spacing w:val="-14"/>
          <w:sz w:val="20"/>
        </w:rPr>
        <w:t xml:space="preserve"> </w:t>
      </w:r>
      <w:r>
        <w:rPr>
          <w:sz w:val="20"/>
        </w:rPr>
        <w:t>reflects</w:t>
      </w:r>
      <w:r>
        <w:rPr>
          <w:spacing w:val="-14"/>
          <w:sz w:val="20"/>
        </w:rPr>
        <w:t xml:space="preserve"> </w:t>
      </w:r>
      <w:r>
        <w:rPr>
          <w:sz w:val="20"/>
        </w:rPr>
        <w:t>the</w:t>
      </w:r>
      <w:r>
        <w:rPr>
          <w:spacing w:val="-14"/>
          <w:sz w:val="20"/>
        </w:rPr>
        <w:t xml:space="preserve"> </w:t>
      </w:r>
      <w:r>
        <w:rPr>
          <w:sz w:val="20"/>
        </w:rPr>
        <w:t>objectives</w:t>
      </w:r>
      <w:r>
        <w:rPr>
          <w:spacing w:val="-13"/>
          <w:sz w:val="20"/>
        </w:rPr>
        <w:t xml:space="preserve"> </w:t>
      </w:r>
      <w:r>
        <w:rPr>
          <w:sz w:val="20"/>
        </w:rPr>
        <w:t>and</w:t>
      </w:r>
      <w:r>
        <w:rPr>
          <w:spacing w:val="-14"/>
          <w:sz w:val="20"/>
        </w:rPr>
        <w:t xml:space="preserve"> </w:t>
      </w:r>
      <w:r>
        <w:rPr>
          <w:sz w:val="20"/>
        </w:rPr>
        <w:t>goals</w:t>
      </w:r>
      <w:r>
        <w:rPr>
          <w:spacing w:val="-14"/>
          <w:sz w:val="20"/>
        </w:rPr>
        <w:t xml:space="preserve"> </w:t>
      </w:r>
      <w:r>
        <w:rPr>
          <w:sz w:val="20"/>
        </w:rPr>
        <w:t>in</w:t>
      </w:r>
    </w:p>
    <w:p w:rsidR="002C1123" w:rsidRDefault="00F22F94">
      <w:pPr>
        <w:pStyle w:val="BodyText"/>
        <w:spacing w:line="206" w:lineRule="exact"/>
        <w:ind w:left="5518"/>
        <w:jc w:val="both"/>
      </w:pPr>
      <w:r>
        <w:rPr>
          <w:w w:val="95"/>
        </w:rPr>
        <w:t>NSW</w:t>
      </w:r>
      <w:r>
        <w:rPr>
          <w:spacing w:val="-9"/>
          <w:w w:val="95"/>
        </w:rPr>
        <w:t xml:space="preserve"> </w:t>
      </w:r>
      <w:r>
        <w:rPr>
          <w:w w:val="95"/>
        </w:rPr>
        <w:t>2021</w:t>
      </w:r>
      <w:r>
        <w:rPr>
          <w:spacing w:val="-9"/>
          <w:w w:val="95"/>
        </w:rPr>
        <w:t xml:space="preserve"> </w:t>
      </w:r>
      <w:r>
        <w:rPr>
          <w:w w:val="95"/>
        </w:rPr>
        <w:t>–</w:t>
      </w:r>
      <w:r>
        <w:rPr>
          <w:spacing w:val="-8"/>
          <w:w w:val="95"/>
        </w:rPr>
        <w:t xml:space="preserve"> </w:t>
      </w:r>
      <w:r>
        <w:rPr>
          <w:w w:val="95"/>
        </w:rPr>
        <w:t>A</w:t>
      </w:r>
      <w:r>
        <w:rPr>
          <w:spacing w:val="-9"/>
          <w:w w:val="95"/>
        </w:rPr>
        <w:t xml:space="preserve"> </w:t>
      </w:r>
      <w:r>
        <w:rPr>
          <w:w w:val="95"/>
        </w:rPr>
        <w:t>Plan</w:t>
      </w:r>
      <w:r>
        <w:rPr>
          <w:spacing w:val="-8"/>
          <w:w w:val="95"/>
        </w:rPr>
        <w:t xml:space="preserve"> </w:t>
      </w:r>
      <w:r>
        <w:rPr>
          <w:w w:val="95"/>
        </w:rPr>
        <w:t>to</w:t>
      </w:r>
      <w:r>
        <w:rPr>
          <w:spacing w:val="-9"/>
          <w:w w:val="95"/>
        </w:rPr>
        <w:t xml:space="preserve"> </w:t>
      </w:r>
      <w:r>
        <w:rPr>
          <w:w w:val="95"/>
        </w:rPr>
        <w:t>Make</w:t>
      </w:r>
      <w:r>
        <w:rPr>
          <w:spacing w:val="-8"/>
          <w:w w:val="95"/>
        </w:rPr>
        <w:t xml:space="preserve"> </w:t>
      </w:r>
      <w:r>
        <w:rPr>
          <w:w w:val="95"/>
        </w:rPr>
        <w:t>NSW</w:t>
      </w:r>
      <w:r>
        <w:rPr>
          <w:spacing w:val="-9"/>
          <w:w w:val="95"/>
        </w:rPr>
        <w:t xml:space="preserve"> </w:t>
      </w:r>
      <w:r>
        <w:rPr>
          <w:w w:val="95"/>
        </w:rPr>
        <w:t>Number</w:t>
      </w:r>
      <w:r>
        <w:rPr>
          <w:spacing w:val="-8"/>
          <w:w w:val="95"/>
        </w:rPr>
        <w:t xml:space="preserve"> </w:t>
      </w:r>
      <w:r>
        <w:rPr>
          <w:w w:val="95"/>
        </w:rPr>
        <w:t>One.</w:t>
      </w:r>
      <w:r>
        <w:rPr>
          <w:spacing w:val="-9"/>
          <w:w w:val="95"/>
        </w:rPr>
        <w:t xml:space="preserve"> </w:t>
      </w:r>
      <w:r>
        <w:rPr>
          <w:spacing w:val="-5"/>
          <w:w w:val="95"/>
        </w:rPr>
        <w:t>Its</w:t>
      </w:r>
    </w:p>
    <w:p w:rsidR="002C1123" w:rsidRDefault="00F22F94">
      <w:pPr>
        <w:pStyle w:val="BodyText"/>
        <w:spacing w:before="10" w:line="249" w:lineRule="auto"/>
        <w:ind w:left="5518"/>
      </w:pPr>
      <w:r>
        <w:rPr>
          <w:w w:val="95"/>
        </w:rPr>
        <w:t xml:space="preserve">recommendations will be considered by the Government alongside the Draft Transport Master Plan and the Draft </w:t>
      </w:r>
      <w:r>
        <w:t>Sydney Metropolitan Strategy.</w:t>
      </w:r>
    </w:p>
    <w:p w:rsidR="002C1123" w:rsidRDefault="00F22F94">
      <w:pPr>
        <w:rPr>
          <w:sz w:val="32"/>
        </w:rPr>
      </w:pPr>
      <w:r>
        <w:br w:type="column"/>
      </w:r>
    </w:p>
    <w:p w:rsidR="002C1123" w:rsidRDefault="002C1123">
      <w:pPr>
        <w:pStyle w:val="BodyText"/>
        <w:rPr>
          <w:sz w:val="32"/>
        </w:rPr>
      </w:pPr>
    </w:p>
    <w:p w:rsidR="002C1123" w:rsidRDefault="002C1123">
      <w:pPr>
        <w:pStyle w:val="BodyText"/>
        <w:rPr>
          <w:sz w:val="32"/>
        </w:rPr>
      </w:pPr>
    </w:p>
    <w:p w:rsidR="002C1123" w:rsidRDefault="002C1123">
      <w:pPr>
        <w:pStyle w:val="BodyText"/>
        <w:rPr>
          <w:sz w:val="32"/>
        </w:rPr>
      </w:pPr>
    </w:p>
    <w:p w:rsidR="002C1123" w:rsidRDefault="002C1123">
      <w:pPr>
        <w:pStyle w:val="BodyText"/>
        <w:spacing w:before="9"/>
        <w:rPr>
          <w:sz w:val="26"/>
        </w:rPr>
      </w:pPr>
    </w:p>
    <w:p w:rsidR="002C1123" w:rsidRDefault="00F22F94">
      <w:pPr>
        <w:pStyle w:val="Heading5"/>
        <w:numPr>
          <w:ilvl w:val="1"/>
          <w:numId w:val="27"/>
        </w:numPr>
        <w:tabs>
          <w:tab w:val="left" w:pos="794"/>
        </w:tabs>
        <w:spacing w:before="1"/>
        <w:ind w:left="793"/>
        <w:jc w:val="left"/>
      </w:pPr>
      <w:r>
        <w:rPr>
          <w:color w:val="00AEEF"/>
          <w:spacing w:val="-2"/>
        </w:rPr>
        <w:t>Recommendations</w:t>
      </w:r>
    </w:p>
    <w:p w:rsidR="002C1123" w:rsidRDefault="00F22F94">
      <w:pPr>
        <w:pStyle w:val="BodyText"/>
        <w:spacing w:before="134" w:line="249" w:lineRule="auto"/>
        <w:ind w:left="193" w:right="792"/>
      </w:pPr>
      <w:r>
        <w:rPr>
          <w:w w:val="95"/>
        </w:rPr>
        <w:t>The</w:t>
      </w:r>
      <w:r>
        <w:rPr>
          <w:spacing w:val="-4"/>
          <w:w w:val="95"/>
        </w:rPr>
        <w:t xml:space="preserve"> </w:t>
      </w:r>
      <w:r>
        <w:rPr>
          <w:w w:val="95"/>
        </w:rPr>
        <w:t>recommendations</w:t>
      </w:r>
      <w:r>
        <w:rPr>
          <w:spacing w:val="-4"/>
          <w:w w:val="95"/>
        </w:rPr>
        <w:t xml:space="preserve"> </w:t>
      </w:r>
      <w:r>
        <w:rPr>
          <w:w w:val="95"/>
        </w:rPr>
        <w:t>made</w:t>
      </w:r>
      <w:r>
        <w:rPr>
          <w:spacing w:val="-4"/>
          <w:w w:val="95"/>
        </w:rPr>
        <w:t xml:space="preserve"> </w:t>
      </w:r>
      <w:r>
        <w:rPr>
          <w:w w:val="95"/>
        </w:rPr>
        <w:t>by</w:t>
      </w:r>
      <w:r>
        <w:rPr>
          <w:spacing w:val="-4"/>
          <w:w w:val="95"/>
        </w:rPr>
        <w:t xml:space="preserve"> </w:t>
      </w:r>
      <w:r>
        <w:rPr>
          <w:w w:val="95"/>
        </w:rPr>
        <w:t>Infrastructure</w:t>
      </w:r>
      <w:r>
        <w:rPr>
          <w:spacing w:val="-4"/>
          <w:w w:val="95"/>
        </w:rPr>
        <w:t xml:space="preserve"> </w:t>
      </w:r>
      <w:r>
        <w:rPr>
          <w:w w:val="95"/>
        </w:rPr>
        <w:t>NSW</w:t>
      </w:r>
      <w:r>
        <w:rPr>
          <w:spacing w:val="-4"/>
          <w:w w:val="95"/>
        </w:rPr>
        <w:t xml:space="preserve"> </w:t>
      </w:r>
      <w:r>
        <w:rPr>
          <w:w w:val="95"/>
        </w:rPr>
        <w:t xml:space="preserve">in </w:t>
      </w:r>
      <w:r>
        <w:t>Sections</w:t>
      </w:r>
      <w:r>
        <w:rPr>
          <w:spacing w:val="-14"/>
        </w:rPr>
        <w:t xml:space="preserve"> </w:t>
      </w:r>
      <w:r>
        <w:t>6</w:t>
      </w:r>
      <w:r>
        <w:rPr>
          <w:spacing w:val="-14"/>
        </w:rPr>
        <w:t xml:space="preserve"> </w:t>
      </w:r>
      <w:r>
        <w:t>to</w:t>
      </w:r>
      <w:r>
        <w:rPr>
          <w:spacing w:val="-14"/>
        </w:rPr>
        <w:t xml:space="preserve"> </w:t>
      </w:r>
      <w:r>
        <w:t>14</w:t>
      </w:r>
      <w:r>
        <w:rPr>
          <w:spacing w:val="-14"/>
        </w:rPr>
        <w:t xml:space="preserve"> </w:t>
      </w:r>
      <w:r>
        <w:t>are</w:t>
      </w:r>
      <w:r>
        <w:rPr>
          <w:spacing w:val="-14"/>
        </w:rPr>
        <w:t xml:space="preserve"> </w:t>
      </w:r>
      <w:r>
        <w:t>listed</w:t>
      </w:r>
      <w:r>
        <w:rPr>
          <w:spacing w:val="-14"/>
        </w:rPr>
        <w:t xml:space="preserve"> </w:t>
      </w:r>
      <w:r>
        <w:t>in</w:t>
      </w:r>
      <w:r>
        <w:rPr>
          <w:spacing w:val="-14"/>
        </w:rPr>
        <w:t xml:space="preserve"> </w:t>
      </w:r>
      <w:r>
        <w:t>Table</w:t>
      </w:r>
      <w:r>
        <w:rPr>
          <w:spacing w:val="-14"/>
        </w:rPr>
        <w:t xml:space="preserve"> </w:t>
      </w:r>
      <w:r>
        <w:t>15.2.</w:t>
      </w:r>
    </w:p>
    <w:p w:rsidR="002C1123" w:rsidRDefault="00F22F94">
      <w:pPr>
        <w:pStyle w:val="BodyText"/>
        <w:spacing w:before="144" w:line="249" w:lineRule="auto"/>
        <w:ind w:left="193" w:right="742"/>
      </w:pPr>
      <w:r>
        <w:rPr>
          <w:w w:val="95"/>
        </w:rPr>
        <w:t xml:space="preserve">Recommendations are classified by delivery timeframe: </w:t>
      </w:r>
      <w:r>
        <w:rPr>
          <w:spacing w:val="-4"/>
          <w:w w:val="95"/>
        </w:rPr>
        <w:t>2012-17</w:t>
      </w:r>
      <w:r>
        <w:rPr>
          <w:spacing w:val="-7"/>
          <w:w w:val="95"/>
        </w:rPr>
        <w:t xml:space="preserve"> </w:t>
      </w:r>
      <w:r>
        <w:rPr>
          <w:spacing w:val="-4"/>
          <w:w w:val="95"/>
        </w:rPr>
        <w:t>(0</w:t>
      </w:r>
      <w:r>
        <w:rPr>
          <w:spacing w:val="-7"/>
          <w:w w:val="95"/>
        </w:rPr>
        <w:t xml:space="preserve"> </w:t>
      </w:r>
      <w:r>
        <w:rPr>
          <w:spacing w:val="-4"/>
          <w:w w:val="95"/>
        </w:rPr>
        <w:t>–</w:t>
      </w:r>
      <w:r>
        <w:rPr>
          <w:spacing w:val="-7"/>
          <w:w w:val="95"/>
        </w:rPr>
        <w:t xml:space="preserve"> </w:t>
      </w:r>
      <w:r>
        <w:rPr>
          <w:spacing w:val="-4"/>
          <w:w w:val="95"/>
        </w:rPr>
        <w:t>5</w:t>
      </w:r>
      <w:r>
        <w:rPr>
          <w:spacing w:val="-7"/>
          <w:w w:val="95"/>
        </w:rPr>
        <w:t xml:space="preserve"> </w:t>
      </w:r>
      <w:r>
        <w:rPr>
          <w:spacing w:val="-4"/>
          <w:w w:val="95"/>
        </w:rPr>
        <w:t>years),</w:t>
      </w:r>
      <w:r>
        <w:rPr>
          <w:spacing w:val="-7"/>
          <w:w w:val="95"/>
        </w:rPr>
        <w:t xml:space="preserve"> </w:t>
      </w:r>
      <w:r>
        <w:rPr>
          <w:spacing w:val="-4"/>
          <w:w w:val="95"/>
        </w:rPr>
        <w:t>2017-22</w:t>
      </w:r>
      <w:r>
        <w:rPr>
          <w:spacing w:val="-7"/>
          <w:w w:val="95"/>
        </w:rPr>
        <w:t xml:space="preserve"> </w:t>
      </w:r>
      <w:r>
        <w:rPr>
          <w:spacing w:val="-4"/>
          <w:w w:val="95"/>
        </w:rPr>
        <w:t>(5</w:t>
      </w:r>
      <w:r>
        <w:rPr>
          <w:spacing w:val="-6"/>
          <w:w w:val="95"/>
        </w:rPr>
        <w:t xml:space="preserve"> </w:t>
      </w:r>
      <w:r>
        <w:rPr>
          <w:spacing w:val="-4"/>
          <w:w w:val="95"/>
        </w:rPr>
        <w:t>–</w:t>
      </w:r>
      <w:r>
        <w:rPr>
          <w:spacing w:val="-7"/>
          <w:w w:val="95"/>
        </w:rPr>
        <w:t xml:space="preserve"> </w:t>
      </w:r>
      <w:r>
        <w:rPr>
          <w:spacing w:val="-4"/>
          <w:w w:val="95"/>
        </w:rPr>
        <w:t>10</w:t>
      </w:r>
      <w:r>
        <w:rPr>
          <w:spacing w:val="-7"/>
          <w:w w:val="95"/>
        </w:rPr>
        <w:t xml:space="preserve"> </w:t>
      </w:r>
      <w:r>
        <w:rPr>
          <w:spacing w:val="-4"/>
          <w:w w:val="95"/>
        </w:rPr>
        <w:t>years)</w:t>
      </w:r>
      <w:r>
        <w:rPr>
          <w:spacing w:val="-7"/>
          <w:w w:val="95"/>
        </w:rPr>
        <w:t xml:space="preserve"> </w:t>
      </w:r>
      <w:r>
        <w:rPr>
          <w:spacing w:val="-4"/>
          <w:w w:val="95"/>
        </w:rPr>
        <w:t>and</w:t>
      </w:r>
      <w:r>
        <w:rPr>
          <w:spacing w:val="-7"/>
          <w:w w:val="95"/>
        </w:rPr>
        <w:t xml:space="preserve"> </w:t>
      </w:r>
      <w:r>
        <w:rPr>
          <w:spacing w:val="-4"/>
          <w:w w:val="95"/>
        </w:rPr>
        <w:t>2022-</w:t>
      </w:r>
      <w:r>
        <w:rPr>
          <w:spacing w:val="-5"/>
          <w:w w:val="95"/>
        </w:rPr>
        <w:t>32</w:t>
      </w:r>
    </w:p>
    <w:p w:rsidR="002C1123" w:rsidRDefault="00F22F94">
      <w:pPr>
        <w:pStyle w:val="BodyText"/>
        <w:spacing w:before="1" w:line="249" w:lineRule="auto"/>
        <w:ind w:left="193" w:right="639"/>
      </w:pPr>
      <w:r>
        <w:rPr>
          <w:w w:val="95"/>
        </w:rPr>
        <w:t>(10</w:t>
      </w:r>
      <w:r>
        <w:rPr>
          <w:spacing w:val="-12"/>
          <w:w w:val="95"/>
        </w:rPr>
        <w:t xml:space="preserve"> </w:t>
      </w:r>
      <w:r>
        <w:rPr>
          <w:w w:val="95"/>
        </w:rPr>
        <w:t>–</w:t>
      </w:r>
      <w:r>
        <w:rPr>
          <w:spacing w:val="-11"/>
          <w:w w:val="95"/>
        </w:rPr>
        <w:t xml:space="preserve"> </w:t>
      </w:r>
      <w:r>
        <w:rPr>
          <w:w w:val="95"/>
        </w:rPr>
        <w:t>20</w:t>
      </w:r>
      <w:r>
        <w:rPr>
          <w:spacing w:val="-11"/>
          <w:w w:val="95"/>
        </w:rPr>
        <w:t xml:space="preserve"> </w:t>
      </w:r>
      <w:r>
        <w:rPr>
          <w:w w:val="95"/>
        </w:rPr>
        <w:t>years).</w:t>
      </w:r>
      <w:r>
        <w:rPr>
          <w:spacing w:val="-11"/>
          <w:w w:val="95"/>
        </w:rPr>
        <w:t xml:space="preserve"> </w:t>
      </w:r>
      <w:r>
        <w:rPr>
          <w:w w:val="95"/>
        </w:rPr>
        <w:t>Recommendations</w:t>
      </w:r>
      <w:r>
        <w:rPr>
          <w:spacing w:val="-11"/>
          <w:w w:val="95"/>
        </w:rPr>
        <w:t xml:space="preserve"> </w:t>
      </w:r>
      <w:r>
        <w:rPr>
          <w:w w:val="95"/>
        </w:rPr>
        <w:t>are</w:t>
      </w:r>
      <w:r>
        <w:rPr>
          <w:spacing w:val="-11"/>
          <w:w w:val="95"/>
        </w:rPr>
        <w:t xml:space="preserve"> </w:t>
      </w:r>
      <w:r>
        <w:rPr>
          <w:w w:val="95"/>
        </w:rPr>
        <w:t>also</w:t>
      </w:r>
      <w:r>
        <w:rPr>
          <w:spacing w:val="-11"/>
          <w:w w:val="95"/>
        </w:rPr>
        <w:t xml:space="preserve"> </w:t>
      </w:r>
      <w:r>
        <w:rPr>
          <w:w w:val="95"/>
        </w:rPr>
        <w:t>in</w:t>
      </w:r>
      <w:r>
        <w:rPr>
          <w:spacing w:val="-11"/>
          <w:w w:val="95"/>
        </w:rPr>
        <w:t xml:space="preserve"> </w:t>
      </w:r>
      <w:r>
        <w:rPr>
          <w:w w:val="95"/>
        </w:rPr>
        <w:t>six</w:t>
      </w:r>
      <w:r>
        <w:rPr>
          <w:spacing w:val="-12"/>
          <w:w w:val="95"/>
        </w:rPr>
        <w:t xml:space="preserve"> </w:t>
      </w:r>
      <w:r>
        <w:rPr>
          <w:w w:val="95"/>
        </w:rPr>
        <w:t xml:space="preserve">distinct </w:t>
      </w:r>
      <w:r>
        <w:t>types</w:t>
      </w:r>
      <w:r>
        <w:rPr>
          <w:spacing w:val="-12"/>
        </w:rPr>
        <w:t xml:space="preserve"> </w:t>
      </w:r>
      <w:r>
        <w:t>as</w:t>
      </w:r>
      <w:r>
        <w:rPr>
          <w:spacing w:val="-12"/>
        </w:rPr>
        <w:t xml:space="preserve"> </w:t>
      </w:r>
      <w:r>
        <w:t>defined</w:t>
      </w:r>
      <w:r>
        <w:rPr>
          <w:spacing w:val="-12"/>
        </w:rPr>
        <w:t xml:space="preserve"> </w:t>
      </w:r>
      <w:r>
        <w:t>in</w:t>
      </w:r>
      <w:r>
        <w:rPr>
          <w:spacing w:val="-12"/>
        </w:rPr>
        <w:t xml:space="preserve"> </w:t>
      </w:r>
      <w:r>
        <w:t>Table</w:t>
      </w:r>
      <w:r>
        <w:rPr>
          <w:spacing w:val="-12"/>
        </w:rPr>
        <w:t xml:space="preserve"> </w:t>
      </w:r>
      <w:r>
        <w:t>15.1.</w:t>
      </w:r>
    </w:p>
    <w:p w:rsidR="002C1123" w:rsidRDefault="00F22F94">
      <w:pPr>
        <w:pStyle w:val="Heading6"/>
        <w:spacing w:before="144"/>
        <w:ind w:left="193"/>
      </w:pPr>
      <w:r>
        <w:t>Table</w:t>
      </w:r>
      <w:r>
        <w:rPr>
          <w:spacing w:val="-14"/>
        </w:rPr>
        <w:t xml:space="preserve"> </w:t>
      </w:r>
      <w:r>
        <w:t>15.1</w:t>
      </w:r>
      <w:r>
        <w:rPr>
          <w:spacing w:val="28"/>
        </w:rPr>
        <w:t xml:space="preserve"> </w:t>
      </w:r>
      <w:r>
        <w:t>Recommendation</w:t>
      </w:r>
      <w:r>
        <w:rPr>
          <w:spacing w:val="-13"/>
        </w:rPr>
        <w:t xml:space="preserve"> </w:t>
      </w:r>
      <w:r>
        <w:rPr>
          <w:spacing w:val="-2"/>
        </w:rPr>
        <w:t>Types</w:t>
      </w:r>
    </w:p>
    <w:p w:rsidR="002C1123" w:rsidRDefault="002C1123">
      <w:pPr>
        <w:pStyle w:val="BodyText"/>
        <w:spacing w:before="3"/>
        <w:rPr>
          <w:b/>
          <w:sz w:val="12"/>
        </w:rPr>
      </w:pPr>
    </w:p>
    <w:tbl>
      <w:tblPr>
        <w:tblW w:w="0" w:type="auto"/>
        <w:tblInd w:w="1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077"/>
        <w:gridCol w:w="3742"/>
      </w:tblGrid>
      <w:tr w:rsidR="002C1123">
        <w:trPr>
          <w:trHeight w:val="551"/>
        </w:trPr>
        <w:tc>
          <w:tcPr>
            <w:tcW w:w="1077" w:type="dxa"/>
            <w:tcBorders>
              <w:top w:val="nil"/>
              <w:left w:val="nil"/>
            </w:tcBorders>
            <w:shd w:val="clear" w:color="auto" w:fill="C9C8C9"/>
          </w:tcPr>
          <w:p w:rsidR="002C1123" w:rsidRDefault="00F22F94">
            <w:pPr>
              <w:pStyle w:val="TableParagraph"/>
              <w:spacing w:before="77" w:line="288" w:lineRule="auto"/>
              <w:ind w:right="425"/>
              <w:rPr>
                <w:sz w:val="16"/>
              </w:rPr>
            </w:pPr>
            <w:r>
              <w:rPr>
                <w:spacing w:val="-2"/>
                <w:w w:val="105"/>
                <w:sz w:val="16"/>
              </w:rPr>
              <w:t>Major Project</w:t>
            </w:r>
          </w:p>
        </w:tc>
        <w:tc>
          <w:tcPr>
            <w:tcW w:w="3742" w:type="dxa"/>
            <w:tcBorders>
              <w:top w:val="nil"/>
            </w:tcBorders>
            <w:shd w:val="clear" w:color="auto" w:fill="E1E0E1"/>
          </w:tcPr>
          <w:p w:rsidR="002C1123" w:rsidRDefault="00F22F94">
            <w:pPr>
              <w:pStyle w:val="TableParagraph"/>
              <w:spacing w:before="77"/>
              <w:rPr>
                <w:sz w:val="16"/>
              </w:rPr>
            </w:pPr>
            <w:r>
              <w:rPr>
                <w:w w:val="95"/>
                <w:sz w:val="16"/>
              </w:rPr>
              <w:t>Single</w:t>
            </w:r>
            <w:r>
              <w:rPr>
                <w:spacing w:val="-1"/>
                <w:w w:val="95"/>
                <w:sz w:val="16"/>
              </w:rPr>
              <w:t xml:space="preserve"> </w:t>
            </w:r>
            <w:r>
              <w:rPr>
                <w:w w:val="95"/>
                <w:sz w:val="16"/>
              </w:rPr>
              <w:t>capital</w:t>
            </w:r>
            <w:r>
              <w:rPr>
                <w:spacing w:val="-1"/>
                <w:w w:val="95"/>
                <w:sz w:val="16"/>
              </w:rPr>
              <w:t xml:space="preserve"> </w:t>
            </w:r>
            <w:r>
              <w:rPr>
                <w:w w:val="95"/>
                <w:sz w:val="16"/>
              </w:rPr>
              <w:t>investment</w:t>
            </w:r>
            <w:r>
              <w:rPr>
                <w:spacing w:val="-1"/>
                <w:w w:val="95"/>
                <w:sz w:val="16"/>
              </w:rPr>
              <w:t xml:space="preserve"> </w:t>
            </w:r>
            <w:r>
              <w:rPr>
                <w:w w:val="95"/>
                <w:sz w:val="16"/>
              </w:rPr>
              <w:t>of</w:t>
            </w:r>
            <w:r>
              <w:rPr>
                <w:spacing w:val="-1"/>
                <w:w w:val="95"/>
                <w:sz w:val="16"/>
              </w:rPr>
              <w:t xml:space="preserve"> </w:t>
            </w:r>
            <w:r>
              <w:rPr>
                <w:w w:val="95"/>
                <w:sz w:val="16"/>
              </w:rPr>
              <w:t>over</w:t>
            </w:r>
            <w:r>
              <w:rPr>
                <w:spacing w:val="-1"/>
                <w:w w:val="95"/>
                <w:sz w:val="16"/>
              </w:rPr>
              <w:t xml:space="preserve"> </w:t>
            </w:r>
            <w:r>
              <w:rPr>
                <w:w w:val="95"/>
                <w:sz w:val="16"/>
              </w:rPr>
              <w:t>$100</w:t>
            </w:r>
            <w:r>
              <w:rPr>
                <w:spacing w:val="-1"/>
                <w:w w:val="95"/>
                <w:sz w:val="16"/>
              </w:rPr>
              <w:t xml:space="preserve"> </w:t>
            </w:r>
            <w:r>
              <w:rPr>
                <w:spacing w:val="-2"/>
                <w:w w:val="95"/>
                <w:sz w:val="16"/>
              </w:rPr>
              <w:t>million</w:t>
            </w:r>
          </w:p>
        </w:tc>
      </w:tr>
      <w:tr w:rsidR="002C1123">
        <w:trPr>
          <w:trHeight w:val="501"/>
        </w:trPr>
        <w:tc>
          <w:tcPr>
            <w:tcW w:w="1077" w:type="dxa"/>
            <w:tcBorders>
              <w:left w:val="nil"/>
            </w:tcBorders>
            <w:shd w:val="clear" w:color="auto" w:fill="C9C8C9"/>
          </w:tcPr>
          <w:p w:rsidR="002C1123" w:rsidRDefault="00F22F94">
            <w:pPr>
              <w:pStyle w:val="TableParagraph"/>
              <w:rPr>
                <w:sz w:val="16"/>
              </w:rPr>
            </w:pPr>
            <w:r>
              <w:rPr>
                <w:spacing w:val="-2"/>
                <w:w w:val="105"/>
                <w:sz w:val="16"/>
              </w:rPr>
              <w:t>Program</w:t>
            </w:r>
          </w:p>
        </w:tc>
        <w:tc>
          <w:tcPr>
            <w:tcW w:w="3742" w:type="dxa"/>
            <w:shd w:val="clear" w:color="auto" w:fill="E1E0E1"/>
          </w:tcPr>
          <w:p w:rsidR="002C1123" w:rsidRDefault="00F22F94">
            <w:pPr>
              <w:pStyle w:val="TableParagraph"/>
              <w:spacing w:before="70" w:line="235" w:lineRule="auto"/>
              <w:ind w:right="104"/>
              <w:rPr>
                <w:sz w:val="16"/>
              </w:rPr>
            </w:pPr>
            <w:r>
              <w:rPr>
                <w:w w:val="95"/>
                <w:sz w:val="16"/>
              </w:rPr>
              <w:t xml:space="preserve">Bundled works costing over $100 million in </w:t>
            </w:r>
            <w:r>
              <w:rPr>
                <w:spacing w:val="-2"/>
                <w:sz w:val="16"/>
              </w:rPr>
              <w:t>aggregate</w:t>
            </w:r>
          </w:p>
        </w:tc>
      </w:tr>
      <w:tr w:rsidR="002C1123">
        <w:trPr>
          <w:trHeight w:val="541"/>
        </w:trPr>
        <w:tc>
          <w:tcPr>
            <w:tcW w:w="1077" w:type="dxa"/>
            <w:tcBorders>
              <w:left w:val="nil"/>
            </w:tcBorders>
            <w:shd w:val="clear" w:color="auto" w:fill="C9C8C9"/>
          </w:tcPr>
          <w:p w:rsidR="002C1123" w:rsidRDefault="00F22F94">
            <w:pPr>
              <w:pStyle w:val="TableParagraph"/>
              <w:spacing w:line="288" w:lineRule="auto"/>
              <w:rPr>
                <w:sz w:val="16"/>
              </w:rPr>
            </w:pPr>
            <w:r>
              <w:rPr>
                <w:spacing w:val="-4"/>
                <w:w w:val="105"/>
                <w:sz w:val="16"/>
              </w:rPr>
              <w:t xml:space="preserve">Asset </w:t>
            </w:r>
            <w:r>
              <w:rPr>
                <w:spacing w:val="-2"/>
                <w:w w:val="105"/>
                <w:sz w:val="16"/>
              </w:rPr>
              <w:t>Utilisation</w:t>
            </w:r>
          </w:p>
        </w:tc>
        <w:tc>
          <w:tcPr>
            <w:tcW w:w="3742" w:type="dxa"/>
            <w:shd w:val="clear" w:color="auto" w:fill="E1E0E1"/>
          </w:tcPr>
          <w:p w:rsidR="002C1123" w:rsidRDefault="00F22F94">
            <w:pPr>
              <w:pStyle w:val="TableParagraph"/>
              <w:spacing w:before="70" w:line="235" w:lineRule="auto"/>
              <w:rPr>
                <w:sz w:val="16"/>
              </w:rPr>
            </w:pPr>
            <w:r>
              <w:rPr>
                <w:w w:val="95"/>
                <w:sz w:val="16"/>
              </w:rPr>
              <w:t xml:space="preserve">Proposals to make better use of latent capacity in </w:t>
            </w:r>
            <w:r>
              <w:rPr>
                <w:sz w:val="16"/>
              </w:rPr>
              <w:t>existing infrastructure assets</w:t>
            </w:r>
          </w:p>
        </w:tc>
      </w:tr>
      <w:tr w:rsidR="002C1123">
        <w:trPr>
          <w:trHeight w:val="681"/>
        </w:trPr>
        <w:tc>
          <w:tcPr>
            <w:tcW w:w="1077" w:type="dxa"/>
            <w:tcBorders>
              <w:left w:val="nil"/>
            </w:tcBorders>
            <w:shd w:val="clear" w:color="auto" w:fill="C9C8C9"/>
          </w:tcPr>
          <w:p w:rsidR="002C1123" w:rsidRDefault="00F22F94">
            <w:pPr>
              <w:pStyle w:val="TableParagraph"/>
              <w:rPr>
                <w:sz w:val="16"/>
              </w:rPr>
            </w:pPr>
            <w:r>
              <w:rPr>
                <w:spacing w:val="-2"/>
                <w:sz w:val="16"/>
              </w:rPr>
              <w:t>Review</w:t>
            </w:r>
          </w:p>
        </w:tc>
        <w:tc>
          <w:tcPr>
            <w:tcW w:w="3742" w:type="dxa"/>
            <w:shd w:val="clear" w:color="auto" w:fill="E1E0E1"/>
          </w:tcPr>
          <w:p w:rsidR="002C1123" w:rsidRDefault="00F22F94">
            <w:pPr>
              <w:pStyle w:val="TableParagraph"/>
              <w:spacing w:before="70" w:line="235" w:lineRule="auto"/>
              <w:ind w:right="104"/>
              <w:rPr>
                <w:sz w:val="16"/>
              </w:rPr>
            </w:pPr>
            <w:r>
              <w:rPr>
                <w:w w:val="95"/>
                <w:sz w:val="16"/>
              </w:rPr>
              <w:t xml:space="preserve">Further work proposed under the Infrastructure </w:t>
            </w:r>
            <w:r>
              <w:rPr>
                <w:sz w:val="16"/>
              </w:rPr>
              <w:t>NSW</w:t>
            </w:r>
            <w:r>
              <w:rPr>
                <w:spacing w:val="-10"/>
                <w:sz w:val="16"/>
              </w:rPr>
              <w:t xml:space="preserve"> </w:t>
            </w:r>
            <w:r>
              <w:rPr>
                <w:sz w:val="16"/>
              </w:rPr>
              <w:t>Act</w:t>
            </w:r>
            <w:r>
              <w:rPr>
                <w:spacing w:val="-10"/>
                <w:sz w:val="16"/>
              </w:rPr>
              <w:t xml:space="preserve"> </w:t>
            </w:r>
            <w:r>
              <w:rPr>
                <w:sz w:val="16"/>
              </w:rPr>
              <w:t>–</w:t>
            </w:r>
            <w:r>
              <w:rPr>
                <w:spacing w:val="-10"/>
                <w:sz w:val="16"/>
              </w:rPr>
              <w:t xml:space="preserve"> </w:t>
            </w:r>
            <w:r>
              <w:rPr>
                <w:sz w:val="16"/>
              </w:rPr>
              <w:t>sectoral</w:t>
            </w:r>
            <w:r>
              <w:rPr>
                <w:spacing w:val="-10"/>
                <w:sz w:val="16"/>
              </w:rPr>
              <w:t xml:space="preserve"> </w:t>
            </w:r>
            <w:r>
              <w:rPr>
                <w:sz w:val="16"/>
              </w:rPr>
              <w:t>strategy</w:t>
            </w:r>
            <w:r>
              <w:rPr>
                <w:spacing w:val="-10"/>
                <w:sz w:val="16"/>
              </w:rPr>
              <w:t xml:space="preserve"> </w:t>
            </w:r>
            <w:r>
              <w:rPr>
                <w:sz w:val="16"/>
              </w:rPr>
              <w:t>or</w:t>
            </w:r>
            <w:r>
              <w:rPr>
                <w:spacing w:val="-10"/>
                <w:sz w:val="16"/>
              </w:rPr>
              <w:t xml:space="preserve"> </w:t>
            </w:r>
            <w:r>
              <w:rPr>
                <w:sz w:val="16"/>
              </w:rPr>
              <w:t>project</w:t>
            </w:r>
            <w:r>
              <w:rPr>
                <w:spacing w:val="-10"/>
                <w:sz w:val="16"/>
              </w:rPr>
              <w:t xml:space="preserve"> </w:t>
            </w:r>
            <w:r>
              <w:rPr>
                <w:sz w:val="16"/>
              </w:rPr>
              <w:t>plan</w:t>
            </w:r>
            <w:r>
              <w:rPr>
                <w:spacing w:val="-10"/>
                <w:sz w:val="16"/>
              </w:rPr>
              <w:t xml:space="preserve"> </w:t>
            </w:r>
            <w:r>
              <w:rPr>
                <w:sz w:val="16"/>
              </w:rPr>
              <w:t xml:space="preserve">as </w:t>
            </w:r>
            <w:r>
              <w:rPr>
                <w:spacing w:val="-2"/>
                <w:sz w:val="16"/>
              </w:rPr>
              <w:t>appropriate</w:t>
            </w:r>
          </w:p>
        </w:tc>
      </w:tr>
      <w:tr w:rsidR="002C1123">
        <w:trPr>
          <w:trHeight w:val="501"/>
        </w:trPr>
        <w:tc>
          <w:tcPr>
            <w:tcW w:w="1077" w:type="dxa"/>
            <w:tcBorders>
              <w:left w:val="nil"/>
            </w:tcBorders>
            <w:shd w:val="clear" w:color="auto" w:fill="C9C8C9"/>
          </w:tcPr>
          <w:p w:rsidR="002C1123" w:rsidRDefault="00F22F94">
            <w:pPr>
              <w:pStyle w:val="TableParagraph"/>
              <w:rPr>
                <w:sz w:val="16"/>
              </w:rPr>
            </w:pPr>
            <w:r>
              <w:rPr>
                <w:spacing w:val="-2"/>
                <w:w w:val="105"/>
                <w:sz w:val="16"/>
              </w:rPr>
              <w:t>Corridor</w:t>
            </w:r>
          </w:p>
        </w:tc>
        <w:tc>
          <w:tcPr>
            <w:tcW w:w="3742" w:type="dxa"/>
            <w:shd w:val="clear" w:color="auto" w:fill="E1E0E1"/>
          </w:tcPr>
          <w:p w:rsidR="002C1123" w:rsidRDefault="00F22F94">
            <w:pPr>
              <w:pStyle w:val="TableParagraph"/>
              <w:spacing w:before="70" w:line="235" w:lineRule="auto"/>
              <w:rPr>
                <w:sz w:val="16"/>
              </w:rPr>
            </w:pPr>
            <w:r>
              <w:rPr>
                <w:w w:val="95"/>
                <w:sz w:val="16"/>
              </w:rPr>
              <w:t xml:space="preserve">Identification and preservation of land for future </w:t>
            </w:r>
            <w:r>
              <w:rPr>
                <w:sz w:val="16"/>
              </w:rPr>
              <w:t>infrastructure</w:t>
            </w:r>
            <w:r>
              <w:rPr>
                <w:spacing w:val="-4"/>
                <w:sz w:val="16"/>
              </w:rPr>
              <w:t xml:space="preserve"> </w:t>
            </w:r>
            <w:r>
              <w:rPr>
                <w:sz w:val="16"/>
              </w:rPr>
              <w:t>project</w:t>
            </w:r>
          </w:p>
        </w:tc>
      </w:tr>
      <w:tr w:rsidR="002C1123">
        <w:trPr>
          <w:trHeight w:val="321"/>
        </w:trPr>
        <w:tc>
          <w:tcPr>
            <w:tcW w:w="1077" w:type="dxa"/>
            <w:tcBorders>
              <w:left w:val="nil"/>
            </w:tcBorders>
            <w:shd w:val="clear" w:color="auto" w:fill="C9C8C9"/>
          </w:tcPr>
          <w:p w:rsidR="002C1123" w:rsidRDefault="00F22F94">
            <w:pPr>
              <w:pStyle w:val="TableParagraph"/>
              <w:rPr>
                <w:sz w:val="16"/>
              </w:rPr>
            </w:pPr>
            <w:r>
              <w:rPr>
                <w:spacing w:val="-2"/>
                <w:w w:val="105"/>
                <w:sz w:val="16"/>
              </w:rPr>
              <w:t>Planning</w:t>
            </w:r>
          </w:p>
        </w:tc>
        <w:tc>
          <w:tcPr>
            <w:tcW w:w="3742" w:type="dxa"/>
            <w:shd w:val="clear" w:color="auto" w:fill="E1E0E1"/>
          </w:tcPr>
          <w:p w:rsidR="002C1123" w:rsidRDefault="00F22F94">
            <w:pPr>
              <w:pStyle w:val="TableParagraph"/>
              <w:rPr>
                <w:sz w:val="16"/>
              </w:rPr>
            </w:pPr>
            <w:r>
              <w:rPr>
                <w:w w:val="95"/>
                <w:sz w:val="16"/>
              </w:rPr>
              <w:t>Development</w:t>
            </w:r>
            <w:r>
              <w:rPr>
                <w:spacing w:val="4"/>
                <w:sz w:val="16"/>
              </w:rPr>
              <w:t xml:space="preserve"> </w:t>
            </w:r>
            <w:r>
              <w:rPr>
                <w:w w:val="95"/>
                <w:sz w:val="16"/>
              </w:rPr>
              <w:t>work</w:t>
            </w:r>
            <w:r>
              <w:rPr>
                <w:spacing w:val="5"/>
                <w:sz w:val="16"/>
              </w:rPr>
              <w:t xml:space="preserve"> </w:t>
            </w:r>
            <w:r>
              <w:rPr>
                <w:w w:val="95"/>
                <w:sz w:val="16"/>
              </w:rPr>
              <w:t>on</w:t>
            </w:r>
            <w:r>
              <w:rPr>
                <w:spacing w:val="4"/>
                <w:sz w:val="16"/>
              </w:rPr>
              <w:t xml:space="preserve"> </w:t>
            </w:r>
            <w:r>
              <w:rPr>
                <w:w w:val="95"/>
                <w:sz w:val="16"/>
              </w:rPr>
              <w:t>infrastructure</w:t>
            </w:r>
            <w:r>
              <w:rPr>
                <w:spacing w:val="5"/>
                <w:sz w:val="16"/>
              </w:rPr>
              <w:t xml:space="preserve"> </w:t>
            </w:r>
            <w:r>
              <w:rPr>
                <w:spacing w:val="-2"/>
                <w:w w:val="95"/>
                <w:sz w:val="16"/>
              </w:rPr>
              <w:t>pipeline</w:t>
            </w:r>
          </w:p>
        </w:tc>
      </w:tr>
    </w:tbl>
    <w:p w:rsidR="002C1123" w:rsidRDefault="002C1123">
      <w:pPr>
        <w:pStyle w:val="BodyText"/>
        <w:spacing w:before="3"/>
        <w:rPr>
          <w:b/>
          <w:sz w:val="19"/>
        </w:rPr>
      </w:pPr>
    </w:p>
    <w:p w:rsidR="002C1123" w:rsidRDefault="00F22F94">
      <w:pPr>
        <w:pStyle w:val="BodyText"/>
        <w:spacing w:before="1" w:line="249" w:lineRule="auto"/>
        <w:ind w:left="193" w:right="639"/>
      </w:pPr>
      <w:r>
        <w:rPr>
          <w:w w:val="95"/>
        </w:rPr>
        <w:t>Infrastructure NSW has also noted the cost and funding implications</w:t>
      </w:r>
      <w:r>
        <w:rPr>
          <w:spacing w:val="-9"/>
          <w:w w:val="95"/>
        </w:rPr>
        <w:t xml:space="preserve"> </w:t>
      </w:r>
      <w:r>
        <w:rPr>
          <w:w w:val="95"/>
        </w:rPr>
        <w:t>of</w:t>
      </w:r>
      <w:r>
        <w:rPr>
          <w:spacing w:val="-9"/>
          <w:w w:val="95"/>
        </w:rPr>
        <w:t xml:space="preserve"> </w:t>
      </w:r>
      <w:r>
        <w:rPr>
          <w:w w:val="95"/>
        </w:rPr>
        <w:t>each</w:t>
      </w:r>
      <w:r>
        <w:rPr>
          <w:spacing w:val="-9"/>
          <w:w w:val="95"/>
        </w:rPr>
        <w:t xml:space="preserve"> </w:t>
      </w:r>
      <w:r>
        <w:rPr>
          <w:w w:val="95"/>
        </w:rPr>
        <w:t>recommendation.</w:t>
      </w:r>
      <w:r>
        <w:rPr>
          <w:spacing w:val="-9"/>
          <w:w w:val="95"/>
        </w:rPr>
        <w:t xml:space="preserve"> </w:t>
      </w:r>
      <w:r>
        <w:rPr>
          <w:w w:val="95"/>
        </w:rPr>
        <w:t>This</w:t>
      </w:r>
      <w:r>
        <w:rPr>
          <w:spacing w:val="-9"/>
          <w:w w:val="95"/>
        </w:rPr>
        <w:t xml:space="preserve"> </w:t>
      </w:r>
      <w:r>
        <w:rPr>
          <w:w w:val="95"/>
        </w:rPr>
        <w:t>approach</w:t>
      </w:r>
      <w:r>
        <w:rPr>
          <w:spacing w:val="-9"/>
          <w:w w:val="95"/>
        </w:rPr>
        <w:t xml:space="preserve"> </w:t>
      </w:r>
      <w:r>
        <w:rPr>
          <w:w w:val="95"/>
        </w:rPr>
        <w:t>has been</w:t>
      </w:r>
      <w:r>
        <w:rPr>
          <w:spacing w:val="-11"/>
          <w:w w:val="95"/>
        </w:rPr>
        <w:t xml:space="preserve"> </w:t>
      </w:r>
      <w:r>
        <w:rPr>
          <w:w w:val="95"/>
        </w:rPr>
        <w:t>adopted</w:t>
      </w:r>
      <w:r>
        <w:rPr>
          <w:spacing w:val="-11"/>
          <w:w w:val="95"/>
        </w:rPr>
        <w:t xml:space="preserve"> </w:t>
      </w:r>
      <w:r>
        <w:rPr>
          <w:w w:val="95"/>
        </w:rPr>
        <w:t>to</w:t>
      </w:r>
      <w:r>
        <w:rPr>
          <w:spacing w:val="-11"/>
          <w:w w:val="95"/>
        </w:rPr>
        <w:t xml:space="preserve"> </w:t>
      </w:r>
      <w:r>
        <w:rPr>
          <w:w w:val="95"/>
        </w:rPr>
        <w:t>provide</w:t>
      </w:r>
      <w:r>
        <w:rPr>
          <w:spacing w:val="-11"/>
          <w:w w:val="95"/>
        </w:rPr>
        <w:t xml:space="preserve"> </w:t>
      </w:r>
      <w:r>
        <w:rPr>
          <w:w w:val="95"/>
        </w:rPr>
        <w:t>the</w:t>
      </w:r>
      <w:r>
        <w:rPr>
          <w:spacing w:val="-11"/>
          <w:w w:val="95"/>
        </w:rPr>
        <w:t xml:space="preserve"> </w:t>
      </w:r>
      <w:r>
        <w:rPr>
          <w:w w:val="95"/>
        </w:rPr>
        <w:t>Government</w:t>
      </w:r>
      <w:r>
        <w:rPr>
          <w:spacing w:val="-11"/>
          <w:w w:val="95"/>
        </w:rPr>
        <w:t xml:space="preserve"> </w:t>
      </w:r>
      <w:r>
        <w:rPr>
          <w:w w:val="95"/>
        </w:rPr>
        <w:t>with</w:t>
      </w:r>
      <w:r>
        <w:rPr>
          <w:spacing w:val="-11"/>
          <w:w w:val="95"/>
        </w:rPr>
        <w:t xml:space="preserve"> </w:t>
      </w:r>
      <w:r>
        <w:rPr>
          <w:w w:val="95"/>
        </w:rPr>
        <w:t>confidence that the overall strategy is capable of being delivered based on realistic assumptions regarding the quantum</w:t>
      </w:r>
    </w:p>
    <w:p w:rsidR="002C1123" w:rsidRDefault="00F22F94">
      <w:pPr>
        <w:pStyle w:val="BodyText"/>
        <w:spacing w:before="4" w:line="249" w:lineRule="auto"/>
        <w:ind w:left="193" w:right="792"/>
      </w:pPr>
      <w:r>
        <w:rPr>
          <w:w w:val="90"/>
        </w:rPr>
        <w:t xml:space="preserve">of Government and user funding available. This issue is </w:t>
      </w:r>
      <w:r>
        <w:t>examined</w:t>
      </w:r>
      <w:r>
        <w:rPr>
          <w:spacing w:val="-12"/>
        </w:rPr>
        <w:t xml:space="preserve"> </w:t>
      </w:r>
      <w:r>
        <w:t>further</w:t>
      </w:r>
      <w:r>
        <w:rPr>
          <w:spacing w:val="-12"/>
        </w:rPr>
        <w:t xml:space="preserve"> </w:t>
      </w:r>
      <w:r>
        <w:t>in</w:t>
      </w:r>
      <w:r>
        <w:rPr>
          <w:spacing w:val="-12"/>
        </w:rPr>
        <w:t xml:space="preserve"> </w:t>
      </w:r>
      <w:r>
        <w:t>Section</w:t>
      </w:r>
      <w:r>
        <w:rPr>
          <w:spacing w:val="-12"/>
        </w:rPr>
        <w:t xml:space="preserve"> </w:t>
      </w:r>
      <w:r>
        <w:t>16.</w:t>
      </w:r>
    </w:p>
    <w:p w:rsidR="002C1123" w:rsidRDefault="002C1123">
      <w:pPr>
        <w:spacing w:line="249" w:lineRule="auto"/>
        <w:sectPr w:rsidR="002C1123">
          <w:type w:val="continuous"/>
          <w:pgSz w:w="16840" w:h="11910" w:orient="landscape"/>
          <w:pgMar w:top="560" w:right="280" w:bottom="280" w:left="500" w:header="0" w:footer="517" w:gutter="0"/>
          <w:cols w:num="2" w:space="720" w:equalWidth="0">
            <w:col w:w="10313" w:space="40"/>
            <w:col w:w="5707"/>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F22F94">
      <w:pPr>
        <w:pStyle w:val="BodyText"/>
        <w:spacing w:before="106" w:line="249" w:lineRule="auto"/>
        <w:ind w:left="492" w:right="10835"/>
      </w:pPr>
      <w:bookmarkStart w:id="384" w:name="_bookmark272"/>
      <w:bookmarkEnd w:id="384"/>
      <w:r>
        <w:rPr>
          <w:w w:val="95"/>
        </w:rPr>
        <w:t>Two</w:t>
      </w:r>
      <w:r>
        <w:rPr>
          <w:spacing w:val="-3"/>
          <w:w w:val="95"/>
        </w:rPr>
        <w:t xml:space="preserve"> </w:t>
      </w:r>
      <w:r>
        <w:rPr>
          <w:w w:val="95"/>
        </w:rPr>
        <w:t>distinct</w:t>
      </w:r>
      <w:r>
        <w:rPr>
          <w:spacing w:val="-3"/>
          <w:w w:val="95"/>
        </w:rPr>
        <w:t xml:space="preserve"> </w:t>
      </w:r>
      <w:r>
        <w:rPr>
          <w:w w:val="95"/>
        </w:rPr>
        <w:t>terms</w:t>
      </w:r>
      <w:r>
        <w:rPr>
          <w:spacing w:val="-3"/>
          <w:w w:val="95"/>
        </w:rPr>
        <w:t xml:space="preserve"> </w:t>
      </w:r>
      <w:r>
        <w:rPr>
          <w:w w:val="95"/>
        </w:rPr>
        <w:t>are</w:t>
      </w:r>
      <w:r>
        <w:rPr>
          <w:spacing w:val="-3"/>
          <w:w w:val="95"/>
        </w:rPr>
        <w:t xml:space="preserve"> </w:t>
      </w:r>
      <w:r>
        <w:rPr>
          <w:w w:val="95"/>
        </w:rPr>
        <w:t>used</w:t>
      </w:r>
      <w:r>
        <w:rPr>
          <w:spacing w:val="-3"/>
          <w:w w:val="95"/>
        </w:rPr>
        <w:t xml:space="preserve"> </w:t>
      </w:r>
      <w:r>
        <w:rPr>
          <w:w w:val="95"/>
        </w:rPr>
        <w:t>to</w:t>
      </w:r>
      <w:r>
        <w:rPr>
          <w:spacing w:val="-3"/>
          <w:w w:val="95"/>
        </w:rPr>
        <w:t xml:space="preserve"> </w:t>
      </w:r>
      <w:r>
        <w:rPr>
          <w:w w:val="95"/>
        </w:rPr>
        <w:t>provide</w:t>
      </w:r>
      <w:r>
        <w:rPr>
          <w:spacing w:val="-3"/>
          <w:w w:val="95"/>
        </w:rPr>
        <w:t xml:space="preserve"> </w:t>
      </w:r>
      <w:r>
        <w:rPr>
          <w:w w:val="95"/>
        </w:rPr>
        <w:t>capital</w:t>
      </w:r>
      <w:r>
        <w:rPr>
          <w:spacing w:val="-3"/>
          <w:w w:val="95"/>
        </w:rPr>
        <w:t xml:space="preserve"> </w:t>
      </w:r>
      <w:r>
        <w:rPr>
          <w:w w:val="95"/>
        </w:rPr>
        <w:t xml:space="preserve">cost </w:t>
      </w:r>
      <w:r>
        <w:rPr>
          <w:spacing w:val="-2"/>
        </w:rPr>
        <w:t>guidance:</w:t>
      </w:r>
    </w:p>
    <w:p w:rsidR="002C1123" w:rsidRDefault="00F22F94">
      <w:pPr>
        <w:pStyle w:val="ListParagraph"/>
        <w:numPr>
          <w:ilvl w:val="2"/>
          <w:numId w:val="27"/>
        </w:numPr>
        <w:tabs>
          <w:tab w:val="left" w:pos="776"/>
        </w:tabs>
        <w:spacing w:before="143"/>
        <w:ind w:left="775" w:right="11061"/>
        <w:rPr>
          <w:rFonts w:ascii="Tekton Pro LightExt" w:hAnsi="Tekton Pro LightExt"/>
          <w:i/>
          <w:sz w:val="20"/>
        </w:rPr>
      </w:pPr>
      <w:r>
        <w:rPr>
          <w:i/>
          <w:w w:val="95"/>
          <w:sz w:val="20"/>
        </w:rPr>
        <w:t xml:space="preserve">“Estimate” </w:t>
      </w:r>
      <w:r>
        <w:rPr>
          <w:w w:val="95"/>
          <w:sz w:val="20"/>
        </w:rPr>
        <w:t>is an assessment of the expected cost of</w:t>
      </w:r>
      <w:r>
        <w:rPr>
          <w:spacing w:val="-7"/>
          <w:w w:val="95"/>
          <w:sz w:val="20"/>
        </w:rPr>
        <w:t xml:space="preserve"> </w:t>
      </w:r>
      <w:r>
        <w:rPr>
          <w:w w:val="95"/>
          <w:sz w:val="20"/>
        </w:rPr>
        <w:t>the</w:t>
      </w:r>
      <w:r>
        <w:rPr>
          <w:spacing w:val="-7"/>
          <w:w w:val="95"/>
          <w:sz w:val="20"/>
        </w:rPr>
        <w:t xml:space="preserve"> </w:t>
      </w:r>
      <w:r>
        <w:rPr>
          <w:w w:val="95"/>
          <w:sz w:val="20"/>
        </w:rPr>
        <w:t>infrastructure</w:t>
      </w:r>
      <w:r>
        <w:rPr>
          <w:spacing w:val="-7"/>
          <w:w w:val="95"/>
          <w:sz w:val="20"/>
        </w:rPr>
        <w:t xml:space="preserve"> </w:t>
      </w:r>
      <w:r>
        <w:rPr>
          <w:w w:val="95"/>
          <w:sz w:val="20"/>
        </w:rPr>
        <w:t>elements</w:t>
      </w:r>
      <w:r>
        <w:rPr>
          <w:spacing w:val="-7"/>
          <w:w w:val="95"/>
          <w:sz w:val="20"/>
        </w:rPr>
        <w:t xml:space="preserve"> </w:t>
      </w:r>
      <w:r>
        <w:rPr>
          <w:w w:val="95"/>
          <w:sz w:val="20"/>
        </w:rPr>
        <w:t>of</w:t>
      </w:r>
      <w:r>
        <w:rPr>
          <w:spacing w:val="-7"/>
          <w:w w:val="95"/>
          <w:sz w:val="20"/>
        </w:rPr>
        <w:t xml:space="preserve"> </w:t>
      </w:r>
      <w:r>
        <w:rPr>
          <w:w w:val="95"/>
          <w:sz w:val="20"/>
        </w:rPr>
        <w:t>a</w:t>
      </w:r>
      <w:r>
        <w:rPr>
          <w:spacing w:val="-7"/>
          <w:w w:val="95"/>
          <w:sz w:val="20"/>
        </w:rPr>
        <w:t xml:space="preserve"> </w:t>
      </w:r>
      <w:r>
        <w:rPr>
          <w:w w:val="95"/>
          <w:sz w:val="20"/>
        </w:rPr>
        <w:t>project,</w:t>
      </w:r>
      <w:r>
        <w:rPr>
          <w:spacing w:val="-7"/>
          <w:w w:val="95"/>
          <w:sz w:val="20"/>
        </w:rPr>
        <w:t xml:space="preserve"> </w:t>
      </w:r>
      <w:r>
        <w:rPr>
          <w:w w:val="95"/>
          <w:sz w:val="20"/>
        </w:rPr>
        <w:t>where</w:t>
      </w:r>
      <w:r>
        <w:rPr>
          <w:spacing w:val="-7"/>
          <w:w w:val="95"/>
          <w:sz w:val="20"/>
        </w:rPr>
        <w:t xml:space="preserve"> </w:t>
      </w:r>
      <w:r>
        <w:rPr>
          <w:w w:val="95"/>
          <w:sz w:val="20"/>
        </w:rPr>
        <w:t xml:space="preserve">a </w:t>
      </w:r>
      <w:r>
        <w:rPr>
          <w:sz w:val="20"/>
        </w:rPr>
        <w:t>concept project solution is available</w:t>
      </w:r>
    </w:p>
    <w:p w:rsidR="002C1123" w:rsidRDefault="00F22F94">
      <w:pPr>
        <w:pStyle w:val="ListParagraph"/>
        <w:numPr>
          <w:ilvl w:val="2"/>
          <w:numId w:val="27"/>
        </w:numPr>
        <w:tabs>
          <w:tab w:val="left" w:pos="776"/>
        </w:tabs>
        <w:spacing w:before="153"/>
        <w:ind w:left="775" w:right="11133"/>
        <w:jc w:val="both"/>
        <w:rPr>
          <w:rFonts w:ascii="Tekton Pro LightExt" w:hAnsi="Tekton Pro LightExt"/>
          <w:i/>
          <w:sz w:val="20"/>
        </w:rPr>
      </w:pPr>
      <w:r>
        <w:rPr>
          <w:i/>
          <w:w w:val="95"/>
          <w:sz w:val="20"/>
        </w:rPr>
        <w:t>“Scoping”</w:t>
      </w:r>
      <w:r>
        <w:rPr>
          <w:i/>
          <w:spacing w:val="-2"/>
          <w:w w:val="95"/>
          <w:sz w:val="20"/>
        </w:rPr>
        <w:t xml:space="preserve"> </w:t>
      </w:r>
      <w:r>
        <w:rPr>
          <w:w w:val="95"/>
          <w:sz w:val="20"/>
        </w:rPr>
        <w:t>is</w:t>
      </w:r>
      <w:r>
        <w:rPr>
          <w:spacing w:val="-2"/>
          <w:w w:val="95"/>
          <w:sz w:val="20"/>
        </w:rPr>
        <w:t xml:space="preserve"> </w:t>
      </w:r>
      <w:r>
        <w:rPr>
          <w:w w:val="95"/>
          <w:sz w:val="20"/>
        </w:rPr>
        <w:t>used</w:t>
      </w:r>
      <w:r>
        <w:rPr>
          <w:spacing w:val="-2"/>
          <w:w w:val="95"/>
          <w:sz w:val="20"/>
        </w:rPr>
        <w:t xml:space="preserve"> </w:t>
      </w:r>
      <w:r>
        <w:rPr>
          <w:w w:val="95"/>
          <w:sz w:val="20"/>
        </w:rPr>
        <w:t>to</w:t>
      </w:r>
      <w:r>
        <w:rPr>
          <w:spacing w:val="-2"/>
          <w:w w:val="95"/>
          <w:sz w:val="20"/>
        </w:rPr>
        <w:t xml:space="preserve"> </w:t>
      </w:r>
      <w:r>
        <w:rPr>
          <w:w w:val="95"/>
          <w:sz w:val="20"/>
        </w:rPr>
        <w:t>set</w:t>
      </w:r>
      <w:r>
        <w:rPr>
          <w:spacing w:val="-2"/>
          <w:w w:val="95"/>
          <w:sz w:val="20"/>
        </w:rPr>
        <w:t xml:space="preserve"> </w:t>
      </w:r>
      <w:r>
        <w:rPr>
          <w:w w:val="95"/>
          <w:sz w:val="20"/>
        </w:rPr>
        <w:t>an</w:t>
      </w:r>
      <w:r>
        <w:rPr>
          <w:spacing w:val="-2"/>
          <w:w w:val="95"/>
          <w:sz w:val="20"/>
        </w:rPr>
        <w:t xml:space="preserve"> </w:t>
      </w:r>
      <w:r>
        <w:rPr>
          <w:w w:val="95"/>
          <w:sz w:val="20"/>
        </w:rPr>
        <w:t>indicative</w:t>
      </w:r>
      <w:r>
        <w:rPr>
          <w:spacing w:val="-2"/>
          <w:w w:val="95"/>
          <w:sz w:val="20"/>
        </w:rPr>
        <w:t xml:space="preserve"> </w:t>
      </w:r>
      <w:r>
        <w:rPr>
          <w:w w:val="95"/>
          <w:sz w:val="20"/>
        </w:rPr>
        <w:t>expectation of</w:t>
      </w:r>
      <w:r>
        <w:rPr>
          <w:spacing w:val="-5"/>
          <w:w w:val="95"/>
          <w:sz w:val="20"/>
        </w:rPr>
        <w:t xml:space="preserve"> </w:t>
      </w:r>
      <w:r>
        <w:rPr>
          <w:w w:val="95"/>
          <w:sz w:val="20"/>
        </w:rPr>
        <w:t>appropriate</w:t>
      </w:r>
      <w:r>
        <w:rPr>
          <w:spacing w:val="-3"/>
          <w:w w:val="95"/>
          <w:sz w:val="20"/>
        </w:rPr>
        <w:t xml:space="preserve"> </w:t>
      </w:r>
      <w:r>
        <w:rPr>
          <w:w w:val="95"/>
          <w:sz w:val="20"/>
        </w:rPr>
        <w:t>expenditure</w:t>
      </w:r>
      <w:r>
        <w:rPr>
          <w:spacing w:val="-3"/>
          <w:w w:val="95"/>
          <w:sz w:val="20"/>
        </w:rPr>
        <w:t xml:space="preserve"> </w:t>
      </w:r>
      <w:r>
        <w:rPr>
          <w:w w:val="95"/>
          <w:sz w:val="20"/>
        </w:rPr>
        <w:t>to</w:t>
      </w:r>
      <w:r>
        <w:rPr>
          <w:spacing w:val="-3"/>
          <w:w w:val="95"/>
          <w:sz w:val="20"/>
        </w:rPr>
        <w:t xml:space="preserve"> </w:t>
      </w:r>
      <w:r>
        <w:rPr>
          <w:w w:val="95"/>
          <w:sz w:val="20"/>
        </w:rPr>
        <w:t>achieve</w:t>
      </w:r>
      <w:r>
        <w:rPr>
          <w:spacing w:val="-3"/>
          <w:w w:val="95"/>
          <w:sz w:val="20"/>
        </w:rPr>
        <w:t xml:space="preserve"> </w:t>
      </w:r>
      <w:r>
        <w:rPr>
          <w:w w:val="95"/>
          <w:sz w:val="20"/>
        </w:rPr>
        <w:t>a</w:t>
      </w:r>
      <w:r>
        <w:rPr>
          <w:spacing w:val="-3"/>
          <w:w w:val="95"/>
          <w:sz w:val="20"/>
        </w:rPr>
        <w:t xml:space="preserve"> </w:t>
      </w:r>
      <w:r>
        <w:rPr>
          <w:w w:val="95"/>
          <w:sz w:val="20"/>
        </w:rPr>
        <w:t xml:space="preserve">particular </w:t>
      </w:r>
      <w:r>
        <w:rPr>
          <w:sz w:val="20"/>
        </w:rPr>
        <w:t>set</w:t>
      </w:r>
      <w:r>
        <w:rPr>
          <w:spacing w:val="-8"/>
          <w:sz w:val="20"/>
        </w:rPr>
        <w:t xml:space="preserve"> </w:t>
      </w:r>
      <w:r>
        <w:rPr>
          <w:sz w:val="20"/>
        </w:rPr>
        <w:t>of</w:t>
      </w:r>
      <w:r>
        <w:rPr>
          <w:spacing w:val="-8"/>
          <w:sz w:val="20"/>
        </w:rPr>
        <w:t xml:space="preserve"> </w:t>
      </w:r>
      <w:r>
        <w:rPr>
          <w:sz w:val="20"/>
        </w:rPr>
        <w:t>benefits</w:t>
      </w:r>
      <w:r>
        <w:rPr>
          <w:spacing w:val="-8"/>
          <w:sz w:val="20"/>
        </w:rPr>
        <w:t xml:space="preserve"> </w:t>
      </w:r>
      <w:r>
        <w:rPr>
          <w:sz w:val="20"/>
        </w:rPr>
        <w:t>and</w:t>
      </w:r>
      <w:r>
        <w:rPr>
          <w:spacing w:val="-8"/>
          <w:sz w:val="20"/>
        </w:rPr>
        <w:t xml:space="preserve"> </w:t>
      </w:r>
      <w:r>
        <w:rPr>
          <w:sz w:val="20"/>
        </w:rPr>
        <w:t>objectives.</w:t>
      </w:r>
      <w:r>
        <w:rPr>
          <w:spacing w:val="-8"/>
          <w:sz w:val="20"/>
        </w:rPr>
        <w:t xml:space="preserve"> </w:t>
      </w:r>
      <w:r>
        <w:rPr>
          <w:sz w:val="20"/>
        </w:rPr>
        <w:t>It</w:t>
      </w:r>
      <w:r>
        <w:rPr>
          <w:spacing w:val="-8"/>
          <w:sz w:val="20"/>
        </w:rPr>
        <w:t xml:space="preserve"> </w:t>
      </w:r>
      <w:r>
        <w:rPr>
          <w:sz w:val="20"/>
        </w:rPr>
        <w:t>is</w:t>
      </w:r>
      <w:r>
        <w:rPr>
          <w:spacing w:val="-8"/>
          <w:sz w:val="20"/>
        </w:rPr>
        <w:t xml:space="preserve"> </w:t>
      </w:r>
      <w:r>
        <w:rPr>
          <w:sz w:val="20"/>
        </w:rPr>
        <w:t>a</w:t>
      </w:r>
      <w:r>
        <w:rPr>
          <w:spacing w:val="-8"/>
          <w:sz w:val="20"/>
        </w:rPr>
        <w:t xml:space="preserve"> </w:t>
      </w:r>
      <w:r>
        <w:rPr>
          <w:sz w:val="20"/>
        </w:rPr>
        <w:t>top</w:t>
      </w:r>
      <w:r>
        <w:rPr>
          <w:spacing w:val="-8"/>
          <w:sz w:val="20"/>
        </w:rPr>
        <w:t xml:space="preserve"> </w:t>
      </w:r>
      <w:r>
        <w:rPr>
          <w:sz w:val="20"/>
        </w:rPr>
        <w:t>down</w:t>
      </w:r>
    </w:p>
    <w:p w:rsidR="002C1123" w:rsidRDefault="00F22F94">
      <w:pPr>
        <w:pStyle w:val="BodyText"/>
        <w:spacing w:before="10" w:line="249" w:lineRule="auto"/>
        <w:ind w:left="775" w:right="10835"/>
      </w:pPr>
      <w:r>
        <w:rPr>
          <w:w w:val="95"/>
        </w:rPr>
        <w:t>measure</w:t>
      </w:r>
      <w:r>
        <w:rPr>
          <w:spacing w:val="-8"/>
          <w:w w:val="95"/>
        </w:rPr>
        <w:t xml:space="preserve"> </w:t>
      </w:r>
      <w:r>
        <w:rPr>
          <w:w w:val="95"/>
        </w:rPr>
        <w:t>to</w:t>
      </w:r>
      <w:r>
        <w:rPr>
          <w:spacing w:val="-8"/>
          <w:w w:val="95"/>
        </w:rPr>
        <w:t xml:space="preserve"> </w:t>
      </w:r>
      <w:r>
        <w:rPr>
          <w:w w:val="95"/>
        </w:rPr>
        <w:t>assist</w:t>
      </w:r>
      <w:r>
        <w:rPr>
          <w:spacing w:val="-8"/>
          <w:w w:val="95"/>
        </w:rPr>
        <w:t xml:space="preserve"> </w:t>
      </w:r>
      <w:r>
        <w:rPr>
          <w:w w:val="95"/>
        </w:rPr>
        <w:t>in</w:t>
      </w:r>
      <w:r>
        <w:rPr>
          <w:spacing w:val="-8"/>
          <w:w w:val="95"/>
        </w:rPr>
        <w:t xml:space="preserve"> </w:t>
      </w:r>
      <w:r>
        <w:rPr>
          <w:w w:val="95"/>
        </w:rPr>
        <w:t>the</w:t>
      </w:r>
      <w:r>
        <w:rPr>
          <w:spacing w:val="-8"/>
          <w:w w:val="95"/>
        </w:rPr>
        <w:t xml:space="preserve"> </w:t>
      </w:r>
      <w:r>
        <w:rPr>
          <w:w w:val="95"/>
        </w:rPr>
        <w:t>efficient</w:t>
      </w:r>
      <w:r>
        <w:rPr>
          <w:spacing w:val="-8"/>
          <w:w w:val="95"/>
        </w:rPr>
        <w:t xml:space="preserve"> </w:t>
      </w:r>
      <w:r>
        <w:rPr>
          <w:w w:val="95"/>
        </w:rPr>
        <w:t>allocation</w:t>
      </w:r>
      <w:r>
        <w:rPr>
          <w:spacing w:val="-8"/>
          <w:w w:val="95"/>
        </w:rPr>
        <w:t xml:space="preserve"> </w:t>
      </w:r>
      <w:r>
        <w:rPr>
          <w:w w:val="95"/>
        </w:rPr>
        <w:t>of</w:t>
      </w:r>
      <w:r>
        <w:rPr>
          <w:spacing w:val="-8"/>
          <w:w w:val="95"/>
        </w:rPr>
        <w:t xml:space="preserve"> </w:t>
      </w:r>
      <w:r>
        <w:rPr>
          <w:w w:val="95"/>
        </w:rPr>
        <w:t xml:space="preserve">capital. </w:t>
      </w:r>
      <w:r>
        <w:t>This</w:t>
      </w:r>
      <w:r>
        <w:rPr>
          <w:spacing w:val="-8"/>
        </w:rPr>
        <w:t xml:space="preserve"> </w:t>
      </w:r>
      <w:r>
        <w:t>concept</w:t>
      </w:r>
      <w:r>
        <w:rPr>
          <w:spacing w:val="-8"/>
        </w:rPr>
        <w:t xml:space="preserve"> </w:t>
      </w:r>
      <w:r>
        <w:t>recognises</w:t>
      </w:r>
      <w:r>
        <w:rPr>
          <w:spacing w:val="-8"/>
        </w:rPr>
        <w:t xml:space="preserve"> </w:t>
      </w:r>
      <w:r>
        <w:t>that</w:t>
      </w:r>
      <w:r>
        <w:rPr>
          <w:spacing w:val="-8"/>
        </w:rPr>
        <w:t xml:space="preserve"> </w:t>
      </w:r>
      <w:r>
        <w:t>there</w:t>
      </w:r>
      <w:r>
        <w:rPr>
          <w:spacing w:val="-8"/>
        </w:rPr>
        <w:t xml:space="preserve"> </w:t>
      </w:r>
      <w:r>
        <w:t>are</w:t>
      </w:r>
      <w:r>
        <w:rPr>
          <w:spacing w:val="-8"/>
        </w:rPr>
        <w:t xml:space="preserve"> </w:t>
      </w:r>
      <w:r>
        <w:t xml:space="preserve">many </w:t>
      </w:r>
      <w:r>
        <w:rPr>
          <w:w w:val="95"/>
        </w:rPr>
        <w:t xml:space="preserve">infrastructure proposals which are desirable, but not </w:t>
      </w:r>
      <w:r>
        <w:t>at any price.</w:t>
      </w:r>
    </w:p>
    <w:p w:rsidR="002C1123" w:rsidRDefault="00F22F94">
      <w:pPr>
        <w:pStyle w:val="BodyText"/>
        <w:spacing w:before="145" w:line="249" w:lineRule="auto"/>
        <w:ind w:left="492" w:right="10835"/>
      </w:pPr>
      <w:r>
        <w:t>In</w:t>
      </w:r>
      <w:r>
        <w:rPr>
          <w:spacing w:val="-14"/>
        </w:rPr>
        <w:t xml:space="preserve"> </w:t>
      </w:r>
      <w:r>
        <w:t>all</w:t>
      </w:r>
      <w:r>
        <w:rPr>
          <w:spacing w:val="-14"/>
        </w:rPr>
        <w:t xml:space="preserve"> </w:t>
      </w:r>
      <w:r>
        <w:t>cases,</w:t>
      </w:r>
      <w:r>
        <w:rPr>
          <w:spacing w:val="-14"/>
        </w:rPr>
        <w:t xml:space="preserve"> </w:t>
      </w:r>
      <w:r>
        <w:t>Infrastructure</w:t>
      </w:r>
      <w:r>
        <w:rPr>
          <w:spacing w:val="-14"/>
        </w:rPr>
        <w:t xml:space="preserve"> </w:t>
      </w:r>
      <w:r>
        <w:t>NSW’s</w:t>
      </w:r>
      <w:r>
        <w:rPr>
          <w:spacing w:val="-14"/>
        </w:rPr>
        <w:t xml:space="preserve"> </w:t>
      </w:r>
      <w:r>
        <w:t xml:space="preserve">recommendations </w:t>
      </w:r>
      <w:r>
        <w:rPr>
          <w:w w:val="95"/>
        </w:rPr>
        <w:t>must</w:t>
      </w:r>
      <w:r>
        <w:rPr>
          <w:spacing w:val="-1"/>
          <w:w w:val="95"/>
        </w:rPr>
        <w:t xml:space="preserve"> </w:t>
      </w:r>
      <w:r>
        <w:rPr>
          <w:w w:val="95"/>
        </w:rPr>
        <w:t>be</w:t>
      </w:r>
      <w:r>
        <w:rPr>
          <w:spacing w:val="-1"/>
          <w:w w:val="95"/>
        </w:rPr>
        <w:t xml:space="preserve"> </w:t>
      </w:r>
      <w:r>
        <w:rPr>
          <w:w w:val="95"/>
        </w:rPr>
        <w:t>subject</w:t>
      </w:r>
      <w:r>
        <w:rPr>
          <w:spacing w:val="-1"/>
          <w:w w:val="95"/>
        </w:rPr>
        <w:t xml:space="preserve"> </w:t>
      </w:r>
      <w:r>
        <w:rPr>
          <w:w w:val="95"/>
        </w:rPr>
        <w:t>to</w:t>
      </w:r>
      <w:r>
        <w:rPr>
          <w:spacing w:val="-1"/>
          <w:w w:val="95"/>
        </w:rPr>
        <w:t xml:space="preserve"> </w:t>
      </w:r>
      <w:r>
        <w:rPr>
          <w:w w:val="95"/>
        </w:rPr>
        <w:t>detailed</w:t>
      </w:r>
      <w:r>
        <w:rPr>
          <w:spacing w:val="-1"/>
          <w:w w:val="95"/>
        </w:rPr>
        <w:t xml:space="preserve"> </w:t>
      </w:r>
      <w:r>
        <w:rPr>
          <w:w w:val="95"/>
        </w:rPr>
        <w:t>planning</w:t>
      </w:r>
      <w:r>
        <w:rPr>
          <w:spacing w:val="-1"/>
          <w:w w:val="95"/>
        </w:rPr>
        <w:t xml:space="preserve"> </w:t>
      </w:r>
      <w:r>
        <w:rPr>
          <w:w w:val="95"/>
        </w:rPr>
        <w:t>and</w:t>
      </w:r>
      <w:r>
        <w:rPr>
          <w:spacing w:val="-1"/>
          <w:w w:val="95"/>
        </w:rPr>
        <w:t xml:space="preserve"> </w:t>
      </w:r>
      <w:r>
        <w:rPr>
          <w:w w:val="95"/>
        </w:rPr>
        <w:t>business</w:t>
      </w:r>
      <w:r>
        <w:rPr>
          <w:spacing w:val="-1"/>
          <w:w w:val="95"/>
        </w:rPr>
        <w:t xml:space="preserve"> </w:t>
      </w:r>
      <w:r>
        <w:rPr>
          <w:w w:val="95"/>
        </w:rPr>
        <w:t xml:space="preserve">case </w:t>
      </w:r>
      <w:r>
        <w:t>preparation prior to procurement.</w:t>
      </w:r>
    </w:p>
    <w:p w:rsidR="002C1123" w:rsidRDefault="00F22F94">
      <w:pPr>
        <w:pStyle w:val="BodyText"/>
        <w:spacing w:before="145" w:line="249" w:lineRule="auto"/>
        <w:ind w:left="492" w:right="10730"/>
      </w:pPr>
      <w:r>
        <w:t>The</w:t>
      </w:r>
      <w:r>
        <w:rPr>
          <w:spacing w:val="-7"/>
        </w:rPr>
        <w:t xml:space="preserve"> </w:t>
      </w:r>
      <w:r>
        <w:t>cost</w:t>
      </w:r>
      <w:r>
        <w:rPr>
          <w:spacing w:val="-7"/>
        </w:rPr>
        <w:t xml:space="preserve"> </w:t>
      </w:r>
      <w:r>
        <w:t>of</w:t>
      </w:r>
      <w:r>
        <w:rPr>
          <w:spacing w:val="-7"/>
        </w:rPr>
        <w:t xml:space="preserve"> </w:t>
      </w:r>
      <w:r>
        <w:t>implementing</w:t>
      </w:r>
      <w:r>
        <w:rPr>
          <w:spacing w:val="-7"/>
        </w:rPr>
        <w:t xml:space="preserve"> </w:t>
      </w:r>
      <w:r>
        <w:t>the</w:t>
      </w:r>
      <w:r>
        <w:rPr>
          <w:spacing w:val="-7"/>
        </w:rPr>
        <w:t xml:space="preserve"> </w:t>
      </w:r>
      <w:r>
        <w:t>recommendations</w:t>
      </w:r>
      <w:r>
        <w:rPr>
          <w:spacing w:val="-7"/>
        </w:rPr>
        <w:t xml:space="preserve"> </w:t>
      </w:r>
      <w:r>
        <w:t>is summarised</w:t>
      </w:r>
      <w:r>
        <w:rPr>
          <w:spacing w:val="-14"/>
        </w:rPr>
        <w:t xml:space="preserve"> </w:t>
      </w:r>
      <w:r>
        <w:t>in</w:t>
      </w:r>
      <w:r>
        <w:rPr>
          <w:spacing w:val="-14"/>
        </w:rPr>
        <w:t xml:space="preserve"> </w:t>
      </w:r>
      <w:r>
        <w:t>Table</w:t>
      </w:r>
      <w:r>
        <w:rPr>
          <w:spacing w:val="-14"/>
        </w:rPr>
        <w:t xml:space="preserve"> </w:t>
      </w:r>
      <w:r>
        <w:t>15.3.</w:t>
      </w:r>
      <w:r>
        <w:rPr>
          <w:spacing w:val="-14"/>
        </w:rPr>
        <w:t xml:space="preserve"> </w:t>
      </w:r>
      <w:r>
        <w:t>The</w:t>
      </w:r>
      <w:r>
        <w:rPr>
          <w:spacing w:val="-14"/>
        </w:rPr>
        <w:t xml:space="preserve"> </w:t>
      </w:r>
      <w:r>
        <w:t>cost</w:t>
      </w:r>
      <w:r>
        <w:rPr>
          <w:spacing w:val="-14"/>
        </w:rPr>
        <w:t xml:space="preserve"> </w:t>
      </w:r>
      <w:r>
        <w:t>of</w:t>
      </w:r>
      <w:r>
        <w:rPr>
          <w:spacing w:val="-14"/>
        </w:rPr>
        <w:t xml:space="preserve"> </w:t>
      </w:r>
      <w:r>
        <w:t>each</w:t>
      </w:r>
      <w:r>
        <w:rPr>
          <w:spacing w:val="-14"/>
        </w:rPr>
        <w:t xml:space="preserve"> </w:t>
      </w:r>
      <w:r>
        <w:t>project</w:t>
      </w:r>
      <w:r>
        <w:rPr>
          <w:spacing w:val="-14"/>
        </w:rPr>
        <w:t xml:space="preserve"> </w:t>
      </w:r>
      <w:r>
        <w:t>is analysed</w:t>
      </w:r>
      <w:r>
        <w:rPr>
          <w:spacing w:val="-10"/>
        </w:rPr>
        <w:t xml:space="preserve"> </w:t>
      </w:r>
      <w:r>
        <w:t>by</w:t>
      </w:r>
      <w:r>
        <w:rPr>
          <w:spacing w:val="-10"/>
        </w:rPr>
        <w:t xml:space="preserve"> </w:t>
      </w:r>
      <w:r>
        <w:t>funding</w:t>
      </w:r>
      <w:r>
        <w:rPr>
          <w:spacing w:val="-10"/>
        </w:rPr>
        <w:t xml:space="preserve"> </w:t>
      </w:r>
      <w:r>
        <w:t>source</w:t>
      </w:r>
      <w:r>
        <w:rPr>
          <w:spacing w:val="-10"/>
        </w:rPr>
        <w:t xml:space="preserve"> </w:t>
      </w:r>
      <w:r>
        <w:t>and</w:t>
      </w:r>
      <w:r>
        <w:rPr>
          <w:spacing w:val="-10"/>
        </w:rPr>
        <w:t xml:space="preserve"> </w:t>
      </w:r>
      <w:r>
        <w:t>by</w:t>
      </w:r>
      <w:r>
        <w:rPr>
          <w:spacing w:val="-10"/>
        </w:rPr>
        <w:t xml:space="preserve"> </w:t>
      </w:r>
      <w:r>
        <w:t>proposed</w:t>
      </w:r>
      <w:r>
        <w:rPr>
          <w:spacing w:val="-10"/>
        </w:rPr>
        <w:t xml:space="preserve"> </w:t>
      </w:r>
      <w:r>
        <w:t>delivery timetable.</w:t>
      </w:r>
      <w:r>
        <w:rPr>
          <w:spacing w:val="-8"/>
        </w:rPr>
        <w:t xml:space="preserve"> </w:t>
      </w:r>
      <w:r>
        <w:t>The</w:t>
      </w:r>
      <w:r>
        <w:rPr>
          <w:spacing w:val="-8"/>
        </w:rPr>
        <w:t xml:space="preserve"> </w:t>
      </w:r>
      <w:r>
        <w:t>costs</w:t>
      </w:r>
      <w:r>
        <w:rPr>
          <w:spacing w:val="-8"/>
        </w:rPr>
        <w:t xml:space="preserve"> </w:t>
      </w:r>
      <w:r>
        <w:t>are</w:t>
      </w:r>
      <w:r>
        <w:rPr>
          <w:spacing w:val="-8"/>
        </w:rPr>
        <w:t xml:space="preserve"> </w:t>
      </w:r>
      <w:r>
        <w:t>estimates</w:t>
      </w:r>
      <w:r>
        <w:rPr>
          <w:spacing w:val="-8"/>
        </w:rPr>
        <w:t xml:space="preserve"> </w:t>
      </w:r>
      <w:r>
        <w:t>and</w:t>
      </w:r>
      <w:r>
        <w:rPr>
          <w:spacing w:val="-8"/>
        </w:rPr>
        <w:t xml:space="preserve"> </w:t>
      </w:r>
      <w:r>
        <w:t xml:space="preserve">scoping </w:t>
      </w:r>
      <w:r>
        <w:rPr>
          <w:w w:val="95"/>
        </w:rPr>
        <w:t>developed</w:t>
      </w:r>
      <w:r>
        <w:rPr>
          <w:spacing w:val="-9"/>
          <w:w w:val="95"/>
        </w:rPr>
        <w:t xml:space="preserve"> </w:t>
      </w:r>
      <w:r>
        <w:rPr>
          <w:w w:val="95"/>
        </w:rPr>
        <w:t>by</w:t>
      </w:r>
      <w:r>
        <w:rPr>
          <w:spacing w:val="-9"/>
          <w:w w:val="95"/>
        </w:rPr>
        <w:t xml:space="preserve"> </w:t>
      </w:r>
      <w:r>
        <w:rPr>
          <w:w w:val="95"/>
        </w:rPr>
        <w:t>Infrastructure</w:t>
      </w:r>
      <w:r>
        <w:rPr>
          <w:spacing w:val="-9"/>
          <w:w w:val="95"/>
        </w:rPr>
        <w:t xml:space="preserve"> </w:t>
      </w:r>
      <w:r>
        <w:rPr>
          <w:w w:val="95"/>
        </w:rPr>
        <w:t>NSW</w:t>
      </w:r>
      <w:r>
        <w:rPr>
          <w:spacing w:val="-9"/>
          <w:w w:val="95"/>
        </w:rPr>
        <w:t xml:space="preserve"> </w:t>
      </w:r>
      <w:r>
        <w:rPr>
          <w:w w:val="95"/>
        </w:rPr>
        <w:t>and</w:t>
      </w:r>
      <w:r>
        <w:rPr>
          <w:spacing w:val="-9"/>
          <w:w w:val="95"/>
        </w:rPr>
        <w:t xml:space="preserve"> </w:t>
      </w:r>
      <w:r>
        <w:rPr>
          <w:w w:val="95"/>
        </w:rPr>
        <w:t>reviewed</w:t>
      </w:r>
      <w:r>
        <w:rPr>
          <w:spacing w:val="-9"/>
          <w:w w:val="95"/>
        </w:rPr>
        <w:t xml:space="preserve"> </w:t>
      </w:r>
      <w:r>
        <w:rPr>
          <w:w w:val="95"/>
        </w:rPr>
        <w:t>by</w:t>
      </w:r>
      <w:r>
        <w:rPr>
          <w:spacing w:val="-9"/>
          <w:w w:val="95"/>
        </w:rPr>
        <w:t xml:space="preserve"> </w:t>
      </w:r>
      <w:r>
        <w:rPr>
          <w:w w:val="95"/>
        </w:rPr>
        <w:t xml:space="preserve">Evans </w:t>
      </w:r>
      <w:r>
        <w:t>&amp;</w:t>
      </w:r>
      <w:r>
        <w:rPr>
          <w:spacing w:val="-11"/>
        </w:rPr>
        <w:t xml:space="preserve"> </w:t>
      </w:r>
      <w:r>
        <w:t>Peck.</w:t>
      </w:r>
    </w:p>
    <w:p w:rsidR="002C1123" w:rsidRDefault="00F22F94">
      <w:pPr>
        <w:pStyle w:val="BodyText"/>
        <w:spacing w:before="146" w:line="249" w:lineRule="auto"/>
        <w:ind w:left="492" w:right="10835"/>
      </w:pPr>
      <w:r>
        <w:rPr>
          <w:w w:val="95"/>
        </w:rPr>
        <w:t>Table</w:t>
      </w:r>
      <w:r>
        <w:rPr>
          <w:spacing w:val="-9"/>
          <w:w w:val="95"/>
        </w:rPr>
        <w:t xml:space="preserve"> </w:t>
      </w:r>
      <w:r>
        <w:rPr>
          <w:w w:val="95"/>
        </w:rPr>
        <w:t>15.3</w:t>
      </w:r>
      <w:r>
        <w:rPr>
          <w:spacing w:val="-9"/>
          <w:w w:val="95"/>
        </w:rPr>
        <w:t xml:space="preserve"> </w:t>
      </w:r>
      <w:r>
        <w:rPr>
          <w:w w:val="95"/>
        </w:rPr>
        <w:t>excludes</w:t>
      </w:r>
      <w:r>
        <w:rPr>
          <w:spacing w:val="-9"/>
          <w:w w:val="95"/>
        </w:rPr>
        <w:t xml:space="preserve"> </w:t>
      </w:r>
      <w:r>
        <w:rPr>
          <w:w w:val="95"/>
        </w:rPr>
        <w:t>projects</w:t>
      </w:r>
      <w:r>
        <w:rPr>
          <w:spacing w:val="-9"/>
          <w:w w:val="95"/>
        </w:rPr>
        <w:t xml:space="preserve"> </w:t>
      </w:r>
      <w:r>
        <w:rPr>
          <w:w w:val="95"/>
        </w:rPr>
        <w:t>which</w:t>
      </w:r>
      <w:r>
        <w:rPr>
          <w:spacing w:val="-9"/>
          <w:w w:val="95"/>
        </w:rPr>
        <w:t xml:space="preserve"> </w:t>
      </w:r>
      <w:r>
        <w:rPr>
          <w:w w:val="95"/>
        </w:rPr>
        <w:t>are</w:t>
      </w:r>
      <w:r>
        <w:rPr>
          <w:spacing w:val="-9"/>
          <w:w w:val="95"/>
        </w:rPr>
        <w:t xml:space="preserve"> </w:t>
      </w:r>
      <w:r>
        <w:rPr>
          <w:w w:val="95"/>
        </w:rPr>
        <w:t>already</w:t>
      </w:r>
      <w:r>
        <w:rPr>
          <w:spacing w:val="-9"/>
          <w:w w:val="95"/>
        </w:rPr>
        <w:t xml:space="preserve"> </w:t>
      </w:r>
      <w:r>
        <w:rPr>
          <w:w w:val="95"/>
        </w:rPr>
        <w:t xml:space="preserve">included </w:t>
      </w:r>
      <w:r>
        <w:t>in</w:t>
      </w:r>
      <w:r>
        <w:rPr>
          <w:spacing w:val="-10"/>
        </w:rPr>
        <w:t xml:space="preserve"> </w:t>
      </w:r>
      <w:r>
        <w:t>agency</w:t>
      </w:r>
      <w:r>
        <w:rPr>
          <w:spacing w:val="-10"/>
        </w:rPr>
        <w:t xml:space="preserve"> </w:t>
      </w:r>
      <w:r>
        <w:t>plans</w:t>
      </w:r>
      <w:r>
        <w:rPr>
          <w:spacing w:val="-11"/>
        </w:rPr>
        <w:t xml:space="preserve"> </w:t>
      </w:r>
      <w:r>
        <w:t>and</w:t>
      </w:r>
      <w:r>
        <w:rPr>
          <w:spacing w:val="-10"/>
        </w:rPr>
        <w:t xml:space="preserve"> </w:t>
      </w:r>
      <w:r>
        <w:t>capital</w:t>
      </w:r>
      <w:r>
        <w:rPr>
          <w:spacing w:val="-10"/>
        </w:rPr>
        <w:t xml:space="preserve"> </w:t>
      </w:r>
      <w:r>
        <w:t>forecasts,</w:t>
      </w:r>
      <w:r>
        <w:rPr>
          <w:spacing w:val="-11"/>
        </w:rPr>
        <w:t xml:space="preserve"> </w:t>
      </w:r>
      <w:r>
        <w:t>such</w:t>
      </w:r>
      <w:r>
        <w:rPr>
          <w:spacing w:val="-10"/>
        </w:rPr>
        <w:t xml:space="preserve"> </w:t>
      </w:r>
      <w:r>
        <w:t>as</w:t>
      </w:r>
      <w:r>
        <w:rPr>
          <w:spacing w:val="-10"/>
        </w:rPr>
        <w:t xml:space="preserve"> </w:t>
      </w:r>
      <w:r>
        <w:t>the North</w:t>
      </w:r>
      <w:r>
        <w:rPr>
          <w:spacing w:val="-14"/>
        </w:rPr>
        <w:t xml:space="preserve"> </w:t>
      </w:r>
      <w:r>
        <w:t>West</w:t>
      </w:r>
      <w:r>
        <w:rPr>
          <w:spacing w:val="-14"/>
        </w:rPr>
        <w:t xml:space="preserve"> </w:t>
      </w:r>
      <w:r>
        <w:t>Rail</w:t>
      </w:r>
      <w:r>
        <w:rPr>
          <w:spacing w:val="-14"/>
        </w:rPr>
        <w:t xml:space="preserve"> </w:t>
      </w:r>
      <w:r>
        <w:t>Link</w:t>
      </w:r>
      <w:r>
        <w:rPr>
          <w:spacing w:val="-14"/>
        </w:rPr>
        <w:t xml:space="preserve"> </w:t>
      </w:r>
      <w:r>
        <w:t>and</w:t>
      </w:r>
      <w:r>
        <w:rPr>
          <w:spacing w:val="-14"/>
        </w:rPr>
        <w:t xml:space="preserve"> </w:t>
      </w:r>
      <w:r>
        <w:t>Pacific</w:t>
      </w:r>
      <w:r>
        <w:rPr>
          <w:spacing w:val="-14"/>
        </w:rPr>
        <w:t xml:space="preserve"> </w:t>
      </w:r>
      <w:r>
        <w:t>Highway</w:t>
      </w:r>
      <w:r>
        <w:rPr>
          <w:spacing w:val="-14"/>
        </w:rPr>
        <w:t xml:space="preserve"> </w:t>
      </w:r>
      <w:r>
        <w:t>duplication.</w:t>
      </w:r>
    </w:p>
    <w:p w:rsidR="002C1123" w:rsidRDefault="00F22F94">
      <w:pPr>
        <w:pStyle w:val="BodyText"/>
        <w:spacing w:before="145" w:line="249" w:lineRule="auto"/>
        <w:ind w:left="492" w:right="10730"/>
      </w:pPr>
      <w:r>
        <w:t>It</w:t>
      </w:r>
      <w:r>
        <w:rPr>
          <w:spacing w:val="-9"/>
        </w:rPr>
        <w:t xml:space="preserve"> </w:t>
      </w:r>
      <w:r>
        <w:t>also</w:t>
      </w:r>
      <w:r>
        <w:rPr>
          <w:spacing w:val="-9"/>
        </w:rPr>
        <w:t xml:space="preserve"> </w:t>
      </w:r>
      <w:r>
        <w:t>excludes</w:t>
      </w:r>
      <w:r>
        <w:rPr>
          <w:spacing w:val="-9"/>
        </w:rPr>
        <w:t xml:space="preserve"> </w:t>
      </w:r>
      <w:r>
        <w:t>projects</w:t>
      </w:r>
      <w:r>
        <w:rPr>
          <w:spacing w:val="-9"/>
        </w:rPr>
        <w:t xml:space="preserve"> </w:t>
      </w:r>
      <w:r>
        <w:t>which</w:t>
      </w:r>
      <w:r>
        <w:rPr>
          <w:spacing w:val="-9"/>
        </w:rPr>
        <w:t xml:space="preserve"> </w:t>
      </w:r>
      <w:r>
        <w:t>are</w:t>
      </w:r>
      <w:r>
        <w:rPr>
          <w:spacing w:val="-9"/>
        </w:rPr>
        <w:t xml:space="preserve"> </w:t>
      </w:r>
      <w:r>
        <w:t>expected</w:t>
      </w:r>
      <w:r>
        <w:rPr>
          <w:spacing w:val="-9"/>
        </w:rPr>
        <w:t xml:space="preserve"> </w:t>
      </w:r>
      <w:r>
        <w:t>to</w:t>
      </w:r>
      <w:r>
        <w:rPr>
          <w:spacing w:val="-9"/>
        </w:rPr>
        <w:t xml:space="preserve"> </w:t>
      </w:r>
      <w:r>
        <w:t xml:space="preserve">be </w:t>
      </w:r>
      <w:r>
        <w:rPr>
          <w:w w:val="95"/>
        </w:rPr>
        <w:t>sponsored</w:t>
      </w:r>
      <w:r>
        <w:rPr>
          <w:spacing w:val="-6"/>
          <w:w w:val="95"/>
        </w:rPr>
        <w:t xml:space="preserve"> </w:t>
      </w:r>
      <w:r>
        <w:rPr>
          <w:w w:val="95"/>
        </w:rPr>
        <w:t>by</w:t>
      </w:r>
      <w:r>
        <w:rPr>
          <w:spacing w:val="-6"/>
          <w:w w:val="95"/>
        </w:rPr>
        <w:t xml:space="preserve"> </w:t>
      </w:r>
      <w:r>
        <w:rPr>
          <w:w w:val="95"/>
        </w:rPr>
        <w:t>the</w:t>
      </w:r>
      <w:r>
        <w:rPr>
          <w:spacing w:val="-6"/>
          <w:w w:val="95"/>
        </w:rPr>
        <w:t xml:space="preserve"> </w:t>
      </w:r>
      <w:r>
        <w:rPr>
          <w:w w:val="95"/>
        </w:rPr>
        <w:t>private</w:t>
      </w:r>
      <w:r>
        <w:rPr>
          <w:spacing w:val="-6"/>
          <w:w w:val="95"/>
        </w:rPr>
        <w:t xml:space="preserve"> </w:t>
      </w:r>
      <w:r>
        <w:rPr>
          <w:w w:val="95"/>
        </w:rPr>
        <w:t>sector,</w:t>
      </w:r>
      <w:r>
        <w:rPr>
          <w:spacing w:val="-6"/>
          <w:w w:val="95"/>
        </w:rPr>
        <w:t xml:space="preserve"> </w:t>
      </w:r>
      <w:r>
        <w:rPr>
          <w:w w:val="95"/>
        </w:rPr>
        <w:t>or</w:t>
      </w:r>
      <w:r>
        <w:rPr>
          <w:spacing w:val="-6"/>
          <w:w w:val="95"/>
        </w:rPr>
        <w:t xml:space="preserve"> </w:t>
      </w:r>
      <w:r>
        <w:rPr>
          <w:w w:val="95"/>
        </w:rPr>
        <w:t>fully</w:t>
      </w:r>
      <w:r>
        <w:rPr>
          <w:spacing w:val="-6"/>
          <w:w w:val="95"/>
        </w:rPr>
        <w:t xml:space="preserve"> </w:t>
      </w:r>
      <w:r>
        <w:rPr>
          <w:w w:val="95"/>
        </w:rPr>
        <w:t>funded</w:t>
      </w:r>
      <w:r>
        <w:rPr>
          <w:spacing w:val="-6"/>
          <w:w w:val="95"/>
        </w:rPr>
        <w:t xml:space="preserve"> </w:t>
      </w:r>
      <w:r>
        <w:rPr>
          <w:w w:val="95"/>
        </w:rPr>
        <w:t>by</w:t>
      </w:r>
      <w:r>
        <w:rPr>
          <w:spacing w:val="-6"/>
          <w:w w:val="95"/>
        </w:rPr>
        <w:t xml:space="preserve"> </w:t>
      </w:r>
      <w:r>
        <w:rPr>
          <w:w w:val="95"/>
        </w:rPr>
        <w:t xml:space="preserve">users, </w:t>
      </w:r>
      <w:r>
        <w:t>for example energy sector projects.</w:t>
      </w:r>
    </w:p>
    <w:p w:rsidR="002C1123" w:rsidRDefault="002C1123">
      <w:pPr>
        <w:spacing w:line="249" w:lineRule="auto"/>
        <w:sectPr w:rsidR="002C1123">
          <w:pgSz w:w="16840" w:h="11910" w:orient="landscape"/>
          <w:pgMar w:top="560" w:right="280" w:bottom="700" w:left="500" w:header="0" w:footer="517"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8"/>
        <w:rPr>
          <w:sz w:val="19"/>
        </w:rPr>
      </w:pPr>
    </w:p>
    <w:p w:rsidR="002C1123" w:rsidRDefault="00F22F94">
      <w:pPr>
        <w:spacing w:before="107"/>
        <w:ind w:left="492"/>
        <w:rPr>
          <w:b/>
          <w:sz w:val="18"/>
        </w:rPr>
      </w:pPr>
      <w:bookmarkStart w:id="385" w:name="_bookmark273"/>
      <w:bookmarkEnd w:id="385"/>
      <w:r>
        <w:rPr>
          <w:b/>
          <w:sz w:val="18"/>
        </w:rPr>
        <w:t>Table</w:t>
      </w:r>
      <w:r>
        <w:rPr>
          <w:b/>
          <w:spacing w:val="-19"/>
          <w:sz w:val="18"/>
        </w:rPr>
        <w:t xml:space="preserve"> </w:t>
      </w:r>
      <w:r>
        <w:rPr>
          <w:b/>
          <w:sz w:val="18"/>
        </w:rPr>
        <w:t>15.2</w:t>
      </w:r>
      <w:r>
        <w:rPr>
          <w:b/>
          <w:spacing w:val="40"/>
          <w:sz w:val="18"/>
        </w:rPr>
        <w:t xml:space="preserve"> </w:t>
      </w:r>
      <w:r>
        <w:rPr>
          <w:b/>
          <w:sz w:val="18"/>
        </w:rPr>
        <w:t>Summary</w:t>
      </w:r>
      <w:r>
        <w:rPr>
          <w:b/>
          <w:spacing w:val="-19"/>
          <w:sz w:val="18"/>
        </w:rPr>
        <w:t xml:space="preserve"> </w:t>
      </w:r>
      <w:r>
        <w:rPr>
          <w:b/>
          <w:sz w:val="18"/>
        </w:rPr>
        <w:t>of</w:t>
      </w:r>
      <w:r>
        <w:rPr>
          <w:b/>
          <w:spacing w:val="-20"/>
          <w:sz w:val="18"/>
        </w:rPr>
        <w:t xml:space="preserve"> </w:t>
      </w:r>
      <w:r>
        <w:rPr>
          <w:b/>
          <w:spacing w:val="-2"/>
          <w:sz w:val="18"/>
        </w:rPr>
        <w:t>Recommendations</w:t>
      </w:r>
    </w:p>
    <w:p w:rsidR="002C1123" w:rsidRDefault="00F22F94">
      <w:pPr>
        <w:tabs>
          <w:tab w:val="left" w:pos="7418"/>
          <w:tab w:val="left" w:pos="8155"/>
          <w:tab w:val="left" w:pos="9459"/>
        </w:tabs>
        <w:spacing w:before="115"/>
        <w:ind w:left="615"/>
        <w:rPr>
          <w:b/>
          <w:sz w:val="18"/>
        </w:rPr>
      </w:pPr>
      <w:r>
        <w:rPr>
          <w:b/>
          <w:color w:val="2E3092"/>
          <w:spacing w:val="-2"/>
          <w:sz w:val="18"/>
        </w:rPr>
        <w:t>Recommendations</w:t>
      </w:r>
      <w:r>
        <w:rPr>
          <w:b/>
          <w:color w:val="2E3092"/>
          <w:sz w:val="18"/>
        </w:rPr>
        <w:tab/>
      </w:r>
      <w:r>
        <w:rPr>
          <w:b/>
          <w:color w:val="2E3092"/>
          <w:spacing w:val="-2"/>
          <w:sz w:val="18"/>
        </w:rPr>
        <w:t>Years</w:t>
      </w:r>
      <w:r>
        <w:rPr>
          <w:b/>
          <w:color w:val="2E3092"/>
          <w:sz w:val="18"/>
        </w:rPr>
        <w:tab/>
      </w:r>
      <w:r>
        <w:rPr>
          <w:b/>
          <w:color w:val="2E3092"/>
          <w:spacing w:val="-4"/>
          <w:sz w:val="18"/>
        </w:rPr>
        <w:t>Type</w:t>
      </w:r>
      <w:r>
        <w:rPr>
          <w:b/>
          <w:color w:val="2E3092"/>
          <w:sz w:val="18"/>
        </w:rPr>
        <w:tab/>
      </w:r>
      <w:r>
        <w:rPr>
          <w:b/>
          <w:color w:val="2E3092"/>
          <w:spacing w:val="-2"/>
          <w:sz w:val="18"/>
        </w:rPr>
        <w:t>Cost</w:t>
      </w:r>
      <w:r>
        <w:rPr>
          <w:b/>
          <w:color w:val="2E3092"/>
          <w:spacing w:val="-4"/>
          <w:sz w:val="18"/>
        </w:rPr>
        <w:t xml:space="preserve"> </w:t>
      </w:r>
      <w:r>
        <w:rPr>
          <w:b/>
          <w:color w:val="2E3092"/>
          <w:spacing w:val="-2"/>
          <w:sz w:val="18"/>
        </w:rPr>
        <w:t>and</w:t>
      </w:r>
      <w:r>
        <w:rPr>
          <w:b/>
          <w:color w:val="2E3092"/>
          <w:spacing w:val="-3"/>
          <w:sz w:val="18"/>
        </w:rPr>
        <w:t xml:space="preserve"> </w:t>
      </w:r>
      <w:r>
        <w:rPr>
          <w:b/>
          <w:color w:val="2E3092"/>
          <w:spacing w:val="-2"/>
          <w:sz w:val="18"/>
        </w:rPr>
        <w:t>Funding</w:t>
      </w:r>
      <w:r>
        <w:rPr>
          <w:b/>
          <w:color w:val="2E3092"/>
          <w:spacing w:val="-4"/>
          <w:sz w:val="18"/>
        </w:rPr>
        <w:t xml:space="preserve"> </w:t>
      </w:r>
      <w:r>
        <w:rPr>
          <w:b/>
          <w:color w:val="2E3092"/>
          <w:spacing w:val="-2"/>
          <w:sz w:val="18"/>
        </w:rPr>
        <w:t>Implications</w:t>
      </w:r>
    </w:p>
    <w:p w:rsidR="002C1123" w:rsidRDefault="002C1123">
      <w:pPr>
        <w:pStyle w:val="BodyText"/>
        <w:spacing w:before="8"/>
        <w:rPr>
          <w:b/>
          <w:sz w:val="5"/>
        </w:rPr>
      </w:pPr>
    </w:p>
    <w:tbl>
      <w:tblPr>
        <w:tblW w:w="0" w:type="auto"/>
        <w:tblInd w:w="5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10"/>
        <w:gridCol w:w="6293"/>
        <w:gridCol w:w="737"/>
        <w:gridCol w:w="1304"/>
        <w:gridCol w:w="5990"/>
      </w:tblGrid>
      <w:tr w:rsidR="002C1123">
        <w:trPr>
          <w:trHeight w:val="345"/>
        </w:trPr>
        <w:tc>
          <w:tcPr>
            <w:tcW w:w="14834" w:type="dxa"/>
            <w:gridSpan w:val="5"/>
            <w:tcBorders>
              <w:left w:val="nil"/>
              <w:bottom w:val="nil"/>
            </w:tcBorders>
            <w:shd w:val="clear" w:color="auto" w:fill="C9C8C9"/>
          </w:tcPr>
          <w:p w:rsidR="002C1123" w:rsidRDefault="00F22F94">
            <w:pPr>
              <w:pStyle w:val="TableParagraph"/>
              <w:spacing w:before="63"/>
              <w:rPr>
                <w:b/>
                <w:sz w:val="18"/>
              </w:rPr>
            </w:pPr>
            <w:r>
              <w:rPr>
                <w:b/>
                <w:sz w:val="18"/>
              </w:rPr>
              <w:t>Section</w:t>
            </w:r>
            <w:r>
              <w:rPr>
                <w:b/>
                <w:spacing w:val="-17"/>
                <w:sz w:val="18"/>
              </w:rPr>
              <w:t xml:space="preserve"> </w:t>
            </w:r>
            <w:r>
              <w:rPr>
                <w:b/>
                <w:sz w:val="18"/>
              </w:rPr>
              <w:t>6</w:t>
            </w:r>
            <w:r>
              <w:rPr>
                <w:b/>
                <w:spacing w:val="20"/>
                <w:sz w:val="18"/>
              </w:rPr>
              <w:t xml:space="preserve"> </w:t>
            </w:r>
            <w:r>
              <w:rPr>
                <w:b/>
                <w:sz w:val="18"/>
              </w:rPr>
              <w:t>Urban</w:t>
            </w:r>
            <w:r>
              <w:rPr>
                <w:b/>
                <w:spacing w:val="-16"/>
                <w:sz w:val="18"/>
              </w:rPr>
              <w:t xml:space="preserve"> </w:t>
            </w:r>
            <w:r>
              <w:rPr>
                <w:b/>
                <w:spacing w:val="-4"/>
                <w:sz w:val="18"/>
              </w:rPr>
              <w:t>Roads</w:t>
            </w:r>
          </w:p>
        </w:tc>
      </w:tr>
      <w:tr w:rsidR="002C1123">
        <w:trPr>
          <w:trHeight w:val="511"/>
        </w:trPr>
        <w:tc>
          <w:tcPr>
            <w:tcW w:w="510" w:type="dxa"/>
            <w:tcBorders>
              <w:top w:val="nil"/>
            </w:tcBorders>
            <w:shd w:val="clear" w:color="auto" w:fill="EBEBEB"/>
          </w:tcPr>
          <w:p w:rsidR="002C1123" w:rsidRDefault="00F22F94">
            <w:pPr>
              <w:pStyle w:val="TableParagraph"/>
              <w:spacing w:before="77"/>
              <w:rPr>
                <w:sz w:val="16"/>
              </w:rPr>
            </w:pPr>
            <w:r>
              <w:rPr>
                <w:w w:val="99"/>
                <w:sz w:val="16"/>
              </w:rPr>
              <w:t>1</w:t>
            </w:r>
          </w:p>
        </w:tc>
        <w:tc>
          <w:tcPr>
            <w:tcW w:w="6293" w:type="dxa"/>
            <w:tcBorders>
              <w:top w:val="nil"/>
            </w:tcBorders>
            <w:shd w:val="clear" w:color="auto" w:fill="EBEBEB"/>
          </w:tcPr>
          <w:p w:rsidR="002C1123" w:rsidRDefault="00F22F94">
            <w:pPr>
              <w:pStyle w:val="TableParagraph"/>
              <w:spacing w:before="77"/>
              <w:rPr>
                <w:sz w:val="16"/>
              </w:rPr>
            </w:pPr>
            <w:r>
              <w:rPr>
                <w:sz w:val="16"/>
              </w:rPr>
              <w:t>WestConnex:</w:t>
            </w:r>
            <w:r>
              <w:rPr>
                <w:spacing w:val="3"/>
                <w:sz w:val="16"/>
              </w:rPr>
              <w:t xml:space="preserve"> </w:t>
            </w:r>
            <w:r>
              <w:rPr>
                <w:sz w:val="16"/>
              </w:rPr>
              <w:t>planning</w:t>
            </w:r>
            <w:r>
              <w:rPr>
                <w:spacing w:val="3"/>
                <w:sz w:val="16"/>
              </w:rPr>
              <w:t xml:space="preserve"> </w:t>
            </w:r>
            <w:r>
              <w:rPr>
                <w:sz w:val="16"/>
              </w:rPr>
              <w:t>and</w:t>
            </w:r>
            <w:r>
              <w:rPr>
                <w:spacing w:val="4"/>
                <w:sz w:val="16"/>
              </w:rPr>
              <w:t xml:space="preserve"> </w:t>
            </w:r>
            <w:r>
              <w:rPr>
                <w:sz w:val="16"/>
              </w:rPr>
              <w:t>delivery</w:t>
            </w:r>
            <w:r>
              <w:rPr>
                <w:spacing w:val="3"/>
                <w:sz w:val="16"/>
              </w:rPr>
              <w:t xml:space="preserve"> </w:t>
            </w:r>
            <w:r>
              <w:rPr>
                <w:sz w:val="16"/>
              </w:rPr>
              <w:t>of</w:t>
            </w:r>
            <w:r>
              <w:rPr>
                <w:spacing w:val="4"/>
                <w:sz w:val="16"/>
              </w:rPr>
              <w:t xml:space="preserve"> </w:t>
            </w:r>
            <w:r>
              <w:rPr>
                <w:sz w:val="16"/>
              </w:rPr>
              <w:t>initial</w:t>
            </w:r>
            <w:r>
              <w:rPr>
                <w:spacing w:val="3"/>
                <w:sz w:val="16"/>
              </w:rPr>
              <w:t xml:space="preserve"> </w:t>
            </w:r>
            <w:r>
              <w:rPr>
                <w:spacing w:val="-2"/>
                <w:sz w:val="16"/>
              </w:rPr>
              <w:t>phases</w:t>
            </w:r>
          </w:p>
        </w:tc>
        <w:tc>
          <w:tcPr>
            <w:tcW w:w="737" w:type="dxa"/>
            <w:tcBorders>
              <w:top w:val="nil"/>
            </w:tcBorders>
            <w:shd w:val="clear" w:color="auto" w:fill="EBEBEB"/>
          </w:tcPr>
          <w:p w:rsidR="002C1123" w:rsidRDefault="00F22F94">
            <w:pPr>
              <w:pStyle w:val="TableParagraph"/>
              <w:spacing w:before="77"/>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304" w:type="dxa"/>
            <w:tcBorders>
              <w:top w:val="nil"/>
            </w:tcBorders>
            <w:shd w:val="clear" w:color="auto" w:fill="EBEBEB"/>
          </w:tcPr>
          <w:p w:rsidR="002C1123" w:rsidRDefault="00F22F94">
            <w:pPr>
              <w:pStyle w:val="TableParagraph"/>
              <w:spacing w:before="77"/>
              <w:rPr>
                <w:sz w:val="16"/>
              </w:rPr>
            </w:pPr>
            <w:r>
              <w:rPr>
                <w:w w:val="95"/>
                <w:sz w:val="16"/>
              </w:rPr>
              <w:t>Major</w:t>
            </w:r>
            <w:r>
              <w:rPr>
                <w:spacing w:val="-2"/>
                <w:sz w:val="16"/>
              </w:rPr>
              <w:t xml:space="preserve"> </w:t>
            </w:r>
            <w:r>
              <w:rPr>
                <w:spacing w:val="-2"/>
                <w:w w:val="95"/>
                <w:sz w:val="16"/>
              </w:rPr>
              <w:t>project</w:t>
            </w:r>
          </w:p>
        </w:tc>
        <w:tc>
          <w:tcPr>
            <w:tcW w:w="5990" w:type="dxa"/>
            <w:tcBorders>
              <w:top w:val="nil"/>
            </w:tcBorders>
            <w:shd w:val="clear" w:color="auto" w:fill="EBEBEB"/>
          </w:tcPr>
          <w:p w:rsidR="002C1123" w:rsidRDefault="00F22F94">
            <w:pPr>
              <w:pStyle w:val="TableParagraph"/>
              <w:spacing w:before="80" w:line="235" w:lineRule="auto"/>
              <w:ind w:right="84"/>
              <w:rPr>
                <w:sz w:val="16"/>
              </w:rPr>
            </w:pPr>
            <w:r>
              <w:rPr>
                <w:w w:val="95"/>
                <w:sz w:val="16"/>
              </w:rPr>
              <w:t xml:space="preserve">Target estimate of $10 billion. Modelling indicates a government funding requirement </w:t>
            </w:r>
            <w:r>
              <w:rPr>
                <w:sz w:val="16"/>
              </w:rPr>
              <w:t>of $2.5 billion</w:t>
            </w:r>
          </w:p>
        </w:tc>
      </w:tr>
      <w:tr w:rsidR="002C1123">
        <w:trPr>
          <w:trHeight w:val="321"/>
        </w:trPr>
        <w:tc>
          <w:tcPr>
            <w:tcW w:w="510" w:type="dxa"/>
            <w:shd w:val="clear" w:color="auto" w:fill="EBEBEB"/>
          </w:tcPr>
          <w:p w:rsidR="002C1123" w:rsidRDefault="00F22F94">
            <w:pPr>
              <w:pStyle w:val="TableParagraph"/>
              <w:rPr>
                <w:sz w:val="16"/>
              </w:rPr>
            </w:pPr>
            <w:r>
              <w:rPr>
                <w:w w:val="97"/>
                <w:sz w:val="16"/>
              </w:rPr>
              <w:t>2</w:t>
            </w:r>
          </w:p>
        </w:tc>
        <w:tc>
          <w:tcPr>
            <w:tcW w:w="6293" w:type="dxa"/>
            <w:shd w:val="clear" w:color="auto" w:fill="EBEBEB"/>
          </w:tcPr>
          <w:p w:rsidR="002C1123" w:rsidRDefault="00F22F94">
            <w:pPr>
              <w:pStyle w:val="TableParagraph"/>
              <w:rPr>
                <w:sz w:val="16"/>
              </w:rPr>
            </w:pPr>
            <w:r>
              <w:rPr>
                <w:sz w:val="16"/>
              </w:rPr>
              <w:t>Pinch</w:t>
            </w:r>
            <w:r>
              <w:rPr>
                <w:spacing w:val="-3"/>
                <w:sz w:val="16"/>
              </w:rPr>
              <w:t xml:space="preserve"> </w:t>
            </w:r>
            <w:r>
              <w:rPr>
                <w:sz w:val="16"/>
              </w:rPr>
              <w:t>points</w:t>
            </w:r>
            <w:r>
              <w:rPr>
                <w:spacing w:val="-2"/>
                <w:sz w:val="16"/>
              </w:rPr>
              <w:t xml:space="preserve"> </w:t>
            </w:r>
            <w:r>
              <w:rPr>
                <w:sz w:val="16"/>
              </w:rPr>
              <w:t>program</w:t>
            </w:r>
            <w:r>
              <w:rPr>
                <w:spacing w:val="-3"/>
                <w:sz w:val="16"/>
              </w:rPr>
              <w:t xml:space="preserve"> </w:t>
            </w:r>
            <w:r>
              <w:rPr>
                <w:sz w:val="16"/>
              </w:rPr>
              <w:t>around</w:t>
            </w:r>
            <w:r>
              <w:rPr>
                <w:spacing w:val="-2"/>
                <w:sz w:val="16"/>
              </w:rPr>
              <w:t xml:space="preserve"> </w:t>
            </w:r>
            <w:r>
              <w:rPr>
                <w:sz w:val="16"/>
              </w:rPr>
              <w:t>Parramatta</w:t>
            </w:r>
            <w:r>
              <w:rPr>
                <w:spacing w:val="-2"/>
                <w:sz w:val="16"/>
              </w:rPr>
              <w:t xml:space="preserve"> </w:t>
            </w:r>
            <w:r>
              <w:rPr>
                <w:sz w:val="16"/>
              </w:rPr>
              <w:t>and</w:t>
            </w:r>
            <w:r>
              <w:rPr>
                <w:spacing w:val="-3"/>
                <w:sz w:val="16"/>
              </w:rPr>
              <w:t xml:space="preserve"> </w:t>
            </w:r>
            <w:r>
              <w:rPr>
                <w:sz w:val="16"/>
              </w:rPr>
              <w:t>other</w:t>
            </w:r>
            <w:r>
              <w:rPr>
                <w:spacing w:val="-2"/>
                <w:sz w:val="16"/>
              </w:rPr>
              <w:t xml:space="preserve"> </w:t>
            </w:r>
            <w:r>
              <w:rPr>
                <w:sz w:val="16"/>
              </w:rPr>
              <w:t>growing</w:t>
            </w:r>
            <w:r>
              <w:rPr>
                <w:spacing w:val="-2"/>
                <w:sz w:val="16"/>
              </w:rPr>
              <w:t xml:space="preserve"> centres</w:t>
            </w:r>
          </w:p>
        </w:tc>
        <w:tc>
          <w:tcPr>
            <w:tcW w:w="737" w:type="dxa"/>
            <w:shd w:val="clear" w:color="auto" w:fill="EBEBEB"/>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304" w:type="dxa"/>
            <w:shd w:val="clear" w:color="auto" w:fill="EBEBEB"/>
          </w:tcPr>
          <w:p w:rsidR="002C1123" w:rsidRDefault="00F22F94">
            <w:pPr>
              <w:pStyle w:val="TableParagraph"/>
              <w:rPr>
                <w:sz w:val="16"/>
              </w:rPr>
            </w:pPr>
            <w:r>
              <w:rPr>
                <w:spacing w:val="-2"/>
                <w:sz w:val="16"/>
              </w:rPr>
              <w:t>Program</w:t>
            </w:r>
          </w:p>
        </w:tc>
        <w:tc>
          <w:tcPr>
            <w:tcW w:w="5990" w:type="dxa"/>
            <w:shd w:val="clear" w:color="auto" w:fill="EBEBEB"/>
          </w:tcPr>
          <w:p w:rsidR="002C1123" w:rsidRDefault="00F22F94">
            <w:pPr>
              <w:pStyle w:val="TableParagraph"/>
              <w:rPr>
                <w:sz w:val="16"/>
              </w:rPr>
            </w:pPr>
            <w:r>
              <w:rPr>
                <w:sz w:val="16"/>
              </w:rPr>
              <w:t>Scoping</w:t>
            </w:r>
            <w:r>
              <w:rPr>
                <w:spacing w:val="-11"/>
                <w:sz w:val="16"/>
              </w:rPr>
              <w:t xml:space="preserve"> </w:t>
            </w:r>
            <w:r>
              <w:rPr>
                <w:sz w:val="16"/>
              </w:rPr>
              <w:t>of</w:t>
            </w:r>
            <w:r>
              <w:rPr>
                <w:spacing w:val="-10"/>
                <w:sz w:val="16"/>
              </w:rPr>
              <w:t xml:space="preserve"> </w:t>
            </w:r>
            <w:r>
              <w:rPr>
                <w:sz w:val="16"/>
              </w:rPr>
              <w:t>$300</w:t>
            </w:r>
            <w:r>
              <w:rPr>
                <w:spacing w:val="-10"/>
                <w:sz w:val="16"/>
              </w:rPr>
              <w:t xml:space="preserve"> </w:t>
            </w:r>
            <w:r>
              <w:rPr>
                <w:spacing w:val="-2"/>
                <w:sz w:val="16"/>
              </w:rPr>
              <w:t>million</w:t>
            </w:r>
          </w:p>
        </w:tc>
      </w:tr>
      <w:tr w:rsidR="002C1123">
        <w:trPr>
          <w:trHeight w:val="501"/>
        </w:trPr>
        <w:tc>
          <w:tcPr>
            <w:tcW w:w="510" w:type="dxa"/>
            <w:shd w:val="clear" w:color="auto" w:fill="EBEBEB"/>
          </w:tcPr>
          <w:p w:rsidR="002C1123" w:rsidRDefault="00F22F94">
            <w:pPr>
              <w:pStyle w:val="TableParagraph"/>
              <w:rPr>
                <w:sz w:val="16"/>
              </w:rPr>
            </w:pPr>
            <w:r>
              <w:rPr>
                <w:w w:val="99"/>
                <w:sz w:val="16"/>
              </w:rPr>
              <w:t>3</w:t>
            </w:r>
          </w:p>
        </w:tc>
        <w:tc>
          <w:tcPr>
            <w:tcW w:w="6293" w:type="dxa"/>
            <w:shd w:val="clear" w:color="auto" w:fill="EBEBEB"/>
          </w:tcPr>
          <w:p w:rsidR="002C1123" w:rsidRDefault="00F22F94">
            <w:pPr>
              <w:pStyle w:val="TableParagraph"/>
              <w:rPr>
                <w:sz w:val="16"/>
              </w:rPr>
            </w:pPr>
            <w:r>
              <w:rPr>
                <w:sz w:val="16"/>
              </w:rPr>
              <w:t>Identify</w:t>
            </w:r>
            <w:r>
              <w:rPr>
                <w:spacing w:val="3"/>
                <w:sz w:val="16"/>
              </w:rPr>
              <w:t xml:space="preserve"> </w:t>
            </w:r>
            <w:r>
              <w:rPr>
                <w:sz w:val="16"/>
              </w:rPr>
              <w:t>and</w:t>
            </w:r>
            <w:r>
              <w:rPr>
                <w:spacing w:val="4"/>
                <w:sz w:val="16"/>
              </w:rPr>
              <w:t xml:space="preserve"> </w:t>
            </w:r>
            <w:r>
              <w:rPr>
                <w:sz w:val="16"/>
              </w:rPr>
              <w:t>preserve</w:t>
            </w:r>
            <w:r>
              <w:rPr>
                <w:spacing w:val="4"/>
                <w:sz w:val="16"/>
              </w:rPr>
              <w:t xml:space="preserve"> </w:t>
            </w:r>
            <w:r>
              <w:rPr>
                <w:sz w:val="16"/>
              </w:rPr>
              <w:t>corridor</w:t>
            </w:r>
            <w:r>
              <w:rPr>
                <w:spacing w:val="3"/>
                <w:sz w:val="16"/>
              </w:rPr>
              <w:t xml:space="preserve"> </w:t>
            </w:r>
            <w:r>
              <w:rPr>
                <w:sz w:val="16"/>
              </w:rPr>
              <w:t>for</w:t>
            </w:r>
            <w:r>
              <w:rPr>
                <w:spacing w:val="4"/>
                <w:sz w:val="16"/>
              </w:rPr>
              <w:t xml:space="preserve"> </w:t>
            </w:r>
            <w:r>
              <w:rPr>
                <w:sz w:val="16"/>
              </w:rPr>
              <w:t>Outer</w:t>
            </w:r>
            <w:r>
              <w:rPr>
                <w:spacing w:val="4"/>
                <w:sz w:val="16"/>
              </w:rPr>
              <w:t xml:space="preserve"> </w:t>
            </w:r>
            <w:r>
              <w:rPr>
                <w:sz w:val="16"/>
              </w:rPr>
              <w:t>Western</w:t>
            </w:r>
            <w:r>
              <w:rPr>
                <w:spacing w:val="3"/>
                <w:sz w:val="16"/>
              </w:rPr>
              <w:t xml:space="preserve"> </w:t>
            </w:r>
            <w:r>
              <w:rPr>
                <w:sz w:val="16"/>
              </w:rPr>
              <w:t>Sydney</w:t>
            </w:r>
            <w:r>
              <w:rPr>
                <w:spacing w:val="4"/>
                <w:sz w:val="16"/>
              </w:rPr>
              <w:t xml:space="preserve"> </w:t>
            </w:r>
            <w:r>
              <w:rPr>
                <w:spacing w:val="-2"/>
                <w:sz w:val="16"/>
              </w:rPr>
              <w:t>Orbital</w:t>
            </w:r>
          </w:p>
        </w:tc>
        <w:tc>
          <w:tcPr>
            <w:tcW w:w="737" w:type="dxa"/>
            <w:shd w:val="clear" w:color="auto" w:fill="EBEBEB"/>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304" w:type="dxa"/>
            <w:shd w:val="clear" w:color="auto" w:fill="EBEBEB"/>
          </w:tcPr>
          <w:p w:rsidR="002C1123" w:rsidRDefault="00F22F94">
            <w:pPr>
              <w:pStyle w:val="TableParagraph"/>
              <w:rPr>
                <w:sz w:val="16"/>
              </w:rPr>
            </w:pPr>
            <w:r>
              <w:rPr>
                <w:spacing w:val="-2"/>
                <w:sz w:val="16"/>
              </w:rPr>
              <w:t>Corridor</w:t>
            </w:r>
          </w:p>
        </w:tc>
        <w:tc>
          <w:tcPr>
            <w:tcW w:w="5990" w:type="dxa"/>
            <w:shd w:val="clear" w:color="auto" w:fill="EBEBEB"/>
          </w:tcPr>
          <w:p w:rsidR="002C1123" w:rsidRDefault="00F22F94">
            <w:pPr>
              <w:pStyle w:val="TableParagraph"/>
              <w:spacing w:before="70" w:line="235" w:lineRule="auto"/>
              <w:ind w:right="206"/>
              <w:rPr>
                <w:sz w:val="16"/>
              </w:rPr>
            </w:pPr>
            <w:r>
              <w:rPr>
                <w:w w:val="95"/>
                <w:sz w:val="16"/>
              </w:rPr>
              <w:t xml:space="preserve">Cost of corridor preservation is not material. No assessment of land acquisition </w:t>
            </w:r>
            <w:r>
              <w:rPr>
                <w:sz w:val="16"/>
              </w:rPr>
              <w:t>costs has been made</w:t>
            </w:r>
          </w:p>
        </w:tc>
      </w:tr>
      <w:tr w:rsidR="002C1123">
        <w:trPr>
          <w:trHeight w:val="321"/>
        </w:trPr>
        <w:tc>
          <w:tcPr>
            <w:tcW w:w="510" w:type="dxa"/>
            <w:shd w:val="clear" w:color="auto" w:fill="EBEBEB"/>
          </w:tcPr>
          <w:p w:rsidR="002C1123" w:rsidRDefault="00F22F94">
            <w:pPr>
              <w:pStyle w:val="TableParagraph"/>
              <w:rPr>
                <w:sz w:val="16"/>
              </w:rPr>
            </w:pPr>
            <w:r>
              <w:rPr>
                <w:w w:val="99"/>
                <w:sz w:val="16"/>
              </w:rPr>
              <w:t>4</w:t>
            </w:r>
          </w:p>
        </w:tc>
        <w:tc>
          <w:tcPr>
            <w:tcW w:w="6293" w:type="dxa"/>
            <w:shd w:val="clear" w:color="auto" w:fill="EBEBEB"/>
          </w:tcPr>
          <w:p w:rsidR="002C1123" w:rsidRDefault="00F22F94">
            <w:pPr>
              <w:pStyle w:val="TableParagraph"/>
              <w:rPr>
                <w:sz w:val="16"/>
              </w:rPr>
            </w:pPr>
            <w:r>
              <w:rPr>
                <w:spacing w:val="-2"/>
                <w:w w:val="105"/>
                <w:sz w:val="16"/>
              </w:rPr>
              <w:t>Construct</w:t>
            </w:r>
            <w:r>
              <w:rPr>
                <w:spacing w:val="-3"/>
                <w:w w:val="105"/>
                <w:sz w:val="16"/>
              </w:rPr>
              <w:t xml:space="preserve"> </w:t>
            </w:r>
            <w:r>
              <w:rPr>
                <w:spacing w:val="-2"/>
                <w:w w:val="105"/>
                <w:sz w:val="16"/>
              </w:rPr>
              <w:t>F3-</w:t>
            </w:r>
            <w:r>
              <w:rPr>
                <w:spacing w:val="-5"/>
                <w:w w:val="105"/>
                <w:sz w:val="16"/>
              </w:rPr>
              <w:t>M2</w:t>
            </w:r>
          </w:p>
        </w:tc>
        <w:tc>
          <w:tcPr>
            <w:tcW w:w="737" w:type="dxa"/>
            <w:shd w:val="clear" w:color="auto" w:fill="EBEBEB"/>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304" w:type="dxa"/>
            <w:shd w:val="clear" w:color="auto" w:fill="EBEBEB"/>
          </w:tcPr>
          <w:p w:rsidR="002C1123" w:rsidRDefault="00F22F94">
            <w:pPr>
              <w:pStyle w:val="TableParagraph"/>
              <w:rPr>
                <w:sz w:val="16"/>
              </w:rPr>
            </w:pPr>
            <w:r>
              <w:rPr>
                <w:w w:val="95"/>
                <w:sz w:val="16"/>
              </w:rPr>
              <w:t>Major</w:t>
            </w:r>
            <w:r>
              <w:rPr>
                <w:spacing w:val="-2"/>
                <w:sz w:val="16"/>
              </w:rPr>
              <w:t xml:space="preserve"> </w:t>
            </w:r>
            <w:r>
              <w:rPr>
                <w:spacing w:val="-2"/>
                <w:w w:val="95"/>
                <w:sz w:val="16"/>
              </w:rPr>
              <w:t>project</w:t>
            </w:r>
          </w:p>
        </w:tc>
        <w:tc>
          <w:tcPr>
            <w:tcW w:w="5990" w:type="dxa"/>
            <w:shd w:val="clear" w:color="auto" w:fill="EBEBEB"/>
          </w:tcPr>
          <w:p w:rsidR="002C1123" w:rsidRDefault="00F22F94">
            <w:pPr>
              <w:pStyle w:val="TableParagraph"/>
              <w:rPr>
                <w:sz w:val="16"/>
              </w:rPr>
            </w:pPr>
            <w:r>
              <w:rPr>
                <w:w w:val="95"/>
                <w:sz w:val="16"/>
              </w:rPr>
              <w:t>Proposal</w:t>
            </w:r>
            <w:r>
              <w:rPr>
                <w:spacing w:val="1"/>
                <w:sz w:val="16"/>
              </w:rPr>
              <w:t xml:space="preserve"> </w:t>
            </w:r>
            <w:r>
              <w:rPr>
                <w:w w:val="95"/>
                <w:sz w:val="16"/>
              </w:rPr>
              <w:t>assumes</w:t>
            </w:r>
            <w:r>
              <w:rPr>
                <w:spacing w:val="1"/>
                <w:sz w:val="16"/>
              </w:rPr>
              <w:t xml:space="preserve"> </w:t>
            </w:r>
            <w:r>
              <w:rPr>
                <w:w w:val="95"/>
                <w:sz w:val="16"/>
              </w:rPr>
              <w:t>private</w:t>
            </w:r>
            <w:r>
              <w:rPr>
                <w:spacing w:val="1"/>
                <w:sz w:val="16"/>
              </w:rPr>
              <w:t xml:space="preserve"> </w:t>
            </w:r>
            <w:r>
              <w:rPr>
                <w:w w:val="95"/>
                <w:sz w:val="16"/>
              </w:rPr>
              <w:t>sector</w:t>
            </w:r>
            <w:r>
              <w:rPr>
                <w:spacing w:val="1"/>
                <w:sz w:val="16"/>
              </w:rPr>
              <w:t xml:space="preserve"> </w:t>
            </w:r>
            <w:r>
              <w:rPr>
                <w:w w:val="95"/>
                <w:sz w:val="16"/>
              </w:rPr>
              <w:t>solution</w:t>
            </w:r>
            <w:r>
              <w:rPr>
                <w:spacing w:val="2"/>
                <w:sz w:val="16"/>
              </w:rPr>
              <w:t xml:space="preserve"> </w:t>
            </w:r>
            <w:r>
              <w:rPr>
                <w:w w:val="95"/>
                <w:sz w:val="16"/>
              </w:rPr>
              <w:t>via</w:t>
            </w:r>
            <w:r>
              <w:rPr>
                <w:spacing w:val="1"/>
                <w:sz w:val="16"/>
              </w:rPr>
              <w:t xml:space="preserve"> </w:t>
            </w:r>
            <w:r>
              <w:rPr>
                <w:w w:val="95"/>
                <w:sz w:val="16"/>
              </w:rPr>
              <w:t>current</w:t>
            </w:r>
            <w:r>
              <w:rPr>
                <w:spacing w:val="1"/>
                <w:sz w:val="16"/>
              </w:rPr>
              <w:t xml:space="preserve"> </w:t>
            </w:r>
            <w:r>
              <w:rPr>
                <w:w w:val="95"/>
                <w:sz w:val="16"/>
              </w:rPr>
              <w:t>unsolicited</w:t>
            </w:r>
            <w:r>
              <w:rPr>
                <w:spacing w:val="1"/>
                <w:sz w:val="16"/>
              </w:rPr>
              <w:t xml:space="preserve"> </w:t>
            </w:r>
            <w:r>
              <w:rPr>
                <w:spacing w:val="-2"/>
                <w:w w:val="95"/>
                <w:sz w:val="16"/>
              </w:rPr>
              <w:t>proposal</w:t>
            </w:r>
          </w:p>
        </w:tc>
      </w:tr>
      <w:tr w:rsidR="002C1123">
        <w:trPr>
          <w:trHeight w:val="597"/>
        </w:trPr>
        <w:tc>
          <w:tcPr>
            <w:tcW w:w="510" w:type="dxa"/>
            <w:shd w:val="clear" w:color="auto" w:fill="E1E0E1"/>
          </w:tcPr>
          <w:p w:rsidR="002C1123" w:rsidRDefault="00F22F94">
            <w:pPr>
              <w:pStyle w:val="TableParagraph"/>
              <w:rPr>
                <w:sz w:val="16"/>
              </w:rPr>
            </w:pPr>
            <w:r>
              <w:rPr>
                <w:w w:val="99"/>
                <w:sz w:val="16"/>
              </w:rPr>
              <w:t>5</w:t>
            </w:r>
          </w:p>
        </w:tc>
        <w:tc>
          <w:tcPr>
            <w:tcW w:w="6293" w:type="dxa"/>
            <w:shd w:val="clear" w:color="auto" w:fill="E1E0E1"/>
          </w:tcPr>
          <w:p w:rsidR="002C1123" w:rsidRDefault="00F22F94">
            <w:pPr>
              <w:pStyle w:val="TableParagraph"/>
              <w:rPr>
                <w:sz w:val="16"/>
              </w:rPr>
            </w:pPr>
            <w:r>
              <w:rPr>
                <w:sz w:val="16"/>
              </w:rPr>
              <w:t>WestConnex</w:t>
            </w:r>
            <w:r>
              <w:rPr>
                <w:spacing w:val="7"/>
                <w:sz w:val="16"/>
              </w:rPr>
              <w:t xml:space="preserve"> </w:t>
            </w:r>
            <w:r>
              <w:rPr>
                <w:sz w:val="16"/>
              </w:rPr>
              <w:t>project</w:t>
            </w:r>
            <w:r>
              <w:rPr>
                <w:spacing w:val="6"/>
                <w:sz w:val="16"/>
              </w:rPr>
              <w:t xml:space="preserve"> </w:t>
            </w:r>
            <w:r>
              <w:rPr>
                <w:spacing w:val="-2"/>
                <w:sz w:val="16"/>
              </w:rPr>
              <w:t>completion</w:t>
            </w:r>
          </w:p>
          <w:p w:rsidR="002C1123" w:rsidRDefault="00F22F94">
            <w:pPr>
              <w:pStyle w:val="TableParagraph"/>
              <w:spacing w:before="93"/>
              <w:rPr>
                <w:sz w:val="16"/>
              </w:rPr>
            </w:pPr>
            <w:r>
              <w:rPr>
                <w:sz w:val="16"/>
              </w:rPr>
              <w:t>Includes:</w:t>
            </w:r>
            <w:r>
              <w:rPr>
                <w:spacing w:val="3"/>
                <w:sz w:val="16"/>
              </w:rPr>
              <w:t xml:space="preserve"> </w:t>
            </w:r>
            <w:r>
              <w:rPr>
                <w:sz w:val="16"/>
              </w:rPr>
              <w:t>Parramatta</w:t>
            </w:r>
            <w:r>
              <w:rPr>
                <w:spacing w:val="3"/>
                <w:sz w:val="16"/>
              </w:rPr>
              <w:t xml:space="preserve"> </w:t>
            </w:r>
            <w:r>
              <w:rPr>
                <w:sz w:val="16"/>
              </w:rPr>
              <w:t>Road</w:t>
            </w:r>
            <w:r>
              <w:rPr>
                <w:spacing w:val="3"/>
                <w:sz w:val="16"/>
              </w:rPr>
              <w:t xml:space="preserve"> </w:t>
            </w:r>
            <w:r>
              <w:rPr>
                <w:sz w:val="16"/>
              </w:rPr>
              <w:t>urban</w:t>
            </w:r>
            <w:r>
              <w:rPr>
                <w:spacing w:val="4"/>
                <w:sz w:val="16"/>
              </w:rPr>
              <w:t xml:space="preserve"> </w:t>
            </w:r>
            <w:r>
              <w:rPr>
                <w:spacing w:val="-2"/>
                <w:sz w:val="16"/>
              </w:rPr>
              <w:t>regeneration</w:t>
            </w:r>
          </w:p>
        </w:tc>
        <w:tc>
          <w:tcPr>
            <w:tcW w:w="737" w:type="dxa"/>
            <w:shd w:val="clear" w:color="auto" w:fill="E1E0E1"/>
          </w:tcPr>
          <w:p w:rsidR="002C1123" w:rsidRDefault="00F22F94">
            <w:pPr>
              <w:pStyle w:val="TableParagraph"/>
              <w:rPr>
                <w:sz w:val="16"/>
              </w:rPr>
            </w:pPr>
            <w:r>
              <w:rPr>
                <w:sz w:val="16"/>
              </w:rPr>
              <w:t>5</w:t>
            </w:r>
            <w:r>
              <w:rPr>
                <w:spacing w:val="-10"/>
                <w:sz w:val="16"/>
              </w:rPr>
              <w:t xml:space="preserve"> </w:t>
            </w:r>
            <w:r>
              <w:rPr>
                <w:sz w:val="16"/>
              </w:rPr>
              <w:t>–</w:t>
            </w:r>
            <w:r>
              <w:rPr>
                <w:spacing w:val="-9"/>
                <w:sz w:val="16"/>
              </w:rPr>
              <w:t xml:space="preserve"> </w:t>
            </w:r>
            <w:r>
              <w:rPr>
                <w:spacing w:val="-5"/>
                <w:sz w:val="16"/>
              </w:rPr>
              <w:t>10</w:t>
            </w:r>
          </w:p>
        </w:tc>
        <w:tc>
          <w:tcPr>
            <w:tcW w:w="1304" w:type="dxa"/>
            <w:shd w:val="clear" w:color="auto" w:fill="E1E0E1"/>
          </w:tcPr>
          <w:p w:rsidR="002C1123" w:rsidRDefault="00F22F94">
            <w:pPr>
              <w:pStyle w:val="TableParagraph"/>
              <w:rPr>
                <w:sz w:val="16"/>
              </w:rPr>
            </w:pPr>
            <w:r>
              <w:rPr>
                <w:w w:val="95"/>
                <w:sz w:val="16"/>
              </w:rPr>
              <w:t>Major</w:t>
            </w:r>
            <w:r>
              <w:rPr>
                <w:spacing w:val="-2"/>
                <w:sz w:val="16"/>
              </w:rPr>
              <w:t xml:space="preserve"> </w:t>
            </w:r>
            <w:r>
              <w:rPr>
                <w:spacing w:val="-2"/>
                <w:w w:val="95"/>
                <w:sz w:val="16"/>
              </w:rPr>
              <w:t>project</w:t>
            </w:r>
          </w:p>
        </w:tc>
        <w:tc>
          <w:tcPr>
            <w:tcW w:w="5990" w:type="dxa"/>
            <w:shd w:val="clear" w:color="auto" w:fill="E1E0E1"/>
          </w:tcPr>
          <w:p w:rsidR="002C1123" w:rsidRDefault="00F22F94">
            <w:pPr>
              <w:pStyle w:val="TableParagraph"/>
              <w:spacing w:before="70" w:line="235" w:lineRule="auto"/>
              <w:rPr>
                <w:sz w:val="16"/>
              </w:rPr>
            </w:pPr>
            <w:r>
              <w:rPr>
                <w:w w:val="95"/>
                <w:sz w:val="16"/>
              </w:rPr>
              <w:t xml:space="preserve">Target capital cost of WestConnex included above. Regeneration will be through </w:t>
            </w:r>
            <w:r>
              <w:rPr>
                <w:sz w:val="16"/>
              </w:rPr>
              <w:t>private</w:t>
            </w:r>
            <w:r>
              <w:rPr>
                <w:spacing w:val="-2"/>
                <w:sz w:val="16"/>
              </w:rPr>
              <w:t xml:space="preserve"> </w:t>
            </w:r>
            <w:r>
              <w:rPr>
                <w:sz w:val="16"/>
              </w:rPr>
              <w:t>investment</w:t>
            </w:r>
            <w:r>
              <w:rPr>
                <w:spacing w:val="-2"/>
                <w:sz w:val="16"/>
              </w:rPr>
              <w:t xml:space="preserve"> </w:t>
            </w:r>
            <w:r>
              <w:rPr>
                <w:sz w:val="16"/>
              </w:rPr>
              <w:t>–</w:t>
            </w:r>
            <w:r>
              <w:rPr>
                <w:spacing w:val="-2"/>
                <w:sz w:val="16"/>
              </w:rPr>
              <w:t xml:space="preserve"> </w:t>
            </w:r>
            <w:r>
              <w:rPr>
                <w:sz w:val="16"/>
              </w:rPr>
              <w:t>assume</w:t>
            </w:r>
            <w:r>
              <w:rPr>
                <w:spacing w:val="-2"/>
                <w:sz w:val="16"/>
              </w:rPr>
              <w:t xml:space="preserve"> </w:t>
            </w:r>
            <w:r>
              <w:rPr>
                <w:sz w:val="16"/>
              </w:rPr>
              <w:t>no</w:t>
            </w:r>
            <w:r>
              <w:rPr>
                <w:spacing w:val="-2"/>
                <w:sz w:val="16"/>
              </w:rPr>
              <w:t xml:space="preserve"> </w:t>
            </w:r>
            <w:r>
              <w:rPr>
                <w:sz w:val="16"/>
              </w:rPr>
              <w:t>net</w:t>
            </w:r>
            <w:r>
              <w:rPr>
                <w:spacing w:val="-2"/>
                <w:sz w:val="16"/>
              </w:rPr>
              <w:t xml:space="preserve"> </w:t>
            </w:r>
            <w:r>
              <w:rPr>
                <w:sz w:val="16"/>
              </w:rPr>
              <w:t>cost</w:t>
            </w:r>
            <w:r>
              <w:rPr>
                <w:spacing w:val="-2"/>
                <w:sz w:val="16"/>
              </w:rPr>
              <w:t xml:space="preserve"> </w:t>
            </w:r>
            <w:r>
              <w:rPr>
                <w:sz w:val="16"/>
              </w:rPr>
              <w:t>to</w:t>
            </w:r>
            <w:r>
              <w:rPr>
                <w:spacing w:val="-2"/>
                <w:sz w:val="16"/>
              </w:rPr>
              <w:t xml:space="preserve"> </w:t>
            </w:r>
            <w:r>
              <w:rPr>
                <w:sz w:val="16"/>
              </w:rPr>
              <w:t>Government</w:t>
            </w:r>
          </w:p>
        </w:tc>
      </w:tr>
      <w:tr w:rsidR="002C1123">
        <w:trPr>
          <w:trHeight w:val="321"/>
        </w:trPr>
        <w:tc>
          <w:tcPr>
            <w:tcW w:w="510" w:type="dxa"/>
            <w:shd w:val="clear" w:color="auto" w:fill="E1E0E1"/>
          </w:tcPr>
          <w:p w:rsidR="002C1123" w:rsidRDefault="00F22F94">
            <w:pPr>
              <w:pStyle w:val="TableParagraph"/>
              <w:rPr>
                <w:sz w:val="16"/>
              </w:rPr>
            </w:pPr>
            <w:r>
              <w:rPr>
                <w:w w:val="96"/>
                <w:sz w:val="16"/>
              </w:rPr>
              <w:t>6</w:t>
            </w:r>
          </w:p>
        </w:tc>
        <w:tc>
          <w:tcPr>
            <w:tcW w:w="6293" w:type="dxa"/>
            <w:shd w:val="clear" w:color="auto" w:fill="E1E0E1"/>
          </w:tcPr>
          <w:p w:rsidR="002C1123" w:rsidRDefault="00F22F94">
            <w:pPr>
              <w:pStyle w:val="TableParagraph"/>
              <w:rPr>
                <w:sz w:val="16"/>
              </w:rPr>
            </w:pPr>
            <w:r>
              <w:rPr>
                <w:sz w:val="16"/>
              </w:rPr>
              <w:t>Roll-out</w:t>
            </w:r>
            <w:r>
              <w:rPr>
                <w:spacing w:val="-10"/>
                <w:sz w:val="16"/>
              </w:rPr>
              <w:t xml:space="preserve"> </w:t>
            </w:r>
            <w:r>
              <w:rPr>
                <w:sz w:val="16"/>
              </w:rPr>
              <w:t>Managed</w:t>
            </w:r>
            <w:r>
              <w:rPr>
                <w:spacing w:val="-9"/>
                <w:sz w:val="16"/>
              </w:rPr>
              <w:t xml:space="preserve"> </w:t>
            </w:r>
            <w:r>
              <w:rPr>
                <w:sz w:val="16"/>
              </w:rPr>
              <w:t>Motorways</w:t>
            </w:r>
            <w:r>
              <w:rPr>
                <w:spacing w:val="-9"/>
                <w:sz w:val="16"/>
              </w:rPr>
              <w:t xml:space="preserve"> </w:t>
            </w:r>
            <w:r>
              <w:rPr>
                <w:sz w:val="16"/>
              </w:rPr>
              <w:t>program</w:t>
            </w:r>
            <w:r>
              <w:rPr>
                <w:spacing w:val="-9"/>
                <w:sz w:val="16"/>
              </w:rPr>
              <w:t xml:space="preserve"> </w:t>
            </w:r>
            <w:r>
              <w:rPr>
                <w:sz w:val="16"/>
              </w:rPr>
              <w:t>to</w:t>
            </w:r>
            <w:r>
              <w:rPr>
                <w:spacing w:val="-10"/>
                <w:sz w:val="16"/>
              </w:rPr>
              <w:t xml:space="preserve"> </w:t>
            </w:r>
            <w:r>
              <w:rPr>
                <w:sz w:val="16"/>
              </w:rPr>
              <w:t>increase</w:t>
            </w:r>
            <w:r>
              <w:rPr>
                <w:spacing w:val="-9"/>
                <w:sz w:val="16"/>
              </w:rPr>
              <w:t xml:space="preserve"> </w:t>
            </w:r>
            <w:r>
              <w:rPr>
                <w:sz w:val="16"/>
              </w:rPr>
              <w:t>effective</w:t>
            </w:r>
            <w:r>
              <w:rPr>
                <w:spacing w:val="-9"/>
                <w:sz w:val="16"/>
              </w:rPr>
              <w:t xml:space="preserve"> </w:t>
            </w:r>
            <w:r>
              <w:rPr>
                <w:spacing w:val="-2"/>
                <w:sz w:val="16"/>
              </w:rPr>
              <w:t>capacity</w:t>
            </w:r>
          </w:p>
        </w:tc>
        <w:tc>
          <w:tcPr>
            <w:tcW w:w="737" w:type="dxa"/>
            <w:shd w:val="clear" w:color="auto" w:fill="E1E0E1"/>
          </w:tcPr>
          <w:p w:rsidR="002C1123" w:rsidRDefault="00F22F94">
            <w:pPr>
              <w:pStyle w:val="TableParagraph"/>
              <w:rPr>
                <w:sz w:val="16"/>
              </w:rPr>
            </w:pPr>
            <w:r>
              <w:rPr>
                <w:sz w:val="16"/>
              </w:rPr>
              <w:t>5</w:t>
            </w:r>
            <w:r>
              <w:rPr>
                <w:spacing w:val="-10"/>
                <w:sz w:val="16"/>
              </w:rPr>
              <w:t xml:space="preserve"> </w:t>
            </w:r>
            <w:r>
              <w:rPr>
                <w:sz w:val="16"/>
              </w:rPr>
              <w:t>–</w:t>
            </w:r>
            <w:r>
              <w:rPr>
                <w:spacing w:val="-9"/>
                <w:sz w:val="16"/>
              </w:rPr>
              <w:t xml:space="preserve"> </w:t>
            </w:r>
            <w:r>
              <w:rPr>
                <w:spacing w:val="-5"/>
                <w:sz w:val="16"/>
              </w:rPr>
              <w:t>10</w:t>
            </w:r>
          </w:p>
        </w:tc>
        <w:tc>
          <w:tcPr>
            <w:tcW w:w="1304" w:type="dxa"/>
            <w:shd w:val="clear" w:color="auto" w:fill="E1E0E1"/>
          </w:tcPr>
          <w:p w:rsidR="002C1123" w:rsidRDefault="00F22F94">
            <w:pPr>
              <w:pStyle w:val="TableParagraph"/>
              <w:rPr>
                <w:sz w:val="16"/>
              </w:rPr>
            </w:pPr>
            <w:r>
              <w:rPr>
                <w:w w:val="95"/>
                <w:sz w:val="16"/>
              </w:rPr>
              <w:t>Asset</w:t>
            </w:r>
            <w:r>
              <w:rPr>
                <w:spacing w:val="-1"/>
                <w:sz w:val="16"/>
              </w:rPr>
              <w:t xml:space="preserve"> </w:t>
            </w:r>
            <w:r>
              <w:rPr>
                <w:spacing w:val="-2"/>
                <w:sz w:val="16"/>
              </w:rPr>
              <w:t>utilisation</w:t>
            </w:r>
          </w:p>
        </w:tc>
        <w:tc>
          <w:tcPr>
            <w:tcW w:w="5990" w:type="dxa"/>
            <w:shd w:val="clear" w:color="auto" w:fill="E1E0E1"/>
          </w:tcPr>
          <w:p w:rsidR="002C1123" w:rsidRDefault="00F22F94">
            <w:pPr>
              <w:pStyle w:val="TableParagraph"/>
              <w:rPr>
                <w:sz w:val="16"/>
              </w:rPr>
            </w:pPr>
            <w:r>
              <w:rPr>
                <w:sz w:val="16"/>
              </w:rPr>
              <w:t>Scoping</w:t>
            </w:r>
            <w:r>
              <w:rPr>
                <w:spacing w:val="-11"/>
                <w:sz w:val="16"/>
              </w:rPr>
              <w:t xml:space="preserve"> </w:t>
            </w:r>
            <w:r>
              <w:rPr>
                <w:sz w:val="16"/>
              </w:rPr>
              <w:t>of</w:t>
            </w:r>
            <w:r>
              <w:rPr>
                <w:spacing w:val="-10"/>
                <w:sz w:val="16"/>
              </w:rPr>
              <w:t xml:space="preserve"> </w:t>
            </w:r>
            <w:r>
              <w:rPr>
                <w:sz w:val="16"/>
              </w:rPr>
              <w:t>$300</w:t>
            </w:r>
            <w:r>
              <w:rPr>
                <w:spacing w:val="-10"/>
                <w:sz w:val="16"/>
              </w:rPr>
              <w:t xml:space="preserve"> </w:t>
            </w:r>
            <w:r>
              <w:rPr>
                <w:spacing w:val="-2"/>
                <w:sz w:val="16"/>
              </w:rPr>
              <w:t>million</w:t>
            </w:r>
          </w:p>
        </w:tc>
      </w:tr>
      <w:tr w:rsidR="002C1123">
        <w:trPr>
          <w:trHeight w:val="541"/>
        </w:trPr>
        <w:tc>
          <w:tcPr>
            <w:tcW w:w="510" w:type="dxa"/>
            <w:shd w:val="clear" w:color="auto" w:fill="EBEBEB"/>
          </w:tcPr>
          <w:p w:rsidR="002C1123" w:rsidRDefault="00F22F94">
            <w:pPr>
              <w:pStyle w:val="TableParagraph"/>
              <w:rPr>
                <w:sz w:val="16"/>
              </w:rPr>
            </w:pPr>
            <w:r>
              <w:rPr>
                <w:w w:val="99"/>
                <w:sz w:val="16"/>
              </w:rPr>
              <w:t>7</w:t>
            </w:r>
          </w:p>
        </w:tc>
        <w:tc>
          <w:tcPr>
            <w:tcW w:w="6293" w:type="dxa"/>
            <w:shd w:val="clear" w:color="auto" w:fill="EBEBEB"/>
          </w:tcPr>
          <w:p w:rsidR="002C1123" w:rsidRDefault="00F22F94">
            <w:pPr>
              <w:pStyle w:val="TableParagraph"/>
              <w:spacing w:line="288" w:lineRule="auto"/>
              <w:rPr>
                <w:sz w:val="16"/>
              </w:rPr>
            </w:pPr>
            <w:r>
              <w:rPr>
                <w:spacing w:val="-2"/>
                <w:w w:val="105"/>
                <w:sz w:val="16"/>
              </w:rPr>
              <w:t>Identify</w:t>
            </w:r>
            <w:r>
              <w:rPr>
                <w:spacing w:val="-3"/>
                <w:w w:val="105"/>
                <w:sz w:val="16"/>
              </w:rPr>
              <w:t xml:space="preserve"> </w:t>
            </w:r>
            <w:r>
              <w:rPr>
                <w:spacing w:val="-2"/>
                <w:w w:val="105"/>
                <w:sz w:val="16"/>
              </w:rPr>
              <w:t>and</w:t>
            </w:r>
            <w:r>
              <w:rPr>
                <w:spacing w:val="-3"/>
                <w:w w:val="105"/>
                <w:sz w:val="16"/>
              </w:rPr>
              <w:t xml:space="preserve"> </w:t>
            </w:r>
            <w:r>
              <w:rPr>
                <w:spacing w:val="-2"/>
                <w:w w:val="105"/>
                <w:sz w:val="16"/>
              </w:rPr>
              <w:t>preserve</w:t>
            </w:r>
            <w:r>
              <w:rPr>
                <w:spacing w:val="-3"/>
                <w:w w:val="105"/>
                <w:sz w:val="16"/>
              </w:rPr>
              <w:t xml:space="preserve"> </w:t>
            </w:r>
            <w:r>
              <w:rPr>
                <w:spacing w:val="-2"/>
                <w:w w:val="105"/>
                <w:sz w:val="16"/>
              </w:rPr>
              <w:t>corridor</w:t>
            </w:r>
            <w:r>
              <w:rPr>
                <w:spacing w:val="-3"/>
                <w:w w:val="105"/>
                <w:sz w:val="16"/>
              </w:rPr>
              <w:t xml:space="preserve"> </w:t>
            </w:r>
            <w:r>
              <w:rPr>
                <w:spacing w:val="-2"/>
                <w:w w:val="105"/>
                <w:sz w:val="16"/>
              </w:rPr>
              <w:t>for</w:t>
            </w:r>
            <w:r>
              <w:rPr>
                <w:spacing w:val="-3"/>
                <w:w w:val="105"/>
                <w:sz w:val="16"/>
              </w:rPr>
              <w:t xml:space="preserve"> </w:t>
            </w:r>
            <w:r>
              <w:rPr>
                <w:spacing w:val="-2"/>
                <w:w w:val="105"/>
                <w:sz w:val="16"/>
              </w:rPr>
              <w:t>new</w:t>
            </w:r>
            <w:r>
              <w:rPr>
                <w:spacing w:val="-3"/>
                <w:w w:val="105"/>
                <w:sz w:val="16"/>
              </w:rPr>
              <w:t xml:space="preserve"> </w:t>
            </w:r>
            <w:r>
              <w:rPr>
                <w:spacing w:val="-2"/>
                <w:w w:val="105"/>
                <w:sz w:val="16"/>
              </w:rPr>
              <w:t>sub-surface</w:t>
            </w:r>
            <w:r>
              <w:rPr>
                <w:spacing w:val="-3"/>
                <w:w w:val="105"/>
                <w:sz w:val="16"/>
              </w:rPr>
              <w:t xml:space="preserve"> </w:t>
            </w:r>
            <w:r>
              <w:rPr>
                <w:spacing w:val="-2"/>
                <w:w w:val="105"/>
                <w:sz w:val="16"/>
              </w:rPr>
              <w:t>motorway</w:t>
            </w:r>
            <w:r>
              <w:rPr>
                <w:spacing w:val="-3"/>
                <w:w w:val="105"/>
                <w:sz w:val="16"/>
              </w:rPr>
              <w:t xml:space="preserve"> </w:t>
            </w:r>
            <w:r>
              <w:rPr>
                <w:spacing w:val="-2"/>
                <w:w w:val="105"/>
                <w:sz w:val="16"/>
              </w:rPr>
              <w:t>links</w:t>
            </w:r>
            <w:r>
              <w:rPr>
                <w:spacing w:val="-3"/>
                <w:w w:val="105"/>
                <w:sz w:val="16"/>
              </w:rPr>
              <w:t xml:space="preserve"> </w:t>
            </w:r>
            <w:r>
              <w:rPr>
                <w:spacing w:val="-2"/>
                <w:w w:val="105"/>
                <w:sz w:val="16"/>
              </w:rPr>
              <w:t>west</w:t>
            </w:r>
            <w:r>
              <w:rPr>
                <w:spacing w:val="-3"/>
                <w:w w:val="105"/>
                <w:sz w:val="16"/>
              </w:rPr>
              <w:t xml:space="preserve"> </w:t>
            </w:r>
            <w:r>
              <w:rPr>
                <w:spacing w:val="-2"/>
                <w:w w:val="105"/>
                <w:sz w:val="16"/>
              </w:rPr>
              <w:t>of</w:t>
            </w:r>
            <w:r>
              <w:rPr>
                <w:spacing w:val="-3"/>
                <w:w w:val="105"/>
                <w:sz w:val="16"/>
              </w:rPr>
              <w:t xml:space="preserve"> </w:t>
            </w:r>
            <w:r>
              <w:rPr>
                <w:spacing w:val="-2"/>
                <w:w w:val="105"/>
                <w:sz w:val="16"/>
              </w:rPr>
              <w:t>the</w:t>
            </w:r>
            <w:r>
              <w:rPr>
                <w:spacing w:val="-3"/>
                <w:w w:val="105"/>
                <w:sz w:val="16"/>
              </w:rPr>
              <w:t xml:space="preserve"> </w:t>
            </w:r>
            <w:r>
              <w:rPr>
                <w:spacing w:val="-2"/>
                <w:w w:val="105"/>
                <w:sz w:val="16"/>
              </w:rPr>
              <w:t xml:space="preserve">CBD </w:t>
            </w:r>
            <w:r>
              <w:rPr>
                <w:w w:val="105"/>
                <w:sz w:val="16"/>
              </w:rPr>
              <w:t>(Airport – Gladesville – M2)</w:t>
            </w:r>
          </w:p>
        </w:tc>
        <w:tc>
          <w:tcPr>
            <w:tcW w:w="737" w:type="dxa"/>
            <w:shd w:val="clear" w:color="auto" w:fill="EBEBEB"/>
          </w:tcPr>
          <w:p w:rsidR="002C1123" w:rsidRDefault="00F22F94">
            <w:pPr>
              <w:pStyle w:val="TableParagraph"/>
              <w:rPr>
                <w:sz w:val="16"/>
              </w:rPr>
            </w:pPr>
            <w:r>
              <w:rPr>
                <w:w w:val="95"/>
                <w:sz w:val="16"/>
              </w:rPr>
              <w:t>10</w:t>
            </w:r>
            <w:r>
              <w:rPr>
                <w:spacing w:val="-6"/>
                <w:w w:val="95"/>
                <w:sz w:val="16"/>
              </w:rPr>
              <w:t xml:space="preserve"> </w:t>
            </w:r>
            <w:r>
              <w:rPr>
                <w:w w:val="95"/>
                <w:sz w:val="16"/>
              </w:rPr>
              <w:t>–</w:t>
            </w:r>
            <w:r>
              <w:rPr>
                <w:spacing w:val="-5"/>
                <w:w w:val="95"/>
                <w:sz w:val="16"/>
              </w:rPr>
              <w:t xml:space="preserve"> 20</w:t>
            </w:r>
          </w:p>
        </w:tc>
        <w:tc>
          <w:tcPr>
            <w:tcW w:w="1304" w:type="dxa"/>
            <w:shd w:val="clear" w:color="auto" w:fill="EBEBEB"/>
          </w:tcPr>
          <w:p w:rsidR="002C1123" w:rsidRDefault="00F22F94">
            <w:pPr>
              <w:pStyle w:val="TableParagraph"/>
              <w:rPr>
                <w:sz w:val="16"/>
              </w:rPr>
            </w:pPr>
            <w:r>
              <w:rPr>
                <w:spacing w:val="-2"/>
                <w:sz w:val="16"/>
              </w:rPr>
              <w:t>Corridor</w:t>
            </w:r>
          </w:p>
        </w:tc>
        <w:tc>
          <w:tcPr>
            <w:tcW w:w="5990" w:type="dxa"/>
            <w:shd w:val="clear" w:color="auto" w:fill="EBEBEB"/>
          </w:tcPr>
          <w:p w:rsidR="002C1123" w:rsidRDefault="00F22F94">
            <w:pPr>
              <w:pStyle w:val="TableParagraph"/>
              <w:spacing w:before="70" w:line="235" w:lineRule="auto"/>
              <w:ind w:right="206"/>
              <w:rPr>
                <w:sz w:val="16"/>
              </w:rPr>
            </w:pPr>
            <w:r>
              <w:rPr>
                <w:w w:val="95"/>
                <w:sz w:val="16"/>
              </w:rPr>
              <w:t xml:space="preserve">Cost of corridor preservation is not material. No assessment of land acquisition </w:t>
            </w:r>
            <w:r>
              <w:rPr>
                <w:sz w:val="16"/>
              </w:rPr>
              <w:t>costs has been made</w:t>
            </w:r>
          </w:p>
        </w:tc>
      </w:tr>
      <w:tr w:rsidR="002C1123">
        <w:trPr>
          <w:trHeight w:val="501"/>
        </w:trPr>
        <w:tc>
          <w:tcPr>
            <w:tcW w:w="510" w:type="dxa"/>
            <w:shd w:val="clear" w:color="auto" w:fill="EBEBEB"/>
          </w:tcPr>
          <w:p w:rsidR="002C1123" w:rsidRDefault="00F22F94">
            <w:pPr>
              <w:pStyle w:val="TableParagraph"/>
              <w:rPr>
                <w:sz w:val="16"/>
              </w:rPr>
            </w:pPr>
            <w:r>
              <w:rPr>
                <w:w w:val="99"/>
                <w:sz w:val="16"/>
              </w:rPr>
              <w:t>8</w:t>
            </w:r>
          </w:p>
        </w:tc>
        <w:tc>
          <w:tcPr>
            <w:tcW w:w="6293" w:type="dxa"/>
            <w:shd w:val="clear" w:color="auto" w:fill="EBEBEB"/>
          </w:tcPr>
          <w:p w:rsidR="002C1123" w:rsidRDefault="00F22F94">
            <w:pPr>
              <w:pStyle w:val="TableParagraph"/>
              <w:rPr>
                <w:sz w:val="16"/>
              </w:rPr>
            </w:pPr>
            <w:r>
              <w:rPr>
                <w:spacing w:val="-2"/>
                <w:w w:val="105"/>
                <w:sz w:val="16"/>
              </w:rPr>
              <w:t>Construct</w:t>
            </w:r>
            <w:r>
              <w:rPr>
                <w:spacing w:val="-8"/>
                <w:w w:val="105"/>
                <w:sz w:val="16"/>
              </w:rPr>
              <w:t xml:space="preserve"> </w:t>
            </w:r>
            <w:r>
              <w:rPr>
                <w:spacing w:val="-2"/>
                <w:w w:val="105"/>
                <w:sz w:val="16"/>
              </w:rPr>
              <w:t>F6</w:t>
            </w:r>
            <w:r>
              <w:rPr>
                <w:spacing w:val="-7"/>
                <w:w w:val="105"/>
                <w:sz w:val="16"/>
              </w:rPr>
              <w:t xml:space="preserve"> </w:t>
            </w:r>
            <w:r>
              <w:rPr>
                <w:spacing w:val="-2"/>
                <w:w w:val="105"/>
                <w:sz w:val="16"/>
              </w:rPr>
              <w:t>Extension</w:t>
            </w:r>
          </w:p>
        </w:tc>
        <w:tc>
          <w:tcPr>
            <w:tcW w:w="737" w:type="dxa"/>
            <w:shd w:val="clear" w:color="auto" w:fill="EBEBEB"/>
          </w:tcPr>
          <w:p w:rsidR="002C1123" w:rsidRDefault="00F22F94">
            <w:pPr>
              <w:pStyle w:val="TableParagraph"/>
              <w:rPr>
                <w:sz w:val="16"/>
              </w:rPr>
            </w:pPr>
            <w:r>
              <w:rPr>
                <w:w w:val="95"/>
                <w:sz w:val="16"/>
              </w:rPr>
              <w:t>10</w:t>
            </w:r>
            <w:r>
              <w:rPr>
                <w:spacing w:val="-6"/>
                <w:w w:val="95"/>
                <w:sz w:val="16"/>
              </w:rPr>
              <w:t xml:space="preserve"> </w:t>
            </w:r>
            <w:r>
              <w:rPr>
                <w:w w:val="95"/>
                <w:sz w:val="16"/>
              </w:rPr>
              <w:t>–</w:t>
            </w:r>
            <w:r>
              <w:rPr>
                <w:spacing w:val="-5"/>
                <w:w w:val="95"/>
                <w:sz w:val="16"/>
              </w:rPr>
              <w:t xml:space="preserve"> 20</w:t>
            </w:r>
          </w:p>
        </w:tc>
        <w:tc>
          <w:tcPr>
            <w:tcW w:w="1304" w:type="dxa"/>
            <w:shd w:val="clear" w:color="auto" w:fill="EBEBEB"/>
          </w:tcPr>
          <w:p w:rsidR="002C1123" w:rsidRDefault="00F22F94">
            <w:pPr>
              <w:pStyle w:val="TableParagraph"/>
              <w:rPr>
                <w:sz w:val="16"/>
              </w:rPr>
            </w:pPr>
            <w:r>
              <w:rPr>
                <w:w w:val="95"/>
                <w:sz w:val="16"/>
              </w:rPr>
              <w:t>Major</w:t>
            </w:r>
            <w:r>
              <w:rPr>
                <w:spacing w:val="-2"/>
                <w:sz w:val="16"/>
              </w:rPr>
              <w:t xml:space="preserve"> </w:t>
            </w:r>
            <w:r>
              <w:rPr>
                <w:spacing w:val="-2"/>
                <w:w w:val="95"/>
                <w:sz w:val="16"/>
              </w:rPr>
              <w:t>project</w:t>
            </w:r>
          </w:p>
        </w:tc>
        <w:tc>
          <w:tcPr>
            <w:tcW w:w="5990" w:type="dxa"/>
            <w:shd w:val="clear" w:color="auto" w:fill="EBEBEB"/>
          </w:tcPr>
          <w:p w:rsidR="002C1123" w:rsidRDefault="00F22F94">
            <w:pPr>
              <w:pStyle w:val="TableParagraph"/>
              <w:spacing w:before="70" w:line="235" w:lineRule="auto"/>
              <w:rPr>
                <w:sz w:val="16"/>
              </w:rPr>
            </w:pPr>
            <w:r>
              <w:rPr>
                <w:w w:val="95"/>
                <w:sz w:val="16"/>
              </w:rPr>
              <w:t xml:space="preserve">Scoping of $3 billion assumes use of existing F6 transit corridor and surface </w:t>
            </w:r>
            <w:r>
              <w:rPr>
                <w:sz w:val="16"/>
              </w:rPr>
              <w:t>construction. Assumption of two-thirds user funding</w:t>
            </w:r>
          </w:p>
        </w:tc>
      </w:tr>
      <w:tr w:rsidR="002C1123">
        <w:trPr>
          <w:trHeight w:val="345"/>
        </w:trPr>
        <w:tc>
          <w:tcPr>
            <w:tcW w:w="14834" w:type="dxa"/>
            <w:gridSpan w:val="5"/>
            <w:tcBorders>
              <w:left w:val="nil"/>
              <w:bottom w:val="nil"/>
            </w:tcBorders>
            <w:shd w:val="clear" w:color="auto" w:fill="C9C8C9"/>
          </w:tcPr>
          <w:p w:rsidR="002C1123" w:rsidRDefault="00F22F94">
            <w:pPr>
              <w:pStyle w:val="TableParagraph"/>
              <w:spacing w:before="63"/>
              <w:rPr>
                <w:b/>
                <w:sz w:val="18"/>
              </w:rPr>
            </w:pPr>
            <w:r>
              <w:rPr>
                <w:b/>
                <w:sz w:val="18"/>
              </w:rPr>
              <w:t>Section</w:t>
            </w:r>
            <w:r>
              <w:rPr>
                <w:b/>
                <w:spacing w:val="-19"/>
                <w:sz w:val="18"/>
              </w:rPr>
              <w:t xml:space="preserve"> </w:t>
            </w:r>
            <w:r>
              <w:rPr>
                <w:b/>
                <w:sz w:val="18"/>
              </w:rPr>
              <w:t>7</w:t>
            </w:r>
            <w:r>
              <w:rPr>
                <w:b/>
                <w:spacing w:val="8"/>
                <w:sz w:val="18"/>
              </w:rPr>
              <w:t xml:space="preserve"> </w:t>
            </w:r>
            <w:r>
              <w:rPr>
                <w:b/>
                <w:sz w:val="18"/>
              </w:rPr>
              <w:t>Bus</w:t>
            </w:r>
            <w:r>
              <w:rPr>
                <w:b/>
                <w:spacing w:val="-19"/>
                <w:sz w:val="18"/>
              </w:rPr>
              <w:t xml:space="preserve"> </w:t>
            </w:r>
            <w:r>
              <w:rPr>
                <w:b/>
                <w:sz w:val="18"/>
              </w:rPr>
              <w:t>and</w:t>
            </w:r>
            <w:r>
              <w:rPr>
                <w:b/>
                <w:spacing w:val="-19"/>
                <w:sz w:val="18"/>
              </w:rPr>
              <w:t xml:space="preserve"> </w:t>
            </w:r>
            <w:r>
              <w:rPr>
                <w:b/>
                <w:sz w:val="18"/>
              </w:rPr>
              <w:t>Light</w:t>
            </w:r>
            <w:r>
              <w:rPr>
                <w:b/>
                <w:spacing w:val="-19"/>
                <w:sz w:val="18"/>
              </w:rPr>
              <w:t xml:space="preserve"> </w:t>
            </w:r>
            <w:r>
              <w:rPr>
                <w:b/>
                <w:spacing w:val="-4"/>
                <w:sz w:val="18"/>
              </w:rPr>
              <w:t>Rail</w:t>
            </w:r>
          </w:p>
        </w:tc>
      </w:tr>
      <w:tr w:rsidR="002C1123">
        <w:trPr>
          <w:trHeight w:val="551"/>
        </w:trPr>
        <w:tc>
          <w:tcPr>
            <w:tcW w:w="510" w:type="dxa"/>
            <w:tcBorders>
              <w:top w:val="nil"/>
            </w:tcBorders>
            <w:shd w:val="clear" w:color="auto" w:fill="EBEBEB"/>
          </w:tcPr>
          <w:p w:rsidR="002C1123" w:rsidRDefault="00F22F94">
            <w:pPr>
              <w:pStyle w:val="TableParagraph"/>
              <w:spacing w:before="77"/>
              <w:rPr>
                <w:sz w:val="16"/>
              </w:rPr>
            </w:pPr>
            <w:r>
              <w:rPr>
                <w:w w:val="99"/>
                <w:sz w:val="16"/>
              </w:rPr>
              <w:t>9</w:t>
            </w:r>
          </w:p>
        </w:tc>
        <w:tc>
          <w:tcPr>
            <w:tcW w:w="6293" w:type="dxa"/>
            <w:tcBorders>
              <w:top w:val="nil"/>
            </w:tcBorders>
            <w:shd w:val="clear" w:color="auto" w:fill="EBEBEB"/>
          </w:tcPr>
          <w:p w:rsidR="002C1123" w:rsidRDefault="00F22F94">
            <w:pPr>
              <w:pStyle w:val="TableParagraph"/>
              <w:spacing w:before="77" w:line="288" w:lineRule="auto"/>
              <w:rPr>
                <w:sz w:val="16"/>
              </w:rPr>
            </w:pPr>
            <w:r>
              <w:rPr>
                <w:spacing w:val="-2"/>
                <w:w w:val="105"/>
                <w:sz w:val="16"/>
              </w:rPr>
              <w:t>Develop</w:t>
            </w:r>
            <w:r>
              <w:rPr>
                <w:spacing w:val="-8"/>
                <w:w w:val="105"/>
                <w:sz w:val="16"/>
              </w:rPr>
              <w:t xml:space="preserve"> </w:t>
            </w:r>
            <w:r>
              <w:rPr>
                <w:spacing w:val="-2"/>
                <w:w w:val="105"/>
                <w:sz w:val="16"/>
              </w:rPr>
              <w:t>and</w:t>
            </w:r>
            <w:r>
              <w:rPr>
                <w:spacing w:val="-8"/>
                <w:w w:val="105"/>
                <w:sz w:val="16"/>
              </w:rPr>
              <w:t xml:space="preserve"> </w:t>
            </w:r>
            <w:r>
              <w:rPr>
                <w:spacing w:val="-2"/>
                <w:w w:val="105"/>
                <w:sz w:val="16"/>
              </w:rPr>
              <w:t>construct</w:t>
            </w:r>
            <w:r>
              <w:rPr>
                <w:spacing w:val="-8"/>
                <w:w w:val="105"/>
                <w:sz w:val="16"/>
              </w:rPr>
              <w:t xml:space="preserve"> </w:t>
            </w:r>
            <w:r>
              <w:rPr>
                <w:spacing w:val="-2"/>
                <w:w w:val="105"/>
                <w:sz w:val="16"/>
              </w:rPr>
              <w:t>Anzac</w:t>
            </w:r>
            <w:r>
              <w:rPr>
                <w:spacing w:val="-8"/>
                <w:w w:val="105"/>
                <w:sz w:val="16"/>
              </w:rPr>
              <w:t xml:space="preserve"> </w:t>
            </w:r>
            <w:r>
              <w:rPr>
                <w:spacing w:val="-2"/>
                <w:w w:val="105"/>
                <w:sz w:val="16"/>
              </w:rPr>
              <w:t>Parade</w:t>
            </w:r>
            <w:r>
              <w:rPr>
                <w:spacing w:val="-8"/>
                <w:w w:val="105"/>
                <w:sz w:val="16"/>
              </w:rPr>
              <w:t xml:space="preserve"> </w:t>
            </w:r>
            <w:r>
              <w:rPr>
                <w:spacing w:val="-2"/>
                <w:w w:val="105"/>
                <w:sz w:val="16"/>
              </w:rPr>
              <w:t>Light</w:t>
            </w:r>
            <w:r>
              <w:rPr>
                <w:spacing w:val="-8"/>
                <w:w w:val="105"/>
                <w:sz w:val="16"/>
              </w:rPr>
              <w:t xml:space="preserve"> </w:t>
            </w:r>
            <w:r>
              <w:rPr>
                <w:spacing w:val="-2"/>
                <w:w w:val="105"/>
                <w:sz w:val="16"/>
              </w:rPr>
              <w:t>Rail</w:t>
            </w:r>
            <w:r>
              <w:rPr>
                <w:spacing w:val="-8"/>
                <w:w w:val="105"/>
                <w:sz w:val="16"/>
              </w:rPr>
              <w:t xml:space="preserve"> </w:t>
            </w:r>
            <w:r>
              <w:rPr>
                <w:spacing w:val="-2"/>
                <w:w w:val="105"/>
                <w:sz w:val="16"/>
              </w:rPr>
              <w:t>from</w:t>
            </w:r>
            <w:r>
              <w:rPr>
                <w:spacing w:val="-8"/>
                <w:w w:val="105"/>
                <w:sz w:val="16"/>
              </w:rPr>
              <w:t xml:space="preserve"> </w:t>
            </w:r>
            <w:r>
              <w:rPr>
                <w:spacing w:val="-2"/>
                <w:w w:val="105"/>
                <w:sz w:val="16"/>
              </w:rPr>
              <w:t>Central</w:t>
            </w:r>
            <w:r>
              <w:rPr>
                <w:spacing w:val="-8"/>
                <w:w w:val="105"/>
                <w:sz w:val="16"/>
              </w:rPr>
              <w:t xml:space="preserve"> </w:t>
            </w:r>
            <w:r>
              <w:rPr>
                <w:spacing w:val="-2"/>
                <w:w w:val="105"/>
                <w:sz w:val="16"/>
              </w:rPr>
              <w:t>to</w:t>
            </w:r>
            <w:r>
              <w:rPr>
                <w:spacing w:val="-8"/>
                <w:w w:val="105"/>
                <w:sz w:val="16"/>
              </w:rPr>
              <w:t xml:space="preserve"> </w:t>
            </w:r>
            <w:r>
              <w:rPr>
                <w:spacing w:val="-2"/>
                <w:w w:val="105"/>
                <w:sz w:val="16"/>
              </w:rPr>
              <w:t>Moore</w:t>
            </w:r>
            <w:r>
              <w:rPr>
                <w:spacing w:val="-8"/>
                <w:w w:val="105"/>
                <w:sz w:val="16"/>
              </w:rPr>
              <w:t xml:space="preserve"> </w:t>
            </w:r>
            <w:r>
              <w:rPr>
                <w:spacing w:val="-2"/>
                <w:w w:val="105"/>
                <w:sz w:val="16"/>
              </w:rPr>
              <w:t>Park</w:t>
            </w:r>
            <w:r>
              <w:rPr>
                <w:spacing w:val="-8"/>
                <w:w w:val="105"/>
                <w:sz w:val="16"/>
              </w:rPr>
              <w:t xml:space="preserve"> </w:t>
            </w:r>
            <w:r>
              <w:rPr>
                <w:spacing w:val="-2"/>
                <w:w w:val="105"/>
                <w:sz w:val="16"/>
              </w:rPr>
              <w:t xml:space="preserve">and </w:t>
            </w:r>
            <w:r>
              <w:rPr>
                <w:w w:val="105"/>
                <w:sz w:val="16"/>
              </w:rPr>
              <w:t>University of NSW</w:t>
            </w:r>
          </w:p>
        </w:tc>
        <w:tc>
          <w:tcPr>
            <w:tcW w:w="737" w:type="dxa"/>
            <w:tcBorders>
              <w:top w:val="nil"/>
            </w:tcBorders>
            <w:shd w:val="clear" w:color="auto" w:fill="EBEBEB"/>
          </w:tcPr>
          <w:p w:rsidR="002C1123" w:rsidRDefault="00F22F94">
            <w:pPr>
              <w:pStyle w:val="TableParagraph"/>
              <w:spacing w:before="77"/>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304" w:type="dxa"/>
            <w:tcBorders>
              <w:top w:val="nil"/>
            </w:tcBorders>
            <w:shd w:val="clear" w:color="auto" w:fill="EBEBEB"/>
          </w:tcPr>
          <w:p w:rsidR="002C1123" w:rsidRDefault="00F22F94">
            <w:pPr>
              <w:pStyle w:val="TableParagraph"/>
              <w:spacing w:before="77"/>
              <w:rPr>
                <w:sz w:val="16"/>
              </w:rPr>
            </w:pPr>
            <w:r>
              <w:rPr>
                <w:w w:val="95"/>
                <w:sz w:val="16"/>
              </w:rPr>
              <w:t>Major</w:t>
            </w:r>
            <w:r>
              <w:rPr>
                <w:spacing w:val="-2"/>
                <w:sz w:val="16"/>
              </w:rPr>
              <w:t xml:space="preserve"> </w:t>
            </w:r>
            <w:r>
              <w:rPr>
                <w:spacing w:val="-2"/>
                <w:w w:val="95"/>
                <w:sz w:val="16"/>
              </w:rPr>
              <w:t>project</w:t>
            </w:r>
          </w:p>
        </w:tc>
        <w:tc>
          <w:tcPr>
            <w:tcW w:w="5990" w:type="dxa"/>
            <w:tcBorders>
              <w:top w:val="nil"/>
            </w:tcBorders>
            <w:shd w:val="clear" w:color="auto" w:fill="EBEBEB"/>
          </w:tcPr>
          <w:p w:rsidR="002C1123" w:rsidRDefault="00F22F94">
            <w:pPr>
              <w:pStyle w:val="TableParagraph"/>
              <w:spacing w:before="80" w:line="235" w:lineRule="auto"/>
              <w:ind w:right="84"/>
              <w:rPr>
                <w:sz w:val="16"/>
              </w:rPr>
            </w:pPr>
            <w:r>
              <w:rPr>
                <w:w w:val="95"/>
                <w:sz w:val="16"/>
              </w:rPr>
              <w:t xml:space="preserve">Scoping of $500 million based on Gold Coast Light Rail. Assumes surface </w:t>
            </w:r>
            <w:r>
              <w:rPr>
                <w:sz w:val="16"/>
              </w:rPr>
              <w:t>construction and no user contribution to capital costs</w:t>
            </w:r>
          </w:p>
        </w:tc>
      </w:tr>
      <w:tr w:rsidR="002C1123">
        <w:trPr>
          <w:trHeight w:val="321"/>
        </w:trPr>
        <w:tc>
          <w:tcPr>
            <w:tcW w:w="510" w:type="dxa"/>
            <w:shd w:val="clear" w:color="auto" w:fill="EBEBEB"/>
          </w:tcPr>
          <w:p w:rsidR="002C1123" w:rsidRDefault="00F22F94">
            <w:pPr>
              <w:pStyle w:val="TableParagraph"/>
              <w:rPr>
                <w:sz w:val="16"/>
              </w:rPr>
            </w:pPr>
            <w:r>
              <w:rPr>
                <w:spacing w:val="-5"/>
                <w:sz w:val="16"/>
              </w:rPr>
              <w:t>10</w:t>
            </w:r>
          </w:p>
        </w:tc>
        <w:tc>
          <w:tcPr>
            <w:tcW w:w="6293" w:type="dxa"/>
            <w:shd w:val="clear" w:color="auto" w:fill="EBEBEB"/>
          </w:tcPr>
          <w:p w:rsidR="002C1123" w:rsidRDefault="00F22F94">
            <w:pPr>
              <w:pStyle w:val="TableParagraph"/>
              <w:rPr>
                <w:sz w:val="16"/>
              </w:rPr>
            </w:pPr>
            <w:r>
              <w:rPr>
                <w:spacing w:val="-2"/>
                <w:w w:val="105"/>
                <w:sz w:val="16"/>
              </w:rPr>
              <w:t>Reform</w:t>
            </w:r>
            <w:r>
              <w:rPr>
                <w:spacing w:val="-8"/>
                <w:w w:val="105"/>
                <w:sz w:val="16"/>
              </w:rPr>
              <w:t xml:space="preserve"> </w:t>
            </w:r>
            <w:r>
              <w:rPr>
                <w:spacing w:val="-2"/>
                <w:w w:val="105"/>
                <w:sz w:val="16"/>
              </w:rPr>
              <w:t>CBD</w:t>
            </w:r>
            <w:r>
              <w:rPr>
                <w:spacing w:val="-8"/>
                <w:w w:val="105"/>
                <w:sz w:val="16"/>
              </w:rPr>
              <w:t xml:space="preserve"> </w:t>
            </w:r>
            <w:r>
              <w:rPr>
                <w:spacing w:val="-2"/>
                <w:w w:val="105"/>
                <w:sz w:val="16"/>
              </w:rPr>
              <w:t>bus</w:t>
            </w:r>
            <w:r>
              <w:rPr>
                <w:spacing w:val="-8"/>
                <w:w w:val="105"/>
                <w:sz w:val="16"/>
              </w:rPr>
              <w:t xml:space="preserve"> </w:t>
            </w:r>
            <w:r>
              <w:rPr>
                <w:spacing w:val="-2"/>
                <w:w w:val="105"/>
                <w:sz w:val="16"/>
              </w:rPr>
              <w:t>routing</w:t>
            </w:r>
            <w:r>
              <w:rPr>
                <w:spacing w:val="-8"/>
                <w:w w:val="105"/>
                <w:sz w:val="16"/>
              </w:rPr>
              <w:t xml:space="preserve"> </w:t>
            </w:r>
            <w:r>
              <w:rPr>
                <w:spacing w:val="-2"/>
                <w:w w:val="105"/>
                <w:sz w:val="16"/>
              </w:rPr>
              <w:t>to</w:t>
            </w:r>
            <w:r>
              <w:rPr>
                <w:spacing w:val="-8"/>
                <w:w w:val="105"/>
                <w:sz w:val="16"/>
              </w:rPr>
              <w:t xml:space="preserve"> </w:t>
            </w:r>
            <w:r>
              <w:rPr>
                <w:spacing w:val="-2"/>
                <w:w w:val="105"/>
                <w:sz w:val="16"/>
              </w:rPr>
              <w:t>reduce</w:t>
            </w:r>
            <w:r>
              <w:rPr>
                <w:spacing w:val="-8"/>
                <w:w w:val="105"/>
                <w:sz w:val="16"/>
              </w:rPr>
              <w:t xml:space="preserve"> </w:t>
            </w:r>
            <w:r>
              <w:rPr>
                <w:spacing w:val="-2"/>
                <w:w w:val="105"/>
                <w:sz w:val="16"/>
              </w:rPr>
              <w:t>congestion</w:t>
            </w:r>
          </w:p>
        </w:tc>
        <w:tc>
          <w:tcPr>
            <w:tcW w:w="737" w:type="dxa"/>
            <w:shd w:val="clear" w:color="auto" w:fill="EBEBEB"/>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304" w:type="dxa"/>
            <w:shd w:val="clear" w:color="auto" w:fill="EBEBEB"/>
          </w:tcPr>
          <w:p w:rsidR="002C1123" w:rsidRDefault="00F22F94">
            <w:pPr>
              <w:pStyle w:val="TableParagraph"/>
              <w:rPr>
                <w:sz w:val="16"/>
              </w:rPr>
            </w:pPr>
            <w:r>
              <w:rPr>
                <w:w w:val="95"/>
                <w:sz w:val="16"/>
              </w:rPr>
              <w:t>Asset</w:t>
            </w:r>
            <w:r>
              <w:rPr>
                <w:spacing w:val="-1"/>
                <w:sz w:val="16"/>
              </w:rPr>
              <w:t xml:space="preserve"> </w:t>
            </w:r>
            <w:r>
              <w:rPr>
                <w:spacing w:val="-2"/>
                <w:sz w:val="16"/>
              </w:rPr>
              <w:t>utilisation</w:t>
            </w:r>
          </w:p>
        </w:tc>
        <w:tc>
          <w:tcPr>
            <w:tcW w:w="5990" w:type="dxa"/>
            <w:shd w:val="clear" w:color="auto" w:fill="EBEBEB"/>
          </w:tcPr>
          <w:p w:rsidR="002C1123" w:rsidRDefault="00F22F94">
            <w:pPr>
              <w:pStyle w:val="TableParagraph"/>
              <w:rPr>
                <w:sz w:val="16"/>
              </w:rPr>
            </w:pPr>
            <w:r>
              <w:rPr>
                <w:w w:val="95"/>
                <w:sz w:val="16"/>
              </w:rPr>
              <w:t>Operational</w:t>
            </w:r>
            <w:r>
              <w:rPr>
                <w:sz w:val="16"/>
              </w:rPr>
              <w:t xml:space="preserve"> </w:t>
            </w:r>
            <w:r>
              <w:rPr>
                <w:w w:val="95"/>
                <w:sz w:val="16"/>
              </w:rPr>
              <w:t>reform</w:t>
            </w:r>
            <w:r>
              <w:rPr>
                <w:sz w:val="16"/>
              </w:rPr>
              <w:t xml:space="preserve"> </w:t>
            </w:r>
            <w:r>
              <w:rPr>
                <w:w w:val="95"/>
                <w:sz w:val="16"/>
              </w:rPr>
              <w:t>–</w:t>
            </w:r>
            <w:r>
              <w:rPr>
                <w:sz w:val="16"/>
              </w:rPr>
              <w:t xml:space="preserve"> </w:t>
            </w:r>
            <w:r>
              <w:rPr>
                <w:w w:val="95"/>
                <w:sz w:val="16"/>
              </w:rPr>
              <w:t>no</w:t>
            </w:r>
            <w:r>
              <w:rPr>
                <w:spacing w:val="1"/>
                <w:sz w:val="16"/>
              </w:rPr>
              <w:t xml:space="preserve"> </w:t>
            </w:r>
            <w:r>
              <w:rPr>
                <w:w w:val="95"/>
                <w:sz w:val="16"/>
              </w:rPr>
              <w:t>capital</w:t>
            </w:r>
            <w:r>
              <w:rPr>
                <w:sz w:val="16"/>
              </w:rPr>
              <w:t xml:space="preserve"> </w:t>
            </w:r>
            <w:r>
              <w:rPr>
                <w:w w:val="95"/>
                <w:sz w:val="16"/>
              </w:rPr>
              <w:t>works</w:t>
            </w:r>
            <w:r>
              <w:rPr>
                <w:sz w:val="16"/>
              </w:rPr>
              <w:t xml:space="preserve"> </w:t>
            </w:r>
            <w:r>
              <w:rPr>
                <w:spacing w:val="-2"/>
                <w:w w:val="95"/>
                <w:sz w:val="16"/>
              </w:rPr>
              <w:t>proposed</w:t>
            </w:r>
          </w:p>
        </w:tc>
      </w:tr>
      <w:tr w:rsidR="002C1123">
        <w:trPr>
          <w:trHeight w:val="681"/>
        </w:trPr>
        <w:tc>
          <w:tcPr>
            <w:tcW w:w="510" w:type="dxa"/>
            <w:shd w:val="clear" w:color="auto" w:fill="E1E0E1"/>
          </w:tcPr>
          <w:p w:rsidR="002C1123" w:rsidRDefault="00F22F94">
            <w:pPr>
              <w:pStyle w:val="TableParagraph"/>
              <w:rPr>
                <w:sz w:val="16"/>
              </w:rPr>
            </w:pPr>
            <w:r>
              <w:rPr>
                <w:spacing w:val="-5"/>
                <w:sz w:val="16"/>
              </w:rPr>
              <w:t>11</w:t>
            </w:r>
          </w:p>
        </w:tc>
        <w:tc>
          <w:tcPr>
            <w:tcW w:w="6293" w:type="dxa"/>
            <w:shd w:val="clear" w:color="auto" w:fill="E1E0E1"/>
          </w:tcPr>
          <w:p w:rsidR="002C1123" w:rsidRDefault="00F22F94">
            <w:pPr>
              <w:pStyle w:val="TableParagraph"/>
              <w:rPr>
                <w:sz w:val="16"/>
              </w:rPr>
            </w:pPr>
            <w:r>
              <w:rPr>
                <w:sz w:val="16"/>
              </w:rPr>
              <w:t>CBD</w:t>
            </w:r>
            <w:r>
              <w:rPr>
                <w:spacing w:val="3"/>
                <w:sz w:val="16"/>
              </w:rPr>
              <w:t xml:space="preserve"> </w:t>
            </w:r>
            <w:r>
              <w:rPr>
                <w:sz w:val="16"/>
              </w:rPr>
              <w:t>Transit</w:t>
            </w:r>
            <w:r>
              <w:rPr>
                <w:spacing w:val="3"/>
                <w:sz w:val="16"/>
              </w:rPr>
              <w:t xml:space="preserve"> </w:t>
            </w:r>
            <w:r>
              <w:rPr>
                <w:sz w:val="16"/>
              </w:rPr>
              <w:t>Improvement</w:t>
            </w:r>
            <w:r>
              <w:rPr>
                <w:spacing w:val="4"/>
                <w:sz w:val="16"/>
              </w:rPr>
              <w:t xml:space="preserve"> </w:t>
            </w:r>
            <w:r>
              <w:rPr>
                <w:sz w:val="16"/>
              </w:rPr>
              <w:t>Plan:</w:t>
            </w:r>
            <w:r>
              <w:rPr>
                <w:spacing w:val="3"/>
                <w:sz w:val="16"/>
              </w:rPr>
              <w:t xml:space="preserve"> </w:t>
            </w:r>
            <w:r>
              <w:rPr>
                <w:sz w:val="16"/>
              </w:rPr>
              <w:t>Construct</w:t>
            </w:r>
            <w:r>
              <w:rPr>
                <w:spacing w:val="4"/>
                <w:sz w:val="16"/>
              </w:rPr>
              <w:t xml:space="preserve"> </w:t>
            </w:r>
            <w:r>
              <w:rPr>
                <w:sz w:val="16"/>
              </w:rPr>
              <w:t>underground</w:t>
            </w:r>
            <w:r>
              <w:rPr>
                <w:spacing w:val="3"/>
                <w:sz w:val="16"/>
              </w:rPr>
              <w:t xml:space="preserve"> </w:t>
            </w:r>
            <w:r>
              <w:rPr>
                <w:sz w:val="16"/>
              </w:rPr>
              <w:t>Bus</w:t>
            </w:r>
            <w:r>
              <w:rPr>
                <w:spacing w:val="4"/>
                <w:sz w:val="16"/>
              </w:rPr>
              <w:t xml:space="preserve"> </w:t>
            </w:r>
            <w:r>
              <w:rPr>
                <w:sz w:val="16"/>
              </w:rPr>
              <w:t>Rapid</w:t>
            </w:r>
            <w:r>
              <w:rPr>
                <w:spacing w:val="3"/>
                <w:sz w:val="16"/>
              </w:rPr>
              <w:t xml:space="preserve"> </w:t>
            </w:r>
            <w:r>
              <w:rPr>
                <w:spacing w:val="-2"/>
                <w:sz w:val="16"/>
              </w:rPr>
              <w:t>Transit</w:t>
            </w:r>
          </w:p>
        </w:tc>
        <w:tc>
          <w:tcPr>
            <w:tcW w:w="737" w:type="dxa"/>
            <w:shd w:val="clear" w:color="auto" w:fill="E1E0E1"/>
          </w:tcPr>
          <w:p w:rsidR="002C1123" w:rsidRDefault="00F22F94">
            <w:pPr>
              <w:pStyle w:val="TableParagraph"/>
              <w:rPr>
                <w:sz w:val="16"/>
              </w:rPr>
            </w:pPr>
            <w:r>
              <w:rPr>
                <w:sz w:val="16"/>
              </w:rPr>
              <w:t>5</w:t>
            </w:r>
            <w:r>
              <w:rPr>
                <w:spacing w:val="-10"/>
                <w:sz w:val="16"/>
              </w:rPr>
              <w:t xml:space="preserve"> </w:t>
            </w:r>
            <w:r>
              <w:rPr>
                <w:sz w:val="16"/>
              </w:rPr>
              <w:t>–</w:t>
            </w:r>
            <w:r>
              <w:rPr>
                <w:spacing w:val="-9"/>
                <w:sz w:val="16"/>
              </w:rPr>
              <w:t xml:space="preserve"> </w:t>
            </w:r>
            <w:r>
              <w:rPr>
                <w:spacing w:val="-5"/>
                <w:sz w:val="16"/>
              </w:rPr>
              <w:t>10</w:t>
            </w:r>
          </w:p>
        </w:tc>
        <w:tc>
          <w:tcPr>
            <w:tcW w:w="1304" w:type="dxa"/>
            <w:shd w:val="clear" w:color="auto" w:fill="E1E0E1"/>
          </w:tcPr>
          <w:p w:rsidR="002C1123" w:rsidRDefault="00F22F94">
            <w:pPr>
              <w:pStyle w:val="TableParagraph"/>
              <w:rPr>
                <w:sz w:val="16"/>
              </w:rPr>
            </w:pPr>
            <w:r>
              <w:rPr>
                <w:w w:val="95"/>
                <w:sz w:val="16"/>
              </w:rPr>
              <w:t>Major</w:t>
            </w:r>
            <w:r>
              <w:rPr>
                <w:spacing w:val="-2"/>
                <w:sz w:val="16"/>
              </w:rPr>
              <w:t xml:space="preserve"> </w:t>
            </w:r>
            <w:r>
              <w:rPr>
                <w:spacing w:val="-2"/>
                <w:w w:val="95"/>
                <w:sz w:val="16"/>
              </w:rPr>
              <w:t>project</w:t>
            </w:r>
          </w:p>
        </w:tc>
        <w:tc>
          <w:tcPr>
            <w:tcW w:w="5990" w:type="dxa"/>
            <w:shd w:val="clear" w:color="auto" w:fill="E1E0E1"/>
          </w:tcPr>
          <w:p w:rsidR="002C1123" w:rsidRDefault="00F22F94">
            <w:pPr>
              <w:pStyle w:val="TableParagraph"/>
              <w:spacing w:before="70" w:line="235" w:lineRule="auto"/>
              <w:ind w:right="539"/>
              <w:jc w:val="both"/>
              <w:rPr>
                <w:sz w:val="16"/>
              </w:rPr>
            </w:pPr>
            <w:r>
              <w:rPr>
                <w:w w:val="95"/>
                <w:sz w:val="16"/>
              </w:rPr>
              <w:t>Scoping</w:t>
            </w:r>
            <w:r>
              <w:rPr>
                <w:spacing w:val="-9"/>
                <w:w w:val="95"/>
                <w:sz w:val="16"/>
              </w:rPr>
              <w:t xml:space="preserve"> </w:t>
            </w:r>
            <w:r>
              <w:rPr>
                <w:w w:val="95"/>
                <w:sz w:val="16"/>
              </w:rPr>
              <w:t>of</w:t>
            </w:r>
            <w:r>
              <w:rPr>
                <w:spacing w:val="-9"/>
                <w:w w:val="95"/>
                <w:sz w:val="16"/>
              </w:rPr>
              <w:t xml:space="preserve"> </w:t>
            </w:r>
            <w:r>
              <w:rPr>
                <w:w w:val="95"/>
                <w:sz w:val="16"/>
              </w:rPr>
              <w:t>$2</w:t>
            </w:r>
            <w:r>
              <w:rPr>
                <w:spacing w:val="-9"/>
                <w:w w:val="95"/>
                <w:sz w:val="16"/>
              </w:rPr>
              <w:t xml:space="preserve"> </w:t>
            </w:r>
            <w:r>
              <w:rPr>
                <w:w w:val="95"/>
                <w:sz w:val="16"/>
              </w:rPr>
              <w:t>billion</w:t>
            </w:r>
            <w:r>
              <w:rPr>
                <w:spacing w:val="-9"/>
                <w:w w:val="95"/>
                <w:sz w:val="16"/>
              </w:rPr>
              <w:t xml:space="preserve"> </w:t>
            </w:r>
            <w:r>
              <w:rPr>
                <w:w w:val="95"/>
                <w:sz w:val="16"/>
              </w:rPr>
              <w:t>for</w:t>
            </w:r>
            <w:r>
              <w:rPr>
                <w:spacing w:val="-9"/>
                <w:w w:val="95"/>
                <w:sz w:val="16"/>
              </w:rPr>
              <w:t xml:space="preserve"> </w:t>
            </w:r>
            <w:r>
              <w:rPr>
                <w:w w:val="95"/>
                <w:sz w:val="16"/>
              </w:rPr>
              <w:t>a</w:t>
            </w:r>
            <w:r>
              <w:rPr>
                <w:spacing w:val="-9"/>
                <w:w w:val="95"/>
                <w:sz w:val="16"/>
              </w:rPr>
              <w:t xml:space="preserve"> </w:t>
            </w:r>
            <w:r>
              <w:rPr>
                <w:w w:val="95"/>
                <w:sz w:val="16"/>
              </w:rPr>
              <w:t>tunnel</w:t>
            </w:r>
            <w:r>
              <w:rPr>
                <w:spacing w:val="-9"/>
                <w:w w:val="95"/>
                <w:sz w:val="16"/>
              </w:rPr>
              <w:t xml:space="preserve"> </w:t>
            </w:r>
            <w:r>
              <w:rPr>
                <w:w w:val="95"/>
                <w:sz w:val="16"/>
              </w:rPr>
              <w:t>option</w:t>
            </w:r>
            <w:r>
              <w:rPr>
                <w:spacing w:val="-9"/>
                <w:w w:val="95"/>
                <w:sz w:val="16"/>
              </w:rPr>
              <w:t xml:space="preserve"> </w:t>
            </w:r>
            <w:r>
              <w:rPr>
                <w:w w:val="95"/>
                <w:sz w:val="16"/>
              </w:rPr>
              <w:t>from</w:t>
            </w:r>
            <w:r>
              <w:rPr>
                <w:spacing w:val="-9"/>
                <w:w w:val="95"/>
                <w:sz w:val="16"/>
              </w:rPr>
              <w:t xml:space="preserve"> </w:t>
            </w:r>
            <w:r>
              <w:rPr>
                <w:w w:val="95"/>
                <w:sz w:val="16"/>
              </w:rPr>
              <w:t>the</w:t>
            </w:r>
            <w:r>
              <w:rPr>
                <w:spacing w:val="-8"/>
                <w:w w:val="95"/>
                <w:sz w:val="16"/>
              </w:rPr>
              <w:t xml:space="preserve"> </w:t>
            </w:r>
            <w:r>
              <w:rPr>
                <w:w w:val="95"/>
                <w:sz w:val="16"/>
              </w:rPr>
              <w:t>Harbour</w:t>
            </w:r>
            <w:r>
              <w:rPr>
                <w:spacing w:val="-9"/>
                <w:w w:val="95"/>
                <w:sz w:val="16"/>
              </w:rPr>
              <w:t xml:space="preserve"> </w:t>
            </w:r>
            <w:r>
              <w:rPr>
                <w:w w:val="95"/>
                <w:sz w:val="16"/>
              </w:rPr>
              <w:t>Bridge</w:t>
            </w:r>
            <w:r>
              <w:rPr>
                <w:spacing w:val="-9"/>
                <w:w w:val="95"/>
                <w:sz w:val="16"/>
              </w:rPr>
              <w:t xml:space="preserve"> </w:t>
            </w:r>
            <w:r>
              <w:rPr>
                <w:w w:val="95"/>
                <w:sz w:val="16"/>
              </w:rPr>
              <w:t>to</w:t>
            </w:r>
            <w:r>
              <w:rPr>
                <w:spacing w:val="-9"/>
                <w:w w:val="95"/>
                <w:sz w:val="16"/>
              </w:rPr>
              <w:t xml:space="preserve"> </w:t>
            </w:r>
            <w:r>
              <w:rPr>
                <w:w w:val="95"/>
                <w:sz w:val="16"/>
              </w:rPr>
              <w:t>the</w:t>
            </w:r>
            <w:r>
              <w:rPr>
                <w:spacing w:val="-9"/>
                <w:w w:val="95"/>
                <w:sz w:val="16"/>
              </w:rPr>
              <w:t xml:space="preserve"> </w:t>
            </w:r>
            <w:r>
              <w:rPr>
                <w:w w:val="95"/>
                <w:sz w:val="16"/>
              </w:rPr>
              <w:t>Town</w:t>
            </w:r>
            <w:r>
              <w:rPr>
                <w:spacing w:val="-9"/>
                <w:w w:val="95"/>
                <w:sz w:val="16"/>
              </w:rPr>
              <w:t xml:space="preserve"> </w:t>
            </w:r>
            <w:r>
              <w:rPr>
                <w:w w:val="95"/>
                <w:sz w:val="16"/>
              </w:rPr>
              <w:t xml:space="preserve">Hall </w:t>
            </w:r>
            <w:r>
              <w:rPr>
                <w:w w:val="90"/>
                <w:sz w:val="16"/>
              </w:rPr>
              <w:t>area and development of Wynyard and Town Hall bus/rail interchanges. Potential</w:t>
            </w:r>
            <w:r>
              <w:rPr>
                <w:sz w:val="16"/>
              </w:rPr>
              <w:t xml:space="preserve"> opportunities</w:t>
            </w:r>
            <w:r>
              <w:rPr>
                <w:spacing w:val="-11"/>
                <w:sz w:val="16"/>
              </w:rPr>
              <w:t xml:space="preserve"> </w:t>
            </w:r>
            <w:r>
              <w:rPr>
                <w:sz w:val="16"/>
              </w:rPr>
              <w:t>for</w:t>
            </w:r>
            <w:r>
              <w:rPr>
                <w:spacing w:val="-11"/>
                <w:sz w:val="16"/>
              </w:rPr>
              <w:t xml:space="preserve"> </w:t>
            </w:r>
            <w:r>
              <w:rPr>
                <w:sz w:val="16"/>
              </w:rPr>
              <w:t>value</w:t>
            </w:r>
            <w:r>
              <w:rPr>
                <w:spacing w:val="-11"/>
                <w:sz w:val="16"/>
              </w:rPr>
              <w:t xml:space="preserve"> </w:t>
            </w:r>
            <w:r>
              <w:rPr>
                <w:sz w:val="16"/>
              </w:rPr>
              <w:t>capture</w:t>
            </w:r>
            <w:r>
              <w:rPr>
                <w:spacing w:val="-11"/>
                <w:sz w:val="16"/>
              </w:rPr>
              <w:t xml:space="preserve"> </w:t>
            </w:r>
            <w:r>
              <w:rPr>
                <w:sz w:val="16"/>
              </w:rPr>
              <w:t>exist</w:t>
            </w:r>
          </w:p>
        </w:tc>
      </w:tr>
      <w:tr w:rsidR="002C1123">
        <w:trPr>
          <w:trHeight w:val="321"/>
        </w:trPr>
        <w:tc>
          <w:tcPr>
            <w:tcW w:w="510" w:type="dxa"/>
            <w:shd w:val="clear" w:color="auto" w:fill="E1E0E1"/>
          </w:tcPr>
          <w:p w:rsidR="002C1123" w:rsidRDefault="00F22F94">
            <w:pPr>
              <w:pStyle w:val="TableParagraph"/>
              <w:rPr>
                <w:sz w:val="16"/>
              </w:rPr>
            </w:pPr>
            <w:r>
              <w:rPr>
                <w:spacing w:val="-5"/>
                <w:sz w:val="16"/>
              </w:rPr>
              <w:t>12</w:t>
            </w:r>
          </w:p>
        </w:tc>
        <w:tc>
          <w:tcPr>
            <w:tcW w:w="6293" w:type="dxa"/>
            <w:shd w:val="clear" w:color="auto" w:fill="E1E0E1"/>
          </w:tcPr>
          <w:p w:rsidR="002C1123" w:rsidRDefault="00F22F94">
            <w:pPr>
              <w:pStyle w:val="TableParagraph"/>
              <w:rPr>
                <w:sz w:val="16"/>
              </w:rPr>
            </w:pPr>
            <w:r>
              <w:rPr>
                <w:sz w:val="16"/>
              </w:rPr>
              <w:t>Pedestrianise</w:t>
            </w:r>
            <w:r>
              <w:rPr>
                <w:spacing w:val="3"/>
                <w:sz w:val="16"/>
              </w:rPr>
              <w:t xml:space="preserve"> </w:t>
            </w:r>
            <w:r>
              <w:rPr>
                <w:sz w:val="16"/>
              </w:rPr>
              <w:t>central</w:t>
            </w:r>
            <w:r>
              <w:rPr>
                <w:spacing w:val="4"/>
                <w:sz w:val="16"/>
              </w:rPr>
              <w:t xml:space="preserve"> </w:t>
            </w:r>
            <w:r>
              <w:rPr>
                <w:sz w:val="16"/>
              </w:rPr>
              <w:t>part</w:t>
            </w:r>
            <w:r>
              <w:rPr>
                <w:spacing w:val="4"/>
                <w:sz w:val="16"/>
              </w:rPr>
              <w:t xml:space="preserve"> </w:t>
            </w:r>
            <w:r>
              <w:rPr>
                <w:sz w:val="16"/>
              </w:rPr>
              <w:t>of</w:t>
            </w:r>
            <w:r>
              <w:rPr>
                <w:spacing w:val="4"/>
                <w:sz w:val="16"/>
              </w:rPr>
              <w:t xml:space="preserve"> </w:t>
            </w:r>
            <w:r>
              <w:rPr>
                <w:sz w:val="16"/>
              </w:rPr>
              <w:t>George</w:t>
            </w:r>
            <w:r>
              <w:rPr>
                <w:spacing w:val="4"/>
                <w:sz w:val="16"/>
              </w:rPr>
              <w:t xml:space="preserve"> </w:t>
            </w:r>
            <w:r>
              <w:rPr>
                <w:spacing w:val="-2"/>
                <w:sz w:val="16"/>
              </w:rPr>
              <w:t>Street</w:t>
            </w:r>
          </w:p>
        </w:tc>
        <w:tc>
          <w:tcPr>
            <w:tcW w:w="737" w:type="dxa"/>
            <w:shd w:val="clear" w:color="auto" w:fill="E1E0E1"/>
          </w:tcPr>
          <w:p w:rsidR="002C1123" w:rsidRDefault="00F22F94">
            <w:pPr>
              <w:pStyle w:val="TableParagraph"/>
              <w:rPr>
                <w:sz w:val="16"/>
              </w:rPr>
            </w:pPr>
            <w:r>
              <w:rPr>
                <w:sz w:val="16"/>
              </w:rPr>
              <w:t>5</w:t>
            </w:r>
            <w:r>
              <w:rPr>
                <w:spacing w:val="-10"/>
                <w:sz w:val="16"/>
              </w:rPr>
              <w:t xml:space="preserve"> </w:t>
            </w:r>
            <w:r>
              <w:rPr>
                <w:sz w:val="16"/>
              </w:rPr>
              <w:t>–</w:t>
            </w:r>
            <w:r>
              <w:rPr>
                <w:spacing w:val="-9"/>
                <w:sz w:val="16"/>
              </w:rPr>
              <w:t xml:space="preserve"> </w:t>
            </w:r>
            <w:r>
              <w:rPr>
                <w:spacing w:val="-5"/>
                <w:sz w:val="16"/>
              </w:rPr>
              <w:t>10</w:t>
            </w:r>
          </w:p>
        </w:tc>
        <w:tc>
          <w:tcPr>
            <w:tcW w:w="1304" w:type="dxa"/>
            <w:shd w:val="clear" w:color="auto" w:fill="E1E0E1"/>
          </w:tcPr>
          <w:p w:rsidR="002C1123" w:rsidRDefault="00F22F94">
            <w:pPr>
              <w:pStyle w:val="TableParagraph"/>
              <w:rPr>
                <w:sz w:val="16"/>
              </w:rPr>
            </w:pPr>
            <w:r>
              <w:rPr>
                <w:w w:val="95"/>
                <w:sz w:val="16"/>
              </w:rPr>
              <w:t>Major</w:t>
            </w:r>
            <w:r>
              <w:rPr>
                <w:spacing w:val="-2"/>
                <w:sz w:val="16"/>
              </w:rPr>
              <w:t xml:space="preserve"> </w:t>
            </w:r>
            <w:r>
              <w:rPr>
                <w:spacing w:val="-2"/>
                <w:w w:val="95"/>
                <w:sz w:val="16"/>
              </w:rPr>
              <w:t>project</w:t>
            </w:r>
          </w:p>
        </w:tc>
        <w:tc>
          <w:tcPr>
            <w:tcW w:w="5990" w:type="dxa"/>
            <w:shd w:val="clear" w:color="auto" w:fill="E1E0E1"/>
          </w:tcPr>
          <w:p w:rsidR="002C1123" w:rsidRDefault="00F22F94">
            <w:pPr>
              <w:pStyle w:val="TableParagraph"/>
              <w:rPr>
                <w:sz w:val="16"/>
              </w:rPr>
            </w:pPr>
            <w:r>
              <w:rPr>
                <w:w w:val="95"/>
                <w:sz w:val="16"/>
              </w:rPr>
              <w:t>Cost</w:t>
            </w:r>
            <w:r>
              <w:rPr>
                <w:spacing w:val="7"/>
                <w:sz w:val="16"/>
              </w:rPr>
              <w:t xml:space="preserve"> </w:t>
            </w:r>
            <w:r>
              <w:rPr>
                <w:w w:val="95"/>
                <w:sz w:val="16"/>
              </w:rPr>
              <w:t>included</w:t>
            </w:r>
            <w:r>
              <w:rPr>
                <w:spacing w:val="8"/>
                <w:sz w:val="16"/>
              </w:rPr>
              <w:t xml:space="preserve"> </w:t>
            </w:r>
            <w:r>
              <w:rPr>
                <w:w w:val="95"/>
                <w:sz w:val="16"/>
              </w:rPr>
              <w:t>in</w:t>
            </w:r>
            <w:r>
              <w:rPr>
                <w:spacing w:val="8"/>
                <w:sz w:val="16"/>
              </w:rPr>
              <w:t xml:space="preserve"> </w:t>
            </w:r>
            <w:r>
              <w:rPr>
                <w:w w:val="95"/>
                <w:sz w:val="16"/>
              </w:rPr>
              <w:t>Recommendation</w:t>
            </w:r>
            <w:r>
              <w:rPr>
                <w:spacing w:val="8"/>
                <w:sz w:val="16"/>
              </w:rPr>
              <w:t xml:space="preserve"> </w:t>
            </w:r>
            <w:r>
              <w:rPr>
                <w:spacing w:val="-5"/>
                <w:w w:val="95"/>
                <w:sz w:val="16"/>
              </w:rPr>
              <w:t>11</w:t>
            </w:r>
          </w:p>
        </w:tc>
      </w:tr>
      <w:tr w:rsidR="002C1123">
        <w:trPr>
          <w:trHeight w:val="321"/>
        </w:trPr>
        <w:tc>
          <w:tcPr>
            <w:tcW w:w="510" w:type="dxa"/>
            <w:shd w:val="clear" w:color="auto" w:fill="E1E0E1"/>
          </w:tcPr>
          <w:p w:rsidR="002C1123" w:rsidRDefault="00F22F94">
            <w:pPr>
              <w:pStyle w:val="TableParagraph"/>
              <w:rPr>
                <w:sz w:val="16"/>
              </w:rPr>
            </w:pPr>
            <w:r>
              <w:rPr>
                <w:spacing w:val="-5"/>
                <w:sz w:val="16"/>
              </w:rPr>
              <w:t>13</w:t>
            </w:r>
          </w:p>
        </w:tc>
        <w:tc>
          <w:tcPr>
            <w:tcW w:w="6293" w:type="dxa"/>
            <w:shd w:val="clear" w:color="auto" w:fill="E1E0E1"/>
          </w:tcPr>
          <w:p w:rsidR="002C1123" w:rsidRDefault="00F22F94">
            <w:pPr>
              <w:pStyle w:val="TableParagraph"/>
              <w:rPr>
                <w:sz w:val="16"/>
              </w:rPr>
            </w:pPr>
            <w:r>
              <w:rPr>
                <w:spacing w:val="-2"/>
                <w:w w:val="105"/>
                <w:sz w:val="16"/>
              </w:rPr>
              <w:t>Incremental</w:t>
            </w:r>
            <w:r>
              <w:rPr>
                <w:spacing w:val="-9"/>
                <w:w w:val="105"/>
                <w:sz w:val="16"/>
              </w:rPr>
              <w:t xml:space="preserve"> </w:t>
            </w:r>
            <w:r>
              <w:rPr>
                <w:spacing w:val="-2"/>
                <w:w w:val="105"/>
                <w:sz w:val="16"/>
              </w:rPr>
              <w:t>bus</w:t>
            </w:r>
            <w:r>
              <w:rPr>
                <w:spacing w:val="-9"/>
                <w:w w:val="105"/>
                <w:sz w:val="16"/>
              </w:rPr>
              <w:t xml:space="preserve"> </w:t>
            </w:r>
            <w:r>
              <w:rPr>
                <w:spacing w:val="-2"/>
                <w:w w:val="105"/>
                <w:sz w:val="16"/>
              </w:rPr>
              <w:t>priority</w:t>
            </w:r>
            <w:r>
              <w:rPr>
                <w:spacing w:val="-8"/>
                <w:w w:val="105"/>
                <w:sz w:val="16"/>
              </w:rPr>
              <w:t xml:space="preserve"> </w:t>
            </w:r>
            <w:r>
              <w:rPr>
                <w:spacing w:val="-2"/>
                <w:w w:val="105"/>
                <w:sz w:val="16"/>
              </w:rPr>
              <w:t>measures</w:t>
            </w:r>
            <w:r>
              <w:rPr>
                <w:spacing w:val="-9"/>
                <w:w w:val="105"/>
                <w:sz w:val="16"/>
              </w:rPr>
              <w:t xml:space="preserve"> </w:t>
            </w:r>
            <w:r>
              <w:rPr>
                <w:spacing w:val="-2"/>
                <w:w w:val="105"/>
                <w:sz w:val="16"/>
              </w:rPr>
              <w:t>for</w:t>
            </w:r>
            <w:r>
              <w:rPr>
                <w:spacing w:val="-8"/>
                <w:w w:val="105"/>
                <w:sz w:val="16"/>
              </w:rPr>
              <w:t xml:space="preserve"> </w:t>
            </w:r>
            <w:r>
              <w:rPr>
                <w:spacing w:val="-2"/>
                <w:w w:val="105"/>
                <w:sz w:val="16"/>
              </w:rPr>
              <w:t>Parramatta</w:t>
            </w:r>
            <w:r>
              <w:rPr>
                <w:spacing w:val="-9"/>
                <w:w w:val="105"/>
                <w:sz w:val="16"/>
              </w:rPr>
              <w:t xml:space="preserve"> </w:t>
            </w:r>
            <w:r>
              <w:rPr>
                <w:spacing w:val="-2"/>
                <w:w w:val="105"/>
                <w:sz w:val="16"/>
              </w:rPr>
              <w:t>and</w:t>
            </w:r>
            <w:r>
              <w:rPr>
                <w:spacing w:val="-8"/>
                <w:w w:val="105"/>
                <w:sz w:val="16"/>
              </w:rPr>
              <w:t xml:space="preserve"> </w:t>
            </w:r>
            <w:r>
              <w:rPr>
                <w:spacing w:val="-2"/>
                <w:w w:val="105"/>
                <w:sz w:val="16"/>
              </w:rPr>
              <w:t>strategic</w:t>
            </w:r>
            <w:r>
              <w:rPr>
                <w:spacing w:val="-9"/>
                <w:w w:val="105"/>
                <w:sz w:val="16"/>
              </w:rPr>
              <w:t xml:space="preserve"> </w:t>
            </w:r>
            <w:r>
              <w:rPr>
                <w:spacing w:val="-2"/>
                <w:w w:val="105"/>
                <w:sz w:val="16"/>
              </w:rPr>
              <w:t>corridors</w:t>
            </w:r>
          </w:p>
        </w:tc>
        <w:tc>
          <w:tcPr>
            <w:tcW w:w="737" w:type="dxa"/>
            <w:shd w:val="clear" w:color="auto" w:fill="E1E0E1"/>
          </w:tcPr>
          <w:p w:rsidR="002C1123" w:rsidRDefault="00F22F94">
            <w:pPr>
              <w:pStyle w:val="TableParagraph"/>
              <w:rPr>
                <w:sz w:val="16"/>
              </w:rPr>
            </w:pPr>
            <w:r>
              <w:rPr>
                <w:sz w:val="16"/>
              </w:rPr>
              <w:t>5</w:t>
            </w:r>
            <w:r>
              <w:rPr>
                <w:spacing w:val="-10"/>
                <w:sz w:val="16"/>
              </w:rPr>
              <w:t xml:space="preserve"> </w:t>
            </w:r>
            <w:r>
              <w:rPr>
                <w:sz w:val="16"/>
              </w:rPr>
              <w:t>–</w:t>
            </w:r>
            <w:r>
              <w:rPr>
                <w:spacing w:val="-9"/>
                <w:sz w:val="16"/>
              </w:rPr>
              <w:t xml:space="preserve"> </w:t>
            </w:r>
            <w:r>
              <w:rPr>
                <w:spacing w:val="-5"/>
                <w:sz w:val="16"/>
              </w:rPr>
              <w:t>10</w:t>
            </w:r>
          </w:p>
        </w:tc>
        <w:tc>
          <w:tcPr>
            <w:tcW w:w="1304" w:type="dxa"/>
            <w:shd w:val="clear" w:color="auto" w:fill="E1E0E1"/>
          </w:tcPr>
          <w:p w:rsidR="002C1123" w:rsidRDefault="00F22F94">
            <w:pPr>
              <w:pStyle w:val="TableParagraph"/>
              <w:rPr>
                <w:sz w:val="16"/>
              </w:rPr>
            </w:pPr>
            <w:r>
              <w:rPr>
                <w:spacing w:val="-2"/>
                <w:sz w:val="16"/>
              </w:rPr>
              <w:t>Program</w:t>
            </w:r>
          </w:p>
        </w:tc>
        <w:tc>
          <w:tcPr>
            <w:tcW w:w="5990" w:type="dxa"/>
            <w:shd w:val="clear" w:color="auto" w:fill="E1E0E1"/>
          </w:tcPr>
          <w:p w:rsidR="002C1123" w:rsidRDefault="00F22F94">
            <w:pPr>
              <w:pStyle w:val="TableParagraph"/>
              <w:rPr>
                <w:sz w:val="16"/>
              </w:rPr>
            </w:pPr>
            <w:r>
              <w:rPr>
                <w:w w:val="95"/>
                <w:sz w:val="16"/>
              </w:rPr>
              <w:t>Scoping</w:t>
            </w:r>
            <w:r>
              <w:rPr>
                <w:spacing w:val="6"/>
                <w:sz w:val="16"/>
              </w:rPr>
              <w:t xml:space="preserve"> </w:t>
            </w:r>
            <w:r>
              <w:rPr>
                <w:w w:val="95"/>
                <w:sz w:val="16"/>
              </w:rPr>
              <w:t>of</w:t>
            </w:r>
            <w:r>
              <w:rPr>
                <w:spacing w:val="6"/>
                <w:sz w:val="16"/>
              </w:rPr>
              <w:t xml:space="preserve"> </w:t>
            </w:r>
            <w:r>
              <w:rPr>
                <w:w w:val="95"/>
                <w:sz w:val="16"/>
              </w:rPr>
              <w:t>$200</w:t>
            </w:r>
            <w:r>
              <w:rPr>
                <w:spacing w:val="7"/>
                <w:sz w:val="16"/>
              </w:rPr>
              <w:t xml:space="preserve"> </w:t>
            </w:r>
            <w:r>
              <w:rPr>
                <w:spacing w:val="-2"/>
                <w:w w:val="95"/>
                <w:sz w:val="16"/>
              </w:rPr>
              <w:t>million</w:t>
            </w:r>
          </w:p>
        </w:tc>
      </w:tr>
      <w:tr w:rsidR="002C1123">
        <w:trPr>
          <w:trHeight w:val="541"/>
        </w:trPr>
        <w:tc>
          <w:tcPr>
            <w:tcW w:w="510" w:type="dxa"/>
            <w:shd w:val="clear" w:color="auto" w:fill="E1E0E1"/>
          </w:tcPr>
          <w:p w:rsidR="002C1123" w:rsidRDefault="00F22F94">
            <w:pPr>
              <w:pStyle w:val="TableParagraph"/>
              <w:rPr>
                <w:sz w:val="16"/>
              </w:rPr>
            </w:pPr>
            <w:r>
              <w:rPr>
                <w:spacing w:val="-5"/>
                <w:sz w:val="16"/>
              </w:rPr>
              <w:t>14</w:t>
            </w:r>
          </w:p>
        </w:tc>
        <w:tc>
          <w:tcPr>
            <w:tcW w:w="6293" w:type="dxa"/>
            <w:shd w:val="clear" w:color="auto" w:fill="E1E0E1"/>
          </w:tcPr>
          <w:p w:rsidR="002C1123" w:rsidRDefault="00F22F94">
            <w:pPr>
              <w:pStyle w:val="TableParagraph"/>
              <w:spacing w:line="288" w:lineRule="auto"/>
              <w:rPr>
                <w:sz w:val="16"/>
              </w:rPr>
            </w:pPr>
            <w:r>
              <w:rPr>
                <w:spacing w:val="-2"/>
                <w:w w:val="105"/>
                <w:sz w:val="16"/>
              </w:rPr>
              <w:t>Northern</w:t>
            </w:r>
            <w:r>
              <w:rPr>
                <w:spacing w:val="-3"/>
                <w:w w:val="105"/>
                <w:sz w:val="16"/>
              </w:rPr>
              <w:t xml:space="preserve"> </w:t>
            </w:r>
            <w:r>
              <w:rPr>
                <w:spacing w:val="-2"/>
                <w:w w:val="105"/>
                <w:sz w:val="16"/>
              </w:rPr>
              <w:t>Beaches</w:t>
            </w:r>
            <w:r>
              <w:rPr>
                <w:spacing w:val="-3"/>
                <w:w w:val="105"/>
                <w:sz w:val="16"/>
              </w:rPr>
              <w:t xml:space="preserve"> </w:t>
            </w:r>
            <w:r>
              <w:rPr>
                <w:spacing w:val="-2"/>
                <w:w w:val="105"/>
                <w:sz w:val="16"/>
              </w:rPr>
              <w:t>bus</w:t>
            </w:r>
            <w:r>
              <w:rPr>
                <w:spacing w:val="-3"/>
                <w:w w:val="105"/>
                <w:sz w:val="16"/>
              </w:rPr>
              <w:t xml:space="preserve"> </w:t>
            </w:r>
            <w:r>
              <w:rPr>
                <w:spacing w:val="-2"/>
                <w:w w:val="105"/>
                <w:sz w:val="16"/>
              </w:rPr>
              <w:t>corridor</w:t>
            </w:r>
            <w:r>
              <w:rPr>
                <w:spacing w:val="-3"/>
                <w:w w:val="105"/>
                <w:sz w:val="16"/>
              </w:rPr>
              <w:t xml:space="preserve"> </w:t>
            </w:r>
            <w:r>
              <w:rPr>
                <w:spacing w:val="-2"/>
                <w:w w:val="105"/>
                <w:sz w:val="16"/>
              </w:rPr>
              <w:t>improvement</w:t>
            </w:r>
            <w:r>
              <w:rPr>
                <w:spacing w:val="-3"/>
                <w:w w:val="105"/>
                <w:sz w:val="16"/>
              </w:rPr>
              <w:t xml:space="preserve"> </w:t>
            </w:r>
            <w:r>
              <w:rPr>
                <w:spacing w:val="-2"/>
                <w:w w:val="105"/>
                <w:sz w:val="16"/>
              </w:rPr>
              <w:t>plan</w:t>
            </w:r>
            <w:r>
              <w:rPr>
                <w:spacing w:val="-3"/>
                <w:w w:val="105"/>
                <w:sz w:val="16"/>
              </w:rPr>
              <w:t xml:space="preserve"> </w:t>
            </w:r>
            <w:r>
              <w:rPr>
                <w:spacing w:val="-2"/>
                <w:w w:val="105"/>
                <w:sz w:val="16"/>
              </w:rPr>
              <w:t>incorporating</w:t>
            </w:r>
            <w:r>
              <w:rPr>
                <w:spacing w:val="-3"/>
                <w:w w:val="105"/>
                <w:sz w:val="16"/>
              </w:rPr>
              <w:t xml:space="preserve"> </w:t>
            </w:r>
            <w:r>
              <w:rPr>
                <w:spacing w:val="-2"/>
                <w:w w:val="105"/>
                <w:sz w:val="16"/>
              </w:rPr>
              <w:t>Spit</w:t>
            </w:r>
            <w:r>
              <w:rPr>
                <w:spacing w:val="-3"/>
                <w:w w:val="105"/>
                <w:sz w:val="16"/>
              </w:rPr>
              <w:t xml:space="preserve"> </w:t>
            </w:r>
            <w:r>
              <w:rPr>
                <w:spacing w:val="-2"/>
                <w:w w:val="105"/>
                <w:sz w:val="16"/>
              </w:rPr>
              <w:t xml:space="preserve">Bridge </w:t>
            </w:r>
            <w:r>
              <w:rPr>
                <w:w w:val="105"/>
                <w:sz w:val="16"/>
              </w:rPr>
              <w:t>augmentation and priority lanes</w:t>
            </w:r>
          </w:p>
        </w:tc>
        <w:tc>
          <w:tcPr>
            <w:tcW w:w="737" w:type="dxa"/>
            <w:shd w:val="clear" w:color="auto" w:fill="E1E0E1"/>
          </w:tcPr>
          <w:p w:rsidR="002C1123" w:rsidRDefault="00F22F94">
            <w:pPr>
              <w:pStyle w:val="TableParagraph"/>
              <w:rPr>
                <w:sz w:val="16"/>
              </w:rPr>
            </w:pPr>
            <w:r>
              <w:rPr>
                <w:sz w:val="16"/>
              </w:rPr>
              <w:t>5</w:t>
            </w:r>
            <w:r>
              <w:rPr>
                <w:spacing w:val="-10"/>
                <w:sz w:val="16"/>
              </w:rPr>
              <w:t xml:space="preserve"> </w:t>
            </w:r>
            <w:r>
              <w:rPr>
                <w:sz w:val="16"/>
              </w:rPr>
              <w:t>–</w:t>
            </w:r>
            <w:r>
              <w:rPr>
                <w:spacing w:val="-9"/>
                <w:sz w:val="16"/>
              </w:rPr>
              <w:t xml:space="preserve"> </w:t>
            </w:r>
            <w:r>
              <w:rPr>
                <w:spacing w:val="-5"/>
                <w:sz w:val="16"/>
              </w:rPr>
              <w:t>10</w:t>
            </w:r>
          </w:p>
        </w:tc>
        <w:tc>
          <w:tcPr>
            <w:tcW w:w="1304" w:type="dxa"/>
            <w:shd w:val="clear" w:color="auto" w:fill="E1E0E1"/>
          </w:tcPr>
          <w:p w:rsidR="002C1123" w:rsidRDefault="00F22F94">
            <w:pPr>
              <w:pStyle w:val="TableParagraph"/>
              <w:rPr>
                <w:sz w:val="16"/>
              </w:rPr>
            </w:pPr>
            <w:r>
              <w:rPr>
                <w:spacing w:val="-2"/>
                <w:sz w:val="16"/>
              </w:rPr>
              <w:t>Program</w:t>
            </w:r>
          </w:p>
        </w:tc>
        <w:tc>
          <w:tcPr>
            <w:tcW w:w="5990" w:type="dxa"/>
            <w:shd w:val="clear" w:color="auto" w:fill="E1E0E1"/>
          </w:tcPr>
          <w:p w:rsidR="002C1123" w:rsidRDefault="00F22F94">
            <w:pPr>
              <w:pStyle w:val="TableParagraph"/>
              <w:rPr>
                <w:sz w:val="16"/>
              </w:rPr>
            </w:pPr>
            <w:r>
              <w:rPr>
                <w:w w:val="95"/>
                <w:sz w:val="16"/>
              </w:rPr>
              <w:t>Scoping</w:t>
            </w:r>
            <w:r>
              <w:rPr>
                <w:spacing w:val="6"/>
                <w:sz w:val="16"/>
              </w:rPr>
              <w:t xml:space="preserve"> </w:t>
            </w:r>
            <w:r>
              <w:rPr>
                <w:w w:val="95"/>
                <w:sz w:val="16"/>
              </w:rPr>
              <w:t>of</w:t>
            </w:r>
            <w:r>
              <w:rPr>
                <w:spacing w:val="6"/>
                <w:sz w:val="16"/>
              </w:rPr>
              <w:t xml:space="preserve"> </w:t>
            </w:r>
            <w:r>
              <w:rPr>
                <w:w w:val="95"/>
                <w:sz w:val="16"/>
              </w:rPr>
              <w:t>$200</w:t>
            </w:r>
            <w:r>
              <w:rPr>
                <w:spacing w:val="7"/>
                <w:sz w:val="16"/>
              </w:rPr>
              <w:t xml:space="preserve"> </w:t>
            </w:r>
            <w:r>
              <w:rPr>
                <w:spacing w:val="-2"/>
                <w:w w:val="95"/>
                <w:sz w:val="16"/>
              </w:rPr>
              <w:t>million</w:t>
            </w:r>
          </w:p>
        </w:tc>
      </w:tr>
      <w:tr w:rsidR="002C1123">
        <w:trPr>
          <w:trHeight w:val="321"/>
        </w:trPr>
        <w:tc>
          <w:tcPr>
            <w:tcW w:w="510" w:type="dxa"/>
            <w:shd w:val="clear" w:color="auto" w:fill="E1E0E1"/>
          </w:tcPr>
          <w:p w:rsidR="002C1123" w:rsidRDefault="00F22F94">
            <w:pPr>
              <w:pStyle w:val="TableParagraph"/>
              <w:rPr>
                <w:sz w:val="16"/>
              </w:rPr>
            </w:pPr>
            <w:r>
              <w:rPr>
                <w:spacing w:val="-5"/>
                <w:sz w:val="16"/>
              </w:rPr>
              <w:t>15</w:t>
            </w:r>
          </w:p>
        </w:tc>
        <w:tc>
          <w:tcPr>
            <w:tcW w:w="6293" w:type="dxa"/>
            <w:shd w:val="clear" w:color="auto" w:fill="E1E0E1"/>
          </w:tcPr>
          <w:p w:rsidR="002C1123" w:rsidRDefault="00F22F94">
            <w:pPr>
              <w:pStyle w:val="TableParagraph"/>
              <w:rPr>
                <w:sz w:val="16"/>
              </w:rPr>
            </w:pPr>
            <w:r>
              <w:rPr>
                <w:spacing w:val="-2"/>
                <w:sz w:val="16"/>
              </w:rPr>
              <w:t>Develop</w:t>
            </w:r>
            <w:r>
              <w:rPr>
                <w:spacing w:val="-6"/>
                <w:sz w:val="16"/>
              </w:rPr>
              <w:t xml:space="preserve"> </w:t>
            </w:r>
            <w:r>
              <w:rPr>
                <w:spacing w:val="-2"/>
                <w:sz w:val="16"/>
              </w:rPr>
              <w:t>and</w:t>
            </w:r>
            <w:r>
              <w:rPr>
                <w:spacing w:val="-5"/>
                <w:sz w:val="16"/>
              </w:rPr>
              <w:t xml:space="preserve"> </w:t>
            </w:r>
            <w:r>
              <w:rPr>
                <w:spacing w:val="-2"/>
                <w:sz w:val="16"/>
              </w:rPr>
              <w:t>construct</w:t>
            </w:r>
            <w:r>
              <w:rPr>
                <w:spacing w:val="-5"/>
                <w:sz w:val="16"/>
              </w:rPr>
              <w:t xml:space="preserve"> </w:t>
            </w:r>
            <w:r>
              <w:rPr>
                <w:spacing w:val="-2"/>
                <w:sz w:val="16"/>
              </w:rPr>
              <w:t>transitway</w:t>
            </w:r>
            <w:r>
              <w:rPr>
                <w:spacing w:val="-6"/>
                <w:sz w:val="16"/>
              </w:rPr>
              <w:t xml:space="preserve"> </w:t>
            </w:r>
            <w:r>
              <w:rPr>
                <w:spacing w:val="-2"/>
                <w:sz w:val="16"/>
              </w:rPr>
              <w:t>from</w:t>
            </w:r>
            <w:r>
              <w:rPr>
                <w:spacing w:val="-5"/>
                <w:sz w:val="16"/>
              </w:rPr>
              <w:t xml:space="preserve"> </w:t>
            </w:r>
            <w:r>
              <w:rPr>
                <w:spacing w:val="-2"/>
                <w:sz w:val="16"/>
              </w:rPr>
              <w:t>Parramatta</w:t>
            </w:r>
            <w:r>
              <w:rPr>
                <w:spacing w:val="-5"/>
                <w:sz w:val="16"/>
              </w:rPr>
              <w:t xml:space="preserve"> </w:t>
            </w:r>
            <w:r>
              <w:rPr>
                <w:spacing w:val="-2"/>
                <w:sz w:val="16"/>
              </w:rPr>
              <w:t>to</w:t>
            </w:r>
            <w:r>
              <w:rPr>
                <w:spacing w:val="-6"/>
                <w:sz w:val="16"/>
              </w:rPr>
              <w:t xml:space="preserve"> </w:t>
            </w:r>
            <w:r>
              <w:rPr>
                <w:spacing w:val="-2"/>
                <w:sz w:val="16"/>
              </w:rPr>
              <w:t>Epping/Macquarie</w:t>
            </w:r>
            <w:r>
              <w:rPr>
                <w:spacing w:val="-5"/>
                <w:sz w:val="16"/>
              </w:rPr>
              <w:t xml:space="preserve"> </w:t>
            </w:r>
            <w:r>
              <w:rPr>
                <w:spacing w:val="-4"/>
                <w:sz w:val="16"/>
              </w:rPr>
              <w:t>Park</w:t>
            </w:r>
          </w:p>
        </w:tc>
        <w:tc>
          <w:tcPr>
            <w:tcW w:w="737" w:type="dxa"/>
            <w:shd w:val="clear" w:color="auto" w:fill="E1E0E1"/>
          </w:tcPr>
          <w:p w:rsidR="002C1123" w:rsidRDefault="00F22F94">
            <w:pPr>
              <w:pStyle w:val="TableParagraph"/>
              <w:rPr>
                <w:sz w:val="16"/>
              </w:rPr>
            </w:pPr>
            <w:r>
              <w:rPr>
                <w:w w:val="95"/>
                <w:sz w:val="16"/>
              </w:rPr>
              <w:t>10</w:t>
            </w:r>
            <w:r>
              <w:rPr>
                <w:spacing w:val="-6"/>
                <w:w w:val="95"/>
                <w:sz w:val="16"/>
              </w:rPr>
              <w:t xml:space="preserve"> </w:t>
            </w:r>
            <w:r>
              <w:rPr>
                <w:w w:val="95"/>
                <w:sz w:val="16"/>
              </w:rPr>
              <w:t>–</w:t>
            </w:r>
            <w:r>
              <w:rPr>
                <w:spacing w:val="-5"/>
                <w:w w:val="95"/>
                <w:sz w:val="16"/>
              </w:rPr>
              <w:t xml:space="preserve"> 20</w:t>
            </w:r>
          </w:p>
        </w:tc>
        <w:tc>
          <w:tcPr>
            <w:tcW w:w="1304" w:type="dxa"/>
            <w:shd w:val="clear" w:color="auto" w:fill="E1E0E1"/>
          </w:tcPr>
          <w:p w:rsidR="002C1123" w:rsidRDefault="00F22F94">
            <w:pPr>
              <w:pStyle w:val="TableParagraph"/>
              <w:rPr>
                <w:sz w:val="16"/>
              </w:rPr>
            </w:pPr>
            <w:r>
              <w:rPr>
                <w:w w:val="95"/>
                <w:sz w:val="16"/>
              </w:rPr>
              <w:t>Major</w:t>
            </w:r>
            <w:r>
              <w:rPr>
                <w:spacing w:val="-2"/>
                <w:sz w:val="16"/>
              </w:rPr>
              <w:t xml:space="preserve"> </w:t>
            </w:r>
            <w:r>
              <w:rPr>
                <w:spacing w:val="-2"/>
                <w:w w:val="95"/>
                <w:sz w:val="16"/>
              </w:rPr>
              <w:t>project</w:t>
            </w:r>
          </w:p>
        </w:tc>
        <w:tc>
          <w:tcPr>
            <w:tcW w:w="5990" w:type="dxa"/>
            <w:shd w:val="clear" w:color="auto" w:fill="E1E0E1"/>
          </w:tcPr>
          <w:p w:rsidR="002C1123" w:rsidRDefault="00F22F94">
            <w:pPr>
              <w:pStyle w:val="TableParagraph"/>
              <w:rPr>
                <w:sz w:val="16"/>
              </w:rPr>
            </w:pPr>
            <w:r>
              <w:rPr>
                <w:w w:val="90"/>
                <w:sz w:val="16"/>
              </w:rPr>
              <w:t>Scoping</w:t>
            </w:r>
            <w:r>
              <w:rPr>
                <w:spacing w:val="-4"/>
                <w:sz w:val="16"/>
              </w:rPr>
              <w:t xml:space="preserve"> </w:t>
            </w:r>
            <w:r>
              <w:rPr>
                <w:w w:val="90"/>
                <w:sz w:val="16"/>
              </w:rPr>
              <w:t>of</w:t>
            </w:r>
            <w:r>
              <w:rPr>
                <w:spacing w:val="-3"/>
                <w:sz w:val="16"/>
              </w:rPr>
              <w:t xml:space="preserve"> </w:t>
            </w:r>
            <w:r>
              <w:rPr>
                <w:w w:val="90"/>
                <w:sz w:val="16"/>
              </w:rPr>
              <w:t>$400</w:t>
            </w:r>
            <w:r>
              <w:rPr>
                <w:spacing w:val="-3"/>
                <w:sz w:val="16"/>
              </w:rPr>
              <w:t xml:space="preserve"> </w:t>
            </w:r>
            <w:r>
              <w:rPr>
                <w:w w:val="90"/>
                <w:sz w:val="16"/>
              </w:rPr>
              <w:t>million</w:t>
            </w:r>
            <w:r>
              <w:rPr>
                <w:spacing w:val="-3"/>
                <w:sz w:val="16"/>
              </w:rPr>
              <w:t xml:space="preserve"> </w:t>
            </w:r>
            <w:r>
              <w:rPr>
                <w:w w:val="90"/>
                <w:sz w:val="16"/>
              </w:rPr>
              <w:t>assumes</w:t>
            </w:r>
            <w:r>
              <w:rPr>
                <w:spacing w:val="-3"/>
                <w:sz w:val="16"/>
              </w:rPr>
              <w:t xml:space="preserve"> </w:t>
            </w:r>
            <w:r>
              <w:rPr>
                <w:w w:val="90"/>
                <w:sz w:val="16"/>
              </w:rPr>
              <w:t>a</w:t>
            </w:r>
            <w:r>
              <w:rPr>
                <w:spacing w:val="-3"/>
                <w:sz w:val="16"/>
              </w:rPr>
              <w:t xml:space="preserve"> </w:t>
            </w:r>
            <w:r>
              <w:rPr>
                <w:w w:val="90"/>
                <w:sz w:val="16"/>
              </w:rPr>
              <w:t>bus</w:t>
            </w:r>
            <w:r>
              <w:rPr>
                <w:spacing w:val="-3"/>
                <w:sz w:val="16"/>
              </w:rPr>
              <w:t xml:space="preserve"> </w:t>
            </w:r>
            <w:r>
              <w:rPr>
                <w:w w:val="90"/>
                <w:sz w:val="16"/>
              </w:rPr>
              <w:t>T-Way</w:t>
            </w:r>
            <w:r>
              <w:rPr>
                <w:spacing w:val="-4"/>
                <w:sz w:val="16"/>
              </w:rPr>
              <w:t xml:space="preserve"> </w:t>
            </w:r>
            <w:r>
              <w:rPr>
                <w:spacing w:val="-2"/>
                <w:w w:val="90"/>
                <w:sz w:val="16"/>
              </w:rPr>
              <w:t>option</w:t>
            </w:r>
          </w:p>
        </w:tc>
      </w:tr>
    </w:tbl>
    <w:p w:rsidR="002C1123" w:rsidRDefault="002C1123">
      <w:pPr>
        <w:rPr>
          <w:sz w:val="16"/>
        </w:rPr>
        <w:sectPr w:rsidR="002C1123">
          <w:pgSz w:w="16840" w:h="11910" w:orient="landscape"/>
          <w:pgMar w:top="560" w:right="280" w:bottom="700" w:left="500" w:header="0" w:footer="517" w:gutter="0"/>
          <w:cols w:space="720"/>
        </w:sect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spacing w:before="7"/>
        <w:rPr>
          <w:b/>
          <w:sz w:val="29"/>
        </w:rPr>
      </w:pPr>
    </w:p>
    <w:p w:rsidR="002C1123" w:rsidRDefault="00F22F94">
      <w:pPr>
        <w:tabs>
          <w:tab w:val="left" w:pos="7418"/>
          <w:tab w:val="left" w:pos="8155"/>
          <w:tab w:val="left" w:pos="9459"/>
        </w:tabs>
        <w:spacing w:before="107"/>
        <w:ind w:left="615"/>
        <w:rPr>
          <w:b/>
          <w:sz w:val="18"/>
        </w:rPr>
      </w:pPr>
      <w:bookmarkStart w:id="386" w:name="_bookmark274"/>
      <w:bookmarkEnd w:id="386"/>
      <w:r>
        <w:rPr>
          <w:b/>
          <w:color w:val="2E3092"/>
          <w:spacing w:val="-2"/>
          <w:sz w:val="18"/>
        </w:rPr>
        <w:t>Recommendations</w:t>
      </w:r>
      <w:r>
        <w:rPr>
          <w:b/>
          <w:color w:val="2E3092"/>
          <w:sz w:val="18"/>
        </w:rPr>
        <w:tab/>
      </w:r>
      <w:r>
        <w:rPr>
          <w:b/>
          <w:color w:val="2E3092"/>
          <w:spacing w:val="-2"/>
          <w:sz w:val="18"/>
        </w:rPr>
        <w:t>Years</w:t>
      </w:r>
      <w:r>
        <w:rPr>
          <w:b/>
          <w:color w:val="2E3092"/>
          <w:sz w:val="18"/>
        </w:rPr>
        <w:tab/>
      </w:r>
      <w:r>
        <w:rPr>
          <w:b/>
          <w:color w:val="2E3092"/>
          <w:spacing w:val="-4"/>
          <w:sz w:val="18"/>
        </w:rPr>
        <w:t>Type</w:t>
      </w:r>
      <w:r>
        <w:rPr>
          <w:b/>
          <w:color w:val="2E3092"/>
          <w:sz w:val="18"/>
        </w:rPr>
        <w:tab/>
      </w:r>
      <w:r>
        <w:rPr>
          <w:b/>
          <w:color w:val="2E3092"/>
          <w:spacing w:val="-2"/>
          <w:sz w:val="18"/>
        </w:rPr>
        <w:t>Cost</w:t>
      </w:r>
      <w:r>
        <w:rPr>
          <w:b/>
          <w:color w:val="2E3092"/>
          <w:spacing w:val="-4"/>
          <w:sz w:val="18"/>
        </w:rPr>
        <w:t xml:space="preserve"> </w:t>
      </w:r>
      <w:r>
        <w:rPr>
          <w:b/>
          <w:color w:val="2E3092"/>
          <w:spacing w:val="-2"/>
          <w:sz w:val="18"/>
        </w:rPr>
        <w:t>and</w:t>
      </w:r>
      <w:r>
        <w:rPr>
          <w:b/>
          <w:color w:val="2E3092"/>
          <w:spacing w:val="-3"/>
          <w:sz w:val="18"/>
        </w:rPr>
        <w:t xml:space="preserve"> </w:t>
      </w:r>
      <w:r>
        <w:rPr>
          <w:b/>
          <w:color w:val="2E3092"/>
          <w:spacing w:val="-2"/>
          <w:sz w:val="18"/>
        </w:rPr>
        <w:t>Funding</w:t>
      </w:r>
      <w:r>
        <w:rPr>
          <w:b/>
          <w:color w:val="2E3092"/>
          <w:spacing w:val="-4"/>
          <w:sz w:val="18"/>
        </w:rPr>
        <w:t xml:space="preserve"> </w:t>
      </w:r>
      <w:r>
        <w:rPr>
          <w:b/>
          <w:color w:val="2E3092"/>
          <w:spacing w:val="-2"/>
          <w:sz w:val="18"/>
        </w:rPr>
        <w:t>Implications</w:t>
      </w:r>
    </w:p>
    <w:p w:rsidR="002C1123" w:rsidRDefault="002C1123">
      <w:pPr>
        <w:pStyle w:val="BodyText"/>
        <w:spacing w:before="7"/>
        <w:rPr>
          <w:b/>
          <w:sz w:val="5"/>
        </w:rPr>
      </w:pPr>
    </w:p>
    <w:tbl>
      <w:tblPr>
        <w:tblW w:w="0" w:type="auto"/>
        <w:tblInd w:w="5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10"/>
        <w:gridCol w:w="6293"/>
        <w:gridCol w:w="737"/>
        <w:gridCol w:w="1304"/>
        <w:gridCol w:w="5990"/>
      </w:tblGrid>
      <w:tr w:rsidR="002C1123">
        <w:trPr>
          <w:trHeight w:val="345"/>
        </w:trPr>
        <w:tc>
          <w:tcPr>
            <w:tcW w:w="6803" w:type="dxa"/>
            <w:gridSpan w:val="2"/>
            <w:tcBorders>
              <w:left w:val="nil"/>
              <w:bottom w:val="nil"/>
            </w:tcBorders>
            <w:shd w:val="clear" w:color="auto" w:fill="C9C8C9"/>
          </w:tcPr>
          <w:p w:rsidR="002C1123" w:rsidRDefault="00F22F94">
            <w:pPr>
              <w:pStyle w:val="TableParagraph"/>
              <w:spacing w:before="63"/>
              <w:rPr>
                <w:b/>
                <w:sz w:val="18"/>
              </w:rPr>
            </w:pPr>
            <w:r>
              <w:rPr>
                <w:b/>
                <w:sz w:val="18"/>
              </w:rPr>
              <w:t>Section</w:t>
            </w:r>
            <w:r>
              <w:rPr>
                <w:b/>
                <w:spacing w:val="-17"/>
                <w:sz w:val="18"/>
              </w:rPr>
              <w:t xml:space="preserve"> </w:t>
            </w:r>
            <w:r>
              <w:rPr>
                <w:b/>
                <w:sz w:val="18"/>
              </w:rPr>
              <w:t>8</w:t>
            </w:r>
            <w:r>
              <w:rPr>
                <w:b/>
                <w:spacing w:val="18"/>
                <w:sz w:val="18"/>
              </w:rPr>
              <w:t xml:space="preserve"> </w:t>
            </w:r>
            <w:r>
              <w:rPr>
                <w:b/>
                <w:sz w:val="18"/>
              </w:rPr>
              <w:t>Passenger</w:t>
            </w:r>
            <w:r>
              <w:rPr>
                <w:b/>
                <w:spacing w:val="-17"/>
                <w:sz w:val="18"/>
              </w:rPr>
              <w:t xml:space="preserve"> </w:t>
            </w:r>
            <w:r>
              <w:rPr>
                <w:b/>
                <w:spacing w:val="-4"/>
                <w:sz w:val="18"/>
              </w:rPr>
              <w:t>Rail</w:t>
            </w:r>
          </w:p>
        </w:tc>
        <w:tc>
          <w:tcPr>
            <w:tcW w:w="737" w:type="dxa"/>
            <w:tcBorders>
              <w:bottom w:val="nil"/>
            </w:tcBorders>
            <w:shd w:val="clear" w:color="auto" w:fill="C9C8C9"/>
          </w:tcPr>
          <w:p w:rsidR="002C1123" w:rsidRDefault="002C1123">
            <w:pPr>
              <w:pStyle w:val="TableParagraph"/>
              <w:spacing w:before="0"/>
              <w:ind w:left="0"/>
              <w:rPr>
                <w:rFonts w:ascii="Times New Roman"/>
                <w:sz w:val="16"/>
              </w:rPr>
            </w:pPr>
          </w:p>
        </w:tc>
        <w:tc>
          <w:tcPr>
            <w:tcW w:w="1304" w:type="dxa"/>
            <w:tcBorders>
              <w:bottom w:val="nil"/>
            </w:tcBorders>
            <w:shd w:val="clear" w:color="auto" w:fill="C9C8C9"/>
          </w:tcPr>
          <w:p w:rsidR="002C1123" w:rsidRDefault="002C1123">
            <w:pPr>
              <w:pStyle w:val="TableParagraph"/>
              <w:spacing w:before="0"/>
              <w:ind w:left="0"/>
              <w:rPr>
                <w:rFonts w:ascii="Times New Roman"/>
                <w:sz w:val="16"/>
              </w:rPr>
            </w:pPr>
          </w:p>
        </w:tc>
        <w:tc>
          <w:tcPr>
            <w:tcW w:w="5990" w:type="dxa"/>
            <w:tcBorders>
              <w:bottom w:val="nil"/>
            </w:tcBorders>
            <w:shd w:val="clear" w:color="auto" w:fill="C9C8C9"/>
          </w:tcPr>
          <w:p w:rsidR="002C1123" w:rsidRDefault="002C1123">
            <w:pPr>
              <w:pStyle w:val="TableParagraph"/>
              <w:spacing w:before="0"/>
              <w:ind w:left="0"/>
              <w:rPr>
                <w:rFonts w:ascii="Times New Roman"/>
                <w:sz w:val="16"/>
              </w:rPr>
            </w:pPr>
          </w:p>
        </w:tc>
      </w:tr>
      <w:tr w:rsidR="002C1123">
        <w:trPr>
          <w:trHeight w:val="331"/>
        </w:trPr>
        <w:tc>
          <w:tcPr>
            <w:tcW w:w="510" w:type="dxa"/>
            <w:tcBorders>
              <w:top w:val="nil"/>
            </w:tcBorders>
            <w:shd w:val="clear" w:color="auto" w:fill="EBEBEB"/>
          </w:tcPr>
          <w:p w:rsidR="002C1123" w:rsidRDefault="00F22F94">
            <w:pPr>
              <w:pStyle w:val="TableParagraph"/>
              <w:spacing w:before="77"/>
              <w:rPr>
                <w:sz w:val="16"/>
              </w:rPr>
            </w:pPr>
            <w:r>
              <w:rPr>
                <w:spacing w:val="-5"/>
                <w:sz w:val="16"/>
              </w:rPr>
              <w:t>16</w:t>
            </w:r>
          </w:p>
        </w:tc>
        <w:tc>
          <w:tcPr>
            <w:tcW w:w="6293" w:type="dxa"/>
            <w:tcBorders>
              <w:top w:val="nil"/>
            </w:tcBorders>
            <w:shd w:val="clear" w:color="auto" w:fill="EBEBEB"/>
          </w:tcPr>
          <w:p w:rsidR="002C1123" w:rsidRDefault="00F22F94">
            <w:pPr>
              <w:pStyle w:val="TableParagraph"/>
              <w:spacing w:before="77"/>
              <w:rPr>
                <w:sz w:val="16"/>
              </w:rPr>
            </w:pPr>
            <w:r>
              <w:rPr>
                <w:spacing w:val="-2"/>
                <w:w w:val="105"/>
                <w:sz w:val="16"/>
              </w:rPr>
              <w:t>Start</w:t>
            </w:r>
            <w:r>
              <w:rPr>
                <w:spacing w:val="-5"/>
                <w:w w:val="105"/>
                <w:sz w:val="16"/>
              </w:rPr>
              <w:t xml:space="preserve"> </w:t>
            </w:r>
            <w:r>
              <w:rPr>
                <w:spacing w:val="-2"/>
                <w:w w:val="105"/>
                <w:sz w:val="16"/>
              </w:rPr>
              <w:t>construction</w:t>
            </w:r>
            <w:r>
              <w:rPr>
                <w:spacing w:val="-4"/>
                <w:w w:val="105"/>
                <w:sz w:val="16"/>
              </w:rPr>
              <w:t xml:space="preserve"> </w:t>
            </w:r>
            <w:r>
              <w:rPr>
                <w:spacing w:val="-2"/>
                <w:w w:val="105"/>
                <w:sz w:val="16"/>
              </w:rPr>
              <w:t>of</w:t>
            </w:r>
            <w:r>
              <w:rPr>
                <w:spacing w:val="-4"/>
                <w:w w:val="105"/>
                <w:sz w:val="16"/>
              </w:rPr>
              <w:t xml:space="preserve"> </w:t>
            </w:r>
            <w:r>
              <w:rPr>
                <w:spacing w:val="-2"/>
                <w:w w:val="105"/>
                <w:sz w:val="16"/>
              </w:rPr>
              <w:t>North</w:t>
            </w:r>
            <w:r>
              <w:rPr>
                <w:spacing w:val="-5"/>
                <w:w w:val="105"/>
                <w:sz w:val="16"/>
              </w:rPr>
              <w:t xml:space="preserve"> </w:t>
            </w:r>
            <w:r>
              <w:rPr>
                <w:spacing w:val="-2"/>
                <w:w w:val="105"/>
                <w:sz w:val="16"/>
              </w:rPr>
              <w:t>West</w:t>
            </w:r>
            <w:r>
              <w:rPr>
                <w:spacing w:val="-4"/>
                <w:w w:val="105"/>
                <w:sz w:val="16"/>
              </w:rPr>
              <w:t xml:space="preserve"> </w:t>
            </w:r>
            <w:r>
              <w:rPr>
                <w:spacing w:val="-2"/>
                <w:w w:val="105"/>
                <w:sz w:val="16"/>
              </w:rPr>
              <w:t>Rail</w:t>
            </w:r>
            <w:r>
              <w:rPr>
                <w:spacing w:val="-4"/>
                <w:w w:val="105"/>
                <w:sz w:val="16"/>
              </w:rPr>
              <w:t xml:space="preserve"> Link</w:t>
            </w:r>
          </w:p>
        </w:tc>
        <w:tc>
          <w:tcPr>
            <w:tcW w:w="737" w:type="dxa"/>
            <w:tcBorders>
              <w:top w:val="nil"/>
            </w:tcBorders>
            <w:shd w:val="clear" w:color="auto" w:fill="EBEBEB"/>
          </w:tcPr>
          <w:p w:rsidR="002C1123" w:rsidRDefault="00F22F94">
            <w:pPr>
              <w:pStyle w:val="TableParagraph"/>
              <w:spacing w:before="77"/>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304" w:type="dxa"/>
            <w:tcBorders>
              <w:top w:val="nil"/>
            </w:tcBorders>
            <w:shd w:val="clear" w:color="auto" w:fill="EBEBEB"/>
          </w:tcPr>
          <w:p w:rsidR="002C1123" w:rsidRDefault="00F22F94">
            <w:pPr>
              <w:pStyle w:val="TableParagraph"/>
              <w:spacing w:before="77"/>
              <w:rPr>
                <w:sz w:val="16"/>
              </w:rPr>
            </w:pPr>
            <w:r>
              <w:rPr>
                <w:w w:val="95"/>
                <w:sz w:val="16"/>
              </w:rPr>
              <w:t>Major</w:t>
            </w:r>
            <w:r>
              <w:rPr>
                <w:spacing w:val="-2"/>
                <w:sz w:val="16"/>
              </w:rPr>
              <w:t xml:space="preserve"> </w:t>
            </w:r>
            <w:r>
              <w:rPr>
                <w:spacing w:val="-2"/>
                <w:w w:val="95"/>
                <w:sz w:val="16"/>
              </w:rPr>
              <w:t>project</w:t>
            </w:r>
          </w:p>
        </w:tc>
        <w:tc>
          <w:tcPr>
            <w:tcW w:w="5990" w:type="dxa"/>
            <w:tcBorders>
              <w:top w:val="nil"/>
            </w:tcBorders>
            <w:shd w:val="clear" w:color="auto" w:fill="EBEBEB"/>
          </w:tcPr>
          <w:p w:rsidR="002C1123" w:rsidRDefault="00F22F94">
            <w:pPr>
              <w:pStyle w:val="TableParagraph"/>
              <w:spacing w:before="77"/>
              <w:rPr>
                <w:sz w:val="16"/>
              </w:rPr>
            </w:pPr>
            <w:r>
              <w:rPr>
                <w:w w:val="95"/>
                <w:sz w:val="16"/>
              </w:rPr>
              <w:t>Existing</w:t>
            </w:r>
            <w:r>
              <w:rPr>
                <w:spacing w:val="-1"/>
                <w:sz w:val="16"/>
              </w:rPr>
              <w:t xml:space="preserve"> </w:t>
            </w:r>
            <w:r>
              <w:rPr>
                <w:w w:val="95"/>
                <w:sz w:val="16"/>
              </w:rPr>
              <w:t>Government</w:t>
            </w:r>
            <w:r>
              <w:rPr>
                <w:sz w:val="16"/>
              </w:rPr>
              <w:t xml:space="preserve"> </w:t>
            </w:r>
            <w:r>
              <w:rPr>
                <w:spacing w:val="-2"/>
                <w:w w:val="95"/>
                <w:sz w:val="16"/>
              </w:rPr>
              <w:t>commitment</w:t>
            </w:r>
          </w:p>
        </w:tc>
      </w:tr>
      <w:tr w:rsidR="002C1123">
        <w:trPr>
          <w:trHeight w:val="681"/>
        </w:trPr>
        <w:tc>
          <w:tcPr>
            <w:tcW w:w="510" w:type="dxa"/>
            <w:shd w:val="clear" w:color="auto" w:fill="EBEBEB"/>
          </w:tcPr>
          <w:p w:rsidR="002C1123" w:rsidRDefault="00F22F94">
            <w:pPr>
              <w:pStyle w:val="TableParagraph"/>
              <w:rPr>
                <w:sz w:val="16"/>
              </w:rPr>
            </w:pPr>
            <w:r>
              <w:rPr>
                <w:spacing w:val="-5"/>
                <w:sz w:val="16"/>
              </w:rPr>
              <w:t>17</w:t>
            </w:r>
          </w:p>
        </w:tc>
        <w:tc>
          <w:tcPr>
            <w:tcW w:w="6293" w:type="dxa"/>
            <w:shd w:val="clear" w:color="auto" w:fill="EBEBEB"/>
          </w:tcPr>
          <w:p w:rsidR="002C1123" w:rsidRDefault="00F22F94">
            <w:pPr>
              <w:pStyle w:val="TableParagraph"/>
              <w:rPr>
                <w:sz w:val="16"/>
              </w:rPr>
            </w:pPr>
            <w:r>
              <w:rPr>
                <w:sz w:val="16"/>
              </w:rPr>
              <w:t>Mainline</w:t>
            </w:r>
            <w:r>
              <w:rPr>
                <w:spacing w:val="8"/>
                <w:sz w:val="16"/>
              </w:rPr>
              <w:t xml:space="preserve"> </w:t>
            </w:r>
            <w:r>
              <w:rPr>
                <w:sz w:val="16"/>
              </w:rPr>
              <w:t>Acceleration</w:t>
            </w:r>
            <w:r>
              <w:rPr>
                <w:spacing w:val="9"/>
                <w:sz w:val="16"/>
              </w:rPr>
              <w:t xml:space="preserve"> </w:t>
            </w:r>
            <w:r>
              <w:rPr>
                <w:spacing w:val="-2"/>
                <w:sz w:val="16"/>
              </w:rPr>
              <w:t>Program</w:t>
            </w:r>
          </w:p>
          <w:p w:rsidR="002C1123" w:rsidRDefault="00F22F94">
            <w:pPr>
              <w:pStyle w:val="TableParagraph"/>
              <w:spacing w:before="36"/>
              <w:rPr>
                <w:sz w:val="16"/>
              </w:rPr>
            </w:pPr>
            <w:r>
              <w:rPr>
                <w:spacing w:val="-2"/>
                <w:sz w:val="16"/>
              </w:rPr>
              <w:t>Wollongong</w:t>
            </w:r>
            <w:r>
              <w:rPr>
                <w:spacing w:val="-3"/>
                <w:sz w:val="16"/>
              </w:rPr>
              <w:t xml:space="preserve"> </w:t>
            </w:r>
            <w:r>
              <w:rPr>
                <w:spacing w:val="-2"/>
                <w:sz w:val="16"/>
              </w:rPr>
              <w:t>– Sydney</w:t>
            </w:r>
            <w:r>
              <w:rPr>
                <w:spacing w:val="-3"/>
                <w:sz w:val="16"/>
              </w:rPr>
              <w:t xml:space="preserve"> </w:t>
            </w:r>
            <w:r>
              <w:rPr>
                <w:spacing w:val="-2"/>
                <w:sz w:val="16"/>
              </w:rPr>
              <w:t>pilot scheme</w:t>
            </w:r>
          </w:p>
        </w:tc>
        <w:tc>
          <w:tcPr>
            <w:tcW w:w="737" w:type="dxa"/>
            <w:shd w:val="clear" w:color="auto" w:fill="EBEBEB"/>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304" w:type="dxa"/>
            <w:shd w:val="clear" w:color="auto" w:fill="EBEBEB"/>
          </w:tcPr>
          <w:p w:rsidR="002C1123" w:rsidRDefault="00F22F94">
            <w:pPr>
              <w:pStyle w:val="TableParagraph"/>
              <w:rPr>
                <w:sz w:val="16"/>
              </w:rPr>
            </w:pPr>
            <w:r>
              <w:rPr>
                <w:spacing w:val="-2"/>
                <w:sz w:val="16"/>
              </w:rPr>
              <w:t>Program</w:t>
            </w:r>
          </w:p>
        </w:tc>
        <w:tc>
          <w:tcPr>
            <w:tcW w:w="5990" w:type="dxa"/>
            <w:shd w:val="clear" w:color="auto" w:fill="EBEBEB"/>
          </w:tcPr>
          <w:p w:rsidR="002C1123" w:rsidRDefault="00F22F94">
            <w:pPr>
              <w:pStyle w:val="TableParagraph"/>
              <w:spacing w:line="182" w:lineRule="exact"/>
              <w:rPr>
                <w:sz w:val="16"/>
              </w:rPr>
            </w:pPr>
            <w:r>
              <w:rPr>
                <w:w w:val="95"/>
                <w:sz w:val="16"/>
              </w:rPr>
              <w:t>Emphasis</w:t>
            </w:r>
            <w:r>
              <w:rPr>
                <w:spacing w:val="3"/>
                <w:sz w:val="16"/>
              </w:rPr>
              <w:t xml:space="preserve"> </w:t>
            </w:r>
            <w:r>
              <w:rPr>
                <w:w w:val="95"/>
                <w:sz w:val="16"/>
              </w:rPr>
              <w:t>will</w:t>
            </w:r>
            <w:r>
              <w:rPr>
                <w:spacing w:val="4"/>
                <w:sz w:val="16"/>
              </w:rPr>
              <w:t xml:space="preserve"> </w:t>
            </w:r>
            <w:r>
              <w:rPr>
                <w:w w:val="95"/>
                <w:sz w:val="16"/>
              </w:rPr>
              <w:t>be</w:t>
            </w:r>
            <w:r>
              <w:rPr>
                <w:spacing w:val="3"/>
                <w:sz w:val="16"/>
              </w:rPr>
              <w:t xml:space="preserve"> </w:t>
            </w:r>
            <w:r>
              <w:rPr>
                <w:w w:val="95"/>
                <w:sz w:val="16"/>
              </w:rPr>
              <w:t>on</w:t>
            </w:r>
            <w:r>
              <w:rPr>
                <w:spacing w:val="4"/>
                <w:sz w:val="16"/>
              </w:rPr>
              <w:t xml:space="preserve"> </w:t>
            </w:r>
            <w:r>
              <w:rPr>
                <w:w w:val="95"/>
                <w:sz w:val="16"/>
              </w:rPr>
              <w:t>operational</w:t>
            </w:r>
            <w:r>
              <w:rPr>
                <w:spacing w:val="4"/>
                <w:sz w:val="16"/>
              </w:rPr>
              <w:t xml:space="preserve"> </w:t>
            </w:r>
            <w:r>
              <w:rPr>
                <w:w w:val="95"/>
                <w:sz w:val="16"/>
              </w:rPr>
              <w:t>improvements,</w:t>
            </w:r>
            <w:r>
              <w:rPr>
                <w:spacing w:val="3"/>
                <w:sz w:val="16"/>
              </w:rPr>
              <w:t xml:space="preserve"> </w:t>
            </w:r>
            <w:r>
              <w:rPr>
                <w:w w:val="95"/>
                <w:sz w:val="16"/>
              </w:rPr>
              <w:t>supported</w:t>
            </w:r>
            <w:r>
              <w:rPr>
                <w:spacing w:val="4"/>
                <w:sz w:val="16"/>
              </w:rPr>
              <w:t xml:space="preserve"> </w:t>
            </w:r>
            <w:r>
              <w:rPr>
                <w:w w:val="95"/>
                <w:sz w:val="16"/>
              </w:rPr>
              <w:t>by</w:t>
            </w:r>
            <w:r>
              <w:rPr>
                <w:spacing w:val="4"/>
                <w:sz w:val="16"/>
              </w:rPr>
              <w:t xml:space="preserve"> </w:t>
            </w:r>
            <w:r>
              <w:rPr>
                <w:w w:val="95"/>
                <w:sz w:val="16"/>
              </w:rPr>
              <w:t>a</w:t>
            </w:r>
            <w:r>
              <w:rPr>
                <w:spacing w:val="3"/>
                <w:sz w:val="16"/>
              </w:rPr>
              <w:t xml:space="preserve"> </w:t>
            </w:r>
            <w:r>
              <w:rPr>
                <w:w w:val="95"/>
                <w:sz w:val="16"/>
              </w:rPr>
              <w:t>scoping</w:t>
            </w:r>
            <w:r>
              <w:rPr>
                <w:spacing w:val="4"/>
                <w:sz w:val="16"/>
              </w:rPr>
              <w:t xml:space="preserve"> </w:t>
            </w:r>
            <w:r>
              <w:rPr>
                <w:spacing w:val="-5"/>
                <w:w w:val="95"/>
                <w:sz w:val="16"/>
              </w:rPr>
              <w:t>of</w:t>
            </w:r>
          </w:p>
          <w:p w:rsidR="002C1123" w:rsidRDefault="00F22F94">
            <w:pPr>
              <w:pStyle w:val="TableParagraph"/>
              <w:spacing w:before="1" w:line="235" w:lineRule="auto"/>
              <w:ind w:right="84"/>
              <w:rPr>
                <w:sz w:val="16"/>
              </w:rPr>
            </w:pPr>
            <w:r>
              <w:rPr>
                <w:spacing w:val="-2"/>
                <w:sz w:val="16"/>
              </w:rPr>
              <w:t>$100</w:t>
            </w:r>
            <w:r>
              <w:rPr>
                <w:spacing w:val="-4"/>
                <w:sz w:val="16"/>
              </w:rPr>
              <w:t xml:space="preserve"> </w:t>
            </w:r>
            <w:r>
              <w:rPr>
                <w:spacing w:val="-2"/>
                <w:sz w:val="16"/>
              </w:rPr>
              <w:t>million</w:t>
            </w:r>
            <w:r>
              <w:rPr>
                <w:spacing w:val="-4"/>
                <w:sz w:val="16"/>
              </w:rPr>
              <w:t xml:space="preserve"> </w:t>
            </w:r>
            <w:r>
              <w:rPr>
                <w:spacing w:val="-2"/>
                <w:sz w:val="16"/>
              </w:rPr>
              <w:t>for</w:t>
            </w:r>
            <w:r>
              <w:rPr>
                <w:spacing w:val="-4"/>
                <w:sz w:val="16"/>
              </w:rPr>
              <w:t xml:space="preserve"> </w:t>
            </w:r>
            <w:r>
              <w:rPr>
                <w:spacing w:val="-2"/>
                <w:sz w:val="16"/>
              </w:rPr>
              <w:t>targeted</w:t>
            </w:r>
            <w:r>
              <w:rPr>
                <w:spacing w:val="-4"/>
                <w:sz w:val="16"/>
              </w:rPr>
              <w:t xml:space="preserve"> </w:t>
            </w:r>
            <w:r>
              <w:rPr>
                <w:spacing w:val="-2"/>
                <w:sz w:val="16"/>
              </w:rPr>
              <w:t>works</w:t>
            </w:r>
            <w:r>
              <w:rPr>
                <w:spacing w:val="-4"/>
                <w:sz w:val="16"/>
              </w:rPr>
              <w:t xml:space="preserve"> </w:t>
            </w:r>
            <w:r>
              <w:rPr>
                <w:spacing w:val="-2"/>
                <w:sz w:val="16"/>
              </w:rPr>
              <w:t>on</w:t>
            </w:r>
            <w:r>
              <w:rPr>
                <w:spacing w:val="-4"/>
                <w:sz w:val="16"/>
              </w:rPr>
              <w:t xml:space="preserve"> </w:t>
            </w:r>
            <w:r>
              <w:rPr>
                <w:spacing w:val="-2"/>
                <w:sz w:val="16"/>
              </w:rPr>
              <w:t>speed</w:t>
            </w:r>
            <w:r>
              <w:rPr>
                <w:spacing w:val="-4"/>
                <w:sz w:val="16"/>
              </w:rPr>
              <w:t xml:space="preserve"> </w:t>
            </w:r>
            <w:r>
              <w:rPr>
                <w:spacing w:val="-2"/>
                <w:sz w:val="16"/>
              </w:rPr>
              <w:t>restrictions</w:t>
            </w:r>
            <w:r>
              <w:rPr>
                <w:spacing w:val="-4"/>
                <w:sz w:val="16"/>
              </w:rPr>
              <w:t xml:space="preserve"> </w:t>
            </w:r>
            <w:r>
              <w:rPr>
                <w:spacing w:val="-2"/>
                <w:sz w:val="16"/>
              </w:rPr>
              <w:t>and</w:t>
            </w:r>
            <w:r>
              <w:rPr>
                <w:spacing w:val="-4"/>
                <w:sz w:val="16"/>
              </w:rPr>
              <w:t xml:space="preserve"> </w:t>
            </w:r>
            <w:r>
              <w:rPr>
                <w:spacing w:val="-2"/>
                <w:sz w:val="16"/>
              </w:rPr>
              <w:t>pinch</w:t>
            </w:r>
            <w:r>
              <w:rPr>
                <w:spacing w:val="-4"/>
                <w:sz w:val="16"/>
              </w:rPr>
              <w:t xml:space="preserve"> </w:t>
            </w:r>
            <w:r>
              <w:rPr>
                <w:spacing w:val="-2"/>
                <w:sz w:val="16"/>
              </w:rPr>
              <w:t>points.</w:t>
            </w:r>
            <w:r>
              <w:rPr>
                <w:spacing w:val="-4"/>
                <w:sz w:val="16"/>
              </w:rPr>
              <w:t xml:space="preserve"> </w:t>
            </w:r>
            <w:r>
              <w:rPr>
                <w:spacing w:val="-2"/>
                <w:sz w:val="16"/>
              </w:rPr>
              <w:t>Does</w:t>
            </w:r>
            <w:r>
              <w:rPr>
                <w:spacing w:val="-4"/>
                <w:sz w:val="16"/>
              </w:rPr>
              <w:t xml:space="preserve"> </w:t>
            </w:r>
            <w:r>
              <w:rPr>
                <w:spacing w:val="-2"/>
                <w:sz w:val="16"/>
              </w:rPr>
              <w:t xml:space="preserve">not </w:t>
            </w:r>
            <w:r>
              <w:rPr>
                <w:sz w:val="16"/>
              </w:rPr>
              <w:t>allow</w:t>
            </w:r>
            <w:r>
              <w:rPr>
                <w:spacing w:val="-7"/>
                <w:sz w:val="16"/>
              </w:rPr>
              <w:t xml:space="preserve"> </w:t>
            </w:r>
            <w:r>
              <w:rPr>
                <w:sz w:val="16"/>
              </w:rPr>
              <w:t>for</w:t>
            </w:r>
            <w:r>
              <w:rPr>
                <w:spacing w:val="-7"/>
                <w:sz w:val="16"/>
              </w:rPr>
              <w:t xml:space="preserve"> </w:t>
            </w:r>
            <w:r>
              <w:rPr>
                <w:sz w:val="16"/>
              </w:rPr>
              <w:t>major</w:t>
            </w:r>
            <w:r>
              <w:rPr>
                <w:spacing w:val="-7"/>
                <w:sz w:val="16"/>
              </w:rPr>
              <w:t xml:space="preserve"> </w:t>
            </w:r>
            <w:r>
              <w:rPr>
                <w:sz w:val="16"/>
              </w:rPr>
              <w:t>civil</w:t>
            </w:r>
            <w:r>
              <w:rPr>
                <w:spacing w:val="-7"/>
                <w:sz w:val="16"/>
              </w:rPr>
              <w:t xml:space="preserve"> </w:t>
            </w:r>
            <w:r>
              <w:rPr>
                <w:sz w:val="16"/>
              </w:rPr>
              <w:t>works,</w:t>
            </w:r>
            <w:r>
              <w:rPr>
                <w:spacing w:val="-7"/>
                <w:sz w:val="16"/>
              </w:rPr>
              <w:t xml:space="preserve"> </w:t>
            </w:r>
            <w:r>
              <w:rPr>
                <w:sz w:val="16"/>
              </w:rPr>
              <w:t>line</w:t>
            </w:r>
            <w:r>
              <w:rPr>
                <w:spacing w:val="-7"/>
                <w:sz w:val="16"/>
              </w:rPr>
              <w:t xml:space="preserve"> </w:t>
            </w:r>
            <w:r>
              <w:rPr>
                <w:sz w:val="16"/>
              </w:rPr>
              <w:t>resignalling</w:t>
            </w:r>
            <w:r>
              <w:rPr>
                <w:spacing w:val="-7"/>
                <w:sz w:val="16"/>
              </w:rPr>
              <w:t xml:space="preserve"> </w:t>
            </w:r>
            <w:r>
              <w:rPr>
                <w:sz w:val="16"/>
              </w:rPr>
              <w:t>or</w:t>
            </w:r>
            <w:r>
              <w:rPr>
                <w:spacing w:val="-7"/>
                <w:sz w:val="16"/>
              </w:rPr>
              <w:t xml:space="preserve"> </w:t>
            </w:r>
            <w:r>
              <w:rPr>
                <w:sz w:val="16"/>
              </w:rPr>
              <w:t>new</w:t>
            </w:r>
            <w:r>
              <w:rPr>
                <w:spacing w:val="-7"/>
                <w:sz w:val="16"/>
              </w:rPr>
              <w:t xml:space="preserve"> </w:t>
            </w:r>
            <w:r>
              <w:rPr>
                <w:sz w:val="16"/>
              </w:rPr>
              <w:t>rollingstock</w:t>
            </w:r>
          </w:p>
        </w:tc>
      </w:tr>
      <w:tr w:rsidR="002C1123">
        <w:trPr>
          <w:trHeight w:val="541"/>
        </w:trPr>
        <w:tc>
          <w:tcPr>
            <w:tcW w:w="510" w:type="dxa"/>
            <w:shd w:val="clear" w:color="auto" w:fill="EBEBEB"/>
          </w:tcPr>
          <w:p w:rsidR="002C1123" w:rsidRDefault="00F22F94">
            <w:pPr>
              <w:pStyle w:val="TableParagraph"/>
              <w:rPr>
                <w:sz w:val="16"/>
              </w:rPr>
            </w:pPr>
            <w:r>
              <w:rPr>
                <w:spacing w:val="-5"/>
                <w:sz w:val="16"/>
              </w:rPr>
              <w:t>18</w:t>
            </w:r>
          </w:p>
        </w:tc>
        <w:tc>
          <w:tcPr>
            <w:tcW w:w="6293" w:type="dxa"/>
            <w:shd w:val="clear" w:color="auto" w:fill="EBEBEB"/>
          </w:tcPr>
          <w:p w:rsidR="002C1123" w:rsidRDefault="00F22F94">
            <w:pPr>
              <w:pStyle w:val="TableParagraph"/>
              <w:spacing w:line="288" w:lineRule="auto"/>
              <w:ind w:right="237"/>
              <w:rPr>
                <w:sz w:val="16"/>
              </w:rPr>
            </w:pPr>
            <w:r>
              <w:rPr>
                <w:spacing w:val="-2"/>
                <w:w w:val="105"/>
                <w:sz w:val="16"/>
              </w:rPr>
              <w:t>Turn-up-and-go</w:t>
            </w:r>
            <w:r>
              <w:rPr>
                <w:spacing w:val="-10"/>
                <w:w w:val="105"/>
                <w:sz w:val="16"/>
              </w:rPr>
              <w:t xml:space="preserve"> </w:t>
            </w:r>
            <w:r>
              <w:rPr>
                <w:spacing w:val="-2"/>
                <w:w w:val="105"/>
                <w:sz w:val="16"/>
              </w:rPr>
              <w:t>express</w:t>
            </w:r>
            <w:r>
              <w:rPr>
                <w:spacing w:val="-10"/>
                <w:w w:val="105"/>
                <w:sz w:val="16"/>
              </w:rPr>
              <w:t xml:space="preserve"> </w:t>
            </w:r>
            <w:r>
              <w:rPr>
                <w:spacing w:val="-2"/>
                <w:w w:val="105"/>
                <w:sz w:val="16"/>
              </w:rPr>
              <w:t>train</w:t>
            </w:r>
            <w:r>
              <w:rPr>
                <w:spacing w:val="-9"/>
                <w:w w:val="105"/>
                <w:sz w:val="16"/>
              </w:rPr>
              <w:t xml:space="preserve"> </w:t>
            </w:r>
            <w:r>
              <w:rPr>
                <w:spacing w:val="-2"/>
                <w:w w:val="105"/>
                <w:sz w:val="16"/>
              </w:rPr>
              <w:t>service</w:t>
            </w:r>
            <w:r>
              <w:rPr>
                <w:spacing w:val="-10"/>
                <w:w w:val="105"/>
                <w:sz w:val="16"/>
              </w:rPr>
              <w:t xml:space="preserve"> </w:t>
            </w:r>
            <w:r>
              <w:rPr>
                <w:spacing w:val="-2"/>
                <w:w w:val="105"/>
                <w:sz w:val="16"/>
              </w:rPr>
              <w:t>between</w:t>
            </w:r>
            <w:r>
              <w:rPr>
                <w:spacing w:val="-10"/>
                <w:w w:val="105"/>
                <w:sz w:val="16"/>
              </w:rPr>
              <w:t xml:space="preserve"> </w:t>
            </w:r>
            <w:r>
              <w:rPr>
                <w:spacing w:val="-2"/>
                <w:w w:val="105"/>
                <w:sz w:val="16"/>
              </w:rPr>
              <w:t>Sydney</w:t>
            </w:r>
            <w:r>
              <w:rPr>
                <w:spacing w:val="-10"/>
                <w:w w:val="105"/>
                <w:sz w:val="16"/>
              </w:rPr>
              <w:t xml:space="preserve"> </w:t>
            </w:r>
            <w:r>
              <w:rPr>
                <w:spacing w:val="-2"/>
                <w:w w:val="105"/>
                <w:sz w:val="16"/>
              </w:rPr>
              <w:t>CBD</w:t>
            </w:r>
            <w:r>
              <w:rPr>
                <w:spacing w:val="-9"/>
                <w:w w:val="105"/>
                <w:sz w:val="16"/>
              </w:rPr>
              <w:t xml:space="preserve"> </w:t>
            </w:r>
            <w:r>
              <w:rPr>
                <w:spacing w:val="-2"/>
                <w:w w:val="105"/>
                <w:sz w:val="16"/>
              </w:rPr>
              <w:t>and</w:t>
            </w:r>
            <w:r>
              <w:rPr>
                <w:spacing w:val="-10"/>
                <w:w w:val="105"/>
                <w:sz w:val="16"/>
              </w:rPr>
              <w:t xml:space="preserve"> </w:t>
            </w:r>
            <w:r>
              <w:rPr>
                <w:spacing w:val="-2"/>
                <w:w w:val="105"/>
                <w:sz w:val="16"/>
              </w:rPr>
              <w:t xml:space="preserve">Parramatta </w:t>
            </w:r>
            <w:r>
              <w:rPr>
                <w:w w:val="105"/>
                <w:sz w:val="16"/>
              </w:rPr>
              <w:t>across the day</w:t>
            </w:r>
          </w:p>
        </w:tc>
        <w:tc>
          <w:tcPr>
            <w:tcW w:w="737" w:type="dxa"/>
            <w:shd w:val="clear" w:color="auto" w:fill="EBEBEB"/>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304" w:type="dxa"/>
            <w:shd w:val="clear" w:color="auto" w:fill="EBEBEB"/>
          </w:tcPr>
          <w:p w:rsidR="002C1123" w:rsidRDefault="00F22F94">
            <w:pPr>
              <w:pStyle w:val="TableParagraph"/>
              <w:rPr>
                <w:sz w:val="16"/>
              </w:rPr>
            </w:pPr>
            <w:r>
              <w:rPr>
                <w:w w:val="95"/>
                <w:sz w:val="16"/>
              </w:rPr>
              <w:t>Asset</w:t>
            </w:r>
            <w:r>
              <w:rPr>
                <w:spacing w:val="-1"/>
                <w:sz w:val="16"/>
              </w:rPr>
              <w:t xml:space="preserve"> </w:t>
            </w:r>
            <w:r>
              <w:rPr>
                <w:spacing w:val="-2"/>
                <w:sz w:val="16"/>
              </w:rPr>
              <w:t>utilisation</w:t>
            </w:r>
          </w:p>
        </w:tc>
        <w:tc>
          <w:tcPr>
            <w:tcW w:w="5990" w:type="dxa"/>
            <w:shd w:val="clear" w:color="auto" w:fill="EBEBEB"/>
          </w:tcPr>
          <w:p w:rsidR="002C1123" w:rsidRDefault="00F22F94">
            <w:pPr>
              <w:pStyle w:val="TableParagraph"/>
              <w:rPr>
                <w:sz w:val="16"/>
              </w:rPr>
            </w:pPr>
            <w:r>
              <w:rPr>
                <w:w w:val="95"/>
                <w:sz w:val="16"/>
              </w:rPr>
              <w:t>Operational</w:t>
            </w:r>
            <w:r>
              <w:rPr>
                <w:sz w:val="16"/>
              </w:rPr>
              <w:t xml:space="preserve"> </w:t>
            </w:r>
            <w:r>
              <w:rPr>
                <w:w w:val="95"/>
                <w:sz w:val="16"/>
              </w:rPr>
              <w:t>reform</w:t>
            </w:r>
            <w:r>
              <w:rPr>
                <w:sz w:val="16"/>
              </w:rPr>
              <w:t xml:space="preserve"> </w:t>
            </w:r>
            <w:r>
              <w:rPr>
                <w:w w:val="95"/>
                <w:sz w:val="16"/>
              </w:rPr>
              <w:t>–</w:t>
            </w:r>
            <w:r>
              <w:rPr>
                <w:sz w:val="16"/>
              </w:rPr>
              <w:t xml:space="preserve"> </w:t>
            </w:r>
            <w:r>
              <w:rPr>
                <w:w w:val="95"/>
                <w:sz w:val="16"/>
              </w:rPr>
              <w:t>no</w:t>
            </w:r>
            <w:r>
              <w:rPr>
                <w:spacing w:val="1"/>
                <w:sz w:val="16"/>
              </w:rPr>
              <w:t xml:space="preserve"> </w:t>
            </w:r>
            <w:r>
              <w:rPr>
                <w:w w:val="95"/>
                <w:sz w:val="16"/>
              </w:rPr>
              <w:t>capital</w:t>
            </w:r>
            <w:r>
              <w:rPr>
                <w:sz w:val="16"/>
              </w:rPr>
              <w:t xml:space="preserve"> </w:t>
            </w:r>
            <w:r>
              <w:rPr>
                <w:w w:val="95"/>
                <w:sz w:val="16"/>
              </w:rPr>
              <w:t>works</w:t>
            </w:r>
            <w:r>
              <w:rPr>
                <w:sz w:val="16"/>
              </w:rPr>
              <w:t xml:space="preserve"> </w:t>
            </w:r>
            <w:r>
              <w:rPr>
                <w:spacing w:val="-2"/>
                <w:w w:val="95"/>
                <w:sz w:val="16"/>
              </w:rPr>
              <w:t>proposed</w:t>
            </w:r>
          </w:p>
        </w:tc>
      </w:tr>
      <w:tr w:rsidR="002C1123">
        <w:trPr>
          <w:trHeight w:val="321"/>
        </w:trPr>
        <w:tc>
          <w:tcPr>
            <w:tcW w:w="510" w:type="dxa"/>
            <w:shd w:val="clear" w:color="auto" w:fill="EBEBEB"/>
          </w:tcPr>
          <w:p w:rsidR="002C1123" w:rsidRDefault="00F22F94">
            <w:pPr>
              <w:pStyle w:val="TableParagraph"/>
              <w:rPr>
                <w:sz w:val="16"/>
              </w:rPr>
            </w:pPr>
            <w:r>
              <w:rPr>
                <w:spacing w:val="-5"/>
                <w:sz w:val="16"/>
              </w:rPr>
              <w:t>19</w:t>
            </w:r>
          </w:p>
        </w:tc>
        <w:tc>
          <w:tcPr>
            <w:tcW w:w="6293" w:type="dxa"/>
            <w:shd w:val="clear" w:color="auto" w:fill="EBEBEB"/>
          </w:tcPr>
          <w:p w:rsidR="002C1123" w:rsidRDefault="00F22F94">
            <w:pPr>
              <w:pStyle w:val="TableParagraph"/>
              <w:rPr>
                <w:sz w:val="16"/>
              </w:rPr>
            </w:pPr>
            <w:r>
              <w:rPr>
                <w:spacing w:val="-2"/>
                <w:w w:val="105"/>
                <w:sz w:val="16"/>
              </w:rPr>
              <w:t>Improve</w:t>
            </w:r>
            <w:r>
              <w:rPr>
                <w:spacing w:val="-10"/>
                <w:w w:val="105"/>
                <w:sz w:val="16"/>
              </w:rPr>
              <w:t xml:space="preserve"> </w:t>
            </w:r>
            <w:r>
              <w:rPr>
                <w:spacing w:val="-2"/>
                <w:w w:val="105"/>
                <w:sz w:val="16"/>
              </w:rPr>
              <w:t>CBD</w:t>
            </w:r>
            <w:r>
              <w:rPr>
                <w:spacing w:val="-7"/>
                <w:w w:val="105"/>
                <w:sz w:val="16"/>
              </w:rPr>
              <w:t xml:space="preserve"> </w:t>
            </w:r>
            <w:r>
              <w:rPr>
                <w:spacing w:val="-2"/>
                <w:w w:val="105"/>
                <w:sz w:val="16"/>
              </w:rPr>
              <w:t>rail</w:t>
            </w:r>
            <w:r>
              <w:rPr>
                <w:spacing w:val="-7"/>
                <w:w w:val="105"/>
                <w:sz w:val="16"/>
              </w:rPr>
              <w:t xml:space="preserve"> </w:t>
            </w:r>
            <w:r>
              <w:rPr>
                <w:spacing w:val="-2"/>
                <w:w w:val="105"/>
                <w:sz w:val="16"/>
              </w:rPr>
              <w:t>off-peak</w:t>
            </w:r>
            <w:r>
              <w:rPr>
                <w:spacing w:val="-7"/>
                <w:w w:val="105"/>
                <w:sz w:val="16"/>
              </w:rPr>
              <w:t xml:space="preserve"> </w:t>
            </w:r>
            <w:r>
              <w:rPr>
                <w:spacing w:val="-2"/>
                <w:w w:val="105"/>
                <w:sz w:val="16"/>
              </w:rPr>
              <w:t>price</w:t>
            </w:r>
            <w:r>
              <w:rPr>
                <w:spacing w:val="-7"/>
                <w:w w:val="105"/>
                <w:sz w:val="16"/>
              </w:rPr>
              <w:t xml:space="preserve"> </w:t>
            </w:r>
            <w:r>
              <w:rPr>
                <w:spacing w:val="-2"/>
                <w:w w:val="105"/>
                <w:sz w:val="16"/>
              </w:rPr>
              <w:t>incentives</w:t>
            </w:r>
          </w:p>
        </w:tc>
        <w:tc>
          <w:tcPr>
            <w:tcW w:w="737" w:type="dxa"/>
            <w:shd w:val="clear" w:color="auto" w:fill="EBEBEB"/>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304" w:type="dxa"/>
            <w:shd w:val="clear" w:color="auto" w:fill="EBEBEB"/>
          </w:tcPr>
          <w:p w:rsidR="002C1123" w:rsidRDefault="00F22F94">
            <w:pPr>
              <w:pStyle w:val="TableParagraph"/>
              <w:rPr>
                <w:sz w:val="16"/>
              </w:rPr>
            </w:pPr>
            <w:r>
              <w:rPr>
                <w:w w:val="95"/>
                <w:sz w:val="16"/>
              </w:rPr>
              <w:t>Asset</w:t>
            </w:r>
            <w:r>
              <w:rPr>
                <w:spacing w:val="-1"/>
                <w:sz w:val="16"/>
              </w:rPr>
              <w:t xml:space="preserve"> </w:t>
            </w:r>
            <w:r>
              <w:rPr>
                <w:spacing w:val="-2"/>
                <w:sz w:val="16"/>
              </w:rPr>
              <w:t>utilisation</w:t>
            </w:r>
          </w:p>
        </w:tc>
        <w:tc>
          <w:tcPr>
            <w:tcW w:w="5990" w:type="dxa"/>
            <w:shd w:val="clear" w:color="auto" w:fill="EBEBEB"/>
          </w:tcPr>
          <w:p w:rsidR="002C1123" w:rsidRDefault="00F22F94">
            <w:pPr>
              <w:pStyle w:val="TableParagraph"/>
              <w:rPr>
                <w:sz w:val="16"/>
              </w:rPr>
            </w:pPr>
            <w:r>
              <w:rPr>
                <w:w w:val="95"/>
                <w:sz w:val="16"/>
              </w:rPr>
              <w:t>Assume</w:t>
            </w:r>
            <w:r>
              <w:rPr>
                <w:spacing w:val="-2"/>
                <w:w w:val="95"/>
                <w:sz w:val="16"/>
              </w:rPr>
              <w:t xml:space="preserve"> </w:t>
            </w:r>
            <w:r>
              <w:rPr>
                <w:w w:val="95"/>
                <w:sz w:val="16"/>
              </w:rPr>
              <w:t>overall</w:t>
            </w:r>
            <w:r>
              <w:rPr>
                <w:spacing w:val="-2"/>
                <w:w w:val="95"/>
                <w:sz w:val="16"/>
              </w:rPr>
              <w:t xml:space="preserve"> </w:t>
            </w:r>
            <w:r>
              <w:rPr>
                <w:w w:val="95"/>
                <w:sz w:val="16"/>
              </w:rPr>
              <w:t>outcome</w:t>
            </w:r>
            <w:r>
              <w:rPr>
                <w:spacing w:val="-2"/>
                <w:w w:val="95"/>
                <w:sz w:val="16"/>
              </w:rPr>
              <w:t xml:space="preserve"> </w:t>
            </w:r>
            <w:r>
              <w:rPr>
                <w:w w:val="95"/>
                <w:sz w:val="16"/>
              </w:rPr>
              <w:t>is</w:t>
            </w:r>
            <w:r>
              <w:rPr>
                <w:spacing w:val="-2"/>
                <w:w w:val="95"/>
                <w:sz w:val="16"/>
              </w:rPr>
              <w:t xml:space="preserve"> </w:t>
            </w:r>
            <w:r>
              <w:rPr>
                <w:w w:val="95"/>
                <w:sz w:val="16"/>
              </w:rPr>
              <w:t>revenue</w:t>
            </w:r>
            <w:r>
              <w:rPr>
                <w:spacing w:val="-1"/>
                <w:w w:val="95"/>
                <w:sz w:val="16"/>
              </w:rPr>
              <w:t xml:space="preserve"> </w:t>
            </w:r>
            <w:r>
              <w:rPr>
                <w:spacing w:val="-2"/>
                <w:w w:val="95"/>
                <w:sz w:val="16"/>
              </w:rPr>
              <w:t>neutral</w:t>
            </w:r>
          </w:p>
        </w:tc>
      </w:tr>
      <w:tr w:rsidR="002C1123">
        <w:trPr>
          <w:trHeight w:val="541"/>
        </w:trPr>
        <w:tc>
          <w:tcPr>
            <w:tcW w:w="510" w:type="dxa"/>
            <w:shd w:val="clear" w:color="auto" w:fill="E1E0E1"/>
          </w:tcPr>
          <w:p w:rsidR="002C1123" w:rsidRDefault="00F22F94">
            <w:pPr>
              <w:pStyle w:val="TableParagraph"/>
              <w:rPr>
                <w:sz w:val="16"/>
              </w:rPr>
            </w:pPr>
            <w:r>
              <w:rPr>
                <w:spacing w:val="-5"/>
                <w:sz w:val="16"/>
              </w:rPr>
              <w:t>20</w:t>
            </w:r>
          </w:p>
        </w:tc>
        <w:tc>
          <w:tcPr>
            <w:tcW w:w="6293" w:type="dxa"/>
            <w:shd w:val="clear" w:color="auto" w:fill="E1E0E1"/>
          </w:tcPr>
          <w:p w:rsidR="002C1123" w:rsidRDefault="00F22F94">
            <w:pPr>
              <w:pStyle w:val="TableParagraph"/>
              <w:rPr>
                <w:sz w:val="16"/>
              </w:rPr>
            </w:pPr>
            <w:r>
              <w:rPr>
                <w:sz w:val="16"/>
              </w:rPr>
              <w:t>Mainline</w:t>
            </w:r>
            <w:r>
              <w:rPr>
                <w:spacing w:val="8"/>
                <w:sz w:val="16"/>
              </w:rPr>
              <w:t xml:space="preserve"> </w:t>
            </w:r>
            <w:r>
              <w:rPr>
                <w:sz w:val="16"/>
              </w:rPr>
              <w:t>Acceleration</w:t>
            </w:r>
            <w:r>
              <w:rPr>
                <w:spacing w:val="9"/>
                <w:sz w:val="16"/>
              </w:rPr>
              <w:t xml:space="preserve"> </w:t>
            </w:r>
            <w:r>
              <w:rPr>
                <w:spacing w:val="-2"/>
                <w:sz w:val="16"/>
              </w:rPr>
              <w:t>Program</w:t>
            </w:r>
          </w:p>
          <w:p w:rsidR="002C1123" w:rsidRDefault="00F22F94">
            <w:pPr>
              <w:pStyle w:val="TableParagraph"/>
              <w:spacing w:before="36"/>
              <w:rPr>
                <w:sz w:val="16"/>
              </w:rPr>
            </w:pPr>
            <w:r>
              <w:rPr>
                <w:spacing w:val="-2"/>
                <w:sz w:val="16"/>
              </w:rPr>
              <w:t>Target</w:t>
            </w:r>
            <w:r>
              <w:rPr>
                <w:spacing w:val="-7"/>
                <w:sz w:val="16"/>
              </w:rPr>
              <w:t xml:space="preserve"> </w:t>
            </w:r>
            <w:r>
              <w:rPr>
                <w:spacing w:val="-2"/>
                <w:sz w:val="16"/>
              </w:rPr>
              <w:t>one</w:t>
            </w:r>
            <w:r>
              <w:rPr>
                <w:spacing w:val="-7"/>
                <w:sz w:val="16"/>
              </w:rPr>
              <w:t xml:space="preserve"> </w:t>
            </w:r>
            <w:r>
              <w:rPr>
                <w:spacing w:val="-2"/>
                <w:sz w:val="16"/>
              </w:rPr>
              <w:t>hour</w:t>
            </w:r>
            <w:r>
              <w:rPr>
                <w:spacing w:val="-7"/>
                <w:sz w:val="16"/>
              </w:rPr>
              <w:t xml:space="preserve"> </w:t>
            </w:r>
            <w:r>
              <w:rPr>
                <w:spacing w:val="-2"/>
                <w:sz w:val="16"/>
              </w:rPr>
              <w:t>express</w:t>
            </w:r>
            <w:r>
              <w:rPr>
                <w:spacing w:val="-7"/>
                <w:sz w:val="16"/>
              </w:rPr>
              <w:t xml:space="preserve"> </w:t>
            </w:r>
            <w:r>
              <w:rPr>
                <w:spacing w:val="-2"/>
                <w:sz w:val="16"/>
              </w:rPr>
              <w:t>service</w:t>
            </w:r>
            <w:r>
              <w:rPr>
                <w:spacing w:val="-7"/>
                <w:sz w:val="16"/>
              </w:rPr>
              <w:t xml:space="preserve"> </w:t>
            </w:r>
            <w:r>
              <w:rPr>
                <w:spacing w:val="-2"/>
                <w:sz w:val="16"/>
              </w:rPr>
              <w:t>Wollongong-Sydney</w:t>
            </w:r>
            <w:r>
              <w:rPr>
                <w:spacing w:val="-7"/>
                <w:sz w:val="16"/>
              </w:rPr>
              <w:t xml:space="preserve"> </w:t>
            </w:r>
            <w:r>
              <w:rPr>
                <w:spacing w:val="-2"/>
                <w:sz w:val="16"/>
              </w:rPr>
              <w:t>and</w:t>
            </w:r>
            <w:r>
              <w:rPr>
                <w:spacing w:val="-7"/>
                <w:sz w:val="16"/>
              </w:rPr>
              <w:t xml:space="preserve"> </w:t>
            </w:r>
            <w:r>
              <w:rPr>
                <w:spacing w:val="-2"/>
                <w:sz w:val="16"/>
              </w:rPr>
              <w:t>Gosford-Sydney</w:t>
            </w:r>
          </w:p>
        </w:tc>
        <w:tc>
          <w:tcPr>
            <w:tcW w:w="737" w:type="dxa"/>
            <w:shd w:val="clear" w:color="auto" w:fill="E1E0E1"/>
          </w:tcPr>
          <w:p w:rsidR="002C1123" w:rsidRDefault="00F22F94">
            <w:pPr>
              <w:pStyle w:val="TableParagraph"/>
              <w:rPr>
                <w:sz w:val="16"/>
              </w:rPr>
            </w:pPr>
            <w:r>
              <w:rPr>
                <w:sz w:val="16"/>
              </w:rPr>
              <w:t>5</w:t>
            </w:r>
            <w:r>
              <w:rPr>
                <w:spacing w:val="-10"/>
                <w:sz w:val="16"/>
              </w:rPr>
              <w:t xml:space="preserve"> </w:t>
            </w:r>
            <w:r>
              <w:rPr>
                <w:sz w:val="16"/>
              </w:rPr>
              <w:t>–</w:t>
            </w:r>
            <w:r>
              <w:rPr>
                <w:spacing w:val="-9"/>
                <w:sz w:val="16"/>
              </w:rPr>
              <w:t xml:space="preserve"> </w:t>
            </w:r>
            <w:r>
              <w:rPr>
                <w:spacing w:val="-5"/>
                <w:sz w:val="16"/>
              </w:rPr>
              <w:t>10</w:t>
            </w:r>
          </w:p>
        </w:tc>
        <w:tc>
          <w:tcPr>
            <w:tcW w:w="1304" w:type="dxa"/>
            <w:shd w:val="clear" w:color="auto" w:fill="E1E0E1"/>
          </w:tcPr>
          <w:p w:rsidR="002C1123" w:rsidRDefault="00F22F94">
            <w:pPr>
              <w:pStyle w:val="TableParagraph"/>
              <w:rPr>
                <w:sz w:val="16"/>
              </w:rPr>
            </w:pPr>
            <w:r>
              <w:rPr>
                <w:spacing w:val="-2"/>
                <w:sz w:val="16"/>
              </w:rPr>
              <w:t>Program</w:t>
            </w:r>
          </w:p>
        </w:tc>
        <w:tc>
          <w:tcPr>
            <w:tcW w:w="5990" w:type="dxa"/>
            <w:shd w:val="clear" w:color="auto" w:fill="E1E0E1"/>
          </w:tcPr>
          <w:p w:rsidR="002C1123" w:rsidRDefault="00F22F94">
            <w:pPr>
              <w:pStyle w:val="TableParagraph"/>
              <w:spacing w:before="70" w:line="235" w:lineRule="auto"/>
              <w:ind w:right="84"/>
              <w:rPr>
                <w:sz w:val="16"/>
              </w:rPr>
            </w:pPr>
            <w:r>
              <w:rPr>
                <w:w w:val="95"/>
                <w:sz w:val="16"/>
              </w:rPr>
              <w:t xml:space="preserve">Continuation of pilot program from Years 0 – 5. Scoping estimate of $1 billion for </w:t>
            </w:r>
            <w:r>
              <w:rPr>
                <w:sz w:val="16"/>
              </w:rPr>
              <w:t>capital</w:t>
            </w:r>
            <w:r>
              <w:rPr>
                <w:spacing w:val="-4"/>
                <w:sz w:val="16"/>
              </w:rPr>
              <w:t xml:space="preserve"> </w:t>
            </w:r>
            <w:r>
              <w:rPr>
                <w:sz w:val="16"/>
              </w:rPr>
              <w:t>works</w:t>
            </w:r>
          </w:p>
        </w:tc>
      </w:tr>
      <w:tr w:rsidR="002C1123">
        <w:trPr>
          <w:trHeight w:val="681"/>
        </w:trPr>
        <w:tc>
          <w:tcPr>
            <w:tcW w:w="510" w:type="dxa"/>
            <w:shd w:val="clear" w:color="auto" w:fill="E1E0E1"/>
          </w:tcPr>
          <w:p w:rsidR="002C1123" w:rsidRDefault="00F22F94">
            <w:pPr>
              <w:pStyle w:val="TableParagraph"/>
              <w:rPr>
                <w:sz w:val="16"/>
              </w:rPr>
            </w:pPr>
            <w:r>
              <w:rPr>
                <w:spacing w:val="-5"/>
                <w:sz w:val="16"/>
              </w:rPr>
              <w:t>21</w:t>
            </w:r>
          </w:p>
        </w:tc>
        <w:tc>
          <w:tcPr>
            <w:tcW w:w="6293" w:type="dxa"/>
            <w:shd w:val="clear" w:color="auto" w:fill="E1E0E1"/>
          </w:tcPr>
          <w:p w:rsidR="002C1123" w:rsidRDefault="00F22F94">
            <w:pPr>
              <w:pStyle w:val="TableParagraph"/>
              <w:rPr>
                <w:sz w:val="16"/>
              </w:rPr>
            </w:pPr>
            <w:r>
              <w:rPr>
                <w:spacing w:val="-2"/>
                <w:w w:val="105"/>
                <w:sz w:val="16"/>
              </w:rPr>
              <w:t>Unlock</w:t>
            </w:r>
            <w:r>
              <w:rPr>
                <w:spacing w:val="-8"/>
                <w:w w:val="105"/>
                <w:sz w:val="16"/>
              </w:rPr>
              <w:t xml:space="preserve"> </w:t>
            </w:r>
            <w:r>
              <w:rPr>
                <w:spacing w:val="-2"/>
                <w:w w:val="105"/>
                <w:sz w:val="16"/>
              </w:rPr>
              <w:t>City</w:t>
            </w:r>
            <w:r>
              <w:rPr>
                <w:spacing w:val="-8"/>
                <w:w w:val="105"/>
                <w:sz w:val="16"/>
              </w:rPr>
              <w:t xml:space="preserve"> </w:t>
            </w:r>
            <w:r>
              <w:rPr>
                <w:spacing w:val="-2"/>
                <w:w w:val="105"/>
                <w:sz w:val="16"/>
              </w:rPr>
              <w:t>Circle</w:t>
            </w:r>
            <w:r>
              <w:rPr>
                <w:spacing w:val="-8"/>
                <w:w w:val="105"/>
                <w:sz w:val="16"/>
              </w:rPr>
              <w:t xml:space="preserve"> </w:t>
            </w:r>
            <w:r>
              <w:rPr>
                <w:spacing w:val="-2"/>
                <w:w w:val="105"/>
                <w:sz w:val="16"/>
              </w:rPr>
              <w:t>spare</w:t>
            </w:r>
            <w:r>
              <w:rPr>
                <w:spacing w:val="-8"/>
                <w:w w:val="105"/>
                <w:sz w:val="16"/>
              </w:rPr>
              <w:t xml:space="preserve"> </w:t>
            </w:r>
            <w:r>
              <w:rPr>
                <w:spacing w:val="-2"/>
                <w:w w:val="105"/>
                <w:sz w:val="16"/>
              </w:rPr>
              <w:t>capacity</w:t>
            </w:r>
            <w:r>
              <w:rPr>
                <w:spacing w:val="-8"/>
                <w:w w:val="105"/>
                <w:sz w:val="16"/>
              </w:rPr>
              <w:t xml:space="preserve"> </w:t>
            </w:r>
            <w:r>
              <w:rPr>
                <w:spacing w:val="-2"/>
                <w:w w:val="105"/>
                <w:sz w:val="16"/>
              </w:rPr>
              <w:t>to</w:t>
            </w:r>
            <w:r>
              <w:rPr>
                <w:spacing w:val="-8"/>
                <w:w w:val="105"/>
                <w:sz w:val="16"/>
              </w:rPr>
              <w:t xml:space="preserve"> </w:t>
            </w:r>
            <w:r>
              <w:rPr>
                <w:spacing w:val="-2"/>
                <w:w w:val="105"/>
                <w:sz w:val="16"/>
              </w:rPr>
              <w:t>relieve</w:t>
            </w:r>
            <w:r>
              <w:rPr>
                <w:spacing w:val="-8"/>
                <w:w w:val="105"/>
                <w:sz w:val="16"/>
              </w:rPr>
              <w:t xml:space="preserve"> </w:t>
            </w:r>
            <w:r>
              <w:rPr>
                <w:spacing w:val="-2"/>
                <w:w w:val="105"/>
                <w:sz w:val="16"/>
              </w:rPr>
              <w:t>CBD</w:t>
            </w:r>
            <w:r>
              <w:rPr>
                <w:spacing w:val="-8"/>
                <w:w w:val="105"/>
                <w:sz w:val="16"/>
              </w:rPr>
              <w:t xml:space="preserve"> </w:t>
            </w:r>
            <w:r>
              <w:rPr>
                <w:spacing w:val="-2"/>
                <w:w w:val="105"/>
                <w:sz w:val="16"/>
              </w:rPr>
              <w:t>congestion</w:t>
            </w:r>
          </w:p>
        </w:tc>
        <w:tc>
          <w:tcPr>
            <w:tcW w:w="737" w:type="dxa"/>
            <w:shd w:val="clear" w:color="auto" w:fill="E1E0E1"/>
          </w:tcPr>
          <w:p w:rsidR="002C1123" w:rsidRDefault="00F22F94">
            <w:pPr>
              <w:pStyle w:val="TableParagraph"/>
              <w:rPr>
                <w:sz w:val="16"/>
              </w:rPr>
            </w:pPr>
            <w:r>
              <w:rPr>
                <w:sz w:val="16"/>
              </w:rPr>
              <w:t>5</w:t>
            </w:r>
            <w:r>
              <w:rPr>
                <w:spacing w:val="-10"/>
                <w:sz w:val="16"/>
              </w:rPr>
              <w:t xml:space="preserve"> </w:t>
            </w:r>
            <w:r>
              <w:rPr>
                <w:sz w:val="16"/>
              </w:rPr>
              <w:t>–</w:t>
            </w:r>
            <w:r>
              <w:rPr>
                <w:spacing w:val="-9"/>
                <w:sz w:val="16"/>
              </w:rPr>
              <w:t xml:space="preserve"> </w:t>
            </w:r>
            <w:r>
              <w:rPr>
                <w:spacing w:val="-5"/>
                <w:sz w:val="16"/>
              </w:rPr>
              <w:t>10</w:t>
            </w:r>
          </w:p>
        </w:tc>
        <w:tc>
          <w:tcPr>
            <w:tcW w:w="1304" w:type="dxa"/>
            <w:shd w:val="clear" w:color="auto" w:fill="E1E0E1"/>
          </w:tcPr>
          <w:p w:rsidR="002C1123" w:rsidRDefault="00F22F94">
            <w:pPr>
              <w:pStyle w:val="TableParagraph"/>
              <w:rPr>
                <w:sz w:val="16"/>
              </w:rPr>
            </w:pPr>
            <w:r>
              <w:rPr>
                <w:w w:val="95"/>
                <w:sz w:val="16"/>
              </w:rPr>
              <w:t>Asset</w:t>
            </w:r>
            <w:r>
              <w:rPr>
                <w:spacing w:val="-1"/>
                <w:sz w:val="16"/>
              </w:rPr>
              <w:t xml:space="preserve"> </w:t>
            </w:r>
            <w:r>
              <w:rPr>
                <w:spacing w:val="-2"/>
                <w:sz w:val="16"/>
              </w:rPr>
              <w:t>utilisation</w:t>
            </w:r>
          </w:p>
        </w:tc>
        <w:tc>
          <w:tcPr>
            <w:tcW w:w="5990" w:type="dxa"/>
            <w:shd w:val="clear" w:color="auto" w:fill="E1E0E1"/>
          </w:tcPr>
          <w:p w:rsidR="002C1123" w:rsidRDefault="00F22F94">
            <w:pPr>
              <w:pStyle w:val="TableParagraph"/>
              <w:spacing w:before="70" w:line="235" w:lineRule="auto"/>
              <w:rPr>
                <w:sz w:val="16"/>
              </w:rPr>
            </w:pPr>
            <w:r>
              <w:rPr>
                <w:sz w:val="16"/>
              </w:rPr>
              <w:t>Scoping</w:t>
            </w:r>
            <w:r>
              <w:rPr>
                <w:spacing w:val="-6"/>
                <w:sz w:val="16"/>
              </w:rPr>
              <w:t xml:space="preserve"> </w:t>
            </w:r>
            <w:r>
              <w:rPr>
                <w:sz w:val="16"/>
              </w:rPr>
              <w:t>of</w:t>
            </w:r>
            <w:r>
              <w:rPr>
                <w:spacing w:val="-6"/>
                <w:sz w:val="16"/>
              </w:rPr>
              <w:t xml:space="preserve"> </w:t>
            </w:r>
            <w:r>
              <w:rPr>
                <w:sz w:val="16"/>
              </w:rPr>
              <w:t>$1</w:t>
            </w:r>
            <w:r>
              <w:rPr>
                <w:spacing w:val="-6"/>
                <w:sz w:val="16"/>
              </w:rPr>
              <w:t xml:space="preserve"> </w:t>
            </w:r>
            <w:r>
              <w:rPr>
                <w:sz w:val="16"/>
              </w:rPr>
              <w:t>billion</w:t>
            </w:r>
            <w:r>
              <w:rPr>
                <w:spacing w:val="-6"/>
                <w:sz w:val="16"/>
              </w:rPr>
              <w:t xml:space="preserve"> </w:t>
            </w:r>
            <w:r>
              <w:rPr>
                <w:sz w:val="16"/>
              </w:rPr>
              <w:t>allows</w:t>
            </w:r>
            <w:r>
              <w:rPr>
                <w:spacing w:val="-6"/>
                <w:sz w:val="16"/>
              </w:rPr>
              <w:t xml:space="preserve"> </w:t>
            </w:r>
            <w:r>
              <w:rPr>
                <w:sz w:val="16"/>
              </w:rPr>
              <w:t>for</w:t>
            </w:r>
            <w:r>
              <w:rPr>
                <w:spacing w:val="-6"/>
                <w:sz w:val="16"/>
              </w:rPr>
              <w:t xml:space="preserve"> </w:t>
            </w:r>
            <w:r>
              <w:rPr>
                <w:sz w:val="16"/>
              </w:rPr>
              <w:t>reconfiguration</w:t>
            </w:r>
            <w:r>
              <w:rPr>
                <w:spacing w:val="-6"/>
                <w:sz w:val="16"/>
              </w:rPr>
              <w:t xml:space="preserve"> </w:t>
            </w:r>
            <w:r>
              <w:rPr>
                <w:sz w:val="16"/>
              </w:rPr>
              <w:t>of</w:t>
            </w:r>
            <w:r>
              <w:rPr>
                <w:spacing w:val="-6"/>
                <w:sz w:val="16"/>
              </w:rPr>
              <w:t xml:space="preserve"> </w:t>
            </w:r>
            <w:r>
              <w:rPr>
                <w:sz w:val="16"/>
              </w:rPr>
              <w:t>junctions</w:t>
            </w:r>
            <w:r>
              <w:rPr>
                <w:spacing w:val="-6"/>
                <w:sz w:val="16"/>
              </w:rPr>
              <w:t xml:space="preserve"> </w:t>
            </w:r>
            <w:r>
              <w:rPr>
                <w:sz w:val="16"/>
              </w:rPr>
              <w:t>and</w:t>
            </w:r>
            <w:r>
              <w:rPr>
                <w:spacing w:val="-6"/>
                <w:sz w:val="16"/>
              </w:rPr>
              <w:t xml:space="preserve"> </w:t>
            </w:r>
            <w:r>
              <w:rPr>
                <w:sz w:val="16"/>
              </w:rPr>
              <w:t>associated</w:t>
            </w:r>
            <w:r>
              <w:rPr>
                <w:spacing w:val="-6"/>
                <w:sz w:val="16"/>
              </w:rPr>
              <w:t xml:space="preserve"> </w:t>
            </w:r>
            <w:r>
              <w:rPr>
                <w:sz w:val="16"/>
              </w:rPr>
              <w:t xml:space="preserve">works </w:t>
            </w:r>
            <w:r>
              <w:rPr>
                <w:w w:val="95"/>
                <w:sz w:val="16"/>
              </w:rPr>
              <w:t xml:space="preserve">outside Central to allow more services to access the City Circle. It does not include </w:t>
            </w:r>
            <w:r>
              <w:rPr>
                <w:sz w:val="16"/>
              </w:rPr>
              <w:t>resignalling of the City Circle</w:t>
            </w:r>
          </w:p>
        </w:tc>
      </w:tr>
      <w:tr w:rsidR="002C1123">
        <w:trPr>
          <w:trHeight w:val="501"/>
        </w:trPr>
        <w:tc>
          <w:tcPr>
            <w:tcW w:w="510" w:type="dxa"/>
            <w:shd w:val="clear" w:color="auto" w:fill="E1E0E1"/>
          </w:tcPr>
          <w:p w:rsidR="002C1123" w:rsidRDefault="00F22F94">
            <w:pPr>
              <w:pStyle w:val="TableParagraph"/>
              <w:rPr>
                <w:sz w:val="16"/>
              </w:rPr>
            </w:pPr>
            <w:r>
              <w:rPr>
                <w:spacing w:val="-5"/>
                <w:sz w:val="16"/>
              </w:rPr>
              <w:t>22</w:t>
            </w:r>
          </w:p>
        </w:tc>
        <w:tc>
          <w:tcPr>
            <w:tcW w:w="6293" w:type="dxa"/>
            <w:shd w:val="clear" w:color="auto" w:fill="E1E0E1"/>
          </w:tcPr>
          <w:p w:rsidR="002C1123" w:rsidRDefault="00F22F94">
            <w:pPr>
              <w:pStyle w:val="TableParagraph"/>
              <w:rPr>
                <w:sz w:val="16"/>
              </w:rPr>
            </w:pPr>
            <w:r>
              <w:rPr>
                <w:sz w:val="16"/>
              </w:rPr>
              <w:t>Modernise</w:t>
            </w:r>
            <w:r>
              <w:rPr>
                <w:spacing w:val="-1"/>
                <w:sz w:val="16"/>
              </w:rPr>
              <w:t xml:space="preserve"> </w:t>
            </w:r>
            <w:r>
              <w:rPr>
                <w:sz w:val="16"/>
              </w:rPr>
              <w:t xml:space="preserve">Wynyard and Town Hall </w:t>
            </w:r>
            <w:r>
              <w:rPr>
                <w:spacing w:val="-2"/>
                <w:sz w:val="16"/>
              </w:rPr>
              <w:t>stations</w:t>
            </w:r>
          </w:p>
        </w:tc>
        <w:tc>
          <w:tcPr>
            <w:tcW w:w="737" w:type="dxa"/>
            <w:shd w:val="clear" w:color="auto" w:fill="E1E0E1"/>
          </w:tcPr>
          <w:p w:rsidR="002C1123" w:rsidRDefault="00F22F94">
            <w:pPr>
              <w:pStyle w:val="TableParagraph"/>
              <w:rPr>
                <w:sz w:val="16"/>
              </w:rPr>
            </w:pPr>
            <w:r>
              <w:rPr>
                <w:sz w:val="16"/>
              </w:rPr>
              <w:t>5</w:t>
            </w:r>
            <w:r>
              <w:rPr>
                <w:spacing w:val="-10"/>
                <w:sz w:val="16"/>
              </w:rPr>
              <w:t xml:space="preserve"> </w:t>
            </w:r>
            <w:r>
              <w:rPr>
                <w:sz w:val="16"/>
              </w:rPr>
              <w:t>–</w:t>
            </w:r>
            <w:r>
              <w:rPr>
                <w:spacing w:val="-9"/>
                <w:sz w:val="16"/>
              </w:rPr>
              <w:t xml:space="preserve"> </w:t>
            </w:r>
            <w:r>
              <w:rPr>
                <w:spacing w:val="-5"/>
                <w:sz w:val="16"/>
              </w:rPr>
              <w:t>10</w:t>
            </w:r>
          </w:p>
        </w:tc>
        <w:tc>
          <w:tcPr>
            <w:tcW w:w="1304" w:type="dxa"/>
            <w:shd w:val="clear" w:color="auto" w:fill="E1E0E1"/>
          </w:tcPr>
          <w:p w:rsidR="002C1123" w:rsidRDefault="00F22F94">
            <w:pPr>
              <w:pStyle w:val="TableParagraph"/>
              <w:rPr>
                <w:sz w:val="16"/>
              </w:rPr>
            </w:pPr>
            <w:r>
              <w:rPr>
                <w:w w:val="95"/>
                <w:sz w:val="16"/>
              </w:rPr>
              <w:t>Major</w:t>
            </w:r>
            <w:r>
              <w:rPr>
                <w:spacing w:val="-2"/>
                <w:sz w:val="16"/>
              </w:rPr>
              <w:t xml:space="preserve"> </w:t>
            </w:r>
            <w:r>
              <w:rPr>
                <w:spacing w:val="-2"/>
                <w:w w:val="95"/>
                <w:sz w:val="16"/>
              </w:rPr>
              <w:t>project</w:t>
            </w:r>
          </w:p>
        </w:tc>
        <w:tc>
          <w:tcPr>
            <w:tcW w:w="5990" w:type="dxa"/>
            <w:shd w:val="clear" w:color="auto" w:fill="E1E0E1"/>
          </w:tcPr>
          <w:p w:rsidR="002C1123" w:rsidRDefault="00F22F94">
            <w:pPr>
              <w:pStyle w:val="TableParagraph"/>
              <w:spacing w:before="70" w:line="235" w:lineRule="auto"/>
              <w:rPr>
                <w:sz w:val="16"/>
              </w:rPr>
            </w:pPr>
            <w:r>
              <w:rPr>
                <w:w w:val="95"/>
                <w:sz w:val="16"/>
              </w:rPr>
              <w:t xml:space="preserve">Transport costs included within CBD Transit Improvement Plan (refer </w:t>
            </w:r>
            <w:r>
              <w:rPr>
                <w:sz w:val="16"/>
              </w:rPr>
              <w:t>Recommendation</w:t>
            </w:r>
            <w:r>
              <w:rPr>
                <w:spacing w:val="-4"/>
                <w:sz w:val="16"/>
              </w:rPr>
              <w:t xml:space="preserve"> </w:t>
            </w:r>
            <w:r>
              <w:rPr>
                <w:sz w:val="16"/>
              </w:rPr>
              <w:t>11)</w:t>
            </w:r>
          </w:p>
        </w:tc>
      </w:tr>
      <w:tr w:rsidR="002C1123">
        <w:trPr>
          <w:trHeight w:val="681"/>
        </w:trPr>
        <w:tc>
          <w:tcPr>
            <w:tcW w:w="510" w:type="dxa"/>
            <w:shd w:val="clear" w:color="auto" w:fill="EBEBEB"/>
          </w:tcPr>
          <w:p w:rsidR="002C1123" w:rsidRDefault="00F22F94">
            <w:pPr>
              <w:pStyle w:val="TableParagraph"/>
              <w:rPr>
                <w:sz w:val="16"/>
              </w:rPr>
            </w:pPr>
            <w:r>
              <w:rPr>
                <w:spacing w:val="-5"/>
                <w:sz w:val="16"/>
              </w:rPr>
              <w:t>23</w:t>
            </w:r>
          </w:p>
        </w:tc>
        <w:tc>
          <w:tcPr>
            <w:tcW w:w="6293" w:type="dxa"/>
            <w:shd w:val="clear" w:color="auto" w:fill="EBEBEB"/>
          </w:tcPr>
          <w:p w:rsidR="002C1123" w:rsidRDefault="00F22F94">
            <w:pPr>
              <w:pStyle w:val="TableParagraph"/>
              <w:spacing w:line="288" w:lineRule="auto"/>
              <w:ind w:right="237"/>
              <w:rPr>
                <w:sz w:val="16"/>
              </w:rPr>
            </w:pPr>
            <w:r>
              <w:rPr>
                <w:spacing w:val="-2"/>
                <w:w w:val="105"/>
                <w:sz w:val="16"/>
              </w:rPr>
              <w:t>Rapid</w:t>
            </w:r>
            <w:r>
              <w:rPr>
                <w:spacing w:val="-10"/>
                <w:w w:val="105"/>
                <w:sz w:val="16"/>
              </w:rPr>
              <w:t xml:space="preserve"> </w:t>
            </w:r>
            <w:r>
              <w:rPr>
                <w:spacing w:val="-2"/>
                <w:w w:val="105"/>
                <w:sz w:val="16"/>
              </w:rPr>
              <w:t>transit</w:t>
            </w:r>
            <w:r>
              <w:rPr>
                <w:spacing w:val="-10"/>
                <w:w w:val="105"/>
                <w:sz w:val="16"/>
              </w:rPr>
              <w:t xml:space="preserve"> </w:t>
            </w:r>
            <w:r>
              <w:rPr>
                <w:spacing w:val="-2"/>
                <w:w w:val="105"/>
                <w:sz w:val="16"/>
              </w:rPr>
              <w:t>extension</w:t>
            </w:r>
            <w:r>
              <w:rPr>
                <w:spacing w:val="-9"/>
                <w:w w:val="105"/>
                <w:sz w:val="16"/>
              </w:rPr>
              <w:t xml:space="preserve"> </w:t>
            </w:r>
            <w:r>
              <w:rPr>
                <w:spacing w:val="-2"/>
                <w:w w:val="105"/>
                <w:sz w:val="16"/>
              </w:rPr>
              <w:t>from</w:t>
            </w:r>
            <w:r>
              <w:rPr>
                <w:spacing w:val="-10"/>
                <w:w w:val="105"/>
                <w:sz w:val="16"/>
              </w:rPr>
              <w:t xml:space="preserve"> </w:t>
            </w:r>
            <w:r>
              <w:rPr>
                <w:spacing w:val="-2"/>
                <w:w w:val="105"/>
                <w:sz w:val="16"/>
              </w:rPr>
              <w:t>NWRL</w:t>
            </w:r>
            <w:r>
              <w:rPr>
                <w:spacing w:val="-10"/>
                <w:w w:val="105"/>
                <w:sz w:val="16"/>
              </w:rPr>
              <w:t xml:space="preserve"> </w:t>
            </w:r>
            <w:r>
              <w:rPr>
                <w:spacing w:val="-2"/>
                <w:w w:val="105"/>
                <w:sz w:val="16"/>
              </w:rPr>
              <w:t>to</w:t>
            </w:r>
            <w:r>
              <w:rPr>
                <w:spacing w:val="-10"/>
                <w:w w:val="105"/>
                <w:sz w:val="16"/>
              </w:rPr>
              <w:t xml:space="preserve"> </w:t>
            </w:r>
            <w:r>
              <w:rPr>
                <w:spacing w:val="-2"/>
                <w:w w:val="105"/>
                <w:sz w:val="16"/>
              </w:rPr>
              <w:t>CBD</w:t>
            </w:r>
            <w:r>
              <w:rPr>
                <w:spacing w:val="-9"/>
                <w:w w:val="105"/>
                <w:sz w:val="16"/>
              </w:rPr>
              <w:t xml:space="preserve"> </w:t>
            </w:r>
            <w:r>
              <w:rPr>
                <w:spacing w:val="-2"/>
                <w:w w:val="105"/>
                <w:sz w:val="16"/>
              </w:rPr>
              <w:t>and</w:t>
            </w:r>
            <w:r>
              <w:rPr>
                <w:spacing w:val="-10"/>
                <w:w w:val="105"/>
                <w:sz w:val="16"/>
              </w:rPr>
              <w:t xml:space="preserve"> </w:t>
            </w:r>
            <w:r>
              <w:rPr>
                <w:spacing w:val="-2"/>
                <w:w w:val="105"/>
                <w:sz w:val="16"/>
              </w:rPr>
              <w:t>Inner</w:t>
            </w:r>
            <w:r>
              <w:rPr>
                <w:spacing w:val="-10"/>
                <w:w w:val="105"/>
                <w:sz w:val="16"/>
              </w:rPr>
              <w:t xml:space="preserve"> </w:t>
            </w:r>
            <w:r>
              <w:rPr>
                <w:spacing w:val="-2"/>
                <w:w w:val="105"/>
                <w:sz w:val="16"/>
              </w:rPr>
              <w:t>West,</w:t>
            </w:r>
            <w:r>
              <w:rPr>
                <w:spacing w:val="-9"/>
                <w:w w:val="105"/>
                <w:sz w:val="16"/>
              </w:rPr>
              <w:t xml:space="preserve"> </w:t>
            </w:r>
            <w:r>
              <w:rPr>
                <w:spacing w:val="-2"/>
                <w:w w:val="105"/>
                <w:sz w:val="16"/>
              </w:rPr>
              <w:t>and</w:t>
            </w:r>
            <w:r>
              <w:rPr>
                <w:spacing w:val="-10"/>
                <w:w w:val="105"/>
                <w:sz w:val="16"/>
              </w:rPr>
              <w:t xml:space="preserve"> </w:t>
            </w:r>
            <w:r>
              <w:rPr>
                <w:spacing w:val="-2"/>
                <w:w w:val="105"/>
                <w:sz w:val="16"/>
              </w:rPr>
              <w:t>release</w:t>
            </w:r>
            <w:r>
              <w:rPr>
                <w:spacing w:val="-10"/>
                <w:w w:val="105"/>
                <w:sz w:val="16"/>
              </w:rPr>
              <w:t xml:space="preserve"> </w:t>
            </w:r>
            <w:r>
              <w:rPr>
                <w:spacing w:val="-2"/>
                <w:w w:val="105"/>
                <w:sz w:val="16"/>
              </w:rPr>
              <w:t xml:space="preserve">of </w:t>
            </w:r>
            <w:r>
              <w:rPr>
                <w:w w:val="105"/>
                <w:sz w:val="16"/>
              </w:rPr>
              <w:t>additional capacity on Main West Lines</w:t>
            </w:r>
          </w:p>
        </w:tc>
        <w:tc>
          <w:tcPr>
            <w:tcW w:w="737" w:type="dxa"/>
            <w:shd w:val="clear" w:color="auto" w:fill="EBEBEB"/>
          </w:tcPr>
          <w:p w:rsidR="002C1123" w:rsidRDefault="00F22F94">
            <w:pPr>
              <w:pStyle w:val="TableParagraph"/>
              <w:rPr>
                <w:sz w:val="16"/>
              </w:rPr>
            </w:pPr>
            <w:r>
              <w:rPr>
                <w:w w:val="95"/>
                <w:sz w:val="16"/>
              </w:rPr>
              <w:t>10</w:t>
            </w:r>
            <w:r>
              <w:rPr>
                <w:spacing w:val="-6"/>
                <w:w w:val="95"/>
                <w:sz w:val="16"/>
              </w:rPr>
              <w:t xml:space="preserve"> </w:t>
            </w:r>
            <w:r>
              <w:rPr>
                <w:w w:val="95"/>
                <w:sz w:val="16"/>
              </w:rPr>
              <w:t>–</w:t>
            </w:r>
            <w:r>
              <w:rPr>
                <w:spacing w:val="-5"/>
                <w:w w:val="95"/>
                <w:sz w:val="16"/>
              </w:rPr>
              <w:t xml:space="preserve"> 20</w:t>
            </w:r>
          </w:p>
        </w:tc>
        <w:tc>
          <w:tcPr>
            <w:tcW w:w="1304" w:type="dxa"/>
            <w:shd w:val="clear" w:color="auto" w:fill="EBEBEB"/>
          </w:tcPr>
          <w:p w:rsidR="002C1123" w:rsidRDefault="00F22F94">
            <w:pPr>
              <w:pStyle w:val="TableParagraph"/>
              <w:rPr>
                <w:sz w:val="16"/>
              </w:rPr>
            </w:pPr>
            <w:r>
              <w:rPr>
                <w:w w:val="95"/>
                <w:sz w:val="16"/>
              </w:rPr>
              <w:t>Major</w:t>
            </w:r>
            <w:r>
              <w:rPr>
                <w:spacing w:val="-2"/>
                <w:sz w:val="16"/>
              </w:rPr>
              <w:t xml:space="preserve"> </w:t>
            </w:r>
            <w:r>
              <w:rPr>
                <w:spacing w:val="-2"/>
                <w:w w:val="95"/>
                <w:sz w:val="16"/>
              </w:rPr>
              <w:t>project</w:t>
            </w:r>
          </w:p>
        </w:tc>
        <w:tc>
          <w:tcPr>
            <w:tcW w:w="5990" w:type="dxa"/>
            <w:shd w:val="clear" w:color="auto" w:fill="EBEBEB"/>
          </w:tcPr>
          <w:p w:rsidR="002C1123" w:rsidRDefault="00F22F94">
            <w:pPr>
              <w:pStyle w:val="TableParagraph"/>
              <w:spacing w:before="70" w:line="235" w:lineRule="auto"/>
              <w:ind w:right="84"/>
              <w:rPr>
                <w:sz w:val="16"/>
              </w:rPr>
            </w:pPr>
            <w:r>
              <w:rPr>
                <w:w w:val="95"/>
                <w:sz w:val="16"/>
              </w:rPr>
              <w:t xml:space="preserve">Scoping of $5 billion assumes resignalling of existing North Shore, Harbour Bridge </w:t>
            </w:r>
            <w:r>
              <w:rPr>
                <w:sz w:val="16"/>
              </w:rPr>
              <w:t>and</w:t>
            </w:r>
            <w:r>
              <w:rPr>
                <w:spacing w:val="-6"/>
                <w:sz w:val="16"/>
              </w:rPr>
              <w:t xml:space="preserve"> </w:t>
            </w:r>
            <w:r>
              <w:rPr>
                <w:sz w:val="16"/>
              </w:rPr>
              <w:t>Inner</w:t>
            </w:r>
            <w:r>
              <w:rPr>
                <w:spacing w:val="-6"/>
                <w:sz w:val="16"/>
              </w:rPr>
              <w:t xml:space="preserve"> </w:t>
            </w:r>
            <w:r>
              <w:rPr>
                <w:sz w:val="16"/>
              </w:rPr>
              <w:t>West</w:t>
            </w:r>
            <w:r>
              <w:rPr>
                <w:spacing w:val="-6"/>
                <w:sz w:val="16"/>
              </w:rPr>
              <w:t xml:space="preserve"> </w:t>
            </w:r>
            <w:r>
              <w:rPr>
                <w:sz w:val="16"/>
              </w:rPr>
              <w:t>lines</w:t>
            </w:r>
            <w:r>
              <w:rPr>
                <w:spacing w:val="-6"/>
                <w:sz w:val="16"/>
              </w:rPr>
              <w:t xml:space="preserve"> </w:t>
            </w:r>
            <w:r>
              <w:rPr>
                <w:sz w:val="16"/>
              </w:rPr>
              <w:t>and</w:t>
            </w:r>
            <w:r>
              <w:rPr>
                <w:spacing w:val="-6"/>
                <w:sz w:val="16"/>
              </w:rPr>
              <w:t xml:space="preserve"> </w:t>
            </w:r>
            <w:r>
              <w:rPr>
                <w:sz w:val="16"/>
              </w:rPr>
              <w:t>new</w:t>
            </w:r>
            <w:r>
              <w:rPr>
                <w:spacing w:val="-6"/>
                <w:sz w:val="16"/>
              </w:rPr>
              <w:t xml:space="preserve"> </w:t>
            </w:r>
            <w:r>
              <w:rPr>
                <w:sz w:val="16"/>
              </w:rPr>
              <w:t>rollingstock.</w:t>
            </w:r>
            <w:r>
              <w:rPr>
                <w:spacing w:val="-6"/>
                <w:sz w:val="16"/>
              </w:rPr>
              <w:t xml:space="preserve"> </w:t>
            </w:r>
            <w:r>
              <w:rPr>
                <w:sz w:val="16"/>
              </w:rPr>
              <w:t>Works</w:t>
            </w:r>
            <w:r>
              <w:rPr>
                <w:spacing w:val="-6"/>
                <w:sz w:val="16"/>
              </w:rPr>
              <w:t xml:space="preserve"> </w:t>
            </w:r>
            <w:r>
              <w:rPr>
                <w:sz w:val="16"/>
              </w:rPr>
              <w:t>include</w:t>
            </w:r>
            <w:r>
              <w:rPr>
                <w:spacing w:val="-6"/>
                <w:sz w:val="16"/>
              </w:rPr>
              <w:t xml:space="preserve"> </w:t>
            </w:r>
            <w:r>
              <w:rPr>
                <w:sz w:val="16"/>
              </w:rPr>
              <w:t>capacity</w:t>
            </w:r>
            <w:r>
              <w:rPr>
                <w:spacing w:val="-6"/>
                <w:sz w:val="16"/>
              </w:rPr>
              <w:t xml:space="preserve"> </w:t>
            </w:r>
            <w:r>
              <w:rPr>
                <w:sz w:val="16"/>
              </w:rPr>
              <w:t>upgrades between Chatswood and North Sydney and junction works at Central</w:t>
            </w:r>
          </w:p>
        </w:tc>
      </w:tr>
      <w:tr w:rsidR="002C1123">
        <w:trPr>
          <w:trHeight w:val="321"/>
        </w:trPr>
        <w:tc>
          <w:tcPr>
            <w:tcW w:w="510" w:type="dxa"/>
            <w:shd w:val="clear" w:color="auto" w:fill="EBEBEB"/>
          </w:tcPr>
          <w:p w:rsidR="002C1123" w:rsidRDefault="00F22F94">
            <w:pPr>
              <w:pStyle w:val="TableParagraph"/>
              <w:rPr>
                <w:sz w:val="16"/>
              </w:rPr>
            </w:pPr>
            <w:r>
              <w:rPr>
                <w:spacing w:val="-5"/>
                <w:sz w:val="16"/>
              </w:rPr>
              <w:t>24</w:t>
            </w:r>
          </w:p>
        </w:tc>
        <w:tc>
          <w:tcPr>
            <w:tcW w:w="6293" w:type="dxa"/>
            <w:shd w:val="clear" w:color="auto" w:fill="EBEBEB"/>
          </w:tcPr>
          <w:p w:rsidR="002C1123" w:rsidRDefault="00F22F94">
            <w:pPr>
              <w:pStyle w:val="TableParagraph"/>
              <w:rPr>
                <w:sz w:val="16"/>
              </w:rPr>
            </w:pPr>
            <w:r>
              <w:rPr>
                <w:sz w:val="16"/>
              </w:rPr>
              <w:t>Develop</w:t>
            </w:r>
            <w:r>
              <w:rPr>
                <w:spacing w:val="4"/>
                <w:sz w:val="16"/>
              </w:rPr>
              <w:t xml:space="preserve"> </w:t>
            </w:r>
            <w:r>
              <w:rPr>
                <w:sz w:val="16"/>
              </w:rPr>
              <w:t>extension</w:t>
            </w:r>
            <w:r>
              <w:rPr>
                <w:spacing w:val="4"/>
                <w:sz w:val="16"/>
              </w:rPr>
              <w:t xml:space="preserve"> </w:t>
            </w:r>
            <w:r>
              <w:rPr>
                <w:sz w:val="16"/>
              </w:rPr>
              <w:t>of</w:t>
            </w:r>
            <w:r>
              <w:rPr>
                <w:spacing w:val="5"/>
                <w:sz w:val="16"/>
              </w:rPr>
              <w:t xml:space="preserve"> </w:t>
            </w:r>
            <w:r>
              <w:rPr>
                <w:sz w:val="16"/>
              </w:rPr>
              <w:t>Eastern</w:t>
            </w:r>
            <w:r>
              <w:rPr>
                <w:spacing w:val="4"/>
                <w:sz w:val="16"/>
              </w:rPr>
              <w:t xml:space="preserve"> </w:t>
            </w:r>
            <w:r>
              <w:rPr>
                <w:sz w:val="16"/>
              </w:rPr>
              <w:t>Suburbs</w:t>
            </w:r>
            <w:r>
              <w:rPr>
                <w:spacing w:val="4"/>
                <w:sz w:val="16"/>
              </w:rPr>
              <w:t xml:space="preserve"> </w:t>
            </w:r>
            <w:r>
              <w:rPr>
                <w:sz w:val="16"/>
              </w:rPr>
              <w:t>Railway</w:t>
            </w:r>
            <w:r>
              <w:rPr>
                <w:spacing w:val="5"/>
                <w:sz w:val="16"/>
              </w:rPr>
              <w:t xml:space="preserve"> </w:t>
            </w:r>
            <w:r>
              <w:rPr>
                <w:sz w:val="16"/>
              </w:rPr>
              <w:t>to</w:t>
            </w:r>
            <w:r>
              <w:rPr>
                <w:spacing w:val="4"/>
                <w:sz w:val="16"/>
              </w:rPr>
              <w:t xml:space="preserve"> </w:t>
            </w:r>
            <w:r>
              <w:rPr>
                <w:sz w:val="16"/>
              </w:rPr>
              <w:t>Randwick</w:t>
            </w:r>
            <w:r>
              <w:rPr>
                <w:spacing w:val="4"/>
                <w:sz w:val="16"/>
              </w:rPr>
              <w:t xml:space="preserve"> </w:t>
            </w:r>
            <w:r>
              <w:rPr>
                <w:sz w:val="16"/>
              </w:rPr>
              <w:t>and</w:t>
            </w:r>
            <w:r>
              <w:rPr>
                <w:spacing w:val="5"/>
                <w:sz w:val="16"/>
              </w:rPr>
              <w:t xml:space="preserve"> </w:t>
            </w:r>
            <w:r>
              <w:rPr>
                <w:spacing w:val="-2"/>
                <w:sz w:val="16"/>
              </w:rPr>
              <w:t>Maroubra</w:t>
            </w:r>
          </w:p>
        </w:tc>
        <w:tc>
          <w:tcPr>
            <w:tcW w:w="737" w:type="dxa"/>
            <w:shd w:val="clear" w:color="auto" w:fill="EBEBEB"/>
          </w:tcPr>
          <w:p w:rsidR="002C1123" w:rsidRDefault="00F22F94">
            <w:pPr>
              <w:pStyle w:val="TableParagraph"/>
              <w:rPr>
                <w:sz w:val="16"/>
              </w:rPr>
            </w:pPr>
            <w:r>
              <w:rPr>
                <w:w w:val="95"/>
                <w:sz w:val="16"/>
              </w:rPr>
              <w:t>10</w:t>
            </w:r>
            <w:r>
              <w:rPr>
                <w:spacing w:val="-6"/>
                <w:w w:val="95"/>
                <w:sz w:val="16"/>
              </w:rPr>
              <w:t xml:space="preserve"> </w:t>
            </w:r>
            <w:r>
              <w:rPr>
                <w:w w:val="95"/>
                <w:sz w:val="16"/>
              </w:rPr>
              <w:t>–</w:t>
            </w:r>
            <w:r>
              <w:rPr>
                <w:spacing w:val="-5"/>
                <w:w w:val="95"/>
                <w:sz w:val="16"/>
              </w:rPr>
              <w:t xml:space="preserve"> 20</w:t>
            </w:r>
          </w:p>
        </w:tc>
        <w:tc>
          <w:tcPr>
            <w:tcW w:w="1304" w:type="dxa"/>
            <w:shd w:val="clear" w:color="auto" w:fill="EBEBEB"/>
          </w:tcPr>
          <w:p w:rsidR="002C1123" w:rsidRDefault="00F22F94">
            <w:pPr>
              <w:pStyle w:val="TableParagraph"/>
              <w:rPr>
                <w:sz w:val="16"/>
              </w:rPr>
            </w:pPr>
            <w:r>
              <w:rPr>
                <w:spacing w:val="-2"/>
                <w:sz w:val="16"/>
              </w:rPr>
              <w:t>Planning</w:t>
            </w:r>
          </w:p>
        </w:tc>
        <w:tc>
          <w:tcPr>
            <w:tcW w:w="5990" w:type="dxa"/>
            <w:shd w:val="clear" w:color="auto" w:fill="EBEBEB"/>
          </w:tcPr>
          <w:p w:rsidR="002C1123" w:rsidRDefault="00F22F94">
            <w:pPr>
              <w:pStyle w:val="TableParagraph"/>
              <w:rPr>
                <w:sz w:val="16"/>
              </w:rPr>
            </w:pPr>
            <w:r>
              <w:rPr>
                <w:w w:val="95"/>
                <w:sz w:val="16"/>
              </w:rPr>
              <w:t>Cost</w:t>
            </w:r>
            <w:r>
              <w:rPr>
                <w:spacing w:val="1"/>
                <w:sz w:val="16"/>
              </w:rPr>
              <w:t xml:space="preserve"> </w:t>
            </w:r>
            <w:r>
              <w:rPr>
                <w:w w:val="95"/>
                <w:sz w:val="16"/>
              </w:rPr>
              <w:t>of</w:t>
            </w:r>
            <w:r>
              <w:rPr>
                <w:spacing w:val="2"/>
                <w:sz w:val="16"/>
              </w:rPr>
              <w:t xml:space="preserve"> </w:t>
            </w:r>
            <w:r>
              <w:rPr>
                <w:w w:val="95"/>
                <w:sz w:val="16"/>
              </w:rPr>
              <w:t>planning</w:t>
            </w:r>
            <w:r>
              <w:rPr>
                <w:spacing w:val="2"/>
                <w:sz w:val="16"/>
              </w:rPr>
              <w:t xml:space="preserve"> </w:t>
            </w:r>
            <w:r>
              <w:rPr>
                <w:w w:val="95"/>
                <w:sz w:val="16"/>
              </w:rPr>
              <w:t>work</w:t>
            </w:r>
            <w:r>
              <w:rPr>
                <w:spacing w:val="2"/>
                <w:sz w:val="16"/>
              </w:rPr>
              <w:t xml:space="preserve"> </w:t>
            </w:r>
            <w:r>
              <w:rPr>
                <w:w w:val="95"/>
                <w:sz w:val="16"/>
              </w:rPr>
              <w:t>is</w:t>
            </w:r>
            <w:r>
              <w:rPr>
                <w:spacing w:val="2"/>
                <w:sz w:val="16"/>
              </w:rPr>
              <w:t xml:space="preserve"> </w:t>
            </w:r>
            <w:r>
              <w:rPr>
                <w:w w:val="95"/>
                <w:sz w:val="16"/>
              </w:rPr>
              <w:t>not</w:t>
            </w:r>
            <w:r>
              <w:rPr>
                <w:spacing w:val="2"/>
                <w:sz w:val="16"/>
              </w:rPr>
              <w:t xml:space="preserve"> </w:t>
            </w:r>
            <w:r>
              <w:rPr>
                <w:spacing w:val="-2"/>
                <w:w w:val="95"/>
                <w:sz w:val="16"/>
              </w:rPr>
              <w:t>material</w:t>
            </w:r>
          </w:p>
        </w:tc>
      </w:tr>
      <w:tr w:rsidR="002C1123">
        <w:trPr>
          <w:trHeight w:val="541"/>
        </w:trPr>
        <w:tc>
          <w:tcPr>
            <w:tcW w:w="510" w:type="dxa"/>
            <w:shd w:val="clear" w:color="auto" w:fill="EBEBEB"/>
          </w:tcPr>
          <w:p w:rsidR="002C1123" w:rsidRDefault="00F22F94">
            <w:pPr>
              <w:pStyle w:val="TableParagraph"/>
              <w:rPr>
                <w:sz w:val="16"/>
              </w:rPr>
            </w:pPr>
            <w:r>
              <w:rPr>
                <w:spacing w:val="-5"/>
                <w:sz w:val="16"/>
              </w:rPr>
              <w:t>25</w:t>
            </w:r>
          </w:p>
        </w:tc>
        <w:tc>
          <w:tcPr>
            <w:tcW w:w="6293" w:type="dxa"/>
            <w:shd w:val="clear" w:color="auto" w:fill="EBEBEB"/>
          </w:tcPr>
          <w:p w:rsidR="002C1123" w:rsidRDefault="00F22F94">
            <w:pPr>
              <w:pStyle w:val="TableParagraph"/>
              <w:rPr>
                <w:sz w:val="16"/>
              </w:rPr>
            </w:pPr>
            <w:r>
              <w:rPr>
                <w:sz w:val="16"/>
              </w:rPr>
              <w:t>Mainline</w:t>
            </w:r>
            <w:r>
              <w:rPr>
                <w:spacing w:val="8"/>
                <w:sz w:val="16"/>
              </w:rPr>
              <w:t xml:space="preserve"> </w:t>
            </w:r>
            <w:r>
              <w:rPr>
                <w:sz w:val="16"/>
              </w:rPr>
              <w:t>Acceleration</w:t>
            </w:r>
            <w:r>
              <w:rPr>
                <w:spacing w:val="9"/>
                <w:sz w:val="16"/>
              </w:rPr>
              <w:t xml:space="preserve"> </w:t>
            </w:r>
            <w:r>
              <w:rPr>
                <w:spacing w:val="-2"/>
                <w:sz w:val="16"/>
              </w:rPr>
              <w:t>Program</w:t>
            </w:r>
          </w:p>
          <w:p w:rsidR="002C1123" w:rsidRDefault="00F22F94">
            <w:pPr>
              <w:pStyle w:val="TableParagraph"/>
              <w:spacing w:before="36"/>
              <w:rPr>
                <w:sz w:val="16"/>
              </w:rPr>
            </w:pPr>
            <w:r>
              <w:rPr>
                <w:spacing w:val="-2"/>
                <w:sz w:val="16"/>
              </w:rPr>
              <w:t>Target</w:t>
            </w:r>
            <w:r>
              <w:rPr>
                <w:spacing w:val="-7"/>
                <w:sz w:val="16"/>
              </w:rPr>
              <w:t xml:space="preserve"> </w:t>
            </w:r>
            <w:r>
              <w:rPr>
                <w:spacing w:val="-2"/>
                <w:sz w:val="16"/>
              </w:rPr>
              <w:t>two</w:t>
            </w:r>
            <w:r>
              <w:rPr>
                <w:spacing w:val="-6"/>
                <w:sz w:val="16"/>
              </w:rPr>
              <w:t xml:space="preserve"> </w:t>
            </w:r>
            <w:r>
              <w:rPr>
                <w:spacing w:val="-2"/>
                <w:sz w:val="16"/>
              </w:rPr>
              <w:t>hour</w:t>
            </w:r>
            <w:r>
              <w:rPr>
                <w:spacing w:val="-6"/>
                <w:sz w:val="16"/>
              </w:rPr>
              <w:t xml:space="preserve"> </w:t>
            </w:r>
            <w:r>
              <w:rPr>
                <w:spacing w:val="-2"/>
                <w:sz w:val="16"/>
              </w:rPr>
              <w:t>express</w:t>
            </w:r>
            <w:r>
              <w:rPr>
                <w:spacing w:val="-6"/>
                <w:sz w:val="16"/>
              </w:rPr>
              <w:t xml:space="preserve"> </w:t>
            </w:r>
            <w:r>
              <w:rPr>
                <w:spacing w:val="-2"/>
                <w:sz w:val="16"/>
              </w:rPr>
              <w:t>service</w:t>
            </w:r>
            <w:r>
              <w:rPr>
                <w:spacing w:val="-7"/>
                <w:sz w:val="16"/>
              </w:rPr>
              <w:t xml:space="preserve"> </w:t>
            </w:r>
            <w:r>
              <w:rPr>
                <w:spacing w:val="-2"/>
                <w:sz w:val="16"/>
              </w:rPr>
              <w:t>Newcastle</w:t>
            </w:r>
            <w:r>
              <w:rPr>
                <w:spacing w:val="-6"/>
                <w:sz w:val="16"/>
              </w:rPr>
              <w:t xml:space="preserve"> </w:t>
            </w:r>
            <w:r>
              <w:rPr>
                <w:spacing w:val="-2"/>
                <w:sz w:val="16"/>
              </w:rPr>
              <w:t>–</w:t>
            </w:r>
            <w:r>
              <w:rPr>
                <w:spacing w:val="-6"/>
                <w:sz w:val="16"/>
              </w:rPr>
              <w:t xml:space="preserve"> </w:t>
            </w:r>
            <w:r>
              <w:rPr>
                <w:spacing w:val="-2"/>
                <w:sz w:val="16"/>
              </w:rPr>
              <w:t>Sydney</w:t>
            </w:r>
          </w:p>
        </w:tc>
        <w:tc>
          <w:tcPr>
            <w:tcW w:w="737" w:type="dxa"/>
            <w:shd w:val="clear" w:color="auto" w:fill="EBEBEB"/>
          </w:tcPr>
          <w:p w:rsidR="002C1123" w:rsidRDefault="00F22F94">
            <w:pPr>
              <w:pStyle w:val="TableParagraph"/>
              <w:rPr>
                <w:sz w:val="16"/>
              </w:rPr>
            </w:pPr>
            <w:r>
              <w:rPr>
                <w:w w:val="95"/>
                <w:sz w:val="16"/>
              </w:rPr>
              <w:t>10</w:t>
            </w:r>
            <w:r>
              <w:rPr>
                <w:spacing w:val="-6"/>
                <w:w w:val="95"/>
                <w:sz w:val="16"/>
              </w:rPr>
              <w:t xml:space="preserve"> </w:t>
            </w:r>
            <w:r>
              <w:rPr>
                <w:w w:val="95"/>
                <w:sz w:val="16"/>
              </w:rPr>
              <w:t>–</w:t>
            </w:r>
            <w:r>
              <w:rPr>
                <w:spacing w:val="-5"/>
                <w:w w:val="95"/>
                <w:sz w:val="16"/>
              </w:rPr>
              <w:t xml:space="preserve"> 20</w:t>
            </w:r>
          </w:p>
        </w:tc>
        <w:tc>
          <w:tcPr>
            <w:tcW w:w="1304" w:type="dxa"/>
            <w:shd w:val="clear" w:color="auto" w:fill="EBEBEB"/>
          </w:tcPr>
          <w:p w:rsidR="002C1123" w:rsidRDefault="00F22F94">
            <w:pPr>
              <w:pStyle w:val="TableParagraph"/>
              <w:rPr>
                <w:sz w:val="16"/>
              </w:rPr>
            </w:pPr>
            <w:r>
              <w:rPr>
                <w:spacing w:val="-2"/>
                <w:sz w:val="16"/>
              </w:rPr>
              <w:t>Program</w:t>
            </w:r>
          </w:p>
        </w:tc>
        <w:tc>
          <w:tcPr>
            <w:tcW w:w="5990" w:type="dxa"/>
            <w:shd w:val="clear" w:color="auto" w:fill="EBEBEB"/>
          </w:tcPr>
          <w:p w:rsidR="002C1123" w:rsidRDefault="00F22F94">
            <w:pPr>
              <w:pStyle w:val="TableParagraph"/>
              <w:rPr>
                <w:sz w:val="16"/>
              </w:rPr>
            </w:pPr>
            <w:r>
              <w:rPr>
                <w:w w:val="95"/>
                <w:sz w:val="16"/>
              </w:rPr>
              <w:t>Continuation</w:t>
            </w:r>
            <w:r>
              <w:rPr>
                <w:spacing w:val="2"/>
                <w:sz w:val="16"/>
              </w:rPr>
              <w:t xml:space="preserve"> </w:t>
            </w:r>
            <w:r>
              <w:rPr>
                <w:w w:val="95"/>
                <w:sz w:val="16"/>
              </w:rPr>
              <w:t>of</w:t>
            </w:r>
            <w:r>
              <w:rPr>
                <w:spacing w:val="3"/>
                <w:sz w:val="16"/>
              </w:rPr>
              <w:t xml:space="preserve"> </w:t>
            </w:r>
            <w:r>
              <w:rPr>
                <w:w w:val="95"/>
                <w:sz w:val="16"/>
              </w:rPr>
              <w:t>previous</w:t>
            </w:r>
            <w:r>
              <w:rPr>
                <w:spacing w:val="2"/>
                <w:sz w:val="16"/>
              </w:rPr>
              <w:t xml:space="preserve"> </w:t>
            </w:r>
            <w:r>
              <w:rPr>
                <w:w w:val="95"/>
                <w:sz w:val="16"/>
              </w:rPr>
              <w:t>program.</w:t>
            </w:r>
            <w:r>
              <w:rPr>
                <w:spacing w:val="3"/>
                <w:sz w:val="16"/>
              </w:rPr>
              <w:t xml:space="preserve"> </w:t>
            </w:r>
            <w:r>
              <w:rPr>
                <w:w w:val="95"/>
                <w:sz w:val="16"/>
              </w:rPr>
              <w:t>Scoping</w:t>
            </w:r>
            <w:r>
              <w:rPr>
                <w:spacing w:val="3"/>
                <w:sz w:val="16"/>
              </w:rPr>
              <w:t xml:space="preserve"> </w:t>
            </w:r>
            <w:r>
              <w:rPr>
                <w:w w:val="95"/>
                <w:sz w:val="16"/>
              </w:rPr>
              <w:t>of</w:t>
            </w:r>
            <w:r>
              <w:rPr>
                <w:spacing w:val="2"/>
                <w:sz w:val="16"/>
              </w:rPr>
              <w:t xml:space="preserve"> </w:t>
            </w:r>
            <w:r>
              <w:rPr>
                <w:w w:val="95"/>
                <w:sz w:val="16"/>
              </w:rPr>
              <w:t>$500</w:t>
            </w:r>
            <w:r>
              <w:rPr>
                <w:spacing w:val="3"/>
                <w:sz w:val="16"/>
              </w:rPr>
              <w:t xml:space="preserve"> </w:t>
            </w:r>
            <w:r>
              <w:rPr>
                <w:w w:val="95"/>
                <w:sz w:val="16"/>
              </w:rPr>
              <w:t>million</w:t>
            </w:r>
            <w:r>
              <w:rPr>
                <w:spacing w:val="3"/>
                <w:sz w:val="16"/>
              </w:rPr>
              <w:t xml:space="preserve"> </w:t>
            </w:r>
            <w:r>
              <w:rPr>
                <w:w w:val="95"/>
                <w:sz w:val="16"/>
              </w:rPr>
              <w:t>for</w:t>
            </w:r>
            <w:r>
              <w:rPr>
                <w:spacing w:val="2"/>
                <w:sz w:val="16"/>
              </w:rPr>
              <w:t xml:space="preserve"> </w:t>
            </w:r>
            <w:r>
              <w:rPr>
                <w:w w:val="95"/>
                <w:sz w:val="16"/>
              </w:rPr>
              <w:t>capital</w:t>
            </w:r>
            <w:r>
              <w:rPr>
                <w:spacing w:val="3"/>
                <w:sz w:val="16"/>
              </w:rPr>
              <w:t xml:space="preserve"> </w:t>
            </w:r>
            <w:r>
              <w:rPr>
                <w:spacing w:val="-2"/>
                <w:w w:val="95"/>
                <w:sz w:val="16"/>
              </w:rPr>
              <w:t>works</w:t>
            </w:r>
          </w:p>
        </w:tc>
      </w:tr>
      <w:tr w:rsidR="002C1123">
        <w:trPr>
          <w:trHeight w:val="345"/>
        </w:trPr>
        <w:tc>
          <w:tcPr>
            <w:tcW w:w="14834" w:type="dxa"/>
            <w:gridSpan w:val="5"/>
            <w:tcBorders>
              <w:left w:val="nil"/>
              <w:bottom w:val="nil"/>
            </w:tcBorders>
            <w:shd w:val="clear" w:color="auto" w:fill="C9C8C9"/>
          </w:tcPr>
          <w:p w:rsidR="002C1123" w:rsidRDefault="00F22F94">
            <w:pPr>
              <w:pStyle w:val="TableParagraph"/>
              <w:spacing w:before="63"/>
              <w:rPr>
                <w:b/>
                <w:sz w:val="18"/>
              </w:rPr>
            </w:pPr>
            <w:r>
              <w:rPr>
                <w:b/>
                <w:sz w:val="18"/>
              </w:rPr>
              <w:t>Section</w:t>
            </w:r>
            <w:r>
              <w:rPr>
                <w:b/>
                <w:spacing w:val="-16"/>
                <w:sz w:val="18"/>
              </w:rPr>
              <w:t xml:space="preserve"> </w:t>
            </w:r>
            <w:r>
              <w:rPr>
                <w:b/>
                <w:sz w:val="18"/>
              </w:rPr>
              <w:t>9</w:t>
            </w:r>
            <w:r>
              <w:rPr>
                <w:b/>
                <w:spacing w:val="21"/>
                <w:sz w:val="18"/>
              </w:rPr>
              <w:t xml:space="preserve"> </w:t>
            </w:r>
            <w:r>
              <w:rPr>
                <w:b/>
                <w:sz w:val="18"/>
              </w:rPr>
              <w:t>International</w:t>
            </w:r>
            <w:r>
              <w:rPr>
                <w:b/>
                <w:spacing w:val="-15"/>
                <w:sz w:val="18"/>
              </w:rPr>
              <w:t xml:space="preserve"> </w:t>
            </w:r>
            <w:r>
              <w:rPr>
                <w:b/>
                <w:spacing w:val="-2"/>
                <w:sz w:val="18"/>
              </w:rPr>
              <w:t>Gateways</w:t>
            </w:r>
          </w:p>
        </w:tc>
      </w:tr>
      <w:tr w:rsidR="002C1123">
        <w:trPr>
          <w:trHeight w:val="331"/>
        </w:trPr>
        <w:tc>
          <w:tcPr>
            <w:tcW w:w="510" w:type="dxa"/>
            <w:tcBorders>
              <w:top w:val="nil"/>
            </w:tcBorders>
            <w:shd w:val="clear" w:color="auto" w:fill="EBEBEB"/>
          </w:tcPr>
          <w:p w:rsidR="002C1123" w:rsidRDefault="00F22F94">
            <w:pPr>
              <w:pStyle w:val="TableParagraph"/>
              <w:spacing w:before="77"/>
              <w:rPr>
                <w:sz w:val="16"/>
              </w:rPr>
            </w:pPr>
            <w:r>
              <w:rPr>
                <w:spacing w:val="-5"/>
                <w:sz w:val="16"/>
              </w:rPr>
              <w:t>26</w:t>
            </w:r>
          </w:p>
        </w:tc>
        <w:tc>
          <w:tcPr>
            <w:tcW w:w="6293" w:type="dxa"/>
            <w:tcBorders>
              <w:top w:val="nil"/>
            </w:tcBorders>
            <w:shd w:val="clear" w:color="auto" w:fill="EBEBEB"/>
          </w:tcPr>
          <w:p w:rsidR="002C1123" w:rsidRDefault="00F22F94">
            <w:pPr>
              <w:pStyle w:val="TableParagraph"/>
              <w:spacing w:before="77"/>
              <w:rPr>
                <w:sz w:val="16"/>
              </w:rPr>
            </w:pPr>
            <w:r>
              <w:rPr>
                <w:spacing w:val="-2"/>
                <w:w w:val="105"/>
                <w:sz w:val="16"/>
              </w:rPr>
              <w:t>Port</w:t>
            </w:r>
            <w:r>
              <w:rPr>
                <w:spacing w:val="-5"/>
                <w:w w:val="105"/>
                <w:sz w:val="16"/>
              </w:rPr>
              <w:t xml:space="preserve"> </w:t>
            </w:r>
            <w:r>
              <w:rPr>
                <w:spacing w:val="-2"/>
                <w:w w:val="105"/>
                <w:sz w:val="16"/>
              </w:rPr>
              <w:t>Botany-Sydney</w:t>
            </w:r>
            <w:r>
              <w:rPr>
                <w:spacing w:val="-4"/>
                <w:w w:val="105"/>
                <w:sz w:val="16"/>
              </w:rPr>
              <w:t xml:space="preserve"> </w:t>
            </w:r>
            <w:r>
              <w:rPr>
                <w:spacing w:val="-2"/>
                <w:w w:val="105"/>
                <w:sz w:val="16"/>
              </w:rPr>
              <w:t>Airport</w:t>
            </w:r>
            <w:r>
              <w:rPr>
                <w:spacing w:val="-4"/>
                <w:w w:val="105"/>
                <w:sz w:val="16"/>
              </w:rPr>
              <w:t xml:space="preserve"> </w:t>
            </w:r>
            <w:r>
              <w:rPr>
                <w:spacing w:val="-2"/>
                <w:w w:val="105"/>
                <w:sz w:val="16"/>
              </w:rPr>
              <w:t>Roads</w:t>
            </w:r>
            <w:r>
              <w:rPr>
                <w:spacing w:val="-4"/>
                <w:w w:val="105"/>
                <w:sz w:val="16"/>
              </w:rPr>
              <w:t xml:space="preserve"> </w:t>
            </w:r>
            <w:r>
              <w:rPr>
                <w:spacing w:val="-2"/>
                <w:w w:val="105"/>
                <w:sz w:val="16"/>
              </w:rPr>
              <w:t>pinch</w:t>
            </w:r>
            <w:r>
              <w:rPr>
                <w:spacing w:val="-5"/>
                <w:w w:val="105"/>
                <w:sz w:val="16"/>
              </w:rPr>
              <w:t xml:space="preserve"> </w:t>
            </w:r>
            <w:r>
              <w:rPr>
                <w:spacing w:val="-2"/>
                <w:w w:val="105"/>
                <w:sz w:val="16"/>
              </w:rPr>
              <w:t>points</w:t>
            </w:r>
            <w:r>
              <w:rPr>
                <w:spacing w:val="-4"/>
                <w:w w:val="105"/>
                <w:sz w:val="16"/>
              </w:rPr>
              <w:t xml:space="preserve"> </w:t>
            </w:r>
            <w:r>
              <w:rPr>
                <w:spacing w:val="-2"/>
                <w:w w:val="105"/>
                <w:sz w:val="16"/>
              </w:rPr>
              <w:t>program</w:t>
            </w:r>
          </w:p>
        </w:tc>
        <w:tc>
          <w:tcPr>
            <w:tcW w:w="737" w:type="dxa"/>
            <w:tcBorders>
              <w:top w:val="nil"/>
            </w:tcBorders>
            <w:shd w:val="clear" w:color="auto" w:fill="EBEBEB"/>
          </w:tcPr>
          <w:p w:rsidR="002C1123" w:rsidRDefault="00F22F94">
            <w:pPr>
              <w:pStyle w:val="TableParagraph"/>
              <w:spacing w:before="77"/>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304" w:type="dxa"/>
            <w:tcBorders>
              <w:top w:val="nil"/>
            </w:tcBorders>
            <w:shd w:val="clear" w:color="auto" w:fill="EBEBEB"/>
          </w:tcPr>
          <w:p w:rsidR="002C1123" w:rsidRDefault="00F22F94">
            <w:pPr>
              <w:pStyle w:val="TableParagraph"/>
              <w:spacing w:before="77"/>
              <w:rPr>
                <w:sz w:val="16"/>
              </w:rPr>
            </w:pPr>
            <w:r>
              <w:rPr>
                <w:spacing w:val="-2"/>
                <w:sz w:val="16"/>
              </w:rPr>
              <w:t>Program</w:t>
            </w:r>
          </w:p>
        </w:tc>
        <w:tc>
          <w:tcPr>
            <w:tcW w:w="5990" w:type="dxa"/>
            <w:tcBorders>
              <w:top w:val="nil"/>
            </w:tcBorders>
            <w:shd w:val="clear" w:color="auto" w:fill="EBEBEB"/>
          </w:tcPr>
          <w:p w:rsidR="002C1123" w:rsidRDefault="00F22F94">
            <w:pPr>
              <w:pStyle w:val="TableParagraph"/>
              <w:spacing w:before="77"/>
              <w:rPr>
                <w:sz w:val="16"/>
              </w:rPr>
            </w:pPr>
            <w:r>
              <w:rPr>
                <w:w w:val="95"/>
                <w:sz w:val="16"/>
              </w:rPr>
              <w:t>Estimate</w:t>
            </w:r>
            <w:r>
              <w:rPr>
                <w:spacing w:val="-1"/>
                <w:sz w:val="16"/>
              </w:rPr>
              <w:t xml:space="preserve"> </w:t>
            </w:r>
            <w:r>
              <w:rPr>
                <w:w w:val="95"/>
                <w:sz w:val="16"/>
              </w:rPr>
              <w:t>of</w:t>
            </w:r>
            <w:r>
              <w:rPr>
                <w:sz w:val="16"/>
              </w:rPr>
              <w:t xml:space="preserve"> </w:t>
            </w:r>
            <w:r>
              <w:rPr>
                <w:w w:val="95"/>
                <w:sz w:val="16"/>
              </w:rPr>
              <w:t>$330</w:t>
            </w:r>
            <w:r>
              <w:rPr>
                <w:sz w:val="16"/>
              </w:rPr>
              <w:t xml:space="preserve"> </w:t>
            </w:r>
            <w:r>
              <w:rPr>
                <w:spacing w:val="-2"/>
                <w:w w:val="95"/>
                <w:sz w:val="16"/>
              </w:rPr>
              <w:t>million</w:t>
            </w:r>
          </w:p>
        </w:tc>
      </w:tr>
      <w:tr w:rsidR="002C1123">
        <w:trPr>
          <w:trHeight w:val="501"/>
        </w:trPr>
        <w:tc>
          <w:tcPr>
            <w:tcW w:w="510" w:type="dxa"/>
            <w:shd w:val="clear" w:color="auto" w:fill="EBEBEB"/>
          </w:tcPr>
          <w:p w:rsidR="002C1123" w:rsidRDefault="00F22F94">
            <w:pPr>
              <w:pStyle w:val="TableParagraph"/>
              <w:rPr>
                <w:sz w:val="16"/>
              </w:rPr>
            </w:pPr>
            <w:r>
              <w:rPr>
                <w:spacing w:val="-5"/>
                <w:sz w:val="16"/>
              </w:rPr>
              <w:t>27</w:t>
            </w:r>
          </w:p>
        </w:tc>
        <w:tc>
          <w:tcPr>
            <w:tcW w:w="6293" w:type="dxa"/>
            <w:shd w:val="clear" w:color="auto" w:fill="EBEBEB"/>
          </w:tcPr>
          <w:p w:rsidR="002C1123" w:rsidRDefault="00F22F94">
            <w:pPr>
              <w:pStyle w:val="TableParagraph"/>
              <w:rPr>
                <w:sz w:val="16"/>
              </w:rPr>
            </w:pPr>
            <w:r>
              <w:rPr>
                <w:sz w:val="16"/>
              </w:rPr>
              <w:t>Reduce</w:t>
            </w:r>
            <w:r>
              <w:rPr>
                <w:spacing w:val="4"/>
                <w:sz w:val="16"/>
              </w:rPr>
              <w:t xml:space="preserve"> </w:t>
            </w:r>
            <w:r>
              <w:rPr>
                <w:sz w:val="16"/>
              </w:rPr>
              <w:t>or</w:t>
            </w:r>
            <w:r>
              <w:rPr>
                <w:spacing w:val="4"/>
                <w:sz w:val="16"/>
              </w:rPr>
              <w:t xml:space="preserve"> </w:t>
            </w:r>
            <w:r>
              <w:rPr>
                <w:sz w:val="16"/>
              </w:rPr>
              <w:t>remove</w:t>
            </w:r>
            <w:r>
              <w:rPr>
                <w:spacing w:val="4"/>
                <w:sz w:val="16"/>
              </w:rPr>
              <w:t xml:space="preserve"> </w:t>
            </w:r>
            <w:r>
              <w:rPr>
                <w:sz w:val="16"/>
              </w:rPr>
              <w:t>Airport</w:t>
            </w:r>
            <w:r>
              <w:rPr>
                <w:spacing w:val="4"/>
                <w:sz w:val="16"/>
              </w:rPr>
              <w:t xml:space="preserve"> </w:t>
            </w:r>
            <w:r>
              <w:rPr>
                <w:sz w:val="16"/>
              </w:rPr>
              <w:t>Stations</w:t>
            </w:r>
            <w:r>
              <w:rPr>
                <w:spacing w:val="4"/>
                <w:sz w:val="16"/>
              </w:rPr>
              <w:t xml:space="preserve"> </w:t>
            </w:r>
            <w:r>
              <w:rPr>
                <w:sz w:val="16"/>
              </w:rPr>
              <w:t>usage</w:t>
            </w:r>
            <w:r>
              <w:rPr>
                <w:spacing w:val="5"/>
                <w:sz w:val="16"/>
              </w:rPr>
              <w:t xml:space="preserve"> </w:t>
            </w:r>
            <w:r>
              <w:rPr>
                <w:spacing w:val="-5"/>
                <w:sz w:val="16"/>
              </w:rPr>
              <w:t>fee</w:t>
            </w:r>
          </w:p>
        </w:tc>
        <w:tc>
          <w:tcPr>
            <w:tcW w:w="737" w:type="dxa"/>
            <w:shd w:val="clear" w:color="auto" w:fill="EBEBEB"/>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304" w:type="dxa"/>
            <w:shd w:val="clear" w:color="auto" w:fill="EBEBEB"/>
          </w:tcPr>
          <w:p w:rsidR="002C1123" w:rsidRDefault="00F22F94">
            <w:pPr>
              <w:pStyle w:val="TableParagraph"/>
              <w:rPr>
                <w:sz w:val="16"/>
              </w:rPr>
            </w:pPr>
            <w:r>
              <w:rPr>
                <w:w w:val="95"/>
                <w:sz w:val="16"/>
              </w:rPr>
              <w:t>Asset</w:t>
            </w:r>
            <w:r>
              <w:rPr>
                <w:spacing w:val="-1"/>
                <w:sz w:val="16"/>
              </w:rPr>
              <w:t xml:space="preserve"> </w:t>
            </w:r>
            <w:r>
              <w:rPr>
                <w:spacing w:val="-2"/>
                <w:sz w:val="16"/>
              </w:rPr>
              <w:t>utilisation</w:t>
            </w:r>
          </w:p>
        </w:tc>
        <w:tc>
          <w:tcPr>
            <w:tcW w:w="5990" w:type="dxa"/>
            <w:shd w:val="clear" w:color="auto" w:fill="EBEBEB"/>
          </w:tcPr>
          <w:p w:rsidR="002C1123" w:rsidRDefault="00F22F94">
            <w:pPr>
              <w:pStyle w:val="TableParagraph"/>
              <w:spacing w:before="70" w:line="235" w:lineRule="auto"/>
              <w:rPr>
                <w:sz w:val="16"/>
              </w:rPr>
            </w:pPr>
            <w:r>
              <w:rPr>
                <w:w w:val="95"/>
                <w:sz w:val="16"/>
              </w:rPr>
              <w:t xml:space="preserve">Assume that the cost of this measure can be offset by a mix of alternative airport </w:t>
            </w:r>
            <w:r>
              <w:rPr>
                <w:sz w:val="16"/>
              </w:rPr>
              <w:t>funding</w:t>
            </w:r>
            <w:r>
              <w:rPr>
                <w:spacing w:val="-1"/>
                <w:sz w:val="16"/>
              </w:rPr>
              <w:t xml:space="preserve"> </w:t>
            </w:r>
            <w:r>
              <w:rPr>
                <w:sz w:val="16"/>
              </w:rPr>
              <w:t>sources,</w:t>
            </w:r>
            <w:r>
              <w:rPr>
                <w:spacing w:val="-1"/>
                <w:sz w:val="16"/>
              </w:rPr>
              <w:t xml:space="preserve"> </w:t>
            </w:r>
            <w:r>
              <w:rPr>
                <w:sz w:val="16"/>
              </w:rPr>
              <w:t>passenger</w:t>
            </w:r>
            <w:r>
              <w:rPr>
                <w:spacing w:val="-1"/>
                <w:sz w:val="16"/>
              </w:rPr>
              <w:t xml:space="preserve"> </w:t>
            </w:r>
            <w:r>
              <w:rPr>
                <w:sz w:val="16"/>
              </w:rPr>
              <w:t>growth</w:t>
            </w:r>
            <w:r>
              <w:rPr>
                <w:spacing w:val="-1"/>
                <w:sz w:val="16"/>
              </w:rPr>
              <w:t xml:space="preserve"> </w:t>
            </w:r>
            <w:r>
              <w:rPr>
                <w:sz w:val="16"/>
              </w:rPr>
              <w:t>and</w:t>
            </w:r>
            <w:r>
              <w:rPr>
                <w:spacing w:val="-1"/>
                <w:sz w:val="16"/>
              </w:rPr>
              <w:t xml:space="preserve"> </w:t>
            </w:r>
            <w:r>
              <w:rPr>
                <w:sz w:val="16"/>
              </w:rPr>
              <w:t>adjustments</w:t>
            </w:r>
            <w:r>
              <w:rPr>
                <w:spacing w:val="-1"/>
                <w:sz w:val="16"/>
              </w:rPr>
              <w:t xml:space="preserve"> </w:t>
            </w:r>
            <w:r>
              <w:rPr>
                <w:sz w:val="16"/>
              </w:rPr>
              <w:t>to</w:t>
            </w:r>
            <w:r>
              <w:rPr>
                <w:spacing w:val="-1"/>
                <w:sz w:val="16"/>
              </w:rPr>
              <w:t xml:space="preserve"> </w:t>
            </w:r>
            <w:r>
              <w:rPr>
                <w:sz w:val="16"/>
              </w:rPr>
              <w:t>other</w:t>
            </w:r>
            <w:r>
              <w:rPr>
                <w:spacing w:val="-1"/>
                <w:sz w:val="16"/>
              </w:rPr>
              <w:t xml:space="preserve"> </w:t>
            </w:r>
            <w:r>
              <w:rPr>
                <w:sz w:val="16"/>
              </w:rPr>
              <w:t>fares</w:t>
            </w:r>
          </w:p>
        </w:tc>
      </w:tr>
      <w:tr w:rsidR="002C1123">
        <w:trPr>
          <w:trHeight w:val="321"/>
        </w:trPr>
        <w:tc>
          <w:tcPr>
            <w:tcW w:w="510" w:type="dxa"/>
            <w:shd w:val="clear" w:color="auto" w:fill="EBEBEB"/>
          </w:tcPr>
          <w:p w:rsidR="002C1123" w:rsidRDefault="00F22F94">
            <w:pPr>
              <w:pStyle w:val="TableParagraph"/>
              <w:rPr>
                <w:sz w:val="16"/>
              </w:rPr>
            </w:pPr>
            <w:r>
              <w:rPr>
                <w:spacing w:val="-5"/>
                <w:sz w:val="16"/>
              </w:rPr>
              <w:t>28</w:t>
            </w:r>
          </w:p>
        </w:tc>
        <w:tc>
          <w:tcPr>
            <w:tcW w:w="6293" w:type="dxa"/>
            <w:shd w:val="clear" w:color="auto" w:fill="EBEBEB"/>
          </w:tcPr>
          <w:p w:rsidR="002C1123" w:rsidRDefault="00F22F94">
            <w:pPr>
              <w:pStyle w:val="TableParagraph"/>
              <w:rPr>
                <w:sz w:val="16"/>
              </w:rPr>
            </w:pPr>
            <w:r>
              <w:rPr>
                <w:sz w:val="16"/>
              </w:rPr>
              <w:t>Expand</w:t>
            </w:r>
            <w:r>
              <w:rPr>
                <w:spacing w:val="3"/>
                <w:sz w:val="16"/>
              </w:rPr>
              <w:t xml:space="preserve"> </w:t>
            </w:r>
            <w:r>
              <w:rPr>
                <w:sz w:val="16"/>
              </w:rPr>
              <w:t>bus</w:t>
            </w:r>
            <w:r>
              <w:rPr>
                <w:spacing w:val="4"/>
                <w:sz w:val="16"/>
              </w:rPr>
              <w:t xml:space="preserve"> </w:t>
            </w:r>
            <w:r>
              <w:rPr>
                <w:sz w:val="16"/>
              </w:rPr>
              <w:t>services</w:t>
            </w:r>
            <w:r>
              <w:rPr>
                <w:spacing w:val="3"/>
                <w:sz w:val="16"/>
              </w:rPr>
              <w:t xml:space="preserve"> </w:t>
            </w:r>
            <w:r>
              <w:rPr>
                <w:sz w:val="16"/>
              </w:rPr>
              <w:t>to</w:t>
            </w:r>
            <w:r>
              <w:rPr>
                <w:spacing w:val="4"/>
                <w:sz w:val="16"/>
              </w:rPr>
              <w:t xml:space="preserve"> </w:t>
            </w:r>
            <w:r>
              <w:rPr>
                <w:sz w:val="16"/>
              </w:rPr>
              <w:t>Sydney</w:t>
            </w:r>
            <w:r>
              <w:rPr>
                <w:spacing w:val="4"/>
                <w:sz w:val="16"/>
              </w:rPr>
              <w:t xml:space="preserve"> </w:t>
            </w:r>
            <w:r>
              <w:rPr>
                <w:spacing w:val="-2"/>
                <w:sz w:val="16"/>
              </w:rPr>
              <w:t>Airport</w:t>
            </w:r>
          </w:p>
        </w:tc>
        <w:tc>
          <w:tcPr>
            <w:tcW w:w="737" w:type="dxa"/>
            <w:shd w:val="clear" w:color="auto" w:fill="EBEBEB"/>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304" w:type="dxa"/>
            <w:shd w:val="clear" w:color="auto" w:fill="EBEBEB"/>
          </w:tcPr>
          <w:p w:rsidR="002C1123" w:rsidRDefault="00F22F94">
            <w:pPr>
              <w:pStyle w:val="TableParagraph"/>
              <w:rPr>
                <w:sz w:val="16"/>
              </w:rPr>
            </w:pPr>
            <w:r>
              <w:rPr>
                <w:w w:val="95"/>
                <w:sz w:val="16"/>
              </w:rPr>
              <w:t>Asset</w:t>
            </w:r>
            <w:r>
              <w:rPr>
                <w:spacing w:val="-1"/>
                <w:sz w:val="16"/>
              </w:rPr>
              <w:t xml:space="preserve"> </w:t>
            </w:r>
            <w:r>
              <w:rPr>
                <w:spacing w:val="-2"/>
                <w:sz w:val="16"/>
              </w:rPr>
              <w:t>utilisation</w:t>
            </w:r>
          </w:p>
        </w:tc>
        <w:tc>
          <w:tcPr>
            <w:tcW w:w="5990" w:type="dxa"/>
            <w:shd w:val="clear" w:color="auto" w:fill="EBEBEB"/>
          </w:tcPr>
          <w:p w:rsidR="002C1123" w:rsidRDefault="00F22F94">
            <w:pPr>
              <w:pStyle w:val="TableParagraph"/>
              <w:rPr>
                <w:sz w:val="16"/>
              </w:rPr>
            </w:pPr>
            <w:r>
              <w:rPr>
                <w:w w:val="95"/>
                <w:sz w:val="16"/>
              </w:rPr>
              <w:t>Operational</w:t>
            </w:r>
            <w:r>
              <w:rPr>
                <w:sz w:val="16"/>
              </w:rPr>
              <w:t xml:space="preserve"> </w:t>
            </w:r>
            <w:r>
              <w:rPr>
                <w:w w:val="95"/>
                <w:sz w:val="16"/>
              </w:rPr>
              <w:t>reform</w:t>
            </w:r>
            <w:r>
              <w:rPr>
                <w:spacing w:val="-1"/>
                <w:sz w:val="16"/>
              </w:rPr>
              <w:t xml:space="preserve"> </w:t>
            </w:r>
            <w:r>
              <w:rPr>
                <w:w w:val="95"/>
                <w:sz w:val="16"/>
              </w:rPr>
              <w:t>–</w:t>
            </w:r>
            <w:r>
              <w:rPr>
                <w:sz w:val="16"/>
              </w:rPr>
              <w:t xml:space="preserve"> </w:t>
            </w:r>
            <w:r>
              <w:rPr>
                <w:w w:val="95"/>
                <w:sz w:val="16"/>
              </w:rPr>
              <w:t>no</w:t>
            </w:r>
            <w:r>
              <w:rPr>
                <w:spacing w:val="1"/>
                <w:sz w:val="16"/>
              </w:rPr>
              <w:t xml:space="preserve"> </w:t>
            </w:r>
            <w:r>
              <w:rPr>
                <w:w w:val="95"/>
                <w:sz w:val="16"/>
              </w:rPr>
              <w:t>major</w:t>
            </w:r>
            <w:r>
              <w:rPr>
                <w:sz w:val="16"/>
              </w:rPr>
              <w:t xml:space="preserve"> </w:t>
            </w:r>
            <w:r>
              <w:rPr>
                <w:w w:val="95"/>
                <w:sz w:val="16"/>
              </w:rPr>
              <w:t>capital</w:t>
            </w:r>
            <w:r>
              <w:rPr>
                <w:sz w:val="16"/>
              </w:rPr>
              <w:t xml:space="preserve"> </w:t>
            </w:r>
            <w:r>
              <w:rPr>
                <w:w w:val="95"/>
                <w:sz w:val="16"/>
              </w:rPr>
              <w:t>works</w:t>
            </w:r>
            <w:r>
              <w:rPr>
                <w:sz w:val="16"/>
              </w:rPr>
              <w:t xml:space="preserve"> </w:t>
            </w:r>
            <w:r>
              <w:rPr>
                <w:spacing w:val="-2"/>
                <w:w w:val="95"/>
                <w:sz w:val="16"/>
              </w:rPr>
              <w:t>proposed</w:t>
            </w:r>
          </w:p>
        </w:tc>
      </w:tr>
      <w:tr w:rsidR="002C1123">
        <w:trPr>
          <w:trHeight w:val="321"/>
        </w:trPr>
        <w:tc>
          <w:tcPr>
            <w:tcW w:w="510" w:type="dxa"/>
            <w:shd w:val="clear" w:color="auto" w:fill="EBEBEB"/>
          </w:tcPr>
          <w:p w:rsidR="002C1123" w:rsidRDefault="00F22F94">
            <w:pPr>
              <w:pStyle w:val="TableParagraph"/>
              <w:rPr>
                <w:sz w:val="16"/>
              </w:rPr>
            </w:pPr>
            <w:r>
              <w:rPr>
                <w:spacing w:val="-5"/>
                <w:sz w:val="16"/>
              </w:rPr>
              <w:t>29</w:t>
            </w:r>
          </w:p>
        </w:tc>
        <w:tc>
          <w:tcPr>
            <w:tcW w:w="6293" w:type="dxa"/>
            <w:shd w:val="clear" w:color="auto" w:fill="EBEBEB"/>
          </w:tcPr>
          <w:p w:rsidR="002C1123" w:rsidRDefault="00F22F94">
            <w:pPr>
              <w:pStyle w:val="TableParagraph"/>
              <w:rPr>
                <w:sz w:val="16"/>
              </w:rPr>
            </w:pPr>
            <w:r>
              <w:rPr>
                <w:sz w:val="16"/>
              </w:rPr>
              <w:t>Moorebank</w:t>
            </w:r>
            <w:r>
              <w:rPr>
                <w:spacing w:val="2"/>
                <w:sz w:val="16"/>
              </w:rPr>
              <w:t xml:space="preserve"> </w:t>
            </w:r>
            <w:r>
              <w:rPr>
                <w:sz w:val="16"/>
              </w:rPr>
              <w:t>Intermodal</w:t>
            </w:r>
            <w:r>
              <w:rPr>
                <w:spacing w:val="3"/>
                <w:sz w:val="16"/>
              </w:rPr>
              <w:t xml:space="preserve"> </w:t>
            </w:r>
            <w:r>
              <w:rPr>
                <w:sz w:val="16"/>
              </w:rPr>
              <w:t>Terminal:</w:t>
            </w:r>
            <w:r>
              <w:rPr>
                <w:spacing w:val="3"/>
                <w:sz w:val="16"/>
              </w:rPr>
              <w:t xml:space="preserve"> </w:t>
            </w:r>
            <w:r>
              <w:rPr>
                <w:sz w:val="16"/>
              </w:rPr>
              <w:t>site</w:t>
            </w:r>
            <w:r>
              <w:rPr>
                <w:spacing w:val="2"/>
                <w:sz w:val="16"/>
              </w:rPr>
              <w:t xml:space="preserve"> </w:t>
            </w:r>
            <w:r>
              <w:rPr>
                <w:spacing w:val="-2"/>
                <w:sz w:val="16"/>
              </w:rPr>
              <w:t>development</w:t>
            </w:r>
          </w:p>
        </w:tc>
        <w:tc>
          <w:tcPr>
            <w:tcW w:w="737" w:type="dxa"/>
            <w:shd w:val="clear" w:color="auto" w:fill="EBEBEB"/>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304" w:type="dxa"/>
            <w:shd w:val="clear" w:color="auto" w:fill="EBEBEB"/>
          </w:tcPr>
          <w:p w:rsidR="002C1123" w:rsidRDefault="00F22F94">
            <w:pPr>
              <w:pStyle w:val="TableParagraph"/>
              <w:rPr>
                <w:sz w:val="16"/>
              </w:rPr>
            </w:pPr>
            <w:r>
              <w:rPr>
                <w:w w:val="95"/>
                <w:sz w:val="16"/>
              </w:rPr>
              <w:t>Major</w:t>
            </w:r>
            <w:r>
              <w:rPr>
                <w:spacing w:val="-2"/>
                <w:sz w:val="16"/>
              </w:rPr>
              <w:t xml:space="preserve"> </w:t>
            </w:r>
            <w:r>
              <w:rPr>
                <w:spacing w:val="-2"/>
                <w:w w:val="95"/>
                <w:sz w:val="16"/>
              </w:rPr>
              <w:t>project</w:t>
            </w:r>
          </w:p>
        </w:tc>
        <w:tc>
          <w:tcPr>
            <w:tcW w:w="5990" w:type="dxa"/>
            <w:shd w:val="clear" w:color="auto" w:fill="EBEBEB"/>
          </w:tcPr>
          <w:p w:rsidR="002C1123" w:rsidRDefault="00F22F94">
            <w:pPr>
              <w:pStyle w:val="TableParagraph"/>
              <w:rPr>
                <w:sz w:val="16"/>
              </w:rPr>
            </w:pPr>
            <w:r>
              <w:rPr>
                <w:w w:val="95"/>
                <w:sz w:val="16"/>
              </w:rPr>
              <w:t>Terminal</w:t>
            </w:r>
            <w:r>
              <w:rPr>
                <w:sz w:val="16"/>
              </w:rPr>
              <w:t xml:space="preserve"> </w:t>
            </w:r>
            <w:r>
              <w:rPr>
                <w:w w:val="95"/>
                <w:sz w:val="16"/>
              </w:rPr>
              <w:t>to</w:t>
            </w:r>
            <w:r>
              <w:rPr>
                <w:spacing w:val="1"/>
                <w:sz w:val="16"/>
              </w:rPr>
              <w:t xml:space="preserve"> </w:t>
            </w:r>
            <w:r>
              <w:rPr>
                <w:w w:val="95"/>
                <w:sz w:val="16"/>
              </w:rPr>
              <w:t>be</w:t>
            </w:r>
            <w:r>
              <w:rPr>
                <w:sz w:val="16"/>
              </w:rPr>
              <w:t xml:space="preserve"> </w:t>
            </w:r>
            <w:r>
              <w:rPr>
                <w:w w:val="95"/>
                <w:sz w:val="16"/>
              </w:rPr>
              <w:t>funded</w:t>
            </w:r>
            <w:r>
              <w:rPr>
                <w:spacing w:val="1"/>
                <w:sz w:val="16"/>
              </w:rPr>
              <w:t xml:space="preserve"> </w:t>
            </w:r>
            <w:r>
              <w:rPr>
                <w:w w:val="95"/>
                <w:sz w:val="16"/>
              </w:rPr>
              <w:t>by</w:t>
            </w:r>
            <w:r>
              <w:rPr>
                <w:sz w:val="16"/>
              </w:rPr>
              <w:t xml:space="preserve"> </w:t>
            </w:r>
            <w:r>
              <w:rPr>
                <w:w w:val="95"/>
                <w:sz w:val="16"/>
              </w:rPr>
              <w:t>Commonwealth</w:t>
            </w:r>
            <w:r>
              <w:rPr>
                <w:spacing w:val="1"/>
                <w:sz w:val="16"/>
              </w:rPr>
              <w:t xml:space="preserve"> </w:t>
            </w:r>
            <w:r>
              <w:rPr>
                <w:w w:val="95"/>
                <w:sz w:val="16"/>
              </w:rPr>
              <w:t>and</w:t>
            </w:r>
            <w:r>
              <w:rPr>
                <w:sz w:val="16"/>
              </w:rPr>
              <w:t xml:space="preserve"> </w:t>
            </w:r>
            <w:r>
              <w:rPr>
                <w:w w:val="95"/>
                <w:sz w:val="16"/>
              </w:rPr>
              <w:t>private</w:t>
            </w:r>
            <w:r>
              <w:rPr>
                <w:spacing w:val="1"/>
                <w:sz w:val="16"/>
              </w:rPr>
              <w:t xml:space="preserve"> </w:t>
            </w:r>
            <w:r>
              <w:rPr>
                <w:spacing w:val="-2"/>
                <w:w w:val="95"/>
                <w:sz w:val="16"/>
              </w:rPr>
              <w:t>sector</w:t>
            </w:r>
          </w:p>
        </w:tc>
      </w:tr>
    </w:tbl>
    <w:p w:rsidR="002C1123" w:rsidRDefault="002C1123">
      <w:pPr>
        <w:rPr>
          <w:sz w:val="16"/>
        </w:rPr>
        <w:sectPr w:rsidR="002C1123">
          <w:pgSz w:w="16840" w:h="11910" w:orient="landscape"/>
          <w:pgMar w:top="560" w:right="280" w:bottom="700" w:left="500" w:header="0" w:footer="517" w:gutter="0"/>
          <w:cols w:space="720"/>
        </w:sect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spacing w:before="7"/>
        <w:rPr>
          <w:b/>
          <w:sz w:val="29"/>
        </w:rPr>
      </w:pPr>
    </w:p>
    <w:p w:rsidR="002C1123" w:rsidRDefault="00F22F94">
      <w:pPr>
        <w:tabs>
          <w:tab w:val="left" w:pos="7418"/>
          <w:tab w:val="left" w:pos="8155"/>
          <w:tab w:val="left" w:pos="9459"/>
        </w:tabs>
        <w:spacing w:before="107"/>
        <w:ind w:left="615"/>
        <w:rPr>
          <w:b/>
          <w:sz w:val="18"/>
        </w:rPr>
      </w:pPr>
      <w:bookmarkStart w:id="387" w:name="_bookmark275"/>
      <w:bookmarkEnd w:id="387"/>
      <w:r>
        <w:rPr>
          <w:b/>
          <w:color w:val="2E3092"/>
          <w:spacing w:val="-2"/>
          <w:sz w:val="18"/>
        </w:rPr>
        <w:t>Recommendations</w:t>
      </w:r>
      <w:r>
        <w:rPr>
          <w:b/>
          <w:color w:val="2E3092"/>
          <w:sz w:val="18"/>
        </w:rPr>
        <w:tab/>
      </w:r>
      <w:r>
        <w:rPr>
          <w:b/>
          <w:color w:val="2E3092"/>
          <w:spacing w:val="-2"/>
          <w:sz w:val="18"/>
        </w:rPr>
        <w:t>Years</w:t>
      </w:r>
      <w:r>
        <w:rPr>
          <w:b/>
          <w:color w:val="2E3092"/>
          <w:sz w:val="18"/>
        </w:rPr>
        <w:tab/>
      </w:r>
      <w:r>
        <w:rPr>
          <w:b/>
          <w:color w:val="2E3092"/>
          <w:spacing w:val="-4"/>
          <w:sz w:val="18"/>
        </w:rPr>
        <w:t>Type</w:t>
      </w:r>
      <w:r>
        <w:rPr>
          <w:b/>
          <w:color w:val="2E3092"/>
          <w:sz w:val="18"/>
        </w:rPr>
        <w:tab/>
      </w:r>
      <w:r>
        <w:rPr>
          <w:b/>
          <w:color w:val="2E3092"/>
          <w:spacing w:val="-2"/>
          <w:sz w:val="18"/>
        </w:rPr>
        <w:t>Cost</w:t>
      </w:r>
      <w:r>
        <w:rPr>
          <w:b/>
          <w:color w:val="2E3092"/>
          <w:spacing w:val="-4"/>
          <w:sz w:val="18"/>
        </w:rPr>
        <w:t xml:space="preserve"> </w:t>
      </w:r>
      <w:r>
        <w:rPr>
          <w:b/>
          <w:color w:val="2E3092"/>
          <w:spacing w:val="-2"/>
          <w:sz w:val="18"/>
        </w:rPr>
        <w:t>and</w:t>
      </w:r>
      <w:r>
        <w:rPr>
          <w:b/>
          <w:color w:val="2E3092"/>
          <w:spacing w:val="-3"/>
          <w:sz w:val="18"/>
        </w:rPr>
        <w:t xml:space="preserve"> </w:t>
      </w:r>
      <w:r>
        <w:rPr>
          <w:b/>
          <w:color w:val="2E3092"/>
          <w:spacing w:val="-2"/>
          <w:sz w:val="18"/>
        </w:rPr>
        <w:t>Funding</w:t>
      </w:r>
      <w:r>
        <w:rPr>
          <w:b/>
          <w:color w:val="2E3092"/>
          <w:spacing w:val="-4"/>
          <w:sz w:val="18"/>
        </w:rPr>
        <w:t xml:space="preserve"> </w:t>
      </w:r>
      <w:r>
        <w:rPr>
          <w:b/>
          <w:color w:val="2E3092"/>
          <w:spacing w:val="-2"/>
          <w:sz w:val="18"/>
        </w:rPr>
        <w:t>Implications</w:t>
      </w:r>
    </w:p>
    <w:p w:rsidR="002C1123" w:rsidRDefault="002C1123">
      <w:pPr>
        <w:pStyle w:val="BodyText"/>
        <w:spacing w:before="7"/>
        <w:rPr>
          <w:b/>
          <w:sz w:val="5"/>
        </w:rPr>
      </w:pPr>
    </w:p>
    <w:tbl>
      <w:tblPr>
        <w:tblW w:w="0" w:type="auto"/>
        <w:tblInd w:w="5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10"/>
        <w:gridCol w:w="6293"/>
        <w:gridCol w:w="737"/>
        <w:gridCol w:w="1304"/>
        <w:gridCol w:w="5990"/>
      </w:tblGrid>
      <w:tr w:rsidR="002C1123">
        <w:trPr>
          <w:trHeight w:val="541"/>
        </w:trPr>
        <w:tc>
          <w:tcPr>
            <w:tcW w:w="510" w:type="dxa"/>
            <w:shd w:val="clear" w:color="auto" w:fill="EBEBEB"/>
          </w:tcPr>
          <w:p w:rsidR="002C1123" w:rsidRDefault="00F22F94">
            <w:pPr>
              <w:pStyle w:val="TableParagraph"/>
              <w:rPr>
                <w:sz w:val="16"/>
              </w:rPr>
            </w:pPr>
            <w:r>
              <w:rPr>
                <w:spacing w:val="-5"/>
                <w:sz w:val="16"/>
              </w:rPr>
              <w:t>30</w:t>
            </w:r>
          </w:p>
        </w:tc>
        <w:tc>
          <w:tcPr>
            <w:tcW w:w="6293" w:type="dxa"/>
            <w:shd w:val="clear" w:color="auto" w:fill="EBEBEB"/>
          </w:tcPr>
          <w:p w:rsidR="002C1123" w:rsidRDefault="00F22F94">
            <w:pPr>
              <w:pStyle w:val="TableParagraph"/>
              <w:spacing w:line="288" w:lineRule="auto"/>
              <w:rPr>
                <w:sz w:val="16"/>
              </w:rPr>
            </w:pPr>
            <w:r>
              <w:rPr>
                <w:spacing w:val="-2"/>
                <w:w w:val="105"/>
                <w:sz w:val="16"/>
              </w:rPr>
              <w:t>Preserve</w:t>
            </w:r>
            <w:r>
              <w:rPr>
                <w:spacing w:val="-10"/>
                <w:w w:val="105"/>
                <w:sz w:val="16"/>
              </w:rPr>
              <w:t xml:space="preserve"> </w:t>
            </w:r>
            <w:r>
              <w:rPr>
                <w:spacing w:val="-2"/>
                <w:w w:val="105"/>
                <w:sz w:val="16"/>
              </w:rPr>
              <w:t>rail</w:t>
            </w:r>
            <w:r>
              <w:rPr>
                <w:spacing w:val="-10"/>
                <w:w w:val="105"/>
                <w:sz w:val="16"/>
              </w:rPr>
              <w:t xml:space="preserve"> </w:t>
            </w:r>
            <w:r>
              <w:rPr>
                <w:spacing w:val="-2"/>
                <w:w w:val="105"/>
                <w:sz w:val="16"/>
              </w:rPr>
              <w:t>corridor</w:t>
            </w:r>
            <w:r>
              <w:rPr>
                <w:spacing w:val="-9"/>
                <w:w w:val="105"/>
                <w:sz w:val="16"/>
              </w:rPr>
              <w:t xml:space="preserve"> </w:t>
            </w:r>
            <w:r>
              <w:rPr>
                <w:spacing w:val="-2"/>
                <w:w w:val="105"/>
                <w:sz w:val="16"/>
              </w:rPr>
              <w:t>for</w:t>
            </w:r>
            <w:r>
              <w:rPr>
                <w:spacing w:val="-10"/>
                <w:w w:val="105"/>
                <w:sz w:val="16"/>
              </w:rPr>
              <w:t xml:space="preserve"> </w:t>
            </w:r>
            <w:r>
              <w:rPr>
                <w:spacing w:val="-2"/>
                <w:w w:val="105"/>
                <w:sz w:val="16"/>
              </w:rPr>
              <w:t>the</w:t>
            </w:r>
            <w:r>
              <w:rPr>
                <w:spacing w:val="-10"/>
                <w:w w:val="105"/>
                <w:sz w:val="16"/>
              </w:rPr>
              <w:t xml:space="preserve"> </w:t>
            </w:r>
            <w:r>
              <w:rPr>
                <w:spacing w:val="-2"/>
                <w:w w:val="105"/>
                <w:sz w:val="16"/>
              </w:rPr>
              <w:t>Western</w:t>
            </w:r>
            <w:r>
              <w:rPr>
                <w:spacing w:val="-9"/>
                <w:w w:val="105"/>
                <w:sz w:val="16"/>
              </w:rPr>
              <w:t xml:space="preserve"> </w:t>
            </w:r>
            <w:r>
              <w:rPr>
                <w:spacing w:val="-2"/>
                <w:w w:val="105"/>
                <w:sz w:val="16"/>
              </w:rPr>
              <w:t>Sydney</w:t>
            </w:r>
            <w:r>
              <w:rPr>
                <w:spacing w:val="-10"/>
                <w:w w:val="105"/>
                <w:sz w:val="16"/>
              </w:rPr>
              <w:t xml:space="preserve"> </w:t>
            </w:r>
            <w:r>
              <w:rPr>
                <w:spacing w:val="-2"/>
                <w:w w:val="105"/>
                <w:sz w:val="16"/>
              </w:rPr>
              <w:t>Freight</w:t>
            </w:r>
            <w:r>
              <w:rPr>
                <w:spacing w:val="-10"/>
                <w:w w:val="105"/>
                <w:sz w:val="16"/>
              </w:rPr>
              <w:t xml:space="preserve"> </w:t>
            </w:r>
            <w:r>
              <w:rPr>
                <w:spacing w:val="-2"/>
                <w:w w:val="105"/>
                <w:sz w:val="16"/>
              </w:rPr>
              <w:t>Line</w:t>
            </w:r>
            <w:r>
              <w:rPr>
                <w:spacing w:val="-9"/>
                <w:w w:val="105"/>
                <w:sz w:val="16"/>
              </w:rPr>
              <w:t xml:space="preserve"> </w:t>
            </w:r>
            <w:r>
              <w:rPr>
                <w:spacing w:val="-2"/>
                <w:w w:val="105"/>
                <w:sz w:val="16"/>
              </w:rPr>
              <w:t>and</w:t>
            </w:r>
            <w:r>
              <w:rPr>
                <w:spacing w:val="-10"/>
                <w:w w:val="105"/>
                <w:sz w:val="16"/>
              </w:rPr>
              <w:t xml:space="preserve"> </w:t>
            </w:r>
            <w:r>
              <w:rPr>
                <w:spacing w:val="-2"/>
                <w:w w:val="105"/>
                <w:sz w:val="16"/>
              </w:rPr>
              <w:t>site</w:t>
            </w:r>
            <w:r>
              <w:rPr>
                <w:spacing w:val="-10"/>
                <w:w w:val="105"/>
                <w:sz w:val="16"/>
              </w:rPr>
              <w:t xml:space="preserve"> </w:t>
            </w:r>
            <w:r>
              <w:rPr>
                <w:spacing w:val="-2"/>
                <w:w w:val="105"/>
                <w:sz w:val="16"/>
              </w:rPr>
              <w:t>for</w:t>
            </w:r>
            <w:r>
              <w:rPr>
                <w:spacing w:val="-9"/>
                <w:w w:val="105"/>
                <w:sz w:val="16"/>
              </w:rPr>
              <w:t xml:space="preserve"> </w:t>
            </w:r>
            <w:r>
              <w:rPr>
                <w:spacing w:val="-2"/>
                <w:w w:val="105"/>
                <w:sz w:val="16"/>
              </w:rPr>
              <w:t>Eastern</w:t>
            </w:r>
            <w:r>
              <w:rPr>
                <w:spacing w:val="-10"/>
                <w:w w:val="105"/>
                <w:sz w:val="16"/>
              </w:rPr>
              <w:t xml:space="preserve"> </w:t>
            </w:r>
            <w:r>
              <w:rPr>
                <w:spacing w:val="-2"/>
                <w:w w:val="105"/>
                <w:sz w:val="16"/>
              </w:rPr>
              <w:t xml:space="preserve">Creek </w:t>
            </w:r>
            <w:r>
              <w:rPr>
                <w:w w:val="105"/>
                <w:sz w:val="16"/>
              </w:rPr>
              <w:t>Intermodal</w:t>
            </w:r>
            <w:r>
              <w:rPr>
                <w:spacing w:val="-6"/>
                <w:w w:val="105"/>
                <w:sz w:val="16"/>
              </w:rPr>
              <w:t xml:space="preserve"> </w:t>
            </w:r>
            <w:r>
              <w:rPr>
                <w:w w:val="105"/>
                <w:sz w:val="16"/>
              </w:rPr>
              <w:t>Terminal</w:t>
            </w:r>
          </w:p>
        </w:tc>
        <w:tc>
          <w:tcPr>
            <w:tcW w:w="737" w:type="dxa"/>
            <w:shd w:val="clear" w:color="auto" w:fill="EBEBEB"/>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304" w:type="dxa"/>
            <w:shd w:val="clear" w:color="auto" w:fill="EBEBEB"/>
          </w:tcPr>
          <w:p w:rsidR="002C1123" w:rsidRDefault="00F22F94">
            <w:pPr>
              <w:pStyle w:val="TableParagraph"/>
              <w:rPr>
                <w:sz w:val="16"/>
              </w:rPr>
            </w:pPr>
            <w:r>
              <w:rPr>
                <w:spacing w:val="-2"/>
                <w:sz w:val="16"/>
              </w:rPr>
              <w:t>Corridor</w:t>
            </w:r>
          </w:p>
        </w:tc>
        <w:tc>
          <w:tcPr>
            <w:tcW w:w="5990" w:type="dxa"/>
            <w:shd w:val="clear" w:color="auto" w:fill="EBEBEB"/>
          </w:tcPr>
          <w:p w:rsidR="002C1123" w:rsidRDefault="00F22F94">
            <w:pPr>
              <w:pStyle w:val="TableParagraph"/>
              <w:spacing w:before="70" w:line="235" w:lineRule="auto"/>
              <w:ind w:right="206"/>
              <w:rPr>
                <w:sz w:val="16"/>
              </w:rPr>
            </w:pPr>
            <w:r>
              <w:rPr>
                <w:w w:val="95"/>
                <w:sz w:val="16"/>
              </w:rPr>
              <w:t xml:space="preserve">Cost of corridor planning is not material. No assessment of land acquisition costs </w:t>
            </w:r>
            <w:r>
              <w:rPr>
                <w:sz w:val="16"/>
              </w:rPr>
              <w:t>has been made</w:t>
            </w:r>
          </w:p>
        </w:tc>
      </w:tr>
      <w:tr w:rsidR="002C1123">
        <w:trPr>
          <w:trHeight w:val="321"/>
        </w:trPr>
        <w:tc>
          <w:tcPr>
            <w:tcW w:w="510" w:type="dxa"/>
            <w:shd w:val="clear" w:color="auto" w:fill="EBEBEB"/>
          </w:tcPr>
          <w:p w:rsidR="002C1123" w:rsidRDefault="00F22F94">
            <w:pPr>
              <w:pStyle w:val="TableParagraph"/>
              <w:rPr>
                <w:sz w:val="16"/>
              </w:rPr>
            </w:pPr>
            <w:r>
              <w:rPr>
                <w:spacing w:val="-5"/>
                <w:sz w:val="16"/>
              </w:rPr>
              <w:t>31</w:t>
            </w:r>
          </w:p>
        </w:tc>
        <w:tc>
          <w:tcPr>
            <w:tcW w:w="6293" w:type="dxa"/>
            <w:shd w:val="clear" w:color="auto" w:fill="EBEBEB"/>
          </w:tcPr>
          <w:p w:rsidR="002C1123" w:rsidRDefault="00F22F94">
            <w:pPr>
              <w:pStyle w:val="TableParagraph"/>
              <w:rPr>
                <w:sz w:val="16"/>
              </w:rPr>
            </w:pPr>
            <w:r>
              <w:rPr>
                <w:sz w:val="16"/>
              </w:rPr>
              <w:t>Preserve</w:t>
            </w:r>
            <w:r>
              <w:rPr>
                <w:spacing w:val="2"/>
                <w:sz w:val="16"/>
              </w:rPr>
              <w:t xml:space="preserve"> </w:t>
            </w:r>
            <w:r>
              <w:rPr>
                <w:sz w:val="16"/>
              </w:rPr>
              <w:t>integrity</w:t>
            </w:r>
            <w:r>
              <w:rPr>
                <w:spacing w:val="2"/>
                <w:sz w:val="16"/>
              </w:rPr>
              <w:t xml:space="preserve"> </w:t>
            </w:r>
            <w:r>
              <w:rPr>
                <w:sz w:val="16"/>
              </w:rPr>
              <w:t>of</w:t>
            </w:r>
            <w:r>
              <w:rPr>
                <w:spacing w:val="2"/>
                <w:sz w:val="16"/>
              </w:rPr>
              <w:t xml:space="preserve"> </w:t>
            </w:r>
            <w:r>
              <w:rPr>
                <w:sz w:val="16"/>
              </w:rPr>
              <w:t>Badgerys</w:t>
            </w:r>
            <w:r>
              <w:rPr>
                <w:spacing w:val="3"/>
                <w:sz w:val="16"/>
              </w:rPr>
              <w:t xml:space="preserve"> </w:t>
            </w:r>
            <w:r>
              <w:rPr>
                <w:sz w:val="16"/>
              </w:rPr>
              <w:t>Creek</w:t>
            </w:r>
            <w:r>
              <w:rPr>
                <w:spacing w:val="2"/>
                <w:sz w:val="16"/>
              </w:rPr>
              <w:t xml:space="preserve"> </w:t>
            </w:r>
            <w:r>
              <w:rPr>
                <w:sz w:val="16"/>
              </w:rPr>
              <w:t>site</w:t>
            </w:r>
            <w:r>
              <w:rPr>
                <w:spacing w:val="2"/>
                <w:sz w:val="16"/>
              </w:rPr>
              <w:t xml:space="preserve"> </w:t>
            </w:r>
            <w:r>
              <w:rPr>
                <w:sz w:val="16"/>
              </w:rPr>
              <w:t>for</w:t>
            </w:r>
            <w:r>
              <w:rPr>
                <w:spacing w:val="3"/>
                <w:sz w:val="16"/>
              </w:rPr>
              <w:t xml:space="preserve"> </w:t>
            </w:r>
            <w:r>
              <w:rPr>
                <w:sz w:val="16"/>
              </w:rPr>
              <w:t>future</w:t>
            </w:r>
            <w:r>
              <w:rPr>
                <w:spacing w:val="2"/>
                <w:sz w:val="16"/>
              </w:rPr>
              <w:t xml:space="preserve"> </w:t>
            </w:r>
            <w:r>
              <w:rPr>
                <w:sz w:val="16"/>
              </w:rPr>
              <w:t>aviation</w:t>
            </w:r>
            <w:r>
              <w:rPr>
                <w:spacing w:val="2"/>
                <w:sz w:val="16"/>
              </w:rPr>
              <w:t xml:space="preserve"> </w:t>
            </w:r>
            <w:r>
              <w:rPr>
                <w:spacing w:val="-5"/>
                <w:sz w:val="16"/>
              </w:rPr>
              <w:t>use</w:t>
            </w:r>
          </w:p>
        </w:tc>
        <w:tc>
          <w:tcPr>
            <w:tcW w:w="737" w:type="dxa"/>
            <w:shd w:val="clear" w:color="auto" w:fill="EBEBEB"/>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304" w:type="dxa"/>
            <w:shd w:val="clear" w:color="auto" w:fill="EBEBEB"/>
          </w:tcPr>
          <w:p w:rsidR="002C1123" w:rsidRDefault="00F22F94">
            <w:pPr>
              <w:pStyle w:val="TableParagraph"/>
              <w:rPr>
                <w:sz w:val="16"/>
              </w:rPr>
            </w:pPr>
            <w:r>
              <w:rPr>
                <w:spacing w:val="-2"/>
                <w:sz w:val="16"/>
              </w:rPr>
              <w:t>Corridor</w:t>
            </w:r>
          </w:p>
        </w:tc>
        <w:tc>
          <w:tcPr>
            <w:tcW w:w="5990" w:type="dxa"/>
            <w:shd w:val="clear" w:color="auto" w:fill="EBEBEB"/>
          </w:tcPr>
          <w:p w:rsidR="002C1123" w:rsidRDefault="00F22F94">
            <w:pPr>
              <w:pStyle w:val="TableParagraph"/>
              <w:rPr>
                <w:sz w:val="16"/>
              </w:rPr>
            </w:pPr>
            <w:r>
              <w:rPr>
                <w:sz w:val="16"/>
              </w:rPr>
              <w:t>Cost</w:t>
            </w:r>
            <w:r>
              <w:rPr>
                <w:spacing w:val="-8"/>
                <w:sz w:val="16"/>
              </w:rPr>
              <w:t xml:space="preserve"> </w:t>
            </w:r>
            <w:r>
              <w:rPr>
                <w:spacing w:val="-2"/>
                <w:sz w:val="16"/>
              </w:rPr>
              <w:t>neutral</w:t>
            </w:r>
          </w:p>
        </w:tc>
      </w:tr>
      <w:tr w:rsidR="002C1123">
        <w:trPr>
          <w:trHeight w:val="321"/>
        </w:trPr>
        <w:tc>
          <w:tcPr>
            <w:tcW w:w="510" w:type="dxa"/>
            <w:shd w:val="clear" w:color="auto" w:fill="EBEBEB"/>
          </w:tcPr>
          <w:p w:rsidR="002C1123" w:rsidRDefault="00F22F94">
            <w:pPr>
              <w:pStyle w:val="TableParagraph"/>
              <w:rPr>
                <w:sz w:val="16"/>
              </w:rPr>
            </w:pPr>
            <w:r>
              <w:rPr>
                <w:spacing w:val="-5"/>
                <w:sz w:val="16"/>
              </w:rPr>
              <w:t>32</w:t>
            </w:r>
          </w:p>
        </w:tc>
        <w:tc>
          <w:tcPr>
            <w:tcW w:w="6293" w:type="dxa"/>
            <w:shd w:val="clear" w:color="auto" w:fill="EBEBEB"/>
          </w:tcPr>
          <w:p w:rsidR="002C1123" w:rsidRDefault="00F22F94">
            <w:pPr>
              <w:pStyle w:val="TableParagraph"/>
              <w:rPr>
                <w:sz w:val="16"/>
              </w:rPr>
            </w:pPr>
            <w:r>
              <w:rPr>
                <w:sz w:val="16"/>
              </w:rPr>
              <w:t>Assess passenger travel options at RAAF</w:t>
            </w:r>
            <w:r>
              <w:rPr>
                <w:spacing w:val="1"/>
                <w:sz w:val="16"/>
              </w:rPr>
              <w:t xml:space="preserve"> </w:t>
            </w:r>
            <w:r>
              <w:rPr>
                <w:sz w:val="16"/>
              </w:rPr>
              <w:t xml:space="preserve">Base </w:t>
            </w:r>
            <w:r>
              <w:rPr>
                <w:spacing w:val="-2"/>
                <w:sz w:val="16"/>
              </w:rPr>
              <w:t>Richmond</w:t>
            </w:r>
          </w:p>
        </w:tc>
        <w:tc>
          <w:tcPr>
            <w:tcW w:w="737" w:type="dxa"/>
            <w:shd w:val="clear" w:color="auto" w:fill="EBEBEB"/>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304" w:type="dxa"/>
            <w:shd w:val="clear" w:color="auto" w:fill="EBEBEB"/>
          </w:tcPr>
          <w:p w:rsidR="002C1123" w:rsidRDefault="00F22F94">
            <w:pPr>
              <w:pStyle w:val="TableParagraph"/>
              <w:rPr>
                <w:sz w:val="16"/>
              </w:rPr>
            </w:pPr>
            <w:r>
              <w:rPr>
                <w:spacing w:val="-2"/>
                <w:sz w:val="16"/>
              </w:rPr>
              <w:t>Planning</w:t>
            </w:r>
          </w:p>
        </w:tc>
        <w:tc>
          <w:tcPr>
            <w:tcW w:w="5990" w:type="dxa"/>
            <w:shd w:val="clear" w:color="auto" w:fill="EBEBEB"/>
          </w:tcPr>
          <w:p w:rsidR="002C1123" w:rsidRDefault="00F22F94">
            <w:pPr>
              <w:pStyle w:val="TableParagraph"/>
              <w:rPr>
                <w:sz w:val="16"/>
              </w:rPr>
            </w:pPr>
            <w:r>
              <w:rPr>
                <w:w w:val="95"/>
                <w:sz w:val="16"/>
              </w:rPr>
              <w:t>Cost</w:t>
            </w:r>
            <w:r>
              <w:rPr>
                <w:spacing w:val="1"/>
                <w:sz w:val="16"/>
              </w:rPr>
              <w:t xml:space="preserve"> </w:t>
            </w:r>
            <w:r>
              <w:rPr>
                <w:w w:val="95"/>
                <w:sz w:val="16"/>
              </w:rPr>
              <w:t>of</w:t>
            </w:r>
            <w:r>
              <w:rPr>
                <w:spacing w:val="2"/>
                <w:sz w:val="16"/>
              </w:rPr>
              <w:t xml:space="preserve"> </w:t>
            </w:r>
            <w:r>
              <w:rPr>
                <w:w w:val="95"/>
                <w:sz w:val="16"/>
              </w:rPr>
              <w:t>planning</w:t>
            </w:r>
            <w:r>
              <w:rPr>
                <w:spacing w:val="2"/>
                <w:sz w:val="16"/>
              </w:rPr>
              <w:t xml:space="preserve"> </w:t>
            </w:r>
            <w:r>
              <w:rPr>
                <w:w w:val="95"/>
                <w:sz w:val="16"/>
              </w:rPr>
              <w:t>work</w:t>
            </w:r>
            <w:r>
              <w:rPr>
                <w:spacing w:val="2"/>
                <w:sz w:val="16"/>
              </w:rPr>
              <w:t xml:space="preserve"> </w:t>
            </w:r>
            <w:r>
              <w:rPr>
                <w:w w:val="95"/>
                <w:sz w:val="16"/>
              </w:rPr>
              <w:t>is</w:t>
            </w:r>
            <w:r>
              <w:rPr>
                <w:spacing w:val="2"/>
                <w:sz w:val="16"/>
              </w:rPr>
              <w:t xml:space="preserve"> </w:t>
            </w:r>
            <w:r>
              <w:rPr>
                <w:w w:val="95"/>
                <w:sz w:val="16"/>
              </w:rPr>
              <w:t>not</w:t>
            </w:r>
            <w:r>
              <w:rPr>
                <w:spacing w:val="2"/>
                <w:sz w:val="16"/>
              </w:rPr>
              <w:t xml:space="preserve"> </w:t>
            </w:r>
            <w:r>
              <w:rPr>
                <w:spacing w:val="-2"/>
                <w:w w:val="95"/>
                <w:sz w:val="16"/>
              </w:rPr>
              <w:t>material</w:t>
            </w:r>
          </w:p>
        </w:tc>
      </w:tr>
      <w:tr w:rsidR="002C1123">
        <w:trPr>
          <w:trHeight w:val="321"/>
        </w:trPr>
        <w:tc>
          <w:tcPr>
            <w:tcW w:w="510" w:type="dxa"/>
            <w:shd w:val="clear" w:color="auto" w:fill="EBEBEB"/>
          </w:tcPr>
          <w:p w:rsidR="002C1123" w:rsidRDefault="00F22F94">
            <w:pPr>
              <w:pStyle w:val="TableParagraph"/>
              <w:rPr>
                <w:sz w:val="16"/>
              </w:rPr>
            </w:pPr>
            <w:r>
              <w:rPr>
                <w:spacing w:val="-5"/>
                <w:sz w:val="16"/>
              </w:rPr>
              <w:t>33</w:t>
            </w:r>
          </w:p>
        </w:tc>
        <w:tc>
          <w:tcPr>
            <w:tcW w:w="6293" w:type="dxa"/>
            <w:shd w:val="clear" w:color="auto" w:fill="EBEBEB"/>
          </w:tcPr>
          <w:p w:rsidR="002C1123" w:rsidRDefault="00F22F94">
            <w:pPr>
              <w:pStyle w:val="TableParagraph"/>
              <w:rPr>
                <w:sz w:val="16"/>
              </w:rPr>
            </w:pPr>
            <w:r>
              <w:rPr>
                <w:spacing w:val="-4"/>
                <w:w w:val="105"/>
                <w:sz w:val="16"/>
              </w:rPr>
              <w:t>Moorebank</w:t>
            </w:r>
            <w:r>
              <w:rPr>
                <w:spacing w:val="8"/>
                <w:w w:val="105"/>
                <w:sz w:val="16"/>
              </w:rPr>
              <w:t xml:space="preserve"> </w:t>
            </w:r>
            <w:r>
              <w:rPr>
                <w:spacing w:val="-4"/>
                <w:w w:val="105"/>
                <w:sz w:val="16"/>
              </w:rPr>
              <w:t>Intermodal</w:t>
            </w:r>
            <w:r>
              <w:rPr>
                <w:spacing w:val="8"/>
                <w:w w:val="105"/>
                <w:sz w:val="16"/>
              </w:rPr>
              <w:t xml:space="preserve"> </w:t>
            </w:r>
            <w:r>
              <w:rPr>
                <w:spacing w:val="-4"/>
                <w:w w:val="105"/>
                <w:sz w:val="16"/>
              </w:rPr>
              <w:t>Terminal:</w:t>
            </w:r>
            <w:r>
              <w:rPr>
                <w:spacing w:val="8"/>
                <w:w w:val="105"/>
                <w:sz w:val="16"/>
              </w:rPr>
              <w:t xml:space="preserve"> </w:t>
            </w:r>
            <w:r>
              <w:rPr>
                <w:spacing w:val="-4"/>
                <w:w w:val="105"/>
                <w:sz w:val="16"/>
              </w:rPr>
              <w:t>supporting</w:t>
            </w:r>
            <w:r>
              <w:rPr>
                <w:spacing w:val="9"/>
                <w:w w:val="105"/>
                <w:sz w:val="16"/>
              </w:rPr>
              <w:t xml:space="preserve"> </w:t>
            </w:r>
            <w:r>
              <w:rPr>
                <w:spacing w:val="-4"/>
                <w:w w:val="105"/>
                <w:sz w:val="16"/>
              </w:rPr>
              <w:t>infrastructure</w:t>
            </w:r>
          </w:p>
        </w:tc>
        <w:tc>
          <w:tcPr>
            <w:tcW w:w="737" w:type="dxa"/>
            <w:shd w:val="clear" w:color="auto" w:fill="EBEBEB"/>
          </w:tcPr>
          <w:p w:rsidR="002C1123" w:rsidRDefault="00F22F94">
            <w:pPr>
              <w:pStyle w:val="TableParagraph"/>
              <w:rPr>
                <w:sz w:val="16"/>
              </w:rPr>
            </w:pPr>
            <w:r>
              <w:rPr>
                <w:sz w:val="16"/>
              </w:rPr>
              <w:t>5</w:t>
            </w:r>
            <w:r>
              <w:rPr>
                <w:spacing w:val="-10"/>
                <w:sz w:val="16"/>
              </w:rPr>
              <w:t xml:space="preserve"> </w:t>
            </w:r>
            <w:r>
              <w:rPr>
                <w:sz w:val="16"/>
              </w:rPr>
              <w:t>–</w:t>
            </w:r>
            <w:r>
              <w:rPr>
                <w:spacing w:val="-9"/>
                <w:sz w:val="16"/>
              </w:rPr>
              <w:t xml:space="preserve"> </w:t>
            </w:r>
            <w:r>
              <w:rPr>
                <w:spacing w:val="-5"/>
                <w:sz w:val="16"/>
              </w:rPr>
              <w:t>10</w:t>
            </w:r>
          </w:p>
        </w:tc>
        <w:tc>
          <w:tcPr>
            <w:tcW w:w="1304" w:type="dxa"/>
            <w:shd w:val="clear" w:color="auto" w:fill="EBEBEB"/>
          </w:tcPr>
          <w:p w:rsidR="002C1123" w:rsidRDefault="00F22F94">
            <w:pPr>
              <w:pStyle w:val="TableParagraph"/>
              <w:rPr>
                <w:sz w:val="16"/>
              </w:rPr>
            </w:pPr>
            <w:r>
              <w:rPr>
                <w:spacing w:val="-2"/>
                <w:sz w:val="16"/>
              </w:rPr>
              <w:t>Program</w:t>
            </w:r>
          </w:p>
        </w:tc>
        <w:tc>
          <w:tcPr>
            <w:tcW w:w="5990" w:type="dxa"/>
            <w:shd w:val="clear" w:color="auto" w:fill="EBEBEB"/>
          </w:tcPr>
          <w:p w:rsidR="002C1123" w:rsidRDefault="00F22F94">
            <w:pPr>
              <w:pStyle w:val="TableParagraph"/>
              <w:rPr>
                <w:sz w:val="16"/>
              </w:rPr>
            </w:pPr>
            <w:r>
              <w:rPr>
                <w:w w:val="95"/>
                <w:sz w:val="16"/>
              </w:rPr>
              <w:t>Estimate</w:t>
            </w:r>
            <w:r>
              <w:rPr>
                <w:sz w:val="16"/>
              </w:rPr>
              <w:t xml:space="preserve"> </w:t>
            </w:r>
            <w:r>
              <w:rPr>
                <w:w w:val="95"/>
                <w:sz w:val="16"/>
              </w:rPr>
              <w:t>of</w:t>
            </w:r>
            <w:r>
              <w:rPr>
                <w:sz w:val="16"/>
              </w:rPr>
              <w:t xml:space="preserve"> </w:t>
            </w:r>
            <w:r>
              <w:rPr>
                <w:w w:val="95"/>
                <w:sz w:val="16"/>
              </w:rPr>
              <w:t>$300</w:t>
            </w:r>
            <w:r>
              <w:rPr>
                <w:spacing w:val="1"/>
                <w:sz w:val="16"/>
              </w:rPr>
              <w:t xml:space="preserve"> </w:t>
            </w:r>
            <w:r>
              <w:rPr>
                <w:spacing w:val="-2"/>
                <w:w w:val="95"/>
                <w:sz w:val="16"/>
              </w:rPr>
              <w:t>million</w:t>
            </w:r>
          </w:p>
        </w:tc>
      </w:tr>
      <w:tr w:rsidR="002C1123">
        <w:trPr>
          <w:trHeight w:val="321"/>
        </w:trPr>
        <w:tc>
          <w:tcPr>
            <w:tcW w:w="510" w:type="dxa"/>
            <w:shd w:val="clear" w:color="auto" w:fill="EBEBEB"/>
          </w:tcPr>
          <w:p w:rsidR="002C1123" w:rsidRDefault="00F22F94">
            <w:pPr>
              <w:pStyle w:val="TableParagraph"/>
              <w:rPr>
                <w:sz w:val="16"/>
              </w:rPr>
            </w:pPr>
            <w:r>
              <w:rPr>
                <w:spacing w:val="-5"/>
                <w:sz w:val="16"/>
              </w:rPr>
              <w:t>34</w:t>
            </w:r>
          </w:p>
        </w:tc>
        <w:tc>
          <w:tcPr>
            <w:tcW w:w="6293" w:type="dxa"/>
            <w:shd w:val="clear" w:color="auto" w:fill="EBEBEB"/>
          </w:tcPr>
          <w:p w:rsidR="002C1123" w:rsidRDefault="00F22F94">
            <w:pPr>
              <w:pStyle w:val="TableParagraph"/>
              <w:rPr>
                <w:sz w:val="16"/>
              </w:rPr>
            </w:pPr>
            <w:r>
              <w:rPr>
                <w:spacing w:val="-2"/>
                <w:w w:val="105"/>
                <w:sz w:val="16"/>
              </w:rPr>
              <w:t>Incremental</w:t>
            </w:r>
            <w:r>
              <w:rPr>
                <w:spacing w:val="-9"/>
                <w:w w:val="105"/>
                <w:sz w:val="16"/>
              </w:rPr>
              <w:t xml:space="preserve"> </w:t>
            </w:r>
            <w:r>
              <w:rPr>
                <w:spacing w:val="-2"/>
                <w:w w:val="105"/>
                <w:sz w:val="16"/>
              </w:rPr>
              <w:t>capacity</w:t>
            </w:r>
            <w:r>
              <w:rPr>
                <w:spacing w:val="-8"/>
                <w:w w:val="105"/>
                <w:sz w:val="16"/>
              </w:rPr>
              <w:t xml:space="preserve"> </w:t>
            </w:r>
            <w:r>
              <w:rPr>
                <w:spacing w:val="-2"/>
                <w:w w:val="105"/>
                <w:sz w:val="16"/>
              </w:rPr>
              <w:t>upgrades</w:t>
            </w:r>
            <w:r>
              <w:rPr>
                <w:spacing w:val="-8"/>
                <w:w w:val="105"/>
                <w:sz w:val="16"/>
              </w:rPr>
              <w:t xml:space="preserve"> </w:t>
            </w:r>
            <w:r>
              <w:rPr>
                <w:spacing w:val="-2"/>
                <w:w w:val="105"/>
                <w:sz w:val="16"/>
              </w:rPr>
              <w:t>on</w:t>
            </w:r>
            <w:r>
              <w:rPr>
                <w:spacing w:val="-8"/>
                <w:w w:val="105"/>
                <w:sz w:val="16"/>
              </w:rPr>
              <w:t xml:space="preserve"> </w:t>
            </w:r>
            <w:r>
              <w:rPr>
                <w:spacing w:val="-2"/>
                <w:w w:val="105"/>
                <w:sz w:val="16"/>
              </w:rPr>
              <w:t>freight</w:t>
            </w:r>
            <w:r>
              <w:rPr>
                <w:spacing w:val="-9"/>
                <w:w w:val="105"/>
                <w:sz w:val="16"/>
              </w:rPr>
              <w:t xml:space="preserve"> </w:t>
            </w:r>
            <w:r>
              <w:rPr>
                <w:spacing w:val="-2"/>
                <w:w w:val="105"/>
                <w:sz w:val="16"/>
              </w:rPr>
              <w:t>rail</w:t>
            </w:r>
            <w:r>
              <w:rPr>
                <w:spacing w:val="-8"/>
                <w:w w:val="105"/>
                <w:sz w:val="16"/>
              </w:rPr>
              <w:t xml:space="preserve"> </w:t>
            </w:r>
            <w:r>
              <w:rPr>
                <w:spacing w:val="-2"/>
                <w:w w:val="105"/>
                <w:sz w:val="16"/>
              </w:rPr>
              <w:t>lines</w:t>
            </w:r>
            <w:r>
              <w:rPr>
                <w:spacing w:val="-8"/>
                <w:w w:val="105"/>
                <w:sz w:val="16"/>
              </w:rPr>
              <w:t xml:space="preserve"> </w:t>
            </w:r>
            <w:r>
              <w:rPr>
                <w:spacing w:val="-2"/>
                <w:w w:val="105"/>
                <w:sz w:val="16"/>
              </w:rPr>
              <w:t>in</w:t>
            </w:r>
            <w:r>
              <w:rPr>
                <w:spacing w:val="-8"/>
                <w:w w:val="105"/>
                <w:sz w:val="16"/>
              </w:rPr>
              <w:t xml:space="preserve"> </w:t>
            </w:r>
            <w:r>
              <w:rPr>
                <w:spacing w:val="-2"/>
                <w:w w:val="105"/>
                <w:sz w:val="16"/>
              </w:rPr>
              <w:t>Sydney</w:t>
            </w:r>
            <w:r>
              <w:rPr>
                <w:spacing w:val="-9"/>
                <w:w w:val="105"/>
                <w:sz w:val="16"/>
              </w:rPr>
              <w:t xml:space="preserve"> </w:t>
            </w:r>
            <w:r>
              <w:rPr>
                <w:spacing w:val="-4"/>
                <w:w w:val="105"/>
                <w:sz w:val="16"/>
              </w:rPr>
              <w:t>area</w:t>
            </w:r>
          </w:p>
        </w:tc>
        <w:tc>
          <w:tcPr>
            <w:tcW w:w="737" w:type="dxa"/>
            <w:shd w:val="clear" w:color="auto" w:fill="EBEBEB"/>
          </w:tcPr>
          <w:p w:rsidR="002C1123" w:rsidRDefault="00F22F94">
            <w:pPr>
              <w:pStyle w:val="TableParagraph"/>
              <w:rPr>
                <w:sz w:val="16"/>
              </w:rPr>
            </w:pPr>
            <w:r>
              <w:rPr>
                <w:sz w:val="16"/>
              </w:rPr>
              <w:t>5</w:t>
            </w:r>
            <w:r>
              <w:rPr>
                <w:spacing w:val="-10"/>
                <w:sz w:val="16"/>
              </w:rPr>
              <w:t xml:space="preserve"> </w:t>
            </w:r>
            <w:r>
              <w:rPr>
                <w:sz w:val="16"/>
              </w:rPr>
              <w:t>–</w:t>
            </w:r>
            <w:r>
              <w:rPr>
                <w:spacing w:val="-9"/>
                <w:sz w:val="16"/>
              </w:rPr>
              <w:t xml:space="preserve"> </w:t>
            </w:r>
            <w:r>
              <w:rPr>
                <w:spacing w:val="-5"/>
                <w:sz w:val="16"/>
              </w:rPr>
              <w:t>10</w:t>
            </w:r>
          </w:p>
        </w:tc>
        <w:tc>
          <w:tcPr>
            <w:tcW w:w="1304" w:type="dxa"/>
            <w:shd w:val="clear" w:color="auto" w:fill="EBEBEB"/>
          </w:tcPr>
          <w:p w:rsidR="002C1123" w:rsidRDefault="00F22F94">
            <w:pPr>
              <w:pStyle w:val="TableParagraph"/>
              <w:rPr>
                <w:sz w:val="16"/>
              </w:rPr>
            </w:pPr>
            <w:r>
              <w:rPr>
                <w:spacing w:val="-2"/>
                <w:sz w:val="16"/>
              </w:rPr>
              <w:t>Program</w:t>
            </w:r>
          </w:p>
        </w:tc>
        <w:tc>
          <w:tcPr>
            <w:tcW w:w="5990" w:type="dxa"/>
            <w:shd w:val="clear" w:color="auto" w:fill="EBEBEB"/>
          </w:tcPr>
          <w:p w:rsidR="002C1123" w:rsidRDefault="00F22F94">
            <w:pPr>
              <w:pStyle w:val="TableParagraph"/>
              <w:rPr>
                <w:sz w:val="16"/>
              </w:rPr>
            </w:pPr>
            <w:r>
              <w:rPr>
                <w:w w:val="95"/>
                <w:sz w:val="16"/>
              </w:rPr>
              <w:t>Assume</w:t>
            </w:r>
            <w:r>
              <w:rPr>
                <w:spacing w:val="-2"/>
                <w:sz w:val="16"/>
              </w:rPr>
              <w:t xml:space="preserve"> </w:t>
            </w:r>
            <w:r>
              <w:rPr>
                <w:w w:val="95"/>
                <w:sz w:val="16"/>
              </w:rPr>
              <w:t>delivery</w:t>
            </w:r>
            <w:r>
              <w:rPr>
                <w:spacing w:val="-2"/>
                <w:sz w:val="16"/>
              </w:rPr>
              <w:t xml:space="preserve"> </w:t>
            </w:r>
            <w:r>
              <w:rPr>
                <w:w w:val="95"/>
                <w:sz w:val="16"/>
              </w:rPr>
              <w:t>by</w:t>
            </w:r>
            <w:r>
              <w:rPr>
                <w:spacing w:val="-1"/>
                <w:sz w:val="16"/>
              </w:rPr>
              <w:t xml:space="preserve"> </w:t>
            </w:r>
            <w:r>
              <w:rPr>
                <w:w w:val="95"/>
                <w:sz w:val="16"/>
              </w:rPr>
              <w:t>ARTC</w:t>
            </w:r>
            <w:r>
              <w:rPr>
                <w:spacing w:val="-2"/>
                <w:sz w:val="16"/>
              </w:rPr>
              <w:t xml:space="preserve"> </w:t>
            </w:r>
            <w:r>
              <w:rPr>
                <w:w w:val="95"/>
                <w:sz w:val="16"/>
              </w:rPr>
              <w:t>based</w:t>
            </w:r>
            <w:r>
              <w:rPr>
                <w:spacing w:val="-1"/>
                <w:sz w:val="16"/>
              </w:rPr>
              <w:t xml:space="preserve"> </w:t>
            </w:r>
            <w:r>
              <w:rPr>
                <w:w w:val="95"/>
                <w:sz w:val="16"/>
              </w:rPr>
              <w:t>on</w:t>
            </w:r>
            <w:r>
              <w:rPr>
                <w:spacing w:val="-2"/>
                <w:sz w:val="16"/>
              </w:rPr>
              <w:t xml:space="preserve"> </w:t>
            </w:r>
            <w:r>
              <w:rPr>
                <w:w w:val="95"/>
                <w:sz w:val="16"/>
              </w:rPr>
              <w:t>user</w:t>
            </w:r>
            <w:r>
              <w:rPr>
                <w:spacing w:val="-1"/>
                <w:sz w:val="16"/>
              </w:rPr>
              <w:t xml:space="preserve"> </w:t>
            </w:r>
            <w:r>
              <w:rPr>
                <w:w w:val="95"/>
                <w:sz w:val="16"/>
              </w:rPr>
              <w:t>funding</w:t>
            </w:r>
            <w:r>
              <w:rPr>
                <w:spacing w:val="-2"/>
                <w:sz w:val="16"/>
              </w:rPr>
              <w:t xml:space="preserve"> </w:t>
            </w:r>
            <w:r>
              <w:rPr>
                <w:spacing w:val="-2"/>
                <w:w w:val="95"/>
                <w:sz w:val="16"/>
              </w:rPr>
              <w:t>model</w:t>
            </w:r>
          </w:p>
        </w:tc>
      </w:tr>
      <w:tr w:rsidR="002C1123">
        <w:trPr>
          <w:trHeight w:val="321"/>
        </w:trPr>
        <w:tc>
          <w:tcPr>
            <w:tcW w:w="510" w:type="dxa"/>
            <w:shd w:val="clear" w:color="auto" w:fill="EBEBEB"/>
          </w:tcPr>
          <w:p w:rsidR="002C1123" w:rsidRDefault="00F22F94">
            <w:pPr>
              <w:pStyle w:val="TableParagraph"/>
              <w:rPr>
                <w:sz w:val="16"/>
              </w:rPr>
            </w:pPr>
            <w:r>
              <w:rPr>
                <w:spacing w:val="-5"/>
                <w:sz w:val="16"/>
              </w:rPr>
              <w:t>35</w:t>
            </w:r>
          </w:p>
        </w:tc>
        <w:tc>
          <w:tcPr>
            <w:tcW w:w="6293" w:type="dxa"/>
            <w:shd w:val="clear" w:color="auto" w:fill="EBEBEB"/>
          </w:tcPr>
          <w:p w:rsidR="002C1123" w:rsidRDefault="00F22F94">
            <w:pPr>
              <w:pStyle w:val="TableParagraph"/>
              <w:rPr>
                <w:sz w:val="16"/>
              </w:rPr>
            </w:pPr>
            <w:r>
              <w:rPr>
                <w:sz w:val="16"/>
              </w:rPr>
              <w:t>Eastern Creek</w:t>
            </w:r>
            <w:r>
              <w:rPr>
                <w:spacing w:val="1"/>
                <w:sz w:val="16"/>
              </w:rPr>
              <w:t xml:space="preserve"> </w:t>
            </w:r>
            <w:r>
              <w:rPr>
                <w:sz w:val="16"/>
              </w:rPr>
              <w:t xml:space="preserve">Intermodal </w:t>
            </w:r>
            <w:r>
              <w:rPr>
                <w:spacing w:val="-2"/>
                <w:sz w:val="16"/>
              </w:rPr>
              <w:t>Terminal</w:t>
            </w:r>
          </w:p>
        </w:tc>
        <w:tc>
          <w:tcPr>
            <w:tcW w:w="737" w:type="dxa"/>
            <w:shd w:val="clear" w:color="auto" w:fill="EBEBEB"/>
          </w:tcPr>
          <w:p w:rsidR="002C1123" w:rsidRDefault="00F22F94">
            <w:pPr>
              <w:pStyle w:val="TableParagraph"/>
              <w:rPr>
                <w:sz w:val="16"/>
              </w:rPr>
            </w:pPr>
            <w:r>
              <w:rPr>
                <w:w w:val="95"/>
                <w:sz w:val="16"/>
              </w:rPr>
              <w:t>10</w:t>
            </w:r>
            <w:r>
              <w:rPr>
                <w:spacing w:val="-6"/>
                <w:w w:val="95"/>
                <w:sz w:val="16"/>
              </w:rPr>
              <w:t xml:space="preserve"> </w:t>
            </w:r>
            <w:r>
              <w:rPr>
                <w:w w:val="95"/>
                <w:sz w:val="16"/>
              </w:rPr>
              <w:t>–</w:t>
            </w:r>
            <w:r>
              <w:rPr>
                <w:spacing w:val="-5"/>
                <w:w w:val="95"/>
                <w:sz w:val="16"/>
              </w:rPr>
              <w:t xml:space="preserve"> 20</w:t>
            </w:r>
          </w:p>
        </w:tc>
        <w:tc>
          <w:tcPr>
            <w:tcW w:w="1304" w:type="dxa"/>
            <w:shd w:val="clear" w:color="auto" w:fill="EBEBEB"/>
          </w:tcPr>
          <w:p w:rsidR="002C1123" w:rsidRDefault="00F22F94">
            <w:pPr>
              <w:pStyle w:val="TableParagraph"/>
              <w:rPr>
                <w:sz w:val="16"/>
              </w:rPr>
            </w:pPr>
            <w:r>
              <w:rPr>
                <w:w w:val="95"/>
                <w:sz w:val="16"/>
              </w:rPr>
              <w:t>Major</w:t>
            </w:r>
            <w:r>
              <w:rPr>
                <w:spacing w:val="-2"/>
                <w:sz w:val="16"/>
              </w:rPr>
              <w:t xml:space="preserve"> </w:t>
            </w:r>
            <w:r>
              <w:rPr>
                <w:spacing w:val="-2"/>
                <w:w w:val="95"/>
                <w:sz w:val="16"/>
              </w:rPr>
              <w:t>project</w:t>
            </w:r>
          </w:p>
        </w:tc>
        <w:tc>
          <w:tcPr>
            <w:tcW w:w="5990" w:type="dxa"/>
            <w:shd w:val="clear" w:color="auto" w:fill="EBEBEB"/>
          </w:tcPr>
          <w:p w:rsidR="002C1123" w:rsidRDefault="00F22F94">
            <w:pPr>
              <w:pStyle w:val="TableParagraph"/>
              <w:rPr>
                <w:sz w:val="16"/>
              </w:rPr>
            </w:pPr>
            <w:r>
              <w:rPr>
                <w:w w:val="95"/>
                <w:sz w:val="16"/>
              </w:rPr>
              <w:t>Assume</w:t>
            </w:r>
            <w:r>
              <w:rPr>
                <w:spacing w:val="-2"/>
                <w:sz w:val="16"/>
              </w:rPr>
              <w:t xml:space="preserve"> </w:t>
            </w:r>
            <w:r>
              <w:rPr>
                <w:w w:val="95"/>
                <w:sz w:val="16"/>
              </w:rPr>
              <w:t>delivery</w:t>
            </w:r>
            <w:r>
              <w:rPr>
                <w:spacing w:val="-2"/>
                <w:sz w:val="16"/>
              </w:rPr>
              <w:t xml:space="preserve"> </w:t>
            </w:r>
            <w:r>
              <w:rPr>
                <w:w w:val="95"/>
                <w:sz w:val="16"/>
              </w:rPr>
              <w:t>by</w:t>
            </w:r>
            <w:r>
              <w:rPr>
                <w:spacing w:val="-1"/>
                <w:sz w:val="16"/>
              </w:rPr>
              <w:t xml:space="preserve"> </w:t>
            </w:r>
            <w:r>
              <w:rPr>
                <w:w w:val="95"/>
                <w:sz w:val="16"/>
              </w:rPr>
              <w:t>ARTC</w:t>
            </w:r>
            <w:r>
              <w:rPr>
                <w:spacing w:val="-2"/>
                <w:sz w:val="16"/>
              </w:rPr>
              <w:t xml:space="preserve"> </w:t>
            </w:r>
            <w:r>
              <w:rPr>
                <w:w w:val="95"/>
                <w:sz w:val="16"/>
              </w:rPr>
              <w:t>based</w:t>
            </w:r>
            <w:r>
              <w:rPr>
                <w:spacing w:val="-1"/>
                <w:sz w:val="16"/>
              </w:rPr>
              <w:t xml:space="preserve"> </w:t>
            </w:r>
            <w:r>
              <w:rPr>
                <w:w w:val="95"/>
                <w:sz w:val="16"/>
              </w:rPr>
              <w:t>on</w:t>
            </w:r>
            <w:r>
              <w:rPr>
                <w:spacing w:val="-2"/>
                <w:sz w:val="16"/>
              </w:rPr>
              <w:t xml:space="preserve"> </w:t>
            </w:r>
            <w:r>
              <w:rPr>
                <w:w w:val="95"/>
                <w:sz w:val="16"/>
              </w:rPr>
              <w:t>user</w:t>
            </w:r>
            <w:r>
              <w:rPr>
                <w:spacing w:val="-1"/>
                <w:sz w:val="16"/>
              </w:rPr>
              <w:t xml:space="preserve"> </w:t>
            </w:r>
            <w:r>
              <w:rPr>
                <w:w w:val="95"/>
                <w:sz w:val="16"/>
              </w:rPr>
              <w:t>funding</w:t>
            </w:r>
            <w:r>
              <w:rPr>
                <w:spacing w:val="-2"/>
                <w:sz w:val="16"/>
              </w:rPr>
              <w:t xml:space="preserve"> </w:t>
            </w:r>
            <w:r>
              <w:rPr>
                <w:spacing w:val="-2"/>
                <w:w w:val="95"/>
                <w:sz w:val="16"/>
              </w:rPr>
              <w:t>model</w:t>
            </w:r>
          </w:p>
        </w:tc>
      </w:tr>
      <w:tr w:rsidR="002C1123">
        <w:trPr>
          <w:trHeight w:val="321"/>
        </w:trPr>
        <w:tc>
          <w:tcPr>
            <w:tcW w:w="510" w:type="dxa"/>
            <w:shd w:val="clear" w:color="auto" w:fill="EBEBEB"/>
          </w:tcPr>
          <w:p w:rsidR="002C1123" w:rsidRDefault="00F22F94">
            <w:pPr>
              <w:pStyle w:val="TableParagraph"/>
              <w:rPr>
                <w:sz w:val="16"/>
              </w:rPr>
            </w:pPr>
            <w:r>
              <w:rPr>
                <w:spacing w:val="-5"/>
                <w:sz w:val="16"/>
              </w:rPr>
              <w:t>36</w:t>
            </w:r>
          </w:p>
        </w:tc>
        <w:tc>
          <w:tcPr>
            <w:tcW w:w="6293" w:type="dxa"/>
            <w:shd w:val="clear" w:color="auto" w:fill="EBEBEB"/>
          </w:tcPr>
          <w:p w:rsidR="002C1123" w:rsidRDefault="00F22F94">
            <w:pPr>
              <w:pStyle w:val="TableParagraph"/>
              <w:rPr>
                <w:sz w:val="16"/>
              </w:rPr>
            </w:pPr>
            <w:r>
              <w:rPr>
                <w:sz w:val="16"/>
              </w:rPr>
              <w:t>Develop</w:t>
            </w:r>
            <w:r>
              <w:rPr>
                <w:spacing w:val="-2"/>
                <w:sz w:val="16"/>
              </w:rPr>
              <w:t xml:space="preserve"> </w:t>
            </w:r>
            <w:r>
              <w:rPr>
                <w:sz w:val="16"/>
              </w:rPr>
              <w:t>Western</w:t>
            </w:r>
            <w:r>
              <w:rPr>
                <w:spacing w:val="-2"/>
                <w:sz w:val="16"/>
              </w:rPr>
              <w:t xml:space="preserve"> </w:t>
            </w:r>
            <w:r>
              <w:rPr>
                <w:sz w:val="16"/>
              </w:rPr>
              <w:t>Sydney</w:t>
            </w:r>
            <w:r>
              <w:rPr>
                <w:spacing w:val="-1"/>
                <w:sz w:val="16"/>
              </w:rPr>
              <w:t xml:space="preserve"> </w:t>
            </w:r>
            <w:r>
              <w:rPr>
                <w:sz w:val="16"/>
              </w:rPr>
              <w:t>Regional</w:t>
            </w:r>
            <w:r>
              <w:rPr>
                <w:spacing w:val="-2"/>
                <w:sz w:val="16"/>
              </w:rPr>
              <w:t xml:space="preserve"> Airport</w:t>
            </w:r>
          </w:p>
        </w:tc>
        <w:tc>
          <w:tcPr>
            <w:tcW w:w="737" w:type="dxa"/>
            <w:shd w:val="clear" w:color="auto" w:fill="EBEBEB"/>
          </w:tcPr>
          <w:p w:rsidR="002C1123" w:rsidRDefault="00F22F94">
            <w:pPr>
              <w:pStyle w:val="TableParagraph"/>
              <w:rPr>
                <w:sz w:val="16"/>
              </w:rPr>
            </w:pPr>
            <w:r>
              <w:rPr>
                <w:w w:val="95"/>
                <w:sz w:val="16"/>
              </w:rPr>
              <w:t>10</w:t>
            </w:r>
            <w:r>
              <w:rPr>
                <w:spacing w:val="-6"/>
                <w:w w:val="95"/>
                <w:sz w:val="16"/>
              </w:rPr>
              <w:t xml:space="preserve"> </w:t>
            </w:r>
            <w:r>
              <w:rPr>
                <w:w w:val="95"/>
                <w:sz w:val="16"/>
              </w:rPr>
              <w:t>–</w:t>
            </w:r>
            <w:r>
              <w:rPr>
                <w:spacing w:val="-5"/>
                <w:w w:val="95"/>
                <w:sz w:val="16"/>
              </w:rPr>
              <w:t xml:space="preserve"> 20</w:t>
            </w:r>
          </w:p>
        </w:tc>
        <w:tc>
          <w:tcPr>
            <w:tcW w:w="1304" w:type="dxa"/>
            <w:shd w:val="clear" w:color="auto" w:fill="EBEBEB"/>
          </w:tcPr>
          <w:p w:rsidR="002C1123" w:rsidRDefault="00F22F94">
            <w:pPr>
              <w:pStyle w:val="TableParagraph"/>
              <w:rPr>
                <w:sz w:val="16"/>
              </w:rPr>
            </w:pPr>
            <w:r>
              <w:rPr>
                <w:spacing w:val="-2"/>
                <w:sz w:val="16"/>
              </w:rPr>
              <w:t>Planning</w:t>
            </w:r>
          </w:p>
        </w:tc>
        <w:tc>
          <w:tcPr>
            <w:tcW w:w="5990" w:type="dxa"/>
            <w:shd w:val="clear" w:color="auto" w:fill="EBEBEB"/>
          </w:tcPr>
          <w:p w:rsidR="002C1123" w:rsidRDefault="00F22F94">
            <w:pPr>
              <w:pStyle w:val="TableParagraph"/>
              <w:rPr>
                <w:sz w:val="16"/>
              </w:rPr>
            </w:pPr>
            <w:r>
              <w:rPr>
                <w:w w:val="95"/>
                <w:sz w:val="16"/>
              </w:rPr>
              <w:t>Cost</w:t>
            </w:r>
            <w:r>
              <w:rPr>
                <w:spacing w:val="1"/>
                <w:sz w:val="16"/>
              </w:rPr>
              <w:t xml:space="preserve"> </w:t>
            </w:r>
            <w:r>
              <w:rPr>
                <w:w w:val="95"/>
                <w:sz w:val="16"/>
              </w:rPr>
              <w:t>of</w:t>
            </w:r>
            <w:r>
              <w:rPr>
                <w:spacing w:val="2"/>
                <w:sz w:val="16"/>
              </w:rPr>
              <w:t xml:space="preserve"> </w:t>
            </w:r>
            <w:r>
              <w:rPr>
                <w:w w:val="95"/>
                <w:sz w:val="16"/>
              </w:rPr>
              <w:t>planning</w:t>
            </w:r>
            <w:r>
              <w:rPr>
                <w:spacing w:val="2"/>
                <w:sz w:val="16"/>
              </w:rPr>
              <w:t xml:space="preserve"> </w:t>
            </w:r>
            <w:r>
              <w:rPr>
                <w:w w:val="95"/>
                <w:sz w:val="16"/>
              </w:rPr>
              <w:t>work</w:t>
            </w:r>
            <w:r>
              <w:rPr>
                <w:spacing w:val="2"/>
                <w:sz w:val="16"/>
              </w:rPr>
              <w:t xml:space="preserve"> </w:t>
            </w:r>
            <w:r>
              <w:rPr>
                <w:w w:val="95"/>
                <w:sz w:val="16"/>
              </w:rPr>
              <w:t>is</w:t>
            </w:r>
            <w:r>
              <w:rPr>
                <w:spacing w:val="2"/>
                <w:sz w:val="16"/>
              </w:rPr>
              <w:t xml:space="preserve"> </w:t>
            </w:r>
            <w:r>
              <w:rPr>
                <w:w w:val="95"/>
                <w:sz w:val="16"/>
              </w:rPr>
              <w:t>not</w:t>
            </w:r>
            <w:r>
              <w:rPr>
                <w:spacing w:val="2"/>
                <w:sz w:val="16"/>
              </w:rPr>
              <w:t xml:space="preserve"> </w:t>
            </w:r>
            <w:r>
              <w:rPr>
                <w:spacing w:val="-2"/>
                <w:w w:val="95"/>
                <w:sz w:val="16"/>
              </w:rPr>
              <w:t>material</w:t>
            </w:r>
          </w:p>
        </w:tc>
      </w:tr>
      <w:tr w:rsidR="002C1123">
        <w:trPr>
          <w:trHeight w:val="345"/>
        </w:trPr>
        <w:tc>
          <w:tcPr>
            <w:tcW w:w="14834" w:type="dxa"/>
            <w:gridSpan w:val="5"/>
            <w:tcBorders>
              <w:left w:val="nil"/>
              <w:bottom w:val="nil"/>
            </w:tcBorders>
            <w:shd w:val="clear" w:color="auto" w:fill="C9C8C9"/>
          </w:tcPr>
          <w:p w:rsidR="002C1123" w:rsidRDefault="00F22F94">
            <w:pPr>
              <w:pStyle w:val="TableParagraph"/>
              <w:spacing w:before="63"/>
              <w:rPr>
                <w:b/>
                <w:sz w:val="18"/>
              </w:rPr>
            </w:pPr>
            <w:r>
              <w:rPr>
                <w:b/>
                <w:sz w:val="18"/>
              </w:rPr>
              <w:t>Section</w:t>
            </w:r>
            <w:r>
              <w:rPr>
                <w:b/>
                <w:spacing w:val="-19"/>
                <w:sz w:val="18"/>
              </w:rPr>
              <w:t xml:space="preserve"> </w:t>
            </w:r>
            <w:r>
              <w:rPr>
                <w:b/>
                <w:sz w:val="18"/>
              </w:rPr>
              <w:t>10</w:t>
            </w:r>
            <w:r>
              <w:rPr>
                <w:b/>
                <w:spacing w:val="11"/>
                <w:sz w:val="18"/>
              </w:rPr>
              <w:t xml:space="preserve"> </w:t>
            </w:r>
            <w:r>
              <w:rPr>
                <w:b/>
                <w:sz w:val="18"/>
              </w:rPr>
              <w:t>Regional</w:t>
            </w:r>
            <w:r>
              <w:rPr>
                <w:b/>
                <w:spacing w:val="-19"/>
                <w:sz w:val="18"/>
              </w:rPr>
              <w:t xml:space="preserve"> </w:t>
            </w:r>
            <w:r>
              <w:rPr>
                <w:b/>
                <w:spacing w:val="-2"/>
                <w:sz w:val="18"/>
              </w:rPr>
              <w:t>Transport</w:t>
            </w:r>
          </w:p>
        </w:tc>
      </w:tr>
      <w:tr w:rsidR="002C1123">
        <w:trPr>
          <w:trHeight w:val="551"/>
        </w:trPr>
        <w:tc>
          <w:tcPr>
            <w:tcW w:w="510" w:type="dxa"/>
            <w:tcBorders>
              <w:top w:val="nil"/>
            </w:tcBorders>
            <w:shd w:val="clear" w:color="auto" w:fill="EBEBEB"/>
          </w:tcPr>
          <w:p w:rsidR="002C1123" w:rsidRDefault="00F22F94">
            <w:pPr>
              <w:pStyle w:val="TableParagraph"/>
              <w:spacing w:before="77"/>
              <w:rPr>
                <w:sz w:val="16"/>
              </w:rPr>
            </w:pPr>
            <w:r>
              <w:rPr>
                <w:spacing w:val="-5"/>
                <w:sz w:val="16"/>
              </w:rPr>
              <w:t>37</w:t>
            </w:r>
          </w:p>
        </w:tc>
        <w:tc>
          <w:tcPr>
            <w:tcW w:w="6293" w:type="dxa"/>
            <w:tcBorders>
              <w:top w:val="nil"/>
            </w:tcBorders>
            <w:shd w:val="clear" w:color="auto" w:fill="EBEBEB"/>
          </w:tcPr>
          <w:p w:rsidR="002C1123" w:rsidRDefault="00F22F94">
            <w:pPr>
              <w:pStyle w:val="TableParagraph"/>
              <w:spacing w:before="77" w:line="288" w:lineRule="auto"/>
              <w:ind w:right="1931"/>
              <w:rPr>
                <w:sz w:val="16"/>
              </w:rPr>
            </w:pPr>
            <w:r>
              <w:rPr>
                <w:spacing w:val="-2"/>
                <w:w w:val="105"/>
                <w:sz w:val="16"/>
              </w:rPr>
              <w:t>Review</w:t>
            </w:r>
            <w:r>
              <w:rPr>
                <w:spacing w:val="-3"/>
                <w:w w:val="105"/>
                <w:sz w:val="16"/>
              </w:rPr>
              <w:t xml:space="preserve"> </w:t>
            </w:r>
            <w:r>
              <w:rPr>
                <w:spacing w:val="-2"/>
                <w:w w:val="105"/>
                <w:sz w:val="16"/>
              </w:rPr>
              <w:t>scope</w:t>
            </w:r>
            <w:r>
              <w:rPr>
                <w:spacing w:val="-3"/>
                <w:w w:val="105"/>
                <w:sz w:val="16"/>
              </w:rPr>
              <w:t xml:space="preserve"> </w:t>
            </w:r>
            <w:r>
              <w:rPr>
                <w:spacing w:val="-2"/>
                <w:w w:val="105"/>
                <w:sz w:val="16"/>
              </w:rPr>
              <w:t>and</w:t>
            </w:r>
            <w:r>
              <w:rPr>
                <w:spacing w:val="-3"/>
                <w:w w:val="105"/>
                <w:sz w:val="16"/>
              </w:rPr>
              <w:t xml:space="preserve"> </w:t>
            </w:r>
            <w:r>
              <w:rPr>
                <w:spacing w:val="-2"/>
                <w:w w:val="105"/>
                <w:sz w:val="16"/>
              </w:rPr>
              <w:t>costs</w:t>
            </w:r>
            <w:r>
              <w:rPr>
                <w:spacing w:val="-3"/>
                <w:w w:val="105"/>
                <w:sz w:val="16"/>
              </w:rPr>
              <w:t xml:space="preserve"> </w:t>
            </w:r>
            <w:r>
              <w:rPr>
                <w:spacing w:val="-2"/>
                <w:w w:val="105"/>
                <w:sz w:val="16"/>
              </w:rPr>
              <w:t>of</w:t>
            </w:r>
            <w:r>
              <w:rPr>
                <w:spacing w:val="-3"/>
                <w:w w:val="105"/>
                <w:sz w:val="16"/>
              </w:rPr>
              <w:t xml:space="preserve"> </w:t>
            </w:r>
            <w:r>
              <w:rPr>
                <w:spacing w:val="-2"/>
                <w:w w:val="105"/>
                <w:sz w:val="16"/>
              </w:rPr>
              <w:t>Pacific</w:t>
            </w:r>
            <w:r>
              <w:rPr>
                <w:spacing w:val="-3"/>
                <w:w w:val="105"/>
                <w:sz w:val="16"/>
              </w:rPr>
              <w:t xml:space="preserve"> </w:t>
            </w:r>
            <w:r>
              <w:rPr>
                <w:spacing w:val="-2"/>
                <w:w w:val="105"/>
                <w:sz w:val="16"/>
              </w:rPr>
              <w:t>Highway</w:t>
            </w:r>
            <w:r>
              <w:rPr>
                <w:spacing w:val="-3"/>
                <w:w w:val="105"/>
                <w:sz w:val="16"/>
              </w:rPr>
              <w:t xml:space="preserve"> </w:t>
            </w:r>
            <w:r>
              <w:rPr>
                <w:spacing w:val="-2"/>
                <w:w w:val="105"/>
                <w:sz w:val="16"/>
              </w:rPr>
              <w:t xml:space="preserve">duplication </w:t>
            </w:r>
            <w:r>
              <w:rPr>
                <w:w w:val="105"/>
                <w:sz w:val="16"/>
              </w:rPr>
              <w:t>and Princes Highway upgrade</w:t>
            </w:r>
          </w:p>
        </w:tc>
        <w:tc>
          <w:tcPr>
            <w:tcW w:w="737" w:type="dxa"/>
            <w:tcBorders>
              <w:top w:val="nil"/>
            </w:tcBorders>
            <w:shd w:val="clear" w:color="auto" w:fill="EBEBEB"/>
          </w:tcPr>
          <w:p w:rsidR="002C1123" w:rsidRDefault="00F22F94">
            <w:pPr>
              <w:pStyle w:val="TableParagraph"/>
              <w:spacing w:before="77"/>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304" w:type="dxa"/>
            <w:tcBorders>
              <w:top w:val="nil"/>
            </w:tcBorders>
            <w:shd w:val="clear" w:color="auto" w:fill="EBEBEB"/>
          </w:tcPr>
          <w:p w:rsidR="002C1123" w:rsidRDefault="00F22F94">
            <w:pPr>
              <w:pStyle w:val="TableParagraph"/>
              <w:spacing w:before="77"/>
              <w:rPr>
                <w:sz w:val="16"/>
              </w:rPr>
            </w:pPr>
            <w:r>
              <w:rPr>
                <w:spacing w:val="-2"/>
                <w:sz w:val="16"/>
              </w:rPr>
              <w:t>Review</w:t>
            </w:r>
          </w:p>
        </w:tc>
        <w:tc>
          <w:tcPr>
            <w:tcW w:w="5990" w:type="dxa"/>
            <w:tcBorders>
              <w:top w:val="nil"/>
            </w:tcBorders>
            <w:shd w:val="clear" w:color="auto" w:fill="EBEBEB"/>
          </w:tcPr>
          <w:p w:rsidR="002C1123" w:rsidRDefault="00F22F94">
            <w:pPr>
              <w:pStyle w:val="TableParagraph"/>
              <w:spacing w:before="77"/>
              <w:rPr>
                <w:sz w:val="16"/>
              </w:rPr>
            </w:pPr>
            <w:r>
              <w:rPr>
                <w:w w:val="95"/>
                <w:sz w:val="16"/>
              </w:rPr>
              <w:t>Cost</w:t>
            </w:r>
            <w:r>
              <w:rPr>
                <w:spacing w:val="-2"/>
                <w:sz w:val="16"/>
              </w:rPr>
              <w:t xml:space="preserve"> </w:t>
            </w:r>
            <w:r>
              <w:rPr>
                <w:w w:val="95"/>
                <w:sz w:val="16"/>
              </w:rPr>
              <w:t>of</w:t>
            </w:r>
            <w:r>
              <w:rPr>
                <w:spacing w:val="-2"/>
                <w:sz w:val="16"/>
              </w:rPr>
              <w:t xml:space="preserve"> </w:t>
            </w:r>
            <w:r>
              <w:rPr>
                <w:w w:val="95"/>
                <w:sz w:val="16"/>
              </w:rPr>
              <w:t>review</w:t>
            </w:r>
            <w:r>
              <w:rPr>
                <w:spacing w:val="-1"/>
                <w:sz w:val="16"/>
              </w:rPr>
              <w:t xml:space="preserve"> </w:t>
            </w:r>
            <w:r>
              <w:rPr>
                <w:w w:val="95"/>
                <w:sz w:val="16"/>
              </w:rPr>
              <w:t>is</w:t>
            </w:r>
            <w:r>
              <w:rPr>
                <w:spacing w:val="-2"/>
                <w:sz w:val="16"/>
              </w:rPr>
              <w:t xml:space="preserve"> </w:t>
            </w:r>
            <w:r>
              <w:rPr>
                <w:w w:val="95"/>
                <w:sz w:val="16"/>
              </w:rPr>
              <w:t>not</w:t>
            </w:r>
            <w:r>
              <w:rPr>
                <w:spacing w:val="-1"/>
                <w:sz w:val="16"/>
              </w:rPr>
              <w:t xml:space="preserve"> </w:t>
            </w:r>
            <w:r>
              <w:rPr>
                <w:spacing w:val="-2"/>
                <w:w w:val="95"/>
                <w:sz w:val="16"/>
              </w:rPr>
              <w:t>material</w:t>
            </w:r>
          </w:p>
        </w:tc>
      </w:tr>
      <w:tr w:rsidR="002C1123">
        <w:trPr>
          <w:trHeight w:val="321"/>
        </w:trPr>
        <w:tc>
          <w:tcPr>
            <w:tcW w:w="510" w:type="dxa"/>
            <w:shd w:val="clear" w:color="auto" w:fill="EBEBEB"/>
          </w:tcPr>
          <w:p w:rsidR="002C1123" w:rsidRDefault="00F22F94">
            <w:pPr>
              <w:pStyle w:val="TableParagraph"/>
              <w:rPr>
                <w:sz w:val="16"/>
              </w:rPr>
            </w:pPr>
            <w:r>
              <w:rPr>
                <w:spacing w:val="-5"/>
                <w:sz w:val="16"/>
              </w:rPr>
              <w:t>38</w:t>
            </w:r>
          </w:p>
        </w:tc>
        <w:tc>
          <w:tcPr>
            <w:tcW w:w="6293" w:type="dxa"/>
            <w:shd w:val="clear" w:color="auto" w:fill="EBEBEB"/>
          </w:tcPr>
          <w:p w:rsidR="002C1123" w:rsidRDefault="00F22F94">
            <w:pPr>
              <w:pStyle w:val="TableParagraph"/>
              <w:rPr>
                <w:sz w:val="16"/>
              </w:rPr>
            </w:pPr>
            <w:r>
              <w:rPr>
                <w:spacing w:val="-2"/>
                <w:w w:val="105"/>
                <w:sz w:val="16"/>
              </w:rPr>
              <w:t>Freight</w:t>
            </w:r>
            <w:r>
              <w:rPr>
                <w:spacing w:val="-6"/>
                <w:w w:val="105"/>
                <w:sz w:val="16"/>
              </w:rPr>
              <w:t xml:space="preserve"> </w:t>
            </w:r>
            <w:r>
              <w:rPr>
                <w:spacing w:val="-2"/>
                <w:w w:val="105"/>
                <w:sz w:val="16"/>
              </w:rPr>
              <w:t>pinch</w:t>
            </w:r>
            <w:r>
              <w:rPr>
                <w:spacing w:val="-5"/>
                <w:w w:val="105"/>
                <w:sz w:val="16"/>
              </w:rPr>
              <w:t xml:space="preserve"> </w:t>
            </w:r>
            <w:r>
              <w:rPr>
                <w:spacing w:val="-2"/>
                <w:w w:val="105"/>
                <w:sz w:val="16"/>
              </w:rPr>
              <w:t>point</w:t>
            </w:r>
            <w:r>
              <w:rPr>
                <w:spacing w:val="-5"/>
                <w:w w:val="105"/>
                <w:sz w:val="16"/>
              </w:rPr>
              <w:t xml:space="preserve"> </w:t>
            </w:r>
            <w:r>
              <w:rPr>
                <w:spacing w:val="-2"/>
                <w:w w:val="105"/>
                <w:sz w:val="16"/>
              </w:rPr>
              <w:t>program</w:t>
            </w:r>
            <w:r>
              <w:rPr>
                <w:spacing w:val="-5"/>
                <w:w w:val="105"/>
                <w:sz w:val="16"/>
              </w:rPr>
              <w:t xml:space="preserve"> </w:t>
            </w:r>
            <w:r>
              <w:rPr>
                <w:spacing w:val="-2"/>
                <w:w w:val="105"/>
                <w:sz w:val="16"/>
              </w:rPr>
              <w:t>for</w:t>
            </w:r>
            <w:r>
              <w:rPr>
                <w:spacing w:val="-5"/>
                <w:w w:val="105"/>
                <w:sz w:val="16"/>
              </w:rPr>
              <w:t xml:space="preserve"> </w:t>
            </w:r>
            <w:r>
              <w:rPr>
                <w:spacing w:val="-2"/>
                <w:w w:val="105"/>
                <w:sz w:val="16"/>
              </w:rPr>
              <w:t>key</w:t>
            </w:r>
            <w:r>
              <w:rPr>
                <w:spacing w:val="-6"/>
                <w:w w:val="105"/>
                <w:sz w:val="16"/>
              </w:rPr>
              <w:t xml:space="preserve"> </w:t>
            </w:r>
            <w:r>
              <w:rPr>
                <w:spacing w:val="-2"/>
                <w:w w:val="105"/>
                <w:sz w:val="16"/>
              </w:rPr>
              <w:t>road</w:t>
            </w:r>
            <w:r>
              <w:rPr>
                <w:spacing w:val="-5"/>
                <w:w w:val="105"/>
                <w:sz w:val="16"/>
              </w:rPr>
              <w:t xml:space="preserve"> </w:t>
            </w:r>
            <w:r>
              <w:rPr>
                <w:spacing w:val="-2"/>
                <w:w w:val="105"/>
                <w:sz w:val="16"/>
              </w:rPr>
              <w:t>and</w:t>
            </w:r>
            <w:r>
              <w:rPr>
                <w:spacing w:val="-5"/>
                <w:w w:val="105"/>
                <w:sz w:val="16"/>
              </w:rPr>
              <w:t xml:space="preserve"> </w:t>
            </w:r>
            <w:r>
              <w:rPr>
                <w:spacing w:val="-2"/>
                <w:w w:val="105"/>
                <w:sz w:val="16"/>
              </w:rPr>
              <w:t>rail</w:t>
            </w:r>
            <w:r>
              <w:rPr>
                <w:spacing w:val="-5"/>
                <w:w w:val="105"/>
                <w:sz w:val="16"/>
              </w:rPr>
              <w:t xml:space="preserve"> </w:t>
            </w:r>
            <w:r>
              <w:rPr>
                <w:spacing w:val="-2"/>
                <w:w w:val="105"/>
                <w:sz w:val="16"/>
              </w:rPr>
              <w:t>links</w:t>
            </w:r>
          </w:p>
        </w:tc>
        <w:tc>
          <w:tcPr>
            <w:tcW w:w="737" w:type="dxa"/>
            <w:shd w:val="clear" w:color="auto" w:fill="EBEBEB"/>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5"/>
                <w:sz w:val="16"/>
              </w:rPr>
              <w:t>10</w:t>
            </w:r>
          </w:p>
        </w:tc>
        <w:tc>
          <w:tcPr>
            <w:tcW w:w="1304" w:type="dxa"/>
            <w:shd w:val="clear" w:color="auto" w:fill="EBEBEB"/>
          </w:tcPr>
          <w:p w:rsidR="002C1123" w:rsidRDefault="00F22F94">
            <w:pPr>
              <w:pStyle w:val="TableParagraph"/>
              <w:rPr>
                <w:sz w:val="16"/>
              </w:rPr>
            </w:pPr>
            <w:r>
              <w:rPr>
                <w:spacing w:val="-2"/>
                <w:sz w:val="16"/>
              </w:rPr>
              <w:t>Program</w:t>
            </w:r>
          </w:p>
        </w:tc>
        <w:tc>
          <w:tcPr>
            <w:tcW w:w="5990" w:type="dxa"/>
            <w:shd w:val="clear" w:color="auto" w:fill="EBEBEB"/>
          </w:tcPr>
          <w:p w:rsidR="002C1123" w:rsidRDefault="00F22F94">
            <w:pPr>
              <w:pStyle w:val="TableParagraph"/>
              <w:rPr>
                <w:sz w:val="16"/>
              </w:rPr>
            </w:pPr>
            <w:r>
              <w:rPr>
                <w:w w:val="95"/>
                <w:sz w:val="16"/>
              </w:rPr>
              <w:t>Scoping</w:t>
            </w:r>
            <w:r>
              <w:rPr>
                <w:spacing w:val="2"/>
                <w:sz w:val="16"/>
              </w:rPr>
              <w:t xml:space="preserve"> </w:t>
            </w:r>
            <w:r>
              <w:rPr>
                <w:w w:val="95"/>
                <w:sz w:val="16"/>
              </w:rPr>
              <w:t>of</w:t>
            </w:r>
            <w:r>
              <w:rPr>
                <w:spacing w:val="3"/>
                <w:sz w:val="16"/>
              </w:rPr>
              <w:t xml:space="preserve"> </w:t>
            </w:r>
            <w:r>
              <w:rPr>
                <w:w w:val="95"/>
                <w:sz w:val="16"/>
              </w:rPr>
              <w:t>$1</w:t>
            </w:r>
            <w:r>
              <w:rPr>
                <w:spacing w:val="2"/>
                <w:sz w:val="16"/>
              </w:rPr>
              <w:t xml:space="preserve"> </w:t>
            </w:r>
            <w:r>
              <w:rPr>
                <w:spacing w:val="-2"/>
                <w:w w:val="95"/>
                <w:sz w:val="16"/>
              </w:rPr>
              <w:t>billion</w:t>
            </w:r>
          </w:p>
        </w:tc>
      </w:tr>
      <w:tr w:rsidR="002C1123">
        <w:trPr>
          <w:trHeight w:val="321"/>
        </w:trPr>
        <w:tc>
          <w:tcPr>
            <w:tcW w:w="510" w:type="dxa"/>
            <w:shd w:val="clear" w:color="auto" w:fill="EBEBEB"/>
          </w:tcPr>
          <w:p w:rsidR="002C1123" w:rsidRDefault="00F22F94">
            <w:pPr>
              <w:pStyle w:val="TableParagraph"/>
              <w:rPr>
                <w:sz w:val="16"/>
              </w:rPr>
            </w:pPr>
            <w:r>
              <w:rPr>
                <w:spacing w:val="-5"/>
                <w:sz w:val="16"/>
              </w:rPr>
              <w:t>39</w:t>
            </w:r>
          </w:p>
        </w:tc>
        <w:tc>
          <w:tcPr>
            <w:tcW w:w="6293" w:type="dxa"/>
            <w:shd w:val="clear" w:color="auto" w:fill="EBEBEB"/>
          </w:tcPr>
          <w:p w:rsidR="002C1123" w:rsidRDefault="00F22F94">
            <w:pPr>
              <w:pStyle w:val="TableParagraph"/>
              <w:rPr>
                <w:sz w:val="16"/>
              </w:rPr>
            </w:pPr>
            <w:r>
              <w:rPr>
                <w:spacing w:val="-2"/>
                <w:w w:val="105"/>
                <w:sz w:val="16"/>
              </w:rPr>
              <w:t>Bridges</w:t>
            </w:r>
            <w:r>
              <w:rPr>
                <w:spacing w:val="-6"/>
                <w:w w:val="105"/>
                <w:sz w:val="16"/>
              </w:rPr>
              <w:t xml:space="preserve"> </w:t>
            </w:r>
            <w:r>
              <w:rPr>
                <w:spacing w:val="-2"/>
                <w:w w:val="105"/>
                <w:sz w:val="16"/>
              </w:rPr>
              <w:t>for</w:t>
            </w:r>
            <w:r>
              <w:rPr>
                <w:spacing w:val="-5"/>
                <w:w w:val="105"/>
                <w:sz w:val="16"/>
              </w:rPr>
              <w:t xml:space="preserve"> </w:t>
            </w:r>
            <w:r>
              <w:rPr>
                <w:spacing w:val="-2"/>
                <w:w w:val="105"/>
                <w:sz w:val="16"/>
              </w:rPr>
              <w:t>the</w:t>
            </w:r>
            <w:r>
              <w:rPr>
                <w:spacing w:val="-6"/>
                <w:w w:val="105"/>
                <w:sz w:val="16"/>
              </w:rPr>
              <w:t xml:space="preserve"> </w:t>
            </w:r>
            <w:r>
              <w:rPr>
                <w:spacing w:val="-2"/>
                <w:w w:val="105"/>
                <w:sz w:val="16"/>
              </w:rPr>
              <w:t>Bush</w:t>
            </w:r>
            <w:r>
              <w:rPr>
                <w:spacing w:val="-5"/>
                <w:w w:val="105"/>
                <w:sz w:val="16"/>
              </w:rPr>
              <w:t xml:space="preserve"> </w:t>
            </w:r>
            <w:r>
              <w:rPr>
                <w:spacing w:val="-2"/>
                <w:w w:val="105"/>
                <w:sz w:val="16"/>
              </w:rPr>
              <w:t>Program</w:t>
            </w:r>
            <w:r>
              <w:rPr>
                <w:spacing w:val="-6"/>
                <w:w w:val="105"/>
                <w:sz w:val="16"/>
              </w:rPr>
              <w:t xml:space="preserve"> </w:t>
            </w:r>
            <w:r>
              <w:rPr>
                <w:spacing w:val="-2"/>
                <w:w w:val="105"/>
                <w:sz w:val="16"/>
              </w:rPr>
              <w:t>to</w:t>
            </w:r>
            <w:r>
              <w:rPr>
                <w:spacing w:val="-5"/>
                <w:w w:val="105"/>
                <w:sz w:val="16"/>
              </w:rPr>
              <w:t xml:space="preserve"> </w:t>
            </w:r>
            <w:r>
              <w:rPr>
                <w:spacing w:val="-2"/>
                <w:w w:val="105"/>
                <w:sz w:val="16"/>
              </w:rPr>
              <w:t>improve</w:t>
            </w:r>
            <w:r>
              <w:rPr>
                <w:spacing w:val="-6"/>
                <w:w w:val="105"/>
                <w:sz w:val="16"/>
              </w:rPr>
              <w:t xml:space="preserve"> </w:t>
            </w:r>
            <w:r>
              <w:rPr>
                <w:spacing w:val="-2"/>
                <w:w w:val="105"/>
                <w:sz w:val="16"/>
              </w:rPr>
              <w:t>freight</w:t>
            </w:r>
            <w:r>
              <w:rPr>
                <w:spacing w:val="-5"/>
                <w:w w:val="105"/>
                <w:sz w:val="16"/>
              </w:rPr>
              <w:t xml:space="preserve"> </w:t>
            </w:r>
            <w:r>
              <w:rPr>
                <w:spacing w:val="-2"/>
                <w:w w:val="105"/>
                <w:sz w:val="16"/>
              </w:rPr>
              <w:t>productivity</w:t>
            </w:r>
          </w:p>
        </w:tc>
        <w:tc>
          <w:tcPr>
            <w:tcW w:w="737" w:type="dxa"/>
            <w:shd w:val="clear" w:color="auto" w:fill="EBEBEB"/>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304" w:type="dxa"/>
            <w:shd w:val="clear" w:color="auto" w:fill="EBEBEB"/>
          </w:tcPr>
          <w:p w:rsidR="002C1123" w:rsidRDefault="00F22F94">
            <w:pPr>
              <w:pStyle w:val="TableParagraph"/>
              <w:rPr>
                <w:sz w:val="16"/>
              </w:rPr>
            </w:pPr>
            <w:r>
              <w:rPr>
                <w:spacing w:val="-2"/>
                <w:sz w:val="16"/>
              </w:rPr>
              <w:t>Program</w:t>
            </w:r>
          </w:p>
        </w:tc>
        <w:tc>
          <w:tcPr>
            <w:tcW w:w="5990" w:type="dxa"/>
            <w:shd w:val="clear" w:color="auto" w:fill="EBEBEB"/>
          </w:tcPr>
          <w:p w:rsidR="002C1123" w:rsidRDefault="00F22F94">
            <w:pPr>
              <w:pStyle w:val="TableParagraph"/>
              <w:rPr>
                <w:sz w:val="16"/>
              </w:rPr>
            </w:pPr>
            <w:r>
              <w:rPr>
                <w:w w:val="95"/>
                <w:sz w:val="16"/>
              </w:rPr>
              <w:t>Estimate</w:t>
            </w:r>
            <w:r>
              <w:rPr>
                <w:spacing w:val="-1"/>
                <w:sz w:val="16"/>
              </w:rPr>
              <w:t xml:space="preserve"> </w:t>
            </w:r>
            <w:r>
              <w:rPr>
                <w:w w:val="95"/>
                <w:sz w:val="16"/>
              </w:rPr>
              <w:t>of</w:t>
            </w:r>
            <w:r>
              <w:rPr>
                <w:sz w:val="16"/>
              </w:rPr>
              <w:t xml:space="preserve"> </w:t>
            </w:r>
            <w:r>
              <w:rPr>
                <w:w w:val="95"/>
                <w:sz w:val="16"/>
              </w:rPr>
              <w:t>$300</w:t>
            </w:r>
            <w:r>
              <w:rPr>
                <w:spacing w:val="-1"/>
                <w:sz w:val="16"/>
              </w:rPr>
              <w:t xml:space="preserve"> </w:t>
            </w:r>
            <w:r>
              <w:rPr>
                <w:w w:val="95"/>
                <w:sz w:val="16"/>
              </w:rPr>
              <w:t>million</w:t>
            </w:r>
            <w:r>
              <w:rPr>
                <w:sz w:val="16"/>
              </w:rPr>
              <w:t xml:space="preserve"> </w:t>
            </w:r>
            <w:r>
              <w:rPr>
                <w:w w:val="95"/>
                <w:sz w:val="16"/>
              </w:rPr>
              <w:t>stages</w:t>
            </w:r>
            <w:r>
              <w:rPr>
                <w:spacing w:val="-1"/>
                <w:sz w:val="16"/>
              </w:rPr>
              <w:t xml:space="preserve"> </w:t>
            </w:r>
            <w:r>
              <w:rPr>
                <w:w w:val="95"/>
                <w:sz w:val="16"/>
              </w:rPr>
              <w:t>1</w:t>
            </w:r>
            <w:r>
              <w:rPr>
                <w:sz w:val="16"/>
              </w:rPr>
              <w:t xml:space="preserve"> </w:t>
            </w:r>
            <w:r>
              <w:rPr>
                <w:w w:val="95"/>
                <w:sz w:val="16"/>
              </w:rPr>
              <w:t>and</w:t>
            </w:r>
            <w:r>
              <w:rPr>
                <w:spacing w:val="-1"/>
                <w:sz w:val="16"/>
              </w:rPr>
              <w:t xml:space="preserve"> </w:t>
            </w:r>
            <w:r>
              <w:rPr>
                <w:spacing w:val="-10"/>
                <w:w w:val="95"/>
                <w:sz w:val="16"/>
              </w:rPr>
              <w:t>2</w:t>
            </w:r>
          </w:p>
        </w:tc>
      </w:tr>
      <w:tr w:rsidR="002C1123">
        <w:trPr>
          <w:trHeight w:val="321"/>
        </w:trPr>
        <w:tc>
          <w:tcPr>
            <w:tcW w:w="510" w:type="dxa"/>
            <w:shd w:val="clear" w:color="auto" w:fill="EBEBEB"/>
          </w:tcPr>
          <w:p w:rsidR="002C1123" w:rsidRDefault="00F22F94">
            <w:pPr>
              <w:pStyle w:val="TableParagraph"/>
              <w:rPr>
                <w:sz w:val="16"/>
              </w:rPr>
            </w:pPr>
            <w:r>
              <w:rPr>
                <w:spacing w:val="-5"/>
                <w:sz w:val="16"/>
              </w:rPr>
              <w:t>40</w:t>
            </w:r>
          </w:p>
        </w:tc>
        <w:tc>
          <w:tcPr>
            <w:tcW w:w="6293" w:type="dxa"/>
            <w:shd w:val="clear" w:color="auto" w:fill="EBEBEB"/>
          </w:tcPr>
          <w:p w:rsidR="002C1123" w:rsidRDefault="00F22F94">
            <w:pPr>
              <w:pStyle w:val="TableParagraph"/>
              <w:rPr>
                <w:sz w:val="16"/>
              </w:rPr>
            </w:pPr>
            <w:r>
              <w:rPr>
                <w:sz w:val="16"/>
              </w:rPr>
              <w:t>Identify</w:t>
            </w:r>
            <w:r>
              <w:rPr>
                <w:spacing w:val="2"/>
                <w:sz w:val="16"/>
              </w:rPr>
              <w:t xml:space="preserve"> </w:t>
            </w:r>
            <w:r>
              <w:rPr>
                <w:sz w:val="16"/>
              </w:rPr>
              <w:t>Bells</w:t>
            </w:r>
            <w:r>
              <w:rPr>
                <w:spacing w:val="2"/>
                <w:sz w:val="16"/>
              </w:rPr>
              <w:t xml:space="preserve"> </w:t>
            </w:r>
            <w:r>
              <w:rPr>
                <w:sz w:val="16"/>
              </w:rPr>
              <w:t>Line</w:t>
            </w:r>
            <w:r>
              <w:rPr>
                <w:spacing w:val="2"/>
                <w:sz w:val="16"/>
              </w:rPr>
              <w:t xml:space="preserve"> </w:t>
            </w:r>
            <w:r>
              <w:rPr>
                <w:sz w:val="16"/>
              </w:rPr>
              <w:t>of</w:t>
            </w:r>
            <w:r>
              <w:rPr>
                <w:spacing w:val="2"/>
                <w:sz w:val="16"/>
              </w:rPr>
              <w:t xml:space="preserve"> </w:t>
            </w:r>
            <w:r>
              <w:rPr>
                <w:sz w:val="16"/>
              </w:rPr>
              <w:t>Road/Castlereagh</w:t>
            </w:r>
            <w:r>
              <w:rPr>
                <w:spacing w:val="3"/>
                <w:sz w:val="16"/>
              </w:rPr>
              <w:t xml:space="preserve"> </w:t>
            </w:r>
            <w:r>
              <w:rPr>
                <w:sz w:val="16"/>
              </w:rPr>
              <w:t>Freeway</w:t>
            </w:r>
            <w:r>
              <w:rPr>
                <w:spacing w:val="2"/>
                <w:sz w:val="16"/>
              </w:rPr>
              <w:t xml:space="preserve"> </w:t>
            </w:r>
            <w:r>
              <w:rPr>
                <w:spacing w:val="-2"/>
                <w:sz w:val="16"/>
              </w:rPr>
              <w:t>corridor</w:t>
            </w:r>
          </w:p>
        </w:tc>
        <w:tc>
          <w:tcPr>
            <w:tcW w:w="737" w:type="dxa"/>
            <w:shd w:val="clear" w:color="auto" w:fill="EBEBEB"/>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304" w:type="dxa"/>
            <w:shd w:val="clear" w:color="auto" w:fill="EBEBEB"/>
          </w:tcPr>
          <w:p w:rsidR="002C1123" w:rsidRDefault="00F22F94">
            <w:pPr>
              <w:pStyle w:val="TableParagraph"/>
              <w:rPr>
                <w:sz w:val="16"/>
              </w:rPr>
            </w:pPr>
            <w:r>
              <w:rPr>
                <w:spacing w:val="-2"/>
                <w:sz w:val="16"/>
              </w:rPr>
              <w:t>Corridor</w:t>
            </w:r>
          </w:p>
        </w:tc>
        <w:tc>
          <w:tcPr>
            <w:tcW w:w="5990" w:type="dxa"/>
            <w:shd w:val="clear" w:color="auto" w:fill="EBEBEB"/>
          </w:tcPr>
          <w:p w:rsidR="002C1123" w:rsidRDefault="00F22F94">
            <w:pPr>
              <w:pStyle w:val="TableParagraph"/>
              <w:rPr>
                <w:sz w:val="16"/>
              </w:rPr>
            </w:pPr>
            <w:r>
              <w:rPr>
                <w:w w:val="95"/>
                <w:sz w:val="16"/>
              </w:rPr>
              <w:t>Cost</w:t>
            </w:r>
            <w:r>
              <w:rPr>
                <w:spacing w:val="2"/>
                <w:sz w:val="16"/>
              </w:rPr>
              <w:t xml:space="preserve"> </w:t>
            </w:r>
            <w:r>
              <w:rPr>
                <w:w w:val="95"/>
                <w:sz w:val="16"/>
              </w:rPr>
              <w:t>of</w:t>
            </w:r>
            <w:r>
              <w:rPr>
                <w:spacing w:val="2"/>
                <w:sz w:val="16"/>
              </w:rPr>
              <w:t xml:space="preserve"> </w:t>
            </w:r>
            <w:r>
              <w:rPr>
                <w:w w:val="95"/>
                <w:sz w:val="16"/>
              </w:rPr>
              <w:t>corridor</w:t>
            </w:r>
            <w:r>
              <w:rPr>
                <w:spacing w:val="2"/>
                <w:sz w:val="16"/>
              </w:rPr>
              <w:t xml:space="preserve"> </w:t>
            </w:r>
            <w:r>
              <w:rPr>
                <w:w w:val="95"/>
                <w:sz w:val="16"/>
              </w:rPr>
              <w:t>planning</w:t>
            </w:r>
            <w:r>
              <w:rPr>
                <w:spacing w:val="2"/>
                <w:sz w:val="16"/>
              </w:rPr>
              <w:t xml:space="preserve"> </w:t>
            </w:r>
            <w:r>
              <w:rPr>
                <w:w w:val="95"/>
                <w:sz w:val="16"/>
              </w:rPr>
              <w:t>is</w:t>
            </w:r>
            <w:r>
              <w:rPr>
                <w:spacing w:val="2"/>
                <w:sz w:val="16"/>
              </w:rPr>
              <w:t xml:space="preserve"> </w:t>
            </w:r>
            <w:r>
              <w:rPr>
                <w:w w:val="95"/>
                <w:sz w:val="16"/>
              </w:rPr>
              <w:t>not</w:t>
            </w:r>
            <w:r>
              <w:rPr>
                <w:spacing w:val="2"/>
                <w:sz w:val="16"/>
              </w:rPr>
              <w:t xml:space="preserve"> </w:t>
            </w:r>
            <w:r>
              <w:rPr>
                <w:spacing w:val="-2"/>
                <w:w w:val="95"/>
                <w:sz w:val="16"/>
              </w:rPr>
              <w:t>material</w:t>
            </w:r>
          </w:p>
        </w:tc>
      </w:tr>
      <w:tr w:rsidR="002C1123">
        <w:trPr>
          <w:trHeight w:val="321"/>
        </w:trPr>
        <w:tc>
          <w:tcPr>
            <w:tcW w:w="510" w:type="dxa"/>
            <w:shd w:val="clear" w:color="auto" w:fill="EBEBEB"/>
          </w:tcPr>
          <w:p w:rsidR="002C1123" w:rsidRDefault="00F22F94">
            <w:pPr>
              <w:pStyle w:val="TableParagraph"/>
              <w:rPr>
                <w:sz w:val="16"/>
              </w:rPr>
            </w:pPr>
            <w:r>
              <w:rPr>
                <w:spacing w:val="-5"/>
                <w:sz w:val="16"/>
              </w:rPr>
              <w:t>41</w:t>
            </w:r>
          </w:p>
        </w:tc>
        <w:tc>
          <w:tcPr>
            <w:tcW w:w="6293" w:type="dxa"/>
            <w:shd w:val="clear" w:color="auto" w:fill="EBEBEB"/>
          </w:tcPr>
          <w:p w:rsidR="002C1123" w:rsidRDefault="00F22F94">
            <w:pPr>
              <w:pStyle w:val="TableParagraph"/>
              <w:rPr>
                <w:sz w:val="16"/>
              </w:rPr>
            </w:pPr>
            <w:r>
              <w:rPr>
                <w:sz w:val="16"/>
              </w:rPr>
              <w:t>Coal</w:t>
            </w:r>
            <w:r>
              <w:rPr>
                <w:spacing w:val="2"/>
                <w:sz w:val="16"/>
              </w:rPr>
              <w:t xml:space="preserve"> </w:t>
            </w:r>
            <w:r>
              <w:rPr>
                <w:sz w:val="16"/>
              </w:rPr>
              <w:t>Community</w:t>
            </w:r>
            <w:r>
              <w:rPr>
                <w:spacing w:val="3"/>
                <w:sz w:val="16"/>
              </w:rPr>
              <w:t xml:space="preserve"> </w:t>
            </w:r>
            <w:r>
              <w:rPr>
                <w:sz w:val="16"/>
              </w:rPr>
              <w:t>road</w:t>
            </w:r>
            <w:r>
              <w:rPr>
                <w:spacing w:val="2"/>
                <w:sz w:val="16"/>
              </w:rPr>
              <w:t xml:space="preserve"> </w:t>
            </w:r>
            <w:r>
              <w:rPr>
                <w:sz w:val="16"/>
              </w:rPr>
              <w:t>and</w:t>
            </w:r>
            <w:r>
              <w:rPr>
                <w:spacing w:val="3"/>
                <w:sz w:val="16"/>
              </w:rPr>
              <w:t xml:space="preserve"> </w:t>
            </w:r>
            <w:r>
              <w:rPr>
                <w:sz w:val="16"/>
              </w:rPr>
              <w:t>rail</w:t>
            </w:r>
            <w:r>
              <w:rPr>
                <w:spacing w:val="3"/>
                <w:sz w:val="16"/>
              </w:rPr>
              <w:t xml:space="preserve"> </w:t>
            </w:r>
            <w:r>
              <w:rPr>
                <w:spacing w:val="-2"/>
                <w:sz w:val="16"/>
              </w:rPr>
              <w:t>schemes</w:t>
            </w:r>
          </w:p>
        </w:tc>
        <w:tc>
          <w:tcPr>
            <w:tcW w:w="737" w:type="dxa"/>
            <w:shd w:val="clear" w:color="auto" w:fill="EBEBEB"/>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304" w:type="dxa"/>
            <w:shd w:val="clear" w:color="auto" w:fill="EBEBEB"/>
          </w:tcPr>
          <w:p w:rsidR="002C1123" w:rsidRDefault="00F22F94">
            <w:pPr>
              <w:pStyle w:val="TableParagraph"/>
              <w:rPr>
                <w:sz w:val="16"/>
              </w:rPr>
            </w:pPr>
            <w:r>
              <w:rPr>
                <w:spacing w:val="-2"/>
                <w:sz w:val="16"/>
              </w:rPr>
              <w:t>Program</w:t>
            </w:r>
          </w:p>
        </w:tc>
        <w:tc>
          <w:tcPr>
            <w:tcW w:w="5990" w:type="dxa"/>
            <w:shd w:val="clear" w:color="auto" w:fill="EBEBEB"/>
          </w:tcPr>
          <w:p w:rsidR="002C1123" w:rsidRDefault="00F22F94">
            <w:pPr>
              <w:pStyle w:val="TableParagraph"/>
              <w:rPr>
                <w:sz w:val="16"/>
              </w:rPr>
            </w:pPr>
            <w:r>
              <w:rPr>
                <w:sz w:val="16"/>
              </w:rPr>
              <w:t>Scoping</w:t>
            </w:r>
            <w:r>
              <w:rPr>
                <w:spacing w:val="-11"/>
                <w:sz w:val="16"/>
              </w:rPr>
              <w:t xml:space="preserve"> </w:t>
            </w:r>
            <w:r>
              <w:rPr>
                <w:sz w:val="16"/>
              </w:rPr>
              <w:t>of</w:t>
            </w:r>
            <w:r>
              <w:rPr>
                <w:spacing w:val="-11"/>
                <w:sz w:val="16"/>
              </w:rPr>
              <w:t xml:space="preserve"> </w:t>
            </w:r>
            <w:r>
              <w:rPr>
                <w:sz w:val="16"/>
              </w:rPr>
              <w:t>$500</w:t>
            </w:r>
            <w:r>
              <w:rPr>
                <w:spacing w:val="-11"/>
                <w:sz w:val="16"/>
              </w:rPr>
              <w:t xml:space="preserve"> </w:t>
            </w:r>
            <w:r>
              <w:rPr>
                <w:spacing w:val="-2"/>
                <w:sz w:val="16"/>
              </w:rPr>
              <w:t>million</w:t>
            </w:r>
          </w:p>
        </w:tc>
      </w:tr>
      <w:tr w:rsidR="002C1123">
        <w:trPr>
          <w:trHeight w:val="321"/>
        </w:trPr>
        <w:tc>
          <w:tcPr>
            <w:tcW w:w="510" w:type="dxa"/>
            <w:shd w:val="clear" w:color="auto" w:fill="EBEBEB"/>
          </w:tcPr>
          <w:p w:rsidR="002C1123" w:rsidRDefault="00F22F94">
            <w:pPr>
              <w:pStyle w:val="TableParagraph"/>
              <w:rPr>
                <w:sz w:val="16"/>
              </w:rPr>
            </w:pPr>
            <w:r>
              <w:rPr>
                <w:spacing w:val="-5"/>
                <w:sz w:val="16"/>
              </w:rPr>
              <w:t>42</w:t>
            </w:r>
          </w:p>
        </w:tc>
        <w:tc>
          <w:tcPr>
            <w:tcW w:w="6293" w:type="dxa"/>
            <w:shd w:val="clear" w:color="auto" w:fill="EBEBEB"/>
          </w:tcPr>
          <w:p w:rsidR="002C1123" w:rsidRDefault="00F22F94">
            <w:pPr>
              <w:pStyle w:val="TableParagraph"/>
              <w:rPr>
                <w:sz w:val="16"/>
              </w:rPr>
            </w:pPr>
            <w:r>
              <w:rPr>
                <w:sz w:val="16"/>
              </w:rPr>
              <w:t>Complete</w:t>
            </w:r>
            <w:r>
              <w:rPr>
                <w:spacing w:val="8"/>
                <w:sz w:val="16"/>
              </w:rPr>
              <w:t xml:space="preserve"> </w:t>
            </w:r>
            <w:r>
              <w:rPr>
                <w:sz w:val="16"/>
              </w:rPr>
              <w:t>Pacific</w:t>
            </w:r>
            <w:r>
              <w:rPr>
                <w:spacing w:val="8"/>
                <w:sz w:val="16"/>
              </w:rPr>
              <w:t xml:space="preserve"> </w:t>
            </w:r>
            <w:r>
              <w:rPr>
                <w:sz w:val="16"/>
              </w:rPr>
              <w:t>Highway</w:t>
            </w:r>
            <w:r>
              <w:rPr>
                <w:spacing w:val="8"/>
                <w:sz w:val="16"/>
              </w:rPr>
              <w:t xml:space="preserve"> </w:t>
            </w:r>
            <w:r>
              <w:rPr>
                <w:spacing w:val="-2"/>
                <w:sz w:val="16"/>
              </w:rPr>
              <w:t>duplication</w:t>
            </w:r>
          </w:p>
        </w:tc>
        <w:tc>
          <w:tcPr>
            <w:tcW w:w="737" w:type="dxa"/>
            <w:shd w:val="clear" w:color="auto" w:fill="EBEBEB"/>
          </w:tcPr>
          <w:p w:rsidR="002C1123" w:rsidRDefault="00F22F94">
            <w:pPr>
              <w:pStyle w:val="TableParagraph"/>
              <w:rPr>
                <w:sz w:val="16"/>
              </w:rPr>
            </w:pPr>
            <w:r>
              <w:rPr>
                <w:sz w:val="16"/>
              </w:rPr>
              <w:t>5</w:t>
            </w:r>
            <w:r>
              <w:rPr>
                <w:spacing w:val="-10"/>
                <w:sz w:val="16"/>
              </w:rPr>
              <w:t xml:space="preserve"> </w:t>
            </w:r>
            <w:r>
              <w:rPr>
                <w:sz w:val="16"/>
              </w:rPr>
              <w:t>–</w:t>
            </w:r>
            <w:r>
              <w:rPr>
                <w:spacing w:val="-9"/>
                <w:sz w:val="16"/>
              </w:rPr>
              <w:t xml:space="preserve"> </w:t>
            </w:r>
            <w:r>
              <w:rPr>
                <w:spacing w:val="-5"/>
                <w:sz w:val="16"/>
              </w:rPr>
              <w:t>10</w:t>
            </w:r>
          </w:p>
        </w:tc>
        <w:tc>
          <w:tcPr>
            <w:tcW w:w="1304" w:type="dxa"/>
            <w:shd w:val="clear" w:color="auto" w:fill="EBEBEB"/>
          </w:tcPr>
          <w:p w:rsidR="002C1123" w:rsidRDefault="00F22F94">
            <w:pPr>
              <w:pStyle w:val="TableParagraph"/>
              <w:rPr>
                <w:sz w:val="16"/>
              </w:rPr>
            </w:pPr>
            <w:r>
              <w:rPr>
                <w:w w:val="95"/>
                <w:sz w:val="16"/>
              </w:rPr>
              <w:t>Major</w:t>
            </w:r>
            <w:r>
              <w:rPr>
                <w:spacing w:val="-2"/>
                <w:sz w:val="16"/>
              </w:rPr>
              <w:t xml:space="preserve"> </w:t>
            </w:r>
            <w:r>
              <w:rPr>
                <w:spacing w:val="-2"/>
                <w:w w:val="95"/>
                <w:sz w:val="16"/>
              </w:rPr>
              <w:t>project</w:t>
            </w:r>
          </w:p>
        </w:tc>
        <w:tc>
          <w:tcPr>
            <w:tcW w:w="5990" w:type="dxa"/>
            <w:shd w:val="clear" w:color="auto" w:fill="EBEBEB"/>
          </w:tcPr>
          <w:p w:rsidR="002C1123" w:rsidRDefault="00F22F94">
            <w:pPr>
              <w:pStyle w:val="TableParagraph"/>
              <w:rPr>
                <w:sz w:val="16"/>
              </w:rPr>
            </w:pPr>
            <w:r>
              <w:rPr>
                <w:w w:val="95"/>
                <w:sz w:val="16"/>
              </w:rPr>
              <w:t>Existing</w:t>
            </w:r>
            <w:r>
              <w:rPr>
                <w:spacing w:val="-1"/>
                <w:sz w:val="16"/>
              </w:rPr>
              <w:t xml:space="preserve"> </w:t>
            </w:r>
            <w:r>
              <w:rPr>
                <w:w w:val="95"/>
                <w:sz w:val="16"/>
              </w:rPr>
              <w:t>Government</w:t>
            </w:r>
            <w:r>
              <w:rPr>
                <w:sz w:val="16"/>
              </w:rPr>
              <w:t xml:space="preserve"> </w:t>
            </w:r>
            <w:r>
              <w:rPr>
                <w:spacing w:val="-2"/>
                <w:w w:val="95"/>
                <w:sz w:val="16"/>
              </w:rPr>
              <w:t>commitment</w:t>
            </w:r>
          </w:p>
        </w:tc>
      </w:tr>
      <w:tr w:rsidR="002C1123">
        <w:trPr>
          <w:trHeight w:val="321"/>
        </w:trPr>
        <w:tc>
          <w:tcPr>
            <w:tcW w:w="510" w:type="dxa"/>
            <w:shd w:val="clear" w:color="auto" w:fill="EBEBEB"/>
          </w:tcPr>
          <w:p w:rsidR="002C1123" w:rsidRDefault="00F22F94">
            <w:pPr>
              <w:pStyle w:val="TableParagraph"/>
              <w:rPr>
                <w:sz w:val="16"/>
              </w:rPr>
            </w:pPr>
            <w:r>
              <w:rPr>
                <w:spacing w:val="-5"/>
                <w:sz w:val="16"/>
              </w:rPr>
              <w:t>43</w:t>
            </w:r>
          </w:p>
        </w:tc>
        <w:tc>
          <w:tcPr>
            <w:tcW w:w="6293" w:type="dxa"/>
            <w:shd w:val="clear" w:color="auto" w:fill="EBEBEB"/>
          </w:tcPr>
          <w:p w:rsidR="002C1123" w:rsidRDefault="00F22F94">
            <w:pPr>
              <w:pStyle w:val="TableParagraph"/>
              <w:rPr>
                <w:sz w:val="16"/>
              </w:rPr>
            </w:pPr>
            <w:r>
              <w:rPr>
                <w:sz w:val="16"/>
              </w:rPr>
              <w:t>Incremental upgrades</w:t>
            </w:r>
            <w:r>
              <w:rPr>
                <w:spacing w:val="1"/>
                <w:sz w:val="16"/>
              </w:rPr>
              <w:t xml:space="preserve"> </w:t>
            </w:r>
            <w:r>
              <w:rPr>
                <w:sz w:val="16"/>
              </w:rPr>
              <w:t>of</w:t>
            </w:r>
            <w:r>
              <w:rPr>
                <w:spacing w:val="1"/>
                <w:sz w:val="16"/>
              </w:rPr>
              <w:t xml:space="preserve"> </w:t>
            </w:r>
            <w:r>
              <w:rPr>
                <w:sz w:val="16"/>
              </w:rPr>
              <w:t>Moss</w:t>
            </w:r>
            <w:r>
              <w:rPr>
                <w:spacing w:val="1"/>
                <w:sz w:val="16"/>
              </w:rPr>
              <w:t xml:space="preserve"> </w:t>
            </w:r>
            <w:r>
              <w:rPr>
                <w:sz w:val="16"/>
              </w:rPr>
              <w:t>Vale</w:t>
            </w:r>
            <w:r>
              <w:rPr>
                <w:spacing w:val="1"/>
                <w:sz w:val="16"/>
              </w:rPr>
              <w:t xml:space="preserve"> </w:t>
            </w:r>
            <w:r>
              <w:rPr>
                <w:sz w:val="16"/>
              </w:rPr>
              <w:t>to</w:t>
            </w:r>
            <w:r>
              <w:rPr>
                <w:spacing w:val="1"/>
                <w:sz w:val="16"/>
              </w:rPr>
              <w:t xml:space="preserve"> </w:t>
            </w:r>
            <w:r>
              <w:rPr>
                <w:sz w:val="16"/>
              </w:rPr>
              <w:t>Unanderra</w:t>
            </w:r>
            <w:r>
              <w:rPr>
                <w:spacing w:val="1"/>
                <w:sz w:val="16"/>
              </w:rPr>
              <w:t xml:space="preserve"> </w:t>
            </w:r>
            <w:r>
              <w:rPr>
                <w:sz w:val="16"/>
              </w:rPr>
              <w:t>freight</w:t>
            </w:r>
            <w:r>
              <w:rPr>
                <w:spacing w:val="1"/>
                <w:sz w:val="16"/>
              </w:rPr>
              <w:t xml:space="preserve"> </w:t>
            </w:r>
            <w:r>
              <w:rPr>
                <w:sz w:val="16"/>
              </w:rPr>
              <w:t>rail</w:t>
            </w:r>
            <w:r>
              <w:rPr>
                <w:spacing w:val="1"/>
                <w:sz w:val="16"/>
              </w:rPr>
              <w:t xml:space="preserve"> </w:t>
            </w:r>
            <w:r>
              <w:rPr>
                <w:spacing w:val="-4"/>
                <w:sz w:val="16"/>
              </w:rPr>
              <w:t>line</w:t>
            </w:r>
          </w:p>
        </w:tc>
        <w:tc>
          <w:tcPr>
            <w:tcW w:w="737" w:type="dxa"/>
            <w:shd w:val="clear" w:color="auto" w:fill="EBEBEB"/>
          </w:tcPr>
          <w:p w:rsidR="002C1123" w:rsidRDefault="00F22F94">
            <w:pPr>
              <w:pStyle w:val="TableParagraph"/>
              <w:rPr>
                <w:sz w:val="16"/>
              </w:rPr>
            </w:pPr>
            <w:r>
              <w:rPr>
                <w:sz w:val="16"/>
              </w:rPr>
              <w:t>5</w:t>
            </w:r>
            <w:r>
              <w:rPr>
                <w:spacing w:val="-10"/>
                <w:sz w:val="16"/>
              </w:rPr>
              <w:t xml:space="preserve"> </w:t>
            </w:r>
            <w:r>
              <w:rPr>
                <w:sz w:val="16"/>
              </w:rPr>
              <w:t>–</w:t>
            </w:r>
            <w:r>
              <w:rPr>
                <w:spacing w:val="-9"/>
                <w:sz w:val="16"/>
              </w:rPr>
              <w:t xml:space="preserve"> </w:t>
            </w:r>
            <w:r>
              <w:rPr>
                <w:spacing w:val="-5"/>
                <w:sz w:val="16"/>
              </w:rPr>
              <w:t>10</w:t>
            </w:r>
          </w:p>
        </w:tc>
        <w:tc>
          <w:tcPr>
            <w:tcW w:w="1304" w:type="dxa"/>
            <w:shd w:val="clear" w:color="auto" w:fill="EBEBEB"/>
          </w:tcPr>
          <w:p w:rsidR="002C1123" w:rsidRDefault="00F22F94">
            <w:pPr>
              <w:pStyle w:val="TableParagraph"/>
              <w:rPr>
                <w:sz w:val="16"/>
              </w:rPr>
            </w:pPr>
            <w:r>
              <w:rPr>
                <w:w w:val="95"/>
                <w:sz w:val="16"/>
              </w:rPr>
              <w:t>Major</w:t>
            </w:r>
            <w:r>
              <w:rPr>
                <w:spacing w:val="-2"/>
                <w:sz w:val="16"/>
              </w:rPr>
              <w:t xml:space="preserve"> </w:t>
            </w:r>
            <w:r>
              <w:rPr>
                <w:spacing w:val="-2"/>
                <w:w w:val="95"/>
                <w:sz w:val="16"/>
              </w:rPr>
              <w:t>project</w:t>
            </w:r>
          </w:p>
        </w:tc>
        <w:tc>
          <w:tcPr>
            <w:tcW w:w="5990" w:type="dxa"/>
            <w:shd w:val="clear" w:color="auto" w:fill="EBEBEB"/>
          </w:tcPr>
          <w:p w:rsidR="002C1123" w:rsidRDefault="00F22F94">
            <w:pPr>
              <w:pStyle w:val="TableParagraph"/>
              <w:rPr>
                <w:sz w:val="16"/>
              </w:rPr>
            </w:pPr>
            <w:r>
              <w:rPr>
                <w:w w:val="95"/>
                <w:sz w:val="16"/>
              </w:rPr>
              <w:t>Assume</w:t>
            </w:r>
            <w:r>
              <w:rPr>
                <w:spacing w:val="-2"/>
                <w:sz w:val="16"/>
              </w:rPr>
              <w:t xml:space="preserve"> </w:t>
            </w:r>
            <w:r>
              <w:rPr>
                <w:w w:val="95"/>
                <w:sz w:val="16"/>
              </w:rPr>
              <w:t>delivery</w:t>
            </w:r>
            <w:r>
              <w:rPr>
                <w:spacing w:val="-2"/>
                <w:sz w:val="16"/>
              </w:rPr>
              <w:t xml:space="preserve"> </w:t>
            </w:r>
            <w:r>
              <w:rPr>
                <w:w w:val="95"/>
                <w:sz w:val="16"/>
              </w:rPr>
              <w:t>by</w:t>
            </w:r>
            <w:r>
              <w:rPr>
                <w:spacing w:val="-1"/>
                <w:sz w:val="16"/>
              </w:rPr>
              <w:t xml:space="preserve"> </w:t>
            </w:r>
            <w:r>
              <w:rPr>
                <w:w w:val="95"/>
                <w:sz w:val="16"/>
              </w:rPr>
              <w:t>ARTC</w:t>
            </w:r>
            <w:r>
              <w:rPr>
                <w:spacing w:val="-2"/>
                <w:sz w:val="16"/>
              </w:rPr>
              <w:t xml:space="preserve"> </w:t>
            </w:r>
            <w:r>
              <w:rPr>
                <w:w w:val="95"/>
                <w:sz w:val="16"/>
              </w:rPr>
              <w:t>based</w:t>
            </w:r>
            <w:r>
              <w:rPr>
                <w:spacing w:val="-1"/>
                <w:sz w:val="16"/>
              </w:rPr>
              <w:t xml:space="preserve"> </w:t>
            </w:r>
            <w:r>
              <w:rPr>
                <w:w w:val="95"/>
                <w:sz w:val="16"/>
              </w:rPr>
              <w:t>on</w:t>
            </w:r>
            <w:r>
              <w:rPr>
                <w:spacing w:val="-2"/>
                <w:sz w:val="16"/>
              </w:rPr>
              <w:t xml:space="preserve"> </w:t>
            </w:r>
            <w:r>
              <w:rPr>
                <w:w w:val="95"/>
                <w:sz w:val="16"/>
              </w:rPr>
              <w:t>user</w:t>
            </w:r>
            <w:r>
              <w:rPr>
                <w:spacing w:val="-1"/>
                <w:sz w:val="16"/>
              </w:rPr>
              <w:t xml:space="preserve"> </w:t>
            </w:r>
            <w:r>
              <w:rPr>
                <w:w w:val="95"/>
                <w:sz w:val="16"/>
              </w:rPr>
              <w:t>funding</w:t>
            </w:r>
            <w:r>
              <w:rPr>
                <w:spacing w:val="-2"/>
                <w:sz w:val="16"/>
              </w:rPr>
              <w:t xml:space="preserve"> </w:t>
            </w:r>
            <w:r>
              <w:rPr>
                <w:spacing w:val="-2"/>
                <w:w w:val="95"/>
                <w:sz w:val="16"/>
              </w:rPr>
              <w:t>model</w:t>
            </w:r>
          </w:p>
        </w:tc>
      </w:tr>
      <w:tr w:rsidR="002C1123">
        <w:trPr>
          <w:trHeight w:val="321"/>
        </w:trPr>
        <w:tc>
          <w:tcPr>
            <w:tcW w:w="510" w:type="dxa"/>
            <w:shd w:val="clear" w:color="auto" w:fill="EBEBEB"/>
          </w:tcPr>
          <w:p w:rsidR="002C1123" w:rsidRDefault="00F22F94">
            <w:pPr>
              <w:pStyle w:val="TableParagraph"/>
              <w:rPr>
                <w:sz w:val="16"/>
              </w:rPr>
            </w:pPr>
            <w:r>
              <w:rPr>
                <w:spacing w:val="-5"/>
                <w:sz w:val="16"/>
              </w:rPr>
              <w:t>44</w:t>
            </w:r>
          </w:p>
        </w:tc>
        <w:tc>
          <w:tcPr>
            <w:tcW w:w="6293" w:type="dxa"/>
            <w:shd w:val="clear" w:color="auto" w:fill="EBEBEB"/>
          </w:tcPr>
          <w:p w:rsidR="002C1123" w:rsidRDefault="00F22F94">
            <w:pPr>
              <w:pStyle w:val="TableParagraph"/>
              <w:rPr>
                <w:sz w:val="16"/>
              </w:rPr>
            </w:pPr>
            <w:r>
              <w:rPr>
                <w:sz w:val="16"/>
              </w:rPr>
              <w:t>Hunter</w:t>
            </w:r>
            <w:r>
              <w:rPr>
                <w:spacing w:val="-3"/>
                <w:sz w:val="16"/>
              </w:rPr>
              <w:t xml:space="preserve"> </w:t>
            </w:r>
            <w:r>
              <w:rPr>
                <w:sz w:val="16"/>
              </w:rPr>
              <w:t>Valley</w:t>
            </w:r>
            <w:r>
              <w:rPr>
                <w:spacing w:val="-2"/>
                <w:sz w:val="16"/>
              </w:rPr>
              <w:t xml:space="preserve"> </w:t>
            </w:r>
            <w:r>
              <w:rPr>
                <w:sz w:val="16"/>
              </w:rPr>
              <w:t>Coal</w:t>
            </w:r>
            <w:r>
              <w:rPr>
                <w:spacing w:val="-3"/>
                <w:sz w:val="16"/>
              </w:rPr>
              <w:t xml:space="preserve"> </w:t>
            </w:r>
            <w:r>
              <w:rPr>
                <w:sz w:val="16"/>
              </w:rPr>
              <w:t>Chain</w:t>
            </w:r>
            <w:r>
              <w:rPr>
                <w:spacing w:val="-2"/>
                <w:sz w:val="16"/>
              </w:rPr>
              <w:t xml:space="preserve"> </w:t>
            </w:r>
            <w:r>
              <w:rPr>
                <w:sz w:val="16"/>
              </w:rPr>
              <w:t>improvements</w:t>
            </w:r>
            <w:r>
              <w:rPr>
                <w:spacing w:val="-2"/>
                <w:sz w:val="16"/>
              </w:rPr>
              <w:t xml:space="preserve"> </w:t>
            </w:r>
            <w:r>
              <w:rPr>
                <w:sz w:val="16"/>
              </w:rPr>
              <w:t>–</w:t>
            </w:r>
            <w:r>
              <w:rPr>
                <w:spacing w:val="-3"/>
                <w:sz w:val="16"/>
              </w:rPr>
              <w:t xml:space="preserve"> </w:t>
            </w:r>
            <w:r>
              <w:rPr>
                <w:sz w:val="16"/>
              </w:rPr>
              <w:t>Liverpool</w:t>
            </w:r>
            <w:r>
              <w:rPr>
                <w:spacing w:val="-2"/>
                <w:sz w:val="16"/>
              </w:rPr>
              <w:t xml:space="preserve"> Range</w:t>
            </w:r>
          </w:p>
        </w:tc>
        <w:tc>
          <w:tcPr>
            <w:tcW w:w="737" w:type="dxa"/>
            <w:shd w:val="clear" w:color="auto" w:fill="EBEBEB"/>
          </w:tcPr>
          <w:p w:rsidR="002C1123" w:rsidRDefault="00F22F94">
            <w:pPr>
              <w:pStyle w:val="TableParagraph"/>
              <w:rPr>
                <w:sz w:val="16"/>
              </w:rPr>
            </w:pPr>
            <w:r>
              <w:rPr>
                <w:sz w:val="16"/>
              </w:rPr>
              <w:t>5</w:t>
            </w:r>
            <w:r>
              <w:rPr>
                <w:spacing w:val="-10"/>
                <w:sz w:val="16"/>
              </w:rPr>
              <w:t xml:space="preserve"> </w:t>
            </w:r>
            <w:r>
              <w:rPr>
                <w:sz w:val="16"/>
              </w:rPr>
              <w:t>–</w:t>
            </w:r>
            <w:r>
              <w:rPr>
                <w:spacing w:val="-9"/>
                <w:sz w:val="16"/>
              </w:rPr>
              <w:t xml:space="preserve"> </w:t>
            </w:r>
            <w:r>
              <w:rPr>
                <w:spacing w:val="-5"/>
                <w:sz w:val="16"/>
              </w:rPr>
              <w:t>10</w:t>
            </w:r>
          </w:p>
        </w:tc>
        <w:tc>
          <w:tcPr>
            <w:tcW w:w="1304" w:type="dxa"/>
            <w:shd w:val="clear" w:color="auto" w:fill="EBEBEB"/>
          </w:tcPr>
          <w:p w:rsidR="002C1123" w:rsidRDefault="00F22F94">
            <w:pPr>
              <w:pStyle w:val="TableParagraph"/>
              <w:rPr>
                <w:sz w:val="16"/>
              </w:rPr>
            </w:pPr>
            <w:r>
              <w:rPr>
                <w:w w:val="95"/>
                <w:sz w:val="16"/>
              </w:rPr>
              <w:t>Major</w:t>
            </w:r>
            <w:r>
              <w:rPr>
                <w:spacing w:val="-2"/>
                <w:sz w:val="16"/>
              </w:rPr>
              <w:t xml:space="preserve"> </w:t>
            </w:r>
            <w:r>
              <w:rPr>
                <w:spacing w:val="-2"/>
                <w:w w:val="95"/>
                <w:sz w:val="16"/>
              </w:rPr>
              <w:t>project</w:t>
            </w:r>
          </w:p>
        </w:tc>
        <w:tc>
          <w:tcPr>
            <w:tcW w:w="5990" w:type="dxa"/>
            <w:shd w:val="clear" w:color="auto" w:fill="EBEBEB"/>
          </w:tcPr>
          <w:p w:rsidR="002C1123" w:rsidRDefault="00F22F94">
            <w:pPr>
              <w:pStyle w:val="TableParagraph"/>
              <w:rPr>
                <w:sz w:val="16"/>
              </w:rPr>
            </w:pPr>
            <w:r>
              <w:rPr>
                <w:w w:val="95"/>
                <w:sz w:val="16"/>
              </w:rPr>
              <w:t>Assume</w:t>
            </w:r>
            <w:r>
              <w:rPr>
                <w:spacing w:val="-2"/>
                <w:sz w:val="16"/>
              </w:rPr>
              <w:t xml:space="preserve"> </w:t>
            </w:r>
            <w:r>
              <w:rPr>
                <w:w w:val="95"/>
                <w:sz w:val="16"/>
              </w:rPr>
              <w:t>delivery</w:t>
            </w:r>
            <w:r>
              <w:rPr>
                <w:spacing w:val="-2"/>
                <w:sz w:val="16"/>
              </w:rPr>
              <w:t xml:space="preserve"> </w:t>
            </w:r>
            <w:r>
              <w:rPr>
                <w:w w:val="95"/>
                <w:sz w:val="16"/>
              </w:rPr>
              <w:t>by</w:t>
            </w:r>
            <w:r>
              <w:rPr>
                <w:spacing w:val="-1"/>
                <w:sz w:val="16"/>
              </w:rPr>
              <w:t xml:space="preserve"> </w:t>
            </w:r>
            <w:r>
              <w:rPr>
                <w:w w:val="95"/>
                <w:sz w:val="16"/>
              </w:rPr>
              <w:t>ARTC</w:t>
            </w:r>
            <w:r>
              <w:rPr>
                <w:spacing w:val="-2"/>
                <w:sz w:val="16"/>
              </w:rPr>
              <w:t xml:space="preserve"> </w:t>
            </w:r>
            <w:r>
              <w:rPr>
                <w:w w:val="95"/>
                <w:sz w:val="16"/>
              </w:rPr>
              <w:t>based</w:t>
            </w:r>
            <w:r>
              <w:rPr>
                <w:spacing w:val="-1"/>
                <w:sz w:val="16"/>
              </w:rPr>
              <w:t xml:space="preserve"> </w:t>
            </w:r>
            <w:r>
              <w:rPr>
                <w:w w:val="95"/>
                <w:sz w:val="16"/>
              </w:rPr>
              <w:t>on</w:t>
            </w:r>
            <w:r>
              <w:rPr>
                <w:spacing w:val="-2"/>
                <w:sz w:val="16"/>
              </w:rPr>
              <w:t xml:space="preserve"> </w:t>
            </w:r>
            <w:r>
              <w:rPr>
                <w:w w:val="95"/>
                <w:sz w:val="16"/>
              </w:rPr>
              <w:t>user</w:t>
            </w:r>
            <w:r>
              <w:rPr>
                <w:spacing w:val="-1"/>
                <w:sz w:val="16"/>
              </w:rPr>
              <w:t xml:space="preserve"> </w:t>
            </w:r>
            <w:r>
              <w:rPr>
                <w:w w:val="95"/>
                <w:sz w:val="16"/>
              </w:rPr>
              <w:t>funding</w:t>
            </w:r>
            <w:r>
              <w:rPr>
                <w:spacing w:val="-2"/>
                <w:sz w:val="16"/>
              </w:rPr>
              <w:t xml:space="preserve"> </w:t>
            </w:r>
            <w:r>
              <w:rPr>
                <w:spacing w:val="-2"/>
                <w:w w:val="95"/>
                <w:sz w:val="16"/>
              </w:rPr>
              <w:t>model</w:t>
            </w:r>
          </w:p>
        </w:tc>
      </w:tr>
      <w:tr w:rsidR="002C1123">
        <w:trPr>
          <w:trHeight w:val="321"/>
        </w:trPr>
        <w:tc>
          <w:tcPr>
            <w:tcW w:w="510" w:type="dxa"/>
            <w:shd w:val="clear" w:color="auto" w:fill="EBEBEB"/>
          </w:tcPr>
          <w:p w:rsidR="002C1123" w:rsidRDefault="00F22F94">
            <w:pPr>
              <w:pStyle w:val="TableParagraph"/>
              <w:rPr>
                <w:sz w:val="16"/>
              </w:rPr>
            </w:pPr>
            <w:r>
              <w:rPr>
                <w:spacing w:val="-5"/>
                <w:sz w:val="16"/>
              </w:rPr>
              <w:t>45</w:t>
            </w:r>
          </w:p>
        </w:tc>
        <w:tc>
          <w:tcPr>
            <w:tcW w:w="6293" w:type="dxa"/>
            <w:shd w:val="clear" w:color="auto" w:fill="EBEBEB"/>
          </w:tcPr>
          <w:p w:rsidR="002C1123" w:rsidRDefault="00F22F94">
            <w:pPr>
              <w:pStyle w:val="TableParagraph"/>
              <w:rPr>
                <w:sz w:val="16"/>
              </w:rPr>
            </w:pPr>
            <w:r>
              <w:rPr>
                <w:sz w:val="16"/>
              </w:rPr>
              <w:t>F3</w:t>
            </w:r>
            <w:r>
              <w:rPr>
                <w:spacing w:val="2"/>
                <w:sz w:val="16"/>
              </w:rPr>
              <w:t xml:space="preserve"> </w:t>
            </w:r>
            <w:r>
              <w:rPr>
                <w:sz w:val="16"/>
              </w:rPr>
              <w:t>extension</w:t>
            </w:r>
            <w:r>
              <w:rPr>
                <w:spacing w:val="3"/>
                <w:sz w:val="16"/>
              </w:rPr>
              <w:t xml:space="preserve"> </w:t>
            </w:r>
            <w:r>
              <w:rPr>
                <w:sz w:val="16"/>
              </w:rPr>
              <w:t>to</w:t>
            </w:r>
            <w:r>
              <w:rPr>
                <w:spacing w:val="3"/>
                <w:sz w:val="16"/>
              </w:rPr>
              <w:t xml:space="preserve"> </w:t>
            </w:r>
            <w:r>
              <w:rPr>
                <w:sz w:val="16"/>
              </w:rPr>
              <w:t>Raymond</w:t>
            </w:r>
            <w:r>
              <w:rPr>
                <w:spacing w:val="2"/>
                <w:sz w:val="16"/>
              </w:rPr>
              <w:t xml:space="preserve"> </w:t>
            </w:r>
            <w:r>
              <w:rPr>
                <w:spacing w:val="-2"/>
                <w:sz w:val="16"/>
              </w:rPr>
              <w:t>Terrace</w:t>
            </w:r>
          </w:p>
        </w:tc>
        <w:tc>
          <w:tcPr>
            <w:tcW w:w="737" w:type="dxa"/>
            <w:shd w:val="clear" w:color="auto" w:fill="EBEBEB"/>
          </w:tcPr>
          <w:p w:rsidR="002C1123" w:rsidRDefault="00F22F94">
            <w:pPr>
              <w:pStyle w:val="TableParagraph"/>
              <w:rPr>
                <w:sz w:val="16"/>
              </w:rPr>
            </w:pPr>
            <w:r>
              <w:rPr>
                <w:sz w:val="16"/>
              </w:rPr>
              <w:t>5</w:t>
            </w:r>
            <w:r>
              <w:rPr>
                <w:spacing w:val="-10"/>
                <w:sz w:val="16"/>
              </w:rPr>
              <w:t xml:space="preserve"> </w:t>
            </w:r>
            <w:r>
              <w:rPr>
                <w:sz w:val="16"/>
              </w:rPr>
              <w:t>–</w:t>
            </w:r>
            <w:r>
              <w:rPr>
                <w:spacing w:val="-9"/>
                <w:sz w:val="16"/>
              </w:rPr>
              <w:t xml:space="preserve"> </w:t>
            </w:r>
            <w:r>
              <w:rPr>
                <w:spacing w:val="-5"/>
                <w:sz w:val="16"/>
              </w:rPr>
              <w:t>10</w:t>
            </w:r>
          </w:p>
        </w:tc>
        <w:tc>
          <w:tcPr>
            <w:tcW w:w="1304" w:type="dxa"/>
            <w:shd w:val="clear" w:color="auto" w:fill="EBEBEB"/>
          </w:tcPr>
          <w:p w:rsidR="002C1123" w:rsidRDefault="00F22F94">
            <w:pPr>
              <w:pStyle w:val="TableParagraph"/>
              <w:rPr>
                <w:sz w:val="16"/>
              </w:rPr>
            </w:pPr>
            <w:r>
              <w:rPr>
                <w:w w:val="95"/>
                <w:sz w:val="16"/>
              </w:rPr>
              <w:t>Major</w:t>
            </w:r>
            <w:r>
              <w:rPr>
                <w:spacing w:val="-2"/>
                <w:sz w:val="16"/>
              </w:rPr>
              <w:t xml:space="preserve"> </w:t>
            </w:r>
            <w:r>
              <w:rPr>
                <w:spacing w:val="-2"/>
                <w:w w:val="95"/>
                <w:sz w:val="16"/>
              </w:rPr>
              <w:t>project</w:t>
            </w:r>
          </w:p>
        </w:tc>
        <w:tc>
          <w:tcPr>
            <w:tcW w:w="5990" w:type="dxa"/>
            <w:shd w:val="clear" w:color="auto" w:fill="EBEBEB"/>
          </w:tcPr>
          <w:p w:rsidR="002C1123" w:rsidRDefault="00F22F94">
            <w:pPr>
              <w:pStyle w:val="TableParagraph"/>
              <w:rPr>
                <w:sz w:val="16"/>
              </w:rPr>
            </w:pPr>
            <w:r>
              <w:rPr>
                <w:sz w:val="16"/>
              </w:rPr>
              <w:t>Scoping</w:t>
            </w:r>
            <w:r>
              <w:rPr>
                <w:spacing w:val="-10"/>
                <w:sz w:val="16"/>
              </w:rPr>
              <w:t xml:space="preserve"> </w:t>
            </w:r>
            <w:r>
              <w:rPr>
                <w:sz w:val="16"/>
              </w:rPr>
              <w:t>of</w:t>
            </w:r>
            <w:r>
              <w:rPr>
                <w:spacing w:val="-10"/>
                <w:sz w:val="16"/>
              </w:rPr>
              <w:t xml:space="preserve"> </w:t>
            </w:r>
            <w:r>
              <w:rPr>
                <w:sz w:val="16"/>
              </w:rPr>
              <w:t>$900</w:t>
            </w:r>
            <w:r>
              <w:rPr>
                <w:spacing w:val="-10"/>
                <w:sz w:val="16"/>
              </w:rPr>
              <w:t xml:space="preserve"> </w:t>
            </w:r>
            <w:r>
              <w:rPr>
                <w:spacing w:val="-2"/>
                <w:sz w:val="16"/>
              </w:rPr>
              <w:t>million</w:t>
            </w:r>
          </w:p>
        </w:tc>
      </w:tr>
      <w:tr w:rsidR="002C1123">
        <w:trPr>
          <w:trHeight w:val="321"/>
        </w:trPr>
        <w:tc>
          <w:tcPr>
            <w:tcW w:w="510" w:type="dxa"/>
            <w:shd w:val="clear" w:color="auto" w:fill="EBEBEB"/>
          </w:tcPr>
          <w:p w:rsidR="002C1123" w:rsidRDefault="00F22F94">
            <w:pPr>
              <w:pStyle w:val="TableParagraph"/>
              <w:rPr>
                <w:sz w:val="16"/>
              </w:rPr>
            </w:pPr>
            <w:r>
              <w:rPr>
                <w:spacing w:val="-5"/>
                <w:sz w:val="16"/>
              </w:rPr>
              <w:t>46</w:t>
            </w:r>
          </w:p>
        </w:tc>
        <w:tc>
          <w:tcPr>
            <w:tcW w:w="6293" w:type="dxa"/>
            <w:shd w:val="clear" w:color="auto" w:fill="EBEBEB"/>
          </w:tcPr>
          <w:p w:rsidR="002C1123" w:rsidRDefault="00F22F94">
            <w:pPr>
              <w:pStyle w:val="TableParagraph"/>
              <w:rPr>
                <w:sz w:val="16"/>
              </w:rPr>
            </w:pPr>
            <w:r>
              <w:rPr>
                <w:spacing w:val="-2"/>
                <w:w w:val="105"/>
                <w:sz w:val="16"/>
              </w:rPr>
              <w:t>Complete</w:t>
            </w:r>
            <w:r>
              <w:rPr>
                <w:spacing w:val="-7"/>
                <w:w w:val="105"/>
                <w:sz w:val="16"/>
              </w:rPr>
              <w:t xml:space="preserve"> </w:t>
            </w:r>
            <w:r>
              <w:rPr>
                <w:spacing w:val="-2"/>
                <w:w w:val="105"/>
                <w:sz w:val="16"/>
              </w:rPr>
              <w:t>Princes</w:t>
            </w:r>
            <w:r>
              <w:rPr>
                <w:spacing w:val="-7"/>
                <w:w w:val="105"/>
                <w:sz w:val="16"/>
              </w:rPr>
              <w:t xml:space="preserve"> </w:t>
            </w:r>
            <w:r>
              <w:rPr>
                <w:spacing w:val="-2"/>
                <w:w w:val="105"/>
                <w:sz w:val="16"/>
              </w:rPr>
              <w:t>Highway</w:t>
            </w:r>
            <w:r>
              <w:rPr>
                <w:spacing w:val="-6"/>
                <w:w w:val="105"/>
                <w:sz w:val="16"/>
              </w:rPr>
              <w:t xml:space="preserve"> </w:t>
            </w:r>
            <w:r>
              <w:rPr>
                <w:spacing w:val="-2"/>
                <w:w w:val="105"/>
                <w:sz w:val="16"/>
              </w:rPr>
              <w:t>duplication</w:t>
            </w:r>
            <w:r>
              <w:rPr>
                <w:spacing w:val="-7"/>
                <w:w w:val="105"/>
                <w:sz w:val="16"/>
              </w:rPr>
              <w:t xml:space="preserve"> </w:t>
            </w:r>
            <w:r>
              <w:rPr>
                <w:spacing w:val="-2"/>
                <w:w w:val="105"/>
                <w:sz w:val="16"/>
              </w:rPr>
              <w:t>to</w:t>
            </w:r>
            <w:r>
              <w:rPr>
                <w:spacing w:val="-6"/>
                <w:w w:val="105"/>
                <w:sz w:val="16"/>
              </w:rPr>
              <w:t xml:space="preserve"> </w:t>
            </w:r>
            <w:r>
              <w:rPr>
                <w:spacing w:val="-2"/>
                <w:w w:val="105"/>
                <w:sz w:val="16"/>
              </w:rPr>
              <w:t>Jervis</w:t>
            </w:r>
            <w:r>
              <w:rPr>
                <w:spacing w:val="-7"/>
                <w:w w:val="105"/>
                <w:sz w:val="16"/>
              </w:rPr>
              <w:t xml:space="preserve"> </w:t>
            </w:r>
            <w:r>
              <w:rPr>
                <w:spacing w:val="-2"/>
                <w:w w:val="105"/>
                <w:sz w:val="16"/>
              </w:rPr>
              <w:t>Bay</w:t>
            </w:r>
            <w:r>
              <w:rPr>
                <w:spacing w:val="-6"/>
                <w:w w:val="105"/>
                <w:sz w:val="16"/>
              </w:rPr>
              <w:t xml:space="preserve"> </w:t>
            </w:r>
            <w:r>
              <w:rPr>
                <w:spacing w:val="-2"/>
                <w:w w:val="105"/>
                <w:sz w:val="16"/>
              </w:rPr>
              <w:t>turnoff</w:t>
            </w:r>
          </w:p>
        </w:tc>
        <w:tc>
          <w:tcPr>
            <w:tcW w:w="737" w:type="dxa"/>
            <w:shd w:val="clear" w:color="auto" w:fill="EBEBEB"/>
          </w:tcPr>
          <w:p w:rsidR="002C1123" w:rsidRDefault="00F22F94">
            <w:pPr>
              <w:pStyle w:val="TableParagraph"/>
              <w:rPr>
                <w:sz w:val="16"/>
              </w:rPr>
            </w:pPr>
            <w:r>
              <w:rPr>
                <w:sz w:val="16"/>
              </w:rPr>
              <w:t>5</w:t>
            </w:r>
            <w:r>
              <w:rPr>
                <w:spacing w:val="-10"/>
                <w:sz w:val="16"/>
              </w:rPr>
              <w:t xml:space="preserve"> </w:t>
            </w:r>
            <w:r>
              <w:rPr>
                <w:sz w:val="16"/>
              </w:rPr>
              <w:t>–</w:t>
            </w:r>
            <w:r>
              <w:rPr>
                <w:spacing w:val="-9"/>
                <w:sz w:val="16"/>
              </w:rPr>
              <w:t xml:space="preserve"> </w:t>
            </w:r>
            <w:r>
              <w:rPr>
                <w:spacing w:val="-5"/>
                <w:sz w:val="16"/>
              </w:rPr>
              <w:t>10</w:t>
            </w:r>
          </w:p>
        </w:tc>
        <w:tc>
          <w:tcPr>
            <w:tcW w:w="1304" w:type="dxa"/>
            <w:shd w:val="clear" w:color="auto" w:fill="EBEBEB"/>
          </w:tcPr>
          <w:p w:rsidR="002C1123" w:rsidRDefault="00F22F94">
            <w:pPr>
              <w:pStyle w:val="TableParagraph"/>
              <w:rPr>
                <w:sz w:val="16"/>
              </w:rPr>
            </w:pPr>
            <w:r>
              <w:rPr>
                <w:w w:val="95"/>
                <w:sz w:val="16"/>
              </w:rPr>
              <w:t>Major</w:t>
            </w:r>
            <w:r>
              <w:rPr>
                <w:spacing w:val="-2"/>
                <w:sz w:val="16"/>
              </w:rPr>
              <w:t xml:space="preserve"> </w:t>
            </w:r>
            <w:r>
              <w:rPr>
                <w:spacing w:val="-2"/>
                <w:w w:val="95"/>
                <w:sz w:val="16"/>
              </w:rPr>
              <w:t>project</w:t>
            </w:r>
          </w:p>
        </w:tc>
        <w:tc>
          <w:tcPr>
            <w:tcW w:w="5990" w:type="dxa"/>
            <w:shd w:val="clear" w:color="auto" w:fill="EBEBEB"/>
          </w:tcPr>
          <w:p w:rsidR="002C1123" w:rsidRDefault="00F22F94">
            <w:pPr>
              <w:pStyle w:val="TableParagraph"/>
              <w:rPr>
                <w:sz w:val="16"/>
              </w:rPr>
            </w:pPr>
            <w:r>
              <w:rPr>
                <w:w w:val="95"/>
                <w:sz w:val="16"/>
              </w:rPr>
              <w:t>Existing</w:t>
            </w:r>
            <w:r>
              <w:rPr>
                <w:spacing w:val="-1"/>
                <w:sz w:val="16"/>
              </w:rPr>
              <w:t xml:space="preserve"> </w:t>
            </w:r>
            <w:r>
              <w:rPr>
                <w:w w:val="95"/>
                <w:sz w:val="16"/>
              </w:rPr>
              <w:t>Government</w:t>
            </w:r>
            <w:r>
              <w:rPr>
                <w:sz w:val="16"/>
              </w:rPr>
              <w:t xml:space="preserve"> </w:t>
            </w:r>
            <w:r>
              <w:rPr>
                <w:spacing w:val="-2"/>
                <w:w w:val="95"/>
                <w:sz w:val="16"/>
              </w:rPr>
              <w:t>commitment</w:t>
            </w:r>
          </w:p>
        </w:tc>
      </w:tr>
      <w:tr w:rsidR="002C1123">
        <w:trPr>
          <w:trHeight w:val="335"/>
        </w:trPr>
        <w:tc>
          <w:tcPr>
            <w:tcW w:w="510" w:type="dxa"/>
            <w:shd w:val="clear" w:color="auto" w:fill="EBEBEB"/>
          </w:tcPr>
          <w:p w:rsidR="002C1123" w:rsidRDefault="00F22F94">
            <w:pPr>
              <w:pStyle w:val="TableParagraph"/>
              <w:rPr>
                <w:sz w:val="16"/>
              </w:rPr>
            </w:pPr>
            <w:r>
              <w:rPr>
                <w:spacing w:val="-5"/>
                <w:sz w:val="16"/>
              </w:rPr>
              <w:t>47</w:t>
            </w:r>
          </w:p>
        </w:tc>
        <w:tc>
          <w:tcPr>
            <w:tcW w:w="6293" w:type="dxa"/>
            <w:shd w:val="clear" w:color="auto" w:fill="EBEBEB"/>
          </w:tcPr>
          <w:p w:rsidR="002C1123" w:rsidRDefault="00F22F94">
            <w:pPr>
              <w:pStyle w:val="TableParagraph"/>
              <w:rPr>
                <w:sz w:val="16"/>
              </w:rPr>
            </w:pPr>
            <w:r>
              <w:rPr>
                <w:spacing w:val="-2"/>
                <w:w w:val="105"/>
                <w:sz w:val="16"/>
              </w:rPr>
              <w:t>Maldon-Dombarton</w:t>
            </w:r>
            <w:r>
              <w:rPr>
                <w:spacing w:val="-5"/>
                <w:w w:val="105"/>
                <w:sz w:val="16"/>
              </w:rPr>
              <w:t xml:space="preserve"> </w:t>
            </w:r>
            <w:r>
              <w:rPr>
                <w:spacing w:val="-2"/>
                <w:w w:val="105"/>
                <w:sz w:val="16"/>
              </w:rPr>
              <w:t>freight</w:t>
            </w:r>
            <w:r>
              <w:rPr>
                <w:spacing w:val="-5"/>
                <w:w w:val="105"/>
                <w:sz w:val="16"/>
              </w:rPr>
              <w:t xml:space="preserve"> </w:t>
            </w:r>
            <w:r>
              <w:rPr>
                <w:spacing w:val="-2"/>
                <w:w w:val="105"/>
                <w:sz w:val="16"/>
              </w:rPr>
              <w:t>rail</w:t>
            </w:r>
            <w:r>
              <w:rPr>
                <w:spacing w:val="-4"/>
                <w:w w:val="105"/>
                <w:sz w:val="16"/>
              </w:rPr>
              <w:t xml:space="preserve"> line</w:t>
            </w:r>
          </w:p>
        </w:tc>
        <w:tc>
          <w:tcPr>
            <w:tcW w:w="737" w:type="dxa"/>
            <w:shd w:val="clear" w:color="auto" w:fill="EBEBEB"/>
          </w:tcPr>
          <w:p w:rsidR="002C1123" w:rsidRDefault="00F22F94">
            <w:pPr>
              <w:pStyle w:val="TableParagraph"/>
              <w:rPr>
                <w:sz w:val="16"/>
              </w:rPr>
            </w:pPr>
            <w:r>
              <w:rPr>
                <w:w w:val="95"/>
                <w:sz w:val="16"/>
              </w:rPr>
              <w:t>10</w:t>
            </w:r>
            <w:r>
              <w:rPr>
                <w:spacing w:val="-6"/>
                <w:w w:val="95"/>
                <w:sz w:val="16"/>
              </w:rPr>
              <w:t xml:space="preserve"> </w:t>
            </w:r>
            <w:r>
              <w:rPr>
                <w:w w:val="95"/>
                <w:sz w:val="16"/>
              </w:rPr>
              <w:t>–</w:t>
            </w:r>
            <w:r>
              <w:rPr>
                <w:spacing w:val="-5"/>
                <w:w w:val="95"/>
                <w:sz w:val="16"/>
              </w:rPr>
              <w:t xml:space="preserve"> 20</w:t>
            </w:r>
          </w:p>
        </w:tc>
        <w:tc>
          <w:tcPr>
            <w:tcW w:w="1304" w:type="dxa"/>
            <w:shd w:val="clear" w:color="auto" w:fill="EBEBEB"/>
          </w:tcPr>
          <w:p w:rsidR="002C1123" w:rsidRDefault="00F22F94">
            <w:pPr>
              <w:pStyle w:val="TableParagraph"/>
              <w:rPr>
                <w:sz w:val="16"/>
              </w:rPr>
            </w:pPr>
            <w:r>
              <w:rPr>
                <w:w w:val="95"/>
                <w:sz w:val="16"/>
              </w:rPr>
              <w:t>Major</w:t>
            </w:r>
            <w:r>
              <w:rPr>
                <w:spacing w:val="-2"/>
                <w:sz w:val="16"/>
              </w:rPr>
              <w:t xml:space="preserve"> </w:t>
            </w:r>
            <w:r>
              <w:rPr>
                <w:spacing w:val="-2"/>
                <w:w w:val="95"/>
                <w:sz w:val="16"/>
              </w:rPr>
              <w:t>project</w:t>
            </w:r>
          </w:p>
        </w:tc>
        <w:tc>
          <w:tcPr>
            <w:tcW w:w="5990" w:type="dxa"/>
            <w:shd w:val="clear" w:color="auto" w:fill="EBEBEB"/>
          </w:tcPr>
          <w:p w:rsidR="002C1123" w:rsidRDefault="00F22F94">
            <w:pPr>
              <w:pStyle w:val="TableParagraph"/>
              <w:rPr>
                <w:sz w:val="16"/>
              </w:rPr>
            </w:pPr>
            <w:r>
              <w:rPr>
                <w:w w:val="95"/>
                <w:sz w:val="16"/>
              </w:rPr>
              <w:t>Assume</w:t>
            </w:r>
            <w:r>
              <w:rPr>
                <w:spacing w:val="-2"/>
                <w:sz w:val="16"/>
              </w:rPr>
              <w:t xml:space="preserve"> </w:t>
            </w:r>
            <w:r>
              <w:rPr>
                <w:w w:val="95"/>
                <w:sz w:val="16"/>
              </w:rPr>
              <w:t>delivery</w:t>
            </w:r>
            <w:r>
              <w:rPr>
                <w:spacing w:val="-2"/>
                <w:sz w:val="16"/>
              </w:rPr>
              <w:t xml:space="preserve"> </w:t>
            </w:r>
            <w:r>
              <w:rPr>
                <w:w w:val="95"/>
                <w:sz w:val="16"/>
              </w:rPr>
              <w:t>by</w:t>
            </w:r>
            <w:r>
              <w:rPr>
                <w:spacing w:val="-1"/>
                <w:sz w:val="16"/>
              </w:rPr>
              <w:t xml:space="preserve"> </w:t>
            </w:r>
            <w:r>
              <w:rPr>
                <w:w w:val="95"/>
                <w:sz w:val="16"/>
              </w:rPr>
              <w:t>ARTC</w:t>
            </w:r>
            <w:r>
              <w:rPr>
                <w:spacing w:val="-2"/>
                <w:sz w:val="16"/>
              </w:rPr>
              <w:t xml:space="preserve"> </w:t>
            </w:r>
            <w:r>
              <w:rPr>
                <w:w w:val="95"/>
                <w:sz w:val="16"/>
              </w:rPr>
              <w:t>based</w:t>
            </w:r>
            <w:r>
              <w:rPr>
                <w:spacing w:val="-1"/>
                <w:sz w:val="16"/>
              </w:rPr>
              <w:t xml:space="preserve"> </w:t>
            </w:r>
            <w:r>
              <w:rPr>
                <w:w w:val="95"/>
                <w:sz w:val="16"/>
              </w:rPr>
              <w:t>on</w:t>
            </w:r>
            <w:r>
              <w:rPr>
                <w:spacing w:val="-2"/>
                <w:sz w:val="16"/>
              </w:rPr>
              <w:t xml:space="preserve"> </w:t>
            </w:r>
            <w:r>
              <w:rPr>
                <w:w w:val="95"/>
                <w:sz w:val="16"/>
              </w:rPr>
              <w:t>user</w:t>
            </w:r>
            <w:r>
              <w:rPr>
                <w:spacing w:val="-1"/>
                <w:sz w:val="16"/>
              </w:rPr>
              <w:t xml:space="preserve"> </w:t>
            </w:r>
            <w:r>
              <w:rPr>
                <w:w w:val="95"/>
                <w:sz w:val="16"/>
              </w:rPr>
              <w:t>funding</w:t>
            </w:r>
            <w:r>
              <w:rPr>
                <w:spacing w:val="-2"/>
                <w:sz w:val="16"/>
              </w:rPr>
              <w:t xml:space="preserve"> </w:t>
            </w:r>
            <w:r>
              <w:rPr>
                <w:spacing w:val="-2"/>
                <w:w w:val="95"/>
                <w:sz w:val="16"/>
              </w:rPr>
              <w:t>model</w:t>
            </w:r>
          </w:p>
        </w:tc>
      </w:tr>
    </w:tbl>
    <w:p w:rsidR="002C1123" w:rsidRDefault="002C1123">
      <w:pPr>
        <w:rPr>
          <w:sz w:val="16"/>
        </w:rPr>
        <w:sectPr w:rsidR="002C1123">
          <w:pgSz w:w="16840" w:h="11910" w:orient="landscape"/>
          <w:pgMar w:top="560" w:right="280" w:bottom="700" w:left="500" w:header="0" w:footer="517" w:gutter="0"/>
          <w:cols w:space="720"/>
        </w:sect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spacing w:before="7"/>
        <w:rPr>
          <w:b/>
          <w:sz w:val="29"/>
        </w:rPr>
      </w:pPr>
    </w:p>
    <w:p w:rsidR="002C1123" w:rsidRDefault="00F22F94">
      <w:pPr>
        <w:tabs>
          <w:tab w:val="left" w:pos="7418"/>
          <w:tab w:val="left" w:pos="8155"/>
          <w:tab w:val="left" w:pos="9459"/>
        </w:tabs>
        <w:spacing w:before="107"/>
        <w:ind w:left="615"/>
        <w:rPr>
          <w:b/>
          <w:sz w:val="18"/>
        </w:rPr>
      </w:pPr>
      <w:bookmarkStart w:id="388" w:name="_bookmark276"/>
      <w:bookmarkEnd w:id="388"/>
      <w:r>
        <w:rPr>
          <w:b/>
          <w:color w:val="2E3092"/>
          <w:spacing w:val="-2"/>
          <w:sz w:val="18"/>
        </w:rPr>
        <w:t>Recommendations</w:t>
      </w:r>
      <w:r>
        <w:rPr>
          <w:b/>
          <w:color w:val="2E3092"/>
          <w:sz w:val="18"/>
        </w:rPr>
        <w:tab/>
      </w:r>
      <w:r>
        <w:rPr>
          <w:b/>
          <w:color w:val="2E3092"/>
          <w:spacing w:val="-2"/>
          <w:sz w:val="18"/>
        </w:rPr>
        <w:t>Years</w:t>
      </w:r>
      <w:r>
        <w:rPr>
          <w:b/>
          <w:color w:val="2E3092"/>
          <w:sz w:val="18"/>
        </w:rPr>
        <w:tab/>
      </w:r>
      <w:r>
        <w:rPr>
          <w:b/>
          <w:color w:val="2E3092"/>
          <w:spacing w:val="-4"/>
          <w:sz w:val="18"/>
        </w:rPr>
        <w:t>Type</w:t>
      </w:r>
      <w:r>
        <w:rPr>
          <w:b/>
          <w:color w:val="2E3092"/>
          <w:sz w:val="18"/>
        </w:rPr>
        <w:tab/>
      </w:r>
      <w:r>
        <w:rPr>
          <w:b/>
          <w:color w:val="2E3092"/>
          <w:spacing w:val="-2"/>
          <w:sz w:val="18"/>
        </w:rPr>
        <w:t>Cost</w:t>
      </w:r>
      <w:r>
        <w:rPr>
          <w:b/>
          <w:color w:val="2E3092"/>
          <w:spacing w:val="-4"/>
          <w:sz w:val="18"/>
        </w:rPr>
        <w:t xml:space="preserve"> </w:t>
      </w:r>
      <w:r>
        <w:rPr>
          <w:b/>
          <w:color w:val="2E3092"/>
          <w:spacing w:val="-2"/>
          <w:sz w:val="18"/>
        </w:rPr>
        <w:t>and</w:t>
      </w:r>
      <w:r>
        <w:rPr>
          <w:b/>
          <w:color w:val="2E3092"/>
          <w:spacing w:val="-3"/>
          <w:sz w:val="18"/>
        </w:rPr>
        <w:t xml:space="preserve"> </w:t>
      </w:r>
      <w:r>
        <w:rPr>
          <w:b/>
          <w:color w:val="2E3092"/>
          <w:spacing w:val="-2"/>
          <w:sz w:val="18"/>
        </w:rPr>
        <w:t>Funding</w:t>
      </w:r>
      <w:r>
        <w:rPr>
          <w:b/>
          <w:color w:val="2E3092"/>
          <w:spacing w:val="-4"/>
          <w:sz w:val="18"/>
        </w:rPr>
        <w:t xml:space="preserve"> </w:t>
      </w:r>
      <w:r>
        <w:rPr>
          <w:b/>
          <w:color w:val="2E3092"/>
          <w:spacing w:val="-2"/>
          <w:sz w:val="18"/>
        </w:rPr>
        <w:t>Implications</w:t>
      </w:r>
    </w:p>
    <w:p w:rsidR="002C1123" w:rsidRDefault="002C1123">
      <w:pPr>
        <w:pStyle w:val="BodyText"/>
        <w:spacing w:before="7"/>
        <w:rPr>
          <w:b/>
          <w:sz w:val="5"/>
        </w:rPr>
      </w:pPr>
    </w:p>
    <w:tbl>
      <w:tblPr>
        <w:tblW w:w="0" w:type="auto"/>
        <w:tblInd w:w="5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10"/>
        <w:gridCol w:w="6293"/>
        <w:gridCol w:w="737"/>
        <w:gridCol w:w="1304"/>
        <w:gridCol w:w="5990"/>
      </w:tblGrid>
      <w:tr w:rsidR="002C1123">
        <w:trPr>
          <w:trHeight w:val="345"/>
        </w:trPr>
        <w:tc>
          <w:tcPr>
            <w:tcW w:w="14834" w:type="dxa"/>
            <w:gridSpan w:val="5"/>
            <w:tcBorders>
              <w:left w:val="nil"/>
              <w:bottom w:val="nil"/>
            </w:tcBorders>
            <w:shd w:val="clear" w:color="auto" w:fill="C9C8C9"/>
          </w:tcPr>
          <w:p w:rsidR="002C1123" w:rsidRDefault="00F22F94">
            <w:pPr>
              <w:pStyle w:val="TableParagraph"/>
              <w:spacing w:before="63"/>
              <w:rPr>
                <w:b/>
                <w:sz w:val="18"/>
              </w:rPr>
            </w:pPr>
            <w:r>
              <w:rPr>
                <w:b/>
                <w:sz w:val="18"/>
              </w:rPr>
              <w:t>Section</w:t>
            </w:r>
            <w:r>
              <w:rPr>
                <w:b/>
                <w:spacing w:val="-19"/>
                <w:sz w:val="18"/>
              </w:rPr>
              <w:t xml:space="preserve"> </w:t>
            </w:r>
            <w:r>
              <w:rPr>
                <w:b/>
                <w:sz w:val="18"/>
              </w:rPr>
              <w:t>11</w:t>
            </w:r>
            <w:r>
              <w:rPr>
                <w:b/>
                <w:spacing w:val="3"/>
                <w:sz w:val="18"/>
              </w:rPr>
              <w:t xml:space="preserve"> </w:t>
            </w:r>
            <w:r>
              <w:rPr>
                <w:b/>
                <w:spacing w:val="-2"/>
                <w:sz w:val="18"/>
              </w:rPr>
              <w:t>Energy</w:t>
            </w:r>
          </w:p>
        </w:tc>
      </w:tr>
      <w:tr w:rsidR="002C1123">
        <w:trPr>
          <w:trHeight w:val="551"/>
        </w:trPr>
        <w:tc>
          <w:tcPr>
            <w:tcW w:w="510" w:type="dxa"/>
            <w:tcBorders>
              <w:top w:val="nil"/>
            </w:tcBorders>
            <w:shd w:val="clear" w:color="auto" w:fill="EBEBEB"/>
          </w:tcPr>
          <w:p w:rsidR="002C1123" w:rsidRDefault="00F22F94">
            <w:pPr>
              <w:pStyle w:val="TableParagraph"/>
              <w:spacing w:before="77"/>
              <w:rPr>
                <w:sz w:val="16"/>
              </w:rPr>
            </w:pPr>
            <w:r>
              <w:rPr>
                <w:spacing w:val="-5"/>
                <w:sz w:val="16"/>
              </w:rPr>
              <w:t>48</w:t>
            </w:r>
          </w:p>
        </w:tc>
        <w:tc>
          <w:tcPr>
            <w:tcW w:w="6293" w:type="dxa"/>
            <w:tcBorders>
              <w:top w:val="nil"/>
            </w:tcBorders>
            <w:shd w:val="clear" w:color="auto" w:fill="EBEBEB"/>
          </w:tcPr>
          <w:p w:rsidR="002C1123" w:rsidRDefault="00F22F94">
            <w:pPr>
              <w:pStyle w:val="TableParagraph"/>
              <w:spacing w:before="77" w:line="288" w:lineRule="auto"/>
              <w:ind w:right="1559"/>
              <w:rPr>
                <w:sz w:val="16"/>
              </w:rPr>
            </w:pPr>
            <w:r>
              <w:rPr>
                <w:spacing w:val="-2"/>
                <w:w w:val="105"/>
                <w:sz w:val="16"/>
              </w:rPr>
              <w:t xml:space="preserve">Investigate options and strategy for privatisation of networks </w:t>
            </w:r>
            <w:r>
              <w:rPr>
                <w:w w:val="105"/>
                <w:sz w:val="16"/>
              </w:rPr>
              <w:t>and Snowy Hydro Limited</w:t>
            </w:r>
          </w:p>
        </w:tc>
        <w:tc>
          <w:tcPr>
            <w:tcW w:w="737" w:type="dxa"/>
            <w:tcBorders>
              <w:top w:val="nil"/>
            </w:tcBorders>
            <w:shd w:val="clear" w:color="auto" w:fill="EBEBEB"/>
          </w:tcPr>
          <w:p w:rsidR="002C1123" w:rsidRDefault="00F22F94">
            <w:pPr>
              <w:pStyle w:val="TableParagraph"/>
              <w:spacing w:before="77"/>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304" w:type="dxa"/>
            <w:tcBorders>
              <w:top w:val="nil"/>
            </w:tcBorders>
            <w:shd w:val="clear" w:color="auto" w:fill="EBEBEB"/>
          </w:tcPr>
          <w:p w:rsidR="002C1123" w:rsidRDefault="00F22F94">
            <w:pPr>
              <w:pStyle w:val="TableParagraph"/>
              <w:spacing w:before="77"/>
              <w:rPr>
                <w:sz w:val="16"/>
              </w:rPr>
            </w:pPr>
            <w:r>
              <w:rPr>
                <w:spacing w:val="-2"/>
                <w:sz w:val="16"/>
              </w:rPr>
              <w:t>Review</w:t>
            </w:r>
          </w:p>
        </w:tc>
        <w:tc>
          <w:tcPr>
            <w:tcW w:w="5990" w:type="dxa"/>
            <w:tcBorders>
              <w:top w:val="nil"/>
            </w:tcBorders>
            <w:shd w:val="clear" w:color="auto" w:fill="EBEBEB"/>
          </w:tcPr>
          <w:p w:rsidR="002C1123" w:rsidRDefault="00F22F94">
            <w:pPr>
              <w:pStyle w:val="TableParagraph"/>
              <w:spacing w:before="77"/>
              <w:rPr>
                <w:sz w:val="16"/>
              </w:rPr>
            </w:pPr>
            <w:r>
              <w:rPr>
                <w:w w:val="95"/>
                <w:sz w:val="16"/>
              </w:rPr>
              <w:t>Cost</w:t>
            </w:r>
            <w:r>
              <w:rPr>
                <w:spacing w:val="-2"/>
                <w:sz w:val="16"/>
              </w:rPr>
              <w:t xml:space="preserve"> </w:t>
            </w:r>
            <w:r>
              <w:rPr>
                <w:w w:val="95"/>
                <w:sz w:val="16"/>
              </w:rPr>
              <w:t>of</w:t>
            </w:r>
            <w:r>
              <w:rPr>
                <w:spacing w:val="-2"/>
                <w:sz w:val="16"/>
              </w:rPr>
              <w:t xml:space="preserve"> </w:t>
            </w:r>
            <w:r>
              <w:rPr>
                <w:w w:val="95"/>
                <w:sz w:val="16"/>
              </w:rPr>
              <w:t>review</w:t>
            </w:r>
            <w:r>
              <w:rPr>
                <w:spacing w:val="-1"/>
                <w:sz w:val="16"/>
              </w:rPr>
              <w:t xml:space="preserve"> </w:t>
            </w:r>
            <w:r>
              <w:rPr>
                <w:w w:val="95"/>
                <w:sz w:val="16"/>
              </w:rPr>
              <w:t>is</w:t>
            </w:r>
            <w:r>
              <w:rPr>
                <w:spacing w:val="-2"/>
                <w:sz w:val="16"/>
              </w:rPr>
              <w:t xml:space="preserve"> </w:t>
            </w:r>
            <w:r>
              <w:rPr>
                <w:w w:val="95"/>
                <w:sz w:val="16"/>
              </w:rPr>
              <w:t>not</w:t>
            </w:r>
            <w:r>
              <w:rPr>
                <w:spacing w:val="-1"/>
                <w:sz w:val="16"/>
              </w:rPr>
              <w:t xml:space="preserve"> </w:t>
            </w:r>
            <w:r>
              <w:rPr>
                <w:spacing w:val="-2"/>
                <w:w w:val="95"/>
                <w:sz w:val="16"/>
              </w:rPr>
              <w:t>material</w:t>
            </w:r>
          </w:p>
        </w:tc>
      </w:tr>
      <w:tr w:rsidR="002C1123">
        <w:trPr>
          <w:trHeight w:val="541"/>
        </w:trPr>
        <w:tc>
          <w:tcPr>
            <w:tcW w:w="510" w:type="dxa"/>
            <w:shd w:val="clear" w:color="auto" w:fill="EBEBEB"/>
          </w:tcPr>
          <w:p w:rsidR="002C1123" w:rsidRDefault="00F22F94">
            <w:pPr>
              <w:pStyle w:val="TableParagraph"/>
              <w:rPr>
                <w:sz w:val="16"/>
              </w:rPr>
            </w:pPr>
            <w:r>
              <w:rPr>
                <w:spacing w:val="-5"/>
                <w:sz w:val="16"/>
              </w:rPr>
              <w:t>49</w:t>
            </w:r>
          </w:p>
        </w:tc>
        <w:tc>
          <w:tcPr>
            <w:tcW w:w="6293" w:type="dxa"/>
            <w:shd w:val="clear" w:color="auto" w:fill="EBEBEB"/>
          </w:tcPr>
          <w:p w:rsidR="002C1123" w:rsidRDefault="00F22F94">
            <w:pPr>
              <w:pStyle w:val="TableParagraph"/>
              <w:spacing w:line="288" w:lineRule="auto"/>
              <w:ind w:right="994"/>
              <w:rPr>
                <w:sz w:val="16"/>
              </w:rPr>
            </w:pPr>
            <w:r>
              <w:rPr>
                <w:spacing w:val="-2"/>
                <w:w w:val="105"/>
                <w:sz w:val="16"/>
              </w:rPr>
              <w:t xml:space="preserve">Upgrade electricity transmission links to strengthen interstate capacity </w:t>
            </w:r>
            <w:r>
              <w:rPr>
                <w:w w:val="105"/>
                <w:sz w:val="16"/>
              </w:rPr>
              <w:t>and Sydney supply</w:t>
            </w:r>
          </w:p>
        </w:tc>
        <w:tc>
          <w:tcPr>
            <w:tcW w:w="737" w:type="dxa"/>
            <w:shd w:val="clear" w:color="auto" w:fill="EBEBEB"/>
          </w:tcPr>
          <w:p w:rsidR="002C1123" w:rsidRDefault="00F22F94">
            <w:pPr>
              <w:pStyle w:val="TableParagraph"/>
              <w:rPr>
                <w:sz w:val="16"/>
              </w:rPr>
            </w:pPr>
            <w:r>
              <w:rPr>
                <w:sz w:val="16"/>
              </w:rPr>
              <w:t>5</w:t>
            </w:r>
            <w:r>
              <w:rPr>
                <w:spacing w:val="-10"/>
                <w:sz w:val="16"/>
              </w:rPr>
              <w:t xml:space="preserve"> </w:t>
            </w:r>
            <w:r>
              <w:rPr>
                <w:sz w:val="16"/>
              </w:rPr>
              <w:t>–</w:t>
            </w:r>
            <w:r>
              <w:rPr>
                <w:spacing w:val="-9"/>
                <w:sz w:val="16"/>
              </w:rPr>
              <w:t xml:space="preserve"> </w:t>
            </w:r>
            <w:r>
              <w:rPr>
                <w:spacing w:val="-5"/>
                <w:sz w:val="16"/>
              </w:rPr>
              <w:t>10</w:t>
            </w:r>
          </w:p>
        </w:tc>
        <w:tc>
          <w:tcPr>
            <w:tcW w:w="1304" w:type="dxa"/>
            <w:shd w:val="clear" w:color="auto" w:fill="EBEBEB"/>
          </w:tcPr>
          <w:p w:rsidR="002C1123" w:rsidRDefault="00F22F94">
            <w:pPr>
              <w:pStyle w:val="TableParagraph"/>
              <w:rPr>
                <w:sz w:val="16"/>
              </w:rPr>
            </w:pPr>
            <w:r>
              <w:rPr>
                <w:w w:val="95"/>
                <w:sz w:val="16"/>
              </w:rPr>
              <w:t>Major</w:t>
            </w:r>
            <w:r>
              <w:rPr>
                <w:spacing w:val="-2"/>
                <w:sz w:val="16"/>
              </w:rPr>
              <w:t xml:space="preserve"> </w:t>
            </w:r>
            <w:r>
              <w:rPr>
                <w:spacing w:val="-2"/>
                <w:w w:val="95"/>
                <w:sz w:val="16"/>
              </w:rPr>
              <w:t>project</w:t>
            </w:r>
          </w:p>
        </w:tc>
        <w:tc>
          <w:tcPr>
            <w:tcW w:w="5990" w:type="dxa"/>
            <w:shd w:val="clear" w:color="auto" w:fill="EBEBEB"/>
          </w:tcPr>
          <w:p w:rsidR="002C1123" w:rsidRDefault="00F22F94">
            <w:pPr>
              <w:pStyle w:val="TableParagraph"/>
              <w:rPr>
                <w:sz w:val="16"/>
              </w:rPr>
            </w:pPr>
            <w:r>
              <w:rPr>
                <w:w w:val="95"/>
                <w:sz w:val="16"/>
              </w:rPr>
              <w:t>Existing</w:t>
            </w:r>
            <w:r>
              <w:rPr>
                <w:spacing w:val="-2"/>
                <w:sz w:val="16"/>
              </w:rPr>
              <w:t xml:space="preserve"> </w:t>
            </w:r>
            <w:r>
              <w:rPr>
                <w:w w:val="95"/>
                <w:sz w:val="16"/>
              </w:rPr>
              <w:t>agency</w:t>
            </w:r>
            <w:r>
              <w:rPr>
                <w:spacing w:val="-1"/>
                <w:sz w:val="16"/>
              </w:rPr>
              <w:t xml:space="preserve"> </w:t>
            </w:r>
            <w:r>
              <w:rPr>
                <w:spacing w:val="-2"/>
                <w:w w:val="95"/>
                <w:sz w:val="16"/>
              </w:rPr>
              <w:t>program</w:t>
            </w:r>
          </w:p>
        </w:tc>
      </w:tr>
      <w:tr w:rsidR="002C1123">
        <w:trPr>
          <w:trHeight w:val="321"/>
        </w:trPr>
        <w:tc>
          <w:tcPr>
            <w:tcW w:w="510" w:type="dxa"/>
            <w:shd w:val="clear" w:color="auto" w:fill="EBEBEB"/>
          </w:tcPr>
          <w:p w:rsidR="002C1123" w:rsidRDefault="00F22F94">
            <w:pPr>
              <w:pStyle w:val="TableParagraph"/>
              <w:rPr>
                <w:sz w:val="16"/>
              </w:rPr>
            </w:pPr>
            <w:r>
              <w:rPr>
                <w:spacing w:val="-5"/>
                <w:sz w:val="16"/>
              </w:rPr>
              <w:t>50</w:t>
            </w:r>
          </w:p>
        </w:tc>
        <w:tc>
          <w:tcPr>
            <w:tcW w:w="6293" w:type="dxa"/>
            <w:shd w:val="clear" w:color="auto" w:fill="EBEBEB"/>
          </w:tcPr>
          <w:p w:rsidR="002C1123" w:rsidRDefault="00F22F94">
            <w:pPr>
              <w:pStyle w:val="TableParagraph"/>
              <w:rPr>
                <w:sz w:val="16"/>
              </w:rPr>
            </w:pPr>
            <w:r>
              <w:rPr>
                <w:sz w:val="16"/>
              </w:rPr>
              <w:t>Augment</w:t>
            </w:r>
            <w:r>
              <w:rPr>
                <w:spacing w:val="7"/>
                <w:sz w:val="16"/>
              </w:rPr>
              <w:t xml:space="preserve"> </w:t>
            </w:r>
            <w:r>
              <w:rPr>
                <w:sz w:val="16"/>
              </w:rPr>
              <w:t>interstate</w:t>
            </w:r>
            <w:r>
              <w:rPr>
                <w:spacing w:val="8"/>
                <w:sz w:val="16"/>
              </w:rPr>
              <w:t xml:space="preserve"> </w:t>
            </w:r>
            <w:r>
              <w:rPr>
                <w:sz w:val="16"/>
              </w:rPr>
              <w:t>gas</w:t>
            </w:r>
            <w:r>
              <w:rPr>
                <w:spacing w:val="7"/>
                <w:sz w:val="16"/>
              </w:rPr>
              <w:t xml:space="preserve"> </w:t>
            </w:r>
            <w:r>
              <w:rPr>
                <w:sz w:val="16"/>
              </w:rPr>
              <w:t>transmission</w:t>
            </w:r>
            <w:r>
              <w:rPr>
                <w:spacing w:val="8"/>
                <w:sz w:val="16"/>
              </w:rPr>
              <w:t xml:space="preserve"> </w:t>
            </w:r>
            <w:r>
              <w:rPr>
                <w:spacing w:val="-2"/>
                <w:sz w:val="16"/>
              </w:rPr>
              <w:t>network</w:t>
            </w:r>
          </w:p>
        </w:tc>
        <w:tc>
          <w:tcPr>
            <w:tcW w:w="737" w:type="dxa"/>
            <w:shd w:val="clear" w:color="auto" w:fill="EBEBEB"/>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5"/>
                <w:sz w:val="16"/>
              </w:rPr>
              <w:t>20</w:t>
            </w:r>
          </w:p>
        </w:tc>
        <w:tc>
          <w:tcPr>
            <w:tcW w:w="1304" w:type="dxa"/>
            <w:shd w:val="clear" w:color="auto" w:fill="EBEBEB"/>
          </w:tcPr>
          <w:p w:rsidR="002C1123" w:rsidRDefault="00F22F94">
            <w:pPr>
              <w:pStyle w:val="TableParagraph"/>
              <w:rPr>
                <w:sz w:val="16"/>
              </w:rPr>
            </w:pPr>
            <w:r>
              <w:rPr>
                <w:w w:val="95"/>
                <w:sz w:val="16"/>
              </w:rPr>
              <w:t>Major</w:t>
            </w:r>
            <w:r>
              <w:rPr>
                <w:spacing w:val="-2"/>
                <w:sz w:val="16"/>
              </w:rPr>
              <w:t xml:space="preserve"> </w:t>
            </w:r>
            <w:r>
              <w:rPr>
                <w:spacing w:val="-2"/>
                <w:w w:val="95"/>
                <w:sz w:val="16"/>
              </w:rPr>
              <w:t>project</w:t>
            </w:r>
          </w:p>
        </w:tc>
        <w:tc>
          <w:tcPr>
            <w:tcW w:w="5990" w:type="dxa"/>
            <w:shd w:val="clear" w:color="auto" w:fill="EBEBEB"/>
          </w:tcPr>
          <w:p w:rsidR="002C1123" w:rsidRDefault="00F22F94">
            <w:pPr>
              <w:pStyle w:val="TableParagraph"/>
              <w:rPr>
                <w:sz w:val="16"/>
              </w:rPr>
            </w:pPr>
            <w:r>
              <w:rPr>
                <w:w w:val="95"/>
                <w:sz w:val="16"/>
              </w:rPr>
              <w:t>Investment</w:t>
            </w:r>
            <w:r>
              <w:rPr>
                <w:sz w:val="16"/>
              </w:rPr>
              <w:t xml:space="preserve"> </w:t>
            </w:r>
            <w:r>
              <w:rPr>
                <w:w w:val="95"/>
                <w:sz w:val="16"/>
              </w:rPr>
              <w:t>to</w:t>
            </w:r>
            <w:r>
              <w:rPr>
                <w:sz w:val="16"/>
              </w:rPr>
              <w:t xml:space="preserve"> </w:t>
            </w:r>
            <w:r>
              <w:rPr>
                <w:w w:val="95"/>
                <w:sz w:val="16"/>
              </w:rPr>
              <w:t>be</w:t>
            </w:r>
            <w:r>
              <w:rPr>
                <w:sz w:val="16"/>
              </w:rPr>
              <w:t xml:space="preserve"> </w:t>
            </w:r>
            <w:r>
              <w:rPr>
                <w:w w:val="95"/>
                <w:sz w:val="16"/>
              </w:rPr>
              <w:t>funded</w:t>
            </w:r>
            <w:r>
              <w:rPr>
                <w:sz w:val="16"/>
              </w:rPr>
              <w:t xml:space="preserve"> </w:t>
            </w:r>
            <w:r>
              <w:rPr>
                <w:w w:val="95"/>
                <w:sz w:val="16"/>
              </w:rPr>
              <w:t>by</w:t>
            </w:r>
            <w:r>
              <w:rPr>
                <w:sz w:val="16"/>
              </w:rPr>
              <w:t xml:space="preserve"> </w:t>
            </w:r>
            <w:r>
              <w:rPr>
                <w:w w:val="95"/>
                <w:sz w:val="16"/>
              </w:rPr>
              <w:t>the</w:t>
            </w:r>
            <w:r>
              <w:rPr>
                <w:sz w:val="16"/>
              </w:rPr>
              <w:t xml:space="preserve"> </w:t>
            </w:r>
            <w:r>
              <w:rPr>
                <w:w w:val="95"/>
                <w:sz w:val="16"/>
              </w:rPr>
              <w:t>private</w:t>
            </w:r>
            <w:r>
              <w:rPr>
                <w:sz w:val="16"/>
              </w:rPr>
              <w:t xml:space="preserve"> </w:t>
            </w:r>
            <w:r>
              <w:rPr>
                <w:spacing w:val="-2"/>
                <w:w w:val="95"/>
                <w:sz w:val="16"/>
              </w:rPr>
              <w:t>sector</w:t>
            </w:r>
          </w:p>
        </w:tc>
      </w:tr>
      <w:tr w:rsidR="002C1123">
        <w:trPr>
          <w:trHeight w:val="345"/>
        </w:trPr>
        <w:tc>
          <w:tcPr>
            <w:tcW w:w="14834" w:type="dxa"/>
            <w:gridSpan w:val="5"/>
            <w:tcBorders>
              <w:left w:val="nil"/>
              <w:bottom w:val="nil"/>
            </w:tcBorders>
            <w:shd w:val="clear" w:color="auto" w:fill="C9C8C9"/>
          </w:tcPr>
          <w:p w:rsidR="002C1123" w:rsidRDefault="00F22F94">
            <w:pPr>
              <w:pStyle w:val="TableParagraph"/>
              <w:spacing w:before="63"/>
              <w:rPr>
                <w:b/>
                <w:sz w:val="18"/>
              </w:rPr>
            </w:pPr>
            <w:r>
              <w:rPr>
                <w:b/>
                <w:sz w:val="18"/>
              </w:rPr>
              <w:t>Section</w:t>
            </w:r>
            <w:r>
              <w:rPr>
                <w:b/>
                <w:spacing w:val="-19"/>
                <w:sz w:val="18"/>
              </w:rPr>
              <w:t xml:space="preserve"> </w:t>
            </w:r>
            <w:r>
              <w:rPr>
                <w:b/>
                <w:sz w:val="18"/>
              </w:rPr>
              <w:t>12</w:t>
            </w:r>
            <w:r>
              <w:rPr>
                <w:b/>
                <w:spacing w:val="12"/>
                <w:sz w:val="18"/>
              </w:rPr>
              <w:t xml:space="preserve"> </w:t>
            </w:r>
            <w:r>
              <w:rPr>
                <w:b/>
                <w:spacing w:val="-4"/>
                <w:sz w:val="18"/>
              </w:rPr>
              <w:t>Water</w:t>
            </w:r>
          </w:p>
        </w:tc>
      </w:tr>
      <w:tr w:rsidR="002C1123">
        <w:trPr>
          <w:trHeight w:val="525"/>
        </w:trPr>
        <w:tc>
          <w:tcPr>
            <w:tcW w:w="510" w:type="dxa"/>
            <w:tcBorders>
              <w:top w:val="nil"/>
            </w:tcBorders>
            <w:shd w:val="clear" w:color="auto" w:fill="EBEBEB"/>
          </w:tcPr>
          <w:p w:rsidR="002C1123" w:rsidRDefault="00F22F94">
            <w:pPr>
              <w:pStyle w:val="TableParagraph"/>
              <w:spacing w:before="77"/>
              <w:rPr>
                <w:sz w:val="16"/>
              </w:rPr>
            </w:pPr>
            <w:r>
              <w:rPr>
                <w:spacing w:val="-5"/>
                <w:sz w:val="16"/>
              </w:rPr>
              <w:t>51</w:t>
            </w:r>
          </w:p>
        </w:tc>
        <w:tc>
          <w:tcPr>
            <w:tcW w:w="6293" w:type="dxa"/>
            <w:tcBorders>
              <w:top w:val="nil"/>
            </w:tcBorders>
            <w:shd w:val="clear" w:color="auto" w:fill="EBEBEB"/>
          </w:tcPr>
          <w:p w:rsidR="002C1123" w:rsidRDefault="00F22F94">
            <w:pPr>
              <w:pStyle w:val="TableParagraph"/>
              <w:spacing w:before="77"/>
              <w:rPr>
                <w:sz w:val="16"/>
              </w:rPr>
            </w:pPr>
            <w:r>
              <w:rPr>
                <w:spacing w:val="-2"/>
                <w:w w:val="105"/>
                <w:sz w:val="16"/>
              </w:rPr>
              <w:t>Hawkesbury</w:t>
            </w:r>
            <w:r>
              <w:rPr>
                <w:spacing w:val="-7"/>
                <w:w w:val="105"/>
                <w:sz w:val="16"/>
              </w:rPr>
              <w:t xml:space="preserve"> </w:t>
            </w:r>
            <w:r>
              <w:rPr>
                <w:spacing w:val="-2"/>
                <w:w w:val="105"/>
                <w:sz w:val="16"/>
              </w:rPr>
              <w:t>Nepean</w:t>
            </w:r>
            <w:r>
              <w:rPr>
                <w:spacing w:val="-7"/>
                <w:w w:val="105"/>
                <w:sz w:val="16"/>
              </w:rPr>
              <w:t xml:space="preserve"> </w:t>
            </w:r>
            <w:r>
              <w:rPr>
                <w:spacing w:val="-2"/>
                <w:w w:val="105"/>
                <w:sz w:val="16"/>
              </w:rPr>
              <w:t>floodplain:</w:t>
            </w:r>
            <w:r>
              <w:rPr>
                <w:spacing w:val="-6"/>
                <w:w w:val="105"/>
                <w:sz w:val="16"/>
              </w:rPr>
              <w:t xml:space="preserve"> </w:t>
            </w:r>
            <w:r>
              <w:rPr>
                <w:spacing w:val="-2"/>
                <w:w w:val="105"/>
                <w:sz w:val="16"/>
              </w:rPr>
              <w:t>implement</w:t>
            </w:r>
            <w:r>
              <w:rPr>
                <w:spacing w:val="-7"/>
                <w:w w:val="105"/>
                <w:sz w:val="16"/>
              </w:rPr>
              <w:t xml:space="preserve"> </w:t>
            </w:r>
            <w:r>
              <w:rPr>
                <w:spacing w:val="-2"/>
                <w:w w:val="105"/>
                <w:sz w:val="16"/>
              </w:rPr>
              <w:t>mitigation</w:t>
            </w:r>
            <w:r>
              <w:rPr>
                <w:spacing w:val="-6"/>
                <w:w w:val="105"/>
                <w:sz w:val="16"/>
              </w:rPr>
              <w:t xml:space="preserve"> </w:t>
            </w:r>
            <w:r>
              <w:rPr>
                <w:spacing w:val="-2"/>
                <w:w w:val="105"/>
                <w:sz w:val="16"/>
              </w:rPr>
              <w:t>measures</w:t>
            </w:r>
          </w:p>
        </w:tc>
        <w:tc>
          <w:tcPr>
            <w:tcW w:w="737" w:type="dxa"/>
            <w:tcBorders>
              <w:top w:val="nil"/>
            </w:tcBorders>
            <w:shd w:val="clear" w:color="auto" w:fill="EBEBEB"/>
          </w:tcPr>
          <w:p w:rsidR="002C1123" w:rsidRDefault="00F22F94">
            <w:pPr>
              <w:pStyle w:val="TableParagraph"/>
              <w:spacing w:before="77"/>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304" w:type="dxa"/>
            <w:tcBorders>
              <w:top w:val="nil"/>
            </w:tcBorders>
            <w:shd w:val="clear" w:color="auto" w:fill="EBEBEB"/>
          </w:tcPr>
          <w:p w:rsidR="002C1123" w:rsidRDefault="00F22F94">
            <w:pPr>
              <w:pStyle w:val="TableParagraph"/>
              <w:spacing w:before="77"/>
              <w:rPr>
                <w:sz w:val="16"/>
              </w:rPr>
            </w:pPr>
            <w:r>
              <w:rPr>
                <w:w w:val="95"/>
                <w:sz w:val="16"/>
              </w:rPr>
              <w:t>Major</w:t>
            </w:r>
            <w:r>
              <w:rPr>
                <w:spacing w:val="-2"/>
                <w:sz w:val="16"/>
              </w:rPr>
              <w:t xml:space="preserve"> </w:t>
            </w:r>
            <w:r>
              <w:rPr>
                <w:spacing w:val="-2"/>
                <w:w w:val="95"/>
                <w:sz w:val="16"/>
              </w:rPr>
              <w:t>project</w:t>
            </w:r>
          </w:p>
        </w:tc>
        <w:tc>
          <w:tcPr>
            <w:tcW w:w="5990" w:type="dxa"/>
            <w:tcBorders>
              <w:top w:val="nil"/>
            </w:tcBorders>
            <w:shd w:val="clear" w:color="auto" w:fill="EBEBEB"/>
          </w:tcPr>
          <w:p w:rsidR="002C1123" w:rsidRDefault="00F22F94">
            <w:pPr>
              <w:pStyle w:val="TableParagraph"/>
              <w:spacing w:before="77" w:line="254" w:lineRule="auto"/>
              <w:ind w:right="1037"/>
              <w:rPr>
                <w:sz w:val="16"/>
              </w:rPr>
            </w:pPr>
            <w:r>
              <w:rPr>
                <w:sz w:val="16"/>
              </w:rPr>
              <w:t xml:space="preserve">Scoping of $500 million, depending on option approved. Costs </w:t>
            </w:r>
            <w:r>
              <w:rPr>
                <w:w w:val="95"/>
                <w:sz w:val="16"/>
              </w:rPr>
              <w:t>recoverable through user charges if included in regulated asset base</w:t>
            </w:r>
          </w:p>
        </w:tc>
      </w:tr>
      <w:tr w:rsidR="002C1123">
        <w:trPr>
          <w:trHeight w:val="321"/>
        </w:trPr>
        <w:tc>
          <w:tcPr>
            <w:tcW w:w="510" w:type="dxa"/>
            <w:shd w:val="clear" w:color="auto" w:fill="EBEBEB"/>
          </w:tcPr>
          <w:p w:rsidR="002C1123" w:rsidRDefault="00F22F94">
            <w:pPr>
              <w:pStyle w:val="TableParagraph"/>
              <w:rPr>
                <w:sz w:val="16"/>
              </w:rPr>
            </w:pPr>
            <w:r>
              <w:rPr>
                <w:spacing w:val="-5"/>
                <w:sz w:val="16"/>
              </w:rPr>
              <w:t>52</w:t>
            </w:r>
          </w:p>
        </w:tc>
        <w:tc>
          <w:tcPr>
            <w:tcW w:w="6293" w:type="dxa"/>
            <w:shd w:val="clear" w:color="auto" w:fill="EBEBEB"/>
          </w:tcPr>
          <w:p w:rsidR="002C1123" w:rsidRDefault="00F22F94">
            <w:pPr>
              <w:pStyle w:val="TableParagraph"/>
              <w:rPr>
                <w:sz w:val="16"/>
              </w:rPr>
            </w:pPr>
            <w:r>
              <w:rPr>
                <w:spacing w:val="-2"/>
                <w:w w:val="105"/>
                <w:sz w:val="16"/>
              </w:rPr>
              <w:t>Merge</w:t>
            </w:r>
            <w:r>
              <w:rPr>
                <w:spacing w:val="-9"/>
                <w:w w:val="105"/>
                <w:sz w:val="16"/>
              </w:rPr>
              <w:t xml:space="preserve"> </w:t>
            </w:r>
            <w:r>
              <w:rPr>
                <w:spacing w:val="-2"/>
                <w:w w:val="105"/>
                <w:sz w:val="16"/>
              </w:rPr>
              <w:t>regional</w:t>
            </w:r>
            <w:r>
              <w:rPr>
                <w:spacing w:val="-9"/>
                <w:w w:val="105"/>
                <w:sz w:val="16"/>
              </w:rPr>
              <w:t xml:space="preserve"> </w:t>
            </w:r>
            <w:r>
              <w:rPr>
                <w:spacing w:val="-2"/>
                <w:w w:val="105"/>
                <w:sz w:val="16"/>
              </w:rPr>
              <w:t>water</w:t>
            </w:r>
            <w:r>
              <w:rPr>
                <w:spacing w:val="-9"/>
                <w:w w:val="105"/>
                <w:sz w:val="16"/>
              </w:rPr>
              <w:t xml:space="preserve"> </w:t>
            </w:r>
            <w:r>
              <w:rPr>
                <w:spacing w:val="-2"/>
                <w:w w:val="105"/>
                <w:sz w:val="16"/>
              </w:rPr>
              <w:t>authorities</w:t>
            </w:r>
            <w:r>
              <w:rPr>
                <w:spacing w:val="-9"/>
                <w:w w:val="105"/>
                <w:sz w:val="16"/>
              </w:rPr>
              <w:t xml:space="preserve"> </w:t>
            </w:r>
            <w:r>
              <w:rPr>
                <w:spacing w:val="-2"/>
                <w:w w:val="105"/>
                <w:sz w:val="16"/>
              </w:rPr>
              <w:t>from</w:t>
            </w:r>
            <w:r>
              <w:rPr>
                <w:spacing w:val="-9"/>
                <w:w w:val="105"/>
                <w:sz w:val="16"/>
              </w:rPr>
              <w:t xml:space="preserve"> </w:t>
            </w:r>
            <w:r>
              <w:rPr>
                <w:spacing w:val="-2"/>
                <w:w w:val="105"/>
                <w:sz w:val="16"/>
              </w:rPr>
              <w:t>105</w:t>
            </w:r>
            <w:r>
              <w:rPr>
                <w:spacing w:val="-8"/>
                <w:w w:val="105"/>
                <w:sz w:val="16"/>
              </w:rPr>
              <w:t xml:space="preserve"> </w:t>
            </w:r>
            <w:r>
              <w:rPr>
                <w:spacing w:val="-2"/>
                <w:w w:val="105"/>
                <w:sz w:val="16"/>
              </w:rPr>
              <w:t>to</w:t>
            </w:r>
            <w:r>
              <w:rPr>
                <w:spacing w:val="-9"/>
                <w:w w:val="105"/>
                <w:sz w:val="16"/>
              </w:rPr>
              <w:t xml:space="preserve"> </w:t>
            </w:r>
            <w:r>
              <w:rPr>
                <w:spacing w:val="-2"/>
                <w:w w:val="105"/>
                <w:sz w:val="16"/>
              </w:rPr>
              <w:t>around</w:t>
            </w:r>
            <w:r>
              <w:rPr>
                <w:spacing w:val="-9"/>
                <w:w w:val="105"/>
                <w:sz w:val="16"/>
              </w:rPr>
              <w:t xml:space="preserve"> </w:t>
            </w:r>
            <w:r>
              <w:rPr>
                <w:spacing w:val="-5"/>
                <w:w w:val="105"/>
                <w:sz w:val="16"/>
              </w:rPr>
              <w:t>30</w:t>
            </w:r>
          </w:p>
        </w:tc>
        <w:tc>
          <w:tcPr>
            <w:tcW w:w="737" w:type="dxa"/>
            <w:shd w:val="clear" w:color="auto" w:fill="EBEBEB"/>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304" w:type="dxa"/>
            <w:shd w:val="clear" w:color="auto" w:fill="EBEBEB"/>
          </w:tcPr>
          <w:p w:rsidR="002C1123" w:rsidRDefault="00F22F94">
            <w:pPr>
              <w:pStyle w:val="TableParagraph"/>
              <w:rPr>
                <w:sz w:val="16"/>
              </w:rPr>
            </w:pPr>
            <w:r>
              <w:rPr>
                <w:spacing w:val="-2"/>
                <w:sz w:val="16"/>
              </w:rPr>
              <w:t>Review</w:t>
            </w:r>
          </w:p>
        </w:tc>
        <w:tc>
          <w:tcPr>
            <w:tcW w:w="5990" w:type="dxa"/>
            <w:shd w:val="clear" w:color="auto" w:fill="EBEBEB"/>
          </w:tcPr>
          <w:p w:rsidR="002C1123" w:rsidRDefault="00F22F94">
            <w:pPr>
              <w:pStyle w:val="TableParagraph"/>
              <w:rPr>
                <w:sz w:val="16"/>
              </w:rPr>
            </w:pPr>
            <w:r>
              <w:rPr>
                <w:w w:val="95"/>
                <w:sz w:val="16"/>
              </w:rPr>
              <w:t>Assume</w:t>
            </w:r>
            <w:r>
              <w:rPr>
                <w:spacing w:val="-2"/>
                <w:w w:val="95"/>
                <w:sz w:val="16"/>
              </w:rPr>
              <w:t xml:space="preserve"> </w:t>
            </w:r>
            <w:r>
              <w:rPr>
                <w:w w:val="95"/>
                <w:sz w:val="16"/>
              </w:rPr>
              <w:t>revenue</w:t>
            </w:r>
            <w:r>
              <w:rPr>
                <w:spacing w:val="-2"/>
                <w:w w:val="95"/>
                <w:sz w:val="16"/>
              </w:rPr>
              <w:t xml:space="preserve"> </w:t>
            </w:r>
            <w:r>
              <w:rPr>
                <w:w w:val="95"/>
                <w:sz w:val="16"/>
              </w:rPr>
              <w:t>neutrality</w:t>
            </w:r>
            <w:r>
              <w:rPr>
                <w:spacing w:val="-2"/>
                <w:w w:val="95"/>
                <w:sz w:val="16"/>
              </w:rPr>
              <w:t xml:space="preserve"> </w:t>
            </w:r>
            <w:r>
              <w:rPr>
                <w:w w:val="95"/>
                <w:sz w:val="16"/>
              </w:rPr>
              <w:t>for</w:t>
            </w:r>
            <w:r>
              <w:rPr>
                <w:spacing w:val="-2"/>
                <w:w w:val="95"/>
                <w:sz w:val="16"/>
              </w:rPr>
              <w:t xml:space="preserve"> Government</w:t>
            </w:r>
          </w:p>
        </w:tc>
      </w:tr>
      <w:tr w:rsidR="002C1123">
        <w:trPr>
          <w:trHeight w:val="321"/>
        </w:trPr>
        <w:tc>
          <w:tcPr>
            <w:tcW w:w="510" w:type="dxa"/>
            <w:shd w:val="clear" w:color="auto" w:fill="EBEBEB"/>
          </w:tcPr>
          <w:p w:rsidR="002C1123" w:rsidRDefault="00F22F94">
            <w:pPr>
              <w:pStyle w:val="TableParagraph"/>
              <w:rPr>
                <w:sz w:val="16"/>
              </w:rPr>
            </w:pPr>
            <w:r>
              <w:rPr>
                <w:spacing w:val="-5"/>
                <w:sz w:val="16"/>
              </w:rPr>
              <w:t>53</w:t>
            </w:r>
          </w:p>
        </w:tc>
        <w:tc>
          <w:tcPr>
            <w:tcW w:w="6293" w:type="dxa"/>
            <w:shd w:val="clear" w:color="auto" w:fill="EBEBEB"/>
          </w:tcPr>
          <w:p w:rsidR="002C1123" w:rsidRDefault="00F22F94">
            <w:pPr>
              <w:pStyle w:val="TableParagraph"/>
              <w:rPr>
                <w:sz w:val="16"/>
              </w:rPr>
            </w:pPr>
            <w:r>
              <w:rPr>
                <w:spacing w:val="-2"/>
                <w:w w:val="105"/>
                <w:sz w:val="16"/>
              </w:rPr>
              <w:t>Water</w:t>
            </w:r>
            <w:r>
              <w:rPr>
                <w:spacing w:val="-8"/>
                <w:w w:val="105"/>
                <w:sz w:val="16"/>
              </w:rPr>
              <w:t xml:space="preserve"> </w:t>
            </w:r>
            <w:r>
              <w:rPr>
                <w:spacing w:val="-2"/>
                <w:w w:val="105"/>
                <w:sz w:val="16"/>
              </w:rPr>
              <w:t>and</w:t>
            </w:r>
            <w:r>
              <w:rPr>
                <w:spacing w:val="-8"/>
                <w:w w:val="105"/>
                <w:sz w:val="16"/>
              </w:rPr>
              <w:t xml:space="preserve"> </w:t>
            </w:r>
            <w:r>
              <w:rPr>
                <w:spacing w:val="-2"/>
                <w:w w:val="105"/>
                <w:sz w:val="16"/>
              </w:rPr>
              <w:t>wastewater</w:t>
            </w:r>
            <w:r>
              <w:rPr>
                <w:spacing w:val="-7"/>
                <w:w w:val="105"/>
                <w:sz w:val="16"/>
              </w:rPr>
              <w:t xml:space="preserve"> </w:t>
            </w:r>
            <w:r>
              <w:rPr>
                <w:spacing w:val="-2"/>
                <w:w w:val="105"/>
                <w:sz w:val="16"/>
              </w:rPr>
              <w:t>upgrades</w:t>
            </w:r>
            <w:r>
              <w:rPr>
                <w:spacing w:val="-8"/>
                <w:w w:val="105"/>
                <w:sz w:val="16"/>
              </w:rPr>
              <w:t xml:space="preserve"> </w:t>
            </w:r>
            <w:r>
              <w:rPr>
                <w:spacing w:val="-2"/>
                <w:w w:val="105"/>
                <w:sz w:val="16"/>
              </w:rPr>
              <w:t>in</w:t>
            </w:r>
            <w:r>
              <w:rPr>
                <w:spacing w:val="-7"/>
                <w:w w:val="105"/>
                <w:sz w:val="16"/>
              </w:rPr>
              <w:t xml:space="preserve"> </w:t>
            </w:r>
            <w:r>
              <w:rPr>
                <w:spacing w:val="-2"/>
                <w:w w:val="105"/>
                <w:sz w:val="16"/>
              </w:rPr>
              <w:t>regional</w:t>
            </w:r>
            <w:r>
              <w:rPr>
                <w:spacing w:val="-8"/>
                <w:w w:val="105"/>
                <w:sz w:val="16"/>
              </w:rPr>
              <w:t xml:space="preserve"> </w:t>
            </w:r>
            <w:r>
              <w:rPr>
                <w:spacing w:val="-2"/>
                <w:w w:val="105"/>
                <w:sz w:val="16"/>
              </w:rPr>
              <w:t>towns</w:t>
            </w:r>
            <w:r>
              <w:rPr>
                <w:spacing w:val="-7"/>
                <w:w w:val="105"/>
                <w:sz w:val="16"/>
              </w:rPr>
              <w:t xml:space="preserve"> </w:t>
            </w:r>
            <w:r>
              <w:rPr>
                <w:spacing w:val="-2"/>
                <w:w w:val="105"/>
                <w:sz w:val="16"/>
              </w:rPr>
              <w:t>to</w:t>
            </w:r>
            <w:r>
              <w:rPr>
                <w:spacing w:val="-8"/>
                <w:w w:val="105"/>
                <w:sz w:val="16"/>
              </w:rPr>
              <w:t xml:space="preserve"> </w:t>
            </w:r>
            <w:r>
              <w:rPr>
                <w:spacing w:val="-2"/>
                <w:w w:val="105"/>
                <w:sz w:val="16"/>
              </w:rPr>
              <w:t>meet</w:t>
            </w:r>
            <w:r>
              <w:rPr>
                <w:spacing w:val="-7"/>
                <w:w w:val="105"/>
                <w:sz w:val="16"/>
              </w:rPr>
              <w:t xml:space="preserve"> </w:t>
            </w:r>
            <w:r>
              <w:rPr>
                <w:spacing w:val="-2"/>
                <w:w w:val="105"/>
                <w:sz w:val="16"/>
              </w:rPr>
              <w:t>national</w:t>
            </w:r>
            <w:r>
              <w:rPr>
                <w:spacing w:val="-8"/>
                <w:w w:val="105"/>
                <w:sz w:val="16"/>
              </w:rPr>
              <w:t xml:space="preserve"> </w:t>
            </w:r>
            <w:r>
              <w:rPr>
                <w:spacing w:val="-2"/>
                <w:w w:val="105"/>
                <w:sz w:val="16"/>
              </w:rPr>
              <w:t>standards</w:t>
            </w:r>
          </w:p>
        </w:tc>
        <w:tc>
          <w:tcPr>
            <w:tcW w:w="737" w:type="dxa"/>
            <w:shd w:val="clear" w:color="auto" w:fill="EBEBEB"/>
          </w:tcPr>
          <w:p w:rsidR="002C1123" w:rsidRDefault="00F22F94">
            <w:pPr>
              <w:pStyle w:val="TableParagraph"/>
              <w:rPr>
                <w:sz w:val="16"/>
              </w:rPr>
            </w:pPr>
            <w:r>
              <w:rPr>
                <w:sz w:val="16"/>
              </w:rPr>
              <w:t>5</w:t>
            </w:r>
            <w:r>
              <w:rPr>
                <w:spacing w:val="-10"/>
                <w:sz w:val="16"/>
              </w:rPr>
              <w:t xml:space="preserve"> </w:t>
            </w:r>
            <w:r>
              <w:rPr>
                <w:sz w:val="16"/>
              </w:rPr>
              <w:t>–</w:t>
            </w:r>
            <w:r>
              <w:rPr>
                <w:spacing w:val="-9"/>
                <w:sz w:val="16"/>
              </w:rPr>
              <w:t xml:space="preserve"> </w:t>
            </w:r>
            <w:r>
              <w:rPr>
                <w:spacing w:val="-5"/>
                <w:sz w:val="16"/>
              </w:rPr>
              <w:t>20</w:t>
            </w:r>
          </w:p>
        </w:tc>
        <w:tc>
          <w:tcPr>
            <w:tcW w:w="1304" w:type="dxa"/>
            <w:shd w:val="clear" w:color="auto" w:fill="EBEBEB"/>
          </w:tcPr>
          <w:p w:rsidR="002C1123" w:rsidRDefault="00F22F94">
            <w:pPr>
              <w:pStyle w:val="TableParagraph"/>
              <w:rPr>
                <w:sz w:val="16"/>
              </w:rPr>
            </w:pPr>
            <w:r>
              <w:rPr>
                <w:spacing w:val="-2"/>
                <w:sz w:val="16"/>
              </w:rPr>
              <w:t>Program</w:t>
            </w:r>
          </w:p>
        </w:tc>
        <w:tc>
          <w:tcPr>
            <w:tcW w:w="5990" w:type="dxa"/>
            <w:shd w:val="clear" w:color="auto" w:fill="EBEBEB"/>
          </w:tcPr>
          <w:p w:rsidR="002C1123" w:rsidRDefault="00F22F94">
            <w:pPr>
              <w:pStyle w:val="TableParagraph"/>
              <w:rPr>
                <w:sz w:val="16"/>
              </w:rPr>
            </w:pPr>
            <w:r>
              <w:rPr>
                <w:w w:val="95"/>
                <w:sz w:val="16"/>
              </w:rPr>
              <w:t>Scoping</w:t>
            </w:r>
            <w:r>
              <w:rPr>
                <w:sz w:val="16"/>
              </w:rPr>
              <w:t xml:space="preserve"> </w:t>
            </w:r>
            <w:r>
              <w:rPr>
                <w:w w:val="95"/>
                <w:sz w:val="16"/>
              </w:rPr>
              <w:t>$700</w:t>
            </w:r>
            <w:r>
              <w:rPr>
                <w:spacing w:val="1"/>
                <w:sz w:val="16"/>
              </w:rPr>
              <w:t xml:space="preserve"> </w:t>
            </w:r>
            <w:r>
              <w:rPr>
                <w:w w:val="95"/>
                <w:sz w:val="16"/>
              </w:rPr>
              <w:t>million</w:t>
            </w:r>
            <w:r>
              <w:rPr>
                <w:sz w:val="16"/>
              </w:rPr>
              <w:t xml:space="preserve"> </w:t>
            </w:r>
            <w:r>
              <w:rPr>
                <w:w w:val="95"/>
                <w:sz w:val="16"/>
              </w:rPr>
              <w:t>in</w:t>
            </w:r>
            <w:r>
              <w:rPr>
                <w:spacing w:val="1"/>
                <w:sz w:val="16"/>
              </w:rPr>
              <w:t xml:space="preserve"> </w:t>
            </w:r>
            <w:r>
              <w:rPr>
                <w:w w:val="95"/>
                <w:sz w:val="16"/>
              </w:rPr>
              <w:t>total,</w:t>
            </w:r>
            <w:r>
              <w:rPr>
                <w:spacing w:val="1"/>
                <w:sz w:val="16"/>
              </w:rPr>
              <w:t xml:space="preserve"> </w:t>
            </w:r>
            <w:r>
              <w:rPr>
                <w:w w:val="95"/>
                <w:sz w:val="16"/>
              </w:rPr>
              <w:t>of</w:t>
            </w:r>
            <w:r>
              <w:rPr>
                <w:sz w:val="16"/>
              </w:rPr>
              <w:t xml:space="preserve"> </w:t>
            </w:r>
            <w:r>
              <w:rPr>
                <w:w w:val="95"/>
                <w:sz w:val="16"/>
              </w:rPr>
              <w:t>which</w:t>
            </w:r>
            <w:r>
              <w:rPr>
                <w:spacing w:val="1"/>
                <w:sz w:val="16"/>
              </w:rPr>
              <w:t xml:space="preserve"> </w:t>
            </w:r>
            <w:r>
              <w:rPr>
                <w:w w:val="95"/>
                <w:sz w:val="16"/>
              </w:rPr>
              <w:t>$200</w:t>
            </w:r>
            <w:r>
              <w:rPr>
                <w:spacing w:val="1"/>
                <w:sz w:val="16"/>
              </w:rPr>
              <w:t xml:space="preserve"> </w:t>
            </w:r>
            <w:r>
              <w:rPr>
                <w:w w:val="95"/>
                <w:sz w:val="16"/>
              </w:rPr>
              <w:t>million</w:t>
            </w:r>
            <w:r>
              <w:rPr>
                <w:sz w:val="16"/>
              </w:rPr>
              <w:t xml:space="preserve"> </w:t>
            </w:r>
            <w:r>
              <w:rPr>
                <w:w w:val="95"/>
                <w:sz w:val="16"/>
              </w:rPr>
              <w:t>assumed</w:t>
            </w:r>
            <w:r>
              <w:rPr>
                <w:spacing w:val="1"/>
                <w:sz w:val="16"/>
              </w:rPr>
              <w:t xml:space="preserve"> </w:t>
            </w:r>
            <w:r>
              <w:rPr>
                <w:w w:val="95"/>
                <w:sz w:val="16"/>
              </w:rPr>
              <w:t>to</w:t>
            </w:r>
            <w:r>
              <w:rPr>
                <w:sz w:val="16"/>
              </w:rPr>
              <w:t xml:space="preserve"> </w:t>
            </w:r>
            <w:r>
              <w:rPr>
                <w:w w:val="95"/>
                <w:sz w:val="16"/>
              </w:rPr>
              <w:t>be</w:t>
            </w:r>
            <w:r>
              <w:rPr>
                <w:spacing w:val="1"/>
                <w:sz w:val="16"/>
              </w:rPr>
              <w:t xml:space="preserve"> </w:t>
            </w:r>
            <w:r>
              <w:rPr>
                <w:w w:val="95"/>
                <w:sz w:val="16"/>
              </w:rPr>
              <w:t>user</w:t>
            </w:r>
            <w:r>
              <w:rPr>
                <w:spacing w:val="1"/>
                <w:sz w:val="16"/>
              </w:rPr>
              <w:t xml:space="preserve"> </w:t>
            </w:r>
            <w:r>
              <w:rPr>
                <w:spacing w:val="-2"/>
                <w:w w:val="95"/>
                <w:sz w:val="16"/>
              </w:rPr>
              <w:t>funded</w:t>
            </w:r>
          </w:p>
        </w:tc>
      </w:tr>
      <w:tr w:rsidR="002C1123">
        <w:trPr>
          <w:trHeight w:val="321"/>
        </w:trPr>
        <w:tc>
          <w:tcPr>
            <w:tcW w:w="510" w:type="dxa"/>
            <w:shd w:val="clear" w:color="auto" w:fill="EBEBEB"/>
          </w:tcPr>
          <w:p w:rsidR="002C1123" w:rsidRDefault="00F22F94">
            <w:pPr>
              <w:pStyle w:val="TableParagraph"/>
              <w:rPr>
                <w:sz w:val="16"/>
              </w:rPr>
            </w:pPr>
            <w:r>
              <w:rPr>
                <w:spacing w:val="-5"/>
                <w:sz w:val="16"/>
              </w:rPr>
              <w:t>54</w:t>
            </w:r>
          </w:p>
        </w:tc>
        <w:tc>
          <w:tcPr>
            <w:tcW w:w="6293" w:type="dxa"/>
            <w:shd w:val="clear" w:color="auto" w:fill="EBEBEB"/>
          </w:tcPr>
          <w:p w:rsidR="002C1123" w:rsidRDefault="00F22F94">
            <w:pPr>
              <w:pStyle w:val="TableParagraph"/>
              <w:rPr>
                <w:sz w:val="16"/>
              </w:rPr>
            </w:pPr>
            <w:r>
              <w:rPr>
                <w:spacing w:val="-2"/>
                <w:w w:val="105"/>
                <w:sz w:val="16"/>
              </w:rPr>
              <w:t>Regional</w:t>
            </w:r>
            <w:r>
              <w:rPr>
                <w:spacing w:val="-7"/>
                <w:w w:val="105"/>
                <w:sz w:val="16"/>
              </w:rPr>
              <w:t xml:space="preserve"> </w:t>
            </w:r>
            <w:r>
              <w:rPr>
                <w:spacing w:val="-2"/>
                <w:w w:val="105"/>
                <w:sz w:val="16"/>
              </w:rPr>
              <w:t>dam</w:t>
            </w:r>
            <w:r>
              <w:rPr>
                <w:spacing w:val="-7"/>
                <w:w w:val="105"/>
                <w:sz w:val="16"/>
              </w:rPr>
              <w:t xml:space="preserve"> </w:t>
            </w:r>
            <w:r>
              <w:rPr>
                <w:spacing w:val="-2"/>
                <w:w w:val="105"/>
                <w:sz w:val="16"/>
              </w:rPr>
              <w:t>construction</w:t>
            </w:r>
            <w:r>
              <w:rPr>
                <w:spacing w:val="-6"/>
                <w:w w:val="105"/>
                <w:sz w:val="16"/>
              </w:rPr>
              <w:t xml:space="preserve"> </w:t>
            </w:r>
            <w:r>
              <w:rPr>
                <w:spacing w:val="-2"/>
                <w:w w:val="105"/>
                <w:sz w:val="16"/>
              </w:rPr>
              <w:t>and</w:t>
            </w:r>
            <w:r>
              <w:rPr>
                <w:spacing w:val="-7"/>
                <w:w w:val="105"/>
                <w:sz w:val="16"/>
              </w:rPr>
              <w:t xml:space="preserve"> </w:t>
            </w:r>
            <w:r>
              <w:rPr>
                <w:spacing w:val="-2"/>
                <w:w w:val="105"/>
                <w:sz w:val="16"/>
              </w:rPr>
              <w:t>safety</w:t>
            </w:r>
            <w:r>
              <w:rPr>
                <w:spacing w:val="-6"/>
                <w:w w:val="105"/>
                <w:sz w:val="16"/>
              </w:rPr>
              <w:t xml:space="preserve"> </w:t>
            </w:r>
            <w:r>
              <w:rPr>
                <w:spacing w:val="-2"/>
                <w:w w:val="105"/>
                <w:sz w:val="16"/>
              </w:rPr>
              <w:t>upgrades</w:t>
            </w:r>
          </w:p>
        </w:tc>
        <w:tc>
          <w:tcPr>
            <w:tcW w:w="737" w:type="dxa"/>
            <w:shd w:val="clear" w:color="auto" w:fill="EBEBEB"/>
          </w:tcPr>
          <w:p w:rsidR="002C1123" w:rsidRDefault="00F22F94">
            <w:pPr>
              <w:pStyle w:val="TableParagraph"/>
              <w:rPr>
                <w:sz w:val="16"/>
              </w:rPr>
            </w:pPr>
            <w:r>
              <w:rPr>
                <w:sz w:val="16"/>
              </w:rPr>
              <w:t>5</w:t>
            </w:r>
            <w:r>
              <w:rPr>
                <w:spacing w:val="-10"/>
                <w:sz w:val="16"/>
              </w:rPr>
              <w:t xml:space="preserve"> </w:t>
            </w:r>
            <w:r>
              <w:rPr>
                <w:sz w:val="16"/>
              </w:rPr>
              <w:t>–</w:t>
            </w:r>
            <w:r>
              <w:rPr>
                <w:spacing w:val="-9"/>
                <w:sz w:val="16"/>
              </w:rPr>
              <w:t xml:space="preserve"> </w:t>
            </w:r>
            <w:r>
              <w:rPr>
                <w:spacing w:val="-5"/>
                <w:sz w:val="16"/>
              </w:rPr>
              <w:t>20</w:t>
            </w:r>
          </w:p>
        </w:tc>
        <w:tc>
          <w:tcPr>
            <w:tcW w:w="1304" w:type="dxa"/>
            <w:shd w:val="clear" w:color="auto" w:fill="EBEBEB"/>
          </w:tcPr>
          <w:p w:rsidR="002C1123" w:rsidRDefault="00F22F94">
            <w:pPr>
              <w:pStyle w:val="TableParagraph"/>
              <w:rPr>
                <w:sz w:val="16"/>
              </w:rPr>
            </w:pPr>
            <w:r>
              <w:rPr>
                <w:spacing w:val="-2"/>
                <w:sz w:val="16"/>
              </w:rPr>
              <w:t>Program</w:t>
            </w:r>
          </w:p>
        </w:tc>
        <w:tc>
          <w:tcPr>
            <w:tcW w:w="5990" w:type="dxa"/>
            <w:shd w:val="clear" w:color="auto" w:fill="EBEBEB"/>
          </w:tcPr>
          <w:p w:rsidR="002C1123" w:rsidRDefault="00F22F94">
            <w:pPr>
              <w:pStyle w:val="TableParagraph"/>
              <w:rPr>
                <w:sz w:val="16"/>
              </w:rPr>
            </w:pPr>
            <w:r>
              <w:rPr>
                <w:sz w:val="16"/>
              </w:rPr>
              <w:t>Scoping</w:t>
            </w:r>
            <w:r>
              <w:rPr>
                <w:spacing w:val="-11"/>
                <w:sz w:val="16"/>
              </w:rPr>
              <w:t xml:space="preserve"> </w:t>
            </w:r>
            <w:r>
              <w:rPr>
                <w:sz w:val="16"/>
              </w:rPr>
              <w:t>of</w:t>
            </w:r>
            <w:r>
              <w:rPr>
                <w:spacing w:val="-10"/>
                <w:sz w:val="16"/>
              </w:rPr>
              <w:t xml:space="preserve"> </w:t>
            </w:r>
            <w:r>
              <w:rPr>
                <w:sz w:val="16"/>
              </w:rPr>
              <w:t>$400</w:t>
            </w:r>
            <w:r>
              <w:rPr>
                <w:spacing w:val="-11"/>
                <w:sz w:val="16"/>
              </w:rPr>
              <w:t xml:space="preserve"> </w:t>
            </w:r>
            <w:r>
              <w:rPr>
                <w:spacing w:val="-2"/>
                <w:sz w:val="16"/>
              </w:rPr>
              <w:t>million</w:t>
            </w:r>
          </w:p>
        </w:tc>
      </w:tr>
      <w:tr w:rsidR="002C1123">
        <w:trPr>
          <w:trHeight w:val="321"/>
        </w:trPr>
        <w:tc>
          <w:tcPr>
            <w:tcW w:w="510" w:type="dxa"/>
            <w:shd w:val="clear" w:color="auto" w:fill="EBEBEB"/>
          </w:tcPr>
          <w:p w:rsidR="002C1123" w:rsidRDefault="00F22F94">
            <w:pPr>
              <w:pStyle w:val="TableParagraph"/>
              <w:rPr>
                <w:sz w:val="16"/>
              </w:rPr>
            </w:pPr>
            <w:r>
              <w:rPr>
                <w:spacing w:val="-5"/>
                <w:sz w:val="16"/>
              </w:rPr>
              <w:t>55</w:t>
            </w:r>
          </w:p>
        </w:tc>
        <w:tc>
          <w:tcPr>
            <w:tcW w:w="6293" w:type="dxa"/>
            <w:shd w:val="clear" w:color="auto" w:fill="EBEBEB"/>
          </w:tcPr>
          <w:p w:rsidR="002C1123" w:rsidRDefault="00F22F94">
            <w:pPr>
              <w:pStyle w:val="TableParagraph"/>
              <w:rPr>
                <w:sz w:val="16"/>
              </w:rPr>
            </w:pPr>
            <w:r>
              <w:rPr>
                <w:sz w:val="16"/>
              </w:rPr>
              <w:t>Augment</w:t>
            </w:r>
            <w:r>
              <w:rPr>
                <w:spacing w:val="4"/>
                <w:sz w:val="16"/>
              </w:rPr>
              <w:t xml:space="preserve"> </w:t>
            </w:r>
            <w:r>
              <w:rPr>
                <w:sz w:val="16"/>
              </w:rPr>
              <w:t>Hunter</w:t>
            </w:r>
            <w:r>
              <w:rPr>
                <w:spacing w:val="5"/>
                <w:sz w:val="16"/>
              </w:rPr>
              <w:t xml:space="preserve"> </w:t>
            </w:r>
            <w:r>
              <w:rPr>
                <w:sz w:val="16"/>
              </w:rPr>
              <w:t>region</w:t>
            </w:r>
            <w:r>
              <w:rPr>
                <w:spacing w:val="5"/>
                <w:sz w:val="16"/>
              </w:rPr>
              <w:t xml:space="preserve"> </w:t>
            </w:r>
            <w:r>
              <w:rPr>
                <w:sz w:val="16"/>
              </w:rPr>
              <w:t>water</w:t>
            </w:r>
            <w:r>
              <w:rPr>
                <w:spacing w:val="4"/>
                <w:sz w:val="16"/>
              </w:rPr>
              <w:t xml:space="preserve"> </w:t>
            </w:r>
            <w:r>
              <w:rPr>
                <w:spacing w:val="-2"/>
                <w:sz w:val="16"/>
              </w:rPr>
              <w:t>supply</w:t>
            </w:r>
          </w:p>
        </w:tc>
        <w:tc>
          <w:tcPr>
            <w:tcW w:w="737" w:type="dxa"/>
            <w:shd w:val="clear" w:color="auto" w:fill="EBEBEB"/>
          </w:tcPr>
          <w:p w:rsidR="002C1123" w:rsidRDefault="00F22F94">
            <w:pPr>
              <w:pStyle w:val="TableParagraph"/>
              <w:rPr>
                <w:sz w:val="16"/>
              </w:rPr>
            </w:pPr>
            <w:r>
              <w:rPr>
                <w:sz w:val="16"/>
              </w:rPr>
              <w:t>5</w:t>
            </w:r>
            <w:r>
              <w:rPr>
                <w:spacing w:val="-10"/>
                <w:sz w:val="16"/>
              </w:rPr>
              <w:t xml:space="preserve"> </w:t>
            </w:r>
            <w:r>
              <w:rPr>
                <w:sz w:val="16"/>
              </w:rPr>
              <w:t>–</w:t>
            </w:r>
            <w:r>
              <w:rPr>
                <w:spacing w:val="-9"/>
                <w:sz w:val="16"/>
              </w:rPr>
              <w:t xml:space="preserve"> </w:t>
            </w:r>
            <w:r>
              <w:rPr>
                <w:spacing w:val="-5"/>
                <w:sz w:val="16"/>
              </w:rPr>
              <w:t>10</w:t>
            </w:r>
          </w:p>
        </w:tc>
        <w:tc>
          <w:tcPr>
            <w:tcW w:w="1304" w:type="dxa"/>
            <w:shd w:val="clear" w:color="auto" w:fill="EBEBEB"/>
          </w:tcPr>
          <w:p w:rsidR="002C1123" w:rsidRDefault="00F22F94">
            <w:pPr>
              <w:pStyle w:val="TableParagraph"/>
              <w:rPr>
                <w:sz w:val="16"/>
              </w:rPr>
            </w:pPr>
            <w:r>
              <w:rPr>
                <w:w w:val="95"/>
                <w:sz w:val="16"/>
              </w:rPr>
              <w:t>Major</w:t>
            </w:r>
            <w:r>
              <w:rPr>
                <w:spacing w:val="-2"/>
                <w:sz w:val="16"/>
              </w:rPr>
              <w:t xml:space="preserve"> </w:t>
            </w:r>
            <w:r>
              <w:rPr>
                <w:spacing w:val="-2"/>
                <w:w w:val="95"/>
                <w:sz w:val="16"/>
              </w:rPr>
              <w:t>project</w:t>
            </w:r>
          </w:p>
        </w:tc>
        <w:tc>
          <w:tcPr>
            <w:tcW w:w="5990" w:type="dxa"/>
            <w:shd w:val="clear" w:color="auto" w:fill="EBEBEB"/>
          </w:tcPr>
          <w:p w:rsidR="002C1123" w:rsidRDefault="00F22F94">
            <w:pPr>
              <w:pStyle w:val="TableParagraph"/>
              <w:rPr>
                <w:sz w:val="16"/>
              </w:rPr>
            </w:pPr>
            <w:r>
              <w:rPr>
                <w:w w:val="95"/>
                <w:sz w:val="16"/>
              </w:rPr>
              <w:t>Scoping</w:t>
            </w:r>
            <w:r>
              <w:rPr>
                <w:spacing w:val="1"/>
                <w:sz w:val="16"/>
              </w:rPr>
              <w:t xml:space="preserve"> </w:t>
            </w:r>
            <w:r>
              <w:rPr>
                <w:w w:val="95"/>
                <w:sz w:val="16"/>
              </w:rPr>
              <w:t>of</w:t>
            </w:r>
            <w:r>
              <w:rPr>
                <w:spacing w:val="2"/>
                <w:sz w:val="16"/>
              </w:rPr>
              <w:t xml:space="preserve"> </w:t>
            </w:r>
            <w:r>
              <w:rPr>
                <w:w w:val="95"/>
                <w:sz w:val="16"/>
              </w:rPr>
              <w:t>$500</w:t>
            </w:r>
            <w:r>
              <w:rPr>
                <w:spacing w:val="2"/>
                <w:sz w:val="16"/>
              </w:rPr>
              <w:t xml:space="preserve"> </w:t>
            </w:r>
            <w:r>
              <w:rPr>
                <w:w w:val="95"/>
                <w:sz w:val="16"/>
              </w:rPr>
              <w:t>million.</w:t>
            </w:r>
            <w:r>
              <w:rPr>
                <w:spacing w:val="2"/>
                <w:sz w:val="16"/>
              </w:rPr>
              <w:t xml:space="preserve"> </w:t>
            </w:r>
            <w:r>
              <w:rPr>
                <w:w w:val="95"/>
                <w:sz w:val="16"/>
              </w:rPr>
              <w:t>Costs</w:t>
            </w:r>
            <w:r>
              <w:rPr>
                <w:spacing w:val="1"/>
                <w:sz w:val="16"/>
              </w:rPr>
              <w:t xml:space="preserve"> </w:t>
            </w:r>
            <w:r>
              <w:rPr>
                <w:w w:val="95"/>
                <w:sz w:val="16"/>
              </w:rPr>
              <w:t>recoverable</w:t>
            </w:r>
            <w:r>
              <w:rPr>
                <w:spacing w:val="2"/>
                <w:sz w:val="16"/>
              </w:rPr>
              <w:t xml:space="preserve"> </w:t>
            </w:r>
            <w:r>
              <w:rPr>
                <w:w w:val="95"/>
                <w:sz w:val="16"/>
              </w:rPr>
              <w:t>through</w:t>
            </w:r>
            <w:r>
              <w:rPr>
                <w:spacing w:val="2"/>
                <w:sz w:val="16"/>
              </w:rPr>
              <w:t xml:space="preserve"> </w:t>
            </w:r>
            <w:r>
              <w:rPr>
                <w:w w:val="95"/>
                <w:sz w:val="16"/>
              </w:rPr>
              <w:t>user</w:t>
            </w:r>
            <w:r>
              <w:rPr>
                <w:spacing w:val="2"/>
                <w:sz w:val="16"/>
              </w:rPr>
              <w:t xml:space="preserve"> </w:t>
            </w:r>
            <w:r>
              <w:rPr>
                <w:w w:val="95"/>
                <w:sz w:val="16"/>
              </w:rPr>
              <w:t>charges</w:t>
            </w:r>
            <w:r>
              <w:rPr>
                <w:spacing w:val="2"/>
                <w:sz w:val="16"/>
              </w:rPr>
              <w:t xml:space="preserve"> </w:t>
            </w:r>
            <w:r>
              <w:rPr>
                <w:w w:val="95"/>
                <w:sz w:val="16"/>
              </w:rPr>
              <w:t>over</w:t>
            </w:r>
            <w:r>
              <w:rPr>
                <w:spacing w:val="1"/>
                <w:sz w:val="16"/>
              </w:rPr>
              <w:t xml:space="preserve"> </w:t>
            </w:r>
            <w:r>
              <w:rPr>
                <w:spacing w:val="-4"/>
                <w:w w:val="95"/>
                <w:sz w:val="16"/>
              </w:rPr>
              <w:t>time</w:t>
            </w:r>
          </w:p>
        </w:tc>
      </w:tr>
      <w:tr w:rsidR="002C1123">
        <w:trPr>
          <w:trHeight w:val="321"/>
        </w:trPr>
        <w:tc>
          <w:tcPr>
            <w:tcW w:w="510" w:type="dxa"/>
            <w:shd w:val="clear" w:color="auto" w:fill="EBEBEB"/>
          </w:tcPr>
          <w:p w:rsidR="002C1123" w:rsidRDefault="00F22F94">
            <w:pPr>
              <w:pStyle w:val="TableParagraph"/>
              <w:rPr>
                <w:sz w:val="16"/>
              </w:rPr>
            </w:pPr>
            <w:r>
              <w:rPr>
                <w:spacing w:val="-5"/>
                <w:sz w:val="16"/>
              </w:rPr>
              <w:t>56</w:t>
            </w:r>
          </w:p>
        </w:tc>
        <w:tc>
          <w:tcPr>
            <w:tcW w:w="6293" w:type="dxa"/>
            <w:shd w:val="clear" w:color="auto" w:fill="EBEBEB"/>
          </w:tcPr>
          <w:p w:rsidR="002C1123" w:rsidRDefault="00F22F94">
            <w:pPr>
              <w:pStyle w:val="TableParagraph"/>
              <w:rPr>
                <w:sz w:val="16"/>
              </w:rPr>
            </w:pPr>
            <w:r>
              <w:rPr>
                <w:sz w:val="16"/>
              </w:rPr>
              <w:t>Augment</w:t>
            </w:r>
            <w:r>
              <w:rPr>
                <w:spacing w:val="8"/>
                <w:sz w:val="16"/>
              </w:rPr>
              <w:t xml:space="preserve"> </w:t>
            </w:r>
            <w:r>
              <w:rPr>
                <w:sz w:val="16"/>
              </w:rPr>
              <w:t>Sydney</w:t>
            </w:r>
            <w:r>
              <w:rPr>
                <w:spacing w:val="9"/>
                <w:sz w:val="16"/>
              </w:rPr>
              <w:t xml:space="preserve"> </w:t>
            </w:r>
            <w:r>
              <w:rPr>
                <w:sz w:val="16"/>
              </w:rPr>
              <w:t>metropolitan</w:t>
            </w:r>
            <w:r>
              <w:rPr>
                <w:spacing w:val="8"/>
                <w:sz w:val="16"/>
              </w:rPr>
              <w:t xml:space="preserve"> </w:t>
            </w:r>
            <w:r>
              <w:rPr>
                <w:sz w:val="16"/>
              </w:rPr>
              <w:t>water</w:t>
            </w:r>
            <w:r>
              <w:rPr>
                <w:spacing w:val="9"/>
                <w:sz w:val="16"/>
              </w:rPr>
              <w:t xml:space="preserve"> </w:t>
            </w:r>
            <w:r>
              <w:rPr>
                <w:spacing w:val="-2"/>
                <w:sz w:val="16"/>
              </w:rPr>
              <w:t>supply</w:t>
            </w:r>
          </w:p>
        </w:tc>
        <w:tc>
          <w:tcPr>
            <w:tcW w:w="737" w:type="dxa"/>
            <w:shd w:val="clear" w:color="auto" w:fill="EBEBEB"/>
          </w:tcPr>
          <w:p w:rsidR="002C1123" w:rsidRDefault="00F22F94">
            <w:pPr>
              <w:pStyle w:val="TableParagraph"/>
              <w:rPr>
                <w:sz w:val="16"/>
              </w:rPr>
            </w:pPr>
            <w:r>
              <w:rPr>
                <w:w w:val="95"/>
                <w:sz w:val="16"/>
              </w:rPr>
              <w:t>10</w:t>
            </w:r>
            <w:r>
              <w:rPr>
                <w:spacing w:val="-6"/>
                <w:w w:val="95"/>
                <w:sz w:val="16"/>
              </w:rPr>
              <w:t xml:space="preserve"> </w:t>
            </w:r>
            <w:r>
              <w:rPr>
                <w:w w:val="95"/>
                <w:sz w:val="16"/>
              </w:rPr>
              <w:t>–</w:t>
            </w:r>
            <w:r>
              <w:rPr>
                <w:spacing w:val="-5"/>
                <w:w w:val="95"/>
                <w:sz w:val="16"/>
              </w:rPr>
              <w:t xml:space="preserve"> 20</w:t>
            </w:r>
          </w:p>
        </w:tc>
        <w:tc>
          <w:tcPr>
            <w:tcW w:w="1304" w:type="dxa"/>
            <w:shd w:val="clear" w:color="auto" w:fill="EBEBEB"/>
          </w:tcPr>
          <w:p w:rsidR="002C1123" w:rsidRDefault="00F22F94">
            <w:pPr>
              <w:pStyle w:val="TableParagraph"/>
              <w:rPr>
                <w:sz w:val="16"/>
              </w:rPr>
            </w:pPr>
            <w:r>
              <w:rPr>
                <w:w w:val="95"/>
                <w:sz w:val="16"/>
              </w:rPr>
              <w:t>Major</w:t>
            </w:r>
            <w:r>
              <w:rPr>
                <w:spacing w:val="-2"/>
                <w:sz w:val="16"/>
              </w:rPr>
              <w:t xml:space="preserve"> </w:t>
            </w:r>
            <w:r>
              <w:rPr>
                <w:spacing w:val="-2"/>
                <w:w w:val="95"/>
                <w:sz w:val="16"/>
              </w:rPr>
              <w:t>project</w:t>
            </w:r>
          </w:p>
        </w:tc>
        <w:tc>
          <w:tcPr>
            <w:tcW w:w="5990" w:type="dxa"/>
            <w:shd w:val="clear" w:color="auto" w:fill="EBEBEB"/>
          </w:tcPr>
          <w:p w:rsidR="002C1123" w:rsidRDefault="00F22F94">
            <w:pPr>
              <w:pStyle w:val="TableParagraph"/>
              <w:rPr>
                <w:sz w:val="16"/>
              </w:rPr>
            </w:pPr>
            <w:r>
              <w:rPr>
                <w:w w:val="95"/>
                <w:sz w:val="16"/>
              </w:rPr>
              <w:t>No</w:t>
            </w:r>
            <w:r>
              <w:rPr>
                <w:spacing w:val="-2"/>
                <w:w w:val="95"/>
                <w:sz w:val="16"/>
              </w:rPr>
              <w:t xml:space="preserve"> </w:t>
            </w:r>
            <w:r>
              <w:rPr>
                <w:w w:val="95"/>
                <w:sz w:val="16"/>
              </w:rPr>
              <w:t>reliable</w:t>
            </w:r>
            <w:r>
              <w:rPr>
                <w:spacing w:val="-1"/>
                <w:w w:val="95"/>
                <w:sz w:val="16"/>
              </w:rPr>
              <w:t xml:space="preserve"> </w:t>
            </w:r>
            <w:r>
              <w:rPr>
                <w:w w:val="95"/>
                <w:sz w:val="16"/>
              </w:rPr>
              <w:t>cost</w:t>
            </w:r>
            <w:r>
              <w:rPr>
                <w:spacing w:val="-2"/>
                <w:w w:val="95"/>
                <w:sz w:val="16"/>
              </w:rPr>
              <w:t xml:space="preserve"> </w:t>
            </w:r>
            <w:r>
              <w:rPr>
                <w:w w:val="95"/>
                <w:sz w:val="16"/>
              </w:rPr>
              <w:t>estimate</w:t>
            </w:r>
            <w:r>
              <w:rPr>
                <w:spacing w:val="-1"/>
                <w:w w:val="95"/>
                <w:sz w:val="16"/>
              </w:rPr>
              <w:t xml:space="preserve"> </w:t>
            </w:r>
            <w:r>
              <w:rPr>
                <w:w w:val="95"/>
                <w:sz w:val="16"/>
              </w:rPr>
              <w:t>available</w:t>
            </w:r>
            <w:r>
              <w:rPr>
                <w:spacing w:val="-1"/>
                <w:w w:val="95"/>
                <w:sz w:val="16"/>
              </w:rPr>
              <w:t xml:space="preserve"> </w:t>
            </w:r>
            <w:r>
              <w:rPr>
                <w:w w:val="95"/>
                <w:sz w:val="16"/>
              </w:rPr>
              <w:t>until</w:t>
            </w:r>
            <w:r>
              <w:rPr>
                <w:spacing w:val="-2"/>
                <w:w w:val="95"/>
                <w:sz w:val="16"/>
              </w:rPr>
              <w:t xml:space="preserve"> </w:t>
            </w:r>
            <w:r>
              <w:rPr>
                <w:w w:val="95"/>
                <w:sz w:val="16"/>
              </w:rPr>
              <w:t>next</w:t>
            </w:r>
            <w:r>
              <w:rPr>
                <w:spacing w:val="-1"/>
                <w:w w:val="95"/>
                <w:sz w:val="16"/>
              </w:rPr>
              <w:t xml:space="preserve"> </w:t>
            </w:r>
            <w:r>
              <w:rPr>
                <w:w w:val="95"/>
                <w:sz w:val="16"/>
              </w:rPr>
              <w:t>revision</w:t>
            </w:r>
            <w:r>
              <w:rPr>
                <w:spacing w:val="-1"/>
                <w:w w:val="95"/>
                <w:sz w:val="16"/>
              </w:rPr>
              <w:t xml:space="preserve"> </w:t>
            </w:r>
            <w:r>
              <w:rPr>
                <w:w w:val="95"/>
                <w:sz w:val="16"/>
              </w:rPr>
              <w:t>of</w:t>
            </w:r>
            <w:r>
              <w:rPr>
                <w:spacing w:val="-2"/>
                <w:w w:val="95"/>
                <w:sz w:val="16"/>
              </w:rPr>
              <w:t xml:space="preserve"> </w:t>
            </w:r>
            <w:r>
              <w:rPr>
                <w:w w:val="95"/>
                <w:sz w:val="16"/>
              </w:rPr>
              <w:t>Metropolitan</w:t>
            </w:r>
            <w:r>
              <w:rPr>
                <w:spacing w:val="-1"/>
                <w:w w:val="95"/>
                <w:sz w:val="16"/>
              </w:rPr>
              <w:t xml:space="preserve"> </w:t>
            </w:r>
            <w:r>
              <w:rPr>
                <w:w w:val="95"/>
                <w:sz w:val="16"/>
              </w:rPr>
              <w:t>Water</w:t>
            </w:r>
            <w:r>
              <w:rPr>
                <w:spacing w:val="-2"/>
                <w:w w:val="95"/>
                <w:sz w:val="16"/>
              </w:rPr>
              <w:t xml:space="preserve"> </w:t>
            </w:r>
            <w:r>
              <w:rPr>
                <w:spacing w:val="-4"/>
                <w:w w:val="95"/>
                <w:sz w:val="16"/>
              </w:rPr>
              <w:t>Plan</w:t>
            </w:r>
          </w:p>
        </w:tc>
      </w:tr>
      <w:tr w:rsidR="002C1123">
        <w:trPr>
          <w:trHeight w:val="345"/>
        </w:trPr>
        <w:tc>
          <w:tcPr>
            <w:tcW w:w="14834" w:type="dxa"/>
            <w:gridSpan w:val="5"/>
            <w:tcBorders>
              <w:left w:val="nil"/>
              <w:bottom w:val="nil"/>
            </w:tcBorders>
            <w:shd w:val="clear" w:color="auto" w:fill="C9C8C9"/>
          </w:tcPr>
          <w:p w:rsidR="002C1123" w:rsidRDefault="00F22F94">
            <w:pPr>
              <w:pStyle w:val="TableParagraph"/>
              <w:spacing w:before="63"/>
              <w:rPr>
                <w:b/>
                <w:sz w:val="18"/>
              </w:rPr>
            </w:pPr>
            <w:r>
              <w:rPr>
                <w:b/>
                <w:sz w:val="18"/>
              </w:rPr>
              <w:t>Section</w:t>
            </w:r>
            <w:r>
              <w:rPr>
                <w:b/>
                <w:spacing w:val="-19"/>
                <w:sz w:val="18"/>
              </w:rPr>
              <w:t xml:space="preserve"> </w:t>
            </w:r>
            <w:r>
              <w:rPr>
                <w:b/>
                <w:sz w:val="18"/>
              </w:rPr>
              <w:t>13</w:t>
            </w:r>
            <w:r>
              <w:rPr>
                <w:b/>
                <w:spacing w:val="12"/>
                <w:sz w:val="18"/>
              </w:rPr>
              <w:t xml:space="preserve"> </w:t>
            </w:r>
            <w:r>
              <w:rPr>
                <w:b/>
                <w:spacing w:val="-2"/>
                <w:sz w:val="18"/>
              </w:rPr>
              <w:t>Health</w:t>
            </w:r>
          </w:p>
        </w:tc>
      </w:tr>
      <w:tr w:rsidR="002C1123">
        <w:trPr>
          <w:trHeight w:val="331"/>
        </w:trPr>
        <w:tc>
          <w:tcPr>
            <w:tcW w:w="510" w:type="dxa"/>
            <w:tcBorders>
              <w:top w:val="nil"/>
            </w:tcBorders>
            <w:shd w:val="clear" w:color="auto" w:fill="EBEBEB"/>
          </w:tcPr>
          <w:p w:rsidR="002C1123" w:rsidRDefault="00F22F94">
            <w:pPr>
              <w:pStyle w:val="TableParagraph"/>
              <w:spacing w:before="77"/>
              <w:rPr>
                <w:sz w:val="16"/>
              </w:rPr>
            </w:pPr>
            <w:r>
              <w:rPr>
                <w:spacing w:val="-5"/>
                <w:sz w:val="16"/>
              </w:rPr>
              <w:t>57</w:t>
            </w:r>
          </w:p>
        </w:tc>
        <w:tc>
          <w:tcPr>
            <w:tcW w:w="6293" w:type="dxa"/>
            <w:tcBorders>
              <w:top w:val="nil"/>
            </w:tcBorders>
            <w:shd w:val="clear" w:color="auto" w:fill="EBEBEB"/>
          </w:tcPr>
          <w:p w:rsidR="002C1123" w:rsidRDefault="00F22F94">
            <w:pPr>
              <w:pStyle w:val="TableParagraph"/>
              <w:spacing w:before="77"/>
              <w:rPr>
                <w:sz w:val="16"/>
              </w:rPr>
            </w:pPr>
            <w:r>
              <w:rPr>
                <w:sz w:val="16"/>
              </w:rPr>
              <w:t>Construct</w:t>
            </w:r>
            <w:r>
              <w:rPr>
                <w:spacing w:val="6"/>
                <w:sz w:val="16"/>
              </w:rPr>
              <w:t xml:space="preserve"> </w:t>
            </w:r>
            <w:r>
              <w:rPr>
                <w:sz w:val="16"/>
              </w:rPr>
              <w:t>Northern</w:t>
            </w:r>
            <w:r>
              <w:rPr>
                <w:spacing w:val="7"/>
                <w:sz w:val="16"/>
              </w:rPr>
              <w:t xml:space="preserve"> </w:t>
            </w:r>
            <w:r>
              <w:rPr>
                <w:sz w:val="16"/>
              </w:rPr>
              <w:t>Beaches</w:t>
            </w:r>
            <w:r>
              <w:rPr>
                <w:spacing w:val="7"/>
                <w:sz w:val="16"/>
              </w:rPr>
              <w:t xml:space="preserve"> </w:t>
            </w:r>
            <w:r>
              <w:rPr>
                <w:sz w:val="16"/>
              </w:rPr>
              <w:t>Healthcare</w:t>
            </w:r>
            <w:r>
              <w:rPr>
                <w:spacing w:val="7"/>
                <w:sz w:val="16"/>
              </w:rPr>
              <w:t xml:space="preserve"> </w:t>
            </w:r>
            <w:r>
              <w:rPr>
                <w:spacing w:val="-2"/>
                <w:sz w:val="16"/>
              </w:rPr>
              <w:t>Precinct</w:t>
            </w:r>
          </w:p>
        </w:tc>
        <w:tc>
          <w:tcPr>
            <w:tcW w:w="737" w:type="dxa"/>
            <w:tcBorders>
              <w:top w:val="nil"/>
            </w:tcBorders>
            <w:shd w:val="clear" w:color="auto" w:fill="EBEBEB"/>
          </w:tcPr>
          <w:p w:rsidR="002C1123" w:rsidRDefault="00F22F94">
            <w:pPr>
              <w:pStyle w:val="TableParagraph"/>
              <w:spacing w:before="77"/>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304" w:type="dxa"/>
            <w:tcBorders>
              <w:top w:val="nil"/>
            </w:tcBorders>
            <w:shd w:val="clear" w:color="auto" w:fill="EBEBEB"/>
          </w:tcPr>
          <w:p w:rsidR="002C1123" w:rsidRDefault="00F22F94">
            <w:pPr>
              <w:pStyle w:val="TableParagraph"/>
              <w:spacing w:before="77"/>
              <w:rPr>
                <w:sz w:val="16"/>
              </w:rPr>
            </w:pPr>
            <w:r>
              <w:rPr>
                <w:w w:val="95"/>
                <w:sz w:val="16"/>
              </w:rPr>
              <w:t>Major</w:t>
            </w:r>
            <w:r>
              <w:rPr>
                <w:spacing w:val="-2"/>
                <w:sz w:val="16"/>
              </w:rPr>
              <w:t xml:space="preserve"> </w:t>
            </w:r>
            <w:r>
              <w:rPr>
                <w:spacing w:val="-2"/>
                <w:w w:val="95"/>
                <w:sz w:val="16"/>
              </w:rPr>
              <w:t>project</w:t>
            </w:r>
          </w:p>
        </w:tc>
        <w:tc>
          <w:tcPr>
            <w:tcW w:w="5990" w:type="dxa"/>
            <w:tcBorders>
              <w:top w:val="nil"/>
            </w:tcBorders>
            <w:shd w:val="clear" w:color="auto" w:fill="EBEBEB"/>
          </w:tcPr>
          <w:p w:rsidR="002C1123" w:rsidRDefault="00F22F94">
            <w:pPr>
              <w:pStyle w:val="TableParagraph"/>
              <w:spacing w:before="77"/>
              <w:rPr>
                <w:sz w:val="16"/>
              </w:rPr>
            </w:pPr>
            <w:r>
              <w:rPr>
                <w:w w:val="95"/>
                <w:sz w:val="16"/>
              </w:rPr>
              <w:t>Existing</w:t>
            </w:r>
            <w:r>
              <w:rPr>
                <w:spacing w:val="-1"/>
                <w:sz w:val="16"/>
              </w:rPr>
              <w:t xml:space="preserve"> </w:t>
            </w:r>
            <w:r>
              <w:rPr>
                <w:w w:val="95"/>
                <w:sz w:val="16"/>
              </w:rPr>
              <w:t>Government</w:t>
            </w:r>
            <w:r>
              <w:rPr>
                <w:sz w:val="16"/>
              </w:rPr>
              <w:t xml:space="preserve"> </w:t>
            </w:r>
            <w:r>
              <w:rPr>
                <w:spacing w:val="-2"/>
                <w:w w:val="95"/>
                <w:sz w:val="16"/>
              </w:rPr>
              <w:t>commitment</w:t>
            </w:r>
          </w:p>
        </w:tc>
      </w:tr>
      <w:tr w:rsidR="002C1123">
        <w:trPr>
          <w:trHeight w:val="321"/>
        </w:trPr>
        <w:tc>
          <w:tcPr>
            <w:tcW w:w="510" w:type="dxa"/>
            <w:shd w:val="clear" w:color="auto" w:fill="EBEBEB"/>
          </w:tcPr>
          <w:p w:rsidR="002C1123" w:rsidRDefault="00F22F94">
            <w:pPr>
              <w:pStyle w:val="TableParagraph"/>
              <w:rPr>
                <w:sz w:val="16"/>
              </w:rPr>
            </w:pPr>
            <w:r>
              <w:rPr>
                <w:spacing w:val="-5"/>
                <w:sz w:val="16"/>
              </w:rPr>
              <w:t>58</w:t>
            </w:r>
          </w:p>
        </w:tc>
        <w:tc>
          <w:tcPr>
            <w:tcW w:w="6293" w:type="dxa"/>
            <w:shd w:val="clear" w:color="auto" w:fill="EBEBEB"/>
          </w:tcPr>
          <w:p w:rsidR="002C1123" w:rsidRDefault="00F22F94">
            <w:pPr>
              <w:pStyle w:val="TableParagraph"/>
              <w:rPr>
                <w:sz w:val="16"/>
              </w:rPr>
            </w:pPr>
            <w:r>
              <w:rPr>
                <w:spacing w:val="-2"/>
                <w:w w:val="105"/>
                <w:sz w:val="16"/>
              </w:rPr>
              <w:t>Divest</w:t>
            </w:r>
            <w:r>
              <w:rPr>
                <w:spacing w:val="-8"/>
                <w:w w:val="105"/>
                <w:sz w:val="16"/>
              </w:rPr>
              <w:t xml:space="preserve"> </w:t>
            </w:r>
            <w:r>
              <w:rPr>
                <w:spacing w:val="-2"/>
                <w:w w:val="105"/>
                <w:sz w:val="16"/>
              </w:rPr>
              <w:t>non-core</w:t>
            </w:r>
            <w:r>
              <w:rPr>
                <w:spacing w:val="-8"/>
                <w:w w:val="105"/>
                <w:sz w:val="16"/>
              </w:rPr>
              <w:t xml:space="preserve"> </w:t>
            </w:r>
            <w:r>
              <w:rPr>
                <w:spacing w:val="-2"/>
                <w:w w:val="105"/>
                <w:sz w:val="16"/>
              </w:rPr>
              <w:t>assets</w:t>
            </w:r>
            <w:r>
              <w:rPr>
                <w:spacing w:val="-8"/>
                <w:w w:val="105"/>
                <w:sz w:val="16"/>
              </w:rPr>
              <w:t xml:space="preserve"> </w:t>
            </w:r>
            <w:r>
              <w:rPr>
                <w:spacing w:val="-2"/>
                <w:w w:val="105"/>
                <w:sz w:val="16"/>
              </w:rPr>
              <w:t>such</w:t>
            </w:r>
            <w:r>
              <w:rPr>
                <w:spacing w:val="-8"/>
                <w:w w:val="105"/>
                <w:sz w:val="16"/>
              </w:rPr>
              <w:t xml:space="preserve"> </w:t>
            </w:r>
            <w:r>
              <w:rPr>
                <w:spacing w:val="-2"/>
                <w:w w:val="105"/>
                <w:sz w:val="16"/>
              </w:rPr>
              <w:t>as</w:t>
            </w:r>
            <w:r>
              <w:rPr>
                <w:spacing w:val="-8"/>
                <w:w w:val="105"/>
                <w:sz w:val="16"/>
              </w:rPr>
              <w:t xml:space="preserve"> </w:t>
            </w:r>
            <w:r>
              <w:rPr>
                <w:spacing w:val="-2"/>
                <w:w w:val="105"/>
                <w:sz w:val="16"/>
              </w:rPr>
              <w:t>pharmacies</w:t>
            </w:r>
            <w:r>
              <w:rPr>
                <w:spacing w:val="-7"/>
                <w:w w:val="105"/>
                <w:sz w:val="16"/>
              </w:rPr>
              <w:t xml:space="preserve"> </w:t>
            </w:r>
            <w:r>
              <w:rPr>
                <w:spacing w:val="-2"/>
                <w:w w:val="105"/>
                <w:sz w:val="16"/>
              </w:rPr>
              <w:t>and</w:t>
            </w:r>
            <w:r>
              <w:rPr>
                <w:spacing w:val="-8"/>
                <w:w w:val="105"/>
                <w:sz w:val="16"/>
              </w:rPr>
              <w:t xml:space="preserve"> </w:t>
            </w:r>
            <w:r>
              <w:rPr>
                <w:spacing w:val="-2"/>
                <w:w w:val="105"/>
                <w:sz w:val="16"/>
              </w:rPr>
              <w:t>car</w:t>
            </w:r>
            <w:r>
              <w:rPr>
                <w:spacing w:val="-8"/>
                <w:w w:val="105"/>
                <w:sz w:val="16"/>
              </w:rPr>
              <w:t xml:space="preserve"> </w:t>
            </w:r>
            <w:r>
              <w:rPr>
                <w:spacing w:val="-2"/>
                <w:w w:val="105"/>
                <w:sz w:val="16"/>
              </w:rPr>
              <w:t>parks</w:t>
            </w:r>
          </w:p>
        </w:tc>
        <w:tc>
          <w:tcPr>
            <w:tcW w:w="737" w:type="dxa"/>
            <w:shd w:val="clear" w:color="auto" w:fill="EBEBEB"/>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304" w:type="dxa"/>
            <w:shd w:val="clear" w:color="auto" w:fill="EBEBEB"/>
          </w:tcPr>
          <w:p w:rsidR="002C1123" w:rsidRDefault="00F22F94">
            <w:pPr>
              <w:pStyle w:val="TableParagraph"/>
              <w:rPr>
                <w:sz w:val="16"/>
              </w:rPr>
            </w:pPr>
            <w:r>
              <w:rPr>
                <w:w w:val="95"/>
                <w:sz w:val="16"/>
              </w:rPr>
              <w:t>Asset</w:t>
            </w:r>
            <w:r>
              <w:rPr>
                <w:spacing w:val="-1"/>
                <w:sz w:val="16"/>
              </w:rPr>
              <w:t xml:space="preserve"> </w:t>
            </w:r>
            <w:r>
              <w:rPr>
                <w:spacing w:val="-2"/>
                <w:sz w:val="16"/>
              </w:rPr>
              <w:t>utilisation</w:t>
            </w:r>
          </w:p>
        </w:tc>
        <w:tc>
          <w:tcPr>
            <w:tcW w:w="5990" w:type="dxa"/>
            <w:shd w:val="clear" w:color="auto" w:fill="EBEBEB"/>
          </w:tcPr>
          <w:p w:rsidR="002C1123" w:rsidRDefault="00F22F94">
            <w:pPr>
              <w:pStyle w:val="TableParagraph"/>
              <w:rPr>
                <w:sz w:val="16"/>
              </w:rPr>
            </w:pPr>
            <w:r>
              <w:rPr>
                <w:w w:val="95"/>
                <w:sz w:val="16"/>
              </w:rPr>
              <w:t>Potential</w:t>
            </w:r>
            <w:r>
              <w:rPr>
                <w:spacing w:val="-2"/>
                <w:w w:val="95"/>
                <w:sz w:val="16"/>
              </w:rPr>
              <w:t xml:space="preserve"> </w:t>
            </w:r>
            <w:r>
              <w:rPr>
                <w:w w:val="95"/>
                <w:sz w:val="16"/>
              </w:rPr>
              <w:t>capital</w:t>
            </w:r>
            <w:r>
              <w:rPr>
                <w:spacing w:val="-1"/>
                <w:w w:val="95"/>
                <w:sz w:val="16"/>
              </w:rPr>
              <w:t xml:space="preserve"> </w:t>
            </w:r>
            <w:r>
              <w:rPr>
                <w:spacing w:val="-2"/>
                <w:w w:val="95"/>
                <w:sz w:val="16"/>
              </w:rPr>
              <w:t>savings</w:t>
            </w:r>
          </w:p>
        </w:tc>
      </w:tr>
      <w:tr w:rsidR="002C1123">
        <w:trPr>
          <w:trHeight w:val="321"/>
        </w:trPr>
        <w:tc>
          <w:tcPr>
            <w:tcW w:w="510" w:type="dxa"/>
            <w:shd w:val="clear" w:color="auto" w:fill="EBEBEB"/>
          </w:tcPr>
          <w:p w:rsidR="002C1123" w:rsidRDefault="00F22F94">
            <w:pPr>
              <w:pStyle w:val="TableParagraph"/>
              <w:rPr>
                <w:sz w:val="16"/>
              </w:rPr>
            </w:pPr>
            <w:r>
              <w:rPr>
                <w:spacing w:val="-5"/>
                <w:sz w:val="16"/>
              </w:rPr>
              <w:t>59</w:t>
            </w:r>
          </w:p>
        </w:tc>
        <w:tc>
          <w:tcPr>
            <w:tcW w:w="6293" w:type="dxa"/>
            <w:shd w:val="clear" w:color="auto" w:fill="EBEBEB"/>
          </w:tcPr>
          <w:p w:rsidR="002C1123" w:rsidRDefault="00F22F94">
            <w:pPr>
              <w:pStyle w:val="TableParagraph"/>
              <w:rPr>
                <w:sz w:val="16"/>
              </w:rPr>
            </w:pPr>
            <w:r>
              <w:rPr>
                <w:spacing w:val="-2"/>
                <w:w w:val="105"/>
                <w:sz w:val="16"/>
              </w:rPr>
              <w:t>Trial</w:t>
            </w:r>
            <w:r>
              <w:rPr>
                <w:spacing w:val="-6"/>
                <w:w w:val="105"/>
                <w:sz w:val="16"/>
              </w:rPr>
              <w:t xml:space="preserve"> </w:t>
            </w:r>
            <w:r>
              <w:rPr>
                <w:spacing w:val="-2"/>
                <w:w w:val="105"/>
                <w:sz w:val="16"/>
              </w:rPr>
              <w:t>reconfiguration</w:t>
            </w:r>
            <w:r>
              <w:rPr>
                <w:spacing w:val="-6"/>
                <w:w w:val="105"/>
                <w:sz w:val="16"/>
              </w:rPr>
              <w:t xml:space="preserve"> </w:t>
            </w:r>
            <w:r>
              <w:rPr>
                <w:spacing w:val="-2"/>
                <w:w w:val="105"/>
                <w:sz w:val="16"/>
              </w:rPr>
              <w:t>of</w:t>
            </w:r>
            <w:r>
              <w:rPr>
                <w:spacing w:val="-5"/>
                <w:w w:val="105"/>
                <w:sz w:val="16"/>
              </w:rPr>
              <w:t xml:space="preserve"> </w:t>
            </w:r>
            <w:r>
              <w:rPr>
                <w:spacing w:val="-2"/>
                <w:w w:val="105"/>
                <w:sz w:val="16"/>
              </w:rPr>
              <w:t>existing</w:t>
            </w:r>
            <w:r>
              <w:rPr>
                <w:spacing w:val="-6"/>
                <w:w w:val="105"/>
                <w:sz w:val="16"/>
              </w:rPr>
              <w:t xml:space="preserve"> </w:t>
            </w:r>
            <w:r>
              <w:rPr>
                <w:spacing w:val="-2"/>
                <w:w w:val="105"/>
                <w:sz w:val="16"/>
              </w:rPr>
              <w:t>health</w:t>
            </w:r>
            <w:r>
              <w:rPr>
                <w:spacing w:val="-5"/>
                <w:w w:val="105"/>
                <w:sz w:val="16"/>
              </w:rPr>
              <w:t xml:space="preserve"> </w:t>
            </w:r>
            <w:r>
              <w:rPr>
                <w:spacing w:val="-2"/>
                <w:w w:val="105"/>
                <w:sz w:val="16"/>
              </w:rPr>
              <w:t>centres</w:t>
            </w:r>
            <w:r>
              <w:rPr>
                <w:spacing w:val="-6"/>
                <w:w w:val="105"/>
                <w:sz w:val="16"/>
              </w:rPr>
              <w:t xml:space="preserve"> </w:t>
            </w:r>
            <w:r>
              <w:rPr>
                <w:spacing w:val="-2"/>
                <w:w w:val="105"/>
                <w:sz w:val="16"/>
              </w:rPr>
              <w:t>to</w:t>
            </w:r>
            <w:r>
              <w:rPr>
                <w:spacing w:val="-5"/>
                <w:w w:val="105"/>
                <w:sz w:val="16"/>
              </w:rPr>
              <w:t xml:space="preserve"> </w:t>
            </w:r>
            <w:r>
              <w:rPr>
                <w:spacing w:val="-2"/>
                <w:w w:val="105"/>
                <w:sz w:val="16"/>
              </w:rPr>
              <w:t>support</w:t>
            </w:r>
            <w:r>
              <w:rPr>
                <w:spacing w:val="-6"/>
                <w:w w:val="105"/>
                <w:sz w:val="16"/>
              </w:rPr>
              <w:t xml:space="preserve"> </w:t>
            </w:r>
            <w:r>
              <w:rPr>
                <w:spacing w:val="-2"/>
                <w:w w:val="105"/>
                <w:sz w:val="16"/>
              </w:rPr>
              <w:t>new</w:t>
            </w:r>
            <w:r>
              <w:rPr>
                <w:spacing w:val="-6"/>
                <w:w w:val="105"/>
                <w:sz w:val="16"/>
              </w:rPr>
              <w:t xml:space="preserve"> </w:t>
            </w:r>
            <w:r>
              <w:rPr>
                <w:spacing w:val="-2"/>
                <w:w w:val="105"/>
                <w:sz w:val="16"/>
              </w:rPr>
              <w:t>models</w:t>
            </w:r>
            <w:r>
              <w:rPr>
                <w:spacing w:val="-5"/>
                <w:w w:val="105"/>
                <w:sz w:val="16"/>
              </w:rPr>
              <w:t xml:space="preserve"> </w:t>
            </w:r>
            <w:r>
              <w:rPr>
                <w:spacing w:val="-2"/>
                <w:w w:val="105"/>
                <w:sz w:val="16"/>
              </w:rPr>
              <w:t>of</w:t>
            </w:r>
            <w:r>
              <w:rPr>
                <w:spacing w:val="-6"/>
                <w:w w:val="105"/>
                <w:sz w:val="16"/>
              </w:rPr>
              <w:t xml:space="preserve"> </w:t>
            </w:r>
            <w:r>
              <w:rPr>
                <w:spacing w:val="-4"/>
                <w:w w:val="105"/>
                <w:sz w:val="16"/>
              </w:rPr>
              <w:t>care</w:t>
            </w:r>
          </w:p>
        </w:tc>
        <w:tc>
          <w:tcPr>
            <w:tcW w:w="737" w:type="dxa"/>
            <w:shd w:val="clear" w:color="auto" w:fill="EBEBEB"/>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304" w:type="dxa"/>
            <w:shd w:val="clear" w:color="auto" w:fill="EBEBEB"/>
          </w:tcPr>
          <w:p w:rsidR="002C1123" w:rsidRDefault="00F22F94">
            <w:pPr>
              <w:pStyle w:val="TableParagraph"/>
              <w:rPr>
                <w:sz w:val="16"/>
              </w:rPr>
            </w:pPr>
            <w:r>
              <w:rPr>
                <w:w w:val="95"/>
                <w:sz w:val="16"/>
              </w:rPr>
              <w:t>Asset</w:t>
            </w:r>
            <w:r>
              <w:rPr>
                <w:spacing w:val="-1"/>
                <w:sz w:val="16"/>
              </w:rPr>
              <w:t xml:space="preserve"> </w:t>
            </w:r>
            <w:r>
              <w:rPr>
                <w:spacing w:val="-2"/>
                <w:sz w:val="16"/>
              </w:rPr>
              <w:t>utilisation</w:t>
            </w:r>
          </w:p>
        </w:tc>
        <w:tc>
          <w:tcPr>
            <w:tcW w:w="5990" w:type="dxa"/>
            <w:shd w:val="clear" w:color="auto" w:fill="EBEBEB"/>
          </w:tcPr>
          <w:p w:rsidR="002C1123" w:rsidRDefault="00F22F94">
            <w:pPr>
              <w:pStyle w:val="TableParagraph"/>
              <w:rPr>
                <w:sz w:val="16"/>
              </w:rPr>
            </w:pPr>
            <w:r>
              <w:rPr>
                <w:w w:val="95"/>
                <w:sz w:val="16"/>
              </w:rPr>
              <w:t>Cost</w:t>
            </w:r>
            <w:r>
              <w:rPr>
                <w:spacing w:val="-1"/>
                <w:sz w:val="16"/>
              </w:rPr>
              <w:t xml:space="preserve"> </w:t>
            </w:r>
            <w:r>
              <w:rPr>
                <w:w w:val="95"/>
                <w:sz w:val="16"/>
              </w:rPr>
              <w:t>of</w:t>
            </w:r>
            <w:r>
              <w:rPr>
                <w:sz w:val="16"/>
              </w:rPr>
              <w:t xml:space="preserve"> </w:t>
            </w:r>
            <w:r>
              <w:rPr>
                <w:w w:val="95"/>
                <w:sz w:val="16"/>
              </w:rPr>
              <w:t>trial</w:t>
            </w:r>
            <w:r>
              <w:rPr>
                <w:sz w:val="16"/>
              </w:rPr>
              <w:t xml:space="preserve"> </w:t>
            </w:r>
            <w:r>
              <w:rPr>
                <w:w w:val="95"/>
                <w:sz w:val="16"/>
              </w:rPr>
              <w:t>not</w:t>
            </w:r>
            <w:r>
              <w:rPr>
                <w:sz w:val="16"/>
              </w:rPr>
              <w:t xml:space="preserve"> </w:t>
            </w:r>
            <w:r>
              <w:rPr>
                <w:spacing w:val="-2"/>
                <w:w w:val="95"/>
                <w:sz w:val="16"/>
              </w:rPr>
              <w:t>material</w:t>
            </w:r>
          </w:p>
        </w:tc>
      </w:tr>
      <w:tr w:rsidR="002C1123">
        <w:trPr>
          <w:trHeight w:val="321"/>
        </w:trPr>
        <w:tc>
          <w:tcPr>
            <w:tcW w:w="510" w:type="dxa"/>
            <w:shd w:val="clear" w:color="auto" w:fill="EBEBEB"/>
          </w:tcPr>
          <w:p w:rsidR="002C1123" w:rsidRDefault="00F22F94">
            <w:pPr>
              <w:pStyle w:val="TableParagraph"/>
              <w:rPr>
                <w:sz w:val="16"/>
              </w:rPr>
            </w:pPr>
            <w:r>
              <w:rPr>
                <w:spacing w:val="-5"/>
                <w:sz w:val="16"/>
              </w:rPr>
              <w:t>60</w:t>
            </w:r>
          </w:p>
        </w:tc>
        <w:tc>
          <w:tcPr>
            <w:tcW w:w="6293" w:type="dxa"/>
            <w:shd w:val="clear" w:color="auto" w:fill="EBEBEB"/>
          </w:tcPr>
          <w:p w:rsidR="002C1123" w:rsidRDefault="00F22F94">
            <w:pPr>
              <w:pStyle w:val="TableParagraph"/>
              <w:rPr>
                <w:sz w:val="16"/>
              </w:rPr>
            </w:pPr>
            <w:r>
              <w:rPr>
                <w:spacing w:val="-2"/>
                <w:w w:val="105"/>
                <w:sz w:val="16"/>
              </w:rPr>
              <w:t>Evaluate</w:t>
            </w:r>
            <w:r>
              <w:rPr>
                <w:spacing w:val="-3"/>
                <w:w w:val="105"/>
                <w:sz w:val="16"/>
              </w:rPr>
              <w:t xml:space="preserve"> </w:t>
            </w:r>
            <w:r>
              <w:rPr>
                <w:spacing w:val="-2"/>
                <w:w w:val="105"/>
                <w:sz w:val="16"/>
              </w:rPr>
              <w:t>provision</w:t>
            </w:r>
            <w:r>
              <w:rPr>
                <w:spacing w:val="-3"/>
                <w:w w:val="105"/>
                <w:sz w:val="16"/>
              </w:rPr>
              <w:t xml:space="preserve"> </w:t>
            </w:r>
            <w:r>
              <w:rPr>
                <w:spacing w:val="-2"/>
                <w:w w:val="105"/>
                <w:sz w:val="16"/>
              </w:rPr>
              <w:t>of</w:t>
            </w:r>
            <w:r>
              <w:rPr>
                <w:spacing w:val="-3"/>
                <w:w w:val="105"/>
                <w:sz w:val="16"/>
              </w:rPr>
              <w:t xml:space="preserve"> </w:t>
            </w:r>
            <w:r>
              <w:rPr>
                <w:spacing w:val="-2"/>
                <w:w w:val="105"/>
                <w:sz w:val="16"/>
              </w:rPr>
              <w:t>new</w:t>
            </w:r>
            <w:r>
              <w:rPr>
                <w:spacing w:val="-3"/>
                <w:w w:val="105"/>
                <w:sz w:val="16"/>
              </w:rPr>
              <w:t xml:space="preserve"> </w:t>
            </w:r>
            <w:r>
              <w:rPr>
                <w:spacing w:val="-2"/>
                <w:w w:val="105"/>
                <w:sz w:val="16"/>
              </w:rPr>
              <w:t>public</w:t>
            </w:r>
            <w:r>
              <w:rPr>
                <w:spacing w:val="-3"/>
                <w:w w:val="105"/>
                <w:sz w:val="16"/>
              </w:rPr>
              <w:t xml:space="preserve"> </w:t>
            </w:r>
            <w:r>
              <w:rPr>
                <w:spacing w:val="-2"/>
                <w:w w:val="105"/>
                <w:sz w:val="16"/>
              </w:rPr>
              <w:t>hospital</w:t>
            </w:r>
            <w:r>
              <w:rPr>
                <w:spacing w:val="-3"/>
                <w:w w:val="105"/>
                <w:sz w:val="16"/>
              </w:rPr>
              <w:t xml:space="preserve"> </w:t>
            </w:r>
            <w:r>
              <w:rPr>
                <w:spacing w:val="-2"/>
                <w:w w:val="105"/>
                <w:sz w:val="16"/>
              </w:rPr>
              <w:t>capacity</w:t>
            </w:r>
            <w:r>
              <w:rPr>
                <w:spacing w:val="-3"/>
                <w:w w:val="105"/>
                <w:sz w:val="16"/>
              </w:rPr>
              <w:t xml:space="preserve"> </w:t>
            </w:r>
            <w:r>
              <w:rPr>
                <w:spacing w:val="-2"/>
                <w:w w:val="105"/>
                <w:sz w:val="16"/>
              </w:rPr>
              <w:t>by</w:t>
            </w:r>
            <w:r>
              <w:rPr>
                <w:spacing w:val="-3"/>
                <w:w w:val="105"/>
                <w:sz w:val="16"/>
              </w:rPr>
              <w:t xml:space="preserve"> </w:t>
            </w:r>
            <w:r>
              <w:rPr>
                <w:spacing w:val="-2"/>
                <w:w w:val="105"/>
                <w:sz w:val="16"/>
              </w:rPr>
              <w:t>private</w:t>
            </w:r>
            <w:r>
              <w:rPr>
                <w:spacing w:val="-3"/>
                <w:w w:val="105"/>
                <w:sz w:val="16"/>
              </w:rPr>
              <w:t xml:space="preserve"> </w:t>
            </w:r>
            <w:r>
              <w:rPr>
                <w:spacing w:val="-2"/>
                <w:w w:val="105"/>
                <w:sz w:val="16"/>
              </w:rPr>
              <w:t>sector providers</w:t>
            </w:r>
          </w:p>
        </w:tc>
        <w:tc>
          <w:tcPr>
            <w:tcW w:w="737" w:type="dxa"/>
            <w:shd w:val="clear" w:color="auto" w:fill="EBEBEB"/>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304" w:type="dxa"/>
            <w:shd w:val="clear" w:color="auto" w:fill="EBEBEB"/>
          </w:tcPr>
          <w:p w:rsidR="002C1123" w:rsidRDefault="00F22F94">
            <w:pPr>
              <w:pStyle w:val="TableParagraph"/>
              <w:rPr>
                <w:sz w:val="16"/>
              </w:rPr>
            </w:pPr>
            <w:r>
              <w:rPr>
                <w:spacing w:val="-2"/>
                <w:sz w:val="16"/>
              </w:rPr>
              <w:t>Review</w:t>
            </w:r>
          </w:p>
        </w:tc>
        <w:tc>
          <w:tcPr>
            <w:tcW w:w="5990" w:type="dxa"/>
            <w:shd w:val="clear" w:color="auto" w:fill="EBEBEB"/>
          </w:tcPr>
          <w:p w:rsidR="002C1123" w:rsidRDefault="00F22F94">
            <w:pPr>
              <w:pStyle w:val="TableParagraph"/>
              <w:rPr>
                <w:sz w:val="16"/>
              </w:rPr>
            </w:pPr>
            <w:r>
              <w:rPr>
                <w:w w:val="95"/>
                <w:sz w:val="16"/>
              </w:rPr>
              <w:t>Potential</w:t>
            </w:r>
            <w:r>
              <w:rPr>
                <w:spacing w:val="-2"/>
                <w:w w:val="95"/>
                <w:sz w:val="16"/>
              </w:rPr>
              <w:t xml:space="preserve"> </w:t>
            </w:r>
            <w:r>
              <w:rPr>
                <w:w w:val="95"/>
                <w:sz w:val="16"/>
              </w:rPr>
              <w:t>capital</w:t>
            </w:r>
            <w:r>
              <w:rPr>
                <w:spacing w:val="-1"/>
                <w:w w:val="95"/>
                <w:sz w:val="16"/>
              </w:rPr>
              <w:t xml:space="preserve"> </w:t>
            </w:r>
            <w:r>
              <w:rPr>
                <w:spacing w:val="-2"/>
                <w:w w:val="95"/>
                <w:sz w:val="16"/>
              </w:rPr>
              <w:t>savings</w:t>
            </w:r>
          </w:p>
        </w:tc>
      </w:tr>
      <w:tr w:rsidR="002C1123">
        <w:trPr>
          <w:trHeight w:val="501"/>
        </w:trPr>
        <w:tc>
          <w:tcPr>
            <w:tcW w:w="510" w:type="dxa"/>
            <w:shd w:val="clear" w:color="auto" w:fill="EBEBEB"/>
          </w:tcPr>
          <w:p w:rsidR="002C1123" w:rsidRDefault="00F22F94">
            <w:pPr>
              <w:pStyle w:val="TableParagraph"/>
              <w:rPr>
                <w:sz w:val="16"/>
              </w:rPr>
            </w:pPr>
            <w:r>
              <w:rPr>
                <w:spacing w:val="-5"/>
                <w:sz w:val="16"/>
              </w:rPr>
              <w:t>61</w:t>
            </w:r>
          </w:p>
        </w:tc>
        <w:tc>
          <w:tcPr>
            <w:tcW w:w="6293" w:type="dxa"/>
            <w:shd w:val="clear" w:color="auto" w:fill="EBEBEB"/>
          </w:tcPr>
          <w:p w:rsidR="002C1123" w:rsidRDefault="00F22F94">
            <w:pPr>
              <w:pStyle w:val="TableParagraph"/>
              <w:rPr>
                <w:sz w:val="16"/>
              </w:rPr>
            </w:pPr>
            <w:r>
              <w:rPr>
                <w:spacing w:val="-2"/>
                <w:w w:val="105"/>
                <w:sz w:val="16"/>
              </w:rPr>
              <w:t>Upgrade</w:t>
            </w:r>
            <w:r>
              <w:rPr>
                <w:spacing w:val="-5"/>
                <w:w w:val="105"/>
                <w:sz w:val="16"/>
              </w:rPr>
              <w:t xml:space="preserve"> </w:t>
            </w:r>
            <w:r>
              <w:rPr>
                <w:spacing w:val="-2"/>
                <w:w w:val="105"/>
                <w:sz w:val="16"/>
              </w:rPr>
              <w:t>and</w:t>
            </w:r>
            <w:r>
              <w:rPr>
                <w:spacing w:val="-5"/>
                <w:w w:val="105"/>
                <w:sz w:val="16"/>
              </w:rPr>
              <w:t xml:space="preserve"> </w:t>
            </w:r>
            <w:r>
              <w:rPr>
                <w:spacing w:val="-2"/>
                <w:w w:val="105"/>
                <w:sz w:val="16"/>
              </w:rPr>
              <w:t>build</w:t>
            </w:r>
            <w:r>
              <w:rPr>
                <w:spacing w:val="-4"/>
                <w:w w:val="105"/>
                <w:sz w:val="16"/>
              </w:rPr>
              <w:t xml:space="preserve"> </w:t>
            </w:r>
            <w:r>
              <w:rPr>
                <w:spacing w:val="-2"/>
                <w:w w:val="105"/>
                <w:sz w:val="16"/>
              </w:rPr>
              <w:t>new</w:t>
            </w:r>
            <w:r>
              <w:rPr>
                <w:spacing w:val="-5"/>
                <w:w w:val="105"/>
                <w:sz w:val="16"/>
              </w:rPr>
              <w:t xml:space="preserve"> </w:t>
            </w:r>
            <w:r>
              <w:rPr>
                <w:spacing w:val="-2"/>
                <w:w w:val="105"/>
                <w:sz w:val="16"/>
              </w:rPr>
              <w:t>healthcare</w:t>
            </w:r>
            <w:r>
              <w:rPr>
                <w:spacing w:val="-5"/>
                <w:w w:val="105"/>
                <w:sz w:val="16"/>
              </w:rPr>
              <w:t xml:space="preserve"> </w:t>
            </w:r>
            <w:r>
              <w:rPr>
                <w:spacing w:val="-2"/>
                <w:w w:val="105"/>
                <w:sz w:val="16"/>
              </w:rPr>
              <w:t>facilities</w:t>
            </w:r>
            <w:r>
              <w:rPr>
                <w:spacing w:val="-4"/>
                <w:w w:val="105"/>
                <w:sz w:val="16"/>
              </w:rPr>
              <w:t xml:space="preserve"> </w:t>
            </w:r>
            <w:r>
              <w:rPr>
                <w:spacing w:val="-2"/>
                <w:w w:val="105"/>
                <w:sz w:val="16"/>
              </w:rPr>
              <w:t>in</w:t>
            </w:r>
            <w:r>
              <w:rPr>
                <w:spacing w:val="-5"/>
                <w:w w:val="105"/>
                <w:sz w:val="16"/>
              </w:rPr>
              <w:t xml:space="preserve"> </w:t>
            </w:r>
            <w:r>
              <w:rPr>
                <w:spacing w:val="-2"/>
                <w:w w:val="105"/>
                <w:sz w:val="16"/>
              </w:rPr>
              <w:t>accordance</w:t>
            </w:r>
            <w:r>
              <w:rPr>
                <w:spacing w:val="-4"/>
                <w:w w:val="105"/>
                <w:sz w:val="16"/>
              </w:rPr>
              <w:t xml:space="preserve"> </w:t>
            </w:r>
            <w:r>
              <w:rPr>
                <w:spacing w:val="-2"/>
                <w:w w:val="105"/>
                <w:sz w:val="16"/>
              </w:rPr>
              <w:t>with</w:t>
            </w:r>
            <w:r>
              <w:rPr>
                <w:spacing w:val="-5"/>
                <w:w w:val="105"/>
                <w:sz w:val="16"/>
              </w:rPr>
              <w:t xml:space="preserve"> </w:t>
            </w:r>
            <w:r>
              <w:rPr>
                <w:spacing w:val="-2"/>
                <w:w w:val="105"/>
                <w:sz w:val="16"/>
              </w:rPr>
              <w:t>projected</w:t>
            </w:r>
            <w:r>
              <w:rPr>
                <w:spacing w:val="-5"/>
                <w:w w:val="105"/>
                <w:sz w:val="16"/>
              </w:rPr>
              <w:t xml:space="preserve"> </w:t>
            </w:r>
            <w:r>
              <w:rPr>
                <w:spacing w:val="-2"/>
                <w:w w:val="105"/>
                <w:sz w:val="16"/>
              </w:rPr>
              <w:t>demand</w:t>
            </w:r>
          </w:p>
        </w:tc>
        <w:tc>
          <w:tcPr>
            <w:tcW w:w="737" w:type="dxa"/>
            <w:shd w:val="clear" w:color="auto" w:fill="EBEBEB"/>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5"/>
                <w:sz w:val="16"/>
              </w:rPr>
              <w:t>20</w:t>
            </w:r>
          </w:p>
        </w:tc>
        <w:tc>
          <w:tcPr>
            <w:tcW w:w="1304" w:type="dxa"/>
            <w:shd w:val="clear" w:color="auto" w:fill="EBEBEB"/>
          </w:tcPr>
          <w:p w:rsidR="002C1123" w:rsidRDefault="00F22F94">
            <w:pPr>
              <w:pStyle w:val="TableParagraph"/>
              <w:rPr>
                <w:sz w:val="16"/>
              </w:rPr>
            </w:pPr>
            <w:r>
              <w:rPr>
                <w:spacing w:val="-2"/>
                <w:sz w:val="16"/>
              </w:rPr>
              <w:t>Program</w:t>
            </w:r>
          </w:p>
        </w:tc>
        <w:tc>
          <w:tcPr>
            <w:tcW w:w="5990" w:type="dxa"/>
            <w:shd w:val="clear" w:color="auto" w:fill="EBEBEB"/>
          </w:tcPr>
          <w:p w:rsidR="002C1123" w:rsidRDefault="00F22F94">
            <w:pPr>
              <w:pStyle w:val="TableParagraph"/>
              <w:spacing w:before="70" w:line="235" w:lineRule="auto"/>
              <w:ind w:right="206"/>
              <w:rPr>
                <w:sz w:val="16"/>
              </w:rPr>
            </w:pPr>
            <w:r>
              <w:rPr>
                <w:w w:val="95"/>
                <w:sz w:val="16"/>
              </w:rPr>
              <w:t xml:space="preserve">Existing Government commitment. Program will reflect NSW Health preferred </w:t>
            </w:r>
            <w:r>
              <w:rPr>
                <w:sz w:val="16"/>
              </w:rPr>
              <w:t>models of care</w:t>
            </w:r>
          </w:p>
        </w:tc>
      </w:tr>
    </w:tbl>
    <w:p w:rsidR="002C1123" w:rsidRDefault="002C1123">
      <w:pPr>
        <w:spacing w:line="235" w:lineRule="auto"/>
        <w:rPr>
          <w:sz w:val="16"/>
        </w:rPr>
        <w:sectPr w:rsidR="002C1123">
          <w:pgSz w:w="16840" w:h="11910" w:orient="landscape"/>
          <w:pgMar w:top="560" w:right="280" w:bottom="700" w:left="500" w:header="0" w:footer="517" w:gutter="0"/>
          <w:cols w:space="720"/>
        </w:sect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spacing w:before="7"/>
        <w:rPr>
          <w:b/>
          <w:sz w:val="29"/>
        </w:rPr>
      </w:pPr>
    </w:p>
    <w:p w:rsidR="002C1123" w:rsidRDefault="00F22F94">
      <w:pPr>
        <w:tabs>
          <w:tab w:val="left" w:pos="7418"/>
          <w:tab w:val="left" w:pos="8155"/>
          <w:tab w:val="left" w:pos="9459"/>
        </w:tabs>
        <w:spacing w:before="107"/>
        <w:ind w:left="615"/>
        <w:rPr>
          <w:b/>
          <w:sz w:val="18"/>
        </w:rPr>
      </w:pPr>
      <w:bookmarkStart w:id="389" w:name="_bookmark277"/>
      <w:bookmarkEnd w:id="389"/>
      <w:r>
        <w:rPr>
          <w:b/>
          <w:color w:val="2E3092"/>
          <w:spacing w:val="-2"/>
          <w:sz w:val="18"/>
        </w:rPr>
        <w:t>Recommendations</w:t>
      </w:r>
      <w:r>
        <w:rPr>
          <w:b/>
          <w:color w:val="2E3092"/>
          <w:sz w:val="18"/>
        </w:rPr>
        <w:tab/>
      </w:r>
      <w:r>
        <w:rPr>
          <w:b/>
          <w:color w:val="2E3092"/>
          <w:spacing w:val="-2"/>
          <w:sz w:val="18"/>
        </w:rPr>
        <w:t>Years</w:t>
      </w:r>
      <w:r>
        <w:rPr>
          <w:b/>
          <w:color w:val="2E3092"/>
          <w:sz w:val="18"/>
        </w:rPr>
        <w:tab/>
      </w:r>
      <w:r>
        <w:rPr>
          <w:b/>
          <w:color w:val="2E3092"/>
          <w:spacing w:val="-4"/>
          <w:sz w:val="18"/>
        </w:rPr>
        <w:t>Type</w:t>
      </w:r>
      <w:r>
        <w:rPr>
          <w:b/>
          <w:color w:val="2E3092"/>
          <w:sz w:val="18"/>
        </w:rPr>
        <w:tab/>
      </w:r>
      <w:r>
        <w:rPr>
          <w:b/>
          <w:color w:val="2E3092"/>
          <w:spacing w:val="-2"/>
          <w:sz w:val="18"/>
        </w:rPr>
        <w:t>Cost</w:t>
      </w:r>
      <w:r>
        <w:rPr>
          <w:b/>
          <w:color w:val="2E3092"/>
          <w:spacing w:val="-4"/>
          <w:sz w:val="18"/>
        </w:rPr>
        <w:t xml:space="preserve"> </w:t>
      </w:r>
      <w:r>
        <w:rPr>
          <w:b/>
          <w:color w:val="2E3092"/>
          <w:spacing w:val="-2"/>
          <w:sz w:val="18"/>
        </w:rPr>
        <w:t>and</w:t>
      </w:r>
      <w:r>
        <w:rPr>
          <w:b/>
          <w:color w:val="2E3092"/>
          <w:spacing w:val="-3"/>
          <w:sz w:val="18"/>
        </w:rPr>
        <w:t xml:space="preserve"> </w:t>
      </w:r>
      <w:r>
        <w:rPr>
          <w:b/>
          <w:color w:val="2E3092"/>
          <w:spacing w:val="-2"/>
          <w:sz w:val="18"/>
        </w:rPr>
        <w:t>Funding</w:t>
      </w:r>
      <w:r>
        <w:rPr>
          <w:b/>
          <w:color w:val="2E3092"/>
          <w:spacing w:val="-4"/>
          <w:sz w:val="18"/>
        </w:rPr>
        <w:t xml:space="preserve"> </w:t>
      </w:r>
      <w:r>
        <w:rPr>
          <w:b/>
          <w:color w:val="2E3092"/>
          <w:spacing w:val="-2"/>
          <w:sz w:val="18"/>
        </w:rPr>
        <w:t>Implications</w:t>
      </w:r>
    </w:p>
    <w:p w:rsidR="002C1123" w:rsidRDefault="002C1123">
      <w:pPr>
        <w:pStyle w:val="BodyText"/>
        <w:spacing w:before="7"/>
        <w:rPr>
          <w:b/>
          <w:sz w:val="5"/>
        </w:rPr>
      </w:pPr>
    </w:p>
    <w:tbl>
      <w:tblPr>
        <w:tblW w:w="0" w:type="auto"/>
        <w:tblInd w:w="49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803"/>
        <w:gridCol w:w="737"/>
        <w:gridCol w:w="1304"/>
        <w:gridCol w:w="5990"/>
      </w:tblGrid>
      <w:tr w:rsidR="002C1123">
        <w:trPr>
          <w:trHeight w:val="335"/>
        </w:trPr>
        <w:tc>
          <w:tcPr>
            <w:tcW w:w="6803" w:type="dxa"/>
            <w:tcBorders>
              <w:left w:val="nil"/>
            </w:tcBorders>
            <w:shd w:val="clear" w:color="auto" w:fill="C9C8C9"/>
          </w:tcPr>
          <w:p w:rsidR="002C1123" w:rsidRDefault="00F22F94">
            <w:pPr>
              <w:pStyle w:val="TableParagraph"/>
              <w:spacing w:before="63"/>
              <w:rPr>
                <w:b/>
                <w:sz w:val="18"/>
              </w:rPr>
            </w:pPr>
            <w:r>
              <w:rPr>
                <w:b/>
                <w:sz w:val="18"/>
              </w:rPr>
              <w:t>Section</w:t>
            </w:r>
            <w:r>
              <w:rPr>
                <w:b/>
                <w:spacing w:val="-19"/>
                <w:sz w:val="18"/>
              </w:rPr>
              <w:t xml:space="preserve"> </w:t>
            </w:r>
            <w:r>
              <w:rPr>
                <w:b/>
                <w:sz w:val="18"/>
              </w:rPr>
              <w:t>14</w:t>
            </w:r>
            <w:r>
              <w:rPr>
                <w:b/>
                <w:spacing w:val="6"/>
                <w:sz w:val="18"/>
              </w:rPr>
              <w:t xml:space="preserve"> </w:t>
            </w:r>
            <w:r>
              <w:rPr>
                <w:b/>
                <w:sz w:val="18"/>
              </w:rPr>
              <w:t>Social</w:t>
            </w:r>
            <w:r>
              <w:rPr>
                <w:b/>
                <w:spacing w:val="-19"/>
                <w:sz w:val="18"/>
              </w:rPr>
              <w:t xml:space="preserve"> </w:t>
            </w:r>
            <w:r>
              <w:rPr>
                <w:b/>
                <w:spacing w:val="-2"/>
                <w:sz w:val="18"/>
              </w:rPr>
              <w:t>Infrastructure</w:t>
            </w:r>
          </w:p>
        </w:tc>
        <w:tc>
          <w:tcPr>
            <w:tcW w:w="737" w:type="dxa"/>
            <w:shd w:val="clear" w:color="auto" w:fill="C9C8C9"/>
          </w:tcPr>
          <w:p w:rsidR="002C1123" w:rsidRDefault="002C1123">
            <w:pPr>
              <w:pStyle w:val="TableParagraph"/>
              <w:spacing w:before="0"/>
              <w:ind w:left="0"/>
              <w:rPr>
                <w:rFonts w:ascii="Times New Roman"/>
                <w:sz w:val="16"/>
              </w:rPr>
            </w:pPr>
          </w:p>
        </w:tc>
        <w:tc>
          <w:tcPr>
            <w:tcW w:w="1304" w:type="dxa"/>
            <w:shd w:val="clear" w:color="auto" w:fill="C9C8C9"/>
          </w:tcPr>
          <w:p w:rsidR="002C1123" w:rsidRDefault="002C1123">
            <w:pPr>
              <w:pStyle w:val="TableParagraph"/>
              <w:spacing w:before="0"/>
              <w:ind w:left="0"/>
              <w:rPr>
                <w:rFonts w:ascii="Times New Roman"/>
                <w:sz w:val="16"/>
              </w:rPr>
            </w:pPr>
          </w:p>
        </w:tc>
        <w:tc>
          <w:tcPr>
            <w:tcW w:w="5990" w:type="dxa"/>
            <w:shd w:val="clear" w:color="auto" w:fill="C9C8C9"/>
          </w:tcPr>
          <w:p w:rsidR="002C1123" w:rsidRDefault="002C1123">
            <w:pPr>
              <w:pStyle w:val="TableParagraph"/>
              <w:spacing w:before="0"/>
              <w:ind w:left="0"/>
              <w:rPr>
                <w:rFonts w:ascii="Times New Roman"/>
                <w:sz w:val="16"/>
              </w:rPr>
            </w:pPr>
          </w:p>
        </w:tc>
      </w:tr>
    </w:tbl>
    <w:p w:rsidR="002C1123" w:rsidRDefault="00F22F94">
      <w:pPr>
        <w:spacing w:before="64"/>
        <w:ind w:left="615"/>
        <w:rPr>
          <w:sz w:val="18"/>
        </w:rPr>
      </w:pPr>
      <w:r>
        <w:rPr>
          <w:spacing w:val="-2"/>
          <w:w w:val="105"/>
          <w:sz w:val="18"/>
        </w:rPr>
        <w:t>Education</w:t>
      </w:r>
    </w:p>
    <w:p w:rsidR="002C1123" w:rsidRDefault="002C1123">
      <w:pPr>
        <w:pStyle w:val="BodyText"/>
        <w:spacing w:before="7"/>
        <w:rPr>
          <w:sz w:val="5"/>
        </w:rPr>
      </w:pPr>
    </w:p>
    <w:tbl>
      <w:tblPr>
        <w:tblW w:w="0" w:type="auto"/>
        <w:tblInd w:w="5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10"/>
        <w:gridCol w:w="6293"/>
        <w:gridCol w:w="737"/>
        <w:gridCol w:w="1304"/>
        <w:gridCol w:w="5990"/>
      </w:tblGrid>
      <w:tr w:rsidR="002C1123">
        <w:trPr>
          <w:trHeight w:val="321"/>
        </w:trPr>
        <w:tc>
          <w:tcPr>
            <w:tcW w:w="510" w:type="dxa"/>
            <w:shd w:val="clear" w:color="auto" w:fill="EBEBEB"/>
          </w:tcPr>
          <w:p w:rsidR="002C1123" w:rsidRDefault="00F22F94">
            <w:pPr>
              <w:pStyle w:val="TableParagraph"/>
              <w:rPr>
                <w:sz w:val="16"/>
              </w:rPr>
            </w:pPr>
            <w:r>
              <w:rPr>
                <w:spacing w:val="-5"/>
                <w:sz w:val="16"/>
              </w:rPr>
              <w:t>62</w:t>
            </w:r>
          </w:p>
        </w:tc>
        <w:tc>
          <w:tcPr>
            <w:tcW w:w="6293" w:type="dxa"/>
            <w:shd w:val="clear" w:color="auto" w:fill="EBEBEB"/>
          </w:tcPr>
          <w:p w:rsidR="002C1123" w:rsidRDefault="00F22F94">
            <w:pPr>
              <w:pStyle w:val="TableParagraph"/>
              <w:rPr>
                <w:sz w:val="16"/>
              </w:rPr>
            </w:pPr>
            <w:r>
              <w:rPr>
                <w:spacing w:val="-2"/>
                <w:w w:val="105"/>
                <w:sz w:val="16"/>
              </w:rPr>
              <w:t>Target</w:t>
            </w:r>
            <w:r>
              <w:rPr>
                <w:spacing w:val="-7"/>
                <w:w w:val="105"/>
                <w:sz w:val="16"/>
              </w:rPr>
              <w:t xml:space="preserve"> </w:t>
            </w:r>
            <w:r>
              <w:rPr>
                <w:spacing w:val="-2"/>
                <w:w w:val="105"/>
                <w:sz w:val="16"/>
              </w:rPr>
              <w:t>provision</w:t>
            </w:r>
            <w:r>
              <w:rPr>
                <w:spacing w:val="-6"/>
                <w:w w:val="105"/>
                <w:sz w:val="16"/>
              </w:rPr>
              <w:t xml:space="preserve"> </w:t>
            </w:r>
            <w:r>
              <w:rPr>
                <w:spacing w:val="-2"/>
                <w:w w:val="105"/>
                <w:sz w:val="16"/>
              </w:rPr>
              <w:t>of</w:t>
            </w:r>
            <w:r>
              <w:rPr>
                <w:spacing w:val="-6"/>
                <w:w w:val="105"/>
                <w:sz w:val="16"/>
              </w:rPr>
              <w:t xml:space="preserve"> </w:t>
            </w:r>
            <w:r>
              <w:rPr>
                <w:spacing w:val="-2"/>
                <w:w w:val="105"/>
                <w:sz w:val="16"/>
              </w:rPr>
              <w:t>90</w:t>
            </w:r>
            <w:r>
              <w:rPr>
                <w:spacing w:val="-6"/>
                <w:w w:val="105"/>
                <w:sz w:val="16"/>
              </w:rPr>
              <w:t xml:space="preserve"> </w:t>
            </w:r>
            <w:r>
              <w:rPr>
                <w:spacing w:val="-2"/>
                <w:w w:val="105"/>
                <w:sz w:val="16"/>
              </w:rPr>
              <w:t>percent</w:t>
            </w:r>
            <w:r>
              <w:rPr>
                <w:spacing w:val="-7"/>
                <w:w w:val="105"/>
                <w:sz w:val="16"/>
              </w:rPr>
              <w:t xml:space="preserve"> </w:t>
            </w:r>
            <w:r>
              <w:rPr>
                <w:spacing w:val="-2"/>
                <w:w w:val="105"/>
                <w:sz w:val="16"/>
              </w:rPr>
              <w:t>of</w:t>
            </w:r>
            <w:r>
              <w:rPr>
                <w:spacing w:val="-6"/>
                <w:w w:val="105"/>
                <w:sz w:val="16"/>
              </w:rPr>
              <w:t xml:space="preserve"> </w:t>
            </w:r>
            <w:r>
              <w:rPr>
                <w:spacing w:val="-2"/>
                <w:w w:val="105"/>
                <w:sz w:val="16"/>
              </w:rPr>
              <w:t>new</w:t>
            </w:r>
            <w:r>
              <w:rPr>
                <w:spacing w:val="-6"/>
                <w:w w:val="105"/>
                <w:sz w:val="16"/>
              </w:rPr>
              <w:t xml:space="preserve"> </w:t>
            </w:r>
            <w:r>
              <w:rPr>
                <w:spacing w:val="-2"/>
                <w:w w:val="105"/>
                <w:sz w:val="16"/>
              </w:rPr>
              <w:t>school</w:t>
            </w:r>
            <w:r>
              <w:rPr>
                <w:spacing w:val="-6"/>
                <w:w w:val="105"/>
                <w:sz w:val="16"/>
              </w:rPr>
              <w:t xml:space="preserve"> </w:t>
            </w:r>
            <w:r>
              <w:rPr>
                <w:spacing w:val="-2"/>
                <w:w w:val="105"/>
                <w:sz w:val="16"/>
              </w:rPr>
              <w:t>places</w:t>
            </w:r>
            <w:r>
              <w:rPr>
                <w:spacing w:val="-7"/>
                <w:w w:val="105"/>
                <w:sz w:val="16"/>
              </w:rPr>
              <w:t xml:space="preserve"> </w:t>
            </w:r>
            <w:r>
              <w:rPr>
                <w:spacing w:val="-2"/>
                <w:w w:val="105"/>
                <w:sz w:val="16"/>
              </w:rPr>
              <w:t>on</w:t>
            </w:r>
            <w:r>
              <w:rPr>
                <w:spacing w:val="-6"/>
                <w:w w:val="105"/>
                <w:sz w:val="16"/>
              </w:rPr>
              <w:t xml:space="preserve"> </w:t>
            </w:r>
            <w:r>
              <w:rPr>
                <w:spacing w:val="-2"/>
                <w:w w:val="105"/>
                <w:sz w:val="16"/>
              </w:rPr>
              <w:t>existing</w:t>
            </w:r>
            <w:r>
              <w:rPr>
                <w:spacing w:val="-6"/>
                <w:w w:val="105"/>
                <w:sz w:val="16"/>
              </w:rPr>
              <w:t xml:space="preserve"> </w:t>
            </w:r>
            <w:r>
              <w:rPr>
                <w:spacing w:val="-2"/>
                <w:w w:val="105"/>
                <w:sz w:val="16"/>
              </w:rPr>
              <w:t>school</w:t>
            </w:r>
            <w:r>
              <w:rPr>
                <w:spacing w:val="-6"/>
                <w:w w:val="105"/>
                <w:sz w:val="16"/>
              </w:rPr>
              <w:t xml:space="preserve"> </w:t>
            </w:r>
            <w:r>
              <w:rPr>
                <w:spacing w:val="-2"/>
                <w:w w:val="105"/>
                <w:sz w:val="16"/>
              </w:rPr>
              <w:t>sites</w:t>
            </w:r>
          </w:p>
        </w:tc>
        <w:tc>
          <w:tcPr>
            <w:tcW w:w="737" w:type="dxa"/>
            <w:shd w:val="clear" w:color="auto" w:fill="EBEBEB"/>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304" w:type="dxa"/>
            <w:shd w:val="clear" w:color="auto" w:fill="EBEBEB"/>
          </w:tcPr>
          <w:p w:rsidR="002C1123" w:rsidRDefault="00F22F94">
            <w:pPr>
              <w:pStyle w:val="TableParagraph"/>
              <w:rPr>
                <w:sz w:val="16"/>
              </w:rPr>
            </w:pPr>
            <w:r>
              <w:rPr>
                <w:spacing w:val="-2"/>
                <w:sz w:val="16"/>
              </w:rPr>
              <w:t>Program</w:t>
            </w:r>
          </w:p>
        </w:tc>
        <w:tc>
          <w:tcPr>
            <w:tcW w:w="5990" w:type="dxa"/>
            <w:shd w:val="clear" w:color="auto" w:fill="EBEBEB"/>
          </w:tcPr>
          <w:p w:rsidR="002C1123" w:rsidRDefault="00F22F94">
            <w:pPr>
              <w:pStyle w:val="TableParagraph"/>
              <w:rPr>
                <w:sz w:val="16"/>
              </w:rPr>
            </w:pPr>
            <w:r>
              <w:rPr>
                <w:w w:val="95"/>
                <w:sz w:val="16"/>
              </w:rPr>
              <w:t>Potential</w:t>
            </w:r>
            <w:r>
              <w:rPr>
                <w:spacing w:val="-2"/>
                <w:w w:val="95"/>
                <w:sz w:val="16"/>
              </w:rPr>
              <w:t xml:space="preserve"> </w:t>
            </w:r>
            <w:r>
              <w:rPr>
                <w:w w:val="95"/>
                <w:sz w:val="16"/>
              </w:rPr>
              <w:t>capital</w:t>
            </w:r>
            <w:r>
              <w:rPr>
                <w:spacing w:val="-1"/>
                <w:w w:val="95"/>
                <w:sz w:val="16"/>
              </w:rPr>
              <w:t xml:space="preserve"> </w:t>
            </w:r>
            <w:r>
              <w:rPr>
                <w:spacing w:val="-2"/>
                <w:w w:val="95"/>
                <w:sz w:val="16"/>
              </w:rPr>
              <w:t>savings</w:t>
            </w:r>
          </w:p>
        </w:tc>
      </w:tr>
      <w:tr w:rsidR="002C1123">
        <w:trPr>
          <w:trHeight w:val="321"/>
        </w:trPr>
        <w:tc>
          <w:tcPr>
            <w:tcW w:w="510" w:type="dxa"/>
            <w:shd w:val="clear" w:color="auto" w:fill="EBEBEB"/>
          </w:tcPr>
          <w:p w:rsidR="002C1123" w:rsidRDefault="00F22F94">
            <w:pPr>
              <w:pStyle w:val="TableParagraph"/>
              <w:rPr>
                <w:sz w:val="16"/>
              </w:rPr>
            </w:pPr>
            <w:r>
              <w:rPr>
                <w:spacing w:val="-5"/>
                <w:sz w:val="16"/>
              </w:rPr>
              <w:t>63</w:t>
            </w:r>
          </w:p>
        </w:tc>
        <w:tc>
          <w:tcPr>
            <w:tcW w:w="6293" w:type="dxa"/>
            <w:shd w:val="clear" w:color="auto" w:fill="EBEBEB"/>
          </w:tcPr>
          <w:p w:rsidR="002C1123" w:rsidRDefault="00F22F94">
            <w:pPr>
              <w:pStyle w:val="TableParagraph"/>
              <w:rPr>
                <w:sz w:val="16"/>
              </w:rPr>
            </w:pPr>
            <w:r>
              <w:rPr>
                <w:spacing w:val="-2"/>
                <w:w w:val="105"/>
                <w:sz w:val="16"/>
              </w:rPr>
              <w:t>New</w:t>
            </w:r>
            <w:r>
              <w:rPr>
                <w:spacing w:val="-5"/>
                <w:w w:val="105"/>
                <w:sz w:val="16"/>
              </w:rPr>
              <w:t xml:space="preserve"> </w:t>
            </w:r>
            <w:r>
              <w:rPr>
                <w:spacing w:val="-2"/>
                <w:w w:val="105"/>
                <w:sz w:val="16"/>
              </w:rPr>
              <w:t>classroom</w:t>
            </w:r>
            <w:r>
              <w:rPr>
                <w:spacing w:val="-4"/>
                <w:w w:val="105"/>
                <w:sz w:val="16"/>
              </w:rPr>
              <w:t xml:space="preserve"> </w:t>
            </w:r>
            <w:r>
              <w:rPr>
                <w:spacing w:val="-2"/>
                <w:w w:val="105"/>
                <w:sz w:val="16"/>
              </w:rPr>
              <w:t>design</w:t>
            </w:r>
            <w:r>
              <w:rPr>
                <w:spacing w:val="-5"/>
                <w:w w:val="105"/>
                <w:sz w:val="16"/>
              </w:rPr>
              <w:t xml:space="preserve"> </w:t>
            </w:r>
            <w:r>
              <w:rPr>
                <w:spacing w:val="-2"/>
                <w:w w:val="105"/>
                <w:sz w:val="16"/>
              </w:rPr>
              <w:t>for</w:t>
            </w:r>
            <w:r>
              <w:rPr>
                <w:spacing w:val="-4"/>
                <w:w w:val="105"/>
                <w:sz w:val="16"/>
              </w:rPr>
              <w:t xml:space="preserve"> </w:t>
            </w:r>
            <w:r>
              <w:rPr>
                <w:spacing w:val="-2"/>
                <w:w w:val="105"/>
                <w:sz w:val="16"/>
              </w:rPr>
              <w:t>technology-driven</w:t>
            </w:r>
            <w:r>
              <w:rPr>
                <w:spacing w:val="-5"/>
                <w:w w:val="105"/>
                <w:sz w:val="16"/>
              </w:rPr>
              <w:t xml:space="preserve"> </w:t>
            </w:r>
            <w:r>
              <w:rPr>
                <w:spacing w:val="-2"/>
                <w:w w:val="105"/>
                <w:sz w:val="16"/>
              </w:rPr>
              <w:t>learning</w:t>
            </w:r>
          </w:p>
        </w:tc>
        <w:tc>
          <w:tcPr>
            <w:tcW w:w="737" w:type="dxa"/>
            <w:shd w:val="clear" w:color="auto" w:fill="EBEBEB"/>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304" w:type="dxa"/>
            <w:shd w:val="clear" w:color="auto" w:fill="EBEBEB"/>
          </w:tcPr>
          <w:p w:rsidR="002C1123" w:rsidRDefault="00F22F94">
            <w:pPr>
              <w:pStyle w:val="TableParagraph"/>
              <w:rPr>
                <w:sz w:val="16"/>
              </w:rPr>
            </w:pPr>
            <w:r>
              <w:rPr>
                <w:spacing w:val="-2"/>
                <w:sz w:val="16"/>
              </w:rPr>
              <w:t>Planning</w:t>
            </w:r>
          </w:p>
        </w:tc>
        <w:tc>
          <w:tcPr>
            <w:tcW w:w="5990" w:type="dxa"/>
            <w:shd w:val="clear" w:color="auto" w:fill="EBEBEB"/>
          </w:tcPr>
          <w:p w:rsidR="002C1123" w:rsidRDefault="00F22F94">
            <w:pPr>
              <w:pStyle w:val="TableParagraph"/>
              <w:rPr>
                <w:sz w:val="16"/>
              </w:rPr>
            </w:pPr>
            <w:r>
              <w:rPr>
                <w:w w:val="95"/>
                <w:sz w:val="16"/>
              </w:rPr>
              <w:t>Cost</w:t>
            </w:r>
            <w:r>
              <w:rPr>
                <w:spacing w:val="6"/>
                <w:sz w:val="16"/>
              </w:rPr>
              <w:t xml:space="preserve"> </w:t>
            </w:r>
            <w:r>
              <w:rPr>
                <w:w w:val="95"/>
                <w:sz w:val="16"/>
              </w:rPr>
              <w:t>of</w:t>
            </w:r>
            <w:r>
              <w:rPr>
                <w:spacing w:val="6"/>
                <w:sz w:val="16"/>
              </w:rPr>
              <w:t xml:space="preserve"> </w:t>
            </w:r>
            <w:r>
              <w:rPr>
                <w:w w:val="95"/>
                <w:sz w:val="16"/>
              </w:rPr>
              <w:t>concept</w:t>
            </w:r>
            <w:r>
              <w:rPr>
                <w:spacing w:val="6"/>
                <w:sz w:val="16"/>
              </w:rPr>
              <w:t xml:space="preserve"> </w:t>
            </w:r>
            <w:r>
              <w:rPr>
                <w:w w:val="95"/>
                <w:sz w:val="16"/>
              </w:rPr>
              <w:t>development</w:t>
            </w:r>
            <w:r>
              <w:rPr>
                <w:spacing w:val="6"/>
                <w:sz w:val="16"/>
              </w:rPr>
              <w:t xml:space="preserve"> </w:t>
            </w:r>
            <w:r>
              <w:rPr>
                <w:w w:val="95"/>
                <w:sz w:val="16"/>
              </w:rPr>
              <w:t>is</w:t>
            </w:r>
            <w:r>
              <w:rPr>
                <w:spacing w:val="6"/>
                <w:sz w:val="16"/>
              </w:rPr>
              <w:t xml:space="preserve"> </w:t>
            </w:r>
            <w:r>
              <w:rPr>
                <w:w w:val="95"/>
                <w:sz w:val="16"/>
              </w:rPr>
              <w:t>not</w:t>
            </w:r>
            <w:r>
              <w:rPr>
                <w:spacing w:val="6"/>
                <w:sz w:val="16"/>
              </w:rPr>
              <w:t xml:space="preserve"> </w:t>
            </w:r>
            <w:r>
              <w:rPr>
                <w:spacing w:val="-2"/>
                <w:w w:val="95"/>
                <w:sz w:val="16"/>
              </w:rPr>
              <w:t>material</w:t>
            </w:r>
          </w:p>
        </w:tc>
      </w:tr>
      <w:tr w:rsidR="002C1123">
        <w:trPr>
          <w:trHeight w:val="541"/>
        </w:trPr>
        <w:tc>
          <w:tcPr>
            <w:tcW w:w="510" w:type="dxa"/>
            <w:shd w:val="clear" w:color="auto" w:fill="EBEBEB"/>
          </w:tcPr>
          <w:p w:rsidR="002C1123" w:rsidRDefault="00F22F94">
            <w:pPr>
              <w:pStyle w:val="TableParagraph"/>
              <w:rPr>
                <w:sz w:val="16"/>
              </w:rPr>
            </w:pPr>
            <w:r>
              <w:rPr>
                <w:spacing w:val="-5"/>
                <w:sz w:val="16"/>
              </w:rPr>
              <w:t>64</w:t>
            </w:r>
          </w:p>
        </w:tc>
        <w:tc>
          <w:tcPr>
            <w:tcW w:w="6293" w:type="dxa"/>
            <w:shd w:val="clear" w:color="auto" w:fill="EBEBEB"/>
          </w:tcPr>
          <w:p w:rsidR="002C1123" w:rsidRDefault="00F22F94">
            <w:pPr>
              <w:pStyle w:val="TableParagraph"/>
              <w:spacing w:line="288" w:lineRule="auto"/>
              <w:rPr>
                <w:sz w:val="16"/>
              </w:rPr>
            </w:pPr>
            <w:r>
              <w:rPr>
                <w:spacing w:val="-2"/>
                <w:w w:val="105"/>
                <w:sz w:val="16"/>
              </w:rPr>
              <w:t>Increase</w:t>
            </w:r>
            <w:r>
              <w:rPr>
                <w:spacing w:val="-6"/>
                <w:w w:val="105"/>
                <w:sz w:val="16"/>
              </w:rPr>
              <w:t xml:space="preserve"> </w:t>
            </w:r>
            <w:r>
              <w:rPr>
                <w:spacing w:val="-2"/>
                <w:w w:val="105"/>
                <w:sz w:val="16"/>
              </w:rPr>
              <w:t>shared</w:t>
            </w:r>
            <w:r>
              <w:rPr>
                <w:spacing w:val="-6"/>
                <w:w w:val="105"/>
                <w:sz w:val="16"/>
              </w:rPr>
              <w:t xml:space="preserve"> </w:t>
            </w:r>
            <w:r>
              <w:rPr>
                <w:spacing w:val="-2"/>
                <w:w w:val="105"/>
                <w:sz w:val="16"/>
              </w:rPr>
              <w:t>community</w:t>
            </w:r>
            <w:r>
              <w:rPr>
                <w:spacing w:val="-6"/>
                <w:w w:val="105"/>
                <w:sz w:val="16"/>
              </w:rPr>
              <w:t xml:space="preserve"> </w:t>
            </w:r>
            <w:r>
              <w:rPr>
                <w:spacing w:val="-2"/>
                <w:w w:val="105"/>
                <w:sz w:val="16"/>
              </w:rPr>
              <w:t>use</w:t>
            </w:r>
            <w:r>
              <w:rPr>
                <w:spacing w:val="-6"/>
                <w:w w:val="105"/>
                <w:sz w:val="16"/>
              </w:rPr>
              <w:t xml:space="preserve"> </w:t>
            </w:r>
            <w:r>
              <w:rPr>
                <w:spacing w:val="-2"/>
                <w:w w:val="105"/>
                <w:sz w:val="16"/>
              </w:rPr>
              <w:t>of</w:t>
            </w:r>
            <w:r>
              <w:rPr>
                <w:spacing w:val="-6"/>
                <w:w w:val="105"/>
                <w:sz w:val="16"/>
              </w:rPr>
              <w:t xml:space="preserve"> </w:t>
            </w:r>
            <w:r>
              <w:rPr>
                <w:spacing w:val="-2"/>
                <w:w w:val="105"/>
                <w:sz w:val="16"/>
              </w:rPr>
              <w:t>school</w:t>
            </w:r>
            <w:r>
              <w:rPr>
                <w:spacing w:val="-6"/>
                <w:w w:val="105"/>
                <w:sz w:val="16"/>
              </w:rPr>
              <w:t xml:space="preserve"> </w:t>
            </w:r>
            <w:r>
              <w:rPr>
                <w:spacing w:val="-2"/>
                <w:w w:val="105"/>
                <w:sz w:val="16"/>
              </w:rPr>
              <w:t>assets,</w:t>
            </w:r>
            <w:r>
              <w:rPr>
                <w:spacing w:val="-6"/>
                <w:w w:val="105"/>
                <w:sz w:val="16"/>
              </w:rPr>
              <w:t xml:space="preserve"> </w:t>
            </w:r>
            <w:r>
              <w:rPr>
                <w:spacing w:val="-2"/>
                <w:w w:val="105"/>
                <w:sz w:val="16"/>
              </w:rPr>
              <w:t>including</w:t>
            </w:r>
            <w:r>
              <w:rPr>
                <w:spacing w:val="-6"/>
                <w:w w:val="105"/>
                <w:sz w:val="16"/>
              </w:rPr>
              <w:t xml:space="preserve"> </w:t>
            </w:r>
            <w:r>
              <w:rPr>
                <w:spacing w:val="-2"/>
                <w:w w:val="105"/>
                <w:sz w:val="16"/>
              </w:rPr>
              <w:t>repurposing</w:t>
            </w:r>
            <w:r>
              <w:rPr>
                <w:spacing w:val="-6"/>
                <w:w w:val="105"/>
                <w:sz w:val="16"/>
              </w:rPr>
              <w:t xml:space="preserve"> </w:t>
            </w:r>
            <w:r>
              <w:rPr>
                <w:spacing w:val="-2"/>
                <w:w w:val="105"/>
                <w:sz w:val="16"/>
              </w:rPr>
              <w:t>of</w:t>
            </w:r>
            <w:r>
              <w:rPr>
                <w:spacing w:val="-6"/>
                <w:w w:val="105"/>
                <w:sz w:val="16"/>
              </w:rPr>
              <w:t xml:space="preserve"> </w:t>
            </w:r>
            <w:r>
              <w:rPr>
                <w:spacing w:val="-2"/>
                <w:w w:val="105"/>
                <w:sz w:val="16"/>
              </w:rPr>
              <w:t xml:space="preserve">assets </w:t>
            </w:r>
            <w:r>
              <w:rPr>
                <w:w w:val="105"/>
                <w:sz w:val="16"/>
              </w:rPr>
              <w:t>where</w:t>
            </w:r>
            <w:r>
              <w:rPr>
                <w:spacing w:val="-6"/>
                <w:w w:val="105"/>
                <w:sz w:val="16"/>
              </w:rPr>
              <w:t xml:space="preserve"> </w:t>
            </w:r>
            <w:r>
              <w:rPr>
                <w:w w:val="105"/>
                <w:sz w:val="16"/>
              </w:rPr>
              <w:t>appropriate</w:t>
            </w:r>
          </w:p>
        </w:tc>
        <w:tc>
          <w:tcPr>
            <w:tcW w:w="737" w:type="dxa"/>
            <w:shd w:val="clear" w:color="auto" w:fill="EBEBEB"/>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304" w:type="dxa"/>
            <w:shd w:val="clear" w:color="auto" w:fill="EBEBEB"/>
          </w:tcPr>
          <w:p w:rsidR="002C1123" w:rsidRDefault="00F22F94">
            <w:pPr>
              <w:pStyle w:val="TableParagraph"/>
              <w:rPr>
                <w:sz w:val="16"/>
              </w:rPr>
            </w:pPr>
            <w:r>
              <w:rPr>
                <w:w w:val="95"/>
                <w:sz w:val="16"/>
              </w:rPr>
              <w:t>Asset</w:t>
            </w:r>
            <w:r>
              <w:rPr>
                <w:spacing w:val="-1"/>
                <w:sz w:val="16"/>
              </w:rPr>
              <w:t xml:space="preserve"> </w:t>
            </w:r>
            <w:r>
              <w:rPr>
                <w:spacing w:val="-2"/>
                <w:sz w:val="16"/>
              </w:rPr>
              <w:t>utilisation</w:t>
            </w:r>
          </w:p>
        </w:tc>
        <w:tc>
          <w:tcPr>
            <w:tcW w:w="5990" w:type="dxa"/>
            <w:shd w:val="clear" w:color="auto" w:fill="EBEBEB"/>
          </w:tcPr>
          <w:p w:rsidR="002C1123" w:rsidRDefault="00F22F94">
            <w:pPr>
              <w:pStyle w:val="TableParagraph"/>
              <w:rPr>
                <w:sz w:val="16"/>
              </w:rPr>
            </w:pPr>
            <w:r>
              <w:rPr>
                <w:w w:val="95"/>
                <w:sz w:val="16"/>
              </w:rPr>
              <w:t>Potential</w:t>
            </w:r>
            <w:r>
              <w:rPr>
                <w:spacing w:val="-2"/>
                <w:w w:val="95"/>
                <w:sz w:val="16"/>
              </w:rPr>
              <w:t xml:space="preserve"> </w:t>
            </w:r>
            <w:r>
              <w:rPr>
                <w:w w:val="95"/>
                <w:sz w:val="16"/>
              </w:rPr>
              <w:t>capital</w:t>
            </w:r>
            <w:r>
              <w:rPr>
                <w:spacing w:val="-1"/>
                <w:w w:val="95"/>
                <w:sz w:val="16"/>
              </w:rPr>
              <w:t xml:space="preserve"> </w:t>
            </w:r>
            <w:r>
              <w:rPr>
                <w:spacing w:val="-2"/>
                <w:w w:val="95"/>
                <w:sz w:val="16"/>
              </w:rPr>
              <w:t>savings</w:t>
            </w:r>
          </w:p>
        </w:tc>
      </w:tr>
      <w:tr w:rsidR="002C1123">
        <w:trPr>
          <w:trHeight w:val="321"/>
        </w:trPr>
        <w:tc>
          <w:tcPr>
            <w:tcW w:w="510" w:type="dxa"/>
            <w:shd w:val="clear" w:color="auto" w:fill="EBEBEB"/>
          </w:tcPr>
          <w:p w:rsidR="002C1123" w:rsidRDefault="00F22F94">
            <w:pPr>
              <w:pStyle w:val="TableParagraph"/>
              <w:rPr>
                <w:sz w:val="16"/>
              </w:rPr>
            </w:pPr>
            <w:r>
              <w:rPr>
                <w:spacing w:val="-5"/>
                <w:sz w:val="16"/>
              </w:rPr>
              <w:t>65</w:t>
            </w:r>
          </w:p>
        </w:tc>
        <w:tc>
          <w:tcPr>
            <w:tcW w:w="6293" w:type="dxa"/>
            <w:shd w:val="clear" w:color="auto" w:fill="EBEBEB"/>
          </w:tcPr>
          <w:p w:rsidR="002C1123" w:rsidRDefault="00F22F94">
            <w:pPr>
              <w:pStyle w:val="TableParagraph"/>
              <w:rPr>
                <w:sz w:val="16"/>
              </w:rPr>
            </w:pPr>
            <w:r>
              <w:rPr>
                <w:sz w:val="16"/>
              </w:rPr>
              <w:t>Combine</w:t>
            </w:r>
            <w:r>
              <w:rPr>
                <w:spacing w:val="1"/>
                <w:sz w:val="16"/>
              </w:rPr>
              <w:t xml:space="preserve"> </w:t>
            </w:r>
            <w:r>
              <w:rPr>
                <w:sz w:val="16"/>
              </w:rPr>
              <w:t>TAFE</w:t>
            </w:r>
            <w:r>
              <w:rPr>
                <w:spacing w:val="2"/>
                <w:sz w:val="16"/>
              </w:rPr>
              <w:t xml:space="preserve"> </w:t>
            </w:r>
            <w:r>
              <w:rPr>
                <w:sz w:val="16"/>
              </w:rPr>
              <w:t>and</w:t>
            </w:r>
            <w:r>
              <w:rPr>
                <w:spacing w:val="2"/>
                <w:sz w:val="16"/>
              </w:rPr>
              <w:t xml:space="preserve"> </w:t>
            </w:r>
            <w:r>
              <w:rPr>
                <w:sz w:val="16"/>
              </w:rPr>
              <w:t>school</w:t>
            </w:r>
            <w:r>
              <w:rPr>
                <w:spacing w:val="2"/>
                <w:sz w:val="16"/>
              </w:rPr>
              <w:t xml:space="preserve"> </w:t>
            </w:r>
            <w:r>
              <w:rPr>
                <w:sz w:val="16"/>
              </w:rPr>
              <w:t>asset</w:t>
            </w:r>
            <w:r>
              <w:rPr>
                <w:spacing w:val="1"/>
                <w:sz w:val="16"/>
              </w:rPr>
              <w:t xml:space="preserve"> </w:t>
            </w:r>
            <w:r>
              <w:rPr>
                <w:sz w:val="16"/>
              </w:rPr>
              <w:t>management</w:t>
            </w:r>
            <w:r>
              <w:rPr>
                <w:spacing w:val="2"/>
                <w:sz w:val="16"/>
              </w:rPr>
              <w:t xml:space="preserve"> </w:t>
            </w:r>
            <w:r>
              <w:rPr>
                <w:sz w:val="16"/>
              </w:rPr>
              <w:t>functions</w:t>
            </w:r>
            <w:r>
              <w:rPr>
                <w:spacing w:val="2"/>
                <w:sz w:val="16"/>
              </w:rPr>
              <w:t xml:space="preserve"> </w:t>
            </w:r>
            <w:r>
              <w:rPr>
                <w:sz w:val="16"/>
              </w:rPr>
              <w:t>to</w:t>
            </w:r>
            <w:r>
              <w:rPr>
                <w:spacing w:val="2"/>
                <w:sz w:val="16"/>
              </w:rPr>
              <w:t xml:space="preserve"> </w:t>
            </w:r>
            <w:r>
              <w:rPr>
                <w:sz w:val="16"/>
              </w:rPr>
              <w:t>increase</w:t>
            </w:r>
            <w:r>
              <w:rPr>
                <w:spacing w:val="1"/>
                <w:sz w:val="16"/>
              </w:rPr>
              <w:t xml:space="preserve"> </w:t>
            </w:r>
            <w:r>
              <w:rPr>
                <w:spacing w:val="-2"/>
                <w:sz w:val="16"/>
              </w:rPr>
              <w:t>utilisation</w:t>
            </w:r>
          </w:p>
        </w:tc>
        <w:tc>
          <w:tcPr>
            <w:tcW w:w="737" w:type="dxa"/>
            <w:shd w:val="clear" w:color="auto" w:fill="EBEBEB"/>
          </w:tcPr>
          <w:p w:rsidR="002C1123" w:rsidRDefault="00F22F94">
            <w:pPr>
              <w:pStyle w:val="TableParagraph"/>
              <w:rPr>
                <w:sz w:val="16"/>
              </w:rPr>
            </w:pPr>
            <w:r>
              <w:rPr>
                <w:sz w:val="16"/>
              </w:rPr>
              <w:t>5</w:t>
            </w:r>
            <w:r>
              <w:rPr>
                <w:spacing w:val="-10"/>
                <w:sz w:val="16"/>
              </w:rPr>
              <w:t xml:space="preserve"> </w:t>
            </w:r>
            <w:r>
              <w:rPr>
                <w:sz w:val="16"/>
              </w:rPr>
              <w:t>–</w:t>
            </w:r>
            <w:r>
              <w:rPr>
                <w:spacing w:val="-9"/>
                <w:sz w:val="16"/>
              </w:rPr>
              <w:t xml:space="preserve"> </w:t>
            </w:r>
            <w:r>
              <w:rPr>
                <w:spacing w:val="-5"/>
                <w:sz w:val="16"/>
              </w:rPr>
              <w:t>10</w:t>
            </w:r>
          </w:p>
        </w:tc>
        <w:tc>
          <w:tcPr>
            <w:tcW w:w="1304" w:type="dxa"/>
            <w:shd w:val="clear" w:color="auto" w:fill="EBEBEB"/>
          </w:tcPr>
          <w:p w:rsidR="002C1123" w:rsidRDefault="00F22F94">
            <w:pPr>
              <w:pStyle w:val="TableParagraph"/>
              <w:rPr>
                <w:sz w:val="16"/>
              </w:rPr>
            </w:pPr>
            <w:r>
              <w:rPr>
                <w:w w:val="95"/>
                <w:sz w:val="16"/>
              </w:rPr>
              <w:t>Asset</w:t>
            </w:r>
            <w:r>
              <w:rPr>
                <w:spacing w:val="-1"/>
                <w:sz w:val="16"/>
              </w:rPr>
              <w:t xml:space="preserve"> </w:t>
            </w:r>
            <w:r>
              <w:rPr>
                <w:spacing w:val="-2"/>
                <w:sz w:val="16"/>
              </w:rPr>
              <w:t>utilisation</w:t>
            </w:r>
          </w:p>
        </w:tc>
        <w:tc>
          <w:tcPr>
            <w:tcW w:w="5990" w:type="dxa"/>
            <w:shd w:val="clear" w:color="auto" w:fill="EBEBEB"/>
          </w:tcPr>
          <w:p w:rsidR="002C1123" w:rsidRDefault="00F22F94">
            <w:pPr>
              <w:pStyle w:val="TableParagraph"/>
              <w:rPr>
                <w:sz w:val="16"/>
              </w:rPr>
            </w:pPr>
            <w:r>
              <w:rPr>
                <w:w w:val="95"/>
                <w:sz w:val="16"/>
              </w:rPr>
              <w:t>Potential</w:t>
            </w:r>
            <w:r>
              <w:rPr>
                <w:spacing w:val="-2"/>
                <w:w w:val="95"/>
                <w:sz w:val="16"/>
              </w:rPr>
              <w:t xml:space="preserve"> </w:t>
            </w:r>
            <w:r>
              <w:rPr>
                <w:w w:val="95"/>
                <w:sz w:val="16"/>
              </w:rPr>
              <w:t>capital</w:t>
            </w:r>
            <w:r>
              <w:rPr>
                <w:spacing w:val="-1"/>
                <w:w w:val="95"/>
                <w:sz w:val="16"/>
              </w:rPr>
              <w:t xml:space="preserve"> </w:t>
            </w:r>
            <w:r>
              <w:rPr>
                <w:spacing w:val="-2"/>
                <w:w w:val="95"/>
                <w:sz w:val="16"/>
              </w:rPr>
              <w:t>savings</w:t>
            </w:r>
          </w:p>
        </w:tc>
      </w:tr>
      <w:tr w:rsidR="002C1123">
        <w:trPr>
          <w:trHeight w:val="501"/>
        </w:trPr>
        <w:tc>
          <w:tcPr>
            <w:tcW w:w="510" w:type="dxa"/>
            <w:shd w:val="clear" w:color="auto" w:fill="EBEBEB"/>
          </w:tcPr>
          <w:p w:rsidR="002C1123" w:rsidRDefault="00F22F94">
            <w:pPr>
              <w:pStyle w:val="TableParagraph"/>
              <w:rPr>
                <w:sz w:val="16"/>
              </w:rPr>
            </w:pPr>
            <w:r>
              <w:rPr>
                <w:spacing w:val="-5"/>
                <w:sz w:val="16"/>
              </w:rPr>
              <w:t>66</w:t>
            </w:r>
          </w:p>
        </w:tc>
        <w:tc>
          <w:tcPr>
            <w:tcW w:w="6293" w:type="dxa"/>
            <w:shd w:val="clear" w:color="auto" w:fill="EBEBEB"/>
          </w:tcPr>
          <w:p w:rsidR="002C1123" w:rsidRDefault="00F22F94">
            <w:pPr>
              <w:pStyle w:val="TableParagraph"/>
              <w:rPr>
                <w:sz w:val="16"/>
              </w:rPr>
            </w:pPr>
            <w:r>
              <w:rPr>
                <w:spacing w:val="-2"/>
                <w:w w:val="105"/>
                <w:sz w:val="16"/>
              </w:rPr>
              <w:t>Upgrade</w:t>
            </w:r>
            <w:r>
              <w:rPr>
                <w:spacing w:val="-4"/>
                <w:w w:val="105"/>
                <w:sz w:val="16"/>
              </w:rPr>
              <w:t xml:space="preserve"> </w:t>
            </w:r>
            <w:r>
              <w:rPr>
                <w:spacing w:val="-2"/>
                <w:w w:val="105"/>
                <w:sz w:val="16"/>
              </w:rPr>
              <w:t>and</w:t>
            </w:r>
            <w:r>
              <w:rPr>
                <w:spacing w:val="-3"/>
                <w:w w:val="105"/>
                <w:sz w:val="16"/>
              </w:rPr>
              <w:t xml:space="preserve"> </w:t>
            </w:r>
            <w:r>
              <w:rPr>
                <w:spacing w:val="-2"/>
                <w:w w:val="105"/>
                <w:sz w:val="16"/>
              </w:rPr>
              <w:t>build</w:t>
            </w:r>
            <w:r>
              <w:rPr>
                <w:spacing w:val="-3"/>
                <w:w w:val="105"/>
                <w:sz w:val="16"/>
              </w:rPr>
              <w:t xml:space="preserve"> </w:t>
            </w:r>
            <w:r>
              <w:rPr>
                <w:spacing w:val="-2"/>
                <w:w w:val="105"/>
                <w:sz w:val="16"/>
              </w:rPr>
              <w:t>new</w:t>
            </w:r>
            <w:r>
              <w:rPr>
                <w:spacing w:val="-3"/>
                <w:w w:val="105"/>
                <w:sz w:val="16"/>
              </w:rPr>
              <w:t xml:space="preserve"> </w:t>
            </w:r>
            <w:r>
              <w:rPr>
                <w:spacing w:val="-2"/>
                <w:w w:val="105"/>
                <w:sz w:val="16"/>
              </w:rPr>
              <w:t>educational</w:t>
            </w:r>
            <w:r>
              <w:rPr>
                <w:spacing w:val="-3"/>
                <w:w w:val="105"/>
                <w:sz w:val="16"/>
              </w:rPr>
              <w:t xml:space="preserve"> </w:t>
            </w:r>
            <w:r>
              <w:rPr>
                <w:spacing w:val="-2"/>
                <w:w w:val="105"/>
                <w:sz w:val="16"/>
              </w:rPr>
              <w:t>facilities</w:t>
            </w:r>
            <w:r>
              <w:rPr>
                <w:spacing w:val="-3"/>
                <w:w w:val="105"/>
                <w:sz w:val="16"/>
              </w:rPr>
              <w:t xml:space="preserve"> </w:t>
            </w:r>
            <w:r>
              <w:rPr>
                <w:spacing w:val="-2"/>
                <w:w w:val="105"/>
                <w:sz w:val="16"/>
              </w:rPr>
              <w:t>in</w:t>
            </w:r>
            <w:r>
              <w:rPr>
                <w:spacing w:val="-3"/>
                <w:w w:val="105"/>
                <w:sz w:val="16"/>
              </w:rPr>
              <w:t xml:space="preserve"> </w:t>
            </w:r>
            <w:r>
              <w:rPr>
                <w:spacing w:val="-2"/>
                <w:w w:val="105"/>
                <w:sz w:val="16"/>
              </w:rPr>
              <w:t>accordance</w:t>
            </w:r>
            <w:r>
              <w:rPr>
                <w:spacing w:val="-3"/>
                <w:w w:val="105"/>
                <w:sz w:val="16"/>
              </w:rPr>
              <w:t xml:space="preserve"> </w:t>
            </w:r>
            <w:r>
              <w:rPr>
                <w:spacing w:val="-2"/>
                <w:w w:val="105"/>
                <w:sz w:val="16"/>
              </w:rPr>
              <w:t>with</w:t>
            </w:r>
            <w:r>
              <w:rPr>
                <w:spacing w:val="-4"/>
                <w:w w:val="105"/>
                <w:sz w:val="16"/>
              </w:rPr>
              <w:t xml:space="preserve"> </w:t>
            </w:r>
            <w:r>
              <w:rPr>
                <w:spacing w:val="-2"/>
                <w:w w:val="105"/>
                <w:sz w:val="16"/>
              </w:rPr>
              <w:t>projected</w:t>
            </w:r>
            <w:r>
              <w:rPr>
                <w:spacing w:val="-3"/>
                <w:w w:val="105"/>
                <w:sz w:val="16"/>
              </w:rPr>
              <w:t xml:space="preserve"> </w:t>
            </w:r>
            <w:r>
              <w:rPr>
                <w:spacing w:val="-2"/>
                <w:w w:val="105"/>
                <w:sz w:val="16"/>
              </w:rPr>
              <w:t>demand</w:t>
            </w:r>
          </w:p>
        </w:tc>
        <w:tc>
          <w:tcPr>
            <w:tcW w:w="737" w:type="dxa"/>
            <w:shd w:val="clear" w:color="auto" w:fill="EBEBEB"/>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5"/>
                <w:sz w:val="16"/>
              </w:rPr>
              <w:t>20</w:t>
            </w:r>
          </w:p>
        </w:tc>
        <w:tc>
          <w:tcPr>
            <w:tcW w:w="1304" w:type="dxa"/>
            <w:shd w:val="clear" w:color="auto" w:fill="EBEBEB"/>
          </w:tcPr>
          <w:p w:rsidR="002C1123" w:rsidRDefault="00F22F94">
            <w:pPr>
              <w:pStyle w:val="TableParagraph"/>
              <w:rPr>
                <w:sz w:val="16"/>
              </w:rPr>
            </w:pPr>
            <w:r>
              <w:rPr>
                <w:spacing w:val="-2"/>
                <w:sz w:val="16"/>
              </w:rPr>
              <w:t>Program</w:t>
            </w:r>
          </w:p>
        </w:tc>
        <w:tc>
          <w:tcPr>
            <w:tcW w:w="5990" w:type="dxa"/>
            <w:shd w:val="clear" w:color="auto" w:fill="EBEBEB"/>
          </w:tcPr>
          <w:p w:rsidR="002C1123" w:rsidRDefault="00F22F94">
            <w:pPr>
              <w:pStyle w:val="TableParagraph"/>
              <w:spacing w:before="70" w:line="235" w:lineRule="auto"/>
              <w:ind w:right="1037"/>
              <w:rPr>
                <w:sz w:val="16"/>
              </w:rPr>
            </w:pPr>
            <w:r>
              <w:rPr>
                <w:w w:val="95"/>
                <w:sz w:val="16"/>
              </w:rPr>
              <w:t xml:space="preserve">Existing Government commitment. Program will reflect agency </w:t>
            </w:r>
            <w:r>
              <w:rPr>
                <w:sz w:val="16"/>
              </w:rPr>
              <w:t>preferred models of learning</w:t>
            </w:r>
          </w:p>
        </w:tc>
      </w:tr>
    </w:tbl>
    <w:p w:rsidR="002C1123" w:rsidRDefault="00F22F94">
      <w:pPr>
        <w:spacing w:before="64"/>
        <w:ind w:left="615"/>
        <w:rPr>
          <w:sz w:val="18"/>
        </w:rPr>
      </w:pPr>
      <w:r>
        <w:rPr>
          <w:sz w:val="18"/>
        </w:rPr>
        <w:t>Arts, Recreation</w:t>
      </w:r>
      <w:r>
        <w:rPr>
          <w:spacing w:val="1"/>
          <w:sz w:val="18"/>
        </w:rPr>
        <w:t xml:space="preserve"> </w:t>
      </w:r>
      <w:r>
        <w:rPr>
          <w:sz w:val="18"/>
        </w:rPr>
        <w:t>&amp; the</w:t>
      </w:r>
      <w:r>
        <w:rPr>
          <w:spacing w:val="1"/>
          <w:sz w:val="18"/>
        </w:rPr>
        <w:t xml:space="preserve"> </w:t>
      </w:r>
      <w:r>
        <w:rPr>
          <w:sz w:val="18"/>
        </w:rPr>
        <w:t xml:space="preserve">Visitor </w:t>
      </w:r>
      <w:r>
        <w:rPr>
          <w:spacing w:val="-2"/>
          <w:sz w:val="18"/>
        </w:rPr>
        <w:t>Economy</w:t>
      </w:r>
    </w:p>
    <w:p w:rsidR="002C1123" w:rsidRDefault="002C1123">
      <w:pPr>
        <w:pStyle w:val="BodyText"/>
        <w:spacing w:before="7"/>
        <w:rPr>
          <w:sz w:val="5"/>
        </w:rPr>
      </w:pPr>
    </w:p>
    <w:tbl>
      <w:tblPr>
        <w:tblW w:w="0" w:type="auto"/>
        <w:tblInd w:w="5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10"/>
        <w:gridCol w:w="6293"/>
        <w:gridCol w:w="737"/>
        <w:gridCol w:w="1304"/>
        <w:gridCol w:w="5990"/>
      </w:tblGrid>
      <w:tr w:rsidR="002C1123">
        <w:trPr>
          <w:trHeight w:val="541"/>
        </w:trPr>
        <w:tc>
          <w:tcPr>
            <w:tcW w:w="510" w:type="dxa"/>
            <w:shd w:val="clear" w:color="auto" w:fill="EBEBEB"/>
          </w:tcPr>
          <w:p w:rsidR="002C1123" w:rsidRDefault="00F22F94">
            <w:pPr>
              <w:pStyle w:val="TableParagraph"/>
              <w:rPr>
                <w:sz w:val="16"/>
              </w:rPr>
            </w:pPr>
            <w:r>
              <w:rPr>
                <w:spacing w:val="-5"/>
                <w:sz w:val="16"/>
              </w:rPr>
              <w:t>67</w:t>
            </w:r>
          </w:p>
        </w:tc>
        <w:tc>
          <w:tcPr>
            <w:tcW w:w="6293" w:type="dxa"/>
            <w:shd w:val="clear" w:color="auto" w:fill="EBEBEB"/>
          </w:tcPr>
          <w:p w:rsidR="002C1123" w:rsidRDefault="00F22F94">
            <w:pPr>
              <w:pStyle w:val="TableParagraph"/>
              <w:spacing w:line="288" w:lineRule="auto"/>
              <w:ind w:right="1559"/>
              <w:rPr>
                <w:sz w:val="16"/>
              </w:rPr>
            </w:pPr>
            <w:r>
              <w:rPr>
                <w:spacing w:val="-2"/>
                <w:w w:val="105"/>
                <w:sz w:val="16"/>
              </w:rPr>
              <w:t>Construct</w:t>
            </w:r>
            <w:r>
              <w:rPr>
                <w:spacing w:val="-8"/>
                <w:w w:val="105"/>
                <w:sz w:val="16"/>
              </w:rPr>
              <w:t xml:space="preserve"> </w:t>
            </w:r>
            <w:r>
              <w:rPr>
                <w:spacing w:val="-2"/>
                <w:w w:val="105"/>
                <w:sz w:val="16"/>
              </w:rPr>
              <w:t>the</w:t>
            </w:r>
            <w:r>
              <w:rPr>
                <w:spacing w:val="-8"/>
                <w:w w:val="105"/>
                <w:sz w:val="16"/>
              </w:rPr>
              <w:t xml:space="preserve"> </w:t>
            </w:r>
            <w:r>
              <w:rPr>
                <w:spacing w:val="-2"/>
                <w:w w:val="105"/>
                <w:sz w:val="16"/>
              </w:rPr>
              <w:t>new</w:t>
            </w:r>
            <w:r>
              <w:rPr>
                <w:spacing w:val="-8"/>
                <w:w w:val="105"/>
                <w:sz w:val="16"/>
              </w:rPr>
              <w:t xml:space="preserve"> </w:t>
            </w:r>
            <w:r>
              <w:rPr>
                <w:spacing w:val="-2"/>
                <w:w w:val="105"/>
                <w:sz w:val="16"/>
              </w:rPr>
              <w:t>Sydney</w:t>
            </w:r>
            <w:r>
              <w:rPr>
                <w:spacing w:val="-8"/>
                <w:w w:val="105"/>
                <w:sz w:val="16"/>
              </w:rPr>
              <w:t xml:space="preserve"> </w:t>
            </w:r>
            <w:r>
              <w:rPr>
                <w:spacing w:val="-2"/>
                <w:w w:val="105"/>
                <w:sz w:val="16"/>
              </w:rPr>
              <w:t>International</w:t>
            </w:r>
            <w:r>
              <w:rPr>
                <w:spacing w:val="-8"/>
                <w:w w:val="105"/>
                <w:sz w:val="16"/>
              </w:rPr>
              <w:t xml:space="preserve"> </w:t>
            </w:r>
            <w:r>
              <w:rPr>
                <w:spacing w:val="-2"/>
                <w:w w:val="105"/>
                <w:sz w:val="16"/>
              </w:rPr>
              <w:t>Convention,</w:t>
            </w:r>
            <w:r>
              <w:rPr>
                <w:spacing w:val="-8"/>
                <w:w w:val="105"/>
                <w:sz w:val="16"/>
              </w:rPr>
              <w:t xml:space="preserve"> </w:t>
            </w:r>
            <w:r>
              <w:rPr>
                <w:spacing w:val="-2"/>
                <w:w w:val="105"/>
                <w:sz w:val="16"/>
              </w:rPr>
              <w:t xml:space="preserve">Exhibition </w:t>
            </w:r>
            <w:r>
              <w:rPr>
                <w:w w:val="105"/>
                <w:sz w:val="16"/>
              </w:rPr>
              <w:t>and Entertainment Precinct</w:t>
            </w:r>
          </w:p>
        </w:tc>
        <w:tc>
          <w:tcPr>
            <w:tcW w:w="737" w:type="dxa"/>
            <w:shd w:val="clear" w:color="auto" w:fill="EBEBEB"/>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304" w:type="dxa"/>
            <w:shd w:val="clear" w:color="auto" w:fill="EBEBEB"/>
          </w:tcPr>
          <w:p w:rsidR="002C1123" w:rsidRDefault="00F22F94">
            <w:pPr>
              <w:pStyle w:val="TableParagraph"/>
              <w:rPr>
                <w:sz w:val="16"/>
              </w:rPr>
            </w:pPr>
            <w:r>
              <w:rPr>
                <w:w w:val="95"/>
                <w:sz w:val="16"/>
              </w:rPr>
              <w:t>Major</w:t>
            </w:r>
            <w:r>
              <w:rPr>
                <w:spacing w:val="-2"/>
                <w:sz w:val="16"/>
              </w:rPr>
              <w:t xml:space="preserve"> </w:t>
            </w:r>
            <w:r>
              <w:rPr>
                <w:spacing w:val="-2"/>
                <w:w w:val="95"/>
                <w:sz w:val="16"/>
              </w:rPr>
              <w:t>project</w:t>
            </w:r>
          </w:p>
        </w:tc>
        <w:tc>
          <w:tcPr>
            <w:tcW w:w="5990" w:type="dxa"/>
            <w:shd w:val="clear" w:color="auto" w:fill="EBEBEB"/>
          </w:tcPr>
          <w:p w:rsidR="002C1123" w:rsidRDefault="00F22F94">
            <w:pPr>
              <w:pStyle w:val="TableParagraph"/>
              <w:rPr>
                <w:sz w:val="16"/>
              </w:rPr>
            </w:pPr>
            <w:r>
              <w:rPr>
                <w:w w:val="95"/>
                <w:sz w:val="16"/>
              </w:rPr>
              <w:t>Existing</w:t>
            </w:r>
            <w:r>
              <w:rPr>
                <w:spacing w:val="-1"/>
                <w:sz w:val="16"/>
              </w:rPr>
              <w:t xml:space="preserve"> </w:t>
            </w:r>
            <w:r>
              <w:rPr>
                <w:w w:val="95"/>
                <w:sz w:val="16"/>
              </w:rPr>
              <w:t>Government</w:t>
            </w:r>
            <w:r>
              <w:rPr>
                <w:sz w:val="16"/>
              </w:rPr>
              <w:t xml:space="preserve"> </w:t>
            </w:r>
            <w:r>
              <w:rPr>
                <w:spacing w:val="-2"/>
                <w:w w:val="95"/>
                <w:sz w:val="16"/>
              </w:rPr>
              <w:t>commitment</w:t>
            </w:r>
          </w:p>
        </w:tc>
      </w:tr>
      <w:tr w:rsidR="002C1123">
        <w:trPr>
          <w:trHeight w:val="321"/>
        </w:trPr>
        <w:tc>
          <w:tcPr>
            <w:tcW w:w="510" w:type="dxa"/>
            <w:shd w:val="clear" w:color="auto" w:fill="EBEBEB"/>
          </w:tcPr>
          <w:p w:rsidR="002C1123" w:rsidRDefault="00F22F94">
            <w:pPr>
              <w:pStyle w:val="TableParagraph"/>
              <w:rPr>
                <w:sz w:val="16"/>
              </w:rPr>
            </w:pPr>
            <w:r>
              <w:rPr>
                <w:spacing w:val="-5"/>
                <w:sz w:val="16"/>
              </w:rPr>
              <w:t>68</w:t>
            </w:r>
          </w:p>
        </w:tc>
        <w:tc>
          <w:tcPr>
            <w:tcW w:w="6293" w:type="dxa"/>
            <w:shd w:val="clear" w:color="auto" w:fill="EBEBEB"/>
          </w:tcPr>
          <w:p w:rsidR="002C1123" w:rsidRDefault="00F22F94">
            <w:pPr>
              <w:pStyle w:val="TableParagraph"/>
              <w:rPr>
                <w:sz w:val="16"/>
              </w:rPr>
            </w:pPr>
            <w:r>
              <w:rPr>
                <w:spacing w:val="-2"/>
                <w:w w:val="105"/>
                <w:sz w:val="16"/>
              </w:rPr>
              <w:t>Identify</w:t>
            </w:r>
            <w:r>
              <w:rPr>
                <w:spacing w:val="-6"/>
                <w:w w:val="105"/>
                <w:sz w:val="16"/>
              </w:rPr>
              <w:t xml:space="preserve"> </w:t>
            </w:r>
            <w:r>
              <w:rPr>
                <w:spacing w:val="-2"/>
                <w:w w:val="105"/>
                <w:sz w:val="16"/>
              </w:rPr>
              <w:t>strategy</w:t>
            </w:r>
            <w:r>
              <w:rPr>
                <w:spacing w:val="-5"/>
                <w:w w:val="105"/>
                <w:sz w:val="16"/>
              </w:rPr>
              <w:t xml:space="preserve"> </w:t>
            </w:r>
            <w:r>
              <w:rPr>
                <w:spacing w:val="-2"/>
                <w:w w:val="105"/>
                <w:sz w:val="16"/>
              </w:rPr>
              <w:t>to</w:t>
            </w:r>
            <w:r>
              <w:rPr>
                <w:spacing w:val="-5"/>
                <w:w w:val="105"/>
                <w:sz w:val="16"/>
              </w:rPr>
              <w:t xml:space="preserve"> </w:t>
            </w:r>
            <w:r>
              <w:rPr>
                <w:spacing w:val="-2"/>
                <w:w w:val="105"/>
                <w:sz w:val="16"/>
              </w:rPr>
              <w:t>improve</w:t>
            </w:r>
            <w:r>
              <w:rPr>
                <w:spacing w:val="-5"/>
                <w:w w:val="105"/>
                <w:sz w:val="16"/>
              </w:rPr>
              <w:t xml:space="preserve"> </w:t>
            </w:r>
            <w:r>
              <w:rPr>
                <w:spacing w:val="-2"/>
                <w:w w:val="105"/>
                <w:sz w:val="16"/>
              </w:rPr>
              <w:t>asset</w:t>
            </w:r>
            <w:r>
              <w:rPr>
                <w:spacing w:val="-5"/>
                <w:w w:val="105"/>
                <w:sz w:val="16"/>
              </w:rPr>
              <w:t xml:space="preserve"> </w:t>
            </w:r>
            <w:r>
              <w:rPr>
                <w:spacing w:val="-2"/>
                <w:w w:val="105"/>
                <w:sz w:val="16"/>
              </w:rPr>
              <w:t>utilisation</w:t>
            </w:r>
            <w:r>
              <w:rPr>
                <w:spacing w:val="-5"/>
                <w:w w:val="105"/>
                <w:sz w:val="16"/>
              </w:rPr>
              <w:t xml:space="preserve"> </w:t>
            </w:r>
            <w:r>
              <w:rPr>
                <w:spacing w:val="-2"/>
                <w:w w:val="105"/>
                <w:sz w:val="16"/>
              </w:rPr>
              <w:t>at</w:t>
            </w:r>
            <w:r>
              <w:rPr>
                <w:spacing w:val="-5"/>
                <w:w w:val="105"/>
                <w:sz w:val="16"/>
              </w:rPr>
              <w:t xml:space="preserve"> </w:t>
            </w:r>
            <w:r>
              <w:rPr>
                <w:spacing w:val="-2"/>
                <w:w w:val="105"/>
                <w:sz w:val="16"/>
              </w:rPr>
              <w:t>Sydney</w:t>
            </w:r>
            <w:r>
              <w:rPr>
                <w:spacing w:val="-5"/>
                <w:w w:val="105"/>
                <w:sz w:val="16"/>
              </w:rPr>
              <w:t xml:space="preserve"> </w:t>
            </w:r>
            <w:r>
              <w:rPr>
                <w:spacing w:val="-2"/>
                <w:w w:val="105"/>
                <w:sz w:val="16"/>
              </w:rPr>
              <w:t>Olympic</w:t>
            </w:r>
            <w:r>
              <w:rPr>
                <w:spacing w:val="-5"/>
                <w:w w:val="105"/>
                <w:sz w:val="16"/>
              </w:rPr>
              <w:t xml:space="preserve"> </w:t>
            </w:r>
            <w:r>
              <w:rPr>
                <w:spacing w:val="-4"/>
                <w:w w:val="105"/>
                <w:sz w:val="16"/>
              </w:rPr>
              <w:t>Park</w:t>
            </w:r>
          </w:p>
        </w:tc>
        <w:tc>
          <w:tcPr>
            <w:tcW w:w="737" w:type="dxa"/>
            <w:shd w:val="clear" w:color="auto" w:fill="EBEBEB"/>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304" w:type="dxa"/>
            <w:shd w:val="clear" w:color="auto" w:fill="EBEBEB"/>
          </w:tcPr>
          <w:p w:rsidR="002C1123" w:rsidRDefault="00F22F94">
            <w:pPr>
              <w:pStyle w:val="TableParagraph"/>
              <w:rPr>
                <w:sz w:val="16"/>
              </w:rPr>
            </w:pPr>
            <w:r>
              <w:rPr>
                <w:spacing w:val="-2"/>
                <w:sz w:val="16"/>
              </w:rPr>
              <w:t>Review</w:t>
            </w:r>
          </w:p>
        </w:tc>
        <w:tc>
          <w:tcPr>
            <w:tcW w:w="5990" w:type="dxa"/>
            <w:shd w:val="clear" w:color="auto" w:fill="EBEBEB"/>
          </w:tcPr>
          <w:p w:rsidR="002C1123" w:rsidRDefault="00F22F94">
            <w:pPr>
              <w:pStyle w:val="TableParagraph"/>
              <w:rPr>
                <w:sz w:val="16"/>
              </w:rPr>
            </w:pPr>
            <w:r>
              <w:rPr>
                <w:w w:val="95"/>
                <w:sz w:val="16"/>
              </w:rPr>
              <w:t>Cost</w:t>
            </w:r>
            <w:r>
              <w:rPr>
                <w:spacing w:val="-2"/>
                <w:sz w:val="16"/>
              </w:rPr>
              <w:t xml:space="preserve"> </w:t>
            </w:r>
            <w:r>
              <w:rPr>
                <w:w w:val="95"/>
                <w:sz w:val="16"/>
              </w:rPr>
              <w:t>of</w:t>
            </w:r>
            <w:r>
              <w:rPr>
                <w:spacing w:val="-2"/>
                <w:sz w:val="16"/>
              </w:rPr>
              <w:t xml:space="preserve"> </w:t>
            </w:r>
            <w:r>
              <w:rPr>
                <w:w w:val="95"/>
                <w:sz w:val="16"/>
              </w:rPr>
              <w:t>review</w:t>
            </w:r>
            <w:r>
              <w:rPr>
                <w:spacing w:val="-1"/>
                <w:sz w:val="16"/>
              </w:rPr>
              <w:t xml:space="preserve"> </w:t>
            </w:r>
            <w:r>
              <w:rPr>
                <w:w w:val="95"/>
                <w:sz w:val="16"/>
              </w:rPr>
              <w:t>is</w:t>
            </w:r>
            <w:r>
              <w:rPr>
                <w:spacing w:val="-2"/>
                <w:sz w:val="16"/>
              </w:rPr>
              <w:t xml:space="preserve"> </w:t>
            </w:r>
            <w:r>
              <w:rPr>
                <w:w w:val="95"/>
                <w:sz w:val="16"/>
              </w:rPr>
              <w:t>not</w:t>
            </w:r>
            <w:r>
              <w:rPr>
                <w:spacing w:val="-1"/>
                <w:sz w:val="16"/>
              </w:rPr>
              <w:t xml:space="preserve"> </w:t>
            </w:r>
            <w:r>
              <w:rPr>
                <w:spacing w:val="-2"/>
                <w:w w:val="95"/>
                <w:sz w:val="16"/>
              </w:rPr>
              <w:t>material</w:t>
            </w:r>
          </w:p>
        </w:tc>
      </w:tr>
      <w:tr w:rsidR="002C1123">
        <w:trPr>
          <w:trHeight w:val="681"/>
        </w:trPr>
        <w:tc>
          <w:tcPr>
            <w:tcW w:w="510" w:type="dxa"/>
            <w:shd w:val="clear" w:color="auto" w:fill="EBEBEB"/>
          </w:tcPr>
          <w:p w:rsidR="002C1123" w:rsidRDefault="00F22F94">
            <w:pPr>
              <w:pStyle w:val="TableParagraph"/>
              <w:rPr>
                <w:sz w:val="16"/>
              </w:rPr>
            </w:pPr>
            <w:r>
              <w:rPr>
                <w:spacing w:val="-5"/>
                <w:sz w:val="16"/>
              </w:rPr>
              <w:t>69</w:t>
            </w:r>
          </w:p>
        </w:tc>
        <w:tc>
          <w:tcPr>
            <w:tcW w:w="6293" w:type="dxa"/>
            <w:shd w:val="clear" w:color="auto" w:fill="EBEBEB"/>
          </w:tcPr>
          <w:p w:rsidR="002C1123" w:rsidRDefault="00F22F94">
            <w:pPr>
              <w:pStyle w:val="TableParagraph"/>
              <w:spacing w:line="288" w:lineRule="auto"/>
              <w:ind w:right="994"/>
              <w:rPr>
                <w:sz w:val="16"/>
              </w:rPr>
            </w:pPr>
            <w:r>
              <w:rPr>
                <w:sz w:val="16"/>
              </w:rPr>
              <w:t xml:space="preserve">Investment in Sydney’s Arts Ribbon: Opera House, Art Gallery of NSW </w:t>
            </w:r>
            <w:r>
              <w:rPr>
                <w:w w:val="105"/>
                <w:sz w:val="16"/>
              </w:rPr>
              <w:t>and Walsh Bay</w:t>
            </w:r>
          </w:p>
        </w:tc>
        <w:tc>
          <w:tcPr>
            <w:tcW w:w="737" w:type="dxa"/>
            <w:shd w:val="clear" w:color="auto" w:fill="EBEBEB"/>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5"/>
                <w:sz w:val="16"/>
              </w:rPr>
              <w:t>20</w:t>
            </w:r>
          </w:p>
        </w:tc>
        <w:tc>
          <w:tcPr>
            <w:tcW w:w="1304" w:type="dxa"/>
            <w:shd w:val="clear" w:color="auto" w:fill="EBEBEB"/>
          </w:tcPr>
          <w:p w:rsidR="002C1123" w:rsidRDefault="00F22F94">
            <w:pPr>
              <w:pStyle w:val="TableParagraph"/>
              <w:rPr>
                <w:sz w:val="16"/>
              </w:rPr>
            </w:pPr>
            <w:r>
              <w:rPr>
                <w:spacing w:val="-2"/>
                <w:sz w:val="16"/>
              </w:rPr>
              <w:t>Program</w:t>
            </w:r>
          </w:p>
        </w:tc>
        <w:tc>
          <w:tcPr>
            <w:tcW w:w="5990" w:type="dxa"/>
            <w:shd w:val="clear" w:color="auto" w:fill="EBEBEB"/>
          </w:tcPr>
          <w:p w:rsidR="002C1123" w:rsidRDefault="00F22F94">
            <w:pPr>
              <w:pStyle w:val="TableParagraph"/>
              <w:spacing w:before="70" w:line="235" w:lineRule="auto"/>
              <w:ind w:right="466"/>
              <w:rPr>
                <w:sz w:val="16"/>
              </w:rPr>
            </w:pPr>
            <w:r>
              <w:rPr>
                <w:sz w:val="16"/>
              </w:rPr>
              <w:t>Government</w:t>
            </w:r>
            <w:r>
              <w:rPr>
                <w:spacing w:val="-3"/>
                <w:sz w:val="16"/>
              </w:rPr>
              <w:t xml:space="preserve"> </w:t>
            </w:r>
            <w:r>
              <w:rPr>
                <w:sz w:val="16"/>
              </w:rPr>
              <w:t>funding</w:t>
            </w:r>
            <w:r>
              <w:rPr>
                <w:spacing w:val="-3"/>
                <w:sz w:val="16"/>
              </w:rPr>
              <w:t xml:space="preserve"> </w:t>
            </w:r>
            <w:r>
              <w:rPr>
                <w:sz w:val="16"/>
              </w:rPr>
              <w:t>constraints</w:t>
            </w:r>
            <w:r>
              <w:rPr>
                <w:spacing w:val="-3"/>
                <w:sz w:val="16"/>
              </w:rPr>
              <w:t xml:space="preserve"> </w:t>
            </w:r>
            <w:r>
              <w:rPr>
                <w:sz w:val="16"/>
              </w:rPr>
              <w:t>will</w:t>
            </w:r>
            <w:r>
              <w:rPr>
                <w:spacing w:val="-3"/>
                <w:sz w:val="16"/>
              </w:rPr>
              <w:t xml:space="preserve"> </w:t>
            </w:r>
            <w:r>
              <w:rPr>
                <w:sz w:val="16"/>
              </w:rPr>
              <w:t>require</w:t>
            </w:r>
            <w:r>
              <w:rPr>
                <w:spacing w:val="-3"/>
                <w:sz w:val="16"/>
              </w:rPr>
              <w:t xml:space="preserve"> </w:t>
            </w:r>
            <w:r>
              <w:rPr>
                <w:sz w:val="16"/>
              </w:rPr>
              <w:t>a</w:t>
            </w:r>
            <w:r>
              <w:rPr>
                <w:spacing w:val="-3"/>
                <w:sz w:val="16"/>
              </w:rPr>
              <w:t xml:space="preserve"> </w:t>
            </w:r>
            <w:r>
              <w:rPr>
                <w:sz w:val="16"/>
              </w:rPr>
              <w:t>staged</w:t>
            </w:r>
            <w:r>
              <w:rPr>
                <w:spacing w:val="-3"/>
                <w:sz w:val="16"/>
              </w:rPr>
              <w:t xml:space="preserve"> </w:t>
            </w:r>
            <w:r>
              <w:rPr>
                <w:sz w:val="16"/>
              </w:rPr>
              <w:t>approach</w:t>
            </w:r>
            <w:r>
              <w:rPr>
                <w:spacing w:val="-3"/>
                <w:sz w:val="16"/>
              </w:rPr>
              <w:t xml:space="preserve"> </w:t>
            </w:r>
            <w:r>
              <w:rPr>
                <w:sz w:val="16"/>
              </w:rPr>
              <w:t xml:space="preserve">and </w:t>
            </w:r>
            <w:r>
              <w:rPr>
                <w:w w:val="95"/>
                <w:sz w:val="16"/>
              </w:rPr>
              <w:t>significant contributions from private sector and Commonwealth. Scoping of</w:t>
            </w:r>
          </w:p>
          <w:p w:rsidR="002C1123" w:rsidRDefault="00F22F94">
            <w:pPr>
              <w:pStyle w:val="TableParagraph"/>
              <w:spacing w:before="0" w:line="180" w:lineRule="exact"/>
              <w:rPr>
                <w:sz w:val="16"/>
              </w:rPr>
            </w:pPr>
            <w:r>
              <w:rPr>
                <w:w w:val="95"/>
                <w:sz w:val="16"/>
              </w:rPr>
              <w:t>$1</w:t>
            </w:r>
            <w:r>
              <w:rPr>
                <w:spacing w:val="1"/>
                <w:sz w:val="16"/>
              </w:rPr>
              <w:t xml:space="preserve"> </w:t>
            </w:r>
            <w:r>
              <w:rPr>
                <w:w w:val="95"/>
                <w:sz w:val="16"/>
              </w:rPr>
              <w:t>billion,</w:t>
            </w:r>
            <w:r>
              <w:rPr>
                <w:spacing w:val="2"/>
                <w:sz w:val="16"/>
              </w:rPr>
              <w:t xml:space="preserve"> </w:t>
            </w:r>
            <w:r>
              <w:rPr>
                <w:w w:val="95"/>
                <w:sz w:val="16"/>
              </w:rPr>
              <w:t>with</w:t>
            </w:r>
            <w:r>
              <w:rPr>
                <w:spacing w:val="2"/>
                <w:sz w:val="16"/>
              </w:rPr>
              <w:t xml:space="preserve"> </w:t>
            </w:r>
            <w:r>
              <w:rPr>
                <w:w w:val="95"/>
                <w:sz w:val="16"/>
              </w:rPr>
              <w:t>assumed</w:t>
            </w:r>
            <w:r>
              <w:rPr>
                <w:spacing w:val="1"/>
                <w:sz w:val="16"/>
              </w:rPr>
              <w:t xml:space="preserve"> </w:t>
            </w:r>
            <w:r>
              <w:rPr>
                <w:w w:val="95"/>
                <w:sz w:val="16"/>
              </w:rPr>
              <w:t>net</w:t>
            </w:r>
            <w:r>
              <w:rPr>
                <w:spacing w:val="2"/>
                <w:sz w:val="16"/>
              </w:rPr>
              <w:t xml:space="preserve"> </w:t>
            </w:r>
            <w:r>
              <w:rPr>
                <w:w w:val="95"/>
                <w:sz w:val="16"/>
              </w:rPr>
              <w:t>State</w:t>
            </w:r>
            <w:r>
              <w:rPr>
                <w:spacing w:val="2"/>
                <w:sz w:val="16"/>
              </w:rPr>
              <w:t xml:space="preserve"> </w:t>
            </w:r>
            <w:r>
              <w:rPr>
                <w:w w:val="95"/>
                <w:sz w:val="16"/>
              </w:rPr>
              <w:t>funding</w:t>
            </w:r>
            <w:r>
              <w:rPr>
                <w:spacing w:val="1"/>
                <w:sz w:val="16"/>
              </w:rPr>
              <w:t xml:space="preserve"> </w:t>
            </w:r>
            <w:r>
              <w:rPr>
                <w:w w:val="95"/>
                <w:sz w:val="16"/>
              </w:rPr>
              <w:t>of</w:t>
            </w:r>
            <w:r>
              <w:rPr>
                <w:spacing w:val="2"/>
                <w:sz w:val="16"/>
              </w:rPr>
              <w:t xml:space="preserve"> </w:t>
            </w:r>
            <w:r>
              <w:rPr>
                <w:w w:val="95"/>
                <w:sz w:val="16"/>
              </w:rPr>
              <w:t>$600</w:t>
            </w:r>
            <w:r>
              <w:rPr>
                <w:spacing w:val="2"/>
                <w:sz w:val="16"/>
              </w:rPr>
              <w:t xml:space="preserve"> </w:t>
            </w:r>
            <w:r>
              <w:rPr>
                <w:spacing w:val="-2"/>
                <w:w w:val="95"/>
                <w:sz w:val="16"/>
              </w:rPr>
              <w:t>million</w:t>
            </w:r>
          </w:p>
        </w:tc>
      </w:tr>
    </w:tbl>
    <w:p w:rsidR="002C1123" w:rsidRDefault="00F22F94">
      <w:pPr>
        <w:spacing w:before="63"/>
        <w:ind w:left="615"/>
        <w:rPr>
          <w:sz w:val="18"/>
        </w:rPr>
      </w:pPr>
      <w:r>
        <w:rPr>
          <w:spacing w:val="-2"/>
          <w:w w:val="105"/>
          <w:sz w:val="18"/>
        </w:rPr>
        <w:t>Justice</w:t>
      </w:r>
    </w:p>
    <w:p w:rsidR="002C1123" w:rsidRDefault="002C1123">
      <w:pPr>
        <w:pStyle w:val="BodyText"/>
        <w:spacing w:before="8"/>
        <w:rPr>
          <w:sz w:val="5"/>
        </w:rPr>
      </w:pPr>
    </w:p>
    <w:tbl>
      <w:tblPr>
        <w:tblW w:w="0" w:type="auto"/>
        <w:tblInd w:w="5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10"/>
        <w:gridCol w:w="6293"/>
        <w:gridCol w:w="737"/>
        <w:gridCol w:w="1304"/>
        <w:gridCol w:w="5990"/>
      </w:tblGrid>
      <w:tr w:rsidR="002C1123">
        <w:trPr>
          <w:trHeight w:val="541"/>
        </w:trPr>
        <w:tc>
          <w:tcPr>
            <w:tcW w:w="510" w:type="dxa"/>
            <w:shd w:val="clear" w:color="auto" w:fill="EBEBEB"/>
          </w:tcPr>
          <w:p w:rsidR="002C1123" w:rsidRDefault="00F22F94">
            <w:pPr>
              <w:pStyle w:val="TableParagraph"/>
              <w:rPr>
                <w:sz w:val="16"/>
              </w:rPr>
            </w:pPr>
            <w:r>
              <w:rPr>
                <w:spacing w:val="-5"/>
                <w:sz w:val="16"/>
              </w:rPr>
              <w:t>70</w:t>
            </w:r>
          </w:p>
        </w:tc>
        <w:tc>
          <w:tcPr>
            <w:tcW w:w="6293" w:type="dxa"/>
            <w:shd w:val="clear" w:color="auto" w:fill="EBEBEB"/>
          </w:tcPr>
          <w:p w:rsidR="002C1123" w:rsidRDefault="00F22F94">
            <w:pPr>
              <w:pStyle w:val="TableParagraph"/>
              <w:spacing w:line="288" w:lineRule="auto"/>
              <w:ind w:right="994"/>
              <w:rPr>
                <w:sz w:val="16"/>
              </w:rPr>
            </w:pPr>
            <w:r>
              <w:rPr>
                <w:spacing w:val="-2"/>
                <w:w w:val="105"/>
                <w:sz w:val="16"/>
              </w:rPr>
              <w:t>Reconfigure</w:t>
            </w:r>
            <w:r>
              <w:rPr>
                <w:spacing w:val="-9"/>
                <w:w w:val="105"/>
                <w:sz w:val="16"/>
              </w:rPr>
              <w:t xml:space="preserve"> </w:t>
            </w:r>
            <w:r>
              <w:rPr>
                <w:spacing w:val="-2"/>
                <w:w w:val="105"/>
                <w:sz w:val="16"/>
              </w:rPr>
              <w:t>courthouse</w:t>
            </w:r>
            <w:r>
              <w:rPr>
                <w:spacing w:val="-9"/>
                <w:w w:val="105"/>
                <w:sz w:val="16"/>
              </w:rPr>
              <w:t xml:space="preserve"> </w:t>
            </w:r>
            <w:r>
              <w:rPr>
                <w:spacing w:val="-2"/>
                <w:w w:val="105"/>
                <w:sz w:val="16"/>
              </w:rPr>
              <w:t>assets,</w:t>
            </w:r>
            <w:r>
              <w:rPr>
                <w:spacing w:val="-9"/>
                <w:w w:val="105"/>
                <w:sz w:val="16"/>
              </w:rPr>
              <w:t xml:space="preserve"> </w:t>
            </w:r>
            <w:r>
              <w:rPr>
                <w:spacing w:val="-2"/>
                <w:w w:val="105"/>
                <w:sz w:val="16"/>
              </w:rPr>
              <w:t>with</w:t>
            </w:r>
            <w:r>
              <w:rPr>
                <w:spacing w:val="-9"/>
                <w:w w:val="105"/>
                <w:sz w:val="16"/>
              </w:rPr>
              <w:t xml:space="preserve"> </w:t>
            </w:r>
            <w:r>
              <w:rPr>
                <w:spacing w:val="-2"/>
                <w:w w:val="105"/>
                <w:sz w:val="16"/>
              </w:rPr>
              <w:t>increased</w:t>
            </w:r>
            <w:r>
              <w:rPr>
                <w:spacing w:val="-9"/>
                <w:w w:val="105"/>
                <w:sz w:val="16"/>
              </w:rPr>
              <w:t xml:space="preserve"> </w:t>
            </w:r>
            <w:r>
              <w:rPr>
                <w:spacing w:val="-2"/>
                <w:w w:val="105"/>
                <w:sz w:val="16"/>
              </w:rPr>
              <w:t>use</w:t>
            </w:r>
            <w:r>
              <w:rPr>
                <w:spacing w:val="-9"/>
                <w:w w:val="105"/>
                <w:sz w:val="16"/>
              </w:rPr>
              <w:t xml:space="preserve"> </w:t>
            </w:r>
            <w:r>
              <w:rPr>
                <w:spacing w:val="-2"/>
                <w:w w:val="105"/>
                <w:sz w:val="16"/>
              </w:rPr>
              <w:t>of</w:t>
            </w:r>
            <w:r>
              <w:rPr>
                <w:spacing w:val="-9"/>
                <w:w w:val="105"/>
                <w:sz w:val="16"/>
              </w:rPr>
              <w:t xml:space="preserve"> </w:t>
            </w:r>
            <w:r>
              <w:rPr>
                <w:spacing w:val="-2"/>
                <w:w w:val="105"/>
                <w:sz w:val="16"/>
              </w:rPr>
              <w:t>ICT</w:t>
            </w:r>
            <w:r>
              <w:rPr>
                <w:spacing w:val="-9"/>
                <w:w w:val="105"/>
                <w:sz w:val="16"/>
              </w:rPr>
              <w:t xml:space="preserve"> </w:t>
            </w:r>
            <w:r>
              <w:rPr>
                <w:spacing w:val="-2"/>
                <w:w w:val="105"/>
                <w:sz w:val="16"/>
              </w:rPr>
              <w:t>for</w:t>
            </w:r>
            <w:r>
              <w:rPr>
                <w:spacing w:val="-9"/>
                <w:w w:val="105"/>
                <w:sz w:val="16"/>
              </w:rPr>
              <w:t xml:space="preserve"> </w:t>
            </w:r>
            <w:r>
              <w:rPr>
                <w:spacing w:val="-2"/>
                <w:w w:val="105"/>
                <w:sz w:val="16"/>
              </w:rPr>
              <w:t xml:space="preserve">less </w:t>
            </w:r>
            <w:r>
              <w:rPr>
                <w:w w:val="105"/>
                <w:sz w:val="16"/>
              </w:rPr>
              <w:t>capital intensive delivery</w:t>
            </w:r>
          </w:p>
        </w:tc>
        <w:tc>
          <w:tcPr>
            <w:tcW w:w="737" w:type="dxa"/>
            <w:shd w:val="clear" w:color="auto" w:fill="EBEBEB"/>
          </w:tcPr>
          <w:p w:rsidR="002C1123" w:rsidRDefault="00F22F94">
            <w:pPr>
              <w:pStyle w:val="TableParagraph"/>
              <w:rPr>
                <w:sz w:val="16"/>
              </w:rPr>
            </w:pPr>
            <w:r>
              <w:rPr>
                <w:sz w:val="16"/>
              </w:rPr>
              <w:t>0</w:t>
            </w:r>
            <w:r>
              <w:rPr>
                <w:spacing w:val="-10"/>
                <w:sz w:val="16"/>
              </w:rPr>
              <w:t xml:space="preserve"> </w:t>
            </w:r>
            <w:r>
              <w:rPr>
                <w:sz w:val="16"/>
              </w:rPr>
              <w:t>–</w:t>
            </w:r>
            <w:r>
              <w:rPr>
                <w:spacing w:val="-9"/>
                <w:sz w:val="16"/>
              </w:rPr>
              <w:t xml:space="preserve"> </w:t>
            </w:r>
            <w:r>
              <w:rPr>
                <w:spacing w:val="-10"/>
                <w:sz w:val="16"/>
              </w:rPr>
              <w:t>5</w:t>
            </w:r>
          </w:p>
        </w:tc>
        <w:tc>
          <w:tcPr>
            <w:tcW w:w="1304" w:type="dxa"/>
            <w:shd w:val="clear" w:color="auto" w:fill="EBEBEB"/>
          </w:tcPr>
          <w:p w:rsidR="002C1123" w:rsidRDefault="00F22F94">
            <w:pPr>
              <w:pStyle w:val="TableParagraph"/>
              <w:rPr>
                <w:sz w:val="16"/>
              </w:rPr>
            </w:pPr>
            <w:r>
              <w:rPr>
                <w:w w:val="95"/>
                <w:sz w:val="16"/>
              </w:rPr>
              <w:t>Asset</w:t>
            </w:r>
            <w:r>
              <w:rPr>
                <w:spacing w:val="-1"/>
                <w:sz w:val="16"/>
              </w:rPr>
              <w:t xml:space="preserve"> </w:t>
            </w:r>
            <w:r>
              <w:rPr>
                <w:spacing w:val="-2"/>
                <w:sz w:val="16"/>
              </w:rPr>
              <w:t>utilisation</w:t>
            </w:r>
          </w:p>
        </w:tc>
        <w:tc>
          <w:tcPr>
            <w:tcW w:w="5990" w:type="dxa"/>
            <w:shd w:val="clear" w:color="auto" w:fill="EBEBEB"/>
          </w:tcPr>
          <w:p w:rsidR="002C1123" w:rsidRDefault="00F22F94">
            <w:pPr>
              <w:pStyle w:val="TableParagraph"/>
              <w:rPr>
                <w:sz w:val="16"/>
              </w:rPr>
            </w:pPr>
            <w:r>
              <w:rPr>
                <w:w w:val="95"/>
                <w:sz w:val="16"/>
              </w:rPr>
              <w:t>Potential</w:t>
            </w:r>
            <w:r>
              <w:rPr>
                <w:spacing w:val="-2"/>
                <w:w w:val="95"/>
                <w:sz w:val="16"/>
              </w:rPr>
              <w:t xml:space="preserve"> </w:t>
            </w:r>
            <w:r>
              <w:rPr>
                <w:w w:val="95"/>
                <w:sz w:val="16"/>
              </w:rPr>
              <w:t>capital</w:t>
            </w:r>
            <w:r>
              <w:rPr>
                <w:spacing w:val="-1"/>
                <w:w w:val="95"/>
                <w:sz w:val="16"/>
              </w:rPr>
              <w:t xml:space="preserve"> </w:t>
            </w:r>
            <w:r>
              <w:rPr>
                <w:spacing w:val="-2"/>
                <w:w w:val="95"/>
                <w:sz w:val="16"/>
              </w:rPr>
              <w:t>savings</w:t>
            </w:r>
          </w:p>
        </w:tc>
      </w:tr>
    </w:tbl>
    <w:p w:rsidR="002C1123" w:rsidRDefault="002C1123">
      <w:pPr>
        <w:rPr>
          <w:sz w:val="16"/>
        </w:rPr>
        <w:sectPr w:rsidR="002C1123">
          <w:pgSz w:w="16840" w:h="11910" w:orient="landscape"/>
          <w:pgMar w:top="560" w:right="280" w:bottom="700" w:left="500" w:header="0" w:footer="517"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8"/>
        <w:rPr>
          <w:sz w:val="19"/>
        </w:rPr>
      </w:pPr>
    </w:p>
    <w:p w:rsidR="002C1123" w:rsidRDefault="00F22F94">
      <w:pPr>
        <w:spacing w:before="107"/>
        <w:ind w:left="492"/>
        <w:rPr>
          <w:b/>
          <w:sz w:val="18"/>
        </w:rPr>
      </w:pPr>
      <w:bookmarkStart w:id="390" w:name="_bookmark278"/>
      <w:bookmarkEnd w:id="390"/>
      <w:r>
        <w:rPr>
          <w:b/>
          <w:sz w:val="18"/>
        </w:rPr>
        <w:t>Table</w:t>
      </w:r>
      <w:r>
        <w:rPr>
          <w:b/>
          <w:spacing w:val="-19"/>
          <w:sz w:val="18"/>
        </w:rPr>
        <w:t xml:space="preserve"> </w:t>
      </w:r>
      <w:r>
        <w:rPr>
          <w:b/>
          <w:sz w:val="18"/>
        </w:rPr>
        <w:t>15.3</w:t>
      </w:r>
      <w:r>
        <w:rPr>
          <w:b/>
          <w:spacing w:val="20"/>
          <w:sz w:val="18"/>
        </w:rPr>
        <w:t xml:space="preserve"> </w:t>
      </w:r>
      <w:r>
        <w:rPr>
          <w:b/>
          <w:sz w:val="18"/>
        </w:rPr>
        <w:t>Summary</w:t>
      </w:r>
      <w:r>
        <w:rPr>
          <w:b/>
          <w:spacing w:val="-19"/>
          <w:sz w:val="18"/>
        </w:rPr>
        <w:t xml:space="preserve"> </w:t>
      </w:r>
      <w:r>
        <w:rPr>
          <w:b/>
          <w:sz w:val="18"/>
        </w:rPr>
        <w:t>of</w:t>
      </w:r>
      <w:r>
        <w:rPr>
          <w:b/>
          <w:spacing w:val="-20"/>
          <w:sz w:val="18"/>
        </w:rPr>
        <w:t xml:space="preserve"> </w:t>
      </w:r>
      <w:r>
        <w:rPr>
          <w:b/>
          <w:sz w:val="18"/>
        </w:rPr>
        <w:t>Funding</w:t>
      </w:r>
      <w:r>
        <w:rPr>
          <w:b/>
          <w:spacing w:val="-19"/>
          <w:sz w:val="18"/>
        </w:rPr>
        <w:t xml:space="preserve"> </w:t>
      </w:r>
      <w:r>
        <w:rPr>
          <w:b/>
          <w:spacing w:val="-2"/>
          <w:sz w:val="18"/>
        </w:rPr>
        <w:t>Requirements</w:t>
      </w:r>
    </w:p>
    <w:p w:rsidR="002C1123" w:rsidRDefault="002060EF">
      <w:pPr>
        <w:pStyle w:val="BodyText"/>
        <w:spacing w:before="7"/>
        <w:rPr>
          <w:b/>
          <w:sz w:val="5"/>
        </w:rPr>
      </w:pPr>
      <w:r>
        <w:pict>
          <v:shape id="docshape2842" o:spid="_x0000_s1174" type="#_x0000_t202" style="position:absolute;margin-left:50.1pt;margin-top:4.45pt;width:450.75pt;height:36.55pt;z-index:-251445248;mso-wrap-distance-left:0;mso-wrap-distance-right:0;mso-position-horizontal-relative:page" filled="f" stroked="f">
            <v:textbox inset="0,0,0,0">
              <w:txbxContent>
                <w:tbl>
                  <w:tblPr>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4932"/>
                    <w:gridCol w:w="1360"/>
                    <w:gridCol w:w="1360"/>
                    <w:gridCol w:w="1360"/>
                  </w:tblGrid>
                  <w:tr w:rsidR="00F22F94">
                    <w:trPr>
                      <w:trHeight w:val="345"/>
                    </w:trPr>
                    <w:tc>
                      <w:tcPr>
                        <w:tcW w:w="4932" w:type="dxa"/>
                        <w:vMerge w:val="restart"/>
                        <w:tcBorders>
                          <w:top w:val="nil"/>
                          <w:left w:val="nil"/>
                        </w:tcBorders>
                        <w:shd w:val="clear" w:color="auto" w:fill="C9C8C9"/>
                      </w:tcPr>
                      <w:p w:rsidR="00F22F94" w:rsidRDefault="00F22F94">
                        <w:pPr>
                          <w:pStyle w:val="TableParagraph"/>
                          <w:spacing w:before="73"/>
                          <w:ind w:left="103"/>
                          <w:rPr>
                            <w:b/>
                            <w:sz w:val="18"/>
                          </w:rPr>
                        </w:pPr>
                        <w:r>
                          <w:rPr>
                            <w:b/>
                            <w:w w:val="95"/>
                            <w:sz w:val="18"/>
                          </w:rPr>
                          <w:t>Real</w:t>
                        </w:r>
                        <w:r>
                          <w:rPr>
                            <w:b/>
                            <w:spacing w:val="-5"/>
                            <w:w w:val="95"/>
                            <w:sz w:val="18"/>
                          </w:rPr>
                          <w:t xml:space="preserve"> </w:t>
                        </w:r>
                        <w:r>
                          <w:rPr>
                            <w:b/>
                            <w:w w:val="95"/>
                            <w:sz w:val="18"/>
                          </w:rPr>
                          <w:t>$</w:t>
                        </w:r>
                        <w:r>
                          <w:rPr>
                            <w:b/>
                            <w:spacing w:val="-4"/>
                            <w:w w:val="95"/>
                            <w:sz w:val="18"/>
                          </w:rPr>
                          <w:t xml:space="preserve"> </w:t>
                        </w:r>
                        <w:r>
                          <w:rPr>
                            <w:b/>
                            <w:spacing w:val="-2"/>
                            <w:w w:val="95"/>
                            <w:sz w:val="18"/>
                          </w:rPr>
                          <w:t>billion</w:t>
                        </w:r>
                      </w:p>
                    </w:tc>
                    <w:tc>
                      <w:tcPr>
                        <w:tcW w:w="4080" w:type="dxa"/>
                        <w:gridSpan w:val="3"/>
                        <w:tcBorders>
                          <w:top w:val="nil"/>
                          <w:right w:val="nil"/>
                        </w:tcBorders>
                        <w:shd w:val="clear" w:color="auto" w:fill="C9C8C9"/>
                      </w:tcPr>
                      <w:p w:rsidR="00F22F94" w:rsidRDefault="00F22F94">
                        <w:pPr>
                          <w:pStyle w:val="TableParagraph"/>
                          <w:spacing w:before="73"/>
                          <w:ind w:left="1074"/>
                          <w:rPr>
                            <w:b/>
                            <w:sz w:val="18"/>
                          </w:rPr>
                        </w:pPr>
                        <w:r>
                          <w:rPr>
                            <w:b/>
                            <w:w w:val="95"/>
                            <w:sz w:val="18"/>
                          </w:rPr>
                          <w:t>Indicative</w:t>
                        </w:r>
                        <w:r>
                          <w:rPr>
                            <w:b/>
                            <w:spacing w:val="12"/>
                            <w:sz w:val="18"/>
                          </w:rPr>
                          <w:t xml:space="preserve"> </w:t>
                        </w:r>
                        <w:r>
                          <w:rPr>
                            <w:b/>
                            <w:w w:val="95"/>
                            <w:sz w:val="18"/>
                          </w:rPr>
                          <w:t>Funding</w:t>
                        </w:r>
                        <w:r>
                          <w:rPr>
                            <w:b/>
                            <w:spacing w:val="13"/>
                            <w:sz w:val="18"/>
                          </w:rPr>
                          <w:t xml:space="preserve"> </w:t>
                        </w:r>
                        <w:r>
                          <w:rPr>
                            <w:b/>
                            <w:spacing w:val="-5"/>
                            <w:w w:val="95"/>
                            <w:sz w:val="18"/>
                          </w:rPr>
                          <w:t>Mix</w:t>
                        </w:r>
                      </w:p>
                    </w:tc>
                  </w:tr>
                  <w:tr w:rsidR="00F22F94">
                    <w:trPr>
                      <w:trHeight w:val="335"/>
                    </w:trPr>
                    <w:tc>
                      <w:tcPr>
                        <w:tcW w:w="4932" w:type="dxa"/>
                        <w:vMerge/>
                        <w:tcBorders>
                          <w:top w:val="nil"/>
                          <w:left w:val="nil"/>
                        </w:tcBorders>
                        <w:shd w:val="clear" w:color="auto" w:fill="C9C8C9"/>
                      </w:tcPr>
                      <w:p w:rsidR="00F22F94" w:rsidRDefault="00F22F94">
                        <w:pPr>
                          <w:rPr>
                            <w:sz w:val="2"/>
                            <w:szCs w:val="2"/>
                          </w:rPr>
                        </w:pPr>
                      </w:p>
                    </w:tc>
                    <w:tc>
                      <w:tcPr>
                        <w:tcW w:w="1360" w:type="dxa"/>
                        <w:shd w:val="clear" w:color="auto" w:fill="C9C8C9"/>
                      </w:tcPr>
                      <w:p w:rsidR="00F22F94" w:rsidRDefault="00F22F94">
                        <w:pPr>
                          <w:pStyle w:val="TableParagraph"/>
                          <w:spacing w:before="63"/>
                          <w:ind w:left="103"/>
                          <w:rPr>
                            <w:sz w:val="18"/>
                          </w:rPr>
                        </w:pPr>
                        <w:r>
                          <w:rPr>
                            <w:spacing w:val="-2"/>
                            <w:w w:val="105"/>
                            <w:sz w:val="18"/>
                          </w:rPr>
                          <w:t>Total</w:t>
                        </w:r>
                      </w:p>
                    </w:tc>
                    <w:tc>
                      <w:tcPr>
                        <w:tcW w:w="1360" w:type="dxa"/>
                        <w:shd w:val="clear" w:color="auto" w:fill="C9C8C9"/>
                      </w:tcPr>
                      <w:p w:rsidR="00F22F94" w:rsidRDefault="00F22F94">
                        <w:pPr>
                          <w:pStyle w:val="TableParagraph"/>
                          <w:spacing w:before="63"/>
                          <w:ind w:left="104"/>
                          <w:rPr>
                            <w:sz w:val="18"/>
                          </w:rPr>
                        </w:pPr>
                        <w:r>
                          <w:rPr>
                            <w:spacing w:val="-2"/>
                            <w:sz w:val="18"/>
                          </w:rPr>
                          <w:t>Users</w:t>
                        </w:r>
                      </w:p>
                    </w:tc>
                    <w:tc>
                      <w:tcPr>
                        <w:tcW w:w="1360" w:type="dxa"/>
                        <w:tcBorders>
                          <w:right w:val="nil"/>
                        </w:tcBorders>
                        <w:shd w:val="clear" w:color="auto" w:fill="C9C8C9"/>
                      </w:tcPr>
                      <w:p w:rsidR="00F22F94" w:rsidRDefault="00F22F94">
                        <w:pPr>
                          <w:pStyle w:val="TableParagraph"/>
                          <w:spacing w:before="63"/>
                          <w:ind w:left="104"/>
                          <w:rPr>
                            <w:sz w:val="18"/>
                          </w:rPr>
                        </w:pPr>
                        <w:r>
                          <w:rPr>
                            <w:spacing w:val="-2"/>
                            <w:w w:val="105"/>
                            <w:sz w:val="18"/>
                          </w:rPr>
                          <w:t>Government</w:t>
                        </w:r>
                      </w:p>
                    </w:tc>
                  </w:tr>
                </w:tbl>
                <w:p w:rsidR="00F22F94" w:rsidRDefault="00F22F94">
                  <w:pPr>
                    <w:pStyle w:val="BodyText"/>
                  </w:pPr>
                </w:p>
              </w:txbxContent>
            </v:textbox>
            <w10:wrap type="topAndBottom" anchorx="page"/>
          </v:shape>
        </w:pict>
      </w:r>
      <w:r>
        <w:pict>
          <v:shape id="docshape2843" o:spid="_x0000_s1173" type="#_x0000_t202" style="position:absolute;margin-left:506pt;margin-top:4.45pt;width:286.3pt;height:36.55pt;z-index:-251444224;mso-wrap-distance-left:0;mso-wrap-distance-right:0;mso-position-horizontal-relative:page" filled="f" stroked="f">
            <v:textbox inset="0,0,0,0">
              <w:txbxContent>
                <w:tbl>
                  <w:tblPr>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417"/>
                    <w:gridCol w:w="1417"/>
                    <w:gridCol w:w="1417"/>
                    <w:gridCol w:w="1454"/>
                  </w:tblGrid>
                  <w:tr w:rsidR="00F22F94">
                    <w:trPr>
                      <w:trHeight w:val="345"/>
                    </w:trPr>
                    <w:tc>
                      <w:tcPr>
                        <w:tcW w:w="5705" w:type="dxa"/>
                        <w:gridSpan w:val="4"/>
                        <w:tcBorders>
                          <w:top w:val="nil"/>
                          <w:left w:val="nil"/>
                        </w:tcBorders>
                        <w:shd w:val="clear" w:color="auto" w:fill="C9C8C9"/>
                      </w:tcPr>
                      <w:p w:rsidR="00F22F94" w:rsidRDefault="00F22F94">
                        <w:pPr>
                          <w:pStyle w:val="TableParagraph"/>
                          <w:spacing w:before="73"/>
                          <w:ind w:left="1337"/>
                          <w:rPr>
                            <w:b/>
                            <w:sz w:val="18"/>
                          </w:rPr>
                        </w:pPr>
                        <w:r>
                          <w:rPr>
                            <w:b/>
                            <w:w w:val="95"/>
                            <w:sz w:val="18"/>
                          </w:rPr>
                          <w:t>Timing</w:t>
                        </w:r>
                        <w:r>
                          <w:rPr>
                            <w:b/>
                            <w:spacing w:val="6"/>
                            <w:sz w:val="18"/>
                          </w:rPr>
                          <w:t xml:space="preserve"> </w:t>
                        </w:r>
                        <w:r>
                          <w:rPr>
                            <w:b/>
                            <w:w w:val="95"/>
                            <w:sz w:val="18"/>
                          </w:rPr>
                          <w:t>of</w:t>
                        </w:r>
                        <w:r>
                          <w:rPr>
                            <w:b/>
                            <w:spacing w:val="6"/>
                            <w:sz w:val="18"/>
                          </w:rPr>
                          <w:t xml:space="preserve"> </w:t>
                        </w:r>
                        <w:r>
                          <w:rPr>
                            <w:b/>
                            <w:w w:val="95"/>
                            <w:sz w:val="18"/>
                          </w:rPr>
                          <w:t>New</w:t>
                        </w:r>
                        <w:r>
                          <w:rPr>
                            <w:b/>
                            <w:spacing w:val="7"/>
                            <w:sz w:val="18"/>
                          </w:rPr>
                          <w:t xml:space="preserve"> </w:t>
                        </w:r>
                        <w:r>
                          <w:rPr>
                            <w:b/>
                            <w:w w:val="95"/>
                            <w:sz w:val="18"/>
                          </w:rPr>
                          <w:t>Government</w:t>
                        </w:r>
                        <w:r>
                          <w:rPr>
                            <w:b/>
                            <w:spacing w:val="7"/>
                            <w:sz w:val="18"/>
                          </w:rPr>
                          <w:t xml:space="preserve"> </w:t>
                        </w:r>
                        <w:r>
                          <w:rPr>
                            <w:b/>
                            <w:spacing w:val="-2"/>
                            <w:w w:val="95"/>
                            <w:sz w:val="18"/>
                          </w:rPr>
                          <w:t>Funding</w:t>
                        </w:r>
                      </w:p>
                    </w:tc>
                  </w:tr>
                  <w:tr w:rsidR="00F22F94">
                    <w:trPr>
                      <w:trHeight w:val="335"/>
                    </w:trPr>
                    <w:tc>
                      <w:tcPr>
                        <w:tcW w:w="1417" w:type="dxa"/>
                        <w:tcBorders>
                          <w:left w:val="nil"/>
                        </w:tcBorders>
                        <w:shd w:val="clear" w:color="auto" w:fill="C9C8C9"/>
                      </w:tcPr>
                      <w:p w:rsidR="00F22F94" w:rsidRDefault="00F22F94">
                        <w:pPr>
                          <w:pStyle w:val="TableParagraph"/>
                          <w:spacing w:before="63"/>
                          <w:rPr>
                            <w:sz w:val="18"/>
                          </w:rPr>
                        </w:pPr>
                        <w:r>
                          <w:rPr>
                            <w:sz w:val="18"/>
                          </w:rPr>
                          <w:t>0-5</w:t>
                        </w:r>
                        <w:r>
                          <w:rPr>
                            <w:spacing w:val="-1"/>
                            <w:sz w:val="18"/>
                          </w:rPr>
                          <w:t xml:space="preserve"> </w:t>
                        </w:r>
                        <w:r>
                          <w:rPr>
                            <w:spacing w:val="-5"/>
                            <w:sz w:val="18"/>
                          </w:rPr>
                          <w:t>Yrs</w:t>
                        </w:r>
                      </w:p>
                    </w:tc>
                    <w:tc>
                      <w:tcPr>
                        <w:tcW w:w="1417" w:type="dxa"/>
                        <w:shd w:val="clear" w:color="auto" w:fill="C9C8C9"/>
                      </w:tcPr>
                      <w:p w:rsidR="00F22F94" w:rsidRDefault="00F22F94">
                        <w:pPr>
                          <w:pStyle w:val="TableParagraph"/>
                          <w:spacing w:before="63"/>
                          <w:rPr>
                            <w:sz w:val="18"/>
                          </w:rPr>
                        </w:pPr>
                        <w:r>
                          <w:rPr>
                            <w:sz w:val="18"/>
                          </w:rPr>
                          <w:t>5-10</w:t>
                        </w:r>
                        <w:r>
                          <w:rPr>
                            <w:spacing w:val="-3"/>
                            <w:sz w:val="18"/>
                          </w:rPr>
                          <w:t xml:space="preserve"> </w:t>
                        </w:r>
                        <w:r>
                          <w:rPr>
                            <w:spacing w:val="-5"/>
                            <w:sz w:val="18"/>
                          </w:rPr>
                          <w:t>Yrs</w:t>
                        </w:r>
                      </w:p>
                    </w:tc>
                    <w:tc>
                      <w:tcPr>
                        <w:tcW w:w="1417" w:type="dxa"/>
                        <w:shd w:val="clear" w:color="auto" w:fill="C9C8C9"/>
                      </w:tcPr>
                      <w:p w:rsidR="00F22F94" w:rsidRDefault="00F22F94">
                        <w:pPr>
                          <w:pStyle w:val="TableParagraph"/>
                          <w:spacing w:before="63"/>
                          <w:rPr>
                            <w:sz w:val="18"/>
                          </w:rPr>
                        </w:pPr>
                        <w:r>
                          <w:rPr>
                            <w:sz w:val="18"/>
                          </w:rPr>
                          <w:t>10-20</w:t>
                        </w:r>
                        <w:r>
                          <w:rPr>
                            <w:spacing w:val="-3"/>
                            <w:sz w:val="18"/>
                          </w:rPr>
                          <w:t xml:space="preserve"> </w:t>
                        </w:r>
                        <w:r>
                          <w:rPr>
                            <w:spacing w:val="-5"/>
                            <w:sz w:val="18"/>
                          </w:rPr>
                          <w:t>Yrs</w:t>
                        </w:r>
                      </w:p>
                    </w:tc>
                    <w:tc>
                      <w:tcPr>
                        <w:tcW w:w="1454" w:type="dxa"/>
                        <w:shd w:val="clear" w:color="auto" w:fill="C9C8C9"/>
                      </w:tcPr>
                      <w:p w:rsidR="00F22F94" w:rsidRDefault="00F22F94">
                        <w:pPr>
                          <w:pStyle w:val="TableParagraph"/>
                          <w:spacing w:before="63"/>
                          <w:ind w:left="114"/>
                          <w:rPr>
                            <w:sz w:val="18"/>
                          </w:rPr>
                        </w:pPr>
                        <w:r>
                          <w:rPr>
                            <w:spacing w:val="-2"/>
                            <w:w w:val="105"/>
                            <w:sz w:val="18"/>
                          </w:rPr>
                          <w:t>Total</w:t>
                        </w:r>
                      </w:p>
                    </w:tc>
                  </w:tr>
                </w:tbl>
                <w:p w:rsidR="00F22F94" w:rsidRDefault="00F22F94">
                  <w:pPr>
                    <w:pStyle w:val="BodyText"/>
                  </w:pPr>
                </w:p>
              </w:txbxContent>
            </v:textbox>
            <w10:wrap type="topAndBottom" anchorx="page"/>
          </v:shape>
        </w:pict>
      </w:r>
    </w:p>
    <w:p w:rsidR="002C1123" w:rsidRDefault="00F22F94">
      <w:pPr>
        <w:spacing w:before="63"/>
        <w:ind w:left="615"/>
        <w:rPr>
          <w:sz w:val="18"/>
        </w:rPr>
      </w:pPr>
      <w:r>
        <w:rPr>
          <w:spacing w:val="-2"/>
          <w:w w:val="105"/>
          <w:sz w:val="18"/>
        </w:rPr>
        <w:t>Roads</w:t>
      </w:r>
    </w:p>
    <w:p w:rsidR="002C1123" w:rsidRDefault="002060EF">
      <w:pPr>
        <w:pStyle w:val="BodyText"/>
        <w:spacing w:before="6"/>
        <w:rPr>
          <w:sz w:val="3"/>
        </w:rPr>
      </w:pPr>
      <w:r>
        <w:pict>
          <v:shape id="docshape2844" o:spid="_x0000_s1172" type="#_x0000_t202" style="position:absolute;margin-left:49.6pt;margin-top:3.25pt;width:451.75pt;height:87pt;z-index:-251443200;mso-wrap-distance-left:0;mso-wrap-distance-right:0;mso-position-horizontal-relative:page" filled="f" stroked="f">
            <v:textbox inset="0,0,0,0">
              <w:txbxContent>
                <w:tbl>
                  <w:tblPr>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4932"/>
                    <w:gridCol w:w="1360"/>
                    <w:gridCol w:w="1360"/>
                    <w:gridCol w:w="1360"/>
                  </w:tblGrid>
                  <w:tr w:rsidR="00F22F94">
                    <w:trPr>
                      <w:trHeight w:val="321"/>
                    </w:trPr>
                    <w:tc>
                      <w:tcPr>
                        <w:tcW w:w="4932" w:type="dxa"/>
                        <w:shd w:val="clear" w:color="auto" w:fill="EBEBEB"/>
                      </w:tcPr>
                      <w:p w:rsidR="00F22F94" w:rsidRDefault="00F22F94">
                        <w:pPr>
                          <w:pStyle w:val="TableParagraph"/>
                          <w:rPr>
                            <w:sz w:val="16"/>
                          </w:rPr>
                        </w:pPr>
                        <w:r>
                          <w:rPr>
                            <w:spacing w:val="-2"/>
                            <w:sz w:val="16"/>
                          </w:rPr>
                          <w:t>WestConnex</w:t>
                        </w:r>
                      </w:p>
                    </w:tc>
                    <w:tc>
                      <w:tcPr>
                        <w:tcW w:w="1360" w:type="dxa"/>
                        <w:shd w:val="clear" w:color="auto" w:fill="EBEBEB"/>
                      </w:tcPr>
                      <w:p w:rsidR="00F22F94" w:rsidRDefault="00F22F94">
                        <w:pPr>
                          <w:pStyle w:val="TableParagraph"/>
                          <w:rPr>
                            <w:sz w:val="16"/>
                          </w:rPr>
                        </w:pPr>
                        <w:r>
                          <w:rPr>
                            <w:spacing w:val="-4"/>
                            <w:sz w:val="16"/>
                          </w:rPr>
                          <w:t>10.0</w:t>
                        </w:r>
                      </w:p>
                    </w:tc>
                    <w:tc>
                      <w:tcPr>
                        <w:tcW w:w="1360" w:type="dxa"/>
                        <w:shd w:val="clear" w:color="auto" w:fill="EBEBEB"/>
                      </w:tcPr>
                      <w:p w:rsidR="00F22F94" w:rsidRDefault="00F22F94">
                        <w:pPr>
                          <w:pStyle w:val="TableParagraph"/>
                          <w:ind w:left="114"/>
                          <w:rPr>
                            <w:sz w:val="16"/>
                          </w:rPr>
                        </w:pPr>
                        <w:r>
                          <w:rPr>
                            <w:spacing w:val="-5"/>
                            <w:sz w:val="16"/>
                          </w:rPr>
                          <w:t>7.5</w:t>
                        </w:r>
                      </w:p>
                    </w:tc>
                    <w:tc>
                      <w:tcPr>
                        <w:tcW w:w="1360" w:type="dxa"/>
                        <w:tcBorders>
                          <w:right w:val="nil"/>
                        </w:tcBorders>
                        <w:shd w:val="clear" w:color="auto" w:fill="EBEBEB"/>
                      </w:tcPr>
                      <w:p w:rsidR="00F22F94" w:rsidRDefault="00F22F94">
                        <w:pPr>
                          <w:pStyle w:val="TableParagraph"/>
                          <w:ind w:left="114"/>
                          <w:rPr>
                            <w:sz w:val="16"/>
                          </w:rPr>
                        </w:pPr>
                        <w:r>
                          <w:rPr>
                            <w:spacing w:val="-5"/>
                            <w:sz w:val="16"/>
                          </w:rPr>
                          <w:t>2.5</w:t>
                        </w:r>
                      </w:p>
                    </w:tc>
                  </w:tr>
                  <w:tr w:rsidR="00F22F94">
                    <w:trPr>
                      <w:trHeight w:val="321"/>
                    </w:trPr>
                    <w:tc>
                      <w:tcPr>
                        <w:tcW w:w="4932" w:type="dxa"/>
                        <w:shd w:val="clear" w:color="auto" w:fill="EBEBEB"/>
                      </w:tcPr>
                      <w:p w:rsidR="00F22F94" w:rsidRDefault="00F22F94">
                        <w:pPr>
                          <w:pStyle w:val="TableParagraph"/>
                          <w:rPr>
                            <w:sz w:val="16"/>
                          </w:rPr>
                        </w:pPr>
                        <w:r>
                          <w:rPr>
                            <w:w w:val="95"/>
                            <w:sz w:val="16"/>
                          </w:rPr>
                          <w:t>Pinch</w:t>
                        </w:r>
                        <w:r>
                          <w:rPr>
                            <w:spacing w:val="1"/>
                            <w:sz w:val="16"/>
                          </w:rPr>
                          <w:t xml:space="preserve"> </w:t>
                        </w:r>
                        <w:r>
                          <w:rPr>
                            <w:w w:val="95"/>
                            <w:sz w:val="16"/>
                          </w:rPr>
                          <w:t>points:</w:t>
                        </w:r>
                        <w:r>
                          <w:rPr>
                            <w:spacing w:val="2"/>
                            <w:sz w:val="16"/>
                          </w:rPr>
                          <w:t xml:space="preserve"> </w:t>
                        </w:r>
                        <w:r>
                          <w:rPr>
                            <w:w w:val="95"/>
                            <w:sz w:val="16"/>
                          </w:rPr>
                          <w:t>Parramatta</w:t>
                        </w:r>
                        <w:r>
                          <w:rPr>
                            <w:spacing w:val="1"/>
                            <w:sz w:val="16"/>
                          </w:rPr>
                          <w:t xml:space="preserve"> </w:t>
                        </w:r>
                        <w:r>
                          <w:rPr>
                            <w:w w:val="95"/>
                            <w:sz w:val="16"/>
                          </w:rPr>
                          <w:t>&amp;</w:t>
                        </w:r>
                        <w:r>
                          <w:rPr>
                            <w:spacing w:val="2"/>
                            <w:sz w:val="16"/>
                          </w:rPr>
                          <w:t xml:space="preserve"> </w:t>
                        </w:r>
                        <w:r>
                          <w:rPr>
                            <w:w w:val="95"/>
                            <w:sz w:val="16"/>
                          </w:rPr>
                          <w:t>other</w:t>
                        </w:r>
                        <w:r>
                          <w:rPr>
                            <w:spacing w:val="1"/>
                            <w:sz w:val="16"/>
                          </w:rPr>
                          <w:t xml:space="preserve"> </w:t>
                        </w:r>
                        <w:r>
                          <w:rPr>
                            <w:w w:val="95"/>
                            <w:sz w:val="16"/>
                          </w:rPr>
                          <w:t>growing</w:t>
                        </w:r>
                        <w:r>
                          <w:rPr>
                            <w:spacing w:val="2"/>
                            <w:sz w:val="16"/>
                          </w:rPr>
                          <w:t xml:space="preserve"> </w:t>
                        </w:r>
                        <w:r>
                          <w:rPr>
                            <w:spacing w:val="-2"/>
                            <w:w w:val="95"/>
                            <w:sz w:val="16"/>
                          </w:rPr>
                          <w:t>centres</w:t>
                        </w:r>
                      </w:p>
                    </w:tc>
                    <w:tc>
                      <w:tcPr>
                        <w:tcW w:w="1360" w:type="dxa"/>
                        <w:shd w:val="clear" w:color="auto" w:fill="EBEBEB"/>
                      </w:tcPr>
                      <w:p w:rsidR="00F22F94" w:rsidRDefault="00F22F94">
                        <w:pPr>
                          <w:pStyle w:val="TableParagraph"/>
                          <w:rPr>
                            <w:sz w:val="16"/>
                          </w:rPr>
                        </w:pPr>
                        <w:r>
                          <w:rPr>
                            <w:spacing w:val="-5"/>
                            <w:sz w:val="16"/>
                          </w:rPr>
                          <w:t>0.3</w:t>
                        </w:r>
                      </w:p>
                    </w:tc>
                    <w:tc>
                      <w:tcPr>
                        <w:tcW w:w="1360" w:type="dxa"/>
                        <w:shd w:val="clear" w:color="auto" w:fill="EBEBEB"/>
                      </w:tcPr>
                      <w:p w:rsidR="00F22F94" w:rsidRDefault="00F22F94">
                        <w:pPr>
                          <w:pStyle w:val="TableParagraph"/>
                          <w:ind w:left="114"/>
                          <w:rPr>
                            <w:sz w:val="16"/>
                          </w:rPr>
                        </w:pPr>
                        <w:r>
                          <w:rPr>
                            <w:w w:val="111"/>
                            <w:sz w:val="16"/>
                          </w:rPr>
                          <w:t>-</w:t>
                        </w:r>
                      </w:p>
                    </w:tc>
                    <w:tc>
                      <w:tcPr>
                        <w:tcW w:w="1360" w:type="dxa"/>
                        <w:tcBorders>
                          <w:right w:val="nil"/>
                        </w:tcBorders>
                        <w:shd w:val="clear" w:color="auto" w:fill="EBEBEB"/>
                      </w:tcPr>
                      <w:p w:rsidR="00F22F94" w:rsidRDefault="00F22F94">
                        <w:pPr>
                          <w:pStyle w:val="TableParagraph"/>
                          <w:ind w:left="114"/>
                          <w:rPr>
                            <w:sz w:val="16"/>
                          </w:rPr>
                        </w:pPr>
                        <w:r>
                          <w:rPr>
                            <w:spacing w:val="-5"/>
                            <w:sz w:val="16"/>
                          </w:rPr>
                          <w:t>0.3</w:t>
                        </w:r>
                      </w:p>
                    </w:tc>
                  </w:tr>
                  <w:tr w:rsidR="00F22F94">
                    <w:trPr>
                      <w:trHeight w:val="321"/>
                    </w:trPr>
                    <w:tc>
                      <w:tcPr>
                        <w:tcW w:w="4932" w:type="dxa"/>
                        <w:shd w:val="clear" w:color="auto" w:fill="EBEBEB"/>
                      </w:tcPr>
                      <w:p w:rsidR="00F22F94" w:rsidRDefault="00F22F94">
                        <w:pPr>
                          <w:pStyle w:val="TableParagraph"/>
                          <w:rPr>
                            <w:sz w:val="16"/>
                          </w:rPr>
                        </w:pPr>
                        <w:r>
                          <w:rPr>
                            <w:w w:val="95"/>
                            <w:sz w:val="16"/>
                          </w:rPr>
                          <w:t>Managed</w:t>
                        </w:r>
                        <w:r>
                          <w:rPr>
                            <w:spacing w:val="11"/>
                            <w:sz w:val="16"/>
                          </w:rPr>
                          <w:t xml:space="preserve"> </w:t>
                        </w:r>
                        <w:r>
                          <w:rPr>
                            <w:w w:val="95"/>
                            <w:sz w:val="16"/>
                          </w:rPr>
                          <w:t>Motorways</w:t>
                        </w:r>
                        <w:r>
                          <w:rPr>
                            <w:spacing w:val="11"/>
                            <w:sz w:val="16"/>
                          </w:rPr>
                          <w:t xml:space="preserve"> </w:t>
                        </w:r>
                        <w:r>
                          <w:rPr>
                            <w:spacing w:val="-2"/>
                            <w:w w:val="95"/>
                            <w:sz w:val="16"/>
                          </w:rPr>
                          <w:t>rollout</w:t>
                        </w:r>
                      </w:p>
                    </w:tc>
                    <w:tc>
                      <w:tcPr>
                        <w:tcW w:w="1360" w:type="dxa"/>
                        <w:shd w:val="clear" w:color="auto" w:fill="EBEBEB"/>
                      </w:tcPr>
                      <w:p w:rsidR="00F22F94" w:rsidRDefault="00F22F94">
                        <w:pPr>
                          <w:pStyle w:val="TableParagraph"/>
                          <w:rPr>
                            <w:sz w:val="16"/>
                          </w:rPr>
                        </w:pPr>
                        <w:r>
                          <w:rPr>
                            <w:spacing w:val="-5"/>
                            <w:sz w:val="16"/>
                          </w:rPr>
                          <w:t>0.3</w:t>
                        </w:r>
                      </w:p>
                    </w:tc>
                    <w:tc>
                      <w:tcPr>
                        <w:tcW w:w="1360" w:type="dxa"/>
                        <w:shd w:val="clear" w:color="auto" w:fill="EBEBEB"/>
                      </w:tcPr>
                      <w:p w:rsidR="00F22F94" w:rsidRDefault="00F22F94">
                        <w:pPr>
                          <w:pStyle w:val="TableParagraph"/>
                          <w:ind w:left="114"/>
                          <w:rPr>
                            <w:sz w:val="16"/>
                          </w:rPr>
                        </w:pPr>
                        <w:r>
                          <w:rPr>
                            <w:w w:val="111"/>
                            <w:sz w:val="16"/>
                          </w:rPr>
                          <w:t>-</w:t>
                        </w:r>
                      </w:p>
                    </w:tc>
                    <w:tc>
                      <w:tcPr>
                        <w:tcW w:w="1360" w:type="dxa"/>
                        <w:tcBorders>
                          <w:right w:val="nil"/>
                        </w:tcBorders>
                        <w:shd w:val="clear" w:color="auto" w:fill="EBEBEB"/>
                      </w:tcPr>
                      <w:p w:rsidR="00F22F94" w:rsidRDefault="00F22F94">
                        <w:pPr>
                          <w:pStyle w:val="TableParagraph"/>
                          <w:ind w:left="114"/>
                          <w:rPr>
                            <w:sz w:val="16"/>
                          </w:rPr>
                        </w:pPr>
                        <w:r>
                          <w:rPr>
                            <w:spacing w:val="-5"/>
                            <w:sz w:val="16"/>
                          </w:rPr>
                          <w:t>0.3</w:t>
                        </w:r>
                      </w:p>
                    </w:tc>
                  </w:tr>
                  <w:tr w:rsidR="00F22F94">
                    <w:trPr>
                      <w:trHeight w:val="331"/>
                    </w:trPr>
                    <w:tc>
                      <w:tcPr>
                        <w:tcW w:w="4932" w:type="dxa"/>
                        <w:tcBorders>
                          <w:bottom w:val="nil"/>
                        </w:tcBorders>
                        <w:shd w:val="clear" w:color="auto" w:fill="EBEBEB"/>
                      </w:tcPr>
                      <w:p w:rsidR="00F22F94" w:rsidRDefault="00F22F94">
                        <w:pPr>
                          <w:pStyle w:val="TableParagraph"/>
                          <w:rPr>
                            <w:sz w:val="16"/>
                          </w:rPr>
                        </w:pPr>
                        <w:r>
                          <w:rPr>
                            <w:w w:val="95"/>
                            <w:sz w:val="16"/>
                          </w:rPr>
                          <w:t>F6</w:t>
                        </w:r>
                        <w:r>
                          <w:rPr>
                            <w:spacing w:val="-9"/>
                            <w:w w:val="95"/>
                            <w:sz w:val="16"/>
                          </w:rPr>
                          <w:t xml:space="preserve"> </w:t>
                        </w:r>
                        <w:r>
                          <w:rPr>
                            <w:spacing w:val="-2"/>
                            <w:sz w:val="16"/>
                          </w:rPr>
                          <w:t>Extension</w:t>
                        </w:r>
                      </w:p>
                    </w:tc>
                    <w:tc>
                      <w:tcPr>
                        <w:tcW w:w="1360" w:type="dxa"/>
                        <w:tcBorders>
                          <w:bottom w:val="nil"/>
                        </w:tcBorders>
                        <w:shd w:val="clear" w:color="auto" w:fill="EBEBEB"/>
                      </w:tcPr>
                      <w:p w:rsidR="00F22F94" w:rsidRDefault="00F22F94">
                        <w:pPr>
                          <w:pStyle w:val="TableParagraph"/>
                          <w:rPr>
                            <w:sz w:val="16"/>
                          </w:rPr>
                        </w:pPr>
                        <w:r>
                          <w:rPr>
                            <w:spacing w:val="-5"/>
                            <w:sz w:val="16"/>
                          </w:rPr>
                          <w:t>3.0</w:t>
                        </w:r>
                      </w:p>
                    </w:tc>
                    <w:tc>
                      <w:tcPr>
                        <w:tcW w:w="1360" w:type="dxa"/>
                        <w:tcBorders>
                          <w:bottom w:val="nil"/>
                        </w:tcBorders>
                        <w:shd w:val="clear" w:color="auto" w:fill="EBEBEB"/>
                      </w:tcPr>
                      <w:p w:rsidR="00F22F94" w:rsidRDefault="00F22F94">
                        <w:pPr>
                          <w:pStyle w:val="TableParagraph"/>
                          <w:ind w:left="114"/>
                          <w:rPr>
                            <w:sz w:val="16"/>
                          </w:rPr>
                        </w:pPr>
                        <w:r>
                          <w:rPr>
                            <w:spacing w:val="-5"/>
                            <w:sz w:val="16"/>
                          </w:rPr>
                          <w:t>2.0</w:t>
                        </w:r>
                      </w:p>
                    </w:tc>
                    <w:tc>
                      <w:tcPr>
                        <w:tcW w:w="1360" w:type="dxa"/>
                        <w:tcBorders>
                          <w:bottom w:val="nil"/>
                          <w:right w:val="nil"/>
                        </w:tcBorders>
                        <w:shd w:val="clear" w:color="auto" w:fill="EBEBEB"/>
                      </w:tcPr>
                      <w:p w:rsidR="00F22F94" w:rsidRDefault="00F22F94">
                        <w:pPr>
                          <w:pStyle w:val="TableParagraph"/>
                          <w:ind w:left="114"/>
                          <w:rPr>
                            <w:sz w:val="16"/>
                          </w:rPr>
                        </w:pPr>
                        <w:r>
                          <w:rPr>
                            <w:spacing w:val="-5"/>
                            <w:sz w:val="16"/>
                          </w:rPr>
                          <w:t>1.0</w:t>
                        </w:r>
                      </w:p>
                    </w:tc>
                  </w:tr>
                  <w:tr w:rsidR="00F22F94">
                    <w:trPr>
                      <w:trHeight w:val="345"/>
                    </w:trPr>
                    <w:tc>
                      <w:tcPr>
                        <w:tcW w:w="4932" w:type="dxa"/>
                        <w:tcBorders>
                          <w:top w:val="nil"/>
                          <w:left w:val="nil"/>
                        </w:tcBorders>
                        <w:shd w:val="clear" w:color="auto" w:fill="C9C8C9"/>
                      </w:tcPr>
                      <w:p w:rsidR="00F22F94" w:rsidRDefault="00F22F94">
                        <w:pPr>
                          <w:pStyle w:val="TableParagraph"/>
                          <w:spacing w:before="73"/>
                          <w:ind w:left="161"/>
                          <w:rPr>
                            <w:sz w:val="18"/>
                          </w:rPr>
                        </w:pPr>
                        <w:r>
                          <w:rPr>
                            <w:spacing w:val="-4"/>
                            <w:sz w:val="18"/>
                          </w:rPr>
                          <w:t>TOTAL</w:t>
                        </w:r>
                      </w:p>
                    </w:tc>
                    <w:tc>
                      <w:tcPr>
                        <w:tcW w:w="1360" w:type="dxa"/>
                        <w:tcBorders>
                          <w:top w:val="nil"/>
                        </w:tcBorders>
                        <w:shd w:val="clear" w:color="auto" w:fill="C9C8C9"/>
                      </w:tcPr>
                      <w:p w:rsidR="00F22F94" w:rsidRDefault="00F22F94">
                        <w:pPr>
                          <w:pStyle w:val="TableParagraph"/>
                          <w:spacing w:before="77"/>
                          <w:rPr>
                            <w:sz w:val="16"/>
                          </w:rPr>
                        </w:pPr>
                        <w:r>
                          <w:rPr>
                            <w:spacing w:val="-4"/>
                            <w:sz w:val="16"/>
                          </w:rPr>
                          <w:t>13.6</w:t>
                        </w:r>
                      </w:p>
                    </w:tc>
                    <w:tc>
                      <w:tcPr>
                        <w:tcW w:w="1360" w:type="dxa"/>
                        <w:tcBorders>
                          <w:top w:val="nil"/>
                        </w:tcBorders>
                        <w:shd w:val="clear" w:color="auto" w:fill="C9C8C9"/>
                      </w:tcPr>
                      <w:p w:rsidR="00F22F94" w:rsidRDefault="00F22F94">
                        <w:pPr>
                          <w:pStyle w:val="TableParagraph"/>
                          <w:spacing w:before="77"/>
                          <w:ind w:left="114"/>
                          <w:rPr>
                            <w:sz w:val="16"/>
                          </w:rPr>
                        </w:pPr>
                        <w:r>
                          <w:rPr>
                            <w:spacing w:val="-5"/>
                            <w:sz w:val="16"/>
                          </w:rPr>
                          <w:t>9.5</w:t>
                        </w:r>
                      </w:p>
                    </w:tc>
                    <w:tc>
                      <w:tcPr>
                        <w:tcW w:w="1360" w:type="dxa"/>
                        <w:tcBorders>
                          <w:top w:val="nil"/>
                          <w:right w:val="nil"/>
                        </w:tcBorders>
                        <w:shd w:val="clear" w:color="auto" w:fill="C9C8C9"/>
                      </w:tcPr>
                      <w:p w:rsidR="00F22F94" w:rsidRDefault="00F22F94">
                        <w:pPr>
                          <w:pStyle w:val="TableParagraph"/>
                          <w:spacing w:before="77"/>
                          <w:ind w:left="114"/>
                          <w:rPr>
                            <w:sz w:val="16"/>
                          </w:rPr>
                        </w:pPr>
                        <w:r>
                          <w:rPr>
                            <w:spacing w:val="-5"/>
                            <w:sz w:val="16"/>
                          </w:rPr>
                          <w:t>4.1</w:t>
                        </w:r>
                      </w:p>
                    </w:tc>
                  </w:tr>
                </w:tbl>
                <w:p w:rsidR="00F22F94" w:rsidRDefault="00F22F94">
                  <w:pPr>
                    <w:pStyle w:val="BodyText"/>
                  </w:pPr>
                </w:p>
              </w:txbxContent>
            </v:textbox>
            <w10:wrap type="topAndBottom" anchorx="page"/>
          </v:shape>
        </w:pict>
      </w:r>
      <w:r>
        <w:pict>
          <v:shape id="docshape2845" o:spid="_x0000_s1171" type="#_x0000_t202" style="position:absolute;margin-left:506pt;margin-top:3.25pt;width:286.3pt;height:87pt;z-index:-251442176;mso-wrap-distance-left:0;mso-wrap-distance-right:0;mso-position-horizontal-relative:page" filled="f" stroked="f">
            <v:textbox inset="0,0,0,0">
              <w:txbxContent>
                <w:tbl>
                  <w:tblPr>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417"/>
                    <w:gridCol w:w="1417"/>
                    <w:gridCol w:w="1417"/>
                    <w:gridCol w:w="1454"/>
                  </w:tblGrid>
                  <w:tr w:rsidR="00F22F94">
                    <w:trPr>
                      <w:trHeight w:val="321"/>
                    </w:trPr>
                    <w:tc>
                      <w:tcPr>
                        <w:tcW w:w="1417" w:type="dxa"/>
                        <w:tcBorders>
                          <w:left w:val="nil"/>
                        </w:tcBorders>
                        <w:shd w:val="clear" w:color="auto" w:fill="EBEBEB"/>
                      </w:tcPr>
                      <w:p w:rsidR="00F22F94" w:rsidRDefault="00F22F94">
                        <w:pPr>
                          <w:pStyle w:val="TableParagraph"/>
                          <w:rPr>
                            <w:sz w:val="16"/>
                          </w:rPr>
                        </w:pPr>
                        <w:r>
                          <w:rPr>
                            <w:spacing w:val="-5"/>
                            <w:sz w:val="16"/>
                          </w:rPr>
                          <w:t>2.0</w:t>
                        </w:r>
                      </w:p>
                    </w:tc>
                    <w:tc>
                      <w:tcPr>
                        <w:tcW w:w="1417" w:type="dxa"/>
                        <w:shd w:val="clear" w:color="auto" w:fill="EBEBEB"/>
                      </w:tcPr>
                      <w:p w:rsidR="00F22F94" w:rsidRDefault="00F22F94">
                        <w:pPr>
                          <w:pStyle w:val="TableParagraph"/>
                          <w:rPr>
                            <w:sz w:val="16"/>
                          </w:rPr>
                        </w:pPr>
                        <w:r>
                          <w:rPr>
                            <w:spacing w:val="-5"/>
                            <w:sz w:val="16"/>
                          </w:rPr>
                          <w:t>0.5</w:t>
                        </w:r>
                      </w:p>
                    </w:tc>
                    <w:tc>
                      <w:tcPr>
                        <w:tcW w:w="1417" w:type="dxa"/>
                        <w:shd w:val="clear" w:color="auto" w:fill="EBEBEB"/>
                      </w:tcPr>
                      <w:p w:rsidR="00F22F94" w:rsidRDefault="00F22F94">
                        <w:pPr>
                          <w:pStyle w:val="TableParagraph"/>
                          <w:ind w:left="114"/>
                          <w:rPr>
                            <w:sz w:val="16"/>
                          </w:rPr>
                        </w:pPr>
                        <w:r>
                          <w:rPr>
                            <w:w w:val="111"/>
                            <w:sz w:val="16"/>
                          </w:rPr>
                          <w:t>-</w:t>
                        </w:r>
                      </w:p>
                    </w:tc>
                    <w:tc>
                      <w:tcPr>
                        <w:tcW w:w="1454" w:type="dxa"/>
                        <w:shd w:val="clear" w:color="auto" w:fill="EBEBEB"/>
                      </w:tcPr>
                      <w:p w:rsidR="00F22F94" w:rsidRDefault="00F22F94">
                        <w:pPr>
                          <w:pStyle w:val="TableParagraph"/>
                          <w:ind w:left="114"/>
                          <w:rPr>
                            <w:sz w:val="16"/>
                          </w:rPr>
                        </w:pPr>
                        <w:r>
                          <w:rPr>
                            <w:spacing w:val="-5"/>
                            <w:sz w:val="16"/>
                          </w:rPr>
                          <w:t>2.5</w:t>
                        </w:r>
                      </w:p>
                    </w:tc>
                  </w:tr>
                  <w:tr w:rsidR="00F22F94">
                    <w:trPr>
                      <w:trHeight w:val="321"/>
                    </w:trPr>
                    <w:tc>
                      <w:tcPr>
                        <w:tcW w:w="1417" w:type="dxa"/>
                        <w:tcBorders>
                          <w:left w:val="nil"/>
                        </w:tcBorders>
                        <w:shd w:val="clear" w:color="auto" w:fill="EBEBEB"/>
                      </w:tcPr>
                      <w:p w:rsidR="00F22F94" w:rsidRDefault="00F22F94">
                        <w:pPr>
                          <w:pStyle w:val="TableParagraph"/>
                          <w:rPr>
                            <w:sz w:val="16"/>
                          </w:rPr>
                        </w:pPr>
                        <w:r>
                          <w:rPr>
                            <w:spacing w:val="-5"/>
                            <w:sz w:val="16"/>
                          </w:rPr>
                          <w:t>0.3</w:t>
                        </w:r>
                      </w:p>
                    </w:tc>
                    <w:tc>
                      <w:tcPr>
                        <w:tcW w:w="1417" w:type="dxa"/>
                        <w:shd w:val="clear" w:color="auto" w:fill="EBEBEB"/>
                      </w:tcPr>
                      <w:p w:rsidR="00F22F94" w:rsidRDefault="00F22F94">
                        <w:pPr>
                          <w:pStyle w:val="TableParagraph"/>
                          <w:rPr>
                            <w:sz w:val="16"/>
                          </w:rPr>
                        </w:pPr>
                        <w:r>
                          <w:rPr>
                            <w:w w:val="111"/>
                            <w:sz w:val="16"/>
                          </w:rPr>
                          <w:t>-</w:t>
                        </w:r>
                      </w:p>
                    </w:tc>
                    <w:tc>
                      <w:tcPr>
                        <w:tcW w:w="1417" w:type="dxa"/>
                        <w:shd w:val="clear" w:color="auto" w:fill="EBEBEB"/>
                      </w:tcPr>
                      <w:p w:rsidR="00F22F94" w:rsidRDefault="00F22F94">
                        <w:pPr>
                          <w:pStyle w:val="TableParagraph"/>
                          <w:ind w:left="114"/>
                          <w:rPr>
                            <w:sz w:val="16"/>
                          </w:rPr>
                        </w:pPr>
                        <w:r>
                          <w:rPr>
                            <w:w w:val="111"/>
                            <w:sz w:val="16"/>
                          </w:rPr>
                          <w:t>-</w:t>
                        </w:r>
                      </w:p>
                    </w:tc>
                    <w:tc>
                      <w:tcPr>
                        <w:tcW w:w="1454" w:type="dxa"/>
                        <w:shd w:val="clear" w:color="auto" w:fill="EBEBEB"/>
                      </w:tcPr>
                      <w:p w:rsidR="00F22F94" w:rsidRDefault="00F22F94">
                        <w:pPr>
                          <w:pStyle w:val="TableParagraph"/>
                          <w:ind w:left="114"/>
                          <w:rPr>
                            <w:sz w:val="16"/>
                          </w:rPr>
                        </w:pPr>
                        <w:r>
                          <w:rPr>
                            <w:spacing w:val="-5"/>
                            <w:sz w:val="16"/>
                          </w:rPr>
                          <w:t>0.3</w:t>
                        </w:r>
                      </w:p>
                    </w:tc>
                  </w:tr>
                  <w:tr w:rsidR="00F22F94">
                    <w:trPr>
                      <w:trHeight w:val="321"/>
                    </w:trPr>
                    <w:tc>
                      <w:tcPr>
                        <w:tcW w:w="1417" w:type="dxa"/>
                        <w:tcBorders>
                          <w:left w:val="nil"/>
                        </w:tcBorders>
                        <w:shd w:val="clear" w:color="auto" w:fill="EBEBEB"/>
                      </w:tcPr>
                      <w:p w:rsidR="00F22F94" w:rsidRDefault="00F22F94">
                        <w:pPr>
                          <w:pStyle w:val="TableParagraph"/>
                          <w:rPr>
                            <w:sz w:val="16"/>
                          </w:rPr>
                        </w:pPr>
                        <w:r>
                          <w:rPr>
                            <w:w w:val="111"/>
                            <w:sz w:val="16"/>
                          </w:rPr>
                          <w:t>-</w:t>
                        </w:r>
                      </w:p>
                    </w:tc>
                    <w:tc>
                      <w:tcPr>
                        <w:tcW w:w="1417" w:type="dxa"/>
                        <w:shd w:val="clear" w:color="auto" w:fill="EBEBEB"/>
                      </w:tcPr>
                      <w:p w:rsidR="00F22F94" w:rsidRDefault="00F22F94">
                        <w:pPr>
                          <w:pStyle w:val="TableParagraph"/>
                          <w:rPr>
                            <w:sz w:val="16"/>
                          </w:rPr>
                        </w:pPr>
                        <w:r>
                          <w:rPr>
                            <w:spacing w:val="-5"/>
                            <w:sz w:val="16"/>
                          </w:rPr>
                          <w:t>0.3</w:t>
                        </w:r>
                      </w:p>
                    </w:tc>
                    <w:tc>
                      <w:tcPr>
                        <w:tcW w:w="1417" w:type="dxa"/>
                        <w:shd w:val="clear" w:color="auto" w:fill="EBEBEB"/>
                      </w:tcPr>
                      <w:p w:rsidR="00F22F94" w:rsidRDefault="00F22F94">
                        <w:pPr>
                          <w:pStyle w:val="TableParagraph"/>
                          <w:ind w:left="114"/>
                          <w:rPr>
                            <w:sz w:val="16"/>
                          </w:rPr>
                        </w:pPr>
                        <w:r>
                          <w:rPr>
                            <w:w w:val="111"/>
                            <w:sz w:val="16"/>
                          </w:rPr>
                          <w:t>-</w:t>
                        </w:r>
                      </w:p>
                    </w:tc>
                    <w:tc>
                      <w:tcPr>
                        <w:tcW w:w="1454" w:type="dxa"/>
                        <w:shd w:val="clear" w:color="auto" w:fill="EBEBEB"/>
                      </w:tcPr>
                      <w:p w:rsidR="00F22F94" w:rsidRDefault="00F22F94">
                        <w:pPr>
                          <w:pStyle w:val="TableParagraph"/>
                          <w:ind w:left="114"/>
                          <w:rPr>
                            <w:sz w:val="16"/>
                          </w:rPr>
                        </w:pPr>
                        <w:r>
                          <w:rPr>
                            <w:spacing w:val="-5"/>
                            <w:sz w:val="16"/>
                          </w:rPr>
                          <w:t>0.3</w:t>
                        </w:r>
                      </w:p>
                    </w:tc>
                  </w:tr>
                  <w:tr w:rsidR="00F22F94">
                    <w:trPr>
                      <w:trHeight w:val="331"/>
                    </w:trPr>
                    <w:tc>
                      <w:tcPr>
                        <w:tcW w:w="1417" w:type="dxa"/>
                        <w:tcBorders>
                          <w:left w:val="nil"/>
                          <w:bottom w:val="nil"/>
                        </w:tcBorders>
                        <w:shd w:val="clear" w:color="auto" w:fill="EBEBEB"/>
                      </w:tcPr>
                      <w:p w:rsidR="00F22F94" w:rsidRDefault="00F22F94">
                        <w:pPr>
                          <w:pStyle w:val="TableParagraph"/>
                          <w:rPr>
                            <w:sz w:val="16"/>
                          </w:rPr>
                        </w:pPr>
                        <w:r>
                          <w:rPr>
                            <w:w w:val="111"/>
                            <w:sz w:val="16"/>
                          </w:rPr>
                          <w:t>-</w:t>
                        </w:r>
                      </w:p>
                    </w:tc>
                    <w:tc>
                      <w:tcPr>
                        <w:tcW w:w="1417" w:type="dxa"/>
                        <w:tcBorders>
                          <w:bottom w:val="nil"/>
                        </w:tcBorders>
                        <w:shd w:val="clear" w:color="auto" w:fill="EBEBEB"/>
                      </w:tcPr>
                      <w:p w:rsidR="00F22F94" w:rsidRDefault="00F22F94">
                        <w:pPr>
                          <w:pStyle w:val="TableParagraph"/>
                          <w:rPr>
                            <w:sz w:val="16"/>
                          </w:rPr>
                        </w:pPr>
                        <w:r>
                          <w:rPr>
                            <w:w w:val="111"/>
                            <w:sz w:val="16"/>
                          </w:rPr>
                          <w:t>-</w:t>
                        </w:r>
                      </w:p>
                    </w:tc>
                    <w:tc>
                      <w:tcPr>
                        <w:tcW w:w="1417" w:type="dxa"/>
                        <w:tcBorders>
                          <w:bottom w:val="nil"/>
                        </w:tcBorders>
                        <w:shd w:val="clear" w:color="auto" w:fill="EBEBEB"/>
                      </w:tcPr>
                      <w:p w:rsidR="00F22F94" w:rsidRDefault="00F22F94">
                        <w:pPr>
                          <w:pStyle w:val="TableParagraph"/>
                          <w:ind w:left="114"/>
                          <w:rPr>
                            <w:sz w:val="16"/>
                          </w:rPr>
                        </w:pPr>
                        <w:r>
                          <w:rPr>
                            <w:spacing w:val="-5"/>
                            <w:sz w:val="16"/>
                          </w:rPr>
                          <w:t>1.0</w:t>
                        </w:r>
                      </w:p>
                    </w:tc>
                    <w:tc>
                      <w:tcPr>
                        <w:tcW w:w="1454" w:type="dxa"/>
                        <w:tcBorders>
                          <w:bottom w:val="nil"/>
                        </w:tcBorders>
                        <w:shd w:val="clear" w:color="auto" w:fill="EBEBEB"/>
                      </w:tcPr>
                      <w:p w:rsidR="00F22F94" w:rsidRDefault="00F22F94">
                        <w:pPr>
                          <w:pStyle w:val="TableParagraph"/>
                          <w:ind w:left="114"/>
                          <w:rPr>
                            <w:sz w:val="16"/>
                          </w:rPr>
                        </w:pPr>
                        <w:r>
                          <w:rPr>
                            <w:spacing w:val="-5"/>
                            <w:sz w:val="16"/>
                          </w:rPr>
                          <w:t>1.0</w:t>
                        </w:r>
                      </w:p>
                    </w:tc>
                  </w:tr>
                  <w:tr w:rsidR="00F22F94">
                    <w:trPr>
                      <w:trHeight w:val="345"/>
                    </w:trPr>
                    <w:tc>
                      <w:tcPr>
                        <w:tcW w:w="1417" w:type="dxa"/>
                        <w:tcBorders>
                          <w:top w:val="nil"/>
                          <w:left w:val="nil"/>
                        </w:tcBorders>
                        <w:shd w:val="clear" w:color="auto" w:fill="C9C8C9"/>
                      </w:tcPr>
                      <w:p w:rsidR="00F22F94" w:rsidRDefault="00F22F94">
                        <w:pPr>
                          <w:pStyle w:val="TableParagraph"/>
                          <w:spacing w:before="77"/>
                          <w:rPr>
                            <w:sz w:val="16"/>
                          </w:rPr>
                        </w:pPr>
                        <w:r>
                          <w:rPr>
                            <w:spacing w:val="-5"/>
                            <w:sz w:val="16"/>
                          </w:rPr>
                          <w:t>2.3</w:t>
                        </w:r>
                      </w:p>
                    </w:tc>
                    <w:tc>
                      <w:tcPr>
                        <w:tcW w:w="1417" w:type="dxa"/>
                        <w:tcBorders>
                          <w:top w:val="nil"/>
                        </w:tcBorders>
                        <w:shd w:val="clear" w:color="auto" w:fill="C9C8C9"/>
                      </w:tcPr>
                      <w:p w:rsidR="00F22F94" w:rsidRDefault="00F22F94">
                        <w:pPr>
                          <w:pStyle w:val="TableParagraph"/>
                          <w:spacing w:before="77"/>
                          <w:rPr>
                            <w:sz w:val="16"/>
                          </w:rPr>
                        </w:pPr>
                        <w:r>
                          <w:rPr>
                            <w:spacing w:val="-5"/>
                            <w:sz w:val="16"/>
                          </w:rPr>
                          <w:t>0.8</w:t>
                        </w:r>
                      </w:p>
                    </w:tc>
                    <w:tc>
                      <w:tcPr>
                        <w:tcW w:w="1417" w:type="dxa"/>
                        <w:tcBorders>
                          <w:top w:val="nil"/>
                        </w:tcBorders>
                        <w:shd w:val="clear" w:color="auto" w:fill="C9C8C9"/>
                      </w:tcPr>
                      <w:p w:rsidR="00F22F94" w:rsidRDefault="00F22F94">
                        <w:pPr>
                          <w:pStyle w:val="TableParagraph"/>
                          <w:spacing w:before="77"/>
                          <w:ind w:left="114"/>
                          <w:rPr>
                            <w:sz w:val="16"/>
                          </w:rPr>
                        </w:pPr>
                        <w:r>
                          <w:rPr>
                            <w:spacing w:val="-5"/>
                            <w:sz w:val="16"/>
                          </w:rPr>
                          <w:t>1.0</w:t>
                        </w:r>
                      </w:p>
                    </w:tc>
                    <w:tc>
                      <w:tcPr>
                        <w:tcW w:w="1454" w:type="dxa"/>
                        <w:tcBorders>
                          <w:top w:val="nil"/>
                        </w:tcBorders>
                        <w:shd w:val="clear" w:color="auto" w:fill="C9C8C9"/>
                      </w:tcPr>
                      <w:p w:rsidR="00F22F94" w:rsidRDefault="00F22F94">
                        <w:pPr>
                          <w:pStyle w:val="TableParagraph"/>
                          <w:spacing w:before="77"/>
                          <w:ind w:left="114"/>
                          <w:rPr>
                            <w:sz w:val="16"/>
                          </w:rPr>
                        </w:pPr>
                        <w:r>
                          <w:rPr>
                            <w:spacing w:val="-5"/>
                            <w:sz w:val="16"/>
                          </w:rPr>
                          <w:t>4.1</w:t>
                        </w:r>
                      </w:p>
                    </w:tc>
                  </w:tr>
                </w:tbl>
                <w:p w:rsidR="00F22F94" w:rsidRDefault="00F22F94">
                  <w:pPr>
                    <w:pStyle w:val="BodyText"/>
                  </w:pPr>
                </w:p>
              </w:txbxContent>
            </v:textbox>
            <w10:wrap type="topAndBottom" anchorx="page"/>
          </v:shape>
        </w:pict>
      </w:r>
    </w:p>
    <w:p w:rsidR="002C1123" w:rsidRDefault="00F22F94">
      <w:pPr>
        <w:spacing w:before="63"/>
        <w:ind w:left="615"/>
        <w:rPr>
          <w:b/>
          <w:sz w:val="18"/>
        </w:rPr>
      </w:pPr>
      <w:r>
        <w:rPr>
          <w:b/>
          <w:w w:val="95"/>
          <w:sz w:val="18"/>
        </w:rPr>
        <w:t>Bus</w:t>
      </w:r>
      <w:r>
        <w:rPr>
          <w:b/>
          <w:spacing w:val="-3"/>
          <w:w w:val="95"/>
          <w:sz w:val="18"/>
        </w:rPr>
        <w:t xml:space="preserve"> </w:t>
      </w:r>
      <w:r>
        <w:rPr>
          <w:b/>
          <w:w w:val="95"/>
          <w:sz w:val="18"/>
        </w:rPr>
        <w:t>and</w:t>
      </w:r>
      <w:r>
        <w:rPr>
          <w:b/>
          <w:spacing w:val="-2"/>
          <w:w w:val="95"/>
          <w:sz w:val="18"/>
        </w:rPr>
        <w:t xml:space="preserve"> </w:t>
      </w:r>
      <w:r>
        <w:rPr>
          <w:b/>
          <w:w w:val="95"/>
          <w:sz w:val="18"/>
        </w:rPr>
        <w:t>Light</w:t>
      </w:r>
      <w:r>
        <w:rPr>
          <w:b/>
          <w:spacing w:val="-2"/>
          <w:w w:val="95"/>
          <w:sz w:val="18"/>
        </w:rPr>
        <w:t xml:space="preserve"> </w:t>
      </w:r>
      <w:r>
        <w:rPr>
          <w:b/>
          <w:spacing w:val="-4"/>
          <w:w w:val="95"/>
          <w:sz w:val="18"/>
        </w:rPr>
        <w:t>Rail</w:t>
      </w:r>
    </w:p>
    <w:p w:rsidR="002C1123" w:rsidRDefault="002060EF">
      <w:pPr>
        <w:pStyle w:val="BodyText"/>
        <w:spacing w:before="6"/>
        <w:rPr>
          <w:b/>
          <w:sz w:val="3"/>
        </w:rPr>
      </w:pPr>
      <w:r>
        <w:pict>
          <v:shape id="docshape2846" o:spid="_x0000_s1170" type="#_x0000_t202" style="position:absolute;margin-left:49.6pt;margin-top:3.25pt;width:451.75pt;height:104.05pt;z-index:-251441152;mso-wrap-distance-left:0;mso-wrap-distance-right:0;mso-position-horizontal-relative:page" filled="f" stroked="f">
            <v:textbox inset="0,0,0,0">
              <w:txbxContent>
                <w:tbl>
                  <w:tblPr>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4932"/>
                    <w:gridCol w:w="1360"/>
                    <w:gridCol w:w="1360"/>
                    <w:gridCol w:w="1360"/>
                  </w:tblGrid>
                  <w:tr w:rsidR="00F22F94">
                    <w:trPr>
                      <w:trHeight w:val="321"/>
                    </w:trPr>
                    <w:tc>
                      <w:tcPr>
                        <w:tcW w:w="4932" w:type="dxa"/>
                        <w:shd w:val="clear" w:color="auto" w:fill="EBEBEB"/>
                      </w:tcPr>
                      <w:p w:rsidR="00F22F94" w:rsidRDefault="00F22F94">
                        <w:pPr>
                          <w:pStyle w:val="TableParagraph"/>
                          <w:rPr>
                            <w:sz w:val="16"/>
                          </w:rPr>
                        </w:pPr>
                        <w:r>
                          <w:rPr>
                            <w:w w:val="95"/>
                            <w:sz w:val="16"/>
                          </w:rPr>
                          <w:t>Anzac</w:t>
                        </w:r>
                        <w:r>
                          <w:rPr>
                            <w:spacing w:val="-1"/>
                            <w:sz w:val="16"/>
                          </w:rPr>
                          <w:t xml:space="preserve"> </w:t>
                        </w:r>
                        <w:r>
                          <w:rPr>
                            <w:w w:val="95"/>
                            <w:sz w:val="16"/>
                          </w:rPr>
                          <w:t>Parade</w:t>
                        </w:r>
                        <w:r>
                          <w:rPr>
                            <w:spacing w:val="-1"/>
                            <w:sz w:val="16"/>
                          </w:rPr>
                          <w:t xml:space="preserve"> </w:t>
                        </w:r>
                        <w:r>
                          <w:rPr>
                            <w:w w:val="95"/>
                            <w:sz w:val="16"/>
                          </w:rPr>
                          <w:t>Light</w:t>
                        </w:r>
                        <w:r>
                          <w:rPr>
                            <w:spacing w:val="-1"/>
                            <w:sz w:val="16"/>
                          </w:rPr>
                          <w:t xml:space="preserve"> </w:t>
                        </w:r>
                        <w:r>
                          <w:rPr>
                            <w:spacing w:val="-4"/>
                            <w:w w:val="95"/>
                            <w:sz w:val="16"/>
                          </w:rPr>
                          <w:t>Rail</w:t>
                        </w:r>
                      </w:p>
                    </w:tc>
                    <w:tc>
                      <w:tcPr>
                        <w:tcW w:w="1360" w:type="dxa"/>
                        <w:shd w:val="clear" w:color="auto" w:fill="EBEBEB"/>
                      </w:tcPr>
                      <w:p w:rsidR="00F22F94" w:rsidRDefault="00F22F94">
                        <w:pPr>
                          <w:pStyle w:val="TableParagraph"/>
                          <w:rPr>
                            <w:sz w:val="16"/>
                          </w:rPr>
                        </w:pPr>
                        <w:r>
                          <w:rPr>
                            <w:spacing w:val="-5"/>
                            <w:sz w:val="16"/>
                          </w:rPr>
                          <w:t>0.5</w:t>
                        </w:r>
                      </w:p>
                    </w:tc>
                    <w:tc>
                      <w:tcPr>
                        <w:tcW w:w="1360" w:type="dxa"/>
                        <w:shd w:val="clear" w:color="auto" w:fill="EBEBEB"/>
                      </w:tcPr>
                      <w:p w:rsidR="00F22F94" w:rsidRDefault="00F22F94">
                        <w:pPr>
                          <w:pStyle w:val="TableParagraph"/>
                          <w:ind w:left="114"/>
                          <w:rPr>
                            <w:sz w:val="16"/>
                          </w:rPr>
                        </w:pPr>
                        <w:r>
                          <w:rPr>
                            <w:w w:val="111"/>
                            <w:sz w:val="16"/>
                          </w:rPr>
                          <w:t>-</w:t>
                        </w:r>
                      </w:p>
                    </w:tc>
                    <w:tc>
                      <w:tcPr>
                        <w:tcW w:w="1360" w:type="dxa"/>
                        <w:tcBorders>
                          <w:right w:val="nil"/>
                        </w:tcBorders>
                        <w:shd w:val="clear" w:color="auto" w:fill="EBEBEB"/>
                      </w:tcPr>
                      <w:p w:rsidR="00F22F94" w:rsidRDefault="00F22F94">
                        <w:pPr>
                          <w:pStyle w:val="TableParagraph"/>
                          <w:ind w:left="114"/>
                          <w:rPr>
                            <w:sz w:val="16"/>
                          </w:rPr>
                        </w:pPr>
                        <w:r>
                          <w:rPr>
                            <w:spacing w:val="-5"/>
                            <w:sz w:val="16"/>
                          </w:rPr>
                          <w:t>0.5</w:t>
                        </w:r>
                      </w:p>
                    </w:tc>
                  </w:tr>
                  <w:tr w:rsidR="00F22F94">
                    <w:trPr>
                      <w:trHeight w:val="321"/>
                    </w:trPr>
                    <w:tc>
                      <w:tcPr>
                        <w:tcW w:w="4932" w:type="dxa"/>
                        <w:shd w:val="clear" w:color="auto" w:fill="EBEBEB"/>
                      </w:tcPr>
                      <w:p w:rsidR="00F22F94" w:rsidRDefault="00F22F94">
                        <w:pPr>
                          <w:pStyle w:val="TableParagraph"/>
                          <w:rPr>
                            <w:sz w:val="16"/>
                          </w:rPr>
                        </w:pPr>
                        <w:r>
                          <w:rPr>
                            <w:w w:val="95"/>
                            <w:sz w:val="16"/>
                          </w:rPr>
                          <w:t>CBD</w:t>
                        </w:r>
                        <w:r>
                          <w:rPr>
                            <w:spacing w:val="-2"/>
                            <w:w w:val="95"/>
                            <w:sz w:val="16"/>
                          </w:rPr>
                          <w:t xml:space="preserve"> </w:t>
                        </w:r>
                        <w:r>
                          <w:rPr>
                            <w:w w:val="95"/>
                            <w:sz w:val="16"/>
                          </w:rPr>
                          <w:t>Transit</w:t>
                        </w:r>
                        <w:r>
                          <w:rPr>
                            <w:spacing w:val="-1"/>
                            <w:w w:val="95"/>
                            <w:sz w:val="16"/>
                          </w:rPr>
                          <w:t xml:space="preserve"> </w:t>
                        </w:r>
                        <w:r>
                          <w:rPr>
                            <w:w w:val="95"/>
                            <w:sz w:val="16"/>
                          </w:rPr>
                          <w:t>Improvement</w:t>
                        </w:r>
                        <w:r>
                          <w:rPr>
                            <w:spacing w:val="-1"/>
                            <w:w w:val="95"/>
                            <w:sz w:val="16"/>
                          </w:rPr>
                          <w:t xml:space="preserve"> </w:t>
                        </w:r>
                        <w:r>
                          <w:rPr>
                            <w:spacing w:val="-4"/>
                            <w:w w:val="95"/>
                            <w:sz w:val="16"/>
                          </w:rPr>
                          <w:t>Plan</w:t>
                        </w:r>
                      </w:p>
                    </w:tc>
                    <w:tc>
                      <w:tcPr>
                        <w:tcW w:w="1360" w:type="dxa"/>
                        <w:shd w:val="clear" w:color="auto" w:fill="EBEBEB"/>
                      </w:tcPr>
                      <w:p w:rsidR="00F22F94" w:rsidRDefault="00F22F94">
                        <w:pPr>
                          <w:pStyle w:val="TableParagraph"/>
                          <w:rPr>
                            <w:sz w:val="16"/>
                          </w:rPr>
                        </w:pPr>
                        <w:r>
                          <w:rPr>
                            <w:spacing w:val="-5"/>
                            <w:sz w:val="16"/>
                          </w:rPr>
                          <w:t>2.0</w:t>
                        </w:r>
                      </w:p>
                    </w:tc>
                    <w:tc>
                      <w:tcPr>
                        <w:tcW w:w="1360" w:type="dxa"/>
                        <w:shd w:val="clear" w:color="auto" w:fill="EBEBEB"/>
                      </w:tcPr>
                      <w:p w:rsidR="00F22F94" w:rsidRDefault="00F22F94">
                        <w:pPr>
                          <w:pStyle w:val="TableParagraph"/>
                          <w:ind w:left="114"/>
                          <w:rPr>
                            <w:sz w:val="16"/>
                          </w:rPr>
                        </w:pPr>
                        <w:r>
                          <w:rPr>
                            <w:w w:val="111"/>
                            <w:sz w:val="16"/>
                          </w:rPr>
                          <w:t>-</w:t>
                        </w:r>
                      </w:p>
                    </w:tc>
                    <w:tc>
                      <w:tcPr>
                        <w:tcW w:w="1360" w:type="dxa"/>
                        <w:tcBorders>
                          <w:right w:val="nil"/>
                        </w:tcBorders>
                        <w:shd w:val="clear" w:color="auto" w:fill="EBEBEB"/>
                      </w:tcPr>
                      <w:p w:rsidR="00F22F94" w:rsidRDefault="00F22F94">
                        <w:pPr>
                          <w:pStyle w:val="TableParagraph"/>
                          <w:ind w:left="114"/>
                          <w:rPr>
                            <w:sz w:val="16"/>
                          </w:rPr>
                        </w:pPr>
                        <w:r>
                          <w:rPr>
                            <w:spacing w:val="-5"/>
                            <w:sz w:val="16"/>
                          </w:rPr>
                          <w:t>2.0</w:t>
                        </w:r>
                      </w:p>
                    </w:tc>
                  </w:tr>
                  <w:tr w:rsidR="00F22F94">
                    <w:trPr>
                      <w:trHeight w:val="321"/>
                    </w:trPr>
                    <w:tc>
                      <w:tcPr>
                        <w:tcW w:w="4932" w:type="dxa"/>
                        <w:shd w:val="clear" w:color="auto" w:fill="EBEBEB"/>
                      </w:tcPr>
                      <w:p w:rsidR="00F22F94" w:rsidRDefault="00F22F94">
                        <w:pPr>
                          <w:pStyle w:val="TableParagraph"/>
                          <w:rPr>
                            <w:sz w:val="16"/>
                          </w:rPr>
                        </w:pPr>
                        <w:r>
                          <w:rPr>
                            <w:w w:val="95"/>
                            <w:sz w:val="16"/>
                          </w:rPr>
                          <w:t>Incremental</w:t>
                        </w:r>
                        <w:r>
                          <w:rPr>
                            <w:spacing w:val="2"/>
                            <w:sz w:val="16"/>
                          </w:rPr>
                          <w:t xml:space="preserve"> </w:t>
                        </w:r>
                        <w:r>
                          <w:rPr>
                            <w:w w:val="95"/>
                            <w:sz w:val="16"/>
                          </w:rPr>
                          <w:t>bus</w:t>
                        </w:r>
                        <w:r>
                          <w:rPr>
                            <w:spacing w:val="2"/>
                            <w:sz w:val="16"/>
                          </w:rPr>
                          <w:t xml:space="preserve"> </w:t>
                        </w:r>
                        <w:r>
                          <w:rPr>
                            <w:w w:val="95"/>
                            <w:sz w:val="16"/>
                          </w:rPr>
                          <w:t>priority</w:t>
                        </w:r>
                        <w:r>
                          <w:rPr>
                            <w:spacing w:val="3"/>
                            <w:sz w:val="16"/>
                          </w:rPr>
                          <w:t xml:space="preserve"> </w:t>
                        </w:r>
                        <w:r>
                          <w:rPr>
                            <w:w w:val="95"/>
                            <w:sz w:val="16"/>
                          </w:rPr>
                          <w:t>measures:</w:t>
                        </w:r>
                        <w:r>
                          <w:rPr>
                            <w:spacing w:val="2"/>
                            <w:sz w:val="16"/>
                          </w:rPr>
                          <w:t xml:space="preserve"> </w:t>
                        </w:r>
                        <w:r>
                          <w:rPr>
                            <w:w w:val="95"/>
                            <w:sz w:val="16"/>
                          </w:rPr>
                          <w:t>Parramatta</w:t>
                        </w:r>
                        <w:r>
                          <w:rPr>
                            <w:spacing w:val="3"/>
                            <w:sz w:val="16"/>
                          </w:rPr>
                          <w:t xml:space="preserve"> </w:t>
                        </w:r>
                        <w:r>
                          <w:rPr>
                            <w:w w:val="95"/>
                            <w:sz w:val="16"/>
                          </w:rPr>
                          <w:t>and</w:t>
                        </w:r>
                        <w:r>
                          <w:rPr>
                            <w:spacing w:val="2"/>
                            <w:sz w:val="16"/>
                          </w:rPr>
                          <w:t xml:space="preserve"> </w:t>
                        </w:r>
                        <w:r>
                          <w:rPr>
                            <w:spacing w:val="-2"/>
                            <w:w w:val="95"/>
                            <w:sz w:val="16"/>
                          </w:rPr>
                          <w:t>corridors</w:t>
                        </w:r>
                      </w:p>
                    </w:tc>
                    <w:tc>
                      <w:tcPr>
                        <w:tcW w:w="1360" w:type="dxa"/>
                        <w:shd w:val="clear" w:color="auto" w:fill="EBEBEB"/>
                      </w:tcPr>
                      <w:p w:rsidR="00F22F94" w:rsidRDefault="00F22F94">
                        <w:pPr>
                          <w:pStyle w:val="TableParagraph"/>
                          <w:rPr>
                            <w:sz w:val="16"/>
                          </w:rPr>
                        </w:pPr>
                        <w:r>
                          <w:rPr>
                            <w:spacing w:val="-5"/>
                            <w:sz w:val="16"/>
                          </w:rPr>
                          <w:t>0.2</w:t>
                        </w:r>
                      </w:p>
                    </w:tc>
                    <w:tc>
                      <w:tcPr>
                        <w:tcW w:w="1360" w:type="dxa"/>
                        <w:shd w:val="clear" w:color="auto" w:fill="EBEBEB"/>
                      </w:tcPr>
                      <w:p w:rsidR="00F22F94" w:rsidRDefault="00F22F94">
                        <w:pPr>
                          <w:pStyle w:val="TableParagraph"/>
                          <w:ind w:left="114"/>
                          <w:rPr>
                            <w:sz w:val="16"/>
                          </w:rPr>
                        </w:pPr>
                        <w:r>
                          <w:rPr>
                            <w:w w:val="111"/>
                            <w:sz w:val="16"/>
                          </w:rPr>
                          <w:t>-</w:t>
                        </w:r>
                      </w:p>
                    </w:tc>
                    <w:tc>
                      <w:tcPr>
                        <w:tcW w:w="1360" w:type="dxa"/>
                        <w:tcBorders>
                          <w:right w:val="nil"/>
                        </w:tcBorders>
                        <w:shd w:val="clear" w:color="auto" w:fill="EBEBEB"/>
                      </w:tcPr>
                      <w:p w:rsidR="00F22F94" w:rsidRDefault="00F22F94">
                        <w:pPr>
                          <w:pStyle w:val="TableParagraph"/>
                          <w:ind w:left="114"/>
                          <w:rPr>
                            <w:sz w:val="16"/>
                          </w:rPr>
                        </w:pPr>
                        <w:r>
                          <w:rPr>
                            <w:spacing w:val="-5"/>
                            <w:sz w:val="16"/>
                          </w:rPr>
                          <w:t>0.2</w:t>
                        </w:r>
                      </w:p>
                    </w:tc>
                  </w:tr>
                  <w:tr w:rsidR="00F22F94">
                    <w:trPr>
                      <w:trHeight w:val="321"/>
                    </w:trPr>
                    <w:tc>
                      <w:tcPr>
                        <w:tcW w:w="4932" w:type="dxa"/>
                        <w:shd w:val="clear" w:color="auto" w:fill="EBEBEB"/>
                      </w:tcPr>
                      <w:p w:rsidR="00F22F94" w:rsidRDefault="00F22F94">
                        <w:pPr>
                          <w:pStyle w:val="TableParagraph"/>
                          <w:rPr>
                            <w:sz w:val="16"/>
                          </w:rPr>
                        </w:pPr>
                        <w:r>
                          <w:rPr>
                            <w:w w:val="95"/>
                            <w:sz w:val="16"/>
                          </w:rPr>
                          <w:t>Northern</w:t>
                        </w:r>
                        <w:r>
                          <w:rPr>
                            <w:spacing w:val="6"/>
                            <w:sz w:val="16"/>
                          </w:rPr>
                          <w:t xml:space="preserve"> </w:t>
                        </w:r>
                        <w:r>
                          <w:rPr>
                            <w:w w:val="95"/>
                            <w:sz w:val="16"/>
                          </w:rPr>
                          <w:t>Beaches</w:t>
                        </w:r>
                        <w:r>
                          <w:rPr>
                            <w:spacing w:val="7"/>
                            <w:sz w:val="16"/>
                          </w:rPr>
                          <w:t xml:space="preserve"> </w:t>
                        </w:r>
                        <w:r>
                          <w:rPr>
                            <w:w w:val="95"/>
                            <w:sz w:val="16"/>
                          </w:rPr>
                          <w:t>Bus</w:t>
                        </w:r>
                        <w:r>
                          <w:rPr>
                            <w:spacing w:val="7"/>
                            <w:sz w:val="16"/>
                          </w:rPr>
                          <w:t xml:space="preserve"> </w:t>
                        </w:r>
                        <w:r>
                          <w:rPr>
                            <w:w w:val="95"/>
                            <w:sz w:val="16"/>
                          </w:rPr>
                          <w:t>Corridor</w:t>
                        </w:r>
                        <w:r>
                          <w:rPr>
                            <w:spacing w:val="7"/>
                            <w:sz w:val="16"/>
                          </w:rPr>
                          <w:t xml:space="preserve"> </w:t>
                        </w:r>
                        <w:r>
                          <w:rPr>
                            <w:w w:val="95"/>
                            <w:sz w:val="16"/>
                          </w:rPr>
                          <w:t>Improvement</w:t>
                        </w:r>
                        <w:r>
                          <w:rPr>
                            <w:spacing w:val="6"/>
                            <w:sz w:val="16"/>
                          </w:rPr>
                          <w:t xml:space="preserve"> </w:t>
                        </w:r>
                        <w:r>
                          <w:rPr>
                            <w:spacing w:val="-4"/>
                            <w:w w:val="95"/>
                            <w:sz w:val="16"/>
                          </w:rPr>
                          <w:t>Plan</w:t>
                        </w:r>
                      </w:p>
                    </w:tc>
                    <w:tc>
                      <w:tcPr>
                        <w:tcW w:w="1360" w:type="dxa"/>
                        <w:shd w:val="clear" w:color="auto" w:fill="EBEBEB"/>
                      </w:tcPr>
                      <w:p w:rsidR="00F22F94" w:rsidRDefault="00F22F94">
                        <w:pPr>
                          <w:pStyle w:val="TableParagraph"/>
                          <w:rPr>
                            <w:sz w:val="16"/>
                          </w:rPr>
                        </w:pPr>
                        <w:r>
                          <w:rPr>
                            <w:spacing w:val="-5"/>
                            <w:sz w:val="16"/>
                          </w:rPr>
                          <w:t>0.2</w:t>
                        </w:r>
                      </w:p>
                    </w:tc>
                    <w:tc>
                      <w:tcPr>
                        <w:tcW w:w="1360" w:type="dxa"/>
                        <w:shd w:val="clear" w:color="auto" w:fill="EBEBEB"/>
                      </w:tcPr>
                      <w:p w:rsidR="00F22F94" w:rsidRDefault="00F22F94">
                        <w:pPr>
                          <w:pStyle w:val="TableParagraph"/>
                          <w:ind w:left="114"/>
                          <w:rPr>
                            <w:sz w:val="16"/>
                          </w:rPr>
                        </w:pPr>
                        <w:r>
                          <w:rPr>
                            <w:w w:val="111"/>
                            <w:sz w:val="16"/>
                          </w:rPr>
                          <w:t>-</w:t>
                        </w:r>
                      </w:p>
                    </w:tc>
                    <w:tc>
                      <w:tcPr>
                        <w:tcW w:w="1360" w:type="dxa"/>
                        <w:tcBorders>
                          <w:right w:val="nil"/>
                        </w:tcBorders>
                        <w:shd w:val="clear" w:color="auto" w:fill="EBEBEB"/>
                      </w:tcPr>
                      <w:p w:rsidR="00F22F94" w:rsidRDefault="00F22F94">
                        <w:pPr>
                          <w:pStyle w:val="TableParagraph"/>
                          <w:ind w:left="114"/>
                          <w:rPr>
                            <w:sz w:val="16"/>
                          </w:rPr>
                        </w:pPr>
                        <w:r>
                          <w:rPr>
                            <w:spacing w:val="-5"/>
                            <w:sz w:val="16"/>
                          </w:rPr>
                          <w:t>0.2</w:t>
                        </w:r>
                      </w:p>
                    </w:tc>
                  </w:tr>
                  <w:tr w:rsidR="00F22F94">
                    <w:trPr>
                      <w:trHeight w:val="331"/>
                    </w:trPr>
                    <w:tc>
                      <w:tcPr>
                        <w:tcW w:w="4932" w:type="dxa"/>
                        <w:tcBorders>
                          <w:bottom w:val="nil"/>
                        </w:tcBorders>
                        <w:shd w:val="clear" w:color="auto" w:fill="EBEBEB"/>
                      </w:tcPr>
                      <w:p w:rsidR="00F22F94" w:rsidRDefault="00F22F94">
                        <w:pPr>
                          <w:pStyle w:val="TableParagraph"/>
                          <w:rPr>
                            <w:sz w:val="16"/>
                          </w:rPr>
                        </w:pPr>
                        <w:r>
                          <w:rPr>
                            <w:w w:val="95"/>
                            <w:sz w:val="16"/>
                          </w:rPr>
                          <w:t>Transitway</w:t>
                        </w:r>
                        <w:r>
                          <w:rPr>
                            <w:spacing w:val="3"/>
                            <w:sz w:val="16"/>
                          </w:rPr>
                          <w:t xml:space="preserve"> </w:t>
                        </w:r>
                        <w:r>
                          <w:rPr>
                            <w:w w:val="95"/>
                            <w:sz w:val="16"/>
                          </w:rPr>
                          <w:t>Parramatta-Epping</w:t>
                        </w:r>
                        <w:r>
                          <w:rPr>
                            <w:spacing w:val="4"/>
                            <w:sz w:val="16"/>
                          </w:rPr>
                          <w:t xml:space="preserve"> </w:t>
                        </w:r>
                        <w:r>
                          <w:rPr>
                            <w:w w:val="95"/>
                            <w:sz w:val="16"/>
                          </w:rPr>
                          <w:t>Macquarie</w:t>
                        </w:r>
                        <w:r>
                          <w:rPr>
                            <w:spacing w:val="3"/>
                            <w:sz w:val="16"/>
                          </w:rPr>
                          <w:t xml:space="preserve"> </w:t>
                        </w:r>
                        <w:r>
                          <w:rPr>
                            <w:spacing w:val="-4"/>
                            <w:w w:val="95"/>
                            <w:sz w:val="16"/>
                          </w:rPr>
                          <w:t>Park</w:t>
                        </w:r>
                      </w:p>
                    </w:tc>
                    <w:tc>
                      <w:tcPr>
                        <w:tcW w:w="1360" w:type="dxa"/>
                        <w:tcBorders>
                          <w:bottom w:val="nil"/>
                        </w:tcBorders>
                        <w:shd w:val="clear" w:color="auto" w:fill="EBEBEB"/>
                      </w:tcPr>
                      <w:p w:rsidR="00F22F94" w:rsidRDefault="00F22F94">
                        <w:pPr>
                          <w:pStyle w:val="TableParagraph"/>
                          <w:rPr>
                            <w:sz w:val="16"/>
                          </w:rPr>
                        </w:pPr>
                        <w:r>
                          <w:rPr>
                            <w:spacing w:val="-5"/>
                            <w:sz w:val="16"/>
                          </w:rPr>
                          <w:t>0.4</w:t>
                        </w:r>
                      </w:p>
                    </w:tc>
                    <w:tc>
                      <w:tcPr>
                        <w:tcW w:w="1360" w:type="dxa"/>
                        <w:tcBorders>
                          <w:bottom w:val="nil"/>
                        </w:tcBorders>
                        <w:shd w:val="clear" w:color="auto" w:fill="EBEBEB"/>
                      </w:tcPr>
                      <w:p w:rsidR="00F22F94" w:rsidRDefault="00F22F94">
                        <w:pPr>
                          <w:pStyle w:val="TableParagraph"/>
                          <w:ind w:left="114"/>
                          <w:rPr>
                            <w:sz w:val="16"/>
                          </w:rPr>
                        </w:pPr>
                        <w:r>
                          <w:rPr>
                            <w:w w:val="111"/>
                            <w:sz w:val="16"/>
                          </w:rPr>
                          <w:t>-</w:t>
                        </w:r>
                      </w:p>
                    </w:tc>
                    <w:tc>
                      <w:tcPr>
                        <w:tcW w:w="1360" w:type="dxa"/>
                        <w:tcBorders>
                          <w:bottom w:val="nil"/>
                          <w:right w:val="nil"/>
                        </w:tcBorders>
                        <w:shd w:val="clear" w:color="auto" w:fill="EBEBEB"/>
                      </w:tcPr>
                      <w:p w:rsidR="00F22F94" w:rsidRDefault="00F22F94">
                        <w:pPr>
                          <w:pStyle w:val="TableParagraph"/>
                          <w:ind w:left="114"/>
                          <w:rPr>
                            <w:sz w:val="16"/>
                          </w:rPr>
                        </w:pPr>
                        <w:r>
                          <w:rPr>
                            <w:spacing w:val="-5"/>
                            <w:sz w:val="16"/>
                          </w:rPr>
                          <w:t>0.4</w:t>
                        </w:r>
                      </w:p>
                    </w:tc>
                  </w:tr>
                  <w:tr w:rsidR="00F22F94">
                    <w:trPr>
                      <w:trHeight w:val="345"/>
                    </w:trPr>
                    <w:tc>
                      <w:tcPr>
                        <w:tcW w:w="4932" w:type="dxa"/>
                        <w:tcBorders>
                          <w:top w:val="nil"/>
                          <w:left w:val="nil"/>
                        </w:tcBorders>
                        <w:shd w:val="clear" w:color="auto" w:fill="C9C8C9"/>
                      </w:tcPr>
                      <w:p w:rsidR="00F22F94" w:rsidRDefault="00F22F94">
                        <w:pPr>
                          <w:pStyle w:val="TableParagraph"/>
                          <w:spacing w:before="73"/>
                          <w:ind w:left="161"/>
                          <w:rPr>
                            <w:b/>
                            <w:sz w:val="18"/>
                          </w:rPr>
                        </w:pPr>
                        <w:r>
                          <w:rPr>
                            <w:b/>
                            <w:spacing w:val="-4"/>
                            <w:sz w:val="18"/>
                          </w:rPr>
                          <w:t>TOTAL</w:t>
                        </w:r>
                      </w:p>
                    </w:tc>
                    <w:tc>
                      <w:tcPr>
                        <w:tcW w:w="1360" w:type="dxa"/>
                        <w:tcBorders>
                          <w:top w:val="nil"/>
                        </w:tcBorders>
                        <w:shd w:val="clear" w:color="auto" w:fill="C9C8C9"/>
                      </w:tcPr>
                      <w:p w:rsidR="00F22F94" w:rsidRDefault="00F22F94">
                        <w:pPr>
                          <w:pStyle w:val="TableParagraph"/>
                          <w:spacing w:before="77"/>
                          <w:rPr>
                            <w:sz w:val="16"/>
                          </w:rPr>
                        </w:pPr>
                        <w:r>
                          <w:rPr>
                            <w:spacing w:val="-5"/>
                            <w:sz w:val="16"/>
                          </w:rPr>
                          <w:t>3.3</w:t>
                        </w:r>
                      </w:p>
                    </w:tc>
                    <w:tc>
                      <w:tcPr>
                        <w:tcW w:w="1360" w:type="dxa"/>
                        <w:tcBorders>
                          <w:top w:val="nil"/>
                        </w:tcBorders>
                        <w:shd w:val="clear" w:color="auto" w:fill="C9C8C9"/>
                      </w:tcPr>
                      <w:p w:rsidR="00F22F94" w:rsidRDefault="00F22F94">
                        <w:pPr>
                          <w:pStyle w:val="TableParagraph"/>
                          <w:spacing w:before="77"/>
                          <w:ind w:left="114"/>
                          <w:rPr>
                            <w:sz w:val="16"/>
                          </w:rPr>
                        </w:pPr>
                        <w:r>
                          <w:rPr>
                            <w:w w:val="116"/>
                            <w:sz w:val="16"/>
                          </w:rPr>
                          <w:t>-</w:t>
                        </w:r>
                      </w:p>
                    </w:tc>
                    <w:tc>
                      <w:tcPr>
                        <w:tcW w:w="1360" w:type="dxa"/>
                        <w:tcBorders>
                          <w:top w:val="nil"/>
                          <w:right w:val="nil"/>
                        </w:tcBorders>
                        <w:shd w:val="clear" w:color="auto" w:fill="C9C8C9"/>
                      </w:tcPr>
                      <w:p w:rsidR="00F22F94" w:rsidRDefault="00F22F94">
                        <w:pPr>
                          <w:pStyle w:val="TableParagraph"/>
                          <w:spacing w:before="77"/>
                          <w:ind w:left="114"/>
                          <w:rPr>
                            <w:sz w:val="16"/>
                          </w:rPr>
                        </w:pPr>
                        <w:r>
                          <w:rPr>
                            <w:spacing w:val="-5"/>
                            <w:sz w:val="16"/>
                          </w:rPr>
                          <w:t>3.3</w:t>
                        </w:r>
                      </w:p>
                    </w:tc>
                  </w:tr>
                </w:tbl>
                <w:p w:rsidR="00F22F94" w:rsidRDefault="00F22F94">
                  <w:pPr>
                    <w:pStyle w:val="BodyText"/>
                  </w:pPr>
                </w:p>
              </w:txbxContent>
            </v:textbox>
            <w10:wrap type="topAndBottom" anchorx="page"/>
          </v:shape>
        </w:pict>
      </w:r>
      <w:r>
        <w:pict>
          <v:shape id="docshape2847" o:spid="_x0000_s1169" type="#_x0000_t202" style="position:absolute;margin-left:506pt;margin-top:3.25pt;width:286.3pt;height:104.05pt;z-index:-251440128;mso-wrap-distance-left:0;mso-wrap-distance-right:0;mso-position-horizontal-relative:page" filled="f" stroked="f">
            <v:textbox inset="0,0,0,0">
              <w:txbxContent>
                <w:tbl>
                  <w:tblPr>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417"/>
                    <w:gridCol w:w="1417"/>
                    <w:gridCol w:w="1417"/>
                    <w:gridCol w:w="1454"/>
                  </w:tblGrid>
                  <w:tr w:rsidR="00F22F94">
                    <w:trPr>
                      <w:trHeight w:val="321"/>
                    </w:trPr>
                    <w:tc>
                      <w:tcPr>
                        <w:tcW w:w="1417" w:type="dxa"/>
                        <w:tcBorders>
                          <w:left w:val="nil"/>
                        </w:tcBorders>
                        <w:shd w:val="clear" w:color="auto" w:fill="EBEBEB"/>
                      </w:tcPr>
                      <w:p w:rsidR="00F22F94" w:rsidRDefault="00F22F94">
                        <w:pPr>
                          <w:pStyle w:val="TableParagraph"/>
                          <w:rPr>
                            <w:sz w:val="16"/>
                          </w:rPr>
                        </w:pPr>
                        <w:r>
                          <w:rPr>
                            <w:spacing w:val="-5"/>
                            <w:sz w:val="16"/>
                          </w:rPr>
                          <w:t>0.5</w:t>
                        </w:r>
                      </w:p>
                    </w:tc>
                    <w:tc>
                      <w:tcPr>
                        <w:tcW w:w="1417" w:type="dxa"/>
                        <w:shd w:val="clear" w:color="auto" w:fill="EBEBEB"/>
                      </w:tcPr>
                      <w:p w:rsidR="00F22F94" w:rsidRDefault="00F22F94">
                        <w:pPr>
                          <w:pStyle w:val="TableParagraph"/>
                          <w:rPr>
                            <w:sz w:val="16"/>
                          </w:rPr>
                        </w:pPr>
                        <w:r>
                          <w:rPr>
                            <w:w w:val="111"/>
                            <w:sz w:val="16"/>
                          </w:rPr>
                          <w:t>-</w:t>
                        </w:r>
                      </w:p>
                    </w:tc>
                    <w:tc>
                      <w:tcPr>
                        <w:tcW w:w="1417" w:type="dxa"/>
                        <w:shd w:val="clear" w:color="auto" w:fill="EBEBEB"/>
                      </w:tcPr>
                      <w:p w:rsidR="00F22F94" w:rsidRDefault="00F22F94">
                        <w:pPr>
                          <w:pStyle w:val="TableParagraph"/>
                          <w:ind w:left="114"/>
                          <w:rPr>
                            <w:sz w:val="16"/>
                          </w:rPr>
                        </w:pPr>
                        <w:r>
                          <w:rPr>
                            <w:w w:val="111"/>
                            <w:sz w:val="16"/>
                          </w:rPr>
                          <w:t>-</w:t>
                        </w:r>
                      </w:p>
                    </w:tc>
                    <w:tc>
                      <w:tcPr>
                        <w:tcW w:w="1454" w:type="dxa"/>
                        <w:shd w:val="clear" w:color="auto" w:fill="EBEBEB"/>
                      </w:tcPr>
                      <w:p w:rsidR="00F22F94" w:rsidRDefault="00F22F94">
                        <w:pPr>
                          <w:pStyle w:val="TableParagraph"/>
                          <w:ind w:left="114"/>
                          <w:rPr>
                            <w:sz w:val="16"/>
                          </w:rPr>
                        </w:pPr>
                        <w:r>
                          <w:rPr>
                            <w:spacing w:val="-5"/>
                            <w:sz w:val="16"/>
                          </w:rPr>
                          <w:t>0.5</w:t>
                        </w:r>
                      </w:p>
                    </w:tc>
                  </w:tr>
                  <w:tr w:rsidR="00F22F94">
                    <w:trPr>
                      <w:trHeight w:val="321"/>
                    </w:trPr>
                    <w:tc>
                      <w:tcPr>
                        <w:tcW w:w="1417" w:type="dxa"/>
                        <w:tcBorders>
                          <w:left w:val="nil"/>
                        </w:tcBorders>
                        <w:shd w:val="clear" w:color="auto" w:fill="EBEBEB"/>
                      </w:tcPr>
                      <w:p w:rsidR="00F22F94" w:rsidRDefault="00F22F94">
                        <w:pPr>
                          <w:pStyle w:val="TableParagraph"/>
                          <w:rPr>
                            <w:sz w:val="16"/>
                          </w:rPr>
                        </w:pPr>
                        <w:r>
                          <w:rPr>
                            <w:w w:val="111"/>
                            <w:sz w:val="16"/>
                          </w:rPr>
                          <w:t>-</w:t>
                        </w:r>
                      </w:p>
                    </w:tc>
                    <w:tc>
                      <w:tcPr>
                        <w:tcW w:w="1417" w:type="dxa"/>
                        <w:shd w:val="clear" w:color="auto" w:fill="EBEBEB"/>
                      </w:tcPr>
                      <w:p w:rsidR="00F22F94" w:rsidRDefault="00F22F94">
                        <w:pPr>
                          <w:pStyle w:val="TableParagraph"/>
                          <w:rPr>
                            <w:sz w:val="16"/>
                          </w:rPr>
                        </w:pPr>
                        <w:r>
                          <w:rPr>
                            <w:spacing w:val="-5"/>
                            <w:sz w:val="16"/>
                          </w:rPr>
                          <w:t>2.0</w:t>
                        </w:r>
                      </w:p>
                    </w:tc>
                    <w:tc>
                      <w:tcPr>
                        <w:tcW w:w="1417" w:type="dxa"/>
                        <w:shd w:val="clear" w:color="auto" w:fill="EBEBEB"/>
                      </w:tcPr>
                      <w:p w:rsidR="00F22F94" w:rsidRDefault="00F22F94">
                        <w:pPr>
                          <w:pStyle w:val="TableParagraph"/>
                          <w:ind w:left="114"/>
                          <w:rPr>
                            <w:sz w:val="16"/>
                          </w:rPr>
                        </w:pPr>
                        <w:r>
                          <w:rPr>
                            <w:w w:val="111"/>
                            <w:sz w:val="16"/>
                          </w:rPr>
                          <w:t>-</w:t>
                        </w:r>
                      </w:p>
                    </w:tc>
                    <w:tc>
                      <w:tcPr>
                        <w:tcW w:w="1454" w:type="dxa"/>
                        <w:shd w:val="clear" w:color="auto" w:fill="EBEBEB"/>
                      </w:tcPr>
                      <w:p w:rsidR="00F22F94" w:rsidRDefault="00F22F94">
                        <w:pPr>
                          <w:pStyle w:val="TableParagraph"/>
                          <w:ind w:left="114"/>
                          <w:rPr>
                            <w:sz w:val="16"/>
                          </w:rPr>
                        </w:pPr>
                        <w:r>
                          <w:rPr>
                            <w:spacing w:val="-5"/>
                            <w:sz w:val="16"/>
                          </w:rPr>
                          <w:t>2.0</w:t>
                        </w:r>
                      </w:p>
                    </w:tc>
                  </w:tr>
                  <w:tr w:rsidR="00F22F94">
                    <w:trPr>
                      <w:trHeight w:val="321"/>
                    </w:trPr>
                    <w:tc>
                      <w:tcPr>
                        <w:tcW w:w="1417" w:type="dxa"/>
                        <w:tcBorders>
                          <w:left w:val="nil"/>
                        </w:tcBorders>
                        <w:shd w:val="clear" w:color="auto" w:fill="EBEBEB"/>
                      </w:tcPr>
                      <w:p w:rsidR="00F22F94" w:rsidRDefault="00F22F94">
                        <w:pPr>
                          <w:pStyle w:val="TableParagraph"/>
                          <w:rPr>
                            <w:sz w:val="16"/>
                          </w:rPr>
                        </w:pPr>
                        <w:r>
                          <w:rPr>
                            <w:w w:val="111"/>
                            <w:sz w:val="16"/>
                          </w:rPr>
                          <w:t>-</w:t>
                        </w:r>
                      </w:p>
                    </w:tc>
                    <w:tc>
                      <w:tcPr>
                        <w:tcW w:w="1417" w:type="dxa"/>
                        <w:shd w:val="clear" w:color="auto" w:fill="EBEBEB"/>
                      </w:tcPr>
                      <w:p w:rsidR="00F22F94" w:rsidRDefault="00F22F94">
                        <w:pPr>
                          <w:pStyle w:val="TableParagraph"/>
                          <w:rPr>
                            <w:sz w:val="16"/>
                          </w:rPr>
                        </w:pPr>
                        <w:r>
                          <w:rPr>
                            <w:spacing w:val="-5"/>
                            <w:sz w:val="16"/>
                          </w:rPr>
                          <w:t>0.2</w:t>
                        </w:r>
                      </w:p>
                    </w:tc>
                    <w:tc>
                      <w:tcPr>
                        <w:tcW w:w="1417" w:type="dxa"/>
                        <w:shd w:val="clear" w:color="auto" w:fill="EBEBEB"/>
                      </w:tcPr>
                      <w:p w:rsidR="00F22F94" w:rsidRDefault="00F22F94">
                        <w:pPr>
                          <w:pStyle w:val="TableParagraph"/>
                          <w:ind w:left="114"/>
                          <w:rPr>
                            <w:sz w:val="16"/>
                          </w:rPr>
                        </w:pPr>
                        <w:r>
                          <w:rPr>
                            <w:w w:val="111"/>
                            <w:sz w:val="16"/>
                          </w:rPr>
                          <w:t>-</w:t>
                        </w:r>
                      </w:p>
                    </w:tc>
                    <w:tc>
                      <w:tcPr>
                        <w:tcW w:w="1454" w:type="dxa"/>
                        <w:shd w:val="clear" w:color="auto" w:fill="EBEBEB"/>
                      </w:tcPr>
                      <w:p w:rsidR="00F22F94" w:rsidRDefault="00F22F94">
                        <w:pPr>
                          <w:pStyle w:val="TableParagraph"/>
                          <w:ind w:left="114"/>
                          <w:rPr>
                            <w:sz w:val="16"/>
                          </w:rPr>
                        </w:pPr>
                        <w:r>
                          <w:rPr>
                            <w:spacing w:val="-5"/>
                            <w:sz w:val="16"/>
                          </w:rPr>
                          <w:t>0.2</w:t>
                        </w:r>
                      </w:p>
                    </w:tc>
                  </w:tr>
                  <w:tr w:rsidR="00F22F94">
                    <w:trPr>
                      <w:trHeight w:val="321"/>
                    </w:trPr>
                    <w:tc>
                      <w:tcPr>
                        <w:tcW w:w="1417" w:type="dxa"/>
                        <w:tcBorders>
                          <w:left w:val="nil"/>
                        </w:tcBorders>
                        <w:shd w:val="clear" w:color="auto" w:fill="EBEBEB"/>
                      </w:tcPr>
                      <w:p w:rsidR="00F22F94" w:rsidRDefault="00F22F94">
                        <w:pPr>
                          <w:pStyle w:val="TableParagraph"/>
                          <w:rPr>
                            <w:sz w:val="16"/>
                          </w:rPr>
                        </w:pPr>
                        <w:r>
                          <w:rPr>
                            <w:w w:val="111"/>
                            <w:sz w:val="16"/>
                          </w:rPr>
                          <w:t>-</w:t>
                        </w:r>
                      </w:p>
                    </w:tc>
                    <w:tc>
                      <w:tcPr>
                        <w:tcW w:w="1417" w:type="dxa"/>
                        <w:shd w:val="clear" w:color="auto" w:fill="EBEBEB"/>
                      </w:tcPr>
                      <w:p w:rsidR="00F22F94" w:rsidRDefault="00F22F94">
                        <w:pPr>
                          <w:pStyle w:val="TableParagraph"/>
                          <w:rPr>
                            <w:sz w:val="16"/>
                          </w:rPr>
                        </w:pPr>
                        <w:r>
                          <w:rPr>
                            <w:spacing w:val="-5"/>
                            <w:sz w:val="16"/>
                          </w:rPr>
                          <w:t>0.2</w:t>
                        </w:r>
                      </w:p>
                    </w:tc>
                    <w:tc>
                      <w:tcPr>
                        <w:tcW w:w="1417" w:type="dxa"/>
                        <w:shd w:val="clear" w:color="auto" w:fill="EBEBEB"/>
                      </w:tcPr>
                      <w:p w:rsidR="00F22F94" w:rsidRDefault="00F22F94">
                        <w:pPr>
                          <w:pStyle w:val="TableParagraph"/>
                          <w:ind w:left="114"/>
                          <w:rPr>
                            <w:sz w:val="16"/>
                          </w:rPr>
                        </w:pPr>
                        <w:r>
                          <w:rPr>
                            <w:w w:val="111"/>
                            <w:sz w:val="16"/>
                          </w:rPr>
                          <w:t>-</w:t>
                        </w:r>
                      </w:p>
                    </w:tc>
                    <w:tc>
                      <w:tcPr>
                        <w:tcW w:w="1454" w:type="dxa"/>
                        <w:shd w:val="clear" w:color="auto" w:fill="EBEBEB"/>
                      </w:tcPr>
                      <w:p w:rsidR="00F22F94" w:rsidRDefault="00F22F94">
                        <w:pPr>
                          <w:pStyle w:val="TableParagraph"/>
                          <w:ind w:left="114"/>
                          <w:rPr>
                            <w:sz w:val="16"/>
                          </w:rPr>
                        </w:pPr>
                        <w:r>
                          <w:rPr>
                            <w:spacing w:val="-5"/>
                            <w:sz w:val="16"/>
                          </w:rPr>
                          <w:t>0.2</w:t>
                        </w:r>
                      </w:p>
                    </w:tc>
                  </w:tr>
                  <w:tr w:rsidR="00F22F94">
                    <w:trPr>
                      <w:trHeight w:val="331"/>
                    </w:trPr>
                    <w:tc>
                      <w:tcPr>
                        <w:tcW w:w="1417" w:type="dxa"/>
                        <w:tcBorders>
                          <w:left w:val="nil"/>
                          <w:bottom w:val="nil"/>
                        </w:tcBorders>
                        <w:shd w:val="clear" w:color="auto" w:fill="EBEBEB"/>
                      </w:tcPr>
                      <w:p w:rsidR="00F22F94" w:rsidRDefault="00F22F94">
                        <w:pPr>
                          <w:pStyle w:val="TableParagraph"/>
                          <w:rPr>
                            <w:sz w:val="16"/>
                          </w:rPr>
                        </w:pPr>
                        <w:r>
                          <w:rPr>
                            <w:w w:val="111"/>
                            <w:sz w:val="16"/>
                          </w:rPr>
                          <w:t>-</w:t>
                        </w:r>
                      </w:p>
                    </w:tc>
                    <w:tc>
                      <w:tcPr>
                        <w:tcW w:w="1417" w:type="dxa"/>
                        <w:tcBorders>
                          <w:bottom w:val="nil"/>
                        </w:tcBorders>
                        <w:shd w:val="clear" w:color="auto" w:fill="EBEBEB"/>
                      </w:tcPr>
                      <w:p w:rsidR="00F22F94" w:rsidRDefault="00F22F94">
                        <w:pPr>
                          <w:pStyle w:val="TableParagraph"/>
                          <w:rPr>
                            <w:sz w:val="16"/>
                          </w:rPr>
                        </w:pPr>
                        <w:r>
                          <w:rPr>
                            <w:w w:val="111"/>
                            <w:sz w:val="16"/>
                          </w:rPr>
                          <w:t>-</w:t>
                        </w:r>
                      </w:p>
                    </w:tc>
                    <w:tc>
                      <w:tcPr>
                        <w:tcW w:w="1417" w:type="dxa"/>
                        <w:tcBorders>
                          <w:bottom w:val="nil"/>
                        </w:tcBorders>
                        <w:shd w:val="clear" w:color="auto" w:fill="EBEBEB"/>
                      </w:tcPr>
                      <w:p w:rsidR="00F22F94" w:rsidRDefault="00F22F94">
                        <w:pPr>
                          <w:pStyle w:val="TableParagraph"/>
                          <w:ind w:left="114"/>
                          <w:rPr>
                            <w:sz w:val="16"/>
                          </w:rPr>
                        </w:pPr>
                        <w:r>
                          <w:rPr>
                            <w:spacing w:val="-5"/>
                            <w:sz w:val="16"/>
                          </w:rPr>
                          <w:t>0.4</w:t>
                        </w:r>
                      </w:p>
                    </w:tc>
                    <w:tc>
                      <w:tcPr>
                        <w:tcW w:w="1454" w:type="dxa"/>
                        <w:tcBorders>
                          <w:bottom w:val="nil"/>
                        </w:tcBorders>
                        <w:shd w:val="clear" w:color="auto" w:fill="EBEBEB"/>
                      </w:tcPr>
                      <w:p w:rsidR="00F22F94" w:rsidRDefault="00F22F94">
                        <w:pPr>
                          <w:pStyle w:val="TableParagraph"/>
                          <w:ind w:left="114"/>
                          <w:rPr>
                            <w:sz w:val="16"/>
                          </w:rPr>
                        </w:pPr>
                        <w:r>
                          <w:rPr>
                            <w:spacing w:val="-5"/>
                            <w:sz w:val="16"/>
                          </w:rPr>
                          <w:t>0.4</w:t>
                        </w:r>
                      </w:p>
                    </w:tc>
                  </w:tr>
                  <w:tr w:rsidR="00F22F94">
                    <w:trPr>
                      <w:trHeight w:val="345"/>
                    </w:trPr>
                    <w:tc>
                      <w:tcPr>
                        <w:tcW w:w="1417" w:type="dxa"/>
                        <w:tcBorders>
                          <w:top w:val="nil"/>
                          <w:left w:val="nil"/>
                        </w:tcBorders>
                        <w:shd w:val="clear" w:color="auto" w:fill="C9C8C9"/>
                      </w:tcPr>
                      <w:p w:rsidR="00F22F94" w:rsidRDefault="00F22F94">
                        <w:pPr>
                          <w:pStyle w:val="TableParagraph"/>
                          <w:spacing w:before="77"/>
                          <w:rPr>
                            <w:sz w:val="16"/>
                          </w:rPr>
                        </w:pPr>
                        <w:r>
                          <w:rPr>
                            <w:spacing w:val="-5"/>
                            <w:sz w:val="16"/>
                          </w:rPr>
                          <w:t>0.5</w:t>
                        </w:r>
                      </w:p>
                    </w:tc>
                    <w:tc>
                      <w:tcPr>
                        <w:tcW w:w="1417" w:type="dxa"/>
                        <w:tcBorders>
                          <w:top w:val="nil"/>
                        </w:tcBorders>
                        <w:shd w:val="clear" w:color="auto" w:fill="C9C8C9"/>
                      </w:tcPr>
                      <w:p w:rsidR="00F22F94" w:rsidRDefault="00F22F94">
                        <w:pPr>
                          <w:pStyle w:val="TableParagraph"/>
                          <w:spacing w:before="77"/>
                          <w:rPr>
                            <w:sz w:val="16"/>
                          </w:rPr>
                        </w:pPr>
                        <w:r>
                          <w:rPr>
                            <w:spacing w:val="-5"/>
                            <w:sz w:val="16"/>
                          </w:rPr>
                          <w:t>2.4</w:t>
                        </w:r>
                      </w:p>
                    </w:tc>
                    <w:tc>
                      <w:tcPr>
                        <w:tcW w:w="1417" w:type="dxa"/>
                        <w:tcBorders>
                          <w:top w:val="nil"/>
                        </w:tcBorders>
                        <w:shd w:val="clear" w:color="auto" w:fill="C9C8C9"/>
                      </w:tcPr>
                      <w:p w:rsidR="00F22F94" w:rsidRDefault="00F22F94">
                        <w:pPr>
                          <w:pStyle w:val="TableParagraph"/>
                          <w:spacing w:before="77"/>
                          <w:ind w:left="114"/>
                          <w:rPr>
                            <w:sz w:val="16"/>
                          </w:rPr>
                        </w:pPr>
                        <w:r>
                          <w:rPr>
                            <w:spacing w:val="-5"/>
                            <w:sz w:val="16"/>
                          </w:rPr>
                          <w:t>0.4</w:t>
                        </w:r>
                      </w:p>
                    </w:tc>
                    <w:tc>
                      <w:tcPr>
                        <w:tcW w:w="1454" w:type="dxa"/>
                        <w:tcBorders>
                          <w:top w:val="nil"/>
                        </w:tcBorders>
                        <w:shd w:val="clear" w:color="auto" w:fill="C9C8C9"/>
                      </w:tcPr>
                      <w:p w:rsidR="00F22F94" w:rsidRDefault="00F22F94">
                        <w:pPr>
                          <w:pStyle w:val="TableParagraph"/>
                          <w:spacing w:before="77"/>
                          <w:ind w:left="114"/>
                          <w:rPr>
                            <w:sz w:val="16"/>
                          </w:rPr>
                        </w:pPr>
                        <w:r>
                          <w:rPr>
                            <w:spacing w:val="-5"/>
                            <w:sz w:val="16"/>
                          </w:rPr>
                          <w:t>3.3</w:t>
                        </w:r>
                      </w:p>
                    </w:tc>
                  </w:tr>
                </w:tbl>
                <w:p w:rsidR="00F22F94" w:rsidRDefault="00F22F94">
                  <w:pPr>
                    <w:pStyle w:val="BodyText"/>
                  </w:pPr>
                </w:p>
              </w:txbxContent>
            </v:textbox>
            <w10:wrap type="topAndBottom" anchorx="page"/>
          </v:shape>
        </w:pict>
      </w:r>
    </w:p>
    <w:p w:rsidR="002C1123" w:rsidRDefault="00F22F94">
      <w:pPr>
        <w:spacing w:before="63"/>
        <w:ind w:left="615"/>
        <w:rPr>
          <w:b/>
          <w:sz w:val="18"/>
        </w:rPr>
      </w:pPr>
      <w:r>
        <w:rPr>
          <w:b/>
          <w:w w:val="95"/>
          <w:sz w:val="18"/>
        </w:rPr>
        <w:t>Passenger</w:t>
      </w:r>
      <w:r>
        <w:rPr>
          <w:b/>
          <w:spacing w:val="29"/>
          <w:sz w:val="18"/>
        </w:rPr>
        <w:t xml:space="preserve"> </w:t>
      </w:r>
      <w:r>
        <w:rPr>
          <w:b/>
          <w:spacing w:val="-4"/>
          <w:sz w:val="18"/>
        </w:rPr>
        <w:t>Rail</w:t>
      </w:r>
    </w:p>
    <w:p w:rsidR="002C1123" w:rsidRDefault="002060EF">
      <w:pPr>
        <w:pStyle w:val="BodyText"/>
        <w:spacing w:before="6"/>
        <w:rPr>
          <w:b/>
          <w:sz w:val="3"/>
        </w:rPr>
      </w:pPr>
      <w:r>
        <w:pict>
          <v:shape id="docshape2848" o:spid="_x0000_s1168" type="#_x0000_t202" style="position:absolute;margin-left:49.6pt;margin-top:3.2pt;width:451.75pt;height:69.95pt;z-index:-251439104;mso-wrap-distance-left:0;mso-wrap-distance-right:0;mso-position-horizontal-relative:page" filled="f" stroked="f">
            <v:textbox inset="0,0,0,0">
              <w:txbxContent>
                <w:tbl>
                  <w:tblPr>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4932"/>
                    <w:gridCol w:w="1360"/>
                    <w:gridCol w:w="1360"/>
                    <w:gridCol w:w="1360"/>
                  </w:tblGrid>
                  <w:tr w:rsidR="00F22F94">
                    <w:trPr>
                      <w:trHeight w:val="321"/>
                    </w:trPr>
                    <w:tc>
                      <w:tcPr>
                        <w:tcW w:w="4932" w:type="dxa"/>
                        <w:shd w:val="clear" w:color="auto" w:fill="EBEBEB"/>
                      </w:tcPr>
                      <w:p w:rsidR="00F22F94" w:rsidRDefault="00F22F94">
                        <w:pPr>
                          <w:pStyle w:val="TableParagraph"/>
                          <w:rPr>
                            <w:sz w:val="16"/>
                          </w:rPr>
                        </w:pPr>
                        <w:r>
                          <w:rPr>
                            <w:w w:val="95"/>
                            <w:sz w:val="16"/>
                          </w:rPr>
                          <w:t>Mainline</w:t>
                        </w:r>
                        <w:r>
                          <w:rPr>
                            <w:spacing w:val="-7"/>
                            <w:w w:val="95"/>
                            <w:sz w:val="16"/>
                          </w:rPr>
                          <w:t xml:space="preserve"> </w:t>
                        </w:r>
                        <w:r>
                          <w:rPr>
                            <w:w w:val="95"/>
                            <w:sz w:val="16"/>
                          </w:rPr>
                          <w:t>Acceleration</w:t>
                        </w:r>
                        <w:r>
                          <w:rPr>
                            <w:spacing w:val="-6"/>
                            <w:w w:val="95"/>
                            <w:sz w:val="16"/>
                          </w:rPr>
                          <w:t xml:space="preserve"> </w:t>
                        </w:r>
                        <w:r>
                          <w:rPr>
                            <w:w w:val="95"/>
                            <w:sz w:val="16"/>
                          </w:rPr>
                          <w:t>Program</w:t>
                        </w:r>
                        <w:r>
                          <w:rPr>
                            <w:spacing w:val="-7"/>
                            <w:w w:val="95"/>
                            <w:sz w:val="16"/>
                          </w:rPr>
                          <w:t xml:space="preserve"> </w:t>
                        </w:r>
                        <w:r>
                          <w:rPr>
                            <w:w w:val="95"/>
                            <w:sz w:val="16"/>
                          </w:rPr>
                          <w:t>(all</w:t>
                        </w:r>
                        <w:r>
                          <w:rPr>
                            <w:spacing w:val="-6"/>
                            <w:w w:val="95"/>
                            <w:sz w:val="16"/>
                          </w:rPr>
                          <w:t xml:space="preserve"> </w:t>
                        </w:r>
                        <w:r>
                          <w:rPr>
                            <w:spacing w:val="-2"/>
                            <w:w w:val="95"/>
                            <w:sz w:val="16"/>
                          </w:rPr>
                          <w:t>phases)</w:t>
                        </w:r>
                      </w:p>
                    </w:tc>
                    <w:tc>
                      <w:tcPr>
                        <w:tcW w:w="1360" w:type="dxa"/>
                        <w:shd w:val="clear" w:color="auto" w:fill="EBEBEB"/>
                      </w:tcPr>
                      <w:p w:rsidR="00F22F94" w:rsidRDefault="00F22F94">
                        <w:pPr>
                          <w:pStyle w:val="TableParagraph"/>
                          <w:rPr>
                            <w:sz w:val="16"/>
                          </w:rPr>
                        </w:pPr>
                        <w:r>
                          <w:rPr>
                            <w:spacing w:val="-5"/>
                            <w:sz w:val="16"/>
                          </w:rPr>
                          <w:t>1.6</w:t>
                        </w:r>
                      </w:p>
                    </w:tc>
                    <w:tc>
                      <w:tcPr>
                        <w:tcW w:w="1360" w:type="dxa"/>
                        <w:shd w:val="clear" w:color="auto" w:fill="EBEBEB"/>
                      </w:tcPr>
                      <w:p w:rsidR="00F22F94" w:rsidRDefault="00F22F94">
                        <w:pPr>
                          <w:pStyle w:val="TableParagraph"/>
                          <w:ind w:left="114"/>
                          <w:rPr>
                            <w:sz w:val="16"/>
                          </w:rPr>
                        </w:pPr>
                        <w:r>
                          <w:rPr>
                            <w:w w:val="111"/>
                            <w:sz w:val="16"/>
                          </w:rPr>
                          <w:t>-</w:t>
                        </w:r>
                      </w:p>
                    </w:tc>
                    <w:tc>
                      <w:tcPr>
                        <w:tcW w:w="1360" w:type="dxa"/>
                        <w:tcBorders>
                          <w:right w:val="nil"/>
                        </w:tcBorders>
                        <w:shd w:val="clear" w:color="auto" w:fill="EBEBEB"/>
                      </w:tcPr>
                      <w:p w:rsidR="00F22F94" w:rsidRDefault="00F22F94">
                        <w:pPr>
                          <w:pStyle w:val="TableParagraph"/>
                          <w:ind w:left="114"/>
                          <w:rPr>
                            <w:sz w:val="16"/>
                          </w:rPr>
                        </w:pPr>
                        <w:r>
                          <w:rPr>
                            <w:spacing w:val="-5"/>
                            <w:sz w:val="16"/>
                          </w:rPr>
                          <w:t>1.6</w:t>
                        </w:r>
                      </w:p>
                    </w:tc>
                  </w:tr>
                  <w:tr w:rsidR="00F22F94">
                    <w:trPr>
                      <w:trHeight w:val="321"/>
                    </w:trPr>
                    <w:tc>
                      <w:tcPr>
                        <w:tcW w:w="4932" w:type="dxa"/>
                        <w:shd w:val="clear" w:color="auto" w:fill="EBEBEB"/>
                      </w:tcPr>
                      <w:p w:rsidR="00F22F94" w:rsidRDefault="00F22F94">
                        <w:pPr>
                          <w:pStyle w:val="TableParagraph"/>
                          <w:rPr>
                            <w:sz w:val="16"/>
                          </w:rPr>
                        </w:pPr>
                        <w:r>
                          <w:rPr>
                            <w:w w:val="95"/>
                            <w:sz w:val="16"/>
                          </w:rPr>
                          <w:t>Unlock</w:t>
                        </w:r>
                        <w:r>
                          <w:rPr>
                            <w:spacing w:val="-1"/>
                            <w:sz w:val="16"/>
                          </w:rPr>
                          <w:t xml:space="preserve"> </w:t>
                        </w:r>
                        <w:r>
                          <w:rPr>
                            <w:w w:val="95"/>
                            <w:sz w:val="16"/>
                          </w:rPr>
                          <w:t>City</w:t>
                        </w:r>
                        <w:r>
                          <w:rPr>
                            <w:spacing w:val="-1"/>
                            <w:sz w:val="16"/>
                          </w:rPr>
                          <w:t xml:space="preserve"> </w:t>
                        </w:r>
                        <w:r>
                          <w:rPr>
                            <w:w w:val="95"/>
                            <w:sz w:val="16"/>
                          </w:rPr>
                          <w:t>Circle</w:t>
                        </w:r>
                        <w:r>
                          <w:rPr>
                            <w:sz w:val="16"/>
                          </w:rPr>
                          <w:t xml:space="preserve"> </w:t>
                        </w:r>
                        <w:r>
                          <w:rPr>
                            <w:w w:val="95"/>
                            <w:sz w:val="16"/>
                          </w:rPr>
                          <w:t>spare</w:t>
                        </w:r>
                        <w:r>
                          <w:rPr>
                            <w:spacing w:val="-1"/>
                            <w:sz w:val="16"/>
                          </w:rPr>
                          <w:t xml:space="preserve"> </w:t>
                        </w:r>
                        <w:r>
                          <w:rPr>
                            <w:spacing w:val="-2"/>
                            <w:w w:val="95"/>
                            <w:sz w:val="16"/>
                          </w:rPr>
                          <w:t>capacity</w:t>
                        </w:r>
                      </w:p>
                    </w:tc>
                    <w:tc>
                      <w:tcPr>
                        <w:tcW w:w="1360" w:type="dxa"/>
                        <w:shd w:val="clear" w:color="auto" w:fill="EBEBEB"/>
                      </w:tcPr>
                      <w:p w:rsidR="00F22F94" w:rsidRDefault="00F22F94">
                        <w:pPr>
                          <w:pStyle w:val="TableParagraph"/>
                          <w:rPr>
                            <w:sz w:val="16"/>
                          </w:rPr>
                        </w:pPr>
                        <w:r>
                          <w:rPr>
                            <w:spacing w:val="-5"/>
                            <w:sz w:val="16"/>
                          </w:rPr>
                          <w:t>1.0</w:t>
                        </w:r>
                      </w:p>
                    </w:tc>
                    <w:tc>
                      <w:tcPr>
                        <w:tcW w:w="1360" w:type="dxa"/>
                        <w:shd w:val="clear" w:color="auto" w:fill="EBEBEB"/>
                      </w:tcPr>
                      <w:p w:rsidR="00F22F94" w:rsidRDefault="00F22F94">
                        <w:pPr>
                          <w:pStyle w:val="TableParagraph"/>
                          <w:ind w:left="114"/>
                          <w:rPr>
                            <w:sz w:val="16"/>
                          </w:rPr>
                        </w:pPr>
                        <w:r>
                          <w:rPr>
                            <w:w w:val="111"/>
                            <w:sz w:val="16"/>
                          </w:rPr>
                          <w:t>-</w:t>
                        </w:r>
                      </w:p>
                    </w:tc>
                    <w:tc>
                      <w:tcPr>
                        <w:tcW w:w="1360" w:type="dxa"/>
                        <w:tcBorders>
                          <w:right w:val="nil"/>
                        </w:tcBorders>
                        <w:shd w:val="clear" w:color="auto" w:fill="EBEBEB"/>
                      </w:tcPr>
                      <w:p w:rsidR="00F22F94" w:rsidRDefault="00F22F94">
                        <w:pPr>
                          <w:pStyle w:val="TableParagraph"/>
                          <w:ind w:left="114"/>
                          <w:rPr>
                            <w:sz w:val="16"/>
                          </w:rPr>
                        </w:pPr>
                        <w:r>
                          <w:rPr>
                            <w:spacing w:val="-5"/>
                            <w:sz w:val="16"/>
                          </w:rPr>
                          <w:t>1.0</w:t>
                        </w:r>
                      </w:p>
                    </w:tc>
                  </w:tr>
                  <w:tr w:rsidR="00F22F94">
                    <w:trPr>
                      <w:trHeight w:val="331"/>
                    </w:trPr>
                    <w:tc>
                      <w:tcPr>
                        <w:tcW w:w="4932" w:type="dxa"/>
                        <w:tcBorders>
                          <w:bottom w:val="nil"/>
                        </w:tcBorders>
                        <w:shd w:val="clear" w:color="auto" w:fill="EBEBEB"/>
                      </w:tcPr>
                      <w:p w:rsidR="00F22F94" w:rsidRDefault="00F22F94">
                        <w:pPr>
                          <w:pStyle w:val="TableParagraph"/>
                          <w:rPr>
                            <w:sz w:val="16"/>
                          </w:rPr>
                        </w:pPr>
                        <w:r>
                          <w:rPr>
                            <w:w w:val="95"/>
                            <w:sz w:val="16"/>
                          </w:rPr>
                          <w:t>Rapid</w:t>
                        </w:r>
                        <w:r>
                          <w:rPr>
                            <w:sz w:val="16"/>
                          </w:rPr>
                          <w:t xml:space="preserve"> </w:t>
                        </w:r>
                        <w:r>
                          <w:rPr>
                            <w:w w:val="95"/>
                            <w:sz w:val="16"/>
                          </w:rPr>
                          <w:t>transit</w:t>
                        </w:r>
                        <w:r>
                          <w:rPr>
                            <w:spacing w:val="1"/>
                            <w:sz w:val="16"/>
                          </w:rPr>
                          <w:t xml:space="preserve"> </w:t>
                        </w:r>
                        <w:r>
                          <w:rPr>
                            <w:spacing w:val="-2"/>
                            <w:w w:val="95"/>
                            <w:sz w:val="16"/>
                          </w:rPr>
                          <w:t>extension</w:t>
                        </w:r>
                      </w:p>
                    </w:tc>
                    <w:tc>
                      <w:tcPr>
                        <w:tcW w:w="1360" w:type="dxa"/>
                        <w:tcBorders>
                          <w:bottom w:val="nil"/>
                        </w:tcBorders>
                        <w:shd w:val="clear" w:color="auto" w:fill="EBEBEB"/>
                      </w:tcPr>
                      <w:p w:rsidR="00F22F94" w:rsidRDefault="00F22F94">
                        <w:pPr>
                          <w:pStyle w:val="TableParagraph"/>
                          <w:rPr>
                            <w:sz w:val="16"/>
                          </w:rPr>
                        </w:pPr>
                        <w:r>
                          <w:rPr>
                            <w:spacing w:val="-5"/>
                            <w:sz w:val="16"/>
                          </w:rPr>
                          <w:t>5.0</w:t>
                        </w:r>
                      </w:p>
                    </w:tc>
                    <w:tc>
                      <w:tcPr>
                        <w:tcW w:w="1360" w:type="dxa"/>
                        <w:tcBorders>
                          <w:bottom w:val="nil"/>
                        </w:tcBorders>
                        <w:shd w:val="clear" w:color="auto" w:fill="EBEBEB"/>
                      </w:tcPr>
                      <w:p w:rsidR="00F22F94" w:rsidRDefault="00F22F94">
                        <w:pPr>
                          <w:pStyle w:val="TableParagraph"/>
                          <w:ind w:left="114"/>
                          <w:rPr>
                            <w:sz w:val="16"/>
                          </w:rPr>
                        </w:pPr>
                        <w:r>
                          <w:rPr>
                            <w:w w:val="111"/>
                            <w:sz w:val="16"/>
                          </w:rPr>
                          <w:t>-</w:t>
                        </w:r>
                      </w:p>
                    </w:tc>
                    <w:tc>
                      <w:tcPr>
                        <w:tcW w:w="1360" w:type="dxa"/>
                        <w:tcBorders>
                          <w:bottom w:val="nil"/>
                          <w:right w:val="nil"/>
                        </w:tcBorders>
                        <w:shd w:val="clear" w:color="auto" w:fill="EBEBEB"/>
                      </w:tcPr>
                      <w:p w:rsidR="00F22F94" w:rsidRDefault="00F22F94">
                        <w:pPr>
                          <w:pStyle w:val="TableParagraph"/>
                          <w:ind w:left="114"/>
                          <w:rPr>
                            <w:sz w:val="16"/>
                          </w:rPr>
                        </w:pPr>
                        <w:r>
                          <w:rPr>
                            <w:spacing w:val="-5"/>
                            <w:sz w:val="16"/>
                          </w:rPr>
                          <w:t>5.0</w:t>
                        </w:r>
                      </w:p>
                    </w:tc>
                  </w:tr>
                  <w:tr w:rsidR="00F22F94">
                    <w:trPr>
                      <w:trHeight w:val="345"/>
                    </w:trPr>
                    <w:tc>
                      <w:tcPr>
                        <w:tcW w:w="4932" w:type="dxa"/>
                        <w:tcBorders>
                          <w:top w:val="nil"/>
                          <w:left w:val="nil"/>
                        </w:tcBorders>
                        <w:shd w:val="clear" w:color="auto" w:fill="C9C8C9"/>
                      </w:tcPr>
                      <w:p w:rsidR="00F22F94" w:rsidRDefault="00F22F94">
                        <w:pPr>
                          <w:pStyle w:val="TableParagraph"/>
                          <w:spacing w:before="73"/>
                          <w:ind w:left="161"/>
                          <w:rPr>
                            <w:sz w:val="18"/>
                          </w:rPr>
                        </w:pPr>
                        <w:r>
                          <w:rPr>
                            <w:spacing w:val="-4"/>
                            <w:sz w:val="18"/>
                          </w:rPr>
                          <w:t>TOTAL</w:t>
                        </w:r>
                      </w:p>
                    </w:tc>
                    <w:tc>
                      <w:tcPr>
                        <w:tcW w:w="1360" w:type="dxa"/>
                        <w:tcBorders>
                          <w:top w:val="nil"/>
                        </w:tcBorders>
                        <w:shd w:val="clear" w:color="auto" w:fill="C9C8C9"/>
                      </w:tcPr>
                      <w:p w:rsidR="00F22F94" w:rsidRDefault="00F22F94">
                        <w:pPr>
                          <w:pStyle w:val="TableParagraph"/>
                          <w:spacing w:before="77"/>
                          <w:rPr>
                            <w:sz w:val="16"/>
                          </w:rPr>
                        </w:pPr>
                        <w:r>
                          <w:rPr>
                            <w:spacing w:val="-5"/>
                            <w:sz w:val="16"/>
                          </w:rPr>
                          <w:t>7.6</w:t>
                        </w:r>
                      </w:p>
                    </w:tc>
                    <w:tc>
                      <w:tcPr>
                        <w:tcW w:w="1360" w:type="dxa"/>
                        <w:tcBorders>
                          <w:top w:val="nil"/>
                        </w:tcBorders>
                        <w:shd w:val="clear" w:color="auto" w:fill="C9C8C9"/>
                      </w:tcPr>
                      <w:p w:rsidR="00F22F94" w:rsidRDefault="00F22F94">
                        <w:pPr>
                          <w:pStyle w:val="TableParagraph"/>
                          <w:spacing w:before="77"/>
                          <w:ind w:left="114"/>
                          <w:rPr>
                            <w:sz w:val="16"/>
                          </w:rPr>
                        </w:pPr>
                        <w:r>
                          <w:rPr>
                            <w:w w:val="116"/>
                            <w:sz w:val="16"/>
                          </w:rPr>
                          <w:t>-</w:t>
                        </w:r>
                      </w:p>
                    </w:tc>
                    <w:tc>
                      <w:tcPr>
                        <w:tcW w:w="1360" w:type="dxa"/>
                        <w:tcBorders>
                          <w:top w:val="nil"/>
                          <w:right w:val="nil"/>
                        </w:tcBorders>
                        <w:shd w:val="clear" w:color="auto" w:fill="C9C8C9"/>
                      </w:tcPr>
                      <w:p w:rsidR="00F22F94" w:rsidRDefault="00F22F94">
                        <w:pPr>
                          <w:pStyle w:val="TableParagraph"/>
                          <w:spacing w:before="77"/>
                          <w:ind w:left="114"/>
                          <w:rPr>
                            <w:sz w:val="16"/>
                          </w:rPr>
                        </w:pPr>
                        <w:r>
                          <w:rPr>
                            <w:spacing w:val="-5"/>
                            <w:sz w:val="16"/>
                          </w:rPr>
                          <w:t>7.6</w:t>
                        </w:r>
                      </w:p>
                    </w:tc>
                  </w:tr>
                </w:tbl>
                <w:p w:rsidR="00F22F94" w:rsidRDefault="00F22F94">
                  <w:pPr>
                    <w:pStyle w:val="BodyText"/>
                  </w:pPr>
                </w:p>
              </w:txbxContent>
            </v:textbox>
            <w10:wrap type="topAndBottom" anchorx="page"/>
          </v:shape>
        </w:pict>
      </w:r>
      <w:r>
        <w:pict>
          <v:shape id="docshape2849" o:spid="_x0000_s1167" type="#_x0000_t202" style="position:absolute;margin-left:506pt;margin-top:3.2pt;width:286.3pt;height:69.95pt;z-index:-251438080;mso-wrap-distance-left:0;mso-wrap-distance-right:0;mso-position-horizontal-relative:page" filled="f" stroked="f">
            <v:textbox inset="0,0,0,0">
              <w:txbxContent>
                <w:tbl>
                  <w:tblPr>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417"/>
                    <w:gridCol w:w="1417"/>
                    <w:gridCol w:w="1417"/>
                    <w:gridCol w:w="1454"/>
                  </w:tblGrid>
                  <w:tr w:rsidR="00F22F94">
                    <w:trPr>
                      <w:trHeight w:val="321"/>
                    </w:trPr>
                    <w:tc>
                      <w:tcPr>
                        <w:tcW w:w="1417" w:type="dxa"/>
                        <w:tcBorders>
                          <w:left w:val="nil"/>
                        </w:tcBorders>
                        <w:shd w:val="clear" w:color="auto" w:fill="EBEBEB"/>
                      </w:tcPr>
                      <w:p w:rsidR="00F22F94" w:rsidRDefault="00F22F94">
                        <w:pPr>
                          <w:pStyle w:val="TableParagraph"/>
                          <w:rPr>
                            <w:sz w:val="16"/>
                          </w:rPr>
                        </w:pPr>
                        <w:r>
                          <w:rPr>
                            <w:spacing w:val="-5"/>
                            <w:sz w:val="16"/>
                          </w:rPr>
                          <w:t>0.1</w:t>
                        </w:r>
                      </w:p>
                    </w:tc>
                    <w:tc>
                      <w:tcPr>
                        <w:tcW w:w="1417" w:type="dxa"/>
                        <w:shd w:val="clear" w:color="auto" w:fill="EBEBEB"/>
                      </w:tcPr>
                      <w:p w:rsidR="00F22F94" w:rsidRDefault="00F22F94">
                        <w:pPr>
                          <w:pStyle w:val="TableParagraph"/>
                          <w:rPr>
                            <w:sz w:val="16"/>
                          </w:rPr>
                        </w:pPr>
                        <w:r>
                          <w:rPr>
                            <w:spacing w:val="-5"/>
                            <w:sz w:val="16"/>
                          </w:rPr>
                          <w:t>1.0</w:t>
                        </w:r>
                      </w:p>
                    </w:tc>
                    <w:tc>
                      <w:tcPr>
                        <w:tcW w:w="1417" w:type="dxa"/>
                        <w:shd w:val="clear" w:color="auto" w:fill="EBEBEB"/>
                      </w:tcPr>
                      <w:p w:rsidR="00F22F94" w:rsidRDefault="00F22F94">
                        <w:pPr>
                          <w:pStyle w:val="TableParagraph"/>
                          <w:ind w:left="114"/>
                          <w:rPr>
                            <w:sz w:val="16"/>
                          </w:rPr>
                        </w:pPr>
                        <w:r>
                          <w:rPr>
                            <w:spacing w:val="-5"/>
                            <w:sz w:val="16"/>
                          </w:rPr>
                          <w:t>0.5</w:t>
                        </w:r>
                      </w:p>
                    </w:tc>
                    <w:tc>
                      <w:tcPr>
                        <w:tcW w:w="1454" w:type="dxa"/>
                        <w:shd w:val="clear" w:color="auto" w:fill="EBEBEB"/>
                      </w:tcPr>
                      <w:p w:rsidR="00F22F94" w:rsidRDefault="00F22F94">
                        <w:pPr>
                          <w:pStyle w:val="TableParagraph"/>
                          <w:ind w:left="114"/>
                          <w:rPr>
                            <w:sz w:val="16"/>
                          </w:rPr>
                        </w:pPr>
                        <w:r>
                          <w:rPr>
                            <w:spacing w:val="-5"/>
                            <w:sz w:val="16"/>
                          </w:rPr>
                          <w:t>1.6</w:t>
                        </w:r>
                      </w:p>
                    </w:tc>
                  </w:tr>
                  <w:tr w:rsidR="00F22F94">
                    <w:trPr>
                      <w:trHeight w:val="321"/>
                    </w:trPr>
                    <w:tc>
                      <w:tcPr>
                        <w:tcW w:w="1417" w:type="dxa"/>
                        <w:tcBorders>
                          <w:left w:val="nil"/>
                        </w:tcBorders>
                        <w:shd w:val="clear" w:color="auto" w:fill="EBEBEB"/>
                      </w:tcPr>
                      <w:p w:rsidR="00F22F94" w:rsidRDefault="00F22F94">
                        <w:pPr>
                          <w:pStyle w:val="TableParagraph"/>
                          <w:rPr>
                            <w:sz w:val="16"/>
                          </w:rPr>
                        </w:pPr>
                        <w:r>
                          <w:rPr>
                            <w:w w:val="111"/>
                            <w:sz w:val="16"/>
                          </w:rPr>
                          <w:t>-</w:t>
                        </w:r>
                      </w:p>
                    </w:tc>
                    <w:tc>
                      <w:tcPr>
                        <w:tcW w:w="1417" w:type="dxa"/>
                        <w:shd w:val="clear" w:color="auto" w:fill="EBEBEB"/>
                      </w:tcPr>
                      <w:p w:rsidR="00F22F94" w:rsidRDefault="00F22F94">
                        <w:pPr>
                          <w:pStyle w:val="TableParagraph"/>
                          <w:rPr>
                            <w:sz w:val="16"/>
                          </w:rPr>
                        </w:pPr>
                        <w:r>
                          <w:rPr>
                            <w:spacing w:val="-5"/>
                            <w:sz w:val="16"/>
                          </w:rPr>
                          <w:t>1.0</w:t>
                        </w:r>
                      </w:p>
                    </w:tc>
                    <w:tc>
                      <w:tcPr>
                        <w:tcW w:w="1417" w:type="dxa"/>
                        <w:shd w:val="clear" w:color="auto" w:fill="EBEBEB"/>
                      </w:tcPr>
                      <w:p w:rsidR="00F22F94" w:rsidRDefault="00F22F94">
                        <w:pPr>
                          <w:pStyle w:val="TableParagraph"/>
                          <w:ind w:left="114"/>
                          <w:rPr>
                            <w:sz w:val="16"/>
                          </w:rPr>
                        </w:pPr>
                        <w:r>
                          <w:rPr>
                            <w:w w:val="111"/>
                            <w:sz w:val="16"/>
                          </w:rPr>
                          <w:t>-</w:t>
                        </w:r>
                      </w:p>
                    </w:tc>
                    <w:tc>
                      <w:tcPr>
                        <w:tcW w:w="1454" w:type="dxa"/>
                        <w:shd w:val="clear" w:color="auto" w:fill="EBEBEB"/>
                      </w:tcPr>
                      <w:p w:rsidR="00F22F94" w:rsidRDefault="00F22F94">
                        <w:pPr>
                          <w:pStyle w:val="TableParagraph"/>
                          <w:ind w:left="114"/>
                          <w:rPr>
                            <w:sz w:val="16"/>
                          </w:rPr>
                        </w:pPr>
                        <w:r>
                          <w:rPr>
                            <w:spacing w:val="-5"/>
                            <w:sz w:val="16"/>
                          </w:rPr>
                          <w:t>1.0</w:t>
                        </w:r>
                      </w:p>
                    </w:tc>
                  </w:tr>
                  <w:tr w:rsidR="00F22F94">
                    <w:trPr>
                      <w:trHeight w:val="331"/>
                    </w:trPr>
                    <w:tc>
                      <w:tcPr>
                        <w:tcW w:w="1417" w:type="dxa"/>
                        <w:tcBorders>
                          <w:left w:val="nil"/>
                          <w:bottom w:val="nil"/>
                        </w:tcBorders>
                        <w:shd w:val="clear" w:color="auto" w:fill="EBEBEB"/>
                      </w:tcPr>
                      <w:p w:rsidR="00F22F94" w:rsidRDefault="00F22F94">
                        <w:pPr>
                          <w:pStyle w:val="TableParagraph"/>
                          <w:rPr>
                            <w:sz w:val="16"/>
                          </w:rPr>
                        </w:pPr>
                        <w:r>
                          <w:rPr>
                            <w:w w:val="111"/>
                            <w:sz w:val="16"/>
                          </w:rPr>
                          <w:t>-</w:t>
                        </w:r>
                      </w:p>
                    </w:tc>
                    <w:tc>
                      <w:tcPr>
                        <w:tcW w:w="1417" w:type="dxa"/>
                        <w:tcBorders>
                          <w:bottom w:val="nil"/>
                        </w:tcBorders>
                        <w:shd w:val="clear" w:color="auto" w:fill="EBEBEB"/>
                      </w:tcPr>
                      <w:p w:rsidR="00F22F94" w:rsidRDefault="00F22F94">
                        <w:pPr>
                          <w:pStyle w:val="TableParagraph"/>
                          <w:rPr>
                            <w:sz w:val="16"/>
                          </w:rPr>
                        </w:pPr>
                        <w:r>
                          <w:rPr>
                            <w:w w:val="111"/>
                            <w:sz w:val="16"/>
                          </w:rPr>
                          <w:t>-</w:t>
                        </w:r>
                      </w:p>
                    </w:tc>
                    <w:tc>
                      <w:tcPr>
                        <w:tcW w:w="1417" w:type="dxa"/>
                        <w:tcBorders>
                          <w:bottom w:val="nil"/>
                        </w:tcBorders>
                        <w:shd w:val="clear" w:color="auto" w:fill="EBEBEB"/>
                      </w:tcPr>
                      <w:p w:rsidR="00F22F94" w:rsidRDefault="00F22F94">
                        <w:pPr>
                          <w:pStyle w:val="TableParagraph"/>
                          <w:ind w:left="114"/>
                          <w:rPr>
                            <w:sz w:val="16"/>
                          </w:rPr>
                        </w:pPr>
                        <w:r>
                          <w:rPr>
                            <w:spacing w:val="-5"/>
                            <w:sz w:val="16"/>
                          </w:rPr>
                          <w:t>5.0</w:t>
                        </w:r>
                      </w:p>
                    </w:tc>
                    <w:tc>
                      <w:tcPr>
                        <w:tcW w:w="1454" w:type="dxa"/>
                        <w:tcBorders>
                          <w:bottom w:val="nil"/>
                        </w:tcBorders>
                        <w:shd w:val="clear" w:color="auto" w:fill="EBEBEB"/>
                      </w:tcPr>
                      <w:p w:rsidR="00F22F94" w:rsidRDefault="00F22F94">
                        <w:pPr>
                          <w:pStyle w:val="TableParagraph"/>
                          <w:ind w:left="114"/>
                          <w:rPr>
                            <w:sz w:val="16"/>
                          </w:rPr>
                        </w:pPr>
                        <w:r>
                          <w:rPr>
                            <w:spacing w:val="-5"/>
                            <w:sz w:val="16"/>
                          </w:rPr>
                          <w:t>5.0</w:t>
                        </w:r>
                      </w:p>
                    </w:tc>
                  </w:tr>
                  <w:tr w:rsidR="00F22F94">
                    <w:trPr>
                      <w:trHeight w:val="345"/>
                    </w:trPr>
                    <w:tc>
                      <w:tcPr>
                        <w:tcW w:w="1417" w:type="dxa"/>
                        <w:tcBorders>
                          <w:top w:val="nil"/>
                          <w:left w:val="nil"/>
                        </w:tcBorders>
                        <w:shd w:val="clear" w:color="auto" w:fill="C9C8C9"/>
                      </w:tcPr>
                      <w:p w:rsidR="00F22F94" w:rsidRDefault="00F22F94">
                        <w:pPr>
                          <w:pStyle w:val="TableParagraph"/>
                          <w:spacing w:before="77"/>
                          <w:rPr>
                            <w:sz w:val="16"/>
                          </w:rPr>
                        </w:pPr>
                        <w:r>
                          <w:rPr>
                            <w:spacing w:val="-5"/>
                            <w:sz w:val="16"/>
                          </w:rPr>
                          <w:t>0.1</w:t>
                        </w:r>
                      </w:p>
                    </w:tc>
                    <w:tc>
                      <w:tcPr>
                        <w:tcW w:w="1417" w:type="dxa"/>
                        <w:tcBorders>
                          <w:top w:val="nil"/>
                        </w:tcBorders>
                        <w:shd w:val="clear" w:color="auto" w:fill="C9C8C9"/>
                      </w:tcPr>
                      <w:p w:rsidR="00F22F94" w:rsidRDefault="00F22F94">
                        <w:pPr>
                          <w:pStyle w:val="TableParagraph"/>
                          <w:spacing w:before="77"/>
                          <w:rPr>
                            <w:sz w:val="16"/>
                          </w:rPr>
                        </w:pPr>
                        <w:r>
                          <w:rPr>
                            <w:spacing w:val="-5"/>
                            <w:sz w:val="16"/>
                          </w:rPr>
                          <w:t>2.0</w:t>
                        </w:r>
                      </w:p>
                    </w:tc>
                    <w:tc>
                      <w:tcPr>
                        <w:tcW w:w="1417" w:type="dxa"/>
                        <w:tcBorders>
                          <w:top w:val="nil"/>
                        </w:tcBorders>
                        <w:shd w:val="clear" w:color="auto" w:fill="C9C8C9"/>
                      </w:tcPr>
                      <w:p w:rsidR="00F22F94" w:rsidRDefault="00F22F94">
                        <w:pPr>
                          <w:pStyle w:val="TableParagraph"/>
                          <w:spacing w:before="77"/>
                          <w:ind w:left="114"/>
                          <w:rPr>
                            <w:sz w:val="16"/>
                          </w:rPr>
                        </w:pPr>
                        <w:r>
                          <w:rPr>
                            <w:spacing w:val="-5"/>
                            <w:sz w:val="16"/>
                          </w:rPr>
                          <w:t>5.5</w:t>
                        </w:r>
                      </w:p>
                    </w:tc>
                    <w:tc>
                      <w:tcPr>
                        <w:tcW w:w="1454" w:type="dxa"/>
                        <w:tcBorders>
                          <w:top w:val="nil"/>
                        </w:tcBorders>
                        <w:shd w:val="clear" w:color="auto" w:fill="C9C8C9"/>
                      </w:tcPr>
                      <w:p w:rsidR="00F22F94" w:rsidRDefault="00F22F94">
                        <w:pPr>
                          <w:pStyle w:val="TableParagraph"/>
                          <w:spacing w:before="77"/>
                          <w:ind w:left="114"/>
                          <w:rPr>
                            <w:sz w:val="16"/>
                          </w:rPr>
                        </w:pPr>
                        <w:r>
                          <w:rPr>
                            <w:spacing w:val="-5"/>
                            <w:sz w:val="16"/>
                          </w:rPr>
                          <w:t>7.6</w:t>
                        </w:r>
                      </w:p>
                    </w:tc>
                  </w:tr>
                </w:tbl>
                <w:p w:rsidR="00F22F94" w:rsidRDefault="00F22F94">
                  <w:pPr>
                    <w:pStyle w:val="BodyText"/>
                  </w:pPr>
                </w:p>
              </w:txbxContent>
            </v:textbox>
            <w10:wrap type="topAndBottom" anchorx="page"/>
          </v:shape>
        </w:pict>
      </w:r>
    </w:p>
    <w:p w:rsidR="002C1123" w:rsidRDefault="002C1123">
      <w:pPr>
        <w:rPr>
          <w:sz w:val="3"/>
        </w:rPr>
        <w:sectPr w:rsidR="002C1123">
          <w:pgSz w:w="16840" w:h="11910" w:orient="landscape"/>
          <w:pgMar w:top="560" w:right="280" w:bottom="700" w:left="500" w:header="0" w:footer="517" w:gutter="0"/>
          <w:cols w:space="720"/>
        </w:sectPr>
      </w:pPr>
    </w:p>
    <w:p w:rsidR="002C1123" w:rsidRDefault="002060EF">
      <w:pPr>
        <w:pStyle w:val="BodyText"/>
        <w:rPr>
          <w:b/>
        </w:rPr>
      </w:pPr>
      <w:r>
        <w:lastRenderedPageBreak/>
        <w:pict>
          <v:line id="_x0000_s1166" style="position:absolute;z-index:251748352;mso-position-horizontal-relative:page;mso-position-vertical-relative:page" from="506.5pt,495.85pt" to="506.5pt,476.9pt" strokecolor="white" strokeweight="1pt">
            <w10:wrap anchorx="page" anchory="page"/>
          </v:line>
        </w:pict>
      </w: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spacing w:before="7" w:after="1"/>
        <w:rPr>
          <w:b/>
          <w:sz w:val="11"/>
        </w:rPr>
      </w:pPr>
    </w:p>
    <w:p w:rsidR="002C1123" w:rsidRDefault="002060EF">
      <w:pPr>
        <w:ind w:left="502"/>
        <w:rPr>
          <w:sz w:val="20"/>
        </w:rPr>
      </w:pPr>
      <w:r>
        <w:rPr>
          <w:sz w:val="20"/>
        </w:rPr>
      </w:r>
      <w:r>
        <w:rPr>
          <w:sz w:val="20"/>
        </w:rPr>
        <w:pict>
          <v:shape id="docshape2850" o:spid="_x0000_s5256" type="#_x0000_t202" style="width:450.75pt;height:36.55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4932"/>
                    <w:gridCol w:w="1360"/>
                    <w:gridCol w:w="1360"/>
                    <w:gridCol w:w="1360"/>
                  </w:tblGrid>
                  <w:tr w:rsidR="00F22F94">
                    <w:trPr>
                      <w:trHeight w:val="345"/>
                    </w:trPr>
                    <w:tc>
                      <w:tcPr>
                        <w:tcW w:w="4932" w:type="dxa"/>
                        <w:vMerge w:val="restart"/>
                        <w:tcBorders>
                          <w:top w:val="nil"/>
                          <w:left w:val="nil"/>
                        </w:tcBorders>
                        <w:shd w:val="clear" w:color="auto" w:fill="C9C8C9"/>
                      </w:tcPr>
                      <w:p w:rsidR="00F22F94" w:rsidRDefault="00F22F94">
                        <w:pPr>
                          <w:pStyle w:val="TableParagraph"/>
                          <w:spacing w:before="73"/>
                          <w:ind w:left="103"/>
                          <w:rPr>
                            <w:b/>
                            <w:sz w:val="18"/>
                          </w:rPr>
                        </w:pPr>
                        <w:bookmarkStart w:id="391" w:name="_bookmark279"/>
                        <w:bookmarkEnd w:id="391"/>
                        <w:r>
                          <w:rPr>
                            <w:b/>
                            <w:w w:val="95"/>
                            <w:sz w:val="18"/>
                          </w:rPr>
                          <w:t>Real</w:t>
                        </w:r>
                        <w:r>
                          <w:rPr>
                            <w:b/>
                            <w:spacing w:val="-5"/>
                            <w:w w:val="95"/>
                            <w:sz w:val="18"/>
                          </w:rPr>
                          <w:t xml:space="preserve"> </w:t>
                        </w:r>
                        <w:r>
                          <w:rPr>
                            <w:b/>
                            <w:w w:val="95"/>
                            <w:sz w:val="18"/>
                          </w:rPr>
                          <w:t>$</w:t>
                        </w:r>
                        <w:r>
                          <w:rPr>
                            <w:b/>
                            <w:spacing w:val="-4"/>
                            <w:w w:val="95"/>
                            <w:sz w:val="18"/>
                          </w:rPr>
                          <w:t xml:space="preserve"> </w:t>
                        </w:r>
                        <w:r>
                          <w:rPr>
                            <w:b/>
                            <w:spacing w:val="-2"/>
                            <w:w w:val="95"/>
                            <w:sz w:val="18"/>
                          </w:rPr>
                          <w:t>billion</w:t>
                        </w:r>
                      </w:p>
                    </w:tc>
                    <w:tc>
                      <w:tcPr>
                        <w:tcW w:w="4080" w:type="dxa"/>
                        <w:gridSpan w:val="3"/>
                        <w:tcBorders>
                          <w:top w:val="nil"/>
                          <w:right w:val="nil"/>
                        </w:tcBorders>
                        <w:shd w:val="clear" w:color="auto" w:fill="C9C8C9"/>
                      </w:tcPr>
                      <w:p w:rsidR="00F22F94" w:rsidRDefault="00F22F94">
                        <w:pPr>
                          <w:pStyle w:val="TableParagraph"/>
                          <w:spacing w:before="73"/>
                          <w:ind w:left="1074"/>
                          <w:rPr>
                            <w:b/>
                            <w:sz w:val="18"/>
                          </w:rPr>
                        </w:pPr>
                        <w:r>
                          <w:rPr>
                            <w:b/>
                            <w:w w:val="95"/>
                            <w:sz w:val="18"/>
                          </w:rPr>
                          <w:t>Indicative</w:t>
                        </w:r>
                        <w:r>
                          <w:rPr>
                            <w:b/>
                            <w:spacing w:val="12"/>
                            <w:sz w:val="18"/>
                          </w:rPr>
                          <w:t xml:space="preserve"> </w:t>
                        </w:r>
                        <w:r>
                          <w:rPr>
                            <w:b/>
                            <w:w w:val="95"/>
                            <w:sz w:val="18"/>
                          </w:rPr>
                          <w:t>Funding</w:t>
                        </w:r>
                        <w:r>
                          <w:rPr>
                            <w:b/>
                            <w:spacing w:val="13"/>
                            <w:sz w:val="18"/>
                          </w:rPr>
                          <w:t xml:space="preserve"> </w:t>
                        </w:r>
                        <w:r>
                          <w:rPr>
                            <w:b/>
                            <w:spacing w:val="-5"/>
                            <w:w w:val="95"/>
                            <w:sz w:val="18"/>
                          </w:rPr>
                          <w:t>Mix</w:t>
                        </w:r>
                      </w:p>
                    </w:tc>
                  </w:tr>
                  <w:tr w:rsidR="00F22F94">
                    <w:trPr>
                      <w:trHeight w:val="335"/>
                    </w:trPr>
                    <w:tc>
                      <w:tcPr>
                        <w:tcW w:w="4932" w:type="dxa"/>
                        <w:vMerge/>
                        <w:tcBorders>
                          <w:top w:val="nil"/>
                          <w:left w:val="nil"/>
                        </w:tcBorders>
                        <w:shd w:val="clear" w:color="auto" w:fill="C9C8C9"/>
                      </w:tcPr>
                      <w:p w:rsidR="00F22F94" w:rsidRDefault="00F22F94">
                        <w:pPr>
                          <w:rPr>
                            <w:sz w:val="2"/>
                            <w:szCs w:val="2"/>
                          </w:rPr>
                        </w:pPr>
                      </w:p>
                    </w:tc>
                    <w:tc>
                      <w:tcPr>
                        <w:tcW w:w="1360" w:type="dxa"/>
                        <w:shd w:val="clear" w:color="auto" w:fill="C9C8C9"/>
                      </w:tcPr>
                      <w:p w:rsidR="00F22F94" w:rsidRDefault="00F22F94">
                        <w:pPr>
                          <w:pStyle w:val="TableParagraph"/>
                          <w:spacing w:before="63"/>
                          <w:ind w:left="103"/>
                          <w:rPr>
                            <w:sz w:val="18"/>
                          </w:rPr>
                        </w:pPr>
                        <w:r>
                          <w:rPr>
                            <w:spacing w:val="-2"/>
                            <w:w w:val="105"/>
                            <w:sz w:val="18"/>
                          </w:rPr>
                          <w:t>Total</w:t>
                        </w:r>
                      </w:p>
                    </w:tc>
                    <w:tc>
                      <w:tcPr>
                        <w:tcW w:w="1360" w:type="dxa"/>
                        <w:shd w:val="clear" w:color="auto" w:fill="C9C8C9"/>
                      </w:tcPr>
                      <w:p w:rsidR="00F22F94" w:rsidRDefault="00F22F94">
                        <w:pPr>
                          <w:pStyle w:val="TableParagraph"/>
                          <w:spacing w:before="63"/>
                          <w:ind w:left="104"/>
                          <w:rPr>
                            <w:sz w:val="18"/>
                          </w:rPr>
                        </w:pPr>
                        <w:r>
                          <w:rPr>
                            <w:spacing w:val="-2"/>
                            <w:sz w:val="18"/>
                          </w:rPr>
                          <w:t>Users</w:t>
                        </w:r>
                      </w:p>
                    </w:tc>
                    <w:tc>
                      <w:tcPr>
                        <w:tcW w:w="1360" w:type="dxa"/>
                        <w:tcBorders>
                          <w:right w:val="nil"/>
                        </w:tcBorders>
                        <w:shd w:val="clear" w:color="auto" w:fill="C9C8C9"/>
                      </w:tcPr>
                      <w:p w:rsidR="00F22F94" w:rsidRDefault="00F22F94">
                        <w:pPr>
                          <w:pStyle w:val="TableParagraph"/>
                          <w:spacing w:before="63"/>
                          <w:ind w:left="104"/>
                          <w:rPr>
                            <w:sz w:val="18"/>
                          </w:rPr>
                        </w:pPr>
                        <w:r>
                          <w:rPr>
                            <w:spacing w:val="-2"/>
                            <w:w w:val="105"/>
                            <w:sz w:val="18"/>
                          </w:rPr>
                          <w:t>Government</w:t>
                        </w:r>
                      </w:p>
                    </w:tc>
                  </w:tr>
                </w:tbl>
                <w:p w:rsidR="00F22F94" w:rsidRDefault="00F22F94">
                  <w:pPr>
                    <w:pStyle w:val="BodyText"/>
                  </w:pPr>
                </w:p>
              </w:txbxContent>
            </v:textbox>
            <w10:anchorlock/>
          </v:shape>
        </w:pict>
      </w:r>
      <w:r w:rsidR="00F22F94">
        <w:rPr>
          <w:rFonts w:ascii="Times New Roman"/>
          <w:spacing w:val="53"/>
          <w:sz w:val="20"/>
        </w:rPr>
        <w:t xml:space="preserve"> </w:t>
      </w:r>
      <w:r>
        <w:rPr>
          <w:spacing w:val="53"/>
          <w:sz w:val="20"/>
        </w:rPr>
      </w:r>
      <w:r>
        <w:rPr>
          <w:spacing w:val="53"/>
          <w:sz w:val="20"/>
        </w:rPr>
        <w:pict>
          <v:shape id="docshape2851" o:spid="_x0000_s5255" type="#_x0000_t202" style="width:286.3pt;height:36.55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417"/>
                    <w:gridCol w:w="1417"/>
                    <w:gridCol w:w="1417"/>
                    <w:gridCol w:w="1454"/>
                  </w:tblGrid>
                  <w:tr w:rsidR="00F22F94">
                    <w:trPr>
                      <w:trHeight w:val="345"/>
                    </w:trPr>
                    <w:tc>
                      <w:tcPr>
                        <w:tcW w:w="5705" w:type="dxa"/>
                        <w:gridSpan w:val="4"/>
                        <w:tcBorders>
                          <w:top w:val="nil"/>
                          <w:left w:val="nil"/>
                        </w:tcBorders>
                        <w:shd w:val="clear" w:color="auto" w:fill="C9C8C9"/>
                      </w:tcPr>
                      <w:p w:rsidR="00F22F94" w:rsidRDefault="00F22F94">
                        <w:pPr>
                          <w:pStyle w:val="TableParagraph"/>
                          <w:spacing w:before="73"/>
                          <w:ind w:left="1337"/>
                          <w:rPr>
                            <w:b/>
                            <w:sz w:val="18"/>
                          </w:rPr>
                        </w:pPr>
                        <w:r>
                          <w:rPr>
                            <w:b/>
                            <w:w w:val="95"/>
                            <w:sz w:val="18"/>
                          </w:rPr>
                          <w:t>Timing</w:t>
                        </w:r>
                        <w:r>
                          <w:rPr>
                            <w:b/>
                            <w:spacing w:val="6"/>
                            <w:sz w:val="18"/>
                          </w:rPr>
                          <w:t xml:space="preserve"> </w:t>
                        </w:r>
                        <w:r>
                          <w:rPr>
                            <w:b/>
                            <w:w w:val="95"/>
                            <w:sz w:val="18"/>
                          </w:rPr>
                          <w:t>of</w:t>
                        </w:r>
                        <w:r>
                          <w:rPr>
                            <w:b/>
                            <w:spacing w:val="6"/>
                            <w:sz w:val="18"/>
                          </w:rPr>
                          <w:t xml:space="preserve"> </w:t>
                        </w:r>
                        <w:r>
                          <w:rPr>
                            <w:b/>
                            <w:w w:val="95"/>
                            <w:sz w:val="18"/>
                          </w:rPr>
                          <w:t>New</w:t>
                        </w:r>
                        <w:r>
                          <w:rPr>
                            <w:b/>
                            <w:spacing w:val="7"/>
                            <w:sz w:val="18"/>
                          </w:rPr>
                          <w:t xml:space="preserve"> </w:t>
                        </w:r>
                        <w:r>
                          <w:rPr>
                            <w:b/>
                            <w:w w:val="95"/>
                            <w:sz w:val="18"/>
                          </w:rPr>
                          <w:t>Government</w:t>
                        </w:r>
                        <w:r>
                          <w:rPr>
                            <w:b/>
                            <w:spacing w:val="7"/>
                            <w:sz w:val="18"/>
                          </w:rPr>
                          <w:t xml:space="preserve"> </w:t>
                        </w:r>
                        <w:r>
                          <w:rPr>
                            <w:b/>
                            <w:spacing w:val="-2"/>
                            <w:w w:val="95"/>
                            <w:sz w:val="18"/>
                          </w:rPr>
                          <w:t>Funding</w:t>
                        </w:r>
                      </w:p>
                    </w:tc>
                  </w:tr>
                  <w:tr w:rsidR="00F22F94">
                    <w:trPr>
                      <w:trHeight w:val="335"/>
                    </w:trPr>
                    <w:tc>
                      <w:tcPr>
                        <w:tcW w:w="1417" w:type="dxa"/>
                        <w:tcBorders>
                          <w:left w:val="nil"/>
                        </w:tcBorders>
                        <w:shd w:val="clear" w:color="auto" w:fill="C9C8C9"/>
                      </w:tcPr>
                      <w:p w:rsidR="00F22F94" w:rsidRDefault="00F22F94">
                        <w:pPr>
                          <w:pStyle w:val="TableParagraph"/>
                          <w:spacing w:before="63"/>
                          <w:rPr>
                            <w:sz w:val="18"/>
                          </w:rPr>
                        </w:pPr>
                        <w:r>
                          <w:rPr>
                            <w:sz w:val="18"/>
                          </w:rPr>
                          <w:t>0-5</w:t>
                        </w:r>
                        <w:r>
                          <w:rPr>
                            <w:spacing w:val="-1"/>
                            <w:sz w:val="18"/>
                          </w:rPr>
                          <w:t xml:space="preserve"> </w:t>
                        </w:r>
                        <w:r>
                          <w:rPr>
                            <w:spacing w:val="-5"/>
                            <w:sz w:val="18"/>
                          </w:rPr>
                          <w:t>Yrs</w:t>
                        </w:r>
                      </w:p>
                    </w:tc>
                    <w:tc>
                      <w:tcPr>
                        <w:tcW w:w="1417" w:type="dxa"/>
                        <w:shd w:val="clear" w:color="auto" w:fill="C9C8C9"/>
                      </w:tcPr>
                      <w:p w:rsidR="00F22F94" w:rsidRDefault="00F22F94">
                        <w:pPr>
                          <w:pStyle w:val="TableParagraph"/>
                          <w:spacing w:before="63"/>
                          <w:rPr>
                            <w:sz w:val="18"/>
                          </w:rPr>
                        </w:pPr>
                        <w:r>
                          <w:rPr>
                            <w:sz w:val="18"/>
                          </w:rPr>
                          <w:t>5-10</w:t>
                        </w:r>
                        <w:r>
                          <w:rPr>
                            <w:spacing w:val="-3"/>
                            <w:sz w:val="18"/>
                          </w:rPr>
                          <w:t xml:space="preserve"> </w:t>
                        </w:r>
                        <w:r>
                          <w:rPr>
                            <w:spacing w:val="-5"/>
                            <w:sz w:val="18"/>
                          </w:rPr>
                          <w:t>Yrs</w:t>
                        </w:r>
                      </w:p>
                    </w:tc>
                    <w:tc>
                      <w:tcPr>
                        <w:tcW w:w="1417" w:type="dxa"/>
                        <w:shd w:val="clear" w:color="auto" w:fill="C9C8C9"/>
                      </w:tcPr>
                      <w:p w:rsidR="00F22F94" w:rsidRDefault="00F22F94">
                        <w:pPr>
                          <w:pStyle w:val="TableParagraph"/>
                          <w:spacing w:before="63"/>
                          <w:rPr>
                            <w:sz w:val="18"/>
                          </w:rPr>
                        </w:pPr>
                        <w:r>
                          <w:rPr>
                            <w:sz w:val="18"/>
                          </w:rPr>
                          <w:t>10-20</w:t>
                        </w:r>
                        <w:r>
                          <w:rPr>
                            <w:spacing w:val="-3"/>
                            <w:sz w:val="18"/>
                          </w:rPr>
                          <w:t xml:space="preserve"> </w:t>
                        </w:r>
                        <w:r>
                          <w:rPr>
                            <w:spacing w:val="-5"/>
                            <w:sz w:val="18"/>
                          </w:rPr>
                          <w:t>Yrs</w:t>
                        </w:r>
                      </w:p>
                    </w:tc>
                    <w:tc>
                      <w:tcPr>
                        <w:tcW w:w="1454" w:type="dxa"/>
                        <w:shd w:val="clear" w:color="auto" w:fill="C9C8C9"/>
                      </w:tcPr>
                      <w:p w:rsidR="00F22F94" w:rsidRDefault="00F22F94">
                        <w:pPr>
                          <w:pStyle w:val="TableParagraph"/>
                          <w:spacing w:before="63"/>
                          <w:ind w:left="114"/>
                          <w:rPr>
                            <w:sz w:val="18"/>
                          </w:rPr>
                        </w:pPr>
                        <w:r>
                          <w:rPr>
                            <w:spacing w:val="-2"/>
                            <w:w w:val="105"/>
                            <w:sz w:val="18"/>
                          </w:rPr>
                          <w:t>Total</w:t>
                        </w:r>
                      </w:p>
                    </w:tc>
                  </w:tr>
                </w:tbl>
                <w:p w:rsidR="00F22F94" w:rsidRDefault="00F22F94">
                  <w:pPr>
                    <w:pStyle w:val="BodyText"/>
                  </w:pPr>
                </w:p>
              </w:txbxContent>
            </v:textbox>
            <w10:anchorlock/>
          </v:shape>
        </w:pict>
      </w:r>
    </w:p>
    <w:p w:rsidR="002C1123" w:rsidRDefault="00F22F94">
      <w:pPr>
        <w:spacing w:before="62"/>
        <w:ind w:left="615"/>
        <w:rPr>
          <w:b/>
          <w:sz w:val="18"/>
        </w:rPr>
      </w:pPr>
      <w:r>
        <w:rPr>
          <w:b/>
          <w:w w:val="95"/>
          <w:sz w:val="18"/>
        </w:rPr>
        <w:t>International</w:t>
      </w:r>
      <w:r>
        <w:rPr>
          <w:b/>
          <w:spacing w:val="44"/>
          <w:sz w:val="18"/>
        </w:rPr>
        <w:t xml:space="preserve"> </w:t>
      </w:r>
      <w:r>
        <w:rPr>
          <w:b/>
          <w:spacing w:val="-2"/>
          <w:sz w:val="18"/>
        </w:rPr>
        <w:t>Gateways</w:t>
      </w:r>
    </w:p>
    <w:p w:rsidR="002C1123" w:rsidRDefault="002060EF">
      <w:pPr>
        <w:pStyle w:val="BodyText"/>
        <w:spacing w:before="7"/>
        <w:rPr>
          <w:b/>
          <w:sz w:val="3"/>
        </w:rPr>
      </w:pPr>
      <w:r>
        <w:pict>
          <v:shape id="docshape2852" o:spid="_x0000_s1163" type="#_x0000_t202" style="position:absolute;margin-left:49.6pt;margin-top:3.3pt;width:451.75pt;height:53.6pt;z-index:-251437056;mso-wrap-distance-left:0;mso-wrap-distance-right:0;mso-position-horizontal-relative:page" filled="f" stroked="f">
            <v:textbox inset="0,0,0,0">
              <w:txbxContent>
                <w:tbl>
                  <w:tblPr>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4932"/>
                    <w:gridCol w:w="1360"/>
                    <w:gridCol w:w="1360"/>
                    <w:gridCol w:w="1360"/>
                  </w:tblGrid>
                  <w:tr w:rsidR="00F22F94">
                    <w:trPr>
                      <w:trHeight w:val="335"/>
                    </w:trPr>
                    <w:tc>
                      <w:tcPr>
                        <w:tcW w:w="4932" w:type="dxa"/>
                        <w:shd w:val="clear" w:color="auto" w:fill="EBEBEB"/>
                      </w:tcPr>
                      <w:p w:rsidR="00F22F94" w:rsidRDefault="00F22F94">
                        <w:pPr>
                          <w:pStyle w:val="TableParagraph"/>
                          <w:rPr>
                            <w:sz w:val="16"/>
                          </w:rPr>
                        </w:pPr>
                        <w:r>
                          <w:rPr>
                            <w:w w:val="95"/>
                            <w:sz w:val="16"/>
                          </w:rPr>
                          <w:t>Port</w:t>
                        </w:r>
                        <w:r>
                          <w:rPr>
                            <w:spacing w:val="4"/>
                            <w:sz w:val="16"/>
                          </w:rPr>
                          <w:t xml:space="preserve"> </w:t>
                        </w:r>
                        <w:r>
                          <w:rPr>
                            <w:w w:val="95"/>
                            <w:sz w:val="16"/>
                          </w:rPr>
                          <w:t>Botany</w:t>
                        </w:r>
                        <w:r>
                          <w:rPr>
                            <w:spacing w:val="4"/>
                            <w:sz w:val="16"/>
                          </w:rPr>
                          <w:t xml:space="preserve"> </w:t>
                        </w:r>
                        <w:r>
                          <w:rPr>
                            <w:w w:val="95"/>
                            <w:sz w:val="16"/>
                          </w:rPr>
                          <w:t>and</w:t>
                        </w:r>
                        <w:r>
                          <w:rPr>
                            <w:spacing w:val="5"/>
                            <w:sz w:val="16"/>
                          </w:rPr>
                          <w:t xml:space="preserve"> </w:t>
                        </w:r>
                        <w:r>
                          <w:rPr>
                            <w:w w:val="95"/>
                            <w:sz w:val="16"/>
                          </w:rPr>
                          <w:t>Sydney</w:t>
                        </w:r>
                        <w:r>
                          <w:rPr>
                            <w:spacing w:val="4"/>
                            <w:sz w:val="16"/>
                          </w:rPr>
                          <w:t xml:space="preserve"> </w:t>
                        </w:r>
                        <w:r>
                          <w:rPr>
                            <w:w w:val="95"/>
                            <w:sz w:val="16"/>
                          </w:rPr>
                          <w:t>Airport</w:t>
                        </w:r>
                        <w:r>
                          <w:rPr>
                            <w:spacing w:val="4"/>
                            <w:sz w:val="16"/>
                          </w:rPr>
                          <w:t xml:space="preserve"> </w:t>
                        </w:r>
                        <w:r>
                          <w:rPr>
                            <w:w w:val="95"/>
                            <w:sz w:val="16"/>
                          </w:rPr>
                          <w:t>pinch</w:t>
                        </w:r>
                        <w:r>
                          <w:rPr>
                            <w:spacing w:val="5"/>
                            <w:sz w:val="16"/>
                          </w:rPr>
                          <w:t xml:space="preserve"> </w:t>
                        </w:r>
                        <w:r>
                          <w:rPr>
                            <w:spacing w:val="-2"/>
                            <w:w w:val="95"/>
                            <w:sz w:val="16"/>
                          </w:rPr>
                          <w:t>points</w:t>
                        </w:r>
                      </w:p>
                    </w:tc>
                    <w:tc>
                      <w:tcPr>
                        <w:tcW w:w="1360" w:type="dxa"/>
                        <w:shd w:val="clear" w:color="auto" w:fill="EBEBEB"/>
                      </w:tcPr>
                      <w:p w:rsidR="00F22F94" w:rsidRDefault="00F22F94">
                        <w:pPr>
                          <w:pStyle w:val="TableParagraph"/>
                          <w:rPr>
                            <w:sz w:val="16"/>
                          </w:rPr>
                        </w:pPr>
                        <w:r>
                          <w:rPr>
                            <w:spacing w:val="-5"/>
                            <w:sz w:val="16"/>
                          </w:rPr>
                          <w:t>0.3</w:t>
                        </w:r>
                      </w:p>
                    </w:tc>
                    <w:tc>
                      <w:tcPr>
                        <w:tcW w:w="1360" w:type="dxa"/>
                        <w:shd w:val="clear" w:color="auto" w:fill="EBEBEB"/>
                      </w:tcPr>
                      <w:p w:rsidR="00F22F94" w:rsidRDefault="00F22F94">
                        <w:pPr>
                          <w:pStyle w:val="TableParagraph"/>
                          <w:ind w:left="114"/>
                          <w:rPr>
                            <w:sz w:val="16"/>
                          </w:rPr>
                        </w:pPr>
                        <w:r>
                          <w:rPr>
                            <w:w w:val="111"/>
                            <w:sz w:val="16"/>
                          </w:rPr>
                          <w:t>-</w:t>
                        </w:r>
                      </w:p>
                    </w:tc>
                    <w:tc>
                      <w:tcPr>
                        <w:tcW w:w="1360" w:type="dxa"/>
                        <w:tcBorders>
                          <w:right w:val="nil"/>
                        </w:tcBorders>
                        <w:shd w:val="clear" w:color="auto" w:fill="EBEBEB"/>
                      </w:tcPr>
                      <w:p w:rsidR="00F22F94" w:rsidRDefault="00F22F94">
                        <w:pPr>
                          <w:pStyle w:val="TableParagraph"/>
                          <w:ind w:left="114"/>
                          <w:rPr>
                            <w:sz w:val="16"/>
                          </w:rPr>
                        </w:pPr>
                        <w:r>
                          <w:rPr>
                            <w:spacing w:val="-5"/>
                            <w:sz w:val="16"/>
                          </w:rPr>
                          <w:t>0.3</w:t>
                        </w:r>
                      </w:p>
                    </w:tc>
                  </w:tr>
                  <w:tr w:rsidR="00F22F94">
                    <w:trPr>
                      <w:trHeight w:val="331"/>
                    </w:trPr>
                    <w:tc>
                      <w:tcPr>
                        <w:tcW w:w="4932" w:type="dxa"/>
                        <w:tcBorders>
                          <w:bottom w:val="nil"/>
                        </w:tcBorders>
                        <w:shd w:val="clear" w:color="auto" w:fill="EBEBEB"/>
                      </w:tcPr>
                      <w:p w:rsidR="00F22F94" w:rsidRDefault="00F22F94">
                        <w:pPr>
                          <w:pStyle w:val="TableParagraph"/>
                          <w:rPr>
                            <w:sz w:val="16"/>
                          </w:rPr>
                        </w:pPr>
                        <w:r>
                          <w:rPr>
                            <w:w w:val="95"/>
                            <w:sz w:val="16"/>
                          </w:rPr>
                          <w:t>Moorebank</w:t>
                        </w:r>
                        <w:r>
                          <w:rPr>
                            <w:spacing w:val="20"/>
                            <w:sz w:val="16"/>
                          </w:rPr>
                          <w:t xml:space="preserve"> </w:t>
                        </w:r>
                        <w:r>
                          <w:rPr>
                            <w:w w:val="95"/>
                            <w:sz w:val="16"/>
                          </w:rPr>
                          <w:t>supporting</w:t>
                        </w:r>
                        <w:r>
                          <w:rPr>
                            <w:spacing w:val="20"/>
                            <w:sz w:val="16"/>
                          </w:rPr>
                          <w:t xml:space="preserve"> </w:t>
                        </w:r>
                        <w:r>
                          <w:rPr>
                            <w:spacing w:val="-2"/>
                            <w:w w:val="95"/>
                            <w:sz w:val="16"/>
                          </w:rPr>
                          <w:t>infrastructure</w:t>
                        </w:r>
                      </w:p>
                    </w:tc>
                    <w:tc>
                      <w:tcPr>
                        <w:tcW w:w="1360" w:type="dxa"/>
                        <w:tcBorders>
                          <w:bottom w:val="nil"/>
                        </w:tcBorders>
                        <w:shd w:val="clear" w:color="auto" w:fill="EBEBEB"/>
                      </w:tcPr>
                      <w:p w:rsidR="00F22F94" w:rsidRDefault="00F22F94">
                        <w:pPr>
                          <w:pStyle w:val="TableParagraph"/>
                          <w:rPr>
                            <w:sz w:val="16"/>
                          </w:rPr>
                        </w:pPr>
                        <w:r>
                          <w:rPr>
                            <w:spacing w:val="-5"/>
                            <w:sz w:val="16"/>
                          </w:rPr>
                          <w:t>0.3</w:t>
                        </w:r>
                      </w:p>
                    </w:tc>
                    <w:tc>
                      <w:tcPr>
                        <w:tcW w:w="1360" w:type="dxa"/>
                        <w:tcBorders>
                          <w:bottom w:val="nil"/>
                        </w:tcBorders>
                        <w:shd w:val="clear" w:color="auto" w:fill="EBEBEB"/>
                      </w:tcPr>
                      <w:p w:rsidR="00F22F94" w:rsidRDefault="00F22F94">
                        <w:pPr>
                          <w:pStyle w:val="TableParagraph"/>
                          <w:ind w:left="114"/>
                          <w:rPr>
                            <w:sz w:val="16"/>
                          </w:rPr>
                        </w:pPr>
                        <w:r>
                          <w:rPr>
                            <w:w w:val="111"/>
                            <w:sz w:val="16"/>
                          </w:rPr>
                          <w:t>-</w:t>
                        </w:r>
                      </w:p>
                    </w:tc>
                    <w:tc>
                      <w:tcPr>
                        <w:tcW w:w="1360" w:type="dxa"/>
                        <w:tcBorders>
                          <w:bottom w:val="nil"/>
                          <w:right w:val="nil"/>
                        </w:tcBorders>
                        <w:shd w:val="clear" w:color="auto" w:fill="EBEBEB"/>
                      </w:tcPr>
                      <w:p w:rsidR="00F22F94" w:rsidRDefault="00F22F94">
                        <w:pPr>
                          <w:pStyle w:val="TableParagraph"/>
                          <w:ind w:left="114"/>
                          <w:rPr>
                            <w:sz w:val="16"/>
                          </w:rPr>
                        </w:pPr>
                        <w:r>
                          <w:rPr>
                            <w:spacing w:val="-5"/>
                            <w:sz w:val="16"/>
                          </w:rPr>
                          <w:t>0.3</w:t>
                        </w:r>
                      </w:p>
                    </w:tc>
                  </w:tr>
                  <w:tr w:rsidR="00F22F94">
                    <w:trPr>
                      <w:trHeight w:val="345"/>
                    </w:trPr>
                    <w:tc>
                      <w:tcPr>
                        <w:tcW w:w="4932" w:type="dxa"/>
                        <w:tcBorders>
                          <w:top w:val="nil"/>
                          <w:left w:val="nil"/>
                        </w:tcBorders>
                        <w:shd w:val="clear" w:color="auto" w:fill="C9C8C9"/>
                      </w:tcPr>
                      <w:p w:rsidR="00F22F94" w:rsidRDefault="00F22F94">
                        <w:pPr>
                          <w:pStyle w:val="TableParagraph"/>
                          <w:spacing w:before="73"/>
                          <w:ind w:left="161"/>
                          <w:rPr>
                            <w:sz w:val="18"/>
                          </w:rPr>
                        </w:pPr>
                        <w:r>
                          <w:rPr>
                            <w:spacing w:val="-4"/>
                            <w:sz w:val="18"/>
                          </w:rPr>
                          <w:t>TOTAL</w:t>
                        </w:r>
                      </w:p>
                    </w:tc>
                    <w:tc>
                      <w:tcPr>
                        <w:tcW w:w="1360" w:type="dxa"/>
                        <w:tcBorders>
                          <w:top w:val="nil"/>
                        </w:tcBorders>
                        <w:shd w:val="clear" w:color="auto" w:fill="C9C8C9"/>
                      </w:tcPr>
                      <w:p w:rsidR="00F22F94" w:rsidRDefault="00F22F94">
                        <w:pPr>
                          <w:pStyle w:val="TableParagraph"/>
                          <w:spacing w:before="77"/>
                          <w:rPr>
                            <w:sz w:val="16"/>
                          </w:rPr>
                        </w:pPr>
                        <w:r>
                          <w:rPr>
                            <w:spacing w:val="-5"/>
                            <w:sz w:val="16"/>
                          </w:rPr>
                          <w:t>0.6</w:t>
                        </w:r>
                      </w:p>
                    </w:tc>
                    <w:tc>
                      <w:tcPr>
                        <w:tcW w:w="1360" w:type="dxa"/>
                        <w:tcBorders>
                          <w:top w:val="nil"/>
                        </w:tcBorders>
                        <w:shd w:val="clear" w:color="auto" w:fill="C9C8C9"/>
                      </w:tcPr>
                      <w:p w:rsidR="00F22F94" w:rsidRDefault="00F22F94">
                        <w:pPr>
                          <w:pStyle w:val="TableParagraph"/>
                          <w:spacing w:before="77"/>
                          <w:ind w:left="114"/>
                          <w:rPr>
                            <w:sz w:val="16"/>
                          </w:rPr>
                        </w:pPr>
                        <w:r>
                          <w:rPr>
                            <w:w w:val="116"/>
                            <w:sz w:val="16"/>
                          </w:rPr>
                          <w:t>-</w:t>
                        </w:r>
                      </w:p>
                    </w:tc>
                    <w:tc>
                      <w:tcPr>
                        <w:tcW w:w="1360" w:type="dxa"/>
                        <w:tcBorders>
                          <w:top w:val="nil"/>
                          <w:right w:val="nil"/>
                        </w:tcBorders>
                        <w:shd w:val="clear" w:color="auto" w:fill="C9C8C9"/>
                      </w:tcPr>
                      <w:p w:rsidR="00F22F94" w:rsidRDefault="00F22F94">
                        <w:pPr>
                          <w:pStyle w:val="TableParagraph"/>
                          <w:spacing w:before="77"/>
                          <w:ind w:left="114"/>
                          <w:rPr>
                            <w:sz w:val="16"/>
                          </w:rPr>
                        </w:pPr>
                        <w:r>
                          <w:rPr>
                            <w:spacing w:val="-5"/>
                            <w:sz w:val="16"/>
                          </w:rPr>
                          <w:t>0.6</w:t>
                        </w:r>
                      </w:p>
                    </w:tc>
                  </w:tr>
                </w:tbl>
                <w:p w:rsidR="00F22F94" w:rsidRDefault="00F22F94">
                  <w:pPr>
                    <w:pStyle w:val="BodyText"/>
                  </w:pPr>
                </w:p>
              </w:txbxContent>
            </v:textbox>
            <w10:wrap type="topAndBottom" anchorx="page"/>
          </v:shape>
        </w:pict>
      </w:r>
      <w:r>
        <w:pict>
          <v:shape id="docshape2853" o:spid="_x0000_s1162" type="#_x0000_t202" style="position:absolute;margin-left:506pt;margin-top:3.3pt;width:286.3pt;height:53.6pt;z-index:-251436032;mso-wrap-distance-left:0;mso-wrap-distance-right:0;mso-position-horizontal-relative:page" filled="f" stroked="f">
            <v:textbox inset="0,0,0,0">
              <w:txbxContent>
                <w:tbl>
                  <w:tblPr>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417"/>
                    <w:gridCol w:w="1417"/>
                    <w:gridCol w:w="1417"/>
                    <w:gridCol w:w="1454"/>
                  </w:tblGrid>
                  <w:tr w:rsidR="00F22F94">
                    <w:trPr>
                      <w:trHeight w:val="335"/>
                    </w:trPr>
                    <w:tc>
                      <w:tcPr>
                        <w:tcW w:w="1417" w:type="dxa"/>
                        <w:tcBorders>
                          <w:left w:val="nil"/>
                        </w:tcBorders>
                        <w:shd w:val="clear" w:color="auto" w:fill="EBEBEB"/>
                      </w:tcPr>
                      <w:p w:rsidR="00F22F94" w:rsidRDefault="00F22F94">
                        <w:pPr>
                          <w:pStyle w:val="TableParagraph"/>
                          <w:rPr>
                            <w:sz w:val="16"/>
                          </w:rPr>
                        </w:pPr>
                        <w:r>
                          <w:rPr>
                            <w:spacing w:val="-5"/>
                            <w:sz w:val="16"/>
                          </w:rPr>
                          <w:t>0.3</w:t>
                        </w:r>
                      </w:p>
                    </w:tc>
                    <w:tc>
                      <w:tcPr>
                        <w:tcW w:w="1417" w:type="dxa"/>
                        <w:shd w:val="clear" w:color="auto" w:fill="EBEBEB"/>
                      </w:tcPr>
                      <w:p w:rsidR="00F22F94" w:rsidRDefault="00F22F94">
                        <w:pPr>
                          <w:pStyle w:val="TableParagraph"/>
                          <w:rPr>
                            <w:sz w:val="16"/>
                          </w:rPr>
                        </w:pPr>
                        <w:r>
                          <w:rPr>
                            <w:w w:val="111"/>
                            <w:sz w:val="16"/>
                          </w:rPr>
                          <w:t>-</w:t>
                        </w:r>
                      </w:p>
                    </w:tc>
                    <w:tc>
                      <w:tcPr>
                        <w:tcW w:w="1417" w:type="dxa"/>
                        <w:shd w:val="clear" w:color="auto" w:fill="EBEBEB"/>
                      </w:tcPr>
                      <w:p w:rsidR="00F22F94" w:rsidRDefault="00F22F94">
                        <w:pPr>
                          <w:pStyle w:val="TableParagraph"/>
                          <w:ind w:left="114"/>
                          <w:rPr>
                            <w:sz w:val="16"/>
                          </w:rPr>
                        </w:pPr>
                        <w:r>
                          <w:rPr>
                            <w:w w:val="111"/>
                            <w:sz w:val="16"/>
                          </w:rPr>
                          <w:t>-</w:t>
                        </w:r>
                      </w:p>
                    </w:tc>
                    <w:tc>
                      <w:tcPr>
                        <w:tcW w:w="1454" w:type="dxa"/>
                        <w:shd w:val="clear" w:color="auto" w:fill="EBEBEB"/>
                      </w:tcPr>
                      <w:p w:rsidR="00F22F94" w:rsidRDefault="00F22F94">
                        <w:pPr>
                          <w:pStyle w:val="TableParagraph"/>
                          <w:ind w:left="114"/>
                          <w:rPr>
                            <w:sz w:val="16"/>
                          </w:rPr>
                        </w:pPr>
                        <w:r>
                          <w:rPr>
                            <w:spacing w:val="-5"/>
                            <w:sz w:val="16"/>
                          </w:rPr>
                          <w:t>0.3</w:t>
                        </w:r>
                      </w:p>
                    </w:tc>
                  </w:tr>
                  <w:tr w:rsidR="00F22F94">
                    <w:trPr>
                      <w:trHeight w:val="331"/>
                    </w:trPr>
                    <w:tc>
                      <w:tcPr>
                        <w:tcW w:w="1417" w:type="dxa"/>
                        <w:tcBorders>
                          <w:left w:val="nil"/>
                          <w:bottom w:val="nil"/>
                        </w:tcBorders>
                        <w:shd w:val="clear" w:color="auto" w:fill="EBEBEB"/>
                      </w:tcPr>
                      <w:p w:rsidR="00F22F94" w:rsidRDefault="00F22F94">
                        <w:pPr>
                          <w:pStyle w:val="TableParagraph"/>
                          <w:rPr>
                            <w:sz w:val="16"/>
                          </w:rPr>
                        </w:pPr>
                        <w:r>
                          <w:rPr>
                            <w:w w:val="111"/>
                            <w:sz w:val="16"/>
                          </w:rPr>
                          <w:t>-</w:t>
                        </w:r>
                      </w:p>
                    </w:tc>
                    <w:tc>
                      <w:tcPr>
                        <w:tcW w:w="1417" w:type="dxa"/>
                        <w:tcBorders>
                          <w:bottom w:val="nil"/>
                        </w:tcBorders>
                        <w:shd w:val="clear" w:color="auto" w:fill="EBEBEB"/>
                      </w:tcPr>
                      <w:p w:rsidR="00F22F94" w:rsidRDefault="00F22F94">
                        <w:pPr>
                          <w:pStyle w:val="TableParagraph"/>
                          <w:rPr>
                            <w:sz w:val="16"/>
                          </w:rPr>
                        </w:pPr>
                        <w:r>
                          <w:rPr>
                            <w:spacing w:val="-5"/>
                            <w:sz w:val="16"/>
                          </w:rPr>
                          <w:t>0.3</w:t>
                        </w:r>
                      </w:p>
                    </w:tc>
                    <w:tc>
                      <w:tcPr>
                        <w:tcW w:w="1417" w:type="dxa"/>
                        <w:tcBorders>
                          <w:bottom w:val="nil"/>
                        </w:tcBorders>
                        <w:shd w:val="clear" w:color="auto" w:fill="EBEBEB"/>
                      </w:tcPr>
                      <w:p w:rsidR="00F22F94" w:rsidRDefault="00F22F94">
                        <w:pPr>
                          <w:pStyle w:val="TableParagraph"/>
                          <w:ind w:left="114"/>
                          <w:rPr>
                            <w:sz w:val="16"/>
                          </w:rPr>
                        </w:pPr>
                        <w:r>
                          <w:rPr>
                            <w:w w:val="111"/>
                            <w:sz w:val="16"/>
                          </w:rPr>
                          <w:t>-</w:t>
                        </w:r>
                      </w:p>
                    </w:tc>
                    <w:tc>
                      <w:tcPr>
                        <w:tcW w:w="1454" w:type="dxa"/>
                        <w:tcBorders>
                          <w:bottom w:val="nil"/>
                        </w:tcBorders>
                        <w:shd w:val="clear" w:color="auto" w:fill="EBEBEB"/>
                      </w:tcPr>
                      <w:p w:rsidR="00F22F94" w:rsidRDefault="00F22F94">
                        <w:pPr>
                          <w:pStyle w:val="TableParagraph"/>
                          <w:ind w:left="114"/>
                          <w:rPr>
                            <w:sz w:val="16"/>
                          </w:rPr>
                        </w:pPr>
                        <w:r>
                          <w:rPr>
                            <w:spacing w:val="-5"/>
                            <w:sz w:val="16"/>
                          </w:rPr>
                          <w:t>0.3</w:t>
                        </w:r>
                      </w:p>
                    </w:tc>
                  </w:tr>
                  <w:tr w:rsidR="00F22F94">
                    <w:trPr>
                      <w:trHeight w:val="345"/>
                    </w:trPr>
                    <w:tc>
                      <w:tcPr>
                        <w:tcW w:w="1417" w:type="dxa"/>
                        <w:tcBorders>
                          <w:top w:val="nil"/>
                          <w:left w:val="nil"/>
                        </w:tcBorders>
                        <w:shd w:val="clear" w:color="auto" w:fill="C9C8C9"/>
                      </w:tcPr>
                      <w:p w:rsidR="00F22F94" w:rsidRDefault="00F22F94">
                        <w:pPr>
                          <w:pStyle w:val="TableParagraph"/>
                          <w:spacing w:before="77"/>
                          <w:rPr>
                            <w:sz w:val="16"/>
                          </w:rPr>
                        </w:pPr>
                        <w:r>
                          <w:rPr>
                            <w:spacing w:val="-5"/>
                            <w:sz w:val="16"/>
                          </w:rPr>
                          <w:t>0.3</w:t>
                        </w:r>
                      </w:p>
                    </w:tc>
                    <w:tc>
                      <w:tcPr>
                        <w:tcW w:w="1417" w:type="dxa"/>
                        <w:tcBorders>
                          <w:top w:val="nil"/>
                        </w:tcBorders>
                        <w:shd w:val="clear" w:color="auto" w:fill="C9C8C9"/>
                      </w:tcPr>
                      <w:p w:rsidR="00F22F94" w:rsidRDefault="00F22F94">
                        <w:pPr>
                          <w:pStyle w:val="TableParagraph"/>
                          <w:spacing w:before="77"/>
                          <w:rPr>
                            <w:sz w:val="16"/>
                          </w:rPr>
                        </w:pPr>
                        <w:r>
                          <w:rPr>
                            <w:spacing w:val="-5"/>
                            <w:sz w:val="16"/>
                          </w:rPr>
                          <w:t>0.3</w:t>
                        </w:r>
                      </w:p>
                    </w:tc>
                    <w:tc>
                      <w:tcPr>
                        <w:tcW w:w="1417" w:type="dxa"/>
                        <w:tcBorders>
                          <w:top w:val="nil"/>
                        </w:tcBorders>
                        <w:shd w:val="clear" w:color="auto" w:fill="C9C8C9"/>
                      </w:tcPr>
                      <w:p w:rsidR="00F22F94" w:rsidRDefault="00F22F94">
                        <w:pPr>
                          <w:pStyle w:val="TableParagraph"/>
                          <w:spacing w:before="77"/>
                          <w:ind w:left="114"/>
                          <w:rPr>
                            <w:sz w:val="16"/>
                          </w:rPr>
                        </w:pPr>
                        <w:r>
                          <w:rPr>
                            <w:w w:val="116"/>
                            <w:sz w:val="16"/>
                          </w:rPr>
                          <w:t>-</w:t>
                        </w:r>
                      </w:p>
                    </w:tc>
                    <w:tc>
                      <w:tcPr>
                        <w:tcW w:w="1454" w:type="dxa"/>
                        <w:tcBorders>
                          <w:top w:val="nil"/>
                        </w:tcBorders>
                        <w:shd w:val="clear" w:color="auto" w:fill="C9C8C9"/>
                      </w:tcPr>
                      <w:p w:rsidR="00F22F94" w:rsidRDefault="00F22F94">
                        <w:pPr>
                          <w:pStyle w:val="TableParagraph"/>
                          <w:spacing w:before="77"/>
                          <w:ind w:left="114"/>
                          <w:rPr>
                            <w:sz w:val="16"/>
                          </w:rPr>
                        </w:pPr>
                        <w:r>
                          <w:rPr>
                            <w:spacing w:val="-5"/>
                            <w:sz w:val="16"/>
                          </w:rPr>
                          <w:t>0.6</w:t>
                        </w:r>
                      </w:p>
                    </w:tc>
                  </w:tr>
                </w:tbl>
                <w:p w:rsidR="00F22F94" w:rsidRDefault="00F22F94">
                  <w:pPr>
                    <w:pStyle w:val="BodyText"/>
                  </w:pPr>
                </w:p>
              </w:txbxContent>
            </v:textbox>
            <w10:wrap type="topAndBottom" anchorx="page"/>
          </v:shape>
        </w:pict>
      </w:r>
    </w:p>
    <w:p w:rsidR="002C1123" w:rsidRDefault="00F22F94">
      <w:pPr>
        <w:spacing w:before="63"/>
        <w:ind w:left="615"/>
        <w:rPr>
          <w:b/>
          <w:sz w:val="18"/>
        </w:rPr>
      </w:pPr>
      <w:r>
        <w:rPr>
          <w:b/>
          <w:w w:val="95"/>
          <w:sz w:val="18"/>
        </w:rPr>
        <w:t>Regional</w:t>
      </w:r>
      <w:r>
        <w:rPr>
          <w:b/>
          <w:spacing w:val="16"/>
          <w:sz w:val="18"/>
        </w:rPr>
        <w:t xml:space="preserve"> </w:t>
      </w:r>
      <w:r>
        <w:rPr>
          <w:b/>
          <w:spacing w:val="-2"/>
          <w:sz w:val="18"/>
        </w:rPr>
        <w:t>Transport</w:t>
      </w:r>
    </w:p>
    <w:p w:rsidR="002C1123" w:rsidRDefault="002060EF">
      <w:pPr>
        <w:pStyle w:val="BodyText"/>
        <w:spacing w:before="6"/>
        <w:rPr>
          <w:b/>
          <w:sz w:val="3"/>
        </w:rPr>
      </w:pPr>
      <w:r>
        <w:pict>
          <v:shape id="docshape2854" o:spid="_x0000_s1161" type="#_x0000_t202" style="position:absolute;margin-left:49.6pt;margin-top:3.25pt;width:451.75pt;height:87pt;z-index:-251435008;mso-wrap-distance-left:0;mso-wrap-distance-right:0;mso-position-horizontal-relative:page" filled="f" stroked="f">
            <v:textbox inset="0,0,0,0">
              <w:txbxContent>
                <w:tbl>
                  <w:tblPr>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4932"/>
                    <w:gridCol w:w="1360"/>
                    <w:gridCol w:w="1360"/>
                    <w:gridCol w:w="1360"/>
                  </w:tblGrid>
                  <w:tr w:rsidR="00F22F94">
                    <w:trPr>
                      <w:trHeight w:val="321"/>
                    </w:trPr>
                    <w:tc>
                      <w:tcPr>
                        <w:tcW w:w="4932" w:type="dxa"/>
                        <w:shd w:val="clear" w:color="auto" w:fill="EBEBEB"/>
                      </w:tcPr>
                      <w:p w:rsidR="00F22F94" w:rsidRDefault="00F22F94">
                        <w:pPr>
                          <w:pStyle w:val="TableParagraph"/>
                          <w:rPr>
                            <w:sz w:val="16"/>
                          </w:rPr>
                        </w:pPr>
                        <w:r>
                          <w:rPr>
                            <w:w w:val="95"/>
                            <w:sz w:val="16"/>
                          </w:rPr>
                          <w:t>Regional</w:t>
                        </w:r>
                        <w:r>
                          <w:rPr>
                            <w:spacing w:val="-2"/>
                            <w:sz w:val="16"/>
                          </w:rPr>
                          <w:t xml:space="preserve"> </w:t>
                        </w:r>
                        <w:r>
                          <w:rPr>
                            <w:w w:val="95"/>
                            <w:sz w:val="16"/>
                          </w:rPr>
                          <w:t>pinch</w:t>
                        </w:r>
                        <w:r>
                          <w:rPr>
                            <w:spacing w:val="-1"/>
                            <w:sz w:val="16"/>
                          </w:rPr>
                          <w:t xml:space="preserve"> </w:t>
                        </w:r>
                        <w:r>
                          <w:rPr>
                            <w:spacing w:val="-2"/>
                            <w:w w:val="95"/>
                            <w:sz w:val="16"/>
                          </w:rPr>
                          <w:t>points</w:t>
                        </w:r>
                      </w:p>
                    </w:tc>
                    <w:tc>
                      <w:tcPr>
                        <w:tcW w:w="1360" w:type="dxa"/>
                        <w:shd w:val="clear" w:color="auto" w:fill="EBEBEB"/>
                      </w:tcPr>
                      <w:p w:rsidR="00F22F94" w:rsidRDefault="00F22F94">
                        <w:pPr>
                          <w:pStyle w:val="TableParagraph"/>
                          <w:rPr>
                            <w:sz w:val="16"/>
                          </w:rPr>
                        </w:pPr>
                        <w:r>
                          <w:rPr>
                            <w:spacing w:val="-5"/>
                            <w:sz w:val="16"/>
                          </w:rPr>
                          <w:t>1.0</w:t>
                        </w:r>
                      </w:p>
                    </w:tc>
                    <w:tc>
                      <w:tcPr>
                        <w:tcW w:w="1360" w:type="dxa"/>
                        <w:shd w:val="clear" w:color="auto" w:fill="EBEBEB"/>
                      </w:tcPr>
                      <w:p w:rsidR="00F22F94" w:rsidRDefault="00F22F94">
                        <w:pPr>
                          <w:pStyle w:val="TableParagraph"/>
                          <w:ind w:left="114"/>
                          <w:rPr>
                            <w:sz w:val="16"/>
                          </w:rPr>
                        </w:pPr>
                        <w:r>
                          <w:rPr>
                            <w:w w:val="111"/>
                            <w:sz w:val="16"/>
                          </w:rPr>
                          <w:t>-</w:t>
                        </w:r>
                      </w:p>
                    </w:tc>
                    <w:tc>
                      <w:tcPr>
                        <w:tcW w:w="1360" w:type="dxa"/>
                        <w:tcBorders>
                          <w:right w:val="nil"/>
                        </w:tcBorders>
                        <w:shd w:val="clear" w:color="auto" w:fill="EBEBEB"/>
                      </w:tcPr>
                      <w:p w:rsidR="00F22F94" w:rsidRDefault="00F22F94">
                        <w:pPr>
                          <w:pStyle w:val="TableParagraph"/>
                          <w:ind w:left="114"/>
                          <w:rPr>
                            <w:sz w:val="16"/>
                          </w:rPr>
                        </w:pPr>
                        <w:r>
                          <w:rPr>
                            <w:spacing w:val="-5"/>
                            <w:sz w:val="16"/>
                          </w:rPr>
                          <w:t>1.0</w:t>
                        </w:r>
                      </w:p>
                    </w:tc>
                  </w:tr>
                  <w:tr w:rsidR="00F22F94">
                    <w:trPr>
                      <w:trHeight w:val="321"/>
                    </w:trPr>
                    <w:tc>
                      <w:tcPr>
                        <w:tcW w:w="4932" w:type="dxa"/>
                        <w:shd w:val="clear" w:color="auto" w:fill="EBEBEB"/>
                      </w:tcPr>
                      <w:p w:rsidR="00F22F94" w:rsidRDefault="00F22F94">
                        <w:pPr>
                          <w:pStyle w:val="TableParagraph"/>
                          <w:rPr>
                            <w:sz w:val="16"/>
                          </w:rPr>
                        </w:pPr>
                        <w:r>
                          <w:rPr>
                            <w:w w:val="95"/>
                            <w:sz w:val="16"/>
                          </w:rPr>
                          <w:t>Bridges</w:t>
                        </w:r>
                        <w:r>
                          <w:rPr>
                            <w:spacing w:val="2"/>
                            <w:sz w:val="16"/>
                          </w:rPr>
                          <w:t xml:space="preserve"> </w:t>
                        </w:r>
                        <w:r>
                          <w:rPr>
                            <w:w w:val="95"/>
                            <w:sz w:val="16"/>
                          </w:rPr>
                          <w:t>to</w:t>
                        </w:r>
                        <w:r>
                          <w:rPr>
                            <w:spacing w:val="3"/>
                            <w:sz w:val="16"/>
                          </w:rPr>
                          <w:t xml:space="preserve"> </w:t>
                        </w:r>
                        <w:r>
                          <w:rPr>
                            <w:w w:val="95"/>
                            <w:sz w:val="16"/>
                          </w:rPr>
                          <w:t>the</w:t>
                        </w:r>
                        <w:r>
                          <w:rPr>
                            <w:spacing w:val="3"/>
                            <w:sz w:val="16"/>
                          </w:rPr>
                          <w:t xml:space="preserve"> </w:t>
                        </w:r>
                        <w:r>
                          <w:rPr>
                            <w:spacing w:val="-4"/>
                            <w:w w:val="95"/>
                            <w:sz w:val="16"/>
                          </w:rPr>
                          <w:t>Bush</w:t>
                        </w:r>
                      </w:p>
                    </w:tc>
                    <w:tc>
                      <w:tcPr>
                        <w:tcW w:w="1360" w:type="dxa"/>
                        <w:shd w:val="clear" w:color="auto" w:fill="EBEBEB"/>
                      </w:tcPr>
                      <w:p w:rsidR="00F22F94" w:rsidRDefault="00F22F94">
                        <w:pPr>
                          <w:pStyle w:val="TableParagraph"/>
                          <w:rPr>
                            <w:sz w:val="16"/>
                          </w:rPr>
                        </w:pPr>
                        <w:r>
                          <w:rPr>
                            <w:spacing w:val="-5"/>
                            <w:sz w:val="16"/>
                          </w:rPr>
                          <w:t>0.3</w:t>
                        </w:r>
                      </w:p>
                    </w:tc>
                    <w:tc>
                      <w:tcPr>
                        <w:tcW w:w="1360" w:type="dxa"/>
                        <w:shd w:val="clear" w:color="auto" w:fill="EBEBEB"/>
                      </w:tcPr>
                      <w:p w:rsidR="00F22F94" w:rsidRDefault="00F22F94">
                        <w:pPr>
                          <w:pStyle w:val="TableParagraph"/>
                          <w:spacing w:before="0"/>
                          <w:ind w:left="0"/>
                          <w:rPr>
                            <w:rFonts w:ascii="Times New Roman"/>
                            <w:sz w:val="16"/>
                          </w:rPr>
                        </w:pPr>
                      </w:p>
                    </w:tc>
                    <w:tc>
                      <w:tcPr>
                        <w:tcW w:w="1360" w:type="dxa"/>
                        <w:tcBorders>
                          <w:right w:val="nil"/>
                        </w:tcBorders>
                        <w:shd w:val="clear" w:color="auto" w:fill="EBEBEB"/>
                      </w:tcPr>
                      <w:p w:rsidR="00F22F94" w:rsidRDefault="00F22F94">
                        <w:pPr>
                          <w:pStyle w:val="TableParagraph"/>
                          <w:ind w:left="114"/>
                          <w:rPr>
                            <w:sz w:val="16"/>
                          </w:rPr>
                        </w:pPr>
                        <w:r>
                          <w:rPr>
                            <w:spacing w:val="-5"/>
                            <w:sz w:val="16"/>
                          </w:rPr>
                          <w:t>0.3</w:t>
                        </w:r>
                      </w:p>
                    </w:tc>
                  </w:tr>
                  <w:tr w:rsidR="00F22F94">
                    <w:trPr>
                      <w:trHeight w:val="321"/>
                    </w:trPr>
                    <w:tc>
                      <w:tcPr>
                        <w:tcW w:w="4932" w:type="dxa"/>
                        <w:shd w:val="clear" w:color="auto" w:fill="EBEBEB"/>
                      </w:tcPr>
                      <w:p w:rsidR="00F22F94" w:rsidRDefault="00F22F94">
                        <w:pPr>
                          <w:pStyle w:val="TableParagraph"/>
                          <w:rPr>
                            <w:sz w:val="16"/>
                          </w:rPr>
                        </w:pPr>
                        <w:r>
                          <w:rPr>
                            <w:w w:val="95"/>
                            <w:sz w:val="16"/>
                          </w:rPr>
                          <w:t>Coal</w:t>
                        </w:r>
                        <w:r>
                          <w:rPr>
                            <w:spacing w:val="7"/>
                            <w:sz w:val="16"/>
                          </w:rPr>
                          <w:t xml:space="preserve"> </w:t>
                        </w:r>
                        <w:r>
                          <w:rPr>
                            <w:w w:val="95"/>
                            <w:sz w:val="16"/>
                          </w:rPr>
                          <w:t>Community</w:t>
                        </w:r>
                        <w:r>
                          <w:rPr>
                            <w:spacing w:val="7"/>
                            <w:sz w:val="16"/>
                          </w:rPr>
                          <w:t xml:space="preserve"> </w:t>
                        </w:r>
                        <w:r>
                          <w:rPr>
                            <w:spacing w:val="-2"/>
                            <w:w w:val="95"/>
                            <w:sz w:val="16"/>
                          </w:rPr>
                          <w:t>schemes</w:t>
                        </w:r>
                      </w:p>
                    </w:tc>
                    <w:tc>
                      <w:tcPr>
                        <w:tcW w:w="1360" w:type="dxa"/>
                        <w:shd w:val="clear" w:color="auto" w:fill="EBEBEB"/>
                      </w:tcPr>
                      <w:p w:rsidR="00F22F94" w:rsidRDefault="00F22F94">
                        <w:pPr>
                          <w:pStyle w:val="TableParagraph"/>
                          <w:rPr>
                            <w:sz w:val="16"/>
                          </w:rPr>
                        </w:pPr>
                        <w:r>
                          <w:rPr>
                            <w:spacing w:val="-5"/>
                            <w:sz w:val="16"/>
                          </w:rPr>
                          <w:t>0.5</w:t>
                        </w:r>
                      </w:p>
                    </w:tc>
                    <w:tc>
                      <w:tcPr>
                        <w:tcW w:w="1360" w:type="dxa"/>
                        <w:shd w:val="clear" w:color="auto" w:fill="EBEBEB"/>
                      </w:tcPr>
                      <w:p w:rsidR="00F22F94" w:rsidRDefault="00F22F94">
                        <w:pPr>
                          <w:pStyle w:val="TableParagraph"/>
                          <w:ind w:left="114"/>
                          <w:rPr>
                            <w:sz w:val="16"/>
                          </w:rPr>
                        </w:pPr>
                        <w:r>
                          <w:rPr>
                            <w:w w:val="111"/>
                            <w:sz w:val="16"/>
                          </w:rPr>
                          <w:t>-</w:t>
                        </w:r>
                      </w:p>
                    </w:tc>
                    <w:tc>
                      <w:tcPr>
                        <w:tcW w:w="1360" w:type="dxa"/>
                        <w:tcBorders>
                          <w:right w:val="nil"/>
                        </w:tcBorders>
                        <w:shd w:val="clear" w:color="auto" w:fill="EBEBEB"/>
                      </w:tcPr>
                      <w:p w:rsidR="00F22F94" w:rsidRDefault="00F22F94">
                        <w:pPr>
                          <w:pStyle w:val="TableParagraph"/>
                          <w:ind w:left="114"/>
                          <w:rPr>
                            <w:sz w:val="16"/>
                          </w:rPr>
                        </w:pPr>
                        <w:r>
                          <w:rPr>
                            <w:spacing w:val="-5"/>
                            <w:sz w:val="16"/>
                          </w:rPr>
                          <w:t>0.5</w:t>
                        </w:r>
                      </w:p>
                    </w:tc>
                  </w:tr>
                  <w:tr w:rsidR="00F22F94">
                    <w:trPr>
                      <w:trHeight w:val="331"/>
                    </w:trPr>
                    <w:tc>
                      <w:tcPr>
                        <w:tcW w:w="4932" w:type="dxa"/>
                        <w:tcBorders>
                          <w:bottom w:val="nil"/>
                        </w:tcBorders>
                        <w:shd w:val="clear" w:color="auto" w:fill="EBEBEB"/>
                      </w:tcPr>
                      <w:p w:rsidR="00F22F94" w:rsidRDefault="00F22F94">
                        <w:pPr>
                          <w:pStyle w:val="TableParagraph"/>
                          <w:rPr>
                            <w:sz w:val="16"/>
                          </w:rPr>
                        </w:pPr>
                        <w:r>
                          <w:rPr>
                            <w:w w:val="95"/>
                            <w:sz w:val="16"/>
                          </w:rPr>
                          <w:t>F3</w:t>
                        </w:r>
                        <w:r>
                          <w:rPr>
                            <w:spacing w:val="-3"/>
                            <w:sz w:val="16"/>
                          </w:rPr>
                          <w:t xml:space="preserve"> </w:t>
                        </w:r>
                        <w:r>
                          <w:rPr>
                            <w:w w:val="95"/>
                            <w:sz w:val="16"/>
                          </w:rPr>
                          <w:t>Extension</w:t>
                        </w:r>
                        <w:r>
                          <w:rPr>
                            <w:spacing w:val="-2"/>
                            <w:sz w:val="16"/>
                          </w:rPr>
                          <w:t xml:space="preserve"> </w:t>
                        </w:r>
                        <w:r>
                          <w:rPr>
                            <w:w w:val="95"/>
                            <w:sz w:val="16"/>
                          </w:rPr>
                          <w:t>to</w:t>
                        </w:r>
                        <w:r>
                          <w:rPr>
                            <w:spacing w:val="-2"/>
                            <w:sz w:val="16"/>
                          </w:rPr>
                          <w:t xml:space="preserve"> </w:t>
                        </w:r>
                        <w:r>
                          <w:rPr>
                            <w:w w:val="95"/>
                            <w:sz w:val="16"/>
                          </w:rPr>
                          <w:t>Raymond</w:t>
                        </w:r>
                        <w:r>
                          <w:rPr>
                            <w:spacing w:val="-2"/>
                            <w:sz w:val="16"/>
                          </w:rPr>
                          <w:t xml:space="preserve"> </w:t>
                        </w:r>
                        <w:r>
                          <w:rPr>
                            <w:spacing w:val="-2"/>
                            <w:w w:val="95"/>
                            <w:sz w:val="16"/>
                          </w:rPr>
                          <w:t>Terrace</w:t>
                        </w:r>
                      </w:p>
                    </w:tc>
                    <w:tc>
                      <w:tcPr>
                        <w:tcW w:w="1360" w:type="dxa"/>
                        <w:tcBorders>
                          <w:bottom w:val="nil"/>
                        </w:tcBorders>
                        <w:shd w:val="clear" w:color="auto" w:fill="EBEBEB"/>
                      </w:tcPr>
                      <w:p w:rsidR="00F22F94" w:rsidRDefault="00F22F94">
                        <w:pPr>
                          <w:pStyle w:val="TableParagraph"/>
                          <w:rPr>
                            <w:sz w:val="16"/>
                          </w:rPr>
                        </w:pPr>
                        <w:r>
                          <w:rPr>
                            <w:spacing w:val="-5"/>
                            <w:sz w:val="16"/>
                          </w:rPr>
                          <w:t>0.9</w:t>
                        </w:r>
                      </w:p>
                    </w:tc>
                    <w:tc>
                      <w:tcPr>
                        <w:tcW w:w="1360" w:type="dxa"/>
                        <w:tcBorders>
                          <w:bottom w:val="nil"/>
                        </w:tcBorders>
                        <w:shd w:val="clear" w:color="auto" w:fill="EBEBEB"/>
                      </w:tcPr>
                      <w:p w:rsidR="00F22F94" w:rsidRDefault="00F22F94">
                        <w:pPr>
                          <w:pStyle w:val="TableParagraph"/>
                          <w:ind w:left="114"/>
                          <w:rPr>
                            <w:sz w:val="16"/>
                          </w:rPr>
                        </w:pPr>
                        <w:r>
                          <w:rPr>
                            <w:w w:val="111"/>
                            <w:sz w:val="16"/>
                          </w:rPr>
                          <w:t>-</w:t>
                        </w:r>
                      </w:p>
                    </w:tc>
                    <w:tc>
                      <w:tcPr>
                        <w:tcW w:w="1360" w:type="dxa"/>
                        <w:tcBorders>
                          <w:bottom w:val="nil"/>
                          <w:right w:val="nil"/>
                        </w:tcBorders>
                        <w:shd w:val="clear" w:color="auto" w:fill="EBEBEB"/>
                      </w:tcPr>
                      <w:p w:rsidR="00F22F94" w:rsidRDefault="00F22F94">
                        <w:pPr>
                          <w:pStyle w:val="TableParagraph"/>
                          <w:ind w:left="114"/>
                          <w:rPr>
                            <w:sz w:val="16"/>
                          </w:rPr>
                        </w:pPr>
                        <w:r>
                          <w:rPr>
                            <w:spacing w:val="-5"/>
                            <w:sz w:val="16"/>
                          </w:rPr>
                          <w:t>0.9</w:t>
                        </w:r>
                      </w:p>
                    </w:tc>
                  </w:tr>
                  <w:tr w:rsidR="00F22F94">
                    <w:trPr>
                      <w:trHeight w:val="345"/>
                    </w:trPr>
                    <w:tc>
                      <w:tcPr>
                        <w:tcW w:w="4932" w:type="dxa"/>
                        <w:tcBorders>
                          <w:top w:val="nil"/>
                          <w:left w:val="nil"/>
                        </w:tcBorders>
                        <w:shd w:val="clear" w:color="auto" w:fill="C9C8C9"/>
                      </w:tcPr>
                      <w:p w:rsidR="00F22F94" w:rsidRDefault="00F22F94">
                        <w:pPr>
                          <w:pStyle w:val="TableParagraph"/>
                          <w:spacing w:before="73"/>
                          <w:ind w:left="156"/>
                          <w:rPr>
                            <w:b/>
                            <w:sz w:val="18"/>
                          </w:rPr>
                        </w:pPr>
                        <w:r>
                          <w:rPr>
                            <w:b/>
                            <w:spacing w:val="-2"/>
                            <w:sz w:val="18"/>
                          </w:rPr>
                          <w:t>TOTAL</w:t>
                        </w:r>
                      </w:p>
                    </w:tc>
                    <w:tc>
                      <w:tcPr>
                        <w:tcW w:w="1360" w:type="dxa"/>
                        <w:tcBorders>
                          <w:top w:val="nil"/>
                        </w:tcBorders>
                        <w:shd w:val="clear" w:color="auto" w:fill="C9C8C9"/>
                      </w:tcPr>
                      <w:p w:rsidR="00F22F94" w:rsidRDefault="00F22F94">
                        <w:pPr>
                          <w:pStyle w:val="TableParagraph"/>
                          <w:spacing w:before="77"/>
                          <w:rPr>
                            <w:sz w:val="16"/>
                          </w:rPr>
                        </w:pPr>
                        <w:r>
                          <w:rPr>
                            <w:spacing w:val="-5"/>
                            <w:sz w:val="16"/>
                          </w:rPr>
                          <w:t>2.7</w:t>
                        </w:r>
                      </w:p>
                    </w:tc>
                    <w:tc>
                      <w:tcPr>
                        <w:tcW w:w="1360" w:type="dxa"/>
                        <w:tcBorders>
                          <w:top w:val="nil"/>
                        </w:tcBorders>
                        <w:shd w:val="clear" w:color="auto" w:fill="C9C8C9"/>
                      </w:tcPr>
                      <w:p w:rsidR="00F22F94" w:rsidRDefault="00F22F94">
                        <w:pPr>
                          <w:pStyle w:val="TableParagraph"/>
                          <w:spacing w:before="77"/>
                          <w:ind w:left="114"/>
                          <w:rPr>
                            <w:sz w:val="16"/>
                          </w:rPr>
                        </w:pPr>
                        <w:r>
                          <w:rPr>
                            <w:w w:val="116"/>
                            <w:sz w:val="16"/>
                          </w:rPr>
                          <w:t>-</w:t>
                        </w:r>
                      </w:p>
                    </w:tc>
                    <w:tc>
                      <w:tcPr>
                        <w:tcW w:w="1360" w:type="dxa"/>
                        <w:tcBorders>
                          <w:top w:val="nil"/>
                          <w:right w:val="nil"/>
                        </w:tcBorders>
                        <w:shd w:val="clear" w:color="auto" w:fill="C9C8C9"/>
                      </w:tcPr>
                      <w:p w:rsidR="00F22F94" w:rsidRDefault="00F22F94">
                        <w:pPr>
                          <w:pStyle w:val="TableParagraph"/>
                          <w:spacing w:before="77"/>
                          <w:ind w:left="114"/>
                          <w:rPr>
                            <w:sz w:val="16"/>
                          </w:rPr>
                        </w:pPr>
                        <w:r>
                          <w:rPr>
                            <w:spacing w:val="-5"/>
                            <w:sz w:val="16"/>
                          </w:rPr>
                          <w:t>2.7</w:t>
                        </w:r>
                      </w:p>
                    </w:tc>
                  </w:tr>
                </w:tbl>
                <w:p w:rsidR="00F22F94" w:rsidRDefault="00F22F94">
                  <w:pPr>
                    <w:pStyle w:val="BodyText"/>
                  </w:pPr>
                </w:p>
              </w:txbxContent>
            </v:textbox>
            <w10:wrap type="topAndBottom" anchorx="page"/>
          </v:shape>
        </w:pict>
      </w:r>
      <w:r>
        <w:pict>
          <v:shape id="docshape2855" o:spid="_x0000_s1160" type="#_x0000_t202" style="position:absolute;margin-left:506pt;margin-top:3.25pt;width:286.3pt;height:87pt;z-index:-251433984;mso-wrap-distance-left:0;mso-wrap-distance-right:0;mso-position-horizontal-relative:page" filled="f" stroked="f">
            <v:textbox inset="0,0,0,0">
              <w:txbxContent>
                <w:tbl>
                  <w:tblPr>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417"/>
                    <w:gridCol w:w="1417"/>
                    <w:gridCol w:w="1417"/>
                    <w:gridCol w:w="1454"/>
                  </w:tblGrid>
                  <w:tr w:rsidR="00F22F94">
                    <w:trPr>
                      <w:trHeight w:val="321"/>
                    </w:trPr>
                    <w:tc>
                      <w:tcPr>
                        <w:tcW w:w="1417" w:type="dxa"/>
                        <w:tcBorders>
                          <w:left w:val="nil"/>
                        </w:tcBorders>
                        <w:shd w:val="clear" w:color="auto" w:fill="EBEBEB"/>
                      </w:tcPr>
                      <w:p w:rsidR="00F22F94" w:rsidRDefault="00F22F94">
                        <w:pPr>
                          <w:pStyle w:val="TableParagraph"/>
                          <w:rPr>
                            <w:sz w:val="16"/>
                          </w:rPr>
                        </w:pPr>
                        <w:r>
                          <w:rPr>
                            <w:spacing w:val="-5"/>
                            <w:sz w:val="16"/>
                          </w:rPr>
                          <w:t>0.5</w:t>
                        </w:r>
                      </w:p>
                    </w:tc>
                    <w:tc>
                      <w:tcPr>
                        <w:tcW w:w="1417" w:type="dxa"/>
                        <w:shd w:val="clear" w:color="auto" w:fill="EBEBEB"/>
                      </w:tcPr>
                      <w:p w:rsidR="00F22F94" w:rsidRDefault="00F22F94">
                        <w:pPr>
                          <w:pStyle w:val="TableParagraph"/>
                          <w:rPr>
                            <w:sz w:val="16"/>
                          </w:rPr>
                        </w:pPr>
                        <w:r>
                          <w:rPr>
                            <w:spacing w:val="-5"/>
                            <w:sz w:val="16"/>
                          </w:rPr>
                          <w:t>0.5</w:t>
                        </w:r>
                      </w:p>
                    </w:tc>
                    <w:tc>
                      <w:tcPr>
                        <w:tcW w:w="1417" w:type="dxa"/>
                        <w:shd w:val="clear" w:color="auto" w:fill="EBEBEB"/>
                      </w:tcPr>
                      <w:p w:rsidR="00F22F94" w:rsidRDefault="00F22F94">
                        <w:pPr>
                          <w:pStyle w:val="TableParagraph"/>
                          <w:ind w:left="114"/>
                          <w:rPr>
                            <w:sz w:val="16"/>
                          </w:rPr>
                        </w:pPr>
                        <w:r>
                          <w:rPr>
                            <w:w w:val="111"/>
                            <w:sz w:val="16"/>
                          </w:rPr>
                          <w:t>-</w:t>
                        </w:r>
                      </w:p>
                    </w:tc>
                    <w:tc>
                      <w:tcPr>
                        <w:tcW w:w="1454" w:type="dxa"/>
                        <w:shd w:val="clear" w:color="auto" w:fill="EBEBEB"/>
                      </w:tcPr>
                      <w:p w:rsidR="00F22F94" w:rsidRDefault="00F22F94">
                        <w:pPr>
                          <w:pStyle w:val="TableParagraph"/>
                          <w:ind w:left="114"/>
                          <w:rPr>
                            <w:sz w:val="16"/>
                          </w:rPr>
                        </w:pPr>
                        <w:r>
                          <w:rPr>
                            <w:spacing w:val="-5"/>
                            <w:sz w:val="16"/>
                          </w:rPr>
                          <w:t>1.0</w:t>
                        </w:r>
                      </w:p>
                    </w:tc>
                  </w:tr>
                  <w:tr w:rsidR="00F22F94">
                    <w:trPr>
                      <w:trHeight w:val="321"/>
                    </w:trPr>
                    <w:tc>
                      <w:tcPr>
                        <w:tcW w:w="1417" w:type="dxa"/>
                        <w:tcBorders>
                          <w:left w:val="nil"/>
                        </w:tcBorders>
                        <w:shd w:val="clear" w:color="auto" w:fill="EBEBEB"/>
                      </w:tcPr>
                      <w:p w:rsidR="00F22F94" w:rsidRDefault="00F22F94">
                        <w:pPr>
                          <w:pStyle w:val="TableParagraph"/>
                          <w:rPr>
                            <w:sz w:val="16"/>
                          </w:rPr>
                        </w:pPr>
                        <w:r>
                          <w:rPr>
                            <w:spacing w:val="-5"/>
                            <w:sz w:val="16"/>
                          </w:rPr>
                          <w:t>0.3</w:t>
                        </w:r>
                      </w:p>
                    </w:tc>
                    <w:tc>
                      <w:tcPr>
                        <w:tcW w:w="1417" w:type="dxa"/>
                        <w:shd w:val="clear" w:color="auto" w:fill="EBEBEB"/>
                      </w:tcPr>
                      <w:p w:rsidR="00F22F94" w:rsidRDefault="00F22F94">
                        <w:pPr>
                          <w:pStyle w:val="TableParagraph"/>
                          <w:rPr>
                            <w:sz w:val="16"/>
                          </w:rPr>
                        </w:pPr>
                        <w:r>
                          <w:rPr>
                            <w:w w:val="111"/>
                            <w:sz w:val="16"/>
                          </w:rPr>
                          <w:t>-</w:t>
                        </w:r>
                      </w:p>
                    </w:tc>
                    <w:tc>
                      <w:tcPr>
                        <w:tcW w:w="1417" w:type="dxa"/>
                        <w:shd w:val="clear" w:color="auto" w:fill="EBEBEB"/>
                      </w:tcPr>
                      <w:p w:rsidR="00F22F94" w:rsidRDefault="00F22F94">
                        <w:pPr>
                          <w:pStyle w:val="TableParagraph"/>
                          <w:ind w:left="114"/>
                          <w:rPr>
                            <w:sz w:val="16"/>
                          </w:rPr>
                        </w:pPr>
                        <w:r>
                          <w:rPr>
                            <w:w w:val="111"/>
                            <w:sz w:val="16"/>
                          </w:rPr>
                          <w:t>-</w:t>
                        </w:r>
                      </w:p>
                    </w:tc>
                    <w:tc>
                      <w:tcPr>
                        <w:tcW w:w="1454" w:type="dxa"/>
                        <w:shd w:val="clear" w:color="auto" w:fill="EBEBEB"/>
                      </w:tcPr>
                      <w:p w:rsidR="00F22F94" w:rsidRDefault="00F22F94">
                        <w:pPr>
                          <w:pStyle w:val="TableParagraph"/>
                          <w:ind w:left="114"/>
                          <w:rPr>
                            <w:sz w:val="16"/>
                          </w:rPr>
                        </w:pPr>
                        <w:r>
                          <w:rPr>
                            <w:spacing w:val="-5"/>
                            <w:sz w:val="16"/>
                          </w:rPr>
                          <w:t>0.3</w:t>
                        </w:r>
                      </w:p>
                    </w:tc>
                  </w:tr>
                  <w:tr w:rsidR="00F22F94">
                    <w:trPr>
                      <w:trHeight w:val="321"/>
                    </w:trPr>
                    <w:tc>
                      <w:tcPr>
                        <w:tcW w:w="1417" w:type="dxa"/>
                        <w:tcBorders>
                          <w:left w:val="nil"/>
                        </w:tcBorders>
                        <w:shd w:val="clear" w:color="auto" w:fill="EBEBEB"/>
                      </w:tcPr>
                      <w:p w:rsidR="00F22F94" w:rsidRDefault="00F22F94">
                        <w:pPr>
                          <w:pStyle w:val="TableParagraph"/>
                          <w:rPr>
                            <w:sz w:val="16"/>
                          </w:rPr>
                        </w:pPr>
                        <w:r>
                          <w:rPr>
                            <w:spacing w:val="-5"/>
                            <w:sz w:val="16"/>
                          </w:rPr>
                          <w:t>0.5</w:t>
                        </w:r>
                      </w:p>
                    </w:tc>
                    <w:tc>
                      <w:tcPr>
                        <w:tcW w:w="1417" w:type="dxa"/>
                        <w:shd w:val="clear" w:color="auto" w:fill="EBEBEB"/>
                      </w:tcPr>
                      <w:p w:rsidR="00F22F94" w:rsidRDefault="00F22F94">
                        <w:pPr>
                          <w:pStyle w:val="TableParagraph"/>
                          <w:rPr>
                            <w:sz w:val="16"/>
                          </w:rPr>
                        </w:pPr>
                        <w:r>
                          <w:rPr>
                            <w:w w:val="111"/>
                            <w:sz w:val="16"/>
                          </w:rPr>
                          <w:t>-</w:t>
                        </w:r>
                      </w:p>
                    </w:tc>
                    <w:tc>
                      <w:tcPr>
                        <w:tcW w:w="1417" w:type="dxa"/>
                        <w:shd w:val="clear" w:color="auto" w:fill="EBEBEB"/>
                      </w:tcPr>
                      <w:p w:rsidR="00F22F94" w:rsidRDefault="00F22F94">
                        <w:pPr>
                          <w:pStyle w:val="TableParagraph"/>
                          <w:ind w:left="114"/>
                          <w:rPr>
                            <w:sz w:val="16"/>
                          </w:rPr>
                        </w:pPr>
                        <w:r>
                          <w:rPr>
                            <w:w w:val="111"/>
                            <w:sz w:val="16"/>
                          </w:rPr>
                          <w:t>-</w:t>
                        </w:r>
                      </w:p>
                    </w:tc>
                    <w:tc>
                      <w:tcPr>
                        <w:tcW w:w="1454" w:type="dxa"/>
                        <w:shd w:val="clear" w:color="auto" w:fill="EBEBEB"/>
                      </w:tcPr>
                      <w:p w:rsidR="00F22F94" w:rsidRDefault="00F22F94">
                        <w:pPr>
                          <w:pStyle w:val="TableParagraph"/>
                          <w:ind w:left="114"/>
                          <w:rPr>
                            <w:sz w:val="16"/>
                          </w:rPr>
                        </w:pPr>
                        <w:r>
                          <w:rPr>
                            <w:spacing w:val="-5"/>
                            <w:sz w:val="16"/>
                          </w:rPr>
                          <w:t>0.5</w:t>
                        </w:r>
                      </w:p>
                    </w:tc>
                  </w:tr>
                  <w:tr w:rsidR="00F22F94">
                    <w:trPr>
                      <w:trHeight w:val="331"/>
                    </w:trPr>
                    <w:tc>
                      <w:tcPr>
                        <w:tcW w:w="1417" w:type="dxa"/>
                        <w:tcBorders>
                          <w:left w:val="nil"/>
                          <w:bottom w:val="nil"/>
                        </w:tcBorders>
                        <w:shd w:val="clear" w:color="auto" w:fill="EBEBEB"/>
                      </w:tcPr>
                      <w:p w:rsidR="00F22F94" w:rsidRDefault="00F22F94">
                        <w:pPr>
                          <w:pStyle w:val="TableParagraph"/>
                          <w:rPr>
                            <w:sz w:val="16"/>
                          </w:rPr>
                        </w:pPr>
                        <w:r>
                          <w:rPr>
                            <w:w w:val="111"/>
                            <w:sz w:val="16"/>
                          </w:rPr>
                          <w:t>-</w:t>
                        </w:r>
                      </w:p>
                    </w:tc>
                    <w:tc>
                      <w:tcPr>
                        <w:tcW w:w="1417" w:type="dxa"/>
                        <w:tcBorders>
                          <w:bottom w:val="nil"/>
                        </w:tcBorders>
                        <w:shd w:val="clear" w:color="auto" w:fill="EBEBEB"/>
                      </w:tcPr>
                      <w:p w:rsidR="00F22F94" w:rsidRDefault="00F22F94">
                        <w:pPr>
                          <w:pStyle w:val="TableParagraph"/>
                          <w:rPr>
                            <w:sz w:val="16"/>
                          </w:rPr>
                        </w:pPr>
                        <w:r>
                          <w:rPr>
                            <w:spacing w:val="-5"/>
                            <w:sz w:val="16"/>
                          </w:rPr>
                          <w:t>0.9</w:t>
                        </w:r>
                      </w:p>
                    </w:tc>
                    <w:tc>
                      <w:tcPr>
                        <w:tcW w:w="1417" w:type="dxa"/>
                        <w:tcBorders>
                          <w:bottom w:val="nil"/>
                        </w:tcBorders>
                        <w:shd w:val="clear" w:color="auto" w:fill="EBEBEB"/>
                      </w:tcPr>
                      <w:p w:rsidR="00F22F94" w:rsidRDefault="00F22F94">
                        <w:pPr>
                          <w:pStyle w:val="TableParagraph"/>
                          <w:ind w:left="114"/>
                          <w:rPr>
                            <w:sz w:val="16"/>
                          </w:rPr>
                        </w:pPr>
                        <w:r>
                          <w:rPr>
                            <w:w w:val="111"/>
                            <w:sz w:val="16"/>
                          </w:rPr>
                          <w:t>-</w:t>
                        </w:r>
                      </w:p>
                    </w:tc>
                    <w:tc>
                      <w:tcPr>
                        <w:tcW w:w="1454" w:type="dxa"/>
                        <w:tcBorders>
                          <w:bottom w:val="nil"/>
                        </w:tcBorders>
                        <w:shd w:val="clear" w:color="auto" w:fill="EBEBEB"/>
                      </w:tcPr>
                      <w:p w:rsidR="00F22F94" w:rsidRDefault="00F22F94">
                        <w:pPr>
                          <w:pStyle w:val="TableParagraph"/>
                          <w:ind w:left="114"/>
                          <w:rPr>
                            <w:sz w:val="16"/>
                          </w:rPr>
                        </w:pPr>
                        <w:r>
                          <w:rPr>
                            <w:spacing w:val="-5"/>
                            <w:sz w:val="16"/>
                          </w:rPr>
                          <w:t>0.9</w:t>
                        </w:r>
                      </w:p>
                    </w:tc>
                  </w:tr>
                  <w:tr w:rsidR="00F22F94">
                    <w:trPr>
                      <w:trHeight w:val="345"/>
                    </w:trPr>
                    <w:tc>
                      <w:tcPr>
                        <w:tcW w:w="1417" w:type="dxa"/>
                        <w:tcBorders>
                          <w:top w:val="nil"/>
                          <w:left w:val="nil"/>
                        </w:tcBorders>
                        <w:shd w:val="clear" w:color="auto" w:fill="C9C8C9"/>
                      </w:tcPr>
                      <w:p w:rsidR="00F22F94" w:rsidRDefault="00F22F94">
                        <w:pPr>
                          <w:pStyle w:val="TableParagraph"/>
                          <w:spacing w:before="77"/>
                          <w:rPr>
                            <w:sz w:val="16"/>
                          </w:rPr>
                        </w:pPr>
                        <w:r>
                          <w:rPr>
                            <w:spacing w:val="-5"/>
                            <w:sz w:val="16"/>
                          </w:rPr>
                          <w:t>1.3</w:t>
                        </w:r>
                      </w:p>
                    </w:tc>
                    <w:tc>
                      <w:tcPr>
                        <w:tcW w:w="1417" w:type="dxa"/>
                        <w:tcBorders>
                          <w:top w:val="nil"/>
                        </w:tcBorders>
                        <w:shd w:val="clear" w:color="auto" w:fill="C9C8C9"/>
                      </w:tcPr>
                      <w:p w:rsidR="00F22F94" w:rsidRDefault="00F22F94">
                        <w:pPr>
                          <w:pStyle w:val="TableParagraph"/>
                          <w:spacing w:before="77"/>
                          <w:rPr>
                            <w:sz w:val="16"/>
                          </w:rPr>
                        </w:pPr>
                        <w:r>
                          <w:rPr>
                            <w:spacing w:val="-5"/>
                            <w:sz w:val="16"/>
                          </w:rPr>
                          <w:t>1.4</w:t>
                        </w:r>
                      </w:p>
                    </w:tc>
                    <w:tc>
                      <w:tcPr>
                        <w:tcW w:w="1417" w:type="dxa"/>
                        <w:tcBorders>
                          <w:top w:val="nil"/>
                        </w:tcBorders>
                        <w:shd w:val="clear" w:color="auto" w:fill="C9C8C9"/>
                      </w:tcPr>
                      <w:p w:rsidR="00F22F94" w:rsidRDefault="00F22F94">
                        <w:pPr>
                          <w:pStyle w:val="TableParagraph"/>
                          <w:spacing w:before="77"/>
                          <w:ind w:left="114"/>
                          <w:rPr>
                            <w:sz w:val="16"/>
                          </w:rPr>
                        </w:pPr>
                        <w:r>
                          <w:rPr>
                            <w:w w:val="116"/>
                            <w:sz w:val="16"/>
                          </w:rPr>
                          <w:t>-</w:t>
                        </w:r>
                      </w:p>
                    </w:tc>
                    <w:tc>
                      <w:tcPr>
                        <w:tcW w:w="1454" w:type="dxa"/>
                        <w:tcBorders>
                          <w:top w:val="nil"/>
                        </w:tcBorders>
                        <w:shd w:val="clear" w:color="auto" w:fill="C9C8C9"/>
                      </w:tcPr>
                      <w:p w:rsidR="00F22F94" w:rsidRDefault="00F22F94">
                        <w:pPr>
                          <w:pStyle w:val="TableParagraph"/>
                          <w:spacing w:before="77"/>
                          <w:ind w:left="114"/>
                          <w:rPr>
                            <w:sz w:val="16"/>
                          </w:rPr>
                        </w:pPr>
                        <w:r>
                          <w:rPr>
                            <w:spacing w:val="-5"/>
                            <w:sz w:val="16"/>
                          </w:rPr>
                          <w:t>2.7</w:t>
                        </w:r>
                      </w:p>
                    </w:tc>
                  </w:tr>
                </w:tbl>
                <w:p w:rsidR="00F22F94" w:rsidRDefault="00F22F94">
                  <w:pPr>
                    <w:pStyle w:val="BodyText"/>
                  </w:pPr>
                </w:p>
              </w:txbxContent>
            </v:textbox>
            <w10:wrap type="topAndBottom" anchorx="page"/>
          </v:shape>
        </w:pict>
      </w:r>
    </w:p>
    <w:p w:rsidR="002C1123" w:rsidRDefault="00F22F94">
      <w:pPr>
        <w:spacing w:before="63"/>
        <w:ind w:left="615"/>
        <w:rPr>
          <w:b/>
          <w:sz w:val="18"/>
        </w:rPr>
      </w:pPr>
      <w:r>
        <w:rPr>
          <w:b/>
          <w:spacing w:val="-2"/>
          <w:sz w:val="18"/>
        </w:rPr>
        <w:t>Water</w:t>
      </w:r>
    </w:p>
    <w:p w:rsidR="002C1123" w:rsidRDefault="002060EF">
      <w:pPr>
        <w:pStyle w:val="BodyText"/>
        <w:spacing w:before="6"/>
        <w:rPr>
          <w:b/>
          <w:sz w:val="3"/>
        </w:rPr>
      </w:pPr>
      <w:r>
        <w:pict>
          <v:shape id="docshape2856" o:spid="_x0000_s1159" type="#_x0000_t202" style="position:absolute;margin-left:49.6pt;margin-top:3.25pt;width:451.75pt;height:69.95pt;z-index:-251432960;mso-wrap-distance-left:0;mso-wrap-distance-right:0;mso-position-horizontal-relative:page" filled="f" stroked="f">
            <v:textbox inset="0,0,0,0">
              <w:txbxContent>
                <w:tbl>
                  <w:tblPr>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4932"/>
                    <w:gridCol w:w="1360"/>
                    <w:gridCol w:w="1360"/>
                    <w:gridCol w:w="1360"/>
                  </w:tblGrid>
                  <w:tr w:rsidR="00F22F94">
                    <w:trPr>
                      <w:trHeight w:val="321"/>
                    </w:trPr>
                    <w:tc>
                      <w:tcPr>
                        <w:tcW w:w="4932" w:type="dxa"/>
                        <w:shd w:val="clear" w:color="auto" w:fill="EBEBEB"/>
                      </w:tcPr>
                      <w:p w:rsidR="00F22F94" w:rsidRDefault="00F22F94">
                        <w:pPr>
                          <w:pStyle w:val="TableParagraph"/>
                          <w:rPr>
                            <w:sz w:val="16"/>
                          </w:rPr>
                        </w:pPr>
                        <w:r>
                          <w:rPr>
                            <w:w w:val="95"/>
                            <w:sz w:val="16"/>
                          </w:rPr>
                          <w:t>Hawkesbury</w:t>
                        </w:r>
                        <w:r>
                          <w:rPr>
                            <w:spacing w:val="7"/>
                            <w:sz w:val="16"/>
                          </w:rPr>
                          <w:t xml:space="preserve"> </w:t>
                        </w:r>
                        <w:r>
                          <w:rPr>
                            <w:w w:val="95"/>
                            <w:sz w:val="16"/>
                          </w:rPr>
                          <w:t>Nepean</w:t>
                        </w:r>
                        <w:r>
                          <w:rPr>
                            <w:spacing w:val="8"/>
                            <w:sz w:val="16"/>
                          </w:rPr>
                          <w:t xml:space="preserve"> </w:t>
                        </w:r>
                        <w:r>
                          <w:rPr>
                            <w:w w:val="95"/>
                            <w:sz w:val="16"/>
                          </w:rPr>
                          <w:t>flood</w:t>
                        </w:r>
                        <w:r>
                          <w:rPr>
                            <w:spacing w:val="7"/>
                            <w:sz w:val="16"/>
                          </w:rPr>
                          <w:t xml:space="preserve"> </w:t>
                        </w:r>
                        <w:r>
                          <w:rPr>
                            <w:spacing w:val="-2"/>
                            <w:w w:val="95"/>
                            <w:sz w:val="16"/>
                          </w:rPr>
                          <w:t>mitigation</w:t>
                        </w:r>
                      </w:p>
                    </w:tc>
                    <w:tc>
                      <w:tcPr>
                        <w:tcW w:w="1360" w:type="dxa"/>
                        <w:shd w:val="clear" w:color="auto" w:fill="EBEBEB"/>
                      </w:tcPr>
                      <w:p w:rsidR="00F22F94" w:rsidRDefault="00F22F94">
                        <w:pPr>
                          <w:pStyle w:val="TableParagraph"/>
                          <w:rPr>
                            <w:sz w:val="16"/>
                          </w:rPr>
                        </w:pPr>
                        <w:r>
                          <w:rPr>
                            <w:spacing w:val="-5"/>
                            <w:sz w:val="16"/>
                          </w:rPr>
                          <w:t>0.5</w:t>
                        </w:r>
                      </w:p>
                    </w:tc>
                    <w:tc>
                      <w:tcPr>
                        <w:tcW w:w="1360" w:type="dxa"/>
                        <w:shd w:val="clear" w:color="auto" w:fill="EBEBEB"/>
                      </w:tcPr>
                      <w:p w:rsidR="00F22F94" w:rsidRDefault="00F22F94">
                        <w:pPr>
                          <w:pStyle w:val="TableParagraph"/>
                          <w:ind w:left="114"/>
                          <w:rPr>
                            <w:sz w:val="16"/>
                          </w:rPr>
                        </w:pPr>
                        <w:r>
                          <w:rPr>
                            <w:spacing w:val="-5"/>
                            <w:sz w:val="16"/>
                          </w:rPr>
                          <w:t>0.5</w:t>
                        </w:r>
                      </w:p>
                    </w:tc>
                    <w:tc>
                      <w:tcPr>
                        <w:tcW w:w="1360" w:type="dxa"/>
                        <w:tcBorders>
                          <w:right w:val="nil"/>
                        </w:tcBorders>
                        <w:shd w:val="clear" w:color="auto" w:fill="EBEBEB"/>
                      </w:tcPr>
                      <w:p w:rsidR="00F22F94" w:rsidRDefault="00F22F94">
                        <w:pPr>
                          <w:pStyle w:val="TableParagraph"/>
                          <w:ind w:left="114"/>
                          <w:rPr>
                            <w:sz w:val="16"/>
                          </w:rPr>
                        </w:pPr>
                        <w:r>
                          <w:rPr>
                            <w:w w:val="111"/>
                            <w:sz w:val="16"/>
                          </w:rPr>
                          <w:t>-</w:t>
                        </w:r>
                      </w:p>
                    </w:tc>
                  </w:tr>
                  <w:tr w:rsidR="00F22F94">
                    <w:trPr>
                      <w:trHeight w:val="321"/>
                    </w:trPr>
                    <w:tc>
                      <w:tcPr>
                        <w:tcW w:w="4932" w:type="dxa"/>
                        <w:shd w:val="clear" w:color="auto" w:fill="EBEBEB"/>
                      </w:tcPr>
                      <w:p w:rsidR="00F22F94" w:rsidRDefault="00F22F94">
                        <w:pPr>
                          <w:pStyle w:val="TableParagraph"/>
                          <w:rPr>
                            <w:sz w:val="16"/>
                          </w:rPr>
                        </w:pPr>
                        <w:r>
                          <w:rPr>
                            <w:w w:val="95"/>
                            <w:sz w:val="16"/>
                          </w:rPr>
                          <w:t>Regional</w:t>
                        </w:r>
                        <w:r>
                          <w:rPr>
                            <w:spacing w:val="-1"/>
                            <w:sz w:val="16"/>
                          </w:rPr>
                          <w:t xml:space="preserve"> </w:t>
                        </w:r>
                        <w:r>
                          <w:rPr>
                            <w:w w:val="95"/>
                            <w:sz w:val="16"/>
                          </w:rPr>
                          <w:t>dam</w:t>
                        </w:r>
                        <w:r>
                          <w:rPr>
                            <w:spacing w:val="-1"/>
                            <w:sz w:val="16"/>
                          </w:rPr>
                          <w:t xml:space="preserve"> </w:t>
                        </w:r>
                        <w:r>
                          <w:rPr>
                            <w:spacing w:val="-2"/>
                            <w:w w:val="95"/>
                            <w:sz w:val="16"/>
                          </w:rPr>
                          <w:t>construction/upgrades</w:t>
                        </w:r>
                      </w:p>
                    </w:tc>
                    <w:tc>
                      <w:tcPr>
                        <w:tcW w:w="1360" w:type="dxa"/>
                        <w:shd w:val="clear" w:color="auto" w:fill="EBEBEB"/>
                      </w:tcPr>
                      <w:p w:rsidR="00F22F94" w:rsidRDefault="00F22F94">
                        <w:pPr>
                          <w:pStyle w:val="TableParagraph"/>
                          <w:rPr>
                            <w:sz w:val="16"/>
                          </w:rPr>
                        </w:pPr>
                        <w:r>
                          <w:rPr>
                            <w:spacing w:val="-5"/>
                            <w:sz w:val="16"/>
                          </w:rPr>
                          <w:t>0.4</w:t>
                        </w:r>
                      </w:p>
                    </w:tc>
                    <w:tc>
                      <w:tcPr>
                        <w:tcW w:w="1360" w:type="dxa"/>
                        <w:shd w:val="clear" w:color="auto" w:fill="EBEBEB"/>
                      </w:tcPr>
                      <w:p w:rsidR="00F22F94" w:rsidRDefault="00F22F94">
                        <w:pPr>
                          <w:pStyle w:val="TableParagraph"/>
                          <w:ind w:left="114"/>
                          <w:rPr>
                            <w:sz w:val="16"/>
                          </w:rPr>
                        </w:pPr>
                        <w:r>
                          <w:rPr>
                            <w:w w:val="111"/>
                            <w:sz w:val="16"/>
                          </w:rPr>
                          <w:t>-</w:t>
                        </w:r>
                      </w:p>
                    </w:tc>
                    <w:tc>
                      <w:tcPr>
                        <w:tcW w:w="1360" w:type="dxa"/>
                        <w:tcBorders>
                          <w:right w:val="nil"/>
                        </w:tcBorders>
                        <w:shd w:val="clear" w:color="auto" w:fill="EBEBEB"/>
                      </w:tcPr>
                      <w:p w:rsidR="00F22F94" w:rsidRDefault="00F22F94">
                        <w:pPr>
                          <w:pStyle w:val="TableParagraph"/>
                          <w:ind w:left="114"/>
                          <w:rPr>
                            <w:sz w:val="16"/>
                          </w:rPr>
                        </w:pPr>
                        <w:r>
                          <w:rPr>
                            <w:spacing w:val="-5"/>
                            <w:sz w:val="16"/>
                          </w:rPr>
                          <w:t>0.4</w:t>
                        </w:r>
                      </w:p>
                    </w:tc>
                  </w:tr>
                  <w:tr w:rsidR="00F22F94">
                    <w:trPr>
                      <w:trHeight w:val="331"/>
                    </w:trPr>
                    <w:tc>
                      <w:tcPr>
                        <w:tcW w:w="4932" w:type="dxa"/>
                        <w:tcBorders>
                          <w:bottom w:val="nil"/>
                        </w:tcBorders>
                        <w:shd w:val="clear" w:color="auto" w:fill="EBEBEB"/>
                      </w:tcPr>
                      <w:p w:rsidR="00F22F94" w:rsidRDefault="00F22F94">
                        <w:pPr>
                          <w:pStyle w:val="TableParagraph"/>
                          <w:rPr>
                            <w:sz w:val="16"/>
                          </w:rPr>
                        </w:pPr>
                        <w:r>
                          <w:rPr>
                            <w:w w:val="95"/>
                            <w:sz w:val="16"/>
                          </w:rPr>
                          <w:t>National</w:t>
                        </w:r>
                        <w:r>
                          <w:rPr>
                            <w:spacing w:val="-1"/>
                            <w:sz w:val="16"/>
                          </w:rPr>
                          <w:t xml:space="preserve"> </w:t>
                        </w:r>
                        <w:r>
                          <w:rPr>
                            <w:w w:val="95"/>
                            <w:sz w:val="16"/>
                          </w:rPr>
                          <w:t>standards</w:t>
                        </w:r>
                        <w:r>
                          <w:rPr>
                            <w:spacing w:val="-1"/>
                            <w:sz w:val="16"/>
                          </w:rPr>
                          <w:t xml:space="preserve"> </w:t>
                        </w:r>
                        <w:r>
                          <w:rPr>
                            <w:w w:val="95"/>
                            <w:sz w:val="16"/>
                          </w:rPr>
                          <w:t>for</w:t>
                        </w:r>
                        <w:r>
                          <w:rPr>
                            <w:spacing w:val="-1"/>
                            <w:sz w:val="16"/>
                          </w:rPr>
                          <w:t xml:space="preserve"> </w:t>
                        </w:r>
                        <w:r>
                          <w:rPr>
                            <w:w w:val="95"/>
                            <w:sz w:val="16"/>
                          </w:rPr>
                          <w:t>regional</w:t>
                        </w:r>
                        <w:r>
                          <w:rPr>
                            <w:sz w:val="16"/>
                          </w:rPr>
                          <w:t xml:space="preserve"> </w:t>
                        </w:r>
                        <w:r>
                          <w:rPr>
                            <w:spacing w:val="-4"/>
                            <w:w w:val="95"/>
                            <w:sz w:val="16"/>
                          </w:rPr>
                          <w:t>towns</w:t>
                        </w:r>
                      </w:p>
                    </w:tc>
                    <w:tc>
                      <w:tcPr>
                        <w:tcW w:w="1360" w:type="dxa"/>
                        <w:tcBorders>
                          <w:bottom w:val="nil"/>
                        </w:tcBorders>
                        <w:shd w:val="clear" w:color="auto" w:fill="EBEBEB"/>
                      </w:tcPr>
                      <w:p w:rsidR="00F22F94" w:rsidRDefault="00F22F94">
                        <w:pPr>
                          <w:pStyle w:val="TableParagraph"/>
                          <w:rPr>
                            <w:sz w:val="16"/>
                          </w:rPr>
                        </w:pPr>
                        <w:r>
                          <w:rPr>
                            <w:spacing w:val="-5"/>
                            <w:sz w:val="16"/>
                          </w:rPr>
                          <w:t>0.7</w:t>
                        </w:r>
                      </w:p>
                    </w:tc>
                    <w:tc>
                      <w:tcPr>
                        <w:tcW w:w="1360" w:type="dxa"/>
                        <w:tcBorders>
                          <w:bottom w:val="nil"/>
                        </w:tcBorders>
                        <w:shd w:val="clear" w:color="auto" w:fill="EBEBEB"/>
                      </w:tcPr>
                      <w:p w:rsidR="00F22F94" w:rsidRDefault="00F22F94">
                        <w:pPr>
                          <w:pStyle w:val="TableParagraph"/>
                          <w:ind w:left="114"/>
                          <w:rPr>
                            <w:sz w:val="16"/>
                          </w:rPr>
                        </w:pPr>
                        <w:r>
                          <w:rPr>
                            <w:spacing w:val="-5"/>
                            <w:sz w:val="16"/>
                          </w:rPr>
                          <w:t>0.2</w:t>
                        </w:r>
                      </w:p>
                    </w:tc>
                    <w:tc>
                      <w:tcPr>
                        <w:tcW w:w="1360" w:type="dxa"/>
                        <w:tcBorders>
                          <w:bottom w:val="nil"/>
                          <w:right w:val="nil"/>
                        </w:tcBorders>
                        <w:shd w:val="clear" w:color="auto" w:fill="EBEBEB"/>
                      </w:tcPr>
                      <w:p w:rsidR="00F22F94" w:rsidRDefault="00F22F94">
                        <w:pPr>
                          <w:pStyle w:val="TableParagraph"/>
                          <w:ind w:left="114"/>
                          <w:rPr>
                            <w:sz w:val="16"/>
                          </w:rPr>
                        </w:pPr>
                        <w:r>
                          <w:rPr>
                            <w:spacing w:val="-5"/>
                            <w:sz w:val="16"/>
                          </w:rPr>
                          <w:t>0.5</w:t>
                        </w:r>
                      </w:p>
                    </w:tc>
                  </w:tr>
                  <w:tr w:rsidR="00F22F94">
                    <w:trPr>
                      <w:trHeight w:val="345"/>
                    </w:trPr>
                    <w:tc>
                      <w:tcPr>
                        <w:tcW w:w="4932" w:type="dxa"/>
                        <w:tcBorders>
                          <w:top w:val="nil"/>
                          <w:left w:val="nil"/>
                        </w:tcBorders>
                        <w:shd w:val="clear" w:color="auto" w:fill="C9C8C9"/>
                      </w:tcPr>
                      <w:p w:rsidR="00F22F94" w:rsidRDefault="00F22F94">
                        <w:pPr>
                          <w:pStyle w:val="TableParagraph"/>
                          <w:spacing w:before="73"/>
                          <w:ind w:left="161"/>
                          <w:rPr>
                            <w:sz w:val="18"/>
                          </w:rPr>
                        </w:pPr>
                        <w:r>
                          <w:rPr>
                            <w:spacing w:val="-4"/>
                            <w:sz w:val="18"/>
                          </w:rPr>
                          <w:t>TOTAL</w:t>
                        </w:r>
                      </w:p>
                    </w:tc>
                    <w:tc>
                      <w:tcPr>
                        <w:tcW w:w="1360" w:type="dxa"/>
                        <w:tcBorders>
                          <w:top w:val="nil"/>
                        </w:tcBorders>
                        <w:shd w:val="clear" w:color="auto" w:fill="C9C8C9"/>
                      </w:tcPr>
                      <w:p w:rsidR="00F22F94" w:rsidRDefault="00F22F94">
                        <w:pPr>
                          <w:pStyle w:val="TableParagraph"/>
                          <w:spacing w:before="77"/>
                          <w:rPr>
                            <w:sz w:val="16"/>
                          </w:rPr>
                        </w:pPr>
                        <w:r>
                          <w:rPr>
                            <w:spacing w:val="-5"/>
                            <w:sz w:val="16"/>
                          </w:rPr>
                          <w:t>1.6</w:t>
                        </w:r>
                      </w:p>
                    </w:tc>
                    <w:tc>
                      <w:tcPr>
                        <w:tcW w:w="1360" w:type="dxa"/>
                        <w:tcBorders>
                          <w:top w:val="nil"/>
                        </w:tcBorders>
                        <w:shd w:val="clear" w:color="auto" w:fill="C9C8C9"/>
                      </w:tcPr>
                      <w:p w:rsidR="00F22F94" w:rsidRDefault="00F22F94">
                        <w:pPr>
                          <w:pStyle w:val="TableParagraph"/>
                          <w:spacing w:before="77"/>
                          <w:ind w:left="114"/>
                          <w:rPr>
                            <w:sz w:val="16"/>
                          </w:rPr>
                        </w:pPr>
                        <w:r>
                          <w:rPr>
                            <w:spacing w:val="-5"/>
                            <w:sz w:val="16"/>
                          </w:rPr>
                          <w:t>0.7</w:t>
                        </w:r>
                      </w:p>
                    </w:tc>
                    <w:tc>
                      <w:tcPr>
                        <w:tcW w:w="1360" w:type="dxa"/>
                        <w:tcBorders>
                          <w:top w:val="nil"/>
                          <w:right w:val="nil"/>
                        </w:tcBorders>
                        <w:shd w:val="clear" w:color="auto" w:fill="C9C8C9"/>
                      </w:tcPr>
                      <w:p w:rsidR="00F22F94" w:rsidRDefault="00F22F94">
                        <w:pPr>
                          <w:pStyle w:val="TableParagraph"/>
                          <w:spacing w:before="77"/>
                          <w:ind w:left="114"/>
                          <w:rPr>
                            <w:sz w:val="16"/>
                          </w:rPr>
                        </w:pPr>
                        <w:r>
                          <w:rPr>
                            <w:spacing w:val="-5"/>
                            <w:sz w:val="16"/>
                          </w:rPr>
                          <w:t>0.9</w:t>
                        </w:r>
                      </w:p>
                    </w:tc>
                  </w:tr>
                </w:tbl>
                <w:p w:rsidR="00F22F94" w:rsidRDefault="00F22F94">
                  <w:pPr>
                    <w:pStyle w:val="BodyText"/>
                  </w:pPr>
                </w:p>
              </w:txbxContent>
            </v:textbox>
            <w10:wrap type="topAndBottom" anchorx="page"/>
          </v:shape>
        </w:pict>
      </w:r>
      <w:r>
        <w:pict>
          <v:shape id="docshape2857" o:spid="_x0000_s1158" type="#_x0000_t202" style="position:absolute;margin-left:506pt;margin-top:3.25pt;width:286.3pt;height:69.95pt;z-index:-251431936;mso-wrap-distance-left:0;mso-wrap-distance-right:0;mso-position-horizontal-relative:page" filled="f" stroked="f">
            <v:textbox inset="0,0,0,0">
              <w:txbxContent>
                <w:tbl>
                  <w:tblPr>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417"/>
                    <w:gridCol w:w="1417"/>
                    <w:gridCol w:w="1417"/>
                    <w:gridCol w:w="1454"/>
                  </w:tblGrid>
                  <w:tr w:rsidR="00F22F94">
                    <w:trPr>
                      <w:trHeight w:val="321"/>
                    </w:trPr>
                    <w:tc>
                      <w:tcPr>
                        <w:tcW w:w="1417" w:type="dxa"/>
                        <w:tcBorders>
                          <w:left w:val="nil"/>
                        </w:tcBorders>
                        <w:shd w:val="clear" w:color="auto" w:fill="EBEBEB"/>
                      </w:tcPr>
                      <w:p w:rsidR="00F22F94" w:rsidRDefault="00F22F94">
                        <w:pPr>
                          <w:pStyle w:val="TableParagraph"/>
                          <w:rPr>
                            <w:sz w:val="16"/>
                          </w:rPr>
                        </w:pPr>
                        <w:r>
                          <w:rPr>
                            <w:w w:val="111"/>
                            <w:sz w:val="16"/>
                          </w:rPr>
                          <w:t>-</w:t>
                        </w:r>
                      </w:p>
                    </w:tc>
                    <w:tc>
                      <w:tcPr>
                        <w:tcW w:w="1417" w:type="dxa"/>
                        <w:shd w:val="clear" w:color="auto" w:fill="EBEBEB"/>
                      </w:tcPr>
                      <w:p w:rsidR="00F22F94" w:rsidRDefault="00F22F94">
                        <w:pPr>
                          <w:pStyle w:val="TableParagraph"/>
                          <w:rPr>
                            <w:sz w:val="16"/>
                          </w:rPr>
                        </w:pPr>
                        <w:r>
                          <w:rPr>
                            <w:w w:val="111"/>
                            <w:sz w:val="16"/>
                          </w:rPr>
                          <w:t>-</w:t>
                        </w:r>
                      </w:p>
                    </w:tc>
                    <w:tc>
                      <w:tcPr>
                        <w:tcW w:w="1417" w:type="dxa"/>
                        <w:shd w:val="clear" w:color="auto" w:fill="EBEBEB"/>
                      </w:tcPr>
                      <w:p w:rsidR="00F22F94" w:rsidRDefault="00F22F94">
                        <w:pPr>
                          <w:pStyle w:val="TableParagraph"/>
                          <w:ind w:left="114"/>
                          <w:rPr>
                            <w:sz w:val="16"/>
                          </w:rPr>
                        </w:pPr>
                        <w:r>
                          <w:rPr>
                            <w:w w:val="111"/>
                            <w:sz w:val="16"/>
                          </w:rPr>
                          <w:t>-</w:t>
                        </w:r>
                      </w:p>
                    </w:tc>
                    <w:tc>
                      <w:tcPr>
                        <w:tcW w:w="1454" w:type="dxa"/>
                        <w:shd w:val="clear" w:color="auto" w:fill="EBEBEB"/>
                      </w:tcPr>
                      <w:p w:rsidR="00F22F94" w:rsidRDefault="00F22F94">
                        <w:pPr>
                          <w:pStyle w:val="TableParagraph"/>
                          <w:ind w:left="114"/>
                          <w:rPr>
                            <w:sz w:val="16"/>
                          </w:rPr>
                        </w:pPr>
                        <w:r>
                          <w:rPr>
                            <w:w w:val="116"/>
                            <w:sz w:val="16"/>
                          </w:rPr>
                          <w:t>-</w:t>
                        </w:r>
                      </w:p>
                    </w:tc>
                  </w:tr>
                  <w:tr w:rsidR="00F22F94">
                    <w:trPr>
                      <w:trHeight w:val="321"/>
                    </w:trPr>
                    <w:tc>
                      <w:tcPr>
                        <w:tcW w:w="1417" w:type="dxa"/>
                        <w:tcBorders>
                          <w:left w:val="nil"/>
                        </w:tcBorders>
                        <w:shd w:val="clear" w:color="auto" w:fill="EBEBEB"/>
                      </w:tcPr>
                      <w:p w:rsidR="00F22F94" w:rsidRDefault="00F22F94">
                        <w:pPr>
                          <w:pStyle w:val="TableParagraph"/>
                          <w:rPr>
                            <w:sz w:val="16"/>
                          </w:rPr>
                        </w:pPr>
                        <w:r>
                          <w:rPr>
                            <w:w w:val="111"/>
                            <w:sz w:val="16"/>
                          </w:rPr>
                          <w:t>-</w:t>
                        </w:r>
                      </w:p>
                    </w:tc>
                    <w:tc>
                      <w:tcPr>
                        <w:tcW w:w="1417" w:type="dxa"/>
                        <w:shd w:val="clear" w:color="auto" w:fill="EBEBEB"/>
                      </w:tcPr>
                      <w:p w:rsidR="00F22F94" w:rsidRDefault="00F22F94">
                        <w:pPr>
                          <w:pStyle w:val="TableParagraph"/>
                          <w:rPr>
                            <w:sz w:val="16"/>
                          </w:rPr>
                        </w:pPr>
                        <w:r>
                          <w:rPr>
                            <w:spacing w:val="-5"/>
                            <w:sz w:val="16"/>
                          </w:rPr>
                          <w:t>0.2</w:t>
                        </w:r>
                      </w:p>
                    </w:tc>
                    <w:tc>
                      <w:tcPr>
                        <w:tcW w:w="1417" w:type="dxa"/>
                        <w:shd w:val="clear" w:color="auto" w:fill="EBEBEB"/>
                      </w:tcPr>
                      <w:p w:rsidR="00F22F94" w:rsidRDefault="00F22F94">
                        <w:pPr>
                          <w:pStyle w:val="TableParagraph"/>
                          <w:ind w:left="114"/>
                          <w:rPr>
                            <w:sz w:val="16"/>
                          </w:rPr>
                        </w:pPr>
                        <w:r>
                          <w:rPr>
                            <w:spacing w:val="-5"/>
                            <w:sz w:val="16"/>
                          </w:rPr>
                          <w:t>0.2</w:t>
                        </w:r>
                      </w:p>
                    </w:tc>
                    <w:tc>
                      <w:tcPr>
                        <w:tcW w:w="1454" w:type="dxa"/>
                        <w:shd w:val="clear" w:color="auto" w:fill="EBEBEB"/>
                      </w:tcPr>
                      <w:p w:rsidR="00F22F94" w:rsidRDefault="00F22F94">
                        <w:pPr>
                          <w:pStyle w:val="TableParagraph"/>
                          <w:ind w:left="114"/>
                          <w:rPr>
                            <w:sz w:val="16"/>
                          </w:rPr>
                        </w:pPr>
                        <w:r>
                          <w:rPr>
                            <w:spacing w:val="-5"/>
                            <w:sz w:val="16"/>
                          </w:rPr>
                          <w:t>0.4</w:t>
                        </w:r>
                      </w:p>
                    </w:tc>
                  </w:tr>
                  <w:tr w:rsidR="00F22F94">
                    <w:trPr>
                      <w:trHeight w:val="331"/>
                    </w:trPr>
                    <w:tc>
                      <w:tcPr>
                        <w:tcW w:w="1417" w:type="dxa"/>
                        <w:tcBorders>
                          <w:left w:val="nil"/>
                          <w:bottom w:val="nil"/>
                        </w:tcBorders>
                        <w:shd w:val="clear" w:color="auto" w:fill="EBEBEB"/>
                      </w:tcPr>
                      <w:p w:rsidR="00F22F94" w:rsidRDefault="00F22F94">
                        <w:pPr>
                          <w:pStyle w:val="TableParagraph"/>
                          <w:rPr>
                            <w:sz w:val="16"/>
                          </w:rPr>
                        </w:pPr>
                        <w:r>
                          <w:rPr>
                            <w:w w:val="111"/>
                            <w:sz w:val="16"/>
                          </w:rPr>
                          <w:t>-</w:t>
                        </w:r>
                      </w:p>
                    </w:tc>
                    <w:tc>
                      <w:tcPr>
                        <w:tcW w:w="1417" w:type="dxa"/>
                        <w:tcBorders>
                          <w:bottom w:val="nil"/>
                        </w:tcBorders>
                        <w:shd w:val="clear" w:color="auto" w:fill="EBEBEB"/>
                      </w:tcPr>
                      <w:p w:rsidR="00F22F94" w:rsidRDefault="00F22F94">
                        <w:pPr>
                          <w:pStyle w:val="TableParagraph"/>
                          <w:rPr>
                            <w:sz w:val="16"/>
                          </w:rPr>
                        </w:pPr>
                        <w:r>
                          <w:rPr>
                            <w:spacing w:val="-5"/>
                            <w:sz w:val="16"/>
                          </w:rPr>
                          <w:t>0.2</w:t>
                        </w:r>
                      </w:p>
                    </w:tc>
                    <w:tc>
                      <w:tcPr>
                        <w:tcW w:w="1417" w:type="dxa"/>
                        <w:tcBorders>
                          <w:bottom w:val="nil"/>
                        </w:tcBorders>
                        <w:shd w:val="clear" w:color="auto" w:fill="EBEBEB"/>
                      </w:tcPr>
                      <w:p w:rsidR="00F22F94" w:rsidRDefault="00F22F94">
                        <w:pPr>
                          <w:pStyle w:val="TableParagraph"/>
                          <w:ind w:left="114"/>
                          <w:rPr>
                            <w:sz w:val="16"/>
                          </w:rPr>
                        </w:pPr>
                        <w:r>
                          <w:rPr>
                            <w:spacing w:val="-5"/>
                            <w:sz w:val="16"/>
                          </w:rPr>
                          <w:t>0.3</w:t>
                        </w:r>
                      </w:p>
                    </w:tc>
                    <w:tc>
                      <w:tcPr>
                        <w:tcW w:w="1454" w:type="dxa"/>
                        <w:tcBorders>
                          <w:bottom w:val="nil"/>
                        </w:tcBorders>
                        <w:shd w:val="clear" w:color="auto" w:fill="EBEBEB"/>
                      </w:tcPr>
                      <w:p w:rsidR="00F22F94" w:rsidRDefault="00F22F94">
                        <w:pPr>
                          <w:pStyle w:val="TableParagraph"/>
                          <w:ind w:left="114"/>
                          <w:rPr>
                            <w:sz w:val="16"/>
                          </w:rPr>
                        </w:pPr>
                        <w:r>
                          <w:rPr>
                            <w:spacing w:val="-5"/>
                            <w:sz w:val="16"/>
                          </w:rPr>
                          <w:t>0.5</w:t>
                        </w:r>
                      </w:p>
                    </w:tc>
                  </w:tr>
                  <w:tr w:rsidR="00F22F94">
                    <w:trPr>
                      <w:trHeight w:val="345"/>
                    </w:trPr>
                    <w:tc>
                      <w:tcPr>
                        <w:tcW w:w="1417" w:type="dxa"/>
                        <w:tcBorders>
                          <w:top w:val="nil"/>
                          <w:left w:val="nil"/>
                        </w:tcBorders>
                        <w:shd w:val="clear" w:color="auto" w:fill="C9C8C9"/>
                      </w:tcPr>
                      <w:p w:rsidR="00F22F94" w:rsidRDefault="00F22F94">
                        <w:pPr>
                          <w:pStyle w:val="TableParagraph"/>
                          <w:spacing w:before="77"/>
                          <w:rPr>
                            <w:sz w:val="16"/>
                          </w:rPr>
                        </w:pPr>
                        <w:r>
                          <w:rPr>
                            <w:w w:val="116"/>
                            <w:sz w:val="16"/>
                          </w:rPr>
                          <w:t>-</w:t>
                        </w:r>
                      </w:p>
                    </w:tc>
                    <w:tc>
                      <w:tcPr>
                        <w:tcW w:w="1417" w:type="dxa"/>
                        <w:tcBorders>
                          <w:top w:val="nil"/>
                        </w:tcBorders>
                        <w:shd w:val="clear" w:color="auto" w:fill="C9C8C9"/>
                      </w:tcPr>
                      <w:p w:rsidR="00F22F94" w:rsidRDefault="00F22F94">
                        <w:pPr>
                          <w:pStyle w:val="TableParagraph"/>
                          <w:spacing w:before="77"/>
                          <w:rPr>
                            <w:sz w:val="16"/>
                          </w:rPr>
                        </w:pPr>
                        <w:r>
                          <w:rPr>
                            <w:spacing w:val="-5"/>
                            <w:sz w:val="16"/>
                          </w:rPr>
                          <w:t>0.4</w:t>
                        </w:r>
                      </w:p>
                    </w:tc>
                    <w:tc>
                      <w:tcPr>
                        <w:tcW w:w="1417" w:type="dxa"/>
                        <w:tcBorders>
                          <w:top w:val="nil"/>
                        </w:tcBorders>
                        <w:shd w:val="clear" w:color="auto" w:fill="C9C8C9"/>
                      </w:tcPr>
                      <w:p w:rsidR="00F22F94" w:rsidRDefault="00F22F94">
                        <w:pPr>
                          <w:pStyle w:val="TableParagraph"/>
                          <w:spacing w:before="77"/>
                          <w:ind w:left="114"/>
                          <w:rPr>
                            <w:sz w:val="16"/>
                          </w:rPr>
                        </w:pPr>
                        <w:r>
                          <w:rPr>
                            <w:spacing w:val="-5"/>
                            <w:sz w:val="16"/>
                          </w:rPr>
                          <w:t>0.5</w:t>
                        </w:r>
                      </w:p>
                    </w:tc>
                    <w:tc>
                      <w:tcPr>
                        <w:tcW w:w="1454" w:type="dxa"/>
                        <w:tcBorders>
                          <w:top w:val="nil"/>
                        </w:tcBorders>
                        <w:shd w:val="clear" w:color="auto" w:fill="C9C8C9"/>
                      </w:tcPr>
                      <w:p w:rsidR="00F22F94" w:rsidRDefault="00F22F94">
                        <w:pPr>
                          <w:pStyle w:val="TableParagraph"/>
                          <w:spacing w:before="77"/>
                          <w:ind w:left="114"/>
                          <w:rPr>
                            <w:sz w:val="16"/>
                          </w:rPr>
                        </w:pPr>
                        <w:r>
                          <w:rPr>
                            <w:spacing w:val="-5"/>
                            <w:sz w:val="16"/>
                          </w:rPr>
                          <w:t>0.9</w:t>
                        </w:r>
                      </w:p>
                    </w:tc>
                  </w:tr>
                </w:tbl>
                <w:p w:rsidR="00F22F94" w:rsidRDefault="00F22F94">
                  <w:pPr>
                    <w:pStyle w:val="BodyText"/>
                  </w:pPr>
                </w:p>
              </w:txbxContent>
            </v:textbox>
            <w10:wrap type="topAndBottom" anchorx="page"/>
          </v:shape>
        </w:pict>
      </w:r>
    </w:p>
    <w:p w:rsidR="002C1123" w:rsidRDefault="00F22F94">
      <w:pPr>
        <w:spacing w:before="63"/>
        <w:ind w:left="615"/>
        <w:rPr>
          <w:b/>
          <w:sz w:val="18"/>
        </w:rPr>
      </w:pPr>
      <w:r>
        <w:rPr>
          <w:b/>
          <w:w w:val="95"/>
          <w:sz w:val="18"/>
        </w:rPr>
        <w:t>Arts,</w:t>
      </w:r>
      <w:r>
        <w:rPr>
          <w:b/>
          <w:spacing w:val="5"/>
          <w:sz w:val="18"/>
        </w:rPr>
        <w:t xml:space="preserve"> </w:t>
      </w:r>
      <w:r>
        <w:rPr>
          <w:b/>
          <w:w w:val="95"/>
          <w:sz w:val="18"/>
        </w:rPr>
        <w:t>Recreation</w:t>
      </w:r>
      <w:r>
        <w:rPr>
          <w:b/>
          <w:spacing w:val="6"/>
          <w:sz w:val="18"/>
        </w:rPr>
        <w:t xml:space="preserve"> </w:t>
      </w:r>
      <w:r>
        <w:rPr>
          <w:b/>
          <w:w w:val="95"/>
          <w:sz w:val="18"/>
        </w:rPr>
        <w:t>&amp;</w:t>
      </w:r>
      <w:r>
        <w:rPr>
          <w:b/>
          <w:spacing w:val="5"/>
          <w:sz w:val="18"/>
        </w:rPr>
        <w:t xml:space="preserve"> </w:t>
      </w:r>
      <w:r>
        <w:rPr>
          <w:b/>
          <w:w w:val="95"/>
          <w:sz w:val="18"/>
        </w:rPr>
        <w:t>Visitor</w:t>
      </w:r>
      <w:r>
        <w:rPr>
          <w:b/>
          <w:spacing w:val="6"/>
          <w:sz w:val="18"/>
        </w:rPr>
        <w:t xml:space="preserve"> </w:t>
      </w:r>
      <w:r>
        <w:rPr>
          <w:b/>
          <w:spacing w:val="-2"/>
          <w:w w:val="95"/>
          <w:sz w:val="18"/>
        </w:rPr>
        <w:t>Economy</w:t>
      </w:r>
    </w:p>
    <w:p w:rsidR="002C1123" w:rsidRDefault="002060EF">
      <w:pPr>
        <w:pStyle w:val="BodyText"/>
        <w:spacing w:before="6"/>
        <w:rPr>
          <w:b/>
          <w:sz w:val="3"/>
        </w:rPr>
      </w:pPr>
      <w:r>
        <w:pict>
          <v:shape id="docshape2858" o:spid="_x0000_s1157" type="#_x0000_t202" style="position:absolute;margin-left:49.6pt;margin-top:3.2pt;width:451.75pt;height:55.75pt;z-index:-251430912;mso-wrap-distance-left:0;mso-wrap-distance-right:0;mso-position-horizontal-relative:page" filled="f" stroked="f">
            <v:textbox inset="0,0,0,0">
              <w:txbxContent>
                <w:tbl>
                  <w:tblPr>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4932"/>
                    <w:gridCol w:w="1360"/>
                    <w:gridCol w:w="1360"/>
                    <w:gridCol w:w="1360"/>
                  </w:tblGrid>
                  <w:tr w:rsidR="00F22F94">
                    <w:trPr>
                      <w:trHeight w:val="331"/>
                    </w:trPr>
                    <w:tc>
                      <w:tcPr>
                        <w:tcW w:w="4932" w:type="dxa"/>
                        <w:tcBorders>
                          <w:bottom w:val="nil"/>
                        </w:tcBorders>
                        <w:shd w:val="clear" w:color="auto" w:fill="EBEBEB"/>
                      </w:tcPr>
                      <w:p w:rsidR="00F22F94" w:rsidRDefault="00F22F94">
                        <w:pPr>
                          <w:pStyle w:val="TableParagraph"/>
                          <w:rPr>
                            <w:sz w:val="16"/>
                          </w:rPr>
                        </w:pPr>
                        <w:r>
                          <w:rPr>
                            <w:w w:val="95"/>
                            <w:sz w:val="16"/>
                          </w:rPr>
                          <w:t>Arts</w:t>
                        </w:r>
                        <w:r>
                          <w:rPr>
                            <w:spacing w:val="6"/>
                            <w:sz w:val="16"/>
                          </w:rPr>
                          <w:t xml:space="preserve"> </w:t>
                        </w:r>
                        <w:r>
                          <w:rPr>
                            <w:spacing w:val="-2"/>
                            <w:sz w:val="16"/>
                          </w:rPr>
                          <w:t>Ribbon</w:t>
                        </w:r>
                      </w:p>
                    </w:tc>
                    <w:tc>
                      <w:tcPr>
                        <w:tcW w:w="1360" w:type="dxa"/>
                        <w:tcBorders>
                          <w:bottom w:val="nil"/>
                        </w:tcBorders>
                        <w:shd w:val="clear" w:color="auto" w:fill="EBEBEB"/>
                      </w:tcPr>
                      <w:p w:rsidR="00F22F94" w:rsidRDefault="00F22F94">
                        <w:pPr>
                          <w:pStyle w:val="TableParagraph"/>
                          <w:rPr>
                            <w:sz w:val="16"/>
                          </w:rPr>
                        </w:pPr>
                        <w:r>
                          <w:rPr>
                            <w:spacing w:val="-5"/>
                            <w:sz w:val="16"/>
                          </w:rPr>
                          <w:t>1.0</w:t>
                        </w:r>
                      </w:p>
                    </w:tc>
                    <w:tc>
                      <w:tcPr>
                        <w:tcW w:w="1360" w:type="dxa"/>
                        <w:tcBorders>
                          <w:bottom w:val="nil"/>
                        </w:tcBorders>
                        <w:shd w:val="clear" w:color="auto" w:fill="EBEBEB"/>
                      </w:tcPr>
                      <w:p w:rsidR="00F22F94" w:rsidRDefault="00F22F94">
                        <w:pPr>
                          <w:pStyle w:val="TableParagraph"/>
                          <w:ind w:left="114"/>
                          <w:rPr>
                            <w:sz w:val="16"/>
                          </w:rPr>
                        </w:pPr>
                        <w:r>
                          <w:rPr>
                            <w:spacing w:val="-5"/>
                            <w:sz w:val="16"/>
                          </w:rPr>
                          <w:t>0.4</w:t>
                        </w:r>
                      </w:p>
                    </w:tc>
                    <w:tc>
                      <w:tcPr>
                        <w:tcW w:w="1360" w:type="dxa"/>
                        <w:tcBorders>
                          <w:bottom w:val="nil"/>
                          <w:right w:val="nil"/>
                        </w:tcBorders>
                        <w:shd w:val="clear" w:color="auto" w:fill="EBEBEB"/>
                      </w:tcPr>
                      <w:p w:rsidR="00F22F94" w:rsidRDefault="00F22F94">
                        <w:pPr>
                          <w:pStyle w:val="TableParagraph"/>
                          <w:ind w:left="114"/>
                          <w:rPr>
                            <w:sz w:val="16"/>
                          </w:rPr>
                        </w:pPr>
                        <w:r>
                          <w:rPr>
                            <w:spacing w:val="-5"/>
                            <w:sz w:val="16"/>
                          </w:rPr>
                          <w:t>0.6</w:t>
                        </w:r>
                      </w:p>
                    </w:tc>
                  </w:tr>
                  <w:tr w:rsidR="00F22F94">
                    <w:trPr>
                      <w:trHeight w:val="345"/>
                    </w:trPr>
                    <w:tc>
                      <w:tcPr>
                        <w:tcW w:w="4932" w:type="dxa"/>
                        <w:tcBorders>
                          <w:top w:val="nil"/>
                          <w:left w:val="nil"/>
                        </w:tcBorders>
                        <w:shd w:val="clear" w:color="auto" w:fill="C9C8C9"/>
                      </w:tcPr>
                      <w:p w:rsidR="00F22F94" w:rsidRDefault="00F22F94">
                        <w:pPr>
                          <w:pStyle w:val="TableParagraph"/>
                          <w:spacing w:before="73"/>
                          <w:ind w:left="156"/>
                          <w:rPr>
                            <w:b/>
                            <w:sz w:val="18"/>
                          </w:rPr>
                        </w:pPr>
                        <w:r>
                          <w:rPr>
                            <w:b/>
                            <w:spacing w:val="-2"/>
                            <w:sz w:val="18"/>
                          </w:rPr>
                          <w:t>TOTAL</w:t>
                        </w:r>
                      </w:p>
                    </w:tc>
                    <w:tc>
                      <w:tcPr>
                        <w:tcW w:w="1360" w:type="dxa"/>
                        <w:tcBorders>
                          <w:top w:val="nil"/>
                        </w:tcBorders>
                        <w:shd w:val="clear" w:color="auto" w:fill="C9C8C9"/>
                      </w:tcPr>
                      <w:p w:rsidR="00F22F94" w:rsidRDefault="00F22F94">
                        <w:pPr>
                          <w:pStyle w:val="TableParagraph"/>
                          <w:spacing w:before="77"/>
                          <w:rPr>
                            <w:sz w:val="16"/>
                          </w:rPr>
                        </w:pPr>
                        <w:r>
                          <w:rPr>
                            <w:spacing w:val="-5"/>
                            <w:sz w:val="16"/>
                          </w:rPr>
                          <w:t>1.0</w:t>
                        </w:r>
                      </w:p>
                    </w:tc>
                    <w:tc>
                      <w:tcPr>
                        <w:tcW w:w="1360" w:type="dxa"/>
                        <w:tcBorders>
                          <w:top w:val="nil"/>
                        </w:tcBorders>
                        <w:shd w:val="clear" w:color="auto" w:fill="C9C8C9"/>
                      </w:tcPr>
                      <w:p w:rsidR="00F22F94" w:rsidRDefault="00F22F94">
                        <w:pPr>
                          <w:pStyle w:val="TableParagraph"/>
                          <w:spacing w:before="77"/>
                          <w:ind w:left="114"/>
                          <w:rPr>
                            <w:sz w:val="16"/>
                          </w:rPr>
                        </w:pPr>
                        <w:r>
                          <w:rPr>
                            <w:spacing w:val="-5"/>
                            <w:sz w:val="16"/>
                          </w:rPr>
                          <w:t>0.4</w:t>
                        </w:r>
                      </w:p>
                    </w:tc>
                    <w:tc>
                      <w:tcPr>
                        <w:tcW w:w="1360" w:type="dxa"/>
                        <w:tcBorders>
                          <w:top w:val="nil"/>
                          <w:right w:val="nil"/>
                        </w:tcBorders>
                        <w:shd w:val="clear" w:color="auto" w:fill="C9C8C9"/>
                      </w:tcPr>
                      <w:p w:rsidR="00F22F94" w:rsidRDefault="00F22F94">
                        <w:pPr>
                          <w:pStyle w:val="TableParagraph"/>
                          <w:spacing w:before="77"/>
                          <w:ind w:left="114"/>
                          <w:rPr>
                            <w:sz w:val="16"/>
                          </w:rPr>
                        </w:pPr>
                        <w:r>
                          <w:rPr>
                            <w:spacing w:val="-5"/>
                            <w:sz w:val="16"/>
                          </w:rPr>
                          <w:t>0.6</w:t>
                        </w:r>
                      </w:p>
                    </w:tc>
                  </w:tr>
                  <w:tr w:rsidR="00F22F94">
                    <w:trPr>
                      <w:trHeight w:val="378"/>
                    </w:trPr>
                    <w:tc>
                      <w:tcPr>
                        <w:tcW w:w="4932" w:type="dxa"/>
                        <w:tcBorders>
                          <w:left w:val="nil"/>
                        </w:tcBorders>
                        <w:shd w:val="clear" w:color="auto" w:fill="B2B1B3"/>
                      </w:tcPr>
                      <w:p w:rsidR="00F22F94" w:rsidRDefault="00F22F94">
                        <w:pPr>
                          <w:pStyle w:val="TableParagraph"/>
                          <w:spacing w:before="63"/>
                          <w:rPr>
                            <w:b/>
                            <w:sz w:val="18"/>
                          </w:rPr>
                        </w:pPr>
                        <w:r>
                          <w:rPr>
                            <w:b/>
                            <w:w w:val="95"/>
                            <w:sz w:val="18"/>
                          </w:rPr>
                          <w:t>GRAND</w:t>
                        </w:r>
                        <w:r>
                          <w:rPr>
                            <w:b/>
                            <w:spacing w:val="11"/>
                            <w:sz w:val="18"/>
                          </w:rPr>
                          <w:t xml:space="preserve"> </w:t>
                        </w:r>
                        <w:r>
                          <w:rPr>
                            <w:b/>
                            <w:spacing w:val="-2"/>
                            <w:sz w:val="18"/>
                          </w:rPr>
                          <w:t>TOTAL</w:t>
                        </w:r>
                      </w:p>
                    </w:tc>
                    <w:tc>
                      <w:tcPr>
                        <w:tcW w:w="1360" w:type="dxa"/>
                        <w:shd w:val="clear" w:color="auto" w:fill="B2B1B3"/>
                      </w:tcPr>
                      <w:p w:rsidR="00F22F94" w:rsidRDefault="00F22F94">
                        <w:pPr>
                          <w:pStyle w:val="TableParagraph"/>
                          <w:rPr>
                            <w:sz w:val="16"/>
                          </w:rPr>
                        </w:pPr>
                        <w:r>
                          <w:rPr>
                            <w:spacing w:val="-4"/>
                            <w:sz w:val="16"/>
                          </w:rPr>
                          <w:t>30.4</w:t>
                        </w:r>
                      </w:p>
                    </w:tc>
                    <w:tc>
                      <w:tcPr>
                        <w:tcW w:w="1360" w:type="dxa"/>
                        <w:shd w:val="clear" w:color="auto" w:fill="B2B1B3"/>
                      </w:tcPr>
                      <w:p w:rsidR="00F22F94" w:rsidRDefault="00F22F94">
                        <w:pPr>
                          <w:pStyle w:val="TableParagraph"/>
                          <w:ind w:left="114"/>
                          <w:rPr>
                            <w:sz w:val="16"/>
                          </w:rPr>
                        </w:pPr>
                        <w:r>
                          <w:rPr>
                            <w:spacing w:val="-4"/>
                            <w:sz w:val="16"/>
                          </w:rPr>
                          <w:t>10.6</w:t>
                        </w:r>
                      </w:p>
                    </w:tc>
                    <w:tc>
                      <w:tcPr>
                        <w:tcW w:w="1360" w:type="dxa"/>
                        <w:tcBorders>
                          <w:right w:val="nil"/>
                        </w:tcBorders>
                        <w:shd w:val="clear" w:color="auto" w:fill="B2B1B3"/>
                      </w:tcPr>
                      <w:p w:rsidR="00F22F94" w:rsidRDefault="00F22F94">
                        <w:pPr>
                          <w:pStyle w:val="TableParagraph"/>
                          <w:ind w:left="114"/>
                          <w:rPr>
                            <w:sz w:val="16"/>
                          </w:rPr>
                        </w:pPr>
                        <w:r>
                          <w:rPr>
                            <w:spacing w:val="-4"/>
                            <w:sz w:val="16"/>
                          </w:rPr>
                          <w:t>19.8</w:t>
                        </w:r>
                      </w:p>
                    </w:tc>
                  </w:tr>
                </w:tbl>
                <w:p w:rsidR="00F22F94" w:rsidRDefault="00F22F94">
                  <w:pPr>
                    <w:pStyle w:val="BodyText"/>
                  </w:pPr>
                </w:p>
              </w:txbxContent>
            </v:textbox>
            <w10:wrap type="topAndBottom" anchorx="page"/>
          </v:shape>
        </w:pict>
      </w:r>
      <w:r>
        <w:pict>
          <v:shape id="docshape2859" o:spid="_x0000_s1156" type="#_x0000_t202" style="position:absolute;margin-left:506pt;margin-top:3.2pt;width:286.3pt;height:55.75pt;z-index:-251429888;mso-wrap-distance-left:0;mso-wrap-distance-right:0;mso-position-horizontal-relative:page" filled="f" stroked="f">
            <v:textbox inset="0,0,0,0">
              <w:txbxContent>
                <w:tbl>
                  <w:tblPr>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417"/>
                    <w:gridCol w:w="1417"/>
                    <w:gridCol w:w="1417"/>
                    <w:gridCol w:w="1454"/>
                  </w:tblGrid>
                  <w:tr w:rsidR="00F22F94">
                    <w:trPr>
                      <w:trHeight w:val="331"/>
                    </w:trPr>
                    <w:tc>
                      <w:tcPr>
                        <w:tcW w:w="1417" w:type="dxa"/>
                        <w:tcBorders>
                          <w:left w:val="nil"/>
                          <w:bottom w:val="nil"/>
                        </w:tcBorders>
                        <w:shd w:val="clear" w:color="auto" w:fill="EBEBEB"/>
                      </w:tcPr>
                      <w:p w:rsidR="00F22F94" w:rsidRDefault="00F22F94">
                        <w:pPr>
                          <w:pStyle w:val="TableParagraph"/>
                          <w:rPr>
                            <w:sz w:val="16"/>
                          </w:rPr>
                        </w:pPr>
                        <w:r>
                          <w:rPr>
                            <w:spacing w:val="-5"/>
                            <w:sz w:val="16"/>
                          </w:rPr>
                          <w:t>0.1</w:t>
                        </w:r>
                      </w:p>
                    </w:tc>
                    <w:tc>
                      <w:tcPr>
                        <w:tcW w:w="1417" w:type="dxa"/>
                        <w:tcBorders>
                          <w:bottom w:val="nil"/>
                        </w:tcBorders>
                        <w:shd w:val="clear" w:color="auto" w:fill="EBEBEB"/>
                      </w:tcPr>
                      <w:p w:rsidR="00F22F94" w:rsidRDefault="00F22F94">
                        <w:pPr>
                          <w:pStyle w:val="TableParagraph"/>
                          <w:rPr>
                            <w:sz w:val="16"/>
                          </w:rPr>
                        </w:pPr>
                        <w:r>
                          <w:rPr>
                            <w:spacing w:val="-5"/>
                            <w:sz w:val="16"/>
                          </w:rPr>
                          <w:t>0.2</w:t>
                        </w:r>
                      </w:p>
                    </w:tc>
                    <w:tc>
                      <w:tcPr>
                        <w:tcW w:w="1417" w:type="dxa"/>
                        <w:tcBorders>
                          <w:bottom w:val="nil"/>
                        </w:tcBorders>
                        <w:shd w:val="clear" w:color="auto" w:fill="EBEBEB"/>
                      </w:tcPr>
                      <w:p w:rsidR="00F22F94" w:rsidRDefault="00F22F94">
                        <w:pPr>
                          <w:pStyle w:val="TableParagraph"/>
                          <w:ind w:left="114"/>
                          <w:rPr>
                            <w:sz w:val="16"/>
                          </w:rPr>
                        </w:pPr>
                        <w:r>
                          <w:rPr>
                            <w:spacing w:val="-5"/>
                            <w:sz w:val="16"/>
                          </w:rPr>
                          <w:t>0.3</w:t>
                        </w:r>
                      </w:p>
                    </w:tc>
                    <w:tc>
                      <w:tcPr>
                        <w:tcW w:w="1454" w:type="dxa"/>
                        <w:tcBorders>
                          <w:bottom w:val="nil"/>
                        </w:tcBorders>
                        <w:shd w:val="clear" w:color="auto" w:fill="EBEBEB"/>
                      </w:tcPr>
                      <w:p w:rsidR="00F22F94" w:rsidRDefault="00F22F94">
                        <w:pPr>
                          <w:pStyle w:val="TableParagraph"/>
                          <w:ind w:left="114"/>
                          <w:rPr>
                            <w:sz w:val="16"/>
                          </w:rPr>
                        </w:pPr>
                        <w:r>
                          <w:rPr>
                            <w:spacing w:val="-5"/>
                            <w:sz w:val="16"/>
                          </w:rPr>
                          <w:t>0.6</w:t>
                        </w:r>
                      </w:p>
                    </w:tc>
                  </w:tr>
                  <w:tr w:rsidR="00F22F94">
                    <w:trPr>
                      <w:trHeight w:val="345"/>
                    </w:trPr>
                    <w:tc>
                      <w:tcPr>
                        <w:tcW w:w="1417" w:type="dxa"/>
                        <w:tcBorders>
                          <w:top w:val="nil"/>
                          <w:left w:val="nil"/>
                        </w:tcBorders>
                        <w:shd w:val="clear" w:color="auto" w:fill="C9C8C9"/>
                      </w:tcPr>
                      <w:p w:rsidR="00F22F94" w:rsidRDefault="00F22F94">
                        <w:pPr>
                          <w:pStyle w:val="TableParagraph"/>
                          <w:spacing w:before="77"/>
                          <w:rPr>
                            <w:sz w:val="16"/>
                          </w:rPr>
                        </w:pPr>
                        <w:r>
                          <w:rPr>
                            <w:spacing w:val="-5"/>
                            <w:sz w:val="16"/>
                          </w:rPr>
                          <w:t>0.1</w:t>
                        </w:r>
                      </w:p>
                    </w:tc>
                    <w:tc>
                      <w:tcPr>
                        <w:tcW w:w="1417" w:type="dxa"/>
                        <w:tcBorders>
                          <w:top w:val="nil"/>
                        </w:tcBorders>
                        <w:shd w:val="clear" w:color="auto" w:fill="C9C8C9"/>
                      </w:tcPr>
                      <w:p w:rsidR="00F22F94" w:rsidRDefault="00F22F94">
                        <w:pPr>
                          <w:pStyle w:val="TableParagraph"/>
                          <w:spacing w:before="77"/>
                          <w:rPr>
                            <w:sz w:val="16"/>
                          </w:rPr>
                        </w:pPr>
                        <w:r>
                          <w:rPr>
                            <w:spacing w:val="-5"/>
                            <w:sz w:val="16"/>
                          </w:rPr>
                          <w:t>0.2</w:t>
                        </w:r>
                      </w:p>
                    </w:tc>
                    <w:tc>
                      <w:tcPr>
                        <w:tcW w:w="1417" w:type="dxa"/>
                        <w:tcBorders>
                          <w:top w:val="nil"/>
                        </w:tcBorders>
                        <w:shd w:val="clear" w:color="auto" w:fill="C9C8C9"/>
                      </w:tcPr>
                      <w:p w:rsidR="00F22F94" w:rsidRDefault="00F22F94">
                        <w:pPr>
                          <w:pStyle w:val="TableParagraph"/>
                          <w:spacing w:before="77"/>
                          <w:ind w:left="114"/>
                          <w:rPr>
                            <w:sz w:val="16"/>
                          </w:rPr>
                        </w:pPr>
                        <w:r>
                          <w:rPr>
                            <w:spacing w:val="-5"/>
                            <w:sz w:val="16"/>
                          </w:rPr>
                          <w:t>0.3</w:t>
                        </w:r>
                      </w:p>
                    </w:tc>
                    <w:tc>
                      <w:tcPr>
                        <w:tcW w:w="1454" w:type="dxa"/>
                        <w:tcBorders>
                          <w:top w:val="nil"/>
                        </w:tcBorders>
                        <w:shd w:val="clear" w:color="auto" w:fill="C9C8C9"/>
                      </w:tcPr>
                      <w:p w:rsidR="00F22F94" w:rsidRDefault="00F22F94">
                        <w:pPr>
                          <w:pStyle w:val="TableParagraph"/>
                          <w:spacing w:before="77"/>
                          <w:ind w:left="114"/>
                          <w:rPr>
                            <w:sz w:val="16"/>
                          </w:rPr>
                        </w:pPr>
                        <w:r>
                          <w:rPr>
                            <w:spacing w:val="-5"/>
                            <w:sz w:val="16"/>
                          </w:rPr>
                          <w:t>0.6</w:t>
                        </w:r>
                      </w:p>
                    </w:tc>
                  </w:tr>
                  <w:tr w:rsidR="00F22F94">
                    <w:trPr>
                      <w:trHeight w:val="378"/>
                    </w:trPr>
                    <w:tc>
                      <w:tcPr>
                        <w:tcW w:w="1417" w:type="dxa"/>
                        <w:tcBorders>
                          <w:left w:val="nil"/>
                        </w:tcBorders>
                        <w:shd w:val="clear" w:color="auto" w:fill="B2B1B3"/>
                      </w:tcPr>
                      <w:p w:rsidR="00F22F94" w:rsidRDefault="00F22F94">
                        <w:pPr>
                          <w:pStyle w:val="TableParagraph"/>
                          <w:rPr>
                            <w:sz w:val="16"/>
                          </w:rPr>
                        </w:pPr>
                        <w:r>
                          <w:rPr>
                            <w:spacing w:val="-5"/>
                            <w:sz w:val="16"/>
                          </w:rPr>
                          <w:t>4.6</w:t>
                        </w:r>
                      </w:p>
                    </w:tc>
                    <w:tc>
                      <w:tcPr>
                        <w:tcW w:w="1417" w:type="dxa"/>
                        <w:shd w:val="clear" w:color="auto" w:fill="B2B1B3"/>
                      </w:tcPr>
                      <w:p w:rsidR="00F22F94" w:rsidRDefault="00F22F94">
                        <w:pPr>
                          <w:pStyle w:val="TableParagraph"/>
                          <w:rPr>
                            <w:sz w:val="16"/>
                          </w:rPr>
                        </w:pPr>
                        <w:r>
                          <w:rPr>
                            <w:spacing w:val="-5"/>
                            <w:sz w:val="16"/>
                          </w:rPr>
                          <w:t>7.5</w:t>
                        </w:r>
                      </w:p>
                    </w:tc>
                    <w:tc>
                      <w:tcPr>
                        <w:tcW w:w="1417" w:type="dxa"/>
                        <w:shd w:val="clear" w:color="auto" w:fill="B2B1B3"/>
                      </w:tcPr>
                      <w:p w:rsidR="00F22F94" w:rsidRDefault="00F22F94">
                        <w:pPr>
                          <w:pStyle w:val="TableParagraph"/>
                          <w:ind w:left="114"/>
                          <w:rPr>
                            <w:sz w:val="16"/>
                          </w:rPr>
                        </w:pPr>
                        <w:r>
                          <w:rPr>
                            <w:spacing w:val="-5"/>
                            <w:sz w:val="16"/>
                          </w:rPr>
                          <w:t>7.7</w:t>
                        </w:r>
                      </w:p>
                    </w:tc>
                    <w:tc>
                      <w:tcPr>
                        <w:tcW w:w="1454" w:type="dxa"/>
                        <w:shd w:val="clear" w:color="auto" w:fill="B2B1B3"/>
                      </w:tcPr>
                      <w:p w:rsidR="00F22F94" w:rsidRDefault="00F22F94">
                        <w:pPr>
                          <w:pStyle w:val="TableParagraph"/>
                          <w:ind w:left="114"/>
                          <w:rPr>
                            <w:sz w:val="16"/>
                          </w:rPr>
                        </w:pPr>
                        <w:r>
                          <w:rPr>
                            <w:spacing w:val="-4"/>
                            <w:sz w:val="16"/>
                          </w:rPr>
                          <w:t>19.8</w:t>
                        </w:r>
                      </w:p>
                    </w:tc>
                  </w:tr>
                </w:tbl>
                <w:p w:rsidR="00F22F94" w:rsidRDefault="00F22F94">
                  <w:pPr>
                    <w:pStyle w:val="BodyText"/>
                  </w:pPr>
                </w:p>
              </w:txbxContent>
            </v:textbox>
            <w10:wrap type="topAndBottom" anchorx="page"/>
          </v:shape>
        </w:pict>
      </w:r>
    </w:p>
    <w:p w:rsidR="002C1123" w:rsidRDefault="002C1123">
      <w:pPr>
        <w:rPr>
          <w:sz w:val="3"/>
        </w:rPr>
        <w:sectPr w:rsidR="002C1123">
          <w:pgSz w:w="16840" w:h="11910" w:orient="landscape"/>
          <w:pgMar w:top="560" w:right="280" w:bottom="700" w:left="500" w:header="0" w:footer="517" w:gutter="0"/>
          <w:cols w:space="720"/>
        </w:sect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rPr>
          <w:b/>
        </w:rPr>
      </w:pPr>
    </w:p>
    <w:p w:rsidR="002C1123" w:rsidRDefault="002C1123">
      <w:pPr>
        <w:pStyle w:val="BodyText"/>
        <w:spacing w:before="5"/>
        <w:rPr>
          <w:b/>
          <w:sz w:val="17"/>
        </w:rPr>
      </w:pPr>
    </w:p>
    <w:p w:rsidR="002C1123" w:rsidRDefault="002C1123">
      <w:pPr>
        <w:rPr>
          <w:sz w:val="17"/>
        </w:rPr>
        <w:sectPr w:rsidR="002C1123">
          <w:pgSz w:w="16840" w:h="11910" w:orient="landscape"/>
          <w:pgMar w:top="560" w:right="280" w:bottom="700" w:left="500" w:header="0" w:footer="517" w:gutter="0"/>
          <w:cols w:space="720"/>
        </w:sectPr>
      </w:pPr>
    </w:p>
    <w:p w:rsidR="002C1123" w:rsidRDefault="00F22F94">
      <w:pPr>
        <w:pStyle w:val="Heading5"/>
        <w:numPr>
          <w:ilvl w:val="1"/>
          <w:numId w:val="27"/>
        </w:numPr>
        <w:tabs>
          <w:tab w:val="left" w:pos="1093"/>
        </w:tabs>
        <w:ind w:left="1092"/>
        <w:jc w:val="left"/>
      </w:pPr>
      <w:bookmarkStart w:id="392" w:name="15.3_Conclusion"/>
      <w:bookmarkStart w:id="393" w:name="_bookmark281"/>
      <w:bookmarkStart w:id="394" w:name="_bookmark280"/>
      <w:bookmarkEnd w:id="392"/>
      <w:bookmarkEnd w:id="393"/>
      <w:bookmarkEnd w:id="394"/>
      <w:r>
        <w:rPr>
          <w:color w:val="00AEEF"/>
          <w:spacing w:val="-2"/>
        </w:rPr>
        <w:t>Conclusion</w:t>
      </w:r>
    </w:p>
    <w:p w:rsidR="002C1123" w:rsidRDefault="00F22F94">
      <w:pPr>
        <w:pStyle w:val="BodyText"/>
        <w:spacing w:before="135" w:line="249" w:lineRule="auto"/>
        <w:ind w:left="492" w:right="426"/>
        <w:jc w:val="both"/>
      </w:pPr>
      <w:r>
        <w:rPr>
          <w:w w:val="95"/>
        </w:rPr>
        <w:t>The major projects and programs recommended in the</w:t>
      </w:r>
      <w:r>
        <w:rPr>
          <w:spacing w:val="-10"/>
          <w:w w:val="95"/>
        </w:rPr>
        <w:t xml:space="preserve"> </w:t>
      </w:r>
      <w:r>
        <w:rPr>
          <w:w w:val="95"/>
        </w:rPr>
        <w:t>Strategy</w:t>
      </w:r>
      <w:r>
        <w:rPr>
          <w:spacing w:val="-10"/>
          <w:w w:val="95"/>
        </w:rPr>
        <w:t xml:space="preserve"> </w:t>
      </w:r>
      <w:r>
        <w:rPr>
          <w:w w:val="95"/>
        </w:rPr>
        <w:t>have</w:t>
      </w:r>
      <w:r>
        <w:rPr>
          <w:spacing w:val="-10"/>
          <w:w w:val="95"/>
        </w:rPr>
        <w:t xml:space="preserve"> </w:t>
      </w:r>
      <w:r>
        <w:rPr>
          <w:w w:val="95"/>
        </w:rPr>
        <w:t>been</w:t>
      </w:r>
      <w:r>
        <w:rPr>
          <w:spacing w:val="-10"/>
          <w:w w:val="95"/>
        </w:rPr>
        <w:t xml:space="preserve"> </w:t>
      </w:r>
      <w:r>
        <w:rPr>
          <w:w w:val="95"/>
        </w:rPr>
        <w:t>developed</w:t>
      </w:r>
      <w:r>
        <w:rPr>
          <w:spacing w:val="-10"/>
          <w:w w:val="95"/>
        </w:rPr>
        <w:t xml:space="preserve"> </w:t>
      </w:r>
      <w:r>
        <w:rPr>
          <w:w w:val="95"/>
        </w:rPr>
        <w:t>to</w:t>
      </w:r>
      <w:r>
        <w:rPr>
          <w:spacing w:val="-10"/>
          <w:w w:val="95"/>
        </w:rPr>
        <w:t xml:space="preserve"> </w:t>
      </w:r>
      <w:r>
        <w:rPr>
          <w:w w:val="95"/>
        </w:rPr>
        <w:t>be</w:t>
      </w:r>
      <w:r>
        <w:rPr>
          <w:spacing w:val="-10"/>
          <w:w w:val="95"/>
        </w:rPr>
        <w:t xml:space="preserve"> </w:t>
      </w:r>
      <w:r>
        <w:rPr>
          <w:w w:val="95"/>
        </w:rPr>
        <w:t xml:space="preserve">realistically </w:t>
      </w:r>
      <w:r>
        <w:t>affordable</w:t>
      </w:r>
      <w:r>
        <w:rPr>
          <w:spacing w:val="-6"/>
        </w:rPr>
        <w:t xml:space="preserve"> </w:t>
      </w:r>
      <w:r>
        <w:t>and</w:t>
      </w:r>
      <w:r>
        <w:rPr>
          <w:spacing w:val="-6"/>
        </w:rPr>
        <w:t xml:space="preserve"> </w:t>
      </w:r>
      <w:r>
        <w:t>capable</w:t>
      </w:r>
      <w:r>
        <w:rPr>
          <w:spacing w:val="-6"/>
        </w:rPr>
        <w:t xml:space="preserve"> </w:t>
      </w:r>
      <w:r>
        <w:t>of</w:t>
      </w:r>
      <w:r>
        <w:rPr>
          <w:spacing w:val="-6"/>
        </w:rPr>
        <w:t xml:space="preserve"> </w:t>
      </w:r>
      <w:r>
        <w:t>being</w:t>
      </w:r>
      <w:r>
        <w:rPr>
          <w:spacing w:val="-6"/>
        </w:rPr>
        <w:t xml:space="preserve"> </w:t>
      </w:r>
      <w:r>
        <w:t>delivered.</w:t>
      </w:r>
    </w:p>
    <w:p w:rsidR="002C1123" w:rsidRDefault="00F22F94">
      <w:pPr>
        <w:pStyle w:val="BodyText"/>
        <w:spacing w:before="144" w:line="249" w:lineRule="auto"/>
        <w:ind w:left="492" w:right="79"/>
      </w:pPr>
      <w:r>
        <w:rPr>
          <w:spacing w:val="-2"/>
        </w:rPr>
        <w:t>The</w:t>
      </w:r>
      <w:r>
        <w:rPr>
          <w:spacing w:val="-6"/>
        </w:rPr>
        <w:t xml:space="preserve"> </w:t>
      </w:r>
      <w:r>
        <w:rPr>
          <w:spacing w:val="-2"/>
        </w:rPr>
        <w:t>recommended</w:t>
      </w:r>
      <w:r>
        <w:rPr>
          <w:spacing w:val="-6"/>
        </w:rPr>
        <w:t xml:space="preserve"> </w:t>
      </w:r>
      <w:r>
        <w:rPr>
          <w:spacing w:val="-2"/>
        </w:rPr>
        <w:t>projects</w:t>
      </w:r>
      <w:r>
        <w:rPr>
          <w:spacing w:val="-6"/>
        </w:rPr>
        <w:t xml:space="preserve"> </w:t>
      </w:r>
      <w:r>
        <w:rPr>
          <w:spacing w:val="-2"/>
        </w:rPr>
        <w:t>(excluding</w:t>
      </w:r>
      <w:r>
        <w:rPr>
          <w:spacing w:val="-6"/>
        </w:rPr>
        <w:t xml:space="preserve"> </w:t>
      </w:r>
      <w:r>
        <w:rPr>
          <w:spacing w:val="-2"/>
        </w:rPr>
        <w:t xml:space="preserve">existing </w:t>
      </w:r>
      <w:r>
        <w:rPr>
          <w:w w:val="95"/>
        </w:rPr>
        <w:t xml:space="preserve">Government commitments and projects that are </w:t>
      </w:r>
      <w:r>
        <w:rPr>
          <w:spacing w:val="-2"/>
        </w:rPr>
        <w:t>included</w:t>
      </w:r>
      <w:r>
        <w:rPr>
          <w:spacing w:val="-9"/>
        </w:rPr>
        <w:t xml:space="preserve"> </w:t>
      </w:r>
      <w:r>
        <w:rPr>
          <w:spacing w:val="-2"/>
        </w:rPr>
        <w:t>in</w:t>
      </w:r>
      <w:r>
        <w:rPr>
          <w:spacing w:val="-9"/>
        </w:rPr>
        <w:t xml:space="preserve"> </w:t>
      </w:r>
      <w:r>
        <w:rPr>
          <w:spacing w:val="-2"/>
        </w:rPr>
        <w:t>agency</w:t>
      </w:r>
      <w:r>
        <w:rPr>
          <w:spacing w:val="-9"/>
        </w:rPr>
        <w:t xml:space="preserve"> </w:t>
      </w:r>
      <w:r>
        <w:rPr>
          <w:spacing w:val="-2"/>
        </w:rPr>
        <w:t>plans)</w:t>
      </w:r>
      <w:r>
        <w:rPr>
          <w:spacing w:val="-9"/>
        </w:rPr>
        <w:t xml:space="preserve"> </w:t>
      </w:r>
      <w:r>
        <w:rPr>
          <w:spacing w:val="-2"/>
        </w:rPr>
        <w:t>are</w:t>
      </w:r>
      <w:r>
        <w:rPr>
          <w:spacing w:val="-9"/>
        </w:rPr>
        <w:t xml:space="preserve"> </w:t>
      </w:r>
      <w:r>
        <w:rPr>
          <w:spacing w:val="-2"/>
        </w:rPr>
        <w:t>estimated</w:t>
      </w:r>
      <w:r>
        <w:rPr>
          <w:spacing w:val="-9"/>
        </w:rPr>
        <w:t xml:space="preserve"> </w:t>
      </w:r>
      <w:r>
        <w:rPr>
          <w:spacing w:val="-2"/>
        </w:rPr>
        <w:t>to</w:t>
      </w:r>
      <w:r>
        <w:rPr>
          <w:spacing w:val="-9"/>
        </w:rPr>
        <w:t xml:space="preserve"> </w:t>
      </w:r>
      <w:r>
        <w:rPr>
          <w:spacing w:val="-2"/>
        </w:rPr>
        <w:t>cost</w:t>
      </w:r>
    </w:p>
    <w:p w:rsidR="002C1123" w:rsidRDefault="00F22F94">
      <w:pPr>
        <w:pStyle w:val="BodyText"/>
        <w:spacing w:before="2"/>
        <w:ind w:left="492"/>
      </w:pPr>
      <w:r>
        <w:rPr>
          <w:w w:val="95"/>
        </w:rPr>
        <w:t>$30</w:t>
      </w:r>
      <w:r>
        <w:rPr>
          <w:spacing w:val="-8"/>
          <w:w w:val="95"/>
        </w:rPr>
        <w:t xml:space="preserve"> </w:t>
      </w:r>
      <w:r>
        <w:rPr>
          <w:w w:val="95"/>
        </w:rPr>
        <w:t>billion</w:t>
      </w:r>
      <w:r>
        <w:rPr>
          <w:spacing w:val="-7"/>
          <w:w w:val="95"/>
        </w:rPr>
        <w:t xml:space="preserve"> </w:t>
      </w:r>
      <w:r>
        <w:rPr>
          <w:w w:val="95"/>
        </w:rPr>
        <w:t>over</w:t>
      </w:r>
      <w:r>
        <w:rPr>
          <w:spacing w:val="-7"/>
          <w:w w:val="95"/>
        </w:rPr>
        <w:t xml:space="preserve"> </w:t>
      </w:r>
      <w:r>
        <w:rPr>
          <w:w w:val="95"/>
        </w:rPr>
        <w:t>the</w:t>
      </w:r>
      <w:r>
        <w:rPr>
          <w:spacing w:val="-7"/>
          <w:w w:val="95"/>
        </w:rPr>
        <w:t xml:space="preserve"> </w:t>
      </w:r>
      <w:r>
        <w:rPr>
          <w:w w:val="95"/>
        </w:rPr>
        <w:t>next</w:t>
      </w:r>
      <w:r>
        <w:rPr>
          <w:spacing w:val="-8"/>
          <w:w w:val="95"/>
        </w:rPr>
        <w:t xml:space="preserve"> </w:t>
      </w:r>
      <w:r>
        <w:rPr>
          <w:w w:val="95"/>
        </w:rPr>
        <w:t>20</w:t>
      </w:r>
      <w:r>
        <w:rPr>
          <w:spacing w:val="-7"/>
          <w:w w:val="95"/>
        </w:rPr>
        <w:t xml:space="preserve"> </w:t>
      </w:r>
      <w:r>
        <w:rPr>
          <w:spacing w:val="-2"/>
          <w:w w:val="95"/>
        </w:rPr>
        <w:t>years.</w:t>
      </w:r>
    </w:p>
    <w:p w:rsidR="002C1123" w:rsidRDefault="00F22F94">
      <w:pPr>
        <w:pStyle w:val="BodyText"/>
        <w:spacing w:before="152" w:line="249" w:lineRule="auto"/>
        <w:ind w:left="492"/>
      </w:pPr>
      <w:r>
        <w:rPr>
          <w:w w:val="95"/>
        </w:rPr>
        <w:t>After deducting proposed user contributions of over $10 billion,</w:t>
      </w:r>
      <w:r>
        <w:rPr>
          <w:spacing w:val="-8"/>
          <w:w w:val="95"/>
        </w:rPr>
        <w:t xml:space="preserve"> </w:t>
      </w:r>
      <w:r>
        <w:rPr>
          <w:w w:val="95"/>
        </w:rPr>
        <w:t>a</w:t>
      </w:r>
      <w:r>
        <w:rPr>
          <w:spacing w:val="-8"/>
          <w:w w:val="95"/>
        </w:rPr>
        <w:t xml:space="preserve"> </w:t>
      </w:r>
      <w:r>
        <w:rPr>
          <w:w w:val="95"/>
        </w:rPr>
        <w:t>Government</w:t>
      </w:r>
      <w:r>
        <w:rPr>
          <w:spacing w:val="-8"/>
          <w:w w:val="95"/>
        </w:rPr>
        <w:t xml:space="preserve"> </w:t>
      </w:r>
      <w:r>
        <w:rPr>
          <w:w w:val="95"/>
        </w:rPr>
        <w:t>funding</w:t>
      </w:r>
      <w:r>
        <w:rPr>
          <w:spacing w:val="-8"/>
          <w:w w:val="95"/>
        </w:rPr>
        <w:t xml:space="preserve"> </w:t>
      </w:r>
      <w:r>
        <w:rPr>
          <w:w w:val="95"/>
        </w:rPr>
        <w:t>task</w:t>
      </w:r>
      <w:r>
        <w:rPr>
          <w:spacing w:val="-8"/>
          <w:w w:val="95"/>
        </w:rPr>
        <w:t xml:space="preserve"> </w:t>
      </w:r>
      <w:r>
        <w:rPr>
          <w:w w:val="95"/>
        </w:rPr>
        <w:t>of</w:t>
      </w:r>
      <w:r>
        <w:rPr>
          <w:spacing w:val="-8"/>
          <w:w w:val="95"/>
        </w:rPr>
        <w:t xml:space="preserve"> </w:t>
      </w:r>
      <w:r>
        <w:rPr>
          <w:w w:val="95"/>
        </w:rPr>
        <w:t>$20</w:t>
      </w:r>
      <w:r>
        <w:rPr>
          <w:spacing w:val="-8"/>
          <w:w w:val="95"/>
        </w:rPr>
        <w:t xml:space="preserve"> </w:t>
      </w:r>
      <w:r>
        <w:rPr>
          <w:w w:val="95"/>
        </w:rPr>
        <w:t>billion</w:t>
      </w:r>
      <w:r>
        <w:rPr>
          <w:spacing w:val="-8"/>
          <w:w w:val="95"/>
        </w:rPr>
        <w:t xml:space="preserve"> </w:t>
      </w:r>
      <w:r>
        <w:rPr>
          <w:w w:val="95"/>
        </w:rPr>
        <w:t xml:space="preserve">remains, </w:t>
      </w:r>
      <w:r>
        <w:rPr>
          <w:spacing w:val="-2"/>
        </w:rPr>
        <w:t>of</w:t>
      </w:r>
      <w:r>
        <w:rPr>
          <w:spacing w:val="-10"/>
        </w:rPr>
        <w:t xml:space="preserve"> </w:t>
      </w:r>
      <w:r>
        <w:rPr>
          <w:spacing w:val="-2"/>
        </w:rPr>
        <w:t>which</w:t>
      </w:r>
      <w:r>
        <w:rPr>
          <w:spacing w:val="-10"/>
        </w:rPr>
        <w:t xml:space="preserve"> </w:t>
      </w:r>
      <w:r>
        <w:rPr>
          <w:spacing w:val="-2"/>
        </w:rPr>
        <w:t>$4.6</w:t>
      </w:r>
      <w:r>
        <w:rPr>
          <w:spacing w:val="-10"/>
        </w:rPr>
        <w:t xml:space="preserve"> </w:t>
      </w:r>
      <w:r>
        <w:rPr>
          <w:spacing w:val="-2"/>
        </w:rPr>
        <w:t>billion</w:t>
      </w:r>
      <w:r>
        <w:rPr>
          <w:spacing w:val="-10"/>
        </w:rPr>
        <w:t xml:space="preserve"> </w:t>
      </w:r>
      <w:r>
        <w:rPr>
          <w:spacing w:val="-2"/>
        </w:rPr>
        <w:t>is</w:t>
      </w:r>
      <w:r>
        <w:rPr>
          <w:spacing w:val="-10"/>
        </w:rPr>
        <w:t xml:space="preserve"> </w:t>
      </w:r>
      <w:r>
        <w:rPr>
          <w:spacing w:val="-2"/>
        </w:rPr>
        <w:t>scheduled</w:t>
      </w:r>
      <w:r>
        <w:rPr>
          <w:spacing w:val="-10"/>
        </w:rPr>
        <w:t xml:space="preserve"> </w:t>
      </w:r>
      <w:r>
        <w:rPr>
          <w:spacing w:val="-2"/>
        </w:rPr>
        <w:t>to</w:t>
      </w:r>
      <w:r>
        <w:rPr>
          <w:spacing w:val="-10"/>
        </w:rPr>
        <w:t xml:space="preserve"> </w:t>
      </w:r>
      <w:r>
        <w:rPr>
          <w:spacing w:val="-2"/>
        </w:rPr>
        <w:t>arise</w:t>
      </w:r>
      <w:r>
        <w:rPr>
          <w:spacing w:val="-10"/>
        </w:rPr>
        <w:t xml:space="preserve"> </w:t>
      </w:r>
      <w:r>
        <w:rPr>
          <w:spacing w:val="-2"/>
        </w:rPr>
        <w:t>in</w:t>
      </w:r>
      <w:r>
        <w:rPr>
          <w:spacing w:val="-10"/>
        </w:rPr>
        <w:t xml:space="preserve"> </w:t>
      </w:r>
      <w:r>
        <w:rPr>
          <w:spacing w:val="-2"/>
        </w:rPr>
        <w:t>the</w:t>
      </w:r>
      <w:r>
        <w:rPr>
          <w:spacing w:val="-10"/>
        </w:rPr>
        <w:t xml:space="preserve"> </w:t>
      </w:r>
      <w:r>
        <w:rPr>
          <w:spacing w:val="-2"/>
        </w:rPr>
        <w:t>first</w:t>
      </w:r>
      <w:r>
        <w:rPr>
          <w:spacing w:val="-10"/>
        </w:rPr>
        <w:t xml:space="preserve"> </w:t>
      </w:r>
      <w:r>
        <w:rPr>
          <w:spacing w:val="-2"/>
        </w:rPr>
        <w:t>five years.</w:t>
      </w:r>
      <w:r>
        <w:rPr>
          <w:spacing w:val="-9"/>
        </w:rPr>
        <w:t xml:space="preserve"> </w:t>
      </w:r>
      <w:r>
        <w:rPr>
          <w:spacing w:val="-2"/>
        </w:rPr>
        <w:t>This</w:t>
      </w:r>
      <w:r>
        <w:rPr>
          <w:spacing w:val="-9"/>
        </w:rPr>
        <w:t xml:space="preserve"> </w:t>
      </w:r>
      <w:r>
        <w:rPr>
          <w:spacing w:val="-2"/>
        </w:rPr>
        <w:t>represents</w:t>
      </w:r>
      <w:r>
        <w:rPr>
          <w:spacing w:val="-9"/>
        </w:rPr>
        <w:t xml:space="preserve"> </w:t>
      </w:r>
      <w:r>
        <w:rPr>
          <w:spacing w:val="-2"/>
        </w:rPr>
        <w:t>around</w:t>
      </w:r>
      <w:r>
        <w:rPr>
          <w:spacing w:val="-9"/>
        </w:rPr>
        <w:t xml:space="preserve"> </w:t>
      </w:r>
      <w:r>
        <w:rPr>
          <w:spacing w:val="-2"/>
        </w:rPr>
        <w:t>6</w:t>
      </w:r>
      <w:r>
        <w:rPr>
          <w:spacing w:val="-9"/>
        </w:rPr>
        <w:t xml:space="preserve"> </w:t>
      </w:r>
      <w:r>
        <w:rPr>
          <w:spacing w:val="-2"/>
        </w:rPr>
        <w:t>percent</w:t>
      </w:r>
      <w:r>
        <w:rPr>
          <w:spacing w:val="-9"/>
        </w:rPr>
        <w:t xml:space="preserve"> </w:t>
      </w:r>
      <w:r>
        <w:rPr>
          <w:spacing w:val="-2"/>
        </w:rPr>
        <w:t>of</w:t>
      </w:r>
      <w:r>
        <w:rPr>
          <w:spacing w:val="-9"/>
        </w:rPr>
        <w:t xml:space="preserve"> </w:t>
      </w:r>
      <w:r>
        <w:rPr>
          <w:spacing w:val="-2"/>
        </w:rPr>
        <w:t>NSW’s</w:t>
      </w:r>
      <w:r>
        <w:rPr>
          <w:spacing w:val="-9"/>
        </w:rPr>
        <w:t xml:space="preserve"> </w:t>
      </w:r>
      <w:r>
        <w:rPr>
          <w:spacing w:val="-2"/>
        </w:rPr>
        <w:t xml:space="preserve">total </w:t>
      </w:r>
      <w:r>
        <w:t>capital spending over this period.</w:t>
      </w:r>
    </w:p>
    <w:p w:rsidR="002C1123" w:rsidRDefault="00F22F94">
      <w:pPr>
        <w:pStyle w:val="BodyText"/>
        <w:spacing w:before="146"/>
        <w:ind w:left="492"/>
      </w:pPr>
      <w:r>
        <w:rPr>
          <w:w w:val="95"/>
        </w:rPr>
        <w:t>Funding</w:t>
      </w:r>
      <w:r>
        <w:rPr>
          <w:spacing w:val="-4"/>
          <w:w w:val="95"/>
        </w:rPr>
        <w:t xml:space="preserve"> </w:t>
      </w:r>
      <w:r>
        <w:rPr>
          <w:w w:val="95"/>
        </w:rPr>
        <w:t>mechanisms</w:t>
      </w:r>
      <w:r>
        <w:rPr>
          <w:spacing w:val="-4"/>
          <w:w w:val="95"/>
        </w:rPr>
        <w:t xml:space="preserve"> </w:t>
      </w:r>
      <w:r>
        <w:rPr>
          <w:w w:val="95"/>
        </w:rPr>
        <w:t>are</w:t>
      </w:r>
      <w:r>
        <w:rPr>
          <w:spacing w:val="-4"/>
          <w:w w:val="95"/>
        </w:rPr>
        <w:t xml:space="preserve"> </w:t>
      </w:r>
      <w:r>
        <w:rPr>
          <w:w w:val="95"/>
        </w:rPr>
        <w:t>discussed</w:t>
      </w:r>
      <w:r>
        <w:rPr>
          <w:spacing w:val="-4"/>
          <w:w w:val="95"/>
        </w:rPr>
        <w:t xml:space="preserve"> </w:t>
      </w:r>
      <w:r>
        <w:rPr>
          <w:w w:val="95"/>
        </w:rPr>
        <w:t>in</w:t>
      </w:r>
      <w:r>
        <w:rPr>
          <w:spacing w:val="-4"/>
          <w:w w:val="95"/>
        </w:rPr>
        <w:t xml:space="preserve"> </w:t>
      </w:r>
      <w:r>
        <w:rPr>
          <w:w w:val="95"/>
        </w:rPr>
        <w:t>Section</w:t>
      </w:r>
      <w:r>
        <w:rPr>
          <w:spacing w:val="-4"/>
          <w:w w:val="95"/>
        </w:rPr>
        <w:t xml:space="preserve"> </w:t>
      </w:r>
      <w:r>
        <w:rPr>
          <w:spacing w:val="-5"/>
          <w:w w:val="95"/>
        </w:rPr>
        <w:t>16.</w:t>
      </w:r>
    </w:p>
    <w:p w:rsidR="002C1123" w:rsidRDefault="00F22F94">
      <w:pPr>
        <w:rPr>
          <w:sz w:val="24"/>
        </w:rPr>
      </w:pPr>
      <w:r>
        <w:br w:type="column"/>
      </w:r>
    </w:p>
    <w:p w:rsidR="002C1123" w:rsidRDefault="002C1123">
      <w:pPr>
        <w:pStyle w:val="BodyText"/>
        <w:spacing w:before="4"/>
        <w:rPr>
          <w:sz w:val="25"/>
        </w:rPr>
      </w:pPr>
    </w:p>
    <w:p w:rsidR="002C1123" w:rsidRDefault="00F22F94">
      <w:pPr>
        <w:pStyle w:val="BodyText"/>
        <w:spacing w:line="249" w:lineRule="auto"/>
        <w:ind w:left="236" w:right="5812"/>
      </w:pPr>
      <w:r>
        <w:rPr>
          <w:w w:val="95"/>
        </w:rPr>
        <w:t>Infrastructure</w:t>
      </w:r>
      <w:r>
        <w:rPr>
          <w:spacing w:val="-9"/>
          <w:w w:val="95"/>
        </w:rPr>
        <w:t xml:space="preserve"> </w:t>
      </w:r>
      <w:r>
        <w:rPr>
          <w:w w:val="95"/>
        </w:rPr>
        <w:t>NSW</w:t>
      </w:r>
      <w:r>
        <w:rPr>
          <w:spacing w:val="-9"/>
          <w:w w:val="95"/>
        </w:rPr>
        <w:t xml:space="preserve"> </w:t>
      </w:r>
      <w:r>
        <w:rPr>
          <w:w w:val="95"/>
        </w:rPr>
        <w:t>believes</w:t>
      </w:r>
      <w:r>
        <w:rPr>
          <w:spacing w:val="-9"/>
          <w:w w:val="95"/>
        </w:rPr>
        <w:t xml:space="preserve"> </w:t>
      </w:r>
      <w:r>
        <w:rPr>
          <w:w w:val="95"/>
        </w:rPr>
        <w:t>that</w:t>
      </w:r>
      <w:r>
        <w:rPr>
          <w:spacing w:val="-9"/>
          <w:w w:val="95"/>
        </w:rPr>
        <w:t xml:space="preserve"> </w:t>
      </w:r>
      <w:r>
        <w:rPr>
          <w:w w:val="95"/>
        </w:rPr>
        <w:t>the</w:t>
      </w:r>
      <w:r>
        <w:rPr>
          <w:spacing w:val="-9"/>
          <w:w w:val="95"/>
        </w:rPr>
        <w:t xml:space="preserve"> </w:t>
      </w:r>
      <w:r>
        <w:rPr>
          <w:w w:val="95"/>
        </w:rPr>
        <w:t>prioritised</w:t>
      </w:r>
      <w:r>
        <w:rPr>
          <w:spacing w:val="-9"/>
          <w:w w:val="95"/>
        </w:rPr>
        <w:t xml:space="preserve"> </w:t>
      </w:r>
      <w:r>
        <w:rPr>
          <w:w w:val="95"/>
        </w:rPr>
        <w:t xml:space="preserve">pipeline </w:t>
      </w:r>
      <w:r>
        <w:t>of projects will:</w:t>
      </w:r>
    </w:p>
    <w:p w:rsidR="002C1123" w:rsidRDefault="00F22F94">
      <w:pPr>
        <w:pStyle w:val="ListParagraph"/>
        <w:numPr>
          <w:ilvl w:val="0"/>
          <w:numId w:val="25"/>
        </w:numPr>
        <w:tabs>
          <w:tab w:val="left" w:pos="520"/>
        </w:tabs>
        <w:spacing w:before="131" w:line="249" w:lineRule="auto"/>
        <w:ind w:right="5970"/>
        <w:rPr>
          <w:sz w:val="20"/>
        </w:rPr>
      </w:pPr>
      <w:r>
        <w:rPr>
          <w:sz w:val="20"/>
        </w:rPr>
        <w:t>ensure</w:t>
      </w:r>
      <w:r>
        <w:rPr>
          <w:spacing w:val="-14"/>
          <w:sz w:val="20"/>
        </w:rPr>
        <w:t xml:space="preserve"> </w:t>
      </w:r>
      <w:r>
        <w:rPr>
          <w:sz w:val="20"/>
        </w:rPr>
        <w:t>that</w:t>
      </w:r>
      <w:r>
        <w:rPr>
          <w:spacing w:val="-14"/>
          <w:sz w:val="20"/>
        </w:rPr>
        <w:t xml:space="preserve"> </w:t>
      </w:r>
      <w:r>
        <w:rPr>
          <w:sz w:val="20"/>
        </w:rPr>
        <w:t>infrastructure</w:t>
      </w:r>
      <w:r>
        <w:rPr>
          <w:spacing w:val="-14"/>
          <w:sz w:val="20"/>
        </w:rPr>
        <w:t xml:space="preserve"> </w:t>
      </w:r>
      <w:r>
        <w:rPr>
          <w:sz w:val="20"/>
        </w:rPr>
        <w:t>investment</w:t>
      </w:r>
      <w:r>
        <w:rPr>
          <w:spacing w:val="-14"/>
          <w:sz w:val="20"/>
        </w:rPr>
        <w:t xml:space="preserve"> </w:t>
      </w:r>
      <w:r>
        <w:rPr>
          <w:sz w:val="20"/>
        </w:rPr>
        <w:t>has</w:t>
      </w:r>
      <w:r>
        <w:rPr>
          <w:spacing w:val="-14"/>
          <w:sz w:val="20"/>
        </w:rPr>
        <w:t xml:space="preserve"> </w:t>
      </w:r>
      <w:r>
        <w:rPr>
          <w:sz w:val="20"/>
        </w:rPr>
        <w:t>a</w:t>
      </w:r>
      <w:r>
        <w:rPr>
          <w:spacing w:val="-14"/>
          <w:sz w:val="20"/>
        </w:rPr>
        <w:t xml:space="preserve"> </w:t>
      </w:r>
      <w:r>
        <w:rPr>
          <w:sz w:val="20"/>
        </w:rPr>
        <w:t xml:space="preserve">direct </w:t>
      </w:r>
      <w:r>
        <w:rPr>
          <w:w w:val="95"/>
          <w:sz w:val="20"/>
        </w:rPr>
        <w:t>impact on NSW productivity and economic growth</w:t>
      </w:r>
    </w:p>
    <w:p w:rsidR="002C1123" w:rsidRDefault="00F22F94">
      <w:pPr>
        <w:pStyle w:val="ListParagraph"/>
        <w:numPr>
          <w:ilvl w:val="0"/>
          <w:numId w:val="25"/>
        </w:numPr>
        <w:tabs>
          <w:tab w:val="left" w:pos="520"/>
        </w:tabs>
        <w:spacing w:before="131"/>
        <w:rPr>
          <w:sz w:val="20"/>
        </w:rPr>
      </w:pPr>
      <w:r>
        <w:rPr>
          <w:w w:val="95"/>
          <w:sz w:val="20"/>
        </w:rPr>
        <w:t>improve</w:t>
      </w:r>
      <w:r>
        <w:rPr>
          <w:spacing w:val="-11"/>
          <w:w w:val="95"/>
          <w:sz w:val="20"/>
        </w:rPr>
        <w:t xml:space="preserve"> </w:t>
      </w:r>
      <w:r>
        <w:rPr>
          <w:w w:val="95"/>
          <w:sz w:val="20"/>
        </w:rPr>
        <w:t>the</w:t>
      </w:r>
      <w:r>
        <w:rPr>
          <w:spacing w:val="-11"/>
          <w:w w:val="95"/>
          <w:sz w:val="20"/>
        </w:rPr>
        <w:t xml:space="preserve"> </w:t>
      </w:r>
      <w:r>
        <w:rPr>
          <w:w w:val="95"/>
          <w:sz w:val="20"/>
        </w:rPr>
        <w:t>utilisation</w:t>
      </w:r>
      <w:r>
        <w:rPr>
          <w:spacing w:val="-11"/>
          <w:w w:val="95"/>
          <w:sz w:val="20"/>
        </w:rPr>
        <w:t xml:space="preserve"> </w:t>
      </w:r>
      <w:r>
        <w:rPr>
          <w:w w:val="95"/>
          <w:sz w:val="20"/>
        </w:rPr>
        <w:t>of</w:t>
      </w:r>
      <w:r>
        <w:rPr>
          <w:spacing w:val="-10"/>
          <w:w w:val="95"/>
          <w:sz w:val="20"/>
        </w:rPr>
        <w:t xml:space="preserve"> </w:t>
      </w:r>
      <w:r>
        <w:rPr>
          <w:w w:val="95"/>
          <w:sz w:val="20"/>
        </w:rPr>
        <w:t>our</w:t>
      </w:r>
      <w:r>
        <w:rPr>
          <w:spacing w:val="-11"/>
          <w:w w:val="95"/>
          <w:sz w:val="20"/>
        </w:rPr>
        <w:t xml:space="preserve"> </w:t>
      </w:r>
      <w:r>
        <w:rPr>
          <w:w w:val="95"/>
          <w:sz w:val="20"/>
        </w:rPr>
        <w:t>existing</w:t>
      </w:r>
      <w:r>
        <w:rPr>
          <w:spacing w:val="-11"/>
          <w:w w:val="95"/>
          <w:sz w:val="20"/>
        </w:rPr>
        <w:t xml:space="preserve"> </w:t>
      </w:r>
      <w:r>
        <w:rPr>
          <w:spacing w:val="-2"/>
          <w:w w:val="95"/>
          <w:sz w:val="20"/>
        </w:rPr>
        <w:t>assets</w:t>
      </w:r>
    </w:p>
    <w:p w:rsidR="002C1123" w:rsidRDefault="00F22F94">
      <w:pPr>
        <w:pStyle w:val="BodyText"/>
        <w:spacing w:before="152" w:line="249" w:lineRule="auto"/>
        <w:ind w:left="236" w:right="5812"/>
      </w:pPr>
      <w:r>
        <w:rPr>
          <w:w w:val="95"/>
        </w:rPr>
        <w:t>Deloitte</w:t>
      </w:r>
      <w:r>
        <w:rPr>
          <w:spacing w:val="-1"/>
          <w:w w:val="95"/>
        </w:rPr>
        <w:t xml:space="preserve"> </w:t>
      </w:r>
      <w:r>
        <w:rPr>
          <w:w w:val="95"/>
        </w:rPr>
        <w:t>Access</w:t>
      </w:r>
      <w:r>
        <w:rPr>
          <w:spacing w:val="-1"/>
          <w:w w:val="95"/>
        </w:rPr>
        <w:t xml:space="preserve"> </w:t>
      </w:r>
      <w:r>
        <w:rPr>
          <w:w w:val="95"/>
        </w:rPr>
        <w:t>Economics</w:t>
      </w:r>
      <w:r>
        <w:rPr>
          <w:spacing w:val="-1"/>
          <w:w w:val="95"/>
        </w:rPr>
        <w:t xml:space="preserve"> </w:t>
      </w:r>
      <w:r>
        <w:rPr>
          <w:w w:val="95"/>
        </w:rPr>
        <w:t>has</w:t>
      </w:r>
      <w:r>
        <w:rPr>
          <w:spacing w:val="-1"/>
          <w:w w:val="95"/>
        </w:rPr>
        <w:t xml:space="preserve"> </w:t>
      </w:r>
      <w:r>
        <w:rPr>
          <w:w w:val="95"/>
        </w:rPr>
        <w:t>estimated</w:t>
      </w:r>
      <w:r>
        <w:rPr>
          <w:spacing w:val="-1"/>
          <w:w w:val="95"/>
        </w:rPr>
        <w:t xml:space="preserve"> </w:t>
      </w:r>
      <w:r>
        <w:rPr>
          <w:w w:val="95"/>
        </w:rPr>
        <w:t>the</w:t>
      </w:r>
      <w:r>
        <w:rPr>
          <w:spacing w:val="-1"/>
          <w:w w:val="95"/>
        </w:rPr>
        <w:t xml:space="preserve"> </w:t>
      </w:r>
      <w:r>
        <w:rPr>
          <w:w w:val="95"/>
        </w:rPr>
        <w:t xml:space="preserve">potential </w:t>
      </w:r>
      <w:r>
        <w:rPr>
          <w:spacing w:val="-2"/>
        </w:rPr>
        <w:t>economic</w:t>
      </w:r>
      <w:r>
        <w:rPr>
          <w:spacing w:val="-3"/>
        </w:rPr>
        <w:t xml:space="preserve"> </w:t>
      </w:r>
      <w:r>
        <w:rPr>
          <w:spacing w:val="-2"/>
        </w:rPr>
        <w:t>benefits</w:t>
      </w:r>
      <w:r>
        <w:rPr>
          <w:spacing w:val="-3"/>
        </w:rPr>
        <w:t xml:space="preserve"> </w:t>
      </w:r>
      <w:r>
        <w:rPr>
          <w:spacing w:val="-2"/>
        </w:rPr>
        <w:t>from</w:t>
      </w:r>
      <w:r>
        <w:rPr>
          <w:spacing w:val="-4"/>
        </w:rPr>
        <w:t xml:space="preserve"> </w:t>
      </w:r>
      <w:r>
        <w:rPr>
          <w:spacing w:val="-2"/>
        </w:rPr>
        <w:t>the</w:t>
      </w:r>
      <w:r>
        <w:rPr>
          <w:spacing w:val="-3"/>
        </w:rPr>
        <w:t xml:space="preserve"> </w:t>
      </w:r>
      <w:r>
        <w:rPr>
          <w:spacing w:val="-2"/>
        </w:rPr>
        <w:t>recommended</w:t>
      </w:r>
      <w:r>
        <w:rPr>
          <w:spacing w:val="-3"/>
        </w:rPr>
        <w:t xml:space="preserve"> </w:t>
      </w:r>
      <w:r>
        <w:rPr>
          <w:spacing w:val="-2"/>
        </w:rPr>
        <w:t xml:space="preserve">strategies, </w:t>
      </w:r>
      <w:r>
        <w:t>measuring</w:t>
      </w:r>
      <w:r>
        <w:rPr>
          <w:spacing w:val="-5"/>
        </w:rPr>
        <w:t xml:space="preserve"> </w:t>
      </w:r>
      <w:r>
        <w:t>the</w:t>
      </w:r>
      <w:r>
        <w:rPr>
          <w:spacing w:val="-5"/>
        </w:rPr>
        <w:t xml:space="preserve"> </w:t>
      </w:r>
      <w:r>
        <w:t>flow-on</w:t>
      </w:r>
      <w:r>
        <w:rPr>
          <w:spacing w:val="-5"/>
        </w:rPr>
        <w:t xml:space="preserve"> </w:t>
      </w:r>
      <w:r>
        <w:t>benefits</w:t>
      </w:r>
      <w:r>
        <w:rPr>
          <w:spacing w:val="-5"/>
        </w:rPr>
        <w:t xml:space="preserve"> </w:t>
      </w:r>
      <w:r>
        <w:t>to</w:t>
      </w:r>
      <w:r>
        <w:rPr>
          <w:spacing w:val="-5"/>
        </w:rPr>
        <w:t xml:space="preserve"> </w:t>
      </w:r>
      <w:r>
        <w:t>productivity, participation</w:t>
      </w:r>
      <w:r>
        <w:rPr>
          <w:spacing w:val="-10"/>
        </w:rPr>
        <w:t xml:space="preserve"> </w:t>
      </w:r>
      <w:r>
        <w:t>and</w:t>
      </w:r>
      <w:r>
        <w:rPr>
          <w:spacing w:val="-10"/>
        </w:rPr>
        <w:t xml:space="preserve"> </w:t>
      </w:r>
      <w:r>
        <w:t>population</w:t>
      </w:r>
      <w:r>
        <w:rPr>
          <w:spacing w:val="-10"/>
        </w:rPr>
        <w:t xml:space="preserve"> </w:t>
      </w:r>
      <w:r>
        <w:t>as</w:t>
      </w:r>
      <w:r>
        <w:rPr>
          <w:spacing w:val="-10"/>
        </w:rPr>
        <w:t xml:space="preserve"> </w:t>
      </w:r>
      <w:r>
        <w:t>outlined</w:t>
      </w:r>
      <w:r>
        <w:rPr>
          <w:spacing w:val="-10"/>
        </w:rPr>
        <w:t xml:space="preserve"> </w:t>
      </w:r>
      <w:r>
        <w:t>in</w:t>
      </w:r>
      <w:r>
        <w:rPr>
          <w:spacing w:val="-10"/>
        </w:rPr>
        <w:t xml:space="preserve"> </w:t>
      </w:r>
      <w:r>
        <w:t>Section</w:t>
      </w:r>
      <w:r>
        <w:rPr>
          <w:spacing w:val="-10"/>
        </w:rPr>
        <w:t xml:space="preserve"> </w:t>
      </w:r>
      <w:r>
        <w:t>1.</w:t>
      </w:r>
    </w:p>
    <w:p w:rsidR="002C1123" w:rsidRDefault="00F22F94">
      <w:pPr>
        <w:pStyle w:val="BodyText"/>
        <w:spacing w:before="3" w:line="249" w:lineRule="auto"/>
        <w:ind w:left="236" w:right="5812"/>
      </w:pPr>
      <w:r>
        <w:rPr>
          <w:w w:val="95"/>
        </w:rPr>
        <w:t>Effective</w:t>
      </w:r>
      <w:r>
        <w:rPr>
          <w:spacing w:val="-6"/>
          <w:w w:val="95"/>
        </w:rPr>
        <w:t xml:space="preserve"> </w:t>
      </w:r>
      <w:r>
        <w:rPr>
          <w:w w:val="95"/>
        </w:rPr>
        <w:t>implementation</w:t>
      </w:r>
      <w:r>
        <w:rPr>
          <w:spacing w:val="-6"/>
          <w:w w:val="95"/>
        </w:rPr>
        <w:t xml:space="preserve"> </w:t>
      </w:r>
      <w:r>
        <w:rPr>
          <w:w w:val="95"/>
        </w:rPr>
        <w:t>of</w:t>
      </w:r>
      <w:r>
        <w:rPr>
          <w:spacing w:val="-6"/>
          <w:w w:val="95"/>
        </w:rPr>
        <w:t xml:space="preserve"> </w:t>
      </w:r>
      <w:r>
        <w:rPr>
          <w:w w:val="95"/>
        </w:rPr>
        <w:t>the</w:t>
      </w:r>
      <w:r>
        <w:rPr>
          <w:spacing w:val="-6"/>
          <w:w w:val="95"/>
        </w:rPr>
        <w:t xml:space="preserve"> </w:t>
      </w:r>
      <w:r>
        <w:rPr>
          <w:w w:val="95"/>
        </w:rPr>
        <w:t>Strategy</w:t>
      </w:r>
      <w:r>
        <w:rPr>
          <w:spacing w:val="-6"/>
          <w:w w:val="95"/>
        </w:rPr>
        <w:t xml:space="preserve"> </w:t>
      </w:r>
      <w:r>
        <w:rPr>
          <w:w w:val="95"/>
        </w:rPr>
        <w:t>could</w:t>
      </w:r>
      <w:r>
        <w:rPr>
          <w:spacing w:val="-6"/>
          <w:w w:val="95"/>
        </w:rPr>
        <w:t xml:space="preserve"> </w:t>
      </w:r>
      <w:r>
        <w:rPr>
          <w:w w:val="95"/>
        </w:rPr>
        <w:t xml:space="preserve">increase </w:t>
      </w:r>
      <w:r>
        <w:t>the</w:t>
      </w:r>
      <w:r>
        <w:rPr>
          <w:spacing w:val="-13"/>
        </w:rPr>
        <w:t xml:space="preserve"> </w:t>
      </w:r>
      <w:r>
        <w:t>size</w:t>
      </w:r>
      <w:r>
        <w:rPr>
          <w:spacing w:val="-13"/>
        </w:rPr>
        <w:t xml:space="preserve"> </w:t>
      </w:r>
      <w:r>
        <w:t>of</w:t>
      </w:r>
      <w:r>
        <w:rPr>
          <w:spacing w:val="-13"/>
        </w:rPr>
        <w:t xml:space="preserve"> </w:t>
      </w:r>
      <w:r>
        <w:t>the</w:t>
      </w:r>
      <w:r>
        <w:rPr>
          <w:spacing w:val="-13"/>
        </w:rPr>
        <w:t xml:space="preserve"> </w:t>
      </w:r>
      <w:r>
        <w:t>NSW</w:t>
      </w:r>
      <w:r>
        <w:rPr>
          <w:spacing w:val="-13"/>
        </w:rPr>
        <w:t xml:space="preserve"> </w:t>
      </w:r>
      <w:r>
        <w:t>economy</w:t>
      </w:r>
      <w:r>
        <w:rPr>
          <w:spacing w:val="-13"/>
        </w:rPr>
        <w:t xml:space="preserve"> </w:t>
      </w:r>
      <w:r>
        <w:t>by</w:t>
      </w:r>
      <w:r>
        <w:rPr>
          <w:spacing w:val="-13"/>
        </w:rPr>
        <w:t xml:space="preserve"> </w:t>
      </w:r>
      <w:r>
        <w:t>around</w:t>
      </w:r>
      <w:r>
        <w:rPr>
          <w:spacing w:val="-13"/>
        </w:rPr>
        <w:t xml:space="preserve"> </w:t>
      </w:r>
      <w:r>
        <w:t>$50.8</w:t>
      </w:r>
      <w:r>
        <w:rPr>
          <w:spacing w:val="-13"/>
        </w:rPr>
        <w:t xml:space="preserve"> </w:t>
      </w:r>
      <w:r>
        <w:t>billion (present</w:t>
      </w:r>
      <w:r>
        <w:rPr>
          <w:spacing w:val="-14"/>
        </w:rPr>
        <w:t xml:space="preserve"> </w:t>
      </w:r>
      <w:r>
        <w:t>value)</w:t>
      </w:r>
      <w:r>
        <w:rPr>
          <w:spacing w:val="-14"/>
        </w:rPr>
        <w:t xml:space="preserve"> </w:t>
      </w:r>
      <w:r>
        <w:t>over</w:t>
      </w:r>
      <w:r>
        <w:rPr>
          <w:spacing w:val="-14"/>
        </w:rPr>
        <w:t xml:space="preserve"> </w:t>
      </w:r>
      <w:r>
        <w:t>the</w:t>
      </w:r>
      <w:r>
        <w:rPr>
          <w:spacing w:val="-14"/>
        </w:rPr>
        <w:t xml:space="preserve"> </w:t>
      </w:r>
      <w:r>
        <w:t>period</w:t>
      </w:r>
      <w:r>
        <w:rPr>
          <w:spacing w:val="-14"/>
        </w:rPr>
        <w:t xml:space="preserve"> </w:t>
      </w:r>
      <w:r>
        <w:t>to</w:t>
      </w:r>
      <w:r>
        <w:rPr>
          <w:spacing w:val="-14"/>
        </w:rPr>
        <w:t xml:space="preserve"> </w:t>
      </w:r>
      <w:r>
        <w:t>2031,</w:t>
      </w:r>
      <w:r>
        <w:rPr>
          <w:spacing w:val="-14"/>
        </w:rPr>
        <w:t xml:space="preserve"> </w:t>
      </w:r>
      <w:r>
        <w:t>which</w:t>
      </w:r>
      <w:r>
        <w:rPr>
          <w:spacing w:val="-14"/>
        </w:rPr>
        <w:t xml:space="preserve"> </w:t>
      </w:r>
      <w:r>
        <w:t>is</w:t>
      </w:r>
      <w:r>
        <w:rPr>
          <w:spacing w:val="-14"/>
        </w:rPr>
        <w:t xml:space="preserve"> </w:t>
      </w:r>
      <w:r>
        <w:t>an increase</w:t>
      </w:r>
      <w:r>
        <w:rPr>
          <w:spacing w:val="-10"/>
        </w:rPr>
        <w:t xml:space="preserve"> </w:t>
      </w:r>
      <w:r>
        <w:t>in</w:t>
      </w:r>
      <w:r>
        <w:rPr>
          <w:spacing w:val="-10"/>
        </w:rPr>
        <w:t xml:space="preserve"> </w:t>
      </w:r>
      <w:r>
        <w:t>Gross</w:t>
      </w:r>
      <w:r>
        <w:rPr>
          <w:spacing w:val="-10"/>
        </w:rPr>
        <w:t xml:space="preserve"> </w:t>
      </w:r>
      <w:r>
        <w:t>State</w:t>
      </w:r>
      <w:r>
        <w:rPr>
          <w:spacing w:val="-10"/>
        </w:rPr>
        <w:t xml:space="preserve"> </w:t>
      </w:r>
      <w:r>
        <w:t>Product</w:t>
      </w:r>
      <w:r>
        <w:rPr>
          <w:spacing w:val="-10"/>
        </w:rPr>
        <w:t xml:space="preserve"> </w:t>
      </w:r>
      <w:r>
        <w:t>of</w:t>
      </w:r>
      <w:r>
        <w:rPr>
          <w:spacing w:val="-10"/>
        </w:rPr>
        <w:t xml:space="preserve"> </w:t>
      </w:r>
      <w:r>
        <w:t>2.4</w:t>
      </w:r>
      <w:r>
        <w:rPr>
          <w:spacing w:val="-10"/>
        </w:rPr>
        <w:t xml:space="preserve"> </w:t>
      </w:r>
      <w:r>
        <w:t>percent.</w:t>
      </w:r>
    </w:p>
    <w:p w:rsidR="002C1123" w:rsidRDefault="002C1123">
      <w:pPr>
        <w:spacing w:line="249" w:lineRule="auto"/>
        <w:sectPr w:rsidR="002C1123">
          <w:type w:val="continuous"/>
          <w:pgSz w:w="16840" w:h="11910" w:orient="landscape"/>
          <w:pgMar w:top="560" w:right="280" w:bottom="280" w:left="500" w:header="0" w:footer="517" w:gutter="0"/>
          <w:cols w:num="2" w:space="720" w:equalWidth="0">
            <w:col w:w="5243" w:space="40"/>
            <w:col w:w="10777"/>
          </w:cols>
        </w:sectPr>
      </w:pPr>
    </w:p>
    <w:p w:rsidR="002C1123" w:rsidRDefault="002C1123">
      <w:pPr>
        <w:pStyle w:val="BodyText"/>
      </w:pPr>
    </w:p>
    <w:p w:rsidR="002C1123" w:rsidRDefault="00F22F94">
      <w:pPr>
        <w:pStyle w:val="Heading1"/>
      </w:pPr>
      <w:bookmarkStart w:id="395" w:name="16.0_Funding_and_delivery"/>
      <w:bookmarkStart w:id="396" w:name="Summary"/>
      <w:bookmarkStart w:id="397" w:name="16.1_Funding"/>
      <w:bookmarkStart w:id="398" w:name="_bookmark283"/>
      <w:bookmarkStart w:id="399" w:name="_bookmark282"/>
      <w:bookmarkEnd w:id="395"/>
      <w:bookmarkEnd w:id="396"/>
      <w:bookmarkEnd w:id="397"/>
      <w:bookmarkEnd w:id="398"/>
      <w:bookmarkEnd w:id="399"/>
      <w:r>
        <w:rPr>
          <w:color w:val="2E3092"/>
          <w:spacing w:val="-8"/>
          <w:w w:val="55"/>
        </w:rPr>
        <w:t>16.0</w:t>
      </w:r>
      <w:r>
        <w:rPr>
          <w:color w:val="2E3092"/>
          <w:spacing w:val="-14"/>
          <w:w w:val="55"/>
        </w:rPr>
        <w:t xml:space="preserve"> </w:t>
      </w:r>
      <w:r>
        <w:rPr>
          <w:color w:val="00AEEF"/>
          <w:spacing w:val="-8"/>
          <w:w w:val="55"/>
        </w:rPr>
        <w:t>Funding</w:t>
      </w:r>
      <w:r>
        <w:rPr>
          <w:color w:val="00AEEF"/>
          <w:spacing w:val="-19"/>
          <w:w w:val="55"/>
        </w:rPr>
        <w:t xml:space="preserve"> </w:t>
      </w:r>
      <w:r>
        <w:rPr>
          <w:color w:val="00AEEF"/>
          <w:spacing w:val="-8"/>
          <w:w w:val="55"/>
        </w:rPr>
        <w:t>and</w:t>
      </w:r>
      <w:r>
        <w:rPr>
          <w:color w:val="00AEEF"/>
          <w:spacing w:val="-19"/>
          <w:w w:val="55"/>
        </w:rPr>
        <w:t xml:space="preserve"> </w:t>
      </w:r>
      <w:r>
        <w:rPr>
          <w:color w:val="00AEEF"/>
          <w:spacing w:val="-8"/>
          <w:w w:val="55"/>
        </w:rPr>
        <w:t>delivery</w:t>
      </w:r>
    </w:p>
    <w:p w:rsidR="002C1123" w:rsidRDefault="002C1123">
      <w:pPr>
        <w:sectPr w:rsidR="002C1123">
          <w:headerReference w:type="default" r:id="rId243"/>
          <w:footerReference w:type="default" r:id="rId244"/>
          <w:pgSz w:w="16840" w:h="11910" w:orient="landscape"/>
          <w:pgMar w:top="560" w:right="280" w:bottom="700" w:left="500" w:header="0" w:footer="517" w:gutter="0"/>
          <w:cols w:space="720"/>
        </w:sectPr>
      </w:pPr>
    </w:p>
    <w:p w:rsidR="002C1123" w:rsidRDefault="002060EF">
      <w:pPr>
        <w:pStyle w:val="Heading5"/>
        <w:spacing w:before="210"/>
        <w:ind w:left="492" w:firstLine="0"/>
      </w:pPr>
      <w:r>
        <w:pict>
          <v:rect id="docshape2871" o:spid="_x0000_s1155" style="position:absolute;left:0;text-align:left;margin-left:38.25pt;margin-top:2.3pt;width:502.7pt;height:417.9pt;z-index:-251448320;mso-position-horizontal-relative:page" fillcolor="#e1e0e1" stroked="f">
            <w10:wrap anchorx="page"/>
          </v:rect>
        </w:pict>
      </w:r>
      <w:r w:rsidR="00F22F94">
        <w:rPr>
          <w:color w:val="00AEEF"/>
          <w:spacing w:val="-2"/>
        </w:rPr>
        <w:t>Summary</w:t>
      </w:r>
    </w:p>
    <w:p w:rsidR="002C1123" w:rsidRDefault="00F22F94">
      <w:pPr>
        <w:pStyle w:val="ListParagraph"/>
        <w:numPr>
          <w:ilvl w:val="0"/>
          <w:numId w:val="4"/>
        </w:numPr>
        <w:tabs>
          <w:tab w:val="left" w:pos="776"/>
        </w:tabs>
        <w:spacing w:before="122" w:line="249" w:lineRule="auto"/>
        <w:rPr>
          <w:sz w:val="20"/>
        </w:rPr>
      </w:pPr>
      <w:r>
        <w:rPr>
          <w:sz w:val="20"/>
        </w:rPr>
        <w:t>All</w:t>
      </w:r>
      <w:r>
        <w:rPr>
          <w:spacing w:val="-14"/>
          <w:sz w:val="20"/>
        </w:rPr>
        <w:t xml:space="preserve"> </w:t>
      </w:r>
      <w:r>
        <w:rPr>
          <w:sz w:val="20"/>
        </w:rPr>
        <w:t>new</w:t>
      </w:r>
      <w:r>
        <w:rPr>
          <w:spacing w:val="-14"/>
          <w:sz w:val="20"/>
        </w:rPr>
        <w:t xml:space="preserve"> </w:t>
      </w:r>
      <w:r>
        <w:rPr>
          <w:sz w:val="20"/>
        </w:rPr>
        <w:t>infrastructure</w:t>
      </w:r>
      <w:r>
        <w:rPr>
          <w:spacing w:val="-14"/>
          <w:sz w:val="20"/>
        </w:rPr>
        <w:t xml:space="preserve"> </w:t>
      </w:r>
      <w:r>
        <w:rPr>
          <w:sz w:val="20"/>
        </w:rPr>
        <w:t>is</w:t>
      </w:r>
      <w:r>
        <w:rPr>
          <w:spacing w:val="-14"/>
          <w:sz w:val="20"/>
        </w:rPr>
        <w:t xml:space="preserve"> </w:t>
      </w:r>
      <w:r>
        <w:rPr>
          <w:sz w:val="20"/>
        </w:rPr>
        <w:t>ultimately</w:t>
      </w:r>
      <w:r>
        <w:rPr>
          <w:spacing w:val="-14"/>
          <w:sz w:val="20"/>
        </w:rPr>
        <w:t xml:space="preserve"> </w:t>
      </w:r>
      <w:r>
        <w:rPr>
          <w:sz w:val="20"/>
        </w:rPr>
        <w:t>funded</w:t>
      </w:r>
      <w:r>
        <w:rPr>
          <w:spacing w:val="-14"/>
          <w:sz w:val="20"/>
        </w:rPr>
        <w:t xml:space="preserve"> </w:t>
      </w:r>
      <w:r>
        <w:rPr>
          <w:sz w:val="20"/>
        </w:rPr>
        <w:t xml:space="preserve">via </w:t>
      </w:r>
      <w:r>
        <w:rPr>
          <w:w w:val="95"/>
          <w:sz w:val="20"/>
        </w:rPr>
        <w:t>taxation</w:t>
      </w:r>
      <w:r>
        <w:rPr>
          <w:spacing w:val="-9"/>
          <w:w w:val="95"/>
          <w:sz w:val="20"/>
        </w:rPr>
        <w:t xml:space="preserve"> </w:t>
      </w:r>
      <w:r>
        <w:rPr>
          <w:w w:val="95"/>
          <w:sz w:val="20"/>
        </w:rPr>
        <w:t>or</w:t>
      </w:r>
      <w:r>
        <w:rPr>
          <w:spacing w:val="-9"/>
          <w:w w:val="95"/>
          <w:sz w:val="20"/>
        </w:rPr>
        <w:t xml:space="preserve"> </w:t>
      </w:r>
      <w:r>
        <w:rPr>
          <w:w w:val="95"/>
          <w:sz w:val="20"/>
        </w:rPr>
        <w:t>user</w:t>
      </w:r>
      <w:r>
        <w:rPr>
          <w:spacing w:val="-9"/>
          <w:w w:val="95"/>
          <w:sz w:val="20"/>
        </w:rPr>
        <w:t xml:space="preserve"> </w:t>
      </w:r>
      <w:r>
        <w:rPr>
          <w:w w:val="95"/>
          <w:sz w:val="20"/>
        </w:rPr>
        <w:t>charges.</w:t>
      </w:r>
      <w:r>
        <w:rPr>
          <w:spacing w:val="-9"/>
          <w:w w:val="95"/>
          <w:sz w:val="20"/>
        </w:rPr>
        <w:t xml:space="preserve"> </w:t>
      </w:r>
      <w:r>
        <w:rPr>
          <w:w w:val="95"/>
          <w:sz w:val="20"/>
        </w:rPr>
        <w:t>Private</w:t>
      </w:r>
      <w:r>
        <w:rPr>
          <w:spacing w:val="-9"/>
          <w:w w:val="95"/>
          <w:sz w:val="20"/>
        </w:rPr>
        <w:t xml:space="preserve"> </w:t>
      </w:r>
      <w:r>
        <w:rPr>
          <w:w w:val="95"/>
          <w:sz w:val="20"/>
        </w:rPr>
        <w:t>financing</w:t>
      </w:r>
      <w:r>
        <w:rPr>
          <w:spacing w:val="-9"/>
          <w:w w:val="95"/>
          <w:sz w:val="20"/>
        </w:rPr>
        <w:t xml:space="preserve"> </w:t>
      </w:r>
      <w:r>
        <w:rPr>
          <w:w w:val="95"/>
          <w:sz w:val="20"/>
        </w:rPr>
        <w:t>in</w:t>
      </w:r>
      <w:r>
        <w:rPr>
          <w:spacing w:val="-9"/>
          <w:w w:val="95"/>
          <w:sz w:val="20"/>
        </w:rPr>
        <w:t xml:space="preserve"> </w:t>
      </w:r>
      <w:r>
        <w:rPr>
          <w:w w:val="95"/>
          <w:sz w:val="20"/>
        </w:rPr>
        <w:t>its</w:t>
      </w:r>
      <w:r>
        <w:rPr>
          <w:spacing w:val="-9"/>
          <w:w w:val="95"/>
          <w:sz w:val="20"/>
        </w:rPr>
        <w:t xml:space="preserve"> </w:t>
      </w:r>
      <w:r>
        <w:rPr>
          <w:w w:val="95"/>
          <w:sz w:val="20"/>
        </w:rPr>
        <w:t xml:space="preserve">own right does not create more money for infrastructure </w:t>
      </w:r>
      <w:r>
        <w:rPr>
          <w:spacing w:val="-2"/>
          <w:sz w:val="20"/>
        </w:rPr>
        <w:t>development.</w:t>
      </w:r>
    </w:p>
    <w:p w:rsidR="002C1123" w:rsidRDefault="00F22F94">
      <w:pPr>
        <w:pStyle w:val="ListParagraph"/>
        <w:numPr>
          <w:ilvl w:val="0"/>
          <w:numId w:val="4"/>
        </w:numPr>
        <w:tabs>
          <w:tab w:val="left" w:pos="776"/>
        </w:tabs>
        <w:spacing w:before="132" w:line="249" w:lineRule="auto"/>
        <w:ind w:right="14"/>
        <w:rPr>
          <w:sz w:val="20"/>
        </w:rPr>
      </w:pPr>
      <w:r>
        <w:rPr>
          <w:sz w:val="20"/>
        </w:rPr>
        <w:t>NSW</w:t>
      </w:r>
      <w:r>
        <w:rPr>
          <w:spacing w:val="-11"/>
          <w:sz w:val="20"/>
        </w:rPr>
        <w:t xml:space="preserve"> </w:t>
      </w:r>
      <w:r>
        <w:rPr>
          <w:sz w:val="20"/>
        </w:rPr>
        <w:t>Government</w:t>
      </w:r>
      <w:r>
        <w:rPr>
          <w:spacing w:val="-11"/>
          <w:sz w:val="20"/>
        </w:rPr>
        <w:t xml:space="preserve"> </w:t>
      </w:r>
      <w:r>
        <w:rPr>
          <w:sz w:val="20"/>
        </w:rPr>
        <w:t>spending</w:t>
      </w:r>
      <w:r>
        <w:rPr>
          <w:spacing w:val="-11"/>
          <w:sz w:val="20"/>
        </w:rPr>
        <w:t xml:space="preserve"> </w:t>
      </w:r>
      <w:r>
        <w:rPr>
          <w:sz w:val="20"/>
        </w:rPr>
        <w:t>on</w:t>
      </w:r>
      <w:r>
        <w:rPr>
          <w:spacing w:val="-11"/>
          <w:sz w:val="20"/>
        </w:rPr>
        <w:t xml:space="preserve"> </w:t>
      </w:r>
      <w:r>
        <w:rPr>
          <w:sz w:val="20"/>
        </w:rPr>
        <w:t>infrastructure</w:t>
      </w:r>
      <w:r>
        <w:rPr>
          <w:spacing w:val="-11"/>
          <w:sz w:val="20"/>
        </w:rPr>
        <w:t xml:space="preserve"> </w:t>
      </w:r>
      <w:r>
        <w:rPr>
          <w:sz w:val="20"/>
        </w:rPr>
        <w:t xml:space="preserve">has </w:t>
      </w:r>
      <w:r>
        <w:rPr>
          <w:w w:val="95"/>
          <w:sz w:val="20"/>
        </w:rPr>
        <w:t>doubled</w:t>
      </w:r>
      <w:r>
        <w:rPr>
          <w:spacing w:val="-1"/>
          <w:w w:val="95"/>
          <w:sz w:val="20"/>
        </w:rPr>
        <w:t xml:space="preserve"> </w:t>
      </w:r>
      <w:r>
        <w:rPr>
          <w:w w:val="95"/>
          <w:sz w:val="20"/>
        </w:rPr>
        <w:t>since</w:t>
      </w:r>
      <w:r>
        <w:rPr>
          <w:spacing w:val="-1"/>
          <w:w w:val="95"/>
          <w:sz w:val="20"/>
        </w:rPr>
        <w:t xml:space="preserve"> </w:t>
      </w:r>
      <w:r>
        <w:rPr>
          <w:w w:val="95"/>
          <w:sz w:val="20"/>
        </w:rPr>
        <w:t>2006</w:t>
      </w:r>
      <w:r>
        <w:rPr>
          <w:spacing w:val="-1"/>
          <w:w w:val="95"/>
          <w:sz w:val="20"/>
        </w:rPr>
        <w:t xml:space="preserve"> </w:t>
      </w:r>
      <w:r>
        <w:rPr>
          <w:w w:val="95"/>
          <w:sz w:val="20"/>
        </w:rPr>
        <w:t>and</w:t>
      </w:r>
      <w:r>
        <w:rPr>
          <w:spacing w:val="-1"/>
          <w:w w:val="95"/>
          <w:sz w:val="20"/>
        </w:rPr>
        <w:t xml:space="preserve"> </w:t>
      </w:r>
      <w:r>
        <w:rPr>
          <w:w w:val="95"/>
          <w:sz w:val="20"/>
        </w:rPr>
        <w:t>now</w:t>
      </w:r>
      <w:r>
        <w:rPr>
          <w:spacing w:val="-1"/>
          <w:w w:val="95"/>
          <w:sz w:val="20"/>
        </w:rPr>
        <w:t xml:space="preserve"> </w:t>
      </w:r>
      <w:r>
        <w:rPr>
          <w:w w:val="95"/>
          <w:sz w:val="20"/>
        </w:rPr>
        <w:t>amounts</w:t>
      </w:r>
      <w:r>
        <w:rPr>
          <w:spacing w:val="-1"/>
          <w:w w:val="95"/>
          <w:sz w:val="20"/>
        </w:rPr>
        <w:t xml:space="preserve"> </w:t>
      </w:r>
      <w:r>
        <w:rPr>
          <w:w w:val="95"/>
          <w:sz w:val="20"/>
        </w:rPr>
        <w:t>to</w:t>
      </w:r>
      <w:r>
        <w:rPr>
          <w:spacing w:val="-1"/>
          <w:w w:val="95"/>
          <w:sz w:val="20"/>
        </w:rPr>
        <w:t xml:space="preserve"> </w:t>
      </w:r>
      <w:r>
        <w:rPr>
          <w:w w:val="95"/>
          <w:sz w:val="20"/>
        </w:rPr>
        <w:t>$15</w:t>
      </w:r>
      <w:r>
        <w:rPr>
          <w:spacing w:val="-1"/>
          <w:w w:val="95"/>
          <w:sz w:val="20"/>
        </w:rPr>
        <w:t xml:space="preserve"> </w:t>
      </w:r>
      <w:r>
        <w:rPr>
          <w:w w:val="95"/>
          <w:sz w:val="20"/>
        </w:rPr>
        <w:t xml:space="preserve">billion </w:t>
      </w:r>
      <w:r>
        <w:rPr>
          <w:sz w:val="20"/>
        </w:rPr>
        <w:t>per</w:t>
      </w:r>
      <w:r>
        <w:rPr>
          <w:spacing w:val="-14"/>
          <w:sz w:val="20"/>
        </w:rPr>
        <w:t xml:space="preserve"> </w:t>
      </w:r>
      <w:r>
        <w:rPr>
          <w:sz w:val="20"/>
        </w:rPr>
        <w:t>year.</w:t>
      </w:r>
      <w:r>
        <w:rPr>
          <w:spacing w:val="-14"/>
          <w:sz w:val="20"/>
        </w:rPr>
        <w:t xml:space="preserve"> </w:t>
      </w:r>
      <w:r>
        <w:rPr>
          <w:sz w:val="20"/>
        </w:rPr>
        <w:t>There</w:t>
      </w:r>
      <w:r>
        <w:rPr>
          <w:spacing w:val="-14"/>
          <w:sz w:val="20"/>
        </w:rPr>
        <w:t xml:space="preserve"> </w:t>
      </w:r>
      <w:r>
        <w:rPr>
          <w:sz w:val="20"/>
        </w:rPr>
        <w:t>is</w:t>
      </w:r>
      <w:r>
        <w:rPr>
          <w:spacing w:val="-14"/>
          <w:sz w:val="20"/>
        </w:rPr>
        <w:t xml:space="preserve"> </w:t>
      </w:r>
      <w:r>
        <w:rPr>
          <w:sz w:val="20"/>
        </w:rPr>
        <w:t>little</w:t>
      </w:r>
      <w:r>
        <w:rPr>
          <w:spacing w:val="-14"/>
          <w:sz w:val="20"/>
        </w:rPr>
        <w:t xml:space="preserve"> </w:t>
      </w:r>
      <w:r>
        <w:rPr>
          <w:sz w:val="20"/>
        </w:rPr>
        <w:t>room</w:t>
      </w:r>
      <w:r>
        <w:rPr>
          <w:spacing w:val="-14"/>
          <w:sz w:val="20"/>
        </w:rPr>
        <w:t xml:space="preserve"> </w:t>
      </w:r>
      <w:r>
        <w:rPr>
          <w:sz w:val="20"/>
        </w:rPr>
        <w:t>to</w:t>
      </w:r>
      <w:r>
        <w:rPr>
          <w:spacing w:val="-14"/>
          <w:sz w:val="20"/>
        </w:rPr>
        <w:t xml:space="preserve"> </w:t>
      </w:r>
      <w:r>
        <w:rPr>
          <w:sz w:val="20"/>
        </w:rPr>
        <w:t>increase</w:t>
      </w:r>
      <w:r>
        <w:rPr>
          <w:spacing w:val="-14"/>
          <w:sz w:val="20"/>
        </w:rPr>
        <w:t xml:space="preserve"> </w:t>
      </w:r>
      <w:r>
        <w:rPr>
          <w:sz w:val="20"/>
        </w:rPr>
        <w:t>spending further</w:t>
      </w:r>
      <w:r>
        <w:rPr>
          <w:spacing w:val="-12"/>
          <w:sz w:val="20"/>
        </w:rPr>
        <w:t xml:space="preserve"> </w:t>
      </w:r>
      <w:r>
        <w:rPr>
          <w:sz w:val="20"/>
        </w:rPr>
        <w:t>whilst</w:t>
      </w:r>
      <w:r>
        <w:rPr>
          <w:spacing w:val="-12"/>
          <w:sz w:val="20"/>
        </w:rPr>
        <w:t xml:space="preserve"> </w:t>
      </w:r>
      <w:r>
        <w:rPr>
          <w:sz w:val="20"/>
        </w:rPr>
        <w:t>retaining</w:t>
      </w:r>
      <w:r>
        <w:rPr>
          <w:spacing w:val="-12"/>
          <w:sz w:val="20"/>
        </w:rPr>
        <w:t xml:space="preserve"> </w:t>
      </w:r>
      <w:r>
        <w:rPr>
          <w:sz w:val="20"/>
        </w:rPr>
        <w:t>the</w:t>
      </w:r>
      <w:r>
        <w:rPr>
          <w:spacing w:val="-12"/>
          <w:sz w:val="20"/>
        </w:rPr>
        <w:t xml:space="preserve"> </w:t>
      </w:r>
      <w:r>
        <w:rPr>
          <w:sz w:val="20"/>
        </w:rPr>
        <w:t>benefits</w:t>
      </w:r>
      <w:r>
        <w:rPr>
          <w:spacing w:val="-12"/>
          <w:sz w:val="20"/>
        </w:rPr>
        <w:t xml:space="preserve"> </w:t>
      </w:r>
      <w:r>
        <w:rPr>
          <w:sz w:val="20"/>
        </w:rPr>
        <w:t>of</w:t>
      </w:r>
      <w:r>
        <w:rPr>
          <w:spacing w:val="-12"/>
          <w:sz w:val="20"/>
        </w:rPr>
        <w:t xml:space="preserve"> </w:t>
      </w:r>
      <w:r>
        <w:rPr>
          <w:sz w:val="20"/>
        </w:rPr>
        <w:t>NSW’s</w:t>
      </w:r>
      <w:r>
        <w:rPr>
          <w:spacing w:val="-12"/>
          <w:sz w:val="20"/>
        </w:rPr>
        <w:t xml:space="preserve"> </w:t>
      </w:r>
      <w:r>
        <w:rPr>
          <w:sz w:val="20"/>
        </w:rPr>
        <w:t>AAA credit</w:t>
      </w:r>
      <w:r>
        <w:rPr>
          <w:spacing w:val="-11"/>
          <w:sz w:val="20"/>
        </w:rPr>
        <w:t xml:space="preserve"> </w:t>
      </w:r>
      <w:r>
        <w:rPr>
          <w:sz w:val="20"/>
        </w:rPr>
        <w:t>rating.</w:t>
      </w:r>
    </w:p>
    <w:p w:rsidR="002C1123" w:rsidRDefault="00F22F94">
      <w:pPr>
        <w:pStyle w:val="ListParagraph"/>
        <w:numPr>
          <w:ilvl w:val="0"/>
          <w:numId w:val="4"/>
        </w:numPr>
        <w:tabs>
          <w:tab w:val="left" w:pos="776"/>
        </w:tabs>
        <w:spacing w:before="133" w:line="249" w:lineRule="auto"/>
        <w:ind w:right="15"/>
        <w:rPr>
          <w:sz w:val="20"/>
        </w:rPr>
      </w:pPr>
      <w:r>
        <w:rPr>
          <w:sz w:val="20"/>
        </w:rPr>
        <w:t>Infrastructure</w:t>
      </w:r>
      <w:r>
        <w:rPr>
          <w:spacing w:val="-11"/>
          <w:sz w:val="20"/>
        </w:rPr>
        <w:t xml:space="preserve"> </w:t>
      </w:r>
      <w:r>
        <w:rPr>
          <w:sz w:val="20"/>
        </w:rPr>
        <w:t>NSW</w:t>
      </w:r>
      <w:r>
        <w:rPr>
          <w:spacing w:val="-11"/>
          <w:sz w:val="20"/>
        </w:rPr>
        <w:t xml:space="preserve"> </w:t>
      </w:r>
      <w:r>
        <w:rPr>
          <w:sz w:val="20"/>
        </w:rPr>
        <w:t>proposes</w:t>
      </w:r>
      <w:r>
        <w:rPr>
          <w:spacing w:val="-11"/>
          <w:sz w:val="20"/>
        </w:rPr>
        <w:t xml:space="preserve"> </w:t>
      </w:r>
      <w:r>
        <w:rPr>
          <w:sz w:val="20"/>
        </w:rPr>
        <w:t>its</w:t>
      </w:r>
      <w:r>
        <w:rPr>
          <w:spacing w:val="-11"/>
          <w:sz w:val="20"/>
        </w:rPr>
        <w:t xml:space="preserve"> </w:t>
      </w:r>
      <w:r>
        <w:rPr>
          <w:sz w:val="20"/>
        </w:rPr>
        <w:t>priorities</w:t>
      </w:r>
      <w:r>
        <w:rPr>
          <w:spacing w:val="-11"/>
          <w:sz w:val="20"/>
        </w:rPr>
        <w:t xml:space="preserve"> </w:t>
      </w:r>
      <w:r>
        <w:rPr>
          <w:sz w:val="20"/>
        </w:rPr>
        <w:t xml:space="preserve">are </w:t>
      </w:r>
      <w:r>
        <w:rPr>
          <w:w w:val="95"/>
          <w:sz w:val="20"/>
        </w:rPr>
        <w:t>delivered</w:t>
      </w:r>
      <w:r>
        <w:rPr>
          <w:spacing w:val="-2"/>
          <w:w w:val="95"/>
          <w:sz w:val="20"/>
        </w:rPr>
        <w:t xml:space="preserve"> </w:t>
      </w:r>
      <w:r>
        <w:rPr>
          <w:w w:val="95"/>
          <w:sz w:val="20"/>
        </w:rPr>
        <w:t>within</w:t>
      </w:r>
      <w:r>
        <w:rPr>
          <w:spacing w:val="-2"/>
          <w:w w:val="95"/>
          <w:sz w:val="20"/>
        </w:rPr>
        <w:t xml:space="preserve"> </w:t>
      </w:r>
      <w:r>
        <w:rPr>
          <w:w w:val="95"/>
          <w:sz w:val="20"/>
        </w:rPr>
        <w:t>a</w:t>
      </w:r>
      <w:r>
        <w:rPr>
          <w:spacing w:val="-2"/>
          <w:w w:val="95"/>
          <w:sz w:val="20"/>
        </w:rPr>
        <w:t xml:space="preserve"> </w:t>
      </w:r>
      <w:r>
        <w:rPr>
          <w:w w:val="95"/>
          <w:sz w:val="20"/>
        </w:rPr>
        <w:t>sustainable</w:t>
      </w:r>
      <w:r>
        <w:rPr>
          <w:spacing w:val="-2"/>
          <w:w w:val="95"/>
          <w:sz w:val="20"/>
        </w:rPr>
        <w:t xml:space="preserve"> </w:t>
      </w:r>
      <w:r>
        <w:rPr>
          <w:w w:val="95"/>
          <w:sz w:val="20"/>
        </w:rPr>
        <w:t>budgetary</w:t>
      </w:r>
      <w:r>
        <w:rPr>
          <w:spacing w:val="-2"/>
          <w:w w:val="95"/>
          <w:sz w:val="20"/>
        </w:rPr>
        <w:t xml:space="preserve"> </w:t>
      </w:r>
      <w:r>
        <w:rPr>
          <w:w w:val="95"/>
          <w:sz w:val="20"/>
        </w:rPr>
        <w:t xml:space="preserve">framework </w:t>
      </w:r>
      <w:r>
        <w:rPr>
          <w:sz w:val="20"/>
        </w:rPr>
        <w:t>by</w:t>
      </w:r>
      <w:r>
        <w:rPr>
          <w:spacing w:val="-11"/>
          <w:sz w:val="20"/>
        </w:rPr>
        <w:t xml:space="preserve"> </w:t>
      </w:r>
      <w:r>
        <w:rPr>
          <w:sz w:val="20"/>
        </w:rPr>
        <w:t>using</w:t>
      </w:r>
      <w:r>
        <w:rPr>
          <w:spacing w:val="-11"/>
          <w:sz w:val="20"/>
        </w:rPr>
        <w:t xml:space="preserve"> </w:t>
      </w:r>
      <w:r>
        <w:rPr>
          <w:sz w:val="20"/>
        </w:rPr>
        <w:t>the</w:t>
      </w:r>
      <w:r>
        <w:rPr>
          <w:spacing w:val="-11"/>
          <w:sz w:val="20"/>
        </w:rPr>
        <w:t xml:space="preserve"> </w:t>
      </w:r>
      <w:r>
        <w:rPr>
          <w:sz w:val="20"/>
        </w:rPr>
        <w:t>following</w:t>
      </w:r>
      <w:r>
        <w:rPr>
          <w:spacing w:val="-11"/>
          <w:sz w:val="20"/>
        </w:rPr>
        <w:t xml:space="preserve"> </w:t>
      </w:r>
      <w:r>
        <w:rPr>
          <w:sz w:val="20"/>
        </w:rPr>
        <w:t>six</w:t>
      </w:r>
      <w:r>
        <w:rPr>
          <w:spacing w:val="-11"/>
          <w:sz w:val="20"/>
        </w:rPr>
        <w:t xml:space="preserve"> </w:t>
      </w:r>
      <w:r>
        <w:rPr>
          <w:sz w:val="20"/>
        </w:rPr>
        <w:t>funding</w:t>
      </w:r>
      <w:r>
        <w:rPr>
          <w:spacing w:val="-11"/>
          <w:sz w:val="20"/>
        </w:rPr>
        <w:t xml:space="preserve"> </w:t>
      </w:r>
      <w:r>
        <w:rPr>
          <w:sz w:val="20"/>
        </w:rPr>
        <w:t>strategies:</w:t>
      </w:r>
    </w:p>
    <w:p w:rsidR="002C1123" w:rsidRDefault="00F22F94">
      <w:pPr>
        <w:pStyle w:val="ListParagraph"/>
        <w:numPr>
          <w:ilvl w:val="1"/>
          <w:numId w:val="4"/>
        </w:numPr>
        <w:tabs>
          <w:tab w:val="left" w:pos="1059"/>
        </w:tabs>
        <w:spacing w:before="144"/>
        <w:rPr>
          <w:sz w:val="20"/>
        </w:rPr>
      </w:pPr>
      <w:r>
        <w:rPr>
          <w:w w:val="95"/>
          <w:sz w:val="20"/>
        </w:rPr>
        <w:t>tolls</w:t>
      </w:r>
      <w:r>
        <w:rPr>
          <w:spacing w:val="-3"/>
          <w:sz w:val="20"/>
        </w:rPr>
        <w:t xml:space="preserve"> </w:t>
      </w:r>
      <w:r>
        <w:rPr>
          <w:w w:val="95"/>
          <w:sz w:val="20"/>
        </w:rPr>
        <w:t>on</w:t>
      </w:r>
      <w:r>
        <w:rPr>
          <w:spacing w:val="-2"/>
          <w:sz w:val="20"/>
        </w:rPr>
        <w:t xml:space="preserve"> </w:t>
      </w:r>
      <w:r>
        <w:rPr>
          <w:w w:val="95"/>
          <w:sz w:val="20"/>
        </w:rPr>
        <w:t>new</w:t>
      </w:r>
      <w:r>
        <w:rPr>
          <w:spacing w:val="-3"/>
          <w:sz w:val="20"/>
        </w:rPr>
        <w:t xml:space="preserve"> </w:t>
      </w:r>
      <w:r>
        <w:rPr>
          <w:w w:val="95"/>
          <w:sz w:val="20"/>
        </w:rPr>
        <w:t>and</w:t>
      </w:r>
      <w:r>
        <w:rPr>
          <w:spacing w:val="-2"/>
          <w:sz w:val="20"/>
        </w:rPr>
        <w:t xml:space="preserve"> </w:t>
      </w:r>
      <w:r>
        <w:rPr>
          <w:w w:val="95"/>
          <w:sz w:val="20"/>
        </w:rPr>
        <w:t>upgraded</w:t>
      </w:r>
      <w:r>
        <w:rPr>
          <w:spacing w:val="-2"/>
          <w:sz w:val="20"/>
        </w:rPr>
        <w:t xml:space="preserve"> </w:t>
      </w:r>
      <w:r>
        <w:rPr>
          <w:w w:val="95"/>
          <w:sz w:val="20"/>
        </w:rPr>
        <w:t>motorway</w:t>
      </w:r>
      <w:r>
        <w:rPr>
          <w:spacing w:val="-3"/>
          <w:sz w:val="20"/>
        </w:rPr>
        <w:t xml:space="preserve"> </w:t>
      </w:r>
      <w:r>
        <w:rPr>
          <w:spacing w:val="-4"/>
          <w:w w:val="95"/>
          <w:sz w:val="20"/>
        </w:rPr>
        <w:t>links</w:t>
      </w:r>
    </w:p>
    <w:p w:rsidR="002C1123" w:rsidRDefault="00F22F94">
      <w:pPr>
        <w:pStyle w:val="ListParagraph"/>
        <w:numPr>
          <w:ilvl w:val="1"/>
          <w:numId w:val="4"/>
        </w:numPr>
        <w:tabs>
          <w:tab w:val="left" w:pos="1059"/>
        </w:tabs>
        <w:spacing w:before="152" w:line="249" w:lineRule="auto"/>
        <w:ind w:right="353"/>
        <w:rPr>
          <w:sz w:val="20"/>
        </w:rPr>
      </w:pPr>
      <w:r>
        <w:rPr>
          <w:w w:val="95"/>
          <w:sz w:val="20"/>
        </w:rPr>
        <w:t>Restart</w:t>
      </w:r>
      <w:r>
        <w:rPr>
          <w:spacing w:val="-3"/>
          <w:w w:val="95"/>
          <w:sz w:val="20"/>
        </w:rPr>
        <w:t xml:space="preserve"> </w:t>
      </w:r>
      <w:r>
        <w:rPr>
          <w:w w:val="95"/>
          <w:sz w:val="20"/>
        </w:rPr>
        <w:t>NSW</w:t>
      </w:r>
      <w:r>
        <w:rPr>
          <w:spacing w:val="-3"/>
          <w:w w:val="95"/>
          <w:sz w:val="20"/>
        </w:rPr>
        <w:t xml:space="preserve"> </w:t>
      </w:r>
      <w:r>
        <w:rPr>
          <w:w w:val="95"/>
          <w:sz w:val="20"/>
        </w:rPr>
        <w:t>funding,</w:t>
      </w:r>
      <w:r>
        <w:rPr>
          <w:spacing w:val="-3"/>
          <w:w w:val="95"/>
          <w:sz w:val="20"/>
        </w:rPr>
        <w:t xml:space="preserve"> </w:t>
      </w:r>
      <w:r>
        <w:rPr>
          <w:w w:val="95"/>
          <w:sz w:val="20"/>
        </w:rPr>
        <w:t>using</w:t>
      </w:r>
      <w:r>
        <w:rPr>
          <w:spacing w:val="-3"/>
          <w:w w:val="95"/>
          <w:sz w:val="20"/>
        </w:rPr>
        <w:t xml:space="preserve"> </w:t>
      </w:r>
      <w:r>
        <w:rPr>
          <w:w w:val="95"/>
          <w:sz w:val="20"/>
        </w:rPr>
        <w:t>net</w:t>
      </w:r>
      <w:r>
        <w:rPr>
          <w:spacing w:val="-3"/>
          <w:w w:val="95"/>
          <w:sz w:val="20"/>
        </w:rPr>
        <w:t xml:space="preserve"> </w:t>
      </w:r>
      <w:r>
        <w:rPr>
          <w:w w:val="95"/>
          <w:sz w:val="20"/>
        </w:rPr>
        <w:t>proceeds</w:t>
      </w:r>
      <w:r>
        <w:rPr>
          <w:spacing w:val="-3"/>
          <w:w w:val="95"/>
          <w:sz w:val="20"/>
        </w:rPr>
        <w:t xml:space="preserve"> </w:t>
      </w:r>
      <w:r>
        <w:rPr>
          <w:w w:val="95"/>
          <w:sz w:val="20"/>
        </w:rPr>
        <w:t xml:space="preserve">of </w:t>
      </w:r>
      <w:r>
        <w:rPr>
          <w:sz w:val="20"/>
        </w:rPr>
        <w:t>asset</w:t>
      </w:r>
      <w:r>
        <w:rPr>
          <w:spacing w:val="-6"/>
          <w:sz w:val="20"/>
        </w:rPr>
        <w:t xml:space="preserve"> </w:t>
      </w:r>
      <w:r>
        <w:rPr>
          <w:sz w:val="20"/>
        </w:rPr>
        <w:t>sales</w:t>
      </w:r>
      <w:r>
        <w:rPr>
          <w:spacing w:val="-6"/>
          <w:sz w:val="20"/>
        </w:rPr>
        <w:t xml:space="preserve"> </w:t>
      </w:r>
      <w:r>
        <w:rPr>
          <w:sz w:val="20"/>
        </w:rPr>
        <w:t>and</w:t>
      </w:r>
      <w:r>
        <w:rPr>
          <w:spacing w:val="-6"/>
          <w:sz w:val="20"/>
        </w:rPr>
        <w:t xml:space="preserve"> </w:t>
      </w:r>
      <w:r>
        <w:rPr>
          <w:sz w:val="20"/>
        </w:rPr>
        <w:t>other</w:t>
      </w:r>
      <w:r>
        <w:rPr>
          <w:spacing w:val="-6"/>
          <w:sz w:val="20"/>
        </w:rPr>
        <w:t xml:space="preserve"> </w:t>
      </w:r>
      <w:r>
        <w:rPr>
          <w:sz w:val="20"/>
        </w:rPr>
        <w:t>windfall</w:t>
      </w:r>
      <w:r>
        <w:rPr>
          <w:spacing w:val="-6"/>
          <w:sz w:val="20"/>
        </w:rPr>
        <w:t xml:space="preserve"> </w:t>
      </w:r>
      <w:r>
        <w:rPr>
          <w:sz w:val="20"/>
        </w:rPr>
        <w:t>gains</w:t>
      </w:r>
    </w:p>
    <w:p w:rsidR="002C1123" w:rsidRDefault="00F22F94">
      <w:pPr>
        <w:pStyle w:val="ListParagraph"/>
        <w:numPr>
          <w:ilvl w:val="1"/>
          <w:numId w:val="4"/>
        </w:numPr>
        <w:tabs>
          <w:tab w:val="left" w:pos="1059"/>
        </w:tabs>
        <w:spacing w:before="143" w:line="249" w:lineRule="auto"/>
        <w:ind w:right="600"/>
        <w:rPr>
          <w:sz w:val="20"/>
        </w:rPr>
      </w:pPr>
      <w:r>
        <w:rPr>
          <w:sz w:val="20"/>
        </w:rPr>
        <w:t xml:space="preserve">reduction of public transport subsidies, </w:t>
      </w:r>
      <w:r>
        <w:rPr>
          <w:w w:val="95"/>
          <w:sz w:val="20"/>
        </w:rPr>
        <w:t>consistent with regulatory determinations</w:t>
      </w:r>
    </w:p>
    <w:p w:rsidR="002C1123" w:rsidRDefault="00F22F94">
      <w:pPr>
        <w:pStyle w:val="ListParagraph"/>
        <w:numPr>
          <w:ilvl w:val="1"/>
          <w:numId w:val="4"/>
        </w:numPr>
        <w:tabs>
          <w:tab w:val="left" w:pos="1059"/>
        </w:tabs>
        <w:spacing w:before="144"/>
        <w:rPr>
          <w:sz w:val="20"/>
        </w:rPr>
      </w:pPr>
      <w:r>
        <w:rPr>
          <w:w w:val="95"/>
          <w:sz w:val="20"/>
        </w:rPr>
        <w:t>limited</w:t>
      </w:r>
      <w:r>
        <w:rPr>
          <w:spacing w:val="-7"/>
          <w:w w:val="95"/>
          <w:sz w:val="20"/>
        </w:rPr>
        <w:t xml:space="preserve"> </w:t>
      </w:r>
      <w:r>
        <w:rPr>
          <w:w w:val="95"/>
          <w:sz w:val="20"/>
        </w:rPr>
        <w:t>reprioritisation</w:t>
      </w:r>
      <w:r>
        <w:rPr>
          <w:spacing w:val="-6"/>
          <w:w w:val="95"/>
          <w:sz w:val="20"/>
        </w:rPr>
        <w:t xml:space="preserve"> </w:t>
      </w:r>
      <w:r>
        <w:rPr>
          <w:w w:val="95"/>
          <w:sz w:val="20"/>
        </w:rPr>
        <w:t>of</w:t>
      </w:r>
      <w:r>
        <w:rPr>
          <w:spacing w:val="-6"/>
          <w:w w:val="95"/>
          <w:sz w:val="20"/>
        </w:rPr>
        <w:t xml:space="preserve"> </w:t>
      </w:r>
      <w:r>
        <w:rPr>
          <w:w w:val="95"/>
          <w:sz w:val="20"/>
        </w:rPr>
        <w:t>current</w:t>
      </w:r>
      <w:r>
        <w:rPr>
          <w:spacing w:val="-6"/>
          <w:w w:val="95"/>
          <w:sz w:val="20"/>
        </w:rPr>
        <w:t xml:space="preserve"> </w:t>
      </w:r>
      <w:r>
        <w:rPr>
          <w:w w:val="95"/>
          <w:sz w:val="20"/>
        </w:rPr>
        <w:t>capital</w:t>
      </w:r>
      <w:r>
        <w:rPr>
          <w:spacing w:val="-6"/>
          <w:w w:val="95"/>
          <w:sz w:val="20"/>
        </w:rPr>
        <w:t xml:space="preserve"> </w:t>
      </w:r>
      <w:r>
        <w:rPr>
          <w:spacing w:val="-4"/>
          <w:w w:val="95"/>
          <w:sz w:val="20"/>
        </w:rPr>
        <w:t>plans</w:t>
      </w:r>
    </w:p>
    <w:p w:rsidR="002C1123" w:rsidRDefault="00F22F94">
      <w:pPr>
        <w:pStyle w:val="ListParagraph"/>
        <w:numPr>
          <w:ilvl w:val="1"/>
          <w:numId w:val="4"/>
        </w:numPr>
        <w:tabs>
          <w:tab w:val="left" w:pos="1059"/>
        </w:tabs>
        <w:spacing w:before="152" w:line="249" w:lineRule="auto"/>
        <w:ind w:right="190"/>
        <w:rPr>
          <w:sz w:val="20"/>
        </w:rPr>
      </w:pPr>
      <w:r>
        <w:rPr>
          <w:w w:val="95"/>
          <w:sz w:val="20"/>
        </w:rPr>
        <w:t>Commonwealth contributions for projects that align</w:t>
      </w:r>
      <w:r>
        <w:rPr>
          <w:spacing w:val="-12"/>
          <w:w w:val="95"/>
          <w:sz w:val="20"/>
        </w:rPr>
        <w:t xml:space="preserve"> </w:t>
      </w:r>
      <w:r>
        <w:rPr>
          <w:w w:val="95"/>
          <w:sz w:val="20"/>
        </w:rPr>
        <w:t>with</w:t>
      </w:r>
      <w:r>
        <w:rPr>
          <w:spacing w:val="-11"/>
          <w:w w:val="95"/>
          <w:sz w:val="20"/>
        </w:rPr>
        <w:t xml:space="preserve"> </w:t>
      </w:r>
      <w:r>
        <w:rPr>
          <w:w w:val="95"/>
          <w:sz w:val="20"/>
        </w:rPr>
        <w:t>Infrastructure</w:t>
      </w:r>
      <w:r>
        <w:rPr>
          <w:spacing w:val="-11"/>
          <w:w w:val="95"/>
          <w:sz w:val="20"/>
        </w:rPr>
        <w:t xml:space="preserve"> </w:t>
      </w:r>
      <w:r>
        <w:rPr>
          <w:w w:val="95"/>
          <w:sz w:val="20"/>
        </w:rPr>
        <w:t>Australia’s</w:t>
      </w:r>
      <w:r>
        <w:rPr>
          <w:spacing w:val="-11"/>
          <w:w w:val="95"/>
          <w:sz w:val="20"/>
        </w:rPr>
        <w:t xml:space="preserve"> </w:t>
      </w:r>
      <w:r>
        <w:rPr>
          <w:w w:val="95"/>
          <w:sz w:val="20"/>
        </w:rPr>
        <w:t>key</w:t>
      </w:r>
      <w:r>
        <w:rPr>
          <w:spacing w:val="-11"/>
          <w:w w:val="95"/>
          <w:sz w:val="20"/>
        </w:rPr>
        <w:t xml:space="preserve"> </w:t>
      </w:r>
      <w:r>
        <w:rPr>
          <w:w w:val="95"/>
          <w:sz w:val="20"/>
        </w:rPr>
        <w:t>themes</w:t>
      </w:r>
    </w:p>
    <w:p w:rsidR="002C1123" w:rsidRDefault="00F22F94">
      <w:pPr>
        <w:pStyle w:val="ListParagraph"/>
        <w:numPr>
          <w:ilvl w:val="1"/>
          <w:numId w:val="4"/>
        </w:numPr>
        <w:tabs>
          <w:tab w:val="left" w:pos="1059"/>
        </w:tabs>
        <w:spacing w:before="143" w:line="249" w:lineRule="auto"/>
        <w:ind w:right="786"/>
        <w:rPr>
          <w:sz w:val="20"/>
        </w:rPr>
      </w:pPr>
      <w:r>
        <w:rPr>
          <w:w w:val="95"/>
          <w:sz w:val="20"/>
        </w:rPr>
        <w:t>value</w:t>
      </w:r>
      <w:r>
        <w:rPr>
          <w:spacing w:val="-10"/>
          <w:w w:val="95"/>
          <w:sz w:val="20"/>
        </w:rPr>
        <w:t xml:space="preserve"> </w:t>
      </w:r>
      <w:r>
        <w:rPr>
          <w:w w:val="95"/>
          <w:sz w:val="20"/>
        </w:rPr>
        <w:t>capture</w:t>
      </w:r>
      <w:r>
        <w:rPr>
          <w:spacing w:val="-10"/>
          <w:w w:val="95"/>
          <w:sz w:val="20"/>
        </w:rPr>
        <w:t xml:space="preserve"> </w:t>
      </w:r>
      <w:r>
        <w:rPr>
          <w:w w:val="95"/>
          <w:sz w:val="20"/>
        </w:rPr>
        <w:t>from</w:t>
      </w:r>
      <w:r>
        <w:rPr>
          <w:spacing w:val="-10"/>
          <w:w w:val="95"/>
          <w:sz w:val="20"/>
        </w:rPr>
        <w:t xml:space="preserve"> </w:t>
      </w:r>
      <w:r>
        <w:rPr>
          <w:w w:val="95"/>
          <w:sz w:val="20"/>
        </w:rPr>
        <w:t>beneficiaries</w:t>
      </w:r>
      <w:r>
        <w:rPr>
          <w:spacing w:val="-10"/>
          <w:w w:val="95"/>
          <w:sz w:val="20"/>
        </w:rPr>
        <w:t xml:space="preserve"> </w:t>
      </w:r>
      <w:r>
        <w:rPr>
          <w:w w:val="95"/>
          <w:sz w:val="20"/>
        </w:rPr>
        <w:t>of</w:t>
      </w:r>
      <w:r>
        <w:rPr>
          <w:spacing w:val="-10"/>
          <w:w w:val="95"/>
          <w:sz w:val="20"/>
        </w:rPr>
        <w:t xml:space="preserve"> </w:t>
      </w:r>
      <w:r>
        <w:rPr>
          <w:w w:val="95"/>
          <w:sz w:val="20"/>
        </w:rPr>
        <w:t xml:space="preserve">new </w:t>
      </w:r>
      <w:r>
        <w:rPr>
          <w:sz w:val="20"/>
        </w:rPr>
        <w:t>infrastructure where feasible.</w:t>
      </w:r>
    </w:p>
    <w:p w:rsidR="002C1123" w:rsidRDefault="00F22F94">
      <w:pPr>
        <w:spacing w:before="9"/>
        <w:rPr>
          <w:sz w:val="18"/>
        </w:rPr>
      </w:pPr>
      <w:r>
        <w:br w:type="column"/>
      </w:r>
    </w:p>
    <w:p w:rsidR="002C1123" w:rsidRDefault="00F22F94">
      <w:pPr>
        <w:pStyle w:val="ListParagraph"/>
        <w:numPr>
          <w:ilvl w:val="0"/>
          <w:numId w:val="25"/>
        </w:numPr>
        <w:tabs>
          <w:tab w:val="left" w:pos="534"/>
        </w:tabs>
        <w:spacing w:line="249" w:lineRule="auto"/>
        <w:ind w:left="533" w:right="251"/>
        <w:jc w:val="both"/>
        <w:rPr>
          <w:sz w:val="20"/>
        </w:rPr>
      </w:pPr>
      <w:r>
        <w:rPr>
          <w:w w:val="95"/>
          <w:sz w:val="20"/>
        </w:rPr>
        <w:t>Public</w:t>
      </w:r>
      <w:r>
        <w:rPr>
          <w:spacing w:val="-11"/>
          <w:w w:val="95"/>
          <w:sz w:val="20"/>
        </w:rPr>
        <w:t xml:space="preserve"> </w:t>
      </w:r>
      <w:r>
        <w:rPr>
          <w:w w:val="95"/>
          <w:sz w:val="20"/>
        </w:rPr>
        <w:t>private</w:t>
      </w:r>
      <w:r>
        <w:rPr>
          <w:spacing w:val="-11"/>
          <w:w w:val="95"/>
          <w:sz w:val="20"/>
        </w:rPr>
        <w:t xml:space="preserve"> </w:t>
      </w:r>
      <w:r>
        <w:rPr>
          <w:w w:val="95"/>
          <w:sz w:val="20"/>
        </w:rPr>
        <w:t>partnerships</w:t>
      </w:r>
      <w:r>
        <w:rPr>
          <w:spacing w:val="-11"/>
          <w:w w:val="95"/>
          <w:sz w:val="20"/>
        </w:rPr>
        <w:t xml:space="preserve"> </w:t>
      </w:r>
      <w:r>
        <w:rPr>
          <w:w w:val="95"/>
          <w:sz w:val="20"/>
        </w:rPr>
        <w:t>(PPPs)</w:t>
      </w:r>
      <w:r>
        <w:rPr>
          <w:spacing w:val="-11"/>
          <w:w w:val="95"/>
          <w:sz w:val="20"/>
        </w:rPr>
        <w:t xml:space="preserve"> </w:t>
      </w:r>
      <w:r>
        <w:rPr>
          <w:w w:val="95"/>
          <w:sz w:val="20"/>
        </w:rPr>
        <w:t>need</w:t>
      </w:r>
      <w:r>
        <w:rPr>
          <w:spacing w:val="-11"/>
          <w:w w:val="95"/>
          <w:sz w:val="20"/>
        </w:rPr>
        <w:t xml:space="preserve"> </w:t>
      </w:r>
      <w:r>
        <w:rPr>
          <w:w w:val="95"/>
          <w:sz w:val="20"/>
        </w:rPr>
        <w:t>to</w:t>
      </w:r>
      <w:r>
        <w:rPr>
          <w:spacing w:val="-11"/>
          <w:w w:val="95"/>
          <w:sz w:val="20"/>
        </w:rPr>
        <w:t xml:space="preserve"> </w:t>
      </w:r>
      <w:r>
        <w:rPr>
          <w:w w:val="95"/>
          <w:sz w:val="20"/>
        </w:rPr>
        <w:t>evolve to</w:t>
      </w:r>
      <w:r>
        <w:rPr>
          <w:spacing w:val="-2"/>
          <w:w w:val="95"/>
          <w:sz w:val="20"/>
        </w:rPr>
        <w:t xml:space="preserve"> </w:t>
      </w:r>
      <w:r>
        <w:rPr>
          <w:w w:val="95"/>
          <w:sz w:val="20"/>
        </w:rPr>
        <w:t>reflect</w:t>
      </w:r>
      <w:r>
        <w:rPr>
          <w:spacing w:val="-2"/>
          <w:w w:val="95"/>
          <w:sz w:val="20"/>
        </w:rPr>
        <w:t xml:space="preserve"> </w:t>
      </w:r>
      <w:r>
        <w:rPr>
          <w:w w:val="95"/>
          <w:sz w:val="20"/>
        </w:rPr>
        <w:t>current</w:t>
      </w:r>
      <w:r>
        <w:rPr>
          <w:spacing w:val="-2"/>
          <w:w w:val="95"/>
          <w:sz w:val="20"/>
        </w:rPr>
        <w:t xml:space="preserve"> </w:t>
      </w:r>
      <w:r>
        <w:rPr>
          <w:w w:val="95"/>
          <w:sz w:val="20"/>
        </w:rPr>
        <w:t>market</w:t>
      </w:r>
      <w:r>
        <w:rPr>
          <w:spacing w:val="-2"/>
          <w:w w:val="95"/>
          <w:sz w:val="20"/>
        </w:rPr>
        <w:t xml:space="preserve"> </w:t>
      </w:r>
      <w:r>
        <w:rPr>
          <w:w w:val="95"/>
          <w:sz w:val="20"/>
        </w:rPr>
        <w:t>conditions.</w:t>
      </w:r>
      <w:r>
        <w:rPr>
          <w:spacing w:val="-2"/>
          <w:w w:val="95"/>
          <w:sz w:val="20"/>
        </w:rPr>
        <w:t xml:space="preserve"> </w:t>
      </w:r>
      <w:r>
        <w:rPr>
          <w:w w:val="95"/>
          <w:sz w:val="20"/>
        </w:rPr>
        <w:t>This</w:t>
      </w:r>
      <w:r>
        <w:rPr>
          <w:spacing w:val="-2"/>
          <w:w w:val="95"/>
          <w:sz w:val="20"/>
        </w:rPr>
        <w:t xml:space="preserve"> </w:t>
      </w:r>
      <w:r>
        <w:rPr>
          <w:w w:val="95"/>
          <w:sz w:val="20"/>
        </w:rPr>
        <w:t>includes</w:t>
      </w:r>
    </w:p>
    <w:p w:rsidR="002C1123" w:rsidRDefault="00F22F94">
      <w:pPr>
        <w:pStyle w:val="BodyText"/>
        <w:spacing w:before="1" w:line="249" w:lineRule="auto"/>
        <w:ind w:left="533"/>
        <w:jc w:val="both"/>
      </w:pPr>
      <w:r>
        <w:rPr>
          <w:w w:val="95"/>
        </w:rPr>
        <w:t>steps</w:t>
      </w:r>
      <w:r>
        <w:rPr>
          <w:spacing w:val="-2"/>
          <w:w w:val="95"/>
        </w:rPr>
        <w:t xml:space="preserve"> </w:t>
      </w:r>
      <w:r>
        <w:rPr>
          <w:w w:val="95"/>
        </w:rPr>
        <w:t>to</w:t>
      </w:r>
      <w:r>
        <w:rPr>
          <w:spacing w:val="-2"/>
          <w:w w:val="95"/>
        </w:rPr>
        <w:t xml:space="preserve"> </w:t>
      </w:r>
      <w:r>
        <w:rPr>
          <w:w w:val="95"/>
        </w:rPr>
        <w:t>mitigate</w:t>
      </w:r>
      <w:r>
        <w:rPr>
          <w:spacing w:val="-2"/>
          <w:w w:val="95"/>
        </w:rPr>
        <w:t xml:space="preserve"> </w:t>
      </w:r>
      <w:r>
        <w:rPr>
          <w:w w:val="95"/>
        </w:rPr>
        <w:t>the</w:t>
      </w:r>
      <w:r>
        <w:rPr>
          <w:spacing w:val="-2"/>
          <w:w w:val="95"/>
        </w:rPr>
        <w:t xml:space="preserve"> </w:t>
      </w:r>
      <w:r>
        <w:rPr>
          <w:w w:val="95"/>
        </w:rPr>
        <w:t>gap</w:t>
      </w:r>
      <w:r>
        <w:rPr>
          <w:spacing w:val="-2"/>
          <w:w w:val="95"/>
        </w:rPr>
        <w:t xml:space="preserve"> </w:t>
      </w:r>
      <w:r>
        <w:rPr>
          <w:w w:val="95"/>
        </w:rPr>
        <w:t>between</w:t>
      </w:r>
      <w:r>
        <w:rPr>
          <w:spacing w:val="-2"/>
          <w:w w:val="95"/>
        </w:rPr>
        <w:t xml:space="preserve"> </w:t>
      </w:r>
      <w:r>
        <w:rPr>
          <w:w w:val="95"/>
        </w:rPr>
        <w:t>public</w:t>
      </w:r>
      <w:r>
        <w:rPr>
          <w:spacing w:val="-2"/>
          <w:w w:val="95"/>
        </w:rPr>
        <w:t xml:space="preserve"> </w:t>
      </w:r>
      <w:r>
        <w:rPr>
          <w:w w:val="95"/>
        </w:rPr>
        <w:t>and</w:t>
      </w:r>
      <w:r>
        <w:rPr>
          <w:spacing w:val="-2"/>
          <w:w w:val="95"/>
        </w:rPr>
        <w:t xml:space="preserve"> </w:t>
      </w:r>
      <w:r>
        <w:rPr>
          <w:w w:val="95"/>
        </w:rPr>
        <w:t>private cost</w:t>
      </w:r>
      <w:r>
        <w:rPr>
          <w:spacing w:val="-4"/>
          <w:w w:val="95"/>
        </w:rPr>
        <w:t xml:space="preserve"> </w:t>
      </w:r>
      <w:r>
        <w:rPr>
          <w:w w:val="95"/>
        </w:rPr>
        <w:t>of</w:t>
      </w:r>
      <w:r>
        <w:rPr>
          <w:spacing w:val="-4"/>
          <w:w w:val="95"/>
        </w:rPr>
        <w:t xml:space="preserve"> </w:t>
      </w:r>
      <w:r>
        <w:rPr>
          <w:w w:val="95"/>
        </w:rPr>
        <w:t>capital,</w:t>
      </w:r>
      <w:r>
        <w:rPr>
          <w:spacing w:val="-4"/>
          <w:w w:val="95"/>
        </w:rPr>
        <w:t xml:space="preserve"> </w:t>
      </w:r>
      <w:r>
        <w:rPr>
          <w:w w:val="95"/>
        </w:rPr>
        <w:t>and</w:t>
      </w:r>
      <w:r>
        <w:rPr>
          <w:spacing w:val="-4"/>
          <w:w w:val="95"/>
        </w:rPr>
        <w:t xml:space="preserve"> </w:t>
      </w:r>
      <w:r>
        <w:rPr>
          <w:w w:val="95"/>
        </w:rPr>
        <w:t>limited</w:t>
      </w:r>
      <w:r>
        <w:rPr>
          <w:spacing w:val="-4"/>
          <w:w w:val="95"/>
        </w:rPr>
        <w:t xml:space="preserve"> </w:t>
      </w:r>
      <w:r>
        <w:rPr>
          <w:w w:val="95"/>
        </w:rPr>
        <w:t>sharing</w:t>
      </w:r>
      <w:r>
        <w:rPr>
          <w:spacing w:val="-4"/>
          <w:w w:val="95"/>
        </w:rPr>
        <w:t xml:space="preserve"> </w:t>
      </w:r>
      <w:r>
        <w:rPr>
          <w:w w:val="95"/>
        </w:rPr>
        <w:t>of</w:t>
      </w:r>
      <w:r>
        <w:rPr>
          <w:spacing w:val="-4"/>
          <w:w w:val="95"/>
        </w:rPr>
        <w:t xml:space="preserve"> </w:t>
      </w:r>
      <w:r>
        <w:rPr>
          <w:w w:val="95"/>
        </w:rPr>
        <w:t>demand</w:t>
      </w:r>
      <w:r>
        <w:rPr>
          <w:spacing w:val="-4"/>
          <w:w w:val="95"/>
        </w:rPr>
        <w:t xml:space="preserve"> </w:t>
      </w:r>
      <w:r>
        <w:rPr>
          <w:w w:val="95"/>
        </w:rPr>
        <w:t>risks</w:t>
      </w:r>
      <w:r>
        <w:rPr>
          <w:spacing w:val="-4"/>
          <w:w w:val="95"/>
        </w:rPr>
        <w:t xml:space="preserve"> </w:t>
      </w:r>
      <w:r>
        <w:rPr>
          <w:w w:val="95"/>
        </w:rPr>
        <w:t xml:space="preserve">if </w:t>
      </w:r>
      <w:r>
        <w:rPr>
          <w:spacing w:val="-2"/>
        </w:rPr>
        <w:t>necessary.</w:t>
      </w:r>
    </w:p>
    <w:p w:rsidR="002C1123" w:rsidRDefault="00F22F94">
      <w:pPr>
        <w:pStyle w:val="ListParagraph"/>
        <w:numPr>
          <w:ilvl w:val="0"/>
          <w:numId w:val="25"/>
        </w:numPr>
        <w:tabs>
          <w:tab w:val="left" w:pos="534"/>
        </w:tabs>
        <w:spacing w:before="132" w:line="249" w:lineRule="auto"/>
        <w:ind w:left="533" w:right="112"/>
        <w:rPr>
          <w:sz w:val="20"/>
        </w:rPr>
      </w:pPr>
      <w:r>
        <w:rPr>
          <w:sz w:val="20"/>
        </w:rPr>
        <w:t>Procurement</w:t>
      </w:r>
      <w:r>
        <w:rPr>
          <w:spacing w:val="-14"/>
          <w:sz w:val="20"/>
        </w:rPr>
        <w:t xml:space="preserve"> </w:t>
      </w:r>
      <w:r>
        <w:rPr>
          <w:sz w:val="20"/>
        </w:rPr>
        <w:t>strategies</w:t>
      </w:r>
      <w:r>
        <w:rPr>
          <w:spacing w:val="-14"/>
          <w:sz w:val="20"/>
        </w:rPr>
        <w:t xml:space="preserve"> </w:t>
      </w:r>
      <w:r>
        <w:rPr>
          <w:sz w:val="20"/>
        </w:rPr>
        <w:t>can</w:t>
      </w:r>
      <w:r>
        <w:rPr>
          <w:spacing w:val="-14"/>
          <w:sz w:val="20"/>
        </w:rPr>
        <w:t xml:space="preserve"> </w:t>
      </w:r>
      <w:r>
        <w:rPr>
          <w:sz w:val="20"/>
        </w:rPr>
        <w:t>have</w:t>
      </w:r>
      <w:r>
        <w:rPr>
          <w:spacing w:val="-14"/>
          <w:sz w:val="20"/>
        </w:rPr>
        <w:t xml:space="preserve"> </w:t>
      </w:r>
      <w:r>
        <w:rPr>
          <w:sz w:val="20"/>
        </w:rPr>
        <w:t>a</w:t>
      </w:r>
      <w:r>
        <w:rPr>
          <w:spacing w:val="-14"/>
          <w:sz w:val="20"/>
        </w:rPr>
        <w:t xml:space="preserve"> </w:t>
      </w:r>
      <w:r>
        <w:rPr>
          <w:sz w:val="20"/>
        </w:rPr>
        <w:t>material impact</w:t>
      </w:r>
      <w:r>
        <w:rPr>
          <w:spacing w:val="-14"/>
          <w:sz w:val="20"/>
        </w:rPr>
        <w:t xml:space="preserve"> </w:t>
      </w:r>
      <w:r>
        <w:rPr>
          <w:sz w:val="20"/>
        </w:rPr>
        <w:t>on</w:t>
      </w:r>
      <w:r>
        <w:rPr>
          <w:spacing w:val="-14"/>
          <w:sz w:val="20"/>
        </w:rPr>
        <w:t xml:space="preserve"> </w:t>
      </w:r>
      <w:r>
        <w:rPr>
          <w:sz w:val="20"/>
        </w:rPr>
        <w:t>value</w:t>
      </w:r>
      <w:r>
        <w:rPr>
          <w:spacing w:val="-14"/>
          <w:sz w:val="20"/>
        </w:rPr>
        <w:t xml:space="preserve"> </w:t>
      </w:r>
      <w:r>
        <w:rPr>
          <w:sz w:val="20"/>
        </w:rPr>
        <w:t>for</w:t>
      </w:r>
      <w:r>
        <w:rPr>
          <w:spacing w:val="-14"/>
          <w:sz w:val="20"/>
        </w:rPr>
        <w:t xml:space="preserve"> </w:t>
      </w:r>
      <w:r>
        <w:rPr>
          <w:sz w:val="20"/>
        </w:rPr>
        <w:t>money.</w:t>
      </w:r>
      <w:r>
        <w:rPr>
          <w:spacing w:val="-14"/>
          <w:sz w:val="20"/>
        </w:rPr>
        <w:t xml:space="preserve"> </w:t>
      </w:r>
      <w:r>
        <w:rPr>
          <w:sz w:val="20"/>
        </w:rPr>
        <w:t>Infrastructure</w:t>
      </w:r>
      <w:r>
        <w:rPr>
          <w:spacing w:val="-14"/>
          <w:sz w:val="20"/>
        </w:rPr>
        <w:t xml:space="preserve"> </w:t>
      </w:r>
      <w:r>
        <w:rPr>
          <w:sz w:val="20"/>
        </w:rPr>
        <w:t>NSW’s recommendations</w:t>
      </w:r>
      <w:r>
        <w:rPr>
          <w:spacing w:val="-5"/>
          <w:sz w:val="20"/>
        </w:rPr>
        <w:t xml:space="preserve"> </w:t>
      </w:r>
      <w:r>
        <w:rPr>
          <w:sz w:val="20"/>
        </w:rPr>
        <w:t>include</w:t>
      </w:r>
      <w:r>
        <w:rPr>
          <w:spacing w:val="-5"/>
          <w:sz w:val="20"/>
        </w:rPr>
        <w:t xml:space="preserve"> </w:t>
      </w:r>
      <w:r>
        <w:rPr>
          <w:sz w:val="20"/>
        </w:rPr>
        <w:t>the</w:t>
      </w:r>
      <w:r>
        <w:rPr>
          <w:spacing w:val="-5"/>
          <w:sz w:val="20"/>
        </w:rPr>
        <w:t xml:space="preserve"> </w:t>
      </w:r>
      <w:r>
        <w:rPr>
          <w:sz w:val="20"/>
        </w:rPr>
        <w:t>use</w:t>
      </w:r>
      <w:r>
        <w:rPr>
          <w:spacing w:val="-5"/>
          <w:sz w:val="20"/>
        </w:rPr>
        <w:t xml:space="preserve"> </w:t>
      </w:r>
      <w:r>
        <w:rPr>
          <w:sz w:val="20"/>
        </w:rPr>
        <w:t>of</w:t>
      </w:r>
      <w:r>
        <w:rPr>
          <w:spacing w:val="-5"/>
          <w:sz w:val="20"/>
        </w:rPr>
        <w:t xml:space="preserve"> </w:t>
      </w:r>
      <w:r>
        <w:rPr>
          <w:sz w:val="20"/>
        </w:rPr>
        <w:t xml:space="preserve">special </w:t>
      </w:r>
      <w:r>
        <w:rPr>
          <w:w w:val="95"/>
          <w:sz w:val="20"/>
        </w:rPr>
        <w:t xml:space="preserve">purpose delivery entities, output specifications and </w:t>
      </w:r>
      <w:r>
        <w:rPr>
          <w:sz w:val="20"/>
        </w:rPr>
        <w:t>transparency around project contingency costs.</w:t>
      </w:r>
    </w:p>
    <w:p w:rsidR="002C1123" w:rsidRDefault="00F22F94">
      <w:pPr>
        <w:pStyle w:val="BodyText"/>
        <w:spacing w:before="3" w:line="249" w:lineRule="auto"/>
        <w:ind w:left="533"/>
      </w:pPr>
      <w:r>
        <w:rPr>
          <w:w w:val="95"/>
        </w:rPr>
        <w:t>The</w:t>
      </w:r>
      <w:r>
        <w:rPr>
          <w:spacing w:val="-9"/>
          <w:w w:val="95"/>
        </w:rPr>
        <w:t xml:space="preserve"> </w:t>
      </w:r>
      <w:r>
        <w:rPr>
          <w:w w:val="95"/>
        </w:rPr>
        <w:t>overarching</w:t>
      </w:r>
      <w:r>
        <w:rPr>
          <w:spacing w:val="-9"/>
          <w:w w:val="95"/>
        </w:rPr>
        <w:t xml:space="preserve"> </w:t>
      </w:r>
      <w:r>
        <w:rPr>
          <w:w w:val="95"/>
        </w:rPr>
        <w:t>objective</w:t>
      </w:r>
      <w:r>
        <w:rPr>
          <w:spacing w:val="-9"/>
          <w:w w:val="95"/>
        </w:rPr>
        <w:t xml:space="preserve"> </w:t>
      </w:r>
      <w:r>
        <w:rPr>
          <w:w w:val="95"/>
        </w:rPr>
        <w:t>is</w:t>
      </w:r>
      <w:r>
        <w:rPr>
          <w:spacing w:val="-9"/>
          <w:w w:val="95"/>
        </w:rPr>
        <w:t xml:space="preserve"> </w:t>
      </w:r>
      <w:r>
        <w:rPr>
          <w:w w:val="95"/>
        </w:rPr>
        <w:t>to</w:t>
      </w:r>
      <w:r>
        <w:rPr>
          <w:spacing w:val="-9"/>
          <w:w w:val="95"/>
        </w:rPr>
        <w:t xml:space="preserve"> </w:t>
      </w:r>
      <w:r>
        <w:rPr>
          <w:w w:val="95"/>
        </w:rPr>
        <w:t>improve</w:t>
      </w:r>
      <w:r>
        <w:rPr>
          <w:spacing w:val="-9"/>
          <w:w w:val="95"/>
        </w:rPr>
        <w:t xml:space="preserve"> </w:t>
      </w:r>
      <w:r>
        <w:rPr>
          <w:w w:val="95"/>
        </w:rPr>
        <w:t>the</w:t>
      </w:r>
      <w:r>
        <w:rPr>
          <w:spacing w:val="-9"/>
          <w:w w:val="95"/>
        </w:rPr>
        <w:t xml:space="preserve"> </w:t>
      </w:r>
      <w:r>
        <w:rPr>
          <w:w w:val="95"/>
        </w:rPr>
        <w:t>quality</w:t>
      </w:r>
      <w:r>
        <w:rPr>
          <w:spacing w:val="-9"/>
          <w:w w:val="95"/>
        </w:rPr>
        <w:t xml:space="preserve"> </w:t>
      </w:r>
      <w:r>
        <w:rPr>
          <w:w w:val="95"/>
        </w:rPr>
        <w:t>of infrastructure outcomes by encouraging innovation.</w:t>
      </w:r>
    </w:p>
    <w:p w:rsidR="002C1123" w:rsidRDefault="00F22F94">
      <w:pPr>
        <w:pStyle w:val="ListParagraph"/>
        <w:numPr>
          <w:ilvl w:val="0"/>
          <w:numId w:val="25"/>
        </w:numPr>
        <w:tabs>
          <w:tab w:val="left" w:pos="534"/>
        </w:tabs>
        <w:spacing w:before="131" w:line="249" w:lineRule="auto"/>
        <w:ind w:left="533" w:right="9"/>
        <w:rPr>
          <w:sz w:val="20"/>
        </w:rPr>
      </w:pPr>
      <w:r>
        <w:rPr>
          <w:sz w:val="20"/>
        </w:rPr>
        <w:t>A</w:t>
      </w:r>
      <w:r>
        <w:rPr>
          <w:spacing w:val="-6"/>
          <w:sz w:val="20"/>
        </w:rPr>
        <w:t xml:space="preserve"> </w:t>
      </w:r>
      <w:r>
        <w:rPr>
          <w:sz w:val="20"/>
        </w:rPr>
        <w:t>case</w:t>
      </w:r>
      <w:r>
        <w:rPr>
          <w:spacing w:val="-6"/>
          <w:sz w:val="20"/>
        </w:rPr>
        <w:t xml:space="preserve"> </w:t>
      </w:r>
      <w:r>
        <w:rPr>
          <w:sz w:val="20"/>
        </w:rPr>
        <w:t>study</w:t>
      </w:r>
      <w:r>
        <w:rPr>
          <w:spacing w:val="-6"/>
          <w:sz w:val="20"/>
        </w:rPr>
        <w:t xml:space="preserve"> </w:t>
      </w:r>
      <w:r>
        <w:rPr>
          <w:sz w:val="20"/>
        </w:rPr>
        <w:t>for</w:t>
      </w:r>
      <w:r>
        <w:rPr>
          <w:spacing w:val="-6"/>
          <w:sz w:val="20"/>
        </w:rPr>
        <w:t xml:space="preserve"> </w:t>
      </w:r>
      <w:r>
        <w:rPr>
          <w:sz w:val="20"/>
        </w:rPr>
        <w:t>WestConnex</w:t>
      </w:r>
      <w:r>
        <w:rPr>
          <w:spacing w:val="-6"/>
          <w:sz w:val="20"/>
        </w:rPr>
        <w:t xml:space="preserve"> </w:t>
      </w:r>
      <w:r>
        <w:rPr>
          <w:sz w:val="20"/>
        </w:rPr>
        <w:t>shows</w:t>
      </w:r>
      <w:r>
        <w:rPr>
          <w:spacing w:val="-6"/>
          <w:sz w:val="20"/>
        </w:rPr>
        <w:t xml:space="preserve"> </w:t>
      </w:r>
      <w:r>
        <w:rPr>
          <w:sz w:val="20"/>
        </w:rPr>
        <w:t>how</w:t>
      </w:r>
      <w:r>
        <w:rPr>
          <w:spacing w:val="-6"/>
          <w:sz w:val="20"/>
        </w:rPr>
        <w:t xml:space="preserve"> </w:t>
      </w:r>
      <w:r>
        <w:rPr>
          <w:sz w:val="20"/>
        </w:rPr>
        <w:t>the funding</w:t>
      </w:r>
      <w:r>
        <w:rPr>
          <w:spacing w:val="-2"/>
          <w:sz w:val="20"/>
        </w:rPr>
        <w:t xml:space="preserve"> </w:t>
      </w:r>
      <w:r>
        <w:rPr>
          <w:sz w:val="20"/>
        </w:rPr>
        <w:t>and</w:t>
      </w:r>
      <w:r>
        <w:rPr>
          <w:spacing w:val="-2"/>
          <w:sz w:val="20"/>
        </w:rPr>
        <w:t xml:space="preserve"> </w:t>
      </w:r>
      <w:r>
        <w:rPr>
          <w:sz w:val="20"/>
        </w:rPr>
        <w:t>delivery</w:t>
      </w:r>
      <w:r>
        <w:rPr>
          <w:spacing w:val="-2"/>
          <w:sz w:val="20"/>
        </w:rPr>
        <w:t xml:space="preserve"> </w:t>
      </w:r>
      <w:r>
        <w:rPr>
          <w:sz w:val="20"/>
        </w:rPr>
        <w:t>principles</w:t>
      </w:r>
      <w:r>
        <w:rPr>
          <w:spacing w:val="-2"/>
          <w:sz w:val="20"/>
        </w:rPr>
        <w:t xml:space="preserve"> </w:t>
      </w:r>
      <w:r>
        <w:rPr>
          <w:sz w:val="20"/>
        </w:rPr>
        <w:t>proposed</w:t>
      </w:r>
      <w:r>
        <w:rPr>
          <w:spacing w:val="-2"/>
          <w:sz w:val="20"/>
        </w:rPr>
        <w:t xml:space="preserve"> </w:t>
      </w:r>
      <w:r>
        <w:rPr>
          <w:sz w:val="20"/>
        </w:rPr>
        <w:t>by Infrastructure</w:t>
      </w:r>
      <w:r>
        <w:rPr>
          <w:spacing w:val="-5"/>
          <w:sz w:val="20"/>
        </w:rPr>
        <w:t xml:space="preserve"> </w:t>
      </w:r>
      <w:r>
        <w:rPr>
          <w:sz w:val="20"/>
        </w:rPr>
        <w:t>NSW</w:t>
      </w:r>
      <w:r>
        <w:rPr>
          <w:spacing w:val="-5"/>
          <w:sz w:val="20"/>
        </w:rPr>
        <w:t xml:space="preserve"> </w:t>
      </w:r>
      <w:r>
        <w:rPr>
          <w:sz w:val="20"/>
        </w:rPr>
        <w:t>can</w:t>
      </w:r>
      <w:r>
        <w:rPr>
          <w:spacing w:val="-5"/>
          <w:sz w:val="20"/>
        </w:rPr>
        <w:t xml:space="preserve"> </w:t>
      </w:r>
      <w:r>
        <w:rPr>
          <w:sz w:val="20"/>
        </w:rPr>
        <w:t>be</w:t>
      </w:r>
      <w:r>
        <w:rPr>
          <w:spacing w:val="-5"/>
          <w:sz w:val="20"/>
        </w:rPr>
        <w:t xml:space="preserve"> </w:t>
      </w:r>
      <w:r>
        <w:rPr>
          <w:sz w:val="20"/>
        </w:rPr>
        <w:t>put</w:t>
      </w:r>
      <w:r>
        <w:rPr>
          <w:spacing w:val="-5"/>
          <w:sz w:val="20"/>
        </w:rPr>
        <w:t xml:space="preserve"> </w:t>
      </w:r>
      <w:r>
        <w:rPr>
          <w:sz w:val="20"/>
        </w:rPr>
        <w:t>into</w:t>
      </w:r>
      <w:r>
        <w:rPr>
          <w:spacing w:val="-5"/>
          <w:sz w:val="20"/>
        </w:rPr>
        <w:t xml:space="preserve"> </w:t>
      </w:r>
      <w:r>
        <w:rPr>
          <w:sz w:val="20"/>
        </w:rPr>
        <w:t xml:space="preserve">practice. </w:t>
      </w:r>
      <w:r>
        <w:rPr>
          <w:spacing w:val="-2"/>
          <w:sz w:val="20"/>
        </w:rPr>
        <w:t>WestConnex</w:t>
      </w:r>
      <w:r>
        <w:rPr>
          <w:spacing w:val="-9"/>
          <w:sz w:val="20"/>
        </w:rPr>
        <w:t xml:space="preserve"> </w:t>
      </w:r>
      <w:r>
        <w:rPr>
          <w:spacing w:val="-2"/>
          <w:sz w:val="20"/>
        </w:rPr>
        <w:t>is</w:t>
      </w:r>
      <w:r>
        <w:rPr>
          <w:spacing w:val="-9"/>
          <w:sz w:val="20"/>
        </w:rPr>
        <w:t xml:space="preserve"> </w:t>
      </w:r>
      <w:r>
        <w:rPr>
          <w:spacing w:val="-2"/>
          <w:sz w:val="20"/>
        </w:rPr>
        <w:t>proposed</w:t>
      </w:r>
      <w:r>
        <w:rPr>
          <w:spacing w:val="-9"/>
          <w:sz w:val="20"/>
        </w:rPr>
        <w:t xml:space="preserve"> </w:t>
      </w:r>
      <w:r>
        <w:rPr>
          <w:spacing w:val="-2"/>
          <w:sz w:val="20"/>
        </w:rPr>
        <w:t>to</w:t>
      </w:r>
      <w:r>
        <w:rPr>
          <w:spacing w:val="-9"/>
          <w:sz w:val="20"/>
        </w:rPr>
        <w:t xml:space="preserve"> </w:t>
      </w:r>
      <w:r>
        <w:rPr>
          <w:spacing w:val="-2"/>
          <w:sz w:val="20"/>
        </w:rPr>
        <w:t>be</w:t>
      </w:r>
      <w:r>
        <w:rPr>
          <w:spacing w:val="-9"/>
          <w:sz w:val="20"/>
        </w:rPr>
        <w:t xml:space="preserve"> </w:t>
      </w:r>
      <w:r>
        <w:rPr>
          <w:spacing w:val="-2"/>
          <w:sz w:val="20"/>
        </w:rPr>
        <w:t>predominantly</w:t>
      </w:r>
      <w:r>
        <w:rPr>
          <w:spacing w:val="-9"/>
          <w:sz w:val="20"/>
        </w:rPr>
        <w:t xml:space="preserve"> </w:t>
      </w:r>
      <w:r>
        <w:rPr>
          <w:spacing w:val="-2"/>
          <w:sz w:val="20"/>
        </w:rPr>
        <w:t xml:space="preserve">user </w:t>
      </w:r>
      <w:r>
        <w:rPr>
          <w:w w:val="95"/>
          <w:sz w:val="20"/>
        </w:rPr>
        <w:t>funded,</w:t>
      </w:r>
      <w:r>
        <w:rPr>
          <w:spacing w:val="-1"/>
          <w:w w:val="95"/>
          <w:sz w:val="20"/>
        </w:rPr>
        <w:t xml:space="preserve"> </w:t>
      </w:r>
      <w:r>
        <w:rPr>
          <w:w w:val="95"/>
          <w:sz w:val="20"/>
        </w:rPr>
        <w:t>with</w:t>
      </w:r>
      <w:r>
        <w:rPr>
          <w:spacing w:val="-1"/>
          <w:w w:val="95"/>
          <w:sz w:val="20"/>
        </w:rPr>
        <w:t xml:space="preserve"> </w:t>
      </w:r>
      <w:r>
        <w:rPr>
          <w:w w:val="95"/>
          <w:sz w:val="20"/>
        </w:rPr>
        <w:t>limited</w:t>
      </w:r>
      <w:r>
        <w:rPr>
          <w:spacing w:val="-1"/>
          <w:w w:val="95"/>
          <w:sz w:val="20"/>
        </w:rPr>
        <w:t xml:space="preserve"> </w:t>
      </w:r>
      <w:r>
        <w:rPr>
          <w:w w:val="95"/>
          <w:sz w:val="20"/>
        </w:rPr>
        <w:t>Government</w:t>
      </w:r>
      <w:r>
        <w:rPr>
          <w:spacing w:val="-1"/>
          <w:w w:val="95"/>
          <w:sz w:val="20"/>
        </w:rPr>
        <w:t xml:space="preserve"> </w:t>
      </w:r>
      <w:r>
        <w:rPr>
          <w:w w:val="95"/>
          <w:sz w:val="20"/>
        </w:rPr>
        <w:t>financial</w:t>
      </w:r>
      <w:r>
        <w:rPr>
          <w:spacing w:val="-1"/>
          <w:w w:val="95"/>
          <w:sz w:val="20"/>
        </w:rPr>
        <w:t xml:space="preserve"> </w:t>
      </w:r>
      <w:r>
        <w:rPr>
          <w:w w:val="95"/>
          <w:sz w:val="20"/>
        </w:rPr>
        <w:t>support</w:t>
      </w:r>
      <w:r>
        <w:rPr>
          <w:spacing w:val="-1"/>
          <w:w w:val="95"/>
          <w:sz w:val="20"/>
        </w:rPr>
        <w:t xml:space="preserve"> </w:t>
      </w:r>
      <w:r>
        <w:rPr>
          <w:w w:val="95"/>
          <w:sz w:val="20"/>
        </w:rPr>
        <w:t xml:space="preserve">in </w:t>
      </w:r>
      <w:r>
        <w:rPr>
          <w:sz w:val="20"/>
        </w:rPr>
        <w:t>the early years.</w:t>
      </w:r>
    </w:p>
    <w:p w:rsidR="002C1123" w:rsidRDefault="00F22F94">
      <w:pPr>
        <w:pStyle w:val="ListParagraph"/>
        <w:numPr>
          <w:ilvl w:val="0"/>
          <w:numId w:val="25"/>
        </w:numPr>
        <w:tabs>
          <w:tab w:val="left" w:pos="534"/>
        </w:tabs>
        <w:spacing w:before="134" w:line="249" w:lineRule="auto"/>
        <w:ind w:left="533" w:right="275"/>
        <w:rPr>
          <w:sz w:val="20"/>
        </w:rPr>
      </w:pPr>
      <w:r>
        <w:rPr>
          <w:sz w:val="20"/>
        </w:rPr>
        <w:t>Infrastructure</w:t>
      </w:r>
      <w:r>
        <w:rPr>
          <w:spacing w:val="-8"/>
          <w:sz w:val="20"/>
        </w:rPr>
        <w:t xml:space="preserve"> </w:t>
      </w:r>
      <w:r>
        <w:rPr>
          <w:sz w:val="20"/>
        </w:rPr>
        <w:t>NSW’s</w:t>
      </w:r>
      <w:r>
        <w:rPr>
          <w:spacing w:val="-8"/>
          <w:sz w:val="20"/>
        </w:rPr>
        <w:t xml:space="preserve"> </w:t>
      </w:r>
      <w:r>
        <w:rPr>
          <w:sz w:val="20"/>
        </w:rPr>
        <w:t>next</w:t>
      </w:r>
      <w:r>
        <w:rPr>
          <w:spacing w:val="-8"/>
          <w:sz w:val="20"/>
        </w:rPr>
        <w:t xml:space="preserve"> </w:t>
      </w:r>
      <w:r>
        <w:rPr>
          <w:sz w:val="20"/>
        </w:rPr>
        <w:t>steps</w:t>
      </w:r>
      <w:r>
        <w:rPr>
          <w:spacing w:val="-8"/>
          <w:sz w:val="20"/>
        </w:rPr>
        <w:t xml:space="preserve"> </w:t>
      </w:r>
      <w:r>
        <w:rPr>
          <w:sz w:val="20"/>
        </w:rPr>
        <w:t>include</w:t>
      </w:r>
      <w:r>
        <w:rPr>
          <w:spacing w:val="-8"/>
          <w:sz w:val="20"/>
        </w:rPr>
        <w:t xml:space="preserve"> </w:t>
      </w:r>
      <w:r>
        <w:rPr>
          <w:sz w:val="20"/>
        </w:rPr>
        <w:t>the preparation</w:t>
      </w:r>
      <w:r>
        <w:rPr>
          <w:spacing w:val="-13"/>
          <w:sz w:val="20"/>
        </w:rPr>
        <w:t xml:space="preserve"> </w:t>
      </w:r>
      <w:r>
        <w:rPr>
          <w:sz w:val="20"/>
        </w:rPr>
        <w:t>of</w:t>
      </w:r>
      <w:r>
        <w:rPr>
          <w:spacing w:val="-13"/>
          <w:sz w:val="20"/>
        </w:rPr>
        <w:t xml:space="preserve"> </w:t>
      </w:r>
      <w:r>
        <w:rPr>
          <w:sz w:val="20"/>
        </w:rPr>
        <w:t>a</w:t>
      </w:r>
      <w:r>
        <w:rPr>
          <w:spacing w:val="-13"/>
          <w:sz w:val="20"/>
        </w:rPr>
        <w:t xml:space="preserve"> </w:t>
      </w:r>
      <w:r>
        <w:rPr>
          <w:sz w:val="20"/>
        </w:rPr>
        <w:t>detailed</w:t>
      </w:r>
      <w:r>
        <w:rPr>
          <w:spacing w:val="-13"/>
          <w:sz w:val="20"/>
        </w:rPr>
        <w:t xml:space="preserve"> </w:t>
      </w:r>
      <w:r>
        <w:rPr>
          <w:sz w:val="20"/>
        </w:rPr>
        <w:t>five</w:t>
      </w:r>
      <w:r>
        <w:rPr>
          <w:spacing w:val="-13"/>
          <w:sz w:val="20"/>
        </w:rPr>
        <w:t xml:space="preserve"> </w:t>
      </w:r>
      <w:r>
        <w:rPr>
          <w:sz w:val="20"/>
        </w:rPr>
        <w:t>year</w:t>
      </w:r>
      <w:r>
        <w:rPr>
          <w:spacing w:val="-13"/>
          <w:sz w:val="20"/>
        </w:rPr>
        <w:t xml:space="preserve"> </w:t>
      </w:r>
      <w:r>
        <w:rPr>
          <w:sz w:val="20"/>
        </w:rPr>
        <w:t>plan</w:t>
      </w:r>
      <w:r>
        <w:rPr>
          <w:spacing w:val="-13"/>
          <w:sz w:val="20"/>
        </w:rPr>
        <w:t xml:space="preserve"> </w:t>
      </w:r>
      <w:r>
        <w:rPr>
          <w:sz w:val="20"/>
        </w:rPr>
        <w:t>for infrastructure</w:t>
      </w:r>
      <w:r>
        <w:rPr>
          <w:spacing w:val="-14"/>
          <w:sz w:val="20"/>
        </w:rPr>
        <w:t xml:space="preserve"> </w:t>
      </w:r>
      <w:r>
        <w:rPr>
          <w:sz w:val="20"/>
        </w:rPr>
        <w:t>priorities</w:t>
      </w:r>
      <w:r>
        <w:rPr>
          <w:spacing w:val="-14"/>
          <w:sz w:val="20"/>
        </w:rPr>
        <w:t xml:space="preserve"> </w:t>
      </w:r>
      <w:r>
        <w:rPr>
          <w:sz w:val="20"/>
        </w:rPr>
        <w:t>and</w:t>
      </w:r>
      <w:r>
        <w:rPr>
          <w:spacing w:val="-14"/>
          <w:sz w:val="20"/>
        </w:rPr>
        <w:t xml:space="preserve"> </w:t>
      </w:r>
      <w:r>
        <w:rPr>
          <w:sz w:val="20"/>
        </w:rPr>
        <w:t>implementation</w:t>
      </w:r>
      <w:r>
        <w:rPr>
          <w:spacing w:val="-14"/>
          <w:sz w:val="20"/>
        </w:rPr>
        <w:t xml:space="preserve"> </w:t>
      </w:r>
      <w:r>
        <w:rPr>
          <w:sz w:val="20"/>
        </w:rPr>
        <w:t>of</w:t>
      </w:r>
      <w:r>
        <w:rPr>
          <w:spacing w:val="-14"/>
          <w:sz w:val="20"/>
        </w:rPr>
        <w:t xml:space="preserve"> </w:t>
      </w:r>
      <w:r>
        <w:rPr>
          <w:sz w:val="20"/>
        </w:rPr>
        <w:t>a project</w:t>
      </w:r>
      <w:r>
        <w:rPr>
          <w:spacing w:val="-14"/>
          <w:sz w:val="20"/>
        </w:rPr>
        <w:t xml:space="preserve"> </w:t>
      </w:r>
      <w:r>
        <w:rPr>
          <w:sz w:val="20"/>
        </w:rPr>
        <w:t>assurance</w:t>
      </w:r>
      <w:r>
        <w:rPr>
          <w:spacing w:val="-14"/>
          <w:sz w:val="20"/>
        </w:rPr>
        <w:t xml:space="preserve"> </w:t>
      </w:r>
      <w:r>
        <w:rPr>
          <w:sz w:val="20"/>
        </w:rPr>
        <w:t>framework</w:t>
      </w:r>
      <w:r>
        <w:rPr>
          <w:spacing w:val="-14"/>
          <w:sz w:val="20"/>
        </w:rPr>
        <w:t xml:space="preserve"> </w:t>
      </w:r>
      <w:r>
        <w:rPr>
          <w:sz w:val="20"/>
        </w:rPr>
        <w:t>to</w:t>
      </w:r>
      <w:r>
        <w:rPr>
          <w:spacing w:val="-14"/>
          <w:sz w:val="20"/>
        </w:rPr>
        <w:t xml:space="preserve"> </w:t>
      </w:r>
      <w:r>
        <w:rPr>
          <w:sz w:val="20"/>
        </w:rPr>
        <w:t>improve</w:t>
      </w:r>
      <w:r>
        <w:rPr>
          <w:spacing w:val="-14"/>
          <w:sz w:val="20"/>
        </w:rPr>
        <w:t xml:space="preserve"> </w:t>
      </w:r>
      <w:r>
        <w:rPr>
          <w:sz w:val="20"/>
        </w:rPr>
        <w:t xml:space="preserve">capital </w:t>
      </w:r>
      <w:r>
        <w:rPr>
          <w:w w:val="95"/>
          <w:sz w:val="20"/>
        </w:rPr>
        <w:t>management</w:t>
      </w:r>
      <w:r>
        <w:rPr>
          <w:spacing w:val="-3"/>
          <w:w w:val="95"/>
          <w:sz w:val="20"/>
        </w:rPr>
        <w:t xml:space="preserve"> </w:t>
      </w:r>
      <w:r>
        <w:rPr>
          <w:w w:val="95"/>
          <w:sz w:val="20"/>
        </w:rPr>
        <w:t>and</w:t>
      </w:r>
      <w:r>
        <w:rPr>
          <w:spacing w:val="-3"/>
          <w:w w:val="95"/>
          <w:sz w:val="20"/>
        </w:rPr>
        <w:t xml:space="preserve"> </w:t>
      </w:r>
      <w:r>
        <w:rPr>
          <w:w w:val="95"/>
          <w:sz w:val="20"/>
        </w:rPr>
        <w:t>the</w:t>
      </w:r>
      <w:r>
        <w:rPr>
          <w:spacing w:val="-3"/>
          <w:w w:val="95"/>
          <w:sz w:val="20"/>
        </w:rPr>
        <w:t xml:space="preserve"> </w:t>
      </w:r>
      <w:r>
        <w:rPr>
          <w:w w:val="95"/>
          <w:sz w:val="20"/>
        </w:rPr>
        <w:t>delivery</w:t>
      </w:r>
      <w:r>
        <w:rPr>
          <w:spacing w:val="-3"/>
          <w:w w:val="95"/>
          <w:sz w:val="20"/>
        </w:rPr>
        <w:t xml:space="preserve"> </w:t>
      </w:r>
      <w:r>
        <w:rPr>
          <w:w w:val="95"/>
          <w:sz w:val="20"/>
        </w:rPr>
        <w:t>of</w:t>
      </w:r>
      <w:r>
        <w:rPr>
          <w:spacing w:val="-3"/>
          <w:w w:val="95"/>
          <w:sz w:val="20"/>
        </w:rPr>
        <w:t xml:space="preserve"> </w:t>
      </w:r>
      <w:r>
        <w:rPr>
          <w:w w:val="95"/>
          <w:sz w:val="20"/>
        </w:rPr>
        <w:t>project</w:t>
      </w:r>
      <w:r>
        <w:rPr>
          <w:spacing w:val="-3"/>
          <w:w w:val="95"/>
          <w:sz w:val="20"/>
        </w:rPr>
        <w:t xml:space="preserve"> </w:t>
      </w:r>
      <w:r>
        <w:rPr>
          <w:w w:val="95"/>
          <w:sz w:val="20"/>
        </w:rPr>
        <w:t>benefits.</w:t>
      </w:r>
    </w:p>
    <w:p w:rsidR="002C1123" w:rsidRDefault="00F22F94">
      <w:pPr>
        <w:pStyle w:val="Heading5"/>
        <w:numPr>
          <w:ilvl w:val="1"/>
          <w:numId w:val="24"/>
        </w:numPr>
        <w:tabs>
          <w:tab w:val="left" w:pos="982"/>
        </w:tabs>
        <w:spacing w:before="210"/>
        <w:jc w:val="left"/>
      </w:pPr>
      <w:r>
        <w:rPr>
          <w:b w:val="0"/>
        </w:rPr>
        <w:br w:type="column"/>
      </w:r>
      <w:r>
        <w:rPr>
          <w:color w:val="00AEEF"/>
          <w:spacing w:val="-2"/>
        </w:rPr>
        <w:t>Funding</w:t>
      </w:r>
    </w:p>
    <w:p w:rsidR="002C1123" w:rsidRDefault="00F22F94">
      <w:pPr>
        <w:pStyle w:val="BodyText"/>
        <w:spacing w:before="135" w:line="249" w:lineRule="auto"/>
        <w:ind w:left="381" w:right="767"/>
      </w:pPr>
      <w:r>
        <w:t>The</w:t>
      </w:r>
      <w:r>
        <w:rPr>
          <w:spacing w:val="-8"/>
        </w:rPr>
        <w:t xml:space="preserve"> </w:t>
      </w:r>
      <w:r>
        <w:t>recommended</w:t>
      </w:r>
      <w:r>
        <w:rPr>
          <w:spacing w:val="-8"/>
        </w:rPr>
        <w:t xml:space="preserve"> </w:t>
      </w:r>
      <w:r>
        <w:t>actions</w:t>
      </w:r>
      <w:r>
        <w:rPr>
          <w:spacing w:val="-8"/>
        </w:rPr>
        <w:t xml:space="preserve"> </w:t>
      </w:r>
      <w:r>
        <w:t>set</w:t>
      </w:r>
      <w:r>
        <w:rPr>
          <w:spacing w:val="-8"/>
        </w:rPr>
        <w:t xml:space="preserve"> </w:t>
      </w:r>
      <w:r>
        <w:t>out</w:t>
      </w:r>
      <w:r>
        <w:rPr>
          <w:spacing w:val="-8"/>
        </w:rPr>
        <w:t xml:space="preserve"> </w:t>
      </w:r>
      <w:r>
        <w:t>in</w:t>
      </w:r>
      <w:r>
        <w:rPr>
          <w:spacing w:val="-8"/>
        </w:rPr>
        <w:t xml:space="preserve"> </w:t>
      </w:r>
      <w:r>
        <w:t>the</w:t>
      </w:r>
      <w:r>
        <w:rPr>
          <w:spacing w:val="-8"/>
        </w:rPr>
        <w:t xml:space="preserve"> </w:t>
      </w:r>
      <w:r>
        <w:t>Strategy (summarised</w:t>
      </w:r>
      <w:r>
        <w:rPr>
          <w:spacing w:val="-14"/>
        </w:rPr>
        <w:t xml:space="preserve"> </w:t>
      </w:r>
      <w:r>
        <w:t>in</w:t>
      </w:r>
      <w:r>
        <w:rPr>
          <w:spacing w:val="-14"/>
        </w:rPr>
        <w:t xml:space="preserve"> </w:t>
      </w:r>
      <w:r>
        <w:t>Section</w:t>
      </w:r>
      <w:r>
        <w:rPr>
          <w:spacing w:val="-14"/>
        </w:rPr>
        <w:t xml:space="preserve"> </w:t>
      </w:r>
      <w:r>
        <w:t>15)</w:t>
      </w:r>
      <w:r>
        <w:rPr>
          <w:spacing w:val="-14"/>
        </w:rPr>
        <w:t xml:space="preserve"> </w:t>
      </w:r>
      <w:r>
        <w:t>have</w:t>
      </w:r>
      <w:r>
        <w:rPr>
          <w:spacing w:val="-14"/>
        </w:rPr>
        <w:t xml:space="preserve"> </w:t>
      </w:r>
      <w:r>
        <w:t>been</w:t>
      </w:r>
      <w:r>
        <w:rPr>
          <w:spacing w:val="-14"/>
        </w:rPr>
        <w:t xml:space="preserve"> </w:t>
      </w:r>
      <w:r>
        <w:t>designed</w:t>
      </w:r>
      <w:r>
        <w:rPr>
          <w:spacing w:val="-14"/>
        </w:rPr>
        <w:t xml:space="preserve"> </w:t>
      </w:r>
      <w:r>
        <w:t>to</w:t>
      </w:r>
      <w:r>
        <w:rPr>
          <w:spacing w:val="-14"/>
        </w:rPr>
        <w:t xml:space="preserve"> </w:t>
      </w:r>
      <w:r>
        <w:t xml:space="preserve">be </w:t>
      </w:r>
      <w:r>
        <w:rPr>
          <w:w w:val="95"/>
        </w:rPr>
        <w:t>realistic and affordable. This Section considers in more detail</w:t>
      </w:r>
      <w:r>
        <w:rPr>
          <w:spacing w:val="-3"/>
          <w:w w:val="95"/>
        </w:rPr>
        <w:t xml:space="preserve"> </w:t>
      </w:r>
      <w:r>
        <w:rPr>
          <w:w w:val="95"/>
        </w:rPr>
        <w:t>the</w:t>
      </w:r>
      <w:r>
        <w:rPr>
          <w:spacing w:val="-3"/>
          <w:w w:val="95"/>
        </w:rPr>
        <w:t xml:space="preserve"> </w:t>
      </w:r>
      <w:r>
        <w:rPr>
          <w:w w:val="95"/>
        </w:rPr>
        <w:t>constraints</w:t>
      </w:r>
      <w:r>
        <w:rPr>
          <w:spacing w:val="-3"/>
          <w:w w:val="95"/>
        </w:rPr>
        <w:t xml:space="preserve"> </w:t>
      </w:r>
      <w:r>
        <w:rPr>
          <w:w w:val="95"/>
        </w:rPr>
        <w:t>and</w:t>
      </w:r>
      <w:r>
        <w:rPr>
          <w:spacing w:val="-3"/>
          <w:w w:val="95"/>
        </w:rPr>
        <w:t xml:space="preserve"> </w:t>
      </w:r>
      <w:r>
        <w:rPr>
          <w:w w:val="95"/>
        </w:rPr>
        <w:t>opportunities</w:t>
      </w:r>
      <w:r>
        <w:rPr>
          <w:spacing w:val="-3"/>
          <w:w w:val="95"/>
        </w:rPr>
        <w:t xml:space="preserve"> </w:t>
      </w:r>
      <w:r>
        <w:rPr>
          <w:w w:val="95"/>
        </w:rPr>
        <w:t>for</w:t>
      </w:r>
      <w:r>
        <w:rPr>
          <w:spacing w:val="-3"/>
          <w:w w:val="95"/>
        </w:rPr>
        <w:t xml:space="preserve"> </w:t>
      </w:r>
      <w:r>
        <w:rPr>
          <w:w w:val="95"/>
        </w:rPr>
        <w:t>delivering</w:t>
      </w:r>
      <w:r>
        <w:rPr>
          <w:spacing w:val="-3"/>
          <w:w w:val="95"/>
        </w:rPr>
        <w:t xml:space="preserve"> </w:t>
      </w:r>
      <w:r>
        <w:rPr>
          <w:w w:val="95"/>
        </w:rPr>
        <w:t xml:space="preserve">the </w:t>
      </w:r>
      <w:r>
        <w:t>Strategy’s</w:t>
      </w:r>
      <w:r>
        <w:rPr>
          <w:spacing w:val="-11"/>
        </w:rPr>
        <w:t xml:space="preserve"> </w:t>
      </w:r>
      <w:r>
        <w:t>priorities.</w:t>
      </w:r>
    </w:p>
    <w:p w:rsidR="002C1123" w:rsidRDefault="00F22F94">
      <w:pPr>
        <w:pStyle w:val="Heading6"/>
        <w:numPr>
          <w:ilvl w:val="2"/>
          <w:numId w:val="24"/>
        </w:numPr>
        <w:tabs>
          <w:tab w:val="left" w:pos="977"/>
        </w:tabs>
        <w:spacing w:before="146"/>
        <w:ind w:hanging="596"/>
        <w:jc w:val="left"/>
      </w:pPr>
      <w:r>
        <w:rPr>
          <w:color w:val="00AEEF"/>
          <w:w w:val="95"/>
        </w:rPr>
        <w:t>Funding</w:t>
      </w:r>
      <w:r>
        <w:rPr>
          <w:color w:val="00AEEF"/>
          <w:spacing w:val="-5"/>
          <w:w w:val="95"/>
        </w:rPr>
        <w:t xml:space="preserve"> </w:t>
      </w:r>
      <w:r>
        <w:rPr>
          <w:color w:val="00AEEF"/>
          <w:w w:val="95"/>
        </w:rPr>
        <w:t>versus</w:t>
      </w:r>
      <w:r>
        <w:rPr>
          <w:color w:val="00AEEF"/>
          <w:spacing w:val="-4"/>
          <w:w w:val="95"/>
        </w:rPr>
        <w:t xml:space="preserve"> </w:t>
      </w:r>
      <w:r>
        <w:rPr>
          <w:color w:val="00AEEF"/>
          <w:spacing w:val="-2"/>
          <w:w w:val="95"/>
        </w:rPr>
        <w:t>Financing</w:t>
      </w:r>
    </w:p>
    <w:p w:rsidR="002C1123" w:rsidRDefault="00F22F94">
      <w:pPr>
        <w:pStyle w:val="BodyText"/>
        <w:spacing w:before="95" w:line="249" w:lineRule="auto"/>
        <w:ind w:left="381" w:right="767"/>
      </w:pPr>
      <w:r>
        <w:rPr>
          <w:w w:val="95"/>
        </w:rPr>
        <w:t>The</w:t>
      </w:r>
      <w:r>
        <w:rPr>
          <w:spacing w:val="-3"/>
          <w:w w:val="95"/>
        </w:rPr>
        <w:t xml:space="preserve"> </w:t>
      </w:r>
      <w:r>
        <w:rPr>
          <w:w w:val="95"/>
        </w:rPr>
        <w:t>distinction</w:t>
      </w:r>
      <w:r>
        <w:rPr>
          <w:spacing w:val="-3"/>
          <w:w w:val="95"/>
        </w:rPr>
        <w:t xml:space="preserve"> </w:t>
      </w:r>
      <w:r>
        <w:rPr>
          <w:w w:val="95"/>
        </w:rPr>
        <w:t>between</w:t>
      </w:r>
      <w:r>
        <w:rPr>
          <w:spacing w:val="-3"/>
          <w:w w:val="95"/>
        </w:rPr>
        <w:t xml:space="preserve"> </w:t>
      </w:r>
      <w:r>
        <w:rPr>
          <w:w w:val="95"/>
        </w:rPr>
        <w:t>funding</w:t>
      </w:r>
      <w:r>
        <w:rPr>
          <w:spacing w:val="-3"/>
          <w:w w:val="95"/>
        </w:rPr>
        <w:t xml:space="preserve"> </w:t>
      </w:r>
      <w:r>
        <w:rPr>
          <w:w w:val="95"/>
        </w:rPr>
        <w:t>and</w:t>
      </w:r>
      <w:r>
        <w:rPr>
          <w:spacing w:val="-3"/>
          <w:w w:val="95"/>
        </w:rPr>
        <w:t xml:space="preserve"> </w:t>
      </w:r>
      <w:r>
        <w:rPr>
          <w:w w:val="95"/>
        </w:rPr>
        <w:t>financing</w:t>
      </w:r>
      <w:r>
        <w:rPr>
          <w:spacing w:val="-3"/>
          <w:w w:val="95"/>
        </w:rPr>
        <w:t xml:space="preserve"> </w:t>
      </w:r>
      <w:r>
        <w:rPr>
          <w:w w:val="95"/>
        </w:rPr>
        <w:t>is</w:t>
      </w:r>
      <w:r>
        <w:rPr>
          <w:spacing w:val="-3"/>
          <w:w w:val="95"/>
        </w:rPr>
        <w:t xml:space="preserve"> </w:t>
      </w:r>
      <w:r>
        <w:rPr>
          <w:w w:val="95"/>
        </w:rPr>
        <w:t xml:space="preserve">an </w:t>
      </w:r>
      <w:r>
        <w:rPr>
          <w:w w:val="90"/>
        </w:rPr>
        <w:t>important one that is sometimes lost in public commentary:</w:t>
      </w:r>
    </w:p>
    <w:p w:rsidR="002C1123" w:rsidRDefault="00F22F94">
      <w:pPr>
        <w:pStyle w:val="ListParagraph"/>
        <w:numPr>
          <w:ilvl w:val="3"/>
          <w:numId w:val="24"/>
        </w:numPr>
        <w:tabs>
          <w:tab w:val="left" w:pos="665"/>
        </w:tabs>
        <w:spacing w:before="130" w:line="249" w:lineRule="auto"/>
        <w:ind w:right="975"/>
        <w:rPr>
          <w:sz w:val="11"/>
        </w:rPr>
      </w:pPr>
      <w:r>
        <w:rPr>
          <w:w w:val="95"/>
          <w:sz w:val="20"/>
        </w:rPr>
        <w:t>all</w:t>
      </w:r>
      <w:r>
        <w:rPr>
          <w:spacing w:val="-9"/>
          <w:w w:val="95"/>
          <w:sz w:val="20"/>
        </w:rPr>
        <w:t xml:space="preserve"> </w:t>
      </w:r>
      <w:r>
        <w:rPr>
          <w:w w:val="95"/>
          <w:sz w:val="20"/>
        </w:rPr>
        <w:t>new</w:t>
      </w:r>
      <w:r>
        <w:rPr>
          <w:spacing w:val="-9"/>
          <w:w w:val="95"/>
          <w:sz w:val="20"/>
        </w:rPr>
        <w:t xml:space="preserve"> </w:t>
      </w:r>
      <w:r>
        <w:rPr>
          <w:w w:val="95"/>
          <w:sz w:val="20"/>
        </w:rPr>
        <w:t>public</w:t>
      </w:r>
      <w:r>
        <w:rPr>
          <w:spacing w:val="-9"/>
          <w:w w:val="95"/>
          <w:sz w:val="20"/>
        </w:rPr>
        <w:t xml:space="preserve"> </w:t>
      </w:r>
      <w:r>
        <w:rPr>
          <w:w w:val="95"/>
          <w:sz w:val="20"/>
        </w:rPr>
        <w:t>infrastructure</w:t>
      </w:r>
      <w:r>
        <w:rPr>
          <w:spacing w:val="-9"/>
          <w:w w:val="95"/>
          <w:sz w:val="20"/>
        </w:rPr>
        <w:t xml:space="preserve"> </w:t>
      </w:r>
      <w:r>
        <w:rPr>
          <w:w w:val="95"/>
          <w:sz w:val="20"/>
        </w:rPr>
        <w:t>is</w:t>
      </w:r>
      <w:r>
        <w:rPr>
          <w:spacing w:val="-9"/>
          <w:w w:val="95"/>
          <w:sz w:val="20"/>
        </w:rPr>
        <w:t xml:space="preserve"> </w:t>
      </w:r>
      <w:r>
        <w:rPr>
          <w:w w:val="95"/>
          <w:sz w:val="20"/>
        </w:rPr>
        <w:t>ultimately</w:t>
      </w:r>
      <w:r>
        <w:rPr>
          <w:spacing w:val="-9"/>
          <w:w w:val="95"/>
          <w:sz w:val="20"/>
        </w:rPr>
        <w:t xml:space="preserve"> </w:t>
      </w:r>
      <w:r>
        <w:rPr>
          <w:w w:val="95"/>
          <w:sz w:val="20"/>
        </w:rPr>
        <w:t>funded</w:t>
      </w:r>
      <w:r>
        <w:rPr>
          <w:spacing w:val="-9"/>
          <w:w w:val="95"/>
          <w:sz w:val="20"/>
        </w:rPr>
        <w:t xml:space="preserve"> </w:t>
      </w:r>
      <w:r>
        <w:rPr>
          <w:w w:val="95"/>
          <w:sz w:val="20"/>
        </w:rPr>
        <w:t xml:space="preserve">via </w:t>
      </w:r>
      <w:r>
        <w:rPr>
          <w:sz w:val="20"/>
        </w:rPr>
        <w:t>taxation or user charges</w:t>
      </w:r>
      <w:r>
        <w:rPr>
          <w:position w:val="7"/>
          <w:sz w:val="11"/>
        </w:rPr>
        <w:t>1</w:t>
      </w:r>
    </w:p>
    <w:p w:rsidR="002C1123" w:rsidRDefault="00F22F94">
      <w:pPr>
        <w:pStyle w:val="ListParagraph"/>
        <w:numPr>
          <w:ilvl w:val="3"/>
          <w:numId w:val="24"/>
        </w:numPr>
        <w:tabs>
          <w:tab w:val="left" w:pos="665"/>
        </w:tabs>
        <w:spacing w:before="131" w:line="249" w:lineRule="auto"/>
        <w:ind w:right="1145"/>
        <w:rPr>
          <w:sz w:val="20"/>
        </w:rPr>
      </w:pPr>
      <w:r>
        <w:rPr>
          <w:sz w:val="20"/>
        </w:rPr>
        <w:t>project</w:t>
      </w:r>
      <w:r>
        <w:rPr>
          <w:spacing w:val="-12"/>
          <w:sz w:val="20"/>
        </w:rPr>
        <w:t xml:space="preserve"> </w:t>
      </w:r>
      <w:r>
        <w:rPr>
          <w:sz w:val="20"/>
        </w:rPr>
        <w:t>financing</w:t>
      </w:r>
      <w:r>
        <w:rPr>
          <w:spacing w:val="-12"/>
          <w:sz w:val="20"/>
        </w:rPr>
        <w:t xml:space="preserve"> </w:t>
      </w:r>
      <w:r>
        <w:rPr>
          <w:sz w:val="20"/>
        </w:rPr>
        <w:t>(public</w:t>
      </w:r>
      <w:r>
        <w:rPr>
          <w:spacing w:val="-12"/>
          <w:sz w:val="20"/>
        </w:rPr>
        <w:t xml:space="preserve"> </w:t>
      </w:r>
      <w:r>
        <w:rPr>
          <w:sz w:val="20"/>
        </w:rPr>
        <w:t>or</w:t>
      </w:r>
      <w:r>
        <w:rPr>
          <w:spacing w:val="-12"/>
          <w:sz w:val="20"/>
        </w:rPr>
        <w:t xml:space="preserve"> </w:t>
      </w:r>
      <w:r>
        <w:rPr>
          <w:sz w:val="20"/>
        </w:rPr>
        <w:t>private)</w:t>
      </w:r>
      <w:r>
        <w:rPr>
          <w:spacing w:val="-12"/>
          <w:sz w:val="20"/>
        </w:rPr>
        <w:t xml:space="preserve"> </w:t>
      </w:r>
      <w:r>
        <w:rPr>
          <w:sz w:val="20"/>
        </w:rPr>
        <w:t>is</w:t>
      </w:r>
      <w:r>
        <w:rPr>
          <w:spacing w:val="-12"/>
          <w:sz w:val="20"/>
        </w:rPr>
        <w:t xml:space="preserve"> </w:t>
      </w:r>
      <w:r>
        <w:rPr>
          <w:sz w:val="20"/>
        </w:rPr>
        <w:t>used</w:t>
      </w:r>
      <w:r>
        <w:rPr>
          <w:spacing w:val="-12"/>
          <w:sz w:val="20"/>
        </w:rPr>
        <w:t xml:space="preserve"> </w:t>
      </w:r>
      <w:r>
        <w:rPr>
          <w:sz w:val="20"/>
        </w:rPr>
        <w:t xml:space="preserve">to </w:t>
      </w:r>
      <w:r>
        <w:rPr>
          <w:w w:val="95"/>
          <w:sz w:val="20"/>
        </w:rPr>
        <w:t>meet</w:t>
      </w:r>
      <w:r>
        <w:rPr>
          <w:spacing w:val="-4"/>
          <w:w w:val="95"/>
          <w:sz w:val="20"/>
        </w:rPr>
        <w:t xml:space="preserve"> </w:t>
      </w:r>
      <w:r>
        <w:rPr>
          <w:w w:val="95"/>
          <w:sz w:val="20"/>
        </w:rPr>
        <w:t>the</w:t>
      </w:r>
      <w:r>
        <w:rPr>
          <w:spacing w:val="-4"/>
          <w:w w:val="95"/>
          <w:sz w:val="20"/>
        </w:rPr>
        <w:t xml:space="preserve"> </w:t>
      </w:r>
      <w:r>
        <w:rPr>
          <w:w w:val="95"/>
          <w:sz w:val="20"/>
        </w:rPr>
        <w:t>immediate</w:t>
      </w:r>
      <w:r>
        <w:rPr>
          <w:spacing w:val="-4"/>
          <w:w w:val="95"/>
          <w:sz w:val="20"/>
        </w:rPr>
        <w:t xml:space="preserve"> </w:t>
      </w:r>
      <w:r>
        <w:rPr>
          <w:w w:val="95"/>
          <w:sz w:val="20"/>
        </w:rPr>
        <w:t>cash</w:t>
      </w:r>
      <w:r>
        <w:rPr>
          <w:spacing w:val="-4"/>
          <w:w w:val="95"/>
          <w:sz w:val="20"/>
        </w:rPr>
        <w:t xml:space="preserve"> </w:t>
      </w:r>
      <w:r>
        <w:rPr>
          <w:w w:val="95"/>
          <w:sz w:val="20"/>
        </w:rPr>
        <w:t>needs</w:t>
      </w:r>
      <w:r>
        <w:rPr>
          <w:spacing w:val="-4"/>
          <w:w w:val="95"/>
          <w:sz w:val="20"/>
        </w:rPr>
        <w:t xml:space="preserve"> </w:t>
      </w:r>
      <w:r>
        <w:rPr>
          <w:w w:val="95"/>
          <w:sz w:val="20"/>
        </w:rPr>
        <w:t>of</w:t>
      </w:r>
      <w:r>
        <w:rPr>
          <w:spacing w:val="-4"/>
          <w:w w:val="95"/>
          <w:sz w:val="20"/>
        </w:rPr>
        <w:t xml:space="preserve"> </w:t>
      </w:r>
      <w:r>
        <w:rPr>
          <w:w w:val="95"/>
          <w:sz w:val="20"/>
        </w:rPr>
        <w:t>infrastructure</w:t>
      </w:r>
    </w:p>
    <w:p w:rsidR="002C1123" w:rsidRDefault="00F22F94">
      <w:pPr>
        <w:pStyle w:val="BodyText"/>
        <w:spacing w:before="1" w:line="249" w:lineRule="auto"/>
        <w:ind w:left="664" w:right="767"/>
        <w:rPr>
          <w:sz w:val="11"/>
        </w:rPr>
      </w:pPr>
      <w:r>
        <w:rPr>
          <w:w w:val="95"/>
        </w:rPr>
        <w:t>construction;</w:t>
      </w:r>
      <w:r>
        <w:rPr>
          <w:spacing w:val="-2"/>
          <w:w w:val="95"/>
        </w:rPr>
        <w:t xml:space="preserve"> </w:t>
      </w:r>
      <w:r>
        <w:rPr>
          <w:w w:val="95"/>
        </w:rPr>
        <w:t>this</w:t>
      </w:r>
      <w:r>
        <w:rPr>
          <w:spacing w:val="-2"/>
          <w:w w:val="95"/>
        </w:rPr>
        <w:t xml:space="preserve"> </w:t>
      </w:r>
      <w:r>
        <w:rPr>
          <w:w w:val="95"/>
        </w:rPr>
        <w:t>only</w:t>
      </w:r>
      <w:r>
        <w:rPr>
          <w:spacing w:val="-2"/>
          <w:w w:val="95"/>
        </w:rPr>
        <w:t xml:space="preserve"> </w:t>
      </w:r>
      <w:r>
        <w:rPr>
          <w:w w:val="95"/>
        </w:rPr>
        <w:t>changes</w:t>
      </w:r>
      <w:r>
        <w:rPr>
          <w:spacing w:val="-2"/>
          <w:w w:val="95"/>
        </w:rPr>
        <w:t xml:space="preserve"> </w:t>
      </w:r>
      <w:r>
        <w:rPr>
          <w:w w:val="95"/>
        </w:rPr>
        <w:t>the</w:t>
      </w:r>
      <w:r>
        <w:rPr>
          <w:spacing w:val="-2"/>
          <w:w w:val="95"/>
        </w:rPr>
        <w:t xml:space="preserve"> </w:t>
      </w:r>
      <w:r>
        <w:rPr>
          <w:w w:val="95"/>
        </w:rPr>
        <w:t>timing</w:t>
      </w:r>
      <w:r>
        <w:rPr>
          <w:spacing w:val="-2"/>
          <w:w w:val="95"/>
        </w:rPr>
        <w:t xml:space="preserve"> </w:t>
      </w:r>
      <w:r>
        <w:rPr>
          <w:w w:val="95"/>
        </w:rPr>
        <w:t>of</w:t>
      </w:r>
      <w:r>
        <w:rPr>
          <w:spacing w:val="-2"/>
          <w:w w:val="95"/>
        </w:rPr>
        <w:t xml:space="preserve"> </w:t>
      </w:r>
      <w:r>
        <w:rPr>
          <w:w w:val="95"/>
        </w:rPr>
        <w:t xml:space="preserve">required </w:t>
      </w:r>
      <w:r>
        <w:t>funding</w:t>
      </w:r>
      <w:r>
        <w:rPr>
          <w:spacing w:val="-11"/>
        </w:rPr>
        <w:t xml:space="preserve"> </w:t>
      </w:r>
      <w:r>
        <w:t>payments</w:t>
      </w:r>
      <w:r>
        <w:rPr>
          <w:position w:val="7"/>
          <w:sz w:val="11"/>
        </w:rPr>
        <w:t>2</w:t>
      </w:r>
    </w:p>
    <w:p w:rsidR="002C1123" w:rsidRDefault="00F22F94">
      <w:pPr>
        <w:pStyle w:val="BodyText"/>
        <w:spacing w:before="144" w:line="249" w:lineRule="auto"/>
        <w:ind w:left="381" w:right="887"/>
      </w:pPr>
      <w:r>
        <w:rPr>
          <w:w w:val="95"/>
        </w:rPr>
        <w:t xml:space="preserve">The Government’s capacity to fund new infrastructure is limited to the difference between revenue (primarily </w:t>
      </w:r>
      <w:r>
        <w:t>taxation)</w:t>
      </w:r>
      <w:r>
        <w:rPr>
          <w:spacing w:val="-14"/>
        </w:rPr>
        <w:t xml:space="preserve"> </w:t>
      </w:r>
      <w:r>
        <w:t>and</w:t>
      </w:r>
      <w:r>
        <w:rPr>
          <w:spacing w:val="-14"/>
        </w:rPr>
        <w:t xml:space="preserve"> </w:t>
      </w:r>
      <w:r>
        <w:t>recurrent</w:t>
      </w:r>
      <w:r>
        <w:rPr>
          <w:spacing w:val="-14"/>
        </w:rPr>
        <w:t xml:space="preserve"> </w:t>
      </w:r>
      <w:r>
        <w:t>expenditure</w:t>
      </w:r>
      <w:r>
        <w:rPr>
          <w:spacing w:val="-14"/>
        </w:rPr>
        <w:t xml:space="preserve"> </w:t>
      </w:r>
      <w:r>
        <w:t>on</w:t>
      </w:r>
      <w:r>
        <w:rPr>
          <w:spacing w:val="-14"/>
        </w:rPr>
        <w:t xml:space="preserve"> </w:t>
      </w:r>
      <w:r>
        <w:t>Government services</w:t>
      </w:r>
      <w:r>
        <w:rPr>
          <w:spacing w:val="-13"/>
        </w:rPr>
        <w:t xml:space="preserve"> </w:t>
      </w:r>
      <w:r>
        <w:t>and</w:t>
      </w:r>
      <w:r>
        <w:rPr>
          <w:spacing w:val="-13"/>
        </w:rPr>
        <w:t xml:space="preserve"> </w:t>
      </w:r>
      <w:r>
        <w:t>policies.</w:t>
      </w:r>
      <w:r>
        <w:rPr>
          <w:spacing w:val="-13"/>
        </w:rPr>
        <w:t xml:space="preserve"> </w:t>
      </w:r>
      <w:r>
        <w:t>This</w:t>
      </w:r>
      <w:r>
        <w:rPr>
          <w:spacing w:val="-13"/>
        </w:rPr>
        <w:t xml:space="preserve"> </w:t>
      </w:r>
      <w:r>
        <w:t>means</w:t>
      </w:r>
      <w:r>
        <w:rPr>
          <w:spacing w:val="-13"/>
        </w:rPr>
        <w:t xml:space="preserve"> </w:t>
      </w:r>
      <w:r>
        <w:t>that</w:t>
      </w:r>
      <w:r>
        <w:rPr>
          <w:spacing w:val="-13"/>
        </w:rPr>
        <w:t xml:space="preserve"> </w:t>
      </w:r>
      <w:r>
        <w:t xml:space="preserve">Government- </w:t>
      </w:r>
      <w:r>
        <w:rPr>
          <w:w w:val="95"/>
        </w:rPr>
        <w:t>funded infrastructure investment can only sustainably grow</w:t>
      </w:r>
      <w:r>
        <w:rPr>
          <w:spacing w:val="-6"/>
          <w:w w:val="95"/>
        </w:rPr>
        <w:t xml:space="preserve"> </w:t>
      </w:r>
      <w:r>
        <w:rPr>
          <w:w w:val="95"/>
        </w:rPr>
        <w:t>in</w:t>
      </w:r>
      <w:r>
        <w:rPr>
          <w:spacing w:val="-6"/>
          <w:w w:val="95"/>
        </w:rPr>
        <w:t xml:space="preserve"> </w:t>
      </w:r>
      <w:r>
        <w:rPr>
          <w:w w:val="95"/>
        </w:rPr>
        <w:t>line</w:t>
      </w:r>
      <w:r>
        <w:rPr>
          <w:spacing w:val="-6"/>
          <w:w w:val="95"/>
        </w:rPr>
        <w:t xml:space="preserve"> </w:t>
      </w:r>
      <w:r>
        <w:rPr>
          <w:w w:val="95"/>
        </w:rPr>
        <w:t>with</w:t>
      </w:r>
      <w:r>
        <w:rPr>
          <w:spacing w:val="-6"/>
          <w:w w:val="95"/>
        </w:rPr>
        <w:t xml:space="preserve"> </w:t>
      </w:r>
      <w:r>
        <w:rPr>
          <w:w w:val="95"/>
        </w:rPr>
        <w:t>the</w:t>
      </w:r>
      <w:r>
        <w:rPr>
          <w:spacing w:val="-6"/>
          <w:w w:val="95"/>
        </w:rPr>
        <w:t xml:space="preserve"> </w:t>
      </w:r>
      <w:r>
        <w:rPr>
          <w:w w:val="95"/>
        </w:rPr>
        <w:t>economy</w:t>
      </w:r>
      <w:r>
        <w:rPr>
          <w:spacing w:val="-6"/>
          <w:w w:val="95"/>
        </w:rPr>
        <w:t xml:space="preserve"> </w:t>
      </w:r>
      <w:r>
        <w:rPr>
          <w:w w:val="95"/>
        </w:rPr>
        <w:t>and</w:t>
      </w:r>
      <w:r>
        <w:rPr>
          <w:spacing w:val="-6"/>
          <w:w w:val="95"/>
        </w:rPr>
        <w:t xml:space="preserve"> </w:t>
      </w:r>
      <w:r>
        <w:rPr>
          <w:w w:val="95"/>
        </w:rPr>
        <w:t>tax</w:t>
      </w:r>
      <w:r>
        <w:rPr>
          <w:spacing w:val="-6"/>
          <w:w w:val="95"/>
        </w:rPr>
        <w:t xml:space="preserve"> </w:t>
      </w:r>
      <w:r>
        <w:rPr>
          <w:w w:val="95"/>
        </w:rPr>
        <w:t>revenues</w:t>
      </w:r>
      <w:r>
        <w:rPr>
          <w:spacing w:val="-6"/>
          <w:w w:val="95"/>
        </w:rPr>
        <w:t xml:space="preserve"> </w:t>
      </w:r>
      <w:r>
        <w:rPr>
          <w:w w:val="95"/>
        </w:rPr>
        <w:t>(about</w:t>
      </w:r>
    </w:p>
    <w:p w:rsidR="002C1123" w:rsidRDefault="00F22F94">
      <w:pPr>
        <w:pStyle w:val="BodyText"/>
        <w:spacing w:before="4"/>
        <w:ind w:left="381"/>
      </w:pPr>
      <w:r>
        <w:rPr>
          <w:w w:val="95"/>
        </w:rPr>
        <w:t>5</w:t>
      </w:r>
      <w:r>
        <w:rPr>
          <w:spacing w:val="-5"/>
          <w:w w:val="95"/>
        </w:rPr>
        <w:t xml:space="preserve"> </w:t>
      </w:r>
      <w:r>
        <w:rPr>
          <w:w w:val="95"/>
        </w:rPr>
        <w:t>percent</w:t>
      </w:r>
      <w:r>
        <w:rPr>
          <w:spacing w:val="-5"/>
          <w:w w:val="95"/>
        </w:rPr>
        <w:t xml:space="preserve"> </w:t>
      </w:r>
      <w:r>
        <w:rPr>
          <w:w w:val="95"/>
        </w:rPr>
        <w:t>nominal</w:t>
      </w:r>
      <w:r>
        <w:rPr>
          <w:spacing w:val="-5"/>
          <w:w w:val="95"/>
        </w:rPr>
        <w:t xml:space="preserve"> </w:t>
      </w:r>
      <w:r>
        <w:rPr>
          <w:w w:val="95"/>
        </w:rPr>
        <w:t>or</w:t>
      </w:r>
      <w:r>
        <w:rPr>
          <w:spacing w:val="-5"/>
          <w:w w:val="95"/>
        </w:rPr>
        <w:t xml:space="preserve"> </w:t>
      </w:r>
      <w:r>
        <w:rPr>
          <w:w w:val="95"/>
        </w:rPr>
        <w:t>2</w:t>
      </w:r>
      <w:r>
        <w:rPr>
          <w:spacing w:val="-5"/>
          <w:w w:val="95"/>
        </w:rPr>
        <w:t xml:space="preserve"> </w:t>
      </w:r>
      <w:r>
        <w:rPr>
          <w:w w:val="95"/>
        </w:rPr>
        <w:t>percent</w:t>
      </w:r>
      <w:r>
        <w:rPr>
          <w:spacing w:val="-5"/>
          <w:w w:val="95"/>
        </w:rPr>
        <w:t xml:space="preserve"> </w:t>
      </w:r>
      <w:r>
        <w:rPr>
          <w:w w:val="95"/>
        </w:rPr>
        <w:t>per</w:t>
      </w:r>
      <w:r>
        <w:rPr>
          <w:spacing w:val="-5"/>
          <w:w w:val="95"/>
        </w:rPr>
        <w:t xml:space="preserve"> </w:t>
      </w:r>
      <w:r>
        <w:rPr>
          <w:w w:val="95"/>
        </w:rPr>
        <w:t>annum</w:t>
      </w:r>
      <w:r>
        <w:rPr>
          <w:spacing w:val="-5"/>
          <w:w w:val="95"/>
        </w:rPr>
        <w:t xml:space="preserve"> </w:t>
      </w:r>
      <w:r>
        <w:rPr>
          <w:w w:val="95"/>
        </w:rPr>
        <w:t>in</w:t>
      </w:r>
      <w:r>
        <w:rPr>
          <w:spacing w:val="-5"/>
          <w:w w:val="95"/>
        </w:rPr>
        <w:t xml:space="preserve"> </w:t>
      </w:r>
      <w:r>
        <w:rPr>
          <w:w w:val="95"/>
        </w:rPr>
        <w:t>real</w:t>
      </w:r>
      <w:r>
        <w:rPr>
          <w:spacing w:val="-5"/>
          <w:w w:val="95"/>
        </w:rPr>
        <w:t xml:space="preserve"> </w:t>
      </w:r>
      <w:r>
        <w:rPr>
          <w:spacing w:val="-2"/>
          <w:w w:val="95"/>
        </w:rPr>
        <w:t>terms)</w:t>
      </w:r>
      <w:r>
        <w:rPr>
          <w:spacing w:val="-2"/>
          <w:w w:val="95"/>
          <w:position w:val="7"/>
          <w:sz w:val="11"/>
        </w:rPr>
        <w:t>3</w:t>
      </w:r>
      <w:r>
        <w:rPr>
          <w:spacing w:val="-2"/>
          <w:w w:val="95"/>
        </w:rPr>
        <w:t>.</w:t>
      </w:r>
    </w:p>
    <w:p w:rsidR="002C1123" w:rsidRDefault="002C1123">
      <w:pPr>
        <w:pStyle w:val="BodyText"/>
      </w:pPr>
    </w:p>
    <w:p w:rsidR="002C1123" w:rsidRDefault="002060EF">
      <w:pPr>
        <w:pStyle w:val="BodyText"/>
        <w:spacing w:before="6"/>
        <w:rPr>
          <w:sz w:val="17"/>
        </w:rPr>
      </w:pPr>
      <w:r>
        <w:pict>
          <v:shape id="docshape2872" o:spid="_x0000_s1154" style="position:absolute;margin-left:552.3pt;margin-top:11.3pt;width:1in;height:.1pt;z-index:-251321344;mso-wrap-distance-left:0;mso-wrap-distance-right:0;mso-position-horizontal-relative:page" coordorigin="11046,226" coordsize="1440,0" path="m11046,226r1440,e" filled="f" strokecolor="#9c9c9d" strokeweight=".5pt">
            <v:path arrowok="t"/>
            <w10:wrap type="topAndBottom" anchorx="page"/>
          </v:shape>
        </w:pict>
      </w:r>
    </w:p>
    <w:p w:rsidR="002C1123" w:rsidRDefault="00F22F94">
      <w:pPr>
        <w:pStyle w:val="ListParagraph"/>
        <w:numPr>
          <w:ilvl w:val="0"/>
          <w:numId w:val="1"/>
        </w:numPr>
        <w:tabs>
          <w:tab w:val="left" w:pos="580"/>
        </w:tabs>
        <w:spacing w:before="183" w:line="161" w:lineRule="exact"/>
        <w:jc w:val="left"/>
        <w:rPr>
          <w:sz w:val="14"/>
        </w:rPr>
      </w:pPr>
      <w:r>
        <w:rPr>
          <w:w w:val="95"/>
          <w:sz w:val="14"/>
        </w:rPr>
        <w:t>Value</w:t>
      </w:r>
      <w:r>
        <w:rPr>
          <w:spacing w:val="-2"/>
          <w:w w:val="95"/>
          <w:sz w:val="14"/>
        </w:rPr>
        <w:t xml:space="preserve"> </w:t>
      </w:r>
      <w:r>
        <w:rPr>
          <w:w w:val="95"/>
          <w:sz w:val="14"/>
        </w:rPr>
        <w:t>capture</w:t>
      </w:r>
      <w:r>
        <w:rPr>
          <w:spacing w:val="-1"/>
          <w:w w:val="95"/>
          <w:sz w:val="14"/>
        </w:rPr>
        <w:t xml:space="preserve"> </w:t>
      </w:r>
      <w:r>
        <w:rPr>
          <w:w w:val="95"/>
          <w:sz w:val="14"/>
        </w:rPr>
        <w:t>mechanisms</w:t>
      </w:r>
      <w:r>
        <w:rPr>
          <w:spacing w:val="-1"/>
          <w:w w:val="95"/>
          <w:sz w:val="14"/>
        </w:rPr>
        <w:t xml:space="preserve"> </w:t>
      </w:r>
      <w:r>
        <w:rPr>
          <w:w w:val="95"/>
          <w:sz w:val="14"/>
        </w:rPr>
        <w:t>such</w:t>
      </w:r>
      <w:r>
        <w:rPr>
          <w:spacing w:val="-1"/>
          <w:w w:val="95"/>
          <w:sz w:val="14"/>
        </w:rPr>
        <w:t xml:space="preserve"> </w:t>
      </w:r>
      <w:r>
        <w:rPr>
          <w:w w:val="95"/>
          <w:sz w:val="14"/>
        </w:rPr>
        <w:t>as</w:t>
      </w:r>
      <w:r>
        <w:rPr>
          <w:spacing w:val="-1"/>
          <w:w w:val="95"/>
          <w:sz w:val="14"/>
        </w:rPr>
        <w:t xml:space="preserve"> </w:t>
      </w:r>
      <w:r>
        <w:rPr>
          <w:w w:val="95"/>
          <w:sz w:val="14"/>
        </w:rPr>
        <w:t>special</w:t>
      </w:r>
      <w:r>
        <w:rPr>
          <w:spacing w:val="-1"/>
          <w:w w:val="95"/>
          <w:sz w:val="14"/>
        </w:rPr>
        <w:t xml:space="preserve"> </w:t>
      </w:r>
      <w:r>
        <w:rPr>
          <w:w w:val="95"/>
          <w:sz w:val="14"/>
        </w:rPr>
        <w:t>levies</w:t>
      </w:r>
      <w:r>
        <w:rPr>
          <w:spacing w:val="-1"/>
          <w:w w:val="95"/>
          <w:sz w:val="14"/>
        </w:rPr>
        <w:t xml:space="preserve"> </w:t>
      </w:r>
      <w:r>
        <w:rPr>
          <w:w w:val="95"/>
          <w:sz w:val="14"/>
        </w:rPr>
        <w:t>are</w:t>
      </w:r>
      <w:r>
        <w:rPr>
          <w:spacing w:val="-1"/>
          <w:w w:val="95"/>
          <w:sz w:val="14"/>
        </w:rPr>
        <w:t xml:space="preserve"> </w:t>
      </w:r>
      <w:r>
        <w:rPr>
          <w:w w:val="95"/>
          <w:sz w:val="14"/>
        </w:rPr>
        <w:t>also</w:t>
      </w:r>
      <w:r>
        <w:rPr>
          <w:spacing w:val="-2"/>
          <w:w w:val="95"/>
          <w:sz w:val="14"/>
        </w:rPr>
        <w:t xml:space="preserve"> </w:t>
      </w:r>
      <w:r>
        <w:rPr>
          <w:w w:val="95"/>
          <w:sz w:val="14"/>
        </w:rPr>
        <w:t>a</w:t>
      </w:r>
      <w:r>
        <w:rPr>
          <w:spacing w:val="-1"/>
          <w:w w:val="95"/>
          <w:sz w:val="14"/>
        </w:rPr>
        <w:t xml:space="preserve"> </w:t>
      </w:r>
      <w:r>
        <w:rPr>
          <w:w w:val="95"/>
          <w:sz w:val="14"/>
        </w:rPr>
        <w:t>form</w:t>
      </w:r>
      <w:r>
        <w:rPr>
          <w:spacing w:val="-1"/>
          <w:w w:val="95"/>
          <w:sz w:val="14"/>
        </w:rPr>
        <w:t xml:space="preserve"> </w:t>
      </w:r>
      <w:r>
        <w:rPr>
          <w:w w:val="95"/>
          <w:sz w:val="14"/>
        </w:rPr>
        <w:t>of</w:t>
      </w:r>
      <w:r>
        <w:rPr>
          <w:spacing w:val="-1"/>
          <w:w w:val="95"/>
          <w:sz w:val="14"/>
        </w:rPr>
        <w:t xml:space="preserve"> </w:t>
      </w:r>
      <w:r>
        <w:rPr>
          <w:spacing w:val="-2"/>
          <w:w w:val="95"/>
          <w:sz w:val="14"/>
        </w:rPr>
        <w:t>taxation.</w:t>
      </w:r>
    </w:p>
    <w:p w:rsidR="002C1123" w:rsidRDefault="00F22F94">
      <w:pPr>
        <w:pStyle w:val="ListParagraph"/>
        <w:numPr>
          <w:ilvl w:val="0"/>
          <w:numId w:val="1"/>
        </w:numPr>
        <w:tabs>
          <w:tab w:val="left" w:pos="580"/>
        </w:tabs>
        <w:ind w:right="814"/>
        <w:jc w:val="left"/>
        <w:rPr>
          <w:sz w:val="14"/>
        </w:rPr>
      </w:pPr>
      <w:r>
        <w:rPr>
          <w:w w:val="95"/>
          <w:sz w:val="14"/>
        </w:rPr>
        <w:t>Efficient management of the State’s balance sheet operational savings and</w:t>
      </w:r>
      <w:r>
        <w:rPr>
          <w:spacing w:val="40"/>
          <w:sz w:val="14"/>
        </w:rPr>
        <w:t xml:space="preserve"> </w:t>
      </w:r>
      <w:r>
        <w:rPr>
          <w:sz w:val="14"/>
        </w:rPr>
        <w:t>recycling</w:t>
      </w:r>
      <w:r>
        <w:rPr>
          <w:spacing w:val="-2"/>
          <w:sz w:val="14"/>
        </w:rPr>
        <w:t xml:space="preserve"> </w:t>
      </w:r>
      <w:r>
        <w:rPr>
          <w:sz w:val="14"/>
        </w:rPr>
        <w:t>of</w:t>
      </w:r>
      <w:r>
        <w:rPr>
          <w:spacing w:val="-2"/>
          <w:sz w:val="14"/>
        </w:rPr>
        <w:t xml:space="preserve"> </w:t>
      </w:r>
      <w:r>
        <w:rPr>
          <w:sz w:val="14"/>
        </w:rPr>
        <w:t>assets</w:t>
      </w:r>
      <w:r>
        <w:rPr>
          <w:spacing w:val="-2"/>
          <w:sz w:val="14"/>
        </w:rPr>
        <w:t xml:space="preserve"> </w:t>
      </w:r>
      <w:r>
        <w:rPr>
          <w:sz w:val="14"/>
        </w:rPr>
        <w:t>provides</w:t>
      </w:r>
      <w:r>
        <w:rPr>
          <w:spacing w:val="-2"/>
          <w:sz w:val="14"/>
        </w:rPr>
        <w:t xml:space="preserve"> </w:t>
      </w:r>
      <w:r>
        <w:rPr>
          <w:sz w:val="14"/>
        </w:rPr>
        <w:t>additional</w:t>
      </w:r>
      <w:r>
        <w:rPr>
          <w:spacing w:val="-2"/>
          <w:sz w:val="14"/>
        </w:rPr>
        <w:t xml:space="preserve"> </w:t>
      </w:r>
      <w:r>
        <w:rPr>
          <w:sz w:val="14"/>
        </w:rPr>
        <w:t>Government</w:t>
      </w:r>
      <w:r>
        <w:rPr>
          <w:spacing w:val="-2"/>
          <w:sz w:val="14"/>
        </w:rPr>
        <w:t xml:space="preserve"> </w:t>
      </w:r>
      <w:r>
        <w:rPr>
          <w:sz w:val="14"/>
        </w:rPr>
        <w:t>financing</w:t>
      </w:r>
      <w:r>
        <w:rPr>
          <w:spacing w:val="-2"/>
          <w:sz w:val="14"/>
        </w:rPr>
        <w:t xml:space="preserve"> </w:t>
      </w:r>
      <w:r>
        <w:rPr>
          <w:sz w:val="14"/>
        </w:rPr>
        <w:t>capacity.</w:t>
      </w:r>
    </w:p>
    <w:p w:rsidR="002C1123" w:rsidRDefault="00F22F94">
      <w:pPr>
        <w:pStyle w:val="ListParagraph"/>
        <w:numPr>
          <w:ilvl w:val="0"/>
          <w:numId w:val="1"/>
        </w:numPr>
        <w:tabs>
          <w:tab w:val="left" w:pos="580"/>
        </w:tabs>
        <w:spacing w:line="225" w:lineRule="auto"/>
        <w:ind w:right="821"/>
        <w:jc w:val="left"/>
        <w:rPr>
          <w:rFonts w:ascii="Tahoma"/>
          <w:sz w:val="14"/>
        </w:rPr>
      </w:pPr>
      <w:r>
        <w:rPr>
          <w:rFonts w:ascii="Tahoma"/>
          <w:w w:val="95"/>
          <w:sz w:val="14"/>
        </w:rPr>
        <w:t>5.0%</w:t>
      </w:r>
      <w:r>
        <w:rPr>
          <w:rFonts w:ascii="Tahoma"/>
          <w:spacing w:val="-7"/>
          <w:w w:val="95"/>
          <w:sz w:val="14"/>
        </w:rPr>
        <w:t xml:space="preserve"> </w:t>
      </w:r>
      <w:r>
        <w:rPr>
          <w:rFonts w:ascii="Tahoma"/>
          <w:w w:val="95"/>
          <w:sz w:val="14"/>
        </w:rPr>
        <w:t>p.a.</w:t>
      </w:r>
      <w:r>
        <w:rPr>
          <w:rFonts w:ascii="Tahoma"/>
          <w:spacing w:val="-7"/>
          <w:w w:val="95"/>
          <w:sz w:val="14"/>
        </w:rPr>
        <w:t xml:space="preserve"> </w:t>
      </w:r>
      <w:r>
        <w:rPr>
          <w:rFonts w:ascii="Tahoma"/>
          <w:w w:val="95"/>
          <w:sz w:val="14"/>
        </w:rPr>
        <w:t>nominal</w:t>
      </w:r>
      <w:r>
        <w:rPr>
          <w:rFonts w:ascii="Tahoma"/>
          <w:spacing w:val="-7"/>
          <w:w w:val="95"/>
          <w:sz w:val="14"/>
        </w:rPr>
        <w:t xml:space="preserve"> </w:t>
      </w:r>
      <w:r>
        <w:rPr>
          <w:rFonts w:ascii="Tahoma"/>
          <w:w w:val="95"/>
          <w:sz w:val="14"/>
        </w:rPr>
        <w:t>capital</w:t>
      </w:r>
      <w:r>
        <w:rPr>
          <w:rFonts w:ascii="Tahoma"/>
          <w:spacing w:val="-7"/>
          <w:w w:val="95"/>
          <w:sz w:val="14"/>
        </w:rPr>
        <w:t xml:space="preserve"> </w:t>
      </w:r>
      <w:r>
        <w:rPr>
          <w:rFonts w:ascii="Tahoma"/>
          <w:w w:val="95"/>
          <w:sz w:val="14"/>
        </w:rPr>
        <w:t>expenditure</w:t>
      </w:r>
      <w:r>
        <w:rPr>
          <w:rFonts w:ascii="Tahoma"/>
          <w:spacing w:val="-7"/>
          <w:w w:val="95"/>
          <w:sz w:val="14"/>
        </w:rPr>
        <w:t xml:space="preserve"> </w:t>
      </w:r>
      <w:r>
        <w:rPr>
          <w:rFonts w:ascii="Tahoma"/>
          <w:w w:val="95"/>
          <w:sz w:val="14"/>
        </w:rPr>
        <w:t>growth</w:t>
      </w:r>
      <w:r>
        <w:rPr>
          <w:rFonts w:ascii="Tahoma"/>
          <w:spacing w:val="-7"/>
          <w:w w:val="95"/>
          <w:sz w:val="14"/>
        </w:rPr>
        <w:t xml:space="preserve"> </w:t>
      </w:r>
      <w:r>
        <w:rPr>
          <w:rFonts w:ascii="Tahoma"/>
          <w:w w:val="95"/>
          <w:sz w:val="14"/>
        </w:rPr>
        <w:t>is</w:t>
      </w:r>
      <w:r>
        <w:rPr>
          <w:rFonts w:ascii="Tahoma"/>
          <w:spacing w:val="-7"/>
          <w:w w:val="95"/>
          <w:sz w:val="14"/>
        </w:rPr>
        <w:t xml:space="preserve"> </w:t>
      </w:r>
      <w:r>
        <w:rPr>
          <w:rFonts w:ascii="Tahoma"/>
          <w:w w:val="95"/>
          <w:sz w:val="14"/>
        </w:rPr>
        <w:t>based</w:t>
      </w:r>
      <w:r>
        <w:rPr>
          <w:rFonts w:ascii="Tahoma"/>
          <w:spacing w:val="-7"/>
          <w:w w:val="95"/>
          <w:sz w:val="14"/>
        </w:rPr>
        <w:t xml:space="preserve"> </w:t>
      </w:r>
      <w:r>
        <w:rPr>
          <w:rFonts w:ascii="Tahoma"/>
          <w:w w:val="95"/>
          <w:sz w:val="14"/>
        </w:rPr>
        <w:t>on</w:t>
      </w:r>
      <w:r>
        <w:rPr>
          <w:rFonts w:ascii="Tahoma"/>
          <w:spacing w:val="-7"/>
          <w:w w:val="95"/>
          <w:sz w:val="14"/>
        </w:rPr>
        <w:t xml:space="preserve"> </w:t>
      </w:r>
      <w:r>
        <w:rPr>
          <w:rFonts w:ascii="Tahoma"/>
          <w:w w:val="95"/>
          <w:sz w:val="14"/>
        </w:rPr>
        <w:t>revenue</w:t>
      </w:r>
      <w:r>
        <w:rPr>
          <w:rFonts w:ascii="Tahoma"/>
          <w:spacing w:val="-7"/>
          <w:w w:val="95"/>
          <w:sz w:val="14"/>
        </w:rPr>
        <w:t xml:space="preserve"> </w:t>
      </w:r>
      <w:r>
        <w:rPr>
          <w:rFonts w:ascii="Tahoma"/>
          <w:w w:val="95"/>
          <w:sz w:val="14"/>
        </w:rPr>
        <w:t>growth</w:t>
      </w:r>
      <w:r>
        <w:rPr>
          <w:rFonts w:ascii="Tahoma"/>
          <w:spacing w:val="-7"/>
          <w:w w:val="95"/>
          <w:sz w:val="14"/>
        </w:rPr>
        <w:t xml:space="preserve"> </w:t>
      </w:r>
      <w:r>
        <w:rPr>
          <w:rFonts w:ascii="Tahoma"/>
          <w:w w:val="95"/>
          <w:sz w:val="14"/>
        </w:rPr>
        <w:t>of 5.0%</w:t>
      </w:r>
      <w:r>
        <w:rPr>
          <w:rFonts w:ascii="Tahoma"/>
          <w:spacing w:val="-4"/>
          <w:w w:val="95"/>
          <w:sz w:val="14"/>
        </w:rPr>
        <w:t xml:space="preserve"> </w:t>
      </w:r>
      <w:r>
        <w:rPr>
          <w:rFonts w:ascii="Tahoma"/>
          <w:w w:val="95"/>
          <w:sz w:val="14"/>
        </w:rPr>
        <w:t>assuming</w:t>
      </w:r>
      <w:r>
        <w:rPr>
          <w:rFonts w:ascii="Tahoma"/>
          <w:spacing w:val="-4"/>
          <w:w w:val="95"/>
          <w:sz w:val="14"/>
        </w:rPr>
        <w:t xml:space="preserve"> </w:t>
      </w:r>
      <w:r>
        <w:rPr>
          <w:rFonts w:ascii="Tahoma"/>
          <w:w w:val="95"/>
          <w:sz w:val="14"/>
        </w:rPr>
        <w:t>CPI</w:t>
      </w:r>
      <w:r>
        <w:rPr>
          <w:rFonts w:ascii="Tahoma"/>
          <w:spacing w:val="-4"/>
          <w:w w:val="95"/>
          <w:sz w:val="14"/>
        </w:rPr>
        <w:t xml:space="preserve"> </w:t>
      </w:r>
      <w:r>
        <w:rPr>
          <w:rFonts w:ascii="Tahoma"/>
          <w:w w:val="95"/>
          <w:sz w:val="14"/>
        </w:rPr>
        <w:t>is</w:t>
      </w:r>
      <w:r>
        <w:rPr>
          <w:rFonts w:ascii="Tahoma"/>
          <w:spacing w:val="-4"/>
          <w:w w:val="95"/>
          <w:sz w:val="14"/>
        </w:rPr>
        <w:t xml:space="preserve"> </w:t>
      </w:r>
      <w:r>
        <w:rPr>
          <w:rFonts w:ascii="Tahoma"/>
          <w:w w:val="95"/>
          <w:sz w:val="14"/>
        </w:rPr>
        <w:t>2.5%,</w:t>
      </w:r>
      <w:r>
        <w:rPr>
          <w:rFonts w:ascii="Tahoma"/>
          <w:spacing w:val="-4"/>
          <w:w w:val="95"/>
          <w:sz w:val="14"/>
        </w:rPr>
        <w:t xml:space="preserve"> </w:t>
      </w:r>
      <w:r>
        <w:rPr>
          <w:rFonts w:ascii="Tahoma"/>
          <w:w w:val="95"/>
          <w:sz w:val="14"/>
        </w:rPr>
        <w:t>NSW</w:t>
      </w:r>
      <w:r>
        <w:rPr>
          <w:rFonts w:ascii="Tahoma"/>
          <w:spacing w:val="-4"/>
          <w:w w:val="95"/>
          <w:sz w:val="14"/>
        </w:rPr>
        <w:t xml:space="preserve"> </w:t>
      </w:r>
      <w:r>
        <w:rPr>
          <w:rFonts w:ascii="Tahoma"/>
          <w:w w:val="95"/>
          <w:sz w:val="14"/>
        </w:rPr>
        <w:t>population</w:t>
      </w:r>
      <w:r>
        <w:rPr>
          <w:rFonts w:ascii="Tahoma"/>
          <w:spacing w:val="-4"/>
          <w:w w:val="95"/>
          <w:sz w:val="14"/>
        </w:rPr>
        <w:t xml:space="preserve"> </w:t>
      </w:r>
      <w:r>
        <w:rPr>
          <w:rFonts w:ascii="Tahoma"/>
          <w:w w:val="95"/>
          <w:sz w:val="14"/>
        </w:rPr>
        <w:t>growth</w:t>
      </w:r>
      <w:r>
        <w:rPr>
          <w:rFonts w:ascii="Tahoma"/>
          <w:spacing w:val="-4"/>
          <w:w w:val="95"/>
          <w:sz w:val="14"/>
        </w:rPr>
        <w:t xml:space="preserve"> </w:t>
      </w:r>
      <w:r>
        <w:rPr>
          <w:rFonts w:ascii="Tahoma"/>
          <w:w w:val="95"/>
          <w:sz w:val="14"/>
        </w:rPr>
        <w:t>continues</w:t>
      </w:r>
      <w:r>
        <w:rPr>
          <w:rFonts w:ascii="Tahoma"/>
          <w:spacing w:val="-4"/>
          <w:w w:val="95"/>
          <w:sz w:val="14"/>
        </w:rPr>
        <w:t xml:space="preserve"> </w:t>
      </w:r>
      <w:r>
        <w:rPr>
          <w:rFonts w:ascii="Tahoma"/>
          <w:w w:val="95"/>
          <w:sz w:val="14"/>
        </w:rPr>
        <w:t>at</w:t>
      </w:r>
      <w:r>
        <w:rPr>
          <w:rFonts w:ascii="Tahoma"/>
          <w:spacing w:val="-4"/>
          <w:w w:val="95"/>
          <w:sz w:val="14"/>
        </w:rPr>
        <w:t xml:space="preserve"> </w:t>
      </w:r>
      <w:r>
        <w:rPr>
          <w:rFonts w:ascii="Tahoma"/>
          <w:w w:val="95"/>
          <w:sz w:val="14"/>
        </w:rPr>
        <w:t>about</w:t>
      </w:r>
      <w:r>
        <w:rPr>
          <w:rFonts w:ascii="Tahoma"/>
          <w:spacing w:val="-4"/>
          <w:w w:val="95"/>
          <w:sz w:val="14"/>
        </w:rPr>
        <w:t xml:space="preserve"> </w:t>
      </w:r>
      <w:r>
        <w:rPr>
          <w:rFonts w:ascii="Tahoma"/>
          <w:w w:val="95"/>
          <w:sz w:val="14"/>
        </w:rPr>
        <w:t>1%</w:t>
      </w:r>
    </w:p>
    <w:p w:rsidR="002C1123" w:rsidRDefault="00F22F94">
      <w:pPr>
        <w:spacing w:line="158" w:lineRule="exact"/>
        <w:ind w:left="580"/>
        <w:rPr>
          <w:rFonts w:ascii="Tahoma"/>
          <w:sz w:val="14"/>
        </w:rPr>
      </w:pPr>
      <w:r>
        <w:rPr>
          <w:rFonts w:ascii="Tahoma"/>
          <w:w w:val="95"/>
          <w:sz w:val="14"/>
        </w:rPr>
        <w:t>p.a.</w:t>
      </w:r>
      <w:r>
        <w:rPr>
          <w:rFonts w:ascii="Tahoma"/>
          <w:spacing w:val="-5"/>
          <w:w w:val="95"/>
          <w:sz w:val="14"/>
        </w:rPr>
        <w:t xml:space="preserve"> </w:t>
      </w:r>
      <w:r>
        <w:rPr>
          <w:rFonts w:ascii="Tahoma"/>
          <w:w w:val="95"/>
          <w:sz w:val="14"/>
        </w:rPr>
        <w:t>and</w:t>
      </w:r>
      <w:r>
        <w:rPr>
          <w:rFonts w:ascii="Tahoma"/>
          <w:spacing w:val="-5"/>
          <w:w w:val="95"/>
          <w:sz w:val="14"/>
        </w:rPr>
        <w:t xml:space="preserve"> </w:t>
      </w:r>
      <w:r>
        <w:rPr>
          <w:rFonts w:ascii="Tahoma"/>
          <w:w w:val="95"/>
          <w:sz w:val="14"/>
        </w:rPr>
        <w:t>productivity</w:t>
      </w:r>
      <w:r>
        <w:rPr>
          <w:rFonts w:ascii="Tahoma"/>
          <w:spacing w:val="-5"/>
          <w:w w:val="95"/>
          <w:sz w:val="14"/>
        </w:rPr>
        <w:t xml:space="preserve"> </w:t>
      </w:r>
      <w:r>
        <w:rPr>
          <w:rFonts w:ascii="Tahoma"/>
          <w:w w:val="95"/>
          <w:sz w:val="14"/>
        </w:rPr>
        <w:t>growth</w:t>
      </w:r>
      <w:r>
        <w:rPr>
          <w:rFonts w:ascii="Tahoma"/>
          <w:spacing w:val="-5"/>
          <w:w w:val="95"/>
          <w:sz w:val="14"/>
        </w:rPr>
        <w:t xml:space="preserve"> </w:t>
      </w:r>
      <w:r>
        <w:rPr>
          <w:rFonts w:ascii="Tahoma"/>
          <w:w w:val="95"/>
          <w:sz w:val="14"/>
        </w:rPr>
        <w:t>increases</w:t>
      </w:r>
      <w:r>
        <w:rPr>
          <w:rFonts w:ascii="Tahoma"/>
          <w:spacing w:val="-4"/>
          <w:w w:val="95"/>
          <w:sz w:val="14"/>
        </w:rPr>
        <w:t xml:space="preserve"> </w:t>
      </w:r>
      <w:r>
        <w:rPr>
          <w:rFonts w:ascii="Tahoma"/>
          <w:w w:val="95"/>
          <w:sz w:val="14"/>
        </w:rPr>
        <w:t>tax</w:t>
      </w:r>
      <w:r>
        <w:rPr>
          <w:rFonts w:ascii="Tahoma"/>
          <w:spacing w:val="-5"/>
          <w:w w:val="95"/>
          <w:sz w:val="14"/>
        </w:rPr>
        <w:t xml:space="preserve"> </w:t>
      </w:r>
      <w:r>
        <w:rPr>
          <w:rFonts w:ascii="Tahoma"/>
          <w:w w:val="95"/>
          <w:sz w:val="14"/>
        </w:rPr>
        <w:t>revenues</w:t>
      </w:r>
      <w:r>
        <w:rPr>
          <w:rFonts w:ascii="Tahoma"/>
          <w:spacing w:val="-5"/>
          <w:w w:val="95"/>
          <w:sz w:val="14"/>
        </w:rPr>
        <w:t xml:space="preserve"> </w:t>
      </w:r>
      <w:r>
        <w:rPr>
          <w:rFonts w:ascii="Tahoma"/>
          <w:w w:val="95"/>
          <w:sz w:val="14"/>
        </w:rPr>
        <w:t>per</w:t>
      </w:r>
      <w:r>
        <w:rPr>
          <w:rFonts w:ascii="Tahoma"/>
          <w:spacing w:val="-5"/>
          <w:w w:val="95"/>
          <w:sz w:val="14"/>
        </w:rPr>
        <w:t xml:space="preserve"> </w:t>
      </w:r>
      <w:r>
        <w:rPr>
          <w:rFonts w:ascii="Tahoma"/>
          <w:w w:val="95"/>
          <w:sz w:val="14"/>
        </w:rPr>
        <w:t>capita</w:t>
      </w:r>
      <w:r>
        <w:rPr>
          <w:rFonts w:ascii="Tahoma"/>
          <w:spacing w:val="-4"/>
          <w:w w:val="95"/>
          <w:sz w:val="14"/>
        </w:rPr>
        <w:t xml:space="preserve"> </w:t>
      </w:r>
      <w:r>
        <w:rPr>
          <w:rFonts w:ascii="Tahoma"/>
          <w:w w:val="95"/>
          <w:sz w:val="14"/>
        </w:rPr>
        <w:t>by</w:t>
      </w:r>
      <w:r>
        <w:rPr>
          <w:rFonts w:ascii="Tahoma"/>
          <w:spacing w:val="-5"/>
          <w:w w:val="95"/>
          <w:sz w:val="14"/>
        </w:rPr>
        <w:t xml:space="preserve"> </w:t>
      </w:r>
      <w:r>
        <w:rPr>
          <w:rFonts w:ascii="Tahoma"/>
          <w:w w:val="95"/>
          <w:sz w:val="14"/>
        </w:rPr>
        <w:t>about</w:t>
      </w:r>
      <w:r>
        <w:rPr>
          <w:rFonts w:ascii="Tahoma"/>
          <w:spacing w:val="-5"/>
          <w:w w:val="95"/>
          <w:sz w:val="14"/>
        </w:rPr>
        <w:t xml:space="preserve"> </w:t>
      </w:r>
      <w:r>
        <w:rPr>
          <w:rFonts w:ascii="Tahoma"/>
          <w:spacing w:val="-4"/>
          <w:w w:val="95"/>
          <w:sz w:val="14"/>
        </w:rPr>
        <w:t>1.5%</w:t>
      </w:r>
    </w:p>
    <w:p w:rsidR="002C1123" w:rsidRDefault="00F22F94">
      <w:pPr>
        <w:spacing w:line="232" w:lineRule="auto"/>
        <w:ind w:left="580" w:right="767"/>
        <w:rPr>
          <w:rFonts w:ascii="Tahoma"/>
          <w:sz w:val="14"/>
        </w:rPr>
      </w:pPr>
      <w:r>
        <w:rPr>
          <w:rFonts w:ascii="Tahoma"/>
          <w:w w:val="95"/>
          <w:sz w:val="14"/>
        </w:rPr>
        <w:t xml:space="preserve">p.a. 2.0% real growth in infrastructure spending assumes 3.0% construction </w:t>
      </w:r>
      <w:r>
        <w:rPr>
          <w:w w:val="90"/>
          <w:sz w:val="14"/>
        </w:rPr>
        <w:t>cost escalation. The 2011 NSW Financial Audit (Lambert Report), estimates a</w:t>
      </w:r>
      <w:r>
        <w:rPr>
          <w:spacing w:val="40"/>
          <w:sz w:val="14"/>
        </w:rPr>
        <w:t xml:space="preserve"> </w:t>
      </w:r>
      <w:r>
        <w:rPr>
          <w:rFonts w:ascii="Tahoma"/>
          <w:w w:val="95"/>
          <w:sz w:val="14"/>
        </w:rPr>
        <w:t>medium-long term trend revenue growth rate of 5.2% p.a.</w:t>
      </w:r>
    </w:p>
    <w:p w:rsidR="002C1123" w:rsidRDefault="002C1123">
      <w:pPr>
        <w:spacing w:line="232" w:lineRule="auto"/>
        <w:rPr>
          <w:rFonts w:ascii="Tahoma"/>
          <w:sz w:val="14"/>
        </w:rPr>
        <w:sectPr w:rsidR="002C1123">
          <w:type w:val="continuous"/>
          <w:pgSz w:w="16840" w:h="11910" w:orient="landscape"/>
          <w:pgMar w:top="560" w:right="280" w:bottom="280" w:left="500" w:header="0" w:footer="517" w:gutter="0"/>
          <w:cols w:num="3" w:space="720" w:equalWidth="0">
            <w:col w:w="5144" w:space="40"/>
            <w:col w:w="4942" w:space="39"/>
            <w:col w:w="5895"/>
          </w:cols>
        </w:sectPr>
      </w:pPr>
    </w:p>
    <w:p w:rsidR="002C1123" w:rsidRDefault="002C1123">
      <w:pPr>
        <w:pStyle w:val="BodyText"/>
        <w:rPr>
          <w:rFonts w:ascii="Tahoma"/>
        </w:rPr>
      </w:pPr>
    </w:p>
    <w:p w:rsidR="002C1123" w:rsidRDefault="002C1123">
      <w:pPr>
        <w:pStyle w:val="BodyText"/>
        <w:rPr>
          <w:rFonts w:ascii="Tahoma"/>
        </w:rPr>
      </w:pPr>
    </w:p>
    <w:p w:rsidR="002C1123" w:rsidRDefault="002C1123">
      <w:pPr>
        <w:pStyle w:val="BodyText"/>
        <w:rPr>
          <w:rFonts w:ascii="Tahoma"/>
        </w:rPr>
      </w:pPr>
    </w:p>
    <w:p w:rsidR="002C1123" w:rsidRDefault="002C1123">
      <w:pPr>
        <w:pStyle w:val="BodyText"/>
        <w:rPr>
          <w:rFonts w:ascii="Tahoma"/>
        </w:rPr>
      </w:pPr>
    </w:p>
    <w:p w:rsidR="002C1123" w:rsidRDefault="002C1123">
      <w:pPr>
        <w:pStyle w:val="BodyText"/>
        <w:rPr>
          <w:rFonts w:ascii="Tahoma"/>
        </w:rPr>
      </w:pPr>
    </w:p>
    <w:p w:rsidR="002C1123" w:rsidRDefault="002C1123">
      <w:pPr>
        <w:pStyle w:val="BodyText"/>
        <w:rPr>
          <w:rFonts w:ascii="Tahoma"/>
        </w:rPr>
      </w:pPr>
    </w:p>
    <w:p w:rsidR="002C1123" w:rsidRDefault="002C1123">
      <w:pPr>
        <w:pStyle w:val="BodyText"/>
        <w:rPr>
          <w:rFonts w:ascii="Tahoma"/>
        </w:rPr>
      </w:pPr>
    </w:p>
    <w:p w:rsidR="002C1123" w:rsidRDefault="002C1123">
      <w:pPr>
        <w:rPr>
          <w:rFonts w:ascii="Tahoma"/>
        </w:rPr>
        <w:sectPr w:rsidR="002C1123">
          <w:pgSz w:w="16840" w:h="11910" w:orient="landscape"/>
          <w:pgMar w:top="560" w:right="280" w:bottom="700" w:left="500" w:header="0" w:footer="517" w:gutter="0"/>
          <w:cols w:space="720"/>
        </w:sectPr>
      </w:pPr>
    </w:p>
    <w:p w:rsidR="002C1123" w:rsidRDefault="002C1123">
      <w:pPr>
        <w:pStyle w:val="BodyText"/>
        <w:spacing w:before="8"/>
        <w:rPr>
          <w:rFonts w:ascii="Tahoma"/>
        </w:rPr>
      </w:pPr>
    </w:p>
    <w:p w:rsidR="002C1123" w:rsidRDefault="00F22F94">
      <w:pPr>
        <w:pStyle w:val="BodyText"/>
        <w:spacing w:line="249" w:lineRule="auto"/>
        <w:ind w:left="492"/>
      </w:pPr>
      <w:bookmarkStart w:id="400" w:name="_bookmark284"/>
      <w:bookmarkEnd w:id="400"/>
      <w:r>
        <w:t>The</w:t>
      </w:r>
      <w:r>
        <w:rPr>
          <w:spacing w:val="-7"/>
        </w:rPr>
        <w:t xml:space="preserve"> </w:t>
      </w:r>
      <w:r>
        <w:t>Government’s</w:t>
      </w:r>
      <w:r>
        <w:rPr>
          <w:spacing w:val="-7"/>
        </w:rPr>
        <w:t xml:space="preserve"> </w:t>
      </w:r>
      <w:r>
        <w:t>capacity</w:t>
      </w:r>
      <w:r>
        <w:rPr>
          <w:spacing w:val="-7"/>
        </w:rPr>
        <w:t xml:space="preserve"> </w:t>
      </w:r>
      <w:r>
        <w:t>to</w:t>
      </w:r>
      <w:r>
        <w:rPr>
          <w:spacing w:val="-7"/>
        </w:rPr>
        <w:t xml:space="preserve"> </w:t>
      </w:r>
      <w:r>
        <w:t>finance</w:t>
      </w:r>
      <w:r>
        <w:rPr>
          <w:spacing w:val="-7"/>
        </w:rPr>
        <w:t xml:space="preserve"> </w:t>
      </w:r>
      <w:r>
        <w:t xml:space="preserve">major </w:t>
      </w:r>
      <w:r>
        <w:rPr>
          <w:spacing w:val="-2"/>
        </w:rPr>
        <w:t>infrastructure</w:t>
      </w:r>
      <w:r>
        <w:rPr>
          <w:spacing w:val="-8"/>
        </w:rPr>
        <w:t xml:space="preserve"> </w:t>
      </w:r>
      <w:r>
        <w:rPr>
          <w:spacing w:val="-2"/>
        </w:rPr>
        <w:t>(even</w:t>
      </w:r>
      <w:r>
        <w:rPr>
          <w:spacing w:val="-8"/>
        </w:rPr>
        <w:t xml:space="preserve"> </w:t>
      </w:r>
      <w:r>
        <w:rPr>
          <w:spacing w:val="-2"/>
        </w:rPr>
        <w:t>if</w:t>
      </w:r>
      <w:r>
        <w:rPr>
          <w:spacing w:val="-8"/>
        </w:rPr>
        <w:t xml:space="preserve"> </w:t>
      </w:r>
      <w:r>
        <w:rPr>
          <w:spacing w:val="-2"/>
        </w:rPr>
        <w:t>it</w:t>
      </w:r>
      <w:r>
        <w:rPr>
          <w:spacing w:val="-8"/>
        </w:rPr>
        <w:t xml:space="preserve"> </w:t>
      </w:r>
      <w:r>
        <w:rPr>
          <w:spacing w:val="-2"/>
        </w:rPr>
        <w:t>is</w:t>
      </w:r>
      <w:r>
        <w:rPr>
          <w:spacing w:val="-8"/>
        </w:rPr>
        <w:t xml:space="preserve"> </w:t>
      </w:r>
      <w:r>
        <w:rPr>
          <w:spacing w:val="-2"/>
        </w:rPr>
        <w:t>user</w:t>
      </w:r>
      <w:r>
        <w:rPr>
          <w:spacing w:val="-8"/>
        </w:rPr>
        <w:t xml:space="preserve"> </w:t>
      </w:r>
      <w:r>
        <w:rPr>
          <w:spacing w:val="-2"/>
        </w:rPr>
        <w:t>funded)</w:t>
      </w:r>
      <w:r>
        <w:rPr>
          <w:spacing w:val="-8"/>
        </w:rPr>
        <w:t xml:space="preserve"> </w:t>
      </w:r>
      <w:r>
        <w:rPr>
          <w:spacing w:val="-2"/>
        </w:rPr>
        <w:t>can</w:t>
      </w:r>
      <w:r>
        <w:rPr>
          <w:spacing w:val="-8"/>
        </w:rPr>
        <w:t xml:space="preserve"> </w:t>
      </w:r>
      <w:r>
        <w:rPr>
          <w:spacing w:val="-2"/>
        </w:rPr>
        <w:t>also</w:t>
      </w:r>
      <w:r>
        <w:rPr>
          <w:spacing w:val="-8"/>
        </w:rPr>
        <w:t xml:space="preserve"> </w:t>
      </w:r>
      <w:r>
        <w:rPr>
          <w:spacing w:val="-2"/>
        </w:rPr>
        <w:t xml:space="preserve">be </w:t>
      </w:r>
      <w:r>
        <w:rPr>
          <w:w w:val="95"/>
        </w:rPr>
        <w:t>constrained</w:t>
      </w:r>
      <w:r>
        <w:rPr>
          <w:spacing w:val="-5"/>
          <w:w w:val="95"/>
        </w:rPr>
        <w:t xml:space="preserve"> </w:t>
      </w:r>
      <w:r>
        <w:rPr>
          <w:w w:val="95"/>
        </w:rPr>
        <w:t>due</w:t>
      </w:r>
      <w:r>
        <w:rPr>
          <w:spacing w:val="-5"/>
          <w:w w:val="95"/>
        </w:rPr>
        <w:t xml:space="preserve"> </w:t>
      </w:r>
      <w:r>
        <w:rPr>
          <w:w w:val="95"/>
        </w:rPr>
        <w:t>to</w:t>
      </w:r>
      <w:r>
        <w:rPr>
          <w:spacing w:val="-5"/>
          <w:w w:val="95"/>
        </w:rPr>
        <w:t xml:space="preserve"> </w:t>
      </w:r>
      <w:r>
        <w:rPr>
          <w:w w:val="95"/>
        </w:rPr>
        <w:t>the</w:t>
      </w:r>
      <w:r>
        <w:rPr>
          <w:spacing w:val="-5"/>
          <w:w w:val="95"/>
        </w:rPr>
        <w:t xml:space="preserve"> </w:t>
      </w:r>
      <w:r>
        <w:rPr>
          <w:w w:val="95"/>
        </w:rPr>
        <w:t>need</w:t>
      </w:r>
      <w:r>
        <w:rPr>
          <w:spacing w:val="-5"/>
          <w:w w:val="95"/>
        </w:rPr>
        <w:t xml:space="preserve"> </w:t>
      </w:r>
      <w:r>
        <w:rPr>
          <w:w w:val="95"/>
        </w:rPr>
        <w:t>to</w:t>
      </w:r>
      <w:r>
        <w:rPr>
          <w:spacing w:val="-5"/>
          <w:w w:val="95"/>
        </w:rPr>
        <w:t xml:space="preserve"> </w:t>
      </w:r>
      <w:r>
        <w:rPr>
          <w:w w:val="95"/>
        </w:rPr>
        <w:t>preserve</w:t>
      </w:r>
      <w:r>
        <w:rPr>
          <w:spacing w:val="-5"/>
          <w:w w:val="95"/>
        </w:rPr>
        <w:t xml:space="preserve"> </w:t>
      </w:r>
      <w:r>
        <w:rPr>
          <w:w w:val="95"/>
        </w:rPr>
        <w:t>a</w:t>
      </w:r>
      <w:r>
        <w:rPr>
          <w:spacing w:val="-5"/>
          <w:w w:val="95"/>
        </w:rPr>
        <w:t xml:space="preserve"> </w:t>
      </w:r>
      <w:r>
        <w:rPr>
          <w:w w:val="95"/>
        </w:rPr>
        <w:t xml:space="preserve">conservative </w:t>
      </w:r>
      <w:r>
        <w:t>risk</w:t>
      </w:r>
      <w:r>
        <w:rPr>
          <w:spacing w:val="-9"/>
        </w:rPr>
        <w:t xml:space="preserve"> </w:t>
      </w:r>
      <w:r>
        <w:t>profile</w:t>
      </w:r>
      <w:r>
        <w:rPr>
          <w:spacing w:val="-9"/>
        </w:rPr>
        <w:t xml:space="preserve"> </w:t>
      </w:r>
      <w:r>
        <w:t>consistent</w:t>
      </w:r>
      <w:r>
        <w:rPr>
          <w:spacing w:val="-9"/>
        </w:rPr>
        <w:t xml:space="preserve"> </w:t>
      </w:r>
      <w:r>
        <w:t>with</w:t>
      </w:r>
      <w:r>
        <w:rPr>
          <w:spacing w:val="-9"/>
        </w:rPr>
        <w:t xml:space="preserve"> </w:t>
      </w:r>
      <w:r>
        <w:t>an</w:t>
      </w:r>
      <w:r>
        <w:rPr>
          <w:spacing w:val="-9"/>
        </w:rPr>
        <w:t xml:space="preserve"> </w:t>
      </w:r>
      <w:r>
        <w:t>AAA</w:t>
      </w:r>
      <w:r>
        <w:rPr>
          <w:spacing w:val="-9"/>
        </w:rPr>
        <w:t xml:space="preserve"> </w:t>
      </w:r>
      <w:r>
        <w:t>credit</w:t>
      </w:r>
      <w:r>
        <w:rPr>
          <w:spacing w:val="-9"/>
        </w:rPr>
        <w:t xml:space="preserve"> </w:t>
      </w:r>
      <w:r>
        <w:t>rating.</w:t>
      </w:r>
    </w:p>
    <w:p w:rsidR="002C1123" w:rsidRDefault="00F22F94">
      <w:pPr>
        <w:pStyle w:val="BodyText"/>
        <w:spacing w:before="141" w:line="249" w:lineRule="auto"/>
        <w:ind w:left="492"/>
      </w:pPr>
      <w:r>
        <w:rPr>
          <w:w w:val="95"/>
        </w:rPr>
        <w:t>Private sector debt and equity can be used to finance capital</w:t>
      </w:r>
      <w:r>
        <w:rPr>
          <w:spacing w:val="-3"/>
          <w:w w:val="95"/>
        </w:rPr>
        <w:t xml:space="preserve"> </w:t>
      </w:r>
      <w:r>
        <w:rPr>
          <w:w w:val="95"/>
        </w:rPr>
        <w:t>expenditure</w:t>
      </w:r>
      <w:r>
        <w:rPr>
          <w:spacing w:val="-3"/>
          <w:w w:val="95"/>
        </w:rPr>
        <w:t xml:space="preserve"> </w:t>
      </w:r>
      <w:r>
        <w:rPr>
          <w:w w:val="95"/>
        </w:rPr>
        <w:t>through</w:t>
      </w:r>
      <w:r>
        <w:rPr>
          <w:spacing w:val="-3"/>
          <w:w w:val="95"/>
        </w:rPr>
        <w:t xml:space="preserve"> </w:t>
      </w:r>
      <w:r>
        <w:rPr>
          <w:w w:val="95"/>
        </w:rPr>
        <w:t>PPPs,</w:t>
      </w:r>
      <w:r>
        <w:rPr>
          <w:spacing w:val="-3"/>
          <w:w w:val="95"/>
        </w:rPr>
        <w:t xml:space="preserve"> </w:t>
      </w:r>
      <w:r>
        <w:rPr>
          <w:w w:val="95"/>
        </w:rPr>
        <w:t>but</w:t>
      </w:r>
      <w:r>
        <w:rPr>
          <w:spacing w:val="-3"/>
          <w:w w:val="95"/>
        </w:rPr>
        <w:t xml:space="preserve"> </w:t>
      </w:r>
      <w:r>
        <w:rPr>
          <w:w w:val="95"/>
        </w:rPr>
        <w:t>must</w:t>
      </w:r>
      <w:r>
        <w:rPr>
          <w:spacing w:val="-3"/>
          <w:w w:val="95"/>
        </w:rPr>
        <w:t xml:space="preserve"> </w:t>
      </w:r>
      <w:r>
        <w:rPr>
          <w:w w:val="95"/>
        </w:rPr>
        <w:t xml:space="preserve">ultimately </w:t>
      </w:r>
      <w:r>
        <w:t>be</w:t>
      </w:r>
      <w:r>
        <w:rPr>
          <w:spacing w:val="-14"/>
        </w:rPr>
        <w:t xml:space="preserve"> </w:t>
      </w:r>
      <w:r>
        <w:t>repaid</w:t>
      </w:r>
      <w:r>
        <w:rPr>
          <w:spacing w:val="-14"/>
        </w:rPr>
        <w:t xml:space="preserve"> </w:t>
      </w:r>
      <w:r>
        <w:t>by</w:t>
      </w:r>
      <w:r>
        <w:rPr>
          <w:spacing w:val="-14"/>
        </w:rPr>
        <w:t xml:space="preserve"> </w:t>
      </w:r>
      <w:r>
        <w:t>either</w:t>
      </w:r>
      <w:r>
        <w:rPr>
          <w:spacing w:val="-14"/>
        </w:rPr>
        <w:t xml:space="preserve"> </w:t>
      </w:r>
      <w:r>
        <w:t>user</w:t>
      </w:r>
      <w:r>
        <w:rPr>
          <w:spacing w:val="-14"/>
        </w:rPr>
        <w:t xml:space="preserve"> </w:t>
      </w:r>
      <w:r>
        <w:t>charges</w:t>
      </w:r>
      <w:r>
        <w:rPr>
          <w:spacing w:val="-14"/>
        </w:rPr>
        <w:t xml:space="preserve"> </w:t>
      </w:r>
      <w:r>
        <w:t>(for</w:t>
      </w:r>
      <w:r>
        <w:rPr>
          <w:spacing w:val="-14"/>
        </w:rPr>
        <w:t xml:space="preserve"> </w:t>
      </w:r>
      <w:r>
        <w:t>example,</w:t>
      </w:r>
      <w:r>
        <w:rPr>
          <w:spacing w:val="-14"/>
        </w:rPr>
        <w:t xml:space="preserve"> </w:t>
      </w:r>
      <w:r>
        <w:t xml:space="preserve">road </w:t>
      </w:r>
      <w:r>
        <w:rPr>
          <w:spacing w:val="-2"/>
        </w:rPr>
        <w:t>tolls)</w:t>
      </w:r>
      <w:r>
        <w:rPr>
          <w:spacing w:val="-6"/>
        </w:rPr>
        <w:t xml:space="preserve"> </w:t>
      </w:r>
      <w:r>
        <w:rPr>
          <w:spacing w:val="-2"/>
        </w:rPr>
        <w:t>or</w:t>
      </w:r>
      <w:r>
        <w:rPr>
          <w:spacing w:val="-6"/>
        </w:rPr>
        <w:t xml:space="preserve"> </w:t>
      </w:r>
      <w:r>
        <w:rPr>
          <w:spacing w:val="-2"/>
        </w:rPr>
        <w:t>availability</w:t>
      </w:r>
      <w:r>
        <w:rPr>
          <w:spacing w:val="-6"/>
        </w:rPr>
        <w:t xml:space="preserve"> </w:t>
      </w:r>
      <w:r>
        <w:rPr>
          <w:spacing w:val="-2"/>
        </w:rPr>
        <w:t>payments</w:t>
      </w:r>
      <w:r>
        <w:rPr>
          <w:spacing w:val="-6"/>
        </w:rPr>
        <w:t xml:space="preserve"> </w:t>
      </w:r>
      <w:r>
        <w:rPr>
          <w:spacing w:val="-2"/>
        </w:rPr>
        <w:t>made</w:t>
      </w:r>
      <w:r>
        <w:rPr>
          <w:spacing w:val="-6"/>
        </w:rPr>
        <w:t xml:space="preserve"> </w:t>
      </w:r>
      <w:r>
        <w:rPr>
          <w:spacing w:val="-2"/>
        </w:rPr>
        <w:t>by</w:t>
      </w:r>
      <w:r>
        <w:rPr>
          <w:spacing w:val="-6"/>
        </w:rPr>
        <w:t xml:space="preserve"> </w:t>
      </w:r>
      <w:r>
        <w:rPr>
          <w:spacing w:val="-2"/>
        </w:rPr>
        <w:t xml:space="preserve">Government </w:t>
      </w:r>
      <w:r>
        <w:t>(funded</w:t>
      </w:r>
      <w:r>
        <w:rPr>
          <w:spacing w:val="-14"/>
        </w:rPr>
        <w:t xml:space="preserve"> </w:t>
      </w:r>
      <w:r>
        <w:t>by</w:t>
      </w:r>
      <w:r>
        <w:rPr>
          <w:spacing w:val="-14"/>
        </w:rPr>
        <w:t xml:space="preserve"> </w:t>
      </w:r>
      <w:r>
        <w:t>taxation).</w:t>
      </w:r>
      <w:r>
        <w:rPr>
          <w:spacing w:val="-14"/>
        </w:rPr>
        <w:t xml:space="preserve"> </w:t>
      </w:r>
      <w:r>
        <w:t>Private</w:t>
      </w:r>
      <w:r>
        <w:rPr>
          <w:spacing w:val="-14"/>
        </w:rPr>
        <w:t xml:space="preserve"> </w:t>
      </w:r>
      <w:r>
        <w:t>finance</w:t>
      </w:r>
      <w:r>
        <w:rPr>
          <w:spacing w:val="-14"/>
        </w:rPr>
        <w:t xml:space="preserve"> </w:t>
      </w:r>
      <w:r>
        <w:t>does</w:t>
      </w:r>
      <w:r>
        <w:rPr>
          <w:spacing w:val="-14"/>
        </w:rPr>
        <w:t xml:space="preserve"> </w:t>
      </w:r>
      <w:r>
        <w:t>not</w:t>
      </w:r>
      <w:r>
        <w:rPr>
          <w:spacing w:val="-14"/>
        </w:rPr>
        <w:t xml:space="preserve"> </w:t>
      </w:r>
      <w:r>
        <w:t>in</w:t>
      </w:r>
      <w:r>
        <w:rPr>
          <w:spacing w:val="-14"/>
        </w:rPr>
        <w:t xml:space="preserve"> </w:t>
      </w:r>
      <w:r>
        <w:t xml:space="preserve">its </w:t>
      </w:r>
      <w:r>
        <w:rPr>
          <w:w w:val="95"/>
        </w:rPr>
        <w:t xml:space="preserve">own right create more infrastructure funding capacity. </w:t>
      </w:r>
      <w:r>
        <w:rPr>
          <w:spacing w:val="-2"/>
        </w:rPr>
        <w:t>The</w:t>
      </w:r>
      <w:r>
        <w:rPr>
          <w:spacing w:val="-8"/>
        </w:rPr>
        <w:t xml:space="preserve"> </w:t>
      </w:r>
      <w:r>
        <w:rPr>
          <w:spacing w:val="-2"/>
        </w:rPr>
        <w:t>principal</w:t>
      </w:r>
      <w:r>
        <w:rPr>
          <w:spacing w:val="-8"/>
        </w:rPr>
        <w:t xml:space="preserve"> </w:t>
      </w:r>
      <w:r>
        <w:rPr>
          <w:spacing w:val="-2"/>
        </w:rPr>
        <w:t>purpose</w:t>
      </w:r>
      <w:r>
        <w:rPr>
          <w:spacing w:val="-8"/>
        </w:rPr>
        <w:t xml:space="preserve"> </w:t>
      </w:r>
      <w:r>
        <w:rPr>
          <w:spacing w:val="-2"/>
        </w:rPr>
        <w:t>of</w:t>
      </w:r>
      <w:r>
        <w:rPr>
          <w:spacing w:val="-8"/>
        </w:rPr>
        <w:t xml:space="preserve"> </w:t>
      </w:r>
      <w:r>
        <w:rPr>
          <w:spacing w:val="-2"/>
        </w:rPr>
        <w:t>private</w:t>
      </w:r>
      <w:r>
        <w:rPr>
          <w:spacing w:val="-8"/>
        </w:rPr>
        <w:t xml:space="preserve"> </w:t>
      </w:r>
      <w:r>
        <w:rPr>
          <w:spacing w:val="-2"/>
        </w:rPr>
        <w:t>financing</w:t>
      </w:r>
      <w:r>
        <w:rPr>
          <w:spacing w:val="-8"/>
        </w:rPr>
        <w:t xml:space="preserve"> </w:t>
      </w:r>
      <w:r>
        <w:rPr>
          <w:spacing w:val="-2"/>
        </w:rPr>
        <w:t>is</w:t>
      </w:r>
      <w:r>
        <w:rPr>
          <w:spacing w:val="-8"/>
        </w:rPr>
        <w:t xml:space="preserve"> </w:t>
      </w:r>
      <w:r>
        <w:rPr>
          <w:spacing w:val="-2"/>
        </w:rPr>
        <w:t>to</w:t>
      </w:r>
      <w:r>
        <w:rPr>
          <w:spacing w:val="-8"/>
        </w:rPr>
        <w:t xml:space="preserve"> </w:t>
      </w:r>
      <w:r>
        <w:rPr>
          <w:spacing w:val="-2"/>
        </w:rPr>
        <w:t xml:space="preserve">better </w:t>
      </w:r>
      <w:r>
        <w:t>manage</w:t>
      </w:r>
      <w:r>
        <w:rPr>
          <w:spacing w:val="-10"/>
        </w:rPr>
        <w:t xml:space="preserve"> </w:t>
      </w:r>
      <w:r>
        <w:t>project</w:t>
      </w:r>
      <w:r>
        <w:rPr>
          <w:spacing w:val="-10"/>
        </w:rPr>
        <w:t xml:space="preserve"> </w:t>
      </w:r>
      <w:r>
        <w:t>risks</w:t>
      </w:r>
      <w:r>
        <w:rPr>
          <w:spacing w:val="-10"/>
        </w:rPr>
        <w:t xml:space="preserve"> </w:t>
      </w:r>
      <w:r>
        <w:t>and</w:t>
      </w:r>
      <w:r>
        <w:rPr>
          <w:spacing w:val="-10"/>
        </w:rPr>
        <w:t xml:space="preserve"> </w:t>
      </w:r>
      <w:r>
        <w:t>thereby</w:t>
      </w:r>
      <w:r>
        <w:rPr>
          <w:spacing w:val="-10"/>
        </w:rPr>
        <w:t xml:space="preserve"> </w:t>
      </w:r>
      <w:r>
        <w:t>deliver</w:t>
      </w:r>
      <w:r>
        <w:rPr>
          <w:spacing w:val="-10"/>
        </w:rPr>
        <w:t xml:space="preserve"> </w:t>
      </w:r>
      <w:r>
        <w:t>better</w:t>
      </w:r>
    </w:p>
    <w:p w:rsidR="002C1123" w:rsidRDefault="00F22F94">
      <w:pPr>
        <w:spacing w:before="11"/>
        <w:rPr>
          <w:sz w:val="28"/>
        </w:rPr>
      </w:pPr>
      <w:r>
        <w:br w:type="column"/>
      </w:r>
    </w:p>
    <w:p w:rsidR="002C1123" w:rsidRDefault="00F22F94">
      <w:pPr>
        <w:ind w:left="406"/>
        <w:rPr>
          <w:b/>
          <w:sz w:val="18"/>
        </w:rPr>
      </w:pPr>
      <w:r>
        <w:rPr>
          <w:b/>
          <w:sz w:val="18"/>
        </w:rPr>
        <w:t>Figure</w:t>
      </w:r>
      <w:r>
        <w:rPr>
          <w:b/>
          <w:spacing w:val="-2"/>
          <w:sz w:val="18"/>
        </w:rPr>
        <w:t xml:space="preserve"> </w:t>
      </w:r>
      <w:r>
        <w:rPr>
          <w:b/>
          <w:sz w:val="18"/>
        </w:rPr>
        <w:t>16.1</w:t>
      </w:r>
      <w:r>
        <w:rPr>
          <w:b/>
          <w:spacing w:val="48"/>
          <w:sz w:val="18"/>
        </w:rPr>
        <w:t xml:space="preserve"> </w:t>
      </w:r>
      <w:r>
        <w:rPr>
          <w:b/>
          <w:sz w:val="18"/>
        </w:rPr>
        <w:t>NSW</w:t>
      </w:r>
      <w:r>
        <w:rPr>
          <w:b/>
          <w:spacing w:val="-2"/>
          <w:sz w:val="18"/>
        </w:rPr>
        <w:t xml:space="preserve"> </w:t>
      </w:r>
      <w:r>
        <w:rPr>
          <w:b/>
          <w:sz w:val="18"/>
        </w:rPr>
        <w:t>Capital</w:t>
      </w:r>
      <w:r>
        <w:rPr>
          <w:b/>
          <w:spacing w:val="-1"/>
          <w:sz w:val="18"/>
        </w:rPr>
        <w:t xml:space="preserve"> </w:t>
      </w:r>
      <w:r>
        <w:rPr>
          <w:b/>
          <w:sz w:val="18"/>
        </w:rPr>
        <w:t>Program</w:t>
      </w:r>
      <w:r>
        <w:rPr>
          <w:b/>
          <w:spacing w:val="-1"/>
          <w:sz w:val="18"/>
        </w:rPr>
        <w:t xml:space="preserve"> </w:t>
      </w:r>
      <w:r>
        <w:rPr>
          <w:b/>
          <w:sz w:val="18"/>
        </w:rPr>
        <w:t>2001-</w:t>
      </w:r>
      <w:r>
        <w:rPr>
          <w:b/>
          <w:spacing w:val="-5"/>
          <w:sz w:val="18"/>
        </w:rPr>
        <w:t>16,</w:t>
      </w:r>
    </w:p>
    <w:p w:rsidR="002C1123" w:rsidRDefault="00F22F94">
      <w:pPr>
        <w:spacing w:before="9"/>
        <w:ind w:left="1476"/>
        <w:rPr>
          <w:b/>
          <w:sz w:val="18"/>
        </w:rPr>
      </w:pPr>
      <w:r>
        <w:rPr>
          <w:b/>
          <w:spacing w:val="12"/>
          <w:w w:val="105"/>
          <w:sz w:val="18"/>
        </w:rPr>
        <w:t xml:space="preserve"> </w:t>
      </w:r>
      <w:r>
        <w:rPr>
          <w:b/>
          <w:w w:val="105"/>
          <w:sz w:val="18"/>
        </w:rPr>
        <w:t>ve</w:t>
      </w:r>
      <w:r>
        <w:rPr>
          <w:b/>
          <w:spacing w:val="2"/>
          <w:w w:val="105"/>
          <w:sz w:val="18"/>
        </w:rPr>
        <w:t xml:space="preserve"> </w:t>
      </w:r>
      <w:r>
        <w:rPr>
          <w:b/>
          <w:w w:val="105"/>
          <w:sz w:val="18"/>
        </w:rPr>
        <w:t>year</w:t>
      </w:r>
      <w:r>
        <w:rPr>
          <w:b/>
          <w:spacing w:val="1"/>
          <w:w w:val="105"/>
          <w:sz w:val="18"/>
        </w:rPr>
        <w:t xml:space="preserve"> </w:t>
      </w:r>
      <w:r>
        <w:rPr>
          <w:b/>
          <w:spacing w:val="-2"/>
          <w:w w:val="105"/>
          <w:sz w:val="18"/>
        </w:rPr>
        <w:t>blocks</w:t>
      </w:r>
    </w:p>
    <w:p w:rsidR="002C1123" w:rsidRDefault="00F22F94">
      <w:pPr>
        <w:spacing w:before="51"/>
        <w:ind w:left="690"/>
        <w:rPr>
          <w:sz w:val="16"/>
        </w:rPr>
      </w:pPr>
      <w:r>
        <w:rPr>
          <w:spacing w:val="-5"/>
          <w:w w:val="95"/>
          <w:sz w:val="16"/>
        </w:rPr>
        <w:t>80</w:t>
      </w:r>
    </w:p>
    <w:p w:rsidR="002C1123" w:rsidRDefault="00F22F94">
      <w:pPr>
        <w:spacing w:before="117"/>
        <w:ind w:left="690"/>
        <w:rPr>
          <w:sz w:val="16"/>
        </w:rPr>
      </w:pPr>
      <w:r>
        <w:rPr>
          <w:spacing w:val="-5"/>
          <w:w w:val="95"/>
          <w:sz w:val="16"/>
        </w:rPr>
        <w:t>70</w:t>
      </w:r>
    </w:p>
    <w:p w:rsidR="002C1123" w:rsidRDefault="00F22F94">
      <w:pPr>
        <w:spacing w:before="117"/>
        <w:ind w:left="690"/>
        <w:rPr>
          <w:sz w:val="16"/>
        </w:rPr>
      </w:pPr>
      <w:r>
        <w:rPr>
          <w:spacing w:val="-5"/>
          <w:w w:val="95"/>
          <w:sz w:val="16"/>
        </w:rPr>
        <w:t>60</w:t>
      </w:r>
    </w:p>
    <w:p w:rsidR="002C1123" w:rsidRDefault="002060EF">
      <w:pPr>
        <w:spacing w:before="117"/>
        <w:ind w:left="690"/>
        <w:rPr>
          <w:sz w:val="16"/>
        </w:rPr>
      </w:pPr>
      <w:r>
        <w:pict>
          <v:shape id="docshape2873" o:spid="_x0000_s1153" type="#_x0000_t202" style="position:absolute;left:0;text-align:left;margin-left:302.15pt;margin-top:15.65pt;width:11.05pt;height:27.75pt;z-index:251754496;mso-position-horizontal-relative:page" filled="f" stroked="f">
            <v:textbox style="layout-flow:vertical;mso-layout-flow-alt:bottom-to-top" inset="0,0,0,0">
              <w:txbxContent>
                <w:p w:rsidR="00F22F94" w:rsidRDefault="00F22F94">
                  <w:pPr>
                    <w:spacing w:before="18"/>
                    <w:ind w:left="20"/>
                    <w:rPr>
                      <w:sz w:val="16"/>
                    </w:rPr>
                  </w:pPr>
                  <w:r>
                    <w:rPr>
                      <w:w w:val="80"/>
                      <w:sz w:val="16"/>
                    </w:rPr>
                    <w:t>($</w:t>
                  </w:r>
                  <w:r>
                    <w:rPr>
                      <w:spacing w:val="-1"/>
                      <w:w w:val="80"/>
                      <w:sz w:val="16"/>
                    </w:rPr>
                    <w:t xml:space="preserve"> </w:t>
                  </w:r>
                  <w:r>
                    <w:rPr>
                      <w:spacing w:val="-2"/>
                      <w:w w:val="80"/>
                      <w:sz w:val="16"/>
                    </w:rPr>
                    <w:t>billion)</w:t>
                  </w:r>
                </w:p>
              </w:txbxContent>
            </v:textbox>
            <w10:wrap anchorx="page"/>
          </v:shape>
        </w:pict>
      </w:r>
      <w:r w:rsidR="00F22F94">
        <w:rPr>
          <w:spacing w:val="-5"/>
          <w:w w:val="95"/>
          <w:sz w:val="16"/>
        </w:rPr>
        <w:t>50</w:t>
      </w:r>
    </w:p>
    <w:p w:rsidR="002C1123" w:rsidRDefault="00F22F94">
      <w:pPr>
        <w:spacing w:before="117"/>
        <w:ind w:left="690"/>
        <w:rPr>
          <w:sz w:val="16"/>
        </w:rPr>
      </w:pPr>
      <w:r>
        <w:rPr>
          <w:spacing w:val="-5"/>
          <w:w w:val="95"/>
          <w:sz w:val="16"/>
        </w:rPr>
        <w:t>40</w:t>
      </w:r>
    </w:p>
    <w:p w:rsidR="002C1123" w:rsidRDefault="00F22F94">
      <w:pPr>
        <w:spacing w:before="117"/>
        <w:ind w:left="690"/>
        <w:rPr>
          <w:sz w:val="16"/>
        </w:rPr>
      </w:pPr>
      <w:r>
        <w:rPr>
          <w:spacing w:val="-5"/>
          <w:w w:val="95"/>
          <w:sz w:val="16"/>
        </w:rPr>
        <w:t>30</w:t>
      </w:r>
    </w:p>
    <w:p w:rsidR="002C1123" w:rsidRDefault="00F22F94">
      <w:pPr>
        <w:spacing w:before="117"/>
        <w:ind w:left="690"/>
        <w:rPr>
          <w:sz w:val="16"/>
        </w:rPr>
      </w:pPr>
      <w:r>
        <w:rPr>
          <w:spacing w:val="-5"/>
          <w:w w:val="95"/>
          <w:sz w:val="16"/>
        </w:rPr>
        <w:t>20</w:t>
      </w:r>
    </w:p>
    <w:p w:rsidR="002C1123" w:rsidRDefault="00F22F94">
      <w:pPr>
        <w:spacing w:before="117"/>
        <w:ind w:left="690"/>
        <w:rPr>
          <w:sz w:val="16"/>
        </w:rPr>
      </w:pPr>
      <w:r>
        <w:rPr>
          <w:spacing w:val="-5"/>
          <w:w w:val="95"/>
          <w:sz w:val="16"/>
        </w:rPr>
        <w:t>10</w:t>
      </w:r>
    </w:p>
    <w:p w:rsidR="002C1123" w:rsidRDefault="00F22F94">
      <w:pPr>
        <w:spacing w:before="8"/>
        <w:rPr>
          <w:sz w:val="21"/>
        </w:rPr>
      </w:pPr>
      <w:r>
        <w:br w:type="column"/>
      </w:r>
    </w:p>
    <w:p w:rsidR="002C1123" w:rsidRDefault="00F22F94">
      <w:pPr>
        <w:pStyle w:val="BodyText"/>
        <w:ind w:left="492"/>
        <w:jc w:val="both"/>
      </w:pPr>
      <w:r>
        <w:rPr>
          <w:w w:val="95"/>
        </w:rPr>
        <w:t>Capital</w:t>
      </w:r>
      <w:r>
        <w:rPr>
          <w:spacing w:val="-2"/>
          <w:w w:val="95"/>
        </w:rPr>
        <w:t xml:space="preserve"> </w:t>
      </w:r>
      <w:r>
        <w:rPr>
          <w:w w:val="95"/>
        </w:rPr>
        <w:t>spending</w:t>
      </w:r>
      <w:r>
        <w:rPr>
          <w:spacing w:val="-2"/>
          <w:w w:val="95"/>
        </w:rPr>
        <w:t xml:space="preserve"> </w:t>
      </w:r>
      <w:r>
        <w:rPr>
          <w:w w:val="95"/>
        </w:rPr>
        <w:t>on</w:t>
      </w:r>
      <w:r>
        <w:rPr>
          <w:spacing w:val="-2"/>
          <w:w w:val="95"/>
        </w:rPr>
        <w:t xml:space="preserve"> </w:t>
      </w:r>
      <w:r>
        <w:rPr>
          <w:w w:val="95"/>
        </w:rPr>
        <w:t>transport</w:t>
      </w:r>
      <w:r>
        <w:rPr>
          <w:spacing w:val="-1"/>
          <w:w w:val="95"/>
        </w:rPr>
        <w:t xml:space="preserve"> </w:t>
      </w:r>
      <w:r>
        <w:rPr>
          <w:w w:val="95"/>
        </w:rPr>
        <w:t>increased</w:t>
      </w:r>
      <w:r>
        <w:rPr>
          <w:spacing w:val="-2"/>
          <w:w w:val="95"/>
        </w:rPr>
        <w:t xml:space="preserve"> </w:t>
      </w:r>
      <w:r>
        <w:rPr>
          <w:w w:val="95"/>
        </w:rPr>
        <w:t>from</w:t>
      </w:r>
      <w:r>
        <w:rPr>
          <w:spacing w:val="-2"/>
          <w:w w:val="95"/>
        </w:rPr>
        <w:t xml:space="preserve"> </w:t>
      </w:r>
      <w:r>
        <w:rPr>
          <w:w w:val="95"/>
        </w:rPr>
        <w:t>a</w:t>
      </w:r>
      <w:r>
        <w:rPr>
          <w:spacing w:val="-2"/>
          <w:w w:val="95"/>
        </w:rPr>
        <w:t xml:space="preserve"> </w:t>
      </w:r>
      <w:r>
        <w:rPr>
          <w:w w:val="95"/>
        </w:rPr>
        <w:t>total</w:t>
      </w:r>
      <w:r>
        <w:rPr>
          <w:spacing w:val="-2"/>
          <w:w w:val="95"/>
        </w:rPr>
        <w:t xml:space="preserve"> </w:t>
      </w:r>
      <w:r>
        <w:rPr>
          <w:spacing w:val="-5"/>
          <w:w w:val="95"/>
        </w:rPr>
        <w:t>of</w:t>
      </w:r>
    </w:p>
    <w:p w:rsidR="002C1123" w:rsidRDefault="002060EF">
      <w:pPr>
        <w:pStyle w:val="BodyText"/>
        <w:spacing w:before="10" w:line="249" w:lineRule="auto"/>
        <w:ind w:left="492" w:right="762"/>
        <w:jc w:val="both"/>
      </w:pPr>
      <w:r>
        <w:pict>
          <v:group id="docshapegroup2874" o:spid="_x0000_s1135" style="position:absolute;left:0;text-align:left;margin-left:332.7pt;margin-top:28.35pt;width:208.25pt;height:113pt;z-index:251749376;mso-position-horizontal-relative:page" coordorigin="6654,567" coordsize="4165,2260">
            <v:shape id="docshape2875" o:spid="_x0000_s1152" style="position:absolute;left:6653;top:1916;width:1610;height:607" coordorigin="6654,1916" coordsize="1610,607" o:spt="100" adj="0,,0" path="m6948,2515r-294,l6654,2523r294,l6948,2515xm6948,2216r-294,l6654,2224r294,l6948,2216xm6948,1916r-294,l6654,1924r294,l6948,1916xm8263,2515r-368,l7895,2523r368,l8263,2515xm8263,2216r-368,l7895,2224r368,l8263,2216xm8263,1916r-368,l7895,1924r368,l8263,1916xe" fillcolor="#b2b1b3" stroked="f">
              <v:stroke joinstyle="round"/>
              <v:formulas/>
              <v:path arrowok="t" o:connecttype="segments"/>
            </v:shape>
            <v:rect id="docshape2876" o:spid="_x0000_s1151" style="position:absolute;left:6948;top:1781;width:947;height:334" fillcolor="#00aeef" stroked="f"/>
            <v:rect id="docshape2877" o:spid="_x0000_s1150" style="position:absolute;left:6948;top:2115;width:947;height:323" fillcolor="#b9e5fa" stroked="f"/>
            <v:shape id="docshape2878" o:spid="_x0000_s1149" style="position:absolute;left:6653;top:719;width:4165;height:906" coordorigin="6654,719" coordsize="4165,906" o:spt="100" adj="0,,0" path="m8263,1617r-1609,l6654,1625r1609,l8263,1617xm8263,1019r-1609,l6654,1027r1609,l8263,1019xm8263,719r-1609,l6654,727r1609,l8263,719xm9578,1617r-368,l9210,1625r368,l9578,1617xm9578,1318r-368,l9210,1326r368,l9578,1318xm9578,1019r-368,l9210,1027r368,l9578,1019xm9578,719r-368,l9210,727r368,l9578,719xm10819,1318r-294,l10525,1326r294,l10819,1318xe" fillcolor="#b2b1b3" stroked="f">
              <v:stroke joinstyle="round"/>
              <v:formulas/>
              <v:path arrowok="t" o:connecttype="segments"/>
            </v:shape>
            <v:rect id="docshape2879" o:spid="_x0000_s1148" style="position:absolute;left:8263;top:624;width:947;height:593" fillcolor="#00aeef" stroked="f"/>
            <v:shape id="docshape2880" o:spid="_x0000_s1147" style="position:absolute;left:10524;top:719;width:294;height:308" coordorigin="10525,719" coordsize="294,308" o:spt="100" adj="0,,0" path="m10819,1019r-294,l10525,1027r294,l10819,1019xm10819,719r-294,l10525,727r294,l10819,719xe" fillcolor="#b2b1b3" stroked="f">
              <v:stroke joinstyle="round"/>
              <v:formulas/>
              <v:path arrowok="t" o:connecttype="segments"/>
            </v:shape>
            <v:rect id="docshape2881" o:spid="_x0000_s1146" style="position:absolute;left:9578;top:566;width:947;height:937" fillcolor="#00aeef" stroked="f"/>
            <v:rect id="docshape2882" o:spid="_x0000_s1145" style="position:absolute;left:8263;top:1217;width:947;height:506" fillcolor="#b9e5fa" stroked="f"/>
            <v:shape id="docshape2883" o:spid="_x0000_s1144" style="position:absolute;left:9209;top:1617;width:1609;height:308" coordorigin="9210,1617" coordsize="1609,308" o:spt="100" adj="0,,0" path="m9578,1916r-368,l9210,1924r368,l9578,1916xm10819,1916r-294,l10525,1924r294,l10819,1916xm10819,1617r-294,l10525,1625r294,l10819,1617xe" fillcolor="#b2b1b3" stroked="f">
              <v:stroke joinstyle="round"/>
              <v:formulas/>
              <v:path arrowok="t" o:connecttype="segments"/>
            </v:shape>
            <v:rect id="docshape2884" o:spid="_x0000_s1143" style="position:absolute;left:9578;top:1502;width:947;height:464" fillcolor="#b9e5fa" stroked="f"/>
            <v:rect id="docshape2885" o:spid="_x0000_s1142" style="position:absolute;left:6948;top:2437;width:947;height:385" fillcolor="#2e3092" stroked="f"/>
            <v:shape id="docshape2886" o:spid="_x0000_s1141" style="position:absolute;left:9209;top:2215;width:369;height:308" coordorigin="9210,2216" coordsize="369,308" o:spt="100" adj="0,,0" path="m9578,2515r-368,l9210,2523r368,l9578,2515xm9578,2216r-368,l9210,2224r368,l9578,2216xe" fillcolor="#b2b1b3" stroked="f">
              <v:stroke joinstyle="round"/>
              <v:formulas/>
              <v:path arrowok="t" o:connecttype="segments"/>
            </v:shape>
            <v:rect id="docshape2887" o:spid="_x0000_s1140" style="position:absolute;left:8263;top:1723;width:947;height:1099" fillcolor="#2e3092" stroked="f"/>
            <v:shape id="docshape2888" o:spid="_x0000_s1139" style="position:absolute;left:10524;top:2215;width:294;height:308" coordorigin="10525,2216" coordsize="294,308" o:spt="100" adj="0,,0" path="m10819,2515r-294,l10525,2523r294,l10819,2515xm10819,2216r-294,l10525,2224r294,l10819,2216xe" fillcolor="#b2b1b3" stroked="f">
              <v:stroke joinstyle="round"/>
              <v:formulas/>
              <v:path arrowok="t" o:connecttype="segments"/>
            </v:shape>
            <v:rect id="docshape2889" o:spid="_x0000_s1138" style="position:absolute;left:9578;top:1966;width:947;height:856" fillcolor="#2e3092" stroked="f"/>
            <v:rect id="docshape2890" o:spid="_x0000_s1137" style="position:absolute;left:6653;top:2809;width:4165;height:16" fillcolor="#b2b1b3" stroked="f"/>
            <v:shape id="docshape2891" o:spid="_x0000_s1136" type="#_x0000_t202" style="position:absolute;left:6653;top:566;width:4165;height:2260" filled="f" stroked="f">
              <v:textbox inset="0,0,0,0">
                <w:txbxContent>
                  <w:p w:rsidR="00F22F94" w:rsidRDefault="00F22F94">
                    <w:pPr>
                      <w:rPr>
                        <w:sz w:val="24"/>
                      </w:rPr>
                    </w:pPr>
                  </w:p>
                  <w:p w:rsidR="00F22F94" w:rsidRDefault="00F22F94">
                    <w:pPr>
                      <w:spacing w:before="4"/>
                      <w:rPr>
                        <w:sz w:val="23"/>
                      </w:rPr>
                    </w:pPr>
                  </w:p>
                  <w:p w:rsidR="00F22F94" w:rsidRDefault="00F22F94">
                    <w:pPr>
                      <w:tabs>
                        <w:tab w:val="left" w:pos="1609"/>
                      </w:tabs>
                      <w:rPr>
                        <w:sz w:val="20"/>
                      </w:rPr>
                    </w:pPr>
                    <w:r>
                      <w:rPr>
                        <w:sz w:val="20"/>
                        <w:u w:val="single" w:color="B2B1B3"/>
                      </w:rPr>
                      <w:t xml:space="preserve"> </w:t>
                    </w:r>
                    <w:r>
                      <w:rPr>
                        <w:sz w:val="20"/>
                        <w:u w:val="single" w:color="B2B1B3"/>
                      </w:rPr>
                      <w:tab/>
                    </w:r>
                  </w:p>
                </w:txbxContent>
              </v:textbox>
            </v:shape>
            <w10:wrap anchorx="page"/>
          </v:group>
        </w:pict>
      </w:r>
      <w:r>
        <w:pict>
          <v:rect id="docshape2892" o:spid="_x0000_s1134" style="position:absolute;left:0;text-align:left;margin-left:332.7pt;margin-top:21pt;width:208.25pt;height:.4pt;z-index:251750400;mso-position-horizontal-relative:page" fillcolor="#b2b1b3" stroked="f">
            <w10:wrap anchorx="page"/>
          </v:rect>
        </w:pict>
      </w:r>
      <w:r w:rsidR="00F22F94">
        <w:rPr>
          <w:w w:val="95"/>
        </w:rPr>
        <w:t>$11</w:t>
      </w:r>
      <w:r w:rsidR="00F22F94">
        <w:rPr>
          <w:spacing w:val="-6"/>
          <w:w w:val="95"/>
        </w:rPr>
        <w:t xml:space="preserve"> </w:t>
      </w:r>
      <w:r w:rsidR="00F22F94">
        <w:rPr>
          <w:w w:val="95"/>
        </w:rPr>
        <w:t>billion</w:t>
      </w:r>
      <w:r w:rsidR="00F22F94">
        <w:rPr>
          <w:spacing w:val="-6"/>
          <w:w w:val="95"/>
        </w:rPr>
        <w:t xml:space="preserve"> </w:t>
      </w:r>
      <w:r w:rsidR="00F22F94">
        <w:rPr>
          <w:w w:val="95"/>
        </w:rPr>
        <w:t>in</w:t>
      </w:r>
      <w:r w:rsidR="00F22F94">
        <w:rPr>
          <w:spacing w:val="-6"/>
          <w:w w:val="95"/>
        </w:rPr>
        <w:t xml:space="preserve"> </w:t>
      </w:r>
      <w:r w:rsidR="00F22F94">
        <w:rPr>
          <w:w w:val="95"/>
        </w:rPr>
        <w:t>the</w:t>
      </w:r>
      <w:r w:rsidR="00F22F94">
        <w:rPr>
          <w:spacing w:val="-6"/>
          <w:w w:val="95"/>
        </w:rPr>
        <w:t xml:space="preserve"> </w:t>
      </w:r>
      <w:r w:rsidR="00F22F94">
        <w:rPr>
          <w:w w:val="95"/>
        </w:rPr>
        <w:t>five</w:t>
      </w:r>
      <w:r w:rsidR="00F22F94">
        <w:rPr>
          <w:spacing w:val="-6"/>
          <w:w w:val="95"/>
        </w:rPr>
        <w:t xml:space="preserve"> </w:t>
      </w:r>
      <w:r w:rsidR="00F22F94">
        <w:rPr>
          <w:w w:val="95"/>
        </w:rPr>
        <w:t>years</w:t>
      </w:r>
      <w:r w:rsidR="00F22F94">
        <w:rPr>
          <w:spacing w:val="-6"/>
          <w:w w:val="95"/>
        </w:rPr>
        <w:t xml:space="preserve"> </w:t>
      </w:r>
      <w:r w:rsidR="00F22F94">
        <w:rPr>
          <w:w w:val="95"/>
        </w:rPr>
        <w:t>to</w:t>
      </w:r>
      <w:r w:rsidR="00F22F94">
        <w:rPr>
          <w:spacing w:val="-6"/>
          <w:w w:val="95"/>
        </w:rPr>
        <w:t xml:space="preserve"> </w:t>
      </w:r>
      <w:r w:rsidR="00F22F94">
        <w:rPr>
          <w:w w:val="95"/>
        </w:rPr>
        <w:t>30</w:t>
      </w:r>
      <w:r w:rsidR="00F22F94">
        <w:rPr>
          <w:spacing w:val="-6"/>
          <w:w w:val="95"/>
        </w:rPr>
        <w:t xml:space="preserve"> </w:t>
      </w:r>
      <w:r w:rsidR="00F22F94">
        <w:rPr>
          <w:w w:val="95"/>
        </w:rPr>
        <w:t>June</w:t>
      </w:r>
      <w:r w:rsidR="00F22F94">
        <w:rPr>
          <w:spacing w:val="-6"/>
          <w:w w:val="95"/>
        </w:rPr>
        <w:t xml:space="preserve"> </w:t>
      </w:r>
      <w:r w:rsidR="00F22F94">
        <w:rPr>
          <w:w w:val="95"/>
        </w:rPr>
        <w:t>2006</w:t>
      </w:r>
      <w:r w:rsidR="00F22F94">
        <w:rPr>
          <w:spacing w:val="-6"/>
          <w:w w:val="95"/>
        </w:rPr>
        <w:t xml:space="preserve"> </w:t>
      </w:r>
      <w:r w:rsidR="00F22F94">
        <w:rPr>
          <w:w w:val="95"/>
        </w:rPr>
        <w:t>to</w:t>
      </w:r>
      <w:r w:rsidR="00F22F94">
        <w:rPr>
          <w:spacing w:val="-6"/>
          <w:w w:val="95"/>
        </w:rPr>
        <w:t xml:space="preserve"> </w:t>
      </w:r>
      <w:r w:rsidR="00F22F94">
        <w:rPr>
          <w:w w:val="95"/>
        </w:rPr>
        <w:t>$20</w:t>
      </w:r>
      <w:r w:rsidR="00F22F94">
        <w:rPr>
          <w:spacing w:val="-6"/>
          <w:w w:val="95"/>
        </w:rPr>
        <w:t xml:space="preserve"> </w:t>
      </w:r>
      <w:r w:rsidR="00F22F94">
        <w:rPr>
          <w:w w:val="95"/>
        </w:rPr>
        <w:t>billion in</w:t>
      </w:r>
      <w:r w:rsidR="00F22F94">
        <w:rPr>
          <w:spacing w:val="-12"/>
          <w:w w:val="95"/>
        </w:rPr>
        <w:t xml:space="preserve"> </w:t>
      </w:r>
      <w:r w:rsidR="00F22F94">
        <w:rPr>
          <w:w w:val="95"/>
        </w:rPr>
        <w:t>the</w:t>
      </w:r>
      <w:r w:rsidR="00F22F94">
        <w:rPr>
          <w:spacing w:val="-11"/>
          <w:w w:val="95"/>
        </w:rPr>
        <w:t xml:space="preserve"> </w:t>
      </w:r>
      <w:r w:rsidR="00F22F94">
        <w:rPr>
          <w:w w:val="95"/>
        </w:rPr>
        <w:t>five</w:t>
      </w:r>
      <w:r w:rsidR="00F22F94">
        <w:rPr>
          <w:spacing w:val="-11"/>
          <w:w w:val="95"/>
        </w:rPr>
        <w:t xml:space="preserve"> </w:t>
      </w:r>
      <w:r w:rsidR="00F22F94">
        <w:rPr>
          <w:w w:val="95"/>
        </w:rPr>
        <w:t>years</w:t>
      </w:r>
      <w:r w:rsidR="00F22F94">
        <w:rPr>
          <w:spacing w:val="-11"/>
          <w:w w:val="95"/>
        </w:rPr>
        <w:t xml:space="preserve"> </w:t>
      </w:r>
      <w:r w:rsidR="00F22F94">
        <w:rPr>
          <w:w w:val="95"/>
        </w:rPr>
        <w:t>to</w:t>
      </w:r>
      <w:r w:rsidR="00F22F94">
        <w:rPr>
          <w:spacing w:val="-11"/>
          <w:w w:val="95"/>
        </w:rPr>
        <w:t xml:space="preserve"> </w:t>
      </w:r>
      <w:r w:rsidR="00F22F94">
        <w:rPr>
          <w:w w:val="95"/>
        </w:rPr>
        <w:t>30</w:t>
      </w:r>
      <w:r w:rsidR="00F22F94">
        <w:rPr>
          <w:spacing w:val="-11"/>
          <w:w w:val="95"/>
        </w:rPr>
        <w:t xml:space="preserve"> </w:t>
      </w:r>
      <w:r w:rsidR="00F22F94">
        <w:rPr>
          <w:w w:val="95"/>
        </w:rPr>
        <w:t>June</w:t>
      </w:r>
      <w:r w:rsidR="00F22F94">
        <w:rPr>
          <w:spacing w:val="-11"/>
          <w:w w:val="95"/>
        </w:rPr>
        <w:t xml:space="preserve"> </w:t>
      </w:r>
      <w:r w:rsidR="00F22F94">
        <w:rPr>
          <w:w w:val="95"/>
        </w:rPr>
        <w:t>2011.</w:t>
      </w:r>
      <w:r w:rsidR="00F22F94">
        <w:rPr>
          <w:spacing w:val="-11"/>
          <w:w w:val="95"/>
        </w:rPr>
        <w:t xml:space="preserve"> </w:t>
      </w:r>
      <w:r w:rsidR="00F22F94">
        <w:rPr>
          <w:w w:val="95"/>
        </w:rPr>
        <w:t>It</w:t>
      </w:r>
      <w:r w:rsidR="00F22F94">
        <w:rPr>
          <w:spacing w:val="-12"/>
          <w:w w:val="95"/>
        </w:rPr>
        <w:t xml:space="preserve"> </w:t>
      </w:r>
      <w:r w:rsidR="00F22F94">
        <w:rPr>
          <w:w w:val="95"/>
        </w:rPr>
        <w:t>is</w:t>
      </w:r>
      <w:r w:rsidR="00F22F94">
        <w:rPr>
          <w:spacing w:val="-11"/>
          <w:w w:val="95"/>
        </w:rPr>
        <w:t xml:space="preserve"> </w:t>
      </w:r>
      <w:r w:rsidR="00F22F94">
        <w:rPr>
          <w:w w:val="95"/>
        </w:rPr>
        <w:t>forecast</w:t>
      </w:r>
      <w:r w:rsidR="00F22F94">
        <w:rPr>
          <w:spacing w:val="-11"/>
          <w:w w:val="95"/>
        </w:rPr>
        <w:t xml:space="preserve"> </w:t>
      </w:r>
      <w:r w:rsidR="00F22F94">
        <w:rPr>
          <w:w w:val="95"/>
        </w:rPr>
        <w:t>to</w:t>
      </w:r>
      <w:r w:rsidR="00F22F94">
        <w:rPr>
          <w:spacing w:val="-11"/>
          <w:w w:val="95"/>
        </w:rPr>
        <w:t xml:space="preserve"> </w:t>
      </w:r>
      <w:r w:rsidR="00F22F94">
        <w:rPr>
          <w:w w:val="95"/>
        </w:rPr>
        <w:t xml:space="preserve">increase </w:t>
      </w:r>
      <w:r w:rsidR="00F22F94">
        <w:t>a</w:t>
      </w:r>
      <w:r w:rsidR="00F22F94">
        <w:rPr>
          <w:spacing w:val="-12"/>
        </w:rPr>
        <w:t xml:space="preserve"> </w:t>
      </w:r>
      <w:r w:rsidR="00F22F94">
        <w:t>further</w:t>
      </w:r>
      <w:r w:rsidR="00F22F94">
        <w:rPr>
          <w:spacing w:val="-12"/>
        </w:rPr>
        <w:t xml:space="preserve"> </w:t>
      </w:r>
      <w:r w:rsidR="00F22F94">
        <w:t>60</w:t>
      </w:r>
      <w:r w:rsidR="00F22F94">
        <w:rPr>
          <w:spacing w:val="-12"/>
        </w:rPr>
        <w:t xml:space="preserve"> </w:t>
      </w:r>
      <w:r w:rsidR="00F22F94">
        <w:t>percent</w:t>
      </w:r>
      <w:r w:rsidR="00F22F94">
        <w:rPr>
          <w:spacing w:val="-12"/>
        </w:rPr>
        <w:t xml:space="preserve"> </w:t>
      </w:r>
      <w:r w:rsidR="00F22F94">
        <w:t>to</w:t>
      </w:r>
      <w:r w:rsidR="00F22F94">
        <w:rPr>
          <w:spacing w:val="-12"/>
        </w:rPr>
        <w:t xml:space="preserve"> </w:t>
      </w:r>
      <w:r w:rsidR="00F22F94">
        <w:t>$32</w:t>
      </w:r>
      <w:r w:rsidR="00F22F94">
        <w:rPr>
          <w:spacing w:val="-12"/>
        </w:rPr>
        <w:t xml:space="preserve"> </w:t>
      </w:r>
      <w:r w:rsidR="00F22F94">
        <w:t>billion</w:t>
      </w:r>
      <w:r w:rsidR="00F22F94">
        <w:rPr>
          <w:spacing w:val="-12"/>
        </w:rPr>
        <w:t xml:space="preserve"> </w:t>
      </w:r>
      <w:r w:rsidR="00F22F94">
        <w:t>in</w:t>
      </w:r>
      <w:r w:rsidR="00F22F94">
        <w:rPr>
          <w:spacing w:val="-12"/>
        </w:rPr>
        <w:t xml:space="preserve"> </w:t>
      </w:r>
      <w:r w:rsidR="00F22F94">
        <w:t>the</w:t>
      </w:r>
      <w:r w:rsidR="00F22F94">
        <w:rPr>
          <w:spacing w:val="-12"/>
        </w:rPr>
        <w:t xml:space="preserve"> </w:t>
      </w:r>
      <w:r w:rsidR="00F22F94">
        <w:t>five</w:t>
      </w:r>
      <w:r w:rsidR="00F22F94">
        <w:rPr>
          <w:spacing w:val="-12"/>
        </w:rPr>
        <w:t xml:space="preserve"> </w:t>
      </w:r>
      <w:r w:rsidR="00F22F94">
        <w:t>years</w:t>
      </w:r>
      <w:r w:rsidR="00F22F94">
        <w:rPr>
          <w:spacing w:val="-12"/>
        </w:rPr>
        <w:t xml:space="preserve"> </w:t>
      </w:r>
      <w:r w:rsidR="00F22F94">
        <w:t>to</w:t>
      </w:r>
    </w:p>
    <w:p w:rsidR="002C1123" w:rsidRDefault="00F22F94">
      <w:pPr>
        <w:pStyle w:val="BodyText"/>
        <w:spacing w:before="2" w:line="249" w:lineRule="auto"/>
        <w:ind w:left="492" w:right="707"/>
      </w:pPr>
      <w:r>
        <w:rPr>
          <w:w w:val="95"/>
        </w:rPr>
        <w:t>30</w:t>
      </w:r>
      <w:r>
        <w:rPr>
          <w:spacing w:val="-1"/>
          <w:w w:val="95"/>
        </w:rPr>
        <w:t xml:space="preserve"> </w:t>
      </w:r>
      <w:r>
        <w:rPr>
          <w:w w:val="95"/>
        </w:rPr>
        <w:t>June</w:t>
      </w:r>
      <w:r>
        <w:rPr>
          <w:spacing w:val="-1"/>
          <w:w w:val="95"/>
        </w:rPr>
        <w:t xml:space="preserve"> </w:t>
      </w:r>
      <w:r>
        <w:rPr>
          <w:w w:val="95"/>
        </w:rPr>
        <w:t>2016.</w:t>
      </w:r>
      <w:r>
        <w:rPr>
          <w:spacing w:val="-1"/>
          <w:w w:val="95"/>
        </w:rPr>
        <w:t xml:space="preserve"> </w:t>
      </w:r>
      <w:r>
        <w:rPr>
          <w:w w:val="95"/>
        </w:rPr>
        <w:t>Transport</w:t>
      </w:r>
      <w:r>
        <w:rPr>
          <w:spacing w:val="-1"/>
          <w:w w:val="95"/>
        </w:rPr>
        <w:t xml:space="preserve"> </w:t>
      </w:r>
      <w:r>
        <w:rPr>
          <w:w w:val="95"/>
        </w:rPr>
        <w:t>spending</w:t>
      </w:r>
      <w:r>
        <w:rPr>
          <w:spacing w:val="-1"/>
          <w:w w:val="95"/>
        </w:rPr>
        <w:t xml:space="preserve"> </w:t>
      </w:r>
      <w:r>
        <w:rPr>
          <w:w w:val="95"/>
        </w:rPr>
        <w:t>is</w:t>
      </w:r>
      <w:r>
        <w:rPr>
          <w:spacing w:val="-1"/>
          <w:w w:val="95"/>
        </w:rPr>
        <w:t xml:space="preserve"> </w:t>
      </w:r>
      <w:r>
        <w:rPr>
          <w:w w:val="95"/>
        </w:rPr>
        <w:t>concentrated</w:t>
      </w:r>
      <w:r>
        <w:rPr>
          <w:spacing w:val="-1"/>
          <w:w w:val="95"/>
        </w:rPr>
        <w:t xml:space="preserve"> </w:t>
      </w:r>
      <w:r>
        <w:rPr>
          <w:w w:val="95"/>
        </w:rPr>
        <w:t xml:space="preserve">on </w:t>
      </w:r>
      <w:r>
        <w:t>roads</w:t>
      </w:r>
      <w:r>
        <w:rPr>
          <w:spacing w:val="-11"/>
        </w:rPr>
        <w:t xml:space="preserve"> </w:t>
      </w:r>
      <w:r>
        <w:t>outside</w:t>
      </w:r>
      <w:r>
        <w:rPr>
          <w:spacing w:val="-11"/>
        </w:rPr>
        <w:t xml:space="preserve"> </w:t>
      </w:r>
      <w:r>
        <w:t>of</w:t>
      </w:r>
      <w:r>
        <w:rPr>
          <w:spacing w:val="-11"/>
        </w:rPr>
        <w:t xml:space="preserve"> </w:t>
      </w:r>
      <w:r>
        <w:t>Sydney</w:t>
      </w:r>
      <w:r>
        <w:rPr>
          <w:spacing w:val="-11"/>
        </w:rPr>
        <w:t xml:space="preserve"> </w:t>
      </w:r>
      <w:r>
        <w:t>and</w:t>
      </w:r>
      <w:r>
        <w:rPr>
          <w:spacing w:val="-11"/>
        </w:rPr>
        <w:t xml:space="preserve"> </w:t>
      </w:r>
      <w:r>
        <w:t>the</w:t>
      </w:r>
      <w:r>
        <w:rPr>
          <w:spacing w:val="-11"/>
        </w:rPr>
        <w:t xml:space="preserve"> </w:t>
      </w:r>
      <w:r>
        <w:t>rail</w:t>
      </w:r>
      <w:r>
        <w:rPr>
          <w:spacing w:val="-11"/>
        </w:rPr>
        <w:t xml:space="preserve"> </w:t>
      </w:r>
      <w:r>
        <w:t>network</w:t>
      </w:r>
      <w:r>
        <w:rPr>
          <w:spacing w:val="-11"/>
        </w:rPr>
        <w:t xml:space="preserve"> </w:t>
      </w:r>
      <w:r>
        <w:t>in</w:t>
      </w:r>
      <w:r>
        <w:rPr>
          <w:spacing w:val="-11"/>
        </w:rPr>
        <w:t xml:space="preserve"> </w:t>
      </w:r>
      <w:r>
        <w:t>and around</w:t>
      </w:r>
      <w:r>
        <w:rPr>
          <w:spacing w:val="-11"/>
        </w:rPr>
        <w:t xml:space="preserve"> </w:t>
      </w:r>
      <w:r>
        <w:t>Sydney.</w:t>
      </w:r>
    </w:p>
    <w:p w:rsidR="002C1123" w:rsidRDefault="00F22F94">
      <w:pPr>
        <w:pStyle w:val="BodyText"/>
        <w:spacing w:before="145" w:line="249" w:lineRule="auto"/>
        <w:ind w:left="492" w:right="835"/>
      </w:pPr>
      <w:r>
        <w:t>Other</w:t>
      </w:r>
      <w:r>
        <w:rPr>
          <w:spacing w:val="-6"/>
        </w:rPr>
        <w:t xml:space="preserve"> </w:t>
      </w:r>
      <w:r>
        <w:t>Government-funded</w:t>
      </w:r>
      <w:r>
        <w:rPr>
          <w:spacing w:val="-6"/>
        </w:rPr>
        <w:t xml:space="preserve"> </w:t>
      </w:r>
      <w:r>
        <w:t>expenditure</w:t>
      </w:r>
      <w:r>
        <w:rPr>
          <w:spacing w:val="-6"/>
        </w:rPr>
        <w:t xml:space="preserve"> </w:t>
      </w:r>
      <w:r>
        <w:t xml:space="preserve">includes </w:t>
      </w:r>
      <w:r>
        <w:rPr>
          <w:w w:val="95"/>
        </w:rPr>
        <w:t>health,</w:t>
      </w:r>
      <w:r>
        <w:rPr>
          <w:spacing w:val="-8"/>
          <w:w w:val="95"/>
        </w:rPr>
        <w:t xml:space="preserve"> </w:t>
      </w:r>
      <w:r>
        <w:rPr>
          <w:w w:val="95"/>
        </w:rPr>
        <w:t>education</w:t>
      </w:r>
      <w:r>
        <w:rPr>
          <w:spacing w:val="-8"/>
          <w:w w:val="95"/>
        </w:rPr>
        <w:t xml:space="preserve"> </w:t>
      </w:r>
      <w:r>
        <w:rPr>
          <w:w w:val="95"/>
        </w:rPr>
        <w:t>and</w:t>
      </w:r>
      <w:r>
        <w:rPr>
          <w:spacing w:val="-8"/>
          <w:w w:val="95"/>
        </w:rPr>
        <w:t xml:space="preserve"> </w:t>
      </w:r>
      <w:r>
        <w:rPr>
          <w:w w:val="95"/>
        </w:rPr>
        <w:t>other</w:t>
      </w:r>
      <w:r>
        <w:rPr>
          <w:spacing w:val="-8"/>
          <w:w w:val="95"/>
        </w:rPr>
        <w:t xml:space="preserve"> </w:t>
      </w:r>
      <w:r>
        <w:rPr>
          <w:w w:val="95"/>
        </w:rPr>
        <w:t>social</w:t>
      </w:r>
      <w:r>
        <w:rPr>
          <w:spacing w:val="-8"/>
          <w:w w:val="95"/>
        </w:rPr>
        <w:t xml:space="preserve"> </w:t>
      </w:r>
      <w:r>
        <w:rPr>
          <w:w w:val="95"/>
        </w:rPr>
        <w:t>infrastructure.</w:t>
      </w:r>
      <w:r>
        <w:rPr>
          <w:spacing w:val="-8"/>
          <w:w w:val="95"/>
        </w:rPr>
        <w:t xml:space="preserve"> </w:t>
      </w:r>
      <w:r>
        <w:rPr>
          <w:w w:val="95"/>
        </w:rPr>
        <w:t>Total</w:t>
      </w:r>
    </w:p>
    <w:p w:rsidR="002C1123" w:rsidRDefault="00F22F94">
      <w:pPr>
        <w:pStyle w:val="BodyText"/>
        <w:spacing w:line="249" w:lineRule="auto"/>
        <w:ind w:left="492" w:right="707"/>
      </w:pPr>
      <w:r>
        <w:rPr>
          <w:w w:val="95"/>
        </w:rPr>
        <w:t>expenditure</w:t>
      </w:r>
      <w:r>
        <w:rPr>
          <w:spacing w:val="-12"/>
          <w:w w:val="95"/>
        </w:rPr>
        <w:t xml:space="preserve"> </w:t>
      </w:r>
      <w:r>
        <w:rPr>
          <w:w w:val="95"/>
        </w:rPr>
        <w:t>of</w:t>
      </w:r>
      <w:r>
        <w:rPr>
          <w:spacing w:val="-11"/>
          <w:w w:val="95"/>
        </w:rPr>
        <w:t xml:space="preserve"> </w:t>
      </w:r>
      <w:r>
        <w:rPr>
          <w:w w:val="95"/>
        </w:rPr>
        <w:t>$17</w:t>
      </w:r>
      <w:r>
        <w:rPr>
          <w:spacing w:val="-11"/>
          <w:w w:val="95"/>
        </w:rPr>
        <w:t xml:space="preserve"> </w:t>
      </w:r>
      <w:r>
        <w:rPr>
          <w:w w:val="95"/>
        </w:rPr>
        <w:t>billion</w:t>
      </w:r>
      <w:r>
        <w:rPr>
          <w:spacing w:val="-11"/>
          <w:w w:val="95"/>
        </w:rPr>
        <w:t xml:space="preserve"> </w:t>
      </w:r>
      <w:r>
        <w:rPr>
          <w:w w:val="95"/>
        </w:rPr>
        <w:t>in</w:t>
      </w:r>
      <w:r>
        <w:rPr>
          <w:spacing w:val="-12"/>
          <w:w w:val="95"/>
        </w:rPr>
        <w:t xml:space="preserve"> </w:t>
      </w:r>
      <w:r>
        <w:rPr>
          <w:w w:val="95"/>
        </w:rPr>
        <w:t>the</w:t>
      </w:r>
      <w:r>
        <w:rPr>
          <w:spacing w:val="-11"/>
          <w:w w:val="95"/>
        </w:rPr>
        <w:t xml:space="preserve"> </w:t>
      </w:r>
      <w:r>
        <w:rPr>
          <w:w w:val="95"/>
        </w:rPr>
        <w:t>five</w:t>
      </w:r>
      <w:r>
        <w:rPr>
          <w:spacing w:val="-11"/>
          <w:w w:val="95"/>
        </w:rPr>
        <w:t xml:space="preserve"> </w:t>
      </w:r>
      <w:r>
        <w:rPr>
          <w:w w:val="95"/>
        </w:rPr>
        <w:t>years</w:t>
      </w:r>
      <w:r>
        <w:rPr>
          <w:spacing w:val="-11"/>
          <w:w w:val="95"/>
        </w:rPr>
        <w:t xml:space="preserve"> </w:t>
      </w:r>
      <w:r>
        <w:rPr>
          <w:w w:val="95"/>
        </w:rPr>
        <w:t>to</w:t>
      </w:r>
      <w:r>
        <w:rPr>
          <w:spacing w:val="-11"/>
          <w:w w:val="95"/>
        </w:rPr>
        <w:t xml:space="preserve"> </w:t>
      </w:r>
      <w:r>
        <w:rPr>
          <w:w w:val="95"/>
        </w:rPr>
        <w:t>30</w:t>
      </w:r>
      <w:r>
        <w:rPr>
          <w:spacing w:val="-12"/>
          <w:w w:val="95"/>
        </w:rPr>
        <w:t xml:space="preserve"> </w:t>
      </w:r>
      <w:r>
        <w:rPr>
          <w:w w:val="95"/>
        </w:rPr>
        <w:t>June</w:t>
      </w:r>
      <w:r>
        <w:rPr>
          <w:spacing w:val="-11"/>
          <w:w w:val="95"/>
        </w:rPr>
        <w:t xml:space="preserve"> </w:t>
      </w:r>
      <w:r>
        <w:rPr>
          <w:w w:val="95"/>
        </w:rPr>
        <w:t xml:space="preserve">2011 </w:t>
      </w:r>
      <w:r>
        <w:t>was</w:t>
      </w:r>
      <w:r>
        <w:rPr>
          <w:spacing w:val="-8"/>
        </w:rPr>
        <w:t xml:space="preserve"> </w:t>
      </w:r>
      <w:r>
        <w:t>boosted</w:t>
      </w:r>
      <w:r>
        <w:rPr>
          <w:spacing w:val="-8"/>
        </w:rPr>
        <w:t xml:space="preserve"> </w:t>
      </w:r>
      <w:r>
        <w:t>by</w:t>
      </w:r>
      <w:r>
        <w:rPr>
          <w:spacing w:val="-8"/>
        </w:rPr>
        <w:t xml:space="preserve"> </w:t>
      </w:r>
      <w:r>
        <w:t>$3</w:t>
      </w:r>
      <w:r>
        <w:rPr>
          <w:spacing w:val="-8"/>
        </w:rPr>
        <w:t xml:space="preserve"> </w:t>
      </w:r>
      <w:r>
        <w:t>billion</w:t>
      </w:r>
      <w:r>
        <w:rPr>
          <w:spacing w:val="-8"/>
        </w:rPr>
        <w:t xml:space="preserve"> </w:t>
      </w:r>
      <w:r>
        <w:t>of</w:t>
      </w:r>
      <w:r>
        <w:rPr>
          <w:spacing w:val="-8"/>
        </w:rPr>
        <w:t xml:space="preserve"> </w:t>
      </w:r>
      <w:r>
        <w:t>Commonwealth</w:t>
      </w:r>
      <w:r>
        <w:rPr>
          <w:spacing w:val="-8"/>
        </w:rPr>
        <w:t xml:space="preserve"> </w:t>
      </w:r>
      <w:r>
        <w:t xml:space="preserve">stimulus </w:t>
      </w:r>
      <w:r>
        <w:rPr>
          <w:spacing w:val="-2"/>
        </w:rPr>
        <w:t>spending.</w:t>
      </w:r>
      <w:r>
        <w:rPr>
          <w:spacing w:val="-7"/>
        </w:rPr>
        <w:t xml:space="preserve"> </w:t>
      </w:r>
      <w:r>
        <w:rPr>
          <w:spacing w:val="-2"/>
        </w:rPr>
        <w:t>Total</w:t>
      </w:r>
      <w:r>
        <w:rPr>
          <w:spacing w:val="-7"/>
        </w:rPr>
        <w:t xml:space="preserve"> </w:t>
      </w:r>
      <w:r>
        <w:rPr>
          <w:spacing w:val="-2"/>
        </w:rPr>
        <w:t>expenditure</w:t>
      </w:r>
      <w:r>
        <w:rPr>
          <w:spacing w:val="-7"/>
        </w:rPr>
        <w:t xml:space="preserve"> </w:t>
      </w:r>
      <w:r>
        <w:rPr>
          <w:spacing w:val="-2"/>
        </w:rPr>
        <w:t>in</w:t>
      </w:r>
      <w:r>
        <w:rPr>
          <w:spacing w:val="-7"/>
        </w:rPr>
        <w:t xml:space="preserve"> </w:t>
      </w:r>
      <w:r>
        <w:rPr>
          <w:spacing w:val="-2"/>
        </w:rPr>
        <w:t>the</w:t>
      </w:r>
      <w:r>
        <w:rPr>
          <w:spacing w:val="-7"/>
        </w:rPr>
        <w:t xml:space="preserve"> </w:t>
      </w:r>
      <w:r>
        <w:rPr>
          <w:spacing w:val="-2"/>
        </w:rPr>
        <w:t>five</w:t>
      </w:r>
      <w:r>
        <w:rPr>
          <w:spacing w:val="-7"/>
        </w:rPr>
        <w:t xml:space="preserve"> </w:t>
      </w:r>
      <w:r>
        <w:rPr>
          <w:spacing w:val="-2"/>
        </w:rPr>
        <w:t>years</w:t>
      </w:r>
      <w:r>
        <w:rPr>
          <w:spacing w:val="-7"/>
        </w:rPr>
        <w:t xml:space="preserve"> </w:t>
      </w:r>
      <w:r>
        <w:rPr>
          <w:spacing w:val="-2"/>
        </w:rPr>
        <w:t>to</w:t>
      </w:r>
      <w:r>
        <w:rPr>
          <w:spacing w:val="-7"/>
        </w:rPr>
        <w:t xml:space="preserve"> </w:t>
      </w:r>
      <w:r>
        <w:rPr>
          <w:spacing w:val="-2"/>
        </w:rPr>
        <w:t>30</w:t>
      </w:r>
      <w:r>
        <w:rPr>
          <w:spacing w:val="-7"/>
        </w:rPr>
        <w:t xml:space="preserve"> </w:t>
      </w:r>
      <w:r>
        <w:rPr>
          <w:spacing w:val="-2"/>
        </w:rPr>
        <w:t>June</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136" w:space="40"/>
            <w:col w:w="4131" w:space="746"/>
            <w:col w:w="6007"/>
          </w:cols>
        </w:sectPr>
      </w:pPr>
    </w:p>
    <w:p w:rsidR="002C1123" w:rsidRDefault="00F22F94">
      <w:pPr>
        <w:pStyle w:val="BodyText"/>
        <w:spacing w:before="4"/>
        <w:ind w:left="492"/>
      </w:pPr>
      <w:r>
        <w:rPr>
          <w:spacing w:val="-2"/>
          <w:w w:val="95"/>
        </w:rPr>
        <w:t>value-for-money</w:t>
      </w:r>
      <w:r>
        <w:rPr>
          <w:spacing w:val="13"/>
        </w:rPr>
        <w:t xml:space="preserve"> </w:t>
      </w:r>
      <w:r>
        <w:rPr>
          <w:spacing w:val="-2"/>
          <w:w w:val="95"/>
        </w:rPr>
        <w:t>outcomes.</w:t>
      </w:r>
    </w:p>
    <w:p w:rsidR="002C1123" w:rsidRDefault="00F22F94">
      <w:pPr>
        <w:spacing w:line="115" w:lineRule="exact"/>
        <w:ind w:left="492"/>
        <w:rPr>
          <w:sz w:val="16"/>
        </w:rPr>
      </w:pPr>
      <w:r>
        <w:br w:type="column"/>
      </w:r>
      <w:r>
        <w:rPr>
          <w:spacing w:val="-10"/>
          <w:sz w:val="16"/>
        </w:rPr>
        <w:t>0</w:t>
      </w:r>
    </w:p>
    <w:p w:rsidR="002C1123" w:rsidRDefault="002060EF">
      <w:pPr>
        <w:spacing w:line="170" w:lineRule="exact"/>
        <w:ind w:left="1009"/>
        <w:rPr>
          <w:sz w:val="16"/>
        </w:rPr>
      </w:pPr>
      <w:r>
        <w:pict>
          <v:rect id="docshape2893" o:spid="_x0000_s1133" style="position:absolute;left:0;text-align:left;margin-left:425pt;margin-top:14.55pt;width:8.5pt;height:8.5pt;z-index:251752448;mso-position-horizontal-relative:page" fillcolor="#b9e5fa" stroked="f">
            <w10:wrap anchorx="page"/>
          </v:rect>
        </w:pict>
      </w:r>
      <w:r w:rsidR="00F22F94">
        <w:rPr>
          <w:w w:val="85"/>
          <w:sz w:val="16"/>
        </w:rPr>
        <w:t>2001/06</w:t>
      </w:r>
      <w:r w:rsidR="00F22F94">
        <w:rPr>
          <w:spacing w:val="4"/>
          <w:sz w:val="16"/>
        </w:rPr>
        <w:t xml:space="preserve"> </w:t>
      </w:r>
      <w:r w:rsidR="00F22F94">
        <w:rPr>
          <w:spacing w:val="-7"/>
          <w:w w:val="85"/>
          <w:sz w:val="16"/>
        </w:rPr>
        <w:t>Actual</w:t>
      </w:r>
    </w:p>
    <w:p w:rsidR="002C1123" w:rsidRDefault="00F22F94">
      <w:pPr>
        <w:spacing w:before="101"/>
        <w:ind w:left="392"/>
        <w:rPr>
          <w:sz w:val="16"/>
        </w:rPr>
      </w:pPr>
      <w:r>
        <w:br w:type="column"/>
      </w:r>
      <w:r>
        <w:rPr>
          <w:w w:val="85"/>
          <w:sz w:val="16"/>
        </w:rPr>
        <w:t>2006/11</w:t>
      </w:r>
      <w:r>
        <w:rPr>
          <w:spacing w:val="4"/>
          <w:sz w:val="16"/>
        </w:rPr>
        <w:t xml:space="preserve"> </w:t>
      </w:r>
      <w:r>
        <w:rPr>
          <w:spacing w:val="-7"/>
          <w:w w:val="85"/>
          <w:sz w:val="16"/>
        </w:rPr>
        <w:t>Actual</w:t>
      </w:r>
    </w:p>
    <w:p w:rsidR="002C1123" w:rsidRDefault="00F22F94">
      <w:pPr>
        <w:spacing w:before="101"/>
        <w:ind w:left="356"/>
        <w:rPr>
          <w:sz w:val="16"/>
        </w:rPr>
      </w:pPr>
      <w:r>
        <w:br w:type="column"/>
      </w:r>
      <w:r>
        <w:rPr>
          <w:w w:val="90"/>
          <w:sz w:val="16"/>
        </w:rPr>
        <w:t>2011/16</w:t>
      </w:r>
      <w:r>
        <w:rPr>
          <w:spacing w:val="13"/>
          <w:sz w:val="16"/>
        </w:rPr>
        <w:t xml:space="preserve"> </w:t>
      </w:r>
      <w:r>
        <w:rPr>
          <w:spacing w:val="-2"/>
          <w:w w:val="80"/>
          <w:sz w:val="16"/>
        </w:rPr>
        <w:t>Budget</w:t>
      </w:r>
    </w:p>
    <w:p w:rsidR="002C1123" w:rsidRDefault="00F22F94">
      <w:pPr>
        <w:pStyle w:val="BodyText"/>
        <w:spacing w:before="4"/>
        <w:ind w:left="447"/>
      </w:pPr>
      <w:r>
        <w:br w:type="column"/>
      </w:r>
      <w:r>
        <w:rPr>
          <w:w w:val="95"/>
        </w:rPr>
        <w:t>2016</w:t>
      </w:r>
      <w:r>
        <w:rPr>
          <w:spacing w:val="-10"/>
          <w:w w:val="95"/>
        </w:rPr>
        <w:t xml:space="preserve"> </w:t>
      </w:r>
      <w:r>
        <w:rPr>
          <w:w w:val="95"/>
        </w:rPr>
        <w:t>is</w:t>
      </w:r>
      <w:r>
        <w:rPr>
          <w:spacing w:val="-9"/>
          <w:w w:val="95"/>
        </w:rPr>
        <w:t xml:space="preserve"> </w:t>
      </w:r>
      <w:r>
        <w:rPr>
          <w:w w:val="95"/>
        </w:rPr>
        <w:t>forecast</w:t>
      </w:r>
      <w:r>
        <w:rPr>
          <w:spacing w:val="-10"/>
          <w:w w:val="95"/>
        </w:rPr>
        <w:t xml:space="preserve"> </w:t>
      </w:r>
      <w:r>
        <w:rPr>
          <w:w w:val="95"/>
        </w:rPr>
        <w:t>to</w:t>
      </w:r>
      <w:r>
        <w:rPr>
          <w:spacing w:val="-9"/>
          <w:w w:val="95"/>
        </w:rPr>
        <w:t xml:space="preserve"> </w:t>
      </w:r>
      <w:r>
        <w:rPr>
          <w:w w:val="95"/>
        </w:rPr>
        <w:t>be</w:t>
      </w:r>
      <w:r>
        <w:rPr>
          <w:spacing w:val="-10"/>
          <w:w w:val="95"/>
        </w:rPr>
        <w:t xml:space="preserve"> </w:t>
      </w:r>
      <w:r>
        <w:rPr>
          <w:w w:val="95"/>
        </w:rPr>
        <w:t>$15</w:t>
      </w:r>
      <w:r>
        <w:rPr>
          <w:spacing w:val="-9"/>
          <w:w w:val="95"/>
        </w:rPr>
        <w:t xml:space="preserve"> </w:t>
      </w:r>
      <w:r>
        <w:rPr>
          <w:spacing w:val="-2"/>
          <w:w w:val="95"/>
        </w:rPr>
        <w:t>billion.</w:t>
      </w:r>
    </w:p>
    <w:p w:rsidR="002C1123" w:rsidRDefault="002C1123">
      <w:pPr>
        <w:sectPr w:rsidR="002C1123">
          <w:type w:val="continuous"/>
          <w:pgSz w:w="16840" w:h="11910" w:orient="landscape"/>
          <w:pgMar w:top="560" w:right="280" w:bottom="280" w:left="500" w:header="0" w:footer="517" w:gutter="0"/>
          <w:cols w:num="5" w:space="720" w:equalWidth="0">
            <w:col w:w="2870" w:space="2575"/>
            <w:col w:w="1906" w:space="40"/>
            <w:col w:w="1289" w:space="39"/>
            <w:col w:w="1339" w:space="40"/>
            <w:col w:w="5962"/>
          </w:cols>
        </w:sectPr>
      </w:pPr>
    </w:p>
    <w:p w:rsidR="002C1123" w:rsidRDefault="00F22F94">
      <w:pPr>
        <w:pStyle w:val="Heading6"/>
        <w:numPr>
          <w:ilvl w:val="2"/>
          <w:numId w:val="24"/>
        </w:numPr>
        <w:tabs>
          <w:tab w:val="left" w:pos="1087"/>
        </w:tabs>
        <w:spacing w:before="10" w:line="320" w:lineRule="atLeast"/>
        <w:ind w:left="492" w:right="1724" w:firstLine="0"/>
        <w:jc w:val="left"/>
      </w:pPr>
      <w:r>
        <w:rPr>
          <w:color w:val="00AEEF"/>
          <w:spacing w:val="-4"/>
        </w:rPr>
        <w:t>Constraints</w:t>
      </w:r>
      <w:r>
        <w:rPr>
          <w:color w:val="00AEEF"/>
          <w:spacing w:val="-10"/>
        </w:rPr>
        <w:t xml:space="preserve"> </w:t>
      </w:r>
      <w:r>
        <w:rPr>
          <w:color w:val="00AEEF"/>
          <w:spacing w:val="-4"/>
        </w:rPr>
        <w:t>on</w:t>
      </w:r>
      <w:r>
        <w:rPr>
          <w:color w:val="00AEEF"/>
          <w:spacing w:val="-10"/>
        </w:rPr>
        <w:t xml:space="preserve"> </w:t>
      </w:r>
      <w:r>
        <w:rPr>
          <w:color w:val="00AEEF"/>
          <w:spacing w:val="-4"/>
        </w:rPr>
        <w:t xml:space="preserve">Funding </w:t>
      </w:r>
      <w:r>
        <w:t>Government Funding</w:t>
      </w:r>
    </w:p>
    <w:p w:rsidR="002C1123" w:rsidRDefault="00F22F94">
      <w:pPr>
        <w:pStyle w:val="BodyText"/>
        <w:spacing w:before="15" w:line="149" w:lineRule="exact"/>
        <w:ind w:left="492"/>
      </w:pPr>
      <w:r>
        <w:rPr>
          <w:w w:val="95"/>
        </w:rPr>
        <w:t>Over</w:t>
      </w:r>
      <w:r>
        <w:rPr>
          <w:spacing w:val="-7"/>
          <w:w w:val="95"/>
        </w:rPr>
        <w:t xml:space="preserve"> </w:t>
      </w:r>
      <w:r>
        <w:rPr>
          <w:w w:val="95"/>
        </w:rPr>
        <w:t>the</w:t>
      </w:r>
      <w:r>
        <w:rPr>
          <w:spacing w:val="-6"/>
          <w:w w:val="95"/>
        </w:rPr>
        <w:t xml:space="preserve"> </w:t>
      </w:r>
      <w:r>
        <w:rPr>
          <w:w w:val="95"/>
        </w:rPr>
        <w:t>last</w:t>
      </w:r>
      <w:r>
        <w:rPr>
          <w:spacing w:val="-7"/>
          <w:w w:val="95"/>
        </w:rPr>
        <w:t xml:space="preserve"> </w:t>
      </w:r>
      <w:r>
        <w:rPr>
          <w:w w:val="95"/>
        </w:rPr>
        <w:t>decade,</w:t>
      </w:r>
      <w:r>
        <w:rPr>
          <w:spacing w:val="-6"/>
          <w:w w:val="95"/>
        </w:rPr>
        <w:t xml:space="preserve"> </w:t>
      </w:r>
      <w:r>
        <w:rPr>
          <w:w w:val="95"/>
        </w:rPr>
        <w:t>the</w:t>
      </w:r>
      <w:r>
        <w:rPr>
          <w:spacing w:val="-7"/>
          <w:w w:val="95"/>
        </w:rPr>
        <w:t xml:space="preserve"> </w:t>
      </w:r>
      <w:r>
        <w:rPr>
          <w:w w:val="95"/>
        </w:rPr>
        <w:t>NSW</w:t>
      </w:r>
      <w:r>
        <w:rPr>
          <w:spacing w:val="-6"/>
          <w:w w:val="95"/>
        </w:rPr>
        <w:t xml:space="preserve"> </w:t>
      </w:r>
      <w:r>
        <w:rPr>
          <w:w w:val="95"/>
        </w:rPr>
        <w:t>Government’s</w:t>
      </w:r>
      <w:r>
        <w:rPr>
          <w:spacing w:val="-6"/>
          <w:w w:val="95"/>
        </w:rPr>
        <w:t xml:space="preserve"> </w:t>
      </w:r>
      <w:r>
        <w:rPr>
          <w:spacing w:val="-2"/>
          <w:w w:val="95"/>
        </w:rPr>
        <w:t>capital</w:t>
      </w:r>
    </w:p>
    <w:p w:rsidR="002C1123" w:rsidRDefault="00F22F94">
      <w:pPr>
        <w:spacing w:before="112" w:line="331" w:lineRule="auto"/>
        <w:ind w:left="1071" w:hanging="1"/>
        <w:rPr>
          <w:sz w:val="16"/>
        </w:rPr>
      </w:pPr>
      <w:r>
        <w:br w:type="column"/>
      </w:r>
      <w:r>
        <w:rPr>
          <w:spacing w:val="-2"/>
          <w:w w:val="80"/>
          <w:sz w:val="16"/>
        </w:rPr>
        <w:t>Transport</w:t>
      </w:r>
      <w:r>
        <w:rPr>
          <w:spacing w:val="-10"/>
          <w:sz w:val="16"/>
        </w:rPr>
        <w:t xml:space="preserve"> </w:t>
      </w:r>
      <w:r>
        <w:rPr>
          <w:spacing w:val="-2"/>
          <w:w w:val="80"/>
          <w:sz w:val="16"/>
        </w:rPr>
        <w:t>Infrastructure</w:t>
      </w:r>
      <w:r>
        <w:rPr>
          <w:sz w:val="16"/>
        </w:rPr>
        <w:t xml:space="preserve"> </w:t>
      </w:r>
      <w:r>
        <w:rPr>
          <w:w w:val="90"/>
          <w:sz w:val="16"/>
        </w:rPr>
        <w:t>Commercial</w:t>
      </w:r>
      <w:r>
        <w:rPr>
          <w:spacing w:val="-7"/>
          <w:w w:val="90"/>
          <w:sz w:val="16"/>
        </w:rPr>
        <w:t xml:space="preserve"> </w:t>
      </w:r>
      <w:r>
        <w:rPr>
          <w:w w:val="90"/>
          <w:sz w:val="16"/>
        </w:rPr>
        <w:t>Sector</w:t>
      </w:r>
    </w:p>
    <w:p w:rsidR="002C1123" w:rsidRDefault="002060EF">
      <w:pPr>
        <w:spacing w:before="27"/>
        <w:ind w:left="492"/>
        <w:rPr>
          <w:sz w:val="14"/>
        </w:rPr>
      </w:pPr>
      <w:r>
        <w:pict>
          <v:rect id="docshape2894" o:spid="_x0000_s1132" style="position:absolute;left:0;text-align:left;margin-left:320.3pt;margin-top:-24.95pt;width:8.5pt;height:8.5pt;z-index:251751424;mso-position-horizontal-relative:page" fillcolor="#00aeef" stroked="f">
            <w10:wrap anchorx="page"/>
          </v:rect>
        </w:pict>
      </w:r>
      <w:r>
        <w:pict>
          <v:rect id="docshape2895" o:spid="_x0000_s1131" style="position:absolute;left:0;text-align:left;margin-left:320.3pt;margin-top:-12.2pt;width:8.5pt;height:8.5pt;z-index:251753472;mso-position-horizontal-relative:page" fillcolor="#2e3092" stroked="f">
            <w10:wrap anchorx="page"/>
          </v:rect>
        </w:pict>
      </w:r>
      <w:r w:rsidR="00F22F94">
        <w:rPr>
          <w:w w:val="95"/>
          <w:sz w:val="14"/>
        </w:rPr>
        <w:t>Source:</w:t>
      </w:r>
      <w:r w:rsidR="00F22F94">
        <w:rPr>
          <w:spacing w:val="6"/>
          <w:sz w:val="14"/>
        </w:rPr>
        <w:t xml:space="preserve"> </w:t>
      </w:r>
      <w:r w:rsidR="00F22F94">
        <w:rPr>
          <w:w w:val="95"/>
          <w:sz w:val="14"/>
        </w:rPr>
        <w:t>NSW</w:t>
      </w:r>
      <w:r w:rsidR="00F22F94">
        <w:rPr>
          <w:spacing w:val="6"/>
          <w:sz w:val="14"/>
        </w:rPr>
        <w:t xml:space="preserve"> </w:t>
      </w:r>
      <w:r w:rsidR="00F22F94">
        <w:rPr>
          <w:spacing w:val="-2"/>
          <w:w w:val="95"/>
          <w:sz w:val="14"/>
        </w:rPr>
        <w:t>Treasury.</w:t>
      </w:r>
    </w:p>
    <w:p w:rsidR="002C1123" w:rsidRDefault="00F22F94">
      <w:pPr>
        <w:spacing w:before="112"/>
        <w:ind w:left="492"/>
        <w:rPr>
          <w:sz w:val="16"/>
        </w:rPr>
      </w:pPr>
      <w:r>
        <w:br w:type="column"/>
      </w:r>
      <w:r>
        <w:rPr>
          <w:w w:val="75"/>
          <w:sz w:val="16"/>
        </w:rPr>
        <w:t>Social</w:t>
      </w:r>
      <w:r>
        <w:rPr>
          <w:spacing w:val="1"/>
          <w:sz w:val="16"/>
        </w:rPr>
        <w:t xml:space="preserve"> </w:t>
      </w:r>
      <w:r>
        <w:rPr>
          <w:spacing w:val="-2"/>
          <w:w w:val="80"/>
          <w:sz w:val="16"/>
        </w:rPr>
        <w:t>Infrastructure</w:t>
      </w:r>
    </w:p>
    <w:p w:rsidR="002C1123" w:rsidRDefault="00F22F94">
      <w:pPr>
        <w:pStyle w:val="BodyText"/>
        <w:spacing w:before="100" w:line="249" w:lineRule="auto"/>
        <w:ind w:left="492" w:right="835"/>
      </w:pPr>
      <w:r>
        <w:br w:type="column"/>
      </w:r>
      <w:r>
        <w:rPr>
          <w:w w:val="95"/>
        </w:rPr>
        <w:t xml:space="preserve">Commonwealth funding of NSW infrastructure projects </w:t>
      </w:r>
      <w:r>
        <w:rPr>
          <w:spacing w:val="-2"/>
        </w:rPr>
        <w:t>is</w:t>
      </w:r>
      <w:r>
        <w:rPr>
          <w:spacing w:val="-10"/>
        </w:rPr>
        <w:t xml:space="preserve"> </w:t>
      </w:r>
      <w:r>
        <w:rPr>
          <w:spacing w:val="-2"/>
        </w:rPr>
        <w:t>currently</w:t>
      </w:r>
      <w:r>
        <w:rPr>
          <w:spacing w:val="-10"/>
        </w:rPr>
        <w:t xml:space="preserve"> </w:t>
      </w:r>
      <w:r>
        <w:rPr>
          <w:spacing w:val="-2"/>
        </w:rPr>
        <w:t>forecast</w:t>
      </w:r>
      <w:r>
        <w:rPr>
          <w:spacing w:val="-10"/>
        </w:rPr>
        <w:t xml:space="preserve"> </w:t>
      </w:r>
      <w:r>
        <w:rPr>
          <w:spacing w:val="-2"/>
        </w:rPr>
        <w:t>to</w:t>
      </w:r>
      <w:r>
        <w:rPr>
          <w:spacing w:val="-10"/>
        </w:rPr>
        <w:t xml:space="preserve"> </w:t>
      </w:r>
      <w:r>
        <w:rPr>
          <w:spacing w:val="-2"/>
        </w:rPr>
        <w:t>fall</w:t>
      </w:r>
      <w:r>
        <w:rPr>
          <w:spacing w:val="-10"/>
        </w:rPr>
        <w:t xml:space="preserve"> </w:t>
      </w:r>
      <w:r>
        <w:rPr>
          <w:spacing w:val="-2"/>
        </w:rPr>
        <w:t>from</w:t>
      </w:r>
      <w:r>
        <w:rPr>
          <w:spacing w:val="-10"/>
        </w:rPr>
        <w:t xml:space="preserve"> </w:t>
      </w:r>
      <w:r>
        <w:rPr>
          <w:spacing w:val="-2"/>
        </w:rPr>
        <w:t>$2</w:t>
      </w:r>
      <w:r>
        <w:rPr>
          <w:spacing w:val="-10"/>
        </w:rPr>
        <w:t xml:space="preserve"> </w:t>
      </w:r>
      <w:r>
        <w:rPr>
          <w:spacing w:val="-2"/>
        </w:rPr>
        <w:t>billion</w:t>
      </w:r>
      <w:r>
        <w:rPr>
          <w:spacing w:val="-10"/>
        </w:rPr>
        <w:t xml:space="preserve"> </w:t>
      </w:r>
      <w:r>
        <w:rPr>
          <w:spacing w:val="-2"/>
        </w:rPr>
        <w:t>in</w:t>
      </w:r>
      <w:r>
        <w:rPr>
          <w:spacing w:val="-10"/>
        </w:rPr>
        <w:t xml:space="preserve"> </w:t>
      </w:r>
      <w:r>
        <w:rPr>
          <w:spacing w:val="-2"/>
        </w:rPr>
        <w:t>2011-12</w:t>
      </w:r>
      <w:r>
        <w:rPr>
          <w:spacing w:val="-10"/>
        </w:rPr>
        <w:t xml:space="preserve"> </w:t>
      </w:r>
      <w:r>
        <w:rPr>
          <w:spacing w:val="-2"/>
        </w:rPr>
        <w:t>to</w:t>
      </w:r>
    </w:p>
    <w:p w:rsidR="002C1123" w:rsidRDefault="00F22F94">
      <w:pPr>
        <w:pStyle w:val="BodyText"/>
        <w:spacing w:before="2"/>
        <w:ind w:left="492"/>
      </w:pPr>
      <w:r>
        <w:rPr>
          <w:w w:val="95"/>
        </w:rPr>
        <w:t>$1</w:t>
      </w:r>
      <w:r>
        <w:rPr>
          <w:spacing w:val="-10"/>
          <w:w w:val="95"/>
        </w:rPr>
        <w:t xml:space="preserve"> </w:t>
      </w:r>
      <w:r>
        <w:rPr>
          <w:w w:val="95"/>
        </w:rPr>
        <w:t>billion</w:t>
      </w:r>
      <w:r>
        <w:rPr>
          <w:spacing w:val="-10"/>
          <w:w w:val="95"/>
        </w:rPr>
        <w:t xml:space="preserve"> </w:t>
      </w:r>
      <w:r>
        <w:rPr>
          <w:w w:val="95"/>
        </w:rPr>
        <w:t>in</w:t>
      </w:r>
      <w:r>
        <w:rPr>
          <w:spacing w:val="-10"/>
          <w:w w:val="95"/>
        </w:rPr>
        <w:t xml:space="preserve"> </w:t>
      </w:r>
      <w:r>
        <w:rPr>
          <w:w w:val="95"/>
        </w:rPr>
        <w:t>2015-16</w:t>
      </w:r>
      <w:r>
        <w:rPr>
          <w:w w:val="95"/>
          <w:position w:val="7"/>
          <w:sz w:val="11"/>
        </w:rPr>
        <w:t>4</w:t>
      </w:r>
      <w:r>
        <w:rPr>
          <w:w w:val="95"/>
        </w:rPr>
        <w:t>.</w:t>
      </w:r>
      <w:r>
        <w:rPr>
          <w:spacing w:val="-10"/>
          <w:w w:val="95"/>
        </w:rPr>
        <w:t xml:space="preserve"> </w:t>
      </w:r>
      <w:r>
        <w:rPr>
          <w:w w:val="95"/>
        </w:rPr>
        <w:t>This</w:t>
      </w:r>
      <w:r>
        <w:rPr>
          <w:spacing w:val="-10"/>
          <w:w w:val="95"/>
        </w:rPr>
        <w:t xml:space="preserve"> </w:t>
      </w:r>
      <w:r>
        <w:rPr>
          <w:w w:val="95"/>
        </w:rPr>
        <w:t>places</w:t>
      </w:r>
      <w:r>
        <w:rPr>
          <w:spacing w:val="-10"/>
          <w:w w:val="95"/>
        </w:rPr>
        <w:t xml:space="preserve"> </w:t>
      </w:r>
      <w:r>
        <w:rPr>
          <w:w w:val="95"/>
        </w:rPr>
        <w:t>further</w:t>
      </w:r>
      <w:r>
        <w:rPr>
          <w:spacing w:val="-10"/>
          <w:w w:val="95"/>
        </w:rPr>
        <w:t xml:space="preserve"> </w:t>
      </w:r>
      <w:r>
        <w:rPr>
          <w:w w:val="95"/>
        </w:rPr>
        <w:t>pressure</w:t>
      </w:r>
      <w:r>
        <w:rPr>
          <w:spacing w:val="-10"/>
          <w:w w:val="95"/>
        </w:rPr>
        <w:t xml:space="preserve"> </w:t>
      </w:r>
      <w:r>
        <w:rPr>
          <w:w w:val="95"/>
        </w:rPr>
        <w:t>on</w:t>
      </w:r>
      <w:r>
        <w:rPr>
          <w:spacing w:val="-10"/>
          <w:w w:val="95"/>
        </w:rPr>
        <w:t xml:space="preserve"> </w:t>
      </w:r>
      <w:r>
        <w:rPr>
          <w:spacing w:val="-5"/>
          <w:w w:val="95"/>
        </w:rPr>
        <w:t>the</w:t>
      </w:r>
    </w:p>
    <w:p w:rsidR="002C1123" w:rsidRDefault="002C1123">
      <w:pPr>
        <w:sectPr w:rsidR="002C1123">
          <w:type w:val="continuous"/>
          <w:pgSz w:w="16840" w:h="11910" w:orient="landscape"/>
          <w:pgMar w:top="560" w:right="280" w:bottom="280" w:left="500" w:header="0" w:footer="517" w:gutter="0"/>
          <w:cols w:num="4" w:space="720" w:equalWidth="0">
            <w:col w:w="4991" w:space="99"/>
            <w:col w:w="2444" w:space="228"/>
            <w:col w:w="1664" w:space="628"/>
            <w:col w:w="6006"/>
          </w:cols>
        </w:sectPr>
      </w:pPr>
    </w:p>
    <w:p w:rsidR="002C1123" w:rsidRDefault="00F22F94">
      <w:pPr>
        <w:pStyle w:val="BodyText"/>
        <w:spacing w:before="91" w:line="249" w:lineRule="auto"/>
        <w:ind w:left="492"/>
      </w:pPr>
      <w:r>
        <w:t>expenditure</w:t>
      </w:r>
      <w:r>
        <w:rPr>
          <w:spacing w:val="-14"/>
        </w:rPr>
        <w:t xml:space="preserve"> </w:t>
      </w:r>
      <w:r>
        <w:t>has</w:t>
      </w:r>
      <w:r>
        <w:rPr>
          <w:spacing w:val="-14"/>
        </w:rPr>
        <w:t xml:space="preserve"> </w:t>
      </w:r>
      <w:r>
        <w:t>grown</w:t>
      </w:r>
      <w:r>
        <w:rPr>
          <w:spacing w:val="-14"/>
        </w:rPr>
        <w:t xml:space="preserve"> </w:t>
      </w:r>
      <w:r>
        <w:t>rapidly</w:t>
      </w:r>
      <w:r>
        <w:rPr>
          <w:spacing w:val="-14"/>
        </w:rPr>
        <w:t xml:space="preserve"> </w:t>
      </w:r>
      <w:r>
        <w:t>as</w:t>
      </w:r>
      <w:r>
        <w:rPr>
          <w:spacing w:val="-14"/>
        </w:rPr>
        <w:t xml:space="preserve"> </w:t>
      </w:r>
      <w:r>
        <w:t>noted</w:t>
      </w:r>
      <w:r>
        <w:rPr>
          <w:spacing w:val="-14"/>
        </w:rPr>
        <w:t xml:space="preserve"> </w:t>
      </w:r>
      <w:r>
        <w:t>in</w:t>
      </w:r>
      <w:r>
        <w:rPr>
          <w:spacing w:val="-13"/>
        </w:rPr>
        <w:t xml:space="preserve"> </w:t>
      </w:r>
      <w:r>
        <w:t>the</w:t>
      </w:r>
      <w:r>
        <w:rPr>
          <w:spacing w:val="-14"/>
        </w:rPr>
        <w:t xml:space="preserve"> </w:t>
      </w:r>
      <w:r>
        <w:t>2011 Lambert</w:t>
      </w:r>
      <w:r>
        <w:rPr>
          <w:spacing w:val="-14"/>
        </w:rPr>
        <w:t xml:space="preserve"> </w:t>
      </w:r>
      <w:r>
        <w:t>Report.</w:t>
      </w:r>
      <w:r>
        <w:rPr>
          <w:spacing w:val="-14"/>
        </w:rPr>
        <w:t xml:space="preserve"> </w:t>
      </w:r>
      <w:r>
        <w:t>Capital</w:t>
      </w:r>
      <w:r>
        <w:rPr>
          <w:spacing w:val="-14"/>
        </w:rPr>
        <w:t xml:space="preserve"> </w:t>
      </w:r>
      <w:r>
        <w:t>spending</w:t>
      </w:r>
      <w:r>
        <w:rPr>
          <w:spacing w:val="-14"/>
        </w:rPr>
        <w:t xml:space="preserve"> </w:t>
      </w:r>
      <w:r>
        <w:t>has</w:t>
      </w:r>
      <w:r>
        <w:rPr>
          <w:spacing w:val="-14"/>
        </w:rPr>
        <w:t xml:space="preserve"> </w:t>
      </w:r>
      <w:r>
        <w:t>increased</w:t>
      </w:r>
      <w:r>
        <w:rPr>
          <w:spacing w:val="-14"/>
        </w:rPr>
        <w:t xml:space="preserve"> </w:t>
      </w:r>
      <w:r>
        <w:t xml:space="preserve">from </w:t>
      </w:r>
      <w:r>
        <w:rPr>
          <w:w w:val="95"/>
        </w:rPr>
        <w:t>an</w:t>
      </w:r>
      <w:r>
        <w:rPr>
          <w:spacing w:val="-9"/>
          <w:w w:val="95"/>
        </w:rPr>
        <w:t xml:space="preserve"> </w:t>
      </w:r>
      <w:r>
        <w:rPr>
          <w:w w:val="95"/>
        </w:rPr>
        <w:t>average</w:t>
      </w:r>
      <w:r>
        <w:rPr>
          <w:spacing w:val="-9"/>
          <w:w w:val="95"/>
        </w:rPr>
        <w:t xml:space="preserve"> </w:t>
      </w:r>
      <w:r>
        <w:rPr>
          <w:w w:val="95"/>
        </w:rPr>
        <w:t>of</w:t>
      </w:r>
      <w:r>
        <w:rPr>
          <w:spacing w:val="-9"/>
          <w:w w:val="95"/>
        </w:rPr>
        <w:t xml:space="preserve"> </w:t>
      </w:r>
      <w:r>
        <w:rPr>
          <w:w w:val="95"/>
        </w:rPr>
        <w:t>$7</w:t>
      </w:r>
      <w:r>
        <w:rPr>
          <w:spacing w:val="-9"/>
          <w:w w:val="95"/>
        </w:rPr>
        <w:t xml:space="preserve"> </w:t>
      </w:r>
      <w:r>
        <w:rPr>
          <w:w w:val="95"/>
        </w:rPr>
        <w:t>billion</w:t>
      </w:r>
      <w:r>
        <w:rPr>
          <w:spacing w:val="-9"/>
          <w:w w:val="95"/>
        </w:rPr>
        <w:t xml:space="preserve"> </w:t>
      </w:r>
      <w:r>
        <w:rPr>
          <w:w w:val="95"/>
        </w:rPr>
        <w:t>per</w:t>
      </w:r>
      <w:r>
        <w:rPr>
          <w:spacing w:val="-9"/>
          <w:w w:val="95"/>
        </w:rPr>
        <w:t xml:space="preserve"> </w:t>
      </w:r>
      <w:r>
        <w:rPr>
          <w:w w:val="95"/>
        </w:rPr>
        <w:t>annum</w:t>
      </w:r>
      <w:r>
        <w:rPr>
          <w:spacing w:val="-10"/>
          <w:w w:val="95"/>
        </w:rPr>
        <w:t xml:space="preserve"> </w:t>
      </w:r>
      <w:r>
        <w:rPr>
          <w:w w:val="95"/>
        </w:rPr>
        <w:t>in</w:t>
      </w:r>
      <w:r>
        <w:rPr>
          <w:spacing w:val="-9"/>
          <w:w w:val="95"/>
        </w:rPr>
        <w:t xml:space="preserve"> </w:t>
      </w:r>
      <w:r>
        <w:rPr>
          <w:w w:val="95"/>
        </w:rPr>
        <w:t>the</w:t>
      </w:r>
      <w:r>
        <w:rPr>
          <w:spacing w:val="-9"/>
          <w:w w:val="95"/>
        </w:rPr>
        <w:t xml:space="preserve"> </w:t>
      </w:r>
      <w:r>
        <w:rPr>
          <w:w w:val="95"/>
        </w:rPr>
        <w:t>early</w:t>
      </w:r>
      <w:r>
        <w:rPr>
          <w:spacing w:val="-9"/>
          <w:w w:val="95"/>
        </w:rPr>
        <w:t xml:space="preserve"> </w:t>
      </w:r>
      <w:r>
        <w:rPr>
          <w:w w:val="95"/>
        </w:rPr>
        <w:t>2000s,</w:t>
      </w:r>
      <w:r>
        <w:rPr>
          <w:spacing w:val="-9"/>
          <w:w w:val="95"/>
        </w:rPr>
        <w:t xml:space="preserve"> </w:t>
      </w:r>
      <w:r>
        <w:rPr>
          <w:w w:val="95"/>
        </w:rPr>
        <w:t xml:space="preserve">to </w:t>
      </w:r>
      <w:r>
        <w:t>an</w:t>
      </w:r>
      <w:r>
        <w:rPr>
          <w:spacing w:val="-14"/>
        </w:rPr>
        <w:t xml:space="preserve"> </w:t>
      </w:r>
      <w:r>
        <w:t>average</w:t>
      </w:r>
      <w:r>
        <w:rPr>
          <w:spacing w:val="-14"/>
        </w:rPr>
        <w:t xml:space="preserve"> </w:t>
      </w:r>
      <w:r>
        <w:t>of</w:t>
      </w:r>
      <w:r>
        <w:rPr>
          <w:spacing w:val="-14"/>
        </w:rPr>
        <w:t xml:space="preserve"> </w:t>
      </w:r>
      <w:r>
        <w:t>around</w:t>
      </w:r>
      <w:r>
        <w:rPr>
          <w:spacing w:val="-14"/>
        </w:rPr>
        <w:t xml:space="preserve"> </w:t>
      </w:r>
      <w:r>
        <w:t>$15</w:t>
      </w:r>
      <w:r>
        <w:rPr>
          <w:spacing w:val="-14"/>
        </w:rPr>
        <w:t xml:space="preserve"> </w:t>
      </w:r>
      <w:r>
        <w:t>billion</w:t>
      </w:r>
      <w:r>
        <w:rPr>
          <w:spacing w:val="-14"/>
        </w:rPr>
        <w:t xml:space="preserve"> </w:t>
      </w:r>
      <w:r>
        <w:t>per</w:t>
      </w:r>
      <w:r>
        <w:rPr>
          <w:spacing w:val="-14"/>
        </w:rPr>
        <w:t xml:space="preserve"> </w:t>
      </w:r>
      <w:r>
        <w:t>annum</w:t>
      </w:r>
      <w:r>
        <w:rPr>
          <w:spacing w:val="-14"/>
        </w:rPr>
        <w:t xml:space="preserve"> </w:t>
      </w:r>
      <w:r>
        <w:t>today.</w:t>
      </w:r>
    </w:p>
    <w:p w:rsidR="002C1123" w:rsidRDefault="00F22F94">
      <w:pPr>
        <w:pStyle w:val="BodyText"/>
        <w:spacing w:before="145" w:line="249" w:lineRule="auto"/>
        <w:ind w:left="492"/>
      </w:pPr>
      <w:r>
        <w:rPr>
          <w:w w:val="95"/>
        </w:rPr>
        <w:t xml:space="preserve">Trends in capital spending are most easily understood </w:t>
      </w:r>
      <w:r>
        <w:rPr>
          <w:spacing w:val="-4"/>
          <w:w w:val="95"/>
        </w:rPr>
        <w:t>when</w:t>
      </w:r>
      <w:r>
        <w:rPr>
          <w:spacing w:val="-7"/>
          <w:w w:val="95"/>
        </w:rPr>
        <w:t xml:space="preserve"> </w:t>
      </w:r>
      <w:r>
        <w:rPr>
          <w:spacing w:val="-4"/>
          <w:w w:val="95"/>
        </w:rPr>
        <w:t>divided</w:t>
      </w:r>
      <w:r>
        <w:rPr>
          <w:spacing w:val="-7"/>
          <w:w w:val="95"/>
        </w:rPr>
        <w:t xml:space="preserve"> </w:t>
      </w:r>
      <w:r>
        <w:rPr>
          <w:spacing w:val="-4"/>
          <w:w w:val="95"/>
        </w:rPr>
        <w:t>into</w:t>
      </w:r>
      <w:r>
        <w:rPr>
          <w:spacing w:val="-7"/>
          <w:w w:val="95"/>
        </w:rPr>
        <w:t xml:space="preserve"> </w:t>
      </w:r>
      <w:r>
        <w:rPr>
          <w:spacing w:val="-4"/>
          <w:w w:val="95"/>
        </w:rPr>
        <w:t>three</w:t>
      </w:r>
      <w:r>
        <w:rPr>
          <w:spacing w:val="-7"/>
          <w:w w:val="95"/>
        </w:rPr>
        <w:t xml:space="preserve"> </w:t>
      </w:r>
      <w:r>
        <w:rPr>
          <w:spacing w:val="-4"/>
          <w:w w:val="95"/>
        </w:rPr>
        <w:t>categories</w:t>
      </w:r>
      <w:r>
        <w:rPr>
          <w:spacing w:val="-7"/>
          <w:w w:val="95"/>
        </w:rPr>
        <w:t xml:space="preserve"> </w:t>
      </w:r>
      <w:r>
        <w:rPr>
          <w:spacing w:val="-4"/>
          <w:w w:val="95"/>
        </w:rPr>
        <w:t>as</w:t>
      </w:r>
      <w:r>
        <w:rPr>
          <w:spacing w:val="-7"/>
          <w:w w:val="95"/>
        </w:rPr>
        <w:t xml:space="preserve"> </w:t>
      </w:r>
      <w:r>
        <w:rPr>
          <w:spacing w:val="-4"/>
          <w:w w:val="95"/>
        </w:rPr>
        <w:t>shown</w:t>
      </w:r>
      <w:r>
        <w:rPr>
          <w:spacing w:val="-7"/>
          <w:w w:val="95"/>
        </w:rPr>
        <w:t xml:space="preserve"> </w:t>
      </w:r>
      <w:r>
        <w:rPr>
          <w:spacing w:val="-4"/>
          <w:w w:val="95"/>
        </w:rPr>
        <w:t>in</w:t>
      </w:r>
      <w:r>
        <w:rPr>
          <w:spacing w:val="-7"/>
          <w:w w:val="95"/>
        </w:rPr>
        <w:t xml:space="preserve"> </w:t>
      </w:r>
      <w:r>
        <w:rPr>
          <w:spacing w:val="-4"/>
          <w:w w:val="95"/>
        </w:rPr>
        <w:t>Figure</w:t>
      </w:r>
      <w:r>
        <w:rPr>
          <w:spacing w:val="-7"/>
          <w:w w:val="95"/>
        </w:rPr>
        <w:t xml:space="preserve"> </w:t>
      </w:r>
      <w:r>
        <w:rPr>
          <w:spacing w:val="-4"/>
          <w:w w:val="95"/>
        </w:rPr>
        <w:t>16.1:</w:t>
      </w:r>
    </w:p>
    <w:p w:rsidR="002C1123" w:rsidRDefault="00F22F94">
      <w:pPr>
        <w:pStyle w:val="ListParagraph"/>
        <w:numPr>
          <w:ilvl w:val="0"/>
          <w:numId w:val="23"/>
        </w:numPr>
        <w:tabs>
          <w:tab w:val="left" w:pos="776"/>
        </w:tabs>
        <w:spacing w:before="131" w:line="249" w:lineRule="auto"/>
        <w:ind w:right="126"/>
        <w:rPr>
          <w:sz w:val="20"/>
        </w:rPr>
      </w:pPr>
      <w:r>
        <w:rPr>
          <w:sz w:val="20"/>
        </w:rPr>
        <w:t>Transport</w:t>
      </w:r>
      <w:r>
        <w:rPr>
          <w:spacing w:val="-14"/>
          <w:sz w:val="20"/>
        </w:rPr>
        <w:t xml:space="preserve"> </w:t>
      </w:r>
      <w:r>
        <w:rPr>
          <w:sz w:val="20"/>
        </w:rPr>
        <w:t>infrastructure</w:t>
      </w:r>
      <w:r>
        <w:rPr>
          <w:spacing w:val="-14"/>
          <w:sz w:val="20"/>
        </w:rPr>
        <w:t xml:space="preserve"> </w:t>
      </w:r>
      <w:r>
        <w:rPr>
          <w:sz w:val="20"/>
        </w:rPr>
        <w:t>–</w:t>
      </w:r>
      <w:r>
        <w:rPr>
          <w:spacing w:val="-14"/>
          <w:sz w:val="20"/>
        </w:rPr>
        <w:t xml:space="preserve"> </w:t>
      </w:r>
      <w:r>
        <w:rPr>
          <w:sz w:val="20"/>
        </w:rPr>
        <w:t>mainly</w:t>
      </w:r>
      <w:r>
        <w:rPr>
          <w:spacing w:val="-14"/>
          <w:sz w:val="20"/>
        </w:rPr>
        <w:t xml:space="preserve"> </w:t>
      </w:r>
      <w:r>
        <w:rPr>
          <w:sz w:val="20"/>
        </w:rPr>
        <w:t>spent</w:t>
      </w:r>
      <w:r>
        <w:rPr>
          <w:spacing w:val="-14"/>
          <w:sz w:val="20"/>
        </w:rPr>
        <w:t xml:space="preserve"> </w:t>
      </w:r>
      <w:r>
        <w:rPr>
          <w:sz w:val="20"/>
        </w:rPr>
        <w:t>on</w:t>
      </w:r>
      <w:r>
        <w:rPr>
          <w:spacing w:val="-14"/>
          <w:sz w:val="20"/>
        </w:rPr>
        <w:t xml:space="preserve"> </w:t>
      </w:r>
      <w:r>
        <w:rPr>
          <w:sz w:val="20"/>
        </w:rPr>
        <w:t>rail</w:t>
      </w:r>
      <w:r>
        <w:rPr>
          <w:spacing w:val="-14"/>
          <w:sz w:val="20"/>
        </w:rPr>
        <w:t xml:space="preserve"> </w:t>
      </w:r>
      <w:r>
        <w:rPr>
          <w:sz w:val="20"/>
        </w:rPr>
        <w:t xml:space="preserve">and </w:t>
      </w:r>
      <w:r>
        <w:rPr>
          <w:w w:val="95"/>
          <w:sz w:val="20"/>
        </w:rPr>
        <w:t xml:space="preserve">road projects, transport spending is overwhelmingly </w:t>
      </w:r>
      <w:r>
        <w:rPr>
          <w:sz w:val="20"/>
        </w:rPr>
        <w:t>funded by government</w:t>
      </w:r>
    </w:p>
    <w:p w:rsidR="002C1123" w:rsidRDefault="00F22F94">
      <w:pPr>
        <w:pStyle w:val="ListParagraph"/>
        <w:numPr>
          <w:ilvl w:val="0"/>
          <w:numId w:val="23"/>
        </w:numPr>
        <w:tabs>
          <w:tab w:val="left" w:pos="776"/>
        </w:tabs>
        <w:spacing w:before="132" w:line="249" w:lineRule="auto"/>
        <w:rPr>
          <w:sz w:val="20"/>
        </w:rPr>
      </w:pPr>
      <w:r>
        <w:rPr>
          <w:w w:val="95"/>
          <w:sz w:val="20"/>
        </w:rPr>
        <w:t>Social</w:t>
      </w:r>
      <w:r>
        <w:rPr>
          <w:spacing w:val="-6"/>
          <w:w w:val="95"/>
          <w:sz w:val="20"/>
        </w:rPr>
        <w:t xml:space="preserve"> </w:t>
      </w:r>
      <w:r>
        <w:rPr>
          <w:w w:val="95"/>
          <w:sz w:val="20"/>
        </w:rPr>
        <w:t>infrastructure</w:t>
      </w:r>
      <w:r>
        <w:rPr>
          <w:spacing w:val="-6"/>
          <w:w w:val="95"/>
          <w:sz w:val="20"/>
        </w:rPr>
        <w:t xml:space="preserve"> </w:t>
      </w:r>
      <w:r>
        <w:rPr>
          <w:w w:val="95"/>
          <w:sz w:val="20"/>
        </w:rPr>
        <w:t>–</w:t>
      </w:r>
      <w:r>
        <w:rPr>
          <w:spacing w:val="-6"/>
          <w:w w:val="95"/>
          <w:sz w:val="20"/>
        </w:rPr>
        <w:t xml:space="preserve"> </w:t>
      </w:r>
      <w:r>
        <w:rPr>
          <w:w w:val="95"/>
          <w:sz w:val="20"/>
        </w:rPr>
        <w:t>including</w:t>
      </w:r>
      <w:r>
        <w:rPr>
          <w:spacing w:val="-6"/>
          <w:w w:val="95"/>
          <w:sz w:val="20"/>
        </w:rPr>
        <w:t xml:space="preserve"> </w:t>
      </w:r>
      <w:r>
        <w:rPr>
          <w:w w:val="95"/>
          <w:sz w:val="20"/>
        </w:rPr>
        <w:t>health,</w:t>
      </w:r>
      <w:r>
        <w:rPr>
          <w:spacing w:val="-6"/>
          <w:w w:val="95"/>
          <w:sz w:val="20"/>
        </w:rPr>
        <w:t xml:space="preserve"> </w:t>
      </w:r>
      <w:r>
        <w:rPr>
          <w:w w:val="95"/>
          <w:sz w:val="20"/>
        </w:rPr>
        <w:t>education</w:t>
      </w:r>
      <w:r>
        <w:rPr>
          <w:spacing w:val="-6"/>
          <w:w w:val="95"/>
          <w:sz w:val="20"/>
        </w:rPr>
        <w:t xml:space="preserve"> </w:t>
      </w:r>
      <w:r>
        <w:rPr>
          <w:w w:val="95"/>
          <w:sz w:val="20"/>
        </w:rPr>
        <w:t xml:space="preserve">and </w:t>
      </w:r>
      <w:r>
        <w:rPr>
          <w:sz w:val="20"/>
        </w:rPr>
        <w:t>other</w:t>
      </w:r>
      <w:r>
        <w:rPr>
          <w:spacing w:val="-10"/>
          <w:sz w:val="20"/>
        </w:rPr>
        <w:t xml:space="preserve"> </w:t>
      </w:r>
      <w:r>
        <w:rPr>
          <w:sz w:val="20"/>
        </w:rPr>
        <w:t>investments</w:t>
      </w:r>
      <w:r>
        <w:rPr>
          <w:spacing w:val="-11"/>
          <w:sz w:val="20"/>
        </w:rPr>
        <w:t xml:space="preserve"> </w:t>
      </w:r>
      <w:r>
        <w:rPr>
          <w:sz w:val="20"/>
        </w:rPr>
        <w:t>which</w:t>
      </w:r>
      <w:r>
        <w:rPr>
          <w:spacing w:val="-10"/>
          <w:sz w:val="20"/>
        </w:rPr>
        <w:t xml:space="preserve"> </w:t>
      </w:r>
      <w:r>
        <w:rPr>
          <w:sz w:val="20"/>
        </w:rPr>
        <w:t>are</w:t>
      </w:r>
      <w:r>
        <w:rPr>
          <w:spacing w:val="-11"/>
          <w:sz w:val="20"/>
        </w:rPr>
        <w:t xml:space="preserve"> </w:t>
      </w:r>
      <w:r>
        <w:rPr>
          <w:sz w:val="20"/>
        </w:rPr>
        <w:t>funded</w:t>
      </w:r>
      <w:r>
        <w:rPr>
          <w:spacing w:val="-10"/>
          <w:sz w:val="20"/>
        </w:rPr>
        <w:t xml:space="preserve"> </w:t>
      </w:r>
      <w:r>
        <w:rPr>
          <w:sz w:val="20"/>
        </w:rPr>
        <w:t>by</w:t>
      </w:r>
      <w:r>
        <w:rPr>
          <w:spacing w:val="-11"/>
          <w:sz w:val="20"/>
        </w:rPr>
        <w:t xml:space="preserve"> </w:t>
      </w:r>
      <w:r>
        <w:rPr>
          <w:sz w:val="20"/>
        </w:rPr>
        <w:t>government</w:t>
      </w:r>
    </w:p>
    <w:p w:rsidR="002C1123" w:rsidRDefault="00F22F94">
      <w:pPr>
        <w:pStyle w:val="ListParagraph"/>
        <w:numPr>
          <w:ilvl w:val="0"/>
          <w:numId w:val="23"/>
        </w:numPr>
        <w:tabs>
          <w:tab w:val="left" w:pos="776"/>
        </w:tabs>
        <w:spacing w:before="130" w:line="249" w:lineRule="auto"/>
        <w:ind w:right="141"/>
        <w:rPr>
          <w:sz w:val="20"/>
        </w:rPr>
      </w:pPr>
      <w:r>
        <w:rPr>
          <w:w w:val="95"/>
          <w:sz w:val="20"/>
        </w:rPr>
        <w:t>Commercial</w:t>
      </w:r>
      <w:r>
        <w:rPr>
          <w:spacing w:val="-5"/>
          <w:w w:val="95"/>
          <w:sz w:val="20"/>
        </w:rPr>
        <w:t xml:space="preserve"> </w:t>
      </w:r>
      <w:r>
        <w:rPr>
          <w:w w:val="95"/>
          <w:sz w:val="20"/>
        </w:rPr>
        <w:t>Sector</w:t>
      </w:r>
      <w:r>
        <w:rPr>
          <w:spacing w:val="-5"/>
          <w:w w:val="95"/>
          <w:sz w:val="20"/>
        </w:rPr>
        <w:t xml:space="preserve"> </w:t>
      </w:r>
      <w:r>
        <w:rPr>
          <w:w w:val="95"/>
          <w:sz w:val="20"/>
        </w:rPr>
        <w:t>–</w:t>
      </w:r>
      <w:r>
        <w:rPr>
          <w:spacing w:val="-5"/>
          <w:w w:val="95"/>
          <w:sz w:val="20"/>
        </w:rPr>
        <w:t xml:space="preserve"> </w:t>
      </w:r>
      <w:r>
        <w:rPr>
          <w:w w:val="95"/>
          <w:sz w:val="20"/>
        </w:rPr>
        <w:t>including</w:t>
      </w:r>
      <w:r>
        <w:rPr>
          <w:spacing w:val="-5"/>
          <w:w w:val="95"/>
          <w:sz w:val="20"/>
        </w:rPr>
        <w:t xml:space="preserve"> </w:t>
      </w:r>
      <w:r>
        <w:rPr>
          <w:w w:val="95"/>
          <w:sz w:val="20"/>
        </w:rPr>
        <w:t>electricity</w:t>
      </w:r>
      <w:r>
        <w:rPr>
          <w:spacing w:val="-5"/>
          <w:w w:val="95"/>
          <w:sz w:val="20"/>
        </w:rPr>
        <w:t xml:space="preserve"> </w:t>
      </w:r>
      <w:r>
        <w:rPr>
          <w:w w:val="95"/>
          <w:sz w:val="20"/>
        </w:rPr>
        <w:t>and</w:t>
      </w:r>
      <w:r>
        <w:rPr>
          <w:spacing w:val="-5"/>
          <w:w w:val="95"/>
          <w:sz w:val="20"/>
        </w:rPr>
        <w:t xml:space="preserve"> </w:t>
      </w:r>
      <w:r>
        <w:rPr>
          <w:w w:val="95"/>
          <w:sz w:val="20"/>
        </w:rPr>
        <w:t xml:space="preserve">water, </w:t>
      </w:r>
      <w:r>
        <w:rPr>
          <w:sz w:val="20"/>
        </w:rPr>
        <w:t>where</w:t>
      </w:r>
      <w:r>
        <w:rPr>
          <w:spacing w:val="-10"/>
          <w:sz w:val="20"/>
        </w:rPr>
        <w:t xml:space="preserve"> </w:t>
      </w:r>
      <w:r>
        <w:rPr>
          <w:sz w:val="20"/>
        </w:rPr>
        <w:t>spending</w:t>
      </w:r>
      <w:r>
        <w:rPr>
          <w:spacing w:val="-10"/>
          <w:sz w:val="20"/>
        </w:rPr>
        <w:t xml:space="preserve"> </w:t>
      </w:r>
      <w:r>
        <w:rPr>
          <w:sz w:val="20"/>
        </w:rPr>
        <w:t>is</w:t>
      </w:r>
      <w:r>
        <w:rPr>
          <w:spacing w:val="-10"/>
          <w:sz w:val="20"/>
        </w:rPr>
        <w:t xml:space="preserve"> </w:t>
      </w:r>
      <w:r>
        <w:rPr>
          <w:sz w:val="20"/>
        </w:rPr>
        <w:t>generally</w:t>
      </w:r>
      <w:r>
        <w:rPr>
          <w:spacing w:val="-10"/>
          <w:sz w:val="20"/>
        </w:rPr>
        <w:t xml:space="preserve"> </w:t>
      </w:r>
      <w:r>
        <w:rPr>
          <w:sz w:val="20"/>
        </w:rPr>
        <w:t>funded</w:t>
      </w:r>
      <w:r>
        <w:rPr>
          <w:spacing w:val="-10"/>
          <w:sz w:val="20"/>
        </w:rPr>
        <w:t xml:space="preserve"> </w:t>
      </w:r>
      <w:r>
        <w:rPr>
          <w:sz w:val="20"/>
        </w:rPr>
        <w:t>through</w:t>
      </w:r>
      <w:r>
        <w:rPr>
          <w:spacing w:val="-10"/>
          <w:sz w:val="20"/>
        </w:rPr>
        <w:t xml:space="preserve"> </w:t>
      </w:r>
      <w:r>
        <w:rPr>
          <w:sz w:val="20"/>
        </w:rPr>
        <w:t>user charges over time.</w:t>
      </w:r>
    </w:p>
    <w:p w:rsidR="002C1123" w:rsidRDefault="00F22F94">
      <w:pPr>
        <w:pStyle w:val="BodyText"/>
        <w:spacing w:before="147" w:line="249" w:lineRule="auto"/>
        <w:ind w:left="188"/>
      </w:pPr>
      <w:r>
        <w:br w:type="column"/>
      </w:r>
      <w:r>
        <w:t>The</w:t>
      </w:r>
      <w:r>
        <w:rPr>
          <w:spacing w:val="-14"/>
        </w:rPr>
        <w:t xml:space="preserve"> </w:t>
      </w:r>
      <w:r>
        <w:t>largest</w:t>
      </w:r>
      <w:r>
        <w:rPr>
          <w:spacing w:val="-14"/>
        </w:rPr>
        <w:t xml:space="preserve"> </w:t>
      </w:r>
      <w:r>
        <w:t>increase</w:t>
      </w:r>
      <w:r>
        <w:rPr>
          <w:spacing w:val="-14"/>
        </w:rPr>
        <w:t xml:space="preserve"> </w:t>
      </w:r>
      <w:r>
        <w:t>in</w:t>
      </w:r>
      <w:r>
        <w:rPr>
          <w:spacing w:val="-14"/>
        </w:rPr>
        <w:t xml:space="preserve"> </w:t>
      </w:r>
      <w:r>
        <w:t>spending</w:t>
      </w:r>
      <w:r>
        <w:rPr>
          <w:spacing w:val="-14"/>
        </w:rPr>
        <w:t xml:space="preserve"> </w:t>
      </w:r>
      <w:r>
        <w:t>in</w:t>
      </w:r>
      <w:r>
        <w:rPr>
          <w:spacing w:val="-14"/>
        </w:rPr>
        <w:t xml:space="preserve"> </w:t>
      </w:r>
      <w:r>
        <w:t>recent</w:t>
      </w:r>
      <w:r>
        <w:rPr>
          <w:spacing w:val="-14"/>
        </w:rPr>
        <w:t xml:space="preserve"> </w:t>
      </w:r>
      <w:r>
        <w:t>years</w:t>
      </w:r>
      <w:r>
        <w:rPr>
          <w:spacing w:val="-14"/>
        </w:rPr>
        <w:t xml:space="preserve"> </w:t>
      </w:r>
      <w:r>
        <w:t xml:space="preserve">has </w:t>
      </w:r>
      <w:r>
        <w:rPr>
          <w:w w:val="95"/>
        </w:rPr>
        <w:t>been</w:t>
      </w:r>
      <w:r>
        <w:rPr>
          <w:spacing w:val="-3"/>
          <w:w w:val="95"/>
        </w:rPr>
        <w:t xml:space="preserve"> </w:t>
      </w:r>
      <w:r>
        <w:rPr>
          <w:w w:val="95"/>
        </w:rPr>
        <w:t>in</w:t>
      </w:r>
      <w:r>
        <w:rPr>
          <w:spacing w:val="-3"/>
          <w:w w:val="95"/>
        </w:rPr>
        <w:t xml:space="preserve"> </w:t>
      </w:r>
      <w:r>
        <w:rPr>
          <w:w w:val="95"/>
        </w:rPr>
        <w:t>the</w:t>
      </w:r>
      <w:r>
        <w:rPr>
          <w:spacing w:val="-3"/>
          <w:w w:val="95"/>
        </w:rPr>
        <w:t xml:space="preserve"> </w:t>
      </w:r>
      <w:r>
        <w:rPr>
          <w:w w:val="95"/>
        </w:rPr>
        <w:t>commercial</w:t>
      </w:r>
      <w:r>
        <w:rPr>
          <w:spacing w:val="-3"/>
          <w:w w:val="95"/>
        </w:rPr>
        <w:t xml:space="preserve"> </w:t>
      </w:r>
      <w:r>
        <w:rPr>
          <w:w w:val="95"/>
        </w:rPr>
        <w:t>sector,</w:t>
      </w:r>
      <w:r>
        <w:rPr>
          <w:spacing w:val="-3"/>
          <w:w w:val="95"/>
        </w:rPr>
        <w:t xml:space="preserve"> </w:t>
      </w:r>
      <w:r>
        <w:rPr>
          <w:w w:val="95"/>
        </w:rPr>
        <w:t>particularly</w:t>
      </w:r>
      <w:r>
        <w:rPr>
          <w:spacing w:val="-3"/>
          <w:w w:val="95"/>
        </w:rPr>
        <w:t xml:space="preserve"> </w:t>
      </w:r>
      <w:r>
        <w:rPr>
          <w:w w:val="95"/>
        </w:rPr>
        <w:t>on</w:t>
      </w:r>
      <w:r>
        <w:rPr>
          <w:spacing w:val="-3"/>
          <w:w w:val="95"/>
        </w:rPr>
        <w:t xml:space="preserve"> </w:t>
      </w:r>
      <w:r>
        <w:rPr>
          <w:w w:val="95"/>
        </w:rPr>
        <w:t xml:space="preserve">electricity </w:t>
      </w:r>
      <w:r>
        <w:t>distribution</w:t>
      </w:r>
      <w:r>
        <w:rPr>
          <w:spacing w:val="-9"/>
        </w:rPr>
        <w:t xml:space="preserve"> </w:t>
      </w:r>
      <w:r>
        <w:t>networks,</w:t>
      </w:r>
      <w:r>
        <w:rPr>
          <w:spacing w:val="-9"/>
        </w:rPr>
        <w:t xml:space="preserve"> </w:t>
      </w:r>
      <w:r>
        <w:t>with</w:t>
      </w:r>
      <w:r>
        <w:rPr>
          <w:spacing w:val="-9"/>
        </w:rPr>
        <w:t xml:space="preserve"> </w:t>
      </w:r>
      <w:r>
        <w:t>a</w:t>
      </w:r>
      <w:r>
        <w:rPr>
          <w:spacing w:val="-9"/>
        </w:rPr>
        <w:t xml:space="preserve"> </w:t>
      </w:r>
      <w:r>
        <w:t>total</w:t>
      </w:r>
      <w:r>
        <w:rPr>
          <w:spacing w:val="-9"/>
        </w:rPr>
        <w:t xml:space="preserve"> </w:t>
      </w:r>
      <w:r>
        <w:t>of</w:t>
      </w:r>
      <w:r>
        <w:rPr>
          <w:spacing w:val="-9"/>
        </w:rPr>
        <w:t xml:space="preserve"> </w:t>
      </w:r>
      <w:r>
        <w:t>$37</w:t>
      </w:r>
      <w:r>
        <w:rPr>
          <w:spacing w:val="-9"/>
        </w:rPr>
        <w:t xml:space="preserve"> </w:t>
      </w:r>
      <w:r>
        <w:t>billion</w:t>
      </w:r>
      <w:r>
        <w:rPr>
          <w:spacing w:val="-9"/>
        </w:rPr>
        <w:t xml:space="preserve"> </w:t>
      </w:r>
      <w:r>
        <w:t>spent</w:t>
      </w:r>
    </w:p>
    <w:p w:rsidR="002C1123" w:rsidRDefault="00F22F94">
      <w:pPr>
        <w:pStyle w:val="BodyText"/>
        <w:spacing w:before="2" w:line="249" w:lineRule="auto"/>
        <w:ind w:left="188"/>
      </w:pPr>
      <w:r>
        <w:rPr>
          <w:spacing w:val="-2"/>
        </w:rPr>
        <w:t>in</w:t>
      </w:r>
      <w:r>
        <w:rPr>
          <w:spacing w:val="-11"/>
        </w:rPr>
        <w:t xml:space="preserve"> </w:t>
      </w:r>
      <w:r>
        <w:rPr>
          <w:spacing w:val="-2"/>
        </w:rPr>
        <w:t>the</w:t>
      </w:r>
      <w:r>
        <w:rPr>
          <w:spacing w:val="-11"/>
        </w:rPr>
        <w:t xml:space="preserve"> </w:t>
      </w:r>
      <w:r>
        <w:rPr>
          <w:spacing w:val="-2"/>
        </w:rPr>
        <w:t>five</w:t>
      </w:r>
      <w:r>
        <w:rPr>
          <w:spacing w:val="-11"/>
        </w:rPr>
        <w:t xml:space="preserve"> </w:t>
      </w:r>
      <w:r>
        <w:rPr>
          <w:spacing w:val="-2"/>
        </w:rPr>
        <w:t>years</w:t>
      </w:r>
      <w:r>
        <w:rPr>
          <w:spacing w:val="-11"/>
        </w:rPr>
        <w:t xml:space="preserve"> </w:t>
      </w:r>
      <w:r>
        <w:rPr>
          <w:spacing w:val="-2"/>
        </w:rPr>
        <w:t>to</w:t>
      </w:r>
      <w:r>
        <w:rPr>
          <w:spacing w:val="-11"/>
        </w:rPr>
        <w:t xml:space="preserve"> </w:t>
      </w:r>
      <w:r>
        <w:rPr>
          <w:spacing w:val="-2"/>
        </w:rPr>
        <w:t>30</w:t>
      </w:r>
      <w:r>
        <w:rPr>
          <w:spacing w:val="-11"/>
        </w:rPr>
        <w:t xml:space="preserve"> </w:t>
      </w:r>
      <w:r>
        <w:rPr>
          <w:spacing w:val="-2"/>
        </w:rPr>
        <w:t>June</w:t>
      </w:r>
      <w:r>
        <w:rPr>
          <w:spacing w:val="-11"/>
        </w:rPr>
        <w:t xml:space="preserve"> </w:t>
      </w:r>
      <w:r>
        <w:rPr>
          <w:spacing w:val="-2"/>
        </w:rPr>
        <w:t>2011.</w:t>
      </w:r>
      <w:r>
        <w:rPr>
          <w:spacing w:val="-11"/>
        </w:rPr>
        <w:t xml:space="preserve"> </w:t>
      </w:r>
      <w:r>
        <w:rPr>
          <w:spacing w:val="-2"/>
        </w:rPr>
        <w:t>This</w:t>
      </w:r>
      <w:r>
        <w:rPr>
          <w:spacing w:val="-11"/>
        </w:rPr>
        <w:t xml:space="preserve"> </w:t>
      </w:r>
      <w:r>
        <w:rPr>
          <w:spacing w:val="-2"/>
        </w:rPr>
        <w:t>expenditure</w:t>
      </w:r>
      <w:r>
        <w:rPr>
          <w:spacing w:val="-11"/>
        </w:rPr>
        <w:t xml:space="preserve"> </w:t>
      </w:r>
      <w:r>
        <w:rPr>
          <w:spacing w:val="-2"/>
        </w:rPr>
        <w:t>is forecast</w:t>
      </w:r>
      <w:r>
        <w:rPr>
          <w:spacing w:val="-11"/>
        </w:rPr>
        <w:t xml:space="preserve"> </w:t>
      </w:r>
      <w:r>
        <w:rPr>
          <w:spacing w:val="-2"/>
        </w:rPr>
        <w:t>to</w:t>
      </w:r>
      <w:r>
        <w:rPr>
          <w:spacing w:val="-11"/>
        </w:rPr>
        <w:t xml:space="preserve"> </w:t>
      </w:r>
      <w:r>
        <w:rPr>
          <w:spacing w:val="-2"/>
        </w:rPr>
        <w:t>fall</w:t>
      </w:r>
      <w:r>
        <w:rPr>
          <w:spacing w:val="-11"/>
        </w:rPr>
        <w:t xml:space="preserve"> </w:t>
      </w:r>
      <w:r>
        <w:rPr>
          <w:spacing w:val="-2"/>
        </w:rPr>
        <w:t>to</w:t>
      </w:r>
      <w:r>
        <w:rPr>
          <w:spacing w:val="-11"/>
        </w:rPr>
        <w:t xml:space="preserve"> </w:t>
      </w:r>
      <w:r>
        <w:rPr>
          <w:spacing w:val="-2"/>
        </w:rPr>
        <w:t>a</w:t>
      </w:r>
      <w:r>
        <w:rPr>
          <w:spacing w:val="-11"/>
        </w:rPr>
        <w:t xml:space="preserve"> </w:t>
      </w:r>
      <w:r>
        <w:rPr>
          <w:spacing w:val="-2"/>
        </w:rPr>
        <w:t>total</w:t>
      </w:r>
      <w:r>
        <w:rPr>
          <w:spacing w:val="-11"/>
        </w:rPr>
        <w:t xml:space="preserve"> </w:t>
      </w:r>
      <w:r>
        <w:rPr>
          <w:spacing w:val="-2"/>
        </w:rPr>
        <w:t>of</w:t>
      </w:r>
      <w:r>
        <w:rPr>
          <w:spacing w:val="-11"/>
        </w:rPr>
        <w:t xml:space="preserve"> </w:t>
      </w:r>
      <w:r>
        <w:rPr>
          <w:spacing w:val="-2"/>
        </w:rPr>
        <w:t>$29</w:t>
      </w:r>
      <w:r>
        <w:rPr>
          <w:spacing w:val="-11"/>
        </w:rPr>
        <w:t xml:space="preserve"> </w:t>
      </w:r>
      <w:r>
        <w:rPr>
          <w:spacing w:val="-2"/>
        </w:rPr>
        <w:t>billion</w:t>
      </w:r>
      <w:r>
        <w:rPr>
          <w:spacing w:val="-11"/>
        </w:rPr>
        <w:t xml:space="preserve"> </w:t>
      </w:r>
      <w:r>
        <w:rPr>
          <w:spacing w:val="-2"/>
        </w:rPr>
        <w:t>in</w:t>
      </w:r>
      <w:r>
        <w:rPr>
          <w:spacing w:val="-11"/>
        </w:rPr>
        <w:t xml:space="preserve"> </w:t>
      </w:r>
      <w:r>
        <w:rPr>
          <w:spacing w:val="-2"/>
        </w:rPr>
        <w:t>the</w:t>
      </w:r>
      <w:r>
        <w:rPr>
          <w:spacing w:val="-11"/>
        </w:rPr>
        <w:t xml:space="preserve"> </w:t>
      </w:r>
      <w:r>
        <w:rPr>
          <w:spacing w:val="-2"/>
        </w:rPr>
        <w:t>five</w:t>
      </w:r>
      <w:r>
        <w:rPr>
          <w:spacing w:val="-11"/>
        </w:rPr>
        <w:t xml:space="preserve"> </w:t>
      </w:r>
      <w:r>
        <w:rPr>
          <w:spacing w:val="-2"/>
        </w:rPr>
        <w:t>years</w:t>
      </w:r>
      <w:r>
        <w:rPr>
          <w:spacing w:val="-11"/>
        </w:rPr>
        <w:t xml:space="preserve"> </w:t>
      </w:r>
      <w:r>
        <w:rPr>
          <w:spacing w:val="-2"/>
        </w:rPr>
        <w:t xml:space="preserve">to </w:t>
      </w:r>
      <w:r>
        <w:rPr>
          <w:w w:val="95"/>
        </w:rPr>
        <w:t>30</w:t>
      </w:r>
      <w:r>
        <w:rPr>
          <w:spacing w:val="-6"/>
          <w:w w:val="95"/>
        </w:rPr>
        <w:t xml:space="preserve"> </w:t>
      </w:r>
      <w:r>
        <w:rPr>
          <w:w w:val="95"/>
        </w:rPr>
        <w:t>June</w:t>
      </w:r>
      <w:r>
        <w:rPr>
          <w:spacing w:val="-6"/>
          <w:w w:val="95"/>
        </w:rPr>
        <w:t xml:space="preserve"> </w:t>
      </w:r>
      <w:r>
        <w:rPr>
          <w:w w:val="95"/>
        </w:rPr>
        <w:t>2016,</w:t>
      </w:r>
      <w:r>
        <w:rPr>
          <w:spacing w:val="-6"/>
          <w:w w:val="95"/>
        </w:rPr>
        <w:t xml:space="preserve"> </w:t>
      </w:r>
      <w:r>
        <w:rPr>
          <w:w w:val="95"/>
        </w:rPr>
        <w:t>but</w:t>
      </w:r>
      <w:r>
        <w:rPr>
          <w:spacing w:val="-6"/>
          <w:w w:val="95"/>
        </w:rPr>
        <w:t xml:space="preserve"> </w:t>
      </w:r>
      <w:r>
        <w:rPr>
          <w:w w:val="95"/>
        </w:rPr>
        <w:t>this</w:t>
      </w:r>
      <w:r>
        <w:rPr>
          <w:spacing w:val="-6"/>
          <w:w w:val="95"/>
        </w:rPr>
        <w:t xml:space="preserve"> </w:t>
      </w:r>
      <w:r>
        <w:rPr>
          <w:w w:val="95"/>
        </w:rPr>
        <w:t>is</w:t>
      </w:r>
      <w:r>
        <w:rPr>
          <w:spacing w:val="-6"/>
          <w:w w:val="95"/>
        </w:rPr>
        <w:t xml:space="preserve"> </w:t>
      </w:r>
      <w:r>
        <w:rPr>
          <w:w w:val="95"/>
        </w:rPr>
        <w:t>still</w:t>
      </w:r>
      <w:r>
        <w:rPr>
          <w:spacing w:val="-6"/>
          <w:w w:val="95"/>
        </w:rPr>
        <w:t xml:space="preserve"> </w:t>
      </w:r>
      <w:r>
        <w:rPr>
          <w:w w:val="95"/>
        </w:rPr>
        <w:t>more</w:t>
      </w:r>
      <w:r>
        <w:rPr>
          <w:spacing w:val="-6"/>
          <w:w w:val="95"/>
        </w:rPr>
        <w:t xml:space="preserve"> </w:t>
      </w:r>
      <w:r>
        <w:rPr>
          <w:w w:val="95"/>
        </w:rPr>
        <w:t>than</w:t>
      </w:r>
      <w:r>
        <w:rPr>
          <w:spacing w:val="-6"/>
          <w:w w:val="95"/>
        </w:rPr>
        <w:t xml:space="preserve"> </w:t>
      </w:r>
      <w:r>
        <w:rPr>
          <w:w w:val="95"/>
        </w:rPr>
        <w:t>twice</w:t>
      </w:r>
      <w:r>
        <w:rPr>
          <w:spacing w:val="-6"/>
          <w:w w:val="95"/>
        </w:rPr>
        <w:t xml:space="preserve"> </w:t>
      </w:r>
      <w:r>
        <w:rPr>
          <w:w w:val="95"/>
        </w:rPr>
        <w:t>the</w:t>
      </w:r>
      <w:r>
        <w:rPr>
          <w:spacing w:val="-6"/>
          <w:w w:val="95"/>
        </w:rPr>
        <w:t xml:space="preserve"> </w:t>
      </w:r>
      <w:r>
        <w:rPr>
          <w:w w:val="95"/>
        </w:rPr>
        <w:t xml:space="preserve">historic </w:t>
      </w:r>
      <w:r>
        <w:t>level.</w:t>
      </w:r>
      <w:r>
        <w:rPr>
          <w:spacing w:val="-12"/>
        </w:rPr>
        <w:t xml:space="preserve"> </w:t>
      </w:r>
      <w:r>
        <w:t>Spending</w:t>
      </w:r>
      <w:r>
        <w:rPr>
          <w:spacing w:val="-12"/>
        </w:rPr>
        <w:t xml:space="preserve"> </w:t>
      </w:r>
      <w:r>
        <w:t>on</w:t>
      </w:r>
      <w:r>
        <w:rPr>
          <w:spacing w:val="-12"/>
        </w:rPr>
        <w:t xml:space="preserve"> </w:t>
      </w:r>
      <w:r>
        <w:t>electricity</w:t>
      </w:r>
      <w:r>
        <w:rPr>
          <w:spacing w:val="-12"/>
        </w:rPr>
        <w:t xml:space="preserve"> </w:t>
      </w:r>
      <w:r>
        <w:t>distribution</w:t>
      </w:r>
      <w:r>
        <w:rPr>
          <w:spacing w:val="-12"/>
        </w:rPr>
        <w:t xml:space="preserve"> </w:t>
      </w:r>
      <w:r>
        <w:t>networks,</w:t>
      </w:r>
      <w:r>
        <w:rPr>
          <w:spacing w:val="-12"/>
        </w:rPr>
        <w:t xml:space="preserve"> </w:t>
      </w:r>
      <w:r>
        <w:t xml:space="preserve">in </w:t>
      </w:r>
      <w:r>
        <w:rPr>
          <w:w w:val="95"/>
        </w:rPr>
        <w:t xml:space="preserve">particular, is forecast to remain at high levels compared </w:t>
      </w:r>
      <w:r>
        <w:t>with the long-term trend.</w:t>
      </w:r>
    </w:p>
    <w:p w:rsidR="002C1123" w:rsidRDefault="00F22F94">
      <w:pPr>
        <w:pStyle w:val="BodyText"/>
        <w:spacing w:before="147" w:line="249" w:lineRule="auto"/>
        <w:ind w:left="188" w:right="46"/>
      </w:pPr>
      <w:r>
        <w:t>This</w:t>
      </w:r>
      <w:r>
        <w:rPr>
          <w:spacing w:val="-13"/>
        </w:rPr>
        <w:t xml:space="preserve"> </w:t>
      </w:r>
      <w:r>
        <w:t>enormous</w:t>
      </w:r>
      <w:r>
        <w:rPr>
          <w:spacing w:val="-13"/>
        </w:rPr>
        <w:t xml:space="preserve"> </w:t>
      </w:r>
      <w:r>
        <w:t>investment</w:t>
      </w:r>
      <w:r>
        <w:rPr>
          <w:spacing w:val="-13"/>
        </w:rPr>
        <w:t xml:space="preserve"> </w:t>
      </w:r>
      <w:r>
        <w:t>has</w:t>
      </w:r>
      <w:r>
        <w:rPr>
          <w:spacing w:val="-13"/>
        </w:rPr>
        <w:t xml:space="preserve"> </w:t>
      </w:r>
      <w:r>
        <w:t>placed</w:t>
      </w:r>
      <w:r>
        <w:rPr>
          <w:spacing w:val="-13"/>
        </w:rPr>
        <w:t xml:space="preserve"> </w:t>
      </w:r>
      <w:r>
        <w:t>the</w:t>
      </w:r>
      <w:r>
        <w:rPr>
          <w:spacing w:val="-13"/>
        </w:rPr>
        <w:t xml:space="preserve"> </w:t>
      </w:r>
      <w:r>
        <w:t>State’s balance</w:t>
      </w:r>
      <w:r>
        <w:rPr>
          <w:spacing w:val="-9"/>
        </w:rPr>
        <w:t xml:space="preserve"> </w:t>
      </w:r>
      <w:r>
        <w:t>sheet</w:t>
      </w:r>
      <w:r>
        <w:rPr>
          <w:spacing w:val="-9"/>
        </w:rPr>
        <w:t xml:space="preserve"> </w:t>
      </w:r>
      <w:r>
        <w:t>under</w:t>
      </w:r>
      <w:r>
        <w:rPr>
          <w:spacing w:val="-9"/>
        </w:rPr>
        <w:t xml:space="preserve"> </w:t>
      </w:r>
      <w:r>
        <w:t>strain.</w:t>
      </w:r>
      <w:r>
        <w:rPr>
          <w:spacing w:val="-9"/>
        </w:rPr>
        <w:t xml:space="preserve"> </w:t>
      </w:r>
      <w:r>
        <w:t>Although</w:t>
      </w:r>
      <w:r>
        <w:rPr>
          <w:spacing w:val="-9"/>
        </w:rPr>
        <w:t xml:space="preserve"> </w:t>
      </w:r>
      <w:r>
        <w:t>the</w:t>
      </w:r>
      <w:r>
        <w:rPr>
          <w:spacing w:val="-9"/>
        </w:rPr>
        <w:t xml:space="preserve"> </w:t>
      </w:r>
      <w:r>
        <w:t>new</w:t>
      </w:r>
      <w:r>
        <w:rPr>
          <w:spacing w:val="-9"/>
        </w:rPr>
        <w:t xml:space="preserve"> </w:t>
      </w:r>
      <w:r>
        <w:t xml:space="preserve">debt </w:t>
      </w:r>
      <w:r>
        <w:rPr>
          <w:w w:val="95"/>
        </w:rPr>
        <w:t>can be repaid through user charges, the risk profile of NSW’s</w:t>
      </w:r>
      <w:r>
        <w:rPr>
          <w:spacing w:val="-7"/>
          <w:w w:val="95"/>
        </w:rPr>
        <w:t xml:space="preserve"> </w:t>
      </w:r>
      <w:r>
        <w:rPr>
          <w:w w:val="95"/>
        </w:rPr>
        <w:t>balance</w:t>
      </w:r>
      <w:r>
        <w:rPr>
          <w:spacing w:val="-7"/>
          <w:w w:val="95"/>
        </w:rPr>
        <w:t xml:space="preserve"> </w:t>
      </w:r>
      <w:r>
        <w:rPr>
          <w:w w:val="95"/>
        </w:rPr>
        <w:t>sheet</w:t>
      </w:r>
      <w:r>
        <w:rPr>
          <w:spacing w:val="-7"/>
          <w:w w:val="95"/>
        </w:rPr>
        <w:t xml:space="preserve"> </w:t>
      </w:r>
      <w:r>
        <w:rPr>
          <w:w w:val="95"/>
        </w:rPr>
        <w:t>has</w:t>
      </w:r>
      <w:r>
        <w:rPr>
          <w:spacing w:val="-7"/>
          <w:w w:val="95"/>
        </w:rPr>
        <w:t xml:space="preserve"> </w:t>
      </w:r>
      <w:r>
        <w:rPr>
          <w:w w:val="95"/>
        </w:rPr>
        <w:t>changed.</w:t>
      </w:r>
      <w:r>
        <w:rPr>
          <w:spacing w:val="-7"/>
          <w:w w:val="95"/>
        </w:rPr>
        <w:t xml:space="preserve"> </w:t>
      </w:r>
      <w:r>
        <w:rPr>
          <w:w w:val="95"/>
        </w:rPr>
        <w:t>This</w:t>
      </w:r>
      <w:r>
        <w:rPr>
          <w:spacing w:val="-7"/>
          <w:w w:val="95"/>
        </w:rPr>
        <w:t xml:space="preserve"> </w:t>
      </w:r>
      <w:r>
        <w:rPr>
          <w:w w:val="95"/>
        </w:rPr>
        <w:t>has</w:t>
      </w:r>
      <w:r>
        <w:rPr>
          <w:spacing w:val="-7"/>
          <w:w w:val="95"/>
        </w:rPr>
        <w:t xml:space="preserve"> </w:t>
      </w:r>
      <w:r>
        <w:rPr>
          <w:w w:val="95"/>
        </w:rPr>
        <w:t xml:space="preserve">potential </w:t>
      </w:r>
      <w:r>
        <w:rPr>
          <w:spacing w:val="-2"/>
        </w:rPr>
        <w:t>implications</w:t>
      </w:r>
      <w:r>
        <w:rPr>
          <w:spacing w:val="-10"/>
        </w:rPr>
        <w:t xml:space="preserve"> </w:t>
      </w:r>
      <w:r>
        <w:rPr>
          <w:spacing w:val="-2"/>
        </w:rPr>
        <w:t>the</w:t>
      </w:r>
      <w:r>
        <w:rPr>
          <w:spacing w:val="-10"/>
        </w:rPr>
        <w:t xml:space="preserve"> </w:t>
      </w:r>
      <w:r>
        <w:rPr>
          <w:spacing w:val="-2"/>
        </w:rPr>
        <w:t>State’s</w:t>
      </w:r>
      <w:r>
        <w:rPr>
          <w:spacing w:val="-10"/>
        </w:rPr>
        <w:t xml:space="preserve"> </w:t>
      </w:r>
      <w:r>
        <w:rPr>
          <w:spacing w:val="-2"/>
        </w:rPr>
        <w:t>credit</w:t>
      </w:r>
      <w:r>
        <w:rPr>
          <w:spacing w:val="-10"/>
        </w:rPr>
        <w:t xml:space="preserve"> </w:t>
      </w:r>
      <w:r>
        <w:rPr>
          <w:spacing w:val="-2"/>
        </w:rPr>
        <w:t>rating,</w:t>
      </w:r>
      <w:r>
        <w:rPr>
          <w:spacing w:val="-10"/>
        </w:rPr>
        <w:t xml:space="preserve"> </w:t>
      </w:r>
      <w:r>
        <w:rPr>
          <w:spacing w:val="-2"/>
        </w:rPr>
        <w:t>and,</w:t>
      </w:r>
      <w:r>
        <w:rPr>
          <w:spacing w:val="-10"/>
        </w:rPr>
        <w:t xml:space="preserve"> </w:t>
      </w:r>
      <w:r>
        <w:rPr>
          <w:spacing w:val="-2"/>
        </w:rPr>
        <w:t>as</w:t>
      </w:r>
      <w:r>
        <w:rPr>
          <w:spacing w:val="-10"/>
        </w:rPr>
        <w:t xml:space="preserve"> </w:t>
      </w:r>
      <w:r>
        <w:rPr>
          <w:spacing w:val="-2"/>
        </w:rPr>
        <w:t>a</w:t>
      </w:r>
      <w:r>
        <w:rPr>
          <w:spacing w:val="-10"/>
        </w:rPr>
        <w:t xml:space="preserve"> </w:t>
      </w:r>
      <w:r>
        <w:rPr>
          <w:spacing w:val="-2"/>
        </w:rPr>
        <w:t>result,</w:t>
      </w:r>
    </w:p>
    <w:p w:rsidR="002C1123" w:rsidRDefault="00F22F94">
      <w:pPr>
        <w:pStyle w:val="BodyText"/>
        <w:spacing w:before="4" w:line="249" w:lineRule="auto"/>
        <w:ind w:left="188"/>
      </w:pPr>
      <w:r>
        <w:rPr>
          <w:w w:val="95"/>
        </w:rPr>
        <w:t xml:space="preserve">the capacity of Government to finance non-commercial </w:t>
      </w:r>
      <w:r>
        <w:t>infrastructure</w:t>
      </w:r>
      <w:r>
        <w:rPr>
          <w:spacing w:val="-14"/>
        </w:rPr>
        <w:t xml:space="preserve"> </w:t>
      </w:r>
      <w:r>
        <w:t>investments</w:t>
      </w:r>
      <w:r>
        <w:rPr>
          <w:spacing w:val="-14"/>
        </w:rPr>
        <w:t xml:space="preserve"> </w:t>
      </w:r>
      <w:r>
        <w:t>is</w:t>
      </w:r>
      <w:r>
        <w:rPr>
          <w:spacing w:val="-14"/>
        </w:rPr>
        <w:t xml:space="preserve"> </w:t>
      </w:r>
      <w:r>
        <w:t>currently</w:t>
      </w:r>
      <w:r>
        <w:rPr>
          <w:spacing w:val="-14"/>
        </w:rPr>
        <w:t xml:space="preserve"> </w:t>
      </w:r>
      <w:r>
        <w:t>limited.</w:t>
      </w:r>
    </w:p>
    <w:p w:rsidR="002C1123" w:rsidRDefault="00F22F94">
      <w:pPr>
        <w:pStyle w:val="BodyText"/>
        <w:spacing w:before="6"/>
        <w:ind w:left="258"/>
      </w:pPr>
      <w:r>
        <w:br w:type="column"/>
      </w:r>
      <w:r>
        <w:rPr>
          <w:spacing w:val="-2"/>
          <w:w w:val="95"/>
        </w:rPr>
        <w:t>State’s</w:t>
      </w:r>
      <w:r>
        <w:rPr>
          <w:spacing w:val="-3"/>
          <w:w w:val="95"/>
        </w:rPr>
        <w:t xml:space="preserve"> </w:t>
      </w:r>
      <w:r>
        <w:rPr>
          <w:spacing w:val="-2"/>
          <w:w w:val="95"/>
        </w:rPr>
        <w:t>ability</w:t>
      </w:r>
      <w:r>
        <w:rPr>
          <w:spacing w:val="-5"/>
        </w:rPr>
        <w:t xml:space="preserve"> </w:t>
      </w:r>
      <w:r>
        <w:rPr>
          <w:spacing w:val="-2"/>
          <w:w w:val="95"/>
        </w:rPr>
        <w:t>to</w:t>
      </w:r>
      <w:r>
        <w:rPr>
          <w:spacing w:val="-3"/>
          <w:w w:val="95"/>
        </w:rPr>
        <w:t xml:space="preserve"> </w:t>
      </w:r>
      <w:r>
        <w:rPr>
          <w:spacing w:val="-2"/>
          <w:w w:val="95"/>
        </w:rPr>
        <w:t>invest</w:t>
      </w:r>
      <w:r>
        <w:rPr>
          <w:spacing w:val="-5"/>
        </w:rPr>
        <w:t xml:space="preserve"> </w:t>
      </w:r>
      <w:r>
        <w:rPr>
          <w:spacing w:val="-2"/>
          <w:w w:val="95"/>
        </w:rPr>
        <w:t>in</w:t>
      </w:r>
      <w:r>
        <w:rPr>
          <w:spacing w:val="-5"/>
        </w:rPr>
        <w:t xml:space="preserve"> </w:t>
      </w:r>
      <w:r>
        <w:rPr>
          <w:spacing w:val="-2"/>
          <w:w w:val="95"/>
        </w:rPr>
        <w:t>new</w:t>
      </w:r>
      <w:r>
        <w:rPr>
          <w:spacing w:val="-3"/>
          <w:w w:val="95"/>
        </w:rPr>
        <w:t xml:space="preserve"> </w:t>
      </w:r>
      <w:r>
        <w:rPr>
          <w:spacing w:val="-2"/>
          <w:w w:val="95"/>
        </w:rPr>
        <w:t>infrastructure.</w:t>
      </w:r>
    </w:p>
    <w:p w:rsidR="002C1123" w:rsidRDefault="00F22F94">
      <w:pPr>
        <w:pStyle w:val="Heading6"/>
        <w:spacing w:before="152"/>
        <w:ind w:left="258"/>
      </w:pPr>
      <w:r>
        <w:t>User</w:t>
      </w:r>
      <w:r>
        <w:rPr>
          <w:spacing w:val="-5"/>
        </w:rPr>
        <w:t xml:space="preserve"> </w:t>
      </w:r>
      <w:r>
        <w:rPr>
          <w:spacing w:val="-2"/>
        </w:rPr>
        <w:t>Funding</w:t>
      </w:r>
    </w:p>
    <w:p w:rsidR="002C1123" w:rsidRDefault="00F22F94">
      <w:pPr>
        <w:pStyle w:val="BodyText"/>
        <w:spacing w:before="10" w:line="249" w:lineRule="auto"/>
        <w:ind w:left="258" w:right="1014"/>
      </w:pPr>
      <w:r>
        <w:t>Users</w:t>
      </w:r>
      <w:r>
        <w:rPr>
          <w:spacing w:val="-10"/>
        </w:rPr>
        <w:t xml:space="preserve"> </w:t>
      </w:r>
      <w:r>
        <w:t>already</w:t>
      </w:r>
      <w:r>
        <w:rPr>
          <w:spacing w:val="-10"/>
        </w:rPr>
        <w:t xml:space="preserve"> </w:t>
      </w:r>
      <w:r>
        <w:t>fund</w:t>
      </w:r>
      <w:r>
        <w:rPr>
          <w:spacing w:val="-10"/>
        </w:rPr>
        <w:t xml:space="preserve"> </w:t>
      </w:r>
      <w:r>
        <w:t>a</w:t>
      </w:r>
      <w:r>
        <w:rPr>
          <w:spacing w:val="-10"/>
        </w:rPr>
        <w:t xml:space="preserve"> </w:t>
      </w:r>
      <w:r>
        <w:t>substantial</w:t>
      </w:r>
      <w:r>
        <w:rPr>
          <w:spacing w:val="-10"/>
        </w:rPr>
        <w:t xml:space="preserve"> </w:t>
      </w:r>
      <w:r>
        <w:t>proportion</w:t>
      </w:r>
      <w:r>
        <w:rPr>
          <w:spacing w:val="-10"/>
        </w:rPr>
        <w:t xml:space="preserve"> </w:t>
      </w:r>
      <w:r>
        <w:t>of</w:t>
      </w:r>
      <w:r>
        <w:rPr>
          <w:spacing w:val="-10"/>
        </w:rPr>
        <w:t xml:space="preserve"> </w:t>
      </w:r>
      <w:r>
        <w:t xml:space="preserve">the </w:t>
      </w:r>
      <w:r>
        <w:rPr>
          <w:w w:val="95"/>
        </w:rPr>
        <w:t>State’s infrastructure. User charges can support the allocation</w:t>
      </w:r>
      <w:r>
        <w:rPr>
          <w:spacing w:val="-2"/>
          <w:w w:val="95"/>
        </w:rPr>
        <w:t xml:space="preserve"> </w:t>
      </w:r>
      <w:r>
        <w:rPr>
          <w:w w:val="95"/>
        </w:rPr>
        <w:t>of</w:t>
      </w:r>
      <w:r>
        <w:rPr>
          <w:spacing w:val="-2"/>
          <w:w w:val="95"/>
        </w:rPr>
        <w:t xml:space="preserve"> </w:t>
      </w:r>
      <w:r>
        <w:rPr>
          <w:w w:val="95"/>
        </w:rPr>
        <w:t>capital</w:t>
      </w:r>
      <w:r>
        <w:rPr>
          <w:spacing w:val="-2"/>
          <w:w w:val="95"/>
        </w:rPr>
        <w:t xml:space="preserve"> </w:t>
      </w:r>
      <w:r>
        <w:rPr>
          <w:w w:val="95"/>
        </w:rPr>
        <w:t>to</w:t>
      </w:r>
      <w:r>
        <w:rPr>
          <w:spacing w:val="-2"/>
          <w:w w:val="95"/>
        </w:rPr>
        <w:t xml:space="preserve"> </w:t>
      </w:r>
      <w:r>
        <w:rPr>
          <w:w w:val="95"/>
        </w:rPr>
        <w:t>the</w:t>
      </w:r>
      <w:r>
        <w:rPr>
          <w:spacing w:val="-2"/>
          <w:w w:val="95"/>
        </w:rPr>
        <w:t xml:space="preserve"> </w:t>
      </w:r>
      <w:r>
        <w:rPr>
          <w:w w:val="95"/>
        </w:rPr>
        <w:t>most</w:t>
      </w:r>
      <w:r>
        <w:rPr>
          <w:spacing w:val="-2"/>
          <w:w w:val="95"/>
        </w:rPr>
        <w:t xml:space="preserve"> </w:t>
      </w:r>
      <w:r>
        <w:rPr>
          <w:w w:val="95"/>
        </w:rPr>
        <w:t>urgent</w:t>
      </w:r>
      <w:r>
        <w:rPr>
          <w:spacing w:val="-2"/>
          <w:w w:val="95"/>
        </w:rPr>
        <w:t xml:space="preserve"> </w:t>
      </w:r>
      <w:r>
        <w:rPr>
          <w:w w:val="95"/>
        </w:rPr>
        <w:t>infrastructure needs,</w:t>
      </w:r>
      <w:r>
        <w:rPr>
          <w:spacing w:val="-5"/>
          <w:w w:val="95"/>
        </w:rPr>
        <w:t xml:space="preserve"> </w:t>
      </w:r>
      <w:r>
        <w:rPr>
          <w:w w:val="95"/>
        </w:rPr>
        <w:t>and</w:t>
      </w:r>
      <w:r>
        <w:rPr>
          <w:spacing w:val="-5"/>
          <w:w w:val="95"/>
        </w:rPr>
        <w:t xml:space="preserve"> </w:t>
      </w:r>
      <w:r>
        <w:rPr>
          <w:w w:val="95"/>
        </w:rPr>
        <w:t>help</w:t>
      </w:r>
      <w:r>
        <w:rPr>
          <w:spacing w:val="-5"/>
          <w:w w:val="95"/>
        </w:rPr>
        <w:t xml:space="preserve"> </w:t>
      </w:r>
      <w:r>
        <w:rPr>
          <w:w w:val="95"/>
        </w:rPr>
        <w:t>increase</w:t>
      </w:r>
      <w:r>
        <w:rPr>
          <w:spacing w:val="-4"/>
          <w:w w:val="95"/>
        </w:rPr>
        <w:t xml:space="preserve"> </w:t>
      </w:r>
      <w:r>
        <w:rPr>
          <w:w w:val="95"/>
        </w:rPr>
        <w:t>economic</w:t>
      </w:r>
      <w:r>
        <w:rPr>
          <w:spacing w:val="-5"/>
          <w:w w:val="95"/>
        </w:rPr>
        <w:t xml:space="preserve"> </w:t>
      </w:r>
      <w:r>
        <w:rPr>
          <w:w w:val="95"/>
        </w:rPr>
        <w:t>efficiency.</w:t>
      </w:r>
      <w:r>
        <w:rPr>
          <w:spacing w:val="-5"/>
          <w:w w:val="95"/>
        </w:rPr>
        <w:t xml:space="preserve"> </w:t>
      </w:r>
      <w:r>
        <w:rPr>
          <w:spacing w:val="-4"/>
          <w:w w:val="95"/>
        </w:rPr>
        <w:t>Even</w:t>
      </w:r>
    </w:p>
    <w:p w:rsidR="002C1123" w:rsidRDefault="00F22F94">
      <w:pPr>
        <w:pStyle w:val="BodyText"/>
        <w:spacing w:before="3" w:line="249" w:lineRule="auto"/>
        <w:ind w:left="258"/>
      </w:pPr>
      <w:r>
        <w:rPr>
          <w:w w:val="95"/>
        </w:rPr>
        <w:t>without taking account of the State’s funding constraints, Infrastructure NSW favours user charging as a principle.</w:t>
      </w:r>
    </w:p>
    <w:p w:rsidR="002C1123" w:rsidRDefault="00F22F94">
      <w:pPr>
        <w:pStyle w:val="BodyText"/>
        <w:spacing w:before="144" w:line="249" w:lineRule="auto"/>
        <w:ind w:left="258" w:right="626"/>
      </w:pPr>
      <w:r>
        <w:t>In</w:t>
      </w:r>
      <w:r>
        <w:rPr>
          <w:spacing w:val="-11"/>
        </w:rPr>
        <w:t xml:space="preserve"> </w:t>
      </w:r>
      <w:r>
        <w:t>practice,</w:t>
      </w:r>
      <w:r>
        <w:rPr>
          <w:spacing w:val="-11"/>
        </w:rPr>
        <w:t xml:space="preserve"> </w:t>
      </w:r>
      <w:r>
        <w:t>the</w:t>
      </w:r>
      <w:r>
        <w:rPr>
          <w:spacing w:val="-11"/>
        </w:rPr>
        <w:t xml:space="preserve"> </w:t>
      </w:r>
      <w:r>
        <w:t>application</w:t>
      </w:r>
      <w:r>
        <w:rPr>
          <w:spacing w:val="-11"/>
        </w:rPr>
        <w:t xml:space="preserve"> </w:t>
      </w:r>
      <w:r>
        <w:t>of</w:t>
      </w:r>
      <w:r>
        <w:rPr>
          <w:spacing w:val="-11"/>
        </w:rPr>
        <w:t xml:space="preserve"> </w:t>
      </w:r>
      <w:r>
        <w:t>user</w:t>
      </w:r>
      <w:r>
        <w:rPr>
          <w:spacing w:val="-11"/>
        </w:rPr>
        <w:t xml:space="preserve"> </w:t>
      </w:r>
      <w:r>
        <w:t>charges</w:t>
      </w:r>
      <w:r>
        <w:rPr>
          <w:spacing w:val="-11"/>
        </w:rPr>
        <w:t xml:space="preserve"> </w:t>
      </w:r>
      <w:r>
        <w:t>in</w:t>
      </w:r>
      <w:r>
        <w:rPr>
          <w:spacing w:val="-11"/>
        </w:rPr>
        <w:t xml:space="preserve"> </w:t>
      </w:r>
      <w:r>
        <w:t>the infrastructure</w:t>
      </w:r>
      <w:r>
        <w:rPr>
          <w:spacing w:val="-4"/>
        </w:rPr>
        <w:t xml:space="preserve"> </w:t>
      </w:r>
      <w:r>
        <w:t>sector</w:t>
      </w:r>
      <w:r>
        <w:rPr>
          <w:spacing w:val="-4"/>
        </w:rPr>
        <w:t xml:space="preserve"> </w:t>
      </w:r>
      <w:r>
        <w:t>can</w:t>
      </w:r>
      <w:r>
        <w:rPr>
          <w:spacing w:val="-4"/>
        </w:rPr>
        <w:t xml:space="preserve"> </w:t>
      </w:r>
      <w:r>
        <w:t>sometimes</w:t>
      </w:r>
      <w:r>
        <w:rPr>
          <w:spacing w:val="-4"/>
        </w:rPr>
        <w:t xml:space="preserve"> </w:t>
      </w:r>
      <w:r>
        <w:t>be</w:t>
      </w:r>
      <w:r>
        <w:rPr>
          <w:spacing w:val="-4"/>
        </w:rPr>
        <w:t xml:space="preserve"> </w:t>
      </w:r>
      <w:r>
        <w:t>opposed</w:t>
      </w:r>
      <w:r>
        <w:rPr>
          <w:spacing w:val="-4"/>
        </w:rPr>
        <w:t xml:space="preserve"> </w:t>
      </w:r>
      <w:r>
        <w:t>by sections</w:t>
      </w:r>
      <w:r>
        <w:rPr>
          <w:spacing w:val="-13"/>
        </w:rPr>
        <w:t xml:space="preserve"> </w:t>
      </w:r>
      <w:r>
        <w:t>of</w:t>
      </w:r>
      <w:r>
        <w:rPr>
          <w:spacing w:val="-13"/>
        </w:rPr>
        <w:t xml:space="preserve"> </w:t>
      </w:r>
      <w:r>
        <w:t>the</w:t>
      </w:r>
      <w:r>
        <w:rPr>
          <w:spacing w:val="-13"/>
        </w:rPr>
        <w:t xml:space="preserve"> </w:t>
      </w:r>
      <w:r>
        <w:t>community.</w:t>
      </w:r>
      <w:r>
        <w:rPr>
          <w:spacing w:val="-13"/>
        </w:rPr>
        <w:t xml:space="preserve"> </w:t>
      </w:r>
      <w:r>
        <w:t>This</w:t>
      </w:r>
      <w:r>
        <w:rPr>
          <w:spacing w:val="-13"/>
        </w:rPr>
        <w:t xml:space="preserve"> </w:t>
      </w:r>
      <w:r>
        <w:t>is</w:t>
      </w:r>
      <w:r>
        <w:rPr>
          <w:spacing w:val="-13"/>
        </w:rPr>
        <w:t xml:space="preserve"> </w:t>
      </w:r>
      <w:r>
        <w:t>particularly</w:t>
      </w:r>
      <w:r>
        <w:rPr>
          <w:spacing w:val="-13"/>
        </w:rPr>
        <w:t xml:space="preserve"> </w:t>
      </w:r>
      <w:r>
        <w:t>true</w:t>
      </w:r>
      <w:r>
        <w:rPr>
          <w:spacing w:val="-13"/>
        </w:rPr>
        <w:t xml:space="preserve"> </w:t>
      </w:r>
      <w:r>
        <w:t xml:space="preserve">if </w:t>
      </w:r>
      <w:r>
        <w:rPr>
          <w:w w:val="95"/>
        </w:rPr>
        <w:t>there</w:t>
      </w:r>
      <w:r>
        <w:rPr>
          <w:spacing w:val="-6"/>
          <w:w w:val="95"/>
        </w:rPr>
        <w:t xml:space="preserve"> </w:t>
      </w:r>
      <w:r>
        <w:rPr>
          <w:w w:val="95"/>
        </w:rPr>
        <w:t>is</w:t>
      </w:r>
      <w:r>
        <w:rPr>
          <w:spacing w:val="-6"/>
          <w:w w:val="95"/>
        </w:rPr>
        <w:t xml:space="preserve"> </w:t>
      </w:r>
      <w:r>
        <w:rPr>
          <w:w w:val="95"/>
        </w:rPr>
        <w:t>no</w:t>
      </w:r>
      <w:r>
        <w:rPr>
          <w:spacing w:val="-6"/>
          <w:w w:val="95"/>
        </w:rPr>
        <w:t xml:space="preserve"> </w:t>
      </w:r>
      <w:r>
        <w:rPr>
          <w:w w:val="95"/>
        </w:rPr>
        <w:t>clear</w:t>
      </w:r>
      <w:r>
        <w:rPr>
          <w:spacing w:val="-6"/>
          <w:w w:val="95"/>
        </w:rPr>
        <w:t xml:space="preserve"> </w:t>
      </w:r>
      <w:r>
        <w:rPr>
          <w:w w:val="95"/>
        </w:rPr>
        <w:t>linkage</w:t>
      </w:r>
      <w:r>
        <w:rPr>
          <w:spacing w:val="-6"/>
          <w:w w:val="95"/>
        </w:rPr>
        <w:t xml:space="preserve"> </w:t>
      </w:r>
      <w:r>
        <w:rPr>
          <w:w w:val="95"/>
        </w:rPr>
        <w:t>between</w:t>
      </w:r>
      <w:r>
        <w:rPr>
          <w:spacing w:val="-6"/>
          <w:w w:val="95"/>
        </w:rPr>
        <w:t xml:space="preserve"> </w:t>
      </w:r>
      <w:r>
        <w:rPr>
          <w:w w:val="95"/>
        </w:rPr>
        <w:t>a</w:t>
      </w:r>
      <w:r>
        <w:rPr>
          <w:spacing w:val="-6"/>
          <w:w w:val="95"/>
        </w:rPr>
        <w:t xml:space="preserve"> </w:t>
      </w:r>
      <w:r>
        <w:rPr>
          <w:w w:val="95"/>
        </w:rPr>
        <w:t>charge</w:t>
      </w:r>
      <w:r>
        <w:rPr>
          <w:spacing w:val="-6"/>
          <w:w w:val="95"/>
        </w:rPr>
        <w:t xml:space="preserve"> </w:t>
      </w:r>
      <w:r>
        <w:rPr>
          <w:w w:val="95"/>
        </w:rPr>
        <w:t>and</w:t>
      </w:r>
      <w:r>
        <w:rPr>
          <w:spacing w:val="-6"/>
          <w:w w:val="95"/>
        </w:rPr>
        <w:t xml:space="preserve"> </w:t>
      </w:r>
      <w:r>
        <w:rPr>
          <w:w w:val="95"/>
        </w:rPr>
        <w:t>a</w:t>
      </w:r>
      <w:r>
        <w:rPr>
          <w:spacing w:val="-6"/>
          <w:w w:val="95"/>
        </w:rPr>
        <w:t xml:space="preserve"> </w:t>
      </w:r>
      <w:r>
        <w:rPr>
          <w:w w:val="95"/>
        </w:rPr>
        <w:t xml:space="preserve">specific </w:t>
      </w:r>
      <w:r>
        <w:t>infrastructure</w:t>
      </w:r>
      <w:r>
        <w:rPr>
          <w:spacing w:val="-11"/>
        </w:rPr>
        <w:t xml:space="preserve"> </w:t>
      </w:r>
      <w:r>
        <w:t>improvement.</w:t>
      </w:r>
    </w:p>
    <w:p w:rsidR="002C1123" w:rsidRDefault="00F22F94">
      <w:pPr>
        <w:pStyle w:val="BodyText"/>
        <w:spacing w:before="146"/>
        <w:ind w:left="258"/>
      </w:pPr>
      <w:r>
        <w:rPr>
          <w:w w:val="95"/>
        </w:rPr>
        <w:t>These</w:t>
      </w:r>
      <w:r>
        <w:rPr>
          <w:spacing w:val="-8"/>
          <w:w w:val="95"/>
        </w:rPr>
        <w:t xml:space="preserve"> </w:t>
      </w:r>
      <w:r>
        <w:rPr>
          <w:w w:val="95"/>
        </w:rPr>
        <w:t>issues</w:t>
      </w:r>
      <w:r>
        <w:rPr>
          <w:spacing w:val="-7"/>
          <w:w w:val="95"/>
        </w:rPr>
        <w:t xml:space="preserve"> </w:t>
      </w:r>
      <w:r>
        <w:rPr>
          <w:w w:val="95"/>
        </w:rPr>
        <w:t>are</w:t>
      </w:r>
      <w:r>
        <w:rPr>
          <w:spacing w:val="-7"/>
          <w:w w:val="95"/>
        </w:rPr>
        <w:t xml:space="preserve"> </w:t>
      </w:r>
      <w:r>
        <w:rPr>
          <w:w w:val="95"/>
        </w:rPr>
        <w:t>discussed</w:t>
      </w:r>
      <w:r>
        <w:rPr>
          <w:spacing w:val="-7"/>
          <w:w w:val="95"/>
        </w:rPr>
        <w:t xml:space="preserve"> </w:t>
      </w:r>
      <w:r>
        <w:rPr>
          <w:w w:val="95"/>
        </w:rPr>
        <w:t>further</w:t>
      </w:r>
      <w:r>
        <w:rPr>
          <w:spacing w:val="-8"/>
          <w:w w:val="95"/>
        </w:rPr>
        <w:t xml:space="preserve"> </w:t>
      </w:r>
      <w:r>
        <w:rPr>
          <w:w w:val="95"/>
        </w:rPr>
        <w:t>in</w:t>
      </w:r>
      <w:r>
        <w:rPr>
          <w:spacing w:val="-7"/>
          <w:w w:val="95"/>
        </w:rPr>
        <w:t xml:space="preserve"> </w:t>
      </w:r>
      <w:r>
        <w:rPr>
          <w:spacing w:val="-2"/>
          <w:w w:val="95"/>
        </w:rPr>
        <w:t>16.1.3.</w:t>
      </w:r>
    </w:p>
    <w:p w:rsidR="002C1123" w:rsidRDefault="002060EF">
      <w:pPr>
        <w:pStyle w:val="BodyText"/>
        <w:spacing w:before="10"/>
        <w:rPr>
          <w:sz w:val="15"/>
        </w:rPr>
      </w:pPr>
      <w:r>
        <w:pict>
          <v:shape id="docshape2896" o:spid="_x0000_s1130" style="position:absolute;margin-left:552.3pt;margin-top:10.3pt;width:1in;height:.1pt;z-index:-251320320;mso-wrap-distance-left:0;mso-wrap-distance-right:0;mso-position-horizontal-relative:page" coordorigin="11046,206" coordsize="1440,0" path="m11046,206r1440,e" filled="f" strokecolor="#9c9c9d" strokeweight=".5pt">
            <v:path arrowok="t"/>
            <w10:wrap type="topAndBottom" anchorx="page"/>
          </v:shape>
        </w:pict>
      </w:r>
    </w:p>
    <w:p w:rsidR="002C1123" w:rsidRDefault="00F22F94">
      <w:pPr>
        <w:pStyle w:val="ListParagraph"/>
        <w:numPr>
          <w:ilvl w:val="0"/>
          <w:numId w:val="1"/>
        </w:numPr>
        <w:tabs>
          <w:tab w:val="left" w:pos="458"/>
        </w:tabs>
        <w:spacing w:before="23"/>
        <w:ind w:left="457" w:hanging="200"/>
        <w:jc w:val="left"/>
        <w:rPr>
          <w:sz w:val="14"/>
        </w:rPr>
      </w:pPr>
      <w:r>
        <w:rPr>
          <w:w w:val="95"/>
          <w:sz w:val="14"/>
        </w:rPr>
        <w:t>NSW</w:t>
      </w:r>
      <w:r>
        <w:rPr>
          <w:spacing w:val="-4"/>
          <w:w w:val="95"/>
          <w:sz w:val="14"/>
        </w:rPr>
        <w:t xml:space="preserve"> </w:t>
      </w:r>
      <w:r>
        <w:rPr>
          <w:w w:val="95"/>
          <w:sz w:val="14"/>
        </w:rPr>
        <w:t>Treasury,</w:t>
      </w:r>
      <w:r>
        <w:rPr>
          <w:spacing w:val="-4"/>
          <w:w w:val="95"/>
          <w:sz w:val="14"/>
        </w:rPr>
        <w:t xml:space="preserve"> </w:t>
      </w:r>
      <w:r>
        <w:rPr>
          <w:w w:val="95"/>
          <w:sz w:val="14"/>
        </w:rPr>
        <w:t>2011/12</w:t>
      </w:r>
      <w:r>
        <w:rPr>
          <w:spacing w:val="-4"/>
          <w:w w:val="95"/>
          <w:sz w:val="14"/>
        </w:rPr>
        <w:t xml:space="preserve"> </w:t>
      </w:r>
      <w:r>
        <w:rPr>
          <w:w w:val="95"/>
          <w:sz w:val="14"/>
        </w:rPr>
        <w:t>Budget</w:t>
      </w:r>
      <w:r>
        <w:rPr>
          <w:spacing w:val="-4"/>
          <w:w w:val="95"/>
          <w:sz w:val="14"/>
        </w:rPr>
        <w:t xml:space="preserve"> </w:t>
      </w:r>
      <w:r>
        <w:rPr>
          <w:w w:val="95"/>
          <w:sz w:val="14"/>
        </w:rPr>
        <w:t>Paper</w:t>
      </w:r>
      <w:r>
        <w:rPr>
          <w:spacing w:val="-4"/>
          <w:w w:val="95"/>
          <w:sz w:val="14"/>
        </w:rPr>
        <w:t xml:space="preserve"> </w:t>
      </w:r>
      <w:r>
        <w:rPr>
          <w:spacing w:val="-5"/>
          <w:w w:val="95"/>
          <w:sz w:val="14"/>
        </w:rPr>
        <w:t>2.</w:t>
      </w:r>
    </w:p>
    <w:p w:rsidR="002C1123" w:rsidRDefault="002C1123">
      <w:pPr>
        <w:rPr>
          <w:sz w:val="14"/>
        </w:rPr>
        <w:sectPr w:rsidR="002C1123">
          <w:type w:val="continuous"/>
          <w:pgSz w:w="16840" w:h="11910" w:orient="landscape"/>
          <w:pgMar w:top="560" w:right="280" w:bottom="280" w:left="500" w:header="0" w:footer="517" w:gutter="0"/>
          <w:cols w:num="3" w:space="720" w:equalWidth="0">
            <w:col w:w="5291" w:space="40"/>
            <w:col w:w="4917" w:space="39"/>
            <w:col w:w="5773"/>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3"/>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Heading6"/>
        <w:ind w:left="492"/>
      </w:pPr>
      <w:bookmarkStart w:id="401" w:name="_bookmark285"/>
      <w:bookmarkEnd w:id="401"/>
      <w:r>
        <w:t>Implications</w:t>
      </w:r>
      <w:r>
        <w:rPr>
          <w:spacing w:val="-10"/>
        </w:rPr>
        <w:t xml:space="preserve"> </w:t>
      </w:r>
      <w:r>
        <w:t>for</w:t>
      </w:r>
      <w:r>
        <w:rPr>
          <w:spacing w:val="-10"/>
        </w:rPr>
        <w:t xml:space="preserve"> </w:t>
      </w:r>
      <w:r>
        <w:t>the</w:t>
      </w:r>
      <w:r>
        <w:rPr>
          <w:spacing w:val="-10"/>
        </w:rPr>
        <w:t xml:space="preserve"> </w:t>
      </w:r>
      <w:r>
        <w:rPr>
          <w:spacing w:val="-2"/>
        </w:rPr>
        <w:t>Strategy</w:t>
      </w:r>
    </w:p>
    <w:p w:rsidR="002C1123" w:rsidRDefault="00F22F94">
      <w:pPr>
        <w:pStyle w:val="BodyText"/>
        <w:spacing w:before="10" w:line="249" w:lineRule="auto"/>
        <w:ind w:left="492"/>
      </w:pPr>
      <w:r>
        <w:t>Infrastructure</w:t>
      </w:r>
      <w:r>
        <w:rPr>
          <w:spacing w:val="-12"/>
        </w:rPr>
        <w:t xml:space="preserve"> </w:t>
      </w:r>
      <w:r>
        <w:t>NSW</w:t>
      </w:r>
      <w:r>
        <w:rPr>
          <w:spacing w:val="-12"/>
        </w:rPr>
        <w:t xml:space="preserve"> </w:t>
      </w:r>
      <w:r>
        <w:t>has</w:t>
      </w:r>
      <w:r>
        <w:rPr>
          <w:spacing w:val="-12"/>
        </w:rPr>
        <w:t xml:space="preserve"> </w:t>
      </w:r>
      <w:r>
        <w:t>concluded</w:t>
      </w:r>
      <w:r>
        <w:rPr>
          <w:spacing w:val="-12"/>
        </w:rPr>
        <w:t xml:space="preserve"> </w:t>
      </w:r>
      <w:r>
        <w:t>that</w:t>
      </w:r>
      <w:r>
        <w:rPr>
          <w:spacing w:val="-12"/>
        </w:rPr>
        <w:t xml:space="preserve"> </w:t>
      </w:r>
      <w:r>
        <w:t>it</w:t>
      </w:r>
      <w:r>
        <w:rPr>
          <w:spacing w:val="-12"/>
        </w:rPr>
        <w:t xml:space="preserve"> </w:t>
      </w:r>
      <w:r>
        <w:t>is</w:t>
      </w:r>
      <w:r>
        <w:rPr>
          <w:spacing w:val="-12"/>
        </w:rPr>
        <w:t xml:space="preserve"> </w:t>
      </w:r>
      <w:r>
        <w:t xml:space="preserve">highly </w:t>
      </w:r>
      <w:r>
        <w:rPr>
          <w:w w:val="95"/>
        </w:rPr>
        <w:t>unlikely</w:t>
      </w:r>
      <w:r>
        <w:rPr>
          <w:spacing w:val="-3"/>
          <w:w w:val="95"/>
        </w:rPr>
        <w:t xml:space="preserve"> </w:t>
      </w:r>
      <w:r>
        <w:rPr>
          <w:w w:val="95"/>
        </w:rPr>
        <w:t>that</w:t>
      </w:r>
      <w:r>
        <w:rPr>
          <w:spacing w:val="-3"/>
          <w:w w:val="95"/>
        </w:rPr>
        <w:t xml:space="preserve"> </w:t>
      </w:r>
      <w:r>
        <w:rPr>
          <w:w w:val="95"/>
        </w:rPr>
        <w:t>Government</w:t>
      </w:r>
      <w:r>
        <w:rPr>
          <w:spacing w:val="-3"/>
          <w:w w:val="95"/>
        </w:rPr>
        <w:t xml:space="preserve"> </w:t>
      </w:r>
      <w:r>
        <w:rPr>
          <w:w w:val="95"/>
        </w:rPr>
        <w:t>spending</w:t>
      </w:r>
      <w:r>
        <w:rPr>
          <w:spacing w:val="-3"/>
          <w:w w:val="95"/>
        </w:rPr>
        <w:t xml:space="preserve"> </w:t>
      </w:r>
      <w:r>
        <w:rPr>
          <w:w w:val="95"/>
        </w:rPr>
        <w:t>on</w:t>
      </w:r>
      <w:r>
        <w:rPr>
          <w:spacing w:val="-3"/>
          <w:w w:val="95"/>
        </w:rPr>
        <w:t xml:space="preserve"> </w:t>
      </w:r>
      <w:r>
        <w:rPr>
          <w:w w:val="95"/>
        </w:rPr>
        <w:t>infrastructure</w:t>
      </w:r>
      <w:r>
        <w:rPr>
          <w:spacing w:val="-3"/>
          <w:w w:val="95"/>
        </w:rPr>
        <w:t xml:space="preserve"> </w:t>
      </w:r>
      <w:r>
        <w:rPr>
          <w:w w:val="95"/>
        </w:rPr>
        <w:t xml:space="preserve">can be materially increased in real terms during the next 20 </w:t>
      </w:r>
      <w:r>
        <w:t>years</w:t>
      </w:r>
      <w:r>
        <w:rPr>
          <w:spacing w:val="-14"/>
        </w:rPr>
        <w:t xml:space="preserve"> </w:t>
      </w:r>
      <w:r>
        <w:t>without</w:t>
      </w:r>
      <w:r>
        <w:rPr>
          <w:spacing w:val="-14"/>
        </w:rPr>
        <w:t xml:space="preserve"> </w:t>
      </w:r>
      <w:r>
        <w:t>threatening</w:t>
      </w:r>
      <w:r>
        <w:rPr>
          <w:spacing w:val="-14"/>
        </w:rPr>
        <w:t xml:space="preserve"> </w:t>
      </w:r>
      <w:r>
        <w:t>the</w:t>
      </w:r>
      <w:r>
        <w:rPr>
          <w:spacing w:val="-14"/>
        </w:rPr>
        <w:t xml:space="preserve"> </w:t>
      </w:r>
      <w:r>
        <w:t>State’s</w:t>
      </w:r>
      <w:r>
        <w:rPr>
          <w:spacing w:val="-14"/>
        </w:rPr>
        <w:t xml:space="preserve"> </w:t>
      </w:r>
      <w:r>
        <w:t>credit</w:t>
      </w:r>
      <w:r>
        <w:rPr>
          <w:spacing w:val="-14"/>
        </w:rPr>
        <w:t xml:space="preserve"> </w:t>
      </w:r>
      <w:r>
        <w:t>rating</w:t>
      </w:r>
      <w:r>
        <w:rPr>
          <w:spacing w:val="-14"/>
        </w:rPr>
        <w:t xml:space="preserve"> </w:t>
      </w:r>
      <w:r>
        <w:t>and increasing</w:t>
      </w:r>
      <w:r>
        <w:rPr>
          <w:spacing w:val="-10"/>
        </w:rPr>
        <w:t xml:space="preserve"> </w:t>
      </w:r>
      <w:r>
        <w:t>NSW’s</w:t>
      </w:r>
      <w:r>
        <w:rPr>
          <w:spacing w:val="-10"/>
        </w:rPr>
        <w:t xml:space="preserve"> </w:t>
      </w:r>
      <w:r>
        <w:t>cost</w:t>
      </w:r>
      <w:r>
        <w:rPr>
          <w:spacing w:val="-10"/>
        </w:rPr>
        <w:t xml:space="preserve"> </w:t>
      </w:r>
      <w:r>
        <w:t>of</w:t>
      </w:r>
      <w:r>
        <w:rPr>
          <w:spacing w:val="-10"/>
        </w:rPr>
        <w:t xml:space="preserve"> </w:t>
      </w:r>
      <w:r>
        <w:t>borrowing.</w:t>
      </w:r>
      <w:r>
        <w:rPr>
          <w:spacing w:val="-10"/>
        </w:rPr>
        <w:t xml:space="preserve"> </w:t>
      </w:r>
      <w:r>
        <w:t>This</w:t>
      </w:r>
      <w:r>
        <w:rPr>
          <w:spacing w:val="-10"/>
        </w:rPr>
        <w:t xml:space="preserve"> </w:t>
      </w:r>
      <w:r>
        <w:t>constraint has</w:t>
      </w:r>
      <w:r>
        <w:rPr>
          <w:spacing w:val="-14"/>
        </w:rPr>
        <w:t xml:space="preserve"> </w:t>
      </w:r>
      <w:r>
        <w:t>underpinned</w:t>
      </w:r>
      <w:r>
        <w:rPr>
          <w:spacing w:val="-14"/>
        </w:rPr>
        <w:t xml:space="preserve"> </w:t>
      </w:r>
      <w:r>
        <w:t>Infrastructure</w:t>
      </w:r>
      <w:r>
        <w:rPr>
          <w:spacing w:val="-14"/>
        </w:rPr>
        <w:t xml:space="preserve"> </w:t>
      </w:r>
      <w:r>
        <w:t>NSW’s</w:t>
      </w:r>
      <w:r>
        <w:rPr>
          <w:spacing w:val="-14"/>
        </w:rPr>
        <w:t xml:space="preserve"> </w:t>
      </w:r>
      <w:r>
        <w:t>strategy</w:t>
      </w:r>
      <w:r>
        <w:rPr>
          <w:spacing w:val="-14"/>
        </w:rPr>
        <w:t xml:space="preserve"> </w:t>
      </w:r>
      <w:r>
        <w:t>for</w:t>
      </w:r>
      <w:r>
        <w:rPr>
          <w:spacing w:val="-14"/>
        </w:rPr>
        <w:t xml:space="preserve"> </w:t>
      </w:r>
      <w:r>
        <w:t>the</w:t>
      </w:r>
    </w:p>
    <w:p w:rsidR="002C1123" w:rsidRDefault="00F22F94">
      <w:pPr>
        <w:pStyle w:val="BodyText"/>
        <w:spacing w:before="5" w:line="249" w:lineRule="auto"/>
        <w:ind w:left="492"/>
      </w:pPr>
      <w:r>
        <w:rPr>
          <w:w w:val="95"/>
        </w:rPr>
        <w:t>selection</w:t>
      </w:r>
      <w:r>
        <w:rPr>
          <w:spacing w:val="-10"/>
          <w:w w:val="95"/>
        </w:rPr>
        <w:t xml:space="preserve"> </w:t>
      </w:r>
      <w:r>
        <w:rPr>
          <w:w w:val="95"/>
        </w:rPr>
        <w:t>and</w:t>
      </w:r>
      <w:r>
        <w:rPr>
          <w:spacing w:val="-10"/>
          <w:w w:val="95"/>
        </w:rPr>
        <w:t xml:space="preserve"> </w:t>
      </w:r>
      <w:r>
        <w:rPr>
          <w:w w:val="95"/>
        </w:rPr>
        <w:t>prioritisation</w:t>
      </w:r>
      <w:r>
        <w:rPr>
          <w:spacing w:val="-10"/>
          <w:w w:val="95"/>
        </w:rPr>
        <w:t xml:space="preserve"> </w:t>
      </w:r>
      <w:r>
        <w:rPr>
          <w:w w:val="95"/>
        </w:rPr>
        <w:t>of</w:t>
      </w:r>
      <w:r>
        <w:rPr>
          <w:spacing w:val="-10"/>
          <w:w w:val="95"/>
        </w:rPr>
        <w:t xml:space="preserve"> </w:t>
      </w:r>
      <w:r>
        <w:rPr>
          <w:w w:val="95"/>
        </w:rPr>
        <w:t>projects,</w:t>
      </w:r>
      <w:r>
        <w:rPr>
          <w:spacing w:val="-10"/>
          <w:w w:val="95"/>
        </w:rPr>
        <w:t xml:space="preserve"> </w:t>
      </w:r>
      <w:r>
        <w:rPr>
          <w:w w:val="95"/>
        </w:rPr>
        <w:t>and</w:t>
      </w:r>
      <w:r>
        <w:rPr>
          <w:spacing w:val="-10"/>
          <w:w w:val="95"/>
        </w:rPr>
        <w:t xml:space="preserve"> </w:t>
      </w:r>
      <w:r>
        <w:rPr>
          <w:w w:val="95"/>
        </w:rPr>
        <w:t>the</w:t>
      </w:r>
      <w:r>
        <w:rPr>
          <w:spacing w:val="-10"/>
          <w:w w:val="95"/>
        </w:rPr>
        <w:t xml:space="preserve"> </w:t>
      </w:r>
      <w:r>
        <w:rPr>
          <w:w w:val="95"/>
        </w:rPr>
        <w:t xml:space="preserve">preference </w:t>
      </w:r>
      <w:r>
        <w:rPr>
          <w:spacing w:val="-2"/>
        </w:rPr>
        <w:t>for</w:t>
      </w:r>
      <w:r>
        <w:rPr>
          <w:spacing w:val="-8"/>
        </w:rPr>
        <w:t xml:space="preserve"> </w:t>
      </w:r>
      <w:r>
        <w:rPr>
          <w:spacing w:val="-2"/>
        </w:rPr>
        <w:t>better</w:t>
      </w:r>
      <w:r>
        <w:rPr>
          <w:spacing w:val="-8"/>
        </w:rPr>
        <w:t xml:space="preserve"> </w:t>
      </w:r>
      <w:r>
        <w:rPr>
          <w:spacing w:val="-2"/>
        </w:rPr>
        <w:t>utilisation</w:t>
      </w:r>
      <w:r>
        <w:rPr>
          <w:spacing w:val="-8"/>
        </w:rPr>
        <w:t xml:space="preserve"> </w:t>
      </w:r>
      <w:r>
        <w:rPr>
          <w:spacing w:val="-2"/>
        </w:rPr>
        <w:t>of</w:t>
      </w:r>
      <w:r>
        <w:rPr>
          <w:spacing w:val="-8"/>
        </w:rPr>
        <w:t xml:space="preserve"> </w:t>
      </w:r>
      <w:r>
        <w:rPr>
          <w:spacing w:val="-2"/>
        </w:rPr>
        <w:t>existing</w:t>
      </w:r>
      <w:r>
        <w:rPr>
          <w:spacing w:val="-8"/>
        </w:rPr>
        <w:t xml:space="preserve"> </w:t>
      </w:r>
      <w:r>
        <w:rPr>
          <w:spacing w:val="-2"/>
        </w:rPr>
        <w:t>assets</w:t>
      </w:r>
      <w:r>
        <w:rPr>
          <w:spacing w:val="-8"/>
        </w:rPr>
        <w:t xml:space="preserve"> </w:t>
      </w:r>
      <w:r>
        <w:rPr>
          <w:spacing w:val="-2"/>
        </w:rPr>
        <w:t>where</w:t>
      </w:r>
      <w:r>
        <w:rPr>
          <w:spacing w:val="-8"/>
        </w:rPr>
        <w:t xml:space="preserve"> </w:t>
      </w:r>
      <w:r>
        <w:rPr>
          <w:spacing w:val="-2"/>
        </w:rPr>
        <w:t>possible.</w:t>
      </w:r>
    </w:p>
    <w:p w:rsidR="002C1123" w:rsidRDefault="00F22F94">
      <w:pPr>
        <w:pStyle w:val="BodyText"/>
        <w:spacing w:before="143" w:line="249" w:lineRule="auto"/>
        <w:ind w:left="492"/>
      </w:pPr>
      <w:r>
        <w:t>Within</w:t>
      </w:r>
      <w:r>
        <w:rPr>
          <w:spacing w:val="-14"/>
        </w:rPr>
        <w:t xml:space="preserve"> </w:t>
      </w:r>
      <w:r>
        <w:t>the</w:t>
      </w:r>
      <w:r>
        <w:rPr>
          <w:spacing w:val="-14"/>
        </w:rPr>
        <w:t xml:space="preserve"> </w:t>
      </w:r>
      <w:r>
        <w:t>next</w:t>
      </w:r>
      <w:r>
        <w:rPr>
          <w:spacing w:val="-14"/>
        </w:rPr>
        <w:t xml:space="preserve"> </w:t>
      </w:r>
      <w:r>
        <w:t>five</w:t>
      </w:r>
      <w:r>
        <w:rPr>
          <w:spacing w:val="-14"/>
        </w:rPr>
        <w:t xml:space="preserve"> </w:t>
      </w:r>
      <w:r>
        <w:t>years,</w:t>
      </w:r>
      <w:r>
        <w:rPr>
          <w:spacing w:val="-14"/>
        </w:rPr>
        <w:t xml:space="preserve"> </w:t>
      </w:r>
      <w:r>
        <w:t>only</w:t>
      </w:r>
      <w:r>
        <w:rPr>
          <w:spacing w:val="-14"/>
        </w:rPr>
        <w:t xml:space="preserve"> </w:t>
      </w:r>
      <w:r>
        <w:t>very</w:t>
      </w:r>
      <w:r>
        <w:rPr>
          <w:spacing w:val="-14"/>
        </w:rPr>
        <w:t xml:space="preserve"> </w:t>
      </w:r>
      <w:r>
        <w:t>limited</w:t>
      </w:r>
      <w:r>
        <w:rPr>
          <w:spacing w:val="-14"/>
        </w:rPr>
        <w:t xml:space="preserve"> </w:t>
      </w:r>
      <w:r>
        <w:t xml:space="preserve">new </w:t>
      </w:r>
      <w:r>
        <w:rPr>
          <w:w w:val="95"/>
        </w:rPr>
        <w:t>Government</w:t>
      </w:r>
      <w:r>
        <w:rPr>
          <w:spacing w:val="-3"/>
          <w:w w:val="95"/>
        </w:rPr>
        <w:t xml:space="preserve"> </w:t>
      </w:r>
      <w:r>
        <w:rPr>
          <w:w w:val="95"/>
        </w:rPr>
        <w:t>funding</w:t>
      </w:r>
      <w:r>
        <w:rPr>
          <w:spacing w:val="-3"/>
          <w:w w:val="95"/>
        </w:rPr>
        <w:t xml:space="preserve"> </w:t>
      </w:r>
      <w:r>
        <w:rPr>
          <w:w w:val="95"/>
        </w:rPr>
        <w:t>will</w:t>
      </w:r>
      <w:r>
        <w:rPr>
          <w:spacing w:val="-3"/>
          <w:w w:val="95"/>
        </w:rPr>
        <w:t xml:space="preserve"> </w:t>
      </w:r>
      <w:r>
        <w:rPr>
          <w:w w:val="95"/>
        </w:rPr>
        <w:t>be</w:t>
      </w:r>
      <w:r>
        <w:rPr>
          <w:spacing w:val="-3"/>
          <w:w w:val="95"/>
        </w:rPr>
        <w:t xml:space="preserve"> </w:t>
      </w:r>
      <w:r>
        <w:rPr>
          <w:w w:val="95"/>
        </w:rPr>
        <w:t>available,</w:t>
      </w:r>
      <w:r>
        <w:rPr>
          <w:spacing w:val="-3"/>
          <w:w w:val="95"/>
        </w:rPr>
        <w:t xml:space="preserve"> </w:t>
      </w:r>
      <w:r>
        <w:rPr>
          <w:w w:val="95"/>
        </w:rPr>
        <w:t>due</w:t>
      </w:r>
      <w:r>
        <w:rPr>
          <w:spacing w:val="-3"/>
          <w:w w:val="95"/>
        </w:rPr>
        <w:t xml:space="preserve"> </w:t>
      </w:r>
      <w:r>
        <w:rPr>
          <w:w w:val="95"/>
        </w:rPr>
        <w:t>to</w:t>
      </w:r>
      <w:r>
        <w:rPr>
          <w:spacing w:val="-3"/>
          <w:w w:val="95"/>
        </w:rPr>
        <w:t xml:space="preserve"> </w:t>
      </w:r>
      <w:r>
        <w:rPr>
          <w:w w:val="95"/>
        </w:rPr>
        <w:t>the</w:t>
      </w:r>
      <w:r>
        <w:rPr>
          <w:spacing w:val="-3"/>
          <w:w w:val="95"/>
        </w:rPr>
        <w:t xml:space="preserve"> </w:t>
      </w:r>
      <w:r>
        <w:rPr>
          <w:w w:val="95"/>
        </w:rPr>
        <w:t>scale</w:t>
      </w:r>
      <w:r>
        <w:rPr>
          <w:spacing w:val="-3"/>
          <w:w w:val="95"/>
        </w:rPr>
        <w:t xml:space="preserve"> </w:t>
      </w:r>
      <w:r>
        <w:rPr>
          <w:w w:val="95"/>
        </w:rPr>
        <w:t xml:space="preserve">of existing project commitments. Beyond five years, project </w:t>
      </w:r>
      <w:r>
        <w:t>commitments</w:t>
      </w:r>
      <w:r>
        <w:rPr>
          <w:spacing w:val="-14"/>
        </w:rPr>
        <w:t xml:space="preserve"> </w:t>
      </w:r>
      <w:r>
        <w:t>are</w:t>
      </w:r>
      <w:r>
        <w:rPr>
          <w:spacing w:val="-14"/>
        </w:rPr>
        <w:t xml:space="preserve"> </w:t>
      </w:r>
      <w:r>
        <w:t>inherently</w:t>
      </w:r>
      <w:r>
        <w:rPr>
          <w:spacing w:val="-14"/>
        </w:rPr>
        <w:t xml:space="preserve"> </w:t>
      </w:r>
      <w:r>
        <w:t>less</w:t>
      </w:r>
      <w:r>
        <w:rPr>
          <w:spacing w:val="-13"/>
        </w:rPr>
        <w:t xml:space="preserve"> </w:t>
      </w:r>
      <w:r>
        <w:t>fixed</w:t>
      </w:r>
      <w:r>
        <w:rPr>
          <w:spacing w:val="-14"/>
        </w:rPr>
        <w:t xml:space="preserve"> </w:t>
      </w:r>
      <w:r>
        <w:t>and</w:t>
      </w:r>
      <w:r>
        <w:rPr>
          <w:spacing w:val="-14"/>
        </w:rPr>
        <w:t xml:space="preserve"> </w:t>
      </w:r>
      <w:r>
        <w:t>capital</w:t>
      </w:r>
      <w:r>
        <w:rPr>
          <w:spacing w:val="-14"/>
        </w:rPr>
        <w:t xml:space="preserve"> </w:t>
      </w:r>
      <w:r>
        <w:t>is potentially more available.</w:t>
      </w:r>
    </w:p>
    <w:p w:rsidR="002C1123" w:rsidRDefault="00F22F94">
      <w:pPr>
        <w:pStyle w:val="BodyText"/>
        <w:spacing w:before="146" w:line="249" w:lineRule="auto"/>
        <w:ind w:left="492"/>
      </w:pPr>
      <w:r>
        <w:t>Infrastructure</w:t>
      </w:r>
      <w:r>
        <w:rPr>
          <w:spacing w:val="-12"/>
        </w:rPr>
        <w:t xml:space="preserve"> </w:t>
      </w:r>
      <w:r>
        <w:t>NSW</w:t>
      </w:r>
      <w:r>
        <w:rPr>
          <w:spacing w:val="-12"/>
        </w:rPr>
        <w:t xml:space="preserve"> </w:t>
      </w:r>
      <w:r>
        <w:t>has</w:t>
      </w:r>
      <w:r>
        <w:rPr>
          <w:spacing w:val="-12"/>
        </w:rPr>
        <w:t xml:space="preserve"> </w:t>
      </w:r>
      <w:r>
        <w:t>focused</w:t>
      </w:r>
      <w:r>
        <w:rPr>
          <w:spacing w:val="-12"/>
        </w:rPr>
        <w:t xml:space="preserve"> </w:t>
      </w:r>
      <w:r>
        <w:t>on</w:t>
      </w:r>
      <w:r>
        <w:rPr>
          <w:spacing w:val="-12"/>
        </w:rPr>
        <w:t xml:space="preserve"> </w:t>
      </w:r>
      <w:r>
        <w:t>ensuring</w:t>
      </w:r>
      <w:r>
        <w:rPr>
          <w:spacing w:val="-12"/>
        </w:rPr>
        <w:t xml:space="preserve"> </w:t>
      </w:r>
      <w:r>
        <w:t>the priorities</w:t>
      </w:r>
      <w:r>
        <w:rPr>
          <w:spacing w:val="-14"/>
        </w:rPr>
        <w:t xml:space="preserve"> </w:t>
      </w:r>
      <w:r>
        <w:t>for</w:t>
      </w:r>
      <w:r>
        <w:rPr>
          <w:spacing w:val="-14"/>
        </w:rPr>
        <w:t xml:space="preserve"> </w:t>
      </w:r>
      <w:r>
        <w:t>the</w:t>
      </w:r>
      <w:r>
        <w:rPr>
          <w:spacing w:val="-14"/>
        </w:rPr>
        <w:t xml:space="preserve"> </w:t>
      </w:r>
      <w:r>
        <w:t>next</w:t>
      </w:r>
      <w:r>
        <w:rPr>
          <w:spacing w:val="-14"/>
        </w:rPr>
        <w:t xml:space="preserve"> </w:t>
      </w:r>
      <w:r>
        <w:t>five</w:t>
      </w:r>
      <w:r>
        <w:rPr>
          <w:spacing w:val="-14"/>
        </w:rPr>
        <w:t xml:space="preserve"> </w:t>
      </w:r>
      <w:r>
        <w:t>years</w:t>
      </w:r>
      <w:r>
        <w:rPr>
          <w:spacing w:val="-14"/>
        </w:rPr>
        <w:t xml:space="preserve"> </w:t>
      </w:r>
      <w:r>
        <w:t>are</w:t>
      </w:r>
      <w:r>
        <w:rPr>
          <w:spacing w:val="-14"/>
        </w:rPr>
        <w:t xml:space="preserve"> </w:t>
      </w:r>
      <w:r>
        <w:t>affordable</w:t>
      </w:r>
      <w:r>
        <w:rPr>
          <w:spacing w:val="-14"/>
        </w:rPr>
        <w:t xml:space="preserve"> </w:t>
      </w:r>
      <w:r>
        <w:t xml:space="preserve">and </w:t>
      </w:r>
      <w:r>
        <w:rPr>
          <w:w w:val="95"/>
        </w:rPr>
        <w:t>deliverable.</w:t>
      </w:r>
      <w:r>
        <w:rPr>
          <w:spacing w:val="-6"/>
          <w:w w:val="95"/>
        </w:rPr>
        <w:t xml:space="preserve"> </w:t>
      </w:r>
      <w:r>
        <w:rPr>
          <w:w w:val="95"/>
        </w:rPr>
        <w:t>Section</w:t>
      </w:r>
      <w:r>
        <w:rPr>
          <w:spacing w:val="-6"/>
          <w:w w:val="95"/>
        </w:rPr>
        <w:t xml:space="preserve"> </w:t>
      </w:r>
      <w:r>
        <w:rPr>
          <w:w w:val="95"/>
        </w:rPr>
        <w:t>16.1.3</w:t>
      </w:r>
      <w:r>
        <w:rPr>
          <w:spacing w:val="-6"/>
          <w:w w:val="95"/>
        </w:rPr>
        <w:t xml:space="preserve"> </w:t>
      </w:r>
      <w:r>
        <w:rPr>
          <w:w w:val="95"/>
        </w:rPr>
        <w:t>sets</w:t>
      </w:r>
      <w:r>
        <w:rPr>
          <w:spacing w:val="-6"/>
          <w:w w:val="95"/>
        </w:rPr>
        <w:t xml:space="preserve"> </w:t>
      </w:r>
      <w:r>
        <w:rPr>
          <w:w w:val="95"/>
        </w:rPr>
        <w:t>out</w:t>
      </w:r>
      <w:r>
        <w:rPr>
          <w:spacing w:val="-6"/>
          <w:w w:val="95"/>
        </w:rPr>
        <w:t xml:space="preserve"> </w:t>
      </w:r>
      <w:r>
        <w:rPr>
          <w:w w:val="95"/>
        </w:rPr>
        <w:t>the</w:t>
      </w:r>
      <w:r>
        <w:rPr>
          <w:spacing w:val="-6"/>
          <w:w w:val="95"/>
        </w:rPr>
        <w:t xml:space="preserve"> </w:t>
      </w:r>
      <w:r>
        <w:rPr>
          <w:w w:val="95"/>
        </w:rPr>
        <w:t>proposed</w:t>
      </w:r>
      <w:r>
        <w:rPr>
          <w:spacing w:val="-6"/>
          <w:w w:val="95"/>
        </w:rPr>
        <w:t xml:space="preserve"> </w:t>
      </w:r>
      <w:r>
        <w:rPr>
          <w:w w:val="95"/>
        </w:rPr>
        <w:t xml:space="preserve">funding </w:t>
      </w:r>
      <w:r>
        <w:t>strategies</w:t>
      </w:r>
      <w:r>
        <w:rPr>
          <w:spacing w:val="-11"/>
        </w:rPr>
        <w:t xml:space="preserve"> </w:t>
      </w:r>
      <w:r>
        <w:t>to</w:t>
      </w:r>
      <w:r>
        <w:rPr>
          <w:spacing w:val="-11"/>
        </w:rPr>
        <w:t xml:space="preserve"> </w:t>
      </w:r>
      <w:r>
        <w:t>allow</w:t>
      </w:r>
      <w:r>
        <w:rPr>
          <w:spacing w:val="-11"/>
        </w:rPr>
        <w:t xml:space="preserve"> </w:t>
      </w:r>
      <w:r>
        <w:t>delivery</w:t>
      </w:r>
      <w:r>
        <w:rPr>
          <w:spacing w:val="-11"/>
        </w:rPr>
        <w:t xml:space="preserve"> </w:t>
      </w:r>
      <w:r>
        <w:t>of</w:t>
      </w:r>
      <w:r>
        <w:rPr>
          <w:spacing w:val="-11"/>
        </w:rPr>
        <w:t xml:space="preserve"> </w:t>
      </w:r>
      <w:r>
        <w:t>the</w:t>
      </w:r>
      <w:r>
        <w:rPr>
          <w:spacing w:val="-11"/>
        </w:rPr>
        <w:t xml:space="preserve"> </w:t>
      </w:r>
      <w:r>
        <w:t>projects</w:t>
      </w:r>
      <w:r>
        <w:rPr>
          <w:spacing w:val="-11"/>
        </w:rPr>
        <w:t xml:space="preserve"> </w:t>
      </w:r>
      <w:r>
        <w:t>proposed during</w:t>
      </w:r>
      <w:r>
        <w:rPr>
          <w:spacing w:val="-6"/>
        </w:rPr>
        <w:t xml:space="preserve"> </w:t>
      </w:r>
      <w:r>
        <w:t>this</w:t>
      </w:r>
      <w:r>
        <w:rPr>
          <w:spacing w:val="-6"/>
        </w:rPr>
        <w:t xml:space="preserve"> </w:t>
      </w:r>
      <w:r>
        <w:t>first</w:t>
      </w:r>
      <w:r>
        <w:rPr>
          <w:spacing w:val="-6"/>
        </w:rPr>
        <w:t xml:space="preserve"> </w:t>
      </w:r>
      <w:r>
        <w:t>period</w:t>
      </w:r>
      <w:r>
        <w:rPr>
          <w:spacing w:val="-6"/>
        </w:rPr>
        <w:t xml:space="preserve"> </w:t>
      </w:r>
      <w:r>
        <w:t>of</w:t>
      </w:r>
      <w:r>
        <w:rPr>
          <w:spacing w:val="-6"/>
        </w:rPr>
        <w:t xml:space="preserve"> </w:t>
      </w:r>
      <w:r>
        <w:t>the</w:t>
      </w:r>
      <w:r>
        <w:rPr>
          <w:spacing w:val="-6"/>
        </w:rPr>
        <w:t xml:space="preserve"> </w:t>
      </w:r>
      <w:r>
        <w:t>Strategy.</w:t>
      </w:r>
    </w:p>
    <w:p w:rsidR="002C1123" w:rsidRDefault="00F22F94">
      <w:pPr>
        <w:pStyle w:val="Heading6"/>
        <w:numPr>
          <w:ilvl w:val="2"/>
          <w:numId w:val="24"/>
        </w:numPr>
        <w:tabs>
          <w:tab w:val="left" w:pos="1087"/>
        </w:tabs>
        <w:spacing w:before="146"/>
        <w:ind w:left="1086"/>
        <w:jc w:val="left"/>
      </w:pPr>
      <w:r>
        <w:rPr>
          <w:color w:val="00AEEF"/>
          <w:w w:val="95"/>
        </w:rPr>
        <w:t>Funding</w:t>
      </w:r>
      <w:r>
        <w:rPr>
          <w:color w:val="00AEEF"/>
          <w:spacing w:val="-5"/>
          <w:w w:val="95"/>
        </w:rPr>
        <w:t xml:space="preserve"> </w:t>
      </w:r>
      <w:r>
        <w:rPr>
          <w:color w:val="00AEEF"/>
          <w:spacing w:val="-2"/>
        </w:rPr>
        <w:t>Strategies</w:t>
      </w:r>
    </w:p>
    <w:p w:rsidR="002C1123" w:rsidRDefault="00F22F94">
      <w:pPr>
        <w:pStyle w:val="BodyText"/>
        <w:spacing w:before="95" w:line="249" w:lineRule="auto"/>
        <w:ind w:left="492" w:right="259"/>
      </w:pPr>
      <w:r>
        <w:t>Infrastructure</w:t>
      </w:r>
      <w:r>
        <w:rPr>
          <w:spacing w:val="-14"/>
        </w:rPr>
        <w:t xml:space="preserve"> </w:t>
      </w:r>
      <w:r>
        <w:t>NSW</w:t>
      </w:r>
      <w:r>
        <w:rPr>
          <w:spacing w:val="-14"/>
        </w:rPr>
        <w:t xml:space="preserve"> </w:t>
      </w:r>
      <w:r>
        <w:t>has</w:t>
      </w:r>
      <w:r>
        <w:rPr>
          <w:spacing w:val="-14"/>
        </w:rPr>
        <w:t xml:space="preserve"> </w:t>
      </w:r>
      <w:r>
        <w:t>identified</w:t>
      </w:r>
      <w:r>
        <w:rPr>
          <w:spacing w:val="-14"/>
        </w:rPr>
        <w:t xml:space="preserve"> </w:t>
      </w:r>
      <w:r>
        <w:t>the</w:t>
      </w:r>
      <w:r>
        <w:rPr>
          <w:spacing w:val="-14"/>
        </w:rPr>
        <w:t xml:space="preserve"> </w:t>
      </w:r>
      <w:r>
        <w:t>following</w:t>
      </w:r>
      <w:r>
        <w:rPr>
          <w:spacing w:val="-14"/>
        </w:rPr>
        <w:t xml:space="preserve"> </w:t>
      </w:r>
      <w:r>
        <w:t xml:space="preserve">six </w:t>
      </w:r>
      <w:r>
        <w:rPr>
          <w:w w:val="95"/>
        </w:rPr>
        <w:t>strategies</w:t>
      </w:r>
      <w:r>
        <w:rPr>
          <w:spacing w:val="-1"/>
          <w:w w:val="95"/>
        </w:rPr>
        <w:t xml:space="preserve"> </w:t>
      </w:r>
      <w:r>
        <w:rPr>
          <w:w w:val="95"/>
        </w:rPr>
        <w:t>to</w:t>
      </w:r>
      <w:r>
        <w:rPr>
          <w:spacing w:val="-1"/>
          <w:w w:val="95"/>
        </w:rPr>
        <w:t xml:space="preserve"> </w:t>
      </w:r>
      <w:r>
        <w:rPr>
          <w:w w:val="95"/>
        </w:rPr>
        <w:t>secure</w:t>
      </w:r>
      <w:r>
        <w:rPr>
          <w:spacing w:val="-1"/>
          <w:w w:val="95"/>
        </w:rPr>
        <w:t xml:space="preserve"> </w:t>
      </w:r>
      <w:r>
        <w:rPr>
          <w:w w:val="95"/>
        </w:rPr>
        <w:t>funding</w:t>
      </w:r>
      <w:r>
        <w:rPr>
          <w:spacing w:val="-1"/>
          <w:w w:val="95"/>
        </w:rPr>
        <w:t xml:space="preserve"> </w:t>
      </w:r>
      <w:r>
        <w:rPr>
          <w:w w:val="95"/>
        </w:rPr>
        <w:t>for</w:t>
      </w:r>
      <w:r>
        <w:rPr>
          <w:spacing w:val="-1"/>
          <w:w w:val="95"/>
        </w:rPr>
        <w:t xml:space="preserve"> </w:t>
      </w:r>
      <w:r>
        <w:rPr>
          <w:w w:val="95"/>
        </w:rPr>
        <w:t>the</w:t>
      </w:r>
      <w:r>
        <w:rPr>
          <w:spacing w:val="-1"/>
          <w:w w:val="95"/>
        </w:rPr>
        <w:t xml:space="preserve"> </w:t>
      </w:r>
      <w:r>
        <w:rPr>
          <w:w w:val="95"/>
        </w:rPr>
        <w:t xml:space="preserve">recommendations </w:t>
      </w:r>
      <w:r>
        <w:t>in Section 15.</w:t>
      </w:r>
    </w:p>
    <w:p w:rsidR="002C1123" w:rsidRDefault="00F22F94">
      <w:pPr>
        <w:pStyle w:val="Heading6"/>
        <w:ind w:left="189"/>
      </w:pPr>
      <w:r>
        <w:rPr>
          <w:b w:val="0"/>
        </w:rPr>
        <w:br w:type="column"/>
      </w:r>
      <w:r>
        <w:t>Motorway</w:t>
      </w:r>
      <w:r>
        <w:rPr>
          <w:spacing w:val="9"/>
        </w:rPr>
        <w:t xml:space="preserve"> </w:t>
      </w:r>
      <w:r>
        <w:rPr>
          <w:spacing w:val="-2"/>
        </w:rPr>
        <w:t>Tolls</w:t>
      </w:r>
    </w:p>
    <w:p w:rsidR="002C1123" w:rsidRDefault="00F22F94">
      <w:pPr>
        <w:pStyle w:val="BodyText"/>
        <w:spacing w:before="10" w:line="249" w:lineRule="auto"/>
        <w:ind w:left="189" w:right="36"/>
      </w:pPr>
      <w:r>
        <w:rPr>
          <w:w w:val="95"/>
        </w:rPr>
        <w:t>Road</w:t>
      </w:r>
      <w:r>
        <w:rPr>
          <w:spacing w:val="-7"/>
          <w:w w:val="95"/>
        </w:rPr>
        <w:t xml:space="preserve"> </w:t>
      </w:r>
      <w:r>
        <w:rPr>
          <w:w w:val="95"/>
        </w:rPr>
        <w:t>tolls</w:t>
      </w:r>
      <w:r>
        <w:rPr>
          <w:spacing w:val="-7"/>
          <w:w w:val="95"/>
        </w:rPr>
        <w:t xml:space="preserve"> </w:t>
      </w:r>
      <w:r>
        <w:rPr>
          <w:w w:val="95"/>
        </w:rPr>
        <w:t>have</w:t>
      </w:r>
      <w:r>
        <w:rPr>
          <w:spacing w:val="-7"/>
          <w:w w:val="95"/>
        </w:rPr>
        <w:t xml:space="preserve"> </w:t>
      </w:r>
      <w:r>
        <w:rPr>
          <w:w w:val="95"/>
        </w:rPr>
        <w:t>played</w:t>
      </w:r>
      <w:r>
        <w:rPr>
          <w:spacing w:val="-7"/>
          <w:w w:val="95"/>
        </w:rPr>
        <w:t xml:space="preserve"> </w:t>
      </w:r>
      <w:r>
        <w:rPr>
          <w:w w:val="95"/>
        </w:rPr>
        <w:t>an</w:t>
      </w:r>
      <w:r>
        <w:rPr>
          <w:spacing w:val="-7"/>
          <w:w w:val="95"/>
        </w:rPr>
        <w:t xml:space="preserve"> </w:t>
      </w:r>
      <w:r>
        <w:rPr>
          <w:w w:val="95"/>
        </w:rPr>
        <w:t>important</w:t>
      </w:r>
      <w:r>
        <w:rPr>
          <w:spacing w:val="-7"/>
          <w:w w:val="95"/>
        </w:rPr>
        <w:t xml:space="preserve"> </w:t>
      </w:r>
      <w:r>
        <w:rPr>
          <w:w w:val="95"/>
        </w:rPr>
        <w:t>role</w:t>
      </w:r>
      <w:r>
        <w:rPr>
          <w:spacing w:val="-7"/>
          <w:w w:val="95"/>
        </w:rPr>
        <w:t xml:space="preserve"> </w:t>
      </w:r>
      <w:r>
        <w:rPr>
          <w:w w:val="95"/>
        </w:rPr>
        <w:t>in</w:t>
      </w:r>
      <w:r>
        <w:rPr>
          <w:spacing w:val="-7"/>
          <w:w w:val="95"/>
        </w:rPr>
        <w:t xml:space="preserve"> </w:t>
      </w:r>
      <w:r>
        <w:rPr>
          <w:w w:val="95"/>
        </w:rPr>
        <w:t>funding</w:t>
      </w:r>
      <w:r>
        <w:rPr>
          <w:spacing w:val="-7"/>
          <w:w w:val="95"/>
        </w:rPr>
        <w:t xml:space="preserve"> </w:t>
      </w:r>
      <w:r>
        <w:rPr>
          <w:w w:val="95"/>
        </w:rPr>
        <w:t xml:space="preserve">new </w:t>
      </w:r>
      <w:r>
        <w:t>infrastructure</w:t>
      </w:r>
      <w:r>
        <w:rPr>
          <w:spacing w:val="-14"/>
        </w:rPr>
        <w:t xml:space="preserve"> </w:t>
      </w:r>
      <w:r>
        <w:t>in</w:t>
      </w:r>
      <w:r>
        <w:rPr>
          <w:spacing w:val="-14"/>
        </w:rPr>
        <w:t xml:space="preserve"> </w:t>
      </w:r>
      <w:r>
        <w:t>Sydney</w:t>
      </w:r>
      <w:r>
        <w:rPr>
          <w:spacing w:val="-14"/>
        </w:rPr>
        <w:t xml:space="preserve"> </w:t>
      </w:r>
      <w:r>
        <w:t>since</w:t>
      </w:r>
      <w:r>
        <w:rPr>
          <w:spacing w:val="-14"/>
        </w:rPr>
        <w:t xml:space="preserve"> </w:t>
      </w:r>
      <w:r>
        <w:t>Governor</w:t>
      </w:r>
      <w:r>
        <w:rPr>
          <w:spacing w:val="-14"/>
        </w:rPr>
        <w:t xml:space="preserve"> </w:t>
      </w:r>
      <w:r>
        <w:t xml:space="preserve">Macquarie’s </w:t>
      </w:r>
      <w:r>
        <w:rPr>
          <w:w w:val="95"/>
        </w:rPr>
        <w:t>establishment</w:t>
      </w:r>
      <w:r>
        <w:rPr>
          <w:spacing w:val="-6"/>
          <w:w w:val="95"/>
        </w:rPr>
        <w:t xml:space="preserve"> </w:t>
      </w:r>
      <w:r>
        <w:rPr>
          <w:w w:val="95"/>
        </w:rPr>
        <w:t>of</w:t>
      </w:r>
      <w:r>
        <w:rPr>
          <w:spacing w:val="-6"/>
          <w:w w:val="95"/>
        </w:rPr>
        <w:t xml:space="preserve"> </w:t>
      </w:r>
      <w:r>
        <w:rPr>
          <w:w w:val="95"/>
        </w:rPr>
        <w:t>the</w:t>
      </w:r>
      <w:r>
        <w:rPr>
          <w:spacing w:val="-6"/>
          <w:w w:val="95"/>
        </w:rPr>
        <w:t xml:space="preserve"> </w:t>
      </w:r>
      <w:r>
        <w:rPr>
          <w:w w:val="95"/>
        </w:rPr>
        <w:t>Parramatta</w:t>
      </w:r>
      <w:r>
        <w:rPr>
          <w:spacing w:val="-6"/>
          <w:w w:val="95"/>
        </w:rPr>
        <w:t xml:space="preserve"> </w:t>
      </w:r>
      <w:r>
        <w:rPr>
          <w:w w:val="95"/>
        </w:rPr>
        <w:t>Road</w:t>
      </w:r>
      <w:r>
        <w:rPr>
          <w:spacing w:val="-6"/>
          <w:w w:val="95"/>
        </w:rPr>
        <w:t xml:space="preserve"> </w:t>
      </w:r>
      <w:r>
        <w:rPr>
          <w:w w:val="95"/>
        </w:rPr>
        <w:t>turnpike</w:t>
      </w:r>
      <w:r>
        <w:rPr>
          <w:spacing w:val="-6"/>
          <w:w w:val="95"/>
        </w:rPr>
        <w:t xml:space="preserve"> </w:t>
      </w:r>
      <w:r>
        <w:rPr>
          <w:w w:val="95"/>
        </w:rPr>
        <w:t>in</w:t>
      </w:r>
      <w:r>
        <w:rPr>
          <w:spacing w:val="-6"/>
          <w:w w:val="95"/>
        </w:rPr>
        <w:t xml:space="preserve"> </w:t>
      </w:r>
      <w:r>
        <w:rPr>
          <w:w w:val="95"/>
        </w:rPr>
        <w:t>1811. Most</w:t>
      </w:r>
      <w:r>
        <w:rPr>
          <w:spacing w:val="-2"/>
          <w:w w:val="95"/>
        </w:rPr>
        <w:t xml:space="preserve"> </w:t>
      </w:r>
      <w:r>
        <w:rPr>
          <w:w w:val="95"/>
        </w:rPr>
        <w:t>of</w:t>
      </w:r>
      <w:r>
        <w:rPr>
          <w:spacing w:val="-2"/>
          <w:w w:val="95"/>
        </w:rPr>
        <w:t xml:space="preserve"> </w:t>
      </w:r>
      <w:r>
        <w:rPr>
          <w:w w:val="95"/>
        </w:rPr>
        <w:t>the</w:t>
      </w:r>
      <w:r>
        <w:rPr>
          <w:spacing w:val="-2"/>
          <w:w w:val="95"/>
        </w:rPr>
        <w:t xml:space="preserve"> </w:t>
      </w:r>
      <w:r>
        <w:rPr>
          <w:w w:val="95"/>
        </w:rPr>
        <w:t>roads</w:t>
      </w:r>
      <w:r>
        <w:rPr>
          <w:spacing w:val="-2"/>
          <w:w w:val="95"/>
        </w:rPr>
        <w:t xml:space="preserve"> </w:t>
      </w:r>
      <w:r>
        <w:rPr>
          <w:w w:val="95"/>
        </w:rPr>
        <w:t>that</w:t>
      </w:r>
      <w:r>
        <w:rPr>
          <w:spacing w:val="-2"/>
          <w:w w:val="95"/>
        </w:rPr>
        <w:t xml:space="preserve"> </w:t>
      </w:r>
      <w:r>
        <w:rPr>
          <w:w w:val="95"/>
        </w:rPr>
        <w:t>form</w:t>
      </w:r>
      <w:r>
        <w:rPr>
          <w:spacing w:val="-3"/>
          <w:w w:val="95"/>
        </w:rPr>
        <w:t xml:space="preserve"> </w:t>
      </w:r>
      <w:r>
        <w:rPr>
          <w:w w:val="95"/>
        </w:rPr>
        <w:t>the</w:t>
      </w:r>
      <w:r>
        <w:rPr>
          <w:spacing w:val="-2"/>
          <w:w w:val="95"/>
        </w:rPr>
        <w:t xml:space="preserve"> </w:t>
      </w:r>
      <w:r>
        <w:rPr>
          <w:w w:val="95"/>
        </w:rPr>
        <w:t>Sydney</w:t>
      </w:r>
      <w:r>
        <w:rPr>
          <w:spacing w:val="-2"/>
          <w:w w:val="95"/>
        </w:rPr>
        <w:t xml:space="preserve"> </w:t>
      </w:r>
      <w:r>
        <w:rPr>
          <w:w w:val="95"/>
        </w:rPr>
        <w:t>Orbital</w:t>
      </w:r>
      <w:r>
        <w:rPr>
          <w:spacing w:val="-2"/>
          <w:w w:val="95"/>
        </w:rPr>
        <w:t xml:space="preserve"> </w:t>
      </w:r>
      <w:r>
        <w:rPr>
          <w:w w:val="95"/>
        </w:rPr>
        <w:t xml:space="preserve">Network are currently tolled under concession agreements held </w:t>
      </w:r>
      <w:r>
        <w:t>by private sector investors.</w:t>
      </w:r>
    </w:p>
    <w:p w:rsidR="002C1123" w:rsidRDefault="00F22F94">
      <w:pPr>
        <w:pStyle w:val="BodyText"/>
        <w:spacing w:before="146" w:line="249" w:lineRule="auto"/>
        <w:ind w:left="189"/>
      </w:pPr>
      <w:r>
        <w:t>The</w:t>
      </w:r>
      <w:r>
        <w:rPr>
          <w:spacing w:val="-14"/>
        </w:rPr>
        <w:t xml:space="preserve"> </w:t>
      </w:r>
      <w:r>
        <w:t>Draft</w:t>
      </w:r>
      <w:r>
        <w:rPr>
          <w:spacing w:val="-14"/>
        </w:rPr>
        <w:t xml:space="preserve"> </w:t>
      </w:r>
      <w:r>
        <w:t>Transport</w:t>
      </w:r>
      <w:r>
        <w:rPr>
          <w:spacing w:val="-14"/>
        </w:rPr>
        <w:t xml:space="preserve"> </w:t>
      </w:r>
      <w:r>
        <w:t>Master</w:t>
      </w:r>
      <w:r>
        <w:rPr>
          <w:spacing w:val="-14"/>
        </w:rPr>
        <w:t xml:space="preserve"> </w:t>
      </w:r>
      <w:r>
        <w:t>Plan</w:t>
      </w:r>
      <w:r>
        <w:rPr>
          <w:spacing w:val="-14"/>
        </w:rPr>
        <w:t xml:space="preserve"> </w:t>
      </w:r>
      <w:r>
        <w:t>proposes</w:t>
      </w:r>
      <w:r>
        <w:rPr>
          <w:spacing w:val="-14"/>
        </w:rPr>
        <w:t xml:space="preserve"> </w:t>
      </w:r>
      <w:r>
        <w:t>the introduction</w:t>
      </w:r>
      <w:r>
        <w:rPr>
          <w:spacing w:val="-13"/>
        </w:rPr>
        <w:t xml:space="preserve"> </w:t>
      </w:r>
      <w:r>
        <w:t>of</w:t>
      </w:r>
      <w:r>
        <w:rPr>
          <w:spacing w:val="-13"/>
        </w:rPr>
        <w:t xml:space="preserve"> </w:t>
      </w:r>
      <w:r>
        <w:t>distance</w:t>
      </w:r>
      <w:r>
        <w:rPr>
          <w:spacing w:val="-13"/>
        </w:rPr>
        <w:t xml:space="preserve"> </w:t>
      </w:r>
      <w:r>
        <w:t>based</w:t>
      </w:r>
      <w:r>
        <w:rPr>
          <w:spacing w:val="-13"/>
        </w:rPr>
        <w:t xml:space="preserve"> </w:t>
      </w:r>
      <w:r>
        <w:t>tolling</w:t>
      </w:r>
      <w:r>
        <w:rPr>
          <w:spacing w:val="-13"/>
        </w:rPr>
        <w:t xml:space="preserve"> </w:t>
      </w:r>
      <w:r>
        <w:t>on</w:t>
      </w:r>
      <w:r>
        <w:rPr>
          <w:spacing w:val="-13"/>
        </w:rPr>
        <w:t xml:space="preserve"> </w:t>
      </w:r>
      <w:r>
        <w:t>NSW motorways,</w:t>
      </w:r>
      <w:r>
        <w:rPr>
          <w:spacing w:val="-12"/>
        </w:rPr>
        <w:t xml:space="preserve"> </w:t>
      </w:r>
      <w:r>
        <w:t>in</w:t>
      </w:r>
      <w:r>
        <w:rPr>
          <w:spacing w:val="-12"/>
        </w:rPr>
        <w:t xml:space="preserve"> </w:t>
      </w:r>
      <w:r>
        <w:t>particular</w:t>
      </w:r>
      <w:r>
        <w:rPr>
          <w:spacing w:val="-12"/>
        </w:rPr>
        <w:t xml:space="preserve"> </w:t>
      </w:r>
      <w:r>
        <w:t>the</w:t>
      </w:r>
      <w:r>
        <w:rPr>
          <w:spacing w:val="-12"/>
        </w:rPr>
        <w:t xml:space="preserve"> </w:t>
      </w:r>
      <w:r>
        <w:t>introduction</w:t>
      </w:r>
      <w:r>
        <w:rPr>
          <w:spacing w:val="-12"/>
        </w:rPr>
        <w:t xml:space="preserve"> </w:t>
      </w:r>
      <w:r>
        <w:t>of</w:t>
      </w:r>
      <w:r>
        <w:rPr>
          <w:spacing w:val="-12"/>
        </w:rPr>
        <w:t xml:space="preserve"> </w:t>
      </w:r>
      <w:r>
        <w:t>a standardised</w:t>
      </w:r>
      <w:r>
        <w:rPr>
          <w:spacing w:val="-14"/>
        </w:rPr>
        <w:t xml:space="preserve"> </w:t>
      </w:r>
      <w:r>
        <w:t>cents-per-kilometre</w:t>
      </w:r>
      <w:r>
        <w:rPr>
          <w:spacing w:val="-14"/>
        </w:rPr>
        <w:t xml:space="preserve"> </w:t>
      </w:r>
      <w:r>
        <w:t>charge</w:t>
      </w:r>
      <w:r>
        <w:rPr>
          <w:spacing w:val="-14"/>
        </w:rPr>
        <w:t xml:space="preserve"> </w:t>
      </w:r>
      <w:r>
        <w:t>across</w:t>
      </w:r>
      <w:r>
        <w:rPr>
          <w:spacing w:val="-14"/>
        </w:rPr>
        <w:t xml:space="preserve"> </w:t>
      </w:r>
      <w:r>
        <w:t>the entire</w:t>
      </w:r>
      <w:r>
        <w:rPr>
          <w:spacing w:val="-14"/>
        </w:rPr>
        <w:t xml:space="preserve"> </w:t>
      </w:r>
      <w:r>
        <w:t>Sydney</w:t>
      </w:r>
      <w:r>
        <w:rPr>
          <w:spacing w:val="-14"/>
        </w:rPr>
        <w:t xml:space="preserve"> </w:t>
      </w:r>
      <w:r>
        <w:t>motorway</w:t>
      </w:r>
      <w:r>
        <w:rPr>
          <w:spacing w:val="-14"/>
        </w:rPr>
        <w:t xml:space="preserve"> </w:t>
      </w:r>
      <w:r>
        <w:t>network.</w:t>
      </w:r>
      <w:r>
        <w:rPr>
          <w:spacing w:val="-14"/>
        </w:rPr>
        <w:t xml:space="preserve"> </w:t>
      </w:r>
      <w:r>
        <w:t>It</w:t>
      </w:r>
      <w:r>
        <w:rPr>
          <w:spacing w:val="-14"/>
        </w:rPr>
        <w:t xml:space="preserve"> </w:t>
      </w:r>
      <w:r>
        <w:t>is</w:t>
      </w:r>
      <w:r>
        <w:rPr>
          <w:spacing w:val="-14"/>
        </w:rPr>
        <w:t xml:space="preserve"> </w:t>
      </w:r>
      <w:r>
        <w:t>proposed</w:t>
      </w:r>
      <w:r>
        <w:rPr>
          <w:spacing w:val="-14"/>
        </w:rPr>
        <w:t xml:space="preserve"> </w:t>
      </w:r>
      <w:r>
        <w:t>that revenue</w:t>
      </w:r>
      <w:r>
        <w:rPr>
          <w:spacing w:val="-14"/>
        </w:rPr>
        <w:t xml:space="preserve"> </w:t>
      </w:r>
      <w:r>
        <w:t>raised</w:t>
      </w:r>
      <w:r>
        <w:rPr>
          <w:spacing w:val="-14"/>
        </w:rPr>
        <w:t xml:space="preserve"> </w:t>
      </w:r>
      <w:r>
        <w:t>be</w:t>
      </w:r>
      <w:r>
        <w:rPr>
          <w:spacing w:val="-14"/>
        </w:rPr>
        <w:t xml:space="preserve"> </w:t>
      </w:r>
      <w:r>
        <w:t>allocated</w:t>
      </w:r>
      <w:r>
        <w:rPr>
          <w:spacing w:val="-14"/>
        </w:rPr>
        <w:t xml:space="preserve"> </w:t>
      </w:r>
      <w:r>
        <w:t>to</w:t>
      </w:r>
      <w:r>
        <w:rPr>
          <w:spacing w:val="-14"/>
        </w:rPr>
        <w:t xml:space="preserve"> </w:t>
      </w:r>
      <w:r>
        <w:t>a</w:t>
      </w:r>
      <w:r>
        <w:rPr>
          <w:spacing w:val="-14"/>
        </w:rPr>
        <w:t xml:space="preserve"> </w:t>
      </w:r>
      <w:r>
        <w:t>new</w:t>
      </w:r>
      <w:r>
        <w:rPr>
          <w:spacing w:val="-14"/>
        </w:rPr>
        <w:t xml:space="preserve"> </w:t>
      </w:r>
      <w:r>
        <w:t>transport</w:t>
      </w:r>
      <w:r>
        <w:rPr>
          <w:spacing w:val="-14"/>
        </w:rPr>
        <w:t xml:space="preserve"> </w:t>
      </w:r>
      <w:r>
        <w:t>fund</w:t>
      </w:r>
      <w:r>
        <w:rPr>
          <w:spacing w:val="-14"/>
        </w:rPr>
        <w:t xml:space="preserve"> </w:t>
      </w:r>
      <w:r>
        <w:t xml:space="preserve">to </w:t>
      </w:r>
      <w:r>
        <w:rPr>
          <w:w w:val="95"/>
        </w:rPr>
        <w:t>improve and upgrade transport networks. Infrastructure Australia</w:t>
      </w:r>
      <w:r>
        <w:rPr>
          <w:spacing w:val="-12"/>
          <w:w w:val="95"/>
        </w:rPr>
        <w:t xml:space="preserve"> </w:t>
      </w:r>
      <w:r>
        <w:rPr>
          <w:w w:val="95"/>
        </w:rPr>
        <w:t>has</w:t>
      </w:r>
      <w:r>
        <w:rPr>
          <w:spacing w:val="-11"/>
          <w:w w:val="95"/>
        </w:rPr>
        <w:t xml:space="preserve"> </w:t>
      </w:r>
      <w:r>
        <w:rPr>
          <w:w w:val="95"/>
        </w:rPr>
        <w:t>also</w:t>
      </w:r>
      <w:r>
        <w:rPr>
          <w:spacing w:val="-11"/>
          <w:w w:val="95"/>
        </w:rPr>
        <w:t xml:space="preserve"> </w:t>
      </w:r>
      <w:r>
        <w:rPr>
          <w:w w:val="95"/>
        </w:rPr>
        <w:t>commented</w:t>
      </w:r>
      <w:r>
        <w:rPr>
          <w:spacing w:val="-11"/>
          <w:w w:val="95"/>
        </w:rPr>
        <w:t xml:space="preserve"> </w:t>
      </w:r>
      <w:r>
        <w:rPr>
          <w:w w:val="95"/>
        </w:rPr>
        <w:t>favourably</w:t>
      </w:r>
      <w:r>
        <w:rPr>
          <w:spacing w:val="-12"/>
          <w:w w:val="95"/>
        </w:rPr>
        <w:t xml:space="preserve"> </w:t>
      </w:r>
      <w:r>
        <w:rPr>
          <w:w w:val="95"/>
        </w:rPr>
        <w:t>on</w:t>
      </w:r>
      <w:r>
        <w:rPr>
          <w:spacing w:val="-11"/>
          <w:w w:val="95"/>
        </w:rPr>
        <w:t xml:space="preserve"> </w:t>
      </w:r>
      <w:r>
        <w:rPr>
          <w:w w:val="95"/>
        </w:rPr>
        <w:t>the</w:t>
      </w:r>
      <w:r>
        <w:rPr>
          <w:spacing w:val="-11"/>
          <w:w w:val="95"/>
        </w:rPr>
        <w:t xml:space="preserve"> </w:t>
      </w:r>
      <w:r>
        <w:rPr>
          <w:w w:val="95"/>
        </w:rPr>
        <w:t>potential for</w:t>
      </w:r>
      <w:r>
        <w:rPr>
          <w:spacing w:val="-10"/>
          <w:w w:val="95"/>
        </w:rPr>
        <w:t xml:space="preserve"> </w:t>
      </w:r>
      <w:r>
        <w:rPr>
          <w:w w:val="95"/>
        </w:rPr>
        <w:t>a</w:t>
      </w:r>
      <w:r>
        <w:rPr>
          <w:spacing w:val="-10"/>
          <w:w w:val="95"/>
        </w:rPr>
        <w:t xml:space="preserve"> </w:t>
      </w:r>
      <w:r>
        <w:rPr>
          <w:w w:val="95"/>
        </w:rPr>
        <w:t>new</w:t>
      </w:r>
      <w:r>
        <w:rPr>
          <w:spacing w:val="-10"/>
          <w:w w:val="95"/>
        </w:rPr>
        <w:t xml:space="preserve"> </w:t>
      </w:r>
      <w:r>
        <w:rPr>
          <w:w w:val="95"/>
        </w:rPr>
        <w:t>network-wide</w:t>
      </w:r>
      <w:r>
        <w:rPr>
          <w:spacing w:val="-10"/>
          <w:w w:val="95"/>
        </w:rPr>
        <w:t xml:space="preserve"> </w:t>
      </w:r>
      <w:r>
        <w:rPr>
          <w:w w:val="95"/>
        </w:rPr>
        <w:t>charge</w:t>
      </w:r>
      <w:r>
        <w:rPr>
          <w:spacing w:val="-10"/>
          <w:w w:val="95"/>
        </w:rPr>
        <w:t xml:space="preserve"> </w:t>
      </w:r>
      <w:r>
        <w:rPr>
          <w:w w:val="95"/>
        </w:rPr>
        <w:t>on</w:t>
      </w:r>
      <w:r>
        <w:rPr>
          <w:spacing w:val="-9"/>
          <w:w w:val="95"/>
        </w:rPr>
        <w:t xml:space="preserve"> </w:t>
      </w:r>
      <w:r>
        <w:rPr>
          <w:w w:val="95"/>
        </w:rPr>
        <w:t>Sydney’s</w:t>
      </w:r>
      <w:r>
        <w:rPr>
          <w:spacing w:val="-10"/>
          <w:w w:val="95"/>
        </w:rPr>
        <w:t xml:space="preserve"> </w:t>
      </w:r>
      <w:r>
        <w:rPr>
          <w:spacing w:val="-2"/>
          <w:w w:val="95"/>
        </w:rPr>
        <w:t>motorways</w:t>
      </w:r>
      <w:r>
        <w:rPr>
          <w:spacing w:val="-2"/>
          <w:w w:val="95"/>
          <w:position w:val="7"/>
          <w:sz w:val="11"/>
        </w:rPr>
        <w:t>5</w:t>
      </w:r>
      <w:r>
        <w:rPr>
          <w:spacing w:val="-2"/>
          <w:w w:val="95"/>
        </w:rPr>
        <w:t>.</w:t>
      </w:r>
    </w:p>
    <w:p w:rsidR="002C1123" w:rsidRDefault="00F22F94">
      <w:pPr>
        <w:pStyle w:val="BodyText"/>
        <w:spacing w:before="150" w:line="249" w:lineRule="auto"/>
        <w:ind w:left="189"/>
      </w:pPr>
      <w:r>
        <w:rPr>
          <w:w w:val="95"/>
        </w:rPr>
        <w:t>This model has the potential to raise significant sums of additional</w:t>
      </w:r>
      <w:r>
        <w:rPr>
          <w:spacing w:val="-4"/>
          <w:w w:val="95"/>
        </w:rPr>
        <w:t xml:space="preserve"> </w:t>
      </w:r>
      <w:r>
        <w:rPr>
          <w:w w:val="95"/>
        </w:rPr>
        <w:t>revenue,</w:t>
      </w:r>
      <w:r>
        <w:rPr>
          <w:spacing w:val="-4"/>
          <w:w w:val="95"/>
        </w:rPr>
        <w:t xml:space="preserve"> </w:t>
      </w:r>
      <w:r>
        <w:rPr>
          <w:w w:val="95"/>
        </w:rPr>
        <w:t>and</w:t>
      </w:r>
      <w:r>
        <w:rPr>
          <w:spacing w:val="-4"/>
          <w:w w:val="95"/>
        </w:rPr>
        <w:t xml:space="preserve"> </w:t>
      </w:r>
      <w:r>
        <w:rPr>
          <w:w w:val="95"/>
        </w:rPr>
        <w:t>may</w:t>
      </w:r>
      <w:r>
        <w:rPr>
          <w:spacing w:val="-4"/>
          <w:w w:val="95"/>
        </w:rPr>
        <w:t xml:space="preserve"> </w:t>
      </w:r>
      <w:r>
        <w:rPr>
          <w:w w:val="95"/>
        </w:rPr>
        <w:t>have</w:t>
      </w:r>
      <w:r>
        <w:rPr>
          <w:spacing w:val="-4"/>
          <w:w w:val="95"/>
        </w:rPr>
        <w:t xml:space="preserve"> </w:t>
      </w:r>
      <w:r>
        <w:rPr>
          <w:w w:val="95"/>
        </w:rPr>
        <w:t>efficiency</w:t>
      </w:r>
      <w:r>
        <w:rPr>
          <w:spacing w:val="-4"/>
          <w:w w:val="95"/>
        </w:rPr>
        <w:t xml:space="preserve"> </w:t>
      </w:r>
      <w:r>
        <w:rPr>
          <w:w w:val="95"/>
        </w:rPr>
        <w:t>benefits,</w:t>
      </w:r>
      <w:r>
        <w:rPr>
          <w:spacing w:val="-4"/>
          <w:w w:val="95"/>
        </w:rPr>
        <w:t xml:space="preserve"> </w:t>
      </w:r>
      <w:r>
        <w:rPr>
          <w:w w:val="95"/>
        </w:rPr>
        <w:t xml:space="preserve">but </w:t>
      </w:r>
      <w:r>
        <w:t>it</w:t>
      </w:r>
      <w:r>
        <w:rPr>
          <w:spacing w:val="-6"/>
        </w:rPr>
        <w:t xml:space="preserve"> </w:t>
      </w:r>
      <w:r>
        <w:t>faces</w:t>
      </w:r>
      <w:r>
        <w:rPr>
          <w:spacing w:val="-6"/>
        </w:rPr>
        <w:t xml:space="preserve"> </w:t>
      </w:r>
      <w:r>
        <w:t>a</w:t>
      </w:r>
      <w:r>
        <w:rPr>
          <w:spacing w:val="-6"/>
        </w:rPr>
        <w:t xml:space="preserve"> </w:t>
      </w:r>
      <w:r>
        <w:t>number</w:t>
      </w:r>
      <w:r>
        <w:rPr>
          <w:spacing w:val="-6"/>
        </w:rPr>
        <w:t xml:space="preserve"> </w:t>
      </w:r>
      <w:r>
        <w:t>of</w:t>
      </w:r>
      <w:r>
        <w:rPr>
          <w:spacing w:val="-6"/>
        </w:rPr>
        <w:t xml:space="preserve"> </w:t>
      </w:r>
      <w:r>
        <w:t>obstacles</w:t>
      </w:r>
      <w:r>
        <w:rPr>
          <w:spacing w:val="-6"/>
        </w:rPr>
        <w:t xml:space="preserve"> </w:t>
      </w:r>
      <w:r>
        <w:t>prior</w:t>
      </w:r>
      <w:r>
        <w:rPr>
          <w:spacing w:val="-6"/>
        </w:rPr>
        <w:t xml:space="preserve"> </w:t>
      </w:r>
      <w:r>
        <w:t>to</w:t>
      </w:r>
      <w:r>
        <w:rPr>
          <w:spacing w:val="-6"/>
        </w:rPr>
        <w:t xml:space="preserve"> </w:t>
      </w:r>
      <w:r>
        <w:t>implementation, in</w:t>
      </w:r>
      <w:r>
        <w:rPr>
          <w:spacing w:val="-9"/>
        </w:rPr>
        <w:t xml:space="preserve"> </w:t>
      </w:r>
      <w:r>
        <w:t>particular:</w:t>
      </w:r>
    </w:p>
    <w:p w:rsidR="002C1123" w:rsidRDefault="00F22F94">
      <w:pPr>
        <w:pStyle w:val="ListParagraph"/>
        <w:numPr>
          <w:ilvl w:val="0"/>
          <w:numId w:val="22"/>
        </w:numPr>
        <w:tabs>
          <w:tab w:val="left" w:pos="474"/>
        </w:tabs>
        <w:spacing w:before="132" w:line="249" w:lineRule="auto"/>
        <w:ind w:right="554"/>
        <w:rPr>
          <w:sz w:val="20"/>
        </w:rPr>
      </w:pPr>
      <w:r>
        <w:rPr>
          <w:sz w:val="20"/>
        </w:rPr>
        <w:t xml:space="preserve">community opposition to the introduction of </w:t>
      </w:r>
      <w:r>
        <w:rPr>
          <w:w w:val="95"/>
          <w:sz w:val="20"/>
        </w:rPr>
        <w:t>tolls</w:t>
      </w:r>
      <w:r>
        <w:rPr>
          <w:spacing w:val="-9"/>
          <w:w w:val="95"/>
          <w:sz w:val="20"/>
        </w:rPr>
        <w:t xml:space="preserve"> </w:t>
      </w:r>
      <w:r>
        <w:rPr>
          <w:w w:val="95"/>
          <w:sz w:val="20"/>
        </w:rPr>
        <w:t>on</w:t>
      </w:r>
      <w:r>
        <w:rPr>
          <w:spacing w:val="-9"/>
          <w:w w:val="95"/>
          <w:sz w:val="20"/>
        </w:rPr>
        <w:t xml:space="preserve"> </w:t>
      </w:r>
      <w:r>
        <w:rPr>
          <w:w w:val="95"/>
          <w:sz w:val="20"/>
        </w:rPr>
        <w:t>roads</w:t>
      </w:r>
      <w:r>
        <w:rPr>
          <w:spacing w:val="-9"/>
          <w:w w:val="95"/>
          <w:sz w:val="20"/>
        </w:rPr>
        <w:t xml:space="preserve"> </w:t>
      </w:r>
      <w:r>
        <w:rPr>
          <w:w w:val="95"/>
          <w:sz w:val="20"/>
        </w:rPr>
        <w:t>that</w:t>
      </w:r>
      <w:r>
        <w:rPr>
          <w:spacing w:val="-9"/>
          <w:w w:val="95"/>
          <w:sz w:val="20"/>
        </w:rPr>
        <w:t xml:space="preserve"> </w:t>
      </w:r>
      <w:r>
        <w:rPr>
          <w:w w:val="95"/>
          <w:sz w:val="20"/>
        </w:rPr>
        <w:t>are</w:t>
      </w:r>
      <w:r>
        <w:rPr>
          <w:spacing w:val="-9"/>
          <w:w w:val="95"/>
          <w:sz w:val="20"/>
        </w:rPr>
        <w:t xml:space="preserve"> </w:t>
      </w:r>
      <w:r>
        <w:rPr>
          <w:w w:val="95"/>
          <w:sz w:val="20"/>
        </w:rPr>
        <w:t>currently</w:t>
      </w:r>
      <w:r>
        <w:rPr>
          <w:spacing w:val="-9"/>
          <w:w w:val="95"/>
          <w:sz w:val="20"/>
        </w:rPr>
        <w:t xml:space="preserve"> </w:t>
      </w:r>
      <w:r>
        <w:rPr>
          <w:w w:val="95"/>
          <w:sz w:val="20"/>
        </w:rPr>
        <w:t>free</w:t>
      </w:r>
      <w:r>
        <w:rPr>
          <w:spacing w:val="-9"/>
          <w:w w:val="95"/>
          <w:sz w:val="20"/>
        </w:rPr>
        <w:t xml:space="preserve"> </w:t>
      </w:r>
      <w:r>
        <w:rPr>
          <w:w w:val="95"/>
          <w:sz w:val="20"/>
        </w:rPr>
        <w:t>and</w:t>
      </w:r>
      <w:r>
        <w:rPr>
          <w:spacing w:val="-9"/>
          <w:w w:val="95"/>
          <w:sz w:val="20"/>
        </w:rPr>
        <w:t xml:space="preserve"> </w:t>
      </w:r>
      <w:r>
        <w:rPr>
          <w:w w:val="95"/>
          <w:sz w:val="20"/>
        </w:rPr>
        <w:t>are</w:t>
      </w:r>
      <w:r>
        <w:rPr>
          <w:spacing w:val="-9"/>
          <w:w w:val="95"/>
          <w:sz w:val="20"/>
        </w:rPr>
        <w:t xml:space="preserve"> </w:t>
      </w:r>
      <w:r>
        <w:rPr>
          <w:w w:val="95"/>
          <w:sz w:val="20"/>
        </w:rPr>
        <w:t xml:space="preserve">not </w:t>
      </w:r>
      <w:r>
        <w:rPr>
          <w:sz w:val="20"/>
        </w:rPr>
        <w:t>being</w:t>
      </w:r>
      <w:r>
        <w:rPr>
          <w:spacing w:val="-11"/>
          <w:sz w:val="20"/>
        </w:rPr>
        <w:t xml:space="preserve"> </w:t>
      </w:r>
      <w:r>
        <w:rPr>
          <w:sz w:val="20"/>
        </w:rPr>
        <w:t>upgraded</w:t>
      </w:r>
    </w:p>
    <w:p w:rsidR="002C1123" w:rsidRDefault="00F22F94">
      <w:pPr>
        <w:pStyle w:val="ListParagraph"/>
        <w:numPr>
          <w:ilvl w:val="0"/>
          <w:numId w:val="22"/>
        </w:numPr>
        <w:tabs>
          <w:tab w:val="left" w:pos="474"/>
        </w:tabs>
        <w:spacing w:before="132" w:line="249" w:lineRule="auto"/>
        <w:ind w:right="63"/>
        <w:rPr>
          <w:sz w:val="20"/>
        </w:rPr>
      </w:pPr>
      <w:r>
        <w:rPr>
          <w:w w:val="95"/>
          <w:sz w:val="20"/>
        </w:rPr>
        <w:t xml:space="preserve">equity impacts arising from increasing the proportion </w:t>
      </w:r>
      <w:r>
        <w:rPr>
          <w:spacing w:val="-2"/>
          <w:sz w:val="20"/>
        </w:rPr>
        <w:t>of</w:t>
      </w:r>
      <w:r>
        <w:rPr>
          <w:spacing w:val="-13"/>
          <w:sz w:val="20"/>
        </w:rPr>
        <w:t xml:space="preserve"> </w:t>
      </w:r>
      <w:r>
        <w:rPr>
          <w:spacing w:val="-2"/>
          <w:sz w:val="20"/>
        </w:rPr>
        <w:t>revenue</w:t>
      </w:r>
      <w:r>
        <w:rPr>
          <w:spacing w:val="-13"/>
          <w:sz w:val="20"/>
        </w:rPr>
        <w:t xml:space="preserve"> </w:t>
      </w:r>
      <w:r>
        <w:rPr>
          <w:spacing w:val="-2"/>
          <w:sz w:val="20"/>
        </w:rPr>
        <w:t>raised</w:t>
      </w:r>
      <w:r>
        <w:rPr>
          <w:spacing w:val="-13"/>
          <w:sz w:val="20"/>
        </w:rPr>
        <w:t xml:space="preserve"> </w:t>
      </w:r>
      <w:r>
        <w:rPr>
          <w:spacing w:val="-2"/>
          <w:sz w:val="20"/>
        </w:rPr>
        <w:t>from</w:t>
      </w:r>
      <w:r>
        <w:rPr>
          <w:spacing w:val="-14"/>
          <w:sz w:val="20"/>
        </w:rPr>
        <w:t xml:space="preserve"> </w:t>
      </w:r>
      <w:r>
        <w:rPr>
          <w:spacing w:val="-2"/>
          <w:sz w:val="20"/>
        </w:rPr>
        <w:t>motorists</w:t>
      </w:r>
      <w:r>
        <w:rPr>
          <w:spacing w:val="-13"/>
          <w:sz w:val="20"/>
        </w:rPr>
        <w:t xml:space="preserve"> </w:t>
      </w:r>
      <w:r>
        <w:rPr>
          <w:spacing w:val="-2"/>
          <w:sz w:val="20"/>
        </w:rPr>
        <w:t>in</w:t>
      </w:r>
      <w:r>
        <w:rPr>
          <w:spacing w:val="-13"/>
          <w:sz w:val="20"/>
        </w:rPr>
        <w:t xml:space="preserve"> </w:t>
      </w:r>
      <w:r>
        <w:rPr>
          <w:spacing w:val="-2"/>
          <w:sz w:val="20"/>
        </w:rPr>
        <w:t>Greater</w:t>
      </w:r>
      <w:r>
        <w:rPr>
          <w:spacing w:val="-13"/>
          <w:sz w:val="20"/>
        </w:rPr>
        <w:t xml:space="preserve"> </w:t>
      </w:r>
      <w:r>
        <w:rPr>
          <w:spacing w:val="-2"/>
          <w:sz w:val="20"/>
        </w:rPr>
        <w:t xml:space="preserve">Sydney, </w:t>
      </w:r>
      <w:r>
        <w:rPr>
          <w:sz w:val="20"/>
        </w:rPr>
        <w:t>particularly</w:t>
      </w:r>
      <w:r>
        <w:rPr>
          <w:spacing w:val="-10"/>
          <w:sz w:val="20"/>
        </w:rPr>
        <w:t xml:space="preserve"> </w:t>
      </w:r>
      <w:r>
        <w:rPr>
          <w:sz w:val="20"/>
        </w:rPr>
        <w:t>the</w:t>
      </w:r>
      <w:r>
        <w:rPr>
          <w:spacing w:val="-10"/>
          <w:sz w:val="20"/>
        </w:rPr>
        <w:t xml:space="preserve"> </w:t>
      </w:r>
      <w:r>
        <w:rPr>
          <w:sz w:val="20"/>
        </w:rPr>
        <w:t>West</w:t>
      </w:r>
      <w:r>
        <w:rPr>
          <w:spacing w:val="-10"/>
          <w:sz w:val="20"/>
        </w:rPr>
        <w:t xml:space="preserve"> </w:t>
      </w:r>
      <w:r>
        <w:rPr>
          <w:sz w:val="20"/>
        </w:rPr>
        <w:t>and</w:t>
      </w:r>
      <w:r>
        <w:rPr>
          <w:spacing w:val="-10"/>
          <w:sz w:val="20"/>
        </w:rPr>
        <w:t xml:space="preserve"> </w:t>
      </w:r>
      <w:r>
        <w:rPr>
          <w:sz w:val="20"/>
        </w:rPr>
        <w:t>South-West,</w:t>
      </w:r>
      <w:r>
        <w:rPr>
          <w:spacing w:val="-10"/>
          <w:sz w:val="20"/>
        </w:rPr>
        <w:t xml:space="preserve"> </w:t>
      </w:r>
      <w:r>
        <w:rPr>
          <w:sz w:val="20"/>
        </w:rPr>
        <w:t>who</w:t>
      </w:r>
      <w:r>
        <w:rPr>
          <w:spacing w:val="-10"/>
          <w:sz w:val="20"/>
        </w:rPr>
        <w:t xml:space="preserve"> </w:t>
      </w:r>
      <w:r>
        <w:rPr>
          <w:sz w:val="20"/>
        </w:rPr>
        <w:t>have relatively longer journeys</w:t>
      </w:r>
    </w:p>
    <w:p w:rsidR="002C1123" w:rsidRDefault="00F22F94">
      <w:pPr>
        <w:pStyle w:val="ListParagraph"/>
        <w:numPr>
          <w:ilvl w:val="0"/>
          <w:numId w:val="22"/>
        </w:numPr>
        <w:tabs>
          <w:tab w:val="left" w:pos="474"/>
        </w:tabs>
        <w:spacing w:before="132" w:line="249" w:lineRule="auto"/>
        <w:ind w:right="33"/>
        <w:rPr>
          <w:sz w:val="20"/>
        </w:rPr>
      </w:pPr>
      <w:r>
        <w:rPr>
          <w:w w:val="95"/>
          <w:sz w:val="20"/>
        </w:rPr>
        <w:t>valuation</w:t>
      </w:r>
      <w:r>
        <w:rPr>
          <w:spacing w:val="-8"/>
          <w:w w:val="95"/>
          <w:sz w:val="20"/>
        </w:rPr>
        <w:t xml:space="preserve"> </w:t>
      </w:r>
      <w:r>
        <w:rPr>
          <w:w w:val="95"/>
          <w:sz w:val="20"/>
        </w:rPr>
        <w:t>and</w:t>
      </w:r>
      <w:r>
        <w:rPr>
          <w:spacing w:val="-8"/>
          <w:w w:val="95"/>
          <w:sz w:val="20"/>
        </w:rPr>
        <w:t xml:space="preserve"> </w:t>
      </w:r>
      <w:r>
        <w:rPr>
          <w:w w:val="95"/>
          <w:sz w:val="20"/>
        </w:rPr>
        <w:t>financing</w:t>
      </w:r>
      <w:r>
        <w:rPr>
          <w:spacing w:val="-8"/>
          <w:w w:val="95"/>
          <w:sz w:val="20"/>
        </w:rPr>
        <w:t xml:space="preserve"> </w:t>
      </w:r>
      <w:r>
        <w:rPr>
          <w:w w:val="95"/>
          <w:sz w:val="20"/>
        </w:rPr>
        <w:t>issues</w:t>
      </w:r>
      <w:r>
        <w:rPr>
          <w:spacing w:val="-8"/>
          <w:w w:val="95"/>
          <w:sz w:val="20"/>
        </w:rPr>
        <w:t xml:space="preserve"> </w:t>
      </w:r>
      <w:r>
        <w:rPr>
          <w:w w:val="95"/>
          <w:sz w:val="20"/>
        </w:rPr>
        <w:t>arising</w:t>
      </w:r>
      <w:r>
        <w:rPr>
          <w:spacing w:val="-8"/>
          <w:w w:val="95"/>
          <w:sz w:val="20"/>
        </w:rPr>
        <w:t xml:space="preserve"> </w:t>
      </w:r>
      <w:r>
        <w:rPr>
          <w:w w:val="95"/>
          <w:sz w:val="20"/>
        </w:rPr>
        <w:t>from</w:t>
      </w:r>
      <w:r>
        <w:rPr>
          <w:spacing w:val="-8"/>
          <w:w w:val="95"/>
          <w:sz w:val="20"/>
        </w:rPr>
        <w:t xml:space="preserve"> </w:t>
      </w:r>
      <w:r>
        <w:rPr>
          <w:w w:val="95"/>
          <w:sz w:val="20"/>
        </w:rPr>
        <w:t xml:space="preserve">unwinding </w:t>
      </w:r>
      <w:r>
        <w:rPr>
          <w:sz w:val="20"/>
        </w:rPr>
        <w:t>existing tollroad concessions.</w:t>
      </w:r>
    </w:p>
    <w:p w:rsidR="002C1123" w:rsidRDefault="00F22F94">
      <w:pPr>
        <w:pStyle w:val="BodyText"/>
        <w:spacing w:before="108" w:line="249" w:lineRule="auto"/>
        <w:ind w:left="186" w:right="739"/>
      </w:pPr>
      <w:r>
        <w:br w:type="column"/>
      </w:r>
      <w:r>
        <w:rPr>
          <w:w w:val="95"/>
        </w:rPr>
        <w:t>Infrastructure</w:t>
      </w:r>
      <w:r>
        <w:rPr>
          <w:spacing w:val="-1"/>
          <w:w w:val="95"/>
        </w:rPr>
        <w:t xml:space="preserve"> </w:t>
      </w:r>
      <w:r>
        <w:rPr>
          <w:w w:val="95"/>
        </w:rPr>
        <w:t>NSW</w:t>
      </w:r>
      <w:r>
        <w:rPr>
          <w:spacing w:val="-1"/>
          <w:w w:val="95"/>
        </w:rPr>
        <w:t xml:space="preserve"> </w:t>
      </w:r>
      <w:r>
        <w:rPr>
          <w:w w:val="95"/>
        </w:rPr>
        <w:t>is</w:t>
      </w:r>
      <w:r>
        <w:rPr>
          <w:spacing w:val="-1"/>
          <w:w w:val="95"/>
        </w:rPr>
        <w:t xml:space="preserve"> </w:t>
      </w:r>
      <w:r>
        <w:rPr>
          <w:w w:val="95"/>
        </w:rPr>
        <w:t>concerned</w:t>
      </w:r>
      <w:r>
        <w:rPr>
          <w:spacing w:val="-1"/>
          <w:w w:val="95"/>
        </w:rPr>
        <w:t xml:space="preserve"> </w:t>
      </w:r>
      <w:r>
        <w:rPr>
          <w:w w:val="95"/>
        </w:rPr>
        <w:t>that</w:t>
      </w:r>
      <w:r>
        <w:rPr>
          <w:spacing w:val="-1"/>
          <w:w w:val="95"/>
        </w:rPr>
        <w:t xml:space="preserve"> </w:t>
      </w:r>
      <w:r>
        <w:rPr>
          <w:w w:val="95"/>
        </w:rPr>
        <w:t>the</w:t>
      </w:r>
      <w:r>
        <w:rPr>
          <w:spacing w:val="-1"/>
          <w:w w:val="95"/>
        </w:rPr>
        <w:t xml:space="preserve"> </w:t>
      </w:r>
      <w:r>
        <w:rPr>
          <w:w w:val="95"/>
        </w:rPr>
        <w:t>practical</w:t>
      </w:r>
      <w:r>
        <w:rPr>
          <w:spacing w:val="-1"/>
          <w:w w:val="95"/>
        </w:rPr>
        <w:t xml:space="preserve"> </w:t>
      </w:r>
      <w:r>
        <w:rPr>
          <w:w w:val="95"/>
        </w:rPr>
        <w:t xml:space="preserve">effect </w:t>
      </w:r>
      <w:r>
        <w:t>of</w:t>
      </w:r>
      <w:r>
        <w:rPr>
          <w:spacing w:val="-10"/>
        </w:rPr>
        <w:t xml:space="preserve"> </w:t>
      </w:r>
      <w:r>
        <w:t>pursuing</w:t>
      </w:r>
      <w:r>
        <w:rPr>
          <w:spacing w:val="-10"/>
        </w:rPr>
        <w:t xml:space="preserve"> </w:t>
      </w:r>
      <w:r>
        <w:t>a</w:t>
      </w:r>
      <w:r>
        <w:rPr>
          <w:spacing w:val="-10"/>
        </w:rPr>
        <w:t xml:space="preserve"> </w:t>
      </w:r>
      <w:r>
        <w:t>network</w:t>
      </w:r>
      <w:r>
        <w:rPr>
          <w:spacing w:val="-10"/>
        </w:rPr>
        <w:t xml:space="preserve"> </w:t>
      </w:r>
      <w:r>
        <w:t>tolling</w:t>
      </w:r>
      <w:r>
        <w:rPr>
          <w:spacing w:val="-10"/>
        </w:rPr>
        <w:t xml:space="preserve"> </w:t>
      </w:r>
      <w:r>
        <w:t>structure</w:t>
      </w:r>
      <w:r>
        <w:rPr>
          <w:spacing w:val="-10"/>
        </w:rPr>
        <w:t xml:space="preserve"> </w:t>
      </w:r>
      <w:r>
        <w:t>will</w:t>
      </w:r>
      <w:r>
        <w:rPr>
          <w:spacing w:val="-10"/>
        </w:rPr>
        <w:t xml:space="preserve"> </w:t>
      </w:r>
      <w:r>
        <w:t>be</w:t>
      </w:r>
      <w:r>
        <w:rPr>
          <w:spacing w:val="-10"/>
        </w:rPr>
        <w:t xml:space="preserve"> </w:t>
      </w:r>
      <w:r>
        <w:t>that</w:t>
      </w:r>
      <w:r>
        <w:rPr>
          <w:spacing w:val="-10"/>
        </w:rPr>
        <w:t xml:space="preserve"> </w:t>
      </w:r>
      <w:r>
        <w:t>new road</w:t>
      </w:r>
      <w:r>
        <w:rPr>
          <w:spacing w:val="-14"/>
        </w:rPr>
        <w:t xml:space="preserve"> </w:t>
      </w:r>
      <w:r>
        <w:t>projects</w:t>
      </w:r>
      <w:r>
        <w:rPr>
          <w:spacing w:val="-14"/>
        </w:rPr>
        <w:t xml:space="preserve"> </w:t>
      </w:r>
      <w:r>
        <w:t>are</w:t>
      </w:r>
      <w:r>
        <w:rPr>
          <w:spacing w:val="-14"/>
        </w:rPr>
        <w:t xml:space="preserve"> </w:t>
      </w:r>
      <w:r>
        <w:t>deferred</w:t>
      </w:r>
      <w:r>
        <w:rPr>
          <w:spacing w:val="-14"/>
        </w:rPr>
        <w:t xml:space="preserve"> </w:t>
      </w:r>
      <w:r>
        <w:t>for</w:t>
      </w:r>
      <w:r>
        <w:rPr>
          <w:spacing w:val="-14"/>
        </w:rPr>
        <w:t xml:space="preserve"> </w:t>
      </w:r>
      <w:r>
        <w:t>a</w:t>
      </w:r>
      <w:r>
        <w:rPr>
          <w:spacing w:val="-14"/>
        </w:rPr>
        <w:t xml:space="preserve"> </w:t>
      </w:r>
      <w:r>
        <w:t>number</w:t>
      </w:r>
      <w:r>
        <w:rPr>
          <w:spacing w:val="-13"/>
        </w:rPr>
        <w:t xml:space="preserve"> </w:t>
      </w:r>
      <w:r>
        <w:t>of</w:t>
      </w:r>
      <w:r>
        <w:rPr>
          <w:spacing w:val="-14"/>
        </w:rPr>
        <w:t xml:space="preserve"> </w:t>
      </w:r>
      <w:r>
        <w:t>years,</w:t>
      </w:r>
      <w:r>
        <w:rPr>
          <w:spacing w:val="-14"/>
        </w:rPr>
        <w:t xml:space="preserve"> </w:t>
      </w:r>
      <w:r>
        <w:t>while the</w:t>
      </w:r>
      <w:r>
        <w:rPr>
          <w:spacing w:val="-7"/>
        </w:rPr>
        <w:t xml:space="preserve"> </w:t>
      </w:r>
      <w:r>
        <w:t>new</w:t>
      </w:r>
      <w:r>
        <w:rPr>
          <w:spacing w:val="-7"/>
        </w:rPr>
        <w:t xml:space="preserve"> </w:t>
      </w:r>
      <w:r>
        <w:t>scheme</w:t>
      </w:r>
      <w:r>
        <w:rPr>
          <w:spacing w:val="-7"/>
        </w:rPr>
        <w:t xml:space="preserve"> </w:t>
      </w:r>
      <w:r>
        <w:t>is</w:t>
      </w:r>
      <w:r>
        <w:rPr>
          <w:spacing w:val="-7"/>
        </w:rPr>
        <w:t xml:space="preserve"> </w:t>
      </w:r>
      <w:r>
        <w:t>developed</w:t>
      </w:r>
      <w:r>
        <w:rPr>
          <w:spacing w:val="-7"/>
        </w:rPr>
        <w:t xml:space="preserve"> </w:t>
      </w:r>
      <w:r>
        <w:t>and</w:t>
      </w:r>
      <w:r>
        <w:rPr>
          <w:spacing w:val="-7"/>
        </w:rPr>
        <w:t xml:space="preserve"> </w:t>
      </w:r>
      <w:r>
        <w:t>implemented.</w:t>
      </w:r>
    </w:p>
    <w:p w:rsidR="002C1123" w:rsidRDefault="002060EF">
      <w:pPr>
        <w:pStyle w:val="BodyText"/>
        <w:spacing w:before="10"/>
        <w:rPr>
          <w:sz w:val="12"/>
        </w:rPr>
      </w:pPr>
      <w:r>
        <w:pict>
          <v:shape id="docshape2897" o:spid="_x0000_s1129" type="#_x0000_t202" style="position:absolute;margin-left:552.3pt;margin-top:8.65pt;width:240pt;height:93.35pt;z-index:-251319296;mso-wrap-distance-left:0;mso-wrap-distance-right:0;mso-position-horizontal-relative:page" fillcolor="#e1e0e1" stroked="f">
            <v:textbox inset="0,0,0,0">
              <w:txbxContent>
                <w:p w:rsidR="00F22F94" w:rsidRDefault="00F22F94">
                  <w:pPr>
                    <w:pStyle w:val="BodyText"/>
                    <w:spacing w:before="68" w:line="249" w:lineRule="auto"/>
                    <w:ind w:left="113" w:right="122"/>
                    <w:rPr>
                      <w:color w:val="000000"/>
                    </w:rPr>
                  </w:pPr>
                  <w:r>
                    <w:rPr>
                      <w:b/>
                      <w:color w:val="00AEEF"/>
                      <w:w w:val="95"/>
                    </w:rPr>
                    <w:t>Recommendation</w:t>
                  </w:r>
                  <w:r>
                    <w:rPr>
                      <w:b/>
                      <w:color w:val="00AEEF"/>
                      <w:spacing w:val="40"/>
                    </w:rPr>
                    <w:t xml:space="preserve"> </w:t>
                  </w:r>
                  <w:r>
                    <w:rPr>
                      <w:color w:val="000000"/>
                      <w:w w:val="95"/>
                    </w:rPr>
                    <w:t xml:space="preserve">Given the urgency of delivering </w:t>
                  </w:r>
                  <w:r>
                    <w:rPr>
                      <w:color w:val="000000"/>
                    </w:rPr>
                    <w:t>the</w:t>
                  </w:r>
                  <w:r>
                    <w:rPr>
                      <w:color w:val="000000"/>
                      <w:spacing w:val="-12"/>
                    </w:rPr>
                    <w:t xml:space="preserve"> </w:t>
                  </w:r>
                  <w:r>
                    <w:rPr>
                      <w:color w:val="000000"/>
                    </w:rPr>
                    <w:t>missing</w:t>
                  </w:r>
                  <w:r>
                    <w:rPr>
                      <w:color w:val="000000"/>
                      <w:spacing w:val="-12"/>
                    </w:rPr>
                    <w:t xml:space="preserve"> </w:t>
                  </w:r>
                  <w:r>
                    <w:rPr>
                      <w:color w:val="000000"/>
                    </w:rPr>
                    <w:t>motorway</w:t>
                  </w:r>
                  <w:r>
                    <w:rPr>
                      <w:color w:val="000000"/>
                      <w:spacing w:val="-12"/>
                    </w:rPr>
                    <w:t xml:space="preserve"> </w:t>
                  </w:r>
                  <w:r>
                    <w:rPr>
                      <w:color w:val="000000"/>
                    </w:rPr>
                    <w:t>links</w:t>
                  </w:r>
                  <w:r>
                    <w:rPr>
                      <w:color w:val="000000"/>
                      <w:spacing w:val="-12"/>
                    </w:rPr>
                    <w:t xml:space="preserve"> </w:t>
                  </w:r>
                  <w:r>
                    <w:rPr>
                      <w:color w:val="000000"/>
                    </w:rPr>
                    <w:t>identified</w:t>
                  </w:r>
                  <w:r>
                    <w:rPr>
                      <w:color w:val="000000"/>
                      <w:spacing w:val="-12"/>
                    </w:rPr>
                    <w:t xml:space="preserve"> </w:t>
                  </w:r>
                  <w:r>
                    <w:rPr>
                      <w:color w:val="000000"/>
                    </w:rPr>
                    <w:t>in</w:t>
                  </w:r>
                  <w:r>
                    <w:rPr>
                      <w:color w:val="000000"/>
                      <w:spacing w:val="-12"/>
                    </w:rPr>
                    <w:t xml:space="preserve"> </w:t>
                  </w:r>
                  <w:r>
                    <w:rPr>
                      <w:color w:val="000000"/>
                    </w:rPr>
                    <w:t>Section</w:t>
                  </w:r>
                  <w:r>
                    <w:rPr>
                      <w:color w:val="000000"/>
                      <w:spacing w:val="-12"/>
                    </w:rPr>
                    <w:t xml:space="preserve"> </w:t>
                  </w:r>
                  <w:r>
                    <w:rPr>
                      <w:color w:val="000000"/>
                    </w:rPr>
                    <w:t>6, Infrastructure</w:t>
                  </w:r>
                  <w:r>
                    <w:rPr>
                      <w:color w:val="000000"/>
                      <w:spacing w:val="-6"/>
                    </w:rPr>
                    <w:t xml:space="preserve"> </w:t>
                  </w:r>
                  <w:r>
                    <w:rPr>
                      <w:color w:val="000000"/>
                    </w:rPr>
                    <w:t>NSW</w:t>
                  </w:r>
                  <w:r>
                    <w:rPr>
                      <w:color w:val="000000"/>
                      <w:spacing w:val="-6"/>
                    </w:rPr>
                    <w:t xml:space="preserve"> </w:t>
                  </w:r>
                  <w:r>
                    <w:rPr>
                      <w:color w:val="000000"/>
                    </w:rPr>
                    <w:t>recommends</w:t>
                  </w:r>
                  <w:r>
                    <w:rPr>
                      <w:color w:val="000000"/>
                      <w:spacing w:val="-6"/>
                    </w:rPr>
                    <w:t xml:space="preserve"> </w:t>
                  </w:r>
                  <w:r>
                    <w:rPr>
                      <w:color w:val="000000"/>
                    </w:rPr>
                    <w:t>that</w:t>
                  </w:r>
                  <w:r>
                    <w:rPr>
                      <w:color w:val="000000"/>
                      <w:spacing w:val="-6"/>
                    </w:rPr>
                    <w:t xml:space="preserve"> </w:t>
                  </w:r>
                  <w:r>
                    <w:rPr>
                      <w:color w:val="000000"/>
                    </w:rPr>
                    <w:t>focus</w:t>
                  </w:r>
                  <w:r>
                    <w:rPr>
                      <w:color w:val="000000"/>
                      <w:spacing w:val="-6"/>
                    </w:rPr>
                    <w:t xml:space="preserve"> </w:t>
                  </w:r>
                  <w:r>
                    <w:rPr>
                      <w:color w:val="000000"/>
                    </w:rPr>
                    <w:t>is placed</w:t>
                  </w:r>
                  <w:r>
                    <w:rPr>
                      <w:color w:val="000000"/>
                      <w:spacing w:val="-6"/>
                    </w:rPr>
                    <w:t xml:space="preserve"> </w:t>
                  </w:r>
                  <w:r>
                    <w:rPr>
                      <w:color w:val="000000"/>
                    </w:rPr>
                    <w:t>on</w:t>
                  </w:r>
                  <w:r>
                    <w:rPr>
                      <w:color w:val="000000"/>
                      <w:spacing w:val="-6"/>
                    </w:rPr>
                    <w:t xml:space="preserve"> </w:t>
                  </w:r>
                  <w:r>
                    <w:rPr>
                      <w:color w:val="000000"/>
                    </w:rPr>
                    <w:t>tolling</w:t>
                  </w:r>
                  <w:r>
                    <w:rPr>
                      <w:color w:val="000000"/>
                      <w:spacing w:val="-6"/>
                    </w:rPr>
                    <w:t xml:space="preserve"> </w:t>
                  </w:r>
                  <w:r>
                    <w:rPr>
                      <w:color w:val="000000"/>
                    </w:rPr>
                    <w:t>only</w:t>
                  </w:r>
                  <w:r>
                    <w:rPr>
                      <w:color w:val="000000"/>
                      <w:spacing w:val="-6"/>
                    </w:rPr>
                    <w:t xml:space="preserve"> </w:t>
                  </w:r>
                  <w:r>
                    <w:rPr>
                      <w:color w:val="000000"/>
                    </w:rPr>
                    <w:t>new</w:t>
                  </w:r>
                  <w:r>
                    <w:rPr>
                      <w:color w:val="000000"/>
                      <w:spacing w:val="-6"/>
                    </w:rPr>
                    <w:t xml:space="preserve"> </w:t>
                  </w:r>
                  <w:r>
                    <w:rPr>
                      <w:color w:val="000000"/>
                    </w:rPr>
                    <w:t>and</w:t>
                  </w:r>
                  <w:r>
                    <w:rPr>
                      <w:color w:val="000000"/>
                      <w:spacing w:val="-6"/>
                    </w:rPr>
                    <w:t xml:space="preserve"> </w:t>
                  </w:r>
                  <w:r>
                    <w:rPr>
                      <w:color w:val="000000"/>
                    </w:rPr>
                    <w:t>upgraded</w:t>
                  </w:r>
                  <w:r>
                    <w:rPr>
                      <w:color w:val="000000"/>
                      <w:spacing w:val="-6"/>
                    </w:rPr>
                    <w:t xml:space="preserve"> </w:t>
                  </w:r>
                  <w:r>
                    <w:rPr>
                      <w:color w:val="000000"/>
                    </w:rPr>
                    <w:t>roads.</w:t>
                  </w:r>
                </w:p>
                <w:p w:rsidR="00F22F94" w:rsidRDefault="00F22F94">
                  <w:pPr>
                    <w:pStyle w:val="BodyText"/>
                    <w:spacing w:before="4" w:line="249" w:lineRule="auto"/>
                    <w:ind w:left="113" w:right="199"/>
                    <w:rPr>
                      <w:color w:val="000000"/>
                    </w:rPr>
                  </w:pPr>
                  <w:r>
                    <w:rPr>
                      <w:color w:val="000000"/>
                      <w:w w:val="95"/>
                    </w:rPr>
                    <w:t xml:space="preserve">This approach will allow an incremental introduction </w:t>
                  </w:r>
                  <w:r>
                    <w:rPr>
                      <w:color w:val="000000"/>
                    </w:rPr>
                    <w:t>of</w:t>
                  </w:r>
                  <w:r>
                    <w:rPr>
                      <w:color w:val="000000"/>
                      <w:spacing w:val="-9"/>
                    </w:rPr>
                    <w:t xml:space="preserve"> </w:t>
                  </w:r>
                  <w:r>
                    <w:rPr>
                      <w:color w:val="000000"/>
                    </w:rPr>
                    <w:t>distance</w:t>
                  </w:r>
                  <w:r>
                    <w:rPr>
                      <w:color w:val="000000"/>
                      <w:spacing w:val="-9"/>
                    </w:rPr>
                    <w:t xml:space="preserve"> </w:t>
                  </w:r>
                  <w:r>
                    <w:rPr>
                      <w:color w:val="000000"/>
                    </w:rPr>
                    <w:t>based</w:t>
                  </w:r>
                  <w:r>
                    <w:rPr>
                      <w:color w:val="000000"/>
                      <w:spacing w:val="-9"/>
                    </w:rPr>
                    <w:t xml:space="preserve"> </w:t>
                  </w:r>
                  <w:r>
                    <w:rPr>
                      <w:color w:val="000000"/>
                    </w:rPr>
                    <w:t>tolling</w:t>
                  </w:r>
                  <w:r>
                    <w:rPr>
                      <w:color w:val="000000"/>
                      <w:spacing w:val="-9"/>
                    </w:rPr>
                    <w:t xml:space="preserve"> </w:t>
                  </w:r>
                  <w:r>
                    <w:rPr>
                      <w:color w:val="000000"/>
                    </w:rPr>
                    <w:t>on</w:t>
                  </w:r>
                  <w:r>
                    <w:rPr>
                      <w:color w:val="000000"/>
                      <w:spacing w:val="-9"/>
                    </w:rPr>
                    <w:t xml:space="preserve"> </w:t>
                  </w:r>
                  <w:r>
                    <w:rPr>
                      <w:color w:val="000000"/>
                    </w:rPr>
                    <w:t>the</w:t>
                  </w:r>
                  <w:r>
                    <w:rPr>
                      <w:color w:val="000000"/>
                      <w:spacing w:val="-9"/>
                    </w:rPr>
                    <w:t xml:space="preserve"> </w:t>
                  </w:r>
                  <w:r>
                    <w:rPr>
                      <w:color w:val="000000"/>
                    </w:rPr>
                    <w:t>Sydney</w:t>
                  </w:r>
                  <w:r>
                    <w:rPr>
                      <w:color w:val="000000"/>
                      <w:spacing w:val="-9"/>
                    </w:rPr>
                    <w:t xml:space="preserve"> </w:t>
                  </w:r>
                  <w:r>
                    <w:rPr>
                      <w:color w:val="000000"/>
                    </w:rPr>
                    <w:t xml:space="preserve">motorway </w:t>
                  </w:r>
                  <w:r>
                    <w:rPr>
                      <w:color w:val="000000"/>
                      <w:w w:val="95"/>
                    </w:rPr>
                    <w:t>network</w:t>
                  </w:r>
                  <w:r>
                    <w:rPr>
                      <w:color w:val="000000"/>
                      <w:spacing w:val="-4"/>
                      <w:w w:val="95"/>
                    </w:rPr>
                    <w:t xml:space="preserve"> </w:t>
                  </w:r>
                  <w:r>
                    <w:rPr>
                      <w:color w:val="000000"/>
                      <w:w w:val="95"/>
                    </w:rPr>
                    <w:t>as</w:t>
                  </w:r>
                  <w:r>
                    <w:rPr>
                      <w:color w:val="000000"/>
                      <w:spacing w:val="-4"/>
                      <w:w w:val="95"/>
                    </w:rPr>
                    <w:t xml:space="preserve"> </w:t>
                  </w:r>
                  <w:r>
                    <w:rPr>
                      <w:color w:val="000000"/>
                      <w:w w:val="95"/>
                    </w:rPr>
                    <w:t>it</w:t>
                  </w:r>
                  <w:r>
                    <w:rPr>
                      <w:color w:val="000000"/>
                      <w:spacing w:val="-4"/>
                      <w:w w:val="95"/>
                    </w:rPr>
                    <w:t xml:space="preserve"> </w:t>
                  </w:r>
                  <w:r>
                    <w:rPr>
                      <w:color w:val="000000"/>
                      <w:w w:val="95"/>
                    </w:rPr>
                    <w:t>is</w:t>
                  </w:r>
                  <w:r>
                    <w:rPr>
                      <w:color w:val="000000"/>
                      <w:spacing w:val="-4"/>
                      <w:w w:val="95"/>
                    </w:rPr>
                    <w:t xml:space="preserve"> </w:t>
                  </w:r>
                  <w:r>
                    <w:rPr>
                      <w:color w:val="000000"/>
                      <w:w w:val="95"/>
                    </w:rPr>
                    <w:t>expanded</w:t>
                  </w:r>
                  <w:r>
                    <w:rPr>
                      <w:color w:val="000000"/>
                      <w:spacing w:val="-4"/>
                      <w:w w:val="95"/>
                    </w:rPr>
                    <w:t xml:space="preserve"> </w:t>
                  </w:r>
                  <w:r>
                    <w:rPr>
                      <w:color w:val="000000"/>
                      <w:w w:val="95"/>
                    </w:rPr>
                    <w:t>over</w:t>
                  </w:r>
                  <w:r>
                    <w:rPr>
                      <w:color w:val="000000"/>
                      <w:spacing w:val="-4"/>
                      <w:w w:val="95"/>
                    </w:rPr>
                    <w:t xml:space="preserve"> </w:t>
                  </w:r>
                  <w:r>
                    <w:rPr>
                      <w:color w:val="000000"/>
                      <w:w w:val="95"/>
                    </w:rPr>
                    <w:t>the</w:t>
                  </w:r>
                  <w:r>
                    <w:rPr>
                      <w:color w:val="000000"/>
                      <w:spacing w:val="-4"/>
                      <w:w w:val="95"/>
                    </w:rPr>
                    <w:t xml:space="preserve"> </w:t>
                  </w:r>
                  <w:r>
                    <w:rPr>
                      <w:color w:val="000000"/>
                      <w:w w:val="95"/>
                    </w:rPr>
                    <w:t>next</w:t>
                  </w:r>
                  <w:r>
                    <w:rPr>
                      <w:color w:val="000000"/>
                      <w:spacing w:val="-4"/>
                      <w:w w:val="95"/>
                    </w:rPr>
                    <w:t xml:space="preserve"> </w:t>
                  </w:r>
                  <w:r>
                    <w:rPr>
                      <w:color w:val="000000"/>
                      <w:w w:val="95"/>
                    </w:rPr>
                    <w:t>twenty</w:t>
                  </w:r>
                  <w:r>
                    <w:rPr>
                      <w:color w:val="000000"/>
                      <w:spacing w:val="-4"/>
                      <w:w w:val="95"/>
                    </w:rPr>
                    <w:t xml:space="preserve"> </w:t>
                  </w:r>
                  <w:r>
                    <w:rPr>
                      <w:color w:val="000000"/>
                      <w:w w:val="95"/>
                    </w:rPr>
                    <w:t>years.</w:t>
                  </w:r>
                </w:p>
              </w:txbxContent>
            </v:textbox>
            <w10:wrap type="topAndBottom" anchorx="page"/>
          </v:shape>
        </w:pict>
      </w:r>
    </w:p>
    <w:p w:rsidR="002C1123" w:rsidRDefault="002C1123">
      <w:pPr>
        <w:pStyle w:val="BodyText"/>
        <w:spacing w:before="2"/>
        <w:rPr>
          <w:sz w:val="22"/>
        </w:rPr>
      </w:pPr>
    </w:p>
    <w:p w:rsidR="002C1123" w:rsidRDefault="00F22F94">
      <w:pPr>
        <w:pStyle w:val="BodyText"/>
        <w:spacing w:before="1" w:line="249" w:lineRule="auto"/>
        <w:ind w:left="186" w:right="739"/>
      </w:pPr>
      <w:r>
        <w:rPr>
          <w:w w:val="95"/>
        </w:rPr>
        <w:t>This</w:t>
      </w:r>
      <w:r>
        <w:rPr>
          <w:spacing w:val="-9"/>
          <w:w w:val="95"/>
        </w:rPr>
        <w:t xml:space="preserve"> </w:t>
      </w:r>
      <w:r>
        <w:rPr>
          <w:w w:val="95"/>
        </w:rPr>
        <w:t>strategy</w:t>
      </w:r>
      <w:r>
        <w:rPr>
          <w:spacing w:val="-9"/>
          <w:w w:val="95"/>
        </w:rPr>
        <w:t xml:space="preserve"> </w:t>
      </w:r>
      <w:r>
        <w:rPr>
          <w:w w:val="95"/>
        </w:rPr>
        <w:t>is</w:t>
      </w:r>
      <w:r>
        <w:rPr>
          <w:spacing w:val="-9"/>
          <w:w w:val="95"/>
        </w:rPr>
        <w:t xml:space="preserve"> </w:t>
      </w:r>
      <w:r>
        <w:rPr>
          <w:w w:val="95"/>
        </w:rPr>
        <w:t>considered</w:t>
      </w:r>
      <w:r>
        <w:rPr>
          <w:spacing w:val="-9"/>
          <w:w w:val="95"/>
        </w:rPr>
        <w:t xml:space="preserve"> </w:t>
      </w:r>
      <w:r>
        <w:rPr>
          <w:w w:val="95"/>
        </w:rPr>
        <w:t>further</w:t>
      </w:r>
      <w:r>
        <w:rPr>
          <w:spacing w:val="-9"/>
          <w:w w:val="95"/>
        </w:rPr>
        <w:t xml:space="preserve"> </w:t>
      </w:r>
      <w:r>
        <w:rPr>
          <w:w w:val="95"/>
        </w:rPr>
        <w:t>in</w:t>
      </w:r>
      <w:r>
        <w:rPr>
          <w:spacing w:val="-9"/>
          <w:w w:val="95"/>
        </w:rPr>
        <w:t xml:space="preserve"> </w:t>
      </w:r>
      <w:r>
        <w:rPr>
          <w:w w:val="95"/>
        </w:rPr>
        <w:t>relation</w:t>
      </w:r>
      <w:r>
        <w:rPr>
          <w:spacing w:val="-9"/>
          <w:w w:val="95"/>
        </w:rPr>
        <w:t xml:space="preserve"> </w:t>
      </w:r>
      <w:r>
        <w:rPr>
          <w:w w:val="95"/>
        </w:rPr>
        <w:t xml:space="preserve">to </w:t>
      </w:r>
      <w:r>
        <w:t>WestConnex in Section 16.4.</w:t>
      </w:r>
    </w:p>
    <w:p w:rsidR="002C1123" w:rsidRDefault="00F22F94">
      <w:pPr>
        <w:pStyle w:val="Heading6"/>
        <w:spacing w:before="143"/>
        <w:ind w:left="186"/>
      </w:pPr>
      <w:r>
        <w:t>Restart</w:t>
      </w:r>
      <w:r>
        <w:rPr>
          <w:spacing w:val="-2"/>
        </w:rPr>
        <w:t xml:space="preserve"> </w:t>
      </w:r>
      <w:r>
        <w:rPr>
          <w:spacing w:val="-5"/>
        </w:rPr>
        <w:t>NSW</w:t>
      </w:r>
    </w:p>
    <w:p w:rsidR="002C1123" w:rsidRDefault="00F22F94">
      <w:pPr>
        <w:pStyle w:val="BodyText"/>
        <w:spacing w:before="10" w:line="249" w:lineRule="auto"/>
        <w:ind w:left="186" w:right="739"/>
      </w:pPr>
      <w:r>
        <w:t>The</w:t>
      </w:r>
      <w:r>
        <w:rPr>
          <w:spacing w:val="-14"/>
        </w:rPr>
        <w:t xml:space="preserve"> </w:t>
      </w:r>
      <w:r>
        <w:t>NSW</w:t>
      </w:r>
      <w:r>
        <w:rPr>
          <w:spacing w:val="-14"/>
        </w:rPr>
        <w:t xml:space="preserve"> </w:t>
      </w:r>
      <w:r>
        <w:t>Government</w:t>
      </w:r>
      <w:r>
        <w:rPr>
          <w:spacing w:val="-14"/>
        </w:rPr>
        <w:t xml:space="preserve"> </w:t>
      </w:r>
      <w:r>
        <w:t>has</w:t>
      </w:r>
      <w:r>
        <w:rPr>
          <w:spacing w:val="-14"/>
        </w:rPr>
        <w:t xml:space="preserve"> </w:t>
      </w:r>
      <w:r>
        <w:t>established</w:t>
      </w:r>
      <w:r>
        <w:rPr>
          <w:spacing w:val="-14"/>
        </w:rPr>
        <w:t xml:space="preserve"> </w:t>
      </w:r>
      <w:r>
        <w:t>Restart</w:t>
      </w:r>
      <w:r>
        <w:rPr>
          <w:spacing w:val="-14"/>
        </w:rPr>
        <w:t xml:space="preserve"> </w:t>
      </w:r>
      <w:r>
        <w:t>NSW as</w:t>
      </w:r>
      <w:r>
        <w:rPr>
          <w:spacing w:val="-14"/>
        </w:rPr>
        <w:t xml:space="preserve"> </w:t>
      </w:r>
      <w:r>
        <w:t>a</w:t>
      </w:r>
      <w:r>
        <w:rPr>
          <w:spacing w:val="-14"/>
        </w:rPr>
        <w:t xml:space="preserve"> </w:t>
      </w:r>
      <w:r>
        <w:t>fund</w:t>
      </w:r>
      <w:r>
        <w:rPr>
          <w:spacing w:val="-14"/>
        </w:rPr>
        <w:t xml:space="preserve"> </w:t>
      </w:r>
      <w:r>
        <w:t>for</w:t>
      </w:r>
      <w:r>
        <w:rPr>
          <w:spacing w:val="-14"/>
        </w:rPr>
        <w:t xml:space="preserve"> </w:t>
      </w:r>
      <w:r>
        <w:t>investing</w:t>
      </w:r>
      <w:r>
        <w:rPr>
          <w:spacing w:val="-14"/>
        </w:rPr>
        <w:t xml:space="preserve"> </w:t>
      </w:r>
      <w:r>
        <w:t>in</w:t>
      </w:r>
      <w:r>
        <w:rPr>
          <w:spacing w:val="-14"/>
        </w:rPr>
        <w:t xml:space="preserve"> </w:t>
      </w:r>
      <w:r>
        <w:t>new</w:t>
      </w:r>
      <w:r>
        <w:rPr>
          <w:spacing w:val="-14"/>
        </w:rPr>
        <w:t xml:space="preserve"> </w:t>
      </w:r>
      <w:r>
        <w:t>infrastructure,</w:t>
      </w:r>
      <w:r>
        <w:rPr>
          <w:spacing w:val="-14"/>
        </w:rPr>
        <w:t xml:space="preserve"> </w:t>
      </w:r>
      <w:r>
        <w:t>which</w:t>
      </w:r>
      <w:r>
        <w:rPr>
          <w:spacing w:val="-14"/>
        </w:rPr>
        <w:t xml:space="preserve"> </w:t>
      </w:r>
      <w:r>
        <w:t xml:space="preserve">is </w:t>
      </w:r>
      <w:r>
        <w:rPr>
          <w:w w:val="95"/>
        </w:rPr>
        <w:t>administered</w:t>
      </w:r>
      <w:r>
        <w:rPr>
          <w:spacing w:val="-12"/>
          <w:w w:val="95"/>
        </w:rPr>
        <w:t xml:space="preserve"> </w:t>
      </w:r>
      <w:r>
        <w:rPr>
          <w:w w:val="95"/>
        </w:rPr>
        <w:t>by</w:t>
      </w:r>
      <w:r>
        <w:rPr>
          <w:spacing w:val="-11"/>
          <w:w w:val="95"/>
        </w:rPr>
        <w:t xml:space="preserve"> </w:t>
      </w:r>
      <w:r>
        <w:rPr>
          <w:w w:val="95"/>
        </w:rPr>
        <w:t>Infrastructure</w:t>
      </w:r>
      <w:r>
        <w:rPr>
          <w:spacing w:val="-11"/>
          <w:w w:val="95"/>
        </w:rPr>
        <w:t xml:space="preserve"> </w:t>
      </w:r>
      <w:r>
        <w:rPr>
          <w:w w:val="95"/>
        </w:rPr>
        <w:t>NSW</w:t>
      </w:r>
      <w:r>
        <w:rPr>
          <w:spacing w:val="-11"/>
          <w:w w:val="95"/>
        </w:rPr>
        <w:t xml:space="preserve"> </w:t>
      </w:r>
      <w:r>
        <w:rPr>
          <w:w w:val="95"/>
        </w:rPr>
        <w:t>and</w:t>
      </w:r>
      <w:r>
        <w:rPr>
          <w:spacing w:val="-11"/>
          <w:w w:val="95"/>
        </w:rPr>
        <w:t xml:space="preserve"> </w:t>
      </w:r>
      <w:r>
        <w:rPr>
          <w:w w:val="95"/>
        </w:rPr>
        <w:t>NSW</w:t>
      </w:r>
      <w:r>
        <w:rPr>
          <w:spacing w:val="-11"/>
          <w:w w:val="95"/>
        </w:rPr>
        <w:t xml:space="preserve"> </w:t>
      </w:r>
      <w:r>
        <w:rPr>
          <w:w w:val="95"/>
        </w:rPr>
        <w:t>Treasury.</w:t>
      </w:r>
    </w:p>
    <w:p w:rsidR="002C1123" w:rsidRDefault="00F22F94">
      <w:pPr>
        <w:pStyle w:val="BodyText"/>
        <w:spacing w:before="144" w:line="249" w:lineRule="auto"/>
        <w:ind w:left="186" w:right="739"/>
      </w:pPr>
      <w:r>
        <w:t>Restart</w:t>
      </w:r>
      <w:r>
        <w:rPr>
          <w:spacing w:val="-10"/>
        </w:rPr>
        <w:t xml:space="preserve"> </w:t>
      </w:r>
      <w:r>
        <w:t>NSW</w:t>
      </w:r>
      <w:r>
        <w:rPr>
          <w:spacing w:val="-10"/>
        </w:rPr>
        <w:t xml:space="preserve"> </w:t>
      </w:r>
      <w:r>
        <w:t>is</w:t>
      </w:r>
      <w:r>
        <w:rPr>
          <w:spacing w:val="-10"/>
        </w:rPr>
        <w:t xml:space="preserve"> </w:t>
      </w:r>
      <w:r>
        <w:t>funded</w:t>
      </w:r>
      <w:r>
        <w:rPr>
          <w:spacing w:val="-10"/>
        </w:rPr>
        <w:t xml:space="preserve"> </w:t>
      </w:r>
      <w:r>
        <w:t>from</w:t>
      </w:r>
      <w:r>
        <w:rPr>
          <w:spacing w:val="-10"/>
        </w:rPr>
        <w:t xml:space="preserve"> </w:t>
      </w:r>
      <w:r>
        <w:t>the</w:t>
      </w:r>
      <w:r>
        <w:rPr>
          <w:spacing w:val="-10"/>
        </w:rPr>
        <w:t xml:space="preserve"> </w:t>
      </w:r>
      <w:r>
        <w:t>net</w:t>
      </w:r>
      <w:r>
        <w:rPr>
          <w:spacing w:val="-10"/>
        </w:rPr>
        <w:t xml:space="preserve"> </w:t>
      </w:r>
      <w:r>
        <w:t>proceeds</w:t>
      </w:r>
      <w:r>
        <w:rPr>
          <w:spacing w:val="-10"/>
        </w:rPr>
        <w:t xml:space="preserve"> </w:t>
      </w:r>
      <w:r>
        <w:t>of</w:t>
      </w:r>
      <w:r>
        <w:rPr>
          <w:spacing w:val="-10"/>
        </w:rPr>
        <w:t xml:space="preserve"> </w:t>
      </w:r>
      <w:r>
        <w:t xml:space="preserve">asset </w:t>
      </w:r>
      <w:r>
        <w:rPr>
          <w:w w:val="95"/>
        </w:rPr>
        <w:t>sales,</w:t>
      </w:r>
      <w:r>
        <w:rPr>
          <w:spacing w:val="-5"/>
          <w:w w:val="95"/>
        </w:rPr>
        <w:t xml:space="preserve"> </w:t>
      </w:r>
      <w:r>
        <w:rPr>
          <w:w w:val="95"/>
        </w:rPr>
        <w:t>windfall</w:t>
      </w:r>
      <w:r>
        <w:rPr>
          <w:spacing w:val="-5"/>
          <w:w w:val="95"/>
        </w:rPr>
        <w:t xml:space="preserve"> </w:t>
      </w:r>
      <w:r>
        <w:rPr>
          <w:w w:val="95"/>
        </w:rPr>
        <w:t>revenues</w:t>
      </w:r>
      <w:r>
        <w:rPr>
          <w:spacing w:val="-5"/>
          <w:w w:val="95"/>
        </w:rPr>
        <w:t xml:space="preserve"> </w:t>
      </w:r>
      <w:r>
        <w:rPr>
          <w:w w:val="95"/>
        </w:rPr>
        <w:t>to</w:t>
      </w:r>
      <w:r>
        <w:rPr>
          <w:spacing w:val="-5"/>
          <w:w w:val="95"/>
        </w:rPr>
        <w:t xml:space="preserve"> </w:t>
      </w:r>
      <w:r>
        <w:rPr>
          <w:w w:val="95"/>
        </w:rPr>
        <w:t>Government</w:t>
      </w:r>
      <w:r>
        <w:rPr>
          <w:spacing w:val="-5"/>
          <w:w w:val="95"/>
        </w:rPr>
        <w:t xml:space="preserve"> </w:t>
      </w:r>
      <w:r>
        <w:rPr>
          <w:w w:val="95"/>
        </w:rPr>
        <w:t>and</w:t>
      </w:r>
      <w:r>
        <w:rPr>
          <w:spacing w:val="-5"/>
          <w:w w:val="95"/>
        </w:rPr>
        <w:t xml:space="preserve"> </w:t>
      </w:r>
      <w:r>
        <w:rPr>
          <w:w w:val="95"/>
        </w:rPr>
        <w:t xml:space="preserve">borrowings, </w:t>
      </w:r>
      <w:r>
        <w:t>including</w:t>
      </w:r>
      <w:r>
        <w:rPr>
          <w:spacing w:val="-14"/>
        </w:rPr>
        <w:t xml:space="preserve"> </w:t>
      </w:r>
      <w:r>
        <w:t>the</w:t>
      </w:r>
      <w:r>
        <w:rPr>
          <w:spacing w:val="-14"/>
        </w:rPr>
        <w:t xml:space="preserve"> </w:t>
      </w:r>
      <w:r>
        <w:t>issue</w:t>
      </w:r>
      <w:r>
        <w:rPr>
          <w:spacing w:val="-14"/>
        </w:rPr>
        <w:t xml:space="preserve"> </w:t>
      </w:r>
      <w:r>
        <w:t>of</w:t>
      </w:r>
      <w:r>
        <w:rPr>
          <w:spacing w:val="-14"/>
        </w:rPr>
        <w:t xml:space="preserve"> </w:t>
      </w:r>
      <w:r>
        <w:t>Waratah</w:t>
      </w:r>
      <w:r>
        <w:rPr>
          <w:spacing w:val="-13"/>
        </w:rPr>
        <w:t xml:space="preserve"> </w:t>
      </w:r>
      <w:r>
        <w:t>bonds.</w:t>
      </w:r>
      <w:r>
        <w:rPr>
          <w:spacing w:val="-14"/>
        </w:rPr>
        <w:t xml:space="preserve"> </w:t>
      </w:r>
      <w:r>
        <w:t>The</w:t>
      </w:r>
      <w:r>
        <w:rPr>
          <w:spacing w:val="-14"/>
        </w:rPr>
        <w:t xml:space="preserve"> </w:t>
      </w:r>
      <w:r>
        <w:t>divestment</w:t>
      </w:r>
    </w:p>
    <w:p w:rsidR="002C1123" w:rsidRDefault="00F22F94">
      <w:pPr>
        <w:pStyle w:val="BodyText"/>
        <w:spacing w:before="3" w:line="249" w:lineRule="auto"/>
        <w:ind w:left="186" w:right="739"/>
      </w:pPr>
      <w:r>
        <w:t>of</w:t>
      </w:r>
      <w:r>
        <w:rPr>
          <w:spacing w:val="-11"/>
        </w:rPr>
        <w:t xml:space="preserve"> </w:t>
      </w:r>
      <w:r>
        <w:t>assets</w:t>
      </w:r>
      <w:r>
        <w:rPr>
          <w:spacing w:val="-11"/>
        </w:rPr>
        <w:t xml:space="preserve"> </w:t>
      </w:r>
      <w:r>
        <w:t>for</w:t>
      </w:r>
      <w:r>
        <w:rPr>
          <w:spacing w:val="-11"/>
        </w:rPr>
        <w:t xml:space="preserve"> </w:t>
      </w:r>
      <w:r>
        <w:t>which</w:t>
      </w:r>
      <w:r>
        <w:rPr>
          <w:spacing w:val="-11"/>
        </w:rPr>
        <w:t xml:space="preserve"> </w:t>
      </w:r>
      <w:r>
        <w:t>there</w:t>
      </w:r>
      <w:r>
        <w:rPr>
          <w:spacing w:val="-11"/>
        </w:rPr>
        <w:t xml:space="preserve"> </w:t>
      </w:r>
      <w:r>
        <w:t>is</w:t>
      </w:r>
      <w:r>
        <w:rPr>
          <w:spacing w:val="-11"/>
        </w:rPr>
        <w:t xml:space="preserve"> </w:t>
      </w:r>
      <w:r>
        <w:t>private</w:t>
      </w:r>
      <w:r>
        <w:rPr>
          <w:spacing w:val="-11"/>
        </w:rPr>
        <w:t xml:space="preserve"> </w:t>
      </w:r>
      <w:r>
        <w:t>sector</w:t>
      </w:r>
      <w:r>
        <w:rPr>
          <w:spacing w:val="-11"/>
        </w:rPr>
        <w:t xml:space="preserve"> </w:t>
      </w:r>
      <w:r>
        <w:t xml:space="preserve">demand, </w:t>
      </w:r>
      <w:r>
        <w:rPr>
          <w:w w:val="95"/>
        </w:rPr>
        <w:t>including</w:t>
      </w:r>
      <w:r>
        <w:rPr>
          <w:spacing w:val="-2"/>
          <w:w w:val="95"/>
        </w:rPr>
        <w:t xml:space="preserve"> </w:t>
      </w:r>
      <w:r>
        <w:rPr>
          <w:w w:val="95"/>
        </w:rPr>
        <w:t>ports</w:t>
      </w:r>
      <w:r>
        <w:rPr>
          <w:spacing w:val="-2"/>
          <w:w w:val="95"/>
        </w:rPr>
        <w:t xml:space="preserve"> </w:t>
      </w:r>
      <w:r>
        <w:rPr>
          <w:w w:val="95"/>
        </w:rPr>
        <w:t>and</w:t>
      </w:r>
      <w:r>
        <w:rPr>
          <w:spacing w:val="-2"/>
          <w:w w:val="95"/>
        </w:rPr>
        <w:t xml:space="preserve"> </w:t>
      </w:r>
      <w:r>
        <w:rPr>
          <w:w w:val="95"/>
        </w:rPr>
        <w:t>electricity</w:t>
      </w:r>
      <w:r>
        <w:rPr>
          <w:spacing w:val="-2"/>
          <w:w w:val="95"/>
        </w:rPr>
        <w:t xml:space="preserve"> </w:t>
      </w:r>
      <w:r>
        <w:rPr>
          <w:w w:val="95"/>
        </w:rPr>
        <w:t>assets,</w:t>
      </w:r>
      <w:r>
        <w:rPr>
          <w:spacing w:val="-2"/>
          <w:w w:val="95"/>
        </w:rPr>
        <w:t xml:space="preserve"> </w:t>
      </w:r>
      <w:r>
        <w:rPr>
          <w:w w:val="95"/>
        </w:rPr>
        <w:t>will</w:t>
      </w:r>
      <w:r>
        <w:rPr>
          <w:spacing w:val="-2"/>
          <w:w w:val="95"/>
        </w:rPr>
        <w:t xml:space="preserve"> </w:t>
      </w:r>
      <w:r>
        <w:rPr>
          <w:w w:val="95"/>
        </w:rPr>
        <w:t>allow</w:t>
      </w:r>
      <w:r>
        <w:rPr>
          <w:spacing w:val="-2"/>
          <w:w w:val="95"/>
        </w:rPr>
        <w:t xml:space="preserve"> </w:t>
      </w:r>
      <w:r>
        <w:rPr>
          <w:w w:val="95"/>
        </w:rPr>
        <w:t xml:space="preserve">priority </w:t>
      </w:r>
      <w:r>
        <w:t>projects</w:t>
      </w:r>
      <w:r>
        <w:rPr>
          <w:spacing w:val="-7"/>
        </w:rPr>
        <w:t xml:space="preserve"> </w:t>
      </w:r>
      <w:r>
        <w:t>to</w:t>
      </w:r>
      <w:r>
        <w:rPr>
          <w:spacing w:val="-7"/>
        </w:rPr>
        <w:t xml:space="preserve"> </w:t>
      </w:r>
      <w:r>
        <w:t>move</w:t>
      </w:r>
      <w:r>
        <w:rPr>
          <w:spacing w:val="-7"/>
        </w:rPr>
        <w:t xml:space="preserve"> </w:t>
      </w:r>
      <w:r>
        <w:t>forward</w:t>
      </w:r>
      <w:r>
        <w:rPr>
          <w:spacing w:val="-7"/>
        </w:rPr>
        <w:t xml:space="preserve"> </w:t>
      </w:r>
      <w:r>
        <w:t>using</w:t>
      </w:r>
      <w:r>
        <w:rPr>
          <w:spacing w:val="-7"/>
        </w:rPr>
        <w:t xml:space="preserve"> </w:t>
      </w:r>
      <w:r>
        <w:t>Restart</w:t>
      </w:r>
      <w:r>
        <w:rPr>
          <w:spacing w:val="-7"/>
        </w:rPr>
        <w:t xml:space="preserve"> </w:t>
      </w:r>
      <w:r>
        <w:t>NSW.</w:t>
      </w:r>
    </w:p>
    <w:p w:rsidR="002C1123" w:rsidRDefault="00F22F94">
      <w:pPr>
        <w:pStyle w:val="BodyText"/>
        <w:spacing w:before="144" w:line="249" w:lineRule="auto"/>
        <w:ind w:left="186" w:right="203"/>
      </w:pPr>
      <w:r>
        <w:rPr>
          <w:w w:val="95"/>
        </w:rPr>
        <w:t>The</w:t>
      </w:r>
      <w:r>
        <w:rPr>
          <w:spacing w:val="-6"/>
          <w:w w:val="95"/>
        </w:rPr>
        <w:t xml:space="preserve"> </w:t>
      </w:r>
      <w:r>
        <w:rPr>
          <w:w w:val="95"/>
        </w:rPr>
        <w:t>objective</w:t>
      </w:r>
      <w:r>
        <w:rPr>
          <w:spacing w:val="-6"/>
          <w:w w:val="95"/>
        </w:rPr>
        <w:t xml:space="preserve"> </w:t>
      </w:r>
      <w:r>
        <w:rPr>
          <w:w w:val="95"/>
        </w:rPr>
        <w:t>of</w:t>
      </w:r>
      <w:r>
        <w:rPr>
          <w:spacing w:val="-6"/>
          <w:w w:val="95"/>
        </w:rPr>
        <w:t xml:space="preserve"> </w:t>
      </w:r>
      <w:r>
        <w:rPr>
          <w:w w:val="95"/>
        </w:rPr>
        <w:t>Restart</w:t>
      </w:r>
      <w:r>
        <w:rPr>
          <w:spacing w:val="-6"/>
          <w:w w:val="95"/>
        </w:rPr>
        <w:t xml:space="preserve"> </w:t>
      </w:r>
      <w:r>
        <w:rPr>
          <w:w w:val="95"/>
        </w:rPr>
        <w:t>NSW</w:t>
      </w:r>
      <w:r>
        <w:rPr>
          <w:spacing w:val="-6"/>
          <w:w w:val="95"/>
        </w:rPr>
        <w:t xml:space="preserve"> </w:t>
      </w:r>
      <w:r>
        <w:rPr>
          <w:w w:val="95"/>
        </w:rPr>
        <w:t>is</w:t>
      </w:r>
      <w:r>
        <w:rPr>
          <w:spacing w:val="-6"/>
          <w:w w:val="95"/>
        </w:rPr>
        <w:t xml:space="preserve"> </w:t>
      </w:r>
      <w:r>
        <w:rPr>
          <w:w w:val="95"/>
        </w:rPr>
        <w:t>to</w:t>
      </w:r>
      <w:r>
        <w:rPr>
          <w:spacing w:val="-6"/>
          <w:w w:val="95"/>
        </w:rPr>
        <w:t xml:space="preserve"> </w:t>
      </w:r>
      <w:r>
        <w:rPr>
          <w:w w:val="95"/>
        </w:rPr>
        <w:t>improve</w:t>
      </w:r>
      <w:r>
        <w:rPr>
          <w:spacing w:val="-6"/>
          <w:w w:val="95"/>
        </w:rPr>
        <w:t xml:space="preserve"> </w:t>
      </w:r>
      <w:r>
        <w:rPr>
          <w:w w:val="95"/>
        </w:rPr>
        <w:t>the</w:t>
      </w:r>
      <w:r>
        <w:rPr>
          <w:spacing w:val="-6"/>
          <w:w w:val="95"/>
        </w:rPr>
        <w:t xml:space="preserve"> </w:t>
      </w:r>
      <w:r>
        <w:rPr>
          <w:w w:val="95"/>
        </w:rPr>
        <w:t xml:space="preserve">economic growth and productivity of the State by funding essential </w:t>
      </w:r>
      <w:r>
        <w:t>infrastructure.</w:t>
      </w:r>
      <w:r>
        <w:rPr>
          <w:spacing w:val="-14"/>
        </w:rPr>
        <w:t xml:space="preserve"> </w:t>
      </w:r>
      <w:r>
        <w:t>Restart</w:t>
      </w:r>
      <w:r>
        <w:rPr>
          <w:spacing w:val="-14"/>
        </w:rPr>
        <w:t xml:space="preserve"> </w:t>
      </w:r>
      <w:r>
        <w:t>NSW</w:t>
      </w:r>
      <w:r>
        <w:rPr>
          <w:spacing w:val="-14"/>
        </w:rPr>
        <w:t xml:space="preserve"> </w:t>
      </w:r>
      <w:r>
        <w:t>will</w:t>
      </w:r>
      <w:r>
        <w:rPr>
          <w:spacing w:val="-14"/>
        </w:rPr>
        <w:t xml:space="preserve"> </w:t>
      </w:r>
      <w:r>
        <w:t>provide</w:t>
      </w:r>
      <w:r>
        <w:rPr>
          <w:spacing w:val="-14"/>
        </w:rPr>
        <w:t xml:space="preserve"> </w:t>
      </w:r>
      <w:r>
        <w:t>initial</w:t>
      </w:r>
      <w:r>
        <w:rPr>
          <w:spacing w:val="-14"/>
        </w:rPr>
        <w:t xml:space="preserve"> </w:t>
      </w:r>
      <w:r>
        <w:t>funding</w:t>
      </w:r>
    </w:p>
    <w:p w:rsidR="002C1123" w:rsidRDefault="00F22F94">
      <w:pPr>
        <w:pStyle w:val="BodyText"/>
        <w:spacing w:before="3" w:line="249" w:lineRule="auto"/>
        <w:ind w:left="186" w:right="911"/>
      </w:pPr>
      <w:r>
        <w:rPr>
          <w:w w:val="95"/>
        </w:rPr>
        <w:t>to</w:t>
      </w:r>
      <w:r>
        <w:rPr>
          <w:spacing w:val="-10"/>
          <w:w w:val="95"/>
        </w:rPr>
        <w:t xml:space="preserve"> </w:t>
      </w:r>
      <w:r>
        <w:rPr>
          <w:w w:val="95"/>
        </w:rPr>
        <w:t>accelerate</w:t>
      </w:r>
      <w:r>
        <w:rPr>
          <w:spacing w:val="-10"/>
          <w:w w:val="95"/>
        </w:rPr>
        <w:t xml:space="preserve"> </w:t>
      </w:r>
      <w:r>
        <w:rPr>
          <w:w w:val="95"/>
        </w:rPr>
        <w:t>the</w:t>
      </w:r>
      <w:r>
        <w:rPr>
          <w:spacing w:val="-10"/>
          <w:w w:val="95"/>
        </w:rPr>
        <w:t xml:space="preserve"> </w:t>
      </w:r>
      <w:r>
        <w:rPr>
          <w:w w:val="95"/>
        </w:rPr>
        <w:t>delivery</w:t>
      </w:r>
      <w:r>
        <w:rPr>
          <w:spacing w:val="-10"/>
          <w:w w:val="95"/>
        </w:rPr>
        <w:t xml:space="preserve"> </w:t>
      </w:r>
      <w:r>
        <w:rPr>
          <w:w w:val="95"/>
        </w:rPr>
        <w:t>of</w:t>
      </w:r>
      <w:r>
        <w:rPr>
          <w:spacing w:val="-10"/>
          <w:w w:val="95"/>
        </w:rPr>
        <w:t xml:space="preserve"> </w:t>
      </w:r>
      <w:r>
        <w:rPr>
          <w:w w:val="95"/>
        </w:rPr>
        <w:t>the</w:t>
      </w:r>
      <w:r>
        <w:rPr>
          <w:spacing w:val="-10"/>
          <w:w w:val="95"/>
        </w:rPr>
        <w:t xml:space="preserve"> </w:t>
      </w:r>
      <w:r>
        <w:rPr>
          <w:w w:val="95"/>
        </w:rPr>
        <w:t>priorities</w:t>
      </w:r>
      <w:r>
        <w:rPr>
          <w:spacing w:val="-10"/>
          <w:w w:val="95"/>
        </w:rPr>
        <w:t xml:space="preserve"> </w:t>
      </w:r>
      <w:r>
        <w:rPr>
          <w:w w:val="95"/>
        </w:rPr>
        <w:t>identified</w:t>
      </w:r>
      <w:r>
        <w:rPr>
          <w:spacing w:val="-10"/>
          <w:w w:val="95"/>
        </w:rPr>
        <w:t xml:space="preserve"> </w:t>
      </w:r>
      <w:r>
        <w:rPr>
          <w:w w:val="95"/>
        </w:rPr>
        <w:t xml:space="preserve">in </w:t>
      </w:r>
      <w:r>
        <w:t>the</w:t>
      </w:r>
      <w:r>
        <w:rPr>
          <w:spacing w:val="-11"/>
        </w:rPr>
        <w:t xml:space="preserve"> </w:t>
      </w:r>
      <w:r>
        <w:t>Strategy</w:t>
      </w:r>
      <w:r>
        <w:rPr>
          <w:position w:val="7"/>
          <w:sz w:val="11"/>
        </w:rPr>
        <w:t>6</w:t>
      </w:r>
      <w:r>
        <w:t>.</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290" w:space="40"/>
            <w:col w:w="4990" w:space="39"/>
            <w:col w:w="5701"/>
          </w:cols>
        </w:sectPr>
      </w:pPr>
    </w:p>
    <w:p w:rsidR="002C1123" w:rsidRDefault="002C1123">
      <w:pPr>
        <w:pStyle w:val="BodyText"/>
        <w:spacing w:before="5" w:after="1"/>
        <w:rPr>
          <w:sz w:val="16"/>
        </w:rPr>
      </w:pPr>
    </w:p>
    <w:p w:rsidR="002C1123" w:rsidRDefault="002060EF">
      <w:pPr>
        <w:pStyle w:val="BodyText"/>
        <w:spacing w:line="20" w:lineRule="exact"/>
        <w:ind w:left="5518"/>
        <w:rPr>
          <w:sz w:val="2"/>
        </w:rPr>
      </w:pPr>
      <w:r>
        <w:rPr>
          <w:sz w:val="2"/>
        </w:rPr>
      </w:r>
      <w:r>
        <w:rPr>
          <w:sz w:val="2"/>
        </w:rPr>
        <w:pict>
          <v:group id="docshapegroup2898" o:spid="_x0000_s1127" style="width:1in;height:.5pt;mso-position-horizontal-relative:char;mso-position-vertical-relative:line" coordsize="1440,10">
            <v:line id="_x0000_s1128" style="position:absolute" from="0,5" to="1440,5" strokecolor="#9c9c9d" strokeweight=".5pt"/>
            <w10:anchorlock/>
          </v:group>
        </w:pict>
      </w:r>
    </w:p>
    <w:p w:rsidR="002C1123" w:rsidRDefault="00F22F94">
      <w:pPr>
        <w:pStyle w:val="ListParagraph"/>
        <w:numPr>
          <w:ilvl w:val="0"/>
          <w:numId w:val="1"/>
        </w:numPr>
        <w:tabs>
          <w:tab w:val="left" w:pos="5718"/>
          <w:tab w:val="left" w:pos="10545"/>
          <w:tab w:val="left" w:pos="11985"/>
        </w:tabs>
        <w:spacing w:before="8" w:line="156" w:lineRule="exact"/>
        <w:ind w:left="5717" w:hanging="200"/>
        <w:jc w:val="left"/>
        <w:rPr>
          <w:sz w:val="14"/>
        </w:rPr>
      </w:pPr>
      <w:r>
        <w:rPr>
          <w:w w:val="95"/>
          <w:sz w:val="14"/>
        </w:rPr>
        <w:t>Infrastructure</w:t>
      </w:r>
      <w:r>
        <w:rPr>
          <w:spacing w:val="1"/>
          <w:sz w:val="14"/>
        </w:rPr>
        <w:t xml:space="preserve"> </w:t>
      </w:r>
      <w:r>
        <w:rPr>
          <w:w w:val="95"/>
          <w:sz w:val="14"/>
        </w:rPr>
        <w:t>Australia</w:t>
      </w:r>
      <w:r>
        <w:rPr>
          <w:spacing w:val="2"/>
          <w:sz w:val="14"/>
        </w:rPr>
        <w:t xml:space="preserve"> </w:t>
      </w:r>
      <w:r>
        <w:rPr>
          <w:w w:val="95"/>
          <w:sz w:val="14"/>
        </w:rPr>
        <w:t>2012,</w:t>
      </w:r>
      <w:r>
        <w:rPr>
          <w:spacing w:val="2"/>
          <w:sz w:val="14"/>
        </w:rPr>
        <w:t xml:space="preserve"> </w:t>
      </w:r>
      <w:r>
        <w:rPr>
          <w:w w:val="95"/>
          <w:sz w:val="14"/>
        </w:rPr>
        <w:t>Progress</w:t>
      </w:r>
      <w:r>
        <w:rPr>
          <w:spacing w:val="2"/>
          <w:sz w:val="14"/>
        </w:rPr>
        <w:t xml:space="preserve"> </w:t>
      </w:r>
      <w:r>
        <w:rPr>
          <w:w w:val="95"/>
          <w:sz w:val="14"/>
        </w:rPr>
        <w:t>and</w:t>
      </w:r>
      <w:r>
        <w:rPr>
          <w:spacing w:val="2"/>
          <w:sz w:val="14"/>
        </w:rPr>
        <w:t xml:space="preserve"> </w:t>
      </w:r>
      <w:r>
        <w:rPr>
          <w:w w:val="95"/>
          <w:sz w:val="14"/>
        </w:rPr>
        <w:t>Action</w:t>
      </w:r>
      <w:r>
        <w:rPr>
          <w:spacing w:val="2"/>
          <w:sz w:val="14"/>
        </w:rPr>
        <w:t xml:space="preserve"> </w:t>
      </w:r>
      <w:r>
        <w:rPr>
          <w:w w:val="95"/>
          <w:sz w:val="14"/>
        </w:rPr>
        <w:t>Report</w:t>
      </w:r>
      <w:r>
        <w:rPr>
          <w:spacing w:val="2"/>
          <w:sz w:val="14"/>
        </w:rPr>
        <w:t xml:space="preserve"> </w:t>
      </w:r>
      <w:r>
        <w:rPr>
          <w:w w:val="95"/>
          <w:sz w:val="14"/>
        </w:rPr>
        <w:t>to</w:t>
      </w:r>
      <w:r>
        <w:rPr>
          <w:spacing w:val="2"/>
          <w:sz w:val="14"/>
        </w:rPr>
        <w:t xml:space="preserve"> </w:t>
      </w:r>
      <w:r>
        <w:rPr>
          <w:w w:val="95"/>
          <w:sz w:val="14"/>
        </w:rPr>
        <w:t>Council</w:t>
      </w:r>
      <w:r>
        <w:rPr>
          <w:spacing w:val="2"/>
          <w:sz w:val="14"/>
        </w:rPr>
        <w:t xml:space="preserve"> </w:t>
      </w:r>
      <w:r>
        <w:rPr>
          <w:spacing w:val="-5"/>
          <w:w w:val="95"/>
          <w:sz w:val="14"/>
        </w:rPr>
        <w:t>of</w:t>
      </w:r>
      <w:r>
        <w:rPr>
          <w:sz w:val="14"/>
        </w:rPr>
        <w:tab/>
      </w:r>
      <w:r>
        <w:rPr>
          <w:sz w:val="14"/>
          <w:u w:val="single" w:color="9C9C9D"/>
        </w:rPr>
        <w:tab/>
      </w:r>
    </w:p>
    <w:p w:rsidR="002C1123" w:rsidRDefault="00F22F94">
      <w:pPr>
        <w:tabs>
          <w:tab w:val="left" w:pos="10545"/>
        </w:tabs>
        <w:spacing w:before="4"/>
        <w:ind w:left="5717"/>
        <w:rPr>
          <w:sz w:val="14"/>
        </w:rPr>
      </w:pPr>
      <w:r>
        <w:rPr>
          <w:w w:val="90"/>
          <w:sz w:val="14"/>
        </w:rPr>
        <w:t>Australian</w:t>
      </w:r>
      <w:r>
        <w:rPr>
          <w:spacing w:val="28"/>
          <w:sz w:val="14"/>
        </w:rPr>
        <w:t xml:space="preserve"> </w:t>
      </w:r>
      <w:r>
        <w:rPr>
          <w:spacing w:val="-2"/>
          <w:w w:val="95"/>
          <w:sz w:val="14"/>
        </w:rPr>
        <w:t>Governments.</w:t>
      </w:r>
      <w:r>
        <w:rPr>
          <w:sz w:val="14"/>
        </w:rPr>
        <w:tab/>
      </w:r>
      <w:r>
        <w:rPr>
          <w:w w:val="95"/>
          <w:sz w:val="14"/>
        </w:rPr>
        <w:t>6</w:t>
      </w:r>
      <w:r>
        <w:rPr>
          <w:spacing w:val="75"/>
          <w:w w:val="150"/>
          <w:sz w:val="14"/>
        </w:rPr>
        <w:t xml:space="preserve"> </w:t>
      </w:r>
      <w:r>
        <w:rPr>
          <w:w w:val="95"/>
          <w:sz w:val="14"/>
        </w:rPr>
        <w:t>Restart</w:t>
      </w:r>
      <w:r>
        <w:rPr>
          <w:spacing w:val="-3"/>
          <w:w w:val="95"/>
          <w:sz w:val="14"/>
        </w:rPr>
        <w:t xml:space="preserve"> </w:t>
      </w:r>
      <w:r>
        <w:rPr>
          <w:w w:val="95"/>
          <w:sz w:val="14"/>
        </w:rPr>
        <w:t>NSW,</w:t>
      </w:r>
      <w:r>
        <w:rPr>
          <w:spacing w:val="-4"/>
          <w:w w:val="95"/>
          <w:sz w:val="14"/>
        </w:rPr>
        <w:t xml:space="preserve"> </w:t>
      </w:r>
      <w:r>
        <w:rPr>
          <w:w w:val="95"/>
          <w:sz w:val="14"/>
        </w:rPr>
        <w:t>Fund</w:t>
      </w:r>
      <w:r>
        <w:rPr>
          <w:spacing w:val="-3"/>
          <w:w w:val="95"/>
          <w:sz w:val="14"/>
        </w:rPr>
        <w:t xml:space="preserve"> </w:t>
      </w:r>
      <w:r>
        <w:rPr>
          <w:w w:val="95"/>
          <w:sz w:val="14"/>
        </w:rPr>
        <w:t>Act</w:t>
      </w:r>
      <w:r>
        <w:rPr>
          <w:spacing w:val="-3"/>
          <w:w w:val="95"/>
          <w:sz w:val="14"/>
        </w:rPr>
        <w:t xml:space="preserve"> </w:t>
      </w:r>
      <w:r>
        <w:rPr>
          <w:spacing w:val="-4"/>
          <w:w w:val="95"/>
          <w:sz w:val="14"/>
        </w:rPr>
        <w:t>2011.</w:t>
      </w:r>
    </w:p>
    <w:p w:rsidR="002C1123" w:rsidRDefault="002C1123">
      <w:pPr>
        <w:rPr>
          <w:sz w:val="14"/>
        </w:rPr>
        <w:sectPr w:rsidR="002C1123">
          <w:type w:val="continuous"/>
          <w:pgSz w:w="16840" w:h="11910" w:orient="landscape"/>
          <w:pgMar w:top="560" w:right="280" w:bottom="280" w:left="500" w:header="0" w:footer="517" w:gutter="0"/>
          <w:cols w:space="720"/>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3"/>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2C1123">
      <w:pPr>
        <w:pStyle w:val="BodyText"/>
        <w:spacing w:before="3"/>
        <w:rPr>
          <w:sz w:val="13"/>
        </w:rPr>
      </w:pPr>
    </w:p>
    <w:p w:rsidR="002C1123" w:rsidRDefault="002060EF">
      <w:pPr>
        <w:pStyle w:val="BodyText"/>
        <w:ind w:left="492" w:right="-58"/>
      </w:pPr>
      <w:r>
        <w:pict>
          <v:shape id="docshape2899" o:spid="_x0000_s5254" type="#_x0000_t202" style="width:240pt;height:57.35pt;mso-left-percent:-10001;mso-top-percent:-10001;mso-position-horizontal:absolute;mso-position-horizontal-relative:char;mso-position-vertical:absolute;mso-position-vertical-relative:line;mso-left-percent:-10001;mso-top-percent:-10001" fillcolor="#e1e0e1" stroked="f">
            <v:textbox inset="0,0,0,0">
              <w:txbxContent>
                <w:p w:rsidR="00F22F94" w:rsidRDefault="00F22F94">
                  <w:pPr>
                    <w:pStyle w:val="BodyText"/>
                    <w:spacing w:before="68" w:line="249" w:lineRule="auto"/>
                    <w:ind w:left="113" w:right="122"/>
                    <w:rPr>
                      <w:color w:val="000000"/>
                    </w:rPr>
                  </w:pPr>
                  <w:bookmarkStart w:id="402" w:name="_bookmark286"/>
                  <w:bookmarkEnd w:id="402"/>
                  <w:r>
                    <w:rPr>
                      <w:b/>
                      <w:color w:val="00AEEF"/>
                      <w:w w:val="95"/>
                    </w:rPr>
                    <w:t>Recommendation</w:t>
                  </w:r>
                  <w:r>
                    <w:rPr>
                      <w:b/>
                      <w:color w:val="00AEEF"/>
                      <w:spacing w:val="40"/>
                    </w:rPr>
                    <w:t xml:space="preserve"> </w:t>
                  </w:r>
                  <w:r>
                    <w:rPr>
                      <w:color w:val="000000"/>
                      <w:w w:val="95"/>
                    </w:rPr>
                    <w:t xml:space="preserve">As the Government’s asset sales </w:t>
                  </w:r>
                  <w:r>
                    <w:rPr>
                      <w:color w:val="000000"/>
                    </w:rPr>
                    <w:t>program proceeds, Infrastructure NSW will provide advice</w:t>
                  </w:r>
                  <w:r>
                    <w:rPr>
                      <w:color w:val="000000"/>
                      <w:spacing w:val="-11"/>
                    </w:rPr>
                    <w:t xml:space="preserve"> </w:t>
                  </w:r>
                  <w:r>
                    <w:rPr>
                      <w:color w:val="000000"/>
                    </w:rPr>
                    <w:t>to</w:t>
                  </w:r>
                  <w:r>
                    <w:rPr>
                      <w:color w:val="000000"/>
                      <w:spacing w:val="-11"/>
                    </w:rPr>
                    <w:t xml:space="preserve"> </w:t>
                  </w:r>
                  <w:r>
                    <w:rPr>
                      <w:color w:val="000000"/>
                    </w:rPr>
                    <w:t>Government</w:t>
                  </w:r>
                  <w:r>
                    <w:rPr>
                      <w:color w:val="000000"/>
                      <w:spacing w:val="-11"/>
                    </w:rPr>
                    <w:t xml:space="preserve"> </w:t>
                  </w:r>
                  <w:r>
                    <w:rPr>
                      <w:color w:val="000000"/>
                    </w:rPr>
                    <w:t>on</w:t>
                  </w:r>
                  <w:r>
                    <w:rPr>
                      <w:color w:val="000000"/>
                      <w:spacing w:val="-11"/>
                    </w:rPr>
                    <w:t xml:space="preserve"> </w:t>
                  </w:r>
                  <w:r>
                    <w:rPr>
                      <w:color w:val="000000"/>
                    </w:rPr>
                    <w:t>the</w:t>
                  </w:r>
                  <w:r>
                    <w:rPr>
                      <w:color w:val="000000"/>
                      <w:spacing w:val="-11"/>
                    </w:rPr>
                    <w:t xml:space="preserve"> </w:t>
                  </w:r>
                  <w:r>
                    <w:rPr>
                      <w:color w:val="000000"/>
                    </w:rPr>
                    <w:t>use</w:t>
                  </w:r>
                  <w:r>
                    <w:rPr>
                      <w:color w:val="000000"/>
                      <w:spacing w:val="-11"/>
                    </w:rPr>
                    <w:t xml:space="preserve"> </w:t>
                  </w:r>
                  <w:r>
                    <w:rPr>
                      <w:color w:val="000000"/>
                    </w:rPr>
                    <w:t>of</w:t>
                  </w:r>
                  <w:r>
                    <w:rPr>
                      <w:color w:val="000000"/>
                      <w:spacing w:val="-11"/>
                    </w:rPr>
                    <w:t xml:space="preserve"> </w:t>
                  </w:r>
                  <w:r>
                    <w:rPr>
                      <w:color w:val="000000"/>
                    </w:rPr>
                    <w:t>Restart</w:t>
                  </w:r>
                  <w:r>
                    <w:rPr>
                      <w:color w:val="000000"/>
                      <w:spacing w:val="-11"/>
                    </w:rPr>
                    <w:t xml:space="preserve"> </w:t>
                  </w:r>
                  <w:r>
                    <w:rPr>
                      <w:color w:val="000000"/>
                    </w:rPr>
                    <w:t>NSW</w:t>
                  </w:r>
                  <w:r>
                    <w:rPr>
                      <w:color w:val="000000"/>
                      <w:spacing w:val="-11"/>
                    </w:rPr>
                    <w:t xml:space="preserve"> </w:t>
                  </w:r>
                  <w:r>
                    <w:rPr>
                      <w:color w:val="000000"/>
                    </w:rPr>
                    <w:t>to fund the delivery of the prioritised projects.</w:t>
                  </w:r>
                </w:p>
              </w:txbxContent>
            </v:textbox>
            <w10:anchorlock/>
          </v:shape>
        </w:pict>
      </w:r>
    </w:p>
    <w:p w:rsidR="002C1123" w:rsidRDefault="002C1123">
      <w:pPr>
        <w:pStyle w:val="BodyText"/>
        <w:spacing w:before="2"/>
      </w:pPr>
    </w:p>
    <w:p w:rsidR="002C1123" w:rsidRDefault="00F22F94">
      <w:pPr>
        <w:pStyle w:val="Heading6"/>
        <w:spacing w:before="0"/>
        <w:ind w:left="492"/>
      </w:pPr>
      <w:r>
        <w:t>Reduction</w:t>
      </w:r>
      <w:r>
        <w:rPr>
          <w:spacing w:val="-13"/>
        </w:rPr>
        <w:t xml:space="preserve"> </w:t>
      </w:r>
      <w:r>
        <w:t>of</w:t>
      </w:r>
      <w:r>
        <w:rPr>
          <w:spacing w:val="-13"/>
        </w:rPr>
        <w:t xml:space="preserve"> </w:t>
      </w:r>
      <w:r>
        <w:t>public</w:t>
      </w:r>
      <w:r>
        <w:rPr>
          <w:spacing w:val="-13"/>
        </w:rPr>
        <w:t xml:space="preserve"> </w:t>
      </w:r>
      <w:r>
        <w:t>transport</w:t>
      </w:r>
      <w:r>
        <w:rPr>
          <w:spacing w:val="-13"/>
        </w:rPr>
        <w:t xml:space="preserve"> </w:t>
      </w:r>
      <w:r>
        <w:rPr>
          <w:spacing w:val="-2"/>
        </w:rPr>
        <w:t>subsidies</w:t>
      </w:r>
    </w:p>
    <w:p w:rsidR="002C1123" w:rsidRDefault="00F22F94">
      <w:pPr>
        <w:pStyle w:val="BodyText"/>
        <w:spacing w:before="10" w:line="249" w:lineRule="auto"/>
        <w:ind w:left="492"/>
      </w:pPr>
      <w:r>
        <w:t>The</w:t>
      </w:r>
      <w:r>
        <w:rPr>
          <w:spacing w:val="-11"/>
        </w:rPr>
        <w:t xml:space="preserve"> </w:t>
      </w:r>
      <w:r>
        <w:t>rationale</w:t>
      </w:r>
      <w:r>
        <w:rPr>
          <w:spacing w:val="-11"/>
        </w:rPr>
        <w:t xml:space="preserve"> </w:t>
      </w:r>
      <w:r>
        <w:t>for</w:t>
      </w:r>
      <w:r>
        <w:rPr>
          <w:spacing w:val="-11"/>
        </w:rPr>
        <w:t xml:space="preserve"> </w:t>
      </w:r>
      <w:r>
        <w:t>subsidising</w:t>
      </w:r>
      <w:r>
        <w:rPr>
          <w:spacing w:val="-11"/>
        </w:rPr>
        <w:t xml:space="preserve"> </w:t>
      </w:r>
      <w:r>
        <w:t>public</w:t>
      </w:r>
      <w:r>
        <w:rPr>
          <w:spacing w:val="-11"/>
        </w:rPr>
        <w:t xml:space="preserve"> </w:t>
      </w:r>
      <w:r>
        <w:t>transport</w:t>
      </w:r>
      <w:r>
        <w:rPr>
          <w:spacing w:val="-11"/>
        </w:rPr>
        <w:t xml:space="preserve"> </w:t>
      </w:r>
      <w:r>
        <w:t>is</w:t>
      </w:r>
      <w:r>
        <w:rPr>
          <w:spacing w:val="-11"/>
        </w:rPr>
        <w:t xml:space="preserve"> </w:t>
      </w:r>
      <w:r>
        <w:t xml:space="preserve">that </w:t>
      </w:r>
      <w:r>
        <w:rPr>
          <w:w w:val="95"/>
        </w:rPr>
        <w:t>many</w:t>
      </w:r>
      <w:r>
        <w:rPr>
          <w:spacing w:val="-5"/>
          <w:w w:val="95"/>
        </w:rPr>
        <w:t xml:space="preserve"> </w:t>
      </w:r>
      <w:r>
        <w:rPr>
          <w:w w:val="95"/>
        </w:rPr>
        <w:t>of</w:t>
      </w:r>
      <w:r>
        <w:rPr>
          <w:spacing w:val="-5"/>
          <w:w w:val="95"/>
        </w:rPr>
        <w:t xml:space="preserve"> </w:t>
      </w:r>
      <w:r>
        <w:rPr>
          <w:w w:val="95"/>
        </w:rPr>
        <w:t>the</w:t>
      </w:r>
      <w:r>
        <w:rPr>
          <w:spacing w:val="-5"/>
          <w:w w:val="95"/>
        </w:rPr>
        <w:t xml:space="preserve"> </w:t>
      </w:r>
      <w:r>
        <w:rPr>
          <w:w w:val="95"/>
        </w:rPr>
        <w:t>benefits</w:t>
      </w:r>
      <w:r>
        <w:rPr>
          <w:spacing w:val="-5"/>
          <w:w w:val="95"/>
        </w:rPr>
        <w:t xml:space="preserve"> </w:t>
      </w:r>
      <w:r>
        <w:rPr>
          <w:w w:val="95"/>
        </w:rPr>
        <w:t>flow</w:t>
      </w:r>
      <w:r>
        <w:rPr>
          <w:spacing w:val="-5"/>
          <w:w w:val="95"/>
        </w:rPr>
        <w:t xml:space="preserve"> </w:t>
      </w:r>
      <w:r>
        <w:rPr>
          <w:w w:val="95"/>
        </w:rPr>
        <w:t>to</w:t>
      </w:r>
      <w:r>
        <w:rPr>
          <w:spacing w:val="-5"/>
          <w:w w:val="95"/>
        </w:rPr>
        <w:t xml:space="preserve"> </w:t>
      </w:r>
      <w:r>
        <w:rPr>
          <w:w w:val="95"/>
        </w:rPr>
        <w:t>the</w:t>
      </w:r>
      <w:r>
        <w:rPr>
          <w:spacing w:val="-5"/>
          <w:w w:val="95"/>
        </w:rPr>
        <w:t xml:space="preserve"> </w:t>
      </w:r>
      <w:r>
        <w:rPr>
          <w:w w:val="95"/>
        </w:rPr>
        <w:t>wider</w:t>
      </w:r>
      <w:r>
        <w:rPr>
          <w:spacing w:val="-5"/>
          <w:w w:val="95"/>
        </w:rPr>
        <w:t xml:space="preserve"> </w:t>
      </w:r>
      <w:r>
        <w:rPr>
          <w:w w:val="95"/>
        </w:rPr>
        <w:t>community,</w:t>
      </w:r>
      <w:r>
        <w:rPr>
          <w:spacing w:val="-5"/>
          <w:w w:val="95"/>
        </w:rPr>
        <w:t xml:space="preserve"> </w:t>
      </w:r>
      <w:r>
        <w:rPr>
          <w:w w:val="95"/>
        </w:rPr>
        <w:t xml:space="preserve">rather </w:t>
      </w:r>
      <w:r>
        <w:t>than</w:t>
      </w:r>
      <w:r>
        <w:rPr>
          <w:spacing w:val="-14"/>
        </w:rPr>
        <w:t xml:space="preserve"> </w:t>
      </w:r>
      <w:r>
        <w:t>to</w:t>
      </w:r>
      <w:r>
        <w:rPr>
          <w:spacing w:val="-14"/>
        </w:rPr>
        <w:t xml:space="preserve"> </w:t>
      </w:r>
      <w:r>
        <w:t>the</w:t>
      </w:r>
      <w:r>
        <w:rPr>
          <w:spacing w:val="-14"/>
        </w:rPr>
        <w:t xml:space="preserve"> </w:t>
      </w:r>
      <w:r>
        <w:t>user.</w:t>
      </w:r>
      <w:r>
        <w:rPr>
          <w:spacing w:val="-14"/>
        </w:rPr>
        <w:t xml:space="preserve"> </w:t>
      </w:r>
      <w:r>
        <w:t>For</w:t>
      </w:r>
      <w:r>
        <w:rPr>
          <w:spacing w:val="-14"/>
        </w:rPr>
        <w:t xml:space="preserve"> </w:t>
      </w:r>
      <w:r>
        <w:t>example,</w:t>
      </w:r>
      <w:r>
        <w:rPr>
          <w:spacing w:val="-14"/>
        </w:rPr>
        <w:t xml:space="preserve"> </w:t>
      </w:r>
      <w:r>
        <w:t>road</w:t>
      </w:r>
      <w:r>
        <w:rPr>
          <w:spacing w:val="-14"/>
        </w:rPr>
        <w:t xml:space="preserve"> </w:t>
      </w:r>
      <w:r>
        <w:t>congestion</w:t>
      </w:r>
      <w:r>
        <w:rPr>
          <w:spacing w:val="-14"/>
        </w:rPr>
        <w:t xml:space="preserve"> </w:t>
      </w:r>
      <w:r>
        <w:t>can</w:t>
      </w:r>
      <w:r>
        <w:rPr>
          <w:spacing w:val="-14"/>
        </w:rPr>
        <w:t xml:space="preserve"> </w:t>
      </w:r>
      <w:r>
        <w:t xml:space="preserve">be </w:t>
      </w:r>
      <w:r>
        <w:rPr>
          <w:w w:val="95"/>
        </w:rPr>
        <w:t>reduced if commuters adopt public transport. However, the</w:t>
      </w:r>
      <w:r>
        <w:rPr>
          <w:spacing w:val="-1"/>
          <w:w w:val="95"/>
        </w:rPr>
        <w:t xml:space="preserve"> </w:t>
      </w:r>
      <w:r>
        <w:rPr>
          <w:w w:val="95"/>
        </w:rPr>
        <w:t>level</w:t>
      </w:r>
      <w:r>
        <w:rPr>
          <w:spacing w:val="-1"/>
          <w:w w:val="95"/>
        </w:rPr>
        <w:t xml:space="preserve"> </w:t>
      </w:r>
      <w:r>
        <w:rPr>
          <w:w w:val="95"/>
        </w:rPr>
        <w:t>of</w:t>
      </w:r>
      <w:r>
        <w:rPr>
          <w:spacing w:val="-1"/>
          <w:w w:val="95"/>
        </w:rPr>
        <w:t xml:space="preserve"> </w:t>
      </w:r>
      <w:r>
        <w:rPr>
          <w:w w:val="95"/>
        </w:rPr>
        <w:t>public</w:t>
      </w:r>
      <w:r>
        <w:rPr>
          <w:spacing w:val="-1"/>
          <w:w w:val="95"/>
        </w:rPr>
        <w:t xml:space="preserve"> </w:t>
      </w:r>
      <w:r>
        <w:rPr>
          <w:w w:val="95"/>
        </w:rPr>
        <w:t>transport</w:t>
      </w:r>
      <w:r>
        <w:rPr>
          <w:spacing w:val="-1"/>
          <w:w w:val="95"/>
        </w:rPr>
        <w:t xml:space="preserve"> </w:t>
      </w:r>
      <w:r>
        <w:rPr>
          <w:w w:val="95"/>
        </w:rPr>
        <w:t>subsidy</w:t>
      </w:r>
      <w:r>
        <w:rPr>
          <w:spacing w:val="-1"/>
          <w:w w:val="95"/>
        </w:rPr>
        <w:t xml:space="preserve"> </w:t>
      </w:r>
      <w:r>
        <w:rPr>
          <w:w w:val="95"/>
        </w:rPr>
        <w:t>in</w:t>
      </w:r>
      <w:r>
        <w:rPr>
          <w:spacing w:val="-1"/>
          <w:w w:val="95"/>
        </w:rPr>
        <w:t xml:space="preserve"> </w:t>
      </w:r>
      <w:r>
        <w:rPr>
          <w:w w:val="95"/>
        </w:rPr>
        <w:t>NSW</w:t>
      </w:r>
      <w:r>
        <w:rPr>
          <w:spacing w:val="-1"/>
          <w:w w:val="95"/>
        </w:rPr>
        <w:t xml:space="preserve"> </w:t>
      </w:r>
      <w:r>
        <w:rPr>
          <w:w w:val="95"/>
        </w:rPr>
        <w:t>is</w:t>
      </w:r>
      <w:r>
        <w:rPr>
          <w:spacing w:val="-1"/>
          <w:w w:val="95"/>
        </w:rPr>
        <w:t xml:space="preserve"> </w:t>
      </w:r>
      <w:r>
        <w:rPr>
          <w:w w:val="95"/>
        </w:rPr>
        <w:t>very</w:t>
      </w:r>
      <w:r>
        <w:rPr>
          <w:spacing w:val="-1"/>
          <w:w w:val="95"/>
        </w:rPr>
        <w:t xml:space="preserve"> </w:t>
      </w:r>
      <w:r>
        <w:rPr>
          <w:w w:val="95"/>
        </w:rPr>
        <w:t xml:space="preserve">high </w:t>
      </w:r>
      <w:r>
        <w:t>by international standards.</w:t>
      </w:r>
    </w:p>
    <w:p w:rsidR="002C1123" w:rsidRDefault="00F22F94">
      <w:pPr>
        <w:pStyle w:val="BodyText"/>
        <w:spacing w:before="147"/>
        <w:ind w:left="492"/>
      </w:pPr>
      <w:r>
        <w:rPr>
          <w:w w:val="95"/>
        </w:rPr>
        <w:t>As</w:t>
      </w:r>
      <w:r>
        <w:rPr>
          <w:spacing w:val="-5"/>
          <w:w w:val="95"/>
        </w:rPr>
        <w:t xml:space="preserve"> </w:t>
      </w:r>
      <w:r>
        <w:rPr>
          <w:w w:val="95"/>
        </w:rPr>
        <w:t>noted</w:t>
      </w:r>
      <w:r>
        <w:rPr>
          <w:spacing w:val="-5"/>
          <w:w w:val="95"/>
        </w:rPr>
        <w:t xml:space="preserve"> </w:t>
      </w:r>
      <w:r>
        <w:rPr>
          <w:w w:val="95"/>
        </w:rPr>
        <w:t>by</w:t>
      </w:r>
      <w:r>
        <w:rPr>
          <w:spacing w:val="-5"/>
          <w:w w:val="95"/>
        </w:rPr>
        <w:t xml:space="preserve"> </w:t>
      </w:r>
      <w:r>
        <w:rPr>
          <w:w w:val="95"/>
        </w:rPr>
        <w:t>the</w:t>
      </w:r>
      <w:r>
        <w:rPr>
          <w:spacing w:val="-5"/>
          <w:w w:val="95"/>
        </w:rPr>
        <w:t xml:space="preserve"> </w:t>
      </w:r>
      <w:r>
        <w:rPr>
          <w:w w:val="95"/>
        </w:rPr>
        <w:t>Commission</w:t>
      </w:r>
      <w:r>
        <w:rPr>
          <w:spacing w:val="-5"/>
          <w:w w:val="95"/>
        </w:rPr>
        <w:t xml:space="preserve"> </w:t>
      </w:r>
      <w:r>
        <w:rPr>
          <w:w w:val="95"/>
        </w:rPr>
        <w:t>of</w:t>
      </w:r>
      <w:r>
        <w:rPr>
          <w:spacing w:val="-5"/>
          <w:w w:val="95"/>
        </w:rPr>
        <w:t xml:space="preserve"> </w:t>
      </w:r>
      <w:r>
        <w:rPr>
          <w:w w:val="95"/>
        </w:rPr>
        <w:t>Audit,</w:t>
      </w:r>
      <w:r>
        <w:rPr>
          <w:spacing w:val="-5"/>
          <w:w w:val="95"/>
        </w:rPr>
        <w:t xml:space="preserve"> </w:t>
      </w:r>
      <w:r>
        <w:rPr>
          <w:w w:val="95"/>
        </w:rPr>
        <w:t>only</w:t>
      </w:r>
      <w:r>
        <w:rPr>
          <w:spacing w:val="-5"/>
          <w:w w:val="95"/>
        </w:rPr>
        <w:t xml:space="preserve"> </w:t>
      </w:r>
      <w:r>
        <w:rPr>
          <w:spacing w:val="-2"/>
          <w:w w:val="95"/>
        </w:rPr>
        <w:t>around</w:t>
      </w:r>
    </w:p>
    <w:p w:rsidR="002C1123" w:rsidRDefault="00F22F94">
      <w:pPr>
        <w:pStyle w:val="BodyText"/>
        <w:spacing w:before="10" w:line="249" w:lineRule="auto"/>
        <w:ind w:left="492"/>
      </w:pPr>
      <w:r>
        <w:rPr>
          <w:w w:val="95"/>
        </w:rPr>
        <w:t>20</w:t>
      </w:r>
      <w:r>
        <w:rPr>
          <w:spacing w:val="-3"/>
          <w:w w:val="95"/>
        </w:rPr>
        <w:t xml:space="preserve"> </w:t>
      </w:r>
      <w:r>
        <w:rPr>
          <w:w w:val="95"/>
        </w:rPr>
        <w:t>percent</w:t>
      </w:r>
      <w:r>
        <w:rPr>
          <w:spacing w:val="-3"/>
          <w:w w:val="95"/>
        </w:rPr>
        <w:t xml:space="preserve"> </w:t>
      </w:r>
      <w:r>
        <w:rPr>
          <w:w w:val="95"/>
        </w:rPr>
        <w:t>of</w:t>
      </w:r>
      <w:r>
        <w:rPr>
          <w:spacing w:val="-3"/>
          <w:w w:val="95"/>
        </w:rPr>
        <w:t xml:space="preserve"> </w:t>
      </w:r>
      <w:r>
        <w:rPr>
          <w:w w:val="95"/>
        </w:rPr>
        <w:t>the</w:t>
      </w:r>
      <w:r>
        <w:rPr>
          <w:spacing w:val="-3"/>
          <w:w w:val="95"/>
        </w:rPr>
        <w:t xml:space="preserve"> </w:t>
      </w:r>
      <w:r>
        <w:rPr>
          <w:w w:val="95"/>
        </w:rPr>
        <w:t>urban</w:t>
      </w:r>
      <w:r>
        <w:rPr>
          <w:spacing w:val="-3"/>
          <w:w w:val="95"/>
        </w:rPr>
        <w:t xml:space="preserve"> </w:t>
      </w:r>
      <w:r>
        <w:rPr>
          <w:w w:val="95"/>
        </w:rPr>
        <w:t>rail</w:t>
      </w:r>
      <w:r>
        <w:rPr>
          <w:spacing w:val="-3"/>
          <w:w w:val="95"/>
        </w:rPr>
        <w:t xml:space="preserve"> </w:t>
      </w:r>
      <w:r>
        <w:rPr>
          <w:w w:val="95"/>
        </w:rPr>
        <w:t>network’s</w:t>
      </w:r>
      <w:r>
        <w:rPr>
          <w:spacing w:val="-3"/>
          <w:w w:val="95"/>
        </w:rPr>
        <w:t xml:space="preserve"> </w:t>
      </w:r>
      <w:r>
        <w:rPr>
          <w:w w:val="95"/>
        </w:rPr>
        <w:t>costs</w:t>
      </w:r>
      <w:r>
        <w:rPr>
          <w:spacing w:val="-3"/>
          <w:w w:val="95"/>
        </w:rPr>
        <w:t xml:space="preserve"> </w:t>
      </w:r>
      <w:r>
        <w:rPr>
          <w:w w:val="95"/>
        </w:rPr>
        <w:t>are</w:t>
      </w:r>
      <w:r>
        <w:rPr>
          <w:spacing w:val="-3"/>
          <w:w w:val="95"/>
        </w:rPr>
        <w:t xml:space="preserve"> </w:t>
      </w:r>
      <w:r>
        <w:rPr>
          <w:w w:val="95"/>
        </w:rPr>
        <w:t xml:space="preserve">currently recovered through fares. This is due to both operational </w:t>
      </w:r>
      <w:r>
        <w:rPr>
          <w:spacing w:val="-2"/>
        </w:rPr>
        <w:t>inefficiency</w:t>
      </w:r>
      <w:r>
        <w:rPr>
          <w:spacing w:val="-6"/>
        </w:rPr>
        <w:t xml:space="preserve"> </w:t>
      </w:r>
      <w:r>
        <w:rPr>
          <w:spacing w:val="-2"/>
        </w:rPr>
        <w:t>and</w:t>
      </w:r>
      <w:r>
        <w:rPr>
          <w:spacing w:val="-6"/>
        </w:rPr>
        <w:t xml:space="preserve"> </w:t>
      </w:r>
      <w:r>
        <w:rPr>
          <w:spacing w:val="-2"/>
        </w:rPr>
        <w:t>fare</w:t>
      </w:r>
      <w:r>
        <w:rPr>
          <w:spacing w:val="-6"/>
        </w:rPr>
        <w:t xml:space="preserve"> </w:t>
      </w:r>
      <w:r>
        <w:rPr>
          <w:spacing w:val="-2"/>
        </w:rPr>
        <w:t>levels</w:t>
      </w:r>
      <w:r>
        <w:rPr>
          <w:spacing w:val="-6"/>
        </w:rPr>
        <w:t xml:space="preserve"> </w:t>
      </w:r>
      <w:r>
        <w:rPr>
          <w:spacing w:val="-2"/>
        </w:rPr>
        <w:t>being</w:t>
      </w:r>
      <w:r>
        <w:rPr>
          <w:spacing w:val="-6"/>
        </w:rPr>
        <w:t xml:space="preserve"> </w:t>
      </w:r>
      <w:r>
        <w:rPr>
          <w:spacing w:val="-2"/>
        </w:rPr>
        <w:t>kept</w:t>
      </w:r>
      <w:r>
        <w:rPr>
          <w:spacing w:val="-6"/>
        </w:rPr>
        <w:t xml:space="preserve"> </w:t>
      </w:r>
      <w:r>
        <w:rPr>
          <w:spacing w:val="-2"/>
        </w:rPr>
        <w:t>below</w:t>
      </w:r>
      <w:r>
        <w:rPr>
          <w:spacing w:val="-6"/>
        </w:rPr>
        <w:t xml:space="preserve"> </w:t>
      </w:r>
      <w:r>
        <w:rPr>
          <w:spacing w:val="-2"/>
        </w:rPr>
        <w:t xml:space="preserve">levels </w:t>
      </w:r>
      <w:r>
        <w:t>recommended</w:t>
      </w:r>
      <w:r>
        <w:rPr>
          <w:spacing w:val="-5"/>
        </w:rPr>
        <w:t xml:space="preserve"> </w:t>
      </w:r>
      <w:r>
        <w:t>by</w:t>
      </w:r>
      <w:r>
        <w:rPr>
          <w:spacing w:val="-5"/>
        </w:rPr>
        <w:t xml:space="preserve"> </w:t>
      </w:r>
      <w:r>
        <w:t>their</w:t>
      </w:r>
      <w:r>
        <w:rPr>
          <w:spacing w:val="-5"/>
        </w:rPr>
        <w:t xml:space="preserve"> </w:t>
      </w:r>
      <w:r>
        <w:t>independent</w:t>
      </w:r>
      <w:r>
        <w:rPr>
          <w:spacing w:val="-5"/>
        </w:rPr>
        <w:t xml:space="preserve"> </w:t>
      </w:r>
      <w:r>
        <w:t>regulator.</w:t>
      </w:r>
    </w:p>
    <w:p w:rsidR="002C1123" w:rsidRDefault="00F22F94">
      <w:pPr>
        <w:pStyle w:val="BodyText"/>
        <w:spacing w:before="145" w:line="249" w:lineRule="auto"/>
        <w:ind w:left="492" w:right="-9" w:hanging="1"/>
      </w:pPr>
      <w:r>
        <w:rPr>
          <w:w w:val="95"/>
        </w:rPr>
        <w:t>Analysis by the regulator</w:t>
      </w:r>
      <w:r>
        <w:rPr>
          <w:w w:val="95"/>
          <w:position w:val="7"/>
          <w:sz w:val="11"/>
        </w:rPr>
        <w:t>7</w:t>
      </w:r>
      <w:r>
        <w:rPr>
          <w:spacing w:val="25"/>
          <w:position w:val="7"/>
          <w:sz w:val="11"/>
        </w:rPr>
        <w:t xml:space="preserve"> </w:t>
      </w:r>
      <w:r>
        <w:rPr>
          <w:w w:val="95"/>
        </w:rPr>
        <w:t xml:space="preserve">states that CityRail’s costs are </w:t>
      </w:r>
      <w:r>
        <w:t>almost</w:t>
      </w:r>
      <w:r>
        <w:rPr>
          <w:spacing w:val="-14"/>
        </w:rPr>
        <w:t xml:space="preserve"> </w:t>
      </w:r>
      <w:r>
        <w:t>$400</w:t>
      </w:r>
      <w:r>
        <w:rPr>
          <w:spacing w:val="-14"/>
        </w:rPr>
        <w:t xml:space="preserve"> </w:t>
      </w:r>
      <w:r>
        <w:t>million</w:t>
      </w:r>
      <w:r>
        <w:rPr>
          <w:spacing w:val="-13"/>
        </w:rPr>
        <w:t xml:space="preserve"> </w:t>
      </w:r>
      <w:r>
        <w:t>per</w:t>
      </w:r>
      <w:r>
        <w:rPr>
          <w:spacing w:val="-14"/>
        </w:rPr>
        <w:t xml:space="preserve"> </w:t>
      </w:r>
      <w:r>
        <w:t>annum</w:t>
      </w:r>
      <w:r>
        <w:rPr>
          <w:spacing w:val="-14"/>
        </w:rPr>
        <w:t xml:space="preserve"> </w:t>
      </w:r>
      <w:r>
        <w:t>higher</w:t>
      </w:r>
      <w:r>
        <w:rPr>
          <w:spacing w:val="-13"/>
        </w:rPr>
        <w:t xml:space="preserve"> </w:t>
      </w:r>
      <w:r>
        <w:t>than</w:t>
      </w:r>
      <w:r>
        <w:rPr>
          <w:spacing w:val="-14"/>
        </w:rPr>
        <w:t xml:space="preserve"> </w:t>
      </w:r>
      <w:r>
        <w:t>the</w:t>
      </w:r>
      <w:r>
        <w:rPr>
          <w:spacing w:val="-14"/>
        </w:rPr>
        <w:t xml:space="preserve"> </w:t>
      </w:r>
      <w:r>
        <w:t>level</w:t>
      </w:r>
      <w:r>
        <w:rPr>
          <w:spacing w:val="-13"/>
        </w:rPr>
        <w:t xml:space="preserve"> </w:t>
      </w:r>
      <w:r>
        <w:t>it judges</w:t>
      </w:r>
      <w:r>
        <w:rPr>
          <w:spacing w:val="-14"/>
        </w:rPr>
        <w:t xml:space="preserve"> </w:t>
      </w:r>
      <w:r>
        <w:t>to</w:t>
      </w:r>
      <w:r>
        <w:rPr>
          <w:spacing w:val="-14"/>
        </w:rPr>
        <w:t xml:space="preserve"> </w:t>
      </w:r>
      <w:r>
        <w:t>be</w:t>
      </w:r>
      <w:r>
        <w:rPr>
          <w:spacing w:val="-14"/>
        </w:rPr>
        <w:t xml:space="preserve"> </w:t>
      </w:r>
      <w:r>
        <w:t>efficient.</w:t>
      </w:r>
      <w:r>
        <w:rPr>
          <w:spacing w:val="-14"/>
        </w:rPr>
        <w:t xml:space="preserve"> </w:t>
      </w:r>
      <w:r>
        <w:t>Other</w:t>
      </w:r>
      <w:r>
        <w:rPr>
          <w:spacing w:val="-14"/>
        </w:rPr>
        <w:t xml:space="preserve"> </w:t>
      </w:r>
      <w:r>
        <w:t>analysis</w:t>
      </w:r>
      <w:r>
        <w:rPr>
          <w:spacing w:val="-14"/>
        </w:rPr>
        <w:t xml:space="preserve"> </w:t>
      </w:r>
      <w:r>
        <w:t>has</w:t>
      </w:r>
      <w:r>
        <w:rPr>
          <w:spacing w:val="-14"/>
        </w:rPr>
        <w:t xml:space="preserve"> </w:t>
      </w:r>
      <w:r>
        <w:t>indicated</w:t>
      </w:r>
      <w:r>
        <w:rPr>
          <w:spacing w:val="-14"/>
        </w:rPr>
        <w:t xml:space="preserve"> </w:t>
      </w:r>
      <w:r>
        <w:t>an even</w:t>
      </w:r>
      <w:r>
        <w:rPr>
          <w:spacing w:val="-14"/>
        </w:rPr>
        <w:t xml:space="preserve"> </w:t>
      </w:r>
      <w:r>
        <w:t>greater</w:t>
      </w:r>
      <w:r>
        <w:rPr>
          <w:spacing w:val="-14"/>
        </w:rPr>
        <w:t xml:space="preserve"> </w:t>
      </w:r>
      <w:r>
        <w:t>inefficiency</w:t>
      </w:r>
      <w:r>
        <w:rPr>
          <w:position w:val="7"/>
          <w:sz w:val="11"/>
        </w:rPr>
        <w:t>8</w:t>
      </w:r>
      <w:r>
        <w:t>.</w:t>
      </w:r>
      <w:r>
        <w:rPr>
          <w:spacing w:val="-14"/>
        </w:rPr>
        <w:t xml:space="preserve"> </w:t>
      </w:r>
      <w:r>
        <w:t>TfNSW</w:t>
      </w:r>
      <w:r>
        <w:rPr>
          <w:spacing w:val="-14"/>
        </w:rPr>
        <w:t xml:space="preserve"> </w:t>
      </w:r>
      <w:r>
        <w:t>is</w:t>
      </w:r>
      <w:r>
        <w:rPr>
          <w:spacing w:val="-14"/>
        </w:rPr>
        <w:t xml:space="preserve"> </w:t>
      </w:r>
      <w:r>
        <w:t>starting</w:t>
      </w:r>
      <w:r>
        <w:rPr>
          <w:spacing w:val="-14"/>
        </w:rPr>
        <w:t xml:space="preserve"> </w:t>
      </w:r>
      <w:r>
        <w:t>to</w:t>
      </w:r>
      <w:r>
        <w:rPr>
          <w:spacing w:val="-14"/>
        </w:rPr>
        <w:t xml:space="preserve"> </w:t>
      </w:r>
      <w:r>
        <w:t>address the</w:t>
      </w:r>
      <w:r>
        <w:rPr>
          <w:spacing w:val="-11"/>
        </w:rPr>
        <w:t xml:space="preserve"> </w:t>
      </w:r>
      <w:r>
        <w:t>cost</w:t>
      </w:r>
      <w:r>
        <w:rPr>
          <w:spacing w:val="-11"/>
        </w:rPr>
        <w:t xml:space="preserve"> </w:t>
      </w:r>
      <w:r>
        <w:t>side</w:t>
      </w:r>
      <w:r>
        <w:rPr>
          <w:spacing w:val="-11"/>
        </w:rPr>
        <w:t xml:space="preserve"> </w:t>
      </w:r>
      <w:r>
        <w:t>of</w:t>
      </w:r>
      <w:r>
        <w:rPr>
          <w:spacing w:val="-11"/>
        </w:rPr>
        <w:t xml:space="preserve"> </w:t>
      </w:r>
      <w:r>
        <w:t>the</w:t>
      </w:r>
      <w:r>
        <w:rPr>
          <w:spacing w:val="-11"/>
        </w:rPr>
        <w:t xml:space="preserve"> </w:t>
      </w:r>
      <w:r>
        <w:t>equation</w:t>
      </w:r>
      <w:r>
        <w:rPr>
          <w:spacing w:val="-11"/>
        </w:rPr>
        <w:t xml:space="preserve"> </w:t>
      </w:r>
      <w:r>
        <w:t>through</w:t>
      </w:r>
      <w:r>
        <w:rPr>
          <w:spacing w:val="-11"/>
        </w:rPr>
        <w:t xml:space="preserve"> </w:t>
      </w:r>
      <w:r>
        <w:t>its</w:t>
      </w:r>
      <w:r>
        <w:rPr>
          <w:spacing w:val="-11"/>
        </w:rPr>
        <w:t xml:space="preserve"> </w:t>
      </w:r>
      <w:r>
        <w:t>rail</w:t>
      </w:r>
      <w:r>
        <w:rPr>
          <w:spacing w:val="-11"/>
        </w:rPr>
        <w:t xml:space="preserve"> </w:t>
      </w:r>
      <w:r>
        <w:t>reform program.</w:t>
      </w:r>
      <w:r>
        <w:rPr>
          <w:spacing w:val="-12"/>
        </w:rPr>
        <w:t xml:space="preserve"> </w:t>
      </w:r>
      <w:r>
        <w:t>More</w:t>
      </w:r>
      <w:r>
        <w:rPr>
          <w:spacing w:val="-12"/>
        </w:rPr>
        <w:t xml:space="preserve"> </w:t>
      </w:r>
      <w:r>
        <w:t>substantial</w:t>
      </w:r>
      <w:r>
        <w:rPr>
          <w:spacing w:val="-12"/>
        </w:rPr>
        <w:t xml:space="preserve"> </w:t>
      </w:r>
      <w:r>
        <w:t>reform</w:t>
      </w:r>
      <w:r>
        <w:rPr>
          <w:spacing w:val="-13"/>
        </w:rPr>
        <w:t xml:space="preserve"> </w:t>
      </w:r>
      <w:r>
        <w:t>will</w:t>
      </w:r>
      <w:r>
        <w:rPr>
          <w:spacing w:val="-12"/>
        </w:rPr>
        <w:t xml:space="preserve"> </w:t>
      </w:r>
      <w:r>
        <w:t>be</w:t>
      </w:r>
      <w:r>
        <w:rPr>
          <w:spacing w:val="-12"/>
        </w:rPr>
        <w:t xml:space="preserve"> </w:t>
      </w:r>
      <w:r>
        <w:t>needed</w:t>
      </w:r>
      <w:r>
        <w:rPr>
          <w:spacing w:val="-12"/>
        </w:rPr>
        <w:t xml:space="preserve"> </w:t>
      </w:r>
      <w:r>
        <w:t xml:space="preserve">over </w:t>
      </w:r>
      <w:r>
        <w:rPr>
          <w:w w:val="95"/>
        </w:rPr>
        <w:t>the</w:t>
      </w:r>
      <w:r>
        <w:rPr>
          <w:spacing w:val="-4"/>
          <w:w w:val="95"/>
        </w:rPr>
        <w:t xml:space="preserve"> </w:t>
      </w:r>
      <w:r>
        <w:rPr>
          <w:w w:val="95"/>
        </w:rPr>
        <w:t>medium-term</w:t>
      </w:r>
      <w:r>
        <w:rPr>
          <w:spacing w:val="-5"/>
          <w:w w:val="95"/>
        </w:rPr>
        <w:t xml:space="preserve"> </w:t>
      </w:r>
      <w:r>
        <w:rPr>
          <w:w w:val="95"/>
        </w:rPr>
        <w:t>to</w:t>
      </w:r>
      <w:r>
        <w:rPr>
          <w:spacing w:val="-4"/>
          <w:w w:val="95"/>
        </w:rPr>
        <w:t xml:space="preserve"> </w:t>
      </w:r>
      <w:r>
        <w:rPr>
          <w:w w:val="95"/>
        </w:rPr>
        <w:t>improve</w:t>
      </w:r>
      <w:r>
        <w:rPr>
          <w:spacing w:val="-4"/>
          <w:w w:val="95"/>
        </w:rPr>
        <w:t xml:space="preserve"> </w:t>
      </w:r>
      <w:r>
        <w:rPr>
          <w:w w:val="95"/>
        </w:rPr>
        <w:t>efficiency</w:t>
      </w:r>
      <w:r>
        <w:rPr>
          <w:spacing w:val="-4"/>
          <w:w w:val="95"/>
        </w:rPr>
        <w:t xml:space="preserve"> </w:t>
      </w:r>
      <w:r>
        <w:rPr>
          <w:w w:val="95"/>
        </w:rPr>
        <w:t>and</w:t>
      </w:r>
      <w:r>
        <w:rPr>
          <w:spacing w:val="-4"/>
          <w:w w:val="95"/>
        </w:rPr>
        <w:t xml:space="preserve"> </w:t>
      </w:r>
      <w:r>
        <w:rPr>
          <w:w w:val="95"/>
        </w:rPr>
        <w:t>release</w:t>
      </w:r>
      <w:r>
        <w:rPr>
          <w:spacing w:val="-4"/>
          <w:w w:val="95"/>
        </w:rPr>
        <w:t xml:space="preserve"> </w:t>
      </w:r>
      <w:r>
        <w:rPr>
          <w:w w:val="95"/>
        </w:rPr>
        <w:t xml:space="preserve">funds </w:t>
      </w:r>
      <w:r>
        <w:t>for capital investment.</w:t>
      </w:r>
    </w:p>
    <w:p w:rsidR="002C1123" w:rsidRDefault="00F22F94">
      <w:pPr>
        <w:pStyle w:val="BodyText"/>
        <w:spacing w:before="148" w:line="249" w:lineRule="auto"/>
        <w:ind w:left="492"/>
      </w:pPr>
      <w:r>
        <w:t>In</w:t>
      </w:r>
      <w:r>
        <w:rPr>
          <w:spacing w:val="-14"/>
        </w:rPr>
        <w:t xml:space="preserve"> </w:t>
      </w:r>
      <w:r>
        <w:t>2009,</w:t>
      </w:r>
      <w:r>
        <w:rPr>
          <w:spacing w:val="-14"/>
        </w:rPr>
        <w:t xml:space="preserve"> </w:t>
      </w:r>
      <w:r>
        <w:t>the</w:t>
      </w:r>
      <w:r>
        <w:rPr>
          <w:spacing w:val="-14"/>
        </w:rPr>
        <w:t xml:space="preserve"> </w:t>
      </w:r>
      <w:r>
        <w:t>regulator</w:t>
      </w:r>
      <w:r>
        <w:rPr>
          <w:spacing w:val="-14"/>
        </w:rPr>
        <w:t xml:space="preserve"> </w:t>
      </w:r>
      <w:r>
        <w:t>determined</w:t>
      </w:r>
      <w:r>
        <w:rPr>
          <w:spacing w:val="-14"/>
        </w:rPr>
        <w:t xml:space="preserve"> </w:t>
      </w:r>
      <w:r>
        <w:t>that</w:t>
      </w:r>
      <w:r>
        <w:rPr>
          <w:spacing w:val="-14"/>
        </w:rPr>
        <w:t xml:space="preserve"> </w:t>
      </w:r>
      <w:r>
        <w:t>CityRail</w:t>
      </w:r>
      <w:r>
        <w:rPr>
          <w:spacing w:val="-14"/>
        </w:rPr>
        <w:t xml:space="preserve"> </w:t>
      </w:r>
      <w:r>
        <w:t xml:space="preserve">fares </w:t>
      </w:r>
      <w:r>
        <w:rPr>
          <w:w w:val="95"/>
        </w:rPr>
        <w:t>should increase by CPI plus three percent per annum. However</w:t>
      </w:r>
      <w:r>
        <w:rPr>
          <w:spacing w:val="-10"/>
          <w:w w:val="95"/>
        </w:rPr>
        <w:t xml:space="preserve"> </w:t>
      </w:r>
      <w:r>
        <w:rPr>
          <w:w w:val="95"/>
        </w:rPr>
        <w:t>actual</w:t>
      </w:r>
      <w:r>
        <w:rPr>
          <w:spacing w:val="-10"/>
          <w:w w:val="95"/>
        </w:rPr>
        <w:t xml:space="preserve"> </w:t>
      </w:r>
      <w:r>
        <w:rPr>
          <w:w w:val="95"/>
        </w:rPr>
        <w:t>increases</w:t>
      </w:r>
      <w:r>
        <w:rPr>
          <w:spacing w:val="-10"/>
          <w:w w:val="95"/>
        </w:rPr>
        <w:t xml:space="preserve"> </w:t>
      </w:r>
      <w:r>
        <w:rPr>
          <w:w w:val="95"/>
        </w:rPr>
        <w:t>in</w:t>
      </w:r>
      <w:r>
        <w:rPr>
          <w:spacing w:val="-10"/>
          <w:w w:val="95"/>
        </w:rPr>
        <w:t xml:space="preserve"> </w:t>
      </w:r>
      <w:r>
        <w:rPr>
          <w:w w:val="95"/>
        </w:rPr>
        <w:t>fares</w:t>
      </w:r>
      <w:r>
        <w:rPr>
          <w:spacing w:val="-10"/>
          <w:w w:val="95"/>
        </w:rPr>
        <w:t xml:space="preserve"> </w:t>
      </w:r>
      <w:r>
        <w:rPr>
          <w:w w:val="95"/>
        </w:rPr>
        <w:t>since</w:t>
      </w:r>
      <w:r>
        <w:rPr>
          <w:spacing w:val="-10"/>
          <w:w w:val="95"/>
        </w:rPr>
        <w:t xml:space="preserve"> </w:t>
      </w:r>
      <w:r>
        <w:rPr>
          <w:w w:val="95"/>
        </w:rPr>
        <w:t>2009</w:t>
      </w:r>
      <w:r>
        <w:rPr>
          <w:spacing w:val="-10"/>
          <w:w w:val="95"/>
        </w:rPr>
        <w:t xml:space="preserve"> </w:t>
      </w:r>
      <w:r>
        <w:rPr>
          <w:w w:val="95"/>
        </w:rPr>
        <w:t>have</w:t>
      </w:r>
      <w:r>
        <w:rPr>
          <w:spacing w:val="-10"/>
          <w:w w:val="95"/>
        </w:rPr>
        <w:t xml:space="preserve"> </w:t>
      </w:r>
      <w:r>
        <w:rPr>
          <w:w w:val="95"/>
        </w:rPr>
        <w:t xml:space="preserve">only </w:t>
      </w:r>
      <w:r>
        <w:rPr>
          <w:spacing w:val="-2"/>
          <w:w w:val="95"/>
        </w:rPr>
        <w:t>increased</w:t>
      </w:r>
      <w:r>
        <w:rPr>
          <w:spacing w:val="-4"/>
        </w:rPr>
        <w:t xml:space="preserve"> </w:t>
      </w:r>
      <w:r>
        <w:rPr>
          <w:spacing w:val="-2"/>
          <w:w w:val="95"/>
        </w:rPr>
        <w:t>in</w:t>
      </w:r>
      <w:r>
        <w:rPr>
          <w:spacing w:val="-3"/>
        </w:rPr>
        <w:t xml:space="preserve"> </w:t>
      </w:r>
      <w:r>
        <w:rPr>
          <w:spacing w:val="-2"/>
          <w:w w:val="95"/>
        </w:rPr>
        <w:t>line</w:t>
      </w:r>
      <w:r>
        <w:rPr>
          <w:spacing w:val="-4"/>
        </w:rPr>
        <w:t xml:space="preserve"> </w:t>
      </w:r>
      <w:r>
        <w:rPr>
          <w:spacing w:val="-2"/>
          <w:w w:val="95"/>
        </w:rPr>
        <w:t>with</w:t>
      </w:r>
      <w:r>
        <w:rPr>
          <w:spacing w:val="-3"/>
        </w:rPr>
        <w:t xml:space="preserve"> </w:t>
      </w:r>
      <w:r>
        <w:rPr>
          <w:spacing w:val="-2"/>
          <w:w w:val="95"/>
        </w:rPr>
        <w:t>inflation,</w:t>
      </w:r>
      <w:r>
        <w:rPr>
          <w:spacing w:val="-4"/>
        </w:rPr>
        <w:t xml:space="preserve"> </w:t>
      </w:r>
      <w:r>
        <w:rPr>
          <w:spacing w:val="-2"/>
          <w:w w:val="95"/>
        </w:rPr>
        <w:t>so</w:t>
      </w:r>
      <w:r>
        <w:rPr>
          <w:spacing w:val="-3"/>
        </w:rPr>
        <w:t xml:space="preserve"> </w:t>
      </w:r>
      <w:r>
        <w:rPr>
          <w:spacing w:val="-2"/>
          <w:w w:val="95"/>
        </w:rPr>
        <w:t>that</w:t>
      </w:r>
      <w:r>
        <w:rPr>
          <w:spacing w:val="-4"/>
        </w:rPr>
        <w:t xml:space="preserve"> </w:t>
      </w:r>
      <w:r>
        <w:rPr>
          <w:spacing w:val="-2"/>
          <w:w w:val="95"/>
        </w:rPr>
        <w:t>CityRail’s</w:t>
      </w:r>
      <w:r>
        <w:rPr>
          <w:spacing w:val="-3"/>
        </w:rPr>
        <w:t xml:space="preserve"> </w:t>
      </w:r>
      <w:r>
        <w:rPr>
          <w:spacing w:val="-2"/>
          <w:w w:val="95"/>
        </w:rPr>
        <w:t>farebox</w:t>
      </w:r>
    </w:p>
    <w:p w:rsidR="002C1123" w:rsidRDefault="00F22F94">
      <w:pPr>
        <w:pStyle w:val="BodyText"/>
        <w:spacing w:before="108" w:line="249" w:lineRule="auto"/>
        <w:ind w:left="187"/>
      </w:pPr>
      <w:r>
        <w:br w:type="column"/>
      </w:r>
      <w:r>
        <w:rPr>
          <w:w w:val="95"/>
        </w:rPr>
        <w:t>revenue</w:t>
      </w:r>
      <w:r>
        <w:rPr>
          <w:spacing w:val="-8"/>
          <w:w w:val="95"/>
        </w:rPr>
        <w:t xml:space="preserve"> </w:t>
      </w:r>
      <w:r>
        <w:rPr>
          <w:w w:val="95"/>
        </w:rPr>
        <w:t>is</w:t>
      </w:r>
      <w:r>
        <w:rPr>
          <w:spacing w:val="-8"/>
          <w:w w:val="95"/>
        </w:rPr>
        <w:t xml:space="preserve"> </w:t>
      </w:r>
      <w:r>
        <w:rPr>
          <w:w w:val="95"/>
        </w:rPr>
        <w:t>now</w:t>
      </w:r>
      <w:r>
        <w:rPr>
          <w:spacing w:val="-8"/>
          <w:w w:val="95"/>
        </w:rPr>
        <w:t xml:space="preserve"> </w:t>
      </w:r>
      <w:r>
        <w:rPr>
          <w:w w:val="95"/>
        </w:rPr>
        <w:t>around</w:t>
      </w:r>
      <w:r>
        <w:rPr>
          <w:spacing w:val="-8"/>
          <w:w w:val="95"/>
        </w:rPr>
        <w:t xml:space="preserve"> </w:t>
      </w:r>
      <w:r>
        <w:rPr>
          <w:w w:val="95"/>
        </w:rPr>
        <w:t>$65</w:t>
      </w:r>
      <w:r>
        <w:rPr>
          <w:spacing w:val="-8"/>
          <w:w w:val="95"/>
        </w:rPr>
        <w:t xml:space="preserve"> </w:t>
      </w:r>
      <w:r>
        <w:rPr>
          <w:w w:val="95"/>
        </w:rPr>
        <w:t>million</w:t>
      </w:r>
      <w:r>
        <w:rPr>
          <w:spacing w:val="-8"/>
          <w:w w:val="95"/>
        </w:rPr>
        <w:t xml:space="preserve"> </w:t>
      </w:r>
      <w:r>
        <w:rPr>
          <w:w w:val="95"/>
        </w:rPr>
        <w:t>per</w:t>
      </w:r>
      <w:r>
        <w:rPr>
          <w:spacing w:val="-8"/>
          <w:w w:val="95"/>
        </w:rPr>
        <w:t xml:space="preserve"> </w:t>
      </w:r>
      <w:r>
        <w:rPr>
          <w:w w:val="95"/>
        </w:rPr>
        <w:t>annum</w:t>
      </w:r>
      <w:r>
        <w:rPr>
          <w:spacing w:val="-8"/>
          <w:w w:val="95"/>
        </w:rPr>
        <w:t xml:space="preserve"> </w:t>
      </w:r>
      <w:r>
        <w:rPr>
          <w:w w:val="95"/>
        </w:rPr>
        <w:t>less</w:t>
      </w:r>
      <w:r>
        <w:rPr>
          <w:spacing w:val="-8"/>
          <w:w w:val="95"/>
        </w:rPr>
        <w:t xml:space="preserve"> </w:t>
      </w:r>
      <w:r>
        <w:rPr>
          <w:w w:val="95"/>
        </w:rPr>
        <w:t>than</w:t>
      </w:r>
      <w:r>
        <w:rPr>
          <w:spacing w:val="-8"/>
          <w:w w:val="95"/>
        </w:rPr>
        <w:t xml:space="preserve"> </w:t>
      </w:r>
      <w:r>
        <w:rPr>
          <w:w w:val="95"/>
        </w:rPr>
        <w:t xml:space="preserve">it </w:t>
      </w:r>
      <w:r>
        <w:t>would</w:t>
      </w:r>
      <w:r>
        <w:rPr>
          <w:spacing w:val="-14"/>
        </w:rPr>
        <w:t xml:space="preserve"> </w:t>
      </w:r>
      <w:r>
        <w:t>have</w:t>
      </w:r>
      <w:r>
        <w:rPr>
          <w:spacing w:val="-14"/>
        </w:rPr>
        <w:t xml:space="preserve"> </w:t>
      </w:r>
      <w:r>
        <w:t>been</w:t>
      </w:r>
      <w:r>
        <w:rPr>
          <w:spacing w:val="-14"/>
        </w:rPr>
        <w:t xml:space="preserve"> </w:t>
      </w:r>
      <w:r>
        <w:t>under</w:t>
      </w:r>
      <w:r>
        <w:rPr>
          <w:spacing w:val="-14"/>
        </w:rPr>
        <w:t xml:space="preserve"> </w:t>
      </w:r>
      <w:r>
        <w:t>the</w:t>
      </w:r>
      <w:r>
        <w:rPr>
          <w:spacing w:val="-14"/>
        </w:rPr>
        <w:t xml:space="preserve"> </w:t>
      </w:r>
      <w:r>
        <w:t>regulator’s</w:t>
      </w:r>
      <w:r>
        <w:rPr>
          <w:spacing w:val="-14"/>
        </w:rPr>
        <w:t xml:space="preserve"> </w:t>
      </w:r>
      <w:r>
        <w:t>determination.</w:t>
      </w:r>
    </w:p>
    <w:p w:rsidR="002C1123" w:rsidRDefault="00F22F94">
      <w:pPr>
        <w:pStyle w:val="BodyText"/>
        <w:spacing w:before="143" w:line="249" w:lineRule="auto"/>
        <w:ind w:left="187" w:right="28"/>
      </w:pPr>
      <w:r>
        <w:rPr>
          <w:w w:val="95"/>
        </w:rPr>
        <w:t>For ferries and buses, while the levels of inefficiency identified</w:t>
      </w:r>
      <w:r>
        <w:rPr>
          <w:spacing w:val="-8"/>
          <w:w w:val="95"/>
        </w:rPr>
        <w:t xml:space="preserve"> </w:t>
      </w:r>
      <w:r>
        <w:rPr>
          <w:w w:val="95"/>
        </w:rPr>
        <w:t>by</w:t>
      </w:r>
      <w:r>
        <w:rPr>
          <w:spacing w:val="-8"/>
          <w:w w:val="95"/>
        </w:rPr>
        <w:t xml:space="preserve"> </w:t>
      </w:r>
      <w:r>
        <w:rPr>
          <w:w w:val="95"/>
        </w:rPr>
        <w:t>the</w:t>
      </w:r>
      <w:r>
        <w:rPr>
          <w:spacing w:val="-8"/>
          <w:w w:val="95"/>
        </w:rPr>
        <w:t xml:space="preserve"> </w:t>
      </w:r>
      <w:r>
        <w:rPr>
          <w:w w:val="95"/>
        </w:rPr>
        <w:t>regulator</w:t>
      </w:r>
      <w:r>
        <w:rPr>
          <w:spacing w:val="-8"/>
          <w:w w:val="95"/>
        </w:rPr>
        <w:t xml:space="preserve"> </w:t>
      </w:r>
      <w:r>
        <w:rPr>
          <w:w w:val="95"/>
        </w:rPr>
        <w:t>are</w:t>
      </w:r>
      <w:r>
        <w:rPr>
          <w:spacing w:val="-8"/>
          <w:w w:val="95"/>
        </w:rPr>
        <w:t xml:space="preserve"> </w:t>
      </w:r>
      <w:r>
        <w:rPr>
          <w:w w:val="95"/>
        </w:rPr>
        <w:t>less</w:t>
      </w:r>
      <w:r>
        <w:rPr>
          <w:spacing w:val="-8"/>
          <w:w w:val="95"/>
        </w:rPr>
        <w:t xml:space="preserve"> </w:t>
      </w:r>
      <w:r>
        <w:rPr>
          <w:w w:val="95"/>
        </w:rPr>
        <w:t>acute,</w:t>
      </w:r>
      <w:r>
        <w:rPr>
          <w:spacing w:val="-8"/>
          <w:w w:val="95"/>
        </w:rPr>
        <w:t xml:space="preserve"> </w:t>
      </w:r>
      <w:r>
        <w:rPr>
          <w:w w:val="95"/>
        </w:rPr>
        <w:t>the</w:t>
      </w:r>
      <w:r>
        <w:rPr>
          <w:spacing w:val="-8"/>
          <w:w w:val="95"/>
        </w:rPr>
        <w:t xml:space="preserve"> </w:t>
      </w:r>
      <w:r>
        <w:rPr>
          <w:w w:val="95"/>
        </w:rPr>
        <w:t>same</w:t>
      </w:r>
      <w:r>
        <w:rPr>
          <w:spacing w:val="-8"/>
          <w:w w:val="95"/>
        </w:rPr>
        <w:t xml:space="preserve"> </w:t>
      </w:r>
      <w:r>
        <w:rPr>
          <w:w w:val="95"/>
        </w:rPr>
        <w:t xml:space="preserve">cap </w:t>
      </w:r>
      <w:r>
        <w:t>on</w:t>
      </w:r>
      <w:r>
        <w:rPr>
          <w:spacing w:val="-14"/>
        </w:rPr>
        <w:t xml:space="preserve"> </w:t>
      </w:r>
      <w:r>
        <w:t>real</w:t>
      </w:r>
      <w:r>
        <w:rPr>
          <w:spacing w:val="-14"/>
        </w:rPr>
        <w:t xml:space="preserve"> </w:t>
      </w:r>
      <w:r>
        <w:t>fare</w:t>
      </w:r>
      <w:r>
        <w:rPr>
          <w:spacing w:val="-14"/>
        </w:rPr>
        <w:t xml:space="preserve"> </w:t>
      </w:r>
      <w:r>
        <w:t>rises</w:t>
      </w:r>
      <w:r>
        <w:rPr>
          <w:spacing w:val="-14"/>
        </w:rPr>
        <w:t xml:space="preserve"> </w:t>
      </w:r>
      <w:r>
        <w:t>has</w:t>
      </w:r>
      <w:r>
        <w:rPr>
          <w:spacing w:val="-14"/>
        </w:rPr>
        <w:t xml:space="preserve"> </w:t>
      </w:r>
      <w:r>
        <w:t>applied</w:t>
      </w:r>
      <w:r>
        <w:rPr>
          <w:spacing w:val="-14"/>
        </w:rPr>
        <w:t xml:space="preserve"> </w:t>
      </w:r>
      <w:r>
        <w:t>in</w:t>
      </w:r>
      <w:r>
        <w:rPr>
          <w:spacing w:val="-14"/>
        </w:rPr>
        <w:t xml:space="preserve"> </w:t>
      </w:r>
      <w:r>
        <w:t>recent</w:t>
      </w:r>
      <w:r>
        <w:rPr>
          <w:spacing w:val="-14"/>
        </w:rPr>
        <w:t xml:space="preserve"> </w:t>
      </w:r>
      <w:r>
        <w:t>years.</w:t>
      </w:r>
    </w:p>
    <w:p w:rsidR="002C1123" w:rsidRDefault="00F22F94">
      <w:pPr>
        <w:pStyle w:val="BodyText"/>
        <w:spacing w:before="145" w:line="249" w:lineRule="auto"/>
        <w:ind w:left="187" w:right="186"/>
      </w:pPr>
      <w:r>
        <w:rPr>
          <w:w w:val="95"/>
        </w:rPr>
        <w:t>The</w:t>
      </w:r>
      <w:r>
        <w:rPr>
          <w:spacing w:val="-2"/>
          <w:w w:val="95"/>
        </w:rPr>
        <w:t xml:space="preserve"> </w:t>
      </w:r>
      <w:r>
        <w:rPr>
          <w:w w:val="95"/>
        </w:rPr>
        <w:t>regulator</w:t>
      </w:r>
      <w:r>
        <w:rPr>
          <w:spacing w:val="-2"/>
          <w:w w:val="95"/>
        </w:rPr>
        <w:t xml:space="preserve"> </w:t>
      </w:r>
      <w:r>
        <w:rPr>
          <w:w w:val="95"/>
        </w:rPr>
        <w:t>is</w:t>
      </w:r>
      <w:r>
        <w:rPr>
          <w:spacing w:val="-2"/>
          <w:w w:val="95"/>
        </w:rPr>
        <w:t xml:space="preserve"> </w:t>
      </w:r>
      <w:r>
        <w:rPr>
          <w:w w:val="95"/>
        </w:rPr>
        <w:t>in</w:t>
      </w:r>
      <w:r>
        <w:rPr>
          <w:spacing w:val="-2"/>
          <w:w w:val="95"/>
        </w:rPr>
        <w:t xml:space="preserve"> </w:t>
      </w:r>
      <w:r>
        <w:rPr>
          <w:w w:val="95"/>
        </w:rPr>
        <w:t>the</w:t>
      </w:r>
      <w:r>
        <w:rPr>
          <w:spacing w:val="-2"/>
          <w:w w:val="95"/>
        </w:rPr>
        <w:t xml:space="preserve"> </w:t>
      </w:r>
      <w:r>
        <w:rPr>
          <w:w w:val="95"/>
        </w:rPr>
        <w:t>process</w:t>
      </w:r>
      <w:r>
        <w:rPr>
          <w:spacing w:val="-2"/>
          <w:w w:val="95"/>
        </w:rPr>
        <w:t xml:space="preserve"> </w:t>
      </w:r>
      <w:r>
        <w:rPr>
          <w:w w:val="95"/>
        </w:rPr>
        <w:t>of</w:t>
      </w:r>
      <w:r>
        <w:rPr>
          <w:spacing w:val="-2"/>
          <w:w w:val="95"/>
        </w:rPr>
        <w:t xml:space="preserve"> </w:t>
      </w:r>
      <w:r>
        <w:rPr>
          <w:w w:val="95"/>
        </w:rPr>
        <w:t>reviewing</w:t>
      </w:r>
      <w:r>
        <w:rPr>
          <w:spacing w:val="-2"/>
          <w:w w:val="95"/>
        </w:rPr>
        <w:t xml:space="preserve"> </w:t>
      </w:r>
      <w:r>
        <w:rPr>
          <w:w w:val="95"/>
        </w:rPr>
        <w:t>rail</w:t>
      </w:r>
      <w:r>
        <w:rPr>
          <w:spacing w:val="-2"/>
          <w:w w:val="95"/>
        </w:rPr>
        <w:t xml:space="preserve"> </w:t>
      </w:r>
      <w:r>
        <w:rPr>
          <w:w w:val="95"/>
        </w:rPr>
        <w:t>fares for</w:t>
      </w:r>
      <w:r>
        <w:rPr>
          <w:spacing w:val="-11"/>
          <w:w w:val="95"/>
        </w:rPr>
        <w:t xml:space="preserve"> </w:t>
      </w:r>
      <w:r>
        <w:rPr>
          <w:w w:val="95"/>
        </w:rPr>
        <w:t>the</w:t>
      </w:r>
      <w:r>
        <w:rPr>
          <w:spacing w:val="-11"/>
          <w:w w:val="95"/>
        </w:rPr>
        <w:t xml:space="preserve"> </w:t>
      </w:r>
      <w:r>
        <w:rPr>
          <w:w w:val="95"/>
        </w:rPr>
        <w:t>period</w:t>
      </w:r>
      <w:r>
        <w:rPr>
          <w:spacing w:val="-11"/>
          <w:w w:val="95"/>
        </w:rPr>
        <w:t xml:space="preserve"> </w:t>
      </w:r>
      <w:r>
        <w:rPr>
          <w:w w:val="95"/>
        </w:rPr>
        <w:t>from</w:t>
      </w:r>
      <w:r>
        <w:rPr>
          <w:spacing w:val="-12"/>
          <w:w w:val="95"/>
        </w:rPr>
        <w:t xml:space="preserve"> </w:t>
      </w:r>
      <w:r>
        <w:rPr>
          <w:w w:val="95"/>
        </w:rPr>
        <w:t>2013-2016.</w:t>
      </w:r>
      <w:r>
        <w:rPr>
          <w:spacing w:val="-10"/>
          <w:w w:val="95"/>
        </w:rPr>
        <w:t xml:space="preserve"> </w:t>
      </w:r>
      <w:r>
        <w:rPr>
          <w:w w:val="95"/>
        </w:rPr>
        <w:t>Increasing</w:t>
      </w:r>
      <w:r>
        <w:rPr>
          <w:spacing w:val="-11"/>
          <w:w w:val="95"/>
        </w:rPr>
        <w:t xml:space="preserve"> </w:t>
      </w:r>
      <w:r>
        <w:rPr>
          <w:w w:val="95"/>
        </w:rPr>
        <w:t>rail</w:t>
      </w:r>
      <w:r>
        <w:rPr>
          <w:spacing w:val="-11"/>
          <w:w w:val="95"/>
        </w:rPr>
        <w:t xml:space="preserve"> </w:t>
      </w:r>
      <w:r>
        <w:rPr>
          <w:w w:val="95"/>
        </w:rPr>
        <w:t>fares</w:t>
      </w:r>
      <w:r>
        <w:rPr>
          <w:spacing w:val="-11"/>
          <w:w w:val="95"/>
        </w:rPr>
        <w:t xml:space="preserve"> </w:t>
      </w:r>
      <w:r>
        <w:rPr>
          <w:w w:val="95"/>
        </w:rPr>
        <w:t>in line</w:t>
      </w:r>
      <w:r>
        <w:rPr>
          <w:spacing w:val="-11"/>
          <w:w w:val="95"/>
        </w:rPr>
        <w:t xml:space="preserve"> </w:t>
      </w:r>
      <w:r>
        <w:rPr>
          <w:w w:val="95"/>
        </w:rPr>
        <w:t>with</w:t>
      </w:r>
      <w:r>
        <w:rPr>
          <w:spacing w:val="-10"/>
          <w:w w:val="95"/>
        </w:rPr>
        <w:t xml:space="preserve"> </w:t>
      </w:r>
      <w:r>
        <w:rPr>
          <w:w w:val="95"/>
        </w:rPr>
        <w:t>CPI</w:t>
      </w:r>
      <w:r>
        <w:rPr>
          <w:spacing w:val="-10"/>
          <w:w w:val="95"/>
        </w:rPr>
        <w:t xml:space="preserve"> </w:t>
      </w:r>
      <w:r>
        <w:rPr>
          <w:w w:val="95"/>
        </w:rPr>
        <w:t>plus</w:t>
      </w:r>
      <w:r>
        <w:rPr>
          <w:spacing w:val="-10"/>
          <w:w w:val="95"/>
        </w:rPr>
        <w:t xml:space="preserve"> </w:t>
      </w:r>
      <w:r>
        <w:rPr>
          <w:w w:val="95"/>
        </w:rPr>
        <w:t>three</w:t>
      </w:r>
      <w:r>
        <w:rPr>
          <w:spacing w:val="-11"/>
          <w:w w:val="95"/>
        </w:rPr>
        <w:t xml:space="preserve"> </w:t>
      </w:r>
      <w:r>
        <w:rPr>
          <w:w w:val="95"/>
        </w:rPr>
        <w:t>percent</w:t>
      </w:r>
      <w:r>
        <w:rPr>
          <w:spacing w:val="-10"/>
          <w:w w:val="95"/>
        </w:rPr>
        <w:t xml:space="preserve"> </w:t>
      </w:r>
      <w:r>
        <w:rPr>
          <w:w w:val="95"/>
        </w:rPr>
        <w:t>over</w:t>
      </w:r>
      <w:r>
        <w:rPr>
          <w:spacing w:val="-10"/>
          <w:w w:val="95"/>
        </w:rPr>
        <w:t xml:space="preserve"> </w:t>
      </w:r>
      <w:r>
        <w:rPr>
          <w:w w:val="95"/>
        </w:rPr>
        <w:t>four</w:t>
      </w:r>
      <w:r>
        <w:rPr>
          <w:spacing w:val="-10"/>
          <w:w w:val="95"/>
        </w:rPr>
        <w:t xml:space="preserve"> </w:t>
      </w:r>
      <w:r>
        <w:rPr>
          <w:w w:val="95"/>
        </w:rPr>
        <w:t>years</w:t>
      </w:r>
      <w:r>
        <w:rPr>
          <w:spacing w:val="-11"/>
          <w:w w:val="95"/>
        </w:rPr>
        <w:t xml:space="preserve"> </w:t>
      </w:r>
      <w:r>
        <w:rPr>
          <w:spacing w:val="-4"/>
          <w:w w:val="95"/>
        </w:rPr>
        <w:t>could</w:t>
      </w:r>
    </w:p>
    <w:p w:rsidR="002C1123" w:rsidRDefault="00F22F94">
      <w:pPr>
        <w:pStyle w:val="BodyText"/>
        <w:spacing w:before="2" w:line="249" w:lineRule="auto"/>
        <w:ind w:left="187" w:right="88"/>
        <w:jc w:val="both"/>
      </w:pPr>
      <w:r>
        <w:rPr>
          <w:w w:val="95"/>
        </w:rPr>
        <w:t>deliver</w:t>
      </w:r>
      <w:r>
        <w:rPr>
          <w:spacing w:val="-10"/>
          <w:w w:val="95"/>
        </w:rPr>
        <w:t xml:space="preserve"> </w:t>
      </w:r>
      <w:r>
        <w:rPr>
          <w:w w:val="95"/>
        </w:rPr>
        <w:t>the</w:t>
      </w:r>
      <w:r>
        <w:rPr>
          <w:spacing w:val="-10"/>
          <w:w w:val="95"/>
        </w:rPr>
        <w:t xml:space="preserve"> </w:t>
      </w:r>
      <w:r>
        <w:rPr>
          <w:w w:val="95"/>
        </w:rPr>
        <w:t>equivalent</w:t>
      </w:r>
      <w:r>
        <w:rPr>
          <w:spacing w:val="-10"/>
          <w:w w:val="95"/>
        </w:rPr>
        <w:t xml:space="preserve"> </w:t>
      </w:r>
      <w:r>
        <w:rPr>
          <w:w w:val="95"/>
        </w:rPr>
        <w:t>of</w:t>
      </w:r>
      <w:r>
        <w:rPr>
          <w:spacing w:val="-10"/>
          <w:w w:val="95"/>
        </w:rPr>
        <w:t xml:space="preserve"> </w:t>
      </w:r>
      <w:r>
        <w:rPr>
          <w:w w:val="95"/>
        </w:rPr>
        <w:t>$2.0</w:t>
      </w:r>
      <w:r>
        <w:rPr>
          <w:spacing w:val="-10"/>
          <w:w w:val="95"/>
        </w:rPr>
        <w:t xml:space="preserve"> </w:t>
      </w:r>
      <w:r>
        <w:rPr>
          <w:w w:val="95"/>
        </w:rPr>
        <w:t>billion</w:t>
      </w:r>
      <w:r>
        <w:rPr>
          <w:spacing w:val="-10"/>
          <w:w w:val="95"/>
        </w:rPr>
        <w:t xml:space="preserve"> </w:t>
      </w:r>
      <w:r>
        <w:rPr>
          <w:w w:val="95"/>
        </w:rPr>
        <w:t>of</w:t>
      </w:r>
      <w:r>
        <w:rPr>
          <w:spacing w:val="-10"/>
          <w:w w:val="95"/>
        </w:rPr>
        <w:t xml:space="preserve"> </w:t>
      </w:r>
      <w:r>
        <w:rPr>
          <w:w w:val="95"/>
        </w:rPr>
        <w:t>additional</w:t>
      </w:r>
      <w:r>
        <w:rPr>
          <w:spacing w:val="-10"/>
          <w:w w:val="95"/>
        </w:rPr>
        <w:t xml:space="preserve"> </w:t>
      </w:r>
      <w:r>
        <w:rPr>
          <w:w w:val="95"/>
        </w:rPr>
        <w:t>funding capacity</w:t>
      </w:r>
      <w:r>
        <w:rPr>
          <w:spacing w:val="-1"/>
          <w:w w:val="95"/>
        </w:rPr>
        <w:t xml:space="preserve"> </w:t>
      </w:r>
      <w:r>
        <w:rPr>
          <w:w w:val="95"/>
        </w:rPr>
        <w:t>for</w:t>
      </w:r>
      <w:r>
        <w:rPr>
          <w:spacing w:val="-1"/>
          <w:w w:val="95"/>
        </w:rPr>
        <w:t xml:space="preserve"> </w:t>
      </w:r>
      <w:r>
        <w:rPr>
          <w:w w:val="95"/>
        </w:rPr>
        <w:t>new</w:t>
      </w:r>
      <w:r>
        <w:rPr>
          <w:spacing w:val="-1"/>
          <w:w w:val="95"/>
        </w:rPr>
        <w:t xml:space="preserve"> </w:t>
      </w:r>
      <w:r>
        <w:rPr>
          <w:w w:val="95"/>
        </w:rPr>
        <w:t>infrastructure,</w:t>
      </w:r>
      <w:r>
        <w:rPr>
          <w:spacing w:val="-1"/>
          <w:w w:val="95"/>
        </w:rPr>
        <w:t xml:space="preserve"> </w:t>
      </w:r>
      <w:r>
        <w:rPr>
          <w:w w:val="95"/>
        </w:rPr>
        <w:t>providing</w:t>
      </w:r>
      <w:r>
        <w:rPr>
          <w:spacing w:val="-1"/>
          <w:w w:val="95"/>
        </w:rPr>
        <w:t xml:space="preserve"> </w:t>
      </w:r>
      <w:r>
        <w:rPr>
          <w:w w:val="95"/>
        </w:rPr>
        <w:t>costs</w:t>
      </w:r>
      <w:r>
        <w:rPr>
          <w:spacing w:val="-1"/>
          <w:w w:val="95"/>
        </w:rPr>
        <w:t xml:space="preserve"> </w:t>
      </w:r>
      <w:r>
        <w:rPr>
          <w:w w:val="95"/>
        </w:rPr>
        <w:t>are</w:t>
      </w:r>
      <w:r>
        <w:rPr>
          <w:spacing w:val="-1"/>
          <w:w w:val="95"/>
        </w:rPr>
        <w:t xml:space="preserve"> </w:t>
      </w:r>
      <w:r>
        <w:rPr>
          <w:w w:val="95"/>
        </w:rPr>
        <w:t xml:space="preserve">kept </w:t>
      </w:r>
      <w:r>
        <w:t>under</w:t>
      </w:r>
      <w:r>
        <w:rPr>
          <w:spacing w:val="-11"/>
        </w:rPr>
        <w:t xml:space="preserve"> </w:t>
      </w:r>
      <w:r>
        <w:t>control</w:t>
      </w:r>
      <w:r>
        <w:rPr>
          <w:position w:val="7"/>
          <w:sz w:val="11"/>
        </w:rPr>
        <w:t>9</w:t>
      </w:r>
      <w:r>
        <w:t>.</w:t>
      </w:r>
    </w:p>
    <w:p w:rsidR="002C1123" w:rsidRDefault="00F22F94">
      <w:pPr>
        <w:pStyle w:val="BodyText"/>
        <w:spacing w:before="144" w:line="249" w:lineRule="auto"/>
        <w:ind w:left="187" w:right="28"/>
      </w:pPr>
      <w:r>
        <w:t>In</w:t>
      </w:r>
      <w:r>
        <w:rPr>
          <w:spacing w:val="-9"/>
        </w:rPr>
        <w:t xml:space="preserve"> </w:t>
      </w:r>
      <w:r>
        <w:t>the</w:t>
      </w:r>
      <w:r>
        <w:rPr>
          <w:spacing w:val="-9"/>
        </w:rPr>
        <w:t xml:space="preserve"> </w:t>
      </w:r>
      <w:r>
        <w:t>UK,</w:t>
      </w:r>
      <w:r>
        <w:rPr>
          <w:spacing w:val="-9"/>
        </w:rPr>
        <w:t xml:space="preserve"> </w:t>
      </w:r>
      <w:r>
        <w:t>fares</w:t>
      </w:r>
      <w:r>
        <w:rPr>
          <w:spacing w:val="-9"/>
        </w:rPr>
        <w:t xml:space="preserve"> </w:t>
      </w:r>
      <w:r>
        <w:t>on</w:t>
      </w:r>
      <w:r>
        <w:rPr>
          <w:spacing w:val="-9"/>
        </w:rPr>
        <w:t xml:space="preserve"> </w:t>
      </w:r>
      <w:r>
        <w:t>the</w:t>
      </w:r>
      <w:r>
        <w:rPr>
          <w:spacing w:val="-9"/>
        </w:rPr>
        <w:t xml:space="preserve"> </w:t>
      </w:r>
      <w:r>
        <w:t>London</w:t>
      </w:r>
      <w:r>
        <w:rPr>
          <w:spacing w:val="-9"/>
        </w:rPr>
        <w:t xml:space="preserve"> </w:t>
      </w:r>
      <w:r>
        <w:t>Underground</w:t>
      </w:r>
      <w:r>
        <w:rPr>
          <w:spacing w:val="-9"/>
        </w:rPr>
        <w:t xml:space="preserve"> </w:t>
      </w:r>
      <w:r>
        <w:t>and London</w:t>
      </w:r>
      <w:r>
        <w:rPr>
          <w:spacing w:val="-14"/>
        </w:rPr>
        <w:t xml:space="preserve"> </w:t>
      </w:r>
      <w:r>
        <w:t>suburban</w:t>
      </w:r>
      <w:r>
        <w:rPr>
          <w:spacing w:val="-14"/>
        </w:rPr>
        <w:t xml:space="preserve"> </w:t>
      </w:r>
      <w:r>
        <w:t>rail</w:t>
      </w:r>
      <w:r>
        <w:rPr>
          <w:spacing w:val="-14"/>
        </w:rPr>
        <w:t xml:space="preserve"> </w:t>
      </w:r>
      <w:r>
        <w:t>services</w:t>
      </w:r>
      <w:r>
        <w:rPr>
          <w:spacing w:val="-14"/>
        </w:rPr>
        <w:t xml:space="preserve"> </w:t>
      </w:r>
      <w:r>
        <w:t>have</w:t>
      </w:r>
      <w:r>
        <w:rPr>
          <w:spacing w:val="-14"/>
        </w:rPr>
        <w:t xml:space="preserve"> </w:t>
      </w:r>
      <w:r>
        <w:t>progressively increased</w:t>
      </w:r>
      <w:r>
        <w:rPr>
          <w:spacing w:val="-11"/>
        </w:rPr>
        <w:t xml:space="preserve"> </w:t>
      </w:r>
      <w:r>
        <w:t>in</w:t>
      </w:r>
      <w:r>
        <w:rPr>
          <w:spacing w:val="-11"/>
        </w:rPr>
        <w:t xml:space="preserve"> </w:t>
      </w:r>
      <w:r>
        <w:t>real</w:t>
      </w:r>
      <w:r>
        <w:rPr>
          <w:spacing w:val="-11"/>
        </w:rPr>
        <w:t xml:space="preserve"> </w:t>
      </w:r>
      <w:r>
        <w:t>terms</w:t>
      </w:r>
      <w:r>
        <w:rPr>
          <w:spacing w:val="-11"/>
        </w:rPr>
        <w:t xml:space="preserve"> </w:t>
      </w:r>
      <w:r>
        <w:t>over</w:t>
      </w:r>
      <w:r>
        <w:rPr>
          <w:spacing w:val="-11"/>
        </w:rPr>
        <w:t xml:space="preserve"> </w:t>
      </w:r>
      <w:r>
        <w:t>the</w:t>
      </w:r>
      <w:r>
        <w:rPr>
          <w:spacing w:val="-11"/>
        </w:rPr>
        <w:t xml:space="preserve"> </w:t>
      </w:r>
      <w:r>
        <w:t>last</w:t>
      </w:r>
      <w:r>
        <w:rPr>
          <w:spacing w:val="-11"/>
        </w:rPr>
        <w:t xml:space="preserve"> </w:t>
      </w:r>
      <w:r>
        <w:t>two</w:t>
      </w:r>
      <w:r>
        <w:rPr>
          <w:spacing w:val="-11"/>
        </w:rPr>
        <w:t xml:space="preserve"> </w:t>
      </w:r>
      <w:r>
        <w:t>decades. Despite</w:t>
      </w:r>
      <w:r>
        <w:rPr>
          <w:spacing w:val="-14"/>
        </w:rPr>
        <w:t xml:space="preserve"> </w:t>
      </w:r>
      <w:r>
        <w:t>these</w:t>
      </w:r>
      <w:r>
        <w:rPr>
          <w:spacing w:val="-14"/>
        </w:rPr>
        <w:t xml:space="preserve"> </w:t>
      </w:r>
      <w:r>
        <w:t>fare</w:t>
      </w:r>
      <w:r>
        <w:rPr>
          <w:spacing w:val="-14"/>
        </w:rPr>
        <w:t xml:space="preserve"> </w:t>
      </w:r>
      <w:r>
        <w:t>increases,</w:t>
      </w:r>
      <w:r>
        <w:rPr>
          <w:spacing w:val="-14"/>
        </w:rPr>
        <w:t xml:space="preserve"> </w:t>
      </w:r>
      <w:r>
        <w:t>patronage</w:t>
      </w:r>
      <w:r>
        <w:rPr>
          <w:spacing w:val="-14"/>
        </w:rPr>
        <w:t xml:space="preserve"> </w:t>
      </w:r>
      <w:r>
        <w:t>on</w:t>
      </w:r>
      <w:r>
        <w:rPr>
          <w:spacing w:val="-14"/>
        </w:rPr>
        <w:t xml:space="preserve"> </w:t>
      </w:r>
      <w:r>
        <w:t>these networks</w:t>
      </w:r>
      <w:r>
        <w:rPr>
          <w:spacing w:val="-14"/>
        </w:rPr>
        <w:t xml:space="preserve"> </w:t>
      </w:r>
      <w:r>
        <w:t>has</w:t>
      </w:r>
      <w:r>
        <w:rPr>
          <w:spacing w:val="-14"/>
        </w:rPr>
        <w:t xml:space="preserve"> </w:t>
      </w:r>
      <w:r>
        <w:t>grown</w:t>
      </w:r>
      <w:r>
        <w:rPr>
          <w:spacing w:val="-14"/>
        </w:rPr>
        <w:t xml:space="preserve"> </w:t>
      </w:r>
      <w:r>
        <w:t>much</w:t>
      </w:r>
      <w:r>
        <w:rPr>
          <w:spacing w:val="-14"/>
        </w:rPr>
        <w:t xml:space="preserve"> </w:t>
      </w:r>
      <w:r>
        <w:t>faster</w:t>
      </w:r>
      <w:r>
        <w:rPr>
          <w:spacing w:val="-14"/>
        </w:rPr>
        <w:t xml:space="preserve"> </w:t>
      </w:r>
      <w:r>
        <w:t>than</w:t>
      </w:r>
      <w:r>
        <w:rPr>
          <w:spacing w:val="-14"/>
        </w:rPr>
        <w:t xml:space="preserve"> </w:t>
      </w:r>
      <w:r>
        <w:t>on</w:t>
      </w:r>
      <w:r>
        <w:rPr>
          <w:spacing w:val="-14"/>
        </w:rPr>
        <w:t xml:space="preserve"> </w:t>
      </w:r>
      <w:r>
        <w:t>the</w:t>
      </w:r>
      <w:r>
        <w:rPr>
          <w:spacing w:val="-14"/>
        </w:rPr>
        <w:t xml:space="preserve"> </w:t>
      </w:r>
      <w:r>
        <w:t xml:space="preserve">Sydney </w:t>
      </w:r>
      <w:r>
        <w:rPr>
          <w:w w:val="95"/>
        </w:rPr>
        <w:t>network</w:t>
      </w:r>
      <w:r>
        <w:rPr>
          <w:spacing w:val="-1"/>
          <w:w w:val="95"/>
        </w:rPr>
        <w:t xml:space="preserve"> </w:t>
      </w:r>
      <w:r>
        <w:rPr>
          <w:w w:val="95"/>
        </w:rPr>
        <w:t>(refer</w:t>
      </w:r>
      <w:r>
        <w:rPr>
          <w:spacing w:val="-1"/>
          <w:w w:val="95"/>
        </w:rPr>
        <w:t xml:space="preserve"> </w:t>
      </w:r>
      <w:r>
        <w:rPr>
          <w:w w:val="95"/>
        </w:rPr>
        <w:t>Section</w:t>
      </w:r>
      <w:r>
        <w:rPr>
          <w:spacing w:val="-1"/>
          <w:w w:val="95"/>
        </w:rPr>
        <w:t xml:space="preserve"> </w:t>
      </w:r>
      <w:r>
        <w:rPr>
          <w:w w:val="95"/>
        </w:rPr>
        <w:t>8.1).</w:t>
      </w:r>
      <w:r>
        <w:rPr>
          <w:spacing w:val="-1"/>
          <w:w w:val="95"/>
        </w:rPr>
        <w:t xml:space="preserve"> </w:t>
      </w:r>
      <w:r>
        <w:rPr>
          <w:w w:val="95"/>
        </w:rPr>
        <w:t>Fare</w:t>
      </w:r>
      <w:r>
        <w:rPr>
          <w:spacing w:val="-1"/>
          <w:w w:val="95"/>
        </w:rPr>
        <w:t xml:space="preserve"> </w:t>
      </w:r>
      <w:r>
        <w:rPr>
          <w:w w:val="95"/>
        </w:rPr>
        <w:t>increases</w:t>
      </w:r>
      <w:r>
        <w:rPr>
          <w:spacing w:val="-1"/>
          <w:w w:val="95"/>
        </w:rPr>
        <w:t xml:space="preserve"> </w:t>
      </w:r>
      <w:r>
        <w:rPr>
          <w:w w:val="95"/>
        </w:rPr>
        <w:t>have</w:t>
      </w:r>
      <w:r>
        <w:rPr>
          <w:spacing w:val="-1"/>
          <w:w w:val="95"/>
        </w:rPr>
        <w:t xml:space="preserve"> </w:t>
      </w:r>
      <w:r>
        <w:rPr>
          <w:w w:val="95"/>
        </w:rPr>
        <w:t xml:space="preserve">been used to fund major network enhancements, improving </w:t>
      </w:r>
      <w:r>
        <w:t>the customer experience.</w:t>
      </w:r>
    </w:p>
    <w:p w:rsidR="002C1123" w:rsidRDefault="002C1123">
      <w:pPr>
        <w:pStyle w:val="BodyText"/>
        <w:spacing w:before="3"/>
        <w:rPr>
          <w:sz w:val="15"/>
        </w:rPr>
      </w:pPr>
    </w:p>
    <w:p w:rsidR="002C1123" w:rsidRDefault="002060EF">
      <w:pPr>
        <w:pStyle w:val="BodyText"/>
        <w:ind w:left="187" w:right="-72"/>
      </w:pPr>
      <w:r>
        <w:pict>
          <v:shape id="docshape2900" o:spid="_x0000_s5253" type="#_x0000_t202" style="width:240pt;height:105.35pt;mso-left-percent:-10001;mso-top-percent:-10001;mso-position-horizontal:absolute;mso-position-horizontal-relative:char;mso-position-vertical:absolute;mso-position-vertical-relative:line;mso-left-percent:-10001;mso-top-percent:-10001" fillcolor="#e1e0e1" stroked="f">
            <v:textbox inset="0,0,0,0">
              <w:txbxContent>
                <w:p w:rsidR="00F22F94" w:rsidRDefault="00F22F94">
                  <w:pPr>
                    <w:pStyle w:val="BodyText"/>
                    <w:spacing w:before="68" w:line="249" w:lineRule="auto"/>
                    <w:ind w:left="113" w:right="245"/>
                    <w:rPr>
                      <w:color w:val="000000"/>
                    </w:rPr>
                  </w:pPr>
                  <w:r>
                    <w:rPr>
                      <w:b/>
                      <w:color w:val="00AEEF"/>
                    </w:rPr>
                    <w:t>Recommendation</w:t>
                  </w:r>
                  <w:r>
                    <w:rPr>
                      <w:b/>
                      <w:color w:val="00AEEF"/>
                      <w:spacing w:val="40"/>
                    </w:rPr>
                    <w:t xml:space="preserve"> </w:t>
                  </w:r>
                  <w:r>
                    <w:rPr>
                      <w:color w:val="000000"/>
                    </w:rPr>
                    <w:t xml:space="preserve">Consistent with the NSW Commission of Audit, Infrastructure NSW recommends that the NSW Government reduce the proportion of funding that transport agencies </w:t>
                  </w:r>
                  <w:r>
                    <w:rPr>
                      <w:color w:val="000000"/>
                      <w:w w:val="95"/>
                    </w:rPr>
                    <w:t>receive</w:t>
                  </w:r>
                  <w:r>
                    <w:rPr>
                      <w:color w:val="000000"/>
                      <w:spacing w:val="-8"/>
                      <w:w w:val="95"/>
                    </w:rPr>
                    <w:t xml:space="preserve"> </w:t>
                  </w:r>
                  <w:r>
                    <w:rPr>
                      <w:color w:val="000000"/>
                      <w:w w:val="95"/>
                    </w:rPr>
                    <w:t>from</w:t>
                  </w:r>
                  <w:r>
                    <w:rPr>
                      <w:color w:val="000000"/>
                      <w:spacing w:val="-9"/>
                      <w:w w:val="95"/>
                    </w:rPr>
                    <w:t xml:space="preserve"> </w:t>
                  </w:r>
                  <w:r>
                    <w:rPr>
                      <w:color w:val="000000"/>
                      <w:w w:val="95"/>
                    </w:rPr>
                    <w:t>public</w:t>
                  </w:r>
                  <w:r>
                    <w:rPr>
                      <w:color w:val="000000"/>
                      <w:spacing w:val="-7"/>
                      <w:w w:val="95"/>
                    </w:rPr>
                    <w:t xml:space="preserve"> </w:t>
                  </w:r>
                  <w:r>
                    <w:rPr>
                      <w:color w:val="000000"/>
                      <w:w w:val="95"/>
                    </w:rPr>
                    <w:t>subsidy</w:t>
                  </w:r>
                  <w:r>
                    <w:rPr>
                      <w:color w:val="000000"/>
                      <w:spacing w:val="-8"/>
                      <w:w w:val="95"/>
                    </w:rPr>
                    <w:t xml:space="preserve"> </w:t>
                  </w:r>
                  <w:r>
                    <w:rPr>
                      <w:color w:val="000000"/>
                      <w:w w:val="95"/>
                    </w:rPr>
                    <w:t>to</w:t>
                  </w:r>
                  <w:r>
                    <w:rPr>
                      <w:color w:val="000000"/>
                      <w:spacing w:val="-8"/>
                      <w:w w:val="95"/>
                    </w:rPr>
                    <w:t xml:space="preserve"> </w:t>
                  </w:r>
                  <w:r>
                    <w:rPr>
                      <w:color w:val="000000"/>
                      <w:w w:val="95"/>
                    </w:rPr>
                    <w:t>the</w:t>
                  </w:r>
                  <w:r>
                    <w:rPr>
                      <w:color w:val="000000"/>
                      <w:spacing w:val="-8"/>
                      <w:w w:val="95"/>
                    </w:rPr>
                    <w:t xml:space="preserve"> </w:t>
                  </w:r>
                  <w:r>
                    <w:rPr>
                      <w:color w:val="000000"/>
                      <w:w w:val="95"/>
                    </w:rPr>
                    <w:t>levels</w:t>
                  </w:r>
                  <w:r>
                    <w:rPr>
                      <w:color w:val="000000"/>
                      <w:spacing w:val="-8"/>
                      <w:w w:val="95"/>
                    </w:rPr>
                    <w:t xml:space="preserve"> </w:t>
                  </w:r>
                  <w:r>
                    <w:rPr>
                      <w:color w:val="000000"/>
                      <w:spacing w:val="-2"/>
                      <w:w w:val="95"/>
                    </w:rPr>
                    <w:t>determined</w:t>
                  </w:r>
                </w:p>
                <w:p w:rsidR="00F22F94" w:rsidRDefault="00F22F94">
                  <w:pPr>
                    <w:pStyle w:val="BodyText"/>
                    <w:spacing w:before="4" w:line="249" w:lineRule="auto"/>
                    <w:ind w:left="113" w:right="122"/>
                    <w:rPr>
                      <w:color w:val="000000"/>
                    </w:rPr>
                  </w:pPr>
                  <w:r>
                    <w:rPr>
                      <w:color w:val="000000"/>
                      <w:spacing w:val="-2"/>
                      <w:w w:val="95"/>
                    </w:rPr>
                    <w:t>as</w:t>
                  </w:r>
                  <w:r>
                    <w:rPr>
                      <w:color w:val="000000"/>
                      <w:spacing w:val="-6"/>
                      <w:w w:val="95"/>
                    </w:rPr>
                    <w:t xml:space="preserve"> </w:t>
                  </w:r>
                  <w:r>
                    <w:rPr>
                      <w:color w:val="000000"/>
                      <w:spacing w:val="-2"/>
                      <w:w w:val="95"/>
                    </w:rPr>
                    <w:t>efficient</w:t>
                  </w:r>
                  <w:r>
                    <w:rPr>
                      <w:color w:val="000000"/>
                      <w:spacing w:val="-6"/>
                      <w:w w:val="95"/>
                    </w:rPr>
                    <w:t xml:space="preserve"> </w:t>
                  </w:r>
                  <w:r>
                    <w:rPr>
                      <w:color w:val="000000"/>
                      <w:spacing w:val="-2"/>
                      <w:w w:val="95"/>
                    </w:rPr>
                    <w:t>by</w:t>
                  </w:r>
                  <w:r>
                    <w:rPr>
                      <w:color w:val="000000"/>
                      <w:spacing w:val="-6"/>
                      <w:w w:val="95"/>
                    </w:rPr>
                    <w:t xml:space="preserve"> </w:t>
                  </w:r>
                  <w:r>
                    <w:rPr>
                      <w:color w:val="000000"/>
                      <w:spacing w:val="-2"/>
                      <w:w w:val="95"/>
                    </w:rPr>
                    <w:t>IPART.</w:t>
                  </w:r>
                  <w:r>
                    <w:rPr>
                      <w:color w:val="000000"/>
                      <w:spacing w:val="-6"/>
                      <w:w w:val="95"/>
                    </w:rPr>
                    <w:t xml:space="preserve"> </w:t>
                  </w:r>
                  <w:r>
                    <w:rPr>
                      <w:color w:val="000000"/>
                      <w:spacing w:val="-2"/>
                      <w:w w:val="95"/>
                    </w:rPr>
                    <w:t>This</w:t>
                  </w:r>
                  <w:r>
                    <w:rPr>
                      <w:color w:val="000000"/>
                      <w:spacing w:val="-6"/>
                      <w:w w:val="95"/>
                    </w:rPr>
                    <w:t xml:space="preserve"> </w:t>
                  </w:r>
                  <w:r>
                    <w:rPr>
                      <w:color w:val="000000"/>
                      <w:spacing w:val="-2"/>
                      <w:w w:val="95"/>
                    </w:rPr>
                    <w:t>will</w:t>
                  </w:r>
                  <w:r>
                    <w:rPr>
                      <w:color w:val="000000"/>
                      <w:spacing w:val="-6"/>
                      <w:w w:val="95"/>
                    </w:rPr>
                    <w:t xml:space="preserve"> </w:t>
                  </w:r>
                  <w:r>
                    <w:rPr>
                      <w:color w:val="000000"/>
                      <w:spacing w:val="-2"/>
                      <w:w w:val="95"/>
                    </w:rPr>
                    <w:t>be</w:t>
                  </w:r>
                  <w:r>
                    <w:rPr>
                      <w:color w:val="000000"/>
                      <w:spacing w:val="-6"/>
                      <w:w w:val="95"/>
                    </w:rPr>
                    <w:t xml:space="preserve"> </w:t>
                  </w:r>
                  <w:r>
                    <w:rPr>
                      <w:color w:val="000000"/>
                      <w:spacing w:val="-2"/>
                      <w:w w:val="95"/>
                    </w:rPr>
                    <w:t>achieved</w:t>
                  </w:r>
                  <w:r>
                    <w:rPr>
                      <w:color w:val="000000"/>
                      <w:spacing w:val="-6"/>
                      <w:w w:val="95"/>
                    </w:rPr>
                    <w:t xml:space="preserve"> </w:t>
                  </w:r>
                  <w:r>
                    <w:rPr>
                      <w:color w:val="000000"/>
                      <w:spacing w:val="-2"/>
                      <w:w w:val="95"/>
                    </w:rPr>
                    <w:t>through</w:t>
                  </w:r>
                  <w:r>
                    <w:rPr>
                      <w:color w:val="000000"/>
                      <w:spacing w:val="-6"/>
                      <w:w w:val="95"/>
                    </w:rPr>
                    <w:t xml:space="preserve"> </w:t>
                  </w:r>
                  <w:r>
                    <w:rPr>
                      <w:color w:val="000000"/>
                      <w:spacing w:val="-2"/>
                      <w:w w:val="95"/>
                    </w:rPr>
                    <w:t xml:space="preserve">a </w:t>
                  </w:r>
                  <w:r>
                    <w:rPr>
                      <w:color w:val="000000"/>
                      <w:w w:val="95"/>
                    </w:rPr>
                    <w:t xml:space="preserve">combination of operational efficiencies and modest </w:t>
                  </w:r>
                  <w:r>
                    <w:rPr>
                      <w:color w:val="000000"/>
                    </w:rPr>
                    <w:t>fare</w:t>
                  </w:r>
                  <w:r>
                    <w:rPr>
                      <w:color w:val="000000"/>
                      <w:spacing w:val="-7"/>
                    </w:rPr>
                    <w:t xml:space="preserve"> </w:t>
                  </w:r>
                  <w:r>
                    <w:rPr>
                      <w:color w:val="000000"/>
                    </w:rPr>
                    <w:t>rises.</w:t>
                  </w:r>
                </w:p>
              </w:txbxContent>
            </v:textbox>
            <w10:anchorlock/>
          </v:shape>
        </w:pict>
      </w:r>
    </w:p>
    <w:p w:rsidR="002C1123" w:rsidRDefault="002C1123">
      <w:pPr>
        <w:pStyle w:val="BodyText"/>
        <w:spacing w:before="8"/>
        <w:rPr>
          <w:sz w:val="8"/>
        </w:rPr>
      </w:pPr>
    </w:p>
    <w:p w:rsidR="002C1123" w:rsidRDefault="00F22F94">
      <w:pPr>
        <w:pStyle w:val="Heading6"/>
        <w:ind w:left="213"/>
      </w:pPr>
      <w:r>
        <w:rPr>
          <w:b w:val="0"/>
        </w:rPr>
        <w:br w:type="column"/>
      </w:r>
      <w:r>
        <w:rPr>
          <w:spacing w:val="-2"/>
        </w:rPr>
        <w:t>Reprioritisation</w:t>
      </w:r>
    </w:p>
    <w:p w:rsidR="002C1123" w:rsidRDefault="00F22F94">
      <w:pPr>
        <w:pStyle w:val="BodyText"/>
        <w:spacing w:before="10" w:line="249" w:lineRule="auto"/>
        <w:ind w:left="213" w:right="883"/>
      </w:pPr>
      <w:r>
        <w:t>It</w:t>
      </w:r>
      <w:r>
        <w:rPr>
          <w:spacing w:val="-8"/>
        </w:rPr>
        <w:t xml:space="preserve"> </w:t>
      </w:r>
      <w:r>
        <w:t>is</w:t>
      </w:r>
      <w:r>
        <w:rPr>
          <w:spacing w:val="-8"/>
        </w:rPr>
        <w:t xml:space="preserve"> </w:t>
      </w:r>
      <w:r>
        <w:t>possible</w:t>
      </w:r>
      <w:r>
        <w:rPr>
          <w:spacing w:val="-8"/>
        </w:rPr>
        <w:t xml:space="preserve"> </w:t>
      </w:r>
      <w:r>
        <w:t>that</w:t>
      </w:r>
      <w:r>
        <w:rPr>
          <w:spacing w:val="-8"/>
        </w:rPr>
        <w:t xml:space="preserve"> </w:t>
      </w:r>
      <w:r>
        <w:t>funding</w:t>
      </w:r>
      <w:r>
        <w:rPr>
          <w:spacing w:val="-8"/>
        </w:rPr>
        <w:t xml:space="preserve"> </w:t>
      </w:r>
      <w:r>
        <w:t>contributions</w:t>
      </w:r>
      <w:r>
        <w:rPr>
          <w:spacing w:val="-8"/>
        </w:rPr>
        <w:t xml:space="preserve"> </w:t>
      </w:r>
      <w:r>
        <w:t>from</w:t>
      </w:r>
      <w:r>
        <w:rPr>
          <w:spacing w:val="-8"/>
        </w:rPr>
        <w:t xml:space="preserve"> </w:t>
      </w:r>
      <w:r>
        <w:t xml:space="preserve">users </w:t>
      </w:r>
      <w:r>
        <w:rPr>
          <w:w w:val="95"/>
        </w:rPr>
        <w:t>and</w:t>
      </w:r>
      <w:r>
        <w:rPr>
          <w:spacing w:val="-2"/>
          <w:w w:val="95"/>
        </w:rPr>
        <w:t xml:space="preserve"> </w:t>
      </w:r>
      <w:r>
        <w:rPr>
          <w:w w:val="95"/>
        </w:rPr>
        <w:t>from</w:t>
      </w:r>
      <w:r>
        <w:rPr>
          <w:spacing w:val="-2"/>
          <w:w w:val="95"/>
        </w:rPr>
        <w:t xml:space="preserve"> </w:t>
      </w:r>
      <w:r>
        <w:rPr>
          <w:w w:val="95"/>
        </w:rPr>
        <w:t>Restart</w:t>
      </w:r>
      <w:r>
        <w:rPr>
          <w:spacing w:val="-2"/>
          <w:w w:val="95"/>
        </w:rPr>
        <w:t xml:space="preserve"> </w:t>
      </w:r>
      <w:r>
        <w:rPr>
          <w:w w:val="95"/>
        </w:rPr>
        <w:t>NSW</w:t>
      </w:r>
      <w:r>
        <w:rPr>
          <w:spacing w:val="-2"/>
          <w:w w:val="95"/>
        </w:rPr>
        <w:t xml:space="preserve"> </w:t>
      </w:r>
      <w:r>
        <w:rPr>
          <w:w w:val="95"/>
        </w:rPr>
        <w:t>will</w:t>
      </w:r>
      <w:r>
        <w:rPr>
          <w:spacing w:val="-2"/>
          <w:w w:val="95"/>
        </w:rPr>
        <w:t xml:space="preserve"> </w:t>
      </w:r>
      <w:r>
        <w:rPr>
          <w:w w:val="95"/>
        </w:rPr>
        <w:t>be</w:t>
      </w:r>
      <w:r>
        <w:rPr>
          <w:spacing w:val="-2"/>
          <w:w w:val="95"/>
        </w:rPr>
        <w:t xml:space="preserve"> </w:t>
      </w:r>
      <w:r>
        <w:rPr>
          <w:w w:val="95"/>
        </w:rPr>
        <w:t>sufficient</w:t>
      </w:r>
      <w:r>
        <w:rPr>
          <w:spacing w:val="-2"/>
          <w:w w:val="95"/>
        </w:rPr>
        <w:t xml:space="preserve"> </w:t>
      </w:r>
      <w:r>
        <w:rPr>
          <w:w w:val="95"/>
        </w:rPr>
        <w:t>to</w:t>
      </w:r>
      <w:r>
        <w:rPr>
          <w:spacing w:val="-2"/>
          <w:w w:val="95"/>
        </w:rPr>
        <w:t xml:space="preserve"> </w:t>
      </w:r>
      <w:r>
        <w:rPr>
          <w:w w:val="95"/>
        </w:rPr>
        <w:t>support</w:t>
      </w:r>
      <w:r>
        <w:rPr>
          <w:spacing w:val="-2"/>
          <w:w w:val="95"/>
        </w:rPr>
        <w:t xml:space="preserve"> </w:t>
      </w:r>
      <w:r>
        <w:rPr>
          <w:w w:val="95"/>
        </w:rPr>
        <w:t xml:space="preserve">the </w:t>
      </w:r>
      <w:r>
        <w:t>delivery</w:t>
      </w:r>
      <w:r>
        <w:rPr>
          <w:spacing w:val="-13"/>
        </w:rPr>
        <w:t xml:space="preserve"> </w:t>
      </w:r>
      <w:r>
        <w:t>of</w:t>
      </w:r>
      <w:r>
        <w:rPr>
          <w:spacing w:val="-13"/>
        </w:rPr>
        <w:t xml:space="preserve"> </w:t>
      </w:r>
      <w:r>
        <w:t>the</w:t>
      </w:r>
      <w:r>
        <w:rPr>
          <w:spacing w:val="-13"/>
        </w:rPr>
        <w:t xml:space="preserve"> </w:t>
      </w:r>
      <w:r>
        <w:t>priority</w:t>
      </w:r>
      <w:r>
        <w:rPr>
          <w:spacing w:val="-13"/>
        </w:rPr>
        <w:t xml:space="preserve"> </w:t>
      </w:r>
      <w:r>
        <w:t>projects.</w:t>
      </w:r>
      <w:r>
        <w:rPr>
          <w:spacing w:val="-13"/>
        </w:rPr>
        <w:t xml:space="preserve"> </w:t>
      </w:r>
      <w:r>
        <w:t>To</w:t>
      </w:r>
      <w:r>
        <w:rPr>
          <w:spacing w:val="-14"/>
        </w:rPr>
        <w:t xml:space="preserve"> </w:t>
      </w:r>
      <w:r>
        <w:t>the</w:t>
      </w:r>
      <w:r>
        <w:rPr>
          <w:spacing w:val="-13"/>
        </w:rPr>
        <w:t xml:space="preserve"> </w:t>
      </w:r>
      <w:r>
        <w:t>extent</w:t>
      </w:r>
      <w:r>
        <w:rPr>
          <w:spacing w:val="-13"/>
        </w:rPr>
        <w:t xml:space="preserve"> </w:t>
      </w:r>
      <w:r>
        <w:t>that</w:t>
      </w:r>
      <w:r>
        <w:rPr>
          <w:spacing w:val="-13"/>
        </w:rPr>
        <w:t xml:space="preserve"> </w:t>
      </w:r>
      <w:r>
        <w:t>a</w:t>
      </w:r>
    </w:p>
    <w:p w:rsidR="002C1123" w:rsidRDefault="00F22F94">
      <w:pPr>
        <w:pStyle w:val="BodyText"/>
        <w:spacing w:before="2" w:line="249" w:lineRule="auto"/>
        <w:ind w:left="213" w:right="785"/>
      </w:pPr>
      <w:r>
        <w:rPr>
          <w:w w:val="95"/>
        </w:rPr>
        <w:t>funding</w:t>
      </w:r>
      <w:r>
        <w:rPr>
          <w:spacing w:val="-4"/>
          <w:w w:val="95"/>
        </w:rPr>
        <w:t xml:space="preserve"> </w:t>
      </w:r>
      <w:r>
        <w:rPr>
          <w:w w:val="95"/>
        </w:rPr>
        <w:t>shortfall</w:t>
      </w:r>
      <w:r>
        <w:rPr>
          <w:spacing w:val="-4"/>
          <w:w w:val="95"/>
        </w:rPr>
        <w:t xml:space="preserve"> </w:t>
      </w:r>
      <w:r>
        <w:rPr>
          <w:w w:val="95"/>
        </w:rPr>
        <w:t>exists,</w:t>
      </w:r>
      <w:r>
        <w:rPr>
          <w:spacing w:val="-4"/>
          <w:w w:val="95"/>
        </w:rPr>
        <w:t xml:space="preserve"> </w:t>
      </w:r>
      <w:r>
        <w:rPr>
          <w:w w:val="95"/>
        </w:rPr>
        <w:t>Infrastructure</w:t>
      </w:r>
      <w:r>
        <w:rPr>
          <w:spacing w:val="-4"/>
          <w:w w:val="95"/>
        </w:rPr>
        <w:t xml:space="preserve"> </w:t>
      </w:r>
      <w:r>
        <w:rPr>
          <w:w w:val="95"/>
        </w:rPr>
        <w:t>NSW</w:t>
      </w:r>
      <w:r>
        <w:rPr>
          <w:spacing w:val="-4"/>
          <w:w w:val="95"/>
        </w:rPr>
        <w:t xml:space="preserve"> </w:t>
      </w:r>
      <w:r>
        <w:rPr>
          <w:w w:val="95"/>
        </w:rPr>
        <w:t>proposes</w:t>
      </w:r>
      <w:r>
        <w:rPr>
          <w:spacing w:val="-4"/>
          <w:w w:val="95"/>
        </w:rPr>
        <w:t xml:space="preserve"> </w:t>
      </w:r>
      <w:r>
        <w:rPr>
          <w:w w:val="95"/>
        </w:rPr>
        <w:t>a limited</w:t>
      </w:r>
      <w:r>
        <w:rPr>
          <w:spacing w:val="-2"/>
          <w:w w:val="95"/>
        </w:rPr>
        <w:t xml:space="preserve"> </w:t>
      </w:r>
      <w:r>
        <w:rPr>
          <w:w w:val="95"/>
        </w:rPr>
        <w:t>reprioritisation</w:t>
      </w:r>
      <w:r>
        <w:rPr>
          <w:spacing w:val="-2"/>
          <w:w w:val="95"/>
        </w:rPr>
        <w:t xml:space="preserve"> </w:t>
      </w:r>
      <w:r>
        <w:rPr>
          <w:w w:val="95"/>
        </w:rPr>
        <w:t>within</w:t>
      </w:r>
      <w:r>
        <w:rPr>
          <w:spacing w:val="-2"/>
          <w:w w:val="95"/>
        </w:rPr>
        <w:t xml:space="preserve"> </w:t>
      </w:r>
      <w:r>
        <w:rPr>
          <w:w w:val="95"/>
        </w:rPr>
        <w:t>the</w:t>
      </w:r>
      <w:r>
        <w:rPr>
          <w:spacing w:val="-2"/>
          <w:w w:val="95"/>
        </w:rPr>
        <w:t xml:space="preserve"> </w:t>
      </w:r>
      <w:r>
        <w:rPr>
          <w:w w:val="95"/>
        </w:rPr>
        <w:t>State’s</w:t>
      </w:r>
      <w:r>
        <w:rPr>
          <w:spacing w:val="-2"/>
          <w:w w:val="95"/>
        </w:rPr>
        <w:t xml:space="preserve"> </w:t>
      </w:r>
      <w:r>
        <w:rPr>
          <w:w w:val="95"/>
        </w:rPr>
        <w:t>existing</w:t>
      </w:r>
      <w:r>
        <w:rPr>
          <w:spacing w:val="-2"/>
          <w:w w:val="95"/>
        </w:rPr>
        <w:t xml:space="preserve"> </w:t>
      </w:r>
      <w:r>
        <w:rPr>
          <w:w w:val="95"/>
        </w:rPr>
        <w:t xml:space="preserve">capital </w:t>
      </w:r>
      <w:r>
        <w:t>program.</w:t>
      </w:r>
      <w:r>
        <w:rPr>
          <w:spacing w:val="-14"/>
        </w:rPr>
        <w:t xml:space="preserve"> </w:t>
      </w:r>
      <w:r>
        <w:t>For</w:t>
      </w:r>
      <w:r>
        <w:rPr>
          <w:spacing w:val="-14"/>
        </w:rPr>
        <w:t xml:space="preserve"> </w:t>
      </w:r>
      <w:r>
        <w:t>example</w:t>
      </w:r>
      <w:r>
        <w:rPr>
          <w:spacing w:val="-14"/>
        </w:rPr>
        <w:t xml:space="preserve"> </w:t>
      </w:r>
      <w:r>
        <w:t>a</w:t>
      </w:r>
      <w:r>
        <w:rPr>
          <w:spacing w:val="-14"/>
        </w:rPr>
        <w:t xml:space="preserve"> </w:t>
      </w:r>
      <w:r>
        <w:t>reprioritisation</w:t>
      </w:r>
      <w:r>
        <w:rPr>
          <w:spacing w:val="-14"/>
        </w:rPr>
        <w:t xml:space="preserve"> </w:t>
      </w:r>
      <w:r>
        <w:t>of</w:t>
      </w:r>
      <w:r>
        <w:rPr>
          <w:spacing w:val="-14"/>
        </w:rPr>
        <w:t xml:space="preserve"> </w:t>
      </w:r>
      <w:r>
        <w:t>$2</w:t>
      </w:r>
      <w:r>
        <w:rPr>
          <w:spacing w:val="-14"/>
        </w:rPr>
        <w:t xml:space="preserve"> </w:t>
      </w:r>
      <w:r>
        <w:t xml:space="preserve">billion </w:t>
      </w:r>
      <w:r>
        <w:rPr>
          <w:w w:val="95"/>
        </w:rPr>
        <w:t xml:space="preserve">would affect only three percent of the budgeted capital </w:t>
      </w:r>
      <w:r>
        <w:t>program</w:t>
      </w:r>
      <w:r>
        <w:rPr>
          <w:spacing w:val="-5"/>
        </w:rPr>
        <w:t xml:space="preserve"> </w:t>
      </w:r>
      <w:r>
        <w:t>over</w:t>
      </w:r>
      <w:r>
        <w:rPr>
          <w:spacing w:val="-5"/>
        </w:rPr>
        <w:t xml:space="preserve"> </w:t>
      </w:r>
      <w:r>
        <w:t>the</w:t>
      </w:r>
      <w:r>
        <w:rPr>
          <w:spacing w:val="-5"/>
        </w:rPr>
        <w:t xml:space="preserve"> </w:t>
      </w:r>
      <w:r>
        <w:t>next</w:t>
      </w:r>
      <w:r>
        <w:rPr>
          <w:spacing w:val="-5"/>
        </w:rPr>
        <w:t xml:space="preserve"> </w:t>
      </w:r>
      <w:r>
        <w:t>five</w:t>
      </w:r>
      <w:r>
        <w:rPr>
          <w:spacing w:val="-5"/>
        </w:rPr>
        <w:t xml:space="preserve"> </w:t>
      </w:r>
      <w:r>
        <w:t>years.</w:t>
      </w:r>
    </w:p>
    <w:p w:rsidR="002C1123" w:rsidRDefault="00F22F94">
      <w:pPr>
        <w:pStyle w:val="BodyText"/>
        <w:spacing w:before="146" w:line="249" w:lineRule="auto"/>
        <w:ind w:left="213" w:right="997"/>
      </w:pPr>
      <w:r>
        <w:t>Any</w:t>
      </w:r>
      <w:r>
        <w:rPr>
          <w:spacing w:val="-14"/>
        </w:rPr>
        <w:t xml:space="preserve"> </w:t>
      </w:r>
      <w:r>
        <w:t>reprioritisation</w:t>
      </w:r>
      <w:r>
        <w:rPr>
          <w:spacing w:val="-14"/>
        </w:rPr>
        <w:t xml:space="preserve"> </w:t>
      </w:r>
      <w:r>
        <w:t>of</w:t>
      </w:r>
      <w:r>
        <w:rPr>
          <w:spacing w:val="-14"/>
        </w:rPr>
        <w:t xml:space="preserve"> </w:t>
      </w:r>
      <w:r>
        <w:t>capital</w:t>
      </w:r>
      <w:r>
        <w:rPr>
          <w:spacing w:val="-14"/>
        </w:rPr>
        <w:t xml:space="preserve"> </w:t>
      </w:r>
      <w:r>
        <w:t>investment</w:t>
      </w:r>
      <w:r>
        <w:rPr>
          <w:spacing w:val="-14"/>
        </w:rPr>
        <w:t xml:space="preserve"> </w:t>
      </w:r>
      <w:r>
        <w:t>will</w:t>
      </w:r>
      <w:r>
        <w:rPr>
          <w:spacing w:val="-14"/>
        </w:rPr>
        <w:t xml:space="preserve"> </w:t>
      </w:r>
      <w:r>
        <w:t xml:space="preserve">be </w:t>
      </w:r>
      <w:r>
        <w:rPr>
          <w:w w:val="95"/>
        </w:rPr>
        <w:t>challenging.</w:t>
      </w:r>
      <w:r>
        <w:rPr>
          <w:spacing w:val="-9"/>
          <w:w w:val="95"/>
        </w:rPr>
        <w:t xml:space="preserve"> </w:t>
      </w:r>
      <w:r>
        <w:rPr>
          <w:w w:val="95"/>
        </w:rPr>
        <w:t>However,</w:t>
      </w:r>
      <w:r>
        <w:rPr>
          <w:spacing w:val="-9"/>
          <w:w w:val="95"/>
        </w:rPr>
        <w:t xml:space="preserve"> </w:t>
      </w:r>
      <w:r>
        <w:rPr>
          <w:w w:val="95"/>
        </w:rPr>
        <w:t>the</w:t>
      </w:r>
      <w:r>
        <w:rPr>
          <w:spacing w:val="-9"/>
          <w:w w:val="95"/>
        </w:rPr>
        <w:t xml:space="preserve"> </w:t>
      </w:r>
      <w:r>
        <w:rPr>
          <w:w w:val="95"/>
        </w:rPr>
        <w:t>significant</w:t>
      </w:r>
      <w:r>
        <w:rPr>
          <w:spacing w:val="-9"/>
          <w:w w:val="95"/>
        </w:rPr>
        <w:t xml:space="preserve"> </w:t>
      </w:r>
      <w:r>
        <w:rPr>
          <w:w w:val="95"/>
        </w:rPr>
        <w:t>benefits</w:t>
      </w:r>
      <w:r>
        <w:rPr>
          <w:spacing w:val="-9"/>
          <w:w w:val="95"/>
        </w:rPr>
        <w:t xml:space="preserve"> </w:t>
      </w:r>
      <w:r>
        <w:rPr>
          <w:w w:val="95"/>
        </w:rPr>
        <w:t xml:space="preserve">offered by the priority projects are essential to making NSW </w:t>
      </w:r>
      <w:r>
        <w:t>Number One again.</w:t>
      </w:r>
    </w:p>
    <w:p w:rsidR="002C1123" w:rsidRDefault="00F22F94">
      <w:pPr>
        <w:pStyle w:val="BodyText"/>
        <w:spacing w:before="145" w:line="249" w:lineRule="auto"/>
        <w:ind w:left="213" w:right="997"/>
      </w:pPr>
      <w:r>
        <w:t>The</w:t>
      </w:r>
      <w:r>
        <w:rPr>
          <w:spacing w:val="-12"/>
        </w:rPr>
        <w:t xml:space="preserve"> </w:t>
      </w:r>
      <w:r>
        <w:t>process</w:t>
      </w:r>
      <w:r>
        <w:rPr>
          <w:spacing w:val="-12"/>
        </w:rPr>
        <w:t xml:space="preserve"> </w:t>
      </w:r>
      <w:r>
        <w:t>for</w:t>
      </w:r>
      <w:r>
        <w:rPr>
          <w:spacing w:val="-12"/>
        </w:rPr>
        <w:t xml:space="preserve"> </w:t>
      </w:r>
      <w:r>
        <w:t>turning</w:t>
      </w:r>
      <w:r>
        <w:rPr>
          <w:spacing w:val="-12"/>
        </w:rPr>
        <w:t xml:space="preserve"> </w:t>
      </w:r>
      <w:r>
        <w:t>the</w:t>
      </w:r>
      <w:r>
        <w:rPr>
          <w:spacing w:val="-12"/>
        </w:rPr>
        <w:t xml:space="preserve"> </w:t>
      </w:r>
      <w:r>
        <w:t>strategy</w:t>
      </w:r>
      <w:r>
        <w:rPr>
          <w:spacing w:val="-12"/>
        </w:rPr>
        <w:t xml:space="preserve"> </w:t>
      </w:r>
      <w:r>
        <w:t>into</w:t>
      </w:r>
      <w:r>
        <w:rPr>
          <w:spacing w:val="-12"/>
        </w:rPr>
        <w:t xml:space="preserve"> </w:t>
      </w:r>
      <w:r>
        <w:t>a</w:t>
      </w:r>
      <w:r>
        <w:rPr>
          <w:spacing w:val="-12"/>
        </w:rPr>
        <w:t xml:space="preserve"> </w:t>
      </w:r>
      <w:r>
        <w:t>fully funded</w:t>
      </w:r>
      <w:r>
        <w:rPr>
          <w:spacing w:val="-12"/>
        </w:rPr>
        <w:t xml:space="preserve"> </w:t>
      </w:r>
      <w:r>
        <w:t>infrastructure</w:t>
      </w:r>
      <w:r>
        <w:rPr>
          <w:spacing w:val="-12"/>
        </w:rPr>
        <w:t xml:space="preserve"> </w:t>
      </w:r>
      <w:r>
        <w:t>program</w:t>
      </w:r>
      <w:r>
        <w:rPr>
          <w:spacing w:val="-12"/>
        </w:rPr>
        <w:t xml:space="preserve"> </w:t>
      </w:r>
      <w:r>
        <w:t>is</w:t>
      </w:r>
      <w:r>
        <w:rPr>
          <w:spacing w:val="-12"/>
        </w:rPr>
        <w:t xml:space="preserve"> </w:t>
      </w:r>
      <w:r>
        <w:t>through</w:t>
      </w:r>
      <w:r>
        <w:rPr>
          <w:spacing w:val="-12"/>
        </w:rPr>
        <w:t xml:space="preserve"> </w:t>
      </w:r>
      <w:r>
        <w:t>the</w:t>
      </w:r>
      <w:r>
        <w:rPr>
          <w:spacing w:val="-12"/>
        </w:rPr>
        <w:t xml:space="preserve"> </w:t>
      </w:r>
      <w:r>
        <w:t xml:space="preserve">Five </w:t>
      </w:r>
      <w:r>
        <w:rPr>
          <w:w w:val="95"/>
        </w:rPr>
        <w:t>Year</w:t>
      </w:r>
      <w:r>
        <w:rPr>
          <w:spacing w:val="-12"/>
          <w:w w:val="95"/>
        </w:rPr>
        <w:t xml:space="preserve"> </w:t>
      </w:r>
      <w:r>
        <w:rPr>
          <w:w w:val="95"/>
        </w:rPr>
        <w:t>Infrastructure</w:t>
      </w:r>
      <w:r>
        <w:rPr>
          <w:spacing w:val="-11"/>
          <w:w w:val="95"/>
        </w:rPr>
        <w:t xml:space="preserve"> </w:t>
      </w:r>
      <w:r>
        <w:rPr>
          <w:w w:val="95"/>
        </w:rPr>
        <w:t>Plan,</w:t>
      </w:r>
      <w:r>
        <w:rPr>
          <w:spacing w:val="-11"/>
          <w:w w:val="95"/>
        </w:rPr>
        <w:t xml:space="preserve"> </w:t>
      </w:r>
      <w:r>
        <w:rPr>
          <w:w w:val="95"/>
        </w:rPr>
        <w:t>discussed</w:t>
      </w:r>
      <w:r>
        <w:rPr>
          <w:spacing w:val="-11"/>
          <w:w w:val="95"/>
        </w:rPr>
        <w:t xml:space="preserve"> </w:t>
      </w:r>
      <w:r>
        <w:rPr>
          <w:w w:val="95"/>
        </w:rPr>
        <w:t>in</w:t>
      </w:r>
      <w:r>
        <w:rPr>
          <w:spacing w:val="-11"/>
          <w:w w:val="95"/>
        </w:rPr>
        <w:t xml:space="preserve"> </w:t>
      </w:r>
      <w:r>
        <w:rPr>
          <w:w w:val="95"/>
        </w:rPr>
        <w:t>more</w:t>
      </w:r>
      <w:r>
        <w:rPr>
          <w:spacing w:val="-11"/>
          <w:w w:val="95"/>
        </w:rPr>
        <w:t xml:space="preserve"> </w:t>
      </w:r>
      <w:r>
        <w:rPr>
          <w:w w:val="95"/>
        </w:rPr>
        <w:t>detail</w:t>
      </w:r>
      <w:r>
        <w:rPr>
          <w:spacing w:val="-11"/>
          <w:w w:val="95"/>
        </w:rPr>
        <w:t xml:space="preserve"> </w:t>
      </w:r>
      <w:r>
        <w:rPr>
          <w:w w:val="95"/>
        </w:rPr>
        <w:t xml:space="preserve">in </w:t>
      </w:r>
      <w:r>
        <w:t>section</w:t>
      </w:r>
      <w:r>
        <w:rPr>
          <w:spacing w:val="-11"/>
        </w:rPr>
        <w:t xml:space="preserve"> </w:t>
      </w:r>
      <w:r>
        <w:t>16.5.2.</w:t>
      </w:r>
    </w:p>
    <w:p w:rsidR="002C1123" w:rsidRDefault="002060EF">
      <w:pPr>
        <w:pStyle w:val="BodyText"/>
        <w:spacing w:before="11"/>
        <w:rPr>
          <w:sz w:val="12"/>
        </w:rPr>
      </w:pPr>
      <w:r>
        <w:pict>
          <v:shape id="docshape2901" o:spid="_x0000_s1124" type="#_x0000_t202" style="position:absolute;margin-left:552.3pt;margin-top:8.65pt;width:240pt;height:81.35pt;z-index:-251318272;mso-wrap-distance-left:0;mso-wrap-distance-right:0;mso-position-horizontal-relative:page" fillcolor="#e1e0e1" stroked="f">
            <v:textbox inset="0,0,0,0">
              <w:txbxContent>
                <w:p w:rsidR="00F22F94" w:rsidRDefault="00F22F94">
                  <w:pPr>
                    <w:pStyle w:val="BodyText"/>
                    <w:spacing w:before="68" w:line="249" w:lineRule="auto"/>
                    <w:ind w:left="113" w:right="122"/>
                    <w:rPr>
                      <w:color w:val="000000"/>
                    </w:rPr>
                  </w:pPr>
                  <w:r>
                    <w:rPr>
                      <w:b/>
                      <w:color w:val="00AEEF"/>
                    </w:rPr>
                    <w:t>Recommendation</w:t>
                  </w:r>
                  <w:r>
                    <w:rPr>
                      <w:b/>
                      <w:color w:val="00AEEF"/>
                      <w:spacing w:val="-1"/>
                    </w:rPr>
                    <w:t xml:space="preserve"> </w:t>
                  </w:r>
                  <w:r>
                    <w:rPr>
                      <w:color w:val="000000"/>
                    </w:rPr>
                    <w:t>Infrastructure</w:t>
                  </w:r>
                  <w:r>
                    <w:rPr>
                      <w:color w:val="000000"/>
                      <w:spacing w:val="-14"/>
                    </w:rPr>
                    <w:t xml:space="preserve"> </w:t>
                  </w:r>
                  <w:r>
                    <w:rPr>
                      <w:color w:val="000000"/>
                    </w:rPr>
                    <w:t>NSW</w:t>
                  </w:r>
                  <w:r>
                    <w:rPr>
                      <w:color w:val="000000"/>
                      <w:spacing w:val="-14"/>
                    </w:rPr>
                    <w:t xml:space="preserve"> </w:t>
                  </w:r>
                  <w:r>
                    <w:rPr>
                      <w:color w:val="000000"/>
                    </w:rPr>
                    <w:t>will</w:t>
                  </w:r>
                  <w:r>
                    <w:rPr>
                      <w:color w:val="000000"/>
                      <w:spacing w:val="-14"/>
                    </w:rPr>
                    <w:t xml:space="preserve"> </w:t>
                  </w:r>
                  <w:r>
                    <w:rPr>
                      <w:color w:val="000000"/>
                    </w:rPr>
                    <w:t xml:space="preserve">develop </w:t>
                  </w:r>
                  <w:r>
                    <w:rPr>
                      <w:color w:val="000000"/>
                      <w:spacing w:val="-2"/>
                    </w:rPr>
                    <w:t>the</w:t>
                  </w:r>
                  <w:r>
                    <w:rPr>
                      <w:color w:val="000000"/>
                      <w:spacing w:val="-8"/>
                    </w:rPr>
                    <w:t xml:space="preserve"> </w:t>
                  </w:r>
                  <w:r>
                    <w:rPr>
                      <w:color w:val="000000"/>
                      <w:spacing w:val="-2"/>
                    </w:rPr>
                    <w:t>Five</w:t>
                  </w:r>
                  <w:r>
                    <w:rPr>
                      <w:color w:val="000000"/>
                      <w:spacing w:val="-8"/>
                    </w:rPr>
                    <w:t xml:space="preserve"> </w:t>
                  </w:r>
                  <w:r>
                    <w:rPr>
                      <w:color w:val="000000"/>
                      <w:spacing w:val="-2"/>
                    </w:rPr>
                    <w:t>Year</w:t>
                  </w:r>
                  <w:r>
                    <w:rPr>
                      <w:color w:val="000000"/>
                      <w:spacing w:val="-8"/>
                    </w:rPr>
                    <w:t xml:space="preserve"> </w:t>
                  </w:r>
                  <w:r>
                    <w:rPr>
                      <w:color w:val="000000"/>
                      <w:spacing w:val="-2"/>
                    </w:rPr>
                    <w:t>Infrastructure</w:t>
                  </w:r>
                  <w:r>
                    <w:rPr>
                      <w:color w:val="000000"/>
                      <w:spacing w:val="-8"/>
                    </w:rPr>
                    <w:t xml:space="preserve"> </w:t>
                  </w:r>
                  <w:r>
                    <w:rPr>
                      <w:color w:val="000000"/>
                      <w:spacing w:val="-2"/>
                    </w:rPr>
                    <w:t>Plan</w:t>
                  </w:r>
                  <w:r>
                    <w:rPr>
                      <w:color w:val="000000"/>
                      <w:spacing w:val="-8"/>
                    </w:rPr>
                    <w:t xml:space="preserve"> </w:t>
                  </w:r>
                  <w:r>
                    <w:rPr>
                      <w:color w:val="000000"/>
                      <w:spacing w:val="-2"/>
                    </w:rPr>
                    <w:t>in</w:t>
                  </w:r>
                  <w:r>
                    <w:rPr>
                      <w:color w:val="000000"/>
                      <w:spacing w:val="-8"/>
                    </w:rPr>
                    <w:t xml:space="preserve"> </w:t>
                  </w:r>
                  <w:r>
                    <w:rPr>
                      <w:color w:val="000000"/>
                      <w:spacing w:val="-2"/>
                    </w:rPr>
                    <w:t>conjunction</w:t>
                  </w:r>
                  <w:r>
                    <w:rPr>
                      <w:color w:val="000000"/>
                      <w:spacing w:val="-8"/>
                    </w:rPr>
                    <w:t xml:space="preserve"> </w:t>
                  </w:r>
                  <w:r>
                    <w:rPr>
                      <w:color w:val="000000"/>
                      <w:spacing w:val="-2"/>
                    </w:rPr>
                    <w:t xml:space="preserve">with </w:t>
                  </w:r>
                  <w:r>
                    <w:rPr>
                      <w:color w:val="000000"/>
                    </w:rPr>
                    <w:t>Treasury</w:t>
                  </w:r>
                  <w:r>
                    <w:rPr>
                      <w:color w:val="000000"/>
                      <w:spacing w:val="-14"/>
                    </w:rPr>
                    <w:t xml:space="preserve"> </w:t>
                  </w:r>
                  <w:r>
                    <w:rPr>
                      <w:color w:val="000000"/>
                    </w:rPr>
                    <w:t>and</w:t>
                  </w:r>
                  <w:r>
                    <w:rPr>
                      <w:color w:val="000000"/>
                      <w:spacing w:val="-14"/>
                    </w:rPr>
                    <w:t xml:space="preserve"> </w:t>
                  </w:r>
                  <w:r>
                    <w:rPr>
                      <w:color w:val="000000"/>
                    </w:rPr>
                    <w:t>Agencies.</w:t>
                  </w:r>
                  <w:r>
                    <w:rPr>
                      <w:color w:val="000000"/>
                      <w:spacing w:val="-14"/>
                    </w:rPr>
                    <w:t xml:space="preserve"> </w:t>
                  </w:r>
                  <w:r>
                    <w:rPr>
                      <w:color w:val="000000"/>
                    </w:rPr>
                    <w:t>This</w:t>
                  </w:r>
                  <w:r>
                    <w:rPr>
                      <w:color w:val="000000"/>
                      <w:spacing w:val="-14"/>
                    </w:rPr>
                    <w:t xml:space="preserve"> </w:t>
                  </w:r>
                  <w:r>
                    <w:rPr>
                      <w:color w:val="000000"/>
                    </w:rPr>
                    <w:t>process</w:t>
                  </w:r>
                  <w:r>
                    <w:rPr>
                      <w:color w:val="000000"/>
                      <w:spacing w:val="-14"/>
                    </w:rPr>
                    <w:t xml:space="preserve"> </w:t>
                  </w:r>
                  <w:r>
                    <w:rPr>
                      <w:color w:val="000000"/>
                    </w:rPr>
                    <w:t>will</w:t>
                  </w:r>
                  <w:r>
                    <w:rPr>
                      <w:color w:val="000000"/>
                      <w:spacing w:val="-14"/>
                    </w:rPr>
                    <w:t xml:space="preserve"> </w:t>
                  </w:r>
                  <w:r>
                    <w:rPr>
                      <w:color w:val="000000"/>
                    </w:rPr>
                    <w:t xml:space="preserve">consider </w:t>
                  </w:r>
                  <w:r>
                    <w:rPr>
                      <w:color w:val="000000"/>
                      <w:w w:val="95"/>
                    </w:rPr>
                    <w:t>opportunities to reprioritise capital works to allow the priorities</w:t>
                  </w:r>
                  <w:r>
                    <w:rPr>
                      <w:color w:val="000000"/>
                      <w:spacing w:val="-8"/>
                      <w:w w:val="95"/>
                    </w:rPr>
                    <w:t xml:space="preserve"> </w:t>
                  </w:r>
                  <w:r>
                    <w:rPr>
                      <w:color w:val="000000"/>
                      <w:w w:val="95"/>
                    </w:rPr>
                    <w:t>identified</w:t>
                  </w:r>
                  <w:r>
                    <w:rPr>
                      <w:color w:val="000000"/>
                      <w:spacing w:val="-8"/>
                      <w:w w:val="95"/>
                    </w:rPr>
                    <w:t xml:space="preserve"> </w:t>
                  </w:r>
                  <w:r>
                    <w:rPr>
                      <w:color w:val="000000"/>
                      <w:w w:val="95"/>
                    </w:rPr>
                    <w:t>in</w:t>
                  </w:r>
                  <w:r>
                    <w:rPr>
                      <w:color w:val="000000"/>
                      <w:spacing w:val="-8"/>
                      <w:w w:val="95"/>
                    </w:rPr>
                    <w:t xml:space="preserve"> </w:t>
                  </w:r>
                  <w:r>
                    <w:rPr>
                      <w:color w:val="000000"/>
                      <w:w w:val="95"/>
                    </w:rPr>
                    <w:t>the</w:t>
                  </w:r>
                  <w:r>
                    <w:rPr>
                      <w:color w:val="000000"/>
                      <w:spacing w:val="-8"/>
                      <w:w w:val="95"/>
                    </w:rPr>
                    <w:t xml:space="preserve"> </w:t>
                  </w:r>
                  <w:r>
                    <w:rPr>
                      <w:color w:val="000000"/>
                      <w:w w:val="95"/>
                    </w:rPr>
                    <w:t>Strategy,</w:t>
                  </w:r>
                  <w:r>
                    <w:rPr>
                      <w:color w:val="000000"/>
                      <w:spacing w:val="-8"/>
                      <w:w w:val="95"/>
                    </w:rPr>
                    <w:t xml:space="preserve"> </w:t>
                  </w:r>
                  <w:r>
                    <w:rPr>
                      <w:color w:val="000000"/>
                      <w:w w:val="95"/>
                    </w:rPr>
                    <w:t>where</w:t>
                  </w:r>
                  <w:r>
                    <w:rPr>
                      <w:color w:val="000000"/>
                      <w:spacing w:val="-8"/>
                      <w:w w:val="95"/>
                    </w:rPr>
                    <w:t xml:space="preserve"> </w:t>
                  </w:r>
                  <w:r>
                    <w:rPr>
                      <w:color w:val="000000"/>
                      <w:w w:val="95"/>
                    </w:rPr>
                    <w:t>endorsed</w:t>
                  </w:r>
                  <w:r>
                    <w:rPr>
                      <w:color w:val="000000"/>
                      <w:spacing w:val="-8"/>
                      <w:w w:val="95"/>
                    </w:rPr>
                    <w:t xml:space="preserve"> </w:t>
                  </w:r>
                  <w:r>
                    <w:rPr>
                      <w:color w:val="000000"/>
                      <w:w w:val="95"/>
                    </w:rPr>
                    <w:t xml:space="preserve">by </w:t>
                  </w:r>
                  <w:r>
                    <w:rPr>
                      <w:color w:val="000000"/>
                    </w:rPr>
                    <w:t>Government, to proceed.</w:t>
                  </w:r>
                </w:p>
              </w:txbxContent>
            </v:textbox>
            <w10:wrap type="topAndBottom" anchorx="page"/>
          </v:shape>
        </w:pict>
      </w:r>
    </w:p>
    <w:p w:rsidR="002C1123" w:rsidRDefault="002C1123">
      <w:pPr>
        <w:pStyle w:val="BodyText"/>
        <w:spacing w:before="8"/>
        <w:rPr>
          <w:sz w:val="8"/>
        </w:rPr>
      </w:pPr>
    </w:p>
    <w:p w:rsidR="002C1123" w:rsidRDefault="002C1123">
      <w:pPr>
        <w:rPr>
          <w:sz w:val="8"/>
        </w:rPr>
        <w:sectPr w:rsidR="002C1123">
          <w:type w:val="continuous"/>
          <w:pgSz w:w="16840" w:h="11910" w:orient="landscape"/>
          <w:pgMar w:top="560" w:right="280" w:bottom="280" w:left="500" w:header="0" w:footer="517" w:gutter="0"/>
          <w:cols w:num="3" w:space="720" w:equalWidth="0">
            <w:col w:w="5291" w:space="40"/>
            <w:col w:w="4961" w:space="39"/>
            <w:col w:w="5729"/>
          </w:cols>
        </w:sectPr>
      </w:pPr>
    </w:p>
    <w:p w:rsidR="002C1123" w:rsidRDefault="002C1123">
      <w:pPr>
        <w:pStyle w:val="BodyText"/>
        <w:spacing w:before="6"/>
        <w:rPr>
          <w:sz w:val="27"/>
        </w:rPr>
      </w:pPr>
    </w:p>
    <w:p w:rsidR="002C1123" w:rsidRDefault="002060EF">
      <w:pPr>
        <w:tabs>
          <w:tab w:val="left" w:pos="5518"/>
        </w:tabs>
        <w:spacing w:line="20" w:lineRule="exact"/>
        <w:ind w:left="492"/>
        <w:rPr>
          <w:sz w:val="2"/>
        </w:rPr>
      </w:pPr>
      <w:r>
        <w:rPr>
          <w:sz w:val="2"/>
        </w:rPr>
      </w:r>
      <w:r>
        <w:rPr>
          <w:sz w:val="2"/>
        </w:rPr>
        <w:pict>
          <v:group id="docshapegroup2902" o:spid="_x0000_s1122" style="width:1in;height:.5pt;mso-position-horizontal-relative:char;mso-position-vertical-relative:line" coordsize="1440,10">
            <v:line id="_x0000_s1123" style="position:absolute" from="0,5" to="1440,5" strokecolor="#9c9c9d" strokeweight=".5pt"/>
            <w10:anchorlock/>
          </v:group>
        </w:pict>
      </w:r>
      <w:r w:rsidR="00F22F94">
        <w:rPr>
          <w:sz w:val="2"/>
        </w:rPr>
        <w:tab/>
      </w:r>
      <w:r>
        <w:rPr>
          <w:sz w:val="2"/>
        </w:rPr>
      </w:r>
      <w:r>
        <w:rPr>
          <w:sz w:val="2"/>
        </w:rPr>
        <w:pict>
          <v:group id="docshapegroup2903" o:spid="_x0000_s1120" style="width:1in;height:.5pt;mso-position-horizontal-relative:char;mso-position-vertical-relative:line" coordsize="1440,10">
            <v:line id="_x0000_s1121" style="position:absolute" from="0,5" to="1440,5" strokecolor="#9c9c9d" strokeweight=".5pt"/>
            <w10:anchorlock/>
          </v:group>
        </w:pict>
      </w:r>
    </w:p>
    <w:p w:rsidR="002C1123" w:rsidRDefault="002C1123">
      <w:pPr>
        <w:spacing w:line="20" w:lineRule="exact"/>
        <w:rPr>
          <w:sz w:val="2"/>
        </w:rPr>
        <w:sectPr w:rsidR="002C1123">
          <w:type w:val="continuous"/>
          <w:pgSz w:w="16840" w:h="11910" w:orient="landscape"/>
          <w:pgMar w:top="560" w:right="280" w:bottom="280" w:left="500" w:header="0" w:footer="517" w:gutter="0"/>
          <w:cols w:space="720"/>
        </w:sectPr>
      </w:pPr>
    </w:p>
    <w:p w:rsidR="002C1123" w:rsidRDefault="00F22F94">
      <w:pPr>
        <w:pStyle w:val="ListParagraph"/>
        <w:numPr>
          <w:ilvl w:val="0"/>
          <w:numId w:val="21"/>
        </w:numPr>
        <w:tabs>
          <w:tab w:val="left" w:pos="691"/>
        </w:tabs>
        <w:spacing w:before="8" w:line="161" w:lineRule="exact"/>
        <w:jc w:val="left"/>
        <w:rPr>
          <w:sz w:val="14"/>
        </w:rPr>
      </w:pPr>
      <w:r>
        <w:rPr>
          <w:w w:val="95"/>
          <w:sz w:val="14"/>
        </w:rPr>
        <w:t>IPART</w:t>
      </w:r>
      <w:r>
        <w:rPr>
          <w:spacing w:val="-3"/>
          <w:w w:val="95"/>
          <w:sz w:val="14"/>
        </w:rPr>
        <w:t xml:space="preserve"> </w:t>
      </w:r>
      <w:r>
        <w:rPr>
          <w:w w:val="95"/>
          <w:sz w:val="14"/>
        </w:rPr>
        <w:t>regulates</w:t>
      </w:r>
      <w:r>
        <w:rPr>
          <w:spacing w:val="-2"/>
          <w:sz w:val="14"/>
        </w:rPr>
        <w:t xml:space="preserve"> </w:t>
      </w:r>
      <w:r>
        <w:rPr>
          <w:w w:val="95"/>
          <w:sz w:val="14"/>
        </w:rPr>
        <w:t>public</w:t>
      </w:r>
      <w:r>
        <w:rPr>
          <w:spacing w:val="-1"/>
          <w:sz w:val="14"/>
        </w:rPr>
        <w:t xml:space="preserve"> </w:t>
      </w:r>
      <w:r>
        <w:rPr>
          <w:w w:val="95"/>
          <w:sz w:val="14"/>
        </w:rPr>
        <w:t>transport</w:t>
      </w:r>
      <w:r>
        <w:rPr>
          <w:spacing w:val="-1"/>
          <w:w w:val="95"/>
          <w:sz w:val="14"/>
        </w:rPr>
        <w:t xml:space="preserve"> </w:t>
      </w:r>
      <w:r>
        <w:rPr>
          <w:w w:val="95"/>
          <w:sz w:val="14"/>
        </w:rPr>
        <w:t>fares</w:t>
      </w:r>
      <w:r>
        <w:rPr>
          <w:spacing w:val="-2"/>
          <w:sz w:val="14"/>
        </w:rPr>
        <w:t xml:space="preserve"> </w:t>
      </w:r>
      <w:r>
        <w:rPr>
          <w:w w:val="95"/>
          <w:sz w:val="14"/>
        </w:rPr>
        <w:t>in</w:t>
      </w:r>
      <w:r>
        <w:rPr>
          <w:spacing w:val="-1"/>
          <w:sz w:val="14"/>
        </w:rPr>
        <w:t xml:space="preserve"> </w:t>
      </w:r>
      <w:r>
        <w:rPr>
          <w:spacing w:val="-4"/>
          <w:w w:val="95"/>
          <w:sz w:val="14"/>
        </w:rPr>
        <w:t>NSW.</w:t>
      </w:r>
    </w:p>
    <w:p w:rsidR="002C1123" w:rsidRDefault="00F22F94">
      <w:pPr>
        <w:pStyle w:val="ListParagraph"/>
        <w:numPr>
          <w:ilvl w:val="0"/>
          <w:numId w:val="21"/>
        </w:numPr>
        <w:tabs>
          <w:tab w:val="left" w:pos="691"/>
        </w:tabs>
        <w:spacing w:line="161" w:lineRule="exact"/>
        <w:jc w:val="left"/>
        <w:rPr>
          <w:sz w:val="14"/>
        </w:rPr>
      </w:pPr>
      <w:r>
        <w:rPr>
          <w:w w:val="95"/>
          <w:sz w:val="14"/>
        </w:rPr>
        <w:t>LEK</w:t>
      </w:r>
      <w:r>
        <w:rPr>
          <w:spacing w:val="-1"/>
          <w:w w:val="95"/>
          <w:sz w:val="14"/>
        </w:rPr>
        <w:t xml:space="preserve"> </w:t>
      </w:r>
      <w:r>
        <w:rPr>
          <w:w w:val="95"/>
          <w:sz w:val="14"/>
        </w:rPr>
        <w:t>2008,</w:t>
      </w:r>
      <w:r>
        <w:rPr>
          <w:spacing w:val="-2"/>
          <w:sz w:val="14"/>
        </w:rPr>
        <w:t xml:space="preserve"> </w:t>
      </w:r>
      <w:r>
        <w:rPr>
          <w:w w:val="95"/>
          <w:sz w:val="14"/>
        </w:rPr>
        <w:t>Cost</w:t>
      </w:r>
      <w:r>
        <w:rPr>
          <w:spacing w:val="-1"/>
          <w:w w:val="95"/>
          <w:sz w:val="14"/>
        </w:rPr>
        <w:t xml:space="preserve"> </w:t>
      </w:r>
      <w:r>
        <w:rPr>
          <w:w w:val="95"/>
          <w:sz w:val="14"/>
        </w:rPr>
        <w:t>Review</w:t>
      </w:r>
      <w:r>
        <w:rPr>
          <w:spacing w:val="-2"/>
          <w:sz w:val="14"/>
        </w:rPr>
        <w:t xml:space="preserve"> </w:t>
      </w:r>
      <w:r>
        <w:rPr>
          <w:w w:val="95"/>
          <w:sz w:val="14"/>
        </w:rPr>
        <w:t>of</w:t>
      </w:r>
      <w:r>
        <w:rPr>
          <w:spacing w:val="-2"/>
          <w:sz w:val="14"/>
        </w:rPr>
        <w:t xml:space="preserve"> </w:t>
      </w:r>
      <w:r>
        <w:rPr>
          <w:w w:val="95"/>
          <w:sz w:val="14"/>
        </w:rPr>
        <w:t>CityRail’s</w:t>
      </w:r>
      <w:r>
        <w:rPr>
          <w:spacing w:val="-1"/>
          <w:w w:val="95"/>
          <w:sz w:val="14"/>
        </w:rPr>
        <w:t xml:space="preserve"> </w:t>
      </w:r>
      <w:r>
        <w:rPr>
          <w:w w:val="95"/>
          <w:sz w:val="14"/>
        </w:rPr>
        <w:t>Regular</w:t>
      </w:r>
      <w:r>
        <w:rPr>
          <w:spacing w:val="-2"/>
          <w:sz w:val="14"/>
        </w:rPr>
        <w:t xml:space="preserve"> </w:t>
      </w:r>
      <w:r>
        <w:rPr>
          <w:w w:val="95"/>
          <w:sz w:val="14"/>
        </w:rPr>
        <w:t>Passenger</w:t>
      </w:r>
      <w:r>
        <w:rPr>
          <w:spacing w:val="-2"/>
          <w:sz w:val="14"/>
        </w:rPr>
        <w:t xml:space="preserve"> </w:t>
      </w:r>
      <w:r>
        <w:rPr>
          <w:spacing w:val="-2"/>
          <w:w w:val="95"/>
          <w:sz w:val="14"/>
        </w:rPr>
        <w:t>Services.</w:t>
      </w:r>
    </w:p>
    <w:p w:rsidR="002C1123" w:rsidRDefault="00F22F94">
      <w:pPr>
        <w:pStyle w:val="ListParagraph"/>
        <w:numPr>
          <w:ilvl w:val="0"/>
          <w:numId w:val="21"/>
        </w:numPr>
        <w:tabs>
          <w:tab w:val="left" w:pos="691"/>
        </w:tabs>
        <w:spacing w:before="7" w:line="228" w:lineRule="auto"/>
        <w:ind w:right="5853"/>
        <w:jc w:val="left"/>
        <w:rPr>
          <w:rFonts w:ascii="Tahoma"/>
          <w:sz w:val="14"/>
        </w:rPr>
      </w:pPr>
      <w:r>
        <w:br w:type="column"/>
      </w:r>
      <w:r>
        <w:rPr>
          <w:rFonts w:ascii="Tahoma"/>
          <w:w w:val="95"/>
          <w:sz w:val="14"/>
        </w:rPr>
        <w:t xml:space="preserve">Based on 2010/11 RailCorp fare revenue, 1.2% pa patronage growth and a </w:t>
      </w:r>
      <w:r>
        <w:rPr>
          <w:rFonts w:ascii="Tahoma"/>
          <w:sz w:val="14"/>
        </w:rPr>
        <w:t>4% Government discount rate.</w:t>
      </w:r>
    </w:p>
    <w:p w:rsidR="002C1123" w:rsidRDefault="002C1123">
      <w:pPr>
        <w:spacing w:line="228" w:lineRule="auto"/>
        <w:rPr>
          <w:rFonts w:ascii="Tahoma"/>
          <w:sz w:val="14"/>
        </w:rPr>
        <w:sectPr w:rsidR="002C1123">
          <w:type w:val="continuous"/>
          <w:pgSz w:w="16840" w:h="11910" w:orient="landscape"/>
          <w:pgMar w:top="560" w:right="280" w:bottom="280" w:left="500" w:header="0" w:footer="517" w:gutter="0"/>
          <w:cols w:num="2" w:space="720" w:equalWidth="0">
            <w:col w:w="4691" w:space="336"/>
            <w:col w:w="11033"/>
          </w:cols>
        </w:sectPr>
      </w:pPr>
    </w:p>
    <w:p w:rsidR="002C1123" w:rsidRDefault="002C1123">
      <w:pPr>
        <w:pStyle w:val="BodyText"/>
        <w:rPr>
          <w:rFonts w:ascii="Tahoma"/>
        </w:rPr>
      </w:pPr>
    </w:p>
    <w:p w:rsidR="002C1123" w:rsidRDefault="002C1123">
      <w:pPr>
        <w:pStyle w:val="BodyText"/>
        <w:rPr>
          <w:rFonts w:ascii="Tahoma"/>
        </w:rPr>
      </w:pPr>
    </w:p>
    <w:p w:rsidR="002C1123" w:rsidRDefault="002C1123">
      <w:pPr>
        <w:pStyle w:val="BodyText"/>
        <w:rPr>
          <w:rFonts w:ascii="Tahoma"/>
        </w:rPr>
      </w:pPr>
    </w:p>
    <w:p w:rsidR="002C1123" w:rsidRDefault="002C1123">
      <w:pPr>
        <w:pStyle w:val="BodyText"/>
        <w:rPr>
          <w:rFonts w:ascii="Tahoma"/>
        </w:rPr>
      </w:pPr>
    </w:p>
    <w:p w:rsidR="002C1123" w:rsidRDefault="002C1123">
      <w:pPr>
        <w:pStyle w:val="BodyText"/>
        <w:rPr>
          <w:rFonts w:ascii="Tahoma"/>
        </w:rPr>
      </w:pPr>
    </w:p>
    <w:p w:rsidR="002C1123" w:rsidRDefault="002C1123">
      <w:pPr>
        <w:pStyle w:val="BodyText"/>
        <w:rPr>
          <w:rFonts w:ascii="Tahoma"/>
        </w:rPr>
      </w:pPr>
    </w:p>
    <w:p w:rsidR="002C1123" w:rsidRDefault="002C1123">
      <w:pPr>
        <w:pStyle w:val="BodyText"/>
        <w:rPr>
          <w:rFonts w:ascii="Tahoma"/>
        </w:rPr>
      </w:pPr>
    </w:p>
    <w:p w:rsidR="002C1123" w:rsidRDefault="002C1123">
      <w:pPr>
        <w:rPr>
          <w:rFonts w:ascii="Tahoma"/>
        </w:rPr>
        <w:sectPr w:rsidR="002C1123">
          <w:pgSz w:w="16840" w:h="11910" w:orient="landscape"/>
          <w:pgMar w:top="560" w:right="280" w:bottom="700" w:left="500" w:header="0" w:footer="517" w:gutter="0"/>
          <w:cols w:space="720"/>
        </w:sectPr>
      </w:pPr>
    </w:p>
    <w:p w:rsidR="002C1123" w:rsidRDefault="002C1123">
      <w:pPr>
        <w:pStyle w:val="BodyText"/>
        <w:spacing w:before="8"/>
        <w:rPr>
          <w:rFonts w:ascii="Tahoma"/>
        </w:rPr>
      </w:pPr>
    </w:p>
    <w:p w:rsidR="002C1123" w:rsidRDefault="00F22F94">
      <w:pPr>
        <w:pStyle w:val="Heading6"/>
        <w:spacing w:before="0"/>
        <w:ind w:left="492"/>
      </w:pPr>
      <w:bookmarkStart w:id="403" w:name="16.2_Financing"/>
      <w:bookmarkStart w:id="404" w:name="_bookmark288"/>
      <w:bookmarkStart w:id="405" w:name="_bookmark287"/>
      <w:bookmarkEnd w:id="403"/>
      <w:bookmarkEnd w:id="404"/>
      <w:bookmarkEnd w:id="405"/>
      <w:r>
        <w:rPr>
          <w:spacing w:val="-2"/>
        </w:rPr>
        <w:t>Commonwealth</w:t>
      </w:r>
    </w:p>
    <w:p w:rsidR="002C1123" w:rsidRDefault="00F22F94">
      <w:pPr>
        <w:pStyle w:val="BodyText"/>
        <w:spacing w:before="10" w:line="249" w:lineRule="auto"/>
        <w:ind w:left="492"/>
      </w:pPr>
      <w:r>
        <w:t>Commonwealth</w:t>
      </w:r>
      <w:r>
        <w:rPr>
          <w:spacing w:val="-5"/>
        </w:rPr>
        <w:t xml:space="preserve"> </w:t>
      </w:r>
      <w:r>
        <w:t>funding</w:t>
      </w:r>
      <w:r>
        <w:rPr>
          <w:spacing w:val="-5"/>
        </w:rPr>
        <w:t xml:space="preserve"> </w:t>
      </w:r>
      <w:r>
        <w:t>may</w:t>
      </w:r>
      <w:r>
        <w:rPr>
          <w:spacing w:val="-5"/>
        </w:rPr>
        <w:t xml:space="preserve"> </w:t>
      </w:r>
      <w:r>
        <w:t>augment</w:t>
      </w:r>
      <w:r>
        <w:rPr>
          <w:spacing w:val="-5"/>
        </w:rPr>
        <w:t xml:space="preserve"> </w:t>
      </w:r>
      <w:r>
        <w:t>the</w:t>
      </w:r>
      <w:r>
        <w:rPr>
          <w:spacing w:val="-5"/>
        </w:rPr>
        <w:t xml:space="preserve"> </w:t>
      </w:r>
      <w:r>
        <w:t>funding options</w:t>
      </w:r>
      <w:r>
        <w:rPr>
          <w:spacing w:val="-12"/>
        </w:rPr>
        <w:t xml:space="preserve"> </w:t>
      </w:r>
      <w:r>
        <w:t>under</w:t>
      </w:r>
      <w:r>
        <w:rPr>
          <w:spacing w:val="-12"/>
        </w:rPr>
        <w:t xml:space="preserve"> </w:t>
      </w:r>
      <w:r>
        <w:t>the</w:t>
      </w:r>
      <w:r>
        <w:rPr>
          <w:spacing w:val="-12"/>
        </w:rPr>
        <w:t xml:space="preserve"> </w:t>
      </w:r>
      <w:r>
        <w:t>State’s</w:t>
      </w:r>
      <w:r>
        <w:rPr>
          <w:spacing w:val="-12"/>
        </w:rPr>
        <w:t xml:space="preserve"> </w:t>
      </w:r>
      <w:r>
        <w:t>control.</w:t>
      </w:r>
      <w:r>
        <w:rPr>
          <w:spacing w:val="-12"/>
        </w:rPr>
        <w:t xml:space="preserve"> </w:t>
      </w:r>
      <w:r>
        <w:t>The</w:t>
      </w:r>
      <w:r>
        <w:rPr>
          <w:spacing w:val="-12"/>
        </w:rPr>
        <w:t xml:space="preserve"> </w:t>
      </w:r>
      <w:r>
        <w:t xml:space="preserve">Federal </w:t>
      </w:r>
      <w:r>
        <w:rPr>
          <w:w w:val="95"/>
        </w:rPr>
        <w:t>Government</w:t>
      </w:r>
      <w:r>
        <w:rPr>
          <w:spacing w:val="-1"/>
          <w:w w:val="95"/>
        </w:rPr>
        <w:t xml:space="preserve"> </w:t>
      </w:r>
      <w:r>
        <w:rPr>
          <w:w w:val="95"/>
        </w:rPr>
        <w:t>has</w:t>
      </w:r>
      <w:r>
        <w:rPr>
          <w:spacing w:val="-1"/>
          <w:w w:val="95"/>
        </w:rPr>
        <w:t xml:space="preserve"> </w:t>
      </w:r>
      <w:r>
        <w:rPr>
          <w:w w:val="95"/>
        </w:rPr>
        <w:t>made</w:t>
      </w:r>
      <w:r>
        <w:rPr>
          <w:spacing w:val="-1"/>
          <w:w w:val="95"/>
        </w:rPr>
        <w:t xml:space="preserve"> </w:t>
      </w:r>
      <w:r>
        <w:rPr>
          <w:w w:val="95"/>
        </w:rPr>
        <w:t>significant</w:t>
      </w:r>
      <w:r>
        <w:rPr>
          <w:spacing w:val="-1"/>
          <w:w w:val="95"/>
        </w:rPr>
        <w:t xml:space="preserve"> </w:t>
      </w:r>
      <w:r>
        <w:rPr>
          <w:w w:val="95"/>
        </w:rPr>
        <w:t>contributions</w:t>
      </w:r>
      <w:r>
        <w:rPr>
          <w:spacing w:val="-1"/>
          <w:w w:val="95"/>
        </w:rPr>
        <w:t xml:space="preserve"> </w:t>
      </w:r>
      <w:r>
        <w:rPr>
          <w:w w:val="95"/>
        </w:rPr>
        <w:t>to</w:t>
      </w:r>
      <w:r>
        <w:rPr>
          <w:spacing w:val="-1"/>
          <w:w w:val="95"/>
        </w:rPr>
        <w:t xml:space="preserve"> </w:t>
      </w:r>
      <w:r>
        <w:rPr>
          <w:w w:val="95"/>
        </w:rPr>
        <w:t xml:space="preserve">NSW </w:t>
      </w:r>
      <w:r>
        <w:t>infrastructure</w:t>
      </w:r>
      <w:r>
        <w:rPr>
          <w:spacing w:val="-14"/>
        </w:rPr>
        <w:t xml:space="preserve"> </w:t>
      </w:r>
      <w:r>
        <w:t>projects</w:t>
      </w:r>
      <w:r>
        <w:rPr>
          <w:spacing w:val="-14"/>
        </w:rPr>
        <w:t xml:space="preserve"> </w:t>
      </w:r>
      <w:r>
        <w:t>in</w:t>
      </w:r>
      <w:r>
        <w:rPr>
          <w:spacing w:val="-14"/>
        </w:rPr>
        <w:t xml:space="preserve"> </w:t>
      </w:r>
      <w:r>
        <w:t>recent</w:t>
      </w:r>
      <w:r>
        <w:rPr>
          <w:spacing w:val="-14"/>
        </w:rPr>
        <w:t xml:space="preserve"> </w:t>
      </w:r>
      <w:r>
        <w:t>years,</w:t>
      </w:r>
      <w:r>
        <w:rPr>
          <w:spacing w:val="-14"/>
        </w:rPr>
        <w:t xml:space="preserve"> </w:t>
      </w:r>
      <w:r>
        <w:t>particularly</w:t>
      </w:r>
      <w:r>
        <w:rPr>
          <w:spacing w:val="-14"/>
        </w:rPr>
        <w:t xml:space="preserve"> </w:t>
      </w:r>
      <w:r>
        <w:t xml:space="preserve">the </w:t>
      </w:r>
      <w:r>
        <w:rPr>
          <w:spacing w:val="-2"/>
        </w:rPr>
        <w:t>Pacific</w:t>
      </w:r>
      <w:r>
        <w:rPr>
          <w:spacing w:val="-6"/>
        </w:rPr>
        <w:t xml:space="preserve"> </w:t>
      </w:r>
      <w:r>
        <w:rPr>
          <w:spacing w:val="-2"/>
        </w:rPr>
        <w:t>Highway,</w:t>
      </w:r>
      <w:r>
        <w:rPr>
          <w:spacing w:val="-6"/>
        </w:rPr>
        <w:t xml:space="preserve"> </w:t>
      </w:r>
      <w:r>
        <w:rPr>
          <w:spacing w:val="-2"/>
        </w:rPr>
        <w:t>freight</w:t>
      </w:r>
      <w:r>
        <w:rPr>
          <w:spacing w:val="-6"/>
        </w:rPr>
        <w:t xml:space="preserve"> </w:t>
      </w:r>
      <w:r>
        <w:rPr>
          <w:spacing w:val="-2"/>
        </w:rPr>
        <w:t>rail</w:t>
      </w:r>
      <w:r>
        <w:rPr>
          <w:spacing w:val="-6"/>
        </w:rPr>
        <w:t xml:space="preserve"> </w:t>
      </w:r>
      <w:r>
        <w:rPr>
          <w:spacing w:val="-2"/>
        </w:rPr>
        <w:t>upgrades</w:t>
      </w:r>
      <w:r>
        <w:rPr>
          <w:spacing w:val="-6"/>
        </w:rPr>
        <w:t xml:space="preserve"> </w:t>
      </w:r>
      <w:r>
        <w:rPr>
          <w:spacing w:val="-2"/>
        </w:rPr>
        <w:t>and</w:t>
      </w:r>
      <w:r>
        <w:rPr>
          <w:spacing w:val="-6"/>
        </w:rPr>
        <w:t xml:space="preserve"> </w:t>
      </w:r>
      <w:r>
        <w:rPr>
          <w:spacing w:val="-2"/>
        </w:rPr>
        <w:t>the</w:t>
      </w:r>
      <w:r>
        <w:rPr>
          <w:spacing w:val="-6"/>
        </w:rPr>
        <w:t xml:space="preserve"> </w:t>
      </w:r>
      <w:r>
        <w:rPr>
          <w:spacing w:val="-2"/>
        </w:rPr>
        <w:t>M7.</w:t>
      </w:r>
    </w:p>
    <w:p w:rsidR="002C1123" w:rsidRDefault="00F22F94">
      <w:pPr>
        <w:pStyle w:val="BodyText"/>
        <w:spacing w:before="146" w:line="249" w:lineRule="auto"/>
        <w:ind w:left="492" w:right="547"/>
      </w:pPr>
      <w:r>
        <w:t>Infrastructure</w:t>
      </w:r>
      <w:r>
        <w:rPr>
          <w:spacing w:val="-14"/>
        </w:rPr>
        <w:t xml:space="preserve"> </w:t>
      </w:r>
      <w:r>
        <w:t>Australia</w:t>
      </w:r>
      <w:r>
        <w:rPr>
          <w:spacing w:val="-14"/>
        </w:rPr>
        <w:t xml:space="preserve"> </w:t>
      </w:r>
      <w:r>
        <w:t>has</w:t>
      </w:r>
      <w:r>
        <w:rPr>
          <w:spacing w:val="-14"/>
        </w:rPr>
        <w:t xml:space="preserve"> </w:t>
      </w:r>
      <w:r>
        <w:t>identified</w:t>
      </w:r>
      <w:r>
        <w:rPr>
          <w:spacing w:val="-14"/>
        </w:rPr>
        <w:t xml:space="preserve"> </w:t>
      </w:r>
      <w:r>
        <w:t>a</w:t>
      </w:r>
      <w:r>
        <w:rPr>
          <w:spacing w:val="-14"/>
        </w:rPr>
        <w:t xml:space="preserve"> </w:t>
      </w:r>
      <w:r>
        <w:t xml:space="preserve">number </w:t>
      </w:r>
      <w:r>
        <w:rPr>
          <w:w w:val="95"/>
        </w:rPr>
        <w:t>of</w:t>
      </w:r>
      <w:r>
        <w:rPr>
          <w:spacing w:val="-7"/>
          <w:w w:val="95"/>
        </w:rPr>
        <w:t xml:space="preserve"> </w:t>
      </w:r>
      <w:r>
        <w:rPr>
          <w:w w:val="95"/>
        </w:rPr>
        <w:t>key</w:t>
      </w:r>
      <w:r>
        <w:rPr>
          <w:spacing w:val="-7"/>
          <w:w w:val="95"/>
        </w:rPr>
        <w:t xml:space="preserve"> </w:t>
      </w:r>
      <w:r>
        <w:rPr>
          <w:w w:val="95"/>
        </w:rPr>
        <w:t>themes</w:t>
      </w:r>
      <w:r>
        <w:rPr>
          <w:spacing w:val="-7"/>
          <w:w w:val="95"/>
        </w:rPr>
        <w:t xml:space="preserve"> </w:t>
      </w:r>
      <w:r>
        <w:rPr>
          <w:w w:val="95"/>
        </w:rPr>
        <w:t>and</w:t>
      </w:r>
      <w:r>
        <w:rPr>
          <w:spacing w:val="-7"/>
          <w:w w:val="95"/>
        </w:rPr>
        <w:t xml:space="preserve"> </w:t>
      </w:r>
      <w:r>
        <w:rPr>
          <w:w w:val="95"/>
        </w:rPr>
        <w:t>challenges</w:t>
      </w:r>
      <w:r>
        <w:rPr>
          <w:spacing w:val="-7"/>
          <w:w w:val="95"/>
        </w:rPr>
        <w:t xml:space="preserve"> </w:t>
      </w:r>
      <w:r>
        <w:rPr>
          <w:w w:val="95"/>
        </w:rPr>
        <w:t>that</w:t>
      </w:r>
      <w:r>
        <w:rPr>
          <w:spacing w:val="-7"/>
          <w:w w:val="95"/>
        </w:rPr>
        <w:t xml:space="preserve"> </w:t>
      </w:r>
      <w:r>
        <w:rPr>
          <w:w w:val="95"/>
        </w:rPr>
        <w:t>are</w:t>
      </w:r>
      <w:r>
        <w:rPr>
          <w:spacing w:val="-7"/>
          <w:w w:val="95"/>
        </w:rPr>
        <w:t xml:space="preserve"> </w:t>
      </w:r>
      <w:r>
        <w:rPr>
          <w:w w:val="95"/>
        </w:rPr>
        <w:t>consistent</w:t>
      </w:r>
    </w:p>
    <w:p w:rsidR="002C1123" w:rsidRDefault="00F22F94">
      <w:pPr>
        <w:pStyle w:val="BodyText"/>
        <w:spacing w:before="1" w:line="249" w:lineRule="auto"/>
        <w:ind w:left="492" w:right="265"/>
      </w:pPr>
      <w:r>
        <w:t>with</w:t>
      </w:r>
      <w:r>
        <w:rPr>
          <w:spacing w:val="-13"/>
        </w:rPr>
        <w:t xml:space="preserve"> </w:t>
      </w:r>
      <w:r>
        <w:t>the</w:t>
      </w:r>
      <w:r>
        <w:rPr>
          <w:spacing w:val="-13"/>
        </w:rPr>
        <w:t xml:space="preserve"> </w:t>
      </w:r>
      <w:r>
        <w:t>approach</w:t>
      </w:r>
      <w:r>
        <w:rPr>
          <w:spacing w:val="-13"/>
        </w:rPr>
        <w:t xml:space="preserve"> </w:t>
      </w:r>
      <w:r>
        <w:t>taken</w:t>
      </w:r>
      <w:r>
        <w:rPr>
          <w:spacing w:val="-13"/>
        </w:rPr>
        <w:t xml:space="preserve"> </w:t>
      </w:r>
      <w:r>
        <w:t>by</w:t>
      </w:r>
      <w:r>
        <w:rPr>
          <w:spacing w:val="-13"/>
        </w:rPr>
        <w:t xml:space="preserve"> </w:t>
      </w:r>
      <w:r>
        <w:t>Infrastructure</w:t>
      </w:r>
      <w:r>
        <w:rPr>
          <w:spacing w:val="-13"/>
        </w:rPr>
        <w:t xml:space="preserve"> </w:t>
      </w:r>
      <w:r>
        <w:t>NSW.</w:t>
      </w:r>
      <w:r>
        <w:rPr>
          <w:spacing w:val="-13"/>
        </w:rPr>
        <w:t xml:space="preserve"> </w:t>
      </w:r>
      <w:r>
        <w:t>In particular</w:t>
      </w:r>
      <w:r>
        <w:rPr>
          <w:spacing w:val="-11"/>
        </w:rPr>
        <w:t xml:space="preserve"> </w:t>
      </w:r>
      <w:r>
        <w:t>there</w:t>
      </w:r>
      <w:r>
        <w:rPr>
          <w:spacing w:val="-11"/>
        </w:rPr>
        <w:t xml:space="preserve"> </w:t>
      </w:r>
      <w:r>
        <w:t>is</w:t>
      </w:r>
      <w:r>
        <w:rPr>
          <w:spacing w:val="-11"/>
        </w:rPr>
        <w:t xml:space="preserve"> </w:t>
      </w:r>
      <w:r>
        <w:t>a</w:t>
      </w:r>
      <w:r>
        <w:rPr>
          <w:spacing w:val="-11"/>
        </w:rPr>
        <w:t xml:space="preserve"> </w:t>
      </w:r>
      <w:r>
        <w:t>shared</w:t>
      </w:r>
      <w:r>
        <w:rPr>
          <w:spacing w:val="-11"/>
        </w:rPr>
        <w:t xml:space="preserve"> </w:t>
      </w:r>
      <w:r>
        <w:t>focus</w:t>
      </w:r>
      <w:r>
        <w:rPr>
          <w:spacing w:val="-11"/>
        </w:rPr>
        <w:t xml:space="preserve"> </w:t>
      </w:r>
      <w:r>
        <w:t>on</w:t>
      </w:r>
      <w:r>
        <w:rPr>
          <w:spacing w:val="-11"/>
        </w:rPr>
        <w:t xml:space="preserve"> </w:t>
      </w:r>
      <w:r>
        <w:t>improving</w:t>
      </w:r>
      <w:r>
        <w:rPr>
          <w:spacing w:val="-11"/>
        </w:rPr>
        <w:t xml:space="preserve"> </w:t>
      </w:r>
      <w:r>
        <w:t xml:space="preserve">the </w:t>
      </w:r>
      <w:r>
        <w:rPr>
          <w:w w:val="95"/>
        </w:rPr>
        <w:t>liveability</w:t>
      </w:r>
      <w:r>
        <w:rPr>
          <w:spacing w:val="-6"/>
          <w:w w:val="95"/>
        </w:rPr>
        <w:t xml:space="preserve"> </w:t>
      </w:r>
      <w:r>
        <w:rPr>
          <w:w w:val="95"/>
        </w:rPr>
        <w:t>and</w:t>
      </w:r>
      <w:r>
        <w:rPr>
          <w:spacing w:val="-6"/>
          <w:w w:val="95"/>
        </w:rPr>
        <w:t xml:space="preserve"> </w:t>
      </w:r>
      <w:r>
        <w:rPr>
          <w:w w:val="95"/>
        </w:rPr>
        <w:t>productivity</w:t>
      </w:r>
      <w:r>
        <w:rPr>
          <w:spacing w:val="-6"/>
          <w:w w:val="95"/>
        </w:rPr>
        <w:t xml:space="preserve"> </w:t>
      </w:r>
      <w:r>
        <w:rPr>
          <w:w w:val="95"/>
        </w:rPr>
        <w:t>of</w:t>
      </w:r>
      <w:r>
        <w:rPr>
          <w:spacing w:val="-6"/>
          <w:w w:val="95"/>
        </w:rPr>
        <w:t xml:space="preserve"> </w:t>
      </w:r>
      <w:r>
        <w:rPr>
          <w:w w:val="95"/>
        </w:rPr>
        <w:t>our</w:t>
      </w:r>
      <w:r>
        <w:rPr>
          <w:spacing w:val="-6"/>
          <w:w w:val="95"/>
        </w:rPr>
        <w:t xml:space="preserve"> </w:t>
      </w:r>
      <w:r>
        <w:rPr>
          <w:w w:val="95"/>
        </w:rPr>
        <w:t>cities,</w:t>
      </w:r>
      <w:r>
        <w:rPr>
          <w:spacing w:val="-6"/>
          <w:w w:val="95"/>
        </w:rPr>
        <w:t xml:space="preserve"> </w:t>
      </w:r>
      <w:r>
        <w:rPr>
          <w:w w:val="95"/>
        </w:rPr>
        <w:t>the</w:t>
      </w:r>
      <w:r>
        <w:rPr>
          <w:spacing w:val="-6"/>
          <w:w w:val="95"/>
        </w:rPr>
        <w:t xml:space="preserve"> </w:t>
      </w:r>
      <w:r>
        <w:rPr>
          <w:w w:val="95"/>
        </w:rPr>
        <w:t xml:space="preserve">efficiency </w:t>
      </w:r>
      <w:r>
        <w:t>of</w:t>
      </w:r>
      <w:r>
        <w:rPr>
          <w:spacing w:val="-13"/>
        </w:rPr>
        <w:t xml:space="preserve"> </w:t>
      </w:r>
      <w:r>
        <w:t>our</w:t>
      </w:r>
      <w:r>
        <w:rPr>
          <w:spacing w:val="-13"/>
        </w:rPr>
        <w:t xml:space="preserve"> </w:t>
      </w:r>
      <w:r>
        <w:t>international</w:t>
      </w:r>
      <w:r>
        <w:rPr>
          <w:spacing w:val="-13"/>
        </w:rPr>
        <w:t xml:space="preserve"> </w:t>
      </w:r>
      <w:r>
        <w:t>gateways</w:t>
      </w:r>
      <w:r>
        <w:rPr>
          <w:spacing w:val="-13"/>
        </w:rPr>
        <w:t xml:space="preserve"> </w:t>
      </w:r>
      <w:r>
        <w:t>and</w:t>
      </w:r>
      <w:r>
        <w:rPr>
          <w:spacing w:val="-13"/>
        </w:rPr>
        <w:t xml:space="preserve"> </w:t>
      </w:r>
      <w:r>
        <w:t>the</w:t>
      </w:r>
      <w:r>
        <w:rPr>
          <w:spacing w:val="-13"/>
        </w:rPr>
        <w:t xml:space="preserve"> </w:t>
      </w:r>
      <w:r>
        <w:t>prosperity</w:t>
      </w:r>
      <w:r>
        <w:rPr>
          <w:spacing w:val="-13"/>
        </w:rPr>
        <w:t xml:space="preserve"> </w:t>
      </w:r>
      <w:r>
        <w:t>of regional</w:t>
      </w:r>
      <w:r>
        <w:rPr>
          <w:spacing w:val="-11"/>
        </w:rPr>
        <w:t xml:space="preserve"> </w:t>
      </w:r>
      <w:r>
        <w:t>areas.</w:t>
      </w:r>
    </w:p>
    <w:p w:rsidR="002C1123" w:rsidRDefault="00F22F94">
      <w:pPr>
        <w:pStyle w:val="BodyText"/>
        <w:spacing w:before="146" w:line="249" w:lineRule="auto"/>
        <w:ind w:left="492"/>
      </w:pPr>
      <w:r>
        <w:t>The</w:t>
      </w:r>
      <w:r>
        <w:rPr>
          <w:spacing w:val="-14"/>
        </w:rPr>
        <w:t xml:space="preserve"> </w:t>
      </w:r>
      <w:r>
        <w:t>challenge</w:t>
      </w:r>
      <w:r>
        <w:rPr>
          <w:spacing w:val="-14"/>
        </w:rPr>
        <w:t xml:space="preserve"> </w:t>
      </w:r>
      <w:r>
        <w:t>is</w:t>
      </w:r>
      <w:r>
        <w:rPr>
          <w:spacing w:val="-14"/>
        </w:rPr>
        <w:t xml:space="preserve"> </w:t>
      </w:r>
      <w:r>
        <w:t>to</w:t>
      </w:r>
      <w:r>
        <w:rPr>
          <w:spacing w:val="-14"/>
        </w:rPr>
        <w:t xml:space="preserve"> </w:t>
      </w:r>
      <w:r>
        <w:t>ensure</w:t>
      </w:r>
      <w:r>
        <w:rPr>
          <w:spacing w:val="-14"/>
        </w:rPr>
        <w:t xml:space="preserve"> </w:t>
      </w:r>
      <w:r>
        <w:t>that</w:t>
      </w:r>
      <w:r>
        <w:rPr>
          <w:spacing w:val="-14"/>
        </w:rPr>
        <w:t xml:space="preserve"> </w:t>
      </w:r>
      <w:r>
        <w:t>NSW’s</w:t>
      </w:r>
      <w:r>
        <w:rPr>
          <w:spacing w:val="-14"/>
        </w:rPr>
        <w:t xml:space="preserve"> </w:t>
      </w:r>
      <w:r>
        <w:t xml:space="preserve">infrastructure </w:t>
      </w:r>
      <w:r>
        <w:rPr>
          <w:w w:val="95"/>
        </w:rPr>
        <w:t xml:space="preserve">projects are best positioned to secure Commonwealth </w:t>
      </w:r>
      <w:r>
        <w:t>support</w:t>
      </w:r>
      <w:r>
        <w:rPr>
          <w:spacing w:val="-14"/>
        </w:rPr>
        <w:t xml:space="preserve"> </w:t>
      </w:r>
      <w:r>
        <w:t>going</w:t>
      </w:r>
      <w:r>
        <w:rPr>
          <w:spacing w:val="-14"/>
        </w:rPr>
        <w:t xml:space="preserve"> </w:t>
      </w:r>
      <w:r>
        <w:t>forward.</w:t>
      </w:r>
      <w:r>
        <w:rPr>
          <w:spacing w:val="-14"/>
        </w:rPr>
        <w:t xml:space="preserve"> </w:t>
      </w:r>
      <w:r>
        <w:t>This</w:t>
      </w:r>
      <w:r>
        <w:rPr>
          <w:spacing w:val="-14"/>
        </w:rPr>
        <w:t xml:space="preserve"> </w:t>
      </w:r>
      <w:r>
        <w:t>requires</w:t>
      </w:r>
      <w:r>
        <w:rPr>
          <w:spacing w:val="-14"/>
        </w:rPr>
        <w:t xml:space="preserve"> </w:t>
      </w:r>
      <w:r>
        <w:t>a</w:t>
      </w:r>
      <w:r>
        <w:rPr>
          <w:spacing w:val="-14"/>
        </w:rPr>
        <w:t xml:space="preserve"> </w:t>
      </w:r>
      <w:r>
        <w:t>more</w:t>
      </w:r>
      <w:r>
        <w:rPr>
          <w:spacing w:val="-14"/>
        </w:rPr>
        <w:t xml:space="preserve"> </w:t>
      </w:r>
      <w:r>
        <w:t>rigorous approach</w:t>
      </w:r>
      <w:r>
        <w:rPr>
          <w:spacing w:val="-4"/>
        </w:rPr>
        <w:t xml:space="preserve"> </w:t>
      </w:r>
      <w:r>
        <w:t>to</w:t>
      </w:r>
      <w:r>
        <w:rPr>
          <w:spacing w:val="-4"/>
        </w:rPr>
        <w:t xml:space="preserve"> </w:t>
      </w:r>
      <w:r>
        <w:t>planning</w:t>
      </w:r>
      <w:r>
        <w:rPr>
          <w:spacing w:val="-4"/>
        </w:rPr>
        <w:t xml:space="preserve"> </w:t>
      </w:r>
      <w:r>
        <w:t>and</w:t>
      </w:r>
      <w:r>
        <w:rPr>
          <w:spacing w:val="-4"/>
        </w:rPr>
        <w:t xml:space="preserve"> </w:t>
      </w:r>
      <w:r>
        <w:t>selecting</w:t>
      </w:r>
      <w:r>
        <w:rPr>
          <w:spacing w:val="-4"/>
        </w:rPr>
        <w:t xml:space="preserve"> </w:t>
      </w:r>
      <w:r>
        <w:t>projects</w:t>
      </w:r>
      <w:r>
        <w:rPr>
          <w:spacing w:val="-4"/>
        </w:rPr>
        <w:t xml:space="preserve"> </w:t>
      </w:r>
      <w:r>
        <w:t>for submission</w:t>
      </w:r>
      <w:r>
        <w:rPr>
          <w:spacing w:val="-14"/>
        </w:rPr>
        <w:t xml:space="preserve"> </w:t>
      </w:r>
      <w:r>
        <w:t>to</w:t>
      </w:r>
      <w:r>
        <w:rPr>
          <w:spacing w:val="-14"/>
        </w:rPr>
        <w:t xml:space="preserve"> </w:t>
      </w:r>
      <w:r>
        <w:t>Infrastructure</w:t>
      </w:r>
      <w:r>
        <w:rPr>
          <w:spacing w:val="-14"/>
        </w:rPr>
        <w:t xml:space="preserve"> </w:t>
      </w:r>
      <w:r>
        <w:t>Australia,</w:t>
      </w:r>
      <w:r>
        <w:rPr>
          <w:spacing w:val="-14"/>
        </w:rPr>
        <w:t xml:space="preserve"> </w:t>
      </w:r>
      <w:r>
        <w:t>as</w:t>
      </w:r>
      <w:r>
        <w:rPr>
          <w:spacing w:val="-14"/>
        </w:rPr>
        <w:t xml:space="preserve"> </w:t>
      </w:r>
      <w:r>
        <w:t>well</w:t>
      </w:r>
      <w:r>
        <w:rPr>
          <w:spacing w:val="-14"/>
        </w:rPr>
        <w:t xml:space="preserve"> </w:t>
      </w:r>
      <w:r>
        <w:t>as</w:t>
      </w:r>
      <w:r>
        <w:rPr>
          <w:spacing w:val="-14"/>
        </w:rPr>
        <w:t xml:space="preserve"> </w:t>
      </w:r>
      <w:r>
        <w:t>a more</w:t>
      </w:r>
      <w:r>
        <w:rPr>
          <w:spacing w:val="-14"/>
        </w:rPr>
        <w:t xml:space="preserve"> </w:t>
      </w:r>
      <w:r>
        <w:t>thorough</w:t>
      </w:r>
      <w:r>
        <w:rPr>
          <w:spacing w:val="-14"/>
        </w:rPr>
        <w:t xml:space="preserve"> </w:t>
      </w:r>
      <w:r>
        <w:t>exposition</w:t>
      </w:r>
      <w:r>
        <w:rPr>
          <w:spacing w:val="-14"/>
        </w:rPr>
        <w:t xml:space="preserve"> </w:t>
      </w:r>
      <w:r>
        <w:t>of</w:t>
      </w:r>
      <w:r>
        <w:rPr>
          <w:spacing w:val="-14"/>
        </w:rPr>
        <w:t xml:space="preserve"> </w:t>
      </w:r>
      <w:r>
        <w:t>their</w:t>
      </w:r>
      <w:r>
        <w:rPr>
          <w:spacing w:val="-14"/>
        </w:rPr>
        <w:t xml:space="preserve"> </w:t>
      </w:r>
      <w:r>
        <w:t>benefits</w:t>
      </w:r>
      <w:r>
        <w:rPr>
          <w:spacing w:val="-14"/>
        </w:rPr>
        <w:t xml:space="preserve"> </w:t>
      </w:r>
      <w:r>
        <w:t>relative</w:t>
      </w:r>
      <w:r>
        <w:rPr>
          <w:spacing w:val="-14"/>
        </w:rPr>
        <w:t xml:space="preserve"> </w:t>
      </w:r>
      <w:r>
        <w:t>to Infrastructure</w:t>
      </w:r>
      <w:r>
        <w:rPr>
          <w:spacing w:val="-9"/>
        </w:rPr>
        <w:t xml:space="preserve"> </w:t>
      </w:r>
      <w:r>
        <w:t>Australia’s</w:t>
      </w:r>
      <w:r>
        <w:rPr>
          <w:spacing w:val="-9"/>
        </w:rPr>
        <w:t xml:space="preserve"> </w:t>
      </w:r>
      <w:r>
        <w:t>priorities.</w:t>
      </w:r>
    </w:p>
    <w:p w:rsidR="002C1123" w:rsidRDefault="002060EF">
      <w:pPr>
        <w:pStyle w:val="BodyText"/>
        <w:spacing w:before="148" w:line="249" w:lineRule="auto"/>
        <w:ind w:left="492"/>
      </w:pPr>
      <w:r>
        <w:pict>
          <v:shape id="docshape2904" o:spid="_x0000_s1119" type="#_x0000_t202" style="position:absolute;left:0;text-align:left;margin-left:49.6pt;margin-top:75.85pt;width:240pt;height:57.35pt;z-index:251755520;mso-position-horizontal-relative:page" fillcolor="#e1e0e1" stroked="f">
            <v:textbox inset="0,0,0,0">
              <w:txbxContent>
                <w:p w:rsidR="00F22F94" w:rsidRDefault="00F22F94">
                  <w:pPr>
                    <w:pStyle w:val="BodyText"/>
                    <w:spacing w:before="68" w:line="249" w:lineRule="auto"/>
                    <w:ind w:left="113"/>
                    <w:rPr>
                      <w:color w:val="000000"/>
                    </w:rPr>
                  </w:pPr>
                  <w:r>
                    <w:rPr>
                      <w:b/>
                      <w:color w:val="00AEEF"/>
                    </w:rPr>
                    <w:t>Recommendation</w:t>
                  </w:r>
                  <w:r>
                    <w:rPr>
                      <w:b/>
                      <w:color w:val="00AEEF"/>
                      <w:spacing w:val="35"/>
                    </w:rPr>
                    <w:t xml:space="preserve"> </w:t>
                  </w:r>
                  <w:r>
                    <w:rPr>
                      <w:color w:val="000000"/>
                    </w:rPr>
                    <w:t>Infrastructure</w:t>
                  </w:r>
                  <w:r>
                    <w:rPr>
                      <w:color w:val="000000"/>
                      <w:spacing w:val="-10"/>
                    </w:rPr>
                    <w:t xml:space="preserve"> </w:t>
                  </w:r>
                  <w:r>
                    <w:rPr>
                      <w:color w:val="000000"/>
                    </w:rPr>
                    <w:t>NSW</w:t>
                  </w:r>
                  <w:r>
                    <w:rPr>
                      <w:color w:val="000000"/>
                      <w:spacing w:val="-10"/>
                    </w:rPr>
                    <w:t xml:space="preserve"> </w:t>
                  </w:r>
                  <w:r>
                    <w:rPr>
                      <w:color w:val="000000"/>
                    </w:rPr>
                    <w:t>will</w:t>
                  </w:r>
                  <w:r>
                    <w:rPr>
                      <w:color w:val="000000"/>
                      <w:spacing w:val="-10"/>
                    </w:rPr>
                    <w:t xml:space="preserve"> </w:t>
                  </w:r>
                  <w:r>
                    <w:rPr>
                      <w:color w:val="000000"/>
                    </w:rPr>
                    <w:t xml:space="preserve">develop </w:t>
                  </w:r>
                  <w:r>
                    <w:rPr>
                      <w:color w:val="000000"/>
                      <w:w w:val="95"/>
                    </w:rPr>
                    <w:t>and co-ordinate funding submissions to Infrastructure Australia</w:t>
                  </w:r>
                  <w:r>
                    <w:rPr>
                      <w:color w:val="000000"/>
                      <w:spacing w:val="-7"/>
                      <w:w w:val="95"/>
                    </w:rPr>
                    <w:t xml:space="preserve"> </w:t>
                  </w:r>
                  <w:r>
                    <w:rPr>
                      <w:color w:val="000000"/>
                      <w:w w:val="95"/>
                    </w:rPr>
                    <w:t>that</w:t>
                  </w:r>
                  <w:r>
                    <w:rPr>
                      <w:color w:val="000000"/>
                      <w:spacing w:val="-7"/>
                      <w:w w:val="95"/>
                    </w:rPr>
                    <w:t xml:space="preserve"> </w:t>
                  </w:r>
                  <w:r>
                    <w:rPr>
                      <w:color w:val="000000"/>
                      <w:w w:val="95"/>
                    </w:rPr>
                    <w:t>best</w:t>
                  </w:r>
                  <w:r>
                    <w:rPr>
                      <w:color w:val="000000"/>
                      <w:spacing w:val="-7"/>
                      <w:w w:val="95"/>
                    </w:rPr>
                    <w:t xml:space="preserve"> </w:t>
                  </w:r>
                  <w:r>
                    <w:rPr>
                      <w:color w:val="000000"/>
                      <w:w w:val="95"/>
                    </w:rPr>
                    <w:t>respond</w:t>
                  </w:r>
                  <w:r>
                    <w:rPr>
                      <w:color w:val="000000"/>
                      <w:spacing w:val="-7"/>
                      <w:w w:val="95"/>
                    </w:rPr>
                    <w:t xml:space="preserve"> </w:t>
                  </w:r>
                  <w:r>
                    <w:rPr>
                      <w:color w:val="000000"/>
                      <w:w w:val="95"/>
                    </w:rPr>
                    <w:t>to</w:t>
                  </w:r>
                  <w:r>
                    <w:rPr>
                      <w:color w:val="000000"/>
                      <w:spacing w:val="-7"/>
                      <w:w w:val="95"/>
                    </w:rPr>
                    <w:t xml:space="preserve"> </w:t>
                  </w:r>
                  <w:r>
                    <w:rPr>
                      <w:color w:val="000000"/>
                      <w:w w:val="95"/>
                    </w:rPr>
                    <w:t>Infrastructure</w:t>
                  </w:r>
                  <w:r>
                    <w:rPr>
                      <w:color w:val="000000"/>
                      <w:spacing w:val="-7"/>
                      <w:w w:val="95"/>
                    </w:rPr>
                    <w:t xml:space="preserve"> </w:t>
                  </w:r>
                  <w:r>
                    <w:rPr>
                      <w:color w:val="000000"/>
                      <w:w w:val="95"/>
                    </w:rPr>
                    <w:t xml:space="preserve">Australia’s </w:t>
                  </w:r>
                  <w:r>
                    <w:rPr>
                      <w:color w:val="000000"/>
                    </w:rPr>
                    <w:t>key themes and challenges.</w:t>
                  </w:r>
                </w:p>
              </w:txbxContent>
            </v:textbox>
            <w10:wrap anchorx="page"/>
          </v:shape>
        </w:pict>
      </w:r>
      <w:r w:rsidR="00F22F94">
        <w:t>Nonetheless</w:t>
      </w:r>
      <w:r w:rsidR="00F22F94">
        <w:rPr>
          <w:spacing w:val="-9"/>
        </w:rPr>
        <w:t xml:space="preserve"> </w:t>
      </w:r>
      <w:r w:rsidR="00F22F94">
        <w:t>it</w:t>
      </w:r>
      <w:r w:rsidR="00F22F94">
        <w:rPr>
          <w:spacing w:val="-9"/>
        </w:rPr>
        <w:t xml:space="preserve"> </w:t>
      </w:r>
      <w:r w:rsidR="00F22F94">
        <w:t>must</w:t>
      </w:r>
      <w:r w:rsidR="00F22F94">
        <w:rPr>
          <w:spacing w:val="-9"/>
        </w:rPr>
        <w:t xml:space="preserve"> </w:t>
      </w:r>
      <w:r w:rsidR="00F22F94">
        <w:t>be</w:t>
      </w:r>
      <w:r w:rsidR="00F22F94">
        <w:rPr>
          <w:spacing w:val="-9"/>
        </w:rPr>
        <w:t xml:space="preserve"> </w:t>
      </w:r>
      <w:r w:rsidR="00F22F94">
        <w:t>recognised</w:t>
      </w:r>
      <w:r w:rsidR="00F22F94">
        <w:rPr>
          <w:spacing w:val="-9"/>
        </w:rPr>
        <w:t xml:space="preserve"> </w:t>
      </w:r>
      <w:r w:rsidR="00F22F94">
        <w:t>that</w:t>
      </w:r>
      <w:r w:rsidR="00F22F94">
        <w:rPr>
          <w:spacing w:val="-10"/>
        </w:rPr>
        <w:t xml:space="preserve"> </w:t>
      </w:r>
      <w:r w:rsidR="00F22F94">
        <w:t>current</w:t>
      </w:r>
      <w:r w:rsidR="00F22F94">
        <w:rPr>
          <w:spacing w:val="-9"/>
        </w:rPr>
        <w:t xml:space="preserve"> </w:t>
      </w:r>
      <w:r w:rsidR="00F22F94">
        <w:t xml:space="preserve">fiscal </w:t>
      </w:r>
      <w:r w:rsidR="00F22F94">
        <w:rPr>
          <w:w w:val="95"/>
        </w:rPr>
        <w:t>pressures</w:t>
      </w:r>
      <w:r w:rsidR="00F22F94">
        <w:rPr>
          <w:spacing w:val="-8"/>
          <w:w w:val="95"/>
        </w:rPr>
        <w:t xml:space="preserve"> </w:t>
      </w:r>
      <w:r w:rsidR="00F22F94">
        <w:rPr>
          <w:w w:val="95"/>
        </w:rPr>
        <w:t>at</w:t>
      </w:r>
      <w:r w:rsidR="00F22F94">
        <w:rPr>
          <w:spacing w:val="-8"/>
          <w:w w:val="95"/>
        </w:rPr>
        <w:t xml:space="preserve"> </w:t>
      </w:r>
      <w:r w:rsidR="00F22F94">
        <w:rPr>
          <w:w w:val="95"/>
        </w:rPr>
        <w:t>the</w:t>
      </w:r>
      <w:r w:rsidR="00F22F94">
        <w:rPr>
          <w:spacing w:val="-8"/>
          <w:w w:val="95"/>
        </w:rPr>
        <w:t xml:space="preserve"> </w:t>
      </w:r>
      <w:r w:rsidR="00F22F94">
        <w:rPr>
          <w:w w:val="95"/>
        </w:rPr>
        <w:t>Federal</w:t>
      </w:r>
      <w:r w:rsidR="00F22F94">
        <w:rPr>
          <w:spacing w:val="-8"/>
          <w:w w:val="95"/>
        </w:rPr>
        <w:t xml:space="preserve"> </w:t>
      </w:r>
      <w:r w:rsidR="00F22F94">
        <w:rPr>
          <w:w w:val="95"/>
        </w:rPr>
        <w:t>level</w:t>
      </w:r>
      <w:r w:rsidR="00F22F94">
        <w:rPr>
          <w:spacing w:val="-8"/>
          <w:w w:val="95"/>
        </w:rPr>
        <w:t xml:space="preserve"> </w:t>
      </w:r>
      <w:r w:rsidR="00F22F94">
        <w:rPr>
          <w:w w:val="95"/>
        </w:rPr>
        <w:t>mean</w:t>
      </w:r>
      <w:r w:rsidR="00F22F94">
        <w:rPr>
          <w:spacing w:val="-8"/>
          <w:w w:val="95"/>
        </w:rPr>
        <w:t xml:space="preserve"> </w:t>
      </w:r>
      <w:r w:rsidR="00F22F94">
        <w:rPr>
          <w:w w:val="95"/>
        </w:rPr>
        <w:t>that</w:t>
      </w:r>
      <w:r w:rsidR="00F22F94">
        <w:rPr>
          <w:spacing w:val="-8"/>
          <w:w w:val="95"/>
        </w:rPr>
        <w:t xml:space="preserve"> </w:t>
      </w:r>
      <w:r w:rsidR="00F22F94">
        <w:rPr>
          <w:w w:val="95"/>
        </w:rPr>
        <w:t xml:space="preserve">Commonwealth </w:t>
      </w:r>
      <w:r w:rsidR="00F22F94">
        <w:t>support</w:t>
      </w:r>
      <w:r w:rsidR="00F22F94">
        <w:rPr>
          <w:spacing w:val="-11"/>
        </w:rPr>
        <w:t xml:space="preserve"> </w:t>
      </w:r>
      <w:r w:rsidR="00F22F94">
        <w:t>cannot</w:t>
      </w:r>
      <w:r w:rsidR="00F22F94">
        <w:rPr>
          <w:spacing w:val="-11"/>
        </w:rPr>
        <w:t xml:space="preserve"> </w:t>
      </w:r>
      <w:r w:rsidR="00F22F94">
        <w:t>be</w:t>
      </w:r>
      <w:r w:rsidR="00F22F94">
        <w:rPr>
          <w:spacing w:val="-11"/>
        </w:rPr>
        <w:t xml:space="preserve"> </w:t>
      </w:r>
      <w:r w:rsidR="00F22F94">
        <w:t>seen</w:t>
      </w:r>
      <w:r w:rsidR="00F22F94">
        <w:rPr>
          <w:spacing w:val="-11"/>
        </w:rPr>
        <w:t xml:space="preserve"> </w:t>
      </w:r>
      <w:r w:rsidR="00F22F94">
        <w:t>as</w:t>
      </w:r>
      <w:r w:rsidR="00F22F94">
        <w:rPr>
          <w:spacing w:val="-11"/>
        </w:rPr>
        <w:t xml:space="preserve"> </w:t>
      </w:r>
      <w:r w:rsidR="00F22F94">
        <w:t>an</w:t>
      </w:r>
      <w:r w:rsidR="00F22F94">
        <w:rPr>
          <w:spacing w:val="-11"/>
        </w:rPr>
        <w:t xml:space="preserve"> </w:t>
      </w:r>
      <w:r w:rsidR="00F22F94">
        <w:t>alternative</w:t>
      </w:r>
      <w:r w:rsidR="00F22F94">
        <w:rPr>
          <w:spacing w:val="-11"/>
        </w:rPr>
        <w:t xml:space="preserve"> </w:t>
      </w:r>
      <w:r w:rsidR="00F22F94">
        <w:t>to</w:t>
      </w:r>
      <w:r w:rsidR="00F22F94">
        <w:rPr>
          <w:spacing w:val="-11"/>
        </w:rPr>
        <w:t xml:space="preserve"> </w:t>
      </w:r>
      <w:r w:rsidR="00F22F94">
        <w:t>the</w:t>
      </w:r>
      <w:r w:rsidR="00F22F94">
        <w:rPr>
          <w:spacing w:val="-11"/>
        </w:rPr>
        <w:t xml:space="preserve"> </w:t>
      </w:r>
      <w:r w:rsidR="00F22F94">
        <w:t xml:space="preserve">other </w:t>
      </w:r>
      <w:r w:rsidR="00F22F94">
        <w:rPr>
          <w:w w:val="95"/>
        </w:rPr>
        <w:t>funding</w:t>
      </w:r>
      <w:r w:rsidR="00F22F94">
        <w:rPr>
          <w:spacing w:val="-1"/>
          <w:w w:val="95"/>
        </w:rPr>
        <w:t xml:space="preserve"> </w:t>
      </w:r>
      <w:r w:rsidR="00F22F94">
        <w:rPr>
          <w:w w:val="95"/>
        </w:rPr>
        <w:t>strategies</w:t>
      </w:r>
      <w:r w:rsidR="00F22F94">
        <w:rPr>
          <w:spacing w:val="-1"/>
          <w:w w:val="95"/>
        </w:rPr>
        <w:t xml:space="preserve"> </w:t>
      </w:r>
      <w:r w:rsidR="00F22F94">
        <w:rPr>
          <w:w w:val="95"/>
        </w:rPr>
        <w:t>set</w:t>
      </w:r>
      <w:r w:rsidR="00F22F94">
        <w:rPr>
          <w:spacing w:val="-1"/>
          <w:w w:val="95"/>
        </w:rPr>
        <w:t xml:space="preserve"> </w:t>
      </w:r>
      <w:r w:rsidR="00F22F94">
        <w:rPr>
          <w:w w:val="95"/>
        </w:rPr>
        <w:t>out</w:t>
      </w:r>
      <w:r w:rsidR="00F22F94">
        <w:rPr>
          <w:spacing w:val="-1"/>
          <w:w w:val="95"/>
        </w:rPr>
        <w:t xml:space="preserve"> </w:t>
      </w:r>
      <w:r w:rsidR="00F22F94">
        <w:rPr>
          <w:w w:val="95"/>
        </w:rPr>
        <w:t>in</w:t>
      </w:r>
      <w:r w:rsidR="00F22F94">
        <w:rPr>
          <w:spacing w:val="-1"/>
          <w:w w:val="95"/>
        </w:rPr>
        <w:t xml:space="preserve"> </w:t>
      </w:r>
      <w:r w:rsidR="00F22F94">
        <w:rPr>
          <w:w w:val="95"/>
        </w:rPr>
        <w:t>this</w:t>
      </w:r>
      <w:r w:rsidR="00F22F94">
        <w:rPr>
          <w:spacing w:val="-1"/>
          <w:w w:val="95"/>
        </w:rPr>
        <w:t xml:space="preserve"> </w:t>
      </w:r>
      <w:r w:rsidR="00F22F94">
        <w:rPr>
          <w:w w:val="95"/>
        </w:rPr>
        <w:t>section,</w:t>
      </w:r>
      <w:r w:rsidR="00F22F94">
        <w:rPr>
          <w:spacing w:val="-1"/>
          <w:w w:val="95"/>
        </w:rPr>
        <w:t xml:space="preserve"> </w:t>
      </w:r>
      <w:r w:rsidR="00F22F94">
        <w:rPr>
          <w:w w:val="95"/>
        </w:rPr>
        <w:t>in</w:t>
      </w:r>
      <w:r w:rsidR="00F22F94">
        <w:rPr>
          <w:spacing w:val="-1"/>
          <w:w w:val="95"/>
        </w:rPr>
        <w:t xml:space="preserve"> </w:t>
      </w:r>
      <w:r w:rsidR="00F22F94">
        <w:rPr>
          <w:w w:val="95"/>
        </w:rPr>
        <w:t>particular</w:t>
      </w:r>
      <w:r w:rsidR="00F22F94">
        <w:rPr>
          <w:spacing w:val="-1"/>
          <w:w w:val="95"/>
        </w:rPr>
        <w:t xml:space="preserve"> </w:t>
      </w:r>
      <w:r w:rsidR="00F22F94">
        <w:rPr>
          <w:w w:val="95"/>
        </w:rPr>
        <w:t xml:space="preserve">the </w:t>
      </w:r>
      <w:r w:rsidR="00F22F94">
        <w:t>user funding options.</w:t>
      </w:r>
    </w:p>
    <w:p w:rsidR="002C1123" w:rsidRDefault="00F22F94">
      <w:pPr>
        <w:spacing w:before="8"/>
        <w:rPr>
          <w:sz w:val="21"/>
        </w:rPr>
      </w:pPr>
      <w:r>
        <w:br w:type="column"/>
      </w:r>
    </w:p>
    <w:p w:rsidR="002C1123" w:rsidRDefault="00F22F94">
      <w:pPr>
        <w:pStyle w:val="Heading6"/>
        <w:spacing w:before="0"/>
        <w:ind w:left="224"/>
      </w:pPr>
      <w:r>
        <w:rPr>
          <w:w w:val="95"/>
        </w:rPr>
        <w:t>Value</w:t>
      </w:r>
      <w:r>
        <w:rPr>
          <w:spacing w:val="-3"/>
        </w:rPr>
        <w:t xml:space="preserve"> </w:t>
      </w:r>
      <w:r>
        <w:rPr>
          <w:spacing w:val="-2"/>
          <w:w w:val="95"/>
        </w:rPr>
        <w:t>Capture</w:t>
      </w:r>
    </w:p>
    <w:p w:rsidR="002C1123" w:rsidRDefault="00F22F94">
      <w:pPr>
        <w:pStyle w:val="BodyText"/>
        <w:spacing w:before="10" w:line="249" w:lineRule="auto"/>
        <w:ind w:left="224"/>
      </w:pPr>
      <w:r>
        <w:t>Some</w:t>
      </w:r>
      <w:r>
        <w:rPr>
          <w:spacing w:val="-12"/>
        </w:rPr>
        <w:t xml:space="preserve"> </w:t>
      </w:r>
      <w:r>
        <w:t>infrastructure</w:t>
      </w:r>
      <w:r>
        <w:rPr>
          <w:spacing w:val="-12"/>
        </w:rPr>
        <w:t xml:space="preserve"> </w:t>
      </w:r>
      <w:r>
        <w:t>projects,</w:t>
      </w:r>
      <w:r>
        <w:rPr>
          <w:spacing w:val="-12"/>
        </w:rPr>
        <w:t xml:space="preserve"> </w:t>
      </w:r>
      <w:r>
        <w:t>especially</w:t>
      </w:r>
      <w:r>
        <w:rPr>
          <w:spacing w:val="-12"/>
        </w:rPr>
        <w:t xml:space="preserve"> </w:t>
      </w:r>
      <w:r>
        <w:t>in</w:t>
      </w:r>
      <w:r>
        <w:rPr>
          <w:spacing w:val="-12"/>
        </w:rPr>
        <w:t xml:space="preserve"> </w:t>
      </w:r>
      <w:r>
        <w:t>transport, can</w:t>
      </w:r>
      <w:r>
        <w:rPr>
          <w:spacing w:val="-14"/>
        </w:rPr>
        <w:t xml:space="preserve"> </w:t>
      </w:r>
      <w:r>
        <w:t>increase</w:t>
      </w:r>
      <w:r>
        <w:rPr>
          <w:spacing w:val="-14"/>
        </w:rPr>
        <w:t xml:space="preserve"> </w:t>
      </w:r>
      <w:r>
        <w:t>the</w:t>
      </w:r>
      <w:r>
        <w:rPr>
          <w:spacing w:val="-14"/>
        </w:rPr>
        <w:t xml:space="preserve"> </w:t>
      </w:r>
      <w:r>
        <w:t>value</w:t>
      </w:r>
      <w:r>
        <w:rPr>
          <w:spacing w:val="-14"/>
        </w:rPr>
        <w:t xml:space="preserve"> </w:t>
      </w:r>
      <w:r>
        <w:t>of</w:t>
      </w:r>
      <w:r>
        <w:rPr>
          <w:spacing w:val="-14"/>
        </w:rPr>
        <w:t xml:space="preserve"> </w:t>
      </w:r>
      <w:r>
        <w:t>nearby</w:t>
      </w:r>
      <w:r>
        <w:rPr>
          <w:spacing w:val="-14"/>
        </w:rPr>
        <w:t xml:space="preserve"> </w:t>
      </w:r>
      <w:r>
        <w:t>landholdings</w:t>
      </w:r>
      <w:r>
        <w:rPr>
          <w:spacing w:val="-13"/>
        </w:rPr>
        <w:t xml:space="preserve"> </w:t>
      </w:r>
      <w:r>
        <w:t xml:space="preserve">and </w:t>
      </w:r>
      <w:r>
        <w:rPr>
          <w:w w:val="95"/>
        </w:rPr>
        <w:t>other</w:t>
      </w:r>
      <w:r>
        <w:rPr>
          <w:spacing w:val="-9"/>
          <w:w w:val="95"/>
        </w:rPr>
        <w:t xml:space="preserve"> </w:t>
      </w:r>
      <w:r>
        <w:rPr>
          <w:w w:val="95"/>
        </w:rPr>
        <w:t>assets</w:t>
      </w:r>
      <w:r>
        <w:rPr>
          <w:spacing w:val="-9"/>
          <w:w w:val="95"/>
        </w:rPr>
        <w:t xml:space="preserve"> </w:t>
      </w:r>
      <w:r>
        <w:rPr>
          <w:w w:val="95"/>
        </w:rPr>
        <w:t>over</w:t>
      </w:r>
      <w:r>
        <w:rPr>
          <w:spacing w:val="-9"/>
          <w:w w:val="95"/>
        </w:rPr>
        <w:t xml:space="preserve"> </w:t>
      </w:r>
      <w:r>
        <w:rPr>
          <w:w w:val="95"/>
        </w:rPr>
        <w:t>time.</w:t>
      </w:r>
      <w:r>
        <w:rPr>
          <w:spacing w:val="-9"/>
          <w:w w:val="95"/>
        </w:rPr>
        <w:t xml:space="preserve"> </w:t>
      </w:r>
      <w:r>
        <w:rPr>
          <w:w w:val="95"/>
        </w:rPr>
        <w:t>Where</w:t>
      </w:r>
      <w:r>
        <w:rPr>
          <w:spacing w:val="-9"/>
          <w:w w:val="95"/>
        </w:rPr>
        <w:t xml:space="preserve"> </w:t>
      </w:r>
      <w:r>
        <w:rPr>
          <w:w w:val="95"/>
        </w:rPr>
        <w:t>the</w:t>
      </w:r>
      <w:r>
        <w:rPr>
          <w:spacing w:val="-9"/>
          <w:w w:val="95"/>
        </w:rPr>
        <w:t xml:space="preserve"> </w:t>
      </w:r>
      <w:r>
        <w:rPr>
          <w:w w:val="95"/>
        </w:rPr>
        <w:t>taxpayer</w:t>
      </w:r>
      <w:r>
        <w:rPr>
          <w:spacing w:val="-9"/>
          <w:w w:val="95"/>
        </w:rPr>
        <w:t xml:space="preserve"> </w:t>
      </w:r>
      <w:r>
        <w:rPr>
          <w:w w:val="95"/>
        </w:rPr>
        <w:t>has</w:t>
      </w:r>
      <w:r>
        <w:rPr>
          <w:spacing w:val="-9"/>
          <w:w w:val="95"/>
        </w:rPr>
        <w:t xml:space="preserve"> </w:t>
      </w:r>
      <w:r>
        <w:rPr>
          <w:w w:val="95"/>
        </w:rPr>
        <w:t>made</w:t>
      </w:r>
      <w:r>
        <w:rPr>
          <w:spacing w:val="-9"/>
          <w:w w:val="95"/>
        </w:rPr>
        <w:t xml:space="preserve"> </w:t>
      </w:r>
      <w:r>
        <w:rPr>
          <w:w w:val="95"/>
        </w:rPr>
        <w:t xml:space="preserve">a financial contribution, it is desirable that a share of this </w:t>
      </w:r>
      <w:r>
        <w:t>value</w:t>
      </w:r>
      <w:r>
        <w:rPr>
          <w:spacing w:val="-10"/>
        </w:rPr>
        <w:t xml:space="preserve"> </w:t>
      </w:r>
      <w:r>
        <w:t>should</w:t>
      </w:r>
      <w:r>
        <w:rPr>
          <w:spacing w:val="-10"/>
        </w:rPr>
        <w:t xml:space="preserve"> </w:t>
      </w:r>
      <w:r>
        <w:t>be</w:t>
      </w:r>
      <w:r>
        <w:rPr>
          <w:spacing w:val="-10"/>
        </w:rPr>
        <w:t xml:space="preserve"> </w:t>
      </w:r>
      <w:r>
        <w:t>recovered</w:t>
      </w:r>
      <w:r>
        <w:rPr>
          <w:spacing w:val="-10"/>
        </w:rPr>
        <w:t xml:space="preserve"> </w:t>
      </w:r>
      <w:r>
        <w:t>by</w:t>
      </w:r>
      <w:r>
        <w:rPr>
          <w:spacing w:val="-10"/>
        </w:rPr>
        <w:t xml:space="preserve"> </w:t>
      </w:r>
      <w:r>
        <w:t>Government.</w:t>
      </w:r>
    </w:p>
    <w:p w:rsidR="002C1123" w:rsidRDefault="00F22F94">
      <w:pPr>
        <w:pStyle w:val="BodyText"/>
        <w:spacing w:before="146" w:line="249" w:lineRule="auto"/>
        <w:ind w:left="224" w:right="36"/>
      </w:pPr>
      <w:r>
        <w:t>“Value</w:t>
      </w:r>
      <w:r>
        <w:rPr>
          <w:spacing w:val="-12"/>
        </w:rPr>
        <w:t xml:space="preserve"> </w:t>
      </w:r>
      <w:r>
        <w:t>capture”</w:t>
      </w:r>
      <w:r>
        <w:rPr>
          <w:spacing w:val="-12"/>
        </w:rPr>
        <w:t xml:space="preserve"> </w:t>
      </w:r>
      <w:r>
        <w:t>mechanisms</w:t>
      </w:r>
      <w:r>
        <w:rPr>
          <w:spacing w:val="-12"/>
        </w:rPr>
        <w:t xml:space="preserve"> </w:t>
      </w:r>
      <w:r>
        <w:t>have</w:t>
      </w:r>
      <w:r>
        <w:rPr>
          <w:spacing w:val="-12"/>
        </w:rPr>
        <w:t xml:space="preserve"> </w:t>
      </w:r>
      <w:r>
        <w:t>been</w:t>
      </w:r>
      <w:r>
        <w:rPr>
          <w:spacing w:val="-12"/>
        </w:rPr>
        <w:t xml:space="preserve"> </w:t>
      </w:r>
      <w:r>
        <w:t>devised which</w:t>
      </w:r>
      <w:r>
        <w:rPr>
          <w:spacing w:val="-13"/>
        </w:rPr>
        <w:t xml:space="preserve"> </w:t>
      </w:r>
      <w:r>
        <w:t>can</w:t>
      </w:r>
      <w:r>
        <w:rPr>
          <w:spacing w:val="-13"/>
        </w:rPr>
        <w:t xml:space="preserve"> </w:t>
      </w:r>
      <w:r>
        <w:t>contribute</w:t>
      </w:r>
      <w:r>
        <w:rPr>
          <w:spacing w:val="-13"/>
        </w:rPr>
        <w:t xml:space="preserve"> </w:t>
      </w:r>
      <w:r>
        <w:t>to</w:t>
      </w:r>
      <w:r>
        <w:rPr>
          <w:spacing w:val="-13"/>
        </w:rPr>
        <w:t xml:space="preserve"> </w:t>
      </w:r>
      <w:r>
        <w:t>the</w:t>
      </w:r>
      <w:r>
        <w:rPr>
          <w:spacing w:val="-13"/>
        </w:rPr>
        <w:t xml:space="preserve"> </w:t>
      </w:r>
      <w:r>
        <w:t>funding</w:t>
      </w:r>
      <w:r>
        <w:rPr>
          <w:spacing w:val="-13"/>
        </w:rPr>
        <w:t xml:space="preserve"> </w:t>
      </w:r>
      <w:r>
        <w:t>for</w:t>
      </w:r>
      <w:r>
        <w:rPr>
          <w:spacing w:val="-13"/>
        </w:rPr>
        <w:t xml:space="preserve"> </w:t>
      </w:r>
      <w:r>
        <w:t>new</w:t>
      </w:r>
      <w:r>
        <w:rPr>
          <w:spacing w:val="-13"/>
        </w:rPr>
        <w:t xml:space="preserve"> </w:t>
      </w:r>
      <w:r>
        <w:t xml:space="preserve">projects. </w:t>
      </w:r>
      <w:r>
        <w:rPr>
          <w:w w:val="95"/>
        </w:rPr>
        <w:t>Most</w:t>
      </w:r>
      <w:r>
        <w:rPr>
          <w:spacing w:val="-3"/>
          <w:w w:val="95"/>
        </w:rPr>
        <w:t xml:space="preserve"> </w:t>
      </w:r>
      <w:r>
        <w:rPr>
          <w:w w:val="95"/>
        </w:rPr>
        <w:t>of</w:t>
      </w:r>
      <w:r>
        <w:rPr>
          <w:spacing w:val="-3"/>
          <w:w w:val="95"/>
        </w:rPr>
        <w:t xml:space="preserve"> </w:t>
      </w:r>
      <w:r>
        <w:rPr>
          <w:w w:val="95"/>
        </w:rPr>
        <w:t>these</w:t>
      </w:r>
      <w:r>
        <w:rPr>
          <w:spacing w:val="-3"/>
          <w:w w:val="95"/>
        </w:rPr>
        <w:t xml:space="preserve"> </w:t>
      </w:r>
      <w:r>
        <w:rPr>
          <w:w w:val="95"/>
        </w:rPr>
        <w:t>schemes</w:t>
      </w:r>
      <w:r>
        <w:rPr>
          <w:spacing w:val="-3"/>
          <w:w w:val="95"/>
        </w:rPr>
        <w:t xml:space="preserve"> </w:t>
      </w:r>
      <w:r>
        <w:rPr>
          <w:w w:val="95"/>
        </w:rPr>
        <w:t>involve</w:t>
      </w:r>
      <w:r>
        <w:rPr>
          <w:spacing w:val="-3"/>
          <w:w w:val="95"/>
        </w:rPr>
        <w:t xml:space="preserve"> </w:t>
      </w:r>
      <w:r>
        <w:rPr>
          <w:w w:val="95"/>
        </w:rPr>
        <w:t>a</w:t>
      </w:r>
      <w:r>
        <w:rPr>
          <w:spacing w:val="-3"/>
          <w:w w:val="95"/>
        </w:rPr>
        <w:t xml:space="preserve"> </w:t>
      </w:r>
      <w:r>
        <w:rPr>
          <w:w w:val="95"/>
        </w:rPr>
        <w:t>charge</w:t>
      </w:r>
      <w:r>
        <w:rPr>
          <w:spacing w:val="-3"/>
          <w:w w:val="95"/>
        </w:rPr>
        <w:t xml:space="preserve"> </w:t>
      </w:r>
      <w:r>
        <w:rPr>
          <w:w w:val="95"/>
        </w:rPr>
        <w:t>on</w:t>
      </w:r>
      <w:r>
        <w:rPr>
          <w:spacing w:val="-3"/>
          <w:w w:val="95"/>
        </w:rPr>
        <w:t xml:space="preserve"> </w:t>
      </w:r>
      <w:r>
        <w:rPr>
          <w:w w:val="95"/>
        </w:rPr>
        <w:t>owners</w:t>
      </w:r>
      <w:r>
        <w:rPr>
          <w:spacing w:val="-3"/>
          <w:w w:val="95"/>
        </w:rPr>
        <w:t xml:space="preserve"> </w:t>
      </w:r>
      <w:r>
        <w:rPr>
          <w:w w:val="95"/>
        </w:rPr>
        <w:t>of assets</w:t>
      </w:r>
      <w:r>
        <w:rPr>
          <w:spacing w:val="-7"/>
          <w:w w:val="95"/>
        </w:rPr>
        <w:t xml:space="preserve"> </w:t>
      </w:r>
      <w:r>
        <w:rPr>
          <w:w w:val="95"/>
        </w:rPr>
        <w:t>whose</w:t>
      </w:r>
      <w:r>
        <w:rPr>
          <w:spacing w:val="-7"/>
          <w:w w:val="95"/>
        </w:rPr>
        <w:t xml:space="preserve"> </w:t>
      </w:r>
      <w:r>
        <w:rPr>
          <w:w w:val="95"/>
        </w:rPr>
        <w:t>value</w:t>
      </w:r>
      <w:r>
        <w:rPr>
          <w:spacing w:val="-7"/>
          <w:w w:val="95"/>
        </w:rPr>
        <w:t xml:space="preserve"> </w:t>
      </w:r>
      <w:r>
        <w:rPr>
          <w:w w:val="95"/>
        </w:rPr>
        <w:t>is</w:t>
      </w:r>
      <w:r>
        <w:rPr>
          <w:spacing w:val="-7"/>
          <w:w w:val="95"/>
        </w:rPr>
        <w:t xml:space="preserve"> </w:t>
      </w:r>
      <w:r>
        <w:rPr>
          <w:w w:val="95"/>
        </w:rPr>
        <w:t>enhanced</w:t>
      </w:r>
      <w:r>
        <w:rPr>
          <w:spacing w:val="-7"/>
          <w:w w:val="95"/>
        </w:rPr>
        <w:t xml:space="preserve"> </w:t>
      </w:r>
      <w:r>
        <w:rPr>
          <w:w w:val="95"/>
        </w:rPr>
        <w:t>by</w:t>
      </w:r>
      <w:r>
        <w:rPr>
          <w:spacing w:val="-7"/>
          <w:w w:val="95"/>
        </w:rPr>
        <w:t xml:space="preserve"> </w:t>
      </w:r>
      <w:r>
        <w:rPr>
          <w:w w:val="95"/>
        </w:rPr>
        <w:t>new</w:t>
      </w:r>
      <w:r>
        <w:rPr>
          <w:spacing w:val="-7"/>
          <w:w w:val="95"/>
        </w:rPr>
        <w:t xml:space="preserve"> </w:t>
      </w:r>
      <w:r>
        <w:rPr>
          <w:w w:val="95"/>
        </w:rPr>
        <w:t xml:space="preserve">infrastructure provision. Examples include the special business rate </w:t>
      </w:r>
      <w:r>
        <w:t>levy</w:t>
      </w:r>
      <w:r>
        <w:rPr>
          <w:spacing w:val="-9"/>
        </w:rPr>
        <w:t xml:space="preserve"> </w:t>
      </w:r>
      <w:r>
        <w:t>in</w:t>
      </w:r>
      <w:r>
        <w:rPr>
          <w:spacing w:val="-9"/>
        </w:rPr>
        <w:t xml:space="preserve"> </w:t>
      </w:r>
      <w:r>
        <w:t>the</w:t>
      </w:r>
      <w:r>
        <w:rPr>
          <w:spacing w:val="-9"/>
        </w:rPr>
        <w:t xml:space="preserve"> </w:t>
      </w:r>
      <w:r>
        <w:t>City</w:t>
      </w:r>
      <w:r>
        <w:rPr>
          <w:spacing w:val="-9"/>
        </w:rPr>
        <w:t xml:space="preserve"> </w:t>
      </w:r>
      <w:r>
        <w:t>of</w:t>
      </w:r>
      <w:r>
        <w:rPr>
          <w:spacing w:val="-9"/>
        </w:rPr>
        <w:t xml:space="preserve"> </w:t>
      </w:r>
      <w:r>
        <w:t>London</w:t>
      </w:r>
      <w:r>
        <w:rPr>
          <w:spacing w:val="-9"/>
        </w:rPr>
        <w:t xml:space="preserve"> </w:t>
      </w:r>
      <w:r>
        <w:t>to</w:t>
      </w:r>
      <w:r>
        <w:rPr>
          <w:spacing w:val="-9"/>
        </w:rPr>
        <w:t xml:space="preserve"> </w:t>
      </w:r>
      <w:r>
        <w:t>support</w:t>
      </w:r>
      <w:r>
        <w:rPr>
          <w:spacing w:val="-9"/>
        </w:rPr>
        <w:t xml:space="preserve"> </w:t>
      </w:r>
      <w:r>
        <w:t>Crossrail</w:t>
      </w:r>
      <w:r>
        <w:rPr>
          <w:spacing w:val="-9"/>
        </w:rPr>
        <w:t xml:space="preserve"> </w:t>
      </w:r>
      <w:r>
        <w:t>and</w:t>
      </w:r>
    </w:p>
    <w:p w:rsidR="002C1123" w:rsidRDefault="00F22F94">
      <w:pPr>
        <w:pStyle w:val="BodyText"/>
        <w:spacing w:before="5" w:line="249" w:lineRule="auto"/>
        <w:ind w:left="224"/>
      </w:pPr>
      <w:r>
        <w:rPr>
          <w:w w:val="95"/>
        </w:rPr>
        <w:t>the</w:t>
      </w:r>
      <w:r>
        <w:rPr>
          <w:spacing w:val="-1"/>
          <w:w w:val="95"/>
        </w:rPr>
        <w:t xml:space="preserve"> </w:t>
      </w:r>
      <w:r>
        <w:rPr>
          <w:w w:val="95"/>
        </w:rPr>
        <w:t>rates</w:t>
      </w:r>
      <w:r>
        <w:rPr>
          <w:spacing w:val="-1"/>
          <w:w w:val="95"/>
        </w:rPr>
        <w:t xml:space="preserve"> </w:t>
      </w:r>
      <w:r>
        <w:rPr>
          <w:w w:val="95"/>
        </w:rPr>
        <w:t>supplement</w:t>
      </w:r>
      <w:r>
        <w:rPr>
          <w:spacing w:val="-1"/>
          <w:w w:val="95"/>
        </w:rPr>
        <w:t xml:space="preserve"> </w:t>
      </w:r>
      <w:r>
        <w:rPr>
          <w:w w:val="95"/>
        </w:rPr>
        <w:t>on</w:t>
      </w:r>
      <w:r>
        <w:rPr>
          <w:spacing w:val="-1"/>
          <w:w w:val="95"/>
        </w:rPr>
        <w:t xml:space="preserve"> </w:t>
      </w:r>
      <w:r>
        <w:rPr>
          <w:w w:val="95"/>
        </w:rPr>
        <w:t>the</w:t>
      </w:r>
      <w:r>
        <w:rPr>
          <w:spacing w:val="-1"/>
          <w:w w:val="95"/>
        </w:rPr>
        <w:t xml:space="preserve"> </w:t>
      </w:r>
      <w:r>
        <w:rPr>
          <w:w w:val="95"/>
        </w:rPr>
        <w:t>Gold</w:t>
      </w:r>
      <w:r>
        <w:rPr>
          <w:spacing w:val="-1"/>
          <w:w w:val="95"/>
        </w:rPr>
        <w:t xml:space="preserve"> </w:t>
      </w:r>
      <w:r>
        <w:rPr>
          <w:w w:val="95"/>
        </w:rPr>
        <w:t>Coast</w:t>
      </w:r>
      <w:r>
        <w:rPr>
          <w:spacing w:val="-1"/>
          <w:w w:val="95"/>
        </w:rPr>
        <w:t xml:space="preserve"> </w:t>
      </w:r>
      <w:r>
        <w:rPr>
          <w:w w:val="95"/>
        </w:rPr>
        <w:t>to</w:t>
      </w:r>
      <w:r>
        <w:rPr>
          <w:spacing w:val="-1"/>
          <w:w w:val="95"/>
        </w:rPr>
        <w:t xml:space="preserve"> </w:t>
      </w:r>
      <w:r>
        <w:rPr>
          <w:w w:val="95"/>
        </w:rPr>
        <w:t xml:space="preserve">contribute </w:t>
      </w:r>
      <w:r>
        <w:t>towards the construction of light rail.</w:t>
      </w:r>
    </w:p>
    <w:p w:rsidR="002C1123" w:rsidRDefault="002060EF">
      <w:pPr>
        <w:pStyle w:val="BodyText"/>
        <w:spacing w:before="143" w:line="249" w:lineRule="auto"/>
        <w:ind w:left="224"/>
      </w:pPr>
      <w:r>
        <w:pict>
          <v:shape id="docshape2905" o:spid="_x0000_s1118" type="#_x0000_t202" style="position:absolute;left:0;text-align:left;margin-left:300.95pt;margin-top:75.6pt;width:240pt;height:57.35pt;z-index:251756544;mso-position-horizontal-relative:page" fillcolor="#e1e0e1" stroked="f">
            <v:textbox inset="0,0,0,0">
              <w:txbxContent>
                <w:p w:rsidR="00F22F94" w:rsidRDefault="00F22F94">
                  <w:pPr>
                    <w:pStyle w:val="BodyText"/>
                    <w:spacing w:before="68" w:line="249" w:lineRule="auto"/>
                    <w:ind w:left="113" w:right="122"/>
                    <w:rPr>
                      <w:color w:val="000000"/>
                    </w:rPr>
                  </w:pPr>
                  <w:r>
                    <w:rPr>
                      <w:b/>
                      <w:color w:val="00AEEF"/>
                      <w:w w:val="95"/>
                    </w:rPr>
                    <w:t>Recommendation</w:t>
                  </w:r>
                  <w:r>
                    <w:rPr>
                      <w:b/>
                      <w:color w:val="00AEEF"/>
                      <w:spacing w:val="40"/>
                    </w:rPr>
                    <w:t xml:space="preserve"> </w:t>
                  </w:r>
                  <w:r>
                    <w:rPr>
                      <w:color w:val="000000"/>
                      <w:w w:val="95"/>
                    </w:rPr>
                    <w:t xml:space="preserve">Infrastructure NSW supports the use of targeted value capture mechanisms, including </w:t>
                  </w:r>
                  <w:r>
                    <w:rPr>
                      <w:color w:val="000000"/>
                    </w:rPr>
                    <w:t>special</w:t>
                  </w:r>
                  <w:r>
                    <w:rPr>
                      <w:color w:val="000000"/>
                      <w:spacing w:val="-12"/>
                    </w:rPr>
                    <w:t xml:space="preserve"> </w:t>
                  </w:r>
                  <w:r>
                    <w:rPr>
                      <w:color w:val="000000"/>
                    </w:rPr>
                    <w:t>purpose</w:t>
                  </w:r>
                  <w:r>
                    <w:rPr>
                      <w:color w:val="000000"/>
                      <w:spacing w:val="-12"/>
                    </w:rPr>
                    <w:t xml:space="preserve"> </w:t>
                  </w:r>
                  <w:r>
                    <w:rPr>
                      <w:color w:val="000000"/>
                    </w:rPr>
                    <w:t>property</w:t>
                  </w:r>
                  <w:r>
                    <w:rPr>
                      <w:color w:val="000000"/>
                      <w:spacing w:val="-12"/>
                    </w:rPr>
                    <w:t xml:space="preserve"> </w:t>
                  </w:r>
                  <w:r>
                    <w:rPr>
                      <w:color w:val="000000"/>
                    </w:rPr>
                    <w:t>levies,</w:t>
                  </w:r>
                  <w:r>
                    <w:rPr>
                      <w:color w:val="000000"/>
                      <w:spacing w:val="-12"/>
                    </w:rPr>
                    <w:t xml:space="preserve"> </w:t>
                  </w:r>
                  <w:r>
                    <w:rPr>
                      <w:color w:val="000000"/>
                    </w:rPr>
                    <w:t>in</w:t>
                  </w:r>
                  <w:r>
                    <w:rPr>
                      <w:color w:val="000000"/>
                      <w:spacing w:val="-12"/>
                    </w:rPr>
                    <w:t xml:space="preserve"> </w:t>
                  </w:r>
                  <w:r>
                    <w:rPr>
                      <w:color w:val="000000"/>
                    </w:rPr>
                    <w:t>situations</w:t>
                  </w:r>
                  <w:r>
                    <w:rPr>
                      <w:color w:val="000000"/>
                      <w:spacing w:val="-12"/>
                    </w:rPr>
                    <w:t xml:space="preserve"> </w:t>
                  </w:r>
                  <w:r>
                    <w:rPr>
                      <w:color w:val="000000"/>
                    </w:rPr>
                    <w:t>where there</w:t>
                  </w:r>
                  <w:r>
                    <w:rPr>
                      <w:color w:val="000000"/>
                      <w:spacing w:val="-11"/>
                    </w:rPr>
                    <w:t xml:space="preserve"> </w:t>
                  </w:r>
                  <w:r>
                    <w:rPr>
                      <w:color w:val="000000"/>
                    </w:rPr>
                    <w:t>is</w:t>
                  </w:r>
                  <w:r>
                    <w:rPr>
                      <w:color w:val="000000"/>
                      <w:spacing w:val="-11"/>
                    </w:rPr>
                    <w:t xml:space="preserve"> </w:t>
                  </w:r>
                  <w:r>
                    <w:rPr>
                      <w:color w:val="000000"/>
                    </w:rPr>
                    <w:t>a</w:t>
                  </w:r>
                  <w:r>
                    <w:rPr>
                      <w:color w:val="000000"/>
                      <w:spacing w:val="-11"/>
                    </w:rPr>
                    <w:t xml:space="preserve"> </w:t>
                  </w:r>
                  <w:r>
                    <w:rPr>
                      <w:color w:val="000000"/>
                    </w:rPr>
                    <w:t>clear</w:t>
                  </w:r>
                  <w:r>
                    <w:rPr>
                      <w:color w:val="000000"/>
                      <w:spacing w:val="-11"/>
                    </w:rPr>
                    <w:t xml:space="preserve"> </w:t>
                  </w:r>
                  <w:r>
                    <w:rPr>
                      <w:color w:val="000000"/>
                    </w:rPr>
                    <w:t>link</w:t>
                  </w:r>
                  <w:r>
                    <w:rPr>
                      <w:color w:val="000000"/>
                      <w:spacing w:val="-11"/>
                    </w:rPr>
                    <w:t xml:space="preserve"> </w:t>
                  </w:r>
                  <w:r>
                    <w:rPr>
                      <w:color w:val="000000"/>
                    </w:rPr>
                    <w:t>to</w:t>
                  </w:r>
                  <w:r>
                    <w:rPr>
                      <w:color w:val="000000"/>
                      <w:spacing w:val="-11"/>
                    </w:rPr>
                    <w:t xml:space="preserve"> </w:t>
                  </w:r>
                  <w:r>
                    <w:rPr>
                      <w:color w:val="000000"/>
                    </w:rPr>
                    <w:t>new</w:t>
                  </w:r>
                  <w:r>
                    <w:rPr>
                      <w:color w:val="000000"/>
                      <w:spacing w:val="-11"/>
                    </w:rPr>
                    <w:t xml:space="preserve"> </w:t>
                  </w:r>
                  <w:r>
                    <w:rPr>
                      <w:color w:val="000000"/>
                    </w:rPr>
                    <w:t>infrastructure.</w:t>
                  </w:r>
                </w:p>
              </w:txbxContent>
            </v:textbox>
            <w10:wrap anchorx="page"/>
          </v:shape>
        </w:pict>
      </w:r>
      <w:r w:rsidR="00F22F94">
        <w:t>Challenges</w:t>
      </w:r>
      <w:r w:rsidR="00F22F94">
        <w:rPr>
          <w:spacing w:val="-14"/>
        </w:rPr>
        <w:t xml:space="preserve"> </w:t>
      </w:r>
      <w:r w:rsidR="00F22F94">
        <w:t>for</w:t>
      </w:r>
      <w:r w:rsidR="00F22F94">
        <w:rPr>
          <w:spacing w:val="-14"/>
        </w:rPr>
        <w:t xml:space="preserve"> </w:t>
      </w:r>
      <w:r w:rsidR="00F22F94">
        <w:t>value</w:t>
      </w:r>
      <w:r w:rsidR="00F22F94">
        <w:rPr>
          <w:spacing w:val="-14"/>
        </w:rPr>
        <w:t xml:space="preserve"> </w:t>
      </w:r>
      <w:r w:rsidR="00F22F94">
        <w:t>capture</w:t>
      </w:r>
      <w:r w:rsidR="00F22F94">
        <w:rPr>
          <w:spacing w:val="-14"/>
        </w:rPr>
        <w:t xml:space="preserve"> </w:t>
      </w:r>
      <w:r w:rsidR="00F22F94">
        <w:t>mechanisms</w:t>
      </w:r>
      <w:r w:rsidR="00F22F94">
        <w:rPr>
          <w:spacing w:val="-14"/>
        </w:rPr>
        <w:t xml:space="preserve"> </w:t>
      </w:r>
      <w:r w:rsidR="00F22F94">
        <w:t>include identifying</w:t>
      </w:r>
      <w:r w:rsidR="00F22F94">
        <w:rPr>
          <w:spacing w:val="-14"/>
        </w:rPr>
        <w:t xml:space="preserve"> </w:t>
      </w:r>
      <w:r w:rsidR="00F22F94">
        <w:t>the</w:t>
      </w:r>
      <w:r w:rsidR="00F22F94">
        <w:rPr>
          <w:spacing w:val="-14"/>
        </w:rPr>
        <w:t xml:space="preserve"> </w:t>
      </w:r>
      <w:r w:rsidR="00F22F94">
        <w:t>beneficiaries,</w:t>
      </w:r>
      <w:r w:rsidR="00F22F94">
        <w:rPr>
          <w:spacing w:val="-14"/>
        </w:rPr>
        <w:t xml:space="preserve"> </w:t>
      </w:r>
      <w:r w:rsidR="00F22F94">
        <w:t>quantifying</w:t>
      </w:r>
      <w:r w:rsidR="00F22F94">
        <w:rPr>
          <w:spacing w:val="-14"/>
        </w:rPr>
        <w:t xml:space="preserve"> </w:t>
      </w:r>
      <w:r w:rsidR="00F22F94">
        <w:t>the</w:t>
      </w:r>
      <w:r w:rsidR="00F22F94">
        <w:rPr>
          <w:spacing w:val="-14"/>
        </w:rPr>
        <w:t xml:space="preserve"> </w:t>
      </w:r>
      <w:r w:rsidR="00F22F94">
        <w:t>gains</w:t>
      </w:r>
      <w:r w:rsidR="00F22F94">
        <w:rPr>
          <w:spacing w:val="-14"/>
        </w:rPr>
        <w:t xml:space="preserve"> </w:t>
      </w:r>
      <w:r w:rsidR="00F22F94">
        <w:t xml:space="preserve">and </w:t>
      </w:r>
      <w:r w:rsidR="00F22F94">
        <w:rPr>
          <w:w w:val="95"/>
        </w:rPr>
        <w:t>crystallising</w:t>
      </w:r>
      <w:r w:rsidR="00F22F94">
        <w:rPr>
          <w:spacing w:val="-4"/>
          <w:w w:val="95"/>
        </w:rPr>
        <w:t xml:space="preserve"> </w:t>
      </w:r>
      <w:r w:rsidR="00F22F94">
        <w:rPr>
          <w:w w:val="95"/>
        </w:rPr>
        <w:t>cashflows</w:t>
      </w:r>
      <w:r w:rsidR="00F22F94">
        <w:rPr>
          <w:spacing w:val="-4"/>
          <w:w w:val="95"/>
        </w:rPr>
        <w:t xml:space="preserve"> </w:t>
      </w:r>
      <w:r w:rsidR="00F22F94">
        <w:rPr>
          <w:w w:val="95"/>
        </w:rPr>
        <w:t>to</w:t>
      </w:r>
      <w:r w:rsidR="00F22F94">
        <w:rPr>
          <w:spacing w:val="-4"/>
          <w:w w:val="95"/>
        </w:rPr>
        <w:t xml:space="preserve"> </w:t>
      </w:r>
      <w:r w:rsidR="00F22F94">
        <w:rPr>
          <w:w w:val="95"/>
        </w:rPr>
        <w:t>Government.</w:t>
      </w:r>
      <w:r w:rsidR="00F22F94">
        <w:rPr>
          <w:spacing w:val="-4"/>
          <w:w w:val="95"/>
        </w:rPr>
        <w:t xml:space="preserve"> </w:t>
      </w:r>
      <w:r w:rsidR="00F22F94">
        <w:rPr>
          <w:w w:val="95"/>
        </w:rPr>
        <w:t>In</w:t>
      </w:r>
      <w:r w:rsidR="00F22F94">
        <w:rPr>
          <w:spacing w:val="-4"/>
          <w:w w:val="95"/>
        </w:rPr>
        <w:t xml:space="preserve"> </w:t>
      </w:r>
      <w:r w:rsidR="00F22F94">
        <w:rPr>
          <w:w w:val="95"/>
        </w:rPr>
        <w:t>the</w:t>
      </w:r>
      <w:r w:rsidR="00F22F94">
        <w:rPr>
          <w:spacing w:val="-4"/>
          <w:w w:val="95"/>
        </w:rPr>
        <w:t xml:space="preserve"> </w:t>
      </w:r>
      <w:r w:rsidR="00F22F94">
        <w:rPr>
          <w:w w:val="95"/>
        </w:rPr>
        <w:t>short</w:t>
      </w:r>
      <w:r w:rsidR="00F22F94">
        <w:rPr>
          <w:spacing w:val="-4"/>
          <w:w w:val="95"/>
        </w:rPr>
        <w:t xml:space="preserve"> </w:t>
      </w:r>
      <w:r w:rsidR="00F22F94">
        <w:rPr>
          <w:w w:val="95"/>
        </w:rPr>
        <w:t xml:space="preserve">term, </w:t>
      </w:r>
      <w:r w:rsidR="00F22F94">
        <w:t>value</w:t>
      </w:r>
      <w:r w:rsidR="00F22F94">
        <w:rPr>
          <w:spacing w:val="-14"/>
        </w:rPr>
        <w:t xml:space="preserve"> </w:t>
      </w:r>
      <w:r w:rsidR="00F22F94">
        <w:t>capture</w:t>
      </w:r>
      <w:r w:rsidR="00F22F94">
        <w:rPr>
          <w:spacing w:val="-14"/>
        </w:rPr>
        <w:t xml:space="preserve"> </w:t>
      </w:r>
      <w:r w:rsidR="00F22F94">
        <w:t>will</w:t>
      </w:r>
      <w:r w:rsidR="00F22F94">
        <w:rPr>
          <w:spacing w:val="-13"/>
        </w:rPr>
        <w:t xml:space="preserve"> </w:t>
      </w:r>
      <w:r w:rsidR="00F22F94">
        <w:t>not</w:t>
      </w:r>
      <w:r w:rsidR="00F22F94">
        <w:rPr>
          <w:spacing w:val="-14"/>
        </w:rPr>
        <w:t xml:space="preserve"> </w:t>
      </w:r>
      <w:r w:rsidR="00F22F94">
        <w:t>provide</w:t>
      </w:r>
      <w:r w:rsidR="00F22F94">
        <w:rPr>
          <w:spacing w:val="-14"/>
        </w:rPr>
        <w:t xml:space="preserve"> </w:t>
      </w:r>
      <w:r w:rsidR="00F22F94">
        <w:t>a</w:t>
      </w:r>
      <w:r w:rsidR="00F22F94">
        <w:rPr>
          <w:spacing w:val="-13"/>
        </w:rPr>
        <w:t xml:space="preserve"> </w:t>
      </w:r>
      <w:r w:rsidR="00F22F94">
        <w:t>substitute</w:t>
      </w:r>
      <w:r w:rsidR="00F22F94">
        <w:rPr>
          <w:spacing w:val="-14"/>
        </w:rPr>
        <w:t xml:space="preserve"> </w:t>
      </w:r>
      <w:r w:rsidR="00F22F94">
        <w:t>for</w:t>
      </w:r>
      <w:r w:rsidR="00F22F94">
        <w:rPr>
          <w:spacing w:val="-14"/>
        </w:rPr>
        <w:t xml:space="preserve"> </w:t>
      </w:r>
      <w:r w:rsidR="00F22F94">
        <w:t>the</w:t>
      </w:r>
      <w:r w:rsidR="00F22F94">
        <w:rPr>
          <w:spacing w:val="-13"/>
        </w:rPr>
        <w:t xml:space="preserve"> </w:t>
      </w:r>
      <w:r w:rsidR="00F22F94">
        <w:t>other funding</w:t>
      </w:r>
      <w:r w:rsidR="00F22F94">
        <w:rPr>
          <w:spacing w:val="-6"/>
        </w:rPr>
        <w:t xml:space="preserve"> </w:t>
      </w:r>
      <w:r w:rsidR="00F22F94">
        <w:t>strategies</w:t>
      </w:r>
      <w:r w:rsidR="00F22F94">
        <w:rPr>
          <w:spacing w:val="-6"/>
        </w:rPr>
        <w:t xml:space="preserve"> </w:t>
      </w:r>
      <w:r w:rsidR="00F22F94">
        <w:t>set</w:t>
      </w:r>
      <w:r w:rsidR="00F22F94">
        <w:rPr>
          <w:spacing w:val="-6"/>
        </w:rPr>
        <w:t xml:space="preserve"> </w:t>
      </w:r>
      <w:r w:rsidR="00F22F94">
        <w:t>out</w:t>
      </w:r>
      <w:r w:rsidR="00F22F94">
        <w:rPr>
          <w:spacing w:val="-6"/>
        </w:rPr>
        <w:t xml:space="preserve"> </w:t>
      </w:r>
      <w:r w:rsidR="00F22F94">
        <w:t>in</w:t>
      </w:r>
      <w:r w:rsidR="00F22F94">
        <w:rPr>
          <w:spacing w:val="-6"/>
        </w:rPr>
        <w:t xml:space="preserve"> </w:t>
      </w:r>
      <w:r w:rsidR="00F22F94">
        <w:t>this</w:t>
      </w:r>
      <w:r w:rsidR="00F22F94">
        <w:rPr>
          <w:spacing w:val="-6"/>
        </w:rPr>
        <w:t xml:space="preserve"> </w:t>
      </w:r>
      <w:r w:rsidR="00F22F94">
        <w:t>section.</w:t>
      </w: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2C1123">
      <w:pPr>
        <w:pStyle w:val="BodyText"/>
        <w:rPr>
          <w:sz w:val="24"/>
        </w:rPr>
      </w:pPr>
    </w:p>
    <w:p w:rsidR="002C1123" w:rsidRDefault="00F22F94">
      <w:pPr>
        <w:pStyle w:val="Heading6"/>
        <w:spacing w:before="196"/>
        <w:ind w:left="224"/>
      </w:pPr>
      <w:r>
        <w:rPr>
          <w:spacing w:val="-2"/>
        </w:rPr>
        <w:t>Conclusion</w:t>
      </w:r>
    </w:p>
    <w:p w:rsidR="002C1123" w:rsidRDefault="00F22F94">
      <w:pPr>
        <w:pStyle w:val="BodyText"/>
        <w:spacing w:before="10" w:line="249" w:lineRule="auto"/>
        <w:ind w:left="224" w:right="684"/>
      </w:pPr>
      <w:r>
        <w:rPr>
          <w:w w:val="95"/>
        </w:rPr>
        <w:t>There</w:t>
      </w:r>
      <w:r>
        <w:rPr>
          <w:spacing w:val="-12"/>
          <w:w w:val="95"/>
        </w:rPr>
        <w:t xml:space="preserve"> </w:t>
      </w:r>
      <w:r>
        <w:rPr>
          <w:w w:val="95"/>
        </w:rPr>
        <w:t>are</w:t>
      </w:r>
      <w:r>
        <w:rPr>
          <w:spacing w:val="-11"/>
          <w:w w:val="95"/>
        </w:rPr>
        <w:t xml:space="preserve"> </w:t>
      </w:r>
      <w:r>
        <w:rPr>
          <w:w w:val="95"/>
        </w:rPr>
        <w:t>six</w:t>
      </w:r>
      <w:r>
        <w:rPr>
          <w:spacing w:val="-11"/>
          <w:w w:val="95"/>
        </w:rPr>
        <w:t xml:space="preserve"> </w:t>
      </w:r>
      <w:r>
        <w:rPr>
          <w:w w:val="95"/>
        </w:rPr>
        <w:t>strategies</w:t>
      </w:r>
      <w:r>
        <w:rPr>
          <w:spacing w:val="-11"/>
          <w:w w:val="95"/>
        </w:rPr>
        <w:t xml:space="preserve"> </w:t>
      </w:r>
      <w:r>
        <w:rPr>
          <w:w w:val="95"/>
        </w:rPr>
        <w:t>available</w:t>
      </w:r>
      <w:r>
        <w:rPr>
          <w:spacing w:val="-11"/>
          <w:w w:val="95"/>
        </w:rPr>
        <w:t xml:space="preserve"> </w:t>
      </w:r>
      <w:r>
        <w:rPr>
          <w:w w:val="95"/>
        </w:rPr>
        <w:t>to</w:t>
      </w:r>
      <w:r>
        <w:rPr>
          <w:spacing w:val="-11"/>
          <w:w w:val="95"/>
        </w:rPr>
        <w:t xml:space="preserve"> </w:t>
      </w:r>
      <w:r>
        <w:rPr>
          <w:w w:val="95"/>
        </w:rPr>
        <w:t>Government to</w:t>
      </w:r>
      <w:r>
        <w:rPr>
          <w:spacing w:val="-6"/>
          <w:w w:val="95"/>
        </w:rPr>
        <w:t xml:space="preserve"> </w:t>
      </w:r>
      <w:r>
        <w:rPr>
          <w:w w:val="95"/>
        </w:rPr>
        <w:t>unlock</w:t>
      </w:r>
      <w:r>
        <w:rPr>
          <w:spacing w:val="-6"/>
          <w:w w:val="95"/>
        </w:rPr>
        <w:t xml:space="preserve"> </w:t>
      </w:r>
      <w:r>
        <w:rPr>
          <w:w w:val="95"/>
        </w:rPr>
        <w:t>the</w:t>
      </w:r>
      <w:r>
        <w:rPr>
          <w:spacing w:val="-6"/>
          <w:w w:val="95"/>
        </w:rPr>
        <w:t xml:space="preserve"> </w:t>
      </w:r>
      <w:r>
        <w:rPr>
          <w:w w:val="95"/>
        </w:rPr>
        <w:t>funding</w:t>
      </w:r>
      <w:r>
        <w:rPr>
          <w:spacing w:val="-6"/>
          <w:w w:val="95"/>
        </w:rPr>
        <w:t xml:space="preserve"> </w:t>
      </w:r>
      <w:r>
        <w:rPr>
          <w:w w:val="95"/>
        </w:rPr>
        <w:t>required</w:t>
      </w:r>
      <w:r>
        <w:rPr>
          <w:spacing w:val="-6"/>
          <w:w w:val="95"/>
        </w:rPr>
        <w:t xml:space="preserve"> </w:t>
      </w:r>
      <w:r>
        <w:rPr>
          <w:w w:val="95"/>
        </w:rPr>
        <w:t>for</w:t>
      </w:r>
      <w:r>
        <w:rPr>
          <w:spacing w:val="-6"/>
          <w:w w:val="95"/>
        </w:rPr>
        <w:t xml:space="preserve"> </w:t>
      </w:r>
      <w:r>
        <w:rPr>
          <w:w w:val="95"/>
        </w:rPr>
        <w:t>delivery</w:t>
      </w:r>
      <w:r>
        <w:rPr>
          <w:spacing w:val="-5"/>
          <w:w w:val="95"/>
        </w:rPr>
        <w:t xml:space="preserve"> </w:t>
      </w:r>
      <w:r>
        <w:rPr>
          <w:w w:val="95"/>
        </w:rPr>
        <w:t>of</w:t>
      </w:r>
      <w:r>
        <w:rPr>
          <w:spacing w:val="-6"/>
          <w:w w:val="95"/>
        </w:rPr>
        <w:t xml:space="preserve"> </w:t>
      </w:r>
      <w:r>
        <w:rPr>
          <w:spacing w:val="-5"/>
          <w:w w:val="95"/>
        </w:rPr>
        <w:t>the</w:t>
      </w:r>
    </w:p>
    <w:p w:rsidR="002C1123" w:rsidRDefault="00F22F94">
      <w:pPr>
        <w:pStyle w:val="BodyText"/>
        <w:spacing w:before="1" w:line="249" w:lineRule="auto"/>
        <w:ind w:left="224" w:right="36"/>
      </w:pPr>
      <w:r>
        <w:t>Strategy’s</w:t>
      </w:r>
      <w:r>
        <w:rPr>
          <w:spacing w:val="-14"/>
        </w:rPr>
        <w:t xml:space="preserve"> </w:t>
      </w:r>
      <w:r>
        <w:t>identified</w:t>
      </w:r>
      <w:r>
        <w:rPr>
          <w:spacing w:val="-14"/>
        </w:rPr>
        <w:t xml:space="preserve"> </w:t>
      </w:r>
      <w:r>
        <w:t>priorities.</w:t>
      </w:r>
      <w:r>
        <w:rPr>
          <w:spacing w:val="-14"/>
        </w:rPr>
        <w:t xml:space="preserve"> </w:t>
      </w:r>
      <w:r>
        <w:t>With</w:t>
      </w:r>
      <w:r>
        <w:rPr>
          <w:spacing w:val="-14"/>
        </w:rPr>
        <w:t xml:space="preserve"> </w:t>
      </w:r>
      <w:r>
        <w:t>the</w:t>
      </w:r>
      <w:r>
        <w:rPr>
          <w:spacing w:val="-14"/>
        </w:rPr>
        <w:t xml:space="preserve"> </w:t>
      </w:r>
      <w:r>
        <w:t>exception</w:t>
      </w:r>
      <w:r>
        <w:rPr>
          <w:spacing w:val="-14"/>
        </w:rPr>
        <w:t xml:space="preserve"> </w:t>
      </w:r>
      <w:r>
        <w:t xml:space="preserve">of </w:t>
      </w:r>
      <w:r>
        <w:rPr>
          <w:w w:val="95"/>
        </w:rPr>
        <w:t xml:space="preserve">Commonwealth contributions, all are under the control </w:t>
      </w:r>
      <w:r>
        <w:t>of</w:t>
      </w:r>
      <w:r>
        <w:rPr>
          <w:spacing w:val="-14"/>
        </w:rPr>
        <w:t xml:space="preserve"> </w:t>
      </w:r>
      <w:r>
        <w:t>the</w:t>
      </w:r>
      <w:r>
        <w:rPr>
          <w:spacing w:val="-14"/>
        </w:rPr>
        <w:t xml:space="preserve"> </w:t>
      </w:r>
      <w:r>
        <w:t>NSW</w:t>
      </w:r>
      <w:r>
        <w:rPr>
          <w:spacing w:val="-14"/>
        </w:rPr>
        <w:t xml:space="preserve"> </w:t>
      </w:r>
      <w:r>
        <w:t>Government,</w:t>
      </w:r>
      <w:r>
        <w:rPr>
          <w:spacing w:val="-14"/>
        </w:rPr>
        <w:t xml:space="preserve"> </w:t>
      </w:r>
      <w:r>
        <w:t>albeit</w:t>
      </w:r>
      <w:r>
        <w:rPr>
          <w:spacing w:val="-14"/>
        </w:rPr>
        <w:t xml:space="preserve"> </w:t>
      </w:r>
      <w:r>
        <w:t>that</w:t>
      </w:r>
      <w:r>
        <w:rPr>
          <w:spacing w:val="-14"/>
        </w:rPr>
        <w:t xml:space="preserve"> </w:t>
      </w:r>
      <w:r>
        <w:t>they</w:t>
      </w:r>
      <w:r>
        <w:rPr>
          <w:spacing w:val="-14"/>
        </w:rPr>
        <w:t xml:space="preserve"> </w:t>
      </w:r>
      <w:r>
        <w:t>involve difficult</w:t>
      </w:r>
      <w:r>
        <w:rPr>
          <w:spacing w:val="-11"/>
        </w:rPr>
        <w:t xml:space="preserve"> </w:t>
      </w:r>
      <w:r>
        <w:t>choices.</w:t>
      </w:r>
    </w:p>
    <w:p w:rsidR="002C1123" w:rsidRDefault="00F22F94">
      <w:pPr>
        <w:spacing w:before="8"/>
        <w:rPr>
          <w:sz w:val="21"/>
        </w:rPr>
      </w:pPr>
      <w:r>
        <w:br w:type="column"/>
      </w:r>
    </w:p>
    <w:p w:rsidR="002C1123" w:rsidRDefault="00F22F94">
      <w:pPr>
        <w:pStyle w:val="BodyText"/>
        <w:spacing w:line="249" w:lineRule="auto"/>
        <w:ind w:left="251" w:right="819"/>
      </w:pPr>
      <w:r>
        <w:rPr>
          <w:w w:val="95"/>
        </w:rPr>
        <w:t>Infrastructure</w:t>
      </w:r>
      <w:r>
        <w:rPr>
          <w:spacing w:val="-2"/>
          <w:w w:val="95"/>
        </w:rPr>
        <w:t xml:space="preserve"> </w:t>
      </w:r>
      <w:r>
        <w:rPr>
          <w:w w:val="95"/>
        </w:rPr>
        <w:t>NSW</w:t>
      </w:r>
      <w:r>
        <w:rPr>
          <w:spacing w:val="-2"/>
          <w:w w:val="95"/>
        </w:rPr>
        <w:t xml:space="preserve"> </w:t>
      </w:r>
      <w:r>
        <w:rPr>
          <w:w w:val="95"/>
        </w:rPr>
        <w:t>supports</w:t>
      </w:r>
      <w:r>
        <w:rPr>
          <w:spacing w:val="-2"/>
          <w:w w:val="95"/>
        </w:rPr>
        <w:t xml:space="preserve"> </w:t>
      </w:r>
      <w:r>
        <w:rPr>
          <w:w w:val="95"/>
        </w:rPr>
        <w:t>user</w:t>
      </w:r>
      <w:r>
        <w:rPr>
          <w:spacing w:val="-2"/>
          <w:w w:val="95"/>
        </w:rPr>
        <w:t xml:space="preserve"> </w:t>
      </w:r>
      <w:r>
        <w:rPr>
          <w:w w:val="95"/>
        </w:rPr>
        <w:t>charges</w:t>
      </w:r>
      <w:r>
        <w:rPr>
          <w:spacing w:val="-2"/>
          <w:w w:val="95"/>
        </w:rPr>
        <w:t xml:space="preserve"> </w:t>
      </w:r>
      <w:r>
        <w:rPr>
          <w:w w:val="95"/>
        </w:rPr>
        <w:t>for</w:t>
      </w:r>
      <w:r>
        <w:rPr>
          <w:spacing w:val="-2"/>
          <w:w w:val="95"/>
        </w:rPr>
        <w:t xml:space="preserve"> </w:t>
      </w:r>
      <w:r>
        <w:rPr>
          <w:w w:val="95"/>
        </w:rPr>
        <w:t>the</w:t>
      </w:r>
      <w:r>
        <w:rPr>
          <w:spacing w:val="-2"/>
          <w:w w:val="95"/>
        </w:rPr>
        <w:t xml:space="preserve"> </w:t>
      </w:r>
      <w:r>
        <w:rPr>
          <w:w w:val="95"/>
        </w:rPr>
        <w:t xml:space="preserve">new </w:t>
      </w:r>
      <w:r>
        <w:rPr>
          <w:spacing w:val="-2"/>
        </w:rPr>
        <w:t>infrastructure</w:t>
      </w:r>
      <w:r>
        <w:rPr>
          <w:spacing w:val="-3"/>
        </w:rPr>
        <w:t xml:space="preserve"> </w:t>
      </w:r>
      <w:r>
        <w:rPr>
          <w:spacing w:val="-2"/>
        </w:rPr>
        <w:t>prioritised</w:t>
      </w:r>
      <w:r>
        <w:rPr>
          <w:spacing w:val="-3"/>
        </w:rPr>
        <w:t xml:space="preserve"> </w:t>
      </w:r>
      <w:r>
        <w:rPr>
          <w:spacing w:val="-2"/>
        </w:rPr>
        <w:t>in</w:t>
      </w:r>
      <w:r>
        <w:rPr>
          <w:spacing w:val="-3"/>
        </w:rPr>
        <w:t xml:space="preserve"> </w:t>
      </w:r>
      <w:r>
        <w:rPr>
          <w:spacing w:val="-2"/>
        </w:rPr>
        <w:t>the</w:t>
      </w:r>
      <w:r>
        <w:rPr>
          <w:spacing w:val="-3"/>
        </w:rPr>
        <w:t xml:space="preserve"> </w:t>
      </w:r>
      <w:r>
        <w:rPr>
          <w:spacing w:val="-2"/>
        </w:rPr>
        <w:t>Strategy.</w:t>
      </w:r>
      <w:r>
        <w:rPr>
          <w:spacing w:val="-3"/>
        </w:rPr>
        <w:t xml:space="preserve"> </w:t>
      </w:r>
      <w:r>
        <w:rPr>
          <w:spacing w:val="-2"/>
        </w:rPr>
        <w:t>This</w:t>
      </w:r>
      <w:r>
        <w:rPr>
          <w:spacing w:val="-3"/>
        </w:rPr>
        <w:t xml:space="preserve"> </w:t>
      </w:r>
      <w:r>
        <w:rPr>
          <w:spacing w:val="-2"/>
        </w:rPr>
        <w:t xml:space="preserve">reflects </w:t>
      </w:r>
      <w:r>
        <w:rPr>
          <w:w w:val="95"/>
        </w:rPr>
        <w:t xml:space="preserve">the constraints on Government funding in the short to </w:t>
      </w:r>
      <w:r>
        <w:rPr>
          <w:spacing w:val="-2"/>
        </w:rPr>
        <w:t>medium</w:t>
      </w:r>
      <w:r>
        <w:rPr>
          <w:spacing w:val="-9"/>
        </w:rPr>
        <w:t xml:space="preserve"> </w:t>
      </w:r>
      <w:r>
        <w:rPr>
          <w:spacing w:val="-2"/>
        </w:rPr>
        <w:t>term</w:t>
      </w:r>
      <w:r>
        <w:rPr>
          <w:spacing w:val="-9"/>
        </w:rPr>
        <w:t xml:space="preserve"> </w:t>
      </w:r>
      <w:r>
        <w:rPr>
          <w:spacing w:val="-2"/>
        </w:rPr>
        <w:t>and</w:t>
      </w:r>
      <w:r>
        <w:rPr>
          <w:spacing w:val="-8"/>
        </w:rPr>
        <w:t xml:space="preserve"> </w:t>
      </w:r>
      <w:r>
        <w:rPr>
          <w:spacing w:val="-2"/>
        </w:rPr>
        <w:t>the</w:t>
      </w:r>
      <w:r>
        <w:rPr>
          <w:spacing w:val="-8"/>
        </w:rPr>
        <w:t xml:space="preserve"> </w:t>
      </w:r>
      <w:r>
        <w:rPr>
          <w:spacing w:val="-2"/>
        </w:rPr>
        <w:t>benefits</w:t>
      </w:r>
      <w:r>
        <w:rPr>
          <w:spacing w:val="-8"/>
        </w:rPr>
        <w:t xml:space="preserve"> </w:t>
      </w:r>
      <w:r>
        <w:rPr>
          <w:spacing w:val="-2"/>
        </w:rPr>
        <w:t>that</w:t>
      </w:r>
      <w:r>
        <w:rPr>
          <w:spacing w:val="-8"/>
        </w:rPr>
        <w:t xml:space="preserve"> </w:t>
      </w:r>
      <w:r>
        <w:rPr>
          <w:spacing w:val="-2"/>
        </w:rPr>
        <w:t>user</w:t>
      </w:r>
      <w:r>
        <w:rPr>
          <w:spacing w:val="-8"/>
        </w:rPr>
        <w:t xml:space="preserve"> </w:t>
      </w:r>
      <w:r>
        <w:rPr>
          <w:spacing w:val="-2"/>
        </w:rPr>
        <w:t>charging</w:t>
      </w:r>
      <w:r>
        <w:rPr>
          <w:spacing w:val="-8"/>
        </w:rPr>
        <w:t xml:space="preserve"> </w:t>
      </w:r>
      <w:r>
        <w:rPr>
          <w:spacing w:val="-2"/>
        </w:rPr>
        <w:t xml:space="preserve">can </w:t>
      </w:r>
      <w:r>
        <w:t>bring to project selection and scoping.</w:t>
      </w:r>
    </w:p>
    <w:p w:rsidR="002C1123" w:rsidRDefault="002C1123">
      <w:pPr>
        <w:pStyle w:val="BodyText"/>
        <w:spacing w:before="8"/>
        <w:rPr>
          <w:sz w:val="23"/>
        </w:rPr>
      </w:pPr>
    </w:p>
    <w:p w:rsidR="002C1123" w:rsidRDefault="00F22F94">
      <w:pPr>
        <w:pStyle w:val="Heading5"/>
        <w:numPr>
          <w:ilvl w:val="1"/>
          <w:numId w:val="24"/>
        </w:numPr>
        <w:tabs>
          <w:tab w:val="left" w:pos="853"/>
        </w:tabs>
        <w:spacing w:before="0"/>
        <w:ind w:left="852" w:hanging="602"/>
        <w:jc w:val="left"/>
      </w:pPr>
      <w:r>
        <w:rPr>
          <w:color w:val="00AEEF"/>
          <w:spacing w:val="-2"/>
        </w:rPr>
        <w:t>Financing</w:t>
      </w:r>
    </w:p>
    <w:p w:rsidR="002C1123" w:rsidRDefault="00F22F94">
      <w:pPr>
        <w:pStyle w:val="BodyText"/>
        <w:spacing w:before="135" w:line="249" w:lineRule="auto"/>
        <w:ind w:left="251" w:right="819"/>
      </w:pPr>
      <w:r>
        <w:t>NSW’s</w:t>
      </w:r>
      <w:r>
        <w:rPr>
          <w:spacing w:val="-12"/>
        </w:rPr>
        <w:t xml:space="preserve"> </w:t>
      </w:r>
      <w:r>
        <w:t>AAA</w:t>
      </w:r>
      <w:r>
        <w:rPr>
          <w:spacing w:val="-12"/>
        </w:rPr>
        <w:t xml:space="preserve"> </w:t>
      </w:r>
      <w:r>
        <w:t>credit</w:t>
      </w:r>
      <w:r>
        <w:rPr>
          <w:spacing w:val="-12"/>
        </w:rPr>
        <w:t xml:space="preserve"> </w:t>
      </w:r>
      <w:r>
        <w:t>rating</w:t>
      </w:r>
      <w:r>
        <w:rPr>
          <w:spacing w:val="-12"/>
        </w:rPr>
        <w:t xml:space="preserve"> </w:t>
      </w:r>
      <w:r>
        <w:t>ensures</w:t>
      </w:r>
      <w:r>
        <w:rPr>
          <w:spacing w:val="-12"/>
        </w:rPr>
        <w:t xml:space="preserve"> </w:t>
      </w:r>
      <w:r>
        <w:t>the</w:t>
      </w:r>
      <w:r>
        <w:rPr>
          <w:spacing w:val="-12"/>
        </w:rPr>
        <w:t xml:space="preserve"> </w:t>
      </w:r>
      <w:r>
        <w:t>lowest</w:t>
      </w:r>
      <w:r>
        <w:rPr>
          <w:spacing w:val="-12"/>
        </w:rPr>
        <w:t xml:space="preserve"> </w:t>
      </w:r>
      <w:r>
        <w:t>possible cost</w:t>
      </w:r>
      <w:r>
        <w:rPr>
          <w:spacing w:val="-4"/>
        </w:rPr>
        <w:t xml:space="preserve"> </w:t>
      </w:r>
      <w:r>
        <w:t>of</w:t>
      </w:r>
      <w:r>
        <w:rPr>
          <w:spacing w:val="-4"/>
        </w:rPr>
        <w:t xml:space="preserve"> </w:t>
      </w:r>
      <w:r>
        <w:t>borrowing,</w:t>
      </w:r>
      <w:r>
        <w:rPr>
          <w:spacing w:val="-4"/>
        </w:rPr>
        <w:t xml:space="preserve"> </w:t>
      </w:r>
      <w:r>
        <w:t>which</w:t>
      </w:r>
      <w:r>
        <w:rPr>
          <w:spacing w:val="-4"/>
        </w:rPr>
        <w:t xml:space="preserve"> </w:t>
      </w:r>
      <w:r>
        <w:t>allows</w:t>
      </w:r>
      <w:r>
        <w:rPr>
          <w:spacing w:val="-4"/>
        </w:rPr>
        <w:t xml:space="preserve"> </w:t>
      </w:r>
      <w:r>
        <w:t>more</w:t>
      </w:r>
      <w:r>
        <w:rPr>
          <w:spacing w:val="-4"/>
        </w:rPr>
        <w:t xml:space="preserve"> </w:t>
      </w:r>
      <w:r>
        <w:t>funds</w:t>
      </w:r>
      <w:r>
        <w:rPr>
          <w:spacing w:val="-4"/>
        </w:rPr>
        <w:t xml:space="preserve"> </w:t>
      </w:r>
      <w:r>
        <w:t>to</w:t>
      </w:r>
      <w:r>
        <w:rPr>
          <w:spacing w:val="-4"/>
        </w:rPr>
        <w:t xml:space="preserve"> </w:t>
      </w:r>
      <w:r>
        <w:t>be spent</w:t>
      </w:r>
      <w:r>
        <w:rPr>
          <w:spacing w:val="-14"/>
        </w:rPr>
        <w:t xml:space="preserve"> </w:t>
      </w:r>
      <w:r>
        <w:t>on</w:t>
      </w:r>
      <w:r>
        <w:rPr>
          <w:spacing w:val="-14"/>
        </w:rPr>
        <w:t xml:space="preserve"> </w:t>
      </w:r>
      <w:r>
        <w:t>infrastructure</w:t>
      </w:r>
      <w:r>
        <w:rPr>
          <w:spacing w:val="-14"/>
        </w:rPr>
        <w:t xml:space="preserve"> </w:t>
      </w:r>
      <w:r>
        <w:t>over</w:t>
      </w:r>
      <w:r>
        <w:rPr>
          <w:spacing w:val="-14"/>
        </w:rPr>
        <w:t xml:space="preserve"> </w:t>
      </w:r>
      <w:r>
        <w:t>time.</w:t>
      </w:r>
      <w:r>
        <w:rPr>
          <w:spacing w:val="-14"/>
        </w:rPr>
        <w:t xml:space="preserve"> </w:t>
      </w:r>
      <w:r>
        <w:t>However</w:t>
      </w:r>
      <w:r>
        <w:rPr>
          <w:spacing w:val="-13"/>
        </w:rPr>
        <w:t xml:space="preserve"> </w:t>
      </w:r>
      <w:r>
        <w:t>within</w:t>
      </w:r>
      <w:r>
        <w:rPr>
          <w:spacing w:val="-14"/>
        </w:rPr>
        <w:t xml:space="preserve"> </w:t>
      </w:r>
      <w:r>
        <w:t xml:space="preserve">the </w:t>
      </w:r>
      <w:r>
        <w:rPr>
          <w:w w:val="95"/>
        </w:rPr>
        <w:t>constraints</w:t>
      </w:r>
      <w:r>
        <w:rPr>
          <w:spacing w:val="-5"/>
          <w:w w:val="95"/>
        </w:rPr>
        <w:t xml:space="preserve"> </w:t>
      </w:r>
      <w:r>
        <w:rPr>
          <w:w w:val="95"/>
        </w:rPr>
        <w:t>of</w:t>
      </w:r>
      <w:r>
        <w:rPr>
          <w:spacing w:val="-5"/>
          <w:w w:val="95"/>
        </w:rPr>
        <w:t xml:space="preserve"> </w:t>
      </w:r>
      <w:r>
        <w:rPr>
          <w:w w:val="95"/>
        </w:rPr>
        <w:t>its</w:t>
      </w:r>
      <w:r>
        <w:rPr>
          <w:spacing w:val="-5"/>
          <w:w w:val="95"/>
        </w:rPr>
        <w:t xml:space="preserve"> </w:t>
      </w:r>
      <w:r>
        <w:rPr>
          <w:w w:val="95"/>
        </w:rPr>
        <w:t>credit</w:t>
      </w:r>
      <w:r>
        <w:rPr>
          <w:spacing w:val="-5"/>
          <w:w w:val="95"/>
        </w:rPr>
        <w:t xml:space="preserve"> </w:t>
      </w:r>
      <w:r>
        <w:rPr>
          <w:w w:val="95"/>
        </w:rPr>
        <w:t>rating,</w:t>
      </w:r>
      <w:r>
        <w:rPr>
          <w:spacing w:val="-5"/>
          <w:w w:val="95"/>
        </w:rPr>
        <w:t xml:space="preserve"> </w:t>
      </w:r>
      <w:r>
        <w:rPr>
          <w:w w:val="95"/>
        </w:rPr>
        <w:t>the</w:t>
      </w:r>
      <w:r>
        <w:rPr>
          <w:spacing w:val="-5"/>
          <w:w w:val="95"/>
        </w:rPr>
        <w:t xml:space="preserve"> </w:t>
      </w:r>
      <w:r>
        <w:rPr>
          <w:w w:val="95"/>
        </w:rPr>
        <w:t>State’s</w:t>
      </w:r>
      <w:r>
        <w:rPr>
          <w:spacing w:val="-5"/>
          <w:w w:val="95"/>
        </w:rPr>
        <w:t xml:space="preserve"> </w:t>
      </w:r>
      <w:r>
        <w:rPr>
          <w:w w:val="95"/>
        </w:rPr>
        <w:t>balance</w:t>
      </w:r>
      <w:r>
        <w:rPr>
          <w:spacing w:val="-5"/>
          <w:w w:val="95"/>
        </w:rPr>
        <w:t xml:space="preserve"> </w:t>
      </w:r>
      <w:r>
        <w:rPr>
          <w:w w:val="95"/>
        </w:rPr>
        <w:t>sheet has only limited potential to finance new infrastructure, even</w:t>
      </w:r>
      <w:r>
        <w:rPr>
          <w:spacing w:val="-4"/>
          <w:w w:val="95"/>
        </w:rPr>
        <w:t xml:space="preserve"> </w:t>
      </w:r>
      <w:r>
        <w:rPr>
          <w:w w:val="95"/>
        </w:rPr>
        <w:t>if</w:t>
      </w:r>
      <w:r>
        <w:rPr>
          <w:spacing w:val="-4"/>
          <w:w w:val="95"/>
        </w:rPr>
        <w:t xml:space="preserve"> </w:t>
      </w:r>
      <w:r>
        <w:rPr>
          <w:w w:val="95"/>
        </w:rPr>
        <w:t>it</w:t>
      </w:r>
      <w:r>
        <w:rPr>
          <w:spacing w:val="-4"/>
          <w:w w:val="95"/>
        </w:rPr>
        <w:t xml:space="preserve"> </w:t>
      </w:r>
      <w:r>
        <w:rPr>
          <w:w w:val="95"/>
        </w:rPr>
        <w:t>is</w:t>
      </w:r>
      <w:r>
        <w:rPr>
          <w:spacing w:val="-4"/>
          <w:w w:val="95"/>
        </w:rPr>
        <w:t xml:space="preserve"> </w:t>
      </w:r>
      <w:r>
        <w:rPr>
          <w:w w:val="95"/>
        </w:rPr>
        <w:t>user-funded.</w:t>
      </w:r>
      <w:r>
        <w:rPr>
          <w:spacing w:val="-4"/>
          <w:w w:val="95"/>
        </w:rPr>
        <w:t xml:space="preserve"> </w:t>
      </w:r>
      <w:r>
        <w:rPr>
          <w:w w:val="95"/>
        </w:rPr>
        <w:t>This</w:t>
      </w:r>
      <w:r>
        <w:rPr>
          <w:spacing w:val="-4"/>
          <w:w w:val="95"/>
        </w:rPr>
        <w:t xml:space="preserve"> </w:t>
      </w:r>
      <w:r>
        <w:rPr>
          <w:w w:val="95"/>
        </w:rPr>
        <w:t>means</w:t>
      </w:r>
      <w:r>
        <w:rPr>
          <w:spacing w:val="-4"/>
          <w:w w:val="95"/>
        </w:rPr>
        <w:t xml:space="preserve"> </w:t>
      </w:r>
      <w:r>
        <w:rPr>
          <w:w w:val="95"/>
        </w:rPr>
        <w:t>that</w:t>
      </w:r>
      <w:r>
        <w:rPr>
          <w:spacing w:val="-4"/>
          <w:w w:val="95"/>
        </w:rPr>
        <w:t xml:space="preserve"> </w:t>
      </w:r>
      <w:r>
        <w:rPr>
          <w:w w:val="95"/>
        </w:rPr>
        <w:t>delivery</w:t>
      </w:r>
      <w:r>
        <w:rPr>
          <w:spacing w:val="-4"/>
          <w:w w:val="95"/>
        </w:rPr>
        <w:t xml:space="preserve"> </w:t>
      </w:r>
      <w:r>
        <w:rPr>
          <w:w w:val="95"/>
        </w:rPr>
        <w:t>of</w:t>
      </w:r>
      <w:r>
        <w:rPr>
          <w:spacing w:val="-4"/>
          <w:w w:val="95"/>
        </w:rPr>
        <w:t xml:space="preserve"> </w:t>
      </w:r>
      <w:r>
        <w:rPr>
          <w:w w:val="95"/>
        </w:rPr>
        <w:t xml:space="preserve">the </w:t>
      </w:r>
      <w:r>
        <w:rPr>
          <w:spacing w:val="-2"/>
        </w:rPr>
        <w:t>Strategy’s</w:t>
      </w:r>
      <w:r>
        <w:rPr>
          <w:spacing w:val="-5"/>
        </w:rPr>
        <w:t xml:space="preserve"> </w:t>
      </w:r>
      <w:r>
        <w:rPr>
          <w:spacing w:val="-2"/>
        </w:rPr>
        <w:t>priorities</w:t>
      </w:r>
      <w:r>
        <w:rPr>
          <w:spacing w:val="-5"/>
        </w:rPr>
        <w:t xml:space="preserve"> </w:t>
      </w:r>
      <w:r>
        <w:rPr>
          <w:spacing w:val="-2"/>
        </w:rPr>
        <w:t>will</w:t>
      </w:r>
      <w:r>
        <w:rPr>
          <w:spacing w:val="-5"/>
        </w:rPr>
        <w:t xml:space="preserve"> </w:t>
      </w:r>
      <w:r>
        <w:rPr>
          <w:spacing w:val="-2"/>
        </w:rPr>
        <w:t>require</w:t>
      </w:r>
      <w:r>
        <w:rPr>
          <w:spacing w:val="-5"/>
        </w:rPr>
        <w:t xml:space="preserve"> </w:t>
      </w:r>
      <w:r>
        <w:rPr>
          <w:spacing w:val="-2"/>
        </w:rPr>
        <w:t>at</w:t>
      </w:r>
      <w:r>
        <w:rPr>
          <w:spacing w:val="-5"/>
        </w:rPr>
        <w:t xml:space="preserve"> </w:t>
      </w:r>
      <w:r>
        <w:rPr>
          <w:spacing w:val="-2"/>
        </w:rPr>
        <w:t>least</w:t>
      </w:r>
      <w:r>
        <w:rPr>
          <w:spacing w:val="-5"/>
        </w:rPr>
        <w:t xml:space="preserve"> </w:t>
      </w:r>
      <w:r>
        <w:rPr>
          <w:spacing w:val="-2"/>
        </w:rPr>
        <w:t>some</w:t>
      </w:r>
      <w:r>
        <w:rPr>
          <w:spacing w:val="-5"/>
        </w:rPr>
        <w:t xml:space="preserve"> </w:t>
      </w:r>
      <w:r>
        <w:rPr>
          <w:spacing w:val="-2"/>
        </w:rPr>
        <w:t xml:space="preserve">private </w:t>
      </w:r>
      <w:r>
        <w:t>sector</w:t>
      </w:r>
      <w:r>
        <w:rPr>
          <w:spacing w:val="-11"/>
        </w:rPr>
        <w:t xml:space="preserve"> </w:t>
      </w:r>
      <w:r>
        <w:t>financing.</w:t>
      </w:r>
    </w:p>
    <w:p w:rsidR="002C1123" w:rsidRDefault="00F22F94">
      <w:pPr>
        <w:pStyle w:val="Heading6"/>
        <w:numPr>
          <w:ilvl w:val="2"/>
          <w:numId w:val="24"/>
        </w:numPr>
        <w:tabs>
          <w:tab w:val="left" w:pos="847"/>
        </w:tabs>
        <w:spacing w:before="148"/>
        <w:ind w:left="846" w:hanging="596"/>
        <w:jc w:val="left"/>
      </w:pPr>
      <w:r>
        <w:rPr>
          <w:color w:val="00AEEF"/>
          <w:spacing w:val="-4"/>
        </w:rPr>
        <w:t>Public-Private</w:t>
      </w:r>
      <w:r>
        <w:rPr>
          <w:color w:val="00AEEF"/>
          <w:spacing w:val="4"/>
        </w:rPr>
        <w:t xml:space="preserve"> </w:t>
      </w:r>
      <w:r>
        <w:rPr>
          <w:color w:val="00AEEF"/>
          <w:spacing w:val="-4"/>
        </w:rPr>
        <w:t>Partnerships</w:t>
      </w:r>
      <w:r>
        <w:rPr>
          <w:color w:val="00AEEF"/>
          <w:spacing w:val="5"/>
        </w:rPr>
        <w:t xml:space="preserve"> </w:t>
      </w:r>
      <w:r>
        <w:rPr>
          <w:color w:val="00AEEF"/>
          <w:spacing w:val="-4"/>
        </w:rPr>
        <w:t>(PPPs)</w:t>
      </w:r>
    </w:p>
    <w:p w:rsidR="002C1123" w:rsidRDefault="00F22F94">
      <w:pPr>
        <w:pStyle w:val="BodyText"/>
        <w:spacing w:before="95" w:line="249" w:lineRule="auto"/>
        <w:ind w:left="251" w:right="583"/>
      </w:pPr>
      <w:r>
        <w:rPr>
          <w:w w:val="95"/>
        </w:rPr>
        <w:t>Under PPP arrangements, new infrastructure is financed by</w:t>
      </w:r>
      <w:r>
        <w:rPr>
          <w:spacing w:val="-10"/>
          <w:w w:val="95"/>
        </w:rPr>
        <w:t xml:space="preserve"> </w:t>
      </w:r>
      <w:r>
        <w:rPr>
          <w:w w:val="95"/>
        </w:rPr>
        <w:t>the</w:t>
      </w:r>
      <w:r>
        <w:rPr>
          <w:spacing w:val="-10"/>
          <w:w w:val="95"/>
        </w:rPr>
        <w:t xml:space="preserve"> </w:t>
      </w:r>
      <w:r>
        <w:rPr>
          <w:w w:val="95"/>
        </w:rPr>
        <w:t>private</w:t>
      </w:r>
      <w:r>
        <w:rPr>
          <w:spacing w:val="-10"/>
          <w:w w:val="95"/>
        </w:rPr>
        <w:t xml:space="preserve"> </w:t>
      </w:r>
      <w:r>
        <w:rPr>
          <w:w w:val="95"/>
        </w:rPr>
        <w:t>sector.</w:t>
      </w:r>
      <w:r>
        <w:rPr>
          <w:spacing w:val="-10"/>
          <w:w w:val="95"/>
        </w:rPr>
        <w:t xml:space="preserve"> </w:t>
      </w:r>
      <w:r>
        <w:rPr>
          <w:w w:val="95"/>
        </w:rPr>
        <w:t>This</w:t>
      </w:r>
      <w:r>
        <w:rPr>
          <w:spacing w:val="-10"/>
          <w:w w:val="95"/>
        </w:rPr>
        <w:t xml:space="preserve"> </w:t>
      </w:r>
      <w:r>
        <w:rPr>
          <w:w w:val="95"/>
        </w:rPr>
        <w:t>finance</w:t>
      </w:r>
      <w:r>
        <w:rPr>
          <w:spacing w:val="-10"/>
          <w:w w:val="95"/>
        </w:rPr>
        <w:t xml:space="preserve"> </w:t>
      </w:r>
      <w:r>
        <w:rPr>
          <w:w w:val="95"/>
        </w:rPr>
        <w:t>is</w:t>
      </w:r>
      <w:r>
        <w:rPr>
          <w:spacing w:val="-10"/>
          <w:w w:val="95"/>
        </w:rPr>
        <w:t xml:space="preserve"> </w:t>
      </w:r>
      <w:r>
        <w:rPr>
          <w:w w:val="95"/>
        </w:rPr>
        <w:t>repaid</w:t>
      </w:r>
      <w:r>
        <w:rPr>
          <w:spacing w:val="-10"/>
          <w:w w:val="95"/>
        </w:rPr>
        <w:t xml:space="preserve"> </w:t>
      </w:r>
      <w:r>
        <w:rPr>
          <w:w w:val="95"/>
        </w:rPr>
        <w:t>either</w:t>
      </w:r>
      <w:r>
        <w:rPr>
          <w:spacing w:val="-10"/>
          <w:w w:val="95"/>
        </w:rPr>
        <w:t xml:space="preserve"> </w:t>
      </w:r>
      <w:r>
        <w:rPr>
          <w:w w:val="95"/>
        </w:rPr>
        <w:t>through user</w:t>
      </w:r>
      <w:r>
        <w:rPr>
          <w:spacing w:val="-4"/>
          <w:w w:val="95"/>
        </w:rPr>
        <w:t xml:space="preserve"> </w:t>
      </w:r>
      <w:r>
        <w:rPr>
          <w:w w:val="95"/>
        </w:rPr>
        <w:t>charges</w:t>
      </w:r>
      <w:r>
        <w:rPr>
          <w:spacing w:val="-4"/>
          <w:w w:val="95"/>
        </w:rPr>
        <w:t xml:space="preserve"> </w:t>
      </w:r>
      <w:r>
        <w:rPr>
          <w:w w:val="95"/>
        </w:rPr>
        <w:t>(such</w:t>
      </w:r>
      <w:r>
        <w:rPr>
          <w:spacing w:val="-4"/>
          <w:w w:val="95"/>
        </w:rPr>
        <w:t xml:space="preserve"> </w:t>
      </w:r>
      <w:r>
        <w:rPr>
          <w:w w:val="95"/>
        </w:rPr>
        <w:t>as</w:t>
      </w:r>
      <w:r>
        <w:rPr>
          <w:spacing w:val="-4"/>
          <w:w w:val="95"/>
        </w:rPr>
        <w:t xml:space="preserve"> </w:t>
      </w:r>
      <w:r>
        <w:rPr>
          <w:w w:val="95"/>
        </w:rPr>
        <w:t>tolls)</w:t>
      </w:r>
      <w:r>
        <w:rPr>
          <w:spacing w:val="-4"/>
          <w:w w:val="95"/>
        </w:rPr>
        <w:t xml:space="preserve"> </w:t>
      </w:r>
      <w:r>
        <w:rPr>
          <w:w w:val="95"/>
        </w:rPr>
        <w:t>or</w:t>
      </w:r>
      <w:r>
        <w:rPr>
          <w:spacing w:val="-4"/>
          <w:w w:val="95"/>
        </w:rPr>
        <w:t xml:space="preserve"> </w:t>
      </w:r>
      <w:r>
        <w:rPr>
          <w:w w:val="95"/>
        </w:rPr>
        <w:t>availability</w:t>
      </w:r>
      <w:r>
        <w:rPr>
          <w:spacing w:val="-4"/>
          <w:w w:val="95"/>
        </w:rPr>
        <w:t xml:space="preserve"> </w:t>
      </w:r>
      <w:r>
        <w:rPr>
          <w:w w:val="95"/>
        </w:rPr>
        <w:t>payments</w:t>
      </w:r>
      <w:r>
        <w:rPr>
          <w:spacing w:val="-4"/>
          <w:w w:val="95"/>
        </w:rPr>
        <w:t xml:space="preserve"> </w:t>
      </w:r>
      <w:r>
        <w:rPr>
          <w:w w:val="95"/>
        </w:rPr>
        <w:t xml:space="preserve">from </w:t>
      </w:r>
      <w:r>
        <w:t>the</w:t>
      </w:r>
      <w:r>
        <w:rPr>
          <w:spacing w:val="-11"/>
        </w:rPr>
        <w:t xml:space="preserve"> </w:t>
      </w:r>
      <w:r>
        <w:t>Government.</w:t>
      </w:r>
    </w:p>
    <w:p w:rsidR="002C1123" w:rsidRDefault="00F22F94">
      <w:pPr>
        <w:pStyle w:val="BodyText"/>
        <w:spacing w:before="145" w:line="249" w:lineRule="auto"/>
        <w:ind w:left="251" w:right="819"/>
      </w:pPr>
      <w:r>
        <w:t>PPPs</w:t>
      </w:r>
      <w:r>
        <w:rPr>
          <w:spacing w:val="-10"/>
        </w:rPr>
        <w:t xml:space="preserve"> </w:t>
      </w:r>
      <w:r>
        <w:t>are</w:t>
      </w:r>
      <w:r>
        <w:rPr>
          <w:spacing w:val="-10"/>
        </w:rPr>
        <w:t xml:space="preserve"> </w:t>
      </w:r>
      <w:r>
        <w:t>most</w:t>
      </w:r>
      <w:r>
        <w:rPr>
          <w:spacing w:val="-10"/>
        </w:rPr>
        <w:t xml:space="preserve"> </w:t>
      </w:r>
      <w:r>
        <w:t>commonly</w:t>
      </w:r>
      <w:r>
        <w:rPr>
          <w:spacing w:val="-10"/>
        </w:rPr>
        <w:t xml:space="preserve"> </w:t>
      </w:r>
      <w:r>
        <w:t>used</w:t>
      </w:r>
      <w:r>
        <w:rPr>
          <w:spacing w:val="-10"/>
        </w:rPr>
        <w:t xml:space="preserve"> </w:t>
      </w:r>
      <w:r>
        <w:t>for</w:t>
      </w:r>
      <w:r>
        <w:rPr>
          <w:spacing w:val="-10"/>
        </w:rPr>
        <w:t xml:space="preserve"> </w:t>
      </w:r>
      <w:r>
        <w:t>large,</w:t>
      </w:r>
      <w:r>
        <w:rPr>
          <w:spacing w:val="-10"/>
        </w:rPr>
        <w:t xml:space="preserve"> </w:t>
      </w:r>
      <w:r>
        <w:t xml:space="preserve">complex </w:t>
      </w:r>
      <w:r>
        <w:rPr>
          <w:w w:val="95"/>
        </w:rPr>
        <w:t>projects,</w:t>
      </w:r>
      <w:r>
        <w:rPr>
          <w:spacing w:val="-6"/>
          <w:w w:val="95"/>
        </w:rPr>
        <w:t xml:space="preserve"> </w:t>
      </w:r>
      <w:r>
        <w:rPr>
          <w:w w:val="95"/>
        </w:rPr>
        <w:t>which</w:t>
      </w:r>
      <w:r>
        <w:rPr>
          <w:spacing w:val="-6"/>
          <w:w w:val="95"/>
        </w:rPr>
        <w:t xml:space="preserve"> </w:t>
      </w:r>
      <w:r>
        <w:rPr>
          <w:w w:val="95"/>
        </w:rPr>
        <w:t>by</w:t>
      </w:r>
      <w:r>
        <w:rPr>
          <w:spacing w:val="-6"/>
          <w:w w:val="95"/>
        </w:rPr>
        <w:t xml:space="preserve"> </w:t>
      </w:r>
      <w:r>
        <w:rPr>
          <w:w w:val="95"/>
        </w:rPr>
        <w:t>their</w:t>
      </w:r>
      <w:r>
        <w:rPr>
          <w:spacing w:val="-6"/>
          <w:w w:val="95"/>
        </w:rPr>
        <w:t xml:space="preserve"> </w:t>
      </w:r>
      <w:r>
        <w:rPr>
          <w:w w:val="95"/>
        </w:rPr>
        <w:t>nature</w:t>
      </w:r>
      <w:r>
        <w:rPr>
          <w:spacing w:val="-6"/>
          <w:w w:val="95"/>
        </w:rPr>
        <w:t xml:space="preserve"> </w:t>
      </w:r>
      <w:r>
        <w:rPr>
          <w:w w:val="95"/>
        </w:rPr>
        <w:t>tend</w:t>
      </w:r>
      <w:r>
        <w:rPr>
          <w:spacing w:val="-6"/>
          <w:w w:val="95"/>
        </w:rPr>
        <w:t xml:space="preserve"> </w:t>
      </w:r>
      <w:r>
        <w:rPr>
          <w:w w:val="95"/>
        </w:rPr>
        <w:t>to</w:t>
      </w:r>
      <w:r>
        <w:rPr>
          <w:spacing w:val="-6"/>
          <w:w w:val="95"/>
        </w:rPr>
        <w:t xml:space="preserve"> </w:t>
      </w:r>
      <w:r>
        <w:rPr>
          <w:w w:val="95"/>
        </w:rPr>
        <w:t>involve</w:t>
      </w:r>
      <w:r>
        <w:rPr>
          <w:spacing w:val="-6"/>
          <w:w w:val="95"/>
        </w:rPr>
        <w:t xml:space="preserve"> </w:t>
      </w:r>
      <w:r>
        <w:rPr>
          <w:w w:val="95"/>
        </w:rPr>
        <w:t xml:space="preserve">significant </w:t>
      </w:r>
      <w:r>
        <w:t>risks</w:t>
      </w:r>
      <w:r>
        <w:rPr>
          <w:spacing w:val="-12"/>
        </w:rPr>
        <w:t xml:space="preserve"> </w:t>
      </w:r>
      <w:r>
        <w:t>and</w:t>
      </w:r>
      <w:r>
        <w:rPr>
          <w:spacing w:val="-12"/>
        </w:rPr>
        <w:t xml:space="preserve"> </w:t>
      </w:r>
      <w:r>
        <w:t>a</w:t>
      </w:r>
      <w:r>
        <w:rPr>
          <w:spacing w:val="-12"/>
        </w:rPr>
        <w:t xml:space="preserve"> </w:t>
      </w:r>
      <w:r>
        <w:t>high</w:t>
      </w:r>
      <w:r>
        <w:rPr>
          <w:spacing w:val="-12"/>
        </w:rPr>
        <w:t xml:space="preserve"> </w:t>
      </w:r>
      <w:r>
        <w:t>public</w:t>
      </w:r>
      <w:r>
        <w:rPr>
          <w:spacing w:val="-12"/>
        </w:rPr>
        <w:t xml:space="preserve"> </w:t>
      </w:r>
      <w:r>
        <w:t>profile.</w:t>
      </w:r>
      <w:r>
        <w:rPr>
          <w:spacing w:val="-12"/>
        </w:rPr>
        <w:t xml:space="preserve"> </w:t>
      </w:r>
      <w:r>
        <w:t>The</w:t>
      </w:r>
      <w:r>
        <w:rPr>
          <w:spacing w:val="-12"/>
        </w:rPr>
        <w:t xml:space="preserve"> </w:t>
      </w:r>
      <w:r>
        <w:t>primary</w:t>
      </w:r>
      <w:r>
        <w:rPr>
          <w:spacing w:val="-12"/>
        </w:rPr>
        <w:t xml:space="preserve"> </w:t>
      </w:r>
      <w:r>
        <w:t>purpose</w:t>
      </w:r>
      <w:r>
        <w:rPr>
          <w:spacing w:val="-12"/>
        </w:rPr>
        <w:t xml:space="preserve"> </w:t>
      </w:r>
      <w:r>
        <w:t xml:space="preserve">of </w:t>
      </w:r>
      <w:r>
        <w:rPr>
          <w:w w:val="95"/>
        </w:rPr>
        <w:t xml:space="preserve">pursuing a PPP model is to better manage project risks </w:t>
      </w:r>
      <w:r>
        <w:t>and</w:t>
      </w:r>
      <w:r>
        <w:rPr>
          <w:spacing w:val="-14"/>
        </w:rPr>
        <w:t xml:space="preserve"> </w:t>
      </w:r>
      <w:r>
        <w:t>thereby</w:t>
      </w:r>
      <w:r>
        <w:rPr>
          <w:spacing w:val="-14"/>
        </w:rPr>
        <w:t xml:space="preserve"> </w:t>
      </w:r>
      <w:r>
        <w:t>deliver</w:t>
      </w:r>
      <w:r>
        <w:rPr>
          <w:spacing w:val="-14"/>
        </w:rPr>
        <w:t xml:space="preserve"> </w:t>
      </w:r>
      <w:r>
        <w:t>better</w:t>
      </w:r>
      <w:r>
        <w:rPr>
          <w:spacing w:val="-14"/>
        </w:rPr>
        <w:t xml:space="preserve"> </w:t>
      </w:r>
      <w:r>
        <w:t>value-for-money</w:t>
      </w:r>
      <w:r>
        <w:rPr>
          <w:spacing w:val="-14"/>
        </w:rPr>
        <w:t xml:space="preserve"> </w:t>
      </w:r>
      <w:r>
        <w:t>outcomes. The</w:t>
      </w:r>
      <w:r>
        <w:rPr>
          <w:spacing w:val="-11"/>
        </w:rPr>
        <w:t xml:space="preserve"> </w:t>
      </w:r>
      <w:r>
        <w:t>key</w:t>
      </w:r>
      <w:r>
        <w:rPr>
          <w:spacing w:val="-11"/>
        </w:rPr>
        <w:t xml:space="preserve"> </w:t>
      </w:r>
      <w:r>
        <w:t>advantages</w:t>
      </w:r>
      <w:r>
        <w:rPr>
          <w:spacing w:val="-11"/>
        </w:rPr>
        <w:t xml:space="preserve"> </w:t>
      </w:r>
      <w:r>
        <w:t>of</w:t>
      </w:r>
      <w:r>
        <w:rPr>
          <w:spacing w:val="-11"/>
        </w:rPr>
        <w:t xml:space="preserve"> </w:t>
      </w:r>
      <w:r>
        <w:t>PPPs</w:t>
      </w:r>
      <w:r>
        <w:rPr>
          <w:spacing w:val="-11"/>
        </w:rPr>
        <w:t xml:space="preserve"> </w:t>
      </w:r>
      <w:r>
        <w:t>are:</w:t>
      </w:r>
    </w:p>
    <w:p w:rsidR="002C1123" w:rsidRDefault="00F22F94">
      <w:pPr>
        <w:pStyle w:val="ListParagraph"/>
        <w:numPr>
          <w:ilvl w:val="3"/>
          <w:numId w:val="24"/>
        </w:numPr>
        <w:tabs>
          <w:tab w:val="left" w:pos="536"/>
        </w:tabs>
        <w:spacing w:before="134"/>
        <w:ind w:left="535" w:hanging="285"/>
        <w:rPr>
          <w:sz w:val="20"/>
        </w:rPr>
      </w:pPr>
      <w:r>
        <w:rPr>
          <w:w w:val="95"/>
          <w:sz w:val="20"/>
        </w:rPr>
        <w:t>contracted</w:t>
      </w:r>
      <w:r>
        <w:rPr>
          <w:spacing w:val="1"/>
          <w:sz w:val="20"/>
        </w:rPr>
        <w:t xml:space="preserve"> </w:t>
      </w:r>
      <w:r>
        <w:rPr>
          <w:w w:val="95"/>
          <w:sz w:val="20"/>
        </w:rPr>
        <w:t>time</w:t>
      </w:r>
      <w:r>
        <w:rPr>
          <w:spacing w:val="1"/>
          <w:sz w:val="20"/>
        </w:rPr>
        <w:t xml:space="preserve"> </w:t>
      </w:r>
      <w:r>
        <w:rPr>
          <w:w w:val="95"/>
          <w:sz w:val="20"/>
        </w:rPr>
        <w:t>and</w:t>
      </w:r>
      <w:r>
        <w:rPr>
          <w:spacing w:val="2"/>
          <w:sz w:val="20"/>
        </w:rPr>
        <w:t xml:space="preserve"> </w:t>
      </w:r>
      <w:r>
        <w:rPr>
          <w:w w:val="95"/>
          <w:sz w:val="20"/>
        </w:rPr>
        <w:t>cost</w:t>
      </w:r>
      <w:r>
        <w:rPr>
          <w:spacing w:val="1"/>
          <w:sz w:val="20"/>
        </w:rPr>
        <w:t xml:space="preserve"> </w:t>
      </w:r>
      <w:r>
        <w:rPr>
          <w:w w:val="95"/>
          <w:sz w:val="20"/>
        </w:rPr>
        <w:t>outcomes</w:t>
      </w:r>
      <w:r>
        <w:rPr>
          <w:spacing w:val="1"/>
          <w:sz w:val="20"/>
        </w:rPr>
        <w:t xml:space="preserve"> </w:t>
      </w:r>
      <w:r>
        <w:rPr>
          <w:w w:val="95"/>
          <w:sz w:val="20"/>
        </w:rPr>
        <w:t>for</w:t>
      </w:r>
      <w:r>
        <w:rPr>
          <w:spacing w:val="2"/>
          <w:sz w:val="20"/>
        </w:rPr>
        <w:t xml:space="preserve"> </w:t>
      </w:r>
      <w:r>
        <w:rPr>
          <w:spacing w:val="-2"/>
          <w:w w:val="95"/>
          <w:sz w:val="20"/>
        </w:rPr>
        <w:t>Government</w:t>
      </w:r>
    </w:p>
    <w:p w:rsidR="002C1123" w:rsidRDefault="00F22F94">
      <w:pPr>
        <w:pStyle w:val="ListParagraph"/>
        <w:numPr>
          <w:ilvl w:val="3"/>
          <w:numId w:val="24"/>
        </w:numPr>
        <w:tabs>
          <w:tab w:val="left" w:pos="536"/>
        </w:tabs>
        <w:spacing w:before="111"/>
        <w:ind w:left="535" w:hanging="285"/>
        <w:rPr>
          <w:sz w:val="20"/>
        </w:rPr>
      </w:pPr>
      <w:r>
        <w:rPr>
          <w:w w:val="95"/>
          <w:sz w:val="20"/>
        </w:rPr>
        <w:t>clarity</w:t>
      </w:r>
      <w:r>
        <w:rPr>
          <w:spacing w:val="-3"/>
          <w:sz w:val="20"/>
        </w:rPr>
        <w:t xml:space="preserve"> </w:t>
      </w:r>
      <w:r>
        <w:rPr>
          <w:w w:val="95"/>
          <w:sz w:val="20"/>
        </w:rPr>
        <w:t>around</w:t>
      </w:r>
      <w:r>
        <w:rPr>
          <w:spacing w:val="-2"/>
          <w:sz w:val="20"/>
        </w:rPr>
        <w:t xml:space="preserve"> </w:t>
      </w:r>
      <w:r>
        <w:rPr>
          <w:w w:val="95"/>
          <w:sz w:val="20"/>
        </w:rPr>
        <w:t>project</w:t>
      </w:r>
      <w:r>
        <w:rPr>
          <w:spacing w:val="-2"/>
          <w:sz w:val="20"/>
        </w:rPr>
        <w:t xml:space="preserve"> </w:t>
      </w:r>
      <w:r>
        <w:rPr>
          <w:spacing w:val="-2"/>
          <w:w w:val="95"/>
          <w:sz w:val="20"/>
        </w:rPr>
        <w:t>definition</w:t>
      </w:r>
    </w:p>
    <w:p w:rsidR="002C1123" w:rsidRDefault="00F22F94">
      <w:pPr>
        <w:pStyle w:val="ListParagraph"/>
        <w:numPr>
          <w:ilvl w:val="3"/>
          <w:numId w:val="24"/>
        </w:numPr>
        <w:tabs>
          <w:tab w:val="left" w:pos="536"/>
        </w:tabs>
        <w:spacing w:before="111"/>
        <w:ind w:left="535" w:hanging="285"/>
        <w:rPr>
          <w:sz w:val="20"/>
        </w:rPr>
      </w:pPr>
      <w:r>
        <w:rPr>
          <w:w w:val="95"/>
          <w:sz w:val="20"/>
        </w:rPr>
        <w:t>payments</w:t>
      </w:r>
      <w:r>
        <w:rPr>
          <w:spacing w:val="-7"/>
          <w:w w:val="95"/>
          <w:sz w:val="20"/>
        </w:rPr>
        <w:t xml:space="preserve"> </w:t>
      </w:r>
      <w:r>
        <w:rPr>
          <w:w w:val="95"/>
          <w:sz w:val="20"/>
        </w:rPr>
        <w:t>tied</w:t>
      </w:r>
      <w:r>
        <w:rPr>
          <w:spacing w:val="-7"/>
          <w:w w:val="95"/>
          <w:sz w:val="20"/>
        </w:rPr>
        <w:t xml:space="preserve"> </w:t>
      </w:r>
      <w:r>
        <w:rPr>
          <w:w w:val="95"/>
          <w:sz w:val="20"/>
        </w:rPr>
        <w:t>to</w:t>
      </w:r>
      <w:r>
        <w:rPr>
          <w:spacing w:val="-7"/>
          <w:w w:val="95"/>
          <w:sz w:val="20"/>
        </w:rPr>
        <w:t xml:space="preserve"> </w:t>
      </w:r>
      <w:r>
        <w:rPr>
          <w:w w:val="95"/>
          <w:sz w:val="20"/>
        </w:rPr>
        <w:t>service</w:t>
      </w:r>
      <w:r>
        <w:rPr>
          <w:spacing w:val="-7"/>
          <w:w w:val="95"/>
          <w:sz w:val="20"/>
        </w:rPr>
        <w:t xml:space="preserve"> </w:t>
      </w:r>
      <w:r>
        <w:rPr>
          <w:w w:val="95"/>
          <w:sz w:val="20"/>
        </w:rPr>
        <w:t>delivery,</w:t>
      </w:r>
      <w:r>
        <w:rPr>
          <w:spacing w:val="-7"/>
          <w:w w:val="95"/>
          <w:sz w:val="20"/>
        </w:rPr>
        <w:t xml:space="preserve"> </w:t>
      </w:r>
      <w:r>
        <w:rPr>
          <w:w w:val="95"/>
          <w:sz w:val="20"/>
        </w:rPr>
        <w:t>not</w:t>
      </w:r>
      <w:r>
        <w:rPr>
          <w:spacing w:val="-7"/>
          <w:w w:val="95"/>
          <w:sz w:val="20"/>
        </w:rPr>
        <w:t xml:space="preserve"> </w:t>
      </w:r>
      <w:r>
        <w:rPr>
          <w:w w:val="95"/>
          <w:sz w:val="20"/>
        </w:rPr>
        <w:t>asset</w:t>
      </w:r>
      <w:r>
        <w:rPr>
          <w:spacing w:val="-7"/>
          <w:w w:val="95"/>
          <w:sz w:val="20"/>
        </w:rPr>
        <w:t xml:space="preserve"> </w:t>
      </w:r>
      <w:r>
        <w:rPr>
          <w:spacing w:val="-2"/>
          <w:w w:val="95"/>
          <w:sz w:val="20"/>
        </w:rPr>
        <w:t>provision</w:t>
      </w:r>
    </w:p>
    <w:p w:rsidR="002C1123" w:rsidRDefault="00F22F94">
      <w:pPr>
        <w:pStyle w:val="ListParagraph"/>
        <w:numPr>
          <w:ilvl w:val="3"/>
          <w:numId w:val="24"/>
        </w:numPr>
        <w:tabs>
          <w:tab w:val="left" w:pos="536"/>
        </w:tabs>
        <w:spacing w:before="111"/>
        <w:ind w:left="535" w:hanging="285"/>
        <w:rPr>
          <w:sz w:val="20"/>
        </w:rPr>
      </w:pPr>
      <w:r>
        <w:rPr>
          <w:w w:val="95"/>
          <w:sz w:val="20"/>
        </w:rPr>
        <w:t>whole-of-life</w:t>
      </w:r>
      <w:r>
        <w:rPr>
          <w:spacing w:val="1"/>
          <w:sz w:val="20"/>
        </w:rPr>
        <w:t xml:space="preserve"> </w:t>
      </w:r>
      <w:r>
        <w:rPr>
          <w:w w:val="95"/>
          <w:sz w:val="20"/>
        </w:rPr>
        <w:t>cost</w:t>
      </w:r>
      <w:r>
        <w:rPr>
          <w:spacing w:val="1"/>
          <w:sz w:val="20"/>
        </w:rPr>
        <w:t xml:space="preserve"> </w:t>
      </w:r>
      <w:r>
        <w:rPr>
          <w:spacing w:val="-2"/>
          <w:w w:val="95"/>
          <w:sz w:val="20"/>
        </w:rPr>
        <w:t>management</w:t>
      </w:r>
    </w:p>
    <w:p w:rsidR="002C1123" w:rsidRDefault="002C1123">
      <w:pPr>
        <w:rPr>
          <w:sz w:val="20"/>
        </w:rPr>
        <w:sectPr w:rsidR="002C1123">
          <w:type w:val="continuous"/>
          <w:pgSz w:w="16840" w:h="11910" w:orient="landscape"/>
          <w:pgMar w:top="560" w:right="280" w:bottom="280" w:left="500" w:header="0" w:footer="517" w:gutter="0"/>
          <w:cols w:num="3" w:space="720" w:equalWidth="0">
            <w:col w:w="5255" w:space="40"/>
            <w:col w:w="4959" w:space="39"/>
            <w:col w:w="5767"/>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BodyText"/>
        <w:spacing w:before="106" w:line="249" w:lineRule="auto"/>
        <w:ind w:left="492"/>
      </w:pPr>
      <w:bookmarkStart w:id="406" w:name="_bookmark289"/>
      <w:bookmarkEnd w:id="406"/>
      <w:r>
        <w:rPr>
          <w:w w:val="95"/>
        </w:rPr>
        <w:t>The</w:t>
      </w:r>
      <w:r>
        <w:rPr>
          <w:spacing w:val="-3"/>
          <w:w w:val="95"/>
        </w:rPr>
        <w:t xml:space="preserve"> </w:t>
      </w:r>
      <w:r>
        <w:rPr>
          <w:w w:val="95"/>
        </w:rPr>
        <w:t>development</w:t>
      </w:r>
      <w:r>
        <w:rPr>
          <w:spacing w:val="-3"/>
          <w:w w:val="95"/>
        </w:rPr>
        <w:t xml:space="preserve"> </w:t>
      </w:r>
      <w:r>
        <w:rPr>
          <w:w w:val="95"/>
        </w:rPr>
        <w:t>of</w:t>
      </w:r>
      <w:r>
        <w:rPr>
          <w:spacing w:val="-3"/>
          <w:w w:val="95"/>
        </w:rPr>
        <w:t xml:space="preserve"> </w:t>
      </w:r>
      <w:r>
        <w:rPr>
          <w:w w:val="95"/>
        </w:rPr>
        <w:t>PPPs</w:t>
      </w:r>
      <w:r>
        <w:rPr>
          <w:spacing w:val="-3"/>
          <w:w w:val="95"/>
        </w:rPr>
        <w:t xml:space="preserve"> </w:t>
      </w:r>
      <w:r>
        <w:rPr>
          <w:w w:val="95"/>
        </w:rPr>
        <w:t>in</w:t>
      </w:r>
      <w:r>
        <w:rPr>
          <w:spacing w:val="-3"/>
          <w:w w:val="95"/>
        </w:rPr>
        <w:t xml:space="preserve"> </w:t>
      </w:r>
      <w:r>
        <w:rPr>
          <w:w w:val="95"/>
        </w:rPr>
        <w:t>NSW</w:t>
      </w:r>
      <w:r>
        <w:rPr>
          <w:spacing w:val="-3"/>
          <w:w w:val="95"/>
        </w:rPr>
        <w:t xml:space="preserve"> </w:t>
      </w:r>
      <w:r>
        <w:rPr>
          <w:w w:val="95"/>
        </w:rPr>
        <w:t>has</w:t>
      </w:r>
      <w:r>
        <w:rPr>
          <w:spacing w:val="-3"/>
          <w:w w:val="95"/>
        </w:rPr>
        <w:t xml:space="preserve"> </w:t>
      </w:r>
      <w:r>
        <w:rPr>
          <w:w w:val="95"/>
        </w:rPr>
        <w:t>not</w:t>
      </w:r>
      <w:r>
        <w:rPr>
          <w:spacing w:val="-3"/>
          <w:w w:val="95"/>
        </w:rPr>
        <w:t xml:space="preserve"> </w:t>
      </w:r>
      <w:r>
        <w:rPr>
          <w:w w:val="95"/>
        </w:rPr>
        <w:t>always</w:t>
      </w:r>
      <w:r>
        <w:rPr>
          <w:spacing w:val="-3"/>
          <w:w w:val="95"/>
        </w:rPr>
        <w:t xml:space="preserve"> </w:t>
      </w:r>
      <w:r>
        <w:rPr>
          <w:w w:val="95"/>
        </w:rPr>
        <w:t>been smooth</w:t>
      </w:r>
      <w:r>
        <w:rPr>
          <w:spacing w:val="-8"/>
          <w:w w:val="95"/>
        </w:rPr>
        <w:t xml:space="preserve"> </w:t>
      </w:r>
      <w:r>
        <w:rPr>
          <w:w w:val="95"/>
        </w:rPr>
        <w:t>and</w:t>
      </w:r>
      <w:r>
        <w:rPr>
          <w:spacing w:val="-8"/>
          <w:w w:val="95"/>
        </w:rPr>
        <w:t xml:space="preserve"> </w:t>
      </w:r>
      <w:r>
        <w:rPr>
          <w:w w:val="95"/>
        </w:rPr>
        <w:t>it</w:t>
      </w:r>
      <w:r>
        <w:rPr>
          <w:spacing w:val="-8"/>
          <w:w w:val="95"/>
        </w:rPr>
        <w:t xml:space="preserve"> </w:t>
      </w:r>
      <w:r>
        <w:rPr>
          <w:w w:val="95"/>
        </w:rPr>
        <w:t>is</w:t>
      </w:r>
      <w:r>
        <w:rPr>
          <w:spacing w:val="-8"/>
          <w:w w:val="95"/>
        </w:rPr>
        <w:t xml:space="preserve"> </w:t>
      </w:r>
      <w:r>
        <w:rPr>
          <w:w w:val="95"/>
        </w:rPr>
        <w:t>vital</w:t>
      </w:r>
      <w:r>
        <w:rPr>
          <w:spacing w:val="-8"/>
          <w:w w:val="95"/>
        </w:rPr>
        <w:t xml:space="preserve"> </w:t>
      </w:r>
      <w:r>
        <w:rPr>
          <w:w w:val="95"/>
        </w:rPr>
        <w:t>that</w:t>
      </w:r>
      <w:r>
        <w:rPr>
          <w:spacing w:val="-8"/>
          <w:w w:val="95"/>
        </w:rPr>
        <w:t xml:space="preserve"> </w:t>
      </w:r>
      <w:r>
        <w:rPr>
          <w:w w:val="95"/>
        </w:rPr>
        <w:t>lessons</w:t>
      </w:r>
      <w:r>
        <w:rPr>
          <w:spacing w:val="-8"/>
          <w:w w:val="95"/>
        </w:rPr>
        <w:t xml:space="preserve"> </w:t>
      </w:r>
      <w:r>
        <w:rPr>
          <w:w w:val="95"/>
        </w:rPr>
        <w:t>are</w:t>
      </w:r>
      <w:r>
        <w:rPr>
          <w:spacing w:val="-8"/>
          <w:w w:val="95"/>
        </w:rPr>
        <w:t xml:space="preserve"> </w:t>
      </w:r>
      <w:r>
        <w:rPr>
          <w:w w:val="95"/>
        </w:rPr>
        <w:t>learned</w:t>
      </w:r>
      <w:r>
        <w:rPr>
          <w:spacing w:val="-8"/>
          <w:w w:val="95"/>
        </w:rPr>
        <w:t xml:space="preserve"> </w:t>
      </w:r>
      <w:r>
        <w:rPr>
          <w:w w:val="95"/>
        </w:rPr>
        <w:t>to</w:t>
      </w:r>
      <w:r>
        <w:rPr>
          <w:spacing w:val="-8"/>
          <w:w w:val="95"/>
        </w:rPr>
        <w:t xml:space="preserve"> </w:t>
      </w:r>
      <w:r>
        <w:rPr>
          <w:w w:val="95"/>
        </w:rPr>
        <w:t xml:space="preserve">improve </w:t>
      </w:r>
      <w:r>
        <w:t>outcomes for future projects.</w:t>
      </w:r>
    </w:p>
    <w:p w:rsidR="002C1123" w:rsidRDefault="00F22F94">
      <w:pPr>
        <w:pStyle w:val="BodyText"/>
        <w:spacing w:before="144" w:line="249" w:lineRule="auto"/>
        <w:ind w:left="492"/>
      </w:pPr>
      <w:r>
        <w:rPr>
          <w:w w:val="95"/>
        </w:rPr>
        <w:t>The</w:t>
      </w:r>
      <w:r>
        <w:rPr>
          <w:spacing w:val="-2"/>
          <w:w w:val="95"/>
        </w:rPr>
        <w:t xml:space="preserve"> </w:t>
      </w:r>
      <w:r>
        <w:rPr>
          <w:w w:val="95"/>
        </w:rPr>
        <w:t>PPP</w:t>
      </w:r>
      <w:r>
        <w:rPr>
          <w:spacing w:val="-2"/>
          <w:w w:val="95"/>
        </w:rPr>
        <w:t xml:space="preserve"> </w:t>
      </w:r>
      <w:r>
        <w:rPr>
          <w:w w:val="95"/>
        </w:rPr>
        <w:t>market</w:t>
      </w:r>
      <w:r>
        <w:rPr>
          <w:spacing w:val="-2"/>
          <w:w w:val="95"/>
        </w:rPr>
        <w:t xml:space="preserve"> </w:t>
      </w:r>
      <w:r>
        <w:rPr>
          <w:w w:val="95"/>
        </w:rPr>
        <w:t>has</w:t>
      </w:r>
      <w:r>
        <w:rPr>
          <w:spacing w:val="-2"/>
          <w:w w:val="95"/>
        </w:rPr>
        <w:t xml:space="preserve"> </w:t>
      </w:r>
      <w:r>
        <w:rPr>
          <w:w w:val="95"/>
        </w:rPr>
        <w:t>matured</w:t>
      </w:r>
      <w:r>
        <w:rPr>
          <w:spacing w:val="-2"/>
          <w:w w:val="95"/>
        </w:rPr>
        <w:t xml:space="preserve"> </w:t>
      </w:r>
      <w:r>
        <w:rPr>
          <w:w w:val="95"/>
        </w:rPr>
        <w:t>both</w:t>
      </w:r>
      <w:r>
        <w:rPr>
          <w:spacing w:val="-2"/>
          <w:w w:val="95"/>
        </w:rPr>
        <w:t xml:space="preserve"> </w:t>
      </w:r>
      <w:r>
        <w:rPr>
          <w:w w:val="95"/>
        </w:rPr>
        <w:t>from</w:t>
      </w:r>
      <w:r>
        <w:rPr>
          <w:spacing w:val="-3"/>
          <w:w w:val="95"/>
        </w:rPr>
        <w:t xml:space="preserve"> </w:t>
      </w:r>
      <w:r>
        <w:rPr>
          <w:w w:val="95"/>
        </w:rPr>
        <w:t>a</w:t>
      </w:r>
      <w:r>
        <w:rPr>
          <w:spacing w:val="-2"/>
          <w:w w:val="95"/>
        </w:rPr>
        <w:t xml:space="preserve"> </w:t>
      </w:r>
      <w:r>
        <w:rPr>
          <w:w w:val="95"/>
        </w:rPr>
        <w:t>procurer</w:t>
      </w:r>
      <w:r>
        <w:rPr>
          <w:spacing w:val="-2"/>
          <w:w w:val="95"/>
        </w:rPr>
        <w:t xml:space="preserve"> </w:t>
      </w:r>
      <w:r>
        <w:rPr>
          <w:w w:val="95"/>
        </w:rPr>
        <w:t>and bidder</w:t>
      </w:r>
      <w:r>
        <w:rPr>
          <w:spacing w:val="-4"/>
          <w:w w:val="95"/>
        </w:rPr>
        <w:t xml:space="preserve"> </w:t>
      </w:r>
      <w:r>
        <w:rPr>
          <w:w w:val="95"/>
        </w:rPr>
        <w:t>perspective.</w:t>
      </w:r>
      <w:r>
        <w:rPr>
          <w:spacing w:val="-4"/>
          <w:w w:val="95"/>
        </w:rPr>
        <w:t xml:space="preserve"> </w:t>
      </w:r>
      <w:r>
        <w:rPr>
          <w:w w:val="95"/>
        </w:rPr>
        <w:t>There</w:t>
      </w:r>
      <w:r>
        <w:rPr>
          <w:spacing w:val="-4"/>
          <w:w w:val="95"/>
        </w:rPr>
        <w:t xml:space="preserve"> </w:t>
      </w:r>
      <w:r>
        <w:rPr>
          <w:w w:val="95"/>
        </w:rPr>
        <w:t>is</w:t>
      </w:r>
      <w:r>
        <w:rPr>
          <w:spacing w:val="-4"/>
          <w:w w:val="95"/>
        </w:rPr>
        <w:t xml:space="preserve"> </w:t>
      </w:r>
      <w:r>
        <w:rPr>
          <w:w w:val="95"/>
        </w:rPr>
        <w:t>a</w:t>
      </w:r>
      <w:r>
        <w:rPr>
          <w:spacing w:val="-4"/>
          <w:w w:val="95"/>
        </w:rPr>
        <w:t xml:space="preserve"> </w:t>
      </w:r>
      <w:r>
        <w:rPr>
          <w:w w:val="95"/>
        </w:rPr>
        <w:t>clearer</w:t>
      </w:r>
      <w:r>
        <w:rPr>
          <w:spacing w:val="-4"/>
          <w:w w:val="95"/>
        </w:rPr>
        <w:t xml:space="preserve"> </w:t>
      </w:r>
      <w:r>
        <w:rPr>
          <w:w w:val="95"/>
        </w:rPr>
        <w:t>understanding</w:t>
      </w:r>
      <w:r>
        <w:rPr>
          <w:spacing w:val="-4"/>
          <w:w w:val="95"/>
        </w:rPr>
        <w:t xml:space="preserve"> </w:t>
      </w:r>
      <w:r>
        <w:rPr>
          <w:w w:val="95"/>
        </w:rPr>
        <w:t xml:space="preserve">on both sides that a successful project must be a genuine </w:t>
      </w:r>
      <w:r>
        <w:t>partnership</w:t>
      </w:r>
      <w:r>
        <w:rPr>
          <w:spacing w:val="-14"/>
        </w:rPr>
        <w:t xml:space="preserve"> </w:t>
      </w:r>
      <w:r>
        <w:t>and</w:t>
      </w:r>
      <w:r>
        <w:rPr>
          <w:spacing w:val="-14"/>
        </w:rPr>
        <w:t xml:space="preserve"> </w:t>
      </w:r>
      <w:r>
        <w:t>that</w:t>
      </w:r>
      <w:r>
        <w:rPr>
          <w:spacing w:val="-14"/>
        </w:rPr>
        <w:t xml:space="preserve"> </w:t>
      </w:r>
      <w:r>
        <w:t>this</w:t>
      </w:r>
      <w:r>
        <w:rPr>
          <w:spacing w:val="-14"/>
        </w:rPr>
        <w:t xml:space="preserve"> </w:t>
      </w:r>
      <w:r>
        <w:t>requires</w:t>
      </w:r>
      <w:r>
        <w:rPr>
          <w:spacing w:val="-14"/>
        </w:rPr>
        <w:t xml:space="preserve"> </w:t>
      </w:r>
      <w:r>
        <w:t>a</w:t>
      </w:r>
      <w:r>
        <w:rPr>
          <w:spacing w:val="-14"/>
        </w:rPr>
        <w:t xml:space="preserve"> </w:t>
      </w:r>
      <w:r>
        <w:t>higher</w:t>
      </w:r>
      <w:r>
        <w:rPr>
          <w:spacing w:val="-14"/>
        </w:rPr>
        <w:t xml:space="preserve"> </w:t>
      </w:r>
      <w:r>
        <w:t>level</w:t>
      </w:r>
      <w:r>
        <w:rPr>
          <w:spacing w:val="-14"/>
        </w:rPr>
        <w:t xml:space="preserve"> </w:t>
      </w:r>
      <w:r>
        <w:t>of interaction</w:t>
      </w:r>
      <w:r>
        <w:rPr>
          <w:spacing w:val="-10"/>
        </w:rPr>
        <w:t xml:space="preserve"> </w:t>
      </w:r>
      <w:r>
        <w:t>than</w:t>
      </w:r>
      <w:r>
        <w:rPr>
          <w:spacing w:val="-10"/>
        </w:rPr>
        <w:t xml:space="preserve"> </w:t>
      </w:r>
      <w:r>
        <w:t>has</w:t>
      </w:r>
      <w:r>
        <w:rPr>
          <w:spacing w:val="-10"/>
        </w:rPr>
        <w:t xml:space="preserve"> </w:t>
      </w:r>
      <w:r>
        <w:t>sometimes</w:t>
      </w:r>
      <w:r>
        <w:rPr>
          <w:spacing w:val="-10"/>
        </w:rPr>
        <w:t xml:space="preserve"> </w:t>
      </w:r>
      <w:r>
        <w:t>occurred</w:t>
      </w:r>
      <w:r>
        <w:rPr>
          <w:spacing w:val="-10"/>
        </w:rPr>
        <w:t xml:space="preserve"> </w:t>
      </w:r>
      <w:r>
        <w:t>in</w:t>
      </w:r>
      <w:r>
        <w:rPr>
          <w:spacing w:val="-10"/>
        </w:rPr>
        <w:t xml:space="preserve"> </w:t>
      </w:r>
      <w:r>
        <w:t>the</w:t>
      </w:r>
      <w:r>
        <w:rPr>
          <w:spacing w:val="-10"/>
        </w:rPr>
        <w:t xml:space="preserve"> </w:t>
      </w:r>
      <w:r>
        <w:t>past.</w:t>
      </w:r>
    </w:p>
    <w:p w:rsidR="002C1123" w:rsidRDefault="002C1123">
      <w:pPr>
        <w:pStyle w:val="BodyText"/>
        <w:spacing w:before="1"/>
        <w:rPr>
          <w:sz w:val="15"/>
        </w:rPr>
      </w:pPr>
    </w:p>
    <w:p w:rsidR="002C1123" w:rsidRDefault="002060EF">
      <w:pPr>
        <w:pStyle w:val="BodyText"/>
        <w:ind w:left="492" w:right="-72"/>
      </w:pPr>
      <w:r>
        <w:pict>
          <v:shape id="docshape2906" o:spid="_x0000_s5252" type="#_x0000_t202" style="width:240pt;height:69.35pt;mso-left-percent:-10001;mso-top-percent:-10001;mso-position-horizontal:absolute;mso-position-horizontal-relative:char;mso-position-vertical:absolute;mso-position-vertical-relative:line;mso-left-percent:-10001;mso-top-percent:-10001" fillcolor="#e1e0e1" stroked="f">
            <v:textbox inset="0,0,0,0">
              <w:txbxContent>
                <w:p w:rsidR="00F22F94" w:rsidRDefault="00F22F94">
                  <w:pPr>
                    <w:pStyle w:val="BodyText"/>
                    <w:spacing w:before="68" w:line="249" w:lineRule="auto"/>
                    <w:ind w:left="113" w:right="122"/>
                    <w:rPr>
                      <w:color w:val="000000"/>
                    </w:rPr>
                  </w:pPr>
                  <w:r>
                    <w:rPr>
                      <w:b/>
                      <w:color w:val="00AEEF"/>
                    </w:rPr>
                    <w:t>Recommendation</w:t>
                  </w:r>
                  <w:r>
                    <w:rPr>
                      <w:b/>
                      <w:color w:val="00AEEF"/>
                      <w:spacing w:val="36"/>
                    </w:rPr>
                    <w:t xml:space="preserve"> </w:t>
                  </w:r>
                  <w:r>
                    <w:rPr>
                      <w:color w:val="000000"/>
                    </w:rPr>
                    <w:t>PPPs</w:t>
                  </w:r>
                  <w:r>
                    <w:rPr>
                      <w:color w:val="000000"/>
                      <w:spacing w:val="-9"/>
                    </w:rPr>
                    <w:t xml:space="preserve"> </w:t>
                  </w:r>
                  <w:r>
                    <w:rPr>
                      <w:color w:val="000000"/>
                    </w:rPr>
                    <w:t>should</w:t>
                  </w:r>
                  <w:r>
                    <w:rPr>
                      <w:color w:val="000000"/>
                      <w:spacing w:val="-9"/>
                    </w:rPr>
                    <w:t xml:space="preserve"> </w:t>
                  </w:r>
                  <w:r>
                    <w:rPr>
                      <w:color w:val="000000"/>
                    </w:rPr>
                    <w:t>continue</w:t>
                  </w:r>
                  <w:r>
                    <w:rPr>
                      <w:color w:val="000000"/>
                      <w:spacing w:val="-9"/>
                    </w:rPr>
                    <w:t xml:space="preserve"> </w:t>
                  </w:r>
                  <w:r>
                    <w:rPr>
                      <w:color w:val="000000"/>
                    </w:rPr>
                    <w:t>to</w:t>
                  </w:r>
                  <w:r>
                    <w:rPr>
                      <w:color w:val="000000"/>
                      <w:spacing w:val="-9"/>
                    </w:rPr>
                    <w:t xml:space="preserve"> </w:t>
                  </w:r>
                  <w:r>
                    <w:rPr>
                      <w:color w:val="000000"/>
                    </w:rPr>
                    <w:t>be considered for all major infrastructure projects, consistent</w:t>
                  </w:r>
                  <w:r>
                    <w:rPr>
                      <w:color w:val="000000"/>
                      <w:spacing w:val="-8"/>
                    </w:rPr>
                    <w:t xml:space="preserve"> </w:t>
                  </w:r>
                  <w:r>
                    <w:rPr>
                      <w:color w:val="000000"/>
                    </w:rPr>
                    <w:t>with</w:t>
                  </w:r>
                  <w:r>
                    <w:rPr>
                      <w:color w:val="000000"/>
                      <w:spacing w:val="-8"/>
                    </w:rPr>
                    <w:t xml:space="preserve"> </w:t>
                  </w:r>
                  <w:r>
                    <w:rPr>
                      <w:color w:val="000000"/>
                    </w:rPr>
                    <w:t>past</w:t>
                  </w:r>
                  <w:r>
                    <w:rPr>
                      <w:color w:val="000000"/>
                      <w:spacing w:val="-8"/>
                    </w:rPr>
                    <w:t xml:space="preserve"> </w:t>
                  </w:r>
                  <w:r>
                    <w:rPr>
                      <w:color w:val="000000"/>
                    </w:rPr>
                    <w:t>practice,</w:t>
                  </w:r>
                  <w:r>
                    <w:rPr>
                      <w:color w:val="000000"/>
                      <w:spacing w:val="-8"/>
                    </w:rPr>
                    <w:t xml:space="preserve"> </w:t>
                  </w:r>
                  <w:r>
                    <w:rPr>
                      <w:color w:val="000000"/>
                    </w:rPr>
                    <w:t>subject</w:t>
                  </w:r>
                  <w:r>
                    <w:rPr>
                      <w:color w:val="000000"/>
                      <w:spacing w:val="-8"/>
                    </w:rPr>
                    <w:t xml:space="preserve"> </w:t>
                  </w:r>
                  <w:r>
                    <w:rPr>
                      <w:color w:val="000000"/>
                    </w:rPr>
                    <w:t>to</w:t>
                  </w:r>
                  <w:r>
                    <w:rPr>
                      <w:color w:val="000000"/>
                      <w:spacing w:val="-8"/>
                    </w:rPr>
                    <w:t xml:space="preserve"> </w:t>
                  </w:r>
                  <w:r>
                    <w:rPr>
                      <w:color w:val="000000"/>
                    </w:rPr>
                    <w:t xml:space="preserve">meeting </w:t>
                  </w:r>
                  <w:r>
                    <w:rPr>
                      <w:color w:val="000000"/>
                      <w:w w:val="95"/>
                    </w:rPr>
                    <w:t>value</w:t>
                  </w:r>
                  <w:r>
                    <w:rPr>
                      <w:color w:val="000000"/>
                      <w:spacing w:val="-8"/>
                      <w:w w:val="95"/>
                    </w:rPr>
                    <w:t xml:space="preserve"> </w:t>
                  </w:r>
                  <w:r>
                    <w:rPr>
                      <w:color w:val="000000"/>
                      <w:w w:val="95"/>
                    </w:rPr>
                    <w:t>for</w:t>
                  </w:r>
                  <w:r>
                    <w:rPr>
                      <w:color w:val="000000"/>
                      <w:spacing w:val="-8"/>
                      <w:w w:val="95"/>
                    </w:rPr>
                    <w:t xml:space="preserve"> </w:t>
                  </w:r>
                  <w:r>
                    <w:rPr>
                      <w:color w:val="000000"/>
                      <w:w w:val="95"/>
                    </w:rPr>
                    <w:t>money</w:t>
                  </w:r>
                  <w:r>
                    <w:rPr>
                      <w:color w:val="000000"/>
                      <w:spacing w:val="-8"/>
                      <w:w w:val="95"/>
                    </w:rPr>
                    <w:t xml:space="preserve"> </w:t>
                  </w:r>
                  <w:r>
                    <w:rPr>
                      <w:color w:val="000000"/>
                      <w:w w:val="95"/>
                    </w:rPr>
                    <w:t>hurdles</w:t>
                  </w:r>
                  <w:r>
                    <w:rPr>
                      <w:color w:val="000000"/>
                      <w:spacing w:val="-8"/>
                      <w:w w:val="95"/>
                    </w:rPr>
                    <w:t xml:space="preserve"> </w:t>
                  </w:r>
                  <w:r>
                    <w:rPr>
                      <w:color w:val="000000"/>
                      <w:w w:val="95"/>
                    </w:rPr>
                    <w:t>set</w:t>
                  </w:r>
                  <w:r>
                    <w:rPr>
                      <w:color w:val="000000"/>
                      <w:spacing w:val="-8"/>
                      <w:w w:val="95"/>
                    </w:rPr>
                    <w:t xml:space="preserve"> </w:t>
                  </w:r>
                  <w:r>
                    <w:rPr>
                      <w:color w:val="000000"/>
                      <w:w w:val="95"/>
                    </w:rPr>
                    <w:t>out</w:t>
                  </w:r>
                  <w:r>
                    <w:rPr>
                      <w:color w:val="000000"/>
                      <w:spacing w:val="-8"/>
                      <w:w w:val="95"/>
                    </w:rPr>
                    <w:t xml:space="preserve"> </w:t>
                  </w:r>
                  <w:r>
                    <w:rPr>
                      <w:color w:val="000000"/>
                      <w:w w:val="95"/>
                    </w:rPr>
                    <w:t>under</w:t>
                  </w:r>
                  <w:r>
                    <w:rPr>
                      <w:color w:val="000000"/>
                      <w:spacing w:val="-8"/>
                      <w:w w:val="95"/>
                    </w:rPr>
                    <w:t xml:space="preserve"> </w:t>
                  </w:r>
                  <w:r>
                    <w:rPr>
                      <w:color w:val="000000"/>
                      <w:w w:val="95"/>
                    </w:rPr>
                    <w:t>the</w:t>
                  </w:r>
                  <w:r>
                    <w:rPr>
                      <w:color w:val="000000"/>
                      <w:spacing w:val="-8"/>
                      <w:w w:val="95"/>
                    </w:rPr>
                    <w:t xml:space="preserve"> </w:t>
                  </w:r>
                  <w:r>
                    <w:rPr>
                      <w:color w:val="000000"/>
                      <w:w w:val="95"/>
                    </w:rPr>
                    <w:t xml:space="preserve">National </w:t>
                  </w:r>
                  <w:r>
                    <w:rPr>
                      <w:color w:val="000000"/>
                    </w:rPr>
                    <w:t>PPP</w:t>
                  </w:r>
                  <w:r>
                    <w:rPr>
                      <w:color w:val="000000"/>
                      <w:spacing w:val="-7"/>
                    </w:rPr>
                    <w:t xml:space="preserve"> </w:t>
                  </w:r>
                  <w:r>
                    <w:rPr>
                      <w:color w:val="000000"/>
                    </w:rPr>
                    <w:t>Guidelines.</w:t>
                  </w:r>
                </w:p>
              </w:txbxContent>
            </v:textbox>
            <w10:anchorlock/>
          </v:shape>
        </w:pict>
      </w:r>
    </w:p>
    <w:p w:rsidR="002C1123" w:rsidRDefault="00F22F94">
      <w:pPr>
        <w:pStyle w:val="Heading6"/>
        <w:numPr>
          <w:ilvl w:val="2"/>
          <w:numId w:val="24"/>
        </w:numPr>
        <w:tabs>
          <w:tab w:val="left" w:pos="1087"/>
        </w:tabs>
        <w:spacing w:before="175"/>
        <w:ind w:left="1086"/>
        <w:jc w:val="both"/>
      </w:pPr>
      <w:r>
        <w:rPr>
          <w:color w:val="00AEEF"/>
        </w:rPr>
        <w:t>Cost</w:t>
      </w:r>
      <w:r>
        <w:rPr>
          <w:color w:val="00AEEF"/>
          <w:spacing w:val="-13"/>
        </w:rPr>
        <w:t xml:space="preserve"> </w:t>
      </w:r>
      <w:r>
        <w:rPr>
          <w:color w:val="00AEEF"/>
        </w:rPr>
        <w:t>of</w:t>
      </w:r>
      <w:r>
        <w:rPr>
          <w:color w:val="00AEEF"/>
          <w:spacing w:val="-11"/>
        </w:rPr>
        <w:t xml:space="preserve"> </w:t>
      </w:r>
      <w:r>
        <w:rPr>
          <w:color w:val="00AEEF"/>
          <w:spacing w:val="-2"/>
        </w:rPr>
        <w:t>Capital</w:t>
      </w:r>
    </w:p>
    <w:p w:rsidR="002C1123" w:rsidRDefault="00F22F94">
      <w:pPr>
        <w:pStyle w:val="BodyText"/>
        <w:spacing w:before="95" w:line="249" w:lineRule="auto"/>
        <w:ind w:left="492" w:right="179"/>
        <w:jc w:val="both"/>
      </w:pPr>
      <w:r>
        <w:rPr>
          <w:w w:val="95"/>
        </w:rPr>
        <w:t xml:space="preserve">Other than construction costs, the cost of capital is the </w:t>
      </w:r>
      <w:r>
        <w:t>main</w:t>
      </w:r>
      <w:r>
        <w:rPr>
          <w:spacing w:val="-14"/>
        </w:rPr>
        <w:t xml:space="preserve"> </w:t>
      </w:r>
      <w:r>
        <w:t>driver</w:t>
      </w:r>
      <w:r>
        <w:rPr>
          <w:spacing w:val="-14"/>
        </w:rPr>
        <w:t xml:space="preserve"> </w:t>
      </w:r>
      <w:r>
        <w:t>of</w:t>
      </w:r>
      <w:r>
        <w:rPr>
          <w:spacing w:val="-13"/>
        </w:rPr>
        <w:t xml:space="preserve"> </w:t>
      </w:r>
      <w:r>
        <w:t>the</w:t>
      </w:r>
      <w:r>
        <w:rPr>
          <w:spacing w:val="-14"/>
        </w:rPr>
        <w:t xml:space="preserve"> </w:t>
      </w:r>
      <w:r>
        <w:t>price</w:t>
      </w:r>
      <w:r>
        <w:rPr>
          <w:spacing w:val="-14"/>
        </w:rPr>
        <w:t xml:space="preserve"> </w:t>
      </w:r>
      <w:r>
        <w:t>of</w:t>
      </w:r>
      <w:r>
        <w:rPr>
          <w:spacing w:val="-13"/>
        </w:rPr>
        <w:t xml:space="preserve"> </w:t>
      </w:r>
      <w:r>
        <w:t>new</w:t>
      </w:r>
      <w:r>
        <w:rPr>
          <w:spacing w:val="-14"/>
        </w:rPr>
        <w:t xml:space="preserve"> </w:t>
      </w:r>
      <w:r>
        <w:t>infrastructure</w:t>
      </w:r>
      <w:r>
        <w:rPr>
          <w:spacing w:val="-14"/>
        </w:rPr>
        <w:t xml:space="preserve"> </w:t>
      </w:r>
      <w:r>
        <w:t>assets.</w:t>
      </w:r>
    </w:p>
    <w:p w:rsidR="002C1123" w:rsidRDefault="00F22F94">
      <w:pPr>
        <w:pStyle w:val="BodyText"/>
        <w:spacing w:before="2" w:line="249" w:lineRule="auto"/>
        <w:ind w:left="492" w:right="170"/>
        <w:jc w:val="both"/>
      </w:pPr>
      <w:r>
        <w:rPr>
          <w:w w:val="95"/>
        </w:rPr>
        <w:t>An</w:t>
      </w:r>
      <w:r>
        <w:rPr>
          <w:spacing w:val="-4"/>
          <w:w w:val="95"/>
        </w:rPr>
        <w:t xml:space="preserve"> </w:t>
      </w:r>
      <w:r>
        <w:rPr>
          <w:w w:val="95"/>
        </w:rPr>
        <w:t>efficient</w:t>
      </w:r>
      <w:r>
        <w:rPr>
          <w:spacing w:val="-4"/>
          <w:w w:val="95"/>
        </w:rPr>
        <w:t xml:space="preserve"> </w:t>
      </w:r>
      <w:r>
        <w:rPr>
          <w:w w:val="95"/>
        </w:rPr>
        <w:t>long</w:t>
      </w:r>
      <w:r>
        <w:rPr>
          <w:spacing w:val="-4"/>
          <w:w w:val="95"/>
        </w:rPr>
        <w:t xml:space="preserve"> </w:t>
      </w:r>
      <w:r>
        <w:rPr>
          <w:w w:val="95"/>
        </w:rPr>
        <w:t>term</w:t>
      </w:r>
      <w:r>
        <w:rPr>
          <w:spacing w:val="-5"/>
          <w:w w:val="95"/>
        </w:rPr>
        <w:t xml:space="preserve"> </w:t>
      </w:r>
      <w:r>
        <w:rPr>
          <w:w w:val="95"/>
        </w:rPr>
        <w:t>cost</w:t>
      </w:r>
      <w:r>
        <w:rPr>
          <w:spacing w:val="-4"/>
          <w:w w:val="95"/>
        </w:rPr>
        <w:t xml:space="preserve"> </w:t>
      </w:r>
      <w:r>
        <w:rPr>
          <w:w w:val="95"/>
        </w:rPr>
        <w:t>of</w:t>
      </w:r>
      <w:r>
        <w:rPr>
          <w:spacing w:val="-4"/>
          <w:w w:val="95"/>
        </w:rPr>
        <w:t xml:space="preserve"> </w:t>
      </w:r>
      <w:r>
        <w:rPr>
          <w:w w:val="95"/>
        </w:rPr>
        <w:t>capital</w:t>
      </w:r>
      <w:r>
        <w:rPr>
          <w:spacing w:val="-4"/>
          <w:w w:val="95"/>
        </w:rPr>
        <w:t xml:space="preserve"> </w:t>
      </w:r>
      <w:r>
        <w:rPr>
          <w:w w:val="95"/>
        </w:rPr>
        <w:t>in</w:t>
      </w:r>
      <w:r>
        <w:rPr>
          <w:spacing w:val="-4"/>
          <w:w w:val="95"/>
        </w:rPr>
        <w:t xml:space="preserve"> </w:t>
      </w:r>
      <w:r>
        <w:rPr>
          <w:w w:val="95"/>
        </w:rPr>
        <w:t>both</w:t>
      </w:r>
      <w:r>
        <w:rPr>
          <w:spacing w:val="-4"/>
          <w:w w:val="95"/>
        </w:rPr>
        <w:t xml:space="preserve"> </w:t>
      </w:r>
      <w:r>
        <w:rPr>
          <w:w w:val="95"/>
        </w:rPr>
        <w:t>private</w:t>
      </w:r>
      <w:r>
        <w:rPr>
          <w:spacing w:val="-4"/>
          <w:w w:val="95"/>
        </w:rPr>
        <w:t xml:space="preserve"> </w:t>
      </w:r>
      <w:r>
        <w:rPr>
          <w:w w:val="95"/>
        </w:rPr>
        <w:t>and public</w:t>
      </w:r>
      <w:r>
        <w:rPr>
          <w:spacing w:val="-4"/>
          <w:w w:val="95"/>
        </w:rPr>
        <w:t xml:space="preserve"> </w:t>
      </w:r>
      <w:r>
        <w:rPr>
          <w:w w:val="95"/>
        </w:rPr>
        <w:t>sectors</w:t>
      </w:r>
      <w:r>
        <w:rPr>
          <w:spacing w:val="-4"/>
          <w:w w:val="95"/>
        </w:rPr>
        <w:t xml:space="preserve"> </w:t>
      </w:r>
      <w:r>
        <w:rPr>
          <w:w w:val="95"/>
        </w:rPr>
        <w:t>is</w:t>
      </w:r>
      <w:r>
        <w:rPr>
          <w:spacing w:val="-4"/>
          <w:w w:val="95"/>
        </w:rPr>
        <w:t xml:space="preserve"> </w:t>
      </w:r>
      <w:r>
        <w:rPr>
          <w:w w:val="95"/>
        </w:rPr>
        <w:t>fundamental</w:t>
      </w:r>
      <w:r>
        <w:rPr>
          <w:spacing w:val="-4"/>
          <w:w w:val="95"/>
        </w:rPr>
        <w:t xml:space="preserve"> </w:t>
      </w:r>
      <w:r>
        <w:rPr>
          <w:w w:val="95"/>
        </w:rPr>
        <w:t>to</w:t>
      </w:r>
      <w:r>
        <w:rPr>
          <w:spacing w:val="-4"/>
          <w:w w:val="95"/>
        </w:rPr>
        <w:t xml:space="preserve"> </w:t>
      </w:r>
      <w:r>
        <w:rPr>
          <w:w w:val="95"/>
        </w:rPr>
        <w:t>the</w:t>
      </w:r>
      <w:r>
        <w:rPr>
          <w:spacing w:val="-4"/>
          <w:w w:val="95"/>
        </w:rPr>
        <w:t xml:space="preserve"> </w:t>
      </w:r>
      <w:r>
        <w:rPr>
          <w:w w:val="95"/>
        </w:rPr>
        <w:t>efficient</w:t>
      </w:r>
      <w:r>
        <w:rPr>
          <w:spacing w:val="-4"/>
          <w:w w:val="95"/>
        </w:rPr>
        <w:t xml:space="preserve"> </w:t>
      </w:r>
      <w:r>
        <w:rPr>
          <w:w w:val="95"/>
        </w:rPr>
        <w:t>delivery</w:t>
      </w:r>
      <w:r>
        <w:rPr>
          <w:spacing w:val="-4"/>
          <w:w w:val="95"/>
        </w:rPr>
        <w:t xml:space="preserve"> </w:t>
      </w:r>
      <w:r>
        <w:rPr>
          <w:w w:val="95"/>
        </w:rPr>
        <w:t xml:space="preserve">of </w:t>
      </w:r>
      <w:r>
        <w:t>major infrastructure projects.</w:t>
      </w:r>
    </w:p>
    <w:p w:rsidR="002C1123" w:rsidRDefault="00F22F94">
      <w:pPr>
        <w:pStyle w:val="BodyText"/>
        <w:spacing w:before="144" w:line="249" w:lineRule="auto"/>
        <w:ind w:left="492" w:right="-9"/>
      </w:pPr>
      <w:r>
        <w:rPr>
          <w:w w:val="95"/>
        </w:rPr>
        <w:t>Since the start of the Global Financial Crisis in 2008, private</w:t>
      </w:r>
      <w:r>
        <w:rPr>
          <w:spacing w:val="-12"/>
          <w:w w:val="95"/>
        </w:rPr>
        <w:t xml:space="preserve"> </w:t>
      </w:r>
      <w:r>
        <w:rPr>
          <w:w w:val="95"/>
        </w:rPr>
        <w:t>sector</w:t>
      </w:r>
      <w:r>
        <w:rPr>
          <w:spacing w:val="-11"/>
          <w:w w:val="95"/>
        </w:rPr>
        <w:t xml:space="preserve"> </w:t>
      </w:r>
      <w:r>
        <w:rPr>
          <w:w w:val="95"/>
        </w:rPr>
        <w:t>investors</w:t>
      </w:r>
      <w:r>
        <w:rPr>
          <w:spacing w:val="-11"/>
          <w:w w:val="95"/>
        </w:rPr>
        <w:t xml:space="preserve"> </w:t>
      </w:r>
      <w:r>
        <w:rPr>
          <w:w w:val="95"/>
        </w:rPr>
        <w:t>have</w:t>
      </w:r>
      <w:r>
        <w:rPr>
          <w:spacing w:val="-11"/>
          <w:w w:val="95"/>
        </w:rPr>
        <w:t xml:space="preserve"> </w:t>
      </w:r>
      <w:r>
        <w:rPr>
          <w:w w:val="95"/>
        </w:rPr>
        <w:t>a</w:t>
      </w:r>
      <w:r>
        <w:rPr>
          <w:spacing w:val="-12"/>
          <w:w w:val="95"/>
        </w:rPr>
        <w:t xml:space="preserve"> </w:t>
      </w:r>
      <w:r>
        <w:rPr>
          <w:w w:val="95"/>
        </w:rPr>
        <w:t>much</w:t>
      </w:r>
      <w:r>
        <w:rPr>
          <w:spacing w:val="-11"/>
          <w:w w:val="95"/>
        </w:rPr>
        <w:t xml:space="preserve"> </w:t>
      </w:r>
      <w:r>
        <w:rPr>
          <w:w w:val="95"/>
        </w:rPr>
        <w:t>reduced</w:t>
      </w:r>
      <w:r>
        <w:rPr>
          <w:spacing w:val="-11"/>
          <w:w w:val="95"/>
        </w:rPr>
        <w:t xml:space="preserve"> </w:t>
      </w:r>
      <w:r>
        <w:rPr>
          <w:w w:val="95"/>
        </w:rPr>
        <w:t>appetite</w:t>
      </w:r>
      <w:r>
        <w:rPr>
          <w:spacing w:val="-11"/>
          <w:w w:val="95"/>
        </w:rPr>
        <w:t xml:space="preserve"> </w:t>
      </w:r>
      <w:r>
        <w:rPr>
          <w:w w:val="95"/>
        </w:rPr>
        <w:t>for risk.</w:t>
      </w:r>
      <w:r>
        <w:rPr>
          <w:spacing w:val="-8"/>
          <w:w w:val="95"/>
        </w:rPr>
        <w:t xml:space="preserve"> </w:t>
      </w:r>
      <w:r>
        <w:rPr>
          <w:w w:val="95"/>
        </w:rPr>
        <w:t>As</w:t>
      </w:r>
      <w:r>
        <w:rPr>
          <w:spacing w:val="-8"/>
          <w:w w:val="95"/>
        </w:rPr>
        <w:t xml:space="preserve"> </w:t>
      </w:r>
      <w:r>
        <w:rPr>
          <w:w w:val="95"/>
        </w:rPr>
        <w:t>one</w:t>
      </w:r>
      <w:r>
        <w:rPr>
          <w:spacing w:val="-8"/>
          <w:w w:val="95"/>
        </w:rPr>
        <w:t xml:space="preserve"> </w:t>
      </w:r>
      <w:r>
        <w:rPr>
          <w:w w:val="95"/>
        </w:rPr>
        <w:t>of</w:t>
      </w:r>
      <w:r>
        <w:rPr>
          <w:spacing w:val="-8"/>
          <w:w w:val="95"/>
        </w:rPr>
        <w:t xml:space="preserve"> </w:t>
      </w:r>
      <w:r>
        <w:rPr>
          <w:w w:val="95"/>
        </w:rPr>
        <w:t>the</w:t>
      </w:r>
      <w:r>
        <w:rPr>
          <w:spacing w:val="-8"/>
          <w:w w:val="95"/>
        </w:rPr>
        <w:t xml:space="preserve"> </w:t>
      </w:r>
      <w:r>
        <w:rPr>
          <w:w w:val="95"/>
        </w:rPr>
        <w:t>small</w:t>
      </w:r>
      <w:r>
        <w:rPr>
          <w:spacing w:val="-8"/>
          <w:w w:val="95"/>
        </w:rPr>
        <w:t xml:space="preserve"> </w:t>
      </w:r>
      <w:r>
        <w:rPr>
          <w:w w:val="95"/>
        </w:rPr>
        <w:t>number</w:t>
      </w:r>
      <w:r>
        <w:rPr>
          <w:spacing w:val="-8"/>
          <w:w w:val="95"/>
        </w:rPr>
        <w:t xml:space="preserve"> </w:t>
      </w:r>
      <w:r>
        <w:rPr>
          <w:w w:val="95"/>
        </w:rPr>
        <w:t>of</w:t>
      </w:r>
      <w:r>
        <w:rPr>
          <w:spacing w:val="-8"/>
          <w:w w:val="95"/>
        </w:rPr>
        <w:t xml:space="preserve"> </w:t>
      </w:r>
      <w:r>
        <w:rPr>
          <w:w w:val="95"/>
        </w:rPr>
        <w:t>AAA-rated</w:t>
      </w:r>
      <w:r>
        <w:rPr>
          <w:spacing w:val="-8"/>
          <w:w w:val="95"/>
        </w:rPr>
        <w:t xml:space="preserve"> </w:t>
      </w:r>
      <w:r>
        <w:rPr>
          <w:w w:val="95"/>
        </w:rPr>
        <w:t>issuers</w:t>
      </w:r>
      <w:r>
        <w:rPr>
          <w:spacing w:val="-8"/>
          <w:w w:val="95"/>
        </w:rPr>
        <w:t xml:space="preserve"> </w:t>
      </w:r>
      <w:r>
        <w:rPr>
          <w:w w:val="95"/>
        </w:rPr>
        <w:t xml:space="preserve">left </w:t>
      </w:r>
      <w:r>
        <w:rPr>
          <w:spacing w:val="-2"/>
        </w:rPr>
        <w:t>in</w:t>
      </w:r>
      <w:r>
        <w:rPr>
          <w:spacing w:val="-11"/>
        </w:rPr>
        <w:t xml:space="preserve"> </w:t>
      </w:r>
      <w:r>
        <w:rPr>
          <w:spacing w:val="-2"/>
        </w:rPr>
        <w:t>the</w:t>
      </w:r>
      <w:r>
        <w:rPr>
          <w:spacing w:val="-11"/>
        </w:rPr>
        <w:t xml:space="preserve"> </w:t>
      </w:r>
      <w:r>
        <w:rPr>
          <w:spacing w:val="-2"/>
        </w:rPr>
        <w:t>world,</w:t>
      </w:r>
      <w:r>
        <w:rPr>
          <w:spacing w:val="-11"/>
        </w:rPr>
        <w:t xml:space="preserve"> </w:t>
      </w:r>
      <w:r>
        <w:rPr>
          <w:spacing w:val="-2"/>
        </w:rPr>
        <w:t>the</w:t>
      </w:r>
      <w:r>
        <w:rPr>
          <w:spacing w:val="-11"/>
        </w:rPr>
        <w:t xml:space="preserve"> </w:t>
      </w:r>
      <w:r>
        <w:rPr>
          <w:spacing w:val="-2"/>
        </w:rPr>
        <w:t>NSW</w:t>
      </w:r>
      <w:r>
        <w:rPr>
          <w:spacing w:val="-11"/>
        </w:rPr>
        <w:t xml:space="preserve"> </w:t>
      </w:r>
      <w:r>
        <w:rPr>
          <w:spacing w:val="-2"/>
        </w:rPr>
        <w:t>Government</w:t>
      </w:r>
      <w:r>
        <w:rPr>
          <w:spacing w:val="-11"/>
        </w:rPr>
        <w:t xml:space="preserve"> </w:t>
      </w:r>
      <w:r>
        <w:rPr>
          <w:spacing w:val="-2"/>
        </w:rPr>
        <w:t>is</w:t>
      </w:r>
      <w:r>
        <w:rPr>
          <w:spacing w:val="-11"/>
        </w:rPr>
        <w:t xml:space="preserve"> </w:t>
      </w:r>
      <w:r>
        <w:rPr>
          <w:spacing w:val="-2"/>
        </w:rPr>
        <w:t>now</w:t>
      </w:r>
      <w:r>
        <w:rPr>
          <w:spacing w:val="-11"/>
        </w:rPr>
        <w:t xml:space="preserve"> </w:t>
      </w:r>
      <w:r>
        <w:rPr>
          <w:spacing w:val="-2"/>
        </w:rPr>
        <w:t>able</w:t>
      </w:r>
      <w:r>
        <w:rPr>
          <w:spacing w:val="-11"/>
        </w:rPr>
        <w:t xml:space="preserve"> </w:t>
      </w:r>
      <w:r>
        <w:rPr>
          <w:spacing w:val="-2"/>
        </w:rPr>
        <w:t>to</w:t>
      </w:r>
      <w:r>
        <w:rPr>
          <w:spacing w:val="-11"/>
        </w:rPr>
        <w:t xml:space="preserve"> </w:t>
      </w:r>
      <w:r>
        <w:rPr>
          <w:spacing w:val="-2"/>
        </w:rPr>
        <w:t xml:space="preserve">raise </w:t>
      </w:r>
      <w:r>
        <w:t>funds</w:t>
      </w:r>
      <w:r>
        <w:rPr>
          <w:spacing w:val="-14"/>
        </w:rPr>
        <w:t xml:space="preserve"> </w:t>
      </w:r>
      <w:r>
        <w:t>more</w:t>
      </w:r>
      <w:r>
        <w:rPr>
          <w:spacing w:val="-14"/>
        </w:rPr>
        <w:t xml:space="preserve"> </w:t>
      </w:r>
      <w:r>
        <w:t>cheaply</w:t>
      </w:r>
      <w:r>
        <w:rPr>
          <w:spacing w:val="-14"/>
        </w:rPr>
        <w:t xml:space="preserve"> </w:t>
      </w:r>
      <w:r>
        <w:t>than</w:t>
      </w:r>
      <w:r>
        <w:rPr>
          <w:spacing w:val="-14"/>
        </w:rPr>
        <w:t xml:space="preserve"> </w:t>
      </w:r>
      <w:r>
        <w:t>it</w:t>
      </w:r>
      <w:r>
        <w:rPr>
          <w:spacing w:val="-14"/>
        </w:rPr>
        <w:t xml:space="preserve"> </w:t>
      </w:r>
      <w:r>
        <w:t>has</w:t>
      </w:r>
      <w:r>
        <w:rPr>
          <w:spacing w:val="-14"/>
        </w:rPr>
        <w:t xml:space="preserve"> </w:t>
      </w:r>
      <w:r>
        <w:t>for</w:t>
      </w:r>
      <w:r>
        <w:rPr>
          <w:spacing w:val="-14"/>
        </w:rPr>
        <w:t xml:space="preserve"> </w:t>
      </w:r>
      <w:r>
        <w:t>70</w:t>
      </w:r>
      <w:r>
        <w:rPr>
          <w:spacing w:val="-14"/>
        </w:rPr>
        <w:t xml:space="preserve"> </w:t>
      </w:r>
      <w:r>
        <w:t>years.</w:t>
      </w:r>
      <w:r>
        <w:rPr>
          <w:spacing w:val="-14"/>
        </w:rPr>
        <w:t xml:space="preserve"> </w:t>
      </w:r>
      <w:r>
        <w:t>NSW</w:t>
      </w:r>
      <w:r>
        <w:rPr>
          <w:spacing w:val="-14"/>
        </w:rPr>
        <w:t xml:space="preserve"> </w:t>
      </w:r>
      <w:r>
        <w:t xml:space="preserve">bond </w:t>
      </w:r>
      <w:r>
        <w:rPr>
          <w:w w:val="95"/>
        </w:rPr>
        <w:t>yields</w:t>
      </w:r>
      <w:r>
        <w:rPr>
          <w:spacing w:val="-14"/>
          <w:w w:val="95"/>
        </w:rPr>
        <w:t xml:space="preserve"> </w:t>
      </w:r>
      <w:r>
        <w:rPr>
          <w:w w:val="95"/>
        </w:rPr>
        <w:t>are</w:t>
      </w:r>
      <w:r>
        <w:rPr>
          <w:spacing w:val="-13"/>
          <w:w w:val="95"/>
        </w:rPr>
        <w:t xml:space="preserve"> </w:t>
      </w:r>
      <w:r>
        <w:rPr>
          <w:w w:val="95"/>
        </w:rPr>
        <w:t>currently</w:t>
      </w:r>
      <w:r>
        <w:rPr>
          <w:spacing w:val="-13"/>
          <w:w w:val="95"/>
        </w:rPr>
        <w:t xml:space="preserve"> </w:t>
      </w:r>
      <w:r>
        <w:rPr>
          <w:w w:val="95"/>
        </w:rPr>
        <w:t>in</w:t>
      </w:r>
      <w:r>
        <w:rPr>
          <w:spacing w:val="-13"/>
          <w:w w:val="95"/>
        </w:rPr>
        <w:t xml:space="preserve"> </w:t>
      </w:r>
      <w:r>
        <w:rPr>
          <w:w w:val="95"/>
        </w:rPr>
        <w:t>the</w:t>
      </w:r>
      <w:r>
        <w:rPr>
          <w:spacing w:val="-14"/>
          <w:w w:val="95"/>
        </w:rPr>
        <w:t xml:space="preserve"> </w:t>
      </w:r>
      <w:r>
        <w:rPr>
          <w:w w:val="95"/>
        </w:rPr>
        <w:t>order</w:t>
      </w:r>
      <w:r>
        <w:rPr>
          <w:spacing w:val="-13"/>
          <w:w w:val="95"/>
        </w:rPr>
        <w:t xml:space="preserve"> </w:t>
      </w:r>
      <w:r>
        <w:rPr>
          <w:w w:val="95"/>
        </w:rPr>
        <w:t>of</w:t>
      </w:r>
      <w:r>
        <w:rPr>
          <w:spacing w:val="-13"/>
          <w:w w:val="95"/>
        </w:rPr>
        <w:t xml:space="preserve"> </w:t>
      </w:r>
      <w:r>
        <w:rPr>
          <w:w w:val="95"/>
        </w:rPr>
        <w:t>four</w:t>
      </w:r>
      <w:r>
        <w:rPr>
          <w:spacing w:val="-13"/>
          <w:w w:val="95"/>
        </w:rPr>
        <w:t xml:space="preserve"> </w:t>
      </w:r>
      <w:r>
        <w:rPr>
          <w:w w:val="95"/>
        </w:rPr>
        <w:t>percent</w:t>
      </w:r>
      <w:r>
        <w:rPr>
          <w:spacing w:val="-13"/>
          <w:w w:val="95"/>
        </w:rPr>
        <w:t xml:space="preserve"> </w:t>
      </w:r>
      <w:r>
        <w:rPr>
          <w:w w:val="95"/>
        </w:rPr>
        <w:t>per</w:t>
      </w:r>
      <w:r>
        <w:rPr>
          <w:spacing w:val="-14"/>
          <w:w w:val="95"/>
        </w:rPr>
        <w:t xml:space="preserve"> </w:t>
      </w:r>
      <w:r>
        <w:rPr>
          <w:w w:val="95"/>
        </w:rPr>
        <w:t>annum.</w:t>
      </w:r>
    </w:p>
    <w:p w:rsidR="002C1123" w:rsidRDefault="00F22F94">
      <w:pPr>
        <w:pStyle w:val="BodyText"/>
        <w:spacing w:before="147" w:line="249" w:lineRule="auto"/>
        <w:ind w:left="492" w:right="368"/>
        <w:jc w:val="both"/>
      </w:pPr>
      <w:r>
        <w:rPr>
          <w:w w:val="95"/>
        </w:rPr>
        <w:t>Conversely,</w:t>
      </w:r>
      <w:r>
        <w:rPr>
          <w:spacing w:val="-5"/>
          <w:w w:val="95"/>
        </w:rPr>
        <w:t xml:space="preserve"> </w:t>
      </w:r>
      <w:r>
        <w:rPr>
          <w:w w:val="95"/>
        </w:rPr>
        <w:t>private</w:t>
      </w:r>
      <w:r>
        <w:rPr>
          <w:spacing w:val="-5"/>
          <w:w w:val="95"/>
        </w:rPr>
        <w:t xml:space="preserve"> </w:t>
      </w:r>
      <w:r>
        <w:rPr>
          <w:w w:val="95"/>
        </w:rPr>
        <w:t>finance</w:t>
      </w:r>
      <w:r>
        <w:rPr>
          <w:spacing w:val="-5"/>
          <w:w w:val="95"/>
        </w:rPr>
        <w:t xml:space="preserve"> </w:t>
      </w:r>
      <w:r>
        <w:rPr>
          <w:w w:val="95"/>
        </w:rPr>
        <w:t>is</w:t>
      </w:r>
      <w:r>
        <w:rPr>
          <w:spacing w:val="-5"/>
          <w:w w:val="95"/>
        </w:rPr>
        <w:t xml:space="preserve"> </w:t>
      </w:r>
      <w:r>
        <w:rPr>
          <w:w w:val="95"/>
        </w:rPr>
        <w:t>now</w:t>
      </w:r>
      <w:r>
        <w:rPr>
          <w:spacing w:val="-5"/>
          <w:w w:val="95"/>
        </w:rPr>
        <w:t xml:space="preserve"> </w:t>
      </w:r>
      <w:r>
        <w:rPr>
          <w:w w:val="95"/>
        </w:rPr>
        <w:t>significantly</w:t>
      </w:r>
      <w:r>
        <w:rPr>
          <w:spacing w:val="-5"/>
          <w:w w:val="95"/>
        </w:rPr>
        <w:t xml:space="preserve"> </w:t>
      </w:r>
      <w:r>
        <w:rPr>
          <w:w w:val="95"/>
        </w:rPr>
        <w:t>more expensive – for example the weighted average cost of</w:t>
      </w:r>
      <w:r>
        <w:rPr>
          <w:spacing w:val="-12"/>
          <w:w w:val="95"/>
        </w:rPr>
        <w:t xml:space="preserve"> </w:t>
      </w:r>
      <w:r>
        <w:rPr>
          <w:w w:val="95"/>
        </w:rPr>
        <w:t>capital</w:t>
      </w:r>
      <w:r>
        <w:rPr>
          <w:spacing w:val="-11"/>
          <w:w w:val="95"/>
        </w:rPr>
        <w:t xml:space="preserve"> </w:t>
      </w:r>
      <w:r>
        <w:rPr>
          <w:w w:val="95"/>
        </w:rPr>
        <w:t>(WACC)</w:t>
      </w:r>
      <w:r>
        <w:rPr>
          <w:spacing w:val="-11"/>
          <w:w w:val="95"/>
        </w:rPr>
        <w:t xml:space="preserve"> </w:t>
      </w:r>
      <w:r>
        <w:rPr>
          <w:w w:val="95"/>
        </w:rPr>
        <w:t>for</w:t>
      </w:r>
      <w:r>
        <w:rPr>
          <w:spacing w:val="-11"/>
          <w:w w:val="95"/>
        </w:rPr>
        <w:t xml:space="preserve"> </w:t>
      </w:r>
      <w:r>
        <w:rPr>
          <w:w w:val="95"/>
        </w:rPr>
        <w:t>social</w:t>
      </w:r>
      <w:r>
        <w:rPr>
          <w:spacing w:val="-11"/>
          <w:w w:val="95"/>
        </w:rPr>
        <w:t xml:space="preserve"> </w:t>
      </w:r>
      <w:r>
        <w:rPr>
          <w:w w:val="95"/>
        </w:rPr>
        <w:t>infrastructure</w:t>
      </w:r>
      <w:r>
        <w:rPr>
          <w:spacing w:val="-11"/>
          <w:w w:val="95"/>
        </w:rPr>
        <w:t xml:space="preserve"> </w:t>
      </w:r>
      <w:r>
        <w:rPr>
          <w:w w:val="95"/>
        </w:rPr>
        <w:t>is</w:t>
      </w:r>
      <w:r>
        <w:rPr>
          <w:spacing w:val="-11"/>
          <w:w w:val="95"/>
        </w:rPr>
        <w:t xml:space="preserve"> </w:t>
      </w:r>
      <w:r>
        <w:rPr>
          <w:w w:val="95"/>
        </w:rPr>
        <w:t>currently 9</w:t>
      </w:r>
      <w:r>
        <w:rPr>
          <w:spacing w:val="-12"/>
          <w:w w:val="95"/>
        </w:rPr>
        <w:t xml:space="preserve"> </w:t>
      </w:r>
      <w:r>
        <w:rPr>
          <w:w w:val="95"/>
        </w:rPr>
        <w:t>–</w:t>
      </w:r>
      <w:r>
        <w:rPr>
          <w:spacing w:val="-11"/>
          <w:w w:val="95"/>
        </w:rPr>
        <w:t xml:space="preserve"> </w:t>
      </w:r>
      <w:r>
        <w:rPr>
          <w:w w:val="95"/>
        </w:rPr>
        <w:t>10</w:t>
      </w:r>
      <w:r>
        <w:rPr>
          <w:spacing w:val="-6"/>
          <w:w w:val="95"/>
        </w:rPr>
        <w:t xml:space="preserve"> </w:t>
      </w:r>
      <w:r>
        <w:rPr>
          <w:w w:val="95"/>
        </w:rPr>
        <w:t>percent</w:t>
      </w:r>
      <w:r>
        <w:rPr>
          <w:spacing w:val="-3"/>
          <w:w w:val="95"/>
        </w:rPr>
        <w:t xml:space="preserve"> </w:t>
      </w:r>
      <w:r>
        <w:rPr>
          <w:w w:val="95"/>
        </w:rPr>
        <w:t>compared</w:t>
      </w:r>
      <w:r>
        <w:rPr>
          <w:spacing w:val="-2"/>
          <w:w w:val="95"/>
        </w:rPr>
        <w:t xml:space="preserve"> </w:t>
      </w:r>
      <w:r>
        <w:rPr>
          <w:w w:val="95"/>
        </w:rPr>
        <w:t>with</w:t>
      </w:r>
      <w:r>
        <w:rPr>
          <w:spacing w:val="-2"/>
          <w:w w:val="95"/>
        </w:rPr>
        <w:t xml:space="preserve"> </w:t>
      </w:r>
      <w:r>
        <w:rPr>
          <w:w w:val="95"/>
        </w:rPr>
        <w:t>6.5</w:t>
      </w:r>
      <w:r>
        <w:rPr>
          <w:spacing w:val="-2"/>
          <w:w w:val="95"/>
        </w:rPr>
        <w:t xml:space="preserve"> </w:t>
      </w:r>
      <w:r>
        <w:rPr>
          <w:w w:val="95"/>
        </w:rPr>
        <w:t>percent</w:t>
      </w:r>
      <w:r>
        <w:rPr>
          <w:spacing w:val="-3"/>
          <w:w w:val="95"/>
        </w:rPr>
        <w:t xml:space="preserve"> </w:t>
      </w:r>
      <w:r>
        <w:rPr>
          <w:w w:val="95"/>
        </w:rPr>
        <w:t>before</w:t>
      </w:r>
      <w:r>
        <w:rPr>
          <w:spacing w:val="-2"/>
          <w:w w:val="95"/>
        </w:rPr>
        <w:t xml:space="preserve"> </w:t>
      </w:r>
      <w:r>
        <w:rPr>
          <w:w w:val="95"/>
        </w:rPr>
        <w:t xml:space="preserve">the </w:t>
      </w:r>
      <w:r>
        <w:t>Global Financial Crisis.</w:t>
      </w:r>
    </w:p>
    <w:p w:rsidR="002C1123" w:rsidRDefault="00F22F94">
      <w:pPr>
        <w:pStyle w:val="BodyText"/>
        <w:spacing w:before="106" w:line="249" w:lineRule="auto"/>
        <w:ind w:left="202"/>
      </w:pPr>
      <w:r>
        <w:br w:type="column"/>
      </w:r>
      <w:r>
        <w:rPr>
          <w:w w:val="95"/>
        </w:rPr>
        <w:t>Accordingly,</w:t>
      </w:r>
      <w:r>
        <w:rPr>
          <w:spacing w:val="-10"/>
          <w:w w:val="95"/>
        </w:rPr>
        <w:t xml:space="preserve"> </w:t>
      </w:r>
      <w:r>
        <w:rPr>
          <w:w w:val="95"/>
        </w:rPr>
        <w:t>the</w:t>
      </w:r>
      <w:r>
        <w:rPr>
          <w:spacing w:val="-10"/>
          <w:w w:val="95"/>
        </w:rPr>
        <w:t xml:space="preserve"> </w:t>
      </w:r>
      <w:r>
        <w:rPr>
          <w:w w:val="95"/>
        </w:rPr>
        <w:t>challenge</w:t>
      </w:r>
      <w:r>
        <w:rPr>
          <w:spacing w:val="-10"/>
          <w:w w:val="95"/>
        </w:rPr>
        <w:t xml:space="preserve"> </w:t>
      </w:r>
      <w:r>
        <w:rPr>
          <w:w w:val="95"/>
        </w:rPr>
        <w:t>for</w:t>
      </w:r>
      <w:r>
        <w:rPr>
          <w:spacing w:val="-10"/>
          <w:w w:val="95"/>
        </w:rPr>
        <w:t xml:space="preserve"> </w:t>
      </w:r>
      <w:r>
        <w:rPr>
          <w:w w:val="95"/>
        </w:rPr>
        <w:t>NSW</w:t>
      </w:r>
      <w:r>
        <w:rPr>
          <w:spacing w:val="-10"/>
          <w:w w:val="95"/>
        </w:rPr>
        <w:t xml:space="preserve"> </w:t>
      </w:r>
      <w:r>
        <w:rPr>
          <w:w w:val="95"/>
        </w:rPr>
        <w:t>is</w:t>
      </w:r>
      <w:r>
        <w:rPr>
          <w:spacing w:val="-10"/>
          <w:w w:val="95"/>
        </w:rPr>
        <w:t xml:space="preserve"> </w:t>
      </w:r>
      <w:r>
        <w:rPr>
          <w:w w:val="95"/>
        </w:rPr>
        <w:t>to</w:t>
      </w:r>
      <w:r>
        <w:rPr>
          <w:spacing w:val="-10"/>
          <w:w w:val="95"/>
        </w:rPr>
        <w:t xml:space="preserve"> </w:t>
      </w:r>
      <w:r>
        <w:rPr>
          <w:w w:val="95"/>
        </w:rPr>
        <w:t>devise</w:t>
      </w:r>
      <w:r>
        <w:rPr>
          <w:spacing w:val="-10"/>
          <w:w w:val="95"/>
        </w:rPr>
        <w:t xml:space="preserve"> </w:t>
      </w:r>
      <w:r>
        <w:rPr>
          <w:w w:val="95"/>
        </w:rPr>
        <w:t xml:space="preserve">financing </w:t>
      </w:r>
      <w:r>
        <w:rPr>
          <w:spacing w:val="-2"/>
        </w:rPr>
        <w:t>strategies</w:t>
      </w:r>
      <w:r>
        <w:rPr>
          <w:spacing w:val="-10"/>
        </w:rPr>
        <w:t xml:space="preserve"> </w:t>
      </w:r>
      <w:r>
        <w:rPr>
          <w:spacing w:val="-2"/>
        </w:rPr>
        <w:t>that</w:t>
      </w:r>
      <w:r>
        <w:rPr>
          <w:spacing w:val="-10"/>
        </w:rPr>
        <w:t xml:space="preserve"> </w:t>
      </w:r>
      <w:r>
        <w:rPr>
          <w:spacing w:val="-2"/>
        </w:rPr>
        <w:t>preserve</w:t>
      </w:r>
      <w:r>
        <w:rPr>
          <w:spacing w:val="-10"/>
        </w:rPr>
        <w:t xml:space="preserve"> </w:t>
      </w:r>
      <w:r>
        <w:rPr>
          <w:spacing w:val="-2"/>
        </w:rPr>
        <w:t>the</w:t>
      </w:r>
      <w:r>
        <w:rPr>
          <w:spacing w:val="-10"/>
        </w:rPr>
        <w:t xml:space="preserve"> </w:t>
      </w:r>
      <w:r>
        <w:rPr>
          <w:spacing w:val="-2"/>
        </w:rPr>
        <w:t>benefits</w:t>
      </w:r>
      <w:r>
        <w:rPr>
          <w:spacing w:val="-10"/>
        </w:rPr>
        <w:t xml:space="preserve"> </w:t>
      </w:r>
      <w:r>
        <w:rPr>
          <w:spacing w:val="-2"/>
        </w:rPr>
        <w:t>of</w:t>
      </w:r>
      <w:r>
        <w:rPr>
          <w:spacing w:val="-10"/>
        </w:rPr>
        <w:t xml:space="preserve"> </w:t>
      </w:r>
      <w:r>
        <w:rPr>
          <w:spacing w:val="-2"/>
        </w:rPr>
        <w:t>PPPs,</w:t>
      </w:r>
      <w:r>
        <w:rPr>
          <w:spacing w:val="-10"/>
        </w:rPr>
        <w:t xml:space="preserve"> </w:t>
      </w:r>
      <w:r>
        <w:rPr>
          <w:spacing w:val="-2"/>
        </w:rPr>
        <w:t>whilst</w:t>
      </w:r>
      <w:r>
        <w:rPr>
          <w:spacing w:val="-10"/>
        </w:rPr>
        <w:t xml:space="preserve"> </w:t>
      </w:r>
      <w:r>
        <w:rPr>
          <w:spacing w:val="-2"/>
        </w:rPr>
        <w:t xml:space="preserve">not </w:t>
      </w:r>
      <w:r>
        <w:t>incurring</w:t>
      </w:r>
      <w:r>
        <w:rPr>
          <w:spacing w:val="-5"/>
        </w:rPr>
        <w:t xml:space="preserve"> </w:t>
      </w:r>
      <w:r>
        <w:t>costs</w:t>
      </w:r>
      <w:r>
        <w:rPr>
          <w:spacing w:val="-5"/>
        </w:rPr>
        <w:t xml:space="preserve"> </w:t>
      </w:r>
      <w:r>
        <w:t>of</w:t>
      </w:r>
      <w:r>
        <w:rPr>
          <w:spacing w:val="-5"/>
        </w:rPr>
        <w:t xml:space="preserve"> </w:t>
      </w:r>
      <w:r>
        <w:t>capital</w:t>
      </w:r>
      <w:r>
        <w:rPr>
          <w:spacing w:val="-5"/>
        </w:rPr>
        <w:t xml:space="preserve"> </w:t>
      </w:r>
      <w:r>
        <w:t>that</w:t>
      </w:r>
      <w:r>
        <w:rPr>
          <w:spacing w:val="-5"/>
        </w:rPr>
        <w:t xml:space="preserve"> </w:t>
      </w:r>
      <w:r>
        <w:t>do</w:t>
      </w:r>
      <w:r>
        <w:rPr>
          <w:spacing w:val="-5"/>
        </w:rPr>
        <w:t xml:space="preserve"> </w:t>
      </w:r>
      <w:r>
        <w:t>not</w:t>
      </w:r>
      <w:r>
        <w:rPr>
          <w:spacing w:val="-5"/>
        </w:rPr>
        <w:t xml:space="preserve"> </w:t>
      </w:r>
      <w:r>
        <w:t>represent</w:t>
      </w:r>
      <w:r>
        <w:rPr>
          <w:spacing w:val="-5"/>
        </w:rPr>
        <w:t xml:space="preserve"> </w:t>
      </w:r>
      <w:r>
        <w:t>good value for money.</w:t>
      </w:r>
    </w:p>
    <w:p w:rsidR="002C1123" w:rsidRDefault="00F22F94">
      <w:pPr>
        <w:pStyle w:val="BodyText"/>
        <w:spacing w:before="145" w:line="249" w:lineRule="auto"/>
        <w:ind w:left="202"/>
      </w:pPr>
      <w:r>
        <w:rPr>
          <w:w w:val="95"/>
        </w:rPr>
        <w:t>Infrastructure</w:t>
      </w:r>
      <w:r>
        <w:rPr>
          <w:spacing w:val="-4"/>
          <w:w w:val="95"/>
        </w:rPr>
        <w:t xml:space="preserve"> </w:t>
      </w:r>
      <w:r>
        <w:rPr>
          <w:w w:val="95"/>
        </w:rPr>
        <w:t>NSW</w:t>
      </w:r>
      <w:r>
        <w:rPr>
          <w:spacing w:val="-4"/>
          <w:w w:val="95"/>
        </w:rPr>
        <w:t xml:space="preserve"> </w:t>
      </w:r>
      <w:r>
        <w:rPr>
          <w:w w:val="95"/>
        </w:rPr>
        <w:t>recommends</w:t>
      </w:r>
      <w:r>
        <w:rPr>
          <w:spacing w:val="-4"/>
          <w:w w:val="95"/>
        </w:rPr>
        <w:t xml:space="preserve"> </w:t>
      </w:r>
      <w:r>
        <w:rPr>
          <w:w w:val="95"/>
        </w:rPr>
        <w:t>that</w:t>
      </w:r>
      <w:r>
        <w:rPr>
          <w:spacing w:val="-4"/>
          <w:w w:val="95"/>
        </w:rPr>
        <w:t xml:space="preserve"> </w:t>
      </w:r>
      <w:r>
        <w:rPr>
          <w:w w:val="95"/>
        </w:rPr>
        <w:t>this</w:t>
      </w:r>
      <w:r>
        <w:rPr>
          <w:spacing w:val="-4"/>
          <w:w w:val="95"/>
        </w:rPr>
        <w:t xml:space="preserve"> </w:t>
      </w:r>
      <w:r>
        <w:rPr>
          <w:w w:val="95"/>
        </w:rPr>
        <w:t>challenge</w:t>
      </w:r>
      <w:r>
        <w:rPr>
          <w:spacing w:val="-4"/>
          <w:w w:val="95"/>
        </w:rPr>
        <w:t xml:space="preserve"> </w:t>
      </w:r>
      <w:r>
        <w:rPr>
          <w:w w:val="95"/>
        </w:rPr>
        <w:t xml:space="preserve">is </w:t>
      </w:r>
      <w:r>
        <w:t>addressed in two principal ways:</w:t>
      </w:r>
    </w:p>
    <w:p w:rsidR="002C1123" w:rsidRDefault="00F22F94">
      <w:pPr>
        <w:pStyle w:val="ListParagraph"/>
        <w:numPr>
          <w:ilvl w:val="3"/>
          <w:numId w:val="24"/>
        </w:numPr>
        <w:tabs>
          <w:tab w:val="left" w:pos="487"/>
        </w:tabs>
        <w:spacing w:before="131" w:line="249" w:lineRule="auto"/>
        <w:ind w:left="486" w:right="167"/>
        <w:rPr>
          <w:sz w:val="20"/>
        </w:rPr>
      </w:pPr>
      <w:r>
        <w:rPr>
          <w:w w:val="95"/>
          <w:sz w:val="20"/>
        </w:rPr>
        <w:t>provision</w:t>
      </w:r>
      <w:r>
        <w:rPr>
          <w:spacing w:val="-7"/>
          <w:w w:val="95"/>
          <w:sz w:val="20"/>
        </w:rPr>
        <w:t xml:space="preserve"> </w:t>
      </w:r>
      <w:r>
        <w:rPr>
          <w:w w:val="95"/>
          <w:sz w:val="20"/>
        </w:rPr>
        <w:t>of</w:t>
      </w:r>
      <w:r>
        <w:rPr>
          <w:spacing w:val="-7"/>
          <w:w w:val="95"/>
          <w:sz w:val="20"/>
        </w:rPr>
        <w:t xml:space="preserve"> </w:t>
      </w:r>
      <w:r>
        <w:rPr>
          <w:w w:val="95"/>
          <w:sz w:val="20"/>
        </w:rPr>
        <w:t>direct</w:t>
      </w:r>
      <w:r>
        <w:rPr>
          <w:spacing w:val="-7"/>
          <w:w w:val="95"/>
          <w:sz w:val="20"/>
        </w:rPr>
        <w:t xml:space="preserve"> </w:t>
      </w:r>
      <w:r>
        <w:rPr>
          <w:w w:val="95"/>
          <w:sz w:val="20"/>
        </w:rPr>
        <w:t>capital</w:t>
      </w:r>
      <w:r>
        <w:rPr>
          <w:spacing w:val="-7"/>
          <w:w w:val="95"/>
          <w:sz w:val="20"/>
        </w:rPr>
        <w:t xml:space="preserve"> </w:t>
      </w:r>
      <w:r>
        <w:rPr>
          <w:w w:val="95"/>
          <w:sz w:val="20"/>
        </w:rPr>
        <w:t>grants.</w:t>
      </w:r>
      <w:r>
        <w:rPr>
          <w:spacing w:val="-7"/>
          <w:w w:val="95"/>
          <w:sz w:val="20"/>
        </w:rPr>
        <w:t xml:space="preserve"> </w:t>
      </w:r>
      <w:r>
        <w:rPr>
          <w:w w:val="95"/>
          <w:sz w:val="20"/>
        </w:rPr>
        <w:t>This</w:t>
      </w:r>
      <w:r>
        <w:rPr>
          <w:spacing w:val="-7"/>
          <w:w w:val="95"/>
          <w:sz w:val="20"/>
        </w:rPr>
        <w:t xml:space="preserve"> </w:t>
      </w:r>
      <w:r>
        <w:rPr>
          <w:w w:val="95"/>
          <w:sz w:val="20"/>
        </w:rPr>
        <w:t>will</w:t>
      </w:r>
      <w:r>
        <w:rPr>
          <w:spacing w:val="-7"/>
          <w:w w:val="95"/>
          <w:sz w:val="20"/>
        </w:rPr>
        <w:t xml:space="preserve"> </w:t>
      </w:r>
      <w:r>
        <w:rPr>
          <w:w w:val="95"/>
          <w:sz w:val="20"/>
        </w:rPr>
        <w:t>not</w:t>
      </w:r>
      <w:r>
        <w:rPr>
          <w:spacing w:val="-7"/>
          <w:w w:val="95"/>
          <w:sz w:val="20"/>
        </w:rPr>
        <w:t xml:space="preserve"> </w:t>
      </w:r>
      <w:r>
        <w:rPr>
          <w:w w:val="95"/>
          <w:sz w:val="20"/>
        </w:rPr>
        <w:t xml:space="preserve">impair </w:t>
      </w:r>
      <w:r>
        <w:rPr>
          <w:sz w:val="20"/>
        </w:rPr>
        <w:t>incentives</w:t>
      </w:r>
      <w:r>
        <w:rPr>
          <w:spacing w:val="-12"/>
          <w:sz w:val="20"/>
        </w:rPr>
        <w:t xml:space="preserve"> </w:t>
      </w:r>
      <w:r>
        <w:rPr>
          <w:sz w:val="20"/>
        </w:rPr>
        <w:t>on</w:t>
      </w:r>
      <w:r>
        <w:rPr>
          <w:spacing w:val="-12"/>
          <w:sz w:val="20"/>
        </w:rPr>
        <w:t xml:space="preserve"> </w:t>
      </w:r>
      <w:r>
        <w:rPr>
          <w:sz w:val="20"/>
        </w:rPr>
        <w:t>the</w:t>
      </w:r>
      <w:r>
        <w:rPr>
          <w:spacing w:val="-12"/>
          <w:sz w:val="20"/>
        </w:rPr>
        <w:t xml:space="preserve"> </w:t>
      </w:r>
      <w:r>
        <w:rPr>
          <w:sz w:val="20"/>
        </w:rPr>
        <w:t>private</w:t>
      </w:r>
      <w:r>
        <w:rPr>
          <w:spacing w:val="-12"/>
          <w:sz w:val="20"/>
        </w:rPr>
        <w:t xml:space="preserve"> </w:t>
      </w:r>
      <w:r>
        <w:rPr>
          <w:sz w:val="20"/>
        </w:rPr>
        <w:t>sector</w:t>
      </w:r>
      <w:r>
        <w:rPr>
          <w:spacing w:val="-12"/>
          <w:sz w:val="20"/>
        </w:rPr>
        <w:t xml:space="preserve"> </w:t>
      </w:r>
      <w:r>
        <w:rPr>
          <w:sz w:val="20"/>
        </w:rPr>
        <w:t>so</w:t>
      </w:r>
      <w:r>
        <w:rPr>
          <w:spacing w:val="-12"/>
          <w:sz w:val="20"/>
        </w:rPr>
        <w:t xml:space="preserve"> </w:t>
      </w:r>
      <w:r>
        <w:rPr>
          <w:sz w:val="20"/>
        </w:rPr>
        <w:t>long</w:t>
      </w:r>
      <w:r>
        <w:rPr>
          <w:spacing w:val="-12"/>
          <w:sz w:val="20"/>
        </w:rPr>
        <w:t xml:space="preserve"> </w:t>
      </w:r>
      <w:r>
        <w:rPr>
          <w:sz w:val="20"/>
        </w:rPr>
        <w:t>as</w:t>
      </w:r>
      <w:r>
        <w:rPr>
          <w:spacing w:val="-12"/>
          <w:sz w:val="20"/>
        </w:rPr>
        <w:t xml:space="preserve"> </w:t>
      </w:r>
      <w:r>
        <w:rPr>
          <w:sz w:val="20"/>
        </w:rPr>
        <w:t>there</w:t>
      </w:r>
    </w:p>
    <w:p w:rsidR="002C1123" w:rsidRDefault="00F22F94">
      <w:pPr>
        <w:pStyle w:val="BodyText"/>
        <w:spacing w:before="1" w:line="249" w:lineRule="auto"/>
        <w:ind w:left="486"/>
      </w:pPr>
      <w:r>
        <w:rPr>
          <w:w w:val="95"/>
        </w:rPr>
        <w:t>is</w:t>
      </w:r>
      <w:r>
        <w:rPr>
          <w:spacing w:val="-6"/>
          <w:w w:val="95"/>
        </w:rPr>
        <w:t xml:space="preserve"> </w:t>
      </w:r>
      <w:r>
        <w:rPr>
          <w:w w:val="95"/>
        </w:rPr>
        <w:t>a</w:t>
      </w:r>
      <w:r>
        <w:rPr>
          <w:spacing w:val="-6"/>
          <w:w w:val="95"/>
        </w:rPr>
        <w:t xml:space="preserve"> </w:t>
      </w:r>
      <w:r>
        <w:rPr>
          <w:w w:val="95"/>
        </w:rPr>
        <w:t>sufficient</w:t>
      </w:r>
      <w:r>
        <w:rPr>
          <w:spacing w:val="-6"/>
          <w:w w:val="95"/>
        </w:rPr>
        <w:t xml:space="preserve"> </w:t>
      </w:r>
      <w:r>
        <w:rPr>
          <w:w w:val="95"/>
        </w:rPr>
        <w:t>amount</w:t>
      </w:r>
      <w:r>
        <w:rPr>
          <w:spacing w:val="-6"/>
          <w:w w:val="95"/>
        </w:rPr>
        <w:t xml:space="preserve"> </w:t>
      </w:r>
      <w:r>
        <w:rPr>
          <w:w w:val="95"/>
        </w:rPr>
        <w:t>of</w:t>
      </w:r>
      <w:r>
        <w:rPr>
          <w:spacing w:val="-6"/>
          <w:w w:val="95"/>
        </w:rPr>
        <w:t xml:space="preserve"> </w:t>
      </w:r>
      <w:r>
        <w:rPr>
          <w:w w:val="95"/>
        </w:rPr>
        <w:t>private</w:t>
      </w:r>
      <w:r>
        <w:rPr>
          <w:spacing w:val="-6"/>
          <w:w w:val="95"/>
        </w:rPr>
        <w:t xml:space="preserve"> </w:t>
      </w:r>
      <w:r>
        <w:rPr>
          <w:w w:val="95"/>
        </w:rPr>
        <w:t>finance</w:t>
      </w:r>
      <w:r>
        <w:rPr>
          <w:spacing w:val="-6"/>
          <w:w w:val="95"/>
        </w:rPr>
        <w:t xml:space="preserve"> </w:t>
      </w:r>
      <w:r>
        <w:rPr>
          <w:w w:val="95"/>
        </w:rPr>
        <w:t>to</w:t>
      </w:r>
      <w:r>
        <w:rPr>
          <w:spacing w:val="-6"/>
          <w:w w:val="95"/>
        </w:rPr>
        <w:t xml:space="preserve"> </w:t>
      </w:r>
      <w:r>
        <w:rPr>
          <w:w w:val="95"/>
        </w:rPr>
        <w:t xml:space="preserve">attract </w:t>
      </w:r>
      <w:r>
        <w:t>proponents and provide appropriate returns</w:t>
      </w:r>
    </w:p>
    <w:p w:rsidR="002C1123" w:rsidRDefault="00F22F94">
      <w:pPr>
        <w:pStyle w:val="ListParagraph"/>
        <w:numPr>
          <w:ilvl w:val="3"/>
          <w:numId w:val="24"/>
        </w:numPr>
        <w:tabs>
          <w:tab w:val="left" w:pos="487"/>
        </w:tabs>
        <w:spacing w:before="131" w:line="249" w:lineRule="auto"/>
        <w:ind w:left="486" w:right="28"/>
        <w:rPr>
          <w:sz w:val="20"/>
        </w:rPr>
      </w:pPr>
      <w:r>
        <w:rPr>
          <w:w w:val="95"/>
          <w:sz w:val="20"/>
        </w:rPr>
        <w:t>payout</w:t>
      </w:r>
      <w:r>
        <w:rPr>
          <w:spacing w:val="-2"/>
          <w:w w:val="95"/>
          <w:sz w:val="20"/>
        </w:rPr>
        <w:t xml:space="preserve"> </w:t>
      </w:r>
      <w:r>
        <w:rPr>
          <w:w w:val="95"/>
          <w:sz w:val="20"/>
        </w:rPr>
        <w:t>of</w:t>
      </w:r>
      <w:r>
        <w:rPr>
          <w:spacing w:val="-2"/>
          <w:w w:val="95"/>
          <w:sz w:val="20"/>
        </w:rPr>
        <w:t xml:space="preserve"> </w:t>
      </w:r>
      <w:r>
        <w:rPr>
          <w:w w:val="95"/>
          <w:sz w:val="20"/>
        </w:rPr>
        <w:t>a</w:t>
      </w:r>
      <w:r>
        <w:rPr>
          <w:spacing w:val="-2"/>
          <w:w w:val="95"/>
          <w:sz w:val="20"/>
        </w:rPr>
        <w:t xml:space="preserve"> </w:t>
      </w:r>
      <w:r>
        <w:rPr>
          <w:w w:val="95"/>
          <w:sz w:val="20"/>
        </w:rPr>
        <w:t>significant</w:t>
      </w:r>
      <w:r>
        <w:rPr>
          <w:spacing w:val="-2"/>
          <w:w w:val="95"/>
          <w:sz w:val="20"/>
        </w:rPr>
        <w:t xml:space="preserve"> </w:t>
      </w:r>
      <w:r>
        <w:rPr>
          <w:w w:val="95"/>
          <w:sz w:val="20"/>
        </w:rPr>
        <w:t>proportion</w:t>
      </w:r>
      <w:r>
        <w:rPr>
          <w:spacing w:val="-2"/>
          <w:w w:val="95"/>
          <w:sz w:val="20"/>
        </w:rPr>
        <w:t xml:space="preserve"> </w:t>
      </w:r>
      <w:r>
        <w:rPr>
          <w:w w:val="95"/>
          <w:sz w:val="20"/>
        </w:rPr>
        <w:t>of</w:t>
      </w:r>
      <w:r>
        <w:rPr>
          <w:spacing w:val="-2"/>
          <w:w w:val="95"/>
          <w:sz w:val="20"/>
        </w:rPr>
        <w:t xml:space="preserve"> </w:t>
      </w:r>
      <w:r>
        <w:rPr>
          <w:w w:val="95"/>
          <w:sz w:val="20"/>
        </w:rPr>
        <w:t>project</w:t>
      </w:r>
      <w:r>
        <w:rPr>
          <w:spacing w:val="-2"/>
          <w:w w:val="95"/>
          <w:sz w:val="20"/>
        </w:rPr>
        <w:t xml:space="preserve"> </w:t>
      </w:r>
      <w:r>
        <w:rPr>
          <w:w w:val="95"/>
          <w:sz w:val="20"/>
        </w:rPr>
        <w:t>debt</w:t>
      </w:r>
      <w:r>
        <w:rPr>
          <w:spacing w:val="-2"/>
          <w:w w:val="95"/>
          <w:sz w:val="20"/>
        </w:rPr>
        <w:t xml:space="preserve"> </w:t>
      </w:r>
      <w:r>
        <w:rPr>
          <w:w w:val="95"/>
          <w:sz w:val="20"/>
        </w:rPr>
        <w:t>after completion of construction. This mitigates the impact of</w:t>
      </w:r>
      <w:r>
        <w:rPr>
          <w:spacing w:val="-8"/>
          <w:w w:val="95"/>
          <w:sz w:val="20"/>
        </w:rPr>
        <w:t xml:space="preserve"> </w:t>
      </w:r>
      <w:r>
        <w:rPr>
          <w:w w:val="95"/>
          <w:sz w:val="20"/>
        </w:rPr>
        <w:t>the</w:t>
      </w:r>
      <w:r>
        <w:rPr>
          <w:spacing w:val="-8"/>
          <w:w w:val="95"/>
          <w:sz w:val="20"/>
        </w:rPr>
        <w:t xml:space="preserve"> </w:t>
      </w:r>
      <w:r>
        <w:rPr>
          <w:w w:val="95"/>
          <w:sz w:val="20"/>
        </w:rPr>
        <w:t>WACC</w:t>
      </w:r>
      <w:r>
        <w:rPr>
          <w:spacing w:val="-8"/>
          <w:w w:val="95"/>
          <w:sz w:val="20"/>
        </w:rPr>
        <w:t xml:space="preserve"> </w:t>
      </w:r>
      <w:r>
        <w:rPr>
          <w:w w:val="95"/>
          <w:sz w:val="20"/>
        </w:rPr>
        <w:t>differential</w:t>
      </w:r>
      <w:r>
        <w:rPr>
          <w:spacing w:val="-8"/>
          <w:w w:val="95"/>
          <w:sz w:val="20"/>
        </w:rPr>
        <w:t xml:space="preserve"> </w:t>
      </w:r>
      <w:r>
        <w:rPr>
          <w:w w:val="95"/>
          <w:sz w:val="20"/>
        </w:rPr>
        <w:t>on</w:t>
      </w:r>
      <w:r>
        <w:rPr>
          <w:spacing w:val="-8"/>
          <w:w w:val="95"/>
          <w:sz w:val="20"/>
        </w:rPr>
        <w:t xml:space="preserve"> </w:t>
      </w:r>
      <w:r>
        <w:rPr>
          <w:w w:val="95"/>
          <w:sz w:val="20"/>
        </w:rPr>
        <w:t>whole</w:t>
      </w:r>
      <w:r>
        <w:rPr>
          <w:spacing w:val="-8"/>
          <w:w w:val="95"/>
          <w:sz w:val="20"/>
        </w:rPr>
        <w:t xml:space="preserve"> </w:t>
      </w:r>
      <w:r>
        <w:rPr>
          <w:w w:val="95"/>
          <w:sz w:val="20"/>
        </w:rPr>
        <w:t>of</w:t>
      </w:r>
      <w:r>
        <w:rPr>
          <w:spacing w:val="-8"/>
          <w:w w:val="95"/>
          <w:sz w:val="20"/>
        </w:rPr>
        <w:t xml:space="preserve"> </w:t>
      </w:r>
      <w:r>
        <w:rPr>
          <w:w w:val="95"/>
          <w:sz w:val="20"/>
        </w:rPr>
        <w:t>life</w:t>
      </w:r>
      <w:r>
        <w:rPr>
          <w:spacing w:val="-8"/>
          <w:w w:val="95"/>
          <w:sz w:val="20"/>
        </w:rPr>
        <w:t xml:space="preserve"> </w:t>
      </w:r>
      <w:r>
        <w:rPr>
          <w:w w:val="95"/>
          <w:sz w:val="20"/>
        </w:rPr>
        <w:t>basis,</w:t>
      </w:r>
      <w:r>
        <w:rPr>
          <w:spacing w:val="-8"/>
          <w:w w:val="95"/>
          <w:sz w:val="20"/>
        </w:rPr>
        <w:t xml:space="preserve"> </w:t>
      </w:r>
      <w:r>
        <w:rPr>
          <w:w w:val="95"/>
          <w:sz w:val="20"/>
        </w:rPr>
        <w:t>and</w:t>
      </w:r>
      <w:r>
        <w:rPr>
          <w:spacing w:val="-8"/>
          <w:w w:val="95"/>
          <w:sz w:val="20"/>
        </w:rPr>
        <w:t xml:space="preserve"> </w:t>
      </w:r>
      <w:r>
        <w:rPr>
          <w:w w:val="95"/>
          <w:sz w:val="20"/>
        </w:rPr>
        <w:t xml:space="preserve">is </w:t>
      </w:r>
      <w:r>
        <w:rPr>
          <w:w w:val="90"/>
          <w:sz w:val="20"/>
        </w:rPr>
        <w:t>consistent with the reduced risk profile of mature PPPs</w:t>
      </w:r>
    </w:p>
    <w:p w:rsidR="002C1123" w:rsidRDefault="00F22F94">
      <w:pPr>
        <w:pStyle w:val="BodyText"/>
        <w:spacing w:before="144" w:line="249" w:lineRule="auto"/>
        <w:ind w:left="202"/>
      </w:pPr>
      <w:r>
        <w:t>Government</w:t>
      </w:r>
      <w:r>
        <w:rPr>
          <w:spacing w:val="-9"/>
        </w:rPr>
        <w:t xml:space="preserve"> </w:t>
      </w:r>
      <w:r>
        <w:t>grants</w:t>
      </w:r>
      <w:r>
        <w:rPr>
          <w:spacing w:val="-9"/>
        </w:rPr>
        <w:t xml:space="preserve"> </w:t>
      </w:r>
      <w:r>
        <w:t>have</w:t>
      </w:r>
      <w:r>
        <w:rPr>
          <w:spacing w:val="-9"/>
        </w:rPr>
        <w:t xml:space="preserve"> </w:t>
      </w:r>
      <w:r>
        <w:t>been</w:t>
      </w:r>
      <w:r>
        <w:rPr>
          <w:spacing w:val="-9"/>
        </w:rPr>
        <w:t xml:space="preserve"> </w:t>
      </w:r>
      <w:r>
        <w:t>used</w:t>
      </w:r>
      <w:r>
        <w:rPr>
          <w:spacing w:val="-9"/>
        </w:rPr>
        <w:t xml:space="preserve"> </w:t>
      </w:r>
      <w:r>
        <w:t>on</w:t>
      </w:r>
      <w:r>
        <w:rPr>
          <w:spacing w:val="-9"/>
        </w:rPr>
        <w:t xml:space="preserve"> </w:t>
      </w:r>
      <w:r>
        <w:t xml:space="preserve">recent </w:t>
      </w:r>
      <w:r>
        <w:rPr>
          <w:w w:val="95"/>
        </w:rPr>
        <w:t>Queensland</w:t>
      </w:r>
      <w:r>
        <w:rPr>
          <w:spacing w:val="-6"/>
          <w:w w:val="95"/>
        </w:rPr>
        <w:t xml:space="preserve"> </w:t>
      </w:r>
      <w:r>
        <w:rPr>
          <w:w w:val="95"/>
        </w:rPr>
        <w:t>PPPs,</w:t>
      </w:r>
      <w:r>
        <w:rPr>
          <w:spacing w:val="-6"/>
          <w:w w:val="95"/>
        </w:rPr>
        <w:t xml:space="preserve"> </w:t>
      </w:r>
      <w:r>
        <w:rPr>
          <w:w w:val="95"/>
        </w:rPr>
        <w:t>while</w:t>
      </w:r>
      <w:r>
        <w:rPr>
          <w:spacing w:val="-6"/>
          <w:w w:val="95"/>
        </w:rPr>
        <w:t xml:space="preserve"> </w:t>
      </w:r>
      <w:r>
        <w:rPr>
          <w:w w:val="95"/>
        </w:rPr>
        <w:t>debt</w:t>
      </w:r>
      <w:r>
        <w:rPr>
          <w:spacing w:val="-6"/>
          <w:w w:val="95"/>
        </w:rPr>
        <w:t xml:space="preserve"> </w:t>
      </w:r>
      <w:r>
        <w:rPr>
          <w:w w:val="95"/>
        </w:rPr>
        <w:t>pay</w:t>
      </w:r>
      <w:r>
        <w:rPr>
          <w:spacing w:val="-6"/>
          <w:w w:val="95"/>
        </w:rPr>
        <w:t xml:space="preserve"> </w:t>
      </w:r>
      <w:r>
        <w:rPr>
          <w:w w:val="95"/>
        </w:rPr>
        <w:t>down</w:t>
      </w:r>
      <w:r>
        <w:rPr>
          <w:spacing w:val="-6"/>
          <w:w w:val="95"/>
        </w:rPr>
        <w:t xml:space="preserve"> </w:t>
      </w:r>
      <w:r>
        <w:rPr>
          <w:w w:val="95"/>
        </w:rPr>
        <w:t>is</w:t>
      </w:r>
      <w:r>
        <w:rPr>
          <w:spacing w:val="-6"/>
          <w:w w:val="95"/>
        </w:rPr>
        <w:t xml:space="preserve"> </w:t>
      </w:r>
      <w:r>
        <w:rPr>
          <w:w w:val="95"/>
        </w:rPr>
        <w:t>an</w:t>
      </w:r>
      <w:r>
        <w:rPr>
          <w:spacing w:val="-6"/>
          <w:w w:val="95"/>
        </w:rPr>
        <w:t xml:space="preserve"> </w:t>
      </w:r>
      <w:r>
        <w:rPr>
          <w:w w:val="95"/>
        </w:rPr>
        <w:t>option</w:t>
      </w:r>
      <w:r>
        <w:rPr>
          <w:spacing w:val="-6"/>
          <w:w w:val="95"/>
        </w:rPr>
        <w:t xml:space="preserve"> </w:t>
      </w:r>
      <w:r>
        <w:rPr>
          <w:w w:val="95"/>
        </w:rPr>
        <w:t xml:space="preserve">for </w:t>
      </w:r>
      <w:r>
        <w:t>the SICEEP project.</w:t>
      </w:r>
    </w:p>
    <w:p w:rsidR="002C1123" w:rsidRDefault="002C1123">
      <w:pPr>
        <w:pStyle w:val="BodyText"/>
        <w:spacing w:before="11"/>
        <w:rPr>
          <w:sz w:val="14"/>
        </w:rPr>
      </w:pPr>
    </w:p>
    <w:p w:rsidR="002C1123" w:rsidRDefault="002060EF">
      <w:pPr>
        <w:pStyle w:val="BodyText"/>
        <w:ind w:left="202" w:right="-72"/>
      </w:pPr>
      <w:r>
        <w:pict>
          <v:shape id="docshape2907" o:spid="_x0000_s5251" type="#_x0000_t202" style="width:240pt;height:57.35pt;mso-left-percent:-10001;mso-top-percent:-10001;mso-position-horizontal:absolute;mso-position-horizontal-relative:char;mso-position-vertical:absolute;mso-position-vertical-relative:line;mso-left-percent:-10001;mso-top-percent:-10001" fillcolor="#e1e0e1" stroked="f">
            <v:textbox inset="0,0,0,0">
              <w:txbxContent>
                <w:p w:rsidR="00F22F94" w:rsidRDefault="00F22F94">
                  <w:pPr>
                    <w:pStyle w:val="BodyText"/>
                    <w:spacing w:before="68" w:line="249" w:lineRule="auto"/>
                    <w:ind w:left="113"/>
                    <w:rPr>
                      <w:color w:val="000000"/>
                    </w:rPr>
                  </w:pPr>
                  <w:r>
                    <w:rPr>
                      <w:b/>
                      <w:color w:val="00AEEF"/>
                    </w:rPr>
                    <w:t>Recommendation</w:t>
                  </w:r>
                  <w:r>
                    <w:rPr>
                      <w:b/>
                      <w:color w:val="00AEEF"/>
                      <w:spacing w:val="22"/>
                    </w:rPr>
                    <w:t xml:space="preserve"> </w:t>
                  </w:r>
                  <w:r>
                    <w:rPr>
                      <w:color w:val="000000"/>
                    </w:rPr>
                    <w:t>The</w:t>
                  </w:r>
                  <w:r>
                    <w:rPr>
                      <w:color w:val="000000"/>
                      <w:spacing w:val="-14"/>
                    </w:rPr>
                    <w:t xml:space="preserve"> </w:t>
                  </w:r>
                  <w:r>
                    <w:rPr>
                      <w:color w:val="000000"/>
                    </w:rPr>
                    <w:t>current</w:t>
                  </w:r>
                  <w:r>
                    <w:rPr>
                      <w:color w:val="000000"/>
                      <w:spacing w:val="-14"/>
                    </w:rPr>
                    <w:t xml:space="preserve"> </w:t>
                  </w:r>
                  <w:r>
                    <w:rPr>
                      <w:color w:val="000000"/>
                    </w:rPr>
                    <w:t>differential</w:t>
                  </w:r>
                  <w:r>
                    <w:rPr>
                      <w:color w:val="000000"/>
                      <w:spacing w:val="-14"/>
                    </w:rPr>
                    <w:t xml:space="preserve"> </w:t>
                  </w:r>
                  <w:r>
                    <w:rPr>
                      <w:color w:val="000000"/>
                    </w:rPr>
                    <w:t xml:space="preserve">between </w:t>
                  </w:r>
                  <w:r>
                    <w:rPr>
                      <w:color w:val="000000"/>
                      <w:w w:val="95"/>
                    </w:rPr>
                    <w:t>public</w:t>
                  </w:r>
                  <w:r>
                    <w:rPr>
                      <w:color w:val="000000"/>
                      <w:spacing w:val="-5"/>
                      <w:w w:val="95"/>
                    </w:rPr>
                    <w:t xml:space="preserve"> </w:t>
                  </w:r>
                  <w:r>
                    <w:rPr>
                      <w:color w:val="000000"/>
                      <w:w w:val="95"/>
                    </w:rPr>
                    <w:t>and</w:t>
                  </w:r>
                  <w:r>
                    <w:rPr>
                      <w:color w:val="000000"/>
                      <w:spacing w:val="-5"/>
                      <w:w w:val="95"/>
                    </w:rPr>
                    <w:t xml:space="preserve"> </w:t>
                  </w:r>
                  <w:r>
                    <w:rPr>
                      <w:color w:val="000000"/>
                      <w:w w:val="95"/>
                    </w:rPr>
                    <w:t>private</w:t>
                  </w:r>
                  <w:r>
                    <w:rPr>
                      <w:color w:val="000000"/>
                      <w:spacing w:val="-5"/>
                      <w:w w:val="95"/>
                    </w:rPr>
                    <w:t xml:space="preserve"> </w:t>
                  </w:r>
                  <w:r>
                    <w:rPr>
                      <w:color w:val="000000"/>
                      <w:w w:val="95"/>
                    </w:rPr>
                    <w:t>cost</w:t>
                  </w:r>
                  <w:r>
                    <w:rPr>
                      <w:color w:val="000000"/>
                      <w:spacing w:val="-5"/>
                      <w:w w:val="95"/>
                    </w:rPr>
                    <w:t xml:space="preserve"> </w:t>
                  </w:r>
                  <w:r>
                    <w:rPr>
                      <w:color w:val="000000"/>
                      <w:w w:val="95"/>
                    </w:rPr>
                    <w:t>of</w:t>
                  </w:r>
                  <w:r>
                    <w:rPr>
                      <w:color w:val="000000"/>
                      <w:spacing w:val="-5"/>
                      <w:w w:val="95"/>
                    </w:rPr>
                    <w:t xml:space="preserve"> </w:t>
                  </w:r>
                  <w:r>
                    <w:rPr>
                      <w:color w:val="000000"/>
                      <w:w w:val="95"/>
                    </w:rPr>
                    <w:t>capital,</w:t>
                  </w:r>
                  <w:r>
                    <w:rPr>
                      <w:color w:val="000000"/>
                      <w:spacing w:val="-5"/>
                      <w:w w:val="95"/>
                    </w:rPr>
                    <w:t xml:space="preserve"> </w:t>
                  </w:r>
                  <w:r>
                    <w:rPr>
                      <w:color w:val="000000"/>
                      <w:w w:val="95"/>
                    </w:rPr>
                    <w:t>if</w:t>
                  </w:r>
                  <w:r>
                    <w:rPr>
                      <w:color w:val="000000"/>
                      <w:spacing w:val="-5"/>
                      <w:w w:val="95"/>
                    </w:rPr>
                    <w:t xml:space="preserve"> </w:t>
                  </w:r>
                  <w:r>
                    <w:rPr>
                      <w:color w:val="000000"/>
                      <w:w w:val="95"/>
                    </w:rPr>
                    <w:t>sustained,</w:t>
                  </w:r>
                  <w:r>
                    <w:rPr>
                      <w:color w:val="000000"/>
                      <w:spacing w:val="-5"/>
                      <w:w w:val="95"/>
                    </w:rPr>
                    <w:t xml:space="preserve"> </w:t>
                  </w:r>
                  <w:r>
                    <w:rPr>
                      <w:color w:val="000000"/>
                      <w:w w:val="95"/>
                    </w:rPr>
                    <w:t xml:space="preserve">requires </w:t>
                  </w:r>
                  <w:r>
                    <w:rPr>
                      <w:color w:val="000000"/>
                    </w:rPr>
                    <w:t>an evolution of the PPP model to ensure value for money for Government.</w:t>
                  </w:r>
                </w:p>
              </w:txbxContent>
            </v:textbox>
            <w10:anchorlock/>
          </v:shape>
        </w:pict>
      </w:r>
    </w:p>
    <w:p w:rsidR="002C1123" w:rsidRDefault="002C1123">
      <w:pPr>
        <w:pStyle w:val="BodyText"/>
        <w:spacing w:before="2"/>
      </w:pPr>
    </w:p>
    <w:p w:rsidR="002C1123" w:rsidRDefault="00F22F94">
      <w:pPr>
        <w:pStyle w:val="Heading6"/>
        <w:numPr>
          <w:ilvl w:val="2"/>
          <w:numId w:val="24"/>
        </w:numPr>
        <w:tabs>
          <w:tab w:val="left" w:pos="798"/>
        </w:tabs>
        <w:spacing w:before="0"/>
        <w:ind w:left="797" w:hanging="596"/>
        <w:jc w:val="left"/>
      </w:pPr>
      <w:r>
        <w:rPr>
          <w:color w:val="00AEEF"/>
          <w:w w:val="95"/>
        </w:rPr>
        <w:t>Risk</w:t>
      </w:r>
      <w:r>
        <w:rPr>
          <w:color w:val="00AEEF"/>
          <w:spacing w:val="-2"/>
        </w:rPr>
        <w:t xml:space="preserve"> Allocation</w:t>
      </w:r>
    </w:p>
    <w:p w:rsidR="002C1123" w:rsidRDefault="00F22F94">
      <w:pPr>
        <w:pStyle w:val="BodyText"/>
        <w:spacing w:before="95" w:line="249" w:lineRule="auto"/>
        <w:ind w:left="202" w:right="20"/>
      </w:pPr>
      <w:r>
        <w:rPr>
          <w:w w:val="95"/>
        </w:rPr>
        <w:t>In</w:t>
      </w:r>
      <w:r>
        <w:rPr>
          <w:spacing w:val="-7"/>
          <w:w w:val="95"/>
        </w:rPr>
        <w:t xml:space="preserve"> </w:t>
      </w:r>
      <w:r>
        <w:rPr>
          <w:w w:val="95"/>
        </w:rPr>
        <w:t>most</w:t>
      </w:r>
      <w:r>
        <w:rPr>
          <w:spacing w:val="-7"/>
          <w:w w:val="95"/>
        </w:rPr>
        <w:t xml:space="preserve"> </w:t>
      </w:r>
      <w:r>
        <w:rPr>
          <w:w w:val="95"/>
        </w:rPr>
        <w:t>infrastructure</w:t>
      </w:r>
      <w:r>
        <w:rPr>
          <w:spacing w:val="-7"/>
          <w:w w:val="95"/>
        </w:rPr>
        <w:t xml:space="preserve"> </w:t>
      </w:r>
      <w:r>
        <w:rPr>
          <w:w w:val="95"/>
        </w:rPr>
        <w:t>PPPs,</w:t>
      </w:r>
      <w:r>
        <w:rPr>
          <w:spacing w:val="-7"/>
          <w:w w:val="95"/>
        </w:rPr>
        <w:t xml:space="preserve"> </w:t>
      </w:r>
      <w:r>
        <w:rPr>
          <w:w w:val="95"/>
        </w:rPr>
        <w:t>demand</w:t>
      </w:r>
      <w:r>
        <w:rPr>
          <w:spacing w:val="-7"/>
          <w:w w:val="95"/>
        </w:rPr>
        <w:t xml:space="preserve"> </w:t>
      </w:r>
      <w:r>
        <w:rPr>
          <w:w w:val="95"/>
        </w:rPr>
        <w:t>risk</w:t>
      </w:r>
      <w:r>
        <w:rPr>
          <w:spacing w:val="-7"/>
          <w:w w:val="95"/>
        </w:rPr>
        <w:t xml:space="preserve"> </w:t>
      </w:r>
      <w:r>
        <w:rPr>
          <w:w w:val="95"/>
        </w:rPr>
        <w:t>is</w:t>
      </w:r>
      <w:r>
        <w:rPr>
          <w:spacing w:val="-7"/>
          <w:w w:val="95"/>
        </w:rPr>
        <w:t xml:space="preserve"> </w:t>
      </w:r>
      <w:r>
        <w:rPr>
          <w:w w:val="95"/>
        </w:rPr>
        <w:t>retained</w:t>
      </w:r>
      <w:r>
        <w:rPr>
          <w:spacing w:val="-7"/>
          <w:w w:val="95"/>
        </w:rPr>
        <w:t xml:space="preserve"> </w:t>
      </w:r>
      <w:r>
        <w:rPr>
          <w:w w:val="95"/>
        </w:rPr>
        <w:t xml:space="preserve">by </w:t>
      </w:r>
      <w:r>
        <w:t>the</w:t>
      </w:r>
      <w:r>
        <w:rPr>
          <w:spacing w:val="-10"/>
        </w:rPr>
        <w:t xml:space="preserve"> </w:t>
      </w:r>
      <w:r>
        <w:t>public</w:t>
      </w:r>
      <w:r>
        <w:rPr>
          <w:spacing w:val="-10"/>
        </w:rPr>
        <w:t xml:space="preserve"> </w:t>
      </w:r>
      <w:r>
        <w:t>sector</w:t>
      </w:r>
      <w:r>
        <w:rPr>
          <w:spacing w:val="-10"/>
        </w:rPr>
        <w:t xml:space="preserve"> </w:t>
      </w:r>
      <w:r>
        <w:t>through</w:t>
      </w:r>
      <w:r>
        <w:rPr>
          <w:spacing w:val="-10"/>
        </w:rPr>
        <w:t xml:space="preserve"> </w:t>
      </w:r>
      <w:r>
        <w:t>availability-based</w:t>
      </w:r>
      <w:r>
        <w:rPr>
          <w:spacing w:val="-10"/>
        </w:rPr>
        <w:t xml:space="preserve"> </w:t>
      </w:r>
      <w:r>
        <w:t>payment mechanisms.</w:t>
      </w:r>
      <w:r>
        <w:rPr>
          <w:spacing w:val="-12"/>
        </w:rPr>
        <w:t xml:space="preserve"> </w:t>
      </w:r>
      <w:r>
        <w:t>The</w:t>
      </w:r>
      <w:r>
        <w:rPr>
          <w:spacing w:val="-12"/>
        </w:rPr>
        <w:t xml:space="preserve"> </w:t>
      </w:r>
      <w:r>
        <w:t>major</w:t>
      </w:r>
      <w:r>
        <w:rPr>
          <w:spacing w:val="-12"/>
        </w:rPr>
        <w:t xml:space="preserve"> </w:t>
      </w:r>
      <w:r>
        <w:t>exception</w:t>
      </w:r>
      <w:r>
        <w:rPr>
          <w:spacing w:val="-12"/>
        </w:rPr>
        <w:t xml:space="preserve"> </w:t>
      </w:r>
      <w:r>
        <w:t>has</w:t>
      </w:r>
      <w:r>
        <w:rPr>
          <w:spacing w:val="-12"/>
        </w:rPr>
        <w:t xml:space="preserve"> </w:t>
      </w:r>
      <w:r>
        <w:t>been</w:t>
      </w:r>
      <w:r>
        <w:rPr>
          <w:spacing w:val="-12"/>
        </w:rPr>
        <w:t xml:space="preserve"> </w:t>
      </w:r>
      <w:r>
        <w:t>in</w:t>
      </w:r>
      <w:r>
        <w:rPr>
          <w:spacing w:val="-12"/>
        </w:rPr>
        <w:t xml:space="preserve"> </w:t>
      </w:r>
      <w:r>
        <w:t xml:space="preserve">the </w:t>
      </w:r>
      <w:r>
        <w:rPr>
          <w:spacing w:val="-2"/>
        </w:rPr>
        <w:t>road</w:t>
      </w:r>
      <w:r>
        <w:rPr>
          <w:spacing w:val="-9"/>
        </w:rPr>
        <w:t xml:space="preserve"> </w:t>
      </w:r>
      <w:r>
        <w:rPr>
          <w:spacing w:val="-2"/>
        </w:rPr>
        <w:t>sector,</w:t>
      </w:r>
      <w:r>
        <w:rPr>
          <w:spacing w:val="-9"/>
        </w:rPr>
        <w:t xml:space="preserve"> </w:t>
      </w:r>
      <w:r>
        <w:rPr>
          <w:spacing w:val="-2"/>
        </w:rPr>
        <w:t>where</w:t>
      </w:r>
      <w:r>
        <w:rPr>
          <w:spacing w:val="-9"/>
        </w:rPr>
        <w:t xml:space="preserve"> </w:t>
      </w:r>
      <w:r>
        <w:rPr>
          <w:spacing w:val="-2"/>
        </w:rPr>
        <w:t>full</w:t>
      </w:r>
      <w:r>
        <w:rPr>
          <w:spacing w:val="-9"/>
        </w:rPr>
        <w:t xml:space="preserve"> </w:t>
      </w:r>
      <w:r>
        <w:rPr>
          <w:spacing w:val="-2"/>
        </w:rPr>
        <w:t>traffic</w:t>
      </w:r>
      <w:r>
        <w:rPr>
          <w:spacing w:val="-9"/>
        </w:rPr>
        <w:t xml:space="preserve"> </w:t>
      </w:r>
      <w:r>
        <w:rPr>
          <w:spacing w:val="-2"/>
        </w:rPr>
        <w:t>risk</w:t>
      </w:r>
      <w:r>
        <w:rPr>
          <w:spacing w:val="-9"/>
        </w:rPr>
        <w:t xml:space="preserve"> </w:t>
      </w:r>
      <w:r>
        <w:rPr>
          <w:spacing w:val="-2"/>
        </w:rPr>
        <w:t>has</w:t>
      </w:r>
      <w:r>
        <w:rPr>
          <w:spacing w:val="-9"/>
        </w:rPr>
        <w:t xml:space="preserve"> </w:t>
      </w:r>
      <w:r>
        <w:rPr>
          <w:spacing w:val="-2"/>
        </w:rPr>
        <w:t>historically</w:t>
      </w:r>
      <w:r>
        <w:rPr>
          <w:spacing w:val="-9"/>
        </w:rPr>
        <w:t xml:space="preserve"> </w:t>
      </w:r>
      <w:r>
        <w:rPr>
          <w:spacing w:val="-2"/>
        </w:rPr>
        <w:t>been</w:t>
      </w:r>
    </w:p>
    <w:p w:rsidR="002C1123" w:rsidRDefault="00F22F94">
      <w:pPr>
        <w:pStyle w:val="BodyText"/>
        <w:spacing w:before="3" w:line="249" w:lineRule="auto"/>
        <w:ind w:left="202"/>
      </w:pPr>
      <w:r>
        <w:rPr>
          <w:w w:val="95"/>
        </w:rPr>
        <w:t>passed</w:t>
      </w:r>
      <w:r>
        <w:rPr>
          <w:spacing w:val="-12"/>
          <w:w w:val="95"/>
        </w:rPr>
        <w:t xml:space="preserve"> </w:t>
      </w:r>
      <w:r>
        <w:rPr>
          <w:w w:val="95"/>
        </w:rPr>
        <w:t>to</w:t>
      </w:r>
      <w:r>
        <w:rPr>
          <w:spacing w:val="-11"/>
          <w:w w:val="95"/>
        </w:rPr>
        <w:t xml:space="preserve"> </w:t>
      </w:r>
      <w:r>
        <w:rPr>
          <w:w w:val="95"/>
        </w:rPr>
        <w:t>the</w:t>
      </w:r>
      <w:r>
        <w:rPr>
          <w:spacing w:val="-11"/>
          <w:w w:val="95"/>
        </w:rPr>
        <w:t xml:space="preserve"> </w:t>
      </w:r>
      <w:r>
        <w:rPr>
          <w:w w:val="95"/>
        </w:rPr>
        <w:t>private</w:t>
      </w:r>
      <w:r>
        <w:rPr>
          <w:spacing w:val="-11"/>
          <w:w w:val="95"/>
        </w:rPr>
        <w:t xml:space="preserve"> </w:t>
      </w:r>
      <w:r>
        <w:rPr>
          <w:w w:val="95"/>
        </w:rPr>
        <w:t>sector.</w:t>
      </w:r>
      <w:r>
        <w:rPr>
          <w:spacing w:val="-11"/>
          <w:w w:val="95"/>
        </w:rPr>
        <w:t xml:space="preserve"> </w:t>
      </w:r>
      <w:r>
        <w:rPr>
          <w:w w:val="95"/>
        </w:rPr>
        <w:t>However</w:t>
      </w:r>
      <w:r>
        <w:rPr>
          <w:spacing w:val="-11"/>
          <w:w w:val="95"/>
        </w:rPr>
        <w:t xml:space="preserve"> </w:t>
      </w:r>
      <w:r>
        <w:rPr>
          <w:w w:val="95"/>
        </w:rPr>
        <w:t>the</w:t>
      </w:r>
      <w:r>
        <w:rPr>
          <w:spacing w:val="-11"/>
          <w:w w:val="95"/>
        </w:rPr>
        <w:t xml:space="preserve"> </w:t>
      </w:r>
      <w:r>
        <w:rPr>
          <w:w w:val="95"/>
        </w:rPr>
        <w:t>financial</w:t>
      </w:r>
      <w:r>
        <w:rPr>
          <w:spacing w:val="-11"/>
          <w:w w:val="95"/>
        </w:rPr>
        <w:t xml:space="preserve"> </w:t>
      </w:r>
      <w:r>
        <w:rPr>
          <w:w w:val="95"/>
        </w:rPr>
        <w:t xml:space="preserve">failure </w:t>
      </w:r>
      <w:r>
        <w:t>of</w:t>
      </w:r>
      <w:r>
        <w:rPr>
          <w:spacing w:val="-14"/>
        </w:rPr>
        <w:t xml:space="preserve"> </w:t>
      </w:r>
      <w:r>
        <w:t>the</w:t>
      </w:r>
      <w:r>
        <w:rPr>
          <w:spacing w:val="-14"/>
        </w:rPr>
        <w:t xml:space="preserve"> </w:t>
      </w:r>
      <w:r>
        <w:t>last</w:t>
      </w:r>
      <w:r>
        <w:rPr>
          <w:spacing w:val="-14"/>
        </w:rPr>
        <w:t xml:space="preserve"> </w:t>
      </w:r>
      <w:r>
        <w:t>four</w:t>
      </w:r>
      <w:r>
        <w:rPr>
          <w:spacing w:val="-14"/>
        </w:rPr>
        <w:t xml:space="preserve"> </w:t>
      </w:r>
      <w:r>
        <w:t>tollroad</w:t>
      </w:r>
      <w:r>
        <w:rPr>
          <w:spacing w:val="-14"/>
        </w:rPr>
        <w:t xml:space="preserve"> </w:t>
      </w:r>
      <w:r>
        <w:t>projects</w:t>
      </w:r>
      <w:r>
        <w:rPr>
          <w:spacing w:val="-14"/>
        </w:rPr>
        <w:t xml:space="preserve"> </w:t>
      </w:r>
      <w:r>
        <w:t>in</w:t>
      </w:r>
      <w:r>
        <w:rPr>
          <w:spacing w:val="-14"/>
        </w:rPr>
        <w:t xml:space="preserve"> </w:t>
      </w:r>
      <w:r>
        <w:t>Australia</w:t>
      </w:r>
      <w:r>
        <w:rPr>
          <w:spacing w:val="-14"/>
        </w:rPr>
        <w:t xml:space="preserve"> </w:t>
      </w:r>
      <w:r>
        <w:t>(Cross</w:t>
      </w:r>
      <w:r>
        <w:rPr>
          <w:spacing w:val="-14"/>
        </w:rPr>
        <w:t xml:space="preserve"> </w:t>
      </w:r>
      <w:r>
        <w:t xml:space="preserve">City </w:t>
      </w:r>
      <w:r>
        <w:rPr>
          <w:w w:val="95"/>
        </w:rPr>
        <w:t>Tunnel,</w:t>
      </w:r>
      <w:r>
        <w:rPr>
          <w:spacing w:val="-2"/>
          <w:w w:val="95"/>
        </w:rPr>
        <w:t xml:space="preserve"> </w:t>
      </w:r>
      <w:r>
        <w:rPr>
          <w:w w:val="95"/>
        </w:rPr>
        <w:t>Lane</w:t>
      </w:r>
      <w:r>
        <w:rPr>
          <w:spacing w:val="-2"/>
          <w:w w:val="95"/>
        </w:rPr>
        <w:t xml:space="preserve"> </w:t>
      </w:r>
      <w:r>
        <w:rPr>
          <w:w w:val="95"/>
        </w:rPr>
        <w:t>Cove</w:t>
      </w:r>
      <w:r>
        <w:rPr>
          <w:spacing w:val="-2"/>
          <w:w w:val="95"/>
        </w:rPr>
        <w:t xml:space="preserve"> </w:t>
      </w:r>
      <w:r>
        <w:rPr>
          <w:w w:val="95"/>
        </w:rPr>
        <w:t>Tunnel,</w:t>
      </w:r>
      <w:r>
        <w:rPr>
          <w:spacing w:val="-2"/>
          <w:w w:val="95"/>
        </w:rPr>
        <w:t xml:space="preserve"> </w:t>
      </w:r>
      <w:r>
        <w:rPr>
          <w:w w:val="95"/>
        </w:rPr>
        <w:t>Clem</w:t>
      </w:r>
      <w:r>
        <w:rPr>
          <w:spacing w:val="-3"/>
          <w:w w:val="95"/>
        </w:rPr>
        <w:t xml:space="preserve"> </w:t>
      </w:r>
      <w:r>
        <w:rPr>
          <w:w w:val="95"/>
        </w:rPr>
        <w:t>7</w:t>
      </w:r>
      <w:r>
        <w:rPr>
          <w:spacing w:val="-2"/>
          <w:w w:val="95"/>
        </w:rPr>
        <w:t xml:space="preserve"> </w:t>
      </w:r>
      <w:r>
        <w:rPr>
          <w:w w:val="95"/>
        </w:rPr>
        <w:t>and</w:t>
      </w:r>
      <w:r>
        <w:rPr>
          <w:spacing w:val="-2"/>
          <w:w w:val="95"/>
        </w:rPr>
        <w:t xml:space="preserve"> </w:t>
      </w:r>
      <w:r>
        <w:rPr>
          <w:w w:val="95"/>
        </w:rPr>
        <w:t>Airport</w:t>
      </w:r>
      <w:r>
        <w:rPr>
          <w:spacing w:val="-2"/>
          <w:w w:val="95"/>
        </w:rPr>
        <w:t xml:space="preserve"> </w:t>
      </w:r>
      <w:r>
        <w:rPr>
          <w:w w:val="95"/>
        </w:rPr>
        <w:t>Link)</w:t>
      </w:r>
      <w:r>
        <w:rPr>
          <w:spacing w:val="-2"/>
          <w:w w:val="95"/>
        </w:rPr>
        <w:t xml:space="preserve"> </w:t>
      </w:r>
      <w:r>
        <w:rPr>
          <w:w w:val="95"/>
        </w:rPr>
        <w:t>has</w:t>
      </w:r>
    </w:p>
    <w:p w:rsidR="002C1123" w:rsidRDefault="00F22F94">
      <w:pPr>
        <w:pStyle w:val="BodyText"/>
        <w:spacing w:before="106" w:line="249" w:lineRule="auto"/>
        <w:ind w:left="209" w:right="930"/>
      </w:pPr>
      <w:r>
        <w:br w:type="column"/>
      </w:r>
      <w:r>
        <w:rPr>
          <w:w w:val="95"/>
        </w:rPr>
        <w:t>significantly</w:t>
      </w:r>
      <w:r>
        <w:rPr>
          <w:spacing w:val="-7"/>
          <w:w w:val="95"/>
        </w:rPr>
        <w:t xml:space="preserve"> </w:t>
      </w:r>
      <w:r>
        <w:rPr>
          <w:w w:val="95"/>
        </w:rPr>
        <w:t>eroded</w:t>
      </w:r>
      <w:r>
        <w:rPr>
          <w:spacing w:val="-7"/>
          <w:w w:val="95"/>
        </w:rPr>
        <w:t xml:space="preserve"> </w:t>
      </w:r>
      <w:r>
        <w:rPr>
          <w:w w:val="95"/>
        </w:rPr>
        <w:t>investor</w:t>
      </w:r>
      <w:r>
        <w:rPr>
          <w:spacing w:val="-7"/>
          <w:w w:val="95"/>
        </w:rPr>
        <w:t xml:space="preserve"> </w:t>
      </w:r>
      <w:r>
        <w:rPr>
          <w:w w:val="95"/>
        </w:rPr>
        <w:t>confidence</w:t>
      </w:r>
      <w:r>
        <w:rPr>
          <w:spacing w:val="-7"/>
          <w:w w:val="95"/>
        </w:rPr>
        <w:t xml:space="preserve"> </w:t>
      </w:r>
      <w:r>
        <w:rPr>
          <w:w w:val="95"/>
        </w:rPr>
        <w:t>in</w:t>
      </w:r>
      <w:r>
        <w:rPr>
          <w:spacing w:val="-7"/>
          <w:w w:val="95"/>
        </w:rPr>
        <w:t xml:space="preserve"> </w:t>
      </w:r>
      <w:r>
        <w:rPr>
          <w:w w:val="95"/>
        </w:rPr>
        <w:t xml:space="preserve">greenfields </w:t>
      </w:r>
      <w:r>
        <w:rPr>
          <w:spacing w:val="-2"/>
        </w:rPr>
        <w:t>tollroads.</w:t>
      </w:r>
    </w:p>
    <w:p w:rsidR="002C1123" w:rsidRDefault="00F22F94">
      <w:pPr>
        <w:pStyle w:val="BodyText"/>
        <w:spacing w:before="143" w:line="249" w:lineRule="auto"/>
        <w:ind w:left="209" w:right="930"/>
      </w:pPr>
      <w:r>
        <w:t>In</w:t>
      </w:r>
      <w:r>
        <w:rPr>
          <w:spacing w:val="-12"/>
        </w:rPr>
        <w:t xml:space="preserve"> </w:t>
      </w:r>
      <w:r>
        <w:t>order</w:t>
      </w:r>
      <w:r>
        <w:rPr>
          <w:spacing w:val="-12"/>
        </w:rPr>
        <w:t xml:space="preserve"> </w:t>
      </w:r>
      <w:r>
        <w:t>to</w:t>
      </w:r>
      <w:r>
        <w:rPr>
          <w:spacing w:val="-12"/>
        </w:rPr>
        <w:t xml:space="preserve"> </w:t>
      </w:r>
      <w:r>
        <w:t>promote</w:t>
      </w:r>
      <w:r>
        <w:rPr>
          <w:spacing w:val="-12"/>
        </w:rPr>
        <w:t xml:space="preserve"> </w:t>
      </w:r>
      <w:r>
        <w:t>new</w:t>
      </w:r>
      <w:r>
        <w:rPr>
          <w:spacing w:val="-12"/>
        </w:rPr>
        <w:t xml:space="preserve"> </w:t>
      </w:r>
      <w:r>
        <w:t>greenfields</w:t>
      </w:r>
      <w:r>
        <w:rPr>
          <w:spacing w:val="-12"/>
        </w:rPr>
        <w:t xml:space="preserve"> </w:t>
      </w:r>
      <w:r>
        <w:t>tollroads,</w:t>
      </w:r>
      <w:r>
        <w:rPr>
          <w:spacing w:val="-12"/>
        </w:rPr>
        <w:t xml:space="preserve"> </w:t>
      </w:r>
      <w:r>
        <w:t>it</w:t>
      </w:r>
      <w:r>
        <w:rPr>
          <w:spacing w:val="-12"/>
        </w:rPr>
        <w:t xml:space="preserve"> </w:t>
      </w:r>
      <w:r>
        <w:t xml:space="preserve">is </w:t>
      </w:r>
      <w:r>
        <w:rPr>
          <w:w w:val="95"/>
        </w:rPr>
        <w:t>likely that the NSW Government will need to respond to</w:t>
      </w:r>
      <w:r>
        <w:rPr>
          <w:spacing w:val="-1"/>
          <w:w w:val="95"/>
        </w:rPr>
        <w:t xml:space="preserve"> </w:t>
      </w:r>
      <w:r>
        <w:rPr>
          <w:w w:val="95"/>
        </w:rPr>
        <w:t>market</w:t>
      </w:r>
      <w:r>
        <w:rPr>
          <w:spacing w:val="-1"/>
          <w:w w:val="95"/>
        </w:rPr>
        <w:t xml:space="preserve"> </w:t>
      </w:r>
      <w:r>
        <w:rPr>
          <w:w w:val="95"/>
        </w:rPr>
        <w:t>conditions</w:t>
      </w:r>
      <w:r>
        <w:rPr>
          <w:spacing w:val="-1"/>
          <w:w w:val="95"/>
        </w:rPr>
        <w:t xml:space="preserve"> </w:t>
      </w:r>
      <w:r>
        <w:rPr>
          <w:w w:val="95"/>
        </w:rPr>
        <w:t>and</w:t>
      </w:r>
      <w:r>
        <w:rPr>
          <w:spacing w:val="-1"/>
          <w:w w:val="95"/>
        </w:rPr>
        <w:t xml:space="preserve"> </w:t>
      </w:r>
      <w:r>
        <w:rPr>
          <w:w w:val="95"/>
        </w:rPr>
        <w:t>reconsider</w:t>
      </w:r>
      <w:r>
        <w:rPr>
          <w:spacing w:val="-1"/>
          <w:w w:val="95"/>
        </w:rPr>
        <w:t xml:space="preserve"> </w:t>
      </w:r>
      <w:r>
        <w:rPr>
          <w:w w:val="95"/>
        </w:rPr>
        <w:t>risk</w:t>
      </w:r>
      <w:r>
        <w:rPr>
          <w:spacing w:val="-1"/>
          <w:w w:val="95"/>
        </w:rPr>
        <w:t xml:space="preserve"> </w:t>
      </w:r>
      <w:r>
        <w:rPr>
          <w:w w:val="95"/>
        </w:rPr>
        <w:t>allocation</w:t>
      </w:r>
      <w:r>
        <w:rPr>
          <w:spacing w:val="-1"/>
          <w:w w:val="95"/>
        </w:rPr>
        <w:t xml:space="preserve"> </w:t>
      </w:r>
      <w:r>
        <w:rPr>
          <w:w w:val="95"/>
        </w:rPr>
        <w:t xml:space="preserve">on </w:t>
      </w:r>
      <w:r>
        <w:t>traffic</w:t>
      </w:r>
      <w:r>
        <w:rPr>
          <w:spacing w:val="-11"/>
        </w:rPr>
        <w:t xml:space="preserve"> </w:t>
      </w:r>
      <w:r>
        <w:t>demand.</w:t>
      </w:r>
    </w:p>
    <w:p w:rsidR="002C1123" w:rsidRDefault="00F22F94">
      <w:pPr>
        <w:pStyle w:val="BodyText"/>
        <w:spacing w:before="145" w:line="249" w:lineRule="auto"/>
        <w:ind w:left="209" w:right="671"/>
      </w:pPr>
      <w:r>
        <w:t>At</w:t>
      </w:r>
      <w:r>
        <w:rPr>
          <w:spacing w:val="-12"/>
        </w:rPr>
        <w:t xml:space="preserve"> </w:t>
      </w:r>
      <w:r>
        <w:t>one</w:t>
      </w:r>
      <w:r>
        <w:rPr>
          <w:spacing w:val="-12"/>
        </w:rPr>
        <w:t xml:space="preserve"> </w:t>
      </w:r>
      <w:r>
        <w:t>extreme,</w:t>
      </w:r>
      <w:r>
        <w:rPr>
          <w:spacing w:val="-12"/>
        </w:rPr>
        <w:t xml:space="preserve"> </w:t>
      </w:r>
      <w:r>
        <w:t>the</w:t>
      </w:r>
      <w:r>
        <w:rPr>
          <w:spacing w:val="-12"/>
        </w:rPr>
        <w:t xml:space="preserve"> </w:t>
      </w:r>
      <w:r>
        <w:t>State</w:t>
      </w:r>
      <w:r>
        <w:rPr>
          <w:spacing w:val="-12"/>
        </w:rPr>
        <w:t xml:space="preserve"> </w:t>
      </w:r>
      <w:r>
        <w:t>could</w:t>
      </w:r>
      <w:r>
        <w:rPr>
          <w:spacing w:val="-12"/>
        </w:rPr>
        <w:t xml:space="preserve"> </w:t>
      </w:r>
      <w:r>
        <w:t>wholly</w:t>
      </w:r>
      <w:r>
        <w:rPr>
          <w:spacing w:val="-12"/>
        </w:rPr>
        <w:t xml:space="preserve"> </w:t>
      </w:r>
      <w:r>
        <w:t>retain</w:t>
      </w:r>
      <w:r>
        <w:rPr>
          <w:spacing w:val="-12"/>
        </w:rPr>
        <w:t xml:space="preserve"> </w:t>
      </w:r>
      <w:r>
        <w:t xml:space="preserve">demand </w:t>
      </w:r>
      <w:r>
        <w:rPr>
          <w:w w:val="95"/>
        </w:rPr>
        <w:t>risk, and tender an availability-based PPP. Other options include</w:t>
      </w:r>
      <w:r>
        <w:rPr>
          <w:spacing w:val="-9"/>
          <w:w w:val="95"/>
        </w:rPr>
        <w:t xml:space="preserve"> </w:t>
      </w:r>
      <w:r>
        <w:rPr>
          <w:w w:val="95"/>
        </w:rPr>
        <w:t>a</w:t>
      </w:r>
      <w:r>
        <w:rPr>
          <w:spacing w:val="-9"/>
          <w:w w:val="95"/>
        </w:rPr>
        <w:t xml:space="preserve"> </w:t>
      </w:r>
      <w:r>
        <w:rPr>
          <w:w w:val="95"/>
        </w:rPr>
        <w:t>sharing</w:t>
      </w:r>
      <w:r>
        <w:rPr>
          <w:spacing w:val="-9"/>
          <w:w w:val="95"/>
        </w:rPr>
        <w:t xml:space="preserve"> </w:t>
      </w:r>
      <w:r>
        <w:rPr>
          <w:w w:val="95"/>
        </w:rPr>
        <w:t>of</w:t>
      </w:r>
      <w:r>
        <w:rPr>
          <w:spacing w:val="-9"/>
          <w:w w:val="95"/>
        </w:rPr>
        <w:t xml:space="preserve"> </w:t>
      </w:r>
      <w:r>
        <w:rPr>
          <w:w w:val="95"/>
        </w:rPr>
        <w:t>traffic</w:t>
      </w:r>
      <w:r>
        <w:rPr>
          <w:spacing w:val="-9"/>
          <w:w w:val="95"/>
        </w:rPr>
        <w:t xml:space="preserve"> </w:t>
      </w:r>
      <w:r>
        <w:rPr>
          <w:w w:val="95"/>
        </w:rPr>
        <w:t>risks.</w:t>
      </w:r>
      <w:r>
        <w:rPr>
          <w:spacing w:val="-9"/>
          <w:w w:val="95"/>
        </w:rPr>
        <w:t xml:space="preserve"> </w:t>
      </w:r>
      <w:r>
        <w:rPr>
          <w:w w:val="95"/>
        </w:rPr>
        <w:t>This</w:t>
      </w:r>
      <w:r>
        <w:rPr>
          <w:spacing w:val="-9"/>
          <w:w w:val="95"/>
        </w:rPr>
        <w:t xml:space="preserve"> </w:t>
      </w:r>
      <w:r>
        <w:rPr>
          <w:w w:val="95"/>
        </w:rPr>
        <w:t>may</w:t>
      </w:r>
      <w:r>
        <w:rPr>
          <w:spacing w:val="-9"/>
          <w:w w:val="95"/>
        </w:rPr>
        <w:t xml:space="preserve"> </w:t>
      </w:r>
      <w:r>
        <w:rPr>
          <w:w w:val="95"/>
        </w:rPr>
        <w:t>take</w:t>
      </w:r>
      <w:r>
        <w:rPr>
          <w:spacing w:val="-9"/>
          <w:w w:val="95"/>
        </w:rPr>
        <w:t xml:space="preserve"> </w:t>
      </w:r>
      <w:r>
        <w:rPr>
          <w:w w:val="95"/>
        </w:rPr>
        <w:t>the</w:t>
      </w:r>
      <w:r>
        <w:rPr>
          <w:spacing w:val="-9"/>
          <w:w w:val="95"/>
        </w:rPr>
        <w:t xml:space="preserve"> </w:t>
      </w:r>
      <w:r>
        <w:rPr>
          <w:w w:val="95"/>
        </w:rPr>
        <w:t>form</w:t>
      </w:r>
      <w:r>
        <w:rPr>
          <w:spacing w:val="-10"/>
          <w:w w:val="95"/>
        </w:rPr>
        <w:t xml:space="preserve"> </w:t>
      </w:r>
      <w:r>
        <w:rPr>
          <w:w w:val="95"/>
        </w:rPr>
        <w:t>of a</w:t>
      </w:r>
      <w:r>
        <w:rPr>
          <w:spacing w:val="-7"/>
          <w:w w:val="95"/>
        </w:rPr>
        <w:t xml:space="preserve"> </w:t>
      </w:r>
      <w:r>
        <w:rPr>
          <w:w w:val="95"/>
        </w:rPr>
        <w:t>cap</w:t>
      </w:r>
      <w:r>
        <w:rPr>
          <w:spacing w:val="-7"/>
          <w:w w:val="95"/>
        </w:rPr>
        <w:t xml:space="preserve"> </w:t>
      </w:r>
      <w:r>
        <w:rPr>
          <w:w w:val="95"/>
        </w:rPr>
        <w:t>and</w:t>
      </w:r>
      <w:r>
        <w:rPr>
          <w:spacing w:val="-7"/>
          <w:w w:val="95"/>
        </w:rPr>
        <w:t xml:space="preserve"> </w:t>
      </w:r>
      <w:r>
        <w:rPr>
          <w:w w:val="95"/>
        </w:rPr>
        <w:t>collar</w:t>
      </w:r>
      <w:r>
        <w:rPr>
          <w:spacing w:val="-7"/>
          <w:w w:val="95"/>
        </w:rPr>
        <w:t xml:space="preserve"> </w:t>
      </w:r>
      <w:r>
        <w:rPr>
          <w:w w:val="95"/>
        </w:rPr>
        <w:t>arrangement</w:t>
      </w:r>
      <w:r>
        <w:rPr>
          <w:spacing w:val="-7"/>
          <w:w w:val="95"/>
        </w:rPr>
        <w:t xml:space="preserve"> </w:t>
      </w:r>
      <w:r>
        <w:rPr>
          <w:w w:val="95"/>
        </w:rPr>
        <w:t>on</w:t>
      </w:r>
      <w:r>
        <w:rPr>
          <w:spacing w:val="-7"/>
          <w:w w:val="95"/>
        </w:rPr>
        <w:t xml:space="preserve"> </w:t>
      </w:r>
      <w:r>
        <w:rPr>
          <w:w w:val="95"/>
        </w:rPr>
        <w:t>toll</w:t>
      </w:r>
      <w:r>
        <w:rPr>
          <w:spacing w:val="-7"/>
          <w:w w:val="95"/>
        </w:rPr>
        <w:t xml:space="preserve"> </w:t>
      </w:r>
      <w:r>
        <w:rPr>
          <w:w w:val="95"/>
        </w:rPr>
        <w:t>revenue</w:t>
      </w:r>
      <w:r>
        <w:rPr>
          <w:spacing w:val="-7"/>
          <w:w w:val="95"/>
        </w:rPr>
        <w:t xml:space="preserve"> </w:t>
      </w:r>
      <w:r>
        <w:rPr>
          <w:w w:val="95"/>
        </w:rPr>
        <w:t>for</w:t>
      </w:r>
      <w:r>
        <w:rPr>
          <w:spacing w:val="-7"/>
          <w:w w:val="95"/>
        </w:rPr>
        <w:t xml:space="preserve"> </w:t>
      </w:r>
      <w:r>
        <w:rPr>
          <w:w w:val="95"/>
        </w:rPr>
        <w:t>a</w:t>
      </w:r>
      <w:r>
        <w:rPr>
          <w:spacing w:val="-7"/>
          <w:w w:val="95"/>
        </w:rPr>
        <w:t xml:space="preserve"> </w:t>
      </w:r>
      <w:r>
        <w:rPr>
          <w:w w:val="95"/>
        </w:rPr>
        <w:t xml:space="preserve">certain </w:t>
      </w:r>
      <w:r>
        <w:t>period,</w:t>
      </w:r>
      <w:r>
        <w:rPr>
          <w:spacing w:val="-14"/>
        </w:rPr>
        <w:t xml:space="preserve"> </w:t>
      </w:r>
      <w:r>
        <w:t>or</w:t>
      </w:r>
      <w:r>
        <w:rPr>
          <w:spacing w:val="-14"/>
        </w:rPr>
        <w:t xml:space="preserve"> </w:t>
      </w:r>
      <w:r>
        <w:t>a</w:t>
      </w:r>
      <w:r>
        <w:rPr>
          <w:spacing w:val="-14"/>
        </w:rPr>
        <w:t xml:space="preserve"> </w:t>
      </w:r>
      <w:r>
        <w:t>blending</w:t>
      </w:r>
      <w:r>
        <w:rPr>
          <w:spacing w:val="-14"/>
        </w:rPr>
        <w:t xml:space="preserve"> </w:t>
      </w:r>
      <w:r>
        <w:t>of</w:t>
      </w:r>
      <w:r>
        <w:rPr>
          <w:spacing w:val="-14"/>
        </w:rPr>
        <w:t xml:space="preserve"> </w:t>
      </w:r>
      <w:r>
        <w:t>greenfield</w:t>
      </w:r>
      <w:r>
        <w:rPr>
          <w:spacing w:val="-14"/>
        </w:rPr>
        <w:t xml:space="preserve"> </w:t>
      </w:r>
      <w:r>
        <w:t>and</w:t>
      </w:r>
      <w:r>
        <w:rPr>
          <w:spacing w:val="-14"/>
        </w:rPr>
        <w:t xml:space="preserve"> </w:t>
      </w:r>
      <w:r>
        <w:t>mature</w:t>
      </w:r>
      <w:r>
        <w:rPr>
          <w:spacing w:val="-14"/>
        </w:rPr>
        <w:t xml:space="preserve"> </w:t>
      </w:r>
      <w:r>
        <w:t>revenue streams.</w:t>
      </w:r>
      <w:r>
        <w:rPr>
          <w:spacing w:val="-14"/>
        </w:rPr>
        <w:t xml:space="preserve"> </w:t>
      </w:r>
      <w:r>
        <w:t>Assessment</w:t>
      </w:r>
      <w:r>
        <w:rPr>
          <w:spacing w:val="-14"/>
        </w:rPr>
        <w:t xml:space="preserve"> </w:t>
      </w:r>
      <w:r>
        <w:t>of</w:t>
      </w:r>
      <w:r>
        <w:rPr>
          <w:spacing w:val="-13"/>
        </w:rPr>
        <w:t xml:space="preserve"> </w:t>
      </w:r>
      <w:r>
        <w:t>these</w:t>
      </w:r>
      <w:r>
        <w:rPr>
          <w:spacing w:val="-14"/>
        </w:rPr>
        <w:t xml:space="preserve"> </w:t>
      </w:r>
      <w:r>
        <w:t>options</w:t>
      </w:r>
      <w:r>
        <w:rPr>
          <w:spacing w:val="-14"/>
        </w:rPr>
        <w:t xml:space="preserve"> </w:t>
      </w:r>
      <w:r>
        <w:t>will</w:t>
      </w:r>
      <w:r>
        <w:rPr>
          <w:spacing w:val="-13"/>
        </w:rPr>
        <w:t xml:space="preserve"> </w:t>
      </w:r>
      <w:r>
        <w:t>need</w:t>
      </w:r>
      <w:r>
        <w:rPr>
          <w:spacing w:val="-14"/>
        </w:rPr>
        <w:t xml:space="preserve"> </w:t>
      </w:r>
      <w:r>
        <w:t>to</w:t>
      </w:r>
      <w:r>
        <w:rPr>
          <w:spacing w:val="-14"/>
        </w:rPr>
        <w:t xml:space="preserve"> </w:t>
      </w:r>
      <w:r>
        <w:t xml:space="preserve">take </w:t>
      </w:r>
      <w:r>
        <w:rPr>
          <w:w w:val="95"/>
        </w:rPr>
        <w:t>account of the implications for the State’s balance sheet.</w:t>
      </w:r>
    </w:p>
    <w:p w:rsidR="002C1123" w:rsidRDefault="00F22F94">
      <w:pPr>
        <w:pStyle w:val="BodyText"/>
        <w:spacing w:before="148" w:line="249" w:lineRule="auto"/>
        <w:ind w:left="209" w:right="745"/>
      </w:pPr>
      <w:r>
        <w:t>Refinancing</w:t>
      </w:r>
      <w:r>
        <w:rPr>
          <w:spacing w:val="-10"/>
        </w:rPr>
        <w:t xml:space="preserve"> </w:t>
      </w:r>
      <w:r>
        <w:t>risks</w:t>
      </w:r>
      <w:r>
        <w:rPr>
          <w:spacing w:val="-10"/>
        </w:rPr>
        <w:t xml:space="preserve"> </w:t>
      </w:r>
      <w:r>
        <w:t>are</w:t>
      </w:r>
      <w:r>
        <w:rPr>
          <w:spacing w:val="-10"/>
        </w:rPr>
        <w:t xml:space="preserve"> </w:t>
      </w:r>
      <w:r>
        <w:t>also</w:t>
      </w:r>
      <w:r>
        <w:rPr>
          <w:spacing w:val="-10"/>
        </w:rPr>
        <w:t xml:space="preserve"> </w:t>
      </w:r>
      <w:r>
        <w:t>of</w:t>
      </w:r>
      <w:r>
        <w:rPr>
          <w:spacing w:val="-10"/>
        </w:rPr>
        <w:t xml:space="preserve"> </w:t>
      </w:r>
      <w:r>
        <w:t>concern</w:t>
      </w:r>
      <w:r>
        <w:rPr>
          <w:spacing w:val="-10"/>
        </w:rPr>
        <w:t xml:space="preserve"> </w:t>
      </w:r>
      <w:r>
        <w:t>to</w:t>
      </w:r>
      <w:r>
        <w:rPr>
          <w:spacing w:val="-10"/>
        </w:rPr>
        <w:t xml:space="preserve"> </w:t>
      </w:r>
      <w:r>
        <w:t xml:space="preserve">some </w:t>
      </w:r>
      <w:r>
        <w:rPr>
          <w:w w:val="95"/>
        </w:rPr>
        <w:t>investors, particularly for very large projects. Given the unavailability</w:t>
      </w:r>
      <w:r>
        <w:rPr>
          <w:spacing w:val="-10"/>
          <w:w w:val="95"/>
        </w:rPr>
        <w:t xml:space="preserve"> </w:t>
      </w:r>
      <w:r>
        <w:rPr>
          <w:w w:val="95"/>
        </w:rPr>
        <w:t>of</w:t>
      </w:r>
      <w:r>
        <w:rPr>
          <w:spacing w:val="-10"/>
          <w:w w:val="95"/>
        </w:rPr>
        <w:t xml:space="preserve"> </w:t>
      </w:r>
      <w:r>
        <w:rPr>
          <w:w w:val="95"/>
        </w:rPr>
        <w:t>long</w:t>
      </w:r>
      <w:r>
        <w:rPr>
          <w:spacing w:val="-10"/>
          <w:w w:val="95"/>
        </w:rPr>
        <w:t xml:space="preserve"> </w:t>
      </w:r>
      <w:r>
        <w:rPr>
          <w:w w:val="95"/>
        </w:rPr>
        <w:t>term</w:t>
      </w:r>
      <w:r>
        <w:rPr>
          <w:spacing w:val="-10"/>
          <w:w w:val="95"/>
        </w:rPr>
        <w:t xml:space="preserve"> </w:t>
      </w:r>
      <w:r>
        <w:rPr>
          <w:w w:val="95"/>
        </w:rPr>
        <w:t>debt</w:t>
      </w:r>
      <w:r>
        <w:rPr>
          <w:spacing w:val="-10"/>
          <w:w w:val="95"/>
        </w:rPr>
        <w:t xml:space="preserve"> </w:t>
      </w:r>
      <w:r>
        <w:rPr>
          <w:w w:val="95"/>
        </w:rPr>
        <w:t>in</w:t>
      </w:r>
      <w:r>
        <w:rPr>
          <w:spacing w:val="-10"/>
          <w:w w:val="95"/>
        </w:rPr>
        <w:t xml:space="preserve"> </w:t>
      </w:r>
      <w:r>
        <w:rPr>
          <w:w w:val="95"/>
        </w:rPr>
        <w:t>Australia,</w:t>
      </w:r>
      <w:r>
        <w:rPr>
          <w:spacing w:val="-10"/>
          <w:w w:val="95"/>
        </w:rPr>
        <w:t xml:space="preserve"> </w:t>
      </w:r>
      <w:r>
        <w:rPr>
          <w:w w:val="95"/>
        </w:rPr>
        <w:t>projects</w:t>
      </w:r>
      <w:r>
        <w:rPr>
          <w:spacing w:val="-10"/>
          <w:w w:val="95"/>
        </w:rPr>
        <w:t xml:space="preserve"> </w:t>
      </w:r>
      <w:r>
        <w:rPr>
          <w:w w:val="95"/>
        </w:rPr>
        <w:t xml:space="preserve">are </w:t>
      </w:r>
      <w:r>
        <w:t>exposed</w:t>
      </w:r>
      <w:r>
        <w:rPr>
          <w:spacing w:val="-11"/>
        </w:rPr>
        <w:t xml:space="preserve"> </w:t>
      </w:r>
      <w:r>
        <w:t>to</w:t>
      </w:r>
      <w:r>
        <w:rPr>
          <w:spacing w:val="-11"/>
        </w:rPr>
        <w:t xml:space="preserve"> </w:t>
      </w:r>
      <w:r>
        <w:t>illiquid</w:t>
      </w:r>
      <w:r>
        <w:rPr>
          <w:spacing w:val="-11"/>
        </w:rPr>
        <w:t xml:space="preserve"> </w:t>
      </w:r>
      <w:r>
        <w:t>debt</w:t>
      </w:r>
      <w:r>
        <w:rPr>
          <w:spacing w:val="-11"/>
        </w:rPr>
        <w:t xml:space="preserve"> </w:t>
      </w:r>
      <w:r>
        <w:t>markets</w:t>
      </w:r>
      <w:r>
        <w:rPr>
          <w:spacing w:val="-11"/>
        </w:rPr>
        <w:t xml:space="preserve"> </w:t>
      </w:r>
      <w:r>
        <w:t>when</w:t>
      </w:r>
      <w:r>
        <w:rPr>
          <w:spacing w:val="-11"/>
        </w:rPr>
        <w:t xml:space="preserve"> </w:t>
      </w:r>
      <w:r>
        <w:t>refinancing</w:t>
      </w:r>
      <w:r>
        <w:rPr>
          <w:spacing w:val="-11"/>
        </w:rPr>
        <w:t xml:space="preserve"> </w:t>
      </w:r>
      <w:r>
        <w:t xml:space="preserve">is </w:t>
      </w:r>
      <w:r>
        <w:rPr>
          <w:spacing w:val="-2"/>
        </w:rPr>
        <w:t>required.</w:t>
      </w:r>
    </w:p>
    <w:p w:rsidR="002C1123" w:rsidRDefault="002060EF">
      <w:pPr>
        <w:pStyle w:val="BodyText"/>
        <w:spacing w:before="11"/>
        <w:rPr>
          <w:sz w:val="12"/>
        </w:rPr>
      </w:pPr>
      <w:r>
        <w:pict>
          <v:shape id="docshape2908" o:spid="_x0000_s1115" type="#_x0000_t202" style="position:absolute;margin-left:552.3pt;margin-top:8.65pt;width:240pt;height:69.35pt;z-index:-251317248;mso-wrap-distance-left:0;mso-wrap-distance-right:0;mso-position-horizontal-relative:page" fillcolor="#e1e0e1" stroked="f">
            <v:textbox inset="0,0,0,0">
              <w:txbxContent>
                <w:p w:rsidR="00F22F94" w:rsidRDefault="00F22F94">
                  <w:pPr>
                    <w:pStyle w:val="BodyText"/>
                    <w:spacing w:before="68" w:line="249" w:lineRule="auto"/>
                    <w:ind w:left="113" w:right="199"/>
                    <w:rPr>
                      <w:color w:val="000000"/>
                    </w:rPr>
                  </w:pPr>
                  <w:r>
                    <w:rPr>
                      <w:b/>
                      <w:color w:val="00AEEF"/>
                      <w:w w:val="95"/>
                    </w:rPr>
                    <w:t xml:space="preserve">Recommendation </w:t>
                  </w:r>
                  <w:r>
                    <w:rPr>
                      <w:color w:val="000000"/>
                      <w:w w:val="95"/>
                    </w:rPr>
                    <w:t>Infrastructure NSW recommends</w:t>
                  </w:r>
                  <w:r>
                    <w:rPr>
                      <w:color w:val="000000"/>
                      <w:spacing w:val="40"/>
                    </w:rPr>
                    <w:t xml:space="preserve"> </w:t>
                  </w:r>
                  <w:r>
                    <w:rPr>
                      <w:color w:val="000000"/>
                    </w:rPr>
                    <w:t>a</w:t>
                  </w:r>
                  <w:r>
                    <w:rPr>
                      <w:color w:val="000000"/>
                      <w:spacing w:val="-14"/>
                    </w:rPr>
                    <w:t xml:space="preserve"> </w:t>
                  </w:r>
                  <w:r>
                    <w:rPr>
                      <w:color w:val="000000"/>
                    </w:rPr>
                    <w:t>limited</w:t>
                  </w:r>
                  <w:r>
                    <w:rPr>
                      <w:color w:val="000000"/>
                      <w:spacing w:val="-14"/>
                    </w:rPr>
                    <w:t xml:space="preserve"> </w:t>
                  </w:r>
                  <w:r>
                    <w:rPr>
                      <w:color w:val="000000"/>
                    </w:rPr>
                    <w:t>reassessment</w:t>
                  </w:r>
                  <w:r>
                    <w:rPr>
                      <w:color w:val="000000"/>
                      <w:spacing w:val="-14"/>
                    </w:rPr>
                    <w:t xml:space="preserve"> </w:t>
                  </w:r>
                  <w:r>
                    <w:rPr>
                      <w:color w:val="000000"/>
                    </w:rPr>
                    <w:t>of</w:t>
                  </w:r>
                  <w:r>
                    <w:rPr>
                      <w:color w:val="000000"/>
                      <w:spacing w:val="-14"/>
                    </w:rPr>
                    <w:t xml:space="preserve"> </w:t>
                  </w:r>
                  <w:r>
                    <w:rPr>
                      <w:color w:val="000000"/>
                    </w:rPr>
                    <w:t>PPP</w:t>
                  </w:r>
                  <w:r>
                    <w:rPr>
                      <w:color w:val="000000"/>
                      <w:spacing w:val="-14"/>
                    </w:rPr>
                    <w:t xml:space="preserve"> </w:t>
                  </w:r>
                  <w:r>
                    <w:rPr>
                      <w:color w:val="000000"/>
                    </w:rPr>
                    <w:t>risk</w:t>
                  </w:r>
                  <w:r>
                    <w:rPr>
                      <w:color w:val="000000"/>
                      <w:spacing w:val="-14"/>
                    </w:rPr>
                    <w:t xml:space="preserve"> </w:t>
                  </w:r>
                  <w:r>
                    <w:rPr>
                      <w:color w:val="000000"/>
                    </w:rPr>
                    <w:t>allocation</w:t>
                  </w:r>
                  <w:r>
                    <w:rPr>
                      <w:color w:val="000000"/>
                      <w:spacing w:val="-14"/>
                    </w:rPr>
                    <w:t xml:space="preserve"> </w:t>
                  </w:r>
                  <w:r>
                    <w:rPr>
                      <w:color w:val="000000"/>
                    </w:rPr>
                    <w:t>as required</w:t>
                  </w:r>
                  <w:r>
                    <w:rPr>
                      <w:color w:val="000000"/>
                      <w:spacing w:val="-5"/>
                    </w:rPr>
                    <w:t xml:space="preserve"> </w:t>
                  </w:r>
                  <w:r>
                    <w:rPr>
                      <w:color w:val="000000"/>
                    </w:rPr>
                    <w:t>by</w:t>
                  </w:r>
                  <w:r>
                    <w:rPr>
                      <w:color w:val="000000"/>
                      <w:spacing w:val="-5"/>
                    </w:rPr>
                    <w:t xml:space="preserve"> </w:t>
                  </w:r>
                  <w:r>
                    <w:rPr>
                      <w:color w:val="000000"/>
                    </w:rPr>
                    <w:t>market</w:t>
                  </w:r>
                  <w:r>
                    <w:rPr>
                      <w:color w:val="000000"/>
                      <w:spacing w:val="-5"/>
                    </w:rPr>
                    <w:t xml:space="preserve"> </w:t>
                  </w:r>
                  <w:r>
                    <w:rPr>
                      <w:color w:val="000000"/>
                    </w:rPr>
                    <w:t>conditions,</w:t>
                  </w:r>
                  <w:r>
                    <w:rPr>
                      <w:color w:val="000000"/>
                      <w:spacing w:val="-5"/>
                    </w:rPr>
                    <w:t xml:space="preserve"> </w:t>
                  </w:r>
                  <w:r>
                    <w:rPr>
                      <w:color w:val="000000"/>
                    </w:rPr>
                    <w:t>recognising</w:t>
                  </w:r>
                  <w:r>
                    <w:rPr>
                      <w:color w:val="000000"/>
                      <w:spacing w:val="-5"/>
                    </w:rPr>
                    <w:t xml:space="preserve"> </w:t>
                  </w:r>
                  <w:r>
                    <w:rPr>
                      <w:color w:val="000000"/>
                    </w:rPr>
                    <w:t>that</w:t>
                  </w:r>
                </w:p>
                <w:p w:rsidR="00F22F94" w:rsidRDefault="00F22F94">
                  <w:pPr>
                    <w:pStyle w:val="BodyText"/>
                    <w:spacing w:before="3" w:line="249" w:lineRule="auto"/>
                    <w:ind w:left="113" w:right="122"/>
                    <w:rPr>
                      <w:color w:val="000000"/>
                    </w:rPr>
                  </w:pPr>
                  <w:r>
                    <w:rPr>
                      <w:color w:val="000000"/>
                      <w:w w:val="95"/>
                    </w:rPr>
                    <w:t>any</w:t>
                  </w:r>
                  <w:r>
                    <w:rPr>
                      <w:color w:val="000000"/>
                      <w:spacing w:val="-5"/>
                      <w:w w:val="95"/>
                    </w:rPr>
                    <w:t xml:space="preserve"> </w:t>
                  </w:r>
                  <w:r>
                    <w:rPr>
                      <w:color w:val="000000"/>
                      <w:w w:val="95"/>
                    </w:rPr>
                    <w:t>changes</w:t>
                  </w:r>
                  <w:r>
                    <w:rPr>
                      <w:color w:val="000000"/>
                      <w:spacing w:val="-5"/>
                      <w:w w:val="95"/>
                    </w:rPr>
                    <w:t xml:space="preserve"> </w:t>
                  </w:r>
                  <w:r>
                    <w:rPr>
                      <w:color w:val="000000"/>
                      <w:w w:val="95"/>
                    </w:rPr>
                    <w:t>must</w:t>
                  </w:r>
                  <w:r>
                    <w:rPr>
                      <w:color w:val="000000"/>
                      <w:spacing w:val="-5"/>
                      <w:w w:val="95"/>
                    </w:rPr>
                    <w:t xml:space="preserve"> </w:t>
                  </w:r>
                  <w:r>
                    <w:rPr>
                      <w:color w:val="000000"/>
                      <w:w w:val="95"/>
                    </w:rPr>
                    <w:t>demonstrate</w:t>
                  </w:r>
                  <w:r>
                    <w:rPr>
                      <w:color w:val="000000"/>
                      <w:spacing w:val="-5"/>
                      <w:w w:val="95"/>
                    </w:rPr>
                    <w:t xml:space="preserve"> </w:t>
                  </w:r>
                  <w:r>
                    <w:rPr>
                      <w:color w:val="000000"/>
                      <w:w w:val="95"/>
                    </w:rPr>
                    <w:t>value</w:t>
                  </w:r>
                  <w:r>
                    <w:rPr>
                      <w:color w:val="000000"/>
                      <w:spacing w:val="-5"/>
                      <w:w w:val="95"/>
                    </w:rPr>
                    <w:t xml:space="preserve"> </w:t>
                  </w:r>
                  <w:r>
                    <w:rPr>
                      <w:color w:val="000000"/>
                      <w:w w:val="95"/>
                    </w:rPr>
                    <w:t>for</w:t>
                  </w:r>
                  <w:r>
                    <w:rPr>
                      <w:color w:val="000000"/>
                      <w:spacing w:val="-5"/>
                      <w:w w:val="95"/>
                    </w:rPr>
                    <w:t xml:space="preserve"> </w:t>
                  </w:r>
                  <w:r>
                    <w:rPr>
                      <w:color w:val="000000"/>
                      <w:w w:val="95"/>
                    </w:rPr>
                    <w:t>money</w:t>
                  </w:r>
                  <w:r>
                    <w:rPr>
                      <w:color w:val="000000"/>
                      <w:spacing w:val="-5"/>
                      <w:w w:val="95"/>
                    </w:rPr>
                    <w:t xml:space="preserve"> </w:t>
                  </w:r>
                  <w:r>
                    <w:rPr>
                      <w:color w:val="000000"/>
                      <w:w w:val="95"/>
                    </w:rPr>
                    <w:t xml:space="preserve">to </w:t>
                  </w:r>
                  <w:r>
                    <w:rPr>
                      <w:color w:val="000000"/>
                      <w:spacing w:val="-2"/>
                    </w:rPr>
                    <w:t>Government.</w:t>
                  </w:r>
                </w:p>
              </w:txbxContent>
            </v:textbox>
            <w10:wrap type="topAndBottom" anchorx="page"/>
          </v:shape>
        </w:pict>
      </w:r>
    </w:p>
    <w:p w:rsidR="002C1123" w:rsidRDefault="002C1123">
      <w:pPr>
        <w:pStyle w:val="BodyText"/>
        <w:spacing w:before="2"/>
        <w:rPr>
          <w:sz w:val="22"/>
        </w:rPr>
      </w:pPr>
    </w:p>
    <w:p w:rsidR="002C1123" w:rsidRDefault="00F22F94">
      <w:pPr>
        <w:pStyle w:val="Heading6"/>
        <w:numPr>
          <w:ilvl w:val="2"/>
          <w:numId w:val="24"/>
        </w:numPr>
        <w:tabs>
          <w:tab w:val="left" w:pos="805"/>
        </w:tabs>
        <w:spacing w:before="1"/>
        <w:ind w:left="804" w:hanging="596"/>
        <w:jc w:val="left"/>
      </w:pPr>
      <w:r>
        <w:rPr>
          <w:color w:val="00AEEF"/>
          <w:spacing w:val="-4"/>
        </w:rPr>
        <w:t>Sources of Capital</w:t>
      </w:r>
    </w:p>
    <w:p w:rsidR="002C1123" w:rsidRDefault="00F22F94">
      <w:pPr>
        <w:pStyle w:val="BodyText"/>
        <w:spacing w:before="95" w:line="249" w:lineRule="auto"/>
        <w:ind w:left="209" w:right="930"/>
      </w:pPr>
      <w:r>
        <w:t>Australian</w:t>
      </w:r>
      <w:r>
        <w:rPr>
          <w:spacing w:val="-14"/>
        </w:rPr>
        <w:t xml:space="preserve"> </w:t>
      </w:r>
      <w:r>
        <w:t>capital</w:t>
      </w:r>
      <w:r>
        <w:rPr>
          <w:spacing w:val="-14"/>
        </w:rPr>
        <w:t xml:space="preserve"> </w:t>
      </w:r>
      <w:r>
        <w:t>markets</w:t>
      </w:r>
      <w:r>
        <w:rPr>
          <w:spacing w:val="-14"/>
        </w:rPr>
        <w:t xml:space="preserve"> </w:t>
      </w:r>
      <w:r>
        <w:t>for</w:t>
      </w:r>
      <w:r>
        <w:rPr>
          <w:spacing w:val="-14"/>
        </w:rPr>
        <w:t xml:space="preserve"> </w:t>
      </w:r>
      <w:r>
        <w:t>infrastructure</w:t>
      </w:r>
      <w:r>
        <w:rPr>
          <w:spacing w:val="-14"/>
        </w:rPr>
        <w:t xml:space="preserve"> </w:t>
      </w:r>
      <w:r>
        <w:t xml:space="preserve">have </w:t>
      </w:r>
      <w:r>
        <w:rPr>
          <w:w w:val="95"/>
        </w:rPr>
        <w:t xml:space="preserve">historically lacked depth and liquidity compared with </w:t>
      </w:r>
      <w:r>
        <w:t>North</w:t>
      </w:r>
      <w:r>
        <w:rPr>
          <w:spacing w:val="-3"/>
        </w:rPr>
        <w:t xml:space="preserve"> </w:t>
      </w:r>
      <w:r>
        <w:t>America</w:t>
      </w:r>
      <w:r>
        <w:rPr>
          <w:spacing w:val="-3"/>
        </w:rPr>
        <w:t xml:space="preserve"> </w:t>
      </w:r>
      <w:r>
        <w:t>and</w:t>
      </w:r>
      <w:r>
        <w:rPr>
          <w:spacing w:val="-3"/>
        </w:rPr>
        <w:t xml:space="preserve"> </w:t>
      </w:r>
      <w:r>
        <w:t>Europe,</w:t>
      </w:r>
      <w:r>
        <w:rPr>
          <w:spacing w:val="-3"/>
        </w:rPr>
        <w:t xml:space="preserve"> </w:t>
      </w:r>
      <w:r>
        <w:t>notwithstanding</w:t>
      </w:r>
      <w:r>
        <w:rPr>
          <w:spacing w:val="-3"/>
        </w:rPr>
        <w:t xml:space="preserve"> </w:t>
      </w:r>
      <w:r>
        <w:t xml:space="preserve">the </w:t>
      </w:r>
      <w:r>
        <w:rPr>
          <w:w w:val="95"/>
        </w:rPr>
        <w:t>world’s fourth largest pool of superannuation funds. Additionally, some of the financing options available</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277" w:space="40"/>
            <w:col w:w="4980" w:space="39"/>
            <w:col w:w="5724"/>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7"/>
        </w:rPr>
      </w:pPr>
    </w:p>
    <w:p w:rsidR="002C1123" w:rsidRDefault="002C1123">
      <w:pPr>
        <w:rPr>
          <w:sz w:val="17"/>
        </w:rPr>
        <w:sectPr w:rsidR="002C1123">
          <w:pgSz w:w="16840" w:h="11910" w:orient="landscape"/>
          <w:pgMar w:top="560" w:right="280" w:bottom="700" w:left="500" w:header="0" w:footer="517" w:gutter="0"/>
          <w:cols w:space="720"/>
        </w:sectPr>
      </w:pPr>
    </w:p>
    <w:p w:rsidR="002C1123" w:rsidRDefault="00F22F94">
      <w:pPr>
        <w:pStyle w:val="BodyText"/>
        <w:spacing w:before="129" w:line="249" w:lineRule="auto"/>
        <w:ind w:left="492"/>
      </w:pPr>
      <w:bookmarkStart w:id="407" w:name="16.3_Procurement"/>
      <w:bookmarkStart w:id="408" w:name="_bookmark291"/>
      <w:bookmarkStart w:id="409" w:name="_bookmark290"/>
      <w:bookmarkEnd w:id="407"/>
      <w:bookmarkEnd w:id="408"/>
      <w:bookmarkEnd w:id="409"/>
      <w:r>
        <w:t>prior</w:t>
      </w:r>
      <w:r>
        <w:rPr>
          <w:spacing w:val="-14"/>
        </w:rPr>
        <w:t xml:space="preserve"> </w:t>
      </w:r>
      <w:r>
        <w:t>to</w:t>
      </w:r>
      <w:r>
        <w:rPr>
          <w:spacing w:val="-14"/>
        </w:rPr>
        <w:t xml:space="preserve"> </w:t>
      </w:r>
      <w:r>
        <w:t>the</w:t>
      </w:r>
      <w:r>
        <w:rPr>
          <w:spacing w:val="-14"/>
        </w:rPr>
        <w:t xml:space="preserve"> </w:t>
      </w:r>
      <w:r>
        <w:t>Global</w:t>
      </w:r>
      <w:r>
        <w:rPr>
          <w:spacing w:val="-14"/>
        </w:rPr>
        <w:t xml:space="preserve"> </w:t>
      </w:r>
      <w:r>
        <w:t>Financial</w:t>
      </w:r>
      <w:r>
        <w:rPr>
          <w:spacing w:val="-14"/>
        </w:rPr>
        <w:t xml:space="preserve"> </w:t>
      </w:r>
      <w:r>
        <w:t>Crisis,</w:t>
      </w:r>
      <w:r>
        <w:rPr>
          <w:spacing w:val="-14"/>
        </w:rPr>
        <w:t xml:space="preserve"> </w:t>
      </w:r>
      <w:r>
        <w:t>such</w:t>
      </w:r>
      <w:r>
        <w:rPr>
          <w:spacing w:val="-14"/>
        </w:rPr>
        <w:t xml:space="preserve"> </w:t>
      </w:r>
      <w:r>
        <w:t>as</w:t>
      </w:r>
      <w:r>
        <w:rPr>
          <w:spacing w:val="-14"/>
        </w:rPr>
        <w:t xml:space="preserve"> </w:t>
      </w:r>
      <w:r>
        <w:t xml:space="preserve">monoline </w:t>
      </w:r>
      <w:r>
        <w:rPr>
          <w:spacing w:val="-2"/>
        </w:rPr>
        <w:t>bond</w:t>
      </w:r>
      <w:r>
        <w:rPr>
          <w:spacing w:val="-7"/>
        </w:rPr>
        <w:t xml:space="preserve"> </w:t>
      </w:r>
      <w:r>
        <w:rPr>
          <w:spacing w:val="-2"/>
        </w:rPr>
        <w:t>credit</w:t>
      </w:r>
      <w:r>
        <w:rPr>
          <w:spacing w:val="-7"/>
        </w:rPr>
        <w:t xml:space="preserve"> </w:t>
      </w:r>
      <w:r>
        <w:rPr>
          <w:spacing w:val="-2"/>
        </w:rPr>
        <w:t>enhancement,</w:t>
      </w:r>
      <w:r>
        <w:rPr>
          <w:spacing w:val="-7"/>
        </w:rPr>
        <w:t xml:space="preserve"> </w:t>
      </w:r>
      <w:r>
        <w:rPr>
          <w:spacing w:val="-2"/>
        </w:rPr>
        <w:t>20</w:t>
      </w:r>
      <w:r>
        <w:rPr>
          <w:spacing w:val="-7"/>
        </w:rPr>
        <w:t xml:space="preserve"> </w:t>
      </w:r>
      <w:r>
        <w:rPr>
          <w:spacing w:val="-2"/>
        </w:rPr>
        <w:t>plus</w:t>
      </w:r>
      <w:r>
        <w:rPr>
          <w:spacing w:val="-7"/>
        </w:rPr>
        <w:t xml:space="preserve"> </w:t>
      </w:r>
      <w:r>
        <w:rPr>
          <w:spacing w:val="-2"/>
        </w:rPr>
        <w:t>year</w:t>
      </w:r>
      <w:r>
        <w:rPr>
          <w:spacing w:val="-7"/>
        </w:rPr>
        <w:t xml:space="preserve"> </w:t>
      </w:r>
      <w:r>
        <w:rPr>
          <w:spacing w:val="-2"/>
        </w:rPr>
        <w:t>debt</w:t>
      </w:r>
      <w:r>
        <w:rPr>
          <w:spacing w:val="-7"/>
        </w:rPr>
        <w:t xml:space="preserve"> </w:t>
      </w:r>
      <w:r>
        <w:rPr>
          <w:spacing w:val="-2"/>
        </w:rPr>
        <w:t>and</w:t>
      </w:r>
      <w:r>
        <w:rPr>
          <w:spacing w:val="-7"/>
        </w:rPr>
        <w:t xml:space="preserve"> </w:t>
      </w:r>
      <w:r>
        <w:rPr>
          <w:spacing w:val="-2"/>
        </w:rPr>
        <w:t xml:space="preserve">listed </w:t>
      </w:r>
      <w:r>
        <w:rPr>
          <w:w w:val="95"/>
        </w:rPr>
        <w:t>tollroad equity, are not readily available. As a result, the ability</w:t>
      </w:r>
      <w:r>
        <w:rPr>
          <w:spacing w:val="-5"/>
          <w:w w:val="95"/>
        </w:rPr>
        <w:t xml:space="preserve"> </w:t>
      </w:r>
      <w:r>
        <w:rPr>
          <w:w w:val="95"/>
        </w:rPr>
        <w:t>of</w:t>
      </w:r>
      <w:r>
        <w:rPr>
          <w:spacing w:val="-5"/>
          <w:w w:val="95"/>
        </w:rPr>
        <w:t xml:space="preserve"> </w:t>
      </w:r>
      <w:r>
        <w:rPr>
          <w:w w:val="95"/>
        </w:rPr>
        <w:t>the</w:t>
      </w:r>
      <w:r>
        <w:rPr>
          <w:spacing w:val="-5"/>
          <w:w w:val="95"/>
        </w:rPr>
        <w:t xml:space="preserve"> </w:t>
      </w:r>
      <w:r>
        <w:rPr>
          <w:w w:val="95"/>
        </w:rPr>
        <w:t>private</w:t>
      </w:r>
      <w:r>
        <w:rPr>
          <w:spacing w:val="-5"/>
          <w:w w:val="95"/>
        </w:rPr>
        <w:t xml:space="preserve"> </w:t>
      </w:r>
      <w:r>
        <w:rPr>
          <w:w w:val="95"/>
        </w:rPr>
        <w:t>sector</w:t>
      </w:r>
      <w:r>
        <w:rPr>
          <w:spacing w:val="-5"/>
          <w:w w:val="95"/>
        </w:rPr>
        <w:t xml:space="preserve"> </w:t>
      </w:r>
      <w:r>
        <w:rPr>
          <w:w w:val="95"/>
        </w:rPr>
        <w:t>to</w:t>
      </w:r>
      <w:r>
        <w:rPr>
          <w:spacing w:val="-5"/>
          <w:w w:val="95"/>
        </w:rPr>
        <w:t xml:space="preserve"> </w:t>
      </w:r>
      <w:r>
        <w:rPr>
          <w:w w:val="95"/>
        </w:rPr>
        <w:t>provide</w:t>
      </w:r>
      <w:r>
        <w:rPr>
          <w:spacing w:val="-5"/>
          <w:w w:val="95"/>
        </w:rPr>
        <w:t xml:space="preserve"> </w:t>
      </w:r>
      <w:r>
        <w:rPr>
          <w:w w:val="95"/>
        </w:rPr>
        <w:t>sufficient</w:t>
      </w:r>
      <w:r>
        <w:rPr>
          <w:spacing w:val="-5"/>
          <w:w w:val="95"/>
        </w:rPr>
        <w:t xml:space="preserve"> </w:t>
      </w:r>
      <w:r>
        <w:rPr>
          <w:w w:val="95"/>
        </w:rPr>
        <w:t>financing capacity</w:t>
      </w:r>
      <w:r>
        <w:rPr>
          <w:spacing w:val="-3"/>
          <w:w w:val="95"/>
        </w:rPr>
        <w:t xml:space="preserve"> </w:t>
      </w:r>
      <w:r>
        <w:rPr>
          <w:w w:val="95"/>
        </w:rPr>
        <w:t>for</w:t>
      </w:r>
      <w:r>
        <w:rPr>
          <w:spacing w:val="-3"/>
          <w:w w:val="95"/>
        </w:rPr>
        <w:t xml:space="preserve"> </w:t>
      </w:r>
      <w:r>
        <w:rPr>
          <w:w w:val="95"/>
        </w:rPr>
        <w:t>the</w:t>
      </w:r>
      <w:r>
        <w:rPr>
          <w:spacing w:val="-3"/>
          <w:w w:val="95"/>
        </w:rPr>
        <w:t xml:space="preserve"> </w:t>
      </w:r>
      <w:r>
        <w:rPr>
          <w:w w:val="95"/>
        </w:rPr>
        <w:t>largest</w:t>
      </w:r>
      <w:r>
        <w:rPr>
          <w:spacing w:val="-3"/>
          <w:w w:val="95"/>
        </w:rPr>
        <w:t xml:space="preserve"> </w:t>
      </w:r>
      <w:r>
        <w:rPr>
          <w:w w:val="95"/>
        </w:rPr>
        <w:t>Australian</w:t>
      </w:r>
      <w:r>
        <w:rPr>
          <w:spacing w:val="-3"/>
          <w:w w:val="95"/>
        </w:rPr>
        <w:t xml:space="preserve"> </w:t>
      </w:r>
      <w:r>
        <w:rPr>
          <w:w w:val="95"/>
        </w:rPr>
        <w:t>infrastructure</w:t>
      </w:r>
      <w:r>
        <w:rPr>
          <w:spacing w:val="-3"/>
          <w:w w:val="95"/>
        </w:rPr>
        <w:t xml:space="preserve"> </w:t>
      </w:r>
      <w:r>
        <w:rPr>
          <w:w w:val="95"/>
        </w:rPr>
        <w:t xml:space="preserve">projects </w:t>
      </w:r>
      <w:r>
        <w:t>continues to be a matter of debate.</w:t>
      </w:r>
    </w:p>
    <w:p w:rsidR="002C1123" w:rsidRDefault="00F22F94">
      <w:pPr>
        <w:pStyle w:val="BodyText"/>
        <w:spacing w:before="147" w:line="249" w:lineRule="auto"/>
        <w:ind w:left="492"/>
      </w:pPr>
      <w:r>
        <w:t>Infrastructure</w:t>
      </w:r>
      <w:r>
        <w:rPr>
          <w:spacing w:val="-8"/>
        </w:rPr>
        <w:t xml:space="preserve"> </w:t>
      </w:r>
      <w:r>
        <w:t>NSW</w:t>
      </w:r>
      <w:r>
        <w:rPr>
          <w:spacing w:val="-8"/>
        </w:rPr>
        <w:t xml:space="preserve"> </w:t>
      </w:r>
      <w:r>
        <w:t>recommends</w:t>
      </w:r>
      <w:r>
        <w:rPr>
          <w:spacing w:val="-8"/>
        </w:rPr>
        <w:t xml:space="preserve"> </w:t>
      </w:r>
      <w:r>
        <w:t>that</w:t>
      </w:r>
      <w:r>
        <w:rPr>
          <w:spacing w:val="-8"/>
        </w:rPr>
        <w:t xml:space="preserve"> </w:t>
      </w:r>
      <w:r>
        <w:t>the</w:t>
      </w:r>
      <w:r>
        <w:rPr>
          <w:spacing w:val="-8"/>
        </w:rPr>
        <w:t xml:space="preserve"> </w:t>
      </w:r>
      <w:r>
        <w:t xml:space="preserve">NSW </w:t>
      </w:r>
      <w:r>
        <w:rPr>
          <w:w w:val="95"/>
        </w:rPr>
        <w:t xml:space="preserve">Government continues to work with the Commonwealth </w:t>
      </w:r>
      <w:r>
        <w:t>Government</w:t>
      </w:r>
      <w:r>
        <w:rPr>
          <w:spacing w:val="-7"/>
        </w:rPr>
        <w:t xml:space="preserve"> </w:t>
      </w:r>
      <w:r>
        <w:t>to</w:t>
      </w:r>
      <w:r>
        <w:rPr>
          <w:spacing w:val="-7"/>
        </w:rPr>
        <w:t xml:space="preserve"> </w:t>
      </w:r>
      <w:r>
        <w:t>promote</w:t>
      </w:r>
      <w:r>
        <w:rPr>
          <w:spacing w:val="-7"/>
        </w:rPr>
        <w:t xml:space="preserve"> </w:t>
      </w:r>
      <w:r>
        <w:t>the</w:t>
      </w:r>
      <w:r>
        <w:rPr>
          <w:spacing w:val="-7"/>
        </w:rPr>
        <w:t xml:space="preserve"> </w:t>
      </w:r>
      <w:r>
        <w:t>development</w:t>
      </w:r>
      <w:r>
        <w:rPr>
          <w:spacing w:val="-7"/>
        </w:rPr>
        <w:t xml:space="preserve"> </w:t>
      </w:r>
      <w:r>
        <w:t>of</w:t>
      </w:r>
      <w:r>
        <w:rPr>
          <w:spacing w:val="-7"/>
        </w:rPr>
        <w:t xml:space="preserve"> </w:t>
      </w:r>
      <w:r>
        <w:t xml:space="preserve">capital </w:t>
      </w:r>
      <w:r>
        <w:rPr>
          <w:w w:val="95"/>
        </w:rPr>
        <w:t>markets</w:t>
      </w:r>
      <w:r>
        <w:rPr>
          <w:spacing w:val="-9"/>
          <w:w w:val="95"/>
        </w:rPr>
        <w:t xml:space="preserve"> </w:t>
      </w:r>
      <w:r>
        <w:rPr>
          <w:w w:val="95"/>
        </w:rPr>
        <w:t>in</w:t>
      </w:r>
      <w:r>
        <w:rPr>
          <w:spacing w:val="-9"/>
          <w:w w:val="95"/>
        </w:rPr>
        <w:t xml:space="preserve"> </w:t>
      </w:r>
      <w:r>
        <w:rPr>
          <w:w w:val="95"/>
        </w:rPr>
        <w:t>Australia,</w:t>
      </w:r>
      <w:r>
        <w:rPr>
          <w:spacing w:val="-9"/>
          <w:w w:val="95"/>
        </w:rPr>
        <w:t xml:space="preserve"> </w:t>
      </w:r>
      <w:r>
        <w:rPr>
          <w:w w:val="95"/>
        </w:rPr>
        <w:t>including</w:t>
      </w:r>
      <w:r>
        <w:rPr>
          <w:spacing w:val="-9"/>
          <w:w w:val="95"/>
        </w:rPr>
        <w:t xml:space="preserve"> </w:t>
      </w:r>
      <w:r>
        <w:rPr>
          <w:w w:val="95"/>
        </w:rPr>
        <w:t>tax</w:t>
      </w:r>
      <w:r>
        <w:rPr>
          <w:spacing w:val="-9"/>
          <w:w w:val="95"/>
        </w:rPr>
        <w:t xml:space="preserve"> </w:t>
      </w:r>
      <w:r>
        <w:rPr>
          <w:w w:val="95"/>
        </w:rPr>
        <w:t>incentives</w:t>
      </w:r>
      <w:r>
        <w:rPr>
          <w:spacing w:val="-9"/>
          <w:w w:val="95"/>
        </w:rPr>
        <w:t xml:space="preserve"> </w:t>
      </w:r>
      <w:r>
        <w:rPr>
          <w:w w:val="95"/>
        </w:rPr>
        <w:t>to</w:t>
      </w:r>
      <w:r>
        <w:rPr>
          <w:spacing w:val="-9"/>
          <w:w w:val="95"/>
        </w:rPr>
        <w:t xml:space="preserve"> </w:t>
      </w:r>
      <w:r>
        <w:rPr>
          <w:w w:val="95"/>
        </w:rPr>
        <w:t>foster</w:t>
      </w:r>
      <w:r>
        <w:rPr>
          <w:spacing w:val="-9"/>
          <w:w w:val="95"/>
        </w:rPr>
        <w:t xml:space="preserve"> </w:t>
      </w:r>
      <w:r>
        <w:rPr>
          <w:w w:val="95"/>
        </w:rPr>
        <w:t xml:space="preserve">the organic development of domestic greenfield equity and </w:t>
      </w:r>
      <w:r>
        <w:t>long term debt markets.</w:t>
      </w:r>
    </w:p>
    <w:p w:rsidR="002C1123" w:rsidRDefault="00F22F94">
      <w:pPr>
        <w:pStyle w:val="BodyText"/>
        <w:spacing w:before="146" w:line="249" w:lineRule="auto"/>
        <w:ind w:left="492" w:right="372"/>
      </w:pPr>
      <w:r>
        <w:t>Australian</w:t>
      </w:r>
      <w:r>
        <w:rPr>
          <w:spacing w:val="-12"/>
        </w:rPr>
        <w:t xml:space="preserve"> </w:t>
      </w:r>
      <w:r>
        <w:t>superannuation</w:t>
      </w:r>
      <w:r>
        <w:rPr>
          <w:spacing w:val="-12"/>
        </w:rPr>
        <w:t xml:space="preserve"> </w:t>
      </w:r>
      <w:r>
        <w:t>funds</w:t>
      </w:r>
      <w:r>
        <w:rPr>
          <w:spacing w:val="-12"/>
        </w:rPr>
        <w:t xml:space="preserve"> </w:t>
      </w:r>
      <w:r>
        <w:t>can</w:t>
      </w:r>
      <w:r>
        <w:rPr>
          <w:spacing w:val="-12"/>
        </w:rPr>
        <w:t xml:space="preserve"> </w:t>
      </w:r>
      <w:r>
        <w:t>do</w:t>
      </w:r>
      <w:r>
        <w:rPr>
          <w:spacing w:val="-12"/>
        </w:rPr>
        <w:t xml:space="preserve"> </w:t>
      </w:r>
      <w:r>
        <w:t>more</w:t>
      </w:r>
      <w:r>
        <w:rPr>
          <w:spacing w:val="-12"/>
        </w:rPr>
        <w:t xml:space="preserve"> </w:t>
      </w:r>
      <w:r>
        <w:t>to contribute</w:t>
      </w:r>
      <w:r>
        <w:rPr>
          <w:spacing w:val="-13"/>
        </w:rPr>
        <w:t xml:space="preserve"> </w:t>
      </w:r>
      <w:r>
        <w:t>to</w:t>
      </w:r>
      <w:r>
        <w:rPr>
          <w:spacing w:val="-13"/>
        </w:rPr>
        <w:t xml:space="preserve"> </w:t>
      </w:r>
      <w:r>
        <w:t>financing</w:t>
      </w:r>
      <w:r>
        <w:rPr>
          <w:spacing w:val="-13"/>
        </w:rPr>
        <w:t xml:space="preserve"> </w:t>
      </w:r>
      <w:r>
        <w:t>Australian</w:t>
      </w:r>
      <w:r>
        <w:rPr>
          <w:spacing w:val="-13"/>
        </w:rPr>
        <w:t xml:space="preserve"> </w:t>
      </w:r>
      <w:r>
        <w:t>infrastructure. This</w:t>
      </w:r>
      <w:r>
        <w:rPr>
          <w:spacing w:val="-14"/>
        </w:rPr>
        <w:t xml:space="preserve"> </w:t>
      </w:r>
      <w:r>
        <w:t>will</w:t>
      </w:r>
      <w:r>
        <w:rPr>
          <w:spacing w:val="-14"/>
        </w:rPr>
        <w:t xml:space="preserve"> </w:t>
      </w:r>
      <w:r>
        <w:t>be</w:t>
      </w:r>
      <w:r>
        <w:rPr>
          <w:spacing w:val="-14"/>
        </w:rPr>
        <w:t xml:space="preserve"> </w:t>
      </w:r>
      <w:r>
        <w:t>a</w:t>
      </w:r>
      <w:r>
        <w:rPr>
          <w:spacing w:val="-14"/>
        </w:rPr>
        <w:t xml:space="preserve"> </w:t>
      </w:r>
      <w:r>
        <w:t>gradual</w:t>
      </w:r>
      <w:r>
        <w:rPr>
          <w:spacing w:val="-14"/>
        </w:rPr>
        <w:t xml:space="preserve"> </w:t>
      </w:r>
      <w:r>
        <w:t>process,</w:t>
      </w:r>
      <w:r>
        <w:rPr>
          <w:spacing w:val="-14"/>
        </w:rPr>
        <w:t xml:space="preserve"> </w:t>
      </w:r>
      <w:r>
        <w:t>dependent</w:t>
      </w:r>
      <w:r>
        <w:rPr>
          <w:spacing w:val="-14"/>
        </w:rPr>
        <w:t xml:space="preserve"> </w:t>
      </w:r>
      <w:r>
        <w:t>in</w:t>
      </w:r>
      <w:r>
        <w:rPr>
          <w:spacing w:val="-14"/>
        </w:rPr>
        <w:t xml:space="preserve"> </w:t>
      </w:r>
      <w:r>
        <w:t>part on</w:t>
      </w:r>
      <w:r>
        <w:rPr>
          <w:spacing w:val="-6"/>
        </w:rPr>
        <w:t xml:space="preserve"> </w:t>
      </w:r>
      <w:r>
        <w:t>consolidation</w:t>
      </w:r>
      <w:r>
        <w:rPr>
          <w:spacing w:val="-6"/>
        </w:rPr>
        <w:t xml:space="preserve"> </w:t>
      </w:r>
      <w:r>
        <w:t>of</w:t>
      </w:r>
      <w:r>
        <w:rPr>
          <w:spacing w:val="-6"/>
        </w:rPr>
        <w:t xml:space="preserve"> </w:t>
      </w:r>
      <w:r>
        <w:t>the</w:t>
      </w:r>
      <w:r>
        <w:rPr>
          <w:spacing w:val="-6"/>
        </w:rPr>
        <w:t xml:space="preserve"> </w:t>
      </w:r>
      <w:r>
        <w:t>funds</w:t>
      </w:r>
      <w:r>
        <w:rPr>
          <w:spacing w:val="-6"/>
        </w:rPr>
        <w:t xml:space="preserve"> </w:t>
      </w:r>
      <w:r>
        <w:t>industry</w:t>
      </w:r>
      <w:r>
        <w:rPr>
          <w:spacing w:val="-6"/>
        </w:rPr>
        <w:t xml:space="preserve"> </w:t>
      </w:r>
      <w:r>
        <w:t>which</w:t>
      </w:r>
      <w:r>
        <w:rPr>
          <w:spacing w:val="-6"/>
        </w:rPr>
        <w:t xml:space="preserve"> </w:t>
      </w:r>
      <w:r>
        <w:t xml:space="preserve">will </w:t>
      </w:r>
      <w:r>
        <w:rPr>
          <w:w w:val="95"/>
        </w:rPr>
        <w:t>mitigate</w:t>
      </w:r>
      <w:r>
        <w:rPr>
          <w:spacing w:val="-8"/>
          <w:w w:val="95"/>
        </w:rPr>
        <w:t xml:space="preserve"> </w:t>
      </w:r>
      <w:r>
        <w:rPr>
          <w:w w:val="95"/>
        </w:rPr>
        <w:t>liquidity</w:t>
      </w:r>
      <w:r>
        <w:rPr>
          <w:spacing w:val="-8"/>
          <w:w w:val="95"/>
        </w:rPr>
        <w:t xml:space="preserve"> </w:t>
      </w:r>
      <w:r>
        <w:rPr>
          <w:w w:val="95"/>
        </w:rPr>
        <w:t>risks</w:t>
      </w:r>
      <w:r>
        <w:rPr>
          <w:spacing w:val="-8"/>
          <w:w w:val="95"/>
        </w:rPr>
        <w:t xml:space="preserve"> </w:t>
      </w:r>
      <w:r>
        <w:rPr>
          <w:w w:val="95"/>
        </w:rPr>
        <w:t>and</w:t>
      </w:r>
      <w:r>
        <w:rPr>
          <w:spacing w:val="-8"/>
          <w:w w:val="95"/>
        </w:rPr>
        <w:t xml:space="preserve"> </w:t>
      </w:r>
      <w:r>
        <w:rPr>
          <w:w w:val="95"/>
        </w:rPr>
        <w:t>support</w:t>
      </w:r>
      <w:r>
        <w:rPr>
          <w:spacing w:val="-8"/>
          <w:w w:val="95"/>
        </w:rPr>
        <w:t xml:space="preserve"> </w:t>
      </w:r>
      <w:r>
        <w:rPr>
          <w:w w:val="95"/>
        </w:rPr>
        <w:t>a</w:t>
      </w:r>
      <w:r>
        <w:rPr>
          <w:spacing w:val="-8"/>
          <w:w w:val="95"/>
        </w:rPr>
        <w:t xml:space="preserve"> </w:t>
      </w:r>
      <w:r>
        <w:rPr>
          <w:w w:val="95"/>
        </w:rPr>
        <w:t>higher</w:t>
      </w:r>
      <w:r>
        <w:rPr>
          <w:spacing w:val="-8"/>
          <w:w w:val="95"/>
        </w:rPr>
        <w:t xml:space="preserve"> </w:t>
      </w:r>
      <w:r>
        <w:rPr>
          <w:w w:val="95"/>
        </w:rPr>
        <w:t>level</w:t>
      </w:r>
      <w:r>
        <w:rPr>
          <w:spacing w:val="-8"/>
          <w:w w:val="95"/>
        </w:rPr>
        <w:t xml:space="preserve"> </w:t>
      </w:r>
      <w:r>
        <w:rPr>
          <w:w w:val="95"/>
        </w:rPr>
        <w:t xml:space="preserve">of </w:t>
      </w:r>
      <w:r>
        <w:t>analytic</w:t>
      </w:r>
      <w:r>
        <w:rPr>
          <w:spacing w:val="-11"/>
        </w:rPr>
        <w:t xml:space="preserve"> </w:t>
      </w:r>
      <w:r>
        <w:t>expertise.</w:t>
      </w:r>
    </w:p>
    <w:p w:rsidR="002C1123" w:rsidRDefault="00F22F94">
      <w:pPr>
        <w:pStyle w:val="Heading5"/>
        <w:numPr>
          <w:ilvl w:val="1"/>
          <w:numId w:val="24"/>
        </w:numPr>
        <w:tabs>
          <w:tab w:val="left" w:pos="831"/>
        </w:tabs>
        <w:ind w:left="830" w:hanging="602"/>
        <w:jc w:val="left"/>
      </w:pPr>
      <w:r>
        <w:rPr>
          <w:b w:val="0"/>
        </w:rPr>
        <w:br w:type="column"/>
      </w:r>
      <w:r>
        <w:rPr>
          <w:color w:val="00AEEF"/>
          <w:spacing w:val="-2"/>
        </w:rPr>
        <w:t>Procurement</w:t>
      </w:r>
    </w:p>
    <w:p w:rsidR="002C1123" w:rsidRDefault="00F22F94">
      <w:pPr>
        <w:pStyle w:val="BodyText"/>
        <w:spacing w:before="135" w:line="249" w:lineRule="auto"/>
        <w:ind w:left="229"/>
      </w:pPr>
      <w:r>
        <w:t>The</w:t>
      </w:r>
      <w:r>
        <w:rPr>
          <w:spacing w:val="-14"/>
        </w:rPr>
        <w:t xml:space="preserve"> </w:t>
      </w:r>
      <w:r>
        <w:t>priorities</w:t>
      </w:r>
      <w:r>
        <w:rPr>
          <w:spacing w:val="-14"/>
        </w:rPr>
        <w:t xml:space="preserve"> </w:t>
      </w:r>
      <w:r>
        <w:t>identified</w:t>
      </w:r>
      <w:r>
        <w:rPr>
          <w:spacing w:val="-13"/>
        </w:rPr>
        <w:t xml:space="preserve"> </w:t>
      </w:r>
      <w:r>
        <w:t>in</w:t>
      </w:r>
      <w:r>
        <w:rPr>
          <w:spacing w:val="-14"/>
        </w:rPr>
        <w:t xml:space="preserve"> </w:t>
      </w:r>
      <w:r>
        <w:t>the</w:t>
      </w:r>
      <w:r>
        <w:rPr>
          <w:spacing w:val="-14"/>
        </w:rPr>
        <w:t xml:space="preserve"> </w:t>
      </w:r>
      <w:r>
        <w:t>Strategy</w:t>
      </w:r>
      <w:r>
        <w:rPr>
          <w:spacing w:val="-13"/>
        </w:rPr>
        <w:t xml:space="preserve"> </w:t>
      </w:r>
      <w:r>
        <w:t>need</w:t>
      </w:r>
      <w:r>
        <w:rPr>
          <w:spacing w:val="-14"/>
        </w:rPr>
        <w:t xml:space="preserve"> </w:t>
      </w:r>
      <w:r>
        <w:t>to</w:t>
      </w:r>
      <w:r>
        <w:rPr>
          <w:spacing w:val="-14"/>
        </w:rPr>
        <w:t xml:space="preserve"> </w:t>
      </w:r>
      <w:r>
        <w:t xml:space="preserve">be </w:t>
      </w:r>
      <w:r>
        <w:rPr>
          <w:w w:val="95"/>
        </w:rPr>
        <w:t>delivered using best practice procurement approaches.</w:t>
      </w:r>
    </w:p>
    <w:p w:rsidR="002C1123" w:rsidRDefault="00F22F94">
      <w:pPr>
        <w:pStyle w:val="Heading6"/>
        <w:numPr>
          <w:ilvl w:val="2"/>
          <w:numId w:val="24"/>
        </w:numPr>
        <w:tabs>
          <w:tab w:val="left" w:pos="825"/>
        </w:tabs>
        <w:spacing w:before="143"/>
        <w:ind w:left="824" w:hanging="596"/>
        <w:jc w:val="left"/>
      </w:pPr>
      <w:r>
        <w:rPr>
          <w:color w:val="00AEEF"/>
          <w:w w:val="95"/>
        </w:rPr>
        <w:t>Delivery</w:t>
      </w:r>
      <w:r>
        <w:rPr>
          <w:color w:val="00AEEF"/>
          <w:spacing w:val="-3"/>
        </w:rPr>
        <w:t xml:space="preserve"> </w:t>
      </w:r>
      <w:r>
        <w:rPr>
          <w:color w:val="00AEEF"/>
          <w:spacing w:val="-2"/>
          <w:w w:val="95"/>
        </w:rPr>
        <w:t>Model</w:t>
      </w:r>
    </w:p>
    <w:p w:rsidR="002C1123" w:rsidRDefault="00F22F94">
      <w:pPr>
        <w:pStyle w:val="BodyText"/>
        <w:spacing w:before="95" w:line="249" w:lineRule="auto"/>
        <w:ind w:left="229" w:right="121"/>
      </w:pPr>
      <w:r>
        <w:rPr>
          <w:w w:val="95"/>
        </w:rPr>
        <w:t xml:space="preserve">Better outcomes can be achieved for both Government </w:t>
      </w:r>
      <w:r>
        <w:t>and</w:t>
      </w:r>
      <w:r>
        <w:rPr>
          <w:spacing w:val="-8"/>
        </w:rPr>
        <w:t xml:space="preserve"> </w:t>
      </w:r>
      <w:r>
        <w:t>private</w:t>
      </w:r>
      <w:r>
        <w:rPr>
          <w:spacing w:val="-8"/>
        </w:rPr>
        <w:t xml:space="preserve"> </w:t>
      </w:r>
      <w:r>
        <w:t>parties</w:t>
      </w:r>
      <w:r>
        <w:rPr>
          <w:spacing w:val="-8"/>
        </w:rPr>
        <w:t xml:space="preserve"> </w:t>
      </w:r>
      <w:r>
        <w:t>through</w:t>
      </w:r>
      <w:r>
        <w:rPr>
          <w:spacing w:val="-8"/>
        </w:rPr>
        <w:t xml:space="preserve"> </w:t>
      </w:r>
      <w:r>
        <w:t>clear</w:t>
      </w:r>
      <w:r>
        <w:rPr>
          <w:spacing w:val="-8"/>
        </w:rPr>
        <w:t xml:space="preserve"> </w:t>
      </w:r>
      <w:r>
        <w:t>and</w:t>
      </w:r>
      <w:r>
        <w:rPr>
          <w:spacing w:val="-8"/>
        </w:rPr>
        <w:t xml:space="preserve"> </w:t>
      </w:r>
      <w:r>
        <w:t xml:space="preserve">accountable </w:t>
      </w:r>
      <w:r>
        <w:rPr>
          <w:w w:val="95"/>
        </w:rPr>
        <w:t xml:space="preserve">project delivery and governance arrangements during </w:t>
      </w:r>
      <w:r>
        <w:t>pre-tender, procurement and post-contract phases.</w:t>
      </w:r>
    </w:p>
    <w:p w:rsidR="002C1123" w:rsidRDefault="00F22F94">
      <w:pPr>
        <w:pStyle w:val="BodyText"/>
        <w:spacing w:before="145" w:line="249" w:lineRule="auto"/>
        <w:ind w:left="229"/>
      </w:pPr>
      <w:r>
        <w:rPr>
          <w:w w:val="95"/>
        </w:rPr>
        <w:t>For</w:t>
      </w:r>
      <w:r>
        <w:rPr>
          <w:spacing w:val="-4"/>
          <w:w w:val="95"/>
        </w:rPr>
        <w:t xml:space="preserve"> </w:t>
      </w:r>
      <w:r>
        <w:rPr>
          <w:w w:val="95"/>
        </w:rPr>
        <w:t>major</w:t>
      </w:r>
      <w:r>
        <w:rPr>
          <w:spacing w:val="-4"/>
          <w:w w:val="95"/>
        </w:rPr>
        <w:t xml:space="preserve"> </w:t>
      </w:r>
      <w:r>
        <w:rPr>
          <w:w w:val="95"/>
        </w:rPr>
        <w:t>and</w:t>
      </w:r>
      <w:r>
        <w:rPr>
          <w:spacing w:val="-4"/>
          <w:w w:val="95"/>
        </w:rPr>
        <w:t xml:space="preserve"> </w:t>
      </w:r>
      <w:r>
        <w:rPr>
          <w:w w:val="95"/>
        </w:rPr>
        <w:t>complex</w:t>
      </w:r>
      <w:r>
        <w:rPr>
          <w:spacing w:val="-4"/>
          <w:w w:val="95"/>
        </w:rPr>
        <w:t xml:space="preserve"> </w:t>
      </w:r>
      <w:r>
        <w:rPr>
          <w:w w:val="95"/>
        </w:rPr>
        <w:t>projects,</w:t>
      </w:r>
      <w:r>
        <w:rPr>
          <w:spacing w:val="-4"/>
          <w:w w:val="95"/>
        </w:rPr>
        <w:t xml:space="preserve"> </w:t>
      </w:r>
      <w:r>
        <w:rPr>
          <w:w w:val="95"/>
        </w:rPr>
        <w:t>Infrastructure</w:t>
      </w:r>
      <w:r>
        <w:rPr>
          <w:spacing w:val="-4"/>
          <w:w w:val="95"/>
        </w:rPr>
        <w:t xml:space="preserve"> </w:t>
      </w:r>
      <w:r>
        <w:rPr>
          <w:w w:val="95"/>
        </w:rPr>
        <w:t xml:space="preserve">NSW </w:t>
      </w:r>
      <w:r>
        <w:t>recommends the following approach:</w:t>
      </w:r>
    </w:p>
    <w:p w:rsidR="002C1123" w:rsidRDefault="00F22F94">
      <w:pPr>
        <w:pStyle w:val="ListParagraph"/>
        <w:numPr>
          <w:ilvl w:val="3"/>
          <w:numId w:val="24"/>
        </w:numPr>
        <w:tabs>
          <w:tab w:val="left" w:pos="514"/>
        </w:tabs>
        <w:spacing w:before="131" w:line="249" w:lineRule="auto"/>
        <w:ind w:left="513" w:right="455"/>
        <w:rPr>
          <w:sz w:val="20"/>
        </w:rPr>
      </w:pPr>
      <w:r>
        <w:rPr>
          <w:w w:val="95"/>
          <w:sz w:val="20"/>
        </w:rPr>
        <w:t>early</w:t>
      </w:r>
      <w:r>
        <w:rPr>
          <w:spacing w:val="-6"/>
          <w:w w:val="95"/>
          <w:sz w:val="20"/>
        </w:rPr>
        <w:t xml:space="preserve"> </w:t>
      </w:r>
      <w:r>
        <w:rPr>
          <w:w w:val="95"/>
          <w:sz w:val="20"/>
        </w:rPr>
        <w:t>establishment</w:t>
      </w:r>
      <w:r>
        <w:rPr>
          <w:spacing w:val="-6"/>
          <w:w w:val="95"/>
          <w:sz w:val="20"/>
        </w:rPr>
        <w:t xml:space="preserve"> </w:t>
      </w:r>
      <w:r>
        <w:rPr>
          <w:w w:val="95"/>
          <w:sz w:val="20"/>
        </w:rPr>
        <w:t>of</w:t>
      </w:r>
      <w:r>
        <w:rPr>
          <w:spacing w:val="-6"/>
          <w:w w:val="95"/>
          <w:sz w:val="20"/>
        </w:rPr>
        <w:t xml:space="preserve"> </w:t>
      </w:r>
      <w:r>
        <w:rPr>
          <w:w w:val="95"/>
          <w:sz w:val="20"/>
        </w:rPr>
        <w:t>a</w:t>
      </w:r>
      <w:r>
        <w:rPr>
          <w:spacing w:val="-6"/>
          <w:w w:val="95"/>
          <w:sz w:val="20"/>
        </w:rPr>
        <w:t xml:space="preserve"> </w:t>
      </w:r>
      <w:r>
        <w:rPr>
          <w:w w:val="95"/>
          <w:sz w:val="20"/>
        </w:rPr>
        <w:t>project-specific</w:t>
      </w:r>
      <w:r>
        <w:rPr>
          <w:spacing w:val="-6"/>
          <w:w w:val="95"/>
          <w:sz w:val="20"/>
        </w:rPr>
        <w:t xml:space="preserve"> </w:t>
      </w:r>
      <w:r>
        <w:rPr>
          <w:w w:val="95"/>
          <w:sz w:val="20"/>
        </w:rPr>
        <w:t xml:space="preserve">delivery </w:t>
      </w:r>
      <w:r>
        <w:rPr>
          <w:sz w:val="20"/>
        </w:rPr>
        <w:t>entity,</w:t>
      </w:r>
      <w:r>
        <w:rPr>
          <w:spacing w:val="-7"/>
          <w:sz w:val="20"/>
        </w:rPr>
        <w:t xml:space="preserve"> </w:t>
      </w:r>
      <w:r>
        <w:rPr>
          <w:sz w:val="20"/>
        </w:rPr>
        <w:t>separate</w:t>
      </w:r>
      <w:r>
        <w:rPr>
          <w:spacing w:val="-7"/>
          <w:sz w:val="20"/>
        </w:rPr>
        <w:t xml:space="preserve"> </w:t>
      </w:r>
      <w:r>
        <w:rPr>
          <w:sz w:val="20"/>
        </w:rPr>
        <w:t>from</w:t>
      </w:r>
      <w:r>
        <w:rPr>
          <w:spacing w:val="-8"/>
          <w:sz w:val="20"/>
        </w:rPr>
        <w:t xml:space="preserve"> </w:t>
      </w:r>
      <w:r>
        <w:rPr>
          <w:sz w:val="20"/>
        </w:rPr>
        <w:t>the</w:t>
      </w:r>
      <w:r>
        <w:rPr>
          <w:spacing w:val="-7"/>
          <w:sz w:val="20"/>
        </w:rPr>
        <w:t xml:space="preserve"> </w:t>
      </w:r>
      <w:r>
        <w:rPr>
          <w:sz w:val="20"/>
        </w:rPr>
        <w:t>agency</w:t>
      </w:r>
      <w:r>
        <w:rPr>
          <w:spacing w:val="-7"/>
          <w:sz w:val="20"/>
        </w:rPr>
        <w:t xml:space="preserve"> </w:t>
      </w:r>
      <w:r>
        <w:rPr>
          <w:sz w:val="20"/>
        </w:rPr>
        <w:t>client</w:t>
      </w:r>
    </w:p>
    <w:p w:rsidR="002C1123" w:rsidRDefault="00F22F94">
      <w:pPr>
        <w:pStyle w:val="ListParagraph"/>
        <w:numPr>
          <w:ilvl w:val="3"/>
          <w:numId w:val="24"/>
        </w:numPr>
        <w:tabs>
          <w:tab w:val="left" w:pos="514"/>
        </w:tabs>
        <w:spacing w:before="131" w:line="249" w:lineRule="auto"/>
        <w:ind w:left="513"/>
        <w:rPr>
          <w:sz w:val="20"/>
        </w:rPr>
      </w:pPr>
      <w:r>
        <w:rPr>
          <w:w w:val="95"/>
          <w:sz w:val="20"/>
        </w:rPr>
        <w:t xml:space="preserve">integrated project team, combining public and private </w:t>
      </w:r>
      <w:r>
        <w:rPr>
          <w:sz w:val="20"/>
        </w:rPr>
        <w:t>sector</w:t>
      </w:r>
      <w:r>
        <w:rPr>
          <w:spacing w:val="-8"/>
          <w:sz w:val="20"/>
        </w:rPr>
        <w:t xml:space="preserve"> </w:t>
      </w:r>
      <w:r>
        <w:rPr>
          <w:sz w:val="20"/>
        </w:rPr>
        <w:t>skill</w:t>
      </w:r>
      <w:r>
        <w:rPr>
          <w:spacing w:val="-8"/>
          <w:sz w:val="20"/>
        </w:rPr>
        <w:t xml:space="preserve"> </w:t>
      </w:r>
      <w:r>
        <w:rPr>
          <w:sz w:val="20"/>
        </w:rPr>
        <w:t>sets</w:t>
      </w:r>
      <w:r>
        <w:rPr>
          <w:spacing w:val="-8"/>
          <w:sz w:val="20"/>
        </w:rPr>
        <w:t xml:space="preserve"> </w:t>
      </w:r>
      <w:r>
        <w:rPr>
          <w:sz w:val="20"/>
        </w:rPr>
        <w:t>and</w:t>
      </w:r>
      <w:r>
        <w:rPr>
          <w:spacing w:val="-8"/>
          <w:sz w:val="20"/>
        </w:rPr>
        <w:t xml:space="preserve"> </w:t>
      </w:r>
      <w:r>
        <w:rPr>
          <w:sz w:val="20"/>
        </w:rPr>
        <w:t>including</w:t>
      </w:r>
      <w:r>
        <w:rPr>
          <w:spacing w:val="-8"/>
          <w:sz w:val="20"/>
        </w:rPr>
        <w:t xml:space="preserve"> </w:t>
      </w:r>
      <w:r>
        <w:rPr>
          <w:sz w:val="20"/>
        </w:rPr>
        <w:t>independent</w:t>
      </w:r>
      <w:r>
        <w:rPr>
          <w:spacing w:val="-8"/>
          <w:sz w:val="20"/>
        </w:rPr>
        <w:t xml:space="preserve"> </w:t>
      </w:r>
      <w:r>
        <w:rPr>
          <w:sz w:val="20"/>
        </w:rPr>
        <w:t xml:space="preserve">industry </w:t>
      </w:r>
      <w:r>
        <w:rPr>
          <w:spacing w:val="-2"/>
          <w:sz w:val="20"/>
        </w:rPr>
        <w:t>experts</w:t>
      </w:r>
    </w:p>
    <w:p w:rsidR="002C1123" w:rsidRDefault="002060EF">
      <w:pPr>
        <w:pStyle w:val="ListParagraph"/>
        <w:numPr>
          <w:ilvl w:val="3"/>
          <w:numId w:val="24"/>
        </w:numPr>
        <w:tabs>
          <w:tab w:val="left" w:pos="514"/>
        </w:tabs>
        <w:spacing w:before="131" w:line="249" w:lineRule="auto"/>
        <w:ind w:left="513" w:right="33"/>
        <w:rPr>
          <w:sz w:val="20"/>
        </w:rPr>
      </w:pPr>
      <w:r>
        <w:pict>
          <v:shape id="docshape2909" o:spid="_x0000_s1114" type="#_x0000_t202" style="position:absolute;left:0;text-align:left;margin-left:49.6pt;margin-top:16.15pt;width:240pt;height:69.35pt;z-index:251757568;mso-position-horizontal-relative:page" fillcolor="#e1e0e1" stroked="f">
            <v:textbox inset="0,0,0,0">
              <w:txbxContent>
                <w:p w:rsidR="00F22F94" w:rsidRDefault="00F22F94">
                  <w:pPr>
                    <w:pStyle w:val="BodyText"/>
                    <w:spacing w:before="68" w:line="249" w:lineRule="auto"/>
                    <w:ind w:left="113" w:right="122"/>
                    <w:rPr>
                      <w:color w:val="000000"/>
                    </w:rPr>
                  </w:pPr>
                  <w:r>
                    <w:rPr>
                      <w:b/>
                      <w:color w:val="00AEEF"/>
                      <w:w w:val="95"/>
                    </w:rPr>
                    <w:t>Recommendation</w:t>
                  </w:r>
                  <w:r>
                    <w:rPr>
                      <w:b/>
                      <w:color w:val="00AEEF"/>
                      <w:spacing w:val="40"/>
                    </w:rPr>
                    <w:t xml:space="preserve"> </w:t>
                  </w:r>
                  <w:r>
                    <w:rPr>
                      <w:color w:val="000000"/>
                      <w:w w:val="95"/>
                    </w:rPr>
                    <w:t xml:space="preserve">Infrastructure NSW recommends </w:t>
                  </w:r>
                  <w:r>
                    <w:rPr>
                      <w:color w:val="000000"/>
                    </w:rPr>
                    <w:t>that</w:t>
                  </w:r>
                  <w:r>
                    <w:rPr>
                      <w:color w:val="000000"/>
                      <w:spacing w:val="-11"/>
                    </w:rPr>
                    <w:t xml:space="preserve"> </w:t>
                  </w:r>
                  <w:r>
                    <w:rPr>
                      <w:color w:val="000000"/>
                    </w:rPr>
                    <w:t>the</w:t>
                  </w:r>
                  <w:r>
                    <w:rPr>
                      <w:color w:val="000000"/>
                      <w:spacing w:val="-11"/>
                    </w:rPr>
                    <w:t xml:space="preserve"> </w:t>
                  </w:r>
                  <w:r>
                    <w:rPr>
                      <w:color w:val="000000"/>
                    </w:rPr>
                    <w:t>Government</w:t>
                  </w:r>
                  <w:r>
                    <w:rPr>
                      <w:color w:val="000000"/>
                      <w:spacing w:val="-11"/>
                    </w:rPr>
                    <w:t xml:space="preserve"> </w:t>
                  </w:r>
                  <w:r>
                    <w:rPr>
                      <w:color w:val="000000"/>
                    </w:rPr>
                    <w:t>continue</w:t>
                  </w:r>
                  <w:r>
                    <w:rPr>
                      <w:color w:val="000000"/>
                      <w:spacing w:val="-11"/>
                    </w:rPr>
                    <w:t xml:space="preserve"> </w:t>
                  </w:r>
                  <w:r>
                    <w:rPr>
                      <w:color w:val="000000"/>
                    </w:rPr>
                    <w:t>to</w:t>
                  </w:r>
                  <w:r>
                    <w:rPr>
                      <w:color w:val="000000"/>
                      <w:spacing w:val="-11"/>
                    </w:rPr>
                    <w:t xml:space="preserve"> </w:t>
                  </w:r>
                  <w:r>
                    <w:rPr>
                      <w:color w:val="000000"/>
                    </w:rPr>
                    <w:t>engage</w:t>
                  </w:r>
                  <w:r>
                    <w:rPr>
                      <w:color w:val="000000"/>
                      <w:spacing w:val="-11"/>
                    </w:rPr>
                    <w:t xml:space="preserve"> </w:t>
                  </w:r>
                  <w:r>
                    <w:rPr>
                      <w:color w:val="000000"/>
                    </w:rPr>
                    <w:t>with</w:t>
                  </w:r>
                  <w:r>
                    <w:rPr>
                      <w:color w:val="000000"/>
                      <w:spacing w:val="-11"/>
                    </w:rPr>
                    <w:t xml:space="preserve"> </w:t>
                  </w:r>
                  <w:r>
                    <w:rPr>
                      <w:color w:val="000000"/>
                    </w:rPr>
                    <w:t xml:space="preserve">the </w:t>
                  </w:r>
                  <w:r>
                    <w:rPr>
                      <w:color w:val="000000"/>
                      <w:spacing w:val="-2"/>
                    </w:rPr>
                    <w:t>Australian</w:t>
                  </w:r>
                  <w:r>
                    <w:rPr>
                      <w:color w:val="000000"/>
                      <w:spacing w:val="-4"/>
                    </w:rPr>
                    <w:t xml:space="preserve"> </w:t>
                  </w:r>
                  <w:r>
                    <w:rPr>
                      <w:color w:val="000000"/>
                      <w:spacing w:val="-2"/>
                    </w:rPr>
                    <w:t>superannuation</w:t>
                  </w:r>
                  <w:r>
                    <w:rPr>
                      <w:color w:val="000000"/>
                      <w:spacing w:val="-4"/>
                    </w:rPr>
                    <w:t xml:space="preserve"> </w:t>
                  </w:r>
                  <w:r>
                    <w:rPr>
                      <w:color w:val="000000"/>
                      <w:spacing w:val="-2"/>
                    </w:rPr>
                    <w:t>industry</w:t>
                  </w:r>
                  <w:r>
                    <w:rPr>
                      <w:color w:val="000000"/>
                      <w:spacing w:val="-4"/>
                    </w:rPr>
                    <w:t xml:space="preserve"> </w:t>
                  </w:r>
                  <w:r>
                    <w:rPr>
                      <w:color w:val="000000"/>
                      <w:spacing w:val="-2"/>
                    </w:rPr>
                    <w:t>regarding</w:t>
                  </w:r>
                  <w:r>
                    <w:rPr>
                      <w:color w:val="000000"/>
                      <w:spacing w:val="-4"/>
                    </w:rPr>
                    <w:t xml:space="preserve"> </w:t>
                  </w:r>
                  <w:r>
                    <w:rPr>
                      <w:color w:val="000000"/>
                      <w:spacing w:val="-2"/>
                    </w:rPr>
                    <w:t>a</w:t>
                  </w:r>
                  <w:r>
                    <w:rPr>
                      <w:color w:val="000000"/>
                      <w:spacing w:val="-4"/>
                    </w:rPr>
                    <w:t xml:space="preserve"> </w:t>
                  </w:r>
                  <w:r>
                    <w:rPr>
                      <w:color w:val="000000"/>
                      <w:spacing w:val="-2"/>
                    </w:rPr>
                    <w:t>risk transfer</w:t>
                  </w:r>
                  <w:r>
                    <w:rPr>
                      <w:color w:val="000000"/>
                      <w:spacing w:val="-4"/>
                    </w:rPr>
                    <w:t xml:space="preserve"> </w:t>
                  </w:r>
                  <w:r>
                    <w:rPr>
                      <w:color w:val="000000"/>
                      <w:spacing w:val="-2"/>
                    </w:rPr>
                    <w:t>arrangement</w:t>
                  </w:r>
                  <w:r>
                    <w:rPr>
                      <w:color w:val="000000"/>
                      <w:spacing w:val="-4"/>
                    </w:rPr>
                    <w:t xml:space="preserve"> </w:t>
                  </w:r>
                  <w:r>
                    <w:rPr>
                      <w:color w:val="000000"/>
                      <w:spacing w:val="-2"/>
                    </w:rPr>
                    <w:t>for</w:t>
                  </w:r>
                  <w:r>
                    <w:rPr>
                      <w:color w:val="000000"/>
                      <w:spacing w:val="-4"/>
                    </w:rPr>
                    <w:t xml:space="preserve"> </w:t>
                  </w:r>
                  <w:r>
                    <w:rPr>
                      <w:color w:val="000000"/>
                      <w:spacing w:val="-2"/>
                    </w:rPr>
                    <w:t>greenfields</w:t>
                  </w:r>
                  <w:r>
                    <w:rPr>
                      <w:color w:val="000000"/>
                      <w:spacing w:val="-4"/>
                    </w:rPr>
                    <w:t xml:space="preserve"> </w:t>
                  </w:r>
                  <w:r>
                    <w:rPr>
                      <w:color w:val="000000"/>
                      <w:spacing w:val="-2"/>
                    </w:rPr>
                    <w:t>investment</w:t>
                  </w:r>
                  <w:r>
                    <w:rPr>
                      <w:color w:val="000000"/>
                      <w:spacing w:val="-4"/>
                    </w:rPr>
                    <w:t xml:space="preserve"> </w:t>
                  </w:r>
                  <w:r>
                    <w:rPr>
                      <w:color w:val="000000"/>
                      <w:spacing w:val="-2"/>
                    </w:rPr>
                    <w:t xml:space="preserve">that </w:t>
                  </w:r>
                  <w:r>
                    <w:rPr>
                      <w:color w:val="000000"/>
                    </w:rPr>
                    <w:t>represents</w:t>
                  </w:r>
                  <w:r>
                    <w:rPr>
                      <w:color w:val="000000"/>
                      <w:spacing w:val="-14"/>
                    </w:rPr>
                    <w:t xml:space="preserve"> </w:t>
                  </w:r>
                  <w:r>
                    <w:rPr>
                      <w:color w:val="000000"/>
                    </w:rPr>
                    <w:t>value</w:t>
                  </w:r>
                  <w:r>
                    <w:rPr>
                      <w:color w:val="000000"/>
                      <w:spacing w:val="-14"/>
                    </w:rPr>
                    <w:t xml:space="preserve"> </w:t>
                  </w:r>
                  <w:r>
                    <w:rPr>
                      <w:color w:val="000000"/>
                    </w:rPr>
                    <w:t>for</w:t>
                  </w:r>
                  <w:r>
                    <w:rPr>
                      <w:color w:val="000000"/>
                      <w:spacing w:val="-14"/>
                    </w:rPr>
                    <w:t xml:space="preserve"> </w:t>
                  </w:r>
                  <w:r>
                    <w:rPr>
                      <w:color w:val="000000"/>
                    </w:rPr>
                    <w:t>money</w:t>
                  </w:r>
                  <w:r>
                    <w:rPr>
                      <w:color w:val="000000"/>
                      <w:spacing w:val="-14"/>
                    </w:rPr>
                    <w:t xml:space="preserve"> </w:t>
                  </w:r>
                  <w:r>
                    <w:rPr>
                      <w:color w:val="000000"/>
                    </w:rPr>
                    <w:t>to</w:t>
                  </w:r>
                  <w:r>
                    <w:rPr>
                      <w:color w:val="000000"/>
                      <w:spacing w:val="-14"/>
                    </w:rPr>
                    <w:t xml:space="preserve"> </w:t>
                  </w:r>
                  <w:r>
                    <w:rPr>
                      <w:color w:val="000000"/>
                    </w:rPr>
                    <w:t>taxpayers.</w:t>
                  </w:r>
                </w:p>
              </w:txbxContent>
            </v:textbox>
            <w10:wrap anchorx="page"/>
          </v:shape>
        </w:pict>
      </w:r>
      <w:r w:rsidR="00F22F94">
        <w:rPr>
          <w:sz w:val="20"/>
        </w:rPr>
        <w:t xml:space="preserve">establishment of dedicated governance </w:t>
      </w:r>
      <w:r w:rsidR="00F22F94">
        <w:rPr>
          <w:w w:val="95"/>
          <w:sz w:val="20"/>
        </w:rPr>
        <w:t>arrangements</w:t>
      </w:r>
      <w:r w:rsidR="00F22F94">
        <w:rPr>
          <w:spacing w:val="-8"/>
          <w:w w:val="95"/>
          <w:sz w:val="20"/>
        </w:rPr>
        <w:t xml:space="preserve"> </w:t>
      </w:r>
      <w:r w:rsidR="00F22F94">
        <w:rPr>
          <w:w w:val="95"/>
          <w:sz w:val="20"/>
        </w:rPr>
        <w:t>with</w:t>
      </w:r>
      <w:r w:rsidR="00F22F94">
        <w:rPr>
          <w:spacing w:val="-8"/>
          <w:w w:val="95"/>
          <w:sz w:val="20"/>
        </w:rPr>
        <w:t xml:space="preserve"> </w:t>
      </w:r>
      <w:r w:rsidR="00F22F94">
        <w:rPr>
          <w:w w:val="95"/>
          <w:sz w:val="20"/>
        </w:rPr>
        <w:t>representation</w:t>
      </w:r>
      <w:r w:rsidR="00F22F94">
        <w:rPr>
          <w:spacing w:val="-8"/>
          <w:w w:val="95"/>
          <w:sz w:val="20"/>
        </w:rPr>
        <w:t xml:space="preserve"> </w:t>
      </w:r>
      <w:r w:rsidR="00F22F94">
        <w:rPr>
          <w:w w:val="95"/>
          <w:sz w:val="20"/>
        </w:rPr>
        <w:t>from</w:t>
      </w:r>
      <w:r w:rsidR="00F22F94">
        <w:rPr>
          <w:spacing w:val="-8"/>
          <w:w w:val="95"/>
          <w:sz w:val="20"/>
        </w:rPr>
        <w:t xml:space="preserve"> </w:t>
      </w:r>
      <w:r w:rsidR="00F22F94">
        <w:rPr>
          <w:w w:val="95"/>
          <w:sz w:val="20"/>
        </w:rPr>
        <w:t>various</w:t>
      </w:r>
      <w:r w:rsidR="00F22F94">
        <w:rPr>
          <w:spacing w:val="-8"/>
          <w:w w:val="95"/>
          <w:sz w:val="20"/>
        </w:rPr>
        <w:t xml:space="preserve"> </w:t>
      </w:r>
      <w:r w:rsidR="00F22F94">
        <w:rPr>
          <w:w w:val="95"/>
          <w:sz w:val="20"/>
        </w:rPr>
        <w:t xml:space="preserve">levels </w:t>
      </w:r>
      <w:r w:rsidR="00F22F94">
        <w:rPr>
          <w:sz w:val="20"/>
        </w:rPr>
        <w:t>of</w:t>
      </w:r>
      <w:r w:rsidR="00F22F94">
        <w:rPr>
          <w:spacing w:val="-11"/>
          <w:sz w:val="20"/>
        </w:rPr>
        <w:t xml:space="preserve"> </w:t>
      </w:r>
      <w:r w:rsidR="00F22F94">
        <w:rPr>
          <w:sz w:val="20"/>
        </w:rPr>
        <w:t>government</w:t>
      </w:r>
    </w:p>
    <w:p w:rsidR="002C1123" w:rsidRDefault="00F22F94">
      <w:pPr>
        <w:pStyle w:val="ListParagraph"/>
        <w:numPr>
          <w:ilvl w:val="3"/>
          <w:numId w:val="24"/>
        </w:numPr>
        <w:tabs>
          <w:tab w:val="left" w:pos="514"/>
        </w:tabs>
        <w:spacing w:before="131" w:line="249" w:lineRule="auto"/>
        <w:ind w:left="513" w:right="533"/>
        <w:rPr>
          <w:sz w:val="20"/>
        </w:rPr>
      </w:pPr>
      <w:r>
        <w:rPr>
          <w:w w:val="95"/>
          <w:sz w:val="20"/>
        </w:rPr>
        <w:t>interactive</w:t>
      </w:r>
      <w:r>
        <w:rPr>
          <w:spacing w:val="-2"/>
          <w:w w:val="95"/>
          <w:sz w:val="20"/>
        </w:rPr>
        <w:t xml:space="preserve"> </w:t>
      </w:r>
      <w:r>
        <w:rPr>
          <w:w w:val="95"/>
          <w:sz w:val="20"/>
        </w:rPr>
        <w:t>engagement</w:t>
      </w:r>
      <w:r>
        <w:rPr>
          <w:spacing w:val="-2"/>
          <w:w w:val="95"/>
          <w:sz w:val="20"/>
        </w:rPr>
        <w:t xml:space="preserve"> </w:t>
      </w:r>
      <w:r>
        <w:rPr>
          <w:w w:val="95"/>
          <w:sz w:val="20"/>
        </w:rPr>
        <w:t>with</w:t>
      </w:r>
      <w:r>
        <w:rPr>
          <w:spacing w:val="-2"/>
          <w:w w:val="95"/>
          <w:sz w:val="20"/>
        </w:rPr>
        <w:t xml:space="preserve"> </w:t>
      </w:r>
      <w:r>
        <w:rPr>
          <w:w w:val="95"/>
          <w:sz w:val="20"/>
        </w:rPr>
        <w:t>industry</w:t>
      </w:r>
      <w:r>
        <w:rPr>
          <w:spacing w:val="-2"/>
          <w:w w:val="95"/>
          <w:sz w:val="20"/>
        </w:rPr>
        <w:t xml:space="preserve"> </w:t>
      </w:r>
      <w:r>
        <w:rPr>
          <w:w w:val="95"/>
          <w:sz w:val="20"/>
        </w:rPr>
        <w:t>and</w:t>
      </w:r>
      <w:r>
        <w:rPr>
          <w:spacing w:val="-2"/>
          <w:w w:val="95"/>
          <w:sz w:val="20"/>
        </w:rPr>
        <w:t xml:space="preserve"> </w:t>
      </w:r>
      <w:r>
        <w:rPr>
          <w:w w:val="95"/>
          <w:sz w:val="20"/>
        </w:rPr>
        <w:t xml:space="preserve">other </w:t>
      </w:r>
      <w:r>
        <w:rPr>
          <w:sz w:val="20"/>
        </w:rPr>
        <w:t>government</w:t>
      </w:r>
      <w:r>
        <w:rPr>
          <w:spacing w:val="-14"/>
          <w:sz w:val="20"/>
        </w:rPr>
        <w:t xml:space="preserve"> </w:t>
      </w:r>
      <w:r>
        <w:rPr>
          <w:sz w:val="20"/>
        </w:rPr>
        <w:t>agencies</w:t>
      </w:r>
      <w:r>
        <w:rPr>
          <w:spacing w:val="-14"/>
          <w:sz w:val="20"/>
        </w:rPr>
        <w:t xml:space="preserve"> </w:t>
      </w:r>
      <w:r>
        <w:rPr>
          <w:sz w:val="20"/>
        </w:rPr>
        <w:t>throughout</w:t>
      </w:r>
      <w:r>
        <w:rPr>
          <w:spacing w:val="-14"/>
          <w:sz w:val="20"/>
        </w:rPr>
        <w:t xml:space="preserve"> </w:t>
      </w:r>
      <w:r>
        <w:rPr>
          <w:sz w:val="20"/>
        </w:rPr>
        <w:t>the</w:t>
      </w:r>
      <w:r>
        <w:rPr>
          <w:spacing w:val="-14"/>
          <w:sz w:val="20"/>
        </w:rPr>
        <w:t xml:space="preserve"> </w:t>
      </w:r>
      <w:r>
        <w:rPr>
          <w:sz w:val="20"/>
        </w:rPr>
        <w:t>process</w:t>
      </w:r>
    </w:p>
    <w:p w:rsidR="002C1123" w:rsidRDefault="00F22F94">
      <w:pPr>
        <w:pStyle w:val="ListParagraph"/>
        <w:numPr>
          <w:ilvl w:val="3"/>
          <w:numId w:val="24"/>
        </w:numPr>
        <w:tabs>
          <w:tab w:val="left" w:pos="514"/>
        </w:tabs>
        <w:spacing w:before="131"/>
        <w:ind w:left="513" w:hanging="285"/>
        <w:rPr>
          <w:sz w:val="20"/>
        </w:rPr>
      </w:pPr>
      <w:r>
        <w:rPr>
          <w:w w:val="95"/>
          <w:sz w:val="20"/>
        </w:rPr>
        <w:t>transparent</w:t>
      </w:r>
      <w:r>
        <w:rPr>
          <w:spacing w:val="-1"/>
          <w:sz w:val="20"/>
        </w:rPr>
        <w:t xml:space="preserve"> </w:t>
      </w:r>
      <w:r>
        <w:rPr>
          <w:w w:val="95"/>
          <w:sz w:val="20"/>
        </w:rPr>
        <w:t>scope</w:t>
      </w:r>
      <w:r>
        <w:rPr>
          <w:sz w:val="20"/>
        </w:rPr>
        <w:t xml:space="preserve"> </w:t>
      </w:r>
      <w:r>
        <w:rPr>
          <w:w w:val="95"/>
          <w:sz w:val="20"/>
        </w:rPr>
        <w:t>control</w:t>
      </w:r>
      <w:r>
        <w:rPr>
          <w:sz w:val="20"/>
        </w:rPr>
        <w:t xml:space="preserve"> </w:t>
      </w:r>
      <w:r>
        <w:rPr>
          <w:w w:val="95"/>
          <w:sz w:val="20"/>
        </w:rPr>
        <w:t>and</w:t>
      </w:r>
      <w:r>
        <w:rPr>
          <w:sz w:val="20"/>
        </w:rPr>
        <w:t xml:space="preserve"> </w:t>
      </w:r>
      <w:r>
        <w:rPr>
          <w:w w:val="95"/>
          <w:sz w:val="20"/>
        </w:rPr>
        <w:t>change</w:t>
      </w:r>
      <w:r>
        <w:rPr>
          <w:sz w:val="20"/>
        </w:rPr>
        <w:t xml:space="preserve"> </w:t>
      </w:r>
      <w:r>
        <w:rPr>
          <w:spacing w:val="-2"/>
          <w:w w:val="95"/>
          <w:sz w:val="20"/>
        </w:rPr>
        <w:t>process</w:t>
      </w:r>
    </w:p>
    <w:p w:rsidR="002C1123" w:rsidRDefault="00F22F94">
      <w:pPr>
        <w:pStyle w:val="ListParagraph"/>
        <w:numPr>
          <w:ilvl w:val="3"/>
          <w:numId w:val="24"/>
        </w:numPr>
        <w:tabs>
          <w:tab w:val="left" w:pos="514"/>
        </w:tabs>
        <w:spacing w:before="139" w:line="249" w:lineRule="auto"/>
        <w:ind w:left="513" w:right="202"/>
        <w:rPr>
          <w:sz w:val="20"/>
        </w:rPr>
      </w:pPr>
      <w:r>
        <w:rPr>
          <w:w w:val="95"/>
          <w:sz w:val="20"/>
        </w:rPr>
        <w:t>delegated</w:t>
      </w:r>
      <w:r>
        <w:rPr>
          <w:spacing w:val="-7"/>
          <w:w w:val="95"/>
          <w:sz w:val="20"/>
        </w:rPr>
        <w:t xml:space="preserve"> </w:t>
      </w:r>
      <w:r>
        <w:rPr>
          <w:w w:val="95"/>
          <w:sz w:val="20"/>
        </w:rPr>
        <w:t>authority</w:t>
      </w:r>
      <w:r>
        <w:rPr>
          <w:spacing w:val="-7"/>
          <w:w w:val="95"/>
          <w:sz w:val="20"/>
        </w:rPr>
        <w:t xml:space="preserve"> </w:t>
      </w:r>
      <w:r>
        <w:rPr>
          <w:w w:val="95"/>
          <w:sz w:val="20"/>
        </w:rPr>
        <w:t>to</w:t>
      </w:r>
      <w:r>
        <w:rPr>
          <w:spacing w:val="-7"/>
          <w:w w:val="95"/>
          <w:sz w:val="20"/>
        </w:rPr>
        <w:t xml:space="preserve"> </w:t>
      </w:r>
      <w:r>
        <w:rPr>
          <w:w w:val="95"/>
          <w:sz w:val="20"/>
        </w:rPr>
        <w:t>resolve</w:t>
      </w:r>
      <w:r>
        <w:rPr>
          <w:spacing w:val="-7"/>
          <w:w w:val="95"/>
          <w:sz w:val="20"/>
        </w:rPr>
        <w:t xml:space="preserve"> </w:t>
      </w:r>
      <w:r>
        <w:rPr>
          <w:w w:val="95"/>
          <w:sz w:val="20"/>
        </w:rPr>
        <w:t>key</w:t>
      </w:r>
      <w:r>
        <w:rPr>
          <w:spacing w:val="-7"/>
          <w:w w:val="95"/>
          <w:sz w:val="20"/>
        </w:rPr>
        <w:t xml:space="preserve"> </w:t>
      </w:r>
      <w:r>
        <w:rPr>
          <w:w w:val="95"/>
          <w:sz w:val="20"/>
        </w:rPr>
        <w:t>project</w:t>
      </w:r>
      <w:r>
        <w:rPr>
          <w:spacing w:val="-7"/>
          <w:w w:val="95"/>
          <w:sz w:val="20"/>
        </w:rPr>
        <w:t xml:space="preserve"> </w:t>
      </w:r>
      <w:r>
        <w:rPr>
          <w:w w:val="95"/>
          <w:sz w:val="20"/>
        </w:rPr>
        <w:t>issues</w:t>
      </w:r>
      <w:r>
        <w:rPr>
          <w:spacing w:val="-7"/>
          <w:w w:val="95"/>
          <w:sz w:val="20"/>
        </w:rPr>
        <w:t xml:space="preserve"> </w:t>
      </w:r>
      <w:r>
        <w:rPr>
          <w:w w:val="95"/>
          <w:sz w:val="20"/>
        </w:rPr>
        <w:t xml:space="preserve">as </w:t>
      </w:r>
      <w:r>
        <w:rPr>
          <w:sz w:val="20"/>
        </w:rPr>
        <w:t>they</w:t>
      </w:r>
      <w:r>
        <w:rPr>
          <w:spacing w:val="-11"/>
          <w:sz w:val="20"/>
        </w:rPr>
        <w:t xml:space="preserve"> </w:t>
      </w:r>
      <w:r>
        <w:rPr>
          <w:sz w:val="20"/>
        </w:rPr>
        <w:t>arise</w:t>
      </w:r>
      <w:r>
        <w:rPr>
          <w:spacing w:val="-11"/>
          <w:sz w:val="20"/>
        </w:rPr>
        <w:t xml:space="preserve"> </w:t>
      </w:r>
      <w:r>
        <w:rPr>
          <w:sz w:val="20"/>
        </w:rPr>
        <w:t>during</w:t>
      </w:r>
      <w:r>
        <w:rPr>
          <w:spacing w:val="-11"/>
          <w:sz w:val="20"/>
        </w:rPr>
        <w:t xml:space="preserve"> </w:t>
      </w:r>
      <w:r>
        <w:rPr>
          <w:sz w:val="20"/>
        </w:rPr>
        <w:t>both</w:t>
      </w:r>
      <w:r>
        <w:rPr>
          <w:spacing w:val="-11"/>
          <w:sz w:val="20"/>
        </w:rPr>
        <w:t xml:space="preserve"> </w:t>
      </w:r>
      <w:r>
        <w:rPr>
          <w:sz w:val="20"/>
        </w:rPr>
        <w:t>procurement</w:t>
      </w:r>
      <w:r>
        <w:rPr>
          <w:spacing w:val="-11"/>
          <w:sz w:val="20"/>
        </w:rPr>
        <w:t xml:space="preserve"> </w:t>
      </w:r>
      <w:r>
        <w:rPr>
          <w:sz w:val="20"/>
        </w:rPr>
        <w:t>and</w:t>
      </w:r>
      <w:r>
        <w:rPr>
          <w:spacing w:val="-11"/>
          <w:sz w:val="20"/>
        </w:rPr>
        <w:t xml:space="preserve"> </w:t>
      </w:r>
      <w:r>
        <w:rPr>
          <w:sz w:val="20"/>
        </w:rPr>
        <w:t>delivery.</w:t>
      </w:r>
    </w:p>
    <w:p w:rsidR="002C1123" w:rsidRDefault="00F22F94">
      <w:pPr>
        <w:pStyle w:val="BodyText"/>
        <w:spacing w:before="143" w:line="249" w:lineRule="auto"/>
        <w:ind w:left="229" w:right="121"/>
      </w:pPr>
      <w:r>
        <w:rPr>
          <w:w w:val="95"/>
        </w:rPr>
        <w:t>This</w:t>
      </w:r>
      <w:r>
        <w:rPr>
          <w:spacing w:val="-5"/>
          <w:w w:val="95"/>
        </w:rPr>
        <w:t xml:space="preserve"> </w:t>
      </w:r>
      <w:r>
        <w:rPr>
          <w:w w:val="95"/>
        </w:rPr>
        <w:t>is</w:t>
      </w:r>
      <w:r>
        <w:rPr>
          <w:spacing w:val="-5"/>
          <w:w w:val="95"/>
        </w:rPr>
        <w:t xml:space="preserve"> </w:t>
      </w:r>
      <w:r>
        <w:rPr>
          <w:w w:val="95"/>
        </w:rPr>
        <w:t>the</w:t>
      </w:r>
      <w:r>
        <w:rPr>
          <w:spacing w:val="-5"/>
          <w:w w:val="95"/>
        </w:rPr>
        <w:t xml:space="preserve"> </w:t>
      </w:r>
      <w:r>
        <w:rPr>
          <w:w w:val="95"/>
        </w:rPr>
        <w:t>approach</w:t>
      </w:r>
      <w:r>
        <w:rPr>
          <w:spacing w:val="-5"/>
          <w:w w:val="95"/>
        </w:rPr>
        <w:t xml:space="preserve"> </w:t>
      </w:r>
      <w:r>
        <w:rPr>
          <w:w w:val="95"/>
        </w:rPr>
        <w:t>taken</w:t>
      </w:r>
      <w:r>
        <w:rPr>
          <w:spacing w:val="-5"/>
          <w:w w:val="95"/>
        </w:rPr>
        <w:t xml:space="preserve"> </w:t>
      </w:r>
      <w:r>
        <w:rPr>
          <w:w w:val="95"/>
        </w:rPr>
        <w:t>in</w:t>
      </w:r>
      <w:r>
        <w:rPr>
          <w:spacing w:val="-5"/>
          <w:w w:val="95"/>
        </w:rPr>
        <w:t xml:space="preserve"> </w:t>
      </w:r>
      <w:r>
        <w:rPr>
          <w:w w:val="95"/>
        </w:rPr>
        <w:t>successful</w:t>
      </w:r>
      <w:r>
        <w:rPr>
          <w:spacing w:val="-5"/>
          <w:w w:val="95"/>
        </w:rPr>
        <w:t xml:space="preserve"> </w:t>
      </w:r>
      <w:r>
        <w:rPr>
          <w:w w:val="95"/>
        </w:rPr>
        <w:t xml:space="preserve">offshore </w:t>
      </w:r>
      <w:r>
        <w:t>projects</w:t>
      </w:r>
      <w:r>
        <w:rPr>
          <w:spacing w:val="-3"/>
        </w:rPr>
        <w:t xml:space="preserve"> </w:t>
      </w:r>
      <w:r>
        <w:t>and</w:t>
      </w:r>
      <w:r>
        <w:rPr>
          <w:spacing w:val="-3"/>
        </w:rPr>
        <w:t xml:space="preserve"> </w:t>
      </w:r>
      <w:r>
        <w:t>other</w:t>
      </w:r>
      <w:r>
        <w:rPr>
          <w:spacing w:val="-3"/>
        </w:rPr>
        <w:t xml:space="preserve"> </w:t>
      </w:r>
      <w:r>
        <w:t>Australian</w:t>
      </w:r>
      <w:r>
        <w:rPr>
          <w:spacing w:val="-3"/>
        </w:rPr>
        <w:t xml:space="preserve"> </w:t>
      </w:r>
      <w:r>
        <w:t>states.</w:t>
      </w:r>
    </w:p>
    <w:p w:rsidR="002C1123" w:rsidRDefault="00F22F94">
      <w:pPr>
        <w:pStyle w:val="Heading6"/>
        <w:numPr>
          <w:ilvl w:val="2"/>
          <w:numId w:val="24"/>
        </w:numPr>
        <w:tabs>
          <w:tab w:val="left" w:pos="796"/>
        </w:tabs>
        <w:spacing w:before="129"/>
        <w:ind w:left="795" w:hanging="596"/>
        <w:jc w:val="left"/>
      </w:pPr>
      <w:r>
        <w:rPr>
          <w:b w:val="0"/>
        </w:rPr>
        <w:br w:type="column"/>
      </w:r>
      <w:r>
        <w:rPr>
          <w:color w:val="00AEEF"/>
          <w:w w:val="95"/>
        </w:rPr>
        <w:t>Technical</w:t>
      </w:r>
      <w:r>
        <w:rPr>
          <w:color w:val="00AEEF"/>
          <w:spacing w:val="-11"/>
          <w:w w:val="95"/>
        </w:rPr>
        <w:t xml:space="preserve"> </w:t>
      </w:r>
      <w:r>
        <w:rPr>
          <w:color w:val="00AEEF"/>
          <w:spacing w:val="-2"/>
        </w:rPr>
        <w:t>Specifications</w:t>
      </w:r>
    </w:p>
    <w:p w:rsidR="002C1123" w:rsidRDefault="00F22F94">
      <w:pPr>
        <w:pStyle w:val="BodyText"/>
        <w:spacing w:before="95" w:line="249" w:lineRule="auto"/>
        <w:ind w:left="200" w:right="761"/>
      </w:pPr>
      <w:r>
        <w:rPr>
          <w:spacing w:val="-2"/>
        </w:rPr>
        <w:t>Innovation</w:t>
      </w:r>
      <w:r>
        <w:rPr>
          <w:spacing w:val="-7"/>
        </w:rPr>
        <w:t xml:space="preserve"> </w:t>
      </w:r>
      <w:r>
        <w:rPr>
          <w:spacing w:val="-2"/>
        </w:rPr>
        <w:t>in</w:t>
      </w:r>
      <w:r>
        <w:rPr>
          <w:spacing w:val="-7"/>
        </w:rPr>
        <w:t xml:space="preserve"> </w:t>
      </w:r>
      <w:r>
        <w:rPr>
          <w:spacing w:val="-2"/>
        </w:rPr>
        <w:t>tender</w:t>
      </w:r>
      <w:r>
        <w:rPr>
          <w:spacing w:val="-7"/>
        </w:rPr>
        <w:t xml:space="preserve"> </w:t>
      </w:r>
      <w:r>
        <w:rPr>
          <w:spacing w:val="-2"/>
        </w:rPr>
        <w:t>processes</w:t>
      </w:r>
      <w:r>
        <w:rPr>
          <w:spacing w:val="-7"/>
        </w:rPr>
        <w:t xml:space="preserve"> </w:t>
      </w:r>
      <w:r>
        <w:rPr>
          <w:spacing w:val="-2"/>
        </w:rPr>
        <w:t>can</w:t>
      </w:r>
      <w:r>
        <w:rPr>
          <w:spacing w:val="-7"/>
        </w:rPr>
        <w:t xml:space="preserve"> </w:t>
      </w:r>
      <w:r>
        <w:rPr>
          <w:spacing w:val="-2"/>
        </w:rPr>
        <w:t>save</w:t>
      </w:r>
      <w:r>
        <w:rPr>
          <w:spacing w:val="-7"/>
        </w:rPr>
        <w:t xml:space="preserve"> </w:t>
      </w:r>
      <w:r>
        <w:rPr>
          <w:spacing w:val="-2"/>
        </w:rPr>
        <w:t xml:space="preserve">Government </w:t>
      </w:r>
      <w:r>
        <w:t>money,</w:t>
      </w:r>
      <w:r>
        <w:rPr>
          <w:spacing w:val="-9"/>
        </w:rPr>
        <w:t xml:space="preserve"> </w:t>
      </w:r>
      <w:r>
        <w:t>and</w:t>
      </w:r>
      <w:r>
        <w:rPr>
          <w:spacing w:val="-9"/>
        </w:rPr>
        <w:t xml:space="preserve"> </w:t>
      </w:r>
      <w:r>
        <w:t>provide</w:t>
      </w:r>
      <w:r>
        <w:rPr>
          <w:spacing w:val="-9"/>
        </w:rPr>
        <w:t xml:space="preserve"> </w:t>
      </w:r>
      <w:r>
        <w:t>superior</w:t>
      </w:r>
      <w:r>
        <w:rPr>
          <w:spacing w:val="-9"/>
        </w:rPr>
        <w:t xml:space="preserve"> </w:t>
      </w:r>
      <w:r>
        <w:t>outcomes.</w:t>
      </w:r>
      <w:r>
        <w:rPr>
          <w:spacing w:val="-9"/>
        </w:rPr>
        <w:t xml:space="preserve"> </w:t>
      </w:r>
      <w:r>
        <w:t xml:space="preserve">However </w:t>
      </w:r>
      <w:r>
        <w:rPr>
          <w:w w:val="95"/>
        </w:rPr>
        <w:t>innovation</w:t>
      </w:r>
      <w:r>
        <w:rPr>
          <w:spacing w:val="-4"/>
          <w:w w:val="95"/>
        </w:rPr>
        <w:t xml:space="preserve"> </w:t>
      </w:r>
      <w:r>
        <w:rPr>
          <w:w w:val="95"/>
        </w:rPr>
        <w:t>can</w:t>
      </w:r>
      <w:r>
        <w:rPr>
          <w:spacing w:val="-4"/>
          <w:w w:val="95"/>
        </w:rPr>
        <w:t xml:space="preserve"> </w:t>
      </w:r>
      <w:r>
        <w:rPr>
          <w:w w:val="95"/>
        </w:rPr>
        <w:t>only</w:t>
      </w:r>
      <w:r>
        <w:rPr>
          <w:spacing w:val="-4"/>
          <w:w w:val="95"/>
        </w:rPr>
        <w:t xml:space="preserve"> </w:t>
      </w:r>
      <w:r>
        <w:rPr>
          <w:w w:val="95"/>
        </w:rPr>
        <w:t>be</w:t>
      </w:r>
      <w:r>
        <w:rPr>
          <w:spacing w:val="-4"/>
          <w:w w:val="95"/>
        </w:rPr>
        <w:t xml:space="preserve"> </w:t>
      </w:r>
      <w:r>
        <w:rPr>
          <w:w w:val="95"/>
        </w:rPr>
        <w:t>applied</w:t>
      </w:r>
      <w:r>
        <w:rPr>
          <w:spacing w:val="-4"/>
          <w:w w:val="95"/>
        </w:rPr>
        <w:t xml:space="preserve"> </w:t>
      </w:r>
      <w:r>
        <w:rPr>
          <w:w w:val="95"/>
        </w:rPr>
        <w:t>in</w:t>
      </w:r>
      <w:r>
        <w:rPr>
          <w:spacing w:val="-4"/>
          <w:w w:val="95"/>
        </w:rPr>
        <w:t xml:space="preserve"> </w:t>
      </w:r>
      <w:r>
        <w:rPr>
          <w:w w:val="95"/>
        </w:rPr>
        <w:t>tender</w:t>
      </w:r>
      <w:r>
        <w:rPr>
          <w:spacing w:val="-4"/>
          <w:w w:val="95"/>
        </w:rPr>
        <w:t xml:space="preserve"> </w:t>
      </w:r>
      <w:r>
        <w:rPr>
          <w:w w:val="95"/>
        </w:rPr>
        <w:t>processes</w:t>
      </w:r>
      <w:r>
        <w:rPr>
          <w:spacing w:val="-4"/>
          <w:w w:val="95"/>
        </w:rPr>
        <w:t xml:space="preserve"> </w:t>
      </w:r>
      <w:r>
        <w:rPr>
          <w:w w:val="95"/>
        </w:rPr>
        <w:t xml:space="preserve">that </w:t>
      </w:r>
      <w:r>
        <w:t>facilitate</w:t>
      </w:r>
      <w:r>
        <w:rPr>
          <w:spacing w:val="-14"/>
        </w:rPr>
        <w:t xml:space="preserve"> </w:t>
      </w:r>
      <w:r>
        <w:t>and</w:t>
      </w:r>
      <w:r>
        <w:rPr>
          <w:spacing w:val="-14"/>
        </w:rPr>
        <w:t xml:space="preserve"> </w:t>
      </w:r>
      <w:r>
        <w:t>reward</w:t>
      </w:r>
      <w:r>
        <w:rPr>
          <w:spacing w:val="-14"/>
        </w:rPr>
        <w:t xml:space="preserve"> </w:t>
      </w:r>
      <w:r>
        <w:t>innovative</w:t>
      </w:r>
      <w:r>
        <w:rPr>
          <w:spacing w:val="-14"/>
        </w:rPr>
        <w:t xml:space="preserve"> </w:t>
      </w:r>
      <w:r>
        <w:t>thinking.</w:t>
      </w:r>
    </w:p>
    <w:p w:rsidR="002C1123" w:rsidRDefault="00F22F94">
      <w:pPr>
        <w:pStyle w:val="BodyText"/>
        <w:spacing w:before="146" w:line="249" w:lineRule="auto"/>
        <w:ind w:left="200" w:right="761"/>
      </w:pPr>
      <w:r>
        <w:t>There</w:t>
      </w:r>
      <w:r>
        <w:rPr>
          <w:spacing w:val="-7"/>
        </w:rPr>
        <w:t xml:space="preserve"> </w:t>
      </w:r>
      <w:r>
        <w:t>are</w:t>
      </w:r>
      <w:r>
        <w:rPr>
          <w:spacing w:val="-7"/>
        </w:rPr>
        <w:t xml:space="preserve"> </w:t>
      </w:r>
      <w:r>
        <w:t>two</w:t>
      </w:r>
      <w:r>
        <w:rPr>
          <w:spacing w:val="-7"/>
        </w:rPr>
        <w:t xml:space="preserve"> </w:t>
      </w:r>
      <w:r>
        <w:t>distinctly</w:t>
      </w:r>
      <w:r>
        <w:rPr>
          <w:spacing w:val="-7"/>
        </w:rPr>
        <w:t xml:space="preserve"> </w:t>
      </w:r>
      <w:r>
        <w:t>different</w:t>
      </w:r>
      <w:r>
        <w:rPr>
          <w:spacing w:val="-7"/>
        </w:rPr>
        <w:t xml:space="preserve"> </w:t>
      </w:r>
      <w:r>
        <w:t>approaches</w:t>
      </w:r>
      <w:r>
        <w:rPr>
          <w:spacing w:val="-7"/>
        </w:rPr>
        <w:t xml:space="preserve"> </w:t>
      </w:r>
      <w:r>
        <w:t xml:space="preserve">to </w:t>
      </w:r>
      <w:r>
        <w:rPr>
          <w:w w:val="95"/>
        </w:rPr>
        <w:t>technical specification in infrastructure tenders, which have</w:t>
      </w:r>
      <w:r>
        <w:rPr>
          <w:spacing w:val="-1"/>
          <w:w w:val="95"/>
        </w:rPr>
        <w:t xml:space="preserve"> </w:t>
      </w:r>
      <w:r>
        <w:rPr>
          <w:w w:val="95"/>
        </w:rPr>
        <w:t>a</w:t>
      </w:r>
      <w:r>
        <w:rPr>
          <w:spacing w:val="-1"/>
          <w:w w:val="95"/>
        </w:rPr>
        <w:t xml:space="preserve"> </w:t>
      </w:r>
      <w:r>
        <w:rPr>
          <w:w w:val="95"/>
        </w:rPr>
        <w:t>major</w:t>
      </w:r>
      <w:r>
        <w:rPr>
          <w:spacing w:val="-1"/>
          <w:w w:val="95"/>
        </w:rPr>
        <w:t xml:space="preserve"> </w:t>
      </w:r>
      <w:r>
        <w:rPr>
          <w:w w:val="95"/>
        </w:rPr>
        <w:t>impact</w:t>
      </w:r>
      <w:r>
        <w:rPr>
          <w:spacing w:val="-1"/>
          <w:w w:val="95"/>
        </w:rPr>
        <w:t xml:space="preserve"> </w:t>
      </w:r>
      <w:r>
        <w:rPr>
          <w:w w:val="95"/>
        </w:rPr>
        <w:t>on</w:t>
      </w:r>
      <w:r>
        <w:rPr>
          <w:spacing w:val="-1"/>
          <w:w w:val="95"/>
        </w:rPr>
        <w:t xml:space="preserve"> </w:t>
      </w:r>
      <w:r>
        <w:rPr>
          <w:w w:val="95"/>
        </w:rPr>
        <w:t>the</w:t>
      </w:r>
      <w:r>
        <w:rPr>
          <w:spacing w:val="-1"/>
          <w:w w:val="95"/>
        </w:rPr>
        <w:t xml:space="preserve"> </w:t>
      </w:r>
      <w:r>
        <w:rPr>
          <w:w w:val="95"/>
        </w:rPr>
        <w:t>level</w:t>
      </w:r>
      <w:r>
        <w:rPr>
          <w:spacing w:val="-1"/>
          <w:w w:val="95"/>
        </w:rPr>
        <w:t xml:space="preserve"> </w:t>
      </w:r>
      <w:r>
        <w:rPr>
          <w:w w:val="95"/>
        </w:rPr>
        <w:t>of</w:t>
      </w:r>
      <w:r>
        <w:rPr>
          <w:spacing w:val="-1"/>
          <w:w w:val="95"/>
        </w:rPr>
        <w:t xml:space="preserve"> </w:t>
      </w:r>
      <w:r>
        <w:rPr>
          <w:w w:val="95"/>
        </w:rPr>
        <w:t>innovation:</w:t>
      </w:r>
      <w:r>
        <w:rPr>
          <w:spacing w:val="-1"/>
          <w:w w:val="95"/>
        </w:rPr>
        <w:t xml:space="preserve"> </w:t>
      </w:r>
      <w:r>
        <w:rPr>
          <w:w w:val="95"/>
        </w:rPr>
        <w:t xml:space="preserve">output </w:t>
      </w:r>
      <w:r>
        <w:t>specification and input specification.</w:t>
      </w:r>
    </w:p>
    <w:p w:rsidR="002C1123" w:rsidRDefault="00F22F94">
      <w:pPr>
        <w:pStyle w:val="BodyText"/>
        <w:spacing w:before="145" w:line="249" w:lineRule="auto"/>
        <w:ind w:left="200" w:right="761"/>
      </w:pPr>
      <w:r>
        <w:t>An</w:t>
      </w:r>
      <w:r>
        <w:rPr>
          <w:spacing w:val="-2"/>
        </w:rPr>
        <w:t xml:space="preserve"> </w:t>
      </w:r>
      <w:r>
        <w:t>output</w:t>
      </w:r>
      <w:r>
        <w:rPr>
          <w:spacing w:val="-2"/>
        </w:rPr>
        <w:t xml:space="preserve"> </w:t>
      </w:r>
      <w:r>
        <w:t>specification</w:t>
      </w:r>
      <w:r>
        <w:rPr>
          <w:spacing w:val="-2"/>
        </w:rPr>
        <w:t xml:space="preserve"> </w:t>
      </w:r>
      <w:r>
        <w:t>defines</w:t>
      </w:r>
      <w:r>
        <w:rPr>
          <w:spacing w:val="-2"/>
        </w:rPr>
        <w:t xml:space="preserve"> </w:t>
      </w:r>
      <w:r>
        <w:t>the</w:t>
      </w:r>
      <w:r>
        <w:rPr>
          <w:spacing w:val="-2"/>
        </w:rPr>
        <w:t xml:space="preserve"> </w:t>
      </w:r>
      <w:r>
        <w:t xml:space="preserve">performance </w:t>
      </w:r>
      <w:r>
        <w:rPr>
          <w:w w:val="95"/>
        </w:rPr>
        <w:t xml:space="preserve">outcome required by Government. By contrast, an input specification defines how the solution is to be provided. </w:t>
      </w:r>
      <w:r>
        <w:t>The</w:t>
      </w:r>
      <w:r>
        <w:rPr>
          <w:spacing w:val="-14"/>
        </w:rPr>
        <w:t xml:space="preserve"> </w:t>
      </w:r>
      <w:r>
        <w:t>two</w:t>
      </w:r>
      <w:r>
        <w:rPr>
          <w:spacing w:val="-14"/>
        </w:rPr>
        <w:t xml:space="preserve"> </w:t>
      </w:r>
      <w:r>
        <w:t>approaches</w:t>
      </w:r>
      <w:r>
        <w:rPr>
          <w:spacing w:val="-14"/>
        </w:rPr>
        <w:t xml:space="preserve"> </w:t>
      </w:r>
      <w:r>
        <w:t>are</w:t>
      </w:r>
      <w:r>
        <w:rPr>
          <w:spacing w:val="-14"/>
        </w:rPr>
        <w:t xml:space="preserve"> </w:t>
      </w:r>
      <w:r>
        <w:t>compared</w:t>
      </w:r>
      <w:r>
        <w:rPr>
          <w:spacing w:val="-14"/>
        </w:rPr>
        <w:t xml:space="preserve"> </w:t>
      </w:r>
      <w:r>
        <w:t>in</w:t>
      </w:r>
      <w:r>
        <w:rPr>
          <w:spacing w:val="-14"/>
        </w:rPr>
        <w:t xml:space="preserve"> </w:t>
      </w:r>
      <w:r>
        <w:t>the</w:t>
      </w:r>
      <w:r>
        <w:rPr>
          <w:spacing w:val="-14"/>
        </w:rPr>
        <w:t xml:space="preserve"> </w:t>
      </w:r>
      <w:r>
        <w:t>Table</w:t>
      </w:r>
      <w:r>
        <w:rPr>
          <w:spacing w:val="-14"/>
        </w:rPr>
        <w:t xml:space="preserve"> </w:t>
      </w:r>
      <w:r>
        <w:t>16.1.</w:t>
      </w:r>
    </w:p>
    <w:p w:rsidR="002C1123" w:rsidRDefault="002060EF">
      <w:pPr>
        <w:pStyle w:val="BodyText"/>
        <w:spacing w:before="9"/>
        <w:rPr>
          <w:sz w:val="12"/>
        </w:rPr>
      </w:pPr>
      <w:r>
        <w:pict>
          <v:shape id="docshape2910" o:spid="_x0000_s1113" type="#_x0000_t202" style="position:absolute;margin-left:552.3pt;margin-top:8.6pt;width:240pt;height:81.35pt;z-index:-251316224;mso-wrap-distance-left:0;mso-wrap-distance-right:0;mso-position-horizontal-relative:page" fillcolor="#e1e0e1" stroked="f">
            <v:textbox inset="0,0,0,0">
              <w:txbxContent>
                <w:p w:rsidR="00F22F94" w:rsidRDefault="00F22F94">
                  <w:pPr>
                    <w:pStyle w:val="BodyText"/>
                    <w:spacing w:before="68" w:line="249" w:lineRule="auto"/>
                    <w:ind w:left="113" w:right="122"/>
                    <w:rPr>
                      <w:color w:val="000000"/>
                    </w:rPr>
                  </w:pPr>
                  <w:r>
                    <w:rPr>
                      <w:b/>
                      <w:color w:val="00AEEF"/>
                    </w:rPr>
                    <w:t>Recommendation</w:t>
                  </w:r>
                  <w:r>
                    <w:rPr>
                      <w:b/>
                      <w:color w:val="00AEEF"/>
                      <w:spacing w:val="40"/>
                    </w:rPr>
                    <w:t xml:space="preserve"> </w:t>
                  </w:r>
                  <w:r>
                    <w:rPr>
                      <w:color w:val="000000"/>
                    </w:rPr>
                    <w:t>Output specifications, rather than</w:t>
                  </w:r>
                  <w:r>
                    <w:rPr>
                      <w:color w:val="000000"/>
                      <w:spacing w:val="-7"/>
                    </w:rPr>
                    <w:t xml:space="preserve"> </w:t>
                  </w:r>
                  <w:r>
                    <w:rPr>
                      <w:color w:val="000000"/>
                    </w:rPr>
                    <w:t>input</w:t>
                  </w:r>
                  <w:r>
                    <w:rPr>
                      <w:color w:val="000000"/>
                      <w:spacing w:val="-7"/>
                    </w:rPr>
                    <w:t xml:space="preserve"> </w:t>
                  </w:r>
                  <w:r>
                    <w:rPr>
                      <w:color w:val="000000"/>
                    </w:rPr>
                    <w:t>specifications,</w:t>
                  </w:r>
                  <w:r>
                    <w:rPr>
                      <w:color w:val="000000"/>
                      <w:spacing w:val="-7"/>
                    </w:rPr>
                    <w:t xml:space="preserve"> </w:t>
                  </w:r>
                  <w:r>
                    <w:rPr>
                      <w:color w:val="000000"/>
                    </w:rPr>
                    <w:t>should</w:t>
                  </w:r>
                  <w:r>
                    <w:rPr>
                      <w:color w:val="000000"/>
                      <w:spacing w:val="-7"/>
                    </w:rPr>
                    <w:t xml:space="preserve"> </w:t>
                  </w:r>
                  <w:r>
                    <w:rPr>
                      <w:color w:val="000000"/>
                    </w:rPr>
                    <w:t>be</w:t>
                  </w:r>
                  <w:r>
                    <w:rPr>
                      <w:color w:val="000000"/>
                      <w:spacing w:val="-7"/>
                    </w:rPr>
                    <w:t xml:space="preserve"> </w:t>
                  </w:r>
                  <w:r>
                    <w:rPr>
                      <w:color w:val="000000"/>
                    </w:rPr>
                    <w:t>used</w:t>
                  </w:r>
                  <w:r>
                    <w:rPr>
                      <w:color w:val="000000"/>
                      <w:spacing w:val="-7"/>
                    </w:rPr>
                    <w:t xml:space="preserve"> </w:t>
                  </w:r>
                  <w:r>
                    <w:rPr>
                      <w:color w:val="000000"/>
                    </w:rPr>
                    <w:t>for</w:t>
                  </w:r>
                  <w:r>
                    <w:rPr>
                      <w:color w:val="000000"/>
                      <w:spacing w:val="-7"/>
                    </w:rPr>
                    <w:t xml:space="preserve"> </w:t>
                  </w:r>
                  <w:r>
                    <w:rPr>
                      <w:color w:val="000000"/>
                    </w:rPr>
                    <w:t>the procurement</w:t>
                  </w:r>
                  <w:r>
                    <w:rPr>
                      <w:color w:val="000000"/>
                      <w:spacing w:val="-9"/>
                    </w:rPr>
                    <w:t xml:space="preserve"> </w:t>
                  </w:r>
                  <w:r>
                    <w:rPr>
                      <w:color w:val="000000"/>
                    </w:rPr>
                    <w:t>of</w:t>
                  </w:r>
                  <w:r>
                    <w:rPr>
                      <w:color w:val="000000"/>
                      <w:spacing w:val="-9"/>
                    </w:rPr>
                    <w:t xml:space="preserve"> </w:t>
                  </w:r>
                  <w:r>
                    <w:rPr>
                      <w:color w:val="000000"/>
                    </w:rPr>
                    <w:t>major</w:t>
                  </w:r>
                  <w:r>
                    <w:rPr>
                      <w:color w:val="000000"/>
                      <w:spacing w:val="-9"/>
                    </w:rPr>
                    <w:t xml:space="preserve"> </w:t>
                  </w:r>
                  <w:r>
                    <w:rPr>
                      <w:color w:val="000000"/>
                    </w:rPr>
                    <w:t>infrastructure</w:t>
                  </w:r>
                  <w:r>
                    <w:rPr>
                      <w:color w:val="000000"/>
                      <w:spacing w:val="-9"/>
                    </w:rPr>
                    <w:t xml:space="preserve"> </w:t>
                  </w:r>
                  <w:r>
                    <w:rPr>
                      <w:color w:val="000000"/>
                    </w:rPr>
                    <w:t>projects.</w:t>
                  </w:r>
                  <w:r>
                    <w:rPr>
                      <w:color w:val="000000"/>
                      <w:spacing w:val="-9"/>
                    </w:rPr>
                    <w:t xml:space="preserve"> </w:t>
                  </w:r>
                  <w:r>
                    <w:rPr>
                      <w:color w:val="000000"/>
                    </w:rPr>
                    <w:t xml:space="preserve">This </w:t>
                  </w:r>
                  <w:r>
                    <w:rPr>
                      <w:color w:val="000000"/>
                      <w:w w:val="95"/>
                    </w:rPr>
                    <w:t>approach</w:t>
                  </w:r>
                  <w:r>
                    <w:rPr>
                      <w:color w:val="000000"/>
                      <w:spacing w:val="-8"/>
                      <w:w w:val="95"/>
                    </w:rPr>
                    <w:t xml:space="preserve"> </w:t>
                  </w:r>
                  <w:r>
                    <w:rPr>
                      <w:color w:val="000000"/>
                      <w:w w:val="95"/>
                    </w:rPr>
                    <w:t>is</w:t>
                  </w:r>
                  <w:r>
                    <w:rPr>
                      <w:color w:val="000000"/>
                      <w:spacing w:val="-8"/>
                      <w:w w:val="95"/>
                    </w:rPr>
                    <w:t xml:space="preserve"> </w:t>
                  </w:r>
                  <w:r>
                    <w:rPr>
                      <w:color w:val="000000"/>
                      <w:w w:val="95"/>
                    </w:rPr>
                    <w:t>most</w:t>
                  </w:r>
                  <w:r>
                    <w:rPr>
                      <w:color w:val="000000"/>
                      <w:spacing w:val="-8"/>
                      <w:w w:val="95"/>
                    </w:rPr>
                    <w:t xml:space="preserve"> </w:t>
                  </w:r>
                  <w:r>
                    <w:rPr>
                      <w:color w:val="000000"/>
                      <w:w w:val="95"/>
                    </w:rPr>
                    <w:t>likely</w:t>
                  </w:r>
                  <w:r>
                    <w:rPr>
                      <w:color w:val="000000"/>
                      <w:spacing w:val="-8"/>
                      <w:w w:val="95"/>
                    </w:rPr>
                    <w:t xml:space="preserve"> </w:t>
                  </w:r>
                  <w:r>
                    <w:rPr>
                      <w:color w:val="000000"/>
                      <w:w w:val="95"/>
                    </w:rPr>
                    <w:t>to</w:t>
                  </w:r>
                  <w:r>
                    <w:rPr>
                      <w:color w:val="000000"/>
                      <w:spacing w:val="-8"/>
                      <w:w w:val="95"/>
                    </w:rPr>
                    <w:t xml:space="preserve"> </w:t>
                  </w:r>
                  <w:r>
                    <w:rPr>
                      <w:color w:val="000000"/>
                      <w:w w:val="95"/>
                    </w:rPr>
                    <w:t>improve</w:t>
                  </w:r>
                  <w:r>
                    <w:rPr>
                      <w:color w:val="000000"/>
                      <w:spacing w:val="-8"/>
                      <w:w w:val="95"/>
                    </w:rPr>
                    <w:t xml:space="preserve"> </w:t>
                  </w:r>
                  <w:r>
                    <w:rPr>
                      <w:color w:val="000000"/>
                      <w:w w:val="95"/>
                    </w:rPr>
                    <w:t>the</w:t>
                  </w:r>
                  <w:r>
                    <w:rPr>
                      <w:color w:val="000000"/>
                      <w:spacing w:val="-8"/>
                      <w:w w:val="95"/>
                    </w:rPr>
                    <w:t xml:space="preserve"> </w:t>
                  </w:r>
                  <w:r>
                    <w:rPr>
                      <w:color w:val="000000"/>
                      <w:w w:val="95"/>
                    </w:rPr>
                    <w:t>value</w:t>
                  </w:r>
                  <w:r>
                    <w:rPr>
                      <w:color w:val="000000"/>
                      <w:spacing w:val="-8"/>
                      <w:w w:val="95"/>
                    </w:rPr>
                    <w:t xml:space="preserve"> </w:t>
                  </w:r>
                  <w:r>
                    <w:rPr>
                      <w:color w:val="000000"/>
                      <w:w w:val="95"/>
                    </w:rPr>
                    <w:t>for</w:t>
                  </w:r>
                  <w:r>
                    <w:rPr>
                      <w:color w:val="000000"/>
                      <w:spacing w:val="-8"/>
                      <w:w w:val="95"/>
                    </w:rPr>
                    <w:t xml:space="preserve"> </w:t>
                  </w:r>
                  <w:r>
                    <w:rPr>
                      <w:color w:val="000000"/>
                      <w:w w:val="95"/>
                    </w:rPr>
                    <w:t xml:space="preserve">money in infrastructure procurement, by encouraging private </w:t>
                  </w:r>
                  <w:r>
                    <w:rPr>
                      <w:color w:val="000000"/>
                    </w:rPr>
                    <w:t>sector</w:t>
                  </w:r>
                  <w:r>
                    <w:rPr>
                      <w:color w:val="000000"/>
                      <w:spacing w:val="-11"/>
                    </w:rPr>
                    <w:t xml:space="preserve"> </w:t>
                  </w:r>
                  <w:r>
                    <w:rPr>
                      <w:color w:val="000000"/>
                    </w:rPr>
                    <w:t>innovation.</w:t>
                  </w:r>
                </w:p>
              </w:txbxContent>
            </v:textbox>
            <w10:wrap type="topAndBottom" anchorx="page"/>
          </v:shape>
        </w:pict>
      </w:r>
    </w:p>
    <w:p w:rsidR="002C1123" w:rsidRDefault="002C1123">
      <w:pPr>
        <w:pStyle w:val="BodyText"/>
        <w:spacing w:before="2"/>
        <w:rPr>
          <w:sz w:val="22"/>
        </w:rPr>
      </w:pPr>
    </w:p>
    <w:p w:rsidR="002C1123" w:rsidRDefault="00F22F94">
      <w:pPr>
        <w:pStyle w:val="Heading6"/>
        <w:numPr>
          <w:ilvl w:val="2"/>
          <w:numId w:val="24"/>
        </w:numPr>
        <w:tabs>
          <w:tab w:val="left" w:pos="796"/>
        </w:tabs>
        <w:spacing w:before="1"/>
        <w:ind w:left="795" w:hanging="596"/>
        <w:jc w:val="left"/>
      </w:pPr>
      <w:r>
        <w:rPr>
          <w:color w:val="00AEEF"/>
          <w:spacing w:val="-2"/>
        </w:rPr>
        <w:t>Project</w:t>
      </w:r>
      <w:r>
        <w:rPr>
          <w:color w:val="00AEEF"/>
          <w:spacing w:val="-5"/>
        </w:rPr>
        <w:t xml:space="preserve"> </w:t>
      </w:r>
      <w:r>
        <w:rPr>
          <w:color w:val="00AEEF"/>
          <w:spacing w:val="-2"/>
        </w:rPr>
        <w:t>Contingency</w:t>
      </w:r>
    </w:p>
    <w:p w:rsidR="002C1123" w:rsidRDefault="00F22F94">
      <w:pPr>
        <w:pStyle w:val="BodyText"/>
        <w:spacing w:before="95" w:line="249" w:lineRule="auto"/>
        <w:ind w:left="200" w:right="761"/>
      </w:pPr>
      <w:r>
        <w:t>All</w:t>
      </w:r>
      <w:r>
        <w:rPr>
          <w:spacing w:val="-14"/>
        </w:rPr>
        <w:t xml:space="preserve"> </w:t>
      </w:r>
      <w:r>
        <w:t>infrastructure</w:t>
      </w:r>
      <w:r>
        <w:rPr>
          <w:spacing w:val="-14"/>
        </w:rPr>
        <w:t xml:space="preserve"> </w:t>
      </w:r>
      <w:r>
        <w:t>projects</w:t>
      </w:r>
      <w:r>
        <w:rPr>
          <w:spacing w:val="-14"/>
        </w:rPr>
        <w:t xml:space="preserve"> </w:t>
      </w:r>
      <w:r>
        <w:t>require</w:t>
      </w:r>
      <w:r>
        <w:rPr>
          <w:spacing w:val="-14"/>
        </w:rPr>
        <w:t xml:space="preserve"> </w:t>
      </w:r>
      <w:r>
        <w:t>a</w:t>
      </w:r>
      <w:r>
        <w:rPr>
          <w:spacing w:val="-14"/>
        </w:rPr>
        <w:t xml:space="preserve"> </w:t>
      </w:r>
      <w:r>
        <w:t>contingency</w:t>
      </w:r>
      <w:r>
        <w:rPr>
          <w:spacing w:val="-14"/>
        </w:rPr>
        <w:t xml:space="preserve"> </w:t>
      </w:r>
      <w:r>
        <w:t>to</w:t>
      </w:r>
      <w:r>
        <w:rPr>
          <w:spacing w:val="-14"/>
        </w:rPr>
        <w:t xml:space="preserve"> </w:t>
      </w:r>
      <w:r>
        <w:t xml:space="preserve">pay </w:t>
      </w:r>
      <w:r>
        <w:rPr>
          <w:w w:val="95"/>
        </w:rPr>
        <w:t>for</w:t>
      </w:r>
      <w:r>
        <w:rPr>
          <w:spacing w:val="-6"/>
          <w:w w:val="95"/>
        </w:rPr>
        <w:t xml:space="preserve"> </w:t>
      </w:r>
      <w:r>
        <w:rPr>
          <w:w w:val="95"/>
        </w:rPr>
        <w:t>unanticipated</w:t>
      </w:r>
      <w:r>
        <w:rPr>
          <w:spacing w:val="-6"/>
          <w:w w:val="95"/>
        </w:rPr>
        <w:t xml:space="preserve"> </w:t>
      </w:r>
      <w:r>
        <w:rPr>
          <w:w w:val="95"/>
        </w:rPr>
        <w:t>cost</w:t>
      </w:r>
      <w:r>
        <w:rPr>
          <w:spacing w:val="-6"/>
          <w:w w:val="95"/>
        </w:rPr>
        <w:t xml:space="preserve"> </w:t>
      </w:r>
      <w:r>
        <w:rPr>
          <w:w w:val="95"/>
        </w:rPr>
        <w:t>items.</w:t>
      </w:r>
      <w:r>
        <w:rPr>
          <w:spacing w:val="-6"/>
          <w:w w:val="95"/>
        </w:rPr>
        <w:t xml:space="preserve"> </w:t>
      </w:r>
      <w:r>
        <w:rPr>
          <w:w w:val="95"/>
        </w:rPr>
        <w:t>The</w:t>
      </w:r>
      <w:r>
        <w:rPr>
          <w:spacing w:val="-6"/>
          <w:w w:val="95"/>
        </w:rPr>
        <w:t xml:space="preserve"> </w:t>
      </w:r>
      <w:r>
        <w:rPr>
          <w:w w:val="95"/>
        </w:rPr>
        <w:t>level</w:t>
      </w:r>
      <w:r>
        <w:rPr>
          <w:spacing w:val="-6"/>
          <w:w w:val="95"/>
        </w:rPr>
        <w:t xml:space="preserve"> </w:t>
      </w:r>
      <w:r>
        <w:rPr>
          <w:w w:val="95"/>
        </w:rPr>
        <w:t>of</w:t>
      </w:r>
      <w:r>
        <w:rPr>
          <w:spacing w:val="-6"/>
          <w:w w:val="95"/>
        </w:rPr>
        <w:t xml:space="preserve"> </w:t>
      </w:r>
      <w:r>
        <w:rPr>
          <w:w w:val="95"/>
        </w:rPr>
        <w:t>contingency</w:t>
      </w:r>
      <w:r>
        <w:rPr>
          <w:spacing w:val="-6"/>
          <w:w w:val="95"/>
        </w:rPr>
        <w:t xml:space="preserve"> </w:t>
      </w:r>
      <w:r>
        <w:rPr>
          <w:w w:val="95"/>
        </w:rPr>
        <w:t xml:space="preserve">for </w:t>
      </w:r>
      <w:r>
        <w:t>major</w:t>
      </w:r>
      <w:r>
        <w:rPr>
          <w:spacing w:val="-11"/>
        </w:rPr>
        <w:t xml:space="preserve"> </w:t>
      </w:r>
      <w:r>
        <w:t>infrastructure</w:t>
      </w:r>
      <w:r>
        <w:rPr>
          <w:spacing w:val="-11"/>
        </w:rPr>
        <w:t xml:space="preserve"> </w:t>
      </w:r>
      <w:r>
        <w:t>will</w:t>
      </w:r>
      <w:r>
        <w:rPr>
          <w:spacing w:val="-11"/>
        </w:rPr>
        <w:t xml:space="preserve"> </w:t>
      </w:r>
      <w:r>
        <w:t>vary</w:t>
      </w:r>
      <w:r>
        <w:rPr>
          <w:spacing w:val="-11"/>
        </w:rPr>
        <w:t xml:space="preserve"> </w:t>
      </w:r>
      <w:r>
        <w:t>depending</w:t>
      </w:r>
      <w:r>
        <w:rPr>
          <w:spacing w:val="-11"/>
        </w:rPr>
        <w:t xml:space="preserve"> </w:t>
      </w:r>
      <w:r>
        <w:t>on</w:t>
      </w:r>
      <w:r>
        <w:rPr>
          <w:spacing w:val="-11"/>
        </w:rPr>
        <w:t xml:space="preserve"> </w:t>
      </w:r>
      <w:r>
        <w:t>the</w:t>
      </w:r>
      <w:r>
        <w:rPr>
          <w:spacing w:val="-11"/>
        </w:rPr>
        <w:t xml:space="preserve"> </w:t>
      </w:r>
      <w:r>
        <w:t>project risk</w:t>
      </w:r>
      <w:r>
        <w:rPr>
          <w:spacing w:val="-14"/>
        </w:rPr>
        <w:t xml:space="preserve"> </w:t>
      </w:r>
      <w:r>
        <w:t>assessment,</w:t>
      </w:r>
      <w:r>
        <w:rPr>
          <w:spacing w:val="-14"/>
        </w:rPr>
        <w:t xml:space="preserve"> </w:t>
      </w:r>
      <w:r>
        <w:t>but</w:t>
      </w:r>
      <w:r>
        <w:rPr>
          <w:spacing w:val="-14"/>
        </w:rPr>
        <w:t xml:space="preserve"> </w:t>
      </w:r>
      <w:r>
        <w:t>will</w:t>
      </w:r>
      <w:r>
        <w:rPr>
          <w:spacing w:val="-14"/>
        </w:rPr>
        <w:t xml:space="preserve"> </w:t>
      </w:r>
      <w:r>
        <w:t>generally</w:t>
      </w:r>
      <w:r>
        <w:rPr>
          <w:spacing w:val="-14"/>
        </w:rPr>
        <w:t xml:space="preserve"> </w:t>
      </w:r>
      <w:r>
        <w:t>be</w:t>
      </w:r>
      <w:r>
        <w:rPr>
          <w:spacing w:val="-14"/>
        </w:rPr>
        <w:t xml:space="preserve"> </w:t>
      </w:r>
      <w:r>
        <w:t>in</w:t>
      </w:r>
      <w:r>
        <w:rPr>
          <w:spacing w:val="-14"/>
        </w:rPr>
        <w:t xml:space="preserve"> </w:t>
      </w:r>
      <w:r>
        <w:t>the</w:t>
      </w:r>
      <w:r>
        <w:rPr>
          <w:spacing w:val="-14"/>
        </w:rPr>
        <w:t xml:space="preserve"> </w:t>
      </w:r>
      <w:r>
        <w:t>range</w:t>
      </w:r>
      <w:r>
        <w:rPr>
          <w:spacing w:val="-14"/>
        </w:rPr>
        <w:t xml:space="preserve"> </w:t>
      </w:r>
      <w:r>
        <w:t>of</w:t>
      </w:r>
    </w:p>
    <w:p w:rsidR="002C1123" w:rsidRDefault="00F22F94">
      <w:pPr>
        <w:pStyle w:val="BodyText"/>
        <w:spacing w:before="3"/>
        <w:ind w:left="200"/>
      </w:pPr>
      <w:r>
        <w:rPr>
          <w:w w:val="95"/>
        </w:rPr>
        <w:t>15</w:t>
      </w:r>
      <w:r>
        <w:rPr>
          <w:spacing w:val="-3"/>
          <w:w w:val="95"/>
        </w:rPr>
        <w:t xml:space="preserve"> </w:t>
      </w:r>
      <w:r>
        <w:rPr>
          <w:w w:val="95"/>
        </w:rPr>
        <w:t>percent</w:t>
      </w:r>
      <w:r>
        <w:rPr>
          <w:spacing w:val="-3"/>
          <w:w w:val="95"/>
        </w:rPr>
        <w:t xml:space="preserve"> </w:t>
      </w:r>
      <w:r>
        <w:rPr>
          <w:w w:val="95"/>
        </w:rPr>
        <w:t>to</w:t>
      </w:r>
      <w:r>
        <w:rPr>
          <w:spacing w:val="-3"/>
          <w:w w:val="95"/>
        </w:rPr>
        <w:t xml:space="preserve"> </w:t>
      </w:r>
      <w:r>
        <w:rPr>
          <w:w w:val="95"/>
        </w:rPr>
        <w:t>30</w:t>
      </w:r>
      <w:r>
        <w:rPr>
          <w:spacing w:val="-3"/>
          <w:w w:val="95"/>
        </w:rPr>
        <w:t xml:space="preserve"> </w:t>
      </w:r>
      <w:r>
        <w:rPr>
          <w:w w:val="95"/>
        </w:rPr>
        <w:t>percent</w:t>
      </w:r>
      <w:r>
        <w:rPr>
          <w:spacing w:val="-3"/>
          <w:w w:val="95"/>
        </w:rPr>
        <w:t xml:space="preserve"> </w:t>
      </w:r>
      <w:r>
        <w:rPr>
          <w:w w:val="95"/>
        </w:rPr>
        <w:t>of</w:t>
      </w:r>
      <w:r>
        <w:rPr>
          <w:spacing w:val="-3"/>
          <w:w w:val="95"/>
        </w:rPr>
        <w:t xml:space="preserve"> </w:t>
      </w:r>
      <w:r>
        <w:rPr>
          <w:w w:val="95"/>
        </w:rPr>
        <w:t>the</w:t>
      </w:r>
      <w:r>
        <w:rPr>
          <w:spacing w:val="-3"/>
          <w:w w:val="95"/>
        </w:rPr>
        <w:t xml:space="preserve"> </w:t>
      </w:r>
      <w:r>
        <w:rPr>
          <w:spacing w:val="-4"/>
          <w:w w:val="95"/>
        </w:rPr>
        <w:t>cost.</w:t>
      </w:r>
    </w:p>
    <w:p w:rsidR="002C1123" w:rsidRDefault="002C1123">
      <w:pPr>
        <w:sectPr w:rsidR="002C1123">
          <w:type w:val="continuous"/>
          <w:pgSz w:w="16840" w:h="11910" w:orient="landscape"/>
          <w:pgMar w:top="560" w:right="280" w:bottom="280" w:left="500" w:header="0" w:footer="517" w:gutter="0"/>
          <w:cols w:num="3" w:space="720" w:equalWidth="0">
            <w:col w:w="5250" w:space="40"/>
            <w:col w:w="5017" w:space="39"/>
            <w:col w:w="5714"/>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8"/>
        <w:rPr>
          <w:sz w:val="19"/>
        </w:rPr>
      </w:pPr>
    </w:p>
    <w:p w:rsidR="002C1123" w:rsidRDefault="00F22F94">
      <w:pPr>
        <w:spacing w:before="107"/>
        <w:ind w:left="512"/>
        <w:rPr>
          <w:b/>
          <w:sz w:val="18"/>
        </w:rPr>
      </w:pPr>
      <w:bookmarkStart w:id="410" w:name="16.4_WestConnex_case_study"/>
      <w:bookmarkStart w:id="411" w:name="_bookmark293"/>
      <w:bookmarkStart w:id="412" w:name="_bookmark292"/>
      <w:bookmarkEnd w:id="410"/>
      <w:bookmarkEnd w:id="411"/>
      <w:bookmarkEnd w:id="412"/>
      <w:r>
        <w:rPr>
          <w:b/>
          <w:spacing w:val="-2"/>
          <w:sz w:val="18"/>
        </w:rPr>
        <w:t>Table</w:t>
      </w:r>
      <w:r>
        <w:rPr>
          <w:b/>
          <w:spacing w:val="-11"/>
          <w:sz w:val="18"/>
        </w:rPr>
        <w:t xml:space="preserve"> </w:t>
      </w:r>
      <w:r>
        <w:rPr>
          <w:b/>
          <w:spacing w:val="-2"/>
          <w:sz w:val="18"/>
        </w:rPr>
        <w:t>16.1</w:t>
      </w:r>
      <w:r>
        <w:rPr>
          <w:b/>
          <w:spacing w:val="31"/>
          <w:sz w:val="18"/>
        </w:rPr>
        <w:t xml:space="preserve"> </w:t>
      </w:r>
      <w:r>
        <w:rPr>
          <w:b/>
          <w:spacing w:val="-2"/>
          <w:sz w:val="18"/>
        </w:rPr>
        <w:t>Two</w:t>
      </w:r>
      <w:r>
        <w:rPr>
          <w:b/>
          <w:spacing w:val="-11"/>
          <w:sz w:val="18"/>
        </w:rPr>
        <w:t xml:space="preserve"> </w:t>
      </w:r>
      <w:r>
        <w:rPr>
          <w:b/>
          <w:spacing w:val="-2"/>
          <w:sz w:val="18"/>
        </w:rPr>
        <w:t>Approaches</w:t>
      </w:r>
      <w:r>
        <w:rPr>
          <w:b/>
          <w:spacing w:val="-11"/>
          <w:sz w:val="18"/>
        </w:rPr>
        <w:t xml:space="preserve"> </w:t>
      </w:r>
      <w:r>
        <w:rPr>
          <w:b/>
          <w:spacing w:val="-2"/>
          <w:sz w:val="18"/>
        </w:rPr>
        <w:t>to</w:t>
      </w:r>
      <w:r>
        <w:rPr>
          <w:b/>
          <w:spacing w:val="-11"/>
          <w:sz w:val="18"/>
        </w:rPr>
        <w:t xml:space="preserve"> </w:t>
      </w:r>
      <w:r>
        <w:rPr>
          <w:b/>
          <w:spacing w:val="-2"/>
          <w:sz w:val="18"/>
        </w:rPr>
        <w:t>Technical</w:t>
      </w:r>
      <w:r>
        <w:rPr>
          <w:b/>
          <w:spacing w:val="-10"/>
          <w:sz w:val="18"/>
        </w:rPr>
        <w:t xml:space="preserve"> </w:t>
      </w:r>
      <w:r>
        <w:rPr>
          <w:b/>
          <w:spacing w:val="-2"/>
          <w:sz w:val="18"/>
        </w:rPr>
        <w:t>Specifications</w:t>
      </w:r>
      <w:r>
        <w:rPr>
          <w:b/>
          <w:spacing w:val="-11"/>
          <w:sz w:val="18"/>
        </w:rPr>
        <w:t xml:space="preserve"> </w:t>
      </w:r>
      <w:r>
        <w:rPr>
          <w:b/>
          <w:spacing w:val="-2"/>
          <w:sz w:val="18"/>
        </w:rPr>
        <w:t>for</w:t>
      </w:r>
      <w:r>
        <w:rPr>
          <w:b/>
          <w:spacing w:val="-11"/>
          <w:sz w:val="18"/>
        </w:rPr>
        <w:t xml:space="preserve"> </w:t>
      </w:r>
      <w:r>
        <w:rPr>
          <w:b/>
          <w:spacing w:val="-2"/>
          <w:sz w:val="18"/>
        </w:rPr>
        <w:t>New</w:t>
      </w:r>
      <w:r>
        <w:rPr>
          <w:b/>
          <w:spacing w:val="-11"/>
          <w:sz w:val="18"/>
        </w:rPr>
        <w:t xml:space="preserve"> </w:t>
      </w:r>
      <w:r>
        <w:rPr>
          <w:b/>
          <w:spacing w:val="-2"/>
          <w:sz w:val="18"/>
        </w:rPr>
        <w:t>Infrastructure</w:t>
      </w:r>
    </w:p>
    <w:p w:rsidR="002C1123" w:rsidRDefault="00F22F94">
      <w:pPr>
        <w:tabs>
          <w:tab w:val="left" w:pos="8609"/>
        </w:tabs>
        <w:spacing w:before="149" w:after="8"/>
        <w:ind w:left="1749"/>
        <w:rPr>
          <w:b/>
          <w:sz w:val="18"/>
        </w:rPr>
      </w:pPr>
      <w:r>
        <w:rPr>
          <w:b/>
          <w:color w:val="2E3092"/>
          <w:sz w:val="18"/>
        </w:rPr>
        <w:t>Output</w:t>
      </w:r>
      <w:r>
        <w:rPr>
          <w:b/>
          <w:color w:val="2E3092"/>
          <w:spacing w:val="-7"/>
          <w:sz w:val="18"/>
        </w:rPr>
        <w:t xml:space="preserve"> </w:t>
      </w:r>
      <w:r>
        <w:rPr>
          <w:b/>
          <w:color w:val="2E3092"/>
          <w:spacing w:val="-2"/>
          <w:sz w:val="18"/>
        </w:rPr>
        <w:t>Specification</w:t>
      </w:r>
      <w:r>
        <w:rPr>
          <w:b/>
          <w:color w:val="2E3092"/>
          <w:sz w:val="18"/>
        </w:rPr>
        <w:tab/>
        <w:t>Input</w:t>
      </w:r>
      <w:r>
        <w:rPr>
          <w:b/>
          <w:color w:val="2E3092"/>
          <w:spacing w:val="-8"/>
          <w:sz w:val="18"/>
        </w:rPr>
        <w:t xml:space="preserve"> </w:t>
      </w:r>
      <w:r>
        <w:rPr>
          <w:b/>
          <w:color w:val="2E3092"/>
          <w:spacing w:val="-2"/>
          <w:sz w:val="18"/>
        </w:rPr>
        <w:t>Specification</w:t>
      </w:r>
    </w:p>
    <w:tbl>
      <w:tblPr>
        <w:tblW w:w="0" w:type="auto"/>
        <w:tblInd w:w="49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134"/>
        <w:gridCol w:w="6860"/>
        <w:gridCol w:w="6860"/>
      </w:tblGrid>
      <w:tr w:rsidR="002C1123">
        <w:trPr>
          <w:trHeight w:val="766"/>
        </w:trPr>
        <w:tc>
          <w:tcPr>
            <w:tcW w:w="1134" w:type="dxa"/>
            <w:tcBorders>
              <w:top w:val="nil"/>
              <w:left w:val="nil"/>
            </w:tcBorders>
            <w:shd w:val="clear" w:color="auto" w:fill="C9C8C9"/>
          </w:tcPr>
          <w:p w:rsidR="002C1123" w:rsidRDefault="00F22F94">
            <w:pPr>
              <w:pStyle w:val="TableParagraph"/>
              <w:spacing w:before="63"/>
              <w:rPr>
                <w:b/>
                <w:sz w:val="18"/>
              </w:rPr>
            </w:pPr>
            <w:r>
              <w:rPr>
                <w:b/>
                <w:spacing w:val="-2"/>
                <w:sz w:val="18"/>
              </w:rPr>
              <w:t>Benefits</w:t>
            </w:r>
          </w:p>
        </w:tc>
        <w:tc>
          <w:tcPr>
            <w:tcW w:w="6860" w:type="dxa"/>
            <w:shd w:val="clear" w:color="auto" w:fill="E1E0E1"/>
          </w:tcPr>
          <w:p w:rsidR="002C1123" w:rsidRDefault="00F22F94">
            <w:pPr>
              <w:pStyle w:val="TableParagraph"/>
              <w:rPr>
                <w:sz w:val="16"/>
              </w:rPr>
            </w:pPr>
            <w:r>
              <w:rPr>
                <w:w w:val="95"/>
                <w:sz w:val="16"/>
              </w:rPr>
              <w:t>Bidders</w:t>
            </w:r>
            <w:r>
              <w:rPr>
                <w:spacing w:val="-1"/>
                <w:sz w:val="16"/>
              </w:rPr>
              <w:t xml:space="preserve"> </w:t>
            </w:r>
            <w:r>
              <w:rPr>
                <w:w w:val="95"/>
                <w:sz w:val="16"/>
              </w:rPr>
              <w:t>can</w:t>
            </w:r>
            <w:r>
              <w:rPr>
                <w:spacing w:val="-1"/>
                <w:sz w:val="16"/>
              </w:rPr>
              <w:t xml:space="preserve"> </w:t>
            </w:r>
            <w:r>
              <w:rPr>
                <w:w w:val="95"/>
                <w:sz w:val="16"/>
              </w:rPr>
              <w:t>innovate</w:t>
            </w:r>
            <w:r>
              <w:rPr>
                <w:spacing w:val="-1"/>
                <w:sz w:val="16"/>
              </w:rPr>
              <w:t xml:space="preserve"> </w:t>
            </w:r>
            <w:r>
              <w:rPr>
                <w:w w:val="95"/>
                <w:sz w:val="16"/>
              </w:rPr>
              <w:t>in</w:t>
            </w:r>
            <w:r>
              <w:rPr>
                <w:spacing w:val="-1"/>
                <w:sz w:val="16"/>
              </w:rPr>
              <w:t xml:space="preserve"> </w:t>
            </w:r>
            <w:r>
              <w:rPr>
                <w:w w:val="95"/>
                <w:sz w:val="16"/>
              </w:rPr>
              <w:t>a</w:t>
            </w:r>
            <w:r>
              <w:rPr>
                <w:spacing w:val="-1"/>
                <w:sz w:val="16"/>
              </w:rPr>
              <w:t xml:space="preserve"> </w:t>
            </w:r>
            <w:r>
              <w:rPr>
                <w:w w:val="95"/>
                <w:sz w:val="16"/>
              </w:rPr>
              <w:t>much</w:t>
            </w:r>
            <w:r>
              <w:rPr>
                <w:spacing w:val="-1"/>
                <w:sz w:val="16"/>
              </w:rPr>
              <w:t xml:space="preserve"> </w:t>
            </w:r>
            <w:r>
              <w:rPr>
                <w:w w:val="95"/>
                <w:sz w:val="16"/>
              </w:rPr>
              <w:t>broader</w:t>
            </w:r>
            <w:r>
              <w:rPr>
                <w:spacing w:val="-1"/>
                <w:sz w:val="16"/>
              </w:rPr>
              <w:t xml:space="preserve"> </w:t>
            </w:r>
            <w:r>
              <w:rPr>
                <w:w w:val="95"/>
                <w:sz w:val="16"/>
              </w:rPr>
              <w:t>area,</w:t>
            </w:r>
            <w:r>
              <w:rPr>
                <w:spacing w:val="-1"/>
                <w:sz w:val="16"/>
              </w:rPr>
              <w:t xml:space="preserve"> </w:t>
            </w:r>
            <w:r>
              <w:rPr>
                <w:w w:val="95"/>
                <w:sz w:val="16"/>
              </w:rPr>
              <w:t>improving</w:t>
            </w:r>
            <w:r>
              <w:rPr>
                <w:spacing w:val="-1"/>
                <w:sz w:val="16"/>
              </w:rPr>
              <w:t xml:space="preserve"> </w:t>
            </w:r>
            <w:r>
              <w:rPr>
                <w:w w:val="95"/>
                <w:sz w:val="16"/>
              </w:rPr>
              <w:t>value</w:t>
            </w:r>
            <w:r>
              <w:rPr>
                <w:spacing w:val="-1"/>
                <w:sz w:val="16"/>
              </w:rPr>
              <w:t xml:space="preserve"> </w:t>
            </w:r>
            <w:r>
              <w:rPr>
                <w:w w:val="95"/>
                <w:sz w:val="16"/>
              </w:rPr>
              <w:t>for</w:t>
            </w:r>
            <w:r>
              <w:rPr>
                <w:spacing w:val="-1"/>
                <w:sz w:val="16"/>
              </w:rPr>
              <w:t xml:space="preserve"> </w:t>
            </w:r>
            <w:r>
              <w:rPr>
                <w:spacing w:val="-2"/>
                <w:w w:val="95"/>
                <w:sz w:val="16"/>
              </w:rPr>
              <w:t>money.</w:t>
            </w:r>
          </w:p>
          <w:p w:rsidR="002C1123" w:rsidRDefault="00F22F94">
            <w:pPr>
              <w:pStyle w:val="TableParagraph"/>
              <w:spacing w:before="11" w:line="254" w:lineRule="auto"/>
              <w:ind w:right="71"/>
              <w:rPr>
                <w:sz w:val="16"/>
              </w:rPr>
            </w:pPr>
            <w:r>
              <w:rPr>
                <w:w w:val="95"/>
                <w:sz w:val="16"/>
              </w:rPr>
              <w:t xml:space="preserve">The “mission critical” objectives for a project are emphasised over subordinate factors. </w:t>
            </w:r>
            <w:r>
              <w:rPr>
                <w:sz w:val="16"/>
              </w:rPr>
              <w:t>Government</w:t>
            </w:r>
            <w:r>
              <w:rPr>
                <w:spacing w:val="-1"/>
                <w:sz w:val="16"/>
              </w:rPr>
              <w:t xml:space="preserve"> </w:t>
            </w:r>
            <w:r>
              <w:rPr>
                <w:sz w:val="16"/>
              </w:rPr>
              <w:t>can</w:t>
            </w:r>
            <w:r>
              <w:rPr>
                <w:spacing w:val="-1"/>
                <w:sz w:val="16"/>
              </w:rPr>
              <w:t xml:space="preserve"> </w:t>
            </w:r>
            <w:r>
              <w:rPr>
                <w:sz w:val="16"/>
              </w:rPr>
              <w:t>bring</w:t>
            </w:r>
            <w:r>
              <w:rPr>
                <w:spacing w:val="-1"/>
                <w:sz w:val="16"/>
              </w:rPr>
              <w:t xml:space="preserve"> </w:t>
            </w:r>
            <w:r>
              <w:rPr>
                <w:sz w:val="16"/>
              </w:rPr>
              <w:t>projects</w:t>
            </w:r>
            <w:r>
              <w:rPr>
                <w:spacing w:val="-1"/>
                <w:sz w:val="16"/>
              </w:rPr>
              <w:t xml:space="preserve"> </w:t>
            </w:r>
            <w:r>
              <w:rPr>
                <w:sz w:val="16"/>
              </w:rPr>
              <w:t>to</w:t>
            </w:r>
            <w:r>
              <w:rPr>
                <w:spacing w:val="-1"/>
                <w:sz w:val="16"/>
              </w:rPr>
              <w:t xml:space="preserve"> </w:t>
            </w:r>
            <w:r>
              <w:rPr>
                <w:sz w:val="16"/>
              </w:rPr>
              <w:t>market</w:t>
            </w:r>
            <w:r>
              <w:rPr>
                <w:spacing w:val="-1"/>
                <w:sz w:val="16"/>
              </w:rPr>
              <w:t xml:space="preserve"> </w:t>
            </w:r>
            <w:r>
              <w:rPr>
                <w:sz w:val="16"/>
              </w:rPr>
              <w:t>much</w:t>
            </w:r>
            <w:r>
              <w:rPr>
                <w:spacing w:val="-1"/>
                <w:sz w:val="16"/>
              </w:rPr>
              <w:t xml:space="preserve"> </w:t>
            </w:r>
            <w:r>
              <w:rPr>
                <w:sz w:val="16"/>
              </w:rPr>
              <w:t>sooner</w:t>
            </w:r>
            <w:r>
              <w:rPr>
                <w:spacing w:val="-1"/>
                <w:sz w:val="16"/>
              </w:rPr>
              <w:t xml:space="preserve"> </w:t>
            </w:r>
            <w:r>
              <w:rPr>
                <w:sz w:val="16"/>
              </w:rPr>
              <w:t>and</w:t>
            </w:r>
            <w:r>
              <w:rPr>
                <w:spacing w:val="-1"/>
                <w:sz w:val="16"/>
              </w:rPr>
              <w:t xml:space="preserve"> </w:t>
            </w:r>
            <w:r>
              <w:rPr>
                <w:sz w:val="16"/>
              </w:rPr>
              <w:t>at</w:t>
            </w:r>
            <w:r>
              <w:rPr>
                <w:spacing w:val="-1"/>
                <w:sz w:val="16"/>
              </w:rPr>
              <w:t xml:space="preserve"> </w:t>
            </w:r>
            <w:r>
              <w:rPr>
                <w:sz w:val="16"/>
              </w:rPr>
              <w:t>lower</w:t>
            </w:r>
            <w:r>
              <w:rPr>
                <w:spacing w:val="-1"/>
                <w:sz w:val="16"/>
              </w:rPr>
              <w:t xml:space="preserve"> </w:t>
            </w:r>
            <w:r>
              <w:rPr>
                <w:sz w:val="16"/>
              </w:rPr>
              <w:t>cost</w:t>
            </w:r>
          </w:p>
        </w:tc>
        <w:tc>
          <w:tcPr>
            <w:tcW w:w="6860" w:type="dxa"/>
            <w:shd w:val="clear" w:color="auto" w:fill="E1E0E1"/>
          </w:tcPr>
          <w:p w:rsidR="002C1123" w:rsidRDefault="00F22F94">
            <w:pPr>
              <w:pStyle w:val="TableParagraph"/>
              <w:spacing w:line="244" w:lineRule="auto"/>
              <w:rPr>
                <w:sz w:val="16"/>
              </w:rPr>
            </w:pPr>
            <w:r>
              <w:rPr>
                <w:sz w:val="16"/>
              </w:rPr>
              <w:t>Evaluation</w:t>
            </w:r>
            <w:r>
              <w:rPr>
                <w:spacing w:val="-10"/>
                <w:sz w:val="16"/>
              </w:rPr>
              <w:t xml:space="preserve"> </w:t>
            </w:r>
            <w:r>
              <w:rPr>
                <w:sz w:val="16"/>
              </w:rPr>
              <w:t>of</w:t>
            </w:r>
            <w:r>
              <w:rPr>
                <w:spacing w:val="-10"/>
                <w:sz w:val="16"/>
              </w:rPr>
              <w:t xml:space="preserve"> </w:t>
            </w:r>
            <w:r>
              <w:rPr>
                <w:sz w:val="16"/>
              </w:rPr>
              <w:t>competing</w:t>
            </w:r>
            <w:r>
              <w:rPr>
                <w:spacing w:val="-10"/>
                <w:sz w:val="16"/>
              </w:rPr>
              <w:t xml:space="preserve"> </w:t>
            </w:r>
            <w:r>
              <w:rPr>
                <w:sz w:val="16"/>
              </w:rPr>
              <w:t>bids</w:t>
            </w:r>
            <w:r>
              <w:rPr>
                <w:spacing w:val="-10"/>
                <w:sz w:val="16"/>
              </w:rPr>
              <w:t xml:space="preserve"> </w:t>
            </w:r>
            <w:r>
              <w:rPr>
                <w:sz w:val="16"/>
              </w:rPr>
              <w:t>is</w:t>
            </w:r>
            <w:r>
              <w:rPr>
                <w:spacing w:val="-10"/>
                <w:sz w:val="16"/>
              </w:rPr>
              <w:t xml:space="preserve"> </w:t>
            </w:r>
            <w:r>
              <w:rPr>
                <w:sz w:val="16"/>
              </w:rPr>
              <w:t>easier</w:t>
            </w:r>
            <w:r>
              <w:rPr>
                <w:spacing w:val="-10"/>
                <w:sz w:val="16"/>
              </w:rPr>
              <w:t xml:space="preserve"> </w:t>
            </w:r>
            <w:r>
              <w:rPr>
                <w:sz w:val="16"/>
              </w:rPr>
              <w:t>because</w:t>
            </w:r>
            <w:r>
              <w:rPr>
                <w:spacing w:val="-10"/>
                <w:sz w:val="16"/>
              </w:rPr>
              <w:t xml:space="preserve"> </w:t>
            </w:r>
            <w:r>
              <w:rPr>
                <w:sz w:val="16"/>
              </w:rPr>
              <w:t>the</w:t>
            </w:r>
            <w:r>
              <w:rPr>
                <w:spacing w:val="-10"/>
                <w:sz w:val="16"/>
              </w:rPr>
              <w:t xml:space="preserve"> </w:t>
            </w:r>
            <w:r>
              <w:rPr>
                <w:sz w:val="16"/>
              </w:rPr>
              <w:t>scope</w:t>
            </w:r>
            <w:r>
              <w:rPr>
                <w:spacing w:val="-10"/>
                <w:sz w:val="16"/>
              </w:rPr>
              <w:t xml:space="preserve"> </w:t>
            </w:r>
            <w:r>
              <w:rPr>
                <w:sz w:val="16"/>
              </w:rPr>
              <w:t>for</w:t>
            </w:r>
            <w:r>
              <w:rPr>
                <w:spacing w:val="-10"/>
                <w:sz w:val="16"/>
              </w:rPr>
              <w:t xml:space="preserve"> </w:t>
            </w:r>
            <w:r>
              <w:rPr>
                <w:sz w:val="16"/>
              </w:rPr>
              <w:t>variations</w:t>
            </w:r>
            <w:r>
              <w:rPr>
                <w:spacing w:val="-10"/>
                <w:sz w:val="16"/>
              </w:rPr>
              <w:t xml:space="preserve"> </w:t>
            </w:r>
            <w:r>
              <w:rPr>
                <w:sz w:val="16"/>
              </w:rPr>
              <w:t>between</w:t>
            </w:r>
            <w:r>
              <w:rPr>
                <w:spacing w:val="-10"/>
                <w:sz w:val="16"/>
              </w:rPr>
              <w:t xml:space="preserve"> </w:t>
            </w:r>
            <w:r>
              <w:rPr>
                <w:sz w:val="16"/>
              </w:rPr>
              <w:t>bids</w:t>
            </w:r>
            <w:r>
              <w:rPr>
                <w:spacing w:val="-10"/>
                <w:sz w:val="16"/>
              </w:rPr>
              <w:t xml:space="preserve"> </w:t>
            </w:r>
            <w:r>
              <w:rPr>
                <w:sz w:val="16"/>
              </w:rPr>
              <w:t>is</w:t>
            </w:r>
            <w:r>
              <w:rPr>
                <w:spacing w:val="-10"/>
                <w:sz w:val="16"/>
              </w:rPr>
              <w:t xml:space="preserve"> </w:t>
            </w:r>
            <w:r>
              <w:rPr>
                <w:sz w:val="16"/>
              </w:rPr>
              <w:t xml:space="preserve">low. </w:t>
            </w:r>
            <w:r>
              <w:rPr>
                <w:w w:val="95"/>
                <w:sz w:val="16"/>
              </w:rPr>
              <w:t xml:space="preserve">Earlier confirmation of detailed scope can be given to the public and for Environmental Impact </w:t>
            </w:r>
            <w:r>
              <w:rPr>
                <w:spacing w:val="-2"/>
                <w:sz w:val="16"/>
              </w:rPr>
              <w:t>Statements.</w:t>
            </w:r>
          </w:p>
        </w:tc>
      </w:tr>
      <w:tr w:rsidR="002C1123">
        <w:trPr>
          <w:trHeight w:val="766"/>
        </w:trPr>
        <w:tc>
          <w:tcPr>
            <w:tcW w:w="1134" w:type="dxa"/>
            <w:tcBorders>
              <w:left w:val="nil"/>
            </w:tcBorders>
            <w:shd w:val="clear" w:color="auto" w:fill="C9C8C9"/>
          </w:tcPr>
          <w:p w:rsidR="002C1123" w:rsidRDefault="00F22F94">
            <w:pPr>
              <w:pStyle w:val="TableParagraph"/>
              <w:spacing w:before="63"/>
              <w:rPr>
                <w:b/>
                <w:sz w:val="18"/>
              </w:rPr>
            </w:pPr>
            <w:r>
              <w:rPr>
                <w:b/>
                <w:spacing w:val="-2"/>
                <w:sz w:val="18"/>
              </w:rPr>
              <w:t>Risks</w:t>
            </w:r>
          </w:p>
        </w:tc>
        <w:tc>
          <w:tcPr>
            <w:tcW w:w="6860" w:type="dxa"/>
            <w:shd w:val="clear" w:color="auto" w:fill="E1E0E1"/>
          </w:tcPr>
          <w:p w:rsidR="002C1123" w:rsidRDefault="00F22F94">
            <w:pPr>
              <w:pStyle w:val="TableParagraph"/>
              <w:rPr>
                <w:sz w:val="16"/>
              </w:rPr>
            </w:pPr>
            <w:r>
              <w:rPr>
                <w:w w:val="95"/>
                <w:sz w:val="16"/>
              </w:rPr>
              <w:t>Requires</w:t>
            </w:r>
            <w:r>
              <w:rPr>
                <w:spacing w:val="1"/>
                <w:sz w:val="16"/>
              </w:rPr>
              <w:t xml:space="preserve"> </w:t>
            </w:r>
            <w:r>
              <w:rPr>
                <w:w w:val="95"/>
                <w:sz w:val="16"/>
              </w:rPr>
              <w:t>an</w:t>
            </w:r>
            <w:r>
              <w:rPr>
                <w:spacing w:val="2"/>
                <w:sz w:val="16"/>
              </w:rPr>
              <w:t xml:space="preserve"> </w:t>
            </w:r>
            <w:r>
              <w:rPr>
                <w:w w:val="95"/>
                <w:sz w:val="16"/>
              </w:rPr>
              <w:t>interactive</w:t>
            </w:r>
            <w:r>
              <w:rPr>
                <w:spacing w:val="2"/>
                <w:sz w:val="16"/>
              </w:rPr>
              <w:t xml:space="preserve"> </w:t>
            </w:r>
            <w:r>
              <w:rPr>
                <w:w w:val="95"/>
                <w:sz w:val="16"/>
              </w:rPr>
              <w:t>engagement</w:t>
            </w:r>
            <w:r>
              <w:rPr>
                <w:spacing w:val="2"/>
                <w:sz w:val="16"/>
              </w:rPr>
              <w:t xml:space="preserve"> </w:t>
            </w:r>
            <w:r>
              <w:rPr>
                <w:w w:val="95"/>
                <w:sz w:val="16"/>
              </w:rPr>
              <w:t>process</w:t>
            </w:r>
            <w:r>
              <w:rPr>
                <w:spacing w:val="2"/>
                <w:sz w:val="16"/>
              </w:rPr>
              <w:t xml:space="preserve"> </w:t>
            </w:r>
            <w:r>
              <w:rPr>
                <w:w w:val="95"/>
                <w:sz w:val="16"/>
              </w:rPr>
              <w:t>with</w:t>
            </w:r>
            <w:r>
              <w:rPr>
                <w:spacing w:val="2"/>
                <w:sz w:val="16"/>
              </w:rPr>
              <w:t xml:space="preserve"> </w:t>
            </w:r>
            <w:r>
              <w:rPr>
                <w:spacing w:val="-2"/>
                <w:w w:val="95"/>
                <w:sz w:val="16"/>
              </w:rPr>
              <w:t>bidders.</w:t>
            </w:r>
          </w:p>
          <w:p w:rsidR="002C1123" w:rsidRDefault="00F22F94">
            <w:pPr>
              <w:pStyle w:val="TableParagraph"/>
              <w:spacing w:before="11" w:line="254" w:lineRule="auto"/>
              <w:rPr>
                <w:sz w:val="16"/>
              </w:rPr>
            </w:pPr>
            <w:r>
              <w:rPr>
                <w:w w:val="95"/>
                <w:sz w:val="16"/>
              </w:rPr>
              <w:t xml:space="preserve">Technical aspects of bid evaluation may be more complex where bids differ substantially. </w:t>
            </w:r>
            <w:r>
              <w:rPr>
                <w:sz w:val="16"/>
              </w:rPr>
              <w:t>Government</w:t>
            </w:r>
            <w:r>
              <w:rPr>
                <w:spacing w:val="-5"/>
                <w:sz w:val="16"/>
              </w:rPr>
              <w:t xml:space="preserve"> </w:t>
            </w:r>
            <w:r>
              <w:rPr>
                <w:sz w:val="16"/>
              </w:rPr>
              <w:t>may</w:t>
            </w:r>
            <w:r>
              <w:rPr>
                <w:spacing w:val="-5"/>
                <w:sz w:val="16"/>
              </w:rPr>
              <w:t xml:space="preserve"> </w:t>
            </w:r>
            <w:r>
              <w:rPr>
                <w:sz w:val="16"/>
              </w:rPr>
              <w:t>have</w:t>
            </w:r>
            <w:r>
              <w:rPr>
                <w:spacing w:val="-5"/>
                <w:sz w:val="16"/>
              </w:rPr>
              <w:t xml:space="preserve"> </w:t>
            </w:r>
            <w:r>
              <w:rPr>
                <w:sz w:val="16"/>
              </w:rPr>
              <w:t>to</w:t>
            </w:r>
            <w:r>
              <w:rPr>
                <w:spacing w:val="-5"/>
                <w:sz w:val="16"/>
              </w:rPr>
              <w:t xml:space="preserve"> </w:t>
            </w:r>
            <w:r>
              <w:rPr>
                <w:sz w:val="16"/>
              </w:rPr>
              <w:t>underwrite</w:t>
            </w:r>
            <w:r>
              <w:rPr>
                <w:spacing w:val="-5"/>
                <w:sz w:val="16"/>
              </w:rPr>
              <w:t xml:space="preserve"> </w:t>
            </w:r>
            <w:r>
              <w:rPr>
                <w:sz w:val="16"/>
              </w:rPr>
              <w:t>a</w:t>
            </w:r>
            <w:r>
              <w:rPr>
                <w:spacing w:val="-5"/>
                <w:sz w:val="16"/>
              </w:rPr>
              <w:t xml:space="preserve"> </w:t>
            </w:r>
            <w:r>
              <w:rPr>
                <w:sz w:val="16"/>
              </w:rPr>
              <w:t>share</w:t>
            </w:r>
            <w:r>
              <w:rPr>
                <w:spacing w:val="-5"/>
                <w:sz w:val="16"/>
              </w:rPr>
              <w:t xml:space="preserve"> </w:t>
            </w:r>
            <w:r>
              <w:rPr>
                <w:sz w:val="16"/>
              </w:rPr>
              <w:t>of</w:t>
            </w:r>
            <w:r>
              <w:rPr>
                <w:spacing w:val="-5"/>
                <w:sz w:val="16"/>
              </w:rPr>
              <w:t xml:space="preserve"> </w:t>
            </w:r>
            <w:r>
              <w:rPr>
                <w:sz w:val="16"/>
              </w:rPr>
              <w:t>bid</w:t>
            </w:r>
            <w:r>
              <w:rPr>
                <w:spacing w:val="-5"/>
                <w:sz w:val="16"/>
              </w:rPr>
              <w:t xml:space="preserve"> </w:t>
            </w:r>
            <w:r>
              <w:rPr>
                <w:sz w:val="16"/>
              </w:rPr>
              <w:t>development</w:t>
            </w:r>
            <w:r>
              <w:rPr>
                <w:spacing w:val="-5"/>
                <w:sz w:val="16"/>
              </w:rPr>
              <w:t xml:space="preserve"> </w:t>
            </w:r>
            <w:r>
              <w:rPr>
                <w:sz w:val="16"/>
              </w:rPr>
              <w:t>costs.</w:t>
            </w:r>
          </w:p>
        </w:tc>
        <w:tc>
          <w:tcPr>
            <w:tcW w:w="6860" w:type="dxa"/>
            <w:shd w:val="clear" w:color="auto" w:fill="E1E0E1"/>
          </w:tcPr>
          <w:p w:rsidR="002C1123" w:rsidRDefault="00F22F94">
            <w:pPr>
              <w:pStyle w:val="TableParagraph"/>
              <w:spacing w:line="254" w:lineRule="auto"/>
              <w:ind w:right="1874"/>
              <w:rPr>
                <w:sz w:val="16"/>
              </w:rPr>
            </w:pPr>
            <w:r>
              <w:rPr>
                <w:w w:val="95"/>
                <w:sz w:val="16"/>
              </w:rPr>
              <w:t xml:space="preserve">Government’s specification may exclude better value alternatives. </w:t>
            </w:r>
            <w:r>
              <w:rPr>
                <w:sz w:val="16"/>
              </w:rPr>
              <w:t>Scope may become “gold plated”.</w:t>
            </w:r>
          </w:p>
          <w:p w:rsidR="002C1123" w:rsidRDefault="00F22F94">
            <w:pPr>
              <w:pStyle w:val="TableParagraph"/>
              <w:spacing w:before="0" w:line="182" w:lineRule="exact"/>
              <w:rPr>
                <w:sz w:val="16"/>
              </w:rPr>
            </w:pPr>
            <w:r>
              <w:rPr>
                <w:w w:val="95"/>
                <w:sz w:val="16"/>
              </w:rPr>
              <w:t>Government</w:t>
            </w:r>
            <w:r>
              <w:rPr>
                <w:spacing w:val="3"/>
                <w:sz w:val="16"/>
              </w:rPr>
              <w:t xml:space="preserve"> </w:t>
            </w:r>
            <w:r>
              <w:rPr>
                <w:w w:val="95"/>
                <w:sz w:val="16"/>
              </w:rPr>
              <w:t>may</w:t>
            </w:r>
            <w:r>
              <w:rPr>
                <w:spacing w:val="4"/>
                <w:sz w:val="16"/>
              </w:rPr>
              <w:t xml:space="preserve"> </w:t>
            </w:r>
            <w:r>
              <w:rPr>
                <w:w w:val="95"/>
                <w:sz w:val="16"/>
              </w:rPr>
              <w:t>underestimate</w:t>
            </w:r>
            <w:r>
              <w:rPr>
                <w:spacing w:val="3"/>
                <w:sz w:val="16"/>
              </w:rPr>
              <w:t xml:space="preserve"> </w:t>
            </w:r>
            <w:r>
              <w:rPr>
                <w:w w:val="95"/>
                <w:sz w:val="16"/>
              </w:rPr>
              <w:t>the</w:t>
            </w:r>
            <w:r>
              <w:rPr>
                <w:spacing w:val="4"/>
                <w:sz w:val="16"/>
              </w:rPr>
              <w:t xml:space="preserve"> </w:t>
            </w:r>
            <w:r>
              <w:rPr>
                <w:w w:val="95"/>
                <w:sz w:val="16"/>
              </w:rPr>
              <w:t>cost</w:t>
            </w:r>
            <w:r>
              <w:rPr>
                <w:spacing w:val="4"/>
                <w:sz w:val="16"/>
              </w:rPr>
              <w:t xml:space="preserve"> </w:t>
            </w:r>
            <w:r>
              <w:rPr>
                <w:w w:val="95"/>
                <w:sz w:val="16"/>
              </w:rPr>
              <w:t>impact</w:t>
            </w:r>
            <w:r>
              <w:rPr>
                <w:spacing w:val="3"/>
                <w:sz w:val="16"/>
              </w:rPr>
              <w:t xml:space="preserve"> </w:t>
            </w:r>
            <w:r>
              <w:rPr>
                <w:w w:val="95"/>
                <w:sz w:val="16"/>
              </w:rPr>
              <w:t>of</w:t>
            </w:r>
            <w:r>
              <w:rPr>
                <w:spacing w:val="4"/>
                <w:sz w:val="16"/>
              </w:rPr>
              <w:t xml:space="preserve"> </w:t>
            </w:r>
            <w:r>
              <w:rPr>
                <w:w w:val="95"/>
                <w:sz w:val="16"/>
              </w:rPr>
              <w:t>the</w:t>
            </w:r>
            <w:r>
              <w:rPr>
                <w:spacing w:val="3"/>
                <w:sz w:val="16"/>
              </w:rPr>
              <w:t xml:space="preserve"> </w:t>
            </w:r>
            <w:r>
              <w:rPr>
                <w:w w:val="95"/>
                <w:sz w:val="16"/>
              </w:rPr>
              <w:t>inputs</w:t>
            </w:r>
            <w:r>
              <w:rPr>
                <w:spacing w:val="4"/>
                <w:sz w:val="16"/>
              </w:rPr>
              <w:t xml:space="preserve"> </w:t>
            </w:r>
            <w:r>
              <w:rPr>
                <w:spacing w:val="-2"/>
                <w:w w:val="95"/>
                <w:sz w:val="16"/>
              </w:rPr>
              <w:t>specified.</w:t>
            </w:r>
          </w:p>
        </w:tc>
      </w:tr>
    </w:tbl>
    <w:p w:rsidR="002C1123" w:rsidRDefault="002C1123">
      <w:pPr>
        <w:pStyle w:val="BodyText"/>
        <w:spacing w:before="1"/>
        <w:rPr>
          <w:b/>
          <w:sz w:val="6"/>
        </w:rPr>
      </w:pPr>
    </w:p>
    <w:p w:rsidR="002C1123" w:rsidRDefault="002C1123">
      <w:pPr>
        <w:rPr>
          <w:sz w:val="6"/>
        </w:rPr>
        <w:sectPr w:rsidR="002C1123">
          <w:pgSz w:w="16840" w:h="11910" w:orient="landscape"/>
          <w:pgMar w:top="560" w:right="280" w:bottom="700" w:left="500" w:header="0" w:footer="517" w:gutter="0"/>
          <w:cols w:space="720"/>
        </w:sectPr>
      </w:pPr>
    </w:p>
    <w:p w:rsidR="002C1123" w:rsidRDefault="00F22F94">
      <w:pPr>
        <w:pStyle w:val="BodyText"/>
        <w:spacing w:before="44" w:line="249" w:lineRule="auto"/>
        <w:ind w:left="492" w:right="83"/>
      </w:pPr>
      <w:r>
        <w:t>NSW</w:t>
      </w:r>
      <w:r>
        <w:rPr>
          <w:spacing w:val="-14"/>
        </w:rPr>
        <w:t xml:space="preserve"> </w:t>
      </w:r>
      <w:r>
        <w:t>practice</w:t>
      </w:r>
      <w:r>
        <w:rPr>
          <w:spacing w:val="-14"/>
        </w:rPr>
        <w:t xml:space="preserve"> </w:t>
      </w:r>
      <w:r>
        <w:t>has</w:t>
      </w:r>
      <w:r>
        <w:rPr>
          <w:spacing w:val="-14"/>
        </w:rPr>
        <w:t xml:space="preserve"> </w:t>
      </w:r>
      <w:r>
        <w:t>been</w:t>
      </w:r>
      <w:r>
        <w:rPr>
          <w:spacing w:val="-14"/>
        </w:rPr>
        <w:t xml:space="preserve"> </w:t>
      </w:r>
      <w:r>
        <w:t>to</w:t>
      </w:r>
      <w:r>
        <w:rPr>
          <w:spacing w:val="-14"/>
        </w:rPr>
        <w:t xml:space="preserve"> </w:t>
      </w:r>
      <w:r>
        <w:t>set</w:t>
      </w:r>
      <w:r>
        <w:rPr>
          <w:spacing w:val="-14"/>
        </w:rPr>
        <w:t xml:space="preserve"> </w:t>
      </w:r>
      <w:r>
        <w:t>project</w:t>
      </w:r>
      <w:r>
        <w:rPr>
          <w:spacing w:val="-14"/>
        </w:rPr>
        <w:t xml:space="preserve"> </w:t>
      </w:r>
      <w:r>
        <w:t>budgets</w:t>
      </w:r>
      <w:r>
        <w:rPr>
          <w:spacing w:val="-14"/>
        </w:rPr>
        <w:t xml:space="preserve"> </w:t>
      </w:r>
      <w:r>
        <w:t>on</w:t>
      </w:r>
      <w:r>
        <w:rPr>
          <w:spacing w:val="-14"/>
        </w:rPr>
        <w:t xml:space="preserve"> </w:t>
      </w:r>
      <w:r>
        <w:t xml:space="preserve">a </w:t>
      </w:r>
      <w:r>
        <w:rPr>
          <w:w w:val="95"/>
        </w:rPr>
        <w:t>'P90'</w:t>
      </w:r>
      <w:r>
        <w:rPr>
          <w:spacing w:val="-7"/>
          <w:w w:val="95"/>
        </w:rPr>
        <w:t xml:space="preserve"> </w:t>
      </w:r>
      <w:r>
        <w:rPr>
          <w:w w:val="95"/>
        </w:rPr>
        <w:t>basis,</w:t>
      </w:r>
      <w:r>
        <w:rPr>
          <w:spacing w:val="-7"/>
          <w:w w:val="95"/>
        </w:rPr>
        <w:t xml:space="preserve"> </w:t>
      </w:r>
      <w:r>
        <w:rPr>
          <w:w w:val="95"/>
        </w:rPr>
        <w:t>where</w:t>
      </w:r>
      <w:r>
        <w:rPr>
          <w:spacing w:val="-7"/>
          <w:w w:val="95"/>
        </w:rPr>
        <w:t xml:space="preserve"> </w:t>
      </w:r>
      <w:r>
        <w:rPr>
          <w:w w:val="95"/>
        </w:rPr>
        <w:t>there</w:t>
      </w:r>
      <w:r>
        <w:rPr>
          <w:spacing w:val="-7"/>
          <w:w w:val="95"/>
        </w:rPr>
        <w:t xml:space="preserve"> </w:t>
      </w:r>
      <w:r>
        <w:rPr>
          <w:w w:val="95"/>
        </w:rPr>
        <w:t>is</w:t>
      </w:r>
      <w:r>
        <w:rPr>
          <w:spacing w:val="-7"/>
          <w:w w:val="95"/>
        </w:rPr>
        <w:t xml:space="preserve"> </w:t>
      </w:r>
      <w:r>
        <w:rPr>
          <w:w w:val="95"/>
        </w:rPr>
        <w:t>a</w:t>
      </w:r>
      <w:r>
        <w:rPr>
          <w:spacing w:val="-7"/>
          <w:w w:val="95"/>
        </w:rPr>
        <w:t xml:space="preserve"> </w:t>
      </w:r>
      <w:r>
        <w:rPr>
          <w:w w:val="95"/>
        </w:rPr>
        <w:t>90</w:t>
      </w:r>
      <w:r>
        <w:rPr>
          <w:spacing w:val="-7"/>
          <w:w w:val="95"/>
        </w:rPr>
        <w:t xml:space="preserve"> </w:t>
      </w:r>
      <w:r>
        <w:rPr>
          <w:w w:val="95"/>
        </w:rPr>
        <w:t>percent</w:t>
      </w:r>
      <w:r>
        <w:rPr>
          <w:spacing w:val="-7"/>
          <w:w w:val="95"/>
        </w:rPr>
        <w:t xml:space="preserve"> </w:t>
      </w:r>
      <w:r>
        <w:rPr>
          <w:w w:val="95"/>
        </w:rPr>
        <w:t>chance</w:t>
      </w:r>
      <w:r>
        <w:rPr>
          <w:spacing w:val="-7"/>
          <w:w w:val="95"/>
        </w:rPr>
        <w:t xml:space="preserve"> </w:t>
      </w:r>
      <w:r>
        <w:rPr>
          <w:w w:val="95"/>
        </w:rPr>
        <w:t>that</w:t>
      </w:r>
      <w:r>
        <w:rPr>
          <w:spacing w:val="-7"/>
          <w:w w:val="95"/>
        </w:rPr>
        <w:t xml:space="preserve"> </w:t>
      </w:r>
      <w:r>
        <w:rPr>
          <w:w w:val="95"/>
        </w:rPr>
        <w:t xml:space="preserve">the </w:t>
      </w:r>
      <w:r>
        <w:t>actual</w:t>
      </w:r>
      <w:r>
        <w:rPr>
          <w:spacing w:val="-16"/>
        </w:rPr>
        <w:t xml:space="preserve"> </w:t>
      </w:r>
      <w:r>
        <w:t>cost</w:t>
      </w:r>
      <w:r>
        <w:rPr>
          <w:spacing w:val="-16"/>
        </w:rPr>
        <w:t xml:space="preserve"> </w:t>
      </w:r>
      <w:r>
        <w:t>will</w:t>
      </w:r>
      <w:r>
        <w:rPr>
          <w:spacing w:val="-16"/>
        </w:rPr>
        <w:t xml:space="preserve"> </w:t>
      </w:r>
      <w:r>
        <w:t>be</w:t>
      </w:r>
      <w:r>
        <w:rPr>
          <w:spacing w:val="-16"/>
        </w:rPr>
        <w:t xml:space="preserve"> </w:t>
      </w:r>
      <w:r>
        <w:t>less</w:t>
      </w:r>
      <w:r>
        <w:rPr>
          <w:spacing w:val="-16"/>
        </w:rPr>
        <w:t xml:space="preserve"> </w:t>
      </w:r>
      <w:r>
        <w:t>than</w:t>
      </w:r>
      <w:r>
        <w:rPr>
          <w:spacing w:val="-16"/>
        </w:rPr>
        <w:t xml:space="preserve"> </w:t>
      </w:r>
      <w:r>
        <w:t>budget</w:t>
      </w:r>
      <w:r>
        <w:rPr>
          <w:spacing w:val="-16"/>
        </w:rPr>
        <w:t xml:space="preserve"> </w:t>
      </w:r>
      <w:r>
        <w:t>and</w:t>
      </w:r>
      <w:r>
        <w:rPr>
          <w:spacing w:val="-16"/>
        </w:rPr>
        <w:t xml:space="preserve"> </w:t>
      </w:r>
      <w:r>
        <w:t>a</w:t>
      </w:r>
      <w:r>
        <w:rPr>
          <w:spacing w:val="-16"/>
        </w:rPr>
        <w:t xml:space="preserve"> </w:t>
      </w:r>
      <w:r>
        <w:t>10</w:t>
      </w:r>
      <w:r>
        <w:rPr>
          <w:spacing w:val="-16"/>
        </w:rPr>
        <w:t xml:space="preserve"> </w:t>
      </w:r>
      <w:r>
        <w:t xml:space="preserve">percent </w:t>
      </w:r>
      <w:r>
        <w:rPr>
          <w:w w:val="95"/>
        </w:rPr>
        <w:t>chance</w:t>
      </w:r>
      <w:r>
        <w:rPr>
          <w:spacing w:val="-6"/>
          <w:w w:val="95"/>
        </w:rPr>
        <w:t xml:space="preserve"> </w:t>
      </w:r>
      <w:r>
        <w:rPr>
          <w:w w:val="95"/>
        </w:rPr>
        <w:t>that</w:t>
      </w:r>
      <w:r>
        <w:rPr>
          <w:spacing w:val="-6"/>
          <w:w w:val="95"/>
        </w:rPr>
        <w:t xml:space="preserve"> </w:t>
      </w:r>
      <w:r>
        <w:rPr>
          <w:w w:val="95"/>
        </w:rPr>
        <w:t>it</w:t>
      </w:r>
      <w:r>
        <w:rPr>
          <w:spacing w:val="-6"/>
          <w:w w:val="95"/>
        </w:rPr>
        <w:t xml:space="preserve"> </w:t>
      </w:r>
      <w:r>
        <w:rPr>
          <w:w w:val="95"/>
        </w:rPr>
        <w:t>will</w:t>
      </w:r>
      <w:r>
        <w:rPr>
          <w:spacing w:val="-6"/>
          <w:w w:val="95"/>
        </w:rPr>
        <w:t xml:space="preserve"> </w:t>
      </w:r>
      <w:r>
        <w:rPr>
          <w:w w:val="95"/>
        </w:rPr>
        <w:t>be</w:t>
      </w:r>
      <w:r>
        <w:rPr>
          <w:spacing w:val="-6"/>
          <w:w w:val="95"/>
        </w:rPr>
        <w:t xml:space="preserve"> </w:t>
      </w:r>
      <w:r>
        <w:rPr>
          <w:w w:val="95"/>
        </w:rPr>
        <w:t>more.</w:t>
      </w:r>
      <w:r>
        <w:rPr>
          <w:spacing w:val="-6"/>
          <w:w w:val="95"/>
        </w:rPr>
        <w:t xml:space="preserve"> </w:t>
      </w:r>
      <w:r>
        <w:rPr>
          <w:w w:val="95"/>
        </w:rPr>
        <w:t>The</w:t>
      </w:r>
      <w:r>
        <w:rPr>
          <w:spacing w:val="-6"/>
          <w:w w:val="95"/>
        </w:rPr>
        <w:t xml:space="preserve"> </w:t>
      </w:r>
      <w:r>
        <w:rPr>
          <w:w w:val="95"/>
        </w:rPr>
        <w:t>benefit</w:t>
      </w:r>
      <w:r>
        <w:rPr>
          <w:spacing w:val="-6"/>
          <w:w w:val="95"/>
        </w:rPr>
        <w:t xml:space="preserve"> </w:t>
      </w:r>
      <w:r>
        <w:rPr>
          <w:w w:val="95"/>
        </w:rPr>
        <w:t>of</w:t>
      </w:r>
      <w:r>
        <w:rPr>
          <w:spacing w:val="-6"/>
          <w:w w:val="95"/>
        </w:rPr>
        <w:t xml:space="preserve"> </w:t>
      </w:r>
      <w:r>
        <w:rPr>
          <w:w w:val="95"/>
        </w:rPr>
        <w:t>this</w:t>
      </w:r>
      <w:r>
        <w:rPr>
          <w:spacing w:val="-6"/>
          <w:w w:val="95"/>
        </w:rPr>
        <w:t xml:space="preserve"> </w:t>
      </w:r>
      <w:r>
        <w:rPr>
          <w:w w:val="95"/>
        </w:rPr>
        <w:t>approach is</w:t>
      </w:r>
      <w:r>
        <w:rPr>
          <w:spacing w:val="-10"/>
          <w:w w:val="95"/>
        </w:rPr>
        <w:t xml:space="preserve"> </w:t>
      </w:r>
      <w:r>
        <w:rPr>
          <w:w w:val="95"/>
        </w:rPr>
        <w:t>that</w:t>
      </w:r>
      <w:r>
        <w:rPr>
          <w:spacing w:val="-10"/>
          <w:w w:val="95"/>
        </w:rPr>
        <w:t xml:space="preserve"> </w:t>
      </w:r>
      <w:r>
        <w:rPr>
          <w:w w:val="95"/>
        </w:rPr>
        <w:t>there</w:t>
      </w:r>
      <w:r>
        <w:rPr>
          <w:spacing w:val="-10"/>
          <w:w w:val="95"/>
        </w:rPr>
        <w:t xml:space="preserve"> </w:t>
      </w:r>
      <w:r>
        <w:rPr>
          <w:w w:val="95"/>
        </w:rPr>
        <w:t>is</w:t>
      </w:r>
      <w:r>
        <w:rPr>
          <w:spacing w:val="-10"/>
          <w:w w:val="95"/>
        </w:rPr>
        <w:t xml:space="preserve"> </w:t>
      </w:r>
      <w:r>
        <w:rPr>
          <w:w w:val="95"/>
        </w:rPr>
        <w:t>a</w:t>
      </w:r>
      <w:r>
        <w:rPr>
          <w:spacing w:val="-10"/>
          <w:w w:val="95"/>
        </w:rPr>
        <w:t xml:space="preserve"> </w:t>
      </w:r>
      <w:r>
        <w:rPr>
          <w:w w:val="95"/>
        </w:rPr>
        <w:t>high</w:t>
      </w:r>
      <w:r>
        <w:rPr>
          <w:spacing w:val="-10"/>
          <w:w w:val="95"/>
        </w:rPr>
        <w:t xml:space="preserve"> </w:t>
      </w:r>
      <w:r>
        <w:rPr>
          <w:w w:val="95"/>
        </w:rPr>
        <w:t>degree</w:t>
      </w:r>
      <w:r>
        <w:rPr>
          <w:spacing w:val="-10"/>
          <w:w w:val="95"/>
        </w:rPr>
        <w:t xml:space="preserve"> </w:t>
      </w:r>
      <w:r>
        <w:rPr>
          <w:w w:val="95"/>
        </w:rPr>
        <w:t>of</w:t>
      </w:r>
      <w:r>
        <w:rPr>
          <w:spacing w:val="-10"/>
          <w:w w:val="95"/>
        </w:rPr>
        <w:t xml:space="preserve"> </w:t>
      </w:r>
      <w:r>
        <w:rPr>
          <w:w w:val="95"/>
        </w:rPr>
        <w:t>certainty</w:t>
      </w:r>
      <w:r>
        <w:rPr>
          <w:spacing w:val="-10"/>
          <w:w w:val="95"/>
        </w:rPr>
        <w:t xml:space="preserve"> </w:t>
      </w:r>
      <w:r>
        <w:rPr>
          <w:w w:val="95"/>
        </w:rPr>
        <w:t>that</w:t>
      </w:r>
      <w:r>
        <w:rPr>
          <w:spacing w:val="-10"/>
          <w:w w:val="95"/>
        </w:rPr>
        <w:t xml:space="preserve"> </w:t>
      </w:r>
      <w:r>
        <w:rPr>
          <w:w w:val="95"/>
        </w:rPr>
        <w:t>the</w:t>
      </w:r>
      <w:r>
        <w:rPr>
          <w:spacing w:val="-10"/>
          <w:w w:val="95"/>
        </w:rPr>
        <w:t xml:space="preserve"> </w:t>
      </w:r>
      <w:r>
        <w:rPr>
          <w:w w:val="95"/>
        </w:rPr>
        <w:t xml:space="preserve">budget </w:t>
      </w:r>
      <w:r>
        <w:t>will not be exceeded.</w:t>
      </w:r>
    </w:p>
    <w:p w:rsidR="002C1123" w:rsidRDefault="00F22F94">
      <w:pPr>
        <w:pStyle w:val="BodyText"/>
        <w:spacing w:before="147" w:line="249" w:lineRule="auto"/>
        <w:ind w:left="492"/>
      </w:pPr>
      <w:r>
        <w:rPr>
          <w:spacing w:val="-2"/>
        </w:rPr>
        <w:t>However</w:t>
      </w:r>
      <w:r>
        <w:rPr>
          <w:spacing w:val="-12"/>
        </w:rPr>
        <w:t xml:space="preserve"> </w:t>
      </w:r>
      <w:r>
        <w:rPr>
          <w:spacing w:val="-2"/>
        </w:rPr>
        <w:t>the</w:t>
      </w:r>
      <w:r>
        <w:rPr>
          <w:spacing w:val="-12"/>
        </w:rPr>
        <w:t xml:space="preserve"> </w:t>
      </w:r>
      <w:r>
        <w:rPr>
          <w:spacing w:val="-2"/>
        </w:rPr>
        <w:t>disadvantage</w:t>
      </w:r>
      <w:r>
        <w:rPr>
          <w:spacing w:val="-12"/>
        </w:rPr>
        <w:t xml:space="preserve"> </w:t>
      </w:r>
      <w:r>
        <w:rPr>
          <w:spacing w:val="-2"/>
        </w:rPr>
        <w:t>of</w:t>
      </w:r>
      <w:r>
        <w:rPr>
          <w:spacing w:val="-12"/>
        </w:rPr>
        <w:t xml:space="preserve"> </w:t>
      </w:r>
      <w:r>
        <w:rPr>
          <w:spacing w:val="-2"/>
        </w:rPr>
        <w:t>the</w:t>
      </w:r>
      <w:r>
        <w:rPr>
          <w:spacing w:val="-12"/>
        </w:rPr>
        <w:t xml:space="preserve"> </w:t>
      </w:r>
      <w:r>
        <w:rPr>
          <w:spacing w:val="-2"/>
        </w:rPr>
        <w:t>P90</w:t>
      </w:r>
      <w:r>
        <w:rPr>
          <w:spacing w:val="-12"/>
        </w:rPr>
        <w:t xml:space="preserve"> </w:t>
      </w:r>
      <w:r>
        <w:rPr>
          <w:spacing w:val="-2"/>
        </w:rPr>
        <w:t>approach</w:t>
      </w:r>
      <w:r>
        <w:rPr>
          <w:spacing w:val="-12"/>
        </w:rPr>
        <w:t xml:space="preserve"> </w:t>
      </w:r>
      <w:r>
        <w:rPr>
          <w:spacing w:val="-2"/>
        </w:rPr>
        <w:t>is</w:t>
      </w:r>
      <w:r>
        <w:rPr>
          <w:spacing w:val="-12"/>
        </w:rPr>
        <w:t xml:space="preserve"> </w:t>
      </w:r>
      <w:r>
        <w:rPr>
          <w:spacing w:val="-2"/>
        </w:rPr>
        <w:t>that project</w:t>
      </w:r>
      <w:r>
        <w:rPr>
          <w:spacing w:val="-11"/>
        </w:rPr>
        <w:t xml:space="preserve"> </w:t>
      </w:r>
      <w:r>
        <w:rPr>
          <w:spacing w:val="-2"/>
        </w:rPr>
        <w:t>contingency</w:t>
      </w:r>
      <w:r>
        <w:rPr>
          <w:spacing w:val="-11"/>
        </w:rPr>
        <w:t xml:space="preserve"> </w:t>
      </w:r>
      <w:r>
        <w:rPr>
          <w:spacing w:val="-2"/>
        </w:rPr>
        <w:t>is</w:t>
      </w:r>
      <w:r>
        <w:rPr>
          <w:spacing w:val="-11"/>
        </w:rPr>
        <w:t xml:space="preserve"> </w:t>
      </w:r>
      <w:r>
        <w:rPr>
          <w:spacing w:val="-2"/>
        </w:rPr>
        <w:t>set</w:t>
      </w:r>
      <w:r>
        <w:rPr>
          <w:spacing w:val="-11"/>
        </w:rPr>
        <w:t xml:space="preserve"> </w:t>
      </w:r>
      <w:r>
        <w:rPr>
          <w:spacing w:val="-2"/>
        </w:rPr>
        <w:t>at</w:t>
      </w:r>
      <w:r>
        <w:rPr>
          <w:spacing w:val="-11"/>
        </w:rPr>
        <w:t xml:space="preserve"> </w:t>
      </w:r>
      <w:r>
        <w:rPr>
          <w:spacing w:val="-2"/>
        </w:rPr>
        <w:t>a</w:t>
      </w:r>
      <w:r>
        <w:rPr>
          <w:spacing w:val="-11"/>
        </w:rPr>
        <w:t xml:space="preserve"> </w:t>
      </w:r>
      <w:r>
        <w:rPr>
          <w:spacing w:val="-2"/>
        </w:rPr>
        <w:t>very</w:t>
      </w:r>
      <w:r>
        <w:rPr>
          <w:spacing w:val="-11"/>
        </w:rPr>
        <w:t xml:space="preserve"> </w:t>
      </w:r>
      <w:r>
        <w:rPr>
          <w:spacing w:val="-2"/>
        </w:rPr>
        <w:t>high</w:t>
      </w:r>
      <w:r>
        <w:rPr>
          <w:spacing w:val="-11"/>
        </w:rPr>
        <w:t xml:space="preserve"> </w:t>
      </w:r>
      <w:r>
        <w:rPr>
          <w:spacing w:val="-2"/>
        </w:rPr>
        <w:t>level.</w:t>
      </w:r>
      <w:r>
        <w:rPr>
          <w:spacing w:val="-11"/>
        </w:rPr>
        <w:t xml:space="preserve"> </w:t>
      </w:r>
      <w:r>
        <w:rPr>
          <w:spacing w:val="-2"/>
        </w:rPr>
        <w:t>Once budgets</w:t>
      </w:r>
      <w:r>
        <w:rPr>
          <w:spacing w:val="-11"/>
        </w:rPr>
        <w:t xml:space="preserve"> </w:t>
      </w:r>
      <w:r>
        <w:rPr>
          <w:spacing w:val="-2"/>
        </w:rPr>
        <w:t>are</w:t>
      </w:r>
      <w:r>
        <w:rPr>
          <w:spacing w:val="-11"/>
        </w:rPr>
        <w:t xml:space="preserve"> </w:t>
      </w:r>
      <w:r>
        <w:rPr>
          <w:spacing w:val="-2"/>
        </w:rPr>
        <w:t>approved,</w:t>
      </w:r>
      <w:r>
        <w:rPr>
          <w:spacing w:val="-11"/>
        </w:rPr>
        <w:t xml:space="preserve"> </w:t>
      </w:r>
      <w:r>
        <w:rPr>
          <w:spacing w:val="-2"/>
        </w:rPr>
        <w:t>there</w:t>
      </w:r>
      <w:r>
        <w:rPr>
          <w:spacing w:val="-11"/>
        </w:rPr>
        <w:t xml:space="preserve"> </w:t>
      </w:r>
      <w:r>
        <w:rPr>
          <w:spacing w:val="-2"/>
        </w:rPr>
        <w:t>is</w:t>
      </w:r>
      <w:r>
        <w:rPr>
          <w:spacing w:val="-11"/>
        </w:rPr>
        <w:t xml:space="preserve"> </w:t>
      </w:r>
      <w:r>
        <w:rPr>
          <w:spacing w:val="-2"/>
        </w:rPr>
        <w:t>little</w:t>
      </w:r>
      <w:r>
        <w:rPr>
          <w:spacing w:val="-11"/>
        </w:rPr>
        <w:t xml:space="preserve"> </w:t>
      </w:r>
      <w:r>
        <w:rPr>
          <w:spacing w:val="-2"/>
        </w:rPr>
        <w:t>incentive</w:t>
      </w:r>
      <w:r>
        <w:rPr>
          <w:spacing w:val="-11"/>
        </w:rPr>
        <w:t xml:space="preserve"> </w:t>
      </w:r>
      <w:r>
        <w:rPr>
          <w:spacing w:val="-2"/>
        </w:rPr>
        <w:t>on</w:t>
      </w:r>
      <w:r>
        <w:rPr>
          <w:spacing w:val="-11"/>
        </w:rPr>
        <w:t xml:space="preserve"> </w:t>
      </w:r>
      <w:r>
        <w:rPr>
          <w:spacing w:val="-2"/>
        </w:rPr>
        <w:t xml:space="preserve">the </w:t>
      </w:r>
      <w:r>
        <w:rPr>
          <w:w w:val="95"/>
        </w:rPr>
        <w:t>deliverer</w:t>
      </w:r>
      <w:r>
        <w:rPr>
          <w:spacing w:val="-11"/>
          <w:w w:val="95"/>
        </w:rPr>
        <w:t xml:space="preserve"> </w:t>
      </w:r>
      <w:r>
        <w:rPr>
          <w:w w:val="95"/>
        </w:rPr>
        <w:t>to</w:t>
      </w:r>
      <w:r>
        <w:rPr>
          <w:spacing w:val="-11"/>
          <w:w w:val="95"/>
        </w:rPr>
        <w:t xml:space="preserve"> </w:t>
      </w:r>
      <w:r>
        <w:rPr>
          <w:w w:val="95"/>
        </w:rPr>
        <w:t>underspend</w:t>
      </w:r>
      <w:r>
        <w:rPr>
          <w:spacing w:val="-11"/>
          <w:w w:val="95"/>
        </w:rPr>
        <w:t xml:space="preserve"> </w:t>
      </w:r>
      <w:r>
        <w:rPr>
          <w:w w:val="95"/>
        </w:rPr>
        <w:t>and</w:t>
      </w:r>
      <w:r>
        <w:rPr>
          <w:spacing w:val="-11"/>
          <w:w w:val="95"/>
        </w:rPr>
        <w:t xml:space="preserve"> </w:t>
      </w:r>
      <w:r>
        <w:rPr>
          <w:w w:val="95"/>
        </w:rPr>
        <w:t>accordingly</w:t>
      </w:r>
      <w:r>
        <w:rPr>
          <w:spacing w:val="-11"/>
          <w:w w:val="95"/>
        </w:rPr>
        <w:t xml:space="preserve"> </w:t>
      </w:r>
      <w:r>
        <w:rPr>
          <w:w w:val="95"/>
        </w:rPr>
        <w:t>the</w:t>
      </w:r>
      <w:r>
        <w:rPr>
          <w:spacing w:val="-11"/>
          <w:w w:val="95"/>
        </w:rPr>
        <w:t xml:space="preserve"> </w:t>
      </w:r>
      <w:r>
        <w:rPr>
          <w:w w:val="95"/>
        </w:rPr>
        <w:t>tendency</w:t>
      </w:r>
      <w:r>
        <w:rPr>
          <w:spacing w:val="-11"/>
          <w:w w:val="95"/>
        </w:rPr>
        <w:t xml:space="preserve"> </w:t>
      </w:r>
      <w:r>
        <w:rPr>
          <w:w w:val="95"/>
        </w:rPr>
        <w:t xml:space="preserve">is </w:t>
      </w:r>
      <w:r>
        <w:rPr>
          <w:spacing w:val="-2"/>
        </w:rPr>
        <w:t>for</w:t>
      </w:r>
      <w:r>
        <w:rPr>
          <w:spacing w:val="-16"/>
        </w:rPr>
        <w:t xml:space="preserve"> </w:t>
      </w:r>
      <w:r>
        <w:rPr>
          <w:spacing w:val="-2"/>
        </w:rPr>
        <w:t>contingency</w:t>
      </w:r>
      <w:r>
        <w:rPr>
          <w:spacing w:val="-16"/>
        </w:rPr>
        <w:t xml:space="preserve"> </w:t>
      </w:r>
      <w:r>
        <w:rPr>
          <w:spacing w:val="-2"/>
        </w:rPr>
        <w:t>to</w:t>
      </w:r>
      <w:r>
        <w:rPr>
          <w:spacing w:val="-16"/>
        </w:rPr>
        <w:t xml:space="preserve"> </w:t>
      </w:r>
      <w:r>
        <w:rPr>
          <w:spacing w:val="-2"/>
        </w:rPr>
        <w:t>be</w:t>
      </w:r>
      <w:r>
        <w:rPr>
          <w:spacing w:val="-16"/>
        </w:rPr>
        <w:t xml:space="preserve"> </w:t>
      </w:r>
      <w:r>
        <w:rPr>
          <w:spacing w:val="-2"/>
        </w:rPr>
        <w:t>absorbed</w:t>
      </w:r>
      <w:r>
        <w:rPr>
          <w:spacing w:val="-16"/>
        </w:rPr>
        <w:t xml:space="preserve"> </w:t>
      </w:r>
      <w:r>
        <w:rPr>
          <w:spacing w:val="-2"/>
        </w:rPr>
        <w:t>within</w:t>
      </w:r>
      <w:r>
        <w:rPr>
          <w:spacing w:val="-16"/>
        </w:rPr>
        <w:t xml:space="preserve"> </w:t>
      </w:r>
      <w:r>
        <w:rPr>
          <w:spacing w:val="-2"/>
        </w:rPr>
        <w:t>the</w:t>
      </w:r>
      <w:r>
        <w:rPr>
          <w:spacing w:val="-16"/>
        </w:rPr>
        <w:t xml:space="preserve"> </w:t>
      </w:r>
      <w:r>
        <w:rPr>
          <w:spacing w:val="-2"/>
        </w:rPr>
        <w:t>project</w:t>
      </w:r>
      <w:r>
        <w:rPr>
          <w:spacing w:val="-16"/>
        </w:rPr>
        <w:t xml:space="preserve"> </w:t>
      </w:r>
      <w:r>
        <w:rPr>
          <w:spacing w:val="-2"/>
        </w:rPr>
        <w:t>or</w:t>
      </w:r>
      <w:r>
        <w:rPr>
          <w:spacing w:val="-16"/>
        </w:rPr>
        <w:t xml:space="preserve"> </w:t>
      </w:r>
      <w:r>
        <w:rPr>
          <w:spacing w:val="-2"/>
        </w:rPr>
        <w:t xml:space="preserve">the </w:t>
      </w:r>
      <w:r>
        <w:t>delivery</w:t>
      </w:r>
      <w:r>
        <w:rPr>
          <w:spacing w:val="-16"/>
        </w:rPr>
        <w:t xml:space="preserve"> </w:t>
      </w:r>
      <w:r>
        <w:t>agency.</w:t>
      </w:r>
    </w:p>
    <w:p w:rsidR="002C1123" w:rsidRDefault="00F22F94">
      <w:pPr>
        <w:pStyle w:val="BodyText"/>
        <w:spacing w:before="146" w:line="249" w:lineRule="auto"/>
        <w:ind w:left="492"/>
      </w:pPr>
      <w:r>
        <w:rPr>
          <w:w w:val="95"/>
        </w:rPr>
        <w:t>Escalation</w:t>
      </w:r>
      <w:r>
        <w:rPr>
          <w:spacing w:val="-12"/>
          <w:w w:val="95"/>
        </w:rPr>
        <w:t xml:space="preserve"> </w:t>
      </w:r>
      <w:r>
        <w:rPr>
          <w:w w:val="95"/>
        </w:rPr>
        <w:t>of</w:t>
      </w:r>
      <w:r>
        <w:rPr>
          <w:spacing w:val="-12"/>
          <w:w w:val="95"/>
        </w:rPr>
        <w:t xml:space="preserve"> </w:t>
      </w:r>
      <w:r>
        <w:rPr>
          <w:w w:val="95"/>
        </w:rPr>
        <w:t>contingency</w:t>
      </w:r>
      <w:r>
        <w:rPr>
          <w:spacing w:val="-12"/>
          <w:w w:val="95"/>
        </w:rPr>
        <w:t xml:space="preserve"> </w:t>
      </w:r>
      <w:r>
        <w:rPr>
          <w:w w:val="95"/>
        </w:rPr>
        <w:t>is</w:t>
      </w:r>
      <w:r>
        <w:rPr>
          <w:spacing w:val="-12"/>
          <w:w w:val="95"/>
        </w:rPr>
        <w:t xml:space="preserve"> </w:t>
      </w:r>
      <w:r>
        <w:rPr>
          <w:w w:val="95"/>
        </w:rPr>
        <w:t>one</w:t>
      </w:r>
      <w:r>
        <w:rPr>
          <w:spacing w:val="-12"/>
          <w:w w:val="95"/>
        </w:rPr>
        <w:t xml:space="preserve"> </w:t>
      </w:r>
      <w:r>
        <w:rPr>
          <w:w w:val="95"/>
        </w:rPr>
        <w:t>mechanism</w:t>
      </w:r>
      <w:r>
        <w:rPr>
          <w:spacing w:val="-12"/>
          <w:w w:val="95"/>
        </w:rPr>
        <w:t xml:space="preserve"> </w:t>
      </w:r>
      <w:r>
        <w:rPr>
          <w:w w:val="95"/>
        </w:rPr>
        <w:t>by</w:t>
      </w:r>
      <w:r>
        <w:rPr>
          <w:spacing w:val="-12"/>
          <w:w w:val="95"/>
        </w:rPr>
        <w:t xml:space="preserve"> </w:t>
      </w:r>
      <w:r>
        <w:rPr>
          <w:w w:val="95"/>
        </w:rPr>
        <w:t>which</w:t>
      </w:r>
      <w:r>
        <w:rPr>
          <w:spacing w:val="-12"/>
          <w:w w:val="95"/>
        </w:rPr>
        <w:t xml:space="preserve"> </w:t>
      </w:r>
      <w:r>
        <w:rPr>
          <w:w w:val="95"/>
        </w:rPr>
        <w:t xml:space="preserve">the </w:t>
      </w:r>
      <w:r>
        <w:rPr>
          <w:spacing w:val="-2"/>
        </w:rPr>
        <w:t>cost</w:t>
      </w:r>
      <w:r>
        <w:rPr>
          <w:spacing w:val="-7"/>
        </w:rPr>
        <w:t xml:space="preserve"> </w:t>
      </w:r>
      <w:r>
        <w:rPr>
          <w:spacing w:val="-2"/>
        </w:rPr>
        <w:t>of</w:t>
      </w:r>
      <w:r>
        <w:rPr>
          <w:spacing w:val="-7"/>
        </w:rPr>
        <w:t xml:space="preserve"> </w:t>
      </w:r>
      <w:r>
        <w:rPr>
          <w:spacing w:val="-2"/>
        </w:rPr>
        <w:t>procuring</w:t>
      </w:r>
      <w:r>
        <w:rPr>
          <w:spacing w:val="-7"/>
        </w:rPr>
        <w:t xml:space="preserve"> </w:t>
      </w:r>
      <w:r>
        <w:rPr>
          <w:spacing w:val="-2"/>
        </w:rPr>
        <w:t>infrastructure</w:t>
      </w:r>
      <w:r>
        <w:rPr>
          <w:spacing w:val="-7"/>
        </w:rPr>
        <w:t xml:space="preserve"> </w:t>
      </w:r>
      <w:r>
        <w:rPr>
          <w:spacing w:val="-2"/>
        </w:rPr>
        <w:t>tends</w:t>
      </w:r>
      <w:r>
        <w:rPr>
          <w:spacing w:val="-7"/>
        </w:rPr>
        <w:t xml:space="preserve"> </w:t>
      </w:r>
      <w:r>
        <w:rPr>
          <w:spacing w:val="-2"/>
        </w:rPr>
        <w:t>to</w:t>
      </w:r>
      <w:r>
        <w:rPr>
          <w:spacing w:val="-7"/>
        </w:rPr>
        <w:t xml:space="preserve"> </w:t>
      </w:r>
      <w:r>
        <w:rPr>
          <w:spacing w:val="-2"/>
        </w:rPr>
        <w:t>increase</w:t>
      </w:r>
      <w:r>
        <w:rPr>
          <w:spacing w:val="-7"/>
        </w:rPr>
        <w:t xml:space="preserve"> </w:t>
      </w:r>
      <w:r>
        <w:rPr>
          <w:spacing w:val="-2"/>
        </w:rPr>
        <w:t xml:space="preserve">faster </w:t>
      </w:r>
      <w:r>
        <w:t>than</w:t>
      </w:r>
      <w:r>
        <w:rPr>
          <w:spacing w:val="-16"/>
        </w:rPr>
        <w:t xml:space="preserve"> </w:t>
      </w:r>
      <w:r>
        <w:t>other</w:t>
      </w:r>
      <w:r>
        <w:rPr>
          <w:spacing w:val="-16"/>
        </w:rPr>
        <w:t xml:space="preserve"> </w:t>
      </w:r>
      <w:r>
        <w:t>prices.</w:t>
      </w:r>
      <w:r>
        <w:rPr>
          <w:spacing w:val="-16"/>
        </w:rPr>
        <w:t xml:space="preserve"> </w:t>
      </w:r>
      <w:r>
        <w:t>Contingency</w:t>
      </w:r>
      <w:r>
        <w:rPr>
          <w:spacing w:val="-16"/>
        </w:rPr>
        <w:t xml:space="preserve"> </w:t>
      </w:r>
      <w:r>
        <w:t>can</w:t>
      </w:r>
      <w:r>
        <w:rPr>
          <w:spacing w:val="-16"/>
        </w:rPr>
        <w:t xml:space="preserve"> </w:t>
      </w:r>
      <w:r>
        <w:t>allow</w:t>
      </w:r>
      <w:r>
        <w:rPr>
          <w:spacing w:val="-16"/>
        </w:rPr>
        <w:t xml:space="preserve"> </w:t>
      </w:r>
      <w:r>
        <w:t>for</w:t>
      </w:r>
      <w:r>
        <w:rPr>
          <w:spacing w:val="-16"/>
        </w:rPr>
        <w:t xml:space="preserve"> </w:t>
      </w:r>
      <w:r>
        <w:t>scope</w:t>
      </w:r>
      <w:r>
        <w:rPr>
          <w:spacing w:val="-16"/>
        </w:rPr>
        <w:t xml:space="preserve"> </w:t>
      </w:r>
      <w:r>
        <w:t>to</w:t>
      </w:r>
    </w:p>
    <w:p w:rsidR="002C1123" w:rsidRDefault="00F22F94">
      <w:pPr>
        <w:pStyle w:val="BodyText"/>
        <w:spacing w:before="3" w:line="249" w:lineRule="auto"/>
        <w:ind w:left="492"/>
      </w:pPr>
      <w:r>
        <w:rPr>
          <w:w w:val="95"/>
        </w:rPr>
        <w:t>be</w:t>
      </w:r>
      <w:r>
        <w:rPr>
          <w:spacing w:val="-14"/>
          <w:w w:val="95"/>
        </w:rPr>
        <w:t xml:space="preserve"> </w:t>
      </w:r>
      <w:r>
        <w:rPr>
          <w:w w:val="95"/>
        </w:rPr>
        <w:t>upgraded</w:t>
      </w:r>
      <w:r>
        <w:rPr>
          <w:spacing w:val="-13"/>
          <w:w w:val="95"/>
        </w:rPr>
        <w:t xml:space="preserve"> </w:t>
      </w:r>
      <w:r>
        <w:rPr>
          <w:w w:val="95"/>
        </w:rPr>
        <w:t>to</w:t>
      </w:r>
      <w:r>
        <w:rPr>
          <w:spacing w:val="-13"/>
          <w:w w:val="95"/>
        </w:rPr>
        <w:t xml:space="preserve"> </w:t>
      </w:r>
      <w:r>
        <w:rPr>
          <w:w w:val="95"/>
        </w:rPr>
        <w:t>include</w:t>
      </w:r>
      <w:r>
        <w:rPr>
          <w:spacing w:val="-13"/>
          <w:w w:val="95"/>
        </w:rPr>
        <w:t xml:space="preserve"> </w:t>
      </w:r>
      <w:r>
        <w:rPr>
          <w:w w:val="95"/>
        </w:rPr>
        <w:t>‘nice</w:t>
      </w:r>
      <w:r>
        <w:rPr>
          <w:spacing w:val="-14"/>
          <w:w w:val="95"/>
        </w:rPr>
        <w:t xml:space="preserve"> </w:t>
      </w:r>
      <w:r>
        <w:rPr>
          <w:w w:val="95"/>
        </w:rPr>
        <w:t>to</w:t>
      </w:r>
      <w:r>
        <w:rPr>
          <w:spacing w:val="-13"/>
          <w:w w:val="95"/>
        </w:rPr>
        <w:t xml:space="preserve"> </w:t>
      </w:r>
      <w:r>
        <w:rPr>
          <w:w w:val="95"/>
        </w:rPr>
        <w:t>have’</w:t>
      </w:r>
      <w:r>
        <w:rPr>
          <w:spacing w:val="-13"/>
          <w:w w:val="95"/>
        </w:rPr>
        <w:t xml:space="preserve"> </w:t>
      </w:r>
      <w:r>
        <w:rPr>
          <w:w w:val="95"/>
        </w:rPr>
        <w:t>elements.</w:t>
      </w:r>
      <w:r>
        <w:rPr>
          <w:spacing w:val="-13"/>
          <w:w w:val="95"/>
        </w:rPr>
        <w:t xml:space="preserve"> </w:t>
      </w:r>
      <w:r>
        <w:rPr>
          <w:w w:val="95"/>
        </w:rPr>
        <w:t xml:space="preserve">Typically </w:t>
      </w:r>
      <w:r>
        <w:t>these</w:t>
      </w:r>
      <w:r>
        <w:rPr>
          <w:spacing w:val="-13"/>
        </w:rPr>
        <w:t xml:space="preserve"> </w:t>
      </w:r>
      <w:r>
        <w:t>items</w:t>
      </w:r>
      <w:r>
        <w:rPr>
          <w:spacing w:val="-13"/>
        </w:rPr>
        <w:t xml:space="preserve"> </w:t>
      </w:r>
      <w:r>
        <w:t>then</w:t>
      </w:r>
      <w:r>
        <w:rPr>
          <w:spacing w:val="-13"/>
        </w:rPr>
        <w:t xml:space="preserve"> </w:t>
      </w:r>
      <w:r>
        <w:t>become</w:t>
      </w:r>
      <w:r>
        <w:rPr>
          <w:spacing w:val="-13"/>
        </w:rPr>
        <w:t xml:space="preserve"> </w:t>
      </w:r>
      <w:r>
        <w:t>part</w:t>
      </w:r>
      <w:r>
        <w:rPr>
          <w:spacing w:val="-13"/>
        </w:rPr>
        <w:t xml:space="preserve"> </w:t>
      </w:r>
      <w:r>
        <w:t>of</w:t>
      </w:r>
      <w:r>
        <w:rPr>
          <w:spacing w:val="-13"/>
        </w:rPr>
        <w:t xml:space="preserve"> </w:t>
      </w:r>
      <w:r>
        <w:t>the</w:t>
      </w:r>
      <w:r>
        <w:rPr>
          <w:spacing w:val="-13"/>
        </w:rPr>
        <w:t xml:space="preserve"> </w:t>
      </w:r>
      <w:r>
        <w:t>base</w:t>
      </w:r>
      <w:r>
        <w:rPr>
          <w:spacing w:val="-13"/>
        </w:rPr>
        <w:t xml:space="preserve"> </w:t>
      </w:r>
      <w:r>
        <w:t>scope</w:t>
      </w:r>
      <w:r>
        <w:rPr>
          <w:spacing w:val="-13"/>
        </w:rPr>
        <w:t xml:space="preserve"> </w:t>
      </w:r>
      <w:r>
        <w:t>of future</w:t>
      </w:r>
      <w:r>
        <w:rPr>
          <w:spacing w:val="-16"/>
        </w:rPr>
        <w:t xml:space="preserve"> </w:t>
      </w:r>
      <w:r>
        <w:t>projects.</w:t>
      </w:r>
    </w:p>
    <w:p w:rsidR="002C1123" w:rsidRDefault="002C1123">
      <w:pPr>
        <w:pStyle w:val="BodyText"/>
        <w:spacing w:before="10" w:after="1"/>
        <w:rPr>
          <w:sz w:val="14"/>
        </w:rPr>
      </w:pPr>
    </w:p>
    <w:p w:rsidR="002C1123" w:rsidRDefault="002060EF">
      <w:pPr>
        <w:pStyle w:val="BodyText"/>
        <w:ind w:left="492" w:right="-58"/>
      </w:pPr>
      <w:r>
        <w:pict>
          <v:shape id="docshape2911" o:spid="_x0000_s5250" type="#_x0000_t202" style="width:240pt;height:57.35pt;mso-left-percent:-10001;mso-top-percent:-10001;mso-position-horizontal:absolute;mso-position-horizontal-relative:char;mso-position-vertical:absolute;mso-position-vertical-relative:line;mso-left-percent:-10001;mso-top-percent:-10001" fillcolor="#e1e0e1" stroked="f">
            <v:textbox inset="0,0,0,0">
              <w:txbxContent>
                <w:p w:rsidR="00F22F94" w:rsidRDefault="00F22F94">
                  <w:pPr>
                    <w:pStyle w:val="BodyText"/>
                    <w:spacing w:before="68" w:line="249" w:lineRule="auto"/>
                    <w:ind w:left="113" w:right="850"/>
                    <w:rPr>
                      <w:color w:val="000000"/>
                    </w:rPr>
                  </w:pPr>
                  <w:r>
                    <w:rPr>
                      <w:b/>
                      <w:color w:val="00AEEF"/>
                    </w:rPr>
                    <w:t xml:space="preserve">Recommendation </w:t>
                  </w:r>
                  <w:r>
                    <w:rPr>
                      <w:color w:val="000000"/>
                    </w:rPr>
                    <w:t xml:space="preserve">Contingency for major </w:t>
                  </w:r>
                  <w:r>
                    <w:rPr>
                      <w:color w:val="000000"/>
                      <w:w w:val="95"/>
                    </w:rPr>
                    <w:t>infrastructure projects should be managed in a</w:t>
                  </w:r>
                  <w:r>
                    <w:rPr>
                      <w:color w:val="000000"/>
                      <w:spacing w:val="-8"/>
                      <w:w w:val="95"/>
                    </w:rPr>
                    <w:t xml:space="preserve"> </w:t>
                  </w:r>
                  <w:r>
                    <w:rPr>
                      <w:color w:val="000000"/>
                      <w:w w:val="95"/>
                    </w:rPr>
                    <w:t>transparent</w:t>
                  </w:r>
                  <w:r>
                    <w:rPr>
                      <w:color w:val="000000"/>
                      <w:spacing w:val="-8"/>
                      <w:w w:val="95"/>
                    </w:rPr>
                    <w:t xml:space="preserve"> </w:t>
                  </w:r>
                  <w:r>
                    <w:rPr>
                      <w:color w:val="000000"/>
                      <w:w w:val="95"/>
                    </w:rPr>
                    <w:t>fashion</w:t>
                  </w:r>
                  <w:r>
                    <w:rPr>
                      <w:color w:val="000000"/>
                      <w:spacing w:val="-8"/>
                      <w:w w:val="95"/>
                    </w:rPr>
                    <w:t xml:space="preserve"> </w:t>
                  </w:r>
                  <w:r>
                    <w:rPr>
                      <w:color w:val="000000"/>
                      <w:w w:val="95"/>
                    </w:rPr>
                    <w:t>at</w:t>
                  </w:r>
                  <w:r>
                    <w:rPr>
                      <w:color w:val="000000"/>
                      <w:spacing w:val="-8"/>
                      <w:w w:val="95"/>
                    </w:rPr>
                    <w:t xml:space="preserve"> </w:t>
                  </w:r>
                  <w:r>
                    <w:rPr>
                      <w:color w:val="000000"/>
                      <w:w w:val="95"/>
                    </w:rPr>
                    <w:t>the</w:t>
                  </w:r>
                  <w:r>
                    <w:rPr>
                      <w:color w:val="000000"/>
                      <w:spacing w:val="-8"/>
                      <w:w w:val="95"/>
                    </w:rPr>
                    <w:t xml:space="preserve"> </w:t>
                  </w:r>
                  <w:r>
                    <w:rPr>
                      <w:color w:val="000000"/>
                      <w:w w:val="95"/>
                    </w:rPr>
                    <w:t>centre,</w:t>
                  </w:r>
                  <w:r>
                    <w:rPr>
                      <w:color w:val="000000"/>
                      <w:spacing w:val="-8"/>
                      <w:w w:val="95"/>
                    </w:rPr>
                    <w:t xml:space="preserve"> </w:t>
                  </w:r>
                  <w:r>
                    <w:rPr>
                      <w:color w:val="000000"/>
                      <w:w w:val="95"/>
                    </w:rPr>
                    <w:t>in</w:t>
                  </w:r>
                  <w:r>
                    <w:rPr>
                      <w:color w:val="000000"/>
                      <w:spacing w:val="-8"/>
                      <w:w w:val="95"/>
                    </w:rPr>
                    <w:t xml:space="preserve"> </w:t>
                  </w:r>
                  <w:r>
                    <w:rPr>
                      <w:color w:val="000000"/>
                      <w:w w:val="95"/>
                    </w:rPr>
                    <w:t>order</w:t>
                  </w:r>
                  <w:r>
                    <w:rPr>
                      <w:color w:val="000000"/>
                      <w:spacing w:val="-8"/>
                      <w:w w:val="95"/>
                    </w:rPr>
                    <w:t xml:space="preserve"> </w:t>
                  </w:r>
                  <w:r>
                    <w:rPr>
                      <w:color w:val="000000"/>
                      <w:w w:val="95"/>
                    </w:rPr>
                    <w:t xml:space="preserve">to </w:t>
                  </w:r>
                  <w:r>
                    <w:rPr>
                      <w:color w:val="000000"/>
                    </w:rPr>
                    <w:t>improve</w:t>
                  </w:r>
                  <w:r>
                    <w:rPr>
                      <w:color w:val="000000"/>
                      <w:spacing w:val="-7"/>
                    </w:rPr>
                    <w:t xml:space="preserve"> </w:t>
                  </w:r>
                  <w:r>
                    <w:rPr>
                      <w:color w:val="000000"/>
                    </w:rPr>
                    <w:t>management.</w:t>
                  </w:r>
                </w:p>
              </w:txbxContent>
            </v:textbox>
            <w10:anchorlock/>
          </v:shape>
        </w:pict>
      </w:r>
    </w:p>
    <w:p w:rsidR="002C1123" w:rsidRDefault="00F22F94">
      <w:pPr>
        <w:spacing w:before="6"/>
        <w:rPr>
          <w:sz w:val="31"/>
        </w:rPr>
      </w:pPr>
      <w:r>
        <w:br w:type="column"/>
      </w:r>
    </w:p>
    <w:p w:rsidR="002C1123" w:rsidRDefault="00F22F94">
      <w:pPr>
        <w:pStyle w:val="Heading6"/>
        <w:numPr>
          <w:ilvl w:val="2"/>
          <w:numId w:val="24"/>
        </w:numPr>
        <w:tabs>
          <w:tab w:val="left" w:pos="784"/>
        </w:tabs>
        <w:spacing w:before="0"/>
        <w:ind w:left="783"/>
        <w:jc w:val="left"/>
      </w:pPr>
      <w:r>
        <w:rPr>
          <w:color w:val="00AEEF"/>
          <w:spacing w:val="-2"/>
        </w:rPr>
        <w:t>Planning</w:t>
      </w:r>
    </w:p>
    <w:p w:rsidR="002C1123" w:rsidRDefault="00F22F94">
      <w:pPr>
        <w:pStyle w:val="BodyText"/>
        <w:spacing w:before="95" w:line="249" w:lineRule="auto"/>
        <w:ind w:left="189"/>
      </w:pPr>
      <w:r>
        <w:rPr>
          <w:w w:val="95"/>
        </w:rPr>
        <w:t>Industry</w:t>
      </w:r>
      <w:r>
        <w:rPr>
          <w:spacing w:val="-2"/>
          <w:w w:val="95"/>
        </w:rPr>
        <w:t xml:space="preserve"> </w:t>
      </w:r>
      <w:r>
        <w:rPr>
          <w:w w:val="95"/>
        </w:rPr>
        <w:t>reports</w:t>
      </w:r>
      <w:r>
        <w:rPr>
          <w:spacing w:val="-2"/>
          <w:w w:val="95"/>
        </w:rPr>
        <w:t xml:space="preserve"> </w:t>
      </w:r>
      <w:r>
        <w:rPr>
          <w:w w:val="95"/>
        </w:rPr>
        <w:t>that</w:t>
      </w:r>
      <w:r>
        <w:rPr>
          <w:spacing w:val="-2"/>
          <w:w w:val="95"/>
        </w:rPr>
        <w:t xml:space="preserve"> </w:t>
      </w:r>
      <w:r>
        <w:rPr>
          <w:w w:val="95"/>
        </w:rPr>
        <w:t>a</w:t>
      </w:r>
      <w:r>
        <w:rPr>
          <w:spacing w:val="-2"/>
          <w:w w:val="95"/>
        </w:rPr>
        <w:t xml:space="preserve"> </w:t>
      </w:r>
      <w:r>
        <w:rPr>
          <w:w w:val="95"/>
        </w:rPr>
        <w:t>major</w:t>
      </w:r>
      <w:r>
        <w:rPr>
          <w:spacing w:val="-2"/>
          <w:w w:val="95"/>
        </w:rPr>
        <w:t xml:space="preserve"> </w:t>
      </w:r>
      <w:r>
        <w:rPr>
          <w:w w:val="95"/>
        </w:rPr>
        <w:t>source</w:t>
      </w:r>
      <w:r>
        <w:rPr>
          <w:spacing w:val="-2"/>
          <w:w w:val="95"/>
        </w:rPr>
        <w:t xml:space="preserve"> </w:t>
      </w:r>
      <w:r>
        <w:rPr>
          <w:w w:val="95"/>
        </w:rPr>
        <w:t>of</w:t>
      </w:r>
      <w:r>
        <w:rPr>
          <w:spacing w:val="-2"/>
          <w:w w:val="95"/>
        </w:rPr>
        <w:t xml:space="preserve"> </w:t>
      </w:r>
      <w:r>
        <w:rPr>
          <w:w w:val="95"/>
        </w:rPr>
        <w:t>cost</w:t>
      </w:r>
      <w:r>
        <w:rPr>
          <w:spacing w:val="-2"/>
          <w:w w:val="95"/>
        </w:rPr>
        <w:t xml:space="preserve"> </w:t>
      </w:r>
      <w:r>
        <w:rPr>
          <w:w w:val="95"/>
        </w:rPr>
        <w:t>and</w:t>
      </w:r>
      <w:r>
        <w:rPr>
          <w:spacing w:val="-2"/>
          <w:w w:val="95"/>
        </w:rPr>
        <w:t xml:space="preserve"> </w:t>
      </w:r>
      <w:r>
        <w:rPr>
          <w:w w:val="95"/>
        </w:rPr>
        <w:t xml:space="preserve">time </w:t>
      </w:r>
      <w:r>
        <w:t>delays</w:t>
      </w:r>
      <w:r>
        <w:rPr>
          <w:spacing w:val="-14"/>
        </w:rPr>
        <w:t xml:space="preserve"> </w:t>
      </w:r>
      <w:r>
        <w:t>for</w:t>
      </w:r>
      <w:r>
        <w:rPr>
          <w:spacing w:val="-14"/>
        </w:rPr>
        <w:t xml:space="preserve"> </w:t>
      </w:r>
      <w:r>
        <w:t>projects</w:t>
      </w:r>
      <w:r>
        <w:rPr>
          <w:spacing w:val="-14"/>
        </w:rPr>
        <w:t xml:space="preserve"> </w:t>
      </w:r>
      <w:r>
        <w:t>is</w:t>
      </w:r>
      <w:r>
        <w:rPr>
          <w:spacing w:val="-14"/>
        </w:rPr>
        <w:t xml:space="preserve"> </w:t>
      </w:r>
      <w:r>
        <w:t>the</w:t>
      </w:r>
      <w:r>
        <w:rPr>
          <w:spacing w:val="-14"/>
        </w:rPr>
        <w:t xml:space="preserve"> </w:t>
      </w:r>
      <w:r>
        <w:t>planning</w:t>
      </w:r>
      <w:r>
        <w:rPr>
          <w:spacing w:val="-14"/>
        </w:rPr>
        <w:t xml:space="preserve"> </w:t>
      </w:r>
      <w:r>
        <w:t>system</w:t>
      </w:r>
      <w:r>
        <w:rPr>
          <w:spacing w:val="-14"/>
        </w:rPr>
        <w:t xml:space="preserve"> </w:t>
      </w:r>
      <w:r>
        <w:t>for</w:t>
      </w:r>
      <w:r>
        <w:rPr>
          <w:spacing w:val="-14"/>
        </w:rPr>
        <w:t xml:space="preserve"> </w:t>
      </w:r>
      <w:r>
        <w:t>major infrastructure.</w:t>
      </w:r>
      <w:r>
        <w:rPr>
          <w:spacing w:val="-4"/>
        </w:rPr>
        <w:t xml:space="preserve"> </w:t>
      </w:r>
      <w:r>
        <w:t>Infrastructure</w:t>
      </w:r>
      <w:r>
        <w:rPr>
          <w:spacing w:val="-4"/>
        </w:rPr>
        <w:t xml:space="preserve"> </w:t>
      </w:r>
      <w:r>
        <w:t>NSW</w:t>
      </w:r>
      <w:r>
        <w:rPr>
          <w:spacing w:val="-4"/>
        </w:rPr>
        <w:t xml:space="preserve"> </w:t>
      </w:r>
      <w:r>
        <w:t>supports:</w:t>
      </w:r>
    </w:p>
    <w:p w:rsidR="002C1123" w:rsidRDefault="00F22F94">
      <w:pPr>
        <w:pStyle w:val="ListParagraph"/>
        <w:numPr>
          <w:ilvl w:val="3"/>
          <w:numId w:val="24"/>
        </w:numPr>
        <w:tabs>
          <w:tab w:val="left" w:pos="473"/>
        </w:tabs>
        <w:spacing w:before="132" w:line="249" w:lineRule="auto"/>
        <w:ind w:left="472" w:right="203"/>
        <w:rPr>
          <w:sz w:val="20"/>
        </w:rPr>
      </w:pPr>
      <w:r>
        <w:rPr>
          <w:sz w:val="20"/>
        </w:rPr>
        <w:t>new arrangements for Commonwealth and state</w:t>
      </w:r>
      <w:r>
        <w:rPr>
          <w:spacing w:val="-11"/>
          <w:sz w:val="20"/>
        </w:rPr>
        <w:t xml:space="preserve"> </w:t>
      </w:r>
      <w:r>
        <w:rPr>
          <w:sz w:val="20"/>
        </w:rPr>
        <w:t>environmental</w:t>
      </w:r>
      <w:r>
        <w:rPr>
          <w:spacing w:val="-11"/>
          <w:sz w:val="20"/>
        </w:rPr>
        <w:t xml:space="preserve"> </w:t>
      </w:r>
      <w:r>
        <w:rPr>
          <w:sz w:val="20"/>
        </w:rPr>
        <w:t>assessment</w:t>
      </w:r>
      <w:r>
        <w:rPr>
          <w:spacing w:val="-11"/>
          <w:sz w:val="20"/>
        </w:rPr>
        <w:t xml:space="preserve"> </w:t>
      </w:r>
      <w:r>
        <w:rPr>
          <w:sz w:val="20"/>
        </w:rPr>
        <w:t>and</w:t>
      </w:r>
      <w:r>
        <w:rPr>
          <w:spacing w:val="-11"/>
          <w:sz w:val="20"/>
        </w:rPr>
        <w:t xml:space="preserve"> </w:t>
      </w:r>
      <w:r>
        <w:rPr>
          <w:sz w:val="20"/>
        </w:rPr>
        <w:t xml:space="preserve">planning </w:t>
      </w:r>
      <w:r>
        <w:rPr>
          <w:w w:val="95"/>
          <w:sz w:val="20"/>
        </w:rPr>
        <w:t>approvals</w:t>
      </w:r>
      <w:r>
        <w:rPr>
          <w:spacing w:val="-8"/>
          <w:w w:val="95"/>
          <w:sz w:val="20"/>
        </w:rPr>
        <w:t xml:space="preserve"> </w:t>
      </w:r>
      <w:r>
        <w:rPr>
          <w:w w:val="95"/>
          <w:sz w:val="20"/>
        </w:rPr>
        <w:t>-</w:t>
      </w:r>
      <w:r>
        <w:rPr>
          <w:spacing w:val="-8"/>
          <w:w w:val="95"/>
          <w:sz w:val="20"/>
        </w:rPr>
        <w:t xml:space="preserve"> </w:t>
      </w:r>
      <w:r>
        <w:rPr>
          <w:w w:val="95"/>
          <w:sz w:val="20"/>
        </w:rPr>
        <w:t>a</w:t>
      </w:r>
      <w:r>
        <w:rPr>
          <w:spacing w:val="-8"/>
          <w:w w:val="95"/>
          <w:sz w:val="20"/>
        </w:rPr>
        <w:t xml:space="preserve"> </w:t>
      </w:r>
      <w:r>
        <w:rPr>
          <w:w w:val="95"/>
          <w:sz w:val="20"/>
        </w:rPr>
        <w:t>single</w:t>
      </w:r>
      <w:r>
        <w:rPr>
          <w:spacing w:val="-8"/>
          <w:w w:val="95"/>
          <w:sz w:val="20"/>
        </w:rPr>
        <w:t xml:space="preserve"> </w:t>
      </w:r>
      <w:r>
        <w:rPr>
          <w:w w:val="95"/>
          <w:sz w:val="20"/>
        </w:rPr>
        <w:t>process</w:t>
      </w:r>
      <w:r>
        <w:rPr>
          <w:spacing w:val="-8"/>
          <w:w w:val="95"/>
          <w:sz w:val="20"/>
        </w:rPr>
        <w:t xml:space="preserve"> </w:t>
      </w:r>
      <w:r>
        <w:rPr>
          <w:w w:val="95"/>
          <w:sz w:val="20"/>
        </w:rPr>
        <w:t>to</w:t>
      </w:r>
      <w:r>
        <w:rPr>
          <w:spacing w:val="-8"/>
          <w:w w:val="95"/>
          <w:sz w:val="20"/>
        </w:rPr>
        <w:t xml:space="preserve"> </w:t>
      </w:r>
      <w:r>
        <w:rPr>
          <w:w w:val="95"/>
          <w:sz w:val="20"/>
        </w:rPr>
        <w:t>eliminate</w:t>
      </w:r>
      <w:r>
        <w:rPr>
          <w:spacing w:val="-8"/>
          <w:w w:val="95"/>
          <w:sz w:val="20"/>
        </w:rPr>
        <w:t xml:space="preserve"> </w:t>
      </w:r>
      <w:r>
        <w:rPr>
          <w:w w:val="95"/>
          <w:sz w:val="20"/>
        </w:rPr>
        <w:t>the</w:t>
      </w:r>
      <w:r>
        <w:rPr>
          <w:spacing w:val="-8"/>
          <w:w w:val="95"/>
          <w:sz w:val="20"/>
        </w:rPr>
        <w:t xml:space="preserve"> </w:t>
      </w:r>
      <w:r>
        <w:rPr>
          <w:w w:val="95"/>
          <w:sz w:val="20"/>
        </w:rPr>
        <w:t>time</w:t>
      </w:r>
    </w:p>
    <w:p w:rsidR="002C1123" w:rsidRDefault="00F22F94">
      <w:pPr>
        <w:pStyle w:val="BodyText"/>
        <w:spacing w:before="2" w:line="249" w:lineRule="auto"/>
        <w:ind w:left="472"/>
      </w:pPr>
      <w:r>
        <w:rPr>
          <w:w w:val="95"/>
        </w:rPr>
        <w:t>delays</w:t>
      </w:r>
      <w:r>
        <w:rPr>
          <w:spacing w:val="-3"/>
          <w:w w:val="95"/>
        </w:rPr>
        <w:t xml:space="preserve"> </w:t>
      </w:r>
      <w:r>
        <w:rPr>
          <w:w w:val="95"/>
        </w:rPr>
        <w:t>and</w:t>
      </w:r>
      <w:r>
        <w:rPr>
          <w:spacing w:val="-3"/>
          <w:w w:val="95"/>
        </w:rPr>
        <w:t xml:space="preserve"> </w:t>
      </w:r>
      <w:r>
        <w:rPr>
          <w:w w:val="95"/>
        </w:rPr>
        <w:t>costs</w:t>
      </w:r>
      <w:r>
        <w:rPr>
          <w:spacing w:val="-3"/>
          <w:w w:val="95"/>
        </w:rPr>
        <w:t xml:space="preserve"> </w:t>
      </w:r>
      <w:r>
        <w:rPr>
          <w:w w:val="95"/>
        </w:rPr>
        <w:t>associated</w:t>
      </w:r>
      <w:r>
        <w:rPr>
          <w:spacing w:val="-3"/>
          <w:w w:val="95"/>
        </w:rPr>
        <w:t xml:space="preserve"> </w:t>
      </w:r>
      <w:r>
        <w:rPr>
          <w:w w:val="95"/>
        </w:rPr>
        <w:t>with</w:t>
      </w:r>
      <w:r>
        <w:rPr>
          <w:spacing w:val="-3"/>
          <w:w w:val="95"/>
        </w:rPr>
        <w:t xml:space="preserve"> </w:t>
      </w:r>
      <w:r>
        <w:rPr>
          <w:w w:val="95"/>
        </w:rPr>
        <w:t>duplicate</w:t>
      </w:r>
      <w:r>
        <w:rPr>
          <w:spacing w:val="-3"/>
          <w:w w:val="95"/>
        </w:rPr>
        <w:t xml:space="preserve"> </w:t>
      </w:r>
      <w:r>
        <w:rPr>
          <w:w w:val="95"/>
        </w:rPr>
        <w:t xml:space="preserve">reviews </w:t>
      </w:r>
      <w:r>
        <w:t>and</w:t>
      </w:r>
      <w:r>
        <w:rPr>
          <w:spacing w:val="-9"/>
        </w:rPr>
        <w:t xml:space="preserve"> </w:t>
      </w:r>
      <w:r>
        <w:t>assessments</w:t>
      </w:r>
      <w:r>
        <w:rPr>
          <w:spacing w:val="-9"/>
        </w:rPr>
        <w:t xml:space="preserve"> </w:t>
      </w:r>
      <w:r>
        <w:t>(as</w:t>
      </w:r>
      <w:r>
        <w:rPr>
          <w:spacing w:val="-9"/>
        </w:rPr>
        <w:t xml:space="preserve"> </w:t>
      </w:r>
      <w:r>
        <w:t>submitted</w:t>
      </w:r>
      <w:r>
        <w:rPr>
          <w:spacing w:val="-9"/>
        </w:rPr>
        <w:t xml:space="preserve"> </w:t>
      </w:r>
      <w:r>
        <w:t>to</w:t>
      </w:r>
      <w:r>
        <w:rPr>
          <w:spacing w:val="-9"/>
        </w:rPr>
        <w:t xml:space="preserve"> </w:t>
      </w:r>
      <w:r>
        <w:t>the</w:t>
      </w:r>
      <w:r>
        <w:rPr>
          <w:spacing w:val="-9"/>
        </w:rPr>
        <w:t xml:space="preserve"> </w:t>
      </w:r>
      <w:r>
        <w:t>Council</w:t>
      </w:r>
      <w:r>
        <w:rPr>
          <w:spacing w:val="-9"/>
        </w:rPr>
        <w:t xml:space="preserve"> </w:t>
      </w:r>
      <w:r>
        <w:t xml:space="preserve">of </w:t>
      </w:r>
      <w:r>
        <w:rPr>
          <w:w w:val="95"/>
        </w:rPr>
        <w:t>Australian</w:t>
      </w:r>
      <w:r>
        <w:rPr>
          <w:spacing w:val="-7"/>
          <w:w w:val="95"/>
        </w:rPr>
        <w:t xml:space="preserve"> </w:t>
      </w:r>
      <w:r>
        <w:rPr>
          <w:w w:val="95"/>
        </w:rPr>
        <w:t>Governments</w:t>
      </w:r>
      <w:r>
        <w:rPr>
          <w:spacing w:val="-7"/>
          <w:w w:val="95"/>
        </w:rPr>
        <w:t xml:space="preserve"> </w:t>
      </w:r>
      <w:r>
        <w:rPr>
          <w:w w:val="95"/>
        </w:rPr>
        <w:t>in</w:t>
      </w:r>
      <w:r>
        <w:rPr>
          <w:spacing w:val="-7"/>
          <w:w w:val="95"/>
        </w:rPr>
        <w:t xml:space="preserve"> </w:t>
      </w:r>
      <w:r>
        <w:rPr>
          <w:w w:val="95"/>
        </w:rPr>
        <w:t>April</w:t>
      </w:r>
      <w:r>
        <w:rPr>
          <w:spacing w:val="-7"/>
          <w:w w:val="95"/>
        </w:rPr>
        <w:t xml:space="preserve"> </w:t>
      </w:r>
      <w:r>
        <w:rPr>
          <w:w w:val="95"/>
        </w:rPr>
        <w:t>2012,</w:t>
      </w:r>
      <w:r>
        <w:rPr>
          <w:spacing w:val="-7"/>
          <w:w w:val="95"/>
        </w:rPr>
        <w:t xml:space="preserve"> </w:t>
      </w:r>
      <w:r>
        <w:rPr>
          <w:w w:val="95"/>
        </w:rPr>
        <w:t>Better</w:t>
      </w:r>
      <w:r>
        <w:rPr>
          <w:spacing w:val="-7"/>
          <w:w w:val="95"/>
        </w:rPr>
        <w:t xml:space="preserve"> </w:t>
      </w:r>
      <w:r>
        <w:rPr>
          <w:w w:val="95"/>
        </w:rPr>
        <w:t xml:space="preserve">Value </w:t>
      </w:r>
      <w:r>
        <w:t>Infrastructure</w:t>
      </w:r>
      <w:r>
        <w:rPr>
          <w:spacing w:val="-11"/>
        </w:rPr>
        <w:t xml:space="preserve"> </w:t>
      </w:r>
      <w:r>
        <w:t>Plan)</w:t>
      </w:r>
    </w:p>
    <w:p w:rsidR="002C1123" w:rsidRDefault="00F22F94">
      <w:pPr>
        <w:pStyle w:val="ListParagraph"/>
        <w:numPr>
          <w:ilvl w:val="3"/>
          <w:numId w:val="24"/>
        </w:numPr>
        <w:tabs>
          <w:tab w:val="left" w:pos="473"/>
        </w:tabs>
        <w:spacing w:before="133" w:line="249" w:lineRule="auto"/>
        <w:ind w:left="472" w:right="34"/>
        <w:rPr>
          <w:sz w:val="20"/>
        </w:rPr>
      </w:pPr>
      <w:r>
        <w:rPr>
          <w:w w:val="95"/>
          <w:sz w:val="20"/>
        </w:rPr>
        <w:t xml:space="preserve">the NSW Government’s proposed amendments to </w:t>
      </w:r>
      <w:r>
        <w:rPr>
          <w:sz w:val="20"/>
        </w:rPr>
        <w:t>the</w:t>
      </w:r>
      <w:r>
        <w:rPr>
          <w:spacing w:val="-14"/>
          <w:sz w:val="20"/>
        </w:rPr>
        <w:t xml:space="preserve"> </w:t>
      </w:r>
      <w:r>
        <w:rPr>
          <w:sz w:val="20"/>
        </w:rPr>
        <w:t>planning</w:t>
      </w:r>
      <w:r>
        <w:rPr>
          <w:spacing w:val="-14"/>
          <w:sz w:val="20"/>
        </w:rPr>
        <w:t xml:space="preserve"> </w:t>
      </w:r>
      <w:r>
        <w:rPr>
          <w:sz w:val="20"/>
        </w:rPr>
        <w:t>system</w:t>
      </w:r>
      <w:r>
        <w:rPr>
          <w:spacing w:val="-14"/>
          <w:sz w:val="20"/>
        </w:rPr>
        <w:t xml:space="preserve"> </w:t>
      </w:r>
      <w:r>
        <w:rPr>
          <w:sz w:val="20"/>
        </w:rPr>
        <w:t>(A</w:t>
      </w:r>
      <w:r>
        <w:rPr>
          <w:spacing w:val="-14"/>
          <w:sz w:val="20"/>
        </w:rPr>
        <w:t xml:space="preserve"> </w:t>
      </w:r>
      <w:r>
        <w:rPr>
          <w:sz w:val="20"/>
        </w:rPr>
        <w:t>New</w:t>
      </w:r>
      <w:r>
        <w:rPr>
          <w:spacing w:val="-14"/>
          <w:sz w:val="20"/>
        </w:rPr>
        <w:t xml:space="preserve"> </w:t>
      </w:r>
      <w:r>
        <w:rPr>
          <w:sz w:val="20"/>
        </w:rPr>
        <w:t>Planning</w:t>
      </w:r>
      <w:r>
        <w:rPr>
          <w:spacing w:val="-14"/>
          <w:sz w:val="20"/>
        </w:rPr>
        <w:t xml:space="preserve"> </w:t>
      </w:r>
      <w:r>
        <w:rPr>
          <w:sz w:val="20"/>
        </w:rPr>
        <w:t>System</w:t>
      </w:r>
      <w:r>
        <w:rPr>
          <w:spacing w:val="-14"/>
          <w:sz w:val="20"/>
        </w:rPr>
        <w:t xml:space="preserve"> </w:t>
      </w:r>
      <w:r>
        <w:rPr>
          <w:sz w:val="20"/>
        </w:rPr>
        <w:t xml:space="preserve">for </w:t>
      </w:r>
      <w:r>
        <w:rPr>
          <w:w w:val="95"/>
          <w:sz w:val="20"/>
        </w:rPr>
        <w:t>NSW</w:t>
      </w:r>
      <w:r>
        <w:rPr>
          <w:spacing w:val="-9"/>
          <w:w w:val="95"/>
          <w:sz w:val="20"/>
        </w:rPr>
        <w:t xml:space="preserve"> </w:t>
      </w:r>
      <w:r>
        <w:rPr>
          <w:w w:val="95"/>
          <w:sz w:val="20"/>
        </w:rPr>
        <w:t>Green</w:t>
      </w:r>
      <w:r>
        <w:rPr>
          <w:spacing w:val="-9"/>
          <w:w w:val="95"/>
          <w:sz w:val="20"/>
        </w:rPr>
        <w:t xml:space="preserve"> </w:t>
      </w:r>
      <w:r>
        <w:rPr>
          <w:w w:val="95"/>
          <w:sz w:val="20"/>
        </w:rPr>
        <w:t>Paper</w:t>
      </w:r>
      <w:r>
        <w:rPr>
          <w:spacing w:val="-9"/>
          <w:w w:val="95"/>
          <w:sz w:val="20"/>
        </w:rPr>
        <w:t xml:space="preserve"> </w:t>
      </w:r>
      <w:r>
        <w:rPr>
          <w:w w:val="95"/>
          <w:sz w:val="20"/>
        </w:rPr>
        <w:t>July</w:t>
      </w:r>
      <w:r>
        <w:rPr>
          <w:spacing w:val="-9"/>
          <w:w w:val="95"/>
          <w:sz w:val="20"/>
        </w:rPr>
        <w:t xml:space="preserve"> </w:t>
      </w:r>
      <w:r>
        <w:rPr>
          <w:w w:val="95"/>
          <w:sz w:val="20"/>
        </w:rPr>
        <w:t>2012)</w:t>
      </w:r>
      <w:r>
        <w:rPr>
          <w:spacing w:val="-9"/>
          <w:w w:val="95"/>
          <w:sz w:val="20"/>
        </w:rPr>
        <w:t xml:space="preserve"> </w:t>
      </w:r>
      <w:r>
        <w:rPr>
          <w:w w:val="95"/>
          <w:sz w:val="20"/>
        </w:rPr>
        <w:t>to</w:t>
      </w:r>
      <w:r>
        <w:rPr>
          <w:spacing w:val="-9"/>
          <w:w w:val="95"/>
          <w:sz w:val="20"/>
        </w:rPr>
        <w:t xml:space="preserve"> </w:t>
      </w:r>
      <w:r>
        <w:rPr>
          <w:w w:val="95"/>
          <w:sz w:val="20"/>
        </w:rPr>
        <w:t>introduce</w:t>
      </w:r>
      <w:r>
        <w:rPr>
          <w:spacing w:val="-9"/>
          <w:w w:val="95"/>
          <w:sz w:val="20"/>
        </w:rPr>
        <w:t xml:space="preserve"> </w:t>
      </w:r>
      <w:r>
        <w:rPr>
          <w:w w:val="95"/>
          <w:sz w:val="20"/>
        </w:rPr>
        <w:t xml:space="preserve">regional </w:t>
      </w:r>
      <w:r>
        <w:rPr>
          <w:sz w:val="20"/>
        </w:rPr>
        <w:t>growth</w:t>
      </w:r>
      <w:r>
        <w:rPr>
          <w:spacing w:val="-7"/>
          <w:sz w:val="20"/>
        </w:rPr>
        <w:t xml:space="preserve"> </w:t>
      </w:r>
      <w:r>
        <w:rPr>
          <w:sz w:val="20"/>
        </w:rPr>
        <w:t>plans</w:t>
      </w:r>
      <w:r>
        <w:rPr>
          <w:spacing w:val="-7"/>
          <w:sz w:val="20"/>
        </w:rPr>
        <w:t xml:space="preserve"> </w:t>
      </w:r>
      <w:r>
        <w:rPr>
          <w:sz w:val="20"/>
        </w:rPr>
        <w:t>and</w:t>
      </w:r>
      <w:r>
        <w:rPr>
          <w:spacing w:val="-7"/>
          <w:sz w:val="20"/>
        </w:rPr>
        <w:t xml:space="preserve"> </w:t>
      </w:r>
      <w:r>
        <w:rPr>
          <w:sz w:val="20"/>
        </w:rPr>
        <w:t>subregional</w:t>
      </w:r>
      <w:r>
        <w:rPr>
          <w:spacing w:val="-7"/>
          <w:sz w:val="20"/>
        </w:rPr>
        <w:t xml:space="preserve"> </w:t>
      </w:r>
      <w:r>
        <w:rPr>
          <w:sz w:val="20"/>
        </w:rPr>
        <w:t>delivery</w:t>
      </w:r>
      <w:r>
        <w:rPr>
          <w:spacing w:val="-7"/>
          <w:sz w:val="20"/>
        </w:rPr>
        <w:t xml:space="preserve"> </w:t>
      </w:r>
      <w:r>
        <w:rPr>
          <w:sz w:val="20"/>
        </w:rPr>
        <w:t>plans.</w:t>
      </w:r>
    </w:p>
    <w:p w:rsidR="002C1123" w:rsidRDefault="00F22F94">
      <w:pPr>
        <w:pStyle w:val="Heading5"/>
        <w:numPr>
          <w:ilvl w:val="1"/>
          <w:numId w:val="24"/>
        </w:numPr>
        <w:tabs>
          <w:tab w:val="left" w:pos="1005"/>
        </w:tabs>
        <w:spacing w:before="164"/>
        <w:ind w:left="1004"/>
        <w:jc w:val="left"/>
      </w:pPr>
      <w:r>
        <w:rPr>
          <w:b w:val="0"/>
        </w:rPr>
        <w:br w:type="column"/>
      </w:r>
      <w:r>
        <w:rPr>
          <w:color w:val="00AEEF"/>
          <w:spacing w:val="-6"/>
        </w:rPr>
        <w:t>WestConnex</w:t>
      </w:r>
      <w:r>
        <w:rPr>
          <w:color w:val="00AEEF"/>
          <w:spacing w:val="-7"/>
        </w:rPr>
        <w:t xml:space="preserve"> </w:t>
      </w:r>
      <w:r>
        <w:rPr>
          <w:color w:val="00AEEF"/>
          <w:spacing w:val="-6"/>
        </w:rPr>
        <w:t>case study</w:t>
      </w:r>
    </w:p>
    <w:p w:rsidR="002C1123" w:rsidRDefault="00F22F94">
      <w:pPr>
        <w:pStyle w:val="BodyText"/>
        <w:spacing w:before="135" w:line="249" w:lineRule="auto"/>
        <w:ind w:left="404" w:right="893"/>
      </w:pPr>
      <w:r>
        <w:rPr>
          <w:w w:val="95"/>
        </w:rPr>
        <w:t>As described in Section 6, The WestConnex scheme has</w:t>
      </w:r>
      <w:r>
        <w:rPr>
          <w:spacing w:val="-3"/>
          <w:w w:val="95"/>
        </w:rPr>
        <w:t xml:space="preserve"> </w:t>
      </w:r>
      <w:r>
        <w:rPr>
          <w:w w:val="95"/>
        </w:rPr>
        <w:t>a</w:t>
      </w:r>
      <w:r>
        <w:rPr>
          <w:spacing w:val="-3"/>
          <w:w w:val="95"/>
        </w:rPr>
        <w:t xml:space="preserve"> </w:t>
      </w:r>
      <w:r>
        <w:rPr>
          <w:w w:val="95"/>
        </w:rPr>
        <w:t>target</w:t>
      </w:r>
      <w:r>
        <w:rPr>
          <w:spacing w:val="-3"/>
          <w:w w:val="95"/>
        </w:rPr>
        <w:t xml:space="preserve"> </w:t>
      </w:r>
      <w:r>
        <w:rPr>
          <w:w w:val="95"/>
        </w:rPr>
        <w:t>cost</w:t>
      </w:r>
      <w:r>
        <w:rPr>
          <w:spacing w:val="-3"/>
          <w:w w:val="95"/>
        </w:rPr>
        <w:t xml:space="preserve"> </w:t>
      </w:r>
      <w:r>
        <w:rPr>
          <w:w w:val="95"/>
        </w:rPr>
        <w:t>of</w:t>
      </w:r>
      <w:r>
        <w:rPr>
          <w:spacing w:val="-3"/>
          <w:w w:val="95"/>
        </w:rPr>
        <w:t xml:space="preserve"> </w:t>
      </w:r>
      <w:r>
        <w:rPr>
          <w:w w:val="95"/>
        </w:rPr>
        <w:t>$10</w:t>
      </w:r>
      <w:r>
        <w:rPr>
          <w:spacing w:val="-3"/>
          <w:w w:val="95"/>
        </w:rPr>
        <w:t xml:space="preserve"> </w:t>
      </w:r>
      <w:r>
        <w:rPr>
          <w:w w:val="95"/>
        </w:rPr>
        <w:t>billion</w:t>
      </w:r>
      <w:r>
        <w:rPr>
          <w:spacing w:val="-3"/>
          <w:w w:val="95"/>
        </w:rPr>
        <w:t xml:space="preserve"> </w:t>
      </w:r>
      <w:r>
        <w:rPr>
          <w:w w:val="95"/>
        </w:rPr>
        <w:t>over</w:t>
      </w:r>
      <w:r>
        <w:rPr>
          <w:spacing w:val="-3"/>
          <w:w w:val="95"/>
        </w:rPr>
        <w:t xml:space="preserve"> </w:t>
      </w:r>
      <w:r>
        <w:rPr>
          <w:w w:val="95"/>
        </w:rPr>
        <w:t>the</w:t>
      </w:r>
      <w:r>
        <w:rPr>
          <w:spacing w:val="-3"/>
          <w:w w:val="95"/>
        </w:rPr>
        <w:t xml:space="preserve"> </w:t>
      </w:r>
      <w:r>
        <w:rPr>
          <w:w w:val="95"/>
        </w:rPr>
        <w:t>next</w:t>
      </w:r>
      <w:r>
        <w:rPr>
          <w:spacing w:val="-3"/>
          <w:w w:val="95"/>
        </w:rPr>
        <w:t xml:space="preserve"> </w:t>
      </w:r>
      <w:r>
        <w:rPr>
          <w:w w:val="95"/>
        </w:rPr>
        <w:t>10</w:t>
      </w:r>
      <w:r>
        <w:rPr>
          <w:spacing w:val="-3"/>
          <w:w w:val="95"/>
        </w:rPr>
        <w:t xml:space="preserve"> </w:t>
      </w:r>
      <w:r>
        <w:rPr>
          <w:w w:val="95"/>
        </w:rPr>
        <w:t>years. Accordingly</w:t>
      </w:r>
      <w:r>
        <w:rPr>
          <w:spacing w:val="-4"/>
          <w:w w:val="95"/>
        </w:rPr>
        <w:t xml:space="preserve"> </w:t>
      </w:r>
      <w:r>
        <w:rPr>
          <w:w w:val="95"/>
        </w:rPr>
        <w:t>it</w:t>
      </w:r>
      <w:r>
        <w:rPr>
          <w:spacing w:val="-4"/>
          <w:w w:val="95"/>
        </w:rPr>
        <w:t xml:space="preserve"> </w:t>
      </w:r>
      <w:r>
        <w:rPr>
          <w:w w:val="95"/>
        </w:rPr>
        <w:t>presents</w:t>
      </w:r>
      <w:r>
        <w:rPr>
          <w:spacing w:val="-4"/>
          <w:w w:val="95"/>
        </w:rPr>
        <w:t xml:space="preserve"> </w:t>
      </w:r>
      <w:r>
        <w:rPr>
          <w:w w:val="95"/>
        </w:rPr>
        <w:t>significant</w:t>
      </w:r>
      <w:r>
        <w:rPr>
          <w:spacing w:val="-4"/>
          <w:w w:val="95"/>
        </w:rPr>
        <w:t xml:space="preserve"> </w:t>
      </w:r>
      <w:r>
        <w:rPr>
          <w:w w:val="95"/>
        </w:rPr>
        <w:t>challenges</w:t>
      </w:r>
      <w:r>
        <w:rPr>
          <w:spacing w:val="-4"/>
          <w:w w:val="95"/>
        </w:rPr>
        <w:t xml:space="preserve"> </w:t>
      </w:r>
      <w:r>
        <w:rPr>
          <w:w w:val="95"/>
        </w:rPr>
        <w:t>in</w:t>
      </w:r>
      <w:r>
        <w:rPr>
          <w:spacing w:val="-4"/>
          <w:w w:val="95"/>
        </w:rPr>
        <w:t xml:space="preserve"> </w:t>
      </w:r>
      <w:r>
        <w:rPr>
          <w:w w:val="95"/>
        </w:rPr>
        <w:t xml:space="preserve">terms </w:t>
      </w:r>
      <w:r>
        <w:t>of</w:t>
      </w:r>
      <w:r>
        <w:rPr>
          <w:spacing w:val="-3"/>
        </w:rPr>
        <w:t xml:space="preserve"> </w:t>
      </w:r>
      <w:r>
        <w:t>funding,</w:t>
      </w:r>
      <w:r>
        <w:rPr>
          <w:spacing w:val="-3"/>
        </w:rPr>
        <w:t xml:space="preserve"> </w:t>
      </w:r>
      <w:r>
        <w:t>financing</w:t>
      </w:r>
      <w:r>
        <w:rPr>
          <w:spacing w:val="-3"/>
        </w:rPr>
        <w:t xml:space="preserve"> </w:t>
      </w:r>
      <w:r>
        <w:t>and</w:t>
      </w:r>
      <w:r>
        <w:rPr>
          <w:spacing w:val="-3"/>
        </w:rPr>
        <w:t xml:space="preserve"> </w:t>
      </w:r>
      <w:r>
        <w:t>procurement</w:t>
      </w:r>
      <w:r>
        <w:rPr>
          <w:spacing w:val="-3"/>
        </w:rPr>
        <w:t xml:space="preserve"> </w:t>
      </w:r>
      <w:r>
        <w:t>approach.</w:t>
      </w:r>
    </w:p>
    <w:p w:rsidR="002C1123" w:rsidRDefault="00F22F94">
      <w:pPr>
        <w:pStyle w:val="BodyText"/>
        <w:spacing w:before="3" w:line="249" w:lineRule="auto"/>
        <w:ind w:left="404" w:right="1027"/>
      </w:pPr>
      <w:r>
        <w:t>Infrastructure</w:t>
      </w:r>
      <w:r>
        <w:rPr>
          <w:spacing w:val="-8"/>
        </w:rPr>
        <w:t xml:space="preserve"> </w:t>
      </w:r>
      <w:r>
        <w:t>NSW</w:t>
      </w:r>
      <w:r>
        <w:rPr>
          <w:spacing w:val="-8"/>
        </w:rPr>
        <w:t xml:space="preserve"> </w:t>
      </w:r>
      <w:r>
        <w:t>has</w:t>
      </w:r>
      <w:r>
        <w:rPr>
          <w:spacing w:val="-8"/>
        </w:rPr>
        <w:t xml:space="preserve"> </w:t>
      </w:r>
      <w:r>
        <w:t>applied</w:t>
      </w:r>
      <w:r>
        <w:rPr>
          <w:spacing w:val="-8"/>
        </w:rPr>
        <w:t xml:space="preserve"> </w:t>
      </w:r>
      <w:r>
        <w:t>the</w:t>
      </w:r>
      <w:r>
        <w:rPr>
          <w:spacing w:val="-8"/>
        </w:rPr>
        <w:t xml:space="preserve"> </w:t>
      </w:r>
      <w:r>
        <w:t>concepts</w:t>
      </w:r>
      <w:r>
        <w:rPr>
          <w:spacing w:val="-8"/>
        </w:rPr>
        <w:t xml:space="preserve"> </w:t>
      </w:r>
      <w:r>
        <w:t xml:space="preserve">set </w:t>
      </w:r>
      <w:r>
        <w:rPr>
          <w:w w:val="95"/>
        </w:rPr>
        <w:t>out</w:t>
      </w:r>
      <w:r>
        <w:rPr>
          <w:spacing w:val="-8"/>
          <w:w w:val="95"/>
        </w:rPr>
        <w:t xml:space="preserve"> </w:t>
      </w:r>
      <w:r>
        <w:rPr>
          <w:w w:val="95"/>
        </w:rPr>
        <w:t>in</w:t>
      </w:r>
      <w:r>
        <w:rPr>
          <w:spacing w:val="-8"/>
          <w:w w:val="95"/>
        </w:rPr>
        <w:t xml:space="preserve"> </w:t>
      </w:r>
      <w:r>
        <w:rPr>
          <w:w w:val="95"/>
        </w:rPr>
        <w:t>Sections</w:t>
      </w:r>
      <w:r>
        <w:rPr>
          <w:spacing w:val="-8"/>
          <w:w w:val="95"/>
        </w:rPr>
        <w:t xml:space="preserve"> </w:t>
      </w:r>
      <w:r>
        <w:rPr>
          <w:w w:val="95"/>
        </w:rPr>
        <w:t>16.1</w:t>
      </w:r>
      <w:r>
        <w:rPr>
          <w:spacing w:val="-8"/>
          <w:w w:val="95"/>
        </w:rPr>
        <w:t xml:space="preserve"> </w:t>
      </w:r>
      <w:r>
        <w:rPr>
          <w:w w:val="95"/>
        </w:rPr>
        <w:t>to</w:t>
      </w:r>
      <w:r>
        <w:rPr>
          <w:spacing w:val="-8"/>
          <w:w w:val="95"/>
        </w:rPr>
        <w:t xml:space="preserve"> </w:t>
      </w:r>
      <w:r>
        <w:rPr>
          <w:w w:val="95"/>
        </w:rPr>
        <w:t>16.3</w:t>
      </w:r>
      <w:r>
        <w:rPr>
          <w:spacing w:val="-8"/>
          <w:w w:val="95"/>
        </w:rPr>
        <w:t xml:space="preserve"> </w:t>
      </w:r>
      <w:r>
        <w:rPr>
          <w:w w:val="95"/>
        </w:rPr>
        <w:t>to</w:t>
      </w:r>
      <w:r>
        <w:rPr>
          <w:spacing w:val="-8"/>
          <w:w w:val="95"/>
        </w:rPr>
        <w:t xml:space="preserve"> </w:t>
      </w:r>
      <w:r>
        <w:rPr>
          <w:w w:val="95"/>
        </w:rPr>
        <w:t>its</w:t>
      </w:r>
      <w:r>
        <w:rPr>
          <w:spacing w:val="-8"/>
          <w:w w:val="95"/>
        </w:rPr>
        <w:t xml:space="preserve"> </w:t>
      </w:r>
      <w:r>
        <w:rPr>
          <w:w w:val="95"/>
        </w:rPr>
        <w:t>development</w:t>
      </w:r>
      <w:r>
        <w:rPr>
          <w:spacing w:val="-8"/>
          <w:w w:val="95"/>
        </w:rPr>
        <w:t xml:space="preserve"> </w:t>
      </w:r>
      <w:r>
        <w:rPr>
          <w:w w:val="95"/>
        </w:rPr>
        <w:t>of</w:t>
      </w:r>
      <w:r>
        <w:rPr>
          <w:spacing w:val="-8"/>
          <w:w w:val="95"/>
        </w:rPr>
        <w:t xml:space="preserve"> </w:t>
      </w:r>
      <w:r>
        <w:rPr>
          <w:w w:val="95"/>
        </w:rPr>
        <w:t xml:space="preserve">the </w:t>
      </w:r>
      <w:r>
        <w:t>WestConnex</w:t>
      </w:r>
      <w:r>
        <w:rPr>
          <w:spacing w:val="-11"/>
        </w:rPr>
        <w:t xml:space="preserve"> </w:t>
      </w:r>
      <w:r>
        <w:t>scheme.</w:t>
      </w:r>
    </w:p>
    <w:p w:rsidR="002C1123" w:rsidRDefault="00F22F94">
      <w:pPr>
        <w:pStyle w:val="Heading6"/>
        <w:numPr>
          <w:ilvl w:val="2"/>
          <w:numId w:val="24"/>
        </w:numPr>
        <w:tabs>
          <w:tab w:val="left" w:pos="1000"/>
        </w:tabs>
        <w:spacing w:before="145"/>
        <w:ind w:left="999" w:hanging="596"/>
        <w:jc w:val="left"/>
      </w:pPr>
      <w:r>
        <w:rPr>
          <w:color w:val="00AEEF"/>
          <w:spacing w:val="-2"/>
        </w:rPr>
        <w:t>User</w:t>
      </w:r>
      <w:r>
        <w:rPr>
          <w:color w:val="00AEEF"/>
          <w:spacing w:val="-6"/>
        </w:rPr>
        <w:t xml:space="preserve"> </w:t>
      </w:r>
      <w:r>
        <w:rPr>
          <w:color w:val="00AEEF"/>
          <w:spacing w:val="-2"/>
        </w:rPr>
        <w:t>Funding</w:t>
      </w:r>
    </w:p>
    <w:p w:rsidR="002C1123" w:rsidRDefault="00F22F94">
      <w:pPr>
        <w:pStyle w:val="BodyText"/>
        <w:spacing w:before="95" w:line="249" w:lineRule="auto"/>
        <w:ind w:left="404" w:right="808"/>
      </w:pPr>
      <w:r>
        <w:rPr>
          <w:w w:val="95"/>
        </w:rPr>
        <w:t xml:space="preserve">Given its existing commitments, the NSW Government </w:t>
      </w:r>
      <w:r>
        <w:t>is</w:t>
      </w:r>
      <w:r>
        <w:rPr>
          <w:spacing w:val="-14"/>
        </w:rPr>
        <w:t xml:space="preserve"> </w:t>
      </w:r>
      <w:r>
        <w:t>extremely</w:t>
      </w:r>
      <w:r>
        <w:rPr>
          <w:spacing w:val="-13"/>
        </w:rPr>
        <w:t xml:space="preserve"> </w:t>
      </w:r>
      <w:r>
        <w:t>unlikely</w:t>
      </w:r>
      <w:r>
        <w:rPr>
          <w:spacing w:val="-14"/>
        </w:rPr>
        <w:t xml:space="preserve"> </w:t>
      </w:r>
      <w:r>
        <w:t>to</w:t>
      </w:r>
      <w:r>
        <w:rPr>
          <w:spacing w:val="-13"/>
        </w:rPr>
        <w:t xml:space="preserve"> </w:t>
      </w:r>
      <w:r>
        <w:t>have</w:t>
      </w:r>
      <w:r>
        <w:rPr>
          <w:spacing w:val="-14"/>
        </w:rPr>
        <w:t xml:space="preserve"> </w:t>
      </w:r>
      <w:r>
        <w:t>the</w:t>
      </w:r>
      <w:r>
        <w:rPr>
          <w:spacing w:val="-13"/>
        </w:rPr>
        <w:t xml:space="preserve"> </w:t>
      </w:r>
      <w:r>
        <w:t>capacity</w:t>
      </w:r>
      <w:r>
        <w:rPr>
          <w:spacing w:val="-14"/>
        </w:rPr>
        <w:t xml:space="preserve"> </w:t>
      </w:r>
      <w:r>
        <w:t>to</w:t>
      </w:r>
      <w:r>
        <w:rPr>
          <w:spacing w:val="-13"/>
        </w:rPr>
        <w:t xml:space="preserve"> </w:t>
      </w:r>
      <w:r>
        <w:t xml:space="preserve">fund </w:t>
      </w:r>
      <w:r>
        <w:rPr>
          <w:w w:val="95"/>
        </w:rPr>
        <w:t>WestConnex itself over the next ten years. Accordingly development of the project in the short to medium</w:t>
      </w:r>
      <w:r>
        <w:rPr>
          <w:spacing w:val="-1"/>
          <w:w w:val="95"/>
        </w:rPr>
        <w:t xml:space="preserve"> </w:t>
      </w:r>
      <w:r>
        <w:rPr>
          <w:w w:val="95"/>
        </w:rPr>
        <w:t xml:space="preserve">term </w:t>
      </w:r>
      <w:r>
        <w:t>will</w:t>
      </w:r>
      <w:r>
        <w:rPr>
          <w:spacing w:val="-13"/>
        </w:rPr>
        <w:t xml:space="preserve"> </w:t>
      </w:r>
      <w:r>
        <w:t>require</w:t>
      </w:r>
      <w:r>
        <w:rPr>
          <w:spacing w:val="-13"/>
        </w:rPr>
        <w:t xml:space="preserve"> </w:t>
      </w:r>
      <w:r>
        <w:t>a</w:t>
      </w:r>
      <w:r>
        <w:rPr>
          <w:spacing w:val="-13"/>
        </w:rPr>
        <w:t xml:space="preserve"> </w:t>
      </w:r>
      <w:r>
        <w:t>tolling</w:t>
      </w:r>
      <w:r>
        <w:rPr>
          <w:spacing w:val="-13"/>
        </w:rPr>
        <w:t xml:space="preserve"> </w:t>
      </w:r>
      <w:r>
        <w:t>structure</w:t>
      </w:r>
      <w:r>
        <w:rPr>
          <w:spacing w:val="-13"/>
        </w:rPr>
        <w:t xml:space="preserve"> </w:t>
      </w:r>
      <w:r>
        <w:t>that</w:t>
      </w:r>
      <w:r>
        <w:rPr>
          <w:spacing w:val="-13"/>
        </w:rPr>
        <w:t xml:space="preserve"> </w:t>
      </w:r>
      <w:r>
        <w:t>can</w:t>
      </w:r>
      <w:r>
        <w:rPr>
          <w:spacing w:val="-13"/>
        </w:rPr>
        <w:t xml:space="preserve"> </w:t>
      </w:r>
      <w:r>
        <w:t>fund</w:t>
      </w:r>
      <w:r>
        <w:rPr>
          <w:spacing w:val="-13"/>
        </w:rPr>
        <w:t xml:space="preserve"> </w:t>
      </w:r>
      <w:r>
        <w:t>the</w:t>
      </w:r>
      <w:r>
        <w:rPr>
          <w:spacing w:val="-13"/>
        </w:rPr>
        <w:t xml:space="preserve"> </w:t>
      </w:r>
      <w:r>
        <w:t>great majority</w:t>
      </w:r>
      <w:r>
        <w:rPr>
          <w:spacing w:val="-6"/>
        </w:rPr>
        <w:t xml:space="preserve"> </w:t>
      </w:r>
      <w:r>
        <w:t>of</w:t>
      </w:r>
      <w:r>
        <w:rPr>
          <w:spacing w:val="-6"/>
        </w:rPr>
        <w:t xml:space="preserve"> </w:t>
      </w:r>
      <w:r>
        <w:t>the</w:t>
      </w:r>
      <w:r>
        <w:rPr>
          <w:spacing w:val="-6"/>
        </w:rPr>
        <w:t xml:space="preserve"> </w:t>
      </w:r>
      <w:r>
        <w:t>delivery</w:t>
      </w:r>
      <w:r>
        <w:rPr>
          <w:spacing w:val="-6"/>
        </w:rPr>
        <w:t xml:space="preserve"> </w:t>
      </w:r>
      <w:r>
        <w:t>cost</w:t>
      </w:r>
      <w:r>
        <w:rPr>
          <w:spacing w:val="-6"/>
        </w:rPr>
        <w:t xml:space="preserve"> </w:t>
      </w:r>
      <w:r>
        <w:t>over</w:t>
      </w:r>
      <w:r>
        <w:rPr>
          <w:spacing w:val="-6"/>
        </w:rPr>
        <w:t xml:space="preserve"> </w:t>
      </w:r>
      <w:r>
        <w:t>time.</w:t>
      </w:r>
    </w:p>
    <w:p w:rsidR="002C1123" w:rsidRDefault="00F22F94">
      <w:pPr>
        <w:pStyle w:val="BodyText"/>
        <w:spacing w:before="118" w:line="249" w:lineRule="auto"/>
        <w:ind w:left="404" w:right="893"/>
      </w:pPr>
      <w:r>
        <w:t>Initial</w:t>
      </w:r>
      <w:r>
        <w:rPr>
          <w:spacing w:val="-13"/>
        </w:rPr>
        <w:t xml:space="preserve"> </w:t>
      </w:r>
      <w:r>
        <w:t>modelling</w:t>
      </w:r>
      <w:r>
        <w:rPr>
          <w:spacing w:val="-13"/>
        </w:rPr>
        <w:t xml:space="preserve"> </w:t>
      </w:r>
      <w:r>
        <w:t>indicates</w:t>
      </w:r>
      <w:r>
        <w:rPr>
          <w:spacing w:val="-13"/>
        </w:rPr>
        <w:t xml:space="preserve"> </w:t>
      </w:r>
      <w:r>
        <w:t>that</w:t>
      </w:r>
      <w:r>
        <w:rPr>
          <w:spacing w:val="-13"/>
        </w:rPr>
        <w:t xml:space="preserve"> </w:t>
      </w:r>
      <w:r>
        <w:t>around</w:t>
      </w:r>
      <w:r>
        <w:rPr>
          <w:spacing w:val="-13"/>
        </w:rPr>
        <w:t xml:space="preserve"> </w:t>
      </w:r>
      <w:r>
        <w:t>75</w:t>
      </w:r>
      <w:r>
        <w:rPr>
          <w:spacing w:val="-13"/>
        </w:rPr>
        <w:t xml:space="preserve"> </w:t>
      </w:r>
      <w:r>
        <w:t>percent</w:t>
      </w:r>
      <w:r>
        <w:rPr>
          <w:spacing w:val="-13"/>
        </w:rPr>
        <w:t xml:space="preserve"> </w:t>
      </w:r>
      <w:r>
        <w:t xml:space="preserve">of </w:t>
      </w:r>
      <w:r>
        <w:rPr>
          <w:w w:val="95"/>
        </w:rPr>
        <w:t>the</w:t>
      </w:r>
      <w:r>
        <w:rPr>
          <w:spacing w:val="-2"/>
          <w:w w:val="95"/>
        </w:rPr>
        <w:t xml:space="preserve"> </w:t>
      </w:r>
      <w:r>
        <w:rPr>
          <w:w w:val="95"/>
        </w:rPr>
        <w:t>funding</w:t>
      </w:r>
      <w:r>
        <w:rPr>
          <w:spacing w:val="-2"/>
          <w:w w:val="95"/>
        </w:rPr>
        <w:t xml:space="preserve"> </w:t>
      </w:r>
      <w:r>
        <w:rPr>
          <w:w w:val="95"/>
        </w:rPr>
        <w:t>for</w:t>
      </w:r>
      <w:r>
        <w:rPr>
          <w:spacing w:val="-2"/>
          <w:w w:val="95"/>
        </w:rPr>
        <w:t xml:space="preserve"> </w:t>
      </w:r>
      <w:r>
        <w:rPr>
          <w:w w:val="95"/>
        </w:rPr>
        <w:t>WestConnex</w:t>
      </w:r>
      <w:r>
        <w:rPr>
          <w:spacing w:val="-2"/>
          <w:w w:val="95"/>
        </w:rPr>
        <w:t xml:space="preserve"> </w:t>
      </w:r>
      <w:r>
        <w:rPr>
          <w:w w:val="95"/>
        </w:rPr>
        <w:t>can</w:t>
      </w:r>
      <w:r>
        <w:rPr>
          <w:spacing w:val="-2"/>
          <w:w w:val="95"/>
        </w:rPr>
        <w:t xml:space="preserve"> </w:t>
      </w:r>
      <w:r>
        <w:rPr>
          <w:w w:val="95"/>
        </w:rPr>
        <w:t>be</w:t>
      </w:r>
      <w:r>
        <w:rPr>
          <w:spacing w:val="-2"/>
          <w:w w:val="95"/>
        </w:rPr>
        <w:t xml:space="preserve"> </w:t>
      </w:r>
      <w:r>
        <w:rPr>
          <w:w w:val="95"/>
        </w:rPr>
        <w:t>sourced</w:t>
      </w:r>
      <w:r>
        <w:rPr>
          <w:spacing w:val="-2"/>
          <w:w w:val="95"/>
        </w:rPr>
        <w:t xml:space="preserve"> </w:t>
      </w:r>
      <w:r>
        <w:rPr>
          <w:w w:val="95"/>
        </w:rPr>
        <w:t>from</w:t>
      </w:r>
      <w:r>
        <w:rPr>
          <w:spacing w:val="-3"/>
          <w:w w:val="95"/>
        </w:rPr>
        <w:t xml:space="preserve"> </w:t>
      </w:r>
      <w:r>
        <w:rPr>
          <w:w w:val="95"/>
        </w:rPr>
        <w:t xml:space="preserve">user </w:t>
      </w:r>
      <w:r>
        <w:t>charges, having regard to:</w:t>
      </w:r>
    </w:p>
    <w:p w:rsidR="002C1123" w:rsidRDefault="00F22F94">
      <w:pPr>
        <w:pStyle w:val="ListParagraph"/>
        <w:numPr>
          <w:ilvl w:val="3"/>
          <w:numId w:val="24"/>
        </w:numPr>
        <w:tabs>
          <w:tab w:val="left" w:pos="688"/>
        </w:tabs>
        <w:spacing w:before="103" w:line="249" w:lineRule="auto"/>
        <w:ind w:left="687" w:right="818"/>
        <w:rPr>
          <w:sz w:val="20"/>
        </w:rPr>
      </w:pPr>
      <w:r>
        <w:rPr>
          <w:w w:val="95"/>
          <w:sz w:val="20"/>
        </w:rPr>
        <w:t>significant</w:t>
      </w:r>
      <w:r>
        <w:rPr>
          <w:spacing w:val="-9"/>
          <w:w w:val="95"/>
          <w:sz w:val="20"/>
        </w:rPr>
        <w:t xml:space="preserve"> </w:t>
      </w:r>
      <w:r>
        <w:rPr>
          <w:w w:val="95"/>
          <w:sz w:val="20"/>
        </w:rPr>
        <w:t>high</w:t>
      </w:r>
      <w:r>
        <w:rPr>
          <w:spacing w:val="-9"/>
          <w:w w:val="95"/>
          <w:sz w:val="20"/>
        </w:rPr>
        <w:t xml:space="preserve"> </w:t>
      </w:r>
      <w:r>
        <w:rPr>
          <w:w w:val="95"/>
          <w:sz w:val="20"/>
        </w:rPr>
        <w:t>value</w:t>
      </w:r>
      <w:r>
        <w:rPr>
          <w:spacing w:val="-9"/>
          <w:w w:val="95"/>
          <w:sz w:val="20"/>
        </w:rPr>
        <w:t xml:space="preserve"> </w:t>
      </w:r>
      <w:r>
        <w:rPr>
          <w:w w:val="95"/>
          <w:sz w:val="20"/>
        </w:rPr>
        <w:t>traffic</w:t>
      </w:r>
      <w:r>
        <w:rPr>
          <w:spacing w:val="-9"/>
          <w:w w:val="95"/>
          <w:sz w:val="20"/>
        </w:rPr>
        <w:t xml:space="preserve"> </w:t>
      </w:r>
      <w:r>
        <w:rPr>
          <w:w w:val="95"/>
          <w:sz w:val="20"/>
        </w:rPr>
        <w:t>flows,</w:t>
      </w:r>
      <w:r>
        <w:rPr>
          <w:spacing w:val="-9"/>
          <w:w w:val="95"/>
          <w:sz w:val="20"/>
        </w:rPr>
        <w:t xml:space="preserve"> </w:t>
      </w:r>
      <w:r>
        <w:rPr>
          <w:w w:val="95"/>
          <w:sz w:val="20"/>
        </w:rPr>
        <w:t>particularly</w:t>
      </w:r>
      <w:r>
        <w:rPr>
          <w:spacing w:val="-9"/>
          <w:w w:val="95"/>
          <w:sz w:val="20"/>
        </w:rPr>
        <w:t xml:space="preserve"> </w:t>
      </w:r>
      <w:r>
        <w:rPr>
          <w:w w:val="95"/>
          <w:sz w:val="20"/>
        </w:rPr>
        <w:t xml:space="preserve">freight, </w:t>
      </w:r>
      <w:r>
        <w:rPr>
          <w:sz w:val="20"/>
        </w:rPr>
        <w:t>with strong growth characteristics</w:t>
      </w:r>
    </w:p>
    <w:p w:rsidR="002C1123" w:rsidRDefault="00F22F94">
      <w:pPr>
        <w:pStyle w:val="ListParagraph"/>
        <w:numPr>
          <w:ilvl w:val="3"/>
          <w:numId w:val="24"/>
        </w:numPr>
        <w:tabs>
          <w:tab w:val="left" w:pos="688"/>
        </w:tabs>
        <w:spacing w:before="103" w:line="249" w:lineRule="auto"/>
        <w:ind w:left="687" w:right="1079"/>
        <w:rPr>
          <w:sz w:val="20"/>
        </w:rPr>
      </w:pPr>
      <w:r>
        <w:rPr>
          <w:w w:val="95"/>
          <w:sz w:val="20"/>
        </w:rPr>
        <w:t>substantial</w:t>
      </w:r>
      <w:r>
        <w:rPr>
          <w:spacing w:val="-6"/>
          <w:w w:val="95"/>
          <w:sz w:val="20"/>
        </w:rPr>
        <w:t xml:space="preserve"> </w:t>
      </w:r>
      <w:r>
        <w:rPr>
          <w:w w:val="95"/>
          <w:sz w:val="20"/>
        </w:rPr>
        <w:t>mature</w:t>
      </w:r>
      <w:r>
        <w:rPr>
          <w:spacing w:val="-6"/>
          <w:w w:val="95"/>
          <w:sz w:val="20"/>
        </w:rPr>
        <w:t xml:space="preserve"> </w:t>
      </w:r>
      <w:r>
        <w:rPr>
          <w:w w:val="95"/>
          <w:sz w:val="20"/>
        </w:rPr>
        <w:t>traffic</w:t>
      </w:r>
      <w:r>
        <w:rPr>
          <w:spacing w:val="-6"/>
          <w:w w:val="95"/>
          <w:sz w:val="20"/>
        </w:rPr>
        <w:t xml:space="preserve"> </w:t>
      </w:r>
      <w:r>
        <w:rPr>
          <w:w w:val="95"/>
          <w:sz w:val="20"/>
        </w:rPr>
        <w:t>flows</w:t>
      </w:r>
      <w:r>
        <w:rPr>
          <w:spacing w:val="-6"/>
          <w:w w:val="95"/>
          <w:sz w:val="20"/>
        </w:rPr>
        <w:t xml:space="preserve"> </w:t>
      </w:r>
      <w:r>
        <w:rPr>
          <w:w w:val="95"/>
          <w:sz w:val="20"/>
        </w:rPr>
        <w:t>on</w:t>
      </w:r>
      <w:r>
        <w:rPr>
          <w:spacing w:val="-6"/>
          <w:w w:val="95"/>
          <w:sz w:val="20"/>
        </w:rPr>
        <w:t xml:space="preserve"> </w:t>
      </w:r>
      <w:r>
        <w:rPr>
          <w:w w:val="95"/>
          <w:sz w:val="20"/>
        </w:rPr>
        <w:t>the</w:t>
      </w:r>
      <w:r>
        <w:rPr>
          <w:spacing w:val="-6"/>
          <w:w w:val="95"/>
          <w:sz w:val="20"/>
        </w:rPr>
        <w:t xml:space="preserve"> </w:t>
      </w:r>
      <w:r>
        <w:rPr>
          <w:w w:val="95"/>
          <w:sz w:val="20"/>
        </w:rPr>
        <w:t>existing</w:t>
      </w:r>
      <w:r>
        <w:rPr>
          <w:spacing w:val="-6"/>
          <w:w w:val="95"/>
          <w:sz w:val="20"/>
        </w:rPr>
        <w:t xml:space="preserve"> </w:t>
      </w:r>
      <w:r>
        <w:rPr>
          <w:w w:val="95"/>
          <w:sz w:val="20"/>
        </w:rPr>
        <w:t xml:space="preserve">M4 </w:t>
      </w:r>
      <w:r>
        <w:rPr>
          <w:sz w:val="20"/>
        </w:rPr>
        <w:t>east</w:t>
      </w:r>
      <w:r>
        <w:rPr>
          <w:spacing w:val="-11"/>
          <w:sz w:val="20"/>
        </w:rPr>
        <w:t xml:space="preserve"> </w:t>
      </w:r>
      <w:r>
        <w:rPr>
          <w:sz w:val="20"/>
        </w:rPr>
        <w:t>of</w:t>
      </w:r>
      <w:r>
        <w:rPr>
          <w:spacing w:val="-11"/>
          <w:sz w:val="20"/>
        </w:rPr>
        <w:t xml:space="preserve"> </w:t>
      </w:r>
      <w:r>
        <w:rPr>
          <w:sz w:val="20"/>
        </w:rPr>
        <w:t>Parramatta</w:t>
      </w:r>
      <w:r>
        <w:rPr>
          <w:spacing w:val="-11"/>
          <w:sz w:val="20"/>
        </w:rPr>
        <w:t xml:space="preserve"> </w:t>
      </w:r>
      <w:r>
        <w:rPr>
          <w:sz w:val="20"/>
        </w:rPr>
        <w:t>and</w:t>
      </w:r>
      <w:r>
        <w:rPr>
          <w:spacing w:val="-11"/>
          <w:sz w:val="20"/>
        </w:rPr>
        <w:t xml:space="preserve"> </w:t>
      </w:r>
      <w:r>
        <w:rPr>
          <w:sz w:val="20"/>
        </w:rPr>
        <w:t>on</w:t>
      </w:r>
      <w:r>
        <w:rPr>
          <w:spacing w:val="-11"/>
          <w:sz w:val="20"/>
        </w:rPr>
        <w:t xml:space="preserve"> </w:t>
      </w:r>
      <w:r>
        <w:rPr>
          <w:sz w:val="20"/>
        </w:rPr>
        <w:t>the</w:t>
      </w:r>
      <w:r>
        <w:rPr>
          <w:spacing w:val="-11"/>
          <w:sz w:val="20"/>
        </w:rPr>
        <w:t xml:space="preserve"> </w:t>
      </w:r>
      <w:r>
        <w:rPr>
          <w:sz w:val="20"/>
        </w:rPr>
        <w:t>existing</w:t>
      </w:r>
      <w:r>
        <w:rPr>
          <w:spacing w:val="-11"/>
          <w:sz w:val="20"/>
        </w:rPr>
        <w:t xml:space="preserve"> </w:t>
      </w:r>
      <w:r>
        <w:rPr>
          <w:sz w:val="20"/>
        </w:rPr>
        <w:t>M5</w:t>
      </w:r>
      <w:r>
        <w:rPr>
          <w:spacing w:val="-11"/>
          <w:sz w:val="20"/>
        </w:rPr>
        <w:t xml:space="preserve"> </w:t>
      </w:r>
      <w:r>
        <w:rPr>
          <w:sz w:val="20"/>
        </w:rPr>
        <w:t>East</w:t>
      </w:r>
    </w:p>
    <w:p w:rsidR="002C1123" w:rsidRDefault="002C1123">
      <w:pPr>
        <w:spacing w:line="249" w:lineRule="auto"/>
        <w:rPr>
          <w:sz w:val="20"/>
        </w:rPr>
        <w:sectPr w:rsidR="002C1123">
          <w:type w:val="continuous"/>
          <w:pgSz w:w="16840" w:h="11910" w:orient="landscape"/>
          <w:pgMar w:top="560" w:right="280" w:bottom="280" w:left="500" w:header="0" w:footer="517" w:gutter="0"/>
          <w:cols w:num="3" w:space="720" w:equalWidth="0">
            <w:col w:w="5290" w:space="40"/>
            <w:col w:w="4772" w:space="39"/>
            <w:col w:w="5919"/>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BodyText"/>
        <w:spacing w:before="106" w:line="249" w:lineRule="auto"/>
        <w:ind w:left="492"/>
      </w:pPr>
      <w:bookmarkStart w:id="413" w:name="_bookmark294"/>
      <w:bookmarkEnd w:id="413"/>
      <w:r>
        <w:rPr>
          <w:w w:val="95"/>
        </w:rPr>
        <w:t xml:space="preserve">The proposed tolling scheme will comprise a distance- </w:t>
      </w:r>
      <w:r>
        <w:t>based</w:t>
      </w:r>
      <w:r>
        <w:rPr>
          <w:spacing w:val="-10"/>
        </w:rPr>
        <w:t xml:space="preserve"> </w:t>
      </w:r>
      <w:r>
        <w:t>charge</w:t>
      </w:r>
      <w:r>
        <w:rPr>
          <w:spacing w:val="-10"/>
        </w:rPr>
        <w:t xml:space="preserve"> </w:t>
      </w:r>
      <w:r>
        <w:t>and</w:t>
      </w:r>
      <w:r>
        <w:rPr>
          <w:spacing w:val="-10"/>
        </w:rPr>
        <w:t xml:space="preserve"> </w:t>
      </w:r>
      <w:r>
        <w:t>a</w:t>
      </w:r>
      <w:r>
        <w:rPr>
          <w:spacing w:val="-10"/>
        </w:rPr>
        <w:t xml:space="preserve"> </w:t>
      </w:r>
      <w:r>
        <w:t>flagfall</w:t>
      </w:r>
      <w:r>
        <w:rPr>
          <w:spacing w:val="-10"/>
        </w:rPr>
        <w:t xml:space="preserve"> </w:t>
      </w:r>
      <w:r>
        <w:t>charge</w:t>
      </w:r>
      <w:r>
        <w:rPr>
          <w:spacing w:val="-10"/>
        </w:rPr>
        <w:t xml:space="preserve"> </w:t>
      </w:r>
      <w:r>
        <w:t>for</w:t>
      </w:r>
      <w:r>
        <w:rPr>
          <w:spacing w:val="-10"/>
        </w:rPr>
        <w:t xml:space="preserve"> </w:t>
      </w:r>
      <w:r>
        <w:t>access</w:t>
      </w:r>
      <w:r>
        <w:rPr>
          <w:spacing w:val="-10"/>
        </w:rPr>
        <w:t xml:space="preserve"> </w:t>
      </w:r>
      <w:r>
        <w:t>to WestConnex.</w:t>
      </w:r>
      <w:r>
        <w:rPr>
          <w:spacing w:val="-12"/>
        </w:rPr>
        <w:t xml:space="preserve"> </w:t>
      </w:r>
      <w:r>
        <w:t>It</w:t>
      </w:r>
      <w:r>
        <w:rPr>
          <w:spacing w:val="-12"/>
        </w:rPr>
        <w:t xml:space="preserve"> </w:t>
      </w:r>
      <w:r>
        <w:t>is</w:t>
      </w:r>
      <w:r>
        <w:rPr>
          <w:spacing w:val="-12"/>
        </w:rPr>
        <w:t xml:space="preserve"> </w:t>
      </w:r>
      <w:r>
        <w:t>proposed</w:t>
      </w:r>
      <w:r>
        <w:rPr>
          <w:spacing w:val="-12"/>
        </w:rPr>
        <w:t xml:space="preserve"> </w:t>
      </w:r>
      <w:r>
        <w:t>that</w:t>
      </w:r>
      <w:r>
        <w:rPr>
          <w:spacing w:val="-12"/>
        </w:rPr>
        <w:t xml:space="preserve"> </w:t>
      </w:r>
      <w:r>
        <w:t>the</w:t>
      </w:r>
      <w:r>
        <w:rPr>
          <w:spacing w:val="-12"/>
        </w:rPr>
        <w:t xml:space="preserve"> </w:t>
      </w:r>
      <w:r>
        <w:t>total</w:t>
      </w:r>
      <w:r>
        <w:rPr>
          <w:spacing w:val="-12"/>
        </w:rPr>
        <w:t xml:space="preserve"> </w:t>
      </w:r>
      <w:r>
        <w:t>toll</w:t>
      </w:r>
      <w:r>
        <w:rPr>
          <w:spacing w:val="-12"/>
        </w:rPr>
        <w:t xml:space="preserve"> </w:t>
      </w:r>
      <w:r>
        <w:t>will</w:t>
      </w:r>
      <w:r>
        <w:rPr>
          <w:spacing w:val="-12"/>
        </w:rPr>
        <w:t xml:space="preserve"> </w:t>
      </w:r>
      <w:r>
        <w:t>be capped</w:t>
      </w:r>
      <w:r>
        <w:rPr>
          <w:spacing w:val="-9"/>
        </w:rPr>
        <w:t xml:space="preserve"> </w:t>
      </w:r>
      <w:r>
        <w:t>for</w:t>
      </w:r>
      <w:r>
        <w:rPr>
          <w:spacing w:val="-9"/>
        </w:rPr>
        <w:t xml:space="preserve"> </w:t>
      </w:r>
      <w:r>
        <w:t>cars</w:t>
      </w:r>
      <w:r>
        <w:rPr>
          <w:spacing w:val="-9"/>
        </w:rPr>
        <w:t xml:space="preserve"> </w:t>
      </w:r>
      <w:r>
        <w:t>(as</w:t>
      </w:r>
      <w:r>
        <w:rPr>
          <w:spacing w:val="-9"/>
        </w:rPr>
        <w:t xml:space="preserve"> </w:t>
      </w:r>
      <w:r>
        <w:t>on</w:t>
      </w:r>
      <w:r>
        <w:rPr>
          <w:spacing w:val="-9"/>
        </w:rPr>
        <w:t xml:space="preserve"> </w:t>
      </w:r>
      <w:r>
        <w:t>the</w:t>
      </w:r>
      <w:r>
        <w:rPr>
          <w:spacing w:val="-9"/>
        </w:rPr>
        <w:t xml:space="preserve"> </w:t>
      </w:r>
      <w:r>
        <w:t>M7)</w:t>
      </w:r>
      <w:r>
        <w:rPr>
          <w:spacing w:val="-9"/>
        </w:rPr>
        <w:t xml:space="preserve"> </w:t>
      </w:r>
      <w:r>
        <w:t>and</w:t>
      </w:r>
      <w:r>
        <w:rPr>
          <w:spacing w:val="-9"/>
        </w:rPr>
        <w:t xml:space="preserve"> </w:t>
      </w:r>
      <w:r>
        <w:t>that</w:t>
      </w:r>
      <w:r>
        <w:rPr>
          <w:spacing w:val="-9"/>
        </w:rPr>
        <w:t xml:space="preserve"> </w:t>
      </w:r>
      <w:r>
        <w:t>trucks</w:t>
      </w:r>
      <w:r>
        <w:rPr>
          <w:spacing w:val="-9"/>
        </w:rPr>
        <w:t xml:space="preserve"> </w:t>
      </w:r>
      <w:r>
        <w:t xml:space="preserve">and </w:t>
      </w:r>
      <w:r>
        <w:rPr>
          <w:w w:val="95"/>
        </w:rPr>
        <w:t>commercial</w:t>
      </w:r>
      <w:r>
        <w:rPr>
          <w:spacing w:val="-11"/>
          <w:w w:val="95"/>
        </w:rPr>
        <w:t xml:space="preserve"> </w:t>
      </w:r>
      <w:r>
        <w:rPr>
          <w:w w:val="95"/>
        </w:rPr>
        <w:t>vehicles</w:t>
      </w:r>
      <w:r>
        <w:rPr>
          <w:spacing w:val="-11"/>
          <w:w w:val="95"/>
        </w:rPr>
        <w:t xml:space="preserve"> </w:t>
      </w:r>
      <w:r>
        <w:rPr>
          <w:w w:val="95"/>
        </w:rPr>
        <w:t>will</w:t>
      </w:r>
      <w:r>
        <w:rPr>
          <w:spacing w:val="-11"/>
          <w:w w:val="95"/>
        </w:rPr>
        <w:t xml:space="preserve"> </w:t>
      </w:r>
      <w:r>
        <w:rPr>
          <w:w w:val="95"/>
        </w:rPr>
        <w:t>pay</w:t>
      </w:r>
      <w:r>
        <w:rPr>
          <w:spacing w:val="-11"/>
          <w:w w:val="95"/>
        </w:rPr>
        <w:t xml:space="preserve"> </w:t>
      </w:r>
      <w:r>
        <w:rPr>
          <w:w w:val="95"/>
        </w:rPr>
        <w:t>a</w:t>
      </w:r>
      <w:r>
        <w:rPr>
          <w:spacing w:val="-11"/>
          <w:w w:val="95"/>
        </w:rPr>
        <w:t xml:space="preserve"> </w:t>
      </w:r>
      <w:r>
        <w:rPr>
          <w:w w:val="95"/>
        </w:rPr>
        <w:t>higher</w:t>
      </w:r>
      <w:r>
        <w:rPr>
          <w:spacing w:val="-11"/>
          <w:w w:val="95"/>
        </w:rPr>
        <w:t xml:space="preserve"> </w:t>
      </w:r>
      <w:r>
        <w:rPr>
          <w:w w:val="95"/>
        </w:rPr>
        <w:t>toll</w:t>
      </w:r>
      <w:r>
        <w:rPr>
          <w:spacing w:val="-11"/>
          <w:w w:val="95"/>
        </w:rPr>
        <w:t xml:space="preserve"> </w:t>
      </w:r>
      <w:r>
        <w:rPr>
          <w:w w:val="95"/>
        </w:rPr>
        <w:t>(as</w:t>
      </w:r>
      <w:r>
        <w:rPr>
          <w:spacing w:val="-11"/>
          <w:w w:val="95"/>
        </w:rPr>
        <w:t xml:space="preserve"> </w:t>
      </w:r>
      <w:r>
        <w:rPr>
          <w:w w:val="95"/>
        </w:rPr>
        <w:t>on</w:t>
      </w:r>
      <w:r>
        <w:rPr>
          <w:spacing w:val="-11"/>
          <w:w w:val="95"/>
        </w:rPr>
        <w:t xml:space="preserve"> </w:t>
      </w:r>
      <w:r>
        <w:rPr>
          <w:w w:val="95"/>
        </w:rPr>
        <w:t>the</w:t>
      </w:r>
      <w:r>
        <w:rPr>
          <w:spacing w:val="-11"/>
          <w:w w:val="95"/>
        </w:rPr>
        <w:t xml:space="preserve"> </w:t>
      </w:r>
      <w:r>
        <w:rPr>
          <w:w w:val="95"/>
        </w:rPr>
        <w:t>M2). The</w:t>
      </w:r>
      <w:r>
        <w:rPr>
          <w:spacing w:val="-11"/>
          <w:w w:val="95"/>
        </w:rPr>
        <w:t xml:space="preserve"> </w:t>
      </w:r>
      <w:r>
        <w:rPr>
          <w:w w:val="95"/>
        </w:rPr>
        <w:t>precise</w:t>
      </w:r>
      <w:r>
        <w:rPr>
          <w:spacing w:val="-11"/>
          <w:w w:val="95"/>
        </w:rPr>
        <w:t xml:space="preserve"> </w:t>
      </w:r>
      <w:r>
        <w:rPr>
          <w:w w:val="95"/>
        </w:rPr>
        <w:t>level</w:t>
      </w:r>
      <w:r>
        <w:rPr>
          <w:spacing w:val="-11"/>
          <w:w w:val="95"/>
        </w:rPr>
        <w:t xml:space="preserve"> </w:t>
      </w:r>
      <w:r>
        <w:rPr>
          <w:w w:val="95"/>
        </w:rPr>
        <w:t>of</w:t>
      </w:r>
      <w:r>
        <w:rPr>
          <w:spacing w:val="-11"/>
          <w:w w:val="95"/>
        </w:rPr>
        <w:t xml:space="preserve"> </w:t>
      </w:r>
      <w:r>
        <w:rPr>
          <w:w w:val="95"/>
        </w:rPr>
        <w:t>tolls</w:t>
      </w:r>
      <w:r>
        <w:rPr>
          <w:spacing w:val="-11"/>
          <w:w w:val="95"/>
        </w:rPr>
        <w:t xml:space="preserve"> </w:t>
      </w:r>
      <w:r>
        <w:rPr>
          <w:w w:val="95"/>
        </w:rPr>
        <w:t>will</w:t>
      </w:r>
      <w:r>
        <w:rPr>
          <w:spacing w:val="-11"/>
          <w:w w:val="95"/>
        </w:rPr>
        <w:t xml:space="preserve"> </w:t>
      </w:r>
      <w:r>
        <w:rPr>
          <w:w w:val="95"/>
        </w:rPr>
        <w:t>not</w:t>
      </w:r>
      <w:r>
        <w:rPr>
          <w:spacing w:val="-11"/>
          <w:w w:val="95"/>
        </w:rPr>
        <w:t xml:space="preserve"> </w:t>
      </w:r>
      <w:r>
        <w:rPr>
          <w:w w:val="95"/>
        </w:rPr>
        <w:t>be</w:t>
      </w:r>
      <w:r>
        <w:rPr>
          <w:spacing w:val="-11"/>
          <w:w w:val="95"/>
        </w:rPr>
        <w:t xml:space="preserve"> </w:t>
      </w:r>
      <w:r>
        <w:rPr>
          <w:w w:val="95"/>
        </w:rPr>
        <w:t>set</w:t>
      </w:r>
      <w:r>
        <w:rPr>
          <w:spacing w:val="-11"/>
          <w:w w:val="95"/>
        </w:rPr>
        <w:t xml:space="preserve"> </w:t>
      </w:r>
      <w:r>
        <w:rPr>
          <w:w w:val="95"/>
        </w:rPr>
        <w:t>until</w:t>
      </w:r>
      <w:r>
        <w:rPr>
          <w:spacing w:val="-11"/>
          <w:w w:val="95"/>
        </w:rPr>
        <w:t xml:space="preserve"> </w:t>
      </w:r>
      <w:r>
        <w:rPr>
          <w:w w:val="95"/>
        </w:rPr>
        <w:t>further</w:t>
      </w:r>
      <w:r>
        <w:rPr>
          <w:spacing w:val="-11"/>
          <w:w w:val="95"/>
        </w:rPr>
        <w:t xml:space="preserve"> </w:t>
      </w:r>
      <w:r>
        <w:rPr>
          <w:w w:val="95"/>
        </w:rPr>
        <w:t xml:space="preserve">traffic </w:t>
      </w:r>
      <w:r>
        <w:t>modelling</w:t>
      </w:r>
      <w:r>
        <w:rPr>
          <w:spacing w:val="-7"/>
        </w:rPr>
        <w:t xml:space="preserve"> </w:t>
      </w:r>
      <w:r>
        <w:t>for</w:t>
      </w:r>
      <w:r>
        <w:rPr>
          <w:spacing w:val="-7"/>
        </w:rPr>
        <w:t xml:space="preserve"> </w:t>
      </w:r>
      <w:r>
        <w:t>WestConnex</w:t>
      </w:r>
      <w:r>
        <w:rPr>
          <w:spacing w:val="-7"/>
        </w:rPr>
        <w:t xml:space="preserve"> </w:t>
      </w:r>
      <w:r>
        <w:t>has</w:t>
      </w:r>
      <w:r>
        <w:rPr>
          <w:spacing w:val="-7"/>
        </w:rPr>
        <w:t xml:space="preserve"> </w:t>
      </w:r>
      <w:r>
        <w:t>been</w:t>
      </w:r>
      <w:r>
        <w:rPr>
          <w:spacing w:val="-7"/>
        </w:rPr>
        <w:t xml:space="preserve"> </w:t>
      </w:r>
      <w:r>
        <w:t>completed.</w:t>
      </w:r>
    </w:p>
    <w:p w:rsidR="002C1123" w:rsidRDefault="00F22F94">
      <w:pPr>
        <w:pStyle w:val="BodyText"/>
        <w:spacing w:before="147" w:line="249" w:lineRule="auto"/>
        <w:ind w:left="492" w:right="-1"/>
      </w:pPr>
      <w:r>
        <w:rPr>
          <w:spacing w:val="-2"/>
          <w:w w:val="95"/>
        </w:rPr>
        <w:t>It</w:t>
      </w:r>
      <w:r>
        <w:rPr>
          <w:spacing w:val="-7"/>
          <w:w w:val="95"/>
        </w:rPr>
        <w:t xml:space="preserve"> </w:t>
      </w:r>
      <w:r>
        <w:rPr>
          <w:spacing w:val="-2"/>
          <w:w w:val="95"/>
        </w:rPr>
        <w:t>is</w:t>
      </w:r>
      <w:r>
        <w:rPr>
          <w:spacing w:val="-7"/>
          <w:w w:val="95"/>
        </w:rPr>
        <w:t xml:space="preserve"> </w:t>
      </w:r>
      <w:r>
        <w:rPr>
          <w:spacing w:val="-2"/>
          <w:w w:val="95"/>
        </w:rPr>
        <w:t>envisaged</w:t>
      </w:r>
      <w:r>
        <w:rPr>
          <w:spacing w:val="-7"/>
          <w:w w:val="95"/>
        </w:rPr>
        <w:t xml:space="preserve"> </w:t>
      </w:r>
      <w:r>
        <w:rPr>
          <w:spacing w:val="-2"/>
          <w:w w:val="95"/>
        </w:rPr>
        <w:t>that</w:t>
      </w:r>
      <w:r>
        <w:rPr>
          <w:spacing w:val="-7"/>
          <w:w w:val="95"/>
        </w:rPr>
        <w:t xml:space="preserve"> </w:t>
      </w:r>
      <w:r>
        <w:rPr>
          <w:spacing w:val="-2"/>
          <w:w w:val="95"/>
        </w:rPr>
        <w:t>tolls</w:t>
      </w:r>
      <w:r>
        <w:rPr>
          <w:spacing w:val="-7"/>
          <w:w w:val="95"/>
        </w:rPr>
        <w:t xml:space="preserve"> </w:t>
      </w:r>
      <w:r>
        <w:rPr>
          <w:spacing w:val="-2"/>
          <w:w w:val="95"/>
        </w:rPr>
        <w:t>will</w:t>
      </w:r>
      <w:r>
        <w:rPr>
          <w:spacing w:val="-7"/>
          <w:w w:val="95"/>
        </w:rPr>
        <w:t xml:space="preserve"> </w:t>
      </w:r>
      <w:r>
        <w:rPr>
          <w:spacing w:val="-2"/>
          <w:w w:val="95"/>
        </w:rPr>
        <w:t>be</w:t>
      </w:r>
      <w:r>
        <w:rPr>
          <w:spacing w:val="-7"/>
          <w:w w:val="95"/>
        </w:rPr>
        <w:t xml:space="preserve"> </w:t>
      </w:r>
      <w:r>
        <w:rPr>
          <w:spacing w:val="-2"/>
          <w:w w:val="95"/>
        </w:rPr>
        <w:t>imposed</w:t>
      </w:r>
      <w:r>
        <w:rPr>
          <w:spacing w:val="-7"/>
          <w:w w:val="95"/>
        </w:rPr>
        <w:t xml:space="preserve"> </w:t>
      </w:r>
      <w:r>
        <w:rPr>
          <w:spacing w:val="-2"/>
          <w:w w:val="95"/>
        </w:rPr>
        <w:t>on</w:t>
      </w:r>
      <w:r>
        <w:rPr>
          <w:spacing w:val="-7"/>
          <w:w w:val="95"/>
        </w:rPr>
        <w:t xml:space="preserve"> </w:t>
      </w:r>
      <w:r>
        <w:rPr>
          <w:spacing w:val="-2"/>
          <w:w w:val="95"/>
        </w:rPr>
        <w:t>the</w:t>
      </w:r>
      <w:r>
        <w:rPr>
          <w:spacing w:val="-7"/>
          <w:w w:val="95"/>
        </w:rPr>
        <w:t xml:space="preserve"> </w:t>
      </w:r>
      <w:r>
        <w:rPr>
          <w:spacing w:val="-2"/>
          <w:w w:val="95"/>
        </w:rPr>
        <w:t>existing</w:t>
      </w:r>
      <w:r>
        <w:rPr>
          <w:spacing w:val="-7"/>
          <w:w w:val="95"/>
        </w:rPr>
        <w:t xml:space="preserve"> </w:t>
      </w:r>
      <w:r>
        <w:rPr>
          <w:spacing w:val="-2"/>
          <w:w w:val="95"/>
        </w:rPr>
        <w:t xml:space="preserve">M5 </w:t>
      </w:r>
      <w:r>
        <w:t>East</w:t>
      </w:r>
      <w:r>
        <w:rPr>
          <w:spacing w:val="-14"/>
        </w:rPr>
        <w:t xml:space="preserve"> </w:t>
      </w:r>
      <w:r>
        <w:t>and</w:t>
      </w:r>
      <w:r>
        <w:rPr>
          <w:spacing w:val="-14"/>
        </w:rPr>
        <w:t xml:space="preserve"> </w:t>
      </w:r>
      <w:r>
        <w:t>the</w:t>
      </w:r>
      <w:r>
        <w:rPr>
          <w:spacing w:val="-14"/>
        </w:rPr>
        <w:t xml:space="preserve"> </w:t>
      </w:r>
      <w:r>
        <w:t>existing</w:t>
      </w:r>
      <w:r>
        <w:rPr>
          <w:spacing w:val="-14"/>
        </w:rPr>
        <w:t xml:space="preserve"> </w:t>
      </w:r>
      <w:r>
        <w:t>M4</w:t>
      </w:r>
      <w:r>
        <w:rPr>
          <w:spacing w:val="-14"/>
        </w:rPr>
        <w:t xml:space="preserve"> </w:t>
      </w:r>
      <w:r>
        <w:t>east</w:t>
      </w:r>
      <w:r>
        <w:rPr>
          <w:spacing w:val="-14"/>
        </w:rPr>
        <w:t xml:space="preserve"> </w:t>
      </w:r>
      <w:r>
        <w:t>of</w:t>
      </w:r>
      <w:r>
        <w:rPr>
          <w:spacing w:val="-14"/>
        </w:rPr>
        <w:t xml:space="preserve"> </w:t>
      </w:r>
      <w:r>
        <w:t>Parramatta</w:t>
      </w:r>
      <w:r>
        <w:rPr>
          <w:spacing w:val="-14"/>
        </w:rPr>
        <w:t xml:space="preserve"> </w:t>
      </w:r>
      <w:r>
        <w:t>in</w:t>
      </w:r>
      <w:r>
        <w:rPr>
          <w:spacing w:val="-14"/>
        </w:rPr>
        <w:t xml:space="preserve"> </w:t>
      </w:r>
      <w:r>
        <w:t>lockstep with construction work to expand these corridors.</w:t>
      </w:r>
    </w:p>
    <w:p w:rsidR="002C1123" w:rsidRDefault="00F22F94">
      <w:pPr>
        <w:pStyle w:val="BodyText"/>
        <w:spacing w:before="145" w:line="249" w:lineRule="auto"/>
        <w:ind w:left="492"/>
      </w:pPr>
      <w:r>
        <w:rPr>
          <w:w w:val="95"/>
        </w:rPr>
        <w:t xml:space="preserve">Time of day tolling is not proposed as a mechanism for managing congestion, in accordance with Government </w:t>
      </w:r>
      <w:r>
        <w:t>policy.</w:t>
      </w:r>
      <w:r>
        <w:rPr>
          <w:spacing w:val="-12"/>
        </w:rPr>
        <w:t xml:space="preserve"> </w:t>
      </w:r>
      <w:r>
        <w:t>However</w:t>
      </w:r>
      <w:r>
        <w:rPr>
          <w:spacing w:val="-12"/>
        </w:rPr>
        <w:t xml:space="preserve"> </w:t>
      </w:r>
      <w:r>
        <w:t>some</w:t>
      </w:r>
      <w:r>
        <w:rPr>
          <w:spacing w:val="-12"/>
        </w:rPr>
        <w:t xml:space="preserve"> </w:t>
      </w:r>
      <w:r>
        <w:t>form</w:t>
      </w:r>
      <w:r>
        <w:rPr>
          <w:spacing w:val="-13"/>
        </w:rPr>
        <w:t xml:space="preserve"> </w:t>
      </w:r>
      <w:r>
        <w:t>of</w:t>
      </w:r>
      <w:r>
        <w:rPr>
          <w:spacing w:val="-12"/>
        </w:rPr>
        <w:t xml:space="preserve"> </w:t>
      </w:r>
      <w:r>
        <w:t>dynamic</w:t>
      </w:r>
      <w:r>
        <w:rPr>
          <w:spacing w:val="-12"/>
        </w:rPr>
        <w:t xml:space="preserve"> </w:t>
      </w:r>
      <w:r>
        <w:t>tolling</w:t>
      </w:r>
      <w:r>
        <w:rPr>
          <w:spacing w:val="-12"/>
        </w:rPr>
        <w:t xml:space="preserve"> </w:t>
      </w:r>
      <w:r>
        <w:t>may</w:t>
      </w:r>
    </w:p>
    <w:p w:rsidR="002C1123" w:rsidRDefault="00F22F94">
      <w:pPr>
        <w:pStyle w:val="BodyText"/>
        <w:spacing w:before="2" w:line="249" w:lineRule="auto"/>
        <w:ind w:left="492" w:right="144"/>
      </w:pPr>
      <w:r>
        <w:rPr>
          <w:w w:val="95"/>
        </w:rPr>
        <w:t>be</w:t>
      </w:r>
      <w:r>
        <w:rPr>
          <w:spacing w:val="-1"/>
          <w:w w:val="95"/>
        </w:rPr>
        <w:t xml:space="preserve"> </w:t>
      </w:r>
      <w:r>
        <w:rPr>
          <w:w w:val="95"/>
        </w:rPr>
        <w:t>considered</w:t>
      </w:r>
      <w:r>
        <w:rPr>
          <w:spacing w:val="-1"/>
          <w:w w:val="95"/>
        </w:rPr>
        <w:t xml:space="preserve"> </w:t>
      </w:r>
      <w:r>
        <w:rPr>
          <w:w w:val="95"/>
        </w:rPr>
        <w:t>at</w:t>
      </w:r>
      <w:r>
        <w:rPr>
          <w:spacing w:val="-1"/>
          <w:w w:val="95"/>
        </w:rPr>
        <w:t xml:space="preserve"> </w:t>
      </w:r>
      <w:r>
        <w:rPr>
          <w:w w:val="95"/>
        </w:rPr>
        <w:t>particular</w:t>
      </w:r>
      <w:r>
        <w:rPr>
          <w:spacing w:val="-1"/>
          <w:w w:val="95"/>
        </w:rPr>
        <w:t xml:space="preserve"> </w:t>
      </w:r>
      <w:r>
        <w:rPr>
          <w:w w:val="95"/>
        </w:rPr>
        <w:t>pinch</w:t>
      </w:r>
      <w:r>
        <w:rPr>
          <w:spacing w:val="-1"/>
          <w:w w:val="95"/>
        </w:rPr>
        <w:t xml:space="preserve"> </w:t>
      </w:r>
      <w:r>
        <w:rPr>
          <w:w w:val="95"/>
        </w:rPr>
        <w:t>points</w:t>
      </w:r>
      <w:r>
        <w:rPr>
          <w:spacing w:val="-1"/>
          <w:w w:val="95"/>
        </w:rPr>
        <w:t xml:space="preserve"> </w:t>
      </w:r>
      <w:r>
        <w:rPr>
          <w:w w:val="95"/>
        </w:rPr>
        <w:t>to</w:t>
      </w:r>
      <w:r>
        <w:rPr>
          <w:spacing w:val="-1"/>
          <w:w w:val="95"/>
        </w:rPr>
        <w:t xml:space="preserve"> </w:t>
      </w:r>
      <w:r>
        <w:rPr>
          <w:w w:val="95"/>
        </w:rPr>
        <w:t xml:space="preserve">avoid </w:t>
      </w:r>
      <w:r>
        <w:t>overloading the legacy road network.</w:t>
      </w:r>
    </w:p>
    <w:p w:rsidR="002C1123" w:rsidRDefault="00F22F94">
      <w:pPr>
        <w:pStyle w:val="BodyText"/>
        <w:spacing w:before="143" w:line="249" w:lineRule="auto"/>
        <w:ind w:left="492" w:right="21"/>
      </w:pPr>
      <w:r>
        <w:rPr>
          <w:w w:val="95"/>
        </w:rPr>
        <w:t>Infrastructure NSW proposes engaging with the market to</w:t>
      </w:r>
      <w:r>
        <w:rPr>
          <w:spacing w:val="-8"/>
          <w:w w:val="95"/>
        </w:rPr>
        <w:t xml:space="preserve"> </w:t>
      </w:r>
      <w:r>
        <w:rPr>
          <w:w w:val="95"/>
        </w:rPr>
        <w:t>identify</w:t>
      </w:r>
      <w:r>
        <w:rPr>
          <w:spacing w:val="-8"/>
          <w:w w:val="95"/>
        </w:rPr>
        <w:t xml:space="preserve"> </w:t>
      </w:r>
      <w:r>
        <w:rPr>
          <w:w w:val="95"/>
        </w:rPr>
        <w:t>ways</w:t>
      </w:r>
      <w:r>
        <w:rPr>
          <w:spacing w:val="-8"/>
          <w:w w:val="95"/>
        </w:rPr>
        <w:t xml:space="preserve"> </w:t>
      </w:r>
      <w:r>
        <w:rPr>
          <w:w w:val="95"/>
        </w:rPr>
        <w:t>of</w:t>
      </w:r>
      <w:r>
        <w:rPr>
          <w:spacing w:val="-8"/>
          <w:w w:val="95"/>
        </w:rPr>
        <w:t xml:space="preserve"> </w:t>
      </w:r>
      <w:r>
        <w:rPr>
          <w:w w:val="95"/>
        </w:rPr>
        <w:t>expanding</w:t>
      </w:r>
      <w:r>
        <w:rPr>
          <w:spacing w:val="-8"/>
          <w:w w:val="95"/>
        </w:rPr>
        <w:t xml:space="preserve"> </w:t>
      </w:r>
      <w:r>
        <w:rPr>
          <w:w w:val="95"/>
        </w:rPr>
        <w:t>the</w:t>
      </w:r>
      <w:r>
        <w:rPr>
          <w:spacing w:val="-8"/>
          <w:w w:val="95"/>
        </w:rPr>
        <w:t xml:space="preserve"> </w:t>
      </w:r>
      <w:r>
        <w:rPr>
          <w:w w:val="95"/>
        </w:rPr>
        <w:t>pool</w:t>
      </w:r>
      <w:r>
        <w:rPr>
          <w:spacing w:val="-8"/>
          <w:w w:val="95"/>
        </w:rPr>
        <w:t xml:space="preserve"> </w:t>
      </w:r>
      <w:r>
        <w:rPr>
          <w:w w:val="95"/>
        </w:rPr>
        <w:t>of</w:t>
      </w:r>
      <w:r>
        <w:rPr>
          <w:spacing w:val="-8"/>
          <w:w w:val="95"/>
        </w:rPr>
        <w:t xml:space="preserve"> </w:t>
      </w:r>
      <w:r>
        <w:rPr>
          <w:w w:val="95"/>
        </w:rPr>
        <w:t>capital</w:t>
      </w:r>
      <w:r>
        <w:rPr>
          <w:spacing w:val="-8"/>
          <w:w w:val="95"/>
        </w:rPr>
        <w:t xml:space="preserve"> </w:t>
      </w:r>
      <w:r>
        <w:rPr>
          <w:w w:val="95"/>
        </w:rPr>
        <w:t xml:space="preserve">available </w:t>
      </w:r>
      <w:r>
        <w:rPr>
          <w:spacing w:val="-2"/>
        </w:rPr>
        <w:t>to</w:t>
      </w:r>
      <w:r>
        <w:rPr>
          <w:spacing w:val="-7"/>
        </w:rPr>
        <w:t xml:space="preserve"> </w:t>
      </w:r>
      <w:r>
        <w:rPr>
          <w:spacing w:val="-2"/>
        </w:rPr>
        <w:t>finance</w:t>
      </w:r>
      <w:r>
        <w:rPr>
          <w:spacing w:val="-7"/>
        </w:rPr>
        <w:t xml:space="preserve"> </w:t>
      </w:r>
      <w:r>
        <w:rPr>
          <w:spacing w:val="-2"/>
        </w:rPr>
        <w:t>WestConnex</w:t>
      </w:r>
      <w:r>
        <w:rPr>
          <w:spacing w:val="-7"/>
        </w:rPr>
        <w:t xml:space="preserve"> </w:t>
      </w:r>
      <w:r>
        <w:rPr>
          <w:spacing w:val="-2"/>
        </w:rPr>
        <w:t>using</w:t>
      </w:r>
      <w:r>
        <w:rPr>
          <w:spacing w:val="-7"/>
        </w:rPr>
        <w:t xml:space="preserve"> </w:t>
      </w:r>
      <w:r>
        <w:rPr>
          <w:spacing w:val="-2"/>
        </w:rPr>
        <w:t>toll</w:t>
      </w:r>
      <w:r>
        <w:rPr>
          <w:spacing w:val="-7"/>
        </w:rPr>
        <w:t xml:space="preserve"> </w:t>
      </w:r>
      <w:r>
        <w:rPr>
          <w:spacing w:val="-2"/>
        </w:rPr>
        <w:t>revenues.</w:t>
      </w:r>
      <w:r>
        <w:rPr>
          <w:spacing w:val="-7"/>
        </w:rPr>
        <w:t xml:space="preserve"> </w:t>
      </w:r>
      <w:r>
        <w:rPr>
          <w:spacing w:val="-2"/>
        </w:rPr>
        <w:t>This</w:t>
      </w:r>
      <w:r>
        <w:rPr>
          <w:spacing w:val="-7"/>
        </w:rPr>
        <w:t xml:space="preserve"> </w:t>
      </w:r>
      <w:r>
        <w:rPr>
          <w:spacing w:val="-2"/>
        </w:rPr>
        <w:t xml:space="preserve">will </w:t>
      </w:r>
      <w:r>
        <w:t>include</w:t>
      </w:r>
      <w:r>
        <w:rPr>
          <w:spacing w:val="-5"/>
        </w:rPr>
        <w:t xml:space="preserve"> </w:t>
      </w:r>
      <w:r>
        <w:t>discussions</w:t>
      </w:r>
      <w:r>
        <w:rPr>
          <w:spacing w:val="-5"/>
        </w:rPr>
        <w:t xml:space="preserve"> </w:t>
      </w:r>
      <w:r>
        <w:t>with</w:t>
      </w:r>
      <w:r>
        <w:rPr>
          <w:spacing w:val="-5"/>
        </w:rPr>
        <w:t xml:space="preserve"> </w:t>
      </w:r>
      <w:r>
        <w:t>domestic</w:t>
      </w:r>
      <w:r>
        <w:rPr>
          <w:spacing w:val="-5"/>
        </w:rPr>
        <w:t xml:space="preserve"> </w:t>
      </w:r>
      <w:r>
        <w:t>and</w:t>
      </w:r>
      <w:r>
        <w:rPr>
          <w:spacing w:val="-5"/>
        </w:rPr>
        <w:t xml:space="preserve"> </w:t>
      </w:r>
      <w:r>
        <w:t>overseas superannuation</w:t>
      </w:r>
      <w:r>
        <w:rPr>
          <w:spacing w:val="-11"/>
        </w:rPr>
        <w:t xml:space="preserve"> </w:t>
      </w:r>
      <w:r>
        <w:t>funds.</w:t>
      </w:r>
    </w:p>
    <w:p w:rsidR="002C1123" w:rsidRDefault="00F22F94">
      <w:pPr>
        <w:pStyle w:val="Heading6"/>
        <w:numPr>
          <w:ilvl w:val="2"/>
          <w:numId w:val="24"/>
        </w:numPr>
        <w:tabs>
          <w:tab w:val="left" w:pos="1087"/>
        </w:tabs>
        <w:spacing w:before="146"/>
        <w:ind w:left="1086"/>
        <w:jc w:val="left"/>
      </w:pPr>
      <w:r>
        <w:rPr>
          <w:color w:val="00AEEF"/>
          <w:w w:val="95"/>
        </w:rPr>
        <w:t>Government</w:t>
      </w:r>
      <w:r>
        <w:rPr>
          <w:color w:val="00AEEF"/>
          <w:spacing w:val="8"/>
        </w:rPr>
        <w:t xml:space="preserve"> </w:t>
      </w:r>
      <w:r>
        <w:rPr>
          <w:color w:val="00AEEF"/>
          <w:w w:val="95"/>
        </w:rPr>
        <w:t>Financial</w:t>
      </w:r>
      <w:r>
        <w:rPr>
          <w:color w:val="00AEEF"/>
          <w:spacing w:val="8"/>
        </w:rPr>
        <w:t xml:space="preserve"> </w:t>
      </w:r>
      <w:r>
        <w:rPr>
          <w:color w:val="00AEEF"/>
          <w:spacing w:val="-2"/>
          <w:w w:val="95"/>
        </w:rPr>
        <w:t>Support</w:t>
      </w:r>
    </w:p>
    <w:p w:rsidR="002C1123" w:rsidRDefault="00F22F94">
      <w:pPr>
        <w:pStyle w:val="BodyText"/>
        <w:spacing w:before="95" w:line="249" w:lineRule="auto"/>
        <w:ind w:left="492" w:right="344"/>
      </w:pPr>
      <w:r>
        <w:t>Infrastructure</w:t>
      </w:r>
      <w:r>
        <w:rPr>
          <w:spacing w:val="-14"/>
        </w:rPr>
        <w:t xml:space="preserve"> </w:t>
      </w:r>
      <w:r>
        <w:t>NSW</w:t>
      </w:r>
      <w:r>
        <w:rPr>
          <w:spacing w:val="-14"/>
        </w:rPr>
        <w:t xml:space="preserve"> </w:t>
      </w:r>
      <w:r>
        <w:t>has</w:t>
      </w:r>
      <w:r>
        <w:rPr>
          <w:spacing w:val="-14"/>
        </w:rPr>
        <w:t xml:space="preserve"> </w:t>
      </w:r>
      <w:r>
        <w:t>assumed</w:t>
      </w:r>
      <w:r>
        <w:rPr>
          <w:spacing w:val="-14"/>
        </w:rPr>
        <w:t xml:space="preserve"> </w:t>
      </w:r>
      <w:r>
        <w:t>that</w:t>
      </w:r>
      <w:r>
        <w:rPr>
          <w:spacing w:val="-14"/>
        </w:rPr>
        <w:t xml:space="preserve"> </w:t>
      </w:r>
      <w:r>
        <w:t>Government funding</w:t>
      </w:r>
      <w:r>
        <w:rPr>
          <w:spacing w:val="-14"/>
        </w:rPr>
        <w:t xml:space="preserve"> </w:t>
      </w:r>
      <w:r>
        <w:t>using</w:t>
      </w:r>
      <w:r>
        <w:rPr>
          <w:spacing w:val="-14"/>
        </w:rPr>
        <w:t xml:space="preserve"> </w:t>
      </w:r>
      <w:r>
        <w:t>Restart</w:t>
      </w:r>
      <w:r>
        <w:rPr>
          <w:spacing w:val="-14"/>
        </w:rPr>
        <w:t xml:space="preserve"> </w:t>
      </w:r>
      <w:r>
        <w:t>NSW</w:t>
      </w:r>
      <w:r>
        <w:rPr>
          <w:spacing w:val="-14"/>
        </w:rPr>
        <w:t xml:space="preserve"> </w:t>
      </w:r>
      <w:r>
        <w:t>and</w:t>
      </w:r>
      <w:r>
        <w:rPr>
          <w:spacing w:val="-14"/>
        </w:rPr>
        <w:t xml:space="preserve"> </w:t>
      </w:r>
      <w:r>
        <w:t>other</w:t>
      </w:r>
      <w:r>
        <w:rPr>
          <w:spacing w:val="-14"/>
        </w:rPr>
        <w:t xml:space="preserve"> </w:t>
      </w:r>
      <w:r>
        <w:t>sources</w:t>
      </w:r>
      <w:r>
        <w:rPr>
          <w:spacing w:val="-14"/>
        </w:rPr>
        <w:t xml:space="preserve"> </w:t>
      </w:r>
      <w:r>
        <w:t>may become</w:t>
      </w:r>
      <w:r>
        <w:rPr>
          <w:spacing w:val="-14"/>
        </w:rPr>
        <w:t xml:space="preserve"> </w:t>
      </w:r>
      <w:r>
        <w:t>available</w:t>
      </w:r>
      <w:r>
        <w:rPr>
          <w:spacing w:val="-14"/>
        </w:rPr>
        <w:t xml:space="preserve"> </w:t>
      </w:r>
      <w:r>
        <w:t>for</w:t>
      </w:r>
      <w:r>
        <w:rPr>
          <w:spacing w:val="-14"/>
        </w:rPr>
        <w:t xml:space="preserve"> </w:t>
      </w:r>
      <w:r>
        <w:t>the</w:t>
      </w:r>
      <w:r>
        <w:rPr>
          <w:spacing w:val="-14"/>
        </w:rPr>
        <w:t xml:space="preserve"> </w:t>
      </w:r>
      <w:r>
        <w:t>approximately</w:t>
      </w:r>
      <w:r>
        <w:rPr>
          <w:spacing w:val="-14"/>
        </w:rPr>
        <w:t xml:space="preserve"> </w:t>
      </w:r>
      <w:r>
        <w:t>25</w:t>
      </w:r>
      <w:r>
        <w:rPr>
          <w:spacing w:val="-14"/>
        </w:rPr>
        <w:t xml:space="preserve"> </w:t>
      </w:r>
      <w:r>
        <w:t xml:space="preserve">percent </w:t>
      </w:r>
      <w:r>
        <w:rPr>
          <w:w w:val="95"/>
        </w:rPr>
        <w:t>of</w:t>
      </w:r>
      <w:r>
        <w:rPr>
          <w:spacing w:val="-8"/>
          <w:w w:val="95"/>
        </w:rPr>
        <w:t xml:space="preserve"> </w:t>
      </w:r>
      <w:r>
        <w:rPr>
          <w:w w:val="95"/>
        </w:rPr>
        <w:t>the</w:t>
      </w:r>
      <w:r>
        <w:rPr>
          <w:spacing w:val="-8"/>
          <w:w w:val="95"/>
        </w:rPr>
        <w:t xml:space="preserve"> </w:t>
      </w:r>
      <w:r>
        <w:rPr>
          <w:w w:val="95"/>
        </w:rPr>
        <w:t>scheme</w:t>
      </w:r>
      <w:r>
        <w:rPr>
          <w:spacing w:val="-8"/>
          <w:w w:val="95"/>
        </w:rPr>
        <w:t xml:space="preserve"> </w:t>
      </w:r>
      <w:r>
        <w:rPr>
          <w:w w:val="95"/>
        </w:rPr>
        <w:t>not</w:t>
      </w:r>
      <w:r>
        <w:rPr>
          <w:spacing w:val="-8"/>
          <w:w w:val="95"/>
        </w:rPr>
        <w:t xml:space="preserve"> </w:t>
      </w:r>
      <w:r>
        <w:rPr>
          <w:w w:val="95"/>
        </w:rPr>
        <w:t>funded</w:t>
      </w:r>
      <w:r>
        <w:rPr>
          <w:spacing w:val="-8"/>
          <w:w w:val="95"/>
        </w:rPr>
        <w:t xml:space="preserve"> </w:t>
      </w:r>
      <w:r>
        <w:rPr>
          <w:w w:val="95"/>
        </w:rPr>
        <w:t>by</w:t>
      </w:r>
      <w:r>
        <w:rPr>
          <w:spacing w:val="-8"/>
          <w:w w:val="95"/>
        </w:rPr>
        <w:t xml:space="preserve"> </w:t>
      </w:r>
      <w:r>
        <w:rPr>
          <w:w w:val="95"/>
        </w:rPr>
        <w:t>users.</w:t>
      </w:r>
      <w:r>
        <w:rPr>
          <w:spacing w:val="-8"/>
          <w:w w:val="95"/>
        </w:rPr>
        <w:t xml:space="preserve"> </w:t>
      </w:r>
      <w:r>
        <w:rPr>
          <w:w w:val="95"/>
        </w:rPr>
        <w:t>The</w:t>
      </w:r>
      <w:r>
        <w:rPr>
          <w:spacing w:val="-8"/>
          <w:w w:val="95"/>
        </w:rPr>
        <w:t xml:space="preserve"> </w:t>
      </w:r>
      <w:r>
        <w:rPr>
          <w:w w:val="95"/>
        </w:rPr>
        <w:t>precise</w:t>
      </w:r>
      <w:r>
        <w:rPr>
          <w:spacing w:val="-8"/>
          <w:w w:val="95"/>
        </w:rPr>
        <w:t xml:space="preserve"> </w:t>
      </w:r>
      <w:r>
        <w:rPr>
          <w:w w:val="95"/>
        </w:rPr>
        <w:t>level of</w:t>
      </w:r>
      <w:r>
        <w:rPr>
          <w:spacing w:val="-5"/>
          <w:w w:val="95"/>
        </w:rPr>
        <w:t xml:space="preserve"> </w:t>
      </w:r>
      <w:r>
        <w:rPr>
          <w:w w:val="95"/>
        </w:rPr>
        <w:t>potential</w:t>
      </w:r>
      <w:r>
        <w:rPr>
          <w:spacing w:val="-4"/>
          <w:w w:val="95"/>
        </w:rPr>
        <w:t xml:space="preserve"> </w:t>
      </w:r>
      <w:r>
        <w:rPr>
          <w:w w:val="95"/>
        </w:rPr>
        <w:t>Government</w:t>
      </w:r>
      <w:r>
        <w:rPr>
          <w:spacing w:val="-4"/>
          <w:w w:val="95"/>
        </w:rPr>
        <w:t xml:space="preserve"> </w:t>
      </w:r>
      <w:r>
        <w:rPr>
          <w:w w:val="95"/>
        </w:rPr>
        <w:t>funding</w:t>
      </w:r>
      <w:r>
        <w:rPr>
          <w:spacing w:val="-4"/>
          <w:w w:val="95"/>
        </w:rPr>
        <w:t xml:space="preserve"> </w:t>
      </w:r>
      <w:r>
        <w:rPr>
          <w:w w:val="95"/>
        </w:rPr>
        <w:t>is</w:t>
      </w:r>
      <w:r>
        <w:rPr>
          <w:spacing w:val="-5"/>
          <w:w w:val="95"/>
        </w:rPr>
        <w:t xml:space="preserve"> </w:t>
      </w:r>
      <w:r>
        <w:rPr>
          <w:w w:val="95"/>
        </w:rPr>
        <w:t>uncertain</w:t>
      </w:r>
      <w:r>
        <w:rPr>
          <w:spacing w:val="-4"/>
          <w:w w:val="95"/>
        </w:rPr>
        <w:t xml:space="preserve"> </w:t>
      </w:r>
      <w:r>
        <w:rPr>
          <w:w w:val="95"/>
        </w:rPr>
        <w:t>and</w:t>
      </w:r>
      <w:r>
        <w:rPr>
          <w:spacing w:val="-4"/>
          <w:w w:val="95"/>
        </w:rPr>
        <w:t xml:space="preserve"> will</w:t>
      </w:r>
    </w:p>
    <w:p w:rsidR="002C1123" w:rsidRDefault="00F22F94">
      <w:pPr>
        <w:pStyle w:val="BodyText"/>
        <w:spacing w:before="4" w:line="249" w:lineRule="auto"/>
        <w:ind w:left="492"/>
      </w:pPr>
      <w:r>
        <w:t>depend</w:t>
      </w:r>
      <w:r>
        <w:rPr>
          <w:spacing w:val="-7"/>
        </w:rPr>
        <w:t xml:space="preserve"> </w:t>
      </w:r>
      <w:r>
        <w:t>on</w:t>
      </w:r>
      <w:r>
        <w:rPr>
          <w:spacing w:val="-7"/>
        </w:rPr>
        <w:t xml:space="preserve"> </w:t>
      </w:r>
      <w:r>
        <w:t>factors</w:t>
      </w:r>
      <w:r>
        <w:rPr>
          <w:spacing w:val="-7"/>
        </w:rPr>
        <w:t xml:space="preserve"> </w:t>
      </w:r>
      <w:r>
        <w:t>such</w:t>
      </w:r>
      <w:r>
        <w:rPr>
          <w:spacing w:val="-7"/>
        </w:rPr>
        <w:t xml:space="preserve"> </w:t>
      </w:r>
      <w:r>
        <w:t>as</w:t>
      </w:r>
      <w:r>
        <w:rPr>
          <w:spacing w:val="-7"/>
        </w:rPr>
        <w:t xml:space="preserve"> </w:t>
      </w:r>
      <w:r>
        <w:t>the</w:t>
      </w:r>
      <w:r>
        <w:rPr>
          <w:spacing w:val="-7"/>
        </w:rPr>
        <w:t xml:space="preserve"> </w:t>
      </w:r>
      <w:r>
        <w:t>outcomes</w:t>
      </w:r>
      <w:r>
        <w:rPr>
          <w:spacing w:val="-7"/>
        </w:rPr>
        <w:t xml:space="preserve"> </w:t>
      </w:r>
      <w:r>
        <w:t>of</w:t>
      </w:r>
      <w:r>
        <w:rPr>
          <w:spacing w:val="-7"/>
        </w:rPr>
        <w:t xml:space="preserve"> </w:t>
      </w:r>
      <w:r>
        <w:t>the</w:t>
      </w:r>
      <w:r>
        <w:rPr>
          <w:spacing w:val="-7"/>
        </w:rPr>
        <w:t xml:space="preserve"> </w:t>
      </w:r>
      <w:r>
        <w:t xml:space="preserve">asset </w:t>
      </w:r>
      <w:r>
        <w:rPr>
          <w:w w:val="95"/>
        </w:rPr>
        <w:t>sales</w:t>
      </w:r>
      <w:r>
        <w:rPr>
          <w:spacing w:val="-2"/>
          <w:w w:val="95"/>
        </w:rPr>
        <w:t xml:space="preserve"> </w:t>
      </w:r>
      <w:r>
        <w:rPr>
          <w:w w:val="95"/>
        </w:rPr>
        <w:t>program</w:t>
      </w:r>
      <w:r>
        <w:rPr>
          <w:spacing w:val="-3"/>
          <w:w w:val="95"/>
        </w:rPr>
        <w:t xml:space="preserve"> </w:t>
      </w:r>
      <w:r>
        <w:rPr>
          <w:w w:val="95"/>
        </w:rPr>
        <w:t>and</w:t>
      </w:r>
      <w:r>
        <w:rPr>
          <w:spacing w:val="-2"/>
          <w:w w:val="95"/>
        </w:rPr>
        <w:t xml:space="preserve"> </w:t>
      </w:r>
      <w:r>
        <w:rPr>
          <w:w w:val="95"/>
        </w:rPr>
        <w:t>the</w:t>
      </w:r>
      <w:r>
        <w:rPr>
          <w:spacing w:val="-2"/>
          <w:w w:val="95"/>
        </w:rPr>
        <w:t xml:space="preserve"> </w:t>
      </w:r>
      <w:r>
        <w:rPr>
          <w:w w:val="95"/>
        </w:rPr>
        <w:t>achievement</w:t>
      </w:r>
      <w:r>
        <w:rPr>
          <w:spacing w:val="-2"/>
          <w:w w:val="95"/>
        </w:rPr>
        <w:t xml:space="preserve"> </w:t>
      </w:r>
      <w:r>
        <w:rPr>
          <w:w w:val="95"/>
        </w:rPr>
        <w:t>of</w:t>
      </w:r>
      <w:r>
        <w:rPr>
          <w:spacing w:val="-2"/>
          <w:w w:val="95"/>
        </w:rPr>
        <w:t xml:space="preserve"> </w:t>
      </w:r>
      <w:r>
        <w:rPr>
          <w:w w:val="95"/>
        </w:rPr>
        <w:t>spending</w:t>
      </w:r>
      <w:r>
        <w:rPr>
          <w:spacing w:val="-2"/>
          <w:w w:val="95"/>
        </w:rPr>
        <w:t xml:space="preserve"> </w:t>
      </w:r>
      <w:r>
        <w:rPr>
          <w:w w:val="95"/>
        </w:rPr>
        <w:t>targets.</w:t>
      </w:r>
    </w:p>
    <w:p w:rsidR="002C1123" w:rsidRDefault="00F22F94">
      <w:pPr>
        <w:pStyle w:val="BodyText"/>
        <w:spacing w:before="144" w:line="249" w:lineRule="auto"/>
        <w:ind w:left="492" w:right="39"/>
      </w:pPr>
      <w:r>
        <w:t>In</w:t>
      </w:r>
      <w:r>
        <w:rPr>
          <w:spacing w:val="-13"/>
        </w:rPr>
        <w:t xml:space="preserve"> </w:t>
      </w:r>
      <w:r>
        <w:t>addition</w:t>
      </w:r>
      <w:r>
        <w:rPr>
          <w:spacing w:val="-13"/>
        </w:rPr>
        <w:t xml:space="preserve"> </w:t>
      </w:r>
      <w:r>
        <w:t>to</w:t>
      </w:r>
      <w:r>
        <w:rPr>
          <w:spacing w:val="-13"/>
        </w:rPr>
        <w:t xml:space="preserve"> </w:t>
      </w:r>
      <w:r>
        <w:t>any</w:t>
      </w:r>
      <w:r>
        <w:rPr>
          <w:spacing w:val="-13"/>
        </w:rPr>
        <w:t xml:space="preserve"> </w:t>
      </w:r>
      <w:r>
        <w:t>funding</w:t>
      </w:r>
      <w:r>
        <w:rPr>
          <w:spacing w:val="-13"/>
        </w:rPr>
        <w:t xml:space="preserve"> </w:t>
      </w:r>
      <w:r>
        <w:t>contribution,</w:t>
      </w:r>
      <w:r>
        <w:rPr>
          <w:spacing w:val="-13"/>
        </w:rPr>
        <w:t xml:space="preserve"> </w:t>
      </w:r>
      <w:r>
        <w:t>it</w:t>
      </w:r>
      <w:r>
        <w:rPr>
          <w:spacing w:val="-13"/>
        </w:rPr>
        <w:t xml:space="preserve"> </w:t>
      </w:r>
      <w:r>
        <w:t>is</w:t>
      </w:r>
      <w:r>
        <w:rPr>
          <w:spacing w:val="-13"/>
        </w:rPr>
        <w:t xml:space="preserve"> </w:t>
      </w:r>
      <w:r>
        <w:t>likely</w:t>
      </w:r>
      <w:r>
        <w:rPr>
          <w:spacing w:val="-13"/>
        </w:rPr>
        <w:t xml:space="preserve"> </w:t>
      </w:r>
      <w:r>
        <w:t xml:space="preserve">that </w:t>
      </w:r>
      <w:r>
        <w:rPr>
          <w:w w:val="95"/>
        </w:rPr>
        <w:t>the</w:t>
      </w:r>
      <w:r>
        <w:rPr>
          <w:spacing w:val="-3"/>
          <w:w w:val="95"/>
        </w:rPr>
        <w:t xml:space="preserve"> </w:t>
      </w:r>
      <w:r>
        <w:rPr>
          <w:w w:val="95"/>
        </w:rPr>
        <w:t>Government</w:t>
      </w:r>
      <w:r>
        <w:rPr>
          <w:spacing w:val="-3"/>
          <w:w w:val="95"/>
        </w:rPr>
        <w:t xml:space="preserve"> </w:t>
      </w:r>
      <w:r>
        <w:rPr>
          <w:w w:val="95"/>
        </w:rPr>
        <w:t>may</w:t>
      </w:r>
      <w:r>
        <w:rPr>
          <w:spacing w:val="-3"/>
          <w:w w:val="95"/>
        </w:rPr>
        <w:t xml:space="preserve"> </w:t>
      </w:r>
      <w:r>
        <w:rPr>
          <w:w w:val="95"/>
        </w:rPr>
        <w:t>have</w:t>
      </w:r>
      <w:r>
        <w:rPr>
          <w:spacing w:val="-3"/>
          <w:w w:val="95"/>
        </w:rPr>
        <w:t xml:space="preserve"> </w:t>
      </w:r>
      <w:r>
        <w:rPr>
          <w:w w:val="95"/>
        </w:rPr>
        <w:t>to</w:t>
      </w:r>
      <w:r>
        <w:rPr>
          <w:spacing w:val="-3"/>
          <w:w w:val="95"/>
        </w:rPr>
        <w:t xml:space="preserve"> </w:t>
      </w:r>
      <w:r>
        <w:rPr>
          <w:w w:val="95"/>
        </w:rPr>
        <w:t>provide</w:t>
      </w:r>
      <w:r>
        <w:rPr>
          <w:spacing w:val="-3"/>
          <w:w w:val="95"/>
        </w:rPr>
        <w:t xml:space="preserve"> </w:t>
      </w:r>
      <w:r>
        <w:rPr>
          <w:w w:val="95"/>
        </w:rPr>
        <w:t>financing</w:t>
      </w:r>
      <w:r>
        <w:rPr>
          <w:spacing w:val="-3"/>
          <w:w w:val="95"/>
        </w:rPr>
        <w:t xml:space="preserve"> </w:t>
      </w:r>
      <w:r>
        <w:rPr>
          <w:w w:val="95"/>
        </w:rPr>
        <w:t xml:space="preserve">support </w:t>
      </w:r>
      <w:r>
        <w:t>for</w:t>
      </w:r>
      <w:r>
        <w:rPr>
          <w:spacing w:val="-14"/>
        </w:rPr>
        <w:t xml:space="preserve"> </w:t>
      </w:r>
      <w:r>
        <w:t>WestConnex</w:t>
      </w:r>
      <w:r>
        <w:rPr>
          <w:spacing w:val="-14"/>
        </w:rPr>
        <w:t xml:space="preserve"> </w:t>
      </w:r>
      <w:r>
        <w:t>during</w:t>
      </w:r>
      <w:r>
        <w:rPr>
          <w:spacing w:val="-14"/>
        </w:rPr>
        <w:t xml:space="preserve"> </w:t>
      </w:r>
      <w:r>
        <w:t>the</w:t>
      </w:r>
      <w:r>
        <w:rPr>
          <w:spacing w:val="-14"/>
        </w:rPr>
        <w:t xml:space="preserve"> </w:t>
      </w:r>
      <w:r>
        <w:t>construction</w:t>
      </w:r>
      <w:r>
        <w:rPr>
          <w:spacing w:val="-14"/>
        </w:rPr>
        <w:t xml:space="preserve"> </w:t>
      </w:r>
      <w:r>
        <w:t>and</w:t>
      </w:r>
      <w:r>
        <w:rPr>
          <w:spacing w:val="-14"/>
        </w:rPr>
        <w:t xml:space="preserve"> </w:t>
      </w:r>
      <w:r>
        <w:t>ramp-up</w:t>
      </w:r>
    </w:p>
    <w:p w:rsidR="002C1123" w:rsidRDefault="00F22F94">
      <w:pPr>
        <w:pStyle w:val="BodyText"/>
        <w:spacing w:before="106" w:line="249" w:lineRule="auto"/>
        <w:ind w:left="202"/>
      </w:pPr>
      <w:r>
        <w:br w:type="column"/>
      </w:r>
      <w:r>
        <w:t>phase.</w:t>
      </w:r>
      <w:r>
        <w:rPr>
          <w:spacing w:val="-13"/>
        </w:rPr>
        <w:t xml:space="preserve"> </w:t>
      </w:r>
      <w:r>
        <w:t>This</w:t>
      </w:r>
      <w:r>
        <w:rPr>
          <w:spacing w:val="-13"/>
        </w:rPr>
        <w:t xml:space="preserve"> </w:t>
      </w:r>
      <w:r>
        <w:t>recognises</w:t>
      </w:r>
      <w:r>
        <w:rPr>
          <w:spacing w:val="-13"/>
        </w:rPr>
        <w:t xml:space="preserve"> </w:t>
      </w:r>
      <w:r>
        <w:t>that</w:t>
      </w:r>
      <w:r>
        <w:rPr>
          <w:spacing w:val="-13"/>
        </w:rPr>
        <w:t xml:space="preserve"> </w:t>
      </w:r>
      <w:r>
        <w:t>in</w:t>
      </w:r>
      <w:r>
        <w:rPr>
          <w:spacing w:val="-13"/>
        </w:rPr>
        <w:t xml:space="preserve"> </w:t>
      </w:r>
      <w:r>
        <w:t>the</w:t>
      </w:r>
      <w:r>
        <w:rPr>
          <w:spacing w:val="-13"/>
        </w:rPr>
        <w:t xml:space="preserve"> </w:t>
      </w:r>
      <w:r>
        <w:t>current</w:t>
      </w:r>
      <w:r>
        <w:rPr>
          <w:spacing w:val="-13"/>
        </w:rPr>
        <w:t xml:space="preserve"> </w:t>
      </w:r>
      <w:r>
        <w:t>market,</w:t>
      </w:r>
      <w:r>
        <w:rPr>
          <w:spacing w:val="-13"/>
        </w:rPr>
        <w:t xml:space="preserve"> </w:t>
      </w:r>
      <w:r>
        <w:t xml:space="preserve">the </w:t>
      </w:r>
      <w:r>
        <w:rPr>
          <w:w w:val="95"/>
        </w:rPr>
        <w:t>necessary quantity of financing may not be available at commercial</w:t>
      </w:r>
      <w:r>
        <w:rPr>
          <w:spacing w:val="-8"/>
          <w:w w:val="95"/>
        </w:rPr>
        <w:t xml:space="preserve"> </w:t>
      </w:r>
      <w:r>
        <w:rPr>
          <w:w w:val="95"/>
        </w:rPr>
        <w:t>rates.</w:t>
      </w:r>
      <w:r>
        <w:rPr>
          <w:spacing w:val="-8"/>
          <w:w w:val="95"/>
        </w:rPr>
        <w:t xml:space="preserve"> </w:t>
      </w:r>
      <w:r>
        <w:rPr>
          <w:w w:val="95"/>
        </w:rPr>
        <w:t>Additionally</w:t>
      </w:r>
      <w:r>
        <w:rPr>
          <w:spacing w:val="-8"/>
          <w:w w:val="95"/>
        </w:rPr>
        <w:t xml:space="preserve"> </w:t>
      </w:r>
      <w:r>
        <w:rPr>
          <w:w w:val="95"/>
        </w:rPr>
        <w:t>the</w:t>
      </w:r>
      <w:r>
        <w:rPr>
          <w:spacing w:val="-8"/>
          <w:w w:val="95"/>
        </w:rPr>
        <w:t xml:space="preserve"> </w:t>
      </w:r>
      <w:r>
        <w:rPr>
          <w:w w:val="95"/>
        </w:rPr>
        <w:t>use</w:t>
      </w:r>
      <w:r>
        <w:rPr>
          <w:spacing w:val="-8"/>
          <w:w w:val="95"/>
        </w:rPr>
        <w:t xml:space="preserve"> </w:t>
      </w:r>
      <w:r>
        <w:rPr>
          <w:w w:val="95"/>
        </w:rPr>
        <w:t>of</w:t>
      </w:r>
      <w:r>
        <w:rPr>
          <w:spacing w:val="-8"/>
          <w:w w:val="95"/>
        </w:rPr>
        <w:t xml:space="preserve"> </w:t>
      </w:r>
      <w:r>
        <w:rPr>
          <w:w w:val="95"/>
        </w:rPr>
        <w:t>private</w:t>
      </w:r>
      <w:r>
        <w:rPr>
          <w:spacing w:val="-8"/>
          <w:w w:val="95"/>
        </w:rPr>
        <w:t xml:space="preserve"> </w:t>
      </w:r>
      <w:r>
        <w:rPr>
          <w:w w:val="95"/>
        </w:rPr>
        <w:t xml:space="preserve">finance alone may burden the project with higher interest costs </w:t>
      </w:r>
      <w:r>
        <w:t>than</w:t>
      </w:r>
      <w:r>
        <w:rPr>
          <w:spacing w:val="-14"/>
        </w:rPr>
        <w:t xml:space="preserve"> </w:t>
      </w:r>
      <w:r>
        <w:t>are</w:t>
      </w:r>
      <w:r>
        <w:rPr>
          <w:spacing w:val="-14"/>
        </w:rPr>
        <w:t xml:space="preserve"> </w:t>
      </w:r>
      <w:r>
        <w:t>justified</w:t>
      </w:r>
      <w:r>
        <w:rPr>
          <w:spacing w:val="-14"/>
        </w:rPr>
        <w:t xml:space="preserve"> </w:t>
      </w:r>
      <w:r>
        <w:t>to</w:t>
      </w:r>
      <w:r>
        <w:rPr>
          <w:spacing w:val="-14"/>
        </w:rPr>
        <w:t xml:space="preserve"> </w:t>
      </w:r>
      <w:r>
        <w:t>achieve</w:t>
      </w:r>
      <w:r>
        <w:rPr>
          <w:spacing w:val="-14"/>
        </w:rPr>
        <w:t xml:space="preserve"> </w:t>
      </w:r>
      <w:r>
        <w:t>risk</w:t>
      </w:r>
      <w:r>
        <w:rPr>
          <w:spacing w:val="-14"/>
        </w:rPr>
        <w:t xml:space="preserve"> </w:t>
      </w:r>
      <w:r>
        <w:t>transfer.</w:t>
      </w:r>
    </w:p>
    <w:p w:rsidR="002C1123" w:rsidRDefault="00F22F94">
      <w:pPr>
        <w:pStyle w:val="BodyText"/>
        <w:spacing w:before="146" w:line="249" w:lineRule="auto"/>
        <w:ind w:left="202"/>
      </w:pPr>
      <w:r>
        <w:rPr>
          <w:w w:val="95"/>
        </w:rPr>
        <w:t xml:space="preserve">Government’s financing support may include equity and debt contributions into WestConnex which will be repaid </w:t>
      </w:r>
      <w:r>
        <w:t>over</w:t>
      </w:r>
      <w:r>
        <w:rPr>
          <w:spacing w:val="-14"/>
        </w:rPr>
        <w:t xml:space="preserve"> </w:t>
      </w:r>
      <w:r>
        <w:t>time</w:t>
      </w:r>
      <w:r>
        <w:rPr>
          <w:spacing w:val="-14"/>
        </w:rPr>
        <w:t xml:space="preserve"> </w:t>
      </w:r>
      <w:r>
        <w:t>as</w:t>
      </w:r>
      <w:r>
        <w:rPr>
          <w:spacing w:val="-14"/>
        </w:rPr>
        <w:t xml:space="preserve"> </w:t>
      </w:r>
      <w:r>
        <w:t>traffic</w:t>
      </w:r>
      <w:r>
        <w:rPr>
          <w:spacing w:val="-14"/>
        </w:rPr>
        <w:t xml:space="preserve"> </w:t>
      </w:r>
      <w:r>
        <w:t>flows</w:t>
      </w:r>
      <w:r>
        <w:rPr>
          <w:spacing w:val="-14"/>
        </w:rPr>
        <w:t xml:space="preserve"> </w:t>
      </w:r>
      <w:r>
        <w:t>mature.</w:t>
      </w:r>
      <w:r>
        <w:rPr>
          <w:spacing w:val="-14"/>
        </w:rPr>
        <w:t xml:space="preserve"> </w:t>
      </w:r>
      <w:r>
        <w:t>Infrastructure</w:t>
      </w:r>
      <w:r>
        <w:rPr>
          <w:spacing w:val="-14"/>
        </w:rPr>
        <w:t xml:space="preserve"> </w:t>
      </w:r>
      <w:r>
        <w:t>NSW proposes</w:t>
      </w:r>
      <w:r>
        <w:rPr>
          <w:spacing w:val="-11"/>
        </w:rPr>
        <w:t xml:space="preserve"> </w:t>
      </w:r>
      <w:r>
        <w:t>working</w:t>
      </w:r>
      <w:r>
        <w:rPr>
          <w:spacing w:val="-11"/>
        </w:rPr>
        <w:t xml:space="preserve"> </w:t>
      </w:r>
      <w:r>
        <w:t>with</w:t>
      </w:r>
      <w:r>
        <w:rPr>
          <w:spacing w:val="-11"/>
        </w:rPr>
        <w:t xml:space="preserve"> </w:t>
      </w:r>
      <w:r>
        <w:t>NSW</w:t>
      </w:r>
      <w:r>
        <w:rPr>
          <w:spacing w:val="-11"/>
        </w:rPr>
        <w:t xml:space="preserve"> </w:t>
      </w:r>
      <w:r>
        <w:t>Treasury</w:t>
      </w:r>
      <w:r>
        <w:rPr>
          <w:spacing w:val="-11"/>
        </w:rPr>
        <w:t xml:space="preserve"> </w:t>
      </w:r>
      <w:r>
        <w:t>and</w:t>
      </w:r>
      <w:r>
        <w:rPr>
          <w:spacing w:val="-11"/>
        </w:rPr>
        <w:t xml:space="preserve"> </w:t>
      </w:r>
      <w:r>
        <w:t>the</w:t>
      </w:r>
      <w:r>
        <w:rPr>
          <w:spacing w:val="-11"/>
        </w:rPr>
        <w:t xml:space="preserve"> </w:t>
      </w:r>
      <w:r>
        <w:t>market</w:t>
      </w:r>
    </w:p>
    <w:p w:rsidR="002C1123" w:rsidRDefault="00F22F94">
      <w:pPr>
        <w:pStyle w:val="BodyText"/>
        <w:spacing w:before="3" w:line="249" w:lineRule="auto"/>
        <w:ind w:left="202" w:right="135"/>
        <w:jc w:val="both"/>
      </w:pPr>
      <w:r>
        <w:rPr>
          <w:w w:val="95"/>
        </w:rPr>
        <w:t>to</w:t>
      </w:r>
      <w:r>
        <w:rPr>
          <w:spacing w:val="-3"/>
          <w:w w:val="95"/>
        </w:rPr>
        <w:t xml:space="preserve"> </w:t>
      </w:r>
      <w:r>
        <w:rPr>
          <w:w w:val="95"/>
        </w:rPr>
        <w:t>identify</w:t>
      </w:r>
      <w:r>
        <w:rPr>
          <w:spacing w:val="-3"/>
          <w:w w:val="95"/>
        </w:rPr>
        <w:t xml:space="preserve"> </w:t>
      </w:r>
      <w:r>
        <w:rPr>
          <w:w w:val="95"/>
        </w:rPr>
        <w:t>any</w:t>
      </w:r>
      <w:r>
        <w:rPr>
          <w:spacing w:val="-3"/>
          <w:w w:val="95"/>
        </w:rPr>
        <w:t xml:space="preserve"> </w:t>
      </w:r>
      <w:r>
        <w:rPr>
          <w:w w:val="95"/>
        </w:rPr>
        <w:t>opportunities</w:t>
      </w:r>
      <w:r>
        <w:rPr>
          <w:spacing w:val="-3"/>
          <w:w w:val="95"/>
        </w:rPr>
        <w:t xml:space="preserve"> </w:t>
      </w:r>
      <w:r>
        <w:rPr>
          <w:w w:val="95"/>
        </w:rPr>
        <w:t>to</w:t>
      </w:r>
      <w:r>
        <w:rPr>
          <w:spacing w:val="-3"/>
          <w:w w:val="95"/>
        </w:rPr>
        <w:t xml:space="preserve"> </w:t>
      </w:r>
      <w:r>
        <w:rPr>
          <w:w w:val="95"/>
        </w:rPr>
        <w:t>generate</w:t>
      </w:r>
      <w:r>
        <w:rPr>
          <w:spacing w:val="-3"/>
          <w:w w:val="95"/>
        </w:rPr>
        <w:t xml:space="preserve"> </w:t>
      </w:r>
      <w:r>
        <w:rPr>
          <w:w w:val="95"/>
        </w:rPr>
        <w:t>upfront</w:t>
      </w:r>
      <w:r>
        <w:rPr>
          <w:spacing w:val="-3"/>
          <w:w w:val="95"/>
        </w:rPr>
        <w:t xml:space="preserve"> </w:t>
      </w:r>
      <w:r>
        <w:rPr>
          <w:w w:val="95"/>
        </w:rPr>
        <w:t>finance by</w:t>
      </w:r>
      <w:r>
        <w:rPr>
          <w:spacing w:val="-7"/>
          <w:w w:val="95"/>
        </w:rPr>
        <w:t xml:space="preserve"> </w:t>
      </w:r>
      <w:r>
        <w:rPr>
          <w:w w:val="95"/>
        </w:rPr>
        <w:t>the</w:t>
      </w:r>
      <w:r>
        <w:rPr>
          <w:spacing w:val="-7"/>
          <w:w w:val="95"/>
        </w:rPr>
        <w:t xml:space="preserve"> </w:t>
      </w:r>
      <w:r>
        <w:rPr>
          <w:w w:val="95"/>
        </w:rPr>
        <w:t>securitisation</w:t>
      </w:r>
      <w:r>
        <w:rPr>
          <w:spacing w:val="-7"/>
          <w:w w:val="95"/>
        </w:rPr>
        <w:t xml:space="preserve"> </w:t>
      </w:r>
      <w:r>
        <w:rPr>
          <w:w w:val="95"/>
        </w:rPr>
        <w:t>of</w:t>
      </w:r>
      <w:r>
        <w:rPr>
          <w:spacing w:val="-7"/>
          <w:w w:val="95"/>
        </w:rPr>
        <w:t xml:space="preserve"> </w:t>
      </w:r>
      <w:r>
        <w:rPr>
          <w:w w:val="95"/>
        </w:rPr>
        <w:t>future</w:t>
      </w:r>
      <w:r>
        <w:rPr>
          <w:spacing w:val="-7"/>
          <w:w w:val="95"/>
        </w:rPr>
        <w:t xml:space="preserve"> </w:t>
      </w:r>
      <w:r>
        <w:rPr>
          <w:w w:val="95"/>
        </w:rPr>
        <w:t>revenue</w:t>
      </w:r>
      <w:r>
        <w:rPr>
          <w:spacing w:val="-7"/>
          <w:w w:val="95"/>
        </w:rPr>
        <w:t xml:space="preserve"> </w:t>
      </w:r>
      <w:r>
        <w:rPr>
          <w:w w:val="95"/>
        </w:rPr>
        <w:t>streams</w:t>
      </w:r>
      <w:r>
        <w:rPr>
          <w:spacing w:val="-7"/>
          <w:w w:val="95"/>
        </w:rPr>
        <w:t xml:space="preserve"> </w:t>
      </w:r>
      <w:r>
        <w:rPr>
          <w:w w:val="95"/>
        </w:rPr>
        <w:t>that</w:t>
      </w:r>
      <w:r>
        <w:rPr>
          <w:spacing w:val="-7"/>
          <w:w w:val="95"/>
        </w:rPr>
        <w:t xml:space="preserve"> </w:t>
      </w:r>
      <w:r>
        <w:rPr>
          <w:w w:val="95"/>
        </w:rPr>
        <w:t xml:space="preserve">may </w:t>
      </w:r>
      <w:r>
        <w:t>accrue to Government.</w:t>
      </w:r>
    </w:p>
    <w:p w:rsidR="002C1123" w:rsidRDefault="00F22F94">
      <w:pPr>
        <w:pStyle w:val="BodyText"/>
        <w:spacing w:before="144" w:line="249" w:lineRule="auto"/>
        <w:ind w:left="202" w:right="130"/>
      </w:pPr>
      <w:r>
        <w:rPr>
          <w:w w:val="95"/>
        </w:rPr>
        <w:t>WestConnex</w:t>
      </w:r>
      <w:r>
        <w:rPr>
          <w:spacing w:val="-4"/>
          <w:w w:val="95"/>
        </w:rPr>
        <w:t xml:space="preserve"> </w:t>
      </w:r>
      <w:r>
        <w:rPr>
          <w:w w:val="95"/>
        </w:rPr>
        <w:t>will</w:t>
      </w:r>
      <w:r>
        <w:rPr>
          <w:spacing w:val="-4"/>
          <w:w w:val="95"/>
        </w:rPr>
        <w:t xml:space="preserve"> </w:t>
      </w:r>
      <w:r>
        <w:rPr>
          <w:w w:val="95"/>
        </w:rPr>
        <w:t>provide</w:t>
      </w:r>
      <w:r>
        <w:rPr>
          <w:spacing w:val="-4"/>
          <w:w w:val="95"/>
        </w:rPr>
        <w:t xml:space="preserve"> </w:t>
      </w:r>
      <w:r>
        <w:rPr>
          <w:w w:val="95"/>
        </w:rPr>
        <w:t>material</w:t>
      </w:r>
      <w:r>
        <w:rPr>
          <w:spacing w:val="-4"/>
          <w:w w:val="95"/>
        </w:rPr>
        <w:t xml:space="preserve"> </w:t>
      </w:r>
      <w:r>
        <w:rPr>
          <w:w w:val="95"/>
        </w:rPr>
        <w:t>productivity</w:t>
      </w:r>
      <w:r>
        <w:rPr>
          <w:spacing w:val="-4"/>
          <w:w w:val="95"/>
        </w:rPr>
        <w:t xml:space="preserve"> </w:t>
      </w:r>
      <w:r>
        <w:rPr>
          <w:w w:val="95"/>
        </w:rPr>
        <w:t xml:space="preserve">benefits </w:t>
      </w:r>
      <w:r>
        <w:t>to</w:t>
      </w:r>
      <w:r>
        <w:rPr>
          <w:spacing w:val="-12"/>
        </w:rPr>
        <w:t xml:space="preserve"> </w:t>
      </w:r>
      <w:r>
        <w:t>NSW</w:t>
      </w:r>
      <w:r>
        <w:rPr>
          <w:spacing w:val="-12"/>
        </w:rPr>
        <w:t xml:space="preserve"> </w:t>
      </w:r>
      <w:r>
        <w:t>and</w:t>
      </w:r>
      <w:r>
        <w:rPr>
          <w:spacing w:val="-12"/>
        </w:rPr>
        <w:t xml:space="preserve"> </w:t>
      </w:r>
      <w:r>
        <w:t>Australia</w:t>
      </w:r>
      <w:r>
        <w:rPr>
          <w:spacing w:val="-12"/>
        </w:rPr>
        <w:t xml:space="preserve"> </w:t>
      </w:r>
      <w:r>
        <w:t>by</w:t>
      </w:r>
      <w:r>
        <w:rPr>
          <w:spacing w:val="-12"/>
        </w:rPr>
        <w:t xml:space="preserve"> </w:t>
      </w:r>
      <w:r>
        <w:t>improving</w:t>
      </w:r>
      <w:r>
        <w:rPr>
          <w:spacing w:val="-12"/>
        </w:rPr>
        <w:t xml:space="preserve"> </w:t>
      </w:r>
      <w:r>
        <w:t>transport</w:t>
      </w:r>
      <w:r>
        <w:rPr>
          <w:spacing w:val="-12"/>
        </w:rPr>
        <w:t xml:space="preserve"> </w:t>
      </w:r>
      <w:r>
        <w:t>links</w:t>
      </w:r>
    </w:p>
    <w:p w:rsidR="002C1123" w:rsidRDefault="00F22F94">
      <w:pPr>
        <w:pStyle w:val="BodyText"/>
        <w:spacing w:before="2" w:line="249" w:lineRule="auto"/>
        <w:ind w:left="202"/>
      </w:pPr>
      <w:r>
        <w:t>to</w:t>
      </w:r>
      <w:r>
        <w:rPr>
          <w:spacing w:val="-14"/>
        </w:rPr>
        <w:t xml:space="preserve"> </w:t>
      </w:r>
      <w:r>
        <w:t>Sydney’s</w:t>
      </w:r>
      <w:r>
        <w:rPr>
          <w:spacing w:val="-14"/>
        </w:rPr>
        <w:t xml:space="preserve"> </w:t>
      </w:r>
      <w:r>
        <w:t>international</w:t>
      </w:r>
      <w:r>
        <w:rPr>
          <w:spacing w:val="-14"/>
        </w:rPr>
        <w:t xml:space="preserve"> </w:t>
      </w:r>
      <w:r>
        <w:t>gateways.</w:t>
      </w:r>
      <w:r>
        <w:rPr>
          <w:spacing w:val="-14"/>
        </w:rPr>
        <w:t xml:space="preserve"> </w:t>
      </w:r>
      <w:r>
        <w:t>Accordingly WestConnex</w:t>
      </w:r>
      <w:r>
        <w:rPr>
          <w:spacing w:val="-8"/>
        </w:rPr>
        <w:t xml:space="preserve"> </w:t>
      </w:r>
      <w:r>
        <w:t>is</w:t>
      </w:r>
      <w:r>
        <w:rPr>
          <w:spacing w:val="-8"/>
        </w:rPr>
        <w:t xml:space="preserve"> </w:t>
      </w:r>
      <w:r>
        <w:t>a</w:t>
      </w:r>
      <w:r>
        <w:rPr>
          <w:spacing w:val="-8"/>
        </w:rPr>
        <w:t xml:space="preserve"> </w:t>
      </w:r>
      <w:r>
        <w:t>strong</w:t>
      </w:r>
      <w:r>
        <w:rPr>
          <w:spacing w:val="-8"/>
        </w:rPr>
        <w:t xml:space="preserve"> </w:t>
      </w:r>
      <w:r>
        <w:t>candidate</w:t>
      </w:r>
      <w:r>
        <w:rPr>
          <w:spacing w:val="-8"/>
        </w:rPr>
        <w:t xml:space="preserve"> </w:t>
      </w:r>
      <w:r>
        <w:t>for</w:t>
      </w:r>
      <w:r>
        <w:rPr>
          <w:spacing w:val="-8"/>
        </w:rPr>
        <w:t xml:space="preserve"> </w:t>
      </w:r>
      <w:r>
        <w:t>funding</w:t>
      </w:r>
      <w:r>
        <w:rPr>
          <w:spacing w:val="-8"/>
        </w:rPr>
        <w:t xml:space="preserve"> </w:t>
      </w:r>
      <w:r>
        <w:t>support from</w:t>
      </w:r>
      <w:r>
        <w:rPr>
          <w:spacing w:val="-11"/>
        </w:rPr>
        <w:t xml:space="preserve"> </w:t>
      </w:r>
      <w:r>
        <w:t>the</w:t>
      </w:r>
      <w:r>
        <w:rPr>
          <w:spacing w:val="-10"/>
        </w:rPr>
        <w:t xml:space="preserve"> </w:t>
      </w:r>
      <w:r>
        <w:t>Commonwealth</w:t>
      </w:r>
      <w:r>
        <w:rPr>
          <w:spacing w:val="-10"/>
        </w:rPr>
        <w:t xml:space="preserve"> </w:t>
      </w:r>
      <w:r>
        <w:t>Government.</w:t>
      </w:r>
      <w:r>
        <w:rPr>
          <w:spacing w:val="-10"/>
        </w:rPr>
        <w:t xml:space="preserve"> </w:t>
      </w:r>
      <w:r>
        <w:t xml:space="preserve">Infrastructure </w:t>
      </w:r>
      <w:r>
        <w:rPr>
          <w:spacing w:val="-2"/>
        </w:rPr>
        <w:t>NSW</w:t>
      </w:r>
      <w:r>
        <w:rPr>
          <w:spacing w:val="-6"/>
        </w:rPr>
        <w:t xml:space="preserve"> </w:t>
      </w:r>
      <w:r>
        <w:rPr>
          <w:spacing w:val="-2"/>
        </w:rPr>
        <w:t>will</w:t>
      </w:r>
      <w:r>
        <w:rPr>
          <w:spacing w:val="-6"/>
        </w:rPr>
        <w:t xml:space="preserve"> </w:t>
      </w:r>
      <w:r>
        <w:rPr>
          <w:spacing w:val="-2"/>
        </w:rPr>
        <w:t>make</w:t>
      </w:r>
      <w:r>
        <w:rPr>
          <w:spacing w:val="-6"/>
        </w:rPr>
        <w:t xml:space="preserve"> </w:t>
      </w:r>
      <w:r>
        <w:rPr>
          <w:spacing w:val="-2"/>
        </w:rPr>
        <w:t>a</w:t>
      </w:r>
      <w:r>
        <w:rPr>
          <w:spacing w:val="-6"/>
        </w:rPr>
        <w:t xml:space="preserve"> </w:t>
      </w:r>
      <w:r>
        <w:rPr>
          <w:spacing w:val="-2"/>
        </w:rPr>
        <w:t>submission</w:t>
      </w:r>
      <w:r>
        <w:rPr>
          <w:spacing w:val="-6"/>
        </w:rPr>
        <w:t xml:space="preserve"> </w:t>
      </w:r>
      <w:r>
        <w:rPr>
          <w:spacing w:val="-2"/>
        </w:rPr>
        <w:t>to</w:t>
      </w:r>
      <w:r>
        <w:rPr>
          <w:spacing w:val="-6"/>
        </w:rPr>
        <w:t xml:space="preserve"> </w:t>
      </w:r>
      <w:r>
        <w:rPr>
          <w:spacing w:val="-2"/>
        </w:rPr>
        <w:t>Infrastructure</w:t>
      </w:r>
      <w:r>
        <w:rPr>
          <w:spacing w:val="-6"/>
        </w:rPr>
        <w:t xml:space="preserve"> </w:t>
      </w:r>
      <w:r>
        <w:rPr>
          <w:spacing w:val="-2"/>
        </w:rPr>
        <w:t>Australia for</w:t>
      </w:r>
      <w:r>
        <w:rPr>
          <w:spacing w:val="-8"/>
        </w:rPr>
        <w:t xml:space="preserve"> </w:t>
      </w:r>
      <w:r>
        <w:rPr>
          <w:spacing w:val="-2"/>
        </w:rPr>
        <w:t>consideration</w:t>
      </w:r>
      <w:r>
        <w:rPr>
          <w:spacing w:val="-8"/>
        </w:rPr>
        <w:t xml:space="preserve"> </w:t>
      </w:r>
      <w:r>
        <w:rPr>
          <w:spacing w:val="-2"/>
        </w:rPr>
        <w:t>as</w:t>
      </w:r>
      <w:r>
        <w:rPr>
          <w:spacing w:val="-8"/>
        </w:rPr>
        <w:t xml:space="preserve"> </w:t>
      </w:r>
      <w:r>
        <w:rPr>
          <w:spacing w:val="-2"/>
        </w:rPr>
        <w:t>part</w:t>
      </w:r>
      <w:r>
        <w:rPr>
          <w:spacing w:val="-8"/>
        </w:rPr>
        <w:t xml:space="preserve"> </w:t>
      </w:r>
      <w:r>
        <w:rPr>
          <w:spacing w:val="-2"/>
        </w:rPr>
        <w:t>of</w:t>
      </w:r>
      <w:r>
        <w:rPr>
          <w:spacing w:val="-8"/>
        </w:rPr>
        <w:t xml:space="preserve"> </w:t>
      </w:r>
      <w:r>
        <w:rPr>
          <w:spacing w:val="-2"/>
        </w:rPr>
        <w:t>the</w:t>
      </w:r>
      <w:r>
        <w:rPr>
          <w:spacing w:val="-8"/>
        </w:rPr>
        <w:t xml:space="preserve"> </w:t>
      </w:r>
      <w:r>
        <w:rPr>
          <w:spacing w:val="-2"/>
        </w:rPr>
        <w:t>2013-14</w:t>
      </w:r>
      <w:r>
        <w:rPr>
          <w:spacing w:val="-8"/>
        </w:rPr>
        <w:t xml:space="preserve"> </w:t>
      </w:r>
      <w:r>
        <w:rPr>
          <w:spacing w:val="-2"/>
        </w:rPr>
        <w:t>budget</w:t>
      </w:r>
      <w:r>
        <w:rPr>
          <w:spacing w:val="-8"/>
        </w:rPr>
        <w:t xml:space="preserve"> </w:t>
      </w:r>
      <w:r>
        <w:rPr>
          <w:spacing w:val="-2"/>
        </w:rPr>
        <w:t xml:space="preserve">process </w:t>
      </w:r>
      <w:r>
        <w:t>and</w:t>
      </w:r>
      <w:r>
        <w:rPr>
          <w:spacing w:val="-14"/>
        </w:rPr>
        <w:t xml:space="preserve"> </w:t>
      </w:r>
      <w:r>
        <w:t>the</w:t>
      </w:r>
      <w:r>
        <w:rPr>
          <w:spacing w:val="-14"/>
        </w:rPr>
        <w:t xml:space="preserve"> </w:t>
      </w:r>
      <w:r>
        <w:t>Nation</w:t>
      </w:r>
      <w:r>
        <w:rPr>
          <w:spacing w:val="-14"/>
        </w:rPr>
        <w:t xml:space="preserve"> </w:t>
      </w:r>
      <w:r>
        <w:t>Building</w:t>
      </w:r>
      <w:r>
        <w:rPr>
          <w:spacing w:val="-14"/>
        </w:rPr>
        <w:t xml:space="preserve"> </w:t>
      </w:r>
      <w:r>
        <w:t>Two</w:t>
      </w:r>
      <w:r>
        <w:rPr>
          <w:spacing w:val="-14"/>
        </w:rPr>
        <w:t xml:space="preserve"> </w:t>
      </w:r>
      <w:r>
        <w:t>scheme.</w:t>
      </w:r>
      <w:r>
        <w:rPr>
          <w:spacing w:val="-14"/>
        </w:rPr>
        <w:t xml:space="preserve"> </w:t>
      </w:r>
      <w:r>
        <w:t>This</w:t>
      </w:r>
      <w:r>
        <w:rPr>
          <w:spacing w:val="-14"/>
        </w:rPr>
        <w:t xml:space="preserve"> </w:t>
      </w:r>
      <w:r>
        <w:t xml:space="preserve">submission </w:t>
      </w:r>
      <w:r>
        <w:rPr>
          <w:w w:val="95"/>
        </w:rPr>
        <w:t>will</w:t>
      </w:r>
      <w:r>
        <w:rPr>
          <w:spacing w:val="-7"/>
          <w:w w:val="95"/>
        </w:rPr>
        <w:t xml:space="preserve"> </w:t>
      </w:r>
      <w:r>
        <w:rPr>
          <w:w w:val="95"/>
        </w:rPr>
        <w:t>make</w:t>
      </w:r>
      <w:r>
        <w:rPr>
          <w:spacing w:val="-7"/>
          <w:w w:val="95"/>
        </w:rPr>
        <w:t xml:space="preserve"> </w:t>
      </w:r>
      <w:r>
        <w:rPr>
          <w:w w:val="95"/>
        </w:rPr>
        <w:t>the</w:t>
      </w:r>
      <w:r>
        <w:rPr>
          <w:spacing w:val="-7"/>
          <w:w w:val="95"/>
        </w:rPr>
        <w:t xml:space="preserve"> </w:t>
      </w:r>
      <w:r>
        <w:rPr>
          <w:w w:val="95"/>
        </w:rPr>
        <w:t>economic</w:t>
      </w:r>
      <w:r>
        <w:rPr>
          <w:spacing w:val="-7"/>
          <w:w w:val="95"/>
        </w:rPr>
        <w:t xml:space="preserve"> </w:t>
      </w:r>
      <w:r>
        <w:rPr>
          <w:w w:val="95"/>
        </w:rPr>
        <w:t>case</w:t>
      </w:r>
      <w:r>
        <w:rPr>
          <w:spacing w:val="-7"/>
          <w:w w:val="95"/>
        </w:rPr>
        <w:t xml:space="preserve"> </w:t>
      </w:r>
      <w:r>
        <w:rPr>
          <w:w w:val="95"/>
        </w:rPr>
        <w:t>for</w:t>
      </w:r>
      <w:r>
        <w:rPr>
          <w:spacing w:val="-7"/>
          <w:w w:val="95"/>
        </w:rPr>
        <w:t xml:space="preserve"> </w:t>
      </w:r>
      <w:r>
        <w:rPr>
          <w:w w:val="95"/>
        </w:rPr>
        <w:t>allowing</w:t>
      </w:r>
      <w:r>
        <w:rPr>
          <w:spacing w:val="-7"/>
          <w:w w:val="95"/>
        </w:rPr>
        <w:t xml:space="preserve"> </w:t>
      </w:r>
      <w:r>
        <w:rPr>
          <w:w w:val="95"/>
        </w:rPr>
        <w:t>all</w:t>
      </w:r>
      <w:r>
        <w:rPr>
          <w:spacing w:val="-7"/>
          <w:w w:val="95"/>
        </w:rPr>
        <w:t xml:space="preserve"> </w:t>
      </w:r>
      <w:r>
        <w:rPr>
          <w:w w:val="95"/>
        </w:rPr>
        <w:t>categories</w:t>
      </w:r>
      <w:r>
        <w:rPr>
          <w:spacing w:val="-7"/>
          <w:w w:val="95"/>
        </w:rPr>
        <w:t xml:space="preserve"> </w:t>
      </w:r>
      <w:r>
        <w:rPr>
          <w:w w:val="95"/>
        </w:rPr>
        <w:t>of vehicle</w:t>
      </w:r>
      <w:r>
        <w:rPr>
          <w:spacing w:val="-2"/>
          <w:w w:val="95"/>
        </w:rPr>
        <w:t xml:space="preserve"> </w:t>
      </w:r>
      <w:r>
        <w:rPr>
          <w:w w:val="95"/>
        </w:rPr>
        <w:t>to</w:t>
      </w:r>
      <w:r>
        <w:rPr>
          <w:spacing w:val="-2"/>
          <w:w w:val="95"/>
        </w:rPr>
        <w:t xml:space="preserve"> </w:t>
      </w:r>
      <w:r>
        <w:rPr>
          <w:w w:val="95"/>
        </w:rPr>
        <w:t>use</w:t>
      </w:r>
      <w:r>
        <w:rPr>
          <w:spacing w:val="-2"/>
          <w:w w:val="95"/>
        </w:rPr>
        <w:t xml:space="preserve"> </w:t>
      </w:r>
      <w:r>
        <w:rPr>
          <w:w w:val="95"/>
        </w:rPr>
        <w:t>WestConnex,</w:t>
      </w:r>
      <w:r>
        <w:rPr>
          <w:spacing w:val="-2"/>
          <w:w w:val="95"/>
        </w:rPr>
        <w:t xml:space="preserve"> </w:t>
      </w:r>
      <w:r>
        <w:rPr>
          <w:w w:val="95"/>
        </w:rPr>
        <w:t>and</w:t>
      </w:r>
      <w:r>
        <w:rPr>
          <w:spacing w:val="-2"/>
          <w:w w:val="95"/>
        </w:rPr>
        <w:t xml:space="preserve"> </w:t>
      </w:r>
      <w:r>
        <w:rPr>
          <w:w w:val="95"/>
        </w:rPr>
        <w:t>not</w:t>
      </w:r>
      <w:r>
        <w:rPr>
          <w:spacing w:val="-2"/>
          <w:w w:val="95"/>
        </w:rPr>
        <w:t xml:space="preserve"> </w:t>
      </w:r>
      <w:r>
        <w:rPr>
          <w:w w:val="95"/>
        </w:rPr>
        <w:t>restricting</w:t>
      </w:r>
      <w:r>
        <w:rPr>
          <w:spacing w:val="-2"/>
          <w:w w:val="95"/>
        </w:rPr>
        <w:t xml:space="preserve"> </w:t>
      </w:r>
      <w:r>
        <w:rPr>
          <w:w w:val="95"/>
        </w:rPr>
        <w:t>access</w:t>
      </w:r>
      <w:r>
        <w:rPr>
          <w:spacing w:val="-2"/>
          <w:w w:val="95"/>
        </w:rPr>
        <w:t xml:space="preserve"> </w:t>
      </w:r>
      <w:r>
        <w:rPr>
          <w:w w:val="95"/>
        </w:rPr>
        <w:t xml:space="preserve">to </w:t>
      </w:r>
      <w:r>
        <w:t>trucks,</w:t>
      </w:r>
      <w:r>
        <w:rPr>
          <w:spacing w:val="-5"/>
        </w:rPr>
        <w:t xml:space="preserve"> </w:t>
      </w:r>
      <w:r>
        <w:t>light</w:t>
      </w:r>
      <w:r>
        <w:rPr>
          <w:spacing w:val="-5"/>
        </w:rPr>
        <w:t xml:space="preserve"> </w:t>
      </w:r>
      <w:r>
        <w:t>commercial</w:t>
      </w:r>
      <w:r>
        <w:rPr>
          <w:spacing w:val="-5"/>
        </w:rPr>
        <w:t xml:space="preserve"> </w:t>
      </w:r>
      <w:r>
        <w:t>vehicles</w:t>
      </w:r>
      <w:r>
        <w:rPr>
          <w:spacing w:val="-5"/>
        </w:rPr>
        <w:t xml:space="preserve"> </w:t>
      </w:r>
      <w:r>
        <w:t>and</w:t>
      </w:r>
      <w:r>
        <w:rPr>
          <w:spacing w:val="-5"/>
        </w:rPr>
        <w:t xml:space="preserve"> </w:t>
      </w:r>
      <w:r>
        <w:t>buses.</w:t>
      </w:r>
    </w:p>
    <w:p w:rsidR="002C1123" w:rsidRDefault="00F22F94">
      <w:pPr>
        <w:pStyle w:val="Heading6"/>
        <w:numPr>
          <w:ilvl w:val="2"/>
          <w:numId w:val="24"/>
        </w:numPr>
        <w:tabs>
          <w:tab w:val="left" w:pos="797"/>
        </w:tabs>
        <w:spacing w:before="149"/>
        <w:ind w:left="796"/>
        <w:jc w:val="left"/>
      </w:pPr>
      <w:r>
        <w:rPr>
          <w:color w:val="00AEEF"/>
        </w:rPr>
        <w:t>Demand</w:t>
      </w:r>
      <w:r>
        <w:rPr>
          <w:color w:val="00AEEF"/>
          <w:spacing w:val="-13"/>
        </w:rPr>
        <w:t xml:space="preserve"> </w:t>
      </w:r>
      <w:r>
        <w:rPr>
          <w:color w:val="00AEEF"/>
          <w:spacing w:val="-4"/>
        </w:rPr>
        <w:t>Risk</w:t>
      </w:r>
    </w:p>
    <w:p w:rsidR="002C1123" w:rsidRDefault="00F22F94">
      <w:pPr>
        <w:pStyle w:val="BodyText"/>
        <w:spacing w:before="95" w:line="249" w:lineRule="auto"/>
        <w:ind w:left="202"/>
      </w:pPr>
      <w:r>
        <w:t>As</w:t>
      </w:r>
      <w:r>
        <w:rPr>
          <w:spacing w:val="-14"/>
        </w:rPr>
        <w:t xml:space="preserve"> </w:t>
      </w:r>
      <w:r>
        <w:t>discussed</w:t>
      </w:r>
      <w:r>
        <w:rPr>
          <w:spacing w:val="-14"/>
        </w:rPr>
        <w:t xml:space="preserve"> </w:t>
      </w:r>
      <w:r>
        <w:t>in</w:t>
      </w:r>
      <w:r>
        <w:rPr>
          <w:spacing w:val="-14"/>
        </w:rPr>
        <w:t xml:space="preserve"> </w:t>
      </w:r>
      <w:r>
        <w:t>Section</w:t>
      </w:r>
      <w:r>
        <w:rPr>
          <w:spacing w:val="-14"/>
        </w:rPr>
        <w:t xml:space="preserve"> </w:t>
      </w:r>
      <w:r>
        <w:t>16.2,</w:t>
      </w:r>
      <w:r>
        <w:rPr>
          <w:spacing w:val="-14"/>
        </w:rPr>
        <w:t xml:space="preserve"> </w:t>
      </w:r>
      <w:r>
        <w:t>the</w:t>
      </w:r>
      <w:r>
        <w:rPr>
          <w:spacing w:val="-14"/>
        </w:rPr>
        <w:t xml:space="preserve"> </w:t>
      </w:r>
      <w:r>
        <w:t>financial</w:t>
      </w:r>
      <w:r>
        <w:rPr>
          <w:spacing w:val="-14"/>
        </w:rPr>
        <w:t xml:space="preserve"> </w:t>
      </w:r>
      <w:r>
        <w:t>failure</w:t>
      </w:r>
      <w:r>
        <w:rPr>
          <w:spacing w:val="-14"/>
        </w:rPr>
        <w:t xml:space="preserve"> </w:t>
      </w:r>
      <w:r>
        <w:t>of recent</w:t>
      </w:r>
      <w:r>
        <w:rPr>
          <w:spacing w:val="-14"/>
        </w:rPr>
        <w:t xml:space="preserve"> </w:t>
      </w:r>
      <w:r>
        <w:t>tollroads</w:t>
      </w:r>
      <w:r>
        <w:rPr>
          <w:spacing w:val="-14"/>
        </w:rPr>
        <w:t xml:space="preserve"> </w:t>
      </w:r>
      <w:r>
        <w:t>has</w:t>
      </w:r>
      <w:r>
        <w:rPr>
          <w:spacing w:val="-14"/>
        </w:rPr>
        <w:t xml:space="preserve"> </w:t>
      </w:r>
      <w:r>
        <w:t>resulted</w:t>
      </w:r>
      <w:r>
        <w:rPr>
          <w:spacing w:val="-14"/>
        </w:rPr>
        <w:t xml:space="preserve"> </w:t>
      </w:r>
      <w:r>
        <w:t>in</w:t>
      </w:r>
      <w:r>
        <w:rPr>
          <w:spacing w:val="-14"/>
        </w:rPr>
        <w:t xml:space="preserve"> </w:t>
      </w:r>
      <w:r>
        <w:t>the</w:t>
      </w:r>
      <w:r>
        <w:rPr>
          <w:spacing w:val="-14"/>
        </w:rPr>
        <w:t xml:space="preserve"> </w:t>
      </w:r>
      <w:r>
        <w:t>private</w:t>
      </w:r>
      <w:r>
        <w:rPr>
          <w:spacing w:val="-14"/>
        </w:rPr>
        <w:t xml:space="preserve"> </w:t>
      </w:r>
      <w:r>
        <w:t>capital</w:t>
      </w:r>
      <w:r>
        <w:rPr>
          <w:spacing w:val="-13"/>
        </w:rPr>
        <w:t xml:space="preserve"> </w:t>
      </w:r>
      <w:r>
        <w:t xml:space="preserve">now </w:t>
      </w:r>
      <w:r>
        <w:rPr>
          <w:spacing w:val="-2"/>
        </w:rPr>
        <w:t>being</w:t>
      </w:r>
      <w:r>
        <w:rPr>
          <w:spacing w:val="-8"/>
        </w:rPr>
        <w:t xml:space="preserve"> </w:t>
      </w:r>
      <w:r>
        <w:rPr>
          <w:spacing w:val="-2"/>
        </w:rPr>
        <w:t>generally</w:t>
      </w:r>
      <w:r>
        <w:rPr>
          <w:spacing w:val="-8"/>
        </w:rPr>
        <w:t xml:space="preserve"> </w:t>
      </w:r>
      <w:r>
        <w:rPr>
          <w:spacing w:val="-2"/>
        </w:rPr>
        <w:t>unwilling</w:t>
      </w:r>
      <w:r>
        <w:rPr>
          <w:spacing w:val="-8"/>
        </w:rPr>
        <w:t xml:space="preserve"> </w:t>
      </w:r>
      <w:r>
        <w:rPr>
          <w:spacing w:val="-2"/>
        </w:rPr>
        <w:t>to</w:t>
      </w:r>
      <w:r>
        <w:rPr>
          <w:spacing w:val="-8"/>
        </w:rPr>
        <w:t xml:space="preserve"> </w:t>
      </w:r>
      <w:r>
        <w:rPr>
          <w:spacing w:val="-2"/>
        </w:rPr>
        <w:t>take</w:t>
      </w:r>
      <w:r>
        <w:rPr>
          <w:spacing w:val="-8"/>
        </w:rPr>
        <w:t xml:space="preserve"> </w:t>
      </w:r>
      <w:r>
        <w:rPr>
          <w:spacing w:val="-2"/>
        </w:rPr>
        <w:t>unprotected</w:t>
      </w:r>
      <w:r>
        <w:rPr>
          <w:spacing w:val="-8"/>
        </w:rPr>
        <w:t xml:space="preserve"> </w:t>
      </w:r>
      <w:r>
        <w:rPr>
          <w:spacing w:val="-2"/>
        </w:rPr>
        <w:t xml:space="preserve">exposure </w:t>
      </w:r>
      <w:r>
        <w:t>to</w:t>
      </w:r>
      <w:r>
        <w:rPr>
          <w:spacing w:val="-11"/>
        </w:rPr>
        <w:t xml:space="preserve"> </w:t>
      </w:r>
      <w:r>
        <w:t>greenfields</w:t>
      </w:r>
      <w:r>
        <w:rPr>
          <w:spacing w:val="-11"/>
        </w:rPr>
        <w:t xml:space="preserve"> </w:t>
      </w:r>
      <w:r>
        <w:t>traffic</w:t>
      </w:r>
      <w:r>
        <w:rPr>
          <w:spacing w:val="-11"/>
        </w:rPr>
        <w:t xml:space="preserve"> </w:t>
      </w:r>
      <w:r>
        <w:t>risk.</w:t>
      </w:r>
      <w:r>
        <w:rPr>
          <w:spacing w:val="-11"/>
        </w:rPr>
        <w:t xml:space="preserve"> </w:t>
      </w:r>
      <w:r>
        <w:t>In</w:t>
      </w:r>
      <w:r>
        <w:rPr>
          <w:spacing w:val="-11"/>
        </w:rPr>
        <w:t xml:space="preserve"> </w:t>
      </w:r>
      <w:r>
        <w:t>addition</w:t>
      </w:r>
      <w:r>
        <w:rPr>
          <w:spacing w:val="-11"/>
        </w:rPr>
        <w:t xml:space="preserve"> </w:t>
      </w:r>
      <w:r>
        <w:t>some</w:t>
      </w:r>
      <w:r>
        <w:rPr>
          <w:spacing w:val="-11"/>
        </w:rPr>
        <w:t xml:space="preserve"> </w:t>
      </w:r>
      <w:r>
        <w:t>contractors are</w:t>
      </w:r>
      <w:r>
        <w:rPr>
          <w:spacing w:val="-13"/>
        </w:rPr>
        <w:t xml:space="preserve"> </w:t>
      </w:r>
      <w:r>
        <w:t>unwilling</w:t>
      </w:r>
      <w:r>
        <w:rPr>
          <w:spacing w:val="-13"/>
        </w:rPr>
        <w:t xml:space="preserve"> </w:t>
      </w:r>
      <w:r>
        <w:t>to</w:t>
      </w:r>
      <w:r>
        <w:rPr>
          <w:spacing w:val="-13"/>
        </w:rPr>
        <w:t xml:space="preserve"> </w:t>
      </w:r>
      <w:r>
        <w:t>participate</w:t>
      </w:r>
      <w:r>
        <w:rPr>
          <w:spacing w:val="-13"/>
        </w:rPr>
        <w:t xml:space="preserve"> </w:t>
      </w:r>
      <w:r>
        <w:t>in</w:t>
      </w:r>
      <w:r>
        <w:rPr>
          <w:spacing w:val="-13"/>
        </w:rPr>
        <w:t xml:space="preserve"> </w:t>
      </w:r>
      <w:r>
        <w:t>processes</w:t>
      </w:r>
      <w:r>
        <w:rPr>
          <w:spacing w:val="-13"/>
        </w:rPr>
        <w:t xml:space="preserve"> </w:t>
      </w:r>
      <w:r>
        <w:t>where</w:t>
      </w:r>
      <w:r>
        <w:rPr>
          <w:spacing w:val="-13"/>
        </w:rPr>
        <w:t xml:space="preserve"> </w:t>
      </w:r>
      <w:r>
        <w:t xml:space="preserve">traffic </w:t>
      </w:r>
      <w:r>
        <w:rPr>
          <w:w w:val="95"/>
        </w:rPr>
        <w:t>forecasting</w:t>
      </w:r>
      <w:r>
        <w:rPr>
          <w:spacing w:val="-4"/>
          <w:w w:val="95"/>
        </w:rPr>
        <w:t xml:space="preserve"> </w:t>
      </w:r>
      <w:r>
        <w:rPr>
          <w:w w:val="95"/>
        </w:rPr>
        <w:t>is</w:t>
      </w:r>
      <w:r>
        <w:rPr>
          <w:spacing w:val="-4"/>
          <w:w w:val="95"/>
        </w:rPr>
        <w:t xml:space="preserve"> </w:t>
      </w:r>
      <w:r>
        <w:rPr>
          <w:w w:val="95"/>
        </w:rPr>
        <w:t>the</w:t>
      </w:r>
      <w:r>
        <w:rPr>
          <w:spacing w:val="-4"/>
          <w:w w:val="95"/>
        </w:rPr>
        <w:t xml:space="preserve"> </w:t>
      </w:r>
      <w:r>
        <w:rPr>
          <w:w w:val="95"/>
        </w:rPr>
        <w:t>principal</w:t>
      </w:r>
      <w:r>
        <w:rPr>
          <w:spacing w:val="-4"/>
          <w:w w:val="95"/>
        </w:rPr>
        <w:t xml:space="preserve"> </w:t>
      </w:r>
      <w:r>
        <w:rPr>
          <w:w w:val="95"/>
        </w:rPr>
        <w:t>driver</w:t>
      </w:r>
      <w:r>
        <w:rPr>
          <w:spacing w:val="-4"/>
          <w:w w:val="95"/>
        </w:rPr>
        <w:t xml:space="preserve"> </w:t>
      </w:r>
      <w:r>
        <w:rPr>
          <w:w w:val="95"/>
        </w:rPr>
        <w:t>of</w:t>
      </w:r>
      <w:r>
        <w:rPr>
          <w:spacing w:val="-4"/>
          <w:w w:val="95"/>
        </w:rPr>
        <w:t xml:space="preserve"> </w:t>
      </w:r>
      <w:r>
        <w:rPr>
          <w:w w:val="95"/>
        </w:rPr>
        <w:t>bid</w:t>
      </w:r>
      <w:r>
        <w:rPr>
          <w:spacing w:val="-4"/>
          <w:w w:val="95"/>
        </w:rPr>
        <w:t xml:space="preserve"> </w:t>
      </w:r>
      <w:r>
        <w:rPr>
          <w:w w:val="95"/>
        </w:rPr>
        <w:t xml:space="preserve">competitiveness, </w:t>
      </w:r>
      <w:r>
        <w:t>and</w:t>
      </w:r>
      <w:r>
        <w:rPr>
          <w:spacing w:val="-11"/>
        </w:rPr>
        <w:t xml:space="preserve"> </w:t>
      </w:r>
      <w:r>
        <w:t>traffic</w:t>
      </w:r>
      <w:r>
        <w:rPr>
          <w:spacing w:val="-11"/>
        </w:rPr>
        <w:t xml:space="preserve"> </w:t>
      </w:r>
      <w:r>
        <w:t>forecasters</w:t>
      </w:r>
      <w:r>
        <w:rPr>
          <w:spacing w:val="-11"/>
        </w:rPr>
        <w:t xml:space="preserve"> </w:t>
      </w:r>
      <w:r>
        <w:t>are</w:t>
      </w:r>
      <w:r>
        <w:rPr>
          <w:spacing w:val="-11"/>
        </w:rPr>
        <w:t xml:space="preserve"> </w:t>
      </w:r>
      <w:r>
        <w:t>generally</w:t>
      </w:r>
      <w:r>
        <w:rPr>
          <w:spacing w:val="-11"/>
        </w:rPr>
        <w:t xml:space="preserve"> </w:t>
      </w:r>
      <w:r>
        <w:t>concerned</w:t>
      </w:r>
      <w:r>
        <w:rPr>
          <w:spacing w:val="-11"/>
        </w:rPr>
        <w:t xml:space="preserve"> </w:t>
      </w:r>
      <w:r>
        <w:t>about their risk exposure.</w:t>
      </w:r>
    </w:p>
    <w:p w:rsidR="002C1123" w:rsidRDefault="00F22F94">
      <w:pPr>
        <w:pStyle w:val="BodyText"/>
        <w:spacing w:before="106" w:line="249" w:lineRule="auto"/>
        <w:ind w:left="189" w:right="756"/>
      </w:pPr>
      <w:r>
        <w:br w:type="column"/>
      </w:r>
      <w:r>
        <w:rPr>
          <w:w w:val="95"/>
        </w:rPr>
        <w:t>However</w:t>
      </w:r>
      <w:r>
        <w:rPr>
          <w:spacing w:val="-2"/>
          <w:w w:val="95"/>
        </w:rPr>
        <w:t xml:space="preserve"> </w:t>
      </w:r>
      <w:r>
        <w:rPr>
          <w:w w:val="95"/>
        </w:rPr>
        <w:t>in</w:t>
      </w:r>
      <w:r>
        <w:rPr>
          <w:spacing w:val="-2"/>
          <w:w w:val="95"/>
        </w:rPr>
        <w:t xml:space="preserve"> </w:t>
      </w:r>
      <w:r>
        <w:rPr>
          <w:w w:val="95"/>
        </w:rPr>
        <w:t>the</w:t>
      </w:r>
      <w:r>
        <w:rPr>
          <w:spacing w:val="-2"/>
          <w:w w:val="95"/>
        </w:rPr>
        <w:t xml:space="preserve"> </w:t>
      </w:r>
      <w:r>
        <w:rPr>
          <w:w w:val="95"/>
        </w:rPr>
        <w:t>case</w:t>
      </w:r>
      <w:r>
        <w:rPr>
          <w:spacing w:val="-2"/>
          <w:w w:val="95"/>
        </w:rPr>
        <w:t xml:space="preserve"> </w:t>
      </w:r>
      <w:r>
        <w:rPr>
          <w:w w:val="95"/>
        </w:rPr>
        <w:t>of</w:t>
      </w:r>
      <w:r>
        <w:rPr>
          <w:spacing w:val="-2"/>
          <w:w w:val="95"/>
        </w:rPr>
        <w:t xml:space="preserve"> </w:t>
      </w:r>
      <w:r>
        <w:rPr>
          <w:w w:val="95"/>
        </w:rPr>
        <w:t>WestConnex,</w:t>
      </w:r>
      <w:r>
        <w:rPr>
          <w:spacing w:val="-2"/>
          <w:w w:val="95"/>
        </w:rPr>
        <w:t xml:space="preserve"> </w:t>
      </w:r>
      <w:r>
        <w:rPr>
          <w:w w:val="95"/>
        </w:rPr>
        <w:t>a</w:t>
      </w:r>
      <w:r>
        <w:rPr>
          <w:spacing w:val="-2"/>
          <w:w w:val="95"/>
        </w:rPr>
        <w:t xml:space="preserve"> </w:t>
      </w:r>
      <w:r>
        <w:rPr>
          <w:w w:val="95"/>
        </w:rPr>
        <w:t>majority</w:t>
      </w:r>
      <w:r>
        <w:rPr>
          <w:spacing w:val="-2"/>
          <w:w w:val="95"/>
        </w:rPr>
        <w:t xml:space="preserve"> </w:t>
      </w:r>
      <w:r>
        <w:rPr>
          <w:w w:val="95"/>
        </w:rPr>
        <w:t>of</w:t>
      </w:r>
      <w:r>
        <w:rPr>
          <w:spacing w:val="-2"/>
          <w:w w:val="95"/>
        </w:rPr>
        <w:t xml:space="preserve"> </w:t>
      </w:r>
      <w:r>
        <w:rPr>
          <w:w w:val="95"/>
        </w:rPr>
        <w:t>traffic will</w:t>
      </w:r>
      <w:r>
        <w:rPr>
          <w:spacing w:val="-5"/>
          <w:w w:val="95"/>
        </w:rPr>
        <w:t xml:space="preserve"> </w:t>
      </w:r>
      <w:r>
        <w:rPr>
          <w:w w:val="95"/>
        </w:rPr>
        <w:t>comprise</w:t>
      </w:r>
      <w:r>
        <w:rPr>
          <w:spacing w:val="-5"/>
          <w:w w:val="95"/>
        </w:rPr>
        <w:t xml:space="preserve"> </w:t>
      </w:r>
      <w:r>
        <w:rPr>
          <w:w w:val="95"/>
        </w:rPr>
        <w:t>mature</w:t>
      </w:r>
      <w:r>
        <w:rPr>
          <w:spacing w:val="-5"/>
          <w:w w:val="95"/>
        </w:rPr>
        <w:t xml:space="preserve"> </w:t>
      </w:r>
      <w:r>
        <w:rPr>
          <w:w w:val="95"/>
        </w:rPr>
        <w:t>traffic</w:t>
      </w:r>
      <w:r>
        <w:rPr>
          <w:spacing w:val="-5"/>
          <w:w w:val="95"/>
        </w:rPr>
        <w:t xml:space="preserve"> </w:t>
      </w:r>
      <w:r>
        <w:rPr>
          <w:w w:val="95"/>
        </w:rPr>
        <w:t>flows</w:t>
      </w:r>
      <w:r>
        <w:rPr>
          <w:spacing w:val="-5"/>
          <w:w w:val="95"/>
        </w:rPr>
        <w:t xml:space="preserve"> </w:t>
      </w:r>
      <w:r>
        <w:rPr>
          <w:w w:val="95"/>
        </w:rPr>
        <w:t>on</w:t>
      </w:r>
      <w:r>
        <w:rPr>
          <w:spacing w:val="-5"/>
          <w:w w:val="95"/>
        </w:rPr>
        <w:t xml:space="preserve"> </w:t>
      </w:r>
      <w:r>
        <w:rPr>
          <w:w w:val="95"/>
        </w:rPr>
        <w:t>the</w:t>
      </w:r>
      <w:r>
        <w:rPr>
          <w:spacing w:val="-5"/>
          <w:w w:val="95"/>
        </w:rPr>
        <w:t xml:space="preserve"> </w:t>
      </w:r>
      <w:r>
        <w:rPr>
          <w:w w:val="95"/>
        </w:rPr>
        <w:t>existing</w:t>
      </w:r>
      <w:r>
        <w:rPr>
          <w:spacing w:val="-5"/>
          <w:w w:val="95"/>
        </w:rPr>
        <w:t xml:space="preserve"> </w:t>
      </w:r>
      <w:r>
        <w:rPr>
          <w:w w:val="95"/>
        </w:rPr>
        <w:t>M5</w:t>
      </w:r>
      <w:r>
        <w:rPr>
          <w:spacing w:val="-5"/>
          <w:w w:val="95"/>
        </w:rPr>
        <w:t xml:space="preserve"> </w:t>
      </w:r>
      <w:r>
        <w:rPr>
          <w:w w:val="95"/>
        </w:rPr>
        <w:t xml:space="preserve">East and M4 corridors. Infrastructure NSW recommends that </w:t>
      </w:r>
      <w:r>
        <w:t>a</w:t>
      </w:r>
      <w:r>
        <w:rPr>
          <w:spacing w:val="-12"/>
        </w:rPr>
        <w:t xml:space="preserve"> </w:t>
      </w:r>
      <w:r>
        <w:t>reference</w:t>
      </w:r>
      <w:r>
        <w:rPr>
          <w:spacing w:val="-12"/>
        </w:rPr>
        <w:t xml:space="preserve"> </w:t>
      </w:r>
      <w:r>
        <w:t>case</w:t>
      </w:r>
      <w:r>
        <w:rPr>
          <w:spacing w:val="-12"/>
        </w:rPr>
        <w:t xml:space="preserve"> </w:t>
      </w:r>
      <w:r>
        <w:t>of</w:t>
      </w:r>
      <w:r>
        <w:rPr>
          <w:spacing w:val="-12"/>
        </w:rPr>
        <w:t xml:space="preserve"> </w:t>
      </w:r>
      <w:r>
        <w:t>traffic</w:t>
      </w:r>
      <w:r>
        <w:rPr>
          <w:spacing w:val="-12"/>
        </w:rPr>
        <w:t xml:space="preserve"> </w:t>
      </w:r>
      <w:r>
        <w:t>forecasts</w:t>
      </w:r>
      <w:r>
        <w:rPr>
          <w:spacing w:val="-12"/>
        </w:rPr>
        <w:t xml:space="preserve"> </w:t>
      </w:r>
      <w:r>
        <w:t>be</w:t>
      </w:r>
      <w:r>
        <w:rPr>
          <w:spacing w:val="-12"/>
        </w:rPr>
        <w:t xml:space="preserve"> </w:t>
      </w:r>
      <w:r>
        <w:t>commissioned and</w:t>
      </w:r>
      <w:r>
        <w:rPr>
          <w:spacing w:val="-9"/>
        </w:rPr>
        <w:t xml:space="preserve"> </w:t>
      </w:r>
      <w:r>
        <w:t>made</w:t>
      </w:r>
      <w:r>
        <w:rPr>
          <w:spacing w:val="-9"/>
        </w:rPr>
        <w:t xml:space="preserve"> </w:t>
      </w:r>
      <w:r>
        <w:t>available</w:t>
      </w:r>
      <w:r>
        <w:rPr>
          <w:spacing w:val="-9"/>
        </w:rPr>
        <w:t xml:space="preserve"> </w:t>
      </w:r>
      <w:r>
        <w:t>to</w:t>
      </w:r>
      <w:r>
        <w:rPr>
          <w:spacing w:val="-9"/>
        </w:rPr>
        <w:t xml:space="preserve"> </w:t>
      </w:r>
      <w:r>
        <w:t>bidders</w:t>
      </w:r>
      <w:r>
        <w:rPr>
          <w:spacing w:val="-9"/>
        </w:rPr>
        <w:t xml:space="preserve"> </w:t>
      </w:r>
      <w:r>
        <w:t>under</w:t>
      </w:r>
      <w:r>
        <w:rPr>
          <w:spacing w:val="-9"/>
        </w:rPr>
        <w:t xml:space="preserve"> </w:t>
      </w:r>
      <w:r>
        <w:t>appropriate reliance</w:t>
      </w:r>
      <w:r>
        <w:rPr>
          <w:spacing w:val="-11"/>
        </w:rPr>
        <w:t xml:space="preserve"> </w:t>
      </w:r>
      <w:r>
        <w:t>conditions.</w:t>
      </w:r>
    </w:p>
    <w:p w:rsidR="002C1123" w:rsidRDefault="00F22F94">
      <w:pPr>
        <w:pStyle w:val="BodyText"/>
        <w:spacing w:before="147" w:line="249" w:lineRule="auto"/>
        <w:ind w:left="189" w:right="1062"/>
      </w:pPr>
      <w:r>
        <w:t>There</w:t>
      </w:r>
      <w:r>
        <w:rPr>
          <w:spacing w:val="-12"/>
        </w:rPr>
        <w:t xml:space="preserve"> </w:t>
      </w:r>
      <w:r>
        <w:t>are</w:t>
      </w:r>
      <w:r>
        <w:rPr>
          <w:spacing w:val="-12"/>
        </w:rPr>
        <w:t xml:space="preserve"> </w:t>
      </w:r>
      <w:r>
        <w:t>reasonable</w:t>
      </w:r>
      <w:r>
        <w:rPr>
          <w:spacing w:val="-12"/>
        </w:rPr>
        <w:t xml:space="preserve"> </w:t>
      </w:r>
      <w:r>
        <w:t>grounds</w:t>
      </w:r>
      <w:r>
        <w:rPr>
          <w:spacing w:val="-12"/>
        </w:rPr>
        <w:t xml:space="preserve"> </w:t>
      </w:r>
      <w:r>
        <w:t>for</w:t>
      </w:r>
      <w:r>
        <w:rPr>
          <w:spacing w:val="-12"/>
        </w:rPr>
        <w:t xml:space="preserve"> </w:t>
      </w:r>
      <w:r>
        <w:t>expecting</w:t>
      </w:r>
      <w:r>
        <w:rPr>
          <w:spacing w:val="-12"/>
        </w:rPr>
        <w:t xml:space="preserve"> </w:t>
      </w:r>
      <w:r>
        <w:t xml:space="preserve">that </w:t>
      </w:r>
      <w:r>
        <w:rPr>
          <w:w w:val="95"/>
        </w:rPr>
        <w:t>private</w:t>
      </w:r>
      <w:r>
        <w:rPr>
          <w:spacing w:val="-8"/>
          <w:w w:val="95"/>
        </w:rPr>
        <w:t xml:space="preserve"> </w:t>
      </w:r>
      <w:r>
        <w:rPr>
          <w:w w:val="95"/>
        </w:rPr>
        <w:t>sector</w:t>
      </w:r>
      <w:r>
        <w:rPr>
          <w:spacing w:val="-8"/>
          <w:w w:val="95"/>
        </w:rPr>
        <w:t xml:space="preserve"> </w:t>
      </w:r>
      <w:r>
        <w:rPr>
          <w:w w:val="95"/>
        </w:rPr>
        <w:t>financiers</w:t>
      </w:r>
      <w:r>
        <w:rPr>
          <w:spacing w:val="-8"/>
          <w:w w:val="95"/>
        </w:rPr>
        <w:t xml:space="preserve"> </w:t>
      </w:r>
      <w:r>
        <w:rPr>
          <w:w w:val="95"/>
        </w:rPr>
        <w:t>will</w:t>
      </w:r>
      <w:r>
        <w:rPr>
          <w:spacing w:val="-8"/>
          <w:w w:val="95"/>
        </w:rPr>
        <w:t xml:space="preserve"> </w:t>
      </w:r>
      <w:r>
        <w:rPr>
          <w:w w:val="95"/>
        </w:rPr>
        <w:t>be</w:t>
      </w:r>
      <w:r>
        <w:rPr>
          <w:spacing w:val="-8"/>
          <w:w w:val="95"/>
        </w:rPr>
        <w:t xml:space="preserve"> </w:t>
      </w:r>
      <w:r>
        <w:rPr>
          <w:w w:val="95"/>
        </w:rPr>
        <w:t>able</w:t>
      </w:r>
      <w:r>
        <w:rPr>
          <w:spacing w:val="-8"/>
          <w:w w:val="95"/>
        </w:rPr>
        <w:t xml:space="preserve"> </w:t>
      </w:r>
      <w:r>
        <w:rPr>
          <w:w w:val="95"/>
        </w:rPr>
        <w:t>to</w:t>
      </w:r>
      <w:r>
        <w:rPr>
          <w:spacing w:val="-8"/>
          <w:w w:val="95"/>
        </w:rPr>
        <w:t xml:space="preserve"> </w:t>
      </w:r>
      <w:r>
        <w:rPr>
          <w:w w:val="95"/>
        </w:rPr>
        <w:t>take</w:t>
      </w:r>
      <w:r>
        <w:rPr>
          <w:spacing w:val="-8"/>
          <w:w w:val="95"/>
        </w:rPr>
        <w:t xml:space="preserve"> </w:t>
      </w:r>
      <w:r>
        <w:rPr>
          <w:w w:val="95"/>
        </w:rPr>
        <w:t>a</w:t>
      </w:r>
      <w:r>
        <w:rPr>
          <w:spacing w:val="-8"/>
          <w:w w:val="95"/>
        </w:rPr>
        <w:t xml:space="preserve"> </w:t>
      </w:r>
      <w:r>
        <w:rPr>
          <w:w w:val="95"/>
        </w:rPr>
        <w:t>view</w:t>
      </w:r>
      <w:r>
        <w:rPr>
          <w:spacing w:val="-8"/>
          <w:w w:val="95"/>
        </w:rPr>
        <w:t xml:space="preserve"> </w:t>
      </w:r>
      <w:r>
        <w:rPr>
          <w:w w:val="95"/>
        </w:rPr>
        <w:t>on the</w:t>
      </w:r>
      <w:r>
        <w:rPr>
          <w:spacing w:val="-9"/>
          <w:w w:val="95"/>
        </w:rPr>
        <w:t xml:space="preserve"> </w:t>
      </w:r>
      <w:r>
        <w:rPr>
          <w:w w:val="95"/>
        </w:rPr>
        <w:t>reference</w:t>
      </w:r>
      <w:r>
        <w:rPr>
          <w:spacing w:val="-10"/>
          <w:w w:val="95"/>
        </w:rPr>
        <w:t xml:space="preserve"> </w:t>
      </w:r>
      <w:r>
        <w:rPr>
          <w:w w:val="95"/>
        </w:rPr>
        <w:t>case</w:t>
      </w:r>
      <w:r>
        <w:rPr>
          <w:spacing w:val="-9"/>
          <w:w w:val="95"/>
        </w:rPr>
        <w:t xml:space="preserve"> </w:t>
      </w:r>
      <w:r>
        <w:rPr>
          <w:w w:val="95"/>
        </w:rPr>
        <w:t>traffic</w:t>
      </w:r>
      <w:r>
        <w:rPr>
          <w:spacing w:val="-10"/>
          <w:w w:val="95"/>
        </w:rPr>
        <w:t xml:space="preserve"> </w:t>
      </w:r>
      <w:r>
        <w:rPr>
          <w:w w:val="95"/>
        </w:rPr>
        <w:t>flows.</w:t>
      </w:r>
      <w:r>
        <w:rPr>
          <w:spacing w:val="-9"/>
          <w:w w:val="95"/>
        </w:rPr>
        <w:t xml:space="preserve"> </w:t>
      </w:r>
      <w:r>
        <w:rPr>
          <w:w w:val="95"/>
        </w:rPr>
        <w:t>For</w:t>
      </w:r>
      <w:r>
        <w:rPr>
          <w:spacing w:val="-10"/>
          <w:w w:val="95"/>
        </w:rPr>
        <w:t xml:space="preserve"> </w:t>
      </w:r>
      <w:r>
        <w:rPr>
          <w:w w:val="95"/>
        </w:rPr>
        <w:t>greenfields</w:t>
      </w:r>
      <w:r>
        <w:rPr>
          <w:spacing w:val="-9"/>
          <w:w w:val="95"/>
        </w:rPr>
        <w:t xml:space="preserve"> </w:t>
      </w:r>
      <w:r>
        <w:rPr>
          <w:w w:val="95"/>
        </w:rPr>
        <w:t xml:space="preserve">traffic </w:t>
      </w:r>
      <w:r>
        <w:t>on</w:t>
      </w:r>
      <w:r>
        <w:rPr>
          <w:spacing w:val="-14"/>
        </w:rPr>
        <w:t xml:space="preserve"> </w:t>
      </w:r>
      <w:r>
        <w:t>the</w:t>
      </w:r>
      <w:r>
        <w:rPr>
          <w:spacing w:val="-14"/>
        </w:rPr>
        <w:t xml:space="preserve"> </w:t>
      </w:r>
      <w:r>
        <w:t>central</w:t>
      </w:r>
      <w:r>
        <w:rPr>
          <w:spacing w:val="-14"/>
        </w:rPr>
        <w:t xml:space="preserve"> </w:t>
      </w:r>
      <w:r>
        <w:t>part</w:t>
      </w:r>
      <w:r>
        <w:rPr>
          <w:spacing w:val="-14"/>
        </w:rPr>
        <w:t xml:space="preserve"> </w:t>
      </w:r>
      <w:r>
        <w:t>of</w:t>
      </w:r>
      <w:r>
        <w:rPr>
          <w:spacing w:val="-14"/>
        </w:rPr>
        <w:t xml:space="preserve"> </w:t>
      </w:r>
      <w:r>
        <w:t>WestConnex,</w:t>
      </w:r>
      <w:r>
        <w:rPr>
          <w:spacing w:val="-14"/>
        </w:rPr>
        <w:t xml:space="preserve"> </w:t>
      </w:r>
      <w:r>
        <w:t>a</w:t>
      </w:r>
      <w:r>
        <w:rPr>
          <w:spacing w:val="-14"/>
        </w:rPr>
        <w:t xml:space="preserve"> </w:t>
      </w:r>
      <w:r>
        <w:t>cap</w:t>
      </w:r>
      <w:r>
        <w:rPr>
          <w:spacing w:val="-14"/>
        </w:rPr>
        <w:t xml:space="preserve"> </w:t>
      </w:r>
      <w:r>
        <w:t>and</w:t>
      </w:r>
      <w:r>
        <w:rPr>
          <w:spacing w:val="-14"/>
        </w:rPr>
        <w:t xml:space="preserve"> </w:t>
      </w:r>
      <w:r>
        <w:t>collar arrangement</w:t>
      </w:r>
      <w:r>
        <w:rPr>
          <w:spacing w:val="-13"/>
        </w:rPr>
        <w:t xml:space="preserve"> </w:t>
      </w:r>
      <w:r>
        <w:t>may</w:t>
      </w:r>
      <w:r>
        <w:rPr>
          <w:spacing w:val="-13"/>
        </w:rPr>
        <w:t xml:space="preserve"> </w:t>
      </w:r>
      <w:r>
        <w:t>be</w:t>
      </w:r>
      <w:r>
        <w:rPr>
          <w:spacing w:val="-13"/>
        </w:rPr>
        <w:t xml:space="preserve"> </w:t>
      </w:r>
      <w:r>
        <w:t>appropriate</w:t>
      </w:r>
      <w:r>
        <w:rPr>
          <w:spacing w:val="-13"/>
        </w:rPr>
        <w:t xml:space="preserve"> </w:t>
      </w:r>
      <w:r>
        <w:t>for</w:t>
      </w:r>
      <w:r>
        <w:rPr>
          <w:spacing w:val="-13"/>
        </w:rPr>
        <w:t xml:space="preserve"> </w:t>
      </w:r>
      <w:r>
        <w:t>a</w:t>
      </w:r>
      <w:r>
        <w:rPr>
          <w:spacing w:val="-13"/>
        </w:rPr>
        <w:t xml:space="preserve"> </w:t>
      </w:r>
      <w:r>
        <w:t>transitional</w:t>
      </w:r>
    </w:p>
    <w:p w:rsidR="002C1123" w:rsidRDefault="00F22F94">
      <w:pPr>
        <w:pStyle w:val="BodyText"/>
        <w:spacing w:before="4" w:line="249" w:lineRule="auto"/>
        <w:ind w:left="189" w:right="756"/>
      </w:pPr>
      <w:r>
        <w:rPr>
          <w:w w:val="95"/>
        </w:rPr>
        <w:t>period.</w:t>
      </w:r>
      <w:r>
        <w:rPr>
          <w:spacing w:val="-1"/>
          <w:w w:val="95"/>
        </w:rPr>
        <w:t xml:space="preserve"> </w:t>
      </w:r>
      <w:r>
        <w:rPr>
          <w:w w:val="95"/>
        </w:rPr>
        <w:t>The</w:t>
      </w:r>
      <w:r>
        <w:rPr>
          <w:spacing w:val="-1"/>
          <w:w w:val="95"/>
        </w:rPr>
        <w:t xml:space="preserve"> </w:t>
      </w:r>
      <w:r>
        <w:rPr>
          <w:w w:val="95"/>
        </w:rPr>
        <w:t>principal</w:t>
      </w:r>
      <w:r>
        <w:rPr>
          <w:spacing w:val="-1"/>
          <w:w w:val="95"/>
        </w:rPr>
        <w:t xml:space="preserve"> </w:t>
      </w:r>
      <w:r>
        <w:rPr>
          <w:w w:val="95"/>
        </w:rPr>
        <w:t>purpose</w:t>
      </w:r>
      <w:r>
        <w:rPr>
          <w:spacing w:val="-1"/>
          <w:w w:val="95"/>
        </w:rPr>
        <w:t xml:space="preserve"> </w:t>
      </w:r>
      <w:r>
        <w:rPr>
          <w:w w:val="95"/>
        </w:rPr>
        <w:t>of</w:t>
      </w:r>
      <w:r>
        <w:rPr>
          <w:spacing w:val="-1"/>
          <w:w w:val="95"/>
        </w:rPr>
        <w:t xml:space="preserve"> </w:t>
      </w:r>
      <w:r>
        <w:rPr>
          <w:w w:val="95"/>
        </w:rPr>
        <w:t>any</w:t>
      </w:r>
      <w:r>
        <w:rPr>
          <w:spacing w:val="-1"/>
          <w:w w:val="95"/>
        </w:rPr>
        <w:t xml:space="preserve"> </w:t>
      </w:r>
      <w:r>
        <w:rPr>
          <w:w w:val="95"/>
        </w:rPr>
        <w:t>arrangement</w:t>
      </w:r>
      <w:r>
        <w:rPr>
          <w:spacing w:val="-1"/>
          <w:w w:val="95"/>
        </w:rPr>
        <w:t xml:space="preserve"> </w:t>
      </w:r>
      <w:r>
        <w:rPr>
          <w:w w:val="95"/>
        </w:rPr>
        <w:t xml:space="preserve">would </w:t>
      </w:r>
      <w:r>
        <w:t>be</w:t>
      </w:r>
      <w:r>
        <w:rPr>
          <w:spacing w:val="-7"/>
        </w:rPr>
        <w:t xml:space="preserve"> </w:t>
      </w:r>
      <w:r>
        <w:t>to</w:t>
      </w:r>
      <w:r>
        <w:rPr>
          <w:spacing w:val="-7"/>
        </w:rPr>
        <w:t xml:space="preserve"> </w:t>
      </w:r>
      <w:r>
        <w:t>protect</w:t>
      </w:r>
      <w:r>
        <w:rPr>
          <w:spacing w:val="-7"/>
        </w:rPr>
        <w:t xml:space="preserve"> </w:t>
      </w:r>
      <w:r>
        <w:t>debt</w:t>
      </w:r>
      <w:r>
        <w:rPr>
          <w:spacing w:val="-7"/>
        </w:rPr>
        <w:t xml:space="preserve"> </w:t>
      </w:r>
      <w:r>
        <w:t>from</w:t>
      </w:r>
      <w:r>
        <w:rPr>
          <w:spacing w:val="-8"/>
        </w:rPr>
        <w:t xml:space="preserve"> </w:t>
      </w:r>
      <w:r>
        <w:t>traffic</w:t>
      </w:r>
      <w:r>
        <w:rPr>
          <w:spacing w:val="-7"/>
        </w:rPr>
        <w:t xml:space="preserve"> </w:t>
      </w:r>
      <w:r>
        <w:t>risks</w:t>
      </w:r>
      <w:r>
        <w:rPr>
          <w:spacing w:val="-7"/>
        </w:rPr>
        <w:t xml:space="preserve"> </w:t>
      </w:r>
      <w:r>
        <w:t>and</w:t>
      </w:r>
      <w:r>
        <w:rPr>
          <w:spacing w:val="-7"/>
        </w:rPr>
        <w:t xml:space="preserve"> </w:t>
      </w:r>
      <w:r>
        <w:t>preserve</w:t>
      </w:r>
      <w:r>
        <w:rPr>
          <w:spacing w:val="-7"/>
        </w:rPr>
        <w:t xml:space="preserve"> </w:t>
      </w:r>
      <w:r>
        <w:t>the capital</w:t>
      </w:r>
      <w:r>
        <w:rPr>
          <w:spacing w:val="-6"/>
        </w:rPr>
        <w:t xml:space="preserve"> </w:t>
      </w:r>
      <w:r>
        <w:t>position</w:t>
      </w:r>
      <w:r>
        <w:rPr>
          <w:spacing w:val="-6"/>
        </w:rPr>
        <w:t xml:space="preserve"> </w:t>
      </w:r>
      <w:r>
        <w:t>of</w:t>
      </w:r>
      <w:r>
        <w:rPr>
          <w:spacing w:val="-6"/>
        </w:rPr>
        <w:t xml:space="preserve"> </w:t>
      </w:r>
      <w:r>
        <w:t>equity</w:t>
      </w:r>
      <w:r>
        <w:rPr>
          <w:spacing w:val="-6"/>
        </w:rPr>
        <w:t xml:space="preserve"> </w:t>
      </w:r>
      <w:r>
        <w:t>under</w:t>
      </w:r>
      <w:r>
        <w:rPr>
          <w:spacing w:val="-6"/>
        </w:rPr>
        <w:t xml:space="preserve"> </w:t>
      </w:r>
      <w:r>
        <w:t>downside</w:t>
      </w:r>
      <w:r>
        <w:rPr>
          <w:spacing w:val="-6"/>
        </w:rPr>
        <w:t xml:space="preserve"> </w:t>
      </w:r>
      <w:r>
        <w:t>scenarios.</w:t>
      </w:r>
    </w:p>
    <w:p w:rsidR="002C1123" w:rsidRDefault="00F22F94">
      <w:pPr>
        <w:pStyle w:val="BodyText"/>
        <w:spacing w:before="144" w:line="249" w:lineRule="auto"/>
        <w:ind w:left="189" w:right="782"/>
      </w:pPr>
      <w:r>
        <w:t>At</w:t>
      </w:r>
      <w:r>
        <w:rPr>
          <w:spacing w:val="-14"/>
        </w:rPr>
        <w:t xml:space="preserve"> </w:t>
      </w:r>
      <w:r>
        <w:t>this</w:t>
      </w:r>
      <w:r>
        <w:rPr>
          <w:spacing w:val="-14"/>
        </w:rPr>
        <w:t xml:space="preserve"> </w:t>
      </w:r>
      <w:r>
        <w:t>stage,</w:t>
      </w:r>
      <w:r>
        <w:rPr>
          <w:spacing w:val="-14"/>
        </w:rPr>
        <w:t xml:space="preserve"> </w:t>
      </w:r>
      <w:r>
        <w:t>Infrastructure</w:t>
      </w:r>
      <w:r>
        <w:rPr>
          <w:spacing w:val="-14"/>
        </w:rPr>
        <w:t xml:space="preserve"> </w:t>
      </w:r>
      <w:r>
        <w:t>NSW</w:t>
      </w:r>
      <w:r>
        <w:rPr>
          <w:spacing w:val="-14"/>
        </w:rPr>
        <w:t xml:space="preserve"> </w:t>
      </w:r>
      <w:r>
        <w:t>is</w:t>
      </w:r>
      <w:r>
        <w:rPr>
          <w:spacing w:val="-14"/>
        </w:rPr>
        <w:t xml:space="preserve"> </w:t>
      </w:r>
      <w:r>
        <w:t>of</w:t>
      </w:r>
      <w:r>
        <w:rPr>
          <w:spacing w:val="-14"/>
        </w:rPr>
        <w:t xml:space="preserve"> </w:t>
      </w:r>
      <w:r>
        <w:t>the</w:t>
      </w:r>
      <w:r>
        <w:rPr>
          <w:spacing w:val="-14"/>
        </w:rPr>
        <w:t xml:space="preserve"> </w:t>
      </w:r>
      <w:r>
        <w:t>view</w:t>
      </w:r>
      <w:r>
        <w:rPr>
          <w:spacing w:val="-14"/>
        </w:rPr>
        <w:t xml:space="preserve"> </w:t>
      </w:r>
      <w:r>
        <w:t xml:space="preserve">that </w:t>
      </w:r>
      <w:r>
        <w:rPr>
          <w:w w:val="95"/>
        </w:rPr>
        <w:t xml:space="preserve">significant and substantial components of traffic risk on </w:t>
      </w:r>
      <w:r>
        <w:t>WestConnex</w:t>
      </w:r>
      <w:r>
        <w:rPr>
          <w:spacing w:val="-14"/>
        </w:rPr>
        <w:t xml:space="preserve"> </w:t>
      </w:r>
      <w:r>
        <w:t>can</w:t>
      </w:r>
      <w:r>
        <w:rPr>
          <w:spacing w:val="-14"/>
        </w:rPr>
        <w:t xml:space="preserve"> </w:t>
      </w:r>
      <w:r>
        <w:t>be</w:t>
      </w:r>
      <w:r>
        <w:rPr>
          <w:spacing w:val="-14"/>
        </w:rPr>
        <w:t xml:space="preserve"> </w:t>
      </w:r>
      <w:r>
        <w:t>transferred</w:t>
      </w:r>
      <w:r>
        <w:rPr>
          <w:spacing w:val="-14"/>
        </w:rPr>
        <w:t xml:space="preserve"> </w:t>
      </w:r>
      <w:r>
        <w:t>to</w:t>
      </w:r>
      <w:r>
        <w:rPr>
          <w:spacing w:val="-14"/>
        </w:rPr>
        <w:t xml:space="preserve"> </w:t>
      </w:r>
      <w:r>
        <w:t>the</w:t>
      </w:r>
      <w:r>
        <w:rPr>
          <w:spacing w:val="-14"/>
        </w:rPr>
        <w:t xml:space="preserve"> </w:t>
      </w:r>
      <w:r>
        <w:t>private</w:t>
      </w:r>
      <w:r>
        <w:rPr>
          <w:spacing w:val="-14"/>
        </w:rPr>
        <w:t xml:space="preserve"> </w:t>
      </w:r>
      <w:r>
        <w:t xml:space="preserve">sector. </w:t>
      </w:r>
      <w:r>
        <w:rPr>
          <w:w w:val="95"/>
        </w:rPr>
        <w:t>Subject to Government’s approval for the development of</w:t>
      </w:r>
      <w:r>
        <w:rPr>
          <w:spacing w:val="-8"/>
          <w:w w:val="95"/>
        </w:rPr>
        <w:t xml:space="preserve"> </w:t>
      </w:r>
      <w:r>
        <w:rPr>
          <w:w w:val="95"/>
        </w:rPr>
        <w:t>WestConnex,</w:t>
      </w:r>
      <w:r>
        <w:rPr>
          <w:spacing w:val="-8"/>
          <w:w w:val="95"/>
        </w:rPr>
        <w:t xml:space="preserve"> </w:t>
      </w:r>
      <w:r>
        <w:rPr>
          <w:w w:val="95"/>
        </w:rPr>
        <w:t>Infrastructure</w:t>
      </w:r>
      <w:r>
        <w:rPr>
          <w:spacing w:val="-8"/>
          <w:w w:val="95"/>
        </w:rPr>
        <w:t xml:space="preserve"> </w:t>
      </w:r>
      <w:r>
        <w:rPr>
          <w:w w:val="95"/>
        </w:rPr>
        <w:t>NSW</w:t>
      </w:r>
      <w:r>
        <w:rPr>
          <w:spacing w:val="-8"/>
          <w:w w:val="95"/>
        </w:rPr>
        <w:t xml:space="preserve"> </w:t>
      </w:r>
      <w:r>
        <w:rPr>
          <w:w w:val="95"/>
        </w:rPr>
        <w:t>will</w:t>
      </w:r>
      <w:r>
        <w:rPr>
          <w:spacing w:val="-8"/>
          <w:w w:val="95"/>
        </w:rPr>
        <w:t xml:space="preserve"> </w:t>
      </w:r>
      <w:r>
        <w:rPr>
          <w:w w:val="95"/>
        </w:rPr>
        <w:t>directly</w:t>
      </w:r>
      <w:r>
        <w:rPr>
          <w:spacing w:val="-8"/>
          <w:w w:val="95"/>
        </w:rPr>
        <w:t xml:space="preserve"> </w:t>
      </w:r>
      <w:r>
        <w:rPr>
          <w:w w:val="95"/>
        </w:rPr>
        <w:t xml:space="preserve">engage </w:t>
      </w:r>
      <w:r>
        <w:t>with</w:t>
      </w:r>
      <w:r>
        <w:rPr>
          <w:spacing w:val="-9"/>
        </w:rPr>
        <w:t xml:space="preserve"> </w:t>
      </w:r>
      <w:r>
        <w:t>the</w:t>
      </w:r>
      <w:r>
        <w:rPr>
          <w:spacing w:val="-9"/>
        </w:rPr>
        <w:t xml:space="preserve"> </w:t>
      </w:r>
      <w:r>
        <w:t>market</w:t>
      </w:r>
      <w:r>
        <w:rPr>
          <w:spacing w:val="-9"/>
        </w:rPr>
        <w:t xml:space="preserve"> </w:t>
      </w:r>
      <w:r>
        <w:t>regarding</w:t>
      </w:r>
      <w:r>
        <w:rPr>
          <w:spacing w:val="-9"/>
        </w:rPr>
        <w:t xml:space="preserve"> </w:t>
      </w:r>
      <w:r>
        <w:t>the</w:t>
      </w:r>
      <w:r>
        <w:rPr>
          <w:spacing w:val="-9"/>
        </w:rPr>
        <w:t xml:space="preserve"> </w:t>
      </w:r>
      <w:r>
        <w:t>optimal</w:t>
      </w:r>
      <w:r>
        <w:rPr>
          <w:spacing w:val="-9"/>
        </w:rPr>
        <w:t xml:space="preserve"> </w:t>
      </w:r>
      <w:r>
        <w:t>mechanism</w:t>
      </w:r>
      <w:r>
        <w:rPr>
          <w:spacing w:val="-10"/>
        </w:rPr>
        <w:t xml:space="preserve"> </w:t>
      </w:r>
      <w:r>
        <w:t>for transferring</w:t>
      </w:r>
      <w:r>
        <w:rPr>
          <w:spacing w:val="-14"/>
        </w:rPr>
        <w:t xml:space="preserve"> </w:t>
      </w:r>
      <w:r>
        <w:t>patronage</w:t>
      </w:r>
      <w:r>
        <w:rPr>
          <w:spacing w:val="-14"/>
        </w:rPr>
        <w:t xml:space="preserve"> </w:t>
      </w:r>
      <w:r>
        <w:t>risks</w:t>
      </w:r>
      <w:r>
        <w:rPr>
          <w:spacing w:val="-14"/>
        </w:rPr>
        <w:t xml:space="preserve"> </w:t>
      </w:r>
      <w:r>
        <w:t>to</w:t>
      </w:r>
      <w:r>
        <w:rPr>
          <w:spacing w:val="-14"/>
        </w:rPr>
        <w:t xml:space="preserve"> </w:t>
      </w:r>
      <w:r>
        <w:t>the</w:t>
      </w:r>
      <w:r>
        <w:rPr>
          <w:spacing w:val="-14"/>
        </w:rPr>
        <w:t xml:space="preserve"> </w:t>
      </w:r>
      <w:r>
        <w:t>private</w:t>
      </w:r>
      <w:r>
        <w:rPr>
          <w:spacing w:val="-14"/>
        </w:rPr>
        <w:t xml:space="preserve"> </w:t>
      </w:r>
      <w:r>
        <w:t>sector.</w:t>
      </w:r>
    </w:p>
    <w:p w:rsidR="002C1123" w:rsidRDefault="00F22F94">
      <w:pPr>
        <w:pStyle w:val="Heading6"/>
        <w:numPr>
          <w:ilvl w:val="2"/>
          <w:numId w:val="24"/>
        </w:numPr>
        <w:tabs>
          <w:tab w:val="left" w:pos="785"/>
        </w:tabs>
        <w:spacing w:before="148"/>
        <w:ind w:left="784" w:hanging="596"/>
        <w:jc w:val="left"/>
      </w:pPr>
      <w:r>
        <w:rPr>
          <w:color w:val="00AEEF"/>
          <w:spacing w:val="-2"/>
        </w:rPr>
        <w:t>Procurement</w:t>
      </w:r>
    </w:p>
    <w:p w:rsidR="002C1123" w:rsidRDefault="00F22F94">
      <w:pPr>
        <w:pStyle w:val="BodyText"/>
        <w:spacing w:before="95" w:line="249" w:lineRule="auto"/>
        <w:ind w:left="189" w:right="663"/>
      </w:pPr>
      <w:r>
        <w:t>A</w:t>
      </w:r>
      <w:r>
        <w:rPr>
          <w:spacing w:val="-10"/>
        </w:rPr>
        <w:t xml:space="preserve"> </w:t>
      </w:r>
      <w:r>
        <w:t>disciplined</w:t>
      </w:r>
      <w:r>
        <w:rPr>
          <w:spacing w:val="-10"/>
        </w:rPr>
        <w:t xml:space="preserve"> </w:t>
      </w:r>
      <w:r>
        <w:t>procurement</w:t>
      </w:r>
      <w:r>
        <w:rPr>
          <w:spacing w:val="-10"/>
        </w:rPr>
        <w:t xml:space="preserve"> </w:t>
      </w:r>
      <w:r>
        <w:t>approach</w:t>
      </w:r>
      <w:r>
        <w:rPr>
          <w:spacing w:val="-10"/>
        </w:rPr>
        <w:t xml:space="preserve"> </w:t>
      </w:r>
      <w:r>
        <w:t>is</w:t>
      </w:r>
      <w:r>
        <w:rPr>
          <w:spacing w:val="-10"/>
        </w:rPr>
        <w:t xml:space="preserve"> </w:t>
      </w:r>
      <w:r>
        <w:t>essential</w:t>
      </w:r>
      <w:r>
        <w:rPr>
          <w:spacing w:val="-10"/>
        </w:rPr>
        <w:t xml:space="preserve"> </w:t>
      </w:r>
      <w:r>
        <w:t>if WestConnex</w:t>
      </w:r>
      <w:r>
        <w:rPr>
          <w:spacing w:val="-10"/>
        </w:rPr>
        <w:t xml:space="preserve"> </w:t>
      </w:r>
      <w:r>
        <w:t>is</w:t>
      </w:r>
      <w:r>
        <w:rPr>
          <w:spacing w:val="-10"/>
        </w:rPr>
        <w:t xml:space="preserve"> </w:t>
      </w:r>
      <w:r>
        <w:t>to</w:t>
      </w:r>
      <w:r>
        <w:rPr>
          <w:spacing w:val="-10"/>
        </w:rPr>
        <w:t xml:space="preserve"> </w:t>
      </w:r>
      <w:r>
        <w:t>be</w:t>
      </w:r>
      <w:r>
        <w:rPr>
          <w:spacing w:val="-10"/>
        </w:rPr>
        <w:t xml:space="preserve"> </w:t>
      </w:r>
      <w:r>
        <w:t>delivered</w:t>
      </w:r>
      <w:r>
        <w:rPr>
          <w:spacing w:val="-10"/>
        </w:rPr>
        <w:t xml:space="preserve"> </w:t>
      </w:r>
      <w:r>
        <w:t>within</w:t>
      </w:r>
      <w:r>
        <w:rPr>
          <w:spacing w:val="-10"/>
        </w:rPr>
        <w:t xml:space="preserve"> </w:t>
      </w:r>
      <w:r>
        <w:t>the</w:t>
      </w:r>
      <w:r>
        <w:rPr>
          <w:spacing w:val="-10"/>
        </w:rPr>
        <w:t xml:space="preserve"> </w:t>
      </w:r>
      <w:r>
        <w:t>budget nominated</w:t>
      </w:r>
      <w:r>
        <w:rPr>
          <w:spacing w:val="-14"/>
        </w:rPr>
        <w:t xml:space="preserve"> </w:t>
      </w:r>
      <w:r>
        <w:t>by</w:t>
      </w:r>
      <w:r>
        <w:rPr>
          <w:spacing w:val="-14"/>
        </w:rPr>
        <w:t xml:space="preserve"> </w:t>
      </w:r>
      <w:r>
        <w:t>Infrastructure</w:t>
      </w:r>
      <w:r>
        <w:rPr>
          <w:spacing w:val="-14"/>
        </w:rPr>
        <w:t xml:space="preserve"> </w:t>
      </w:r>
      <w:r>
        <w:t>NSW.</w:t>
      </w:r>
      <w:r>
        <w:rPr>
          <w:spacing w:val="-14"/>
        </w:rPr>
        <w:t xml:space="preserve"> </w:t>
      </w:r>
      <w:r>
        <w:t>The</w:t>
      </w:r>
      <w:r>
        <w:rPr>
          <w:spacing w:val="-14"/>
        </w:rPr>
        <w:t xml:space="preserve"> </w:t>
      </w:r>
      <w:r>
        <w:t xml:space="preserve">procurement </w:t>
      </w:r>
      <w:r>
        <w:rPr>
          <w:w w:val="95"/>
        </w:rPr>
        <w:t>structure</w:t>
      </w:r>
      <w:r>
        <w:rPr>
          <w:spacing w:val="-1"/>
          <w:w w:val="95"/>
        </w:rPr>
        <w:t xml:space="preserve"> </w:t>
      </w:r>
      <w:r>
        <w:rPr>
          <w:w w:val="95"/>
        </w:rPr>
        <w:t>must</w:t>
      </w:r>
      <w:r>
        <w:rPr>
          <w:spacing w:val="-1"/>
          <w:w w:val="95"/>
        </w:rPr>
        <w:t xml:space="preserve"> </w:t>
      </w:r>
      <w:r>
        <w:rPr>
          <w:w w:val="95"/>
        </w:rPr>
        <w:t>have</w:t>
      </w:r>
      <w:r>
        <w:rPr>
          <w:spacing w:val="-1"/>
          <w:w w:val="95"/>
        </w:rPr>
        <w:t xml:space="preserve"> </w:t>
      </w:r>
      <w:r>
        <w:rPr>
          <w:w w:val="95"/>
        </w:rPr>
        <w:t>a</w:t>
      </w:r>
      <w:r>
        <w:rPr>
          <w:spacing w:val="-1"/>
          <w:w w:val="95"/>
        </w:rPr>
        <w:t xml:space="preserve"> </w:t>
      </w:r>
      <w:r>
        <w:rPr>
          <w:w w:val="95"/>
        </w:rPr>
        <w:t>rigorous</w:t>
      </w:r>
      <w:r>
        <w:rPr>
          <w:spacing w:val="-1"/>
          <w:w w:val="95"/>
        </w:rPr>
        <w:t xml:space="preserve"> </w:t>
      </w:r>
      <w:r>
        <w:rPr>
          <w:w w:val="95"/>
        </w:rPr>
        <w:t>focus</w:t>
      </w:r>
      <w:r>
        <w:rPr>
          <w:spacing w:val="-1"/>
          <w:w w:val="95"/>
        </w:rPr>
        <w:t xml:space="preserve"> </w:t>
      </w:r>
      <w:r>
        <w:rPr>
          <w:w w:val="95"/>
        </w:rPr>
        <w:t>on</w:t>
      </w:r>
      <w:r>
        <w:rPr>
          <w:spacing w:val="-1"/>
          <w:w w:val="95"/>
        </w:rPr>
        <w:t xml:space="preserve"> </w:t>
      </w:r>
      <w:r>
        <w:rPr>
          <w:w w:val="95"/>
        </w:rPr>
        <w:t>achieving</w:t>
      </w:r>
      <w:r>
        <w:rPr>
          <w:spacing w:val="-1"/>
          <w:w w:val="95"/>
        </w:rPr>
        <w:t xml:space="preserve"> </w:t>
      </w:r>
      <w:r>
        <w:rPr>
          <w:w w:val="95"/>
        </w:rPr>
        <w:t>the core</w:t>
      </w:r>
      <w:r>
        <w:rPr>
          <w:spacing w:val="-3"/>
          <w:w w:val="95"/>
        </w:rPr>
        <w:t xml:space="preserve"> </w:t>
      </w:r>
      <w:r>
        <w:rPr>
          <w:w w:val="95"/>
        </w:rPr>
        <w:t>project</w:t>
      </w:r>
      <w:r>
        <w:rPr>
          <w:spacing w:val="-2"/>
          <w:w w:val="95"/>
        </w:rPr>
        <w:t xml:space="preserve"> </w:t>
      </w:r>
      <w:r>
        <w:rPr>
          <w:w w:val="95"/>
        </w:rPr>
        <w:t>outcomes</w:t>
      </w:r>
      <w:r>
        <w:rPr>
          <w:spacing w:val="-3"/>
          <w:w w:val="95"/>
        </w:rPr>
        <w:t xml:space="preserve"> </w:t>
      </w:r>
      <w:r>
        <w:rPr>
          <w:w w:val="95"/>
        </w:rPr>
        <w:t>and</w:t>
      </w:r>
      <w:r>
        <w:rPr>
          <w:spacing w:val="-2"/>
          <w:w w:val="95"/>
        </w:rPr>
        <w:t xml:space="preserve"> </w:t>
      </w:r>
      <w:r>
        <w:rPr>
          <w:w w:val="95"/>
        </w:rPr>
        <w:t>providing</w:t>
      </w:r>
      <w:r>
        <w:rPr>
          <w:spacing w:val="-3"/>
          <w:w w:val="95"/>
        </w:rPr>
        <w:t xml:space="preserve"> </w:t>
      </w:r>
      <w:r>
        <w:rPr>
          <w:w w:val="95"/>
        </w:rPr>
        <w:t>value</w:t>
      </w:r>
      <w:r>
        <w:rPr>
          <w:spacing w:val="-2"/>
          <w:w w:val="95"/>
        </w:rPr>
        <w:t xml:space="preserve"> </w:t>
      </w:r>
      <w:r>
        <w:rPr>
          <w:w w:val="95"/>
        </w:rPr>
        <w:t>for</w:t>
      </w:r>
      <w:r>
        <w:rPr>
          <w:spacing w:val="-2"/>
          <w:w w:val="95"/>
        </w:rPr>
        <w:t xml:space="preserve"> money.</w:t>
      </w:r>
    </w:p>
    <w:p w:rsidR="002C1123" w:rsidRDefault="00F22F94">
      <w:pPr>
        <w:pStyle w:val="BodyText"/>
        <w:spacing w:before="146" w:line="249" w:lineRule="auto"/>
        <w:ind w:left="189" w:right="756"/>
      </w:pPr>
      <w:r>
        <w:t>Accordingly</w:t>
      </w:r>
      <w:r>
        <w:rPr>
          <w:spacing w:val="-6"/>
        </w:rPr>
        <w:t xml:space="preserve"> </w:t>
      </w:r>
      <w:r>
        <w:t>Infrastructure</w:t>
      </w:r>
      <w:r>
        <w:rPr>
          <w:spacing w:val="-6"/>
        </w:rPr>
        <w:t xml:space="preserve"> </w:t>
      </w:r>
      <w:r>
        <w:t>NSW</w:t>
      </w:r>
      <w:r>
        <w:rPr>
          <w:spacing w:val="-6"/>
        </w:rPr>
        <w:t xml:space="preserve"> </w:t>
      </w:r>
      <w:r>
        <w:t>recommends</w:t>
      </w:r>
      <w:r>
        <w:rPr>
          <w:spacing w:val="-6"/>
        </w:rPr>
        <w:t xml:space="preserve"> </w:t>
      </w:r>
      <w:r>
        <w:t xml:space="preserve">that </w:t>
      </w:r>
      <w:r>
        <w:rPr>
          <w:w w:val="95"/>
        </w:rPr>
        <w:t>WestConnex</w:t>
      </w:r>
      <w:r>
        <w:rPr>
          <w:spacing w:val="-7"/>
          <w:w w:val="95"/>
        </w:rPr>
        <w:t xml:space="preserve"> </w:t>
      </w:r>
      <w:r>
        <w:rPr>
          <w:w w:val="95"/>
        </w:rPr>
        <w:t>be</w:t>
      </w:r>
      <w:r>
        <w:rPr>
          <w:spacing w:val="-7"/>
          <w:w w:val="95"/>
        </w:rPr>
        <w:t xml:space="preserve"> </w:t>
      </w:r>
      <w:r>
        <w:rPr>
          <w:w w:val="95"/>
        </w:rPr>
        <w:t>delivered</w:t>
      </w:r>
      <w:r>
        <w:rPr>
          <w:spacing w:val="-7"/>
          <w:w w:val="95"/>
        </w:rPr>
        <w:t xml:space="preserve"> </w:t>
      </w:r>
      <w:r>
        <w:rPr>
          <w:w w:val="95"/>
        </w:rPr>
        <w:t>by</w:t>
      </w:r>
      <w:r>
        <w:rPr>
          <w:spacing w:val="-7"/>
          <w:w w:val="95"/>
        </w:rPr>
        <w:t xml:space="preserve"> </w:t>
      </w:r>
      <w:r>
        <w:rPr>
          <w:w w:val="95"/>
        </w:rPr>
        <w:t>a</w:t>
      </w:r>
      <w:r>
        <w:rPr>
          <w:spacing w:val="-7"/>
          <w:w w:val="95"/>
        </w:rPr>
        <w:t xml:space="preserve"> </w:t>
      </w:r>
      <w:r>
        <w:rPr>
          <w:w w:val="95"/>
        </w:rPr>
        <w:t>special</w:t>
      </w:r>
      <w:r>
        <w:rPr>
          <w:spacing w:val="-7"/>
          <w:w w:val="95"/>
        </w:rPr>
        <w:t xml:space="preserve"> </w:t>
      </w:r>
      <w:r>
        <w:rPr>
          <w:w w:val="95"/>
        </w:rPr>
        <w:t>purpose</w:t>
      </w:r>
      <w:r>
        <w:rPr>
          <w:spacing w:val="-7"/>
          <w:w w:val="95"/>
        </w:rPr>
        <w:t xml:space="preserve"> </w:t>
      </w:r>
      <w:r>
        <w:rPr>
          <w:w w:val="95"/>
        </w:rPr>
        <w:t xml:space="preserve">vehicle, with a project team blending skills across Government </w:t>
      </w:r>
      <w:r>
        <w:t>supported</w:t>
      </w:r>
      <w:r>
        <w:rPr>
          <w:spacing w:val="-6"/>
        </w:rPr>
        <w:t xml:space="preserve"> </w:t>
      </w:r>
      <w:r>
        <w:t>by</w:t>
      </w:r>
      <w:r>
        <w:rPr>
          <w:spacing w:val="-6"/>
        </w:rPr>
        <w:t xml:space="preserve"> </w:t>
      </w:r>
      <w:r>
        <w:t>private</w:t>
      </w:r>
      <w:r>
        <w:rPr>
          <w:spacing w:val="-6"/>
        </w:rPr>
        <w:t xml:space="preserve"> </w:t>
      </w:r>
      <w:r>
        <w:t>sector</w:t>
      </w:r>
      <w:r>
        <w:rPr>
          <w:spacing w:val="-6"/>
        </w:rPr>
        <w:t xml:space="preserve"> </w:t>
      </w:r>
      <w:r>
        <w:t>consultants.</w:t>
      </w:r>
      <w:r>
        <w:rPr>
          <w:spacing w:val="-6"/>
        </w:rPr>
        <w:t xml:space="preserve"> </w:t>
      </w:r>
      <w:r>
        <w:t>Under</w:t>
      </w:r>
      <w:r>
        <w:rPr>
          <w:spacing w:val="-6"/>
        </w:rPr>
        <w:t xml:space="preserve"> </w:t>
      </w:r>
      <w:r>
        <w:t>this model,</w:t>
      </w:r>
      <w:r>
        <w:rPr>
          <w:spacing w:val="-11"/>
        </w:rPr>
        <w:t xml:space="preserve"> </w:t>
      </w:r>
      <w:r>
        <w:t>TfNSW</w:t>
      </w:r>
      <w:r>
        <w:rPr>
          <w:spacing w:val="-11"/>
        </w:rPr>
        <w:t xml:space="preserve"> </w:t>
      </w:r>
      <w:r>
        <w:t>will</w:t>
      </w:r>
      <w:r>
        <w:rPr>
          <w:spacing w:val="-11"/>
        </w:rPr>
        <w:t xml:space="preserve"> </w:t>
      </w:r>
      <w:r>
        <w:t>take</w:t>
      </w:r>
      <w:r>
        <w:rPr>
          <w:spacing w:val="-11"/>
        </w:rPr>
        <w:t xml:space="preserve"> </w:t>
      </w:r>
      <w:r>
        <w:t>on</w:t>
      </w:r>
      <w:r>
        <w:rPr>
          <w:spacing w:val="-11"/>
        </w:rPr>
        <w:t xml:space="preserve"> </w:t>
      </w:r>
      <w:r>
        <w:t>a</w:t>
      </w:r>
      <w:r>
        <w:rPr>
          <w:spacing w:val="-11"/>
        </w:rPr>
        <w:t xml:space="preserve"> </w:t>
      </w:r>
      <w:r>
        <w:t>client</w:t>
      </w:r>
      <w:r>
        <w:rPr>
          <w:spacing w:val="-11"/>
        </w:rPr>
        <w:t xml:space="preserve"> </w:t>
      </w:r>
      <w:r>
        <w:t>role.</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277" w:space="40"/>
            <w:col w:w="5000" w:space="39"/>
            <w:col w:w="5704"/>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BodyText"/>
        <w:spacing w:before="106" w:line="249" w:lineRule="auto"/>
        <w:ind w:left="492"/>
      </w:pPr>
      <w:bookmarkStart w:id="414" w:name="16.5_Infrastructure_NSW:_next_steps"/>
      <w:bookmarkStart w:id="415" w:name="_bookmark296"/>
      <w:bookmarkStart w:id="416" w:name="_bookmark295"/>
      <w:bookmarkEnd w:id="414"/>
      <w:bookmarkEnd w:id="415"/>
      <w:bookmarkEnd w:id="416"/>
      <w:r>
        <w:t>Innovation</w:t>
      </w:r>
      <w:r>
        <w:rPr>
          <w:spacing w:val="-14"/>
        </w:rPr>
        <w:t xml:space="preserve"> </w:t>
      </w:r>
      <w:r>
        <w:t>will</w:t>
      </w:r>
      <w:r>
        <w:rPr>
          <w:spacing w:val="-14"/>
        </w:rPr>
        <w:t xml:space="preserve"> </w:t>
      </w:r>
      <w:r>
        <w:t>be</w:t>
      </w:r>
      <w:r>
        <w:rPr>
          <w:spacing w:val="-14"/>
        </w:rPr>
        <w:t xml:space="preserve"> </w:t>
      </w:r>
      <w:r>
        <w:t>critical</w:t>
      </w:r>
      <w:r>
        <w:rPr>
          <w:spacing w:val="-14"/>
        </w:rPr>
        <w:t xml:space="preserve"> </w:t>
      </w:r>
      <w:r>
        <w:t>to</w:t>
      </w:r>
      <w:r>
        <w:rPr>
          <w:spacing w:val="-14"/>
        </w:rPr>
        <w:t xml:space="preserve"> </w:t>
      </w:r>
      <w:r>
        <w:t>the</w:t>
      </w:r>
      <w:r>
        <w:rPr>
          <w:spacing w:val="-14"/>
        </w:rPr>
        <w:t xml:space="preserve"> </w:t>
      </w:r>
      <w:r>
        <w:t>successful</w:t>
      </w:r>
      <w:r>
        <w:rPr>
          <w:spacing w:val="-14"/>
        </w:rPr>
        <w:t xml:space="preserve"> </w:t>
      </w:r>
      <w:r>
        <w:t>delivery</w:t>
      </w:r>
      <w:r>
        <w:rPr>
          <w:spacing w:val="-14"/>
        </w:rPr>
        <w:t xml:space="preserve"> </w:t>
      </w:r>
      <w:r>
        <w:t>of WestConnex.</w:t>
      </w:r>
      <w:r>
        <w:rPr>
          <w:spacing w:val="-14"/>
        </w:rPr>
        <w:t xml:space="preserve"> </w:t>
      </w:r>
      <w:r>
        <w:t>New</w:t>
      </w:r>
      <w:r>
        <w:rPr>
          <w:spacing w:val="-14"/>
        </w:rPr>
        <w:t xml:space="preserve"> </w:t>
      </w:r>
      <w:r>
        <w:t>ideas</w:t>
      </w:r>
      <w:r>
        <w:rPr>
          <w:spacing w:val="-14"/>
        </w:rPr>
        <w:t xml:space="preserve"> </w:t>
      </w:r>
      <w:r>
        <w:t>are</w:t>
      </w:r>
      <w:r>
        <w:rPr>
          <w:spacing w:val="-14"/>
        </w:rPr>
        <w:t xml:space="preserve"> </w:t>
      </w:r>
      <w:r>
        <w:t>required</w:t>
      </w:r>
      <w:r>
        <w:rPr>
          <w:spacing w:val="-14"/>
        </w:rPr>
        <w:t xml:space="preserve"> </w:t>
      </w:r>
      <w:r>
        <w:t>to</w:t>
      </w:r>
      <w:r>
        <w:rPr>
          <w:spacing w:val="-14"/>
        </w:rPr>
        <w:t xml:space="preserve"> </w:t>
      </w:r>
      <w:r>
        <w:t>minimise</w:t>
      </w:r>
      <w:r>
        <w:rPr>
          <w:spacing w:val="-14"/>
        </w:rPr>
        <w:t xml:space="preserve"> </w:t>
      </w:r>
      <w:r>
        <w:t xml:space="preserve">the </w:t>
      </w:r>
      <w:r>
        <w:rPr>
          <w:w w:val="95"/>
        </w:rPr>
        <w:t>capital cost of the project, and optimise the traffic flows within</w:t>
      </w:r>
      <w:r>
        <w:rPr>
          <w:spacing w:val="-3"/>
          <w:w w:val="95"/>
        </w:rPr>
        <w:t xml:space="preserve"> </w:t>
      </w:r>
      <w:r>
        <w:rPr>
          <w:w w:val="95"/>
        </w:rPr>
        <w:t>a</w:t>
      </w:r>
      <w:r>
        <w:rPr>
          <w:spacing w:val="-3"/>
          <w:w w:val="95"/>
        </w:rPr>
        <w:t xml:space="preserve"> </w:t>
      </w:r>
      <w:r>
        <w:rPr>
          <w:w w:val="95"/>
        </w:rPr>
        <w:t>complex</w:t>
      </w:r>
      <w:r>
        <w:rPr>
          <w:spacing w:val="-3"/>
          <w:w w:val="95"/>
        </w:rPr>
        <w:t xml:space="preserve"> </w:t>
      </w:r>
      <w:r>
        <w:rPr>
          <w:w w:val="95"/>
        </w:rPr>
        <w:t>urban</w:t>
      </w:r>
      <w:r>
        <w:rPr>
          <w:spacing w:val="-3"/>
          <w:w w:val="95"/>
        </w:rPr>
        <w:t xml:space="preserve"> </w:t>
      </w:r>
      <w:r>
        <w:rPr>
          <w:w w:val="95"/>
        </w:rPr>
        <w:t>environment.</w:t>
      </w:r>
      <w:r>
        <w:rPr>
          <w:spacing w:val="-3"/>
          <w:w w:val="95"/>
        </w:rPr>
        <w:t xml:space="preserve"> </w:t>
      </w:r>
      <w:r>
        <w:rPr>
          <w:w w:val="95"/>
        </w:rPr>
        <w:t>Accordingly,</w:t>
      </w:r>
      <w:r>
        <w:rPr>
          <w:spacing w:val="-3"/>
          <w:w w:val="95"/>
        </w:rPr>
        <w:t xml:space="preserve"> </w:t>
      </w:r>
      <w:r>
        <w:rPr>
          <w:w w:val="95"/>
        </w:rPr>
        <w:t xml:space="preserve">great </w:t>
      </w:r>
      <w:r>
        <w:t>care</w:t>
      </w:r>
      <w:r>
        <w:rPr>
          <w:spacing w:val="-11"/>
        </w:rPr>
        <w:t xml:space="preserve"> </w:t>
      </w:r>
      <w:r>
        <w:t>needs</w:t>
      </w:r>
      <w:r>
        <w:rPr>
          <w:spacing w:val="-11"/>
        </w:rPr>
        <w:t xml:space="preserve"> </w:t>
      </w:r>
      <w:r>
        <w:t>to</w:t>
      </w:r>
      <w:r>
        <w:rPr>
          <w:spacing w:val="-11"/>
        </w:rPr>
        <w:t xml:space="preserve"> </w:t>
      </w:r>
      <w:r>
        <w:t>be</w:t>
      </w:r>
      <w:r>
        <w:rPr>
          <w:spacing w:val="-11"/>
        </w:rPr>
        <w:t xml:space="preserve"> </w:t>
      </w:r>
      <w:r>
        <w:t>taken</w:t>
      </w:r>
      <w:r>
        <w:rPr>
          <w:spacing w:val="-11"/>
        </w:rPr>
        <w:t xml:space="preserve"> </w:t>
      </w:r>
      <w:r>
        <w:t>to</w:t>
      </w:r>
      <w:r>
        <w:rPr>
          <w:spacing w:val="-11"/>
        </w:rPr>
        <w:t xml:space="preserve"> </w:t>
      </w:r>
      <w:r>
        <w:t>define</w:t>
      </w:r>
      <w:r>
        <w:rPr>
          <w:spacing w:val="-11"/>
        </w:rPr>
        <w:t xml:space="preserve"> </w:t>
      </w:r>
      <w:r>
        <w:t>the</w:t>
      </w:r>
      <w:r>
        <w:rPr>
          <w:spacing w:val="-11"/>
        </w:rPr>
        <w:t xml:space="preserve"> </w:t>
      </w:r>
      <w:r>
        <w:t>minimum</w:t>
      </w:r>
      <w:r>
        <w:rPr>
          <w:spacing w:val="-11"/>
        </w:rPr>
        <w:t xml:space="preserve"> </w:t>
      </w:r>
      <w:r>
        <w:t>set</w:t>
      </w:r>
      <w:r>
        <w:rPr>
          <w:spacing w:val="-11"/>
        </w:rPr>
        <w:t xml:space="preserve"> </w:t>
      </w:r>
      <w:r>
        <w:t>of mandatory</w:t>
      </w:r>
      <w:r>
        <w:rPr>
          <w:spacing w:val="-10"/>
        </w:rPr>
        <w:t xml:space="preserve"> </w:t>
      </w:r>
      <w:r>
        <w:t>criteria</w:t>
      </w:r>
      <w:r>
        <w:rPr>
          <w:spacing w:val="-10"/>
        </w:rPr>
        <w:t xml:space="preserve"> </w:t>
      </w:r>
      <w:r>
        <w:t>that</w:t>
      </w:r>
      <w:r>
        <w:rPr>
          <w:spacing w:val="-10"/>
        </w:rPr>
        <w:t xml:space="preserve"> </w:t>
      </w:r>
      <w:r>
        <w:t>is</w:t>
      </w:r>
      <w:r>
        <w:rPr>
          <w:spacing w:val="-10"/>
        </w:rPr>
        <w:t xml:space="preserve"> </w:t>
      </w:r>
      <w:r>
        <w:t>presented</w:t>
      </w:r>
      <w:r>
        <w:rPr>
          <w:spacing w:val="-10"/>
        </w:rPr>
        <w:t xml:space="preserve"> </w:t>
      </w:r>
      <w:r>
        <w:t>to</w:t>
      </w:r>
      <w:r>
        <w:rPr>
          <w:spacing w:val="-10"/>
        </w:rPr>
        <w:t xml:space="preserve"> </w:t>
      </w:r>
      <w:r>
        <w:t>the</w:t>
      </w:r>
      <w:r>
        <w:rPr>
          <w:spacing w:val="-10"/>
        </w:rPr>
        <w:t xml:space="preserve"> </w:t>
      </w:r>
      <w:r>
        <w:t>market.</w:t>
      </w:r>
    </w:p>
    <w:p w:rsidR="002C1123" w:rsidRDefault="00F22F94">
      <w:pPr>
        <w:pStyle w:val="BodyText"/>
        <w:spacing w:before="147" w:line="249" w:lineRule="auto"/>
        <w:ind w:left="492" w:right="137"/>
      </w:pPr>
      <w:r>
        <w:t>To</w:t>
      </w:r>
      <w:r>
        <w:rPr>
          <w:spacing w:val="-12"/>
        </w:rPr>
        <w:t xml:space="preserve"> </w:t>
      </w:r>
      <w:r>
        <w:t>accommodate</w:t>
      </w:r>
      <w:r>
        <w:rPr>
          <w:spacing w:val="-12"/>
        </w:rPr>
        <w:t xml:space="preserve"> </w:t>
      </w:r>
      <w:r>
        <w:t>this</w:t>
      </w:r>
      <w:r>
        <w:rPr>
          <w:spacing w:val="-12"/>
        </w:rPr>
        <w:t xml:space="preserve"> </w:t>
      </w:r>
      <w:r>
        <w:t>new</w:t>
      </w:r>
      <w:r>
        <w:rPr>
          <w:spacing w:val="-12"/>
        </w:rPr>
        <w:t xml:space="preserve"> </w:t>
      </w:r>
      <w:r>
        <w:t>approach,</w:t>
      </w:r>
      <w:r>
        <w:rPr>
          <w:spacing w:val="-12"/>
        </w:rPr>
        <w:t xml:space="preserve"> </w:t>
      </w:r>
      <w:r>
        <w:t>it</w:t>
      </w:r>
      <w:r>
        <w:rPr>
          <w:spacing w:val="-12"/>
        </w:rPr>
        <w:t xml:space="preserve"> </w:t>
      </w:r>
      <w:r>
        <w:t>is</w:t>
      </w:r>
      <w:r>
        <w:rPr>
          <w:spacing w:val="-12"/>
        </w:rPr>
        <w:t xml:space="preserve"> </w:t>
      </w:r>
      <w:r>
        <w:t>likely</w:t>
      </w:r>
      <w:r>
        <w:rPr>
          <w:spacing w:val="-12"/>
        </w:rPr>
        <w:t xml:space="preserve"> </w:t>
      </w:r>
      <w:r>
        <w:t>that the</w:t>
      </w:r>
      <w:r>
        <w:rPr>
          <w:spacing w:val="-10"/>
        </w:rPr>
        <w:t xml:space="preserve"> </w:t>
      </w:r>
      <w:r>
        <w:t>traditional</w:t>
      </w:r>
      <w:r>
        <w:rPr>
          <w:spacing w:val="-10"/>
        </w:rPr>
        <w:t xml:space="preserve"> </w:t>
      </w:r>
      <w:r>
        <w:t>approach</w:t>
      </w:r>
      <w:r>
        <w:rPr>
          <w:spacing w:val="-10"/>
        </w:rPr>
        <w:t xml:space="preserve"> </w:t>
      </w:r>
      <w:r>
        <w:t>to</w:t>
      </w:r>
      <w:r>
        <w:rPr>
          <w:spacing w:val="-10"/>
        </w:rPr>
        <w:t xml:space="preserve"> </w:t>
      </w:r>
      <w:r>
        <w:t>Environmental</w:t>
      </w:r>
      <w:r>
        <w:rPr>
          <w:spacing w:val="-10"/>
        </w:rPr>
        <w:t xml:space="preserve"> </w:t>
      </w:r>
      <w:r>
        <w:t>Impact Statements</w:t>
      </w:r>
      <w:r>
        <w:rPr>
          <w:spacing w:val="-6"/>
        </w:rPr>
        <w:t xml:space="preserve"> </w:t>
      </w:r>
      <w:r>
        <w:t>will</w:t>
      </w:r>
      <w:r>
        <w:rPr>
          <w:spacing w:val="-6"/>
        </w:rPr>
        <w:t xml:space="preserve"> </w:t>
      </w:r>
      <w:r>
        <w:t>need</w:t>
      </w:r>
      <w:r>
        <w:rPr>
          <w:spacing w:val="-6"/>
        </w:rPr>
        <w:t xml:space="preserve"> </w:t>
      </w:r>
      <w:r>
        <w:t>to</w:t>
      </w:r>
      <w:r>
        <w:rPr>
          <w:spacing w:val="-6"/>
        </w:rPr>
        <w:t xml:space="preserve"> </w:t>
      </w:r>
      <w:r>
        <w:t>be</w:t>
      </w:r>
      <w:r>
        <w:rPr>
          <w:spacing w:val="-6"/>
        </w:rPr>
        <w:t xml:space="preserve"> </w:t>
      </w:r>
      <w:r>
        <w:t>amended.</w:t>
      </w:r>
      <w:r>
        <w:rPr>
          <w:spacing w:val="-6"/>
        </w:rPr>
        <w:t xml:space="preserve"> </w:t>
      </w:r>
      <w:r>
        <w:t>Subject</w:t>
      </w:r>
      <w:r>
        <w:rPr>
          <w:spacing w:val="-6"/>
        </w:rPr>
        <w:t xml:space="preserve"> </w:t>
      </w:r>
      <w:r>
        <w:t>to consultation</w:t>
      </w:r>
      <w:r>
        <w:rPr>
          <w:spacing w:val="-6"/>
        </w:rPr>
        <w:t xml:space="preserve"> </w:t>
      </w:r>
      <w:r>
        <w:t>with</w:t>
      </w:r>
      <w:r>
        <w:rPr>
          <w:spacing w:val="-6"/>
        </w:rPr>
        <w:t xml:space="preserve"> </w:t>
      </w:r>
      <w:r>
        <w:t>the</w:t>
      </w:r>
      <w:r>
        <w:rPr>
          <w:spacing w:val="-6"/>
        </w:rPr>
        <w:t xml:space="preserve"> </w:t>
      </w:r>
      <w:r>
        <w:t>Department</w:t>
      </w:r>
      <w:r>
        <w:rPr>
          <w:spacing w:val="-6"/>
        </w:rPr>
        <w:t xml:space="preserve"> </w:t>
      </w:r>
      <w:r>
        <w:t>of</w:t>
      </w:r>
      <w:r>
        <w:rPr>
          <w:spacing w:val="-6"/>
        </w:rPr>
        <w:t xml:space="preserve"> </w:t>
      </w:r>
      <w:r>
        <w:t>Planning, Infrastructure</w:t>
      </w:r>
      <w:r>
        <w:rPr>
          <w:spacing w:val="-14"/>
        </w:rPr>
        <w:t xml:space="preserve"> </w:t>
      </w:r>
      <w:r>
        <w:t>NSW</w:t>
      </w:r>
      <w:r>
        <w:rPr>
          <w:spacing w:val="-14"/>
        </w:rPr>
        <w:t xml:space="preserve"> </w:t>
      </w:r>
      <w:r>
        <w:t>recommends</w:t>
      </w:r>
      <w:r>
        <w:rPr>
          <w:spacing w:val="-14"/>
        </w:rPr>
        <w:t xml:space="preserve"> </w:t>
      </w:r>
      <w:r>
        <w:t>the</w:t>
      </w:r>
      <w:r>
        <w:rPr>
          <w:spacing w:val="-14"/>
        </w:rPr>
        <w:t xml:space="preserve"> </w:t>
      </w:r>
      <w:r>
        <w:t>development</w:t>
      </w:r>
      <w:r>
        <w:rPr>
          <w:spacing w:val="-14"/>
        </w:rPr>
        <w:t xml:space="preserve"> </w:t>
      </w:r>
      <w:r>
        <w:t xml:space="preserve">of </w:t>
      </w:r>
      <w:r>
        <w:rPr>
          <w:w w:val="95"/>
        </w:rPr>
        <w:t>a</w:t>
      </w:r>
      <w:r>
        <w:rPr>
          <w:spacing w:val="-10"/>
          <w:w w:val="95"/>
        </w:rPr>
        <w:t xml:space="preserve"> </w:t>
      </w:r>
      <w:r>
        <w:rPr>
          <w:w w:val="95"/>
        </w:rPr>
        <w:t>strategic</w:t>
      </w:r>
      <w:r>
        <w:rPr>
          <w:spacing w:val="-9"/>
          <w:w w:val="95"/>
        </w:rPr>
        <w:t xml:space="preserve"> </w:t>
      </w:r>
      <w:r>
        <w:rPr>
          <w:w w:val="95"/>
        </w:rPr>
        <w:t>EIS</w:t>
      </w:r>
      <w:r>
        <w:rPr>
          <w:spacing w:val="-9"/>
          <w:w w:val="95"/>
        </w:rPr>
        <w:t xml:space="preserve"> </w:t>
      </w:r>
      <w:r>
        <w:rPr>
          <w:w w:val="95"/>
        </w:rPr>
        <w:t>across</w:t>
      </w:r>
      <w:r>
        <w:rPr>
          <w:spacing w:val="-9"/>
          <w:w w:val="95"/>
        </w:rPr>
        <w:t xml:space="preserve"> </w:t>
      </w:r>
      <w:r>
        <w:rPr>
          <w:w w:val="95"/>
        </w:rPr>
        <w:t>the</w:t>
      </w:r>
      <w:r>
        <w:rPr>
          <w:spacing w:val="-9"/>
          <w:w w:val="95"/>
        </w:rPr>
        <w:t xml:space="preserve"> </w:t>
      </w:r>
      <w:r>
        <w:rPr>
          <w:w w:val="95"/>
        </w:rPr>
        <w:t>whole</w:t>
      </w:r>
      <w:r>
        <w:rPr>
          <w:spacing w:val="-9"/>
          <w:w w:val="95"/>
        </w:rPr>
        <w:t xml:space="preserve"> </w:t>
      </w:r>
      <w:r>
        <w:rPr>
          <w:w w:val="95"/>
        </w:rPr>
        <w:t>WestConnex</w:t>
      </w:r>
      <w:r>
        <w:rPr>
          <w:spacing w:val="-9"/>
          <w:w w:val="95"/>
        </w:rPr>
        <w:t xml:space="preserve"> </w:t>
      </w:r>
      <w:r>
        <w:rPr>
          <w:spacing w:val="-2"/>
          <w:w w:val="95"/>
        </w:rPr>
        <w:t>scheme,</w:t>
      </w:r>
    </w:p>
    <w:p w:rsidR="002C1123" w:rsidRDefault="00F22F94">
      <w:pPr>
        <w:pStyle w:val="BodyText"/>
        <w:spacing w:before="4" w:line="249" w:lineRule="auto"/>
        <w:ind w:left="492"/>
      </w:pPr>
      <w:r>
        <w:rPr>
          <w:w w:val="95"/>
        </w:rPr>
        <w:t>to</w:t>
      </w:r>
      <w:r>
        <w:rPr>
          <w:spacing w:val="-8"/>
          <w:w w:val="95"/>
        </w:rPr>
        <w:t xml:space="preserve"> </w:t>
      </w:r>
      <w:r>
        <w:rPr>
          <w:w w:val="95"/>
        </w:rPr>
        <w:t>be</w:t>
      </w:r>
      <w:r>
        <w:rPr>
          <w:spacing w:val="-8"/>
          <w:w w:val="95"/>
        </w:rPr>
        <w:t xml:space="preserve"> </w:t>
      </w:r>
      <w:r>
        <w:rPr>
          <w:w w:val="95"/>
        </w:rPr>
        <w:t>followed</w:t>
      </w:r>
      <w:r>
        <w:rPr>
          <w:spacing w:val="-8"/>
          <w:w w:val="95"/>
        </w:rPr>
        <w:t xml:space="preserve"> </w:t>
      </w:r>
      <w:r>
        <w:rPr>
          <w:w w:val="95"/>
        </w:rPr>
        <w:t>by</w:t>
      </w:r>
      <w:r>
        <w:rPr>
          <w:spacing w:val="-8"/>
          <w:w w:val="95"/>
        </w:rPr>
        <w:t xml:space="preserve"> </w:t>
      </w:r>
      <w:r>
        <w:rPr>
          <w:w w:val="95"/>
        </w:rPr>
        <w:t>a</w:t>
      </w:r>
      <w:r>
        <w:rPr>
          <w:spacing w:val="-8"/>
          <w:w w:val="95"/>
        </w:rPr>
        <w:t xml:space="preserve"> </w:t>
      </w:r>
      <w:r>
        <w:rPr>
          <w:w w:val="95"/>
        </w:rPr>
        <w:t>detailed</w:t>
      </w:r>
      <w:r>
        <w:rPr>
          <w:spacing w:val="-8"/>
          <w:w w:val="95"/>
        </w:rPr>
        <w:t xml:space="preserve"> </w:t>
      </w:r>
      <w:r>
        <w:rPr>
          <w:w w:val="95"/>
        </w:rPr>
        <w:t>EIS</w:t>
      </w:r>
      <w:r>
        <w:rPr>
          <w:spacing w:val="-8"/>
          <w:w w:val="95"/>
        </w:rPr>
        <w:t xml:space="preserve"> </w:t>
      </w:r>
      <w:r>
        <w:rPr>
          <w:w w:val="95"/>
        </w:rPr>
        <w:t>for</w:t>
      </w:r>
      <w:r>
        <w:rPr>
          <w:spacing w:val="-8"/>
          <w:w w:val="95"/>
        </w:rPr>
        <w:t xml:space="preserve"> </w:t>
      </w:r>
      <w:r>
        <w:rPr>
          <w:w w:val="95"/>
        </w:rPr>
        <w:t>each</w:t>
      </w:r>
      <w:r>
        <w:rPr>
          <w:spacing w:val="-8"/>
          <w:w w:val="95"/>
        </w:rPr>
        <w:t xml:space="preserve"> </w:t>
      </w:r>
      <w:r>
        <w:rPr>
          <w:w w:val="95"/>
        </w:rPr>
        <w:t>section</w:t>
      </w:r>
      <w:r>
        <w:rPr>
          <w:spacing w:val="-8"/>
          <w:w w:val="95"/>
        </w:rPr>
        <w:t xml:space="preserve"> </w:t>
      </w:r>
      <w:r>
        <w:rPr>
          <w:w w:val="95"/>
        </w:rPr>
        <w:t>once</w:t>
      </w:r>
      <w:r>
        <w:rPr>
          <w:spacing w:val="-8"/>
          <w:w w:val="95"/>
        </w:rPr>
        <w:t xml:space="preserve"> </w:t>
      </w:r>
      <w:r>
        <w:rPr>
          <w:w w:val="95"/>
        </w:rPr>
        <w:t xml:space="preserve">a </w:t>
      </w:r>
      <w:r>
        <w:t>preferred</w:t>
      </w:r>
      <w:r>
        <w:rPr>
          <w:spacing w:val="-3"/>
        </w:rPr>
        <w:t xml:space="preserve"> </w:t>
      </w:r>
      <w:r>
        <w:t>tenderer</w:t>
      </w:r>
      <w:r>
        <w:rPr>
          <w:spacing w:val="-1"/>
        </w:rPr>
        <w:t xml:space="preserve"> </w:t>
      </w:r>
      <w:r>
        <w:t>has</w:t>
      </w:r>
      <w:r>
        <w:rPr>
          <w:spacing w:val="-1"/>
        </w:rPr>
        <w:t xml:space="preserve"> </w:t>
      </w:r>
      <w:r>
        <w:t>been</w:t>
      </w:r>
      <w:r>
        <w:rPr>
          <w:spacing w:val="-1"/>
        </w:rPr>
        <w:t xml:space="preserve"> </w:t>
      </w:r>
      <w:r>
        <w:t>appointed.</w:t>
      </w:r>
    </w:p>
    <w:p w:rsidR="002C1123" w:rsidRDefault="00F22F94">
      <w:pPr>
        <w:pStyle w:val="BodyText"/>
        <w:spacing w:before="144" w:line="249" w:lineRule="auto"/>
        <w:ind w:left="492"/>
      </w:pPr>
      <w:r>
        <w:t>The</w:t>
      </w:r>
      <w:r>
        <w:rPr>
          <w:spacing w:val="-11"/>
        </w:rPr>
        <w:t xml:space="preserve"> </w:t>
      </w:r>
      <w:r>
        <w:t>sizing</w:t>
      </w:r>
      <w:r>
        <w:rPr>
          <w:spacing w:val="-11"/>
        </w:rPr>
        <w:t xml:space="preserve"> </w:t>
      </w:r>
      <w:r>
        <w:t>of</w:t>
      </w:r>
      <w:r>
        <w:rPr>
          <w:spacing w:val="-11"/>
        </w:rPr>
        <w:t xml:space="preserve"> </w:t>
      </w:r>
      <w:r>
        <w:t>contract</w:t>
      </w:r>
      <w:r>
        <w:rPr>
          <w:spacing w:val="-11"/>
        </w:rPr>
        <w:t xml:space="preserve"> </w:t>
      </w:r>
      <w:r>
        <w:t>packages</w:t>
      </w:r>
      <w:r>
        <w:rPr>
          <w:spacing w:val="-11"/>
        </w:rPr>
        <w:t xml:space="preserve"> </w:t>
      </w:r>
      <w:r>
        <w:t>will</w:t>
      </w:r>
      <w:r>
        <w:rPr>
          <w:spacing w:val="-11"/>
        </w:rPr>
        <w:t xml:space="preserve"> </w:t>
      </w:r>
      <w:r>
        <w:t>be</w:t>
      </w:r>
      <w:r>
        <w:rPr>
          <w:spacing w:val="-11"/>
        </w:rPr>
        <w:t xml:space="preserve"> </w:t>
      </w:r>
      <w:r>
        <w:t>a</w:t>
      </w:r>
      <w:r>
        <w:rPr>
          <w:spacing w:val="-11"/>
        </w:rPr>
        <w:t xml:space="preserve"> </w:t>
      </w:r>
      <w:r>
        <w:t>function</w:t>
      </w:r>
      <w:r>
        <w:rPr>
          <w:spacing w:val="-11"/>
        </w:rPr>
        <w:t xml:space="preserve"> </w:t>
      </w:r>
      <w:r>
        <w:t>of range</w:t>
      </w:r>
      <w:r>
        <w:rPr>
          <w:spacing w:val="-11"/>
        </w:rPr>
        <w:t xml:space="preserve"> </w:t>
      </w:r>
      <w:r>
        <w:t>of</w:t>
      </w:r>
      <w:r>
        <w:rPr>
          <w:spacing w:val="-11"/>
        </w:rPr>
        <w:t xml:space="preserve"> </w:t>
      </w:r>
      <w:r>
        <w:t>factors,</w:t>
      </w:r>
      <w:r>
        <w:rPr>
          <w:spacing w:val="-11"/>
        </w:rPr>
        <w:t xml:space="preserve"> </w:t>
      </w:r>
      <w:r>
        <w:t>including</w:t>
      </w:r>
      <w:r>
        <w:rPr>
          <w:spacing w:val="-11"/>
        </w:rPr>
        <w:t xml:space="preserve"> </w:t>
      </w:r>
      <w:r>
        <w:t>procurement</w:t>
      </w:r>
      <w:r>
        <w:rPr>
          <w:spacing w:val="-11"/>
        </w:rPr>
        <w:t xml:space="preserve"> </w:t>
      </w:r>
      <w:r>
        <w:t xml:space="preserve">efficiency, </w:t>
      </w:r>
      <w:r>
        <w:rPr>
          <w:w w:val="95"/>
        </w:rPr>
        <w:t>security</w:t>
      </w:r>
      <w:r>
        <w:rPr>
          <w:spacing w:val="-2"/>
          <w:w w:val="95"/>
        </w:rPr>
        <w:t xml:space="preserve"> </w:t>
      </w:r>
      <w:r>
        <w:rPr>
          <w:w w:val="95"/>
        </w:rPr>
        <w:t>package</w:t>
      </w:r>
      <w:r>
        <w:rPr>
          <w:spacing w:val="-2"/>
          <w:w w:val="95"/>
        </w:rPr>
        <w:t xml:space="preserve"> </w:t>
      </w:r>
      <w:r>
        <w:rPr>
          <w:w w:val="95"/>
        </w:rPr>
        <w:t>requirements</w:t>
      </w:r>
      <w:r>
        <w:rPr>
          <w:spacing w:val="-2"/>
          <w:w w:val="95"/>
        </w:rPr>
        <w:t xml:space="preserve"> </w:t>
      </w:r>
      <w:r>
        <w:rPr>
          <w:w w:val="95"/>
        </w:rPr>
        <w:t>and</w:t>
      </w:r>
      <w:r>
        <w:rPr>
          <w:spacing w:val="-2"/>
          <w:w w:val="95"/>
        </w:rPr>
        <w:t xml:space="preserve"> </w:t>
      </w:r>
      <w:r>
        <w:rPr>
          <w:w w:val="95"/>
        </w:rPr>
        <w:t>delivery</w:t>
      </w:r>
      <w:r>
        <w:rPr>
          <w:spacing w:val="-2"/>
          <w:w w:val="95"/>
        </w:rPr>
        <w:t xml:space="preserve"> </w:t>
      </w:r>
      <w:r>
        <w:rPr>
          <w:w w:val="95"/>
        </w:rPr>
        <w:t>timetable.</w:t>
      </w:r>
    </w:p>
    <w:p w:rsidR="002C1123" w:rsidRDefault="002C1123">
      <w:pPr>
        <w:pStyle w:val="BodyText"/>
        <w:spacing w:before="6"/>
        <w:rPr>
          <w:sz w:val="23"/>
        </w:rPr>
      </w:pPr>
    </w:p>
    <w:p w:rsidR="002C1123" w:rsidRDefault="00F22F94">
      <w:pPr>
        <w:pStyle w:val="Heading5"/>
        <w:numPr>
          <w:ilvl w:val="1"/>
          <w:numId w:val="24"/>
        </w:numPr>
        <w:tabs>
          <w:tab w:val="left" w:pos="1093"/>
        </w:tabs>
        <w:spacing w:before="0"/>
        <w:ind w:left="1092"/>
        <w:jc w:val="left"/>
      </w:pPr>
      <w:r>
        <w:rPr>
          <w:color w:val="00AEEF"/>
          <w:spacing w:val="-6"/>
        </w:rPr>
        <w:t>Infrastructure</w:t>
      </w:r>
      <w:r>
        <w:rPr>
          <w:color w:val="00AEEF"/>
          <w:spacing w:val="-4"/>
        </w:rPr>
        <w:t xml:space="preserve"> </w:t>
      </w:r>
      <w:r>
        <w:rPr>
          <w:color w:val="00AEEF"/>
          <w:spacing w:val="-6"/>
        </w:rPr>
        <w:t>NSW:</w:t>
      </w:r>
      <w:r>
        <w:rPr>
          <w:color w:val="00AEEF"/>
          <w:spacing w:val="-4"/>
        </w:rPr>
        <w:t xml:space="preserve"> </w:t>
      </w:r>
      <w:r>
        <w:rPr>
          <w:color w:val="00AEEF"/>
          <w:spacing w:val="-6"/>
        </w:rPr>
        <w:t>next</w:t>
      </w:r>
      <w:r>
        <w:rPr>
          <w:color w:val="00AEEF"/>
          <w:spacing w:val="-4"/>
        </w:rPr>
        <w:t xml:space="preserve"> </w:t>
      </w:r>
      <w:r>
        <w:rPr>
          <w:color w:val="00AEEF"/>
          <w:spacing w:val="-6"/>
        </w:rPr>
        <w:t>steps</w:t>
      </w:r>
    </w:p>
    <w:p w:rsidR="002C1123" w:rsidRDefault="00F22F94">
      <w:pPr>
        <w:pStyle w:val="BodyText"/>
        <w:spacing w:before="135" w:line="249" w:lineRule="auto"/>
        <w:ind w:left="492"/>
      </w:pPr>
      <w:r>
        <w:rPr>
          <w:w w:val="95"/>
        </w:rPr>
        <w:t xml:space="preserve">This section has set out a series of recommendations to </w:t>
      </w:r>
      <w:r>
        <w:t>reform</w:t>
      </w:r>
      <w:r>
        <w:rPr>
          <w:spacing w:val="-11"/>
        </w:rPr>
        <w:t xml:space="preserve"> </w:t>
      </w:r>
      <w:r>
        <w:t>how</w:t>
      </w:r>
      <w:r>
        <w:rPr>
          <w:spacing w:val="-10"/>
        </w:rPr>
        <w:t xml:space="preserve"> </w:t>
      </w:r>
      <w:r>
        <w:t>new</w:t>
      </w:r>
      <w:r>
        <w:rPr>
          <w:spacing w:val="-10"/>
        </w:rPr>
        <w:t xml:space="preserve"> </w:t>
      </w:r>
      <w:r>
        <w:t>infrastructure</w:t>
      </w:r>
      <w:r>
        <w:rPr>
          <w:spacing w:val="-10"/>
        </w:rPr>
        <w:t xml:space="preserve"> </w:t>
      </w:r>
      <w:r>
        <w:t>is</w:t>
      </w:r>
      <w:r>
        <w:rPr>
          <w:spacing w:val="-10"/>
        </w:rPr>
        <w:t xml:space="preserve"> </w:t>
      </w:r>
      <w:r>
        <w:t>funded,</w:t>
      </w:r>
      <w:r>
        <w:rPr>
          <w:spacing w:val="-10"/>
        </w:rPr>
        <w:t xml:space="preserve"> </w:t>
      </w:r>
      <w:r>
        <w:t>financed</w:t>
      </w:r>
      <w:r>
        <w:rPr>
          <w:spacing w:val="-10"/>
        </w:rPr>
        <w:t xml:space="preserve"> </w:t>
      </w:r>
      <w:r>
        <w:t xml:space="preserve">and </w:t>
      </w:r>
      <w:r>
        <w:rPr>
          <w:w w:val="95"/>
        </w:rPr>
        <w:t>procured. Section 16.5 explains how Infrastructure NSW will</w:t>
      </w:r>
      <w:r>
        <w:rPr>
          <w:spacing w:val="-7"/>
          <w:w w:val="95"/>
        </w:rPr>
        <w:t xml:space="preserve"> </w:t>
      </w:r>
      <w:r>
        <w:rPr>
          <w:w w:val="95"/>
        </w:rPr>
        <w:t>work</w:t>
      </w:r>
      <w:r>
        <w:rPr>
          <w:spacing w:val="-7"/>
          <w:w w:val="95"/>
        </w:rPr>
        <w:t xml:space="preserve"> </w:t>
      </w:r>
      <w:r>
        <w:rPr>
          <w:w w:val="95"/>
        </w:rPr>
        <w:t>with</w:t>
      </w:r>
      <w:r>
        <w:rPr>
          <w:spacing w:val="-7"/>
          <w:w w:val="95"/>
        </w:rPr>
        <w:t xml:space="preserve"> </w:t>
      </w:r>
      <w:r>
        <w:rPr>
          <w:w w:val="95"/>
        </w:rPr>
        <w:t>State</w:t>
      </w:r>
      <w:r>
        <w:rPr>
          <w:spacing w:val="-7"/>
          <w:w w:val="95"/>
        </w:rPr>
        <w:t xml:space="preserve"> </w:t>
      </w:r>
      <w:r>
        <w:rPr>
          <w:w w:val="95"/>
        </w:rPr>
        <w:t>agencies</w:t>
      </w:r>
      <w:r>
        <w:rPr>
          <w:spacing w:val="-7"/>
          <w:w w:val="95"/>
        </w:rPr>
        <w:t xml:space="preserve"> </w:t>
      </w:r>
      <w:r>
        <w:rPr>
          <w:w w:val="95"/>
        </w:rPr>
        <w:t>to</w:t>
      </w:r>
      <w:r>
        <w:rPr>
          <w:spacing w:val="-7"/>
          <w:w w:val="95"/>
        </w:rPr>
        <w:t xml:space="preserve"> </w:t>
      </w:r>
      <w:r>
        <w:rPr>
          <w:w w:val="95"/>
        </w:rPr>
        <w:t>ensure</w:t>
      </w:r>
      <w:r>
        <w:rPr>
          <w:spacing w:val="-7"/>
          <w:w w:val="95"/>
        </w:rPr>
        <w:t xml:space="preserve"> </w:t>
      </w:r>
      <w:r>
        <w:rPr>
          <w:w w:val="95"/>
        </w:rPr>
        <w:t>these</w:t>
      </w:r>
      <w:r>
        <w:rPr>
          <w:spacing w:val="-7"/>
          <w:w w:val="95"/>
        </w:rPr>
        <w:t xml:space="preserve"> </w:t>
      </w:r>
      <w:r>
        <w:rPr>
          <w:w w:val="95"/>
        </w:rPr>
        <w:t>reforms</w:t>
      </w:r>
      <w:r>
        <w:rPr>
          <w:spacing w:val="-7"/>
          <w:w w:val="95"/>
        </w:rPr>
        <w:t xml:space="preserve"> </w:t>
      </w:r>
      <w:r>
        <w:rPr>
          <w:w w:val="95"/>
        </w:rPr>
        <w:t xml:space="preserve">are </w:t>
      </w:r>
      <w:r>
        <w:t>implemented</w:t>
      </w:r>
      <w:r>
        <w:rPr>
          <w:spacing w:val="-8"/>
        </w:rPr>
        <w:t xml:space="preserve"> </w:t>
      </w:r>
      <w:r>
        <w:t>on</w:t>
      </w:r>
      <w:r>
        <w:rPr>
          <w:spacing w:val="-8"/>
        </w:rPr>
        <w:t xml:space="preserve"> </w:t>
      </w:r>
      <w:r>
        <w:t>major</w:t>
      </w:r>
      <w:r>
        <w:rPr>
          <w:spacing w:val="-8"/>
        </w:rPr>
        <w:t xml:space="preserve"> </w:t>
      </w:r>
      <w:r>
        <w:t>new</w:t>
      </w:r>
      <w:r>
        <w:rPr>
          <w:spacing w:val="-8"/>
        </w:rPr>
        <w:t xml:space="preserve"> </w:t>
      </w:r>
      <w:r>
        <w:t>infrastructure</w:t>
      </w:r>
      <w:r>
        <w:rPr>
          <w:spacing w:val="-8"/>
        </w:rPr>
        <w:t xml:space="preserve"> </w:t>
      </w:r>
      <w:r>
        <w:t>projects.</w:t>
      </w:r>
    </w:p>
    <w:p w:rsidR="002C1123" w:rsidRDefault="00F22F94">
      <w:pPr>
        <w:pStyle w:val="Heading6"/>
        <w:numPr>
          <w:ilvl w:val="2"/>
          <w:numId w:val="24"/>
        </w:numPr>
        <w:tabs>
          <w:tab w:val="left" w:pos="1087"/>
        </w:tabs>
        <w:spacing w:before="146"/>
        <w:ind w:left="1086"/>
        <w:jc w:val="left"/>
      </w:pPr>
      <w:r>
        <w:rPr>
          <w:color w:val="00AEEF"/>
          <w:spacing w:val="-2"/>
        </w:rPr>
        <w:t>Infrastructure</w:t>
      </w:r>
      <w:r>
        <w:rPr>
          <w:color w:val="00AEEF"/>
          <w:spacing w:val="-11"/>
        </w:rPr>
        <w:t xml:space="preserve"> </w:t>
      </w:r>
      <w:r>
        <w:rPr>
          <w:color w:val="00AEEF"/>
          <w:spacing w:val="-2"/>
        </w:rPr>
        <w:t>NSW</w:t>
      </w:r>
      <w:r>
        <w:rPr>
          <w:color w:val="00AEEF"/>
          <w:spacing w:val="-10"/>
        </w:rPr>
        <w:t xml:space="preserve"> </w:t>
      </w:r>
      <w:r>
        <w:rPr>
          <w:color w:val="00AEEF"/>
          <w:spacing w:val="-2"/>
        </w:rPr>
        <w:t>Responsibilities</w:t>
      </w:r>
    </w:p>
    <w:p w:rsidR="002C1123" w:rsidRDefault="00F22F94">
      <w:pPr>
        <w:pStyle w:val="BodyText"/>
        <w:spacing w:before="95" w:line="249" w:lineRule="auto"/>
        <w:ind w:left="492"/>
      </w:pPr>
      <w:r>
        <w:rPr>
          <w:w w:val="95"/>
        </w:rPr>
        <w:t>Infrastructure NSW has been tasked with the functions needed to implement the Strategy’s recommendations.</w:t>
      </w:r>
    </w:p>
    <w:p w:rsidR="002C1123" w:rsidRDefault="00F22F94">
      <w:pPr>
        <w:pStyle w:val="BodyText"/>
        <w:spacing w:before="106"/>
        <w:ind w:left="492"/>
      </w:pPr>
      <w:r>
        <w:br w:type="column"/>
      </w:r>
      <w:r>
        <w:rPr>
          <w:w w:val="95"/>
        </w:rPr>
        <w:t>Infrastructure</w:t>
      </w:r>
      <w:r>
        <w:rPr>
          <w:spacing w:val="-11"/>
          <w:w w:val="95"/>
        </w:rPr>
        <w:t xml:space="preserve"> </w:t>
      </w:r>
      <w:r>
        <w:rPr>
          <w:w w:val="95"/>
        </w:rPr>
        <w:t>NSW</w:t>
      </w:r>
      <w:r>
        <w:rPr>
          <w:spacing w:val="-10"/>
          <w:w w:val="95"/>
        </w:rPr>
        <w:t xml:space="preserve"> </w:t>
      </w:r>
      <w:r>
        <w:rPr>
          <w:spacing w:val="-4"/>
          <w:w w:val="95"/>
        </w:rPr>
        <w:t>will:</w:t>
      </w:r>
    </w:p>
    <w:p w:rsidR="002C1123" w:rsidRDefault="002060EF">
      <w:pPr>
        <w:pStyle w:val="ListParagraph"/>
        <w:numPr>
          <w:ilvl w:val="3"/>
          <w:numId w:val="24"/>
        </w:numPr>
        <w:tabs>
          <w:tab w:val="left" w:pos="776"/>
        </w:tabs>
        <w:spacing w:before="139" w:line="249" w:lineRule="auto"/>
        <w:ind w:left="775" w:right="714"/>
        <w:rPr>
          <w:sz w:val="20"/>
        </w:rPr>
      </w:pPr>
      <w:r>
        <w:pict>
          <v:shape id="docshape2912" o:spid="_x0000_s1111" type="#_x0000_t202" style="position:absolute;left:0;text-align:left;margin-left:300.95pt;margin-top:-9.25pt;width:240pt;height:397.8pt;z-index:251758592;mso-position-horizontal-relative:page" fillcolor="#e1e0e1" stroked="f">
            <v:textbox inset="0,0,0,0">
              <w:txbxContent>
                <w:p w:rsidR="00F22F94" w:rsidRDefault="00F22F94">
                  <w:pPr>
                    <w:spacing w:before="125"/>
                    <w:ind w:left="113"/>
                    <w:rPr>
                      <w:b/>
                      <w:color w:val="000000"/>
                      <w:sz w:val="20"/>
                    </w:rPr>
                  </w:pPr>
                  <w:r>
                    <w:rPr>
                      <w:b/>
                      <w:color w:val="00AEEF"/>
                      <w:spacing w:val="-2"/>
                      <w:sz w:val="20"/>
                    </w:rPr>
                    <w:t>Requirements</w:t>
                  </w:r>
                  <w:r>
                    <w:rPr>
                      <w:b/>
                      <w:color w:val="00AEEF"/>
                      <w:spacing w:val="-12"/>
                      <w:sz w:val="20"/>
                    </w:rPr>
                    <w:t xml:space="preserve"> </w:t>
                  </w:r>
                  <w:r>
                    <w:rPr>
                      <w:b/>
                      <w:color w:val="00AEEF"/>
                      <w:spacing w:val="-2"/>
                      <w:sz w:val="20"/>
                    </w:rPr>
                    <w:t>of</w:t>
                  </w:r>
                  <w:r>
                    <w:rPr>
                      <w:b/>
                      <w:color w:val="00AEEF"/>
                      <w:spacing w:val="-11"/>
                      <w:sz w:val="20"/>
                    </w:rPr>
                    <w:t xml:space="preserve"> </w:t>
                  </w:r>
                  <w:r>
                    <w:rPr>
                      <w:b/>
                      <w:color w:val="00AEEF"/>
                      <w:spacing w:val="-2"/>
                      <w:sz w:val="20"/>
                    </w:rPr>
                    <w:t>Infrastructure</w:t>
                  </w:r>
                  <w:r>
                    <w:rPr>
                      <w:b/>
                      <w:color w:val="00AEEF"/>
                      <w:spacing w:val="-11"/>
                      <w:sz w:val="20"/>
                    </w:rPr>
                    <w:t xml:space="preserve"> </w:t>
                  </w:r>
                  <w:r>
                    <w:rPr>
                      <w:b/>
                      <w:color w:val="00AEEF"/>
                      <w:spacing w:val="-2"/>
                      <w:sz w:val="20"/>
                    </w:rPr>
                    <w:t>NSW</w:t>
                  </w:r>
                  <w:r>
                    <w:rPr>
                      <w:b/>
                      <w:color w:val="00AEEF"/>
                      <w:spacing w:val="-11"/>
                      <w:sz w:val="20"/>
                    </w:rPr>
                    <w:t xml:space="preserve"> </w:t>
                  </w:r>
                  <w:r>
                    <w:rPr>
                      <w:b/>
                      <w:color w:val="00AEEF"/>
                      <w:spacing w:val="-2"/>
                      <w:sz w:val="20"/>
                    </w:rPr>
                    <w:t>Act</w:t>
                  </w:r>
                  <w:r>
                    <w:rPr>
                      <w:b/>
                      <w:color w:val="00AEEF"/>
                      <w:spacing w:val="-12"/>
                      <w:sz w:val="20"/>
                    </w:rPr>
                    <w:t xml:space="preserve"> </w:t>
                  </w:r>
                  <w:r>
                    <w:rPr>
                      <w:b/>
                      <w:color w:val="00AEEF"/>
                      <w:spacing w:val="-2"/>
                      <w:sz w:val="20"/>
                    </w:rPr>
                    <w:t>(2011)</w:t>
                  </w:r>
                </w:p>
                <w:p w:rsidR="00F22F94" w:rsidRDefault="00F22F94">
                  <w:pPr>
                    <w:pStyle w:val="BodyText"/>
                    <w:spacing w:before="95" w:line="249" w:lineRule="auto"/>
                    <w:ind w:left="113" w:right="122"/>
                    <w:rPr>
                      <w:color w:val="000000"/>
                    </w:rPr>
                  </w:pPr>
                  <w:r>
                    <w:rPr>
                      <w:color w:val="000000"/>
                    </w:rPr>
                    <w:t>The</w:t>
                  </w:r>
                  <w:r>
                    <w:rPr>
                      <w:color w:val="000000"/>
                      <w:spacing w:val="-14"/>
                    </w:rPr>
                    <w:t xml:space="preserve"> </w:t>
                  </w:r>
                  <w:r>
                    <w:rPr>
                      <w:color w:val="000000"/>
                    </w:rPr>
                    <w:t>Infrastructure</w:t>
                  </w:r>
                  <w:r>
                    <w:rPr>
                      <w:color w:val="000000"/>
                      <w:spacing w:val="-14"/>
                    </w:rPr>
                    <w:t xml:space="preserve"> </w:t>
                  </w:r>
                  <w:r>
                    <w:rPr>
                      <w:color w:val="000000"/>
                    </w:rPr>
                    <w:t>NSW</w:t>
                  </w:r>
                  <w:r>
                    <w:rPr>
                      <w:color w:val="000000"/>
                      <w:spacing w:val="-14"/>
                    </w:rPr>
                    <w:t xml:space="preserve"> </w:t>
                  </w:r>
                  <w:r>
                    <w:rPr>
                      <w:color w:val="000000"/>
                    </w:rPr>
                    <w:t>Act</w:t>
                  </w:r>
                  <w:r>
                    <w:rPr>
                      <w:color w:val="000000"/>
                      <w:spacing w:val="-14"/>
                    </w:rPr>
                    <w:t xml:space="preserve"> </w:t>
                  </w:r>
                  <w:r>
                    <w:rPr>
                      <w:color w:val="000000"/>
                    </w:rPr>
                    <w:t>(the</w:t>
                  </w:r>
                  <w:r>
                    <w:rPr>
                      <w:color w:val="000000"/>
                      <w:spacing w:val="-14"/>
                    </w:rPr>
                    <w:t xml:space="preserve"> </w:t>
                  </w:r>
                  <w:r>
                    <w:rPr>
                      <w:color w:val="000000"/>
                    </w:rPr>
                    <w:t>Act)</w:t>
                  </w:r>
                  <w:r>
                    <w:rPr>
                      <w:color w:val="000000"/>
                      <w:spacing w:val="-14"/>
                    </w:rPr>
                    <w:t xml:space="preserve"> </w:t>
                  </w:r>
                  <w:r>
                    <w:rPr>
                      <w:color w:val="000000"/>
                    </w:rPr>
                    <w:t xml:space="preserve">tasks </w:t>
                  </w:r>
                  <w:r>
                    <w:rPr>
                      <w:color w:val="000000"/>
                      <w:w w:val="95"/>
                    </w:rPr>
                    <w:t>Infrastructure</w:t>
                  </w:r>
                  <w:r>
                    <w:rPr>
                      <w:color w:val="000000"/>
                      <w:spacing w:val="-6"/>
                      <w:w w:val="95"/>
                    </w:rPr>
                    <w:t xml:space="preserve"> </w:t>
                  </w:r>
                  <w:r>
                    <w:rPr>
                      <w:color w:val="000000"/>
                      <w:w w:val="95"/>
                    </w:rPr>
                    <w:t>NSW</w:t>
                  </w:r>
                  <w:r>
                    <w:rPr>
                      <w:color w:val="000000"/>
                      <w:spacing w:val="-6"/>
                      <w:w w:val="95"/>
                    </w:rPr>
                    <w:t xml:space="preserve"> </w:t>
                  </w:r>
                  <w:r>
                    <w:rPr>
                      <w:color w:val="000000"/>
                      <w:w w:val="95"/>
                    </w:rPr>
                    <w:t>with</w:t>
                  </w:r>
                  <w:r>
                    <w:rPr>
                      <w:color w:val="000000"/>
                      <w:spacing w:val="-6"/>
                      <w:w w:val="95"/>
                    </w:rPr>
                    <w:t xml:space="preserve"> </w:t>
                  </w:r>
                  <w:r>
                    <w:rPr>
                      <w:color w:val="000000"/>
                      <w:w w:val="95"/>
                    </w:rPr>
                    <w:t>14</w:t>
                  </w:r>
                  <w:r>
                    <w:rPr>
                      <w:color w:val="000000"/>
                      <w:spacing w:val="-6"/>
                      <w:w w:val="95"/>
                    </w:rPr>
                    <w:t xml:space="preserve"> </w:t>
                  </w:r>
                  <w:r>
                    <w:rPr>
                      <w:color w:val="000000"/>
                      <w:w w:val="95"/>
                    </w:rPr>
                    <w:t>functions</w:t>
                  </w:r>
                  <w:r>
                    <w:rPr>
                      <w:color w:val="000000"/>
                      <w:spacing w:val="-6"/>
                      <w:w w:val="95"/>
                    </w:rPr>
                    <w:t xml:space="preserve"> </w:t>
                  </w:r>
                  <w:r>
                    <w:rPr>
                      <w:color w:val="000000"/>
                      <w:w w:val="95"/>
                    </w:rPr>
                    <w:t>including:</w:t>
                  </w:r>
                </w:p>
                <w:p w:rsidR="00F22F94" w:rsidRDefault="00F22F94">
                  <w:pPr>
                    <w:pStyle w:val="BodyText"/>
                    <w:numPr>
                      <w:ilvl w:val="0"/>
                      <w:numId w:val="20"/>
                    </w:numPr>
                    <w:tabs>
                      <w:tab w:val="left" w:pos="397"/>
                    </w:tabs>
                    <w:spacing w:before="131" w:line="249" w:lineRule="auto"/>
                    <w:ind w:right="455"/>
                    <w:rPr>
                      <w:color w:val="000000"/>
                    </w:rPr>
                  </w:pPr>
                  <w:r>
                    <w:rPr>
                      <w:color w:val="000000"/>
                      <w:w w:val="95"/>
                    </w:rPr>
                    <w:t>preparation</w:t>
                  </w:r>
                  <w:r>
                    <w:rPr>
                      <w:color w:val="000000"/>
                      <w:spacing w:val="-6"/>
                      <w:w w:val="95"/>
                    </w:rPr>
                    <w:t xml:space="preserve"> </w:t>
                  </w:r>
                  <w:r>
                    <w:rPr>
                      <w:color w:val="000000"/>
                      <w:w w:val="95"/>
                    </w:rPr>
                    <w:t>and</w:t>
                  </w:r>
                  <w:r>
                    <w:rPr>
                      <w:color w:val="000000"/>
                      <w:spacing w:val="-6"/>
                      <w:w w:val="95"/>
                    </w:rPr>
                    <w:t xml:space="preserve"> </w:t>
                  </w:r>
                  <w:r>
                    <w:rPr>
                      <w:color w:val="000000"/>
                      <w:w w:val="95"/>
                    </w:rPr>
                    <w:t>submission</w:t>
                  </w:r>
                  <w:r>
                    <w:rPr>
                      <w:color w:val="000000"/>
                      <w:spacing w:val="-6"/>
                      <w:w w:val="95"/>
                    </w:rPr>
                    <w:t xml:space="preserve"> </w:t>
                  </w:r>
                  <w:r>
                    <w:rPr>
                      <w:color w:val="000000"/>
                      <w:w w:val="95"/>
                    </w:rPr>
                    <w:t>to</w:t>
                  </w:r>
                  <w:r>
                    <w:rPr>
                      <w:color w:val="000000"/>
                      <w:spacing w:val="-6"/>
                      <w:w w:val="95"/>
                    </w:rPr>
                    <w:t xml:space="preserve"> </w:t>
                  </w:r>
                  <w:r>
                    <w:rPr>
                      <w:color w:val="000000"/>
                      <w:w w:val="95"/>
                    </w:rPr>
                    <w:t>the</w:t>
                  </w:r>
                  <w:r>
                    <w:rPr>
                      <w:color w:val="000000"/>
                      <w:spacing w:val="-6"/>
                      <w:w w:val="95"/>
                    </w:rPr>
                    <w:t xml:space="preserve"> </w:t>
                  </w:r>
                  <w:r>
                    <w:rPr>
                      <w:color w:val="000000"/>
                      <w:w w:val="95"/>
                    </w:rPr>
                    <w:t>Premier</w:t>
                  </w:r>
                  <w:r>
                    <w:rPr>
                      <w:color w:val="000000"/>
                      <w:spacing w:val="-6"/>
                      <w:w w:val="95"/>
                    </w:rPr>
                    <w:t xml:space="preserve"> </w:t>
                  </w:r>
                  <w:r>
                    <w:rPr>
                      <w:color w:val="000000"/>
                      <w:w w:val="95"/>
                    </w:rPr>
                    <w:t>of</w:t>
                  </w:r>
                  <w:r>
                    <w:rPr>
                      <w:color w:val="000000"/>
                      <w:spacing w:val="-6"/>
                      <w:w w:val="95"/>
                    </w:rPr>
                    <w:t xml:space="preserve"> </w:t>
                  </w:r>
                  <w:r>
                    <w:rPr>
                      <w:color w:val="000000"/>
                      <w:w w:val="95"/>
                    </w:rPr>
                    <w:t xml:space="preserve">a </w:t>
                  </w:r>
                  <w:r>
                    <w:rPr>
                      <w:color w:val="000000"/>
                    </w:rPr>
                    <w:t>20-year</w:t>
                  </w:r>
                  <w:r>
                    <w:rPr>
                      <w:color w:val="000000"/>
                      <w:spacing w:val="-3"/>
                    </w:rPr>
                    <w:t xml:space="preserve"> </w:t>
                  </w:r>
                  <w:r>
                    <w:rPr>
                      <w:color w:val="000000"/>
                    </w:rPr>
                    <w:t>State</w:t>
                  </w:r>
                  <w:r>
                    <w:rPr>
                      <w:color w:val="000000"/>
                      <w:spacing w:val="-3"/>
                    </w:rPr>
                    <w:t xml:space="preserve"> </w:t>
                  </w:r>
                  <w:r>
                    <w:rPr>
                      <w:color w:val="000000"/>
                    </w:rPr>
                    <w:t>infrastructure</w:t>
                  </w:r>
                  <w:r>
                    <w:rPr>
                      <w:color w:val="000000"/>
                      <w:spacing w:val="-3"/>
                    </w:rPr>
                    <w:t xml:space="preserve"> </w:t>
                  </w:r>
                  <w:r>
                    <w:rPr>
                      <w:color w:val="000000"/>
                    </w:rPr>
                    <w:t>strategy</w:t>
                  </w:r>
                </w:p>
                <w:p w:rsidR="00F22F94" w:rsidRDefault="00F22F94">
                  <w:pPr>
                    <w:pStyle w:val="BodyText"/>
                    <w:numPr>
                      <w:ilvl w:val="0"/>
                      <w:numId w:val="20"/>
                    </w:numPr>
                    <w:tabs>
                      <w:tab w:val="left" w:pos="397"/>
                    </w:tabs>
                    <w:spacing w:before="102" w:line="249" w:lineRule="auto"/>
                    <w:ind w:right="408"/>
                    <w:rPr>
                      <w:color w:val="000000"/>
                    </w:rPr>
                  </w:pPr>
                  <w:r>
                    <w:rPr>
                      <w:color w:val="000000"/>
                    </w:rPr>
                    <w:t>preparation</w:t>
                  </w:r>
                  <w:r>
                    <w:rPr>
                      <w:color w:val="000000"/>
                      <w:spacing w:val="-8"/>
                    </w:rPr>
                    <w:t xml:space="preserve"> </w:t>
                  </w:r>
                  <w:r>
                    <w:rPr>
                      <w:color w:val="000000"/>
                    </w:rPr>
                    <w:t>and</w:t>
                  </w:r>
                  <w:r>
                    <w:rPr>
                      <w:color w:val="000000"/>
                      <w:spacing w:val="-8"/>
                    </w:rPr>
                    <w:t xml:space="preserve"> </w:t>
                  </w:r>
                  <w:r>
                    <w:rPr>
                      <w:color w:val="000000"/>
                    </w:rPr>
                    <w:t>submission</w:t>
                  </w:r>
                  <w:r>
                    <w:rPr>
                      <w:color w:val="000000"/>
                      <w:spacing w:val="-8"/>
                    </w:rPr>
                    <w:t xml:space="preserve"> </w:t>
                  </w:r>
                  <w:r>
                    <w:rPr>
                      <w:color w:val="000000"/>
                    </w:rPr>
                    <w:t>to</w:t>
                  </w:r>
                  <w:r>
                    <w:rPr>
                      <w:color w:val="000000"/>
                      <w:spacing w:val="-8"/>
                    </w:rPr>
                    <w:t xml:space="preserve"> </w:t>
                  </w:r>
                  <w:r>
                    <w:rPr>
                      <w:color w:val="000000"/>
                    </w:rPr>
                    <w:t>the</w:t>
                  </w:r>
                  <w:r>
                    <w:rPr>
                      <w:color w:val="000000"/>
                      <w:spacing w:val="-8"/>
                    </w:rPr>
                    <w:t xml:space="preserve"> </w:t>
                  </w:r>
                  <w:r>
                    <w:rPr>
                      <w:color w:val="000000"/>
                    </w:rPr>
                    <w:t>Premier</w:t>
                  </w:r>
                  <w:r>
                    <w:rPr>
                      <w:color w:val="000000"/>
                      <w:spacing w:val="-8"/>
                    </w:rPr>
                    <w:t xml:space="preserve"> </w:t>
                  </w:r>
                  <w:r>
                    <w:rPr>
                      <w:color w:val="000000"/>
                    </w:rPr>
                    <w:t xml:space="preserve">of </w:t>
                  </w:r>
                  <w:r>
                    <w:rPr>
                      <w:color w:val="000000"/>
                      <w:w w:val="95"/>
                    </w:rPr>
                    <w:t>five-year</w:t>
                  </w:r>
                  <w:r>
                    <w:rPr>
                      <w:color w:val="000000"/>
                      <w:spacing w:val="-10"/>
                      <w:w w:val="95"/>
                    </w:rPr>
                    <w:t xml:space="preserve"> </w:t>
                  </w:r>
                  <w:r>
                    <w:rPr>
                      <w:color w:val="000000"/>
                      <w:w w:val="95"/>
                    </w:rPr>
                    <w:t>infrastructure</w:t>
                  </w:r>
                  <w:r>
                    <w:rPr>
                      <w:color w:val="000000"/>
                      <w:spacing w:val="-10"/>
                      <w:w w:val="95"/>
                    </w:rPr>
                    <w:t xml:space="preserve"> </w:t>
                  </w:r>
                  <w:r>
                    <w:rPr>
                      <w:color w:val="000000"/>
                      <w:w w:val="95"/>
                    </w:rPr>
                    <w:t>plans</w:t>
                  </w:r>
                  <w:r>
                    <w:rPr>
                      <w:color w:val="000000"/>
                      <w:spacing w:val="-10"/>
                      <w:w w:val="95"/>
                    </w:rPr>
                    <w:t xml:space="preserve"> </w:t>
                  </w:r>
                  <w:r>
                    <w:rPr>
                      <w:color w:val="000000"/>
                      <w:w w:val="95"/>
                    </w:rPr>
                    <w:t>and</w:t>
                  </w:r>
                  <w:r>
                    <w:rPr>
                      <w:color w:val="000000"/>
                      <w:spacing w:val="-10"/>
                      <w:w w:val="95"/>
                    </w:rPr>
                    <w:t xml:space="preserve"> </w:t>
                  </w:r>
                  <w:r>
                    <w:rPr>
                      <w:color w:val="000000"/>
                      <w:w w:val="95"/>
                    </w:rPr>
                    <w:t>other</w:t>
                  </w:r>
                  <w:r>
                    <w:rPr>
                      <w:color w:val="000000"/>
                      <w:spacing w:val="-10"/>
                      <w:w w:val="95"/>
                    </w:rPr>
                    <w:t xml:space="preserve"> </w:t>
                  </w:r>
                  <w:r>
                    <w:rPr>
                      <w:color w:val="000000"/>
                      <w:w w:val="95"/>
                    </w:rPr>
                    <w:t>plans</w:t>
                  </w:r>
                  <w:r>
                    <w:rPr>
                      <w:color w:val="000000"/>
                      <w:spacing w:val="-10"/>
                      <w:w w:val="95"/>
                    </w:rPr>
                    <w:t xml:space="preserve"> </w:t>
                  </w:r>
                  <w:r>
                    <w:rPr>
                      <w:color w:val="000000"/>
                      <w:w w:val="95"/>
                    </w:rPr>
                    <w:t xml:space="preserve">as </w:t>
                  </w:r>
                  <w:r>
                    <w:rPr>
                      <w:color w:val="000000"/>
                    </w:rPr>
                    <w:t>requested by the Premier</w:t>
                  </w:r>
                </w:p>
                <w:p w:rsidR="00F22F94" w:rsidRDefault="00F22F94">
                  <w:pPr>
                    <w:pStyle w:val="BodyText"/>
                    <w:numPr>
                      <w:ilvl w:val="0"/>
                      <w:numId w:val="20"/>
                    </w:numPr>
                    <w:tabs>
                      <w:tab w:val="left" w:pos="397"/>
                    </w:tabs>
                    <w:spacing w:before="103" w:line="249" w:lineRule="auto"/>
                    <w:ind w:right="839"/>
                    <w:rPr>
                      <w:color w:val="000000"/>
                    </w:rPr>
                  </w:pPr>
                  <w:r>
                    <w:rPr>
                      <w:color w:val="000000"/>
                      <w:w w:val="95"/>
                    </w:rPr>
                    <w:t>preparation</w:t>
                  </w:r>
                  <w:r>
                    <w:rPr>
                      <w:color w:val="000000"/>
                      <w:spacing w:val="-6"/>
                      <w:w w:val="95"/>
                    </w:rPr>
                    <w:t xml:space="preserve"> </w:t>
                  </w:r>
                  <w:r>
                    <w:rPr>
                      <w:color w:val="000000"/>
                      <w:w w:val="95"/>
                    </w:rPr>
                    <w:t>of</w:t>
                  </w:r>
                  <w:r>
                    <w:rPr>
                      <w:color w:val="000000"/>
                      <w:spacing w:val="-6"/>
                      <w:w w:val="95"/>
                    </w:rPr>
                    <w:t xml:space="preserve"> </w:t>
                  </w:r>
                  <w:r>
                    <w:rPr>
                      <w:color w:val="000000"/>
                      <w:w w:val="95"/>
                    </w:rPr>
                    <w:t>sectoral</w:t>
                  </w:r>
                  <w:r>
                    <w:rPr>
                      <w:color w:val="000000"/>
                      <w:spacing w:val="-6"/>
                      <w:w w:val="95"/>
                    </w:rPr>
                    <w:t xml:space="preserve"> </w:t>
                  </w:r>
                  <w:r>
                    <w:rPr>
                      <w:color w:val="000000"/>
                      <w:w w:val="95"/>
                    </w:rPr>
                    <w:t>State</w:t>
                  </w:r>
                  <w:r>
                    <w:rPr>
                      <w:color w:val="000000"/>
                      <w:spacing w:val="-6"/>
                      <w:w w:val="95"/>
                    </w:rPr>
                    <w:t xml:space="preserve"> </w:t>
                  </w:r>
                  <w:r>
                    <w:rPr>
                      <w:color w:val="000000"/>
                      <w:w w:val="95"/>
                    </w:rPr>
                    <w:t xml:space="preserve">infrastructure </w:t>
                  </w:r>
                  <w:r>
                    <w:rPr>
                      <w:color w:val="000000"/>
                    </w:rPr>
                    <w:t>strategy</w:t>
                  </w:r>
                  <w:r>
                    <w:rPr>
                      <w:color w:val="000000"/>
                      <w:spacing w:val="-11"/>
                    </w:rPr>
                    <w:t xml:space="preserve"> </w:t>
                  </w:r>
                  <w:r>
                    <w:rPr>
                      <w:color w:val="000000"/>
                    </w:rPr>
                    <w:t>statements</w:t>
                  </w:r>
                </w:p>
                <w:p w:rsidR="00F22F94" w:rsidRDefault="00F22F94">
                  <w:pPr>
                    <w:pStyle w:val="BodyText"/>
                    <w:numPr>
                      <w:ilvl w:val="0"/>
                      <w:numId w:val="20"/>
                    </w:numPr>
                    <w:tabs>
                      <w:tab w:val="left" w:pos="397"/>
                    </w:tabs>
                    <w:spacing w:before="102" w:line="249" w:lineRule="auto"/>
                    <w:ind w:right="195"/>
                    <w:rPr>
                      <w:color w:val="000000"/>
                    </w:rPr>
                  </w:pPr>
                  <w:r>
                    <w:rPr>
                      <w:color w:val="000000"/>
                    </w:rPr>
                    <w:t>review</w:t>
                  </w:r>
                  <w:r>
                    <w:rPr>
                      <w:color w:val="000000"/>
                      <w:spacing w:val="-7"/>
                    </w:rPr>
                    <w:t xml:space="preserve"> </w:t>
                  </w:r>
                  <w:r>
                    <w:rPr>
                      <w:color w:val="000000"/>
                    </w:rPr>
                    <w:t>and</w:t>
                  </w:r>
                  <w:r>
                    <w:rPr>
                      <w:color w:val="000000"/>
                      <w:spacing w:val="-7"/>
                    </w:rPr>
                    <w:t xml:space="preserve"> </w:t>
                  </w:r>
                  <w:r>
                    <w:rPr>
                      <w:color w:val="000000"/>
                    </w:rPr>
                    <w:t>evaluation</w:t>
                  </w:r>
                  <w:r>
                    <w:rPr>
                      <w:color w:val="000000"/>
                      <w:spacing w:val="-7"/>
                    </w:rPr>
                    <w:t xml:space="preserve"> </w:t>
                  </w:r>
                  <w:r>
                    <w:rPr>
                      <w:color w:val="000000"/>
                    </w:rPr>
                    <w:t>of</w:t>
                  </w:r>
                  <w:r>
                    <w:rPr>
                      <w:color w:val="000000"/>
                      <w:spacing w:val="-7"/>
                    </w:rPr>
                    <w:t xml:space="preserve"> </w:t>
                  </w:r>
                  <w:r>
                    <w:rPr>
                      <w:color w:val="000000"/>
                    </w:rPr>
                    <w:t>proposed</w:t>
                  </w:r>
                  <w:r>
                    <w:rPr>
                      <w:color w:val="000000"/>
                      <w:spacing w:val="-7"/>
                    </w:rPr>
                    <w:t xml:space="preserve"> </w:t>
                  </w:r>
                  <w:r>
                    <w:rPr>
                      <w:color w:val="000000"/>
                    </w:rPr>
                    <w:t xml:space="preserve">major </w:t>
                  </w:r>
                  <w:r>
                    <w:rPr>
                      <w:color w:val="000000"/>
                      <w:w w:val="95"/>
                    </w:rPr>
                    <w:t>infrastructure</w:t>
                  </w:r>
                  <w:r>
                    <w:rPr>
                      <w:color w:val="000000"/>
                      <w:spacing w:val="-1"/>
                      <w:w w:val="95"/>
                    </w:rPr>
                    <w:t xml:space="preserve"> </w:t>
                  </w:r>
                  <w:r>
                    <w:rPr>
                      <w:color w:val="000000"/>
                      <w:w w:val="95"/>
                    </w:rPr>
                    <w:t>projects</w:t>
                  </w:r>
                  <w:r>
                    <w:rPr>
                      <w:color w:val="000000"/>
                      <w:spacing w:val="-1"/>
                      <w:w w:val="95"/>
                    </w:rPr>
                    <w:t xml:space="preserve"> </w:t>
                  </w:r>
                  <w:r>
                    <w:rPr>
                      <w:color w:val="000000"/>
                      <w:w w:val="95"/>
                    </w:rPr>
                    <w:t>by</w:t>
                  </w:r>
                  <w:r>
                    <w:rPr>
                      <w:color w:val="000000"/>
                      <w:spacing w:val="-1"/>
                      <w:w w:val="95"/>
                    </w:rPr>
                    <w:t xml:space="preserve"> </w:t>
                  </w:r>
                  <w:r>
                    <w:rPr>
                      <w:color w:val="000000"/>
                      <w:w w:val="95"/>
                    </w:rPr>
                    <w:t>government</w:t>
                  </w:r>
                  <w:r>
                    <w:rPr>
                      <w:color w:val="000000"/>
                      <w:spacing w:val="-1"/>
                      <w:w w:val="95"/>
                    </w:rPr>
                    <w:t xml:space="preserve"> </w:t>
                  </w:r>
                  <w:r>
                    <w:rPr>
                      <w:color w:val="000000"/>
                      <w:w w:val="95"/>
                    </w:rPr>
                    <w:t>agencies</w:t>
                  </w:r>
                  <w:r>
                    <w:rPr>
                      <w:color w:val="000000"/>
                      <w:spacing w:val="-1"/>
                      <w:w w:val="95"/>
                    </w:rPr>
                    <w:t xml:space="preserve"> </w:t>
                  </w:r>
                  <w:r>
                    <w:rPr>
                      <w:color w:val="000000"/>
                      <w:w w:val="95"/>
                    </w:rPr>
                    <w:t xml:space="preserve">or </w:t>
                  </w:r>
                  <w:r>
                    <w:rPr>
                      <w:color w:val="000000"/>
                    </w:rPr>
                    <w:t>the private sector</w:t>
                  </w:r>
                </w:p>
                <w:p w:rsidR="00F22F94" w:rsidRDefault="00F22F94">
                  <w:pPr>
                    <w:pStyle w:val="BodyText"/>
                    <w:numPr>
                      <w:ilvl w:val="0"/>
                      <w:numId w:val="20"/>
                    </w:numPr>
                    <w:tabs>
                      <w:tab w:val="left" w:pos="397"/>
                    </w:tabs>
                    <w:spacing w:before="103" w:line="249" w:lineRule="auto"/>
                    <w:ind w:right="154"/>
                    <w:rPr>
                      <w:color w:val="000000"/>
                    </w:rPr>
                  </w:pPr>
                  <w:r>
                    <w:rPr>
                      <w:color w:val="000000"/>
                    </w:rPr>
                    <w:t>advice</w:t>
                  </w:r>
                  <w:r>
                    <w:rPr>
                      <w:color w:val="000000"/>
                      <w:spacing w:val="-11"/>
                    </w:rPr>
                    <w:t xml:space="preserve"> </w:t>
                  </w:r>
                  <w:r>
                    <w:rPr>
                      <w:color w:val="000000"/>
                    </w:rPr>
                    <w:t>on</w:t>
                  </w:r>
                  <w:r>
                    <w:rPr>
                      <w:color w:val="000000"/>
                      <w:spacing w:val="-11"/>
                    </w:rPr>
                    <w:t xml:space="preserve"> </w:t>
                  </w:r>
                  <w:r>
                    <w:rPr>
                      <w:color w:val="000000"/>
                    </w:rPr>
                    <w:t>infrastructure</w:t>
                  </w:r>
                  <w:r>
                    <w:rPr>
                      <w:color w:val="000000"/>
                      <w:spacing w:val="-11"/>
                    </w:rPr>
                    <w:t xml:space="preserve"> </w:t>
                  </w:r>
                  <w:r>
                    <w:rPr>
                      <w:color w:val="000000"/>
                    </w:rPr>
                    <w:t>planning</w:t>
                  </w:r>
                  <w:r>
                    <w:rPr>
                      <w:color w:val="000000"/>
                      <w:spacing w:val="-11"/>
                    </w:rPr>
                    <w:t xml:space="preserve"> </w:t>
                  </w:r>
                  <w:r>
                    <w:rPr>
                      <w:color w:val="000000"/>
                    </w:rPr>
                    <w:t>and</w:t>
                  </w:r>
                  <w:r>
                    <w:rPr>
                      <w:color w:val="000000"/>
                      <w:spacing w:val="-11"/>
                    </w:rPr>
                    <w:t xml:space="preserve"> </w:t>
                  </w:r>
                  <w:r>
                    <w:rPr>
                      <w:color w:val="000000"/>
                    </w:rPr>
                    <w:t xml:space="preserve">delivery </w:t>
                  </w:r>
                  <w:r>
                    <w:rPr>
                      <w:color w:val="000000"/>
                      <w:w w:val="95"/>
                    </w:rPr>
                    <w:t xml:space="preserve">assessment, economic or regulatory impediments </w:t>
                  </w:r>
                  <w:r>
                    <w:rPr>
                      <w:color w:val="000000"/>
                    </w:rPr>
                    <w:t>and funding models</w:t>
                  </w:r>
                </w:p>
                <w:p w:rsidR="00F22F94" w:rsidRDefault="00F22F94">
                  <w:pPr>
                    <w:pStyle w:val="BodyText"/>
                    <w:numPr>
                      <w:ilvl w:val="0"/>
                      <w:numId w:val="20"/>
                    </w:numPr>
                    <w:tabs>
                      <w:tab w:val="left" w:pos="397"/>
                    </w:tabs>
                    <w:spacing w:before="103" w:line="249" w:lineRule="auto"/>
                    <w:ind w:right="566"/>
                    <w:rPr>
                      <w:color w:val="000000"/>
                    </w:rPr>
                  </w:pPr>
                  <w:r>
                    <w:rPr>
                      <w:color w:val="000000"/>
                      <w:w w:val="95"/>
                    </w:rPr>
                    <w:t>Coordination</w:t>
                  </w:r>
                  <w:r>
                    <w:rPr>
                      <w:color w:val="000000"/>
                      <w:spacing w:val="-1"/>
                      <w:w w:val="95"/>
                    </w:rPr>
                    <w:t xml:space="preserve"> </w:t>
                  </w:r>
                  <w:r>
                    <w:rPr>
                      <w:color w:val="000000"/>
                      <w:w w:val="95"/>
                    </w:rPr>
                    <w:t>of</w:t>
                  </w:r>
                  <w:r>
                    <w:rPr>
                      <w:color w:val="000000"/>
                      <w:spacing w:val="-1"/>
                      <w:w w:val="95"/>
                    </w:rPr>
                    <w:t xml:space="preserve"> </w:t>
                  </w:r>
                  <w:r>
                    <w:rPr>
                      <w:color w:val="000000"/>
                      <w:w w:val="95"/>
                    </w:rPr>
                    <w:t>infrastructure</w:t>
                  </w:r>
                  <w:r>
                    <w:rPr>
                      <w:color w:val="000000"/>
                      <w:spacing w:val="-1"/>
                      <w:w w:val="95"/>
                    </w:rPr>
                    <w:t xml:space="preserve"> </w:t>
                  </w:r>
                  <w:r>
                    <w:rPr>
                      <w:color w:val="000000"/>
                      <w:w w:val="95"/>
                    </w:rPr>
                    <w:t>submissions</w:t>
                  </w:r>
                  <w:r>
                    <w:rPr>
                      <w:color w:val="000000"/>
                      <w:spacing w:val="-1"/>
                      <w:w w:val="95"/>
                    </w:rPr>
                    <w:t xml:space="preserve"> </w:t>
                  </w:r>
                  <w:r>
                    <w:rPr>
                      <w:color w:val="000000"/>
                      <w:w w:val="95"/>
                    </w:rPr>
                    <w:t xml:space="preserve">by </w:t>
                  </w:r>
                  <w:r>
                    <w:rPr>
                      <w:color w:val="000000"/>
                    </w:rPr>
                    <w:t>NSW</w:t>
                  </w:r>
                  <w:r>
                    <w:rPr>
                      <w:color w:val="000000"/>
                      <w:spacing w:val="-1"/>
                    </w:rPr>
                    <w:t xml:space="preserve"> </w:t>
                  </w:r>
                  <w:r>
                    <w:rPr>
                      <w:color w:val="000000"/>
                    </w:rPr>
                    <w:t>to</w:t>
                  </w:r>
                  <w:r>
                    <w:rPr>
                      <w:color w:val="000000"/>
                      <w:spacing w:val="-1"/>
                    </w:rPr>
                    <w:t xml:space="preserve"> </w:t>
                  </w:r>
                  <w:r>
                    <w:rPr>
                      <w:color w:val="000000"/>
                    </w:rPr>
                    <w:t>the</w:t>
                  </w:r>
                  <w:r>
                    <w:rPr>
                      <w:color w:val="000000"/>
                      <w:spacing w:val="-1"/>
                    </w:rPr>
                    <w:t xml:space="preserve"> </w:t>
                  </w:r>
                  <w:r>
                    <w:rPr>
                      <w:color w:val="000000"/>
                    </w:rPr>
                    <w:t>Commonwealth</w:t>
                  </w:r>
                  <w:r>
                    <w:rPr>
                      <w:color w:val="000000"/>
                      <w:spacing w:val="-1"/>
                    </w:rPr>
                    <w:t xml:space="preserve"> </w:t>
                  </w:r>
                  <w:r>
                    <w:rPr>
                      <w:color w:val="000000"/>
                    </w:rPr>
                    <w:t>Government.</w:t>
                  </w:r>
                </w:p>
                <w:p w:rsidR="00F22F94" w:rsidRDefault="00F22F94">
                  <w:pPr>
                    <w:spacing w:before="114"/>
                    <w:ind w:left="113"/>
                    <w:rPr>
                      <w:b/>
                      <w:color w:val="000000"/>
                      <w:sz w:val="20"/>
                    </w:rPr>
                  </w:pPr>
                  <w:r>
                    <w:rPr>
                      <w:b/>
                      <w:color w:val="00AEEF"/>
                      <w:spacing w:val="-4"/>
                      <w:sz w:val="20"/>
                    </w:rPr>
                    <w:t>Five</w:t>
                  </w:r>
                  <w:r>
                    <w:rPr>
                      <w:b/>
                      <w:color w:val="00AEEF"/>
                      <w:spacing w:val="-3"/>
                      <w:sz w:val="20"/>
                    </w:rPr>
                    <w:t xml:space="preserve"> </w:t>
                  </w:r>
                  <w:r>
                    <w:rPr>
                      <w:b/>
                      <w:color w:val="00AEEF"/>
                      <w:spacing w:val="-4"/>
                      <w:sz w:val="20"/>
                    </w:rPr>
                    <w:t>Year</w:t>
                  </w:r>
                  <w:r>
                    <w:rPr>
                      <w:b/>
                      <w:color w:val="00AEEF"/>
                      <w:spacing w:val="-3"/>
                      <w:sz w:val="20"/>
                    </w:rPr>
                    <w:t xml:space="preserve"> </w:t>
                  </w:r>
                  <w:r>
                    <w:rPr>
                      <w:b/>
                      <w:color w:val="00AEEF"/>
                      <w:spacing w:val="-4"/>
                      <w:sz w:val="20"/>
                    </w:rPr>
                    <w:t>Infrastructure</w:t>
                  </w:r>
                  <w:r>
                    <w:rPr>
                      <w:b/>
                      <w:color w:val="00AEEF"/>
                      <w:spacing w:val="-2"/>
                      <w:sz w:val="20"/>
                    </w:rPr>
                    <w:t xml:space="preserve"> </w:t>
                  </w:r>
                  <w:r>
                    <w:rPr>
                      <w:b/>
                      <w:color w:val="00AEEF"/>
                      <w:spacing w:val="-4"/>
                      <w:sz w:val="20"/>
                    </w:rPr>
                    <w:t>Plans</w:t>
                  </w:r>
                </w:p>
                <w:p w:rsidR="00F22F94" w:rsidRDefault="00F22F94">
                  <w:pPr>
                    <w:pStyle w:val="BodyText"/>
                    <w:spacing w:before="67" w:line="249" w:lineRule="auto"/>
                    <w:ind w:left="113" w:right="122"/>
                    <w:rPr>
                      <w:color w:val="000000"/>
                    </w:rPr>
                  </w:pPr>
                  <w:r>
                    <w:rPr>
                      <w:color w:val="000000"/>
                      <w:w w:val="95"/>
                    </w:rPr>
                    <w:t>Infrastructure</w:t>
                  </w:r>
                  <w:r>
                    <w:rPr>
                      <w:color w:val="000000"/>
                      <w:spacing w:val="-5"/>
                      <w:w w:val="95"/>
                    </w:rPr>
                    <w:t xml:space="preserve"> </w:t>
                  </w:r>
                  <w:r>
                    <w:rPr>
                      <w:color w:val="000000"/>
                      <w:w w:val="95"/>
                    </w:rPr>
                    <w:t>NSW</w:t>
                  </w:r>
                  <w:r>
                    <w:rPr>
                      <w:color w:val="000000"/>
                      <w:spacing w:val="-5"/>
                      <w:w w:val="95"/>
                    </w:rPr>
                    <w:t xml:space="preserve"> </w:t>
                  </w:r>
                  <w:r>
                    <w:rPr>
                      <w:color w:val="000000"/>
                      <w:w w:val="95"/>
                    </w:rPr>
                    <w:t>is</w:t>
                  </w:r>
                  <w:r>
                    <w:rPr>
                      <w:color w:val="000000"/>
                      <w:spacing w:val="-5"/>
                      <w:w w:val="95"/>
                    </w:rPr>
                    <w:t xml:space="preserve"> </w:t>
                  </w:r>
                  <w:r>
                    <w:rPr>
                      <w:color w:val="000000"/>
                      <w:w w:val="95"/>
                    </w:rPr>
                    <w:t>required</w:t>
                  </w:r>
                  <w:r>
                    <w:rPr>
                      <w:color w:val="000000"/>
                      <w:spacing w:val="-5"/>
                      <w:w w:val="95"/>
                    </w:rPr>
                    <w:t xml:space="preserve"> </w:t>
                  </w:r>
                  <w:r>
                    <w:rPr>
                      <w:color w:val="000000"/>
                      <w:w w:val="95"/>
                    </w:rPr>
                    <w:t>to</w:t>
                  </w:r>
                  <w:r>
                    <w:rPr>
                      <w:color w:val="000000"/>
                      <w:spacing w:val="-5"/>
                      <w:w w:val="95"/>
                    </w:rPr>
                    <w:t xml:space="preserve"> </w:t>
                  </w:r>
                  <w:r>
                    <w:rPr>
                      <w:color w:val="000000"/>
                      <w:w w:val="95"/>
                    </w:rPr>
                    <w:t>prepare</w:t>
                  </w:r>
                  <w:r>
                    <w:rPr>
                      <w:color w:val="000000"/>
                      <w:spacing w:val="-5"/>
                      <w:w w:val="95"/>
                    </w:rPr>
                    <w:t xml:space="preserve"> </w:t>
                  </w:r>
                  <w:r>
                    <w:rPr>
                      <w:color w:val="000000"/>
                      <w:w w:val="95"/>
                    </w:rPr>
                    <w:t>and</w:t>
                  </w:r>
                  <w:r>
                    <w:rPr>
                      <w:color w:val="000000"/>
                      <w:spacing w:val="-5"/>
                      <w:w w:val="95"/>
                    </w:rPr>
                    <w:t xml:space="preserve"> </w:t>
                  </w:r>
                  <w:r>
                    <w:rPr>
                      <w:color w:val="000000"/>
                      <w:w w:val="95"/>
                    </w:rPr>
                    <w:t xml:space="preserve">submit </w:t>
                  </w:r>
                  <w:r>
                    <w:rPr>
                      <w:color w:val="000000"/>
                    </w:rPr>
                    <w:t>to</w:t>
                  </w:r>
                  <w:r>
                    <w:rPr>
                      <w:color w:val="000000"/>
                      <w:spacing w:val="-14"/>
                    </w:rPr>
                    <w:t xml:space="preserve"> </w:t>
                  </w:r>
                  <w:r>
                    <w:rPr>
                      <w:color w:val="000000"/>
                    </w:rPr>
                    <w:t>the</w:t>
                  </w:r>
                  <w:r>
                    <w:rPr>
                      <w:color w:val="000000"/>
                      <w:spacing w:val="-14"/>
                    </w:rPr>
                    <w:t xml:space="preserve"> </w:t>
                  </w:r>
                  <w:r>
                    <w:rPr>
                      <w:color w:val="000000"/>
                    </w:rPr>
                    <w:t>Premier</w:t>
                  </w:r>
                  <w:r>
                    <w:rPr>
                      <w:color w:val="000000"/>
                      <w:spacing w:val="-14"/>
                    </w:rPr>
                    <w:t xml:space="preserve"> </w:t>
                  </w:r>
                  <w:r>
                    <w:rPr>
                      <w:color w:val="000000"/>
                    </w:rPr>
                    <w:t>a</w:t>
                  </w:r>
                  <w:r>
                    <w:rPr>
                      <w:color w:val="000000"/>
                      <w:spacing w:val="-14"/>
                    </w:rPr>
                    <w:t xml:space="preserve"> </w:t>
                  </w:r>
                  <w:r>
                    <w:rPr>
                      <w:color w:val="000000"/>
                    </w:rPr>
                    <w:t>five</w:t>
                  </w:r>
                  <w:r>
                    <w:rPr>
                      <w:color w:val="000000"/>
                      <w:spacing w:val="-14"/>
                    </w:rPr>
                    <w:t xml:space="preserve"> </w:t>
                  </w:r>
                  <w:r>
                    <w:rPr>
                      <w:color w:val="000000"/>
                    </w:rPr>
                    <w:t>year</w:t>
                  </w:r>
                  <w:r>
                    <w:rPr>
                      <w:color w:val="000000"/>
                      <w:spacing w:val="-14"/>
                    </w:rPr>
                    <w:t xml:space="preserve"> </w:t>
                  </w:r>
                  <w:r>
                    <w:rPr>
                      <w:color w:val="000000"/>
                    </w:rPr>
                    <w:t>infrastructure</w:t>
                  </w:r>
                  <w:r>
                    <w:rPr>
                      <w:color w:val="000000"/>
                      <w:spacing w:val="-14"/>
                    </w:rPr>
                    <w:t xml:space="preserve"> </w:t>
                  </w:r>
                  <w:r>
                    <w:rPr>
                      <w:color w:val="000000"/>
                    </w:rPr>
                    <w:t>strategy</w:t>
                  </w:r>
                </w:p>
                <w:p w:rsidR="00F22F94" w:rsidRDefault="00F22F94">
                  <w:pPr>
                    <w:pStyle w:val="BodyText"/>
                    <w:spacing w:before="2" w:line="249" w:lineRule="auto"/>
                    <w:ind w:left="113" w:right="518"/>
                    <w:rPr>
                      <w:color w:val="000000"/>
                    </w:rPr>
                  </w:pPr>
                  <w:r>
                    <w:rPr>
                      <w:color w:val="000000"/>
                    </w:rPr>
                    <w:t>to</w:t>
                  </w:r>
                  <w:r>
                    <w:rPr>
                      <w:color w:val="000000"/>
                      <w:spacing w:val="-13"/>
                    </w:rPr>
                    <w:t xml:space="preserve"> </w:t>
                  </w:r>
                  <w:r>
                    <w:rPr>
                      <w:color w:val="000000"/>
                    </w:rPr>
                    <w:t>identify</w:t>
                  </w:r>
                  <w:r>
                    <w:rPr>
                      <w:color w:val="000000"/>
                      <w:spacing w:val="-13"/>
                    </w:rPr>
                    <w:t xml:space="preserve"> </w:t>
                  </w:r>
                  <w:r>
                    <w:rPr>
                      <w:color w:val="000000"/>
                    </w:rPr>
                    <w:t>specific</w:t>
                  </w:r>
                  <w:r>
                    <w:rPr>
                      <w:color w:val="000000"/>
                      <w:spacing w:val="-13"/>
                    </w:rPr>
                    <w:t xml:space="preserve"> </w:t>
                  </w:r>
                  <w:r>
                    <w:rPr>
                      <w:color w:val="000000"/>
                    </w:rPr>
                    <w:t>major</w:t>
                  </w:r>
                  <w:r>
                    <w:rPr>
                      <w:color w:val="000000"/>
                      <w:spacing w:val="-13"/>
                    </w:rPr>
                    <w:t xml:space="preserve"> </w:t>
                  </w:r>
                  <w:r>
                    <w:rPr>
                      <w:color w:val="000000"/>
                    </w:rPr>
                    <w:t>infrastructure</w:t>
                  </w:r>
                  <w:r>
                    <w:rPr>
                      <w:color w:val="000000"/>
                      <w:spacing w:val="-13"/>
                    </w:rPr>
                    <w:t xml:space="preserve"> </w:t>
                  </w:r>
                  <w:r>
                    <w:rPr>
                      <w:color w:val="000000"/>
                    </w:rPr>
                    <w:t xml:space="preserve">projects </w:t>
                  </w:r>
                  <w:r>
                    <w:rPr>
                      <w:color w:val="000000"/>
                      <w:w w:val="95"/>
                    </w:rPr>
                    <w:t>to</w:t>
                  </w:r>
                  <w:r>
                    <w:rPr>
                      <w:color w:val="000000"/>
                      <w:spacing w:val="-8"/>
                      <w:w w:val="95"/>
                    </w:rPr>
                    <w:t xml:space="preserve"> </w:t>
                  </w:r>
                  <w:r>
                    <w:rPr>
                      <w:color w:val="000000"/>
                      <w:w w:val="95"/>
                    </w:rPr>
                    <w:t>be</w:t>
                  </w:r>
                  <w:r>
                    <w:rPr>
                      <w:color w:val="000000"/>
                      <w:spacing w:val="-8"/>
                      <w:w w:val="95"/>
                    </w:rPr>
                    <w:t xml:space="preserve"> </w:t>
                  </w:r>
                  <w:r>
                    <w:rPr>
                      <w:color w:val="000000"/>
                      <w:w w:val="95"/>
                    </w:rPr>
                    <w:t>undertaken</w:t>
                  </w:r>
                  <w:r>
                    <w:rPr>
                      <w:color w:val="000000"/>
                      <w:spacing w:val="-8"/>
                      <w:w w:val="95"/>
                    </w:rPr>
                    <w:t xml:space="preserve"> </w:t>
                  </w:r>
                  <w:r>
                    <w:rPr>
                      <w:color w:val="000000"/>
                      <w:w w:val="95"/>
                    </w:rPr>
                    <w:t>as</w:t>
                  </w:r>
                  <w:r>
                    <w:rPr>
                      <w:color w:val="000000"/>
                      <w:spacing w:val="-8"/>
                      <w:w w:val="95"/>
                    </w:rPr>
                    <w:t xml:space="preserve"> </w:t>
                  </w:r>
                  <w:r>
                    <w:rPr>
                      <w:color w:val="000000"/>
                      <w:w w:val="95"/>
                    </w:rPr>
                    <w:t>a</w:t>
                  </w:r>
                  <w:r>
                    <w:rPr>
                      <w:color w:val="000000"/>
                      <w:spacing w:val="-8"/>
                      <w:w w:val="95"/>
                    </w:rPr>
                    <w:t xml:space="preserve"> </w:t>
                  </w:r>
                  <w:r>
                    <w:rPr>
                      <w:color w:val="000000"/>
                      <w:w w:val="95"/>
                    </w:rPr>
                    <w:t>priority</w:t>
                  </w:r>
                  <w:r>
                    <w:rPr>
                      <w:color w:val="000000"/>
                      <w:spacing w:val="-8"/>
                      <w:w w:val="95"/>
                    </w:rPr>
                    <w:t xml:space="preserve"> </w:t>
                  </w:r>
                  <w:r>
                    <w:rPr>
                      <w:color w:val="000000"/>
                      <w:w w:val="95"/>
                    </w:rPr>
                    <w:t>in</w:t>
                  </w:r>
                  <w:r>
                    <w:rPr>
                      <w:color w:val="000000"/>
                      <w:spacing w:val="-8"/>
                      <w:w w:val="95"/>
                    </w:rPr>
                    <w:t xml:space="preserve"> </w:t>
                  </w:r>
                  <w:r>
                    <w:rPr>
                      <w:color w:val="000000"/>
                      <w:w w:val="95"/>
                    </w:rPr>
                    <w:t>the</w:t>
                  </w:r>
                  <w:r>
                    <w:rPr>
                      <w:color w:val="000000"/>
                      <w:spacing w:val="-8"/>
                      <w:w w:val="95"/>
                    </w:rPr>
                    <w:t xml:space="preserve"> </w:t>
                  </w:r>
                  <w:r>
                    <w:rPr>
                      <w:color w:val="000000"/>
                      <w:w w:val="95"/>
                    </w:rPr>
                    <w:t>following</w:t>
                  </w:r>
                  <w:r>
                    <w:rPr>
                      <w:color w:val="000000"/>
                      <w:spacing w:val="-8"/>
                      <w:w w:val="95"/>
                    </w:rPr>
                    <w:t xml:space="preserve"> </w:t>
                  </w:r>
                  <w:r>
                    <w:rPr>
                      <w:color w:val="000000"/>
                      <w:w w:val="95"/>
                    </w:rPr>
                    <w:t xml:space="preserve">five </w:t>
                  </w:r>
                  <w:r>
                    <w:rPr>
                      <w:color w:val="000000"/>
                      <w:spacing w:val="-2"/>
                    </w:rPr>
                    <w:t>years.</w:t>
                  </w:r>
                  <w:r>
                    <w:rPr>
                      <w:color w:val="000000"/>
                      <w:spacing w:val="-10"/>
                    </w:rPr>
                    <w:t xml:space="preserve"> </w:t>
                  </w:r>
                  <w:r>
                    <w:rPr>
                      <w:color w:val="000000"/>
                      <w:spacing w:val="-2"/>
                    </w:rPr>
                    <w:t>These</w:t>
                  </w:r>
                  <w:r>
                    <w:rPr>
                      <w:color w:val="000000"/>
                      <w:spacing w:val="-10"/>
                    </w:rPr>
                    <w:t xml:space="preserve"> </w:t>
                  </w:r>
                  <w:r>
                    <w:rPr>
                      <w:color w:val="000000"/>
                      <w:spacing w:val="-2"/>
                    </w:rPr>
                    <w:t>five</w:t>
                  </w:r>
                  <w:r>
                    <w:rPr>
                      <w:color w:val="000000"/>
                      <w:spacing w:val="-10"/>
                    </w:rPr>
                    <w:t xml:space="preserve"> </w:t>
                  </w:r>
                  <w:r>
                    <w:rPr>
                      <w:color w:val="000000"/>
                      <w:spacing w:val="-2"/>
                    </w:rPr>
                    <w:t>year</w:t>
                  </w:r>
                  <w:r>
                    <w:rPr>
                      <w:color w:val="000000"/>
                      <w:spacing w:val="-10"/>
                    </w:rPr>
                    <w:t xml:space="preserve"> </w:t>
                  </w:r>
                  <w:r>
                    <w:rPr>
                      <w:color w:val="000000"/>
                      <w:spacing w:val="-2"/>
                    </w:rPr>
                    <w:t>plans</w:t>
                  </w:r>
                  <w:r>
                    <w:rPr>
                      <w:color w:val="000000"/>
                      <w:spacing w:val="-10"/>
                    </w:rPr>
                    <w:t xml:space="preserve"> </w:t>
                  </w:r>
                  <w:r>
                    <w:rPr>
                      <w:color w:val="000000"/>
                      <w:spacing w:val="-2"/>
                    </w:rPr>
                    <w:t>are</w:t>
                  </w:r>
                  <w:r>
                    <w:rPr>
                      <w:color w:val="000000"/>
                      <w:spacing w:val="-10"/>
                    </w:rPr>
                    <w:t xml:space="preserve"> </w:t>
                  </w:r>
                  <w:r>
                    <w:rPr>
                      <w:color w:val="000000"/>
                      <w:spacing w:val="-2"/>
                    </w:rPr>
                    <w:t>to</w:t>
                  </w:r>
                  <w:r>
                    <w:rPr>
                      <w:color w:val="000000"/>
                      <w:spacing w:val="-10"/>
                    </w:rPr>
                    <w:t xml:space="preserve"> </w:t>
                  </w:r>
                  <w:r>
                    <w:rPr>
                      <w:color w:val="000000"/>
                      <w:spacing w:val="-2"/>
                    </w:rPr>
                    <w:t>be</w:t>
                  </w:r>
                  <w:r>
                    <w:rPr>
                      <w:color w:val="000000"/>
                      <w:spacing w:val="-10"/>
                    </w:rPr>
                    <w:t xml:space="preserve"> </w:t>
                  </w:r>
                  <w:r>
                    <w:rPr>
                      <w:color w:val="000000"/>
                      <w:spacing w:val="-2"/>
                    </w:rPr>
                    <w:t xml:space="preserve">reviewed </w:t>
                  </w:r>
                  <w:r>
                    <w:rPr>
                      <w:color w:val="000000"/>
                    </w:rPr>
                    <w:t>every</w:t>
                  </w:r>
                  <w:r>
                    <w:rPr>
                      <w:color w:val="000000"/>
                      <w:spacing w:val="-11"/>
                    </w:rPr>
                    <w:t xml:space="preserve"> </w:t>
                  </w:r>
                  <w:r>
                    <w:rPr>
                      <w:color w:val="000000"/>
                    </w:rPr>
                    <w:t>year</w:t>
                  </w:r>
                  <w:r>
                    <w:rPr>
                      <w:color w:val="000000"/>
                      <w:spacing w:val="-11"/>
                    </w:rPr>
                    <w:t xml:space="preserve"> </w:t>
                  </w:r>
                  <w:r>
                    <w:rPr>
                      <w:color w:val="000000"/>
                    </w:rPr>
                    <w:t>and</w:t>
                  </w:r>
                  <w:r>
                    <w:rPr>
                      <w:color w:val="000000"/>
                      <w:spacing w:val="-11"/>
                    </w:rPr>
                    <w:t xml:space="preserve"> </w:t>
                  </w:r>
                  <w:r>
                    <w:rPr>
                      <w:color w:val="000000"/>
                    </w:rPr>
                    <w:t>a</w:t>
                  </w:r>
                  <w:r>
                    <w:rPr>
                      <w:color w:val="000000"/>
                      <w:spacing w:val="-11"/>
                    </w:rPr>
                    <w:t xml:space="preserve"> </w:t>
                  </w:r>
                  <w:r>
                    <w:rPr>
                      <w:color w:val="000000"/>
                    </w:rPr>
                    <w:t>revised</w:t>
                  </w:r>
                  <w:r>
                    <w:rPr>
                      <w:color w:val="000000"/>
                      <w:spacing w:val="-11"/>
                    </w:rPr>
                    <w:t xml:space="preserve"> </w:t>
                  </w:r>
                  <w:r>
                    <w:rPr>
                      <w:color w:val="000000"/>
                    </w:rPr>
                    <w:t>plan</w:t>
                  </w:r>
                  <w:r>
                    <w:rPr>
                      <w:color w:val="000000"/>
                      <w:spacing w:val="-11"/>
                    </w:rPr>
                    <w:t xml:space="preserve"> </w:t>
                  </w:r>
                  <w:r>
                    <w:rPr>
                      <w:color w:val="000000"/>
                    </w:rPr>
                    <w:t>submitted</w:t>
                  </w:r>
                  <w:r>
                    <w:rPr>
                      <w:color w:val="000000"/>
                      <w:spacing w:val="-11"/>
                    </w:rPr>
                    <w:t xml:space="preserve"> </w:t>
                  </w:r>
                  <w:r>
                    <w:rPr>
                      <w:color w:val="000000"/>
                    </w:rPr>
                    <w:t>to</w:t>
                  </w:r>
                  <w:r>
                    <w:rPr>
                      <w:color w:val="000000"/>
                      <w:spacing w:val="-11"/>
                    </w:rPr>
                    <w:t xml:space="preserve"> </w:t>
                  </w:r>
                  <w:r>
                    <w:rPr>
                      <w:color w:val="000000"/>
                    </w:rPr>
                    <w:t>the</w:t>
                  </w:r>
                </w:p>
                <w:p w:rsidR="00F22F94" w:rsidRDefault="00F22F94">
                  <w:pPr>
                    <w:pStyle w:val="BodyText"/>
                    <w:spacing w:before="3" w:line="249" w:lineRule="auto"/>
                    <w:ind w:left="113" w:right="268"/>
                    <w:jc w:val="both"/>
                    <w:rPr>
                      <w:color w:val="000000"/>
                    </w:rPr>
                  </w:pPr>
                  <w:r>
                    <w:rPr>
                      <w:color w:val="000000"/>
                      <w:w w:val="95"/>
                    </w:rPr>
                    <w:t>Premier,</w:t>
                  </w:r>
                  <w:r>
                    <w:rPr>
                      <w:color w:val="000000"/>
                      <w:spacing w:val="-1"/>
                      <w:w w:val="95"/>
                    </w:rPr>
                    <w:t xml:space="preserve"> </w:t>
                  </w:r>
                  <w:r>
                    <w:rPr>
                      <w:color w:val="000000"/>
                      <w:w w:val="95"/>
                    </w:rPr>
                    <w:t>if</w:t>
                  </w:r>
                  <w:r>
                    <w:rPr>
                      <w:color w:val="000000"/>
                      <w:spacing w:val="-1"/>
                      <w:w w:val="95"/>
                    </w:rPr>
                    <w:t xml:space="preserve"> </w:t>
                  </w:r>
                  <w:r>
                    <w:rPr>
                      <w:color w:val="000000"/>
                      <w:w w:val="95"/>
                    </w:rPr>
                    <w:t>required.</w:t>
                  </w:r>
                  <w:r>
                    <w:rPr>
                      <w:color w:val="000000"/>
                      <w:spacing w:val="-1"/>
                      <w:w w:val="95"/>
                    </w:rPr>
                    <w:t xml:space="preserve"> </w:t>
                  </w:r>
                  <w:r>
                    <w:rPr>
                      <w:color w:val="000000"/>
                      <w:w w:val="95"/>
                    </w:rPr>
                    <w:t>In</w:t>
                  </w:r>
                  <w:r>
                    <w:rPr>
                      <w:color w:val="000000"/>
                      <w:spacing w:val="-1"/>
                      <w:w w:val="95"/>
                    </w:rPr>
                    <w:t xml:space="preserve"> </w:t>
                  </w:r>
                  <w:r>
                    <w:rPr>
                      <w:color w:val="000000"/>
                      <w:w w:val="95"/>
                    </w:rPr>
                    <w:t>preparing</w:t>
                  </w:r>
                  <w:r>
                    <w:rPr>
                      <w:color w:val="000000"/>
                      <w:spacing w:val="-1"/>
                      <w:w w:val="95"/>
                    </w:rPr>
                    <w:t xml:space="preserve"> </w:t>
                  </w:r>
                  <w:r>
                    <w:rPr>
                      <w:color w:val="000000"/>
                      <w:w w:val="95"/>
                    </w:rPr>
                    <w:t>the</w:t>
                  </w:r>
                  <w:r>
                    <w:rPr>
                      <w:color w:val="000000"/>
                      <w:spacing w:val="-1"/>
                      <w:w w:val="95"/>
                    </w:rPr>
                    <w:t xml:space="preserve"> </w:t>
                  </w:r>
                  <w:r>
                    <w:rPr>
                      <w:color w:val="000000"/>
                      <w:w w:val="95"/>
                    </w:rPr>
                    <w:t>five</w:t>
                  </w:r>
                  <w:r>
                    <w:rPr>
                      <w:color w:val="000000"/>
                      <w:spacing w:val="-1"/>
                      <w:w w:val="95"/>
                    </w:rPr>
                    <w:t xml:space="preserve"> </w:t>
                  </w:r>
                  <w:r>
                    <w:rPr>
                      <w:color w:val="000000"/>
                      <w:w w:val="95"/>
                    </w:rPr>
                    <w:t>year</w:t>
                  </w:r>
                  <w:r>
                    <w:rPr>
                      <w:color w:val="000000"/>
                      <w:spacing w:val="-1"/>
                      <w:w w:val="95"/>
                    </w:rPr>
                    <w:t xml:space="preserve"> </w:t>
                  </w:r>
                  <w:r>
                    <w:rPr>
                      <w:color w:val="000000"/>
                      <w:w w:val="95"/>
                    </w:rPr>
                    <w:t>plans, Infrastructure NSW must have regard to the 20 year State</w:t>
                  </w:r>
                  <w:r>
                    <w:rPr>
                      <w:color w:val="000000"/>
                      <w:spacing w:val="-6"/>
                      <w:w w:val="95"/>
                    </w:rPr>
                    <w:t xml:space="preserve"> </w:t>
                  </w:r>
                  <w:r>
                    <w:rPr>
                      <w:color w:val="000000"/>
                      <w:w w:val="95"/>
                    </w:rPr>
                    <w:t>Infrastructure</w:t>
                  </w:r>
                  <w:r>
                    <w:rPr>
                      <w:color w:val="000000"/>
                      <w:spacing w:val="-5"/>
                      <w:w w:val="95"/>
                    </w:rPr>
                    <w:t xml:space="preserve"> </w:t>
                  </w:r>
                  <w:r>
                    <w:rPr>
                      <w:color w:val="000000"/>
                      <w:w w:val="95"/>
                    </w:rPr>
                    <w:t>strategy</w:t>
                  </w:r>
                  <w:r>
                    <w:rPr>
                      <w:color w:val="000000"/>
                      <w:spacing w:val="-5"/>
                      <w:w w:val="95"/>
                    </w:rPr>
                    <w:t xml:space="preserve"> </w:t>
                  </w:r>
                  <w:r>
                    <w:rPr>
                      <w:color w:val="000000"/>
                      <w:w w:val="95"/>
                    </w:rPr>
                    <w:t>adopted</w:t>
                  </w:r>
                  <w:r>
                    <w:rPr>
                      <w:color w:val="000000"/>
                      <w:spacing w:val="-5"/>
                      <w:w w:val="95"/>
                    </w:rPr>
                    <w:t xml:space="preserve"> </w:t>
                  </w:r>
                  <w:r>
                    <w:rPr>
                      <w:color w:val="000000"/>
                      <w:w w:val="95"/>
                    </w:rPr>
                    <w:t>by</w:t>
                  </w:r>
                  <w:r>
                    <w:rPr>
                      <w:color w:val="000000"/>
                      <w:spacing w:val="-6"/>
                      <w:w w:val="95"/>
                    </w:rPr>
                    <w:t xml:space="preserve"> </w:t>
                  </w:r>
                  <w:r>
                    <w:rPr>
                      <w:color w:val="000000"/>
                      <w:w w:val="95"/>
                    </w:rPr>
                    <w:t>the</w:t>
                  </w:r>
                  <w:r>
                    <w:rPr>
                      <w:color w:val="000000"/>
                      <w:spacing w:val="-5"/>
                      <w:w w:val="95"/>
                    </w:rPr>
                    <w:t xml:space="preserve"> </w:t>
                  </w:r>
                  <w:r>
                    <w:rPr>
                      <w:color w:val="000000"/>
                      <w:spacing w:val="-2"/>
                      <w:w w:val="95"/>
                    </w:rPr>
                    <w:t>Premier.</w:t>
                  </w:r>
                </w:p>
              </w:txbxContent>
            </v:textbox>
            <w10:wrap anchorx="page"/>
          </v:shape>
        </w:pict>
      </w:r>
      <w:r w:rsidR="00F22F94">
        <w:rPr>
          <w:w w:val="95"/>
          <w:sz w:val="20"/>
        </w:rPr>
        <w:t xml:space="preserve">prepare a five year infrastructure plan, based on the </w:t>
      </w:r>
      <w:r w:rsidR="00F22F94">
        <w:rPr>
          <w:w w:val="90"/>
          <w:sz w:val="20"/>
        </w:rPr>
        <w:t xml:space="preserve">Strategy adopted by the Premier, identifying the specific </w:t>
      </w:r>
      <w:r w:rsidR="00F22F94">
        <w:rPr>
          <w:sz w:val="20"/>
        </w:rPr>
        <w:t>infrastructure</w:t>
      </w:r>
      <w:r w:rsidR="00F22F94">
        <w:rPr>
          <w:spacing w:val="-14"/>
          <w:sz w:val="20"/>
        </w:rPr>
        <w:t xml:space="preserve"> </w:t>
      </w:r>
      <w:r w:rsidR="00F22F94">
        <w:rPr>
          <w:sz w:val="20"/>
        </w:rPr>
        <w:t>projects</w:t>
      </w:r>
      <w:r w:rsidR="00F22F94">
        <w:rPr>
          <w:spacing w:val="-13"/>
          <w:sz w:val="20"/>
        </w:rPr>
        <w:t xml:space="preserve"> </w:t>
      </w:r>
      <w:r w:rsidR="00F22F94">
        <w:rPr>
          <w:sz w:val="20"/>
        </w:rPr>
        <w:t>to</w:t>
      </w:r>
      <w:r w:rsidR="00F22F94">
        <w:rPr>
          <w:spacing w:val="-14"/>
          <w:sz w:val="20"/>
        </w:rPr>
        <w:t xml:space="preserve"> </w:t>
      </w:r>
      <w:r w:rsidR="00F22F94">
        <w:rPr>
          <w:sz w:val="20"/>
        </w:rPr>
        <w:t>be</w:t>
      </w:r>
      <w:r w:rsidR="00F22F94">
        <w:rPr>
          <w:spacing w:val="-13"/>
          <w:sz w:val="20"/>
        </w:rPr>
        <w:t xml:space="preserve"> </w:t>
      </w:r>
      <w:r w:rsidR="00F22F94">
        <w:rPr>
          <w:sz w:val="20"/>
        </w:rPr>
        <w:t>undertaken</w:t>
      </w:r>
      <w:r w:rsidR="00F22F94">
        <w:rPr>
          <w:spacing w:val="-14"/>
          <w:sz w:val="20"/>
        </w:rPr>
        <w:t xml:space="preserve"> </w:t>
      </w:r>
      <w:r w:rsidR="00F22F94">
        <w:rPr>
          <w:sz w:val="20"/>
        </w:rPr>
        <w:t>as</w:t>
      </w:r>
      <w:r w:rsidR="00F22F94">
        <w:rPr>
          <w:spacing w:val="-13"/>
          <w:sz w:val="20"/>
        </w:rPr>
        <w:t xml:space="preserve"> </w:t>
      </w:r>
      <w:r w:rsidR="00F22F94">
        <w:rPr>
          <w:sz w:val="20"/>
        </w:rPr>
        <w:t>a</w:t>
      </w:r>
      <w:r w:rsidR="00F22F94">
        <w:rPr>
          <w:spacing w:val="-14"/>
          <w:sz w:val="20"/>
        </w:rPr>
        <w:t xml:space="preserve"> </w:t>
      </w:r>
      <w:r w:rsidR="00F22F94">
        <w:rPr>
          <w:sz w:val="20"/>
        </w:rPr>
        <w:t>priority</w:t>
      </w:r>
    </w:p>
    <w:p w:rsidR="002C1123" w:rsidRDefault="00F22F94">
      <w:pPr>
        <w:pStyle w:val="ListParagraph"/>
        <w:numPr>
          <w:ilvl w:val="3"/>
          <w:numId w:val="24"/>
        </w:numPr>
        <w:tabs>
          <w:tab w:val="left" w:pos="776"/>
        </w:tabs>
        <w:spacing w:before="131" w:line="249" w:lineRule="auto"/>
        <w:ind w:left="775" w:right="1186"/>
        <w:rPr>
          <w:sz w:val="20"/>
        </w:rPr>
      </w:pPr>
      <w:r>
        <w:rPr>
          <w:w w:val="95"/>
          <w:sz w:val="20"/>
        </w:rPr>
        <w:t>employ an enhanced major projects assurance and</w:t>
      </w:r>
      <w:r>
        <w:rPr>
          <w:spacing w:val="-5"/>
          <w:w w:val="95"/>
          <w:sz w:val="20"/>
        </w:rPr>
        <w:t xml:space="preserve"> </w:t>
      </w:r>
      <w:r>
        <w:rPr>
          <w:w w:val="95"/>
          <w:sz w:val="20"/>
        </w:rPr>
        <w:t>review</w:t>
      </w:r>
      <w:r>
        <w:rPr>
          <w:spacing w:val="-5"/>
          <w:w w:val="95"/>
          <w:sz w:val="20"/>
        </w:rPr>
        <w:t xml:space="preserve"> </w:t>
      </w:r>
      <w:r>
        <w:rPr>
          <w:w w:val="95"/>
          <w:sz w:val="20"/>
        </w:rPr>
        <w:t>process</w:t>
      </w:r>
      <w:r>
        <w:rPr>
          <w:spacing w:val="-5"/>
          <w:w w:val="95"/>
          <w:sz w:val="20"/>
        </w:rPr>
        <w:t xml:space="preserve"> </w:t>
      </w:r>
      <w:r>
        <w:rPr>
          <w:w w:val="95"/>
          <w:sz w:val="20"/>
        </w:rPr>
        <w:t>to</w:t>
      </w:r>
      <w:r>
        <w:rPr>
          <w:spacing w:val="-5"/>
          <w:w w:val="95"/>
          <w:sz w:val="20"/>
        </w:rPr>
        <w:t xml:space="preserve"> </w:t>
      </w:r>
      <w:r>
        <w:rPr>
          <w:w w:val="95"/>
          <w:sz w:val="20"/>
        </w:rPr>
        <w:t>improve</w:t>
      </w:r>
      <w:r>
        <w:rPr>
          <w:spacing w:val="-5"/>
          <w:w w:val="95"/>
          <w:sz w:val="20"/>
        </w:rPr>
        <w:t xml:space="preserve"> </w:t>
      </w:r>
      <w:r>
        <w:rPr>
          <w:w w:val="95"/>
          <w:sz w:val="20"/>
        </w:rPr>
        <w:t>the</w:t>
      </w:r>
      <w:r>
        <w:rPr>
          <w:spacing w:val="-5"/>
          <w:w w:val="95"/>
          <w:sz w:val="20"/>
        </w:rPr>
        <w:t xml:space="preserve"> </w:t>
      </w:r>
      <w:r>
        <w:rPr>
          <w:w w:val="95"/>
          <w:sz w:val="20"/>
        </w:rPr>
        <w:t>planning</w:t>
      </w:r>
      <w:r>
        <w:rPr>
          <w:spacing w:val="-5"/>
          <w:w w:val="95"/>
          <w:sz w:val="20"/>
        </w:rPr>
        <w:t xml:space="preserve"> </w:t>
      </w:r>
      <w:r>
        <w:rPr>
          <w:w w:val="95"/>
          <w:sz w:val="20"/>
        </w:rPr>
        <w:t xml:space="preserve">and </w:t>
      </w:r>
      <w:r>
        <w:rPr>
          <w:sz w:val="20"/>
        </w:rPr>
        <w:t>procurement of infrastructure</w:t>
      </w:r>
    </w:p>
    <w:p w:rsidR="002C1123" w:rsidRDefault="00F22F94">
      <w:pPr>
        <w:pStyle w:val="ListParagraph"/>
        <w:numPr>
          <w:ilvl w:val="3"/>
          <w:numId w:val="24"/>
        </w:numPr>
        <w:tabs>
          <w:tab w:val="left" w:pos="776"/>
        </w:tabs>
        <w:spacing w:before="132" w:line="249" w:lineRule="auto"/>
        <w:ind w:left="775" w:right="743"/>
        <w:rPr>
          <w:sz w:val="20"/>
        </w:rPr>
      </w:pPr>
      <w:r>
        <w:rPr>
          <w:sz w:val="20"/>
        </w:rPr>
        <w:t>prepare</w:t>
      </w:r>
      <w:r>
        <w:rPr>
          <w:spacing w:val="-11"/>
          <w:sz w:val="20"/>
        </w:rPr>
        <w:t xml:space="preserve"> </w:t>
      </w:r>
      <w:r>
        <w:rPr>
          <w:sz w:val="20"/>
        </w:rPr>
        <w:t>sectoral</w:t>
      </w:r>
      <w:r>
        <w:rPr>
          <w:spacing w:val="-11"/>
          <w:sz w:val="20"/>
        </w:rPr>
        <w:t xml:space="preserve"> </w:t>
      </w:r>
      <w:r>
        <w:rPr>
          <w:sz w:val="20"/>
        </w:rPr>
        <w:t>state</w:t>
      </w:r>
      <w:r>
        <w:rPr>
          <w:spacing w:val="-11"/>
          <w:sz w:val="20"/>
        </w:rPr>
        <w:t xml:space="preserve"> </w:t>
      </w:r>
      <w:r>
        <w:rPr>
          <w:sz w:val="20"/>
        </w:rPr>
        <w:t>infrastructure</w:t>
      </w:r>
      <w:r>
        <w:rPr>
          <w:spacing w:val="-11"/>
          <w:sz w:val="20"/>
        </w:rPr>
        <w:t xml:space="preserve"> </w:t>
      </w:r>
      <w:r>
        <w:rPr>
          <w:sz w:val="20"/>
        </w:rPr>
        <w:t>strategy statements</w:t>
      </w:r>
      <w:r>
        <w:rPr>
          <w:spacing w:val="-9"/>
          <w:sz w:val="20"/>
        </w:rPr>
        <w:t xml:space="preserve"> </w:t>
      </w:r>
      <w:r>
        <w:rPr>
          <w:sz w:val="20"/>
        </w:rPr>
        <w:t>to</w:t>
      </w:r>
      <w:r>
        <w:rPr>
          <w:spacing w:val="-9"/>
          <w:sz w:val="20"/>
        </w:rPr>
        <w:t xml:space="preserve"> </w:t>
      </w:r>
      <w:r>
        <w:rPr>
          <w:sz w:val="20"/>
        </w:rPr>
        <w:t>plan</w:t>
      </w:r>
      <w:r>
        <w:rPr>
          <w:spacing w:val="-9"/>
          <w:sz w:val="20"/>
        </w:rPr>
        <w:t xml:space="preserve"> </w:t>
      </w:r>
      <w:r>
        <w:rPr>
          <w:sz w:val="20"/>
        </w:rPr>
        <w:t>the</w:t>
      </w:r>
      <w:r>
        <w:rPr>
          <w:spacing w:val="-9"/>
          <w:sz w:val="20"/>
        </w:rPr>
        <w:t xml:space="preserve"> </w:t>
      </w:r>
      <w:r>
        <w:rPr>
          <w:sz w:val="20"/>
        </w:rPr>
        <w:t>next</w:t>
      </w:r>
      <w:r>
        <w:rPr>
          <w:spacing w:val="-9"/>
          <w:sz w:val="20"/>
        </w:rPr>
        <w:t xml:space="preserve"> </w:t>
      </w:r>
      <w:r>
        <w:rPr>
          <w:sz w:val="20"/>
        </w:rPr>
        <w:t>steps</w:t>
      </w:r>
      <w:r>
        <w:rPr>
          <w:spacing w:val="-9"/>
          <w:sz w:val="20"/>
        </w:rPr>
        <w:t xml:space="preserve"> </w:t>
      </w:r>
      <w:r>
        <w:rPr>
          <w:sz w:val="20"/>
        </w:rPr>
        <w:t>for</w:t>
      </w:r>
      <w:r>
        <w:rPr>
          <w:spacing w:val="-9"/>
          <w:sz w:val="20"/>
        </w:rPr>
        <w:t xml:space="preserve"> </w:t>
      </w:r>
      <w:r>
        <w:rPr>
          <w:sz w:val="20"/>
        </w:rPr>
        <w:t>the</w:t>
      </w:r>
      <w:r>
        <w:rPr>
          <w:spacing w:val="-9"/>
          <w:sz w:val="20"/>
        </w:rPr>
        <w:t xml:space="preserve"> </w:t>
      </w:r>
      <w:r>
        <w:rPr>
          <w:sz w:val="20"/>
        </w:rPr>
        <w:t>reforms which</w:t>
      </w:r>
      <w:r>
        <w:rPr>
          <w:spacing w:val="-1"/>
          <w:sz w:val="20"/>
        </w:rPr>
        <w:t xml:space="preserve"> </w:t>
      </w:r>
      <w:r>
        <w:rPr>
          <w:sz w:val="20"/>
        </w:rPr>
        <w:t>have</w:t>
      </w:r>
      <w:r>
        <w:rPr>
          <w:spacing w:val="-1"/>
          <w:sz w:val="20"/>
        </w:rPr>
        <w:t xml:space="preserve"> </w:t>
      </w:r>
      <w:r>
        <w:rPr>
          <w:sz w:val="20"/>
        </w:rPr>
        <w:t>been</w:t>
      </w:r>
      <w:r>
        <w:rPr>
          <w:spacing w:val="-1"/>
          <w:sz w:val="20"/>
        </w:rPr>
        <w:t xml:space="preserve"> </w:t>
      </w:r>
      <w:r>
        <w:rPr>
          <w:sz w:val="20"/>
        </w:rPr>
        <w:t>recommended</w:t>
      </w:r>
      <w:r>
        <w:rPr>
          <w:spacing w:val="-1"/>
          <w:sz w:val="20"/>
        </w:rPr>
        <w:t xml:space="preserve"> </w:t>
      </w:r>
      <w:r>
        <w:rPr>
          <w:sz w:val="20"/>
        </w:rPr>
        <w:t>throughout</w:t>
      </w:r>
      <w:r>
        <w:rPr>
          <w:spacing w:val="-1"/>
          <w:sz w:val="20"/>
        </w:rPr>
        <w:t xml:space="preserve"> </w:t>
      </w:r>
      <w:r>
        <w:rPr>
          <w:sz w:val="20"/>
        </w:rPr>
        <w:t xml:space="preserve">this </w:t>
      </w:r>
      <w:r>
        <w:rPr>
          <w:w w:val="95"/>
          <w:sz w:val="20"/>
        </w:rPr>
        <w:t xml:space="preserve">document. The relevant recommendations for further </w:t>
      </w:r>
      <w:r>
        <w:rPr>
          <w:sz w:val="20"/>
        </w:rPr>
        <w:t>work,</w:t>
      </w:r>
      <w:r>
        <w:rPr>
          <w:spacing w:val="-13"/>
          <w:sz w:val="20"/>
        </w:rPr>
        <w:t xml:space="preserve"> </w:t>
      </w:r>
      <w:r>
        <w:rPr>
          <w:sz w:val="20"/>
        </w:rPr>
        <w:t>which</w:t>
      </w:r>
      <w:r>
        <w:rPr>
          <w:spacing w:val="-13"/>
          <w:sz w:val="20"/>
        </w:rPr>
        <w:t xml:space="preserve"> </w:t>
      </w:r>
      <w:r>
        <w:rPr>
          <w:sz w:val="20"/>
        </w:rPr>
        <w:t>may</w:t>
      </w:r>
      <w:r>
        <w:rPr>
          <w:spacing w:val="-13"/>
          <w:sz w:val="20"/>
        </w:rPr>
        <w:t xml:space="preserve"> </w:t>
      </w:r>
      <w:r>
        <w:rPr>
          <w:sz w:val="20"/>
        </w:rPr>
        <w:t>lead</w:t>
      </w:r>
      <w:r>
        <w:rPr>
          <w:spacing w:val="-13"/>
          <w:sz w:val="20"/>
        </w:rPr>
        <w:t xml:space="preserve"> </w:t>
      </w:r>
      <w:r>
        <w:rPr>
          <w:sz w:val="20"/>
        </w:rPr>
        <w:t>to</w:t>
      </w:r>
      <w:r>
        <w:rPr>
          <w:spacing w:val="-13"/>
          <w:sz w:val="20"/>
        </w:rPr>
        <w:t xml:space="preserve"> </w:t>
      </w:r>
      <w:r>
        <w:rPr>
          <w:sz w:val="20"/>
        </w:rPr>
        <w:t>a</w:t>
      </w:r>
      <w:r>
        <w:rPr>
          <w:spacing w:val="-13"/>
          <w:sz w:val="20"/>
        </w:rPr>
        <w:t xml:space="preserve"> </w:t>
      </w:r>
      <w:r>
        <w:rPr>
          <w:sz w:val="20"/>
        </w:rPr>
        <w:t>strategy,</w:t>
      </w:r>
      <w:r>
        <w:rPr>
          <w:spacing w:val="-13"/>
          <w:sz w:val="20"/>
        </w:rPr>
        <w:t xml:space="preserve"> </w:t>
      </w:r>
      <w:r>
        <w:rPr>
          <w:sz w:val="20"/>
        </w:rPr>
        <w:t>are</w:t>
      </w:r>
      <w:r>
        <w:rPr>
          <w:spacing w:val="-13"/>
          <w:sz w:val="20"/>
        </w:rPr>
        <w:t xml:space="preserve"> </w:t>
      </w:r>
      <w:r>
        <w:rPr>
          <w:sz w:val="20"/>
        </w:rPr>
        <w:t>listed</w:t>
      </w:r>
      <w:r>
        <w:rPr>
          <w:spacing w:val="-13"/>
          <w:sz w:val="20"/>
        </w:rPr>
        <w:t xml:space="preserve"> </w:t>
      </w:r>
      <w:r>
        <w:rPr>
          <w:sz w:val="20"/>
        </w:rPr>
        <w:t>in Section</w:t>
      </w:r>
      <w:r>
        <w:rPr>
          <w:spacing w:val="-11"/>
          <w:sz w:val="20"/>
        </w:rPr>
        <w:t xml:space="preserve"> </w:t>
      </w:r>
      <w:r>
        <w:rPr>
          <w:sz w:val="20"/>
        </w:rPr>
        <w:t>15</w:t>
      </w:r>
    </w:p>
    <w:p w:rsidR="002C1123" w:rsidRDefault="00F22F94">
      <w:pPr>
        <w:pStyle w:val="ListParagraph"/>
        <w:numPr>
          <w:ilvl w:val="3"/>
          <w:numId w:val="24"/>
        </w:numPr>
        <w:tabs>
          <w:tab w:val="left" w:pos="776"/>
        </w:tabs>
        <w:spacing w:before="133" w:line="249" w:lineRule="auto"/>
        <w:ind w:left="775" w:right="1205"/>
        <w:rPr>
          <w:sz w:val="20"/>
        </w:rPr>
      </w:pPr>
      <w:r>
        <w:rPr>
          <w:w w:val="95"/>
          <w:sz w:val="20"/>
        </w:rPr>
        <w:t>revise</w:t>
      </w:r>
      <w:r>
        <w:rPr>
          <w:spacing w:val="-12"/>
          <w:w w:val="95"/>
          <w:sz w:val="20"/>
        </w:rPr>
        <w:t xml:space="preserve"> </w:t>
      </w:r>
      <w:r>
        <w:rPr>
          <w:w w:val="95"/>
          <w:sz w:val="20"/>
        </w:rPr>
        <w:t>the</w:t>
      </w:r>
      <w:r>
        <w:rPr>
          <w:spacing w:val="-11"/>
          <w:w w:val="95"/>
          <w:sz w:val="20"/>
        </w:rPr>
        <w:t xml:space="preserve"> </w:t>
      </w:r>
      <w:r>
        <w:rPr>
          <w:w w:val="95"/>
          <w:sz w:val="20"/>
        </w:rPr>
        <w:t>State</w:t>
      </w:r>
      <w:r>
        <w:rPr>
          <w:spacing w:val="-11"/>
          <w:w w:val="95"/>
          <w:sz w:val="20"/>
        </w:rPr>
        <w:t xml:space="preserve"> </w:t>
      </w:r>
      <w:r>
        <w:rPr>
          <w:w w:val="95"/>
          <w:sz w:val="20"/>
        </w:rPr>
        <w:t>Infrastructure</w:t>
      </w:r>
      <w:r>
        <w:rPr>
          <w:spacing w:val="-11"/>
          <w:w w:val="95"/>
          <w:sz w:val="20"/>
        </w:rPr>
        <w:t xml:space="preserve"> </w:t>
      </w:r>
      <w:r>
        <w:rPr>
          <w:w w:val="95"/>
          <w:sz w:val="20"/>
        </w:rPr>
        <w:t>Strategy</w:t>
      </w:r>
      <w:r>
        <w:rPr>
          <w:spacing w:val="-11"/>
          <w:w w:val="95"/>
          <w:sz w:val="20"/>
        </w:rPr>
        <w:t xml:space="preserve"> </w:t>
      </w:r>
      <w:r>
        <w:rPr>
          <w:w w:val="95"/>
          <w:sz w:val="20"/>
        </w:rPr>
        <w:t>each</w:t>
      </w:r>
      <w:r>
        <w:rPr>
          <w:spacing w:val="-11"/>
          <w:w w:val="95"/>
          <w:sz w:val="20"/>
        </w:rPr>
        <w:t xml:space="preserve"> </w:t>
      </w:r>
      <w:r>
        <w:rPr>
          <w:w w:val="95"/>
          <w:sz w:val="20"/>
        </w:rPr>
        <w:t xml:space="preserve">five </w:t>
      </w:r>
      <w:r>
        <w:rPr>
          <w:sz w:val="20"/>
        </w:rPr>
        <w:t>years</w:t>
      </w:r>
      <w:r>
        <w:rPr>
          <w:spacing w:val="-14"/>
          <w:sz w:val="20"/>
        </w:rPr>
        <w:t xml:space="preserve"> </w:t>
      </w:r>
      <w:r>
        <w:rPr>
          <w:sz w:val="20"/>
        </w:rPr>
        <w:t>or</w:t>
      </w:r>
      <w:r>
        <w:rPr>
          <w:spacing w:val="-14"/>
          <w:sz w:val="20"/>
        </w:rPr>
        <w:t xml:space="preserve"> </w:t>
      </w:r>
      <w:r>
        <w:rPr>
          <w:sz w:val="20"/>
        </w:rPr>
        <w:t>earlier</w:t>
      </w:r>
      <w:r>
        <w:rPr>
          <w:spacing w:val="-14"/>
          <w:sz w:val="20"/>
        </w:rPr>
        <w:t xml:space="preserve"> </w:t>
      </w:r>
      <w:r>
        <w:rPr>
          <w:sz w:val="20"/>
        </w:rPr>
        <w:t>as</w:t>
      </w:r>
      <w:r>
        <w:rPr>
          <w:spacing w:val="-14"/>
          <w:sz w:val="20"/>
        </w:rPr>
        <w:t xml:space="preserve"> </w:t>
      </w:r>
      <w:r>
        <w:rPr>
          <w:sz w:val="20"/>
        </w:rPr>
        <w:t>requested</w:t>
      </w:r>
      <w:r>
        <w:rPr>
          <w:spacing w:val="-14"/>
          <w:sz w:val="20"/>
        </w:rPr>
        <w:t xml:space="preserve"> </w:t>
      </w:r>
      <w:r>
        <w:rPr>
          <w:sz w:val="20"/>
        </w:rPr>
        <w:t>by</w:t>
      </w:r>
      <w:r>
        <w:rPr>
          <w:spacing w:val="-14"/>
          <w:sz w:val="20"/>
        </w:rPr>
        <w:t xml:space="preserve"> </w:t>
      </w:r>
      <w:r>
        <w:rPr>
          <w:sz w:val="20"/>
        </w:rPr>
        <w:t>the</w:t>
      </w:r>
      <w:r>
        <w:rPr>
          <w:spacing w:val="-14"/>
          <w:sz w:val="20"/>
        </w:rPr>
        <w:t xml:space="preserve"> </w:t>
      </w:r>
      <w:r>
        <w:rPr>
          <w:sz w:val="20"/>
        </w:rPr>
        <w:t>Premier.</w:t>
      </w:r>
    </w:p>
    <w:p w:rsidR="002C1123" w:rsidRDefault="00F22F94">
      <w:pPr>
        <w:pStyle w:val="Heading6"/>
        <w:numPr>
          <w:ilvl w:val="2"/>
          <w:numId w:val="24"/>
        </w:numPr>
        <w:tabs>
          <w:tab w:val="left" w:pos="1088"/>
        </w:tabs>
        <w:spacing w:before="143"/>
        <w:ind w:left="1087" w:hanging="596"/>
        <w:jc w:val="left"/>
      </w:pPr>
      <w:r>
        <w:rPr>
          <w:color w:val="00AEEF"/>
          <w:spacing w:val="-4"/>
        </w:rPr>
        <w:t>Five</w:t>
      </w:r>
      <w:r>
        <w:rPr>
          <w:color w:val="00AEEF"/>
          <w:spacing w:val="-3"/>
        </w:rPr>
        <w:t xml:space="preserve"> </w:t>
      </w:r>
      <w:r>
        <w:rPr>
          <w:color w:val="00AEEF"/>
          <w:spacing w:val="-4"/>
        </w:rPr>
        <w:t>Year</w:t>
      </w:r>
      <w:r>
        <w:rPr>
          <w:color w:val="00AEEF"/>
          <w:spacing w:val="-3"/>
        </w:rPr>
        <w:t xml:space="preserve"> </w:t>
      </w:r>
      <w:r>
        <w:rPr>
          <w:color w:val="00AEEF"/>
          <w:spacing w:val="-4"/>
        </w:rPr>
        <w:t>Infrastructure</w:t>
      </w:r>
      <w:r>
        <w:rPr>
          <w:color w:val="00AEEF"/>
          <w:spacing w:val="-2"/>
        </w:rPr>
        <w:t xml:space="preserve"> </w:t>
      </w:r>
      <w:r>
        <w:rPr>
          <w:color w:val="00AEEF"/>
          <w:spacing w:val="-4"/>
        </w:rPr>
        <w:t>Plans</w:t>
      </w:r>
    </w:p>
    <w:p w:rsidR="002C1123" w:rsidRDefault="00F22F94">
      <w:pPr>
        <w:pStyle w:val="BodyText"/>
        <w:spacing w:before="95" w:line="249" w:lineRule="auto"/>
        <w:ind w:left="492" w:right="718"/>
      </w:pPr>
      <w:r>
        <w:t>The</w:t>
      </w:r>
      <w:r>
        <w:rPr>
          <w:spacing w:val="-13"/>
        </w:rPr>
        <w:t xml:space="preserve"> </w:t>
      </w:r>
      <w:r>
        <w:t>Strategy</w:t>
      </w:r>
      <w:r>
        <w:rPr>
          <w:spacing w:val="-13"/>
        </w:rPr>
        <w:t xml:space="preserve"> </w:t>
      </w:r>
      <w:r>
        <w:t>that</w:t>
      </w:r>
      <w:r>
        <w:rPr>
          <w:spacing w:val="-13"/>
        </w:rPr>
        <w:t xml:space="preserve"> </w:t>
      </w:r>
      <w:r>
        <w:t>is</w:t>
      </w:r>
      <w:r>
        <w:rPr>
          <w:spacing w:val="-13"/>
        </w:rPr>
        <w:t xml:space="preserve"> </w:t>
      </w:r>
      <w:r>
        <w:t>adopted</w:t>
      </w:r>
      <w:r>
        <w:rPr>
          <w:spacing w:val="-13"/>
        </w:rPr>
        <w:t xml:space="preserve"> </w:t>
      </w:r>
      <w:r>
        <w:t>by</w:t>
      </w:r>
      <w:r>
        <w:rPr>
          <w:spacing w:val="-13"/>
        </w:rPr>
        <w:t xml:space="preserve"> </w:t>
      </w:r>
      <w:r>
        <w:t>the</w:t>
      </w:r>
      <w:r>
        <w:rPr>
          <w:spacing w:val="-13"/>
        </w:rPr>
        <w:t xml:space="preserve"> </w:t>
      </w:r>
      <w:r>
        <w:t>Premier</w:t>
      </w:r>
      <w:r>
        <w:rPr>
          <w:spacing w:val="-13"/>
        </w:rPr>
        <w:t xml:space="preserve"> </w:t>
      </w:r>
      <w:r>
        <w:t>will</w:t>
      </w:r>
      <w:r>
        <w:rPr>
          <w:spacing w:val="-13"/>
        </w:rPr>
        <w:t xml:space="preserve"> </w:t>
      </w:r>
      <w:r>
        <w:t xml:space="preserve">be </w:t>
      </w:r>
      <w:r>
        <w:rPr>
          <w:w w:val="95"/>
        </w:rPr>
        <w:t>implemented through annual Five Year Infrastructure Plans.</w:t>
      </w:r>
      <w:r>
        <w:rPr>
          <w:spacing w:val="-12"/>
          <w:w w:val="95"/>
        </w:rPr>
        <w:t xml:space="preserve"> </w:t>
      </w:r>
      <w:r>
        <w:rPr>
          <w:w w:val="95"/>
        </w:rPr>
        <w:t>Infrastructure</w:t>
      </w:r>
      <w:r>
        <w:rPr>
          <w:spacing w:val="-11"/>
          <w:w w:val="95"/>
        </w:rPr>
        <w:t xml:space="preserve"> </w:t>
      </w:r>
      <w:r>
        <w:rPr>
          <w:w w:val="95"/>
        </w:rPr>
        <w:t>NSW</w:t>
      </w:r>
      <w:r>
        <w:rPr>
          <w:spacing w:val="-11"/>
          <w:w w:val="95"/>
        </w:rPr>
        <w:t xml:space="preserve"> </w:t>
      </w:r>
      <w:r>
        <w:rPr>
          <w:w w:val="95"/>
        </w:rPr>
        <w:t>will</w:t>
      </w:r>
      <w:r>
        <w:rPr>
          <w:spacing w:val="-11"/>
          <w:w w:val="95"/>
        </w:rPr>
        <w:t xml:space="preserve"> </w:t>
      </w:r>
      <w:r>
        <w:rPr>
          <w:w w:val="95"/>
        </w:rPr>
        <w:t>submit</w:t>
      </w:r>
      <w:r>
        <w:rPr>
          <w:spacing w:val="-11"/>
          <w:w w:val="95"/>
        </w:rPr>
        <w:t xml:space="preserve"> </w:t>
      </w:r>
      <w:r>
        <w:rPr>
          <w:w w:val="95"/>
        </w:rPr>
        <w:t>the</w:t>
      </w:r>
      <w:r>
        <w:rPr>
          <w:spacing w:val="-11"/>
          <w:w w:val="95"/>
        </w:rPr>
        <w:t xml:space="preserve"> </w:t>
      </w:r>
      <w:r>
        <w:rPr>
          <w:w w:val="95"/>
        </w:rPr>
        <w:t>first</w:t>
      </w:r>
      <w:r>
        <w:rPr>
          <w:spacing w:val="-11"/>
          <w:w w:val="95"/>
        </w:rPr>
        <w:t xml:space="preserve"> </w:t>
      </w:r>
      <w:r>
        <w:rPr>
          <w:w w:val="95"/>
        </w:rPr>
        <w:t>five</w:t>
      </w:r>
      <w:r>
        <w:rPr>
          <w:spacing w:val="-11"/>
          <w:w w:val="95"/>
        </w:rPr>
        <w:t xml:space="preserve"> </w:t>
      </w:r>
      <w:r>
        <w:rPr>
          <w:w w:val="95"/>
        </w:rPr>
        <w:t xml:space="preserve">year </w:t>
      </w:r>
      <w:r>
        <w:t>plan to support the 2013-14 Budget.</w:t>
      </w:r>
    </w:p>
    <w:p w:rsidR="002C1123" w:rsidRDefault="00F22F94">
      <w:pPr>
        <w:pStyle w:val="BodyText"/>
        <w:spacing w:before="146" w:line="249" w:lineRule="auto"/>
        <w:ind w:left="492" w:right="835"/>
      </w:pPr>
      <w:r>
        <w:rPr>
          <w:spacing w:val="-2"/>
        </w:rPr>
        <w:t>Infrastructure</w:t>
      </w:r>
      <w:r>
        <w:rPr>
          <w:spacing w:val="-8"/>
        </w:rPr>
        <w:t xml:space="preserve"> </w:t>
      </w:r>
      <w:r>
        <w:rPr>
          <w:spacing w:val="-2"/>
        </w:rPr>
        <w:t>NSW</w:t>
      </w:r>
      <w:r>
        <w:rPr>
          <w:spacing w:val="-8"/>
        </w:rPr>
        <w:t xml:space="preserve"> </w:t>
      </w:r>
      <w:r>
        <w:rPr>
          <w:spacing w:val="-2"/>
        </w:rPr>
        <w:t>(working</w:t>
      </w:r>
      <w:r>
        <w:rPr>
          <w:spacing w:val="-8"/>
        </w:rPr>
        <w:t xml:space="preserve"> </w:t>
      </w:r>
      <w:r>
        <w:rPr>
          <w:spacing w:val="-2"/>
        </w:rPr>
        <w:t>with</w:t>
      </w:r>
      <w:r>
        <w:rPr>
          <w:spacing w:val="-8"/>
        </w:rPr>
        <w:t xml:space="preserve"> </w:t>
      </w:r>
      <w:r>
        <w:rPr>
          <w:spacing w:val="-2"/>
        </w:rPr>
        <w:t>NSW</w:t>
      </w:r>
      <w:r>
        <w:rPr>
          <w:spacing w:val="-8"/>
        </w:rPr>
        <w:t xml:space="preserve"> </w:t>
      </w:r>
      <w:r>
        <w:rPr>
          <w:spacing w:val="-2"/>
        </w:rPr>
        <w:t>Treasury</w:t>
      </w:r>
      <w:r>
        <w:rPr>
          <w:spacing w:val="-8"/>
        </w:rPr>
        <w:t xml:space="preserve"> </w:t>
      </w:r>
      <w:r>
        <w:rPr>
          <w:spacing w:val="-2"/>
        </w:rPr>
        <w:t xml:space="preserve">and </w:t>
      </w:r>
      <w:r>
        <w:rPr>
          <w:w w:val="95"/>
        </w:rPr>
        <w:t>Agencies) will identify the major infrastructure projects to</w:t>
      </w:r>
      <w:r>
        <w:rPr>
          <w:spacing w:val="-8"/>
          <w:w w:val="95"/>
        </w:rPr>
        <w:t xml:space="preserve"> </w:t>
      </w:r>
      <w:r>
        <w:rPr>
          <w:w w:val="95"/>
        </w:rPr>
        <w:t>be</w:t>
      </w:r>
      <w:r>
        <w:rPr>
          <w:spacing w:val="-8"/>
          <w:w w:val="95"/>
        </w:rPr>
        <w:t xml:space="preserve"> </w:t>
      </w:r>
      <w:r>
        <w:rPr>
          <w:w w:val="95"/>
        </w:rPr>
        <w:t>undertaken</w:t>
      </w:r>
      <w:r>
        <w:rPr>
          <w:spacing w:val="-8"/>
          <w:w w:val="95"/>
        </w:rPr>
        <w:t xml:space="preserve"> </w:t>
      </w:r>
      <w:r>
        <w:rPr>
          <w:w w:val="95"/>
        </w:rPr>
        <w:t>as</w:t>
      </w:r>
      <w:r>
        <w:rPr>
          <w:spacing w:val="-8"/>
          <w:w w:val="95"/>
        </w:rPr>
        <w:t xml:space="preserve"> </w:t>
      </w:r>
      <w:r>
        <w:rPr>
          <w:w w:val="95"/>
        </w:rPr>
        <w:t>a</w:t>
      </w:r>
      <w:r>
        <w:rPr>
          <w:spacing w:val="-8"/>
          <w:w w:val="95"/>
        </w:rPr>
        <w:t xml:space="preserve"> </w:t>
      </w:r>
      <w:r>
        <w:rPr>
          <w:w w:val="95"/>
        </w:rPr>
        <w:t>priority</w:t>
      </w:r>
      <w:r>
        <w:rPr>
          <w:spacing w:val="-8"/>
          <w:w w:val="95"/>
        </w:rPr>
        <w:t xml:space="preserve"> </w:t>
      </w:r>
      <w:r>
        <w:rPr>
          <w:w w:val="95"/>
        </w:rPr>
        <w:t>in</w:t>
      </w:r>
      <w:r>
        <w:rPr>
          <w:spacing w:val="-8"/>
          <w:w w:val="95"/>
        </w:rPr>
        <w:t xml:space="preserve"> </w:t>
      </w:r>
      <w:r>
        <w:rPr>
          <w:w w:val="95"/>
        </w:rPr>
        <w:t>the</w:t>
      </w:r>
      <w:r>
        <w:rPr>
          <w:spacing w:val="-8"/>
          <w:w w:val="95"/>
        </w:rPr>
        <w:t xml:space="preserve"> </w:t>
      </w:r>
      <w:r>
        <w:rPr>
          <w:w w:val="95"/>
        </w:rPr>
        <w:t>next</w:t>
      </w:r>
      <w:r>
        <w:rPr>
          <w:spacing w:val="-8"/>
          <w:w w:val="95"/>
        </w:rPr>
        <w:t xml:space="preserve"> </w:t>
      </w:r>
      <w:r>
        <w:rPr>
          <w:w w:val="95"/>
        </w:rPr>
        <w:t>five</w:t>
      </w:r>
      <w:r>
        <w:rPr>
          <w:spacing w:val="-8"/>
          <w:w w:val="95"/>
        </w:rPr>
        <w:t xml:space="preserve"> </w:t>
      </w:r>
      <w:r>
        <w:rPr>
          <w:w w:val="95"/>
        </w:rPr>
        <w:t>years</w:t>
      </w:r>
      <w:r>
        <w:rPr>
          <w:spacing w:val="-8"/>
          <w:w w:val="95"/>
        </w:rPr>
        <w:t xml:space="preserve"> </w:t>
      </w:r>
      <w:r>
        <w:rPr>
          <w:w w:val="95"/>
        </w:rPr>
        <w:t>and publish</w:t>
      </w:r>
      <w:r>
        <w:rPr>
          <w:spacing w:val="-9"/>
          <w:w w:val="95"/>
        </w:rPr>
        <w:t xml:space="preserve"> </w:t>
      </w:r>
      <w:r>
        <w:rPr>
          <w:w w:val="95"/>
        </w:rPr>
        <w:t>this</w:t>
      </w:r>
      <w:r>
        <w:rPr>
          <w:spacing w:val="-9"/>
          <w:w w:val="95"/>
        </w:rPr>
        <w:t xml:space="preserve"> </w:t>
      </w:r>
      <w:r>
        <w:rPr>
          <w:w w:val="95"/>
        </w:rPr>
        <w:t>in</w:t>
      </w:r>
      <w:r>
        <w:rPr>
          <w:spacing w:val="-9"/>
          <w:w w:val="95"/>
        </w:rPr>
        <w:t xml:space="preserve"> </w:t>
      </w:r>
      <w:r>
        <w:rPr>
          <w:w w:val="95"/>
        </w:rPr>
        <w:t>the</w:t>
      </w:r>
      <w:r>
        <w:rPr>
          <w:spacing w:val="-9"/>
          <w:w w:val="95"/>
        </w:rPr>
        <w:t xml:space="preserve"> </w:t>
      </w:r>
      <w:r>
        <w:rPr>
          <w:w w:val="95"/>
        </w:rPr>
        <w:t>annual</w:t>
      </w:r>
      <w:r>
        <w:rPr>
          <w:spacing w:val="-9"/>
          <w:w w:val="95"/>
        </w:rPr>
        <w:t xml:space="preserve"> </w:t>
      </w:r>
      <w:r>
        <w:rPr>
          <w:w w:val="95"/>
        </w:rPr>
        <w:t>Five</w:t>
      </w:r>
      <w:r>
        <w:rPr>
          <w:spacing w:val="-9"/>
          <w:w w:val="95"/>
        </w:rPr>
        <w:t xml:space="preserve"> </w:t>
      </w:r>
      <w:r>
        <w:rPr>
          <w:w w:val="95"/>
        </w:rPr>
        <w:t>Year</w:t>
      </w:r>
      <w:r>
        <w:rPr>
          <w:spacing w:val="-9"/>
          <w:w w:val="95"/>
        </w:rPr>
        <w:t xml:space="preserve"> </w:t>
      </w:r>
      <w:r>
        <w:rPr>
          <w:w w:val="95"/>
        </w:rPr>
        <w:t>Infrastructure</w:t>
      </w:r>
      <w:r>
        <w:rPr>
          <w:spacing w:val="-9"/>
          <w:w w:val="95"/>
        </w:rPr>
        <w:t xml:space="preserve"> </w:t>
      </w:r>
      <w:r>
        <w:rPr>
          <w:w w:val="95"/>
        </w:rPr>
        <w:t>Plan.</w:t>
      </w:r>
    </w:p>
    <w:p w:rsidR="002C1123" w:rsidRDefault="00F22F94">
      <w:pPr>
        <w:pStyle w:val="BodyText"/>
        <w:spacing w:before="145"/>
        <w:ind w:left="492"/>
      </w:pPr>
      <w:r>
        <w:rPr>
          <w:w w:val="95"/>
        </w:rPr>
        <w:t>In</w:t>
      </w:r>
      <w:r>
        <w:rPr>
          <w:spacing w:val="-8"/>
          <w:w w:val="95"/>
        </w:rPr>
        <w:t xml:space="preserve"> </w:t>
      </w:r>
      <w:r>
        <w:rPr>
          <w:w w:val="95"/>
        </w:rPr>
        <w:t>order</w:t>
      </w:r>
      <w:r>
        <w:rPr>
          <w:spacing w:val="-7"/>
          <w:w w:val="95"/>
        </w:rPr>
        <w:t xml:space="preserve"> </w:t>
      </w:r>
      <w:r>
        <w:rPr>
          <w:w w:val="95"/>
        </w:rPr>
        <w:t>to</w:t>
      </w:r>
      <w:r>
        <w:rPr>
          <w:spacing w:val="-7"/>
          <w:w w:val="95"/>
        </w:rPr>
        <w:t xml:space="preserve"> </w:t>
      </w:r>
      <w:r>
        <w:rPr>
          <w:w w:val="95"/>
        </w:rPr>
        <w:t>do</w:t>
      </w:r>
      <w:r>
        <w:rPr>
          <w:spacing w:val="-7"/>
          <w:w w:val="95"/>
        </w:rPr>
        <w:t xml:space="preserve"> </w:t>
      </w:r>
      <w:r>
        <w:rPr>
          <w:w w:val="95"/>
        </w:rPr>
        <w:t>so,</w:t>
      </w:r>
      <w:r>
        <w:rPr>
          <w:spacing w:val="-7"/>
          <w:w w:val="95"/>
        </w:rPr>
        <w:t xml:space="preserve"> </w:t>
      </w:r>
      <w:r>
        <w:rPr>
          <w:w w:val="95"/>
        </w:rPr>
        <w:t>Infrastructure</w:t>
      </w:r>
      <w:r>
        <w:rPr>
          <w:spacing w:val="-7"/>
          <w:w w:val="95"/>
        </w:rPr>
        <w:t xml:space="preserve"> </w:t>
      </w:r>
      <w:r>
        <w:rPr>
          <w:w w:val="95"/>
        </w:rPr>
        <w:t>NSW</w:t>
      </w:r>
      <w:r>
        <w:rPr>
          <w:spacing w:val="-7"/>
          <w:w w:val="95"/>
        </w:rPr>
        <w:t xml:space="preserve"> </w:t>
      </w:r>
      <w:r>
        <w:rPr>
          <w:spacing w:val="-4"/>
          <w:w w:val="95"/>
        </w:rPr>
        <w:t>will:</w:t>
      </w:r>
    </w:p>
    <w:p w:rsidR="002C1123" w:rsidRDefault="00F22F94">
      <w:pPr>
        <w:pStyle w:val="ListParagraph"/>
        <w:numPr>
          <w:ilvl w:val="3"/>
          <w:numId w:val="24"/>
        </w:numPr>
        <w:tabs>
          <w:tab w:val="left" w:pos="776"/>
        </w:tabs>
        <w:spacing w:before="139" w:line="249" w:lineRule="auto"/>
        <w:ind w:left="775" w:right="1045"/>
        <w:rPr>
          <w:sz w:val="20"/>
        </w:rPr>
      </w:pPr>
      <w:r>
        <w:rPr>
          <w:sz w:val="20"/>
        </w:rPr>
        <w:t>review</w:t>
      </w:r>
      <w:r>
        <w:rPr>
          <w:spacing w:val="-10"/>
          <w:sz w:val="20"/>
        </w:rPr>
        <w:t xml:space="preserve"> </w:t>
      </w:r>
      <w:r>
        <w:rPr>
          <w:sz w:val="20"/>
        </w:rPr>
        <w:t>major</w:t>
      </w:r>
      <w:r>
        <w:rPr>
          <w:spacing w:val="-10"/>
          <w:sz w:val="20"/>
        </w:rPr>
        <w:t xml:space="preserve"> </w:t>
      </w:r>
      <w:r>
        <w:rPr>
          <w:sz w:val="20"/>
        </w:rPr>
        <w:t>projects,</w:t>
      </w:r>
      <w:r>
        <w:rPr>
          <w:spacing w:val="-10"/>
          <w:sz w:val="20"/>
        </w:rPr>
        <w:t xml:space="preserve"> </w:t>
      </w:r>
      <w:r>
        <w:rPr>
          <w:sz w:val="20"/>
        </w:rPr>
        <w:t>using</w:t>
      </w:r>
      <w:r>
        <w:rPr>
          <w:spacing w:val="-10"/>
          <w:sz w:val="20"/>
        </w:rPr>
        <w:t xml:space="preserve"> </w:t>
      </w:r>
      <w:r>
        <w:rPr>
          <w:sz w:val="20"/>
        </w:rPr>
        <w:t>the</w:t>
      </w:r>
      <w:r>
        <w:rPr>
          <w:spacing w:val="-10"/>
          <w:sz w:val="20"/>
        </w:rPr>
        <w:t xml:space="preserve"> </w:t>
      </w:r>
      <w:r>
        <w:rPr>
          <w:sz w:val="20"/>
        </w:rPr>
        <w:t>review</w:t>
      </w:r>
      <w:r>
        <w:rPr>
          <w:spacing w:val="-10"/>
          <w:sz w:val="20"/>
        </w:rPr>
        <w:t xml:space="preserve"> </w:t>
      </w:r>
      <w:r>
        <w:rPr>
          <w:sz w:val="20"/>
        </w:rPr>
        <w:t xml:space="preserve">and </w:t>
      </w:r>
      <w:r>
        <w:rPr>
          <w:w w:val="95"/>
          <w:sz w:val="20"/>
        </w:rPr>
        <w:t>assurance process, described below, for projects above</w:t>
      </w:r>
      <w:r>
        <w:rPr>
          <w:spacing w:val="-6"/>
          <w:w w:val="95"/>
          <w:sz w:val="20"/>
        </w:rPr>
        <w:t xml:space="preserve"> </w:t>
      </w:r>
      <w:r>
        <w:rPr>
          <w:w w:val="95"/>
          <w:sz w:val="20"/>
        </w:rPr>
        <w:t>$100</w:t>
      </w:r>
      <w:r>
        <w:rPr>
          <w:spacing w:val="-6"/>
          <w:w w:val="95"/>
          <w:sz w:val="20"/>
        </w:rPr>
        <w:t xml:space="preserve"> </w:t>
      </w:r>
      <w:r>
        <w:rPr>
          <w:w w:val="95"/>
          <w:sz w:val="20"/>
        </w:rPr>
        <w:t>million</w:t>
      </w:r>
      <w:r>
        <w:rPr>
          <w:spacing w:val="-6"/>
          <w:w w:val="95"/>
          <w:sz w:val="20"/>
        </w:rPr>
        <w:t xml:space="preserve"> </w:t>
      </w:r>
      <w:r>
        <w:rPr>
          <w:w w:val="95"/>
          <w:sz w:val="20"/>
        </w:rPr>
        <w:t>to</w:t>
      </w:r>
      <w:r>
        <w:rPr>
          <w:spacing w:val="-6"/>
          <w:w w:val="95"/>
          <w:sz w:val="20"/>
        </w:rPr>
        <w:t xml:space="preserve"> </w:t>
      </w:r>
      <w:r>
        <w:rPr>
          <w:w w:val="95"/>
          <w:sz w:val="20"/>
        </w:rPr>
        <w:t>determine</w:t>
      </w:r>
      <w:r>
        <w:rPr>
          <w:spacing w:val="-6"/>
          <w:w w:val="95"/>
          <w:sz w:val="20"/>
        </w:rPr>
        <w:t xml:space="preserve"> </w:t>
      </w:r>
      <w:r>
        <w:rPr>
          <w:w w:val="95"/>
          <w:sz w:val="20"/>
        </w:rPr>
        <w:t>the</w:t>
      </w:r>
      <w:r>
        <w:rPr>
          <w:spacing w:val="-6"/>
          <w:w w:val="95"/>
          <w:sz w:val="20"/>
        </w:rPr>
        <w:t xml:space="preserve"> </w:t>
      </w:r>
      <w:r>
        <w:rPr>
          <w:w w:val="95"/>
          <w:sz w:val="20"/>
        </w:rPr>
        <w:t>five</w:t>
      </w:r>
      <w:r>
        <w:rPr>
          <w:spacing w:val="-6"/>
          <w:w w:val="95"/>
          <w:sz w:val="20"/>
        </w:rPr>
        <w:t xml:space="preserve"> </w:t>
      </w:r>
      <w:r>
        <w:rPr>
          <w:w w:val="95"/>
          <w:sz w:val="20"/>
        </w:rPr>
        <w:t>year</w:t>
      </w:r>
      <w:r>
        <w:rPr>
          <w:spacing w:val="-6"/>
          <w:w w:val="95"/>
          <w:sz w:val="20"/>
        </w:rPr>
        <w:t xml:space="preserve"> </w:t>
      </w:r>
      <w:r>
        <w:rPr>
          <w:w w:val="95"/>
          <w:sz w:val="20"/>
        </w:rPr>
        <w:t xml:space="preserve">plan </w:t>
      </w:r>
      <w:r>
        <w:rPr>
          <w:sz w:val="20"/>
        </w:rPr>
        <w:t>major infrastructure priorities.</w:t>
      </w:r>
    </w:p>
    <w:p w:rsidR="002C1123" w:rsidRDefault="002C1123">
      <w:pPr>
        <w:spacing w:line="249" w:lineRule="auto"/>
        <w:rPr>
          <w:sz w:val="20"/>
        </w:rPr>
        <w:sectPr w:rsidR="002C1123">
          <w:type w:val="continuous"/>
          <w:pgSz w:w="16840" w:h="11910" w:orient="landscape"/>
          <w:pgMar w:top="560" w:right="280" w:bottom="280" w:left="500" w:header="0" w:footer="517" w:gutter="0"/>
          <w:cols w:num="2" w:space="720" w:equalWidth="0">
            <w:col w:w="5314" w:space="4739"/>
            <w:col w:w="6007"/>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2C1123">
      <w:pPr>
        <w:rPr>
          <w:sz w:val="19"/>
        </w:rPr>
        <w:sectPr w:rsidR="002C1123">
          <w:pgSz w:w="16840" w:h="11910" w:orient="landscape"/>
          <w:pgMar w:top="560" w:right="280" w:bottom="700" w:left="500" w:header="0" w:footer="517" w:gutter="0"/>
          <w:cols w:space="720"/>
        </w:sectPr>
      </w:pPr>
    </w:p>
    <w:p w:rsidR="002C1123" w:rsidRDefault="00F22F94">
      <w:pPr>
        <w:pStyle w:val="ListParagraph"/>
        <w:numPr>
          <w:ilvl w:val="3"/>
          <w:numId w:val="24"/>
        </w:numPr>
        <w:tabs>
          <w:tab w:val="left" w:pos="776"/>
        </w:tabs>
        <w:spacing w:before="93" w:line="249" w:lineRule="auto"/>
        <w:ind w:left="775" w:right="3"/>
        <w:rPr>
          <w:sz w:val="20"/>
        </w:rPr>
      </w:pPr>
      <w:bookmarkStart w:id="417" w:name="_bookmark297"/>
      <w:bookmarkEnd w:id="417"/>
      <w:r>
        <w:rPr>
          <w:w w:val="95"/>
          <w:sz w:val="20"/>
        </w:rPr>
        <w:t>review</w:t>
      </w:r>
      <w:r>
        <w:rPr>
          <w:spacing w:val="-11"/>
          <w:w w:val="95"/>
          <w:sz w:val="20"/>
        </w:rPr>
        <w:t xml:space="preserve"> </w:t>
      </w:r>
      <w:r>
        <w:rPr>
          <w:w w:val="95"/>
          <w:sz w:val="20"/>
        </w:rPr>
        <w:t>each</w:t>
      </w:r>
      <w:r>
        <w:rPr>
          <w:spacing w:val="-11"/>
          <w:w w:val="95"/>
          <w:sz w:val="20"/>
        </w:rPr>
        <w:t xml:space="preserve"> </w:t>
      </w:r>
      <w:r>
        <w:rPr>
          <w:w w:val="95"/>
          <w:sz w:val="20"/>
        </w:rPr>
        <w:t>agency’s</w:t>
      </w:r>
      <w:r>
        <w:rPr>
          <w:spacing w:val="-11"/>
          <w:w w:val="95"/>
          <w:sz w:val="20"/>
        </w:rPr>
        <w:t xml:space="preserve"> </w:t>
      </w:r>
      <w:r>
        <w:rPr>
          <w:w w:val="95"/>
          <w:sz w:val="20"/>
        </w:rPr>
        <w:t>Total</w:t>
      </w:r>
      <w:r>
        <w:rPr>
          <w:spacing w:val="-11"/>
          <w:w w:val="95"/>
          <w:sz w:val="20"/>
        </w:rPr>
        <w:t xml:space="preserve"> </w:t>
      </w:r>
      <w:r>
        <w:rPr>
          <w:w w:val="95"/>
          <w:sz w:val="20"/>
        </w:rPr>
        <w:t>Asset</w:t>
      </w:r>
      <w:r>
        <w:rPr>
          <w:spacing w:val="-11"/>
          <w:w w:val="95"/>
          <w:sz w:val="20"/>
        </w:rPr>
        <w:t xml:space="preserve"> </w:t>
      </w:r>
      <w:r>
        <w:rPr>
          <w:w w:val="95"/>
          <w:sz w:val="20"/>
        </w:rPr>
        <w:t>Management</w:t>
      </w:r>
      <w:r>
        <w:rPr>
          <w:spacing w:val="-11"/>
          <w:w w:val="95"/>
          <w:sz w:val="20"/>
        </w:rPr>
        <w:t xml:space="preserve"> </w:t>
      </w:r>
      <w:r>
        <w:rPr>
          <w:w w:val="95"/>
          <w:sz w:val="20"/>
        </w:rPr>
        <w:t xml:space="preserve">Plans and infrastructure strategies. Each agency prepares </w:t>
      </w:r>
      <w:r>
        <w:rPr>
          <w:sz w:val="20"/>
        </w:rPr>
        <w:t>and</w:t>
      </w:r>
      <w:r>
        <w:rPr>
          <w:spacing w:val="-12"/>
          <w:sz w:val="20"/>
        </w:rPr>
        <w:t xml:space="preserve"> </w:t>
      </w:r>
      <w:r>
        <w:rPr>
          <w:sz w:val="20"/>
        </w:rPr>
        <w:t>submits</w:t>
      </w:r>
      <w:r>
        <w:rPr>
          <w:spacing w:val="-12"/>
          <w:sz w:val="20"/>
        </w:rPr>
        <w:t xml:space="preserve"> </w:t>
      </w:r>
      <w:r>
        <w:rPr>
          <w:sz w:val="20"/>
        </w:rPr>
        <w:t>a</w:t>
      </w:r>
      <w:r>
        <w:rPr>
          <w:spacing w:val="-12"/>
          <w:sz w:val="20"/>
        </w:rPr>
        <w:t xml:space="preserve"> </w:t>
      </w:r>
      <w:r>
        <w:rPr>
          <w:sz w:val="20"/>
        </w:rPr>
        <w:t>Total</w:t>
      </w:r>
      <w:r>
        <w:rPr>
          <w:spacing w:val="-12"/>
          <w:sz w:val="20"/>
        </w:rPr>
        <w:t xml:space="preserve"> </w:t>
      </w:r>
      <w:r>
        <w:rPr>
          <w:sz w:val="20"/>
        </w:rPr>
        <w:t>Asset</w:t>
      </w:r>
      <w:r>
        <w:rPr>
          <w:spacing w:val="-12"/>
          <w:sz w:val="20"/>
        </w:rPr>
        <w:t xml:space="preserve"> </w:t>
      </w:r>
      <w:r>
        <w:rPr>
          <w:sz w:val="20"/>
        </w:rPr>
        <w:t>Management</w:t>
      </w:r>
      <w:r>
        <w:rPr>
          <w:spacing w:val="-12"/>
          <w:sz w:val="20"/>
        </w:rPr>
        <w:t xml:space="preserve"> </w:t>
      </w:r>
      <w:r>
        <w:rPr>
          <w:sz w:val="20"/>
        </w:rPr>
        <w:t>Plan annually</w:t>
      </w:r>
      <w:r>
        <w:rPr>
          <w:spacing w:val="-14"/>
          <w:sz w:val="20"/>
        </w:rPr>
        <w:t xml:space="preserve"> </w:t>
      </w:r>
      <w:r>
        <w:rPr>
          <w:sz w:val="20"/>
        </w:rPr>
        <w:t>outlining</w:t>
      </w:r>
      <w:r>
        <w:rPr>
          <w:spacing w:val="-14"/>
          <w:sz w:val="20"/>
        </w:rPr>
        <w:t xml:space="preserve"> </w:t>
      </w:r>
      <w:r>
        <w:rPr>
          <w:sz w:val="20"/>
        </w:rPr>
        <w:t>their</w:t>
      </w:r>
      <w:r>
        <w:rPr>
          <w:spacing w:val="-14"/>
          <w:sz w:val="20"/>
        </w:rPr>
        <w:t xml:space="preserve"> </w:t>
      </w:r>
      <w:r>
        <w:rPr>
          <w:sz w:val="20"/>
        </w:rPr>
        <w:t>infrastructure</w:t>
      </w:r>
      <w:r>
        <w:rPr>
          <w:spacing w:val="-14"/>
          <w:sz w:val="20"/>
        </w:rPr>
        <w:t xml:space="preserve"> </w:t>
      </w:r>
      <w:r>
        <w:rPr>
          <w:sz w:val="20"/>
        </w:rPr>
        <w:t>strategies</w:t>
      </w:r>
      <w:r>
        <w:rPr>
          <w:spacing w:val="-14"/>
          <w:sz w:val="20"/>
        </w:rPr>
        <w:t xml:space="preserve"> </w:t>
      </w:r>
      <w:r>
        <w:rPr>
          <w:sz w:val="20"/>
        </w:rPr>
        <w:t>and capital</w:t>
      </w:r>
      <w:r>
        <w:rPr>
          <w:spacing w:val="-11"/>
          <w:sz w:val="20"/>
        </w:rPr>
        <w:t xml:space="preserve"> </w:t>
      </w:r>
      <w:r>
        <w:rPr>
          <w:sz w:val="20"/>
        </w:rPr>
        <w:t>requirements</w:t>
      </w:r>
    </w:p>
    <w:p w:rsidR="002C1123" w:rsidRDefault="00F22F94">
      <w:pPr>
        <w:pStyle w:val="ListParagraph"/>
        <w:numPr>
          <w:ilvl w:val="3"/>
          <w:numId w:val="24"/>
        </w:numPr>
        <w:tabs>
          <w:tab w:val="left" w:pos="776"/>
        </w:tabs>
        <w:spacing w:before="133" w:line="249" w:lineRule="auto"/>
        <w:ind w:left="775" w:right="103"/>
        <w:rPr>
          <w:sz w:val="20"/>
        </w:rPr>
      </w:pPr>
      <w:r>
        <w:rPr>
          <w:w w:val="95"/>
          <w:sz w:val="20"/>
        </w:rPr>
        <w:t>work</w:t>
      </w:r>
      <w:r>
        <w:rPr>
          <w:spacing w:val="-9"/>
          <w:w w:val="95"/>
          <w:sz w:val="20"/>
        </w:rPr>
        <w:t xml:space="preserve"> </w:t>
      </w:r>
      <w:r>
        <w:rPr>
          <w:w w:val="95"/>
          <w:sz w:val="20"/>
        </w:rPr>
        <w:t>with</w:t>
      </w:r>
      <w:r>
        <w:rPr>
          <w:spacing w:val="-9"/>
          <w:w w:val="95"/>
          <w:sz w:val="20"/>
        </w:rPr>
        <w:t xml:space="preserve"> </w:t>
      </w:r>
      <w:r>
        <w:rPr>
          <w:w w:val="95"/>
          <w:sz w:val="20"/>
        </w:rPr>
        <w:t>NSW</w:t>
      </w:r>
      <w:r>
        <w:rPr>
          <w:spacing w:val="-9"/>
          <w:w w:val="95"/>
          <w:sz w:val="20"/>
        </w:rPr>
        <w:t xml:space="preserve"> </w:t>
      </w:r>
      <w:r>
        <w:rPr>
          <w:w w:val="95"/>
          <w:sz w:val="20"/>
        </w:rPr>
        <w:t>Treasury</w:t>
      </w:r>
      <w:r>
        <w:rPr>
          <w:spacing w:val="-9"/>
          <w:w w:val="95"/>
          <w:sz w:val="20"/>
        </w:rPr>
        <w:t xml:space="preserve"> </w:t>
      </w:r>
      <w:r>
        <w:rPr>
          <w:w w:val="95"/>
          <w:sz w:val="20"/>
        </w:rPr>
        <w:t>to</w:t>
      </w:r>
      <w:r>
        <w:rPr>
          <w:spacing w:val="-9"/>
          <w:w w:val="95"/>
          <w:sz w:val="20"/>
        </w:rPr>
        <w:t xml:space="preserve"> </w:t>
      </w:r>
      <w:r>
        <w:rPr>
          <w:w w:val="95"/>
          <w:sz w:val="20"/>
        </w:rPr>
        <w:t>ensure</w:t>
      </w:r>
      <w:r>
        <w:rPr>
          <w:spacing w:val="-9"/>
          <w:w w:val="95"/>
          <w:sz w:val="20"/>
        </w:rPr>
        <w:t xml:space="preserve"> </w:t>
      </w:r>
      <w:r>
        <w:rPr>
          <w:w w:val="95"/>
          <w:sz w:val="20"/>
        </w:rPr>
        <w:t>the</w:t>
      </w:r>
      <w:r>
        <w:rPr>
          <w:spacing w:val="-9"/>
          <w:w w:val="95"/>
          <w:sz w:val="20"/>
        </w:rPr>
        <w:t xml:space="preserve"> </w:t>
      </w:r>
      <w:r>
        <w:rPr>
          <w:w w:val="95"/>
          <w:sz w:val="20"/>
        </w:rPr>
        <w:t>prioritised</w:t>
      </w:r>
      <w:r>
        <w:rPr>
          <w:spacing w:val="-9"/>
          <w:w w:val="95"/>
          <w:sz w:val="20"/>
        </w:rPr>
        <w:t xml:space="preserve"> </w:t>
      </w:r>
      <w:r>
        <w:rPr>
          <w:w w:val="95"/>
          <w:sz w:val="20"/>
        </w:rPr>
        <w:t xml:space="preserve">list </w:t>
      </w:r>
      <w:r>
        <w:rPr>
          <w:sz w:val="20"/>
        </w:rPr>
        <w:t>informs the 2013-14 budget process</w:t>
      </w:r>
    </w:p>
    <w:p w:rsidR="002C1123" w:rsidRDefault="00F22F94">
      <w:pPr>
        <w:pStyle w:val="BodyText"/>
        <w:spacing w:before="143" w:line="249" w:lineRule="auto"/>
        <w:ind w:left="492"/>
      </w:pPr>
      <w:r>
        <w:rPr>
          <w:w w:val="95"/>
        </w:rPr>
        <w:t>However,</w:t>
      </w:r>
      <w:r>
        <w:rPr>
          <w:spacing w:val="-9"/>
          <w:w w:val="95"/>
        </w:rPr>
        <w:t xml:space="preserve"> </w:t>
      </w:r>
      <w:r>
        <w:rPr>
          <w:w w:val="95"/>
        </w:rPr>
        <w:t>Infrastructure</w:t>
      </w:r>
      <w:r>
        <w:rPr>
          <w:spacing w:val="-9"/>
          <w:w w:val="95"/>
        </w:rPr>
        <w:t xml:space="preserve"> </w:t>
      </w:r>
      <w:r>
        <w:rPr>
          <w:w w:val="95"/>
        </w:rPr>
        <w:t>NSW</w:t>
      </w:r>
      <w:r>
        <w:rPr>
          <w:spacing w:val="-9"/>
          <w:w w:val="95"/>
        </w:rPr>
        <w:t xml:space="preserve"> </w:t>
      </w:r>
      <w:r>
        <w:rPr>
          <w:w w:val="95"/>
        </w:rPr>
        <w:t>notes</w:t>
      </w:r>
      <w:r>
        <w:rPr>
          <w:spacing w:val="-9"/>
          <w:w w:val="95"/>
        </w:rPr>
        <w:t xml:space="preserve"> </w:t>
      </w:r>
      <w:r>
        <w:rPr>
          <w:w w:val="95"/>
        </w:rPr>
        <w:t>that</w:t>
      </w:r>
      <w:r>
        <w:rPr>
          <w:spacing w:val="-9"/>
          <w:w w:val="95"/>
        </w:rPr>
        <w:t xml:space="preserve"> </w:t>
      </w:r>
      <w:r>
        <w:rPr>
          <w:w w:val="95"/>
        </w:rPr>
        <w:t>the</w:t>
      </w:r>
      <w:r>
        <w:rPr>
          <w:spacing w:val="-9"/>
          <w:w w:val="95"/>
        </w:rPr>
        <w:t xml:space="preserve"> </w:t>
      </w:r>
      <w:r>
        <w:rPr>
          <w:w w:val="95"/>
        </w:rPr>
        <w:t>vast</w:t>
      </w:r>
      <w:r>
        <w:rPr>
          <w:spacing w:val="-9"/>
          <w:w w:val="95"/>
        </w:rPr>
        <w:t xml:space="preserve"> </w:t>
      </w:r>
      <w:r>
        <w:rPr>
          <w:w w:val="95"/>
        </w:rPr>
        <w:t xml:space="preserve">majority </w:t>
      </w:r>
      <w:r>
        <w:t>of</w:t>
      </w:r>
      <w:r>
        <w:rPr>
          <w:spacing w:val="-9"/>
        </w:rPr>
        <w:t xml:space="preserve"> </w:t>
      </w:r>
      <w:r>
        <w:t>the</w:t>
      </w:r>
      <w:r>
        <w:rPr>
          <w:spacing w:val="-9"/>
        </w:rPr>
        <w:t xml:space="preserve"> </w:t>
      </w:r>
      <w:r>
        <w:t>Government’s</w:t>
      </w:r>
      <w:r>
        <w:rPr>
          <w:spacing w:val="-9"/>
        </w:rPr>
        <w:t xml:space="preserve"> </w:t>
      </w:r>
      <w:r>
        <w:t>ongoing</w:t>
      </w:r>
      <w:r>
        <w:rPr>
          <w:spacing w:val="-9"/>
        </w:rPr>
        <w:t xml:space="preserve"> </w:t>
      </w:r>
      <w:r>
        <w:t>infrastructure</w:t>
      </w:r>
      <w:r>
        <w:rPr>
          <w:spacing w:val="-9"/>
        </w:rPr>
        <w:t xml:space="preserve"> </w:t>
      </w:r>
      <w:r>
        <w:t>program consists</w:t>
      </w:r>
      <w:r>
        <w:rPr>
          <w:spacing w:val="-14"/>
        </w:rPr>
        <w:t xml:space="preserve"> </w:t>
      </w:r>
      <w:r>
        <w:t>of</w:t>
      </w:r>
      <w:r>
        <w:rPr>
          <w:spacing w:val="-14"/>
        </w:rPr>
        <w:t xml:space="preserve"> </w:t>
      </w:r>
      <w:r>
        <w:t>projects</w:t>
      </w:r>
      <w:r>
        <w:rPr>
          <w:spacing w:val="-14"/>
        </w:rPr>
        <w:t xml:space="preserve"> </w:t>
      </w:r>
      <w:r>
        <w:t>under</w:t>
      </w:r>
      <w:r>
        <w:rPr>
          <w:spacing w:val="-13"/>
        </w:rPr>
        <w:t xml:space="preserve"> </w:t>
      </w:r>
      <w:r>
        <w:t>$100</w:t>
      </w:r>
      <w:r>
        <w:rPr>
          <w:spacing w:val="-14"/>
        </w:rPr>
        <w:t xml:space="preserve"> </w:t>
      </w:r>
      <w:r>
        <w:t>million</w:t>
      </w:r>
      <w:r>
        <w:rPr>
          <w:spacing w:val="-14"/>
        </w:rPr>
        <w:t xml:space="preserve"> </w:t>
      </w:r>
      <w:r>
        <w:t>(the</w:t>
      </w:r>
      <w:r>
        <w:rPr>
          <w:spacing w:val="-14"/>
        </w:rPr>
        <w:t xml:space="preserve"> </w:t>
      </w:r>
      <w:r>
        <w:t>threshold</w:t>
      </w:r>
    </w:p>
    <w:p w:rsidR="002C1123" w:rsidRDefault="00F22F94">
      <w:pPr>
        <w:pStyle w:val="BodyText"/>
        <w:spacing w:before="3" w:line="249" w:lineRule="auto"/>
        <w:ind w:left="492" w:right="206"/>
      </w:pPr>
      <w:r>
        <w:rPr>
          <w:w w:val="95"/>
        </w:rPr>
        <w:t>for</w:t>
      </w:r>
      <w:r>
        <w:rPr>
          <w:spacing w:val="-10"/>
          <w:w w:val="95"/>
        </w:rPr>
        <w:t xml:space="preserve"> </w:t>
      </w:r>
      <w:r>
        <w:rPr>
          <w:w w:val="95"/>
        </w:rPr>
        <w:t>the</w:t>
      </w:r>
      <w:r>
        <w:rPr>
          <w:spacing w:val="-10"/>
          <w:w w:val="95"/>
        </w:rPr>
        <w:t xml:space="preserve"> </w:t>
      </w:r>
      <w:r>
        <w:rPr>
          <w:w w:val="95"/>
        </w:rPr>
        <w:t>Major</w:t>
      </w:r>
      <w:r>
        <w:rPr>
          <w:spacing w:val="-10"/>
          <w:w w:val="95"/>
        </w:rPr>
        <w:t xml:space="preserve"> </w:t>
      </w:r>
      <w:r>
        <w:rPr>
          <w:w w:val="95"/>
        </w:rPr>
        <w:t>Projects</w:t>
      </w:r>
      <w:r>
        <w:rPr>
          <w:spacing w:val="-10"/>
          <w:w w:val="95"/>
        </w:rPr>
        <w:t xml:space="preserve"> </w:t>
      </w:r>
      <w:r>
        <w:rPr>
          <w:w w:val="95"/>
        </w:rPr>
        <w:t>Assurance</w:t>
      </w:r>
      <w:r>
        <w:rPr>
          <w:spacing w:val="-10"/>
          <w:w w:val="95"/>
        </w:rPr>
        <w:t xml:space="preserve"> </w:t>
      </w:r>
      <w:r>
        <w:rPr>
          <w:w w:val="95"/>
        </w:rPr>
        <w:t>process).</w:t>
      </w:r>
      <w:r>
        <w:rPr>
          <w:w w:val="95"/>
          <w:position w:val="7"/>
          <w:sz w:val="11"/>
        </w:rPr>
        <w:t>10</w:t>
      </w:r>
      <w:r>
        <w:rPr>
          <w:spacing w:val="13"/>
          <w:position w:val="7"/>
          <w:sz w:val="11"/>
        </w:rPr>
        <w:t xml:space="preserve"> </w:t>
      </w:r>
      <w:r>
        <w:rPr>
          <w:w w:val="95"/>
        </w:rPr>
        <w:t>The</w:t>
      </w:r>
      <w:r>
        <w:rPr>
          <w:spacing w:val="-10"/>
          <w:w w:val="95"/>
        </w:rPr>
        <w:t xml:space="preserve"> </w:t>
      </w:r>
      <w:r>
        <w:rPr>
          <w:w w:val="95"/>
        </w:rPr>
        <w:t xml:space="preserve">task </w:t>
      </w:r>
      <w:r>
        <w:t>of</w:t>
      </w:r>
      <w:r>
        <w:rPr>
          <w:spacing w:val="-14"/>
        </w:rPr>
        <w:t xml:space="preserve"> </w:t>
      </w:r>
      <w:r>
        <w:t>identifying,</w:t>
      </w:r>
      <w:r>
        <w:rPr>
          <w:spacing w:val="-14"/>
        </w:rPr>
        <w:t xml:space="preserve"> </w:t>
      </w:r>
      <w:r>
        <w:t>scoping</w:t>
      </w:r>
      <w:r>
        <w:rPr>
          <w:spacing w:val="-14"/>
        </w:rPr>
        <w:t xml:space="preserve"> </w:t>
      </w:r>
      <w:r>
        <w:t>and</w:t>
      </w:r>
      <w:r>
        <w:rPr>
          <w:spacing w:val="-14"/>
        </w:rPr>
        <w:t xml:space="preserve"> </w:t>
      </w:r>
      <w:r>
        <w:t>prioritising</w:t>
      </w:r>
      <w:r>
        <w:rPr>
          <w:spacing w:val="-14"/>
        </w:rPr>
        <w:t xml:space="preserve"> </w:t>
      </w:r>
      <w:r>
        <w:t>these</w:t>
      </w:r>
      <w:r>
        <w:rPr>
          <w:spacing w:val="-14"/>
        </w:rPr>
        <w:t xml:space="preserve"> </w:t>
      </w:r>
      <w:r>
        <w:t xml:space="preserve">smaller </w:t>
      </w:r>
      <w:r>
        <w:rPr>
          <w:w w:val="95"/>
        </w:rPr>
        <w:t>projects</w:t>
      </w:r>
      <w:r>
        <w:rPr>
          <w:spacing w:val="-2"/>
          <w:w w:val="95"/>
        </w:rPr>
        <w:t xml:space="preserve"> </w:t>
      </w:r>
      <w:r>
        <w:rPr>
          <w:w w:val="95"/>
        </w:rPr>
        <w:t>is</w:t>
      </w:r>
      <w:r>
        <w:rPr>
          <w:spacing w:val="-2"/>
          <w:w w:val="95"/>
        </w:rPr>
        <w:t xml:space="preserve"> </w:t>
      </w:r>
      <w:r>
        <w:rPr>
          <w:w w:val="95"/>
        </w:rPr>
        <w:t>an</w:t>
      </w:r>
      <w:r>
        <w:rPr>
          <w:spacing w:val="-2"/>
          <w:w w:val="95"/>
        </w:rPr>
        <w:t xml:space="preserve"> </w:t>
      </w:r>
      <w:r>
        <w:rPr>
          <w:w w:val="95"/>
        </w:rPr>
        <w:t>ongoing</w:t>
      </w:r>
      <w:r>
        <w:rPr>
          <w:spacing w:val="-2"/>
          <w:w w:val="95"/>
        </w:rPr>
        <w:t xml:space="preserve"> </w:t>
      </w:r>
      <w:r>
        <w:rPr>
          <w:w w:val="95"/>
        </w:rPr>
        <w:t>task</w:t>
      </w:r>
      <w:r>
        <w:rPr>
          <w:spacing w:val="-2"/>
          <w:w w:val="95"/>
        </w:rPr>
        <w:t xml:space="preserve"> </w:t>
      </w:r>
      <w:r>
        <w:rPr>
          <w:w w:val="95"/>
        </w:rPr>
        <w:t>carried</w:t>
      </w:r>
      <w:r>
        <w:rPr>
          <w:spacing w:val="-2"/>
          <w:w w:val="95"/>
        </w:rPr>
        <w:t xml:space="preserve"> </w:t>
      </w:r>
      <w:r>
        <w:rPr>
          <w:w w:val="95"/>
        </w:rPr>
        <w:t>out</w:t>
      </w:r>
      <w:r>
        <w:rPr>
          <w:spacing w:val="-2"/>
          <w:w w:val="95"/>
        </w:rPr>
        <w:t xml:space="preserve"> </w:t>
      </w:r>
      <w:r>
        <w:rPr>
          <w:w w:val="95"/>
        </w:rPr>
        <w:t>by</w:t>
      </w:r>
      <w:r>
        <w:rPr>
          <w:spacing w:val="-2"/>
          <w:w w:val="95"/>
        </w:rPr>
        <w:t xml:space="preserve"> </w:t>
      </w:r>
      <w:r>
        <w:rPr>
          <w:w w:val="95"/>
        </w:rPr>
        <w:t>the</w:t>
      </w:r>
      <w:r>
        <w:rPr>
          <w:spacing w:val="-2"/>
          <w:w w:val="95"/>
        </w:rPr>
        <w:t xml:space="preserve"> </w:t>
      </w:r>
      <w:r>
        <w:rPr>
          <w:w w:val="95"/>
        </w:rPr>
        <w:t xml:space="preserve">various </w:t>
      </w:r>
      <w:r>
        <w:t>Agencies</w:t>
      </w:r>
      <w:r>
        <w:rPr>
          <w:spacing w:val="-3"/>
        </w:rPr>
        <w:t xml:space="preserve"> </w:t>
      </w:r>
      <w:r>
        <w:t>on</w:t>
      </w:r>
      <w:r>
        <w:rPr>
          <w:spacing w:val="-3"/>
        </w:rPr>
        <w:t xml:space="preserve"> </w:t>
      </w:r>
      <w:r>
        <w:t>a</w:t>
      </w:r>
      <w:r>
        <w:rPr>
          <w:spacing w:val="-3"/>
        </w:rPr>
        <w:t xml:space="preserve"> </w:t>
      </w:r>
      <w:r>
        <w:t>day</w:t>
      </w:r>
      <w:r>
        <w:rPr>
          <w:spacing w:val="-3"/>
        </w:rPr>
        <w:t xml:space="preserve"> </w:t>
      </w:r>
      <w:r>
        <w:t>to</w:t>
      </w:r>
      <w:r>
        <w:rPr>
          <w:spacing w:val="-3"/>
        </w:rPr>
        <w:t xml:space="preserve"> </w:t>
      </w:r>
      <w:r>
        <w:t>day</w:t>
      </w:r>
      <w:r>
        <w:rPr>
          <w:spacing w:val="-3"/>
        </w:rPr>
        <w:t xml:space="preserve"> </w:t>
      </w:r>
      <w:r>
        <w:t>basis.</w:t>
      </w:r>
    </w:p>
    <w:p w:rsidR="002C1123" w:rsidRDefault="00F22F94">
      <w:pPr>
        <w:pStyle w:val="Heading6"/>
        <w:numPr>
          <w:ilvl w:val="2"/>
          <w:numId w:val="24"/>
        </w:numPr>
        <w:tabs>
          <w:tab w:val="left" w:pos="1087"/>
        </w:tabs>
        <w:spacing w:before="145"/>
        <w:ind w:left="1086"/>
        <w:jc w:val="left"/>
      </w:pPr>
      <w:r>
        <w:rPr>
          <w:color w:val="00AEEF"/>
          <w:spacing w:val="-2"/>
        </w:rPr>
        <w:t>Major</w:t>
      </w:r>
      <w:r>
        <w:rPr>
          <w:color w:val="00AEEF"/>
          <w:spacing w:val="-11"/>
        </w:rPr>
        <w:t xml:space="preserve"> </w:t>
      </w:r>
      <w:r>
        <w:rPr>
          <w:color w:val="00AEEF"/>
          <w:spacing w:val="-2"/>
        </w:rPr>
        <w:t>Projects</w:t>
      </w:r>
      <w:r>
        <w:rPr>
          <w:color w:val="00AEEF"/>
          <w:spacing w:val="-11"/>
        </w:rPr>
        <w:t xml:space="preserve"> </w:t>
      </w:r>
      <w:r>
        <w:rPr>
          <w:color w:val="00AEEF"/>
          <w:spacing w:val="-2"/>
        </w:rPr>
        <w:t>Assurance</w:t>
      </w:r>
      <w:r>
        <w:rPr>
          <w:color w:val="00AEEF"/>
          <w:spacing w:val="-10"/>
        </w:rPr>
        <w:t xml:space="preserve"> </w:t>
      </w:r>
      <w:r>
        <w:rPr>
          <w:color w:val="00AEEF"/>
          <w:spacing w:val="-2"/>
        </w:rPr>
        <w:t>Process</w:t>
      </w:r>
    </w:p>
    <w:p w:rsidR="002C1123" w:rsidRDefault="00F22F94">
      <w:pPr>
        <w:pStyle w:val="BodyText"/>
        <w:spacing w:before="95" w:line="249" w:lineRule="auto"/>
        <w:ind w:left="492" w:right="3"/>
      </w:pPr>
      <w:r>
        <w:t>Infrastructure</w:t>
      </w:r>
      <w:r>
        <w:rPr>
          <w:spacing w:val="-13"/>
        </w:rPr>
        <w:t xml:space="preserve"> </w:t>
      </w:r>
      <w:r>
        <w:t>NSW</w:t>
      </w:r>
      <w:r>
        <w:rPr>
          <w:spacing w:val="-13"/>
        </w:rPr>
        <w:t xml:space="preserve"> </w:t>
      </w:r>
      <w:r>
        <w:t>has</w:t>
      </w:r>
      <w:r>
        <w:rPr>
          <w:spacing w:val="-13"/>
        </w:rPr>
        <w:t xml:space="preserve"> </w:t>
      </w:r>
      <w:r>
        <w:t>established</w:t>
      </w:r>
      <w:r>
        <w:rPr>
          <w:spacing w:val="-13"/>
        </w:rPr>
        <w:t xml:space="preserve"> </w:t>
      </w:r>
      <w:r>
        <w:t>an</w:t>
      </w:r>
      <w:r>
        <w:rPr>
          <w:spacing w:val="-13"/>
        </w:rPr>
        <w:t xml:space="preserve"> </w:t>
      </w:r>
      <w:r>
        <w:t xml:space="preserve">enhanced </w:t>
      </w:r>
      <w:r>
        <w:rPr>
          <w:w w:val="95"/>
        </w:rPr>
        <w:t>project assurance and review process, Major Projects Assurance,</w:t>
      </w:r>
      <w:r>
        <w:rPr>
          <w:spacing w:val="-10"/>
          <w:w w:val="95"/>
        </w:rPr>
        <w:t xml:space="preserve"> </w:t>
      </w:r>
      <w:r>
        <w:rPr>
          <w:w w:val="95"/>
        </w:rPr>
        <w:t>to</w:t>
      </w:r>
      <w:r>
        <w:rPr>
          <w:spacing w:val="-10"/>
          <w:w w:val="95"/>
        </w:rPr>
        <w:t xml:space="preserve"> </w:t>
      </w:r>
      <w:r>
        <w:rPr>
          <w:w w:val="95"/>
        </w:rPr>
        <w:t>review</w:t>
      </w:r>
      <w:r>
        <w:rPr>
          <w:spacing w:val="-10"/>
          <w:w w:val="95"/>
        </w:rPr>
        <w:t xml:space="preserve"> </w:t>
      </w:r>
      <w:r>
        <w:rPr>
          <w:w w:val="95"/>
        </w:rPr>
        <w:t>and</w:t>
      </w:r>
      <w:r>
        <w:rPr>
          <w:spacing w:val="-10"/>
          <w:w w:val="95"/>
        </w:rPr>
        <w:t xml:space="preserve"> </w:t>
      </w:r>
      <w:r>
        <w:rPr>
          <w:w w:val="95"/>
        </w:rPr>
        <w:t>evaluate</w:t>
      </w:r>
      <w:r>
        <w:rPr>
          <w:spacing w:val="-10"/>
          <w:w w:val="95"/>
        </w:rPr>
        <w:t xml:space="preserve"> </w:t>
      </w:r>
      <w:r>
        <w:rPr>
          <w:w w:val="95"/>
        </w:rPr>
        <w:t>major</w:t>
      </w:r>
      <w:r>
        <w:rPr>
          <w:spacing w:val="-10"/>
          <w:w w:val="95"/>
        </w:rPr>
        <w:t xml:space="preserve"> </w:t>
      </w:r>
      <w:r>
        <w:rPr>
          <w:w w:val="95"/>
        </w:rPr>
        <w:t xml:space="preserve">infrastructure </w:t>
      </w:r>
      <w:r>
        <w:t>projects</w:t>
      </w:r>
      <w:r>
        <w:rPr>
          <w:spacing w:val="-14"/>
        </w:rPr>
        <w:t xml:space="preserve"> </w:t>
      </w:r>
      <w:r>
        <w:t>with</w:t>
      </w:r>
      <w:r>
        <w:rPr>
          <w:spacing w:val="-14"/>
        </w:rPr>
        <w:t xml:space="preserve"> </w:t>
      </w:r>
      <w:r>
        <w:t>a</w:t>
      </w:r>
      <w:r>
        <w:rPr>
          <w:spacing w:val="-14"/>
        </w:rPr>
        <w:t xml:space="preserve"> </w:t>
      </w:r>
      <w:r>
        <w:t>capital</w:t>
      </w:r>
      <w:r>
        <w:rPr>
          <w:spacing w:val="-14"/>
        </w:rPr>
        <w:t xml:space="preserve"> </w:t>
      </w:r>
      <w:r>
        <w:t>investment</w:t>
      </w:r>
      <w:r>
        <w:rPr>
          <w:spacing w:val="-14"/>
        </w:rPr>
        <w:t xml:space="preserve"> </w:t>
      </w:r>
      <w:r>
        <w:t>value</w:t>
      </w:r>
      <w:r>
        <w:rPr>
          <w:spacing w:val="-14"/>
        </w:rPr>
        <w:t xml:space="preserve"> </w:t>
      </w:r>
      <w:r>
        <w:t>of</w:t>
      </w:r>
      <w:r>
        <w:rPr>
          <w:spacing w:val="-14"/>
        </w:rPr>
        <w:t xml:space="preserve"> </w:t>
      </w:r>
      <w:r>
        <w:t>more</w:t>
      </w:r>
      <w:r>
        <w:rPr>
          <w:spacing w:val="-14"/>
        </w:rPr>
        <w:t xml:space="preserve"> </w:t>
      </w:r>
      <w:r>
        <w:t>than</w:t>
      </w:r>
    </w:p>
    <w:p w:rsidR="002C1123" w:rsidRDefault="00F22F94">
      <w:pPr>
        <w:pStyle w:val="BodyText"/>
        <w:spacing w:before="3" w:line="249" w:lineRule="auto"/>
        <w:ind w:left="492" w:right="3"/>
      </w:pPr>
      <w:r>
        <w:rPr>
          <w:w w:val="95"/>
        </w:rPr>
        <w:t>$100</w:t>
      </w:r>
      <w:r>
        <w:rPr>
          <w:spacing w:val="-11"/>
          <w:w w:val="95"/>
        </w:rPr>
        <w:t xml:space="preserve"> </w:t>
      </w:r>
      <w:r>
        <w:rPr>
          <w:w w:val="95"/>
        </w:rPr>
        <w:t>million.</w:t>
      </w:r>
      <w:r>
        <w:rPr>
          <w:spacing w:val="-11"/>
          <w:w w:val="95"/>
        </w:rPr>
        <w:t xml:space="preserve"> </w:t>
      </w:r>
      <w:r>
        <w:rPr>
          <w:w w:val="95"/>
        </w:rPr>
        <w:t>This</w:t>
      </w:r>
      <w:r>
        <w:rPr>
          <w:spacing w:val="-11"/>
          <w:w w:val="95"/>
        </w:rPr>
        <w:t xml:space="preserve"> </w:t>
      </w:r>
      <w:r>
        <w:rPr>
          <w:w w:val="95"/>
        </w:rPr>
        <w:t>oversight</w:t>
      </w:r>
      <w:r>
        <w:rPr>
          <w:spacing w:val="-11"/>
          <w:w w:val="95"/>
        </w:rPr>
        <w:t xml:space="preserve"> </w:t>
      </w:r>
      <w:r>
        <w:rPr>
          <w:w w:val="95"/>
        </w:rPr>
        <w:t>will</w:t>
      </w:r>
      <w:r>
        <w:rPr>
          <w:spacing w:val="-11"/>
          <w:w w:val="95"/>
        </w:rPr>
        <w:t xml:space="preserve"> </w:t>
      </w:r>
      <w:r>
        <w:rPr>
          <w:w w:val="95"/>
        </w:rPr>
        <w:t>help</w:t>
      </w:r>
      <w:r>
        <w:rPr>
          <w:spacing w:val="-11"/>
          <w:w w:val="95"/>
        </w:rPr>
        <w:t xml:space="preserve"> </w:t>
      </w:r>
      <w:r>
        <w:rPr>
          <w:w w:val="95"/>
        </w:rPr>
        <w:t>the</w:t>
      </w:r>
      <w:r>
        <w:rPr>
          <w:spacing w:val="-11"/>
          <w:w w:val="95"/>
        </w:rPr>
        <w:t xml:space="preserve"> </w:t>
      </w:r>
      <w:r>
        <w:rPr>
          <w:w w:val="95"/>
        </w:rPr>
        <w:t xml:space="preserve">Government </w:t>
      </w:r>
      <w:r>
        <w:t>ensure</w:t>
      </w:r>
      <w:r>
        <w:rPr>
          <w:spacing w:val="-6"/>
        </w:rPr>
        <w:t xml:space="preserve"> </w:t>
      </w:r>
      <w:r>
        <w:t>that</w:t>
      </w:r>
      <w:r>
        <w:rPr>
          <w:spacing w:val="-6"/>
        </w:rPr>
        <w:t xml:space="preserve"> </w:t>
      </w:r>
      <w:r>
        <w:t>infrastructure</w:t>
      </w:r>
      <w:r>
        <w:rPr>
          <w:spacing w:val="-6"/>
        </w:rPr>
        <w:t xml:space="preserve"> </w:t>
      </w:r>
      <w:r>
        <w:t>projects</w:t>
      </w:r>
      <w:r>
        <w:rPr>
          <w:spacing w:val="-6"/>
        </w:rPr>
        <w:t xml:space="preserve"> </w:t>
      </w:r>
      <w:r>
        <w:t>are:</w:t>
      </w:r>
    </w:p>
    <w:p w:rsidR="002C1123" w:rsidRDefault="00F22F94">
      <w:pPr>
        <w:pStyle w:val="ListParagraph"/>
        <w:numPr>
          <w:ilvl w:val="3"/>
          <w:numId w:val="24"/>
        </w:numPr>
        <w:tabs>
          <w:tab w:val="left" w:pos="776"/>
        </w:tabs>
        <w:spacing w:before="131" w:line="249" w:lineRule="auto"/>
        <w:ind w:left="775" w:right="694"/>
        <w:rPr>
          <w:sz w:val="20"/>
        </w:rPr>
      </w:pPr>
      <w:r>
        <w:rPr>
          <w:w w:val="95"/>
          <w:sz w:val="20"/>
        </w:rPr>
        <w:t xml:space="preserve">the highest priority and scoped for maximum </w:t>
      </w:r>
      <w:r>
        <w:rPr>
          <w:spacing w:val="-2"/>
          <w:sz w:val="20"/>
        </w:rPr>
        <w:t>value-for-money</w:t>
      </w:r>
    </w:p>
    <w:p w:rsidR="002C1123" w:rsidRDefault="00F22F94">
      <w:pPr>
        <w:pStyle w:val="ListParagraph"/>
        <w:numPr>
          <w:ilvl w:val="3"/>
          <w:numId w:val="24"/>
        </w:numPr>
        <w:tabs>
          <w:tab w:val="left" w:pos="776"/>
        </w:tabs>
        <w:spacing w:before="130"/>
        <w:ind w:left="775"/>
        <w:rPr>
          <w:sz w:val="20"/>
        </w:rPr>
      </w:pPr>
      <w:r>
        <w:rPr>
          <w:w w:val="90"/>
          <w:sz w:val="20"/>
        </w:rPr>
        <w:t>delivered</w:t>
      </w:r>
      <w:r>
        <w:rPr>
          <w:spacing w:val="8"/>
          <w:sz w:val="20"/>
        </w:rPr>
        <w:t xml:space="preserve"> </w:t>
      </w:r>
      <w:r>
        <w:rPr>
          <w:w w:val="90"/>
          <w:sz w:val="20"/>
        </w:rPr>
        <w:t>in</w:t>
      </w:r>
      <w:r>
        <w:rPr>
          <w:spacing w:val="8"/>
          <w:sz w:val="20"/>
        </w:rPr>
        <w:t xml:space="preserve"> </w:t>
      </w:r>
      <w:r>
        <w:rPr>
          <w:w w:val="90"/>
          <w:sz w:val="20"/>
        </w:rPr>
        <w:t>a</w:t>
      </w:r>
      <w:r>
        <w:rPr>
          <w:spacing w:val="9"/>
          <w:sz w:val="20"/>
        </w:rPr>
        <w:t xml:space="preserve"> </w:t>
      </w:r>
      <w:r>
        <w:rPr>
          <w:w w:val="90"/>
          <w:sz w:val="20"/>
        </w:rPr>
        <w:t>timely</w:t>
      </w:r>
      <w:r>
        <w:rPr>
          <w:spacing w:val="8"/>
          <w:sz w:val="20"/>
        </w:rPr>
        <w:t xml:space="preserve"> </w:t>
      </w:r>
      <w:r>
        <w:rPr>
          <w:w w:val="90"/>
          <w:sz w:val="20"/>
        </w:rPr>
        <w:t>and</w:t>
      </w:r>
      <w:r>
        <w:rPr>
          <w:spacing w:val="9"/>
          <w:sz w:val="20"/>
        </w:rPr>
        <w:t xml:space="preserve"> </w:t>
      </w:r>
      <w:r>
        <w:rPr>
          <w:w w:val="90"/>
          <w:sz w:val="20"/>
        </w:rPr>
        <w:t>efficient</w:t>
      </w:r>
      <w:r>
        <w:rPr>
          <w:spacing w:val="8"/>
          <w:sz w:val="20"/>
        </w:rPr>
        <w:t xml:space="preserve"> </w:t>
      </w:r>
      <w:r>
        <w:rPr>
          <w:spacing w:val="-5"/>
          <w:w w:val="90"/>
          <w:sz w:val="20"/>
        </w:rPr>
        <w:t>way</w:t>
      </w:r>
    </w:p>
    <w:p w:rsidR="002C1123" w:rsidRDefault="00F22F94">
      <w:pPr>
        <w:pStyle w:val="ListParagraph"/>
        <w:numPr>
          <w:ilvl w:val="3"/>
          <w:numId w:val="24"/>
        </w:numPr>
        <w:tabs>
          <w:tab w:val="left" w:pos="776"/>
        </w:tabs>
        <w:spacing w:before="140"/>
        <w:ind w:left="775"/>
        <w:rPr>
          <w:sz w:val="20"/>
        </w:rPr>
      </w:pPr>
      <w:r>
        <w:rPr>
          <w:w w:val="95"/>
          <w:sz w:val="20"/>
        </w:rPr>
        <w:t>managed</w:t>
      </w:r>
      <w:r>
        <w:rPr>
          <w:spacing w:val="-7"/>
          <w:w w:val="95"/>
          <w:sz w:val="20"/>
        </w:rPr>
        <w:t xml:space="preserve"> </w:t>
      </w:r>
      <w:r>
        <w:rPr>
          <w:w w:val="95"/>
          <w:sz w:val="20"/>
        </w:rPr>
        <w:t>and</w:t>
      </w:r>
      <w:r>
        <w:rPr>
          <w:spacing w:val="-7"/>
          <w:w w:val="95"/>
          <w:sz w:val="20"/>
        </w:rPr>
        <w:t xml:space="preserve"> </w:t>
      </w:r>
      <w:r>
        <w:rPr>
          <w:w w:val="95"/>
          <w:sz w:val="20"/>
        </w:rPr>
        <w:t>maintained</w:t>
      </w:r>
      <w:r>
        <w:rPr>
          <w:spacing w:val="-7"/>
          <w:w w:val="95"/>
          <w:sz w:val="20"/>
        </w:rPr>
        <w:t xml:space="preserve"> </w:t>
      </w:r>
      <w:r>
        <w:rPr>
          <w:w w:val="95"/>
          <w:sz w:val="20"/>
        </w:rPr>
        <w:t>efficiently</w:t>
      </w:r>
      <w:r>
        <w:rPr>
          <w:spacing w:val="-7"/>
          <w:w w:val="95"/>
          <w:sz w:val="20"/>
        </w:rPr>
        <w:t xml:space="preserve"> </w:t>
      </w:r>
      <w:r>
        <w:rPr>
          <w:w w:val="95"/>
          <w:sz w:val="20"/>
        </w:rPr>
        <w:t>over</w:t>
      </w:r>
      <w:r>
        <w:rPr>
          <w:spacing w:val="-7"/>
          <w:w w:val="95"/>
          <w:sz w:val="20"/>
        </w:rPr>
        <w:t xml:space="preserve"> </w:t>
      </w:r>
      <w:r>
        <w:rPr>
          <w:w w:val="95"/>
          <w:sz w:val="20"/>
        </w:rPr>
        <w:t>their</w:t>
      </w:r>
      <w:r>
        <w:rPr>
          <w:spacing w:val="-7"/>
          <w:w w:val="95"/>
          <w:sz w:val="20"/>
        </w:rPr>
        <w:t xml:space="preserve"> </w:t>
      </w:r>
      <w:r>
        <w:rPr>
          <w:spacing w:val="-4"/>
          <w:w w:val="95"/>
          <w:sz w:val="20"/>
        </w:rPr>
        <w:t>life</w:t>
      </w:r>
    </w:p>
    <w:p w:rsidR="002C1123" w:rsidRDefault="00F22F94">
      <w:pPr>
        <w:pStyle w:val="BodyText"/>
        <w:spacing w:before="106" w:line="249" w:lineRule="auto"/>
        <w:ind w:left="215" w:right="7"/>
      </w:pPr>
      <w:r>
        <w:br w:type="column"/>
      </w:r>
      <w:r>
        <w:rPr>
          <w:w w:val="95"/>
        </w:rPr>
        <w:t xml:space="preserve">NSW Treasury will continue to manage the process for independently reviewing agencies’ capital project plans </w:t>
      </w:r>
      <w:r>
        <w:t>for</w:t>
      </w:r>
      <w:r>
        <w:rPr>
          <w:spacing w:val="-12"/>
        </w:rPr>
        <w:t xml:space="preserve"> </w:t>
      </w:r>
      <w:r>
        <w:t>projects</w:t>
      </w:r>
      <w:r>
        <w:rPr>
          <w:spacing w:val="-12"/>
        </w:rPr>
        <w:t xml:space="preserve"> </w:t>
      </w:r>
      <w:r>
        <w:t>between</w:t>
      </w:r>
      <w:r>
        <w:rPr>
          <w:spacing w:val="-12"/>
        </w:rPr>
        <w:t xml:space="preserve"> </w:t>
      </w:r>
      <w:r>
        <w:t>$10</w:t>
      </w:r>
      <w:r>
        <w:rPr>
          <w:spacing w:val="-12"/>
        </w:rPr>
        <w:t xml:space="preserve"> </w:t>
      </w:r>
      <w:r>
        <w:t>million</w:t>
      </w:r>
      <w:r>
        <w:rPr>
          <w:spacing w:val="-12"/>
        </w:rPr>
        <w:t xml:space="preserve"> </w:t>
      </w:r>
      <w:r>
        <w:t>and</w:t>
      </w:r>
      <w:r>
        <w:rPr>
          <w:spacing w:val="-12"/>
        </w:rPr>
        <w:t xml:space="preserve"> </w:t>
      </w:r>
      <w:r>
        <w:t>$100</w:t>
      </w:r>
      <w:r>
        <w:rPr>
          <w:spacing w:val="-12"/>
        </w:rPr>
        <w:t xml:space="preserve"> </w:t>
      </w:r>
      <w:r>
        <w:t>million.</w:t>
      </w:r>
    </w:p>
    <w:p w:rsidR="002C1123" w:rsidRDefault="00F22F94">
      <w:pPr>
        <w:pStyle w:val="BodyText"/>
        <w:spacing w:before="144" w:line="249" w:lineRule="auto"/>
        <w:ind w:left="215" w:right="7"/>
      </w:pPr>
      <w:r>
        <w:rPr>
          <w:w w:val="95"/>
        </w:rPr>
        <w:t>This</w:t>
      </w:r>
      <w:r>
        <w:rPr>
          <w:spacing w:val="-1"/>
          <w:w w:val="95"/>
        </w:rPr>
        <w:t xml:space="preserve"> </w:t>
      </w:r>
      <w:r>
        <w:rPr>
          <w:w w:val="95"/>
        </w:rPr>
        <w:t>“Gateway</w:t>
      </w:r>
      <w:r>
        <w:rPr>
          <w:spacing w:val="-1"/>
          <w:w w:val="95"/>
        </w:rPr>
        <w:t xml:space="preserve"> </w:t>
      </w:r>
      <w:r>
        <w:rPr>
          <w:w w:val="95"/>
        </w:rPr>
        <w:t>Review”</w:t>
      </w:r>
      <w:r>
        <w:rPr>
          <w:spacing w:val="-1"/>
          <w:w w:val="95"/>
        </w:rPr>
        <w:t xml:space="preserve"> </w:t>
      </w:r>
      <w:r>
        <w:rPr>
          <w:w w:val="95"/>
        </w:rPr>
        <w:t>process</w:t>
      </w:r>
      <w:r>
        <w:rPr>
          <w:spacing w:val="-1"/>
          <w:w w:val="95"/>
        </w:rPr>
        <w:t xml:space="preserve"> </w:t>
      </w:r>
      <w:r>
        <w:rPr>
          <w:w w:val="95"/>
        </w:rPr>
        <w:t>is</w:t>
      </w:r>
      <w:r>
        <w:rPr>
          <w:spacing w:val="-1"/>
          <w:w w:val="95"/>
        </w:rPr>
        <w:t xml:space="preserve"> </w:t>
      </w:r>
      <w:r>
        <w:rPr>
          <w:w w:val="95"/>
        </w:rPr>
        <w:t>based</w:t>
      </w:r>
      <w:r>
        <w:rPr>
          <w:spacing w:val="-1"/>
          <w:w w:val="95"/>
        </w:rPr>
        <w:t xml:space="preserve"> </w:t>
      </w:r>
      <w:r>
        <w:rPr>
          <w:w w:val="95"/>
        </w:rPr>
        <w:t>on</w:t>
      </w:r>
      <w:r>
        <w:rPr>
          <w:spacing w:val="-1"/>
          <w:w w:val="95"/>
        </w:rPr>
        <w:t xml:space="preserve"> </w:t>
      </w:r>
      <w:r>
        <w:rPr>
          <w:w w:val="95"/>
        </w:rPr>
        <w:t>the</w:t>
      </w:r>
      <w:r>
        <w:rPr>
          <w:spacing w:val="-1"/>
          <w:w w:val="95"/>
        </w:rPr>
        <w:t xml:space="preserve"> </w:t>
      </w:r>
      <w:r>
        <w:rPr>
          <w:w w:val="95"/>
        </w:rPr>
        <w:t>similar system</w:t>
      </w:r>
      <w:r>
        <w:rPr>
          <w:spacing w:val="-4"/>
          <w:w w:val="95"/>
        </w:rPr>
        <w:t xml:space="preserve"> </w:t>
      </w:r>
      <w:r>
        <w:rPr>
          <w:w w:val="95"/>
        </w:rPr>
        <w:t>first</w:t>
      </w:r>
      <w:r>
        <w:rPr>
          <w:spacing w:val="-3"/>
          <w:w w:val="95"/>
        </w:rPr>
        <w:t xml:space="preserve"> </w:t>
      </w:r>
      <w:r>
        <w:rPr>
          <w:w w:val="95"/>
        </w:rPr>
        <w:t>established</w:t>
      </w:r>
      <w:r>
        <w:rPr>
          <w:spacing w:val="-3"/>
          <w:w w:val="95"/>
        </w:rPr>
        <w:t xml:space="preserve"> </w:t>
      </w:r>
      <w:r>
        <w:rPr>
          <w:w w:val="95"/>
        </w:rPr>
        <w:t>in</w:t>
      </w:r>
      <w:r>
        <w:rPr>
          <w:spacing w:val="-3"/>
          <w:w w:val="95"/>
        </w:rPr>
        <w:t xml:space="preserve"> </w:t>
      </w:r>
      <w:r>
        <w:rPr>
          <w:w w:val="95"/>
        </w:rPr>
        <w:t>the</w:t>
      </w:r>
      <w:r>
        <w:rPr>
          <w:spacing w:val="-3"/>
          <w:w w:val="95"/>
        </w:rPr>
        <w:t xml:space="preserve"> </w:t>
      </w:r>
      <w:r>
        <w:rPr>
          <w:w w:val="95"/>
        </w:rPr>
        <w:t>UK</w:t>
      </w:r>
      <w:r>
        <w:rPr>
          <w:spacing w:val="-3"/>
          <w:w w:val="95"/>
        </w:rPr>
        <w:t xml:space="preserve"> </w:t>
      </w:r>
      <w:r>
        <w:rPr>
          <w:w w:val="95"/>
        </w:rPr>
        <w:t>and</w:t>
      </w:r>
      <w:r>
        <w:rPr>
          <w:spacing w:val="-3"/>
          <w:w w:val="95"/>
        </w:rPr>
        <w:t xml:space="preserve"> </w:t>
      </w:r>
      <w:r>
        <w:rPr>
          <w:w w:val="95"/>
        </w:rPr>
        <w:t>recommended</w:t>
      </w:r>
      <w:r>
        <w:rPr>
          <w:spacing w:val="-3"/>
          <w:w w:val="95"/>
        </w:rPr>
        <w:t xml:space="preserve"> </w:t>
      </w:r>
      <w:r>
        <w:rPr>
          <w:w w:val="95"/>
        </w:rPr>
        <w:t>in Infrastructure Australia’s guidelines, largely adopted by all</w:t>
      </w:r>
      <w:r>
        <w:rPr>
          <w:spacing w:val="-6"/>
          <w:w w:val="95"/>
        </w:rPr>
        <w:t xml:space="preserve"> </w:t>
      </w:r>
      <w:r>
        <w:rPr>
          <w:w w:val="95"/>
        </w:rPr>
        <w:t>Australian</w:t>
      </w:r>
      <w:r>
        <w:rPr>
          <w:spacing w:val="-6"/>
          <w:w w:val="95"/>
        </w:rPr>
        <w:t xml:space="preserve"> </w:t>
      </w:r>
      <w:r>
        <w:rPr>
          <w:w w:val="95"/>
        </w:rPr>
        <w:t>states.</w:t>
      </w:r>
      <w:r>
        <w:rPr>
          <w:spacing w:val="-6"/>
          <w:w w:val="95"/>
        </w:rPr>
        <w:t xml:space="preserve"> </w:t>
      </w:r>
      <w:r>
        <w:rPr>
          <w:w w:val="95"/>
        </w:rPr>
        <w:t>It</w:t>
      </w:r>
      <w:r>
        <w:rPr>
          <w:spacing w:val="-6"/>
          <w:w w:val="95"/>
        </w:rPr>
        <w:t xml:space="preserve"> </w:t>
      </w:r>
      <w:r>
        <w:rPr>
          <w:w w:val="95"/>
        </w:rPr>
        <w:t>aims</w:t>
      </w:r>
      <w:r>
        <w:rPr>
          <w:spacing w:val="-6"/>
          <w:w w:val="95"/>
        </w:rPr>
        <w:t xml:space="preserve"> </w:t>
      </w:r>
      <w:r>
        <w:rPr>
          <w:w w:val="95"/>
        </w:rPr>
        <w:t>to</w:t>
      </w:r>
      <w:r>
        <w:rPr>
          <w:spacing w:val="-6"/>
          <w:w w:val="95"/>
        </w:rPr>
        <w:t xml:space="preserve"> </w:t>
      </w:r>
      <w:r>
        <w:rPr>
          <w:w w:val="95"/>
        </w:rPr>
        <w:t>ensure</w:t>
      </w:r>
      <w:r>
        <w:rPr>
          <w:spacing w:val="-6"/>
          <w:w w:val="95"/>
        </w:rPr>
        <w:t xml:space="preserve"> </w:t>
      </w:r>
      <w:r>
        <w:rPr>
          <w:w w:val="95"/>
        </w:rPr>
        <w:t>agencies</w:t>
      </w:r>
      <w:r>
        <w:rPr>
          <w:spacing w:val="-6"/>
          <w:w w:val="95"/>
        </w:rPr>
        <w:t xml:space="preserve"> </w:t>
      </w:r>
      <w:r>
        <w:rPr>
          <w:w w:val="95"/>
        </w:rPr>
        <w:t>follow</w:t>
      </w:r>
      <w:r>
        <w:rPr>
          <w:spacing w:val="-6"/>
          <w:w w:val="95"/>
        </w:rPr>
        <w:t xml:space="preserve"> </w:t>
      </w:r>
      <w:r>
        <w:rPr>
          <w:w w:val="95"/>
        </w:rPr>
        <w:t>a sound</w:t>
      </w:r>
      <w:r>
        <w:rPr>
          <w:spacing w:val="-1"/>
          <w:w w:val="95"/>
        </w:rPr>
        <w:t xml:space="preserve"> </w:t>
      </w:r>
      <w:r>
        <w:rPr>
          <w:w w:val="95"/>
        </w:rPr>
        <w:t>and</w:t>
      </w:r>
      <w:r>
        <w:rPr>
          <w:spacing w:val="-1"/>
          <w:w w:val="95"/>
        </w:rPr>
        <w:t xml:space="preserve"> </w:t>
      </w:r>
      <w:r>
        <w:rPr>
          <w:w w:val="95"/>
        </w:rPr>
        <w:t>rigorous</w:t>
      </w:r>
      <w:r>
        <w:rPr>
          <w:spacing w:val="-1"/>
          <w:w w:val="95"/>
        </w:rPr>
        <w:t xml:space="preserve"> </w:t>
      </w:r>
      <w:r>
        <w:rPr>
          <w:w w:val="95"/>
        </w:rPr>
        <w:t>approach</w:t>
      </w:r>
      <w:r>
        <w:rPr>
          <w:spacing w:val="-1"/>
          <w:w w:val="95"/>
        </w:rPr>
        <w:t xml:space="preserve"> </w:t>
      </w:r>
      <w:r>
        <w:rPr>
          <w:w w:val="95"/>
        </w:rPr>
        <w:t>to</w:t>
      </w:r>
      <w:r>
        <w:rPr>
          <w:spacing w:val="-1"/>
          <w:w w:val="95"/>
        </w:rPr>
        <w:t xml:space="preserve"> </w:t>
      </w:r>
      <w:r>
        <w:rPr>
          <w:w w:val="95"/>
        </w:rPr>
        <w:t>developing,</w:t>
      </w:r>
      <w:r>
        <w:rPr>
          <w:spacing w:val="-1"/>
          <w:w w:val="95"/>
        </w:rPr>
        <w:t xml:space="preserve"> </w:t>
      </w:r>
      <w:r>
        <w:rPr>
          <w:w w:val="95"/>
        </w:rPr>
        <w:t xml:space="preserve">evaluating </w:t>
      </w:r>
      <w:r>
        <w:t>and delivering infrastructure projects.</w:t>
      </w:r>
    </w:p>
    <w:p w:rsidR="002C1123" w:rsidRDefault="00F22F94">
      <w:pPr>
        <w:pStyle w:val="BodyText"/>
        <w:spacing w:before="147" w:line="249" w:lineRule="auto"/>
        <w:ind w:left="215" w:right="7"/>
      </w:pPr>
      <w:r>
        <w:t>The</w:t>
      </w:r>
      <w:r>
        <w:rPr>
          <w:spacing w:val="-14"/>
        </w:rPr>
        <w:t xml:space="preserve"> </w:t>
      </w:r>
      <w:r>
        <w:t>NSW</w:t>
      </w:r>
      <w:r>
        <w:rPr>
          <w:spacing w:val="-14"/>
        </w:rPr>
        <w:t xml:space="preserve"> </w:t>
      </w:r>
      <w:r>
        <w:t>Financial</w:t>
      </w:r>
      <w:r>
        <w:rPr>
          <w:spacing w:val="-14"/>
        </w:rPr>
        <w:t xml:space="preserve"> </w:t>
      </w:r>
      <w:r>
        <w:t>Audit</w:t>
      </w:r>
      <w:r>
        <w:rPr>
          <w:spacing w:val="-14"/>
        </w:rPr>
        <w:t xml:space="preserve"> </w:t>
      </w:r>
      <w:r>
        <w:t>2011</w:t>
      </w:r>
      <w:r>
        <w:rPr>
          <w:spacing w:val="-14"/>
        </w:rPr>
        <w:t xml:space="preserve"> </w:t>
      </w:r>
      <w:r>
        <w:t>(the</w:t>
      </w:r>
      <w:r>
        <w:rPr>
          <w:spacing w:val="-14"/>
        </w:rPr>
        <w:t xml:space="preserve"> </w:t>
      </w:r>
      <w:r>
        <w:t>“Lambert</w:t>
      </w:r>
      <w:r>
        <w:rPr>
          <w:spacing w:val="-14"/>
        </w:rPr>
        <w:t xml:space="preserve"> </w:t>
      </w:r>
      <w:r>
        <w:t>Report”) identified</w:t>
      </w:r>
      <w:r>
        <w:rPr>
          <w:spacing w:val="-14"/>
        </w:rPr>
        <w:t xml:space="preserve"> </w:t>
      </w:r>
      <w:r>
        <w:t>significant</w:t>
      </w:r>
      <w:r>
        <w:rPr>
          <w:spacing w:val="-14"/>
        </w:rPr>
        <w:t xml:space="preserve"> </w:t>
      </w:r>
      <w:r>
        <w:t>failures</w:t>
      </w:r>
      <w:r>
        <w:rPr>
          <w:spacing w:val="-14"/>
        </w:rPr>
        <w:t xml:space="preserve"> </w:t>
      </w:r>
      <w:r>
        <w:t>in</w:t>
      </w:r>
      <w:r>
        <w:rPr>
          <w:spacing w:val="-14"/>
        </w:rPr>
        <w:t xml:space="preserve"> </w:t>
      </w:r>
      <w:r>
        <w:t>NSW</w:t>
      </w:r>
      <w:r>
        <w:rPr>
          <w:spacing w:val="-14"/>
        </w:rPr>
        <w:t xml:space="preserve"> </w:t>
      </w:r>
      <w:r>
        <w:t xml:space="preserve">Government </w:t>
      </w:r>
      <w:r>
        <w:rPr>
          <w:w w:val="95"/>
        </w:rPr>
        <w:t>infrastructure</w:t>
      </w:r>
      <w:r>
        <w:rPr>
          <w:spacing w:val="-2"/>
          <w:w w:val="95"/>
        </w:rPr>
        <w:t xml:space="preserve"> </w:t>
      </w:r>
      <w:r>
        <w:rPr>
          <w:w w:val="95"/>
        </w:rPr>
        <w:t>planning</w:t>
      </w:r>
      <w:r>
        <w:rPr>
          <w:spacing w:val="-2"/>
          <w:w w:val="95"/>
        </w:rPr>
        <w:t xml:space="preserve"> </w:t>
      </w:r>
      <w:r>
        <w:rPr>
          <w:w w:val="95"/>
        </w:rPr>
        <w:t>and</w:t>
      </w:r>
      <w:r>
        <w:rPr>
          <w:spacing w:val="-2"/>
          <w:w w:val="95"/>
        </w:rPr>
        <w:t xml:space="preserve"> </w:t>
      </w:r>
      <w:r>
        <w:rPr>
          <w:w w:val="95"/>
        </w:rPr>
        <w:t>variable</w:t>
      </w:r>
      <w:r>
        <w:rPr>
          <w:spacing w:val="-2"/>
          <w:w w:val="95"/>
        </w:rPr>
        <w:t xml:space="preserve"> </w:t>
      </w:r>
      <w:r>
        <w:rPr>
          <w:w w:val="95"/>
        </w:rPr>
        <w:t>compliance</w:t>
      </w:r>
      <w:r>
        <w:rPr>
          <w:spacing w:val="-2"/>
          <w:w w:val="95"/>
        </w:rPr>
        <w:t xml:space="preserve"> </w:t>
      </w:r>
      <w:r>
        <w:rPr>
          <w:w w:val="95"/>
        </w:rPr>
        <w:t>with</w:t>
      </w:r>
      <w:r>
        <w:rPr>
          <w:spacing w:val="-2"/>
          <w:w w:val="95"/>
        </w:rPr>
        <w:t xml:space="preserve"> </w:t>
      </w:r>
      <w:r>
        <w:rPr>
          <w:w w:val="95"/>
        </w:rPr>
        <w:t xml:space="preserve">the </w:t>
      </w:r>
      <w:r>
        <w:t>Gateway</w:t>
      </w:r>
      <w:r>
        <w:rPr>
          <w:spacing w:val="-14"/>
        </w:rPr>
        <w:t xml:space="preserve"> </w:t>
      </w:r>
      <w:r>
        <w:t>Review</w:t>
      </w:r>
      <w:r>
        <w:rPr>
          <w:spacing w:val="-14"/>
        </w:rPr>
        <w:t xml:space="preserve"> </w:t>
      </w:r>
      <w:r>
        <w:t>process,</w:t>
      </w:r>
      <w:r>
        <w:rPr>
          <w:spacing w:val="-14"/>
        </w:rPr>
        <w:t xml:space="preserve"> </w:t>
      </w:r>
      <w:r>
        <w:t>particularly</w:t>
      </w:r>
      <w:r>
        <w:rPr>
          <w:spacing w:val="-14"/>
        </w:rPr>
        <w:t xml:space="preserve"> </w:t>
      </w:r>
      <w:r>
        <w:t>for</w:t>
      </w:r>
      <w:r>
        <w:rPr>
          <w:spacing w:val="-14"/>
        </w:rPr>
        <w:t xml:space="preserve"> </w:t>
      </w:r>
      <w:r>
        <w:t>a</w:t>
      </w:r>
      <w:r>
        <w:rPr>
          <w:spacing w:val="-14"/>
        </w:rPr>
        <w:t xml:space="preserve"> </w:t>
      </w:r>
      <w:r>
        <w:t>number</w:t>
      </w:r>
      <w:r>
        <w:rPr>
          <w:spacing w:val="-14"/>
        </w:rPr>
        <w:t xml:space="preserve"> </w:t>
      </w:r>
      <w:r>
        <w:t xml:space="preserve">of </w:t>
      </w:r>
      <w:r>
        <w:rPr>
          <w:w w:val="95"/>
        </w:rPr>
        <w:t xml:space="preserve">very large, high-profile transport projects. It specifically </w:t>
      </w:r>
      <w:r>
        <w:t>identified</w:t>
      </w:r>
      <w:r>
        <w:rPr>
          <w:spacing w:val="-6"/>
        </w:rPr>
        <w:t xml:space="preserve"> </w:t>
      </w:r>
      <w:r>
        <w:t>the</w:t>
      </w:r>
      <w:r>
        <w:rPr>
          <w:spacing w:val="-6"/>
        </w:rPr>
        <w:t xml:space="preserve"> </w:t>
      </w:r>
      <w:r>
        <w:t>problem</w:t>
      </w:r>
      <w:r>
        <w:rPr>
          <w:spacing w:val="-6"/>
        </w:rPr>
        <w:t xml:space="preserve"> </w:t>
      </w:r>
      <w:r>
        <w:t>of</w:t>
      </w:r>
      <w:r>
        <w:rPr>
          <w:spacing w:val="-6"/>
        </w:rPr>
        <w:t xml:space="preserve"> </w:t>
      </w:r>
      <w:r>
        <w:t>projects</w:t>
      </w:r>
      <w:r>
        <w:rPr>
          <w:spacing w:val="-6"/>
        </w:rPr>
        <w:t xml:space="preserve"> </w:t>
      </w:r>
      <w:r>
        <w:t>being</w:t>
      </w:r>
      <w:r>
        <w:rPr>
          <w:spacing w:val="-6"/>
        </w:rPr>
        <w:t xml:space="preserve"> </w:t>
      </w:r>
      <w:r>
        <w:t>approved without</w:t>
      </w:r>
      <w:r>
        <w:rPr>
          <w:spacing w:val="-11"/>
        </w:rPr>
        <w:t xml:space="preserve"> </w:t>
      </w:r>
      <w:r>
        <w:t>supporting</w:t>
      </w:r>
      <w:r>
        <w:rPr>
          <w:spacing w:val="-11"/>
        </w:rPr>
        <w:t xml:space="preserve"> </w:t>
      </w:r>
      <w:r>
        <w:t>economic</w:t>
      </w:r>
      <w:r>
        <w:rPr>
          <w:spacing w:val="-11"/>
        </w:rPr>
        <w:t xml:space="preserve"> </w:t>
      </w:r>
      <w:r>
        <w:t>or</w:t>
      </w:r>
      <w:r>
        <w:rPr>
          <w:spacing w:val="-11"/>
        </w:rPr>
        <w:t xml:space="preserve"> </w:t>
      </w:r>
      <w:r>
        <w:t>financial</w:t>
      </w:r>
      <w:r>
        <w:rPr>
          <w:spacing w:val="-11"/>
        </w:rPr>
        <w:t xml:space="preserve"> </w:t>
      </w:r>
      <w:r>
        <w:t>analysis</w:t>
      </w:r>
      <w:r>
        <w:rPr>
          <w:spacing w:val="-11"/>
        </w:rPr>
        <w:t xml:space="preserve"> </w:t>
      </w:r>
      <w:r>
        <w:t xml:space="preserve">(or </w:t>
      </w:r>
      <w:r>
        <w:rPr>
          <w:w w:val="95"/>
        </w:rPr>
        <w:t>assessed</w:t>
      </w:r>
      <w:r>
        <w:rPr>
          <w:spacing w:val="-1"/>
          <w:w w:val="95"/>
        </w:rPr>
        <w:t xml:space="preserve"> </w:t>
      </w:r>
      <w:r>
        <w:rPr>
          <w:w w:val="95"/>
        </w:rPr>
        <w:t>as</w:t>
      </w:r>
      <w:r>
        <w:rPr>
          <w:spacing w:val="-1"/>
          <w:w w:val="95"/>
        </w:rPr>
        <w:t xml:space="preserve"> </w:t>
      </w:r>
      <w:r>
        <w:rPr>
          <w:w w:val="95"/>
        </w:rPr>
        <w:t>having</w:t>
      </w:r>
      <w:r>
        <w:rPr>
          <w:spacing w:val="-1"/>
          <w:w w:val="95"/>
        </w:rPr>
        <w:t xml:space="preserve"> </w:t>
      </w:r>
      <w:r>
        <w:rPr>
          <w:w w:val="95"/>
        </w:rPr>
        <w:t>community</w:t>
      </w:r>
      <w:r>
        <w:rPr>
          <w:spacing w:val="-1"/>
          <w:w w:val="95"/>
        </w:rPr>
        <w:t xml:space="preserve"> </w:t>
      </w:r>
      <w:r>
        <w:rPr>
          <w:w w:val="95"/>
        </w:rPr>
        <w:t>benefits</w:t>
      </w:r>
      <w:r>
        <w:rPr>
          <w:spacing w:val="-1"/>
          <w:w w:val="95"/>
        </w:rPr>
        <w:t xml:space="preserve"> </w:t>
      </w:r>
      <w:r>
        <w:rPr>
          <w:w w:val="95"/>
        </w:rPr>
        <w:t>worth</w:t>
      </w:r>
      <w:r>
        <w:rPr>
          <w:spacing w:val="-1"/>
          <w:w w:val="95"/>
        </w:rPr>
        <w:t xml:space="preserve"> </w:t>
      </w:r>
      <w:r>
        <w:rPr>
          <w:w w:val="95"/>
        </w:rPr>
        <w:t>less</w:t>
      </w:r>
      <w:r>
        <w:rPr>
          <w:spacing w:val="-1"/>
          <w:w w:val="95"/>
        </w:rPr>
        <w:t xml:space="preserve"> </w:t>
      </w:r>
      <w:r>
        <w:rPr>
          <w:w w:val="95"/>
        </w:rPr>
        <w:t>than their</w:t>
      </w:r>
      <w:r>
        <w:rPr>
          <w:spacing w:val="-1"/>
          <w:w w:val="95"/>
        </w:rPr>
        <w:t xml:space="preserve"> </w:t>
      </w:r>
      <w:r>
        <w:rPr>
          <w:w w:val="95"/>
        </w:rPr>
        <w:t>costs),</w:t>
      </w:r>
      <w:r>
        <w:rPr>
          <w:spacing w:val="-1"/>
          <w:w w:val="95"/>
        </w:rPr>
        <w:t xml:space="preserve"> </w:t>
      </w:r>
      <w:r>
        <w:rPr>
          <w:w w:val="95"/>
        </w:rPr>
        <w:t>and</w:t>
      </w:r>
      <w:r>
        <w:rPr>
          <w:spacing w:val="-1"/>
          <w:w w:val="95"/>
        </w:rPr>
        <w:t xml:space="preserve"> </w:t>
      </w:r>
      <w:r>
        <w:rPr>
          <w:w w:val="95"/>
        </w:rPr>
        <w:t>then</w:t>
      </w:r>
      <w:r>
        <w:rPr>
          <w:spacing w:val="-1"/>
          <w:w w:val="95"/>
        </w:rPr>
        <w:t xml:space="preserve"> </w:t>
      </w:r>
      <w:r>
        <w:rPr>
          <w:w w:val="95"/>
        </w:rPr>
        <w:t>subsequently</w:t>
      </w:r>
      <w:r>
        <w:rPr>
          <w:spacing w:val="-1"/>
          <w:w w:val="95"/>
        </w:rPr>
        <w:t xml:space="preserve"> </w:t>
      </w:r>
      <w:r>
        <w:rPr>
          <w:w w:val="95"/>
        </w:rPr>
        <w:t>running</w:t>
      </w:r>
      <w:r>
        <w:rPr>
          <w:spacing w:val="-1"/>
          <w:w w:val="95"/>
        </w:rPr>
        <w:t xml:space="preserve"> </w:t>
      </w:r>
      <w:r>
        <w:rPr>
          <w:w w:val="95"/>
        </w:rPr>
        <w:t>over</w:t>
      </w:r>
      <w:r>
        <w:rPr>
          <w:spacing w:val="-1"/>
          <w:w w:val="95"/>
        </w:rPr>
        <w:t xml:space="preserve"> </w:t>
      </w:r>
      <w:r>
        <w:rPr>
          <w:w w:val="95"/>
        </w:rPr>
        <w:t xml:space="preserve">budget </w:t>
      </w:r>
      <w:r>
        <w:t>in</w:t>
      </w:r>
      <w:r>
        <w:rPr>
          <w:spacing w:val="-6"/>
        </w:rPr>
        <w:t xml:space="preserve"> </w:t>
      </w:r>
      <w:r>
        <w:t>cost</w:t>
      </w:r>
      <w:r>
        <w:rPr>
          <w:spacing w:val="-6"/>
        </w:rPr>
        <w:t xml:space="preserve"> </w:t>
      </w:r>
      <w:r>
        <w:t>and/or</w:t>
      </w:r>
      <w:r>
        <w:rPr>
          <w:spacing w:val="-6"/>
        </w:rPr>
        <w:t xml:space="preserve"> </w:t>
      </w:r>
      <w:r>
        <w:t>being</w:t>
      </w:r>
      <w:r>
        <w:rPr>
          <w:spacing w:val="-6"/>
        </w:rPr>
        <w:t xml:space="preserve"> </w:t>
      </w:r>
      <w:r>
        <w:t>delayed</w:t>
      </w:r>
      <w:r>
        <w:rPr>
          <w:spacing w:val="-6"/>
        </w:rPr>
        <w:t xml:space="preserve"> </w:t>
      </w:r>
      <w:r>
        <w:t>or</w:t>
      </w:r>
      <w:r>
        <w:rPr>
          <w:spacing w:val="-6"/>
        </w:rPr>
        <w:t xml:space="preserve"> </w:t>
      </w:r>
      <w:r>
        <w:t>cancelled</w:t>
      </w:r>
      <w:r>
        <w:rPr>
          <w:position w:val="7"/>
          <w:sz w:val="11"/>
        </w:rPr>
        <w:t>11</w:t>
      </w:r>
      <w:r>
        <w:t>.</w:t>
      </w:r>
    </w:p>
    <w:p w:rsidR="002C1123" w:rsidRDefault="00F22F94">
      <w:pPr>
        <w:pStyle w:val="BodyText"/>
        <w:spacing w:before="150" w:line="249" w:lineRule="auto"/>
        <w:ind w:left="215"/>
        <w:jc w:val="both"/>
      </w:pPr>
      <w:r>
        <w:rPr>
          <w:w w:val="95"/>
        </w:rPr>
        <w:t>The</w:t>
      </w:r>
      <w:r>
        <w:rPr>
          <w:spacing w:val="-3"/>
          <w:w w:val="95"/>
        </w:rPr>
        <w:t xml:space="preserve"> </w:t>
      </w:r>
      <w:r>
        <w:rPr>
          <w:w w:val="95"/>
        </w:rPr>
        <w:t>NSW</w:t>
      </w:r>
      <w:r>
        <w:rPr>
          <w:spacing w:val="-3"/>
          <w:w w:val="95"/>
        </w:rPr>
        <w:t xml:space="preserve"> </w:t>
      </w:r>
      <w:r>
        <w:rPr>
          <w:w w:val="95"/>
        </w:rPr>
        <w:t>Commission</w:t>
      </w:r>
      <w:r>
        <w:rPr>
          <w:spacing w:val="-3"/>
          <w:w w:val="95"/>
        </w:rPr>
        <w:t xml:space="preserve"> </w:t>
      </w:r>
      <w:r>
        <w:rPr>
          <w:w w:val="95"/>
        </w:rPr>
        <w:t>of</w:t>
      </w:r>
      <w:r>
        <w:rPr>
          <w:spacing w:val="-3"/>
          <w:w w:val="95"/>
        </w:rPr>
        <w:t xml:space="preserve"> </w:t>
      </w:r>
      <w:r>
        <w:rPr>
          <w:w w:val="95"/>
        </w:rPr>
        <w:t>Audit</w:t>
      </w:r>
      <w:r>
        <w:rPr>
          <w:spacing w:val="-3"/>
          <w:w w:val="95"/>
        </w:rPr>
        <w:t xml:space="preserve"> </w:t>
      </w:r>
      <w:r>
        <w:rPr>
          <w:w w:val="95"/>
        </w:rPr>
        <w:t>Interim</w:t>
      </w:r>
      <w:r>
        <w:rPr>
          <w:spacing w:val="-4"/>
          <w:w w:val="95"/>
        </w:rPr>
        <w:t xml:space="preserve"> </w:t>
      </w:r>
      <w:r>
        <w:rPr>
          <w:w w:val="95"/>
        </w:rPr>
        <w:t>Report</w:t>
      </w:r>
      <w:r>
        <w:rPr>
          <w:spacing w:val="-3"/>
          <w:w w:val="95"/>
        </w:rPr>
        <w:t xml:space="preserve"> </w:t>
      </w:r>
      <w:r>
        <w:rPr>
          <w:w w:val="95"/>
        </w:rPr>
        <w:t>noted</w:t>
      </w:r>
      <w:r>
        <w:rPr>
          <w:spacing w:val="-3"/>
          <w:w w:val="95"/>
        </w:rPr>
        <w:t xml:space="preserve"> </w:t>
      </w:r>
      <w:r>
        <w:rPr>
          <w:w w:val="95"/>
        </w:rPr>
        <w:t>that many</w:t>
      </w:r>
      <w:r>
        <w:rPr>
          <w:spacing w:val="-2"/>
          <w:w w:val="95"/>
        </w:rPr>
        <w:t xml:space="preserve"> </w:t>
      </w:r>
      <w:r>
        <w:rPr>
          <w:w w:val="95"/>
        </w:rPr>
        <w:t>projects</w:t>
      </w:r>
      <w:r>
        <w:rPr>
          <w:spacing w:val="-2"/>
          <w:w w:val="95"/>
        </w:rPr>
        <w:t xml:space="preserve"> </w:t>
      </w:r>
      <w:r>
        <w:rPr>
          <w:w w:val="95"/>
        </w:rPr>
        <w:t>which</w:t>
      </w:r>
      <w:r>
        <w:rPr>
          <w:spacing w:val="-2"/>
          <w:w w:val="95"/>
        </w:rPr>
        <w:t xml:space="preserve"> </w:t>
      </w:r>
      <w:r>
        <w:rPr>
          <w:w w:val="95"/>
        </w:rPr>
        <w:t>had</w:t>
      </w:r>
      <w:r>
        <w:rPr>
          <w:spacing w:val="-2"/>
          <w:w w:val="95"/>
        </w:rPr>
        <w:t xml:space="preserve"> </w:t>
      </w:r>
      <w:r>
        <w:rPr>
          <w:w w:val="95"/>
        </w:rPr>
        <w:t>been</w:t>
      </w:r>
      <w:r>
        <w:rPr>
          <w:spacing w:val="-2"/>
          <w:w w:val="95"/>
        </w:rPr>
        <w:t xml:space="preserve"> </w:t>
      </w:r>
      <w:r>
        <w:rPr>
          <w:w w:val="95"/>
        </w:rPr>
        <w:t>subjected</w:t>
      </w:r>
      <w:r>
        <w:rPr>
          <w:spacing w:val="-2"/>
          <w:w w:val="95"/>
        </w:rPr>
        <w:t xml:space="preserve"> </w:t>
      </w:r>
      <w:r>
        <w:rPr>
          <w:w w:val="95"/>
        </w:rPr>
        <w:t>to</w:t>
      </w:r>
      <w:r>
        <w:rPr>
          <w:spacing w:val="-2"/>
          <w:w w:val="95"/>
        </w:rPr>
        <w:t xml:space="preserve"> </w:t>
      </w:r>
      <w:r>
        <w:rPr>
          <w:w w:val="95"/>
        </w:rPr>
        <w:t>the</w:t>
      </w:r>
      <w:r>
        <w:rPr>
          <w:spacing w:val="-2"/>
          <w:w w:val="95"/>
        </w:rPr>
        <w:t xml:space="preserve"> </w:t>
      </w:r>
      <w:r>
        <w:rPr>
          <w:w w:val="95"/>
        </w:rPr>
        <w:t xml:space="preserve">Gateway </w:t>
      </w:r>
      <w:r>
        <w:t>Review</w:t>
      </w:r>
      <w:r>
        <w:rPr>
          <w:spacing w:val="-9"/>
        </w:rPr>
        <w:t xml:space="preserve"> </w:t>
      </w:r>
      <w:r>
        <w:t>process</w:t>
      </w:r>
      <w:r>
        <w:rPr>
          <w:spacing w:val="-9"/>
        </w:rPr>
        <w:t xml:space="preserve"> </w:t>
      </w:r>
      <w:r>
        <w:t>rated</w:t>
      </w:r>
      <w:r>
        <w:rPr>
          <w:spacing w:val="-9"/>
        </w:rPr>
        <w:t xml:space="preserve"> </w:t>
      </w:r>
      <w:r>
        <w:t>poorly</w:t>
      </w:r>
      <w:r>
        <w:rPr>
          <w:spacing w:val="-9"/>
        </w:rPr>
        <w:t xml:space="preserve"> </w:t>
      </w:r>
      <w:r>
        <w:t>on</w:t>
      </w:r>
      <w:r>
        <w:rPr>
          <w:spacing w:val="-9"/>
        </w:rPr>
        <w:t xml:space="preserve"> </w:t>
      </w:r>
      <w:r>
        <w:t>affordability</w:t>
      </w:r>
      <w:r>
        <w:rPr>
          <w:spacing w:val="-9"/>
        </w:rPr>
        <w:t xml:space="preserve"> </w:t>
      </w:r>
      <w:r>
        <w:t>and</w:t>
      </w:r>
    </w:p>
    <w:p w:rsidR="002C1123" w:rsidRDefault="00F22F94">
      <w:pPr>
        <w:pStyle w:val="BodyText"/>
        <w:spacing w:before="2" w:line="249" w:lineRule="auto"/>
        <w:ind w:left="215" w:right="7"/>
      </w:pPr>
      <w:r>
        <w:rPr>
          <w:w w:val="95"/>
        </w:rPr>
        <w:t>Value</w:t>
      </w:r>
      <w:r>
        <w:rPr>
          <w:spacing w:val="-1"/>
          <w:w w:val="95"/>
        </w:rPr>
        <w:t xml:space="preserve"> </w:t>
      </w:r>
      <w:r>
        <w:rPr>
          <w:w w:val="95"/>
        </w:rPr>
        <w:t>for</w:t>
      </w:r>
      <w:r>
        <w:rPr>
          <w:spacing w:val="-1"/>
          <w:w w:val="95"/>
        </w:rPr>
        <w:t xml:space="preserve"> </w:t>
      </w:r>
      <w:r>
        <w:rPr>
          <w:w w:val="95"/>
        </w:rPr>
        <w:t>Money</w:t>
      </w:r>
      <w:r>
        <w:rPr>
          <w:spacing w:val="-1"/>
          <w:w w:val="95"/>
        </w:rPr>
        <w:t xml:space="preserve"> </w:t>
      </w:r>
      <w:r>
        <w:rPr>
          <w:w w:val="95"/>
        </w:rPr>
        <w:t>due</w:t>
      </w:r>
      <w:r>
        <w:rPr>
          <w:spacing w:val="-1"/>
          <w:w w:val="95"/>
        </w:rPr>
        <w:t xml:space="preserve"> </w:t>
      </w:r>
      <w:r>
        <w:rPr>
          <w:w w:val="95"/>
        </w:rPr>
        <w:t>to</w:t>
      </w:r>
      <w:r>
        <w:rPr>
          <w:spacing w:val="-1"/>
          <w:w w:val="95"/>
        </w:rPr>
        <w:t xml:space="preserve"> </w:t>
      </w:r>
      <w:r>
        <w:rPr>
          <w:w w:val="95"/>
        </w:rPr>
        <w:t>a</w:t>
      </w:r>
      <w:r>
        <w:rPr>
          <w:spacing w:val="-1"/>
          <w:w w:val="95"/>
        </w:rPr>
        <w:t xml:space="preserve"> </w:t>
      </w:r>
      <w:r>
        <w:rPr>
          <w:w w:val="95"/>
        </w:rPr>
        <w:t>failure</w:t>
      </w:r>
      <w:r>
        <w:rPr>
          <w:spacing w:val="-1"/>
          <w:w w:val="95"/>
        </w:rPr>
        <w:t xml:space="preserve"> </w:t>
      </w:r>
      <w:r>
        <w:rPr>
          <w:w w:val="95"/>
        </w:rPr>
        <w:t>to</w:t>
      </w:r>
      <w:r>
        <w:rPr>
          <w:spacing w:val="-1"/>
          <w:w w:val="95"/>
        </w:rPr>
        <w:t xml:space="preserve"> </w:t>
      </w:r>
      <w:r>
        <w:rPr>
          <w:w w:val="95"/>
        </w:rPr>
        <w:t>adequately</w:t>
      </w:r>
      <w:r>
        <w:rPr>
          <w:spacing w:val="-1"/>
          <w:w w:val="95"/>
        </w:rPr>
        <w:t xml:space="preserve"> </w:t>
      </w:r>
      <w:r>
        <w:rPr>
          <w:w w:val="95"/>
        </w:rPr>
        <w:t xml:space="preserve">explore alternative options to desired service outcomes, and a lack of proper business cases including economic and </w:t>
      </w:r>
      <w:r>
        <w:t>financial</w:t>
      </w:r>
      <w:r>
        <w:rPr>
          <w:spacing w:val="-11"/>
        </w:rPr>
        <w:t xml:space="preserve"> </w:t>
      </w:r>
      <w:r>
        <w:t>appraisals</w:t>
      </w:r>
      <w:r>
        <w:rPr>
          <w:position w:val="7"/>
          <w:sz w:val="11"/>
        </w:rPr>
        <w:t>12</w:t>
      </w:r>
      <w:r>
        <w:t>.</w:t>
      </w:r>
    </w:p>
    <w:p w:rsidR="002C1123" w:rsidRDefault="00F22F94">
      <w:pPr>
        <w:pStyle w:val="BodyText"/>
        <w:spacing w:before="106" w:line="249" w:lineRule="auto"/>
        <w:ind w:left="195" w:right="678"/>
      </w:pPr>
      <w:r>
        <w:br w:type="column"/>
      </w:r>
      <w:r>
        <w:rPr>
          <w:w w:val="95"/>
        </w:rPr>
        <w:t xml:space="preserve">Accordingly, for projects over $100 million, Infrastructure </w:t>
      </w:r>
      <w:r>
        <w:t>NSW</w:t>
      </w:r>
      <w:r>
        <w:rPr>
          <w:spacing w:val="-10"/>
        </w:rPr>
        <w:t xml:space="preserve"> </w:t>
      </w:r>
      <w:r>
        <w:t>will</w:t>
      </w:r>
      <w:r>
        <w:rPr>
          <w:spacing w:val="-10"/>
        </w:rPr>
        <w:t xml:space="preserve"> </w:t>
      </w:r>
      <w:r>
        <w:t>now</w:t>
      </w:r>
      <w:r>
        <w:rPr>
          <w:spacing w:val="-10"/>
        </w:rPr>
        <w:t xml:space="preserve"> </w:t>
      </w:r>
      <w:r>
        <w:t>strengthen</w:t>
      </w:r>
      <w:r>
        <w:rPr>
          <w:spacing w:val="-10"/>
        </w:rPr>
        <w:t xml:space="preserve"> </w:t>
      </w:r>
      <w:r>
        <w:t>the</w:t>
      </w:r>
      <w:r>
        <w:rPr>
          <w:spacing w:val="-10"/>
        </w:rPr>
        <w:t xml:space="preserve"> </w:t>
      </w:r>
      <w:r>
        <w:t>assurance</w:t>
      </w:r>
      <w:r>
        <w:rPr>
          <w:spacing w:val="-10"/>
        </w:rPr>
        <w:t xml:space="preserve"> </w:t>
      </w:r>
      <w:r>
        <w:t>process</w:t>
      </w:r>
      <w:r>
        <w:rPr>
          <w:spacing w:val="-10"/>
        </w:rPr>
        <w:t xml:space="preserve"> </w:t>
      </w:r>
      <w:r>
        <w:t xml:space="preserve">by </w:t>
      </w:r>
      <w:r>
        <w:rPr>
          <w:w w:val="95"/>
        </w:rPr>
        <w:t>applying a mandatory Major Projects Assurance process across the full project lifecycle. The process is illustrated in</w:t>
      </w:r>
      <w:r>
        <w:rPr>
          <w:spacing w:val="-4"/>
          <w:w w:val="95"/>
        </w:rPr>
        <w:t xml:space="preserve"> </w:t>
      </w:r>
      <w:r>
        <w:rPr>
          <w:w w:val="95"/>
        </w:rPr>
        <w:t>Figure</w:t>
      </w:r>
      <w:r>
        <w:rPr>
          <w:spacing w:val="-4"/>
          <w:w w:val="95"/>
        </w:rPr>
        <w:t xml:space="preserve"> </w:t>
      </w:r>
      <w:r>
        <w:rPr>
          <w:w w:val="95"/>
        </w:rPr>
        <w:t>16.2.</w:t>
      </w:r>
      <w:r>
        <w:rPr>
          <w:spacing w:val="-4"/>
          <w:w w:val="95"/>
        </w:rPr>
        <w:t xml:space="preserve"> </w:t>
      </w:r>
      <w:r>
        <w:rPr>
          <w:w w:val="95"/>
        </w:rPr>
        <w:t>Infrastructure</w:t>
      </w:r>
      <w:r>
        <w:rPr>
          <w:spacing w:val="-4"/>
          <w:w w:val="95"/>
        </w:rPr>
        <w:t xml:space="preserve"> </w:t>
      </w:r>
      <w:r>
        <w:rPr>
          <w:w w:val="95"/>
        </w:rPr>
        <w:t>NSW</w:t>
      </w:r>
      <w:r>
        <w:rPr>
          <w:spacing w:val="-4"/>
          <w:w w:val="95"/>
        </w:rPr>
        <w:t xml:space="preserve"> </w:t>
      </w:r>
      <w:r>
        <w:rPr>
          <w:w w:val="95"/>
        </w:rPr>
        <w:t>endorsement</w:t>
      </w:r>
      <w:r>
        <w:rPr>
          <w:spacing w:val="-4"/>
          <w:w w:val="95"/>
        </w:rPr>
        <w:t xml:space="preserve"> </w:t>
      </w:r>
      <w:r>
        <w:rPr>
          <w:w w:val="95"/>
        </w:rPr>
        <w:t>of</w:t>
      </w:r>
      <w:r>
        <w:rPr>
          <w:spacing w:val="-4"/>
          <w:w w:val="95"/>
        </w:rPr>
        <w:t xml:space="preserve"> </w:t>
      </w:r>
      <w:r>
        <w:rPr>
          <w:w w:val="95"/>
        </w:rPr>
        <w:t xml:space="preserve">major infrastructure projects will be dependent on participation </w:t>
      </w:r>
      <w:r>
        <w:t>in</w:t>
      </w:r>
      <w:r>
        <w:rPr>
          <w:spacing w:val="-5"/>
        </w:rPr>
        <w:t xml:space="preserve"> </w:t>
      </w:r>
      <w:r>
        <w:t>the</w:t>
      </w:r>
      <w:r>
        <w:rPr>
          <w:spacing w:val="-5"/>
        </w:rPr>
        <w:t xml:space="preserve"> </w:t>
      </w:r>
      <w:r>
        <w:t>Major</w:t>
      </w:r>
      <w:r>
        <w:rPr>
          <w:spacing w:val="-5"/>
        </w:rPr>
        <w:t xml:space="preserve"> </w:t>
      </w:r>
      <w:r>
        <w:t>Projects</w:t>
      </w:r>
      <w:r>
        <w:rPr>
          <w:spacing w:val="-5"/>
        </w:rPr>
        <w:t xml:space="preserve"> </w:t>
      </w:r>
      <w:r>
        <w:t>Assurance</w:t>
      </w:r>
      <w:r>
        <w:rPr>
          <w:spacing w:val="-5"/>
        </w:rPr>
        <w:t xml:space="preserve"> </w:t>
      </w:r>
      <w:r>
        <w:t>process.</w:t>
      </w:r>
    </w:p>
    <w:p w:rsidR="002C1123" w:rsidRDefault="00F22F94">
      <w:pPr>
        <w:pStyle w:val="BodyText"/>
        <w:spacing w:before="147" w:line="249" w:lineRule="auto"/>
        <w:ind w:left="195" w:right="1331"/>
      </w:pPr>
      <w:r>
        <w:rPr>
          <w:w w:val="95"/>
        </w:rPr>
        <w:t>Each</w:t>
      </w:r>
      <w:r>
        <w:rPr>
          <w:spacing w:val="-5"/>
          <w:w w:val="95"/>
        </w:rPr>
        <w:t xml:space="preserve"> </w:t>
      </w:r>
      <w:r>
        <w:rPr>
          <w:w w:val="95"/>
        </w:rPr>
        <w:t>of</w:t>
      </w:r>
      <w:r>
        <w:rPr>
          <w:spacing w:val="-5"/>
          <w:w w:val="95"/>
        </w:rPr>
        <w:t xml:space="preserve"> </w:t>
      </w:r>
      <w:r>
        <w:rPr>
          <w:w w:val="95"/>
        </w:rPr>
        <w:t>the</w:t>
      </w:r>
      <w:r>
        <w:rPr>
          <w:spacing w:val="-5"/>
          <w:w w:val="95"/>
        </w:rPr>
        <w:t xml:space="preserve"> </w:t>
      </w:r>
      <w:r>
        <w:rPr>
          <w:w w:val="95"/>
        </w:rPr>
        <w:t>“gates”</w:t>
      </w:r>
      <w:r>
        <w:rPr>
          <w:spacing w:val="-5"/>
          <w:w w:val="95"/>
        </w:rPr>
        <w:t xml:space="preserve"> </w:t>
      </w:r>
      <w:r>
        <w:rPr>
          <w:w w:val="95"/>
        </w:rPr>
        <w:t>in</w:t>
      </w:r>
      <w:r>
        <w:rPr>
          <w:spacing w:val="-5"/>
          <w:w w:val="95"/>
        </w:rPr>
        <w:t xml:space="preserve"> </w:t>
      </w:r>
      <w:r>
        <w:rPr>
          <w:w w:val="95"/>
        </w:rPr>
        <w:t>this</w:t>
      </w:r>
      <w:r>
        <w:rPr>
          <w:spacing w:val="-5"/>
          <w:w w:val="95"/>
        </w:rPr>
        <w:t xml:space="preserve"> </w:t>
      </w:r>
      <w:r>
        <w:rPr>
          <w:w w:val="95"/>
        </w:rPr>
        <w:t>framework</w:t>
      </w:r>
      <w:r>
        <w:rPr>
          <w:spacing w:val="-5"/>
          <w:w w:val="95"/>
        </w:rPr>
        <w:t xml:space="preserve"> </w:t>
      </w:r>
      <w:r>
        <w:rPr>
          <w:w w:val="95"/>
        </w:rPr>
        <w:t>can</w:t>
      </w:r>
      <w:r>
        <w:rPr>
          <w:spacing w:val="-5"/>
          <w:w w:val="95"/>
        </w:rPr>
        <w:t xml:space="preserve"> </w:t>
      </w:r>
      <w:r>
        <w:rPr>
          <w:w w:val="95"/>
        </w:rPr>
        <w:t>be</w:t>
      </w:r>
      <w:r>
        <w:rPr>
          <w:spacing w:val="-5"/>
          <w:w w:val="95"/>
        </w:rPr>
        <w:t xml:space="preserve"> </w:t>
      </w:r>
      <w:r>
        <w:rPr>
          <w:w w:val="95"/>
        </w:rPr>
        <w:t xml:space="preserve">used to test project scoping and delivery plans, assess project delivery and benefit risks, and encourage </w:t>
      </w:r>
      <w:r>
        <w:t>new</w:t>
      </w:r>
      <w:r>
        <w:rPr>
          <w:spacing w:val="-2"/>
        </w:rPr>
        <w:t xml:space="preserve"> </w:t>
      </w:r>
      <w:r>
        <w:t>approaches</w:t>
      </w:r>
      <w:r>
        <w:rPr>
          <w:spacing w:val="-2"/>
        </w:rPr>
        <w:t xml:space="preserve"> </w:t>
      </w:r>
      <w:r>
        <w:t>to</w:t>
      </w:r>
      <w:r>
        <w:rPr>
          <w:spacing w:val="-2"/>
        </w:rPr>
        <w:t xml:space="preserve"> </w:t>
      </w:r>
      <w:r>
        <w:t>be</w:t>
      </w:r>
      <w:r>
        <w:rPr>
          <w:spacing w:val="-2"/>
        </w:rPr>
        <w:t xml:space="preserve"> </w:t>
      </w:r>
      <w:r>
        <w:t>considered</w:t>
      </w:r>
      <w:r>
        <w:rPr>
          <w:spacing w:val="-2"/>
        </w:rPr>
        <w:t xml:space="preserve"> </w:t>
      </w:r>
      <w:r>
        <w:t>to</w:t>
      </w:r>
      <w:r>
        <w:rPr>
          <w:spacing w:val="-2"/>
        </w:rPr>
        <w:t xml:space="preserve"> </w:t>
      </w:r>
      <w:r>
        <w:t xml:space="preserve">maximise </w:t>
      </w:r>
      <w:r>
        <w:rPr>
          <w:spacing w:val="-2"/>
        </w:rPr>
        <w:t>value-for-money.</w:t>
      </w:r>
    </w:p>
    <w:p w:rsidR="002C1123" w:rsidRDefault="00F22F94">
      <w:pPr>
        <w:pStyle w:val="BodyText"/>
        <w:spacing w:before="146" w:line="249" w:lineRule="auto"/>
        <w:ind w:left="195" w:right="719"/>
      </w:pPr>
      <w:r>
        <w:t>The</w:t>
      </w:r>
      <w:r>
        <w:rPr>
          <w:spacing w:val="-8"/>
        </w:rPr>
        <w:t xml:space="preserve"> </w:t>
      </w:r>
      <w:r>
        <w:t>monitoring</w:t>
      </w:r>
      <w:r>
        <w:rPr>
          <w:spacing w:val="-8"/>
        </w:rPr>
        <w:t xml:space="preserve"> </w:t>
      </w:r>
      <w:r>
        <w:t>and</w:t>
      </w:r>
      <w:r>
        <w:rPr>
          <w:spacing w:val="-8"/>
        </w:rPr>
        <w:t xml:space="preserve"> </w:t>
      </w:r>
      <w:r>
        <w:t>reporting</w:t>
      </w:r>
      <w:r>
        <w:rPr>
          <w:spacing w:val="-8"/>
        </w:rPr>
        <w:t xml:space="preserve"> </w:t>
      </w:r>
      <w:r>
        <w:t>role</w:t>
      </w:r>
      <w:r>
        <w:rPr>
          <w:spacing w:val="-8"/>
        </w:rPr>
        <w:t xml:space="preserve"> </w:t>
      </w:r>
      <w:r>
        <w:t>provides</w:t>
      </w:r>
      <w:r>
        <w:rPr>
          <w:spacing w:val="-8"/>
        </w:rPr>
        <w:t xml:space="preserve"> </w:t>
      </w:r>
      <w:r>
        <w:t>an opportunity</w:t>
      </w:r>
      <w:r>
        <w:rPr>
          <w:spacing w:val="-11"/>
        </w:rPr>
        <w:t xml:space="preserve"> </w:t>
      </w:r>
      <w:r>
        <w:t>for</w:t>
      </w:r>
      <w:r>
        <w:rPr>
          <w:spacing w:val="-11"/>
        </w:rPr>
        <w:t xml:space="preserve"> </w:t>
      </w:r>
      <w:r>
        <w:t>individual</w:t>
      </w:r>
      <w:r>
        <w:rPr>
          <w:spacing w:val="-11"/>
        </w:rPr>
        <w:t xml:space="preserve"> </w:t>
      </w:r>
      <w:r>
        <w:t>agencies</w:t>
      </w:r>
      <w:r>
        <w:rPr>
          <w:spacing w:val="-11"/>
        </w:rPr>
        <w:t xml:space="preserve"> </w:t>
      </w:r>
      <w:r>
        <w:t>and</w:t>
      </w:r>
      <w:r>
        <w:rPr>
          <w:spacing w:val="-11"/>
        </w:rPr>
        <w:t xml:space="preserve"> </w:t>
      </w:r>
      <w:r>
        <w:t>Infrastructure NSW</w:t>
      </w:r>
      <w:r>
        <w:rPr>
          <w:spacing w:val="-10"/>
        </w:rPr>
        <w:t xml:space="preserve"> </w:t>
      </w:r>
      <w:r>
        <w:t>to</w:t>
      </w:r>
      <w:r>
        <w:rPr>
          <w:spacing w:val="-10"/>
        </w:rPr>
        <w:t xml:space="preserve"> </w:t>
      </w:r>
      <w:r>
        <w:t>work</w:t>
      </w:r>
      <w:r>
        <w:rPr>
          <w:spacing w:val="-10"/>
        </w:rPr>
        <w:t xml:space="preserve"> </w:t>
      </w:r>
      <w:r>
        <w:t>together</w:t>
      </w:r>
      <w:r>
        <w:rPr>
          <w:spacing w:val="-10"/>
        </w:rPr>
        <w:t xml:space="preserve"> </w:t>
      </w:r>
      <w:r>
        <w:t>on</w:t>
      </w:r>
      <w:r>
        <w:rPr>
          <w:spacing w:val="-10"/>
        </w:rPr>
        <w:t xml:space="preserve"> </w:t>
      </w:r>
      <w:r>
        <w:t>each</w:t>
      </w:r>
      <w:r>
        <w:rPr>
          <w:spacing w:val="-10"/>
        </w:rPr>
        <w:t xml:space="preserve"> </w:t>
      </w:r>
      <w:r>
        <w:t>major</w:t>
      </w:r>
      <w:r>
        <w:rPr>
          <w:spacing w:val="-10"/>
        </w:rPr>
        <w:t xml:space="preserve"> </w:t>
      </w:r>
      <w:r>
        <w:t xml:space="preserve">infrastructure </w:t>
      </w:r>
      <w:r>
        <w:rPr>
          <w:w w:val="95"/>
        </w:rPr>
        <w:t>project</w:t>
      </w:r>
      <w:r>
        <w:rPr>
          <w:spacing w:val="-4"/>
          <w:w w:val="95"/>
        </w:rPr>
        <w:t xml:space="preserve"> </w:t>
      </w:r>
      <w:r>
        <w:rPr>
          <w:w w:val="95"/>
        </w:rPr>
        <w:t>to</w:t>
      </w:r>
      <w:r>
        <w:rPr>
          <w:spacing w:val="-4"/>
          <w:w w:val="95"/>
        </w:rPr>
        <w:t xml:space="preserve"> </w:t>
      </w:r>
      <w:r>
        <w:rPr>
          <w:w w:val="95"/>
        </w:rPr>
        <w:t>ensure</w:t>
      </w:r>
      <w:r>
        <w:rPr>
          <w:spacing w:val="-4"/>
          <w:w w:val="95"/>
        </w:rPr>
        <w:t xml:space="preserve"> </w:t>
      </w:r>
      <w:r>
        <w:rPr>
          <w:w w:val="95"/>
        </w:rPr>
        <w:t>that</w:t>
      </w:r>
      <w:r>
        <w:rPr>
          <w:spacing w:val="-4"/>
          <w:w w:val="95"/>
        </w:rPr>
        <w:t xml:space="preserve"> </w:t>
      </w:r>
      <w:r>
        <w:rPr>
          <w:w w:val="95"/>
        </w:rPr>
        <w:t>due</w:t>
      </w:r>
      <w:r>
        <w:rPr>
          <w:spacing w:val="-4"/>
          <w:w w:val="95"/>
        </w:rPr>
        <w:t xml:space="preserve"> </w:t>
      </w:r>
      <w:r>
        <w:rPr>
          <w:w w:val="95"/>
        </w:rPr>
        <w:t>consideration</w:t>
      </w:r>
      <w:r>
        <w:rPr>
          <w:spacing w:val="-4"/>
          <w:w w:val="95"/>
        </w:rPr>
        <w:t xml:space="preserve"> </w:t>
      </w:r>
      <w:r>
        <w:rPr>
          <w:w w:val="95"/>
        </w:rPr>
        <w:t>has</w:t>
      </w:r>
      <w:r>
        <w:rPr>
          <w:spacing w:val="-4"/>
          <w:w w:val="95"/>
        </w:rPr>
        <w:t xml:space="preserve"> </w:t>
      </w:r>
      <w:r>
        <w:rPr>
          <w:w w:val="95"/>
        </w:rPr>
        <w:t>been</w:t>
      </w:r>
      <w:r>
        <w:rPr>
          <w:spacing w:val="-4"/>
          <w:w w:val="95"/>
        </w:rPr>
        <w:t xml:space="preserve"> </w:t>
      </w:r>
      <w:r>
        <w:rPr>
          <w:w w:val="95"/>
        </w:rPr>
        <w:t xml:space="preserve">given </w:t>
      </w:r>
      <w:r>
        <w:t>to the imperatives of:</w:t>
      </w:r>
    </w:p>
    <w:p w:rsidR="002C1123" w:rsidRDefault="00F22F94">
      <w:pPr>
        <w:pStyle w:val="ListParagraph"/>
        <w:numPr>
          <w:ilvl w:val="0"/>
          <w:numId w:val="19"/>
        </w:numPr>
        <w:tabs>
          <w:tab w:val="left" w:pos="479"/>
        </w:tabs>
        <w:spacing w:before="134" w:line="249" w:lineRule="auto"/>
        <w:ind w:right="880"/>
        <w:rPr>
          <w:sz w:val="20"/>
        </w:rPr>
      </w:pPr>
      <w:r>
        <w:rPr>
          <w:w w:val="95"/>
          <w:sz w:val="20"/>
        </w:rPr>
        <w:t>cost</w:t>
      </w:r>
      <w:r>
        <w:rPr>
          <w:spacing w:val="-2"/>
          <w:w w:val="95"/>
          <w:sz w:val="20"/>
        </w:rPr>
        <w:t xml:space="preserve"> </w:t>
      </w:r>
      <w:r>
        <w:rPr>
          <w:w w:val="95"/>
          <w:sz w:val="20"/>
        </w:rPr>
        <w:t>control</w:t>
      </w:r>
      <w:r>
        <w:rPr>
          <w:spacing w:val="-2"/>
          <w:w w:val="95"/>
          <w:sz w:val="20"/>
        </w:rPr>
        <w:t xml:space="preserve"> </w:t>
      </w:r>
      <w:r>
        <w:rPr>
          <w:w w:val="95"/>
          <w:sz w:val="20"/>
        </w:rPr>
        <w:t>and</w:t>
      </w:r>
      <w:r>
        <w:rPr>
          <w:spacing w:val="-2"/>
          <w:w w:val="95"/>
          <w:sz w:val="20"/>
        </w:rPr>
        <w:t xml:space="preserve"> </w:t>
      </w:r>
      <w:r>
        <w:rPr>
          <w:w w:val="95"/>
          <w:sz w:val="20"/>
        </w:rPr>
        <w:t>“value</w:t>
      </w:r>
      <w:r>
        <w:rPr>
          <w:spacing w:val="-2"/>
          <w:w w:val="95"/>
          <w:sz w:val="20"/>
        </w:rPr>
        <w:t xml:space="preserve"> </w:t>
      </w:r>
      <w:r>
        <w:rPr>
          <w:w w:val="95"/>
          <w:sz w:val="20"/>
        </w:rPr>
        <w:t>engineering”</w:t>
      </w:r>
      <w:r>
        <w:rPr>
          <w:spacing w:val="-2"/>
          <w:w w:val="95"/>
          <w:sz w:val="20"/>
        </w:rPr>
        <w:t xml:space="preserve"> </w:t>
      </w:r>
      <w:r>
        <w:rPr>
          <w:w w:val="95"/>
          <w:sz w:val="20"/>
        </w:rPr>
        <w:t>so</w:t>
      </w:r>
      <w:r>
        <w:rPr>
          <w:spacing w:val="-2"/>
          <w:w w:val="95"/>
          <w:sz w:val="20"/>
        </w:rPr>
        <w:t xml:space="preserve"> </w:t>
      </w:r>
      <w:r>
        <w:rPr>
          <w:w w:val="95"/>
          <w:sz w:val="20"/>
        </w:rPr>
        <w:t>projects</w:t>
      </w:r>
      <w:r>
        <w:rPr>
          <w:spacing w:val="-2"/>
          <w:w w:val="95"/>
          <w:sz w:val="20"/>
        </w:rPr>
        <w:t xml:space="preserve"> </w:t>
      </w:r>
      <w:r>
        <w:rPr>
          <w:w w:val="95"/>
          <w:sz w:val="20"/>
        </w:rPr>
        <w:t xml:space="preserve">are </w:t>
      </w:r>
      <w:r>
        <w:rPr>
          <w:sz w:val="20"/>
        </w:rPr>
        <w:t>scoped for maximum value-for-money</w:t>
      </w:r>
    </w:p>
    <w:p w:rsidR="002C1123" w:rsidRDefault="00F22F94">
      <w:pPr>
        <w:pStyle w:val="ListParagraph"/>
        <w:numPr>
          <w:ilvl w:val="0"/>
          <w:numId w:val="19"/>
        </w:numPr>
        <w:tabs>
          <w:tab w:val="left" w:pos="479"/>
        </w:tabs>
        <w:spacing w:before="130" w:line="249" w:lineRule="auto"/>
        <w:ind w:right="1041"/>
        <w:rPr>
          <w:sz w:val="20"/>
        </w:rPr>
      </w:pPr>
      <w:r>
        <w:rPr>
          <w:w w:val="95"/>
          <w:sz w:val="20"/>
        </w:rPr>
        <w:t xml:space="preserve">management of contingency budgets to minimise </w:t>
      </w:r>
      <w:r>
        <w:rPr>
          <w:sz w:val="20"/>
        </w:rPr>
        <w:t>scope</w:t>
      </w:r>
      <w:r>
        <w:rPr>
          <w:spacing w:val="-11"/>
          <w:sz w:val="20"/>
        </w:rPr>
        <w:t xml:space="preserve"> </w:t>
      </w:r>
      <w:r>
        <w:rPr>
          <w:sz w:val="20"/>
        </w:rPr>
        <w:t>creep</w:t>
      </w:r>
    </w:p>
    <w:p w:rsidR="002C1123" w:rsidRDefault="00F22F94">
      <w:pPr>
        <w:pStyle w:val="ListParagraph"/>
        <w:numPr>
          <w:ilvl w:val="0"/>
          <w:numId w:val="19"/>
        </w:numPr>
        <w:tabs>
          <w:tab w:val="left" w:pos="479"/>
        </w:tabs>
        <w:spacing w:before="131" w:line="249" w:lineRule="auto"/>
        <w:ind w:right="752"/>
        <w:rPr>
          <w:sz w:val="20"/>
        </w:rPr>
      </w:pPr>
      <w:r>
        <w:rPr>
          <w:w w:val="95"/>
          <w:sz w:val="20"/>
        </w:rPr>
        <w:t>use of high level output specifications as a means of encouraging</w:t>
      </w:r>
      <w:r>
        <w:rPr>
          <w:spacing w:val="-7"/>
          <w:w w:val="95"/>
          <w:sz w:val="20"/>
        </w:rPr>
        <w:t xml:space="preserve"> </w:t>
      </w:r>
      <w:r>
        <w:rPr>
          <w:w w:val="95"/>
          <w:sz w:val="20"/>
        </w:rPr>
        <w:t>innovative</w:t>
      </w:r>
      <w:r>
        <w:rPr>
          <w:spacing w:val="-7"/>
          <w:w w:val="95"/>
          <w:sz w:val="20"/>
        </w:rPr>
        <w:t xml:space="preserve"> </w:t>
      </w:r>
      <w:r>
        <w:rPr>
          <w:w w:val="95"/>
          <w:sz w:val="20"/>
        </w:rPr>
        <w:t>private</w:t>
      </w:r>
      <w:r>
        <w:rPr>
          <w:spacing w:val="-7"/>
          <w:w w:val="95"/>
          <w:sz w:val="20"/>
        </w:rPr>
        <w:t xml:space="preserve"> </w:t>
      </w:r>
      <w:r>
        <w:rPr>
          <w:w w:val="95"/>
          <w:sz w:val="20"/>
        </w:rPr>
        <w:t>sector</w:t>
      </w:r>
      <w:r>
        <w:rPr>
          <w:spacing w:val="-7"/>
          <w:w w:val="95"/>
          <w:sz w:val="20"/>
        </w:rPr>
        <w:t xml:space="preserve"> </w:t>
      </w:r>
      <w:r>
        <w:rPr>
          <w:w w:val="95"/>
          <w:sz w:val="20"/>
        </w:rPr>
        <w:t>solutions</w:t>
      </w:r>
      <w:r>
        <w:rPr>
          <w:spacing w:val="-7"/>
          <w:w w:val="95"/>
          <w:sz w:val="20"/>
        </w:rPr>
        <w:t xml:space="preserve"> </w:t>
      </w:r>
      <w:r>
        <w:rPr>
          <w:w w:val="95"/>
          <w:sz w:val="20"/>
        </w:rPr>
        <w:t>to</w:t>
      </w:r>
      <w:r>
        <w:rPr>
          <w:spacing w:val="-7"/>
          <w:w w:val="95"/>
          <w:sz w:val="20"/>
        </w:rPr>
        <w:t xml:space="preserve"> </w:t>
      </w:r>
      <w:r>
        <w:rPr>
          <w:w w:val="95"/>
          <w:sz w:val="20"/>
        </w:rPr>
        <w:t xml:space="preserve">the </w:t>
      </w:r>
      <w:r>
        <w:rPr>
          <w:sz w:val="20"/>
        </w:rPr>
        <w:t>desired</w:t>
      </w:r>
      <w:r>
        <w:rPr>
          <w:spacing w:val="-11"/>
          <w:sz w:val="20"/>
        </w:rPr>
        <w:t xml:space="preserve"> </w:t>
      </w:r>
      <w:r>
        <w:rPr>
          <w:sz w:val="20"/>
        </w:rPr>
        <w:t>outcomes</w:t>
      </w:r>
    </w:p>
    <w:p w:rsidR="002C1123" w:rsidRDefault="00F22F94">
      <w:pPr>
        <w:pStyle w:val="BodyText"/>
        <w:spacing w:before="143" w:line="249" w:lineRule="auto"/>
        <w:ind w:left="195" w:right="887"/>
      </w:pPr>
      <w:r>
        <w:rPr>
          <w:w w:val="95"/>
        </w:rPr>
        <w:t xml:space="preserve">Infrastructure NSW’s assurance framework will assist </w:t>
      </w:r>
      <w:r>
        <w:t>Government</w:t>
      </w:r>
      <w:r>
        <w:rPr>
          <w:spacing w:val="-4"/>
        </w:rPr>
        <w:t xml:space="preserve"> </w:t>
      </w:r>
      <w:r>
        <w:t>with</w:t>
      </w:r>
      <w:r>
        <w:rPr>
          <w:spacing w:val="-4"/>
        </w:rPr>
        <w:t xml:space="preserve"> </w:t>
      </w:r>
      <w:r>
        <w:t>this</w:t>
      </w:r>
      <w:r>
        <w:rPr>
          <w:spacing w:val="-4"/>
        </w:rPr>
        <w:t xml:space="preserve"> </w:t>
      </w:r>
      <w:r>
        <w:t>project</w:t>
      </w:r>
      <w:r>
        <w:rPr>
          <w:spacing w:val="-4"/>
        </w:rPr>
        <w:t xml:space="preserve"> </w:t>
      </w:r>
      <w:r>
        <w:t>development</w:t>
      </w:r>
      <w:r>
        <w:rPr>
          <w:spacing w:val="-4"/>
        </w:rPr>
        <w:t xml:space="preserve"> </w:t>
      </w:r>
      <w:r>
        <w:t xml:space="preserve">and </w:t>
      </w:r>
      <w:r>
        <w:rPr>
          <w:w w:val="95"/>
        </w:rPr>
        <w:t xml:space="preserve">prioritisation process by providing independent advice </w:t>
      </w:r>
      <w:r>
        <w:t>on project merit and risks.</w:t>
      </w:r>
    </w:p>
    <w:p w:rsidR="002C1123" w:rsidRDefault="002C1123">
      <w:pPr>
        <w:spacing w:line="249" w:lineRule="auto"/>
        <w:sectPr w:rsidR="002C1123">
          <w:type w:val="continuous"/>
          <w:pgSz w:w="16840" w:h="11910" w:orient="landscape"/>
          <w:pgMar w:top="560" w:right="280" w:bottom="280" w:left="500" w:header="0" w:footer="517" w:gutter="0"/>
          <w:cols w:num="3" w:space="720" w:equalWidth="0">
            <w:col w:w="5264" w:space="40"/>
            <w:col w:w="5008" w:space="39"/>
            <w:col w:w="5709"/>
          </w:cols>
        </w:sectPr>
      </w:pPr>
    </w:p>
    <w:p w:rsidR="002C1123" w:rsidRDefault="002C1123">
      <w:pPr>
        <w:pStyle w:val="BodyText"/>
        <w:spacing w:before="11"/>
        <w:rPr>
          <w:sz w:val="18"/>
        </w:rPr>
      </w:pPr>
    </w:p>
    <w:p w:rsidR="002C1123" w:rsidRDefault="002060EF">
      <w:pPr>
        <w:tabs>
          <w:tab w:val="left" w:pos="5518"/>
        </w:tabs>
        <w:spacing w:line="20" w:lineRule="exact"/>
        <w:ind w:left="492"/>
        <w:rPr>
          <w:sz w:val="2"/>
        </w:rPr>
      </w:pPr>
      <w:r>
        <w:rPr>
          <w:sz w:val="2"/>
        </w:rPr>
      </w:r>
      <w:r>
        <w:rPr>
          <w:sz w:val="2"/>
        </w:rPr>
        <w:pict>
          <v:group id="docshapegroup2913" o:spid="_x0000_s1109" style="width:1in;height:.5pt;mso-position-horizontal-relative:char;mso-position-vertical-relative:line" coordsize="1440,10">
            <v:line id="_x0000_s1110" style="position:absolute" from="0,5" to="1440,5" strokecolor="#9c9c9d" strokeweight=".5pt"/>
            <w10:anchorlock/>
          </v:group>
        </w:pict>
      </w:r>
      <w:r w:rsidR="00F22F94">
        <w:rPr>
          <w:sz w:val="2"/>
        </w:rPr>
        <w:tab/>
      </w:r>
      <w:r>
        <w:rPr>
          <w:sz w:val="2"/>
        </w:rPr>
      </w:r>
      <w:r>
        <w:rPr>
          <w:sz w:val="2"/>
        </w:rPr>
        <w:pict>
          <v:group id="docshapegroup2914" o:spid="_x0000_s1107" style="width:1in;height:.5pt;mso-position-horizontal-relative:char;mso-position-vertical-relative:line" coordsize="1440,10">
            <v:line id="_x0000_s1108" style="position:absolute" from="0,5" to="1440,5" strokecolor="#9c9c9d" strokeweight=".5pt"/>
            <w10:anchorlock/>
          </v:group>
        </w:pict>
      </w:r>
    </w:p>
    <w:p w:rsidR="002C1123" w:rsidRDefault="002C1123">
      <w:pPr>
        <w:spacing w:line="20" w:lineRule="exact"/>
        <w:rPr>
          <w:sz w:val="2"/>
        </w:rPr>
        <w:sectPr w:rsidR="002C1123">
          <w:type w:val="continuous"/>
          <w:pgSz w:w="16840" w:h="11910" w:orient="landscape"/>
          <w:pgMar w:top="560" w:right="280" w:bottom="280" w:left="500" w:header="0" w:footer="517" w:gutter="0"/>
          <w:cols w:space="720"/>
        </w:sectPr>
      </w:pPr>
    </w:p>
    <w:p w:rsidR="002C1123" w:rsidRDefault="00F22F94">
      <w:pPr>
        <w:pStyle w:val="ListParagraph"/>
        <w:numPr>
          <w:ilvl w:val="0"/>
          <w:numId w:val="21"/>
        </w:numPr>
        <w:tabs>
          <w:tab w:val="left" w:pos="691"/>
        </w:tabs>
        <w:jc w:val="left"/>
        <w:rPr>
          <w:sz w:val="14"/>
        </w:rPr>
      </w:pPr>
      <w:r>
        <w:rPr>
          <w:rFonts w:ascii="Tahoma" w:hAnsi="Tahoma"/>
          <w:w w:val="95"/>
          <w:sz w:val="14"/>
        </w:rPr>
        <w:t xml:space="preserve">About 50% of Transport’s program, 70% of Health’s program and almost all </w:t>
      </w:r>
      <w:r>
        <w:rPr>
          <w:w w:val="95"/>
          <w:sz w:val="14"/>
        </w:rPr>
        <w:t>of the rest of the Budget-funded capital program consists of projects under</w:t>
      </w:r>
    </w:p>
    <w:p w:rsidR="002C1123" w:rsidRDefault="00F22F94">
      <w:pPr>
        <w:spacing w:line="159" w:lineRule="exact"/>
        <w:ind w:left="690"/>
        <w:rPr>
          <w:sz w:val="14"/>
        </w:rPr>
      </w:pPr>
      <w:r>
        <w:rPr>
          <w:w w:val="95"/>
          <w:sz w:val="14"/>
        </w:rPr>
        <w:t>$100</w:t>
      </w:r>
      <w:r>
        <w:rPr>
          <w:spacing w:val="-1"/>
          <w:w w:val="95"/>
          <w:sz w:val="14"/>
        </w:rPr>
        <w:t xml:space="preserve"> </w:t>
      </w:r>
      <w:r>
        <w:rPr>
          <w:spacing w:val="-2"/>
          <w:sz w:val="14"/>
        </w:rPr>
        <w:t>million.</w:t>
      </w:r>
    </w:p>
    <w:p w:rsidR="002C1123" w:rsidRDefault="00F22F94">
      <w:pPr>
        <w:pStyle w:val="ListParagraph"/>
        <w:numPr>
          <w:ilvl w:val="0"/>
          <w:numId w:val="21"/>
        </w:numPr>
        <w:tabs>
          <w:tab w:val="left" w:pos="451"/>
        </w:tabs>
        <w:spacing w:before="8" w:line="160" w:lineRule="exact"/>
        <w:ind w:left="450"/>
        <w:jc w:val="left"/>
        <w:rPr>
          <w:sz w:val="14"/>
        </w:rPr>
      </w:pPr>
      <w:r>
        <w:br w:type="column"/>
      </w:r>
      <w:r>
        <w:rPr>
          <w:w w:val="90"/>
          <w:sz w:val="14"/>
        </w:rPr>
        <w:t>Refer</w:t>
      </w:r>
      <w:r>
        <w:rPr>
          <w:spacing w:val="-1"/>
          <w:w w:val="90"/>
          <w:sz w:val="14"/>
        </w:rPr>
        <w:t xml:space="preserve"> </w:t>
      </w:r>
      <w:r>
        <w:rPr>
          <w:w w:val="90"/>
          <w:sz w:val="14"/>
        </w:rPr>
        <w:t>to</w:t>
      </w:r>
      <w:r>
        <w:rPr>
          <w:spacing w:val="-1"/>
          <w:w w:val="90"/>
          <w:sz w:val="14"/>
        </w:rPr>
        <w:t xml:space="preserve"> </w:t>
      </w:r>
      <w:r>
        <w:rPr>
          <w:w w:val="90"/>
          <w:sz w:val="14"/>
        </w:rPr>
        <w:t>Chapter</w:t>
      </w:r>
      <w:r>
        <w:rPr>
          <w:spacing w:val="-1"/>
          <w:w w:val="90"/>
          <w:sz w:val="14"/>
        </w:rPr>
        <w:t xml:space="preserve"> </w:t>
      </w:r>
      <w:r>
        <w:rPr>
          <w:w w:val="90"/>
          <w:sz w:val="14"/>
        </w:rPr>
        <w:t>8,</w:t>
      </w:r>
      <w:r>
        <w:rPr>
          <w:spacing w:val="-1"/>
          <w:w w:val="90"/>
          <w:sz w:val="14"/>
        </w:rPr>
        <w:t xml:space="preserve"> </w:t>
      </w:r>
      <w:r>
        <w:rPr>
          <w:w w:val="90"/>
          <w:sz w:val="14"/>
        </w:rPr>
        <w:t>Part</w:t>
      </w:r>
      <w:r>
        <w:rPr>
          <w:spacing w:val="-1"/>
          <w:w w:val="90"/>
          <w:sz w:val="14"/>
        </w:rPr>
        <w:t xml:space="preserve"> </w:t>
      </w:r>
      <w:r>
        <w:rPr>
          <w:w w:val="90"/>
          <w:sz w:val="14"/>
        </w:rPr>
        <w:t>B</w:t>
      </w:r>
      <w:r>
        <w:rPr>
          <w:spacing w:val="-1"/>
          <w:w w:val="90"/>
          <w:sz w:val="14"/>
        </w:rPr>
        <w:t xml:space="preserve"> </w:t>
      </w:r>
      <w:r>
        <w:rPr>
          <w:w w:val="90"/>
          <w:sz w:val="14"/>
        </w:rPr>
        <w:t>(Volume</w:t>
      </w:r>
      <w:r>
        <w:rPr>
          <w:spacing w:val="-1"/>
          <w:w w:val="90"/>
          <w:sz w:val="14"/>
        </w:rPr>
        <w:t xml:space="preserve"> </w:t>
      </w:r>
      <w:r>
        <w:rPr>
          <w:w w:val="90"/>
          <w:sz w:val="14"/>
        </w:rPr>
        <w:t>1)</w:t>
      </w:r>
      <w:r>
        <w:rPr>
          <w:spacing w:val="-1"/>
          <w:w w:val="90"/>
          <w:sz w:val="14"/>
        </w:rPr>
        <w:t xml:space="preserve"> </w:t>
      </w:r>
      <w:r>
        <w:rPr>
          <w:w w:val="90"/>
          <w:sz w:val="14"/>
        </w:rPr>
        <w:t>and</w:t>
      </w:r>
      <w:r>
        <w:rPr>
          <w:spacing w:val="-1"/>
          <w:w w:val="90"/>
          <w:sz w:val="14"/>
        </w:rPr>
        <w:t xml:space="preserve"> </w:t>
      </w:r>
      <w:r>
        <w:rPr>
          <w:w w:val="90"/>
          <w:sz w:val="14"/>
        </w:rPr>
        <w:t>Chapter</w:t>
      </w:r>
      <w:r>
        <w:rPr>
          <w:spacing w:val="-1"/>
          <w:w w:val="90"/>
          <w:sz w:val="14"/>
        </w:rPr>
        <w:t xml:space="preserve"> </w:t>
      </w:r>
      <w:r>
        <w:rPr>
          <w:w w:val="90"/>
          <w:sz w:val="14"/>
        </w:rPr>
        <w:t>16,</w:t>
      </w:r>
      <w:r>
        <w:rPr>
          <w:spacing w:val="-4"/>
          <w:sz w:val="14"/>
        </w:rPr>
        <w:t xml:space="preserve"> </w:t>
      </w:r>
      <w:r>
        <w:rPr>
          <w:w w:val="90"/>
          <w:sz w:val="14"/>
        </w:rPr>
        <w:t>Part</w:t>
      </w:r>
      <w:r>
        <w:rPr>
          <w:spacing w:val="-1"/>
          <w:w w:val="90"/>
          <w:sz w:val="14"/>
        </w:rPr>
        <w:t xml:space="preserve"> </w:t>
      </w:r>
      <w:r>
        <w:rPr>
          <w:w w:val="90"/>
          <w:sz w:val="14"/>
        </w:rPr>
        <w:t>C</w:t>
      </w:r>
      <w:r>
        <w:rPr>
          <w:spacing w:val="-1"/>
          <w:w w:val="90"/>
          <w:sz w:val="14"/>
        </w:rPr>
        <w:t xml:space="preserve"> </w:t>
      </w:r>
      <w:r>
        <w:rPr>
          <w:w w:val="90"/>
          <w:sz w:val="14"/>
        </w:rPr>
        <w:t>(Volume</w:t>
      </w:r>
      <w:r>
        <w:rPr>
          <w:spacing w:val="-1"/>
          <w:w w:val="90"/>
          <w:sz w:val="14"/>
        </w:rPr>
        <w:t xml:space="preserve"> </w:t>
      </w:r>
      <w:r>
        <w:rPr>
          <w:spacing w:val="-5"/>
          <w:w w:val="90"/>
          <w:sz w:val="14"/>
        </w:rPr>
        <w:t>2).</w:t>
      </w:r>
    </w:p>
    <w:p w:rsidR="002C1123" w:rsidRDefault="00F22F94">
      <w:pPr>
        <w:pStyle w:val="ListParagraph"/>
        <w:numPr>
          <w:ilvl w:val="0"/>
          <w:numId w:val="21"/>
        </w:numPr>
        <w:tabs>
          <w:tab w:val="left" w:pos="451"/>
        </w:tabs>
        <w:ind w:left="450" w:right="6239"/>
        <w:jc w:val="left"/>
        <w:rPr>
          <w:sz w:val="14"/>
        </w:rPr>
      </w:pPr>
      <w:r>
        <w:rPr>
          <w:w w:val="95"/>
          <w:sz w:val="14"/>
        </w:rPr>
        <w:t>NSW Commission of Audit 2012, NSW Interim Report: Public Sector</w:t>
      </w:r>
      <w:r>
        <w:rPr>
          <w:spacing w:val="40"/>
          <w:sz w:val="14"/>
        </w:rPr>
        <w:t xml:space="preserve"> </w:t>
      </w:r>
      <w:r>
        <w:rPr>
          <w:spacing w:val="-2"/>
          <w:sz w:val="14"/>
        </w:rPr>
        <w:t>Management.</w:t>
      </w:r>
    </w:p>
    <w:p w:rsidR="002C1123" w:rsidRDefault="002C1123">
      <w:pPr>
        <w:rPr>
          <w:sz w:val="14"/>
        </w:rPr>
        <w:sectPr w:rsidR="002C1123">
          <w:type w:val="continuous"/>
          <w:pgSz w:w="16840" w:h="11910" w:orient="landscape"/>
          <w:pgMar w:top="560" w:right="280" w:bottom="280" w:left="500" w:header="0" w:footer="517" w:gutter="0"/>
          <w:cols w:num="2" w:space="720" w:equalWidth="0">
            <w:col w:w="5227" w:space="40"/>
            <w:col w:w="10793"/>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spacing w:before="5"/>
        <w:rPr>
          <w:sz w:val="19"/>
        </w:rPr>
      </w:pPr>
    </w:p>
    <w:p w:rsidR="002C1123" w:rsidRDefault="00F22F94">
      <w:pPr>
        <w:pStyle w:val="BodyText"/>
        <w:spacing w:before="106" w:line="249" w:lineRule="auto"/>
        <w:ind w:left="492" w:right="10730"/>
      </w:pPr>
      <w:bookmarkStart w:id="418" w:name="_bookmark298"/>
      <w:bookmarkEnd w:id="418"/>
      <w:r>
        <w:t>An</w:t>
      </w:r>
      <w:r>
        <w:rPr>
          <w:spacing w:val="-4"/>
        </w:rPr>
        <w:t xml:space="preserve"> </w:t>
      </w:r>
      <w:r>
        <w:t>important</w:t>
      </w:r>
      <w:r>
        <w:rPr>
          <w:spacing w:val="-4"/>
        </w:rPr>
        <w:t xml:space="preserve"> </w:t>
      </w:r>
      <w:r>
        <w:t>new</w:t>
      </w:r>
      <w:r>
        <w:rPr>
          <w:spacing w:val="-4"/>
        </w:rPr>
        <w:t xml:space="preserve"> </w:t>
      </w:r>
      <w:r>
        <w:t>component</w:t>
      </w:r>
      <w:r>
        <w:rPr>
          <w:spacing w:val="-4"/>
        </w:rPr>
        <w:t xml:space="preserve"> </w:t>
      </w:r>
      <w:r>
        <w:t>of</w:t>
      </w:r>
      <w:r>
        <w:rPr>
          <w:spacing w:val="-4"/>
        </w:rPr>
        <w:t xml:space="preserve"> </w:t>
      </w:r>
      <w:r>
        <w:t>the</w:t>
      </w:r>
      <w:r>
        <w:rPr>
          <w:spacing w:val="-4"/>
        </w:rPr>
        <w:t xml:space="preserve"> </w:t>
      </w:r>
      <w:r>
        <w:t>Major</w:t>
      </w:r>
      <w:r>
        <w:rPr>
          <w:spacing w:val="-4"/>
        </w:rPr>
        <w:t xml:space="preserve"> </w:t>
      </w:r>
      <w:r>
        <w:t>Projects Review</w:t>
      </w:r>
      <w:r>
        <w:rPr>
          <w:spacing w:val="-14"/>
        </w:rPr>
        <w:t xml:space="preserve"> </w:t>
      </w:r>
      <w:r>
        <w:t>process</w:t>
      </w:r>
      <w:r>
        <w:rPr>
          <w:spacing w:val="-14"/>
        </w:rPr>
        <w:t xml:space="preserve"> </w:t>
      </w:r>
      <w:r>
        <w:t>is</w:t>
      </w:r>
      <w:r>
        <w:rPr>
          <w:spacing w:val="-14"/>
        </w:rPr>
        <w:t xml:space="preserve"> </w:t>
      </w:r>
      <w:r>
        <w:t>an</w:t>
      </w:r>
      <w:r>
        <w:rPr>
          <w:spacing w:val="-14"/>
        </w:rPr>
        <w:t xml:space="preserve"> </w:t>
      </w:r>
      <w:r>
        <w:t>initial</w:t>
      </w:r>
      <w:r>
        <w:rPr>
          <w:spacing w:val="-14"/>
        </w:rPr>
        <w:t xml:space="preserve"> </w:t>
      </w:r>
      <w:r>
        <w:t>“gate</w:t>
      </w:r>
      <w:r>
        <w:rPr>
          <w:spacing w:val="-14"/>
        </w:rPr>
        <w:t xml:space="preserve"> </w:t>
      </w:r>
      <w:r>
        <w:t>zero”</w:t>
      </w:r>
      <w:r>
        <w:rPr>
          <w:spacing w:val="-13"/>
        </w:rPr>
        <w:t xml:space="preserve"> </w:t>
      </w:r>
      <w:r>
        <w:t>for</w:t>
      </w:r>
      <w:r>
        <w:rPr>
          <w:spacing w:val="-14"/>
        </w:rPr>
        <w:t xml:space="preserve"> </w:t>
      </w:r>
      <w:r>
        <w:t>project justification,</w:t>
      </w:r>
      <w:r>
        <w:rPr>
          <w:spacing w:val="-11"/>
        </w:rPr>
        <w:t xml:space="preserve"> </w:t>
      </w:r>
      <w:r>
        <w:t>which</w:t>
      </w:r>
      <w:r>
        <w:rPr>
          <w:spacing w:val="-11"/>
        </w:rPr>
        <w:t xml:space="preserve"> </w:t>
      </w:r>
      <w:r>
        <w:t>occurs</w:t>
      </w:r>
      <w:r>
        <w:rPr>
          <w:spacing w:val="-11"/>
        </w:rPr>
        <w:t xml:space="preserve"> </w:t>
      </w:r>
      <w:r>
        <w:t>at</w:t>
      </w:r>
      <w:r>
        <w:rPr>
          <w:spacing w:val="-12"/>
        </w:rPr>
        <w:t xml:space="preserve"> </w:t>
      </w:r>
      <w:r>
        <w:t>the</w:t>
      </w:r>
      <w:r>
        <w:rPr>
          <w:spacing w:val="-11"/>
        </w:rPr>
        <w:t xml:space="preserve"> </w:t>
      </w:r>
      <w:r>
        <w:t>time</w:t>
      </w:r>
      <w:r>
        <w:rPr>
          <w:spacing w:val="-11"/>
        </w:rPr>
        <w:t xml:space="preserve"> </w:t>
      </w:r>
      <w:r>
        <w:t>of</w:t>
      </w:r>
      <w:r>
        <w:rPr>
          <w:spacing w:val="-11"/>
        </w:rPr>
        <w:t xml:space="preserve"> </w:t>
      </w:r>
      <w:r>
        <w:t>initial</w:t>
      </w:r>
      <w:r>
        <w:rPr>
          <w:spacing w:val="-12"/>
        </w:rPr>
        <w:t xml:space="preserve"> </w:t>
      </w:r>
      <w:r>
        <w:t>project inception.</w:t>
      </w:r>
      <w:r>
        <w:rPr>
          <w:spacing w:val="-12"/>
        </w:rPr>
        <w:t xml:space="preserve"> </w:t>
      </w:r>
      <w:r>
        <w:t>At</w:t>
      </w:r>
      <w:r>
        <w:rPr>
          <w:spacing w:val="-12"/>
        </w:rPr>
        <w:t xml:space="preserve"> </w:t>
      </w:r>
      <w:r>
        <w:t>this</w:t>
      </w:r>
      <w:r>
        <w:rPr>
          <w:spacing w:val="-12"/>
        </w:rPr>
        <w:t xml:space="preserve"> </w:t>
      </w:r>
      <w:r>
        <w:t>initial</w:t>
      </w:r>
      <w:r>
        <w:rPr>
          <w:spacing w:val="-12"/>
        </w:rPr>
        <w:t xml:space="preserve"> </w:t>
      </w:r>
      <w:r>
        <w:t>stage</w:t>
      </w:r>
      <w:r>
        <w:rPr>
          <w:spacing w:val="-12"/>
        </w:rPr>
        <w:t xml:space="preserve"> </w:t>
      </w:r>
      <w:r>
        <w:t>the</w:t>
      </w:r>
      <w:r>
        <w:rPr>
          <w:spacing w:val="-12"/>
        </w:rPr>
        <w:t xml:space="preserve"> </w:t>
      </w:r>
      <w:r>
        <w:t>options</w:t>
      </w:r>
      <w:r>
        <w:rPr>
          <w:spacing w:val="-12"/>
        </w:rPr>
        <w:t xml:space="preserve"> </w:t>
      </w:r>
      <w:r>
        <w:t xml:space="preserve">considered </w:t>
      </w:r>
      <w:r>
        <w:rPr>
          <w:w w:val="95"/>
        </w:rPr>
        <w:t>should</w:t>
      </w:r>
      <w:r>
        <w:rPr>
          <w:spacing w:val="-1"/>
          <w:w w:val="95"/>
        </w:rPr>
        <w:t xml:space="preserve"> </w:t>
      </w:r>
      <w:r>
        <w:rPr>
          <w:w w:val="95"/>
        </w:rPr>
        <w:t>be</w:t>
      </w:r>
      <w:r>
        <w:rPr>
          <w:spacing w:val="-1"/>
          <w:w w:val="95"/>
        </w:rPr>
        <w:t xml:space="preserve"> </w:t>
      </w:r>
      <w:r>
        <w:rPr>
          <w:w w:val="95"/>
        </w:rPr>
        <w:t>wide-ranging</w:t>
      </w:r>
      <w:r>
        <w:rPr>
          <w:spacing w:val="-1"/>
          <w:w w:val="95"/>
        </w:rPr>
        <w:t xml:space="preserve"> </w:t>
      </w:r>
      <w:r>
        <w:rPr>
          <w:w w:val="95"/>
        </w:rPr>
        <w:t>and</w:t>
      </w:r>
      <w:r>
        <w:rPr>
          <w:spacing w:val="-1"/>
          <w:w w:val="95"/>
        </w:rPr>
        <w:t xml:space="preserve"> </w:t>
      </w:r>
      <w:r>
        <w:rPr>
          <w:w w:val="95"/>
        </w:rPr>
        <w:t>should</w:t>
      </w:r>
      <w:r>
        <w:rPr>
          <w:spacing w:val="-1"/>
          <w:w w:val="95"/>
        </w:rPr>
        <w:t xml:space="preserve"> </w:t>
      </w:r>
      <w:r>
        <w:rPr>
          <w:w w:val="95"/>
        </w:rPr>
        <w:t>include,</w:t>
      </w:r>
      <w:r>
        <w:rPr>
          <w:spacing w:val="-1"/>
          <w:w w:val="95"/>
        </w:rPr>
        <w:t xml:space="preserve"> </w:t>
      </w:r>
      <w:r>
        <w:rPr>
          <w:w w:val="95"/>
        </w:rPr>
        <w:t>for</w:t>
      </w:r>
      <w:r>
        <w:rPr>
          <w:spacing w:val="-1"/>
          <w:w w:val="95"/>
        </w:rPr>
        <w:t xml:space="preserve"> </w:t>
      </w:r>
      <w:r>
        <w:rPr>
          <w:w w:val="95"/>
        </w:rPr>
        <w:t>example:</w:t>
      </w:r>
    </w:p>
    <w:p w:rsidR="002C1123" w:rsidRDefault="00F22F94">
      <w:pPr>
        <w:pStyle w:val="ListParagraph"/>
        <w:numPr>
          <w:ilvl w:val="1"/>
          <w:numId w:val="21"/>
        </w:numPr>
        <w:tabs>
          <w:tab w:val="left" w:pos="776"/>
        </w:tabs>
        <w:spacing w:before="133" w:line="249" w:lineRule="auto"/>
        <w:ind w:right="11323"/>
        <w:rPr>
          <w:sz w:val="20"/>
        </w:rPr>
      </w:pPr>
      <w:r>
        <w:rPr>
          <w:w w:val="95"/>
          <w:sz w:val="20"/>
        </w:rPr>
        <w:t>alternative</w:t>
      </w:r>
      <w:r>
        <w:rPr>
          <w:spacing w:val="-12"/>
          <w:w w:val="95"/>
          <w:sz w:val="20"/>
        </w:rPr>
        <w:t xml:space="preserve"> </w:t>
      </w:r>
      <w:r>
        <w:rPr>
          <w:w w:val="95"/>
          <w:sz w:val="20"/>
        </w:rPr>
        <w:t>service</w:t>
      </w:r>
      <w:r>
        <w:rPr>
          <w:spacing w:val="-11"/>
          <w:w w:val="95"/>
          <w:sz w:val="20"/>
        </w:rPr>
        <w:t xml:space="preserve"> </w:t>
      </w:r>
      <w:r>
        <w:rPr>
          <w:w w:val="95"/>
          <w:sz w:val="20"/>
        </w:rPr>
        <w:t>delivery</w:t>
      </w:r>
      <w:r>
        <w:rPr>
          <w:spacing w:val="-11"/>
          <w:w w:val="95"/>
          <w:sz w:val="20"/>
        </w:rPr>
        <w:t xml:space="preserve"> </w:t>
      </w:r>
      <w:r>
        <w:rPr>
          <w:w w:val="95"/>
          <w:sz w:val="20"/>
        </w:rPr>
        <w:t>models</w:t>
      </w:r>
      <w:r>
        <w:rPr>
          <w:spacing w:val="-11"/>
          <w:w w:val="95"/>
          <w:sz w:val="20"/>
        </w:rPr>
        <w:t xml:space="preserve"> </w:t>
      </w:r>
      <w:r>
        <w:rPr>
          <w:w w:val="95"/>
          <w:sz w:val="20"/>
        </w:rPr>
        <w:t>that</w:t>
      </w:r>
      <w:r>
        <w:rPr>
          <w:spacing w:val="-11"/>
          <w:w w:val="95"/>
          <w:sz w:val="20"/>
        </w:rPr>
        <w:t xml:space="preserve"> </w:t>
      </w:r>
      <w:r>
        <w:rPr>
          <w:w w:val="95"/>
          <w:sz w:val="20"/>
        </w:rPr>
        <w:t>are</w:t>
      </w:r>
      <w:r>
        <w:rPr>
          <w:spacing w:val="-11"/>
          <w:w w:val="95"/>
          <w:sz w:val="20"/>
        </w:rPr>
        <w:t xml:space="preserve"> </w:t>
      </w:r>
      <w:r>
        <w:rPr>
          <w:w w:val="95"/>
          <w:sz w:val="20"/>
        </w:rPr>
        <w:t xml:space="preserve">less </w:t>
      </w:r>
      <w:r>
        <w:rPr>
          <w:spacing w:val="-2"/>
          <w:sz w:val="20"/>
        </w:rPr>
        <w:t>asset-intensive</w:t>
      </w:r>
    </w:p>
    <w:p w:rsidR="002C1123" w:rsidRDefault="00F22F94">
      <w:pPr>
        <w:pStyle w:val="ListParagraph"/>
        <w:numPr>
          <w:ilvl w:val="1"/>
          <w:numId w:val="21"/>
        </w:numPr>
        <w:tabs>
          <w:tab w:val="left" w:pos="776"/>
        </w:tabs>
        <w:spacing w:before="131" w:line="249" w:lineRule="auto"/>
        <w:ind w:right="11555"/>
        <w:rPr>
          <w:sz w:val="20"/>
        </w:rPr>
      </w:pPr>
      <w:r>
        <w:rPr>
          <w:w w:val="95"/>
          <w:sz w:val="20"/>
        </w:rPr>
        <w:t>options</w:t>
      </w:r>
      <w:r>
        <w:rPr>
          <w:spacing w:val="-2"/>
          <w:w w:val="95"/>
          <w:sz w:val="20"/>
        </w:rPr>
        <w:t xml:space="preserve"> </w:t>
      </w:r>
      <w:r>
        <w:rPr>
          <w:w w:val="95"/>
          <w:sz w:val="20"/>
        </w:rPr>
        <w:t>for</w:t>
      </w:r>
      <w:r>
        <w:rPr>
          <w:spacing w:val="-2"/>
          <w:w w:val="95"/>
          <w:sz w:val="20"/>
        </w:rPr>
        <w:t xml:space="preserve"> </w:t>
      </w:r>
      <w:r>
        <w:rPr>
          <w:w w:val="95"/>
          <w:sz w:val="20"/>
        </w:rPr>
        <w:t>new</w:t>
      </w:r>
      <w:r>
        <w:rPr>
          <w:spacing w:val="-2"/>
          <w:w w:val="95"/>
          <w:sz w:val="20"/>
        </w:rPr>
        <w:t xml:space="preserve"> </w:t>
      </w:r>
      <w:r>
        <w:rPr>
          <w:w w:val="95"/>
          <w:sz w:val="20"/>
        </w:rPr>
        <w:t>asset</w:t>
      </w:r>
      <w:r>
        <w:rPr>
          <w:spacing w:val="-2"/>
          <w:w w:val="95"/>
          <w:sz w:val="20"/>
        </w:rPr>
        <w:t xml:space="preserve"> </w:t>
      </w:r>
      <w:r>
        <w:rPr>
          <w:w w:val="95"/>
          <w:sz w:val="20"/>
        </w:rPr>
        <w:t>capacity</w:t>
      </w:r>
      <w:r>
        <w:rPr>
          <w:spacing w:val="-2"/>
          <w:w w:val="95"/>
          <w:sz w:val="20"/>
        </w:rPr>
        <w:t xml:space="preserve"> </w:t>
      </w:r>
      <w:r>
        <w:rPr>
          <w:w w:val="95"/>
          <w:sz w:val="20"/>
        </w:rPr>
        <w:t>versus</w:t>
      </w:r>
      <w:r>
        <w:rPr>
          <w:spacing w:val="-2"/>
          <w:w w:val="95"/>
          <w:sz w:val="20"/>
        </w:rPr>
        <w:t xml:space="preserve"> </w:t>
      </w:r>
      <w:r>
        <w:rPr>
          <w:w w:val="95"/>
          <w:sz w:val="20"/>
        </w:rPr>
        <w:t xml:space="preserve">better </w:t>
      </w:r>
      <w:r>
        <w:rPr>
          <w:sz w:val="20"/>
        </w:rPr>
        <w:t>utilisation of existing assets</w:t>
      </w:r>
    </w:p>
    <w:p w:rsidR="002C1123" w:rsidRDefault="00F22F94">
      <w:pPr>
        <w:pStyle w:val="ListParagraph"/>
        <w:numPr>
          <w:ilvl w:val="1"/>
          <w:numId w:val="21"/>
        </w:numPr>
        <w:tabs>
          <w:tab w:val="left" w:pos="776"/>
        </w:tabs>
        <w:spacing w:before="130" w:line="249" w:lineRule="auto"/>
        <w:ind w:right="11554"/>
        <w:rPr>
          <w:sz w:val="20"/>
        </w:rPr>
      </w:pPr>
      <w:r>
        <w:rPr>
          <w:w w:val="95"/>
          <w:sz w:val="20"/>
        </w:rPr>
        <w:t>different</w:t>
      </w:r>
      <w:r>
        <w:rPr>
          <w:spacing w:val="-4"/>
          <w:w w:val="95"/>
          <w:sz w:val="20"/>
        </w:rPr>
        <w:t xml:space="preserve"> </w:t>
      </w:r>
      <w:r>
        <w:rPr>
          <w:w w:val="95"/>
          <w:sz w:val="20"/>
        </w:rPr>
        <w:t>forms</w:t>
      </w:r>
      <w:r>
        <w:rPr>
          <w:spacing w:val="-4"/>
          <w:w w:val="95"/>
          <w:sz w:val="20"/>
        </w:rPr>
        <w:t xml:space="preserve"> </w:t>
      </w:r>
      <w:r>
        <w:rPr>
          <w:w w:val="95"/>
          <w:sz w:val="20"/>
        </w:rPr>
        <w:t>of</w:t>
      </w:r>
      <w:r>
        <w:rPr>
          <w:spacing w:val="-4"/>
          <w:w w:val="95"/>
          <w:sz w:val="20"/>
        </w:rPr>
        <w:t xml:space="preserve"> </w:t>
      </w:r>
      <w:r>
        <w:rPr>
          <w:w w:val="95"/>
          <w:sz w:val="20"/>
        </w:rPr>
        <w:t>infrastructure</w:t>
      </w:r>
      <w:r>
        <w:rPr>
          <w:spacing w:val="-4"/>
          <w:w w:val="95"/>
          <w:sz w:val="20"/>
        </w:rPr>
        <w:t xml:space="preserve"> </w:t>
      </w:r>
      <w:r>
        <w:rPr>
          <w:w w:val="95"/>
          <w:sz w:val="20"/>
        </w:rPr>
        <w:t>with</w:t>
      </w:r>
      <w:r>
        <w:rPr>
          <w:spacing w:val="-4"/>
          <w:w w:val="95"/>
          <w:sz w:val="20"/>
        </w:rPr>
        <w:t xml:space="preserve"> </w:t>
      </w:r>
      <w:r>
        <w:rPr>
          <w:w w:val="95"/>
          <w:sz w:val="20"/>
        </w:rPr>
        <w:t xml:space="preserve">differing </w:t>
      </w:r>
      <w:r>
        <w:rPr>
          <w:sz w:val="20"/>
        </w:rPr>
        <w:t>value-cost</w:t>
      </w:r>
      <w:r>
        <w:rPr>
          <w:spacing w:val="-11"/>
          <w:sz w:val="20"/>
        </w:rPr>
        <w:t xml:space="preserve"> </w:t>
      </w:r>
      <w:r>
        <w:rPr>
          <w:sz w:val="20"/>
        </w:rPr>
        <w:t>characteristics</w:t>
      </w:r>
    </w:p>
    <w:p w:rsidR="002C1123" w:rsidRDefault="00F22F94">
      <w:pPr>
        <w:pStyle w:val="ListParagraph"/>
        <w:numPr>
          <w:ilvl w:val="1"/>
          <w:numId w:val="21"/>
        </w:numPr>
        <w:tabs>
          <w:tab w:val="left" w:pos="776"/>
        </w:tabs>
        <w:spacing w:before="131"/>
        <w:rPr>
          <w:sz w:val="20"/>
        </w:rPr>
      </w:pPr>
      <w:r>
        <w:rPr>
          <w:w w:val="95"/>
          <w:sz w:val="20"/>
        </w:rPr>
        <w:t>substantial</w:t>
      </w:r>
      <w:r>
        <w:rPr>
          <w:spacing w:val="-7"/>
          <w:w w:val="95"/>
          <w:sz w:val="20"/>
        </w:rPr>
        <w:t xml:space="preserve"> </w:t>
      </w:r>
      <w:r>
        <w:rPr>
          <w:w w:val="95"/>
          <w:sz w:val="20"/>
        </w:rPr>
        <w:t>variations</w:t>
      </w:r>
      <w:r>
        <w:rPr>
          <w:spacing w:val="-6"/>
          <w:w w:val="95"/>
          <w:sz w:val="20"/>
        </w:rPr>
        <w:t xml:space="preserve"> </w:t>
      </w:r>
      <w:r>
        <w:rPr>
          <w:w w:val="95"/>
          <w:sz w:val="20"/>
        </w:rPr>
        <w:t>in</w:t>
      </w:r>
      <w:r>
        <w:rPr>
          <w:spacing w:val="-6"/>
          <w:w w:val="95"/>
          <w:sz w:val="20"/>
        </w:rPr>
        <w:t xml:space="preserve"> </w:t>
      </w:r>
      <w:r>
        <w:rPr>
          <w:w w:val="95"/>
          <w:sz w:val="20"/>
        </w:rPr>
        <w:t>scope</w:t>
      </w:r>
      <w:r>
        <w:rPr>
          <w:spacing w:val="-6"/>
          <w:w w:val="95"/>
          <w:sz w:val="20"/>
        </w:rPr>
        <w:t xml:space="preserve"> </w:t>
      </w:r>
      <w:r>
        <w:rPr>
          <w:w w:val="95"/>
          <w:sz w:val="20"/>
        </w:rPr>
        <w:t>and</w:t>
      </w:r>
      <w:r>
        <w:rPr>
          <w:spacing w:val="-6"/>
          <w:w w:val="95"/>
          <w:sz w:val="20"/>
        </w:rPr>
        <w:t xml:space="preserve"> </w:t>
      </w:r>
      <w:r>
        <w:rPr>
          <w:spacing w:val="-2"/>
          <w:w w:val="95"/>
          <w:sz w:val="20"/>
        </w:rPr>
        <w:t>standard</w:t>
      </w:r>
    </w:p>
    <w:p w:rsidR="002C1123" w:rsidRDefault="00F22F94">
      <w:pPr>
        <w:pStyle w:val="ListParagraph"/>
        <w:numPr>
          <w:ilvl w:val="1"/>
          <w:numId w:val="21"/>
        </w:numPr>
        <w:tabs>
          <w:tab w:val="left" w:pos="776"/>
        </w:tabs>
        <w:spacing w:before="139"/>
        <w:rPr>
          <w:sz w:val="20"/>
        </w:rPr>
      </w:pPr>
      <w:r>
        <w:rPr>
          <w:spacing w:val="-2"/>
          <w:w w:val="95"/>
          <w:sz w:val="20"/>
        </w:rPr>
        <w:t>alternative</w:t>
      </w:r>
      <w:r>
        <w:rPr>
          <w:spacing w:val="-4"/>
          <w:sz w:val="20"/>
        </w:rPr>
        <w:t xml:space="preserve"> </w:t>
      </w:r>
      <w:r>
        <w:rPr>
          <w:spacing w:val="-2"/>
          <w:w w:val="95"/>
          <w:sz w:val="20"/>
        </w:rPr>
        <w:t>timing</w:t>
      </w:r>
      <w:r>
        <w:rPr>
          <w:spacing w:val="-4"/>
          <w:sz w:val="20"/>
        </w:rPr>
        <w:t xml:space="preserve"> </w:t>
      </w:r>
      <w:r>
        <w:rPr>
          <w:spacing w:val="-2"/>
          <w:w w:val="95"/>
          <w:sz w:val="20"/>
        </w:rPr>
        <w:t>for</w:t>
      </w:r>
      <w:r>
        <w:rPr>
          <w:spacing w:val="-3"/>
          <w:sz w:val="20"/>
        </w:rPr>
        <w:t xml:space="preserve"> </w:t>
      </w:r>
      <w:r>
        <w:rPr>
          <w:spacing w:val="-2"/>
          <w:w w:val="95"/>
          <w:sz w:val="20"/>
        </w:rPr>
        <w:t>delivery</w:t>
      </w:r>
    </w:p>
    <w:p w:rsidR="002C1123" w:rsidRDefault="00F22F94">
      <w:pPr>
        <w:pStyle w:val="ListParagraph"/>
        <w:numPr>
          <w:ilvl w:val="1"/>
          <w:numId w:val="21"/>
        </w:numPr>
        <w:tabs>
          <w:tab w:val="left" w:pos="776"/>
        </w:tabs>
        <w:spacing w:before="139" w:line="249" w:lineRule="auto"/>
        <w:ind w:right="11787"/>
        <w:rPr>
          <w:sz w:val="20"/>
        </w:rPr>
      </w:pPr>
      <w:r>
        <w:rPr>
          <w:w w:val="95"/>
          <w:sz w:val="20"/>
        </w:rPr>
        <w:t>the</w:t>
      </w:r>
      <w:r>
        <w:rPr>
          <w:spacing w:val="-4"/>
          <w:w w:val="95"/>
          <w:sz w:val="20"/>
        </w:rPr>
        <w:t xml:space="preserve"> </w:t>
      </w:r>
      <w:r>
        <w:rPr>
          <w:w w:val="95"/>
          <w:sz w:val="20"/>
        </w:rPr>
        <w:t>use</w:t>
      </w:r>
      <w:r>
        <w:rPr>
          <w:spacing w:val="-4"/>
          <w:w w:val="95"/>
          <w:sz w:val="20"/>
        </w:rPr>
        <w:t xml:space="preserve"> </w:t>
      </w:r>
      <w:r>
        <w:rPr>
          <w:w w:val="95"/>
          <w:sz w:val="20"/>
        </w:rPr>
        <w:t>of</w:t>
      </w:r>
      <w:r>
        <w:rPr>
          <w:spacing w:val="-4"/>
          <w:w w:val="95"/>
          <w:sz w:val="20"/>
        </w:rPr>
        <w:t xml:space="preserve"> </w:t>
      </w:r>
      <w:r>
        <w:rPr>
          <w:w w:val="95"/>
          <w:sz w:val="20"/>
        </w:rPr>
        <w:t>pricing</w:t>
      </w:r>
      <w:r>
        <w:rPr>
          <w:spacing w:val="-4"/>
          <w:w w:val="95"/>
          <w:sz w:val="20"/>
        </w:rPr>
        <w:t xml:space="preserve"> </w:t>
      </w:r>
      <w:r>
        <w:rPr>
          <w:w w:val="95"/>
          <w:sz w:val="20"/>
        </w:rPr>
        <w:t>or</w:t>
      </w:r>
      <w:r>
        <w:rPr>
          <w:spacing w:val="-4"/>
          <w:w w:val="95"/>
          <w:sz w:val="20"/>
        </w:rPr>
        <w:t xml:space="preserve"> </w:t>
      </w:r>
      <w:r>
        <w:rPr>
          <w:w w:val="95"/>
          <w:sz w:val="20"/>
        </w:rPr>
        <w:t>other</w:t>
      </w:r>
      <w:r>
        <w:rPr>
          <w:spacing w:val="-4"/>
          <w:w w:val="95"/>
          <w:sz w:val="20"/>
        </w:rPr>
        <w:t xml:space="preserve"> </w:t>
      </w:r>
      <w:r>
        <w:rPr>
          <w:w w:val="95"/>
          <w:sz w:val="20"/>
        </w:rPr>
        <w:t>mechanisms</w:t>
      </w:r>
      <w:r>
        <w:rPr>
          <w:spacing w:val="-4"/>
          <w:w w:val="95"/>
          <w:sz w:val="20"/>
        </w:rPr>
        <w:t xml:space="preserve"> </w:t>
      </w:r>
      <w:r>
        <w:rPr>
          <w:w w:val="95"/>
          <w:sz w:val="20"/>
        </w:rPr>
        <w:t xml:space="preserve">to </w:t>
      </w:r>
      <w:r>
        <w:rPr>
          <w:sz w:val="20"/>
        </w:rPr>
        <w:t>moderate</w:t>
      </w:r>
      <w:r>
        <w:rPr>
          <w:spacing w:val="-11"/>
          <w:sz w:val="20"/>
        </w:rPr>
        <w:t xml:space="preserve"> </w:t>
      </w:r>
      <w:r>
        <w:rPr>
          <w:sz w:val="20"/>
        </w:rPr>
        <w:t>demand.</w:t>
      </w:r>
    </w:p>
    <w:p w:rsidR="002C1123" w:rsidRDefault="002C1123">
      <w:pPr>
        <w:spacing w:line="249" w:lineRule="auto"/>
        <w:rPr>
          <w:sz w:val="20"/>
        </w:rPr>
        <w:sectPr w:rsidR="002C1123">
          <w:pgSz w:w="16840" w:h="11910" w:orient="landscape"/>
          <w:pgMar w:top="560" w:right="280" w:bottom="700" w:left="500" w:header="0" w:footer="517" w:gutter="0"/>
          <w:cols w:space="720"/>
        </w:sectPr>
      </w:pPr>
    </w:p>
    <w:p w:rsidR="002C1123" w:rsidRDefault="002C1123">
      <w:pPr>
        <w:pStyle w:val="BodyText"/>
      </w:pPr>
    </w:p>
    <w:p w:rsidR="002C1123" w:rsidRDefault="002C1123">
      <w:pPr>
        <w:pStyle w:val="BodyText"/>
        <w:rPr>
          <w:sz w:val="16"/>
        </w:rPr>
      </w:pPr>
    </w:p>
    <w:p w:rsidR="002C1123" w:rsidRDefault="002C1123">
      <w:pPr>
        <w:rPr>
          <w:sz w:val="16"/>
        </w:rPr>
        <w:sectPr w:rsidR="002C1123">
          <w:headerReference w:type="default" r:id="rId245"/>
          <w:footerReference w:type="default" r:id="rId246"/>
          <w:pgSz w:w="16840" w:h="11910" w:orient="landscape"/>
          <w:pgMar w:top="0" w:right="280" w:bottom="700" w:left="500" w:header="0" w:footer="517" w:gutter="0"/>
          <w:cols w:space="720"/>
        </w:sectPr>
      </w:pPr>
    </w:p>
    <w:p w:rsidR="002C1123" w:rsidRDefault="00F22F94">
      <w:pPr>
        <w:spacing w:before="107"/>
        <w:ind w:left="110"/>
        <w:rPr>
          <w:b/>
          <w:sz w:val="18"/>
        </w:rPr>
      </w:pPr>
      <w:bookmarkStart w:id="419" w:name="_bookmark299"/>
      <w:bookmarkEnd w:id="419"/>
      <w:r>
        <w:rPr>
          <w:b/>
          <w:sz w:val="18"/>
        </w:rPr>
        <w:t>Figure</w:t>
      </w:r>
      <w:r>
        <w:rPr>
          <w:b/>
          <w:spacing w:val="-21"/>
          <w:sz w:val="18"/>
        </w:rPr>
        <w:t xml:space="preserve"> </w:t>
      </w:r>
      <w:r>
        <w:rPr>
          <w:b/>
          <w:sz w:val="18"/>
        </w:rPr>
        <w:t>16.2</w:t>
      </w:r>
      <w:r>
        <w:rPr>
          <w:b/>
          <w:spacing w:val="9"/>
          <w:sz w:val="18"/>
        </w:rPr>
        <w:t xml:space="preserve"> </w:t>
      </w:r>
      <w:r>
        <w:rPr>
          <w:b/>
          <w:sz w:val="18"/>
        </w:rPr>
        <w:t>Major</w:t>
      </w:r>
      <w:r>
        <w:rPr>
          <w:b/>
          <w:spacing w:val="-21"/>
          <w:sz w:val="18"/>
        </w:rPr>
        <w:t xml:space="preserve"> </w:t>
      </w:r>
      <w:r>
        <w:rPr>
          <w:b/>
          <w:sz w:val="18"/>
        </w:rPr>
        <w:t>projects</w:t>
      </w:r>
      <w:r>
        <w:rPr>
          <w:b/>
          <w:spacing w:val="-21"/>
          <w:sz w:val="18"/>
        </w:rPr>
        <w:t xml:space="preserve"> </w:t>
      </w:r>
      <w:r>
        <w:rPr>
          <w:b/>
          <w:sz w:val="18"/>
        </w:rPr>
        <w:t>assurance</w:t>
      </w:r>
      <w:r>
        <w:rPr>
          <w:b/>
          <w:spacing w:val="-21"/>
          <w:sz w:val="18"/>
        </w:rPr>
        <w:t xml:space="preserve"> </w:t>
      </w:r>
      <w:r>
        <w:rPr>
          <w:b/>
          <w:spacing w:val="-2"/>
          <w:sz w:val="18"/>
        </w:rPr>
        <w:t>framework</w:t>
      </w:r>
    </w:p>
    <w:p w:rsidR="002C1123" w:rsidRDefault="002C1123">
      <w:pPr>
        <w:pStyle w:val="BodyText"/>
        <w:spacing w:before="6"/>
        <w:rPr>
          <w:b/>
          <w:sz w:val="28"/>
        </w:rPr>
      </w:pPr>
    </w:p>
    <w:p w:rsidR="002C1123" w:rsidRDefault="00F22F94">
      <w:pPr>
        <w:pStyle w:val="Heading3"/>
      </w:pPr>
      <w:r>
        <w:rPr>
          <w:color w:val="2E3092"/>
          <w:spacing w:val="-2"/>
          <w:w w:val="60"/>
        </w:rPr>
        <w:t>Objectives</w:t>
      </w:r>
    </w:p>
    <w:p w:rsidR="002C1123" w:rsidRDefault="00F22F94">
      <w:pPr>
        <w:spacing w:before="6" w:line="264" w:lineRule="auto"/>
        <w:ind w:left="110" w:right="64"/>
        <w:rPr>
          <w:sz w:val="15"/>
        </w:rPr>
      </w:pPr>
      <w:r>
        <w:rPr>
          <w:sz w:val="15"/>
        </w:rPr>
        <w:t>Develop</w:t>
      </w:r>
      <w:r>
        <w:rPr>
          <w:spacing w:val="-12"/>
          <w:sz w:val="15"/>
        </w:rPr>
        <w:t xml:space="preserve"> </w:t>
      </w:r>
      <w:r>
        <w:rPr>
          <w:sz w:val="15"/>
        </w:rPr>
        <w:t>a</w:t>
      </w:r>
      <w:r>
        <w:rPr>
          <w:spacing w:val="-12"/>
          <w:sz w:val="15"/>
        </w:rPr>
        <w:t xml:space="preserve"> </w:t>
      </w:r>
      <w:r>
        <w:rPr>
          <w:sz w:val="15"/>
        </w:rPr>
        <w:t>framework</w:t>
      </w:r>
      <w:r>
        <w:rPr>
          <w:spacing w:val="-12"/>
          <w:sz w:val="15"/>
        </w:rPr>
        <w:t xml:space="preserve"> </w:t>
      </w:r>
      <w:r>
        <w:rPr>
          <w:sz w:val="15"/>
        </w:rPr>
        <w:t>to</w:t>
      </w:r>
      <w:r>
        <w:rPr>
          <w:spacing w:val="-12"/>
          <w:sz w:val="15"/>
        </w:rPr>
        <w:t xml:space="preserve"> </w:t>
      </w:r>
      <w:r>
        <w:rPr>
          <w:sz w:val="15"/>
        </w:rPr>
        <w:t>increase</w:t>
      </w:r>
      <w:r>
        <w:rPr>
          <w:spacing w:val="-12"/>
          <w:sz w:val="15"/>
        </w:rPr>
        <w:t xml:space="preserve"> </w:t>
      </w:r>
      <w:r>
        <w:rPr>
          <w:sz w:val="15"/>
        </w:rPr>
        <w:t>confidence</w:t>
      </w:r>
      <w:r>
        <w:rPr>
          <w:spacing w:val="-12"/>
          <w:sz w:val="15"/>
        </w:rPr>
        <w:t xml:space="preserve"> </w:t>
      </w:r>
      <w:r>
        <w:rPr>
          <w:sz w:val="15"/>
        </w:rPr>
        <w:t>and</w:t>
      </w:r>
      <w:r>
        <w:rPr>
          <w:spacing w:val="-12"/>
          <w:sz w:val="15"/>
        </w:rPr>
        <w:t xml:space="preserve"> </w:t>
      </w:r>
      <w:r>
        <w:rPr>
          <w:sz w:val="15"/>
        </w:rPr>
        <w:t>assurance</w:t>
      </w:r>
      <w:r>
        <w:rPr>
          <w:spacing w:val="-12"/>
          <w:sz w:val="15"/>
        </w:rPr>
        <w:t xml:space="preserve"> </w:t>
      </w:r>
      <w:r>
        <w:rPr>
          <w:sz w:val="15"/>
        </w:rPr>
        <w:t xml:space="preserve">in </w:t>
      </w:r>
      <w:r>
        <w:rPr>
          <w:w w:val="95"/>
          <w:sz w:val="15"/>
        </w:rPr>
        <w:t>planning and implementation of selected major projects through their</w:t>
      </w:r>
      <w:r>
        <w:rPr>
          <w:sz w:val="15"/>
        </w:rPr>
        <w:t xml:space="preserve"> entire</w:t>
      </w:r>
      <w:r>
        <w:rPr>
          <w:spacing w:val="-9"/>
          <w:sz w:val="15"/>
        </w:rPr>
        <w:t xml:space="preserve"> </w:t>
      </w:r>
      <w:r>
        <w:rPr>
          <w:sz w:val="15"/>
        </w:rPr>
        <w:t>lifecycle,</w:t>
      </w:r>
      <w:r>
        <w:rPr>
          <w:spacing w:val="-9"/>
          <w:sz w:val="15"/>
        </w:rPr>
        <w:t xml:space="preserve"> </w:t>
      </w:r>
      <w:r>
        <w:rPr>
          <w:sz w:val="15"/>
        </w:rPr>
        <w:t>specifically;</w:t>
      </w:r>
    </w:p>
    <w:p w:rsidR="002C1123" w:rsidRDefault="00F22F94">
      <w:pPr>
        <w:pStyle w:val="ListParagraph"/>
        <w:numPr>
          <w:ilvl w:val="0"/>
          <w:numId w:val="18"/>
        </w:numPr>
        <w:tabs>
          <w:tab w:val="left" w:pos="252"/>
        </w:tabs>
        <w:spacing w:before="15"/>
        <w:rPr>
          <w:sz w:val="15"/>
        </w:rPr>
      </w:pPr>
      <w:r>
        <w:rPr>
          <w:w w:val="95"/>
          <w:sz w:val="15"/>
        </w:rPr>
        <w:t>Prevent</w:t>
      </w:r>
      <w:r>
        <w:rPr>
          <w:spacing w:val="-7"/>
          <w:w w:val="95"/>
          <w:sz w:val="15"/>
        </w:rPr>
        <w:t xml:space="preserve"> </w:t>
      </w:r>
      <w:r>
        <w:rPr>
          <w:w w:val="95"/>
          <w:sz w:val="15"/>
        </w:rPr>
        <w:t>projects</w:t>
      </w:r>
      <w:r>
        <w:rPr>
          <w:spacing w:val="-7"/>
          <w:w w:val="95"/>
          <w:sz w:val="15"/>
        </w:rPr>
        <w:t xml:space="preserve"> </w:t>
      </w:r>
      <w:r>
        <w:rPr>
          <w:w w:val="95"/>
          <w:sz w:val="15"/>
        </w:rPr>
        <w:t>failing</w:t>
      </w:r>
      <w:r>
        <w:rPr>
          <w:spacing w:val="-7"/>
          <w:w w:val="95"/>
          <w:sz w:val="15"/>
        </w:rPr>
        <w:t xml:space="preserve"> </w:t>
      </w:r>
      <w:r>
        <w:rPr>
          <w:w w:val="95"/>
          <w:sz w:val="15"/>
        </w:rPr>
        <w:t>or</w:t>
      </w:r>
      <w:r>
        <w:rPr>
          <w:spacing w:val="-7"/>
          <w:w w:val="95"/>
          <w:sz w:val="15"/>
        </w:rPr>
        <w:t xml:space="preserve"> </w:t>
      </w:r>
      <w:r>
        <w:rPr>
          <w:w w:val="95"/>
          <w:sz w:val="15"/>
        </w:rPr>
        <w:t>not</w:t>
      </w:r>
      <w:r>
        <w:rPr>
          <w:spacing w:val="-7"/>
          <w:w w:val="95"/>
          <w:sz w:val="15"/>
        </w:rPr>
        <w:t xml:space="preserve"> </w:t>
      </w:r>
      <w:r>
        <w:rPr>
          <w:w w:val="95"/>
          <w:sz w:val="15"/>
        </w:rPr>
        <w:t>realising</w:t>
      </w:r>
      <w:r>
        <w:rPr>
          <w:spacing w:val="-7"/>
          <w:w w:val="95"/>
          <w:sz w:val="15"/>
        </w:rPr>
        <w:t xml:space="preserve"> </w:t>
      </w:r>
      <w:r>
        <w:rPr>
          <w:w w:val="95"/>
          <w:sz w:val="15"/>
        </w:rPr>
        <w:t>their</w:t>
      </w:r>
      <w:r>
        <w:rPr>
          <w:spacing w:val="-7"/>
          <w:w w:val="95"/>
          <w:sz w:val="15"/>
        </w:rPr>
        <w:t xml:space="preserve"> </w:t>
      </w:r>
      <w:r>
        <w:rPr>
          <w:w w:val="95"/>
          <w:sz w:val="15"/>
        </w:rPr>
        <w:t>stated</w:t>
      </w:r>
      <w:r>
        <w:rPr>
          <w:spacing w:val="-7"/>
          <w:w w:val="95"/>
          <w:sz w:val="15"/>
        </w:rPr>
        <w:t xml:space="preserve"> </w:t>
      </w:r>
      <w:r>
        <w:rPr>
          <w:w w:val="95"/>
          <w:sz w:val="15"/>
        </w:rPr>
        <w:t>objectives/</w:t>
      </w:r>
      <w:r>
        <w:rPr>
          <w:spacing w:val="-7"/>
          <w:w w:val="95"/>
          <w:sz w:val="15"/>
        </w:rPr>
        <w:t xml:space="preserve"> </w:t>
      </w:r>
      <w:r>
        <w:rPr>
          <w:spacing w:val="-2"/>
          <w:w w:val="95"/>
          <w:sz w:val="15"/>
        </w:rPr>
        <w:t>benefits.</w:t>
      </w:r>
    </w:p>
    <w:p w:rsidR="002C1123" w:rsidRDefault="00F22F94">
      <w:pPr>
        <w:pStyle w:val="ListParagraph"/>
        <w:numPr>
          <w:ilvl w:val="0"/>
          <w:numId w:val="18"/>
        </w:numPr>
        <w:tabs>
          <w:tab w:val="left" w:pos="258"/>
        </w:tabs>
        <w:spacing w:before="32"/>
        <w:ind w:left="257" w:hanging="148"/>
        <w:rPr>
          <w:sz w:val="15"/>
        </w:rPr>
      </w:pPr>
      <w:r>
        <w:rPr>
          <w:w w:val="90"/>
          <w:sz w:val="15"/>
        </w:rPr>
        <w:t>Improve</w:t>
      </w:r>
      <w:r>
        <w:rPr>
          <w:spacing w:val="5"/>
          <w:sz w:val="15"/>
        </w:rPr>
        <w:t xml:space="preserve"> </w:t>
      </w:r>
      <w:r>
        <w:rPr>
          <w:w w:val="90"/>
          <w:sz w:val="15"/>
        </w:rPr>
        <w:t>clarity</w:t>
      </w:r>
      <w:r>
        <w:rPr>
          <w:spacing w:val="6"/>
          <w:sz w:val="15"/>
        </w:rPr>
        <w:t xml:space="preserve"> </w:t>
      </w:r>
      <w:r>
        <w:rPr>
          <w:w w:val="90"/>
          <w:sz w:val="15"/>
        </w:rPr>
        <w:t>in</w:t>
      </w:r>
      <w:r>
        <w:rPr>
          <w:spacing w:val="5"/>
          <w:sz w:val="15"/>
        </w:rPr>
        <w:t xml:space="preserve"> </w:t>
      </w:r>
      <w:r>
        <w:rPr>
          <w:w w:val="90"/>
          <w:sz w:val="15"/>
        </w:rPr>
        <w:t>feasibility</w:t>
      </w:r>
      <w:r>
        <w:rPr>
          <w:spacing w:val="6"/>
          <w:sz w:val="15"/>
        </w:rPr>
        <w:t xml:space="preserve"> </w:t>
      </w:r>
      <w:r>
        <w:rPr>
          <w:w w:val="90"/>
          <w:sz w:val="15"/>
        </w:rPr>
        <w:t>phase</w:t>
      </w:r>
      <w:r>
        <w:rPr>
          <w:spacing w:val="6"/>
          <w:sz w:val="15"/>
        </w:rPr>
        <w:t xml:space="preserve"> </w:t>
      </w:r>
      <w:r>
        <w:rPr>
          <w:w w:val="90"/>
          <w:sz w:val="15"/>
        </w:rPr>
        <w:t>of</w:t>
      </w:r>
      <w:r>
        <w:rPr>
          <w:spacing w:val="5"/>
          <w:sz w:val="15"/>
        </w:rPr>
        <w:t xml:space="preserve"> </w:t>
      </w:r>
      <w:r>
        <w:rPr>
          <w:spacing w:val="-2"/>
          <w:w w:val="90"/>
          <w:sz w:val="15"/>
        </w:rPr>
        <w:t>projects.</w:t>
      </w:r>
    </w:p>
    <w:p w:rsidR="002C1123" w:rsidRDefault="00F22F94">
      <w:pPr>
        <w:pStyle w:val="ListParagraph"/>
        <w:numPr>
          <w:ilvl w:val="0"/>
          <w:numId w:val="18"/>
        </w:numPr>
        <w:tabs>
          <w:tab w:val="left" w:pos="262"/>
        </w:tabs>
        <w:spacing w:before="32"/>
        <w:ind w:left="261" w:hanging="152"/>
        <w:rPr>
          <w:sz w:val="15"/>
        </w:rPr>
      </w:pPr>
      <w:r>
        <w:rPr>
          <w:w w:val="95"/>
          <w:sz w:val="15"/>
        </w:rPr>
        <w:t>Drive</w:t>
      </w:r>
      <w:r>
        <w:rPr>
          <w:spacing w:val="-9"/>
          <w:w w:val="95"/>
          <w:sz w:val="15"/>
        </w:rPr>
        <w:t xml:space="preserve"> </w:t>
      </w:r>
      <w:r>
        <w:rPr>
          <w:w w:val="95"/>
          <w:sz w:val="15"/>
        </w:rPr>
        <w:t>better</w:t>
      </w:r>
      <w:r>
        <w:rPr>
          <w:spacing w:val="-9"/>
          <w:w w:val="95"/>
          <w:sz w:val="15"/>
        </w:rPr>
        <w:t xml:space="preserve"> </w:t>
      </w:r>
      <w:r>
        <w:rPr>
          <w:spacing w:val="-2"/>
          <w:w w:val="95"/>
          <w:sz w:val="15"/>
        </w:rPr>
        <w:t>governance.</w:t>
      </w:r>
    </w:p>
    <w:p w:rsidR="002C1123" w:rsidRDefault="00F22F94">
      <w:pPr>
        <w:pStyle w:val="ListParagraph"/>
        <w:numPr>
          <w:ilvl w:val="0"/>
          <w:numId w:val="18"/>
        </w:numPr>
        <w:tabs>
          <w:tab w:val="left" w:pos="260"/>
        </w:tabs>
        <w:spacing w:before="42"/>
        <w:ind w:left="259" w:hanging="150"/>
        <w:rPr>
          <w:sz w:val="15"/>
        </w:rPr>
      </w:pPr>
      <w:r>
        <w:rPr>
          <w:w w:val="90"/>
          <w:sz w:val="15"/>
        </w:rPr>
        <w:t>Inform</w:t>
      </w:r>
      <w:r>
        <w:rPr>
          <w:spacing w:val="1"/>
          <w:sz w:val="15"/>
        </w:rPr>
        <w:t xml:space="preserve"> </w:t>
      </w:r>
      <w:r>
        <w:rPr>
          <w:w w:val="90"/>
          <w:sz w:val="15"/>
        </w:rPr>
        <w:t>CIC</w:t>
      </w:r>
      <w:r>
        <w:rPr>
          <w:spacing w:val="3"/>
          <w:sz w:val="15"/>
        </w:rPr>
        <w:t xml:space="preserve"> </w:t>
      </w:r>
      <w:r>
        <w:rPr>
          <w:spacing w:val="-2"/>
          <w:w w:val="90"/>
          <w:sz w:val="15"/>
        </w:rPr>
        <w:t>intervention.</w:t>
      </w:r>
    </w:p>
    <w:p w:rsidR="002C1123" w:rsidRDefault="00F22F94">
      <w:pPr>
        <w:spacing w:before="9"/>
        <w:rPr>
          <w:sz w:val="55"/>
        </w:rPr>
      </w:pPr>
      <w:r>
        <w:br w:type="column"/>
      </w:r>
    </w:p>
    <w:p w:rsidR="002C1123" w:rsidRDefault="00F22F94">
      <w:pPr>
        <w:pStyle w:val="Heading3"/>
      </w:pPr>
      <w:r>
        <w:rPr>
          <w:color w:val="2E3092"/>
          <w:spacing w:val="-2"/>
          <w:w w:val="65"/>
        </w:rPr>
        <w:t>Benefits</w:t>
      </w:r>
    </w:p>
    <w:p w:rsidR="002C1123" w:rsidRDefault="00F22F94">
      <w:pPr>
        <w:pStyle w:val="ListParagraph"/>
        <w:numPr>
          <w:ilvl w:val="0"/>
          <w:numId w:val="17"/>
        </w:numPr>
        <w:tabs>
          <w:tab w:val="left" w:pos="252"/>
        </w:tabs>
        <w:spacing w:before="7" w:line="264" w:lineRule="auto"/>
        <w:ind w:right="6990"/>
        <w:rPr>
          <w:sz w:val="15"/>
        </w:rPr>
      </w:pPr>
      <w:r>
        <w:rPr>
          <w:w w:val="95"/>
          <w:sz w:val="15"/>
        </w:rPr>
        <w:t>Leverage</w:t>
      </w:r>
      <w:r>
        <w:rPr>
          <w:spacing w:val="-6"/>
          <w:w w:val="95"/>
          <w:sz w:val="15"/>
        </w:rPr>
        <w:t xml:space="preserve"> </w:t>
      </w:r>
      <w:r>
        <w:rPr>
          <w:w w:val="95"/>
          <w:sz w:val="15"/>
        </w:rPr>
        <w:t>from</w:t>
      </w:r>
      <w:r>
        <w:rPr>
          <w:spacing w:val="-7"/>
          <w:w w:val="95"/>
          <w:sz w:val="15"/>
        </w:rPr>
        <w:t xml:space="preserve"> </w:t>
      </w:r>
      <w:r>
        <w:rPr>
          <w:w w:val="95"/>
          <w:sz w:val="15"/>
        </w:rPr>
        <w:t>existing</w:t>
      </w:r>
      <w:r>
        <w:rPr>
          <w:spacing w:val="-6"/>
          <w:w w:val="95"/>
          <w:sz w:val="15"/>
        </w:rPr>
        <w:t xml:space="preserve"> </w:t>
      </w:r>
      <w:r>
        <w:rPr>
          <w:w w:val="95"/>
          <w:sz w:val="15"/>
        </w:rPr>
        <w:t>NSW</w:t>
      </w:r>
      <w:r>
        <w:rPr>
          <w:spacing w:val="-6"/>
          <w:w w:val="95"/>
          <w:sz w:val="15"/>
        </w:rPr>
        <w:t xml:space="preserve"> </w:t>
      </w:r>
      <w:r>
        <w:rPr>
          <w:w w:val="95"/>
          <w:sz w:val="15"/>
        </w:rPr>
        <w:t>Government</w:t>
      </w:r>
      <w:r>
        <w:rPr>
          <w:spacing w:val="-6"/>
          <w:w w:val="95"/>
          <w:sz w:val="15"/>
        </w:rPr>
        <w:t xml:space="preserve"> </w:t>
      </w:r>
      <w:r>
        <w:rPr>
          <w:w w:val="95"/>
          <w:sz w:val="15"/>
        </w:rPr>
        <w:t>assurance</w:t>
      </w:r>
      <w:r>
        <w:rPr>
          <w:spacing w:val="-6"/>
          <w:w w:val="95"/>
          <w:sz w:val="15"/>
        </w:rPr>
        <w:t xml:space="preserve"> </w:t>
      </w:r>
      <w:r>
        <w:rPr>
          <w:w w:val="95"/>
          <w:sz w:val="15"/>
        </w:rPr>
        <w:t>and</w:t>
      </w:r>
      <w:r>
        <w:rPr>
          <w:sz w:val="15"/>
        </w:rPr>
        <w:t xml:space="preserve"> reporting</w:t>
      </w:r>
      <w:r>
        <w:rPr>
          <w:spacing w:val="-15"/>
          <w:sz w:val="15"/>
        </w:rPr>
        <w:t xml:space="preserve"> </w:t>
      </w:r>
      <w:r>
        <w:rPr>
          <w:sz w:val="15"/>
        </w:rPr>
        <w:t>frameworks.</w:t>
      </w:r>
    </w:p>
    <w:p w:rsidR="002C1123" w:rsidRDefault="00F22F94">
      <w:pPr>
        <w:pStyle w:val="ListParagraph"/>
        <w:numPr>
          <w:ilvl w:val="0"/>
          <w:numId w:val="17"/>
        </w:numPr>
        <w:tabs>
          <w:tab w:val="left" w:pos="258"/>
        </w:tabs>
        <w:spacing w:before="15"/>
        <w:ind w:left="257" w:hanging="148"/>
        <w:rPr>
          <w:sz w:val="15"/>
        </w:rPr>
      </w:pPr>
      <w:r>
        <w:rPr>
          <w:w w:val="95"/>
          <w:sz w:val="15"/>
        </w:rPr>
        <w:t>Visibility</w:t>
      </w:r>
      <w:r>
        <w:rPr>
          <w:spacing w:val="-5"/>
          <w:w w:val="95"/>
          <w:sz w:val="15"/>
        </w:rPr>
        <w:t xml:space="preserve"> </w:t>
      </w:r>
      <w:r>
        <w:rPr>
          <w:w w:val="95"/>
          <w:sz w:val="15"/>
        </w:rPr>
        <w:t>and</w:t>
      </w:r>
      <w:r>
        <w:rPr>
          <w:spacing w:val="-4"/>
          <w:w w:val="95"/>
          <w:sz w:val="15"/>
        </w:rPr>
        <w:t xml:space="preserve"> </w:t>
      </w:r>
      <w:r>
        <w:rPr>
          <w:w w:val="95"/>
          <w:sz w:val="15"/>
        </w:rPr>
        <w:t>transparency</w:t>
      </w:r>
      <w:r>
        <w:rPr>
          <w:spacing w:val="-4"/>
          <w:w w:val="95"/>
          <w:sz w:val="15"/>
        </w:rPr>
        <w:t xml:space="preserve"> </w:t>
      </w:r>
      <w:r>
        <w:rPr>
          <w:w w:val="95"/>
          <w:sz w:val="15"/>
        </w:rPr>
        <w:t>for</w:t>
      </w:r>
      <w:r>
        <w:rPr>
          <w:spacing w:val="-4"/>
          <w:w w:val="95"/>
          <w:sz w:val="15"/>
        </w:rPr>
        <w:t xml:space="preserve"> </w:t>
      </w:r>
      <w:r>
        <w:rPr>
          <w:w w:val="95"/>
          <w:sz w:val="15"/>
        </w:rPr>
        <w:t>respective</w:t>
      </w:r>
      <w:r>
        <w:rPr>
          <w:spacing w:val="-4"/>
          <w:w w:val="95"/>
          <w:sz w:val="15"/>
        </w:rPr>
        <w:t xml:space="preserve"> </w:t>
      </w:r>
      <w:r>
        <w:rPr>
          <w:w w:val="95"/>
          <w:sz w:val="15"/>
        </w:rPr>
        <w:t>stakeholders</w:t>
      </w:r>
      <w:r>
        <w:rPr>
          <w:spacing w:val="-5"/>
          <w:w w:val="95"/>
          <w:sz w:val="15"/>
        </w:rPr>
        <w:t xml:space="preserve"> </w:t>
      </w:r>
      <w:r>
        <w:rPr>
          <w:w w:val="95"/>
          <w:sz w:val="15"/>
        </w:rPr>
        <w:t>across</w:t>
      </w:r>
      <w:r>
        <w:rPr>
          <w:spacing w:val="-4"/>
          <w:w w:val="95"/>
          <w:sz w:val="15"/>
        </w:rPr>
        <w:t xml:space="preserve"> </w:t>
      </w:r>
      <w:r>
        <w:rPr>
          <w:spacing w:val="-2"/>
          <w:w w:val="95"/>
          <w:sz w:val="15"/>
        </w:rPr>
        <w:t>government.</w:t>
      </w:r>
    </w:p>
    <w:p w:rsidR="002C1123" w:rsidRDefault="00F22F94">
      <w:pPr>
        <w:pStyle w:val="ListParagraph"/>
        <w:numPr>
          <w:ilvl w:val="0"/>
          <w:numId w:val="17"/>
        </w:numPr>
        <w:tabs>
          <w:tab w:val="left" w:pos="262"/>
        </w:tabs>
        <w:spacing w:before="31" w:line="264" w:lineRule="auto"/>
        <w:ind w:left="261" w:right="6159" w:hanging="151"/>
        <w:rPr>
          <w:sz w:val="15"/>
        </w:rPr>
      </w:pPr>
      <w:r>
        <w:rPr>
          <w:w w:val="95"/>
          <w:sz w:val="15"/>
        </w:rPr>
        <w:t>Opportunity for early detection of potential symptoms and root causes</w:t>
      </w:r>
      <w:r>
        <w:rPr>
          <w:sz w:val="15"/>
        </w:rPr>
        <w:t xml:space="preserve"> of</w:t>
      </w:r>
      <w:r>
        <w:rPr>
          <w:spacing w:val="40"/>
          <w:sz w:val="15"/>
        </w:rPr>
        <w:t xml:space="preserve"> </w:t>
      </w:r>
      <w:r>
        <w:rPr>
          <w:sz w:val="15"/>
        </w:rPr>
        <w:t>project distress/ failure.</w:t>
      </w:r>
    </w:p>
    <w:p w:rsidR="002C1123" w:rsidRDefault="00F22F94">
      <w:pPr>
        <w:pStyle w:val="ListParagraph"/>
        <w:numPr>
          <w:ilvl w:val="0"/>
          <w:numId w:val="17"/>
        </w:numPr>
        <w:tabs>
          <w:tab w:val="left" w:pos="260"/>
        </w:tabs>
        <w:spacing w:before="25"/>
        <w:ind w:left="259" w:hanging="150"/>
        <w:rPr>
          <w:sz w:val="15"/>
        </w:rPr>
      </w:pPr>
      <w:r>
        <w:rPr>
          <w:w w:val="95"/>
          <w:sz w:val="15"/>
        </w:rPr>
        <w:t>Early</w:t>
      </w:r>
      <w:r>
        <w:rPr>
          <w:spacing w:val="-8"/>
          <w:w w:val="95"/>
          <w:sz w:val="15"/>
        </w:rPr>
        <w:t xml:space="preserve"> </w:t>
      </w:r>
      <w:r>
        <w:rPr>
          <w:w w:val="95"/>
          <w:sz w:val="15"/>
        </w:rPr>
        <w:t>intervention</w:t>
      </w:r>
      <w:r>
        <w:rPr>
          <w:spacing w:val="-8"/>
          <w:w w:val="95"/>
          <w:sz w:val="15"/>
        </w:rPr>
        <w:t xml:space="preserve"> </w:t>
      </w:r>
      <w:r>
        <w:rPr>
          <w:w w:val="95"/>
          <w:sz w:val="15"/>
        </w:rPr>
        <w:t>where</w:t>
      </w:r>
      <w:r>
        <w:rPr>
          <w:spacing w:val="-8"/>
          <w:w w:val="95"/>
          <w:sz w:val="15"/>
        </w:rPr>
        <w:t xml:space="preserve"> </w:t>
      </w:r>
      <w:r>
        <w:rPr>
          <w:w w:val="95"/>
          <w:sz w:val="15"/>
        </w:rPr>
        <w:t>problems</w:t>
      </w:r>
      <w:r>
        <w:rPr>
          <w:spacing w:val="-8"/>
          <w:w w:val="95"/>
          <w:sz w:val="15"/>
        </w:rPr>
        <w:t xml:space="preserve"> </w:t>
      </w:r>
      <w:r>
        <w:rPr>
          <w:w w:val="95"/>
          <w:sz w:val="15"/>
        </w:rPr>
        <w:t>are</w:t>
      </w:r>
      <w:r>
        <w:rPr>
          <w:spacing w:val="-8"/>
          <w:w w:val="95"/>
          <w:sz w:val="15"/>
        </w:rPr>
        <w:t xml:space="preserve"> </w:t>
      </w:r>
      <w:r>
        <w:rPr>
          <w:spacing w:val="-2"/>
          <w:w w:val="95"/>
          <w:sz w:val="15"/>
        </w:rPr>
        <w:t>detected.</w:t>
      </w:r>
    </w:p>
    <w:p w:rsidR="002C1123" w:rsidRDefault="00F22F94">
      <w:pPr>
        <w:pStyle w:val="ListParagraph"/>
        <w:numPr>
          <w:ilvl w:val="0"/>
          <w:numId w:val="17"/>
        </w:numPr>
        <w:tabs>
          <w:tab w:val="left" w:pos="265"/>
        </w:tabs>
        <w:spacing w:before="32"/>
        <w:ind w:left="264" w:hanging="155"/>
        <w:rPr>
          <w:sz w:val="16"/>
        </w:rPr>
      </w:pPr>
      <w:r>
        <w:rPr>
          <w:w w:val="95"/>
          <w:sz w:val="16"/>
        </w:rPr>
        <w:t>Enhanced</w:t>
      </w:r>
      <w:r>
        <w:rPr>
          <w:spacing w:val="-18"/>
          <w:w w:val="95"/>
          <w:sz w:val="16"/>
        </w:rPr>
        <w:t xml:space="preserve"> </w:t>
      </w:r>
      <w:r>
        <w:rPr>
          <w:w w:val="95"/>
          <w:sz w:val="16"/>
        </w:rPr>
        <w:t>investment</w:t>
      </w:r>
      <w:r>
        <w:rPr>
          <w:spacing w:val="-17"/>
          <w:w w:val="95"/>
          <w:sz w:val="16"/>
        </w:rPr>
        <w:t xml:space="preserve"> </w:t>
      </w:r>
      <w:r>
        <w:rPr>
          <w:w w:val="95"/>
          <w:sz w:val="16"/>
        </w:rPr>
        <w:t>decision</w:t>
      </w:r>
      <w:r>
        <w:rPr>
          <w:spacing w:val="-18"/>
          <w:w w:val="95"/>
          <w:sz w:val="16"/>
        </w:rPr>
        <w:t xml:space="preserve"> </w:t>
      </w:r>
      <w:r>
        <w:rPr>
          <w:w w:val="95"/>
          <w:sz w:val="16"/>
        </w:rPr>
        <w:t>making</w:t>
      </w:r>
      <w:r>
        <w:rPr>
          <w:spacing w:val="-17"/>
          <w:w w:val="95"/>
          <w:sz w:val="16"/>
        </w:rPr>
        <w:t xml:space="preserve"> </w:t>
      </w:r>
      <w:r>
        <w:rPr>
          <w:w w:val="95"/>
          <w:sz w:val="16"/>
        </w:rPr>
        <w:t>and</w:t>
      </w:r>
      <w:r>
        <w:rPr>
          <w:spacing w:val="-17"/>
          <w:w w:val="95"/>
          <w:sz w:val="16"/>
        </w:rPr>
        <w:t xml:space="preserve"> </w:t>
      </w:r>
      <w:r>
        <w:rPr>
          <w:w w:val="95"/>
          <w:sz w:val="16"/>
        </w:rPr>
        <w:t>project</w:t>
      </w:r>
      <w:r>
        <w:rPr>
          <w:spacing w:val="-18"/>
          <w:w w:val="95"/>
          <w:sz w:val="16"/>
        </w:rPr>
        <w:t xml:space="preserve"> </w:t>
      </w:r>
      <w:r>
        <w:rPr>
          <w:spacing w:val="-2"/>
          <w:w w:val="95"/>
          <w:sz w:val="16"/>
        </w:rPr>
        <w:t>governance.</w:t>
      </w:r>
    </w:p>
    <w:p w:rsidR="002C1123" w:rsidRDefault="002C1123">
      <w:pPr>
        <w:rPr>
          <w:sz w:val="16"/>
        </w:rPr>
        <w:sectPr w:rsidR="002C1123">
          <w:type w:val="continuous"/>
          <w:pgSz w:w="16840" w:h="11910" w:orient="landscape"/>
          <w:pgMar w:top="560" w:right="280" w:bottom="280" w:left="500" w:header="0" w:footer="517" w:gutter="0"/>
          <w:cols w:num="2" w:space="720" w:equalWidth="0">
            <w:col w:w="4741" w:space="460"/>
            <w:col w:w="10859"/>
          </w:cols>
        </w:sectPr>
      </w:pPr>
    </w:p>
    <w:p w:rsidR="002C1123" w:rsidRDefault="002C1123">
      <w:pPr>
        <w:pStyle w:val="BodyText"/>
        <w:spacing w:before="10"/>
        <w:rPr>
          <w:sz w:val="17"/>
        </w:rPr>
      </w:pPr>
    </w:p>
    <w:p w:rsidR="002C1123" w:rsidRDefault="002060EF">
      <w:pPr>
        <w:pStyle w:val="BodyText"/>
        <w:ind w:left="105"/>
      </w:pPr>
      <w:r>
        <w:pict>
          <v:group id="docshapegroup2917" o:spid="_x0000_s1071" style="width:669pt;height:79.1pt;mso-position-horizontal-relative:char;mso-position-vertical-relative:line" coordsize="13380,1582">
            <v:shape id="docshape2918" o:spid="_x0000_s1106" style="position:absolute;left:1757;top:356;width:11010;height:813" coordorigin="1758,356" coordsize="11010,813" path="m12581,356r-10823,l1758,1169r10823,l12767,762,12581,356xe" fillcolor="#e1e0e1" stroked="f">
              <v:path arrowok="t"/>
            </v:shape>
            <v:line id="_x0000_s1105" style="position:absolute" from="1768,1218" to="1768,1539" strokecolor="#00aeef" strokeweight="1pt"/>
            <v:line id="_x0000_s1104" style="position:absolute" from="3517,1218" to="3517,1539" strokecolor="#00aeef" strokeweight="1pt"/>
            <v:line id="_x0000_s1103" style="position:absolute" from="5329,1218" to="5329,1539" strokecolor="#00aeef" strokeweight="1pt"/>
            <v:line id="_x0000_s1102" style="position:absolute" from="7124,1218" to="7124,1539" strokecolor="#00aeef" strokeweight="1pt"/>
            <v:line id="_x0000_s1101" style="position:absolute" from="8952,1218" to="8952,1539" strokecolor="#00aeef" strokeweight="1pt"/>
            <v:line id="_x0000_s1100" style="position:absolute" from="10742,1218" to="10742,1534" strokecolor="#00aeef" strokeweight="1pt"/>
            <v:line id="_x0000_s1099" style="position:absolute" from="12596,1210" to="12596,1539" strokecolor="#00aeef" strokeweight="1pt"/>
            <v:line id="_x0000_s1098" style="position:absolute" from="4224,150" to="5248,150" strokecolor="#00aeef" strokeweight="1pt"/>
            <v:line id="_x0000_s1097" style="position:absolute" from="5250,88" to="5250,213" strokecolor="#00aeef" strokeweight="1pt"/>
            <v:shape id="docshape2919" o:spid="_x0000_s1096" style="position:absolute;left:5292;top:311;width:212;height:886" coordorigin="5293,312" coordsize="212,886" path="m5293,312r212,443l5293,1197e" filled="f" strokecolor="white" strokeweight="3pt">
              <v:path arrowok="t"/>
            </v:shape>
            <v:shape id="docshape2920" o:spid="_x0000_s1095" style="position:absolute;left:7110;top:319;width:212;height:886" coordorigin="7111,320" coordsize="212,886" path="m7111,320r212,442l7111,1205e" filled="f" strokecolor="white" strokeweight="3pt">
              <v:path arrowok="t"/>
            </v:shape>
            <v:shape id="docshape2921" o:spid="_x0000_s1094" style="position:absolute;left:8937;top:319;width:212;height:886" coordorigin="8937,320" coordsize="212,886" path="m8937,320r212,442l8937,1205e" filled="f" strokecolor="white" strokeweight="3pt">
              <v:path arrowok="t"/>
            </v:shape>
            <v:shape id="docshape2922" o:spid="_x0000_s1093" style="position:absolute;left:10757;top:319;width:212;height:886" coordorigin="10758,320" coordsize="212,886" path="m10758,320r212,442l10758,1205e" filled="f" strokecolor="white" strokeweight="3pt">
              <v:path arrowok="t"/>
            </v:shape>
            <v:shape id="docshape2923" o:spid="_x0000_s1092" style="position:absolute;left:3508;top:312;width:212;height:886" coordorigin="3508,312" coordsize="212,886" path="m3508,312r212,443l3508,1198e" filled="f" strokecolor="white" strokeweight="3pt">
              <v:path arrowok="t"/>
            </v:shape>
            <v:line id="_x0000_s1091" style="position:absolute" from="10363,150" to="10729,150" strokecolor="#00aeef" strokeweight="1pt"/>
            <v:line id="_x0000_s1090" style="position:absolute" from="10732,88" to="10732,213" strokecolor="#00aeef" strokeweight="1pt"/>
            <v:line id="_x0000_s1089" style="position:absolute" from="11849,150" to="12591,150" strokecolor="#00aeef" strokeweight="1pt"/>
            <v:line id="_x0000_s1088" style="position:absolute" from="12594,88" to="12594,213" strokecolor="#00aeef" strokeweight="1pt"/>
            <v:line id="_x0000_s1087" style="position:absolute" from="6548,150" to="8883,150" strokecolor="#00aeef" strokeweight="1pt"/>
            <v:line id="_x0000_s1086" style="position:absolute" from="8885,88" to="8885,213" strokecolor="#00aeef" strokeweight="1pt"/>
            <v:line id="_x0000_s1085" style="position:absolute" from="0,263" to="13380,263" strokecolor="#9c9c9d" strokeweight=".5pt"/>
            <v:line id="_x0000_s1084" style="position:absolute" from="0,1577" to="13380,1577" strokecolor="#9c9c9d" strokeweight=".5pt"/>
            <v:shape id="docshape2924" o:spid="_x0000_s1083" type="#_x0000_t202" style="position:absolute;top:8;width:1107;height:168" filled="f" stroked="f">
              <v:textbox inset="0,0,0,0">
                <w:txbxContent>
                  <w:p w:rsidR="00F22F94" w:rsidRDefault="00F22F94">
                    <w:pPr>
                      <w:spacing w:before="5"/>
                      <w:rPr>
                        <w:b/>
                        <w:sz w:val="14"/>
                      </w:rPr>
                    </w:pPr>
                    <w:r>
                      <w:rPr>
                        <w:b/>
                        <w:sz w:val="14"/>
                      </w:rPr>
                      <w:t>Project</w:t>
                    </w:r>
                    <w:r>
                      <w:rPr>
                        <w:b/>
                        <w:spacing w:val="2"/>
                        <w:sz w:val="14"/>
                      </w:rPr>
                      <w:t xml:space="preserve"> </w:t>
                    </w:r>
                    <w:r>
                      <w:rPr>
                        <w:b/>
                        <w:spacing w:val="-2"/>
                        <w:sz w:val="14"/>
                      </w:rPr>
                      <w:t>lifecycle</w:t>
                    </w:r>
                  </w:p>
                </w:txbxContent>
              </v:textbox>
            </v:shape>
            <v:shape id="docshape2925" o:spid="_x0000_s1082" type="#_x0000_t202" style="position:absolute;left:1767;width:2444;height:215" filled="f" stroked="f">
              <v:textbox inset="0,0,0,0">
                <w:txbxContent>
                  <w:p w:rsidR="00F22F94" w:rsidRDefault="00F22F94">
                    <w:pPr>
                      <w:spacing w:before="6"/>
                      <w:rPr>
                        <w:b/>
                        <w:sz w:val="18"/>
                      </w:rPr>
                    </w:pPr>
                    <w:r>
                      <w:rPr>
                        <w:b/>
                        <w:color w:val="00AEEF"/>
                        <w:sz w:val="18"/>
                      </w:rPr>
                      <w:t>Identification</w:t>
                    </w:r>
                    <w:r>
                      <w:rPr>
                        <w:b/>
                        <w:color w:val="00AEEF"/>
                        <w:spacing w:val="-6"/>
                        <w:sz w:val="18"/>
                      </w:rPr>
                      <w:t xml:space="preserve"> </w:t>
                    </w:r>
                    <w:r>
                      <w:rPr>
                        <w:b/>
                        <w:color w:val="00AEEF"/>
                        <w:sz w:val="18"/>
                      </w:rPr>
                      <w:t>and</w:t>
                    </w:r>
                    <w:r>
                      <w:rPr>
                        <w:b/>
                        <w:color w:val="00AEEF"/>
                        <w:spacing w:val="-6"/>
                        <w:sz w:val="18"/>
                      </w:rPr>
                      <w:t xml:space="preserve"> </w:t>
                    </w:r>
                    <w:r>
                      <w:rPr>
                        <w:b/>
                        <w:color w:val="00AEEF"/>
                        <w:spacing w:val="-2"/>
                        <w:sz w:val="18"/>
                      </w:rPr>
                      <w:t>Feasibility</w:t>
                    </w:r>
                  </w:p>
                </w:txbxContent>
              </v:textbox>
            </v:shape>
            <v:shape id="docshape2926" o:spid="_x0000_s1081" type="#_x0000_t202" style="position:absolute;left:5353;width:1169;height:215" filled="f" stroked="f">
              <v:textbox inset="0,0,0,0">
                <w:txbxContent>
                  <w:p w:rsidR="00F22F94" w:rsidRDefault="00F22F94">
                    <w:pPr>
                      <w:spacing w:before="6"/>
                      <w:rPr>
                        <w:b/>
                        <w:sz w:val="18"/>
                      </w:rPr>
                    </w:pPr>
                    <w:r>
                      <w:rPr>
                        <w:b/>
                        <w:color w:val="00AEEF"/>
                        <w:spacing w:val="-2"/>
                        <w:sz w:val="18"/>
                      </w:rPr>
                      <w:t>Development</w:t>
                    </w:r>
                  </w:p>
                </w:txbxContent>
              </v:textbox>
            </v:shape>
            <v:shape id="docshape2927" o:spid="_x0000_s1080" type="#_x0000_t202" style="position:absolute;left:8997;width:2857;height:215" filled="f" stroked="f">
              <v:textbox inset="0,0,0,0">
                <w:txbxContent>
                  <w:p w:rsidR="00F22F94" w:rsidRDefault="00F22F94">
                    <w:pPr>
                      <w:tabs>
                        <w:tab w:val="left" w:pos="1830"/>
                      </w:tabs>
                      <w:spacing w:before="6"/>
                      <w:rPr>
                        <w:b/>
                        <w:sz w:val="18"/>
                      </w:rPr>
                    </w:pPr>
                    <w:r>
                      <w:rPr>
                        <w:b/>
                        <w:color w:val="00AEEF"/>
                        <w:spacing w:val="-2"/>
                        <w:sz w:val="18"/>
                      </w:rPr>
                      <w:t>Implementation</w:t>
                    </w:r>
                    <w:r>
                      <w:rPr>
                        <w:b/>
                        <w:color w:val="00AEEF"/>
                        <w:sz w:val="18"/>
                      </w:rPr>
                      <w:tab/>
                    </w:r>
                    <w:r>
                      <w:rPr>
                        <w:b/>
                        <w:color w:val="00AEEF"/>
                        <w:spacing w:val="-2"/>
                        <w:sz w:val="18"/>
                      </w:rPr>
                      <w:t>Finalisation</w:t>
                    </w:r>
                  </w:p>
                </w:txbxContent>
              </v:textbox>
            </v:shape>
            <v:shape id="docshape2928" o:spid="_x0000_s1079" type="#_x0000_t202" style="position:absolute;left:2100;top:651;width:1052;height:415" filled="f" stroked="f">
              <v:textbox inset="0,0,0,0">
                <w:txbxContent>
                  <w:p w:rsidR="00F22F94" w:rsidRDefault="00F22F94">
                    <w:pPr>
                      <w:spacing w:before="6" w:line="203" w:lineRule="exact"/>
                      <w:ind w:left="123"/>
                      <w:rPr>
                        <w:b/>
                        <w:sz w:val="18"/>
                      </w:rPr>
                    </w:pPr>
                    <w:r>
                      <w:rPr>
                        <w:b/>
                        <w:w w:val="95"/>
                        <w:sz w:val="18"/>
                      </w:rPr>
                      <w:t>nd</w:t>
                    </w:r>
                    <w:r>
                      <w:rPr>
                        <w:b/>
                        <w:spacing w:val="-6"/>
                        <w:w w:val="95"/>
                        <w:sz w:val="18"/>
                      </w:rPr>
                      <w:t xml:space="preserve"> </w:t>
                    </w:r>
                    <w:r>
                      <w:rPr>
                        <w:b/>
                        <w:spacing w:val="-2"/>
                        <w:sz w:val="18"/>
                      </w:rPr>
                      <w:t>options</w:t>
                    </w:r>
                  </w:p>
                  <w:p w:rsidR="00F22F94" w:rsidRDefault="00F22F94">
                    <w:pPr>
                      <w:spacing w:line="203" w:lineRule="exact"/>
                      <w:rPr>
                        <w:b/>
                        <w:sz w:val="18"/>
                      </w:rPr>
                    </w:pPr>
                    <w:r>
                      <w:rPr>
                        <w:b/>
                        <w:w w:val="103"/>
                        <w:sz w:val="18"/>
                      </w:rPr>
                      <w:t>a</w:t>
                    </w:r>
                  </w:p>
                </w:txbxContent>
              </v:textbox>
            </v:shape>
            <v:shape id="docshape2929" o:spid="_x0000_s1078" type="#_x0000_t202" style="position:absolute;left:2118;top:451;width:926;height:415" filled="f" stroked="f">
              <v:textbox inset="0,0,0,0">
                <w:txbxContent>
                  <w:p w:rsidR="00F22F94" w:rsidRDefault="00F22F94">
                    <w:pPr>
                      <w:spacing w:before="6" w:line="203" w:lineRule="exact"/>
                      <w:ind w:left="107"/>
                      <w:rPr>
                        <w:b/>
                        <w:sz w:val="18"/>
                      </w:rPr>
                    </w:pPr>
                    <w:r>
                      <w:rPr>
                        <w:b/>
                        <w:spacing w:val="-2"/>
                        <w:sz w:val="18"/>
                      </w:rPr>
                      <w:t>Strategic</w:t>
                    </w:r>
                  </w:p>
                  <w:p w:rsidR="00F22F94" w:rsidRDefault="00F22F94">
                    <w:pPr>
                      <w:spacing w:line="203" w:lineRule="exact"/>
                      <w:rPr>
                        <w:b/>
                        <w:sz w:val="18"/>
                      </w:rPr>
                    </w:pPr>
                    <w:r>
                      <w:rPr>
                        <w:b/>
                        <w:w w:val="103"/>
                        <w:sz w:val="18"/>
                      </w:rPr>
                      <w:t>a</w:t>
                    </w:r>
                  </w:p>
                </w:txbxContent>
              </v:textbox>
            </v:shape>
            <v:shape id="docshape2930" o:spid="_x0000_s1077" type="#_x0000_t202" style="position:absolute;left:4082;top:550;width:817;height:415" filled="f" stroked="f">
              <v:textbox inset="0,0,0,0">
                <w:txbxContent>
                  <w:p w:rsidR="00F22F94" w:rsidRDefault="00F22F94">
                    <w:pPr>
                      <w:spacing w:before="11" w:line="232" w:lineRule="auto"/>
                      <w:ind w:left="190" w:right="13" w:hanging="191"/>
                      <w:rPr>
                        <w:b/>
                        <w:sz w:val="18"/>
                      </w:rPr>
                    </w:pPr>
                    <w:r>
                      <w:rPr>
                        <w:b/>
                        <w:spacing w:val="-2"/>
                        <w:sz w:val="18"/>
                      </w:rPr>
                      <w:t xml:space="preserve">Business </w:t>
                    </w:r>
                    <w:r>
                      <w:rPr>
                        <w:b/>
                        <w:spacing w:val="-4"/>
                        <w:sz w:val="18"/>
                      </w:rPr>
                      <w:t>case</w:t>
                    </w:r>
                  </w:p>
                </w:txbxContent>
              </v:textbox>
            </v:shape>
            <v:shape id="docshape2931" o:spid="_x0000_s1076" type="#_x0000_t202" style="position:absolute;left:5832;top:550;width:1157;height:415" filled="f" stroked="f">
              <v:textbox inset="0,0,0,0">
                <w:txbxContent>
                  <w:p w:rsidR="00F22F94" w:rsidRDefault="00F22F94">
                    <w:pPr>
                      <w:spacing w:before="11" w:line="232" w:lineRule="auto"/>
                      <w:ind w:left="208" w:hanging="209"/>
                      <w:rPr>
                        <w:b/>
                        <w:sz w:val="18"/>
                      </w:rPr>
                    </w:pPr>
                    <w:r>
                      <w:rPr>
                        <w:b/>
                        <w:spacing w:val="-2"/>
                        <w:sz w:val="18"/>
                      </w:rPr>
                      <w:t>Procurement strategy</w:t>
                    </w:r>
                  </w:p>
                </w:txbxContent>
              </v:textbox>
            </v:shape>
            <v:shape id="docshape2932" o:spid="_x0000_s1075" type="#_x0000_t202" style="position:absolute;left:7746;top:550;width:856;height:415" filled="f" stroked="f">
              <v:textbox inset="0,0,0,0">
                <w:txbxContent>
                  <w:p w:rsidR="00F22F94" w:rsidRDefault="00F22F94">
                    <w:pPr>
                      <w:spacing w:before="11" w:line="232" w:lineRule="auto"/>
                      <w:ind w:firstLine="104"/>
                      <w:rPr>
                        <w:b/>
                        <w:sz w:val="18"/>
                      </w:rPr>
                    </w:pPr>
                    <w:r>
                      <w:rPr>
                        <w:b/>
                        <w:spacing w:val="-2"/>
                        <w:sz w:val="18"/>
                      </w:rPr>
                      <w:t>Project tendering</w:t>
                    </w:r>
                  </w:p>
                </w:txbxContent>
              </v:textbox>
            </v:shape>
            <v:shape id="docshape2933" o:spid="_x0000_s1074" type="#_x0000_t202" style="position:absolute;left:9276;top:550;width:1383;height:415" filled="f" stroked="f">
              <v:textbox inset="0,0,0,0">
                <w:txbxContent>
                  <w:p w:rsidR="00F22F94" w:rsidRDefault="00F22F94">
                    <w:pPr>
                      <w:spacing w:before="11" w:line="232" w:lineRule="auto"/>
                      <w:ind w:firstLine="320"/>
                      <w:rPr>
                        <w:b/>
                        <w:sz w:val="18"/>
                      </w:rPr>
                    </w:pPr>
                    <w:r>
                      <w:rPr>
                        <w:b/>
                        <w:spacing w:val="-2"/>
                        <w:sz w:val="18"/>
                      </w:rPr>
                      <w:t>Solution implementation</w:t>
                    </w:r>
                  </w:p>
                </w:txbxContent>
              </v:textbox>
            </v:shape>
            <v:shape id="docshape2934" o:spid="_x0000_s1073" type="#_x0000_t202" style="position:absolute;left:11292;top:650;width:992;height:215" filled="f" stroked="f">
              <v:textbox inset="0,0,0,0">
                <w:txbxContent>
                  <w:p w:rsidR="00F22F94" w:rsidRDefault="00F22F94">
                    <w:pPr>
                      <w:spacing w:before="6"/>
                      <w:rPr>
                        <w:b/>
                        <w:sz w:val="18"/>
                      </w:rPr>
                    </w:pPr>
                    <w:r>
                      <w:rPr>
                        <w:b/>
                        <w:spacing w:val="-2"/>
                        <w:sz w:val="18"/>
                      </w:rPr>
                      <w:t>Operations</w:t>
                    </w:r>
                  </w:p>
                </w:txbxContent>
              </v:textbox>
            </v:shape>
            <v:shape id="docshape2935" o:spid="_x0000_s1072" type="#_x0000_t202" style="position:absolute;left:2205;top:851;width:962;height:215" filled="f" stroked="f">
              <v:textbox inset="0,0,0,0">
                <w:txbxContent>
                  <w:p w:rsidR="00F22F94" w:rsidRDefault="00F22F94">
                    <w:pPr>
                      <w:spacing w:before="6"/>
                      <w:rPr>
                        <w:b/>
                        <w:sz w:val="18"/>
                      </w:rPr>
                    </w:pPr>
                    <w:r>
                      <w:rPr>
                        <w:b/>
                        <w:spacing w:val="-2"/>
                        <w:sz w:val="18"/>
                      </w:rPr>
                      <w:t>ssessment</w:t>
                    </w:r>
                  </w:p>
                </w:txbxContent>
              </v:textbox>
            </v:shape>
            <w10:anchorlock/>
          </v:group>
        </w:pict>
      </w:r>
    </w:p>
    <w:p w:rsidR="002C1123" w:rsidRDefault="002C1123">
      <w:pPr>
        <w:pStyle w:val="BodyText"/>
        <w:spacing w:before="4"/>
        <w:rPr>
          <w:sz w:val="10"/>
        </w:rPr>
      </w:pPr>
    </w:p>
    <w:p w:rsidR="002C1123" w:rsidRDefault="002C1123">
      <w:pPr>
        <w:rPr>
          <w:sz w:val="10"/>
        </w:rPr>
        <w:sectPr w:rsidR="002C1123">
          <w:type w:val="continuous"/>
          <w:pgSz w:w="16840" w:h="11910" w:orient="landscape"/>
          <w:pgMar w:top="560" w:right="280" w:bottom="280" w:left="500" w:header="0" w:footer="517" w:gutter="0"/>
          <w:cols w:space="720"/>
        </w:sectPr>
      </w:pPr>
    </w:p>
    <w:p w:rsidR="002C1123" w:rsidRDefault="002060EF">
      <w:pPr>
        <w:spacing w:before="105" w:line="268" w:lineRule="auto"/>
        <w:ind w:left="110" w:right="76"/>
        <w:rPr>
          <w:b/>
          <w:sz w:val="14"/>
        </w:rPr>
      </w:pPr>
      <w:r>
        <w:pict>
          <v:shape id="docshape2936" o:spid="_x0000_s1070" type="#_x0000_t202" style="position:absolute;left:0;text-align:left;margin-left:76.6pt;margin-top:-3.65pt;width:79.4pt;height:51.2pt;z-index:251773952;mso-position-horizontal-relative:page" fillcolor="#00aeef" stroked="f">
            <v:textbox inset="0,0,0,0">
              <w:txbxContent>
                <w:p w:rsidR="00F22F94" w:rsidRDefault="00F22F94">
                  <w:pPr>
                    <w:spacing w:before="46" w:line="547" w:lineRule="exact"/>
                    <w:jc w:val="center"/>
                    <w:rPr>
                      <w:rFonts w:ascii="Trebuchet MS"/>
                      <w:color w:val="000000"/>
                      <w:sz w:val="48"/>
                    </w:rPr>
                  </w:pPr>
                  <w:r>
                    <w:rPr>
                      <w:rFonts w:ascii="Trebuchet MS"/>
                      <w:color w:val="FFFFFF"/>
                      <w:w w:val="64"/>
                      <w:sz w:val="48"/>
                    </w:rPr>
                    <w:t>0</w:t>
                  </w:r>
                </w:p>
                <w:p w:rsidR="00F22F94" w:rsidRDefault="00F22F94">
                  <w:pPr>
                    <w:spacing w:line="150" w:lineRule="exact"/>
                    <w:ind w:left="104" w:right="104"/>
                    <w:jc w:val="center"/>
                    <w:rPr>
                      <w:color w:val="000000"/>
                      <w:sz w:val="14"/>
                    </w:rPr>
                  </w:pPr>
                  <w:r>
                    <w:rPr>
                      <w:color w:val="FFFFFF"/>
                      <w:sz w:val="14"/>
                    </w:rPr>
                    <w:t>Program/</w:t>
                  </w:r>
                  <w:r>
                    <w:rPr>
                      <w:color w:val="FFFFFF"/>
                      <w:spacing w:val="23"/>
                      <w:sz w:val="14"/>
                    </w:rPr>
                    <w:t xml:space="preserve"> </w:t>
                  </w:r>
                  <w:r>
                    <w:rPr>
                      <w:color w:val="FFFFFF"/>
                      <w:spacing w:val="-2"/>
                      <w:sz w:val="14"/>
                    </w:rPr>
                    <w:t>Project</w:t>
                  </w:r>
                </w:p>
                <w:p w:rsidR="00F22F94" w:rsidRDefault="00F22F94">
                  <w:pPr>
                    <w:spacing w:line="161" w:lineRule="exact"/>
                    <w:ind w:left="104" w:right="104"/>
                    <w:jc w:val="center"/>
                    <w:rPr>
                      <w:color w:val="000000"/>
                      <w:sz w:val="14"/>
                    </w:rPr>
                  </w:pPr>
                  <w:r>
                    <w:rPr>
                      <w:color w:val="FFFFFF"/>
                      <w:spacing w:val="-2"/>
                      <w:w w:val="105"/>
                      <w:sz w:val="14"/>
                    </w:rPr>
                    <w:t>justification</w:t>
                  </w:r>
                </w:p>
              </w:txbxContent>
            </v:textbox>
            <w10:wrap anchorx="page"/>
          </v:shape>
        </w:pict>
      </w:r>
      <w:r w:rsidR="00F22F94">
        <w:rPr>
          <w:b/>
          <w:spacing w:val="-2"/>
          <w:sz w:val="14"/>
        </w:rPr>
        <w:t>Major</w:t>
      </w:r>
      <w:r w:rsidR="00F22F94">
        <w:rPr>
          <w:b/>
          <w:spacing w:val="40"/>
          <w:sz w:val="14"/>
        </w:rPr>
        <w:t xml:space="preserve"> </w:t>
      </w:r>
      <w:r w:rsidR="00F22F94">
        <w:rPr>
          <w:b/>
          <w:spacing w:val="-2"/>
          <w:sz w:val="14"/>
        </w:rPr>
        <w:t>Projects</w:t>
      </w:r>
      <w:r w:rsidR="00F22F94">
        <w:rPr>
          <w:b/>
          <w:spacing w:val="40"/>
          <w:sz w:val="14"/>
        </w:rPr>
        <w:t xml:space="preserve"> </w:t>
      </w:r>
      <w:r w:rsidR="00F22F94">
        <w:rPr>
          <w:b/>
          <w:spacing w:val="-2"/>
          <w:sz w:val="14"/>
        </w:rPr>
        <w:t>Review</w:t>
      </w:r>
      <w:r w:rsidR="00F22F94">
        <w:rPr>
          <w:b/>
          <w:spacing w:val="40"/>
          <w:sz w:val="14"/>
        </w:rPr>
        <w:t xml:space="preserve"> </w:t>
      </w:r>
      <w:r w:rsidR="00F22F94">
        <w:rPr>
          <w:b/>
          <w:spacing w:val="-2"/>
          <w:sz w:val="14"/>
        </w:rPr>
        <w:t>Stages</w:t>
      </w:r>
    </w:p>
    <w:p w:rsidR="002C1123" w:rsidRDefault="002C1123">
      <w:pPr>
        <w:pStyle w:val="BodyText"/>
        <w:rPr>
          <w:b/>
          <w:sz w:val="16"/>
        </w:rPr>
      </w:pPr>
    </w:p>
    <w:p w:rsidR="002C1123" w:rsidRDefault="002C1123">
      <w:pPr>
        <w:pStyle w:val="BodyText"/>
        <w:rPr>
          <w:b/>
          <w:sz w:val="16"/>
        </w:rPr>
      </w:pPr>
    </w:p>
    <w:p w:rsidR="002C1123" w:rsidRDefault="002060EF">
      <w:pPr>
        <w:spacing w:before="94"/>
        <w:ind w:left="110"/>
        <w:rPr>
          <w:b/>
          <w:sz w:val="14"/>
        </w:rPr>
      </w:pPr>
      <w:r>
        <w:pict>
          <v:line id="_x0000_s1069" style="position:absolute;left:0;text-align:left;z-index:251761664;mso-position-horizontal-relative:page" from="30.5pt,-5.15pt" to="699.5pt,-5.15pt" strokecolor="#9c9c9d" strokeweight=".5pt">
            <w10:wrap anchorx="page"/>
          </v:line>
        </w:pict>
      </w:r>
      <w:r>
        <w:pict>
          <v:line id="_x0000_s1068" style="position:absolute;left:0;text-align:left;z-index:251763712;mso-position-horizontal-relative:page" from="30.5pt,19.85pt" to="699.5pt,19.85pt" strokecolor="#9c9c9d" strokeweight=".5pt">
            <w10:wrap anchorx="page"/>
          </v:line>
        </w:pict>
      </w:r>
      <w:r>
        <w:pict>
          <v:shape id="docshape2937" o:spid="_x0000_s1067" type="#_x0000_t202" style="position:absolute;left:0;text-align:left;margin-left:76.6pt;margin-top:23.6pt;width:79.4pt;height:75.15pt;z-index:251767808;mso-position-horizontal-relative:page" fillcolor="#e1e0e1" stroked="f">
            <v:textbox inset="0,0,0,0">
              <w:txbxContent>
                <w:p w:rsidR="00F22F94" w:rsidRDefault="00F22F94">
                  <w:pPr>
                    <w:numPr>
                      <w:ilvl w:val="0"/>
                      <w:numId w:val="8"/>
                    </w:numPr>
                    <w:tabs>
                      <w:tab w:val="left" w:pos="152"/>
                    </w:tabs>
                    <w:spacing w:before="82"/>
                    <w:rPr>
                      <w:color w:val="000000"/>
                      <w:sz w:val="14"/>
                    </w:rPr>
                  </w:pPr>
                  <w:r>
                    <w:rPr>
                      <w:color w:val="000000"/>
                      <w:spacing w:val="-5"/>
                      <w:sz w:val="14"/>
                    </w:rPr>
                    <w:t>Why</w:t>
                  </w:r>
                </w:p>
                <w:p w:rsidR="00F22F94" w:rsidRDefault="00F22F94">
                  <w:pPr>
                    <w:numPr>
                      <w:ilvl w:val="0"/>
                      <w:numId w:val="8"/>
                    </w:numPr>
                    <w:tabs>
                      <w:tab w:val="left" w:pos="152"/>
                    </w:tabs>
                    <w:spacing w:before="13"/>
                    <w:rPr>
                      <w:color w:val="000000"/>
                      <w:sz w:val="14"/>
                    </w:rPr>
                  </w:pPr>
                  <w:r>
                    <w:rPr>
                      <w:color w:val="000000"/>
                      <w:spacing w:val="-4"/>
                      <w:sz w:val="14"/>
                    </w:rPr>
                    <w:t>What</w:t>
                  </w:r>
                </w:p>
                <w:p w:rsidR="00F22F94" w:rsidRDefault="00F22F94">
                  <w:pPr>
                    <w:numPr>
                      <w:ilvl w:val="0"/>
                      <w:numId w:val="8"/>
                    </w:numPr>
                    <w:tabs>
                      <w:tab w:val="left" w:pos="152"/>
                    </w:tabs>
                    <w:spacing w:before="13"/>
                    <w:rPr>
                      <w:color w:val="000000"/>
                      <w:sz w:val="14"/>
                    </w:rPr>
                  </w:pPr>
                  <w:r>
                    <w:rPr>
                      <w:color w:val="000000"/>
                      <w:spacing w:val="-5"/>
                      <w:sz w:val="14"/>
                    </w:rPr>
                    <w:t>How</w:t>
                  </w:r>
                </w:p>
                <w:p w:rsidR="00F22F94" w:rsidRDefault="00F22F94">
                  <w:pPr>
                    <w:numPr>
                      <w:ilvl w:val="0"/>
                      <w:numId w:val="8"/>
                    </w:numPr>
                    <w:tabs>
                      <w:tab w:val="left" w:pos="152"/>
                    </w:tabs>
                    <w:spacing w:before="13"/>
                    <w:rPr>
                      <w:color w:val="000000"/>
                      <w:sz w:val="14"/>
                    </w:rPr>
                  </w:pPr>
                  <w:r>
                    <w:rPr>
                      <w:color w:val="000000"/>
                      <w:spacing w:val="-4"/>
                      <w:sz w:val="14"/>
                    </w:rPr>
                    <w:t>When</w:t>
                  </w:r>
                </w:p>
                <w:p w:rsidR="00F22F94" w:rsidRDefault="00F22F94">
                  <w:pPr>
                    <w:numPr>
                      <w:ilvl w:val="0"/>
                      <w:numId w:val="8"/>
                    </w:numPr>
                    <w:tabs>
                      <w:tab w:val="left" w:pos="152"/>
                    </w:tabs>
                    <w:spacing w:before="13"/>
                    <w:rPr>
                      <w:color w:val="000000"/>
                      <w:sz w:val="14"/>
                    </w:rPr>
                  </w:pPr>
                  <w:r>
                    <w:rPr>
                      <w:color w:val="000000"/>
                      <w:spacing w:val="-2"/>
                      <w:sz w:val="14"/>
                    </w:rPr>
                    <w:t>Options</w:t>
                  </w:r>
                </w:p>
                <w:p w:rsidR="00F22F94" w:rsidRDefault="00F22F94">
                  <w:pPr>
                    <w:numPr>
                      <w:ilvl w:val="0"/>
                      <w:numId w:val="8"/>
                    </w:numPr>
                    <w:tabs>
                      <w:tab w:val="left" w:pos="152"/>
                    </w:tabs>
                    <w:spacing w:before="14"/>
                    <w:rPr>
                      <w:color w:val="000000"/>
                      <w:sz w:val="14"/>
                    </w:rPr>
                  </w:pPr>
                  <w:r>
                    <w:rPr>
                      <w:color w:val="000000"/>
                      <w:spacing w:val="-2"/>
                      <w:sz w:val="14"/>
                    </w:rPr>
                    <w:t>Needs</w:t>
                  </w:r>
                </w:p>
                <w:p w:rsidR="00F22F94" w:rsidRDefault="00F22F94">
                  <w:pPr>
                    <w:numPr>
                      <w:ilvl w:val="0"/>
                      <w:numId w:val="8"/>
                    </w:numPr>
                    <w:tabs>
                      <w:tab w:val="left" w:pos="152"/>
                    </w:tabs>
                    <w:spacing w:before="13"/>
                    <w:rPr>
                      <w:color w:val="000000"/>
                      <w:sz w:val="14"/>
                    </w:rPr>
                  </w:pPr>
                  <w:r>
                    <w:rPr>
                      <w:color w:val="000000"/>
                      <w:w w:val="90"/>
                      <w:sz w:val="14"/>
                    </w:rPr>
                    <w:t>Desired</w:t>
                  </w:r>
                  <w:r>
                    <w:rPr>
                      <w:color w:val="000000"/>
                      <w:spacing w:val="15"/>
                      <w:sz w:val="14"/>
                    </w:rPr>
                    <w:t xml:space="preserve"> </w:t>
                  </w:r>
                  <w:r>
                    <w:rPr>
                      <w:color w:val="000000"/>
                      <w:spacing w:val="-2"/>
                      <w:sz w:val="14"/>
                    </w:rPr>
                    <w:t>outcomes</w:t>
                  </w:r>
                </w:p>
              </w:txbxContent>
            </v:textbox>
            <w10:wrap anchorx="page"/>
          </v:shape>
        </w:pict>
      </w:r>
      <w:r w:rsidR="00F22F94">
        <w:rPr>
          <w:b/>
          <w:spacing w:val="-2"/>
          <w:sz w:val="14"/>
        </w:rPr>
        <w:t>Prerequisites</w:t>
      </w:r>
    </w:p>
    <w:p w:rsidR="002C1123" w:rsidRDefault="002C1123">
      <w:pPr>
        <w:pStyle w:val="BodyText"/>
        <w:rPr>
          <w:b/>
          <w:sz w:val="16"/>
        </w:rPr>
      </w:pPr>
    </w:p>
    <w:p w:rsidR="002C1123" w:rsidRDefault="002C1123">
      <w:pPr>
        <w:pStyle w:val="BodyText"/>
        <w:rPr>
          <w:b/>
          <w:sz w:val="16"/>
        </w:rPr>
      </w:pPr>
    </w:p>
    <w:p w:rsidR="002C1123" w:rsidRDefault="002C1123">
      <w:pPr>
        <w:pStyle w:val="BodyText"/>
        <w:rPr>
          <w:b/>
          <w:sz w:val="16"/>
        </w:rPr>
      </w:pPr>
    </w:p>
    <w:p w:rsidR="002C1123" w:rsidRDefault="002C1123">
      <w:pPr>
        <w:pStyle w:val="BodyText"/>
        <w:rPr>
          <w:b/>
          <w:sz w:val="16"/>
        </w:rPr>
      </w:pPr>
    </w:p>
    <w:p w:rsidR="002C1123" w:rsidRDefault="002C1123">
      <w:pPr>
        <w:pStyle w:val="BodyText"/>
        <w:spacing w:before="1"/>
        <w:rPr>
          <w:b/>
          <w:sz w:val="13"/>
        </w:rPr>
      </w:pPr>
    </w:p>
    <w:p w:rsidR="002C1123" w:rsidRDefault="00F22F94">
      <w:pPr>
        <w:spacing w:before="1"/>
        <w:ind w:left="110"/>
        <w:rPr>
          <w:b/>
          <w:sz w:val="14"/>
        </w:rPr>
      </w:pPr>
      <w:r>
        <w:rPr>
          <w:b/>
          <w:spacing w:val="-2"/>
          <w:sz w:val="14"/>
        </w:rPr>
        <w:t>Content</w:t>
      </w:r>
    </w:p>
    <w:p w:rsidR="002C1123" w:rsidRDefault="002C1123">
      <w:pPr>
        <w:pStyle w:val="BodyText"/>
        <w:rPr>
          <w:b/>
          <w:sz w:val="16"/>
        </w:rPr>
      </w:pPr>
    </w:p>
    <w:p w:rsidR="002C1123" w:rsidRDefault="002C1123">
      <w:pPr>
        <w:pStyle w:val="BodyText"/>
        <w:rPr>
          <w:b/>
          <w:sz w:val="16"/>
        </w:rPr>
      </w:pPr>
    </w:p>
    <w:p w:rsidR="002C1123" w:rsidRDefault="002C1123">
      <w:pPr>
        <w:pStyle w:val="BodyText"/>
        <w:rPr>
          <w:b/>
          <w:sz w:val="16"/>
        </w:rPr>
      </w:pPr>
    </w:p>
    <w:p w:rsidR="002C1123" w:rsidRDefault="002C1123">
      <w:pPr>
        <w:pStyle w:val="BodyText"/>
        <w:rPr>
          <w:b/>
          <w:sz w:val="16"/>
        </w:rPr>
      </w:pPr>
    </w:p>
    <w:p w:rsidR="002C1123" w:rsidRDefault="002C1123">
      <w:pPr>
        <w:pStyle w:val="BodyText"/>
        <w:rPr>
          <w:b/>
          <w:sz w:val="16"/>
        </w:rPr>
      </w:pPr>
    </w:p>
    <w:p w:rsidR="002C1123" w:rsidRDefault="002C1123">
      <w:pPr>
        <w:pStyle w:val="BodyText"/>
        <w:rPr>
          <w:b/>
          <w:sz w:val="16"/>
        </w:rPr>
      </w:pPr>
    </w:p>
    <w:p w:rsidR="002C1123" w:rsidRDefault="002C1123">
      <w:pPr>
        <w:pStyle w:val="BodyText"/>
        <w:rPr>
          <w:b/>
          <w:sz w:val="16"/>
        </w:rPr>
      </w:pPr>
    </w:p>
    <w:p w:rsidR="002C1123" w:rsidRDefault="002C1123">
      <w:pPr>
        <w:pStyle w:val="BodyText"/>
        <w:spacing w:before="5"/>
        <w:rPr>
          <w:b/>
          <w:sz w:val="15"/>
        </w:rPr>
      </w:pPr>
    </w:p>
    <w:p w:rsidR="002C1123" w:rsidRDefault="002060EF">
      <w:pPr>
        <w:ind w:left="110"/>
        <w:rPr>
          <w:b/>
          <w:sz w:val="14"/>
        </w:rPr>
      </w:pPr>
      <w:r>
        <w:pict>
          <v:group id="docshapegroup2938" o:spid="_x0000_s1064" style="position:absolute;left:0;text-align:left;margin-left:76.6pt;margin-top:-16.25pt;width:622.9pt;height:40.65pt;z-index:251759616;mso-position-horizontal-relative:page" coordorigin="1532,-325" coordsize="12458,813">
            <v:shape id="docshape2939" o:spid="_x0000_s1066" style="position:absolute;left:1532;top:-326;width:12458;height:813" coordorigin="1532,-325" coordsize="12458,813" path="m13809,-325r-12277,l1532,487r12277,l13990,87r-181,-412xe" fillcolor="#00aeef" stroked="f">
              <v:path arrowok="t"/>
            </v:shape>
            <v:shape id="docshape2940" o:spid="_x0000_s1065" type="#_x0000_t202" style="position:absolute;left:1532;top:-326;width:12458;height:813" filled="f" stroked="f">
              <v:textbox inset="0,0,0,0">
                <w:txbxContent>
                  <w:p w:rsidR="00F22F94" w:rsidRDefault="00F22F94">
                    <w:pPr>
                      <w:spacing w:before="1"/>
                      <w:rPr>
                        <w:sz w:val="13"/>
                      </w:rPr>
                    </w:pPr>
                  </w:p>
                  <w:p w:rsidR="00F22F94" w:rsidRDefault="00F22F94">
                    <w:pPr>
                      <w:spacing w:line="259" w:lineRule="auto"/>
                      <w:ind w:left="4753" w:right="4809" w:hanging="58"/>
                      <w:jc w:val="center"/>
                      <w:rPr>
                        <w:sz w:val="14"/>
                      </w:rPr>
                    </w:pPr>
                    <w:r>
                      <w:rPr>
                        <w:color w:val="FFFFFF"/>
                        <w:sz w:val="14"/>
                      </w:rPr>
                      <w:t>Regular diagnostic and status reporting</w:t>
                    </w:r>
                    <w:r>
                      <w:rPr>
                        <w:color w:val="FFFFFF"/>
                        <w:spacing w:val="40"/>
                        <w:sz w:val="14"/>
                      </w:rPr>
                      <w:t xml:space="preserve"> </w:t>
                    </w:r>
                    <w:r>
                      <w:rPr>
                        <w:color w:val="FFFFFF"/>
                        <w:sz w:val="14"/>
                      </w:rPr>
                      <w:t>Reporting content configure to project phase</w:t>
                    </w:r>
                  </w:p>
                  <w:p w:rsidR="00F22F94" w:rsidRDefault="00F22F94">
                    <w:pPr>
                      <w:ind w:left="4357" w:right="4473"/>
                      <w:jc w:val="center"/>
                      <w:rPr>
                        <w:sz w:val="14"/>
                      </w:rPr>
                    </w:pPr>
                    <w:r>
                      <w:rPr>
                        <w:color w:val="FFFFFF"/>
                        <w:sz w:val="14"/>
                      </w:rPr>
                      <w:t>Leverage</w:t>
                    </w:r>
                    <w:r>
                      <w:rPr>
                        <w:color w:val="FFFFFF"/>
                        <w:spacing w:val="13"/>
                        <w:sz w:val="14"/>
                      </w:rPr>
                      <w:t xml:space="preserve"> </w:t>
                    </w:r>
                    <w:r>
                      <w:rPr>
                        <w:color w:val="FFFFFF"/>
                        <w:sz w:val="14"/>
                      </w:rPr>
                      <w:t>existing</w:t>
                    </w:r>
                    <w:r>
                      <w:rPr>
                        <w:color w:val="FFFFFF"/>
                        <w:spacing w:val="13"/>
                        <w:sz w:val="14"/>
                      </w:rPr>
                      <w:t xml:space="preserve"> </w:t>
                    </w:r>
                    <w:r>
                      <w:rPr>
                        <w:color w:val="FFFFFF"/>
                        <w:sz w:val="14"/>
                      </w:rPr>
                      <w:t>reporting</w:t>
                    </w:r>
                    <w:r>
                      <w:rPr>
                        <w:color w:val="FFFFFF"/>
                        <w:spacing w:val="13"/>
                        <w:sz w:val="14"/>
                      </w:rPr>
                      <w:t xml:space="preserve"> </w:t>
                    </w:r>
                    <w:r>
                      <w:rPr>
                        <w:color w:val="FFFFFF"/>
                        <w:sz w:val="14"/>
                      </w:rPr>
                      <w:t>frameworks</w:t>
                    </w:r>
                    <w:r>
                      <w:rPr>
                        <w:color w:val="FFFFFF"/>
                        <w:spacing w:val="13"/>
                        <w:sz w:val="14"/>
                      </w:rPr>
                      <w:t xml:space="preserve"> </w:t>
                    </w:r>
                    <w:r>
                      <w:rPr>
                        <w:color w:val="FFFFFF"/>
                        <w:sz w:val="14"/>
                      </w:rPr>
                      <w:t>where</w:t>
                    </w:r>
                    <w:r>
                      <w:rPr>
                        <w:color w:val="FFFFFF"/>
                        <w:spacing w:val="14"/>
                        <w:sz w:val="14"/>
                      </w:rPr>
                      <w:t xml:space="preserve"> </w:t>
                    </w:r>
                    <w:r>
                      <w:rPr>
                        <w:color w:val="FFFFFF"/>
                        <w:spacing w:val="-2"/>
                        <w:sz w:val="14"/>
                      </w:rPr>
                      <w:t>applicable</w:t>
                    </w:r>
                  </w:p>
                </w:txbxContent>
              </v:textbox>
            </v:shape>
            <w10:wrap anchorx="page"/>
          </v:group>
        </w:pict>
      </w:r>
      <w:r>
        <w:pict>
          <v:line id="_x0000_s1063" style="position:absolute;left:0;text-align:left;z-index:251762688;mso-position-horizontal-relative:page" from="30.5pt,-26.95pt" to="699.5pt,-26.95pt" strokecolor="#9c9c9d" strokeweight=".5pt">
            <w10:wrap anchorx="page"/>
          </v:line>
        </w:pict>
      </w:r>
      <w:r w:rsidR="00F22F94">
        <w:rPr>
          <w:b/>
          <w:spacing w:val="-2"/>
          <w:sz w:val="14"/>
        </w:rPr>
        <w:t>Reporting</w:t>
      </w:r>
    </w:p>
    <w:p w:rsidR="002C1123" w:rsidRDefault="00F22F94">
      <w:pPr>
        <w:rPr>
          <w:b/>
          <w:sz w:val="16"/>
        </w:rPr>
      </w:pPr>
      <w:r>
        <w:br w:type="column"/>
      </w:r>
    </w:p>
    <w:p w:rsidR="002C1123" w:rsidRDefault="002C1123">
      <w:pPr>
        <w:pStyle w:val="BodyText"/>
        <w:rPr>
          <w:b/>
          <w:sz w:val="16"/>
        </w:rPr>
      </w:pPr>
    </w:p>
    <w:p w:rsidR="002C1123" w:rsidRDefault="002C1123">
      <w:pPr>
        <w:pStyle w:val="BodyText"/>
        <w:rPr>
          <w:b/>
          <w:sz w:val="16"/>
        </w:rPr>
      </w:pPr>
    </w:p>
    <w:p w:rsidR="002C1123" w:rsidRDefault="002C1123">
      <w:pPr>
        <w:pStyle w:val="BodyText"/>
        <w:rPr>
          <w:b/>
          <w:sz w:val="16"/>
        </w:rPr>
      </w:pPr>
    </w:p>
    <w:p w:rsidR="002C1123" w:rsidRDefault="002C1123">
      <w:pPr>
        <w:pStyle w:val="BodyText"/>
        <w:rPr>
          <w:b/>
          <w:sz w:val="16"/>
        </w:rPr>
      </w:pPr>
    </w:p>
    <w:p w:rsidR="002C1123" w:rsidRDefault="002C1123">
      <w:pPr>
        <w:pStyle w:val="BodyText"/>
        <w:spacing w:before="7"/>
        <w:rPr>
          <w:b/>
          <w:sz w:val="23"/>
        </w:rPr>
      </w:pPr>
    </w:p>
    <w:p w:rsidR="002C1123" w:rsidRDefault="002060EF">
      <w:pPr>
        <w:ind w:left="110" w:firstLine="105"/>
        <w:rPr>
          <w:b/>
          <w:sz w:val="14"/>
        </w:rPr>
      </w:pPr>
      <w:r>
        <w:pict>
          <v:shape id="docshape2941" o:spid="_x0000_s1062" type="#_x0000_t202" style="position:absolute;left:0;text-align:left;margin-left:620.15pt;margin-top:23.75pt;width:79.4pt;height:75.15pt;z-index:251766784;mso-position-horizontal-relative:page" fillcolor="#e1e0e1" stroked="f">
            <v:textbox inset="0,0,0,0">
              <w:txbxContent>
                <w:p w:rsidR="00F22F94" w:rsidRDefault="00F22F94">
                  <w:pPr>
                    <w:numPr>
                      <w:ilvl w:val="0"/>
                      <w:numId w:val="9"/>
                    </w:numPr>
                    <w:tabs>
                      <w:tab w:val="left" w:pos="152"/>
                    </w:tabs>
                    <w:spacing w:before="82"/>
                    <w:rPr>
                      <w:color w:val="000000"/>
                      <w:sz w:val="14"/>
                    </w:rPr>
                  </w:pPr>
                  <w:r>
                    <w:rPr>
                      <w:color w:val="000000"/>
                      <w:w w:val="90"/>
                      <w:sz w:val="14"/>
                    </w:rPr>
                    <w:t>Service</w:t>
                  </w:r>
                  <w:r>
                    <w:rPr>
                      <w:color w:val="000000"/>
                      <w:spacing w:val="15"/>
                      <w:sz w:val="14"/>
                    </w:rPr>
                    <w:t xml:space="preserve"> </w:t>
                  </w:r>
                  <w:r>
                    <w:rPr>
                      <w:color w:val="000000"/>
                      <w:spacing w:val="-2"/>
                      <w:sz w:val="14"/>
                    </w:rPr>
                    <w:t>performance</w:t>
                  </w:r>
                </w:p>
                <w:p w:rsidR="00F22F94" w:rsidRDefault="00F22F94">
                  <w:pPr>
                    <w:numPr>
                      <w:ilvl w:val="0"/>
                      <w:numId w:val="9"/>
                    </w:numPr>
                    <w:tabs>
                      <w:tab w:val="left" w:pos="152"/>
                    </w:tabs>
                    <w:spacing w:before="13"/>
                    <w:rPr>
                      <w:color w:val="000000"/>
                      <w:sz w:val="14"/>
                    </w:rPr>
                  </w:pPr>
                  <w:r>
                    <w:rPr>
                      <w:color w:val="000000"/>
                      <w:w w:val="95"/>
                      <w:sz w:val="14"/>
                    </w:rPr>
                    <w:t>Actual</w:t>
                  </w:r>
                  <w:r>
                    <w:rPr>
                      <w:color w:val="000000"/>
                      <w:spacing w:val="-6"/>
                      <w:w w:val="95"/>
                      <w:sz w:val="14"/>
                    </w:rPr>
                    <w:t xml:space="preserve"> </w:t>
                  </w:r>
                  <w:r>
                    <w:rPr>
                      <w:color w:val="000000"/>
                      <w:w w:val="95"/>
                      <w:sz w:val="14"/>
                    </w:rPr>
                    <w:t>cost</w:t>
                  </w:r>
                  <w:r>
                    <w:rPr>
                      <w:color w:val="000000"/>
                      <w:spacing w:val="-5"/>
                      <w:w w:val="95"/>
                      <w:sz w:val="14"/>
                    </w:rPr>
                    <w:t xml:space="preserve"> </w:t>
                  </w:r>
                  <w:r>
                    <w:rPr>
                      <w:color w:val="000000"/>
                      <w:w w:val="95"/>
                      <w:sz w:val="14"/>
                    </w:rPr>
                    <w:t>&amp;</w:t>
                  </w:r>
                  <w:r>
                    <w:rPr>
                      <w:color w:val="000000"/>
                      <w:spacing w:val="-5"/>
                      <w:w w:val="95"/>
                      <w:sz w:val="14"/>
                    </w:rPr>
                    <w:t xml:space="preserve"> </w:t>
                  </w:r>
                  <w:r>
                    <w:rPr>
                      <w:color w:val="000000"/>
                      <w:spacing w:val="-2"/>
                      <w:w w:val="95"/>
                      <w:sz w:val="14"/>
                    </w:rPr>
                    <w:t>benefit</w:t>
                  </w:r>
                </w:p>
                <w:p w:rsidR="00F22F94" w:rsidRDefault="00F22F94">
                  <w:pPr>
                    <w:numPr>
                      <w:ilvl w:val="0"/>
                      <w:numId w:val="9"/>
                    </w:numPr>
                    <w:tabs>
                      <w:tab w:val="left" w:pos="152"/>
                    </w:tabs>
                    <w:spacing w:before="13"/>
                    <w:rPr>
                      <w:color w:val="000000"/>
                      <w:sz w:val="14"/>
                    </w:rPr>
                  </w:pPr>
                  <w:r>
                    <w:rPr>
                      <w:color w:val="000000"/>
                      <w:w w:val="95"/>
                      <w:sz w:val="14"/>
                    </w:rPr>
                    <w:t>Customer</w:t>
                  </w:r>
                  <w:r>
                    <w:rPr>
                      <w:color w:val="000000"/>
                      <w:spacing w:val="3"/>
                      <w:sz w:val="14"/>
                    </w:rPr>
                    <w:t xml:space="preserve"> </w:t>
                  </w:r>
                  <w:r>
                    <w:rPr>
                      <w:color w:val="000000"/>
                      <w:spacing w:val="-2"/>
                      <w:w w:val="95"/>
                      <w:sz w:val="14"/>
                    </w:rPr>
                    <w:t>experience</w:t>
                  </w:r>
                </w:p>
                <w:p w:rsidR="00F22F94" w:rsidRDefault="00F22F94">
                  <w:pPr>
                    <w:numPr>
                      <w:ilvl w:val="0"/>
                      <w:numId w:val="9"/>
                    </w:numPr>
                    <w:tabs>
                      <w:tab w:val="left" w:pos="152"/>
                    </w:tabs>
                    <w:spacing w:before="13"/>
                    <w:rPr>
                      <w:color w:val="000000"/>
                      <w:sz w:val="14"/>
                    </w:rPr>
                  </w:pPr>
                  <w:r>
                    <w:rPr>
                      <w:color w:val="000000"/>
                      <w:w w:val="90"/>
                      <w:sz w:val="14"/>
                    </w:rPr>
                    <w:t>Future</w:t>
                  </w:r>
                  <w:r>
                    <w:rPr>
                      <w:color w:val="000000"/>
                      <w:spacing w:val="3"/>
                      <w:sz w:val="14"/>
                    </w:rPr>
                    <w:t xml:space="preserve"> </w:t>
                  </w:r>
                  <w:r>
                    <w:rPr>
                      <w:color w:val="000000"/>
                      <w:spacing w:val="-4"/>
                      <w:w w:val="95"/>
                      <w:sz w:val="14"/>
                    </w:rPr>
                    <w:t>needs</w:t>
                  </w:r>
                </w:p>
                <w:p w:rsidR="00F22F94" w:rsidRDefault="00F22F94">
                  <w:pPr>
                    <w:numPr>
                      <w:ilvl w:val="0"/>
                      <w:numId w:val="9"/>
                    </w:numPr>
                    <w:tabs>
                      <w:tab w:val="left" w:pos="152"/>
                    </w:tabs>
                    <w:spacing w:before="13"/>
                    <w:rPr>
                      <w:color w:val="000000"/>
                      <w:sz w:val="14"/>
                    </w:rPr>
                  </w:pPr>
                  <w:r>
                    <w:rPr>
                      <w:color w:val="000000"/>
                      <w:w w:val="95"/>
                      <w:sz w:val="14"/>
                    </w:rPr>
                    <w:t>Lessons</w:t>
                  </w:r>
                  <w:r>
                    <w:rPr>
                      <w:color w:val="000000"/>
                      <w:spacing w:val="-2"/>
                      <w:sz w:val="14"/>
                    </w:rPr>
                    <w:t xml:space="preserve"> learned</w:t>
                  </w:r>
                </w:p>
              </w:txbxContent>
            </v:textbox>
            <w10:wrap anchorx="page"/>
          </v:shape>
        </w:pict>
      </w:r>
      <w:r>
        <w:pict>
          <v:shape id="docshape2942" o:spid="_x0000_s1061" type="#_x0000_t202" style="position:absolute;left:0;text-align:left;margin-left:167.2pt;margin-top:-63.65pt;width:79.4pt;height:51.95pt;z-index:251772928;mso-position-horizontal-relative:page" fillcolor="#00aeef" stroked="f">
            <v:textbox inset="0,0,0,0">
              <w:txbxContent>
                <w:p w:rsidR="00F22F94" w:rsidRDefault="00F22F94">
                  <w:pPr>
                    <w:spacing w:before="46" w:line="547" w:lineRule="exact"/>
                    <w:jc w:val="center"/>
                    <w:rPr>
                      <w:rFonts w:ascii="Trebuchet MS"/>
                      <w:color w:val="000000"/>
                      <w:sz w:val="48"/>
                    </w:rPr>
                  </w:pPr>
                  <w:r>
                    <w:rPr>
                      <w:rFonts w:ascii="Trebuchet MS"/>
                      <w:color w:val="FFFFFF"/>
                      <w:w w:val="53"/>
                      <w:sz w:val="48"/>
                    </w:rPr>
                    <w:t>1</w:t>
                  </w:r>
                </w:p>
                <w:p w:rsidR="00F22F94" w:rsidRDefault="00F22F94">
                  <w:pPr>
                    <w:spacing w:line="150" w:lineRule="exact"/>
                    <w:ind w:left="104" w:right="104"/>
                    <w:jc w:val="center"/>
                    <w:rPr>
                      <w:color w:val="000000"/>
                      <w:sz w:val="14"/>
                    </w:rPr>
                  </w:pPr>
                  <w:r>
                    <w:rPr>
                      <w:color w:val="FFFFFF"/>
                      <w:sz w:val="14"/>
                    </w:rPr>
                    <w:t>Strategic</w:t>
                  </w:r>
                  <w:r>
                    <w:rPr>
                      <w:color w:val="FFFFFF"/>
                      <w:spacing w:val="20"/>
                      <w:sz w:val="14"/>
                    </w:rPr>
                    <w:t xml:space="preserve"> </w:t>
                  </w:r>
                  <w:r>
                    <w:rPr>
                      <w:color w:val="FFFFFF"/>
                      <w:spacing w:val="-2"/>
                      <w:sz w:val="14"/>
                    </w:rPr>
                    <w:t>assessment</w:t>
                  </w:r>
                </w:p>
              </w:txbxContent>
            </v:textbox>
            <w10:wrap anchorx="page"/>
          </v:shape>
        </w:pict>
      </w:r>
      <w:r w:rsidR="00F22F94">
        <w:rPr>
          <w:b/>
          <w:spacing w:val="-2"/>
          <w:sz w:val="14"/>
        </w:rPr>
        <w:t>Strategic</w:t>
      </w:r>
      <w:r w:rsidR="00F22F94">
        <w:rPr>
          <w:b/>
          <w:spacing w:val="40"/>
          <w:sz w:val="14"/>
        </w:rPr>
        <w:t xml:space="preserve"> </w:t>
      </w:r>
      <w:r w:rsidR="00F22F94">
        <w:rPr>
          <w:b/>
          <w:spacing w:val="-2"/>
          <w:sz w:val="14"/>
        </w:rPr>
        <w:t>Assessment</w:t>
      </w:r>
    </w:p>
    <w:p w:rsidR="002C1123" w:rsidRDefault="002C1123">
      <w:pPr>
        <w:pStyle w:val="BodyText"/>
        <w:spacing w:before="3"/>
        <w:rPr>
          <w:b/>
          <w:sz w:val="13"/>
        </w:rPr>
      </w:pPr>
    </w:p>
    <w:p w:rsidR="002C1123" w:rsidRDefault="002060EF">
      <w:pPr>
        <w:pStyle w:val="BodyText"/>
        <w:ind w:left="-264" w:right="-375"/>
      </w:pPr>
      <w:r>
        <w:pict>
          <v:shape id="docshape2943" o:spid="_x0000_s5249" type="#_x0000_t202" style="width:79.4pt;height:75.15pt;mso-left-percent:-10001;mso-top-percent:-10001;mso-position-horizontal:absolute;mso-position-horizontal-relative:char;mso-position-vertical:absolute;mso-position-vertical-relative:line;mso-left-percent:-10001;mso-top-percent:-10001" fillcolor="#e1e0e1" stroked="f">
            <v:textbox inset="0,0,0,0">
              <w:txbxContent>
                <w:p w:rsidR="00F22F94" w:rsidRDefault="00F22F94">
                  <w:pPr>
                    <w:numPr>
                      <w:ilvl w:val="0"/>
                      <w:numId w:val="16"/>
                    </w:numPr>
                    <w:tabs>
                      <w:tab w:val="left" w:pos="152"/>
                    </w:tabs>
                    <w:spacing w:before="82"/>
                    <w:ind w:right="316"/>
                    <w:rPr>
                      <w:color w:val="000000"/>
                      <w:sz w:val="14"/>
                    </w:rPr>
                  </w:pPr>
                  <w:r>
                    <w:rPr>
                      <w:color w:val="000000"/>
                      <w:spacing w:val="-2"/>
                      <w:sz w:val="14"/>
                    </w:rPr>
                    <w:t>Confirm</w:t>
                  </w:r>
                  <w:r>
                    <w:rPr>
                      <w:color w:val="000000"/>
                      <w:spacing w:val="-15"/>
                      <w:sz w:val="14"/>
                    </w:rPr>
                    <w:t xml:space="preserve"> </w:t>
                  </w:r>
                  <w:r>
                    <w:rPr>
                      <w:color w:val="000000"/>
                      <w:spacing w:val="-2"/>
                      <w:sz w:val="14"/>
                    </w:rPr>
                    <w:t>outcomes</w:t>
                  </w:r>
                  <w:r>
                    <w:rPr>
                      <w:color w:val="000000"/>
                      <w:spacing w:val="40"/>
                      <w:sz w:val="14"/>
                    </w:rPr>
                    <w:t xml:space="preserve"> </w:t>
                  </w:r>
                  <w:r>
                    <w:rPr>
                      <w:color w:val="000000"/>
                      <w:sz w:val="14"/>
                    </w:rPr>
                    <w:t>&amp;</w:t>
                  </w:r>
                  <w:r>
                    <w:rPr>
                      <w:color w:val="000000"/>
                      <w:spacing w:val="-14"/>
                      <w:sz w:val="14"/>
                    </w:rPr>
                    <w:t xml:space="preserve"> </w:t>
                  </w:r>
                  <w:r>
                    <w:rPr>
                      <w:color w:val="000000"/>
                      <w:sz w:val="14"/>
                    </w:rPr>
                    <w:t>objectives</w:t>
                  </w:r>
                </w:p>
                <w:p w:rsidR="00F22F94" w:rsidRDefault="00F22F94">
                  <w:pPr>
                    <w:numPr>
                      <w:ilvl w:val="0"/>
                      <w:numId w:val="16"/>
                    </w:numPr>
                    <w:tabs>
                      <w:tab w:val="left" w:pos="152"/>
                    </w:tabs>
                    <w:spacing w:before="12"/>
                    <w:rPr>
                      <w:color w:val="000000"/>
                      <w:sz w:val="14"/>
                    </w:rPr>
                  </w:pPr>
                  <w:r>
                    <w:rPr>
                      <w:color w:val="000000"/>
                      <w:w w:val="90"/>
                      <w:sz w:val="14"/>
                    </w:rPr>
                    <w:t>Ensure</w:t>
                  </w:r>
                  <w:r>
                    <w:rPr>
                      <w:color w:val="000000"/>
                      <w:spacing w:val="4"/>
                      <w:sz w:val="14"/>
                    </w:rPr>
                    <w:t xml:space="preserve"> </w:t>
                  </w:r>
                  <w:r>
                    <w:rPr>
                      <w:color w:val="000000"/>
                      <w:spacing w:val="-2"/>
                      <w:sz w:val="14"/>
                    </w:rPr>
                    <w:t>stakeholder</w:t>
                  </w:r>
                </w:p>
                <w:p w:rsidR="00F22F94" w:rsidRDefault="00F22F94">
                  <w:pPr>
                    <w:numPr>
                      <w:ilvl w:val="0"/>
                      <w:numId w:val="16"/>
                    </w:numPr>
                    <w:tabs>
                      <w:tab w:val="left" w:pos="152"/>
                    </w:tabs>
                    <w:spacing w:before="13"/>
                    <w:ind w:right="544"/>
                    <w:rPr>
                      <w:color w:val="000000"/>
                      <w:sz w:val="14"/>
                    </w:rPr>
                  </w:pPr>
                  <w:r>
                    <w:rPr>
                      <w:color w:val="000000"/>
                      <w:w w:val="95"/>
                      <w:sz w:val="14"/>
                    </w:rPr>
                    <w:t>Review</w:t>
                  </w:r>
                  <w:r>
                    <w:rPr>
                      <w:color w:val="000000"/>
                      <w:spacing w:val="-13"/>
                      <w:w w:val="95"/>
                      <w:sz w:val="14"/>
                    </w:rPr>
                    <w:t xml:space="preserve"> </w:t>
                  </w:r>
                  <w:r>
                    <w:rPr>
                      <w:color w:val="000000"/>
                      <w:w w:val="95"/>
                      <w:sz w:val="14"/>
                    </w:rPr>
                    <w:t>project</w:t>
                  </w:r>
                  <w:r>
                    <w:rPr>
                      <w:color w:val="000000"/>
                      <w:spacing w:val="40"/>
                      <w:sz w:val="14"/>
                    </w:rPr>
                    <w:t xml:space="preserve"> </w:t>
                  </w:r>
                  <w:r>
                    <w:rPr>
                      <w:color w:val="000000"/>
                      <w:spacing w:val="-2"/>
                      <w:sz w:val="14"/>
                    </w:rPr>
                    <w:t>governance</w:t>
                  </w:r>
                </w:p>
                <w:p w:rsidR="00F22F94" w:rsidRDefault="00F22F94">
                  <w:pPr>
                    <w:numPr>
                      <w:ilvl w:val="0"/>
                      <w:numId w:val="16"/>
                    </w:numPr>
                    <w:tabs>
                      <w:tab w:val="left" w:pos="152"/>
                    </w:tabs>
                    <w:spacing w:before="12"/>
                    <w:rPr>
                      <w:color w:val="000000"/>
                      <w:sz w:val="14"/>
                    </w:rPr>
                  </w:pPr>
                  <w:r>
                    <w:rPr>
                      <w:color w:val="000000"/>
                      <w:w w:val="95"/>
                      <w:sz w:val="14"/>
                    </w:rPr>
                    <w:t>Review</w:t>
                  </w:r>
                  <w:r>
                    <w:rPr>
                      <w:color w:val="000000"/>
                      <w:spacing w:val="-4"/>
                      <w:w w:val="95"/>
                      <w:sz w:val="14"/>
                    </w:rPr>
                    <w:t xml:space="preserve"> </w:t>
                  </w:r>
                  <w:r>
                    <w:rPr>
                      <w:color w:val="000000"/>
                      <w:w w:val="95"/>
                      <w:sz w:val="14"/>
                    </w:rPr>
                    <w:t>project</w:t>
                  </w:r>
                  <w:r>
                    <w:rPr>
                      <w:color w:val="000000"/>
                      <w:spacing w:val="-3"/>
                      <w:w w:val="95"/>
                      <w:sz w:val="14"/>
                    </w:rPr>
                    <w:t xml:space="preserve"> </w:t>
                  </w:r>
                  <w:r>
                    <w:rPr>
                      <w:color w:val="000000"/>
                      <w:spacing w:val="-2"/>
                      <w:w w:val="95"/>
                      <w:sz w:val="14"/>
                    </w:rPr>
                    <w:t>plans</w:t>
                  </w:r>
                </w:p>
              </w:txbxContent>
            </v:textbox>
            <w10:anchorlock/>
          </v:shape>
        </w:pict>
      </w:r>
    </w:p>
    <w:p w:rsidR="002C1123" w:rsidRDefault="002C1123">
      <w:pPr>
        <w:pStyle w:val="BodyText"/>
        <w:spacing w:before="8"/>
        <w:rPr>
          <w:b/>
          <w:sz w:val="8"/>
        </w:rPr>
      </w:pPr>
    </w:p>
    <w:p w:rsidR="002C1123" w:rsidRDefault="00F22F94">
      <w:pPr>
        <w:rPr>
          <w:b/>
          <w:sz w:val="16"/>
        </w:rPr>
      </w:pPr>
      <w:r>
        <w:br w:type="column"/>
      </w:r>
    </w:p>
    <w:p w:rsidR="002C1123" w:rsidRDefault="002C1123">
      <w:pPr>
        <w:pStyle w:val="BodyText"/>
        <w:rPr>
          <w:b/>
          <w:sz w:val="16"/>
        </w:rPr>
      </w:pPr>
    </w:p>
    <w:p w:rsidR="002C1123" w:rsidRDefault="002C1123">
      <w:pPr>
        <w:pStyle w:val="BodyText"/>
        <w:rPr>
          <w:b/>
          <w:sz w:val="16"/>
        </w:rPr>
      </w:pPr>
    </w:p>
    <w:p w:rsidR="002C1123" w:rsidRDefault="002C1123">
      <w:pPr>
        <w:pStyle w:val="BodyText"/>
        <w:rPr>
          <w:b/>
          <w:sz w:val="16"/>
        </w:rPr>
      </w:pPr>
    </w:p>
    <w:p w:rsidR="002C1123" w:rsidRDefault="002C1123">
      <w:pPr>
        <w:pStyle w:val="BodyText"/>
        <w:rPr>
          <w:b/>
          <w:sz w:val="16"/>
        </w:rPr>
      </w:pPr>
    </w:p>
    <w:p w:rsidR="002C1123" w:rsidRDefault="002C1123">
      <w:pPr>
        <w:pStyle w:val="BodyText"/>
        <w:spacing w:before="7"/>
        <w:rPr>
          <w:b/>
          <w:sz w:val="23"/>
        </w:rPr>
      </w:pPr>
    </w:p>
    <w:p w:rsidR="002C1123" w:rsidRDefault="002060EF">
      <w:pPr>
        <w:ind w:left="110"/>
        <w:rPr>
          <w:b/>
          <w:sz w:val="14"/>
        </w:rPr>
      </w:pPr>
      <w:r>
        <w:pict>
          <v:shape id="docshape2944" o:spid="_x0000_s1059" type="#_x0000_t202" style="position:absolute;left:0;text-align:left;margin-left:257.8pt;margin-top:-63.65pt;width:79.4pt;height:51.95pt;z-index:251771904;mso-position-horizontal-relative:page" fillcolor="#00aeef" stroked="f">
            <v:textbox inset="0,0,0,0">
              <w:txbxContent>
                <w:p w:rsidR="00F22F94" w:rsidRDefault="00F22F94">
                  <w:pPr>
                    <w:spacing w:before="46" w:line="547" w:lineRule="exact"/>
                    <w:jc w:val="center"/>
                    <w:rPr>
                      <w:rFonts w:ascii="Trebuchet MS"/>
                      <w:color w:val="000000"/>
                      <w:sz w:val="48"/>
                    </w:rPr>
                  </w:pPr>
                  <w:r>
                    <w:rPr>
                      <w:rFonts w:ascii="Trebuchet MS"/>
                      <w:color w:val="FFFFFF"/>
                      <w:w w:val="65"/>
                      <w:sz w:val="48"/>
                    </w:rPr>
                    <w:t>2</w:t>
                  </w:r>
                </w:p>
                <w:p w:rsidR="00F22F94" w:rsidRDefault="00F22F94">
                  <w:pPr>
                    <w:spacing w:line="150" w:lineRule="exact"/>
                    <w:ind w:left="104" w:right="104"/>
                    <w:jc w:val="center"/>
                    <w:rPr>
                      <w:color w:val="000000"/>
                      <w:sz w:val="14"/>
                    </w:rPr>
                  </w:pPr>
                  <w:r>
                    <w:rPr>
                      <w:color w:val="FFFFFF"/>
                      <w:spacing w:val="-2"/>
                      <w:sz w:val="14"/>
                    </w:rPr>
                    <w:t>Business</w:t>
                  </w:r>
                </w:p>
                <w:p w:rsidR="00F22F94" w:rsidRDefault="00F22F94">
                  <w:pPr>
                    <w:spacing w:line="161" w:lineRule="exact"/>
                    <w:ind w:left="104" w:right="102"/>
                    <w:jc w:val="center"/>
                    <w:rPr>
                      <w:color w:val="000000"/>
                      <w:sz w:val="14"/>
                    </w:rPr>
                  </w:pPr>
                  <w:r>
                    <w:rPr>
                      <w:color w:val="FFFFFF"/>
                      <w:spacing w:val="-4"/>
                      <w:sz w:val="14"/>
                    </w:rPr>
                    <w:t>case</w:t>
                  </w:r>
                </w:p>
              </w:txbxContent>
            </v:textbox>
            <w10:wrap anchorx="page"/>
          </v:shape>
        </w:pict>
      </w:r>
      <w:r w:rsidR="00F22F94">
        <w:rPr>
          <w:b/>
          <w:w w:val="95"/>
          <w:sz w:val="14"/>
        </w:rPr>
        <w:t>Business</w:t>
      </w:r>
      <w:r w:rsidR="00F22F94">
        <w:rPr>
          <w:b/>
          <w:spacing w:val="14"/>
          <w:sz w:val="14"/>
        </w:rPr>
        <w:t xml:space="preserve"> </w:t>
      </w:r>
      <w:r w:rsidR="00F22F94">
        <w:rPr>
          <w:b/>
          <w:spacing w:val="-4"/>
          <w:sz w:val="14"/>
        </w:rPr>
        <w:t>Case</w:t>
      </w:r>
    </w:p>
    <w:p w:rsidR="002C1123" w:rsidRDefault="002C1123">
      <w:pPr>
        <w:pStyle w:val="BodyText"/>
        <w:spacing w:before="3"/>
        <w:rPr>
          <w:b/>
          <w:sz w:val="27"/>
        </w:rPr>
      </w:pPr>
    </w:p>
    <w:p w:rsidR="002C1123" w:rsidRDefault="002060EF">
      <w:pPr>
        <w:pStyle w:val="BodyText"/>
        <w:ind w:left="-185" w:right="-303"/>
      </w:pPr>
      <w:r>
        <w:pict>
          <v:shape id="docshape2945" o:spid="_x0000_s5248" type="#_x0000_t202" style="width:79.4pt;height:75.15pt;mso-left-percent:-10001;mso-top-percent:-10001;mso-position-horizontal:absolute;mso-position-horizontal-relative:char;mso-position-vertical:absolute;mso-position-vertical-relative:line;mso-left-percent:-10001;mso-top-percent:-10001" fillcolor="#e1e0e1" stroked="f">
            <v:textbox inset="0,0,0,0">
              <w:txbxContent>
                <w:p w:rsidR="00F22F94" w:rsidRDefault="00F22F94">
                  <w:pPr>
                    <w:numPr>
                      <w:ilvl w:val="0"/>
                      <w:numId w:val="15"/>
                    </w:numPr>
                    <w:tabs>
                      <w:tab w:val="left" w:pos="152"/>
                    </w:tabs>
                    <w:spacing w:before="82"/>
                    <w:rPr>
                      <w:color w:val="000000"/>
                      <w:sz w:val="14"/>
                    </w:rPr>
                  </w:pPr>
                  <w:r>
                    <w:rPr>
                      <w:color w:val="000000"/>
                      <w:w w:val="95"/>
                      <w:sz w:val="14"/>
                    </w:rPr>
                    <w:t>Assess</w:t>
                  </w:r>
                  <w:r>
                    <w:rPr>
                      <w:color w:val="000000"/>
                      <w:spacing w:val="-4"/>
                      <w:w w:val="95"/>
                      <w:sz w:val="14"/>
                    </w:rPr>
                    <w:t xml:space="preserve"> </w:t>
                  </w:r>
                  <w:r>
                    <w:rPr>
                      <w:color w:val="000000"/>
                      <w:spacing w:val="-2"/>
                      <w:sz w:val="14"/>
                    </w:rPr>
                    <w:t>options</w:t>
                  </w:r>
                </w:p>
                <w:p w:rsidR="00F22F94" w:rsidRDefault="00F22F94">
                  <w:pPr>
                    <w:numPr>
                      <w:ilvl w:val="0"/>
                      <w:numId w:val="15"/>
                    </w:numPr>
                    <w:tabs>
                      <w:tab w:val="left" w:pos="152"/>
                    </w:tabs>
                    <w:spacing w:before="13"/>
                    <w:rPr>
                      <w:color w:val="000000"/>
                      <w:sz w:val="14"/>
                    </w:rPr>
                  </w:pPr>
                  <w:r>
                    <w:rPr>
                      <w:color w:val="000000"/>
                      <w:w w:val="95"/>
                      <w:sz w:val="14"/>
                    </w:rPr>
                    <w:t>Review</w:t>
                  </w:r>
                  <w:r>
                    <w:rPr>
                      <w:color w:val="000000"/>
                      <w:spacing w:val="-9"/>
                      <w:w w:val="95"/>
                      <w:sz w:val="14"/>
                    </w:rPr>
                    <w:t xml:space="preserve"> </w:t>
                  </w:r>
                  <w:r>
                    <w:rPr>
                      <w:color w:val="000000"/>
                      <w:w w:val="95"/>
                      <w:sz w:val="14"/>
                    </w:rPr>
                    <w:t>cost</w:t>
                  </w:r>
                  <w:r>
                    <w:rPr>
                      <w:color w:val="000000"/>
                      <w:spacing w:val="-8"/>
                      <w:w w:val="95"/>
                      <w:sz w:val="14"/>
                    </w:rPr>
                    <w:t xml:space="preserve"> </w:t>
                  </w:r>
                  <w:r>
                    <w:rPr>
                      <w:color w:val="000000"/>
                      <w:w w:val="95"/>
                      <w:sz w:val="14"/>
                    </w:rPr>
                    <w:t>&amp;</w:t>
                  </w:r>
                  <w:r>
                    <w:rPr>
                      <w:color w:val="000000"/>
                      <w:spacing w:val="-8"/>
                      <w:w w:val="95"/>
                      <w:sz w:val="14"/>
                    </w:rPr>
                    <w:t xml:space="preserve"> </w:t>
                  </w:r>
                  <w:r>
                    <w:rPr>
                      <w:color w:val="000000"/>
                      <w:spacing w:val="-2"/>
                      <w:w w:val="95"/>
                      <w:sz w:val="14"/>
                    </w:rPr>
                    <w:t>benefit</w:t>
                  </w:r>
                </w:p>
                <w:p w:rsidR="00F22F94" w:rsidRDefault="00F22F94">
                  <w:pPr>
                    <w:numPr>
                      <w:ilvl w:val="0"/>
                      <w:numId w:val="15"/>
                    </w:numPr>
                    <w:tabs>
                      <w:tab w:val="left" w:pos="152"/>
                    </w:tabs>
                    <w:spacing w:before="13"/>
                    <w:rPr>
                      <w:color w:val="000000"/>
                      <w:sz w:val="14"/>
                    </w:rPr>
                  </w:pPr>
                  <w:r>
                    <w:rPr>
                      <w:color w:val="000000"/>
                      <w:w w:val="95"/>
                      <w:sz w:val="14"/>
                    </w:rPr>
                    <w:t>Review</w:t>
                  </w:r>
                  <w:r>
                    <w:rPr>
                      <w:color w:val="000000"/>
                      <w:spacing w:val="-6"/>
                      <w:w w:val="95"/>
                      <w:sz w:val="14"/>
                    </w:rPr>
                    <w:t xml:space="preserve"> </w:t>
                  </w:r>
                  <w:r>
                    <w:rPr>
                      <w:color w:val="000000"/>
                      <w:w w:val="95"/>
                      <w:sz w:val="14"/>
                    </w:rPr>
                    <w:t>scope</w:t>
                  </w:r>
                  <w:r>
                    <w:rPr>
                      <w:color w:val="000000"/>
                      <w:spacing w:val="-6"/>
                      <w:w w:val="95"/>
                      <w:sz w:val="14"/>
                    </w:rPr>
                    <w:t xml:space="preserve"> </w:t>
                  </w:r>
                  <w:r>
                    <w:rPr>
                      <w:color w:val="000000"/>
                      <w:w w:val="95"/>
                      <w:sz w:val="14"/>
                    </w:rPr>
                    <w:t>of</w:t>
                  </w:r>
                  <w:r>
                    <w:rPr>
                      <w:color w:val="000000"/>
                      <w:spacing w:val="-6"/>
                      <w:w w:val="95"/>
                      <w:sz w:val="14"/>
                    </w:rPr>
                    <w:t xml:space="preserve"> </w:t>
                  </w:r>
                  <w:r>
                    <w:rPr>
                      <w:color w:val="000000"/>
                      <w:spacing w:val="-4"/>
                      <w:w w:val="95"/>
                      <w:sz w:val="14"/>
                    </w:rPr>
                    <w:t>work</w:t>
                  </w:r>
                </w:p>
                <w:p w:rsidR="00F22F94" w:rsidRDefault="00F22F94">
                  <w:pPr>
                    <w:numPr>
                      <w:ilvl w:val="0"/>
                      <w:numId w:val="15"/>
                    </w:numPr>
                    <w:tabs>
                      <w:tab w:val="left" w:pos="152"/>
                    </w:tabs>
                    <w:spacing w:before="13"/>
                    <w:rPr>
                      <w:color w:val="000000"/>
                      <w:sz w:val="14"/>
                    </w:rPr>
                  </w:pPr>
                  <w:r>
                    <w:rPr>
                      <w:color w:val="000000"/>
                      <w:w w:val="95"/>
                      <w:sz w:val="14"/>
                    </w:rPr>
                    <w:t>Review</w:t>
                  </w:r>
                  <w:r>
                    <w:rPr>
                      <w:color w:val="000000"/>
                      <w:spacing w:val="-4"/>
                      <w:w w:val="95"/>
                      <w:sz w:val="14"/>
                    </w:rPr>
                    <w:t xml:space="preserve"> </w:t>
                  </w:r>
                  <w:r>
                    <w:rPr>
                      <w:color w:val="000000"/>
                      <w:w w:val="95"/>
                      <w:sz w:val="14"/>
                    </w:rPr>
                    <w:t>project</w:t>
                  </w:r>
                  <w:r>
                    <w:rPr>
                      <w:color w:val="000000"/>
                      <w:spacing w:val="-3"/>
                      <w:w w:val="95"/>
                      <w:sz w:val="14"/>
                    </w:rPr>
                    <w:t xml:space="preserve"> </w:t>
                  </w:r>
                  <w:r>
                    <w:rPr>
                      <w:color w:val="000000"/>
                      <w:spacing w:val="-4"/>
                      <w:w w:val="95"/>
                      <w:sz w:val="14"/>
                    </w:rPr>
                    <w:t>brief</w:t>
                  </w:r>
                </w:p>
                <w:p w:rsidR="00F22F94" w:rsidRDefault="00F22F94">
                  <w:pPr>
                    <w:numPr>
                      <w:ilvl w:val="0"/>
                      <w:numId w:val="15"/>
                    </w:numPr>
                    <w:tabs>
                      <w:tab w:val="left" w:pos="152"/>
                    </w:tabs>
                    <w:spacing w:before="13"/>
                    <w:rPr>
                      <w:color w:val="000000"/>
                      <w:sz w:val="14"/>
                    </w:rPr>
                  </w:pPr>
                  <w:r>
                    <w:rPr>
                      <w:color w:val="000000"/>
                      <w:w w:val="90"/>
                      <w:sz w:val="14"/>
                    </w:rPr>
                    <w:t>Review</w:t>
                  </w:r>
                  <w:r>
                    <w:rPr>
                      <w:color w:val="000000"/>
                      <w:spacing w:val="6"/>
                      <w:sz w:val="14"/>
                    </w:rPr>
                    <w:t xml:space="preserve"> </w:t>
                  </w:r>
                  <w:r>
                    <w:rPr>
                      <w:color w:val="000000"/>
                      <w:spacing w:val="-2"/>
                      <w:sz w:val="14"/>
                    </w:rPr>
                    <w:t>risks</w:t>
                  </w:r>
                </w:p>
                <w:p w:rsidR="00F22F94" w:rsidRDefault="00F22F94">
                  <w:pPr>
                    <w:numPr>
                      <w:ilvl w:val="0"/>
                      <w:numId w:val="15"/>
                    </w:numPr>
                    <w:tabs>
                      <w:tab w:val="left" w:pos="152"/>
                    </w:tabs>
                    <w:spacing w:before="14"/>
                    <w:ind w:right="504"/>
                    <w:rPr>
                      <w:color w:val="000000"/>
                      <w:sz w:val="14"/>
                    </w:rPr>
                  </w:pPr>
                  <w:r>
                    <w:rPr>
                      <w:color w:val="000000"/>
                      <w:w w:val="95"/>
                      <w:sz w:val="14"/>
                    </w:rPr>
                    <w:t>Confirm</w:t>
                  </w:r>
                  <w:r>
                    <w:rPr>
                      <w:color w:val="000000"/>
                      <w:spacing w:val="-13"/>
                      <w:w w:val="95"/>
                      <w:sz w:val="14"/>
                    </w:rPr>
                    <w:t xml:space="preserve"> </w:t>
                  </w:r>
                  <w:r>
                    <w:rPr>
                      <w:color w:val="000000"/>
                      <w:w w:val="95"/>
                      <w:sz w:val="14"/>
                    </w:rPr>
                    <w:t>market</w:t>
                  </w:r>
                  <w:r>
                    <w:rPr>
                      <w:color w:val="000000"/>
                      <w:spacing w:val="40"/>
                      <w:sz w:val="14"/>
                    </w:rPr>
                    <w:t xml:space="preserve"> </w:t>
                  </w:r>
                  <w:r>
                    <w:rPr>
                      <w:color w:val="000000"/>
                      <w:spacing w:val="-2"/>
                      <w:sz w:val="14"/>
                    </w:rPr>
                    <w:t>interest</w:t>
                  </w:r>
                </w:p>
              </w:txbxContent>
            </v:textbox>
            <w10:anchorlock/>
          </v:shape>
        </w:pict>
      </w:r>
    </w:p>
    <w:p w:rsidR="002C1123" w:rsidRDefault="002C1123">
      <w:pPr>
        <w:pStyle w:val="BodyText"/>
        <w:spacing w:before="8"/>
        <w:rPr>
          <w:b/>
          <w:sz w:val="8"/>
        </w:rPr>
      </w:pPr>
    </w:p>
    <w:p w:rsidR="002C1123" w:rsidRDefault="00F22F94">
      <w:pPr>
        <w:rPr>
          <w:b/>
          <w:sz w:val="16"/>
        </w:rPr>
      </w:pPr>
      <w:r>
        <w:br w:type="column"/>
      </w:r>
    </w:p>
    <w:p w:rsidR="002C1123" w:rsidRDefault="002C1123">
      <w:pPr>
        <w:pStyle w:val="BodyText"/>
        <w:rPr>
          <w:b/>
          <w:sz w:val="16"/>
        </w:rPr>
      </w:pPr>
    </w:p>
    <w:p w:rsidR="002C1123" w:rsidRDefault="002C1123">
      <w:pPr>
        <w:pStyle w:val="BodyText"/>
        <w:rPr>
          <w:b/>
          <w:sz w:val="16"/>
        </w:rPr>
      </w:pPr>
    </w:p>
    <w:p w:rsidR="002C1123" w:rsidRDefault="002C1123">
      <w:pPr>
        <w:pStyle w:val="BodyText"/>
        <w:rPr>
          <w:b/>
          <w:sz w:val="16"/>
        </w:rPr>
      </w:pPr>
    </w:p>
    <w:p w:rsidR="002C1123" w:rsidRDefault="002C1123">
      <w:pPr>
        <w:pStyle w:val="BodyText"/>
        <w:rPr>
          <w:b/>
          <w:sz w:val="16"/>
        </w:rPr>
      </w:pPr>
    </w:p>
    <w:p w:rsidR="002C1123" w:rsidRDefault="002C1123">
      <w:pPr>
        <w:pStyle w:val="BodyText"/>
        <w:spacing w:before="7"/>
        <w:rPr>
          <w:b/>
          <w:sz w:val="23"/>
        </w:rPr>
      </w:pPr>
    </w:p>
    <w:p w:rsidR="002C1123" w:rsidRDefault="002060EF">
      <w:pPr>
        <w:ind w:left="266" w:hanging="157"/>
        <w:rPr>
          <w:b/>
          <w:sz w:val="14"/>
        </w:rPr>
      </w:pPr>
      <w:r>
        <w:pict>
          <v:shape id="docshape2946" o:spid="_x0000_s1057" type="#_x0000_t202" style="position:absolute;left:0;text-align:left;margin-left:348.35pt;margin-top:-63.65pt;width:79.4pt;height:51.95pt;z-index:251770880;mso-position-horizontal-relative:page" fillcolor="#00aeef" stroked="f">
            <v:textbox inset="0,0,0,0">
              <w:txbxContent>
                <w:p w:rsidR="00F22F94" w:rsidRDefault="00F22F94">
                  <w:pPr>
                    <w:spacing w:before="46" w:line="547" w:lineRule="exact"/>
                    <w:jc w:val="center"/>
                    <w:rPr>
                      <w:rFonts w:ascii="Trebuchet MS"/>
                      <w:color w:val="000000"/>
                      <w:sz w:val="48"/>
                    </w:rPr>
                  </w:pPr>
                  <w:r>
                    <w:rPr>
                      <w:rFonts w:ascii="Trebuchet MS"/>
                      <w:color w:val="FFFFFF"/>
                      <w:w w:val="64"/>
                      <w:sz w:val="48"/>
                    </w:rPr>
                    <w:t>3</w:t>
                  </w:r>
                </w:p>
                <w:p w:rsidR="00F22F94" w:rsidRDefault="00F22F94">
                  <w:pPr>
                    <w:spacing w:line="150" w:lineRule="exact"/>
                    <w:ind w:left="104" w:right="104"/>
                    <w:jc w:val="center"/>
                    <w:rPr>
                      <w:color w:val="000000"/>
                      <w:sz w:val="14"/>
                    </w:rPr>
                  </w:pPr>
                  <w:r>
                    <w:rPr>
                      <w:color w:val="FFFFFF"/>
                      <w:sz w:val="14"/>
                    </w:rPr>
                    <w:t>Pre-</w:t>
                  </w:r>
                  <w:r>
                    <w:rPr>
                      <w:color w:val="FFFFFF"/>
                      <w:spacing w:val="-2"/>
                      <w:sz w:val="14"/>
                    </w:rPr>
                    <w:t>tender</w:t>
                  </w:r>
                </w:p>
              </w:txbxContent>
            </v:textbox>
            <w10:wrap anchorx="page"/>
          </v:shape>
        </w:pict>
      </w:r>
      <w:r w:rsidR="00F22F94">
        <w:rPr>
          <w:b/>
          <w:spacing w:val="-2"/>
          <w:sz w:val="14"/>
        </w:rPr>
        <w:t>Procurement</w:t>
      </w:r>
      <w:r w:rsidR="00F22F94">
        <w:rPr>
          <w:b/>
          <w:spacing w:val="40"/>
          <w:sz w:val="14"/>
        </w:rPr>
        <w:t xml:space="preserve"> </w:t>
      </w:r>
      <w:r w:rsidR="00F22F94">
        <w:rPr>
          <w:b/>
          <w:spacing w:val="-2"/>
          <w:sz w:val="14"/>
        </w:rPr>
        <w:t>Strategy</w:t>
      </w:r>
    </w:p>
    <w:p w:rsidR="002C1123" w:rsidRDefault="002C1123">
      <w:pPr>
        <w:pStyle w:val="BodyText"/>
        <w:spacing w:before="3"/>
        <w:rPr>
          <w:b/>
          <w:sz w:val="13"/>
        </w:rPr>
      </w:pPr>
    </w:p>
    <w:p w:rsidR="002C1123" w:rsidRDefault="002060EF">
      <w:pPr>
        <w:pStyle w:val="BodyText"/>
        <w:ind w:left="-236" w:right="-360"/>
      </w:pPr>
      <w:r>
        <w:pict>
          <v:shape id="docshape2947" o:spid="_x0000_s5247" type="#_x0000_t202" style="width:79.4pt;height:75.15pt;mso-left-percent:-10001;mso-top-percent:-10001;mso-position-horizontal:absolute;mso-position-horizontal-relative:char;mso-position-vertical:absolute;mso-position-vertical-relative:line;mso-left-percent:-10001;mso-top-percent:-10001" fillcolor="#e1e0e1" stroked="f">
            <v:textbox inset="0,0,0,0">
              <w:txbxContent>
                <w:p w:rsidR="00F22F94" w:rsidRDefault="00F22F94">
                  <w:pPr>
                    <w:numPr>
                      <w:ilvl w:val="0"/>
                      <w:numId w:val="14"/>
                    </w:numPr>
                    <w:tabs>
                      <w:tab w:val="left" w:pos="152"/>
                    </w:tabs>
                    <w:spacing w:before="82"/>
                    <w:rPr>
                      <w:color w:val="000000"/>
                      <w:sz w:val="14"/>
                    </w:rPr>
                  </w:pPr>
                  <w:r>
                    <w:rPr>
                      <w:color w:val="000000"/>
                      <w:w w:val="90"/>
                      <w:sz w:val="14"/>
                    </w:rPr>
                    <w:t>Review</w:t>
                  </w:r>
                  <w:r>
                    <w:rPr>
                      <w:color w:val="000000"/>
                      <w:spacing w:val="7"/>
                      <w:sz w:val="14"/>
                    </w:rPr>
                    <w:t xml:space="preserve"> </w:t>
                  </w:r>
                  <w:r>
                    <w:rPr>
                      <w:color w:val="000000"/>
                      <w:spacing w:val="-2"/>
                      <w:sz w:val="14"/>
                    </w:rPr>
                    <w:t>specifications</w:t>
                  </w:r>
                </w:p>
                <w:p w:rsidR="00F22F94" w:rsidRDefault="00F22F94">
                  <w:pPr>
                    <w:numPr>
                      <w:ilvl w:val="0"/>
                      <w:numId w:val="14"/>
                    </w:numPr>
                    <w:tabs>
                      <w:tab w:val="left" w:pos="152"/>
                    </w:tabs>
                    <w:spacing w:before="13"/>
                    <w:ind w:right="183"/>
                    <w:rPr>
                      <w:color w:val="000000"/>
                      <w:sz w:val="14"/>
                    </w:rPr>
                  </w:pPr>
                  <w:r>
                    <w:rPr>
                      <w:color w:val="000000"/>
                      <w:w w:val="95"/>
                      <w:sz w:val="14"/>
                    </w:rPr>
                    <w:t>Review</w:t>
                  </w:r>
                  <w:r>
                    <w:rPr>
                      <w:color w:val="000000"/>
                      <w:spacing w:val="-13"/>
                      <w:w w:val="95"/>
                      <w:sz w:val="14"/>
                    </w:rPr>
                    <w:t xml:space="preserve"> </w:t>
                  </w:r>
                  <w:r>
                    <w:rPr>
                      <w:color w:val="000000"/>
                      <w:w w:val="95"/>
                      <w:sz w:val="14"/>
                    </w:rPr>
                    <w:t>procurement</w:t>
                  </w:r>
                  <w:r>
                    <w:rPr>
                      <w:color w:val="000000"/>
                      <w:spacing w:val="40"/>
                      <w:sz w:val="14"/>
                    </w:rPr>
                    <w:t xml:space="preserve"> </w:t>
                  </w:r>
                  <w:r>
                    <w:rPr>
                      <w:color w:val="000000"/>
                      <w:spacing w:val="-2"/>
                      <w:sz w:val="14"/>
                    </w:rPr>
                    <w:t>process</w:t>
                  </w:r>
                </w:p>
                <w:p w:rsidR="00F22F94" w:rsidRDefault="00F22F94">
                  <w:pPr>
                    <w:numPr>
                      <w:ilvl w:val="0"/>
                      <w:numId w:val="14"/>
                    </w:numPr>
                    <w:tabs>
                      <w:tab w:val="left" w:pos="152"/>
                    </w:tabs>
                    <w:spacing w:before="12"/>
                    <w:ind w:right="513"/>
                    <w:rPr>
                      <w:color w:val="000000"/>
                      <w:sz w:val="14"/>
                    </w:rPr>
                  </w:pPr>
                  <w:r>
                    <w:rPr>
                      <w:color w:val="000000"/>
                      <w:sz w:val="14"/>
                    </w:rPr>
                    <w:t>Review</w:t>
                  </w:r>
                  <w:r>
                    <w:rPr>
                      <w:color w:val="000000"/>
                      <w:spacing w:val="-14"/>
                      <w:sz w:val="14"/>
                    </w:rPr>
                    <w:t xml:space="preserve"> </w:t>
                  </w:r>
                  <w:r>
                    <w:rPr>
                      <w:color w:val="000000"/>
                      <w:sz w:val="14"/>
                    </w:rPr>
                    <w:t>project</w:t>
                  </w:r>
                  <w:r>
                    <w:rPr>
                      <w:color w:val="000000"/>
                      <w:spacing w:val="40"/>
                      <w:sz w:val="14"/>
                    </w:rPr>
                    <w:t xml:space="preserve"> </w:t>
                  </w:r>
                  <w:r>
                    <w:rPr>
                      <w:color w:val="000000"/>
                      <w:spacing w:val="-2"/>
                      <w:sz w:val="14"/>
                    </w:rPr>
                    <w:t>documentation</w:t>
                  </w:r>
                </w:p>
                <w:p w:rsidR="00F22F94" w:rsidRDefault="00F22F94">
                  <w:pPr>
                    <w:numPr>
                      <w:ilvl w:val="0"/>
                      <w:numId w:val="14"/>
                    </w:numPr>
                    <w:tabs>
                      <w:tab w:val="left" w:pos="178"/>
                    </w:tabs>
                    <w:spacing w:before="12"/>
                    <w:ind w:left="177" w:right="107" w:hanging="95"/>
                    <w:rPr>
                      <w:color w:val="000000"/>
                      <w:sz w:val="14"/>
                    </w:rPr>
                  </w:pPr>
                  <w:r>
                    <w:rPr>
                      <w:color w:val="000000"/>
                      <w:w w:val="95"/>
                      <w:sz w:val="14"/>
                    </w:rPr>
                    <w:t>Confirm</w:t>
                  </w:r>
                  <w:r>
                    <w:rPr>
                      <w:color w:val="000000"/>
                      <w:spacing w:val="-13"/>
                      <w:w w:val="95"/>
                      <w:sz w:val="14"/>
                    </w:rPr>
                    <w:t xml:space="preserve"> </w:t>
                  </w:r>
                  <w:r>
                    <w:rPr>
                      <w:color w:val="000000"/>
                      <w:w w:val="95"/>
                      <w:sz w:val="14"/>
                    </w:rPr>
                    <w:t>development</w:t>
                  </w:r>
                  <w:r>
                    <w:rPr>
                      <w:color w:val="000000"/>
                      <w:spacing w:val="40"/>
                      <w:sz w:val="14"/>
                    </w:rPr>
                    <w:t xml:space="preserve"> </w:t>
                  </w:r>
                  <w:r>
                    <w:rPr>
                      <w:color w:val="000000"/>
                      <w:sz w:val="14"/>
                    </w:rPr>
                    <w:t>&amp;</w:t>
                  </w:r>
                  <w:r>
                    <w:rPr>
                      <w:color w:val="000000"/>
                      <w:spacing w:val="-2"/>
                      <w:sz w:val="14"/>
                    </w:rPr>
                    <w:t xml:space="preserve"> </w:t>
                  </w:r>
                  <w:r>
                    <w:rPr>
                      <w:color w:val="000000"/>
                      <w:sz w:val="14"/>
                    </w:rPr>
                    <w:t>delivery</w:t>
                  </w:r>
                  <w:r>
                    <w:rPr>
                      <w:color w:val="000000"/>
                      <w:spacing w:val="-2"/>
                      <w:sz w:val="14"/>
                    </w:rPr>
                    <w:t xml:space="preserve"> </w:t>
                  </w:r>
                  <w:r>
                    <w:rPr>
                      <w:color w:val="000000"/>
                      <w:sz w:val="14"/>
                    </w:rPr>
                    <w:t>approach</w:t>
                  </w:r>
                </w:p>
              </w:txbxContent>
            </v:textbox>
            <w10:anchorlock/>
          </v:shape>
        </w:pict>
      </w:r>
    </w:p>
    <w:p w:rsidR="002C1123" w:rsidRDefault="002C1123">
      <w:pPr>
        <w:pStyle w:val="BodyText"/>
        <w:spacing w:before="8"/>
        <w:rPr>
          <w:b/>
          <w:sz w:val="8"/>
        </w:rPr>
      </w:pPr>
    </w:p>
    <w:p w:rsidR="002C1123" w:rsidRDefault="00F22F94">
      <w:pPr>
        <w:rPr>
          <w:b/>
          <w:sz w:val="16"/>
        </w:rPr>
      </w:pPr>
      <w:r>
        <w:br w:type="column"/>
      </w:r>
    </w:p>
    <w:p w:rsidR="002C1123" w:rsidRDefault="002C1123">
      <w:pPr>
        <w:pStyle w:val="BodyText"/>
        <w:rPr>
          <w:b/>
          <w:sz w:val="16"/>
        </w:rPr>
      </w:pPr>
    </w:p>
    <w:p w:rsidR="002C1123" w:rsidRDefault="002C1123">
      <w:pPr>
        <w:pStyle w:val="BodyText"/>
        <w:rPr>
          <w:b/>
          <w:sz w:val="16"/>
        </w:rPr>
      </w:pPr>
    </w:p>
    <w:p w:rsidR="002C1123" w:rsidRDefault="002C1123">
      <w:pPr>
        <w:pStyle w:val="BodyText"/>
        <w:rPr>
          <w:b/>
          <w:sz w:val="16"/>
        </w:rPr>
      </w:pPr>
    </w:p>
    <w:p w:rsidR="002C1123" w:rsidRDefault="002C1123">
      <w:pPr>
        <w:pStyle w:val="BodyText"/>
        <w:rPr>
          <w:b/>
          <w:sz w:val="16"/>
        </w:rPr>
      </w:pPr>
    </w:p>
    <w:p w:rsidR="002C1123" w:rsidRDefault="002C1123">
      <w:pPr>
        <w:pStyle w:val="BodyText"/>
        <w:spacing w:before="7"/>
        <w:rPr>
          <w:b/>
          <w:sz w:val="23"/>
        </w:rPr>
      </w:pPr>
    </w:p>
    <w:p w:rsidR="002C1123" w:rsidRDefault="002060EF">
      <w:pPr>
        <w:ind w:left="110"/>
        <w:rPr>
          <w:b/>
          <w:sz w:val="14"/>
        </w:rPr>
      </w:pPr>
      <w:r>
        <w:pict>
          <v:shape id="docshape2948" o:spid="_x0000_s1055" type="#_x0000_t202" style="position:absolute;left:0;text-align:left;margin-left:438.95pt;margin-top:-63.65pt;width:79.4pt;height:51.95pt;z-index:251769856;mso-position-horizontal-relative:page" fillcolor="#00aeef" stroked="f">
            <v:textbox inset="0,0,0,0">
              <w:txbxContent>
                <w:p w:rsidR="00F22F94" w:rsidRDefault="00F22F94">
                  <w:pPr>
                    <w:spacing w:before="46" w:line="547" w:lineRule="exact"/>
                    <w:jc w:val="center"/>
                    <w:rPr>
                      <w:rFonts w:ascii="Trebuchet MS"/>
                      <w:color w:val="000000"/>
                      <w:sz w:val="48"/>
                    </w:rPr>
                  </w:pPr>
                  <w:r>
                    <w:rPr>
                      <w:rFonts w:ascii="Trebuchet MS"/>
                      <w:color w:val="FFFFFF"/>
                      <w:w w:val="68"/>
                      <w:sz w:val="48"/>
                    </w:rPr>
                    <w:t>4</w:t>
                  </w:r>
                </w:p>
                <w:p w:rsidR="00F22F94" w:rsidRDefault="00F22F94">
                  <w:pPr>
                    <w:spacing w:line="150" w:lineRule="exact"/>
                    <w:ind w:left="104" w:right="104"/>
                    <w:jc w:val="center"/>
                    <w:rPr>
                      <w:color w:val="000000"/>
                      <w:sz w:val="14"/>
                    </w:rPr>
                  </w:pPr>
                  <w:r>
                    <w:rPr>
                      <w:color w:val="FFFFFF"/>
                      <w:spacing w:val="-2"/>
                      <w:sz w:val="14"/>
                    </w:rPr>
                    <w:t>Tender</w:t>
                  </w:r>
                </w:p>
                <w:p w:rsidR="00F22F94" w:rsidRDefault="00F22F94">
                  <w:pPr>
                    <w:spacing w:line="161" w:lineRule="exact"/>
                    <w:ind w:left="104" w:right="102"/>
                    <w:jc w:val="center"/>
                    <w:rPr>
                      <w:color w:val="000000"/>
                      <w:sz w:val="14"/>
                    </w:rPr>
                  </w:pPr>
                  <w:r>
                    <w:rPr>
                      <w:color w:val="FFFFFF"/>
                      <w:spacing w:val="-2"/>
                      <w:sz w:val="14"/>
                    </w:rPr>
                    <w:t>evaluation</w:t>
                  </w:r>
                </w:p>
              </w:txbxContent>
            </v:textbox>
            <w10:wrap anchorx="page"/>
          </v:shape>
        </w:pict>
      </w:r>
      <w:r w:rsidR="00F22F94">
        <w:rPr>
          <w:b/>
          <w:sz w:val="14"/>
        </w:rPr>
        <w:t>Tender</w:t>
      </w:r>
      <w:r w:rsidR="00F22F94">
        <w:rPr>
          <w:b/>
          <w:spacing w:val="-13"/>
          <w:sz w:val="14"/>
        </w:rPr>
        <w:t xml:space="preserve"> </w:t>
      </w:r>
      <w:r w:rsidR="00F22F94">
        <w:rPr>
          <w:b/>
          <w:spacing w:val="-2"/>
          <w:sz w:val="14"/>
        </w:rPr>
        <w:t>Evaluation</w:t>
      </w:r>
    </w:p>
    <w:p w:rsidR="002C1123" w:rsidRDefault="002C1123">
      <w:pPr>
        <w:pStyle w:val="BodyText"/>
        <w:spacing w:before="3"/>
        <w:rPr>
          <w:b/>
          <w:sz w:val="27"/>
        </w:rPr>
      </w:pPr>
    </w:p>
    <w:p w:rsidR="002C1123" w:rsidRDefault="002060EF">
      <w:pPr>
        <w:pStyle w:val="BodyText"/>
        <w:ind w:left="-76" w:right="-202"/>
      </w:pPr>
      <w:r>
        <w:pict>
          <v:shape id="docshape2949" o:spid="_x0000_s5246" type="#_x0000_t202" style="width:79.4pt;height:75.15pt;mso-left-percent:-10001;mso-top-percent:-10001;mso-position-horizontal:absolute;mso-position-horizontal-relative:char;mso-position-vertical:absolute;mso-position-vertical-relative:line;mso-left-percent:-10001;mso-top-percent:-10001" fillcolor="#e1e0e1" stroked="f">
            <v:textbox inset="0,0,0,0">
              <w:txbxContent>
                <w:p w:rsidR="00F22F94" w:rsidRDefault="00F22F94">
                  <w:pPr>
                    <w:numPr>
                      <w:ilvl w:val="0"/>
                      <w:numId w:val="13"/>
                    </w:numPr>
                    <w:tabs>
                      <w:tab w:val="left" w:pos="152"/>
                    </w:tabs>
                    <w:spacing w:before="82"/>
                    <w:rPr>
                      <w:color w:val="000000"/>
                      <w:sz w:val="14"/>
                    </w:rPr>
                  </w:pPr>
                  <w:r>
                    <w:rPr>
                      <w:color w:val="000000"/>
                      <w:w w:val="90"/>
                      <w:sz w:val="14"/>
                    </w:rPr>
                    <w:t>Evaluation</w:t>
                  </w:r>
                  <w:r>
                    <w:rPr>
                      <w:color w:val="000000"/>
                      <w:spacing w:val="3"/>
                      <w:sz w:val="14"/>
                    </w:rPr>
                    <w:t xml:space="preserve"> </w:t>
                  </w:r>
                  <w:r>
                    <w:rPr>
                      <w:color w:val="000000"/>
                      <w:w w:val="90"/>
                      <w:sz w:val="14"/>
                    </w:rPr>
                    <w:t>of</w:t>
                  </w:r>
                  <w:r>
                    <w:rPr>
                      <w:color w:val="000000"/>
                      <w:spacing w:val="3"/>
                      <w:sz w:val="14"/>
                    </w:rPr>
                    <w:t xml:space="preserve"> </w:t>
                  </w:r>
                  <w:r>
                    <w:rPr>
                      <w:color w:val="000000"/>
                      <w:spacing w:val="-4"/>
                      <w:w w:val="90"/>
                      <w:sz w:val="14"/>
                    </w:rPr>
                    <w:t>bids</w:t>
                  </w:r>
                </w:p>
                <w:p w:rsidR="00F22F94" w:rsidRDefault="00F22F94">
                  <w:pPr>
                    <w:numPr>
                      <w:ilvl w:val="0"/>
                      <w:numId w:val="13"/>
                    </w:numPr>
                    <w:tabs>
                      <w:tab w:val="left" w:pos="152"/>
                    </w:tabs>
                    <w:spacing w:before="13"/>
                    <w:ind w:right="129"/>
                    <w:rPr>
                      <w:color w:val="000000"/>
                      <w:sz w:val="14"/>
                    </w:rPr>
                  </w:pPr>
                  <w:r>
                    <w:rPr>
                      <w:color w:val="000000"/>
                      <w:w w:val="95"/>
                      <w:sz w:val="14"/>
                    </w:rPr>
                    <w:t>Negotiation,</w:t>
                  </w:r>
                  <w:r>
                    <w:rPr>
                      <w:color w:val="000000"/>
                      <w:spacing w:val="-13"/>
                      <w:w w:val="95"/>
                      <w:sz w:val="14"/>
                    </w:rPr>
                    <w:t xml:space="preserve"> </w:t>
                  </w:r>
                  <w:r>
                    <w:rPr>
                      <w:color w:val="000000"/>
                      <w:w w:val="95"/>
                      <w:sz w:val="14"/>
                    </w:rPr>
                    <w:t>selection</w:t>
                  </w:r>
                  <w:r>
                    <w:rPr>
                      <w:color w:val="000000"/>
                      <w:spacing w:val="40"/>
                      <w:sz w:val="14"/>
                    </w:rPr>
                    <w:t xml:space="preserve"> </w:t>
                  </w:r>
                  <w:r>
                    <w:rPr>
                      <w:color w:val="000000"/>
                      <w:sz w:val="14"/>
                    </w:rPr>
                    <w:t>or</w:t>
                  </w:r>
                  <w:r>
                    <w:rPr>
                      <w:color w:val="000000"/>
                      <w:spacing w:val="-2"/>
                      <w:sz w:val="14"/>
                    </w:rPr>
                    <w:t xml:space="preserve"> </w:t>
                  </w:r>
                  <w:r>
                    <w:rPr>
                      <w:color w:val="000000"/>
                      <w:sz w:val="14"/>
                    </w:rPr>
                    <w:t>award</w:t>
                  </w:r>
                  <w:r>
                    <w:rPr>
                      <w:color w:val="000000"/>
                      <w:spacing w:val="-2"/>
                      <w:sz w:val="14"/>
                    </w:rPr>
                    <w:t xml:space="preserve"> </w:t>
                  </w:r>
                  <w:r>
                    <w:rPr>
                      <w:color w:val="000000"/>
                      <w:sz w:val="14"/>
                    </w:rPr>
                    <w:t>tender</w:t>
                  </w:r>
                </w:p>
                <w:p w:rsidR="00F22F94" w:rsidRDefault="00F22F94">
                  <w:pPr>
                    <w:numPr>
                      <w:ilvl w:val="0"/>
                      <w:numId w:val="13"/>
                    </w:numPr>
                    <w:tabs>
                      <w:tab w:val="left" w:pos="152"/>
                    </w:tabs>
                    <w:spacing w:before="12"/>
                    <w:rPr>
                      <w:color w:val="000000"/>
                      <w:sz w:val="14"/>
                    </w:rPr>
                  </w:pPr>
                  <w:r>
                    <w:rPr>
                      <w:color w:val="000000"/>
                      <w:w w:val="90"/>
                      <w:sz w:val="14"/>
                    </w:rPr>
                    <w:t>Revisit</w:t>
                  </w:r>
                  <w:r>
                    <w:rPr>
                      <w:color w:val="000000"/>
                      <w:spacing w:val="15"/>
                      <w:sz w:val="14"/>
                    </w:rPr>
                    <w:t xml:space="preserve"> </w:t>
                  </w:r>
                  <w:r>
                    <w:rPr>
                      <w:color w:val="000000"/>
                      <w:w w:val="90"/>
                      <w:sz w:val="14"/>
                    </w:rPr>
                    <w:t>business</w:t>
                  </w:r>
                  <w:r>
                    <w:rPr>
                      <w:color w:val="000000"/>
                      <w:spacing w:val="16"/>
                      <w:sz w:val="14"/>
                    </w:rPr>
                    <w:t xml:space="preserve"> </w:t>
                  </w:r>
                  <w:r>
                    <w:rPr>
                      <w:color w:val="000000"/>
                      <w:spacing w:val="-4"/>
                      <w:w w:val="90"/>
                      <w:sz w:val="14"/>
                    </w:rPr>
                    <w:t>case</w:t>
                  </w:r>
                </w:p>
                <w:p w:rsidR="00F22F94" w:rsidRDefault="00F22F94">
                  <w:pPr>
                    <w:numPr>
                      <w:ilvl w:val="0"/>
                      <w:numId w:val="13"/>
                    </w:numPr>
                    <w:tabs>
                      <w:tab w:val="left" w:pos="152"/>
                    </w:tabs>
                    <w:spacing w:before="13"/>
                    <w:ind w:right="244"/>
                    <w:rPr>
                      <w:color w:val="000000"/>
                      <w:sz w:val="14"/>
                    </w:rPr>
                  </w:pPr>
                  <w:r>
                    <w:rPr>
                      <w:color w:val="000000"/>
                      <w:sz w:val="14"/>
                    </w:rPr>
                    <w:t>Confirm</w:t>
                  </w:r>
                  <w:r>
                    <w:rPr>
                      <w:color w:val="000000"/>
                      <w:spacing w:val="-15"/>
                      <w:sz w:val="14"/>
                    </w:rPr>
                    <w:t xml:space="preserve"> </w:t>
                  </w:r>
                  <w:r>
                    <w:rPr>
                      <w:color w:val="000000"/>
                      <w:sz w:val="14"/>
                    </w:rPr>
                    <w:t>decision</w:t>
                  </w:r>
                  <w:r>
                    <w:rPr>
                      <w:color w:val="000000"/>
                      <w:spacing w:val="40"/>
                      <w:sz w:val="14"/>
                    </w:rPr>
                    <w:t xml:space="preserve"> </w:t>
                  </w:r>
                  <w:r>
                    <w:rPr>
                      <w:color w:val="000000"/>
                      <w:w w:val="95"/>
                      <w:sz w:val="14"/>
                    </w:rPr>
                    <w:t>will</w:t>
                  </w:r>
                  <w:r>
                    <w:rPr>
                      <w:color w:val="000000"/>
                      <w:spacing w:val="-13"/>
                      <w:w w:val="95"/>
                      <w:sz w:val="14"/>
                    </w:rPr>
                    <w:t xml:space="preserve"> </w:t>
                  </w:r>
                  <w:r>
                    <w:rPr>
                      <w:color w:val="000000"/>
                      <w:w w:val="95"/>
                      <w:sz w:val="14"/>
                    </w:rPr>
                    <w:t>provide</w:t>
                  </w:r>
                  <w:r>
                    <w:rPr>
                      <w:color w:val="000000"/>
                      <w:spacing w:val="-12"/>
                      <w:w w:val="95"/>
                      <w:sz w:val="14"/>
                    </w:rPr>
                    <w:t xml:space="preserve"> </w:t>
                  </w:r>
                  <w:r>
                    <w:rPr>
                      <w:color w:val="000000"/>
                      <w:w w:val="95"/>
                      <w:sz w:val="14"/>
                    </w:rPr>
                    <w:t>value</w:t>
                  </w:r>
                  <w:r>
                    <w:rPr>
                      <w:color w:val="000000"/>
                      <w:spacing w:val="-12"/>
                      <w:w w:val="95"/>
                      <w:sz w:val="14"/>
                    </w:rPr>
                    <w:t xml:space="preserve"> </w:t>
                  </w:r>
                  <w:r>
                    <w:rPr>
                      <w:color w:val="000000"/>
                      <w:w w:val="95"/>
                      <w:sz w:val="14"/>
                    </w:rPr>
                    <w:t>for</w:t>
                  </w:r>
                  <w:r>
                    <w:rPr>
                      <w:color w:val="000000"/>
                      <w:spacing w:val="40"/>
                      <w:sz w:val="14"/>
                    </w:rPr>
                    <w:t xml:space="preserve"> </w:t>
                  </w:r>
                  <w:r>
                    <w:rPr>
                      <w:color w:val="000000"/>
                      <w:spacing w:val="-2"/>
                      <w:sz w:val="14"/>
                    </w:rPr>
                    <w:t>money</w:t>
                  </w:r>
                </w:p>
              </w:txbxContent>
            </v:textbox>
            <w10:anchorlock/>
          </v:shape>
        </w:pict>
      </w:r>
    </w:p>
    <w:p w:rsidR="002C1123" w:rsidRDefault="002C1123">
      <w:pPr>
        <w:pStyle w:val="BodyText"/>
        <w:spacing w:before="8"/>
        <w:rPr>
          <w:b/>
          <w:sz w:val="8"/>
        </w:rPr>
      </w:pPr>
    </w:p>
    <w:p w:rsidR="002C1123" w:rsidRDefault="00F22F94">
      <w:pPr>
        <w:rPr>
          <w:b/>
          <w:sz w:val="16"/>
        </w:rPr>
      </w:pPr>
      <w:r>
        <w:br w:type="column"/>
      </w:r>
    </w:p>
    <w:p w:rsidR="002C1123" w:rsidRDefault="002C1123">
      <w:pPr>
        <w:pStyle w:val="BodyText"/>
        <w:rPr>
          <w:b/>
          <w:sz w:val="16"/>
        </w:rPr>
      </w:pPr>
    </w:p>
    <w:p w:rsidR="002C1123" w:rsidRDefault="002C1123">
      <w:pPr>
        <w:pStyle w:val="BodyText"/>
        <w:rPr>
          <w:b/>
          <w:sz w:val="16"/>
        </w:rPr>
      </w:pPr>
    </w:p>
    <w:p w:rsidR="002C1123" w:rsidRDefault="002C1123">
      <w:pPr>
        <w:pStyle w:val="BodyText"/>
        <w:rPr>
          <w:b/>
          <w:sz w:val="16"/>
        </w:rPr>
      </w:pPr>
    </w:p>
    <w:p w:rsidR="002C1123" w:rsidRDefault="002C1123">
      <w:pPr>
        <w:pStyle w:val="BodyText"/>
        <w:rPr>
          <w:b/>
          <w:sz w:val="16"/>
        </w:rPr>
      </w:pPr>
    </w:p>
    <w:p w:rsidR="002C1123" w:rsidRDefault="002C1123">
      <w:pPr>
        <w:pStyle w:val="BodyText"/>
        <w:spacing w:before="7"/>
        <w:rPr>
          <w:b/>
          <w:sz w:val="23"/>
        </w:rPr>
      </w:pPr>
    </w:p>
    <w:p w:rsidR="002C1123" w:rsidRDefault="002060EF">
      <w:pPr>
        <w:ind w:left="332" w:hanging="222"/>
        <w:rPr>
          <w:b/>
          <w:sz w:val="14"/>
        </w:rPr>
      </w:pPr>
      <w:r>
        <w:pict>
          <v:shape id="docshape2950" o:spid="_x0000_s1053" type="#_x0000_t202" style="position:absolute;left:0;text-align:left;margin-left:529.55pt;margin-top:-63.65pt;width:79.4pt;height:51.95pt;z-index:251768832;mso-position-horizontal-relative:page" fillcolor="#00aeef" stroked="f">
            <v:textbox inset="0,0,0,0">
              <w:txbxContent>
                <w:p w:rsidR="00F22F94" w:rsidRDefault="00F22F94">
                  <w:pPr>
                    <w:spacing w:before="46" w:line="547" w:lineRule="exact"/>
                    <w:jc w:val="center"/>
                    <w:rPr>
                      <w:rFonts w:ascii="Trebuchet MS"/>
                      <w:color w:val="000000"/>
                      <w:sz w:val="48"/>
                    </w:rPr>
                  </w:pPr>
                  <w:r>
                    <w:rPr>
                      <w:rFonts w:ascii="Trebuchet MS"/>
                      <w:color w:val="FFFFFF"/>
                      <w:w w:val="65"/>
                      <w:sz w:val="48"/>
                    </w:rPr>
                    <w:t>5</w:t>
                  </w:r>
                </w:p>
                <w:p w:rsidR="00F22F94" w:rsidRDefault="00F22F94">
                  <w:pPr>
                    <w:spacing w:line="150" w:lineRule="exact"/>
                    <w:ind w:left="104" w:right="104"/>
                    <w:jc w:val="center"/>
                    <w:rPr>
                      <w:color w:val="000000"/>
                      <w:sz w:val="14"/>
                    </w:rPr>
                  </w:pPr>
                  <w:r>
                    <w:rPr>
                      <w:color w:val="FFFFFF"/>
                      <w:sz w:val="14"/>
                    </w:rPr>
                    <w:t>Pre-</w:t>
                  </w:r>
                  <w:r>
                    <w:rPr>
                      <w:color w:val="FFFFFF"/>
                      <w:spacing w:val="-2"/>
                      <w:sz w:val="14"/>
                    </w:rPr>
                    <w:t>commissioning</w:t>
                  </w:r>
                </w:p>
              </w:txbxContent>
            </v:textbox>
            <w10:wrap anchorx="page"/>
          </v:shape>
        </w:pict>
      </w:r>
      <w:r w:rsidR="00F22F94">
        <w:rPr>
          <w:b/>
          <w:sz w:val="14"/>
        </w:rPr>
        <w:t>The</w:t>
      </w:r>
      <w:r w:rsidR="00F22F94">
        <w:rPr>
          <w:b/>
          <w:spacing w:val="-14"/>
          <w:sz w:val="14"/>
        </w:rPr>
        <w:t xml:space="preserve"> </w:t>
      </w:r>
      <w:r w:rsidR="00F22F94">
        <w:rPr>
          <w:b/>
          <w:sz w:val="14"/>
        </w:rPr>
        <w:t>asset</w:t>
      </w:r>
      <w:r w:rsidR="00F22F94">
        <w:rPr>
          <w:b/>
          <w:spacing w:val="-14"/>
          <w:sz w:val="14"/>
        </w:rPr>
        <w:t xml:space="preserve"> </w:t>
      </w:r>
      <w:r w:rsidR="00F22F94">
        <w:rPr>
          <w:b/>
          <w:sz w:val="14"/>
        </w:rPr>
        <w:t>is</w:t>
      </w:r>
      <w:r w:rsidR="00F22F94">
        <w:rPr>
          <w:b/>
          <w:spacing w:val="-14"/>
          <w:sz w:val="14"/>
        </w:rPr>
        <w:t xml:space="preserve"> </w:t>
      </w:r>
      <w:r w:rsidR="00F22F94">
        <w:rPr>
          <w:b/>
          <w:sz w:val="14"/>
        </w:rPr>
        <w:t>ready</w:t>
      </w:r>
      <w:r w:rsidR="00F22F94">
        <w:rPr>
          <w:b/>
          <w:spacing w:val="40"/>
          <w:sz w:val="14"/>
        </w:rPr>
        <w:t xml:space="preserve"> </w:t>
      </w:r>
      <w:r w:rsidR="00F22F94">
        <w:rPr>
          <w:b/>
          <w:sz w:val="14"/>
        </w:rPr>
        <w:t>for</w:t>
      </w:r>
      <w:r w:rsidR="00F22F94">
        <w:rPr>
          <w:b/>
          <w:spacing w:val="-15"/>
          <w:sz w:val="14"/>
        </w:rPr>
        <w:t xml:space="preserve"> </w:t>
      </w:r>
      <w:r w:rsidR="00F22F94">
        <w:rPr>
          <w:b/>
          <w:sz w:val="14"/>
        </w:rPr>
        <w:t>delivery</w:t>
      </w:r>
    </w:p>
    <w:p w:rsidR="002C1123" w:rsidRDefault="002C1123">
      <w:pPr>
        <w:pStyle w:val="BodyText"/>
        <w:spacing w:before="3"/>
        <w:rPr>
          <w:b/>
          <w:sz w:val="13"/>
        </w:rPr>
      </w:pPr>
    </w:p>
    <w:p w:rsidR="002C1123" w:rsidRDefault="002060EF">
      <w:pPr>
        <w:pStyle w:val="BodyText"/>
        <w:ind w:left="-85" w:right="-202"/>
      </w:pPr>
      <w:r>
        <w:pict>
          <v:shape id="docshape2951" o:spid="_x0000_s5245" type="#_x0000_t202" style="width:79.4pt;height:75.15pt;mso-left-percent:-10001;mso-top-percent:-10001;mso-position-horizontal:absolute;mso-position-horizontal-relative:char;mso-position-vertical:absolute;mso-position-vertical-relative:line;mso-left-percent:-10001;mso-top-percent:-10001" fillcolor="#e1e0e1" stroked="f">
            <v:textbox inset="0,0,0,0">
              <w:txbxContent>
                <w:p w:rsidR="00F22F94" w:rsidRDefault="00F22F94">
                  <w:pPr>
                    <w:numPr>
                      <w:ilvl w:val="0"/>
                      <w:numId w:val="12"/>
                    </w:numPr>
                    <w:tabs>
                      <w:tab w:val="left" w:pos="152"/>
                    </w:tabs>
                    <w:spacing w:before="82"/>
                    <w:rPr>
                      <w:color w:val="000000"/>
                      <w:sz w:val="14"/>
                    </w:rPr>
                  </w:pPr>
                  <w:r>
                    <w:rPr>
                      <w:color w:val="000000"/>
                      <w:w w:val="95"/>
                      <w:sz w:val="14"/>
                    </w:rPr>
                    <w:t>Project</w:t>
                  </w:r>
                  <w:r>
                    <w:rPr>
                      <w:color w:val="000000"/>
                      <w:spacing w:val="-3"/>
                      <w:w w:val="95"/>
                      <w:sz w:val="14"/>
                    </w:rPr>
                    <w:t xml:space="preserve"> </w:t>
                  </w:r>
                  <w:r>
                    <w:rPr>
                      <w:color w:val="000000"/>
                      <w:w w:val="95"/>
                      <w:sz w:val="14"/>
                    </w:rPr>
                    <w:t>close</w:t>
                  </w:r>
                  <w:r>
                    <w:rPr>
                      <w:color w:val="000000"/>
                      <w:spacing w:val="-3"/>
                      <w:w w:val="95"/>
                      <w:sz w:val="14"/>
                    </w:rPr>
                    <w:t xml:space="preserve"> </w:t>
                  </w:r>
                  <w:r>
                    <w:rPr>
                      <w:color w:val="000000"/>
                      <w:spacing w:val="-5"/>
                      <w:w w:val="95"/>
                      <w:sz w:val="14"/>
                    </w:rPr>
                    <w:t>out</w:t>
                  </w:r>
                </w:p>
                <w:p w:rsidR="00F22F94" w:rsidRDefault="00F22F94">
                  <w:pPr>
                    <w:numPr>
                      <w:ilvl w:val="0"/>
                      <w:numId w:val="12"/>
                    </w:numPr>
                    <w:tabs>
                      <w:tab w:val="left" w:pos="152"/>
                    </w:tabs>
                    <w:spacing w:before="13"/>
                    <w:ind w:right="409"/>
                    <w:rPr>
                      <w:color w:val="000000"/>
                      <w:sz w:val="14"/>
                    </w:rPr>
                  </w:pPr>
                  <w:r>
                    <w:rPr>
                      <w:color w:val="000000"/>
                      <w:w w:val="95"/>
                      <w:sz w:val="14"/>
                    </w:rPr>
                    <w:t>Confirm</w:t>
                  </w:r>
                  <w:r>
                    <w:rPr>
                      <w:color w:val="000000"/>
                      <w:spacing w:val="-13"/>
                      <w:w w:val="95"/>
                      <w:sz w:val="14"/>
                    </w:rPr>
                    <w:t xml:space="preserve"> </w:t>
                  </w:r>
                  <w:r>
                    <w:rPr>
                      <w:color w:val="000000"/>
                      <w:w w:val="95"/>
                      <w:sz w:val="14"/>
                    </w:rPr>
                    <w:t>testing</w:t>
                  </w:r>
                  <w:r>
                    <w:rPr>
                      <w:color w:val="000000"/>
                      <w:spacing w:val="-12"/>
                      <w:w w:val="95"/>
                      <w:sz w:val="14"/>
                    </w:rPr>
                    <w:t xml:space="preserve"> </w:t>
                  </w:r>
                  <w:r>
                    <w:rPr>
                      <w:color w:val="000000"/>
                      <w:w w:val="95"/>
                      <w:sz w:val="14"/>
                    </w:rPr>
                    <w:t>&amp;</w:t>
                  </w:r>
                  <w:r>
                    <w:rPr>
                      <w:color w:val="000000"/>
                      <w:spacing w:val="40"/>
                      <w:sz w:val="14"/>
                    </w:rPr>
                    <w:t xml:space="preserve"> </w:t>
                  </w:r>
                  <w:r>
                    <w:rPr>
                      <w:color w:val="000000"/>
                      <w:spacing w:val="-2"/>
                      <w:sz w:val="14"/>
                    </w:rPr>
                    <w:t>commissioning</w:t>
                  </w:r>
                </w:p>
                <w:p w:rsidR="00F22F94" w:rsidRDefault="00F22F94">
                  <w:pPr>
                    <w:numPr>
                      <w:ilvl w:val="0"/>
                      <w:numId w:val="12"/>
                    </w:numPr>
                    <w:tabs>
                      <w:tab w:val="left" w:pos="152"/>
                    </w:tabs>
                    <w:spacing w:before="12"/>
                    <w:ind w:right="249"/>
                    <w:rPr>
                      <w:color w:val="000000"/>
                      <w:sz w:val="14"/>
                    </w:rPr>
                  </w:pPr>
                  <w:r>
                    <w:rPr>
                      <w:color w:val="000000"/>
                      <w:w w:val="95"/>
                      <w:sz w:val="14"/>
                    </w:rPr>
                    <w:t>Ensure</w:t>
                  </w:r>
                  <w:r>
                    <w:rPr>
                      <w:color w:val="000000"/>
                      <w:spacing w:val="-7"/>
                      <w:w w:val="95"/>
                      <w:sz w:val="14"/>
                    </w:rPr>
                    <w:t xml:space="preserve"> </w:t>
                  </w:r>
                  <w:r>
                    <w:rPr>
                      <w:color w:val="000000"/>
                      <w:w w:val="95"/>
                      <w:sz w:val="14"/>
                    </w:rPr>
                    <w:t>handover</w:t>
                  </w:r>
                  <w:r>
                    <w:rPr>
                      <w:color w:val="000000"/>
                      <w:spacing w:val="-7"/>
                      <w:w w:val="95"/>
                      <w:sz w:val="14"/>
                    </w:rPr>
                    <w:t xml:space="preserve"> </w:t>
                  </w:r>
                  <w:r>
                    <w:rPr>
                      <w:color w:val="000000"/>
                      <w:w w:val="95"/>
                      <w:sz w:val="14"/>
                    </w:rPr>
                    <w:t>to</w:t>
                  </w:r>
                  <w:r>
                    <w:rPr>
                      <w:color w:val="000000"/>
                      <w:spacing w:val="40"/>
                      <w:sz w:val="14"/>
                    </w:rPr>
                    <w:t xml:space="preserve"> </w:t>
                  </w:r>
                  <w:r>
                    <w:rPr>
                      <w:color w:val="000000"/>
                      <w:w w:val="95"/>
                      <w:sz w:val="14"/>
                    </w:rPr>
                    <w:t>operations</w:t>
                  </w:r>
                  <w:r>
                    <w:rPr>
                      <w:color w:val="000000"/>
                      <w:spacing w:val="-7"/>
                      <w:w w:val="95"/>
                      <w:sz w:val="14"/>
                    </w:rPr>
                    <w:t xml:space="preserve"> </w:t>
                  </w:r>
                  <w:r>
                    <w:rPr>
                      <w:color w:val="000000"/>
                      <w:w w:val="95"/>
                      <w:sz w:val="14"/>
                    </w:rPr>
                    <w:t>is</w:t>
                  </w:r>
                  <w:r>
                    <w:rPr>
                      <w:color w:val="000000"/>
                      <w:spacing w:val="-7"/>
                      <w:w w:val="95"/>
                      <w:sz w:val="14"/>
                    </w:rPr>
                    <w:t xml:space="preserve"> </w:t>
                  </w:r>
                  <w:r>
                    <w:rPr>
                      <w:color w:val="000000"/>
                      <w:w w:val="95"/>
                      <w:sz w:val="14"/>
                    </w:rPr>
                    <w:t>robust</w:t>
                  </w:r>
                </w:p>
                <w:p w:rsidR="00F22F94" w:rsidRDefault="00F22F94">
                  <w:pPr>
                    <w:numPr>
                      <w:ilvl w:val="0"/>
                      <w:numId w:val="12"/>
                    </w:numPr>
                    <w:tabs>
                      <w:tab w:val="left" w:pos="152"/>
                    </w:tabs>
                    <w:spacing w:before="12"/>
                    <w:rPr>
                      <w:color w:val="000000"/>
                      <w:sz w:val="14"/>
                    </w:rPr>
                  </w:pPr>
                  <w:r>
                    <w:rPr>
                      <w:color w:val="000000"/>
                      <w:w w:val="95"/>
                      <w:sz w:val="14"/>
                    </w:rPr>
                    <w:t>Change</w:t>
                  </w:r>
                  <w:r>
                    <w:rPr>
                      <w:color w:val="000000"/>
                      <w:spacing w:val="-4"/>
                      <w:w w:val="95"/>
                      <w:sz w:val="14"/>
                    </w:rPr>
                    <w:t xml:space="preserve"> </w:t>
                  </w:r>
                  <w:r>
                    <w:rPr>
                      <w:color w:val="000000"/>
                      <w:spacing w:val="-2"/>
                      <w:sz w:val="14"/>
                    </w:rPr>
                    <w:t>management</w:t>
                  </w:r>
                </w:p>
                <w:p w:rsidR="00F22F94" w:rsidRDefault="00F22F94">
                  <w:pPr>
                    <w:numPr>
                      <w:ilvl w:val="0"/>
                      <w:numId w:val="12"/>
                    </w:numPr>
                    <w:tabs>
                      <w:tab w:val="left" w:pos="152"/>
                    </w:tabs>
                    <w:spacing w:before="13"/>
                    <w:rPr>
                      <w:color w:val="000000"/>
                      <w:sz w:val="14"/>
                    </w:rPr>
                  </w:pPr>
                  <w:r>
                    <w:rPr>
                      <w:color w:val="000000"/>
                      <w:w w:val="95"/>
                      <w:sz w:val="14"/>
                    </w:rPr>
                    <w:t>Lessons</w:t>
                  </w:r>
                  <w:r>
                    <w:rPr>
                      <w:color w:val="000000"/>
                      <w:spacing w:val="-1"/>
                      <w:w w:val="95"/>
                      <w:sz w:val="14"/>
                    </w:rPr>
                    <w:t xml:space="preserve"> </w:t>
                  </w:r>
                  <w:r>
                    <w:rPr>
                      <w:color w:val="000000"/>
                      <w:spacing w:val="-2"/>
                      <w:sz w:val="14"/>
                    </w:rPr>
                    <w:t>learned</w:t>
                  </w:r>
                </w:p>
              </w:txbxContent>
            </v:textbox>
            <w10:anchorlock/>
          </v:shape>
        </w:pict>
      </w:r>
    </w:p>
    <w:p w:rsidR="002C1123" w:rsidRDefault="002C1123">
      <w:pPr>
        <w:pStyle w:val="BodyText"/>
        <w:spacing w:before="8"/>
        <w:rPr>
          <w:b/>
          <w:sz w:val="8"/>
        </w:rPr>
      </w:pPr>
    </w:p>
    <w:p w:rsidR="002C1123" w:rsidRDefault="00F22F94">
      <w:pPr>
        <w:rPr>
          <w:b/>
          <w:sz w:val="16"/>
        </w:rPr>
      </w:pPr>
      <w:r>
        <w:br w:type="column"/>
      </w:r>
    </w:p>
    <w:p w:rsidR="002C1123" w:rsidRDefault="002C1123">
      <w:pPr>
        <w:pStyle w:val="BodyText"/>
        <w:rPr>
          <w:b/>
          <w:sz w:val="16"/>
        </w:rPr>
      </w:pPr>
    </w:p>
    <w:p w:rsidR="002C1123" w:rsidRDefault="002C1123">
      <w:pPr>
        <w:pStyle w:val="BodyText"/>
        <w:rPr>
          <w:b/>
          <w:sz w:val="16"/>
        </w:rPr>
      </w:pPr>
    </w:p>
    <w:p w:rsidR="002C1123" w:rsidRDefault="002C1123">
      <w:pPr>
        <w:pStyle w:val="BodyText"/>
        <w:rPr>
          <w:b/>
          <w:sz w:val="16"/>
        </w:rPr>
      </w:pPr>
    </w:p>
    <w:p w:rsidR="002C1123" w:rsidRDefault="002C1123">
      <w:pPr>
        <w:pStyle w:val="BodyText"/>
        <w:rPr>
          <w:b/>
          <w:sz w:val="16"/>
        </w:rPr>
      </w:pPr>
    </w:p>
    <w:p w:rsidR="002C1123" w:rsidRDefault="002C1123">
      <w:pPr>
        <w:pStyle w:val="BodyText"/>
        <w:spacing w:before="7"/>
        <w:rPr>
          <w:b/>
          <w:sz w:val="23"/>
        </w:rPr>
      </w:pPr>
    </w:p>
    <w:p w:rsidR="002C1123" w:rsidRDefault="00F22F94">
      <w:pPr>
        <w:ind w:left="110"/>
        <w:rPr>
          <w:b/>
          <w:sz w:val="14"/>
        </w:rPr>
      </w:pPr>
      <w:r>
        <w:rPr>
          <w:b/>
          <w:spacing w:val="-2"/>
          <w:sz w:val="14"/>
        </w:rPr>
        <w:t>Handover</w:t>
      </w:r>
    </w:p>
    <w:p w:rsidR="002C1123" w:rsidRDefault="00F22F94">
      <w:pPr>
        <w:rPr>
          <w:b/>
          <w:sz w:val="16"/>
        </w:rPr>
      </w:pPr>
      <w:r>
        <w:br w:type="column"/>
      </w:r>
    </w:p>
    <w:p w:rsidR="002C1123" w:rsidRDefault="00F22F94">
      <w:pPr>
        <w:spacing w:before="102"/>
        <w:ind w:left="110"/>
        <w:rPr>
          <w:b/>
          <w:sz w:val="14"/>
        </w:rPr>
      </w:pPr>
      <w:r>
        <w:rPr>
          <w:b/>
          <w:w w:val="95"/>
          <w:sz w:val="14"/>
        </w:rPr>
        <w:t>Review</w:t>
      </w:r>
      <w:r>
        <w:rPr>
          <w:b/>
          <w:spacing w:val="2"/>
          <w:sz w:val="14"/>
        </w:rPr>
        <w:t xml:space="preserve"> </w:t>
      </w:r>
      <w:r>
        <w:rPr>
          <w:b/>
          <w:spacing w:val="-2"/>
          <w:sz w:val="14"/>
        </w:rPr>
        <w:t>outcomes</w:t>
      </w:r>
    </w:p>
    <w:p w:rsidR="002C1123" w:rsidRDefault="002060EF">
      <w:pPr>
        <w:pStyle w:val="ListParagraph"/>
        <w:numPr>
          <w:ilvl w:val="0"/>
          <w:numId w:val="11"/>
        </w:numPr>
        <w:tabs>
          <w:tab w:val="left" w:pos="238"/>
        </w:tabs>
        <w:spacing w:before="13"/>
        <w:ind w:right="678"/>
        <w:rPr>
          <w:sz w:val="14"/>
        </w:rPr>
      </w:pPr>
      <w:r>
        <w:pict>
          <v:line id="_x0000_s1051" style="position:absolute;left:0;text-align:left;z-index:251764736;mso-position-horizontal-relative:page" from="699.5pt,-3.35pt" to="706.6pt,-3.35pt" strokecolor="#00aeef" strokeweight="1pt">
            <w10:wrap anchorx="page"/>
          </v:line>
        </w:pict>
      </w:r>
      <w:r>
        <w:pict>
          <v:shape id="docshape2952" o:spid="_x0000_s1050" type="#_x0000_t202" style="position:absolute;left:0;text-align:left;margin-left:620.15pt;margin-top:-26.8pt;width:79.4pt;height:51.95pt;z-index:251765760;mso-position-horizontal-relative:page" fillcolor="#00aeef" stroked="f">
            <v:textbox inset="0,0,0,0">
              <w:txbxContent>
                <w:p w:rsidR="00F22F94" w:rsidRDefault="00F22F94">
                  <w:pPr>
                    <w:spacing w:before="46" w:line="547" w:lineRule="exact"/>
                    <w:jc w:val="center"/>
                    <w:rPr>
                      <w:rFonts w:ascii="Trebuchet MS"/>
                      <w:color w:val="000000"/>
                      <w:sz w:val="48"/>
                    </w:rPr>
                  </w:pPr>
                  <w:r>
                    <w:rPr>
                      <w:rFonts w:ascii="Trebuchet MS"/>
                      <w:color w:val="FFFFFF"/>
                      <w:w w:val="65"/>
                      <w:sz w:val="48"/>
                    </w:rPr>
                    <w:t>6</w:t>
                  </w:r>
                </w:p>
                <w:p w:rsidR="00F22F94" w:rsidRDefault="00F22F94">
                  <w:pPr>
                    <w:spacing w:line="150" w:lineRule="exact"/>
                    <w:ind w:left="104" w:right="104"/>
                    <w:jc w:val="center"/>
                    <w:rPr>
                      <w:color w:val="000000"/>
                      <w:sz w:val="14"/>
                    </w:rPr>
                  </w:pPr>
                  <w:r>
                    <w:rPr>
                      <w:color w:val="FFFFFF"/>
                      <w:sz w:val="14"/>
                    </w:rPr>
                    <w:t>Post</w:t>
                  </w:r>
                  <w:r>
                    <w:rPr>
                      <w:color w:val="FFFFFF"/>
                      <w:spacing w:val="8"/>
                      <w:sz w:val="14"/>
                    </w:rPr>
                    <w:t xml:space="preserve"> </w:t>
                  </w:r>
                  <w:r>
                    <w:rPr>
                      <w:color w:val="FFFFFF"/>
                      <w:spacing w:val="-2"/>
                      <w:sz w:val="14"/>
                    </w:rPr>
                    <w:t>implementation</w:t>
                  </w:r>
                </w:p>
              </w:txbxContent>
            </v:textbox>
            <w10:wrap anchorx="page"/>
          </v:shape>
        </w:pict>
      </w:r>
      <w:r w:rsidR="00F22F94">
        <w:rPr>
          <w:w w:val="95"/>
          <w:sz w:val="14"/>
        </w:rPr>
        <w:t>Independent</w:t>
      </w:r>
      <w:r w:rsidR="00F22F94">
        <w:rPr>
          <w:spacing w:val="-17"/>
          <w:w w:val="95"/>
          <w:sz w:val="14"/>
        </w:rPr>
        <w:t xml:space="preserve"> </w:t>
      </w:r>
      <w:r w:rsidR="00F22F94">
        <w:rPr>
          <w:w w:val="95"/>
          <w:sz w:val="14"/>
        </w:rPr>
        <w:t>peer</w:t>
      </w:r>
      <w:r w:rsidR="00F22F94">
        <w:rPr>
          <w:spacing w:val="-16"/>
          <w:w w:val="95"/>
          <w:sz w:val="14"/>
        </w:rPr>
        <w:t xml:space="preserve"> </w:t>
      </w:r>
      <w:r w:rsidR="00F22F94">
        <w:rPr>
          <w:w w:val="95"/>
          <w:sz w:val="14"/>
        </w:rPr>
        <w:t>review</w:t>
      </w:r>
      <w:r w:rsidR="00F22F94">
        <w:rPr>
          <w:spacing w:val="-16"/>
          <w:w w:val="95"/>
          <w:sz w:val="14"/>
        </w:rPr>
        <w:t xml:space="preserve"> </w:t>
      </w:r>
      <w:r w:rsidR="00F22F94">
        <w:rPr>
          <w:w w:val="95"/>
          <w:sz w:val="14"/>
        </w:rPr>
        <w:t>of</w:t>
      </w:r>
      <w:r w:rsidR="00F22F94">
        <w:rPr>
          <w:spacing w:val="40"/>
          <w:sz w:val="14"/>
        </w:rPr>
        <w:t xml:space="preserve"> </w:t>
      </w:r>
      <w:r w:rsidR="00F22F94">
        <w:rPr>
          <w:sz w:val="14"/>
        </w:rPr>
        <w:t>project</w:t>
      </w:r>
      <w:r w:rsidR="00F22F94">
        <w:rPr>
          <w:spacing w:val="-18"/>
          <w:sz w:val="14"/>
        </w:rPr>
        <w:t xml:space="preserve"> </w:t>
      </w:r>
      <w:r w:rsidR="00F22F94">
        <w:rPr>
          <w:sz w:val="14"/>
        </w:rPr>
        <w:t>health.</w:t>
      </w:r>
    </w:p>
    <w:p w:rsidR="002C1123" w:rsidRDefault="00F22F94">
      <w:pPr>
        <w:pStyle w:val="ListParagraph"/>
        <w:numPr>
          <w:ilvl w:val="0"/>
          <w:numId w:val="11"/>
        </w:numPr>
        <w:tabs>
          <w:tab w:val="left" w:pos="244"/>
        </w:tabs>
        <w:spacing w:before="12"/>
        <w:ind w:left="243" w:right="995" w:hanging="133"/>
        <w:rPr>
          <w:sz w:val="14"/>
        </w:rPr>
      </w:pPr>
      <w:r>
        <w:rPr>
          <w:sz w:val="14"/>
        </w:rPr>
        <w:t>Project</w:t>
      </w:r>
      <w:r>
        <w:rPr>
          <w:spacing w:val="-18"/>
          <w:sz w:val="14"/>
        </w:rPr>
        <w:t xml:space="preserve"> </w:t>
      </w:r>
      <w:r>
        <w:rPr>
          <w:sz w:val="14"/>
        </w:rPr>
        <w:t>specific</w:t>
      </w:r>
      <w:r>
        <w:rPr>
          <w:spacing w:val="40"/>
          <w:sz w:val="14"/>
        </w:rPr>
        <w:t xml:space="preserve"> </w:t>
      </w:r>
      <w:r>
        <w:rPr>
          <w:w w:val="95"/>
          <w:sz w:val="14"/>
        </w:rPr>
        <w:t>recommendations</w:t>
      </w:r>
      <w:r>
        <w:rPr>
          <w:spacing w:val="-17"/>
          <w:w w:val="95"/>
          <w:sz w:val="14"/>
        </w:rPr>
        <w:t xml:space="preserve"> </w:t>
      </w:r>
      <w:r>
        <w:rPr>
          <w:w w:val="95"/>
          <w:sz w:val="14"/>
        </w:rPr>
        <w:t>for</w:t>
      </w:r>
      <w:r>
        <w:rPr>
          <w:spacing w:val="40"/>
          <w:sz w:val="14"/>
        </w:rPr>
        <w:t xml:space="preserve"> </w:t>
      </w:r>
      <w:r>
        <w:rPr>
          <w:spacing w:val="-2"/>
          <w:sz w:val="14"/>
        </w:rPr>
        <w:t>improvement.</w:t>
      </w:r>
    </w:p>
    <w:p w:rsidR="002C1123" w:rsidRDefault="00F22F94">
      <w:pPr>
        <w:pStyle w:val="ListParagraph"/>
        <w:numPr>
          <w:ilvl w:val="0"/>
          <w:numId w:val="11"/>
        </w:numPr>
        <w:tabs>
          <w:tab w:val="left" w:pos="247"/>
        </w:tabs>
        <w:spacing w:before="11"/>
        <w:ind w:left="246" w:right="711" w:hanging="137"/>
        <w:rPr>
          <w:sz w:val="14"/>
        </w:rPr>
      </w:pPr>
      <w:r>
        <w:rPr>
          <w:w w:val="95"/>
          <w:sz w:val="14"/>
        </w:rPr>
        <w:t>Decision</w:t>
      </w:r>
      <w:r>
        <w:rPr>
          <w:spacing w:val="-16"/>
          <w:w w:val="95"/>
          <w:sz w:val="14"/>
        </w:rPr>
        <w:t xml:space="preserve"> </w:t>
      </w:r>
      <w:r>
        <w:rPr>
          <w:w w:val="95"/>
          <w:sz w:val="14"/>
        </w:rPr>
        <w:t>point</w:t>
      </w:r>
      <w:r>
        <w:rPr>
          <w:spacing w:val="-16"/>
          <w:w w:val="95"/>
          <w:sz w:val="14"/>
        </w:rPr>
        <w:t xml:space="preserve"> </w:t>
      </w:r>
      <w:r>
        <w:rPr>
          <w:w w:val="95"/>
          <w:sz w:val="14"/>
        </w:rPr>
        <w:t>opportunity</w:t>
      </w:r>
      <w:r>
        <w:rPr>
          <w:spacing w:val="40"/>
          <w:sz w:val="14"/>
        </w:rPr>
        <w:t xml:space="preserve"> </w:t>
      </w:r>
      <w:r>
        <w:rPr>
          <w:sz w:val="14"/>
        </w:rPr>
        <w:t>whether</w:t>
      </w:r>
      <w:r>
        <w:rPr>
          <w:spacing w:val="-18"/>
          <w:sz w:val="14"/>
        </w:rPr>
        <w:t xml:space="preserve"> </w:t>
      </w:r>
      <w:r>
        <w:rPr>
          <w:sz w:val="14"/>
        </w:rPr>
        <w:t>to</w:t>
      </w:r>
      <w:r>
        <w:rPr>
          <w:spacing w:val="-18"/>
          <w:sz w:val="14"/>
        </w:rPr>
        <w:t xml:space="preserve"> </w:t>
      </w:r>
      <w:r>
        <w:rPr>
          <w:sz w:val="14"/>
        </w:rPr>
        <w:t>proceed</w:t>
      </w:r>
      <w:r>
        <w:rPr>
          <w:spacing w:val="-18"/>
          <w:sz w:val="14"/>
        </w:rPr>
        <w:t xml:space="preserve"> </w:t>
      </w:r>
      <w:r>
        <w:rPr>
          <w:sz w:val="14"/>
        </w:rPr>
        <w:t>to</w:t>
      </w:r>
      <w:r>
        <w:rPr>
          <w:spacing w:val="-18"/>
          <w:sz w:val="14"/>
        </w:rPr>
        <w:t xml:space="preserve"> </w:t>
      </w:r>
      <w:r>
        <w:rPr>
          <w:sz w:val="14"/>
        </w:rPr>
        <w:t>the</w:t>
      </w:r>
      <w:r>
        <w:rPr>
          <w:spacing w:val="40"/>
          <w:sz w:val="14"/>
        </w:rPr>
        <w:t xml:space="preserve"> </w:t>
      </w:r>
      <w:r>
        <w:rPr>
          <w:sz w:val="14"/>
        </w:rPr>
        <w:t>next</w:t>
      </w:r>
      <w:r>
        <w:rPr>
          <w:spacing w:val="-18"/>
          <w:sz w:val="14"/>
        </w:rPr>
        <w:t xml:space="preserve"> </w:t>
      </w:r>
      <w:r>
        <w:rPr>
          <w:sz w:val="14"/>
        </w:rPr>
        <w:t>stage.</w:t>
      </w:r>
    </w:p>
    <w:p w:rsidR="002C1123" w:rsidRDefault="002C1123">
      <w:pPr>
        <w:rPr>
          <w:sz w:val="14"/>
        </w:rPr>
        <w:sectPr w:rsidR="002C1123">
          <w:type w:val="continuous"/>
          <w:pgSz w:w="16840" w:h="11910" w:orient="landscape"/>
          <w:pgMar w:top="560" w:right="280" w:bottom="280" w:left="500" w:header="0" w:footer="517" w:gutter="0"/>
          <w:cols w:num="8" w:space="720" w:equalWidth="0">
            <w:col w:w="1066" w:space="2041"/>
            <w:col w:w="994" w:space="740"/>
            <w:col w:w="1149" w:space="713"/>
            <w:col w:w="1047" w:space="605"/>
            <w:col w:w="1367" w:space="453"/>
            <w:col w:w="1349" w:space="731"/>
            <w:col w:w="811" w:space="488"/>
            <w:col w:w="2506"/>
          </w:cols>
        </w:sectPr>
      </w:pPr>
    </w:p>
    <w:p w:rsidR="002C1123" w:rsidRDefault="002C1123">
      <w:pPr>
        <w:pStyle w:val="BodyText"/>
      </w:pPr>
    </w:p>
    <w:p w:rsidR="002C1123" w:rsidRDefault="002C1123">
      <w:pPr>
        <w:pStyle w:val="BodyText"/>
        <w:spacing w:before="1"/>
        <w:rPr>
          <w:sz w:val="27"/>
        </w:rPr>
      </w:pPr>
    </w:p>
    <w:p w:rsidR="002C1123" w:rsidRDefault="002060EF">
      <w:pPr>
        <w:pStyle w:val="BodyText"/>
        <w:spacing w:line="20" w:lineRule="exact"/>
        <w:ind w:left="110"/>
        <w:rPr>
          <w:sz w:val="2"/>
        </w:rPr>
      </w:pPr>
      <w:r>
        <w:rPr>
          <w:sz w:val="2"/>
        </w:rPr>
      </w:r>
      <w:r>
        <w:rPr>
          <w:sz w:val="2"/>
        </w:rPr>
        <w:pict>
          <v:group id="docshapegroup2953" o:spid="_x0000_s1048" style="width:669pt;height:.5pt;mso-position-horizontal-relative:char;mso-position-vertical-relative:line" coordsize="13380,10">
            <v:line id="_x0000_s1049" style="position:absolute" from="0,5" to="13380,5" strokecolor="#9c9c9d" strokeweight=".5pt"/>
            <w10:anchorlock/>
          </v:group>
        </w:pict>
      </w:r>
    </w:p>
    <w:p w:rsidR="002C1123" w:rsidRDefault="002C1123">
      <w:pPr>
        <w:pStyle w:val="BodyText"/>
        <w:spacing w:before="3"/>
      </w:pPr>
    </w:p>
    <w:p w:rsidR="002C1123" w:rsidRDefault="002C1123">
      <w:pPr>
        <w:sectPr w:rsidR="002C1123">
          <w:type w:val="continuous"/>
          <w:pgSz w:w="16840" w:h="11910" w:orient="landscape"/>
          <w:pgMar w:top="560" w:right="280" w:bottom="280" w:left="500" w:header="0" w:footer="517" w:gutter="0"/>
          <w:cols w:space="720"/>
        </w:sectPr>
      </w:pPr>
    </w:p>
    <w:p w:rsidR="002C1123" w:rsidRDefault="002060EF">
      <w:pPr>
        <w:pStyle w:val="BodyText"/>
        <w:rPr>
          <w:sz w:val="16"/>
        </w:rPr>
      </w:pPr>
      <w:r>
        <w:pict>
          <v:group id="docshapegroup2954" o:spid="_x0000_s1039" style="position:absolute;margin-left:0;margin-top:0;width:841.9pt;height:28.35pt;z-index:-251447296;mso-position-horizontal-relative:page;mso-position-vertical-relative:page" coordsize="16838,567">
            <v:rect id="docshape2955" o:spid="_x0000_s1047" style="position:absolute;width:16838;height:567" fillcolor="#00aeef" stroked="f"/>
            <v:shape id="docshape2956" o:spid="_x0000_s1046" type="#_x0000_t75" style="position:absolute;left:972;top:148;width:399;height:312">
              <v:imagedata r:id="rId59" o:title=""/>
            </v:shape>
            <v:shape id="docshape2957" o:spid="_x0000_s1045" style="position:absolute;left:2815;top:150;width:307;height:307" coordorigin="2815,151" coordsize="307,307" o:spt="100" adj="0,,0" path="m3055,284r-173,l2882,324r173,l3055,284xm3121,304r-12,-60l3095,223r,81l3085,353r-27,40l3017,421r-49,9l2919,421r-40,-28l2852,353r-10,-49l2852,255r27,-40l2919,187r49,-9l3017,187r41,28l3085,255r10,49l3095,223r-19,-27l3049,178r-21,-15l2968,151r-59,12l2860,196r-33,48l2815,304r12,60l2860,412r49,33l2968,457r60,-12l3049,430r27,-18l3109,364r12,-60xe" stroked="f">
              <v:stroke joinstyle="round"/>
              <v:formulas/>
              <v:path arrowok="t" o:connecttype="segments"/>
            </v:shape>
            <v:shape id="docshape2958" o:spid="_x0000_s1044" type="#_x0000_t75" style="position:absolute;left:3250;top:150;width:307;height:307">
              <v:imagedata r:id="rId60" o:title=""/>
            </v:shape>
            <v:shape id="docshape2959" o:spid="_x0000_s1043" type="#_x0000_t75" style="position:absolute;left:14523;top:147;width:330;height:313">
              <v:imagedata r:id="rId61" o:title=""/>
            </v:shape>
            <v:shape id="docshape2960" o:spid="_x0000_s1042" type="#_x0000_t75" style="position:absolute;left:15144;top:150;width:307;height:307">
              <v:imagedata r:id="rId62" o:title=""/>
            </v:shape>
            <v:shape id="docshape2961" o:spid="_x0000_s1041" type="#_x0000_t75" style="position:absolute;left:15557;top:150;width:307;height:307">
              <v:imagedata r:id="rId63" o:title=""/>
            </v:shape>
            <v:shape id="docshape2962" o:spid="_x0000_s1040" type="#_x0000_t75" style="position:absolute;left:1687;top:147;width:314;height:313">
              <v:imagedata r:id="rId64" o:title=""/>
            </v:shape>
            <w10:wrap anchorx="page" anchory="page"/>
          </v:group>
        </w:pict>
      </w:r>
    </w:p>
    <w:p w:rsidR="002C1123" w:rsidRDefault="002060EF">
      <w:pPr>
        <w:spacing w:before="102"/>
        <w:ind w:left="110"/>
        <w:rPr>
          <w:b/>
          <w:sz w:val="14"/>
        </w:rPr>
      </w:pPr>
      <w:r>
        <w:pict>
          <v:group id="docshapegroup2963" o:spid="_x0000_s1035" style="position:absolute;left:0;text-align:left;margin-left:76.6pt;margin-top:-11.15pt;width:630pt;height:40.65pt;z-index:251760640;mso-position-horizontal-relative:page" coordorigin="1532,-223" coordsize="12600,813">
            <v:shape id="docshape2964" o:spid="_x0000_s1038" style="position:absolute;left:1532;top:-223;width:12458;height:813" coordorigin="1532,-223" coordsize="12458,813" path="m13809,-223r-12277,l1532,589r12277,l13990,189r-181,-412xe" fillcolor="#00aeef" stroked="f">
              <v:path arrowok="t"/>
            </v:shape>
            <v:line id="_x0000_s1037" style="position:absolute" from="13990,178" to="14132,178" strokecolor="#00aeef" strokeweight="1pt"/>
            <v:shape id="docshape2965" o:spid="_x0000_s1036" type="#_x0000_t202" style="position:absolute;left:1532;top:-223;width:12600;height:813" filled="f" stroked="f">
              <v:textbox inset="0,0,0,0">
                <w:txbxContent>
                  <w:p w:rsidR="00F22F94" w:rsidRDefault="00F22F94">
                    <w:pPr>
                      <w:spacing w:before="63"/>
                      <w:ind w:left="5659"/>
                      <w:rPr>
                        <w:sz w:val="14"/>
                      </w:rPr>
                    </w:pPr>
                    <w:r>
                      <w:rPr>
                        <w:color w:val="FFFFFF"/>
                        <w:sz w:val="14"/>
                      </w:rPr>
                      <w:t>Project</w:t>
                    </w:r>
                    <w:r>
                      <w:rPr>
                        <w:color w:val="FFFFFF"/>
                        <w:spacing w:val="18"/>
                        <w:sz w:val="14"/>
                      </w:rPr>
                      <w:t xml:space="preserve"> </w:t>
                    </w:r>
                    <w:r>
                      <w:rPr>
                        <w:color w:val="FFFFFF"/>
                        <w:spacing w:val="-2"/>
                        <w:sz w:val="14"/>
                      </w:rPr>
                      <w:t>reviews</w:t>
                    </w:r>
                  </w:p>
                  <w:p w:rsidR="00F22F94" w:rsidRDefault="00F22F94">
                    <w:pPr>
                      <w:spacing w:before="13" w:line="259" w:lineRule="auto"/>
                      <w:ind w:left="4267" w:right="4417" w:firstLine="348"/>
                      <w:rPr>
                        <w:sz w:val="14"/>
                      </w:rPr>
                    </w:pPr>
                    <w:r>
                      <w:rPr>
                        <w:color w:val="FFFFFF"/>
                        <w:sz w:val="14"/>
                      </w:rPr>
                      <w:t>Participation in Steering Committees as required</w:t>
                    </w:r>
                    <w:r>
                      <w:rPr>
                        <w:color w:val="FFFFFF"/>
                        <w:spacing w:val="40"/>
                        <w:sz w:val="14"/>
                      </w:rPr>
                      <w:t xml:space="preserve"> </w:t>
                    </w:r>
                    <w:r>
                      <w:rPr>
                        <w:color w:val="FFFFFF"/>
                        <w:sz w:val="14"/>
                      </w:rPr>
                      <w:t>Leverage existing governance frameworks where applicable</w:t>
                    </w:r>
                  </w:p>
                </w:txbxContent>
              </v:textbox>
            </v:shape>
            <w10:wrap anchorx="page"/>
          </v:group>
        </w:pict>
      </w:r>
      <w:r w:rsidR="00F22F94">
        <w:rPr>
          <w:b/>
          <w:spacing w:val="-2"/>
          <w:sz w:val="14"/>
        </w:rPr>
        <w:t>Monitoring</w:t>
      </w:r>
    </w:p>
    <w:p w:rsidR="002C1123" w:rsidRDefault="00F22F94">
      <w:pPr>
        <w:spacing w:before="105"/>
        <w:ind w:left="110" w:right="-4"/>
        <w:rPr>
          <w:b/>
          <w:sz w:val="14"/>
        </w:rPr>
      </w:pPr>
      <w:r>
        <w:br w:type="column"/>
      </w:r>
      <w:r>
        <w:rPr>
          <w:b/>
          <w:spacing w:val="-2"/>
          <w:sz w:val="14"/>
        </w:rPr>
        <w:t>Monitoring</w:t>
      </w:r>
      <w:r>
        <w:rPr>
          <w:b/>
          <w:spacing w:val="40"/>
          <w:sz w:val="14"/>
        </w:rPr>
        <w:t xml:space="preserve"> </w:t>
      </w:r>
      <w:r>
        <w:rPr>
          <w:b/>
          <w:sz w:val="14"/>
        </w:rPr>
        <w:t>and</w:t>
      </w:r>
      <w:r>
        <w:rPr>
          <w:b/>
          <w:spacing w:val="-18"/>
          <w:sz w:val="14"/>
        </w:rPr>
        <w:t xml:space="preserve"> </w:t>
      </w:r>
      <w:r>
        <w:rPr>
          <w:b/>
          <w:sz w:val="14"/>
        </w:rPr>
        <w:t>reporting</w:t>
      </w:r>
      <w:r>
        <w:rPr>
          <w:b/>
          <w:spacing w:val="40"/>
          <w:sz w:val="14"/>
        </w:rPr>
        <w:t xml:space="preserve"> </w:t>
      </w:r>
      <w:r>
        <w:rPr>
          <w:b/>
          <w:spacing w:val="-2"/>
          <w:sz w:val="14"/>
        </w:rPr>
        <w:t>outcomes</w:t>
      </w:r>
    </w:p>
    <w:p w:rsidR="002C1123" w:rsidRDefault="00F22F94">
      <w:pPr>
        <w:pStyle w:val="ListParagraph"/>
        <w:numPr>
          <w:ilvl w:val="0"/>
          <w:numId w:val="10"/>
        </w:numPr>
        <w:tabs>
          <w:tab w:val="left" w:pos="178"/>
        </w:tabs>
        <w:spacing w:before="105"/>
        <w:ind w:right="115"/>
        <w:rPr>
          <w:sz w:val="14"/>
        </w:rPr>
      </w:pPr>
      <w:r>
        <w:br w:type="column"/>
      </w:r>
      <w:r>
        <w:rPr>
          <w:w w:val="95"/>
          <w:sz w:val="14"/>
        </w:rPr>
        <w:t>Ongoing</w:t>
      </w:r>
      <w:r>
        <w:rPr>
          <w:spacing w:val="-17"/>
          <w:w w:val="95"/>
          <w:sz w:val="14"/>
        </w:rPr>
        <w:t xml:space="preserve"> </w:t>
      </w:r>
      <w:r>
        <w:rPr>
          <w:w w:val="95"/>
          <w:sz w:val="14"/>
        </w:rPr>
        <w:t>insight</w:t>
      </w:r>
      <w:r>
        <w:rPr>
          <w:spacing w:val="-16"/>
          <w:w w:val="95"/>
          <w:sz w:val="14"/>
        </w:rPr>
        <w:t xml:space="preserve"> </w:t>
      </w:r>
      <w:r>
        <w:rPr>
          <w:w w:val="95"/>
          <w:sz w:val="14"/>
        </w:rPr>
        <w:t>into</w:t>
      </w:r>
      <w:r>
        <w:rPr>
          <w:spacing w:val="40"/>
          <w:sz w:val="14"/>
        </w:rPr>
        <w:t xml:space="preserve"> </w:t>
      </w:r>
      <w:r>
        <w:rPr>
          <w:sz w:val="14"/>
        </w:rPr>
        <w:t>project</w:t>
      </w:r>
      <w:r>
        <w:rPr>
          <w:spacing w:val="-18"/>
          <w:sz w:val="14"/>
        </w:rPr>
        <w:t xml:space="preserve"> </w:t>
      </w:r>
      <w:r>
        <w:rPr>
          <w:sz w:val="14"/>
        </w:rPr>
        <w:t>status</w:t>
      </w:r>
      <w:r>
        <w:rPr>
          <w:spacing w:val="-18"/>
          <w:sz w:val="14"/>
        </w:rPr>
        <w:t xml:space="preserve"> </w:t>
      </w:r>
      <w:r>
        <w:rPr>
          <w:sz w:val="14"/>
        </w:rPr>
        <w:t>and</w:t>
      </w:r>
      <w:r>
        <w:rPr>
          <w:spacing w:val="40"/>
          <w:sz w:val="14"/>
        </w:rPr>
        <w:t xml:space="preserve"> </w:t>
      </w:r>
      <w:r>
        <w:rPr>
          <w:spacing w:val="-2"/>
          <w:sz w:val="14"/>
        </w:rPr>
        <w:t>health.</w:t>
      </w:r>
    </w:p>
    <w:p w:rsidR="002C1123" w:rsidRDefault="00F22F94">
      <w:pPr>
        <w:pStyle w:val="ListParagraph"/>
        <w:numPr>
          <w:ilvl w:val="0"/>
          <w:numId w:val="10"/>
        </w:numPr>
        <w:tabs>
          <w:tab w:val="left" w:pos="184"/>
        </w:tabs>
        <w:spacing w:before="11"/>
        <w:ind w:left="183" w:right="220" w:hanging="133"/>
        <w:rPr>
          <w:sz w:val="14"/>
        </w:rPr>
      </w:pPr>
      <w:r>
        <w:rPr>
          <w:sz w:val="14"/>
        </w:rPr>
        <w:t>Lead</w:t>
      </w:r>
      <w:r>
        <w:rPr>
          <w:spacing w:val="-18"/>
          <w:sz w:val="14"/>
        </w:rPr>
        <w:t xml:space="preserve"> </w:t>
      </w:r>
      <w:r>
        <w:rPr>
          <w:sz w:val="14"/>
        </w:rPr>
        <w:t>indicator</w:t>
      </w:r>
      <w:r>
        <w:rPr>
          <w:spacing w:val="-18"/>
          <w:sz w:val="14"/>
        </w:rPr>
        <w:t xml:space="preserve"> </w:t>
      </w:r>
      <w:r>
        <w:rPr>
          <w:sz w:val="14"/>
        </w:rPr>
        <w:t>of</w:t>
      </w:r>
      <w:r>
        <w:rPr>
          <w:spacing w:val="40"/>
          <w:sz w:val="14"/>
        </w:rPr>
        <w:t xml:space="preserve"> </w:t>
      </w:r>
      <w:r>
        <w:rPr>
          <w:w w:val="95"/>
          <w:sz w:val="14"/>
        </w:rPr>
        <w:t>potential</w:t>
      </w:r>
      <w:r>
        <w:rPr>
          <w:spacing w:val="-17"/>
          <w:w w:val="95"/>
          <w:sz w:val="14"/>
        </w:rPr>
        <w:t xml:space="preserve"> </w:t>
      </w:r>
      <w:r>
        <w:rPr>
          <w:w w:val="95"/>
          <w:sz w:val="14"/>
        </w:rPr>
        <w:t>issues</w:t>
      </w:r>
      <w:r>
        <w:rPr>
          <w:spacing w:val="-16"/>
          <w:w w:val="95"/>
          <w:sz w:val="14"/>
        </w:rPr>
        <w:t xml:space="preserve"> </w:t>
      </w:r>
      <w:r>
        <w:rPr>
          <w:w w:val="95"/>
          <w:sz w:val="14"/>
        </w:rPr>
        <w:t>or</w:t>
      </w:r>
      <w:r>
        <w:rPr>
          <w:spacing w:val="40"/>
          <w:sz w:val="14"/>
        </w:rPr>
        <w:t xml:space="preserve"> </w:t>
      </w:r>
      <w:r>
        <w:rPr>
          <w:sz w:val="14"/>
        </w:rPr>
        <w:t>project</w:t>
      </w:r>
      <w:r>
        <w:rPr>
          <w:spacing w:val="-18"/>
          <w:sz w:val="14"/>
        </w:rPr>
        <w:t xml:space="preserve"> </w:t>
      </w:r>
      <w:r>
        <w:rPr>
          <w:sz w:val="14"/>
        </w:rPr>
        <w:t>distress.</w:t>
      </w:r>
    </w:p>
    <w:p w:rsidR="002C1123" w:rsidRDefault="002C1123">
      <w:pPr>
        <w:rPr>
          <w:sz w:val="14"/>
        </w:rPr>
        <w:sectPr w:rsidR="002C1123">
          <w:type w:val="continuous"/>
          <w:pgSz w:w="16840" w:h="11910" w:orient="landscape"/>
          <w:pgMar w:top="560" w:right="280" w:bottom="280" w:left="500" w:header="0" w:footer="517" w:gutter="0"/>
          <w:cols w:num="3" w:space="720" w:equalWidth="0">
            <w:col w:w="898" w:space="12656"/>
            <w:col w:w="1011" w:space="40"/>
            <w:col w:w="1455"/>
          </w:cols>
        </w:sectPr>
      </w:pPr>
    </w:p>
    <w:p w:rsidR="002C1123" w:rsidRDefault="002C1123">
      <w:pPr>
        <w:pStyle w:val="BodyText"/>
      </w:pPr>
    </w:p>
    <w:p w:rsidR="002C1123" w:rsidRDefault="002C1123">
      <w:pPr>
        <w:pStyle w:val="BodyText"/>
      </w:pPr>
    </w:p>
    <w:p w:rsidR="002C1123" w:rsidRDefault="002C1123">
      <w:pPr>
        <w:pStyle w:val="BodyText"/>
      </w:pPr>
    </w:p>
    <w:p w:rsidR="002C1123" w:rsidRDefault="002C1123">
      <w:pPr>
        <w:pStyle w:val="BodyText"/>
      </w:pPr>
    </w:p>
    <w:p w:rsidR="002C1123" w:rsidRDefault="00F22F94">
      <w:pPr>
        <w:pStyle w:val="Heading1"/>
        <w:spacing w:before="237"/>
      </w:pPr>
      <w:bookmarkStart w:id="420" w:name="Expert_reports"/>
      <w:bookmarkStart w:id="421" w:name="_bookmark301"/>
      <w:bookmarkStart w:id="422" w:name="_bookmark300"/>
      <w:bookmarkEnd w:id="420"/>
      <w:bookmarkEnd w:id="421"/>
      <w:bookmarkEnd w:id="422"/>
      <w:r>
        <w:rPr>
          <w:color w:val="00AEEF"/>
          <w:w w:val="55"/>
        </w:rPr>
        <w:t>Expert</w:t>
      </w:r>
      <w:r>
        <w:rPr>
          <w:color w:val="00AEEF"/>
          <w:spacing w:val="-9"/>
          <w:w w:val="55"/>
        </w:rPr>
        <w:t xml:space="preserve"> </w:t>
      </w:r>
      <w:r>
        <w:rPr>
          <w:color w:val="00AEEF"/>
          <w:spacing w:val="-7"/>
          <w:w w:val="65"/>
        </w:rPr>
        <w:t>reports</w:t>
      </w:r>
    </w:p>
    <w:p w:rsidR="002C1123" w:rsidRDefault="002C1123">
      <w:pPr>
        <w:pStyle w:val="BodyText"/>
        <w:spacing w:before="5"/>
        <w:rPr>
          <w:rFonts w:ascii="Trebuchet MS"/>
          <w:sz w:val="10"/>
        </w:rPr>
      </w:pPr>
    </w:p>
    <w:p w:rsidR="002C1123" w:rsidRDefault="002C1123">
      <w:pPr>
        <w:rPr>
          <w:rFonts w:ascii="Trebuchet MS"/>
          <w:sz w:val="10"/>
        </w:rPr>
        <w:sectPr w:rsidR="002C1123">
          <w:headerReference w:type="default" r:id="rId247"/>
          <w:footerReference w:type="default" r:id="rId248"/>
          <w:pgSz w:w="16840" w:h="11910" w:orient="landscape"/>
          <w:pgMar w:top="0" w:right="280" w:bottom="280" w:left="500" w:header="0" w:footer="0" w:gutter="0"/>
          <w:cols w:space="720"/>
        </w:sectPr>
      </w:pPr>
    </w:p>
    <w:p w:rsidR="002C1123" w:rsidRDefault="00F22F94">
      <w:pPr>
        <w:pStyle w:val="BodyText"/>
        <w:spacing w:before="106" w:line="249" w:lineRule="auto"/>
        <w:ind w:left="492" w:right="350"/>
      </w:pPr>
      <w:r>
        <w:rPr>
          <w:spacing w:val="-2"/>
        </w:rPr>
        <w:t>BT</w:t>
      </w:r>
      <w:r>
        <w:rPr>
          <w:spacing w:val="-12"/>
        </w:rPr>
        <w:t xml:space="preserve"> </w:t>
      </w:r>
      <w:r>
        <w:rPr>
          <w:spacing w:val="-2"/>
        </w:rPr>
        <w:t>Australasia</w:t>
      </w:r>
      <w:r>
        <w:rPr>
          <w:spacing w:val="-12"/>
        </w:rPr>
        <w:t xml:space="preserve"> </w:t>
      </w:r>
      <w:r>
        <w:rPr>
          <w:spacing w:val="-2"/>
        </w:rPr>
        <w:t>Pty</w:t>
      </w:r>
      <w:r>
        <w:rPr>
          <w:spacing w:val="-12"/>
        </w:rPr>
        <w:t xml:space="preserve"> </w:t>
      </w:r>
      <w:r>
        <w:rPr>
          <w:spacing w:val="-2"/>
        </w:rPr>
        <w:t>Ltd</w:t>
      </w:r>
      <w:r>
        <w:rPr>
          <w:spacing w:val="-12"/>
        </w:rPr>
        <w:t xml:space="preserve"> </w:t>
      </w:r>
      <w:r>
        <w:rPr>
          <w:spacing w:val="-2"/>
        </w:rPr>
        <w:t>(July</w:t>
      </w:r>
      <w:r>
        <w:rPr>
          <w:spacing w:val="-12"/>
        </w:rPr>
        <w:t xml:space="preserve"> </w:t>
      </w:r>
      <w:r>
        <w:rPr>
          <w:spacing w:val="-2"/>
        </w:rPr>
        <w:t>2012),</w:t>
      </w:r>
      <w:r>
        <w:rPr>
          <w:spacing w:val="-12"/>
        </w:rPr>
        <w:t xml:space="preserve"> </w:t>
      </w:r>
      <w:r>
        <w:rPr>
          <w:spacing w:val="-2"/>
        </w:rPr>
        <w:t>“iNSW</w:t>
      </w:r>
      <w:r>
        <w:rPr>
          <w:spacing w:val="-12"/>
        </w:rPr>
        <w:t xml:space="preserve"> </w:t>
      </w:r>
      <w:r>
        <w:rPr>
          <w:spacing w:val="-2"/>
        </w:rPr>
        <w:t xml:space="preserve">Report: </w:t>
      </w:r>
      <w:r>
        <w:t>Information</w:t>
      </w:r>
      <w:r>
        <w:rPr>
          <w:spacing w:val="-7"/>
        </w:rPr>
        <w:t xml:space="preserve"> </w:t>
      </w:r>
      <w:r>
        <w:t>Communications</w:t>
      </w:r>
      <w:r>
        <w:rPr>
          <w:spacing w:val="-7"/>
        </w:rPr>
        <w:t xml:space="preserve"> </w:t>
      </w:r>
      <w:r>
        <w:t>and</w:t>
      </w:r>
      <w:r>
        <w:rPr>
          <w:spacing w:val="-7"/>
        </w:rPr>
        <w:t xml:space="preserve"> </w:t>
      </w:r>
      <w:r>
        <w:t xml:space="preserve">Technology </w:t>
      </w:r>
      <w:r>
        <w:rPr>
          <w:w w:val="95"/>
        </w:rPr>
        <w:t xml:space="preserve">Infrastructure Requirements for the Health Sector: </w:t>
      </w:r>
      <w:r>
        <w:t>A BT Point of View”.</w:t>
      </w:r>
    </w:p>
    <w:p w:rsidR="002C1123" w:rsidRDefault="00F22F94">
      <w:pPr>
        <w:pStyle w:val="BodyText"/>
        <w:spacing w:before="145" w:line="249" w:lineRule="auto"/>
        <w:ind w:left="492" w:right="554"/>
      </w:pPr>
      <w:r>
        <w:t xml:space="preserve">Cisco Systems, Internet Business Solutions </w:t>
      </w:r>
      <w:r>
        <w:rPr>
          <w:spacing w:val="-2"/>
        </w:rPr>
        <w:t>Group</w:t>
      </w:r>
      <w:r>
        <w:rPr>
          <w:spacing w:val="-7"/>
        </w:rPr>
        <w:t xml:space="preserve"> </w:t>
      </w:r>
      <w:r>
        <w:rPr>
          <w:spacing w:val="-2"/>
        </w:rPr>
        <w:t>(IBSG)</w:t>
      </w:r>
      <w:r>
        <w:rPr>
          <w:spacing w:val="-7"/>
        </w:rPr>
        <w:t xml:space="preserve"> </w:t>
      </w:r>
      <w:r>
        <w:rPr>
          <w:spacing w:val="-2"/>
        </w:rPr>
        <w:t>(November</w:t>
      </w:r>
      <w:r>
        <w:rPr>
          <w:spacing w:val="-7"/>
        </w:rPr>
        <w:t xml:space="preserve"> </w:t>
      </w:r>
      <w:r>
        <w:rPr>
          <w:spacing w:val="-2"/>
        </w:rPr>
        <w:t>2011),</w:t>
      </w:r>
      <w:r>
        <w:rPr>
          <w:spacing w:val="-7"/>
        </w:rPr>
        <w:t xml:space="preserve"> </w:t>
      </w:r>
      <w:r>
        <w:rPr>
          <w:spacing w:val="-2"/>
        </w:rPr>
        <w:t xml:space="preserve">“Technology </w:t>
      </w:r>
      <w:r>
        <w:t>and</w:t>
      </w:r>
      <w:r>
        <w:rPr>
          <w:spacing w:val="-11"/>
        </w:rPr>
        <w:t xml:space="preserve"> </w:t>
      </w:r>
      <w:r>
        <w:t>Infrastructure”.</w:t>
      </w:r>
    </w:p>
    <w:p w:rsidR="002C1123" w:rsidRDefault="00F22F94">
      <w:pPr>
        <w:pStyle w:val="BodyText"/>
        <w:spacing w:before="145" w:line="249" w:lineRule="auto"/>
        <w:ind w:left="492"/>
      </w:pPr>
      <w:r>
        <w:t>Deloitte</w:t>
      </w:r>
      <w:r>
        <w:rPr>
          <w:spacing w:val="-14"/>
        </w:rPr>
        <w:t xml:space="preserve"> </w:t>
      </w:r>
      <w:r>
        <w:t>Access</w:t>
      </w:r>
      <w:r>
        <w:rPr>
          <w:spacing w:val="-14"/>
        </w:rPr>
        <w:t xml:space="preserve"> </w:t>
      </w:r>
      <w:r>
        <w:t>Economics</w:t>
      </w:r>
      <w:r>
        <w:rPr>
          <w:spacing w:val="-14"/>
        </w:rPr>
        <w:t xml:space="preserve"> </w:t>
      </w:r>
      <w:r>
        <w:t>(March</w:t>
      </w:r>
      <w:r>
        <w:rPr>
          <w:spacing w:val="-14"/>
        </w:rPr>
        <w:t xml:space="preserve"> </w:t>
      </w:r>
      <w:r>
        <w:t>2012),</w:t>
      </w:r>
      <w:r>
        <w:rPr>
          <w:spacing w:val="-14"/>
        </w:rPr>
        <w:t xml:space="preserve"> </w:t>
      </w:r>
      <w:r>
        <w:t>“The</w:t>
      </w:r>
      <w:r>
        <w:rPr>
          <w:spacing w:val="-14"/>
        </w:rPr>
        <w:t xml:space="preserve"> </w:t>
      </w:r>
      <w:r>
        <w:t xml:space="preserve">NSW </w:t>
      </w:r>
      <w:r>
        <w:rPr>
          <w:w w:val="95"/>
        </w:rPr>
        <w:t xml:space="preserve">Economy in 2031-32: The role of Infrastructure, driving </w:t>
      </w:r>
      <w:r>
        <w:t>forces and forecasts”.</w:t>
      </w:r>
    </w:p>
    <w:p w:rsidR="002C1123" w:rsidRDefault="00F22F94">
      <w:pPr>
        <w:pStyle w:val="BodyText"/>
        <w:spacing w:before="144" w:line="249" w:lineRule="auto"/>
        <w:ind w:left="492" w:right="350"/>
      </w:pPr>
      <w:r>
        <w:t>Deloitte</w:t>
      </w:r>
      <w:r>
        <w:rPr>
          <w:spacing w:val="-14"/>
        </w:rPr>
        <w:t xml:space="preserve"> </w:t>
      </w:r>
      <w:r>
        <w:t>Access</w:t>
      </w:r>
      <w:r>
        <w:rPr>
          <w:spacing w:val="-14"/>
        </w:rPr>
        <w:t xml:space="preserve"> </w:t>
      </w:r>
      <w:r>
        <w:t>Economics</w:t>
      </w:r>
      <w:r>
        <w:rPr>
          <w:spacing w:val="-14"/>
        </w:rPr>
        <w:t xml:space="preserve"> </w:t>
      </w:r>
      <w:r>
        <w:t>(September</w:t>
      </w:r>
      <w:r>
        <w:rPr>
          <w:spacing w:val="-14"/>
        </w:rPr>
        <w:t xml:space="preserve"> </w:t>
      </w:r>
      <w:r>
        <w:t>2012), “Infrastructure</w:t>
      </w:r>
      <w:r>
        <w:rPr>
          <w:spacing w:val="-4"/>
        </w:rPr>
        <w:t xml:space="preserve"> </w:t>
      </w:r>
      <w:r>
        <w:t>and</w:t>
      </w:r>
      <w:r>
        <w:rPr>
          <w:spacing w:val="-4"/>
        </w:rPr>
        <w:t xml:space="preserve"> </w:t>
      </w:r>
      <w:r>
        <w:t>the</w:t>
      </w:r>
      <w:r>
        <w:rPr>
          <w:spacing w:val="-4"/>
        </w:rPr>
        <w:t xml:space="preserve"> </w:t>
      </w:r>
      <w:r>
        <w:t>NSW</w:t>
      </w:r>
      <w:r>
        <w:rPr>
          <w:spacing w:val="-4"/>
        </w:rPr>
        <w:t xml:space="preserve"> </w:t>
      </w:r>
      <w:r>
        <w:t>Economy”.</w:t>
      </w:r>
    </w:p>
    <w:p w:rsidR="002C1123" w:rsidRDefault="00F22F94">
      <w:pPr>
        <w:pStyle w:val="BodyText"/>
        <w:spacing w:before="143" w:line="249" w:lineRule="auto"/>
        <w:ind w:left="492" w:right="350"/>
      </w:pPr>
      <w:r>
        <w:t xml:space="preserve">Deloitte Touche Tohmatsu (September 2012), </w:t>
      </w:r>
      <w:r>
        <w:rPr>
          <w:w w:val="95"/>
        </w:rPr>
        <w:t>“Infrastructure</w:t>
      </w:r>
      <w:r>
        <w:rPr>
          <w:spacing w:val="-9"/>
          <w:w w:val="95"/>
        </w:rPr>
        <w:t xml:space="preserve"> </w:t>
      </w:r>
      <w:r>
        <w:rPr>
          <w:w w:val="95"/>
        </w:rPr>
        <w:t>NSW:</w:t>
      </w:r>
      <w:r>
        <w:rPr>
          <w:spacing w:val="-9"/>
          <w:w w:val="95"/>
        </w:rPr>
        <w:t xml:space="preserve"> </w:t>
      </w:r>
      <w:r>
        <w:rPr>
          <w:w w:val="95"/>
        </w:rPr>
        <w:t>State</w:t>
      </w:r>
      <w:r>
        <w:rPr>
          <w:spacing w:val="-9"/>
          <w:w w:val="95"/>
        </w:rPr>
        <w:t xml:space="preserve"> </w:t>
      </w:r>
      <w:r>
        <w:rPr>
          <w:w w:val="95"/>
        </w:rPr>
        <w:t>Infrastructure</w:t>
      </w:r>
      <w:r>
        <w:rPr>
          <w:spacing w:val="-9"/>
          <w:w w:val="95"/>
        </w:rPr>
        <w:t xml:space="preserve"> </w:t>
      </w:r>
      <w:r>
        <w:rPr>
          <w:w w:val="95"/>
        </w:rPr>
        <w:t xml:space="preserve">Strategy </w:t>
      </w:r>
      <w:r>
        <w:t>Prioritisation</w:t>
      </w:r>
      <w:r>
        <w:rPr>
          <w:spacing w:val="-11"/>
        </w:rPr>
        <w:t xml:space="preserve"> </w:t>
      </w:r>
      <w:r>
        <w:t>Assessment”.</w:t>
      </w:r>
    </w:p>
    <w:p w:rsidR="002C1123" w:rsidRDefault="00F22F94">
      <w:pPr>
        <w:pStyle w:val="BodyText"/>
        <w:spacing w:before="145" w:line="249" w:lineRule="auto"/>
        <w:ind w:left="492" w:right="554"/>
      </w:pPr>
      <w:r>
        <w:t xml:space="preserve">Douglas Economics (May 2012), “Modelling </w:t>
      </w:r>
      <w:r>
        <w:rPr>
          <w:w w:val="95"/>
        </w:rPr>
        <w:t>the</w:t>
      </w:r>
      <w:r>
        <w:rPr>
          <w:spacing w:val="-12"/>
          <w:w w:val="95"/>
        </w:rPr>
        <w:t xml:space="preserve"> </w:t>
      </w:r>
      <w:r>
        <w:rPr>
          <w:w w:val="95"/>
        </w:rPr>
        <w:t>Ability</w:t>
      </w:r>
      <w:r>
        <w:rPr>
          <w:spacing w:val="-11"/>
          <w:w w:val="95"/>
        </w:rPr>
        <w:t xml:space="preserve"> </w:t>
      </w:r>
      <w:r>
        <w:rPr>
          <w:w w:val="95"/>
        </w:rPr>
        <w:t>of</w:t>
      </w:r>
      <w:r>
        <w:rPr>
          <w:spacing w:val="-11"/>
          <w:w w:val="95"/>
        </w:rPr>
        <w:t xml:space="preserve"> </w:t>
      </w:r>
      <w:r>
        <w:rPr>
          <w:w w:val="95"/>
        </w:rPr>
        <w:t>Fare</w:t>
      </w:r>
      <w:r>
        <w:rPr>
          <w:spacing w:val="-11"/>
          <w:w w:val="95"/>
        </w:rPr>
        <w:t xml:space="preserve"> </w:t>
      </w:r>
      <w:r>
        <w:rPr>
          <w:w w:val="95"/>
        </w:rPr>
        <w:t>Incentives</w:t>
      </w:r>
      <w:r>
        <w:rPr>
          <w:spacing w:val="-11"/>
          <w:w w:val="95"/>
        </w:rPr>
        <w:t xml:space="preserve"> </w:t>
      </w:r>
      <w:r>
        <w:rPr>
          <w:w w:val="95"/>
        </w:rPr>
        <w:t>to</w:t>
      </w:r>
      <w:r>
        <w:rPr>
          <w:spacing w:val="-11"/>
          <w:w w:val="95"/>
        </w:rPr>
        <w:t xml:space="preserve"> </w:t>
      </w:r>
      <w:r>
        <w:rPr>
          <w:w w:val="95"/>
        </w:rPr>
        <w:t>Spread</w:t>
      </w:r>
      <w:r>
        <w:rPr>
          <w:spacing w:val="-11"/>
          <w:w w:val="95"/>
        </w:rPr>
        <w:t xml:space="preserve"> </w:t>
      </w:r>
      <w:r>
        <w:rPr>
          <w:w w:val="95"/>
        </w:rPr>
        <w:t>AM</w:t>
      </w:r>
      <w:r>
        <w:rPr>
          <w:spacing w:val="-11"/>
          <w:w w:val="95"/>
        </w:rPr>
        <w:t xml:space="preserve"> </w:t>
      </w:r>
      <w:r>
        <w:rPr>
          <w:w w:val="95"/>
        </w:rPr>
        <w:t xml:space="preserve">Peak </w:t>
      </w:r>
      <w:r>
        <w:t>Passenger</w:t>
      </w:r>
      <w:r>
        <w:rPr>
          <w:spacing w:val="-11"/>
        </w:rPr>
        <w:t xml:space="preserve"> </w:t>
      </w:r>
      <w:r>
        <w:t>Loads”.</w:t>
      </w:r>
    </w:p>
    <w:p w:rsidR="002C1123" w:rsidRDefault="00F22F94">
      <w:pPr>
        <w:pStyle w:val="BodyText"/>
        <w:spacing w:before="144" w:line="249" w:lineRule="auto"/>
        <w:ind w:left="492" w:right="350"/>
      </w:pPr>
      <w:r>
        <w:rPr>
          <w:w w:val="95"/>
        </w:rPr>
        <w:t xml:space="preserve">Ernst and Young (December 2011), “Port Botany – </w:t>
      </w:r>
      <w:r>
        <w:t>Sydney Airport Precinct: Scoping Study”.</w:t>
      </w:r>
    </w:p>
    <w:p w:rsidR="002C1123" w:rsidRDefault="00F22F94">
      <w:pPr>
        <w:pStyle w:val="BodyText"/>
        <w:spacing w:before="143" w:line="249" w:lineRule="auto"/>
        <w:ind w:left="492"/>
      </w:pPr>
      <w:r>
        <w:rPr>
          <w:w w:val="95"/>
        </w:rPr>
        <w:t>Evans</w:t>
      </w:r>
      <w:r>
        <w:rPr>
          <w:spacing w:val="-7"/>
          <w:w w:val="95"/>
        </w:rPr>
        <w:t xml:space="preserve"> </w:t>
      </w:r>
      <w:r>
        <w:rPr>
          <w:w w:val="95"/>
        </w:rPr>
        <w:t>&amp;</w:t>
      </w:r>
      <w:r>
        <w:rPr>
          <w:spacing w:val="-7"/>
          <w:w w:val="95"/>
        </w:rPr>
        <w:t xml:space="preserve"> </w:t>
      </w:r>
      <w:r>
        <w:rPr>
          <w:w w:val="95"/>
        </w:rPr>
        <w:t>Peck</w:t>
      </w:r>
      <w:r>
        <w:rPr>
          <w:spacing w:val="-7"/>
          <w:w w:val="95"/>
        </w:rPr>
        <w:t xml:space="preserve"> </w:t>
      </w:r>
      <w:r>
        <w:rPr>
          <w:w w:val="95"/>
        </w:rPr>
        <w:t>(September</w:t>
      </w:r>
      <w:r>
        <w:rPr>
          <w:spacing w:val="-7"/>
          <w:w w:val="95"/>
        </w:rPr>
        <w:t xml:space="preserve"> </w:t>
      </w:r>
      <w:r>
        <w:rPr>
          <w:w w:val="95"/>
        </w:rPr>
        <w:t>2012),“Review</w:t>
      </w:r>
      <w:r>
        <w:rPr>
          <w:spacing w:val="-7"/>
          <w:w w:val="95"/>
        </w:rPr>
        <w:t xml:space="preserve"> </w:t>
      </w:r>
      <w:r>
        <w:rPr>
          <w:w w:val="95"/>
        </w:rPr>
        <w:t>of</w:t>
      </w:r>
      <w:r>
        <w:rPr>
          <w:spacing w:val="-7"/>
          <w:w w:val="95"/>
        </w:rPr>
        <w:t xml:space="preserve"> </w:t>
      </w:r>
      <w:r>
        <w:rPr>
          <w:w w:val="95"/>
        </w:rPr>
        <w:t xml:space="preserve">Project </w:t>
      </w:r>
      <w:r>
        <w:t>Cost</w:t>
      </w:r>
      <w:r>
        <w:rPr>
          <w:spacing w:val="-11"/>
        </w:rPr>
        <w:t xml:space="preserve"> </w:t>
      </w:r>
      <w:r>
        <w:t>Assessments”.</w:t>
      </w:r>
    </w:p>
    <w:p w:rsidR="002C1123" w:rsidRDefault="00F22F94">
      <w:pPr>
        <w:pStyle w:val="BodyText"/>
        <w:spacing w:before="144" w:line="249" w:lineRule="auto"/>
        <w:ind w:left="492" w:right="350"/>
      </w:pPr>
      <w:r>
        <w:rPr>
          <w:w w:val="95"/>
        </w:rPr>
        <w:t>GHD</w:t>
      </w:r>
      <w:r>
        <w:rPr>
          <w:spacing w:val="-12"/>
          <w:w w:val="95"/>
        </w:rPr>
        <w:t xml:space="preserve"> </w:t>
      </w:r>
      <w:r>
        <w:rPr>
          <w:w w:val="95"/>
        </w:rPr>
        <w:t>(March</w:t>
      </w:r>
      <w:r>
        <w:rPr>
          <w:spacing w:val="-11"/>
          <w:w w:val="95"/>
        </w:rPr>
        <w:t xml:space="preserve"> </w:t>
      </w:r>
      <w:r>
        <w:rPr>
          <w:w w:val="95"/>
        </w:rPr>
        <w:t>2012),”NSW</w:t>
      </w:r>
      <w:r>
        <w:rPr>
          <w:spacing w:val="-11"/>
          <w:w w:val="95"/>
        </w:rPr>
        <w:t xml:space="preserve"> </w:t>
      </w:r>
      <w:r>
        <w:rPr>
          <w:w w:val="95"/>
        </w:rPr>
        <w:t>Infrastructure</w:t>
      </w:r>
      <w:r>
        <w:rPr>
          <w:spacing w:val="-11"/>
          <w:w w:val="95"/>
        </w:rPr>
        <w:t xml:space="preserve"> </w:t>
      </w:r>
      <w:r>
        <w:rPr>
          <w:w w:val="95"/>
        </w:rPr>
        <w:t xml:space="preserve">Capability </w:t>
      </w:r>
      <w:r>
        <w:t>Assessment:</w:t>
      </w:r>
      <w:r>
        <w:rPr>
          <w:spacing w:val="-14"/>
        </w:rPr>
        <w:t xml:space="preserve"> </w:t>
      </w:r>
      <w:r>
        <w:t>Transport</w:t>
      </w:r>
      <w:r>
        <w:rPr>
          <w:spacing w:val="-14"/>
        </w:rPr>
        <w:t xml:space="preserve"> </w:t>
      </w:r>
      <w:r>
        <w:t>Hypotheses</w:t>
      </w:r>
      <w:r>
        <w:rPr>
          <w:spacing w:val="-14"/>
        </w:rPr>
        <w:t xml:space="preserve"> </w:t>
      </w:r>
      <w:r>
        <w:t>Evidence”.</w:t>
      </w:r>
    </w:p>
    <w:p w:rsidR="002C1123" w:rsidRDefault="00F22F94">
      <w:pPr>
        <w:pStyle w:val="BodyText"/>
        <w:spacing w:before="143" w:line="249" w:lineRule="auto"/>
        <w:ind w:left="492"/>
      </w:pPr>
      <w:r>
        <w:rPr>
          <w:w w:val="95"/>
        </w:rPr>
        <w:t>GHD</w:t>
      </w:r>
      <w:r>
        <w:rPr>
          <w:spacing w:val="-11"/>
          <w:w w:val="95"/>
        </w:rPr>
        <w:t xml:space="preserve"> </w:t>
      </w:r>
      <w:r>
        <w:rPr>
          <w:w w:val="95"/>
        </w:rPr>
        <w:t>(September</w:t>
      </w:r>
      <w:r>
        <w:rPr>
          <w:spacing w:val="-11"/>
          <w:w w:val="95"/>
        </w:rPr>
        <w:t xml:space="preserve"> </w:t>
      </w:r>
      <w:r>
        <w:rPr>
          <w:w w:val="95"/>
        </w:rPr>
        <w:t>2012),</w:t>
      </w:r>
      <w:r>
        <w:rPr>
          <w:spacing w:val="-11"/>
          <w:w w:val="95"/>
        </w:rPr>
        <w:t xml:space="preserve"> </w:t>
      </w:r>
      <w:r>
        <w:rPr>
          <w:w w:val="95"/>
        </w:rPr>
        <w:t>“NSW</w:t>
      </w:r>
      <w:r>
        <w:rPr>
          <w:spacing w:val="-11"/>
          <w:w w:val="95"/>
        </w:rPr>
        <w:t xml:space="preserve"> </w:t>
      </w:r>
      <w:r>
        <w:rPr>
          <w:w w:val="95"/>
        </w:rPr>
        <w:t>Infrastructure</w:t>
      </w:r>
      <w:r>
        <w:rPr>
          <w:spacing w:val="-11"/>
          <w:w w:val="95"/>
        </w:rPr>
        <w:t xml:space="preserve"> </w:t>
      </w:r>
      <w:r>
        <w:rPr>
          <w:w w:val="95"/>
        </w:rPr>
        <w:t xml:space="preserve">Capability </w:t>
      </w:r>
      <w:r>
        <w:t>Assessment:</w:t>
      </w:r>
      <w:r>
        <w:rPr>
          <w:spacing w:val="-7"/>
        </w:rPr>
        <w:t xml:space="preserve"> </w:t>
      </w:r>
      <w:r>
        <w:t>Transport</w:t>
      </w:r>
      <w:r>
        <w:rPr>
          <w:spacing w:val="-7"/>
        </w:rPr>
        <w:t xml:space="preserve"> </w:t>
      </w:r>
      <w:r>
        <w:t>Baseline</w:t>
      </w:r>
      <w:r>
        <w:rPr>
          <w:spacing w:val="-7"/>
        </w:rPr>
        <w:t xml:space="preserve"> </w:t>
      </w:r>
      <w:r>
        <w:t>Report”.</w:t>
      </w:r>
    </w:p>
    <w:p w:rsidR="002C1123" w:rsidRDefault="00F22F94">
      <w:pPr>
        <w:pStyle w:val="BodyText"/>
        <w:spacing w:before="144" w:line="249" w:lineRule="auto"/>
        <w:ind w:left="492" w:right="350"/>
      </w:pPr>
      <w:r>
        <w:rPr>
          <w:spacing w:val="-2"/>
          <w:w w:val="95"/>
        </w:rPr>
        <w:t xml:space="preserve">GHD (January 2012), “NSW Infrastructure Baseline: </w:t>
      </w:r>
      <w:r>
        <w:t>Water</w:t>
      </w:r>
      <w:r>
        <w:rPr>
          <w:spacing w:val="-14"/>
        </w:rPr>
        <w:t xml:space="preserve"> </w:t>
      </w:r>
      <w:r>
        <w:t>Service</w:t>
      </w:r>
      <w:r>
        <w:rPr>
          <w:spacing w:val="-14"/>
        </w:rPr>
        <w:t xml:space="preserve"> </w:t>
      </w:r>
      <w:r>
        <w:t>Baseline</w:t>
      </w:r>
      <w:r>
        <w:rPr>
          <w:spacing w:val="-14"/>
        </w:rPr>
        <w:t xml:space="preserve"> </w:t>
      </w:r>
      <w:r>
        <w:t>Discussion</w:t>
      </w:r>
      <w:r>
        <w:rPr>
          <w:spacing w:val="-14"/>
        </w:rPr>
        <w:t xml:space="preserve"> </w:t>
      </w:r>
      <w:r>
        <w:t>Paper”.</w:t>
      </w:r>
    </w:p>
    <w:p w:rsidR="002C1123" w:rsidRDefault="00F22F94">
      <w:pPr>
        <w:pStyle w:val="BodyText"/>
        <w:spacing w:before="107" w:line="249" w:lineRule="auto"/>
        <w:ind w:left="320" w:right="313"/>
      </w:pPr>
      <w:r>
        <w:br w:type="column"/>
      </w:r>
      <w:r>
        <w:rPr>
          <w:w w:val="95"/>
        </w:rPr>
        <w:t>GHD</w:t>
      </w:r>
      <w:r>
        <w:rPr>
          <w:spacing w:val="-12"/>
          <w:w w:val="95"/>
        </w:rPr>
        <w:t xml:space="preserve"> </w:t>
      </w:r>
      <w:r>
        <w:rPr>
          <w:w w:val="95"/>
        </w:rPr>
        <w:t>(June</w:t>
      </w:r>
      <w:r>
        <w:rPr>
          <w:spacing w:val="-11"/>
          <w:w w:val="95"/>
        </w:rPr>
        <w:t xml:space="preserve"> </w:t>
      </w:r>
      <w:r>
        <w:rPr>
          <w:w w:val="95"/>
        </w:rPr>
        <w:t>2012),</w:t>
      </w:r>
      <w:r>
        <w:rPr>
          <w:spacing w:val="-11"/>
          <w:w w:val="95"/>
        </w:rPr>
        <w:t xml:space="preserve"> </w:t>
      </w:r>
      <w:r>
        <w:rPr>
          <w:w w:val="95"/>
        </w:rPr>
        <w:t>“Infrastructure</w:t>
      </w:r>
      <w:r>
        <w:rPr>
          <w:spacing w:val="-11"/>
          <w:w w:val="95"/>
        </w:rPr>
        <w:t xml:space="preserve"> </w:t>
      </w:r>
      <w:r>
        <w:rPr>
          <w:w w:val="95"/>
        </w:rPr>
        <w:t>NSW:</w:t>
      </w:r>
      <w:r>
        <w:rPr>
          <w:spacing w:val="-11"/>
          <w:w w:val="95"/>
        </w:rPr>
        <w:t xml:space="preserve"> </w:t>
      </w:r>
      <w:r>
        <w:rPr>
          <w:w w:val="95"/>
        </w:rPr>
        <w:t>Input</w:t>
      </w:r>
      <w:r>
        <w:rPr>
          <w:spacing w:val="-11"/>
          <w:w w:val="95"/>
        </w:rPr>
        <w:t xml:space="preserve"> </w:t>
      </w:r>
      <w:r>
        <w:rPr>
          <w:w w:val="95"/>
        </w:rPr>
        <w:t xml:space="preserve">into </w:t>
      </w:r>
      <w:r>
        <w:t>the</w:t>
      </w:r>
      <w:r>
        <w:rPr>
          <w:spacing w:val="-13"/>
        </w:rPr>
        <w:t xml:space="preserve"> </w:t>
      </w:r>
      <w:r>
        <w:t>20</w:t>
      </w:r>
      <w:r>
        <w:rPr>
          <w:spacing w:val="-13"/>
        </w:rPr>
        <w:t xml:space="preserve"> </w:t>
      </w:r>
      <w:r>
        <w:t>Year</w:t>
      </w:r>
      <w:r>
        <w:rPr>
          <w:spacing w:val="-13"/>
        </w:rPr>
        <w:t xml:space="preserve"> </w:t>
      </w:r>
      <w:r>
        <w:t>State</w:t>
      </w:r>
      <w:r>
        <w:rPr>
          <w:spacing w:val="-13"/>
        </w:rPr>
        <w:t xml:space="preserve"> </w:t>
      </w:r>
      <w:r>
        <w:t>Water</w:t>
      </w:r>
      <w:r>
        <w:rPr>
          <w:spacing w:val="-13"/>
        </w:rPr>
        <w:t xml:space="preserve"> </w:t>
      </w:r>
      <w:r>
        <w:t>Strategy”.</w:t>
      </w:r>
    </w:p>
    <w:p w:rsidR="002C1123" w:rsidRDefault="00F22F94">
      <w:pPr>
        <w:pStyle w:val="BodyText"/>
        <w:spacing w:before="143" w:line="249" w:lineRule="auto"/>
        <w:ind w:left="320"/>
      </w:pPr>
      <w:r>
        <w:rPr>
          <w:spacing w:val="-2"/>
          <w:w w:val="95"/>
        </w:rPr>
        <w:t xml:space="preserve">GHD (April 2012), “NSW Infrastructure Baseline: Energy </w:t>
      </w:r>
      <w:r>
        <w:t>Baseline</w:t>
      </w:r>
      <w:r>
        <w:rPr>
          <w:spacing w:val="-11"/>
        </w:rPr>
        <w:t xml:space="preserve"> </w:t>
      </w:r>
      <w:r>
        <w:t>Report”.</w:t>
      </w:r>
    </w:p>
    <w:p w:rsidR="002C1123" w:rsidRDefault="00F22F94">
      <w:pPr>
        <w:pStyle w:val="BodyText"/>
        <w:spacing w:before="144" w:line="249" w:lineRule="auto"/>
        <w:ind w:left="320"/>
      </w:pPr>
      <w:r>
        <w:t xml:space="preserve">Infrastructure NSW, Roads and Maritime Services </w:t>
      </w:r>
      <w:r>
        <w:rPr>
          <w:spacing w:val="-2"/>
        </w:rPr>
        <w:t>and</w:t>
      </w:r>
      <w:r>
        <w:rPr>
          <w:spacing w:val="-12"/>
        </w:rPr>
        <w:t xml:space="preserve"> </w:t>
      </w:r>
      <w:r>
        <w:rPr>
          <w:spacing w:val="-2"/>
        </w:rPr>
        <w:t>Transport</w:t>
      </w:r>
      <w:r>
        <w:rPr>
          <w:spacing w:val="-12"/>
        </w:rPr>
        <w:t xml:space="preserve"> </w:t>
      </w:r>
      <w:r>
        <w:rPr>
          <w:spacing w:val="-2"/>
        </w:rPr>
        <w:t>for</w:t>
      </w:r>
      <w:r>
        <w:rPr>
          <w:spacing w:val="-12"/>
        </w:rPr>
        <w:t xml:space="preserve"> </w:t>
      </w:r>
      <w:r>
        <w:rPr>
          <w:spacing w:val="-2"/>
        </w:rPr>
        <w:t>NSW</w:t>
      </w:r>
      <w:r>
        <w:rPr>
          <w:spacing w:val="-12"/>
        </w:rPr>
        <w:t xml:space="preserve"> </w:t>
      </w:r>
      <w:r>
        <w:rPr>
          <w:spacing w:val="-2"/>
        </w:rPr>
        <w:t>(October</w:t>
      </w:r>
      <w:r>
        <w:rPr>
          <w:spacing w:val="-12"/>
        </w:rPr>
        <w:t xml:space="preserve"> </w:t>
      </w:r>
      <w:r>
        <w:rPr>
          <w:spacing w:val="-2"/>
        </w:rPr>
        <w:t>2012),</w:t>
      </w:r>
      <w:r>
        <w:rPr>
          <w:spacing w:val="-12"/>
        </w:rPr>
        <w:t xml:space="preserve"> </w:t>
      </w:r>
      <w:r>
        <w:rPr>
          <w:spacing w:val="-2"/>
        </w:rPr>
        <w:t xml:space="preserve">“WestConnex </w:t>
      </w:r>
      <w:r>
        <w:t>–</w:t>
      </w:r>
      <w:r>
        <w:rPr>
          <w:spacing w:val="-3"/>
        </w:rPr>
        <w:t xml:space="preserve"> </w:t>
      </w:r>
      <w:r>
        <w:t>Sydney’s</w:t>
      </w:r>
      <w:r>
        <w:rPr>
          <w:spacing w:val="-3"/>
        </w:rPr>
        <w:t xml:space="preserve"> </w:t>
      </w:r>
      <w:r>
        <w:t>Next</w:t>
      </w:r>
      <w:r>
        <w:rPr>
          <w:spacing w:val="-3"/>
        </w:rPr>
        <w:t xml:space="preserve"> </w:t>
      </w:r>
      <w:r>
        <w:t>Motorway</w:t>
      </w:r>
      <w:r>
        <w:rPr>
          <w:spacing w:val="-3"/>
        </w:rPr>
        <w:t xml:space="preserve"> </w:t>
      </w:r>
      <w:r>
        <w:t>Priority”.</w:t>
      </w:r>
    </w:p>
    <w:p w:rsidR="002C1123" w:rsidRDefault="00F22F94">
      <w:pPr>
        <w:pStyle w:val="BodyText"/>
        <w:spacing w:before="144" w:line="249" w:lineRule="auto"/>
        <w:ind w:left="320"/>
      </w:pPr>
      <w:r>
        <w:t>Interfleet</w:t>
      </w:r>
      <w:r>
        <w:rPr>
          <w:spacing w:val="-14"/>
        </w:rPr>
        <w:t xml:space="preserve"> </w:t>
      </w:r>
      <w:r>
        <w:t>Transport</w:t>
      </w:r>
      <w:r>
        <w:rPr>
          <w:spacing w:val="-14"/>
        </w:rPr>
        <w:t xml:space="preserve"> </w:t>
      </w:r>
      <w:r>
        <w:t>Advisory</w:t>
      </w:r>
      <w:r>
        <w:rPr>
          <w:spacing w:val="-14"/>
        </w:rPr>
        <w:t xml:space="preserve"> </w:t>
      </w:r>
      <w:r>
        <w:t>(April</w:t>
      </w:r>
      <w:r>
        <w:rPr>
          <w:spacing w:val="-14"/>
        </w:rPr>
        <w:t xml:space="preserve"> </w:t>
      </w:r>
      <w:r>
        <w:t>2012),</w:t>
      </w:r>
      <w:r>
        <w:rPr>
          <w:spacing w:val="-14"/>
        </w:rPr>
        <w:t xml:space="preserve"> </w:t>
      </w:r>
      <w:r>
        <w:t>“Rail Infrastructure</w:t>
      </w:r>
      <w:r>
        <w:rPr>
          <w:spacing w:val="-14"/>
        </w:rPr>
        <w:t xml:space="preserve"> </w:t>
      </w:r>
      <w:r>
        <w:t>Strategy</w:t>
      </w:r>
      <w:r>
        <w:rPr>
          <w:spacing w:val="-14"/>
        </w:rPr>
        <w:t xml:space="preserve"> </w:t>
      </w:r>
      <w:r>
        <w:t>Review</w:t>
      </w:r>
      <w:r>
        <w:rPr>
          <w:spacing w:val="-14"/>
        </w:rPr>
        <w:t xml:space="preserve"> </w:t>
      </w:r>
      <w:r>
        <w:t>–</w:t>
      </w:r>
      <w:r>
        <w:rPr>
          <w:spacing w:val="-14"/>
        </w:rPr>
        <w:t xml:space="preserve"> </w:t>
      </w:r>
      <w:r>
        <w:t>Summary”.</w:t>
      </w:r>
    </w:p>
    <w:p w:rsidR="002C1123" w:rsidRDefault="00F22F94">
      <w:pPr>
        <w:pStyle w:val="BodyText"/>
        <w:spacing w:before="144" w:line="249" w:lineRule="auto"/>
        <w:ind w:left="320"/>
      </w:pPr>
      <w:r>
        <w:t>Interfleet</w:t>
      </w:r>
      <w:r>
        <w:rPr>
          <w:spacing w:val="-14"/>
        </w:rPr>
        <w:t xml:space="preserve"> </w:t>
      </w:r>
      <w:r>
        <w:t>Transport</w:t>
      </w:r>
      <w:r>
        <w:rPr>
          <w:spacing w:val="-14"/>
        </w:rPr>
        <w:t xml:space="preserve"> </w:t>
      </w:r>
      <w:r>
        <w:t>Advisory</w:t>
      </w:r>
      <w:r>
        <w:rPr>
          <w:spacing w:val="-14"/>
        </w:rPr>
        <w:t xml:space="preserve"> </w:t>
      </w:r>
      <w:r>
        <w:t>(April</w:t>
      </w:r>
      <w:r>
        <w:rPr>
          <w:spacing w:val="-14"/>
        </w:rPr>
        <w:t xml:space="preserve"> </w:t>
      </w:r>
      <w:r>
        <w:t>2012),</w:t>
      </w:r>
      <w:r>
        <w:rPr>
          <w:spacing w:val="-14"/>
        </w:rPr>
        <w:t xml:space="preserve"> </w:t>
      </w:r>
      <w:r>
        <w:t>“Final Report</w:t>
      </w:r>
      <w:r>
        <w:rPr>
          <w:spacing w:val="-9"/>
        </w:rPr>
        <w:t xml:space="preserve"> </w:t>
      </w:r>
      <w:r>
        <w:t>of</w:t>
      </w:r>
      <w:r>
        <w:rPr>
          <w:spacing w:val="-9"/>
        </w:rPr>
        <w:t xml:space="preserve"> </w:t>
      </w:r>
      <w:r>
        <w:t>Rail</w:t>
      </w:r>
      <w:r>
        <w:rPr>
          <w:spacing w:val="-9"/>
        </w:rPr>
        <w:t xml:space="preserve"> </w:t>
      </w:r>
      <w:r>
        <w:t>Network</w:t>
      </w:r>
      <w:r>
        <w:rPr>
          <w:spacing w:val="-9"/>
        </w:rPr>
        <w:t xml:space="preserve"> </w:t>
      </w:r>
      <w:r>
        <w:t>Strategic</w:t>
      </w:r>
      <w:r>
        <w:rPr>
          <w:spacing w:val="-9"/>
        </w:rPr>
        <w:t xml:space="preserve"> </w:t>
      </w:r>
      <w:r>
        <w:t>Review”.</w:t>
      </w:r>
    </w:p>
    <w:p w:rsidR="002C1123" w:rsidRDefault="00F22F94">
      <w:pPr>
        <w:pStyle w:val="BodyText"/>
        <w:spacing w:before="143"/>
        <w:ind w:left="320"/>
      </w:pPr>
      <w:r>
        <w:rPr>
          <w:w w:val="95"/>
        </w:rPr>
        <w:t>L.E.K.</w:t>
      </w:r>
      <w:r>
        <w:rPr>
          <w:spacing w:val="-8"/>
          <w:w w:val="95"/>
        </w:rPr>
        <w:t xml:space="preserve"> </w:t>
      </w:r>
      <w:r>
        <w:rPr>
          <w:w w:val="95"/>
        </w:rPr>
        <w:t>(June</w:t>
      </w:r>
      <w:r>
        <w:rPr>
          <w:spacing w:val="-8"/>
          <w:w w:val="95"/>
        </w:rPr>
        <w:t xml:space="preserve"> </w:t>
      </w:r>
      <w:r>
        <w:rPr>
          <w:w w:val="95"/>
        </w:rPr>
        <w:t>2012),</w:t>
      </w:r>
      <w:r>
        <w:rPr>
          <w:spacing w:val="-7"/>
          <w:w w:val="95"/>
        </w:rPr>
        <w:t xml:space="preserve"> </w:t>
      </w:r>
      <w:r>
        <w:rPr>
          <w:w w:val="95"/>
        </w:rPr>
        <w:t>“Sydney</w:t>
      </w:r>
      <w:r>
        <w:rPr>
          <w:spacing w:val="-8"/>
          <w:w w:val="95"/>
        </w:rPr>
        <w:t xml:space="preserve"> </w:t>
      </w:r>
      <w:r>
        <w:rPr>
          <w:w w:val="95"/>
        </w:rPr>
        <w:t>CBD</w:t>
      </w:r>
      <w:r>
        <w:rPr>
          <w:spacing w:val="-7"/>
          <w:w w:val="95"/>
        </w:rPr>
        <w:t xml:space="preserve"> </w:t>
      </w:r>
      <w:r>
        <w:rPr>
          <w:w w:val="95"/>
        </w:rPr>
        <w:t>Access</w:t>
      </w:r>
      <w:r>
        <w:rPr>
          <w:spacing w:val="-8"/>
          <w:w w:val="95"/>
        </w:rPr>
        <w:t xml:space="preserve"> </w:t>
      </w:r>
      <w:r>
        <w:rPr>
          <w:spacing w:val="-2"/>
          <w:w w:val="95"/>
        </w:rPr>
        <w:t>Strategy”.</w:t>
      </w:r>
    </w:p>
    <w:p w:rsidR="002C1123" w:rsidRDefault="00F22F94">
      <w:pPr>
        <w:pStyle w:val="BodyText"/>
        <w:spacing w:before="152" w:line="249" w:lineRule="auto"/>
        <w:ind w:left="320"/>
      </w:pPr>
      <w:r>
        <w:rPr>
          <w:w w:val="95"/>
        </w:rPr>
        <w:t xml:space="preserve">Molino Stewart (July 2012), “Hawkesbury – Nepean </w:t>
      </w:r>
      <w:r>
        <w:t>Flood</w:t>
      </w:r>
      <w:r>
        <w:rPr>
          <w:spacing w:val="-11"/>
        </w:rPr>
        <w:t xml:space="preserve"> </w:t>
      </w:r>
      <w:r>
        <w:t>Damages</w:t>
      </w:r>
      <w:r>
        <w:rPr>
          <w:spacing w:val="-11"/>
        </w:rPr>
        <w:t xml:space="preserve"> </w:t>
      </w:r>
      <w:r>
        <w:t>Assessment:</w:t>
      </w:r>
      <w:r>
        <w:rPr>
          <w:spacing w:val="-11"/>
        </w:rPr>
        <w:t xml:space="preserve"> </w:t>
      </w:r>
      <w:r>
        <w:t>Final</w:t>
      </w:r>
      <w:r>
        <w:rPr>
          <w:spacing w:val="-11"/>
        </w:rPr>
        <w:t xml:space="preserve"> </w:t>
      </w:r>
      <w:r>
        <w:t>Report</w:t>
      </w:r>
      <w:r>
        <w:rPr>
          <w:spacing w:val="-11"/>
        </w:rPr>
        <w:t xml:space="preserve"> </w:t>
      </w:r>
      <w:r>
        <w:t xml:space="preserve">and </w:t>
      </w:r>
      <w:r>
        <w:rPr>
          <w:spacing w:val="-2"/>
        </w:rPr>
        <w:t>Addenda”.</w:t>
      </w:r>
    </w:p>
    <w:p w:rsidR="002C1123" w:rsidRDefault="00F22F94">
      <w:pPr>
        <w:pStyle w:val="BodyText"/>
        <w:spacing w:before="144" w:line="249" w:lineRule="auto"/>
        <w:ind w:left="320"/>
      </w:pPr>
      <w:r>
        <w:rPr>
          <w:w w:val="95"/>
        </w:rPr>
        <w:t xml:space="preserve">Molino Stewart (February 2011),”North West Sector </w:t>
      </w:r>
      <w:r>
        <w:t>Flood</w:t>
      </w:r>
      <w:r>
        <w:rPr>
          <w:spacing w:val="-14"/>
        </w:rPr>
        <w:t xml:space="preserve"> </w:t>
      </w:r>
      <w:r>
        <w:t>Evacuation</w:t>
      </w:r>
      <w:r>
        <w:rPr>
          <w:spacing w:val="-14"/>
        </w:rPr>
        <w:t xml:space="preserve"> </w:t>
      </w:r>
      <w:r>
        <w:t>Analysis:</w:t>
      </w:r>
      <w:r>
        <w:rPr>
          <w:spacing w:val="-14"/>
        </w:rPr>
        <w:t xml:space="preserve"> </w:t>
      </w:r>
      <w:r>
        <w:t>Final</w:t>
      </w:r>
      <w:r>
        <w:rPr>
          <w:spacing w:val="-14"/>
        </w:rPr>
        <w:t xml:space="preserve"> </w:t>
      </w:r>
      <w:r>
        <w:t>Report”.</w:t>
      </w:r>
    </w:p>
    <w:p w:rsidR="002C1123" w:rsidRDefault="00F22F94">
      <w:pPr>
        <w:pStyle w:val="BodyText"/>
        <w:spacing w:before="143" w:line="249" w:lineRule="auto"/>
        <w:ind w:left="320"/>
      </w:pPr>
      <w:r>
        <w:rPr>
          <w:w w:val="95"/>
        </w:rPr>
        <w:t>MR</w:t>
      </w:r>
      <w:r>
        <w:rPr>
          <w:spacing w:val="-6"/>
          <w:w w:val="95"/>
        </w:rPr>
        <w:t xml:space="preserve"> </w:t>
      </w:r>
      <w:r>
        <w:rPr>
          <w:w w:val="95"/>
        </w:rPr>
        <w:t>Cagney</w:t>
      </w:r>
      <w:r>
        <w:rPr>
          <w:spacing w:val="-6"/>
          <w:w w:val="95"/>
        </w:rPr>
        <w:t xml:space="preserve"> </w:t>
      </w:r>
      <w:r>
        <w:rPr>
          <w:w w:val="95"/>
        </w:rPr>
        <w:t>(August</w:t>
      </w:r>
      <w:r>
        <w:rPr>
          <w:spacing w:val="-6"/>
          <w:w w:val="95"/>
        </w:rPr>
        <w:t xml:space="preserve"> </w:t>
      </w:r>
      <w:r>
        <w:rPr>
          <w:w w:val="95"/>
        </w:rPr>
        <w:t>2012),</w:t>
      </w:r>
      <w:r>
        <w:rPr>
          <w:spacing w:val="-6"/>
          <w:w w:val="95"/>
        </w:rPr>
        <w:t xml:space="preserve"> </w:t>
      </w:r>
      <w:r>
        <w:rPr>
          <w:w w:val="95"/>
        </w:rPr>
        <w:t>“Inner</w:t>
      </w:r>
      <w:r>
        <w:rPr>
          <w:spacing w:val="-6"/>
          <w:w w:val="95"/>
        </w:rPr>
        <w:t xml:space="preserve"> </w:t>
      </w:r>
      <w:r>
        <w:rPr>
          <w:w w:val="95"/>
        </w:rPr>
        <w:t>Sydney</w:t>
      </w:r>
      <w:r>
        <w:rPr>
          <w:spacing w:val="-6"/>
          <w:w w:val="95"/>
        </w:rPr>
        <w:t xml:space="preserve"> </w:t>
      </w:r>
      <w:r>
        <w:rPr>
          <w:w w:val="95"/>
        </w:rPr>
        <w:t xml:space="preserve">Transport </w:t>
      </w:r>
      <w:r>
        <w:t>Strategy</w:t>
      </w:r>
      <w:r>
        <w:rPr>
          <w:spacing w:val="40"/>
        </w:rPr>
        <w:t xml:space="preserve"> </w:t>
      </w:r>
      <w:r>
        <w:t>–</w:t>
      </w:r>
      <w:r>
        <w:rPr>
          <w:spacing w:val="-8"/>
        </w:rPr>
        <w:t xml:space="preserve"> </w:t>
      </w:r>
      <w:r>
        <w:t>Technical</w:t>
      </w:r>
      <w:r>
        <w:rPr>
          <w:spacing w:val="-8"/>
        </w:rPr>
        <w:t xml:space="preserve"> </w:t>
      </w:r>
      <w:r>
        <w:t>support</w:t>
      </w:r>
      <w:r>
        <w:rPr>
          <w:spacing w:val="-8"/>
        </w:rPr>
        <w:t xml:space="preserve"> </w:t>
      </w:r>
      <w:r>
        <w:t>services”.</w:t>
      </w:r>
    </w:p>
    <w:p w:rsidR="002C1123" w:rsidRDefault="00F22F94">
      <w:pPr>
        <w:pStyle w:val="BodyText"/>
        <w:spacing w:before="144" w:line="249" w:lineRule="auto"/>
        <w:ind w:left="320"/>
      </w:pPr>
      <w:r>
        <w:rPr>
          <w:spacing w:val="-2"/>
        </w:rPr>
        <w:t>Port</w:t>
      </w:r>
      <w:r>
        <w:rPr>
          <w:spacing w:val="-4"/>
        </w:rPr>
        <w:t xml:space="preserve"> </w:t>
      </w:r>
      <w:r>
        <w:rPr>
          <w:spacing w:val="-2"/>
        </w:rPr>
        <w:t>Jackson</w:t>
      </w:r>
      <w:r>
        <w:rPr>
          <w:spacing w:val="-4"/>
        </w:rPr>
        <w:t xml:space="preserve"> </w:t>
      </w:r>
      <w:r>
        <w:rPr>
          <w:spacing w:val="-2"/>
        </w:rPr>
        <w:t>Partners</w:t>
      </w:r>
      <w:r>
        <w:rPr>
          <w:spacing w:val="-4"/>
        </w:rPr>
        <w:t xml:space="preserve"> </w:t>
      </w:r>
      <w:r>
        <w:rPr>
          <w:spacing w:val="-2"/>
        </w:rPr>
        <w:t>(January</w:t>
      </w:r>
      <w:r>
        <w:rPr>
          <w:spacing w:val="-4"/>
        </w:rPr>
        <w:t xml:space="preserve"> </w:t>
      </w:r>
      <w:r>
        <w:rPr>
          <w:spacing w:val="-2"/>
        </w:rPr>
        <w:t>2012),</w:t>
      </w:r>
      <w:r>
        <w:rPr>
          <w:spacing w:val="-4"/>
        </w:rPr>
        <w:t xml:space="preserve"> </w:t>
      </w:r>
      <w:r>
        <w:rPr>
          <w:spacing w:val="-2"/>
        </w:rPr>
        <w:t xml:space="preserve">“Construction </w:t>
      </w:r>
      <w:r>
        <w:t>Spending</w:t>
      </w:r>
      <w:r>
        <w:rPr>
          <w:spacing w:val="-7"/>
        </w:rPr>
        <w:t xml:space="preserve"> </w:t>
      </w:r>
      <w:r>
        <w:t>and</w:t>
      </w:r>
      <w:r>
        <w:rPr>
          <w:spacing w:val="-7"/>
        </w:rPr>
        <w:t xml:space="preserve"> </w:t>
      </w:r>
      <w:r>
        <w:t>Macroeconomic</w:t>
      </w:r>
      <w:r>
        <w:rPr>
          <w:spacing w:val="-7"/>
        </w:rPr>
        <w:t xml:space="preserve"> </w:t>
      </w:r>
      <w:r>
        <w:t>trends</w:t>
      </w:r>
      <w:r>
        <w:rPr>
          <w:spacing w:val="-7"/>
        </w:rPr>
        <w:t xml:space="preserve"> </w:t>
      </w:r>
      <w:r>
        <w:t>in</w:t>
      </w:r>
      <w:r>
        <w:rPr>
          <w:spacing w:val="-7"/>
        </w:rPr>
        <w:t xml:space="preserve"> </w:t>
      </w:r>
      <w:r>
        <w:t xml:space="preserve">Australia: </w:t>
      </w:r>
      <w:r>
        <w:rPr>
          <w:spacing w:val="-2"/>
        </w:rPr>
        <w:t>Implications</w:t>
      </w:r>
      <w:r>
        <w:rPr>
          <w:spacing w:val="-7"/>
        </w:rPr>
        <w:t xml:space="preserve"> </w:t>
      </w:r>
      <w:r>
        <w:rPr>
          <w:spacing w:val="-2"/>
        </w:rPr>
        <w:t>for</w:t>
      </w:r>
      <w:r>
        <w:rPr>
          <w:spacing w:val="-7"/>
        </w:rPr>
        <w:t xml:space="preserve"> </w:t>
      </w:r>
      <w:r>
        <w:rPr>
          <w:spacing w:val="-2"/>
        </w:rPr>
        <w:t>NSW’s</w:t>
      </w:r>
      <w:r>
        <w:rPr>
          <w:spacing w:val="-7"/>
        </w:rPr>
        <w:t xml:space="preserve"> </w:t>
      </w:r>
      <w:r>
        <w:rPr>
          <w:spacing w:val="-2"/>
        </w:rPr>
        <w:t>State</w:t>
      </w:r>
      <w:r>
        <w:rPr>
          <w:spacing w:val="-7"/>
        </w:rPr>
        <w:t xml:space="preserve"> </w:t>
      </w:r>
      <w:r>
        <w:rPr>
          <w:spacing w:val="-2"/>
        </w:rPr>
        <w:t>Infrastructure</w:t>
      </w:r>
      <w:r>
        <w:rPr>
          <w:spacing w:val="-7"/>
        </w:rPr>
        <w:t xml:space="preserve"> </w:t>
      </w:r>
      <w:r>
        <w:rPr>
          <w:spacing w:val="-2"/>
        </w:rPr>
        <w:t>Strategy”.</w:t>
      </w:r>
    </w:p>
    <w:p w:rsidR="002C1123" w:rsidRDefault="00F22F94">
      <w:pPr>
        <w:pStyle w:val="BodyText"/>
        <w:spacing w:before="144" w:line="249" w:lineRule="auto"/>
        <w:ind w:left="320"/>
      </w:pPr>
      <w:r>
        <w:rPr>
          <w:spacing w:val="-2"/>
        </w:rPr>
        <w:t>Port</w:t>
      </w:r>
      <w:r>
        <w:rPr>
          <w:spacing w:val="-12"/>
        </w:rPr>
        <w:t xml:space="preserve"> </w:t>
      </w:r>
      <w:r>
        <w:rPr>
          <w:spacing w:val="-2"/>
        </w:rPr>
        <w:t>Jackson</w:t>
      </w:r>
      <w:r>
        <w:rPr>
          <w:spacing w:val="-12"/>
        </w:rPr>
        <w:t xml:space="preserve"> </w:t>
      </w:r>
      <w:r>
        <w:rPr>
          <w:spacing w:val="-2"/>
        </w:rPr>
        <w:t>Partners</w:t>
      </w:r>
      <w:r>
        <w:rPr>
          <w:spacing w:val="-12"/>
        </w:rPr>
        <w:t xml:space="preserve"> </w:t>
      </w:r>
      <w:r>
        <w:rPr>
          <w:spacing w:val="-2"/>
        </w:rPr>
        <w:t>(December</w:t>
      </w:r>
      <w:r>
        <w:rPr>
          <w:spacing w:val="-12"/>
        </w:rPr>
        <w:t xml:space="preserve"> </w:t>
      </w:r>
      <w:r>
        <w:rPr>
          <w:spacing w:val="-2"/>
        </w:rPr>
        <w:t>2012),”Trends</w:t>
      </w:r>
      <w:r>
        <w:rPr>
          <w:spacing w:val="-12"/>
        </w:rPr>
        <w:t xml:space="preserve"> </w:t>
      </w:r>
      <w:r>
        <w:rPr>
          <w:spacing w:val="-2"/>
        </w:rPr>
        <w:t xml:space="preserve">in </w:t>
      </w:r>
      <w:r>
        <w:t>Engineering</w:t>
      </w:r>
      <w:r>
        <w:rPr>
          <w:spacing w:val="-6"/>
        </w:rPr>
        <w:t xml:space="preserve"> </w:t>
      </w:r>
      <w:r>
        <w:t>Construction</w:t>
      </w:r>
      <w:r>
        <w:rPr>
          <w:spacing w:val="-6"/>
        </w:rPr>
        <w:t xml:space="preserve"> </w:t>
      </w:r>
      <w:r>
        <w:t>across</w:t>
      </w:r>
      <w:r>
        <w:rPr>
          <w:spacing w:val="-6"/>
        </w:rPr>
        <w:t xml:space="preserve"> </w:t>
      </w:r>
      <w:r>
        <w:t>States”.</w:t>
      </w:r>
    </w:p>
    <w:p w:rsidR="002C1123" w:rsidRDefault="00F22F94">
      <w:pPr>
        <w:pStyle w:val="BodyText"/>
        <w:spacing w:before="144" w:line="249" w:lineRule="auto"/>
        <w:ind w:left="320"/>
      </w:pPr>
      <w:r>
        <w:rPr>
          <w:w w:val="95"/>
        </w:rPr>
        <w:t xml:space="preserve">Port Jackson Partners (January 2012),”Engineering </w:t>
      </w:r>
      <w:r>
        <w:t>Construction</w:t>
      </w:r>
      <w:r>
        <w:rPr>
          <w:spacing w:val="-14"/>
        </w:rPr>
        <w:t xml:space="preserve"> </w:t>
      </w:r>
      <w:r>
        <w:t>–</w:t>
      </w:r>
      <w:r>
        <w:rPr>
          <w:spacing w:val="-14"/>
        </w:rPr>
        <w:t xml:space="preserve"> </w:t>
      </w:r>
      <w:r>
        <w:t>Trends</w:t>
      </w:r>
      <w:r>
        <w:rPr>
          <w:spacing w:val="-14"/>
        </w:rPr>
        <w:t xml:space="preserve"> </w:t>
      </w:r>
      <w:r>
        <w:t>in</w:t>
      </w:r>
      <w:r>
        <w:rPr>
          <w:spacing w:val="-14"/>
        </w:rPr>
        <w:t xml:space="preserve"> </w:t>
      </w:r>
      <w:r>
        <w:t>Funding</w:t>
      </w:r>
      <w:r>
        <w:rPr>
          <w:spacing w:val="-14"/>
        </w:rPr>
        <w:t xml:space="preserve"> </w:t>
      </w:r>
      <w:r>
        <w:t>and</w:t>
      </w:r>
      <w:r>
        <w:rPr>
          <w:spacing w:val="-14"/>
        </w:rPr>
        <w:t xml:space="preserve"> </w:t>
      </w:r>
      <w:r>
        <w:t>Provision”.</w:t>
      </w:r>
    </w:p>
    <w:p w:rsidR="002C1123" w:rsidRDefault="00F22F94">
      <w:pPr>
        <w:pStyle w:val="BodyText"/>
        <w:spacing w:before="108" w:line="249" w:lineRule="auto"/>
        <w:ind w:left="322" w:right="1022"/>
      </w:pPr>
      <w:r>
        <w:br w:type="column"/>
      </w:r>
      <w:r>
        <w:rPr>
          <w:w w:val="95"/>
        </w:rPr>
        <w:t>PwC</w:t>
      </w:r>
      <w:r>
        <w:rPr>
          <w:spacing w:val="-12"/>
          <w:w w:val="95"/>
        </w:rPr>
        <w:t xml:space="preserve"> </w:t>
      </w:r>
      <w:r>
        <w:rPr>
          <w:w w:val="95"/>
        </w:rPr>
        <w:t>(June</w:t>
      </w:r>
      <w:r>
        <w:rPr>
          <w:spacing w:val="-11"/>
          <w:w w:val="95"/>
        </w:rPr>
        <w:t xml:space="preserve"> </w:t>
      </w:r>
      <w:r>
        <w:rPr>
          <w:w w:val="95"/>
        </w:rPr>
        <w:t>2012),</w:t>
      </w:r>
      <w:r>
        <w:rPr>
          <w:spacing w:val="-11"/>
          <w:w w:val="95"/>
        </w:rPr>
        <w:t xml:space="preserve"> </w:t>
      </w:r>
      <w:r>
        <w:rPr>
          <w:w w:val="95"/>
        </w:rPr>
        <w:t>“NSW</w:t>
      </w:r>
      <w:r>
        <w:rPr>
          <w:spacing w:val="-11"/>
          <w:w w:val="95"/>
        </w:rPr>
        <w:t xml:space="preserve"> </w:t>
      </w:r>
      <w:r>
        <w:rPr>
          <w:w w:val="95"/>
        </w:rPr>
        <w:t>Infrastructure</w:t>
      </w:r>
      <w:r>
        <w:rPr>
          <w:spacing w:val="-11"/>
          <w:w w:val="95"/>
        </w:rPr>
        <w:t xml:space="preserve"> </w:t>
      </w:r>
      <w:r>
        <w:rPr>
          <w:w w:val="95"/>
        </w:rPr>
        <w:t xml:space="preserve">Baseline: </w:t>
      </w:r>
      <w:r>
        <w:t>Preliminary</w:t>
      </w:r>
      <w:r>
        <w:rPr>
          <w:spacing w:val="-8"/>
        </w:rPr>
        <w:t xml:space="preserve"> </w:t>
      </w:r>
      <w:r>
        <w:t>Health</w:t>
      </w:r>
      <w:r>
        <w:rPr>
          <w:spacing w:val="-8"/>
        </w:rPr>
        <w:t xml:space="preserve"> </w:t>
      </w:r>
      <w:r>
        <w:t>Baseline</w:t>
      </w:r>
      <w:r>
        <w:rPr>
          <w:spacing w:val="-8"/>
        </w:rPr>
        <w:t xml:space="preserve"> </w:t>
      </w:r>
      <w:r>
        <w:t>Report”.</w:t>
      </w:r>
    </w:p>
    <w:p w:rsidR="002C1123" w:rsidRDefault="00F22F94">
      <w:pPr>
        <w:pStyle w:val="BodyText"/>
        <w:spacing w:before="143" w:line="249" w:lineRule="auto"/>
        <w:ind w:left="322" w:right="1022"/>
      </w:pPr>
      <w:r>
        <w:rPr>
          <w:w w:val="95"/>
        </w:rPr>
        <w:t>PwC</w:t>
      </w:r>
      <w:r>
        <w:rPr>
          <w:spacing w:val="-12"/>
          <w:w w:val="95"/>
        </w:rPr>
        <w:t xml:space="preserve"> </w:t>
      </w:r>
      <w:r>
        <w:rPr>
          <w:w w:val="95"/>
        </w:rPr>
        <w:t>(June</w:t>
      </w:r>
      <w:r>
        <w:rPr>
          <w:spacing w:val="-11"/>
          <w:w w:val="95"/>
        </w:rPr>
        <w:t xml:space="preserve"> </w:t>
      </w:r>
      <w:r>
        <w:rPr>
          <w:w w:val="95"/>
        </w:rPr>
        <w:t>2012),</w:t>
      </w:r>
      <w:r>
        <w:rPr>
          <w:spacing w:val="-11"/>
          <w:w w:val="95"/>
        </w:rPr>
        <w:t xml:space="preserve"> </w:t>
      </w:r>
      <w:r>
        <w:rPr>
          <w:w w:val="95"/>
        </w:rPr>
        <w:t>“NSW</w:t>
      </w:r>
      <w:r>
        <w:rPr>
          <w:spacing w:val="-11"/>
          <w:w w:val="95"/>
        </w:rPr>
        <w:t xml:space="preserve"> </w:t>
      </w:r>
      <w:r>
        <w:rPr>
          <w:w w:val="95"/>
        </w:rPr>
        <w:t>Infrastructure</w:t>
      </w:r>
      <w:r>
        <w:rPr>
          <w:spacing w:val="-11"/>
          <w:w w:val="95"/>
        </w:rPr>
        <w:t xml:space="preserve"> </w:t>
      </w:r>
      <w:r>
        <w:rPr>
          <w:w w:val="95"/>
        </w:rPr>
        <w:t xml:space="preserve">Baseline: </w:t>
      </w:r>
      <w:r>
        <w:t>Preliminary</w:t>
      </w:r>
      <w:r>
        <w:rPr>
          <w:spacing w:val="-10"/>
        </w:rPr>
        <w:t xml:space="preserve"> </w:t>
      </w:r>
      <w:r>
        <w:t>Education</w:t>
      </w:r>
      <w:r>
        <w:rPr>
          <w:spacing w:val="-10"/>
        </w:rPr>
        <w:t xml:space="preserve"> </w:t>
      </w:r>
      <w:r>
        <w:t>Baseline</w:t>
      </w:r>
      <w:r>
        <w:rPr>
          <w:spacing w:val="-10"/>
        </w:rPr>
        <w:t xml:space="preserve"> </w:t>
      </w:r>
      <w:r>
        <w:t>Report”.</w:t>
      </w:r>
    </w:p>
    <w:p w:rsidR="002C1123" w:rsidRDefault="00F22F94">
      <w:pPr>
        <w:pStyle w:val="BodyText"/>
        <w:spacing w:before="144" w:line="249" w:lineRule="auto"/>
        <w:ind w:left="322" w:right="1022"/>
      </w:pPr>
      <w:r>
        <w:rPr>
          <w:w w:val="95"/>
        </w:rPr>
        <w:t>PwC</w:t>
      </w:r>
      <w:r>
        <w:rPr>
          <w:spacing w:val="-12"/>
          <w:w w:val="95"/>
        </w:rPr>
        <w:t xml:space="preserve"> </w:t>
      </w:r>
      <w:r>
        <w:rPr>
          <w:w w:val="95"/>
        </w:rPr>
        <w:t>(June</w:t>
      </w:r>
      <w:r>
        <w:rPr>
          <w:spacing w:val="-11"/>
          <w:w w:val="95"/>
        </w:rPr>
        <w:t xml:space="preserve"> </w:t>
      </w:r>
      <w:r>
        <w:rPr>
          <w:w w:val="95"/>
        </w:rPr>
        <w:t>2012),”NSW</w:t>
      </w:r>
      <w:r>
        <w:rPr>
          <w:spacing w:val="-11"/>
          <w:w w:val="95"/>
        </w:rPr>
        <w:t xml:space="preserve"> </w:t>
      </w:r>
      <w:r>
        <w:rPr>
          <w:w w:val="95"/>
        </w:rPr>
        <w:t>Infrastructure:</w:t>
      </w:r>
      <w:r>
        <w:rPr>
          <w:spacing w:val="-11"/>
          <w:w w:val="95"/>
        </w:rPr>
        <w:t xml:space="preserve"> </w:t>
      </w:r>
      <w:r>
        <w:rPr>
          <w:w w:val="95"/>
        </w:rPr>
        <w:t xml:space="preserve">Recreation </w:t>
      </w:r>
      <w:r>
        <w:t>and Arts Baseline Report”.</w:t>
      </w:r>
    </w:p>
    <w:p w:rsidR="002C1123" w:rsidRDefault="00F22F94">
      <w:pPr>
        <w:pStyle w:val="BodyText"/>
        <w:spacing w:before="143" w:line="249" w:lineRule="auto"/>
        <w:ind w:left="322" w:right="1022"/>
      </w:pPr>
      <w:r>
        <w:rPr>
          <w:w w:val="95"/>
        </w:rPr>
        <w:t>PwC</w:t>
      </w:r>
      <w:r>
        <w:rPr>
          <w:spacing w:val="-12"/>
          <w:w w:val="95"/>
        </w:rPr>
        <w:t xml:space="preserve"> </w:t>
      </w:r>
      <w:r>
        <w:rPr>
          <w:w w:val="95"/>
        </w:rPr>
        <w:t>(June</w:t>
      </w:r>
      <w:r>
        <w:rPr>
          <w:spacing w:val="-11"/>
          <w:w w:val="95"/>
        </w:rPr>
        <w:t xml:space="preserve"> </w:t>
      </w:r>
      <w:r>
        <w:rPr>
          <w:w w:val="95"/>
        </w:rPr>
        <w:t>2012),</w:t>
      </w:r>
      <w:r>
        <w:rPr>
          <w:spacing w:val="-11"/>
          <w:w w:val="95"/>
        </w:rPr>
        <w:t xml:space="preserve"> </w:t>
      </w:r>
      <w:r>
        <w:rPr>
          <w:w w:val="95"/>
        </w:rPr>
        <w:t>“NSW</w:t>
      </w:r>
      <w:r>
        <w:rPr>
          <w:spacing w:val="-11"/>
          <w:w w:val="95"/>
        </w:rPr>
        <w:t xml:space="preserve"> </w:t>
      </w:r>
      <w:r>
        <w:rPr>
          <w:w w:val="95"/>
        </w:rPr>
        <w:t>Infrastructure</w:t>
      </w:r>
      <w:r>
        <w:rPr>
          <w:spacing w:val="-11"/>
          <w:w w:val="95"/>
        </w:rPr>
        <w:t xml:space="preserve"> </w:t>
      </w:r>
      <w:r>
        <w:rPr>
          <w:w w:val="95"/>
        </w:rPr>
        <w:t xml:space="preserve">Baseline: </w:t>
      </w:r>
      <w:r>
        <w:t>Justice Baseline Report”.</w:t>
      </w:r>
    </w:p>
    <w:p w:rsidR="002C1123" w:rsidRDefault="00F22F94">
      <w:pPr>
        <w:pStyle w:val="BodyText"/>
        <w:spacing w:before="143" w:line="249" w:lineRule="auto"/>
        <w:ind w:left="322" w:right="1029"/>
      </w:pPr>
      <w:r>
        <w:rPr>
          <w:w w:val="95"/>
        </w:rPr>
        <w:t xml:space="preserve">REPUCOM International (June 2012), “Australian </w:t>
      </w:r>
      <w:r>
        <w:t>Arts Sector Funding Review”.</w:t>
      </w:r>
    </w:p>
    <w:p w:rsidR="002C1123" w:rsidRDefault="00F22F94">
      <w:pPr>
        <w:pStyle w:val="BodyText"/>
        <w:spacing w:before="144"/>
        <w:ind w:left="322"/>
      </w:pPr>
      <w:r>
        <w:rPr>
          <w:spacing w:val="-2"/>
          <w:w w:val="95"/>
        </w:rPr>
        <w:t>SAPERE</w:t>
      </w:r>
      <w:r>
        <w:rPr>
          <w:spacing w:val="-4"/>
        </w:rPr>
        <w:t xml:space="preserve"> </w:t>
      </w:r>
      <w:r>
        <w:rPr>
          <w:spacing w:val="-2"/>
          <w:w w:val="95"/>
        </w:rPr>
        <w:t>(August</w:t>
      </w:r>
      <w:r>
        <w:rPr>
          <w:spacing w:val="-3"/>
        </w:rPr>
        <w:t xml:space="preserve"> </w:t>
      </w:r>
      <w:r>
        <w:rPr>
          <w:spacing w:val="-2"/>
          <w:w w:val="95"/>
        </w:rPr>
        <w:t>2012),</w:t>
      </w:r>
      <w:r>
        <w:rPr>
          <w:spacing w:val="-4"/>
        </w:rPr>
        <w:t xml:space="preserve"> </w:t>
      </w:r>
      <w:r>
        <w:rPr>
          <w:spacing w:val="-2"/>
          <w:w w:val="95"/>
        </w:rPr>
        <w:t>”Energy</w:t>
      </w:r>
      <w:r>
        <w:rPr>
          <w:spacing w:val="-3"/>
        </w:rPr>
        <w:t xml:space="preserve"> </w:t>
      </w:r>
      <w:r>
        <w:rPr>
          <w:spacing w:val="-2"/>
          <w:w w:val="95"/>
        </w:rPr>
        <w:t>Infrastructure</w:t>
      </w:r>
      <w:r>
        <w:rPr>
          <w:spacing w:val="-3"/>
        </w:rPr>
        <w:t xml:space="preserve"> </w:t>
      </w:r>
      <w:r>
        <w:rPr>
          <w:spacing w:val="-2"/>
          <w:w w:val="95"/>
        </w:rPr>
        <w:t>Strategy”.</w:t>
      </w:r>
    </w:p>
    <w:p w:rsidR="002C1123" w:rsidRDefault="00F22F94">
      <w:pPr>
        <w:pStyle w:val="BodyText"/>
        <w:spacing w:before="152" w:line="249" w:lineRule="auto"/>
        <w:ind w:left="322" w:right="1029"/>
      </w:pPr>
      <w:r>
        <w:t xml:space="preserve">SMART Infrastructure Facility, University of </w:t>
      </w:r>
      <w:r>
        <w:rPr>
          <w:spacing w:val="-2"/>
        </w:rPr>
        <w:t>Wollongong/ACIL</w:t>
      </w:r>
      <w:r>
        <w:rPr>
          <w:spacing w:val="-13"/>
        </w:rPr>
        <w:t xml:space="preserve"> </w:t>
      </w:r>
      <w:r>
        <w:rPr>
          <w:spacing w:val="-2"/>
        </w:rPr>
        <w:t>Tasman</w:t>
      </w:r>
      <w:r>
        <w:rPr>
          <w:spacing w:val="-13"/>
        </w:rPr>
        <w:t xml:space="preserve"> </w:t>
      </w:r>
      <w:r>
        <w:rPr>
          <w:spacing w:val="-2"/>
        </w:rPr>
        <w:t>(</w:t>
      </w:r>
      <w:r>
        <w:rPr>
          <w:spacing w:val="-13"/>
        </w:rPr>
        <w:t xml:space="preserve"> </w:t>
      </w:r>
      <w:r>
        <w:rPr>
          <w:spacing w:val="-2"/>
        </w:rPr>
        <w:t>April</w:t>
      </w:r>
      <w:r>
        <w:rPr>
          <w:spacing w:val="-13"/>
        </w:rPr>
        <w:t xml:space="preserve"> </w:t>
      </w:r>
      <w:r>
        <w:rPr>
          <w:spacing w:val="-2"/>
        </w:rPr>
        <w:t>2012),</w:t>
      </w:r>
      <w:r>
        <w:rPr>
          <w:spacing w:val="-13"/>
        </w:rPr>
        <w:t xml:space="preserve"> </w:t>
      </w:r>
      <w:r>
        <w:rPr>
          <w:spacing w:val="-2"/>
        </w:rPr>
        <w:t xml:space="preserve">“Pricing </w:t>
      </w:r>
      <w:r>
        <w:t>Congestion</w:t>
      </w:r>
      <w:r>
        <w:rPr>
          <w:spacing w:val="-10"/>
        </w:rPr>
        <w:t xml:space="preserve"> </w:t>
      </w:r>
      <w:r>
        <w:t>in</w:t>
      </w:r>
      <w:r>
        <w:rPr>
          <w:spacing w:val="-10"/>
        </w:rPr>
        <w:t xml:space="preserve"> </w:t>
      </w:r>
      <w:r>
        <w:t>Sydney:</w:t>
      </w:r>
      <w:r>
        <w:rPr>
          <w:spacing w:val="-10"/>
        </w:rPr>
        <w:t xml:space="preserve"> </w:t>
      </w:r>
      <w:r>
        <w:t>Discussion</w:t>
      </w:r>
      <w:r>
        <w:rPr>
          <w:spacing w:val="-10"/>
        </w:rPr>
        <w:t xml:space="preserve"> </w:t>
      </w:r>
      <w:r>
        <w:t>Paper”.</w:t>
      </w:r>
    </w:p>
    <w:p w:rsidR="002C1123" w:rsidRDefault="002C1123">
      <w:pPr>
        <w:spacing w:line="249" w:lineRule="auto"/>
        <w:sectPr w:rsidR="002C1123">
          <w:type w:val="continuous"/>
          <w:pgSz w:w="16840" w:h="11910" w:orient="landscape"/>
          <w:pgMar w:top="560" w:right="280" w:bottom="280" w:left="500" w:header="0" w:footer="0" w:gutter="0"/>
          <w:cols w:num="3" w:space="720" w:equalWidth="0">
            <w:col w:w="5159" w:space="40"/>
            <w:col w:w="4985" w:space="39"/>
            <w:col w:w="5837"/>
          </w:cols>
        </w:sectPr>
      </w:pPr>
    </w:p>
    <w:p w:rsidR="002C1123" w:rsidRDefault="002C1123">
      <w:pPr>
        <w:pStyle w:val="BodyText"/>
        <w:spacing w:before="8"/>
        <w:rPr>
          <w:sz w:val="22"/>
        </w:rPr>
      </w:pPr>
    </w:p>
    <w:p w:rsidR="002C1123" w:rsidRDefault="002C1123">
      <w:pPr>
        <w:sectPr w:rsidR="002C1123">
          <w:type w:val="continuous"/>
          <w:pgSz w:w="16840" w:h="11910" w:orient="landscape"/>
          <w:pgMar w:top="560" w:right="280" w:bottom="280" w:left="500" w:header="0" w:footer="0" w:gutter="0"/>
          <w:cols w:space="720"/>
        </w:sectPr>
      </w:pPr>
    </w:p>
    <w:p w:rsidR="002C1123" w:rsidRDefault="002060EF">
      <w:pPr>
        <w:spacing w:before="125"/>
        <w:ind w:left="492"/>
        <w:rPr>
          <w:sz w:val="14"/>
        </w:rPr>
      </w:pPr>
      <w:r>
        <w:pict>
          <v:group id="docshapegroup2966" o:spid="_x0000_s1026" style="position:absolute;left:0;text-align:left;margin-left:0;margin-top:0;width:841.9pt;height:28.35pt;z-index:-251446272;mso-position-horizontal-relative:page;mso-position-vertical-relative:page" coordsize="16838,567">
            <v:rect id="docshape2967" o:spid="_x0000_s1034" style="position:absolute;width:16838;height:567" fillcolor="#e1e0e1" stroked="f"/>
            <v:shape id="docshape2968" o:spid="_x0000_s1033" type="#_x0000_t75" style="position:absolute;left:972;top:148;width:399;height:312">
              <v:imagedata r:id="rId59" o:title=""/>
            </v:shape>
            <v:shape id="docshape2969" o:spid="_x0000_s1032" style="position:absolute;left:2815;top:150;width:307;height:307" coordorigin="2815,151" coordsize="307,307" o:spt="100" adj="0,,0" path="m3055,284r-173,l2882,324r173,l3055,284xm3121,304r-12,-60l3095,223r,81l3085,353r-27,40l3017,421r-49,9l2919,421r-40,-28l2852,353r-10,-49l2852,255r27,-40l2919,187r49,-9l3017,187r41,28l3085,255r10,49l3095,223r-19,-27l3049,178r-21,-15l2968,151r-59,12l2860,196r-33,48l2815,304r12,60l2860,412r49,33l2968,457r60,-12l3049,430r27,-18l3109,364r12,-60xe" stroked="f">
              <v:stroke joinstyle="round"/>
              <v:formulas/>
              <v:path arrowok="t" o:connecttype="segments"/>
            </v:shape>
            <v:shape id="docshape2970" o:spid="_x0000_s1031" type="#_x0000_t75" style="position:absolute;left:3250;top:150;width:307;height:307">
              <v:imagedata r:id="rId60" o:title=""/>
            </v:shape>
            <v:shape id="docshape2971" o:spid="_x0000_s1030" type="#_x0000_t75" style="position:absolute;left:14523;top:147;width:330;height:313">
              <v:imagedata r:id="rId61" o:title=""/>
            </v:shape>
            <v:shape id="docshape2972" o:spid="_x0000_s1029" type="#_x0000_t75" style="position:absolute;left:15144;top:150;width:307;height:307">
              <v:imagedata r:id="rId62" o:title=""/>
            </v:shape>
            <v:shape id="docshape2973" o:spid="_x0000_s1028" type="#_x0000_t75" style="position:absolute;left:15557;top:150;width:307;height:307">
              <v:imagedata r:id="rId63" o:title=""/>
            </v:shape>
            <v:shape id="docshape2974" o:spid="_x0000_s1027" type="#_x0000_t75" style="position:absolute;left:1687;top:147;width:314;height:313">
              <v:imagedata r:id="rId64" o:title=""/>
            </v:shape>
            <w10:wrap anchorx="page" anchory="page"/>
          </v:group>
        </w:pict>
      </w:r>
      <w:r w:rsidR="00F22F94">
        <w:rPr>
          <w:w w:val="95"/>
          <w:sz w:val="14"/>
        </w:rPr>
        <w:t>Infrastructure</w:t>
      </w:r>
      <w:r w:rsidR="00F22F94">
        <w:rPr>
          <w:spacing w:val="8"/>
          <w:sz w:val="14"/>
        </w:rPr>
        <w:t xml:space="preserve"> </w:t>
      </w:r>
      <w:r w:rsidR="00F22F94">
        <w:rPr>
          <w:w w:val="95"/>
          <w:sz w:val="14"/>
        </w:rPr>
        <w:t>NSW</w:t>
      </w:r>
      <w:r w:rsidR="00F22F94">
        <w:rPr>
          <w:spacing w:val="55"/>
          <w:sz w:val="14"/>
        </w:rPr>
        <w:t xml:space="preserve"> </w:t>
      </w:r>
      <w:r w:rsidR="00F22F94">
        <w:rPr>
          <w:w w:val="95"/>
          <w:sz w:val="14"/>
        </w:rPr>
        <w:t>|</w:t>
      </w:r>
      <w:r w:rsidR="00F22F94">
        <w:rPr>
          <w:spacing w:val="9"/>
          <w:sz w:val="14"/>
        </w:rPr>
        <w:t xml:space="preserve"> </w:t>
      </w:r>
      <w:r w:rsidR="00F22F94">
        <w:rPr>
          <w:w w:val="95"/>
          <w:sz w:val="14"/>
        </w:rPr>
        <w:t>State</w:t>
      </w:r>
      <w:r w:rsidR="00F22F94">
        <w:rPr>
          <w:spacing w:val="9"/>
          <w:sz w:val="14"/>
        </w:rPr>
        <w:t xml:space="preserve"> </w:t>
      </w:r>
      <w:r w:rsidR="00F22F94">
        <w:rPr>
          <w:w w:val="95"/>
          <w:sz w:val="14"/>
        </w:rPr>
        <w:t>Infrastructure</w:t>
      </w:r>
      <w:r w:rsidR="00F22F94">
        <w:rPr>
          <w:spacing w:val="9"/>
          <w:sz w:val="14"/>
        </w:rPr>
        <w:t xml:space="preserve"> </w:t>
      </w:r>
      <w:r w:rsidR="00F22F94">
        <w:rPr>
          <w:spacing w:val="-2"/>
          <w:w w:val="95"/>
          <w:sz w:val="14"/>
        </w:rPr>
        <w:t>Strategy</w:t>
      </w:r>
    </w:p>
    <w:p w:rsidR="002C1123" w:rsidRDefault="00F22F94">
      <w:pPr>
        <w:spacing w:before="106"/>
        <w:ind w:left="492"/>
        <w:rPr>
          <w:b/>
          <w:sz w:val="16"/>
        </w:rPr>
      </w:pPr>
      <w:r>
        <w:br w:type="column"/>
      </w:r>
      <w:r>
        <w:rPr>
          <w:w w:val="95"/>
          <w:sz w:val="16"/>
        </w:rPr>
        <w:t>Expert</w:t>
      </w:r>
      <w:r>
        <w:rPr>
          <w:spacing w:val="12"/>
          <w:sz w:val="16"/>
        </w:rPr>
        <w:t xml:space="preserve"> </w:t>
      </w:r>
      <w:r>
        <w:rPr>
          <w:w w:val="95"/>
          <w:sz w:val="16"/>
        </w:rPr>
        <w:t>reports</w:t>
      </w:r>
      <w:r>
        <w:rPr>
          <w:spacing w:val="13"/>
          <w:sz w:val="16"/>
        </w:rPr>
        <w:t xml:space="preserve"> </w:t>
      </w:r>
      <w:r>
        <w:rPr>
          <w:b/>
          <w:w w:val="95"/>
          <w:sz w:val="16"/>
        </w:rPr>
        <w:t>Page</w:t>
      </w:r>
      <w:r>
        <w:rPr>
          <w:b/>
          <w:spacing w:val="13"/>
          <w:sz w:val="16"/>
        </w:rPr>
        <w:t xml:space="preserve"> </w:t>
      </w:r>
      <w:r>
        <w:rPr>
          <w:b/>
          <w:spacing w:val="-5"/>
          <w:w w:val="95"/>
          <w:sz w:val="16"/>
        </w:rPr>
        <w:t>211</w:t>
      </w:r>
    </w:p>
    <w:sectPr w:rsidR="002C1123">
      <w:type w:val="continuous"/>
      <w:pgSz w:w="16840" w:h="11910" w:orient="landscape"/>
      <w:pgMar w:top="560" w:right="280" w:bottom="280" w:left="500" w:header="0" w:footer="0" w:gutter="0"/>
      <w:cols w:num="2" w:space="720" w:equalWidth="0">
        <w:col w:w="3610" w:space="9525"/>
        <w:col w:w="2925"/>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60EF" w:rsidRDefault="002060EF">
      <w:r>
        <w:separator/>
      </w:r>
    </w:p>
  </w:endnote>
  <w:endnote w:type="continuationSeparator" w:id="0">
    <w:p w:rsidR="002060EF" w:rsidRDefault="00206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GMaruGothicMPRO">
    <w:altName w:val="Arial"/>
    <w:charset w:val="00"/>
    <w:family w:val="swiss"/>
    <w:pitch w:val="variable"/>
  </w:font>
  <w:font w:name="Tekton Pro LightExt">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shapetype id="_x0000_t202" coordsize="21600,21600" o:spt="202" path="m,l,21600r21600,l21600,xe">
          <v:stroke joinstyle="miter"/>
          <v:path gradientshapeok="t" o:connecttype="rect"/>
        </v:shapetype>
        <v:shape id="docshape20" o:spid="_x0000_s2358" type="#_x0000_t202" style="position:absolute;margin-left:732pt;margin-top:558.45pt;width:64.3pt;height:11.55pt;z-index:-28279808;mso-position-horizontal-relative:page;mso-position-vertical-relative:page" filled="f" stroked="f">
          <v:textbox inset="0,0,0,0">
            <w:txbxContent>
              <w:p w:rsidR="00F22F94" w:rsidRDefault="00F22F94">
                <w:pPr>
                  <w:spacing w:before="26"/>
                  <w:ind w:left="20"/>
                  <w:rPr>
                    <w:b/>
                    <w:sz w:val="16"/>
                  </w:rPr>
                </w:pPr>
                <w:r>
                  <w:rPr>
                    <w:w w:val="95"/>
                    <w:sz w:val="16"/>
                  </w:rPr>
                  <w:t>Contents</w:t>
                </w:r>
                <w:r>
                  <w:rPr>
                    <w:spacing w:val="13"/>
                    <w:sz w:val="16"/>
                  </w:rPr>
                  <w:t xml:space="preserve"> </w:t>
                </w:r>
                <w:r>
                  <w:rPr>
                    <w:b/>
                    <w:w w:val="95"/>
                    <w:sz w:val="16"/>
                  </w:rPr>
                  <w:t>Page</w:t>
                </w:r>
                <w:r>
                  <w:rPr>
                    <w:b/>
                    <w:spacing w:val="13"/>
                    <w:sz w:val="16"/>
                  </w:rPr>
                  <w:t xml:space="preserve"> </w:t>
                </w:r>
                <w:r>
                  <w:rPr>
                    <w:b/>
                    <w:spacing w:val="-10"/>
                    <w:w w:val="95"/>
                    <w:sz w:val="16"/>
                  </w:rPr>
                  <w:fldChar w:fldCharType="begin"/>
                </w:r>
                <w:r>
                  <w:rPr>
                    <w:b/>
                    <w:spacing w:val="-10"/>
                    <w:w w:val="95"/>
                    <w:sz w:val="16"/>
                  </w:rPr>
                  <w:instrText xml:space="preserve"> PAGE </w:instrText>
                </w:r>
                <w:r>
                  <w:rPr>
                    <w:b/>
                    <w:spacing w:val="-10"/>
                    <w:w w:val="95"/>
                    <w:sz w:val="16"/>
                  </w:rPr>
                  <w:fldChar w:fldCharType="separate"/>
                </w:r>
                <w:r w:rsidR="00560142">
                  <w:rPr>
                    <w:b/>
                    <w:noProof/>
                    <w:spacing w:val="-10"/>
                    <w:w w:val="95"/>
                    <w:sz w:val="16"/>
                  </w:rPr>
                  <w:t>1</w:t>
                </w:r>
                <w:r>
                  <w:rPr>
                    <w:b/>
                    <w:spacing w:val="-10"/>
                    <w:w w:val="95"/>
                    <w:sz w:val="16"/>
                  </w:rPr>
                  <w:fldChar w:fldCharType="end"/>
                </w:r>
              </w:p>
            </w:txbxContent>
          </v:textbox>
          <w10:wrap anchorx="page" anchory="page"/>
        </v:shape>
      </w:pict>
    </w:r>
    <w:r>
      <w:pict>
        <v:shape id="docshape21" o:spid="_x0000_s2357" type="#_x0000_t202" style="position:absolute;margin-left:48.6pt;margin-top:559.45pt;width:155.9pt;height:10.3pt;z-index:-28279296;mso-position-horizontal-relative:page;mso-position-vertical-relative:page" filled="f" stroked="f">
          <v:textbox inset="0,0,0,0">
            <w:txbxContent>
              <w:p w:rsidR="00F22F94" w:rsidRDefault="00F22F94">
                <w:pPr>
                  <w:spacing w:before="24"/>
                  <w:ind w:left="20"/>
                  <w:rPr>
                    <w:sz w:val="14"/>
                  </w:rPr>
                </w:pPr>
                <w:r>
                  <w:rPr>
                    <w:w w:val="95"/>
                    <w:sz w:val="14"/>
                  </w:rPr>
                  <w:t>Infrastructure</w:t>
                </w:r>
                <w:r>
                  <w:rPr>
                    <w:spacing w:val="8"/>
                    <w:sz w:val="14"/>
                  </w:rPr>
                  <w:t xml:space="preserve"> </w:t>
                </w:r>
                <w:r>
                  <w:rPr>
                    <w:w w:val="95"/>
                    <w:sz w:val="14"/>
                  </w:rPr>
                  <w:t>NSW</w:t>
                </w:r>
                <w:r>
                  <w:rPr>
                    <w:spacing w:val="55"/>
                    <w:sz w:val="14"/>
                  </w:rPr>
                  <w:t xml:space="preserve"> </w:t>
                </w:r>
                <w:r>
                  <w:rPr>
                    <w:w w:val="95"/>
                    <w:sz w:val="14"/>
                  </w:rPr>
                  <w:t>|</w:t>
                </w:r>
                <w:r>
                  <w:rPr>
                    <w:spacing w:val="9"/>
                    <w:sz w:val="14"/>
                  </w:rPr>
                  <w:t xml:space="preserve"> </w:t>
                </w:r>
                <w:r>
                  <w:rPr>
                    <w:w w:val="95"/>
                    <w:sz w:val="14"/>
                  </w:rPr>
                  <w:t>State</w:t>
                </w:r>
                <w:r>
                  <w:rPr>
                    <w:spacing w:val="9"/>
                    <w:sz w:val="14"/>
                  </w:rPr>
                  <w:t xml:space="preserve"> </w:t>
                </w:r>
                <w:r>
                  <w:rPr>
                    <w:w w:val="95"/>
                    <w:sz w:val="14"/>
                  </w:rPr>
                  <w:t>Infrastructure</w:t>
                </w:r>
                <w:r>
                  <w:rPr>
                    <w:spacing w:val="9"/>
                    <w:sz w:val="14"/>
                  </w:rPr>
                  <w:t xml:space="preserve"> </w:t>
                </w:r>
                <w:r>
                  <w:rPr>
                    <w:spacing w:val="-2"/>
                    <w:w w:val="95"/>
                    <w:sz w:val="14"/>
                  </w:rPr>
                  <w:t>Strategy</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shapetype id="_x0000_t202" coordsize="21600,21600" o:spt="202" path="m,l,21600r21600,l21600,xe">
          <v:stroke joinstyle="miter"/>
          <v:path gradientshapeok="t" o:connecttype="rect"/>
        </v:shapetype>
        <v:shape id="docshape234" o:spid="_x0000_s2303" type="#_x0000_t202" style="position:absolute;margin-left:608.9pt;margin-top:558.45pt;width:187.4pt;height:11.55pt;z-index:-28272128;mso-position-horizontal-relative:page;mso-position-vertical-relative:page" filled="f" stroked="f">
          <v:textbox inset="0,0,0,0">
            <w:txbxContent>
              <w:p w:rsidR="00F22F94" w:rsidRDefault="00F22F94">
                <w:pPr>
                  <w:spacing w:before="26"/>
                  <w:ind w:left="20"/>
                  <w:rPr>
                    <w:b/>
                    <w:sz w:val="16"/>
                  </w:rPr>
                </w:pPr>
                <w:r>
                  <w:rPr>
                    <w:w w:val="95"/>
                    <w:sz w:val="16"/>
                  </w:rPr>
                  <w:t>The</w:t>
                </w:r>
                <w:r>
                  <w:rPr>
                    <w:spacing w:val="8"/>
                    <w:sz w:val="16"/>
                  </w:rPr>
                  <w:t xml:space="preserve"> </w:t>
                </w:r>
                <w:r>
                  <w:rPr>
                    <w:w w:val="95"/>
                    <w:sz w:val="16"/>
                  </w:rPr>
                  <w:t>context</w:t>
                </w:r>
                <w:r>
                  <w:rPr>
                    <w:spacing w:val="8"/>
                    <w:sz w:val="16"/>
                  </w:rPr>
                  <w:t xml:space="preserve"> </w:t>
                </w:r>
                <w:r>
                  <w:rPr>
                    <w:b/>
                    <w:w w:val="95"/>
                    <w:sz w:val="16"/>
                  </w:rPr>
                  <w:t>Section</w:t>
                </w:r>
                <w:r>
                  <w:rPr>
                    <w:b/>
                    <w:spacing w:val="9"/>
                    <w:sz w:val="16"/>
                  </w:rPr>
                  <w:t xml:space="preserve"> </w:t>
                </w:r>
                <w:r>
                  <w:rPr>
                    <w:b/>
                    <w:w w:val="95"/>
                    <w:sz w:val="16"/>
                  </w:rPr>
                  <w:t>1</w:t>
                </w:r>
                <w:r>
                  <w:rPr>
                    <w:b/>
                    <w:spacing w:val="8"/>
                    <w:sz w:val="16"/>
                  </w:rPr>
                  <w:t xml:space="preserve"> </w:t>
                </w:r>
                <w:r>
                  <w:rPr>
                    <w:w w:val="95"/>
                    <w:sz w:val="16"/>
                  </w:rPr>
                  <w:t>Strategic</w:t>
                </w:r>
                <w:r>
                  <w:rPr>
                    <w:spacing w:val="9"/>
                    <w:sz w:val="16"/>
                  </w:rPr>
                  <w:t xml:space="preserve"> </w:t>
                </w:r>
                <w:r>
                  <w:rPr>
                    <w:w w:val="95"/>
                    <w:sz w:val="16"/>
                  </w:rPr>
                  <w:t>framework</w:t>
                </w:r>
                <w:r>
                  <w:rPr>
                    <w:spacing w:val="8"/>
                    <w:sz w:val="16"/>
                  </w:rPr>
                  <w:t xml:space="preserve"> </w:t>
                </w:r>
                <w:r>
                  <w:rPr>
                    <w:b/>
                    <w:w w:val="95"/>
                    <w:sz w:val="16"/>
                  </w:rPr>
                  <w:t>Page</w:t>
                </w:r>
                <w:r>
                  <w:rPr>
                    <w:b/>
                    <w:spacing w:val="9"/>
                    <w:sz w:val="16"/>
                  </w:rPr>
                  <w:t xml:space="preserve"> </w:t>
                </w:r>
                <w:r>
                  <w:rPr>
                    <w:b/>
                    <w:spacing w:val="-5"/>
                    <w:w w:val="95"/>
                    <w:sz w:val="16"/>
                  </w:rPr>
                  <w:fldChar w:fldCharType="begin"/>
                </w:r>
                <w:r>
                  <w:rPr>
                    <w:b/>
                    <w:spacing w:val="-5"/>
                    <w:w w:val="95"/>
                    <w:sz w:val="16"/>
                  </w:rPr>
                  <w:instrText xml:space="preserve"> PAGE </w:instrText>
                </w:r>
                <w:r>
                  <w:rPr>
                    <w:b/>
                    <w:spacing w:val="-5"/>
                    <w:w w:val="95"/>
                    <w:sz w:val="16"/>
                  </w:rPr>
                  <w:fldChar w:fldCharType="separate"/>
                </w:r>
                <w:r w:rsidR="00560142">
                  <w:rPr>
                    <w:b/>
                    <w:noProof/>
                    <w:spacing w:val="-5"/>
                    <w:w w:val="95"/>
                    <w:sz w:val="16"/>
                  </w:rPr>
                  <w:t>28</w:t>
                </w:r>
                <w:r>
                  <w:rPr>
                    <w:b/>
                    <w:spacing w:val="-5"/>
                    <w:w w:val="95"/>
                    <w:sz w:val="16"/>
                  </w:rPr>
                  <w:fldChar w:fldCharType="end"/>
                </w:r>
              </w:p>
            </w:txbxContent>
          </v:textbox>
          <w10:wrap anchorx="page" anchory="page"/>
        </v:shape>
      </w:pict>
    </w:r>
    <w:r>
      <w:pict>
        <v:shape id="docshape235" o:spid="_x0000_s2302" type="#_x0000_t202" style="position:absolute;margin-left:48.6pt;margin-top:559.45pt;width:155.9pt;height:10.3pt;z-index:-28271616;mso-position-horizontal-relative:page;mso-position-vertical-relative:page" filled="f" stroked="f">
          <v:textbox inset="0,0,0,0">
            <w:txbxContent>
              <w:p w:rsidR="00F22F94" w:rsidRDefault="00F22F94">
                <w:pPr>
                  <w:spacing w:before="24"/>
                  <w:ind w:left="20"/>
                  <w:rPr>
                    <w:sz w:val="14"/>
                  </w:rPr>
                </w:pPr>
                <w:r>
                  <w:rPr>
                    <w:w w:val="95"/>
                    <w:sz w:val="14"/>
                  </w:rPr>
                  <w:t>Infrastructure</w:t>
                </w:r>
                <w:r>
                  <w:rPr>
                    <w:spacing w:val="8"/>
                    <w:sz w:val="14"/>
                  </w:rPr>
                  <w:t xml:space="preserve"> </w:t>
                </w:r>
                <w:r>
                  <w:rPr>
                    <w:w w:val="95"/>
                    <w:sz w:val="14"/>
                  </w:rPr>
                  <w:t>NSW</w:t>
                </w:r>
                <w:r>
                  <w:rPr>
                    <w:spacing w:val="55"/>
                    <w:sz w:val="14"/>
                  </w:rPr>
                  <w:t xml:space="preserve"> </w:t>
                </w:r>
                <w:r>
                  <w:rPr>
                    <w:w w:val="95"/>
                    <w:sz w:val="14"/>
                  </w:rPr>
                  <w:t>|</w:t>
                </w:r>
                <w:r>
                  <w:rPr>
                    <w:spacing w:val="9"/>
                    <w:sz w:val="14"/>
                  </w:rPr>
                  <w:t xml:space="preserve"> </w:t>
                </w:r>
                <w:r>
                  <w:rPr>
                    <w:w w:val="95"/>
                    <w:sz w:val="14"/>
                  </w:rPr>
                  <w:t>State</w:t>
                </w:r>
                <w:r>
                  <w:rPr>
                    <w:spacing w:val="9"/>
                    <w:sz w:val="14"/>
                  </w:rPr>
                  <w:t xml:space="preserve"> </w:t>
                </w:r>
                <w:r>
                  <w:rPr>
                    <w:w w:val="95"/>
                    <w:sz w:val="14"/>
                  </w:rPr>
                  <w:t>Infrastructure</w:t>
                </w:r>
                <w:r>
                  <w:rPr>
                    <w:spacing w:val="9"/>
                    <w:sz w:val="14"/>
                  </w:rPr>
                  <w:t xml:space="preserve"> </w:t>
                </w:r>
                <w:r>
                  <w:rPr>
                    <w:spacing w:val="-2"/>
                    <w:w w:val="95"/>
                    <w:sz w:val="14"/>
                  </w:rPr>
                  <w:t>Strategy</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shapetype id="_x0000_t202" coordsize="21600,21600" o:spt="202" path="m,l,21600r21600,l21600,xe">
          <v:stroke joinstyle="miter"/>
          <v:path gradientshapeok="t" o:connecttype="rect"/>
        </v:shapetype>
        <v:shape id="docshape261" o:spid="_x0000_s2292" type="#_x0000_t202" style="position:absolute;margin-left:593.45pt;margin-top:558.45pt;width:202.8pt;height:11.55pt;z-index:-28270592;mso-position-horizontal-relative:page;mso-position-vertical-relative:page" filled="f" stroked="f">
          <v:textbox inset="0,0,0,0">
            <w:txbxContent>
              <w:p w:rsidR="00F22F94" w:rsidRDefault="00F22F94">
                <w:pPr>
                  <w:spacing w:before="26"/>
                  <w:ind w:left="20"/>
                  <w:rPr>
                    <w:b/>
                    <w:sz w:val="16"/>
                  </w:rPr>
                </w:pPr>
                <w:r>
                  <w:rPr>
                    <w:w w:val="95"/>
                    <w:sz w:val="16"/>
                  </w:rPr>
                  <w:t>The</w:t>
                </w:r>
                <w:r>
                  <w:rPr>
                    <w:spacing w:val="6"/>
                    <w:sz w:val="16"/>
                  </w:rPr>
                  <w:t xml:space="preserve"> </w:t>
                </w:r>
                <w:r>
                  <w:rPr>
                    <w:w w:val="95"/>
                    <w:sz w:val="16"/>
                  </w:rPr>
                  <w:t>context</w:t>
                </w:r>
                <w:r>
                  <w:rPr>
                    <w:spacing w:val="7"/>
                    <w:sz w:val="16"/>
                  </w:rPr>
                  <w:t xml:space="preserve"> </w:t>
                </w:r>
                <w:r>
                  <w:rPr>
                    <w:b/>
                    <w:w w:val="95"/>
                    <w:sz w:val="16"/>
                  </w:rPr>
                  <w:t>Section</w:t>
                </w:r>
                <w:r>
                  <w:rPr>
                    <w:b/>
                    <w:spacing w:val="7"/>
                    <w:sz w:val="16"/>
                  </w:rPr>
                  <w:t xml:space="preserve"> </w:t>
                </w:r>
                <w:r>
                  <w:rPr>
                    <w:b/>
                    <w:w w:val="95"/>
                    <w:sz w:val="16"/>
                  </w:rPr>
                  <w:t>2</w:t>
                </w:r>
                <w:r>
                  <w:rPr>
                    <w:b/>
                    <w:spacing w:val="7"/>
                    <w:sz w:val="16"/>
                  </w:rPr>
                  <w:t xml:space="preserve"> </w:t>
                </w:r>
                <w:r>
                  <w:rPr>
                    <w:w w:val="95"/>
                    <w:sz w:val="16"/>
                  </w:rPr>
                  <w:t>Infrastructure</w:t>
                </w:r>
                <w:r>
                  <w:rPr>
                    <w:spacing w:val="7"/>
                    <w:sz w:val="16"/>
                  </w:rPr>
                  <w:t xml:space="preserve"> </w:t>
                </w:r>
                <w:r>
                  <w:rPr>
                    <w:w w:val="95"/>
                    <w:sz w:val="16"/>
                  </w:rPr>
                  <w:t>challenges</w:t>
                </w:r>
                <w:r>
                  <w:rPr>
                    <w:spacing w:val="7"/>
                    <w:sz w:val="16"/>
                  </w:rPr>
                  <w:t xml:space="preserve"> </w:t>
                </w:r>
                <w:r>
                  <w:rPr>
                    <w:b/>
                    <w:w w:val="95"/>
                    <w:sz w:val="16"/>
                  </w:rPr>
                  <w:t>Page</w:t>
                </w:r>
                <w:r>
                  <w:rPr>
                    <w:b/>
                    <w:spacing w:val="7"/>
                    <w:sz w:val="16"/>
                  </w:rPr>
                  <w:t xml:space="preserve"> </w:t>
                </w:r>
                <w:r>
                  <w:rPr>
                    <w:b/>
                    <w:spacing w:val="-5"/>
                    <w:w w:val="95"/>
                    <w:sz w:val="16"/>
                  </w:rPr>
                  <w:fldChar w:fldCharType="begin"/>
                </w:r>
                <w:r>
                  <w:rPr>
                    <w:b/>
                    <w:spacing w:val="-5"/>
                    <w:w w:val="95"/>
                    <w:sz w:val="16"/>
                  </w:rPr>
                  <w:instrText xml:space="preserve"> PAGE </w:instrText>
                </w:r>
                <w:r>
                  <w:rPr>
                    <w:b/>
                    <w:spacing w:val="-5"/>
                    <w:w w:val="95"/>
                    <w:sz w:val="16"/>
                  </w:rPr>
                  <w:fldChar w:fldCharType="separate"/>
                </w:r>
                <w:r w:rsidR="00560142">
                  <w:rPr>
                    <w:b/>
                    <w:noProof/>
                    <w:spacing w:val="-5"/>
                    <w:w w:val="95"/>
                    <w:sz w:val="16"/>
                  </w:rPr>
                  <w:t>39</w:t>
                </w:r>
                <w:r>
                  <w:rPr>
                    <w:b/>
                    <w:spacing w:val="-5"/>
                    <w:w w:val="95"/>
                    <w:sz w:val="16"/>
                  </w:rPr>
                  <w:fldChar w:fldCharType="end"/>
                </w:r>
              </w:p>
            </w:txbxContent>
          </v:textbox>
          <w10:wrap anchorx="page" anchory="page"/>
        </v:shape>
      </w:pict>
    </w:r>
    <w:r>
      <w:pict>
        <v:shape id="docshape262" o:spid="_x0000_s2291" type="#_x0000_t202" style="position:absolute;margin-left:48.6pt;margin-top:559.45pt;width:155.9pt;height:10.3pt;z-index:-28270080;mso-position-horizontal-relative:page;mso-position-vertical-relative:page" filled="f" stroked="f">
          <v:textbox inset="0,0,0,0">
            <w:txbxContent>
              <w:p w:rsidR="00F22F94" w:rsidRDefault="00F22F94">
                <w:pPr>
                  <w:spacing w:before="24"/>
                  <w:ind w:left="20"/>
                  <w:rPr>
                    <w:sz w:val="14"/>
                  </w:rPr>
                </w:pPr>
                <w:r>
                  <w:rPr>
                    <w:w w:val="95"/>
                    <w:sz w:val="14"/>
                  </w:rPr>
                  <w:t>Infrastructure</w:t>
                </w:r>
                <w:r>
                  <w:rPr>
                    <w:spacing w:val="8"/>
                    <w:sz w:val="14"/>
                  </w:rPr>
                  <w:t xml:space="preserve"> </w:t>
                </w:r>
                <w:r>
                  <w:rPr>
                    <w:w w:val="95"/>
                    <w:sz w:val="14"/>
                  </w:rPr>
                  <w:t>NSW</w:t>
                </w:r>
                <w:r>
                  <w:rPr>
                    <w:spacing w:val="55"/>
                    <w:sz w:val="14"/>
                  </w:rPr>
                  <w:t xml:space="preserve"> </w:t>
                </w:r>
                <w:r>
                  <w:rPr>
                    <w:w w:val="95"/>
                    <w:sz w:val="14"/>
                  </w:rPr>
                  <w:t>|</w:t>
                </w:r>
                <w:r>
                  <w:rPr>
                    <w:spacing w:val="9"/>
                    <w:sz w:val="14"/>
                  </w:rPr>
                  <w:t xml:space="preserve"> </w:t>
                </w:r>
                <w:r>
                  <w:rPr>
                    <w:w w:val="95"/>
                    <w:sz w:val="14"/>
                  </w:rPr>
                  <w:t>State</w:t>
                </w:r>
                <w:r>
                  <w:rPr>
                    <w:spacing w:val="9"/>
                    <w:sz w:val="14"/>
                  </w:rPr>
                  <w:t xml:space="preserve"> </w:t>
                </w:r>
                <w:r>
                  <w:rPr>
                    <w:w w:val="95"/>
                    <w:sz w:val="14"/>
                  </w:rPr>
                  <w:t>Infrastructure</w:t>
                </w:r>
                <w:r>
                  <w:rPr>
                    <w:spacing w:val="9"/>
                    <w:sz w:val="14"/>
                  </w:rPr>
                  <w:t xml:space="preserve"> </w:t>
                </w:r>
                <w:r>
                  <w:rPr>
                    <w:spacing w:val="-2"/>
                    <w:w w:val="95"/>
                    <w:sz w:val="14"/>
                  </w:rPr>
                  <w:t>Strategy</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F22F94">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shapetype id="_x0000_t202" coordsize="21600,21600" o:spt="202" path="m,l,21600r21600,l21600,xe">
          <v:stroke joinstyle="miter"/>
          <v:path gradientshapeok="t" o:connecttype="rect"/>
        </v:shapetype>
        <v:shape id="docshape581" o:spid="_x0000_s2272" type="#_x0000_t202" style="position:absolute;margin-left:593.45pt;margin-top:558.45pt;width:202.8pt;height:11.55pt;z-index:-28268544;mso-position-horizontal-relative:page;mso-position-vertical-relative:page" filled="f" stroked="f">
          <v:textbox inset="0,0,0,0">
            <w:txbxContent>
              <w:p w:rsidR="00F22F94" w:rsidRDefault="00F22F94">
                <w:pPr>
                  <w:spacing w:before="26"/>
                  <w:ind w:left="20"/>
                  <w:rPr>
                    <w:b/>
                    <w:sz w:val="16"/>
                  </w:rPr>
                </w:pPr>
                <w:r>
                  <w:rPr>
                    <w:w w:val="95"/>
                    <w:sz w:val="16"/>
                  </w:rPr>
                  <w:t>The</w:t>
                </w:r>
                <w:r>
                  <w:rPr>
                    <w:spacing w:val="6"/>
                    <w:sz w:val="16"/>
                  </w:rPr>
                  <w:t xml:space="preserve"> </w:t>
                </w:r>
                <w:r>
                  <w:rPr>
                    <w:w w:val="95"/>
                    <w:sz w:val="16"/>
                  </w:rPr>
                  <w:t>context</w:t>
                </w:r>
                <w:r>
                  <w:rPr>
                    <w:spacing w:val="7"/>
                    <w:sz w:val="16"/>
                  </w:rPr>
                  <w:t xml:space="preserve"> </w:t>
                </w:r>
                <w:r>
                  <w:rPr>
                    <w:b/>
                    <w:w w:val="95"/>
                    <w:sz w:val="16"/>
                  </w:rPr>
                  <w:t>Section</w:t>
                </w:r>
                <w:r>
                  <w:rPr>
                    <w:b/>
                    <w:spacing w:val="7"/>
                    <w:sz w:val="16"/>
                  </w:rPr>
                  <w:t xml:space="preserve"> </w:t>
                </w:r>
                <w:r>
                  <w:rPr>
                    <w:b/>
                    <w:w w:val="95"/>
                    <w:sz w:val="16"/>
                  </w:rPr>
                  <w:t>2</w:t>
                </w:r>
                <w:r>
                  <w:rPr>
                    <w:b/>
                    <w:spacing w:val="7"/>
                    <w:sz w:val="16"/>
                  </w:rPr>
                  <w:t xml:space="preserve"> </w:t>
                </w:r>
                <w:r>
                  <w:rPr>
                    <w:w w:val="95"/>
                    <w:sz w:val="16"/>
                  </w:rPr>
                  <w:t>Infrastructure</w:t>
                </w:r>
                <w:r>
                  <w:rPr>
                    <w:spacing w:val="7"/>
                    <w:sz w:val="16"/>
                  </w:rPr>
                  <w:t xml:space="preserve"> </w:t>
                </w:r>
                <w:r>
                  <w:rPr>
                    <w:w w:val="95"/>
                    <w:sz w:val="16"/>
                  </w:rPr>
                  <w:t>challenges</w:t>
                </w:r>
                <w:r>
                  <w:rPr>
                    <w:spacing w:val="7"/>
                    <w:sz w:val="16"/>
                  </w:rPr>
                  <w:t xml:space="preserve"> </w:t>
                </w:r>
                <w:r>
                  <w:rPr>
                    <w:b/>
                    <w:w w:val="95"/>
                    <w:sz w:val="16"/>
                  </w:rPr>
                  <w:t>Page</w:t>
                </w:r>
                <w:r>
                  <w:rPr>
                    <w:b/>
                    <w:spacing w:val="7"/>
                    <w:sz w:val="16"/>
                  </w:rPr>
                  <w:t xml:space="preserve"> </w:t>
                </w:r>
                <w:r>
                  <w:rPr>
                    <w:b/>
                    <w:spacing w:val="-5"/>
                    <w:w w:val="95"/>
                    <w:sz w:val="16"/>
                  </w:rPr>
                  <w:fldChar w:fldCharType="begin"/>
                </w:r>
                <w:r>
                  <w:rPr>
                    <w:b/>
                    <w:spacing w:val="-5"/>
                    <w:w w:val="95"/>
                    <w:sz w:val="16"/>
                  </w:rPr>
                  <w:instrText xml:space="preserve"> PAGE </w:instrText>
                </w:r>
                <w:r>
                  <w:rPr>
                    <w:b/>
                    <w:spacing w:val="-5"/>
                    <w:w w:val="95"/>
                    <w:sz w:val="16"/>
                  </w:rPr>
                  <w:fldChar w:fldCharType="separate"/>
                </w:r>
                <w:r w:rsidR="00560142">
                  <w:rPr>
                    <w:b/>
                    <w:noProof/>
                    <w:spacing w:val="-5"/>
                    <w:w w:val="95"/>
                    <w:sz w:val="16"/>
                  </w:rPr>
                  <w:t>43</w:t>
                </w:r>
                <w:r>
                  <w:rPr>
                    <w:b/>
                    <w:spacing w:val="-5"/>
                    <w:w w:val="95"/>
                    <w:sz w:val="16"/>
                  </w:rPr>
                  <w:fldChar w:fldCharType="end"/>
                </w:r>
              </w:p>
            </w:txbxContent>
          </v:textbox>
          <w10:wrap anchorx="page" anchory="page"/>
        </v:shape>
      </w:pict>
    </w:r>
    <w:r>
      <w:pict>
        <v:shape id="docshape582" o:spid="_x0000_s2271" type="#_x0000_t202" style="position:absolute;margin-left:48.6pt;margin-top:559.45pt;width:155.9pt;height:10.3pt;z-index:-28268032;mso-position-horizontal-relative:page;mso-position-vertical-relative:page" filled="f" stroked="f">
          <v:textbox inset="0,0,0,0">
            <w:txbxContent>
              <w:p w:rsidR="00F22F94" w:rsidRDefault="00F22F94">
                <w:pPr>
                  <w:spacing w:before="24"/>
                  <w:ind w:left="20"/>
                  <w:rPr>
                    <w:sz w:val="14"/>
                  </w:rPr>
                </w:pPr>
                <w:r>
                  <w:rPr>
                    <w:w w:val="95"/>
                    <w:sz w:val="14"/>
                  </w:rPr>
                  <w:t>Infrastructure</w:t>
                </w:r>
                <w:r>
                  <w:rPr>
                    <w:spacing w:val="8"/>
                    <w:sz w:val="14"/>
                  </w:rPr>
                  <w:t xml:space="preserve"> </w:t>
                </w:r>
                <w:r>
                  <w:rPr>
                    <w:w w:val="95"/>
                    <w:sz w:val="14"/>
                  </w:rPr>
                  <w:t>NSW</w:t>
                </w:r>
                <w:r>
                  <w:rPr>
                    <w:spacing w:val="55"/>
                    <w:sz w:val="14"/>
                  </w:rPr>
                  <w:t xml:space="preserve"> </w:t>
                </w:r>
                <w:r>
                  <w:rPr>
                    <w:w w:val="95"/>
                    <w:sz w:val="14"/>
                  </w:rPr>
                  <w:t>|</w:t>
                </w:r>
                <w:r>
                  <w:rPr>
                    <w:spacing w:val="9"/>
                    <w:sz w:val="14"/>
                  </w:rPr>
                  <w:t xml:space="preserve"> </w:t>
                </w:r>
                <w:r>
                  <w:rPr>
                    <w:w w:val="95"/>
                    <w:sz w:val="14"/>
                  </w:rPr>
                  <w:t>State</w:t>
                </w:r>
                <w:r>
                  <w:rPr>
                    <w:spacing w:val="9"/>
                    <w:sz w:val="14"/>
                  </w:rPr>
                  <w:t xml:space="preserve"> </w:t>
                </w:r>
                <w:r>
                  <w:rPr>
                    <w:w w:val="95"/>
                    <w:sz w:val="14"/>
                  </w:rPr>
                  <w:t>Infrastructure</w:t>
                </w:r>
                <w:r>
                  <w:rPr>
                    <w:spacing w:val="9"/>
                    <w:sz w:val="14"/>
                  </w:rPr>
                  <w:t xml:space="preserve"> </w:t>
                </w:r>
                <w:r>
                  <w:rPr>
                    <w:spacing w:val="-2"/>
                    <w:w w:val="95"/>
                    <w:sz w:val="14"/>
                  </w:rPr>
                  <w:t>Strategy</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shapetype id="_x0000_t202" coordsize="21600,21600" o:spt="202" path="m,l,21600r21600,l21600,xe">
          <v:stroke joinstyle="miter"/>
          <v:path gradientshapeok="t" o:connecttype="rect"/>
        </v:shapetype>
        <v:shape id="docshape594" o:spid="_x0000_s2261" type="#_x0000_t202" style="position:absolute;margin-left:628.65pt;margin-top:558.45pt;width:167.6pt;height:11.55pt;z-index:-28267008;mso-position-horizontal-relative:page;mso-position-vertical-relative:page" filled="f" stroked="f">
          <v:textbox inset="0,0,0,0">
            <w:txbxContent>
              <w:p w:rsidR="00F22F94" w:rsidRDefault="00F22F94">
                <w:pPr>
                  <w:spacing w:before="26"/>
                  <w:ind w:left="20"/>
                  <w:rPr>
                    <w:b/>
                    <w:sz w:val="16"/>
                  </w:rPr>
                </w:pPr>
                <w:r>
                  <w:rPr>
                    <w:w w:val="95"/>
                    <w:sz w:val="16"/>
                  </w:rPr>
                  <w:t>The</w:t>
                </w:r>
                <w:r>
                  <w:rPr>
                    <w:spacing w:val="4"/>
                    <w:sz w:val="16"/>
                  </w:rPr>
                  <w:t xml:space="preserve"> </w:t>
                </w:r>
                <w:r>
                  <w:rPr>
                    <w:w w:val="95"/>
                    <w:sz w:val="16"/>
                  </w:rPr>
                  <w:t>context</w:t>
                </w:r>
                <w:r>
                  <w:rPr>
                    <w:spacing w:val="4"/>
                    <w:sz w:val="16"/>
                  </w:rPr>
                  <w:t xml:space="preserve"> </w:t>
                </w:r>
                <w:r>
                  <w:rPr>
                    <w:b/>
                    <w:w w:val="95"/>
                    <w:sz w:val="16"/>
                  </w:rPr>
                  <w:t>Section</w:t>
                </w:r>
                <w:r>
                  <w:rPr>
                    <w:b/>
                    <w:spacing w:val="5"/>
                    <w:sz w:val="16"/>
                  </w:rPr>
                  <w:t xml:space="preserve"> </w:t>
                </w:r>
                <w:r>
                  <w:rPr>
                    <w:b/>
                    <w:w w:val="95"/>
                    <w:sz w:val="16"/>
                  </w:rPr>
                  <w:t>3</w:t>
                </w:r>
                <w:r>
                  <w:rPr>
                    <w:b/>
                    <w:spacing w:val="4"/>
                    <w:sz w:val="16"/>
                  </w:rPr>
                  <w:t xml:space="preserve"> </w:t>
                </w:r>
                <w:r>
                  <w:rPr>
                    <w:w w:val="95"/>
                    <w:sz w:val="16"/>
                  </w:rPr>
                  <w:t>Global</w:t>
                </w:r>
                <w:r>
                  <w:rPr>
                    <w:spacing w:val="5"/>
                    <w:sz w:val="16"/>
                  </w:rPr>
                  <w:t xml:space="preserve"> </w:t>
                </w:r>
                <w:r>
                  <w:rPr>
                    <w:w w:val="95"/>
                    <w:sz w:val="16"/>
                  </w:rPr>
                  <w:t>Sydney</w:t>
                </w:r>
                <w:r>
                  <w:rPr>
                    <w:spacing w:val="4"/>
                    <w:sz w:val="16"/>
                  </w:rPr>
                  <w:t xml:space="preserve"> </w:t>
                </w:r>
                <w:r>
                  <w:rPr>
                    <w:b/>
                    <w:w w:val="95"/>
                    <w:sz w:val="16"/>
                  </w:rPr>
                  <w:t>Page</w:t>
                </w:r>
                <w:r>
                  <w:rPr>
                    <w:b/>
                    <w:spacing w:val="5"/>
                    <w:sz w:val="16"/>
                  </w:rPr>
                  <w:t xml:space="preserve"> </w:t>
                </w:r>
                <w:r>
                  <w:rPr>
                    <w:b/>
                    <w:spacing w:val="-5"/>
                    <w:w w:val="95"/>
                    <w:sz w:val="16"/>
                  </w:rPr>
                  <w:fldChar w:fldCharType="begin"/>
                </w:r>
                <w:r>
                  <w:rPr>
                    <w:b/>
                    <w:spacing w:val="-5"/>
                    <w:w w:val="95"/>
                    <w:sz w:val="16"/>
                  </w:rPr>
                  <w:instrText xml:space="preserve"> PAGE </w:instrText>
                </w:r>
                <w:r>
                  <w:rPr>
                    <w:b/>
                    <w:spacing w:val="-5"/>
                    <w:w w:val="95"/>
                    <w:sz w:val="16"/>
                  </w:rPr>
                  <w:fldChar w:fldCharType="separate"/>
                </w:r>
                <w:r w:rsidR="00560142">
                  <w:rPr>
                    <w:b/>
                    <w:noProof/>
                    <w:spacing w:val="-5"/>
                    <w:w w:val="95"/>
                    <w:sz w:val="16"/>
                  </w:rPr>
                  <w:t>46</w:t>
                </w:r>
                <w:r>
                  <w:rPr>
                    <w:b/>
                    <w:spacing w:val="-5"/>
                    <w:w w:val="95"/>
                    <w:sz w:val="16"/>
                  </w:rPr>
                  <w:fldChar w:fldCharType="end"/>
                </w:r>
              </w:p>
            </w:txbxContent>
          </v:textbox>
          <w10:wrap anchorx="page" anchory="page"/>
        </v:shape>
      </w:pict>
    </w:r>
    <w:r>
      <w:pict>
        <v:shape id="docshape595" o:spid="_x0000_s2260" type="#_x0000_t202" style="position:absolute;margin-left:48.6pt;margin-top:559.45pt;width:155.9pt;height:10.3pt;z-index:-28266496;mso-position-horizontal-relative:page;mso-position-vertical-relative:page" filled="f" stroked="f">
          <v:textbox inset="0,0,0,0">
            <w:txbxContent>
              <w:p w:rsidR="00F22F94" w:rsidRDefault="00F22F94">
                <w:pPr>
                  <w:spacing w:before="24"/>
                  <w:ind w:left="20"/>
                  <w:rPr>
                    <w:sz w:val="14"/>
                  </w:rPr>
                </w:pPr>
                <w:r>
                  <w:rPr>
                    <w:w w:val="95"/>
                    <w:sz w:val="14"/>
                  </w:rPr>
                  <w:t>Infrastructure</w:t>
                </w:r>
                <w:r>
                  <w:rPr>
                    <w:spacing w:val="8"/>
                    <w:sz w:val="14"/>
                  </w:rPr>
                  <w:t xml:space="preserve"> </w:t>
                </w:r>
                <w:r>
                  <w:rPr>
                    <w:w w:val="95"/>
                    <w:sz w:val="14"/>
                  </w:rPr>
                  <w:t>NSW</w:t>
                </w:r>
                <w:r>
                  <w:rPr>
                    <w:spacing w:val="55"/>
                    <w:sz w:val="14"/>
                  </w:rPr>
                  <w:t xml:space="preserve"> </w:t>
                </w:r>
                <w:r>
                  <w:rPr>
                    <w:w w:val="95"/>
                    <w:sz w:val="14"/>
                  </w:rPr>
                  <w:t>|</w:t>
                </w:r>
                <w:r>
                  <w:rPr>
                    <w:spacing w:val="9"/>
                    <w:sz w:val="14"/>
                  </w:rPr>
                  <w:t xml:space="preserve"> </w:t>
                </w:r>
                <w:r>
                  <w:rPr>
                    <w:w w:val="95"/>
                    <w:sz w:val="14"/>
                  </w:rPr>
                  <w:t>State</w:t>
                </w:r>
                <w:r>
                  <w:rPr>
                    <w:spacing w:val="9"/>
                    <w:sz w:val="14"/>
                  </w:rPr>
                  <w:t xml:space="preserve"> </w:t>
                </w:r>
                <w:r>
                  <w:rPr>
                    <w:w w:val="95"/>
                    <w:sz w:val="14"/>
                  </w:rPr>
                  <w:t>Infrastructure</w:t>
                </w:r>
                <w:r>
                  <w:rPr>
                    <w:spacing w:val="9"/>
                    <w:sz w:val="14"/>
                  </w:rPr>
                  <w:t xml:space="preserve"> </w:t>
                </w:r>
                <w:r>
                  <w:rPr>
                    <w:spacing w:val="-2"/>
                    <w:w w:val="95"/>
                    <w:sz w:val="14"/>
                  </w:rPr>
                  <w:t>Strategy</w:t>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F22F94">
    <w:pPr>
      <w:pStyle w:val="BodyText"/>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shapetype id="_x0000_t202" coordsize="21600,21600" o:spt="202" path="m,l,21600r21600,l21600,xe">
          <v:stroke joinstyle="miter"/>
          <v:path gradientshapeok="t" o:connecttype="rect"/>
        </v:shapetype>
        <v:shape id="docshape674" o:spid="_x0000_s2250" type="#_x0000_t202" style="position:absolute;margin-left:628.65pt;margin-top:558.45pt;width:167.6pt;height:11.55pt;z-index:-28265472;mso-position-horizontal-relative:page;mso-position-vertical-relative:page" filled="f" stroked="f">
          <v:textbox inset="0,0,0,0">
            <w:txbxContent>
              <w:p w:rsidR="00F22F94" w:rsidRDefault="00F22F94">
                <w:pPr>
                  <w:spacing w:before="26"/>
                  <w:ind w:left="20"/>
                  <w:rPr>
                    <w:b/>
                    <w:sz w:val="16"/>
                  </w:rPr>
                </w:pPr>
                <w:r>
                  <w:rPr>
                    <w:w w:val="95"/>
                    <w:sz w:val="16"/>
                  </w:rPr>
                  <w:t>The</w:t>
                </w:r>
                <w:r>
                  <w:rPr>
                    <w:spacing w:val="4"/>
                    <w:sz w:val="16"/>
                  </w:rPr>
                  <w:t xml:space="preserve"> </w:t>
                </w:r>
                <w:r>
                  <w:rPr>
                    <w:w w:val="95"/>
                    <w:sz w:val="16"/>
                  </w:rPr>
                  <w:t>context</w:t>
                </w:r>
                <w:r>
                  <w:rPr>
                    <w:spacing w:val="4"/>
                    <w:sz w:val="16"/>
                  </w:rPr>
                  <w:t xml:space="preserve"> </w:t>
                </w:r>
                <w:r>
                  <w:rPr>
                    <w:b/>
                    <w:w w:val="95"/>
                    <w:sz w:val="16"/>
                  </w:rPr>
                  <w:t>Section</w:t>
                </w:r>
                <w:r>
                  <w:rPr>
                    <w:b/>
                    <w:spacing w:val="5"/>
                    <w:sz w:val="16"/>
                  </w:rPr>
                  <w:t xml:space="preserve"> </w:t>
                </w:r>
                <w:r>
                  <w:rPr>
                    <w:b/>
                    <w:w w:val="95"/>
                    <w:sz w:val="16"/>
                  </w:rPr>
                  <w:t>3</w:t>
                </w:r>
                <w:r>
                  <w:rPr>
                    <w:b/>
                    <w:spacing w:val="4"/>
                    <w:sz w:val="16"/>
                  </w:rPr>
                  <w:t xml:space="preserve"> </w:t>
                </w:r>
                <w:r>
                  <w:rPr>
                    <w:w w:val="95"/>
                    <w:sz w:val="16"/>
                  </w:rPr>
                  <w:t>Global</w:t>
                </w:r>
                <w:r>
                  <w:rPr>
                    <w:spacing w:val="5"/>
                    <w:sz w:val="16"/>
                  </w:rPr>
                  <w:t xml:space="preserve"> </w:t>
                </w:r>
                <w:r>
                  <w:rPr>
                    <w:w w:val="95"/>
                    <w:sz w:val="16"/>
                  </w:rPr>
                  <w:t>Sydney</w:t>
                </w:r>
                <w:r>
                  <w:rPr>
                    <w:spacing w:val="4"/>
                    <w:sz w:val="16"/>
                  </w:rPr>
                  <w:t xml:space="preserve"> </w:t>
                </w:r>
                <w:r>
                  <w:rPr>
                    <w:b/>
                    <w:w w:val="95"/>
                    <w:sz w:val="16"/>
                  </w:rPr>
                  <w:t>Page</w:t>
                </w:r>
                <w:r>
                  <w:rPr>
                    <w:b/>
                    <w:spacing w:val="5"/>
                    <w:sz w:val="16"/>
                  </w:rPr>
                  <w:t xml:space="preserve"> </w:t>
                </w:r>
                <w:r>
                  <w:rPr>
                    <w:b/>
                    <w:spacing w:val="-5"/>
                    <w:w w:val="95"/>
                    <w:sz w:val="16"/>
                  </w:rPr>
                  <w:fldChar w:fldCharType="begin"/>
                </w:r>
                <w:r>
                  <w:rPr>
                    <w:b/>
                    <w:spacing w:val="-5"/>
                    <w:w w:val="95"/>
                    <w:sz w:val="16"/>
                  </w:rPr>
                  <w:instrText xml:space="preserve"> PAGE </w:instrText>
                </w:r>
                <w:r>
                  <w:rPr>
                    <w:b/>
                    <w:spacing w:val="-5"/>
                    <w:w w:val="95"/>
                    <w:sz w:val="16"/>
                  </w:rPr>
                  <w:fldChar w:fldCharType="separate"/>
                </w:r>
                <w:r w:rsidR="00560142">
                  <w:rPr>
                    <w:b/>
                    <w:noProof/>
                    <w:spacing w:val="-5"/>
                    <w:w w:val="95"/>
                    <w:sz w:val="16"/>
                  </w:rPr>
                  <w:t>52</w:t>
                </w:r>
                <w:r>
                  <w:rPr>
                    <w:b/>
                    <w:spacing w:val="-5"/>
                    <w:w w:val="95"/>
                    <w:sz w:val="16"/>
                  </w:rPr>
                  <w:fldChar w:fldCharType="end"/>
                </w:r>
              </w:p>
            </w:txbxContent>
          </v:textbox>
          <w10:wrap anchorx="page" anchory="page"/>
        </v:shape>
      </w:pict>
    </w:r>
    <w:r>
      <w:pict>
        <v:shape id="docshape675" o:spid="_x0000_s2249" type="#_x0000_t202" style="position:absolute;margin-left:48.6pt;margin-top:559.45pt;width:155.9pt;height:10.3pt;z-index:-28264960;mso-position-horizontal-relative:page;mso-position-vertical-relative:page" filled="f" stroked="f">
          <v:textbox inset="0,0,0,0">
            <w:txbxContent>
              <w:p w:rsidR="00F22F94" w:rsidRDefault="00F22F94">
                <w:pPr>
                  <w:spacing w:before="24"/>
                  <w:ind w:left="20"/>
                  <w:rPr>
                    <w:sz w:val="14"/>
                  </w:rPr>
                </w:pPr>
                <w:r>
                  <w:rPr>
                    <w:w w:val="95"/>
                    <w:sz w:val="14"/>
                  </w:rPr>
                  <w:t>Infrastructure</w:t>
                </w:r>
                <w:r>
                  <w:rPr>
                    <w:spacing w:val="8"/>
                    <w:sz w:val="14"/>
                  </w:rPr>
                  <w:t xml:space="preserve"> </w:t>
                </w:r>
                <w:r>
                  <w:rPr>
                    <w:w w:val="95"/>
                    <w:sz w:val="14"/>
                  </w:rPr>
                  <w:t>NSW</w:t>
                </w:r>
                <w:r>
                  <w:rPr>
                    <w:spacing w:val="55"/>
                    <w:sz w:val="14"/>
                  </w:rPr>
                  <w:t xml:space="preserve"> </w:t>
                </w:r>
                <w:r>
                  <w:rPr>
                    <w:w w:val="95"/>
                    <w:sz w:val="14"/>
                  </w:rPr>
                  <w:t>|</w:t>
                </w:r>
                <w:r>
                  <w:rPr>
                    <w:spacing w:val="9"/>
                    <w:sz w:val="14"/>
                  </w:rPr>
                  <w:t xml:space="preserve"> </w:t>
                </w:r>
                <w:r>
                  <w:rPr>
                    <w:w w:val="95"/>
                    <w:sz w:val="14"/>
                  </w:rPr>
                  <w:t>State</w:t>
                </w:r>
                <w:r>
                  <w:rPr>
                    <w:spacing w:val="9"/>
                    <w:sz w:val="14"/>
                  </w:rPr>
                  <w:t xml:space="preserve"> </w:t>
                </w:r>
                <w:r>
                  <w:rPr>
                    <w:w w:val="95"/>
                    <w:sz w:val="14"/>
                  </w:rPr>
                  <w:t>Infrastructure</w:t>
                </w:r>
                <w:r>
                  <w:rPr>
                    <w:spacing w:val="9"/>
                    <w:sz w:val="14"/>
                  </w:rPr>
                  <w:t xml:space="preserve"> </w:t>
                </w:r>
                <w:r>
                  <w:rPr>
                    <w:spacing w:val="-2"/>
                    <w:w w:val="95"/>
                    <w:sz w:val="14"/>
                  </w:rPr>
                  <w:t>Strategy</w:t>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rPr>
        <w:sz w:val="15"/>
      </w:rPr>
    </w:pPr>
    <w:r>
      <w:pict>
        <v:shapetype id="_x0000_t202" coordsize="21600,21600" o:spt="202" path="m,l,21600r21600,l21600,xe">
          <v:stroke joinstyle="miter"/>
          <v:path gradientshapeok="t" o:connecttype="rect"/>
        </v:shapetype>
        <v:shape id="docshape696" o:spid="_x0000_s2239" type="#_x0000_t202" style="position:absolute;margin-left:625.1pt;margin-top:558.45pt;width:168.15pt;height:11.55pt;z-index:-28263936;mso-position-horizontal-relative:page;mso-position-vertical-relative:page" filled="f" stroked="f">
          <v:textbox inset="0,0,0,0">
            <w:txbxContent>
              <w:p w:rsidR="00F22F94" w:rsidRDefault="00F22F94">
                <w:pPr>
                  <w:spacing w:before="26"/>
                  <w:ind w:left="20"/>
                  <w:rPr>
                    <w:b/>
                    <w:sz w:val="16"/>
                  </w:rPr>
                </w:pPr>
                <w:r>
                  <w:rPr>
                    <w:w w:val="95"/>
                    <w:sz w:val="16"/>
                  </w:rPr>
                  <w:t>The</w:t>
                </w:r>
                <w:r>
                  <w:rPr>
                    <w:spacing w:val="3"/>
                    <w:sz w:val="16"/>
                  </w:rPr>
                  <w:t xml:space="preserve"> </w:t>
                </w:r>
                <w:r>
                  <w:rPr>
                    <w:w w:val="95"/>
                    <w:sz w:val="16"/>
                  </w:rPr>
                  <w:t>context</w:t>
                </w:r>
                <w:r>
                  <w:rPr>
                    <w:spacing w:val="4"/>
                    <w:sz w:val="16"/>
                  </w:rPr>
                  <w:t xml:space="preserve"> </w:t>
                </w:r>
                <w:r>
                  <w:rPr>
                    <w:b/>
                    <w:w w:val="95"/>
                    <w:sz w:val="16"/>
                  </w:rPr>
                  <w:t>Section</w:t>
                </w:r>
                <w:r>
                  <w:rPr>
                    <w:b/>
                    <w:spacing w:val="4"/>
                    <w:sz w:val="16"/>
                  </w:rPr>
                  <w:t xml:space="preserve"> </w:t>
                </w:r>
                <w:r>
                  <w:rPr>
                    <w:b/>
                    <w:w w:val="95"/>
                    <w:sz w:val="16"/>
                  </w:rPr>
                  <w:t>4</w:t>
                </w:r>
                <w:r>
                  <w:rPr>
                    <w:b/>
                    <w:spacing w:val="4"/>
                    <w:sz w:val="16"/>
                  </w:rPr>
                  <w:t xml:space="preserve"> </w:t>
                </w:r>
                <w:r>
                  <w:rPr>
                    <w:w w:val="95"/>
                    <w:sz w:val="16"/>
                  </w:rPr>
                  <w:t>Greater</w:t>
                </w:r>
                <w:r>
                  <w:rPr>
                    <w:spacing w:val="4"/>
                    <w:sz w:val="16"/>
                  </w:rPr>
                  <w:t xml:space="preserve"> </w:t>
                </w:r>
                <w:r>
                  <w:rPr>
                    <w:w w:val="95"/>
                    <w:sz w:val="16"/>
                  </w:rPr>
                  <w:t>Sydney</w:t>
                </w:r>
                <w:r>
                  <w:rPr>
                    <w:spacing w:val="4"/>
                    <w:sz w:val="16"/>
                  </w:rPr>
                  <w:t xml:space="preserve"> </w:t>
                </w:r>
                <w:r>
                  <w:rPr>
                    <w:b/>
                    <w:w w:val="95"/>
                    <w:sz w:val="16"/>
                  </w:rPr>
                  <w:t>Page</w:t>
                </w:r>
                <w:r>
                  <w:rPr>
                    <w:b/>
                    <w:spacing w:val="4"/>
                    <w:sz w:val="16"/>
                  </w:rPr>
                  <w:t xml:space="preserve"> </w:t>
                </w:r>
                <w:r>
                  <w:rPr>
                    <w:b/>
                    <w:spacing w:val="-5"/>
                    <w:w w:val="95"/>
                    <w:sz w:val="16"/>
                  </w:rPr>
                  <w:t>53</w:t>
                </w:r>
              </w:p>
            </w:txbxContent>
          </v:textbox>
          <w10:wrap anchorx="page" anchory="page"/>
        </v:shape>
      </w:pict>
    </w:r>
    <w:r>
      <w:pict>
        <v:shape id="docshape697" o:spid="_x0000_s2238" type="#_x0000_t202" style="position:absolute;margin-left:48.6pt;margin-top:559.45pt;width:155.9pt;height:10.3pt;z-index:-28263424;mso-position-horizontal-relative:page;mso-position-vertical-relative:page" filled="f" stroked="f">
          <v:textbox inset="0,0,0,0">
            <w:txbxContent>
              <w:p w:rsidR="00F22F94" w:rsidRDefault="00F22F94">
                <w:pPr>
                  <w:spacing w:before="24"/>
                  <w:ind w:left="20"/>
                  <w:rPr>
                    <w:sz w:val="14"/>
                  </w:rPr>
                </w:pPr>
                <w:r>
                  <w:rPr>
                    <w:w w:val="95"/>
                    <w:sz w:val="14"/>
                  </w:rPr>
                  <w:t>Infrastructure</w:t>
                </w:r>
                <w:r>
                  <w:rPr>
                    <w:spacing w:val="8"/>
                    <w:sz w:val="14"/>
                  </w:rPr>
                  <w:t xml:space="preserve"> </w:t>
                </w:r>
                <w:r>
                  <w:rPr>
                    <w:w w:val="95"/>
                    <w:sz w:val="14"/>
                  </w:rPr>
                  <w:t>NSW</w:t>
                </w:r>
                <w:r>
                  <w:rPr>
                    <w:spacing w:val="55"/>
                    <w:sz w:val="14"/>
                  </w:rPr>
                  <w:t xml:space="preserve"> </w:t>
                </w:r>
                <w:r>
                  <w:rPr>
                    <w:w w:val="95"/>
                    <w:sz w:val="14"/>
                  </w:rPr>
                  <w:t>|</w:t>
                </w:r>
                <w:r>
                  <w:rPr>
                    <w:spacing w:val="9"/>
                    <w:sz w:val="14"/>
                  </w:rPr>
                  <w:t xml:space="preserve"> </w:t>
                </w:r>
                <w:r>
                  <w:rPr>
                    <w:w w:val="95"/>
                    <w:sz w:val="14"/>
                  </w:rPr>
                  <w:t>State</w:t>
                </w:r>
                <w:r>
                  <w:rPr>
                    <w:spacing w:val="9"/>
                    <w:sz w:val="14"/>
                  </w:rPr>
                  <w:t xml:space="preserve"> </w:t>
                </w:r>
                <w:r>
                  <w:rPr>
                    <w:w w:val="95"/>
                    <w:sz w:val="14"/>
                  </w:rPr>
                  <w:t>Infrastructure</w:t>
                </w:r>
                <w:r>
                  <w:rPr>
                    <w:spacing w:val="9"/>
                    <w:sz w:val="14"/>
                  </w:rPr>
                  <w:t xml:space="preserve"> </w:t>
                </w:r>
                <w:r>
                  <w:rPr>
                    <w:spacing w:val="-2"/>
                    <w:w w:val="95"/>
                    <w:sz w:val="14"/>
                  </w:rPr>
                  <w:t>Strategy</w:t>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shapetype id="_x0000_t202" coordsize="21600,21600" o:spt="202" path="m,l,21600r21600,l21600,xe">
          <v:stroke joinstyle="miter"/>
          <v:path gradientshapeok="t" o:connecttype="rect"/>
        </v:shapetype>
        <v:shape id="docshape850" o:spid="_x0000_s2228" type="#_x0000_t202" style="position:absolute;margin-left:628.6pt;margin-top:558.45pt;width:164.7pt;height:11.55pt;z-index:-28262400;mso-position-horizontal-relative:page;mso-position-vertical-relative:page" filled="f" stroked="f">
          <v:textbox inset="0,0,0,0">
            <w:txbxContent>
              <w:p w:rsidR="00F22F94" w:rsidRDefault="00F22F94">
                <w:pPr>
                  <w:spacing w:before="26"/>
                  <w:ind w:left="20"/>
                  <w:rPr>
                    <w:b/>
                    <w:sz w:val="16"/>
                  </w:rPr>
                </w:pPr>
                <w:r>
                  <w:rPr>
                    <w:w w:val="95"/>
                    <w:sz w:val="16"/>
                  </w:rPr>
                  <w:t>The</w:t>
                </w:r>
                <w:r>
                  <w:rPr>
                    <w:spacing w:val="3"/>
                    <w:sz w:val="16"/>
                  </w:rPr>
                  <w:t xml:space="preserve"> </w:t>
                </w:r>
                <w:r>
                  <w:rPr>
                    <w:w w:val="95"/>
                    <w:sz w:val="16"/>
                  </w:rPr>
                  <w:t>context</w:t>
                </w:r>
                <w:r>
                  <w:rPr>
                    <w:spacing w:val="4"/>
                    <w:sz w:val="16"/>
                  </w:rPr>
                  <w:t xml:space="preserve"> </w:t>
                </w:r>
                <w:r>
                  <w:rPr>
                    <w:b/>
                    <w:w w:val="95"/>
                    <w:sz w:val="16"/>
                  </w:rPr>
                  <w:t>Section</w:t>
                </w:r>
                <w:r>
                  <w:rPr>
                    <w:b/>
                    <w:spacing w:val="4"/>
                    <w:sz w:val="16"/>
                  </w:rPr>
                  <w:t xml:space="preserve"> </w:t>
                </w:r>
                <w:r>
                  <w:rPr>
                    <w:b/>
                    <w:w w:val="95"/>
                    <w:sz w:val="16"/>
                  </w:rPr>
                  <w:t>5</w:t>
                </w:r>
                <w:r>
                  <w:rPr>
                    <w:b/>
                    <w:spacing w:val="3"/>
                    <w:sz w:val="16"/>
                  </w:rPr>
                  <w:t xml:space="preserve"> </w:t>
                </w:r>
                <w:r>
                  <w:rPr>
                    <w:w w:val="95"/>
                    <w:sz w:val="16"/>
                  </w:rPr>
                  <w:t>Regional</w:t>
                </w:r>
                <w:r>
                  <w:rPr>
                    <w:spacing w:val="4"/>
                    <w:sz w:val="16"/>
                  </w:rPr>
                  <w:t xml:space="preserve"> </w:t>
                </w:r>
                <w:r>
                  <w:rPr>
                    <w:w w:val="95"/>
                    <w:sz w:val="16"/>
                  </w:rPr>
                  <w:t>NSW</w:t>
                </w:r>
                <w:r>
                  <w:rPr>
                    <w:spacing w:val="4"/>
                    <w:sz w:val="16"/>
                  </w:rPr>
                  <w:t xml:space="preserve"> </w:t>
                </w:r>
                <w:r>
                  <w:rPr>
                    <w:b/>
                    <w:w w:val="95"/>
                    <w:sz w:val="16"/>
                  </w:rPr>
                  <w:t>Page</w:t>
                </w:r>
                <w:r>
                  <w:rPr>
                    <w:b/>
                    <w:spacing w:val="4"/>
                    <w:sz w:val="16"/>
                  </w:rPr>
                  <w:t xml:space="preserve"> </w:t>
                </w:r>
                <w:r>
                  <w:rPr>
                    <w:b/>
                    <w:spacing w:val="-5"/>
                    <w:w w:val="95"/>
                    <w:sz w:val="16"/>
                  </w:rPr>
                  <w:t>65</w:t>
                </w:r>
              </w:p>
            </w:txbxContent>
          </v:textbox>
          <w10:wrap anchorx="page" anchory="page"/>
        </v:shape>
      </w:pict>
    </w:r>
    <w:r>
      <w:pict>
        <v:shape id="docshape851" o:spid="_x0000_s2227" type="#_x0000_t202" style="position:absolute;margin-left:48.6pt;margin-top:559.45pt;width:155.9pt;height:10.3pt;z-index:-28261888;mso-position-horizontal-relative:page;mso-position-vertical-relative:page" filled="f" stroked="f">
          <v:textbox inset="0,0,0,0">
            <w:txbxContent>
              <w:p w:rsidR="00F22F94" w:rsidRDefault="00F22F94">
                <w:pPr>
                  <w:spacing w:before="24"/>
                  <w:ind w:left="20"/>
                  <w:rPr>
                    <w:sz w:val="14"/>
                  </w:rPr>
                </w:pPr>
                <w:r>
                  <w:rPr>
                    <w:w w:val="95"/>
                    <w:sz w:val="14"/>
                  </w:rPr>
                  <w:t>Infrastructure</w:t>
                </w:r>
                <w:r>
                  <w:rPr>
                    <w:spacing w:val="8"/>
                    <w:sz w:val="14"/>
                  </w:rPr>
                  <w:t xml:space="preserve"> </w:t>
                </w:r>
                <w:r>
                  <w:rPr>
                    <w:w w:val="95"/>
                    <w:sz w:val="14"/>
                  </w:rPr>
                  <w:t>NSW</w:t>
                </w:r>
                <w:r>
                  <w:rPr>
                    <w:spacing w:val="55"/>
                    <w:sz w:val="14"/>
                  </w:rPr>
                  <w:t xml:space="preserve"> </w:t>
                </w:r>
                <w:r>
                  <w:rPr>
                    <w:w w:val="95"/>
                    <w:sz w:val="14"/>
                  </w:rPr>
                  <w:t>|</w:t>
                </w:r>
                <w:r>
                  <w:rPr>
                    <w:spacing w:val="9"/>
                    <w:sz w:val="14"/>
                  </w:rPr>
                  <w:t xml:space="preserve"> </w:t>
                </w:r>
                <w:r>
                  <w:rPr>
                    <w:w w:val="95"/>
                    <w:sz w:val="14"/>
                  </w:rPr>
                  <w:t>State</w:t>
                </w:r>
                <w:r>
                  <w:rPr>
                    <w:spacing w:val="9"/>
                    <w:sz w:val="14"/>
                  </w:rPr>
                  <w:t xml:space="preserve"> </w:t>
                </w:r>
                <w:r>
                  <w:rPr>
                    <w:w w:val="95"/>
                    <w:sz w:val="14"/>
                  </w:rPr>
                  <w:t>Infrastructure</w:t>
                </w:r>
                <w:r>
                  <w:rPr>
                    <w:spacing w:val="9"/>
                    <w:sz w:val="14"/>
                  </w:rPr>
                  <w:t xml:space="preserve"> </w:t>
                </w:r>
                <w:r>
                  <w:rPr>
                    <w:spacing w:val="-2"/>
                    <w:w w:val="95"/>
                    <w:sz w:val="14"/>
                  </w:rPr>
                  <w:t>Strategy</w:t>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F22F94">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F22F94">
    <w:pPr>
      <w:pStyle w:val="BodyText"/>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shapetype id="_x0000_t202" coordsize="21600,21600" o:spt="202" path="m,l,21600r21600,l21600,xe">
          <v:stroke joinstyle="miter"/>
          <v:path gradientshapeok="t" o:connecttype="rect"/>
        </v:shapetype>
        <v:shape id="docshape890" o:spid="_x0000_s2217" type="#_x0000_t202" style="position:absolute;margin-left:628.6pt;margin-top:558.45pt;width:164.7pt;height:11.55pt;z-index:-28260864;mso-position-horizontal-relative:page;mso-position-vertical-relative:page" filled="f" stroked="f">
          <v:textbox inset="0,0,0,0">
            <w:txbxContent>
              <w:p w:rsidR="00F22F94" w:rsidRDefault="00F22F94">
                <w:pPr>
                  <w:spacing w:before="26"/>
                  <w:ind w:left="20"/>
                  <w:rPr>
                    <w:b/>
                    <w:sz w:val="16"/>
                  </w:rPr>
                </w:pPr>
                <w:r>
                  <w:rPr>
                    <w:w w:val="95"/>
                    <w:sz w:val="16"/>
                  </w:rPr>
                  <w:t>The</w:t>
                </w:r>
                <w:r>
                  <w:rPr>
                    <w:spacing w:val="3"/>
                    <w:sz w:val="16"/>
                  </w:rPr>
                  <w:t xml:space="preserve"> </w:t>
                </w:r>
                <w:r>
                  <w:rPr>
                    <w:w w:val="95"/>
                    <w:sz w:val="16"/>
                  </w:rPr>
                  <w:t>context</w:t>
                </w:r>
                <w:r>
                  <w:rPr>
                    <w:spacing w:val="4"/>
                    <w:sz w:val="16"/>
                  </w:rPr>
                  <w:t xml:space="preserve"> </w:t>
                </w:r>
                <w:r>
                  <w:rPr>
                    <w:b/>
                    <w:w w:val="95"/>
                    <w:sz w:val="16"/>
                  </w:rPr>
                  <w:t>Section</w:t>
                </w:r>
                <w:r>
                  <w:rPr>
                    <w:b/>
                    <w:spacing w:val="4"/>
                    <w:sz w:val="16"/>
                  </w:rPr>
                  <w:t xml:space="preserve"> </w:t>
                </w:r>
                <w:r>
                  <w:rPr>
                    <w:b/>
                    <w:w w:val="95"/>
                    <w:sz w:val="16"/>
                  </w:rPr>
                  <w:t>5</w:t>
                </w:r>
                <w:r>
                  <w:rPr>
                    <w:b/>
                    <w:spacing w:val="3"/>
                    <w:sz w:val="16"/>
                  </w:rPr>
                  <w:t xml:space="preserve"> </w:t>
                </w:r>
                <w:r>
                  <w:rPr>
                    <w:w w:val="95"/>
                    <w:sz w:val="16"/>
                  </w:rPr>
                  <w:t>Regional</w:t>
                </w:r>
                <w:r>
                  <w:rPr>
                    <w:spacing w:val="4"/>
                    <w:sz w:val="16"/>
                  </w:rPr>
                  <w:t xml:space="preserve"> </w:t>
                </w:r>
                <w:r>
                  <w:rPr>
                    <w:w w:val="95"/>
                    <w:sz w:val="16"/>
                  </w:rPr>
                  <w:t>NSW</w:t>
                </w:r>
                <w:r>
                  <w:rPr>
                    <w:spacing w:val="4"/>
                    <w:sz w:val="16"/>
                  </w:rPr>
                  <w:t xml:space="preserve"> </w:t>
                </w:r>
                <w:r>
                  <w:rPr>
                    <w:b/>
                    <w:w w:val="95"/>
                    <w:sz w:val="16"/>
                  </w:rPr>
                  <w:t>Page</w:t>
                </w:r>
                <w:r>
                  <w:rPr>
                    <w:b/>
                    <w:spacing w:val="4"/>
                    <w:sz w:val="16"/>
                  </w:rPr>
                  <w:t xml:space="preserve"> </w:t>
                </w:r>
                <w:r>
                  <w:rPr>
                    <w:b/>
                    <w:spacing w:val="-5"/>
                    <w:w w:val="95"/>
                    <w:sz w:val="16"/>
                  </w:rPr>
                  <w:t>65</w:t>
                </w:r>
              </w:p>
            </w:txbxContent>
          </v:textbox>
          <w10:wrap anchorx="page" anchory="page"/>
        </v:shape>
      </w:pict>
    </w:r>
    <w:r>
      <w:pict>
        <v:shape id="docshape891" o:spid="_x0000_s2216" type="#_x0000_t202" style="position:absolute;margin-left:48.6pt;margin-top:559.45pt;width:155.9pt;height:10.3pt;z-index:-28260352;mso-position-horizontal-relative:page;mso-position-vertical-relative:page" filled="f" stroked="f">
          <v:textbox inset="0,0,0,0">
            <w:txbxContent>
              <w:p w:rsidR="00F22F94" w:rsidRDefault="00F22F94">
                <w:pPr>
                  <w:spacing w:before="24"/>
                  <w:ind w:left="20"/>
                  <w:rPr>
                    <w:sz w:val="14"/>
                  </w:rPr>
                </w:pPr>
                <w:r>
                  <w:rPr>
                    <w:w w:val="95"/>
                    <w:sz w:val="14"/>
                  </w:rPr>
                  <w:t>Infrastructure</w:t>
                </w:r>
                <w:r>
                  <w:rPr>
                    <w:spacing w:val="8"/>
                    <w:sz w:val="14"/>
                  </w:rPr>
                  <w:t xml:space="preserve"> </w:t>
                </w:r>
                <w:r>
                  <w:rPr>
                    <w:w w:val="95"/>
                    <w:sz w:val="14"/>
                  </w:rPr>
                  <w:t>NSW</w:t>
                </w:r>
                <w:r>
                  <w:rPr>
                    <w:spacing w:val="55"/>
                    <w:sz w:val="14"/>
                  </w:rPr>
                  <w:t xml:space="preserve"> </w:t>
                </w:r>
                <w:r>
                  <w:rPr>
                    <w:w w:val="95"/>
                    <w:sz w:val="14"/>
                  </w:rPr>
                  <w:t>|</w:t>
                </w:r>
                <w:r>
                  <w:rPr>
                    <w:spacing w:val="9"/>
                    <w:sz w:val="14"/>
                  </w:rPr>
                  <w:t xml:space="preserve"> </w:t>
                </w:r>
                <w:r>
                  <w:rPr>
                    <w:w w:val="95"/>
                    <w:sz w:val="14"/>
                  </w:rPr>
                  <w:t>State</w:t>
                </w:r>
                <w:r>
                  <w:rPr>
                    <w:spacing w:val="9"/>
                    <w:sz w:val="14"/>
                  </w:rPr>
                  <w:t xml:space="preserve"> </w:t>
                </w:r>
                <w:r>
                  <w:rPr>
                    <w:w w:val="95"/>
                    <w:sz w:val="14"/>
                  </w:rPr>
                  <w:t>Infrastructure</w:t>
                </w:r>
                <w:r>
                  <w:rPr>
                    <w:spacing w:val="9"/>
                    <w:sz w:val="14"/>
                  </w:rPr>
                  <w:t xml:space="preserve"> </w:t>
                </w:r>
                <w:r>
                  <w:rPr>
                    <w:spacing w:val="-2"/>
                    <w:w w:val="95"/>
                    <w:sz w:val="14"/>
                  </w:rPr>
                  <w:t>Strategy</w:t>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F22F94">
    <w:pPr>
      <w:pStyle w:val="BodyText"/>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shapetype id="_x0000_t202" coordsize="21600,21600" o:spt="202" path="m,l,21600r21600,l21600,xe">
          <v:stroke joinstyle="miter"/>
          <v:path gradientshapeok="t" o:connecttype="rect"/>
        </v:shapetype>
        <v:shape id="docshape1027" o:spid="_x0000_s2206" type="#_x0000_t202" style="position:absolute;margin-left:634.75pt;margin-top:558.45pt;width:161.5pt;height:11.55pt;z-index:-28259328;mso-position-horizontal-relative:page;mso-position-vertical-relative:page" filled="f" stroked="f">
          <v:textbox inset="0,0,0,0">
            <w:txbxContent>
              <w:p w:rsidR="00F22F94" w:rsidRDefault="00F22F94">
                <w:pPr>
                  <w:spacing w:before="26"/>
                  <w:ind w:left="20"/>
                  <w:rPr>
                    <w:b/>
                    <w:sz w:val="16"/>
                  </w:rPr>
                </w:pPr>
                <w:r>
                  <w:rPr>
                    <w:w w:val="95"/>
                    <w:sz w:val="16"/>
                  </w:rPr>
                  <w:t>The</w:t>
                </w:r>
                <w:r>
                  <w:rPr>
                    <w:spacing w:val="4"/>
                    <w:sz w:val="16"/>
                  </w:rPr>
                  <w:t xml:space="preserve"> </w:t>
                </w:r>
                <w:r>
                  <w:rPr>
                    <w:w w:val="95"/>
                    <w:sz w:val="16"/>
                  </w:rPr>
                  <w:t>solution</w:t>
                </w:r>
                <w:r>
                  <w:rPr>
                    <w:spacing w:val="5"/>
                    <w:sz w:val="16"/>
                  </w:rPr>
                  <w:t xml:space="preserve"> </w:t>
                </w:r>
                <w:r>
                  <w:rPr>
                    <w:b/>
                    <w:w w:val="95"/>
                    <w:sz w:val="16"/>
                  </w:rPr>
                  <w:t>Section</w:t>
                </w:r>
                <w:r>
                  <w:rPr>
                    <w:b/>
                    <w:spacing w:val="5"/>
                    <w:sz w:val="16"/>
                  </w:rPr>
                  <w:t xml:space="preserve"> </w:t>
                </w:r>
                <w:r>
                  <w:rPr>
                    <w:b/>
                    <w:w w:val="95"/>
                    <w:sz w:val="16"/>
                  </w:rPr>
                  <w:t>6</w:t>
                </w:r>
                <w:r>
                  <w:rPr>
                    <w:b/>
                    <w:spacing w:val="4"/>
                    <w:sz w:val="16"/>
                  </w:rPr>
                  <w:t xml:space="preserve"> </w:t>
                </w:r>
                <w:r>
                  <w:rPr>
                    <w:w w:val="95"/>
                    <w:sz w:val="16"/>
                  </w:rPr>
                  <w:t>Urban</w:t>
                </w:r>
                <w:r>
                  <w:rPr>
                    <w:spacing w:val="5"/>
                    <w:sz w:val="16"/>
                  </w:rPr>
                  <w:t xml:space="preserve"> </w:t>
                </w:r>
                <w:r>
                  <w:rPr>
                    <w:w w:val="95"/>
                    <w:sz w:val="16"/>
                  </w:rPr>
                  <w:t>roads</w:t>
                </w:r>
                <w:r>
                  <w:rPr>
                    <w:spacing w:val="5"/>
                    <w:sz w:val="16"/>
                  </w:rPr>
                  <w:t xml:space="preserve"> </w:t>
                </w:r>
                <w:r>
                  <w:rPr>
                    <w:b/>
                    <w:w w:val="95"/>
                    <w:sz w:val="16"/>
                  </w:rPr>
                  <w:t>Page</w:t>
                </w:r>
                <w:r>
                  <w:rPr>
                    <w:b/>
                    <w:spacing w:val="4"/>
                    <w:sz w:val="16"/>
                  </w:rPr>
                  <w:t xml:space="preserve"> </w:t>
                </w:r>
                <w:r>
                  <w:rPr>
                    <w:b/>
                    <w:spacing w:val="-5"/>
                    <w:w w:val="95"/>
                    <w:sz w:val="16"/>
                  </w:rPr>
                  <w:fldChar w:fldCharType="begin"/>
                </w:r>
                <w:r>
                  <w:rPr>
                    <w:b/>
                    <w:spacing w:val="-5"/>
                    <w:w w:val="95"/>
                    <w:sz w:val="16"/>
                  </w:rPr>
                  <w:instrText xml:space="preserve"> PAGE </w:instrText>
                </w:r>
                <w:r>
                  <w:rPr>
                    <w:b/>
                    <w:spacing w:val="-5"/>
                    <w:w w:val="95"/>
                    <w:sz w:val="16"/>
                  </w:rPr>
                  <w:fldChar w:fldCharType="separate"/>
                </w:r>
                <w:r w:rsidR="00560142">
                  <w:rPr>
                    <w:b/>
                    <w:noProof/>
                    <w:spacing w:val="-5"/>
                    <w:w w:val="95"/>
                    <w:sz w:val="16"/>
                  </w:rPr>
                  <w:t>91</w:t>
                </w:r>
                <w:r>
                  <w:rPr>
                    <w:b/>
                    <w:spacing w:val="-5"/>
                    <w:w w:val="95"/>
                    <w:sz w:val="16"/>
                  </w:rPr>
                  <w:fldChar w:fldCharType="end"/>
                </w:r>
              </w:p>
            </w:txbxContent>
          </v:textbox>
          <w10:wrap anchorx="page" anchory="page"/>
        </v:shape>
      </w:pict>
    </w:r>
    <w:r>
      <w:pict>
        <v:shape id="docshape1028" o:spid="_x0000_s2205" type="#_x0000_t202" style="position:absolute;margin-left:48.6pt;margin-top:559.45pt;width:155.9pt;height:10.3pt;z-index:-28258816;mso-position-horizontal-relative:page;mso-position-vertical-relative:page" filled="f" stroked="f">
          <v:textbox inset="0,0,0,0">
            <w:txbxContent>
              <w:p w:rsidR="00F22F94" w:rsidRDefault="00F22F94">
                <w:pPr>
                  <w:spacing w:before="24"/>
                  <w:ind w:left="20"/>
                  <w:rPr>
                    <w:sz w:val="14"/>
                  </w:rPr>
                </w:pPr>
                <w:r>
                  <w:rPr>
                    <w:w w:val="95"/>
                    <w:sz w:val="14"/>
                  </w:rPr>
                  <w:t>Infrastructure</w:t>
                </w:r>
                <w:r>
                  <w:rPr>
                    <w:spacing w:val="8"/>
                    <w:sz w:val="14"/>
                  </w:rPr>
                  <w:t xml:space="preserve"> </w:t>
                </w:r>
                <w:r>
                  <w:rPr>
                    <w:w w:val="95"/>
                    <w:sz w:val="14"/>
                  </w:rPr>
                  <w:t>NSW</w:t>
                </w:r>
                <w:r>
                  <w:rPr>
                    <w:spacing w:val="55"/>
                    <w:sz w:val="14"/>
                  </w:rPr>
                  <w:t xml:space="preserve"> </w:t>
                </w:r>
                <w:r>
                  <w:rPr>
                    <w:w w:val="95"/>
                    <w:sz w:val="14"/>
                  </w:rPr>
                  <w:t>|</w:t>
                </w:r>
                <w:r>
                  <w:rPr>
                    <w:spacing w:val="9"/>
                    <w:sz w:val="14"/>
                  </w:rPr>
                  <w:t xml:space="preserve"> </w:t>
                </w:r>
                <w:r>
                  <w:rPr>
                    <w:w w:val="95"/>
                    <w:sz w:val="14"/>
                  </w:rPr>
                  <w:t>State</w:t>
                </w:r>
                <w:r>
                  <w:rPr>
                    <w:spacing w:val="9"/>
                    <w:sz w:val="14"/>
                  </w:rPr>
                  <w:t xml:space="preserve"> </w:t>
                </w:r>
                <w:r>
                  <w:rPr>
                    <w:w w:val="95"/>
                    <w:sz w:val="14"/>
                  </w:rPr>
                  <w:t>Infrastructure</w:t>
                </w:r>
                <w:r>
                  <w:rPr>
                    <w:spacing w:val="9"/>
                    <w:sz w:val="14"/>
                  </w:rPr>
                  <w:t xml:space="preserve"> </w:t>
                </w:r>
                <w:r>
                  <w:rPr>
                    <w:spacing w:val="-2"/>
                    <w:w w:val="95"/>
                    <w:sz w:val="14"/>
                  </w:rPr>
                  <w:t>Strategy</w:t>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shapetype id="_x0000_t202" coordsize="21600,21600" o:spt="202" path="m,l,21600r21600,l21600,xe">
          <v:stroke joinstyle="miter"/>
          <v:path gradientshapeok="t" o:connecttype="rect"/>
        </v:shapetype>
        <v:shape id="docshape1205" o:spid="_x0000_s2195" type="#_x0000_t202" style="position:absolute;margin-left:634.7pt;margin-top:558.45pt;width:161.55pt;height:11.55pt;z-index:-28257792;mso-position-horizontal-relative:page;mso-position-vertical-relative:page" filled="f" stroked="f">
          <v:textbox inset="0,0,0,0">
            <w:txbxContent>
              <w:p w:rsidR="00F22F94" w:rsidRDefault="00F22F94">
                <w:pPr>
                  <w:spacing w:before="26"/>
                  <w:ind w:left="20"/>
                  <w:rPr>
                    <w:b/>
                    <w:sz w:val="16"/>
                  </w:rPr>
                </w:pPr>
                <w:r>
                  <w:rPr>
                    <w:w w:val="95"/>
                    <w:sz w:val="16"/>
                  </w:rPr>
                  <w:t>The</w:t>
                </w:r>
                <w:r>
                  <w:rPr>
                    <w:spacing w:val="4"/>
                    <w:sz w:val="16"/>
                  </w:rPr>
                  <w:t xml:space="preserve"> </w:t>
                </w:r>
                <w:r>
                  <w:rPr>
                    <w:w w:val="95"/>
                    <w:sz w:val="16"/>
                  </w:rPr>
                  <w:t>solution</w:t>
                </w:r>
                <w:r>
                  <w:rPr>
                    <w:spacing w:val="5"/>
                    <w:sz w:val="16"/>
                  </w:rPr>
                  <w:t xml:space="preserve"> </w:t>
                </w:r>
                <w:r>
                  <w:rPr>
                    <w:b/>
                    <w:w w:val="95"/>
                    <w:sz w:val="16"/>
                  </w:rPr>
                  <w:t>Section</w:t>
                </w:r>
                <w:r>
                  <w:rPr>
                    <w:b/>
                    <w:spacing w:val="4"/>
                    <w:sz w:val="16"/>
                  </w:rPr>
                  <w:t xml:space="preserve"> </w:t>
                </w:r>
                <w:r>
                  <w:rPr>
                    <w:b/>
                    <w:w w:val="95"/>
                    <w:sz w:val="16"/>
                  </w:rPr>
                  <w:t>6</w:t>
                </w:r>
                <w:r>
                  <w:rPr>
                    <w:b/>
                    <w:spacing w:val="5"/>
                    <w:sz w:val="16"/>
                  </w:rPr>
                  <w:t xml:space="preserve"> </w:t>
                </w:r>
                <w:r>
                  <w:rPr>
                    <w:w w:val="95"/>
                    <w:sz w:val="16"/>
                  </w:rPr>
                  <w:t>Urban</w:t>
                </w:r>
                <w:r>
                  <w:rPr>
                    <w:spacing w:val="4"/>
                    <w:sz w:val="16"/>
                  </w:rPr>
                  <w:t xml:space="preserve"> </w:t>
                </w:r>
                <w:r>
                  <w:rPr>
                    <w:w w:val="95"/>
                    <w:sz w:val="16"/>
                  </w:rPr>
                  <w:t>roads</w:t>
                </w:r>
                <w:r>
                  <w:rPr>
                    <w:spacing w:val="5"/>
                    <w:sz w:val="16"/>
                  </w:rPr>
                  <w:t xml:space="preserve"> </w:t>
                </w:r>
                <w:r>
                  <w:rPr>
                    <w:b/>
                    <w:w w:val="95"/>
                    <w:sz w:val="16"/>
                  </w:rPr>
                  <w:t>Page</w:t>
                </w:r>
                <w:r>
                  <w:rPr>
                    <w:b/>
                    <w:spacing w:val="4"/>
                    <w:sz w:val="16"/>
                  </w:rPr>
                  <w:t xml:space="preserve"> </w:t>
                </w:r>
                <w:r>
                  <w:rPr>
                    <w:b/>
                    <w:spacing w:val="-5"/>
                    <w:w w:val="95"/>
                    <w:sz w:val="16"/>
                  </w:rPr>
                  <w:fldChar w:fldCharType="begin"/>
                </w:r>
                <w:r>
                  <w:rPr>
                    <w:b/>
                    <w:spacing w:val="-5"/>
                    <w:w w:val="95"/>
                    <w:sz w:val="16"/>
                  </w:rPr>
                  <w:instrText xml:space="preserve"> PAGE </w:instrText>
                </w:r>
                <w:r>
                  <w:rPr>
                    <w:b/>
                    <w:spacing w:val="-5"/>
                    <w:w w:val="95"/>
                    <w:sz w:val="16"/>
                  </w:rPr>
                  <w:fldChar w:fldCharType="separate"/>
                </w:r>
                <w:r w:rsidR="00560142">
                  <w:rPr>
                    <w:b/>
                    <w:noProof/>
                    <w:spacing w:val="-5"/>
                    <w:w w:val="95"/>
                    <w:sz w:val="16"/>
                  </w:rPr>
                  <w:t>93</w:t>
                </w:r>
                <w:r>
                  <w:rPr>
                    <w:b/>
                    <w:spacing w:val="-5"/>
                    <w:w w:val="95"/>
                    <w:sz w:val="16"/>
                  </w:rPr>
                  <w:fldChar w:fldCharType="end"/>
                </w:r>
              </w:p>
            </w:txbxContent>
          </v:textbox>
          <w10:wrap anchorx="page" anchory="page"/>
        </v:shape>
      </w:pict>
    </w:r>
    <w:r>
      <w:pict>
        <v:shape id="docshape1206" o:spid="_x0000_s2194" type="#_x0000_t202" style="position:absolute;margin-left:48.6pt;margin-top:559.45pt;width:155.9pt;height:10.3pt;z-index:-28257280;mso-position-horizontal-relative:page;mso-position-vertical-relative:page" filled="f" stroked="f">
          <v:textbox inset="0,0,0,0">
            <w:txbxContent>
              <w:p w:rsidR="00F22F94" w:rsidRDefault="00F22F94">
                <w:pPr>
                  <w:spacing w:before="24"/>
                  <w:ind w:left="20"/>
                  <w:rPr>
                    <w:sz w:val="14"/>
                  </w:rPr>
                </w:pPr>
                <w:r>
                  <w:rPr>
                    <w:w w:val="95"/>
                    <w:sz w:val="14"/>
                  </w:rPr>
                  <w:t>Infrastructure</w:t>
                </w:r>
                <w:r>
                  <w:rPr>
                    <w:spacing w:val="8"/>
                    <w:sz w:val="14"/>
                  </w:rPr>
                  <w:t xml:space="preserve"> </w:t>
                </w:r>
                <w:r>
                  <w:rPr>
                    <w:w w:val="95"/>
                    <w:sz w:val="14"/>
                  </w:rPr>
                  <w:t>NSW</w:t>
                </w:r>
                <w:r>
                  <w:rPr>
                    <w:spacing w:val="55"/>
                    <w:sz w:val="14"/>
                  </w:rPr>
                  <w:t xml:space="preserve"> </w:t>
                </w:r>
                <w:r>
                  <w:rPr>
                    <w:w w:val="95"/>
                    <w:sz w:val="14"/>
                  </w:rPr>
                  <w:t>|</w:t>
                </w:r>
                <w:r>
                  <w:rPr>
                    <w:spacing w:val="9"/>
                    <w:sz w:val="14"/>
                  </w:rPr>
                  <w:t xml:space="preserve"> </w:t>
                </w:r>
                <w:r>
                  <w:rPr>
                    <w:w w:val="95"/>
                    <w:sz w:val="14"/>
                  </w:rPr>
                  <w:t>State</w:t>
                </w:r>
                <w:r>
                  <w:rPr>
                    <w:spacing w:val="9"/>
                    <w:sz w:val="14"/>
                  </w:rPr>
                  <w:t xml:space="preserve"> </w:t>
                </w:r>
                <w:r>
                  <w:rPr>
                    <w:w w:val="95"/>
                    <w:sz w:val="14"/>
                  </w:rPr>
                  <w:t>Infrastructure</w:t>
                </w:r>
                <w:r>
                  <w:rPr>
                    <w:spacing w:val="9"/>
                    <w:sz w:val="14"/>
                  </w:rPr>
                  <w:t xml:space="preserve"> </w:t>
                </w:r>
                <w:r>
                  <w:rPr>
                    <w:spacing w:val="-2"/>
                    <w:w w:val="95"/>
                    <w:sz w:val="14"/>
                  </w:rPr>
                  <w:t>Strategy</w:t>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shapetype id="_x0000_t202" coordsize="21600,21600" o:spt="202" path="m,l,21600r21600,l21600,xe">
          <v:stroke joinstyle="miter"/>
          <v:path gradientshapeok="t" o:connecttype="rect"/>
        </v:shapetype>
        <v:shape id="docshape1220" o:spid="_x0000_s2184" type="#_x0000_t202" style="position:absolute;margin-left:581.85pt;margin-top:558.45pt;width:214.4pt;height:11.55pt;z-index:-28256256;mso-position-horizontal-relative:page;mso-position-vertical-relative:page" filled="f" stroked="f">
          <v:textbox inset="0,0,0,0">
            <w:txbxContent>
              <w:p w:rsidR="00F22F94" w:rsidRDefault="00F22F94">
                <w:pPr>
                  <w:spacing w:before="26"/>
                  <w:ind w:left="20"/>
                  <w:rPr>
                    <w:b/>
                    <w:sz w:val="16"/>
                  </w:rPr>
                </w:pPr>
                <w:r>
                  <w:rPr>
                    <w:w w:val="95"/>
                    <w:sz w:val="16"/>
                  </w:rPr>
                  <w:t>The</w:t>
                </w:r>
                <w:r>
                  <w:rPr>
                    <w:spacing w:val="-2"/>
                    <w:sz w:val="16"/>
                  </w:rPr>
                  <w:t xml:space="preserve"> </w:t>
                </w:r>
                <w:r>
                  <w:rPr>
                    <w:w w:val="95"/>
                    <w:sz w:val="16"/>
                  </w:rPr>
                  <w:t>solution</w:t>
                </w:r>
                <w:r>
                  <w:rPr>
                    <w:spacing w:val="-2"/>
                    <w:sz w:val="16"/>
                  </w:rPr>
                  <w:t xml:space="preserve"> </w:t>
                </w:r>
                <w:r>
                  <w:rPr>
                    <w:b/>
                    <w:w w:val="95"/>
                    <w:sz w:val="16"/>
                  </w:rPr>
                  <w:t>Section</w:t>
                </w:r>
                <w:r>
                  <w:rPr>
                    <w:b/>
                    <w:spacing w:val="-1"/>
                    <w:sz w:val="16"/>
                  </w:rPr>
                  <w:t xml:space="preserve"> </w:t>
                </w:r>
                <w:r>
                  <w:rPr>
                    <w:b/>
                    <w:w w:val="95"/>
                    <w:sz w:val="16"/>
                  </w:rPr>
                  <w:t>7</w:t>
                </w:r>
                <w:r>
                  <w:rPr>
                    <w:b/>
                    <w:spacing w:val="-2"/>
                    <w:sz w:val="16"/>
                  </w:rPr>
                  <w:t xml:space="preserve"> </w:t>
                </w:r>
                <w:r>
                  <w:rPr>
                    <w:w w:val="95"/>
                    <w:sz w:val="16"/>
                  </w:rPr>
                  <w:t>Bus</w:t>
                </w:r>
                <w:r>
                  <w:rPr>
                    <w:spacing w:val="-1"/>
                    <w:sz w:val="16"/>
                  </w:rPr>
                  <w:t xml:space="preserve"> </w:t>
                </w:r>
                <w:r>
                  <w:rPr>
                    <w:w w:val="95"/>
                    <w:sz w:val="16"/>
                  </w:rPr>
                  <w:t>and</w:t>
                </w:r>
                <w:r>
                  <w:rPr>
                    <w:spacing w:val="-2"/>
                    <w:sz w:val="16"/>
                  </w:rPr>
                  <w:t xml:space="preserve"> </w:t>
                </w:r>
                <w:r>
                  <w:rPr>
                    <w:w w:val="95"/>
                    <w:sz w:val="16"/>
                  </w:rPr>
                  <w:t>light</w:t>
                </w:r>
                <w:r>
                  <w:rPr>
                    <w:spacing w:val="-1"/>
                    <w:sz w:val="16"/>
                  </w:rPr>
                  <w:t xml:space="preserve"> </w:t>
                </w:r>
                <w:r>
                  <w:rPr>
                    <w:w w:val="95"/>
                    <w:sz w:val="16"/>
                  </w:rPr>
                  <w:t>rail</w:t>
                </w:r>
                <w:r>
                  <w:rPr>
                    <w:spacing w:val="-2"/>
                    <w:sz w:val="16"/>
                  </w:rPr>
                  <w:t xml:space="preserve"> </w:t>
                </w:r>
                <w:r>
                  <w:rPr>
                    <w:w w:val="95"/>
                    <w:sz w:val="16"/>
                  </w:rPr>
                  <w:t>in</w:t>
                </w:r>
                <w:r>
                  <w:rPr>
                    <w:spacing w:val="-1"/>
                    <w:sz w:val="16"/>
                  </w:rPr>
                  <w:t xml:space="preserve"> </w:t>
                </w:r>
                <w:r>
                  <w:rPr>
                    <w:w w:val="95"/>
                    <w:sz w:val="16"/>
                  </w:rPr>
                  <w:t>Sydney</w:t>
                </w:r>
                <w:r>
                  <w:rPr>
                    <w:spacing w:val="-2"/>
                    <w:sz w:val="16"/>
                  </w:rPr>
                  <w:t xml:space="preserve"> </w:t>
                </w:r>
                <w:r>
                  <w:rPr>
                    <w:b/>
                    <w:w w:val="95"/>
                    <w:sz w:val="16"/>
                  </w:rPr>
                  <w:t>Page</w:t>
                </w:r>
                <w:r>
                  <w:rPr>
                    <w:b/>
                    <w:spacing w:val="-1"/>
                    <w:sz w:val="16"/>
                  </w:rPr>
                  <w:t xml:space="preserve"> </w:t>
                </w:r>
                <w:r>
                  <w:rPr>
                    <w:b/>
                    <w:spacing w:val="-5"/>
                    <w:w w:val="95"/>
                    <w:sz w:val="16"/>
                  </w:rPr>
                  <w:fldChar w:fldCharType="begin"/>
                </w:r>
                <w:r>
                  <w:rPr>
                    <w:b/>
                    <w:spacing w:val="-5"/>
                    <w:w w:val="95"/>
                    <w:sz w:val="16"/>
                  </w:rPr>
                  <w:instrText xml:space="preserve"> PAGE </w:instrText>
                </w:r>
                <w:r>
                  <w:rPr>
                    <w:b/>
                    <w:spacing w:val="-5"/>
                    <w:w w:val="95"/>
                    <w:sz w:val="16"/>
                  </w:rPr>
                  <w:fldChar w:fldCharType="separate"/>
                </w:r>
                <w:r w:rsidR="00560142">
                  <w:rPr>
                    <w:b/>
                    <w:noProof/>
                    <w:spacing w:val="-5"/>
                    <w:w w:val="95"/>
                    <w:sz w:val="16"/>
                  </w:rPr>
                  <w:t>106</w:t>
                </w:r>
                <w:r>
                  <w:rPr>
                    <w:b/>
                    <w:spacing w:val="-5"/>
                    <w:w w:val="95"/>
                    <w:sz w:val="16"/>
                  </w:rPr>
                  <w:fldChar w:fldCharType="end"/>
                </w:r>
              </w:p>
            </w:txbxContent>
          </v:textbox>
          <w10:wrap anchorx="page" anchory="page"/>
        </v:shape>
      </w:pict>
    </w:r>
    <w:r>
      <w:pict>
        <v:shape id="docshape1221" o:spid="_x0000_s2183" type="#_x0000_t202" style="position:absolute;margin-left:48.6pt;margin-top:559.45pt;width:155.9pt;height:10.3pt;z-index:-28255744;mso-position-horizontal-relative:page;mso-position-vertical-relative:page" filled="f" stroked="f">
          <v:textbox inset="0,0,0,0">
            <w:txbxContent>
              <w:p w:rsidR="00F22F94" w:rsidRDefault="00F22F94">
                <w:pPr>
                  <w:spacing w:before="24"/>
                  <w:ind w:left="20"/>
                  <w:rPr>
                    <w:sz w:val="14"/>
                  </w:rPr>
                </w:pPr>
                <w:r>
                  <w:rPr>
                    <w:w w:val="95"/>
                    <w:sz w:val="14"/>
                  </w:rPr>
                  <w:t>Infrastructure</w:t>
                </w:r>
                <w:r>
                  <w:rPr>
                    <w:spacing w:val="8"/>
                    <w:sz w:val="14"/>
                  </w:rPr>
                  <w:t xml:space="preserve"> </w:t>
                </w:r>
                <w:r>
                  <w:rPr>
                    <w:w w:val="95"/>
                    <w:sz w:val="14"/>
                  </w:rPr>
                  <w:t>NSW</w:t>
                </w:r>
                <w:r>
                  <w:rPr>
                    <w:spacing w:val="55"/>
                    <w:sz w:val="14"/>
                  </w:rPr>
                  <w:t xml:space="preserve"> </w:t>
                </w:r>
                <w:r>
                  <w:rPr>
                    <w:w w:val="95"/>
                    <w:sz w:val="14"/>
                  </w:rPr>
                  <w:t>|</w:t>
                </w:r>
                <w:r>
                  <w:rPr>
                    <w:spacing w:val="9"/>
                    <w:sz w:val="14"/>
                  </w:rPr>
                  <w:t xml:space="preserve"> </w:t>
                </w:r>
                <w:r>
                  <w:rPr>
                    <w:w w:val="95"/>
                    <w:sz w:val="14"/>
                  </w:rPr>
                  <w:t>State</w:t>
                </w:r>
                <w:r>
                  <w:rPr>
                    <w:spacing w:val="9"/>
                    <w:sz w:val="14"/>
                  </w:rPr>
                  <w:t xml:space="preserve"> </w:t>
                </w:r>
                <w:r>
                  <w:rPr>
                    <w:w w:val="95"/>
                    <w:sz w:val="14"/>
                  </w:rPr>
                  <w:t>Infrastructure</w:t>
                </w:r>
                <w:r>
                  <w:rPr>
                    <w:spacing w:val="9"/>
                    <w:sz w:val="14"/>
                  </w:rPr>
                  <w:t xml:space="preserve"> </w:t>
                </w:r>
                <w:r>
                  <w:rPr>
                    <w:spacing w:val="-2"/>
                    <w:w w:val="95"/>
                    <w:sz w:val="14"/>
                  </w:rPr>
                  <w:t>Strategy</w:t>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shapetype id="_x0000_t202" coordsize="21600,21600" o:spt="202" path="m,l,21600r21600,l21600,xe">
          <v:stroke joinstyle="miter"/>
          <v:path gradientshapeok="t" o:connecttype="rect"/>
        </v:shapetype>
        <v:shape id="docshape1415" o:spid="_x0000_s2173" type="#_x0000_t202" style="position:absolute;margin-left:615.6pt;margin-top:558.45pt;width:177.75pt;height:11.55pt;z-index:-28254720;mso-position-horizontal-relative:page;mso-position-vertical-relative:page" filled="f" stroked="f">
          <v:textbox inset="0,0,0,0">
            <w:txbxContent>
              <w:p w:rsidR="00F22F94" w:rsidRDefault="00F22F94">
                <w:pPr>
                  <w:spacing w:before="26"/>
                  <w:ind w:left="20"/>
                  <w:rPr>
                    <w:b/>
                    <w:sz w:val="16"/>
                  </w:rPr>
                </w:pPr>
                <w:r>
                  <w:rPr>
                    <w:w w:val="95"/>
                    <w:sz w:val="16"/>
                  </w:rPr>
                  <w:t>The</w:t>
                </w:r>
                <w:r>
                  <w:rPr>
                    <w:spacing w:val="3"/>
                    <w:sz w:val="16"/>
                  </w:rPr>
                  <w:t xml:space="preserve"> </w:t>
                </w:r>
                <w:r>
                  <w:rPr>
                    <w:w w:val="95"/>
                    <w:sz w:val="16"/>
                  </w:rPr>
                  <w:t>solution</w:t>
                </w:r>
                <w:r>
                  <w:rPr>
                    <w:spacing w:val="3"/>
                    <w:sz w:val="16"/>
                  </w:rPr>
                  <w:t xml:space="preserve"> </w:t>
                </w:r>
                <w:r>
                  <w:rPr>
                    <w:b/>
                    <w:w w:val="95"/>
                    <w:sz w:val="16"/>
                  </w:rPr>
                  <w:t>Section</w:t>
                </w:r>
                <w:r>
                  <w:rPr>
                    <w:b/>
                    <w:spacing w:val="4"/>
                    <w:sz w:val="16"/>
                  </w:rPr>
                  <w:t xml:space="preserve"> </w:t>
                </w:r>
                <w:r>
                  <w:rPr>
                    <w:b/>
                    <w:w w:val="95"/>
                    <w:sz w:val="16"/>
                  </w:rPr>
                  <w:t>8</w:t>
                </w:r>
                <w:r>
                  <w:rPr>
                    <w:b/>
                    <w:spacing w:val="3"/>
                    <w:sz w:val="16"/>
                  </w:rPr>
                  <w:t xml:space="preserve"> </w:t>
                </w:r>
                <w:r>
                  <w:rPr>
                    <w:w w:val="95"/>
                    <w:sz w:val="16"/>
                  </w:rPr>
                  <w:t>Passenger</w:t>
                </w:r>
                <w:r>
                  <w:rPr>
                    <w:spacing w:val="3"/>
                    <w:sz w:val="16"/>
                  </w:rPr>
                  <w:t xml:space="preserve"> </w:t>
                </w:r>
                <w:r>
                  <w:rPr>
                    <w:w w:val="95"/>
                    <w:sz w:val="16"/>
                  </w:rPr>
                  <w:t>trains</w:t>
                </w:r>
                <w:r>
                  <w:rPr>
                    <w:spacing w:val="4"/>
                    <w:sz w:val="16"/>
                  </w:rPr>
                  <w:t xml:space="preserve"> </w:t>
                </w:r>
                <w:r>
                  <w:rPr>
                    <w:b/>
                    <w:w w:val="95"/>
                    <w:sz w:val="16"/>
                  </w:rPr>
                  <w:t>Page</w:t>
                </w:r>
                <w:r>
                  <w:rPr>
                    <w:b/>
                    <w:spacing w:val="3"/>
                    <w:sz w:val="16"/>
                  </w:rPr>
                  <w:t xml:space="preserve"> </w:t>
                </w:r>
                <w:r>
                  <w:rPr>
                    <w:b/>
                    <w:spacing w:val="-5"/>
                    <w:w w:val="95"/>
                    <w:sz w:val="16"/>
                  </w:rPr>
                  <w:t>107</w:t>
                </w:r>
              </w:p>
            </w:txbxContent>
          </v:textbox>
          <w10:wrap anchorx="page" anchory="page"/>
        </v:shape>
      </w:pict>
    </w:r>
    <w:r>
      <w:pict>
        <v:shape id="docshape1416" o:spid="_x0000_s2172" type="#_x0000_t202" style="position:absolute;margin-left:48.6pt;margin-top:559.45pt;width:155.9pt;height:10.3pt;z-index:-28254208;mso-position-horizontal-relative:page;mso-position-vertical-relative:page" filled="f" stroked="f">
          <v:textbox inset="0,0,0,0">
            <w:txbxContent>
              <w:p w:rsidR="00F22F94" w:rsidRDefault="00F22F94">
                <w:pPr>
                  <w:spacing w:before="24"/>
                  <w:ind w:left="20"/>
                  <w:rPr>
                    <w:sz w:val="14"/>
                  </w:rPr>
                </w:pPr>
                <w:r>
                  <w:rPr>
                    <w:w w:val="95"/>
                    <w:sz w:val="14"/>
                  </w:rPr>
                  <w:t>Infrastructure</w:t>
                </w:r>
                <w:r>
                  <w:rPr>
                    <w:spacing w:val="8"/>
                    <w:sz w:val="14"/>
                  </w:rPr>
                  <w:t xml:space="preserve"> </w:t>
                </w:r>
                <w:r>
                  <w:rPr>
                    <w:w w:val="95"/>
                    <w:sz w:val="14"/>
                  </w:rPr>
                  <w:t>NSW</w:t>
                </w:r>
                <w:r>
                  <w:rPr>
                    <w:spacing w:val="55"/>
                    <w:sz w:val="14"/>
                  </w:rPr>
                  <w:t xml:space="preserve"> </w:t>
                </w:r>
                <w:r>
                  <w:rPr>
                    <w:w w:val="95"/>
                    <w:sz w:val="14"/>
                  </w:rPr>
                  <w:t>|</w:t>
                </w:r>
                <w:r>
                  <w:rPr>
                    <w:spacing w:val="9"/>
                    <w:sz w:val="14"/>
                  </w:rPr>
                  <w:t xml:space="preserve"> </w:t>
                </w:r>
                <w:r>
                  <w:rPr>
                    <w:w w:val="95"/>
                    <w:sz w:val="14"/>
                  </w:rPr>
                  <w:t>State</w:t>
                </w:r>
                <w:r>
                  <w:rPr>
                    <w:spacing w:val="9"/>
                    <w:sz w:val="14"/>
                  </w:rPr>
                  <w:t xml:space="preserve"> </w:t>
                </w:r>
                <w:r>
                  <w:rPr>
                    <w:w w:val="95"/>
                    <w:sz w:val="14"/>
                  </w:rPr>
                  <w:t>Infrastructure</w:t>
                </w:r>
                <w:r>
                  <w:rPr>
                    <w:spacing w:val="9"/>
                    <w:sz w:val="14"/>
                  </w:rPr>
                  <w:t xml:space="preserve"> </w:t>
                </w:r>
                <w:r>
                  <w:rPr>
                    <w:spacing w:val="-2"/>
                    <w:w w:val="95"/>
                    <w:sz w:val="14"/>
                  </w:rPr>
                  <w:t>Strategy</w:t>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shapetype id="_x0000_t202" coordsize="21600,21600" o:spt="202" path="m,l,21600r21600,l21600,xe">
          <v:stroke joinstyle="miter"/>
          <v:path gradientshapeok="t" o:connecttype="rect"/>
        </v:shapetype>
        <v:shape id="docshape1499" o:spid="_x0000_s2162" type="#_x0000_t202" style="position:absolute;margin-left:596.25pt;margin-top:558.45pt;width:200pt;height:11.55pt;z-index:-28253184;mso-position-horizontal-relative:page;mso-position-vertical-relative:page" filled="f" stroked="f">
          <v:textbox inset="0,0,0,0">
            <w:txbxContent>
              <w:p w:rsidR="00F22F94" w:rsidRDefault="00F22F94">
                <w:pPr>
                  <w:spacing w:before="26"/>
                  <w:ind w:left="20"/>
                  <w:rPr>
                    <w:b/>
                    <w:sz w:val="16"/>
                  </w:rPr>
                </w:pPr>
                <w:r>
                  <w:rPr>
                    <w:w w:val="95"/>
                    <w:sz w:val="16"/>
                  </w:rPr>
                  <w:t>The</w:t>
                </w:r>
                <w:r>
                  <w:rPr>
                    <w:spacing w:val="2"/>
                    <w:sz w:val="16"/>
                  </w:rPr>
                  <w:t xml:space="preserve"> </w:t>
                </w:r>
                <w:r>
                  <w:rPr>
                    <w:w w:val="95"/>
                    <w:sz w:val="16"/>
                  </w:rPr>
                  <w:t>solution</w:t>
                </w:r>
                <w:r>
                  <w:rPr>
                    <w:spacing w:val="3"/>
                    <w:sz w:val="16"/>
                  </w:rPr>
                  <w:t xml:space="preserve"> </w:t>
                </w:r>
                <w:r>
                  <w:rPr>
                    <w:b/>
                    <w:w w:val="95"/>
                    <w:sz w:val="16"/>
                  </w:rPr>
                  <w:t>Section</w:t>
                </w:r>
                <w:r>
                  <w:rPr>
                    <w:b/>
                    <w:spacing w:val="3"/>
                    <w:sz w:val="16"/>
                  </w:rPr>
                  <w:t xml:space="preserve"> </w:t>
                </w:r>
                <w:r>
                  <w:rPr>
                    <w:b/>
                    <w:w w:val="95"/>
                    <w:sz w:val="16"/>
                  </w:rPr>
                  <w:t>9</w:t>
                </w:r>
                <w:r>
                  <w:rPr>
                    <w:b/>
                    <w:spacing w:val="3"/>
                    <w:sz w:val="16"/>
                  </w:rPr>
                  <w:t xml:space="preserve"> </w:t>
                </w:r>
                <w:r>
                  <w:rPr>
                    <w:w w:val="95"/>
                    <w:sz w:val="16"/>
                  </w:rPr>
                  <w:t>International</w:t>
                </w:r>
                <w:r>
                  <w:rPr>
                    <w:spacing w:val="3"/>
                    <w:sz w:val="16"/>
                  </w:rPr>
                  <w:t xml:space="preserve"> </w:t>
                </w:r>
                <w:r>
                  <w:rPr>
                    <w:w w:val="95"/>
                    <w:sz w:val="16"/>
                  </w:rPr>
                  <w:t>gateways</w:t>
                </w:r>
                <w:r>
                  <w:rPr>
                    <w:spacing w:val="3"/>
                    <w:sz w:val="16"/>
                  </w:rPr>
                  <w:t xml:space="preserve"> </w:t>
                </w:r>
                <w:r>
                  <w:rPr>
                    <w:b/>
                    <w:w w:val="95"/>
                    <w:sz w:val="16"/>
                  </w:rPr>
                  <w:t>Page</w:t>
                </w:r>
                <w:r>
                  <w:rPr>
                    <w:b/>
                    <w:spacing w:val="3"/>
                    <w:sz w:val="16"/>
                  </w:rPr>
                  <w:t xml:space="preserve"> </w:t>
                </w:r>
                <w:r>
                  <w:rPr>
                    <w:b/>
                    <w:spacing w:val="-5"/>
                    <w:w w:val="95"/>
                    <w:sz w:val="16"/>
                  </w:rPr>
                  <w:fldChar w:fldCharType="begin"/>
                </w:r>
                <w:r>
                  <w:rPr>
                    <w:b/>
                    <w:spacing w:val="-5"/>
                    <w:w w:val="95"/>
                    <w:sz w:val="16"/>
                  </w:rPr>
                  <w:instrText xml:space="preserve"> PAGE </w:instrText>
                </w:r>
                <w:r>
                  <w:rPr>
                    <w:b/>
                    <w:spacing w:val="-5"/>
                    <w:w w:val="95"/>
                    <w:sz w:val="16"/>
                  </w:rPr>
                  <w:fldChar w:fldCharType="separate"/>
                </w:r>
                <w:r w:rsidR="00560142">
                  <w:rPr>
                    <w:b/>
                    <w:noProof/>
                    <w:spacing w:val="-5"/>
                    <w:w w:val="95"/>
                    <w:sz w:val="16"/>
                  </w:rPr>
                  <w:t>129</w:t>
                </w:r>
                <w:r>
                  <w:rPr>
                    <w:b/>
                    <w:spacing w:val="-5"/>
                    <w:w w:val="95"/>
                    <w:sz w:val="16"/>
                  </w:rPr>
                  <w:fldChar w:fldCharType="end"/>
                </w:r>
              </w:p>
            </w:txbxContent>
          </v:textbox>
          <w10:wrap anchorx="page" anchory="page"/>
        </v:shape>
      </w:pict>
    </w:r>
    <w:r>
      <w:pict>
        <v:shape id="docshape1500" o:spid="_x0000_s2161" type="#_x0000_t202" style="position:absolute;margin-left:48.6pt;margin-top:559.45pt;width:155.9pt;height:10.3pt;z-index:-28252672;mso-position-horizontal-relative:page;mso-position-vertical-relative:page" filled="f" stroked="f">
          <v:textbox inset="0,0,0,0">
            <w:txbxContent>
              <w:p w:rsidR="00F22F94" w:rsidRDefault="00F22F94">
                <w:pPr>
                  <w:spacing w:before="24"/>
                  <w:ind w:left="20"/>
                  <w:rPr>
                    <w:sz w:val="14"/>
                  </w:rPr>
                </w:pPr>
                <w:r>
                  <w:rPr>
                    <w:w w:val="95"/>
                    <w:sz w:val="14"/>
                  </w:rPr>
                  <w:t>Infrastructure</w:t>
                </w:r>
                <w:r>
                  <w:rPr>
                    <w:spacing w:val="8"/>
                    <w:sz w:val="14"/>
                  </w:rPr>
                  <w:t xml:space="preserve"> </w:t>
                </w:r>
                <w:r>
                  <w:rPr>
                    <w:w w:val="95"/>
                    <w:sz w:val="14"/>
                  </w:rPr>
                  <w:t>NSW</w:t>
                </w:r>
                <w:r>
                  <w:rPr>
                    <w:spacing w:val="55"/>
                    <w:sz w:val="14"/>
                  </w:rPr>
                  <w:t xml:space="preserve"> </w:t>
                </w:r>
                <w:r>
                  <w:rPr>
                    <w:w w:val="95"/>
                    <w:sz w:val="14"/>
                  </w:rPr>
                  <w:t>|</w:t>
                </w:r>
                <w:r>
                  <w:rPr>
                    <w:spacing w:val="9"/>
                    <w:sz w:val="14"/>
                  </w:rPr>
                  <w:t xml:space="preserve"> </w:t>
                </w:r>
                <w:r>
                  <w:rPr>
                    <w:w w:val="95"/>
                    <w:sz w:val="14"/>
                  </w:rPr>
                  <w:t>State</w:t>
                </w:r>
                <w:r>
                  <w:rPr>
                    <w:spacing w:val="9"/>
                    <w:sz w:val="14"/>
                  </w:rPr>
                  <w:t xml:space="preserve"> </w:t>
                </w:r>
                <w:r>
                  <w:rPr>
                    <w:w w:val="95"/>
                    <w:sz w:val="14"/>
                  </w:rPr>
                  <w:t>Infrastructure</w:t>
                </w:r>
                <w:r>
                  <w:rPr>
                    <w:spacing w:val="9"/>
                    <w:sz w:val="14"/>
                  </w:rPr>
                  <w:t xml:space="preserve"> </w:t>
                </w:r>
                <w:r>
                  <w:rPr>
                    <w:spacing w:val="-2"/>
                    <w:w w:val="95"/>
                    <w:sz w:val="14"/>
                  </w:rPr>
                  <w:t>Strategy</w:t>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shapetype id="_x0000_t202" coordsize="21600,21600" o:spt="202" path="m,l,21600r21600,l21600,xe">
          <v:stroke joinstyle="miter"/>
          <v:path gradientshapeok="t" o:connecttype="rect"/>
        </v:shapetype>
        <v:shape id="docshape1664" o:spid="_x0000_s2151" type="#_x0000_t202" style="position:absolute;margin-left:556.15pt;margin-top:558.45pt;width:240.1pt;height:11.55pt;z-index:-28251648;mso-position-horizontal-relative:page;mso-position-vertical-relative:page" filled="f" stroked="f">
          <v:textbox inset="0,0,0,0">
            <w:txbxContent>
              <w:p w:rsidR="00F22F94" w:rsidRDefault="00F22F94">
                <w:pPr>
                  <w:spacing w:before="26"/>
                  <w:ind w:left="20"/>
                  <w:rPr>
                    <w:b/>
                    <w:sz w:val="16"/>
                  </w:rPr>
                </w:pPr>
                <w:r>
                  <w:rPr>
                    <w:w w:val="95"/>
                    <w:sz w:val="16"/>
                  </w:rPr>
                  <w:t>The</w:t>
                </w:r>
                <w:r>
                  <w:rPr>
                    <w:spacing w:val="4"/>
                    <w:sz w:val="16"/>
                  </w:rPr>
                  <w:t xml:space="preserve"> </w:t>
                </w:r>
                <w:r>
                  <w:rPr>
                    <w:w w:val="95"/>
                    <w:sz w:val="16"/>
                  </w:rPr>
                  <w:t>solution</w:t>
                </w:r>
                <w:r>
                  <w:rPr>
                    <w:spacing w:val="5"/>
                    <w:sz w:val="16"/>
                  </w:rPr>
                  <w:t xml:space="preserve"> </w:t>
                </w:r>
                <w:r>
                  <w:rPr>
                    <w:b/>
                    <w:w w:val="95"/>
                    <w:sz w:val="16"/>
                  </w:rPr>
                  <w:t>Section</w:t>
                </w:r>
                <w:r>
                  <w:rPr>
                    <w:b/>
                    <w:spacing w:val="4"/>
                    <w:sz w:val="16"/>
                  </w:rPr>
                  <w:t xml:space="preserve"> </w:t>
                </w:r>
                <w:r>
                  <w:rPr>
                    <w:b/>
                    <w:w w:val="95"/>
                    <w:sz w:val="16"/>
                  </w:rPr>
                  <w:t>10</w:t>
                </w:r>
                <w:r>
                  <w:rPr>
                    <w:b/>
                    <w:spacing w:val="5"/>
                    <w:sz w:val="16"/>
                  </w:rPr>
                  <w:t xml:space="preserve"> </w:t>
                </w:r>
                <w:r>
                  <w:rPr>
                    <w:w w:val="95"/>
                    <w:sz w:val="16"/>
                  </w:rPr>
                  <w:t>Regional</w:t>
                </w:r>
                <w:r>
                  <w:rPr>
                    <w:spacing w:val="5"/>
                    <w:sz w:val="16"/>
                  </w:rPr>
                  <w:t xml:space="preserve"> </w:t>
                </w:r>
                <w:r>
                  <w:rPr>
                    <w:w w:val="95"/>
                    <w:sz w:val="16"/>
                  </w:rPr>
                  <w:t>and</w:t>
                </w:r>
                <w:r>
                  <w:rPr>
                    <w:spacing w:val="4"/>
                    <w:sz w:val="16"/>
                  </w:rPr>
                  <w:t xml:space="preserve"> </w:t>
                </w:r>
                <w:r>
                  <w:rPr>
                    <w:w w:val="95"/>
                    <w:sz w:val="16"/>
                  </w:rPr>
                  <w:t>interstate</w:t>
                </w:r>
                <w:r>
                  <w:rPr>
                    <w:spacing w:val="5"/>
                    <w:sz w:val="16"/>
                  </w:rPr>
                  <w:t xml:space="preserve"> </w:t>
                </w:r>
                <w:r>
                  <w:rPr>
                    <w:w w:val="95"/>
                    <w:sz w:val="16"/>
                  </w:rPr>
                  <w:t>transport</w:t>
                </w:r>
                <w:r>
                  <w:rPr>
                    <w:spacing w:val="5"/>
                    <w:sz w:val="16"/>
                  </w:rPr>
                  <w:t xml:space="preserve"> </w:t>
                </w:r>
                <w:r>
                  <w:rPr>
                    <w:b/>
                    <w:w w:val="95"/>
                    <w:sz w:val="16"/>
                  </w:rPr>
                  <w:t>Page</w:t>
                </w:r>
                <w:r>
                  <w:rPr>
                    <w:b/>
                    <w:spacing w:val="4"/>
                    <w:sz w:val="16"/>
                  </w:rPr>
                  <w:t xml:space="preserve"> </w:t>
                </w:r>
                <w:r>
                  <w:rPr>
                    <w:b/>
                    <w:spacing w:val="-5"/>
                    <w:w w:val="95"/>
                    <w:sz w:val="16"/>
                  </w:rPr>
                  <w:fldChar w:fldCharType="begin"/>
                </w:r>
                <w:r>
                  <w:rPr>
                    <w:b/>
                    <w:spacing w:val="-5"/>
                    <w:w w:val="95"/>
                    <w:sz w:val="16"/>
                  </w:rPr>
                  <w:instrText xml:space="preserve"> PAGE </w:instrText>
                </w:r>
                <w:r>
                  <w:rPr>
                    <w:b/>
                    <w:spacing w:val="-5"/>
                    <w:w w:val="95"/>
                    <w:sz w:val="16"/>
                  </w:rPr>
                  <w:fldChar w:fldCharType="separate"/>
                </w:r>
                <w:r w:rsidR="00560142">
                  <w:rPr>
                    <w:b/>
                    <w:noProof/>
                    <w:spacing w:val="-5"/>
                    <w:w w:val="95"/>
                    <w:sz w:val="16"/>
                  </w:rPr>
                  <w:t>147</w:t>
                </w:r>
                <w:r>
                  <w:rPr>
                    <w:b/>
                    <w:spacing w:val="-5"/>
                    <w:w w:val="95"/>
                    <w:sz w:val="16"/>
                  </w:rPr>
                  <w:fldChar w:fldCharType="end"/>
                </w:r>
              </w:p>
            </w:txbxContent>
          </v:textbox>
          <w10:wrap anchorx="page" anchory="page"/>
        </v:shape>
      </w:pict>
    </w:r>
    <w:r>
      <w:pict>
        <v:shape id="docshape1665" o:spid="_x0000_s2150" type="#_x0000_t202" style="position:absolute;margin-left:48.6pt;margin-top:559.45pt;width:155.9pt;height:10.3pt;z-index:-28251136;mso-position-horizontal-relative:page;mso-position-vertical-relative:page" filled="f" stroked="f">
          <v:textbox inset="0,0,0,0">
            <w:txbxContent>
              <w:p w:rsidR="00F22F94" w:rsidRDefault="00F22F94">
                <w:pPr>
                  <w:spacing w:before="24"/>
                  <w:ind w:left="20"/>
                  <w:rPr>
                    <w:sz w:val="14"/>
                  </w:rPr>
                </w:pPr>
                <w:r>
                  <w:rPr>
                    <w:w w:val="95"/>
                    <w:sz w:val="14"/>
                  </w:rPr>
                  <w:t>Infrastructure</w:t>
                </w:r>
                <w:r>
                  <w:rPr>
                    <w:spacing w:val="8"/>
                    <w:sz w:val="14"/>
                  </w:rPr>
                  <w:t xml:space="preserve"> </w:t>
                </w:r>
                <w:r>
                  <w:rPr>
                    <w:w w:val="95"/>
                    <w:sz w:val="14"/>
                  </w:rPr>
                  <w:t>NSW</w:t>
                </w:r>
                <w:r>
                  <w:rPr>
                    <w:spacing w:val="55"/>
                    <w:sz w:val="14"/>
                  </w:rPr>
                  <w:t xml:space="preserve"> </w:t>
                </w:r>
                <w:r>
                  <w:rPr>
                    <w:w w:val="95"/>
                    <w:sz w:val="14"/>
                  </w:rPr>
                  <w:t>|</w:t>
                </w:r>
                <w:r>
                  <w:rPr>
                    <w:spacing w:val="9"/>
                    <w:sz w:val="14"/>
                  </w:rPr>
                  <w:t xml:space="preserve"> </w:t>
                </w:r>
                <w:r>
                  <w:rPr>
                    <w:w w:val="95"/>
                    <w:sz w:val="14"/>
                  </w:rPr>
                  <w:t>State</w:t>
                </w:r>
                <w:r>
                  <w:rPr>
                    <w:spacing w:val="9"/>
                    <w:sz w:val="14"/>
                  </w:rPr>
                  <w:t xml:space="preserve"> </w:t>
                </w:r>
                <w:r>
                  <w:rPr>
                    <w:w w:val="95"/>
                    <w:sz w:val="14"/>
                  </w:rPr>
                  <w:t>Infrastructure</w:t>
                </w:r>
                <w:r>
                  <w:rPr>
                    <w:spacing w:val="9"/>
                    <w:sz w:val="14"/>
                  </w:rPr>
                  <w:t xml:space="preserve"> </w:t>
                </w:r>
                <w:r>
                  <w:rPr>
                    <w:spacing w:val="-2"/>
                    <w:w w:val="95"/>
                    <w:sz w:val="14"/>
                  </w:rPr>
                  <w:t>Strategy</w:t>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shapetype id="_x0000_t202" coordsize="21600,21600" o:spt="202" path="m,l,21600r21600,l21600,xe">
          <v:stroke joinstyle="miter"/>
          <v:path gradientshapeok="t" o:connecttype="rect"/>
        </v:shapetype>
        <v:shape id="docshape1945" o:spid="_x0000_s2140" type="#_x0000_t202" style="position:absolute;margin-left:645.15pt;margin-top:558.45pt;width:151.15pt;height:11.55pt;z-index:-28250112;mso-position-horizontal-relative:page;mso-position-vertical-relative:page" filled="f" stroked="f">
          <v:textbox inset="0,0,0,0">
            <w:txbxContent>
              <w:p w:rsidR="00F22F94" w:rsidRDefault="00F22F94">
                <w:pPr>
                  <w:spacing w:before="26"/>
                  <w:ind w:left="20"/>
                  <w:rPr>
                    <w:b/>
                    <w:sz w:val="16"/>
                  </w:rPr>
                </w:pPr>
                <w:r>
                  <w:rPr>
                    <w:w w:val="95"/>
                    <w:sz w:val="16"/>
                  </w:rPr>
                  <w:t>The</w:t>
                </w:r>
                <w:r>
                  <w:rPr>
                    <w:spacing w:val="1"/>
                    <w:sz w:val="16"/>
                  </w:rPr>
                  <w:t xml:space="preserve"> </w:t>
                </w:r>
                <w:r>
                  <w:rPr>
                    <w:w w:val="95"/>
                    <w:sz w:val="16"/>
                  </w:rPr>
                  <w:t>solution</w:t>
                </w:r>
                <w:r>
                  <w:rPr>
                    <w:spacing w:val="2"/>
                    <w:sz w:val="16"/>
                  </w:rPr>
                  <w:t xml:space="preserve"> </w:t>
                </w:r>
                <w:r>
                  <w:rPr>
                    <w:b/>
                    <w:w w:val="95"/>
                    <w:sz w:val="16"/>
                  </w:rPr>
                  <w:t>Section</w:t>
                </w:r>
                <w:r>
                  <w:rPr>
                    <w:b/>
                    <w:spacing w:val="2"/>
                    <w:sz w:val="16"/>
                  </w:rPr>
                  <w:t xml:space="preserve"> </w:t>
                </w:r>
                <w:r>
                  <w:rPr>
                    <w:b/>
                    <w:w w:val="95"/>
                    <w:sz w:val="16"/>
                  </w:rPr>
                  <w:t>11</w:t>
                </w:r>
                <w:r>
                  <w:rPr>
                    <w:b/>
                    <w:spacing w:val="2"/>
                    <w:sz w:val="16"/>
                  </w:rPr>
                  <w:t xml:space="preserve"> </w:t>
                </w:r>
                <w:r>
                  <w:rPr>
                    <w:w w:val="95"/>
                    <w:sz w:val="16"/>
                  </w:rPr>
                  <w:t>Energy</w:t>
                </w:r>
                <w:r>
                  <w:rPr>
                    <w:spacing w:val="4"/>
                    <w:sz w:val="16"/>
                  </w:rPr>
                  <w:t xml:space="preserve"> </w:t>
                </w:r>
                <w:r>
                  <w:rPr>
                    <w:b/>
                    <w:w w:val="95"/>
                    <w:sz w:val="16"/>
                  </w:rPr>
                  <w:t>Page</w:t>
                </w:r>
                <w:r>
                  <w:rPr>
                    <w:b/>
                    <w:spacing w:val="2"/>
                    <w:sz w:val="16"/>
                  </w:rPr>
                  <w:t xml:space="preserve"> </w:t>
                </w:r>
                <w:r>
                  <w:rPr>
                    <w:b/>
                    <w:spacing w:val="-5"/>
                    <w:w w:val="95"/>
                    <w:sz w:val="16"/>
                  </w:rPr>
                  <w:fldChar w:fldCharType="begin"/>
                </w:r>
                <w:r>
                  <w:rPr>
                    <w:b/>
                    <w:spacing w:val="-5"/>
                    <w:w w:val="95"/>
                    <w:sz w:val="16"/>
                  </w:rPr>
                  <w:instrText xml:space="preserve"> PAGE </w:instrText>
                </w:r>
                <w:r>
                  <w:rPr>
                    <w:b/>
                    <w:spacing w:val="-5"/>
                    <w:w w:val="95"/>
                    <w:sz w:val="16"/>
                  </w:rPr>
                  <w:fldChar w:fldCharType="separate"/>
                </w:r>
                <w:r w:rsidR="00560142">
                  <w:rPr>
                    <w:b/>
                    <w:noProof/>
                    <w:spacing w:val="-5"/>
                    <w:w w:val="95"/>
                    <w:sz w:val="16"/>
                  </w:rPr>
                  <w:t>155</w:t>
                </w:r>
                <w:r>
                  <w:rPr>
                    <w:b/>
                    <w:spacing w:val="-5"/>
                    <w:w w:val="95"/>
                    <w:sz w:val="16"/>
                  </w:rPr>
                  <w:fldChar w:fldCharType="end"/>
                </w:r>
              </w:p>
            </w:txbxContent>
          </v:textbox>
          <w10:wrap anchorx="page" anchory="page"/>
        </v:shape>
      </w:pict>
    </w:r>
    <w:r>
      <w:pict>
        <v:shape id="docshape1946" o:spid="_x0000_s2139" type="#_x0000_t202" style="position:absolute;margin-left:48.6pt;margin-top:559.45pt;width:155.9pt;height:10.3pt;z-index:-28249600;mso-position-horizontal-relative:page;mso-position-vertical-relative:page" filled="f" stroked="f">
          <v:textbox inset="0,0,0,0">
            <w:txbxContent>
              <w:p w:rsidR="00F22F94" w:rsidRDefault="00F22F94">
                <w:pPr>
                  <w:spacing w:before="24"/>
                  <w:ind w:left="20"/>
                  <w:rPr>
                    <w:sz w:val="14"/>
                  </w:rPr>
                </w:pPr>
                <w:r>
                  <w:rPr>
                    <w:w w:val="95"/>
                    <w:sz w:val="14"/>
                  </w:rPr>
                  <w:t>Infrastructure</w:t>
                </w:r>
                <w:r>
                  <w:rPr>
                    <w:spacing w:val="8"/>
                    <w:sz w:val="14"/>
                  </w:rPr>
                  <w:t xml:space="preserve"> </w:t>
                </w:r>
                <w:r>
                  <w:rPr>
                    <w:w w:val="95"/>
                    <w:sz w:val="14"/>
                  </w:rPr>
                  <w:t>NSW</w:t>
                </w:r>
                <w:r>
                  <w:rPr>
                    <w:spacing w:val="55"/>
                    <w:sz w:val="14"/>
                  </w:rPr>
                  <w:t xml:space="preserve"> </w:t>
                </w:r>
                <w:r>
                  <w:rPr>
                    <w:w w:val="95"/>
                    <w:sz w:val="14"/>
                  </w:rPr>
                  <w:t>|</w:t>
                </w:r>
                <w:r>
                  <w:rPr>
                    <w:spacing w:val="9"/>
                    <w:sz w:val="14"/>
                  </w:rPr>
                  <w:t xml:space="preserve"> </w:t>
                </w:r>
                <w:r>
                  <w:rPr>
                    <w:w w:val="95"/>
                    <w:sz w:val="14"/>
                  </w:rPr>
                  <w:t>State</w:t>
                </w:r>
                <w:r>
                  <w:rPr>
                    <w:spacing w:val="9"/>
                    <w:sz w:val="14"/>
                  </w:rPr>
                  <w:t xml:space="preserve"> </w:t>
                </w:r>
                <w:r>
                  <w:rPr>
                    <w:w w:val="95"/>
                    <w:sz w:val="14"/>
                  </w:rPr>
                  <w:t>Infrastructure</w:t>
                </w:r>
                <w:r>
                  <w:rPr>
                    <w:spacing w:val="9"/>
                    <w:sz w:val="14"/>
                  </w:rPr>
                  <w:t xml:space="preserve"> </w:t>
                </w:r>
                <w:r>
                  <w:rPr>
                    <w:spacing w:val="-2"/>
                    <w:w w:val="95"/>
                    <w:sz w:val="14"/>
                  </w:rPr>
                  <w:t>Strategy</w:t>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shapetype id="_x0000_t202" coordsize="21600,21600" o:spt="202" path="m,l,21600r21600,l21600,xe">
          <v:stroke joinstyle="miter"/>
          <v:path gradientshapeok="t" o:connecttype="rect"/>
        </v:shapetype>
        <v:shape id="docshape2204" o:spid="_x0000_s2129" type="#_x0000_t202" style="position:absolute;margin-left:601pt;margin-top:558.45pt;width:195.25pt;height:11.55pt;z-index:-28248576;mso-position-horizontal-relative:page;mso-position-vertical-relative:page" filled="f" stroked="f">
          <v:textbox inset="0,0,0,0">
            <w:txbxContent>
              <w:p w:rsidR="00F22F94" w:rsidRDefault="00F22F94">
                <w:pPr>
                  <w:spacing w:before="26"/>
                  <w:ind w:left="20"/>
                  <w:rPr>
                    <w:b/>
                    <w:sz w:val="16"/>
                  </w:rPr>
                </w:pPr>
                <w:r>
                  <w:rPr>
                    <w:w w:val="95"/>
                    <w:sz w:val="16"/>
                  </w:rPr>
                  <w:t>The</w:t>
                </w:r>
                <w:r>
                  <w:rPr>
                    <w:spacing w:val="4"/>
                    <w:sz w:val="16"/>
                  </w:rPr>
                  <w:t xml:space="preserve"> </w:t>
                </w:r>
                <w:r>
                  <w:rPr>
                    <w:w w:val="95"/>
                    <w:sz w:val="16"/>
                  </w:rPr>
                  <w:t>solution</w:t>
                </w:r>
                <w:r>
                  <w:rPr>
                    <w:spacing w:val="4"/>
                    <w:sz w:val="16"/>
                  </w:rPr>
                  <w:t xml:space="preserve"> </w:t>
                </w:r>
                <w:r>
                  <w:rPr>
                    <w:b/>
                    <w:w w:val="95"/>
                    <w:sz w:val="16"/>
                  </w:rPr>
                  <w:t>Section</w:t>
                </w:r>
                <w:r>
                  <w:rPr>
                    <w:b/>
                    <w:spacing w:val="4"/>
                    <w:sz w:val="16"/>
                  </w:rPr>
                  <w:t xml:space="preserve"> </w:t>
                </w:r>
                <w:r>
                  <w:rPr>
                    <w:b/>
                    <w:w w:val="95"/>
                    <w:sz w:val="16"/>
                  </w:rPr>
                  <w:t>12</w:t>
                </w:r>
                <w:r>
                  <w:rPr>
                    <w:b/>
                    <w:spacing w:val="4"/>
                    <w:sz w:val="16"/>
                  </w:rPr>
                  <w:t xml:space="preserve"> </w:t>
                </w:r>
                <w:r>
                  <w:rPr>
                    <w:w w:val="95"/>
                    <w:sz w:val="16"/>
                  </w:rPr>
                  <w:t>Water</w:t>
                </w:r>
                <w:r>
                  <w:rPr>
                    <w:spacing w:val="5"/>
                    <w:sz w:val="16"/>
                  </w:rPr>
                  <w:t xml:space="preserve"> </w:t>
                </w:r>
                <w:r>
                  <w:rPr>
                    <w:w w:val="95"/>
                    <w:sz w:val="16"/>
                  </w:rPr>
                  <w:t>infrastructure</w:t>
                </w:r>
                <w:r>
                  <w:rPr>
                    <w:spacing w:val="4"/>
                    <w:sz w:val="16"/>
                  </w:rPr>
                  <w:t xml:space="preserve"> </w:t>
                </w:r>
                <w:r>
                  <w:rPr>
                    <w:b/>
                    <w:w w:val="95"/>
                    <w:sz w:val="16"/>
                  </w:rPr>
                  <w:t>Page</w:t>
                </w:r>
                <w:r>
                  <w:rPr>
                    <w:b/>
                    <w:spacing w:val="4"/>
                    <w:sz w:val="16"/>
                  </w:rPr>
                  <w:t xml:space="preserve"> </w:t>
                </w:r>
                <w:r>
                  <w:rPr>
                    <w:b/>
                    <w:spacing w:val="-5"/>
                    <w:w w:val="95"/>
                    <w:sz w:val="16"/>
                  </w:rPr>
                  <w:fldChar w:fldCharType="begin"/>
                </w:r>
                <w:r>
                  <w:rPr>
                    <w:b/>
                    <w:spacing w:val="-5"/>
                    <w:w w:val="95"/>
                    <w:sz w:val="16"/>
                  </w:rPr>
                  <w:instrText xml:space="preserve"> PAGE </w:instrText>
                </w:r>
                <w:r>
                  <w:rPr>
                    <w:b/>
                    <w:spacing w:val="-5"/>
                    <w:w w:val="95"/>
                    <w:sz w:val="16"/>
                  </w:rPr>
                  <w:fldChar w:fldCharType="separate"/>
                </w:r>
                <w:r w:rsidR="00560142">
                  <w:rPr>
                    <w:b/>
                    <w:noProof/>
                    <w:spacing w:val="-5"/>
                    <w:w w:val="95"/>
                    <w:sz w:val="16"/>
                  </w:rPr>
                  <w:t>160</w:t>
                </w:r>
                <w:r>
                  <w:rPr>
                    <w:b/>
                    <w:spacing w:val="-5"/>
                    <w:w w:val="95"/>
                    <w:sz w:val="16"/>
                  </w:rPr>
                  <w:fldChar w:fldCharType="end"/>
                </w:r>
              </w:p>
            </w:txbxContent>
          </v:textbox>
          <w10:wrap anchorx="page" anchory="page"/>
        </v:shape>
      </w:pict>
    </w:r>
    <w:r>
      <w:pict>
        <v:shape id="docshape2205" o:spid="_x0000_s2128" type="#_x0000_t202" style="position:absolute;margin-left:48.6pt;margin-top:559.45pt;width:155.9pt;height:10.3pt;z-index:-28248064;mso-position-horizontal-relative:page;mso-position-vertical-relative:page" filled="f" stroked="f">
          <v:textbox inset="0,0,0,0">
            <w:txbxContent>
              <w:p w:rsidR="00F22F94" w:rsidRDefault="00F22F94">
                <w:pPr>
                  <w:spacing w:before="24"/>
                  <w:ind w:left="20"/>
                  <w:rPr>
                    <w:sz w:val="14"/>
                  </w:rPr>
                </w:pPr>
                <w:r>
                  <w:rPr>
                    <w:w w:val="95"/>
                    <w:sz w:val="14"/>
                  </w:rPr>
                  <w:t>Infrastructure</w:t>
                </w:r>
                <w:r>
                  <w:rPr>
                    <w:spacing w:val="8"/>
                    <w:sz w:val="14"/>
                  </w:rPr>
                  <w:t xml:space="preserve"> </w:t>
                </w:r>
                <w:r>
                  <w:rPr>
                    <w:w w:val="95"/>
                    <w:sz w:val="14"/>
                  </w:rPr>
                  <w:t>NSW</w:t>
                </w:r>
                <w:r>
                  <w:rPr>
                    <w:spacing w:val="55"/>
                    <w:sz w:val="14"/>
                  </w:rPr>
                  <w:t xml:space="preserve"> </w:t>
                </w:r>
                <w:r>
                  <w:rPr>
                    <w:w w:val="95"/>
                    <w:sz w:val="14"/>
                  </w:rPr>
                  <w:t>|</w:t>
                </w:r>
                <w:r>
                  <w:rPr>
                    <w:spacing w:val="9"/>
                    <w:sz w:val="14"/>
                  </w:rPr>
                  <w:t xml:space="preserve"> </w:t>
                </w:r>
                <w:r>
                  <w:rPr>
                    <w:w w:val="95"/>
                    <w:sz w:val="14"/>
                  </w:rPr>
                  <w:t>State</w:t>
                </w:r>
                <w:r>
                  <w:rPr>
                    <w:spacing w:val="9"/>
                    <w:sz w:val="14"/>
                  </w:rPr>
                  <w:t xml:space="preserve"> </w:t>
                </w:r>
                <w:r>
                  <w:rPr>
                    <w:w w:val="95"/>
                    <w:sz w:val="14"/>
                  </w:rPr>
                  <w:t>Infrastructure</w:t>
                </w:r>
                <w:r>
                  <w:rPr>
                    <w:spacing w:val="9"/>
                    <w:sz w:val="14"/>
                  </w:rPr>
                  <w:t xml:space="preserve"> </w:t>
                </w:r>
                <w:r>
                  <w:rPr>
                    <w:spacing w:val="-2"/>
                    <w:w w:val="95"/>
                    <w:sz w:val="14"/>
                  </w:rPr>
                  <w:t>Strategy</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F22F94">
    <w:pPr>
      <w:pStyle w:val="BodyText"/>
      <w:spacing w:line="14" w:lineRule="auto"/>
      <w:rPr>
        <w:sz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shapetype id="_x0000_t202" coordsize="21600,21600" o:spt="202" path="m,l,21600r21600,l21600,xe">
          <v:stroke joinstyle="miter"/>
          <v:path gradientshapeok="t" o:connecttype="rect"/>
        </v:shapetype>
        <v:shape id="docshape2228" o:spid="_x0000_s2118" type="#_x0000_t202" style="position:absolute;margin-left:601.25pt;margin-top:558.45pt;width:195pt;height:11.55pt;z-index:-28247040;mso-position-horizontal-relative:page;mso-position-vertical-relative:page" filled="f" stroked="f">
          <v:textbox inset="0,0,0,0">
            <w:txbxContent>
              <w:p w:rsidR="00F22F94" w:rsidRDefault="00F22F94">
                <w:pPr>
                  <w:spacing w:before="26"/>
                  <w:ind w:left="20"/>
                  <w:rPr>
                    <w:b/>
                    <w:sz w:val="16"/>
                  </w:rPr>
                </w:pPr>
                <w:r>
                  <w:rPr>
                    <w:w w:val="95"/>
                    <w:sz w:val="16"/>
                  </w:rPr>
                  <w:t>The</w:t>
                </w:r>
                <w:r>
                  <w:rPr>
                    <w:spacing w:val="4"/>
                    <w:sz w:val="16"/>
                  </w:rPr>
                  <w:t xml:space="preserve"> </w:t>
                </w:r>
                <w:r>
                  <w:rPr>
                    <w:w w:val="95"/>
                    <w:sz w:val="16"/>
                  </w:rPr>
                  <w:t>solution</w:t>
                </w:r>
                <w:r>
                  <w:rPr>
                    <w:spacing w:val="4"/>
                    <w:sz w:val="16"/>
                  </w:rPr>
                  <w:t xml:space="preserve"> </w:t>
                </w:r>
                <w:r>
                  <w:rPr>
                    <w:b/>
                    <w:w w:val="95"/>
                    <w:sz w:val="16"/>
                  </w:rPr>
                  <w:t>Section</w:t>
                </w:r>
                <w:r>
                  <w:rPr>
                    <w:b/>
                    <w:spacing w:val="4"/>
                    <w:sz w:val="16"/>
                  </w:rPr>
                  <w:t xml:space="preserve"> </w:t>
                </w:r>
                <w:r>
                  <w:rPr>
                    <w:b/>
                    <w:w w:val="95"/>
                    <w:sz w:val="16"/>
                  </w:rPr>
                  <w:t>12</w:t>
                </w:r>
                <w:r>
                  <w:rPr>
                    <w:b/>
                    <w:spacing w:val="4"/>
                    <w:sz w:val="16"/>
                  </w:rPr>
                  <w:t xml:space="preserve"> </w:t>
                </w:r>
                <w:r>
                  <w:rPr>
                    <w:w w:val="95"/>
                    <w:sz w:val="16"/>
                  </w:rPr>
                  <w:t>Water</w:t>
                </w:r>
                <w:r>
                  <w:rPr>
                    <w:spacing w:val="5"/>
                    <w:sz w:val="16"/>
                  </w:rPr>
                  <w:t xml:space="preserve"> </w:t>
                </w:r>
                <w:r>
                  <w:rPr>
                    <w:w w:val="95"/>
                    <w:sz w:val="16"/>
                  </w:rPr>
                  <w:t>infrastructure</w:t>
                </w:r>
                <w:r>
                  <w:rPr>
                    <w:spacing w:val="4"/>
                    <w:sz w:val="16"/>
                  </w:rPr>
                  <w:t xml:space="preserve"> </w:t>
                </w:r>
                <w:r>
                  <w:rPr>
                    <w:b/>
                    <w:w w:val="95"/>
                    <w:sz w:val="16"/>
                  </w:rPr>
                  <w:t>Page</w:t>
                </w:r>
                <w:r>
                  <w:rPr>
                    <w:b/>
                    <w:spacing w:val="4"/>
                    <w:sz w:val="16"/>
                  </w:rPr>
                  <w:t xml:space="preserve"> </w:t>
                </w:r>
                <w:r>
                  <w:rPr>
                    <w:b/>
                    <w:spacing w:val="-5"/>
                    <w:w w:val="95"/>
                    <w:sz w:val="16"/>
                  </w:rPr>
                  <w:fldChar w:fldCharType="begin"/>
                </w:r>
                <w:r>
                  <w:rPr>
                    <w:b/>
                    <w:spacing w:val="-5"/>
                    <w:w w:val="95"/>
                    <w:sz w:val="16"/>
                  </w:rPr>
                  <w:instrText xml:space="preserve"> PAGE </w:instrText>
                </w:r>
                <w:r>
                  <w:rPr>
                    <w:b/>
                    <w:spacing w:val="-5"/>
                    <w:w w:val="95"/>
                    <w:sz w:val="16"/>
                  </w:rPr>
                  <w:fldChar w:fldCharType="separate"/>
                </w:r>
                <w:r w:rsidR="00560142">
                  <w:rPr>
                    <w:b/>
                    <w:noProof/>
                    <w:spacing w:val="-5"/>
                    <w:w w:val="95"/>
                    <w:sz w:val="16"/>
                  </w:rPr>
                  <w:t>163</w:t>
                </w:r>
                <w:r>
                  <w:rPr>
                    <w:b/>
                    <w:spacing w:val="-5"/>
                    <w:w w:val="95"/>
                    <w:sz w:val="16"/>
                  </w:rPr>
                  <w:fldChar w:fldCharType="end"/>
                </w:r>
              </w:p>
            </w:txbxContent>
          </v:textbox>
          <w10:wrap anchorx="page" anchory="page"/>
        </v:shape>
      </w:pict>
    </w:r>
    <w:r>
      <w:pict>
        <v:shape id="docshape2229" o:spid="_x0000_s2117" type="#_x0000_t202" style="position:absolute;margin-left:48.6pt;margin-top:559.45pt;width:155.9pt;height:10.3pt;z-index:-28246528;mso-position-horizontal-relative:page;mso-position-vertical-relative:page" filled="f" stroked="f">
          <v:textbox inset="0,0,0,0">
            <w:txbxContent>
              <w:p w:rsidR="00F22F94" w:rsidRDefault="00F22F94">
                <w:pPr>
                  <w:spacing w:before="24"/>
                  <w:ind w:left="20"/>
                  <w:rPr>
                    <w:sz w:val="14"/>
                  </w:rPr>
                </w:pPr>
                <w:r>
                  <w:rPr>
                    <w:w w:val="95"/>
                    <w:sz w:val="14"/>
                  </w:rPr>
                  <w:t>Infrastructure</w:t>
                </w:r>
                <w:r>
                  <w:rPr>
                    <w:spacing w:val="8"/>
                    <w:sz w:val="14"/>
                  </w:rPr>
                  <w:t xml:space="preserve"> </w:t>
                </w:r>
                <w:r>
                  <w:rPr>
                    <w:w w:val="95"/>
                    <w:sz w:val="14"/>
                  </w:rPr>
                  <w:t>NSW</w:t>
                </w:r>
                <w:r>
                  <w:rPr>
                    <w:spacing w:val="55"/>
                    <w:sz w:val="14"/>
                  </w:rPr>
                  <w:t xml:space="preserve"> </w:t>
                </w:r>
                <w:r>
                  <w:rPr>
                    <w:w w:val="95"/>
                    <w:sz w:val="14"/>
                  </w:rPr>
                  <w:t>|</w:t>
                </w:r>
                <w:r>
                  <w:rPr>
                    <w:spacing w:val="9"/>
                    <w:sz w:val="14"/>
                  </w:rPr>
                  <w:t xml:space="preserve"> </w:t>
                </w:r>
                <w:r>
                  <w:rPr>
                    <w:w w:val="95"/>
                    <w:sz w:val="14"/>
                  </w:rPr>
                  <w:t>State</w:t>
                </w:r>
                <w:r>
                  <w:rPr>
                    <w:spacing w:val="9"/>
                    <w:sz w:val="14"/>
                  </w:rPr>
                  <w:t xml:space="preserve"> </w:t>
                </w:r>
                <w:r>
                  <w:rPr>
                    <w:w w:val="95"/>
                    <w:sz w:val="14"/>
                  </w:rPr>
                  <w:t>Infrastructure</w:t>
                </w:r>
                <w:r>
                  <w:rPr>
                    <w:spacing w:val="9"/>
                    <w:sz w:val="14"/>
                  </w:rPr>
                  <w:t xml:space="preserve"> </w:t>
                </w:r>
                <w:r>
                  <w:rPr>
                    <w:spacing w:val="-2"/>
                    <w:w w:val="95"/>
                    <w:sz w:val="14"/>
                  </w:rPr>
                  <w:t>Strategy</w:t>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shapetype id="_x0000_t202" coordsize="21600,21600" o:spt="202" path="m,l,21600r21600,l21600,xe">
          <v:stroke joinstyle="miter"/>
          <v:path gradientshapeok="t" o:connecttype="rect"/>
        </v:shapetype>
        <v:shape id="docshape2279" o:spid="_x0000_s2107" type="#_x0000_t202" style="position:absolute;margin-left:598.85pt;margin-top:558.45pt;width:197.45pt;height:11.55pt;z-index:-28245504;mso-position-horizontal-relative:page;mso-position-vertical-relative:page" filled="f" stroked="f">
          <v:textbox inset="0,0,0,0">
            <w:txbxContent>
              <w:p w:rsidR="00F22F94" w:rsidRDefault="00F22F94">
                <w:pPr>
                  <w:spacing w:before="26"/>
                  <w:ind w:left="20"/>
                  <w:rPr>
                    <w:b/>
                    <w:sz w:val="16"/>
                  </w:rPr>
                </w:pPr>
                <w:r>
                  <w:rPr>
                    <w:w w:val="95"/>
                    <w:sz w:val="16"/>
                  </w:rPr>
                  <w:t>The</w:t>
                </w:r>
                <w:r>
                  <w:rPr>
                    <w:spacing w:val="5"/>
                    <w:sz w:val="16"/>
                  </w:rPr>
                  <w:t xml:space="preserve"> </w:t>
                </w:r>
                <w:r>
                  <w:rPr>
                    <w:w w:val="95"/>
                    <w:sz w:val="16"/>
                  </w:rPr>
                  <w:t>solution</w:t>
                </w:r>
                <w:r>
                  <w:rPr>
                    <w:spacing w:val="5"/>
                    <w:sz w:val="16"/>
                  </w:rPr>
                  <w:t xml:space="preserve"> </w:t>
                </w:r>
                <w:r>
                  <w:rPr>
                    <w:b/>
                    <w:w w:val="95"/>
                    <w:sz w:val="16"/>
                  </w:rPr>
                  <w:t>Section</w:t>
                </w:r>
                <w:r>
                  <w:rPr>
                    <w:b/>
                    <w:spacing w:val="6"/>
                    <w:sz w:val="16"/>
                  </w:rPr>
                  <w:t xml:space="preserve"> </w:t>
                </w:r>
                <w:r>
                  <w:rPr>
                    <w:b/>
                    <w:w w:val="95"/>
                    <w:sz w:val="16"/>
                  </w:rPr>
                  <w:t>13</w:t>
                </w:r>
                <w:r>
                  <w:rPr>
                    <w:b/>
                    <w:spacing w:val="5"/>
                    <w:sz w:val="16"/>
                  </w:rPr>
                  <w:t xml:space="preserve"> </w:t>
                </w:r>
                <w:r>
                  <w:rPr>
                    <w:w w:val="95"/>
                    <w:sz w:val="16"/>
                  </w:rPr>
                  <w:t>Health</w:t>
                </w:r>
                <w:r>
                  <w:rPr>
                    <w:spacing w:val="6"/>
                    <w:sz w:val="16"/>
                  </w:rPr>
                  <w:t xml:space="preserve"> </w:t>
                </w:r>
                <w:r>
                  <w:rPr>
                    <w:w w:val="95"/>
                    <w:sz w:val="16"/>
                  </w:rPr>
                  <w:t>infrastructure</w:t>
                </w:r>
                <w:r>
                  <w:rPr>
                    <w:spacing w:val="5"/>
                    <w:sz w:val="16"/>
                  </w:rPr>
                  <w:t xml:space="preserve"> </w:t>
                </w:r>
                <w:r>
                  <w:rPr>
                    <w:b/>
                    <w:w w:val="95"/>
                    <w:sz w:val="16"/>
                  </w:rPr>
                  <w:t>Page</w:t>
                </w:r>
                <w:r>
                  <w:rPr>
                    <w:b/>
                    <w:spacing w:val="5"/>
                    <w:sz w:val="16"/>
                  </w:rPr>
                  <w:t xml:space="preserve"> </w:t>
                </w:r>
                <w:r>
                  <w:rPr>
                    <w:b/>
                    <w:spacing w:val="-5"/>
                    <w:w w:val="95"/>
                    <w:sz w:val="16"/>
                  </w:rPr>
                  <w:fldChar w:fldCharType="begin"/>
                </w:r>
                <w:r>
                  <w:rPr>
                    <w:b/>
                    <w:spacing w:val="-5"/>
                    <w:w w:val="95"/>
                    <w:sz w:val="16"/>
                  </w:rPr>
                  <w:instrText xml:space="preserve"> PAGE </w:instrText>
                </w:r>
                <w:r>
                  <w:rPr>
                    <w:b/>
                    <w:spacing w:val="-5"/>
                    <w:w w:val="95"/>
                    <w:sz w:val="16"/>
                  </w:rPr>
                  <w:fldChar w:fldCharType="separate"/>
                </w:r>
                <w:r w:rsidR="00560142">
                  <w:rPr>
                    <w:b/>
                    <w:noProof/>
                    <w:spacing w:val="-5"/>
                    <w:w w:val="95"/>
                    <w:sz w:val="16"/>
                  </w:rPr>
                  <w:t>168</w:t>
                </w:r>
                <w:r>
                  <w:rPr>
                    <w:b/>
                    <w:spacing w:val="-5"/>
                    <w:w w:val="95"/>
                    <w:sz w:val="16"/>
                  </w:rPr>
                  <w:fldChar w:fldCharType="end"/>
                </w:r>
              </w:p>
            </w:txbxContent>
          </v:textbox>
          <w10:wrap anchorx="page" anchory="page"/>
        </v:shape>
      </w:pict>
    </w:r>
    <w:r>
      <w:pict>
        <v:shape id="docshape2280" o:spid="_x0000_s2106" type="#_x0000_t202" style="position:absolute;margin-left:48.6pt;margin-top:559.45pt;width:155.9pt;height:10.3pt;z-index:-28244992;mso-position-horizontal-relative:page;mso-position-vertical-relative:page" filled="f" stroked="f">
          <v:textbox inset="0,0,0,0">
            <w:txbxContent>
              <w:p w:rsidR="00F22F94" w:rsidRDefault="00F22F94">
                <w:pPr>
                  <w:spacing w:before="24"/>
                  <w:ind w:left="20"/>
                  <w:rPr>
                    <w:sz w:val="14"/>
                  </w:rPr>
                </w:pPr>
                <w:r>
                  <w:rPr>
                    <w:w w:val="95"/>
                    <w:sz w:val="14"/>
                  </w:rPr>
                  <w:t>Infrastructure</w:t>
                </w:r>
                <w:r>
                  <w:rPr>
                    <w:spacing w:val="8"/>
                    <w:sz w:val="14"/>
                  </w:rPr>
                  <w:t xml:space="preserve"> </w:t>
                </w:r>
                <w:r>
                  <w:rPr>
                    <w:w w:val="95"/>
                    <w:sz w:val="14"/>
                  </w:rPr>
                  <w:t>NSW</w:t>
                </w:r>
                <w:r>
                  <w:rPr>
                    <w:spacing w:val="55"/>
                    <w:sz w:val="14"/>
                  </w:rPr>
                  <w:t xml:space="preserve"> </w:t>
                </w:r>
                <w:r>
                  <w:rPr>
                    <w:w w:val="95"/>
                    <w:sz w:val="14"/>
                  </w:rPr>
                  <w:t>|</w:t>
                </w:r>
                <w:r>
                  <w:rPr>
                    <w:spacing w:val="9"/>
                    <w:sz w:val="14"/>
                  </w:rPr>
                  <w:t xml:space="preserve"> </w:t>
                </w:r>
                <w:r>
                  <w:rPr>
                    <w:w w:val="95"/>
                    <w:sz w:val="14"/>
                  </w:rPr>
                  <w:t>State</w:t>
                </w:r>
                <w:r>
                  <w:rPr>
                    <w:spacing w:val="9"/>
                    <w:sz w:val="14"/>
                  </w:rPr>
                  <w:t xml:space="preserve"> </w:t>
                </w:r>
                <w:r>
                  <w:rPr>
                    <w:w w:val="95"/>
                    <w:sz w:val="14"/>
                  </w:rPr>
                  <w:t>Infrastructure</w:t>
                </w:r>
                <w:r>
                  <w:rPr>
                    <w:spacing w:val="9"/>
                    <w:sz w:val="14"/>
                  </w:rPr>
                  <w:t xml:space="preserve"> </w:t>
                </w:r>
                <w:r>
                  <w:rPr>
                    <w:spacing w:val="-2"/>
                    <w:w w:val="95"/>
                    <w:sz w:val="14"/>
                  </w:rPr>
                  <w:t>Strategy</w:t>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shapetype id="_x0000_t202" coordsize="21600,21600" o:spt="202" path="m,l,21600r21600,l21600,xe">
          <v:stroke joinstyle="miter"/>
          <v:path gradientshapeok="t" o:connecttype="rect"/>
        </v:shapetype>
        <v:shape id="docshape2423" o:spid="_x0000_s2096" type="#_x0000_t202" style="position:absolute;margin-left:598.85pt;margin-top:558.45pt;width:197.45pt;height:11.55pt;z-index:-28243968;mso-position-horizontal-relative:page;mso-position-vertical-relative:page" filled="f" stroked="f">
          <v:textbox inset="0,0,0,0">
            <w:txbxContent>
              <w:p w:rsidR="00F22F94" w:rsidRDefault="00F22F94">
                <w:pPr>
                  <w:spacing w:before="26"/>
                  <w:ind w:left="20"/>
                  <w:rPr>
                    <w:b/>
                    <w:sz w:val="16"/>
                  </w:rPr>
                </w:pPr>
                <w:r>
                  <w:rPr>
                    <w:w w:val="95"/>
                    <w:sz w:val="16"/>
                  </w:rPr>
                  <w:t>The</w:t>
                </w:r>
                <w:r>
                  <w:rPr>
                    <w:spacing w:val="5"/>
                    <w:sz w:val="16"/>
                  </w:rPr>
                  <w:t xml:space="preserve"> </w:t>
                </w:r>
                <w:r>
                  <w:rPr>
                    <w:w w:val="95"/>
                    <w:sz w:val="16"/>
                  </w:rPr>
                  <w:t>solution</w:t>
                </w:r>
                <w:r>
                  <w:rPr>
                    <w:spacing w:val="5"/>
                    <w:sz w:val="16"/>
                  </w:rPr>
                  <w:t xml:space="preserve"> </w:t>
                </w:r>
                <w:r>
                  <w:rPr>
                    <w:b/>
                    <w:w w:val="95"/>
                    <w:sz w:val="16"/>
                  </w:rPr>
                  <w:t>Section</w:t>
                </w:r>
                <w:r>
                  <w:rPr>
                    <w:b/>
                    <w:spacing w:val="6"/>
                    <w:sz w:val="16"/>
                  </w:rPr>
                  <w:t xml:space="preserve"> </w:t>
                </w:r>
                <w:r>
                  <w:rPr>
                    <w:b/>
                    <w:w w:val="95"/>
                    <w:sz w:val="16"/>
                  </w:rPr>
                  <w:t>13</w:t>
                </w:r>
                <w:r>
                  <w:rPr>
                    <w:b/>
                    <w:spacing w:val="5"/>
                    <w:sz w:val="16"/>
                  </w:rPr>
                  <w:t xml:space="preserve"> </w:t>
                </w:r>
                <w:r>
                  <w:rPr>
                    <w:w w:val="95"/>
                    <w:sz w:val="16"/>
                  </w:rPr>
                  <w:t>Health</w:t>
                </w:r>
                <w:r>
                  <w:rPr>
                    <w:spacing w:val="6"/>
                    <w:sz w:val="16"/>
                  </w:rPr>
                  <w:t xml:space="preserve"> </w:t>
                </w:r>
                <w:r>
                  <w:rPr>
                    <w:w w:val="95"/>
                    <w:sz w:val="16"/>
                  </w:rPr>
                  <w:t>infrastructure</w:t>
                </w:r>
                <w:r>
                  <w:rPr>
                    <w:spacing w:val="5"/>
                    <w:sz w:val="16"/>
                  </w:rPr>
                  <w:t xml:space="preserve"> </w:t>
                </w:r>
                <w:r>
                  <w:rPr>
                    <w:b/>
                    <w:w w:val="95"/>
                    <w:sz w:val="16"/>
                  </w:rPr>
                  <w:t>Page</w:t>
                </w:r>
                <w:r>
                  <w:rPr>
                    <w:b/>
                    <w:spacing w:val="5"/>
                    <w:sz w:val="16"/>
                  </w:rPr>
                  <w:t xml:space="preserve"> </w:t>
                </w:r>
                <w:r>
                  <w:rPr>
                    <w:b/>
                    <w:spacing w:val="-5"/>
                    <w:w w:val="95"/>
                    <w:sz w:val="16"/>
                  </w:rPr>
                  <w:fldChar w:fldCharType="begin"/>
                </w:r>
                <w:r>
                  <w:rPr>
                    <w:b/>
                    <w:spacing w:val="-5"/>
                    <w:w w:val="95"/>
                    <w:sz w:val="16"/>
                  </w:rPr>
                  <w:instrText xml:space="preserve"> PAGE </w:instrText>
                </w:r>
                <w:r>
                  <w:rPr>
                    <w:b/>
                    <w:spacing w:val="-5"/>
                    <w:w w:val="95"/>
                    <w:sz w:val="16"/>
                  </w:rPr>
                  <w:fldChar w:fldCharType="separate"/>
                </w:r>
                <w:r w:rsidR="00560142">
                  <w:rPr>
                    <w:b/>
                    <w:noProof/>
                    <w:spacing w:val="-5"/>
                    <w:w w:val="95"/>
                    <w:sz w:val="16"/>
                  </w:rPr>
                  <w:t>172</w:t>
                </w:r>
                <w:r>
                  <w:rPr>
                    <w:b/>
                    <w:spacing w:val="-5"/>
                    <w:w w:val="95"/>
                    <w:sz w:val="16"/>
                  </w:rPr>
                  <w:fldChar w:fldCharType="end"/>
                </w:r>
              </w:p>
            </w:txbxContent>
          </v:textbox>
          <w10:wrap anchorx="page" anchory="page"/>
        </v:shape>
      </w:pict>
    </w:r>
    <w:r>
      <w:pict>
        <v:shape id="docshape2424" o:spid="_x0000_s2095" type="#_x0000_t202" style="position:absolute;margin-left:48.6pt;margin-top:559.45pt;width:155.9pt;height:10.3pt;z-index:-28243456;mso-position-horizontal-relative:page;mso-position-vertical-relative:page" filled="f" stroked="f">
          <v:textbox inset="0,0,0,0">
            <w:txbxContent>
              <w:p w:rsidR="00F22F94" w:rsidRDefault="00F22F94">
                <w:pPr>
                  <w:spacing w:before="24"/>
                  <w:ind w:left="20"/>
                  <w:rPr>
                    <w:sz w:val="14"/>
                  </w:rPr>
                </w:pPr>
                <w:r>
                  <w:rPr>
                    <w:w w:val="95"/>
                    <w:sz w:val="14"/>
                  </w:rPr>
                  <w:t>Infrastructure</w:t>
                </w:r>
                <w:r>
                  <w:rPr>
                    <w:spacing w:val="8"/>
                    <w:sz w:val="14"/>
                  </w:rPr>
                  <w:t xml:space="preserve"> </w:t>
                </w:r>
                <w:r>
                  <w:rPr>
                    <w:w w:val="95"/>
                    <w:sz w:val="14"/>
                  </w:rPr>
                  <w:t>NSW</w:t>
                </w:r>
                <w:r>
                  <w:rPr>
                    <w:spacing w:val="55"/>
                    <w:sz w:val="14"/>
                  </w:rPr>
                  <w:t xml:space="preserve"> </w:t>
                </w:r>
                <w:r>
                  <w:rPr>
                    <w:w w:val="95"/>
                    <w:sz w:val="14"/>
                  </w:rPr>
                  <w:t>|</w:t>
                </w:r>
                <w:r>
                  <w:rPr>
                    <w:spacing w:val="9"/>
                    <w:sz w:val="14"/>
                  </w:rPr>
                  <w:t xml:space="preserve"> </w:t>
                </w:r>
                <w:r>
                  <w:rPr>
                    <w:w w:val="95"/>
                    <w:sz w:val="14"/>
                  </w:rPr>
                  <w:t>State</w:t>
                </w:r>
                <w:r>
                  <w:rPr>
                    <w:spacing w:val="9"/>
                    <w:sz w:val="14"/>
                  </w:rPr>
                  <w:t xml:space="preserve"> </w:t>
                </w:r>
                <w:r>
                  <w:rPr>
                    <w:w w:val="95"/>
                    <w:sz w:val="14"/>
                  </w:rPr>
                  <w:t>Infrastructure</w:t>
                </w:r>
                <w:r>
                  <w:rPr>
                    <w:spacing w:val="9"/>
                    <w:sz w:val="14"/>
                  </w:rPr>
                  <w:t xml:space="preserve"> </w:t>
                </w:r>
                <w:r>
                  <w:rPr>
                    <w:spacing w:val="-2"/>
                    <w:w w:val="95"/>
                    <w:sz w:val="14"/>
                  </w:rPr>
                  <w:t>Strategy</w:t>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shapetype id="_x0000_t202" coordsize="21600,21600" o:spt="202" path="m,l,21600r21600,l21600,xe">
          <v:stroke joinstyle="miter"/>
          <v:path gradientshapeok="t" o:connecttype="rect"/>
        </v:shapetype>
        <v:shape id="docshape2464" o:spid="_x0000_s2085" type="#_x0000_t202" style="position:absolute;margin-left:600.4pt;margin-top:558.45pt;width:195.9pt;height:11.55pt;z-index:-28242432;mso-position-horizontal-relative:page;mso-position-vertical-relative:page" filled="f" stroked="f">
          <v:textbox inset="0,0,0,0">
            <w:txbxContent>
              <w:p w:rsidR="00F22F94" w:rsidRDefault="00F22F94">
                <w:pPr>
                  <w:spacing w:before="26"/>
                  <w:ind w:left="20"/>
                  <w:rPr>
                    <w:b/>
                    <w:sz w:val="16"/>
                  </w:rPr>
                </w:pPr>
                <w:r>
                  <w:rPr>
                    <w:w w:val="95"/>
                    <w:sz w:val="16"/>
                  </w:rPr>
                  <w:t>The</w:t>
                </w:r>
                <w:r>
                  <w:rPr>
                    <w:spacing w:val="4"/>
                    <w:sz w:val="16"/>
                  </w:rPr>
                  <w:t xml:space="preserve"> </w:t>
                </w:r>
                <w:r>
                  <w:rPr>
                    <w:w w:val="95"/>
                    <w:sz w:val="16"/>
                  </w:rPr>
                  <w:t>solution</w:t>
                </w:r>
                <w:r>
                  <w:rPr>
                    <w:spacing w:val="4"/>
                    <w:sz w:val="16"/>
                  </w:rPr>
                  <w:t xml:space="preserve"> </w:t>
                </w:r>
                <w:r>
                  <w:rPr>
                    <w:b/>
                    <w:w w:val="95"/>
                    <w:sz w:val="16"/>
                  </w:rPr>
                  <w:t>Section</w:t>
                </w:r>
                <w:r>
                  <w:rPr>
                    <w:b/>
                    <w:spacing w:val="4"/>
                    <w:sz w:val="16"/>
                  </w:rPr>
                  <w:t xml:space="preserve"> </w:t>
                </w:r>
                <w:r>
                  <w:rPr>
                    <w:b/>
                    <w:w w:val="95"/>
                    <w:sz w:val="16"/>
                  </w:rPr>
                  <w:t>14</w:t>
                </w:r>
                <w:r>
                  <w:rPr>
                    <w:b/>
                    <w:spacing w:val="5"/>
                    <w:sz w:val="16"/>
                  </w:rPr>
                  <w:t xml:space="preserve"> </w:t>
                </w:r>
                <w:r>
                  <w:rPr>
                    <w:w w:val="95"/>
                    <w:sz w:val="16"/>
                  </w:rPr>
                  <w:t>Social</w:t>
                </w:r>
                <w:r>
                  <w:rPr>
                    <w:spacing w:val="4"/>
                    <w:sz w:val="16"/>
                  </w:rPr>
                  <w:t xml:space="preserve"> </w:t>
                </w:r>
                <w:r>
                  <w:rPr>
                    <w:w w:val="95"/>
                    <w:sz w:val="16"/>
                  </w:rPr>
                  <w:t>Infrastructure</w:t>
                </w:r>
                <w:r>
                  <w:rPr>
                    <w:spacing w:val="4"/>
                    <w:sz w:val="16"/>
                  </w:rPr>
                  <w:t xml:space="preserve"> </w:t>
                </w:r>
                <w:r>
                  <w:rPr>
                    <w:b/>
                    <w:w w:val="95"/>
                    <w:sz w:val="16"/>
                  </w:rPr>
                  <w:t>Page</w:t>
                </w:r>
                <w:r>
                  <w:rPr>
                    <w:b/>
                    <w:spacing w:val="5"/>
                    <w:sz w:val="16"/>
                  </w:rPr>
                  <w:t xml:space="preserve"> </w:t>
                </w:r>
                <w:r>
                  <w:rPr>
                    <w:b/>
                    <w:spacing w:val="-5"/>
                    <w:w w:val="95"/>
                    <w:sz w:val="16"/>
                  </w:rPr>
                  <w:fldChar w:fldCharType="begin"/>
                </w:r>
                <w:r>
                  <w:rPr>
                    <w:b/>
                    <w:spacing w:val="-5"/>
                    <w:w w:val="95"/>
                    <w:sz w:val="16"/>
                  </w:rPr>
                  <w:instrText xml:space="preserve"> PAGE </w:instrText>
                </w:r>
                <w:r>
                  <w:rPr>
                    <w:b/>
                    <w:spacing w:val="-5"/>
                    <w:w w:val="95"/>
                    <w:sz w:val="16"/>
                  </w:rPr>
                  <w:fldChar w:fldCharType="separate"/>
                </w:r>
                <w:r w:rsidR="00560142">
                  <w:rPr>
                    <w:b/>
                    <w:noProof/>
                    <w:spacing w:val="-5"/>
                    <w:w w:val="95"/>
                    <w:sz w:val="16"/>
                  </w:rPr>
                  <w:t>176</w:t>
                </w:r>
                <w:r>
                  <w:rPr>
                    <w:b/>
                    <w:spacing w:val="-5"/>
                    <w:w w:val="95"/>
                    <w:sz w:val="16"/>
                  </w:rPr>
                  <w:fldChar w:fldCharType="end"/>
                </w:r>
              </w:p>
            </w:txbxContent>
          </v:textbox>
          <w10:wrap anchorx="page" anchory="page"/>
        </v:shape>
      </w:pict>
    </w:r>
    <w:r>
      <w:pict>
        <v:shape id="docshape2465" o:spid="_x0000_s2084" type="#_x0000_t202" style="position:absolute;margin-left:48.6pt;margin-top:559.45pt;width:155.9pt;height:10.3pt;z-index:-28241920;mso-position-horizontal-relative:page;mso-position-vertical-relative:page" filled="f" stroked="f">
          <v:textbox inset="0,0,0,0">
            <w:txbxContent>
              <w:p w:rsidR="00F22F94" w:rsidRDefault="00F22F94">
                <w:pPr>
                  <w:spacing w:before="24"/>
                  <w:ind w:left="20"/>
                  <w:rPr>
                    <w:sz w:val="14"/>
                  </w:rPr>
                </w:pPr>
                <w:r>
                  <w:rPr>
                    <w:w w:val="95"/>
                    <w:sz w:val="14"/>
                  </w:rPr>
                  <w:t>Infrastructure</w:t>
                </w:r>
                <w:r>
                  <w:rPr>
                    <w:spacing w:val="8"/>
                    <w:sz w:val="14"/>
                  </w:rPr>
                  <w:t xml:space="preserve"> </w:t>
                </w:r>
                <w:r>
                  <w:rPr>
                    <w:w w:val="95"/>
                    <w:sz w:val="14"/>
                  </w:rPr>
                  <w:t>NSW</w:t>
                </w:r>
                <w:r>
                  <w:rPr>
                    <w:spacing w:val="55"/>
                    <w:sz w:val="14"/>
                  </w:rPr>
                  <w:t xml:space="preserve"> </w:t>
                </w:r>
                <w:r>
                  <w:rPr>
                    <w:w w:val="95"/>
                    <w:sz w:val="14"/>
                  </w:rPr>
                  <w:t>|</w:t>
                </w:r>
                <w:r>
                  <w:rPr>
                    <w:spacing w:val="9"/>
                    <w:sz w:val="14"/>
                  </w:rPr>
                  <w:t xml:space="preserve"> </w:t>
                </w:r>
                <w:r>
                  <w:rPr>
                    <w:w w:val="95"/>
                    <w:sz w:val="14"/>
                  </w:rPr>
                  <w:t>State</w:t>
                </w:r>
                <w:r>
                  <w:rPr>
                    <w:spacing w:val="9"/>
                    <w:sz w:val="14"/>
                  </w:rPr>
                  <w:t xml:space="preserve"> </w:t>
                </w:r>
                <w:r>
                  <w:rPr>
                    <w:w w:val="95"/>
                    <w:sz w:val="14"/>
                  </w:rPr>
                  <w:t>Infrastructure</w:t>
                </w:r>
                <w:r>
                  <w:rPr>
                    <w:spacing w:val="9"/>
                    <w:sz w:val="14"/>
                  </w:rPr>
                  <w:t xml:space="preserve"> </w:t>
                </w:r>
                <w:r>
                  <w:rPr>
                    <w:spacing w:val="-2"/>
                    <w:w w:val="95"/>
                    <w:sz w:val="14"/>
                  </w:rPr>
                  <w:t>Strategy</w:t>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F22F94">
    <w:pPr>
      <w:pStyle w:val="BodyText"/>
      <w:spacing w:line="14" w:lineRule="auto"/>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shapetype id="_x0000_t202" coordsize="21600,21600" o:spt="202" path="m,l,21600r21600,l21600,xe">
          <v:stroke joinstyle="miter"/>
          <v:path gradientshapeok="t" o:connecttype="rect"/>
        </v:shapetype>
        <v:shape id="docshape2655" o:spid="_x0000_s2074" type="#_x0000_t202" style="position:absolute;margin-left:600.4pt;margin-top:558.45pt;width:195.85pt;height:11.55pt;z-index:-28240896;mso-position-horizontal-relative:page;mso-position-vertical-relative:page" filled="f" stroked="f">
          <v:textbox inset="0,0,0,0">
            <w:txbxContent>
              <w:p w:rsidR="00F22F94" w:rsidRDefault="00F22F94">
                <w:pPr>
                  <w:spacing w:before="26"/>
                  <w:ind w:left="20"/>
                  <w:rPr>
                    <w:b/>
                    <w:sz w:val="16"/>
                  </w:rPr>
                </w:pPr>
                <w:r>
                  <w:rPr>
                    <w:w w:val="95"/>
                    <w:sz w:val="16"/>
                  </w:rPr>
                  <w:t>The</w:t>
                </w:r>
                <w:r>
                  <w:rPr>
                    <w:spacing w:val="4"/>
                    <w:sz w:val="16"/>
                  </w:rPr>
                  <w:t xml:space="preserve"> </w:t>
                </w:r>
                <w:r>
                  <w:rPr>
                    <w:w w:val="95"/>
                    <w:sz w:val="16"/>
                  </w:rPr>
                  <w:t>solution</w:t>
                </w:r>
                <w:r>
                  <w:rPr>
                    <w:spacing w:val="4"/>
                    <w:sz w:val="16"/>
                  </w:rPr>
                  <w:t xml:space="preserve"> </w:t>
                </w:r>
                <w:r>
                  <w:rPr>
                    <w:b/>
                    <w:w w:val="95"/>
                    <w:sz w:val="16"/>
                  </w:rPr>
                  <w:t>Section</w:t>
                </w:r>
                <w:r>
                  <w:rPr>
                    <w:b/>
                    <w:spacing w:val="5"/>
                    <w:sz w:val="16"/>
                  </w:rPr>
                  <w:t xml:space="preserve"> </w:t>
                </w:r>
                <w:r>
                  <w:rPr>
                    <w:b/>
                    <w:w w:val="95"/>
                    <w:sz w:val="16"/>
                  </w:rPr>
                  <w:t>14</w:t>
                </w:r>
                <w:r>
                  <w:rPr>
                    <w:b/>
                    <w:spacing w:val="4"/>
                    <w:sz w:val="16"/>
                  </w:rPr>
                  <w:t xml:space="preserve"> </w:t>
                </w:r>
                <w:r>
                  <w:rPr>
                    <w:w w:val="95"/>
                    <w:sz w:val="16"/>
                  </w:rPr>
                  <w:t>Social</w:t>
                </w:r>
                <w:r>
                  <w:rPr>
                    <w:spacing w:val="4"/>
                    <w:sz w:val="16"/>
                  </w:rPr>
                  <w:t xml:space="preserve"> </w:t>
                </w:r>
                <w:r>
                  <w:rPr>
                    <w:w w:val="95"/>
                    <w:sz w:val="16"/>
                  </w:rPr>
                  <w:t>Infrastructure</w:t>
                </w:r>
                <w:r>
                  <w:rPr>
                    <w:spacing w:val="5"/>
                    <w:sz w:val="16"/>
                  </w:rPr>
                  <w:t xml:space="preserve"> </w:t>
                </w:r>
                <w:r>
                  <w:rPr>
                    <w:b/>
                    <w:w w:val="95"/>
                    <w:sz w:val="16"/>
                  </w:rPr>
                  <w:t>Page</w:t>
                </w:r>
                <w:r>
                  <w:rPr>
                    <w:b/>
                    <w:spacing w:val="4"/>
                    <w:sz w:val="16"/>
                  </w:rPr>
                  <w:t xml:space="preserve"> </w:t>
                </w:r>
                <w:r>
                  <w:rPr>
                    <w:b/>
                    <w:spacing w:val="-5"/>
                    <w:w w:val="95"/>
                    <w:sz w:val="16"/>
                  </w:rPr>
                  <w:fldChar w:fldCharType="begin"/>
                </w:r>
                <w:r>
                  <w:rPr>
                    <w:b/>
                    <w:spacing w:val="-5"/>
                    <w:w w:val="95"/>
                    <w:sz w:val="16"/>
                  </w:rPr>
                  <w:instrText xml:space="preserve"> PAGE </w:instrText>
                </w:r>
                <w:r>
                  <w:rPr>
                    <w:b/>
                    <w:spacing w:val="-5"/>
                    <w:w w:val="95"/>
                    <w:sz w:val="16"/>
                  </w:rPr>
                  <w:fldChar w:fldCharType="separate"/>
                </w:r>
                <w:r w:rsidR="00560142">
                  <w:rPr>
                    <w:b/>
                    <w:noProof/>
                    <w:spacing w:val="-5"/>
                    <w:w w:val="95"/>
                    <w:sz w:val="16"/>
                  </w:rPr>
                  <w:t>187</w:t>
                </w:r>
                <w:r>
                  <w:rPr>
                    <w:b/>
                    <w:spacing w:val="-5"/>
                    <w:w w:val="95"/>
                    <w:sz w:val="16"/>
                  </w:rPr>
                  <w:fldChar w:fldCharType="end"/>
                </w:r>
              </w:p>
            </w:txbxContent>
          </v:textbox>
          <w10:wrap anchorx="page" anchory="page"/>
        </v:shape>
      </w:pict>
    </w:r>
    <w:r>
      <w:pict>
        <v:shape id="docshape2656" o:spid="_x0000_s2073" type="#_x0000_t202" style="position:absolute;margin-left:48.6pt;margin-top:559.45pt;width:155.9pt;height:10.3pt;z-index:-28240384;mso-position-horizontal-relative:page;mso-position-vertical-relative:page" filled="f" stroked="f">
          <v:textbox inset="0,0,0,0">
            <w:txbxContent>
              <w:p w:rsidR="00F22F94" w:rsidRDefault="00F22F94">
                <w:pPr>
                  <w:spacing w:before="24"/>
                  <w:ind w:left="20"/>
                  <w:rPr>
                    <w:sz w:val="14"/>
                  </w:rPr>
                </w:pPr>
                <w:r>
                  <w:rPr>
                    <w:w w:val="95"/>
                    <w:sz w:val="14"/>
                  </w:rPr>
                  <w:t>Infrastructure</w:t>
                </w:r>
                <w:r>
                  <w:rPr>
                    <w:spacing w:val="8"/>
                    <w:sz w:val="14"/>
                  </w:rPr>
                  <w:t xml:space="preserve"> </w:t>
                </w:r>
                <w:r>
                  <w:rPr>
                    <w:w w:val="95"/>
                    <w:sz w:val="14"/>
                  </w:rPr>
                  <w:t>NSW</w:t>
                </w:r>
                <w:r>
                  <w:rPr>
                    <w:spacing w:val="55"/>
                    <w:sz w:val="14"/>
                  </w:rPr>
                  <w:t xml:space="preserve"> </w:t>
                </w:r>
                <w:r>
                  <w:rPr>
                    <w:w w:val="95"/>
                    <w:sz w:val="14"/>
                  </w:rPr>
                  <w:t>|</w:t>
                </w:r>
                <w:r>
                  <w:rPr>
                    <w:spacing w:val="9"/>
                    <w:sz w:val="14"/>
                  </w:rPr>
                  <w:t xml:space="preserve"> </w:t>
                </w:r>
                <w:r>
                  <w:rPr>
                    <w:w w:val="95"/>
                    <w:sz w:val="14"/>
                  </w:rPr>
                  <w:t>State</w:t>
                </w:r>
                <w:r>
                  <w:rPr>
                    <w:spacing w:val="9"/>
                    <w:sz w:val="14"/>
                  </w:rPr>
                  <w:t xml:space="preserve"> </w:t>
                </w:r>
                <w:r>
                  <w:rPr>
                    <w:w w:val="95"/>
                    <w:sz w:val="14"/>
                  </w:rPr>
                  <w:t>Infrastructure</w:t>
                </w:r>
                <w:r>
                  <w:rPr>
                    <w:spacing w:val="9"/>
                    <w:sz w:val="14"/>
                  </w:rPr>
                  <w:t xml:space="preserve"> </w:t>
                </w:r>
                <w:r>
                  <w:rPr>
                    <w:spacing w:val="-2"/>
                    <w:w w:val="95"/>
                    <w:sz w:val="14"/>
                  </w:rPr>
                  <w:t>Strategy</w:t>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shapetype id="_x0000_t202" coordsize="21600,21600" o:spt="202" path="m,l,21600r21600,l21600,xe">
          <v:stroke joinstyle="miter"/>
          <v:path gradientshapeok="t" o:connecttype="rect"/>
        </v:shapetype>
        <v:shape id="docshape2839" o:spid="_x0000_s2063" type="#_x0000_t202" style="position:absolute;margin-left:602.7pt;margin-top:558.45pt;width:193.6pt;height:11.55pt;z-index:-28239360;mso-position-horizontal-relative:page;mso-position-vertical-relative:page" filled="f" stroked="f">
          <v:textbox inset="0,0,0,0">
            <w:txbxContent>
              <w:p w:rsidR="00F22F94" w:rsidRDefault="00F22F94">
                <w:pPr>
                  <w:spacing w:before="26"/>
                  <w:ind w:left="20"/>
                  <w:rPr>
                    <w:b/>
                    <w:sz w:val="16"/>
                  </w:rPr>
                </w:pPr>
                <w:r>
                  <w:rPr>
                    <w:w w:val="95"/>
                    <w:sz w:val="16"/>
                  </w:rPr>
                  <w:t>The</w:t>
                </w:r>
                <w:r>
                  <w:rPr>
                    <w:spacing w:val="10"/>
                    <w:sz w:val="16"/>
                  </w:rPr>
                  <w:t xml:space="preserve"> </w:t>
                </w:r>
                <w:r>
                  <w:rPr>
                    <w:w w:val="95"/>
                    <w:sz w:val="16"/>
                  </w:rPr>
                  <w:t>solution</w:t>
                </w:r>
                <w:r>
                  <w:rPr>
                    <w:spacing w:val="10"/>
                    <w:sz w:val="16"/>
                  </w:rPr>
                  <w:t xml:space="preserve"> </w:t>
                </w:r>
                <w:r>
                  <w:rPr>
                    <w:b/>
                    <w:w w:val="95"/>
                    <w:sz w:val="16"/>
                  </w:rPr>
                  <w:t>Section</w:t>
                </w:r>
                <w:r>
                  <w:rPr>
                    <w:b/>
                    <w:spacing w:val="11"/>
                    <w:sz w:val="16"/>
                  </w:rPr>
                  <w:t xml:space="preserve"> </w:t>
                </w:r>
                <w:r>
                  <w:rPr>
                    <w:b/>
                    <w:w w:val="95"/>
                    <w:sz w:val="16"/>
                  </w:rPr>
                  <w:t>15</w:t>
                </w:r>
                <w:r>
                  <w:rPr>
                    <w:b/>
                    <w:spacing w:val="10"/>
                    <w:sz w:val="16"/>
                  </w:rPr>
                  <w:t xml:space="preserve"> </w:t>
                </w:r>
                <w:r>
                  <w:rPr>
                    <w:w w:val="95"/>
                    <w:sz w:val="16"/>
                  </w:rPr>
                  <w:t>Recommendations</w:t>
                </w:r>
                <w:r>
                  <w:rPr>
                    <w:spacing w:val="12"/>
                    <w:sz w:val="16"/>
                  </w:rPr>
                  <w:t xml:space="preserve"> </w:t>
                </w:r>
                <w:r>
                  <w:rPr>
                    <w:b/>
                    <w:w w:val="95"/>
                    <w:sz w:val="16"/>
                  </w:rPr>
                  <w:t>Page</w:t>
                </w:r>
                <w:r>
                  <w:rPr>
                    <w:b/>
                    <w:spacing w:val="11"/>
                    <w:sz w:val="16"/>
                  </w:rPr>
                  <w:t xml:space="preserve"> </w:t>
                </w:r>
                <w:r>
                  <w:rPr>
                    <w:b/>
                    <w:spacing w:val="-5"/>
                    <w:w w:val="95"/>
                    <w:sz w:val="16"/>
                  </w:rPr>
                  <w:fldChar w:fldCharType="begin"/>
                </w:r>
                <w:r>
                  <w:rPr>
                    <w:b/>
                    <w:spacing w:val="-5"/>
                    <w:w w:val="95"/>
                    <w:sz w:val="16"/>
                  </w:rPr>
                  <w:instrText xml:space="preserve"> PAGE </w:instrText>
                </w:r>
                <w:r>
                  <w:rPr>
                    <w:b/>
                    <w:spacing w:val="-5"/>
                    <w:w w:val="95"/>
                    <w:sz w:val="16"/>
                  </w:rPr>
                  <w:fldChar w:fldCharType="separate"/>
                </w:r>
                <w:r w:rsidR="00560142">
                  <w:rPr>
                    <w:b/>
                    <w:noProof/>
                    <w:spacing w:val="-5"/>
                    <w:w w:val="95"/>
                    <w:sz w:val="16"/>
                  </w:rPr>
                  <w:t>197</w:t>
                </w:r>
                <w:r>
                  <w:rPr>
                    <w:b/>
                    <w:spacing w:val="-5"/>
                    <w:w w:val="95"/>
                    <w:sz w:val="16"/>
                  </w:rPr>
                  <w:fldChar w:fldCharType="end"/>
                </w:r>
              </w:p>
            </w:txbxContent>
          </v:textbox>
          <w10:wrap anchorx="page" anchory="page"/>
        </v:shape>
      </w:pict>
    </w:r>
    <w:r>
      <w:pict>
        <v:shape id="docshape2840" o:spid="_x0000_s2062" type="#_x0000_t202" style="position:absolute;margin-left:48.6pt;margin-top:559.45pt;width:155.9pt;height:10.3pt;z-index:-28238848;mso-position-horizontal-relative:page;mso-position-vertical-relative:page" filled="f" stroked="f">
          <v:textbox inset="0,0,0,0">
            <w:txbxContent>
              <w:p w:rsidR="00F22F94" w:rsidRDefault="00F22F94">
                <w:pPr>
                  <w:spacing w:before="24"/>
                  <w:ind w:left="20"/>
                  <w:rPr>
                    <w:sz w:val="14"/>
                  </w:rPr>
                </w:pPr>
                <w:r>
                  <w:rPr>
                    <w:w w:val="95"/>
                    <w:sz w:val="14"/>
                  </w:rPr>
                  <w:t>Infrastructure</w:t>
                </w:r>
                <w:r>
                  <w:rPr>
                    <w:spacing w:val="8"/>
                    <w:sz w:val="14"/>
                  </w:rPr>
                  <w:t xml:space="preserve"> </w:t>
                </w:r>
                <w:r>
                  <w:rPr>
                    <w:w w:val="95"/>
                    <w:sz w:val="14"/>
                  </w:rPr>
                  <w:t>NSW</w:t>
                </w:r>
                <w:r>
                  <w:rPr>
                    <w:spacing w:val="55"/>
                    <w:sz w:val="14"/>
                  </w:rPr>
                  <w:t xml:space="preserve"> </w:t>
                </w:r>
                <w:r>
                  <w:rPr>
                    <w:w w:val="95"/>
                    <w:sz w:val="14"/>
                  </w:rPr>
                  <w:t>|</w:t>
                </w:r>
                <w:r>
                  <w:rPr>
                    <w:spacing w:val="9"/>
                    <w:sz w:val="14"/>
                  </w:rPr>
                  <w:t xml:space="preserve"> </w:t>
                </w:r>
                <w:r>
                  <w:rPr>
                    <w:w w:val="95"/>
                    <w:sz w:val="14"/>
                  </w:rPr>
                  <w:t>State</w:t>
                </w:r>
                <w:r>
                  <w:rPr>
                    <w:spacing w:val="9"/>
                    <w:sz w:val="14"/>
                  </w:rPr>
                  <w:t xml:space="preserve"> </w:t>
                </w:r>
                <w:r>
                  <w:rPr>
                    <w:w w:val="95"/>
                    <w:sz w:val="14"/>
                  </w:rPr>
                  <w:t>Infrastructure</w:t>
                </w:r>
                <w:r>
                  <w:rPr>
                    <w:spacing w:val="9"/>
                    <w:sz w:val="14"/>
                  </w:rPr>
                  <w:t xml:space="preserve"> </w:t>
                </w:r>
                <w:r>
                  <w:rPr>
                    <w:spacing w:val="-2"/>
                    <w:w w:val="95"/>
                    <w:sz w:val="14"/>
                  </w:rPr>
                  <w:t>Strategy</w:t>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shapetype id="_x0000_t202" coordsize="21600,21600" o:spt="202" path="m,l,21600r21600,l21600,xe">
          <v:stroke joinstyle="miter"/>
          <v:path gradientshapeok="t" o:connecttype="rect"/>
        </v:shapetype>
        <v:shape id="docshape2869" o:spid="_x0000_s2052" type="#_x0000_t202" style="position:absolute;margin-left:597.6pt;margin-top:558.45pt;width:195.65pt;height:11.55pt;z-index:-28237824;mso-position-horizontal-relative:page;mso-position-vertical-relative:page" filled="f" stroked="f">
          <v:textbox inset="0,0,0,0">
            <w:txbxContent>
              <w:p w:rsidR="00F22F94" w:rsidRDefault="00F22F94">
                <w:pPr>
                  <w:spacing w:before="26"/>
                  <w:ind w:left="20"/>
                  <w:rPr>
                    <w:b/>
                    <w:sz w:val="16"/>
                  </w:rPr>
                </w:pPr>
                <w:r>
                  <w:rPr>
                    <w:w w:val="95"/>
                    <w:sz w:val="16"/>
                  </w:rPr>
                  <w:t>The</w:t>
                </w:r>
                <w:r>
                  <w:rPr>
                    <w:spacing w:val="2"/>
                    <w:sz w:val="16"/>
                  </w:rPr>
                  <w:t xml:space="preserve"> </w:t>
                </w:r>
                <w:r>
                  <w:rPr>
                    <w:w w:val="95"/>
                    <w:sz w:val="16"/>
                  </w:rPr>
                  <w:t>solution</w:t>
                </w:r>
                <w:r>
                  <w:rPr>
                    <w:spacing w:val="2"/>
                    <w:sz w:val="16"/>
                  </w:rPr>
                  <w:t xml:space="preserve"> </w:t>
                </w:r>
                <w:r>
                  <w:rPr>
                    <w:b/>
                    <w:w w:val="95"/>
                    <w:sz w:val="16"/>
                  </w:rPr>
                  <w:t>Section</w:t>
                </w:r>
                <w:r>
                  <w:rPr>
                    <w:b/>
                    <w:spacing w:val="2"/>
                    <w:sz w:val="16"/>
                  </w:rPr>
                  <w:t xml:space="preserve"> </w:t>
                </w:r>
                <w:r>
                  <w:rPr>
                    <w:b/>
                    <w:w w:val="95"/>
                    <w:sz w:val="16"/>
                  </w:rPr>
                  <w:t>16</w:t>
                </w:r>
                <w:r>
                  <w:rPr>
                    <w:b/>
                    <w:spacing w:val="2"/>
                    <w:sz w:val="16"/>
                  </w:rPr>
                  <w:t xml:space="preserve"> </w:t>
                </w:r>
                <w:r>
                  <w:rPr>
                    <w:w w:val="95"/>
                    <w:sz w:val="16"/>
                  </w:rPr>
                  <w:t>Funding</w:t>
                </w:r>
                <w:r>
                  <w:rPr>
                    <w:spacing w:val="2"/>
                    <w:sz w:val="16"/>
                  </w:rPr>
                  <w:t xml:space="preserve"> </w:t>
                </w:r>
                <w:r>
                  <w:rPr>
                    <w:w w:val="95"/>
                    <w:sz w:val="16"/>
                  </w:rPr>
                  <w:t>and</w:t>
                </w:r>
                <w:r>
                  <w:rPr>
                    <w:spacing w:val="2"/>
                    <w:sz w:val="16"/>
                  </w:rPr>
                  <w:t xml:space="preserve"> </w:t>
                </w:r>
                <w:r>
                  <w:rPr>
                    <w:w w:val="95"/>
                    <w:sz w:val="16"/>
                  </w:rPr>
                  <w:t>delivery</w:t>
                </w:r>
                <w:r>
                  <w:rPr>
                    <w:spacing w:val="2"/>
                    <w:sz w:val="16"/>
                  </w:rPr>
                  <w:t xml:space="preserve"> </w:t>
                </w:r>
                <w:r>
                  <w:rPr>
                    <w:b/>
                    <w:w w:val="95"/>
                    <w:sz w:val="16"/>
                  </w:rPr>
                  <w:t>Page</w:t>
                </w:r>
                <w:r>
                  <w:rPr>
                    <w:b/>
                    <w:spacing w:val="2"/>
                    <w:sz w:val="16"/>
                  </w:rPr>
                  <w:t xml:space="preserve"> </w:t>
                </w:r>
                <w:r>
                  <w:rPr>
                    <w:b/>
                    <w:spacing w:val="-5"/>
                    <w:w w:val="95"/>
                    <w:sz w:val="16"/>
                  </w:rPr>
                  <w:t>198</w:t>
                </w:r>
              </w:p>
            </w:txbxContent>
          </v:textbox>
          <w10:wrap anchorx="page" anchory="page"/>
        </v:shape>
      </w:pict>
    </w:r>
    <w:r>
      <w:pict>
        <v:shape id="docshape2870" o:spid="_x0000_s2051" type="#_x0000_t202" style="position:absolute;margin-left:48.6pt;margin-top:559.45pt;width:155.9pt;height:10.3pt;z-index:-28237312;mso-position-horizontal-relative:page;mso-position-vertical-relative:page" filled="f" stroked="f">
          <v:textbox inset="0,0,0,0">
            <w:txbxContent>
              <w:p w:rsidR="00F22F94" w:rsidRDefault="00F22F94">
                <w:pPr>
                  <w:spacing w:before="24"/>
                  <w:ind w:left="20"/>
                  <w:rPr>
                    <w:sz w:val="14"/>
                  </w:rPr>
                </w:pPr>
                <w:r>
                  <w:rPr>
                    <w:w w:val="95"/>
                    <w:sz w:val="14"/>
                  </w:rPr>
                  <w:t>Infrastructure</w:t>
                </w:r>
                <w:r>
                  <w:rPr>
                    <w:spacing w:val="8"/>
                    <w:sz w:val="14"/>
                  </w:rPr>
                  <w:t xml:space="preserve"> </w:t>
                </w:r>
                <w:r>
                  <w:rPr>
                    <w:w w:val="95"/>
                    <w:sz w:val="14"/>
                  </w:rPr>
                  <w:t>NSW</w:t>
                </w:r>
                <w:r>
                  <w:rPr>
                    <w:spacing w:val="55"/>
                    <w:sz w:val="14"/>
                  </w:rPr>
                  <w:t xml:space="preserve"> </w:t>
                </w:r>
                <w:r>
                  <w:rPr>
                    <w:w w:val="95"/>
                    <w:sz w:val="14"/>
                  </w:rPr>
                  <w:t>|</w:t>
                </w:r>
                <w:r>
                  <w:rPr>
                    <w:spacing w:val="9"/>
                    <w:sz w:val="14"/>
                  </w:rPr>
                  <w:t xml:space="preserve"> </w:t>
                </w:r>
                <w:r>
                  <w:rPr>
                    <w:w w:val="95"/>
                    <w:sz w:val="14"/>
                  </w:rPr>
                  <w:t>State</w:t>
                </w:r>
                <w:r>
                  <w:rPr>
                    <w:spacing w:val="9"/>
                    <w:sz w:val="14"/>
                  </w:rPr>
                  <w:t xml:space="preserve"> </w:t>
                </w:r>
                <w:r>
                  <w:rPr>
                    <w:w w:val="95"/>
                    <w:sz w:val="14"/>
                  </w:rPr>
                  <w:t>Infrastructure</w:t>
                </w:r>
                <w:r>
                  <w:rPr>
                    <w:spacing w:val="9"/>
                    <w:sz w:val="14"/>
                  </w:rPr>
                  <w:t xml:space="preserve"> </w:t>
                </w:r>
                <w:r>
                  <w:rPr>
                    <w:spacing w:val="-2"/>
                    <w:w w:val="95"/>
                    <w:sz w:val="14"/>
                  </w:rPr>
                  <w:t>Strategy</w:t>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shapetype id="_x0000_t202" coordsize="21600,21600" o:spt="202" path="m,l,21600r21600,l21600,xe">
          <v:stroke joinstyle="miter"/>
          <v:path gradientshapeok="t" o:connecttype="rect"/>
        </v:shapetype>
        <v:shape id="docshape2915" o:spid="_x0000_s2050" type="#_x0000_t202" style="position:absolute;margin-left:597.6pt;margin-top:558.45pt;width:195.65pt;height:11.55pt;z-index:-28236800;mso-position-horizontal-relative:page;mso-position-vertical-relative:page" filled="f" stroked="f">
          <v:textbox inset="0,0,0,0">
            <w:txbxContent>
              <w:p w:rsidR="00F22F94" w:rsidRDefault="00F22F94">
                <w:pPr>
                  <w:spacing w:before="26"/>
                  <w:ind w:left="20"/>
                  <w:rPr>
                    <w:b/>
                    <w:sz w:val="16"/>
                  </w:rPr>
                </w:pPr>
                <w:r>
                  <w:rPr>
                    <w:w w:val="95"/>
                    <w:sz w:val="16"/>
                  </w:rPr>
                  <w:t>The</w:t>
                </w:r>
                <w:r>
                  <w:rPr>
                    <w:spacing w:val="2"/>
                    <w:sz w:val="16"/>
                  </w:rPr>
                  <w:t xml:space="preserve"> </w:t>
                </w:r>
                <w:r>
                  <w:rPr>
                    <w:w w:val="95"/>
                    <w:sz w:val="16"/>
                  </w:rPr>
                  <w:t>solution</w:t>
                </w:r>
                <w:r>
                  <w:rPr>
                    <w:spacing w:val="2"/>
                    <w:sz w:val="16"/>
                  </w:rPr>
                  <w:t xml:space="preserve"> </w:t>
                </w:r>
                <w:r>
                  <w:rPr>
                    <w:b/>
                    <w:w w:val="95"/>
                    <w:sz w:val="16"/>
                  </w:rPr>
                  <w:t>Section</w:t>
                </w:r>
                <w:r>
                  <w:rPr>
                    <w:b/>
                    <w:spacing w:val="2"/>
                    <w:sz w:val="16"/>
                  </w:rPr>
                  <w:t xml:space="preserve"> </w:t>
                </w:r>
                <w:r>
                  <w:rPr>
                    <w:b/>
                    <w:w w:val="95"/>
                    <w:sz w:val="16"/>
                  </w:rPr>
                  <w:t>16</w:t>
                </w:r>
                <w:r>
                  <w:rPr>
                    <w:b/>
                    <w:spacing w:val="2"/>
                    <w:sz w:val="16"/>
                  </w:rPr>
                  <w:t xml:space="preserve"> </w:t>
                </w:r>
                <w:r>
                  <w:rPr>
                    <w:w w:val="95"/>
                    <w:sz w:val="16"/>
                  </w:rPr>
                  <w:t>Funding</w:t>
                </w:r>
                <w:r>
                  <w:rPr>
                    <w:spacing w:val="2"/>
                    <w:sz w:val="16"/>
                  </w:rPr>
                  <w:t xml:space="preserve"> </w:t>
                </w:r>
                <w:r>
                  <w:rPr>
                    <w:w w:val="95"/>
                    <w:sz w:val="16"/>
                  </w:rPr>
                  <w:t>and</w:t>
                </w:r>
                <w:r>
                  <w:rPr>
                    <w:spacing w:val="2"/>
                    <w:sz w:val="16"/>
                  </w:rPr>
                  <w:t xml:space="preserve"> </w:t>
                </w:r>
                <w:r>
                  <w:rPr>
                    <w:w w:val="95"/>
                    <w:sz w:val="16"/>
                  </w:rPr>
                  <w:t>delivery</w:t>
                </w:r>
                <w:r>
                  <w:rPr>
                    <w:spacing w:val="2"/>
                    <w:sz w:val="16"/>
                  </w:rPr>
                  <w:t xml:space="preserve"> </w:t>
                </w:r>
                <w:r>
                  <w:rPr>
                    <w:b/>
                    <w:w w:val="95"/>
                    <w:sz w:val="16"/>
                  </w:rPr>
                  <w:t>Page</w:t>
                </w:r>
                <w:r>
                  <w:rPr>
                    <w:b/>
                    <w:spacing w:val="2"/>
                    <w:sz w:val="16"/>
                  </w:rPr>
                  <w:t xml:space="preserve"> </w:t>
                </w:r>
                <w:r>
                  <w:rPr>
                    <w:b/>
                    <w:spacing w:val="-5"/>
                    <w:w w:val="95"/>
                    <w:sz w:val="16"/>
                  </w:rPr>
                  <w:t>198</w:t>
                </w:r>
              </w:p>
            </w:txbxContent>
          </v:textbox>
          <w10:wrap anchorx="page" anchory="page"/>
        </v:shape>
      </w:pict>
    </w:r>
    <w:r>
      <w:pict>
        <v:shape id="docshape2916" o:spid="_x0000_s2049" type="#_x0000_t202" style="position:absolute;margin-left:48.6pt;margin-top:559.45pt;width:155.9pt;height:10.3pt;z-index:-28236288;mso-position-horizontal-relative:page;mso-position-vertical-relative:page" filled="f" stroked="f">
          <v:textbox inset="0,0,0,0">
            <w:txbxContent>
              <w:p w:rsidR="00F22F94" w:rsidRDefault="00F22F94">
                <w:pPr>
                  <w:spacing w:before="24"/>
                  <w:ind w:left="20"/>
                  <w:rPr>
                    <w:sz w:val="14"/>
                  </w:rPr>
                </w:pPr>
                <w:r>
                  <w:rPr>
                    <w:w w:val="95"/>
                    <w:sz w:val="14"/>
                  </w:rPr>
                  <w:t>Infrastructure</w:t>
                </w:r>
                <w:r>
                  <w:rPr>
                    <w:spacing w:val="8"/>
                    <w:sz w:val="14"/>
                  </w:rPr>
                  <w:t xml:space="preserve"> </w:t>
                </w:r>
                <w:r>
                  <w:rPr>
                    <w:w w:val="95"/>
                    <w:sz w:val="14"/>
                  </w:rPr>
                  <w:t>NSW</w:t>
                </w:r>
                <w:r>
                  <w:rPr>
                    <w:spacing w:val="55"/>
                    <w:sz w:val="14"/>
                  </w:rPr>
                  <w:t xml:space="preserve"> </w:t>
                </w:r>
                <w:r>
                  <w:rPr>
                    <w:w w:val="95"/>
                    <w:sz w:val="14"/>
                  </w:rPr>
                  <w:t>|</w:t>
                </w:r>
                <w:r>
                  <w:rPr>
                    <w:spacing w:val="9"/>
                    <w:sz w:val="14"/>
                  </w:rPr>
                  <w:t xml:space="preserve"> </w:t>
                </w:r>
                <w:r>
                  <w:rPr>
                    <w:w w:val="95"/>
                    <w:sz w:val="14"/>
                  </w:rPr>
                  <w:t>State</w:t>
                </w:r>
                <w:r>
                  <w:rPr>
                    <w:spacing w:val="9"/>
                    <w:sz w:val="14"/>
                  </w:rPr>
                  <w:t xml:space="preserve"> </w:t>
                </w:r>
                <w:r>
                  <w:rPr>
                    <w:w w:val="95"/>
                    <w:sz w:val="14"/>
                  </w:rPr>
                  <w:t>Infrastructure</w:t>
                </w:r>
                <w:r>
                  <w:rPr>
                    <w:spacing w:val="9"/>
                    <w:sz w:val="14"/>
                  </w:rPr>
                  <w:t xml:space="preserve"> </w:t>
                </w:r>
                <w:r>
                  <w:rPr>
                    <w:spacing w:val="-2"/>
                    <w:w w:val="95"/>
                    <w:sz w:val="14"/>
                  </w:rPr>
                  <w:t>Strategy</w:t>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F22F94">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shapetype id="_x0000_t202" coordsize="21600,21600" o:spt="202" path="m,l,21600r21600,l21600,xe">
          <v:stroke joinstyle="miter"/>
          <v:path gradientshapeok="t" o:connecttype="rect"/>
        </v:shapetype>
        <v:shape id="docshape38" o:spid="_x0000_s2347" type="#_x0000_t202" style="position:absolute;margin-left:705.25pt;margin-top:558.45pt;width:91.05pt;height:11.55pt;z-index:-28278272;mso-position-horizontal-relative:page;mso-position-vertical-relative:page" filled="f" stroked="f">
          <v:textbox inset="0,0,0,0">
            <w:txbxContent>
              <w:p w:rsidR="00F22F94" w:rsidRDefault="00F22F94">
                <w:pPr>
                  <w:spacing w:before="26"/>
                  <w:ind w:left="20"/>
                  <w:rPr>
                    <w:b/>
                    <w:sz w:val="16"/>
                  </w:rPr>
                </w:pPr>
                <w:r>
                  <w:rPr>
                    <w:w w:val="95"/>
                    <w:sz w:val="16"/>
                  </w:rPr>
                  <w:t>CEO’s</w:t>
                </w:r>
                <w:r>
                  <w:rPr>
                    <w:spacing w:val="4"/>
                    <w:sz w:val="16"/>
                  </w:rPr>
                  <w:t xml:space="preserve"> </w:t>
                </w:r>
                <w:r>
                  <w:rPr>
                    <w:w w:val="95"/>
                    <w:sz w:val="16"/>
                  </w:rPr>
                  <w:t>statement</w:t>
                </w:r>
                <w:r>
                  <w:rPr>
                    <w:spacing w:val="5"/>
                    <w:sz w:val="16"/>
                  </w:rPr>
                  <w:t xml:space="preserve"> </w:t>
                </w:r>
                <w:r>
                  <w:rPr>
                    <w:b/>
                    <w:w w:val="95"/>
                    <w:sz w:val="16"/>
                  </w:rPr>
                  <w:t>Page</w:t>
                </w:r>
                <w:r>
                  <w:rPr>
                    <w:b/>
                    <w:spacing w:val="5"/>
                    <w:sz w:val="16"/>
                  </w:rPr>
                  <w:t xml:space="preserve"> </w:t>
                </w:r>
                <w:r>
                  <w:rPr>
                    <w:b/>
                    <w:spacing w:val="-10"/>
                    <w:w w:val="95"/>
                    <w:sz w:val="16"/>
                  </w:rPr>
                  <w:fldChar w:fldCharType="begin"/>
                </w:r>
                <w:r>
                  <w:rPr>
                    <w:b/>
                    <w:spacing w:val="-10"/>
                    <w:w w:val="95"/>
                    <w:sz w:val="16"/>
                  </w:rPr>
                  <w:instrText xml:space="preserve"> PAGE </w:instrText>
                </w:r>
                <w:r>
                  <w:rPr>
                    <w:b/>
                    <w:spacing w:val="-10"/>
                    <w:w w:val="95"/>
                    <w:sz w:val="16"/>
                  </w:rPr>
                  <w:fldChar w:fldCharType="separate"/>
                </w:r>
                <w:r w:rsidR="00560142">
                  <w:rPr>
                    <w:b/>
                    <w:noProof/>
                    <w:spacing w:val="-10"/>
                    <w:w w:val="95"/>
                    <w:sz w:val="16"/>
                  </w:rPr>
                  <w:t>8</w:t>
                </w:r>
                <w:r>
                  <w:rPr>
                    <w:b/>
                    <w:spacing w:val="-10"/>
                    <w:w w:val="95"/>
                    <w:sz w:val="16"/>
                  </w:rPr>
                  <w:fldChar w:fldCharType="end"/>
                </w:r>
              </w:p>
            </w:txbxContent>
          </v:textbox>
          <w10:wrap anchorx="page" anchory="page"/>
        </v:shape>
      </w:pict>
    </w:r>
    <w:r>
      <w:pict>
        <v:shape id="docshape39" o:spid="_x0000_s2346" type="#_x0000_t202" style="position:absolute;margin-left:48.6pt;margin-top:559.45pt;width:155.9pt;height:10.3pt;z-index:-28277760;mso-position-horizontal-relative:page;mso-position-vertical-relative:page" filled="f" stroked="f">
          <v:textbox inset="0,0,0,0">
            <w:txbxContent>
              <w:p w:rsidR="00F22F94" w:rsidRDefault="00F22F94">
                <w:pPr>
                  <w:spacing w:before="24"/>
                  <w:ind w:left="20"/>
                  <w:rPr>
                    <w:sz w:val="14"/>
                  </w:rPr>
                </w:pPr>
                <w:r>
                  <w:rPr>
                    <w:w w:val="95"/>
                    <w:sz w:val="14"/>
                  </w:rPr>
                  <w:t>Infrastructure</w:t>
                </w:r>
                <w:r>
                  <w:rPr>
                    <w:spacing w:val="8"/>
                    <w:sz w:val="14"/>
                  </w:rPr>
                  <w:t xml:space="preserve"> </w:t>
                </w:r>
                <w:r>
                  <w:rPr>
                    <w:w w:val="95"/>
                    <w:sz w:val="14"/>
                  </w:rPr>
                  <w:t>NSW</w:t>
                </w:r>
                <w:r>
                  <w:rPr>
                    <w:spacing w:val="55"/>
                    <w:sz w:val="14"/>
                  </w:rPr>
                  <w:t xml:space="preserve"> </w:t>
                </w:r>
                <w:r>
                  <w:rPr>
                    <w:w w:val="95"/>
                    <w:sz w:val="14"/>
                  </w:rPr>
                  <w:t>|</w:t>
                </w:r>
                <w:r>
                  <w:rPr>
                    <w:spacing w:val="9"/>
                    <w:sz w:val="14"/>
                  </w:rPr>
                  <w:t xml:space="preserve"> </w:t>
                </w:r>
                <w:r>
                  <w:rPr>
                    <w:w w:val="95"/>
                    <w:sz w:val="14"/>
                  </w:rPr>
                  <w:t>State</w:t>
                </w:r>
                <w:r>
                  <w:rPr>
                    <w:spacing w:val="9"/>
                    <w:sz w:val="14"/>
                  </w:rPr>
                  <w:t xml:space="preserve"> </w:t>
                </w:r>
                <w:r>
                  <w:rPr>
                    <w:w w:val="95"/>
                    <w:sz w:val="14"/>
                  </w:rPr>
                  <w:t>Infrastructure</w:t>
                </w:r>
                <w:r>
                  <w:rPr>
                    <w:spacing w:val="9"/>
                    <w:sz w:val="14"/>
                  </w:rPr>
                  <w:t xml:space="preserve"> </w:t>
                </w:r>
                <w:r>
                  <w:rPr>
                    <w:spacing w:val="-2"/>
                    <w:w w:val="95"/>
                    <w:sz w:val="14"/>
                  </w:rPr>
                  <w:t>Strategy</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shapetype id="_x0000_t202" coordsize="21600,21600" o:spt="202" path="m,l,21600r21600,l21600,xe">
          <v:stroke joinstyle="miter"/>
          <v:path gradientshapeok="t" o:connecttype="rect"/>
        </v:shapetype>
        <v:shape id="docshape49" o:spid="_x0000_s2336" type="#_x0000_t202" style="position:absolute;margin-left:691.55pt;margin-top:558.45pt;width:104.6pt;height:11.55pt;z-index:-28276736;mso-position-horizontal-relative:page;mso-position-vertical-relative:page" filled="f" stroked="f">
          <v:textbox inset="0,0,0,0">
            <w:txbxContent>
              <w:p w:rsidR="00F22F94" w:rsidRDefault="00F22F94">
                <w:pPr>
                  <w:spacing w:before="26"/>
                  <w:ind w:left="20"/>
                  <w:rPr>
                    <w:b/>
                    <w:sz w:val="16"/>
                  </w:rPr>
                </w:pPr>
                <w:r>
                  <w:rPr>
                    <w:w w:val="95"/>
                    <w:sz w:val="16"/>
                  </w:rPr>
                  <w:t>Executive</w:t>
                </w:r>
                <w:r>
                  <w:rPr>
                    <w:spacing w:val="6"/>
                    <w:sz w:val="16"/>
                  </w:rPr>
                  <w:t xml:space="preserve"> </w:t>
                </w:r>
                <w:r>
                  <w:rPr>
                    <w:w w:val="95"/>
                    <w:sz w:val="16"/>
                  </w:rPr>
                  <w:t>summary</w:t>
                </w:r>
                <w:r>
                  <w:rPr>
                    <w:spacing w:val="7"/>
                    <w:sz w:val="16"/>
                  </w:rPr>
                  <w:t xml:space="preserve"> </w:t>
                </w:r>
                <w:r>
                  <w:rPr>
                    <w:b/>
                    <w:w w:val="95"/>
                    <w:sz w:val="16"/>
                  </w:rPr>
                  <w:t>Page</w:t>
                </w:r>
                <w:r>
                  <w:rPr>
                    <w:b/>
                    <w:spacing w:val="6"/>
                    <w:sz w:val="16"/>
                  </w:rPr>
                  <w:t xml:space="preserve"> </w:t>
                </w:r>
                <w:r>
                  <w:rPr>
                    <w:b/>
                    <w:spacing w:val="-5"/>
                    <w:w w:val="95"/>
                    <w:sz w:val="16"/>
                  </w:rPr>
                  <w:fldChar w:fldCharType="begin"/>
                </w:r>
                <w:r>
                  <w:rPr>
                    <w:b/>
                    <w:spacing w:val="-5"/>
                    <w:w w:val="95"/>
                    <w:sz w:val="16"/>
                  </w:rPr>
                  <w:instrText xml:space="preserve"> PAGE </w:instrText>
                </w:r>
                <w:r>
                  <w:rPr>
                    <w:b/>
                    <w:spacing w:val="-5"/>
                    <w:w w:val="95"/>
                    <w:sz w:val="16"/>
                  </w:rPr>
                  <w:fldChar w:fldCharType="separate"/>
                </w:r>
                <w:r w:rsidR="00560142">
                  <w:rPr>
                    <w:b/>
                    <w:noProof/>
                    <w:spacing w:val="-5"/>
                    <w:w w:val="95"/>
                    <w:sz w:val="16"/>
                  </w:rPr>
                  <w:t>13</w:t>
                </w:r>
                <w:r>
                  <w:rPr>
                    <w:b/>
                    <w:spacing w:val="-5"/>
                    <w:w w:val="95"/>
                    <w:sz w:val="16"/>
                  </w:rPr>
                  <w:fldChar w:fldCharType="end"/>
                </w:r>
              </w:p>
            </w:txbxContent>
          </v:textbox>
          <w10:wrap anchorx="page" anchory="page"/>
        </v:shape>
      </w:pict>
    </w:r>
    <w:r>
      <w:pict>
        <v:shape id="docshape50" o:spid="_x0000_s2335" type="#_x0000_t202" style="position:absolute;margin-left:48.6pt;margin-top:559.45pt;width:155.9pt;height:10.3pt;z-index:-28276224;mso-position-horizontal-relative:page;mso-position-vertical-relative:page" filled="f" stroked="f">
          <v:textbox inset="0,0,0,0">
            <w:txbxContent>
              <w:p w:rsidR="00F22F94" w:rsidRDefault="00F22F94">
                <w:pPr>
                  <w:spacing w:before="24"/>
                  <w:ind w:left="20"/>
                  <w:rPr>
                    <w:sz w:val="14"/>
                  </w:rPr>
                </w:pPr>
                <w:r>
                  <w:rPr>
                    <w:w w:val="95"/>
                    <w:sz w:val="14"/>
                  </w:rPr>
                  <w:t>Infrastructure</w:t>
                </w:r>
                <w:r>
                  <w:rPr>
                    <w:spacing w:val="8"/>
                    <w:sz w:val="14"/>
                  </w:rPr>
                  <w:t xml:space="preserve"> </w:t>
                </w:r>
                <w:r>
                  <w:rPr>
                    <w:w w:val="95"/>
                    <w:sz w:val="14"/>
                  </w:rPr>
                  <w:t>NSW</w:t>
                </w:r>
                <w:r>
                  <w:rPr>
                    <w:spacing w:val="55"/>
                    <w:sz w:val="14"/>
                  </w:rPr>
                  <w:t xml:space="preserve"> </w:t>
                </w:r>
                <w:r>
                  <w:rPr>
                    <w:w w:val="95"/>
                    <w:sz w:val="14"/>
                  </w:rPr>
                  <w:t>|</w:t>
                </w:r>
                <w:r>
                  <w:rPr>
                    <w:spacing w:val="9"/>
                    <w:sz w:val="14"/>
                  </w:rPr>
                  <w:t xml:space="preserve"> </w:t>
                </w:r>
                <w:r>
                  <w:rPr>
                    <w:w w:val="95"/>
                    <w:sz w:val="14"/>
                  </w:rPr>
                  <w:t>State</w:t>
                </w:r>
                <w:r>
                  <w:rPr>
                    <w:spacing w:val="9"/>
                    <w:sz w:val="14"/>
                  </w:rPr>
                  <w:t xml:space="preserve"> </w:t>
                </w:r>
                <w:r>
                  <w:rPr>
                    <w:w w:val="95"/>
                    <w:sz w:val="14"/>
                  </w:rPr>
                  <w:t>Infrastructure</w:t>
                </w:r>
                <w:r>
                  <w:rPr>
                    <w:spacing w:val="9"/>
                    <w:sz w:val="14"/>
                  </w:rPr>
                  <w:t xml:space="preserve"> </w:t>
                </w:r>
                <w:r>
                  <w:rPr>
                    <w:spacing w:val="-2"/>
                    <w:w w:val="95"/>
                    <w:sz w:val="14"/>
                  </w:rPr>
                  <w:t>Strategy</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shapetype id="_x0000_t202" coordsize="21600,21600" o:spt="202" path="m,l,21600r21600,l21600,xe">
          <v:stroke joinstyle="miter"/>
          <v:path gradientshapeok="t" o:connecttype="rect"/>
        </v:shapetype>
        <v:shape id="docshape60" o:spid="_x0000_s2325" type="#_x0000_t202" style="position:absolute;margin-left:55.65pt;margin-top:556.15pt;width:526.25pt;height:10.4pt;z-index:-28275200;mso-position-horizontal-relative:page;mso-position-vertical-relative:page" filled="f" stroked="f">
          <v:textbox inset="0,0,0,0">
            <w:txbxContent>
              <w:p w:rsidR="00F22F94" w:rsidRDefault="00F22F94">
                <w:pPr>
                  <w:spacing w:before="25"/>
                  <w:ind w:left="20"/>
                  <w:rPr>
                    <w:sz w:val="14"/>
                  </w:rPr>
                </w:pPr>
                <w:r>
                  <w:rPr>
                    <w:b/>
                    <w:color w:val="2E3092"/>
                    <w:w w:val="95"/>
                    <w:sz w:val="14"/>
                  </w:rPr>
                  <w:t>*</w:t>
                </w:r>
                <w:r>
                  <w:rPr>
                    <w:b/>
                    <w:color w:val="2E3092"/>
                    <w:spacing w:val="2"/>
                    <w:sz w:val="14"/>
                  </w:rPr>
                  <w:t xml:space="preserve"> </w:t>
                </w:r>
                <w:r>
                  <w:rPr>
                    <w:color w:val="2E3092"/>
                    <w:w w:val="95"/>
                    <w:sz w:val="14"/>
                  </w:rPr>
                  <w:t>Indicates</w:t>
                </w:r>
                <w:r>
                  <w:rPr>
                    <w:color w:val="2E3092"/>
                    <w:spacing w:val="2"/>
                    <w:sz w:val="14"/>
                  </w:rPr>
                  <w:t xml:space="preserve"> </w:t>
                </w:r>
                <w:r>
                  <w:rPr>
                    <w:color w:val="2E3092"/>
                    <w:w w:val="95"/>
                    <w:sz w:val="14"/>
                  </w:rPr>
                  <w:t>project</w:t>
                </w:r>
                <w:r>
                  <w:rPr>
                    <w:color w:val="2E3092"/>
                    <w:spacing w:val="3"/>
                    <w:sz w:val="14"/>
                  </w:rPr>
                  <w:t xml:space="preserve"> </w:t>
                </w:r>
                <w:r>
                  <w:rPr>
                    <w:color w:val="2E3092"/>
                    <w:w w:val="95"/>
                    <w:sz w:val="14"/>
                  </w:rPr>
                  <w:t>recommendations</w:t>
                </w:r>
                <w:r>
                  <w:rPr>
                    <w:color w:val="2E3092"/>
                    <w:spacing w:val="2"/>
                    <w:sz w:val="14"/>
                  </w:rPr>
                  <w:t xml:space="preserve"> </w:t>
                </w:r>
                <w:r>
                  <w:rPr>
                    <w:color w:val="2E3092"/>
                    <w:w w:val="95"/>
                    <w:sz w:val="14"/>
                  </w:rPr>
                  <w:t>that</w:t>
                </w:r>
                <w:r>
                  <w:rPr>
                    <w:color w:val="2E3092"/>
                    <w:spacing w:val="3"/>
                    <w:sz w:val="14"/>
                  </w:rPr>
                  <w:t xml:space="preserve"> </w:t>
                </w:r>
                <w:r>
                  <w:rPr>
                    <w:color w:val="2E3092"/>
                    <w:w w:val="95"/>
                    <w:sz w:val="14"/>
                  </w:rPr>
                  <w:t>are</w:t>
                </w:r>
                <w:r>
                  <w:rPr>
                    <w:color w:val="2E3092"/>
                    <w:spacing w:val="2"/>
                    <w:sz w:val="14"/>
                  </w:rPr>
                  <w:t xml:space="preserve"> </w:t>
                </w:r>
                <w:r>
                  <w:rPr>
                    <w:color w:val="2E3092"/>
                    <w:w w:val="95"/>
                    <w:sz w:val="14"/>
                  </w:rPr>
                  <w:t>existing</w:t>
                </w:r>
                <w:r>
                  <w:rPr>
                    <w:color w:val="2E3092"/>
                    <w:spacing w:val="3"/>
                    <w:sz w:val="14"/>
                  </w:rPr>
                  <w:t xml:space="preserve"> </w:t>
                </w:r>
                <w:r>
                  <w:rPr>
                    <w:color w:val="2E3092"/>
                    <w:w w:val="95"/>
                    <w:sz w:val="14"/>
                  </w:rPr>
                  <w:t>Government</w:t>
                </w:r>
                <w:r>
                  <w:rPr>
                    <w:color w:val="2E3092"/>
                    <w:spacing w:val="2"/>
                    <w:sz w:val="14"/>
                  </w:rPr>
                  <w:t xml:space="preserve"> </w:t>
                </w:r>
                <w:r>
                  <w:rPr>
                    <w:color w:val="2E3092"/>
                    <w:w w:val="95"/>
                    <w:sz w:val="14"/>
                  </w:rPr>
                  <w:t>commitments.</w:t>
                </w:r>
                <w:r>
                  <w:rPr>
                    <w:color w:val="2E3092"/>
                    <w:spacing w:val="3"/>
                    <w:sz w:val="14"/>
                  </w:rPr>
                  <w:t xml:space="preserve"> </w:t>
                </w:r>
                <w:r>
                  <w:rPr>
                    <w:w w:val="95"/>
                    <w:sz w:val="14"/>
                  </w:rPr>
                  <w:t>The</w:t>
                </w:r>
                <w:r>
                  <w:rPr>
                    <w:spacing w:val="2"/>
                    <w:sz w:val="14"/>
                  </w:rPr>
                  <w:t xml:space="preserve"> </w:t>
                </w:r>
                <w:r>
                  <w:rPr>
                    <w:w w:val="95"/>
                    <w:sz w:val="14"/>
                  </w:rPr>
                  <w:t>full</w:t>
                </w:r>
                <w:r>
                  <w:rPr>
                    <w:spacing w:val="3"/>
                    <w:sz w:val="14"/>
                  </w:rPr>
                  <w:t xml:space="preserve"> </w:t>
                </w:r>
                <w:r>
                  <w:rPr>
                    <w:w w:val="95"/>
                    <w:sz w:val="14"/>
                  </w:rPr>
                  <w:t>list</w:t>
                </w:r>
                <w:r>
                  <w:rPr>
                    <w:spacing w:val="2"/>
                    <w:sz w:val="14"/>
                  </w:rPr>
                  <w:t xml:space="preserve"> </w:t>
                </w:r>
                <w:r>
                  <w:rPr>
                    <w:w w:val="95"/>
                    <w:sz w:val="14"/>
                  </w:rPr>
                  <w:t>of</w:t>
                </w:r>
                <w:r>
                  <w:rPr>
                    <w:spacing w:val="3"/>
                    <w:sz w:val="14"/>
                  </w:rPr>
                  <w:t xml:space="preserve"> </w:t>
                </w:r>
                <w:r>
                  <w:rPr>
                    <w:w w:val="95"/>
                    <w:sz w:val="14"/>
                  </w:rPr>
                  <w:t>Infrastructure</w:t>
                </w:r>
                <w:r>
                  <w:rPr>
                    <w:spacing w:val="2"/>
                    <w:sz w:val="14"/>
                  </w:rPr>
                  <w:t xml:space="preserve"> </w:t>
                </w:r>
                <w:r>
                  <w:rPr>
                    <w:w w:val="95"/>
                    <w:sz w:val="14"/>
                  </w:rPr>
                  <w:t>NSW’s</w:t>
                </w:r>
                <w:r>
                  <w:rPr>
                    <w:spacing w:val="3"/>
                    <w:sz w:val="14"/>
                  </w:rPr>
                  <w:t xml:space="preserve"> </w:t>
                </w:r>
                <w:r>
                  <w:rPr>
                    <w:w w:val="95"/>
                    <w:sz w:val="14"/>
                  </w:rPr>
                  <w:t>recommendations</w:t>
                </w:r>
                <w:r>
                  <w:rPr>
                    <w:spacing w:val="2"/>
                    <w:sz w:val="14"/>
                  </w:rPr>
                  <w:t xml:space="preserve"> </w:t>
                </w:r>
                <w:r>
                  <w:rPr>
                    <w:w w:val="95"/>
                    <w:sz w:val="14"/>
                  </w:rPr>
                  <w:t>is</w:t>
                </w:r>
                <w:r>
                  <w:rPr>
                    <w:spacing w:val="2"/>
                    <w:sz w:val="14"/>
                  </w:rPr>
                  <w:t xml:space="preserve"> </w:t>
                </w:r>
                <w:r>
                  <w:rPr>
                    <w:w w:val="95"/>
                    <w:sz w:val="14"/>
                  </w:rPr>
                  <w:t>set</w:t>
                </w:r>
                <w:r>
                  <w:rPr>
                    <w:spacing w:val="3"/>
                    <w:sz w:val="14"/>
                  </w:rPr>
                  <w:t xml:space="preserve"> </w:t>
                </w:r>
                <w:r>
                  <w:rPr>
                    <w:w w:val="95"/>
                    <w:sz w:val="14"/>
                  </w:rPr>
                  <w:t>out</w:t>
                </w:r>
                <w:r>
                  <w:rPr>
                    <w:spacing w:val="2"/>
                    <w:sz w:val="14"/>
                  </w:rPr>
                  <w:t xml:space="preserve"> </w:t>
                </w:r>
                <w:r>
                  <w:rPr>
                    <w:w w:val="95"/>
                    <w:sz w:val="14"/>
                  </w:rPr>
                  <w:t>in</w:t>
                </w:r>
                <w:r>
                  <w:rPr>
                    <w:spacing w:val="3"/>
                    <w:sz w:val="14"/>
                  </w:rPr>
                  <w:t xml:space="preserve"> </w:t>
                </w:r>
                <w:r>
                  <w:rPr>
                    <w:w w:val="95"/>
                    <w:sz w:val="14"/>
                  </w:rPr>
                  <w:t>Section</w:t>
                </w:r>
                <w:r>
                  <w:rPr>
                    <w:spacing w:val="2"/>
                    <w:sz w:val="14"/>
                  </w:rPr>
                  <w:t xml:space="preserve"> </w:t>
                </w:r>
                <w:r>
                  <w:rPr>
                    <w:w w:val="95"/>
                    <w:sz w:val="14"/>
                  </w:rPr>
                  <w:t>15</w:t>
                </w:r>
                <w:r>
                  <w:rPr>
                    <w:spacing w:val="3"/>
                    <w:sz w:val="14"/>
                  </w:rPr>
                  <w:t xml:space="preserve"> </w:t>
                </w:r>
                <w:r>
                  <w:rPr>
                    <w:w w:val="95"/>
                    <w:sz w:val="14"/>
                  </w:rPr>
                  <w:t>of</w:t>
                </w:r>
                <w:r>
                  <w:rPr>
                    <w:spacing w:val="2"/>
                    <w:sz w:val="14"/>
                  </w:rPr>
                  <w:t xml:space="preserve"> </w:t>
                </w:r>
                <w:r>
                  <w:rPr>
                    <w:w w:val="95"/>
                    <w:sz w:val="14"/>
                  </w:rPr>
                  <w:t>the</w:t>
                </w:r>
                <w:r>
                  <w:rPr>
                    <w:spacing w:val="3"/>
                    <w:sz w:val="14"/>
                  </w:rPr>
                  <w:t xml:space="preserve"> </w:t>
                </w:r>
                <w:r>
                  <w:rPr>
                    <w:spacing w:val="-2"/>
                    <w:w w:val="95"/>
                    <w:sz w:val="14"/>
                  </w:rPr>
                  <w:t>Strategy.</w:t>
                </w:r>
              </w:p>
            </w:txbxContent>
          </v:textbox>
          <w10:wrap anchorx="page" anchory="page"/>
        </v:shape>
      </w:pict>
    </w:r>
    <w:r>
      <w:pict>
        <v:shape id="docshape61" o:spid="_x0000_s2324" type="#_x0000_t202" style="position:absolute;margin-left:691.7pt;margin-top:558.45pt;width:104.25pt;height:11.55pt;z-index:-28274688;mso-position-horizontal-relative:page;mso-position-vertical-relative:page" filled="f" stroked="f">
          <v:textbox inset="0,0,0,0">
            <w:txbxContent>
              <w:p w:rsidR="00F22F94" w:rsidRDefault="00F22F94">
                <w:pPr>
                  <w:spacing w:before="26"/>
                  <w:ind w:left="20"/>
                  <w:rPr>
                    <w:b/>
                    <w:sz w:val="16"/>
                  </w:rPr>
                </w:pPr>
                <w:r>
                  <w:rPr>
                    <w:w w:val="95"/>
                    <w:sz w:val="16"/>
                  </w:rPr>
                  <w:t>Executive</w:t>
                </w:r>
                <w:r>
                  <w:rPr>
                    <w:spacing w:val="6"/>
                    <w:sz w:val="16"/>
                  </w:rPr>
                  <w:t xml:space="preserve"> </w:t>
                </w:r>
                <w:r>
                  <w:rPr>
                    <w:w w:val="95"/>
                    <w:sz w:val="16"/>
                  </w:rPr>
                  <w:t>summary</w:t>
                </w:r>
                <w:r>
                  <w:rPr>
                    <w:spacing w:val="7"/>
                    <w:sz w:val="16"/>
                  </w:rPr>
                  <w:t xml:space="preserve"> </w:t>
                </w:r>
                <w:r>
                  <w:rPr>
                    <w:b/>
                    <w:w w:val="95"/>
                    <w:sz w:val="16"/>
                  </w:rPr>
                  <w:t>Page</w:t>
                </w:r>
                <w:r>
                  <w:rPr>
                    <w:b/>
                    <w:spacing w:val="6"/>
                    <w:sz w:val="16"/>
                  </w:rPr>
                  <w:t xml:space="preserve"> </w:t>
                </w:r>
                <w:r>
                  <w:rPr>
                    <w:b/>
                    <w:spacing w:val="-5"/>
                    <w:w w:val="95"/>
                    <w:sz w:val="16"/>
                  </w:rPr>
                  <w:fldChar w:fldCharType="begin"/>
                </w:r>
                <w:r>
                  <w:rPr>
                    <w:b/>
                    <w:spacing w:val="-5"/>
                    <w:w w:val="95"/>
                    <w:sz w:val="16"/>
                  </w:rPr>
                  <w:instrText xml:space="preserve"> PAGE </w:instrText>
                </w:r>
                <w:r>
                  <w:rPr>
                    <w:b/>
                    <w:spacing w:val="-5"/>
                    <w:w w:val="95"/>
                    <w:sz w:val="16"/>
                  </w:rPr>
                  <w:fldChar w:fldCharType="separate"/>
                </w:r>
                <w:r w:rsidR="00560142">
                  <w:rPr>
                    <w:b/>
                    <w:noProof/>
                    <w:spacing w:val="-5"/>
                    <w:w w:val="95"/>
                    <w:sz w:val="16"/>
                  </w:rPr>
                  <w:t>14</w:t>
                </w:r>
                <w:r>
                  <w:rPr>
                    <w:b/>
                    <w:spacing w:val="-5"/>
                    <w:w w:val="95"/>
                    <w:sz w:val="16"/>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F22F94">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shapetype id="_x0000_t202" coordsize="21600,21600" o:spt="202" path="m,l,21600r21600,l21600,xe">
          <v:stroke joinstyle="miter"/>
          <v:path gradientshapeok="t" o:connecttype="rect"/>
        </v:shapetype>
        <v:shape id="docshape90" o:spid="_x0000_s2314" type="#_x0000_t202" style="position:absolute;margin-left:609.25pt;margin-top:558.45pt;width:187pt;height:11.55pt;z-index:-28273664;mso-position-horizontal-relative:page;mso-position-vertical-relative:page" filled="f" stroked="f">
          <v:textbox inset="0,0,0,0">
            <w:txbxContent>
              <w:p w:rsidR="00F22F94" w:rsidRDefault="00F22F94">
                <w:pPr>
                  <w:spacing w:before="26"/>
                  <w:ind w:left="20"/>
                  <w:rPr>
                    <w:b/>
                    <w:sz w:val="16"/>
                  </w:rPr>
                </w:pPr>
                <w:r>
                  <w:rPr>
                    <w:w w:val="95"/>
                    <w:sz w:val="16"/>
                  </w:rPr>
                  <w:t>The</w:t>
                </w:r>
                <w:r>
                  <w:rPr>
                    <w:spacing w:val="8"/>
                    <w:sz w:val="16"/>
                  </w:rPr>
                  <w:t xml:space="preserve"> </w:t>
                </w:r>
                <w:r>
                  <w:rPr>
                    <w:w w:val="95"/>
                    <w:sz w:val="16"/>
                  </w:rPr>
                  <w:t>context</w:t>
                </w:r>
                <w:r>
                  <w:rPr>
                    <w:spacing w:val="8"/>
                    <w:sz w:val="16"/>
                  </w:rPr>
                  <w:t xml:space="preserve"> </w:t>
                </w:r>
                <w:r>
                  <w:rPr>
                    <w:b/>
                    <w:w w:val="95"/>
                    <w:sz w:val="16"/>
                  </w:rPr>
                  <w:t>Section</w:t>
                </w:r>
                <w:r>
                  <w:rPr>
                    <w:b/>
                    <w:spacing w:val="9"/>
                    <w:sz w:val="16"/>
                  </w:rPr>
                  <w:t xml:space="preserve"> </w:t>
                </w:r>
                <w:r>
                  <w:rPr>
                    <w:b/>
                    <w:w w:val="95"/>
                    <w:sz w:val="16"/>
                  </w:rPr>
                  <w:t>1</w:t>
                </w:r>
                <w:r>
                  <w:rPr>
                    <w:b/>
                    <w:spacing w:val="8"/>
                    <w:sz w:val="16"/>
                  </w:rPr>
                  <w:t xml:space="preserve"> </w:t>
                </w:r>
                <w:r>
                  <w:rPr>
                    <w:w w:val="95"/>
                    <w:sz w:val="16"/>
                  </w:rPr>
                  <w:t>Strategic</w:t>
                </w:r>
                <w:r>
                  <w:rPr>
                    <w:spacing w:val="9"/>
                    <w:sz w:val="16"/>
                  </w:rPr>
                  <w:t xml:space="preserve"> </w:t>
                </w:r>
                <w:r>
                  <w:rPr>
                    <w:w w:val="95"/>
                    <w:sz w:val="16"/>
                  </w:rPr>
                  <w:t>framework</w:t>
                </w:r>
                <w:r>
                  <w:rPr>
                    <w:spacing w:val="8"/>
                    <w:sz w:val="16"/>
                  </w:rPr>
                  <w:t xml:space="preserve"> </w:t>
                </w:r>
                <w:r>
                  <w:rPr>
                    <w:b/>
                    <w:w w:val="95"/>
                    <w:sz w:val="16"/>
                  </w:rPr>
                  <w:t>Page</w:t>
                </w:r>
                <w:r>
                  <w:rPr>
                    <w:b/>
                    <w:spacing w:val="9"/>
                    <w:sz w:val="16"/>
                  </w:rPr>
                  <w:t xml:space="preserve"> </w:t>
                </w:r>
                <w:r>
                  <w:rPr>
                    <w:b/>
                    <w:spacing w:val="-5"/>
                    <w:w w:val="95"/>
                    <w:sz w:val="16"/>
                  </w:rPr>
                  <w:fldChar w:fldCharType="begin"/>
                </w:r>
                <w:r>
                  <w:rPr>
                    <w:b/>
                    <w:spacing w:val="-5"/>
                    <w:w w:val="95"/>
                    <w:sz w:val="16"/>
                  </w:rPr>
                  <w:instrText xml:space="preserve"> PAGE </w:instrText>
                </w:r>
                <w:r>
                  <w:rPr>
                    <w:b/>
                    <w:spacing w:val="-5"/>
                    <w:w w:val="95"/>
                    <w:sz w:val="16"/>
                  </w:rPr>
                  <w:fldChar w:fldCharType="separate"/>
                </w:r>
                <w:r w:rsidR="00560142">
                  <w:rPr>
                    <w:b/>
                    <w:noProof/>
                    <w:spacing w:val="-5"/>
                    <w:w w:val="95"/>
                    <w:sz w:val="16"/>
                  </w:rPr>
                  <w:t>21</w:t>
                </w:r>
                <w:r>
                  <w:rPr>
                    <w:b/>
                    <w:spacing w:val="-5"/>
                    <w:w w:val="95"/>
                    <w:sz w:val="16"/>
                  </w:rPr>
                  <w:fldChar w:fldCharType="end"/>
                </w:r>
              </w:p>
            </w:txbxContent>
          </v:textbox>
          <w10:wrap anchorx="page" anchory="page"/>
        </v:shape>
      </w:pict>
    </w:r>
    <w:r>
      <w:pict>
        <v:shape id="docshape91" o:spid="_x0000_s2313" type="#_x0000_t202" style="position:absolute;margin-left:48.6pt;margin-top:559.45pt;width:155.9pt;height:10.3pt;z-index:-28273152;mso-position-horizontal-relative:page;mso-position-vertical-relative:page" filled="f" stroked="f">
          <v:textbox inset="0,0,0,0">
            <w:txbxContent>
              <w:p w:rsidR="00F22F94" w:rsidRDefault="00F22F94">
                <w:pPr>
                  <w:spacing w:before="24"/>
                  <w:ind w:left="20"/>
                  <w:rPr>
                    <w:sz w:val="14"/>
                  </w:rPr>
                </w:pPr>
                <w:r>
                  <w:rPr>
                    <w:w w:val="95"/>
                    <w:sz w:val="14"/>
                  </w:rPr>
                  <w:t>Infrastructure</w:t>
                </w:r>
                <w:r>
                  <w:rPr>
                    <w:spacing w:val="8"/>
                    <w:sz w:val="14"/>
                  </w:rPr>
                  <w:t xml:space="preserve"> </w:t>
                </w:r>
                <w:r>
                  <w:rPr>
                    <w:w w:val="95"/>
                    <w:sz w:val="14"/>
                  </w:rPr>
                  <w:t>NSW</w:t>
                </w:r>
                <w:r>
                  <w:rPr>
                    <w:spacing w:val="55"/>
                    <w:sz w:val="14"/>
                  </w:rPr>
                  <w:t xml:space="preserve"> </w:t>
                </w:r>
                <w:r>
                  <w:rPr>
                    <w:w w:val="95"/>
                    <w:sz w:val="14"/>
                  </w:rPr>
                  <w:t>|</w:t>
                </w:r>
                <w:r>
                  <w:rPr>
                    <w:spacing w:val="9"/>
                    <w:sz w:val="14"/>
                  </w:rPr>
                  <w:t xml:space="preserve"> </w:t>
                </w:r>
                <w:r>
                  <w:rPr>
                    <w:w w:val="95"/>
                    <w:sz w:val="14"/>
                  </w:rPr>
                  <w:t>State</w:t>
                </w:r>
                <w:r>
                  <w:rPr>
                    <w:spacing w:val="9"/>
                    <w:sz w:val="14"/>
                  </w:rPr>
                  <w:t xml:space="preserve"> </w:t>
                </w:r>
                <w:r>
                  <w:rPr>
                    <w:w w:val="95"/>
                    <w:sz w:val="14"/>
                  </w:rPr>
                  <w:t>Infrastructure</w:t>
                </w:r>
                <w:r>
                  <w:rPr>
                    <w:spacing w:val="9"/>
                    <w:sz w:val="14"/>
                  </w:rPr>
                  <w:t xml:space="preserve"> </w:t>
                </w:r>
                <w:r>
                  <w:rPr>
                    <w:spacing w:val="-2"/>
                    <w:w w:val="95"/>
                    <w:sz w:val="14"/>
                  </w:rPr>
                  <w:t>Strategy</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F22F94">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60EF" w:rsidRDefault="002060EF">
      <w:r>
        <w:separator/>
      </w:r>
    </w:p>
  </w:footnote>
  <w:footnote w:type="continuationSeparator" w:id="0">
    <w:p w:rsidR="002060EF" w:rsidRDefault="002060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group id="docshapegroup1" o:spid="_x0000_s2368" style="position:absolute;margin-left:0;margin-top:0;width:841.9pt;height:28.35pt;z-index:-28280832;mso-position-horizontal-relative:page;mso-position-vertical-relative:page" coordsize="16838,567">
          <v:rect id="docshape2" o:spid="_x0000_s2376" style="position:absolute;width:16838;height:567" fillcolor="#e1e0e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2375" type="#_x0000_t75" style="position:absolute;left:972;top:148;width:399;height:312">
            <v:imagedata r:id="rId1" o:title=""/>
          </v:shape>
          <v:shape id="docshape4" o:spid="_x0000_s2374" style="position:absolute;left:2815;top:150;width:307;height:307" coordorigin="2815,151" coordsize="307,307" o:spt="100" adj="0,,0" path="m3055,284r-173,l2882,324r173,l3055,284xm3121,304r-12,-60l3095,223r,81l3085,353r-27,40l3017,421r-49,9l2919,421r-40,-28l2852,353r-10,-49l2852,255r27,-40l2919,187r49,-9l3017,187r41,28l3085,255r10,49l3095,223r-19,-27l3049,178r-21,-15l2968,151r-59,12l2860,196r-33,48l2815,304r12,60l2860,412r49,33l2968,457r60,-12l3049,430r27,-18l3109,364r12,-60xe" stroked="f">
            <v:stroke joinstyle="round"/>
            <v:formulas/>
            <v:path arrowok="t" o:connecttype="segments"/>
          </v:shape>
          <v:shape id="docshape5" o:spid="_x0000_s2373" type="#_x0000_t75" style="position:absolute;left:3250;top:150;width:307;height:307">
            <v:imagedata r:id="rId2" o:title=""/>
          </v:shape>
          <v:shape id="docshape6" o:spid="_x0000_s2372" type="#_x0000_t75" style="position:absolute;left:14523;top:147;width:330;height:313">
            <v:imagedata r:id="rId3" o:title=""/>
          </v:shape>
          <v:shape id="docshape7" o:spid="_x0000_s2371" type="#_x0000_t75" style="position:absolute;left:15144;top:150;width:307;height:307">
            <v:imagedata r:id="rId4" o:title=""/>
          </v:shape>
          <v:shape id="docshape8" o:spid="_x0000_s2370" type="#_x0000_t75" style="position:absolute;left:15557;top:150;width:307;height:307">
            <v:imagedata r:id="rId5" o:title=""/>
          </v:shape>
          <v:shape id="docshape9" o:spid="_x0000_s2369" type="#_x0000_t75" style="position:absolute;left:1687;top:147;width:314;height:313">
            <v:imagedata r:id="rId6" o:title=""/>
          </v:shape>
          <w10:wrap anchorx="page" anchory="page"/>
        </v:group>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F22F94">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group id="docshapegroup225" o:spid="_x0000_s2304" style="position:absolute;margin-left:0;margin-top:0;width:841.9pt;height:28.35pt;z-index:-28272640;mso-position-horizontal-relative:page;mso-position-vertical-relative:page" coordsize="16838,567">
          <v:rect id="docshape226" o:spid="_x0000_s2312" style="position:absolute;width:16838;height:567" fillcolor="#ec008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27" o:spid="_x0000_s2311" type="#_x0000_t75" style="position:absolute;left:972;top:148;width:399;height:312">
            <v:imagedata r:id="rId1" o:title=""/>
          </v:shape>
          <v:shape id="docshape228" o:spid="_x0000_s2310" style="position:absolute;left:2815;top:150;width:307;height:307" coordorigin="2815,151" coordsize="307,307" o:spt="100" adj="0,,0" path="m3055,284r-173,l2882,324r173,l3055,284xm3121,304r-12,-60l3095,223r,81l3085,353r-27,40l3017,421r-49,9l2919,421r-40,-28l2852,353r-10,-49l2852,255r27,-40l2919,187r49,-9l3017,187r41,28l3085,255r10,49l3095,223r-19,-27l3049,178r-21,-15l2968,151r-59,12l2860,196r-33,48l2815,304r12,60l2860,412r49,33l2968,457r60,-12l3049,430r27,-18l3109,364r12,-60xe" stroked="f">
            <v:stroke joinstyle="round"/>
            <v:formulas/>
            <v:path arrowok="t" o:connecttype="segments"/>
          </v:shape>
          <v:shape id="docshape229" o:spid="_x0000_s2309" type="#_x0000_t75" style="position:absolute;left:3250;top:150;width:307;height:307">
            <v:imagedata r:id="rId2" o:title=""/>
          </v:shape>
          <v:shape id="docshape230" o:spid="_x0000_s2308" type="#_x0000_t75" style="position:absolute;left:14523;top:147;width:330;height:313">
            <v:imagedata r:id="rId3" o:title=""/>
          </v:shape>
          <v:shape id="docshape231" o:spid="_x0000_s2307" type="#_x0000_t75" style="position:absolute;left:15144;top:150;width:307;height:307">
            <v:imagedata r:id="rId4" o:title=""/>
          </v:shape>
          <v:shape id="docshape232" o:spid="_x0000_s2306" type="#_x0000_t75" style="position:absolute;left:15557;top:150;width:307;height:307">
            <v:imagedata r:id="rId5" o:title=""/>
          </v:shape>
          <v:shape id="docshape233" o:spid="_x0000_s2305" type="#_x0000_t75" style="position:absolute;left:1687;top:147;width:314;height:313">
            <v:imagedata r:id="rId6" o:title=""/>
          </v:shape>
          <w10:wrap anchorx="page" anchory="page"/>
        </v:group>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group id="docshapegroup252" o:spid="_x0000_s2293" style="position:absolute;margin-left:0;margin-top:0;width:841.9pt;height:28.35pt;z-index:-28271104;mso-position-horizontal-relative:page;mso-position-vertical-relative:page" coordsize="16838,567">
          <v:rect id="docshape253" o:spid="_x0000_s2301" style="position:absolute;width:16838;height:567" fillcolor="#ec008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54" o:spid="_x0000_s2300" type="#_x0000_t75" style="position:absolute;left:972;top:148;width:399;height:312">
            <v:imagedata r:id="rId1" o:title=""/>
          </v:shape>
          <v:shape id="docshape255" o:spid="_x0000_s2299" style="position:absolute;left:2815;top:150;width:307;height:307" coordorigin="2815,151" coordsize="307,307" o:spt="100" adj="0,,0" path="m3055,284r-173,l2882,324r173,l3055,284xm3121,304r-12,-60l3095,223r,81l3085,353r-27,40l3017,421r-49,9l2919,421r-40,-28l2852,353r-10,-49l2852,255r27,-40l2919,187r49,-9l3017,187r41,28l3085,255r10,49l3095,223r-19,-27l3049,178r-21,-15l2968,151r-59,12l2860,196r-33,48l2815,304r12,60l2860,412r49,33l2968,457r60,-12l3049,430r27,-18l3109,364r12,-60xe" stroked="f">
            <v:stroke joinstyle="round"/>
            <v:formulas/>
            <v:path arrowok="t" o:connecttype="segments"/>
          </v:shape>
          <v:shape id="docshape256" o:spid="_x0000_s2298" type="#_x0000_t75" style="position:absolute;left:3250;top:150;width:307;height:307">
            <v:imagedata r:id="rId2" o:title=""/>
          </v:shape>
          <v:shape id="docshape257" o:spid="_x0000_s2297" type="#_x0000_t75" style="position:absolute;left:14523;top:147;width:330;height:313">
            <v:imagedata r:id="rId3" o:title=""/>
          </v:shape>
          <v:shape id="docshape258" o:spid="_x0000_s2296" type="#_x0000_t75" style="position:absolute;left:15144;top:150;width:307;height:307">
            <v:imagedata r:id="rId4" o:title=""/>
          </v:shape>
          <v:shape id="docshape259" o:spid="_x0000_s2295" type="#_x0000_t75" style="position:absolute;left:15557;top:150;width:307;height:307">
            <v:imagedata r:id="rId5" o:title=""/>
          </v:shape>
          <v:shape id="docshape260" o:spid="_x0000_s2294" type="#_x0000_t75" style="position:absolute;left:1687;top:147;width:314;height:313">
            <v:imagedata r:id="rId6" o:title=""/>
          </v:shape>
          <w10:wrap anchorx="page" anchory="page"/>
        </v:group>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group id="docshapegroup562" o:spid="_x0000_s2282" style="position:absolute;margin-left:0;margin-top:0;width:841.9pt;height:28.35pt;z-index:-28269568;mso-position-horizontal-relative:page;mso-position-vertical-relative:page" coordsize="16838,567">
          <v:rect id="docshape563" o:spid="_x0000_s2290" style="position:absolute;width:16838;height:567" fillcolor="#ec008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64" o:spid="_x0000_s2289" type="#_x0000_t75" style="position:absolute;left:972;top:148;width:399;height:312">
            <v:imagedata r:id="rId1" o:title=""/>
          </v:shape>
          <v:shape id="docshape565" o:spid="_x0000_s2288" style="position:absolute;left:2815;top:150;width:307;height:307" coordorigin="2815,151" coordsize="307,307" o:spt="100" adj="0,,0" path="m3055,284r-173,l2882,324r173,l3055,284xm3121,304r-12,-60l3095,223r,81l3085,353r-27,40l3017,421r-49,9l2919,421r-40,-28l2852,353r-10,-49l2852,255r27,-40l2919,187r49,-9l3017,187r41,28l3085,255r10,49l3095,223r-19,-27l3049,178r-21,-15l2968,151r-59,12l2860,196r-33,48l2815,304r12,60l2860,412r49,33l2968,457r60,-12l3049,430r27,-18l3109,364r12,-60xe" stroked="f">
            <v:stroke joinstyle="round"/>
            <v:formulas/>
            <v:path arrowok="t" o:connecttype="segments"/>
          </v:shape>
          <v:shape id="docshape566" o:spid="_x0000_s2287" type="#_x0000_t75" style="position:absolute;left:3250;top:150;width:307;height:307">
            <v:imagedata r:id="rId2" o:title=""/>
          </v:shape>
          <v:shape id="docshape567" o:spid="_x0000_s2286" type="#_x0000_t75" style="position:absolute;left:14523;top:147;width:330;height:313">
            <v:imagedata r:id="rId3" o:title=""/>
          </v:shape>
          <v:shape id="docshape568" o:spid="_x0000_s2285" type="#_x0000_t75" style="position:absolute;left:15144;top:150;width:307;height:307">
            <v:imagedata r:id="rId4" o:title=""/>
          </v:shape>
          <v:shape id="docshape569" o:spid="_x0000_s2284" type="#_x0000_t75" style="position:absolute;left:15557;top:150;width:307;height:307">
            <v:imagedata r:id="rId5" o:title=""/>
          </v:shape>
          <v:shape id="docshape570" o:spid="_x0000_s2283" type="#_x0000_t75" style="position:absolute;left:1687;top:147;width:314;height:313">
            <v:imagedata r:id="rId6" o:title=""/>
          </v:shape>
          <w10:wrap anchorx="page" anchory="page"/>
        </v:group>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group id="docshapegroup572" o:spid="_x0000_s2273" style="position:absolute;margin-left:0;margin-top:0;width:841.9pt;height:28.35pt;z-index:-28269056;mso-position-horizontal-relative:page;mso-position-vertical-relative:page" coordsize="16838,567">
          <v:rect id="docshape573" o:spid="_x0000_s2281" style="position:absolute;width:16838;height:567" fillcolor="#ec008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74" o:spid="_x0000_s2280" type="#_x0000_t75" style="position:absolute;left:972;top:148;width:399;height:312">
            <v:imagedata r:id="rId1" o:title=""/>
          </v:shape>
          <v:shape id="docshape575" o:spid="_x0000_s2279" style="position:absolute;left:2815;top:150;width:307;height:307" coordorigin="2815,151" coordsize="307,307" o:spt="100" adj="0,,0" path="m3055,284r-173,l2882,324r173,l3055,284xm3121,304r-12,-60l3095,223r,81l3085,353r-27,40l3017,421r-49,9l2919,421r-40,-28l2852,353r-10,-49l2852,255r27,-40l2919,187r49,-9l3017,187r41,28l3085,255r10,49l3095,223r-19,-27l3049,178r-21,-15l2968,151r-59,12l2860,196r-33,48l2815,304r12,60l2860,412r49,33l2968,457r60,-12l3049,430r27,-18l3109,364r12,-60xe" stroked="f">
            <v:stroke joinstyle="round"/>
            <v:formulas/>
            <v:path arrowok="t" o:connecttype="segments"/>
          </v:shape>
          <v:shape id="docshape576" o:spid="_x0000_s2278" type="#_x0000_t75" style="position:absolute;left:3250;top:150;width:307;height:307">
            <v:imagedata r:id="rId2" o:title=""/>
          </v:shape>
          <v:shape id="docshape577" o:spid="_x0000_s2277" type="#_x0000_t75" style="position:absolute;left:14523;top:147;width:330;height:313">
            <v:imagedata r:id="rId3" o:title=""/>
          </v:shape>
          <v:shape id="docshape578" o:spid="_x0000_s2276" type="#_x0000_t75" style="position:absolute;left:15144;top:150;width:307;height:307">
            <v:imagedata r:id="rId4" o:title=""/>
          </v:shape>
          <v:shape id="docshape579" o:spid="_x0000_s2275" type="#_x0000_t75" style="position:absolute;left:15557;top:150;width:307;height:307">
            <v:imagedata r:id="rId5" o:title=""/>
          </v:shape>
          <v:shape id="docshape580" o:spid="_x0000_s2274" type="#_x0000_t75" style="position:absolute;left:1687;top:147;width:314;height:313">
            <v:imagedata r:id="rId6" o:title=""/>
          </v:shape>
          <w10:wrap anchorx="page" anchory="page"/>
        </v:group>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group id="docshapegroup585" o:spid="_x0000_s2262" style="position:absolute;margin-left:0;margin-top:0;width:841.9pt;height:28.35pt;z-index:-28267520;mso-position-horizontal-relative:page;mso-position-vertical-relative:page" coordsize="16838,567">
          <v:rect id="docshape586" o:spid="_x0000_s2270" style="position:absolute;width:16838;height:567" fillcolor="#ec008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87" o:spid="_x0000_s2269" type="#_x0000_t75" style="position:absolute;left:972;top:148;width:399;height:312">
            <v:imagedata r:id="rId1" o:title=""/>
          </v:shape>
          <v:shape id="docshape588" o:spid="_x0000_s2268" style="position:absolute;left:2815;top:150;width:307;height:307" coordorigin="2815,151" coordsize="307,307" o:spt="100" adj="0,,0" path="m3055,284r-173,l2882,324r173,l3055,284xm3121,304r-12,-60l3095,223r,81l3085,353r-27,40l3017,421r-49,9l2919,421r-40,-28l2852,353r-10,-49l2852,255r27,-40l2919,187r49,-9l3017,187r41,28l3085,255r10,49l3095,223r-19,-27l3049,178r-21,-15l2968,151r-59,12l2860,196r-33,48l2815,304r12,60l2860,412r49,33l2968,457r60,-12l3049,430r27,-18l3109,364r12,-60xe" stroked="f">
            <v:stroke joinstyle="round"/>
            <v:formulas/>
            <v:path arrowok="t" o:connecttype="segments"/>
          </v:shape>
          <v:shape id="docshape589" o:spid="_x0000_s2267" type="#_x0000_t75" style="position:absolute;left:3250;top:150;width:307;height:307">
            <v:imagedata r:id="rId2" o:title=""/>
          </v:shape>
          <v:shape id="docshape590" o:spid="_x0000_s2266" type="#_x0000_t75" style="position:absolute;left:14523;top:147;width:330;height:313">
            <v:imagedata r:id="rId3" o:title=""/>
          </v:shape>
          <v:shape id="docshape591" o:spid="_x0000_s2265" type="#_x0000_t75" style="position:absolute;left:15144;top:150;width:307;height:307">
            <v:imagedata r:id="rId4" o:title=""/>
          </v:shape>
          <v:shape id="docshape592" o:spid="_x0000_s2264" type="#_x0000_t75" style="position:absolute;left:15557;top:150;width:307;height:307">
            <v:imagedata r:id="rId5" o:title=""/>
          </v:shape>
          <v:shape id="docshape593" o:spid="_x0000_s2263" type="#_x0000_t75" style="position:absolute;left:1687;top:147;width:314;height:313">
            <v:imagedata r:id="rId6" o:title=""/>
          </v:shape>
          <w10:wrap anchorx="page" anchory="page"/>
        </v:group>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F22F94">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group id="docshapegroup665" o:spid="_x0000_s2251" style="position:absolute;margin-left:0;margin-top:0;width:841.9pt;height:28.35pt;z-index:-28265984;mso-position-horizontal-relative:page;mso-position-vertical-relative:page" coordsize="16838,567">
          <v:rect id="docshape666" o:spid="_x0000_s2259" style="position:absolute;width:16838;height:567" fillcolor="#ec008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67" o:spid="_x0000_s2258" type="#_x0000_t75" style="position:absolute;left:972;top:148;width:399;height:312">
            <v:imagedata r:id="rId1" o:title=""/>
          </v:shape>
          <v:shape id="docshape668" o:spid="_x0000_s2257" style="position:absolute;left:2815;top:150;width:307;height:307" coordorigin="2815,151" coordsize="307,307" o:spt="100" adj="0,,0" path="m3055,284r-173,l2882,324r173,l3055,284xm3121,304r-12,-60l3095,223r,81l3085,353r-27,40l3017,421r-49,9l2919,421r-40,-28l2852,353r-10,-49l2852,255r27,-40l2919,187r49,-9l3017,187r41,28l3085,255r10,49l3095,223r-19,-27l3049,178r-21,-15l2968,151r-59,12l2860,196r-33,48l2815,304r12,60l2860,412r49,33l2968,457r60,-12l3049,430r27,-18l3109,364r12,-60xe" stroked="f">
            <v:stroke joinstyle="round"/>
            <v:formulas/>
            <v:path arrowok="t" o:connecttype="segments"/>
          </v:shape>
          <v:shape id="docshape669" o:spid="_x0000_s2256" type="#_x0000_t75" style="position:absolute;left:3250;top:150;width:307;height:307">
            <v:imagedata r:id="rId2" o:title=""/>
          </v:shape>
          <v:shape id="docshape670" o:spid="_x0000_s2255" type="#_x0000_t75" style="position:absolute;left:14523;top:147;width:330;height:313">
            <v:imagedata r:id="rId3" o:title=""/>
          </v:shape>
          <v:shape id="docshape671" o:spid="_x0000_s2254" type="#_x0000_t75" style="position:absolute;left:15144;top:150;width:307;height:307">
            <v:imagedata r:id="rId4" o:title=""/>
          </v:shape>
          <v:shape id="docshape672" o:spid="_x0000_s2253" type="#_x0000_t75" style="position:absolute;left:15557;top:150;width:307;height:307">
            <v:imagedata r:id="rId5" o:title=""/>
          </v:shape>
          <v:shape id="docshape673" o:spid="_x0000_s2252" type="#_x0000_t75" style="position:absolute;left:1687;top:147;width:314;height:313">
            <v:imagedata r:id="rId6" o:title=""/>
          </v:shape>
          <w10:wrap anchorx="page" anchory="page"/>
        </v:group>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group id="docshapegroup687" o:spid="_x0000_s2240" style="position:absolute;margin-left:0;margin-top:0;width:841.9pt;height:28.35pt;z-index:-28264448;mso-position-horizontal-relative:page;mso-position-vertical-relative:page" coordsize="16838,567">
          <v:rect id="docshape688" o:spid="_x0000_s2248" style="position:absolute;width:16838;height:567" fillcolor="#ec008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89" o:spid="_x0000_s2247" type="#_x0000_t75" style="position:absolute;left:972;top:148;width:399;height:312">
            <v:imagedata r:id="rId1" o:title=""/>
          </v:shape>
          <v:shape id="docshape690" o:spid="_x0000_s2246" style="position:absolute;left:2815;top:150;width:307;height:307" coordorigin="2815,151" coordsize="307,307" o:spt="100" adj="0,,0" path="m3055,284r-173,l2882,324r173,l3055,284xm3121,304r-12,-60l3095,223r,81l3085,353r-27,40l3017,421r-49,9l2919,421r-40,-28l2852,353r-10,-49l2852,255r27,-40l2919,187r49,-9l3017,187r41,28l3085,255r10,49l3095,223r-19,-27l3049,178r-21,-15l2968,151r-59,12l2860,196r-33,48l2815,304r12,60l2860,412r49,33l2968,457r60,-12l3049,430r27,-18l3109,364r12,-60xe" stroked="f">
            <v:stroke joinstyle="round"/>
            <v:formulas/>
            <v:path arrowok="t" o:connecttype="segments"/>
          </v:shape>
          <v:shape id="docshape691" o:spid="_x0000_s2245" type="#_x0000_t75" style="position:absolute;left:3250;top:150;width:307;height:307">
            <v:imagedata r:id="rId2" o:title=""/>
          </v:shape>
          <v:shape id="docshape692" o:spid="_x0000_s2244" type="#_x0000_t75" style="position:absolute;left:14523;top:147;width:330;height:313">
            <v:imagedata r:id="rId3" o:title=""/>
          </v:shape>
          <v:shape id="docshape693" o:spid="_x0000_s2243" type="#_x0000_t75" style="position:absolute;left:15144;top:150;width:307;height:307">
            <v:imagedata r:id="rId4" o:title=""/>
          </v:shape>
          <v:shape id="docshape694" o:spid="_x0000_s2242" type="#_x0000_t75" style="position:absolute;left:15557;top:150;width:307;height:307">
            <v:imagedata r:id="rId5" o:title=""/>
          </v:shape>
          <v:shape id="docshape695" o:spid="_x0000_s2241" type="#_x0000_t75" style="position:absolute;left:1687;top:147;width:314;height:313">
            <v:imagedata r:id="rId6" o:title=""/>
          </v:shape>
          <w10:wrap anchorx="page" anchory="page"/>
        </v:group>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group id="docshapegroup841" o:spid="_x0000_s2229" style="position:absolute;margin-left:0;margin-top:0;width:841.9pt;height:28.35pt;z-index:-28262912;mso-position-horizontal-relative:page;mso-position-vertical-relative:page" coordsize="16838,567">
          <v:rect id="docshape842" o:spid="_x0000_s2237" style="position:absolute;width:16838;height:567" fillcolor="#ec008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43" o:spid="_x0000_s2236" type="#_x0000_t75" style="position:absolute;left:972;top:148;width:399;height:312">
            <v:imagedata r:id="rId1" o:title=""/>
          </v:shape>
          <v:shape id="docshape844" o:spid="_x0000_s2235" style="position:absolute;left:2815;top:150;width:307;height:307" coordorigin="2815,151" coordsize="307,307" o:spt="100" adj="0,,0" path="m3055,284r-173,l2882,324r173,l3055,284xm3121,304r-12,-60l3095,223r,81l3085,353r-27,40l3017,421r-49,9l2919,421r-40,-28l2852,353r-10,-49l2852,255r27,-40l2919,187r49,-9l3017,187r41,28l3085,255r10,49l3095,223r-19,-27l3049,178r-21,-15l2968,151r-59,12l2860,196r-33,48l2815,304r12,60l2860,412r49,33l2968,457r60,-12l3049,430r27,-18l3109,364r12,-60xe" stroked="f">
            <v:stroke joinstyle="round"/>
            <v:formulas/>
            <v:path arrowok="t" o:connecttype="segments"/>
          </v:shape>
          <v:shape id="docshape845" o:spid="_x0000_s2234" type="#_x0000_t75" style="position:absolute;left:3250;top:150;width:307;height:307">
            <v:imagedata r:id="rId2" o:title=""/>
          </v:shape>
          <v:shape id="docshape846" o:spid="_x0000_s2233" type="#_x0000_t75" style="position:absolute;left:14523;top:147;width:330;height:313">
            <v:imagedata r:id="rId3" o:title=""/>
          </v:shape>
          <v:shape id="docshape847" o:spid="_x0000_s2232" type="#_x0000_t75" style="position:absolute;left:15144;top:150;width:307;height:307">
            <v:imagedata r:id="rId4" o:title=""/>
          </v:shape>
          <v:shape id="docshape848" o:spid="_x0000_s2231" type="#_x0000_t75" style="position:absolute;left:15557;top:150;width:307;height:307">
            <v:imagedata r:id="rId5" o:title=""/>
          </v:shape>
          <v:shape id="docshape849" o:spid="_x0000_s2230" type="#_x0000_t75" style="position:absolute;left:1687;top:147;width:314;height:313">
            <v:imagedata r:id="rId6" o:title=""/>
          </v:shape>
          <w10:wrap anchorx="page" anchory="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group id="docshapegroup11" o:spid="_x0000_s2359" style="position:absolute;margin-left:0;margin-top:0;width:841.9pt;height:28.35pt;z-index:-28280320;mso-position-horizontal-relative:page;mso-position-vertical-relative:page" coordsize="16838,567">
          <v:rect id="docshape12" o:spid="_x0000_s2367" style="position:absolute;width:16838;height:567" fillcolor="#e1e0e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 o:spid="_x0000_s2366" type="#_x0000_t75" style="position:absolute;left:972;top:148;width:399;height:312">
            <v:imagedata r:id="rId1" o:title=""/>
          </v:shape>
          <v:shape id="docshape14" o:spid="_x0000_s2365" style="position:absolute;left:2815;top:150;width:307;height:307" coordorigin="2815,151" coordsize="307,307" o:spt="100" adj="0,,0" path="m3055,284r-173,l2882,324r173,l3055,284xm3121,304r-12,-60l3095,223r,81l3085,353r-27,40l3017,421r-49,9l2919,421r-40,-28l2852,353r-10,-49l2852,255r27,-40l2919,187r49,-9l3017,187r41,28l3085,255r10,49l3095,223r-19,-27l3049,178r-21,-15l2968,151r-59,12l2860,196r-33,48l2815,304r12,60l2860,412r49,33l2968,457r60,-12l3049,430r27,-18l3109,364r12,-60xe" stroked="f">
            <v:stroke joinstyle="round"/>
            <v:formulas/>
            <v:path arrowok="t" o:connecttype="segments"/>
          </v:shape>
          <v:shape id="docshape15" o:spid="_x0000_s2364" type="#_x0000_t75" style="position:absolute;left:3250;top:150;width:307;height:307">
            <v:imagedata r:id="rId2" o:title=""/>
          </v:shape>
          <v:shape id="docshape16" o:spid="_x0000_s2363" type="#_x0000_t75" style="position:absolute;left:14523;top:147;width:330;height:313">
            <v:imagedata r:id="rId3" o:title=""/>
          </v:shape>
          <v:shape id="docshape17" o:spid="_x0000_s2362" type="#_x0000_t75" style="position:absolute;left:15144;top:150;width:307;height:307">
            <v:imagedata r:id="rId4" o:title=""/>
          </v:shape>
          <v:shape id="docshape18" o:spid="_x0000_s2361" type="#_x0000_t75" style="position:absolute;left:15557;top:150;width:307;height:307">
            <v:imagedata r:id="rId5" o:title=""/>
          </v:shape>
          <v:shape id="docshape19" o:spid="_x0000_s2360" type="#_x0000_t75" style="position:absolute;left:1687;top:147;width:314;height:313">
            <v:imagedata r:id="rId6" o:title=""/>
          </v:shape>
          <w10:wrap anchorx="page" anchory="page"/>
        </v:group>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F22F94">
    <w:pPr>
      <w:pStyle w:val="BodyText"/>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group id="docshapegroup881" o:spid="_x0000_s2218" style="position:absolute;margin-left:0;margin-top:0;width:841.9pt;height:28.35pt;z-index:-28261376;mso-position-horizontal-relative:page;mso-position-vertical-relative:page" coordsize="16838,567">
          <v:rect id="docshape882" o:spid="_x0000_s2226" style="position:absolute;width:16838;height:567" fillcolor="#ec008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83" o:spid="_x0000_s2225" type="#_x0000_t75" style="position:absolute;left:972;top:148;width:399;height:312">
            <v:imagedata r:id="rId1" o:title=""/>
          </v:shape>
          <v:shape id="docshape884" o:spid="_x0000_s2224" style="position:absolute;left:2815;top:150;width:307;height:307" coordorigin="2815,151" coordsize="307,307" o:spt="100" adj="0,,0" path="m3055,284r-173,l2882,324r173,l3055,284xm3121,304r-12,-60l3095,223r,81l3085,353r-27,40l3017,421r-49,9l2919,421r-40,-28l2852,353r-10,-49l2852,255r27,-40l2919,187r49,-9l3017,187r41,28l3085,255r10,49l3095,223r-19,-27l3049,178r-21,-15l2968,151r-59,12l2860,196r-33,48l2815,304r12,60l2860,412r49,33l2968,457r60,-12l3049,430r27,-18l3109,364r12,-60xe" stroked="f">
            <v:stroke joinstyle="round"/>
            <v:formulas/>
            <v:path arrowok="t" o:connecttype="segments"/>
          </v:shape>
          <v:shape id="docshape885" o:spid="_x0000_s2223" type="#_x0000_t75" style="position:absolute;left:3250;top:150;width:307;height:307">
            <v:imagedata r:id="rId2" o:title=""/>
          </v:shape>
          <v:shape id="docshape886" o:spid="_x0000_s2222" type="#_x0000_t75" style="position:absolute;left:14523;top:147;width:330;height:313">
            <v:imagedata r:id="rId3" o:title=""/>
          </v:shape>
          <v:shape id="docshape887" o:spid="_x0000_s2221" type="#_x0000_t75" style="position:absolute;left:15144;top:150;width:307;height:307">
            <v:imagedata r:id="rId4" o:title=""/>
          </v:shape>
          <v:shape id="docshape888" o:spid="_x0000_s2220" type="#_x0000_t75" style="position:absolute;left:15557;top:150;width:307;height:307">
            <v:imagedata r:id="rId5" o:title=""/>
          </v:shape>
          <v:shape id="docshape889" o:spid="_x0000_s2219" type="#_x0000_t75" style="position:absolute;left:1687;top:147;width:314;height:313">
            <v:imagedata r:id="rId6" o:title=""/>
          </v:shape>
          <w10:wrap anchorx="page" anchory="page"/>
        </v:group>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F22F94">
    <w:pPr>
      <w:pStyle w:val="BodyText"/>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group id="docshapegroup1018" o:spid="_x0000_s2207" style="position:absolute;margin-left:0;margin-top:0;width:841.9pt;height:28.35pt;z-index:-28259840;mso-position-horizontal-relative:page;mso-position-vertical-relative:page" coordsize="16838,567">
          <v:rect id="docshape1019" o:spid="_x0000_s2215" style="position:absolute;width:16838;height:567" fillcolor="#00aee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20" o:spid="_x0000_s2214" type="#_x0000_t75" style="position:absolute;left:972;top:148;width:399;height:312">
            <v:imagedata r:id="rId1" o:title=""/>
          </v:shape>
          <v:shape id="docshape1021" o:spid="_x0000_s2213" style="position:absolute;left:2815;top:150;width:307;height:307" coordorigin="2815,151" coordsize="307,307" o:spt="100" adj="0,,0" path="m3055,284r-173,l2882,324r173,l3055,284xm3121,304r-12,-60l3095,223r,81l3085,353r-27,40l3017,421r-49,9l2919,421r-40,-28l2852,353r-10,-49l2852,255r27,-40l2919,187r49,-9l3017,187r41,28l3085,255r10,49l3095,223r-19,-27l3049,178r-21,-15l2968,151r-59,12l2860,196r-33,48l2815,304r12,60l2860,412r49,33l2968,457r60,-12l3049,430r27,-18l3109,364r12,-60xe" stroked="f">
            <v:stroke joinstyle="round"/>
            <v:formulas/>
            <v:path arrowok="t" o:connecttype="segments"/>
          </v:shape>
          <v:shape id="docshape1022" o:spid="_x0000_s2212" type="#_x0000_t75" style="position:absolute;left:3250;top:150;width:307;height:307">
            <v:imagedata r:id="rId2" o:title=""/>
          </v:shape>
          <v:shape id="docshape1023" o:spid="_x0000_s2211" type="#_x0000_t75" style="position:absolute;left:14523;top:147;width:330;height:313">
            <v:imagedata r:id="rId3" o:title=""/>
          </v:shape>
          <v:shape id="docshape1024" o:spid="_x0000_s2210" type="#_x0000_t75" style="position:absolute;left:15144;top:150;width:307;height:307">
            <v:imagedata r:id="rId4" o:title=""/>
          </v:shape>
          <v:shape id="docshape1025" o:spid="_x0000_s2209" type="#_x0000_t75" style="position:absolute;left:15557;top:150;width:307;height:307">
            <v:imagedata r:id="rId5" o:title=""/>
          </v:shape>
          <v:shape id="docshape1026" o:spid="_x0000_s2208" type="#_x0000_t75" style="position:absolute;left:1687;top:147;width:314;height:313">
            <v:imagedata r:id="rId6" o:title=""/>
          </v:shape>
          <w10:wrap anchorx="page" anchory="page"/>
        </v:group>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group id="docshapegroup1196" o:spid="_x0000_s2196" style="position:absolute;margin-left:0;margin-top:0;width:841.9pt;height:28.35pt;z-index:-28258304;mso-position-horizontal-relative:page;mso-position-vertical-relative:page" coordsize="16838,567">
          <v:rect id="docshape1197" o:spid="_x0000_s2204" style="position:absolute;width:16838;height:567" fillcolor="#00aee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198" o:spid="_x0000_s2203" type="#_x0000_t75" style="position:absolute;left:972;top:148;width:399;height:312">
            <v:imagedata r:id="rId1" o:title=""/>
          </v:shape>
          <v:shape id="docshape1199" o:spid="_x0000_s2202" style="position:absolute;left:2815;top:150;width:307;height:307" coordorigin="2815,151" coordsize="307,307" o:spt="100" adj="0,,0" path="m3055,284r-173,l2882,324r173,l3055,284xm3121,304r-12,-60l3095,223r,81l3085,353r-27,40l3017,421r-49,9l2919,421r-40,-28l2852,353r-10,-49l2852,255r27,-40l2919,187r49,-9l3017,187r41,28l3085,255r10,49l3095,223r-19,-27l3049,178r-21,-15l2968,151r-59,12l2860,196r-33,48l2815,304r12,60l2860,412r49,33l2968,457r60,-12l3049,430r27,-18l3109,364r12,-60xe" stroked="f">
            <v:stroke joinstyle="round"/>
            <v:formulas/>
            <v:path arrowok="t" o:connecttype="segments"/>
          </v:shape>
          <v:shape id="docshape1200" o:spid="_x0000_s2201" type="#_x0000_t75" style="position:absolute;left:3250;top:150;width:307;height:307">
            <v:imagedata r:id="rId2" o:title=""/>
          </v:shape>
          <v:shape id="docshape1201" o:spid="_x0000_s2200" type="#_x0000_t75" style="position:absolute;left:14523;top:147;width:330;height:313">
            <v:imagedata r:id="rId3" o:title=""/>
          </v:shape>
          <v:shape id="docshape1202" o:spid="_x0000_s2199" type="#_x0000_t75" style="position:absolute;left:15144;top:150;width:307;height:307">
            <v:imagedata r:id="rId4" o:title=""/>
          </v:shape>
          <v:shape id="docshape1203" o:spid="_x0000_s2198" type="#_x0000_t75" style="position:absolute;left:15557;top:150;width:307;height:307">
            <v:imagedata r:id="rId5" o:title=""/>
          </v:shape>
          <v:shape id="docshape1204" o:spid="_x0000_s2197" type="#_x0000_t75" style="position:absolute;left:1687;top:147;width:314;height:313">
            <v:imagedata r:id="rId6" o:title=""/>
          </v:shape>
          <w10:wrap anchorx="page" anchory="page"/>
        </v:group>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group id="docshapegroup1211" o:spid="_x0000_s2185" style="position:absolute;margin-left:0;margin-top:0;width:841.9pt;height:28.35pt;z-index:-28256768;mso-position-horizontal-relative:page;mso-position-vertical-relative:page" coordsize="16838,567">
          <v:rect id="docshape1212" o:spid="_x0000_s2193" style="position:absolute;width:16838;height:567" fillcolor="#00aee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13" o:spid="_x0000_s2192" type="#_x0000_t75" style="position:absolute;left:972;top:148;width:399;height:312">
            <v:imagedata r:id="rId1" o:title=""/>
          </v:shape>
          <v:shape id="docshape1214" o:spid="_x0000_s2191" style="position:absolute;left:2815;top:150;width:307;height:307" coordorigin="2815,151" coordsize="307,307" o:spt="100" adj="0,,0" path="m3055,284r-173,l2882,324r173,l3055,284xm3121,304r-12,-60l3095,223r,81l3085,353r-27,40l3017,421r-49,9l2919,421r-40,-28l2852,353r-10,-49l2852,255r27,-40l2919,187r49,-9l3017,187r41,28l3085,255r10,49l3095,223r-19,-27l3049,178r-21,-15l2968,151r-59,12l2860,196r-33,48l2815,304r12,60l2860,412r49,33l2968,457r60,-12l3049,430r27,-18l3109,364r12,-60xe" stroked="f">
            <v:stroke joinstyle="round"/>
            <v:formulas/>
            <v:path arrowok="t" o:connecttype="segments"/>
          </v:shape>
          <v:shape id="docshape1215" o:spid="_x0000_s2190" type="#_x0000_t75" style="position:absolute;left:3250;top:150;width:307;height:307">
            <v:imagedata r:id="rId2" o:title=""/>
          </v:shape>
          <v:shape id="docshape1216" o:spid="_x0000_s2189" type="#_x0000_t75" style="position:absolute;left:14523;top:147;width:330;height:313">
            <v:imagedata r:id="rId3" o:title=""/>
          </v:shape>
          <v:shape id="docshape1217" o:spid="_x0000_s2188" type="#_x0000_t75" style="position:absolute;left:15144;top:150;width:307;height:307">
            <v:imagedata r:id="rId4" o:title=""/>
          </v:shape>
          <v:shape id="docshape1218" o:spid="_x0000_s2187" type="#_x0000_t75" style="position:absolute;left:15557;top:150;width:307;height:307">
            <v:imagedata r:id="rId5" o:title=""/>
          </v:shape>
          <v:shape id="docshape1219" o:spid="_x0000_s2186" type="#_x0000_t75" style="position:absolute;left:1687;top:147;width:314;height:313">
            <v:imagedata r:id="rId6" o:title=""/>
          </v:shape>
          <w10:wrap anchorx="page" anchory="page"/>
        </v:group>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group id="docshapegroup1406" o:spid="_x0000_s2174" style="position:absolute;margin-left:0;margin-top:0;width:841.9pt;height:28.35pt;z-index:-28255232;mso-position-horizontal-relative:page;mso-position-vertical-relative:page" coordsize="16838,567">
          <v:rect id="docshape1407" o:spid="_x0000_s2182" style="position:absolute;width:16838;height:567" fillcolor="#00aee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408" o:spid="_x0000_s2181" type="#_x0000_t75" style="position:absolute;left:972;top:148;width:399;height:312">
            <v:imagedata r:id="rId1" o:title=""/>
          </v:shape>
          <v:shape id="docshape1409" o:spid="_x0000_s2180" style="position:absolute;left:2815;top:150;width:307;height:307" coordorigin="2815,151" coordsize="307,307" o:spt="100" adj="0,,0" path="m3055,284r-173,l2882,324r173,l3055,284xm3121,304r-12,-60l3095,223r,81l3085,353r-27,40l3017,421r-49,9l2919,421r-40,-28l2852,353r-10,-49l2852,255r27,-40l2919,187r49,-9l3017,187r41,28l3085,255r10,49l3095,223r-19,-27l3049,178r-21,-15l2968,151r-59,12l2860,196r-33,48l2815,304r12,60l2860,412r49,33l2968,457r60,-12l3049,430r27,-18l3109,364r12,-60xe" stroked="f">
            <v:stroke joinstyle="round"/>
            <v:formulas/>
            <v:path arrowok="t" o:connecttype="segments"/>
          </v:shape>
          <v:shape id="docshape1410" o:spid="_x0000_s2179" type="#_x0000_t75" style="position:absolute;left:3250;top:150;width:307;height:307">
            <v:imagedata r:id="rId2" o:title=""/>
          </v:shape>
          <v:shape id="docshape1411" o:spid="_x0000_s2178" type="#_x0000_t75" style="position:absolute;left:14523;top:147;width:330;height:313">
            <v:imagedata r:id="rId3" o:title=""/>
          </v:shape>
          <v:shape id="docshape1412" o:spid="_x0000_s2177" type="#_x0000_t75" style="position:absolute;left:15144;top:150;width:307;height:307">
            <v:imagedata r:id="rId4" o:title=""/>
          </v:shape>
          <v:shape id="docshape1413" o:spid="_x0000_s2176" type="#_x0000_t75" style="position:absolute;left:15557;top:150;width:307;height:307">
            <v:imagedata r:id="rId5" o:title=""/>
          </v:shape>
          <v:shape id="docshape1414" o:spid="_x0000_s2175" type="#_x0000_t75" style="position:absolute;left:1687;top:147;width:314;height:313">
            <v:imagedata r:id="rId6" o:title=""/>
          </v:shape>
          <w10:wrap anchorx="page" anchory="page"/>
        </v:group>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group id="docshapegroup1490" o:spid="_x0000_s2163" style="position:absolute;margin-left:0;margin-top:0;width:841.9pt;height:28.35pt;z-index:-28253696;mso-position-horizontal-relative:page;mso-position-vertical-relative:page" coordsize="16838,567">
          <v:rect id="docshape1491" o:spid="_x0000_s2171" style="position:absolute;width:16838;height:567" fillcolor="#00aee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492" o:spid="_x0000_s2170" type="#_x0000_t75" style="position:absolute;left:972;top:148;width:399;height:312">
            <v:imagedata r:id="rId1" o:title=""/>
          </v:shape>
          <v:shape id="docshape1493" o:spid="_x0000_s2169" style="position:absolute;left:2815;top:150;width:307;height:307" coordorigin="2815,151" coordsize="307,307" o:spt="100" adj="0,,0" path="m3055,284r-173,l2882,324r173,l3055,284xm3121,304r-12,-60l3095,223r,81l3085,353r-27,40l3017,421r-49,9l2919,421r-40,-28l2852,353r-10,-49l2852,255r27,-40l2919,187r49,-9l3017,187r41,28l3085,255r10,49l3095,223r-19,-27l3049,178r-21,-15l2968,151r-59,12l2860,196r-33,48l2815,304r12,60l2860,412r49,33l2968,457r60,-12l3049,430r27,-18l3109,364r12,-60xe" stroked="f">
            <v:stroke joinstyle="round"/>
            <v:formulas/>
            <v:path arrowok="t" o:connecttype="segments"/>
          </v:shape>
          <v:shape id="docshape1494" o:spid="_x0000_s2168" type="#_x0000_t75" style="position:absolute;left:3250;top:150;width:307;height:307">
            <v:imagedata r:id="rId2" o:title=""/>
          </v:shape>
          <v:shape id="docshape1495" o:spid="_x0000_s2167" type="#_x0000_t75" style="position:absolute;left:14523;top:147;width:330;height:313">
            <v:imagedata r:id="rId3" o:title=""/>
          </v:shape>
          <v:shape id="docshape1496" o:spid="_x0000_s2166" type="#_x0000_t75" style="position:absolute;left:15144;top:150;width:307;height:307">
            <v:imagedata r:id="rId4" o:title=""/>
          </v:shape>
          <v:shape id="docshape1497" o:spid="_x0000_s2165" type="#_x0000_t75" style="position:absolute;left:15557;top:150;width:307;height:307">
            <v:imagedata r:id="rId5" o:title=""/>
          </v:shape>
          <v:shape id="docshape1498" o:spid="_x0000_s2164" type="#_x0000_t75" style="position:absolute;left:1687;top:147;width:314;height:313">
            <v:imagedata r:id="rId6" o:title=""/>
          </v:shape>
          <w10:wrap anchorx="page" anchory="page"/>
        </v:group>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group id="docshapegroup1655" o:spid="_x0000_s2152" style="position:absolute;margin-left:0;margin-top:0;width:841.9pt;height:28.35pt;z-index:-28252160;mso-position-horizontal-relative:page;mso-position-vertical-relative:page" coordsize="16838,567">
          <v:rect id="docshape1656" o:spid="_x0000_s2160" style="position:absolute;width:16838;height:567" fillcolor="#00aee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657" o:spid="_x0000_s2159" type="#_x0000_t75" style="position:absolute;left:972;top:148;width:399;height:312">
            <v:imagedata r:id="rId1" o:title=""/>
          </v:shape>
          <v:shape id="docshape1658" o:spid="_x0000_s2158" style="position:absolute;left:2815;top:150;width:307;height:307" coordorigin="2815,151" coordsize="307,307" o:spt="100" adj="0,,0" path="m3055,284r-173,l2882,324r173,l3055,284xm3121,304r-12,-60l3095,223r,81l3085,353r-27,40l3017,421r-49,9l2919,421r-40,-28l2852,353r-10,-49l2852,255r27,-40l2919,187r49,-9l3017,187r41,28l3085,255r10,49l3095,223r-19,-27l3049,178r-21,-15l2968,151r-59,12l2860,196r-33,48l2815,304r12,60l2860,412r49,33l2968,457r60,-12l3049,430r27,-18l3109,364r12,-60xe" stroked="f">
            <v:stroke joinstyle="round"/>
            <v:formulas/>
            <v:path arrowok="t" o:connecttype="segments"/>
          </v:shape>
          <v:shape id="docshape1659" o:spid="_x0000_s2157" type="#_x0000_t75" style="position:absolute;left:3250;top:150;width:307;height:307">
            <v:imagedata r:id="rId2" o:title=""/>
          </v:shape>
          <v:shape id="docshape1660" o:spid="_x0000_s2156" type="#_x0000_t75" style="position:absolute;left:14523;top:147;width:330;height:313">
            <v:imagedata r:id="rId3" o:title=""/>
          </v:shape>
          <v:shape id="docshape1661" o:spid="_x0000_s2155" type="#_x0000_t75" style="position:absolute;left:15144;top:150;width:307;height:307">
            <v:imagedata r:id="rId4" o:title=""/>
          </v:shape>
          <v:shape id="docshape1662" o:spid="_x0000_s2154" type="#_x0000_t75" style="position:absolute;left:15557;top:150;width:307;height:307">
            <v:imagedata r:id="rId5" o:title=""/>
          </v:shape>
          <v:shape id="docshape1663" o:spid="_x0000_s2153" type="#_x0000_t75" style="position:absolute;left:1687;top:147;width:314;height:313">
            <v:imagedata r:id="rId6" o:title=""/>
          </v:shape>
          <w10:wrap anchorx="page" anchory="page"/>
        </v:group>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group id="docshapegroup1936" o:spid="_x0000_s2141" style="position:absolute;margin-left:0;margin-top:0;width:841.9pt;height:28.35pt;z-index:-28250624;mso-position-horizontal-relative:page;mso-position-vertical-relative:page" coordsize="16838,567">
          <v:rect id="docshape1937" o:spid="_x0000_s2149" style="position:absolute;width:16838;height:567" fillcolor="#00aee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938" o:spid="_x0000_s2148" type="#_x0000_t75" style="position:absolute;left:972;top:148;width:399;height:312">
            <v:imagedata r:id="rId1" o:title=""/>
          </v:shape>
          <v:shape id="docshape1939" o:spid="_x0000_s2147" style="position:absolute;left:2815;top:150;width:307;height:307" coordorigin="2815,151" coordsize="307,307" o:spt="100" adj="0,,0" path="m3055,284r-173,l2882,324r173,l3055,284xm3121,304r-12,-60l3095,223r,81l3085,353r-27,40l3017,421r-49,9l2919,421r-40,-28l2852,353r-10,-49l2852,255r27,-40l2919,187r49,-9l3017,187r41,28l3085,255r10,49l3095,223r-19,-27l3049,178r-21,-15l2968,151r-59,12l2860,196r-33,48l2815,304r12,60l2860,412r49,33l2968,457r60,-12l3049,430r27,-18l3109,364r12,-60xe" stroked="f">
            <v:stroke joinstyle="round"/>
            <v:formulas/>
            <v:path arrowok="t" o:connecttype="segments"/>
          </v:shape>
          <v:shape id="docshape1940" o:spid="_x0000_s2146" type="#_x0000_t75" style="position:absolute;left:3250;top:150;width:307;height:307">
            <v:imagedata r:id="rId2" o:title=""/>
          </v:shape>
          <v:shape id="docshape1941" o:spid="_x0000_s2145" type="#_x0000_t75" style="position:absolute;left:14523;top:147;width:330;height:313">
            <v:imagedata r:id="rId3" o:title=""/>
          </v:shape>
          <v:shape id="docshape1942" o:spid="_x0000_s2144" type="#_x0000_t75" style="position:absolute;left:15144;top:150;width:307;height:307">
            <v:imagedata r:id="rId4" o:title=""/>
          </v:shape>
          <v:shape id="docshape1943" o:spid="_x0000_s2143" type="#_x0000_t75" style="position:absolute;left:15557;top:150;width:307;height:307">
            <v:imagedata r:id="rId5" o:title=""/>
          </v:shape>
          <v:shape id="docshape1944" o:spid="_x0000_s2142" type="#_x0000_t75" style="position:absolute;left:1687;top:147;width:314;height:313">
            <v:imagedata r:id="rId6" o:title=""/>
          </v:shape>
          <w10:wrap anchorx="page" anchory="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F22F94">
    <w:pPr>
      <w:pStyle w:val="BodyText"/>
      <w:spacing w:line="14" w:lineRule="auto"/>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group id="docshapegroup2195" o:spid="_x0000_s2130" style="position:absolute;margin-left:0;margin-top:0;width:841.9pt;height:28.35pt;z-index:-28249088;mso-position-horizontal-relative:page;mso-position-vertical-relative:page" coordsize="16838,567">
          <v:rect id="docshape2196" o:spid="_x0000_s2138" style="position:absolute;width:16838;height:567" fillcolor="#00aee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197" o:spid="_x0000_s2137" type="#_x0000_t75" style="position:absolute;left:972;top:148;width:399;height:312">
            <v:imagedata r:id="rId1" o:title=""/>
          </v:shape>
          <v:shape id="docshape2198" o:spid="_x0000_s2136" style="position:absolute;left:2815;top:150;width:307;height:307" coordorigin="2815,151" coordsize="307,307" o:spt="100" adj="0,,0" path="m3055,284r-173,l2882,324r173,l3055,284xm3121,304r-12,-60l3095,223r,81l3085,353r-27,40l3017,421r-49,9l2919,421r-40,-28l2852,353r-10,-49l2852,255r27,-40l2919,187r49,-9l3017,187r41,28l3085,255r10,49l3095,223r-19,-27l3049,178r-21,-15l2968,151r-59,12l2860,196r-33,48l2815,304r12,60l2860,412r49,33l2968,457r60,-12l3049,430r27,-18l3109,364r12,-60xe" stroked="f">
            <v:stroke joinstyle="round"/>
            <v:formulas/>
            <v:path arrowok="t" o:connecttype="segments"/>
          </v:shape>
          <v:shape id="docshape2199" o:spid="_x0000_s2135" type="#_x0000_t75" style="position:absolute;left:3250;top:150;width:307;height:307">
            <v:imagedata r:id="rId2" o:title=""/>
          </v:shape>
          <v:shape id="docshape2200" o:spid="_x0000_s2134" type="#_x0000_t75" style="position:absolute;left:14523;top:147;width:330;height:313">
            <v:imagedata r:id="rId3" o:title=""/>
          </v:shape>
          <v:shape id="docshape2201" o:spid="_x0000_s2133" type="#_x0000_t75" style="position:absolute;left:15144;top:150;width:307;height:307">
            <v:imagedata r:id="rId4" o:title=""/>
          </v:shape>
          <v:shape id="docshape2202" o:spid="_x0000_s2132" type="#_x0000_t75" style="position:absolute;left:15557;top:150;width:307;height:307">
            <v:imagedata r:id="rId5" o:title=""/>
          </v:shape>
          <v:shape id="docshape2203" o:spid="_x0000_s2131" type="#_x0000_t75" style="position:absolute;left:1687;top:147;width:314;height:313">
            <v:imagedata r:id="rId6" o:title=""/>
          </v:shape>
          <w10:wrap anchorx="page" anchory="page"/>
        </v:group>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group id="docshapegroup2219" o:spid="_x0000_s2119" style="position:absolute;margin-left:0;margin-top:0;width:841.9pt;height:28.35pt;z-index:-28247552;mso-position-horizontal-relative:page;mso-position-vertical-relative:page" coordsize="16838,567">
          <v:rect id="docshape2220" o:spid="_x0000_s2127" style="position:absolute;width:16838;height:567" fillcolor="#00aee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221" o:spid="_x0000_s2126" type="#_x0000_t75" style="position:absolute;left:972;top:148;width:399;height:312">
            <v:imagedata r:id="rId1" o:title=""/>
          </v:shape>
          <v:shape id="docshape2222" o:spid="_x0000_s2125" style="position:absolute;left:2815;top:150;width:307;height:307" coordorigin="2815,151" coordsize="307,307" o:spt="100" adj="0,,0" path="m3055,284r-173,l2882,324r173,l3055,284xm3121,304r-12,-60l3095,223r,81l3085,353r-27,40l3017,421r-49,9l2919,421r-40,-28l2852,353r-10,-49l2852,255r27,-40l2919,187r49,-9l3017,187r41,28l3085,255r10,49l3095,223r-19,-27l3049,178r-21,-15l2968,151r-59,12l2860,196r-33,48l2815,304r12,60l2860,412r49,33l2968,457r60,-12l3049,430r27,-18l3109,364r12,-60xe" stroked="f">
            <v:stroke joinstyle="round"/>
            <v:formulas/>
            <v:path arrowok="t" o:connecttype="segments"/>
          </v:shape>
          <v:shape id="docshape2223" o:spid="_x0000_s2124" type="#_x0000_t75" style="position:absolute;left:3250;top:150;width:307;height:307">
            <v:imagedata r:id="rId2" o:title=""/>
          </v:shape>
          <v:shape id="docshape2224" o:spid="_x0000_s2123" type="#_x0000_t75" style="position:absolute;left:14523;top:147;width:330;height:313">
            <v:imagedata r:id="rId3" o:title=""/>
          </v:shape>
          <v:shape id="docshape2225" o:spid="_x0000_s2122" type="#_x0000_t75" style="position:absolute;left:15144;top:150;width:307;height:307">
            <v:imagedata r:id="rId4" o:title=""/>
          </v:shape>
          <v:shape id="docshape2226" o:spid="_x0000_s2121" type="#_x0000_t75" style="position:absolute;left:15557;top:150;width:307;height:307">
            <v:imagedata r:id="rId5" o:title=""/>
          </v:shape>
          <v:shape id="docshape2227" o:spid="_x0000_s2120" type="#_x0000_t75" style="position:absolute;left:1687;top:147;width:314;height:313">
            <v:imagedata r:id="rId6" o:title=""/>
          </v:shape>
          <w10:wrap anchorx="page" anchory="page"/>
        </v:group>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group id="docshapegroup2270" o:spid="_x0000_s2108" style="position:absolute;margin-left:0;margin-top:0;width:841.9pt;height:28.35pt;z-index:-28246016;mso-position-horizontal-relative:page;mso-position-vertical-relative:page" coordsize="16838,567">
          <v:rect id="docshape2271" o:spid="_x0000_s2116" style="position:absolute;width:16838;height:567" fillcolor="#00aee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272" o:spid="_x0000_s2115" type="#_x0000_t75" style="position:absolute;left:972;top:148;width:399;height:312">
            <v:imagedata r:id="rId1" o:title=""/>
          </v:shape>
          <v:shape id="docshape2273" o:spid="_x0000_s2114" style="position:absolute;left:2815;top:150;width:307;height:307" coordorigin="2815,151" coordsize="307,307" o:spt="100" adj="0,,0" path="m3055,284r-173,l2882,324r173,l3055,284xm3121,304r-12,-60l3095,223r,81l3085,353r-27,40l3017,421r-49,9l2919,421r-40,-28l2852,353r-10,-49l2852,255r27,-40l2919,187r49,-9l3017,187r41,28l3085,255r10,49l3095,223r-19,-27l3049,178r-21,-15l2968,151r-59,12l2860,196r-33,48l2815,304r12,60l2860,412r49,33l2968,457r60,-12l3049,430r27,-18l3109,364r12,-60xe" stroked="f">
            <v:stroke joinstyle="round"/>
            <v:formulas/>
            <v:path arrowok="t" o:connecttype="segments"/>
          </v:shape>
          <v:shape id="docshape2274" o:spid="_x0000_s2113" type="#_x0000_t75" style="position:absolute;left:3250;top:150;width:307;height:307">
            <v:imagedata r:id="rId2" o:title=""/>
          </v:shape>
          <v:shape id="docshape2275" o:spid="_x0000_s2112" type="#_x0000_t75" style="position:absolute;left:14523;top:147;width:330;height:313">
            <v:imagedata r:id="rId3" o:title=""/>
          </v:shape>
          <v:shape id="docshape2276" o:spid="_x0000_s2111" type="#_x0000_t75" style="position:absolute;left:15144;top:150;width:307;height:307">
            <v:imagedata r:id="rId4" o:title=""/>
          </v:shape>
          <v:shape id="docshape2277" o:spid="_x0000_s2110" type="#_x0000_t75" style="position:absolute;left:15557;top:150;width:307;height:307">
            <v:imagedata r:id="rId5" o:title=""/>
          </v:shape>
          <v:shape id="docshape2278" o:spid="_x0000_s2109" type="#_x0000_t75" style="position:absolute;left:1687;top:147;width:314;height:313">
            <v:imagedata r:id="rId6" o:title=""/>
          </v:shape>
          <w10:wrap anchorx="page" anchory="page"/>
        </v:group>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group id="docshapegroup2414" o:spid="_x0000_s2097" style="position:absolute;margin-left:0;margin-top:0;width:841.9pt;height:28.35pt;z-index:-28244480;mso-position-horizontal-relative:page;mso-position-vertical-relative:page" coordsize="16838,567">
          <v:rect id="docshape2415" o:spid="_x0000_s2105" style="position:absolute;width:16838;height:567" fillcolor="#00aee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416" o:spid="_x0000_s2104" type="#_x0000_t75" style="position:absolute;left:972;top:148;width:399;height:312">
            <v:imagedata r:id="rId1" o:title=""/>
          </v:shape>
          <v:shape id="docshape2417" o:spid="_x0000_s2103" style="position:absolute;left:2815;top:150;width:307;height:307" coordorigin="2815,151" coordsize="307,307" o:spt="100" adj="0,,0" path="m3055,284r-173,l2882,324r173,l3055,284xm3121,304r-12,-60l3095,223r,81l3085,353r-27,40l3017,421r-49,9l2919,421r-40,-28l2852,353r-10,-49l2852,255r27,-40l2919,187r49,-9l3017,187r41,28l3085,255r10,49l3095,223r-19,-27l3049,178r-21,-15l2968,151r-59,12l2860,196r-33,48l2815,304r12,60l2860,412r49,33l2968,457r60,-12l3049,430r27,-18l3109,364r12,-60xe" stroked="f">
            <v:stroke joinstyle="round"/>
            <v:formulas/>
            <v:path arrowok="t" o:connecttype="segments"/>
          </v:shape>
          <v:shape id="docshape2418" o:spid="_x0000_s2102" type="#_x0000_t75" style="position:absolute;left:3250;top:150;width:307;height:307">
            <v:imagedata r:id="rId2" o:title=""/>
          </v:shape>
          <v:shape id="docshape2419" o:spid="_x0000_s2101" type="#_x0000_t75" style="position:absolute;left:14523;top:147;width:330;height:313">
            <v:imagedata r:id="rId3" o:title=""/>
          </v:shape>
          <v:shape id="docshape2420" o:spid="_x0000_s2100" type="#_x0000_t75" style="position:absolute;left:15144;top:150;width:307;height:307">
            <v:imagedata r:id="rId4" o:title=""/>
          </v:shape>
          <v:shape id="docshape2421" o:spid="_x0000_s2099" type="#_x0000_t75" style="position:absolute;left:15557;top:150;width:307;height:307">
            <v:imagedata r:id="rId5" o:title=""/>
          </v:shape>
          <v:shape id="docshape2422" o:spid="_x0000_s2098" type="#_x0000_t75" style="position:absolute;left:1687;top:147;width:314;height:313">
            <v:imagedata r:id="rId6" o:title=""/>
          </v:shape>
          <w10:wrap anchorx="page" anchory="page"/>
        </v:group>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group id="docshapegroup2455" o:spid="_x0000_s2086" style="position:absolute;margin-left:0;margin-top:0;width:841.9pt;height:28.35pt;z-index:-28242944;mso-position-horizontal-relative:page;mso-position-vertical-relative:page" coordsize="16838,567">
          <v:rect id="docshape2456" o:spid="_x0000_s2094" style="position:absolute;width:16838;height:567" fillcolor="#00aee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457" o:spid="_x0000_s2093" type="#_x0000_t75" style="position:absolute;left:972;top:148;width:399;height:312">
            <v:imagedata r:id="rId1" o:title=""/>
          </v:shape>
          <v:shape id="docshape2458" o:spid="_x0000_s2092" style="position:absolute;left:2815;top:150;width:307;height:307" coordorigin="2815,151" coordsize="307,307" o:spt="100" adj="0,,0" path="m3055,284r-173,l2882,324r173,l3055,284xm3121,304r-12,-60l3095,223r,81l3085,353r-27,40l3017,421r-49,9l2919,421r-40,-28l2852,353r-10,-49l2852,255r27,-40l2919,187r49,-9l3017,187r41,28l3085,255r10,49l3095,223r-19,-27l3049,178r-21,-15l2968,151r-59,12l2860,196r-33,48l2815,304r12,60l2860,412r49,33l2968,457r60,-12l3049,430r27,-18l3109,364r12,-60xe" stroked="f">
            <v:stroke joinstyle="round"/>
            <v:formulas/>
            <v:path arrowok="t" o:connecttype="segments"/>
          </v:shape>
          <v:shape id="docshape2459" o:spid="_x0000_s2091" type="#_x0000_t75" style="position:absolute;left:3250;top:150;width:307;height:307">
            <v:imagedata r:id="rId2" o:title=""/>
          </v:shape>
          <v:shape id="docshape2460" o:spid="_x0000_s2090" type="#_x0000_t75" style="position:absolute;left:14523;top:147;width:330;height:313">
            <v:imagedata r:id="rId3" o:title=""/>
          </v:shape>
          <v:shape id="docshape2461" o:spid="_x0000_s2089" type="#_x0000_t75" style="position:absolute;left:15144;top:150;width:307;height:307">
            <v:imagedata r:id="rId4" o:title=""/>
          </v:shape>
          <v:shape id="docshape2462" o:spid="_x0000_s2088" type="#_x0000_t75" style="position:absolute;left:15557;top:150;width:307;height:307">
            <v:imagedata r:id="rId5" o:title=""/>
          </v:shape>
          <v:shape id="docshape2463" o:spid="_x0000_s2087" type="#_x0000_t75" style="position:absolute;left:1687;top:147;width:314;height:313">
            <v:imagedata r:id="rId6" o:title=""/>
          </v:shape>
          <w10:wrap anchorx="page" anchory="page"/>
        </v:group>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F22F94">
    <w:pPr>
      <w:pStyle w:val="BodyText"/>
      <w:spacing w:line="14" w:lineRule="auto"/>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group id="docshapegroup2646" o:spid="_x0000_s2075" style="position:absolute;margin-left:0;margin-top:0;width:841.9pt;height:28.35pt;z-index:-28241408;mso-position-horizontal-relative:page;mso-position-vertical-relative:page" coordsize="16838,567">
          <v:rect id="docshape2647" o:spid="_x0000_s2083" style="position:absolute;width:16838;height:567" fillcolor="#00aee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648" o:spid="_x0000_s2082" type="#_x0000_t75" style="position:absolute;left:972;top:148;width:399;height:312">
            <v:imagedata r:id="rId1" o:title=""/>
          </v:shape>
          <v:shape id="docshape2649" o:spid="_x0000_s2081" style="position:absolute;left:2815;top:150;width:307;height:307" coordorigin="2815,151" coordsize="307,307" o:spt="100" adj="0,,0" path="m3055,284r-173,l2882,324r173,l3055,284xm3121,304r-12,-60l3095,223r,81l3085,353r-27,40l3017,421r-49,9l2919,421r-40,-28l2852,353r-10,-49l2852,255r27,-40l2919,187r49,-9l3017,187r41,28l3085,255r10,49l3095,223r-19,-27l3049,178r-21,-15l2968,151r-59,12l2860,196r-33,48l2815,304r12,60l2860,412r49,33l2968,457r60,-12l3049,430r27,-18l3109,364r12,-60xe" stroked="f">
            <v:stroke joinstyle="round"/>
            <v:formulas/>
            <v:path arrowok="t" o:connecttype="segments"/>
          </v:shape>
          <v:shape id="docshape2650" o:spid="_x0000_s2080" type="#_x0000_t75" style="position:absolute;left:3250;top:150;width:307;height:307">
            <v:imagedata r:id="rId2" o:title=""/>
          </v:shape>
          <v:shape id="docshape2651" o:spid="_x0000_s2079" type="#_x0000_t75" style="position:absolute;left:14523;top:147;width:330;height:313">
            <v:imagedata r:id="rId3" o:title=""/>
          </v:shape>
          <v:shape id="docshape2652" o:spid="_x0000_s2078" type="#_x0000_t75" style="position:absolute;left:15144;top:150;width:307;height:307">
            <v:imagedata r:id="rId4" o:title=""/>
          </v:shape>
          <v:shape id="docshape2653" o:spid="_x0000_s2077" type="#_x0000_t75" style="position:absolute;left:15557;top:150;width:307;height:307">
            <v:imagedata r:id="rId5" o:title=""/>
          </v:shape>
          <v:shape id="docshape2654" o:spid="_x0000_s2076" type="#_x0000_t75" style="position:absolute;left:1687;top:147;width:314;height:313">
            <v:imagedata r:id="rId6" o:title=""/>
          </v:shape>
          <w10:wrap anchorx="page" anchory="page"/>
        </v:group>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group id="docshapegroup2830" o:spid="_x0000_s2064" style="position:absolute;margin-left:0;margin-top:0;width:841.9pt;height:28.35pt;z-index:-28239872;mso-position-horizontal-relative:page;mso-position-vertical-relative:page" coordsize="16838,567">
          <v:rect id="docshape2831" o:spid="_x0000_s2072" style="position:absolute;width:16838;height:567" fillcolor="#00aee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832" o:spid="_x0000_s2071" type="#_x0000_t75" style="position:absolute;left:972;top:148;width:399;height:312">
            <v:imagedata r:id="rId1" o:title=""/>
          </v:shape>
          <v:shape id="docshape2833" o:spid="_x0000_s2070" style="position:absolute;left:2815;top:150;width:307;height:307" coordorigin="2815,151" coordsize="307,307" o:spt="100" adj="0,,0" path="m3055,284r-173,l2882,324r173,l3055,284xm3121,304r-12,-60l3095,223r,81l3085,353r-27,40l3017,421r-49,9l2919,421r-40,-28l2852,353r-10,-49l2852,255r27,-40l2919,187r49,-9l3017,187r41,28l3085,255r10,49l3095,223r-19,-27l3049,178r-21,-15l2968,151r-59,12l2860,196r-33,48l2815,304r12,60l2860,412r49,33l2968,457r60,-12l3049,430r27,-18l3109,364r12,-60xe" stroked="f">
            <v:stroke joinstyle="round"/>
            <v:formulas/>
            <v:path arrowok="t" o:connecttype="segments"/>
          </v:shape>
          <v:shape id="docshape2834" o:spid="_x0000_s2069" type="#_x0000_t75" style="position:absolute;left:3250;top:150;width:307;height:307">
            <v:imagedata r:id="rId2" o:title=""/>
          </v:shape>
          <v:shape id="docshape2835" o:spid="_x0000_s2068" type="#_x0000_t75" style="position:absolute;left:14523;top:147;width:330;height:313">
            <v:imagedata r:id="rId3" o:title=""/>
          </v:shape>
          <v:shape id="docshape2836" o:spid="_x0000_s2067" type="#_x0000_t75" style="position:absolute;left:15144;top:150;width:307;height:307">
            <v:imagedata r:id="rId4" o:title=""/>
          </v:shape>
          <v:shape id="docshape2837" o:spid="_x0000_s2066" type="#_x0000_t75" style="position:absolute;left:15557;top:150;width:307;height:307">
            <v:imagedata r:id="rId5" o:title=""/>
          </v:shape>
          <v:shape id="docshape2838" o:spid="_x0000_s2065" type="#_x0000_t75" style="position:absolute;left:1687;top:147;width:314;height:313">
            <v:imagedata r:id="rId6" o:title=""/>
          </v:shape>
          <w10:wrap anchorx="page" anchory="page"/>
        </v:group>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group id="docshapegroup2860" o:spid="_x0000_s2053" style="position:absolute;margin-left:0;margin-top:0;width:841.9pt;height:28.35pt;z-index:-28238336;mso-position-horizontal-relative:page;mso-position-vertical-relative:page" coordsize="16838,567">
          <v:rect id="docshape2861" o:spid="_x0000_s2061" style="position:absolute;width:16838;height:567" fillcolor="#00aee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862" o:spid="_x0000_s2060" type="#_x0000_t75" style="position:absolute;left:972;top:148;width:399;height:312">
            <v:imagedata r:id="rId1" o:title=""/>
          </v:shape>
          <v:shape id="docshape2863" o:spid="_x0000_s2059" style="position:absolute;left:2815;top:150;width:307;height:307" coordorigin="2815,151" coordsize="307,307" o:spt="100" adj="0,,0" path="m3055,284r-173,l2882,324r173,l3055,284xm3121,304r-12,-60l3095,223r,81l3085,353r-27,40l3017,421r-49,9l2919,421r-40,-28l2852,353r-10,-49l2852,255r27,-40l2919,187r49,-9l3017,187r41,28l3085,255r10,49l3095,223r-19,-27l3049,178r-21,-15l2968,151r-59,12l2860,196r-33,48l2815,304r12,60l2860,412r49,33l2968,457r60,-12l3049,430r27,-18l3109,364r12,-60xe" stroked="f">
            <v:stroke joinstyle="round"/>
            <v:formulas/>
            <v:path arrowok="t" o:connecttype="segments"/>
          </v:shape>
          <v:shape id="docshape2864" o:spid="_x0000_s2058" type="#_x0000_t75" style="position:absolute;left:3250;top:150;width:307;height:307">
            <v:imagedata r:id="rId2" o:title=""/>
          </v:shape>
          <v:shape id="docshape2865" o:spid="_x0000_s2057" type="#_x0000_t75" style="position:absolute;left:14523;top:147;width:330;height:313">
            <v:imagedata r:id="rId3" o:title=""/>
          </v:shape>
          <v:shape id="docshape2866" o:spid="_x0000_s2056" type="#_x0000_t75" style="position:absolute;left:15144;top:150;width:307;height:307">
            <v:imagedata r:id="rId4" o:title=""/>
          </v:shape>
          <v:shape id="docshape2867" o:spid="_x0000_s2055" type="#_x0000_t75" style="position:absolute;left:15557;top:150;width:307;height:307">
            <v:imagedata r:id="rId5" o:title=""/>
          </v:shape>
          <v:shape id="docshape2868" o:spid="_x0000_s2054" type="#_x0000_t75" style="position:absolute;left:1687;top:147;width:314;height:313">
            <v:imagedata r:id="rId6" o:title=""/>
          </v:shape>
          <w10:wrap anchorx="page" anchory="page"/>
        </v:group>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F22F94">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F22F94">
    <w:pPr>
      <w:pStyle w:val="BodyText"/>
      <w:spacing w:line="14" w:lineRule="auto"/>
      <w:rPr>
        <w:sz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F22F94">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group id="docshapegroup29" o:spid="_x0000_s2348" style="position:absolute;margin-left:0;margin-top:0;width:841.9pt;height:28.35pt;z-index:-28278784;mso-position-horizontal-relative:page;mso-position-vertical-relative:page" coordsize="16838,567">
          <v:rect id="docshape30" o:spid="_x0000_s2356" style="position:absolute;width:16838;height:567" fillcolor="#2e309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1" o:spid="_x0000_s2355" type="#_x0000_t75" style="position:absolute;left:972;top:148;width:399;height:312">
            <v:imagedata r:id="rId1" o:title=""/>
          </v:shape>
          <v:shape id="docshape32" o:spid="_x0000_s2354" style="position:absolute;left:2815;top:150;width:307;height:307" coordorigin="2815,151" coordsize="307,307" o:spt="100" adj="0,,0" path="m3055,284r-173,l2882,324r173,l3055,284xm3121,304r-12,-60l3095,223r,81l3085,353r-27,40l3017,421r-49,9l2919,421r-40,-28l2852,353r-10,-49l2852,255r27,-40l2919,187r49,-9l3017,187r41,28l3085,255r10,49l3095,223r-19,-27l3049,178r-21,-15l2968,151r-59,12l2860,196r-33,48l2815,304r12,60l2860,412r49,33l2968,457r60,-12l3049,430r27,-18l3109,364r12,-60xe" stroked="f">
            <v:stroke joinstyle="round"/>
            <v:formulas/>
            <v:path arrowok="t" o:connecttype="segments"/>
          </v:shape>
          <v:shape id="docshape33" o:spid="_x0000_s2353" type="#_x0000_t75" style="position:absolute;left:3250;top:150;width:307;height:307">
            <v:imagedata r:id="rId2" o:title=""/>
          </v:shape>
          <v:shape id="docshape34" o:spid="_x0000_s2352" type="#_x0000_t75" style="position:absolute;left:14523;top:147;width:330;height:313">
            <v:imagedata r:id="rId3" o:title=""/>
          </v:shape>
          <v:shape id="docshape35" o:spid="_x0000_s2351" type="#_x0000_t75" style="position:absolute;left:15144;top:150;width:307;height:307">
            <v:imagedata r:id="rId4" o:title=""/>
          </v:shape>
          <v:shape id="docshape36" o:spid="_x0000_s2350" type="#_x0000_t75" style="position:absolute;left:15557;top:150;width:307;height:307">
            <v:imagedata r:id="rId5" o:title=""/>
          </v:shape>
          <v:shape id="docshape37" o:spid="_x0000_s2349" type="#_x0000_t75" style="position:absolute;left:1687;top:147;width:314;height:313">
            <v:imagedata r:id="rId6" o:title=""/>
          </v:shape>
          <w10:wrap anchorx="page" anchory="page"/>
        </v:group>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group id="docshapegroup40" o:spid="_x0000_s2337" style="position:absolute;margin-left:0;margin-top:0;width:841.9pt;height:28.35pt;z-index:-28277248;mso-position-horizontal-relative:page;mso-position-vertical-relative:page" coordsize="16838,567">
          <v:rect id="docshape41" o:spid="_x0000_s2345" style="position:absolute;width:16838;height:567" fillcolor="#2e309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2" o:spid="_x0000_s2344" type="#_x0000_t75" style="position:absolute;left:972;top:148;width:399;height:312">
            <v:imagedata r:id="rId1" o:title=""/>
          </v:shape>
          <v:shape id="docshape43" o:spid="_x0000_s2343" style="position:absolute;left:2815;top:150;width:307;height:307" coordorigin="2815,151" coordsize="307,307" o:spt="100" adj="0,,0" path="m3055,284r-173,l2882,324r173,l3055,284xm3121,304r-12,-60l3095,223r,81l3085,353r-27,40l3017,421r-49,9l2919,421r-40,-28l2852,353r-10,-49l2852,255r27,-40l2919,187r49,-9l3017,187r41,28l3085,255r10,49l3095,223r-19,-27l3049,178r-21,-15l2968,151r-59,12l2860,196r-33,48l2815,304r12,60l2860,412r49,33l2968,457r60,-12l3049,430r27,-18l3109,364r12,-60xe" stroked="f">
            <v:stroke joinstyle="round"/>
            <v:formulas/>
            <v:path arrowok="t" o:connecttype="segments"/>
          </v:shape>
          <v:shape id="docshape44" o:spid="_x0000_s2342" type="#_x0000_t75" style="position:absolute;left:3250;top:150;width:307;height:307">
            <v:imagedata r:id="rId2" o:title=""/>
          </v:shape>
          <v:shape id="docshape45" o:spid="_x0000_s2341" type="#_x0000_t75" style="position:absolute;left:14523;top:147;width:330;height:313">
            <v:imagedata r:id="rId3" o:title=""/>
          </v:shape>
          <v:shape id="docshape46" o:spid="_x0000_s2340" type="#_x0000_t75" style="position:absolute;left:15144;top:150;width:307;height:307">
            <v:imagedata r:id="rId4" o:title=""/>
          </v:shape>
          <v:shape id="docshape47" o:spid="_x0000_s2339" type="#_x0000_t75" style="position:absolute;left:15557;top:150;width:307;height:307">
            <v:imagedata r:id="rId5" o:title=""/>
          </v:shape>
          <v:shape id="docshape48" o:spid="_x0000_s2338" type="#_x0000_t75" style="position:absolute;left:1687;top:147;width:314;height:313">
            <v:imagedata r:id="rId6" o:title=""/>
          </v:shape>
          <w10:wrap anchorx="page" anchory="page"/>
        </v:group>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group id="docshapegroup51" o:spid="_x0000_s2326" style="position:absolute;margin-left:0;margin-top:0;width:841.9pt;height:28.35pt;z-index:-28275712;mso-position-horizontal-relative:page;mso-position-vertical-relative:page" coordsize="16838,567">
          <v:rect id="docshape52" o:spid="_x0000_s2334" style="position:absolute;width:16838;height:567" fillcolor="#2e309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3" o:spid="_x0000_s2333" type="#_x0000_t75" style="position:absolute;left:972;top:148;width:399;height:312">
            <v:imagedata r:id="rId1" o:title=""/>
          </v:shape>
          <v:shape id="docshape54" o:spid="_x0000_s2332" style="position:absolute;left:2815;top:150;width:307;height:307" coordorigin="2815,151" coordsize="307,307" o:spt="100" adj="0,,0" path="m3055,284r-173,l2882,324r173,l3055,284xm3121,304r-12,-60l3095,223r,81l3085,353r-27,40l3017,421r-49,9l2919,421r-40,-28l2852,353r-10,-49l2852,255r27,-40l2919,187r49,-9l3017,187r41,28l3085,255r10,49l3095,223r-19,-27l3049,178r-21,-15l2968,151r-59,12l2860,196r-33,48l2815,304r12,60l2860,412r49,33l2968,457r60,-12l3049,430r27,-18l3109,364r12,-60xe" stroked="f">
            <v:stroke joinstyle="round"/>
            <v:formulas/>
            <v:path arrowok="t" o:connecttype="segments"/>
          </v:shape>
          <v:shape id="docshape55" o:spid="_x0000_s2331" type="#_x0000_t75" style="position:absolute;left:3250;top:150;width:307;height:307">
            <v:imagedata r:id="rId2" o:title=""/>
          </v:shape>
          <v:shape id="docshape56" o:spid="_x0000_s2330" type="#_x0000_t75" style="position:absolute;left:14523;top:147;width:330;height:313">
            <v:imagedata r:id="rId3" o:title=""/>
          </v:shape>
          <v:shape id="docshape57" o:spid="_x0000_s2329" type="#_x0000_t75" style="position:absolute;left:15144;top:150;width:307;height:307">
            <v:imagedata r:id="rId4" o:title=""/>
          </v:shape>
          <v:shape id="docshape58" o:spid="_x0000_s2328" type="#_x0000_t75" style="position:absolute;left:15557;top:150;width:307;height:307">
            <v:imagedata r:id="rId5" o:title=""/>
          </v:shape>
          <v:shape id="docshape59" o:spid="_x0000_s2327" type="#_x0000_t75" style="position:absolute;left:1687;top:147;width:314;height:313">
            <v:imagedata r:id="rId6" o:title=""/>
          </v:shape>
          <w10:wrap anchorx="page" anchory="page"/>
        </v:group>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F22F94">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94" w:rsidRDefault="002060EF">
    <w:pPr>
      <w:pStyle w:val="BodyText"/>
      <w:spacing w:line="14" w:lineRule="auto"/>
    </w:pPr>
    <w:r>
      <w:pict>
        <v:group id="docshapegroup81" o:spid="_x0000_s2315" style="position:absolute;margin-left:0;margin-top:0;width:841.9pt;height:28.35pt;z-index:-28274176;mso-position-horizontal-relative:page;mso-position-vertical-relative:page" coordsize="16838,567">
          <v:rect id="docshape82" o:spid="_x0000_s2323" style="position:absolute;width:16838;height:567" fillcolor="#ec008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3" o:spid="_x0000_s2322" type="#_x0000_t75" style="position:absolute;left:972;top:148;width:399;height:312">
            <v:imagedata r:id="rId1" o:title=""/>
          </v:shape>
          <v:shape id="docshape84" o:spid="_x0000_s2321" style="position:absolute;left:2815;top:150;width:307;height:307" coordorigin="2815,151" coordsize="307,307" o:spt="100" adj="0,,0" path="m3055,284r-173,l2882,324r173,l3055,284xm3121,304r-12,-60l3095,223r,81l3085,353r-27,40l3017,421r-49,9l2919,421r-40,-28l2852,353r-10,-49l2852,255r27,-40l2919,187r49,-9l3017,187r41,28l3085,255r10,49l3095,223r-19,-27l3049,178r-21,-15l2968,151r-59,12l2860,196r-33,48l2815,304r12,60l2860,412r49,33l2968,457r60,-12l3049,430r27,-18l3109,364r12,-60xe" stroked="f">
            <v:stroke joinstyle="round"/>
            <v:formulas/>
            <v:path arrowok="t" o:connecttype="segments"/>
          </v:shape>
          <v:shape id="docshape85" o:spid="_x0000_s2320" type="#_x0000_t75" style="position:absolute;left:3250;top:150;width:307;height:307">
            <v:imagedata r:id="rId2" o:title=""/>
          </v:shape>
          <v:shape id="docshape86" o:spid="_x0000_s2319" type="#_x0000_t75" style="position:absolute;left:14523;top:147;width:330;height:313">
            <v:imagedata r:id="rId3" o:title=""/>
          </v:shape>
          <v:shape id="docshape87" o:spid="_x0000_s2318" type="#_x0000_t75" style="position:absolute;left:15144;top:150;width:307;height:307">
            <v:imagedata r:id="rId4" o:title=""/>
          </v:shape>
          <v:shape id="docshape88" o:spid="_x0000_s2317" type="#_x0000_t75" style="position:absolute;left:15557;top:150;width:307;height:307">
            <v:imagedata r:id="rId5" o:title=""/>
          </v:shape>
          <v:shape id="docshape89" o:spid="_x0000_s2316" type="#_x0000_t75" style="position:absolute;left:1687;top:147;width:314;height:313">
            <v:imagedata r:id="rId6" o:title=""/>
          </v:shape>
          <w10:wrap anchorx="page" anchory="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F0BCD"/>
    <w:multiLevelType w:val="hybridMultilevel"/>
    <w:tmpl w:val="EC227BAE"/>
    <w:lvl w:ilvl="0" w:tplc="21C8464C">
      <w:numFmt w:val="bullet"/>
      <w:lvlText w:val="–"/>
      <w:lvlJc w:val="left"/>
      <w:pPr>
        <w:ind w:left="252" w:hanging="142"/>
      </w:pPr>
      <w:rPr>
        <w:rFonts w:ascii="Arial" w:eastAsia="Arial" w:hAnsi="Arial" w:cs="Arial" w:hint="default"/>
        <w:b w:val="0"/>
        <w:bCs w:val="0"/>
        <w:i w:val="0"/>
        <w:iCs w:val="0"/>
        <w:w w:val="89"/>
        <w:sz w:val="16"/>
        <w:szCs w:val="16"/>
        <w:lang w:val="en-US" w:eastAsia="en-US" w:bidi="ar-SA"/>
      </w:rPr>
    </w:lvl>
    <w:lvl w:ilvl="1" w:tplc="3C14560A">
      <w:numFmt w:val="bullet"/>
      <w:lvlText w:val="•"/>
      <w:lvlJc w:val="left"/>
      <w:pPr>
        <w:ind w:left="1127" w:hanging="142"/>
      </w:pPr>
      <w:rPr>
        <w:rFonts w:hint="default"/>
        <w:lang w:val="en-US" w:eastAsia="en-US" w:bidi="ar-SA"/>
      </w:rPr>
    </w:lvl>
    <w:lvl w:ilvl="2" w:tplc="0F78B9EA">
      <w:numFmt w:val="bullet"/>
      <w:lvlText w:val="•"/>
      <w:lvlJc w:val="left"/>
      <w:pPr>
        <w:ind w:left="1995" w:hanging="142"/>
      </w:pPr>
      <w:rPr>
        <w:rFonts w:hint="default"/>
        <w:lang w:val="en-US" w:eastAsia="en-US" w:bidi="ar-SA"/>
      </w:rPr>
    </w:lvl>
    <w:lvl w:ilvl="3" w:tplc="F702AAC0">
      <w:numFmt w:val="bullet"/>
      <w:lvlText w:val="•"/>
      <w:lvlJc w:val="left"/>
      <w:pPr>
        <w:ind w:left="2863" w:hanging="142"/>
      </w:pPr>
      <w:rPr>
        <w:rFonts w:hint="default"/>
        <w:lang w:val="en-US" w:eastAsia="en-US" w:bidi="ar-SA"/>
      </w:rPr>
    </w:lvl>
    <w:lvl w:ilvl="4" w:tplc="0CE4C72E">
      <w:numFmt w:val="bullet"/>
      <w:lvlText w:val="•"/>
      <w:lvlJc w:val="left"/>
      <w:pPr>
        <w:ind w:left="3731" w:hanging="142"/>
      </w:pPr>
      <w:rPr>
        <w:rFonts w:hint="default"/>
        <w:lang w:val="en-US" w:eastAsia="en-US" w:bidi="ar-SA"/>
      </w:rPr>
    </w:lvl>
    <w:lvl w:ilvl="5" w:tplc="D7EE54EC">
      <w:numFmt w:val="bullet"/>
      <w:lvlText w:val="•"/>
      <w:lvlJc w:val="left"/>
      <w:pPr>
        <w:ind w:left="4599" w:hanging="142"/>
      </w:pPr>
      <w:rPr>
        <w:rFonts w:hint="default"/>
        <w:lang w:val="en-US" w:eastAsia="en-US" w:bidi="ar-SA"/>
      </w:rPr>
    </w:lvl>
    <w:lvl w:ilvl="6" w:tplc="5088E330">
      <w:numFmt w:val="bullet"/>
      <w:lvlText w:val="•"/>
      <w:lvlJc w:val="left"/>
      <w:pPr>
        <w:ind w:left="5467" w:hanging="142"/>
      </w:pPr>
      <w:rPr>
        <w:rFonts w:hint="default"/>
        <w:lang w:val="en-US" w:eastAsia="en-US" w:bidi="ar-SA"/>
      </w:rPr>
    </w:lvl>
    <w:lvl w:ilvl="7" w:tplc="3C4EEBFE">
      <w:numFmt w:val="bullet"/>
      <w:lvlText w:val="•"/>
      <w:lvlJc w:val="left"/>
      <w:pPr>
        <w:ind w:left="6335" w:hanging="142"/>
      </w:pPr>
      <w:rPr>
        <w:rFonts w:hint="default"/>
        <w:lang w:val="en-US" w:eastAsia="en-US" w:bidi="ar-SA"/>
      </w:rPr>
    </w:lvl>
    <w:lvl w:ilvl="8" w:tplc="FF52B718">
      <w:numFmt w:val="bullet"/>
      <w:lvlText w:val="•"/>
      <w:lvlJc w:val="left"/>
      <w:pPr>
        <w:ind w:left="7203" w:hanging="142"/>
      </w:pPr>
      <w:rPr>
        <w:rFonts w:hint="default"/>
        <w:lang w:val="en-US" w:eastAsia="en-US" w:bidi="ar-SA"/>
      </w:rPr>
    </w:lvl>
  </w:abstractNum>
  <w:abstractNum w:abstractNumId="1" w15:restartNumberingAfterBreak="0">
    <w:nsid w:val="0091701B"/>
    <w:multiLevelType w:val="hybridMultilevel"/>
    <w:tmpl w:val="09AA2694"/>
    <w:lvl w:ilvl="0" w:tplc="65B2B742">
      <w:numFmt w:val="bullet"/>
      <w:lvlText w:val="•"/>
      <w:lvlJc w:val="left"/>
      <w:pPr>
        <w:ind w:left="2929" w:hanging="100"/>
      </w:pPr>
      <w:rPr>
        <w:rFonts w:ascii="Tahoma" w:eastAsia="Tahoma" w:hAnsi="Tahoma" w:cs="Tahoma" w:hint="default"/>
        <w:w w:val="109"/>
        <w:lang w:val="en-US" w:eastAsia="en-US" w:bidi="ar-SA"/>
      </w:rPr>
    </w:lvl>
    <w:lvl w:ilvl="1" w:tplc="0346126E">
      <w:numFmt w:val="bullet"/>
      <w:lvlText w:val="•"/>
      <w:lvlJc w:val="left"/>
      <w:pPr>
        <w:ind w:left="3484" w:hanging="100"/>
      </w:pPr>
      <w:rPr>
        <w:rFonts w:hint="default"/>
        <w:lang w:val="en-US" w:eastAsia="en-US" w:bidi="ar-SA"/>
      </w:rPr>
    </w:lvl>
    <w:lvl w:ilvl="2" w:tplc="5F141782">
      <w:numFmt w:val="bullet"/>
      <w:lvlText w:val="•"/>
      <w:lvlJc w:val="left"/>
      <w:pPr>
        <w:ind w:left="4049" w:hanging="100"/>
      </w:pPr>
      <w:rPr>
        <w:rFonts w:hint="default"/>
        <w:lang w:val="en-US" w:eastAsia="en-US" w:bidi="ar-SA"/>
      </w:rPr>
    </w:lvl>
    <w:lvl w:ilvl="3" w:tplc="57A0F638">
      <w:numFmt w:val="bullet"/>
      <w:lvlText w:val="•"/>
      <w:lvlJc w:val="left"/>
      <w:pPr>
        <w:ind w:left="4613" w:hanging="100"/>
      </w:pPr>
      <w:rPr>
        <w:rFonts w:hint="default"/>
        <w:lang w:val="en-US" w:eastAsia="en-US" w:bidi="ar-SA"/>
      </w:rPr>
    </w:lvl>
    <w:lvl w:ilvl="4" w:tplc="7A1E357E">
      <w:numFmt w:val="bullet"/>
      <w:lvlText w:val="•"/>
      <w:lvlJc w:val="left"/>
      <w:pPr>
        <w:ind w:left="5178" w:hanging="100"/>
      </w:pPr>
      <w:rPr>
        <w:rFonts w:hint="default"/>
        <w:lang w:val="en-US" w:eastAsia="en-US" w:bidi="ar-SA"/>
      </w:rPr>
    </w:lvl>
    <w:lvl w:ilvl="5" w:tplc="A08CB8B4">
      <w:numFmt w:val="bullet"/>
      <w:lvlText w:val="•"/>
      <w:lvlJc w:val="left"/>
      <w:pPr>
        <w:ind w:left="5743" w:hanging="100"/>
      </w:pPr>
      <w:rPr>
        <w:rFonts w:hint="default"/>
        <w:lang w:val="en-US" w:eastAsia="en-US" w:bidi="ar-SA"/>
      </w:rPr>
    </w:lvl>
    <w:lvl w:ilvl="6" w:tplc="70D2BE66">
      <w:numFmt w:val="bullet"/>
      <w:lvlText w:val="•"/>
      <w:lvlJc w:val="left"/>
      <w:pPr>
        <w:ind w:left="6307" w:hanging="100"/>
      </w:pPr>
      <w:rPr>
        <w:rFonts w:hint="default"/>
        <w:lang w:val="en-US" w:eastAsia="en-US" w:bidi="ar-SA"/>
      </w:rPr>
    </w:lvl>
    <w:lvl w:ilvl="7" w:tplc="0848F446">
      <w:numFmt w:val="bullet"/>
      <w:lvlText w:val="•"/>
      <w:lvlJc w:val="left"/>
      <w:pPr>
        <w:ind w:left="6872" w:hanging="100"/>
      </w:pPr>
      <w:rPr>
        <w:rFonts w:hint="default"/>
        <w:lang w:val="en-US" w:eastAsia="en-US" w:bidi="ar-SA"/>
      </w:rPr>
    </w:lvl>
    <w:lvl w:ilvl="8" w:tplc="ACD865F2">
      <w:numFmt w:val="bullet"/>
      <w:lvlText w:val="•"/>
      <w:lvlJc w:val="left"/>
      <w:pPr>
        <w:ind w:left="7436" w:hanging="100"/>
      </w:pPr>
      <w:rPr>
        <w:rFonts w:hint="default"/>
        <w:lang w:val="en-US" w:eastAsia="en-US" w:bidi="ar-SA"/>
      </w:rPr>
    </w:lvl>
  </w:abstractNum>
  <w:abstractNum w:abstractNumId="2" w15:restartNumberingAfterBreak="0">
    <w:nsid w:val="00B07C70"/>
    <w:multiLevelType w:val="hybridMultilevel"/>
    <w:tmpl w:val="30184E8C"/>
    <w:lvl w:ilvl="0" w:tplc="DDE8B4CA">
      <w:numFmt w:val="bullet"/>
      <w:lvlText w:val="–"/>
      <w:lvlJc w:val="left"/>
      <w:pPr>
        <w:ind w:left="252" w:hanging="142"/>
      </w:pPr>
      <w:rPr>
        <w:rFonts w:ascii="Arial" w:eastAsia="Arial" w:hAnsi="Arial" w:cs="Arial" w:hint="default"/>
        <w:b w:val="0"/>
        <w:bCs w:val="0"/>
        <w:i w:val="0"/>
        <w:iCs w:val="0"/>
        <w:w w:val="89"/>
        <w:sz w:val="16"/>
        <w:szCs w:val="16"/>
        <w:lang w:val="en-US" w:eastAsia="en-US" w:bidi="ar-SA"/>
      </w:rPr>
    </w:lvl>
    <w:lvl w:ilvl="1" w:tplc="45E25FA0">
      <w:numFmt w:val="bullet"/>
      <w:lvlText w:val="•"/>
      <w:lvlJc w:val="left"/>
      <w:pPr>
        <w:ind w:left="1127" w:hanging="142"/>
      </w:pPr>
      <w:rPr>
        <w:rFonts w:hint="default"/>
        <w:lang w:val="en-US" w:eastAsia="en-US" w:bidi="ar-SA"/>
      </w:rPr>
    </w:lvl>
    <w:lvl w:ilvl="2" w:tplc="0D98ECF0">
      <w:numFmt w:val="bullet"/>
      <w:lvlText w:val="•"/>
      <w:lvlJc w:val="left"/>
      <w:pPr>
        <w:ind w:left="1995" w:hanging="142"/>
      </w:pPr>
      <w:rPr>
        <w:rFonts w:hint="default"/>
        <w:lang w:val="en-US" w:eastAsia="en-US" w:bidi="ar-SA"/>
      </w:rPr>
    </w:lvl>
    <w:lvl w:ilvl="3" w:tplc="39909280">
      <w:numFmt w:val="bullet"/>
      <w:lvlText w:val="•"/>
      <w:lvlJc w:val="left"/>
      <w:pPr>
        <w:ind w:left="2863" w:hanging="142"/>
      </w:pPr>
      <w:rPr>
        <w:rFonts w:hint="default"/>
        <w:lang w:val="en-US" w:eastAsia="en-US" w:bidi="ar-SA"/>
      </w:rPr>
    </w:lvl>
    <w:lvl w:ilvl="4" w:tplc="9B3CF622">
      <w:numFmt w:val="bullet"/>
      <w:lvlText w:val="•"/>
      <w:lvlJc w:val="left"/>
      <w:pPr>
        <w:ind w:left="3731" w:hanging="142"/>
      </w:pPr>
      <w:rPr>
        <w:rFonts w:hint="default"/>
        <w:lang w:val="en-US" w:eastAsia="en-US" w:bidi="ar-SA"/>
      </w:rPr>
    </w:lvl>
    <w:lvl w:ilvl="5" w:tplc="2228CAC8">
      <w:numFmt w:val="bullet"/>
      <w:lvlText w:val="•"/>
      <w:lvlJc w:val="left"/>
      <w:pPr>
        <w:ind w:left="4599" w:hanging="142"/>
      </w:pPr>
      <w:rPr>
        <w:rFonts w:hint="default"/>
        <w:lang w:val="en-US" w:eastAsia="en-US" w:bidi="ar-SA"/>
      </w:rPr>
    </w:lvl>
    <w:lvl w:ilvl="6" w:tplc="F3A83FBC">
      <w:numFmt w:val="bullet"/>
      <w:lvlText w:val="•"/>
      <w:lvlJc w:val="left"/>
      <w:pPr>
        <w:ind w:left="5467" w:hanging="142"/>
      </w:pPr>
      <w:rPr>
        <w:rFonts w:hint="default"/>
        <w:lang w:val="en-US" w:eastAsia="en-US" w:bidi="ar-SA"/>
      </w:rPr>
    </w:lvl>
    <w:lvl w:ilvl="7" w:tplc="6B94AFCA">
      <w:numFmt w:val="bullet"/>
      <w:lvlText w:val="•"/>
      <w:lvlJc w:val="left"/>
      <w:pPr>
        <w:ind w:left="6335" w:hanging="142"/>
      </w:pPr>
      <w:rPr>
        <w:rFonts w:hint="default"/>
        <w:lang w:val="en-US" w:eastAsia="en-US" w:bidi="ar-SA"/>
      </w:rPr>
    </w:lvl>
    <w:lvl w:ilvl="8" w:tplc="7F8476DA">
      <w:numFmt w:val="bullet"/>
      <w:lvlText w:val="•"/>
      <w:lvlJc w:val="left"/>
      <w:pPr>
        <w:ind w:left="7203" w:hanging="142"/>
      </w:pPr>
      <w:rPr>
        <w:rFonts w:hint="default"/>
        <w:lang w:val="en-US" w:eastAsia="en-US" w:bidi="ar-SA"/>
      </w:rPr>
    </w:lvl>
  </w:abstractNum>
  <w:abstractNum w:abstractNumId="3" w15:restartNumberingAfterBreak="0">
    <w:nsid w:val="00EA3B70"/>
    <w:multiLevelType w:val="hybridMultilevel"/>
    <w:tmpl w:val="E3ACEDF4"/>
    <w:lvl w:ilvl="0" w:tplc="2CEE1EB2">
      <w:start w:val="7"/>
      <w:numFmt w:val="decimal"/>
      <w:lvlText w:val="%1"/>
      <w:lvlJc w:val="left"/>
      <w:pPr>
        <w:ind w:left="690" w:hanging="199"/>
        <w:jc w:val="right"/>
      </w:pPr>
      <w:rPr>
        <w:rFonts w:hint="default"/>
        <w:w w:val="99"/>
        <w:lang w:val="en-US" w:eastAsia="en-US" w:bidi="ar-SA"/>
      </w:rPr>
    </w:lvl>
    <w:lvl w:ilvl="1" w:tplc="18AE28CE">
      <w:numFmt w:val="bullet"/>
      <w:lvlText w:val="•"/>
      <w:lvlJc w:val="left"/>
      <w:pPr>
        <w:ind w:left="775" w:hanging="284"/>
      </w:pPr>
      <w:rPr>
        <w:rFonts w:ascii="Tahoma" w:eastAsia="Tahoma" w:hAnsi="Tahoma" w:cs="Tahoma" w:hint="default"/>
        <w:b w:val="0"/>
        <w:bCs w:val="0"/>
        <w:i w:val="0"/>
        <w:iCs w:val="0"/>
        <w:w w:val="109"/>
        <w:sz w:val="20"/>
        <w:szCs w:val="20"/>
        <w:lang w:val="en-US" w:eastAsia="en-US" w:bidi="ar-SA"/>
      </w:rPr>
    </w:lvl>
    <w:lvl w:ilvl="2" w:tplc="BB1CA61E">
      <w:numFmt w:val="bullet"/>
      <w:lvlText w:val="•"/>
      <w:lvlJc w:val="left"/>
      <w:pPr>
        <w:ind w:left="1214" w:hanging="284"/>
      </w:pPr>
      <w:rPr>
        <w:rFonts w:hint="default"/>
        <w:lang w:val="en-US" w:eastAsia="en-US" w:bidi="ar-SA"/>
      </w:rPr>
    </w:lvl>
    <w:lvl w:ilvl="3" w:tplc="366C26BA">
      <w:numFmt w:val="bullet"/>
      <w:lvlText w:val="•"/>
      <w:lvlJc w:val="left"/>
      <w:pPr>
        <w:ind w:left="1648" w:hanging="284"/>
      </w:pPr>
      <w:rPr>
        <w:rFonts w:hint="default"/>
        <w:lang w:val="en-US" w:eastAsia="en-US" w:bidi="ar-SA"/>
      </w:rPr>
    </w:lvl>
    <w:lvl w:ilvl="4" w:tplc="18A6DADA">
      <w:numFmt w:val="bullet"/>
      <w:lvlText w:val="•"/>
      <w:lvlJc w:val="left"/>
      <w:pPr>
        <w:ind w:left="2083" w:hanging="284"/>
      </w:pPr>
      <w:rPr>
        <w:rFonts w:hint="default"/>
        <w:lang w:val="en-US" w:eastAsia="en-US" w:bidi="ar-SA"/>
      </w:rPr>
    </w:lvl>
    <w:lvl w:ilvl="5" w:tplc="851CF606">
      <w:numFmt w:val="bullet"/>
      <w:lvlText w:val="•"/>
      <w:lvlJc w:val="left"/>
      <w:pPr>
        <w:ind w:left="2517" w:hanging="284"/>
      </w:pPr>
      <w:rPr>
        <w:rFonts w:hint="default"/>
        <w:lang w:val="en-US" w:eastAsia="en-US" w:bidi="ar-SA"/>
      </w:rPr>
    </w:lvl>
    <w:lvl w:ilvl="6" w:tplc="06040784">
      <w:numFmt w:val="bullet"/>
      <w:lvlText w:val="•"/>
      <w:lvlJc w:val="left"/>
      <w:pPr>
        <w:ind w:left="2952" w:hanging="284"/>
      </w:pPr>
      <w:rPr>
        <w:rFonts w:hint="default"/>
        <w:lang w:val="en-US" w:eastAsia="en-US" w:bidi="ar-SA"/>
      </w:rPr>
    </w:lvl>
    <w:lvl w:ilvl="7" w:tplc="CB3071CE">
      <w:numFmt w:val="bullet"/>
      <w:lvlText w:val="•"/>
      <w:lvlJc w:val="left"/>
      <w:pPr>
        <w:ind w:left="3386" w:hanging="284"/>
      </w:pPr>
      <w:rPr>
        <w:rFonts w:hint="default"/>
        <w:lang w:val="en-US" w:eastAsia="en-US" w:bidi="ar-SA"/>
      </w:rPr>
    </w:lvl>
    <w:lvl w:ilvl="8" w:tplc="4EC09576">
      <w:numFmt w:val="bullet"/>
      <w:lvlText w:val="•"/>
      <w:lvlJc w:val="left"/>
      <w:pPr>
        <w:ind w:left="3821" w:hanging="284"/>
      </w:pPr>
      <w:rPr>
        <w:rFonts w:hint="default"/>
        <w:lang w:val="en-US" w:eastAsia="en-US" w:bidi="ar-SA"/>
      </w:rPr>
    </w:lvl>
  </w:abstractNum>
  <w:abstractNum w:abstractNumId="4" w15:restartNumberingAfterBreak="0">
    <w:nsid w:val="00ED3E79"/>
    <w:multiLevelType w:val="hybridMultilevel"/>
    <w:tmpl w:val="BB7652DC"/>
    <w:lvl w:ilvl="0" w:tplc="3C9E0244">
      <w:numFmt w:val="bullet"/>
      <w:lvlText w:val="•"/>
      <w:lvlJc w:val="left"/>
      <w:pPr>
        <w:ind w:left="472" w:hanging="284"/>
      </w:pPr>
      <w:rPr>
        <w:rFonts w:ascii="Tahoma" w:eastAsia="Tahoma" w:hAnsi="Tahoma" w:cs="Tahoma" w:hint="default"/>
        <w:b w:val="0"/>
        <w:bCs w:val="0"/>
        <w:i w:val="0"/>
        <w:iCs w:val="0"/>
        <w:w w:val="109"/>
        <w:sz w:val="20"/>
        <w:szCs w:val="20"/>
        <w:lang w:val="en-US" w:eastAsia="en-US" w:bidi="ar-SA"/>
      </w:rPr>
    </w:lvl>
    <w:lvl w:ilvl="1" w:tplc="34EA4546">
      <w:numFmt w:val="bullet"/>
      <w:lvlText w:val="•"/>
      <w:lvlJc w:val="left"/>
      <w:pPr>
        <w:ind w:left="1002" w:hanging="284"/>
      </w:pPr>
      <w:rPr>
        <w:rFonts w:hint="default"/>
        <w:lang w:val="en-US" w:eastAsia="en-US" w:bidi="ar-SA"/>
      </w:rPr>
    </w:lvl>
    <w:lvl w:ilvl="2" w:tplc="02DA9D06">
      <w:numFmt w:val="bullet"/>
      <w:lvlText w:val="•"/>
      <w:lvlJc w:val="left"/>
      <w:pPr>
        <w:ind w:left="1524" w:hanging="284"/>
      </w:pPr>
      <w:rPr>
        <w:rFonts w:hint="default"/>
        <w:lang w:val="en-US" w:eastAsia="en-US" w:bidi="ar-SA"/>
      </w:rPr>
    </w:lvl>
    <w:lvl w:ilvl="3" w:tplc="682A7772">
      <w:numFmt w:val="bullet"/>
      <w:lvlText w:val="•"/>
      <w:lvlJc w:val="left"/>
      <w:pPr>
        <w:ind w:left="2046" w:hanging="284"/>
      </w:pPr>
      <w:rPr>
        <w:rFonts w:hint="default"/>
        <w:lang w:val="en-US" w:eastAsia="en-US" w:bidi="ar-SA"/>
      </w:rPr>
    </w:lvl>
    <w:lvl w:ilvl="4" w:tplc="E19E0D36">
      <w:numFmt w:val="bullet"/>
      <w:lvlText w:val="•"/>
      <w:lvlJc w:val="left"/>
      <w:pPr>
        <w:ind w:left="2568" w:hanging="284"/>
      </w:pPr>
      <w:rPr>
        <w:rFonts w:hint="default"/>
        <w:lang w:val="en-US" w:eastAsia="en-US" w:bidi="ar-SA"/>
      </w:rPr>
    </w:lvl>
    <w:lvl w:ilvl="5" w:tplc="2A14B806">
      <w:numFmt w:val="bullet"/>
      <w:lvlText w:val="•"/>
      <w:lvlJc w:val="left"/>
      <w:pPr>
        <w:ind w:left="3090" w:hanging="284"/>
      </w:pPr>
      <w:rPr>
        <w:rFonts w:hint="default"/>
        <w:lang w:val="en-US" w:eastAsia="en-US" w:bidi="ar-SA"/>
      </w:rPr>
    </w:lvl>
    <w:lvl w:ilvl="6" w:tplc="451A6C68">
      <w:numFmt w:val="bullet"/>
      <w:lvlText w:val="•"/>
      <w:lvlJc w:val="left"/>
      <w:pPr>
        <w:ind w:left="3613" w:hanging="284"/>
      </w:pPr>
      <w:rPr>
        <w:rFonts w:hint="default"/>
        <w:lang w:val="en-US" w:eastAsia="en-US" w:bidi="ar-SA"/>
      </w:rPr>
    </w:lvl>
    <w:lvl w:ilvl="7" w:tplc="6822792C">
      <w:numFmt w:val="bullet"/>
      <w:lvlText w:val="•"/>
      <w:lvlJc w:val="left"/>
      <w:pPr>
        <w:ind w:left="4135" w:hanging="284"/>
      </w:pPr>
      <w:rPr>
        <w:rFonts w:hint="default"/>
        <w:lang w:val="en-US" w:eastAsia="en-US" w:bidi="ar-SA"/>
      </w:rPr>
    </w:lvl>
    <w:lvl w:ilvl="8" w:tplc="2CF04A44">
      <w:numFmt w:val="bullet"/>
      <w:lvlText w:val="•"/>
      <w:lvlJc w:val="left"/>
      <w:pPr>
        <w:ind w:left="4657" w:hanging="284"/>
      </w:pPr>
      <w:rPr>
        <w:rFonts w:hint="default"/>
        <w:lang w:val="en-US" w:eastAsia="en-US" w:bidi="ar-SA"/>
      </w:rPr>
    </w:lvl>
  </w:abstractNum>
  <w:abstractNum w:abstractNumId="5" w15:restartNumberingAfterBreak="0">
    <w:nsid w:val="01246BF2"/>
    <w:multiLevelType w:val="hybridMultilevel"/>
    <w:tmpl w:val="029C9480"/>
    <w:lvl w:ilvl="0" w:tplc="8E54BC72">
      <w:start w:val="1"/>
      <w:numFmt w:val="decimal"/>
      <w:lvlText w:val="%1"/>
      <w:lvlJc w:val="left"/>
      <w:pPr>
        <w:ind w:left="208" w:hanging="209"/>
        <w:jc w:val="left"/>
      </w:pPr>
      <w:rPr>
        <w:rFonts w:ascii="Arial" w:eastAsia="Arial" w:hAnsi="Arial" w:cs="Arial" w:hint="default"/>
        <w:b/>
        <w:bCs/>
        <w:i w:val="0"/>
        <w:iCs w:val="0"/>
        <w:w w:val="99"/>
        <w:sz w:val="14"/>
        <w:szCs w:val="14"/>
        <w:lang w:val="en-US" w:eastAsia="en-US" w:bidi="ar-SA"/>
      </w:rPr>
    </w:lvl>
    <w:lvl w:ilvl="1" w:tplc="107CC338">
      <w:numFmt w:val="bullet"/>
      <w:lvlText w:val="•"/>
      <w:lvlJc w:val="left"/>
      <w:pPr>
        <w:ind w:left="354" w:hanging="209"/>
      </w:pPr>
      <w:rPr>
        <w:rFonts w:hint="default"/>
        <w:lang w:val="en-US" w:eastAsia="en-US" w:bidi="ar-SA"/>
      </w:rPr>
    </w:lvl>
    <w:lvl w:ilvl="2" w:tplc="F0044D14">
      <w:numFmt w:val="bullet"/>
      <w:lvlText w:val="•"/>
      <w:lvlJc w:val="left"/>
      <w:pPr>
        <w:ind w:left="508" w:hanging="209"/>
      </w:pPr>
      <w:rPr>
        <w:rFonts w:hint="default"/>
        <w:lang w:val="en-US" w:eastAsia="en-US" w:bidi="ar-SA"/>
      </w:rPr>
    </w:lvl>
    <w:lvl w:ilvl="3" w:tplc="7C8477AC">
      <w:numFmt w:val="bullet"/>
      <w:lvlText w:val="•"/>
      <w:lvlJc w:val="left"/>
      <w:pPr>
        <w:ind w:left="663" w:hanging="209"/>
      </w:pPr>
      <w:rPr>
        <w:rFonts w:hint="default"/>
        <w:lang w:val="en-US" w:eastAsia="en-US" w:bidi="ar-SA"/>
      </w:rPr>
    </w:lvl>
    <w:lvl w:ilvl="4" w:tplc="5F28D6E2">
      <w:numFmt w:val="bullet"/>
      <w:lvlText w:val="•"/>
      <w:lvlJc w:val="left"/>
      <w:pPr>
        <w:ind w:left="817" w:hanging="209"/>
      </w:pPr>
      <w:rPr>
        <w:rFonts w:hint="default"/>
        <w:lang w:val="en-US" w:eastAsia="en-US" w:bidi="ar-SA"/>
      </w:rPr>
    </w:lvl>
    <w:lvl w:ilvl="5" w:tplc="1E6C8816">
      <w:numFmt w:val="bullet"/>
      <w:lvlText w:val="•"/>
      <w:lvlJc w:val="left"/>
      <w:pPr>
        <w:ind w:left="972" w:hanging="209"/>
      </w:pPr>
      <w:rPr>
        <w:rFonts w:hint="default"/>
        <w:lang w:val="en-US" w:eastAsia="en-US" w:bidi="ar-SA"/>
      </w:rPr>
    </w:lvl>
    <w:lvl w:ilvl="6" w:tplc="5844C222">
      <w:numFmt w:val="bullet"/>
      <w:lvlText w:val="•"/>
      <w:lvlJc w:val="left"/>
      <w:pPr>
        <w:ind w:left="1126" w:hanging="209"/>
      </w:pPr>
      <w:rPr>
        <w:rFonts w:hint="default"/>
        <w:lang w:val="en-US" w:eastAsia="en-US" w:bidi="ar-SA"/>
      </w:rPr>
    </w:lvl>
    <w:lvl w:ilvl="7" w:tplc="3CDC421E">
      <w:numFmt w:val="bullet"/>
      <w:lvlText w:val="•"/>
      <w:lvlJc w:val="left"/>
      <w:pPr>
        <w:ind w:left="1281" w:hanging="209"/>
      </w:pPr>
      <w:rPr>
        <w:rFonts w:hint="default"/>
        <w:lang w:val="en-US" w:eastAsia="en-US" w:bidi="ar-SA"/>
      </w:rPr>
    </w:lvl>
    <w:lvl w:ilvl="8" w:tplc="D81AEFDC">
      <w:numFmt w:val="bullet"/>
      <w:lvlText w:val="•"/>
      <w:lvlJc w:val="left"/>
      <w:pPr>
        <w:ind w:left="1435" w:hanging="209"/>
      </w:pPr>
      <w:rPr>
        <w:rFonts w:hint="default"/>
        <w:lang w:val="en-US" w:eastAsia="en-US" w:bidi="ar-SA"/>
      </w:rPr>
    </w:lvl>
  </w:abstractNum>
  <w:abstractNum w:abstractNumId="6" w15:restartNumberingAfterBreak="0">
    <w:nsid w:val="037843EE"/>
    <w:multiLevelType w:val="hybridMultilevel"/>
    <w:tmpl w:val="7CE6EC1A"/>
    <w:lvl w:ilvl="0" w:tplc="4CFA6358">
      <w:start w:val="1"/>
      <w:numFmt w:val="decimal"/>
      <w:lvlText w:val="%1"/>
      <w:lvlJc w:val="left"/>
      <w:pPr>
        <w:ind w:left="703" w:hanging="205"/>
        <w:jc w:val="right"/>
      </w:pPr>
      <w:rPr>
        <w:rFonts w:hint="default"/>
        <w:w w:val="99"/>
        <w:lang w:val="en-US" w:eastAsia="en-US" w:bidi="ar-SA"/>
      </w:rPr>
    </w:lvl>
    <w:lvl w:ilvl="1" w:tplc="9CFAD45A">
      <w:numFmt w:val="bullet"/>
      <w:lvlText w:val="•"/>
      <w:lvlJc w:val="left"/>
      <w:pPr>
        <w:ind w:left="948" w:hanging="315"/>
      </w:pPr>
      <w:rPr>
        <w:rFonts w:ascii="Tahoma" w:eastAsia="Tahoma" w:hAnsi="Tahoma" w:cs="Tahoma" w:hint="default"/>
        <w:b w:val="0"/>
        <w:bCs w:val="0"/>
        <w:i w:val="0"/>
        <w:iCs w:val="0"/>
        <w:w w:val="109"/>
        <w:sz w:val="20"/>
        <w:szCs w:val="20"/>
        <w:lang w:val="en-US" w:eastAsia="en-US" w:bidi="ar-SA"/>
      </w:rPr>
    </w:lvl>
    <w:lvl w:ilvl="2" w:tplc="2F343300">
      <w:numFmt w:val="bullet"/>
      <w:lvlText w:val="•"/>
      <w:lvlJc w:val="left"/>
      <w:pPr>
        <w:ind w:left="1413" w:hanging="315"/>
      </w:pPr>
      <w:rPr>
        <w:rFonts w:hint="default"/>
        <w:lang w:val="en-US" w:eastAsia="en-US" w:bidi="ar-SA"/>
      </w:rPr>
    </w:lvl>
    <w:lvl w:ilvl="3" w:tplc="09DA58FE">
      <w:numFmt w:val="bullet"/>
      <w:lvlText w:val="•"/>
      <w:lvlJc w:val="left"/>
      <w:pPr>
        <w:ind w:left="1887" w:hanging="315"/>
      </w:pPr>
      <w:rPr>
        <w:rFonts w:hint="default"/>
        <w:lang w:val="en-US" w:eastAsia="en-US" w:bidi="ar-SA"/>
      </w:rPr>
    </w:lvl>
    <w:lvl w:ilvl="4" w:tplc="9816E8F8">
      <w:numFmt w:val="bullet"/>
      <w:lvlText w:val="•"/>
      <w:lvlJc w:val="left"/>
      <w:pPr>
        <w:ind w:left="2360" w:hanging="315"/>
      </w:pPr>
      <w:rPr>
        <w:rFonts w:hint="default"/>
        <w:lang w:val="en-US" w:eastAsia="en-US" w:bidi="ar-SA"/>
      </w:rPr>
    </w:lvl>
    <w:lvl w:ilvl="5" w:tplc="2156496C">
      <w:numFmt w:val="bullet"/>
      <w:lvlText w:val="•"/>
      <w:lvlJc w:val="left"/>
      <w:pPr>
        <w:ind w:left="2834" w:hanging="315"/>
      </w:pPr>
      <w:rPr>
        <w:rFonts w:hint="default"/>
        <w:lang w:val="en-US" w:eastAsia="en-US" w:bidi="ar-SA"/>
      </w:rPr>
    </w:lvl>
    <w:lvl w:ilvl="6" w:tplc="14F2EBCE">
      <w:numFmt w:val="bullet"/>
      <w:lvlText w:val="•"/>
      <w:lvlJc w:val="left"/>
      <w:pPr>
        <w:ind w:left="3307" w:hanging="315"/>
      </w:pPr>
      <w:rPr>
        <w:rFonts w:hint="default"/>
        <w:lang w:val="en-US" w:eastAsia="en-US" w:bidi="ar-SA"/>
      </w:rPr>
    </w:lvl>
    <w:lvl w:ilvl="7" w:tplc="CA92BAC2">
      <w:numFmt w:val="bullet"/>
      <w:lvlText w:val="•"/>
      <w:lvlJc w:val="left"/>
      <w:pPr>
        <w:ind w:left="3781" w:hanging="315"/>
      </w:pPr>
      <w:rPr>
        <w:rFonts w:hint="default"/>
        <w:lang w:val="en-US" w:eastAsia="en-US" w:bidi="ar-SA"/>
      </w:rPr>
    </w:lvl>
    <w:lvl w:ilvl="8" w:tplc="49CA2508">
      <w:numFmt w:val="bullet"/>
      <w:lvlText w:val="•"/>
      <w:lvlJc w:val="left"/>
      <w:pPr>
        <w:ind w:left="4254" w:hanging="315"/>
      </w:pPr>
      <w:rPr>
        <w:rFonts w:hint="default"/>
        <w:lang w:val="en-US" w:eastAsia="en-US" w:bidi="ar-SA"/>
      </w:rPr>
    </w:lvl>
  </w:abstractNum>
  <w:abstractNum w:abstractNumId="7" w15:restartNumberingAfterBreak="0">
    <w:nsid w:val="03E943B1"/>
    <w:multiLevelType w:val="hybridMultilevel"/>
    <w:tmpl w:val="50F433AC"/>
    <w:lvl w:ilvl="0" w:tplc="BDE2408C">
      <w:numFmt w:val="bullet"/>
      <w:lvlText w:val="•"/>
      <w:lvlJc w:val="left"/>
      <w:pPr>
        <w:ind w:left="775" w:hanging="284"/>
      </w:pPr>
      <w:rPr>
        <w:rFonts w:ascii="Tahoma" w:eastAsia="Tahoma" w:hAnsi="Tahoma" w:cs="Tahoma" w:hint="default"/>
        <w:b w:val="0"/>
        <w:bCs w:val="0"/>
        <w:i w:val="0"/>
        <w:iCs w:val="0"/>
        <w:w w:val="109"/>
        <w:sz w:val="20"/>
        <w:szCs w:val="20"/>
        <w:lang w:val="en-US" w:eastAsia="en-US" w:bidi="ar-SA"/>
      </w:rPr>
    </w:lvl>
    <w:lvl w:ilvl="1" w:tplc="99B41BCC">
      <w:numFmt w:val="bullet"/>
      <w:lvlText w:val="•"/>
      <w:lvlJc w:val="left"/>
      <w:pPr>
        <w:ind w:left="1231" w:hanging="284"/>
      </w:pPr>
      <w:rPr>
        <w:rFonts w:hint="default"/>
        <w:lang w:val="en-US" w:eastAsia="en-US" w:bidi="ar-SA"/>
      </w:rPr>
    </w:lvl>
    <w:lvl w:ilvl="2" w:tplc="C3F4FC60">
      <w:numFmt w:val="bullet"/>
      <w:lvlText w:val="•"/>
      <w:lvlJc w:val="left"/>
      <w:pPr>
        <w:ind w:left="1682" w:hanging="284"/>
      </w:pPr>
      <w:rPr>
        <w:rFonts w:hint="default"/>
        <w:lang w:val="en-US" w:eastAsia="en-US" w:bidi="ar-SA"/>
      </w:rPr>
    </w:lvl>
    <w:lvl w:ilvl="3" w:tplc="94E24A72">
      <w:numFmt w:val="bullet"/>
      <w:lvlText w:val="•"/>
      <w:lvlJc w:val="left"/>
      <w:pPr>
        <w:ind w:left="2133" w:hanging="284"/>
      </w:pPr>
      <w:rPr>
        <w:rFonts w:hint="default"/>
        <w:lang w:val="en-US" w:eastAsia="en-US" w:bidi="ar-SA"/>
      </w:rPr>
    </w:lvl>
    <w:lvl w:ilvl="4" w:tplc="4B265DE2">
      <w:numFmt w:val="bullet"/>
      <w:lvlText w:val="•"/>
      <w:lvlJc w:val="left"/>
      <w:pPr>
        <w:ind w:left="2584" w:hanging="284"/>
      </w:pPr>
      <w:rPr>
        <w:rFonts w:hint="default"/>
        <w:lang w:val="en-US" w:eastAsia="en-US" w:bidi="ar-SA"/>
      </w:rPr>
    </w:lvl>
    <w:lvl w:ilvl="5" w:tplc="4100E940">
      <w:numFmt w:val="bullet"/>
      <w:lvlText w:val="•"/>
      <w:lvlJc w:val="left"/>
      <w:pPr>
        <w:ind w:left="3035" w:hanging="284"/>
      </w:pPr>
      <w:rPr>
        <w:rFonts w:hint="default"/>
        <w:lang w:val="en-US" w:eastAsia="en-US" w:bidi="ar-SA"/>
      </w:rPr>
    </w:lvl>
    <w:lvl w:ilvl="6" w:tplc="EF0ADDFA">
      <w:numFmt w:val="bullet"/>
      <w:lvlText w:val="•"/>
      <w:lvlJc w:val="left"/>
      <w:pPr>
        <w:ind w:left="3486" w:hanging="284"/>
      </w:pPr>
      <w:rPr>
        <w:rFonts w:hint="default"/>
        <w:lang w:val="en-US" w:eastAsia="en-US" w:bidi="ar-SA"/>
      </w:rPr>
    </w:lvl>
    <w:lvl w:ilvl="7" w:tplc="3DB23EAE">
      <w:numFmt w:val="bullet"/>
      <w:lvlText w:val="•"/>
      <w:lvlJc w:val="left"/>
      <w:pPr>
        <w:ind w:left="3937" w:hanging="284"/>
      </w:pPr>
      <w:rPr>
        <w:rFonts w:hint="default"/>
        <w:lang w:val="en-US" w:eastAsia="en-US" w:bidi="ar-SA"/>
      </w:rPr>
    </w:lvl>
    <w:lvl w:ilvl="8" w:tplc="E264DC0C">
      <w:numFmt w:val="bullet"/>
      <w:lvlText w:val="•"/>
      <w:lvlJc w:val="left"/>
      <w:pPr>
        <w:ind w:left="4388" w:hanging="284"/>
      </w:pPr>
      <w:rPr>
        <w:rFonts w:hint="default"/>
        <w:lang w:val="en-US" w:eastAsia="en-US" w:bidi="ar-SA"/>
      </w:rPr>
    </w:lvl>
  </w:abstractNum>
  <w:abstractNum w:abstractNumId="8" w15:restartNumberingAfterBreak="0">
    <w:nsid w:val="053C7BE9"/>
    <w:multiLevelType w:val="hybridMultilevel"/>
    <w:tmpl w:val="B9407A54"/>
    <w:lvl w:ilvl="0" w:tplc="77F8E758">
      <w:numFmt w:val="bullet"/>
      <w:lvlText w:val="•"/>
      <w:lvlJc w:val="left"/>
      <w:pPr>
        <w:ind w:left="536" w:hanging="284"/>
      </w:pPr>
      <w:rPr>
        <w:rFonts w:ascii="Tahoma" w:eastAsia="Tahoma" w:hAnsi="Tahoma" w:cs="Tahoma" w:hint="default"/>
        <w:b w:val="0"/>
        <w:bCs w:val="0"/>
        <w:i w:val="0"/>
        <w:iCs w:val="0"/>
        <w:w w:val="109"/>
        <w:sz w:val="20"/>
        <w:szCs w:val="20"/>
        <w:lang w:val="en-US" w:eastAsia="en-US" w:bidi="ar-SA"/>
      </w:rPr>
    </w:lvl>
    <w:lvl w:ilvl="1" w:tplc="DC682746">
      <w:numFmt w:val="bullet"/>
      <w:lvlText w:val="–"/>
      <w:lvlJc w:val="left"/>
      <w:pPr>
        <w:ind w:left="819" w:hanging="284"/>
      </w:pPr>
      <w:rPr>
        <w:rFonts w:ascii="Arial" w:eastAsia="Arial" w:hAnsi="Arial" w:cs="Arial" w:hint="default"/>
        <w:b w:val="0"/>
        <w:bCs w:val="0"/>
        <w:i w:val="0"/>
        <w:iCs w:val="0"/>
        <w:w w:val="89"/>
        <w:sz w:val="20"/>
        <w:szCs w:val="20"/>
        <w:lang w:val="en-US" w:eastAsia="en-US" w:bidi="ar-SA"/>
      </w:rPr>
    </w:lvl>
    <w:lvl w:ilvl="2" w:tplc="202A660E">
      <w:numFmt w:val="bullet"/>
      <w:lvlText w:val="•"/>
      <w:lvlJc w:val="left"/>
      <w:pPr>
        <w:ind w:left="1276" w:hanging="284"/>
      </w:pPr>
      <w:rPr>
        <w:rFonts w:hint="default"/>
        <w:lang w:val="en-US" w:eastAsia="en-US" w:bidi="ar-SA"/>
      </w:rPr>
    </w:lvl>
    <w:lvl w:ilvl="3" w:tplc="82128118">
      <w:numFmt w:val="bullet"/>
      <w:lvlText w:val="•"/>
      <w:lvlJc w:val="left"/>
      <w:pPr>
        <w:ind w:left="1732" w:hanging="284"/>
      </w:pPr>
      <w:rPr>
        <w:rFonts w:hint="default"/>
        <w:lang w:val="en-US" w:eastAsia="en-US" w:bidi="ar-SA"/>
      </w:rPr>
    </w:lvl>
    <w:lvl w:ilvl="4" w:tplc="10A294CE">
      <w:numFmt w:val="bullet"/>
      <w:lvlText w:val="•"/>
      <w:lvlJc w:val="left"/>
      <w:pPr>
        <w:ind w:left="2188" w:hanging="284"/>
      </w:pPr>
      <w:rPr>
        <w:rFonts w:hint="default"/>
        <w:lang w:val="en-US" w:eastAsia="en-US" w:bidi="ar-SA"/>
      </w:rPr>
    </w:lvl>
    <w:lvl w:ilvl="5" w:tplc="12B2B660">
      <w:numFmt w:val="bullet"/>
      <w:lvlText w:val="•"/>
      <w:lvlJc w:val="left"/>
      <w:pPr>
        <w:ind w:left="2644" w:hanging="284"/>
      </w:pPr>
      <w:rPr>
        <w:rFonts w:hint="default"/>
        <w:lang w:val="en-US" w:eastAsia="en-US" w:bidi="ar-SA"/>
      </w:rPr>
    </w:lvl>
    <w:lvl w:ilvl="6" w:tplc="24308B20">
      <w:numFmt w:val="bullet"/>
      <w:lvlText w:val="•"/>
      <w:lvlJc w:val="left"/>
      <w:pPr>
        <w:ind w:left="3101" w:hanging="284"/>
      </w:pPr>
      <w:rPr>
        <w:rFonts w:hint="default"/>
        <w:lang w:val="en-US" w:eastAsia="en-US" w:bidi="ar-SA"/>
      </w:rPr>
    </w:lvl>
    <w:lvl w:ilvl="7" w:tplc="D3169E0A">
      <w:numFmt w:val="bullet"/>
      <w:lvlText w:val="•"/>
      <w:lvlJc w:val="left"/>
      <w:pPr>
        <w:ind w:left="3557" w:hanging="284"/>
      </w:pPr>
      <w:rPr>
        <w:rFonts w:hint="default"/>
        <w:lang w:val="en-US" w:eastAsia="en-US" w:bidi="ar-SA"/>
      </w:rPr>
    </w:lvl>
    <w:lvl w:ilvl="8" w:tplc="584CC786">
      <w:numFmt w:val="bullet"/>
      <w:lvlText w:val="•"/>
      <w:lvlJc w:val="left"/>
      <w:pPr>
        <w:ind w:left="4013" w:hanging="284"/>
      </w:pPr>
      <w:rPr>
        <w:rFonts w:hint="default"/>
        <w:lang w:val="en-US" w:eastAsia="en-US" w:bidi="ar-SA"/>
      </w:rPr>
    </w:lvl>
  </w:abstractNum>
  <w:abstractNum w:abstractNumId="9" w15:restartNumberingAfterBreak="0">
    <w:nsid w:val="055668AC"/>
    <w:multiLevelType w:val="hybridMultilevel"/>
    <w:tmpl w:val="91D63102"/>
    <w:lvl w:ilvl="0" w:tplc="A53685D8">
      <w:numFmt w:val="bullet"/>
      <w:lvlText w:val="–"/>
      <w:lvlJc w:val="left"/>
      <w:pPr>
        <w:ind w:left="252" w:hanging="142"/>
      </w:pPr>
      <w:rPr>
        <w:rFonts w:ascii="Arial" w:eastAsia="Arial" w:hAnsi="Arial" w:cs="Arial" w:hint="default"/>
        <w:b w:val="0"/>
        <w:bCs w:val="0"/>
        <w:i w:val="0"/>
        <w:iCs w:val="0"/>
        <w:w w:val="89"/>
        <w:sz w:val="16"/>
        <w:szCs w:val="16"/>
        <w:lang w:val="en-US" w:eastAsia="en-US" w:bidi="ar-SA"/>
      </w:rPr>
    </w:lvl>
    <w:lvl w:ilvl="1" w:tplc="278C8590">
      <w:numFmt w:val="bullet"/>
      <w:lvlText w:val="•"/>
      <w:lvlJc w:val="left"/>
      <w:pPr>
        <w:ind w:left="1127" w:hanging="142"/>
      </w:pPr>
      <w:rPr>
        <w:rFonts w:hint="default"/>
        <w:lang w:val="en-US" w:eastAsia="en-US" w:bidi="ar-SA"/>
      </w:rPr>
    </w:lvl>
    <w:lvl w:ilvl="2" w:tplc="4D02D7A8">
      <w:numFmt w:val="bullet"/>
      <w:lvlText w:val="•"/>
      <w:lvlJc w:val="left"/>
      <w:pPr>
        <w:ind w:left="1995" w:hanging="142"/>
      </w:pPr>
      <w:rPr>
        <w:rFonts w:hint="default"/>
        <w:lang w:val="en-US" w:eastAsia="en-US" w:bidi="ar-SA"/>
      </w:rPr>
    </w:lvl>
    <w:lvl w:ilvl="3" w:tplc="FEEA12BC">
      <w:numFmt w:val="bullet"/>
      <w:lvlText w:val="•"/>
      <w:lvlJc w:val="left"/>
      <w:pPr>
        <w:ind w:left="2863" w:hanging="142"/>
      </w:pPr>
      <w:rPr>
        <w:rFonts w:hint="default"/>
        <w:lang w:val="en-US" w:eastAsia="en-US" w:bidi="ar-SA"/>
      </w:rPr>
    </w:lvl>
    <w:lvl w:ilvl="4" w:tplc="29CCEB32">
      <w:numFmt w:val="bullet"/>
      <w:lvlText w:val="•"/>
      <w:lvlJc w:val="left"/>
      <w:pPr>
        <w:ind w:left="3731" w:hanging="142"/>
      </w:pPr>
      <w:rPr>
        <w:rFonts w:hint="default"/>
        <w:lang w:val="en-US" w:eastAsia="en-US" w:bidi="ar-SA"/>
      </w:rPr>
    </w:lvl>
    <w:lvl w:ilvl="5" w:tplc="69485F40">
      <w:numFmt w:val="bullet"/>
      <w:lvlText w:val="•"/>
      <w:lvlJc w:val="left"/>
      <w:pPr>
        <w:ind w:left="4599" w:hanging="142"/>
      </w:pPr>
      <w:rPr>
        <w:rFonts w:hint="default"/>
        <w:lang w:val="en-US" w:eastAsia="en-US" w:bidi="ar-SA"/>
      </w:rPr>
    </w:lvl>
    <w:lvl w:ilvl="6" w:tplc="B7EC593A">
      <w:numFmt w:val="bullet"/>
      <w:lvlText w:val="•"/>
      <w:lvlJc w:val="left"/>
      <w:pPr>
        <w:ind w:left="5467" w:hanging="142"/>
      </w:pPr>
      <w:rPr>
        <w:rFonts w:hint="default"/>
        <w:lang w:val="en-US" w:eastAsia="en-US" w:bidi="ar-SA"/>
      </w:rPr>
    </w:lvl>
    <w:lvl w:ilvl="7" w:tplc="791EE878">
      <w:numFmt w:val="bullet"/>
      <w:lvlText w:val="•"/>
      <w:lvlJc w:val="left"/>
      <w:pPr>
        <w:ind w:left="6335" w:hanging="142"/>
      </w:pPr>
      <w:rPr>
        <w:rFonts w:hint="default"/>
        <w:lang w:val="en-US" w:eastAsia="en-US" w:bidi="ar-SA"/>
      </w:rPr>
    </w:lvl>
    <w:lvl w:ilvl="8" w:tplc="07163CF0">
      <w:numFmt w:val="bullet"/>
      <w:lvlText w:val="•"/>
      <w:lvlJc w:val="left"/>
      <w:pPr>
        <w:ind w:left="7203" w:hanging="142"/>
      </w:pPr>
      <w:rPr>
        <w:rFonts w:hint="default"/>
        <w:lang w:val="en-US" w:eastAsia="en-US" w:bidi="ar-SA"/>
      </w:rPr>
    </w:lvl>
  </w:abstractNum>
  <w:abstractNum w:abstractNumId="10" w15:restartNumberingAfterBreak="0">
    <w:nsid w:val="06AD39C0"/>
    <w:multiLevelType w:val="multilevel"/>
    <w:tmpl w:val="ADECA202"/>
    <w:lvl w:ilvl="0">
      <w:start w:val="8"/>
      <w:numFmt w:val="decimal"/>
      <w:lvlText w:val="%1"/>
      <w:lvlJc w:val="left"/>
      <w:pPr>
        <w:ind w:left="1588" w:hanging="1097"/>
        <w:jc w:val="left"/>
      </w:pPr>
      <w:rPr>
        <w:rFonts w:hint="default"/>
        <w:lang w:val="en-US" w:eastAsia="en-US" w:bidi="ar-SA"/>
      </w:rPr>
    </w:lvl>
    <w:lvl w:ilvl="1">
      <w:numFmt w:val="decimal"/>
      <w:lvlText w:val="%1.%2"/>
      <w:lvlJc w:val="left"/>
      <w:pPr>
        <w:ind w:left="1588" w:hanging="1097"/>
        <w:jc w:val="right"/>
      </w:pPr>
      <w:rPr>
        <w:rFonts w:hint="default"/>
        <w:spacing w:val="-35"/>
        <w:w w:val="61"/>
        <w:lang w:val="en-US" w:eastAsia="en-US" w:bidi="ar-SA"/>
      </w:rPr>
    </w:lvl>
    <w:lvl w:ilvl="2">
      <w:start w:val="1"/>
      <w:numFmt w:val="decimal"/>
      <w:lvlText w:val="%1.%2.%3"/>
      <w:lvlJc w:val="left"/>
      <w:pPr>
        <w:ind w:left="679" w:hanging="486"/>
        <w:jc w:val="right"/>
      </w:pPr>
      <w:rPr>
        <w:rFonts w:ascii="Arial" w:eastAsia="Arial" w:hAnsi="Arial" w:cs="Arial" w:hint="default"/>
        <w:b/>
        <w:bCs/>
        <w:i w:val="0"/>
        <w:iCs w:val="0"/>
        <w:color w:val="00AEEF"/>
        <w:spacing w:val="-3"/>
        <w:w w:val="99"/>
        <w:sz w:val="20"/>
        <w:szCs w:val="20"/>
        <w:lang w:val="en-US" w:eastAsia="en-US" w:bidi="ar-SA"/>
      </w:rPr>
    </w:lvl>
    <w:lvl w:ilvl="3">
      <w:numFmt w:val="bullet"/>
      <w:lvlText w:val="•"/>
      <w:lvlJc w:val="left"/>
      <w:pPr>
        <w:ind w:left="476" w:hanging="284"/>
      </w:pPr>
      <w:rPr>
        <w:rFonts w:ascii="Tahoma" w:eastAsia="Tahoma" w:hAnsi="Tahoma" w:cs="Tahoma" w:hint="default"/>
        <w:b w:val="0"/>
        <w:bCs w:val="0"/>
        <w:i w:val="0"/>
        <w:iCs w:val="0"/>
        <w:w w:val="109"/>
        <w:sz w:val="20"/>
        <w:szCs w:val="20"/>
        <w:lang w:val="en-US" w:eastAsia="en-US" w:bidi="ar-SA"/>
      </w:rPr>
    </w:lvl>
    <w:lvl w:ilvl="4">
      <w:numFmt w:val="bullet"/>
      <w:lvlText w:val="•"/>
      <w:lvlJc w:val="left"/>
      <w:pPr>
        <w:ind w:left="775" w:hanging="284"/>
      </w:pPr>
      <w:rPr>
        <w:rFonts w:ascii="Tahoma" w:eastAsia="Tahoma" w:hAnsi="Tahoma" w:cs="Tahoma" w:hint="default"/>
        <w:b w:val="0"/>
        <w:bCs w:val="0"/>
        <w:i w:val="0"/>
        <w:iCs w:val="0"/>
        <w:w w:val="109"/>
        <w:sz w:val="20"/>
        <w:szCs w:val="20"/>
        <w:lang w:val="en-US" w:eastAsia="en-US" w:bidi="ar-SA"/>
      </w:rPr>
    </w:lvl>
    <w:lvl w:ilvl="5">
      <w:numFmt w:val="bullet"/>
      <w:lvlText w:val="•"/>
      <w:lvlJc w:val="left"/>
      <w:pPr>
        <w:ind w:left="467" w:hanging="284"/>
      </w:pPr>
      <w:rPr>
        <w:rFonts w:hint="default"/>
        <w:lang w:val="en-US" w:eastAsia="en-US" w:bidi="ar-SA"/>
      </w:rPr>
    </w:lvl>
    <w:lvl w:ilvl="6">
      <w:numFmt w:val="bullet"/>
      <w:lvlText w:val="•"/>
      <w:lvlJc w:val="left"/>
      <w:pPr>
        <w:ind w:left="-646" w:hanging="284"/>
      </w:pPr>
      <w:rPr>
        <w:rFonts w:hint="default"/>
        <w:lang w:val="en-US" w:eastAsia="en-US" w:bidi="ar-SA"/>
      </w:rPr>
    </w:lvl>
    <w:lvl w:ilvl="7">
      <w:numFmt w:val="bullet"/>
      <w:lvlText w:val="•"/>
      <w:lvlJc w:val="left"/>
      <w:pPr>
        <w:ind w:left="-1758" w:hanging="284"/>
      </w:pPr>
      <w:rPr>
        <w:rFonts w:hint="default"/>
        <w:lang w:val="en-US" w:eastAsia="en-US" w:bidi="ar-SA"/>
      </w:rPr>
    </w:lvl>
    <w:lvl w:ilvl="8">
      <w:numFmt w:val="bullet"/>
      <w:lvlText w:val="•"/>
      <w:lvlJc w:val="left"/>
      <w:pPr>
        <w:ind w:left="-2871" w:hanging="284"/>
      </w:pPr>
      <w:rPr>
        <w:rFonts w:hint="default"/>
        <w:lang w:val="en-US" w:eastAsia="en-US" w:bidi="ar-SA"/>
      </w:rPr>
    </w:lvl>
  </w:abstractNum>
  <w:abstractNum w:abstractNumId="11" w15:restartNumberingAfterBreak="0">
    <w:nsid w:val="07502B4C"/>
    <w:multiLevelType w:val="hybridMultilevel"/>
    <w:tmpl w:val="867A630A"/>
    <w:lvl w:ilvl="0" w:tplc="E138CA6E">
      <w:numFmt w:val="bullet"/>
      <w:lvlText w:val="•"/>
      <w:lvlJc w:val="left"/>
      <w:pPr>
        <w:ind w:left="208" w:hanging="100"/>
      </w:pPr>
      <w:rPr>
        <w:rFonts w:ascii="Tahoma" w:eastAsia="Tahoma" w:hAnsi="Tahoma" w:cs="Tahoma" w:hint="default"/>
        <w:b w:val="0"/>
        <w:bCs w:val="0"/>
        <w:i w:val="0"/>
        <w:iCs w:val="0"/>
        <w:w w:val="109"/>
        <w:sz w:val="14"/>
        <w:szCs w:val="14"/>
        <w:lang w:val="en-US" w:eastAsia="en-US" w:bidi="ar-SA"/>
      </w:rPr>
    </w:lvl>
    <w:lvl w:ilvl="1" w:tplc="5A3AEC74">
      <w:numFmt w:val="bullet"/>
      <w:lvlText w:val="•"/>
      <w:lvlJc w:val="left"/>
      <w:pPr>
        <w:ind w:left="607" w:hanging="100"/>
      </w:pPr>
      <w:rPr>
        <w:rFonts w:hint="default"/>
        <w:lang w:val="en-US" w:eastAsia="en-US" w:bidi="ar-SA"/>
      </w:rPr>
    </w:lvl>
    <w:lvl w:ilvl="2" w:tplc="B9EAF620">
      <w:numFmt w:val="bullet"/>
      <w:lvlText w:val="•"/>
      <w:lvlJc w:val="left"/>
      <w:pPr>
        <w:ind w:left="1015" w:hanging="100"/>
      </w:pPr>
      <w:rPr>
        <w:rFonts w:hint="default"/>
        <w:lang w:val="en-US" w:eastAsia="en-US" w:bidi="ar-SA"/>
      </w:rPr>
    </w:lvl>
    <w:lvl w:ilvl="3" w:tplc="C0CA7B80">
      <w:numFmt w:val="bullet"/>
      <w:lvlText w:val="•"/>
      <w:lvlJc w:val="left"/>
      <w:pPr>
        <w:ind w:left="1423" w:hanging="100"/>
      </w:pPr>
      <w:rPr>
        <w:rFonts w:hint="default"/>
        <w:lang w:val="en-US" w:eastAsia="en-US" w:bidi="ar-SA"/>
      </w:rPr>
    </w:lvl>
    <w:lvl w:ilvl="4" w:tplc="62D023F6">
      <w:numFmt w:val="bullet"/>
      <w:lvlText w:val="•"/>
      <w:lvlJc w:val="left"/>
      <w:pPr>
        <w:ind w:left="1831" w:hanging="100"/>
      </w:pPr>
      <w:rPr>
        <w:rFonts w:hint="default"/>
        <w:lang w:val="en-US" w:eastAsia="en-US" w:bidi="ar-SA"/>
      </w:rPr>
    </w:lvl>
    <w:lvl w:ilvl="5" w:tplc="147C3694">
      <w:numFmt w:val="bullet"/>
      <w:lvlText w:val="•"/>
      <w:lvlJc w:val="left"/>
      <w:pPr>
        <w:ind w:left="2239" w:hanging="100"/>
      </w:pPr>
      <w:rPr>
        <w:rFonts w:hint="default"/>
        <w:lang w:val="en-US" w:eastAsia="en-US" w:bidi="ar-SA"/>
      </w:rPr>
    </w:lvl>
    <w:lvl w:ilvl="6" w:tplc="29DAF578">
      <w:numFmt w:val="bullet"/>
      <w:lvlText w:val="•"/>
      <w:lvlJc w:val="left"/>
      <w:pPr>
        <w:ind w:left="2646" w:hanging="100"/>
      </w:pPr>
      <w:rPr>
        <w:rFonts w:hint="default"/>
        <w:lang w:val="en-US" w:eastAsia="en-US" w:bidi="ar-SA"/>
      </w:rPr>
    </w:lvl>
    <w:lvl w:ilvl="7" w:tplc="A844C7A8">
      <w:numFmt w:val="bullet"/>
      <w:lvlText w:val="•"/>
      <w:lvlJc w:val="left"/>
      <w:pPr>
        <w:ind w:left="3054" w:hanging="100"/>
      </w:pPr>
      <w:rPr>
        <w:rFonts w:hint="default"/>
        <w:lang w:val="en-US" w:eastAsia="en-US" w:bidi="ar-SA"/>
      </w:rPr>
    </w:lvl>
    <w:lvl w:ilvl="8" w:tplc="2018AC88">
      <w:numFmt w:val="bullet"/>
      <w:lvlText w:val="•"/>
      <w:lvlJc w:val="left"/>
      <w:pPr>
        <w:ind w:left="3462" w:hanging="100"/>
      </w:pPr>
      <w:rPr>
        <w:rFonts w:hint="default"/>
        <w:lang w:val="en-US" w:eastAsia="en-US" w:bidi="ar-SA"/>
      </w:rPr>
    </w:lvl>
  </w:abstractNum>
  <w:abstractNum w:abstractNumId="12" w15:restartNumberingAfterBreak="0">
    <w:nsid w:val="088766E7"/>
    <w:multiLevelType w:val="hybridMultilevel"/>
    <w:tmpl w:val="0FCC7254"/>
    <w:lvl w:ilvl="0" w:tplc="839ED924">
      <w:numFmt w:val="bullet"/>
      <w:lvlText w:val="•"/>
      <w:lvlJc w:val="left"/>
      <w:pPr>
        <w:ind w:left="775" w:hanging="284"/>
      </w:pPr>
      <w:rPr>
        <w:rFonts w:ascii="Tahoma" w:eastAsia="Tahoma" w:hAnsi="Tahoma" w:cs="Tahoma" w:hint="default"/>
        <w:b w:val="0"/>
        <w:bCs w:val="0"/>
        <w:i w:val="0"/>
        <w:iCs w:val="0"/>
        <w:w w:val="109"/>
        <w:sz w:val="20"/>
        <w:szCs w:val="20"/>
        <w:lang w:val="en-US" w:eastAsia="en-US" w:bidi="ar-SA"/>
      </w:rPr>
    </w:lvl>
    <w:lvl w:ilvl="1" w:tplc="B8FAE630">
      <w:numFmt w:val="bullet"/>
      <w:lvlText w:val="•"/>
      <w:lvlJc w:val="left"/>
      <w:pPr>
        <w:ind w:left="1230" w:hanging="284"/>
      </w:pPr>
      <w:rPr>
        <w:rFonts w:hint="default"/>
        <w:lang w:val="en-US" w:eastAsia="en-US" w:bidi="ar-SA"/>
      </w:rPr>
    </w:lvl>
    <w:lvl w:ilvl="2" w:tplc="53983F94">
      <w:numFmt w:val="bullet"/>
      <w:lvlText w:val="•"/>
      <w:lvlJc w:val="left"/>
      <w:pPr>
        <w:ind w:left="1681" w:hanging="284"/>
      </w:pPr>
      <w:rPr>
        <w:rFonts w:hint="default"/>
        <w:lang w:val="en-US" w:eastAsia="en-US" w:bidi="ar-SA"/>
      </w:rPr>
    </w:lvl>
    <w:lvl w:ilvl="3" w:tplc="896C801A">
      <w:numFmt w:val="bullet"/>
      <w:lvlText w:val="•"/>
      <w:lvlJc w:val="left"/>
      <w:pPr>
        <w:ind w:left="2132" w:hanging="284"/>
      </w:pPr>
      <w:rPr>
        <w:rFonts w:hint="default"/>
        <w:lang w:val="en-US" w:eastAsia="en-US" w:bidi="ar-SA"/>
      </w:rPr>
    </w:lvl>
    <w:lvl w:ilvl="4" w:tplc="C6124450">
      <w:numFmt w:val="bullet"/>
      <w:lvlText w:val="•"/>
      <w:lvlJc w:val="left"/>
      <w:pPr>
        <w:ind w:left="2583" w:hanging="284"/>
      </w:pPr>
      <w:rPr>
        <w:rFonts w:hint="default"/>
        <w:lang w:val="en-US" w:eastAsia="en-US" w:bidi="ar-SA"/>
      </w:rPr>
    </w:lvl>
    <w:lvl w:ilvl="5" w:tplc="2E5E4E1C">
      <w:numFmt w:val="bullet"/>
      <w:lvlText w:val="•"/>
      <w:lvlJc w:val="left"/>
      <w:pPr>
        <w:ind w:left="3034" w:hanging="284"/>
      </w:pPr>
      <w:rPr>
        <w:rFonts w:hint="default"/>
        <w:lang w:val="en-US" w:eastAsia="en-US" w:bidi="ar-SA"/>
      </w:rPr>
    </w:lvl>
    <w:lvl w:ilvl="6" w:tplc="D60E5340">
      <w:numFmt w:val="bullet"/>
      <w:lvlText w:val="•"/>
      <w:lvlJc w:val="left"/>
      <w:pPr>
        <w:ind w:left="3485" w:hanging="284"/>
      </w:pPr>
      <w:rPr>
        <w:rFonts w:hint="default"/>
        <w:lang w:val="en-US" w:eastAsia="en-US" w:bidi="ar-SA"/>
      </w:rPr>
    </w:lvl>
    <w:lvl w:ilvl="7" w:tplc="3FAE87CC">
      <w:numFmt w:val="bullet"/>
      <w:lvlText w:val="•"/>
      <w:lvlJc w:val="left"/>
      <w:pPr>
        <w:ind w:left="3935" w:hanging="284"/>
      </w:pPr>
      <w:rPr>
        <w:rFonts w:hint="default"/>
        <w:lang w:val="en-US" w:eastAsia="en-US" w:bidi="ar-SA"/>
      </w:rPr>
    </w:lvl>
    <w:lvl w:ilvl="8" w:tplc="208AB1BC">
      <w:numFmt w:val="bullet"/>
      <w:lvlText w:val="•"/>
      <w:lvlJc w:val="left"/>
      <w:pPr>
        <w:ind w:left="4386" w:hanging="284"/>
      </w:pPr>
      <w:rPr>
        <w:rFonts w:hint="default"/>
        <w:lang w:val="en-US" w:eastAsia="en-US" w:bidi="ar-SA"/>
      </w:rPr>
    </w:lvl>
  </w:abstractNum>
  <w:abstractNum w:abstractNumId="13" w15:restartNumberingAfterBreak="0">
    <w:nsid w:val="08B65A77"/>
    <w:multiLevelType w:val="hybridMultilevel"/>
    <w:tmpl w:val="7BCE1D26"/>
    <w:lvl w:ilvl="0" w:tplc="81A2C136">
      <w:numFmt w:val="bullet"/>
      <w:lvlText w:val="–"/>
      <w:lvlJc w:val="left"/>
      <w:pPr>
        <w:ind w:left="186" w:hanging="122"/>
      </w:pPr>
      <w:rPr>
        <w:rFonts w:ascii="Arial" w:eastAsia="Arial" w:hAnsi="Arial" w:cs="Arial" w:hint="default"/>
        <w:b w:val="0"/>
        <w:bCs w:val="0"/>
        <w:i w:val="0"/>
        <w:iCs w:val="0"/>
        <w:w w:val="89"/>
        <w:sz w:val="16"/>
        <w:szCs w:val="16"/>
        <w:lang w:val="en-US" w:eastAsia="en-US" w:bidi="ar-SA"/>
      </w:rPr>
    </w:lvl>
    <w:lvl w:ilvl="1" w:tplc="A8C86F44">
      <w:numFmt w:val="bullet"/>
      <w:lvlText w:val="•"/>
      <w:lvlJc w:val="left"/>
      <w:pPr>
        <w:ind w:left="376" w:hanging="122"/>
      </w:pPr>
      <w:rPr>
        <w:rFonts w:hint="default"/>
        <w:lang w:val="en-US" w:eastAsia="en-US" w:bidi="ar-SA"/>
      </w:rPr>
    </w:lvl>
    <w:lvl w:ilvl="2" w:tplc="EC6C75B8">
      <w:numFmt w:val="bullet"/>
      <w:lvlText w:val="•"/>
      <w:lvlJc w:val="left"/>
      <w:pPr>
        <w:ind w:left="573" w:hanging="122"/>
      </w:pPr>
      <w:rPr>
        <w:rFonts w:hint="default"/>
        <w:lang w:val="en-US" w:eastAsia="en-US" w:bidi="ar-SA"/>
      </w:rPr>
    </w:lvl>
    <w:lvl w:ilvl="3" w:tplc="B2BA21EA">
      <w:numFmt w:val="bullet"/>
      <w:lvlText w:val="•"/>
      <w:lvlJc w:val="left"/>
      <w:pPr>
        <w:ind w:left="770" w:hanging="122"/>
      </w:pPr>
      <w:rPr>
        <w:rFonts w:hint="default"/>
        <w:lang w:val="en-US" w:eastAsia="en-US" w:bidi="ar-SA"/>
      </w:rPr>
    </w:lvl>
    <w:lvl w:ilvl="4" w:tplc="5F3C15C2">
      <w:numFmt w:val="bullet"/>
      <w:lvlText w:val="•"/>
      <w:lvlJc w:val="left"/>
      <w:pPr>
        <w:ind w:left="967" w:hanging="122"/>
      </w:pPr>
      <w:rPr>
        <w:rFonts w:hint="default"/>
        <w:lang w:val="en-US" w:eastAsia="en-US" w:bidi="ar-SA"/>
      </w:rPr>
    </w:lvl>
    <w:lvl w:ilvl="5" w:tplc="158C1BE2">
      <w:numFmt w:val="bullet"/>
      <w:lvlText w:val="•"/>
      <w:lvlJc w:val="left"/>
      <w:pPr>
        <w:ind w:left="1164" w:hanging="122"/>
      </w:pPr>
      <w:rPr>
        <w:rFonts w:hint="default"/>
        <w:lang w:val="en-US" w:eastAsia="en-US" w:bidi="ar-SA"/>
      </w:rPr>
    </w:lvl>
    <w:lvl w:ilvl="6" w:tplc="0D444054">
      <w:numFmt w:val="bullet"/>
      <w:lvlText w:val="•"/>
      <w:lvlJc w:val="left"/>
      <w:pPr>
        <w:ind w:left="1360" w:hanging="122"/>
      </w:pPr>
      <w:rPr>
        <w:rFonts w:hint="default"/>
        <w:lang w:val="en-US" w:eastAsia="en-US" w:bidi="ar-SA"/>
      </w:rPr>
    </w:lvl>
    <w:lvl w:ilvl="7" w:tplc="293074F0">
      <w:numFmt w:val="bullet"/>
      <w:lvlText w:val="•"/>
      <w:lvlJc w:val="left"/>
      <w:pPr>
        <w:ind w:left="1557" w:hanging="122"/>
      </w:pPr>
      <w:rPr>
        <w:rFonts w:hint="default"/>
        <w:lang w:val="en-US" w:eastAsia="en-US" w:bidi="ar-SA"/>
      </w:rPr>
    </w:lvl>
    <w:lvl w:ilvl="8" w:tplc="89FE4BDA">
      <w:numFmt w:val="bullet"/>
      <w:lvlText w:val="•"/>
      <w:lvlJc w:val="left"/>
      <w:pPr>
        <w:ind w:left="1754" w:hanging="122"/>
      </w:pPr>
      <w:rPr>
        <w:rFonts w:hint="default"/>
        <w:lang w:val="en-US" w:eastAsia="en-US" w:bidi="ar-SA"/>
      </w:rPr>
    </w:lvl>
  </w:abstractNum>
  <w:abstractNum w:abstractNumId="14" w15:restartNumberingAfterBreak="0">
    <w:nsid w:val="0A010A67"/>
    <w:multiLevelType w:val="hybridMultilevel"/>
    <w:tmpl w:val="85687930"/>
    <w:lvl w:ilvl="0" w:tplc="866E892A">
      <w:numFmt w:val="bullet"/>
      <w:lvlText w:val="–"/>
      <w:lvlJc w:val="left"/>
      <w:pPr>
        <w:ind w:left="252" w:hanging="142"/>
      </w:pPr>
      <w:rPr>
        <w:rFonts w:ascii="Arial" w:eastAsia="Arial" w:hAnsi="Arial" w:cs="Arial" w:hint="default"/>
        <w:b w:val="0"/>
        <w:bCs w:val="0"/>
        <w:i w:val="0"/>
        <w:iCs w:val="0"/>
        <w:w w:val="85"/>
        <w:sz w:val="16"/>
        <w:szCs w:val="16"/>
        <w:lang w:val="en-US" w:eastAsia="en-US" w:bidi="ar-SA"/>
      </w:rPr>
    </w:lvl>
    <w:lvl w:ilvl="1" w:tplc="9518202C">
      <w:numFmt w:val="bullet"/>
      <w:lvlText w:val="•"/>
      <w:lvlJc w:val="left"/>
      <w:pPr>
        <w:ind w:left="1127" w:hanging="142"/>
      </w:pPr>
      <w:rPr>
        <w:rFonts w:hint="default"/>
        <w:lang w:val="en-US" w:eastAsia="en-US" w:bidi="ar-SA"/>
      </w:rPr>
    </w:lvl>
    <w:lvl w:ilvl="2" w:tplc="ACF0F710">
      <w:numFmt w:val="bullet"/>
      <w:lvlText w:val="•"/>
      <w:lvlJc w:val="left"/>
      <w:pPr>
        <w:ind w:left="1995" w:hanging="142"/>
      </w:pPr>
      <w:rPr>
        <w:rFonts w:hint="default"/>
        <w:lang w:val="en-US" w:eastAsia="en-US" w:bidi="ar-SA"/>
      </w:rPr>
    </w:lvl>
    <w:lvl w:ilvl="3" w:tplc="E548C13C">
      <w:numFmt w:val="bullet"/>
      <w:lvlText w:val="•"/>
      <w:lvlJc w:val="left"/>
      <w:pPr>
        <w:ind w:left="2863" w:hanging="142"/>
      </w:pPr>
      <w:rPr>
        <w:rFonts w:hint="default"/>
        <w:lang w:val="en-US" w:eastAsia="en-US" w:bidi="ar-SA"/>
      </w:rPr>
    </w:lvl>
    <w:lvl w:ilvl="4" w:tplc="98BAA454">
      <w:numFmt w:val="bullet"/>
      <w:lvlText w:val="•"/>
      <w:lvlJc w:val="left"/>
      <w:pPr>
        <w:ind w:left="3731" w:hanging="142"/>
      </w:pPr>
      <w:rPr>
        <w:rFonts w:hint="default"/>
        <w:lang w:val="en-US" w:eastAsia="en-US" w:bidi="ar-SA"/>
      </w:rPr>
    </w:lvl>
    <w:lvl w:ilvl="5" w:tplc="A2C85630">
      <w:numFmt w:val="bullet"/>
      <w:lvlText w:val="•"/>
      <w:lvlJc w:val="left"/>
      <w:pPr>
        <w:ind w:left="4599" w:hanging="142"/>
      </w:pPr>
      <w:rPr>
        <w:rFonts w:hint="default"/>
        <w:lang w:val="en-US" w:eastAsia="en-US" w:bidi="ar-SA"/>
      </w:rPr>
    </w:lvl>
    <w:lvl w:ilvl="6" w:tplc="FF088970">
      <w:numFmt w:val="bullet"/>
      <w:lvlText w:val="•"/>
      <w:lvlJc w:val="left"/>
      <w:pPr>
        <w:ind w:left="5467" w:hanging="142"/>
      </w:pPr>
      <w:rPr>
        <w:rFonts w:hint="default"/>
        <w:lang w:val="en-US" w:eastAsia="en-US" w:bidi="ar-SA"/>
      </w:rPr>
    </w:lvl>
    <w:lvl w:ilvl="7" w:tplc="11A64D8A">
      <w:numFmt w:val="bullet"/>
      <w:lvlText w:val="•"/>
      <w:lvlJc w:val="left"/>
      <w:pPr>
        <w:ind w:left="6335" w:hanging="142"/>
      </w:pPr>
      <w:rPr>
        <w:rFonts w:hint="default"/>
        <w:lang w:val="en-US" w:eastAsia="en-US" w:bidi="ar-SA"/>
      </w:rPr>
    </w:lvl>
    <w:lvl w:ilvl="8" w:tplc="32D0C11C">
      <w:numFmt w:val="bullet"/>
      <w:lvlText w:val="•"/>
      <w:lvlJc w:val="left"/>
      <w:pPr>
        <w:ind w:left="7203" w:hanging="142"/>
      </w:pPr>
      <w:rPr>
        <w:rFonts w:hint="default"/>
        <w:lang w:val="en-US" w:eastAsia="en-US" w:bidi="ar-SA"/>
      </w:rPr>
    </w:lvl>
  </w:abstractNum>
  <w:abstractNum w:abstractNumId="15" w15:restartNumberingAfterBreak="0">
    <w:nsid w:val="0BDA4987"/>
    <w:multiLevelType w:val="multilevel"/>
    <w:tmpl w:val="C1F670CE"/>
    <w:lvl w:ilvl="0">
      <w:start w:val="1"/>
      <w:numFmt w:val="decimal"/>
      <w:lvlText w:val="%1"/>
      <w:lvlJc w:val="left"/>
      <w:pPr>
        <w:ind w:left="232" w:hanging="283"/>
        <w:jc w:val="left"/>
      </w:pPr>
      <w:rPr>
        <w:rFonts w:hint="default"/>
        <w:lang w:val="en-US" w:eastAsia="en-US" w:bidi="ar-SA"/>
      </w:rPr>
    </w:lvl>
    <w:lvl w:ilvl="1">
      <w:start w:val="1"/>
      <w:numFmt w:val="decimal"/>
      <w:lvlText w:val="%1.%2"/>
      <w:lvlJc w:val="left"/>
      <w:pPr>
        <w:ind w:left="232" w:hanging="283"/>
        <w:jc w:val="left"/>
      </w:pPr>
      <w:rPr>
        <w:rFonts w:ascii="Arial" w:eastAsia="Arial" w:hAnsi="Arial" w:cs="Arial" w:hint="default"/>
        <w:b w:val="0"/>
        <w:bCs w:val="0"/>
        <w:i w:val="0"/>
        <w:iCs w:val="0"/>
        <w:spacing w:val="-23"/>
        <w:w w:val="99"/>
        <w:sz w:val="20"/>
        <w:szCs w:val="20"/>
        <w:lang w:val="en-US" w:eastAsia="en-US" w:bidi="ar-SA"/>
      </w:rPr>
    </w:lvl>
    <w:lvl w:ilvl="2">
      <w:numFmt w:val="bullet"/>
      <w:lvlText w:val="•"/>
      <w:lvlJc w:val="left"/>
      <w:pPr>
        <w:ind w:left="515" w:hanging="284"/>
      </w:pPr>
      <w:rPr>
        <w:rFonts w:ascii="Tahoma" w:eastAsia="Tahoma" w:hAnsi="Tahoma" w:cs="Tahoma" w:hint="default"/>
        <w:b w:val="0"/>
        <w:bCs w:val="0"/>
        <w:i w:val="0"/>
        <w:iCs w:val="0"/>
        <w:w w:val="109"/>
        <w:sz w:val="20"/>
        <w:szCs w:val="20"/>
        <w:lang w:val="en-US" w:eastAsia="en-US" w:bidi="ar-SA"/>
      </w:rPr>
    </w:lvl>
    <w:lvl w:ilvl="3">
      <w:numFmt w:val="bullet"/>
      <w:lvlText w:val="•"/>
      <w:lvlJc w:val="left"/>
      <w:pPr>
        <w:ind w:left="1489" w:hanging="284"/>
      </w:pPr>
      <w:rPr>
        <w:rFonts w:hint="default"/>
        <w:lang w:val="en-US" w:eastAsia="en-US" w:bidi="ar-SA"/>
      </w:rPr>
    </w:lvl>
    <w:lvl w:ilvl="4">
      <w:numFmt w:val="bullet"/>
      <w:lvlText w:val="•"/>
      <w:lvlJc w:val="left"/>
      <w:pPr>
        <w:ind w:left="1973" w:hanging="284"/>
      </w:pPr>
      <w:rPr>
        <w:rFonts w:hint="default"/>
        <w:lang w:val="en-US" w:eastAsia="en-US" w:bidi="ar-SA"/>
      </w:rPr>
    </w:lvl>
    <w:lvl w:ilvl="5">
      <w:numFmt w:val="bullet"/>
      <w:lvlText w:val="•"/>
      <w:lvlJc w:val="left"/>
      <w:pPr>
        <w:ind w:left="2458" w:hanging="284"/>
      </w:pPr>
      <w:rPr>
        <w:rFonts w:hint="default"/>
        <w:lang w:val="en-US" w:eastAsia="en-US" w:bidi="ar-SA"/>
      </w:rPr>
    </w:lvl>
    <w:lvl w:ilvl="6">
      <w:numFmt w:val="bullet"/>
      <w:lvlText w:val="•"/>
      <w:lvlJc w:val="left"/>
      <w:pPr>
        <w:ind w:left="2943" w:hanging="284"/>
      </w:pPr>
      <w:rPr>
        <w:rFonts w:hint="default"/>
        <w:lang w:val="en-US" w:eastAsia="en-US" w:bidi="ar-SA"/>
      </w:rPr>
    </w:lvl>
    <w:lvl w:ilvl="7">
      <w:numFmt w:val="bullet"/>
      <w:lvlText w:val="•"/>
      <w:lvlJc w:val="left"/>
      <w:pPr>
        <w:ind w:left="3427" w:hanging="284"/>
      </w:pPr>
      <w:rPr>
        <w:rFonts w:hint="default"/>
        <w:lang w:val="en-US" w:eastAsia="en-US" w:bidi="ar-SA"/>
      </w:rPr>
    </w:lvl>
    <w:lvl w:ilvl="8">
      <w:numFmt w:val="bullet"/>
      <w:lvlText w:val="•"/>
      <w:lvlJc w:val="left"/>
      <w:pPr>
        <w:ind w:left="3912" w:hanging="284"/>
      </w:pPr>
      <w:rPr>
        <w:rFonts w:hint="default"/>
        <w:lang w:val="en-US" w:eastAsia="en-US" w:bidi="ar-SA"/>
      </w:rPr>
    </w:lvl>
  </w:abstractNum>
  <w:abstractNum w:abstractNumId="16" w15:restartNumberingAfterBreak="0">
    <w:nsid w:val="0BE86849"/>
    <w:multiLevelType w:val="hybridMultilevel"/>
    <w:tmpl w:val="1B480BCC"/>
    <w:lvl w:ilvl="0" w:tplc="E2686390">
      <w:numFmt w:val="bullet"/>
      <w:lvlText w:val="•"/>
      <w:lvlJc w:val="left"/>
      <w:pPr>
        <w:ind w:left="502" w:hanging="284"/>
      </w:pPr>
      <w:rPr>
        <w:rFonts w:ascii="Tahoma" w:eastAsia="Tahoma" w:hAnsi="Tahoma" w:cs="Tahoma" w:hint="default"/>
        <w:b w:val="0"/>
        <w:bCs w:val="0"/>
        <w:i w:val="0"/>
        <w:iCs w:val="0"/>
        <w:w w:val="109"/>
        <w:sz w:val="20"/>
        <w:szCs w:val="20"/>
        <w:lang w:val="en-US" w:eastAsia="en-US" w:bidi="ar-SA"/>
      </w:rPr>
    </w:lvl>
    <w:lvl w:ilvl="1" w:tplc="157CA67E">
      <w:numFmt w:val="bullet"/>
      <w:lvlText w:val="•"/>
      <w:lvlJc w:val="left"/>
      <w:pPr>
        <w:ind w:left="1023" w:hanging="284"/>
      </w:pPr>
      <w:rPr>
        <w:rFonts w:hint="default"/>
        <w:lang w:val="en-US" w:eastAsia="en-US" w:bidi="ar-SA"/>
      </w:rPr>
    </w:lvl>
    <w:lvl w:ilvl="2" w:tplc="A836A364">
      <w:numFmt w:val="bullet"/>
      <w:lvlText w:val="•"/>
      <w:lvlJc w:val="left"/>
      <w:pPr>
        <w:ind w:left="1546" w:hanging="284"/>
      </w:pPr>
      <w:rPr>
        <w:rFonts w:hint="default"/>
        <w:lang w:val="en-US" w:eastAsia="en-US" w:bidi="ar-SA"/>
      </w:rPr>
    </w:lvl>
    <w:lvl w:ilvl="3" w:tplc="C4AA377A">
      <w:numFmt w:val="bullet"/>
      <w:lvlText w:val="•"/>
      <w:lvlJc w:val="left"/>
      <w:pPr>
        <w:ind w:left="2069" w:hanging="284"/>
      </w:pPr>
      <w:rPr>
        <w:rFonts w:hint="default"/>
        <w:lang w:val="en-US" w:eastAsia="en-US" w:bidi="ar-SA"/>
      </w:rPr>
    </w:lvl>
    <w:lvl w:ilvl="4" w:tplc="CA9EBEF8">
      <w:numFmt w:val="bullet"/>
      <w:lvlText w:val="•"/>
      <w:lvlJc w:val="left"/>
      <w:pPr>
        <w:ind w:left="2592" w:hanging="284"/>
      </w:pPr>
      <w:rPr>
        <w:rFonts w:hint="default"/>
        <w:lang w:val="en-US" w:eastAsia="en-US" w:bidi="ar-SA"/>
      </w:rPr>
    </w:lvl>
    <w:lvl w:ilvl="5" w:tplc="A83EE6BE">
      <w:numFmt w:val="bullet"/>
      <w:lvlText w:val="•"/>
      <w:lvlJc w:val="left"/>
      <w:pPr>
        <w:ind w:left="3115" w:hanging="284"/>
      </w:pPr>
      <w:rPr>
        <w:rFonts w:hint="default"/>
        <w:lang w:val="en-US" w:eastAsia="en-US" w:bidi="ar-SA"/>
      </w:rPr>
    </w:lvl>
    <w:lvl w:ilvl="6" w:tplc="8490E9C4">
      <w:numFmt w:val="bullet"/>
      <w:lvlText w:val="•"/>
      <w:lvlJc w:val="left"/>
      <w:pPr>
        <w:ind w:left="3638" w:hanging="284"/>
      </w:pPr>
      <w:rPr>
        <w:rFonts w:hint="default"/>
        <w:lang w:val="en-US" w:eastAsia="en-US" w:bidi="ar-SA"/>
      </w:rPr>
    </w:lvl>
    <w:lvl w:ilvl="7" w:tplc="CB0AC5F8">
      <w:numFmt w:val="bullet"/>
      <w:lvlText w:val="•"/>
      <w:lvlJc w:val="left"/>
      <w:pPr>
        <w:ind w:left="4162" w:hanging="284"/>
      </w:pPr>
      <w:rPr>
        <w:rFonts w:hint="default"/>
        <w:lang w:val="en-US" w:eastAsia="en-US" w:bidi="ar-SA"/>
      </w:rPr>
    </w:lvl>
    <w:lvl w:ilvl="8" w:tplc="34085D1E">
      <w:numFmt w:val="bullet"/>
      <w:lvlText w:val="•"/>
      <w:lvlJc w:val="left"/>
      <w:pPr>
        <w:ind w:left="4685" w:hanging="284"/>
      </w:pPr>
      <w:rPr>
        <w:rFonts w:hint="default"/>
        <w:lang w:val="en-US" w:eastAsia="en-US" w:bidi="ar-SA"/>
      </w:rPr>
    </w:lvl>
  </w:abstractNum>
  <w:abstractNum w:abstractNumId="17" w15:restartNumberingAfterBreak="0">
    <w:nsid w:val="0C7807FA"/>
    <w:multiLevelType w:val="multilevel"/>
    <w:tmpl w:val="0A747BA6"/>
    <w:lvl w:ilvl="0">
      <w:start w:val="15"/>
      <w:numFmt w:val="decimal"/>
      <w:lvlText w:val="%1"/>
      <w:lvlJc w:val="left"/>
      <w:pPr>
        <w:ind w:left="848" w:hanging="511"/>
        <w:jc w:val="left"/>
      </w:pPr>
      <w:rPr>
        <w:rFonts w:hint="default"/>
        <w:lang w:val="en-US" w:eastAsia="en-US" w:bidi="ar-SA"/>
      </w:rPr>
    </w:lvl>
    <w:lvl w:ilvl="1">
      <w:numFmt w:val="decimal"/>
      <w:lvlText w:val="%1.%2"/>
      <w:lvlJc w:val="left"/>
      <w:pPr>
        <w:ind w:left="848" w:hanging="511"/>
        <w:jc w:val="left"/>
      </w:pPr>
      <w:rPr>
        <w:rFonts w:hint="default"/>
        <w:w w:val="99"/>
        <w:lang w:val="en-US" w:eastAsia="en-US" w:bidi="ar-SA"/>
      </w:rPr>
    </w:lvl>
    <w:lvl w:ilvl="2">
      <w:numFmt w:val="bullet"/>
      <w:lvlText w:val="•"/>
      <w:lvlJc w:val="left"/>
      <w:pPr>
        <w:ind w:left="2847" w:hanging="511"/>
      </w:pPr>
      <w:rPr>
        <w:rFonts w:hint="default"/>
        <w:lang w:val="en-US" w:eastAsia="en-US" w:bidi="ar-SA"/>
      </w:rPr>
    </w:lvl>
    <w:lvl w:ilvl="3">
      <w:numFmt w:val="bullet"/>
      <w:lvlText w:val="•"/>
      <w:lvlJc w:val="left"/>
      <w:pPr>
        <w:ind w:left="3851" w:hanging="511"/>
      </w:pPr>
      <w:rPr>
        <w:rFonts w:hint="default"/>
        <w:lang w:val="en-US" w:eastAsia="en-US" w:bidi="ar-SA"/>
      </w:rPr>
    </w:lvl>
    <w:lvl w:ilvl="4">
      <w:numFmt w:val="bullet"/>
      <w:lvlText w:val="•"/>
      <w:lvlJc w:val="left"/>
      <w:pPr>
        <w:ind w:left="4854" w:hanging="511"/>
      </w:pPr>
      <w:rPr>
        <w:rFonts w:hint="default"/>
        <w:lang w:val="en-US" w:eastAsia="en-US" w:bidi="ar-SA"/>
      </w:rPr>
    </w:lvl>
    <w:lvl w:ilvl="5">
      <w:numFmt w:val="bullet"/>
      <w:lvlText w:val="•"/>
      <w:lvlJc w:val="left"/>
      <w:pPr>
        <w:ind w:left="5858" w:hanging="511"/>
      </w:pPr>
      <w:rPr>
        <w:rFonts w:hint="default"/>
        <w:lang w:val="en-US" w:eastAsia="en-US" w:bidi="ar-SA"/>
      </w:rPr>
    </w:lvl>
    <w:lvl w:ilvl="6">
      <w:numFmt w:val="bullet"/>
      <w:lvlText w:val="•"/>
      <w:lvlJc w:val="left"/>
      <w:pPr>
        <w:ind w:left="6862" w:hanging="511"/>
      </w:pPr>
      <w:rPr>
        <w:rFonts w:hint="default"/>
        <w:lang w:val="en-US" w:eastAsia="en-US" w:bidi="ar-SA"/>
      </w:rPr>
    </w:lvl>
    <w:lvl w:ilvl="7">
      <w:numFmt w:val="bullet"/>
      <w:lvlText w:val="•"/>
      <w:lvlJc w:val="left"/>
      <w:pPr>
        <w:ind w:left="7865" w:hanging="511"/>
      </w:pPr>
      <w:rPr>
        <w:rFonts w:hint="default"/>
        <w:lang w:val="en-US" w:eastAsia="en-US" w:bidi="ar-SA"/>
      </w:rPr>
    </w:lvl>
    <w:lvl w:ilvl="8">
      <w:numFmt w:val="bullet"/>
      <w:lvlText w:val="•"/>
      <w:lvlJc w:val="left"/>
      <w:pPr>
        <w:ind w:left="8869" w:hanging="511"/>
      </w:pPr>
      <w:rPr>
        <w:rFonts w:hint="default"/>
        <w:lang w:val="en-US" w:eastAsia="en-US" w:bidi="ar-SA"/>
      </w:rPr>
    </w:lvl>
  </w:abstractNum>
  <w:abstractNum w:abstractNumId="18" w15:restartNumberingAfterBreak="0">
    <w:nsid w:val="0E771F43"/>
    <w:multiLevelType w:val="hybridMultilevel"/>
    <w:tmpl w:val="1C94C316"/>
    <w:lvl w:ilvl="0" w:tplc="A432BF06">
      <w:numFmt w:val="bullet"/>
      <w:lvlText w:val="•"/>
      <w:lvlJc w:val="left"/>
      <w:pPr>
        <w:ind w:left="775" w:hanging="284"/>
      </w:pPr>
      <w:rPr>
        <w:rFonts w:ascii="Tahoma" w:eastAsia="Tahoma" w:hAnsi="Tahoma" w:cs="Tahoma" w:hint="default"/>
        <w:b w:val="0"/>
        <w:bCs w:val="0"/>
        <w:i w:val="0"/>
        <w:iCs w:val="0"/>
        <w:w w:val="109"/>
        <w:sz w:val="20"/>
        <w:szCs w:val="20"/>
        <w:lang w:val="en-US" w:eastAsia="en-US" w:bidi="ar-SA"/>
      </w:rPr>
    </w:lvl>
    <w:lvl w:ilvl="1" w:tplc="BE706B60">
      <w:numFmt w:val="bullet"/>
      <w:lvlText w:val="–"/>
      <w:lvlJc w:val="left"/>
      <w:pPr>
        <w:ind w:left="1058" w:hanging="284"/>
      </w:pPr>
      <w:rPr>
        <w:rFonts w:ascii="Arial" w:eastAsia="Arial" w:hAnsi="Arial" w:cs="Arial" w:hint="default"/>
        <w:b w:val="0"/>
        <w:bCs w:val="0"/>
        <w:i w:val="0"/>
        <w:iCs w:val="0"/>
        <w:w w:val="89"/>
        <w:sz w:val="20"/>
        <w:szCs w:val="20"/>
        <w:lang w:val="en-US" w:eastAsia="en-US" w:bidi="ar-SA"/>
      </w:rPr>
    </w:lvl>
    <w:lvl w:ilvl="2" w:tplc="C374EB8C">
      <w:numFmt w:val="bullet"/>
      <w:lvlText w:val="•"/>
      <w:lvlJc w:val="left"/>
      <w:pPr>
        <w:ind w:left="1513" w:hanging="284"/>
      </w:pPr>
      <w:rPr>
        <w:rFonts w:hint="default"/>
        <w:lang w:val="en-US" w:eastAsia="en-US" w:bidi="ar-SA"/>
      </w:rPr>
    </w:lvl>
    <w:lvl w:ilvl="3" w:tplc="F7948FAA">
      <w:numFmt w:val="bullet"/>
      <w:lvlText w:val="•"/>
      <w:lvlJc w:val="left"/>
      <w:pPr>
        <w:ind w:left="1967" w:hanging="284"/>
      </w:pPr>
      <w:rPr>
        <w:rFonts w:hint="default"/>
        <w:lang w:val="en-US" w:eastAsia="en-US" w:bidi="ar-SA"/>
      </w:rPr>
    </w:lvl>
    <w:lvl w:ilvl="4" w:tplc="08840532">
      <w:numFmt w:val="bullet"/>
      <w:lvlText w:val="•"/>
      <w:lvlJc w:val="left"/>
      <w:pPr>
        <w:ind w:left="2421" w:hanging="284"/>
      </w:pPr>
      <w:rPr>
        <w:rFonts w:hint="default"/>
        <w:lang w:val="en-US" w:eastAsia="en-US" w:bidi="ar-SA"/>
      </w:rPr>
    </w:lvl>
    <w:lvl w:ilvl="5" w:tplc="BFA84168">
      <w:numFmt w:val="bullet"/>
      <w:lvlText w:val="•"/>
      <w:lvlJc w:val="left"/>
      <w:pPr>
        <w:ind w:left="2874" w:hanging="284"/>
      </w:pPr>
      <w:rPr>
        <w:rFonts w:hint="default"/>
        <w:lang w:val="en-US" w:eastAsia="en-US" w:bidi="ar-SA"/>
      </w:rPr>
    </w:lvl>
    <w:lvl w:ilvl="6" w:tplc="B5A6408E">
      <w:numFmt w:val="bullet"/>
      <w:lvlText w:val="•"/>
      <w:lvlJc w:val="left"/>
      <w:pPr>
        <w:ind w:left="3328" w:hanging="284"/>
      </w:pPr>
      <w:rPr>
        <w:rFonts w:hint="default"/>
        <w:lang w:val="en-US" w:eastAsia="en-US" w:bidi="ar-SA"/>
      </w:rPr>
    </w:lvl>
    <w:lvl w:ilvl="7" w:tplc="1D000F7A">
      <w:numFmt w:val="bullet"/>
      <w:lvlText w:val="•"/>
      <w:lvlJc w:val="left"/>
      <w:pPr>
        <w:ind w:left="3782" w:hanging="284"/>
      </w:pPr>
      <w:rPr>
        <w:rFonts w:hint="default"/>
        <w:lang w:val="en-US" w:eastAsia="en-US" w:bidi="ar-SA"/>
      </w:rPr>
    </w:lvl>
    <w:lvl w:ilvl="8" w:tplc="40F8B5F2">
      <w:numFmt w:val="bullet"/>
      <w:lvlText w:val="•"/>
      <w:lvlJc w:val="left"/>
      <w:pPr>
        <w:ind w:left="4235" w:hanging="284"/>
      </w:pPr>
      <w:rPr>
        <w:rFonts w:hint="default"/>
        <w:lang w:val="en-US" w:eastAsia="en-US" w:bidi="ar-SA"/>
      </w:rPr>
    </w:lvl>
  </w:abstractNum>
  <w:abstractNum w:abstractNumId="19" w15:restartNumberingAfterBreak="0">
    <w:nsid w:val="0E842360"/>
    <w:multiLevelType w:val="hybridMultilevel"/>
    <w:tmpl w:val="AB08C37C"/>
    <w:lvl w:ilvl="0" w:tplc="0F28C6F4">
      <w:numFmt w:val="bullet"/>
      <w:lvlText w:val="•"/>
      <w:lvlJc w:val="left"/>
      <w:pPr>
        <w:ind w:left="775" w:hanging="284"/>
      </w:pPr>
      <w:rPr>
        <w:rFonts w:ascii="Tahoma" w:eastAsia="Tahoma" w:hAnsi="Tahoma" w:cs="Tahoma" w:hint="default"/>
        <w:b w:val="0"/>
        <w:bCs w:val="0"/>
        <w:i w:val="0"/>
        <w:iCs w:val="0"/>
        <w:w w:val="109"/>
        <w:sz w:val="20"/>
        <w:szCs w:val="20"/>
        <w:lang w:val="en-US" w:eastAsia="en-US" w:bidi="ar-SA"/>
      </w:rPr>
    </w:lvl>
    <w:lvl w:ilvl="1" w:tplc="FF32C468">
      <w:numFmt w:val="bullet"/>
      <w:lvlText w:val="•"/>
      <w:lvlJc w:val="left"/>
      <w:pPr>
        <w:ind w:left="1223" w:hanging="284"/>
      </w:pPr>
      <w:rPr>
        <w:rFonts w:hint="default"/>
        <w:lang w:val="en-US" w:eastAsia="en-US" w:bidi="ar-SA"/>
      </w:rPr>
    </w:lvl>
    <w:lvl w:ilvl="2" w:tplc="503A15F2">
      <w:numFmt w:val="bullet"/>
      <w:lvlText w:val="•"/>
      <w:lvlJc w:val="left"/>
      <w:pPr>
        <w:ind w:left="1667" w:hanging="284"/>
      </w:pPr>
      <w:rPr>
        <w:rFonts w:hint="default"/>
        <w:lang w:val="en-US" w:eastAsia="en-US" w:bidi="ar-SA"/>
      </w:rPr>
    </w:lvl>
    <w:lvl w:ilvl="3" w:tplc="6A6401A8">
      <w:numFmt w:val="bullet"/>
      <w:lvlText w:val="•"/>
      <w:lvlJc w:val="left"/>
      <w:pPr>
        <w:ind w:left="2111" w:hanging="284"/>
      </w:pPr>
      <w:rPr>
        <w:rFonts w:hint="default"/>
        <w:lang w:val="en-US" w:eastAsia="en-US" w:bidi="ar-SA"/>
      </w:rPr>
    </w:lvl>
    <w:lvl w:ilvl="4" w:tplc="FAAC3E60">
      <w:numFmt w:val="bullet"/>
      <w:lvlText w:val="•"/>
      <w:lvlJc w:val="left"/>
      <w:pPr>
        <w:ind w:left="2555" w:hanging="284"/>
      </w:pPr>
      <w:rPr>
        <w:rFonts w:hint="default"/>
        <w:lang w:val="en-US" w:eastAsia="en-US" w:bidi="ar-SA"/>
      </w:rPr>
    </w:lvl>
    <w:lvl w:ilvl="5" w:tplc="690448F8">
      <w:numFmt w:val="bullet"/>
      <w:lvlText w:val="•"/>
      <w:lvlJc w:val="left"/>
      <w:pPr>
        <w:ind w:left="2999" w:hanging="284"/>
      </w:pPr>
      <w:rPr>
        <w:rFonts w:hint="default"/>
        <w:lang w:val="en-US" w:eastAsia="en-US" w:bidi="ar-SA"/>
      </w:rPr>
    </w:lvl>
    <w:lvl w:ilvl="6" w:tplc="BE60E338">
      <w:numFmt w:val="bullet"/>
      <w:lvlText w:val="•"/>
      <w:lvlJc w:val="left"/>
      <w:pPr>
        <w:ind w:left="3443" w:hanging="284"/>
      </w:pPr>
      <w:rPr>
        <w:rFonts w:hint="default"/>
        <w:lang w:val="en-US" w:eastAsia="en-US" w:bidi="ar-SA"/>
      </w:rPr>
    </w:lvl>
    <w:lvl w:ilvl="7" w:tplc="752E0924">
      <w:numFmt w:val="bullet"/>
      <w:lvlText w:val="•"/>
      <w:lvlJc w:val="left"/>
      <w:pPr>
        <w:ind w:left="3886" w:hanging="284"/>
      </w:pPr>
      <w:rPr>
        <w:rFonts w:hint="default"/>
        <w:lang w:val="en-US" w:eastAsia="en-US" w:bidi="ar-SA"/>
      </w:rPr>
    </w:lvl>
    <w:lvl w:ilvl="8" w:tplc="2132F04E">
      <w:numFmt w:val="bullet"/>
      <w:lvlText w:val="•"/>
      <w:lvlJc w:val="left"/>
      <w:pPr>
        <w:ind w:left="4330" w:hanging="284"/>
      </w:pPr>
      <w:rPr>
        <w:rFonts w:hint="default"/>
        <w:lang w:val="en-US" w:eastAsia="en-US" w:bidi="ar-SA"/>
      </w:rPr>
    </w:lvl>
  </w:abstractNum>
  <w:abstractNum w:abstractNumId="20" w15:restartNumberingAfterBreak="0">
    <w:nsid w:val="0F295DA6"/>
    <w:multiLevelType w:val="hybridMultilevel"/>
    <w:tmpl w:val="E90E6678"/>
    <w:lvl w:ilvl="0" w:tplc="7E6EAF12">
      <w:numFmt w:val="bullet"/>
      <w:lvlText w:val="•"/>
      <w:lvlJc w:val="left"/>
      <w:pPr>
        <w:ind w:left="207" w:hanging="100"/>
      </w:pPr>
      <w:rPr>
        <w:rFonts w:ascii="Tahoma" w:eastAsia="Tahoma" w:hAnsi="Tahoma" w:cs="Tahoma" w:hint="default"/>
        <w:b w:val="0"/>
        <w:bCs w:val="0"/>
        <w:i w:val="0"/>
        <w:iCs w:val="0"/>
        <w:w w:val="109"/>
        <w:sz w:val="14"/>
        <w:szCs w:val="14"/>
        <w:lang w:val="en-US" w:eastAsia="en-US" w:bidi="ar-SA"/>
      </w:rPr>
    </w:lvl>
    <w:lvl w:ilvl="1" w:tplc="D28E1836">
      <w:numFmt w:val="bullet"/>
      <w:lvlText w:val="•"/>
      <w:lvlJc w:val="left"/>
      <w:pPr>
        <w:ind w:left="607" w:hanging="100"/>
      </w:pPr>
      <w:rPr>
        <w:rFonts w:hint="default"/>
        <w:lang w:val="en-US" w:eastAsia="en-US" w:bidi="ar-SA"/>
      </w:rPr>
    </w:lvl>
    <w:lvl w:ilvl="2" w:tplc="20D637F0">
      <w:numFmt w:val="bullet"/>
      <w:lvlText w:val="•"/>
      <w:lvlJc w:val="left"/>
      <w:pPr>
        <w:ind w:left="1015" w:hanging="100"/>
      </w:pPr>
      <w:rPr>
        <w:rFonts w:hint="default"/>
        <w:lang w:val="en-US" w:eastAsia="en-US" w:bidi="ar-SA"/>
      </w:rPr>
    </w:lvl>
    <w:lvl w:ilvl="3" w:tplc="6BE6CB04">
      <w:numFmt w:val="bullet"/>
      <w:lvlText w:val="•"/>
      <w:lvlJc w:val="left"/>
      <w:pPr>
        <w:ind w:left="1423" w:hanging="100"/>
      </w:pPr>
      <w:rPr>
        <w:rFonts w:hint="default"/>
        <w:lang w:val="en-US" w:eastAsia="en-US" w:bidi="ar-SA"/>
      </w:rPr>
    </w:lvl>
    <w:lvl w:ilvl="4" w:tplc="EA58B6F4">
      <w:numFmt w:val="bullet"/>
      <w:lvlText w:val="•"/>
      <w:lvlJc w:val="left"/>
      <w:pPr>
        <w:ind w:left="1831" w:hanging="100"/>
      </w:pPr>
      <w:rPr>
        <w:rFonts w:hint="default"/>
        <w:lang w:val="en-US" w:eastAsia="en-US" w:bidi="ar-SA"/>
      </w:rPr>
    </w:lvl>
    <w:lvl w:ilvl="5" w:tplc="60F86BDC">
      <w:numFmt w:val="bullet"/>
      <w:lvlText w:val="•"/>
      <w:lvlJc w:val="left"/>
      <w:pPr>
        <w:ind w:left="2239" w:hanging="100"/>
      </w:pPr>
      <w:rPr>
        <w:rFonts w:hint="default"/>
        <w:lang w:val="en-US" w:eastAsia="en-US" w:bidi="ar-SA"/>
      </w:rPr>
    </w:lvl>
    <w:lvl w:ilvl="6" w:tplc="39723270">
      <w:numFmt w:val="bullet"/>
      <w:lvlText w:val="•"/>
      <w:lvlJc w:val="left"/>
      <w:pPr>
        <w:ind w:left="2646" w:hanging="100"/>
      </w:pPr>
      <w:rPr>
        <w:rFonts w:hint="default"/>
        <w:lang w:val="en-US" w:eastAsia="en-US" w:bidi="ar-SA"/>
      </w:rPr>
    </w:lvl>
    <w:lvl w:ilvl="7" w:tplc="3A786884">
      <w:numFmt w:val="bullet"/>
      <w:lvlText w:val="•"/>
      <w:lvlJc w:val="left"/>
      <w:pPr>
        <w:ind w:left="3054" w:hanging="100"/>
      </w:pPr>
      <w:rPr>
        <w:rFonts w:hint="default"/>
        <w:lang w:val="en-US" w:eastAsia="en-US" w:bidi="ar-SA"/>
      </w:rPr>
    </w:lvl>
    <w:lvl w:ilvl="8" w:tplc="2E2A7330">
      <w:numFmt w:val="bullet"/>
      <w:lvlText w:val="•"/>
      <w:lvlJc w:val="left"/>
      <w:pPr>
        <w:ind w:left="3462" w:hanging="100"/>
      </w:pPr>
      <w:rPr>
        <w:rFonts w:hint="default"/>
        <w:lang w:val="en-US" w:eastAsia="en-US" w:bidi="ar-SA"/>
      </w:rPr>
    </w:lvl>
  </w:abstractNum>
  <w:abstractNum w:abstractNumId="21" w15:restartNumberingAfterBreak="0">
    <w:nsid w:val="0F2E0695"/>
    <w:multiLevelType w:val="multilevel"/>
    <w:tmpl w:val="FDCC1F6A"/>
    <w:lvl w:ilvl="0">
      <w:start w:val="5"/>
      <w:numFmt w:val="decimal"/>
      <w:lvlText w:val="%1"/>
      <w:lvlJc w:val="left"/>
      <w:pPr>
        <w:ind w:left="941" w:hanging="450"/>
        <w:jc w:val="left"/>
      </w:pPr>
      <w:rPr>
        <w:rFonts w:hint="default"/>
        <w:lang w:val="en-US" w:eastAsia="en-US" w:bidi="ar-SA"/>
      </w:rPr>
    </w:lvl>
    <w:lvl w:ilvl="1">
      <w:start w:val="1"/>
      <w:numFmt w:val="decimal"/>
      <w:lvlText w:val="%1.%2"/>
      <w:lvlJc w:val="left"/>
      <w:pPr>
        <w:ind w:left="941" w:hanging="450"/>
        <w:jc w:val="right"/>
      </w:pPr>
      <w:rPr>
        <w:rFonts w:ascii="Arial" w:eastAsia="Arial" w:hAnsi="Arial" w:cs="Arial" w:hint="default"/>
        <w:b/>
        <w:bCs/>
        <w:i w:val="0"/>
        <w:iCs w:val="0"/>
        <w:color w:val="EC008C"/>
        <w:spacing w:val="-5"/>
        <w:w w:val="99"/>
        <w:sz w:val="28"/>
        <w:szCs w:val="28"/>
        <w:lang w:val="en-US" w:eastAsia="en-US" w:bidi="ar-SA"/>
      </w:rPr>
    </w:lvl>
    <w:lvl w:ilvl="2">
      <w:start w:val="1"/>
      <w:numFmt w:val="decimal"/>
      <w:lvlText w:val="%1.%2.%3"/>
      <w:lvlJc w:val="left"/>
      <w:pPr>
        <w:ind w:left="978" w:hanging="486"/>
        <w:jc w:val="right"/>
      </w:pPr>
      <w:rPr>
        <w:rFonts w:hint="default"/>
        <w:spacing w:val="-3"/>
        <w:w w:val="99"/>
        <w:lang w:val="en-US" w:eastAsia="en-US" w:bidi="ar-SA"/>
      </w:rPr>
    </w:lvl>
    <w:lvl w:ilvl="3">
      <w:numFmt w:val="bullet"/>
      <w:lvlText w:val="•"/>
      <w:lvlJc w:val="left"/>
      <w:pPr>
        <w:ind w:left="775" w:hanging="486"/>
      </w:pPr>
      <w:rPr>
        <w:rFonts w:ascii="Tahoma" w:eastAsia="Tahoma" w:hAnsi="Tahoma" w:cs="Tahoma" w:hint="default"/>
        <w:b w:val="0"/>
        <w:bCs w:val="0"/>
        <w:i w:val="0"/>
        <w:iCs w:val="0"/>
        <w:w w:val="109"/>
        <w:sz w:val="20"/>
        <w:szCs w:val="20"/>
        <w:lang w:val="en-US" w:eastAsia="en-US" w:bidi="ar-SA"/>
      </w:rPr>
    </w:lvl>
    <w:lvl w:ilvl="4">
      <w:numFmt w:val="bullet"/>
      <w:lvlText w:val="•"/>
      <w:lvlJc w:val="left"/>
      <w:pPr>
        <w:ind w:left="-490" w:hanging="486"/>
      </w:pPr>
      <w:rPr>
        <w:rFonts w:hint="default"/>
        <w:lang w:val="en-US" w:eastAsia="en-US" w:bidi="ar-SA"/>
      </w:rPr>
    </w:lvl>
    <w:lvl w:ilvl="5">
      <w:numFmt w:val="bullet"/>
      <w:lvlText w:val="•"/>
      <w:lvlJc w:val="left"/>
      <w:pPr>
        <w:ind w:left="-1224" w:hanging="486"/>
      </w:pPr>
      <w:rPr>
        <w:rFonts w:hint="default"/>
        <w:lang w:val="en-US" w:eastAsia="en-US" w:bidi="ar-SA"/>
      </w:rPr>
    </w:lvl>
    <w:lvl w:ilvl="6">
      <w:numFmt w:val="bullet"/>
      <w:lvlText w:val="•"/>
      <w:lvlJc w:val="left"/>
      <w:pPr>
        <w:ind w:left="-1959" w:hanging="486"/>
      </w:pPr>
      <w:rPr>
        <w:rFonts w:hint="default"/>
        <w:lang w:val="en-US" w:eastAsia="en-US" w:bidi="ar-SA"/>
      </w:rPr>
    </w:lvl>
    <w:lvl w:ilvl="7">
      <w:numFmt w:val="bullet"/>
      <w:lvlText w:val="•"/>
      <w:lvlJc w:val="left"/>
      <w:pPr>
        <w:ind w:left="-2693" w:hanging="486"/>
      </w:pPr>
      <w:rPr>
        <w:rFonts w:hint="default"/>
        <w:lang w:val="en-US" w:eastAsia="en-US" w:bidi="ar-SA"/>
      </w:rPr>
    </w:lvl>
    <w:lvl w:ilvl="8">
      <w:numFmt w:val="bullet"/>
      <w:lvlText w:val="•"/>
      <w:lvlJc w:val="left"/>
      <w:pPr>
        <w:ind w:left="-3428" w:hanging="486"/>
      </w:pPr>
      <w:rPr>
        <w:rFonts w:hint="default"/>
        <w:lang w:val="en-US" w:eastAsia="en-US" w:bidi="ar-SA"/>
      </w:rPr>
    </w:lvl>
  </w:abstractNum>
  <w:abstractNum w:abstractNumId="22" w15:restartNumberingAfterBreak="0">
    <w:nsid w:val="0F9D3684"/>
    <w:multiLevelType w:val="hybridMultilevel"/>
    <w:tmpl w:val="2E7A476C"/>
    <w:lvl w:ilvl="0" w:tplc="8C02CC86">
      <w:numFmt w:val="bullet"/>
      <w:lvlText w:val="•"/>
      <w:lvlJc w:val="left"/>
      <w:pPr>
        <w:ind w:left="775" w:hanging="284"/>
      </w:pPr>
      <w:rPr>
        <w:rFonts w:ascii="Tahoma" w:eastAsia="Tahoma" w:hAnsi="Tahoma" w:cs="Tahoma" w:hint="default"/>
        <w:b w:val="0"/>
        <w:bCs w:val="0"/>
        <w:i w:val="0"/>
        <w:iCs w:val="0"/>
        <w:w w:val="109"/>
        <w:sz w:val="20"/>
        <w:szCs w:val="20"/>
        <w:lang w:val="en-US" w:eastAsia="en-US" w:bidi="ar-SA"/>
      </w:rPr>
    </w:lvl>
    <w:lvl w:ilvl="1" w:tplc="D554AE2C">
      <w:numFmt w:val="bullet"/>
      <w:lvlText w:val="•"/>
      <w:lvlJc w:val="left"/>
      <w:pPr>
        <w:ind w:left="2307" w:hanging="284"/>
      </w:pPr>
      <w:rPr>
        <w:rFonts w:hint="default"/>
        <w:lang w:val="en-US" w:eastAsia="en-US" w:bidi="ar-SA"/>
      </w:rPr>
    </w:lvl>
    <w:lvl w:ilvl="2" w:tplc="3E8E53D2">
      <w:numFmt w:val="bullet"/>
      <w:lvlText w:val="•"/>
      <w:lvlJc w:val="left"/>
      <w:pPr>
        <w:ind w:left="3835" w:hanging="284"/>
      </w:pPr>
      <w:rPr>
        <w:rFonts w:hint="default"/>
        <w:lang w:val="en-US" w:eastAsia="en-US" w:bidi="ar-SA"/>
      </w:rPr>
    </w:lvl>
    <w:lvl w:ilvl="3" w:tplc="28B89A28">
      <w:numFmt w:val="bullet"/>
      <w:lvlText w:val="•"/>
      <w:lvlJc w:val="left"/>
      <w:pPr>
        <w:ind w:left="5363" w:hanging="284"/>
      </w:pPr>
      <w:rPr>
        <w:rFonts w:hint="default"/>
        <w:lang w:val="en-US" w:eastAsia="en-US" w:bidi="ar-SA"/>
      </w:rPr>
    </w:lvl>
    <w:lvl w:ilvl="4" w:tplc="69BE37EE">
      <w:numFmt w:val="bullet"/>
      <w:lvlText w:val="•"/>
      <w:lvlJc w:val="left"/>
      <w:pPr>
        <w:ind w:left="6891" w:hanging="284"/>
      </w:pPr>
      <w:rPr>
        <w:rFonts w:hint="default"/>
        <w:lang w:val="en-US" w:eastAsia="en-US" w:bidi="ar-SA"/>
      </w:rPr>
    </w:lvl>
    <w:lvl w:ilvl="5" w:tplc="371240C8">
      <w:numFmt w:val="bullet"/>
      <w:lvlText w:val="•"/>
      <w:lvlJc w:val="left"/>
      <w:pPr>
        <w:ind w:left="8418" w:hanging="284"/>
      </w:pPr>
      <w:rPr>
        <w:rFonts w:hint="default"/>
        <w:lang w:val="en-US" w:eastAsia="en-US" w:bidi="ar-SA"/>
      </w:rPr>
    </w:lvl>
    <w:lvl w:ilvl="6" w:tplc="ACDAA252">
      <w:numFmt w:val="bullet"/>
      <w:lvlText w:val="•"/>
      <w:lvlJc w:val="left"/>
      <w:pPr>
        <w:ind w:left="9946" w:hanging="284"/>
      </w:pPr>
      <w:rPr>
        <w:rFonts w:hint="default"/>
        <w:lang w:val="en-US" w:eastAsia="en-US" w:bidi="ar-SA"/>
      </w:rPr>
    </w:lvl>
    <w:lvl w:ilvl="7" w:tplc="CAFCDA3A">
      <w:numFmt w:val="bullet"/>
      <w:lvlText w:val="•"/>
      <w:lvlJc w:val="left"/>
      <w:pPr>
        <w:ind w:left="11474" w:hanging="284"/>
      </w:pPr>
      <w:rPr>
        <w:rFonts w:hint="default"/>
        <w:lang w:val="en-US" w:eastAsia="en-US" w:bidi="ar-SA"/>
      </w:rPr>
    </w:lvl>
    <w:lvl w:ilvl="8" w:tplc="96629AF0">
      <w:numFmt w:val="bullet"/>
      <w:lvlText w:val="•"/>
      <w:lvlJc w:val="left"/>
      <w:pPr>
        <w:ind w:left="13002" w:hanging="284"/>
      </w:pPr>
      <w:rPr>
        <w:rFonts w:hint="default"/>
        <w:lang w:val="en-US" w:eastAsia="en-US" w:bidi="ar-SA"/>
      </w:rPr>
    </w:lvl>
  </w:abstractNum>
  <w:abstractNum w:abstractNumId="23" w15:restartNumberingAfterBreak="0">
    <w:nsid w:val="0FCA747E"/>
    <w:multiLevelType w:val="hybridMultilevel"/>
    <w:tmpl w:val="921A785E"/>
    <w:lvl w:ilvl="0" w:tplc="2D267658">
      <w:numFmt w:val="bullet"/>
      <w:lvlText w:val="•"/>
      <w:lvlJc w:val="left"/>
      <w:pPr>
        <w:ind w:left="775" w:hanging="284"/>
      </w:pPr>
      <w:rPr>
        <w:rFonts w:ascii="Tahoma" w:eastAsia="Tahoma" w:hAnsi="Tahoma" w:cs="Tahoma" w:hint="default"/>
        <w:b w:val="0"/>
        <w:bCs w:val="0"/>
        <w:i w:val="0"/>
        <w:iCs w:val="0"/>
        <w:w w:val="109"/>
        <w:sz w:val="20"/>
        <w:szCs w:val="20"/>
        <w:lang w:val="en-US" w:eastAsia="en-US" w:bidi="ar-SA"/>
      </w:rPr>
    </w:lvl>
    <w:lvl w:ilvl="1" w:tplc="7F66FFC2">
      <w:numFmt w:val="bullet"/>
      <w:lvlText w:val="•"/>
      <w:lvlJc w:val="left"/>
      <w:pPr>
        <w:ind w:left="1226" w:hanging="284"/>
      </w:pPr>
      <w:rPr>
        <w:rFonts w:hint="default"/>
        <w:lang w:val="en-US" w:eastAsia="en-US" w:bidi="ar-SA"/>
      </w:rPr>
    </w:lvl>
    <w:lvl w:ilvl="2" w:tplc="6BFADE5A">
      <w:numFmt w:val="bullet"/>
      <w:lvlText w:val="•"/>
      <w:lvlJc w:val="left"/>
      <w:pPr>
        <w:ind w:left="1673" w:hanging="284"/>
      </w:pPr>
      <w:rPr>
        <w:rFonts w:hint="default"/>
        <w:lang w:val="en-US" w:eastAsia="en-US" w:bidi="ar-SA"/>
      </w:rPr>
    </w:lvl>
    <w:lvl w:ilvl="3" w:tplc="B1189A64">
      <w:numFmt w:val="bullet"/>
      <w:lvlText w:val="•"/>
      <w:lvlJc w:val="left"/>
      <w:pPr>
        <w:ind w:left="2120" w:hanging="284"/>
      </w:pPr>
      <w:rPr>
        <w:rFonts w:hint="default"/>
        <w:lang w:val="en-US" w:eastAsia="en-US" w:bidi="ar-SA"/>
      </w:rPr>
    </w:lvl>
    <w:lvl w:ilvl="4" w:tplc="7FE046F6">
      <w:numFmt w:val="bullet"/>
      <w:lvlText w:val="•"/>
      <w:lvlJc w:val="left"/>
      <w:pPr>
        <w:ind w:left="2567" w:hanging="284"/>
      </w:pPr>
      <w:rPr>
        <w:rFonts w:hint="default"/>
        <w:lang w:val="en-US" w:eastAsia="en-US" w:bidi="ar-SA"/>
      </w:rPr>
    </w:lvl>
    <w:lvl w:ilvl="5" w:tplc="C5247980">
      <w:numFmt w:val="bullet"/>
      <w:lvlText w:val="•"/>
      <w:lvlJc w:val="left"/>
      <w:pPr>
        <w:ind w:left="3014" w:hanging="284"/>
      </w:pPr>
      <w:rPr>
        <w:rFonts w:hint="default"/>
        <w:lang w:val="en-US" w:eastAsia="en-US" w:bidi="ar-SA"/>
      </w:rPr>
    </w:lvl>
    <w:lvl w:ilvl="6" w:tplc="B3E4D3CA">
      <w:numFmt w:val="bullet"/>
      <w:lvlText w:val="•"/>
      <w:lvlJc w:val="left"/>
      <w:pPr>
        <w:ind w:left="3461" w:hanging="284"/>
      </w:pPr>
      <w:rPr>
        <w:rFonts w:hint="default"/>
        <w:lang w:val="en-US" w:eastAsia="en-US" w:bidi="ar-SA"/>
      </w:rPr>
    </w:lvl>
    <w:lvl w:ilvl="7" w:tplc="944C9444">
      <w:numFmt w:val="bullet"/>
      <w:lvlText w:val="•"/>
      <w:lvlJc w:val="left"/>
      <w:pPr>
        <w:ind w:left="3908" w:hanging="284"/>
      </w:pPr>
      <w:rPr>
        <w:rFonts w:hint="default"/>
        <w:lang w:val="en-US" w:eastAsia="en-US" w:bidi="ar-SA"/>
      </w:rPr>
    </w:lvl>
    <w:lvl w:ilvl="8" w:tplc="9ADEB6E6">
      <w:numFmt w:val="bullet"/>
      <w:lvlText w:val="•"/>
      <w:lvlJc w:val="left"/>
      <w:pPr>
        <w:ind w:left="4355" w:hanging="284"/>
      </w:pPr>
      <w:rPr>
        <w:rFonts w:hint="default"/>
        <w:lang w:val="en-US" w:eastAsia="en-US" w:bidi="ar-SA"/>
      </w:rPr>
    </w:lvl>
  </w:abstractNum>
  <w:abstractNum w:abstractNumId="24" w15:restartNumberingAfterBreak="0">
    <w:nsid w:val="10EF4459"/>
    <w:multiLevelType w:val="multilevel"/>
    <w:tmpl w:val="67140728"/>
    <w:lvl w:ilvl="0">
      <w:start w:val="11"/>
      <w:numFmt w:val="decimal"/>
      <w:lvlText w:val="%1"/>
      <w:lvlJc w:val="left"/>
      <w:pPr>
        <w:ind w:left="914" w:hanging="601"/>
        <w:jc w:val="left"/>
      </w:pPr>
      <w:rPr>
        <w:rFonts w:hint="default"/>
        <w:lang w:val="en-US" w:eastAsia="en-US" w:bidi="ar-SA"/>
      </w:rPr>
    </w:lvl>
    <w:lvl w:ilvl="1">
      <w:start w:val="1"/>
      <w:numFmt w:val="decimal"/>
      <w:lvlText w:val="%1.%2"/>
      <w:lvlJc w:val="left"/>
      <w:pPr>
        <w:ind w:left="914" w:hanging="601"/>
        <w:jc w:val="right"/>
      </w:pPr>
      <w:rPr>
        <w:rFonts w:ascii="Arial" w:eastAsia="Arial" w:hAnsi="Arial" w:cs="Arial" w:hint="default"/>
        <w:b/>
        <w:bCs/>
        <w:i w:val="0"/>
        <w:iCs w:val="0"/>
        <w:color w:val="00AEEF"/>
        <w:spacing w:val="-5"/>
        <w:w w:val="99"/>
        <w:sz w:val="28"/>
        <w:szCs w:val="28"/>
        <w:lang w:val="en-US" w:eastAsia="en-US" w:bidi="ar-SA"/>
      </w:rPr>
    </w:lvl>
    <w:lvl w:ilvl="2">
      <w:start w:val="1"/>
      <w:numFmt w:val="decimal"/>
      <w:lvlText w:val="%1.%2.%3"/>
      <w:lvlJc w:val="left"/>
      <w:pPr>
        <w:ind w:left="781" w:hanging="595"/>
        <w:jc w:val="right"/>
      </w:pPr>
      <w:rPr>
        <w:rFonts w:ascii="Arial" w:eastAsia="Arial" w:hAnsi="Arial" w:cs="Arial" w:hint="default"/>
        <w:b/>
        <w:bCs/>
        <w:i w:val="0"/>
        <w:iCs w:val="0"/>
        <w:color w:val="00AEEF"/>
        <w:spacing w:val="-3"/>
        <w:w w:val="99"/>
        <w:sz w:val="20"/>
        <w:szCs w:val="20"/>
        <w:lang w:val="en-US" w:eastAsia="en-US" w:bidi="ar-SA"/>
      </w:rPr>
    </w:lvl>
    <w:lvl w:ilvl="3">
      <w:numFmt w:val="bullet"/>
      <w:lvlText w:val="•"/>
      <w:lvlJc w:val="left"/>
      <w:pPr>
        <w:ind w:left="731" w:hanging="595"/>
      </w:pPr>
      <w:rPr>
        <w:rFonts w:hint="default"/>
        <w:lang w:val="en-US" w:eastAsia="en-US" w:bidi="ar-SA"/>
      </w:rPr>
    </w:lvl>
    <w:lvl w:ilvl="4">
      <w:numFmt w:val="bullet"/>
      <w:lvlText w:val="•"/>
      <w:lvlJc w:val="left"/>
      <w:pPr>
        <w:ind w:left="637" w:hanging="595"/>
      </w:pPr>
      <w:rPr>
        <w:rFonts w:hint="default"/>
        <w:lang w:val="en-US" w:eastAsia="en-US" w:bidi="ar-SA"/>
      </w:rPr>
    </w:lvl>
    <w:lvl w:ilvl="5">
      <w:numFmt w:val="bullet"/>
      <w:lvlText w:val="•"/>
      <w:lvlJc w:val="left"/>
      <w:pPr>
        <w:ind w:left="543" w:hanging="595"/>
      </w:pPr>
      <w:rPr>
        <w:rFonts w:hint="default"/>
        <w:lang w:val="en-US" w:eastAsia="en-US" w:bidi="ar-SA"/>
      </w:rPr>
    </w:lvl>
    <w:lvl w:ilvl="6">
      <w:numFmt w:val="bullet"/>
      <w:lvlText w:val="•"/>
      <w:lvlJc w:val="left"/>
      <w:pPr>
        <w:ind w:left="449" w:hanging="595"/>
      </w:pPr>
      <w:rPr>
        <w:rFonts w:hint="default"/>
        <w:lang w:val="en-US" w:eastAsia="en-US" w:bidi="ar-SA"/>
      </w:rPr>
    </w:lvl>
    <w:lvl w:ilvl="7">
      <w:numFmt w:val="bullet"/>
      <w:lvlText w:val="•"/>
      <w:lvlJc w:val="left"/>
      <w:pPr>
        <w:ind w:left="355" w:hanging="595"/>
      </w:pPr>
      <w:rPr>
        <w:rFonts w:hint="default"/>
        <w:lang w:val="en-US" w:eastAsia="en-US" w:bidi="ar-SA"/>
      </w:rPr>
    </w:lvl>
    <w:lvl w:ilvl="8">
      <w:numFmt w:val="bullet"/>
      <w:lvlText w:val="•"/>
      <w:lvlJc w:val="left"/>
      <w:pPr>
        <w:ind w:left="261" w:hanging="595"/>
      </w:pPr>
      <w:rPr>
        <w:rFonts w:hint="default"/>
        <w:lang w:val="en-US" w:eastAsia="en-US" w:bidi="ar-SA"/>
      </w:rPr>
    </w:lvl>
  </w:abstractNum>
  <w:abstractNum w:abstractNumId="25" w15:restartNumberingAfterBreak="0">
    <w:nsid w:val="11214EB4"/>
    <w:multiLevelType w:val="hybridMultilevel"/>
    <w:tmpl w:val="36CA2E36"/>
    <w:lvl w:ilvl="0" w:tplc="2806E5E8">
      <w:numFmt w:val="bullet"/>
      <w:lvlText w:val="•"/>
      <w:lvlJc w:val="left"/>
      <w:pPr>
        <w:ind w:left="788" w:hanging="311"/>
      </w:pPr>
      <w:rPr>
        <w:rFonts w:ascii="Tahoma" w:eastAsia="Tahoma" w:hAnsi="Tahoma" w:cs="Tahoma" w:hint="default"/>
        <w:b w:val="0"/>
        <w:bCs w:val="0"/>
        <w:i w:val="0"/>
        <w:iCs w:val="0"/>
        <w:w w:val="109"/>
        <w:sz w:val="20"/>
        <w:szCs w:val="20"/>
        <w:lang w:val="en-US" w:eastAsia="en-US" w:bidi="ar-SA"/>
      </w:rPr>
    </w:lvl>
    <w:lvl w:ilvl="1" w:tplc="ACBE887E">
      <w:numFmt w:val="bullet"/>
      <w:lvlText w:val="•"/>
      <w:lvlJc w:val="left"/>
      <w:pPr>
        <w:ind w:left="1302" w:hanging="311"/>
      </w:pPr>
      <w:rPr>
        <w:rFonts w:hint="default"/>
        <w:lang w:val="en-US" w:eastAsia="en-US" w:bidi="ar-SA"/>
      </w:rPr>
    </w:lvl>
    <w:lvl w:ilvl="2" w:tplc="F196987C">
      <w:numFmt w:val="bullet"/>
      <w:lvlText w:val="•"/>
      <w:lvlJc w:val="left"/>
      <w:pPr>
        <w:ind w:left="1825" w:hanging="311"/>
      </w:pPr>
      <w:rPr>
        <w:rFonts w:hint="default"/>
        <w:lang w:val="en-US" w:eastAsia="en-US" w:bidi="ar-SA"/>
      </w:rPr>
    </w:lvl>
    <w:lvl w:ilvl="3" w:tplc="42ECE9D0">
      <w:numFmt w:val="bullet"/>
      <w:lvlText w:val="•"/>
      <w:lvlJc w:val="left"/>
      <w:pPr>
        <w:ind w:left="2347" w:hanging="311"/>
      </w:pPr>
      <w:rPr>
        <w:rFonts w:hint="default"/>
        <w:lang w:val="en-US" w:eastAsia="en-US" w:bidi="ar-SA"/>
      </w:rPr>
    </w:lvl>
    <w:lvl w:ilvl="4" w:tplc="52EA67C6">
      <w:numFmt w:val="bullet"/>
      <w:lvlText w:val="•"/>
      <w:lvlJc w:val="left"/>
      <w:pPr>
        <w:ind w:left="2870" w:hanging="311"/>
      </w:pPr>
      <w:rPr>
        <w:rFonts w:hint="default"/>
        <w:lang w:val="en-US" w:eastAsia="en-US" w:bidi="ar-SA"/>
      </w:rPr>
    </w:lvl>
    <w:lvl w:ilvl="5" w:tplc="6F7ED416">
      <w:numFmt w:val="bullet"/>
      <w:lvlText w:val="•"/>
      <w:lvlJc w:val="left"/>
      <w:pPr>
        <w:ind w:left="3392" w:hanging="311"/>
      </w:pPr>
      <w:rPr>
        <w:rFonts w:hint="default"/>
        <w:lang w:val="en-US" w:eastAsia="en-US" w:bidi="ar-SA"/>
      </w:rPr>
    </w:lvl>
    <w:lvl w:ilvl="6" w:tplc="F998FB4C">
      <w:numFmt w:val="bullet"/>
      <w:lvlText w:val="•"/>
      <w:lvlJc w:val="left"/>
      <w:pPr>
        <w:ind w:left="3915" w:hanging="311"/>
      </w:pPr>
      <w:rPr>
        <w:rFonts w:hint="default"/>
        <w:lang w:val="en-US" w:eastAsia="en-US" w:bidi="ar-SA"/>
      </w:rPr>
    </w:lvl>
    <w:lvl w:ilvl="7" w:tplc="5228567E">
      <w:numFmt w:val="bullet"/>
      <w:lvlText w:val="•"/>
      <w:lvlJc w:val="left"/>
      <w:pPr>
        <w:ind w:left="4437" w:hanging="311"/>
      </w:pPr>
      <w:rPr>
        <w:rFonts w:hint="default"/>
        <w:lang w:val="en-US" w:eastAsia="en-US" w:bidi="ar-SA"/>
      </w:rPr>
    </w:lvl>
    <w:lvl w:ilvl="8" w:tplc="B2029FA8">
      <w:numFmt w:val="bullet"/>
      <w:lvlText w:val="•"/>
      <w:lvlJc w:val="left"/>
      <w:pPr>
        <w:ind w:left="4960" w:hanging="311"/>
      </w:pPr>
      <w:rPr>
        <w:rFonts w:hint="default"/>
        <w:lang w:val="en-US" w:eastAsia="en-US" w:bidi="ar-SA"/>
      </w:rPr>
    </w:lvl>
  </w:abstractNum>
  <w:abstractNum w:abstractNumId="26" w15:restartNumberingAfterBreak="0">
    <w:nsid w:val="12045BF0"/>
    <w:multiLevelType w:val="hybridMultilevel"/>
    <w:tmpl w:val="9E2EF7BA"/>
    <w:lvl w:ilvl="0" w:tplc="5374DF8C">
      <w:start w:val="5"/>
      <w:numFmt w:val="decimal"/>
      <w:lvlText w:val="%1"/>
      <w:lvlJc w:val="left"/>
      <w:pPr>
        <w:ind w:left="471" w:hanging="185"/>
        <w:jc w:val="right"/>
      </w:pPr>
      <w:rPr>
        <w:rFonts w:ascii="Arial" w:eastAsia="Arial" w:hAnsi="Arial" w:cs="Arial" w:hint="default"/>
        <w:b w:val="0"/>
        <w:bCs w:val="0"/>
        <w:i w:val="0"/>
        <w:iCs w:val="0"/>
        <w:w w:val="99"/>
        <w:sz w:val="14"/>
        <w:szCs w:val="14"/>
        <w:lang w:val="en-US" w:eastAsia="en-US" w:bidi="ar-SA"/>
      </w:rPr>
    </w:lvl>
    <w:lvl w:ilvl="1" w:tplc="7EBEAA0C">
      <w:numFmt w:val="bullet"/>
      <w:lvlText w:val="•"/>
      <w:lvlJc w:val="left"/>
      <w:pPr>
        <w:ind w:left="1209" w:hanging="312"/>
      </w:pPr>
      <w:rPr>
        <w:rFonts w:ascii="Tahoma" w:eastAsia="Tahoma" w:hAnsi="Tahoma" w:cs="Tahoma" w:hint="default"/>
        <w:b w:val="0"/>
        <w:bCs w:val="0"/>
        <w:i w:val="0"/>
        <w:iCs w:val="0"/>
        <w:w w:val="109"/>
        <w:sz w:val="20"/>
        <w:szCs w:val="20"/>
        <w:lang w:val="en-US" w:eastAsia="en-US" w:bidi="ar-SA"/>
      </w:rPr>
    </w:lvl>
    <w:lvl w:ilvl="2" w:tplc="3CEA3A4E">
      <w:numFmt w:val="bullet"/>
      <w:lvlText w:val="•"/>
      <w:lvlJc w:val="left"/>
      <w:pPr>
        <w:ind w:left="1114" w:hanging="312"/>
      </w:pPr>
      <w:rPr>
        <w:rFonts w:hint="default"/>
        <w:lang w:val="en-US" w:eastAsia="en-US" w:bidi="ar-SA"/>
      </w:rPr>
    </w:lvl>
    <w:lvl w:ilvl="3" w:tplc="1BC00462">
      <w:numFmt w:val="bullet"/>
      <w:lvlText w:val="•"/>
      <w:lvlJc w:val="left"/>
      <w:pPr>
        <w:ind w:left="1029" w:hanging="312"/>
      </w:pPr>
      <w:rPr>
        <w:rFonts w:hint="default"/>
        <w:lang w:val="en-US" w:eastAsia="en-US" w:bidi="ar-SA"/>
      </w:rPr>
    </w:lvl>
    <w:lvl w:ilvl="4" w:tplc="8F0083F4">
      <w:numFmt w:val="bullet"/>
      <w:lvlText w:val="•"/>
      <w:lvlJc w:val="left"/>
      <w:pPr>
        <w:ind w:left="944" w:hanging="312"/>
      </w:pPr>
      <w:rPr>
        <w:rFonts w:hint="default"/>
        <w:lang w:val="en-US" w:eastAsia="en-US" w:bidi="ar-SA"/>
      </w:rPr>
    </w:lvl>
    <w:lvl w:ilvl="5" w:tplc="CD48E05C">
      <w:numFmt w:val="bullet"/>
      <w:lvlText w:val="•"/>
      <w:lvlJc w:val="left"/>
      <w:pPr>
        <w:ind w:left="859" w:hanging="312"/>
      </w:pPr>
      <w:rPr>
        <w:rFonts w:hint="default"/>
        <w:lang w:val="en-US" w:eastAsia="en-US" w:bidi="ar-SA"/>
      </w:rPr>
    </w:lvl>
    <w:lvl w:ilvl="6" w:tplc="C00E640A">
      <w:numFmt w:val="bullet"/>
      <w:lvlText w:val="•"/>
      <w:lvlJc w:val="left"/>
      <w:pPr>
        <w:ind w:left="773" w:hanging="312"/>
      </w:pPr>
      <w:rPr>
        <w:rFonts w:hint="default"/>
        <w:lang w:val="en-US" w:eastAsia="en-US" w:bidi="ar-SA"/>
      </w:rPr>
    </w:lvl>
    <w:lvl w:ilvl="7" w:tplc="5AC247AE">
      <w:numFmt w:val="bullet"/>
      <w:lvlText w:val="•"/>
      <w:lvlJc w:val="left"/>
      <w:pPr>
        <w:ind w:left="688" w:hanging="312"/>
      </w:pPr>
      <w:rPr>
        <w:rFonts w:hint="default"/>
        <w:lang w:val="en-US" w:eastAsia="en-US" w:bidi="ar-SA"/>
      </w:rPr>
    </w:lvl>
    <w:lvl w:ilvl="8" w:tplc="374A9306">
      <w:numFmt w:val="bullet"/>
      <w:lvlText w:val="•"/>
      <w:lvlJc w:val="left"/>
      <w:pPr>
        <w:ind w:left="603" w:hanging="312"/>
      </w:pPr>
      <w:rPr>
        <w:rFonts w:hint="default"/>
        <w:lang w:val="en-US" w:eastAsia="en-US" w:bidi="ar-SA"/>
      </w:rPr>
    </w:lvl>
  </w:abstractNum>
  <w:abstractNum w:abstractNumId="27" w15:restartNumberingAfterBreak="0">
    <w:nsid w:val="130725D9"/>
    <w:multiLevelType w:val="hybridMultilevel"/>
    <w:tmpl w:val="3C52921C"/>
    <w:lvl w:ilvl="0" w:tplc="ABD0F94C">
      <w:numFmt w:val="bullet"/>
      <w:lvlText w:val="•"/>
      <w:lvlJc w:val="left"/>
      <w:pPr>
        <w:ind w:left="208" w:hanging="100"/>
      </w:pPr>
      <w:rPr>
        <w:rFonts w:ascii="Tahoma" w:eastAsia="Tahoma" w:hAnsi="Tahoma" w:cs="Tahoma" w:hint="default"/>
        <w:b w:val="0"/>
        <w:bCs w:val="0"/>
        <w:i w:val="0"/>
        <w:iCs w:val="0"/>
        <w:w w:val="109"/>
        <w:sz w:val="14"/>
        <w:szCs w:val="14"/>
        <w:lang w:val="en-US" w:eastAsia="en-US" w:bidi="ar-SA"/>
      </w:rPr>
    </w:lvl>
    <w:lvl w:ilvl="1" w:tplc="60B0BD00">
      <w:numFmt w:val="bullet"/>
      <w:lvlText w:val="•"/>
      <w:lvlJc w:val="left"/>
      <w:pPr>
        <w:ind w:left="607" w:hanging="100"/>
      </w:pPr>
      <w:rPr>
        <w:rFonts w:hint="default"/>
        <w:lang w:val="en-US" w:eastAsia="en-US" w:bidi="ar-SA"/>
      </w:rPr>
    </w:lvl>
    <w:lvl w:ilvl="2" w:tplc="2D8E0736">
      <w:numFmt w:val="bullet"/>
      <w:lvlText w:val="•"/>
      <w:lvlJc w:val="left"/>
      <w:pPr>
        <w:ind w:left="1015" w:hanging="100"/>
      </w:pPr>
      <w:rPr>
        <w:rFonts w:hint="default"/>
        <w:lang w:val="en-US" w:eastAsia="en-US" w:bidi="ar-SA"/>
      </w:rPr>
    </w:lvl>
    <w:lvl w:ilvl="3" w:tplc="0E846070">
      <w:numFmt w:val="bullet"/>
      <w:lvlText w:val="•"/>
      <w:lvlJc w:val="left"/>
      <w:pPr>
        <w:ind w:left="1423" w:hanging="100"/>
      </w:pPr>
      <w:rPr>
        <w:rFonts w:hint="default"/>
        <w:lang w:val="en-US" w:eastAsia="en-US" w:bidi="ar-SA"/>
      </w:rPr>
    </w:lvl>
    <w:lvl w:ilvl="4" w:tplc="308EFE5A">
      <w:numFmt w:val="bullet"/>
      <w:lvlText w:val="•"/>
      <w:lvlJc w:val="left"/>
      <w:pPr>
        <w:ind w:left="1831" w:hanging="100"/>
      </w:pPr>
      <w:rPr>
        <w:rFonts w:hint="default"/>
        <w:lang w:val="en-US" w:eastAsia="en-US" w:bidi="ar-SA"/>
      </w:rPr>
    </w:lvl>
    <w:lvl w:ilvl="5" w:tplc="4CE083F6">
      <w:numFmt w:val="bullet"/>
      <w:lvlText w:val="•"/>
      <w:lvlJc w:val="left"/>
      <w:pPr>
        <w:ind w:left="2239" w:hanging="100"/>
      </w:pPr>
      <w:rPr>
        <w:rFonts w:hint="default"/>
        <w:lang w:val="en-US" w:eastAsia="en-US" w:bidi="ar-SA"/>
      </w:rPr>
    </w:lvl>
    <w:lvl w:ilvl="6" w:tplc="D826A4B2">
      <w:numFmt w:val="bullet"/>
      <w:lvlText w:val="•"/>
      <w:lvlJc w:val="left"/>
      <w:pPr>
        <w:ind w:left="2646" w:hanging="100"/>
      </w:pPr>
      <w:rPr>
        <w:rFonts w:hint="default"/>
        <w:lang w:val="en-US" w:eastAsia="en-US" w:bidi="ar-SA"/>
      </w:rPr>
    </w:lvl>
    <w:lvl w:ilvl="7" w:tplc="B3CE96C6">
      <w:numFmt w:val="bullet"/>
      <w:lvlText w:val="•"/>
      <w:lvlJc w:val="left"/>
      <w:pPr>
        <w:ind w:left="3054" w:hanging="100"/>
      </w:pPr>
      <w:rPr>
        <w:rFonts w:hint="default"/>
        <w:lang w:val="en-US" w:eastAsia="en-US" w:bidi="ar-SA"/>
      </w:rPr>
    </w:lvl>
    <w:lvl w:ilvl="8" w:tplc="A4EEC9FC">
      <w:numFmt w:val="bullet"/>
      <w:lvlText w:val="•"/>
      <w:lvlJc w:val="left"/>
      <w:pPr>
        <w:ind w:left="3462" w:hanging="100"/>
      </w:pPr>
      <w:rPr>
        <w:rFonts w:hint="default"/>
        <w:lang w:val="en-US" w:eastAsia="en-US" w:bidi="ar-SA"/>
      </w:rPr>
    </w:lvl>
  </w:abstractNum>
  <w:abstractNum w:abstractNumId="28" w15:restartNumberingAfterBreak="0">
    <w:nsid w:val="16422430"/>
    <w:multiLevelType w:val="multilevel"/>
    <w:tmpl w:val="E9029234"/>
    <w:lvl w:ilvl="0">
      <w:start w:val="3"/>
      <w:numFmt w:val="decimal"/>
      <w:lvlText w:val="%1"/>
      <w:lvlJc w:val="left"/>
      <w:pPr>
        <w:ind w:left="672" w:hanging="486"/>
        <w:jc w:val="left"/>
      </w:pPr>
      <w:rPr>
        <w:rFonts w:hint="default"/>
        <w:lang w:val="en-US" w:eastAsia="en-US" w:bidi="ar-SA"/>
      </w:rPr>
    </w:lvl>
    <w:lvl w:ilvl="1">
      <w:start w:val="4"/>
      <w:numFmt w:val="decimal"/>
      <w:lvlText w:val="%1.%2"/>
      <w:lvlJc w:val="left"/>
      <w:pPr>
        <w:ind w:left="672" w:hanging="486"/>
        <w:jc w:val="left"/>
      </w:pPr>
      <w:rPr>
        <w:rFonts w:hint="default"/>
        <w:lang w:val="en-US" w:eastAsia="en-US" w:bidi="ar-SA"/>
      </w:rPr>
    </w:lvl>
    <w:lvl w:ilvl="2">
      <w:start w:val="1"/>
      <w:numFmt w:val="decimal"/>
      <w:lvlText w:val="%1.%2.%3"/>
      <w:lvlJc w:val="left"/>
      <w:pPr>
        <w:ind w:left="672" w:hanging="486"/>
        <w:jc w:val="left"/>
      </w:pPr>
      <w:rPr>
        <w:rFonts w:ascii="Arial" w:eastAsia="Arial" w:hAnsi="Arial" w:cs="Arial" w:hint="default"/>
        <w:b/>
        <w:bCs/>
        <w:i w:val="0"/>
        <w:iCs w:val="0"/>
        <w:color w:val="EC008C"/>
        <w:spacing w:val="-3"/>
        <w:w w:val="99"/>
        <w:sz w:val="20"/>
        <w:szCs w:val="20"/>
        <w:lang w:val="en-US" w:eastAsia="en-US" w:bidi="ar-SA"/>
      </w:rPr>
    </w:lvl>
    <w:lvl w:ilvl="3">
      <w:numFmt w:val="bullet"/>
      <w:lvlText w:val="•"/>
      <w:lvlJc w:val="left"/>
      <w:pPr>
        <w:ind w:left="470" w:hanging="284"/>
      </w:pPr>
      <w:rPr>
        <w:rFonts w:ascii="Tahoma" w:eastAsia="Tahoma" w:hAnsi="Tahoma" w:cs="Tahoma" w:hint="default"/>
        <w:b w:val="0"/>
        <w:bCs w:val="0"/>
        <w:i w:val="0"/>
        <w:iCs w:val="0"/>
        <w:w w:val="109"/>
        <w:sz w:val="20"/>
        <w:szCs w:val="20"/>
        <w:lang w:val="en-US" w:eastAsia="en-US" w:bidi="ar-SA"/>
      </w:rPr>
    </w:lvl>
    <w:lvl w:ilvl="4">
      <w:numFmt w:val="bullet"/>
      <w:lvlText w:val="•"/>
      <w:lvlJc w:val="left"/>
      <w:pPr>
        <w:ind w:left="2115" w:hanging="284"/>
      </w:pPr>
      <w:rPr>
        <w:rFonts w:hint="default"/>
        <w:lang w:val="en-US" w:eastAsia="en-US" w:bidi="ar-SA"/>
      </w:rPr>
    </w:lvl>
    <w:lvl w:ilvl="5">
      <w:numFmt w:val="bullet"/>
      <w:lvlText w:val="•"/>
      <w:lvlJc w:val="left"/>
      <w:pPr>
        <w:ind w:left="2594" w:hanging="284"/>
      </w:pPr>
      <w:rPr>
        <w:rFonts w:hint="default"/>
        <w:lang w:val="en-US" w:eastAsia="en-US" w:bidi="ar-SA"/>
      </w:rPr>
    </w:lvl>
    <w:lvl w:ilvl="6">
      <w:numFmt w:val="bullet"/>
      <w:lvlText w:val="•"/>
      <w:lvlJc w:val="left"/>
      <w:pPr>
        <w:ind w:left="3072" w:hanging="284"/>
      </w:pPr>
      <w:rPr>
        <w:rFonts w:hint="default"/>
        <w:lang w:val="en-US" w:eastAsia="en-US" w:bidi="ar-SA"/>
      </w:rPr>
    </w:lvl>
    <w:lvl w:ilvl="7">
      <w:numFmt w:val="bullet"/>
      <w:lvlText w:val="•"/>
      <w:lvlJc w:val="left"/>
      <w:pPr>
        <w:ind w:left="3551" w:hanging="284"/>
      </w:pPr>
      <w:rPr>
        <w:rFonts w:hint="default"/>
        <w:lang w:val="en-US" w:eastAsia="en-US" w:bidi="ar-SA"/>
      </w:rPr>
    </w:lvl>
    <w:lvl w:ilvl="8">
      <w:numFmt w:val="bullet"/>
      <w:lvlText w:val="•"/>
      <w:lvlJc w:val="left"/>
      <w:pPr>
        <w:ind w:left="4029" w:hanging="284"/>
      </w:pPr>
      <w:rPr>
        <w:rFonts w:hint="default"/>
        <w:lang w:val="en-US" w:eastAsia="en-US" w:bidi="ar-SA"/>
      </w:rPr>
    </w:lvl>
  </w:abstractNum>
  <w:abstractNum w:abstractNumId="29" w15:restartNumberingAfterBreak="0">
    <w:nsid w:val="16D0590B"/>
    <w:multiLevelType w:val="multilevel"/>
    <w:tmpl w:val="5F467E9C"/>
    <w:lvl w:ilvl="0">
      <w:start w:val="3"/>
      <w:numFmt w:val="decimal"/>
      <w:lvlText w:val="%1"/>
      <w:lvlJc w:val="left"/>
      <w:pPr>
        <w:ind w:left="852" w:hanging="486"/>
        <w:jc w:val="left"/>
      </w:pPr>
      <w:rPr>
        <w:rFonts w:hint="default"/>
        <w:lang w:val="en-US" w:eastAsia="en-US" w:bidi="ar-SA"/>
      </w:rPr>
    </w:lvl>
    <w:lvl w:ilvl="1">
      <w:start w:val="2"/>
      <w:numFmt w:val="decimal"/>
      <w:lvlText w:val="%1.%2"/>
      <w:lvlJc w:val="left"/>
      <w:pPr>
        <w:ind w:left="852" w:hanging="486"/>
        <w:jc w:val="left"/>
      </w:pPr>
      <w:rPr>
        <w:rFonts w:hint="default"/>
        <w:lang w:val="en-US" w:eastAsia="en-US" w:bidi="ar-SA"/>
      </w:rPr>
    </w:lvl>
    <w:lvl w:ilvl="2">
      <w:start w:val="2"/>
      <w:numFmt w:val="decimal"/>
      <w:lvlText w:val="%1.%2.%3"/>
      <w:lvlJc w:val="left"/>
      <w:pPr>
        <w:ind w:left="852" w:hanging="486"/>
        <w:jc w:val="right"/>
      </w:pPr>
      <w:rPr>
        <w:rFonts w:ascii="Arial" w:eastAsia="Arial" w:hAnsi="Arial" w:cs="Arial" w:hint="default"/>
        <w:b/>
        <w:bCs/>
        <w:i w:val="0"/>
        <w:iCs w:val="0"/>
        <w:color w:val="EC008C"/>
        <w:spacing w:val="-3"/>
        <w:w w:val="99"/>
        <w:sz w:val="20"/>
        <w:szCs w:val="20"/>
        <w:lang w:val="en-US" w:eastAsia="en-US" w:bidi="ar-SA"/>
      </w:rPr>
    </w:lvl>
    <w:lvl w:ilvl="3">
      <w:numFmt w:val="bullet"/>
      <w:lvlText w:val="•"/>
      <w:lvlJc w:val="left"/>
      <w:pPr>
        <w:ind w:left="526" w:hanging="284"/>
      </w:pPr>
      <w:rPr>
        <w:rFonts w:ascii="Tahoma" w:eastAsia="Tahoma" w:hAnsi="Tahoma" w:cs="Tahoma" w:hint="default"/>
        <w:b w:val="0"/>
        <w:bCs w:val="0"/>
        <w:i w:val="0"/>
        <w:iCs w:val="0"/>
        <w:w w:val="109"/>
        <w:sz w:val="20"/>
        <w:szCs w:val="20"/>
        <w:lang w:val="en-US" w:eastAsia="en-US" w:bidi="ar-SA"/>
      </w:rPr>
    </w:lvl>
    <w:lvl w:ilvl="4">
      <w:numFmt w:val="bullet"/>
      <w:lvlText w:val="•"/>
      <w:lvlJc w:val="left"/>
      <w:pPr>
        <w:ind w:left="612" w:hanging="284"/>
      </w:pPr>
      <w:rPr>
        <w:rFonts w:hint="default"/>
        <w:lang w:val="en-US" w:eastAsia="en-US" w:bidi="ar-SA"/>
      </w:rPr>
    </w:lvl>
    <w:lvl w:ilvl="5">
      <w:numFmt w:val="bullet"/>
      <w:lvlText w:val="•"/>
      <w:lvlJc w:val="left"/>
      <w:pPr>
        <w:ind w:left="529" w:hanging="284"/>
      </w:pPr>
      <w:rPr>
        <w:rFonts w:hint="default"/>
        <w:lang w:val="en-US" w:eastAsia="en-US" w:bidi="ar-SA"/>
      </w:rPr>
    </w:lvl>
    <w:lvl w:ilvl="6">
      <w:numFmt w:val="bullet"/>
      <w:lvlText w:val="•"/>
      <w:lvlJc w:val="left"/>
      <w:pPr>
        <w:ind w:left="447" w:hanging="284"/>
      </w:pPr>
      <w:rPr>
        <w:rFonts w:hint="default"/>
        <w:lang w:val="en-US" w:eastAsia="en-US" w:bidi="ar-SA"/>
      </w:rPr>
    </w:lvl>
    <w:lvl w:ilvl="7">
      <w:numFmt w:val="bullet"/>
      <w:lvlText w:val="•"/>
      <w:lvlJc w:val="left"/>
      <w:pPr>
        <w:ind w:left="364" w:hanging="284"/>
      </w:pPr>
      <w:rPr>
        <w:rFonts w:hint="default"/>
        <w:lang w:val="en-US" w:eastAsia="en-US" w:bidi="ar-SA"/>
      </w:rPr>
    </w:lvl>
    <w:lvl w:ilvl="8">
      <w:numFmt w:val="bullet"/>
      <w:lvlText w:val="•"/>
      <w:lvlJc w:val="left"/>
      <w:pPr>
        <w:ind w:left="282" w:hanging="284"/>
      </w:pPr>
      <w:rPr>
        <w:rFonts w:hint="default"/>
        <w:lang w:val="en-US" w:eastAsia="en-US" w:bidi="ar-SA"/>
      </w:rPr>
    </w:lvl>
  </w:abstractNum>
  <w:abstractNum w:abstractNumId="30" w15:restartNumberingAfterBreak="0">
    <w:nsid w:val="17D753EB"/>
    <w:multiLevelType w:val="multilevel"/>
    <w:tmpl w:val="CC4E5E32"/>
    <w:lvl w:ilvl="0">
      <w:start w:val="4"/>
      <w:numFmt w:val="decimal"/>
      <w:lvlText w:val="%1"/>
      <w:lvlJc w:val="left"/>
      <w:pPr>
        <w:ind w:left="972" w:hanging="480"/>
        <w:jc w:val="left"/>
      </w:pPr>
      <w:rPr>
        <w:rFonts w:hint="default"/>
        <w:lang w:val="en-US" w:eastAsia="en-US" w:bidi="ar-SA"/>
      </w:rPr>
    </w:lvl>
    <w:lvl w:ilvl="1">
      <w:numFmt w:val="decimal"/>
      <w:lvlText w:val="%1.%2"/>
      <w:lvlJc w:val="left"/>
      <w:pPr>
        <w:ind w:left="972" w:hanging="480"/>
        <w:jc w:val="left"/>
      </w:pPr>
      <w:rPr>
        <w:rFonts w:hint="default"/>
        <w:w w:val="99"/>
        <w:lang w:val="en-US" w:eastAsia="en-US" w:bidi="ar-SA"/>
      </w:rPr>
    </w:lvl>
    <w:lvl w:ilvl="2">
      <w:numFmt w:val="bullet"/>
      <w:lvlText w:val="•"/>
      <w:lvlJc w:val="left"/>
      <w:pPr>
        <w:ind w:left="1812" w:hanging="480"/>
      </w:pPr>
      <w:rPr>
        <w:rFonts w:hint="default"/>
        <w:lang w:val="en-US" w:eastAsia="en-US" w:bidi="ar-SA"/>
      </w:rPr>
    </w:lvl>
    <w:lvl w:ilvl="3">
      <w:numFmt w:val="bullet"/>
      <w:lvlText w:val="•"/>
      <w:lvlJc w:val="left"/>
      <w:pPr>
        <w:ind w:left="2228" w:hanging="480"/>
      </w:pPr>
      <w:rPr>
        <w:rFonts w:hint="default"/>
        <w:lang w:val="en-US" w:eastAsia="en-US" w:bidi="ar-SA"/>
      </w:rPr>
    </w:lvl>
    <w:lvl w:ilvl="4">
      <w:numFmt w:val="bullet"/>
      <w:lvlText w:val="•"/>
      <w:lvlJc w:val="left"/>
      <w:pPr>
        <w:ind w:left="2644" w:hanging="480"/>
      </w:pPr>
      <w:rPr>
        <w:rFonts w:hint="default"/>
        <w:lang w:val="en-US" w:eastAsia="en-US" w:bidi="ar-SA"/>
      </w:rPr>
    </w:lvl>
    <w:lvl w:ilvl="5">
      <w:numFmt w:val="bullet"/>
      <w:lvlText w:val="•"/>
      <w:lvlJc w:val="left"/>
      <w:pPr>
        <w:ind w:left="3060" w:hanging="480"/>
      </w:pPr>
      <w:rPr>
        <w:rFonts w:hint="default"/>
        <w:lang w:val="en-US" w:eastAsia="en-US" w:bidi="ar-SA"/>
      </w:rPr>
    </w:lvl>
    <w:lvl w:ilvl="6">
      <w:numFmt w:val="bullet"/>
      <w:lvlText w:val="•"/>
      <w:lvlJc w:val="left"/>
      <w:pPr>
        <w:ind w:left="3476" w:hanging="480"/>
      </w:pPr>
      <w:rPr>
        <w:rFonts w:hint="default"/>
        <w:lang w:val="en-US" w:eastAsia="en-US" w:bidi="ar-SA"/>
      </w:rPr>
    </w:lvl>
    <w:lvl w:ilvl="7">
      <w:numFmt w:val="bullet"/>
      <w:lvlText w:val="•"/>
      <w:lvlJc w:val="left"/>
      <w:pPr>
        <w:ind w:left="3892" w:hanging="480"/>
      </w:pPr>
      <w:rPr>
        <w:rFonts w:hint="default"/>
        <w:lang w:val="en-US" w:eastAsia="en-US" w:bidi="ar-SA"/>
      </w:rPr>
    </w:lvl>
    <w:lvl w:ilvl="8">
      <w:numFmt w:val="bullet"/>
      <w:lvlText w:val="•"/>
      <w:lvlJc w:val="left"/>
      <w:pPr>
        <w:ind w:left="4308" w:hanging="480"/>
      </w:pPr>
      <w:rPr>
        <w:rFonts w:hint="default"/>
        <w:lang w:val="en-US" w:eastAsia="en-US" w:bidi="ar-SA"/>
      </w:rPr>
    </w:lvl>
  </w:abstractNum>
  <w:abstractNum w:abstractNumId="31" w15:restartNumberingAfterBreak="0">
    <w:nsid w:val="180B1440"/>
    <w:multiLevelType w:val="hybridMultilevel"/>
    <w:tmpl w:val="023887DA"/>
    <w:lvl w:ilvl="0" w:tplc="42C861C4">
      <w:start w:val="10"/>
      <w:numFmt w:val="decimal"/>
      <w:lvlText w:val="%1"/>
      <w:lvlJc w:val="left"/>
      <w:pPr>
        <w:ind w:left="256" w:hanging="257"/>
        <w:jc w:val="left"/>
      </w:pPr>
      <w:rPr>
        <w:rFonts w:ascii="Arial" w:eastAsia="Arial" w:hAnsi="Arial" w:cs="Arial" w:hint="default"/>
        <w:b/>
        <w:bCs/>
        <w:i w:val="0"/>
        <w:iCs w:val="0"/>
        <w:w w:val="99"/>
        <w:sz w:val="13"/>
        <w:szCs w:val="13"/>
        <w:lang w:val="en-US" w:eastAsia="en-US" w:bidi="ar-SA"/>
      </w:rPr>
    </w:lvl>
    <w:lvl w:ilvl="1" w:tplc="140EA9E2">
      <w:numFmt w:val="bullet"/>
      <w:lvlText w:val="•"/>
      <w:lvlJc w:val="left"/>
      <w:pPr>
        <w:ind w:left="455" w:hanging="257"/>
      </w:pPr>
      <w:rPr>
        <w:rFonts w:hint="default"/>
        <w:lang w:val="en-US" w:eastAsia="en-US" w:bidi="ar-SA"/>
      </w:rPr>
    </w:lvl>
    <w:lvl w:ilvl="2" w:tplc="EC52AF7A">
      <w:numFmt w:val="bullet"/>
      <w:lvlText w:val="•"/>
      <w:lvlJc w:val="left"/>
      <w:pPr>
        <w:ind w:left="650" w:hanging="257"/>
      </w:pPr>
      <w:rPr>
        <w:rFonts w:hint="default"/>
        <w:lang w:val="en-US" w:eastAsia="en-US" w:bidi="ar-SA"/>
      </w:rPr>
    </w:lvl>
    <w:lvl w:ilvl="3" w:tplc="8BE8C6A2">
      <w:numFmt w:val="bullet"/>
      <w:lvlText w:val="•"/>
      <w:lvlJc w:val="left"/>
      <w:pPr>
        <w:ind w:left="846" w:hanging="257"/>
      </w:pPr>
      <w:rPr>
        <w:rFonts w:hint="default"/>
        <w:lang w:val="en-US" w:eastAsia="en-US" w:bidi="ar-SA"/>
      </w:rPr>
    </w:lvl>
    <w:lvl w:ilvl="4" w:tplc="DBC0159A">
      <w:numFmt w:val="bullet"/>
      <w:lvlText w:val="•"/>
      <w:lvlJc w:val="left"/>
      <w:pPr>
        <w:ind w:left="1041" w:hanging="257"/>
      </w:pPr>
      <w:rPr>
        <w:rFonts w:hint="default"/>
        <w:lang w:val="en-US" w:eastAsia="en-US" w:bidi="ar-SA"/>
      </w:rPr>
    </w:lvl>
    <w:lvl w:ilvl="5" w:tplc="3D382082">
      <w:numFmt w:val="bullet"/>
      <w:lvlText w:val="•"/>
      <w:lvlJc w:val="left"/>
      <w:pPr>
        <w:ind w:left="1237" w:hanging="257"/>
      </w:pPr>
      <w:rPr>
        <w:rFonts w:hint="default"/>
        <w:lang w:val="en-US" w:eastAsia="en-US" w:bidi="ar-SA"/>
      </w:rPr>
    </w:lvl>
    <w:lvl w:ilvl="6" w:tplc="77BAB5C4">
      <w:numFmt w:val="bullet"/>
      <w:lvlText w:val="•"/>
      <w:lvlJc w:val="left"/>
      <w:pPr>
        <w:ind w:left="1432" w:hanging="257"/>
      </w:pPr>
      <w:rPr>
        <w:rFonts w:hint="default"/>
        <w:lang w:val="en-US" w:eastAsia="en-US" w:bidi="ar-SA"/>
      </w:rPr>
    </w:lvl>
    <w:lvl w:ilvl="7" w:tplc="955695AC">
      <w:numFmt w:val="bullet"/>
      <w:lvlText w:val="•"/>
      <w:lvlJc w:val="left"/>
      <w:pPr>
        <w:ind w:left="1628" w:hanging="257"/>
      </w:pPr>
      <w:rPr>
        <w:rFonts w:hint="default"/>
        <w:lang w:val="en-US" w:eastAsia="en-US" w:bidi="ar-SA"/>
      </w:rPr>
    </w:lvl>
    <w:lvl w:ilvl="8" w:tplc="55725A3C">
      <w:numFmt w:val="bullet"/>
      <w:lvlText w:val="•"/>
      <w:lvlJc w:val="left"/>
      <w:pPr>
        <w:ind w:left="1823" w:hanging="257"/>
      </w:pPr>
      <w:rPr>
        <w:rFonts w:hint="default"/>
        <w:lang w:val="en-US" w:eastAsia="en-US" w:bidi="ar-SA"/>
      </w:rPr>
    </w:lvl>
  </w:abstractNum>
  <w:abstractNum w:abstractNumId="32" w15:restartNumberingAfterBreak="0">
    <w:nsid w:val="180D68B0"/>
    <w:multiLevelType w:val="hybridMultilevel"/>
    <w:tmpl w:val="E070E2DA"/>
    <w:lvl w:ilvl="0" w:tplc="7572F408">
      <w:numFmt w:val="bullet"/>
      <w:lvlText w:val="–"/>
      <w:lvlJc w:val="left"/>
      <w:pPr>
        <w:ind w:left="151" w:hanging="96"/>
      </w:pPr>
      <w:rPr>
        <w:rFonts w:ascii="Arial" w:eastAsia="Arial" w:hAnsi="Arial" w:cs="Arial" w:hint="default"/>
        <w:b w:val="0"/>
        <w:bCs w:val="0"/>
        <w:i w:val="0"/>
        <w:iCs w:val="0"/>
        <w:w w:val="89"/>
        <w:sz w:val="14"/>
        <w:szCs w:val="14"/>
        <w:lang w:val="en-US" w:eastAsia="en-US" w:bidi="ar-SA"/>
      </w:rPr>
    </w:lvl>
    <w:lvl w:ilvl="1" w:tplc="9620C824">
      <w:numFmt w:val="bullet"/>
      <w:lvlText w:val="•"/>
      <w:lvlJc w:val="left"/>
      <w:pPr>
        <w:ind w:left="302" w:hanging="96"/>
      </w:pPr>
      <w:rPr>
        <w:rFonts w:hint="default"/>
        <w:lang w:val="en-US" w:eastAsia="en-US" w:bidi="ar-SA"/>
      </w:rPr>
    </w:lvl>
    <w:lvl w:ilvl="2" w:tplc="9C9810F2">
      <w:numFmt w:val="bullet"/>
      <w:lvlText w:val="•"/>
      <w:lvlJc w:val="left"/>
      <w:pPr>
        <w:ind w:left="445" w:hanging="96"/>
      </w:pPr>
      <w:rPr>
        <w:rFonts w:hint="default"/>
        <w:lang w:val="en-US" w:eastAsia="en-US" w:bidi="ar-SA"/>
      </w:rPr>
    </w:lvl>
    <w:lvl w:ilvl="3" w:tplc="8E50271C">
      <w:numFmt w:val="bullet"/>
      <w:lvlText w:val="•"/>
      <w:lvlJc w:val="left"/>
      <w:pPr>
        <w:ind w:left="588" w:hanging="96"/>
      </w:pPr>
      <w:rPr>
        <w:rFonts w:hint="default"/>
        <w:lang w:val="en-US" w:eastAsia="en-US" w:bidi="ar-SA"/>
      </w:rPr>
    </w:lvl>
    <w:lvl w:ilvl="4" w:tplc="A468DD34">
      <w:numFmt w:val="bullet"/>
      <w:lvlText w:val="•"/>
      <w:lvlJc w:val="left"/>
      <w:pPr>
        <w:ind w:left="730" w:hanging="96"/>
      </w:pPr>
      <w:rPr>
        <w:rFonts w:hint="default"/>
        <w:lang w:val="en-US" w:eastAsia="en-US" w:bidi="ar-SA"/>
      </w:rPr>
    </w:lvl>
    <w:lvl w:ilvl="5" w:tplc="D4EA9B6A">
      <w:numFmt w:val="bullet"/>
      <w:lvlText w:val="•"/>
      <w:lvlJc w:val="left"/>
      <w:pPr>
        <w:ind w:left="873" w:hanging="96"/>
      </w:pPr>
      <w:rPr>
        <w:rFonts w:hint="default"/>
        <w:lang w:val="en-US" w:eastAsia="en-US" w:bidi="ar-SA"/>
      </w:rPr>
    </w:lvl>
    <w:lvl w:ilvl="6" w:tplc="B6D2320A">
      <w:numFmt w:val="bullet"/>
      <w:lvlText w:val="•"/>
      <w:lvlJc w:val="left"/>
      <w:pPr>
        <w:ind w:left="1016" w:hanging="96"/>
      </w:pPr>
      <w:rPr>
        <w:rFonts w:hint="default"/>
        <w:lang w:val="en-US" w:eastAsia="en-US" w:bidi="ar-SA"/>
      </w:rPr>
    </w:lvl>
    <w:lvl w:ilvl="7" w:tplc="32F2CF6C">
      <w:numFmt w:val="bullet"/>
      <w:lvlText w:val="•"/>
      <w:lvlJc w:val="left"/>
      <w:pPr>
        <w:ind w:left="1159" w:hanging="96"/>
      </w:pPr>
      <w:rPr>
        <w:rFonts w:hint="default"/>
        <w:lang w:val="en-US" w:eastAsia="en-US" w:bidi="ar-SA"/>
      </w:rPr>
    </w:lvl>
    <w:lvl w:ilvl="8" w:tplc="067079F8">
      <w:numFmt w:val="bullet"/>
      <w:lvlText w:val="•"/>
      <w:lvlJc w:val="left"/>
      <w:pPr>
        <w:ind w:left="1301" w:hanging="96"/>
      </w:pPr>
      <w:rPr>
        <w:rFonts w:hint="default"/>
        <w:lang w:val="en-US" w:eastAsia="en-US" w:bidi="ar-SA"/>
      </w:rPr>
    </w:lvl>
  </w:abstractNum>
  <w:abstractNum w:abstractNumId="33" w15:restartNumberingAfterBreak="0">
    <w:nsid w:val="18133730"/>
    <w:multiLevelType w:val="hybridMultilevel"/>
    <w:tmpl w:val="EEB4FB8C"/>
    <w:lvl w:ilvl="0" w:tplc="EA88E8B0">
      <w:start w:val="7"/>
      <w:numFmt w:val="decimal"/>
      <w:lvlText w:val="%1"/>
      <w:lvlJc w:val="left"/>
      <w:pPr>
        <w:ind w:left="220" w:hanging="221"/>
        <w:jc w:val="left"/>
      </w:pPr>
      <w:rPr>
        <w:rFonts w:ascii="Arial" w:eastAsia="Arial" w:hAnsi="Arial" w:cs="Arial" w:hint="default"/>
        <w:b/>
        <w:bCs/>
        <w:i w:val="0"/>
        <w:iCs w:val="0"/>
        <w:w w:val="99"/>
        <w:sz w:val="13"/>
        <w:szCs w:val="13"/>
        <w:lang w:val="en-US" w:eastAsia="en-US" w:bidi="ar-SA"/>
      </w:rPr>
    </w:lvl>
    <w:lvl w:ilvl="1" w:tplc="45D6710E">
      <w:numFmt w:val="bullet"/>
      <w:lvlText w:val="•"/>
      <w:lvlJc w:val="left"/>
      <w:pPr>
        <w:ind w:left="388" w:hanging="221"/>
      </w:pPr>
      <w:rPr>
        <w:rFonts w:hint="default"/>
        <w:lang w:val="en-US" w:eastAsia="en-US" w:bidi="ar-SA"/>
      </w:rPr>
    </w:lvl>
    <w:lvl w:ilvl="2" w:tplc="A87E6F6A">
      <w:numFmt w:val="bullet"/>
      <w:lvlText w:val="•"/>
      <w:lvlJc w:val="left"/>
      <w:pPr>
        <w:ind w:left="557" w:hanging="221"/>
      </w:pPr>
      <w:rPr>
        <w:rFonts w:hint="default"/>
        <w:lang w:val="en-US" w:eastAsia="en-US" w:bidi="ar-SA"/>
      </w:rPr>
    </w:lvl>
    <w:lvl w:ilvl="3" w:tplc="9DA662D4">
      <w:numFmt w:val="bullet"/>
      <w:lvlText w:val="•"/>
      <w:lvlJc w:val="left"/>
      <w:pPr>
        <w:ind w:left="725" w:hanging="221"/>
      </w:pPr>
      <w:rPr>
        <w:rFonts w:hint="default"/>
        <w:lang w:val="en-US" w:eastAsia="en-US" w:bidi="ar-SA"/>
      </w:rPr>
    </w:lvl>
    <w:lvl w:ilvl="4" w:tplc="B94298BE">
      <w:numFmt w:val="bullet"/>
      <w:lvlText w:val="•"/>
      <w:lvlJc w:val="left"/>
      <w:pPr>
        <w:ind w:left="894" w:hanging="221"/>
      </w:pPr>
      <w:rPr>
        <w:rFonts w:hint="default"/>
        <w:lang w:val="en-US" w:eastAsia="en-US" w:bidi="ar-SA"/>
      </w:rPr>
    </w:lvl>
    <w:lvl w:ilvl="5" w:tplc="172E9258">
      <w:numFmt w:val="bullet"/>
      <w:lvlText w:val="•"/>
      <w:lvlJc w:val="left"/>
      <w:pPr>
        <w:ind w:left="1062" w:hanging="221"/>
      </w:pPr>
      <w:rPr>
        <w:rFonts w:hint="default"/>
        <w:lang w:val="en-US" w:eastAsia="en-US" w:bidi="ar-SA"/>
      </w:rPr>
    </w:lvl>
    <w:lvl w:ilvl="6" w:tplc="CFDE03E6">
      <w:numFmt w:val="bullet"/>
      <w:lvlText w:val="•"/>
      <w:lvlJc w:val="left"/>
      <w:pPr>
        <w:ind w:left="1231" w:hanging="221"/>
      </w:pPr>
      <w:rPr>
        <w:rFonts w:hint="default"/>
        <w:lang w:val="en-US" w:eastAsia="en-US" w:bidi="ar-SA"/>
      </w:rPr>
    </w:lvl>
    <w:lvl w:ilvl="7" w:tplc="CFCC7306">
      <w:numFmt w:val="bullet"/>
      <w:lvlText w:val="•"/>
      <w:lvlJc w:val="left"/>
      <w:pPr>
        <w:ind w:left="1400" w:hanging="221"/>
      </w:pPr>
      <w:rPr>
        <w:rFonts w:hint="default"/>
        <w:lang w:val="en-US" w:eastAsia="en-US" w:bidi="ar-SA"/>
      </w:rPr>
    </w:lvl>
    <w:lvl w:ilvl="8" w:tplc="31C827B0">
      <w:numFmt w:val="bullet"/>
      <w:lvlText w:val="•"/>
      <w:lvlJc w:val="left"/>
      <w:pPr>
        <w:ind w:left="1568" w:hanging="221"/>
      </w:pPr>
      <w:rPr>
        <w:rFonts w:hint="default"/>
        <w:lang w:val="en-US" w:eastAsia="en-US" w:bidi="ar-SA"/>
      </w:rPr>
    </w:lvl>
  </w:abstractNum>
  <w:abstractNum w:abstractNumId="34" w15:restartNumberingAfterBreak="0">
    <w:nsid w:val="18D27737"/>
    <w:multiLevelType w:val="hybridMultilevel"/>
    <w:tmpl w:val="902EA598"/>
    <w:lvl w:ilvl="0" w:tplc="374A9B08">
      <w:numFmt w:val="bullet"/>
      <w:lvlText w:val="–"/>
      <w:lvlJc w:val="left"/>
      <w:pPr>
        <w:ind w:left="252" w:hanging="142"/>
      </w:pPr>
      <w:rPr>
        <w:rFonts w:ascii="Arial" w:eastAsia="Arial" w:hAnsi="Arial" w:cs="Arial" w:hint="default"/>
        <w:b w:val="0"/>
        <w:bCs w:val="0"/>
        <w:i w:val="0"/>
        <w:iCs w:val="0"/>
        <w:w w:val="89"/>
        <w:sz w:val="16"/>
        <w:szCs w:val="16"/>
        <w:lang w:val="en-US" w:eastAsia="en-US" w:bidi="ar-SA"/>
      </w:rPr>
    </w:lvl>
    <w:lvl w:ilvl="1" w:tplc="0A5A88FA">
      <w:numFmt w:val="bullet"/>
      <w:lvlText w:val="•"/>
      <w:lvlJc w:val="left"/>
      <w:pPr>
        <w:ind w:left="1127" w:hanging="142"/>
      </w:pPr>
      <w:rPr>
        <w:rFonts w:hint="default"/>
        <w:lang w:val="en-US" w:eastAsia="en-US" w:bidi="ar-SA"/>
      </w:rPr>
    </w:lvl>
    <w:lvl w:ilvl="2" w:tplc="7A70BCAE">
      <w:numFmt w:val="bullet"/>
      <w:lvlText w:val="•"/>
      <w:lvlJc w:val="left"/>
      <w:pPr>
        <w:ind w:left="1995" w:hanging="142"/>
      </w:pPr>
      <w:rPr>
        <w:rFonts w:hint="default"/>
        <w:lang w:val="en-US" w:eastAsia="en-US" w:bidi="ar-SA"/>
      </w:rPr>
    </w:lvl>
    <w:lvl w:ilvl="3" w:tplc="F37C71F8">
      <w:numFmt w:val="bullet"/>
      <w:lvlText w:val="•"/>
      <w:lvlJc w:val="left"/>
      <w:pPr>
        <w:ind w:left="2863" w:hanging="142"/>
      </w:pPr>
      <w:rPr>
        <w:rFonts w:hint="default"/>
        <w:lang w:val="en-US" w:eastAsia="en-US" w:bidi="ar-SA"/>
      </w:rPr>
    </w:lvl>
    <w:lvl w:ilvl="4" w:tplc="A1B8C09C">
      <w:numFmt w:val="bullet"/>
      <w:lvlText w:val="•"/>
      <w:lvlJc w:val="left"/>
      <w:pPr>
        <w:ind w:left="3731" w:hanging="142"/>
      </w:pPr>
      <w:rPr>
        <w:rFonts w:hint="default"/>
        <w:lang w:val="en-US" w:eastAsia="en-US" w:bidi="ar-SA"/>
      </w:rPr>
    </w:lvl>
    <w:lvl w:ilvl="5" w:tplc="A27CD97A">
      <w:numFmt w:val="bullet"/>
      <w:lvlText w:val="•"/>
      <w:lvlJc w:val="left"/>
      <w:pPr>
        <w:ind w:left="4599" w:hanging="142"/>
      </w:pPr>
      <w:rPr>
        <w:rFonts w:hint="default"/>
        <w:lang w:val="en-US" w:eastAsia="en-US" w:bidi="ar-SA"/>
      </w:rPr>
    </w:lvl>
    <w:lvl w:ilvl="6" w:tplc="CB7AB5E6">
      <w:numFmt w:val="bullet"/>
      <w:lvlText w:val="•"/>
      <w:lvlJc w:val="left"/>
      <w:pPr>
        <w:ind w:left="5467" w:hanging="142"/>
      </w:pPr>
      <w:rPr>
        <w:rFonts w:hint="default"/>
        <w:lang w:val="en-US" w:eastAsia="en-US" w:bidi="ar-SA"/>
      </w:rPr>
    </w:lvl>
    <w:lvl w:ilvl="7" w:tplc="BDE46A54">
      <w:numFmt w:val="bullet"/>
      <w:lvlText w:val="•"/>
      <w:lvlJc w:val="left"/>
      <w:pPr>
        <w:ind w:left="6335" w:hanging="142"/>
      </w:pPr>
      <w:rPr>
        <w:rFonts w:hint="default"/>
        <w:lang w:val="en-US" w:eastAsia="en-US" w:bidi="ar-SA"/>
      </w:rPr>
    </w:lvl>
    <w:lvl w:ilvl="8" w:tplc="9D3A662C">
      <w:numFmt w:val="bullet"/>
      <w:lvlText w:val="•"/>
      <w:lvlJc w:val="left"/>
      <w:pPr>
        <w:ind w:left="7203" w:hanging="142"/>
      </w:pPr>
      <w:rPr>
        <w:rFonts w:hint="default"/>
        <w:lang w:val="en-US" w:eastAsia="en-US" w:bidi="ar-SA"/>
      </w:rPr>
    </w:lvl>
  </w:abstractNum>
  <w:abstractNum w:abstractNumId="35" w15:restartNumberingAfterBreak="0">
    <w:nsid w:val="18E247D5"/>
    <w:multiLevelType w:val="hybridMultilevel"/>
    <w:tmpl w:val="0212ECD6"/>
    <w:lvl w:ilvl="0" w:tplc="4FB40924">
      <w:numFmt w:val="bullet"/>
      <w:lvlText w:val="•"/>
      <w:lvlJc w:val="left"/>
      <w:pPr>
        <w:ind w:left="260" w:hanging="155"/>
      </w:pPr>
      <w:rPr>
        <w:rFonts w:ascii="Tahoma" w:eastAsia="Tahoma" w:hAnsi="Tahoma" w:cs="Tahoma" w:hint="default"/>
        <w:b w:val="0"/>
        <w:bCs w:val="0"/>
        <w:i w:val="0"/>
        <w:iCs w:val="0"/>
        <w:w w:val="109"/>
        <w:sz w:val="16"/>
        <w:szCs w:val="16"/>
        <w:lang w:val="en-US" w:eastAsia="en-US" w:bidi="ar-SA"/>
      </w:rPr>
    </w:lvl>
    <w:lvl w:ilvl="1" w:tplc="23409F9A">
      <w:numFmt w:val="bullet"/>
      <w:lvlText w:val="•"/>
      <w:lvlJc w:val="left"/>
      <w:pPr>
        <w:ind w:left="608" w:hanging="155"/>
      </w:pPr>
      <w:rPr>
        <w:rFonts w:hint="default"/>
        <w:lang w:val="en-US" w:eastAsia="en-US" w:bidi="ar-SA"/>
      </w:rPr>
    </w:lvl>
    <w:lvl w:ilvl="2" w:tplc="4322D55A">
      <w:numFmt w:val="bullet"/>
      <w:lvlText w:val="•"/>
      <w:lvlJc w:val="left"/>
      <w:pPr>
        <w:ind w:left="956" w:hanging="155"/>
      </w:pPr>
      <w:rPr>
        <w:rFonts w:hint="default"/>
        <w:lang w:val="en-US" w:eastAsia="en-US" w:bidi="ar-SA"/>
      </w:rPr>
    </w:lvl>
    <w:lvl w:ilvl="3" w:tplc="8E2233BE">
      <w:numFmt w:val="bullet"/>
      <w:lvlText w:val="•"/>
      <w:lvlJc w:val="left"/>
      <w:pPr>
        <w:ind w:left="1305" w:hanging="155"/>
      </w:pPr>
      <w:rPr>
        <w:rFonts w:hint="default"/>
        <w:lang w:val="en-US" w:eastAsia="en-US" w:bidi="ar-SA"/>
      </w:rPr>
    </w:lvl>
    <w:lvl w:ilvl="4" w:tplc="507AD2F8">
      <w:numFmt w:val="bullet"/>
      <w:lvlText w:val="•"/>
      <w:lvlJc w:val="left"/>
      <w:pPr>
        <w:ind w:left="1653" w:hanging="155"/>
      </w:pPr>
      <w:rPr>
        <w:rFonts w:hint="default"/>
        <w:lang w:val="en-US" w:eastAsia="en-US" w:bidi="ar-SA"/>
      </w:rPr>
    </w:lvl>
    <w:lvl w:ilvl="5" w:tplc="F046758E">
      <w:numFmt w:val="bullet"/>
      <w:lvlText w:val="•"/>
      <w:lvlJc w:val="left"/>
      <w:pPr>
        <w:ind w:left="2002" w:hanging="155"/>
      </w:pPr>
      <w:rPr>
        <w:rFonts w:hint="default"/>
        <w:lang w:val="en-US" w:eastAsia="en-US" w:bidi="ar-SA"/>
      </w:rPr>
    </w:lvl>
    <w:lvl w:ilvl="6" w:tplc="26F611B2">
      <w:numFmt w:val="bullet"/>
      <w:lvlText w:val="•"/>
      <w:lvlJc w:val="left"/>
      <w:pPr>
        <w:ind w:left="2350" w:hanging="155"/>
      </w:pPr>
      <w:rPr>
        <w:rFonts w:hint="default"/>
        <w:lang w:val="en-US" w:eastAsia="en-US" w:bidi="ar-SA"/>
      </w:rPr>
    </w:lvl>
    <w:lvl w:ilvl="7" w:tplc="5E2C3982">
      <w:numFmt w:val="bullet"/>
      <w:lvlText w:val="•"/>
      <w:lvlJc w:val="left"/>
      <w:pPr>
        <w:ind w:left="2698" w:hanging="155"/>
      </w:pPr>
      <w:rPr>
        <w:rFonts w:hint="default"/>
        <w:lang w:val="en-US" w:eastAsia="en-US" w:bidi="ar-SA"/>
      </w:rPr>
    </w:lvl>
    <w:lvl w:ilvl="8" w:tplc="9CF4EAC4">
      <w:numFmt w:val="bullet"/>
      <w:lvlText w:val="•"/>
      <w:lvlJc w:val="left"/>
      <w:pPr>
        <w:ind w:left="3047" w:hanging="155"/>
      </w:pPr>
      <w:rPr>
        <w:rFonts w:hint="default"/>
        <w:lang w:val="en-US" w:eastAsia="en-US" w:bidi="ar-SA"/>
      </w:rPr>
    </w:lvl>
  </w:abstractNum>
  <w:abstractNum w:abstractNumId="36" w15:restartNumberingAfterBreak="0">
    <w:nsid w:val="1944021B"/>
    <w:multiLevelType w:val="hybridMultilevel"/>
    <w:tmpl w:val="03226C9C"/>
    <w:lvl w:ilvl="0" w:tplc="1188ED1A">
      <w:start w:val="5"/>
      <w:numFmt w:val="decimal"/>
      <w:lvlText w:val="%1"/>
      <w:lvlJc w:val="left"/>
      <w:pPr>
        <w:ind w:left="219" w:hanging="219"/>
        <w:jc w:val="left"/>
      </w:pPr>
      <w:rPr>
        <w:rFonts w:ascii="Arial" w:eastAsia="Arial" w:hAnsi="Arial" w:cs="Arial" w:hint="default"/>
        <w:b/>
        <w:bCs/>
        <w:i w:val="0"/>
        <w:iCs w:val="0"/>
        <w:w w:val="99"/>
        <w:position w:val="1"/>
        <w:sz w:val="13"/>
        <w:szCs w:val="13"/>
        <w:lang w:val="en-US" w:eastAsia="en-US" w:bidi="ar-SA"/>
      </w:rPr>
    </w:lvl>
    <w:lvl w:ilvl="1" w:tplc="85745DEE">
      <w:numFmt w:val="bullet"/>
      <w:lvlText w:val="•"/>
      <w:lvlJc w:val="left"/>
      <w:pPr>
        <w:ind w:left="294" w:hanging="219"/>
      </w:pPr>
      <w:rPr>
        <w:rFonts w:hint="default"/>
        <w:lang w:val="en-US" w:eastAsia="en-US" w:bidi="ar-SA"/>
      </w:rPr>
    </w:lvl>
    <w:lvl w:ilvl="2" w:tplc="06148EC0">
      <w:numFmt w:val="bullet"/>
      <w:lvlText w:val="•"/>
      <w:lvlJc w:val="left"/>
      <w:pPr>
        <w:ind w:left="368" w:hanging="219"/>
      </w:pPr>
      <w:rPr>
        <w:rFonts w:hint="default"/>
        <w:lang w:val="en-US" w:eastAsia="en-US" w:bidi="ar-SA"/>
      </w:rPr>
    </w:lvl>
    <w:lvl w:ilvl="3" w:tplc="06DEE478">
      <w:numFmt w:val="bullet"/>
      <w:lvlText w:val="•"/>
      <w:lvlJc w:val="left"/>
      <w:pPr>
        <w:ind w:left="443" w:hanging="219"/>
      </w:pPr>
      <w:rPr>
        <w:rFonts w:hint="default"/>
        <w:lang w:val="en-US" w:eastAsia="en-US" w:bidi="ar-SA"/>
      </w:rPr>
    </w:lvl>
    <w:lvl w:ilvl="4" w:tplc="679E76EA">
      <w:numFmt w:val="bullet"/>
      <w:lvlText w:val="•"/>
      <w:lvlJc w:val="left"/>
      <w:pPr>
        <w:ind w:left="517" w:hanging="219"/>
      </w:pPr>
      <w:rPr>
        <w:rFonts w:hint="default"/>
        <w:lang w:val="en-US" w:eastAsia="en-US" w:bidi="ar-SA"/>
      </w:rPr>
    </w:lvl>
    <w:lvl w:ilvl="5" w:tplc="64AEDF34">
      <w:numFmt w:val="bullet"/>
      <w:lvlText w:val="•"/>
      <w:lvlJc w:val="left"/>
      <w:pPr>
        <w:ind w:left="592" w:hanging="219"/>
      </w:pPr>
      <w:rPr>
        <w:rFonts w:hint="default"/>
        <w:lang w:val="en-US" w:eastAsia="en-US" w:bidi="ar-SA"/>
      </w:rPr>
    </w:lvl>
    <w:lvl w:ilvl="6" w:tplc="7D5475F6">
      <w:numFmt w:val="bullet"/>
      <w:lvlText w:val="•"/>
      <w:lvlJc w:val="left"/>
      <w:pPr>
        <w:ind w:left="666" w:hanging="219"/>
      </w:pPr>
      <w:rPr>
        <w:rFonts w:hint="default"/>
        <w:lang w:val="en-US" w:eastAsia="en-US" w:bidi="ar-SA"/>
      </w:rPr>
    </w:lvl>
    <w:lvl w:ilvl="7" w:tplc="FC9EE076">
      <w:numFmt w:val="bullet"/>
      <w:lvlText w:val="•"/>
      <w:lvlJc w:val="left"/>
      <w:pPr>
        <w:ind w:left="741" w:hanging="219"/>
      </w:pPr>
      <w:rPr>
        <w:rFonts w:hint="default"/>
        <w:lang w:val="en-US" w:eastAsia="en-US" w:bidi="ar-SA"/>
      </w:rPr>
    </w:lvl>
    <w:lvl w:ilvl="8" w:tplc="8E1668CC">
      <w:numFmt w:val="bullet"/>
      <w:lvlText w:val="•"/>
      <w:lvlJc w:val="left"/>
      <w:pPr>
        <w:ind w:left="815" w:hanging="219"/>
      </w:pPr>
      <w:rPr>
        <w:rFonts w:hint="default"/>
        <w:lang w:val="en-US" w:eastAsia="en-US" w:bidi="ar-SA"/>
      </w:rPr>
    </w:lvl>
  </w:abstractNum>
  <w:abstractNum w:abstractNumId="37" w15:restartNumberingAfterBreak="0">
    <w:nsid w:val="19EB05CA"/>
    <w:multiLevelType w:val="multilevel"/>
    <w:tmpl w:val="FFD090E8"/>
    <w:lvl w:ilvl="0">
      <w:start w:val="2"/>
      <w:numFmt w:val="decimal"/>
      <w:lvlText w:val="%1"/>
      <w:lvlJc w:val="left"/>
      <w:pPr>
        <w:ind w:left="972" w:hanging="480"/>
        <w:jc w:val="left"/>
      </w:pPr>
      <w:rPr>
        <w:rFonts w:hint="default"/>
        <w:lang w:val="en-US" w:eastAsia="en-US" w:bidi="ar-SA"/>
      </w:rPr>
    </w:lvl>
    <w:lvl w:ilvl="1">
      <w:numFmt w:val="decimal"/>
      <w:lvlText w:val="%1.%2"/>
      <w:lvlJc w:val="left"/>
      <w:pPr>
        <w:ind w:left="972" w:hanging="480"/>
        <w:jc w:val="left"/>
      </w:pPr>
      <w:rPr>
        <w:rFonts w:hint="default"/>
        <w:w w:val="99"/>
        <w:lang w:val="en-US" w:eastAsia="en-US" w:bidi="ar-SA"/>
      </w:rPr>
    </w:lvl>
    <w:lvl w:ilvl="2">
      <w:numFmt w:val="bullet"/>
      <w:lvlText w:val="•"/>
      <w:lvlJc w:val="left"/>
      <w:pPr>
        <w:ind w:left="1984" w:hanging="480"/>
      </w:pPr>
      <w:rPr>
        <w:rFonts w:hint="default"/>
        <w:lang w:val="en-US" w:eastAsia="en-US" w:bidi="ar-SA"/>
      </w:rPr>
    </w:lvl>
    <w:lvl w:ilvl="3">
      <w:numFmt w:val="bullet"/>
      <w:lvlText w:val="•"/>
      <w:lvlJc w:val="left"/>
      <w:pPr>
        <w:ind w:left="2487" w:hanging="480"/>
      </w:pPr>
      <w:rPr>
        <w:rFonts w:hint="default"/>
        <w:lang w:val="en-US" w:eastAsia="en-US" w:bidi="ar-SA"/>
      </w:rPr>
    </w:lvl>
    <w:lvl w:ilvl="4">
      <w:numFmt w:val="bullet"/>
      <w:lvlText w:val="•"/>
      <w:lvlJc w:val="left"/>
      <w:pPr>
        <w:ind w:left="2989" w:hanging="480"/>
      </w:pPr>
      <w:rPr>
        <w:rFonts w:hint="default"/>
        <w:lang w:val="en-US" w:eastAsia="en-US" w:bidi="ar-SA"/>
      </w:rPr>
    </w:lvl>
    <w:lvl w:ilvl="5">
      <w:numFmt w:val="bullet"/>
      <w:lvlText w:val="•"/>
      <w:lvlJc w:val="left"/>
      <w:pPr>
        <w:ind w:left="3492" w:hanging="480"/>
      </w:pPr>
      <w:rPr>
        <w:rFonts w:hint="default"/>
        <w:lang w:val="en-US" w:eastAsia="en-US" w:bidi="ar-SA"/>
      </w:rPr>
    </w:lvl>
    <w:lvl w:ilvl="6">
      <w:numFmt w:val="bullet"/>
      <w:lvlText w:val="•"/>
      <w:lvlJc w:val="left"/>
      <w:pPr>
        <w:ind w:left="3994" w:hanging="480"/>
      </w:pPr>
      <w:rPr>
        <w:rFonts w:hint="default"/>
        <w:lang w:val="en-US" w:eastAsia="en-US" w:bidi="ar-SA"/>
      </w:rPr>
    </w:lvl>
    <w:lvl w:ilvl="7">
      <w:numFmt w:val="bullet"/>
      <w:lvlText w:val="•"/>
      <w:lvlJc w:val="left"/>
      <w:pPr>
        <w:ind w:left="4496" w:hanging="480"/>
      </w:pPr>
      <w:rPr>
        <w:rFonts w:hint="default"/>
        <w:lang w:val="en-US" w:eastAsia="en-US" w:bidi="ar-SA"/>
      </w:rPr>
    </w:lvl>
    <w:lvl w:ilvl="8">
      <w:numFmt w:val="bullet"/>
      <w:lvlText w:val="•"/>
      <w:lvlJc w:val="left"/>
      <w:pPr>
        <w:ind w:left="4999" w:hanging="480"/>
      </w:pPr>
      <w:rPr>
        <w:rFonts w:hint="default"/>
        <w:lang w:val="en-US" w:eastAsia="en-US" w:bidi="ar-SA"/>
      </w:rPr>
    </w:lvl>
  </w:abstractNum>
  <w:abstractNum w:abstractNumId="38" w15:restartNumberingAfterBreak="0">
    <w:nsid w:val="1A944C81"/>
    <w:multiLevelType w:val="hybridMultilevel"/>
    <w:tmpl w:val="87CC22C8"/>
    <w:lvl w:ilvl="0" w:tplc="C0FC0CF0">
      <w:numFmt w:val="bullet"/>
      <w:lvlText w:val="•"/>
      <w:lvlJc w:val="left"/>
      <w:pPr>
        <w:ind w:left="761" w:hanging="284"/>
      </w:pPr>
      <w:rPr>
        <w:rFonts w:ascii="Tahoma" w:eastAsia="Tahoma" w:hAnsi="Tahoma" w:cs="Tahoma" w:hint="default"/>
        <w:b w:val="0"/>
        <w:bCs w:val="0"/>
        <w:i w:val="0"/>
        <w:iCs w:val="0"/>
        <w:w w:val="109"/>
        <w:sz w:val="20"/>
        <w:szCs w:val="20"/>
        <w:lang w:val="en-US" w:eastAsia="en-US" w:bidi="ar-SA"/>
      </w:rPr>
    </w:lvl>
    <w:lvl w:ilvl="1" w:tplc="A6209316">
      <w:numFmt w:val="bullet"/>
      <w:lvlText w:val="–"/>
      <w:lvlJc w:val="left"/>
      <w:pPr>
        <w:ind w:left="1045" w:hanging="284"/>
      </w:pPr>
      <w:rPr>
        <w:rFonts w:ascii="Arial" w:eastAsia="Arial" w:hAnsi="Arial" w:cs="Arial" w:hint="default"/>
        <w:b w:val="0"/>
        <w:bCs w:val="0"/>
        <w:i w:val="0"/>
        <w:iCs w:val="0"/>
        <w:w w:val="87"/>
        <w:sz w:val="20"/>
        <w:szCs w:val="20"/>
        <w:lang w:val="en-US" w:eastAsia="en-US" w:bidi="ar-SA"/>
      </w:rPr>
    </w:lvl>
    <w:lvl w:ilvl="2" w:tplc="284C2DF0">
      <w:numFmt w:val="bullet"/>
      <w:lvlText w:val="•"/>
      <w:lvlJc w:val="left"/>
      <w:pPr>
        <w:ind w:left="1590" w:hanging="284"/>
      </w:pPr>
      <w:rPr>
        <w:rFonts w:hint="default"/>
        <w:lang w:val="en-US" w:eastAsia="en-US" w:bidi="ar-SA"/>
      </w:rPr>
    </w:lvl>
    <w:lvl w:ilvl="3" w:tplc="DF520392">
      <w:numFmt w:val="bullet"/>
      <w:lvlText w:val="•"/>
      <w:lvlJc w:val="left"/>
      <w:pPr>
        <w:ind w:left="2140" w:hanging="284"/>
      </w:pPr>
      <w:rPr>
        <w:rFonts w:hint="default"/>
        <w:lang w:val="en-US" w:eastAsia="en-US" w:bidi="ar-SA"/>
      </w:rPr>
    </w:lvl>
    <w:lvl w:ilvl="4" w:tplc="39B07034">
      <w:numFmt w:val="bullet"/>
      <w:lvlText w:val="•"/>
      <w:lvlJc w:val="left"/>
      <w:pPr>
        <w:ind w:left="2690" w:hanging="284"/>
      </w:pPr>
      <w:rPr>
        <w:rFonts w:hint="default"/>
        <w:lang w:val="en-US" w:eastAsia="en-US" w:bidi="ar-SA"/>
      </w:rPr>
    </w:lvl>
    <w:lvl w:ilvl="5" w:tplc="1154015C">
      <w:numFmt w:val="bullet"/>
      <w:lvlText w:val="•"/>
      <w:lvlJc w:val="left"/>
      <w:pPr>
        <w:ind w:left="3240" w:hanging="284"/>
      </w:pPr>
      <w:rPr>
        <w:rFonts w:hint="default"/>
        <w:lang w:val="en-US" w:eastAsia="en-US" w:bidi="ar-SA"/>
      </w:rPr>
    </w:lvl>
    <w:lvl w:ilvl="6" w:tplc="618A70E8">
      <w:numFmt w:val="bullet"/>
      <w:lvlText w:val="•"/>
      <w:lvlJc w:val="left"/>
      <w:pPr>
        <w:ind w:left="3790" w:hanging="284"/>
      </w:pPr>
      <w:rPr>
        <w:rFonts w:hint="default"/>
        <w:lang w:val="en-US" w:eastAsia="en-US" w:bidi="ar-SA"/>
      </w:rPr>
    </w:lvl>
    <w:lvl w:ilvl="7" w:tplc="12743E5A">
      <w:numFmt w:val="bullet"/>
      <w:lvlText w:val="•"/>
      <w:lvlJc w:val="left"/>
      <w:pPr>
        <w:ind w:left="4340" w:hanging="284"/>
      </w:pPr>
      <w:rPr>
        <w:rFonts w:hint="default"/>
        <w:lang w:val="en-US" w:eastAsia="en-US" w:bidi="ar-SA"/>
      </w:rPr>
    </w:lvl>
    <w:lvl w:ilvl="8" w:tplc="6D4806A8">
      <w:numFmt w:val="bullet"/>
      <w:lvlText w:val="•"/>
      <w:lvlJc w:val="left"/>
      <w:pPr>
        <w:ind w:left="4890" w:hanging="284"/>
      </w:pPr>
      <w:rPr>
        <w:rFonts w:hint="default"/>
        <w:lang w:val="en-US" w:eastAsia="en-US" w:bidi="ar-SA"/>
      </w:rPr>
    </w:lvl>
  </w:abstractNum>
  <w:abstractNum w:abstractNumId="39" w15:restartNumberingAfterBreak="0">
    <w:nsid w:val="1AA018F8"/>
    <w:multiLevelType w:val="hybridMultilevel"/>
    <w:tmpl w:val="137016C4"/>
    <w:lvl w:ilvl="0" w:tplc="C5B67D8C">
      <w:numFmt w:val="bullet"/>
      <w:lvlText w:val="•"/>
      <w:lvlJc w:val="left"/>
      <w:pPr>
        <w:ind w:left="482" w:hanging="284"/>
      </w:pPr>
      <w:rPr>
        <w:rFonts w:ascii="Tahoma" w:eastAsia="Tahoma" w:hAnsi="Tahoma" w:cs="Tahoma" w:hint="default"/>
        <w:b w:val="0"/>
        <w:bCs w:val="0"/>
        <w:i w:val="0"/>
        <w:iCs w:val="0"/>
        <w:w w:val="109"/>
        <w:sz w:val="20"/>
        <w:szCs w:val="20"/>
        <w:lang w:val="en-US" w:eastAsia="en-US" w:bidi="ar-SA"/>
      </w:rPr>
    </w:lvl>
    <w:lvl w:ilvl="1" w:tplc="DA548906">
      <w:numFmt w:val="bullet"/>
      <w:lvlText w:val="•"/>
      <w:lvlJc w:val="left"/>
      <w:pPr>
        <w:ind w:left="775" w:hanging="284"/>
      </w:pPr>
      <w:rPr>
        <w:rFonts w:ascii="Tahoma" w:eastAsia="Tahoma" w:hAnsi="Tahoma" w:cs="Tahoma" w:hint="default"/>
        <w:b w:val="0"/>
        <w:bCs w:val="0"/>
        <w:i w:val="0"/>
        <w:iCs w:val="0"/>
        <w:w w:val="109"/>
        <w:sz w:val="20"/>
        <w:szCs w:val="20"/>
        <w:lang w:val="en-US" w:eastAsia="en-US" w:bidi="ar-SA"/>
      </w:rPr>
    </w:lvl>
    <w:lvl w:ilvl="2" w:tplc="1310AA0E">
      <w:numFmt w:val="bullet"/>
      <w:lvlText w:val="•"/>
      <w:lvlJc w:val="left"/>
      <w:pPr>
        <w:ind w:left="127" w:hanging="284"/>
      </w:pPr>
      <w:rPr>
        <w:rFonts w:hint="default"/>
        <w:lang w:val="en-US" w:eastAsia="en-US" w:bidi="ar-SA"/>
      </w:rPr>
    </w:lvl>
    <w:lvl w:ilvl="3" w:tplc="5950B866">
      <w:numFmt w:val="bullet"/>
      <w:lvlText w:val="•"/>
      <w:lvlJc w:val="left"/>
      <w:pPr>
        <w:ind w:left="-525" w:hanging="284"/>
      </w:pPr>
      <w:rPr>
        <w:rFonts w:hint="default"/>
        <w:lang w:val="en-US" w:eastAsia="en-US" w:bidi="ar-SA"/>
      </w:rPr>
    </w:lvl>
    <w:lvl w:ilvl="4" w:tplc="AE88187A">
      <w:numFmt w:val="bullet"/>
      <w:lvlText w:val="•"/>
      <w:lvlJc w:val="left"/>
      <w:pPr>
        <w:ind w:left="-1177" w:hanging="284"/>
      </w:pPr>
      <w:rPr>
        <w:rFonts w:hint="default"/>
        <w:lang w:val="en-US" w:eastAsia="en-US" w:bidi="ar-SA"/>
      </w:rPr>
    </w:lvl>
    <w:lvl w:ilvl="5" w:tplc="41863B2C">
      <w:numFmt w:val="bullet"/>
      <w:lvlText w:val="•"/>
      <w:lvlJc w:val="left"/>
      <w:pPr>
        <w:ind w:left="-1829" w:hanging="284"/>
      </w:pPr>
      <w:rPr>
        <w:rFonts w:hint="default"/>
        <w:lang w:val="en-US" w:eastAsia="en-US" w:bidi="ar-SA"/>
      </w:rPr>
    </w:lvl>
    <w:lvl w:ilvl="6" w:tplc="6AEE83BE">
      <w:numFmt w:val="bullet"/>
      <w:lvlText w:val="•"/>
      <w:lvlJc w:val="left"/>
      <w:pPr>
        <w:ind w:left="-2482" w:hanging="284"/>
      </w:pPr>
      <w:rPr>
        <w:rFonts w:hint="default"/>
        <w:lang w:val="en-US" w:eastAsia="en-US" w:bidi="ar-SA"/>
      </w:rPr>
    </w:lvl>
    <w:lvl w:ilvl="7" w:tplc="90FCBCD8">
      <w:numFmt w:val="bullet"/>
      <w:lvlText w:val="•"/>
      <w:lvlJc w:val="left"/>
      <w:pPr>
        <w:ind w:left="-3134" w:hanging="284"/>
      </w:pPr>
      <w:rPr>
        <w:rFonts w:hint="default"/>
        <w:lang w:val="en-US" w:eastAsia="en-US" w:bidi="ar-SA"/>
      </w:rPr>
    </w:lvl>
    <w:lvl w:ilvl="8" w:tplc="56462E10">
      <w:numFmt w:val="bullet"/>
      <w:lvlText w:val="•"/>
      <w:lvlJc w:val="left"/>
      <w:pPr>
        <w:ind w:left="-3786" w:hanging="284"/>
      </w:pPr>
      <w:rPr>
        <w:rFonts w:hint="default"/>
        <w:lang w:val="en-US" w:eastAsia="en-US" w:bidi="ar-SA"/>
      </w:rPr>
    </w:lvl>
  </w:abstractNum>
  <w:abstractNum w:abstractNumId="40" w15:restartNumberingAfterBreak="0">
    <w:nsid w:val="1B4275D1"/>
    <w:multiLevelType w:val="hybridMultilevel"/>
    <w:tmpl w:val="519C4EC8"/>
    <w:lvl w:ilvl="0" w:tplc="D632BEF6">
      <w:numFmt w:val="bullet"/>
      <w:lvlText w:val="•"/>
      <w:lvlJc w:val="left"/>
      <w:pPr>
        <w:ind w:left="526" w:hanging="284"/>
      </w:pPr>
      <w:rPr>
        <w:rFonts w:ascii="Tahoma" w:eastAsia="Tahoma" w:hAnsi="Tahoma" w:cs="Tahoma" w:hint="default"/>
        <w:b w:val="0"/>
        <w:bCs w:val="0"/>
        <w:i w:val="0"/>
        <w:iCs w:val="0"/>
        <w:w w:val="109"/>
        <w:sz w:val="20"/>
        <w:szCs w:val="20"/>
        <w:lang w:val="en-US" w:eastAsia="en-US" w:bidi="ar-SA"/>
      </w:rPr>
    </w:lvl>
    <w:lvl w:ilvl="1" w:tplc="7864FAE4">
      <w:numFmt w:val="bullet"/>
      <w:lvlText w:val="•"/>
      <w:lvlJc w:val="left"/>
      <w:pPr>
        <w:ind w:left="1043" w:hanging="284"/>
      </w:pPr>
      <w:rPr>
        <w:rFonts w:hint="default"/>
        <w:lang w:val="en-US" w:eastAsia="en-US" w:bidi="ar-SA"/>
      </w:rPr>
    </w:lvl>
    <w:lvl w:ilvl="2" w:tplc="A0987738">
      <w:numFmt w:val="bullet"/>
      <w:lvlText w:val="•"/>
      <w:lvlJc w:val="left"/>
      <w:pPr>
        <w:ind w:left="1567" w:hanging="284"/>
      </w:pPr>
      <w:rPr>
        <w:rFonts w:hint="default"/>
        <w:lang w:val="en-US" w:eastAsia="en-US" w:bidi="ar-SA"/>
      </w:rPr>
    </w:lvl>
    <w:lvl w:ilvl="3" w:tplc="38C2BB7A">
      <w:numFmt w:val="bullet"/>
      <w:lvlText w:val="•"/>
      <w:lvlJc w:val="left"/>
      <w:pPr>
        <w:ind w:left="2090" w:hanging="284"/>
      </w:pPr>
      <w:rPr>
        <w:rFonts w:hint="default"/>
        <w:lang w:val="en-US" w:eastAsia="en-US" w:bidi="ar-SA"/>
      </w:rPr>
    </w:lvl>
    <w:lvl w:ilvl="4" w:tplc="A946850C">
      <w:numFmt w:val="bullet"/>
      <w:lvlText w:val="•"/>
      <w:lvlJc w:val="left"/>
      <w:pPr>
        <w:ind w:left="2614" w:hanging="284"/>
      </w:pPr>
      <w:rPr>
        <w:rFonts w:hint="default"/>
        <w:lang w:val="en-US" w:eastAsia="en-US" w:bidi="ar-SA"/>
      </w:rPr>
    </w:lvl>
    <w:lvl w:ilvl="5" w:tplc="88E655C6">
      <w:numFmt w:val="bullet"/>
      <w:lvlText w:val="•"/>
      <w:lvlJc w:val="left"/>
      <w:pPr>
        <w:ind w:left="3137" w:hanging="284"/>
      </w:pPr>
      <w:rPr>
        <w:rFonts w:hint="default"/>
        <w:lang w:val="en-US" w:eastAsia="en-US" w:bidi="ar-SA"/>
      </w:rPr>
    </w:lvl>
    <w:lvl w:ilvl="6" w:tplc="E86C35BE">
      <w:numFmt w:val="bullet"/>
      <w:lvlText w:val="•"/>
      <w:lvlJc w:val="left"/>
      <w:pPr>
        <w:ind w:left="3661" w:hanging="284"/>
      </w:pPr>
      <w:rPr>
        <w:rFonts w:hint="default"/>
        <w:lang w:val="en-US" w:eastAsia="en-US" w:bidi="ar-SA"/>
      </w:rPr>
    </w:lvl>
    <w:lvl w:ilvl="7" w:tplc="2DF0A0B4">
      <w:numFmt w:val="bullet"/>
      <w:lvlText w:val="•"/>
      <w:lvlJc w:val="left"/>
      <w:pPr>
        <w:ind w:left="4185" w:hanging="284"/>
      </w:pPr>
      <w:rPr>
        <w:rFonts w:hint="default"/>
        <w:lang w:val="en-US" w:eastAsia="en-US" w:bidi="ar-SA"/>
      </w:rPr>
    </w:lvl>
    <w:lvl w:ilvl="8" w:tplc="BE3CB8F8">
      <w:numFmt w:val="bullet"/>
      <w:lvlText w:val="•"/>
      <w:lvlJc w:val="left"/>
      <w:pPr>
        <w:ind w:left="4708" w:hanging="284"/>
      </w:pPr>
      <w:rPr>
        <w:rFonts w:hint="default"/>
        <w:lang w:val="en-US" w:eastAsia="en-US" w:bidi="ar-SA"/>
      </w:rPr>
    </w:lvl>
  </w:abstractNum>
  <w:abstractNum w:abstractNumId="41" w15:restartNumberingAfterBreak="0">
    <w:nsid w:val="1B5C5BD6"/>
    <w:multiLevelType w:val="hybridMultilevel"/>
    <w:tmpl w:val="E42A9F0E"/>
    <w:lvl w:ilvl="0" w:tplc="6E06375E">
      <w:numFmt w:val="bullet"/>
      <w:lvlText w:val="•"/>
      <w:lvlJc w:val="left"/>
      <w:pPr>
        <w:ind w:left="775" w:hanging="284"/>
      </w:pPr>
      <w:rPr>
        <w:rFonts w:ascii="Tahoma" w:eastAsia="Tahoma" w:hAnsi="Tahoma" w:cs="Tahoma" w:hint="default"/>
        <w:b w:val="0"/>
        <w:bCs w:val="0"/>
        <w:i w:val="0"/>
        <w:iCs w:val="0"/>
        <w:w w:val="109"/>
        <w:sz w:val="20"/>
        <w:szCs w:val="20"/>
        <w:lang w:val="en-US" w:eastAsia="en-US" w:bidi="ar-SA"/>
      </w:rPr>
    </w:lvl>
    <w:lvl w:ilvl="1" w:tplc="6A0CC9E8">
      <w:numFmt w:val="bullet"/>
      <w:lvlText w:val="•"/>
      <w:lvlJc w:val="left"/>
      <w:pPr>
        <w:ind w:left="1218" w:hanging="284"/>
      </w:pPr>
      <w:rPr>
        <w:rFonts w:hint="default"/>
        <w:lang w:val="en-US" w:eastAsia="en-US" w:bidi="ar-SA"/>
      </w:rPr>
    </w:lvl>
    <w:lvl w:ilvl="2" w:tplc="499A046E">
      <w:numFmt w:val="bullet"/>
      <w:lvlText w:val="•"/>
      <w:lvlJc w:val="left"/>
      <w:pPr>
        <w:ind w:left="1656" w:hanging="284"/>
      </w:pPr>
      <w:rPr>
        <w:rFonts w:hint="default"/>
        <w:lang w:val="en-US" w:eastAsia="en-US" w:bidi="ar-SA"/>
      </w:rPr>
    </w:lvl>
    <w:lvl w:ilvl="3" w:tplc="5C42AFB4">
      <w:numFmt w:val="bullet"/>
      <w:lvlText w:val="•"/>
      <w:lvlJc w:val="left"/>
      <w:pPr>
        <w:ind w:left="2094" w:hanging="284"/>
      </w:pPr>
      <w:rPr>
        <w:rFonts w:hint="default"/>
        <w:lang w:val="en-US" w:eastAsia="en-US" w:bidi="ar-SA"/>
      </w:rPr>
    </w:lvl>
    <w:lvl w:ilvl="4" w:tplc="317E1CB2">
      <w:numFmt w:val="bullet"/>
      <w:lvlText w:val="•"/>
      <w:lvlJc w:val="left"/>
      <w:pPr>
        <w:ind w:left="2532" w:hanging="284"/>
      </w:pPr>
      <w:rPr>
        <w:rFonts w:hint="default"/>
        <w:lang w:val="en-US" w:eastAsia="en-US" w:bidi="ar-SA"/>
      </w:rPr>
    </w:lvl>
    <w:lvl w:ilvl="5" w:tplc="4B6CCB98">
      <w:numFmt w:val="bullet"/>
      <w:lvlText w:val="•"/>
      <w:lvlJc w:val="left"/>
      <w:pPr>
        <w:ind w:left="2970" w:hanging="284"/>
      </w:pPr>
      <w:rPr>
        <w:rFonts w:hint="default"/>
        <w:lang w:val="en-US" w:eastAsia="en-US" w:bidi="ar-SA"/>
      </w:rPr>
    </w:lvl>
    <w:lvl w:ilvl="6" w:tplc="1A7439B6">
      <w:numFmt w:val="bullet"/>
      <w:lvlText w:val="•"/>
      <w:lvlJc w:val="left"/>
      <w:pPr>
        <w:ind w:left="3408" w:hanging="284"/>
      </w:pPr>
      <w:rPr>
        <w:rFonts w:hint="default"/>
        <w:lang w:val="en-US" w:eastAsia="en-US" w:bidi="ar-SA"/>
      </w:rPr>
    </w:lvl>
    <w:lvl w:ilvl="7" w:tplc="76726F2C">
      <w:numFmt w:val="bullet"/>
      <w:lvlText w:val="•"/>
      <w:lvlJc w:val="left"/>
      <w:pPr>
        <w:ind w:left="3846" w:hanging="284"/>
      </w:pPr>
      <w:rPr>
        <w:rFonts w:hint="default"/>
        <w:lang w:val="en-US" w:eastAsia="en-US" w:bidi="ar-SA"/>
      </w:rPr>
    </w:lvl>
    <w:lvl w:ilvl="8" w:tplc="51221FC6">
      <w:numFmt w:val="bullet"/>
      <w:lvlText w:val="•"/>
      <w:lvlJc w:val="left"/>
      <w:pPr>
        <w:ind w:left="4284" w:hanging="284"/>
      </w:pPr>
      <w:rPr>
        <w:rFonts w:hint="default"/>
        <w:lang w:val="en-US" w:eastAsia="en-US" w:bidi="ar-SA"/>
      </w:rPr>
    </w:lvl>
  </w:abstractNum>
  <w:abstractNum w:abstractNumId="42" w15:restartNumberingAfterBreak="0">
    <w:nsid w:val="1B694193"/>
    <w:multiLevelType w:val="hybridMultilevel"/>
    <w:tmpl w:val="B01255BC"/>
    <w:lvl w:ilvl="0" w:tplc="8564C5E2">
      <w:start w:val="1"/>
      <w:numFmt w:val="decimal"/>
      <w:lvlText w:val="%1"/>
      <w:lvlJc w:val="left"/>
      <w:pPr>
        <w:ind w:left="721" w:hanging="229"/>
        <w:jc w:val="right"/>
      </w:pPr>
      <w:rPr>
        <w:rFonts w:ascii="Arial" w:eastAsia="Arial" w:hAnsi="Arial" w:cs="Arial" w:hint="default"/>
        <w:b w:val="0"/>
        <w:bCs w:val="0"/>
        <w:i w:val="0"/>
        <w:iCs w:val="0"/>
        <w:w w:val="99"/>
        <w:sz w:val="14"/>
        <w:szCs w:val="14"/>
        <w:lang w:val="en-US" w:eastAsia="en-US" w:bidi="ar-SA"/>
      </w:rPr>
    </w:lvl>
    <w:lvl w:ilvl="1" w:tplc="FC4EE29C">
      <w:numFmt w:val="bullet"/>
      <w:lvlText w:val="•"/>
      <w:lvlJc w:val="left"/>
      <w:pPr>
        <w:ind w:left="775" w:hanging="284"/>
      </w:pPr>
      <w:rPr>
        <w:rFonts w:ascii="Tahoma" w:eastAsia="Tahoma" w:hAnsi="Tahoma" w:cs="Tahoma" w:hint="default"/>
        <w:b w:val="0"/>
        <w:bCs w:val="0"/>
        <w:i w:val="0"/>
        <w:iCs w:val="0"/>
        <w:w w:val="109"/>
        <w:sz w:val="20"/>
        <w:szCs w:val="20"/>
        <w:lang w:val="en-US" w:eastAsia="en-US" w:bidi="ar-SA"/>
      </w:rPr>
    </w:lvl>
    <w:lvl w:ilvl="2" w:tplc="0E30A766">
      <w:numFmt w:val="bullet"/>
      <w:lvlText w:val="•"/>
      <w:lvlJc w:val="left"/>
      <w:pPr>
        <w:ind w:left="1281" w:hanging="284"/>
      </w:pPr>
      <w:rPr>
        <w:rFonts w:hint="default"/>
        <w:lang w:val="en-US" w:eastAsia="en-US" w:bidi="ar-SA"/>
      </w:rPr>
    </w:lvl>
    <w:lvl w:ilvl="3" w:tplc="72B02DF0">
      <w:numFmt w:val="bullet"/>
      <w:lvlText w:val="•"/>
      <w:lvlJc w:val="left"/>
      <w:pPr>
        <w:ind w:left="1782" w:hanging="284"/>
      </w:pPr>
      <w:rPr>
        <w:rFonts w:hint="default"/>
        <w:lang w:val="en-US" w:eastAsia="en-US" w:bidi="ar-SA"/>
      </w:rPr>
    </w:lvl>
    <w:lvl w:ilvl="4" w:tplc="B19C6390">
      <w:numFmt w:val="bullet"/>
      <w:lvlText w:val="•"/>
      <w:lvlJc w:val="left"/>
      <w:pPr>
        <w:ind w:left="2284" w:hanging="284"/>
      </w:pPr>
      <w:rPr>
        <w:rFonts w:hint="default"/>
        <w:lang w:val="en-US" w:eastAsia="en-US" w:bidi="ar-SA"/>
      </w:rPr>
    </w:lvl>
    <w:lvl w:ilvl="5" w:tplc="0BC287A2">
      <w:numFmt w:val="bullet"/>
      <w:lvlText w:val="•"/>
      <w:lvlJc w:val="left"/>
      <w:pPr>
        <w:ind w:left="2785" w:hanging="284"/>
      </w:pPr>
      <w:rPr>
        <w:rFonts w:hint="default"/>
        <w:lang w:val="en-US" w:eastAsia="en-US" w:bidi="ar-SA"/>
      </w:rPr>
    </w:lvl>
    <w:lvl w:ilvl="6" w:tplc="E5F482CC">
      <w:numFmt w:val="bullet"/>
      <w:lvlText w:val="•"/>
      <w:lvlJc w:val="left"/>
      <w:pPr>
        <w:ind w:left="3286" w:hanging="284"/>
      </w:pPr>
      <w:rPr>
        <w:rFonts w:hint="default"/>
        <w:lang w:val="en-US" w:eastAsia="en-US" w:bidi="ar-SA"/>
      </w:rPr>
    </w:lvl>
    <w:lvl w:ilvl="7" w:tplc="36B07C4C">
      <w:numFmt w:val="bullet"/>
      <w:lvlText w:val="•"/>
      <w:lvlJc w:val="left"/>
      <w:pPr>
        <w:ind w:left="3788" w:hanging="284"/>
      </w:pPr>
      <w:rPr>
        <w:rFonts w:hint="default"/>
        <w:lang w:val="en-US" w:eastAsia="en-US" w:bidi="ar-SA"/>
      </w:rPr>
    </w:lvl>
    <w:lvl w:ilvl="8" w:tplc="1700DAA4">
      <w:numFmt w:val="bullet"/>
      <w:lvlText w:val="•"/>
      <w:lvlJc w:val="left"/>
      <w:pPr>
        <w:ind w:left="4289" w:hanging="284"/>
      </w:pPr>
      <w:rPr>
        <w:rFonts w:hint="default"/>
        <w:lang w:val="en-US" w:eastAsia="en-US" w:bidi="ar-SA"/>
      </w:rPr>
    </w:lvl>
  </w:abstractNum>
  <w:abstractNum w:abstractNumId="43" w15:restartNumberingAfterBreak="0">
    <w:nsid w:val="1B8B4C23"/>
    <w:multiLevelType w:val="multilevel"/>
    <w:tmpl w:val="AFFC083A"/>
    <w:lvl w:ilvl="0">
      <w:start w:val="11"/>
      <w:numFmt w:val="decimal"/>
      <w:lvlText w:val="%1"/>
      <w:lvlJc w:val="left"/>
      <w:pPr>
        <w:ind w:left="1002" w:hanging="511"/>
        <w:jc w:val="left"/>
      </w:pPr>
      <w:rPr>
        <w:rFonts w:hint="default"/>
        <w:lang w:val="en-US" w:eastAsia="en-US" w:bidi="ar-SA"/>
      </w:rPr>
    </w:lvl>
    <w:lvl w:ilvl="1">
      <w:numFmt w:val="decimal"/>
      <w:lvlText w:val="%1.%2"/>
      <w:lvlJc w:val="left"/>
      <w:pPr>
        <w:ind w:left="1002" w:hanging="511"/>
        <w:jc w:val="left"/>
      </w:pPr>
      <w:rPr>
        <w:rFonts w:hint="default"/>
        <w:w w:val="99"/>
        <w:lang w:val="en-US" w:eastAsia="en-US" w:bidi="ar-SA"/>
      </w:rPr>
    </w:lvl>
    <w:lvl w:ilvl="2">
      <w:numFmt w:val="bullet"/>
      <w:lvlText w:val="•"/>
      <w:lvlJc w:val="left"/>
      <w:pPr>
        <w:ind w:left="1828" w:hanging="511"/>
      </w:pPr>
      <w:rPr>
        <w:rFonts w:hint="default"/>
        <w:lang w:val="en-US" w:eastAsia="en-US" w:bidi="ar-SA"/>
      </w:rPr>
    </w:lvl>
    <w:lvl w:ilvl="3">
      <w:numFmt w:val="bullet"/>
      <w:lvlText w:val="•"/>
      <w:lvlJc w:val="left"/>
      <w:pPr>
        <w:ind w:left="2242" w:hanging="511"/>
      </w:pPr>
      <w:rPr>
        <w:rFonts w:hint="default"/>
        <w:lang w:val="en-US" w:eastAsia="en-US" w:bidi="ar-SA"/>
      </w:rPr>
    </w:lvl>
    <w:lvl w:ilvl="4">
      <w:numFmt w:val="bullet"/>
      <w:lvlText w:val="•"/>
      <w:lvlJc w:val="left"/>
      <w:pPr>
        <w:ind w:left="2656" w:hanging="511"/>
      </w:pPr>
      <w:rPr>
        <w:rFonts w:hint="default"/>
        <w:lang w:val="en-US" w:eastAsia="en-US" w:bidi="ar-SA"/>
      </w:rPr>
    </w:lvl>
    <w:lvl w:ilvl="5">
      <w:numFmt w:val="bullet"/>
      <w:lvlText w:val="•"/>
      <w:lvlJc w:val="left"/>
      <w:pPr>
        <w:ind w:left="3070" w:hanging="511"/>
      </w:pPr>
      <w:rPr>
        <w:rFonts w:hint="default"/>
        <w:lang w:val="en-US" w:eastAsia="en-US" w:bidi="ar-SA"/>
      </w:rPr>
    </w:lvl>
    <w:lvl w:ilvl="6">
      <w:numFmt w:val="bullet"/>
      <w:lvlText w:val="•"/>
      <w:lvlJc w:val="left"/>
      <w:pPr>
        <w:ind w:left="3484" w:hanging="511"/>
      </w:pPr>
      <w:rPr>
        <w:rFonts w:hint="default"/>
        <w:lang w:val="en-US" w:eastAsia="en-US" w:bidi="ar-SA"/>
      </w:rPr>
    </w:lvl>
    <w:lvl w:ilvl="7">
      <w:numFmt w:val="bullet"/>
      <w:lvlText w:val="•"/>
      <w:lvlJc w:val="left"/>
      <w:pPr>
        <w:ind w:left="3898" w:hanging="511"/>
      </w:pPr>
      <w:rPr>
        <w:rFonts w:hint="default"/>
        <w:lang w:val="en-US" w:eastAsia="en-US" w:bidi="ar-SA"/>
      </w:rPr>
    </w:lvl>
    <w:lvl w:ilvl="8">
      <w:numFmt w:val="bullet"/>
      <w:lvlText w:val="•"/>
      <w:lvlJc w:val="left"/>
      <w:pPr>
        <w:ind w:left="4312" w:hanging="511"/>
      </w:pPr>
      <w:rPr>
        <w:rFonts w:hint="default"/>
        <w:lang w:val="en-US" w:eastAsia="en-US" w:bidi="ar-SA"/>
      </w:rPr>
    </w:lvl>
  </w:abstractNum>
  <w:abstractNum w:abstractNumId="44" w15:restartNumberingAfterBreak="0">
    <w:nsid w:val="1BB17A02"/>
    <w:multiLevelType w:val="multilevel"/>
    <w:tmpl w:val="09C40A50"/>
    <w:lvl w:ilvl="0">
      <w:start w:val="3"/>
      <w:numFmt w:val="decimal"/>
      <w:lvlText w:val="%1"/>
      <w:lvlJc w:val="left"/>
      <w:pPr>
        <w:ind w:left="1645" w:hanging="1154"/>
        <w:jc w:val="left"/>
      </w:pPr>
      <w:rPr>
        <w:rFonts w:hint="default"/>
        <w:lang w:val="en-US" w:eastAsia="en-US" w:bidi="ar-SA"/>
      </w:rPr>
    </w:lvl>
    <w:lvl w:ilvl="1">
      <w:numFmt w:val="decimal"/>
      <w:lvlText w:val="%1.%2"/>
      <w:lvlJc w:val="left"/>
      <w:pPr>
        <w:ind w:left="1645" w:hanging="1154"/>
        <w:jc w:val="left"/>
      </w:pPr>
      <w:rPr>
        <w:rFonts w:ascii="Trebuchet MS" w:eastAsia="Trebuchet MS" w:hAnsi="Trebuchet MS" w:cs="Trebuchet MS" w:hint="default"/>
        <w:b w:val="0"/>
        <w:bCs w:val="0"/>
        <w:i w:val="0"/>
        <w:iCs w:val="0"/>
        <w:color w:val="2E3092"/>
        <w:spacing w:val="-31"/>
        <w:w w:val="61"/>
        <w:sz w:val="112"/>
        <w:szCs w:val="112"/>
        <w:lang w:val="en-US" w:eastAsia="en-US" w:bidi="ar-SA"/>
      </w:rPr>
    </w:lvl>
    <w:lvl w:ilvl="2">
      <w:numFmt w:val="bullet"/>
      <w:lvlText w:val="•"/>
      <w:lvlJc w:val="left"/>
      <w:pPr>
        <w:ind w:left="2431" w:hanging="1154"/>
      </w:pPr>
      <w:rPr>
        <w:rFonts w:hint="default"/>
        <w:lang w:val="en-US" w:eastAsia="en-US" w:bidi="ar-SA"/>
      </w:rPr>
    </w:lvl>
    <w:lvl w:ilvl="3">
      <w:numFmt w:val="bullet"/>
      <w:lvlText w:val="•"/>
      <w:lvlJc w:val="left"/>
      <w:pPr>
        <w:ind w:left="2826" w:hanging="1154"/>
      </w:pPr>
      <w:rPr>
        <w:rFonts w:hint="default"/>
        <w:lang w:val="en-US" w:eastAsia="en-US" w:bidi="ar-SA"/>
      </w:rPr>
    </w:lvl>
    <w:lvl w:ilvl="4">
      <w:numFmt w:val="bullet"/>
      <w:lvlText w:val="•"/>
      <w:lvlJc w:val="left"/>
      <w:pPr>
        <w:ind w:left="3222" w:hanging="1154"/>
      </w:pPr>
      <w:rPr>
        <w:rFonts w:hint="default"/>
        <w:lang w:val="en-US" w:eastAsia="en-US" w:bidi="ar-SA"/>
      </w:rPr>
    </w:lvl>
    <w:lvl w:ilvl="5">
      <w:numFmt w:val="bullet"/>
      <w:lvlText w:val="•"/>
      <w:lvlJc w:val="left"/>
      <w:pPr>
        <w:ind w:left="3617" w:hanging="1154"/>
      </w:pPr>
      <w:rPr>
        <w:rFonts w:hint="default"/>
        <w:lang w:val="en-US" w:eastAsia="en-US" w:bidi="ar-SA"/>
      </w:rPr>
    </w:lvl>
    <w:lvl w:ilvl="6">
      <w:numFmt w:val="bullet"/>
      <w:lvlText w:val="•"/>
      <w:lvlJc w:val="left"/>
      <w:pPr>
        <w:ind w:left="4013" w:hanging="1154"/>
      </w:pPr>
      <w:rPr>
        <w:rFonts w:hint="default"/>
        <w:lang w:val="en-US" w:eastAsia="en-US" w:bidi="ar-SA"/>
      </w:rPr>
    </w:lvl>
    <w:lvl w:ilvl="7">
      <w:numFmt w:val="bullet"/>
      <w:lvlText w:val="•"/>
      <w:lvlJc w:val="left"/>
      <w:pPr>
        <w:ind w:left="4408" w:hanging="1154"/>
      </w:pPr>
      <w:rPr>
        <w:rFonts w:hint="default"/>
        <w:lang w:val="en-US" w:eastAsia="en-US" w:bidi="ar-SA"/>
      </w:rPr>
    </w:lvl>
    <w:lvl w:ilvl="8">
      <w:numFmt w:val="bullet"/>
      <w:lvlText w:val="•"/>
      <w:lvlJc w:val="left"/>
      <w:pPr>
        <w:ind w:left="4804" w:hanging="1154"/>
      </w:pPr>
      <w:rPr>
        <w:rFonts w:hint="default"/>
        <w:lang w:val="en-US" w:eastAsia="en-US" w:bidi="ar-SA"/>
      </w:rPr>
    </w:lvl>
  </w:abstractNum>
  <w:abstractNum w:abstractNumId="45" w15:restartNumberingAfterBreak="0">
    <w:nsid w:val="1BB17AAC"/>
    <w:multiLevelType w:val="hybridMultilevel"/>
    <w:tmpl w:val="F90AB0F2"/>
    <w:lvl w:ilvl="0" w:tplc="C7D029AC">
      <w:start w:val="1"/>
      <w:numFmt w:val="decimal"/>
      <w:lvlText w:val="%1"/>
      <w:lvlJc w:val="left"/>
      <w:pPr>
        <w:ind w:left="523" w:hanging="233"/>
        <w:jc w:val="left"/>
      </w:pPr>
      <w:rPr>
        <w:rFonts w:ascii="Arial" w:eastAsia="Arial" w:hAnsi="Arial" w:cs="Arial" w:hint="default"/>
        <w:b/>
        <w:bCs/>
        <w:i w:val="0"/>
        <w:iCs w:val="0"/>
        <w:w w:val="99"/>
        <w:sz w:val="13"/>
        <w:szCs w:val="13"/>
        <w:lang w:val="en-US" w:eastAsia="en-US" w:bidi="ar-SA"/>
      </w:rPr>
    </w:lvl>
    <w:lvl w:ilvl="1" w:tplc="2E606A8C">
      <w:numFmt w:val="bullet"/>
      <w:lvlText w:val="•"/>
      <w:lvlJc w:val="left"/>
      <w:pPr>
        <w:ind w:left="693" w:hanging="171"/>
      </w:pPr>
      <w:rPr>
        <w:rFonts w:ascii="Trebuchet MS" w:eastAsia="Trebuchet MS" w:hAnsi="Trebuchet MS" w:cs="Trebuchet MS" w:hint="default"/>
        <w:b w:val="0"/>
        <w:bCs w:val="0"/>
        <w:i w:val="0"/>
        <w:iCs w:val="0"/>
        <w:w w:val="95"/>
        <w:sz w:val="16"/>
        <w:szCs w:val="16"/>
        <w:lang w:val="en-US" w:eastAsia="en-US" w:bidi="ar-SA"/>
      </w:rPr>
    </w:lvl>
    <w:lvl w:ilvl="2" w:tplc="D44C2028">
      <w:numFmt w:val="bullet"/>
      <w:lvlText w:val="•"/>
      <w:lvlJc w:val="left"/>
      <w:pPr>
        <w:ind w:left="1040" w:hanging="171"/>
      </w:pPr>
      <w:rPr>
        <w:rFonts w:hint="default"/>
        <w:lang w:val="en-US" w:eastAsia="en-US" w:bidi="ar-SA"/>
      </w:rPr>
    </w:lvl>
    <w:lvl w:ilvl="3" w:tplc="1654093C">
      <w:numFmt w:val="bullet"/>
      <w:lvlText w:val="•"/>
      <w:lvlJc w:val="left"/>
      <w:pPr>
        <w:ind w:left="1381" w:hanging="171"/>
      </w:pPr>
      <w:rPr>
        <w:rFonts w:hint="default"/>
        <w:lang w:val="en-US" w:eastAsia="en-US" w:bidi="ar-SA"/>
      </w:rPr>
    </w:lvl>
    <w:lvl w:ilvl="4" w:tplc="7D78E9E6">
      <w:numFmt w:val="bullet"/>
      <w:lvlText w:val="•"/>
      <w:lvlJc w:val="left"/>
      <w:pPr>
        <w:ind w:left="1721" w:hanging="171"/>
      </w:pPr>
      <w:rPr>
        <w:rFonts w:hint="default"/>
        <w:lang w:val="en-US" w:eastAsia="en-US" w:bidi="ar-SA"/>
      </w:rPr>
    </w:lvl>
    <w:lvl w:ilvl="5" w:tplc="CF38572A">
      <w:numFmt w:val="bullet"/>
      <w:lvlText w:val="•"/>
      <w:lvlJc w:val="left"/>
      <w:pPr>
        <w:ind w:left="2062" w:hanging="171"/>
      </w:pPr>
      <w:rPr>
        <w:rFonts w:hint="default"/>
        <w:lang w:val="en-US" w:eastAsia="en-US" w:bidi="ar-SA"/>
      </w:rPr>
    </w:lvl>
    <w:lvl w:ilvl="6" w:tplc="42645F34">
      <w:numFmt w:val="bullet"/>
      <w:lvlText w:val="•"/>
      <w:lvlJc w:val="left"/>
      <w:pPr>
        <w:ind w:left="2403" w:hanging="171"/>
      </w:pPr>
      <w:rPr>
        <w:rFonts w:hint="default"/>
        <w:lang w:val="en-US" w:eastAsia="en-US" w:bidi="ar-SA"/>
      </w:rPr>
    </w:lvl>
    <w:lvl w:ilvl="7" w:tplc="B9B87D56">
      <w:numFmt w:val="bullet"/>
      <w:lvlText w:val="•"/>
      <w:lvlJc w:val="left"/>
      <w:pPr>
        <w:ind w:left="2743" w:hanging="171"/>
      </w:pPr>
      <w:rPr>
        <w:rFonts w:hint="default"/>
        <w:lang w:val="en-US" w:eastAsia="en-US" w:bidi="ar-SA"/>
      </w:rPr>
    </w:lvl>
    <w:lvl w:ilvl="8" w:tplc="DE924034">
      <w:numFmt w:val="bullet"/>
      <w:lvlText w:val="•"/>
      <w:lvlJc w:val="left"/>
      <w:pPr>
        <w:ind w:left="3084" w:hanging="171"/>
      </w:pPr>
      <w:rPr>
        <w:rFonts w:hint="default"/>
        <w:lang w:val="en-US" w:eastAsia="en-US" w:bidi="ar-SA"/>
      </w:rPr>
    </w:lvl>
  </w:abstractNum>
  <w:abstractNum w:abstractNumId="46" w15:restartNumberingAfterBreak="0">
    <w:nsid w:val="1BCE5CC8"/>
    <w:multiLevelType w:val="multilevel"/>
    <w:tmpl w:val="13EA6E2A"/>
    <w:lvl w:ilvl="0">
      <w:start w:val="16"/>
      <w:numFmt w:val="decimal"/>
      <w:lvlText w:val="%1"/>
      <w:lvlJc w:val="left"/>
      <w:pPr>
        <w:ind w:left="848" w:hanging="511"/>
        <w:jc w:val="left"/>
      </w:pPr>
      <w:rPr>
        <w:rFonts w:hint="default"/>
        <w:lang w:val="en-US" w:eastAsia="en-US" w:bidi="ar-SA"/>
      </w:rPr>
    </w:lvl>
    <w:lvl w:ilvl="1">
      <w:numFmt w:val="decimal"/>
      <w:lvlText w:val="%1.%2"/>
      <w:lvlJc w:val="left"/>
      <w:pPr>
        <w:ind w:left="848" w:hanging="511"/>
        <w:jc w:val="left"/>
      </w:pPr>
      <w:rPr>
        <w:rFonts w:hint="default"/>
        <w:w w:val="99"/>
        <w:lang w:val="en-US" w:eastAsia="en-US" w:bidi="ar-SA"/>
      </w:rPr>
    </w:lvl>
    <w:lvl w:ilvl="2">
      <w:numFmt w:val="bullet"/>
      <w:lvlText w:val="•"/>
      <w:lvlJc w:val="left"/>
      <w:pPr>
        <w:ind w:left="2847" w:hanging="511"/>
      </w:pPr>
      <w:rPr>
        <w:rFonts w:hint="default"/>
        <w:lang w:val="en-US" w:eastAsia="en-US" w:bidi="ar-SA"/>
      </w:rPr>
    </w:lvl>
    <w:lvl w:ilvl="3">
      <w:numFmt w:val="bullet"/>
      <w:lvlText w:val="•"/>
      <w:lvlJc w:val="left"/>
      <w:pPr>
        <w:ind w:left="3851" w:hanging="511"/>
      </w:pPr>
      <w:rPr>
        <w:rFonts w:hint="default"/>
        <w:lang w:val="en-US" w:eastAsia="en-US" w:bidi="ar-SA"/>
      </w:rPr>
    </w:lvl>
    <w:lvl w:ilvl="4">
      <w:numFmt w:val="bullet"/>
      <w:lvlText w:val="•"/>
      <w:lvlJc w:val="left"/>
      <w:pPr>
        <w:ind w:left="4854" w:hanging="511"/>
      </w:pPr>
      <w:rPr>
        <w:rFonts w:hint="default"/>
        <w:lang w:val="en-US" w:eastAsia="en-US" w:bidi="ar-SA"/>
      </w:rPr>
    </w:lvl>
    <w:lvl w:ilvl="5">
      <w:numFmt w:val="bullet"/>
      <w:lvlText w:val="•"/>
      <w:lvlJc w:val="left"/>
      <w:pPr>
        <w:ind w:left="5858" w:hanging="511"/>
      </w:pPr>
      <w:rPr>
        <w:rFonts w:hint="default"/>
        <w:lang w:val="en-US" w:eastAsia="en-US" w:bidi="ar-SA"/>
      </w:rPr>
    </w:lvl>
    <w:lvl w:ilvl="6">
      <w:numFmt w:val="bullet"/>
      <w:lvlText w:val="•"/>
      <w:lvlJc w:val="left"/>
      <w:pPr>
        <w:ind w:left="6862" w:hanging="511"/>
      </w:pPr>
      <w:rPr>
        <w:rFonts w:hint="default"/>
        <w:lang w:val="en-US" w:eastAsia="en-US" w:bidi="ar-SA"/>
      </w:rPr>
    </w:lvl>
    <w:lvl w:ilvl="7">
      <w:numFmt w:val="bullet"/>
      <w:lvlText w:val="•"/>
      <w:lvlJc w:val="left"/>
      <w:pPr>
        <w:ind w:left="7865" w:hanging="511"/>
      </w:pPr>
      <w:rPr>
        <w:rFonts w:hint="default"/>
        <w:lang w:val="en-US" w:eastAsia="en-US" w:bidi="ar-SA"/>
      </w:rPr>
    </w:lvl>
    <w:lvl w:ilvl="8">
      <w:numFmt w:val="bullet"/>
      <w:lvlText w:val="•"/>
      <w:lvlJc w:val="left"/>
      <w:pPr>
        <w:ind w:left="8869" w:hanging="511"/>
      </w:pPr>
      <w:rPr>
        <w:rFonts w:hint="default"/>
        <w:lang w:val="en-US" w:eastAsia="en-US" w:bidi="ar-SA"/>
      </w:rPr>
    </w:lvl>
  </w:abstractNum>
  <w:abstractNum w:abstractNumId="47" w15:restartNumberingAfterBreak="0">
    <w:nsid w:val="1BED18ED"/>
    <w:multiLevelType w:val="hybridMultilevel"/>
    <w:tmpl w:val="05805466"/>
    <w:lvl w:ilvl="0" w:tplc="31FAA4F6">
      <w:numFmt w:val="bullet"/>
      <w:lvlText w:val="•"/>
      <w:lvlJc w:val="left"/>
      <w:pPr>
        <w:ind w:left="207" w:hanging="100"/>
      </w:pPr>
      <w:rPr>
        <w:rFonts w:ascii="Tahoma" w:eastAsia="Tahoma" w:hAnsi="Tahoma" w:cs="Tahoma" w:hint="default"/>
        <w:b w:val="0"/>
        <w:bCs w:val="0"/>
        <w:i w:val="0"/>
        <w:iCs w:val="0"/>
        <w:w w:val="109"/>
        <w:sz w:val="14"/>
        <w:szCs w:val="14"/>
        <w:lang w:val="en-US" w:eastAsia="en-US" w:bidi="ar-SA"/>
      </w:rPr>
    </w:lvl>
    <w:lvl w:ilvl="1" w:tplc="E840A6E6">
      <w:numFmt w:val="bullet"/>
      <w:lvlText w:val="•"/>
      <w:lvlJc w:val="left"/>
      <w:pPr>
        <w:ind w:left="607" w:hanging="100"/>
      </w:pPr>
      <w:rPr>
        <w:rFonts w:hint="default"/>
        <w:lang w:val="en-US" w:eastAsia="en-US" w:bidi="ar-SA"/>
      </w:rPr>
    </w:lvl>
    <w:lvl w:ilvl="2" w:tplc="5C5A76A6">
      <w:numFmt w:val="bullet"/>
      <w:lvlText w:val="•"/>
      <w:lvlJc w:val="left"/>
      <w:pPr>
        <w:ind w:left="1015" w:hanging="100"/>
      </w:pPr>
      <w:rPr>
        <w:rFonts w:hint="default"/>
        <w:lang w:val="en-US" w:eastAsia="en-US" w:bidi="ar-SA"/>
      </w:rPr>
    </w:lvl>
    <w:lvl w:ilvl="3" w:tplc="1A302BAA">
      <w:numFmt w:val="bullet"/>
      <w:lvlText w:val="•"/>
      <w:lvlJc w:val="left"/>
      <w:pPr>
        <w:ind w:left="1423" w:hanging="100"/>
      </w:pPr>
      <w:rPr>
        <w:rFonts w:hint="default"/>
        <w:lang w:val="en-US" w:eastAsia="en-US" w:bidi="ar-SA"/>
      </w:rPr>
    </w:lvl>
    <w:lvl w:ilvl="4" w:tplc="A366FCFC">
      <w:numFmt w:val="bullet"/>
      <w:lvlText w:val="•"/>
      <w:lvlJc w:val="left"/>
      <w:pPr>
        <w:ind w:left="1831" w:hanging="100"/>
      </w:pPr>
      <w:rPr>
        <w:rFonts w:hint="default"/>
        <w:lang w:val="en-US" w:eastAsia="en-US" w:bidi="ar-SA"/>
      </w:rPr>
    </w:lvl>
    <w:lvl w:ilvl="5" w:tplc="D436CC3A">
      <w:numFmt w:val="bullet"/>
      <w:lvlText w:val="•"/>
      <w:lvlJc w:val="left"/>
      <w:pPr>
        <w:ind w:left="2239" w:hanging="100"/>
      </w:pPr>
      <w:rPr>
        <w:rFonts w:hint="default"/>
        <w:lang w:val="en-US" w:eastAsia="en-US" w:bidi="ar-SA"/>
      </w:rPr>
    </w:lvl>
    <w:lvl w:ilvl="6" w:tplc="4FC23984">
      <w:numFmt w:val="bullet"/>
      <w:lvlText w:val="•"/>
      <w:lvlJc w:val="left"/>
      <w:pPr>
        <w:ind w:left="2646" w:hanging="100"/>
      </w:pPr>
      <w:rPr>
        <w:rFonts w:hint="default"/>
        <w:lang w:val="en-US" w:eastAsia="en-US" w:bidi="ar-SA"/>
      </w:rPr>
    </w:lvl>
    <w:lvl w:ilvl="7" w:tplc="0C3A8970">
      <w:numFmt w:val="bullet"/>
      <w:lvlText w:val="•"/>
      <w:lvlJc w:val="left"/>
      <w:pPr>
        <w:ind w:left="3054" w:hanging="100"/>
      </w:pPr>
      <w:rPr>
        <w:rFonts w:hint="default"/>
        <w:lang w:val="en-US" w:eastAsia="en-US" w:bidi="ar-SA"/>
      </w:rPr>
    </w:lvl>
    <w:lvl w:ilvl="8" w:tplc="1BC006DC">
      <w:numFmt w:val="bullet"/>
      <w:lvlText w:val="•"/>
      <w:lvlJc w:val="left"/>
      <w:pPr>
        <w:ind w:left="3462" w:hanging="100"/>
      </w:pPr>
      <w:rPr>
        <w:rFonts w:hint="default"/>
        <w:lang w:val="en-US" w:eastAsia="en-US" w:bidi="ar-SA"/>
      </w:rPr>
    </w:lvl>
  </w:abstractNum>
  <w:abstractNum w:abstractNumId="48" w15:restartNumberingAfterBreak="0">
    <w:nsid w:val="1CDE36B9"/>
    <w:multiLevelType w:val="hybridMultilevel"/>
    <w:tmpl w:val="2E5029A0"/>
    <w:lvl w:ilvl="0" w:tplc="64B2A13A">
      <w:start w:val="7"/>
      <w:numFmt w:val="decimal"/>
      <w:lvlText w:val="%1"/>
      <w:lvlJc w:val="left"/>
      <w:pPr>
        <w:ind w:left="243" w:hanging="209"/>
        <w:jc w:val="left"/>
      </w:pPr>
      <w:rPr>
        <w:rFonts w:ascii="Arial" w:eastAsia="Arial" w:hAnsi="Arial" w:cs="Arial" w:hint="default"/>
        <w:b/>
        <w:bCs/>
        <w:i w:val="0"/>
        <w:iCs w:val="0"/>
        <w:w w:val="99"/>
        <w:sz w:val="14"/>
        <w:szCs w:val="14"/>
        <w:lang w:val="en-US" w:eastAsia="en-US" w:bidi="ar-SA"/>
      </w:rPr>
    </w:lvl>
    <w:lvl w:ilvl="1" w:tplc="9F224330">
      <w:numFmt w:val="bullet"/>
      <w:lvlText w:val="•"/>
      <w:lvlJc w:val="left"/>
      <w:pPr>
        <w:ind w:left="322" w:hanging="209"/>
      </w:pPr>
      <w:rPr>
        <w:rFonts w:hint="default"/>
        <w:lang w:val="en-US" w:eastAsia="en-US" w:bidi="ar-SA"/>
      </w:rPr>
    </w:lvl>
    <w:lvl w:ilvl="2" w:tplc="E760E47A">
      <w:numFmt w:val="bullet"/>
      <w:lvlText w:val="•"/>
      <w:lvlJc w:val="left"/>
      <w:pPr>
        <w:ind w:left="405" w:hanging="209"/>
      </w:pPr>
      <w:rPr>
        <w:rFonts w:hint="default"/>
        <w:lang w:val="en-US" w:eastAsia="en-US" w:bidi="ar-SA"/>
      </w:rPr>
    </w:lvl>
    <w:lvl w:ilvl="3" w:tplc="C884163E">
      <w:numFmt w:val="bullet"/>
      <w:lvlText w:val="•"/>
      <w:lvlJc w:val="left"/>
      <w:pPr>
        <w:ind w:left="487" w:hanging="209"/>
      </w:pPr>
      <w:rPr>
        <w:rFonts w:hint="default"/>
        <w:lang w:val="en-US" w:eastAsia="en-US" w:bidi="ar-SA"/>
      </w:rPr>
    </w:lvl>
    <w:lvl w:ilvl="4" w:tplc="A0B279F4">
      <w:numFmt w:val="bullet"/>
      <w:lvlText w:val="•"/>
      <w:lvlJc w:val="left"/>
      <w:pPr>
        <w:ind w:left="570" w:hanging="209"/>
      </w:pPr>
      <w:rPr>
        <w:rFonts w:hint="default"/>
        <w:lang w:val="en-US" w:eastAsia="en-US" w:bidi="ar-SA"/>
      </w:rPr>
    </w:lvl>
    <w:lvl w:ilvl="5" w:tplc="E1680DAC">
      <w:numFmt w:val="bullet"/>
      <w:lvlText w:val="•"/>
      <w:lvlJc w:val="left"/>
      <w:pPr>
        <w:ind w:left="653" w:hanging="209"/>
      </w:pPr>
      <w:rPr>
        <w:rFonts w:hint="default"/>
        <w:lang w:val="en-US" w:eastAsia="en-US" w:bidi="ar-SA"/>
      </w:rPr>
    </w:lvl>
    <w:lvl w:ilvl="6" w:tplc="008EB22E">
      <w:numFmt w:val="bullet"/>
      <w:lvlText w:val="•"/>
      <w:lvlJc w:val="left"/>
      <w:pPr>
        <w:ind w:left="735" w:hanging="209"/>
      </w:pPr>
      <w:rPr>
        <w:rFonts w:hint="default"/>
        <w:lang w:val="en-US" w:eastAsia="en-US" w:bidi="ar-SA"/>
      </w:rPr>
    </w:lvl>
    <w:lvl w:ilvl="7" w:tplc="00B8101C">
      <w:numFmt w:val="bullet"/>
      <w:lvlText w:val="•"/>
      <w:lvlJc w:val="left"/>
      <w:pPr>
        <w:ind w:left="818" w:hanging="209"/>
      </w:pPr>
      <w:rPr>
        <w:rFonts w:hint="default"/>
        <w:lang w:val="en-US" w:eastAsia="en-US" w:bidi="ar-SA"/>
      </w:rPr>
    </w:lvl>
    <w:lvl w:ilvl="8" w:tplc="7C3EF586">
      <w:numFmt w:val="bullet"/>
      <w:lvlText w:val="•"/>
      <w:lvlJc w:val="left"/>
      <w:pPr>
        <w:ind w:left="900" w:hanging="209"/>
      </w:pPr>
      <w:rPr>
        <w:rFonts w:hint="default"/>
        <w:lang w:val="en-US" w:eastAsia="en-US" w:bidi="ar-SA"/>
      </w:rPr>
    </w:lvl>
  </w:abstractNum>
  <w:abstractNum w:abstractNumId="49" w15:restartNumberingAfterBreak="0">
    <w:nsid w:val="1D2124E6"/>
    <w:multiLevelType w:val="hybridMultilevel"/>
    <w:tmpl w:val="77EAD5CC"/>
    <w:lvl w:ilvl="0" w:tplc="AAD88D06">
      <w:numFmt w:val="bullet"/>
      <w:lvlText w:val="•"/>
      <w:lvlJc w:val="left"/>
      <w:pPr>
        <w:ind w:left="620" w:hanging="284"/>
      </w:pPr>
      <w:rPr>
        <w:rFonts w:ascii="Tahoma" w:eastAsia="Tahoma" w:hAnsi="Tahoma" w:cs="Tahoma" w:hint="default"/>
        <w:b w:val="0"/>
        <w:bCs w:val="0"/>
        <w:i w:val="0"/>
        <w:iCs w:val="0"/>
        <w:w w:val="109"/>
        <w:sz w:val="20"/>
        <w:szCs w:val="20"/>
        <w:lang w:val="en-US" w:eastAsia="en-US" w:bidi="ar-SA"/>
      </w:rPr>
    </w:lvl>
    <w:lvl w:ilvl="1" w:tplc="9DFEB250">
      <w:numFmt w:val="bullet"/>
      <w:lvlText w:val="•"/>
      <w:lvlJc w:val="left"/>
      <w:pPr>
        <w:ind w:left="1068" w:hanging="284"/>
      </w:pPr>
      <w:rPr>
        <w:rFonts w:hint="default"/>
        <w:lang w:val="en-US" w:eastAsia="en-US" w:bidi="ar-SA"/>
      </w:rPr>
    </w:lvl>
    <w:lvl w:ilvl="2" w:tplc="5D90DDCE">
      <w:numFmt w:val="bullet"/>
      <w:lvlText w:val="•"/>
      <w:lvlJc w:val="left"/>
      <w:pPr>
        <w:ind w:left="1516" w:hanging="284"/>
      </w:pPr>
      <w:rPr>
        <w:rFonts w:hint="default"/>
        <w:lang w:val="en-US" w:eastAsia="en-US" w:bidi="ar-SA"/>
      </w:rPr>
    </w:lvl>
    <w:lvl w:ilvl="3" w:tplc="B0E48FC8">
      <w:numFmt w:val="bullet"/>
      <w:lvlText w:val="•"/>
      <w:lvlJc w:val="left"/>
      <w:pPr>
        <w:ind w:left="1965" w:hanging="284"/>
      </w:pPr>
      <w:rPr>
        <w:rFonts w:hint="default"/>
        <w:lang w:val="en-US" w:eastAsia="en-US" w:bidi="ar-SA"/>
      </w:rPr>
    </w:lvl>
    <w:lvl w:ilvl="4" w:tplc="7E4A7E4E">
      <w:numFmt w:val="bullet"/>
      <w:lvlText w:val="•"/>
      <w:lvlJc w:val="left"/>
      <w:pPr>
        <w:ind w:left="2413" w:hanging="284"/>
      </w:pPr>
      <w:rPr>
        <w:rFonts w:hint="default"/>
        <w:lang w:val="en-US" w:eastAsia="en-US" w:bidi="ar-SA"/>
      </w:rPr>
    </w:lvl>
    <w:lvl w:ilvl="5" w:tplc="DD26B8A4">
      <w:numFmt w:val="bullet"/>
      <w:lvlText w:val="•"/>
      <w:lvlJc w:val="left"/>
      <w:pPr>
        <w:ind w:left="2862" w:hanging="284"/>
      </w:pPr>
      <w:rPr>
        <w:rFonts w:hint="default"/>
        <w:lang w:val="en-US" w:eastAsia="en-US" w:bidi="ar-SA"/>
      </w:rPr>
    </w:lvl>
    <w:lvl w:ilvl="6" w:tplc="E3282DDC">
      <w:numFmt w:val="bullet"/>
      <w:lvlText w:val="•"/>
      <w:lvlJc w:val="left"/>
      <w:pPr>
        <w:ind w:left="3310" w:hanging="284"/>
      </w:pPr>
      <w:rPr>
        <w:rFonts w:hint="default"/>
        <w:lang w:val="en-US" w:eastAsia="en-US" w:bidi="ar-SA"/>
      </w:rPr>
    </w:lvl>
    <w:lvl w:ilvl="7" w:tplc="B652EF16">
      <w:numFmt w:val="bullet"/>
      <w:lvlText w:val="•"/>
      <w:lvlJc w:val="left"/>
      <w:pPr>
        <w:ind w:left="3759" w:hanging="284"/>
      </w:pPr>
      <w:rPr>
        <w:rFonts w:hint="default"/>
        <w:lang w:val="en-US" w:eastAsia="en-US" w:bidi="ar-SA"/>
      </w:rPr>
    </w:lvl>
    <w:lvl w:ilvl="8" w:tplc="D0A601A0">
      <w:numFmt w:val="bullet"/>
      <w:lvlText w:val="•"/>
      <w:lvlJc w:val="left"/>
      <w:pPr>
        <w:ind w:left="4207" w:hanging="284"/>
      </w:pPr>
      <w:rPr>
        <w:rFonts w:hint="default"/>
        <w:lang w:val="en-US" w:eastAsia="en-US" w:bidi="ar-SA"/>
      </w:rPr>
    </w:lvl>
  </w:abstractNum>
  <w:abstractNum w:abstractNumId="50" w15:restartNumberingAfterBreak="0">
    <w:nsid w:val="1DAD3E07"/>
    <w:multiLevelType w:val="hybridMultilevel"/>
    <w:tmpl w:val="884A2240"/>
    <w:lvl w:ilvl="0" w:tplc="693CC13E">
      <w:numFmt w:val="bullet"/>
      <w:lvlText w:val="•"/>
      <w:lvlJc w:val="left"/>
      <w:pPr>
        <w:ind w:left="775" w:hanging="284"/>
      </w:pPr>
      <w:rPr>
        <w:rFonts w:ascii="Tahoma" w:eastAsia="Tahoma" w:hAnsi="Tahoma" w:cs="Tahoma" w:hint="default"/>
        <w:b w:val="0"/>
        <w:bCs w:val="0"/>
        <w:i w:val="0"/>
        <w:iCs w:val="0"/>
        <w:w w:val="109"/>
        <w:sz w:val="20"/>
        <w:szCs w:val="20"/>
        <w:lang w:val="en-US" w:eastAsia="en-US" w:bidi="ar-SA"/>
      </w:rPr>
    </w:lvl>
    <w:lvl w:ilvl="1" w:tplc="163AF8D6">
      <w:numFmt w:val="bullet"/>
      <w:lvlText w:val="–"/>
      <w:lvlJc w:val="left"/>
      <w:pPr>
        <w:ind w:left="1058" w:hanging="284"/>
      </w:pPr>
      <w:rPr>
        <w:rFonts w:ascii="Arial" w:eastAsia="Arial" w:hAnsi="Arial" w:cs="Arial" w:hint="default"/>
        <w:b w:val="0"/>
        <w:bCs w:val="0"/>
        <w:i w:val="0"/>
        <w:iCs w:val="0"/>
        <w:w w:val="89"/>
        <w:sz w:val="20"/>
        <w:szCs w:val="20"/>
        <w:lang w:val="en-US" w:eastAsia="en-US" w:bidi="ar-SA"/>
      </w:rPr>
    </w:lvl>
    <w:lvl w:ilvl="2" w:tplc="C7D84E46">
      <w:numFmt w:val="bullet"/>
      <w:lvlText w:val="•"/>
      <w:lvlJc w:val="left"/>
      <w:pPr>
        <w:ind w:left="1520" w:hanging="284"/>
      </w:pPr>
      <w:rPr>
        <w:rFonts w:hint="default"/>
        <w:lang w:val="en-US" w:eastAsia="en-US" w:bidi="ar-SA"/>
      </w:rPr>
    </w:lvl>
    <w:lvl w:ilvl="3" w:tplc="46C8E05E">
      <w:numFmt w:val="bullet"/>
      <w:lvlText w:val="•"/>
      <w:lvlJc w:val="left"/>
      <w:pPr>
        <w:ind w:left="1980" w:hanging="284"/>
      </w:pPr>
      <w:rPr>
        <w:rFonts w:hint="default"/>
        <w:lang w:val="en-US" w:eastAsia="en-US" w:bidi="ar-SA"/>
      </w:rPr>
    </w:lvl>
    <w:lvl w:ilvl="4" w:tplc="F25651CC">
      <w:numFmt w:val="bullet"/>
      <w:lvlText w:val="•"/>
      <w:lvlJc w:val="left"/>
      <w:pPr>
        <w:ind w:left="2441" w:hanging="284"/>
      </w:pPr>
      <w:rPr>
        <w:rFonts w:hint="default"/>
        <w:lang w:val="en-US" w:eastAsia="en-US" w:bidi="ar-SA"/>
      </w:rPr>
    </w:lvl>
    <w:lvl w:ilvl="5" w:tplc="9A648F38">
      <w:numFmt w:val="bullet"/>
      <w:lvlText w:val="•"/>
      <w:lvlJc w:val="left"/>
      <w:pPr>
        <w:ind w:left="2901" w:hanging="284"/>
      </w:pPr>
      <w:rPr>
        <w:rFonts w:hint="default"/>
        <w:lang w:val="en-US" w:eastAsia="en-US" w:bidi="ar-SA"/>
      </w:rPr>
    </w:lvl>
    <w:lvl w:ilvl="6" w:tplc="CE482E6E">
      <w:numFmt w:val="bullet"/>
      <w:lvlText w:val="•"/>
      <w:lvlJc w:val="left"/>
      <w:pPr>
        <w:ind w:left="3362" w:hanging="284"/>
      </w:pPr>
      <w:rPr>
        <w:rFonts w:hint="default"/>
        <w:lang w:val="en-US" w:eastAsia="en-US" w:bidi="ar-SA"/>
      </w:rPr>
    </w:lvl>
    <w:lvl w:ilvl="7" w:tplc="8278A9E2">
      <w:numFmt w:val="bullet"/>
      <w:lvlText w:val="•"/>
      <w:lvlJc w:val="left"/>
      <w:pPr>
        <w:ind w:left="3822" w:hanging="284"/>
      </w:pPr>
      <w:rPr>
        <w:rFonts w:hint="default"/>
        <w:lang w:val="en-US" w:eastAsia="en-US" w:bidi="ar-SA"/>
      </w:rPr>
    </w:lvl>
    <w:lvl w:ilvl="8" w:tplc="BA62DF2C">
      <w:numFmt w:val="bullet"/>
      <w:lvlText w:val="•"/>
      <w:lvlJc w:val="left"/>
      <w:pPr>
        <w:ind w:left="4283" w:hanging="284"/>
      </w:pPr>
      <w:rPr>
        <w:rFonts w:hint="default"/>
        <w:lang w:val="en-US" w:eastAsia="en-US" w:bidi="ar-SA"/>
      </w:rPr>
    </w:lvl>
  </w:abstractNum>
  <w:abstractNum w:abstractNumId="51" w15:restartNumberingAfterBreak="0">
    <w:nsid w:val="1EC4089B"/>
    <w:multiLevelType w:val="hybridMultilevel"/>
    <w:tmpl w:val="8D9E91F4"/>
    <w:lvl w:ilvl="0" w:tplc="B030B88A">
      <w:numFmt w:val="bullet"/>
      <w:lvlText w:val="•"/>
      <w:lvlJc w:val="left"/>
      <w:pPr>
        <w:ind w:left="775" w:hanging="284"/>
      </w:pPr>
      <w:rPr>
        <w:rFonts w:ascii="Tahoma" w:eastAsia="Tahoma" w:hAnsi="Tahoma" w:cs="Tahoma" w:hint="default"/>
        <w:b w:val="0"/>
        <w:bCs w:val="0"/>
        <w:i w:val="0"/>
        <w:iCs w:val="0"/>
        <w:w w:val="109"/>
        <w:sz w:val="20"/>
        <w:szCs w:val="20"/>
        <w:lang w:val="en-US" w:eastAsia="en-US" w:bidi="ar-SA"/>
      </w:rPr>
    </w:lvl>
    <w:lvl w:ilvl="1" w:tplc="14D6DB60">
      <w:numFmt w:val="bullet"/>
      <w:lvlText w:val="•"/>
      <w:lvlJc w:val="left"/>
      <w:pPr>
        <w:ind w:left="1220" w:hanging="284"/>
      </w:pPr>
      <w:rPr>
        <w:rFonts w:hint="default"/>
        <w:lang w:val="en-US" w:eastAsia="en-US" w:bidi="ar-SA"/>
      </w:rPr>
    </w:lvl>
    <w:lvl w:ilvl="2" w:tplc="B2E45626">
      <w:numFmt w:val="bullet"/>
      <w:lvlText w:val="•"/>
      <w:lvlJc w:val="left"/>
      <w:pPr>
        <w:ind w:left="1661" w:hanging="284"/>
      </w:pPr>
      <w:rPr>
        <w:rFonts w:hint="default"/>
        <w:lang w:val="en-US" w:eastAsia="en-US" w:bidi="ar-SA"/>
      </w:rPr>
    </w:lvl>
    <w:lvl w:ilvl="3" w:tplc="85AA6690">
      <w:numFmt w:val="bullet"/>
      <w:lvlText w:val="•"/>
      <w:lvlJc w:val="left"/>
      <w:pPr>
        <w:ind w:left="2102" w:hanging="284"/>
      </w:pPr>
      <w:rPr>
        <w:rFonts w:hint="default"/>
        <w:lang w:val="en-US" w:eastAsia="en-US" w:bidi="ar-SA"/>
      </w:rPr>
    </w:lvl>
    <w:lvl w:ilvl="4" w:tplc="3294E086">
      <w:numFmt w:val="bullet"/>
      <w:lvlText w:val="•"/>
      <w:lvlJc w:val="left"/>
      <w:pPr>
        <w:ind w:left="2543" w:hanging="284"/>
      </w:pPr>
      <w:rPr>
        <w:rFonts w:hint="default"/>
        <w:lang w:val="en-US" w:eastAsia="en-US" w:bidi="ar-SA"/>
      </w:rPr>
    </w:lvl>
    <w:lvl w:ilvl="5" w:tplc="044419AA">
      <w:numFmt w:val="bullet"/>
      <w:lvlText w:val="•"/>
      <w:lvlJc w:val="left"/>
      <w:pPr>
        <w:ind w:left="2984" w:hanging="284"/>
      </w:pPr>
      <w:rPr>
        <w:rFonts w:hint="default"/>
        <w:lang w:val="en-US" w:eastAsia="en-US" w:bidi="ar-SA"/>
      </w:rPr>
    </w:lvl>
    <w:lvl w:ilvl="6" w:tplc="ED020380">
      <w:numFmt w:val="bullet"/>
      <w:lvlText w:val="•"/>
      <w:lvlJc w:val="left"/>
      <w:pPr>
        <w:ind w:left="3425" w:hanging="284"/>
      </w:pPr>
      <w:rPr>
        <w:rFonts w:hint="default"/>
        <w:lang w:val="en-US" w:eastAsia="en-US" w:bidi="ar-SA"/>
      </w:rPr>
    </w:lvl>
    <w:lvl w:ilvl="7" w:tplc="83B2EBFC">
      <w:numFmt w:val="bullet"/>
      <w:lvlText w:val="•"/>
      <w:lvlJc w:val="left"/>
      <w:pPr>
        <w:ind w:left="3866" w:hanging="284"/>
      </w:pPr>
      <w:rPr>
        <w:rFonts w:hint="default"/>
        <w:lang w:val="en-US" w:eastAsia="en-US" w:bidi="ar-SA"/>
      </w:rPr>
    </w:lvl>
    <w:lvl w:ilvl="8" w:tplc="D82A522A">
      <w:numFmt w:val="bullet"/>
      <w:lvlText w:val="•"/>
      <w:lvlJc w:val="left"/>
      <w:pPr>
        <w:ind w:left="4307" w:hanging="284"/>
      </w:pPr>
      <w:rPr>
        <w:rFonts w:hint="default"/>
        <w:lang w:val="en-US" w:eastAsia="en-US" w:bidi="ar-SA"/>
      </w:rPr>
    </w:lvl>
  </w:abstractNum>
  <w:abstractNum w:abstractNumId="52" w15:restartNumberingAfterBreak="0">
    <w:nsid w:val="20CE4A13"/>
    <w:multiLevelType w:val="hybridMultilevel"/>
    <w:tmpl w:val="DC2C2EFC"/>
    <w:lvl w:ilvl="0" w:tplc="EBCA65EA">
      <w:numFmt w:val="bullet"/>
      <w:lvlText w:val="–"/>
      <w:lvlJc w:val="left"/>
      <w:pPr>
        <w:ind w:left="185" w:hanging="122"/>
      </w:pPr>
      <w:rPr>
        <w:rFonts w:ascii="Arial" w:eastAsia="Arial" w:hAnsi="Arial" w:cs="Arial" w:hint="default"/>
        <w:b w:val="0"/>
        <w:bCs w:val="0"/>
        <w:i w:val="0"/>
        <w:iCs w:val="0"/>
        <w:w w:val="89"/>
        <w:sz w:val="16"/>
        <w:szCs w:val="16"/>
        <w:lang w:val="en-US" w:eastAsia="en-US" w:bidi="ar-SA"/>
      </w:rPr>
    </w:lvl>
    <w:lvl w:ilvl="1" w:tplc="591AA7A2">
      <w:numFmt w:val="bullet"/>
      <w:lvlText w:val="•"/>
      <w:lvlJc w:val="left"/>
      <w:pPr>
        <w:ind w:left="376" w:hanging="122"/>
      </w:pPr>
      <w:rPr>
        <w:rFonts w:hint="default"/>
        <w:lang w:val="en-US" w:eastAsia="en-US" w:bidi="ar-SA"/>
      </w:rPr>
    </w:lvl>
    <w:lvl w:ilvl="2" w:tplc="7F8A6902">
      <w:numFmt w:val="bullet"/>
      <w:lvlText w:val="•"/>
      <w:lvlJc w:val="left"/>
      <w:pPr>
        <w:ind w:left="573" w:hanging="122"/>
      </w:pPr>
      <w:rPr>
        <w:rFonts w:hint="default"/>
        <w:lang w:val="en-US" w:eastAsia="en-US" w:bidi="ar-SA"/>
      </w:rPr>
    </w:lvl>
    <w:lvl w:ilvl="3" w:tplc="F6D4C2EC">
      <w:numFmt w:val="bullet"/>
      <w:lvlText w:val="•"/>
      <w:lvlJc w:val="left"/>
      <w:pPr>
        <w:ind w:left="770" w:hanging="122"/>
      </w:pPr>
      <w:rPr>
        <w:rFonts w:hint="default"/>
        <w:lang w:val="en-US" w:eastAsia="en-US" w:bidi="ar-SA"/>
      </w:rPr>
    </w:lvl>
    <w:lvl w:ilvl="4" w:tplc="7E74AED2">
      <w:numFmt w:val="bullet"/>
      <w:lvlText w:val="•"/>
      <w:lvlJc w:val="left"/>
      <w:pPr>
        <w:ind w:left="967" w:hanging="122"/>
      </w:pPr>
      <w:rPr>
        <w:rFonts w:hint="default"/>
        <w:lang w:val="en-US" w:eastAsia="en-US" w:bidi="ar-SA"/>
      </w:rPr>
    </w:lvl>
    <w:lvl w:ilvl="5" w:tplc="5D6C5C52">
      <w:numFmt w:val="bullet"/>
      <w:lvlText w:val="•"/>
      <w:lvlJc w:val="left"/>
      <w:pPr>
        <w:ind w:left="1164" w:hanging="122"/>
      </w:pPr>
      <w:rPr>
        <w:rFonts w:hint="default"/>
        <w:lang w:val="en-US" w:eastAsia="en-US" w:bidi="ar-SA"/>
      </w:rPr>
    </w:lvl>
    <w:lvl w:ilvl="6" w:tplc="48A2DA1E">
      <w:numFmt w:val="bullet"/>
      <w:lvlText w:val="•"/>
      <w:lvlJc w:val="left"/>
      <w:pPr>
        <w:ind w:left="1360" w:hanging="122"/>
      </w:pPr>
      <w:rPr>
        <w:rFonts w:hint="default"/>
        <w:lang w:val="en-US" w:eastAsia="en-US" w:bidi="ar-SA"/>
      </w:rPr>
    </w:lvl>
    <w:lvl w:ilvl="7" w:tplc="63C601EA">
      <w:numFmt w:val="bullet"/>
      <w:lvlText w:val="•"/>
      <w:lvlJc w:val="left"/>
      <w:pPr>
        <w:ind w:left="1557" w:hanging="122"/>
      </w:pPr>
      <w:rPr>
        <w:rFonts w:hint="default"/>
        <w:lang w:val="en-US" w:eastAsia="en-US" w:bidi="ar-SA"/>
      </w:rPr>
    </w:lvl>
    <w:lvl w:ilvl="8" w:tplc="A9A6D026">
      <w:numFmt w:val="bullet"/>
      <w:lvlText w:val="•"/>
      <w:lvlJc w:val="left"/>
      <w:pPr>
        <w:ind w:left="1754" w:hanging="122"/>
      </w:pPr>
      <w:rPr>
        <w:rFonts w:hint="default"/>
        <w:lang w:val="en-US" w:eastAsia="en-US" w:bidi="ar-SA"/>
      </w:rPr>
    </w:lvl>
  </w:abstractNum>
  <w:abstractNum w:abstractNumId="53" w15:restartNumberingAfterBreak="0">
    <w:nsid w:val="21975FEE"/>
    <w:multiLevelType w:val="hybridMultilevel"/>
    <w:tmpl w:val="E946BCFA"/>
    <w:lvl w:ilvl="0" w:tplc="466AC99C">
      <w:numFmt w:val="bullet"/>
      <w:lvlText w:val="•"/>
      <w:lvlJc w:val="left"/>
      <w:pPr>
        <w:ind w:left="208" w:hanging="100"/>
      </w:pPr>
      <w:rPr>
        <w:rFonts w:ascii="Tahoma" w:eastAsia="Tahoma" w:hAnsi="Tahoma" w:cs="Tahoma" w:hint="default"/>
        <w:b w:val="0"/>
        <w:bCs w:val="0"/>
        <w:i w:val="0"/>
        <w:iCs w:val="0"/>
        <w:w w:val="109"/>
        <w:sz w:val="14"/>
        <w:szCs w:val="14"/>
        <w:lang w:val="en-US" w:eastAsia="en-US" w:bidi="ar-SA"/>
      </w:rPr>
    </w:lvl>
    <w:lvl w:ilvl="1" w:tplc="E54406F2">
      <w:numFmt w:val="bullet"/>
      <w:lvlText w:val="•"/>
      <w:lvlJc w:val="left"/>
      <w:pPr>
        <w:ind w:left="607" w:hanging="100"/>
      </w:pPr>
      <w:rPr>
        <w:rFonts w:hint="default"/>
        <w:lang w:val="en-US" w:eastAsia="en-US" w:bidi="ar-SA"/>
      </w:rPr>
    </w:lvl>
    <w:lvl w:ilvl="2" w:tplc="C89804E0">
      <w:numFmt w:val="bullet"/>
      <w:lvlText w:val="•"/>
      <w:lvlJc w:val="left"/>
      <w:pPr>
        <w:ind w:left="1015" w:hanging="100"/>
      </w:pPr>
      <w:rPr>
        <w:rFonts w:hint="default"/>
        <w:lang w:val="en-US" w:eastAsia="en-US" w:bidi="ar-SA"/>
      </w:rPr>
    </w:lvl>
    <w:lvl w:ilvl="3" w:tplc="66A67A2A">
      <w:numFmt w:val="bullet"/>
      <w:lvlText w:val="•"/>
      <w:lvlJc w:val="left"/>
      <w:pPr>
        <w:ind w:left="1423" w:hanging="100"/>
      </w:pPr>
      <w:rPr>
        <w:rFonts w:hint="default"/>
        <w:lang w:val="en-US" w:eastAsia="en-US" w:bidi="ar-SA"/>
      </w:rPr>
    </w:lvl>
    <w:lvl w:ilvl="4" w:tplc="267CBC38">
      <w:numFmt w:val="bullet"/>
      <w:lvlText w:val="•"/>
      <w:lvlJc w:val="left"/>
      <w:pPr>
        <w:ind w:left="1831" w:hanging="100"/>
      </w:pPr>
      <w:rPr>
        <w:rFonts w:hint="default"/>
        <w:lang w:val="en-US" w:eastAsia="en-US" w:bidi="ar-SA"/>
      </w:rPr>
    </w:lvl>
    <w:lvl w:ilvl="5" w:tplc="28524C02">
      <w:numFmt w:val="bullet"/>
      <w:lvlText w:val="•"/>
      <w:lvlJc w:val="left"/>
      <w:pPr>
        <w:ind w:left="2239" w:hanging="100"/>
      </w:pPr>
      <w:rPr>
        <w:rFonts w:hint="default"/>
        <w:lang w:val="en-US" w:eastAsia="en-US" w:bidi="ar-SA"/>
      </w:rPr>
    </w:lvl>
    <w:lvl w:ilvl="6" w:tplc="6108D96E">
      <w:numFmt w:val="bullet"/>
      <w:lvlText w:val="•"/>
      <w:lvlJc w:val="left"/>
      <w:pPr>
        <w:ind w:left="2646" w:hanging="100"/>
      </w:pPr>
      <w:rPr>
        <w:rFonts w:hint="default"/>
        <w:lang w:val="en-US" w:eastAsia="en-US" w:bidi="ar-SA"/>
      </w:rPr>
    </w:lvl>
    <w:lvl w:ilvl="7" w:tplc="F9E0C4F0">
      <w:numFmt w:val="bullet"/>
      <w:lvlText w:val="•"/>
      <w:lvlJc w:val="left"/>
      <w:pPr>
        <w:ind w:left="3054" w:hanging="100"/>
      </w:pPr>
      <w:rPr>
        <w:rFonts w:hint="default"/>
        <w:lang w:val="en-US" w:eastAsia="en-US" w:bidi="ar-SA"/>
      </w:rPr>
    </w:lvl>
    <w:lvl w:ilvl="8" w:tplc="BCA49042">
      <w:numFmt w:val="bullet"/>
      <w:lvlText w:val="•"/>
      <w:lvlJc w:val="left"/>
      <w:pPr>
        <w:ind w:left="3462" w:hanging="100"/>
      </w:pPr>
      <w:rPr>
        <w:rFonts w:hint="default"/>
        <w:lang w:val="en-US" w:eastAsia="en-US" w:bidi="ar-SA"/>
      </w:rPr>
    </w:lvl>
  </w:abstractNum>
  <w:abstractNum w:abstractNumId="54" w15:restartNumberingAfterBreak="0">
    <w:nsid w:val="221B0CA6"/>
    <w:multiLevelType w:val="multilevel"/>
    <w:tmpl w:val="C25835A4"/>
    <w:lvl w:ilvl="0">
      <w:start w:val="12"/>
      <w:numFmt w:val="decimal"/>
      <w:lvlText w:val="%1"/>
      <w:lvlJc w:val="left"/>
      <w:pPr>
        <w:ind w:left="1002" w:hanging="511"/>
        <w:jc w:val="left"/>
      </w:pPr>
      <w:rPr>
        <w:rFonts w:hint="default"/>
        <w:lang w:val="en-US" w:eastAsia="en-US" w:bidi="ar-SA"/>
      </w:rPr>
    </w:lvl>
    <w:lvl w:ilvl="1">
      <w:numFmt w:val="decimal"/>
      <w:lvlText w:val="%1.%2"/>
      <w:lvlJc w:val="left"/>
      <w:pPr>
        <w:ind w:left="1002" w:hanging="511"/>
        <w:jc w:val="left"/>
      </w:pPr>
      <w:rPr>
        <w:rFonts w:hint="default"/>
        <w:w w:val="99"/>
        <w:lang w:val="en-US" w:eastAsia="en-US" w:bidi="ar-SA"/>
      </w:rPr>
    </w:lvl>
    <w:lvl w:ilvl="2">
      <w:numFmt w:val="bullet"/>
      <w:lvlText w:val="•"/>
      <w:lvlJc w:val="left"/>
      <w:pPr>
        <w:ind w:left="1828" w:hanging="511"/>
      </w:pPr>
      <w:rPr>
        <w:rFonts w:hint="default"/>
        <w:lang w:val="en-US" w:eastAsia="en-US" w:bidi="ar-SA"/>
      </w:rPr>
    </w:lvl>
    <w:lvl w:ilvl="3">
      <w:numFmt w:val="bullet"/>
      <w:lvlText w:val="•"/>
      <w:lvlJc w:val="left"/>
      <w:pPr>
        <w:ind w:left="2242" w:hanging="511"/>
      </w:pPr>
      <w:rPr>
        <w:rFonts w:hint="default"/>
        <w:lang w:val="en-US" w:eastAsia="en-US" w:bidi="ar-SA"/>
      </w:rPr>
    </w:lvl>
    <w:lvl w:ilvl="4">
      <w:numFmt w:val="bullet"/>
      <w:lvlText w:val="•"/>
      <w:lvlJc w:val="left"/>
      <w:pPr>
        <w:ind w:left="2656" w:hanging="511"/>
      </w:pPr>
      <w:rPr>
        <w:rFonts w:hint="default"/>
        <w:lang w:val="en-US" w:eastAsia="en-US" w:bidi="ar-SA"/>
      </w:rPr>
    </w:lvl>
    <w:lvl w:ilvl="5">
      <w:numFmt w:val="bullet"/>
      <w:lvlText w:val="•"/>
      <w:lvlJc w:val="left"/>
      <w:pPr>
        <w:ind w:left="3070" w:hanging="511"/>
      </w:pPr>
      <w:rPr>
        <w:rFonts w:hint="default"/>
        <w:lang w:val="en-US" w:eastAsia="en-US" w:bidi="ar-SA"/>
      </w:rPr>
    </w:lvl>
    <w:lvl w:ilvl="6">
      <w:numFmt w:val="bullet"/>
      <w:lvlText w:val="•"/>
      <w:lvlJc w:val="left"/>
      <w:pPr>
        <w:ind w:left="3484" w:hanging="511"/>
      </w:pPr>
      <w:rPr>
        <w:rFonts w:hint="default"/>
        <w:lang w:val="en-US" w:eastAsia="en-US" w:bidi="ar-SA"/>
      </w:rPr>
    </w:lvl>
    <w:lvl w:ilvl="7">
      <w:numFmt w:val="bullet"/>
      <w:lvlText w:val="•"/>
      <w:lvlJc w:val="left"/>
      <w:pPr>
        <w:ind w:left="3898" w:hanging="511"/>
      </w:pPr>
      <w:rPr>
        <w:rFonts w:hint="default"/>
        <w:lang w:val="en-US" w:eastAsia="en-US" w:bidi="ar-SA"/>
      </w:rPr>
    </w:lvl>
    <w:lvl w:ilvl="8">
      <w:numFmt w:val="bullet"/>
      <w:lvlText w:val="•"/>
      <w:lvlJc w:val="left"/>
      <w:pPr>
        <w:ind w:left="4312" w:hanging="511"/>
      </w:pPr>
      <w:rPr>
        <w:rFonts w:hint="default"/>
        <w:lang w:val="en-US" w:eastAsia="en-US" w:bidi="ar-SA"/>
      </w:rPr>
    </w:lvl>
  </w:abstractNum>
  <w:abstractNum w:abstractNumId="55" w15:restartNumberingAfterBreak="0">
    <w:nsid w:val="22717540"/>
    <w:multiLevelType w:val="multilevel"/>
    <w:tmpl w:val="245E8CFE"/>
    <w:lvl w:ilvl="0">
      <w:start w:val="10"/>
      <w:numFmt w:val="decimal"/>
      <w:lvlText w:val="%1"/>
      <w:lvlJc w:val="left"/>
      <w:pPr>
        <w:ind w:left="186" w:hanging="648"/>
        <w:jc w:val="left"/>
      </w:pPr>
      <w:rPr>
        <w:rFonts w:hint="default"/>
        <w:lang w:val="en-US" w:eastAsia="en-US" w:bidi="ar-SA"/>
      </w:rPr>
    </w:lvl>
    <w:lvl w:ilvl="1">
      <w:start w:val="6"/>
      <w:numFmt w:val="decimal"/>
      <w:lvlText w:val="%1.%2"/>
      <w:lvlJc w:val="left"/>
      <w:pPr>
        <w:ind w:left="186" w:hanging="648"/>
        <w:jc w:val="left"/>
      </w:pPr>
      <w:rPr>
        <w:rFonts w:hint="default"/>
        <w:lang w:val="en-US" w:eastAsia="en-US" w:bidi="ar-SA"/>
      </w:rPr>
    </w:lvl>
    <w:lvl w:ilvl="2">
      <w:start w:val="2"/>
      <w:numFmt w:val="decimal"/>
      <w:lvlText w:val="%1.%2.%3."/>
      <w:lvlJc w:val="left"/>
      <w:pPr>
        <w:ind w:left="186" w:hanging="648"/>
        <w:jc w:val="left"/>
      </w:pPr>
      <w:rPr>
        <w:rFonts w:ascii="Arial" w:eastAsia="Arial" w:hAnsi="Arial" w:cs="Arial" w:hint="default"/>
        <w:b/>
        <w:bCs/>
        <w:i w:val="0"/>
        <w:iCs w:val="0"/>
        <w:color w:val="00AEEF"/>
        <w:spacing w:val="-3"/>
        <w:w w:val="99"/>
        <w:sz w:val="20"/>
        <w:szCs w:val="20"/>
        <w:lang w:val="en-US" w:eastAsia="en-US" w:bidi="ar-SA"/>
      </w:rPr>
    </w:lvl>
    <w:lvl w:ilvl="3">
      <w:numFmt w:val="bullet"/>
      <w:lvlText w:val="•"/>
      <w:lvlJc w:val="left"/>
      <w:pPr>
        <w:ind w:left="479" w:hanging="284"/>
      </w:pPr>
      <w:rPr>
        <w:rFonts w:ascii="Tahoma" w:eastAsia="Tahoma" w:hAnsi="Tahoma" w:cs="Tahoma" w:hint="default"/>
        <w:b w:val="0"/>
        <w:bCs w:val="0"/>
        <w:i w:val="0"/>
        <w:iCs w:val="0"/>
        <w:w w:val="109"/>
        <w:sz w:val="20"/>
        <w:szCs w:val="20"/>
        <w:lang w:val="en-US" w:eastAsia="en-US" w:bidi="ar-SA"/>
      </w:rPr>
    </w:lvl>
    <w:lvl w:ilvl="4">
      <w:numFmt w:val="bullet"/>
      <w:lvlText w:val="•"/>
      <w:lvlJc w:val="left"/>
      <w:pPr>
        <w:ind w:left="2219" w:hanging="284"/>
      </w:pPr>
      <w:rPr>
        <w:rFonts w:hint="default"/>
        <w:lang w:val="en-US" w:eastAsia="en-US" w:bidi="ar-SA"/>
      </w:rPr>
    </w:lvl>
    <w:lvl w:ilvl="5">
      <w:numFmt w:val="bullet"/>
      <w:lvlText w:val="•"/>
      <w:lvlJc w:val="left"/>
      <w:pPr>
        <w:ind w:left="2799" w:hanging="284"/>
      </w:pPr>
      <w:rPr>
        <w:rFonts w:hint="default"/>
        <w:lang w:val="en-US" w:eastAsia="en-US" w:bidi="ar-SA"/>
      </w:rPr>
    </w:lvl>
    <w:lvl w:ilvl="6">
      <w:numFmt w:val="bullet"/>
      <w:lvlText w:val="•"/>
      <w:lvlJc w:val="left"/>
      <w:pPr>
        <w:ind w:left="3379" w:hanging="284"/>
      </w:pPr>
      <w:rPr>
        <w:rFonts w:hint="default"/>
        <w:lang w:val="en-US" w:eastAsia="en-US" w:bidi="ar-SA"/>
      </w:rPr>
    </w:lvl>
    <w:lvl w:ilvl="7">
      <w:numFmt w:val="bullet"/>
      <w:lvlText w:val="•"/>
      <w:lvlJc w:val="left"/>
      <w:pPr>
        <w:ind w:left="3959" w:hanging="284"/>
      </w:pPr>
      <w:rPr>
        <w:rFonts w:hint="default"/>
        <w:lang w:val="en-US" w:eastAsia="en-US" w:bidi="ar-SA"/>
      </w:rPr>
    </w:lvl>
    <w:lvl w:ilvl="8">
      <w:numFmt w:val="bullet"/>
      <w:lvlText w:val="•"/>
      <w:lvlJc w:val="left"/>
      <w:pPr>
        <w:ind w:left="4539" w:hanging="284"/>
      </w:pPr>
      <w:rPr>
        <w:rFonts w:hint="default"/>
        <w:lang w:val="en-US" w:eastAsia="en-US" w:bidi="ar-SA"/>
      </w:rPr>
    </w:lvl>
  </w:abstractNum>
  <w:abstractNum w:abstractNumId="56" w15:restartNumberingAfterBreak="0">
    <w:nsid w:val="22890904"/>
    <w:multiLevelType w:val="hybridMultilevel"/>
    <w:tmpl w:val="074432FE"/>
    <w:lvl w:ilvl="0" w:tplc="97ECBCF2">
      <w:numFmt w:val="bullet"/>
      <w:lvlText w:val="–"/>
      <w:lvlJc w:val="left"/>
      <w:pPr>
        <w:ind w:left="252" w:hanging="142"/>
      </w:pPr>
      <w:rPr>
        <w:rFonts w:ascii="Arial" w:eastAsia="Arial" w:hAnsi="Arial" w:cs="Arial" w:hint="default"/>
        <w:b w:val="0"/>
        <w:bCs w:val="0"/>
        <w:i w:val="0"/>
        <w:iCs w:val="0"/>
        <w:w w:val="89"/>
        <w:sz w:val="16"/>
        <w:szCs w:val="16"/>
        <w:lang w:val="en-US" w:eastAsia="en-US" w:bidi="ar-SA"/>
      </w:rPr>
    </w:lvl>
    <w:lvl w:ilvl="1" w:tplc="38821F46">
      <w:numFmt w:val="bullet"/>
      <w:lvlText w:val="•"/>
      <w:lvlJc w:val="left"/>
      <w:pPr>
        <w:ind w:left="1127" w:hanging="142"/>
      </w:pPr>
      <w:rPr>
        <w:rFonts w:hint="default"/>
        <w:lang w:val="en-US" w:eastAsia="en-US" w:bidi="ar-SA"/>
      </w:rPr>
    </w:lvl>
    <w:lvl w:ilvl="2" w:tplc="45C2A70A">
      <w:numFmt w:val="bullet"/>
      <w:lvlText w:val="•"/>
      <w:lvlJc w:val="left"/>
      <w:pPr>
        <w:ind w:left="1995" w:hanging="142"/>
      </w:pPr>
      <w:rPr>
        <w:rFonts w:hint="default"/>
        <w:lang w:val="en-US" w:eastAsia="en-US" w:bidi="ar-SA"/>
      </w:rPr>
    </w:lvl>
    <w:lvl w:ilvl="3" w:tplc="94A649C0">
      <w:numFmt w:val="bullet"/>
      <w:lvlText w:val="•"/>
      <w:lvlJc w:val="left"/>
      <w:pPr>
        <w:ind w:left="2863" w:hanging="142"/>
      </w:pPr>
      <w:rPr>
        <w:rFonts w:hint="default"/>
        <w:lang w:val="en-US" w:eastAsia="en-US" w:bidi="ar-SA"/>
      </w:rPr>
    </w:lvl>
    <w:lvl w:ilvl="4" w:tplc="B9F0D104">
      <w:numFmt w:val="bullet"/>
      <w:lvlText w:val="•"/>
      <w:lvlJc w:val="left"/>
      <w:pPr>
        <w:ind w:left="3731" w:hanging="142"/>
      </w:pPr>
      <w:rPr>
        <w:rFonts w:hint="default"/>
        <w:lang w:val="en-US" w:eastAsia="en-US" w:bidi="ar-SA"/>
      </w:rPr>
    </w:lvl>
    <w:lvl w:ilvl="5" w:tplc="018A56AA">
      <w:numFmt w:val="bullet"/>
      <w:lvlText w:val="•"/>
      <w:lvlJc w:val="left"/>
      <w:pPr>
        <w:ind w:left="4599" w:hanging="142"/>
      </w:pPr>
      <w:rPr>
        <w:rFonts w:hint="default"/>
        <w:lang w:val="en-US" w:eastAsia="en-US" w:bidi="ar-SA"/>
      </w:rPr>
    </w:lvl>
    <w:lvl w:ilvl="6" w:tplc="380CAA26">
      <w:numFmt w:val="bullet"/>
      <w:lvlText w:val="•"/>
      <w:lvlJc w:val="left"/>
      <w:pPr>
        <w:ind w:left="5467" w:hanging="142"/>
      </w:pPr>
      <w:rPr>
        <w:rFonts w:hint="default"/>
        <w:lang w:val="en-US" w:eastAsia="en-US" w:bidi="ar-SA"/>
      </w:rPr>
    </w:lvl>
    <w:lvl w:ilvl="7" w:tplc="F1E8F30A">
      <w:numFmt w:val="bullet"/>
      <w:lvlText w:val="•"/>
      <w:lvlJc w:val="left"/>
      <w:pPr>
        <w:ind w:left="6335" w:hanging="142"/>
      </w:pPr>
      <w:rPr>
        <w:rFonts w:hint="default"/>
        <w:lang w:val="en-US" w:eastAsia="en-US" w:bidi="ar-SA"/>
      </w:rPr>
    </w:lvl>
    <w:lvl w:ilvl="8" w:tplc="64BA8AE4">
      <w:numFmt w:val="bullet"/>
      <w:lvlText w:val="•"/>
      <w:lvlJc w:val="left"/>
      <w:pPr>
        <w:ind w:left="7203" w:hanging="142"/>
      </w:pPr>
      <w:rPr>
        <w:rFonts w:hint="default"/>
        <w:lang w:val="en-US" w:eastAsia="en-US" w:bidi="ar-SA"/>
      </w:rPr>
    </w:lvl>
  </w:abstractNum>
  <w:abstractNum w:abstractNumId="57" w15:restartNumberingAfterBreak="0">
    <w:nsid w:val="230A66B0"/>
    <w:multiLevelType w:val="hybridMultilevel"/>
    <w:tmpl w:val="755A997A"/>
    <w:lvl w:ilvl="0" w:tplc="7FFA06EA">
      <w:numFmt w:val="bullet"/>
      <w:lvlText w:val="•"/>
      <w:lvlJc w:val="left"/>
      <w:pPr>
        <w:ind w:left="2929" w:hanging="100"/>
      </w:pPr>
      <w:rPr>
        <w:rFonts w:ascii="Tahoma" w:eastAsia="Tahoma" w:hAnsi="Tahoma" w:cs="Tahoma" w:hint="default"/>
        <w:w w:val="109"/>
        <w:lang w:val="en-US" w:eastAsia="en-US" w:bidi="ar-SA"/>
      </w:rPr>
    </w:lvl>
    <w:lvl w:ilvl="1" w:tplc="8236E0DC">
      <w:numFmt w:val="bullet"/>
      <w:lvlText w:val="•"/>
      <w:lvlJc w:val="left"/>
      <w:pPr>
        <w:ind w:left="3484" w:hanging="100"/>
      </w:pPr>
      <w:rPr>
        <w:rFonts w:hint="default"/>
        <w:lang w:val="en-US" w:eastAsia="en-US" w:bidi="ar-SA"/>
      </w:rPr>
    </w:lvl>
    <w:lvl w:ilvl="2" w:tplc="F69C6A08">
      <w:numFmt w:val="bullet"/>
      <w:lvlText w:val="•"/>
      <w:lvlJc w:val="left"/>
      <w:pPr>
        <w:ind w:left="4049" w:hanging="100"/>
      </w:pPr>
      <w:rPr>
        <w:rFonts w:hint="default"/>
        <w:lang w:val="en-US" w:eastAsia="en-US" w:bidi="ar-SA"/>
      </w:rPr>
    </w:lvl>
    <w:lvl w:ilvl="3" w:tplc="3D8EE37A">
      <w:numFmt w:val="bullet"/>
      <w:lvlText w:val="•"/>
      <w:lvlJc w:val="left"/>
      <w:pPr>
        <w:ind w:left="4613" w:hanging="100"/>
      </w:pPr>
      <w:rPr>
        <w:rFonts w:hint="default"/>
        <w:lang w:val="en-US" w:eastAsia="en-US" w:bidi="ar-SA"/>
      </w:rPr>
    </w:lvl>
    <w:lvl w:ilvl="4" w:tplc="5F327B74">
      <w:numFmt w:val="bullet"/>
      <w:lvlText w:val="•"/>
      <w:lvlJc w:val="left"/>
      <w:pPr>
        <w:ind w:left="5178" w:hanging="100"/>
      </w:pPr>
      <w:rPr>
        <w:rFonts w:hint="default"/>
        <w:lang w:val="en-US" w:eastAsia="en-US" w:bidi="ar-SA"/>
      </w:rPr>
    </w:lvl>
    <w:lvl w:ilvl="5" w:tplc="73A060E2">
      <w:numFmt w:val="bullet"/>
      <w:lvlText w:val="•"/>
      <w:lvlJc w:val="left"/>
      <w:pPr>
        <w:ind w:left="5743" w:hanging="100"/>
      </w:pPr>
      <w:rPr>
        <w:rFonts w:hint="default"/>
        <w:lang w:val="en-US" w:eastAsia="en-US" w:bidi="ar-SA"/>
      </w:rPr>
    </w:lvl>
    <w:lvl w:ilvl="6" w:tplc="2C541488">
      <w:numFmt w:val="bullet"/>
      <w:lvlText w:val="•"/>
      <w:lvlJc w:val="left"/>
      <w:pPr>
        <w:ind w:left="6307" w:hanging="100"/>
      </w:pPr>
      <w:rPr>
        <w:rFonts w:hint="default"/>
        <w:lang w:val="en-US" w:eastAsia="en-US" w:bidi="ar-SA"/>
      </w:rPr>
    </w:lvl>
    <w:lvl w:ilvl="7" w:tplc="26ACD80C">
      <w:numFmt w:val="bullet"/>
      <w:lvlText w:val="•"/>
      <w:lvlJc w:val="left"/>
      <w:pPr>
        <w:ind w:left="6872" w:hanging="100"/>
      </w:pPr>
      <w:rPr>
        <w:rFonts w:hint="default"/>
        <w:lang w:val="en-US" w:eastAsia="en-US" w:bidi="ar-SA"/>
      </w:rPr>
    </w:lvl>
    <w:lvl w:ilvl="8" w:tplc="BE463BBE">
      <w:numFmt w:val="bullet"/>
      <w:lvlText w:val="•"/>
      <w:lvlJc w:val="left"/>
      <w:pPr>
        <w:ind w:left="7436" w:hanging="100"/>
      </w:pPr>
      <w:rPr>
        <w:rFonts w:hint="default"/>
        <w:lang w:val="en-US" w:eastAsia="en-US" w:bidi="ar-SA"/>
      </w:rPr>
    </w:lvl>
  </w:abstractNum>
  <w:abstractNum w:abstractNumId="58" w15:restartNumberingAfterBreak="0">
    <w:nsid w:val="232458B8"/>
    <w:multiLevelType w:val="hybridMultilevel"/>
    <w:tmpl w:val="A774B3C8"/>
    <w:lvl w:ilvl="0" w:tplc="9D9011F2">
      <w:start w:val="1"/>
      <w:numFmt w:val="decimal"/>
      <w:lvlText w:val="%1."/>
      <w:lvlJc w:val="left"/>
      <w:pPr>
        <w:ind w:left="177" w:hanging="128"/>
        <w:jc w:val="left"/>
      </w:pPr>
      <w:rPr>
        <w:rFonts w:ascii="Arial" w:eastAsia="Arial" w:hAnsi="Arial" w:cs="Arial" w:hint="default"/>
        <w:b w:val="0"/>
        <w:bCs w:val="0"/>
        <w:i w:val="0"/>
        <w:iCs w:val="0"/>
        <w:spacing w:val="-11"/>
        <w:w w:val="99"/>
        <w:sz w:val="14"/>
        <w:szCs w:val="14"/>
        <w:lang w:val="en-US" w:eastAsia="en-US" w:bidi="ar-SA"/>
      </w:rPr>
    </w:lvl>
    <w:lvl w:ilvl="1" w:tplc="F62209C8">
      <w:numFmt w:val="bullet"/>
      <w:lvlText w:val="•"/>
      <w:lvlJc w:val="left"/>
      <w:pPr>
        <w:ind w:left="307" w:hanging="128"/>
      </w:pPr>
      <w:rPr>
        <w:rFonts w:hint="default"/>
        <w:lang w:val="en-US" w:eastAsia="en-US" w:bidi="ar-SA"/>
      </w:rPr>
    </w:lvl>
    <w:lvl w:ilvl="2" w:tplc="85B057CA">
      <w:numFmt w:val="bullet"/>
      <w:lvlText w:val="•"/>
      <w:lvlJc w:val="left"/>
      <w:pPr>
        <w:ind w:left="434" w:hanging="128"/>
      </w:pPr>
      <w:rPr>
        <w:rFonts w:hint="default"/>
        <w:lang w:val="en-US" w:eastAsia="en-US" w:bidi="ar-SA"/>
      </w:rPr>
    </w:lvl>
    <w:lvl w:ilvl="3" w:tplc="367ED8A6">
      <w:numFmt w:val="bullet"/>
      <w:lvlText w:val="•"/>
      <w:lvlJc w:val="left"/>
      <w:pPr>
        <w:ind w:left="561" w:hanging="128"/>
      </w:pPr>
      <w:rPr>
        <w:rFonts w:hint="default"/>
        <w:lang w:val="en-US" w:eastAsia="en-US" w:bidi="ar-SA"/>
      </w:rPr>
    </w:lvl>
    <w:lvl w:ilvl="4" w:tplc="0F1E365E">
      <w:numFmt w:val="bullet"/>
      <w:lvlText w:val="•"/>
      <w:lvlJc w:val="left"/>
      <w:pPr>
        <w:ind w:left="689" w:hanging="128"/>
      </w:pPr>
      <w:rPr>
        <w:rFonts w:hint="default"/>
        <w:lang w:val="en-US" w:eastAsia="en-US" w:bidi="ar-SA"/>
      </w:rPr>
    </w:lvl>
    <w:lvl w:ilvl="5" w:tplc="11ECC9A8">
      <w:numFmt w:val="bullet"/>
      <w:lvlText w:val="•"/>
      <w:lvlJc w:val="left"/>
      <w:pPr>
        <w:ind w:left="816" w:hanging="128"/>
      </w:pPr>
      <w:rPr>
        <w:rFonts w:hint="default"/>
        <w:lang w:val="en-US" w:eastAsia="en-US" w:bidi="ar-SA"/>
      </w:rPr>
    </w:lvl>
    <w:lvl w:ilvl="6" w:tplc="AFDE8886">
      <w:numFmt w:val="bullet"/>
      <w:lvlText w:val="•"/>
      <w:lvlJc w:val="left"/>
      <w:pPr>
        <w:ind w:left="943" w:hanging="128"/>
      </w:pPr>
      <w:rPr>
        <w:rFonts w:hint="default"/>
        <w:lang w:val="en-US" w:eastAsia="en-US" w:bidi="ar-SA"/>
      </w:rPr>
    </w:lvl>
    <w:lvl w:ilvl="7" w:tplc="E3A4B38A">
      <w:numFmt w:val="bullet"/>
      <w:lvlText w:val="•"/>
      <w:lvlJc w:val="left"/>
      <w:pPr>
        <w:ind w:left="1071" w:hanging="128"/>
      </w:pPr>
      <w:rPr>
        <w:rFonts w:hint="default"/>
        <w:lang w:val="en-US" w:eastAsia="en-US" w:bidi="ar-SA"/>
      </w:rPr>
    </w:lvl>
    <w:lvl w:ilvl="8" w:tplc="4D60BDE0">
      <w:numFmt w:val="bullet"/>
      <w:lvlText w:val="•"/>
      <w:lvlJc w:val="left"/>
      <w:pPr>
        <w:ind w:left="1198" w:hanging="128"/>
      </w:pPr>
      <w:rPr>
        <w:rFonts w:hint="default"/>
        <w:lang w:val="en-US" w:eastAsia="en-US" w:bidi="ar-SA"/>
      </w:rPr>
    </w:lvl>
  </w:abstractNum>
  <w:abstractNum w:abstractNumId="59" w15:restartNumberingAfterBreak="0">
    <w:nsid w:val="23B10150"/>
    <w:multiLevelType w:val="hybridMultilevel"/>
    <w:tmpl w:val="09FC7726"/>
    <w:lvl w:ilvl="0" w:tplc="698CA62A">
      <w:numFmt w:val="bullet"/>
      <w:lvlText w:val="•"/>
      <w:lvlJc w:val="left"/>
      <w:pPr>
        <w:ind w:left="510" w:hanging="284"/>
      </w:pPr>
      <w:rPr>
        <w:rFonts w:ascii="Tahoma" w:eastAsia="Tahoma" w:hAnsi="Tahoma" w:cs="Tahoma" w:hint="default"/>
        <w:b w:val="0"/>
        <w:bCs w:val="0"/>
        <w:i w:val="0"/>
        <w:iCs w:val="0"/>
        <w:w w:val="109"/>
        <w:sz w:val="20"/>
        <w:szCs w:val="20"/>
        <w:lang w:val="en-US" w:eastAsia="en-US" w:bidi="ar-SA"/>
      </w:rPr>
    </w:lvl>
    <w:lvl w:ilvl="1" w:tplc="1B747736">
      <w:numFmt w:val="bullet"/>
      <w:lvlText w:val="•"/>
      <w:lvlJc w:val="left"/>
      <w:pPr>
        <w:ind w:left="970" w:hanging="284"/>
      </w:pPr>
      <w:rPr>
        <w:rFonts w:hint="default"/>
        <w:lang w:val="en-US" w:eastAsia="en-US" w:bidi="ar-SA"/>
      </w:rPr>
    </w:lvl>
    <w:lvl w:ilvl="2" w:tplc="B39E2AD0">
      <w:numFmt w:val="bullet"/>
      <w:lvlText w:val="•"/>
      <w:lvlJc w:val="left"/>
      <w:pPr>
        <w:ind w:left="1421" w:hanging="284"/>
      </w:pPr>
      <w:rPr>
        <w:rFonts w:hint="default"/>
        <w:lang w:val="en-US" w:eastAsia="en-US" w:bidi="ar-SA"/>
      </w:rPr>
    </w:lvl>
    <w:lvl w:ilvl="3" w:tplc="EE84E042">
      <w:numFmt w:val="bullet"/>
      <w:lvlText w:val="•"/>
      <w:lvlJc w:val="left"/>
      <w:pPr>
        <w:ind w:left="1872" w:hanging="284"/>
      </w:pPr>
      <w:rPr>
        <w:rFonts w:hint="default"/>
        <w:lang w:val="en-US" w:eastAsia="en-US" w:bidi="ar-SA"/>
      </w:rPr>
    </w:lvl>
    <w:lvl w:ilvl="4" w:tplc="E6D2C32E">
      <w:numFmt w:val="bullet"/>
      <w:lvlText w:val="•"/>
      <w:lvlJc w:val="left"/>
      <w:pPr>
        <w:ind w:left="2322" w:hanging="284"/>
      </w:pPr>
      <w:rPr>
        <w:rFonts w:hint="default"/>
        <w:lang w:val="en-US" w:eastAsia="en-US" w:bidi="ar-SA"/>
      </w:rPr>
    </w:lvl>
    <w:lvl w:ilvl="5" w:tplc="3ADC5C9E">
      <w:numFmt w:val="bullet"/>
      <w:lvlText w:val="•"/>
      <w:lvlJc w:val="left"/>
      <w:pPr>
        <w:ind w:left="2773" w:hanging="284"/>
      </w:pPr>
      <w:rPr>
        <w:rFonts w:hint="default"/>
        <w:lang w:val="en-US" w:eastAsia="en-US" w:bidi="ar-SA"/>
      </w:rPr>
    </w:lvl>
    <w:lvl w:ilvl="6" w:tplc="6F36E458">
      <w:numFmt w:val="bullet"/>
      <w:lvlText w:val="•"/>
      <w:lvlJc w:val="left"/>
      <w:pPr>
        <w:ind w:left="3224" w:hanging="284"/>
      </w:pPr>
      <w:rPr>
        <w:rFonts w:hint="default"/>
        <w:lang w:val="en-US" w:eastAsia="en-US" w:bidi="ar-SA"/>
      </w:rPr>
    </w:lvl>
    <w:lvl w:ilvl="7" w:tplc="AF2CDEBE">
      <w:numFmt w:val="bullet"/>
      <w:lvlText w:val="•"/>
      <w:lvlJc w:val="left"/>
      <w:pPr>
        <w:ind w:left="3674" w:hanging="284"/>
      </w:pPr>
      <w:rPr>
        <w:rFonts w:hint="default"/>
        <w:lang w:val="en-US" w:eastAsia="en-US" w:bidi="ar-SA"/>
      </w:rPr>
    </w:lvl>
    <w:lvl w:ilvl="8" w:tplc="E27AE700">
      <w:numFmt w:val="bullet"/>
      <w:lvlText w:val="•"/>
      <w:lvlJc w:val="left"/>
      <w:pPr>
        <w:ind w:left="4125" w:hanging="284"/>
      </w:pPr>
      <w:rPr>
        <w:rFonts w:hint="default"/>
        <w:lang w:val="en-US" w:eastAsia="en-US" w:bidi="ar-SA"/>
      </w:rPr>
    </w:lvl>
  </w:abstractNum>
  <w:abstractNum w:abstractNumId="60" w15:restartNumberingAfterBreak="0">
    <w:nsid w:val="240760B4"/>
    <w:multiLevelType w:val="hybridMultilevel"/>
    <w:tmpl w:val="420AEB50"/>
    <w:lvl w:ilvl="0" w:tplc="027A6064">
      <w:start w:val="1"/>
      <w:numFmt w:val="decimal"/>
      <w:lvlText w:val="%1."/>
      <w:lvlJc w:val="left"/>
      <w:pPr>
        <w:ind w:left="252" w:hanging="142"/>
        <w:jc w:val="left"/>
      </w:pPr>
      <w:rPr>
        <w:rFonts w:ascii="Arial" w:eastAsia="Arial" w:hAnsi="Arial" w:cs="Arial" w:hint="default"/>
        <w:b w:val="0"/>
        <w:bCs w:val="0"/>
        <w:i w:val="0"/>
        <w:iCs w:val="0"/>
        <w:spacing w:val="-11"/>
        <w:w w:val="99"/>
        <w:sz w:val="15"/>
        <w:szCs w:val="15"/>
        <w:lang w:val="en-US" w:eastAsia="en-US" w:bidi="ar-SA"/>
      </w:rPr>
    </w:lvl>
    <w:lvl w:ilvl="1" w:tplc="50368674">
      <w:numFmt w:val="bullet"/>
      <w:lvlText w:val="•"/>
      <w:lvlJc w:val="left"/>
      <w:pPr>
        <w:ind w:left="708" w:hanging="142"/>
      </w:pPr>
      <w:rPr>
        <w:rFonts w:hint="default"/>
        <w:lang w:val="en-US" w:eastAsia="en-US" w:bidi="ar-SA"/>
      </w:rPr>
    </w:lvl>
    <w:lvl w:ilvl="2" w:tplc="7B98DD12">
      <w:numFmt w:val="bullet"/>
      <w:lvlText w:val="•"/>
      <w:lvlJc w:val="left"/>
      <w:pPr>
        <w:ind w:left="1156" w:hanging="142"/>
      </w:pPr>
      <w:rPr>
        <w:rFonts w:hint="default"/>
        <w:lang w:val="en-US" w:eastAsia="en-US" w:bidi="ar-SA"/>
      </w:rPr>
    </w:lvl>
    <w:lvl w:ilvl="3" w:tplc="AECC47FA">
      <w:numFmt w:val="bullet"/>
      <w:lvlText w:val="•"/>
      <w:lvlJc w:val="left"/>
      <w:pPr>
        <w:ind w:left="1604" w:hanging="142"/>
      </w:pPr>
      <w:rPr>
        <w:rFonts w:hint="default"/>
        <w:lang w:val="en-US" w:eastAsia="en-US" w:bidi="ar-SA"/>
      </w:rPr>
    </w:lvl>
    <w:lvl w:ilvl="4" w:tplc="C54EC602">
      <w:numFmt w:val="bullet"/>
      <w:lvlText w:val="•"/>
      <w:lvlJc w:val="left"/>
      <w:pPr>
        <w:ind w:left="2052" w:hanging="142"/>
      </w:pPr>
      <w:rPr>
        <w:rFonts w:hint="default"/>
        <w:lang w:val="en-US" w:eastAsia="en-US" w:bidi="ar-SA"/>
      </w:rPr>
    </w:lvl>
    <w:lvl w:ilvl="5" w:tplc="E2E051AA">
      <w:numFmt w:val="bullet"/>
      <w:lvlText w:val="•"/>
      <w:lvlJc w:val="left"/>
      <w:pPr>
        <w:ind w:left="2500" w:hanging="142"/>
      </w:pPr>
      <w:rPr>
        <w:rFonts w:hint="default"/>
        <w:lang w:val="en-US" w:eastAsia="en-US" w:bidi="ar-SA"/>
      </w:rPr>
    </w:lvl>
    <w:lvl w:ilvl="6" w:tplc="3A5A1D8C">
      <w:numFmt w:val="bullet"/>
      <w:lvlText w:val="•"/>
      <w:lvlJc w:val="left"/>
      <w:pPr>
        <w:ind w:left="2948" w:hanging="142"/>
      </w:pPr>
      <w:rPr>
        <w:rFonts w:hint="default"/>
        <w:lang w:val="en-US" w:eastAsia="en-US" w:bidi="ar-SA"/>
      </w:rPr>
    </w:lvl>
    <w:lvl w:ilvl="7" w:tplc="05747B1A">
      <w:numFmt w:val="bullet"/>
      <w:lvlText w:val="•"/>
      <w:lvlJc w:val="left"/>
      <w:pPr>
        <w:ind w:left="3396" w:hanging="142"/>
      </w:pPr>
      <w:rPr>
        <w:rFonts w:hint="default"/>
        <w:lang w:val="en-US" w:eastAsia="en-US" w:bidi="ar-SA"/>
      </w:rPr>
    </w:lvl>
    <w:lvl w:ilvl="8" w:tplc="FDD0A76E">
      <w:numFmt w:val="bullet"/>
      <w:lvlText w:val="•"/>
      <w:lvlJc w:val="left"/>
      <w:pPr>
        <w:ind w:left="3844" w:hanging="142"/>
      </w:pPr>
      <w:rPr>
        <w:rFonts w:hint="default"/>
        <w:lang w:val="en-US" w:eastAsia="en-US" w:bidi="ar-SA"/>
      </w:rPr>
    </w:lvl>
  </w:abstractNum>
  <w:abstractNum w:abstractNumId="61" w15:restartNumberingAfterBreak="0">
    <w:nsid w:val="243D6ED4"/>
    <w:multiLevelType w:val="hybridMultilevel"/>
    <w:tmpl w:val="2F54FC5A"/>
    <w:lvl w:ilvl="0" w:tplc="AE3CAE92">
      <w:numFmt w:val="bullet"/>
      <w:lvlText w:val="•"/>
      <w:lvlJc w:val="left"/>
      <w:pPr>
        <w:ind w:left="775" w:hanging="284"/>
      </w:pPr>
      <w:rPr>
        <w:rFonts w:ascii="Tahoma" w:eastAsia="Tahoma" w:hAnsi="Tahoma" w:cs="Tahoma" w:hint="default"/>
        <w:b w:val="0"/>
        <w:bCs w:val="0"/>
        <w:i w:val="0"/>
        <w:iCs w:val="0"/>
        <w:w w:val="105"/>
        <w:sz w:val="20"/>
        <w:szCs w:val="20"/>
        <w:lang w:val="en-US" w:eastAsia="en-US" w:bidi="ar-SA"/>
      </w:rPr>
    </w:lvl>
    <w:lvl w:ilvl="1" w:tplc="A14081BA">
      <w:numFmt w:val="bullet"/>
      <w:lvlText w:val="•"/>
      <w:lvlJc w:val="left"/>
      <w:pPr>
        <w:ind w:left="2307" w:hanging="284"/>
      </w:pPr>
      <w:rPr>
        <w:rFonts w:hint="default"/>
        <w:lang w:val="en-US" w:eastAsia="en-US" w:bidi="ar-SA"/>
      </w:rPr>
    </w:lvl>
    <w:lvl w:ilvl="2" w:tplc="601C722C">
      <w:numFmt w:val="bullet"/>
      <w:lvlText w:val="•"/>
      <w:lvlJc w:val="left"/>
      <w:pPr>
        <w:ind w:left="3835" w:hanging="284"/>
      </w:pPr>
      <w:rPr>
        <w:rFonts w:hint="default"/>
        <w:lang w:val="en-US" w:eastAsia="en-US" w:bidi="ar-SA"/>
      </w:rPr>
    </w:lvl>
    <w:lvl w:ilvl="3" w:tplc="75AE011E">
      <w:numFmt w:val="bullet"/>
      <w:lvlText w:val="•"/>
      <w:lvlJc w:val="left"/>
      <w:pPr>
        <w:ind w:left="5363" w:hanging="284"/>
      </w:pPr>
      <w:rPr>
        <w:rFonts w:hint="default"/>
        <w:lang w:val="en-US" w:eastAsia="en-US" w:bidi="ar-SA"/>
      </w:rPr>
    </w:lvl>
    <w:lvl w:ilvl="4" w:tplc="25C8F11E">
      <w:numFmt w:val="bullet"/>
      <w:lvlText w:val="•"/>
      <w:lvlJc w:val="left"/>
      <w:pPr>
        <w:ind w:left="6891" w:hanging="284"/>
      </w:pPr>
      <w:rPr>
        <w:rFonts w:hint="default"/>
        <w:lang w:val="en-US" w:eastAsia="en-US" w:bidi="ar-SA"/>
      </w:rPr>
    </w:lvl>
    <w:lvl w:ilvl="5" w:tplc="D6A051E4">
      <w:numFmt w:val="bullet"/>
      <w:lvlText w:val="•"/>
      <w:lvlJc w:val="left"/>
      <w:pPr>
        <w:ind w:left="8418" w:hanging="284"/>
      </w:pPr>
      <w:rPr>
        <w:rFonts w:hint="default"/>
        <w:lang w:val="en-US" w:eastAsia="en-US" w:bidi="ar-SA"/>
      </w:rPr>
    </w:lvl>
    <w:lvl w:ilvl="6" w:tplc="F242529A">
      <w:numFmt w:val="bullet"/>
      <w:lvlText w:val="•"/>
      <w:lvlJc w:val="left"/>
      <w:pPr>
        <w:ind w:left="9946" w:hanging="284"/>
      </w:pPr>
      <w:rPr>
        <w:rFonts w:hint="default"/>
        <w:lang w:val="en-US" w:eastAsia="en-US" w:bidi="ar-SA"/>
      </w:rPr>
    </w:lvl>
    <w:lvl w:ilvl="7" w:tplc="717E90CA">
      <w:numFmt w:val="bullet"/>
      <w:lvlText w:val="•"/>
      <w:lvlJc w:val="left"/>
      <w:pPr>
        <w:ind w:left="11474" w:hanging="284"/>
      </w:pPr>
      <w:rPr>
        <w:rFonts w:hint="default"/>
        <w:lang w:val="en-US" w:eastAsia="en-US" w:bidi="ar-SA"/>
      </w:rPr>
    </w:lvl>
    <w:lvl w:ilvl="8" w:tplc="42CCDF66">
      <w:numFmt w:val="bullet"/>
      <w:lvlText w:val="•"/>
      <w:lvlJc w:val="left"/>
      <w:pPr>
        <w:ind w:left="13002" w:hanging="284"/>
      </w:pPr>
      <w:rPr>
        <w:rFonts w:hint="default"/>
        <w:lang w:val="en-US" w:eastAsia="en-US" w:bidi="ar-SA"/>
      </w:rPr>
    </w:lvl>
  </w:abstractNum>
  <w:abstractNum w:abstractNumId="62" w15:restartNumberingAfterBreak="0">
    <w:nsid w:val="24DC359E"/>
    <w:multiLevelType w:val="hybridMultilevel"/>
    <w:tmpl w:val="7946DC92"/>
    <w:lvl w:ilvl="0" w:tplc="630051AA">
      <w:numFmt w:val="bullet"/>
      <w:lvlText w:val="•"/>
      <w:lvlJc w:val="left"/>
      <w:pPr>
        <w:ind w:left="493" w:hanging="284"/>
      </w:pPr>
      <w:rPr>
        <w:rFonts w:ascii="Tahoma" w:eastAsia="Tahoma" w:hAnsi="Tahoma" w:cs="Tahoma" w:hint="default"/>
        <w:b w:val="0"/>
        <w:bCs w:val="0"/>
        <w:i w:val="0"/>
        <w:iCs w:val="0"/>
        <w:w w:val="107"/>
        <w:sz w:val="20"/>
        <w:szCs w:val="20"/>
        <w:lang w:val="en-US" w:eastAsia="en-US" w:bidi="ar-SA"/>
      </w:rPr>
    </w:lvl>
    <w:lvl w:ilvl="1" w:tplc="5C62A064">
      <w:numFmt w:val="bullet"/>
      <w:lvlText w:val="•"/>
      <w:lvlJc w:val="left"/>
      <w:pPr>
        <w:ind w:left="1022" w:hanging="284"/>
      </w:pPr>
      <w:rPr>
        <w:rFonts w:hint="default"/>
        <w:lang w:val="en-US" w:eastAsia="en-US" w:bidi="ar-SA"/>
      </w:rPr>
    </w:lvl>
    <w:lvl w:ilvl="2" w:tplc="9774C67E">
      <w:numFmt w:val="bullet"/>
      <w:lvlText w:val="•"/>
      <w:lvlJc w:val="left"/>
      <w:pPr>
        <w:ind w:left="1544" w:hanging="284"/>
      </w:pPr>
      <w:rPr>
        <w:rFonts w:hint="default"/>
        <w:lang w:val="en-US" w:eastAsia="en-US" w:bidi="ar-SA"/>
      </w:rPr>
    </w:lvl>
    <w:lvl w:ilvl="3" w:tplc="74D6B1B2">
      <w:numFmt w:val="bullet"/>
      <w:lvlText w:val="•"/>
      <w:lvlJc w:val="left"/>
      <w:pPr>
        <w:ind w:left="2066" w:hanging="284"/>
      </w:pPr>
      <w:rPr>
        <w:rFonts w:hint="default"/>
        <w:lang w:val="en-US" w:eastAsia="en-US" w:bidi="ar-SA"/>
      </w:rPr>
    </w:lvl>
    <w:lvl w:ilvl="4" w:tplc="97B69C4A">
      <w:numFmt w:val="bullet"/>
      <w:lvlText w:val="•"/>
      <w:lvlJc w:val="left"/>
      <w:pPr>
        <w:ind w:left="2588" w:hanging="284"/>
      </w:pPr>
      <w:rPr>
        <w:rFonts w:hint="default"/>
        <w:lang w:val="en-US" w:eastAsia="en-US" w:bidi="ar-SA"/>
      </w:rPr>
    </w:lvl>
    <w:lvl w:ilvl="5" w:tplc="4ACA96DC">
      <w:numFmt w:val="bullet"/>
      <w:lvlText w:val="•"/>
      <w:lvlJc w:val="left"/>
      <w:pPr>
        <w:ind w:left="3110" w:hanging="284"/>
      </w:pPr>
      <w:rPr>
        <w:rFonts w:hint="default"/>
        <w:lang w:val="en-US" w:eastAsia="en-US" w:bidi="ar-SA"/>
      </w:rPr>
    </w:lvl>
    <w:lvl w:ilvl="6" w:tplc="22F2F8AE">
      <w:numFmt w:val="bullet"/>
      <w:lvlText w:val="•"/>
      <w:lvlJc w:val="left"/>
      <w:pPr>
        <w:ind w:left="3633" w:hanging="284"/>
      </w:pPr>
      <w:rPr>
        <w:rFonts w:hint="default"/>
        <w:lang w:val="en-US" w:eastAsia="en-US" w:bidi="ar-SA"/>
      </w:rPr>
    </w:lvl>
    <w:lvl w:ilvl="7" w:tplc="D9289550">
      <w:numFmt w:val="bullet"/>
      <w:lvlText w:val="•"/>
      <w:lvlJc w:val="left"/>
      <w:pPr>
        <w:ind w:left="4155" w:hanging="284"/>
      </w:pPr>
      <w:rPr>
        <w:rFonts w:hint="default"/>
        <w:lang w:val="en-US" w:eastAsia="en-US" w:bidi="ar-SA"/>
      </w:rPr>
    </w:lvl>
    <w:lvl w:ilvl="8" w:tplc="BA0CCE10">
      <w:numFmt w:val="bullet"/>
      <w:lvlText w:val="•"/>
      <w:lvlJc w:val="left"/>
      <w:pPr>
        <w:ind w:left="4677" w:hanging="284"/>
      </w:pPr>
      <w:rPr>
        <w:rFonts w:hint="default"/>
        <w:lang w:val="en-US" w:eastAsia="en-US" w:bidi="ar-SA"/>
      </w:rPr>
    </w:lvl>
  </w:abstractNum>
  <w:abstractNum w:abstractNumId="63" w15:restartNumberingAfterBreak="0">
    <w:nsid w:val="25043395"/>
    <w:multiLevelType w:val="hybridMultilevel"/>
    <w:tmpl w:val="4AFAC372"/>
    <w:lvl w:ilvl="0" w:tplc="92DC90C0">
      <w:numFmt w:val="bullet"/>
      <w:lvlText w:val="–"/>
      <w:lvlJc w:val="left"/>
      <w:pPr>
        <w:ind w:left="183" w:hanging="122"/>
      </w:pPr>
      <w:rPr>
        <w:rFonts w:ascii="Arial" w:eastAsia="Arial" w:hAnsi="Arial" w:cs="Arial" w:hint="default"/>
        <w:b w:val="0"/>
        <w:bCs w:val="0"/>
        <w:i w:val="0"/>
        <w:iCs w:val="0"/>
        <w:w w:val="89"/>
        <w:sz w:val="16"/>
        <w:szCs w:val="16"/>
        <w:lang w:val="en-US" w:eastAsia="en-US" w:bidi="ar-SA"/>
      </w:rPr>
    </w:lvl>
    <w:lvl w:ilvl="1" w:tplc="7B2CCD36">
      <w:numFmt w:val="bullet"/>
      <w:lvlText w:val="•"/>
      <w:lvlJc w:val="left"/>
      <w:pPr>
        <w:ind w:left="376" w:hanging="122"/>
      </w:pPr>
      <w:rPr>
        <w:rFonts w:hint="default"/>
        <w:lang w:val="en-US" w:eastAsia="en-US" w:bidi="ar-SA"/>
      </w:rPr>
    </w:lvl>
    <w:lvl w:ilvl="2" w:tplc="234A582C">
      <w:numFmt w:val="bullet"/>
      <w:lvlText w:val="•"/>
      <w:lvlJc w:val="left"/>
      <w:pPr>
        <w:ind w:left="573" w:hanging="122"/>
      </w:pPr>
      <w:rPr>
        <w:rFonts w:hint="default"/>
        <w:lang w:val="en-US" w:eastAsia="en-US" w:bidi="ar-SA"/>
      </w:rPr>
    </w:lvl>
    <w:lvl w:ilvl="3" w:tplc="0B2AC234">
      <w:numFmt w:val="bullet"/>
      <w:lvlText w:val="•"/>
      <w:lvlJc w:val="left"/>
      <w:pPr>
        <w:ind w:left="770" w:hanging="122"/>
      </w:pPr>
      <w:rPr>
        <w:rFonts w:hint="default"/>
        <w:lang w:val="en-US" w:eastAsia="en-US" w:bidi="ar-SA"/>
      </w:rPr>
    </w:lvl>
    <w:lvl w:ilvl="4" w:tplc="D1C27696">
      <w:numFmt w:val="bullet"/>
      <w:lvlText w:val="•"/>
      <w:lvlJc w:val="left"/>
      <w:pPr>
        <w:ind w:left="967" w:hanging="122"/>
      </w:pPr>
      <w:rPr>
        <w:rFonts w:hint="default"/>
        <w:lang w:val="en-US" w:eastAsia="en-US" w:bidi="ar-SA"/>
      </w:rPr>
    </w:lvl>
    <w:lvl w:ilvl="5" w:tplc="EE36168E">
      <w:numFmt w:val="bullet"/>
      <w:lvlText w:val="•"/>
      <w:lvlJc w:val="left"/>
      <w:pPr>
        <w:ind w:left="1164" w:hanging="122"/>
      </w:pPr>
      <w:rPr>
        <w:rFonts w:hint="default"/>
        <w:lang w:val="en-US" w:eastAsia="en-US" w:bidi="ar-SA"/>
      </w:rPr>
    </w:lvl>
    <w:lvl w:ilvl="6" w:tplc="CBAC2B9A">
      <w:numFmt w:val="bullet"/>
      <w:lvlText w:val="•"/>
      <w:lvlJc w:val="left"/>
      <w:pPr>
        <w:ind w:left="1360" w:hanging="122"/>
      </w:pPr>
      <w:rPr>
        <w:rFonts w:hint="default"/>
        <w:lang w:val="en-US" w:eastAsia="en-US" w:bidi="ar-SA"/>
      </w:rPr>
    </w:lvl>
    <w:lvl w:ilvl="7" w:tplc="2A7A08EC">
      <w:numFmt w:val="bullet"/>
      <w:lvlText w:val="•"/>
      <w:lvlJc w:val="left"/>
      <w:pPr>
        <w:ind w:left="1557" w:hanging="122"/>
      </w:pPr>
      <w:rPr>
        <w:rFonts w:hint="default"/>
        <w:lang w:val="en-US" w:eastAsia="en-US" w:bidi="ar-SA"/>
      </w:rPr>
    </w:lvl>
    <w:lvl w:ilvl="8" w:tplc="CA2A559A">
      <w:numFmt w:val="bullet"/>
      <w:lvlText w:val="•"/>
      <w:lvlJc w:val="left"/>
      <w:pPr>
        <w:ind w:left="1754" w:hanging="122"/>
      </w:pPr>
      <w:rPr>
        <w:rFonts w:hint="default"/>
        <w:lang w:val="en-US" w:eastAsia="en-US" w:bidi="ar-SA"/>
      </w:rPr>
    </w:lvl>
  </w:abstractNum>
  <w:abstractNum w:abstractNumId="64" w15:restartNumberingAfterBreak="0">
    <w:nsid w:val="2519798F"/>
    <w:multiLevelType w:val="hybridMultilevel"/>
    <w:tmpl w:val="5DEA7634"/>
    <w:lvl w:ilvl="0" w:tplc="255A5B48">
      <w:start w:val="12"/>
      <w:numFmt w:val="decimal"/>
      <w:lvlText w:val="%1"/>
      <w:lvlJc w:val="left"/>
      <w:pPr>
        <w:ind w:left="687" w:hanging="243"/>
        <w:jc w:val="right"/>
      </w:pPr>
      <w:rPr>
        <w:rFonts w:ascii="Arial" w:eastAsia="Arial" w:hAnsi="Arial" w:cs="Arial" w:hint="default"/>
        <w:b/>
        <w:bCs/>
        <w:i w:val="0"/>
        <w:iCs w:val="0"/>
        <w:spacing w:val="-16"/>
        <w:w w:val="106"/>
        <w:position w:val="1"/>
        <w:sz w:val="12"/>
        <w:szCs w:val="12"/>
        <w:lang w:val="en-US" w:eastAsia="en-US" w:bidi="ar-SA"/>
      </w:rPr>
    </w:lvl>
    <w:lvl w:ilvl="1" w:tplc="431ACCE6">
      <w:numFmt w:val="bullet"/>
      <w:lvlText w:val="•"/>
      <w:lvlJc w:val="left"/>
      <w:pPr>
        <w:ind w:left="754" w:hanging="243"/>
      </w:pPr>
      <w:rPr>
        <w:rFonts w:hint="default"/>
        <w:lang w:val="en-US" w:eastAsia="en-US" w:bidi="ar-SA"/>
      </w:rPr>
    </w:lvl>
    <w:lvl w:ilvl="2" w:tplc="299487B6">
      <w:numFmt w:val="bullet"/>
      <w:lvlText w:val="•"/>
      <w:lvlJc w:val="left"/>
      <w:pPr>
        <w:ind w:left="828" w:hanging="243"/>
      </w:pPr>
      <w:rPr>
        <w:rFonts w:hint="default"/>
        <w:lang w:val="en-US" w:eastAsia="en-US" w:bidi="ar-SA"/>
      </w:rPr>
    </w:lvl>
    <w:lvl w:ilvl="3" w:tplc="B1B02FD8">
      <w:numFmt w:val="bullet"/>
      <w:lvlText w:val="•"/>
      <w:lvlJc w:val="left"/>
      <w:pPr>
        <w:ind w:left="903" w:hanging="243"/>
      </w:pPr>
      <w:rPr>
        <w:rFonts w:hint="default"/>
        <w:lang w:val="en-US" w:eastAsia="en-US" w:bidi="ar-SA"/>
      </w:rPr>
    </w:lvl>
    <w:lvl w:ilvl="4" w:tplc="BAB654F8">
      <w:numFmt w:val="bullet"/>
      <w:lvlText w:val="•"/>
      <w:lvlJc w:val="left"/>
      <w:pPr>
        <w:ind w:left="977" w:hanging="243"/>
      </w:pPr>
      <w:rPr>
        <w:rFonts w:hint="default"/>
        <w:lang w:val="en-US" w:eastAsia="en-US" w:bidi="ar-SA"/>
      </w:rPr>
    </w:lvl>
    <w:lvl w:ilvl="5" w:tplc="2DAA5CFA">
      <w:numFmt w:val="bullet"/>
      <w:lvlText w:val="•"/>
      <w:lvlJc w:val="left"/>
      <w:pPr>
        <w:ind w:left="1052" w:hanging="243"/>
      </w:pPr>
      <w:rPr>
        <w:rFonts w:hint="default"/>
        <w:lang w:val="en-US" w:eastAsia="en-US" w:bidi="ar-SA"/>
      </w:rPr>
    </w:lvl>
    <w:lvl w:ilvl="6" w:tplc="5906B4BA">
      <w:numFmt w:val="bullet"/>
      <w:lvlText w:val="•"/>
      <w:lvlJc w:val="left"/>
      <w:pPr>
        <w:ind w:left="1126" w:hanging="243"/>
      </w:pPr>
      <w:rPr>
        <w:rFonts w:hint="default"/>
        <w:lang w:val="en-US" w:eastAsia="en-US" w:bidi="ar-SA"/>
      </w:rPr>
    </w:lvl>
    <w:lvl w:ilvl="7" w:tplc="E74AC828">
      <w:numFmt w:val="bullet"/>
      <w:lvlText w:val="•"/>
      <w:lvlJc w:val="left"/>
      <w:pPr>
        <w:ind w:left="1200" w:hanging="243"/>
      </w:pPr>
      <w:rPr>
        <w:rFonts w:hint="default"/>
        <w:lang w:val="en-US" w:eastAsia="en-US" w:bidi="ar-SA"/>
      </w:rPr>
    </w:lvl>
    <w:lvl w:ilvl="8" w:tplc="1A56C19E">
      <w:numFmt w:val="bullet"/>
      <w:lvlText w:val="•"/>
      <w:lvlJc w:val="left"/>
      <w:pPr>
        <w:ind w:left="1275" w:hanging="243"/>
      </w:pPr>
      <w:rPr>
        <w:rFonts w:hint="default"/>
        <w:lang w:val="en-US" w:eastAsia="en-US" w:bidi="ar-SA"/>
      </w:rPr>
    </w:lvl>
  </w:abstractNum>
  <w:abstractNum w:abstractNumId="65" w15:restartNumberingAfterBreak="0">
    <w:nsid w:val="25E032BC"/>
    <w:multiLevelType w:val="hybridMultilevel"/>
    <w:tmpl w:val="38683778"/>
    <w:lvl w:ilvl="0" w:tplc="41FE1832">
      <w:numFmt w:val="bullet"/>
      <w:lvlText w:val="•"/>
      <w:lvlJc w:val="left"/>
      <w:pPr>
        <w:ind w:left="258" w:hanging="155"/>
      </w:pPr>
      <w:rPr>
        <w:rFonts w:ascii="Tahoma" w:eastAsia="Tahoma" w:hAnsi="Tahoma" w:cs="Tahoma" w:hint="default"/>
        <w:b w:val="0"/>
        <w:bCs w:val="0"/>
        <w:i w:val="0"/>
        <w:iCs w:val="0"/>
        <w:w w:val="109"/>
        <w:sz w:val="16"/>
        <w:szCs w:val="16"/>
        <w:lang w:val="en-US" w:eastAsia="en-US" w:bidi="ar-SA"/>
      </w:rPr>
    </w:lvl>
    <w:lvl w:ilvl="1" w:tplc="74CE9FD6">
      <w:numFmt w:val="bullet"/>
      <w:lvlText w:val="•"/>
      <w:lvlJc w:val="left"/>
      <w:pPr>
        <w:ind w:left="608" w:hanging="155"/>
      </w:pPr>
      <w:rPr>
        <w:rFonts w:hint="default"/>
        <w:lang w:val="en-US" w:eastAsia="en-US" w:bidi="ar-SA"/>
      </w:rPr>
    </w:lvl>
    <w:lvl w:ilvl="2" w:tplc="6D70B934">
      <w:numFmt w:val="bullet"/>
      <w:lvlText w:val="•"/>
      <w:lvlJc w:val="left"/>
      <w:pPr>
        <w:ind w:left="956" w:hanging="155"/>
      </w:pPr>
      <w:rPr>
        <w:rFonts w:hint="default"/>
        <w:lang w:val="en-US" w:eastAsia="en-US" w:bidi="ar-SA"/>
      </w:rPr>
    </w:lvl>
    <w:lvl w:ilvl="3" w:tplc="8690A5EE">
      <w:numFmt w:val="bullet"/>
      <w:lvlText w:val="•"/>
      <w:lvlJc w:val="left"/>
      <w:pPr>
        <w:ind w:left="1305" w:hanging="155"/>
      </w:pPr>
      <w:rPr>
        <w:rFonts w:hint="default"/>
        <w:lang w:val="en-US" w:eastAsia="en-US" w:bidi="ar-SA"/>
      </w:rPr>
    </w:lvl>
    <w:lvl w:ilvl="4" w:tplc="3CE6D3C2">
      <w:numFmt w:val="bullet"/>
      <w:lvlText w:val="•"/>
      <w:lvlJc w:val="left"/>
      <w:pPr>
        <w:ind w:left="1653" w:hanging="155"/>
      </w:pPr>
      <w:rPr>
        <w:rFonts w:hint="default"/>
        <w:lang w:val="en-US" w:eastAsia="en-US" w:bidi="ar-SA"/>
      </w:rPr>
    </w:lvl>
    <w:lvl w:ilvl="5" w:tplc="3392C8AA">
      <w:numFmt w:val="bullet"/>
      <w:lvlText w:val="•"/>
      <w:lvlJc w:val="left"/>
      <w:pPr>
        <w:ind w:left="2002" w:hanging="155"/>
      </w:pPr>
      <w:rPr>
        <w:rFonts w:hint="default"/>
        <w:lang w:val="en-US" w:eastAsia="en-US" w:bidi="ar-SA"/>
      </w:rPr>
    </w:lvl>
    <w:lvl w:ilvl="6" w:tplc="96B04C30">
      <w:numFmt w:val="bullet"/>
      <w:lvlText w:val="•"/>
      <w:lvlJc w:val="left"/>
      <w:pPr>
        <w:ind w:left="2350" w:hanging="155"/>
      </w:pPr>
      <w:rPr>
        <w:rFonts w:hint="default"/>
        <w:lang w:val="en-US" w:eastAsia="en-US" w:bidi="ar-SA"/>
      </w:rPr>
    </w:lvl>
    <w:lvl w:ilvl="7" w:tplc="5B6816F0">
      <w:numFmt w:val="bullet"/>
      <w:lvlText w:val="•"/>
      <w:lvlJc w:val="left"/>
      <w:pPr>
        <w:ind w:left="2698" w:hanging="155"/>
      </w:pPr>
      <w:rPr>
        <w:rFonts w:hint="default"/>
        <w:lang w:val="en-US" w:eastAsia="en-US" w:bidi="ar-SA"/>
      </w:rPr>
    </w:lvl>
    <w:lvl w:ilvl="8" w:tplc="776E2A5C">
      <w:numFmt w:val="bullet"/>
      <w:lvlText w:val="•"/>
      <w:lvlJc w:val="left"/>
      <w:pPr>
        <w:ind w:left="3047" w:hanging="155"/>
      </w:pPr>
      <w:rPr>
        <w:rFonts w:hint="default"/>
        <w:lang w:val="en-US" w:eastAsia="en-US" w:bidi="ar-SA"/>
      </w:rPr>
    </w:lvl>
  </w:abstractNum>
  <w:abstractNum w:abstractNumId="66" w15:restartNumberingAfterBreak="0">
    <w:nsid w:val="26221005"/>
    <w:multiLevelType w:val="hybridMultilevel"/>
    <w:tmpl w:val="94286E52"/>
    <w:lvl w:ilvl="0" w:tplc="B9FEE9A4">
      <w:numFmt w:val="bullet"/>
      <w:lvlText w:val="•"/>
      <w:lvlJc w:val="left"/>
      <w:pPr>
        <w:ind w:left="706" w:hanging="284"/>
      </w:pPr>
      <w:rPr>
        <w:rFonts w:ascii="Tahoma" w:eastAsia="Tahoma" w:hAnsi="Tahoma" w:cs="Tahoma" w:hint="default"/>
        <w:b w:val="0"/>
        <w:bCs w:val="0"/>
        <w:i w:val="0"/>
        <w:iCs w:val="0"/>
        <w:w w:val="109"/>
        <w:sz w:val="20"/>
        <w:szCs w:val="20"/>
        <w:lang w:val="en-US" w:eastAsia="en-US" w:bidi="ar-SA"/>
      </w:rPr>
    </w:lvl>
    <w:lvl w:ilvl="1" w:tplc="BBDC9DCE">
      <w:numFmt w:val="bullet"/>
      <w:lvlText w:val="•"/>
      <w:lvlJc w:val="left"/>
      <w:pPr>
        <w:ind w:left="1223" w:hanging="284"/>
      </w:pPr>
      <w:rPr>
        <w:rFonts w:hint="default"/>
        <w:lang w:val="en-US" w:eastAsia="en-US" w:bidi="ar-SA"/>
      </w:rPr>
    </w:lvl>
    <w:lvl w:ilvl="2" w:tplc="5638283A">
      <w:numFmt w:val="bullet"/>
      <w:lvlText w:val="•"/>
      <w:lvlJc w:val="left"/>
      <w:pPr>
        <w:ind w:left="1746" w:hanging="284"/>
      </w:pPr>
      <w:rPr>
        <w:rFonts w:hint="default"/>
        <w:lang w:val="en-US" w:eastAsia="en-US" w:bidi="ar-SA"/>
      </w:rPr>
    </w:lvl>
    <w:lvl w:ilvl="3" w:tplc="8BC6A2A4">
      <w:numFmt w:val="bullet"/>
      <w:lvlText w:val="•"/>
      <w:lvlJc w:val="left"/>
      <w:pPr>
        <w:ind w:left="2270" w:hanging="284"/>
      </w:pPr>
      <w:rPr>
        <w:rFonts w:hint="default"/>
        <w:lang w:val="en-US" w:eastAsia="en-US" w:bidi="ar-SA"/>
      </w:rPr>
    </w:lvl>
    <w:lvl w:ilvl="4" w:tplc="D50237CA">
      <w:numFmt w:val="bullet"/>
      <w:lvlText w:val="•"/>
      <w:lvlJc w:val="left"/>
      <w:pPr>
        <w:ind w:left="2793" w:hanging="284"/>
      </w:pPr>
      <w:rPr>
        <w:rFonts w:hint="default"/>
        <w:lang w:val="en-US" w:eastAsia="en-US" w:bidi="ar-SA"/>
      </w:rPr>
    </w:lvl>
    <w:lvl w:ilvl="5" w:tplc="BCA6B018">
      <w:numFmt w:val="bullet"/>
      <w:lvlText w:val="•"/>
      <w:lvlJc w:val="left"/>
      <w:pPr>
        <w:ind w:left="3317" w:hanging="284"/>
      </w:pPr>
      <w:rPr>
        <w:rFonts w:hint="default"/>
        <w:lang w:val="en-US" w:eastAsia="en-US" w:bidi="ar-SA"/>
      </w:rPr>
    </w:lvl>
    <w:lvl w:ilvl="6" w:tplc="37BED7C8">
      <w:numFmt w:val="bullet"/>
      <w:lvlText w:val="•"/>
      <w:lvlJc w:val="left"/>
      <w:pPr>
        <w:ind w:left="3840" w:hanging="284"/>
      </w:pPr>
      <w:rPr>
        <w:rFonts w:hint="default"/>
        <w:lang w:val="en-US" w:eastAsia="en-US" w:bidi="ar-SA"/>
      </w:rPr>
    </w:lvl>
    <w:lvl w:ilvl="7" w:tplc="AA0C3602">
      <w:numFmt w:val="bullet"/>
      <w:lvlText w:val="•"/>
      <w:lvlJc w:val="left"/>
      <w:pPr>
        <w:ind w:left="4364" w:hanging="284"/>
      </w:pPr>
      <w:rPr>
        <w:rFonts w:hint="default"/>
        <w:lang w:val="en-US" w:eastAsia="en-US" w:bidi="ar-SA"/>
      </w:rPr>
    </w:lvl>
    <w:lvl w:ilvl="8" w:tplc="4A5ABFF8">
      <w:numFmt w:val="bullet"/>
      <w:lvlText w:val="•"/>
      <w:lvlJc w:val="left"/>
      <w:pPr>
        <w:ind w:left="4887" w:hanging="284"/>
      </w:pPr>
      <w:rPr>
        <w:rFonts w:hint="default"/>
        <w:lang w:val="en-US" w:eastAsia="en-US" w:bidi="ar-SA"/>
      </w:rPr>
    </w:lvl>
  </w:abstractNum>
  <w:abstractNum w:abstractNumId="67" w15:restartNumberingAfterBreak="0">
    <w:nsid w:val="2695675A"/>
    <w:multiLevelType w:val="multilevel"/>
    <w:tmpl w:val="71AC6404"/>
    <w:lvl w:ilvl="0">
      <w:start w:val="10"/>
      <w:numFmt w:val="decimal"/>
      <w:lvlText w:val="%1"/>
      <w:lvlJc w:val="left"/>
      <w:pPr>
        <w:ind w:left="1086" w:hanging="595"/>
        <w:jc w:val="left"/>
      </w:pPr>
      <w:rPr>
        <w:rFonts w:hint="default"/>
        <w:lang w:val="en-US" w:eastAsia="en-US" w:bidi="ar-SA"/>
      </w:rPr>
    </w:lvl>
    <w:lvl w:ilvl="1">
      <w:start w:val="2"/>
      <w:numFmt w:val="decimal"/>
      <w:lvlText w:val="%1.%2"/>
      <w:lvlJc w:val="left"/>
      <w:pPr>
        <w:ind w:left="1086" w:hanging="595"/>
        <w:jc w:val="left"/>
      </w:pPr>
      <w:rPr>
        <w:rFonts w:hint="default"/>
        <w:lang w:val="en-US" w:eastAsia="en-US" w:bidi="ar-SA"/>
      </w:rPr>
    </w:lvl>
    <w:lvl w:ilvl="2">
      <w:start w:val="2"/>
      <w:numFmt w:val="decimal"/>
      <w:lvlText w:val="%1.%2.%3"/>
      <w:lvlJc w:val="left"/>
      <w:pPr>
        <w:ind w:left="1086" w:hanging="595"/>
        <w:jc w:val="left"/>
      </w:pPr>
      <w:rPr>
        <w:rFonts w:ascii="Arial" w:eastAsia="Arial" w:hAnsi="Arial" w:cs="Arial" w:hint="default"/>
        <w:b/>
        <w:bCs/>
        <w:i w:val="0"/>
        <w:iCs w:val="0"/>
        <w:color w:val="00AEEF"/>
        <w:spacing w:val="-3"/>
        <w:w w:val="99"/>
        <w:sz w:val="20"/>
        <w:szCs w:val="20"/>
        <w:lang w:val="en-US" w:eastAsia="en-US" w:bidi="ar-SA"/>
      </w:rPr>
    </w:lvl>
    <w:lvl w:ilvl="3">
      <w:numFmt w:val="bullet"/>
      <w:lvlText w:val="•"/>
      <w:lvlJc w:val="left"/>
      <w:pPr>
        <w:ind w:left="775" w:hanging="284"/>
      </w:pPr>
      <w:rPr>
        <w:rFonts w:ascii="Tahoma" w:eastAsia="Tahoma" w:hAnsi="Tahoma" w:cs="Tahoma" w:hint="default"/>
        <w:b w:val="0"/>
        <w:bCs w:val="0"/>
        <w:i w:val="0"/>
        <w:iCs w:val="0"/>
        <w:w w:val="108"/>
        <w:sz w:val="20"/>
        <w:szCs w:val="20"/>
        <w:lang w:val="en-US" w:eastAsia="en-US" w:bidi="ar-SA"/>
      </w:rPr>
    </w:lvl>
    <w:lvl w:ilvl="4">
      <w:numFmt w:val="bullet"/>
      <w:lvlText w:val="•"/>
      <w:lvlJc w:val="left"/>
      <w:pPr>
        <w:ind w:left="6072" w:hanging="284"/>
      </w:pPr>
      <w:rPr>
        <w:rFonts w:hint="default"/>
        <w:lang w:val="en-US" w:eastAsia="en-US" w:bidi="ar-SA"/>
      </w:rPr>
    </w:lvl>
    <w:lvl w:ilvl="5">
      <w:numFmt w:val="bullet"/>
      <w:lvlText w:val="•"/>
      <w:lvlJc w:val="left"/>
      <w:pPr>
        <w:ind w:left="7736" w:hanging="284"/>
      </w:pPr>
      <w:rPr>
        <w:rFonts w:hint="default"/>
        <w:lang w:val="en-US" w:eastAsia="en-US" w:bidi="ar-SA"/>
      </w:rPr>
    </w:lvl>
    <w:lvl w:ilvl="6">
      <w:numFmt w:val="bullet"/>
      <w:lvlText w:val="•"/>
      <w:lvlJc w:val="left"/>
      <w:pPr>
        <w:ind w:left="9401" w:hanging="284"/>
      </w:pPr>
      <w:rPr>
        <w:rFonts w:hint="default"/>
        <w:lang w:val="en-US" w:eastAsia="en-US" w:bidi="ar-SA"/>
      </w:rPr>
    </w:lvl>
    <w:lvl w:ilvl="7">
      <w:numFmt w:val="bullet"/>
      <w:lvlText w:val="•"/>
      <w:lvlJc w:val="left"/>
      <w:pPr>
        <w:ind w:left="11065" w:hanging="284"/>
      </w:pPr>
      <w:rPr>
        <w:rFonts w:hint="default"/>
        <w:lang w:val="en-US" w:eastAsia="en-US" w:bidi="ar-SA"/>
      </w:rPr>
    </w:lvl>
    <w:lvl w:ilvl="8">
      <w:numFmt w:val="bullet"/>
      <w:lvlText w:val="•"/>
      <w:lvlJc w:val="left"/>
      <w:pPr>
        <w:ind w:left="12729" w:hanging="284"/>
      </w:pPr>
      <w:rPr>
        <w:rFonts w:hint="default"/>
        <w:lang w:val="en-US" w:eastAsia="en-US" w:bidi="ar-SA"/>
      </w:rPr>
    </w:lvl>
  </w:abstractNum>
  <w:abstractNum w:abstractNumId="68" w15:restartNumberingAfterBreak="0">
    <w:nsid w:val="26BB0858"/>
    <w:multiLevelType w:val="hybridMultilevel"/>
    <w:tmpl w:val="9A789870"/>
    <w:lvl w:ilvl="0" w:tplc="6D0842CC">
      <w:numFmt w:val="bullet"/>
      <w:lvlText w:val="•"/>
      <w:lvlJc w:val="left"/>
      <w:pPr>
        <w:ind w:left="208" w:hanging="100"/>
      </w:pPr>
      <w:rPr>
        <w:rFonts w:ascii="Tahoma" w:eastAsia="Tahoma" w:hAnsi="Tahoma" w:cs="Tahoma" w:hint="default"/>
        <w:b w:val="0"/>
        <w:bCs w:val="0"/>
        <w:i w:val="0"/>
        <w:iCs w:val="0"/>
        <w:w w:val="109"/>
        <w:sz w:val="14"/>
        <w:szCs w:val="14"/>
        <w:lang w:val="en-US" w:eastAsia="en-US" w:bidi="ar-SA"/>
      </w:rPr>
    </w:lvl>
    <w:lvl w:ilvl="1" w:tplc="1DE0802A">
      <w:numFmt w:val="bullet"/>
      <w:lvlText w:val="•"/>
      <w:lvlJc w:val="left"/>
      <w:pPr>
        <w:ind w:left="607" w:hanging="100"/>
      </w:pPr>
      <w:rPr>
        <w:rFonts w:hint="default"/>
        <w:lang w:val="en-US" w:eastAsia="en-US" w:bidi="ar-SA"/>
      </w:rPr>
    </w:lvl>
    <w:lvl w:ilvl="2" w:tplc="3FA6583C">
      <w:numFmt w:val="bullet"/>
      <w:lvlText w:val="•"/>
      <w:lvlJc w:val="left"/>
      <w:pPr>
        <w:ind w:left="1015" w:hanging="100"/>
      </w:pPr>
      <w:rPr>
        <w:rFonts w:hint="default"/>
        <w:lang w:val="en-US" w:eastAsia="en-US" w:bidi="ar-SA"/>
      </w:rPr>
    </w:lvl>
    <w:lvl w:ilvl="3" w:tplc="8B54787C">
      <w:numFmt w:val="bullet"/>
      <w:lvlText w:val="•"/>
      <w:lvlJc w:val="left"/>
      <w:pPr>
        <w:ind w:left="1423" w:hanging="100"/>
      </w:pPr>
      <w:rPr>
        <w:rFonts w:hint="default"/>
        <w:lang w:val="en-US" w:eastAsia="en-US" w:bidi="ar-SA"/>
      </w:rPr>
    </w:lvl>
    <w:lvl w:ilvl="4" w:tplc="D20CD0F0">
      <w:numFmt w:val="bullet"/>
      <w:lvlText w:val="•"/>
      <w:lvlJc w:val="left"/>
      <w:pPr>
        <w:ind w:left="1831" w:hanging="100"/>
      </w:pPr>
      <w:rPr>
        <w:rFonts w:hint="default"/>
        <w:lang w:val="en-US" w:eastAsia="en-US" w:bidi="ar-SA"/>
      </w:rPr>
    </w:lvl>
    <w:lvl w:ilvl="5" w:tplc="43DCB594">
      <w:numFmt w:val="bullet"/>
      <w:lvlText w:val="•"/>
      <w:lvlJc w:val="left"/>
      <w:pPr>
        <w:ind w:left="2239" w:hanging="100"/>
      </w:pPr>
      <w:rPr>
        <w:rFonts w:hint="default"/>
        <w:lang w:val="en-US" w:eastAsia="en-US" w:bidi="ar-SA"/>
      </w:rPr>
    </w:lvl>
    <w:lvl w:ilvl="6" w:tplc="A19EC00E">
      <w:numFmt w:val="bullet"/>
      <w:lvlText w:val="•"/>
      <w:lvlJc w:val="left"/>
      <w:pPr>
        <w:ind w:left="2646" w:hanging="100"/>
      </w:pPr>
      <w:rPr>
        <w:rFonts w:hint="default"/>
        <w:lang w:val="en-US" w:eastAsia="en-US" w:bidi="ar-SA"/>
      </w:rPr>
    </w:lvl>
    <w:lvl w:ilvl="7" w:tplc="53DA3BA8">
      <w:numFmt w:val="bullet"/>
      <w:lvlText w:val="•"/>
      <w:lvlJc w:val="left"/>
      <w:pPr>
        <w:ind w:left="3054" w:hanging="100"/>
      </w:pPr>
      <w:rPr>
        <w:rFonts w:hint="default"/>
        <w:lang w:val="en-US" w:eastAsia="en-US" w:bidi="ar-SA"/>
      </w:rPr>
    </w:lvl>
    <w:lvl w:ilvl="8" w:tplc="FD0ECE16">
      <w:numFmt w:val="bullet"/>
      <w:lvlText w:val="•"/>
      <w:lvlJc w:val="left"/>
      <w:pPr>
        <w:ind w:left="3462" w:hanging="100"/>
      </w:pPr>
      <w:rPr>
        <w:rFonts w:hint="default"/>
        <w:lang w:val="en-US" w:eastAsia="en-US" w:bidi="ar-SA"/>
      </w:rPr>
    </w:lvl>
  </w:abstractNum>
  <w:abstractNum w:abstractNumId="69" w15:restartNumberingAfterBreak="0">
    <w:nsid w:val="27AD62F5"/>
    <w:multiLevelType w:val="hybridMultilevel"/>
    <w:tmpl w:val="2A7E73E6"/>
    <w:lvl w:ilvl="0" w:tplc="9D74D376">
      <w:start w:val="1"/>
      <w:numFmt w:val="decimal"/>
      <w:lvlText w:val="%1"/>
      <w:lvlJc w:val="left"/>
      <w:pPr>
        <w:ind w:left="690" w:hanging="199"/>
        <w:jc w:val="right"/>
      </w:pPr>
      <w:rPr>
        <w:rFonts w:ascii="Arial" w:eastAsia="Arial" w:hAnsi="Arial" w:cs="Arial" w:hint="default"/>
        <w:b w:val="0"/>
        <w:bCs w:val="0"/>
        <w:i w:val="0"/>
        <w:iCs w:val="0"/>
        <w:w w:val="99"/>
        <w:sz w:val="14"/>
        <w:szCs w:val="14"/>
        <w:lang w:val="en-US" w:eastAsia="en-US" w:bidi="ar-SA"/>
      </w:rPr>
    </w:lvl>
    <w:lvl w:ilvl="1" w:tplc="E8D4CF32">
      <w:numFmt w:val="bullet"/>
      <w:lvlText w:val="•"/>
      <w:lvlJc w:val="left"/>
      <w:pPr>
        <w:ind w:left="1154" w:hanging="199"/>
      </w:pPr>
      <w:rPr>
        <w:rFonts w:hint="default"/>
        <w:lang w:val="en-US" w:eastAsia="en-US" w:bidi="ar-SA"/>
      </w:rPr>
    </w:lvl>
    <w:lvl w:ilvl="2" w:tplc="2CCCFA22">
      <w:numFmt w:val="bullet"/>
      <w:lvlText w:val="•"/>
      <w:lvlJc w:val="left"/>
      <w:pPr>
        <w:ind w:left="1609" w:hanging="199"/>
      </w:pPr>
      <w:rPr>
        <w:rFonts w:hint="default"/>
        <w:lang w:val="en-US" w:eastAsia="en-US" w:bidi="ar-SA"/>
      </w:rPr>
    </w:lvl>
    <w:lvl w:ilvl="3" w:tplc="83865036">
      <w:numFmt w:val="bullet"/>
      <w:lvlText w:val="•"/>
      <w:lvlJc w:val="left"/>
      <w:pPr>
        <w:ind w:left="2064" w:hanging="199"/>
      </w:pPr>
      <w:rPr>
        <w:rFonts w:hint="default"/>
        <w:lang w:val="en-US" w:eastAsia="en-US" w:bidi="ar-SA"/>
      </w:rPr>
    </w:lvl>
    <w:lvl w:ilvl="4" w:tplc="99BC363A">
      <w:numFmt w:val="bullet"/>
      <w:lvlText w:val="•"/>
      <w:lvlJc w:val="left"/>
      <w:pPr>
        <w:ind w:left="2519" w:hanging="199"/>
      </w:pPr>
      <w:rPr>
        <w:rFonts w:hint="default"/>
        <w:lang w:val="en-US" w:eastAsia="en-US" w:bidi="ar-SA"/>
      </w:rPr>
    </w:lvl>
    <w:lvl w:ilvl="5" w:tplc="96B2AE92">
      <w:numFmt w:val="bullet"/>
      <w:lvlText w:val="•"/>
      <w:lvlJc w:val="left"/>
      <w:pPr>
        <w:ind w:left="2974" w:hanging="199"/>
      </w:pPr>
      <w:rPr>
        <w:rFonts w:hint="default"/>
        <w:lang w:val="en-US" w:eastAsia="en-US" w:bidi="ar-SA"/>
      </w:rPr>
    </w:lvl>
    <w:lvl w:ilvl="6" w:tplc="B32C2BCA">
      <w:numFmt w:val="bullet"/>
      <w:lvlText w:val="•"/>
      <w:lvlJc w:val="left"/>
      <w:pPr>
        <w:ind w:left="3429" w:hanging="199"/>
      </w:pPr>
      <w:rPr>
        <w:rFonts w:hint="default"/>
        <w:lang w:val="en-US" w:eastAsia="en-US" w:bidi="ar-SA"/>
      </w:rPr>
    </w:lvl>
    <w:lvl w:ilvl="7" w:tplc="56FA306C">
      <w:numFmt w:val="bullet"/>
      <w:lvlText w:val="•"/>
      <w:lvlJc w:val="left"/>
      <w:pPr>
        <w:ind w:left="3884" w:hanging="199"/>
      </w:pPr>
      <w:rPr>
        <w:rFonts w:hint="default"/>
        <w:lang w:val="en-US" w:eastAsia="en-US" w:bidi="ar-SA"/>
      </w:rPr>
    </w:lvl>
    <w:lvl w:ilvl="8" w:tplc="255232CE">
      <w:numFmt w:val="bullet"/>
      <w:lvlText w:val="•"/>
      <w:lvlJc w:val="left"/>
      <w:pPr>
        <w:ind w:left="4339" w:hanging="199"/>
      </w:pPr>
      <w:rPr>
        <w:rFonts w:hint="default"/>
        <w:lang w:val="en-US" w:eastAsia="en-US" w:bidi="ar-SA"/>
      </w:rPr>
    </w:lvl>
  </w:abstractNum>
  <w:abstractNum w:abstractNumId="70" w15:restartNumberingAfterBreak="0">
    <w:nsid w:val="27B054A6"/>
    <w:multiLevelType w:val="hybridMultilevel"/>
    <w:tmpl w:val="6592FAC2"/>
    <w:lvl w:ilvl="0" w:tplc="8F2ADF1A">
      <w:numFmt w:val="bullet"/>
      <w:lvlText w:val="–"/>
      <w:lvlJc w:val="left"/>
      <w:pPr>
        <w:ind w:left="151" w:hanging="96"/>
      </w:pPr>
      <w:rPr>
        <w:rFonts w:ascii="Arial" w:eastAsia="Arial" w:hAnsi="Arial" w:cs="Arial" w:hint="default"/>
        <w:b w:val="0"/>
        <w:bCs w:val="0"/>
        <w:i w:val="0"/>
        <w:iCs w:val="0"/>
        <w:w w:val="89"/>
        <w:sz w:val="14"/>
        <w:szCs w:val="14"/>
        <w:lang w:val="en-US" w:eastAsia="en-US" w:bidi="ar-SA"/>
      </w:rPr>
    </w:lvl>
    <w:lvl w:ilvl="1" w:tplc="8C8AEF5E">
      <w:numFmt w:val="bullet"/>
      <w:lvlText w:val="•"/>
      <w:lvlJc w:val="left"/>
      <w:pPr>
        <w:ind w:left="302" w:hanging="96"/>
      </w:pPr>
      <w:rPr>
        <w:rFonts w:hint="default"/>
        <w:lang w:val="en-US" w:eastAsia="en-US" w:bidi="ar-SA"/>
      </w:rPr>
    </w:lvl>
    <w:lvl w:ilvl="2" w:tplc="9D04406C">
      <w:numFmt w:val="bullet"/>
      <w:lvlText w:val="•"/>
      <w:lvlJc w:val="left"/>
      <w:pPr>
        <w:ind w:left="445" w:hanging="96"/>
      </w:pPr>
      <w:rPr>
        <w:rFonts w:hint="default"/>
        <w:lang w:val="en-US" w:eastAsia="en-US" w:bidi="ar-SA"/>
      </w:rPr>
    </w:lvl>
    <w:lvl w:ilvl="3" w:tplc="BE984B32">
      <w:numFmt w:val="bullet"/>
      <w:lvlText w:val="•"/>
      <w:lvlJc w:val="left"/>
      <w:pPr>
        <w:ind w:left="588" w:hanging="96"/>
      </w:pPr>
      <w:rPr>
        <w:rFonts w:hint="default"/>
        <w:lang w:val="en-US" w:eastAsia="en-US" w:bidi="ar-SA"/>
      </w:rPr>
    </w:lvl>
    <w:lvl w:ilvl="4" w:tplc="17F2F238">
      <w:numFmt w:val="bullet"/>
      <w:lvlText w:val="•"/>
      <w:lvlJc w:val="left"/>
      <w:pPr>
        <w:ind w:left="730" w:hanging="96"/>
      </w:pPr>
      <w:rPr>
        <w:rFonts w:hint="default"/>
        <w:lang w:val="en-US" w:eastAsia="en-US" w:bidi="ar-SA"/>
      </w:rPr>
    </w:lvl>
    <w:lvl w:ilvl="5" w:tplc="0D3867D0">
      <w:numFmt w:val="bullet"/>
      <w:lvlText w:val="•"/>
      <w:lvlJc w:val="left"/>
      <w:pPr>
        <w:ind w:left="873" w:hanging="96"/>
      </w:pPr>
      <w:rPr>
        <w:rFonts w:hint="default"/>
        <w:lang w:val="en-US" w:eastAsia="en-US" w:bidi="ar-SA"/>
      </w:rPr>
    </w:lvl>
    <w:lvl w:ilvl="6" w:tplc="2EE0B5C2">
      <w:numFmt w:val="bullet"/>
      <w:lvlText w:val="•"/>
      <w:lvlJc w:val="left"/>
      <w:pPr>
        <w:ind w:left="1016" w:hanging="96"/>
      </w:pPr>
      <w:rPr>
        <w:rFonts w:hint="default"/>
        <w:lang w:val="en-US" w:eastAsia="en-US" w:bidi="ar-SA"/>
      </w:rPr>
    </w:lvl>
    <w:lvl w:ilvl="7" w:tplc="7B7818BE">
      <w:numFmt w:val="bullet"/>
      <w:lvlText w:val="•"/>
      <w:lvlJc w:val="left"/>
      <w:pPr>
        <w:ind w:left="1159" w:hanging="96"/>
      </w:pPr>
      <w:rPr>
        <w:rFonts w:hint="default"/>
        <w:lang w:val="en-US" w:eastAsia="en-US" w:bidi="ar-SA"/>
      </w:rPr>
    </w:lvl>
    <w:lvl w:ilvl="8" w:tplc="73F60368">
      <w:numFmt w:val="bullet"/>
      <w:lvlText w:val="•"/>
      <w:lvlJc w:val="left"/>
      <w:pPr>
        <w:ind w:left="1301" w:hanging="96"/>
      </w:pPr>
      <w:rPr>
        <w:rFonts w:hint="default"/>
        <w:lang w:val="en-US" w:eastAsia="en-US" w:bidi="ar-SA"/>
      </w:rPr>
    </w:lvl>
  </w:abstractNum>
  <w:abstractNum w:abstractNumId="71" w15:restartNumberingAfterBreak="0">
    <w:nsid w:val="284928B4"/>
    <w:multiLevelType w:val="hybridMultilevel"/>
    <w:tmpl w:val="7564091E"/>
    <w:lvl w:ilvl="0" w:tplc="44EA1E7A">
      <w:numFmt w:val="bullet"/>
      <w:lvlText w:val="•"/>
      <w:lvlJc w:val="left"/>
      <w:pPr>
        <w:ind w:left="488" w:hanging="284"/>
      </w:pPr>
      <w:rPr>
        <w:rFonts w:ascii="Tahoma" w:eastAsia="Tahoma" w:hAnsi="Tahoma" w:cs="Tahoma" w:hint="default"/>
        <w:b w:val="0"/>
        <w:bCs w:val="0"/>
        <w:i w:val="0"/>
        <w:iCs w:val="0"/>
        <w:w w:val="109"/>
        <w:sz w:val="20"/>
        <w:szCs w:val="20"/>
        <w:lang w:val="en-US" w:eastAsia="en-US" w:bidi="ar-SA"/>
      </w:rPr>
    </w:lvl>
    <w:lvl w:ilvl="1" w:tplc="6DDE529E">
      <w:numFmt w:val="bullet"/>
      <w:lvlText w:val="•"/>
      <w:lvlJc w:val="left"/>
      <w:pPr>
        <w:ind w:left="932" w:hanging="284"/>
      </w:pPr>
      <w:rPr>
        <w:rFonts w:hint="default"/>
        <w:lang w:val="en-US" w:eastAsia="en-US" w:bidi="ar-SA"/>
      </w:rPr>
    </w:lvl>
    <w:lvl w:ilvl="2" w:tplc="0186C592">
      <w:numFmt w:val="bullet"/>
      <w:lvlText w:val="•"/>
      <w:lvlJc w:val="left"/>
      <w:pPr>
        <w:ind w:left="1384" w:hanging="284"/>
      </w:pPr>
      <w:rPr>
        <w:rFonts w:hint="default"/>
        <w:lang w:val="en-US" w:eastAsia="en-US" w:bidi="ar-SA"/>
      </w:rPr>
    </w:lvl>
    <w:lvl w:ilvl="3" w:tplc="071E7A02">
      <w:numFmt w:val="bullet"/>
      <w:lvlText w:val="•"/>
      <w:lvlJc w:val="left"/>
      <w:pPr>
        <w:ind w:left="1837" w:hanging="284"/>
      </w:pPr>
      <w:rPr>
        <w:rFonts w:hint="default"/>
        <w:lang w:val="en-US" w:eastAsia="en-US" w:bidi="ar-SA"/>
      </w:rPr>
    </w:lvl>
    <w:lvl w:ilvl="4" w:tplc="FF389ECA">
      <w:numFmt w:val="bullet"/>
      <w:lvlText w:val="•"/>
      <w:lvlJc w:val="left"/>
      <w:pPr>
        <w:ind w:left="2289" w:hanging="284"/>
      </w:pPr>
      <w:rPr>
        <w:rFonts w:hint="default"/>
        <w:lang w:val="en-US" w:eastAsia="en-US" w:bidi="ar-SA"/>
      </w:rPr>
    </w:lvl>
    <w:lvl w:ilvl="5" w:tplc="4E9AF6D8">
      <w:numFmt w:val="bullet"/>
      <w:lvlText w:val="•"/>
      <w:lvlJc w:val="left"/>
      <w:pPr>
        <w:ind w:left="2741" w:hanging="284"/>
      </w:pPr>
      <w:rPr>
        <w:rFonts w:hint="default"/>
        <w:lang w:val="en-US" w:eastAsia="en-US" w:bidi="ar-SA"/>
      </w:rPr>
    </w:lvl>
    <w:lvl w:ilvl="6" w:tplc="73BC519E">
      <w:numFmt w:val="bullet"/>
      <w:lvlText w:val="•"/>
      <w:lvlJc w:val="left"/>
      <w:pPr>
        <w:ind w:left="3194" w:hanging="284"/>
      </w:pPr>
      <w:rPr>
        <w:rFonts w:hint="default"/>
        <w:lang w:val="en-US" w:eastAsia="en-US" w:bidi="ar-SA"/>
      </w:rPr>
    </w:lvl>
    <w:lvl w:ilvl="7" w:tplc="7CD22902">
      <w:numFmt w:val="bullet"/>
      <w:lvlText w:val="•"/>
      <w:lvlJc w:val="left"/>
      <w:pPr>
        <w:ind w:left="3646" w:hanging="284"/>
      </w:pPr>
      <w:rPr>
        <w:rFonts w:hint="default"/>
        <w:lang w:val="en-US" w:eastAsia="en-US" w:bidi="ar-SA"/>
      </w:rPr>
    </w:lvl>
    <w:lvl w:ilvl="8" w:tplc="88A83EB6">
      <w:numFmt w:val="bullet"/>
      <w:lvlText w:val="•"/>
      <w:lvlJc w:val="left"/>
      <w:pPr>
        <w:ind w:left="4099" w:hanging="284"/>
      </w:pPr>
      <w:rPr>
        <w:rFonts w:hint="default"/>
        <w:lang w:val="en-US" w:eastAsia="en-US" w:bidi="ar-SA"/>
      </w:rPr>
    </w:lvl>
  </w:abstractNum>
  <w:abstractNum w:abstractNumId="72" w15:restartNumberingAfterBreak="0">
    <w:nsid w:val="285743DC"/>
    <w:multiLevelType w:val="hybridMultilevel"/>
    <w:tmpl w:val="10AE32F8"/>
    <w:lvl w:ilvl="0" w:tplc="9F24BC00">
      <w:numFmt w:val="bullet"/>
      <w:lvlText w:val="–"/>
      <w:lvlJc w:val="left"/>
      <w:pPr>
        <w:ind w:left="151" w:hanging="96"/>
      </w:pPr>
      <w:rPr>
        <w:rFonts w:ascii="Arial" w:eastAsia="Arial" w:hAnsi="Arial" w:cs="Arial" w:hint="default"/>
        <w:b w:val="0"/>
        <w:bCs w:val="0"/>
        <w:i w:val="0"/>
        <w:iCs w:val="0"/>
        <w:w w:val="89"/>
        <w:sz w:val="14"/>
        <w:szCs w:val="14"/>
        <w:lang w:val="en-US" w:eastAsia="en-US" w:bidi="ar-SA"/>
      </w:rPr>
    </w:lvl>
    <w:lvl w:ilvl="1" w:tplc="CD92FE66">
      <w:numFmt w:val="bullet"/>
      <w:lvlText w:val="•"/>
      <w:lvlJc w:val="left"/>
      <w:pPr>
        <w:ind w:left="302" w:hanging="96"/>
      </w:pPr>
      <w:rPr>
        <w:rFonts w:hint="default"/>
        <w:lang w:val="en-US" w:eastAsia="en-US" w:bidi="ar-SA"/>
      </w:rPr>
    </w:lvl>
    <w:lvl w:ilvl="2" w:tplc="432E9C76">
      <w:numFmt w:val="bullet"/>
      <w:lvlText w:val="•"/>
      <w:lvlJc w:val="left"/>
      <w:pPr>
        <w:ind w:left="445" w:hanging="96"/>
      </w:pPr>
      <w:rPr>
        <w:rFonts w:hint="default"/>
        <w:lang w:val="en-US" w:eastAsia="en-US" w:bidi="ar-SA"/>
      </w:rPr>
    </w:lvl>
    <w:lvl w:ilvl="3" w:tplc="DD86EE78">
      <w:numFmt w:val="bullet"/>
      <w:lvlText w:val="•"/>
      <w:lvlJc w:val="left"/>
      <w:pPr>
        <w:ind w:left="588" w:hanging="96"/>
      </w:pPr>
      <w:rPr>
        <w:rFonts w:hint="default"/>
        <w:lang w:val="en-US" w:eastAsia="en-US" w:bidi="ar-SA"/>
      </w:rPr>
    </w:lvl>
    <w:lvl w:ilvl="4" w:tplc="27C889F2">
      <w:numFmt w:val="bullet"/>
      <w:lvlText w:val="•"/>
      <w:lvlJc w:val="left"/>
      <w:pPr>
        <w:ind w:left="730" w:hanging="96"/>
      </w:pPr>
      <w:rPr>
        <w:rFonts w:hint="default"/>
        <w:lang w:val="en-US" w:eastAsia="en-US" w:bidi="ar-SA"/>
      </w:rPr>
    </w:lvl>
    <w:lvl w:ilvl="5" w:tplc="6BF6387C">
      <w:numFmt w:val="bullet"/>
      <w:lvlText w:val="•"/>
      <w:lvlJc w:val="left"/>
      <w:pPr>
        <w:ind w:left="873" w:hanging="96"/>
      </w:pPr>
      <w:rPr>
        <w:rFonts w:hint="default"/>
        <w:lang w:val="en-US" w:eastAsia="en-US" w:bidi="ar-SA"/>
      </w:rPr>
    </w:lvl>
    <w:lvl w:ilvl="6" w:tplc="373A1EDC">
      <w:numFmt w:val="bullet"/>
      <w:lvlText w:val="•"/>
      <w:lvlJc w:val="left"/>
      <w:pPr>
        <w:ind w:left="1016" w:hanging="96"/>
      </w:pPr>
      <w:rPr>
        <w:rFonts w:hint="default"/>
        <w:lang w:val="en-US" w:eastAsia="en-US" w:bidi="ar-SA"/>
      </w:rPr>
    </w:lvl>
    <w:lvl w:ilvl="7" w:tplc="65B2E002">
      <w:numFmt w:val="bullet"/>
      <w:lvlText w:val="•"/>
      <w:lvlJc w:val="left"/>
      <w:pPr>
        <w:ind w:left="1159" w:hanging="96"/>
      </w:pPr>
      <w:rPr>
        <w:rFonts w:hint="default"/>
        <w:lang w:val="en-US" w:eastAsia="en-US" w:bidi="ar-SA"/>
      </w:rPr>
    </w:lvl>
    <w:lvl w:ilvl="8" w:tplc="66986456">
      <w:numFmt w:val="bullet"/>
      <w:lvlText w:val="•"/>
      <w:lvlJc w:val="left"/>
      <w:pPr>
        <w:ind w:left="1301" w:hanging="96"/>
      </w:pPr>
      <w:rPr>
        <w:rFonts w:hint="default"/>
        <w:lang w:val="en-US" w:eastAsia="en-US" w:bidi="ar-SA"/>
      </w:rPr>
    </w:lvl>
  </w:abstractNum>
  <w:abstractNum w:abstractNumId="73" w15:restartNumberingAfterBreak="0">
    <w:nsid w:val="28A219BB"/>
    <w:multiLevelType w:val="hybridMultilevel"/>
    <w:tmpl w:val="8C5E6F02"/>
    <w:lvl w:ilvl="0" w:tplc="0172B554">
      <w:numFmt w:val="bullet"/>
      <w:lvlText w:val="–"/>
      <w:lvlJc w:val="left"/>
      <w:pPr>
        <w:ind w:left="183" w:hanging="122"/>
      </w:pPr>
      <w:rPr>
        <w:rFonts w:ascii="Arial" w:eastAsia="Arial" w:hAnsi="Arial" w:cs="Arial" w:hint="default"/>
        <w:b w:val="0"/>
        <w:bCs w:val="0"/>
        <w:i w:val="0"/>
        <w:iCs w:val="0"/>
        <w:w w:val="89"/>
        <w:sz w:val="16"/>
        <w:szCs w:val="16"/>
        <w:lang w:val="en-US" w:eastAsia="en-US" w:bidi="ar-SA"/>
      </w:rPr>
    </w:lvl>
    <w:lvl w:ilvl="1" w:tplc="E1703FBA">
      <w:numFmt w:val="bullet"/>
      <w:lvlText w:val="•"/>
      <w:lvlJc w:val="left"/>
      <w:pPr>
        <w:ind w:left="376" w:hanging="122"/>
      </w:pPr>
      <w:rPr>
        <w:rFonts w:hint="default"/>
        <w:lang w:val="en-US" w:eastAsia="en-US" w:bidi="ar-SA"/>
      </w:rPr>
    </w:lvl>
    <w:lvl w:ilvl="2" w:tplc="577A6F76">
      <w:numFmt w:val="bullet"/>
      <w:lvlText w:val="•"/>
      <w:lvlJc w:val="left"/>
      <w:pPr>
        <w:ind w:left="573" w:hanging="122"/>
      </w:pPr>
      <w:rPr>
        <w:rFonts w:hint="default"/>
        <w:lang w:val="en-US" w:eastAsia="en-US" w:bidi="ar-SA"/>
      </w:rPr>
    </w:lvl>
    <w:lvl w:ilvl="3" w:tplc="5C580E26">
      <w:numFmt w:val="bullet"/>
      <w:lvlText w:val="•"/>
      <w:lvlJc w:val="left"/>
      <w:pPr>
        <w:ind w:left="770" w:hanging="122"/>
      </w:pPr>
      <w:rPr>
        <w:rFonts w:hint="default"/>
        <w:lang w:val="en-US" w:eastAsia="en-US" w:bidi="ar-SA"/>
      </w:rPr>
    </w:lvl>
    <w:lvl w:ilvl="4" w:tplc="26587AF8">
      <w:numFmt w:val="bullet"/>
      <w:lvlText w:val="•"/>
      <w:lvlJc w:val="left"/>
      <w:pPr>
        <w:ind w:left="967" w:hanging="122"/>
      </w:pPr>
      <w:rPr>
        <w:rFonts w:hint="default"/>
        <w:lang w:val="en-US" w:eastAsia="en-US" w:bidi="ar-SA"/>
      </w:rPr>
    </w:lvl>
    <w:lvl w:ilvl="5" w:tplc="D9CAABBE">
      <w:numFmt w:val="bullet"/>
      <w:lvlText w:val="•"/>
      <w:lvlJc w:val="left"/>
      <w:pPr>
        <w:ind w:left="1164" w:hanging="122"/>
      </w:pPr>
      <w:rPr>
        <w:rFonts w:hint="default"/>
        <w:lang w:val="en-US" w:eastAsia="en-US" w:bidi="ar-SA"/>
      </w:rPr>
    </w:lvl>
    <w:lvl w:ilvl="6" w:tplc="2B62C13E">
      <w:numFmt w:val="bullet"/>
      <w:lvlText w:val="•"/>
      <w:lvlJc w:val="left"/>
      <w:pPr>
        <w:ind w:left="1360" w:hanging="122"/>
      </w:pPr>
      <w:rPr>
        <w:rFonts w:hint="default"/>
        <w:lang w:val="en-US" w:eastAsia="en-US" w:bidi="ar-SA"/>
      </w:rPr>
    </w:lvl>
    <w:lvl w:ilvl="7" w:tplc="1424F8CC">
      <w:numFmt w:val="bullet"/>
      <w:lvlText w:val="•"/>
      <w:lvlJc w:val="left"/>
      <w:pPr>
        <w:ind w:left="1557" w:hanging="122"/>
      </w:pPr>
      <w:rPr>
        <w:rFonts w:hint="default"/>
        <w:lang w:val="en-US" w:eastAsia="en-US" w:bidi="ar-SA"/>
      </w:rPr>
    </w:lvl>
    <w:lvl w:ilvl="8" w:tplc="74DA33BE">
      <w:numFmt w:val="bullet"/>
      <w:lvlText w:val="•"/>
      <w:lvlJc w:val="left"/>
      <w:pPr>
        <w:ind w:left="1754" w:hanging="122"/>
      </w:pPr>
      <w:rPr>
        <w:rFonts w:hint="default"/>
        <w:lang w:val="en-US" w:eastAsia="en-US" w:bidi="ar-SA"/>
      </w:rPr>
    </w:lvl>
  </w:abstractNum>
  <w:abstractNum w:abstractNumId="74" w15:restartNumberingAfterBreak="0">
    <w:nsid w:val="29013745"/>
    <w:multiLevelType w:val="hybridMultilevel"/>
    <w:tmpl w:val="3E082490"/>
    <w:lvl w:ilvl="0" w:tplc="EB5E149E">
      <w:numFmt w:val="bullet"/>
      <w:lvlText w:val="•"/>
      <w:lvlJc w:val="left"/>
      <w:pPr>
        <w:ind w:left="471" w:hanging="284"/>
      </w:pPr>
      <w:rPr>
        <w:rFonts w:ascii="Tahoma" w:eastAsia="Tahoma" w:hAnsi="Tahoma" w:cs="Tahoma" w:hint="default"/>
        <w:b w:val="0"/>
        <w:bCs w:val="0"/>
        <w:i w:val="0"/>
        <w:iCs w:val="0"/>
        <w:w w:val="109"/>
        <w:sz w:val="20"/>
        <w:szCs w:val="20"/>
        <w:lang w:val="en-US" w:eastAsia="en-US" w:bidi="ar-SA"/>
      </w:rPr>
    </w:lvl>
    <w:lvl w:ilvl="1" w:tplc="6DDE62DE">
      <w:numFmt w:val="bullet"/>
      <w:lvlText w:val="•"/>
      <w:lvlJc w:val="left"/>
      <w:pPr>
        <w:ind w:left="649" w:hanging="284"/>
      </w:pPr>
      <w:rPr>
        <w:rFonts w:ascii="Tahoma" w:eastAsia="Tahoma" w:hAnsi="Tahoma" w:cs="Tahoma" w:hint="default"/>
        <w:b w:val="0"/>
        <w:bCs w:val="0"/>
        <w:i w:val="0"/>
        <w:iCs w:val="0"/>
        <w:w w:val="109"/>
        <w:sz w:val="20"/>
        <w:szCs w:val="20"/>
        <w:lang w:val="en-US" w:eastAsia="en-US" w:bidi="ar-SA"/>
      </w:rPr>
    </w:lvl>
    <w:lvl w:ilvl="2" w:tplc="519AEDD8">
      <w:numFmt w:val="bullet"/>
      <w:lvlText w:val="•"/>
      <w:lvlJc w:val="left"/>
      <w:pPr>
        <w:ind w:left="775" w:hanging="284"/>
      </w:pPr>
      <w:rPr>
        <w:rFonts w:ascii="Tahoma" w:eastAsia="Tahoma" w:hAnsi="Tahoma" w:cs="Tahoma" w:hint="default"/>
        <w:b w:val="0"/>
        <w:bCs w:val="0"/>
        <w:i w:val="0"/>
        <w:iCs w:val="0"/>
        <w:w w:val="109"/>
        <w:sz w:val="20"/>
        <w:szCs w:val="20"/>
        <w:lang w:val="en-US" w:eastAsia="en-US" w:bidi="ar-SA"/>
      </w:rPr>
    </w:lvl>
    <w:lvl w:ilvl="3" w:tplc="1556E26A">
      <w:numFmt w:val="bullet"/>
      <w:lvlText w:val="•"/>
      <w:lvlJc w:val="left"/>
      <w:pPr>
        <w:ind w:left="68" w:hanging="284"/>
      </w:pPr>
      <w:rPr>
        <w:rFonts w:hint="default"/>
        <w:lang w:val="en-US" w:eastAsia="en-US" w:bidi="ar-SA"/>
      </w:rPr>
    </w:lvl>
    <w:lvl w:ilvl="4" w:tplc="A8E4CE58">
      <w:numFmt w:val="bullet"/>
      <w:lvlText w:val="•"/>
      <w:lvlJc w:val="left"/>
      <w:pPr>
        <w:ind w:left="-644" w:hanging="284"/>
      </w:pPr>
      <w:rPr>
        <w:rFonts w:hint="default"/>
        <w:lang w:val="en-US" w:eastAsia="en-US" w:bidi="ar-SA"/>
      </w:rPr>
    </w:lvl>
    <w:lvl w:ilvl="5" w:tplc="A68AAADE">
      <w:numFmt w:val="bullet"/>
      <w:lvlText w:val="•"/>
      <w:lvlJc w:val="left"/>
      <w:pPr>
        <w:ind w:left="-1356" w:hanging="284"/>
      </w:pPr>
      <w:rPr>
        <w:rFonts w:hint="default"/>
        <w:lang w:val="en-US" w:eastAsia="en-US" w:bidi="ar-SA"/>
      </w:rPr>
    </w:lvl>
    <w:lvl w:ilvl="6" w:tplc="95BCBE44">
      <w:numFmt w:val="bullet"/>
      <w:lvlText w:val="•"/>
      <w:lvlJc w:val="left"/>
      <w:pPr>
        <w:ind w:left="-2068" w:hanging="284"/>
      </w:pPr>
      <w:rPr>
        <w:rFonts w:hint="default"/>
        <w:lang w:val="en-US" w:eastAsia="en-US" w:bidi="ar-SA"/>
      </w:rPr>
    </w:lvl>
    <w:lvl w:ilvl="7" w:tplc="BF6AE574">
      <w:numFmt w:val="bullet"/>
      <w:lvlText w:val="•"/>
      <w:lvlJc w:val="left"/>
      <w:pPr>
        <w:ind w:left="-2780" w:hanging="284"/>
      </w:pPr>
      <w:rPr>
        <w:rFonts w:hint="default"/>
        <w:lang w:val="en-US" w:eastAsia="en-US" w:bidi="ar-SA"/>
      </w:rPr>
    </w:lvl>
    <w:lvl w:ilvl="8" w:tplc="23F25A46">
      <w:numFmt w:val="bullet"/>
      <w:lvlText w:val="•"/>
      <w:lvlJc w:val="left"/>
      <w:pPr>
        <w:ind w:left="-3492" w:hanging="284"/>
      </w:pPr>
      <w:rPr>
        <w:rFonts w:hint="default"/>
        <w:lang w:val="en-US" w:eastAsia="en-US" w:bidi="ar-SA"/>
      </w:rPr>
    </w:lvl>
  </w:abstractNum>
  <w:abstractNum w:abstractNumId="75" w15:restartNumberingAfterBreak="0">
    <w:nsid w:val="29666B43"/>
    <w:multiLevelType w:val="hybridMultilevel"/>
    <w:tmpl w:val="61544486"/>
    <w:lvl w:ilvl="0" w:tplc="36EC4C52">
      <w:numFmt w:val="bullet"/>
      <w:lvlText w:val="–"/>
      <w:lvlJc w:val="left"/>
      <w:pPr>
        <w:ind w:left="151" w:hanging="96"/>
      </w:pPr>
      <w:rPr>
        <w:rFonts w:ascii="Arial" w:eastAsia="Arial" w:hAnsi="Arial" w:cs="Arial" w:hint="default"/>
        <w:b w:val="0"/>
        <w:bCs w:val="0"/>
        <w:i w:val="0"/>
        <w:iCs w:val="0"/>
        <w:w w:val="89"/>
        <w:sz w:val="14"/>
        <w:szCs w:val="14"/>
        <w:lang w:val="en-US" w:eastAsia="en-US" w:bidi="ar-SA"/>
      </w:rPr>
    </w:lvl>
    <w:lvl w:ilvl="1" w:tplc="4CF60688">
      <w:numFmt w:val="bullet"/>
      <w:lvlText w:val="•"/>
      <w:lvlJc w:val="left"/>
      <w:pPr>
        <w:ind w:left="302" w:hanging="96"/>
      </w:pPr>
      <w:rPr>
        <w:rFonts w:hint="default"/>
        <w:lang w:val="en-US" w:eastAsia="en-US" w:bidi="ar-SA"/>
      </w:rPr>
    </w:lvl>
    <w:lvl w:ilvl="2" w:tplc="C98CAB58">
      <w:numFmt w:val="bullet"/>
      <w:lvlText w:val="•"/>
      <w:lvlJc w:val="left"/>
      <w:pPr>
        <w:ind w:left="445" w:hanging="96"/>
      </w:pPr>
      <w:rPr>
        <w:rFonts w:hint="default"/>
        <w:lang w:val="en-US" w:eastAsia="en-US" w:bidi="ar-SA"/>
      </w:rPr>
    </w:lvl>
    <w:lvl w:ilvl="3" w:tplc="BF3042A6">
      <w:numFmt w:val="bullet"/>
      <w:lvlText w:val="•"/>
      <w:lvlJc w:val="left"/>
      <w:pPr>
        <w:ind w:left="588" w:hanging="96"/>
      </w:pPr>
      <w:rPr>
        <w:rFonts w:hint="default"/>
        <w:lang w:val="en-US" w:eastAsia="en-US" w:bidi="ar-SA"/>
      </w:rPr>
    </w:lvl>
    <w:lvl w:ilvl="4" w:tplc="488A5AB8">
      <w:numFmt w:val="bullet"/>
      <w:lvlText w:val="•"/>
      <w:lvlJc w:val="left"/>
      <w:pPr>
        <w:ind w:left="730" w:hanging="96"/>
      </w:pPr>
      <w:rPr>
        <w:rFonts w:hint="default"/>
        <w:lang w:val="en-US" w:eastAsia="en-US" w:bidi="ar-SA"/>
      </w:rPr>
    </w:lvl>
    <w:lvl w:ilvl="5" w:tplc="B9EA003E">
      <w:numFmt w:val="bullet"/>
      <w:lvlText w:val="•"/>
      <w:lvlJc w:val="left"/>
      <w:pPr>
        <w:ind w:left="873" w:hanging="96"/>
      </w:pPr>
      <w:rPr>
        <w:rFonts w:hint="default"/>
        <w:lang w:val="en-US" w:eastAsia="en-US" w:bidi="ar-SA"/>
      </w:rPr>
    </w:lvl>
    <w:lvl w:ilvl="6" w:tplc="89B0BCDC">
      <w:numFmt w:val="bullet"/>
      <w:lvlText w:val="•"/>
      <w:lvlJc w:val="left"/>
      <w:pPr>
        <w:ind w:left="1016" w:hanging="96"/>
      </w:pPr>
      <w:rPr>
        <w:rFonts w:hint="default"/>
        <w:lang w:val="en-US" w:eastAsia="en-US" w:bidi="ar-SA"/>
      </w:rPr>
    </w:lvl>
    <w:lvl w:ilvl="7" w:tplc="C7546D5C">
      <w:numFmt w:val="bullet"/>
      <w:lvlText w:val="•"/>
      <w:lvlJc w:val="left"/>
      <w:pPr>
        <w:ind w:left="1159" w:hanging="96"/>
      </w:pPr>
      <w:rPr>
        <w:rFonts w:hint="default"/>
        <w:lang w:val="en-US" w:eastAsia="en-US" w:bidi="ar-SA"/>
      </w:rPr>
    </w:lvl>
    <w:lvl w:ilvl="8" w:tplc="BBD68EAA">
      <w:numFmt w:val="bullet"/>
      <w:lvlText w:val="•"/>
      <w:lvlJc w:val="left"/>
      <w:pPr>
        <w:ind w:left="1301" w:hanging="96"/>
      </w:pPr>
      <w:rPr>
        <w:rFonts w:hint="default"/>
        <w:lang w:val="en-US" w:eastAsia="en-US" w:bidi="ar-SA"/>
      </w:rPr>
    </w:lvl>
  </w:abstractNum>
  <w:abstractNum w:abstractNumId="76" w15:restartNumberingAfterBreak="0">
    <w:nsid w:val="299040DE"/>
    <w:multiLevelType w:val="hybridMultilevel"/>
    <w:tmpl w:val="971A69A2"/>
    <w:lvl w:ilvl="0" w:tplc="01E2A65A">
      <w:numFmt w:val="bullet"/>
      <w:lvlText w:val="•"/>
      <w:lvlJc w:val="left"/>
      <w:pPr>
        <w:ind w:left="775" w:hanging="284"/>
      </w:pPr>
      <w:rPr>
        <w:rFonts w:ascii="Tahoma" w:eastAsia="Tahoma" w:hAnsi="Tahoma" w:cs="Tahoma" w:hint="default"/>
        <w:b w:val="0"/>
        <w:bCs w:val="0"/>
        <w:i w:val="0"/>
        <w:iCs w:val="0"/>
        <w:w w:val="109"/>
        <w:sz w:val="20"/>
        <w:szCs w:val="20"/>
        <w:lang w:val="en-US" w:eastAsia="en-US" w:bidi="ar-SA"/>
      </w:rPr>
    </w:lvl>
    <w:lvl w:ilvl="1" w:tplc="476EB2F8">
      <w:numFmt w:val="bullet"/>
      <w:lvlText w:val="•"/>
      <w:lvlJc w:val="left"/>
      <w:pPr>
        <w:ind w:left="1231" w:hanging="284"/>
      </w:pPr>
      <w:rPr>
        <w:rFonts w:hint="default"/>
        <w:lang w:val="en-US" w:eastAsia="en-US" w:bidi="ar-SA"/>
      </w:rPr>
    </w:lvl>
    <w:lvl w:ilvl="2" w:tplc="7B109442">
      <w:numFmt w:val="bullet"/>
      <w:lvlText w:val="•"/>
      <w:lvlJc w:val="left"/>
      <w:pPr>
        <w:ind w:left="1682" w:hanging="284"/>
      </w:pPr>
      <w:rPr>
        <w:rFonts w:hint="default"/>
        <w:lang w:val="en-US" w:eastAsia="en-US" w:bidi="ar-SA"/>
      </w:rPr>
    </w:lvl>
    <w:lvl w:ilvl="3" w:tplc="4838EF04">
      <w:numFmt w:val="bullet"/>
      <w:lvlText w:val="•"/>
      <w:lvlJc w:val="left"/>
      <w:pPr>
        <w:ind w:left="2133" w:hanging="284"/>
      </w:pPr>
      <w:rPr>
        <w:rFonts w:hint="default"/>
        <w:lang w:val="en-US" w:eastAsia="en-US" w:bidi="ar-SA"/>
      </w:rPr>
    </w:lvl>
    <w:lvl w:ilvl="4" w:tplc="3176CC6A">
      <w:numFmt w:val="bullet"/>
      <w:lvlText w:val="•"/>
      <w:lvlJc w:val="left"/>
      <w:pPr>
        <w:ind w:left="2584" w:hanging="284"/>
      </w:pPr>
      <w:rPr>
        <w:rFonts w:hint="default"/>
        <w:lang w:val="en-US" w:eastAsia="en-US" w:bidi="ar-SA"/>
      </w:rPr>
    </w:lvl>
    <w:lvl w:ilvl="5" w:tplc="A6A6B534">
      <w:numFmt w:val="bullet"/>
      <w:lvlText w:val="•"/>
      <w:lvlJc w:val="left"/>
      <w:pPr>
        <w:ind w:left="3035" w:hanging="284"/>
      </w:pPr>
      <w:rPr>
        <w:rFonts w:hint="default"/>
        <w:lang w:val="en-US" w:eastAsia="en-US" w:bidi="ar-SA"/>
      </w:rPr>
    </w:lvl>
    <w:lvl w:ilvl="6" w:tplc="3A2C2656">
      <w:numFmt w:val="bullet"/>
      <w:lvlText w:val="•"/>
      <w:lvlJc w:val="left"/>
      <w:pPr>
        <w:ind w:left="3486" w:hanging="284"/>
      </w:pPr>
      <w:rPr>
        <w:rFonts w:hint="default"/>
        <w:lang w:val="en-US" w:eastAsia="en-US" w:bidi="ar-SA"/>
      </w:rPr>
    </w:lvl>
    <w:lvl w:ilvl="7" w:tplc="2E0AAEAC">
      <w:numFmt w:val="bullet"/>
      <w:lvlText w:val="•"/>
      <w:lvlJc w:val="left"/>
      <w:pPr>
        <w:ind w:left="3937" w:hanging="284"/>
      </w:pPr>
      <w:rPr>
        <w:rFonts w:hint="default"/>
        <w:lang w:val="en-US" w:eastAsia="en-US" w:bidi="ar-SA"/>
      </w:rPr>
    </w:lvl>
    <w:lvl w:ilvl="8" w:tplc="8EACDC7E">
      <w:numFmt w:val="bullet"/>
      <w:lvlText w:val="•"/>
      <w:lvlJc w:val="left"/>
      <w:pPr>
        <w:ind w:left="4389" w:hanging="284"/>
      </w:pPr>
      <w:rPr>
        <w:rFonts w:hint="default"/>
        <w:lang w:val="en-US" w:eastAsia="en-US" w:bidi="ar-SA"/>
      </w:rPr>
    </w:lvl>
  </w:abstractNum>
  <w:abstractNum w:abstractNumId="77" w15:restartNumberingAfterBreak="0">
    <w:nsid w:val="29B655D2"/>
    <w:multiLevelType w:val="multilevel"/>
    <w:tmpl w:val="6E6E140E"/>
    <w:lvl w:ilvl="0">
      <w:start w:val="13"/>
      <w:numFmt w:val="decimal"/>
      <w:lvlText w:val="%1"/>
      <w:lvlJc w:val="left"/>
      <w:pPr>
        <w:ind w:left="1002" w:hanging="511"/>
        <w:jc w:val="left"/>
      </w:pPr>
      <w:rPr>
        <w:rFonts w:hint="default"/>
        <w:lang w:val="en-US" w:eastAsia="en-US" w:bidi="ar-SA"/>
      </w:rPr>
    </w:lvl>
    <w:lvl w:ilvl="1">
      <w:numFmt w:val="decimal"/>
      <w:lvlText w:val="%1.%2"/>
      <w:lvlJc w:val="left"/>
      <w:pPr>
        <w:ind w:left="1002" w:hanging="511"/>
        <w:jc w:val="left"/>
      </w:pPr>
      <w:rPr>
        <w:rFonts w:hint="default"/>
        <w:w w:val="99"/>
        <w:lang w:val="en-US" w:eastAsia="en-US" w:bidi="ar-SA"/>
      </w:rPr>
    </w:lvl>
    <w:lvl w:ilvl="2">
      <w:numFmt w:val="bullet"/>
      <w:lvlText w:val="•"/>
      <w:lvlJc w:val="left"/>
      <w:pPr>
        <w:ind w:left="1828" w:hanging="511"/>
      </w:pPr>
      <w:rPr>
        <w:rFonts w:hint="default"/>
        <w:lang w:val="en-US" w:eastAsia="en-US" w:bidi="ar-SA"/>
      </w:rPr>
    </w:lvl>
    <w:lvl w:ilvl="3">
      <w:numFmt w:val="bullet"/>
      <w:lvlText w:val="•"/>
      <w:lvlJc w:val="left"/>
      <w:pPr>
        <w:ind w:left="2242" w:hanging="511"/>
      </w:pPr>
      <w:rPr>
        <w:rFonts w:hint="default"/>
        <w:lang w:val="en-US" w:eastAsia="en-US" w:bidi="ar-SA"/>
      </w:rPr>
    </w:lvl>
    <w:lvl w:ilvl="4">
      <w:numFmt w:val="bullet"/>
      <w:lvlText w:val="•"/>
      <w:lvlJc w:val="left"/>
      <w:pPr>
        <w:ind w:left="2656" w:hanging="511"/>
      </w:pPr>
      <w:rPr>
        <w:rFonts w:hint="default"/>
        <w:lang w:val="en-US" w:eastAsia="en-US" w:bidi="ar-SA"/>
      </w:rPr>
    </w:lvl>
    <w:lvl w:ilvl="5">
      <w:numFmt w:val="bullet"/>
      <w:lvlText w:val="•"/>
      <w:lvlJc w:val="left"/>
      <w:pPr>
        <w:ind w:left="3070" w:hanging="511"/>
      </w:pPr>
      <w:rPr>
        <w:rFonts w:hint="default"/>
        <w:lang w:val="en-US" w:eastAsia="en-US" w:bidi="ar-SA"/>
      </w:rPr>
    </w:lvl>
    <w:lvl w:ilvl="6">
      <w:numFmt w:val="bullet"/>
      <w:lvlText w:val="•"/>
      <w:lvlJc w:val="left"/>
      <w:pPr>
        <w:ind w:left="3484" w:hanging="511"/>
      </w:pPr>
      <w:rPr>
        <w:rFonts w:hint="default"/>
        <w:lang w:val="en-US" w:eastAsia="en-US" w:bidi="ar-SA"/>
      </w:rPr>
    </w:lvl>
    <w:lvl w:ilvl="7">
      <w:numFmt w:val="bullet"/>
      <w:lvlText w:val="•"/>
      <w:lvlJc w:val="left"/>
      <w:pPr>
        <w:ind w:left="3898" w:hanging="511"/>
      </w:pPr>
      <w:rPr>
        <w:rFonts w:hint="default"/>
        <w:lang w:val="en-US" w:eastAsia="en-US" w:bidi="ar-SA"/>
      </w:rPr>
    </w:lvl>
    <w:lvl w:ilvl="8">
      <w:numFmt w:val="bullet"/>
      <w:lvlText w:val="•"/>
      <w:lvlJc w:val="left"/>
      <w:pPr>
        <w:ind w:left="4312" w:hanging="511"/>
      </w:pPr>
      <w:rPr>
        <w:rFonts w:hint="default"/>
        <w:lang w:val="en-US" w:eastAsia="en-US" w:bidi="ar-SA"/>
      </w:rPr>
    </w:lvl>
  </w:abstractNum>
  <w:abstractNum w:abstractNumId="78" w15:restartNumberingAfterBreak="0">
    <w:nsid w:val="2A053F74"/>
    <w:multiLevelType w:val="multilevel"/>
    <w:tmpl w:val="A5EE3BA8"/>
    <w:lvl w:ilvl="0">
      <w:start w:val="9"/>
      <w:numFmt w:val="decimal"/>
      <w:lvlText w:val="%1"/>
      <w:lvlJc w:val="left"/>
      <w:pPr>
        <w:ind w:left="848" w:hanging="511"/>
        <w:jc w:val="left"/>
      </w:pPr>
      <w:rPr>
        <w:rFonts w:hint="default"/>
        <w:lang w:val="en-US" w:eastAsia="en-US" w:bidi="ar-SA"/>
      </w:rPr>
    </w:lvl>
    <w:lvl w:ilvl="1">
      <w:numFmt w:val="decimal"/>
      <w:lvlText w:val="%1.%2"/>
      <w:lvlJc w:val="left"/>
      <w:pPr>
        <w:ind w:left="848" w:hanging="511"/>
        <w:jc w:val="left"/>
      </w:pPr>
      <w:rPr>
        <w:rFonts w:hint="default"/>
        <w:w w:val="99"/>
        <w:lang w:val="en-US" w:eastAsia="en-US" w:bidi="ar-SA"/>
      </w:rPr>
    </w:lvl>
    <w:lvl w:ilvl="2">
      <w:numFmt w:val="bullet"/>
      <w:lvlText w:val="•"/>
      <w:lvlJc w:val="left"/>
      <w:pPr>
        <w:ind w:left="2847" w:hanging="511"/>
      </w:pPr>
      <w:rPr>
        <w:rFonts w:hint="default"/>
        <w:lang w:val="en-US" w:eastAsia="en-US" w:bidi="ar-SA"/>
      </w:rPr>
    </w:lvl>
    <w:lvl w:ilvl="3">
      <w:numFmt w:val="bullet"/>
      <w:lvlText w:val="•"/>
      <w:lvlJc w:val="left"/>
      <w:pPr>
        <w:ind w:left="3851" w:hanging="511"/>
      </w:pPr>
      <w:rPr>
        <w:rFonts w:hint="default"/>
        <w:lang w:val="en-US" w:eastAsia="en-US" w:bidi="ar-SA"/>
      </w:rPr>
    </w:lvl>
    <w:lvl w:ilvl="4">
      <w:numFmt w:val="bullet"/>
      <w:lvlText w:val="•"/>
      <w:lvlJc w:val="left"/>
      <w:pPr>
        <w:ind w:left="4854" w:hanging="511"/>
      </w:pPr>
      <w:rPr>
        <w:rFonts w:hint="default"/>
        <w:lang w:val="en-US" w:eastAsia="en-US" w:bidi="ar-SA"/>
      </w:rPr>
    </w:lvl>
    <w:lvl w:ilvl="5">
      <w:numFmt w:val="bullet"/>
      <w:lvlText w:val="•"/>
      <w:lvlJc w:val="left"/>
      <w:pPr>
        <w:ind w:left="5858" w:hanging="511"/>
      </w:pPr>
      <w:rPr>
        <w:rFonts w:hint="default"/>
        <w:lang w:val="en-US" w:eastAsia="en-US" w:bidi="ar-SA"/>
      </w:rPr>
    </w:lvl>
    <w:lvl w:ilvl="6">
      <w:numFmt w:val="bullet"/>
      <w:lvlText w:val="•"/>
      <w:lvlJc w:val="left"/>
      <w:pPr>
        <w:ind w:left="6862" w:hanging="511"/>
      </w:pPr>
      <w:rPr>
        <w:rFonts w:hint="default"/>
        <w:lang w:val="en-US" w:eastAsia="en-US" w:bidi="ar-SA"/>
      </w:rPr>
    </w:lvl>
    <w:lvl w:ilvl="7">
      <w:numFmt w:val="bullet"/>
      <w:lvlText w:val="•"/>
      <w:lvlJc w:val="left"/>
      <w:pPr>
        <w:ind w:left="7865" w:hanging="511"/>
      </w:pPr>
      <w:rPr>
        <w:rFonts w:hint="default"/>
        <w:lang w:val="en-US" w:eastAsia="en-US" w:bidi="ar-SA"/>
      </w:rPr>
    </w:lvl>
    <w:lvl w:ilvl="8">
      <w:numFmt w:val="bullet"/>
      <w:lvlText w:val="•"/>
      <w:lvlJc w:val="left"/>
      <w:pPr>
        <w:ind w:left="8869" w:hanging="511"/>
      </w:pPr>
      <w:rPr>
        <w:rFonts w:hint="default"/>
        <w:lang w:val="en-US" w:eastAsia="en-US" w:bidi="ar-SA"/>
      </w:rPr>
    </w:lvl>
  </w:abstractNum>
  <w:abstractNum w:abstractNumId="79" w15:restartNumberingAfterBreak="0">
    <w:nsid w:val="2A2F1B07"/>
    <w:multiLevelType w:val="hybridMultilevel"/>
    <w:tmpl w:val="00CC1324"/>
    <w:lvl w:ilvl="0" w:tplc="ACACF612">
      <w:numFmt w:val="bullet"/>
      <w:lvlText w:val="•"/>
      <w:lvlJc w:val="left"/>
      <w:pPr>
        <w:ind w:left="500" w:hanging="284"/>
      </w:pPr>
      <w:rPr>
        <w:rFonts w:ascii="Tahoma" w:eastAsia="Tahoma" w:hAnsi="Tahoma" w:cs="Tahoma" w:hint="default"/>
        <w:b w:val="0"/>
        <w:bCs w:val="0"/>
        <w:i w:val="0"/>
        <w:iCs w:val="0"/>
        <w:w w:val="109"/>
        <w:sz w:val="20"/>
        <w:szCs w:val="20"/>
        <w:lang w:val="en-US" w:eastAsia="en-US" w:bidi="ar-SA"/>
      </w:rPr>
    </w:lvl>
    <w:lvl w:ilvl="1" w:tplc="CF64B166">
      <w:numFmt w:val="bullet"/>
      <w:lvlText w:val="•"/>
      <w:lvlJc w:val="left"/>
      <w:pPr>
        <w:ind w:left="1022" w:hanging="284"/>
      </w:pPr>
      <w:rPr>
        <w:rFonts w:hint="default"/>
        <w:lang w:val="en-US" w:eastAsia="en-US" w:bidi="ar-SA"/>
      </w:rPr>
    </w:lvl>
    <w:lvl w:ilvl="2" w:tplc="159088CC">
      <w:numFmt w:val="bullet"/>
      <w:lvlText w:val="•"/>
      <w:lvlJc w:val="left"/>
      <w:pPr>
        <w:ind w:left="1545" w:hanging="284"/>
      </w:pPr>
      <w:rPr>
        <w:rFonts w:hint="default"/>
        <w:lang w:val="en-US" w:eastAsia="en-US" w:bidi="ar-SA"/>
      </w:rPr>
    </w:lvl>
    <w:lvl w:ilvl="3" w:tplc="86805BBC">
      <w:numFmt w:val="bullet"/>
      <w:lvlText w:val="•"/>
      <w:lvlJc w:val="left"/>
      <w:pPr>
        <w:ind w:left="2068" w:hanging="284"/>
      </w:pPr>
      <w:rPr>
        <w:rFonts w:hint="default"/>
        <w:lang w:val="en-US" w:eastAsia="en-US" w:bidi="ar-SA"/>
      </w:rPr>
    </w:lvl>
    <w:lvl w:ilvl="4" w:tplc="A8F8A724">
      <w:numFmt w:val="bullet"/>
      <w:lvlText w:val="•"/>
      <w:lvlJc w:val="left"/>
      <w:pPr>
        <w:ind w:left="2591" w:hanging="284"/>
      </w:pPr>
      <w:rPr>
        <w:rFonts w:hint="default"/>
        <w:lang w:val="en-US" w:eastAsia="en-US" w:bidi="ar-SA"/>
      </w:rPr>
    </w:lvl>
    <w:lvl w:ilvl="5" w:tplc="AB381900">
      <w:numFmt w:val="bullet"/>
      <w:lvlText w:val="•"/>
      <w:lvlJc w:val="left"/>
      <w:pPr>
        <w:ind w:left="3114" w:hanging="284"/>
      </w:pPr>
      <w:rPr>
        <w:rFonts w:hint="default"/>
        <w:lang w:val="en-US" w:eastAsia="en-US" w:bidi="ar-SA"/>
      </w:rPr>
    </w:lvl>
    <w:lvl w:ilvl="6" w:tplc="9AF2C59C">
      <w:numFmt w:val="bullet"/>
      <w:lvlText w:val="•"/>
      <w:lvlJc w:val="left"/>
      <w:pPr>
        <w:ind w:left="3637" w:hanging="284"/>
      </w:pPr>
      <w:rPr>
        <w:rFonts w:hint="default"/>
        <w:lang w:val="en-US" w:eastAsia="en-US" w:bidi="ar-SA"/>
      </w:rPr>
    </w:lvl>
    <w:lvl w:ilvl="7" w:tplc="9EB2936E">
      <w:numFmt w:val="bullet"/>
      <w:lvlText w:val="•"/>
      <w:lvlJc w:val="left"/>
      <w:pPr>
        <w:ind w:left="4160" w:hanging="284"/>
      </w:pPr>
      <w:rPr>
        <w:rFonts w:hint="default"/>
        <w:lang w:val="en-US" w:eastAsia="en-US" w:bidi="ar-SA"/>
      </w:rPr>
    </w:lvl>
    <w:lvl w:ilvl="8" w:tplc="75B298D4">
      <w:numFmt w:val="bullet"/>
      <w:lvlText w:val="•"/>
      <w:lvlJc w:val="left"/>
      <w:pPr>
        <w:ind w:left="4683" w:hanging="284"/>
      </w:pPr>
      <w:rPr>
        <w:rFonts w:hint="default"/>
        <w:lang w:val="en-US" w:eastAsia="en-US" w:bidi="ar-SA"/>
      </w:rPr>
    </w:lvl>
  </w:abstractNum>
  <w:abstractNum w:abstractNumId="80" w15:restartNumberingAfterBreak="0">
    <w:nsid w:val="2AC46361"/>
    <w:multiLevelType w:val="multilevel"/>
    <w:tmpl w:val="EA2C3DD6"/>
    <w:lvl w:ilvl="0">
      <w:start w:val="3"/>
      <w:numFmt w:val="decimal"/>
      <w:lvlText w:val="%1"/>
      <w:lvlJc w:val="left"/>
      <w:pPr>
        <w:ind w:left="695" w:hanging="486"/>
        <w:jc w:val="left"/>
      </w:pPr>
      <w:rPr>
        <w:rFonts w:hint="default"/>
        <w:lang w:val="en-US" w:eastAsia="en-US" w:bidi="ar-SA"/>
      </w:rPr>
    </w:lvl>
    <w:lvl w:ilvl="1">
      <w:start w:val="3"/>
      <w:numFmt w:val="decimal"/>
      <w:lvlText w:val="%1.%2"/>
      <w:lvlJc w:val="left"/>
      <w:pPr>
        <w:ind w:left="695" w:hanging="486"/>
        <w:jc w:val="left"/>
      </w:pPr>
      <w:rPr>
        <w:rFonts w:hint="default"/>
        <w:lang w:val="en-US" w:eastAsia="en-US" w:bidi="ar-SA"/>
      </w:rPr>
    </w:lvl>
    <w:lvl w:ilvl="2">
      <w:start w:val="1"/>
      <w:numFmt w:val="decimal"/>
      <w:lvlText w:val="%1.%2.%3"/>
      <w:lvlJc w:val="left"/>
      <w:pPr>
        <w:ind w:left="695" w:hanging="486"/>
        <w:jc w:val="right"/>
      </w:pPr>
      <w:rPr>
        <w:rFonts w:ascii="Arial" w:eastAsia="Arial" w:hAnsi="Arial" w:cs="Arial" w:hint="default"/>
        <w:b/>
        <w:bCs/>
        <w:i w:val="0"/>
        <w:iCs w:val="0"/>
        <w:color w:val="EC008C"/>
        <w:spacing w:val="-3"/>
        <w:w w:val="99"/>
        <w:sz w:val="20"/>
        <w:szCs w:val="20"/>
        <w:lang w:val="en-US" w:eastAsia="en-US" w:bidi="ar-SA"/>
      </w:rPr>
    </w:lvl>
    <w:lvl w:ilvl="3">
      <w:numFmt w:val="bullet"/>
      <w:lvlText w:val="•"/>
      <w:lvlJc w:val="left"/>
      <w:pPr>
        <w:ind w:left="2206" w:hanging="486"/>
      </w:pPr>
      <w:rPr>
        <w:rFonts w:hint="default"/>
        <w:lang w:val="en-US" w:eastAsia="en-US" w:bidi="ar-SA"/>
      </w:rPr>
    </w:lvl>
    <w:lvl w:ilvl="4">
      <w:numFmt w:val="bullet"/>
      <w:lvlText w:val="•"/>
      <w:lvlJc w:val="left"/>
      <w:pPr>
        <w:ind w:left="2708" w:hanging="486"/>
      </w:pPr>
      <w:rPr>
        <w:rFonts w:hint="default"/>
        <w:lang w:val="en-US" w:eastAsia="en-US" w:bidi="ar-SA"/>
      </w:rPr>
    </w:lvl>
    <w:lvl w:ilvl="5">
      <w:numFmt w:val="bullet"/>
      <w:lvlText w:val="•"/>
      <w:lvlJc w:val="left"/>
      <w:pPr>
        <w:ind w:left="3210" w:hanging="486"/>
      </w:pPr>
      <w:rPr>
        <w:rFonts w:hint="default"/>
        <w:lang w:val="en-US" w:eastAsia="en-US" w:bidi="ar-SA"/>
      </w:rPr>
    </w:lvl>
    <w:lvl w:ilvl="6">
      <w:numFmt w:val="bullet"/>
      <w:lvlText w:val="•"/>
      <w:lvlJc w:val="left"/>
      <w:pPr>
        <w:ind w:left="3712" w:hanging="486"/>
      </w:pPr>
      <w:rPr>
        <w:rFonts w:hint="default"/>
        <w:lang w:val="en-US" w:eastAsia="en-US" w:bidi="ar-SA"/>
      </w:rPr>
    </w:lvl>
    <w:lvl w:ilvl="7">
      <w:numFmt w:val="bullet"/>
      <w:lvlText w:val="•"/>
      <w:lvlJc w:val="left"/>
      <w:pPr>
        <w:ind w:left="4215" w:hanging="486"/>
      </w:pPr>
      <w:rPr>
        <w:rFonts w:hint="default"/>
        <w:lang w:val="en-US" w:eastAsia="en-US" w:bidi="ar-SA"/>
      </w:rPr>
    </w:lvl>
    <w:lvl w:ilvl="8">
      <w:numFmt w:val="bullet"/>
      <w:lvlText w:val="•"/>
      <w:lvlJc w:val="left"/>
      <w:pPr>
        <w:ind w:left="4717" w:hanging="486"/>
      </w:pPr>
      <w:rPr>
        <w:rFonts w:hint="default"/>
        <w:lang w:val="en-US" w:eastAsia="en-US" w:bidi="ar-SA"/>
      </w:rPr>
    </w:lvl>
  </w:abstractNum>
  <w:abstractNum w:abstractNumId="81" w15:restartNumberingAfterBreak="0">
    <w:nsid w:val="2AFE1CE7"/>
    <w:multiLevelType w:val="hybridMultilevel"/>
    <w:tmpl w:val="E286EFC4"/>
    <w:lvl w:ilvl="0" w:tplc="CA6C19C4">
      <w:numFmt w:val="bullet"/>
      <w:lvlText w:val="•"/>
      <w:lvlJc w:val="left"/>
      <w:pPr>
        <w:ind w:left="775" w:hanging="284"/>
      </w:pPr>
      <w:rPr>
        <w:rFonts w:ascii="Tahoma" w:eastAsia="Tahoma" w:hAnsi="Tahoma" w:cs="Tahoma" w:hint="default"/>
        <w:b w:val="0"/>
        <w:bCs w:val="0"/>
        <w:i w:val="0"/>
        <w:iCs w:val="0"/>
        <w:w w:val="109"/>
        <w:sz w:val="20"/>
        <w:szCs w:val="20"/>
        <w:lang w:val="en-US" w:eastAsia="en-US" w:bidi="ar-SA"/>
      </w:rPr>
    </w:lvl>
    <w:lvl w:ilvl="1" w:tplc="F5C2B7F4">
      <w:numFmt w:val="bullet"/>
      <w:lvlText w:val="•"/>
      <w:lvlJc w:val="left"/>
      <w:pPr>
        <w:ind w:left="1225" w:hanging="284"/>
      </w:pPr>
      <w:rPr>
        <w:rFonts w:hint="default"/>
        <w:lang w:val="en-US" w:eastAsia="en-US" w:bidi="ar-SA"/>
      </w:rPr>
    </w:lvl>
    <w:lvl w:ilvl="2" w:tplc="BBE016AA">
      <w:numFmt w:val="bullet"/>
      <w:lvlText w:val="•"/>
      <w:lvlJc w:val="left"/>
      <w:pPr>
        <w:ind w:left="1671" w:hanging="284"/>
      </w:pPr>
      <w:rPr>
        <w:rFonts w:hint="default"/>
        <w:lang w:val="en-US" w:eastAsia="en-US" w:bidi="ar-SA"/>
      </w:rPr>
    </w:lvl>
    <w:lvl w:ilvl="3" w:tplc="E4A64E36">
      <w:numFmt w:val="bullet"/>
      <w:lvlText w:val="•"/>
      <w:lvlJc w:val="left"/>
      <w:pPr>
        <w:ind w:left="2117" w:hanging="284"/>
      </w:pPr>
      <w:rPr>
        <w:rFonts w:hint="default"/>
        <w:lang w:val="en-US" w:eastAsia="en-US" w:bidi="ar-SA"/>
      </w:rPr>
    </w:lvl>
    <w:lvl w:ilvl="4" w:tplc="C73266D8">
      <w:numFmt w:val="bullet"/>
      <w:lvlText w:val="•"/>
      <w:lvlJc w:val="left"/>
      <w:pPr>
        <w:ind w:left="2562" w:hanging="284"/>
      </w:pPr>
      <w:rPr>
        <w:rFonts w:hint="default"/>
        <w:lang w:val="en-US" w:eastAsia="en-US" w:bidi="ar-SA"/>
      </w:rPr>
    </w:lvl>
    <w:lvl w:ilvl="5" w:tplc="CBD8A526">
      <w:numFmt w:val="bullet"/>
      <w:lvlText w:val="•"/>
      <w:lvlJc w:val="left"/>
      <w:pPr>
        <w:ind w:left="3008" w:hanging="284"/>
      </w:pPr>
      <w:rPr>
        <w:rFonts w:hint="default"/>
        <w:lang w:val="en-US" w:eastAsia="en-US" w:bidi="ar-SA"/>
      </w:rPr>
    </w:lvl>
    <w:lvl w:ilvl="6" w:tplc="2CDE8A62">
      <w:numFmt w:val="bullet"/>
      <w:lvlText w:val="•"/>
      <w:lvlJc w:val="left"/>
      <w:pPr>
        <w:ind w:left="3454" w:hanging="284"/>
      </w:pPr>
      <w:rPr>
        <w:rFonts w:hint="default"/>
        <w:lang w:val="en-US" w:eastAsia="en-US" w:bidi="ar-SA"/>
      </w:rPr>
    </w:lvl>
    <w:lvl w:ilvl="7" w:tplc="7310A7B0">
      <w:numFmt w:val="bullet"/>
      <w:lvlText w:val="•"/>
      <w:lvlJc w:val="left"/>
      <w:pPr>
        <w:ind w:left="3900" w:hanging="284"/>
      </w:pPr>
      <w:rPr>
        <w:rFonts w:hint="default"/>
        <w:lang w:val="en-US" w:eastAsia="en-US" w:bidi="ar-SA"/>
      </w:rPr>
    </w:lvl>
    <w:lvl w:ilvl="8" w:tplc="75D29800">
      <w:numFmt w:val="bullet"/>
      <w:lvlText w:val="•"/>
      <w:lvlJc w:val="left"/>
      <w:pPr>
        <w:ind w:left="4345" w:hanging="284"/>
      </w:pPr>
      <w:rPr>
        <w:rFonts w:hint="default"/>
        <w:lang w:val="en-US" w:eastAsia="en-US" w:bidi="ar-SA"/>
      </w:rPr>
    </w:lvl>
  </w:abstractNum>
  <w:abstractNum w:abstractNumId="82" w15:restartNumberingAfterBreak="0">
    <w:nsid w:val="2C04562E"/>
    <w:multiLevelType w:val="multilevel"/>
    <w:tmpl w:val="AADC6EB0"/>
    <w:lvl w:ilvl="0">
      <w:start w:val="12"/>
      <w:numFmt w:val="decimal"/>
      <w:lvlText w:val="%1"/>
      <w:lvlJc w:val="left"/>
      <w:pPr>
        <w:ind w:left="1092" w:hanging="601"/>
        <w:jc w:val="left"/>
      </w:pPr>
      <w:rPr>
        <w:rFonts w:hint="default"/>
        <w:lang w:val="en-US" w:eastAsia="en-US" w:bidi="ar-SA"/>
      </w:rPr>
    </w:lvl>
    <w:lvl w:ilvl="1">
      <w:start w:val="1"/>
      <w:numFmt w:val="decimal"/>
      <w:lvlText w:val="%1.%2"/>
      <w:lvlJc w:val="left"/>
      <w:pPr>
        <w:ind w:left="1092" w:hanging="601"/>
        <w:jc w:val="right"/>
      </w:pPr>
      <w:rPr>
        <w:rFonts w:ascii="Arial" w:eastAsia="Arial" w:hAnsi="Arial" w:cs="Arial" w:hint="default"/>
        <w:b/>
        <w:bCs/>
        <w:i w:val="0"/>
        <w:iCs w:val="0"/>
        <w:color w:val="00AEEF"/>
        <w:spacing w:val="-5"/>
        <w:w w:val="99"/>
        <w:sz w:val="28"/>
        <w:szCs w:val="28"/>
        <w:lang w:val="en-US" w:eastAsia="en-US" w:bidi="ar-SA"/>
      </w:rPr>
    </w:lvl>
    <w:lvl w:ilvl="2">
      <w:start w:val="1"/>
      <w:numFmt w:val="decimal"/>
      <w:lvlText w:val="%1.%2.%3"/>
      <w:lvlJc w:val="left"/>
      <w:pPr>
        <w:ind w:left="784" w:hanging="595"/>
        <w:jc w:val="right"/>
      </w:pPr>
      <w:rPr>
        <w:rFonts w:hint="default"/>
        <w:spacing w:val="-3"/>
        <w:w w:val="99"/>
        <w:lang w:val="en-US" w:eastAsia="en-US" w:bidi="ar-SA"/>
      </w:rPr>
    </w:lvl>
    <w:lvl w:ilvl="3">
      <w:numFmt w:val="bullet"/>
      <w:lvlText w:val="•"/>
      <w:lvlJc w:val="left"/>
      <w:pPr>
        <w:ind w:left="489" w:hanging="595"/>
      </w:pPr>
      <w:rPr>
        <w:rFonts w:ascii="Tahoma" w:eastAsia="Tahoma" w:hAnsi="Tahoma" w:cs="Tahoma" w:hint="default"/>
        <w:b w:val="0"/>
        <w:bCs w:val="0"/>
        <w:i w:val="0"/>
        <w:iCs w:val="0"/>
        <w:w w:val="109"/>
        <w:sz w:val="20"/>
        <w:szCs w:val="20"/>
        <w:lang w:val="en-US" w:eastAsia="en-US" w:bidi="ar-SA"/>
      </w:rPr>
    </w:lvl>
    <w:lvl w:ilvl="4">
      <w:numFmt w:val="bullet"/>
      <w:lvlText w:val="•"/>
      <w:lvlJc w:val="left"/>
      <w:pPr>
        <w:ind w:left="189" w:hanging="595"/>
      </w:pPr>
      <w:rPr>
        <w:rFonts w:hint="default"/>
        <w:lang w:val="en-US" w:eastAsia="en-US" w:bidi="ar-SA"/>
      </w:rPr>
    </w:lvl>
    <w:lvl w:ilvl="5">
      <w:numFmt w:val="bullet"/>
      <w:lvlText w:val="•"/>
      <w:lvlJc w:val="left"/>
      <w:pPr>
        <w:ind w:left="-721" w:hanging="595"/>
      </w:pPr>
      <w:rPr>
        <w:rFonts w:hint="default"/>
        <w:lang w:val="en-US" w:eastAsia="en-US" w:bidi="ar-SA"/>
      </w:rPr>
    </w:lvl>
    <w:lvl w:ilvl="6">
      <w:numFmt w:val="bullet"/>
      <w:lvlText w:val="•"/>
      <w:lvlJc w:val="left"/>
      <w:pPr>
        <w:ind w:left="-1632" w:hanging="595"/>
      </w:pPr>
      <w:rPr>
        <w:rFonts w:hint="default"/>
        <w:lang w:val="en-US" w:eastAsia="en-US" w:bidi="ar-SA"/>
      </w:rPr>
    </w:lvl>
    <w:lvl w:ilvl="7">
      <w:numFmt w:val="bullet"/>
      <w:lvlText w:val="•"/>
      <w:lvlJc w:val="left"/>
      <w:pPr>
        <w:ind w:left="-2542" w:hanging="595"/>
      </w:pPr>
      <w:rPr>
        <w:rFonts w:hint="default"/>
        <w:lang w:val="en-US" w:eastAsia="en-US" w:bidi="ar-SA"/>
      </w:rPr>
    </w:lvl>
    <w:lvl w:ilvl="8">
      <w:numFmt w:val="bullet"/>
      <w:lvlText w:val="•"/>
      <w:lvlJc w:val="left"/>
      <w:pPr>
        <w:ind w:left="-3452" w:hanging="595"/>
      </w:pPr>
      <w:rPr>
        <w:rFonts w:hint="default"/>
        <w:lang w:val="en-US" w:eastAsia="en-US" w:bidi="ar-SA"/>
      </w:rPr>
    </w:lvl>
  </w:abstractNum>
  <w:abstractNum w:abstractNumId="83" w15:restartNumberingAfterBreak="0">
    <w:nsid w:val="2F841C91"/>
    <w:multiLevelType w:val="multilevel"/>
    <w:tmpl w:val="B41ABAF6"/>
    <w:lvl w:ilvl="0">
      <w:start w:val="15"/>
      <w:numFmt w:val="decimal"/>
      <w:lvlText w:val="%1"/>
      <w:lvlJc w:val="left"/>
      <w:pPr>
        <w:ind w:left="6119" w:hanging="601"/>
        <w:jc w:val="left"/>
      </w:pPr>
      <w:rPr>
        <w:rFonts w:hint="default"/>
        <w:lang w:val="en-US" w:eastAsia="en-US" w:bidi="ar-SA"/>
      </w:rPr>
    </w:lvl>
    <w:lvl w:ilvl="1">
      <w:start w:val="1"/>
      <w:numFmt w:val="decimal"/>
      <w:lvlText w:val="%1.%2"/>
      <w:lvlJc w:val="left"/>
      <w:pPr>
        <w:ind w:left="6119" w:hanging="601"/>
        <w:jc w:val="right"/>
      </w:pPr>
      <w:rPr>
        <w:rFonts w:ascii="Arial" w:eastAsia="Arial" w:hAnsi="Arial" w:cs="Arial" w:hint="default"/>
        <w:b/>
        <w:bCs/>
        <w:i w:val="0"/>
        <w:iCs w:val="0"/>
        <w:color w:val="00AEEF"/>
        <w:spacing w:val="-5"/>
        <w:w w:val="99"/>
        <w:sz w:val="28"/>
        <w:szCs w:val="28"/>
        <w:lang w:val="en-US" w:eastAsia="en-US" w:bidi="ar-SA"/>
      </w:rPr>
    </w:lvl>
    <w:lvl w:ilvl="2">
      <w:numFmt w:val="bullet"/>
      <w:lvlText w:val="•"/>
      <w:lvlJc w:val="left"/>
      <w:pPr>
        <w:ind w:left="5802" w:hanging="284"/>
      </w:pPr>
      <w:rPr>
        <w:rFonts w:ascii="Tahoma" w:eastAsia="Tahoma" w:hAnsi="Tahoma" w:cs="Tahoma" w:hint="default"/>
        <w:w w:val="109"/>
        <w:lang w:val="en-US" w:eastAsia="en-US" w:bidi="ar-SA"/>
      </w:rPr>
    </w:lvl>
    <w:lvl w:ilvl="3">
      <w:numFmt w:val="bullet"/>
      <w:lvlText w:val="•"/>
      <w:lvlJc w:val="left"/>
      <w:pPr>
        <w:ind w:left="6644" w:hanging="284"/>
      </w:pPr>
      <w:rPr>
        <w:rFonts w:hint="default"/>
        <w:lang w:val="en-US" w:eastAsia="en-US" w:bidi="ar-SA"/>
      </w:rPr>
    </w:lvl>
    <w:lvl w:ilvl="4">
      <w:numFmt w:val="bullet"/>
      <w:lvlText w:val="•"/>
      <w:lvlJc w:val="left"/>
      <w:pPr>
        <w:ind w:left="7168" w:hanging="284"/>
      </w:pPr>
      <w:rPr>
        <w:rFonts w:hint="default"/>
        <w:lang w:val="en-US" w:eastAsia="en-US" w:bidi="ar-SA"/>
      </w:rPr>
    </w:lvl>
    <w:lvl w:ilvl="5">
      <w:numFmt w:val="bullet"/>
      <w:lvlText w:val="•"/>
      <w:lvlJc w:val="left"/>
      <w:pPr>
        <w:ind w:left="7692" w:hanging="284"/>
      </w:pPr>
      <w:rPr>
        <w:rFonts w:hint="default"/>
        <w:lang w:val="en-US" w:eastAsia="en-US" w:bidi="ar-SA"/>
      </w:rPr>
    </w:lvl>
    <w:lvl w:ilvl="6">
      <w:numFmt w:val="bullet"/>
      <w:lvlText w:val="•"/>
      <w:lvlJc w:val="left"/>
      <w:pPr>
        <w:ind w:left="8216" w:hanging="284"/>
      </w:pPr>
      <w:rPr>
        <w:rFonts w:hint="default"/>
        <w:lang w:val="en-US" w:eastAsia="en-US" w:bidi="ar-SA"/>
      </w:rPr>
    </w:lvl>
    <w:lvl w:ilvl="7">
      <w:numFmt w:val="bullet"/>
      <w:lvlText w:val="•"/>
      <w:lvlJc w:val="left"/>
      <w:pPr>
        <w:ind w:left="8740" w:hanging="284"/>
      </w:pPr>
      <w:rPr>
        <w:rFonts w:hint="default"/>
        <w:lang w:val="en-US" w:eastAsia="en-US" w:bidi="ar-SA"/>
      </w:rPr>
    </w:lvl>
    <w:lvl w:ilvl="8">
      <w:numFmt w:val="bullet"/>
      <w:lvlText w:val="•"/>
      <w:lvlJc w:val="left"/>
      <w:pPr>
        <w:ind w:left="9264" w:hanging="284"/>
      </w:pPr>
      <w:rPr>
        <w:rFonts w:hint="default"/>
        <w:lang w:val="en-US" w:eastAsia="en-US" w:bidi="ar-SA"/>
      </w:rPr>
    </w:lvl>
  </w:abstractNum>
  <w:abstractNum w:abstractNumId="84" w15:restartNumberingAfterBreak="0">
    <w:nsid w:val="310412D9"/>
    <w:multiLevelType w:val="hybridMultilevel"/>
    <w:tmpl w:val="761819DC"/>
    <w:lvl w:ilvl="0" w:tplc="7D70CDFA">
      <w:numFmt w:val="bullet"/>
      <w:lvlText w:val="•"/>
      <w:lvlJc w:val="left"/>
      <w:pPr>
        <w:ind w:left="775" w:hanging="284"/>
      </w:pPr>
      <w:rPr>
        <w:rFonts w:ascii="Tahoma" w:eastAsia="Tahoma" w:hAnsi="Tahoma" w:cs="Tahoma" w:hint="default"/>
        <w:b w:val="0"/>
        <w:bCs w:val="0"/>
        <w:i w:val="0"/>
        <w:iCs w:val="0"/>
        <w:w w:val="109"/>
        <w:sz w:val="20"/>
        <w:szCs w:val="20"/>
        <w:lang w:val="en-US" w:eastAsia="en-US" w:bidi="ar-SA"/>
      </w:rPr>
    </w:lvl>
    <w:lvl w:ilvl="1" w:tplc="930467A6">
      <w:numFmt w:val="bullet"/>
      <w:lvlText w:val="•"/>
      <w:lvlJc w:val="left"/>
      <w:pPr>
        <w:ind w:left="1302" w:hanging="284"/>
      </w:pPr>
      <w:rPr>
        <w:rFonts w:hint="default"/>
        <w:lang w:val="en-US" w:eastAsia="en-US" w:bidi="ar-SA"/>
      </w:rPr>
    </w:lvl>
    <w:lvl w:ilvl="2" w:tplc="C172C9C2">
      <w:numFmt w:val="bullet"/>
      <w:lvlText w:val="•"/>
      <w:lvlJc w:val="left"/>
      <w:pPr>
        <w:ind w:left="1824" w:hanging="284"/>
      </w:pPr>
      <w:rPr>
        <w:rFonts w:hint="default"/>
        <w:lang w:val="en-US" w:eastAsia="en-US" w:bidi="ar-SA"/>
      </w:rPr>
    </w:lvl>
    <w:lvl w:ilvl="3" w:tplc="B2969DDC">
      <w:numFmt w:val="bullet"/>
      <w:lvlText w:val="•"/>
      <w:lvlJc w:val="left"/>
      <w:pPr>
        <w:ind w:left="2347" w:hanging="284"/>
      </w:pPr>
      <w:rPr>
        <w:rFonts w:hint="default"/>
        <w:lang w:val="en-US" w:eastAsia="en-US" w:bidi="ar-SA"/>
      </w:rPr>
    </w:lvl>
    <w:lvl w:ilvl="4" w:tplc="9D2403C4">
      <w:numFmt w:val="bullet"/>
      <w:lvlText w:val="•"/>
      <w:lvlJc w:val="left"/>
      <w:pPr>
        <w:ind w:left="2869" w:hanging="284"/>
      </w:pPr>
      <w:rPr>
        <w:rFonts w:hint="default"/>
        <w:lang w:val="en-US" w:eastAsia="en-US" w:bidi="ar-SA"/>
      </w:rPr>
    </w:lvl>
    <w:lvl w:ilvl="5" w:tplc="C75EE03A">
      <w:numFmt w:val="bullet"/>
      <w:lvlText w:val="•"/>
      <w:lvlJc w:val="left"/>
      <w:pPr>
        <w:ind w:left="3392" w:hanging="284"/>
      </w:pPr>
      <w:rPr>
        <w:rFonts w:hint="default"/>
        <w:lang w:val="en-US" w:eastAsia="en-US" w:bidi="ar-SA"/>
      </w:rPr>
    </w:lvl>
    <w:lvl w:ilvl="6" w:tplc="A6F0DD2E">
      <w:numFmt w:val="bullet"/>
      <w:lvlText w:val="•"/>
      <w:lvlJc w:val="left"/>
      <w:pPr>
        <w:ind w:left="3914" w:hanging="284"/>
      </w:pPr>
      <w:rPr>
        <w:rFonts w:hint="default"/>
        <w:lang w:val="en-US" w:eastAsia="en-US" w:bidi="ar-SA"/>
      </w:rPr>
    </w:lvl>
    <w:lvl w:ilvl="7" w:tplc="E3302D42">
      <w:numFmt w:val="bullet"/>
      <w:lvlText w:val="•"/>
      <w:lvlJc w:val="left"/>
      <w:pPr>
        <w:ind w:left="4436" w:hanging="284"/>
      </w:pPr>
      <w:rPr>
        <w:rFonts w:hint="default"/>
        <w:lang w:val="en-US" w:eastAsia="en-US" w:bidi="ar-SA"/>
      </w:rPr>
    </w:lvl>
    <w:lvl w:ilvl="8" w:tplc="B3822E14">
      <w:numFmt w:val="bullet"/>
      <w:lvlText w:val="•"/>
      <w:lvlJc w:val="left"/>
      <w:pPr>
        <w:ind w:left="4959" w:hanging="284"/>
      </w:pPr>
      <w:rPr>
        <w:rFonts w:hint="default"/>
        <w:lang w:val="en-US" w:eastAsia="en-US" w:bidi="ar-SA"/>
      </w:rPr>
    </w:lvl>
  </w:abstractNum>
  <w:abstractNum w:abstractNumId="85" w15:restartNumberingAfterBreak="0">
    <w:nsid w:val="31640DD2"/>
    <w:multiLevelType w:val="hybridMultilevel"/>
    <w:tmpl w:val="CD52699C"/>
    <w:lvl w:ilvl="0" w:tplc="E78CA952">
      <w:numFmt w:val="bullet"/>
      <w:lvlText w:val="•"/>
      <w:lvlJc w:val="left"/>
      <w:pPr>
        <w:ind w:left="265" w:hanging="165"/>
      </w:pPr>
      <w:rPr>
        <w:rFonts w:ascii="Tahoma" w:eastAsia="Tahoma" w:hAnsi="Tahoma" w:cs="Tahoma" w:hint="default"/>
        <w:b w:val="0"/>
        <w:bCs w:val="0"/>
        <w:i w:val="0"/>
        <w:iCs w:val="0"/>
        <w:w w:val="109"/>
        <w:sz w:val="16"/>
        <w:szCs w:val="16"/>
        <w:lang w:val="en-US" w:eastAsia="en-US" w:bidi="ar-SA"/>
      </w:rPr>
    </w:lvl>
    <w:lvl w:ilvl="1" w:tplc="1924F582">
      <w:numFmt w:val="bullet"/>
      <w:lvlText w:val="•"/>
      <w:lvlJc w:val="left"/>
      <w:pPr>
        <w:ind w:left="608" w:hanging="165"/>
      </w:pPr>
      <w:rPr>
        <w:rFonts w:hint="default"/>
        <w:lang w:val="en-US" w:eastAsia="en-US" w:bidi="ar-SA"/>
      </w:rPr>
    </w:lvl>
    <w:lvl w:ilvl="2" w:tplc="0674E214">
      <w:numFmt w:val="bullet"/>
      <w:lvlText w:val="•"/>
      <w:lvlJc w:val="left"/>
      <w:pPr>
        <w:ind w:left="956" w:hanging="165"/>
      </w:pPr>
      <w:rPr>
        <w:rFonts w:hint="default"/>
        <w:lang w:val="en-US" w:eastAsia="en-US" w:bidi="ar-SA"/>
      </w:rPr>
    </w:lvl>
    <w:lvl w:ilvl="3" w:tplc="D342418A">
      <w:numFmt w:val="bullet"/>
      <w:lvlText w:val="•"/>
      <w:lvlJc w:val="left"/>
      <w:pPr>
        <w:ind w:left="1305" w:hanging="165"/>
      </w:pPr>
      <w:rPr>
        <w:rFonts w:hint="default"/>
        <w:lang w:val="en-US" w:eastAsia="en-US" w:bidi="ar-SA"/>
      </w:rPr>
    </w:lvl>
    <w:lvl w:ilvl="4" w:tplc="C8FAC4C4">
      <w:numFmt w:val="bullet"/>
      <w:lvlText w:val="•"/>
      <w:lvlJc w:val="left"/>
      <w:pPr>
        <w:ind w:left="1653" w:hanging="165"/>
      </w:pPr>
      <w:rPr>
        <w:rFonts w:hint="default"/>
        <w:lang w:val="en-US" w:eastAsia="en-US" w:bidi="ar-SA"/>
      </w:rPr>
    </w:lvl>
    <w:lvl w:ilvl="5" w:tplc="0EE0FFE8">
      <w:numFmt w:val="bullet"/>
      <w:lvlText w:val="•"/>
      <w:lvlJc w:val="left"/>
      <w:pPr>
        <w:ind w:left="2002" w:hanging="165"/>
      </w:pPr>
      <w:rPr>
        <w:rFonts w:hint="default"/>
        <w:lang w:val="en-US" w:eastAsia="en-US" w:bidi="ar-SA"/>
      </w:rPr>
    </w:lvl>
    <w:lvl w:ilvl="6" w:tplc="FB5A57C0">
      <w:numFmt w:val="bullet"/>
      <w:lvlText w:val="•"/>
      <w:lvlJc w:val="left"/>
      <w:pPr>
        <w:ind w:left="2350" w:hanging="165"/>
      </w:pPr>
      <w:rPr>
        <w:rFonts w:hint="default"/>
        <w:lang w:val="en-US" w:eastAsia="en-US" w:bidi="ar-SA"/>
      </w:rPr>
    </w:lvl>
    <w:lvl w:ilvl="7" w:tplc="D53E387E">
      <w:numFmt w:val="bullet"/>
      <w:lvlText w:val="•"/>
      <w:lvlJc w:val="left"/>
      <w:pPr>
        <w:ind w:left="2698" w:hanging="165"/>
      </w:pPr>
      <w:rPr>
        <w:rFonts w:hint="default"/>
        <w:lang w:val="en-US" w:eastAsia="en-US" w:bidi="ar-SA"/>
      </w:rPr>
    </w:lvl>
    <w:lvl w:ilvl="8" w:tplc="8B801F04">
      <w:numFmt w:val="bullet"/>
      <w:lvlText w:val="•"/>
      <w:lvlJc w:val="left"/>
      <w:pPr>
        <w:ind w:left="3047" w:hanging="165"/>
      </w:pPr>
      <w:rPr>
        <w:rFonts w:hint="default"/>
        <w:lang w:val="en-US" w:eastAsia="en-US" w:bidi="ar-SA"/>
      </w:rPr>
    </w:lvl>
  </w:abstractNum>
  <w:abstractNum w:abstractNumId="86" w15:restartNumberingAfterBreak="0">
    <w:nsid w:val="323A23C0"/>
    <w:multiLevelType w:val="hybridMultilevel"/>
    <w:tmpl w:val="7D4660C0"/>
    <w:lvl w:ilvl="0" w:tplc="141232F0">
      <w:numFmt w:val="bullet"/>
      <w:lvlText w:val="•"/>
      <w:lvlJc w:val="left"/>
      <w:pPr>
        <w:ind w:left="775" w:hanging="284"/>
      </w:pPr>
      <w:rPr>
        <w:rFonts w:ascii="Tahoma" w:eastAsia="Tahoma" w:hAnsi="Tahoma" w:cs="Tahoma" w:hint="default"/>
        <w:b w:val="0"/>
        <w:bCs w:val="0"/>
        <w:i w:val="0"/>
        <w:iCs w:val="0"/>
        <w:w w:val="109"/>
        <w:sz w:val="20"/>
        <w:szCs w:val="20"/>
        <w:lang w:val="en-US" w:eastAsia="en-US" w:bidi="ar-SA"/>
      </w:rPr>
    </w:lvl>
    <w:lvl w:ilvl="1" w:tplc="7A7E9394">
      <w:numFmt w:val="bullet"/>
      <w:lvlText w:val="•"/>
      <w:lvlJc w:val="left"/>
      <w:pPr>
        <w:ind w:left="1229" w:hanging="284"/>
      </w:pPr>
      <w:rPr>
        <w:rFonts w:hint="default"/>
        <w:lang w:val="en-US" w:eastAsia="en-US" w:bidi="ar-SA"/>
      </w:rPr>
    </w:lvl>
    <w:lvl w:ilvl="2" w:tplc="31A60E94">
      <w:numFmt w:val="bullet"/>
      <w:lvlText w:val="•"/>
      <w:lvlJc w:val="left"/>
      <w:pPr>
        <w:ind w:left="1679" w:hanging="284"/>
      </w:pPr>
      <w:rPr>
        <w:rFonts w:hint="default"/>
        <w:lang w:val="en-US" w:eastAsia="en-US" w:bidi="ar-SA"/>
      </w:rPr>
    </w:lvl>
    <w:lvl w:ilvl="3" w:tplc="89003844">
      <w:numFmt w:val="bullet"/>
      <w:lvlText w:val="•"/>
      <w:lvlJc w:val="left"/>
      <w:pPr>
        <w:ind w:left="2128" w:hanging="284"/>
      </w:pPr>
      <w:rPr>
        <w:rFonts w:hint="default"/>
        <w:lang w:val="en-US" w:eastAsia="en-US" w:bidi="ar-SA"/>
      </w:rPr>
    </w:lvl>
    <w:lvl w:ilvl="4" w:tplc="E3EEAAD2">
      <w:numFmt w:val="bullet"/>
      <w:lvlText w:val="•"/>
      <w:lvlJc w:val="left"/>
      <w:pPr>
        <w:ind w:left="2578" w:hanging="284"/>
      </w:pPr>
      <w:rPr>
        <w:rFonts w:hint="default"/>
        <w:lang w:val="en-US" w:eastAsia="en-US" w:bidi="ar-SA"/>
      </w:rPr>
    </w:lvl>
    <w:lvl w:ilvl="5" w:tplc="C1B61DA8">
      <w:numFmt w:val="bullet"/>
      <w:lvlText w:val="•"/>
      <w:lvlJc w:val="left"/>
      <w:pPr>
        <w:ind w:left="3027" w:hanging="284"/>
      </w:pPr>
      <w:rPr>
        <w:rFonts w:hint="default"/>
        <w:lang w:val="en-US" w:eastAsia="en-US" w:bidi="ar-SA"/>
      </w:rPr>
    </w:lvl>
    <w:lvl w:ilvl="6" w:tplc="258A9844">
      <w:numFmt w:val="bullet"/>
      <w:lvlText w:val="•"/>
      <w:lvlJc w:val="left"/>
      <w:pPr>
        <w:ind w:left="3477" w:hanging="284"/>
      </w:pPr>
      <w:rPr>
        <w:rFonts w:hint="default"/>
        <w:lang w:val="en-US" w:eastAsia="en-US" w:bidi="ar-SA"/>
      </w:rPr>
    </w:lvl>
    <w:lvl w:ilvl="7" w:tplc="FE06ECD2">
      <w:numFmt w:val="bullet"/>
      <w:lvlText w:val="•"/>
      <w:lvlJc w:val="left"/>
      <w:pPr>
        <w:ind w:left="3927" w:hanging="284"/>
      </w:pPr>
      <w:rPr>
        <w:rFonts w:hint="default"/>
        <w:lang w:val="en-US" w:eastAsia="en-US" w:bidi="ar-SA"/>
      </w:rPr>
    </w:lvl>
    <w:lvl w:ilvl="8" w:tplc="E27AE238">
      <w:numFmt w:val="bullet"/>
      <w:lvlText w:val="•"/>
      <w:lvlJc w:val="left"/>
      <w:pPr>
        <w:ind w:left="4376" w:hanging="284"/>
      </w:pPr>
      <w:rPr>
        <w:rFonts w:hint="default"/>
        <w:lang w:val="en-US" w:eastAsia="en-US" w:bidi="ar-SA"/>
      </w:rPr>
    </w:lvl>
  </w:abstractNum>
  <w:abstractNum w:abstractNumId="87" w15:restartNumberingAfterBreak="0">
    <w:nsid w:val="32CB4447"/>
    <w:multiLevelType w:val="hybridMultilevel"/>
    <w:tmpl w:val="1C901A12"/>
    <w:lvl w:ilvl="0" w:tplc="67A6E17E">
      <w:numFmt w:val="bullet"/>
      <w:lvlText w:val="•"/>
      <w:lvlJc w:val="left"/>
      <w:pPr>
        <w:ind w:left="510" w:hanging="284"/>
      </w:pPr>
      <w:rPr>
        <w:rFonts w:ascii="Tahoma" w:eastAsia="Tahoma" w:hAnsi="Tahoma" w:cs="Tahoma" w:hint="default"/>
        <w:b w:val="0"/>
        <w:bCs w:val="0"/>
        <w:i w:val="0"/>
        <w:iCs w:val="0"/>
        <w:w w:val="109"/>
        <w:sz w:val="20"/>
        <w:szCs w:val="20"/>
        <w:lang w:val="en-US" w:eastAsia="en-US" w:bidi="ar-SA"/>
      </w:rPr>
    </w:lvl>
    <w:lvl w:ilvl="1" w:tplc="2E90B668">
      <w:numFmt w:val="bullet"/>
      <w:lvlText w:val="•"/>
      <w:lvlJc w:val="left"/>
      <w:pPr>
        <w:ind w:left="970" w:hanging="284"/>
      </w:pPr>
      <w:rPr>
        <w:rFonts w:hint="default"/>
        <w:lang w:val="en-US" w:eastAsia="en-US" w:bidi="ar-SA"/>
      </w:rPr>
    </w:lvl>
    <w:lvl w:ilvl="2" w:tplc="47A62670">
      <w:numFmt w:val="bullet"/>
      <w:lvlText w:val="•"/>
      <w:lvlJc w:val="left"/>
      <w:pPr>
        <w:ind w:left="1421" w:hanging="284"/>
      </w:pPr>
      <w:rPr>
        <w:rFonts w:hint="default"/>
        <w:lang w:val="en-US" w:eastAsia="en-US" w:bidi="ar-SA"/>
      </w:rPr>
    </w:lvl>
    <w:lvl w:ilvl="3" w:tplc="1C82FDEA">
      <w:numFmt w:val="bullet"/>
      <w:lvlText w:val="•"/>
      <w:lvlJc w:val="left"/>
      <w:pPr>
        <w:ind w:left="1872" w:hanging="284"/>
      </w:pPr>
      <w:rPr>
        <w:rFonts w:hint="default"/>
        <w:lang w:val="en-US" w:eastAsia="en-US" w:bidi="ar-SA"/>
      </w:rPr>
    </w:lvl>
    <w:lvl w:ilvl="4" w:tplc="C596AAFA">
      <w:numFmt w:val="bullet"/>
      <w:lvlText w:val="•"/>
      <w:lvlJc w:val="left"/>
      <w:pPr>
        <w:ind w:left="2322" w:hanging="284"/>
      </w:pPr>
      <w:rPr>
        <w:rFonts w:hint="default"/>
        <w:lang w:val="en-US" w:eastAsia="en-US" w:bidi="ar-SA"/>
      </w:rPr>
    </w:lvl>
    <w:lvl w:ilvl="5" w:tplc="ED662388">
      <w:numFmt w:val="bullet"/>
      <w:lvlText w:val="•"/>
      <w:lvlJc w:val="left"/>
      <w:pPr>
        <w:ind w:left="2773" w:hanging="284"/>
      </w:pPr>
      <w:rPr>
        <w:rFonts w:hint="default"/>
        <w:lang w:val="en-US" w:eastAsia="en-US" w:bidi="ar-SA"/>
      </w:rPr>
    </w:lvl>
    <w:lvl w:ilvl="6" w:tplc="987C4B74">
      <w:numFmt w:val="bullet"/>
      <w:lvlText w:val="•"/>
      <w:lvlJc w:val="left"/>
      <w:pPr>
        <w:ind w:left="3224" w:hanging="284"/>
      </w:pPr>
      <w:rPr>
        <w:rFonts w:hint="default"/>
        <w:lang w:val="en-US" w:eastAsia="en-US" w:bidi="ar-SA"/>
      </w:rPr>
    </w:lvl>
    <w:lvl w:ilvl="7" w:tplc="1396E7A8">
      <w:numFmt w:val="bullet"/>
      <w:lvlText w:val="•"/>
      <w:lvlJc w:val="left"/>
      <w:pPr>
        <w:ind w:left="3674" w:hanging="284"/>
      </w:pPr>
      <w:rPr>
        <w:rFonts w:hint="default"/>
        <w:lang w:val="en-US" w:eastAsia="en-US" w:bidi="ar-SA"/>
      </w:rPr>
    </w:lvl>
    <w:lvl w:ilvl="8" w:tplc="AC06EEA2">
      <w:numFmt w:val="bullet"/>
      <w:lvlText w:val="•"/>
      <w:lvlJc w:val="left"/>
      <w:pPr>
        <w:ind w:left="4125" w:hanging="284"/>
      </w:pPr>
      <w:rPr>
        <w:rFonts w:hint="default"/>
        <w:lang w:val="en-US" w:eastAsia="en-US" w:bidi="ar-SA"/>
      </w:rPr>
    </w:lvl>
  </w:abstractNum>
  <w:abstractNum w:abstractNumId="88" w15:restartNumberingAfterBreak="0">
    <w:nsid w:val="33161C01"/>
    <w:multiLevelType w:val="hybridMultilevel"/>
    <w:tmpl w:val="27565DBA"/>
    <w:lvl w:ilvl="0" w:tplc="04A0B76C">
      <w:start w:val="1"/>
      <w:numFmt w:val="decimal"/>
      <w:lvlText w:val="%1"/>
      <w:lvlJc w:val="left"/>
      <w:pPr>
        <w:ind w:left="481" w:hanging="214"/>
        <w:jc w:val="left"/>
      </w:pPr>
      <w:rPr>
        <w:rFonts w:ascii="Arial" w:eastAsia="Arial" w:hAnsi="Arial" w:cs="Arial" w:hint="default"/>
        <w:b/>
        <w:bCs/>
        <w:i w:val="0"/>
        <w:iCs w:val="0"/>
        <w:w w:val="99"/>
        <w:position w:val="1"/>
        <w:sz w:val="13"/>
        <w:szCs w:val="13"/>
        <w:lang w:val="en-US" w:eastAsia="en-US" w:bidi="ar-SA"/>
      </w:rPr>
    </w:lvl>
    <w:lvl w:ilvl="1" w:tplc="3A2638F6">
      <w:numFmt w:val="bullet"/>
      <w:lvlText w:val="•"/>
      <w:lvlJc w:val="left"/>
      <w:pPr>
        <w:ind w:left="745" w:hanging="214"/>
      </w:pPr>
      <w:rPr>
        <w:rFonts w:hint="default"/>
        <w:lang w:val="en-US" w:eastAsia="en-US" w:bidi="ar-SA"/>
      </w:rPr>
    </w:lvl>
    <w:lvl w:ilvl="2" w:tplc="ADFC1E16">
      <w:numFmt w:val="bullet"/>
      <w:lvlText w:val="•"/>
      <w:lvlJc w:val="left"/>
      <w:pPr>
        <w:ind w:left="1010" w:hanging="214"/>
      </w:pPr>
      <w:rPr>
        <w:rFonts w:hint="default"/>
        <w:lang w:val="en-US" w:eastAsia="en-US" w:bidi="ar-SA"/>
      </w:rPr>
    </w:lvl>
    <w:lvl w:ilvl="3" w:tplc="7E78463A">
      <w:numFmt w:val="bullet"/>
      <w:lvlText w:val="•"/>
      <w:lvlJc w:val="left"/>
      <w:pPr>
        <w:ind w:left="1275" w:hanging="214"/>
      </w:pPr>
      <w:rPr>
        <w:rFonts w:hint="default"/>
        <w:lang w:val="en-US" w:eastAsia="en-US" w:bidi="ar-SA"/>
      </w:rPr>
    </w:lvl>
    <w:lvl w:ilvl="4" w:tplc="960A9946">
      <w:numFmt w:val="bullet"/>
      <w:lvlText w:val="•"/>
      <w:lvlJc w:val="left"/>
      <w:pPr>
        <w:ind w:left="1540" w:hanging="214"/>
      </w:pPr>
      <w:rPr>
        <w:rFonts w:hint="default"/>
        <w:lang w:val="en-US" w:eastAsia="en-US" w:bidi="ar-SA"/>
      </w:rPr>
    </w:lvl>
    <w:lvl w:ilvl="5" w:tplc="B3205B7C">
      <w:numFmt w:val="bullet"/>
      <w:lvlText w:val="•"/>
      <w:lvlJc w:val="left"/>
      <w:pPr>
        <w:ind w:left="1805" w:hanging="214"/>
      </w:pPr>
      <w:rPr>
        <w:rFonts w:hint="default"/>
        <w:lang w:val="en-US" w:eastAsia="en-US" w:bidi="ar-SA"/>
      </w:rPr>
    </w:lvl>
    <w:lvl w:ilvl="6" w:tplc="287A4086">
      <w:numFmt w:val="bullet"/>
      <w:lvlText w:val="•"/>
      <w:lvlJc w:val="left"/>
      <w:pPr>
        <w:ind w:left="2070" w:hanging="214"/>
      </w:pPr>
      <w:rPr>
        <w:rFonts w:hint="default"/>
        <w:lang w:val="en-US" w:eastAsia="en-US" w:bidi="ar-SA"/>
      </w:rPr>
    </w:lvl>
    <w:lvl w:ilvl="7" w:tplc="D5B41C84">
      <w:numFmt w:val="bullet"/>
      <w:lvlText w:val="•"/>
      <w:lvlJc w:val="left"/>
      <w:pPr>
        <w:ind w:left="2335" w:hanging="214"/>
      </w:pPr>
      <w:rPr>
        <w:rFonts w:hint="default"/>
        <w:lang w:val="en-US" w:eastAsia="en-US" w:bidi="ar-SA"/>
      </w:rPr>
    </w:lvl>
    <w:lvl w:ilvl="8" w:tplc="4A1C8404">
      <w:numFmt w:val="bullet"/>
      <w:lvlText w:val="•"/>
      <w:lvlJc w:val="left"/>
      <w:pPr>
        <w:ind w:left="2600" w:hanging="214"/>
      </w:pPr>
      <w:rPr>
        <w:rFonts w:hint="default"/>
        <w:lang w:val="en-US" w:eastAsia="en-US" w:bidi="ar-SA"/>
      </w:rPr>
    </w:lvl>
  </w:abstractNum>
  <w:abstractNum w:abstractNumId="89" w15:restartNumberingAfterBreak="0">
    <w:nsid w:val="33394996"/>
    <w:multiLevelType w:val="hybridMultilevel"/>
    <w:tmpl w:val="74F2041C"/>
    <w:lvl w:ilvl="0" w:tplc="0E8EDAA4">
      <w:numFmt w:val="bullet"/>
      <w:lvlText w:val="•"/>
      <w:lvlJc w:val="left"/>
      <w:pPr>
        <w:ind w:left="775" w:hanging="284"/>
      </w:pPr>
      <w:rPr>
        <w:rFonts w:ascii="Tahoma" w:eastAsia="Tahoma" w:hAnsi="Tahoma" w:cs="Tahoma" w:hint="default"/>
        <w:b w:val="0"/>
        <w:bCs w:val="0"/>
        <w:i w:val="0"/>
        <w:iCs w:val="0"/>
        <w:w w:val="109"/>
        <w:sz w:val="20"/>
        <w:szCs w:val="20"/>
        <w:lang w:val="en-US" w:eastAsia="en-US" w:bidi="ar-SA"/>
      </w:rPr>
    </w:lvl>
    <w:lvl w:ilvl="1" w:tplc="3FA2BAD2">
      <w:numFmt w:val="bullet"/>
      <w:lvlText w:val="•"/>
      <w:lvlJc w:val="left"/>
      <w:pPr>
        <w:ind w:left="716" w:hanging="284"/>
      </w:pPr>
      <w:rPr>
        <w:rFonts w:ascii="Tahoma" w:eastAsia="Tahoma" w:hAnsi="Tahoma" w:cs="Tahoma" w:hint="default"/>
        <w:b w:val="0"/>
        <w:bCs w:val="0"/>
        <w:i w:val="0"/>
        <w:iCs w:val="0"/>
        <w:w w:val="109"/>
        <w:sz w:val="20"/>
        <w:szCs w:val="20"/>
        <w:lang w:val="en-US" w:eastAsia="en-US" w:bidi="ar-SA"/>
      </w:rPr>
    </w:lvl>
    <w:lvl w:ilvl="2" w:tplc="A074107E">
      <w:numFmt w:val="bullet"/>
      <w:lvlText w:val="•"/>
      <w:lvlJc w:val="left"/>
      <w:pPr>
        <w:ind w:left="141" w:hanging="284"/>
      </w:pPr>
      <w:rPr>
        <w:rFonts w:hint="default"/>
        <w:lang w:val="en-US" w:eastAsia="en-US" w:bidi="ar-SA"/>
      </w:rPr>
    </w:lvl>
    <w:lvl w:ilvl="3" w:tplc="F478215E">
      <w:numFmt w:val="bullet"/>
      <w:lvlText w:val="•"/>
      <w:lvlJc w:val="left"/>
      <w:pPr>
        <w:ind w:left="-497" w:hanging="284"/>
      </w:pPr>
      <w:rPr>
        <w:rFonts w:hint="default"/>
        <w:lang w:val="en-US" w:eastAsia="en-US" w:bidi="ar-SA"/>
      </w:rPr>
    </w:lvl>
    <w:lvl w:ilvl="4" w:tplc="81562534">
      <w:numFmt w:val="bullet"/>
      <w:lvlText w:val="•"/>
      <w:lvlJc w:val="left"/>
      <w:pPr>
        <w:ind w:left="-1135" w:hanging="284"/>
      </w:pPr>
      <w:rPr>
        <w:rFonts w:hint="default"/>
        <w:lang w:val="en-US" w:eastAsia="en-US" w:bidi="ar-SA"/>
      </w:rPr>
    </w:lvl>
    <w:lvl w:ilvl="5" w:tplc="8FC85EF6">
      <w:numFmt w:val="bullet"/>
      <w:lvlText w:val="•"/>
      <w:lvlJc w:val="left"/>
      <w:pPr>
        <w:ind w:left="-1774" w:hanging="284"/>
      </w:pPr>
      <w:rPr>
        <w:rFonts w:hint="default"/>
        <w:lang w:val="en-US" w:eastAsia="en-US" w:bidi="ar-SA"/>
      </w:rPr>
    </w:lvl>
    <w:lvl w:ilvl="6" w:tplc="610C5E28">
      <w:numFmt w:val="bullet"/>
      <w:lvlText w:val="•"/>
      <w:lvlJc w:val="left"/>
      <w:pPr>
        <w:ind w:left="-2412" w:hanging="284"/>
      </w:pPr>
      <w:rPr>
        <w:rFonts w:hint="default"/>
        <w:lang w:val="en-US" w:eastAsia="en-US" w:bidi="ar-SA"/>
      </w:rPr>
    </w:lvl>
    <w:lvl w:ilvl="7" w:tplc="BCD487CE">
      <w:numFmt w:val="bullet"/>
      <w:lvlText w:val="•"/>
      <w:lvlJc w:val="left"/>
      <w:pPr>
        <w:ind w:left="-3050" w:hanging="284"/>
      </w:pPr>
      <w:rPr>
        <w:rFonts w:hint="default"/>
        <w:lang w:val="en-US" w:eastAsia="en-US" w:bidi="ar-SA"/>
      </w:rPr>
    </w:lvl>
    <w:lvl w:ilvl="8" w:tplc="760C31BE">
      <w:numFmt w:val="bullet"/>
      <w:lvlText w:val="•"/>
      <w:lvlJc w:val="left"/>
      <w:pPr>
        <w:ind w:left="-3689" w:hanging="284"/>
      </w:pPr>
      <w:rPr>
        <w:rFonts w:hint="default"/>
        <w:lang w:val="en-US" w:eastAsia="en-US" w:bidi="ar-SA"/>
      </w:rPr>
    </w:lvl>
  </w:abstractNum>
  <w:abstractNum w:abstractNumId="90" w15:restartNumberingAfterBreak="0">
    <w:nsid w:val="337F5544"/>
    <w:multiLevelType w:val="hybridMultilevel"/>
    <w:tmpl w:val="B7305402"/>
    <w:lvl w:ilvl="0" w:tplc="2F24C906">
      <w:numFmt w:val="bullet"/>
      <w:lvlText w:val="•"/>
      <w:lvlJc w:val="left"/>
      <w:pPr>
        <w:ind w:left="775" w:hanging="284"/>
      </w:pPr>
      <w:rPr>
        <w:rFonts w:ascii="Tahoma" w:eastAsia="Tahoma" w:hAnsi="Tahoma" w:cs="Tahoma" w:hint="default"/>
        <w:b w:val="0"/>
        <w:bCs w:val="0"/>
        <w:i w:val="0"/>
        <w:iCs w:val="0"/>
        <w:w w:val="109"/>
        <w:sz w:val="20"/>
        <w:szCs w:val="20"/>
        <w:lang w:val="en-US" w:eastAsia="en-US" w:bidi="ar-SA"/>
      </w:rPr>
    </w:lvl>
    <w:lvl w:ilvl="1" w:tplc="9434257A">
      <w:numFmt w:val="bullet"/>
      <w:lvlText w:val="•"/>
      <w:lvlJc w:val="left"/>
      <w:pPr>
        <w:ind w:left="1216" w:hanging="284"/>
      </w:pPr>
      <w:rPr>
        <w:rFonts w:hint="default"/>
        <w:lang w:val="en-US" w:eastAsia="en-US" w:bidi="ar-SA"/>
      </w:rPr>
    </w:lvl>
    <w:lvl w:ilvl="2" w:tplc="1020EB6C">
      <w:numFmt w:val="bullet"/>
      <w:lvlText w:val="•"/>
      <w:lvlJc w:val="left"/>
      <w:pPr>
        <w:ind w:left="1652" w:hanging="284"/>
      </w:pPr>
      <w:rPr>
        <w:rFonts w:hint="default"/>
        <w:lang w:val="en-US" w:eastAsia="en-US" w:bidi="ar-SA"/>
      </w:rPr>
    </w:lvl>
    <w:lvl w:ilvl="3" w:tplc="1C0C822A">
      <w:numFmt w:val="bullet"/>
      <w:lvlText w:val="•"/>
      <w:lvlJc w:val="left"/>
      <w:pPr>
        <w:ind w:left="2088" w:hanging="284"/>
      </w:pPr>
      <w:rPr>
        <w:rFonts w:hint="default"/>
        <w:lang w:val="en-US" w:eastAsia="en-US" w:bidi="ar-SA"/>
      </w:rPr>
    </w:lvl>
    <w:lvl w:ilvl="4" w:tplc="FCFAC4C2">
      <w:numFmt w:val="bullet"/>
      <w:lvlText w:val="•"/>
      <w:lvlJc w:val="left"/>
      <w:pPr>
        <w:ind w:left="2524" w:hanging="284"/>
      </w:pPr>
      <w:rPr>
        <w:rFonts w:hint="default"/>
        <w:lang w:val="en-US" w:eastAsia="en-US" w:bidi="ar-SA"/>
      </w:rPr>
    </w:lvl>
    <w:lvl w:ilvl="5" w:tplc="EC620232">
      <w:numFmt w:val="bullet"/>
      <w:lvlText w:val="•"/>
      <w:lvlJc w:val="left"/>
      <w:pPr>
        <w:ind w:left="2961" w:hanging="284"/>
      </w:pPr>
      <w:rPr>
        <w:rFonts w:hint="default"/>
        <w:lang w:val="en-US" w:eastAsia="en-US" w:bidi="ar-SA"/>
      </w:rPr>
    </w:lvl>
    <w:lvl w:ilvl="6" w:tplc="B8ECBBA2">
      <w:numFmt w:val="bullet"/>
      <w:lvlText w:val="•"/>
      <w:lvlJc w:val="left"/>
      <w:pPr>
        <w:ind w:left="3397" w:hanging="284"/>
      </w:pPr>
      <w:rPr>
        <w:rFonts w:hint="default"/>
        <w:lang w:val="en-US" w:eastAsia="en-US" w:bidi="ar-SA"/>
      </w:rPr>
    </w:lvl>
    <w:lvl w:ilvl="7" w:tplc="C8829D2C">
      <w:numFmt w:val="bullet"/>
      <w:lvlText w:val="•"/>
      <w:lvlJc w:val="left"/>
      <w:pPr>
        <w:ind w:left="3833" w:hanging="284"/>
      </w:pPr>
      <w:rPr>
        <w:rFonts w:hint="default"/>
        <w:lang w:val="en-US" w:eastAsia="en-US" w:bidi="ar-SA"/>
      </w:rPr>
    </w:lvl>
    <w:lvl w:ilvl="8" w:tplc="17EC0A88">
      <w:numFmt w:val="bullet"/>
      <w:lvlText w:val="•"/>
      <w:lvlJc w:val="left"/>
      <w:pPr>
        <w:ind w:left="4269" w:hanging="284"/>
      </w:pPr>
      <w:rPr>
        <w:rFonts w:hint="default"/>
        <w:lang w:val="en-US" w:eastAsia="en-US" w:bidi="ar-SA"/>
      </w:rPr>
    </w:lvl>
  </w:abstractNum>
  <w:abstractNum w:abstractNumId="91" w15:restartNumberingAfterBreak="0">
    <w:nsid w:val="34304DAA"/>
    <w:multiLevelType w:val="hybridMultilevel"/>
    <w:tmpl w:val="61AC5C54"/>
    <w:lvl w:ilvl="0" w:tplc="7862E198">
      <w:numFmt w:val="bullet"/>
      <w:lvlText w:val="•"/>
      <w:lvlJc w:val="left"/>
      <w:pPr>
        <w:ind w:left="473" w:hanging="284"/>
      </w:pPr>
      <w:rPr>
        <w:rFonts w:ascii="Tahoma" w:eastAsia="Tahoma" w:hAnsi="Tahoma" w:cs="Tahoma" w:hint="default"/>
        <w:b w:val="0"/>
        <w:bCs w:val="0"/>
        <w:i w:val="0"/>
        <w:iCs w:val="0"/>
        <w:w w:val="109"/>
        <w:sz w:val="20"/>
        <w:szCs w:val="20"/>
        <w:lang w:val="en-US" w:eastAsia="en-US" w:bidi="ar-SA"/>
      </w:rPr>
    </w:lvl>
    <w:lvl w:ilvl="1" w:tplc="309C405E">
      <w:numFmt w:val="bullet"/>
      <w:lvlText w:val="•"/>
      <w:lvlJc w:val="left"/>
      <w:pPr>
        <w:ind w:left="930" w:hanging="284"/>
      </w:pPr>
      <w:rPr>
        <w:rFonts w:hint="default"/>
        <w:lang w:val="en-US" w:eastAsia="en-US" w:bidi="ar-SA"/>
      </w:rPr>
    </w:lvl>
    <w:lvl w:ilvl="2" w:tplc="B452644E">
      <w:numFmt w:val="bullet"/>
      <w:lvlText w:val="•"/>
      <w:lvlJc w:val="left"/>
      <w:pPr>
        <w:ind w:left="1381" w:hanging="284"/>
      </w:pPr>
      <w:rPr>
        <w:rFonts w:hint="default"/>
        <w:lang w:val="en-US" w:eastAsia="en-US" w:bidi="ar-SA"/>
      </w:rPr>
    </w:lvl>
    <w:lvl w:ilvl="3" w:tplc="719A9EEA">
      <w:numFmt w:val="bullet"/>
      <w:lvlText w:val="•"/>
      <w:lvlJc w:val="left"/>
      <w:pPr>
        <w:ind w:left="1832" w:hanging="284"/>
      </w:pPr>
      <w:rPr>
        <w:rFonts w:hint="default"/>
        <w:lang w:val="en-US" w:eastAsia="en-US" w:bidi="ar-SA"/>
      </w:rPr>
    </w:lvl>
    <w:lvl w:ilvl="4" w:tplc="02E454A2">
      <w:numFmt w:val="bullet"/>
      <w:lvlText w:val="•"/>
      <w:lvlJc w:val="left"/>
      <w:pPr>
        <w:ind w:left="2283" w:hanging="284"/>
      </w:pPr>
      <w:rPr>
        <w:rFonts w:hint="default"/>
        <w:lang w:val="en-US" w:eastAsia="en-US" w:bidi="ar-SA"/>
      </w:rPr>
    </w:lvl>
    <w:lvl w:ilvl="5" w:tplc="4E86E714">
      <w:numFmt w:val="bullet"/>
      <w:lvlText w:val="•"/>
      <w:lvlJc w:val="left"/>
      <w:pPr>
        <w:ind w:left="2734" w:hanging="284"/>
      </w:pPr>
      <w:rPr>
        <w:rFonts w:hint="default"/>
        <w:lang w:val="en-US" w:eastAsia="en-US" w:bidi="ar-SA"/>
      </w:rPr>
    </w:lvl>
    <w:lvl w:ilvl="6" w:tplc="96CECCDE">
      <w:numFmt w:val="bullet"/>
      <w:lvlText w:val="•"/>
      <w:lvlJc w:val="left"/>
      <w:pPr>
        <w:ind w:left="3185" w:hanging="284"/>
      </w:pPr>
      <w:rPr>
        <w:rFonts w:hint="default"/>
        <w:lang w:val="en-US" w:eastAsia="en-US" w:bidi="ar-SA"/>
      </w:rPr>
    </w:lvl>
    <w:lvl w:ilvl="7" w:tplc="DC6CDAAA">
      <w:numFmt w:val="bullet"/>
      <w:lvlText w:val="•"/>
      <w:lvlJc w:val="left"/>
      <w:pPr>
        <w:ind w:left="3636" w:hanging="284"/>
      </w:pPr>
      <w:rPr>
        <w:rFonts w:hint="default"/>
        <w:lang w:val="en-US" w:eastAsia="en-US" w:bidi="ar-SA"/>
      </w:rPr>
    </w:lvl>
    <w:lvl w:ilvl="8" w:tplc="65FCEB7C">
      <w:numFmt w:val="bullet"/>
      <w:lvlText w:val="•"/>
      <w:lvlJc w:val="left"/>
      <w:pPr>
        <w:ind w:left="4087" w:hanging="284"/>
      </w:pPr>
      <w:rPr>
        <w:rFonts w:hint="default"/>
        <w:lang w:val="en-US" w:eastAsia="en-US" w:bidi="ar-SA"/>
      </w:rPr>
    </w:lvl>
  </w:abstractNum>
  <w:abstractNum w:abstractNumId="92" w15:restartNumberingAfterBreak="0">
    <w:nsid w:val="34CF3082"/>
    <w:multiLevelType w:val="multilevel"/>
    <w:tmpl w:val="FB8E3B22"/>
    <w:lvl w:ilvl="0">
      <w:start w:val="6"/>
      <w:numFmt w:val="decimal"/>
      <w:lvlText w:val="%1"/>
      <w:lvlJc w:val="left"/>
      <w:pPr>
        <w:ind w:left="903" w:hanging="450"/>
        <w:jc w:val="left"/>
      </w:pPr>
      <w:rPr>
        <w:rFonts w:hint="default"/>
        <w:lang w:val="en-US" w:eastAsia="en-US" w:bidi="ar-SA"/>
      </w:rPr>
    </w:lvl>
    <w:lvl w:ilvl="1">
      <w:start w:val="1"/>
      <w:numFmt w:val="decimal"/>
      <w:lvlText w:val="%1.%2"/>
      <w:lvlJc w:val="left"/>
      <w:pPr>
        <w:ind w:left="903" w:hanging="450"/>
        <w:jc w:val="right"/>
      </w:pPr>
      <w:rPr>
        <w:rFonts w:ascii="Arial" w:eastAsia="Arial" w:hAnsi="Arial" w:cs="Arial" w:hint="default"/>
        <w:b/>
        <w:bCs/>
        <w:i w:val="0"/>
        <w:iCs w:val="0"/>
        <w:color w:val="00AEEF"/>
        <w:spacing w:val="-5"/>
        <w:w w:val="99"/>
        <w:sz w:val="28"/>
        <w:szCs w:val="28"/>
        <w:lang w:val="en-US" w:eastAsia="en-US" w:bidi="ar-SA"/>
      </w:rPr>
    </w:lvl>
    <w:lvl w:ilvl="2">
      <w:start w:val="1"/>
      <w:numFmt w:val="decimal"/>
      <w:lvlText w:val="%1.%2.%3"/>
      <w:lvlJc w:val="left"/>
      <w:pPr>
        <w:ind w:left="978" w:hanging="486"/>
        <w:jc w:val="right"/>
      </w:pPr>
      <w:rPr>
        <w:rFonts w:ascii="Arial" w:eastAsia="Arial" w:hAnsi="Arial" w:cs="Arial" w:hint="default"/>
        <w:b/>
        <w:bCs/>
        <w:i w:val="0"/>
        <w:iCs w:val="0"/>
        <w:color w:val="00AEEF"/>
        <w:spacing w:val="-3"/>
        <w:w w:val="99"/>
        <w:sz w:val="20"/>
        <w:szCs w:val="20"/>
        <w:lang w:val="en-US" w:eastAsia="en-US" w:bidi="ar-SA"/>
      </w:rPr>
    </w:lvl>
    <w:lvl w:ilvl="3">
      <w:numFmt w:val="bullet"/>
      <w:lvlText w:val="•"/>
      <w:lvlJc w:val="left"/>
      <w:pPr>
        <w:ind w:left="775" w:hanging="284"/>
      </w:pPr>
      <w:rPr>
        <w:rFonts w:ascii="Tahoma" w:eastAsia="Tahoma" w:hAnsi="Tahoma" w:cs="Tahoma" w:hint="default"/>
        <w:b w:val="0"/>
        <w:bCs w:val="0"/>
        <w:i w:val="0"/>
        <w:iCs w:val="0"/>
        <w:w w:val="109"/>
        <w:sz w:val="20"/>
        <w:szCs w:val="20"/>
        <w:lang w:val="en-US" w:eastAsia="en-US" w:bidi="ar-SA"/>
      </w:rPr>
    </w:lvl>
    <w:lvl w:ilvl="4">
      <w:numFmt w:val="bullet"/>
      <w:lvlText w:val="•"/>
      <w:lvlJc w:val="left"/>
      <w:pPr>
        <w:ind w:left="800" w:hanging="284"/>
      </w:pPr>
      <w:rPr>
        <w:rFonts w:hint="default"/>
        <w:lang w:val="en-US" w:eastAsia="en-US" w:bidi="ar-SA"/>
      </w:rPr>
    </w:lvl>
    <w:lvl w:ilvl="5">
      <w:numFmt w:val="bullet"/>
      <w:lvlText w:val="•"/>
      <w:lvlJc w:val="left"/>
      <w:pPr>
        <w:ind w:left="900" w:hanging="284"/>
      </w:pPr>
      <w:rPr>
        <w:rFonts w:hint="default"/>
        <w:lang w:val="en-US" w:eastAsia="en-US" w:bidi="ar-SA"/>
      </w:rPr>
    </w:lvl>
    <w:lvl w:ilvl="6">
      <w:numFmt w:val="bullet"/>
      <w:lvlText w:val="•"/>
      <w:lvlJc w:val="left"/>
      <w:pPr>
        <w:ind w:left="980" w:hanging="284"/>
      </w:pPr>
      <w:rPr>
        <w:rFonts w:hint="default"/>
        <w:lang w:val="en-US" w:eastAsia="en-US" w:bidi="ar-SA"/>
      </w:rPr>
    </w:lvl>
    <w:lvl w:ilvl="7">
      <w:numFmt w:val="bullet"/>
      <w:lvlText w:val="•"/>
      <w:lvlJc w:val="left"/>
      <w:pPr>
        <w:ind w:left="-546" w:hanging="284"/>
      </w:pPr>
      <w:rPr>
        <w:rFonts w:hint="default"/>
        <w:lang w:val="en-US" w:eastAsia="en-US" w:bidi="ar-SA"/>
      </w:rPr>
    </w:lvl>
    <w:lvl w:ilvl="8">
      <w:numFmt w:val="bullet"/>
      <w:lvlText w:val="•"/>
      <w:lvlJc w:val="left"/>
      <w:pPr>
        <w:ind w:left="-2071" w:hanging="284"/>
      </w:pPr>
      <w:rPr>
        <w:rFonts w:hint="default"/>
        <w:lang w:val="en-US" w:eastAsia="en-US" w:bidi="ar-SA"/>
      </w:rPr>
    </w:lvl>
  </w:abstractNum>
  <w:abstractNum w:abstractNumId="93" w15:restartNumberingAfterBreak="0">
    <w:nsid w:val="34F97B79"/>
    <w:multiLevelType w:val="hybridMultilevel"/>
    <w:tmpl w:val="670EF8EC"/>
    <w:lvl w:ilvl="0" w:tplc="FE9ADD6A">
      <w:start w:val="13"/>
      <w:numFmt w:val="decimal"/>
      <w:lvlText w:val="%1"/>
      <w:lvlJc w:val="left"/>
      <w:pPr>
        <w:ind w:left="267" w:hanging="268"/>
        <w:jc w:val="left"/>
      </w:pPr>
      <w:rPr>
        <w:rFonts w:ascii="Arial" w:eastAsia="Arial" w:hAnsi="Arial" w:cs="Arial" w:hint="default"/>
        <w:b/>
        <w:bCs/>
        <w:i w:val="0"/>
        <w:iCs w:val="0"/>
        <w:w w:val="99"/>
        <w:sz w:val="13"/>
        <w:szCs w:val="13"/>
        <w:lang w:val="en-US" w:eastAsia="en-US" w:bidi="ar-SA"/>
      </w:rPr>
    </w:lvl>
    <w:lvl w:ilvl="1" w:tplc="C59C8DF4">
      <w:numFmt w:val="bullet"/>
      <w:lvlText w:val="•"/>
      <w:lvlJc w:val="left"/>
      <w:pPr>
        <w:ind w:left="455" w:hanging="268"/>
      </w:pPr>
      <w:rPr>
        <w:rFonts w:hint="default"/>
        <w:lang w:val="en-US" w:eastAsia="en-US" w:bidi="ar-SA"/>
      </w:rPr>
    </w:lvl>
    <w:lvl w:ilvl="2" w:tplc="2BD0403C">
      <w:numFmt w:val="bullet"/>
      <w:lvlText w:val="•"/>
      <w:lvlJc w:val="left"/>
      <w:pPr>
        <w:ind w:left="650" w:hanging="268"/>
      </w:pPr>
      <w:rPr>
        <w:rFonts w:hint="default"/>
        <w:lang w:val="en-US" w:eastAsia="en-US" w:bidi="ar-SA"/>
      </w:rPr>
    </w:lvl>
    <w:lvl w:ilvl="3" w:tplc="BE2C0F04">
      <w:numFmt w:val="bullet"/>
      <w:lvlText w:val="•"/>
      <w:lvlJc w:val="left"/>
      <w:pPr>
        <w:ind w:left="846" w:hanging="268"/>
      </w:pPr>
      <w:rPr>
        <w:rFonts w:hint="default"/>
        <w:lang w:val="en-US" w:eastAsia="en-US" w:bidi="ar-SA"/>
      </w:rPr>
    </w:lvl>
    <w:lvl w:ilvl="4" w:tplc="4C1EAE34">
      <w:numFmt w:val="bullet"/>
      <w:lvlText w:val="•"/>
      <w:lvlJc w:val="left"/>
      <w:pPr>
        <w:ind w:left="1041" w:hanging="268"/>
      </w:pPr>
      <w:rPr>
        <w:rFonts w:hint="default"/>
        <w:lang w:val="en-US" w:eastAsia="en-US" w:bidi="ar-SA"/>
      </w:rPr>
    </w:lvl>
    <w:lvl w:ilvl="5" w:tplc="ABD0FC3A">
      <w:numFmt w:val="bullet"/>
      <w:lvlText w:val="•"/>
      <w:lvlJc w:val="left"/>
      <w:pPr>
        <w:ind w:left="1236" w:hanging="268"/>
      </w:pPr>
      <w:rPr>
        <w:rFonts w:hint="default"/>
        <w:lang w:val="en-US" w:eastAsia="en-US" w:bidi="ar-SA"/>
      </w:rPr>
    </w:lvl>
    <w:lvl w:ilvl="6" w:tplc="DE96BE80">
      <w:numFmt w:val="bullet"/>
      <w:lvlText w:val="•"/>
      <w:lvlJc w:val="left"/>
      <w:pPr>
        <w:ind w:left="1432" w:hanging="268"/>
      </w:pPr>
      <w:rPr>
        <w:rFonts w:hint="default"/>
        <w:lang w:val="en-US" w:eastAsia="en-US" w:bidi="ar-SA"/>
      </w:rPr>
    </w:lvl>
    <w:lvl w:ilvl="7" w:tplc="EC5AB82E">
      <w:numFmt w:val="bullet"/>
      <w:lvlText w:val="•"/>
      <w:lvlJc w:val="left"/>
      <w:pPr>
        <w:ind w:left="1627" w:hanging="268"/>
      </w:pPr>
      <w:rPr>
        <w:rFonts w:hint="default"/>
        <w:lang w:val="en-US" w:eastAsia="en-US" w:bidi="ar-SA"/>
      </w:rPr>
    </w:lvl>
    <w:lvl w:ilvl="8" w:tplc="49A475E4">
      <w:numFmt w:val="bullet"/>
      <w:lvlText w:val="•"/>
      <w:lvlJc w:val="left"/>
      <w:pPr>
        <w:ind w:left="1823" w:hanging="268"/>
      </w:pPr>
      <w:rPr>
        <w:rFonts w:hint="default"/>
        <w:lang w:val="en-US" w:eastAsia="en-US" w:bidi="ar-SA"/>
      </w:rPr>
    </w:lvl>
  </w:abstractNum>
  <w:abstractNum w:abstractNumId="94" w15:restartNumberingAfterBreak="0">
    <w:nsid w:val="39094505"/>
    <w:multiLevelType w:val="hybridMultilevel"/>
    <w:tmpl w:val="1F0C56C8"/>
    <w:lvl w:ilvl="0" w:tplc="C9CE65BC">
      <w:numFmt w:val="bullet"/>
      <w:lvlText w:val="–"/>
      <w:lvlJc w:val="left"/>
      <w:pPr>
        <w:ind w:left="183" w:hanging="122"/>
      </w:pPr>
      <w:rPr>
        <w:rFonts w:ascii="Arial" w:eastAsia="Arial" w:hAnsi="Arial" w:cs="Arial" w:hint="default"/>
        <w:b w:val="0"/>
        <w:bCs w:val="0"/>
        <w:i w:val="0"/>
        <w:iCs w:val="0"/>
        <w:w w:val="89"/>
        <w:sz w:val="16"/>
        <w:szCs w:val="16"/>
        <w:lang w:val="en-US" w:eastAsia="en-US" w:bidi="ar-SA"/>
      </w:rPr>
    </w:lvl>
    <w:lvl w:ilvl="1" w:tplc="5AA03AC0">
      <w:numFmt w:val="bullet"/>
      <w:lvlText w:val="•"/>
      <w:lvlJc w:val="left"/>
      <w:pPr>
        <w:ind w:left="376" w:hanging="122"/>
      </w:pPr>
      <w:rPr>
        <w:rFonts w:hint="default"/>
        <w:lang w:val="en-US" w:eastAsia="en-US" w:bidi="ar-SA"/>
      </w:rPr>
    </w:lvl>
    <w:lvl w:ilvl="2" w:tplc="6204B3B4">
      <w:numFmt w:val="bullet"/>
      <w:lvlText w:val="•"/>
      <w:lvlJc w:val="left"/>
      <w:pPr>
        <w:ind w:left="573" w:hanging="122"/>
      </w:pPr>
      <w:rPr>
        <w:rFonts w:hint="default"/>
        <w:lang w:val="en-US" w:eastAsia="en-US" w:bidi="ar-SA"/>
      </w:rPr>
    </w:lvl>
    <w:lvl w:ilvl="3" w:tplc="7D3E2AD0">
      <w:numFmt w:val="bullet"/>
      <w:lvlText w:val="•"/>
      <w:lvlJc w:val="left"/>
      <w:pPr>
        <w:ind w:left="770" w:hanging="122"/>
      </w:pPr>
      <w:rPr>
        <w:rFonts w:hint="default"/>
        <w:lang w:val="en-US" w:eastAsia="en-US" w:bidi="ar-SA"/>
      </w:rPr>
    </w:lvl>
    <w:lvl w:ilvl="4" w:tplc="C2F25064">
      <w:numFmt w:val="bullet"/>
      <w:lvlText w:val="•"/>
      <w:lvlJc w:val="left"/>
      <w:pPr>
        <w:ind w:left="967" w:hanging="122"/>
      </w:pPr>
      <w:rPr>
        <w:rFonts w:hint="default"/>
        <w:lang w:val="en-US" w:eastAsia="en-US" w:bidi="ar-SA"/>
      </w:rPr>
    </w:lvl>
    <w:lvl w:ilvl="5" w:tplc="A434E14C">
      <w:numFmt w:val="bullet"/>
      <w:lvlText w:val="•"/>
      <w:lvlJc w:val="left"/>
      <w:pPr>
        <w:ind w:left="1164" w:hanging="122"/>
      </w:pPr>
      <w:rPr>
        <w:rFonts w:hint="default"/>
        <w:lang w:val="en-US" w:eastAsia="en-US" w:bidi="ar-SA"/>
      </w:rPr>
    </w:lvl>
    <w:lvl w:ilvl="6" w:tplc="C52C9EE2">
      <w:numFmt w:val="bullet"/>
      <w:lvlText w:val="•"/>
      <w:lvlJc w:val="left"/>
      <w:pPr>
        <w:ind w:left="1360" w:hanging="122"/>
      </w:pPr>
      <w:rPr>
        <w:rFonts w:hint="default"/>
        <w:lang w:val="en-US" w:eastAsia="en-US" w:bidi="ar-SA"/>
      </w:rPr>
    </w:lvl>
    <w:lvl w:ilvl="7" w:tplc="E9DA02D8">
      <w:numFmt w:val="bullet"/>
      <w:lvlText w:val="•"/>
      <w:lvlJc w:val="left"/>
      <w:pPr>
        <w:ind w:left="1557" w:hanging="122"/>
      </w:pPr>
      <w:rPr>
        <w:rFonts w:hint="default"/>
        <w:lang w:val="en-US" w:eastAsia="en-US" w:bidi="ar-SA"/>
      </w:rPr>
    </w:lvl>
    <w:lvl w:ilvl="8" w:tplc="60C03310">
      <w:numFmt w:val="bullet"/>
      <w:lvlText w:val="•"/>
      <w:lvlJc w:val="left"/>
      <w:pPr>
        <w:ind w:left="1754" w:hanging="122"/>
      </w:pPr>
      <w:rPr>
        <w:rFonts w:hint="default"/>
        <w:lang w:val="en-US" w:eastAsia="en-US" w:bidi="ar-SA"/>
      </w:rPr>
    </w:lvl>
  </w:abstractNum>
  <w:abstractNum w:abstractNumId="95" w15:restartNumberingAfterBreak="0">
    <w:nsid w:val="392F7E35"/>
    <w:multiLevelType w:val="hybridMultilevel"/>
    <w:tmpl w:val="F9BC26B8"/>
    <w:lvl w:ilvl="0" w:tplc="BDFE721E">
      <w:numFmt w:val="bullet"/>
      <w:lvlText w:val="•"/>
      <w:lvlJc w:val="left"/>
      <w:pPr>
        <w:ind w:left="519" w:hanging="284"/>
      </w:pPr>
      <w:rPr>
        <w:rFonts w:ascii="Tahoma" w:eastAsia="Tahoma" w:hAnsi="Tahoma" w:cs="Tahoma" w:hint="default"/>
        <w:b w:val="0"/>
        <w:bCs w:val="0"/>
        <w:i w:val="0"/>
        <w:iCs w:val="0"/>
        <w:w w:val="109"/>
        <w:sz w:val="20"/>
        <w:szCs w:val="20"/>
        <w:lang w:val="en-US" w:eastAsia="en-US" w:bidi="ar-SA"/>
      </w:rPr>
    </w:lvl>
    <w:lvl w:ilvl="1" w:tplc="50A42D42">
      <w:numFmt w:val="bullet"/>
      <w:lvlText w:val="•"/>
      <w:lvlJc w:val="left"/>
      <w:pPr>
        <w:ind w:left="1545" w:hanging="284"/>
      </w:pPr>
      <w:rPr>
        <w:rFonts w:hint="default"/>
        <w:lang w:val="en-US" w:eastAsia="en-US" w:bidi="ar-SA"/>
      </w:rPr>
    </w:lvl>
    <w:lvl w:ilvl="2" w:tplc="C0700F50">
      <w:numFmt w:val="bullet"/>
      <w:lvlText w:val="•"/>
      <w:lvlJc w:val="left"/>
      <w:pPr>
        <w:ind w:left="2571" w:hanging="284"/>
      </w:pPr>
      <w:rPr>
        <w:rFonts w:hint="default"/>
        <w:lang w:val="en-US" w:eastAsia="en-US" w:bidi="ar-SA"/>
      </w:rPr>
    </w:lvl>
    <w:lvl w:ilvl="3" w:tplc="F28C9C48">
      <w:numFmt w:val="bullet"/>
      <w:lvlText w:val="•"/>
      <w:lvlJc w:val="left"/>
      <w:pPr>
        <w:ind w:left="3596" w:hanging="284"/>
      </w:pPr>
      <w:rPr>
        <w:rFonts w:hint="default"/>
        <w:lang w:val="en-US" w:eastAsia="en-US" w:bidi="ar-SA"/>
      </w:rPr>
    </w:lvl>
    <w:lvl w:ilvl="4" w:tplc="17789A2A">
      <w:numFmt w:val="bullet"/>
      <w:lvlText w:val="•"/>
      <w:lvlJc w:val="left"/>
      <w:pPr>
        <w:ind w:left="4622" w:hanging="284"/>
      </w:pPr>
      <w:rPr>
        <w:rFonts w:hint="default"/>
        <w:lang w:val="en-US" w:eastAsia="en-US" w:bidi="ar-SA"/>
      </w:rPr>
    </w:lvl>
    <w:lvl w:ilvl="5" w:tplc="BE3CA82C">
      <w:numFmt w:val="bullet"/>
      <w:lvlText w:val="•"/>
      <w:lvlJc w:val="left"/>
      <w:pPr>
        <w:ind w:left="5647" w:hanging="284"/>
      </w:pPr>
      <w:rPr>
        <w:rFonts w:hint="default"/>
        <w:lang w:val="en-US" w:eastAsia="en-US" w:bidi="ar-SA"/>
      </w:rPr>
    </w:lvl>
    <w:lvl w:ilvl="6" w:tplc="44CA5B7C">
      <w:numFmt w:val="bullet"/>
      <w:lvlText w:val="•"/>
      <w:lvlJc w:val="left"/>
      <w:pPr>
        <w:ind w:left="6673" w:hanging="284"/>
      </w:pPr>
      <w:rPr>
        <w:rFonts w:hint="default"/>
        <w:lang w:val="en-US" w:eastAsia="en-US" w:bidi="ar-SA"/>
      </w:rPr>
    </w:lvl>
    <w:lvl w:ilvl="7" w:tplc="3B88190A">
      <w:numFmt w:val="bullet"/>
      <w:lvlText w:val="•"/>
      <w:lvlJc w:val="left"/>
      <w:pPr>
        <w:ind w:left="7698" w:hanging="284"/>
      </w:pPr>
      <w:rPr>
        <w:rFonts w:hint="default"/>
        <w:lang w:val="en-US" w:eastAsia="en-US" w:bidi="ar-SA"/>
      </w:rPr>
    </w:lvl>
    <w:lvl w:ilvl="8" w:tplc="EA845D08">
      <w:numFmt w:val="bullet"/>
      <w:lvlText w:val="•"/>
      <w:lvlJc w:val="left"/>
      <w:pPr>
        <w:ind w:left="8724" w:hanging="284"/>
      </w:pPr>
      <w:rPr>
        <w:rFonts w:hint="default"/>
        <w:lang w:val="en-US" w:eastAsia="en-US" w:bidi="ar-SA"/>
      </w:rPr>
    </w:lvl>
  </w:abstractNum>
  <w:abstractNum w:abstractNumId="96" w15:restartNumberingAfterBreak="0">
    <w:nsid w:val="39DD236C"/>
    <w:multiLevelType w:val="hybridMultilevel"/>
    <w:tmpl w:val="60B446A4"/>
    <w:lvl w:ilvl="0" w:tplc="82D49E52">
      <w:numFmt w:val="bullet"/>
      <w:lvlText w:val="•"/>
      <w:lvlJc w:val="left"/>
      <w:pPr>
        <w:ind w:left="396" w:hanging="284"/>
      </w:pPr>
      <w:rPr>
        <w:rFonts w:ascii="SimSun" w:eastAsia="SimSun" w:hAnsi="SimSun" w:cs="SimSun" w:hint="default"/>
        <w:b w:val="0"/>
        <w:bCs w:val="0"/>
        <w:i w:val="0"/>
        <w:iCs w:val="0"/>
        <w:color w:val="FFFFFF"/>
        <w:w w:val="100"/>
        <w:sz w:val="20"/>
        <w:szCs w:val="20"/>
        <w:lang w:val="en-US" w:eastAsia="en-US" w:bidi="ar-SA"/>
      </w:rPr>
    </w:lvl>
    <w:lvl w:ilvl="1" w:tplc="21229A40">
      <w:numFmt w:val="bullet"/>
      <w:lvlText w:val="•"/>
      <w:lvlJc w:val="left"/>
      <w:pPr>
        <w:ind w:left="840" w:hanging="284"/>
      </w:pPr>
      <w:rPr>
        <w:rFonts w:hint="default"/>
        <w:lang w:val="en-US" w:eastAsia="en-US" w:bidi="ar-SA"/>
      </w:rPr>
    </w:lvl>
    <w:lvl w:ilvl="2" w:tplc="1EB0BBAA">
      <w:numFmt w:val="bullet"/>
      <w:lvlText w:val="•"/>
      <w:lvlJc w:val="left"/>
      <w:pPr>
        <w:ind w:left="1280" w:hanging="284"/>
      </w:pPr>
      <w:rPr>
        <w:rFonts w:hint="default"/>
        <w:lang w:val="en-US" w:eastAsia="en-US" w:bidi="ar-SA"/>
      </w:rPr>
    </w:lvl>
    <w:lvl w:ilvl="3" w:tplc="FDA67088">
      <w:numFmt w:val="bullet"/>
      <w:lvlText w:val="•"/>
      <w:lvlJc w:val="left"/>
      <w:pPr>
        <w:ind w:left="1720" w:hanging="284"/>
      </w:pPr>
      <w:rPr>
        <w:rFonts w:hint="default"/>
        <w:lang w:val="en-US" w:eastAsia="en-US" w:bidi="ar-SA"/>
      </w:rPr>
    </w:lvl>
    <w:lvl w:ilvl="4" w:tplc="7C94D04C">
      <w:numFmt w:val="bullet"/>
      <w:lvlText w:val="•"/>
      <w:lvlJc w:val="left"/>
      <w:pPr>
        <w:ind w:left="2160" w:hanging="284"/>
      </w:pPr>
      <w:rPr>
        <w:rFonts w:hint="default"/>
        <w:lang w:val="en-US" w:eastAsia="en-US" w:bidi="ar-SA"/>
      </w:rPr>
    </w:lvl>
    <w:lvl w:ilvl="5" w:tplc="9D58DC7E">
      <w:numFmt w:val="bullet"/>
      <w:lvlText w:val="•"/>
      <w:lvlJc w:val="left"/>
      <w:pPr>
        <w:ind w:left="2600" w:hanging="284"/>
      </w:pPr>
      <w:rPr>
        <w:rFonts w:hint="default"/>
        <w:lang w:val="en-US" w:eastAsia="en-US" w:bidi="ar-SA"/>
      </w:rPr>
    </w:lvl>
    <w:lvl w:ilvl="6" w:tplc="5F86EB5E">
      <w:numFmt w:val="bullet"/>
      <w:lvlText w:val="•"/>
      <w:lvlJc w:val="left"/>
      <w:pPr>
        <w:ind w:left="3040" w:hanging="284"/>
      </w:pPr>
      <w:rPr>
        <w:rFonts w:hint="default"/>
        <w:lang w:val="en-US" w:eastAsia="en-US" w:bidi="ar-SA"/>
      </w:rPr>
    </w:lvl>
    <w:lvl w:ilvl="7" w:tplc="21E478C0">
      <w:numFmt w:val="bullet"/>
      <w:lvlText w:val="•"/>
      <w:lvlJc w:val="left"/>
      <w:pPr>
        <w:ind w:left="3480" w:hanging="284"/>
      </w:pPr>
      <w:rPr>
        <w:rFonts w:hint="default"/>
        <w:lang w:val="en-US" w:eastAsia="en-US" w:bidi="ar-SA"/>
      </w:rPr>
    </w:lvl>
    <w:lvl w:ilvl="8" w:tplc="00C26134">
      <w:numFmt w:val="bullet"/>
      <w:lvlText w:val="•"/>
      <w:lvlJc w:val="left"/>
      <w:pPr>
        <w:ind w:left="3920" w:hanging="284"/>
      </w:pPr>
      <w:rPr>
        <w:rFonts w:hint="default"/>
        <w:lang w:val="en-US" w:eastAsia="en-US" w:bidi="ar-SA"/>
      </w:rPr>
    </w:lvl>
  </w:abstractNum>
  <w:abstractNum w:abstractNumId="97" w15:restartNumberingAfterBreak="0">
    <w:nsid w:val="39EB37A1"/>
    <w:multiLevelType w:val="hybridMultilevel"/>
    <w:tmpl w:val="AF782386"/>
    <w:lvl w:ilvl="0" w:tplc="3920E5A6">
      <w:numFmt w:val="bullet"/>
      <w:lvlText w:val="•"/>
      <w:lvlJc w:val="left"/>
      <w:pPr>
        <w:ind w:left="208" w:hanging="100"/>
      </w:pPr>
      <w:rPr>
        <w:rFonts w:ascii="Tahoma" w:eastAsia="Tahoma" w:hAnsi="Tahoma" w:cs="Tahoma" w:hint="default"/>
        <w:b w:val="0"/>
        <w:bCs w:val="0"/>
        <w:i w:val="0"/>
        <w:iCs w:val="0"/>
        <w:w w:val="109"/>
        <w:sz w:val="14"/>
        <w:szCs w:val="14"/>
        <w:lang w:val="en-US" w:eastAsia="en-US" w:bidi="ar-SA"/>
      </w:rPr>
    </w:lvl>
    <w:lvl w:ilvl="1" w:tplc="9C481F60">
      <w:numFmt w:val="bullet"/>
      <w:lvlText w:val="•"/>
      <w:lvlJc w:val="left"/>
      <w:pPr>
        <w:ind w:left="607" w:hanging="100"/>
      </w:pPr>
      <w:rPr>
        <w:rFonts w:hint="default"/>
        <w:lang w:val="en-US" w:eastAsia="en-US" w:bidi="ar-SA"/>
      </w:rPr>
    </w:lvl>
    <w:lvl w:ilvl="2" w:tplc="2D5224FE">
      <w:numFmt w:val="bullet"/>
      <w:lvlText w:val="•"/>
      <w:lvlJc w:val="left"/>
      <w:pPr>
        <w:ind w:left="1015" w:hanging="100"/>
      </w:pPr>
      <w:rPr>
        <w:rFonts w:hint="default"/>
        <w:lang w:val="en-US" w:eastAsia="en-US" w:bidi="ar-SA"/>
      </w:rPr>
    </w:lvl>
    <w:lvl w:ilvl="3" w:tplc="6AB0575E">
      <w:numFmt w:val="bullet"/>
      <w:lvlText w:val="•"/>
      <w:lvlJc w:val="left"/>
      <w:pPr>
        <w:ind w:left="1423" w:hanging="100"/>
      </w:pPr>
      <w:rPr>
        <w:rFonts w:hint="default"/>
        <w:lang w:val="en-US" w:eastAsia="en-US" w:bidi="ar-SA"/>
      </w:rPr>
    </w:lvl>
    <w:lvl w:ilvl="4" w:tplc="08A0271C">
      <w:numFmt w:val="bullet"/>
      <w:lvlText w:val="•"/>
      <w:lvlJc w:val="left"/>
      <w:pPr>
        <w:ind w:left="1831" w:hanging="100"/>
      </w:pPr>
      <w:rPr>
        <w:rFonts w:hint="default"/>
        <w:lang w:val="en-US" w:eastAsia="en-US" w:bidi="ar-SA"/>
      </w:rPr>
    </w:lvl>
    <w:lvl w:ilvl="5" w:tplc="C90C717C">
      <w:numFmt w:val="bullet"/>
      <w:lvlText w:val="•"/>
      <w:lvlJc w:val="left"/>
      <w:pPr>
        <w:ind w:left="2239" w:hanging="100"/>
      </w:pPr>
      <w:rPr>
        <w:rFonts w:hint="default"/>
        <w:lang w:val="en-US" w:eastAsia="en-US" w:bidi="ar-SA"/>
      </w:rPr>
    </w:lvl>
    <w:lvl w:ilvl="6" w:tplc="17987B14">
      <w:numFmt w:val="bullet"/>
      <w:lvlText w:val="•"/>
      <w:lvlJc w:val="left"/>
      <w:pPr>
        <w:ind w:left="2646" w:hanging="100"/>
      </w:pPr>
      <w:rPr>
        <w:rFonts w:hint="default"/>
        <w:lang w:val="en-US" w:eastAsia="en-US" w:bidi="ar-SA"/>
      </w:rPr>
    </w:lvl>
    <w:lvl w:ilvl="7" w:tplc="4F9C8318">
      <w:numFmt w:val="bullet"/>
      <w:lvlText w:val="•"/>
      <w:lvlJc w:val="left"/>
      <w:pPr>
        <w:ind w:left="3054" w:hanging="100"/>
      </w:pPr>
      <w:rPr>
        <w:rFonts w:hint="default"/>
        <w:lang w:val="en-US" w:eastAsia="en-US" w:bidi="ar-SA"/>
      </w:rPr>
    </w:lvl>
    <w:lvl w:ilvl="8" w:tplc="9C5612BC">
      <w:numFmt w:val="bullet"/>
      <w:lvlText w:val="•"/>
      <w:lvlJc w:val="left"/>
      <w:pPr>
        <w:ind w:left="3462" w:hanging="100"/>
      </w:pPr>
      <w:rPr>
        <w:rFonts w:hint="default"/>
        <w:lang w:val="en-US" w:eastAsia="en-US" w:bidi="ar-SA"/>
      </w:rPr>
    </w:lvl>
  </w:abstractNum>
  <w:abstractNum w:abstractNumId="98" w15:restartNumberingAfterBreak="0">
    <w:nsid w:val="39ED7CBF"/>
    <w:multiLevelType w:val="hybridMultilevel"/>
    <w:tmpl w:val="0E4CD0DA"/>
    <w:lvl w:ilvl="0" w:tplc="F036F75C">
      <w:numFmt w:val="bullet"/>
      <w:lvlText w:val="•"/>
      <w:lvlJc w:val="left"/>
      <w:pPr>
        <w:ind w:left="207" w:hanging="100"/>
      </w:pPr>
      <w:rPr>
        <w:rFonts w:ascii="Tahoma" w:eastAsia="Tahoma" w:hAnsi="Tahoma" w:cs="Tahoma" w:hint="default"/>
        <w:b w:val="0"/>
        <w:bCs w:val="0"/>
        <w:i w:val="0"/>
        <w:iCs w:val="0"/>
        <w:w w:val="109"/>
        <w:sz w:val="14"/>
        <w:szCs w:val="14"/>
        <w:lang w:val="en-US" w:eastAsia="en-US" w:bidi="ar-SA"/>
      </w:rPr>
    </w:lvl>
    <w:lvl w:ilvl="1" w:tplc="1728DED0">
      <w:numFmt w:val="bullet"/>
      <w:lvlText w:val="•"/>
      <w:lvlJc w:val="left"/>
      <w:pPr>
        <w:ind w:left="607" w:hanging="100"/>
      </w:pPr>
      <w:rPr>
        <w:rFonts w:hint="default"/>
        <w:lang w:val="en-US" w:eastAsia="en-US" w:bidi="ar-SA"/>
      </w:rPr>
    </w:lvl>
    <w:lvl w:ilvl="2" w:tplc="7750D8B2">
      <w:numFmt w:val="bullet"/>
      <w:lvlText w:val="•"/>
      <w:lvlJc w:val="left"/>
      <w:pPr>
        <w:ind w:left="1015" w:hanging="100"/>
      </w:pPr>
      <w:rPr>
        <w:rFonts w:hint="default"/>
        <w:lang w:val="en-US" w:eastAsia="en-US" w:bidi="ar-SA"/>
      </w:rPr>
    </w:lvl>
    <w:lvl w:ilvl="3" w:tplc="9F367C30">
      <w:numFmt w:val="bullet"/>
      <w:lvlText w:val="•"/>
      <w:lvlJc w:val="left"/>
      <w:pPr>
        <w:ind w:left="1423" w:hanging="100"/>
      </w:pPr>
      <w:rPr>
        <w:rFonts w:hint="default"/>
        <w:lang w:val="en-US" w:eastAsia="en-US" w:bidi="ar-SA"/>
      </w:rPr>
    </w:lvl>
    <w:lvl w:ilvl="4" w:tplc="DD1613BC">
      <w:numFmt w:val="bullet"/>
      <w:lvlText w:val="•"/>
      <w:lvlJc w:val="left"/>
      <w:pPr>
        <w:ind w:left="1831" w:hanging="100"/>
      </w:pPr>
      <w:rPr>
        <w:rFonts w:hint="default"/>
        <w:lang w:val="en-US" w:eastAsia="en-US" w:bidi="ar-SA"/>
      </w:rPr>
    </w:lvl>
    <w:lvl w:ilvl="5" w:tplc="8EFA8F22">
      <w:numFmt w:val="bullet"/>
      <w:lvlText w:val="•"/>
      <w:lvlJc w:val="left"/>
      <w:pPr>
        <w:ind w:left="2239" w:hanging="100"/>
      </w:pPr>
      <w:rPr>
        <w:rFonts w:hint="default"/>
        <w:lang w:val="en-US" w:eastAsia="en-US" w:bidi="ar-SA"/>
      </w:rPr>
    </w:lvl>
    <w:lvl w:ilvl="6" w:tplc="891C905A">
      <w:numFmt w:val="bullet"/>
      <w:lvlText w:val="•"/>
      <w:lvlJc w:val="left"/>
      <w:pPr>
        <w:ind w:left="2646" w:hanging="100"/>
      </w:pPr>
      <w:rPr>
        <w:rFonts w:hint="default"/>
        <w:lang w:val="en-US" w:eastAsia="en-US" w:bidi="ar-SA"/>
      </w:rPr>
    </w:lvl>
    <w:lvl w:ilvl="7" w:tplc="53BA7D78">
      <w:numFmt w:val="bullet"/>
      <w:lvlText w:val="•"/>
      <w:lvlJc w:val="left"/>
      <w:pPr>
        <w:ind w:left="3054" w:hanging="100"/>
      </w:pPr>
      <w:rPr>
        <w:rFonts w:hint="default"/>
        <w:lang w:val="en-US" w:eastAsia="en-US" w:bidi="ar-SA"/>
      </w:rPr>
    </w:lvl>
    <w:lvl w:ilvl="8" w:tplc="D9926C1E">
      <w:numFmt w:val="bullet"/>
      <w:lvlText w:val="•"/>
      <w:lvlJc w:val="left"/>
      <w:pPr>
        <w:ind w:left="3462" w:hanging="100"/>
      </w:pPr>
      <w:rPr>
        <w:rFonts w:hint="default"/>
        <w:lang w:val="en-US" w:eastAsia="en-US" w:bidi="ar-SA"/>
      </w:rPr>
    </w:lvl>
  </w:abstractNum>
  <w:abstractNum w:abstractNumId="99" w15:restartNumberingAfterBreak="0">
    <w:nsid w:val="3B2941CA"/>
    <w:multiLevelType w:val="hybridMultilevel"/>
    <w:tmpl w:val="69A2D552"/>
    <w:lvl w:ilvl="0" w:tplc="610ECA5C">
      <w:numFmt w:val="bullet"/>
      <w:lvlText w:val="–"/>
      <w:lvlJc w:val="left"/>
      <w:pPr>
        <w:ind w:left="151" w:hanging="96"/>
      </w:pPr>
      <w:rPr>
        <w:rFonts w:ascii="Arial" w:eastAsia="Arial" w:hAnsi="Arial" w:cs="Arial" w:hint="default"/>
        <w:b w:val="0"/>
        <w:bCs w:val="0"/>
        <w:i w:val="0"/>
        <w:iCs w:val="0"/>
        <w:w w:val="89"/>
        <w:sz w:val="14"/>
        <w:szCs w:val="14"/>
        <w:lang w:val="en-US" w:eastAsia="en-US" w:bidi="ar-SA"/>
      </w:rPr>
    </w:lvl>
    <w:lvl w:ilvl="1" w:tplc="CBDAED06">
      <w:numFmt w:val="bullet"/>
      <w:lvlText w:val="•"/>
      <w:lvlJc w:val="left"/>
      <w:pPr>
        <w:ind w:left="302" w:hanging="96"/>
      </w:pPr>
      <w:rPr>
        <w:rFonts w:hint="default"/>
        <w:lang w:val="en-US" w:eastAsia="en-US" w:bidi="ar-SA"/>
      </w:rPr>
    </w:lvl>
    <w:lvl w:ilvl="2" w:tplc="7F5A1E6A">
      <w:numFmt w:val="bullet"/>
      <w:lvlText w:val="•"/>
      <w:lvlJc w:val="left"/>
      <w:pPr>
        <w:ind w:left="445" w:hanging="96"/>
      </w:pPr>
      <w:rPr>
        <w:rFonts w:hint="default"/>
        <w:lang w:val="en-US" w:eastAsia="en-US" w:bidi="ar-SA"/>
      </w:rPr>
    </w:lvl>
    <w:lvl w:ilvl="3" w:tplc="209E947A">
      <w:numFmt w:val="bullet"/>
      <w:lvlText w:val="•"/>
      <w:lvlJc w:val="left"/>
      <w:pPr>
        <w:ind w:left="588" w:hanging="96"/>
      </w:pPr>
      <w:rPr>
        <w:rFonts w:hint="default"/>
        <w:lang w:val="en-US" w:eastAsia="en-US" w:bidi="ar-SA"/>
      </w:rPr>
    </w:lvl>
    <w:lvl w:ilvl="4" w:tplc="96ACE46E">
      <w:numFmt w:val="bullet"/>
      <w:lvlText w:val="•"/>
      <w:lvlJc w:val="left"/>
      <w:pPr>
        <w:ind w:left="730" w:hanging="96"/>
      </w:pPr>
      <w:rPr>
        <w:rFonts w:hint="default"/>
        <w:lang w:val="en-US" w:eastAsia="en-US" w:bidi="ar-SA"/>
      </w:rPr>
    </w:lvl>
    <w:lvl w:ilvl="5" w:tplc="D0BAFDC8">
      <w:numFmt w:val="bullet"/>
      <w:lvlText w:val="•"/>
      <w:lvlJc w:val="left"/>
      <w:pPr>
        <w:ind w:left="873" w:hanging="96"/>
      </w:pPr>
      <w:rPr>
        <w:rFonts w:hint="default"/>
        <w:lang w:val="en-US" w:eastAsia="en-US" w:bidi="ar-SA"/>
      </w:rPr>
    </w:lvl>
    <w:lvl w:ilvl="6" w:tplc="AAFABD9E">
      <w:numFmt w:val="bullet"/>
      <w:lvlText w:val="•"/>
      <w:lvlJc w:val="left"/>
      <w:pPr>
        <w:ind w:left="1016" w:hanging="96"/>
      </w:pPr>
      <w:rPr>
        <w:rFonts w:hint="default"/>
        <w:lang w:val="en-US" w:eastAsia="en-US" w:bidi="ar-SA"/>
      </w:rPr>
    </w:lvl>
    <w:lvl w:ilvl="7" w:tplc="F12CC646">
      <w:numFmt w:val="bullet"/>
      <w:lvlText w:val="•"/>
      <w:lvlJc w:val="left"/>
      <w:pPr>
        <w:ind w:left="1159" w:hanging="96"/>
      </w:pPr>
      <w:rPr>
        <w:rFonts w:hint="default"/>
        <w:lang w:val="en-US" w:eastAsia="en-US" w:bidi="ar-SA"/>
      </w:rPr>
    </w:lvl>
    <w:lvl w:ilvl="8" w:tplc="202EFCA8">
      <w:numFmt w:val="bullet"/>
      <w:lvlText w:val="•"/>
      <w:lvlJc w:val="left"/>
      <w:pPr>
        <w:ind w:left="1301" w:hanging="96"/>
      </w:pPr>
      <w:rPr>
        <w:rFonts w:hint="default"/>
        <w:lang w:val="en-US" w:eastAsia="en-US" w:bidi="ar-SA"/>
      </w:rPr>
    </w:lvl>
  </w:abstractNum>
  <w:abstractNum w:abstractNumId="100" w15:restartNumberingAfterBreak="0">
    <w:nsid w:val="3B7A081C"/>
    <w:multiLevelType w:val="hybridMultilevel"/>
    <w:tmpl w:val="B908DD7A"/>
    <w:lvl w:ilvl="0" w:tplc="3C469292">
      <w:numFmt w:val="bullet"/>
      <w:lvlText w:val="–"/>
      <w:lvlJc w:val="left"/>
      <w:pPr>
        <w:ind w:left="252" w:hanging="142"/>
      </w:pPr>
      <w:rPr>
        <w:rFonts w:ascii="Arial" w:eastAsia="Arial" w:hAnsi="Arial" w:cs="Arial" w:hint="default"/>
        <w:b w:val="0"/>
        <w:bCs w:val="0"/>
        <w:i w:val="0"/>
        <w:iCs w:val="0"/>
        <w:w w:val="89"/>
        <w:sz w:val="16"/>
        <w:szCs w:val="16"/>
        <w:lang w:val="en-US" w:eastAsia="en-US" w:bidi="ar-SA"/>
      </w:rPr>
    </w:lvl>
    <w:lvl w:ilvl="1" w:tplc="8884B596">
      <w:numFmt w:val="bullet"/>
      <w:lvlText w:val="•"/>
      <w:lvlJc w:val="left"/>
      <w:pPr>
        <w:ind w:left="1127" w:hanging="142"/>
      </w:pPr>
      <w:rPr>
        <w:rFonts w:hint="default"/>
        <w:lang w:val="en-US" w:eastAsia="en-US" w:bidi="ar-SA"/>
      </w:rPr>
    </w:lvl>
    <w:lvl w:ilvl="2" w:tplc="C458DCBA">
      <w:numFmt w:val="bullet"/>
      <w:lvlText w:val="•"/>
      <w:lvlJc w:val="left"/>
      <w:pPr>
        <w:ind w:left="1995" w:hanging="142"/>
      </w:pPr>
      <w:rPr>
        <w:rFonts w:hint="default"/>
        <w:lang w:val="en-US" w:eastAsia="en-US" w:bidi="ar-SA"/>
      </w:rPr>
    </w:lvl>
    <w:lvl w:ilvl="3" w:tplc="879CE768">
      <w:numFmt w:val="bullet"/>
      <w:lvlText w:val="•"/>
      <w:lvlJc w:val="left"/>
      <w:pPr>
        <w:ind w:left="2863" w:hanging="142"/>
      </w:pPr>
      <w:rPr>
        <w:rFonts w:hint="default"/>
        <w:lang w:val="en-US" w:eastAsia="en-US" w:bidi="ar-SA"/>
      </w:rPr>
    </w:lvl>
    <w:lvl w:ilvl="4" w:tplc="39EED832">
      <w:numFmt w:val="bullet"/>
      <w:lvlText w:val="•"/>
      <w:lvlJc w:val="left"/>
      <w:pPr>
        <w:ind w:left="3731" w:hanging="142"/>
      </w:pPr>
      <w:rPr>
        <w:rFonts w:hint="default"/>
        <w:lang w:val="en-US" w:eastAsia="en-US" w:bidi="ar-SA"/>
      </w:rPr>
    </w:lvl>
    <w:lvl w:ilvl="5" w:tplc="70DABBF0">
      <w:numFmt w:val="bullet"/>
      <w:lvlText w:val="•"/>
      <w:lvlJc w:val="left"/>
      <w:pPr>
        <w:ind w:left="4599" w:hanging="142"/>
      </w:pPr>
      <w:rPr>
        <w:rFonts w:hint="default"/>
        <w:lang w:val="en-US" w:eastAsia="en-US" w:bidi="ar-SA"/>
      </w:rPr>
    </w:lvl>
    <w:lvl w:ilvl="6" w:tplc="7D6E6392">
      <w:numFmt w:val="bullet"/>
      <w:lvlText w:val="•"/>
      <w:lvlJc w:val="left"/>
      <w:pPr>
        <w:ind w:left="5467" w:hanging="142"/>
      </w:pPr>
      <w:rPr>
        <w:rFonts w:hint="default"/>
        <w:lang w:val="en-US" w:eastAsia="en-US" w:bidi="ar-SA"/>
      </w:rPr>
    </w:lvl>
    <w:lvl w:ilvl="7" w:tplc="3AB6ACB8">
      <w:numFmt w:val="bullet"/>
      <w:lvlText w:val="•"/>
      <w:lvlJc w:val="left"/>
      <w:pPr>
        <w:ind w:left="6335" w:hanging="142"/>
      </w:pPr>
      <w:rPr>
        <w:rFonts w:hint="default"/>
        <w:lang w:val="en-US" w:eastAsia="en-US" w:bidi="ar-SA"/>
      </w:rPr>
    </w:lvl>
    <w:lvl w:ilvl="8" w:tplc="B7E43B28">
      <w:numFmt w:val="bullet"/>
      <w:lvlText w:val="•"/>
      <w:lvlJc w:val="left"/>
      <w:pPr>
        <w:ind w:left="7203" w:hanging="142"/>
      </w:pPr>
      <w:rPr>
        <w:rFonts w:hint="default"/>
        <w:lang w:val="en-US" w:eastAsia="en-US" w:bidi="ar-SA"/>
      </w:rPr>
    </w:lvl>
  </w:abstractNum>
  <w:abstractNum w:abstractNumId="101" w15:restartNumberingAfterBreak="0">
    <w:nsid w:val="3BEF11BB"/>
    <w:multiLevelType w:val="hybridMultilevel"/>
    <w:tmpl w:val="B00ADFF6"/>
    <w:lvl w:ilvl="0" w:tplc="90E671EC">
      <w:numFmt w:val="bullet"/>
      <w:lvlText w:val="•"/>
      <w:lvlJc w:val="left"/>
      <w:pPr>
        <w:ind w:left="206" w:hanging="100"/>
      </w:pPr>
      <w:rPr>
        <w:rFonts w:ascii="Tahoma" w:eastAsia="Tahoma" w:hAnsi="Tahoma" w:cs="Tahoma" w:hint="default"/>
        <w:w w:val="109"/>
        <w:lang w:val="en-US" w:eastAsia="en-US" w:bidi="ar-SA"/>
      </w:rPr>
    </w:lvl>
    <w:lvl w:ilvl="1" w:tplc="F168CEDE">
      <w:numFmt w:val="bullet"/>
      <w:lvlText w:val="•"/>
      <w:lvlJc w:val="left"/>
      <w:pPr>
        <w:ind w:left="607" w:hanging="100"/>
      </w:pPr>
      <w:rPr>
        <w:rFonts w:hint="default"/>
        <w:lang w:val="en-US" w:eastAsia="en-US" w:bidi="ar-SA"/>
      </w:rPr>
    </w:lvl>
    <w:lvl w:ilvl="2" w:tplc="BBB0CFEC">
      <w:numFmt w:val="bullet"/>
      <w:lvlText w:val="•"/>
      <w:lvlJc w:val="left"/>
      <w:pPr>
        <w:ind w:left="1015" w:hanging="100"/>
      </w:pPr>
      <w:rPr>
        <w:rFonts w:hint="default"/>
        <w:lang w:val="en-US" w:eastAsia="en-US" w:bidi="ar-SA"/>
      </w:rPr>
    </w:lvl>
    <w:lvl w:ilvl="3" w:tplc="4D6C9B54">
      <w:numFmt w:val="bullet"/>
      <w:lvlText w:val="•"/>
      <w:lvlJc w:val="left"/>
      <w:pPr>
        <w:ind w:left="1423" w:hanging="100"/>
      </w:pPr>
      <w:rPr>
        <w:rFonts w:hint="default"/>
        <w:lang w:val="en-US" w:eastAsia="en-US" w:bidi="ar-SA"/>
      </w:rPr>
    </w:lvl>
    <w:lvl w:ilvl="4" w:tplc="902EA5E6">
      <w:numFmt w:val="bullet"/>
      <w:lvlText w:val="•"/>
      <w:lvlJc w:val="left"/>
      <w:pPr>
        <w:ind w:left="1831" w:hanging="100"/>
      </w:pPr>
      <w:rPr>
        <w:rFonts w:hint="default"/>
        <w:lang w:val="en-US" w:eastAsia="en-US" w:bidi="ar-SA"/>
      </w:rPr>
    </w:lvl>
    <w:lvl w:ilvl="5" w:tplc="F9721FDE">
      <w:numFmt w:val="bullet"/>
      <w:lvlText w:val="•"/>
      <w:lvlJc w:val="left"/>
      <w:pPr>
        <w:ind w:left="2239" w:hanging="100"/>
      </w:pPr>
      <w:rPr>
        <w:rFonts w:hint="default"/>
        <w:lang w:val="en-US" w:eastAsia="en-US" w:bidi="ar-SA"/>
      </w:rPr>
    </w:lvl>
    <w:lvl w:ilvl="6" w:tplc="CB44A544">
      <w:numFmt w:val="bullet"/>
      <w:lvlText w:val="•"/>
      <w:lvlJc w:val="left"/>
      <w:pPr>
        <w:ind w:left="2646" w:hanging="100"/>
      </w:pPr>
      <w:rPr>
        <w:rFonts w:hint="default"/>
        <w:lang w:val="en-US" w:eastAsia="en-US" w:bidi="ar-SA"/>
      </w:rPr>
    </w:lvl>
    <w:lvl w:ilvl="7" w:tplc="9326B1CE">
      <w:numFmt w:val="bullet"/>
      <w:lvlText w:val="•"/>
      <w:lvlJc w:val="left"/>
      <w:pPr>
        <w:ind w:left="3054" w:hanging="100"/>
      </w:pPr>
      <w:rPr>
        <w:rFonts w:hint="default"/>
        <w:lang w:val="en-US" w:eastAsia="en-US" w:bidi="ar-SA"/>
      </w:rPr>
    </w:lvl>
    <w:lvl w:ilvl="8" w:tplc="D34A458C">
      <w:numFmt w:val="bullet"/>
      <w:lvlText w:val="•"/>
      <w:lvlJc w:val="left"/>
      <w:pPr>
        <w:ind w:left="3462" w:hanging="100"/>
      </w:pPr>
      <w:rPr>
        <w:rFonts w:hint="default"/>
        <w:lang w:val="en-US" w:eastAsia="en-US" w:bidi="ar-SA"/>
      </w:rPr>
    </w:lvl>
  </w:abstractNum>
  <w:abstractNum w:abstractNumId="102" w15:restartNumberingAfterBreak="0">
    <w:nsid w:val="3C205B61"/>
    <w:multiLevelType w:val="hybridMultilevel"/>
    <w:tmpl w:val="DF0C8E22"/>
    <w:lvl w:ilvl="0" w:tplc="363288E6">
      <w:numFmt w:val="bullet"/>
      <w:lvlText w:val="•"/>
      <w:lvlJc w:val="left"/>
      <w:pPr>
        <w:ind w:left="510" w:hanging="284"/>
      </w:pPr>
      <w:rPr>
        <w:rFonts w:ascii="Tahoma" w:eastAsia="Tahoma" w:hAnsi="Tahoma" w:cs="Tahoma" w:hint="default"/>
        <w:b w:val="0"/>
        <w:bCs w:val="0"/>
        <w:i w:val="0"/>
        <w:iCs w:val="0"/>
        <w:w w:val="109"/>
        <w:sz w:val="20"/>
        <w:szCs w:val="20"/>
        <w:lang w:val="en-US" w:eastAsia="en-US" w:bidi="ar-SA"/>
      </w:rPr>
    </w:lvl>
    <w:lvl w:ilvl="1" w:tplc="78FCE76C">
      <w:numFmt w:val="bullet"/>
      <w:lvlText w:val="•"/>
      <w:lvlJc w:val="left"/>
      <w:pPr>
        <w:ind w:left="970" w:hanging="284"/>
      </w:pPr>
      <w:rPr>
        <w:rFonts w:hint="default"/>
        <w:lang w:val="en-US" w:eastAsia="en-US" w:bidi="ar-SA"/>
      </w:rPr>
    </w:lvl>
    <w:lvl w:ilvl="2" w:tplc="A6EE9526">
      <w:numFmt w:val="bullet"/>
      <w:lvlText w:val="•"/>
      <w:lvlJc w:val="left"/>
      <w:pPr>
        <w:ind w:left="1421" w:hanging="284"/>
      </w:pPr>
      <w:rPr>
        <w:rFonts w:hint="default"/>
        <w:lang w:val="en-US" w:eastAsia="en-US" w:bidi="ar-SA"/>
      </w:rPr>
    </w:lvl>
    <w:lvl w:ilvl="3" w:tplc="4BE63E12">
      <w:numFmt w:val="bullet"/>
      <w:lvlText w:val="•"/>
      <w:lvlJc w:val="left"/>
      <w:pPr>
        <w:ind w:left="1872" w:hanging="284"/>
      </w:pPr>
      <w:rPr>
        <w:rFonts w:hint="default"/>
        <w:lang w:val="en-US" w:eastAsia="en-US" w:bidi="ar-SA"/>
      </w:rPr>
    </w:lvl>
    <w:lvl w:ilvl="4" w:tplc="BB16C154">
      <w:numFmt w:val="bullet"/>
      <w:lvlText w:val="•"/>
      <w:lvlJc w:val="left"/>
      <w:pPr>
        <w:ind w:left="2322" w:hanging="284"/>
      </w:pPr>
      <w:rPr>
        <w:rFonts w:hint="default"/>
        <w:lang w:val="en-US" w:eastAsia="en-US" w:bidi="ar-SA"/>
      </w:rPr>
    </w:lvl>
    <w:lvl w:ilvl="5" w:tplc="4EC8C720">
      <w:numFmt w:val="bullet"/>
      <w:lvlText w:val="•"/>
      <w:lvlJc w:val="left"/>
      <w:pPr>
        <w:ind w:left="2773" w:hanging="284"/>
      </w:pPr>
      <w:rPr>
        <w:rFonts w:hint="default"/>
        <w:lang w:val="en-US" w:eastAsia="en-US" w:bidi="ar-SA"/>
      </w:rPr>
    </w:lvl>
    <w:lvl w:ilvl="6" w:tplc="B2DE837C">
      <w:numFmt w:val="bullet"/>
      <w:lvlText w:val="•"/>
      <w:lvlJc w:val="left"/>
      <w:pPr>
        <w:ind w:left="3224" w:hanging="284"/>
      </w:pPr>
      <w:rPr>
        <w:rFonts w:hint="default"/>
        <w:lang w:val="en-US" w:eastAsia="en-US" w:bidi="ar-SA"/>
      </w:rPr>
    </w:lvl>
    <w:lvl w:ilvl="7" w:tplc="97620D1E">
      <w:numFmt w:val="bullet"/>
      <w:lvlText w:val="•"/>
      <w:lvlJc w:val="left"/>
      <w:pPr>
        <w:ind w:left="3674" w:hanging="284"/>
      </w:pPr>
      <w:rPr>
        <w:rFonts w:hint="default"/>
        <w:lang w:val="en-US" w:eastAsia="en-US" w:bidi="ar-SA"/>
      </w:rPr>
    </w:lvl>
    <w:lvl w:ilvl="8" w:tplc="9B023C78">
      <w:numFmt w:val="bullet"/>
      <w:lvlText w:val="•"/>
      <w:lvlJc w:val="left"/>
      <w:pPr>
        <w:ind w:left="4125" w:hanging="284"/>
      </w:pPr>
      <w:rPr>
        <w:rFonts w:hint="default"/>
        <w:lang w:val="en-US" w:eastAsia="en-US" w:bidi="ar-SA"/>
      </w:rPr>
    </w:lvl>
  </w:abstractNum>
  <w:abstractNum w:abstractNumId="103" w15:restartNumberingAfterBreak="0">
    <w:nsid w:val="3E087F45"/>
    <w:multiLevelType w:val="hybridMultilevel"/>
    <w:tmpl w:val="A21A486C"/>
    <w:lvl w:ilvl="0" w:tplc="AE2A054E">
      <w:start w:val="4"/>
      <w:numFmt w:val="decimal"/>
      <w:lvlText w:val="%1"/>
      <w:lvlJc w:val="left"/>
      <w:pPr>
        <w:ind w:left="690" w:hanging="199"/>
        <w:jc w:val="right"/>
      </w:pPr>
      <w:rPr>
        <w:rFonts w:ascii="Arial" w:eastAsia="Arial" w:hAnsi="Arial" w:cs="Arial" w:hint="default"/>
        <w:b w:val="0"/>
        <w:bCs w:val="0"/>
        <w:i w:val="0"/>
        <w:iCs w:val="0"/>
        <w:w w:val="99"/>
        <w:sz w:val="14"/>
        <w:szCs w:val="14"/>
        <w:lang w:val="en-US" w:eastAsia="en-US" w:bidi="ar-SA"/>
      </w:rPr>
    </w:lvl>
    <w:lvl w:ilvl="1" w:tplc="D272E23A">
      <w:numFmt w:val="bullet"/>
      <w:lvlText w:val="•"/>
      <w:lvlJc w:val="left"/>
      <w:pPr>
        <w:ind w:left="1156" w:hanging="199"/>
      </w:pPr>
      <w:rPr>
        <w:rFonts w:hint="default"/>
        <w:lang w:val="en-US" w:eastAsia="en-US" w:bidi="ar-SA"/>
      </w:rPr>
    </w:lvl>
    <w:lvl w:ilvl="2" w:tplc="4D9CB128">
      <w:numFmt w:val="bullet"/>
      <w:lvlText w:val="•"/>
      <w:lvlJc w:val="left"/>
      <w:pPr>
        <w:ind w:left="1613" w:hanging="199"/>
      </w:pPr>
      <w:rPr>
        <w:rFonts w:hint="default"/>
        <w:lang w:val="en-US" w:eastAsia="en-US" w:bidi="ar-SA"/>
      </w:rPr>
    </w:lvl>
    <w:lvl w:ilvl="3" w:tplc="CC58F574">
      <w:numFmt w:val="bullet"/>
      <w:lvlText w:val="•"/>
      <w:lvlJc w:val="left"/>
      <w:pPr>
        <w:ind w:left="2069" w:hanging="199"/>
      </w:pPr>
      <w:rPr>
        <w:rFonts w:hint="default"/>
        <w:lang w:val="en-US" w:eastAsia="en-US" w:bidi="ar-SA"/>
      </w:rPr>
    </w:lvl>
    <w:lvl w:ilvl="4" w:tplc="1B947C34">
      <w:numFmt w:val="bullet"/>
      <w:lvlText w:val="•"/>
      <w:lvlJc w:val="left"/>
      <w:pPr>
        <w:ind w:left="2526" w:hanging="199"/>
      </w:pPr>
      <w:rPr>
        <w:rFonts w:hint="default"/>
        <w:lang w:val="en-US" w:eastAsia="en-US" w:bidi="ar-SA"/>
      </w:rPr>
    </w:lvl>
    <w:lvl w:ilvl="5" w:tplc="7164AD9C">
      <w:numFmt w:val="bullet"/>
      <w:lvlText w:val="•"/>
      <w:lvlJc w:val="left"/>
      <w:pPr>
        <w:ind w:left="2983" w:hanging="199"/>
      </w:pPr>
      <w:rPr>
        <w:rFonts w:hint="default"/>
        <w:lang w:val="en-US" w:eastAsia="en-US" w:bidi="ar-SA"/>
      </w:rPr>
    </w:lvl>
    <w:lvl w:ilvl="6" w:tplc="BBFC307E">
      <w:numFmt w:val="bullet"/>
      <w:lvlText w:val="•"/>
      <w:lvlJc w:val="left"/>
      <w:pPr>
        <w:ind w:left="3439" w:hanging="199"/>
      </w:pPr>
      <w:rPr>
        <w:rFonts w:hint="default"/>
        <w:lang w:val="en-US" w:eastAsia="en-US" w:bidi="ar-SA"/>
      </w:rPr>
    </w:lvl>
    <w:lvl w:ilvl="7" w:tplc="9DEAB8C0">
      <w:numFmt w:val="bullet"/>
      <w:lvlText w:val="•"/>
      <w:lvlJc w:val="left"/>
      <w:pPr>
        <w:ind w:left="3896" w:hanging="199"/>
      </w:pPr>
      <w:rPr>
        <w:rFonts w:hint="default"/>
        <w:lang w:val="en-US" w:eastAsia="en-US" w:bidi="ar-SA"/>
      </w:rPr>
    </w:lvl>
    <w:lvl w:ilvl="8" w:tplc="3B80FDC8">
      <w:numFmt w:val="bullet"/>
      <w:lvlText w:val="•"/>
      <w:lvlJc w:val="left"/>
      <w:pPr>
        <w:ind w:left="4353" w:hanging="199"/>
      </w:pPr>
      <w:rPr>
        <w:rFonts w:hint="default"/>
        <w:lang w:val="en-US" w:eastAsia="en-US" w:bidi="ar-SA"/>
      </w:rPr>
    </w:lvl>
  </w:abstractNum>
  <w:abstractNum w:abstractNumId="104" w15:restartNumberingAfterBreak="0">
    <w:nsid w:val="3E7D0C68"/>
    <w:multiLevelType w:val="hybridMultilevel"/>
    <w:tmpl w:val="37CCEED0"/>
    <w:lvl w:ilvl="0" w:tplc="51E04E14">
      <w:numFmt w:val="bullet"/>
      <w:lvlText w:val="•"/>
      <w:lvlJc w:val="left"/>
      <w:pPr>
        <w:ind w:left="775" w:hanging="284"/>
      </w:pPr>
      <w:rPr>
        <w:rFonts w:ascii="Tahoma" w:eastAsia="Tahoma" w:hAnsi="Tahoma" w:cs="Tahoma" w:hint="default"/>
        <w:b w:val="0"/>
        <w:bCs w:val="0"/>
        <w:i w:val="0"/>
        <w:iCs w:val="0"/>
        <w:w w:val="109"/>
        <w:sz w:val="20"/>
        <w:szCs w:val="20"/>
        <w:lang w:val="en-US" w:eastAsia="en-US" w:bidi="ar-SA"/>
      </w:rPr>
    </w:lvl>
    <w:lvl w:ilvl="1" w:tplc="E4E6F5A6">
      <w:numFmt w:val="bullet"/>
      <w:lvlText w:val="•"/>
      <w:lvlJc w:val="left"/>
      <w:pPr>
        <w:ind w:left="1220" w:hanging="284"/>
      </w:pPr>
      <w:rPr>
        <w:rFonts w:hint="default"/>
        <w:lang w:val="en-US" w:eastAsia="en-US" w:bidi="ar-SA"/>
      </w:rPr>
    </w:lvl>
    <w:lvl w:ilvl="2" w:tplc="9B84C318">
      <w:numFmt w:val="bullet"/>
      <w:lvlText w:val="•"/>
      <w:lvlJc w:val="left"/>
      <w:pPr>
        <w:ind w:left="1660" w:hanging="284"/>
      </w:pPr>
      <w:rPr>
        <w:rFonts w:hint="default"/>
        <w:lang w:val="en-US" w:eastAsia="en-US" w:bidi="ar-SA"/>
      </w:rPr>
    </w:lvl>
    <w:lvl w:ilvl="3" w:tplc="22A2FCAE">
      <w:numFmt w:val="bullet"/>
      <w:lvlText w:val="•"/>
      <w:lvlJc w:val="left"/>
      <w:pPr>
        <w:ind w:left="2100" w:hanging="284"/>
      </w:pPr>
      <w:rPr>
        <w:rFonts w:hint="default"/>
        <w:lang w:val="en-US" w:eastAsia="en-US" w:bidi="ar-SA"/>
      </w:rPr>
    </w:lvl>
    <w:lvl w:ilvl="4" w:tplc="52F84D14">
      <w:numFmt w:val="bullet"/>
      <w:lvlText w:val="•"/>
      <w:lvlJc w:val="left"/>
      <w:pPr>
        <w:ind w:left="2540" w:hanging="284"/>
      </w:pPr>
      <w:rPr>
        <w:rFonts w:hint="default"/>
        <w:lang w:val="en-US" w:eastAsia="en-US" w:bidi="ar-SA"/>
      </w:rPr>
    </w:lvl>
    <w:lvl w:ilvl="5" w:tplc="7E88BCA8">
      <w:numFmt w:val="bullet"/>
      <w:lvlText w:val="•"/>
      <w:lvlJc w:val="left"/>
      <w:pPr>
        <w:ind w:left="2981" w:hanging="284"/>
      </w:pPr>
      <w:rPr>
        <w:rFonts w:hint="default"/>
        <w:lang w:val="en-US" w:eastAsia="en-US" w:bidi="ar-SA"/>
      </w:rPr>
    </w:lvl>
    <w:lvl w:ilvl="6" w:tplc="2E70E2F8">
      <w:numFmt w:val="bullet"/>
      <w:lvlText w:val="•"/>
      <w:lvlJc w:val="left"/>
      <w:pPr>
        <w:ind w:left="3421" w:hanging="284"/>
      </w:pPr>
      <w:rPr>
        <w:rFonts w:hint="default"/>
        <w:lang w:val="en-US" w:eastAsia="en-US" w:bidi="ar-SA"/>
      </w:rPr>
    </w:lvl>
    <w:lvl w:ilvl="7" w:tplc="08865D30">
      <w:numFmt w:val="bullet"/>
      <w:lvlText w:val="•"/>
      <w:lvlJc w:val="left"/>
      <w:pPr>
        <w:ind w:left="3861" w:hanging="284"/>
      </w:pPr>
      <w:rPr>
        <w:rFonts w:hint="default"/>
        <w:lang w:val="en-US" w:eastAsia="en-US" w:bidi="ar-SA"/>
      </w:rPr>
    </w:lvl>
    <w:lvl w:ilvl="8" w:tplc="5EB4985E">
      <w:numFmt w:val="bullet"/>
      <w:lvlText w:val="•"/>
      <w:lvlJc w:val="left"/>
      <w:pPr>
        <w:ind w:left="4301" w:hanging="284"/>
      </w:pPr>
      <w:rPr>
        <w:rFonts w:hint="default"/>
        <w:lang w:val="en-US" w:eastAsia="en-US" w:bidi="ar-SA"/>
      </w:rPr>
    </w:lvl>
  </w:abstractNum>
  <w:abstractNum w:abstractNumId="105" w15:restartNumberingAfterBreak="0">
    <w:nsid w:val="3F8C0D62"/>
    <w:multiLevelType w:val="hybridMultilevel"/>
    <w:tmpl w:val="5610022A"/>
    <w:lvl w:ilvl="0" w:tplc="70F49998">
      <w:numFmt w:val="bullet"/>
      <w:lvlText w:val="•"/>
      <w:lvlJc w:val="left"/>
      <w:pPr>
        <w:ind w:left="224" w:hanging="116"/>
      </w:pPr>
      <w:rPr>
        <w:rFonts w:ascii="Trebuchet MS" w:eastAsia="Trebuchet MS" w:hAnsi="Trebuchet MS" w:cs="Trebuchet MS" w:hint="default"/>
        <w:b w:val="0"/>
        <w:bCs w:val="0"/>
        <w:i w:val="0"/>
        <w:iCs w:val="0"/>
        <w:w w:val="95"/>
        <w:sz w:val="16"/>
        <w:szCs w:val="16"/>
        <w:lang w:val="en-US" w:eastAsia="en-US" w:bidi="ar-SA"/>
      </w:rPr>
    </w:lvl>
    <w:lvl w:ilvl="1" w:tplc="DF1A8932">
      <w:numFmt w:val="bullet"/>
      <w:lvlText w:val="•"/>
      <w:lvlJc w:val="left"/>
      <w:pPr>
        <w:ind w:left="383" w:hanging="116"/>
      </w:pPr>
      <w:rPr>
        <w:rFonts w:hint="default"/>
        <w:lang w:val="en-US" w:eastAsia="en-US" w:bidi="ar-SA"/>
      </w:rPr>
    </w:lvl>
    <w:lvl w:ilvl="2" w:tplc="D9AC2874">
      <w:numFmt w:val="bullet"/>
      <w:lvlText w:val="•"/>
      <w:lvlJc w:val="left"/>
      <w:pPr>
        <w:ind w:left="547" w:hanging="116"/>
      </w:pPr>
      <w:rPr>
        <w:rFonts w:hint="default"/>
        <w:lang w:val="en-US" w:eastAsia="en-US" w:bidi="ar-SA"/>
      </w:rPr>
    </w:lvl>
    <w:lvl w:ilvl="3" w:tplc="504E21C2">
      <w:numFmt w:val="bullet"/>
      <w:lvlText w:val="•"/>
      <w:lvlJc w:val="left"/>
      <w:pPr>
        <w:ind w:left="711" w:hanging="116"/>
      </w:pPr>
      <w:rPr>
        <w:rFonts w:hint="default"/>
        <w:lang w:val="en-US" w:eastAsia="en-US" w:bidi="ar-SA"/>
      </w:rPr>
    </w:lvl>
    <w:lvl w:ilvl="4" w:tplc="841C90FC">
      <w:numFmt w:val="bullet"/>
      <w:lvlText w:val="•"/>
      <w:lvlJc w:val="left"/>
      <w:pPr>
        <w:ind w:left="874" w:hanging="116"/>
      </w:pPr>
      <w:rPr>
        <w:rFonts w:hint="default"/>
        <w:lang w:val="en-US" w:eastAsia="en-US" w:bidi="ar-SA"/>
      </w:rPr>
    </w:lvl>
    <w:lvl w:ilvl="5" w:tplc="87D44362">
      <w:numFmt w:val="bullet"/>
      <w:lvlText w:val="•"/>
      <w:lvlJc w:val="left"/>
      <w:pPr>
        <w:ind w:left="1038" w:hanging="116"/>
      </w:pPr>
      <w:rPr>
        <w:rFonts w:hint="default"/>
        <w:lang w:val="en-US" w:eastAsia="en-US" w:bidi="ar-SA"/>
      </w:rPr>
    </w:lvl>
    <w:lvl w:ilvl="6" w:tplc="8C52B74A">
      <w:numFmt w:val="bullet"/>
      <w:lvlText w:val="•"/>
      <w:lvlJc w:val="left"/>
      <w:pPr>
        <w:ind w:left="1202" w:hanging="116"/>
      </w:pPr>
      <w:rPr>
        <w:rFonts w:hint="default"/>
        <w:lang w:val="en-US" w:eastAsia="en-US" w:bidi="ar-SA"/>
      </w:rPr>
    </w:lvl>
    <w:lvl w:ilvl="7" w:tplc="4984B548">
      <w:numFmt w:val="bullet"/>
      <w:lvlText w:val="•"/>
      <w:lvlJc w:val="left"/>
      <w:pPr>
        <w:ind w:left="1365" w:hanging="116"/>
      </w:pPr>
      <w:rPr>
        <w:rFonts w:hint="default"/>
        <w:lang w:val="en-US" w:eastAsia="en-US" w:bidi="ar-SA"/>
      </w:rPr>
    </w:lvl>
    <w:lvl w:ilvl="8" w:tplc="0C7C56D6">
      <w:numFmt w:val="bullet"/>
      <w:lvlText w:val="•"/>
      <w:lvlJc w:val="left"/>
      <w:pPr>
        <w:ind w:left="1529" w:hanging="116"/>
      </w:pPr>
      <w:rPr>
        <w:rFonts w:hint="default"/>
        <w:lang w:val="en-US" w:eastAsia="en-US" w:bidi="ar-SA"/>
      </w:rPr>
    </w:lvl>
  </w:abstractNum>
  <w:abstractNum w:abstractNumId="106" w15:restartNumberingAfterBreak="0">
    <w:nsid w:val="3FAE3033"/>
    <w:multiLevelType w:val="hybridMultilevel"/>
    <w:tmpl w:val="AB06B9B8"/>
    <w:lvl w:ilvl="0" w:tplc="67A822A4">
      <w:numFmt w:val="bullet"/>
      <w:lvlText w:val="–"/>
      <w:lvlJc w:val="left"/>
      <w:pPr>
        <w:ind w:left="151" w:hanging="96"/>
      </w:pPr>
      <w:rPr>
        <w:rFonts w:ascii="Arial" w:eastAsia="Arial" w:hAnsi="Arial" w:cs="Arial" w:hint="default"/>
        <w:b w:val="0"/>
        <w:bCs w:val="0"/>
        <w:i w:val="0"/>
        <w:iCs w:val="0"/>
        <w:w w:val="89"/>
        <w:sz w:val="14"/>
        <w:szCs w:val="14"/>
        <w:lang w:val="en-US" w:eastAsia="en-US" w:bidi="ar-SA"/>
      </w:rPr>
    </w:lvl>
    <w:lvl w:ilvl="1" w:tplc="5EAED484">
      <w:numFmt w:val="bullet"/>
      <w:lvlText w:val="•"/>
      <w:lvlJc w:val="left"/>
      <w:pPr>
        <w:ind w:left="302" w:hanging="96"/>
      </w:pPr>
      <w:rPr>
        <w:rFonts w:hint="default"/>
        <w:lang w:val="en-US" w:eastAsia="en-US" w:bidi="ar-SA"/>
      </w:rPr>
    </w:lvl>
    <w:lvl w:ilvl="2" w:tplc="44C46B5A">
      <w:numFmt w:val="bullet"/>
      <w:lvlText w:val="•"/>
      <w:lvlJc w:val="left"/>
      <w:pPr>
        <w:ind w:left="445" w:hanging="96"/>
      </w:pPr>
      <w:rPr>
        <w:rFonts w:hint="default"/>
        <w:lang w:val="en-US" w:eastAsia="en-US" w:bidi="ar-SA"/>
      </w:rPr>
    </w:lvl>
    <w:lvl w:ilvl="3" w:tplc="BDBEC094">
      <w:numFmt w:val="bullet"/>
      <w:lvlText w:val="•"/>
      <w:lvlJc w:val="left"/>
      <w:pPr>
        <w:ind w:left="588" w:hanging="96"/>
      </w:pPr>
      <w:rPr>
        <w:rFonts w:hint="default"/>
        <w:lang w:val="en-US" w:eastAsia="en-US" w:bidi="ar-SA"/>
      </w:rPr>
    </w:lvl>
    <w:lvl w:ilvl="4" w:tplc="86C83938">
      <w:numFmt w:val="bullet"/>
      <w:lvlText w:val="•"/>
      <w:lvlJc w:val="left"/>
      <w:pPr>
        <w:ind w:left="730" w:hanging="96"/>
      </w:pPr>
      <w:rPr>
        <w:rFonts w:hint="default"/>
        <w:lang w:val="en-US" w:eastAsia="en-US" w:bidi="ar-SA"/>
      </w:rPr>
    </w:lvl>
    <w:lvl w:ilvl="5" w:tplc="ABF8F268">
      <w:numFmt w:val="bullet"/>
      <w:lvlText w:val="•"/>
      <w:lvlJc w:val="left"/>
      <w:pPr>
        <w:ind w:left="873" w:hanging="96"/>
      </w:pPr>
      <w:rPr>
        <w:rFonts w:hint="default"/>
        <w:lang w:val="en-US" w:eastAsia="en-US" w:bidi="ar-SA"/>
      </w:rPr>
    </w:lvl>
    <w:lvl w:ilvl="6" w:tplc="1A4423BC">
      <w:numFmt w:val="bullet"/>
      <w:lvlText w:val="•"/>
      <w:lvlJc w:val="left"/>
      <w:pPr>
        <w:ind w:left="1016" w:hanging="96"/>
      </w:pPr>
      <w:rPr>
        <w:rFonts w:hint="default"/>
        <w:lang w:val="en-US" w:eastAsia="en-US" w:bidi="ar-SA"/>
      </w:rPr>
    </w:lvl>
    <w:lvl w:ilvl="7" w:tplc="487AF5A4">
      <w:numFmt w:val="bullet"/>
      <w:lvlText w:val="•"/>
      <w:lvlJc w:val="left"/>
      <w:pPr>
        <w:ind w:left="1159" w:hanging="96"/>
      </w:pPr>
      <w:rPr>
        <w:rFonts w:hint="default"/>
        <w:lang w:val="en-US" w:eastAsia="en-US" w:bidi="ar-SA"/>
      </w:rPr>
    </w:lvl>
    <w:lvl w:ilvl="8" w:tplc="1FAEA7CA">
      <w:numFmt w:val="bullet"/>
      <w:lvlText w:val="•"/>
      <w:lvlJc w:val="left"/>
      <w:pPr>
        <w:ind w:left="1301" w:hanging="96"/>
      </w:pPr>
      <w:rPr>
        <w:rFonts w:hint="default"/>
        <w:lang w:val="en-US" w:eastAsia="en-US" w:bidi="ar-SA"/>
      </w:rPr>
    </w:lvl>
  </w:abstractNum>
  <w:abstractNum w:abstractNumId="107" w15:restartNumberingAfterBreak="0">
    <w:nsid w:val="40204AF1"/>
    <w:multiLevelType w:val="hybridMultilevel"/>
    <w:tmpl w:val="77FC7578"/>
    <w:lvl w:ilvl="0" w:tplc="1A020E32">
      <w:numFmt w:val="bullet"/>
      <w:lvlText w:val="•"/>
      <w:lvlJc w:val="left"/>
      <w:pPr>
        <w:ind w:left="207" w:hanging="100"/>
      </w:pPr>
      <w:rPr>
        <w:rFonts w:ascii="Tahoma" w:eastAsia="Tahoma" w:hAnsi="Tahoma" w:cs="Tahoma" w:hint="default"/>
        <w:w w:val="109"/>
        <w:lang w:val="en-US" w:eastAsia="en-US" w:bidi="ar-SA"/>
      </w:rPr>
    </w:lvl>
    <w:lvl w:ilvl="1" w:tplc="DBEA389C">
      <w:numFmt w:val="bullet"/>
      <w:lvlText w:val="•"/>
      <w:lvlJc w:val="left"/>
      <w:pPr>
        <w:ind w:left="607" w:hanging="100"/>
      </w:pPr>
      <w:rPr>
        <w:rFonts w:hint="default"/>
        <w:lang w:val="en-US" w:eastAsia="en-US" w:bidi="ar-SA"/>
      </w:rPr>
    </w:lvl>
    <w:lvl w:ilvl="2" w:tplc="31CA8C22">
      <w:numFmt w:val="bullet"/>
      <w:lvlText w:val="•"/>
      <w:lvlJc w:val="left"/>
      <w:pPr>
        <w:ind w:left="1015" w:hanging="100"/>
      </w:pPr>
      <w:rPr>
        <w:rFonts w:hint="default"/>
        <w:lang w:val="en-US" w:eastAsia="en-US" w:bidi="ar-SA"/>
      </w:rPr>
    </w:lvl>
    <w:lvl w:ilvl="3" w:tplc="9DC4FE38">
      <w:numFmt w:val="bullet"/>
      <w:lvlText w:val="•"/>
      <w:lvlJc w:val="left"/>
      <w:pPr>
        <w:ind w:left="1423" w:hanging="100"/>
      </w:pPr>
      <w:rPr>
        <w:rFonts w:hint="default"/>
        <w:lang w:val="en-US" w:eastAsia="en-US" w:bidi="ar-SA"/>
      </w:rPr>
    </w:lvl>
    <w:lvl w:ilvl="4" w:tplc="549C80D0">
      <w:numFmt w:val="bullet"/>
      <w:lvlText w:val="•"/>
      <w:lvlJc w:val="left"/>
      <w:pPr>
        <w:ind w:left="1831" w:hanging="100"/>
      </w:pPr>
      <w:rPr>
        <w:rFonts w:hint="default"/>
        <w:lang w:val="en-US" w:eastAsia="en-US" w:bidi="ar-SA"/>
      </w:rPr>
    </w:lvl>
    <w:lvl w:ilvl="5" w:tplc="2DDE0770">
      <w:numFmt w:val="bullet"/>
      <w:lvlText w:val="•"/>
      <w:lvlJc w:val="left"/>
      <w:pPr>
        <w:ind w:left="2239" w:hanging="100"/>
      </w:pPr>
      <w:rPr>
        <w:rFonts w:hint="default"/>
        <w:lang w:val="en-US" w:eastAsia="en-US" w:bidi="ar-SA"/>
      </w:rPr>
    </w:lvl>
    <w:lvl w:ilvl="6" w:tplc="C0C6EA34">
      <w:numFmt w:val="bullet"/>
      <w:lvlText w:val="•"/>
      <w:lvlJc w:val="left"/>
      <w:pPr>
        <w:ind w:left="2646" w:hanging="100"/>
      </w:pPr>
      <w:rPr>
        <w:rFonts w:hint="default"/>
        <w:lang w:val="en-US" w:eastAsia="en-US" w:bidi="ar-SA"/>
      </w:rPr>
    </w:lvl>
    <w:lvl w:ilvl="7" w:tplc="8DC8C756">
      <w:numFmt w:val="bullet"/>
      <w:lvlText w:val="•"/>
      <w:lvlJc w:val="left"/>
      <w:pPr>
        <w:ind w:left="3054" w:hanging="100"/>
      </w:pPr>
      <w:rPr>
        <w:rFonts w:hint="default"/>
        <w:lang w:val="en-US" w:eastAsia="en-US" w:bidi="ar-SA"/>
      </w:rPr>
    </w:lvl>
    <w:lvl w:ilvl="8" w:tplc="C6A67D34">
      <w:numFmt w:val="bullet"/>
      <w:lvlText w:val="•"/>
      <w:lvlJc w:val="left"/>
      <w:pPr>
        <w:ind w:left="3462" w:hanging="100"/>
      </w:pPr>
      <w:rPr>
        <w:rFonts w:hint="default"/>
        <w:lang w:val="en-US" w:eastAsia="en-US" w:bidi="ar-SA"/>
      </w:rPr>
    </w:lvl>
  </w:abstractNum>
  <w:abstractNum w:abstractNumId="108" w15:restartNumberingAfterBreak="0">
    <w:nsid w:val="407D4928"/>
    <w:multiLevelType w:val="multilevel"/>
    <w:tmpl w:val="16E82A84"/>
    <w:lvl w:ilvl="0">
      <w:start w:val="14"/>
      <w:numFmt w:val="decimal"/>
      <w:lvlText w:val="%1"/>
      <w:lvlJc w:val="left"/>
      <w:pPr>
        <w:ind w:left="1907" w:hanging="1416"/>
        <w:jc w:val="left"/>
      </w:pPr>
      <w:rPr>
        <w:rFonts w:hint="default"/>
        <w:lang w:val="en-US" w:eastAsia="en-US" w:bidi="ar-SA"/>
      </w:rPr>
    </w:lvl>
    <w:lvl w:ilvl="1">
      <w:start w:val="2"/>
      <w:numFmt w:val="decimal"/>
      <w:lvlText w:val="%1.%2"/>
      <w:lvlJc w:val="left"/>
      <w:pPr>
        <w:ind w:left="1907" w:hanging="1416"/>
        <w:jc w:val="left"/>
      </w:pPr>
      <w:rPr>
        <w:rFonts w:ascii="Trebuchet MS" w:eastAsia="Trebuchet MS" w:hAnsi="Trebuchet MS" w:cs="Trebuchet MS" w:hint="default"/>
        <w:b w:val="0"/>
        <w:bCs w:val="0"/>
        <w:i w:val="0"/>
        <w:iCs w:val="0"/>
        <w:color w:val="2E3092"/>
        <w:spacing w:val="-33"/>
        <w:w w:val="53"/>
        <w:sz w:val="112"/>
        <w:szCs w:val="112"/>
        <w:lang w:val="en-US" w:eastAsia="en-US" w:bidi="ar-SA"/>
      </w:rPr>
    </w:lvl>
    <w:lvl w:ilvl="2">
      <w:start w:val="1"/>
      <w:numFmt w:val="decimal"/>
      <w:lvlText w:val="%1.%2.%3"/>
      <w:lvlJc w:val="left"/>
      <w:pPr>
        <w:ind w:left="1086" w:hanging="595"/>
        <w:jc w:val="right"/>
      </w:pPr>
      <w:rPr>
        <w:rFonts w:ascii="Arial" w:eastAsia="Arial" w:hAnsi="Arial" w:cs="Arial" w:hint="default"/>
        <w:b/>
        <w:bCs/>
        <w:i w:val="0"/>
        <w:iCs w:val="0"/>
        <w:color w:val="00AEEF"/>
        <w:spacing w:val="-3"/>
        <w:w w:val="99"/>
        <w:sz w:val="20"/>
        <w:szCs w:val="20"/>
        <w:lang w:val="en-US" w:eastAsia="en-US" w:bidi="ar-SA"/>
      </w:rPr>
    </w:lvl>
    <w:lvl w:ilvl="3">
      <w:numFmt w:val="bullet"/>
      <w:lvlText w:val="•"/>
      <w:lvlJc w:val="left"/>
      <w:pPr>
        <w:ind w:left="775" w:hanging="284"/>
      </w:pPr>
      <w:rPr>
        <w:rFonts w:ascii="Tahoma" w:eastAsia="Tahoma" w:hAnsi="Tahoma" w:cs="Tahoma" w:hint="default"/>
        <w:b w:val="0"/>
        <w:bCs w:val="0"/>
        <w:i w:val="0"/>
        <w:iCs w:val="0"/>
        <w:w w:val="109"/>
        <w:sz w:val="20"/>
        <w:szCs w:val="20"/>
        <w:lang w:val="en-US" w:eastAsia="en-US" w:bidi="ar-SA"/>
      </w:rPr>
    </w:lvl>
    <w:lvl w:ilvl="4">
      <w:numFmt w:val="bullet"/>
      <w:lvlText w:val="•"/>
      <w:lvlJc w:val="left"/>
      <w:pPr>
        <w:ind w:left="2745" w:hanging="284"/>
      </w:pPr>
      <w:rPr>
        <w:rFonts w:hint="default"/>
        <w:lang w:val="en-US" w:eastAsia="en-US" w:bidi="ar-SA"/>
      </w:rPr>
    </w:lvl>
    <w:lvl w:ilvl="5">
      <w:numFmt w:val="bullet"/>
      <w:lvlText w:val="•"/>
      <w:lvlJc w:val="left"/>
      <w:pPr>
        <w:ind w:left="3168" w:hanging="284"/>
      </w:pPr>
      <w:rPr>
        <w:rFonts w:hint="default"/>
        <w:lang w:val="en-US" w:eastAsia="en-US" w:bidi="ar-SA"/>
      </w:rPr>
    </w:lvl>
    <w:lvl w:ilvl="6">
      <w:numFmt w:val="bullet"/>
      <w:lvlText w:val="•"/>
      <w:lvlJc w:val="left"/>
      <w:pPr>
        <w:ind w:left="3591" w:hanging="284"/>
      </w:pPr>
      <w:rPr>
        <w:rFonts w:hint="default"/>
        <w:lang w:val="en-US" w:eastAsia="en-US" w:bidi="ar-SA"/>
      </w:rPr>
    </w:lvl>
    <w:lvl w:ilvl="7">
      <w:numFmt w:val="bullet"/>
      <w:lvlText w:val="•"/>
      <w:lvlJc w:val="left"/>
      <w:pPr>
        <w:ind w:left="4014" w:hanging="284"/>
      </w:pPr>
      <w:rPr>
        <w:rFonts w:hint="default"/>
        <w:lang w:val="en-US" w:eastAsia="en-US" w:bidi="ar-SA"/>
      </w:rPr>
    </w:lvl>
    <w:lvl w:ilvl="8">
      <w:numFmt w:val="bullet"/>
      <w:lvlText w:val="•"/>
      <w:lvlJc w:val="left"/>
      <w:pPr>
        <w:ind w:left="4437" w:hanging="284"/>
      </w:pPr>
      <w:rPr>
        <w:rFonts w:hint="default"/>
        <w:lang w:val="en-US" w:eastAsia="en-US" w:bidi="ar-SA"/>
      </w:rPr>
    </w:lvl>
  </w:abstractNum>
  <w:abstractNum w:abstractNumId="109" w15:restartNumberingAfterBreak="0">
    <w:nsid w:val="41B6272D"/>
    <w:multiLevelType w:val="hybridMultilevel"/>
    <w:tmpl w:val="29CE4FF8"/>
    <w:lvl w:ilvl="0" w:tplc="4A9A8890">
      <w:start w:val="1"/>
      <w:numFmt w:val="decimal"/>
      <w:lvlText w:val="%1"/>
      <w:lvlJc w:val="left"/>
      <w:pPr>
        <w:ind w:left="208" w:hanging="209"/>
        <w:jc w:val="left"/>
      </w:pPr>
      <w:rPr>
        <w:rFonts w:ascii="Arial" w:eastAsia="Arial" w:hAnsi="Arial" w:cs="Arial" w:hint="default"/>
        <w:b/>
        <w:bCs/>
        <w:i w:val="0"/>
        <w:iCs w:val="0"/>
        <w:w w:val="99"/>
        <w:sz w:val="14"/>
        <w:szCs w:val="14"/>
        <w:lang w:val="en-US" w:eastAsia="en-US" w:bidi="ar-SA"/>
      </w:rPr>
    </w:lvl>
    <w:lvl w:ilvl="1" w:tplc="774ADA98">
      <w:numFmt w:val="bullet"/>
      <w:lvlText w:val="•"/>
      <w:lvlJc w:val="left"/>
      <w:pPr>
        <w:ind w:left="354" w:hanging="209"/>
      </w:pPr>
      <w:rPr>
        <w:rFonts w:hint="default"/>
        <w:lang w:val="en-US" w:eastAsia="en-US" w:bidi="ar-SA"/>
      </w:rPr>
    </w:lvl>
    <w:lvl w:ilvl="2" w:tplc="8F94922A">
      <w:numFmt w:val="bullet"/>
      <w:lvlText w:val="•"/>
      <w:lvlJc w:val="left"/>
      <w:pPr>
        <w:ind w:left="508" w:hanging="209"/>
      </w:pPr>
      <w:rPr>
        <w:rFonts w:hint="default"/>
        <w:lang w:val="en-US" w:eastAsia="en-US" w:bidi="ar-SA"/>
      </w:rPr>
    </w:lvl>
    <w:lvl w:ilvl="3" w:tplc="D1A414D6">
      <w:numFmt w:val="bullet"/>
      <w:lvlText w:val="•"/>
      <w:lvlJc w:val="left"/>
      <w:pPr>
        <w:ind w:left="663" w:hanging="209"/>
      </w:pPr>
      <w:rPr>
        <w:rFonts w:hint="default"/>
        <w:lang w:val="en-US" w:eastAsia="en-US" w:bidi="ar-SA"/>
      </w:rPr>
    </w:lvl>
    <w:lvl w:ilvl="4" w:tplc="B740A3B4">
      <w:numFmt w:val="bullet"/>
      <w:lvlText w:val="•"/>
      <w:lvlJc w:val="left"/>
      <w:pPr>
        <w:ind w:left="817" w:hanging="209"/>
      </w:pPr>
      <w:rPr>
        <w:rFonts w:hint="default"/>
        <w:lang w:val="en-US" w:eastAsia="en-US" w:bidi="ar-SA"/>
      </w:rPr>
    </w:lvl>
    <w:lvl w:ilvl="5" w:tplc="A41422AE">
      <w:numFmt w:val="bullet"/>
      <w:lvlText w:val="•"/>
      <w:lvlJc w:val="left"/>
      <w:pPr>
        <w:ind w:left="972" w:hanging="209"/>
      </w:pPr>
      <w:rPr>
        <w:rFonts w:hint="default"/>
        <w:lang w:val="en-US" w:eastAsia="en-US" w:bidi="ar-SA"/>
      </w:rPr>
    </w:lvl>
    <w:lvl w:ilvl="6" w:tplc="B33CA84E">
      <w:numFmt w:val="bullet"/>
      <w:lvlText w:val="•"/>
      <w:lvlJc w:val="left"/>
      <w:pPr>
        <w:ind w:left="1126" w:hanging="209"/>
      </w:pPr>
      <w:rPr>
        <w:rFonts w:hint="default"/>
        <w:lang w:val="en-US" w:eastAsia="en-US" w:bidi="ar-SA"/>
      </w:rPr>
    </w:lvl>
    <w:lvl w:ilvl="7" w:tplc="372E46C2">
      <w:numFmt w:val="bullet"/>
      <w:lvlText w:val="•"/>
      <w:lvlJc w:val="left"/>
      <w:pPr>
        <w:ind w:left="1281" w:hanging="209"/>
      </w:pPr>
      <w:rPr>
        <w:rFonts w:hint="default"/>
        <w:lang w:val="en-US" w:eastAsia="en-US" w:bidi="ar-SA"/>
      </w:rPr>
    </w:lvl>
    <w:lvl w:ilvl="8" w:tplc="FB2EE016">
      <w:numFmt w:val="bullet"/>
      <w:lvlText w:val="•"/>
      <w:lvlJc w:val="left"/>
      <w:pPr>
        <w:ind w:left="1435" w:hanging="209"/>
      </w:pPr>
      <w:rPr>
        <w:rFonts w:hint="default"/>
        <w:lang w:val="en-US" w:eastAsia="en-US" w:bidi="ar-SA"/>
      </w:rPr>
    </w:lvl>
  </w:abstractNum>
  <w:abstractNum w:abstractNumId="110" w15:restartNumberingAfterBreak="0">
    <w:nsid w:val="433F1920"/>
    <w:multiLevelType w:val="multilevel"/>
    <w:tmpl w:val="8064052C"/>
    <w:lvl w:ilvl="0">
      <w:start w:val="5"/>
      <w:numFmt w:val="decimal"/>
      <w:lvlText w:val="%1"/>
      <w:lvlJc w:val="left"/>
      <w:pPr>
        <w:ind w:left="883" w:hanging="486"/>
        <w:jc w:val="left"/>
      </w:pPr>
      <w:rPr>
        <w:rFonts w:hint="default"/>
        <w:lang w:val="en-US" w:eastAsia="en-US" w:bidi="ar-SA"/>
      </w:rPr>
    </w:lvl>
    <w:lvl w:ilvl="1">
      <w:start w:val="2"/>
      <w:numFmt w:val="decimal"/>
      <w:lvlText w:val="%1.%2"/>
      <w:lvlJc w:val="left"/>
      <w:pPr>
        <w:ind w:left="883" w:hanging="486"/>
        <w:jc w:val="left"/>
      </w:pPr>
      <w:rPr>
        <w:rFonts w:hint="default"/>
        <w:lang w:val="en-US" w:eastAsia="en-US" w:bidi="ar-SA"/>
      </w:rPr>
    </w:lvl>
    <w:lvl w:ilvl="2">
      <w:start w:val="1"/>
      <w:numFmt w:val="decimal"/>
      <w:lvlText w:val="%1.%2.%3"/>
      <w:lvlJc w:val="left"/>
      <w:pPr>
        <w:ind w:left="883" w:hanging="486"/>
        <w:jc w:val="right"/>
      </w:pPr>
      <w:rPr>
        <w:rFonts w:ascii="Arial" w:eastAsia="Arial" w:hAnsi="Arial" w:cs="Arial" w:hint="default"/>
        <w:b/>
        <w:bCs/>
        <w:i w:val="0"/>
        <w:iCs w:val="0"/>
        <w:color w:val="EC008C"/>
        <w:spacing w:val="-3"/>
        <w:w w:val="99"/>
        <w:sz w:val="20"/>
        <w:szCs w:val="20"/>
        <w:lang w:val="en-US" w:eastAsia="en-US" w:bidi="ar-SA"/>
      </w:rPr>
    </w:lvl>
    <w:lvl w:ilvl="3">
      <w:numFmt w:val="bullet"/>
      <w:lvlText w:val="•"/>
      <w:lvlJc w:val="left"/>
      <w:pPr>
        <w:ind w:left="2043" w:hanging="486"/>
      </w:pPr>
      <w:rPr>
        <w:rFonts w:hint="default"/>
        <w:lang w:val="en-US" w:eastAsia="en-US" w:bidi="ar-SA"/>
      </w:rPr>
    </w:lvl>
    <w:lvl w:ilvl="4">
      <w:numFmt w:val="bullet"/>
      <w:lvlText w:val="•"/>
      <w:lvlJc w:val="left"/>
      <w:pPr>
        <w:ind w:left="2431" w:hanging="486"/>
      </w:pPr>
      <w:rPr>
        <w:rFonts w:hint="default"/>
        <w:lang w:val="en-US" w:eastAsia="en-US" w:bidi="ar-SA"/>
      </w:rPr>
    </w:lvl>
    <w:lvl w:ilvl="5">
      <w:numFmt w:val="bullet"/>
      <w:lvlText w:val="•"/>
      <w:lvlJc w:val="left"/>
      <w:pPr>
        <w:ind w:left="2819" w:hanging="486"/>
      </w:pPr>
      <w:rPr>
        <w:rFonts w:hint="default"/>
        <w:lang w:val="en-US" w:eastAsia="en-US" w:bidi="ar-SA"/>
      </w:rPr>
    </w:lvl>
    <w:lvl w:ilvl="6">
      <w:numFmt w:val="bullet"/>
      <w:lvlText w:val="•"/>
      <w:lvlJc w:val="left"/>
      <w:pPr>
        <w:ind w:left="3207" w:hanging="486"/>
      </w:pPr>
      <w:rPr>
        <w:rFonts w:hint="default"/>
        <w:lang w:val="en-US" w:eastAsia="en-US" w:bidi="ar-SA"/>
      </w:rPr>
    </w:lvl>
    <w:lvl w:ilvl="7">
      <w:numFmt w:val="bullet"/>
      <w:lvlText w:val="•"/>
      <w:lvlJc w:val="left"/>
      <w:pPr>
        <w:ind w:left="3595" w:hanging="486"/>
      </w:pPr>
      <w:rPr>
        <w:rFonts w:hint="default"/>
        <w:lang w:val="en-US" w:eastAsia="en-US" w:bidi="ar-SA"/>
      </w:rPr>
    </w:lvl>
    <w:lvl w:ilvl="8">
      <w:numFmt w:val="bullet"/>
      <w:lvlText w:val="•"/>
      <w:lvlJc w:val="left"/>
      <w:pPr>
        <w:ind w:left="3983" w:hanging="486"/>
      </w:pPr>
      <w:rPr>
        <w:rFonts w:hint="default"/>
        <w:lang w:val="en-US" w:eastAsia="en-US" w:bidi="ar-SA"/>
      </w:rPr>
    </w:lvl>
  </w:abstractNum>
  <w:abstractNum w:abstractNumId="111" w15:restartNumberingAfterBreak="0">
    <w:nsid w:val="441517B9"/>
    <w:multiLevelType w:val="hybridMultilevel"/>
    <w:tmpl w:val="903A813E"/>
    <w:lvl w:ilvl="0" w:tplc="A59CD12E">
      <w:numFmt w:val="bullet"/>
      <w:lvlText w:val="–"/>
      <w:lvlJc w:val="left"/>
      <w:pPr>
        <w:ind w:left="186" w:hanging="122"/>
      </w:pPr>
      <w:rPr>
        <w:rFonts w:ascii="Arial" w:eastAsia="Arial" w:hAnsi="Arial" w:cs="Arial" w:hint="default"/>
        <w:b w:val="0"/>
        <w:bCs w:val="0"/>
        <w:i w:val="0"/>
        <w:iCs w:val="0"/>
        <w:w w:val="89"/>
        <w:sz w:val="16"/>
        <w:szCs w:val="16"/>
        <w:lang w:val="en-US" w:eastAsia="en-US" w:bidi="ar-SA"/>
      </w:rPr>
    </w:lvl>
    <w:lvl w:ilvl="1" w:tplc="4C245D70">
      <w:numFmt w:val="bullet"/>
      <w:lvlText w:val="•"/>
      <w:lvlJc w:val="left"/>
      <w:pPr>
        <w:ind w:left="376" w:hanging="122"/>
      </w:pPr>
      <w:rPr>
        <w:rFonts w:hint="default"/>
        <w:lang w:val="en-US" w:eastAsia="en-US" w:bidi="ar-SA"/>
      </w:rPr>
    </w:lvl>
    <w:lvl w:ilvl="2" w:tplc="23A031DC">
      <w:numFmt w:val="bullet"/>
      <w:lvlText w:val="•"/>
      <w:lvlJc w:val="left"/>
      <w:pPr>
        <w:ind w:left="573" w:hanging="122"/>
      </w:pPr>
      <w:rPr>
        <w:rFonts w:hint="default"/>
        <w:lang w:val="en-US" w:eastAsia="en-US" w:bidi="ar-SA"/>
      </w:rPr>
    </w:lvl>
    <w:lvl w:ilvl="3" w:tplc="29BEBAC2">
      <w:numFmt w:val="bullet"/>
      <w:lvlText w:val="•"/>
      <w:lvlJc w:val="left"/>
      <w:pPr>
        <w:ind w:left="770" w:hanging="122"/>
      </w:pPr>
      <w:rPr>
        <w:rFonts w:hint="default"/>
        <w:lang w:val="en-US" w:eastAsia="en-US" w:bidi="ar-SA"/>
      </w:rPr>
    </w:lvl>
    <w:lvl w:ilvl="4" w:tplc="1752F3C8">
      <w:numFmt w:val="bullet"/>
      <w:lvlText w:val="•"/>
      <w:lvlJc w:val="left"/>
      <w:pPr>
        <w:ind w:left="967" w:hanging="122"/>
      </w:pPr>
      <w:rPr>
        <w:rFonts w:hint="default"/>
        <w:lang w:val="en-US" w:eastAsia="en-US" w:bidi="ar-SA"/>
      </w:rPr>
    </w:lvl>
    <w:lvl w:ilvl="5" w:tplc="F758981A">
      <w:numFmt w:val="bullet"/>
      <w:lvlText w:val="•"/>
      <w:lvlJc w:val="left"/>
      <w:pPr>
        <w:ind w:left="1164" w:hanging="122"/>
      </w:pPr>
      <w:rPr>
        <w:rFonts w:hint="default"/>
        <w:lang w:val="en-US" w:eastAsia="en-US" w:bidi="ar-SA"/>
      </w:rPr>
    </w:lvl>
    <w:lvl w:ilvl="6" w:tplc="94D675B0">
      <w:numFmt w:val="bullet"/>
      <w:lvlText w:val="•"/>
      <w:lvlJc w:val="left"/>
      <w:pPr>
        <w:ind w:left="1360" w:hanging="122"/>
      </w:pPr>
      <w:rPr>
        <w:rFonts w:hint="default"/>
        <w:lang w:val="en-US" w:eastAsia="en-US" w:bidi="ar-SA"/>
      </w:rPr>
    </w:lvl>
    <w:lvl w:ilvl="7" w:tplc="6A9411E8">
      <w:numFmt w:val="bullet"/>
      <w:lvlText w:val="•"/>
      <w:lvlJc w:val="left"/>
      <w:pPr>
        <w:ind w:left="1557" w:hanging="122"/>
      </w:pPr>
      <w:rPr>
        <w:rFonts w:hint="default"/>
        <w:lang w:val="en-US" w:eastAsia="en-US" w:bidi="ar-SA"/>
      </w:rPr>
    </w:lvl>
    <w:lvl w:ilvl="8" w:tplc="3EB89DC0">
      <w:numFmt w:val="bullet"/>
      <w:lvlText w:val="•"/>
      <w:lvlJc w:val="left"/>
      <w:pPr>
        <w:ind w:left="1754" w:hanging="122"/>
      </w:pPr>
      <w:rPr>
        <w:rFonts w:hint="default"/>
        <w:lang w:val="en-US" w:eastAsia="en-US" w:bidi="ar-SA"/>
      </w:rPr>
    </w:lvl>
  </w:abstractNum>
  <w:abstractNum w:abstractNumId="112" w15:restartNumberingAfterBreak="0">
    <w:nsid w:val="44A64F4B"/>
    <w:multiLevelType w:val="hybridMultilevel"/>
    <w:tmpl w:val="512EE280"/>
    <w:lvl w:ilvl="0" w:tplc="D1BE2370">
      <w:numFmt w:val="bullet"/>
      <w:lvlText w:val="•"/>
      <w:lvlJc w:val="left"/>
      <w:pPr>
        <w:ind w:left="597" w:hanging="284"/>
      </w:pPr>
      <w:rPr>
        <w:rFonts w:ascii="Tahoma" w:eastAsia="Tahoma" w:hAnsi="Tahoma" w:cs="Tahoma" w:hint="default"/>
        <w:b w:val="0"/>
        <w:bCs w:val="0"/>
        <w:i w:val="0"/>
        <w:iCs w:val="0"/>
        <w:w w:val="109"/>
        <w:sz w:val="20"/>
        <w:szCs w:val="20"/>
        <w:lang w:val="en-US" w:eastAsia="en-US" w:bidi="ar-SA"/>
      </w:rPr>
    </w:lvl>
    <w:lvl w:ilvl="1" w:tplc="04940604">
      <w:start w:val="1"/>
      <w:numFmt w:val="decimal"/>
      <w:lvlText w:val="%2"/>
      <w:lvlJc w:val="left"/>
      <w:pPr>
        <w:ind w:left="10744" w:hanging="199"/>
        <w:jc w:val="right"/>
      </w:pPr>
      <w:rPr>
        <w:rFonts w:ascii="Arial" w:eastAsia="Arial" w:hAnsi="Arial" w:cs="Arial" w:hint="default"/>
        <w:b w:val="0"/>
        <w:bCs w:val="0"/>
        <w:i w:val="0"/>
        <w:iCs w:val="0"/>
        <w:w w:val="99"/>
        <w:sz w:val="14"/>
        <w:szCs w:val="14"/>
        <w:lang w:val="en-US" w:eastAsia="en-US" w:bidi="ar-SA"/>
      </w:rPr>
    </w:lvl>
    <w:lvl w:ilvl="2" w:tplc="26BEC874">
      <w:numFmt w:val="bullet"/>
      <w:lvlText w:val="•"/>
      <w:lvlJc w:val="left"/>
      <w:pPr>
        <w:ind w:left="10193" w:hanging="199"/>
      </w:pPr>
      <w:rPr>
        <w:rFonts w:hint="default"/>
        <w:lang w:val="en-US" w:eastAsia="en-US" w:bidi="ar-SA"/>
      </w:rPr>
    </w:lvl>
    <w:lvl w:ilvl="3" w:tplc="880815C6">
      <w:numFmt w:val="bullet"/>
      <w:lvlText w:val="•"/>
      <w:lvlJc w:val="left"/>
      <w:pPr>
        <w:ind w:left="9647" w:hanging="199"/>
      </w:pPr>
      <w:rPr>
        <w:rFonts w:hint="default"/>
        <w:lang w:val="en-US" w:eastAsia="en-US" w:bidi="ar-SA"/>
      </w:rPr>
    </w:lvl>
    <w:lvl w:ilvl="4" w:tplc="B21A1968">
      <w:numFmt w:val="bullet"/>
      <w:lvlText w:val="•"/>
      <w:lvlJc w:val="left"/>
      <w:pPr>
        <w:ind w:left="9101" w:hanging="199"/>
      </w:pPr>
      <w:rPr>
        <w:rFonts w:hint="default"/>
        <w:lang w:val="en-US" w:eastAsia="en-US" w:bidi="ar-SA"/>
      </w:rPr>
    </w:lvl>
    <w:lvl w:ilvl="5" w:tplc="2C089228">
      <w:numFmt w:val="bullet"/>
      <w:lvlText w:val="•"/>
      <w:lvlJc w:val="left"/>
      <w:pPr>
        <w:ind w:left="8555" w:hanging="199"/>
      </w:pPr>
      <w:rPr>
        <w:rFonts w:hint="default"/>
        <w:lang w:val="en-US" w:eastAsia="en-US" w:bidi="ar-SA"/>
      </w:rPr>
    </w:lvl>
    <w:lvl w:ilvl="6" w:tplc="A7FAA208">
      <w:numFmt w:val="bullet"/>
      <w:lvlText w:val="•"/>
      <w:lvlJc w:val="left"/>
      <w:pPr>
        <w:ind w:left="8009" w:hanging="199"/>
      </w:pPr>
      <w:rPr>
        <w:rFonts w:hint="default"/>
        <w:lang w:val="en-US" w:eastAsia="en-US" w:bidi="ar-SA"/>
      </w:rPr>
    </w:lvl>
    <w:lvl w:ilvl="7" w:tplc="B6101882">
      <w:numFmt w:val="bullet"/>
      <w:lvlText w:val="•"/>
      <w:lvlJc w:val="left"/>
      <w:pPr>
        <w:ind w:left="7463" w:hanging="199"/>
      </w:pPr>
      <w:rPr>
        <w:rFonts w:hint="default"/>
        <w:lang w:val="en-US" w:eastAsia="en-US" w:bidi="ar-SA"/>
      </w:rPr>
    </w:lvl>
    <w:lvl w:ilvl="8" w:tplc="863C4A54">
      <w:numFmt w:val="bullet"/>
      <w:lvlText w:val="•"/>
      <w:lvlJc w:val="left"/>
      <w:pPr>
        <w:ind w:left="6917" w:hanging="199"/>
      </w:pPr>
      <w:rPr>
        <w:rFonts w:hint="default"/>
        <w:lang w:val="en-US" w:eastAsia="en-US" w:bidi="ar-SA"/>
      </w:rPr>
    </w:lvl>
  </w:abstractNum>
  <w:abstractNum w:abstractNumId="113" w15:restartNumberingAfterBreak="0">
    <w:nsid w:val="4533035F"/>
    <w:multiLevelType w:val="hybridMultilevel"/>
    <w:tmpl w:val="ECC6128A"/>
    <w:lvl w:ilvl="0" w:tplc="8708E05A">
      <w:numFmt w:val="bullet"/>
      <w:lvlText w:val="•"/>
      <w:lvlJc w:val="left"/>
      <w:pPr>
        <w:ind w:left="396" w:hanging="284"/>
      </w:pPr>
      <w:rPr>
        <w:rFonts w:ascii="Tahoma" w:eastAsia="Tahoma" w:hAnsi="Tahoma" w:cs="Tahoma" w:hint="default"/>
        <w:b w:val="0"/>
        <w:bCs w:val="0"/>
        <w:i w:val="0"/>
        <w:iCs w:val="0"/>
        <w:w w:val="109"/>
        <w:sz w:val="20"/>
        <w:szCs w:val="20"/>
        <w:lang w:val="en-US" w:eastAsia="en-US" w:bidi="ar-SA"/>
      </w:rPr>
    </w:lvl>
    <w:lvl w:ilvl="1" w:tplc="A1FA7008">
      <w:numFmt w:val="bullet"/>
      <w:lvlText w:val="•"/>
      <w:lvlJc w:val="left"/>
      <w:pPr>
        <w:ind w:left="838" w:hanging="284"/>
      </w:pPr>
      <w:rPr>
        <w:rFonts w:hint="default"/>
        <w:lang w:val="en-US" w:eastAsia="en-US" w:bidi="ar-SA"/>
      </w:rPr>
    </w:lvl>
    <w:lvl w:ilvl="2" w:tplc="3D0C75E2">
      <w:numFmt w:val="bullet"/>
      <w:lvlText w:val="•"/>
      <w:lvlJc w:val="left"/>
      <w:pPr>
        <w:ind w:left="1276" w:hanging="284"/>
      </w:pPr>
      <w:rPr>
        <w:rFonts w:hint="default"/>
        <w:lang w:val="en-US" w:eastAsia="en-US" w:bidi="ar-SA"/>
      </w:rPr>
    </w:lvl>
    <w:lvl w:ilvl="3" w:tplc="D25CB55C">
      <w:numFmt w:val="bullet"/>
      <w:lvlText w:val="•"/>
      <w:lvlJc w:val="left"/>
      <w:pPr>
        <w:ind w:left="1714" w:hanging="284"/>
      </w:pPr>
      <w:rPr>
        <w:rFonts w:hint="default"/>
        <w:lang w:val="en-US" w:eastAsia="en-US" w:bidi="ar-SA"/>
      </w:rPr>
    </w:lvl>
    <w:lvl w:ilvl="4" w:tplc="F7CE2C72">
      <w:numFmt w:val="bullet"/>
      <w:lvlText w:val="•"/>
      <w:lvlJc w:val="left"/>
      <w:pPr>
        <w:ind w:left="2152" w:hanging="284"/>
      </w:pPr>
      <w:rPr>
        <w:rFonts w:hint="default"/>
        <w:lang w:val="en-US" w:eastAsia="en-US" w:bidi="ar-SA"/>
      </w:rPr>
    </w:lvl>
    <w:lvl w:ilvl="5" w:tplc="821E5186">
      <w:numFmt w:val="bullet"/>
      <w:lvlText w:val="•"/>
      <w:lvlJc w:val="left"/>
      <w:pPr>
        <w:ind w:left="2590" w:hanging="284"/>
      </w:pPr>
      <w:rPr>
        <w:rFonts w:hint="default"/>
        <w:lang w:val="en-US" w:eastAsia="en-US" w:bidi="ar-SA"/>
      </w:rPr>
    </w:lvl>
    <w:lvl w:ilvl="6" w:tplc="EDE885F0">
      <w:numFmt w:val="bullet"/>
      <w:lvlText w:val="•"/>
      <w:lvlJc w:val="left"/>
      <w:pPr>
        <w:ind w:left="3028" w:hanging="284"/>
      </w:pPr>
      <w:rPr>
        <w:rFonts w:hint="default"/>
        <w:lang w:val="en-US" w:eastAsia="en-US" w:bidi="ar-SA"/>
      </w:rPr>
    </w:lvl>
    <w:lvl w:ilvl="7" w:tplc="D1EE0DC6">
      <w:numFmt w:val="bullet"/>
      <w:lvlText w:val="•"/>
      <w:lvlJc w:val="left"/>
      <w:pPr>
        <w:ind w:left="3466" w:hanging="284"/>
      </w:pPr>
      <w:rPr>
        <w:rFonts w:hint="default"/>
        <w:lang w:val="en-US" w:eastAsia="en-US" w:bidi="ar-SA"/>
      </w:rPr>
    </w:lvl>
    <w:lvl w:ilvl="8" w:tplc="A77E361A">
      <w:numFmt w:val="bullet"/>
      <w:lvlText w:val="•"/>
      <w:lvlJc w:val="left"/>
      <w:pPr>
        <w:ind w:left="3904" w:hanging="284"/>
      </w:pPr>
      <w:rPr>
        <w:rFonts w:hint="default"/>
        <w:lang w:val="en-US" w:eastAsia="en-US" w:bidi="ar-SA"/>
      </w:rPr>
    </w:lvl>
  </w:abstractNum>
  <w:abstractNum w:abstractNumId="114" w15:restartNumberingAfterBreak="0">
    <w:nsid w:val="46526933"/>
    <w:multiLevelType w:val="hybridMultilevel"/>
    <w:tmpl w:val="2BA81922"/>
    <w:lvl w:ilvl="0" w:tplc="A64E835A">
      <w:numFmt w:val="bullet"/>
      <w:lvlText w:val="•"/>
      <w:lvlJc w:val="left"/>
      <w:pPr>
        <w:ind w:left="517" w:hanging="284"/>
      </w:pPr>
      <w:rPr>
        <w:rFonts w:ascii="Tahoma" w:eastAsia="Tahoma" w:hAnsi="Tahoma" w:cs="Tahoma" w:hint="default"/>
        <w:b w:val="0"/>
        <w:bCs w:val="0"/>
        <w:i w:val="0"/>
        <w:iCs w:val="0"/>
        <w:w w:val="109"/>
        <w:sz w:val="20"/>
        <w:szCs w:val="20"/>
        <w:lang w:val="en-US" w:eastAsia="en-US" w:bidi="ar-SA"/>
      </w:rPr>
    </w:lvl>
    <w:lvl w:ilvl="1" w:tplc="B2F26E54">
      <w:numFmt w:val="bullet"/>
      <w:lvlText w:val="•"/>
      <w:lvlJc w:val="left"/>
      <w:pPr>
        <w:ind w:left="964" w:hanging="284"/>
      </w:pPr>
      <w:rPr>
        <w:rFonts w:hint="default"/>
        <w:lang w:val="en-US" w:eastAsia="en-US" w:bidi="ar-SA"/>
      </w:rPr>
    </w:lvl>
    <w:lvl w:ilvl="2" w:tplc="2DA68578">
      <w:numFmt w:val="bullet"/>
      <w:lvlText w:val="•"/>
      <w:lvlJc w:val="left"/>
      <w:pPr>
        <w:ind w:left="1408" w:hanging="284"/>
      </w:pPr>
      <w:rPr>
        <w:rFonts w:hint="default"/>
        <w:lang w:val="en-US" w:eastAsia="en-US" w:bidi="ar-SA"/>
      </w:rPr>
    </w:lvl>
    <w:lvl w:ilvl="3" w:tplc="EAB00FEC">
      <w:numFmt w:val="bullet"/>
      <w:lvlText w:val="•"/>
      <w:lvlJc w:val="left"/>
      <w:pPr>
        <w:ind w:left="1852" w:hanging="284"/>
      </w:pPr>
      <w:rPr>
        <w:rFonts w:hint="default"/>
        <w:lang w:val="en-US" w:eastAsia="en-US" w:bidi="ar-SA"/>
      </w:rPr>
    </w:lvl>
    <w:lvl w:ilvl="4" w:tplc="1F2EA42E">
      <w:numFmt w:val="bullet"/>
      <w:lvlText w:val="•"/>
      <w:lvlJc w:val="left"/>
      <w:pPr>
        <w:ind w:left="2296" w:hanging="284"/>
      </w:pPr>
      <w:rPr>
        <w:rFonts w:hint="default"/>
        <w:lang w:val="en-US" w:eastAsia="en-US" w:bidi="ar-SA"/>
      </w:rPr>
    </w:lvl>
    <w:lvl w:ilvl="5" w:tplc="27E83690">
      <w:numFmt w:val="bullet"/>
      <w:lvlText w:val="•"/>
      <w:lvlJc w:val="left"/>
      <w:pPr>
        <w:ind w:left="2741" w:hanging="284"/>
      </w:pPr>
      <w:rPr>
        <w:rFonts w:hint="default"/>
        <w:lang w:val="en-US" w:eastAsia="en-US" w:bidi="ar-SA"/>
      </w:rPr>
    </w:lvl>
    <w:lvl w:ilvl="6" w:tplc="A5B4652E">
      <w:numFmt w:val="bullet"/>
      <w:lvlText w:val="•"/>
      <w:lvlJc w:val="left"/>
      <w:pPr>
        <w:ind w:left="3185" w:hanging="284"/>
      </w:pPr>
      <w:rPr>
        <w:rFonts w:hint="default"/>
        <w:lang w:val="en-US" w:eastAsia="en-US" w:bidi="ar-SA"/>
      </w:rPr>
    </w:lvl>
    <w:lvl w:ilvl="7" w:tplc="0FA823AE">
      <w:numFmt w:val="bullet"/>
      <w:lvlText w:val="•"/>
      <w:lvlJc w:val="left"/>
      <w:pPr>
        <w:ind w:left="3629" w:hanging="284"/>
      </w:pPr>
      <w:rPr>
        <w:rFonts w:hint="default"/>
        <w:lang w:val="en-US" w:eastAsia="en-US" w:bidi="ar-SA"/>
      </w:rPr>
    </w:lvl>
    <w:lvl w:ilvl="8" w:tplc="194004AC">
      <w:numFmt w:val="bullet"/>
      <w:lvlText w:val="•"/>
      <w:lvlJc w:val="left"/>
      <w:pPr>
        <w:ind w:left="4073" w:hanging="284"/>
      </w:pPr>
      <w:rPr>
        <w:rFonts w:hint="default"/>
        <w:lang w:val="en-US" w:eastAsia="en-US" w:bidi="ar-SA"/>
      </w:rPr>
    </w:lvl>
  </w:abstractNum>
  <w:abstractNum w:abstractNumId="115" w15:restartNumberingAfterBreak="0">
    <w:nsid w:val="470D134A"/>
    <w:multiLevelType w:val="hybridMultilevel"/>
    <w:tmpl w:val="827E8FF0"/>
    <w:lvl w:ilvl="0" w:tplc="858EF730">
      <w:numFmt w:val="bullet"/>
      <w:lvlText w:val="•"/>
      <w:lvlJc w:val="left"/>
      <w:pPr>
        <w:ind w:left="2930" w:hanging="100"/>
      </w:pPr>
      <w:rPr>
        <w:rFonts w:ascii="Tahoma" w:eastAsia="Tahoma" w:hAnsi="Tahoma" w:cs="Tahoma" w:hint="default"/>
        <w:b w:val="0"/>
        <w:bCs w:val="0"/>
        <w:i w:val="0"/>
        <w:iCs w:val="0"/>
        <w:w w:val="109"/>
        <w:sz w:val="14"/>
        <w:szCs w:val="14"/>
        <w:lang w:val="en-US" w:eastAsia="en-US" w:bidi="ar-SA"/>
      </w:rPr>
    </w:lvl>
    <w:lvl w:ilvl="1" w:tplc="93BAB6BC">
      <w:numFmt w:val="bullet"/>
      <w:lvlText w:val="•"/>
      <w:lvlJc w:val="left"/>
      <w:pPr>
        <w:ind w:left="3502" w:hanging="100"/>
      </w:pPr>
      <w:rPr>
        <w:rFonts w:hint="default"/>
        <w:lang w:val="en-US" w:eastAsia="en-US" w:bidi="ar-SA"/>
      </w:rPr>
    </w:lvl>
    <w:lvl w:ilvl="2" w:tplc="CA28FEAE">
      <w:numFmt w:val="bullet"/>
      <w:lvlText w:val="•"/>
      <w:lvlJc w:val="left"/>
      <w:pPr>
        <w:ind w:left="4065" w:hanging="100"/>
      </w:pPr>
      <w:rPr>
        <w:rFonts w:hint="default"/>
        <w:lang w:val="en-US" w:eastAsia="en-US" w:bidi="ar-SA"/>
      </w:rPr>
    </w:lvl>
    <w:lvl w:ilvl="3" w:tplc="17847EE4">
      <w:numFmt w:val="bullet"/>
      <w:lvlText w:val="•"/>
      <w:lvlJc w:val="left"/>
      <w:pPr>
        <w:ind w:left="4627" w:hanging="100"/>
      </w:pPr>
      <w:rPr>
        <w:rFonts w:hint="default"/>
        <w:lang w:val="en-US" w:eastAsia="en-US" w:bidi="ar-SA"/>
      </w:rPr>
    </w:lvl>
    <w:lvl w:ilvl="4" w:tplc="7DF23C02">
      <w:numFmt w:val="bullet"/>
      <w:lvlText w:val="•"/>
      <w:lvlJc w:val="left"/>
      <w:pPr>
        <w:ind w:left="5190" w:hanging="100"/>
      </w:pPr>
      <w:rPr>
        <w:rFonts w:hint="default"/>
        <w:lang w:val="en-US" w:eastAsia="en-US" w:bidi="ar-SA"/>
      </w:rPr>
    </w:lvl>
    <w:lvl w:ilvl="5" w:tplc="7CDC87DC">
      <w:numFmt w:val="bullet"/>
      <w:lvlText w:val="•"/>
      <w:lvlJc w:val="left"/>
      <w:pPr>
        <w:ind w:left="5753" w:hanging="100"/>
      </w:pPr>
      <w:rPr>
        <w:rFonts w:hint="default"/>
        <w:lang w:val="en-US" w:eastAsia="en-US" w:bidi="ar-SA"/>
      </w:rPr>
    </w:lvl>
    <w:lvl w:ilvl="6" w:tplc="92F69068">
      <w:numFmt w:val="bullet"/>
      <w:lvlText w:val="•"/>
      <w:lvlJc w:val="left"/>
      <w:pPr>
        <w:ind w:left="6315" w:hanging="100"/>
      </w:pPr>
      <w:rPr>
        <w:rFonts w:hint="default"/>
        <w:lang w:val="en-US" w:eastAsia="en-US" w:bidi="ar-SA"/>
      </w:rPr>
    </w:lvl>
    <w:lvl w:ilvl="7" w:tplc="6826ED96">
      <w:numFmt w:val="bullet"/>
      <w:lvlText w:val="•"/>
      <w:lvlJc w:val="left"/>
      <w:pPr>
        <w:ind w:left="6878" w:hanging="100"/>
      </w:pPr>
      <w:rPr>
        <w:rFonts w:hint="default"/>
        <w:lang w:val="en-US" w:eastAsia="en-US" w:bidi="ar-SA"/>
      </w:rPr>
    </w:lvl>
    <w:lvl w:ilvl="8" w:tplc="379A8A7A">
      <w:numFmt w:val="bullet"/>
      <w:lvlText w:val="•"/>
      <w:lvlJc w:val="left"/>
      <w:pPr>
        <w:ind w:left="7440" w:hanging="100"/>
      </w:pPr>
      <w:rPr>
        <w:rFonts w:hint="default"/>
        <w:lang w:val="en-US" w:eastAsia="en-US" w:bidi="ar-SA"/>
      </w:rPr>
    </w:lvl>
  </w:abstractNum>
  <w:abstractNum w:abstractNumId="116" w15:restartNumberingAfterBreak="0">
    <w:nsid w:val="471F29BF"/>
    <w:multiLevelType w:val="hybridMultilevel"/>
    <w:tmpl w:val="739A767A"/>
    <w:lvl w:ilvl="0" w:tplc="9CC2634E">
      <w:numFmt w:val="bullet"/>
      <w:lvlText w:val="•"/>
      <w:lvlJc w:val="left"/>
      <w:pPr>
        <w:ind w:left="208" w:hanging="100"/>
      </w:pPr>
      <w:rPr>
        <w:rFonts w:ascii="Tahoma" w:eastAsia="Tahoma" w:hAnsi="Tahoma" w:cs="Tahoma" w:hint="default"/>
        <w:b w:val="0"/>
        <w:bCs w:val="0"/>
        <w:i w:val="0"/>
        <w:iCs w:val="0"/>
        <w:w w:val="109"/>
        <w:sz w:val="14"/>
        <w:szCs w:val="14"/>
        <w:lang w:val="en-US" w:eastAsia="en-US" w:bidi="ar-SA"/>
      </w:rPr>
    </w:lvl>
    <w:lvl w:ilvl="1" w:tplc="07ACC196">
      <w:numFmt w:val="bullet"/>
      <w:lvlText w:val="•"/>
      <w:lvlJc w:val="left"/>
      <w:pPr>
        <w:ind w:left="607" w:hanging="100"/>
      </w:pPr>
      <w:rPr>
        <w:rFonts w:hint="default"/>
        <w:lang w:val="en-US" w:eastAsia="en-US" w:bidi="ar-SA"/>
      </w:rPr>
    </w:lvl>
    <w:lvl w:ilvl="2" w:tplc="336C31FC">
      <w:numFmt w:val="bullet"/>
      <w:lvlText w:val="•"/>
      <w:lvlJc w:val="left"/>
      <w:pPr>
        <w:ind w:left="1015" w:hanging="100"/>
      </w:pPr>
      <w:rPr>
        <w:rFonts w:hint="default"/>
        <w:lang w:val="en-US" w:eastAsia="en-US" w:bidi="ar-SA"/>
      </w:rPr>
    </w:lvl>
    <w:lvl w:ilvl="3" w:tplc="0D76E2C0">
      <w:numFmt w:val="bullet"/>
      <w:lvlText w:val="•"/>
      <w:lvlJc w:val="left"/>
      <w:pPr>
        <w:ind w:left="1423" w:hanging="100"/>
      </w:pPr>
      <w:rPr>
        <w:rFonts w:hint="default"/>
        <w:lang w:val="en-US" w:eastAsia="en-US" w:bidi="ar-SA"/>
      </w:rPr>
    </w:lvl>
    <w:lvl w:ilvl="4" w:tplc="5A6EC66E">
      <w:numFmt w:val="bullet"/>
      <w:lvlText w:val="•"/>
      <w:lvlJc w:val="left"/>
      <w:pPr>
        <w:ind w:left="1831" w:hanging="100"/>
      </w:pPr>
      <w:rPr>
        <w:rFonts w:hint="default"/>
        <w:lang w:val="en-US" w:eastAsia="en-US" w:bidi="ar-SA"/>
      </w:rPr>
    </w:lvl>
    <w:lvl w:ilvl="5" w:tplc="1BD62F82">
      <w:numFmt w:val="bullet"/>
      <w:lvlText w:val="•"/>
      <w:lvlJc w:val="left"/>
      <w:pPr>
        <w:ind w:left="2239" w:hanging="100"/>
      </w:pPr>
      <w:rPr>
        <w:rFonts w:hint="default"/>
        <w:lang w:val="en-US" w:eastAsia="en-US" w:bidi="ar-SA"/>
      </w:rPr>
    </w:lvl>
    <w:lvl w:ilvl="6" w:tplc="D6AC2C5A">
      <w:numFmt w:val="bullet"/>
      <w:lvlText w:val="•"/>
      <w:lvlJc w:val="left"/>
      <w:pPr>
        <w:ind w:left="2646" w:hanging="100"/>
      </w:pPr>
      <w:rPr>
        <w:rFonts w:hint="default"/>
        <w:lang w:val="en-US" w:eastAsia="en-US" w:bidi="ar-SA"/>
      </w:rPr>
    </w:lvl>
    <w:lvl w:ilvl="7" w:tplc="C52A6BD2">
      <w:numFmt w:val="bullet"/>
      <w:lvlText w:val="•"/>
      <w:lvlJc w:val="left"/>
      <w:pPr>
        <w:ind w:left="3054" w:hanging="100"/>
      </w:pPr>
      <w:rPr>
        <w:rFonts w:hint="default"/>
        <w:lang w:val="en-US" w:eastAsia="en-US" w:bidi="ar-SA"/>
      </w:rPr>
    </w:lvl>
    <w:lvl w:ilvl="8" w:tplc="B98E1BF0">
      <w:numFmt w:val="bullet"/>
      <w:lvlText w:val="•"/>
      <w:lvlJc w:val="left"/>
      <w:pPr>
        <w:ind w:left="3462" w:hanging="100"/>
      </w:pPr>
      <w:rPr>
        <w:rFonts w:hint="default"/>
        <w:lang w:val="en-US" w:eastAsia="en-US" w:bidi="ar-SA"/>
      </w:rPr>
    </w:lvl>
  </w:abstractNum>
  <w:abstractNum w:abstractNumId="117" w15:restartNumberingAfterBreak="0">
    <w:nsid w:val="4726491D"/>
    <w:multiLevelType w:val="multilevel"/>
    <w:tmpl w:val="E66EA8E4"/>
    <w:lvl w:ilvl="0">
      <w:start w:val="10"/>
      <w:numFmt w:val="decimal"/>
      <w:lvlText w:val="%1"/>
      <w:lvlJc w:val="left"/>
      <w:pPr>
        <w:ind w:left="1002" w:hanging="511"/>
        <w:jc w:val="left"/>
      </w:pPr>
      <w:rPr>
        <w:rFonts w:hint="default"/>
        <w:lang w:val="en-US" w:eastAsia="en-US" w:bidi="ar-SA"/>
      </w:rPr>
    </w:lvl>
    <w:lvl w:ilvl="1">
      <w:start w:val="3"/>
      <w:numFmt w:val="decimal"/>
      <w:lvlText w:val="%1.%2"/>
      <w:lvlJc w:val="left"/>
      <w:pPr>
        <w:ind w:left="1002" w:hanging="511"/>
        <w:jc w:val="left"/>
      </w:pPr>
      <w:rPr>
        <w:rFonts w:ascii="Arial" w:eastAsia="Arial" w:hAnsi="Arial" w:cs="Arial" w:hint="default"/>
        <w:b w:val="0"/>
        <w:bCs w:val="0"/>
        <w:i w:val="0"/>
        <w:iCs w:val="0"/>
        <w:w w:val="99"/>
        <w:sz w:val="20"/>
        <w:szCs w:val="20"/>
        <w:lang w:val="en-US" w:eastAsia="en-US" w:bidi="ar-SA"/>
      </w:rPr>
    </w:lvl>
    <w:lvl w:ilvl="2">
      <w:numFmt w:val="bullet"/>
      <w:lvlText w:val="•"/>
      <w:lvlJc w:val="left"/>
      <w:pPr>
        <w:ind w:left="1828" w:hanging="511"/>
      </w:pPr>
      <w:rPr>
        <w:rFonts w:hint="default"/>
        <w:lang w:val="en-US" w:eastAsia="en-US" w:bidi="ar-SA"/>
      </w:rPr>
    </w:lvl>
    <w:lvl w:ilvl="3">
      <w:numFmt w:val="bullet"/>
      <w:lvlText w:val="•"/>
      <w:lvlJc w:val="left"/>
      <w:pPr>
        <w:ind w:left="2242" w:hanging="511"/>
      </w:pPr>
      <w:rPr>
        <w:rFonts w:hint="default"/>
        <w:lang w:val="en-US" w:eastAsia="en-US" w:bidi="ar-SA"/>
      </w:rPr>
    </w:lvl>
    <w:lvl w:ilvl="4">
      <w:numFmt w:val="bullet"/>
      <w:lvlText w:val="•"/>
      <w:lvlJc w:val="left"/>
      <w:pPr>
        <w:ind w:left="2656" w:hanging="511"/>
      </w:pPr>
      <w:rPr>
        <w:rFonts w:hint="default"/>
        <w:lang w:val="en-US" w:eastAsia="en-US" w:bidi="ar-SA"/>
      </w:rPr>
    </w:lvl>
    <w:lvl w:ilvl="5">
      <w:numFmt w:val="bullet"/>
      <w:lvlText w:val="•"/>
      <w:lvlJc w:val="left"/>
      <w:pPr>
        <w:ind w:left="3070" w:hanging="511"/>
      </w:pPr>
      <w:rPr>
        <w:rFonts w:hint="default"/>
        <w:lang w:val="en-US" w:eastAsia="en-US" w:bidi="ar-SA"/>
      </w:rPr>
    </w:lvl>
    <w:lvl w:ilvl="6">
      <w:numFmt w:val="bullet"/>
      <w:lvlText w:val="•"/>
      <w:lvlJc w:val="left"/>
      <w:pPr>
        <w:ind w:left="3484" w:hanging="511"/>
      </w:pPr>
      <w:rPr>
        <w:rFonts w:hint="default"/>
        <w:lang w:val="en-US" w:eastAsia="en-US" w:bidi="ar-SA"/>
      </w:rPr>
    </w:lvl>
    <w:lvl w:ilvl="7">
      <w:numFmt w:val="bullet"/>
      <w:lvlText w:val="•"/>
      <w:lvlJc w:val="left"/>
      <w:pPr>
        <w:ind w:left="3898" w:hanging="511"/>
      </w:pPr>
      <w:rPr>
        <w:rFonts w:hint="default"/>
        <w:lang w:val="en-US" w:eastAsia="en-US" w:bidi="ar-SA"/>
      </w:rPr>
    </w:lvl>
    <w:lvl w:ilvl="8">
      <w:numFmt w:val="bullet"/>
      <w:lvlText w:val="•"/>
      <w:lvlJc w:val="left"/>
      <w:pPr>
        <w:ind w:left="4312" w:hanging="511"/>
      </w:pPr>
      <w:rPr>
        <w:rFonts w:hint="default"/>
        <w:lang w:val="en-US" w:eastAsia="en-US" w:bidi="ar-SA"/>
      </w:rPr>
    </w:lvl>
  </w:abstractNum>
  <w:abstractNum w:abstractNumId="118" w15:restartNumberingAfterBreak="0">
    <w:nsid w:val="473321F6"/>
    <w:multiLevelType w:val="hybridMultilevel"/>
    <w:tmpl w:val="0EBED814"/>
    <w:lvl w:ilvl="0" w:tplc="17C4398C">
      <w:numFmt w:val="bullet"/>
      <w:lvlText w:val="•"/>
      <w:lvlJc w:val="left"/>
      <w:pPr>
        <w:ind w:left="208" w:hanging="100"/>
      </w:pPr>
      <w:rPr>
        <w:rFonts w:ascii="Tahoma" w:eastAsia="Tahoma" w:hAnsi="Tahoma" w:cs="Tahoma" w:hint="default"/>
        <w:w w:val="109"/>
        <w:lang w:val="en-US" w:eastAsia="en-US" w:bidi="ar-SA"/>
      </w:rPr>
    </w:lvl>
    <w:lvl w:ilvl="1" w:tplc="F9F25ECC">
      <w:numFmt w:val="bullet"/>
      <w:lvlText w:val="•"/>
      <w:lvlJc w:val="left"/>
      <w:pPr>
        <w:ind w:left="607" w:hanging="100"/>
      </w:pPr>
      <w:rPr>
        <w:rFonts w:hint="default"/>
        <w:lang w:val="en-US" w:eastAsia="en-US" w:bidi="ar-SA"/>
      </w:rPr>
    </w:lvl>
    <w:lvl w:ilvl="2" w:tplc="44B066F2">
      <w:numFmt w:val="bullet"/>
      <w:lvlText w:val="•"/>
      <w:lvlJc w:val="left"/>
      <w:pPr>
        <w:ind w:left="1015" w:hanging="100"/>
      </w:pPr>
      <w:rPr>
        <w:rFonts w:hint="default"/>
        <w:lang w:val="en-US" w:eastAsia="en-US" w:bidi="ar-SA"/>
      </w:rPr>
    </w:lvl>
    <w:lvl w:ilvl="3" w:tplc="BB706C3E">
      <w:numFmt w:val="bullet"/>
      <w:lvlText w:val="•"/>
      <w:lvlJc w:val="left"/>
      <w:pPr>
        <w:ind w:left="1423" w:hanging="100"/>
      </w:pPr>
      <w:rPr>
        <w:rFonts w:hint="default"/>
        <w:lang w:val="en-US" w:eastAsia="en-US" w:bidi="ar-SA"/>
      </w:rPr>
    </w:lvl>
    <w:lvl w:ilvl="4" w:tplc="F7760F84">
      <w:numFmt w:val="bullet"/>
      <w:lvlText w:val="•"/>
      <w:lvlJc w:val="left"/>
      <w:pPr>
        <w:ind w:left="1831" w:hanging="100"/>
      </w:pPr>
      <w:rPr>
        <w:rFonts w:hint="default"/>
        <w:lang w:val="en-US" w:eastAsia="en-US" w:bidi="ar-SA"/>
      </w:rPr>
    </w:lvl>
    <w:lvl w:ilvl="5" w:tplc="B4C6A256">
      <w:numFmt w:val="bullet"/>
      <w:lvlText w:val="•"/>
      <w:lvlJc w:val="left"/>
      <w:pPr>
        <w:ind w:left="2239" w:hanging="100"/>
      </w:pPr>
      <w:rPr>
        <w:rFonts w:hint="default"/>
        <w:lang w:val="en-US" w:eastAsia="en-US" w:bidi="ar-SA"/>
      </w:rPr>
    </w:lvl>
    <w:lvl w:ilvl="6" w:tplc="6EC61770">
      <w:numFmt w:val="bullet"/>
      <w:lvlText w:val="•"/>
      <w:lvlJc w:val="left"/>
      <w:pPr>
        <w:ind w:left="2646" w:hanging="100"/>
      </w:pPr>
      <w:rPr>
        <w:rFonts w:hint="default"/>
        <w:lang w:val="en-US" w:eastAsia="en-US" w:bidi="ar-SA"/>
      </w:rPr>
    </w:lvl>
    <w:lvl w:ilvl="7" w:tplc="A1A008D0">
      <w:numFmt w:val="bullet"/>
      <w:lvlText w:val="•"/>
      <w:lvlJc w:val="left"/>
      <w:pPr>
        <w:ind w:left="3054" w:hanging="100"/>
      </w:pPr>
      <w:rPr>
        <w:rFonts w:hint="default"/>
        <w:lang w:val="en-US" w:eastAsia="en-US" w:bidi="ar-SA"/>
      </w:rPr>
    </w:lvl>
    <w:lvl w:ilvl="8" w:tplc="71FC526A">
      <w:numFmt w:val="bullet"/>
      <w:lvlText w:val="•"/>
      <w:lvlJc w:val="left"/>
      <w:pPr>
        <w:ind w:left="3462" w:hanging="100"/>
      </w:pPr>
      <w:rPr>
        <w:rFonts w:hint="default"/>
        <w:lang w:val="en-US" w:eastAsia="en-US" w:bidi="ar-SA"/>
      </w:rPr>
    </w:lvl>
  </w:abstractNum>
  <w:abstractNum w:abstractNumId="119" w15:restartNumberingAfterBreak="0">
    <w:nsid w:val="48104C3E"/>
    <w:multiLevelType w:val="multilevel"/>
    <w:tmpl w:val="B2FE2A6E"/>
    <w:lvl w:ilvl="0">
      <w:start w:val="5"/>
      <w:numFmt w:val="decimal"/>
      <w:lvlText w:val="%1"/>
      <w:lvlJc w:val="left"/>
      <w:pPr>
        <w:ind w:left="972" w:hanging="480"/>
        <w:jc w:val="left"/>
      </w:pPr>
      <w:rPr>
        <w:rFonts w:hint="default"/>
        <w:lang w:val="en-US" w:eastAsia="en-US" w:bidi="ar-SA"/>
      </w:rPr>
    </w:lvl>
    <w:lvl w:ilvl="1">
      <w:numFmt w:val="decimal"/>
      <w:lvlText w:val="%1.%2"/>
      <w:lvlJc w:val="left"/>
      <w:pPr>
        <w:ind w:left="972" w:hanging="480"/>
        <w:jc w:val="left"/>
      </w:pPr>
      <w:rPr>
        <w:rFonts w:hint="default"/>
        <w:w w:val="99"/>
        <w:lang w:val="en-US" w:eastAsia="en-US" w:bidi="ar-SA"/>
      </w:rPr>
    </w:lvl>
    <w:lvl w:ilvl="2">
      <w:numFmt w:val="bullet"/>
      <w:lvlText w:val="•"/>
      <w:lvlJc w:val="left"/>
      <w:pPr>
        <w:ind w:left="1812" w:hanging="480"/>
      </w:pPr>
      <w:rPr>
        <w:rFonts w:hint="default"/>
        <w:lang w:val="en-US" w:eastAsia="en-US" w:bidi="ar-SA"/>
      </w:rPr>
    </w:lvl>
    <w:lvl w:ilvl="3">
      <w:numFmt w:val="bullet"/>
      <w:lvlText w:val="•"/>
      <w:lvlJc w:val="left"/>
      <w:pPr>
        <w:ind w:left="2228" w:hanging="480"/>
      </w:pPr>
      <w:rPr>
        <w:rFonts w:hint="default"/>
        <w:lang w:val="en-US" w:eastAsia="en-US" w:bidi="ar-SA"/>
      </w:rPr>
    </w:lvl>
    <w:lvl w:ilvl="4">
      <w:numFmt w:val="bullet"/>
      <w:lvlText w:val="•"/>
      <w:lvlJc w:val="left"/>
      <w:pPr>
        <w:ind w:left="2644" w:hanging="480"/>
      </w:pPr>
      <w:rPr>
        <w:rFonts w:hint="default"/>
        <w:lang w:val="en-US" w:eastAsia="en-US" w:bidi="ar-SA"/>
      </w:rPr>
    </w:lvl>
    <w:lvl w:ilvl="5">
      <w:numFmt w:val="bullet"/>
      <w:lvlText w:val="•"/>
      <w:lvlJc w:val="left"/>
      <w:pPr>
        <w:ind w:left="3060" w:hanging="480"/>
      </w:pPr>
      <w:rPr>
        <w:rFonts w:hint="default"/>
        <w:lang w:val="en-US" w:eastAsia="en-US" w:bidi="ar-SA"/>
      </w:rPr>
    </w:lvl>
    <w:lvl w:ilvl="6">
      <w:numFmt w:val="bullet"/>
      <w:lvlText w:val="•"/>
      <w:lvlJc w:val="left"/>
      <w:pPr>
        <w:ind w:left="3476" w:hanging="480"/>
      </w:pPr>
      <w:rPr>
        <w:rFonts w:hint="default"/>
        <w:lang w:val="en-US" w:eastAsia="en-US" w:bidi="ar-SA"/>
      </w:rPr>
    </w:lvl>
    <w:lvl w:ilvl="7">
      <w:numFmt w:val="bullet"/>
      <w:lvlText w:val="•"/>
      <w:lvlJc w:val="left"/>
      <w:pPr>
        <w:ind w:left="3892" w:hanging="480"/>
      </w:pPr>
      <w:rPr>
        <w:rFonts w:hint="default"/>
        <w:lang w:val="en-US" w:eastAsia="en-US" w:bidi="ar-SA"/>
      </w:rPr>
    </w:lvl>
    <w:lvl w:ilvl="8">
      <w:numFmt w:val="bullet"/>
      <w:lvlText w:val="•"/>
      <w:lvlJc w:val="left"/>
      <w:pPr>
        <w:ind w:left="4308" w:hanging="480"/>
      </w:pPr>
      <w:rPr>
        <w:rFonts w:hint="default"/>
        <w:lang w:val="en-US" w:eastAsia="en-US" w:bidi="ar-SA"/>
      </w:rPr>
    </w:lvl>
  </w:abstractNum>
  <w:abstractNum w:abstractNumId="120" w15:restartNumberingAfterBreak="0">
    <w:nsid w:val="494658BB"/>
    <w:multiLevelType w:val="hybridMultilevel"/>
    <w:tmpl w:val="B21C8BBA"/>
    <w:lvl w:ilvl="0" w:tplc="06400D5A">
      <w:numFmt w:val="bullet"/>
      <w:lvlText w:val="•"/>
      <w:lvlJc w:val="left"/>
      <w:pPr>
        <w:ind w:left="183" w:hanging="116"/>
      </w:pPr>
      <w:rPr>
        <w:rFonts w:ascii="Trebuchet MS" w:eastAsia="Trebuchet MS" w:hAnsi="Trebuchet MS" w:cs="Trebuchet MS" w:hint="default"/>
        <w:b w:val="0"/>
        <w:bCs w:val="0"/>
        <w:i w:val="0"/>
        <w:iCs w:val="0"/>
        <w:w w:val="95"/>
        <w:sz w:val="16"/>
        <w:szCs w:val="16"/>
        <w:lang w:val="en-US" w:eastAsia="en-US" w:bidi="ar-SA"/>
      </w:rPr>
    </w:lvl>
    <w:lvl w:ilvl="1" w:tplc="AA2A7E2C">
      <w:numFmt w:val="bullet"/>
      <w:lvlText w:val="•"/>
      <w:lvlJc w:val="left"/>
      <w:pPr>
        <w:ind w:left="343" w:hanging="116"/>
      </w:pPr>
      <w:rPr>
        <w:rFonts w:hint="default"/>
        <w:lang w:val="en-US" w:eastAsia="en-US" w:bidi="ar-SA"/>
      </w:rPr>
    </w:lvl>
    <w:lvl w:ilvl="2" w:tplc="C4B86F5E">
      <w:numFmt w:val="bullet"/>
      <w:lvlText w:val="•"/>
      <w:lvlJc w:val="left"/>
      <w:pPr>
        <w:ind w:left="507" w:hanging="116"/>
      </w:pPr>
      <w:rPr>
        <w:rFonts w:hint="default"/>
        <w:lang w:val="en-US" w:eastAsia="en-US" w:bidi="ar-SA"/>
      </w:rPr>
    </w:lvl>
    <w:lvl w:ilvl="3" w:tplc="E9809A98">
      <w:numFmt w:val="bullet"/>
      <w:lvlText w:val="•"/>
      <w:lvlJc w:val="left"/>
      <w:pPr>
        <w:ind w:left="671" w:hanging="116"/>
      </w:pPr>
      <w:rPr>
        <w:rFonts w:hint="default"/>
        <w:lang w:val="en-US" w:eastAsia="en-US" w:bidi="ar-SA"/>
      </w:rPr>
    </w:lvl>
    <w:lvl w:ilvl="4" w:tplc="61C07F36">
      <w:numFmt w:val="bullet"/>
      <w:lvlText w:val="•"/>
      <w:lvlJc w:val="left"/>
      <w:pPr>
        <w:ind w:left="835" w:hanging="116"/>
      </w:pPr>
      <w:rPr>
        <w:rFonts w:hint="default"/>
        <w:lang w:val="en-US" w:eastAsia="en-US" w:bidi="ar-SA"/>
      </w:rPr>
    </w:lvl>
    <w:lvl w:ilvl="5" w:tplc="B3F8AD18">
      <w:numFmt w:val="bullet"/>
      <w:lvlText w:val="•"/>
      <w:lvlJc w:val="left"/>
      <w:pPr>
        <w:ind w:left="999" w:hanging="116"/>
      </w:pPr>
      <w:rPr>
        <w:rFonts w:hint="default"/>
        <w:lang w:val="en-US" w:eastAsia="en-US" w:bidi="ar-SA"/>
      </w:rPr>
    </w:lvl>
    <w:lvl w:ilvl="6" w:tplc="EE9A2CA2">
      <w:numFmt w:val="bullet"/>
      <w:lvlText w:val="•"/>
      <w:lvlJc w:val="left"/>
      <w:pPr>
        <w:ind w:left="1163" w:hanging="116"/>
      </w:pPr>
      <w:rPr>
        <w:rFonts w:hint="default"/>
        <w:lang w:val="en-US" w:eastAsia="en-US" w:bidi="ar-SA"/>
      </w:rPr>
    </w:lvl>
    <w:lvl w:ilvl="7" w:tplc="AB02152A">
      <w:numFmt w:val="bullet"/>
      <w:lvlText w:val="•"/>
      <w:lvlJc w:val="left"/>
      <w:pPr>
        <w:ind w:left="1327" w:hanging="116"/>
      </w:pPr>
      <w:rPr>
        <w:rFonts w:hint="default"/>
        <w:lang w:val="en-US" w:eastAsia="en-US" w:bidi="ar-SA"/>
      </w:rPr>
    </w:lvl>
    <w:lvl w:ilvl="8" w:tplc="7428A790">
      <w:numFmt w:val="bullet"/>
      <w:lvlText w:val="•"/>
      <w:lvlJc w:val="left"/>
      <w:pPr>
        <w:ind w:left="1491" w:hanging="116"/>
      </w:pPr>
      <w:rPr>
        <w:rFonts w:hint="default"/>
        <w:lang w:val="en-US" w:eastAsia="en-US" w:bidi="ar-SA"/>
      </w:rPr>
    </w:lvl>
  </w:abstractNum>
  <w:abstractNum w:abstractNumId="121" w15:restartNumberingAfterBreak="0">
    <w:nsid w:val="494F291F"/>
    <w:multiLevelType w:val="hybridMultilevel"/>
    <w:tmpl w:val="79F65260"/>
    <w:lvl w:ilvl="0" w:tplc="8140EEB4">
      <w:start w:val="1"/>
      <w:numFmt w:val="decimal"/>
      <w:lvlText w:val="%1"/>
      <w:lvlJc w:val="left"/>
      <w:pPr>
        <w:ind w:left="5717" w:hanging="199"/>
        <w:jc w:val="left"/>
      </w:pPr>
      <w:rPr>
        <w:rFonts w:ascii="Arial" w:eastAsia="Arial" w:hAnsi="Arial" w:cs="Arial" w:hint="default"/>
        <w:b w:val="0"/>
        <w:bCs w:val="0"/>
        <w:i w:val="0"/>
        <w:iCs w:val="0"/>
        <w:w w:val="99"/>
        <w:sz w:val="14"/>
        <w:szCs w:val="14"/>
        <w:lang w:val="en-US" w:eastAsia="en-US" w:bidi="ar-SA"/>
      </w:rPr>
    </w:lvl>
    <w:lvl w:ilvl="1" w:tplc="32E83D36">
      <w:numFmt w:val="bullet"/>
      <w:lvlText w:val="•"/>
      <w:lvlJc w:val="left"/>
      <w:pPr>
        <w:ind w:left="6753" w:hanging="199"/>
      </w:pPr>
      <w:rPr>
        <w:rFonts w:hint="default"/>
        <w:lang w:val="en-US" w:eastAsia="en-US" w:bidi="ar-SA"/>
      </w:rPr>
    </w:lvl>
    <w:lvl w:ilvl="2" w:tplc="A1F0DE42">
      <w:numFmt w:val="bullet"/>
      <w:lvlText w:val="•"/>
      <w:lvlJc w:val="left"/>
      <w:pPr>
        <w:ind w:left="7787" w:hanging="199"/>
      </w:pPr>
      <w:rPr>
        <w:rFonts w:hint="default"/>
        <w:lang w:val="en-US" w:eastAsia="en-US" w:bidi="ar-SA"/>
      </w:rPr>
    </w:lvl>
    <w:lvl w:ilvl="3" w:tplc="1570BC4E">
      <w:numFmt w:val="bullet"/>
      <w:lvlText w:val="•"/>
      <w:lvlJc w:val="left"/>
      <w:pPr>
        <w:ind w:left="8821" w:hanging="199"/>
      </w:pPr>
      <w:rPr>
        <w:rFonts w:hint="default"/>
        <w:lang w:val="en-US" w:eastAsia="en-US" w:bidi="ar-SA"/>
      </w:rPr>
    </w:lvl>
    <w:lvl w:ilvl="4" w:tplc="9BB273E6">
      <w:numFmt w:val="bullet"/>
      <w:lvlText w:val="•"/>
      <w:lvlJc w:val="left"/>
      <w:pPr>
        <w:ind w:left="9855" w:hanging="199"/>
      </w:pPr>
      <w:rPr>
        <w:rFonts w:hint="default"/>
        <w:lang w:val="en-US" w:eastAsia="en-US" w:bidi="ar-SA"/>
      </w:rPr>
    </w:lvl>
    <w:lvl w:ilvl="5" w:tplc="BADE44FC">
      <w:numFmt w:val="bullet"/>
      <w:lvlText w:val="•"/>
      <w:lvlJc w:val="left"/>
      <w:pPr>
        <w:ind w:left="10888" w:hanging="199"/>
      </w:pPr>
      <w:rPr>
        <w:rFonts w:hint="default"/>
        <w:lang w:val="en-US" w:eastAsia="en-US" w:bidi="ar-SA"/>
      </w:rPr>
    </w:lvl>
    <w:lvl w:ilvl="6" w:tplc="E390C2BA">
      <w:numFmt w:val="bullet"/>
      <w:lvlText w:val="•"/>
      <w:lvlJc w:val="left"/>
      <w:pPr>
        <w:ind w:left="11922" w:hanging="199"/>
      </w:pPr>
      <w:rPr>
        <w:rFonts w:hint="default"/>
        <w:lang w:val="en-US" w:eastAsia="en-US" w:bidi="ar-SA"/>
      </w:rPr>
    </w:lvl>
    <w:lvl w:ilvl="7" w:tplc="EE6C52CA">
      <w:numFmt w:val="bullet"/>
      <w:lvlText w:val="•"/>
      <w:lvlJc w:val="left"/>
      <w:pPr>
        <w:ind w:left="12956" w:hanging="199"/>
      </w:pPr>
      <w:rPr>
        <w:rFonts w:hint="default"/>
        <w:lang w:val="en-US" w:eastAsia="en-US" w:bidi="ar-SA"/>
      </w:rPr>
    </w:lvl>
    <w:lvl w:ilvl="8" w:tplc="A98E1DA0">
      <w:numFmt w:val="bullet"/>
      <w:lvlText w:val="•"/>
      <w:lvlJc w:val="left"/>
      <w:pPr>
        <w:ind w:left="13990" w:hanging="199"/>
      </w:pPr>
      <w:rPr>
        <w:rFonts w:hint="default"/>
        <w:lang w:val="en-US" w:eastAsia="en-US" w:bidi="ar-SA"/>
      </w:rPr>
    </w:lvl>
  </w:abstractNum>
  <w:abstractNum w:abstractNumId="122" w15:restartNumberingAfterBreak="0">
    <w:nsid w:val="49B14B30"/>
    <w:multiLevelType w:val="hybridMultilevel"/>
    <w:tmpl w:val="7102D8D4"/>
    <w:lvl w:ilvl="0" w:tplc="F77E2DC2">
      <w:numFmt w:val="bullet"/>
      <w:lvlText w:val="•"/>
      <w:lvlJc w:val="left"/>
      <w:pPr>
        <w:ind w:left="775" w:hanging="284"/>
      </w:pPr>
      <w:rPr>
        <w:rFonts w:ascii="Tahoma" w:eastAsia="Tahoma" w:hAnsi="Tahoma" w:cs="Tahoma" w:hint="default"/>
        <w:b w:val="0"/>
        <w:bCs w:val="0"/>
        <w:i w:val="0"/>
        <w:iCs w:val="0"/>
        <w:w w:val="109"/>
        <w:sz w:val="20"/>
        <w:szCs w:val="20"/>
        <w:lang w:val="en-US" w:eastAsia="en-US" w:bidi="ar-SA"/>
      </w:rPr>
    </w:lvl>
    <w:lvl w:ilvl="1" w:tplc="FC00149C">
      <w:numFmt w:val="bullet"/>
      <w:lvlText w:val="•"/>
      <w:lvlJc w:val="left"/>
      <w:pPr>
        <w:ind w:left="1231" w:hanging="284"/>
      </w:pPr>
      <w:rPr>
        <w:rFonts w:hint="default"/>
        <w:lang w:val="en-US" w:eastAsia="en-US" w:bidi="ar-SA"/>
      </w:rPr>
    </w:lvl>
    <w:lvl w:ilvl="2" w:tplc="07CEC570">
      <w:numFmt w:val="bullet"/>
      <w:lvlText w:val="•"/>
      <w:lvlJc w:val="left"/>
      <w:pPr>
        <w:ind w:left="1682" w:hanging="284"/>
      </w:pPr>
      <w:rPr>
        <w:rFonts w:hint="default"/>
        <w:lang w:val="en-US" w:eastAsia="en-US" w:bidi="ar-SA"/>
      </w:rPr>
    </w:lvl>
    <w:lvl w:ilvl="3" w:tplc="E6A4CB40">
      <w:numFmt w:val="bullet"/>
      <w:lvlText w:val="•"/>
      <w:lvlJc w:val="left"/>
      <w:pPr>
        <w:ind w:left="2133" w:hanging="284"/>
      </w:pPr>
      <w:rPr>
        <w:rFonts w:hint="default"/>
        <w:lang w:val="en-US" w:eastAsia="en-US" w:bidi="ar-SA"/>
      </w:rPr>
    </w:lvl>
    <w:lvl w:ilvl="4" w:tplc="CF543F7A">
      <w:numFmt w:val="bullet"/>
      <w:lvlText w:val="•"/>
      <w:lvlJc w:val="left"/>
      <w:pPr>
        <w:ind w:left="2584" w:hanging="284"/>
      </w:pPr>
      <w:rPr>
        <w:rFonts w:hint="default"/>
        <w:lang w:val="en-US" w:eastAsia="en-US" w:bidi="ar-SA"/>
      </w:rPr>
    </w:lvl>
    <w:lvl w:ilvl="5" w:tplc="98882C84">
      <w:numFmt w:val="bullet"/>
      <w:lvlText w:val="•"/>
      <w:lvlJc w:val="left"/>
      <w:pPr>
        <w:ind w:left="3035" w:hanging="284"/>
      </w:pPr>
      <w:rPr>
        <w:rFonts w:hint="default"/>
        <w:lang w:val="en-US" w:eastAsia="en-US" w:bidi="ar-SA"/>
      </w:rPr>
    </w:lvl>
    <w:lvl w:ilvl="6" w:tplc="280EFBEA">
      <w:numFmt w:val="bullet"/>
      <w:lvlText w:val="•"/>
      <w:lvlJc w:val="left"/>
      <w:pPr>
        <w:ind w:left="3486" w:hanging="284"/>
      </w:pPr>
      <w:rPr>
        <w:rFonts w:hint="default"/>
        <w:lang w:val="en-US" w:eastAsia="en-US" w:bidi="ar-SA"/>
      </w:rPr>
    </w:lvl>
    <w:lvl w:ilvl="7" w:tplc="CC80EB42">
      <w:numFmt w:val="bullet"/>
      <w:lvlText w:val="•"/>
      <w:lvlJc w:val="left"/>
      <w:pPr>
        <w:ind w:left="3937" w:hanging="284"/>
      </w:pPr>
      <w:rPr>
        <w:rFonts w:hint="default"/>
        <w:lang w:val="en-US" w:eastAsia="en-US" w:bidi="ar-SA"/>
      </w:rPr>
    </w:lvl>
    <w:lvl w:ilvl="8" w:tplc="0B6C7A06">
      <w:numFmt w:val="bullet"/>
      <w:lvlText w:val="•"/>
      <w:lvlJc w:val="left"/>
      <w:pPr>
        <w:ind w:left="4388" w:hanging="284"/>
      </w:pPr>
      <w:rPr>
        <w:rFonts w:hint="default"/>
        <w:lang w:val="en-US" w:eastAsia="en-US" w:bidi="ar-SA"/>
      </w:rPr>
    </w:lvl>
  </w:abstractNum>
  <w:abstractNum w:abstractNumId="123" w15:restartNumberingAfterBreak="0">
    <w:nsid w:val="4A2A627E"/>
    <w:multiLevelType w:val="hybridMultilevel"/>
    <w:tmpl w:val="B276F10C"/>
    <w:lvl w:ilvl="0" w:tplc="E4B21A84">
      <w:numFmt w:val="bullet"/>
      <w:lvlText w:val="•"/>
      <w:lvlJc w:val="left"/>
      <w:pPr>
        <w:ind w:left="775" w:hanging="284"/>
      </w:pPr>
      <w:rPr>
        <w:rFonts w:ascii="Tahoma" w:eastAsia="Tahoma" w:hAnsi="Tahoma" w:cs="Tahoma" w:hint="default"/>
        <w:b w:val="0"/>
        <w:bCs w:val="0"/>
        <w:i w:val="0"/>
        <w:iCs w:val="0"/>
        <w:w w:val="109"/>
        <w:sz w:val="20"/>
        <w:szCs w:val="20"/>
        <w:lang w:val="en-US" w:eastAsia="en-US" w:bidi="ar-SA"/>
      </w:rPr>
    </w:lvl>
    <w:lvl w:ilvl="1" w:tplc="7A688722">
      <w:numFmt w:val="bullet"/>
      <w:lvlText w:val="•"/>
      <w:lvlJc w:val="left"/>
      <w:pPr>
        <w:ind w:left="1224" w:hanging="284"/>
      </w:pPr>
      <w:rPr>
        <w:rFonts w:hint="default"/>
        <w:lang w:val="en-US" w:eastAsia="en-US" w:bidi="ar-SA"/>
      </w:rPr>
    </w:lvl>
    <w:lvl w:ilvl="2" w:tplc="BD481360">
      <w:numFmt w:val="bullet"/>
      <w:lvlText w:val="•"/>
      <w:lvlJc w:val="left"/>
      <w:pPr>
        <w:ind w:left="1669" w:hanging="284"/>
      </w:pPr>
      <w:rPr>
        <w:rFonts w:hint="default"/>
        <w:lang w:val="en-US" w:eastAsia="en-US" w:bidi="ar-SA"/>
      </w:rPr>
    </w:lvl>
    <w:lvl w:ilvl="3" w:tplc="8FE4C20C">
      <w:numFmt w:val="bullet"/>
      <w:lvlText w:val="•"/>
      <w:lvlJc w:val="left"/>
      <w:pPr>
        <w:ind w:left="2113" w:hanging="284"/>
      </w:pPr>
      <w:rPr>
        <w:rFonts w:hint="default"/>
        <w:lang w:val="en-US" w:eastAsia="en-US" w:bidi="ar-SA"/>
      </w:rPr>
    </w:lvl>
    <w:lvl w:ilvl="4" w:tplc="B88A2DF4">
      <w:numFmt w:val="bullet"/>
      <w:lvlText w:val="•"/>
      <w:lvlJc w:val="left"/>
      <w:pPr>
        <w:ind w:left="2558" w:hanging="284"/>
      </w:pPr>
      <w:rPr>
        <w:rFonts w:hint="default"/>
        <w:lang w:val="en-US" w:eastAsia="en-US" w:bidi="ar-SA"/>
      </w:rPr>
    </w:lvl>
    <w:lvl w:ilvl="5" w:tplc="3E7A6124">
      <w:numFmt w:val="bullet"/>
      <w:lvlText w:val="•"/>
      <w:lvlJc w:val="left"/>
      <w:pPr>
        <w:ind w:left="3003" w:hanging="284"/>
      </w:pPr>
      <w:rPr>
        <w:rFonts w:hint="default"/>
        <w:lang w:val="en-US" w:eastAsia="en-US" w:bidi="ar-SA"/>
      </w:rPr>
    </w:lvl>
    <w:lvl w:ilvl="6" w:tplc="FB94F8D2">
      <w:numFmt w:val="bullet"/>
      <w:lvlText w:val="•"/>
      <w:lvlJc w:val="left"/>
      <w:pPr>
        <w:ind w:left="3447" w:hanging="284"/>
      </w:pPr>
      <w:rPr>
        <w:rFonts w:hint="default"/>
        <w:lang w:val="en-US" w:eastAsia="en-US" w:bidi="ar-SA"/>
      </w:rPr>
    </w:lvl>
    <w:lvl w:ilvl="7" w:tplc="3FF2AAD6">
      <w:numFmt w:val="bullet"/>
      <w:lvlText w:val="•"/>
      <w:lvlJc w:val="left"/>
      <w:pPr>
        <w:ind w:left="3892" w:hanging="284"/>
      </w:pPr>
      <w:rPr>
        <w:rFonts w:hint="default"/>
        <w:lang w:val="en-US" w:eastAsia="en-US" w:bidi="ar-SA"/>
      </w:rPr>
    </w:lvl>
    <w:lvl w:ilvl="8" w:tplc="84B0E6DC">
      <w:numFmt w:val="bullet"/>
      <w:lvlText w:val="•"/>
      <w:lvlJc w:val="left"/>
      <w:pPr>
        <w:ind w:left="4336" w:hanging="284"/>
      </w:pPr>
      <w:rPr>
        <w:rFonts w:hint="default"/>
        <w:lang w:val="en-US" w:eastAsia="en-US" w:bidi="ar-SA"/>
      </w:rPr>
    </w:lvl>
  </w:abstractNum>
  <w:abstractNum w:abstractNumId="124" w15:restartNumberingAfterBreak="0">
    <w:nsid w:val="4A585CDE"/>
    <w:multiLevelType w:val="hybridMultilevel"/>
    <w:tmpl w:val="FA88FC80"/>
    <w:lvl w:ilvl="0" w:tplc="3F5AF4E4">
      <w:start w:val="9"/>
      <w:numFmt w:val="decimal"/>
      <w:lvlText w:val="%1"/>
      <w:lvlJc w:val="left"/>
      <w:pPr>
        <w:ind w:left="1058" w:hanging="199"/>
        <w:jc w:val="right"/>
      </w:pPr>
      <w:rPr>
        <w:rFonts w:ascii="Arial" w:eastAsia="Arial" w:hAnsi="Arial" w:cs="Arial" w:hint="default"/>
        <w:b w:val="0"/>
        <w:bCs w:val="0"/>
        <w:i w:val="0"/>
        <w:iCs w:val="0"/>
        <w:w w:val="99"/>
        <w:sz w:val="14"/>
        <w:szCs w:val="14"/>
        <w:lang w:val="en-US" w:eastAsia="en-US" w:bidi="ar-SA"/>
      </w:rPr>
    </w:lvl>
    <w:lvl w:ilvl="1" w:tplc="99D64BEE">
      <w:numFmt w:val="bullet"/>
      <w:lvlText w:val="•"/>
      <w:lvlJc w:val="left"/>
      <w:pPr>
        <w:ind w:left="1417" w:hanging="199"/>
      </w:pPr>
      <w:rPr>
        <w:rFonts w:hint="default"/>
        <w:lang w:val="en-US" w:eastAsia="en-US" w:bidi="ar-SA"/>
      </w:rPr>
    </w:lvl>
    <w:lvl w:ilvl="2" w:tplc="80E42D56">
      <w:numFmt w:val="bullet"/>
      <w:lvlText w:val="•"/>
      <w:lvlJc w:val="left"/>
      <w:pPr>
        <w:ind w:left="1775" w:hanging="199"/>
      </w:pPr>
      <w:rPr>
        <w:rFonts w:hint="default"/>
        <w:lang w:val="en-US" w:eastAsia="en-US" w:bidi="ar-SA"/>
      </w:rPr>
    </w:lvl>
    <w:lvl w:ilvl="3" w:tplc="9E06B3D6">
      <w:numFmt w:val="bullet"/>
      <w:lvlText w:val="•"/>
      <w:lvlJc w:val="left"/>
      <w:pPr>
        <w:ind w:left="2132" w:hanging="199"/>
      </w:pPr>
      <w:rPr>
        <w:rFonts w:hint="default"/>
        <w:lang w:val="en-US" w:eastAsia="en-US" w:bidi="ar-SA"/>
      </w:rPr>
    </w:lvl>
    <w:lvl w:ilvl="4" w:tplc="B51EDB8E">
      <w:numFmt w:val="bullet"/>
      <w:lvlText w:val="•"/>
      <w:lvlJc w:val="left"/>
      <w:pPr>
        <w:ind w:left="2490" w:hanging="199"/>
      </w:pPr>
      <w:rPr>
        <w:rFonts w:hint="default"/>
        <w:lang w:val="en-US" w:eastAsia="en-US" w:bidi="ar-SA"/>
      </w:rPr>
    </w:lvl>
    <w:lvl w:ilvl="5" w:tplc="5576ED4A">
      <w:numFmt w:val="bullet"/>
      <w:lvlText w:val="•"/>
      <w:lvlJc w:val="left"/>
      <w:pPr>
        <w:ind w:left="2848" w:hanging="199"/>
      </w:pPr>
      <w:rPr>
        <w:rFonts w:hint="default"/>
        <w:lang w:val="en-US" w:eastAsia="en-US" w:bidi="ar-SA"/>
      </w:rPr>
    </w:lvl>
    <w:lvl w:ilvl="6" w:tplc="D5BE8FCC">
      <w:numFmt w:val="bullet"/>
      <w:lvlText w:val="•"/>
      <w:lvlJc w:val="left"/>
      <w:pPr>
        <w:ind w:left="3205" w:hanging="199"/>
      </w:pPr>
      <w:rPr>
        <w:rFonts w:hint="default"/>
        <w:lang w:val="en-US" w:eastAsia="en-US" w:bidi="ar-SA"/>
      </w:rPr>
    </w:lvl>
    <w:lvl w:ilvl="7" w:tplc="2E8AD7DA">
      <w:numFmt w:val="bullet"/>
      <w:lvlText w:val="•"/>
      <w:lvlJc w:val="left"/>
      <w:pPr>
        <w:ind w:left="3563" w:hanging="199"/>
      </w:pPr>
      <w:rPr>
        <w:rFonts w:hint="default"/>
        <w:lang w:val="en-US" w:eastAsia="en-US" w:bidi="ar-SA"/>
      </w:rPr>
    </w:lvl>
    <w:lvl w:ilvl="8" w:tplc="75CC9C06">
      <w:numFmt w:val="bullet"/>
      <w:lvlText w:val="•"/>
      <w:lvlJc w:val="left"/>
      <w:pPr>
        <w:ind w:left="3920" w:hanging="199"/>
      </w:pPr>
      <w:rPr>
        <w:rFonts w:hint="default"/>
        <w:lang w:val="en-US" w:eastAsia="en-US" w:bidi="ar-SA"/>
      </w:rPr>
    </w:lvl>
  </w:abstractNum>
  <w:abstractNum w:abstractNumId="125" w15:restartNumberingAfterBreak="0">
    <w:nsid w:val="4B722BA9"/>
    <w:multiLevelType w:val="hybridMultilevel"/>
    <w:tmpl w:val="6C02EAF4"/>
    <w:lvl w:ilvl="0" w:tplc="1DF6BB18">
      <w:numFmt w:val="bullet"/>
      <w:lvlText w:val="•"/>
      <w:lvlJc w:val="left"/>
      <w:pPr>
        <w:ind w:left="487" w:hanging="284"/>
      </w:pPr>
      <w:rPr>
        <w:rFonts w:ascii="Tahoma" w:eastAsia="Tahoma" w:hAnsi="Tahoma" w:cs="Tahoma" w:hint="default"/>
        <w:b w:val="0"/>
        <w:bCs w:val="0"/>
        <w:i w:val="0"/>
        <w:iCs w:val="0"/>
        <w:w w:val="109"/>
        <w:sz w:val="20"/>
        <w:szCs w:val="20"/>
        <w:lang w:val="en-US" w:eastAsia="en-US" w:bidi="ar-SA"/>
      </w:rPr>
    </w:lvl>
    <w:lvl w:ilvl="1" w:tplc="0BDC6328">
      <w:numFmt w:val="bullet"/>
      <w:lvlText w:val="•"/>
      <w:lvlJc w:val="left"/>
      <w:pPr>
        <w:ind w:left="1003" w:hanging="284"/>
      </w:pPr>
      <w:rPr>
        <w:rFonts w:hint="default"/>
        <w:lang w:val="en-US" w:eastAsia="en-US" w:bidi="ar-SA"/>
      </w:rPr>
    </w:lvl>
    <w:lvl w:ilvl="2" w:tplc="693823A0">
      <w:numFmt w:val="bullet"/>
      <w:lvlText w:val="•"/>
      <w:lvlJc w:val="left"/>
      <w:pPr>
        <w:ind w:left="1527" w:hanging="284"/>
      </w:pPr>
      <w:rPr>
        <w:rFonts w:hint="default"/>
        <w:lang w:val="en-US" w:eastAsia="en-US" w:bidi="ar-SA"/>
      </w:rPr>
    </w:lvl>
    <w:lvl w:ilvl="3" w:tplc="0AC21A92">
      <w:numFmt w:val="bullet"/>
      <w:lvlText w:val="•"/>
      <w:lvlJc w:val="left"/>
      <w:pPr>
        <w:ind w:left="2050" w:hanging="284"/>
      </w:pPr>
      <w:rPr>
        <w:rFonts w:hint="default"/>
        <w:lang w:val="en-US" w:eastAsia="en-US" w:bidi="ar-SA"/>
      </w:rPr>
    </w:lvl>
    <w:lvl w:ilvl="4" w:tplc="B5C0FBC2">
      <w:numFmt w:val="bullet"/>
      <w:lvlText w:val="•"/>
      <w:lvlJc w:val="left"/>
      <w:pPr>
        <w:ind w:left="2574" w:hanging="284"/>
      </w:pPr>
      <w:rPr>
        <w:rFonts w:hint="default"/>
        <w:lang w:val="en-US" w:eastAsia="en-US" w:bidi="ar-SA"/>
      </w:rPr>
    </w:lvl>
    <w:lvl w:ilvl="5" w:tplc="E22AFB50">
      <w:numFmt w:val="bullet"/>
      <w:lvlText w:val="•"/>
      <w:lvlJc w:val="left"/>
      <w:pPr>
        <w:ind w:left="3098" w:hanging="284"/>
      </w:pPr>
      <w:rPr>
        <w:rFonts w:hint="default"/>
        <w:lang w:val="en-US" w:eastAsia="en-US" w:bidi="ar-SA"/>
      </w:rPr>
    </w:lvl>
    <w:lvl w:ilvl="6" w:tplc="B4A4A722">
      <w:numFmt w:val="bullet"/>
      <w:lvlText w:val="•"/>
      <w:lvlJc w:val="left"/>
      <w:pPr>
        <w:ind w:left="3621" w:hanging="284"/>
      </w:pPr>
      <w:rPr>
        <w:rFonts w:hint="default"/>
        <w:lang w:val="en-US" w:eastAsia="en-US" w:bidi="ar-SA"/>
      </w:rPr>
    </w:lvl>
    <w:lvl w:ilvl="7" w:tplc="703C39A2">
      <w:numFmt w:val="bullet"/>
      <w:lvlText w:val="•"/>
      <w:lvlJc w:val="left"/>
      <w:pPr>
        <w:ind w:left="4145" w:hanging="284"/>
      </w:pPr>
      <w:rPr>
        <w:rFonts w:hint="default"/>
        <w:lang w:val="en-US" w:eastAsia="en-US" w:bidi="ar-SA"/>
      </w:rPr>
    </w:lvl>
    <w:lvl w:ilvl="8" w:tplc="6D84B998">
      <w:numFmt w:val="bullet"/>
      <w:lvlText w:val="•"/>
      <w:lvlJc w:val="left"/>
      <w:pPr>
        <w:ind w:left="4668" w:hanging="284"/>
      </w:pPr>
      <w:rPr>
        <w:rFonts w:hint="default"/>
        <w:lang w:val="en-US" w:eastAsia="en-US" w:bidi="ar-SA"/>
      </w:rPr>
    </w:lvl>
  </w:abstractNum>
  <w:abstractNum w:abstractNumId="126" w15:restartNumberingAfterBreak="0">
    <w:nsid w:val="4B861137"/>
    <w:multiLevelType w:val="hybridMultilevel"/>
    <w:tmpl w:val="1C343980"/>
    <w:lvl w:ilvl="0" w:tplc="6A28152A">
      <w:numFmt w:val="bullet"/>
      <w:lvlText w:val="•"/>
      <w:lvlJc w:val="left"/>
      <w:pPr>
        <w:ind w:left="775" w:hanging="284"/>
      </w:pPr>
      <w:rPr>
        <w:rFonts w:ascii="Tahoma" w:eastAsia="Tahoma" w:hAnsi="Tahoma" w:cs="Tahoma" w:hint="default"/>
        <w:b w:val="0"/>
        <w:bCs w:val="0"/>
        <w:i w:val="0"/>
        <w:iCs w:val="0"/>
        <w:w w:val="109"/>
        <w:sz w:val="20"/>
        <w:szCs w:val="20"/>
        <w:lang w:val="en-US" w:eastAsia="en-US" w:bidi="ar-SA"/>
      </w:rPr>
    </w:lvl>
    <w:lvl w:ilvl="1" w:tplc="2BD84EE4">
      <w:numFmt w:val="bullet"/>
      <w:lvlText w:val="•"/>
      <w:lvlJc w:val="left"/>
      <w:pPr>
        <w:ind w:left="1226" w:hanging="284"/>
      </w:pPr>
      <w:rPr>
        <w:rFonts w:hint="default"/>
        <w:lang w:val="en-US" w:eastAsia="en-US" w:bidi="ar-SA"/>
      </w:rPr>
    </w:lvl>
    <w:lvl w:ilvl="2" w:tplc="F19A5C52">
      <w:numFmt w:val="bullet"/>
      <w:lvlText w:val="•"/>
      <w:lvlJc w:val="left"/>
      <w:pPr>
        <w:ind w:left="1672" w:hanging="284"/>
      </w:pPr>
      <w:rPr>
        <w:rFonts w:hint="default"/>
        <w:lang w:val="en-US" w:eastAsia="en-US" w:bidi="ar-SA"/>
      </w:rPr>
    </w:lvl>
    <w:lvl w:ilvl="3" w:tplc="4CEEB06C">
      <w:numFmt w:val="bullet"/>
      <w:lvlText w:val="•"/>
      <w:lvlJc w:val="left"/>
      <w:pPr>
        <w:ind w:left="2119" w:hanging="284"/>
      </w:pPr>
      <w:rPr>
        <w:rFonts w:hint="default"/>
        <w:lang w:val="en-US" w:eastAsia="en-US" w:bidi="ar-SA"/>
      </w:rPr>
    </w:lvl>
    <w:lvl w:ilvl="4" w:tplc="BD8AEC1C">
      <w:numFmt w:val="bullet"/>
      <w:lvlText w:val="•"/>
      <w:lvlJc w:val="left"/>
      <w:pPr>
        <w:ind w:left="2565" w:hanging="284"/>
      </w:pPr>
      <w:rPr>
        <w:rFonts w:hint="default"/>
        <w:lang w:val="en-US" w:eastAsia="en-US" w:bidi="ar-SA"/>
      </w:rPr>
    </w:lvl>
    <w:lvl w:ilvl="5" w:tplc="8FE819D6">
      <w:numFmt w:val="bullet"/>
      <w:lvlText w:val="•"/>
      <w:lvlJc w:val="left"/>
      <w:pPr>
        <w:ind w:left="3012" w:hanging="284"/>
      </w:pPr>
      <w:rPr>
        <w:rFonts w:hint="default"/>
        <w:lang w:val="en-US" w:eastAsia="en-US" w:bidi="ar-SA"/>
      </w:rPr>
    </w:lvl>
    <w:lvl w:ilvl="6" w:tplc="890057A0">
      <w:numFmt w:val="bullet"/>
      <w:lvlText w:val="•"/>
      <w:lvlJc w:val="left"/>
      <w:pPr>
        <w:ind w:left="3458" w:hanging="284"/>
      </w:pPr>
      <w:rPr>
        <w:rFonts w:hint="default"/>
        <w:lang w:val="en-US" w:eastAsia="en-US" w:bidi="ar-SA"/>
      </w:rPr>
    </w:lvl>
    <w:lvl w:ilvl="7" w:tplc="3154C7E8">
      <w:numFmt w:val="bullet"/>
      <w:lvlText w:val="•"/>
      <w:lvlJc w:val="left"/>
      <w:pPr>
        <w:ind w:left="3905" w:hanging="284"/>
      </w:pPr>
      <w:rPr>
        <w:rFonts w:hint="default"/>
        <w:lang w:val="en-US" w:eastAsia="en-US" w:bidi="ar-SA"/>
      </w:rPr>
    </w:lvl>
    <w:lvl w:ilvl="8" w:tplc="B1D4C6C6">
      <w:numFmt w:val="bullet"/>
      <w:lvlText w:val="•"/>
      <w:lvlJc w:val="left"/>
      <w:pPr>
        <w:ind w:left="4351" w:hanging="284"/>
      </w:pPr>
      <w:rPr>
        <w:rFonts w:hint="default"/>
        <w:lang w:val="en-US" w:eastAsia="en-US" w:bidi="ar-SA"/>
      </w:rPr>
    </w:lvl>
  </w:abstractNum>
  <w:abstractNum w:abstractNumId="127" w15:restartNumberingAfterBreak="0">
    <w:nsid w:val="4BF06D47"/>
    <w:multiLevelType w:val="multilevel"/>
    <w:tmpl w:val="23B8D012"/>
    <w:lvl w:ilvl="0">
      <w:start w:val="7"/>
      <w:numFmt w:val="decimal"/>
      <w:lvlText w:val="%1"/>
      <w:lvlJc w:val="left"/>
      <w:pPr>
        <w:ind w:left="941" w:hanging="450"/>
        <w:jc w:val="left"/>
      </w:pPr>
      <w:rPr>
        <w:rFonts w:hint="default"/>
        <w:lang w:val="en-US" w:eastAsia="en-US" w:bidi="ar-SA"/>
      </w:rPr>
    </w:lvl>
    <w:lvl w:ilvl="1">
      <w:start w:val="1"/>
      <w:numFmt w:val="decimal"/>
      <w:lvlText w:val="%1.%2"/>
      <w:lvlJc w:val="left"/>
      <w:pPr>
        <w:ind w:left="941" w:hanging="450"/>
        <w:jc w:val="right"/>
      </w:pPr>
      <w:rPr>
        <w:rFonts w:ascii="Arial" w:eastAsia="Arial" w:hAnsi="Arial" w:cs="Arial" w:hint="default"/>
        <w:b/>
        <w:bCs/>
        <w:i w:val="0"/>
        <w:iCs w:val="0"/>
        <w:color w:val="00AEEF"/>
        <w:spacing w:val="-5"/>
        <w:w w:val="99"/>
        <w:sz w:val="28"/>
        <w:szCs w:val="28"/>
        <w:lang w:val="en-US" w:eastAsia="en-US" w:bidi="ar-SA"/>
      </w:rPr>
    </w:lvl>
    <w:lvl w:ilvl="2">
      <w:start w:val="1"/>
      <w:numFmt w:val="decimal"/>
      <w:lvlText w:val="%1.%2.%3"/>
      <w:lvlJc w:val="left"/>
      <w:pPr>
        <w:ind w:left="689" w:hanging="486"/>
        <w:jc w:val="right"/>
      </w:pPr>
      <w:rPr>
        <w:rFonts w:hint="default"/>
        <w:spacing w:val="-3"/>
        <w:w w:val="99"/>
        <w:lang w:val="en-US" w:eastAsia="en-US" w:bidi="ar-SA"/>
      </w:rPr>
    </w:lvl>
    <w:lvl w:ilvl="3">
      <w:numFmt w:val="bullet"/>
      <w:lvlText w:val="•"/>
      <w:lvlJc w:val="left"/>
      <w:pPr>
        <w:ind w:left="775" w:hanging="486"/>
      </w:pPr>
      <w:rPr>
        <w:rFonts w:ascii="Tahoma" w:eastAsia="Tahoma" w:hAnsi="Tahoma" w:cs="Tahoma" w:hint="default"/>
        <w:b w:val="0"/>
        <w:bCs w:val="0"/>
        <w:i w:val="0"/>
        <w:iCs w:val="0"/>
        <w:w w:val="109"/>
        <w:sz w:val="20"/>
        <w:szCs w:val="20"/>
        <w:lang w:val="en-US" w:eastAsia="en-US" w:bidi="ar-SA"/>
      </w:rPr>
    </w:lvl>
    <w:lvl w:ilvl="4">
      <w:numFmt w:val="bullet"/>
      <w:lvlText w:val="•"/>
      <w:lvlJc w:val="left"/>
      <w:pPr>
        <w:ind w:left="780" w:hanging="486"/>
      </w:pPr>
      <w:rPr>
        <w:rFonts w:hint="default"/>
        <w:lang w:val="en-US" w:eastAsia="en-US" w:bidi="ar-SA"/>
      </w:rPr>
    </w:lvl>
    <w:lvl w:ilvl="5">
      <w:numFmt w:val="bullet"/>
      <w:lvlText w:val="•"/>
      <w:lvlJc w:val="left"/>
      <w:pPr>
        <w:ind w:left="940" w:hanging="486"/>
      </w:pPr>
      <w:rPr>
        <w:rFonts w:hint="default"/>
        <w:lang w:val="en-US" w:eastAsia="en-US" w:bidi="ar-SA"/>
      </w:rPr>
    </w:lvl>
    <w:lvl w:ilvl="6">
      <w:numFmt w:val="bullet"/>
      <w:lvlText w:val="•"/>
      <w:lvlJc w:val="left"/>
      <w:pPr>
        <w:ind w:left="980" w:hanging="486"/>
      </w:pPr>
      <w:rPr>
        <w:rFonts w:hint="default"/>
        <w:lang w:val="en-US" w:eastAsia="en-US" w:bidi="ar-SA"/>
      </w:rPr>
    </w:lvl>
    <w:lvl w:ilvl="7">
      <w:numFmt w:val="bullet"/>
      <w:lvlText w:val="•"/>
      <w:lvlJc w:val="left"/>
      <w:pPr>
        <w:ind w:left="722" w:hanging="486"/>
      </w:pPr>
      <w:rPr>
        <w:rFonts w:hint="default"/>
        <w:lang w:val="en-US" w:eastAsia="en-US" w:bidi="ar-SA"/>
      </w:rPr>
    </w:lvl>
    <w:lvl w:ilvl="8">
      <w:numFmt w:val="bullet"/>
      <w:lvlText w:val="•"/>
      <w:lvlJc w:val="left"/>
      <w:pPr>
        <w:ind w:left="465" w:hanging="486"/>
      </w:pPr>
      <w:rPr>
        <w:rFonts w:hint="default"/>
        <w:lang w:val="en-US" w:eastAsia="en-US" w:bidi="ar-SA"/>
      </w:rPr>
    </w:lvl>
  </w:abstractNum>
  <w:abstractNum w:abstractNumId="128" w15:restartNumberingAfterBreak="0">
    <w:nsid w:val="4C076ACB"/>
    <w:multiLevelType w:val="multilevel"/>
    <w:tmpl w:val="FE084300"/>
    <w:lvl w:ilvl="0">
      <w:start w:val="7"/>
      <w:numFmt w:val="decimal"/>
      <w:lvlText w:val="%1"/>
      <w:lvlJc w:val="left"/>
      <w:pPr>
        <w:ind w:left="848" w:hanging="511"/>
        <w:jc w:val="left"/>
      </w:pPr>
      <w:rPr>
        <w:rFonts w:hint="default"/>
        <w:lang w:val="en-US" w:eastAsia="en-US" w:bidi="ar-SA"/>
      </w:rPr>
    </w:lvl>
    <w:lvl w:ilvl="1">
      <w:numFmt w:val="decimal"/>
      <w:lvlText w:val="%1.%2"/>
      <w:lvlJc w:val="left"/>
      <w:pPr>
        <w:ind w:left="848" w:hanging="511"/>
        <w:jc w:val="left"/>
      </w:pPr>
      <w:rPr>
        <w:rFonts w:hint="default"/>
        <w:w w:val="99"/>
        <w:lang w:val="en-US" w:eastAsia="en-US" w:bidi="ar-SA"/>
      </w:rPr>
    </w:lvl>
    <w:lvl w:ilvl="2">
      <w:numFmt w:val="bullet"/>
      <w:lvlText w:val="•"/>
      <w:lvlJc w:val="left"/>
      <w:pPr>
        <w:ind w:left="2847" w:hanging="511"/>
      </w:pPr>
      <w:rPr>
        <w:rFonts w:hint="default"/>
        <w:lang w:val="en-US" w:eastAsia="en-US" w:bidi="ar-SA"/>
      </w:rPr>
    </w:lvl>
    <w:lvl w:ilvl="3">
      <w:numFmt w:val="bullet"/>
      <w:lvlText w:val="•"/>
      <w:lvlJc w:val="left"/>
      <w:pPr>
        <w:ind w:left="3851" w:hanging="511"/>
      </w:pPr>
      <w:rPr>
        <w:rFonts w:hint="default"/>
        <w:lang w:val="en-US" w:eastAsia="en-US" w:bidi="ar-SA"/>
      </w:rPr>
    </w:lvl>
    <w:lvl w:ilvl="4">
      <w:numFmt w:val="bullet"/>
      <w:lvlText w:val="•"/>
      <w:lvlJc w:val="left"/>
      <w:pPr>
        <w:ind w:left="4854" w:hanging="511"/>
      </w:pPr>
      <w:rPr>
        <w:rFonts w:hint="default"/>
        <w:lang w:val="en-US" w:eastAsia="en-US" w:bidi="ar-SA"/>
      </w:rPr>
    </w:lvl>
    <w:lvl w:ilvl="5">
      <w:numFmt w:val="bullet"/>
      <w:lvlText w:val="•"/>
      <w:lvlJc w:val="left"/>
      <w:pPr>
        <w:ind w:left="5858" w:hanging="511"/>
      </w:pPr>
      <w:rPr>
        <w:rFonts w:hint="default"/>
        <w:lang w:val="en-US" w:eastAsia="en-US" w:bidi="ar-SA"/>
      </w:rPr>
    </w:lvl>
    <w:lvl w:ilvl="6">
      <w:numFmt w:val="bullet"/>
      <w:lvlText w:val="•"/>
      <w:lvlJc w:val="left"/>
      <w:pPr>
        <w:ind w:left="6862" w:hanging="511"/>
      </w:pPr>
      <w:rPr>
        <w:rFonts w:hint="default"/>
        <w:lang w:val="en-US" w:eastAsia="en-US" w:bidi="ar-SA"/>
      </w:rPr>
    </w:lvl>
    <w:lvl w:ilvl="7">
      <w:numFmt w:val="bullet"/>
      <w:lvlText w:val="•"/>
      <w:lvlJc w:val="left"/>
      <w:pPr>
        <w:ind w:left="7865" w:hanging="511"/>
      </w:pPr>
      <w:rPr>
        <w:rFonts w:hint="default"/>
        <w:lang w:val="en-US" w:eastAsia="en-US" w:bidi="ar-SA"/>
      </w:rPr>
    </w:lvl>
    <w:lvl w:ilvl="8">
      <w:numFmt w:val="bullet"/>
      <w:lvlText w:val="•"/>
      <w:lvlJc w:val="left"/>
      <w:pPr>
        <w:ind w:left="8869" w:hanging="511"/>
      </w:pPr>
      <w:rPr>
        <w:rFonts w:hint="default"/>
        <w:lang w:val="en-US" w:eastAsia="en-US" w:bidi="ar-SA"/>
      </w:rPr>
    </w:lvl>
  </w:abstractNum>
  <w:abstractNum w:abstractNumId="129" w15:restartNumberingAfterBreak="0">
    <w:nsid w:val="4C4B0BA8"/>
    <w:multiLevelType w:val="hybridMultilevel"/>
    <w:tmpl w:val="BC9C3864"/>
    <w:lvl w:ilvl="0" w:tplc="9F1EAED4">
      <w:numFmt w:val="bullet"/>
      <w:lvlText w:val="–"/>
      <w:lvlJc w:val="left"/>
      <w:pPr>
        <w:ind w:left="187" w:hanging="122"/>
      </w:pPr>
      <w:rPr>
        <w:rFonts w:ascii="Arial" w:eastAsia="Arial" w:hAnsi="Arial" w:cs="Arial" w:hint="default"/>
        <w:b w:val="0"/>
        <w:bCs w:val="0"/>
        <w:i w:val="0"/>
        <w:iCs w:val="0"/>
        <w:w w:val="89"/>
        <w:sz w:val="16"/>
        <w:szCs w:val="16"/>
        <w:lang w:val="en-US" w:eastAsia="en-US" w:bidi="ar-SA"/>
      </w:rPr>
    </w:lvl>
    <w:lvl w:ilvl="1" w:tplc="964A087E">
      <w:numFmt w:val="bullet"/>
      <w:lvlText w:val="•"/>
      <w:lvlJc w:val="left"/>
      <w:pPr>
        <w:ind w:left="376" w:hanging="122"/>
      </w:pPr>
      <w:rPr>
        <w:rFonts w:hint="default"/>
        <w:lang w:val="en-US" w:eastAsia="en-US" w:bidi="ar-SA"/>
      </w:rPr>
    </w:lvl>
    <w:lvl w:ilvl="2" w:tplc="36B65CD0">
      <w:numFmt w:val="bullet"/>
      <w:lvlText w:val="•"/>
      <w:lvlJc w:val="left"/>
      <w:pPr>
        <w:ind w:left="573" w:hanging="122"/>
      </w:pPr>
      <w:rPr>
        <w:rFonts w:hint="default"/>
        <w:lang w:val="en-US" w:eastAsia="en-US" w:bidi="ar-SA"/>
      </w:rPr>
    </w:lvl>
    <w:lvl w:ilvl="3" w:tplc="2BEA3B26">
      <w:numFmt w:val="bullet"/>
      <w:lvlText w:val="•"/>
      <w:lvlJc w:val="left"/>
      <w:pPr>
        <w:ind w:left="770" w:hanging="122"/>
      </w:pPr>
      <w:rPr>
        <w:rFonts w:hint="default"/>
        <w:lang w:val="en-US" w:eastAsia="en-US" w:bidi="ar-SA"/>
      </w:rPr>
    </w:lvl>
    <w:lvl w:ilvl="4" w:tplc="9D4621DC">
      <w:numFmt w:val="bullet"/>
      <w:lvlText w:val="•"/>
      <w:lvlJc w:val="left"/>
      <w:pPr>
        <w:ind w:left="967" w:hanging="122"/>
      </w:pPr>
      <w:rPr>
        <w:rFonts w:hint="default"/>
        <w:lang w:val="en-US" w:eastAsia="en-US" w:bidi="ar-SA"/>
      </w:rPr>
    </w:lvl>
    <w:lvl w:ilvl="5" w:tplc="5E509684">
      <w:numFmt w:val="bullet"/>
      <w:lvlText w:val="•"/>
      <w:lvlJc w:val="left"/>
      <w:pPr>
        <w:ind w:left="1164" w:hanging="122"/>
      </w:pPr>
      <w:rPr>
        <w:rFonts w:hint="default"/>
        <w:lang w:val="en-US" w:eastAsia="en-US" w:bidi="ar-SA"/>
      </w:rPr>
    </w:lvl>
    <w:lvl w:ilvl="6" w:tplc="D7FC8BD4">
      <w:numFmt w:val="bullet"/>
      <w:lvlText w:val="•"/>
      <w:lvlJc w:val="left"/>
      <w:pPr>
        <w:ind w:left="1360" w:hanging="122"/>
      </w:pPr>
      <w:rPr>
        <w:rFonts w:hint="default"/>
        <w:lang w:val="en-US" w:eastAsia="en-US" w:bidi="ar-SA"/>
      </w:rPr>
    </w:lvl>
    <w:lvl w:ilvl="7" w:tplc="C85CE478">
      <w:numFmt w:val="bullet"/>
      <w:lvlText w:val="•"/>
      <w:lvlJc w:val="left"/>
      <w:pPr>
        <w:ind w:left="1557" w:hanging="122"/>
      </w:pPr>
      <w:rPr>
        <w:rFonts w:hint="default"/>
        <w:lang w:val="en-US" w:eastAsia="en-US" w:bidi="ar-SA"/>
      </w:rPr>
    </w:lvl>
    <w:lvl w:ilvl="8" w:tplc="4AA4E12C">
      <w:numFmt w:val="bullet"/>
      <w:lvlText w:val="•"/>
      <w:lvlJc w:val="left"/>
      <w:pPr>
        <w:ind w:left="1754" w:hanging="122"/>
      </w:pPr>
      <w:rPr>
        <w:rFonts w:hint="default"/>
        <w:lang w:val="en-US" w:eastAsia="en-US" w:bidi="ar-SA"/>
      </w:rPr>
    </w:lvl>
  </w:abstractNum>
  <w:abstractNum w:abstractNumId="130" w15:restartNumberingAfterBreak="0">
    <w:nsid w:val="4D2C5E1D"/>
    <w:multiLevelType w:val="hybridMultilevel"/>
    <w:tmpl w:val="B1D85E7C"/>
    <w:lvl w:ilvl="0" w:tplc="2BD25EF2">
      <w:numFmt w:val="bullet"/>
      <w:lvlText w:val="•"/>
      <w:lvlJc w:val="left"/>
      <w:pPr>
        <w:ind w:left="501" w:hanging="284"/>
      </w:pPr>
      <w:rPr>
        <w:rFonts w:ascii="Tahoma" w:eastAsia="Tahoma" w:hAnsi="Tahoma" w:cs="Tahoma" w:hint="default"/>
        <w:b w:val="0"/>
        <w:bCs w:val="0"/>
        <w:i w:val="0"/>
        <w:iCs w:val="0"/>
        <w:w w:val="109"/>
        <w:sz w:val="20"/>
        <w:szCs w:val="20"/>
        <w:lang w:val="en-US" w:eastAsia="en-US" w:bidi="ar-SA"/>
      </w:rPr>
    </w:lvl>
    <w:lvl w:ilvl="1" w:tplc="EC32CD4A">
      <w:numFmt w:val="bullet"/>
      <w:lvlText w:val="•"/>
      <w:lvlJc w:val="left"/>
      <w:pPr>
        <w:ind w:left="1023" w:hanging="284"/>
      </w:pPr>
      <w:rPr>
        <w:rFonts w:hint="default"/>
        <w:lang w:val="en-US" w:eastAsia="en-US" w:bidi="ar-SA"/>
      </w:rPr>
    </w:lvl>
    <w:lvl w:ilvl="2" w:tplc="1998468C">
      <w:numFmt w:val="bullet"/>
      <w:lvlText w:val="•"/>
      <w:lvlJc w:val="left"/>
      <w:pPr>
        <w:ind w:left="1546" w:hanging="284"/>
      </w:pPr>
      <w:rPr>
        <w:rFonts w:hint="default"/>
        <w:lang w:val="en-US" w:eastAsia="en-US" w:bidi="ar-SA"/>
      </w:rPr>
    </w:lvl>
    <w:lvl w:ilvl="3" w:tplc="B8BECA90">
      <w:numFmt w:val="bullet"/>
      <w:lvlText w:val="•"/>
      <w:lvlJc w:val="left"/>
      <w:pPr>
        <w:ind w:left="2069" w:hanging="284"/>
      </w:pPr>
      <w:rPr>
        <w:rFonts w:hint="default"/>
        <w:lang w:val="en-US" w:eastAsia="en-US" w:bidi="ar-SA"/>
      </w:rPr>
    </w:lvl>
    <w:lvl w:ilvl="4" w:tplc="A42EFBAE">
      <w:numFmt w:val="bullet"/>
      <w:lvlText w:val="•"/>
      <w:lvlJc w:val="left"/>
      <w:pPr>
        <w:ind w:left="2592" w:hanging="284"/>
      </w:pPr>
      <w:rPr>
        <w:rFonts w:hint="default"/>
        <w:lang w:val="en-US" w:eastAsia="en-US" w:bidi="ar-SA"/>
      </w:rPr>
    </w:lvl>
    <w:lvl w:ilvl="5" w:tplc="E1D2F532">
      <w:numFmt w:val="bullet"/>
      <w:lvlText w:val="•"/>
      <w:lvlJc w:val="left"/>
      <w:pPr>
        <w:ind w:left="3115" w:hanging="284"/>
      </w:pPr>
      <w:rPr>
        <w:rFonts w:hint="default"/>
        <w:lang w:val="en-US" w:eastAsia="en-US" w:bidi="ar-SA"/>
      </w:rPr>
    </w:lvl>
    <w:lvl w:ilvl="6" w:tplc="3766CEDE">
      <w:numFmt w:val="bullet"/>
      <w:lvlText w:val="•"/>
      <w:lvlJc w:val="left"/>
      <w:pPr>
        <w:ind w:left="3638" w:hanging="284"/>
      </w:pPr>
      <w:rPr>
        <w:rFonts w:hint="default"/>
        <w:lang w:val="en-US" w:eastAsia="en-US" w:bidi="ar-SA"/>
      </w:rPr>
    </w:lvl>
    <w:lvl w:ilvl="7" w:tplc="C7EC3C06">
      <w:numFmt w:val="bullet"/>
      <w:lvlText w:val="•"/>
      <w:lvlJc w:val="left"/>
      <w:pPr>
        <w:ind w:left="4161" w:hanging="284"/>
      </w:pPr>
      <w:rPr>
        <w:rFonts w:hint="default"/>
        <w:lang w:val="en-US" w:eastAsia="en-US" w:bidi="ar-SA"/>
      </w:rPr>
    </w:lvl>
    <w:lvl w:ilvl="8" w:tplc="39840876">
      <w:numFmt w:val="bullet"/>
      <w:lvlText w:val="•"/>
      <w:lvlJc w:val="left"/>
      <w:pPr>
        <w:ind w:left="4684" w:hanging="284"/>
      </w:pPr>
      <w:rPr>
        <w:rFonts w:hint="default"/>
        <w:lang w:val="en-US" w:eastAsia="en-US" w:bidi="ar-SA"/>
      </w:rPr>
    </w:lvl>
  </w:abstractNum>
  <w:abstractNum w:abstractNumId="131" w15:restartNumberingAfterBreak="0">
    <w:nsid w:val="4DC429C1"/>
    <w:multiLevelType w:val="hybridMultilevel"/>
    <w:tmpl w:val="FE70CE66"/>
    <w:lvl w:ilvl="0" w:tplc="BDA4E25C">
      <w:numFmt w:val="bullet"/>
      <w:lvlText w:val="–"/>
      <w:lvlJc w:val="left"/>
      <w:pPr>
        <w:ind w:left="252" w:hanging="142"/>
      </w:pPr>
      <w:rPr>
        <w:rFonts w:ascii="Arial" w:eastAsia="Arial" w:hAnsi="Arial" w:cs="Arial" w:hint="default"/>
        <w:b w:val="0"/>
        <w:bCs w:val="0"/>
        <w:i w:val="0"/>
        <w:iCs w:val="0"/>
        <w:w w:val="89"/>
        <w:sz w:val="16"/>
        <w:szCs w:val="16"/>
        <w:lang w:val="en-US" w:eastAsia="en-US" w:bidi="ar-SA"/>
      </w:rPr>
    </w:lvl>
    <w:lvl w:ilvl="1" w:tplc="9744A600">
      <w:numFmt w:val="bullet"/>
      <w:lvlText w:val="•"/>
      <w:lvlJc w:val="left"/>
      <w:pPr>
        <w:ind w:left="1127" w:hanging="142"/>
      </w:pPr>
      <w:rPr>
        <w:rFonts w:hint="default"/>
        <w:lang w:val="en-US" w:eastAsia="en-US" w:bidi="ar-SA"/>
      </w:rPr>
    </w:lvl>
    <w:lvl w:ilvl="2" w:tplc="E144B3CE">
      <w:numFmt w:val="bullet"/>
      <w:lvlText w:val="•"/>
      <w:lvlJc w:val="left"/>
      <w:pPr>
        <w:ind w:left="1995" w:hanging="142"/>
      </w:pPr>
      <w:rPr>
        <w:rFonts w:hint="default"/>
        <w:lang w:val="en-US" w:eastAsia="en-US" w:bidi="ar-SA"/>
      </w:rPr>
    </w:lvl>
    <w:lvl w:ilvl="3" w:tplc="55CE30AE">
      <w:numFmt w:val="bullet"/>
      <w:lvlText w:val="•"/>
      <w:lvlJc w:val="left"/>
      <w:pPr>
        <w:ind w:left="2863" w:hanging="142"/>
      </w:pPr>
      <w:rPr>
        <w:rFonts w:hint="default"/>
        <w:lang w:val="en-US" w:eastAsia="en-US" w:bidi="ar-SA"/>
      </w:rPr>
    </w:lvl>
    <w:lvl w:ilvl="4" w:tplc="D3B440C4">
      <w:numFmt w:val="bullet"/>
      <w:lvlText w:val="•"/>
      <w:lvlJc w:val="left"/>
      <w:pPr>
        <w:ind w:left="3731" w:hanging="142"/>
      </w:pPr>
      <w:rPr>
        <w:rFonts w:hint="default"/>
        <w:lang w:val="en-US" w:eastAsia="en-US" w:bidi="ar-SA"/>
      </w:rPr>
    </w:lvl>
    <w:lvl w:ilvl="5" w:tplc="269EF9F0">
      <w:numFmt w:val="bullet"/>
      <w:lvlText w:val="•"/>
      <w:lvlJc w:val="left"/>
      <w:pPr>
        <w:ind w:left="4599" w:hanging="142"/>
      </w:pPr>
      <w:rPr>
        <w:rFonts w:hint="default"/>
        <w:lang w:val="en-US" w:eastAsia="en-US" w:bidi="ar-SA"/>
      </w:rPr>
    </w:lvl>
    <w:lvl w:ilvl="6" w:tplc="2E388330">
      <w:numFmt w:val="bullet"/>
      <w:lvlText w:val="•"/>
      <w:lvlJc w:val="left"/>
      <w:pPr>
        <w:ind w:left="5467" w:hanging="142"/>
      </w:pPr>
      <w:rPr>
        <w:rFonts w:hint="default"/>
        <w:lang w:val="en-US" w:eastAsia="en-US" w:bidi="ar-SA"/>
      </w:rPr>
    </w:lvl>
    <w:lvl w:ilvl="7" w:tplc="45148E34">
      <w:numFmt w:val="bullet"/>
      <w:lvlText w:val="•"/>
      <w:lvlJc w:val="left"/>
      <w:pPr>
        <w:ind w:left="6335" w:hanging="142"/>
      </w:pPr>
      <w:rPr>
        <w:rFonts w:hint="default"/>
        <w:lang w:val="en-US" w:eastAsia="en-US" w:bidi="ar-SA"/>
      </w:rPr>
    </w:lvl>
    <w:lvl w:ilvl="8" w:tplc="D8F85312">
      <w:numFmt w:val="bullet"/>
      <w:lvlText w:val="•"/>
      <w:lvlJc w:val="left"/>
      <w:pPr>
        <w:ind w:left="7203" w:hanging="142"/>
      </w:pPr>
      <w:rPr>
        <w:rFonts w:hint="default"/>
        <w:lang w:val="en-US" w:eastAsia="en-US" w:bidi="ar-SA"/>
      </w:rPr>
    </w:lvl>
  </w:abstractNum>
  <w:abstractNum w:abstractNumId="132" w15:restartNumberingAfterBreak="0">
    <w:nsid w:val="4EE03AAB"/>
    <w:multiLevelType w:val="multilevel"/>
    <w:tmpl w:val="D158C042"/>
    <w:lvl w:ilvl="0">
      <w:start w:val="8"/>
      <w:numFmt w:val="decimal"/>
      <w:lvlText w:val="%1"/>
      <w:lvlJc w:val="left"/>
      <w:pPr>
        <w:ind w:left="848" w:hanging="511"/>
        <w:jc w:val="left"/>
      </w:pPr>
      <w:rPr>
        <w:rFonts w:hint="default"/>
        <w:lang w:val="en-US" w:eastAsia="en-US" w:bidi="ar-SA"/>
      </w:rPr>
    </w:lvl>
    <w:lvl w:ilvl="1">
      <w:numFmt w:val="decimal"/>
      <w:lvlText w:val="%1.%2"/>
      <w:lvlJc w:val="left"/>
      <w:pPr>
        <w:ind w:left="848" w:hanging="511"/>
        <w:jc w:val="left"/>
      </w:pPr>
      <w:rPr>
        <w:rFonts w:hint="default"/>
        <w:w w:val="99"/>
        <w:lang w:val="en-US" w:eastAsia="en-US" w:bidi="ar-SA"/>
      </w:rPr>
    </w:lvl>
    <w:lvl w:ilvl="2">
      <w:numFmt w:val="bullet"/>
      <w:lvlText w:val="•"/>
      <w:lvlJc w:val="left"/>
      <w:pPr>
        <w:ind w:left="2847" w:hanging="511"/>
      </w:pPr>
      <w:rPr>
        <w:rFonts w:hint="default"/>
        <w:lang w:val="en-US" w:eastAsia="en-US" w:bidi="ar-SA"/>
      </w:rPr>
    </w:lvl>
    <w:lvl w:ilvl="3">
      <w:numFmt w:val="bullet"/>
      <w:lvlText w:val="•"/>
      <w:lvlJc w:val="left"/>
      <w:pPr>
        <w:ind w:left="3851" w:hanging="511"/>
      </w:pPr>
      <w:rPr>
        <w:rFonts w:hint="default"/>
        <w:lang w:val="en-US" w:eastAsia="en-US" w:bidi="ar-SA"/>
      </w:rPr>
    </w:lvl>
    <w:lvl w:ilvl="4">
      <w:numFmt w:val="bullet"/>
      <w:lvlText w:val="•"/>
      <w:lvlJc w:val="left"/>
      <w:pPr>
        <w:ind w:left="4854" w:hanging="511"/>
      </w:pPr>
      <w:rPr>
        <w:rFonts w:hint="default"/>
        <w:lang w:val="en-US" w:eastAsia="en-US" w:bidi="ar-SA"/>
      </w:rPr>
    </w:lvl>
    <w:lvl w:ilvl="5">
      <w:numFmt w:val="bullet"/>
      <w:lvlText w:val="•"/>
      <w:lvlJc w:val="left"/>
      <w:pPr>
        <w:ind w:left="5858" w:hanging="511"/>
      </w:pPr>
      <w:rPr>
        <w:rFonts w:hint="default"/>
        <w:lang w:val="en-US" w:eastAsia="en-US" w:bidi="ar-SA"/>
      </w:rPr>
    </w:lvl>
    <w:lvl w:ilvl="6">
      <w:numFmt w:val="bullet"/>
      <w:lvlText w:val="•"/>
      <w:lvlJc w:val="left"/>
      <w:pPr>
        <w:ind w:left="6862" w:hanging="511"/>
      </w:pPr>
      <w:rPr>
        <w:rFonts w:hint="default"/>
        <w:lang w:val="en-US" w:eastAsia="en-US" w:bidi="ar-SA"/>
      </w:rPr>
    </w:lvl>
    <w:lvl w:ilvl="7">
      <w:numFmt w:val="bullet"/>
      <w:lvlText w:val="•"/>
      <w:lvlJc w:val="left"/>
      <w:pPr>
        <w:ind w:left="7865" w:hanging="511"/>
      </w:pPr>
      <w:rPr>
        <w:rFonts w:hint="default"/>
        <w:lang w:val="en-US" w:eastAsia="en-US" w:bidi="ar-SA"/>
      </w:rPr>
    </w:lvl>
    <w:lvl w:ilvl="8">
      <w:numFmt w:val="bullet"/>
      <w:lvlText w:val="•"/>
      <w:lvlJc w:val="left"/>
      <w:pPr>
        <w:ind w:left="8869" w:hanging="511"/>
      </w:pPr>
      <w:rPr>
        <w:rFonts w:hint="default"/>
        <w:lang w:val="en-US" w:eastAsia="en-US" w:bidi="ar-SA"/>
      </w:rPr>
    </w:lvl>
  </w:abstractNum>
  <w:abstractNum w:abstractNumId="133" w15:restartNumberingAfterBreak="0">
    <w:nsid w:val="4EE85F25"/>
    <w:multiLevelType w:val="hybridMultilevel"/>
    <w:tmpl w:val="C18C8A4E"/>
    <w:lvl w:ilvl="0" w:tplc="6F966000">
      <w:start w:val="1"/>
      <w:numFmt w:val="decimal"/>
      <w:lvlText w:val="%1"/>
      <w:lvlJc w:val="left"/>
      <w:pPr>
        <w:ind w:left="10744" w:hanging="199"/>
        <w:jc w:val="right"/>
      </w:pPr>
      <w:rPr>
        <w:rFonts w:ascii="Arial" w:eastAsia="Arial" w:hAnsi="Arial" w:cs="Arial" w:hint="default"/>
        <w:b w:val="0"/>
        <w:bCs w:val="0"/>
        <w:i w:val="0"/>
        <w:iCs w:val="0"/>
        <w:w w:val="99"/>
        <w:sz w:val="14"/>
        <w:szCs w:val="14"/>
        <w:lang w:val="en-US" w:eastAsia="en-US" w:bidi="ar-SA"/>
      </w:rPr>
    </w:lvl>
    <w:lvl w:ilvl="1" w:tplc="7D1E8EFC">
      <w:numFmt w:val="bullet"/>
      <w:lvlText w:val="•"/>
      <w:lvlJc w:val="left"/>
      <w:pPr>
        <w:ind w:left="775" w:hanging="284"/>
      </w:pPr>
      <w:rPr>
        <w:rFonts w:ascii="Tahoma" w:eastAsia="Tahoma" w:hAnsi="Tahoma" w:cs="Tahoma" w:hint="default"/>
        <w:w w:val="109"/>
        <w:lang w:val="en-US" w:eastAsia="en-US" w:bidi="ar-SA"/>
      </w:rPr>
    </w:lvl>
    <w:lvl w:ilvl="2" w:tplc="DA34AD12">
      <w:numFmt w:val="bullet"/>
      <w:lvlText w:val="•"/>
      <w:lvlJc w:val="left"/>
      <w:pPr>
        <w:ind w:left="10124" w:hanging="284"/>
      </w:pPr>
      <w:rPr>
        <w:rFonts w:hint="default"/>
        <w:lang w:val="en-US" w:eastAsia="en-US" w:bidi="ar-SA"/>
      </w:rPr>
    </w:lvl>
    <w:lvl w:ilvl="3" w:tplc="26C6E498">
      <w:numFmt w:val="bullet"/>
      <w:lvlText w:val="•"/>
      <w:lvlJc w:val="left"/>
      <w:pPr>
        <w:ind w:left="9509" w:hanging="284"/>
      </w:pPr>
      <w:rPr>
        <w:rFonts w:hint="default"/>
        <w:lang w:val="en-US" w:eastAsia="en-US" w:bidi="ar-SA"/>
      </w:rPr>
    </w:lvl>
    <w:lvl w:ilvl="4" w:tplc="5182734E">
      <w:numFmt w:val="bullet"/>
      <w:lvlText w:val="•"/>
      <w:lvlJc w:val="left"/>
      <w:pPr>
        <w:ind w:left="8893" w:hanging="284"/>
      </w:pPr>
      <w:rPr>
        <w:rFonts w:hint="default"/>
        <w:lang w:val="en-US" w:eastAsia="en-US" w:bidi="ar-SA"/>
      </w:rPr>
    </w:lvl>
    <w:lvl w:ilvl="5" w:tplc="D930ADE2">
      <w:numFmt w:val="bullet"/>
      <w:lvlText w:val="•"/>
      <w:lvlJc w:val="left"/>
      <w:pPr>
        <w:ind w:left="8278" w:hanging="284"/>
      </w:pPr>
      <w:rPr>
        <w:rFonts w:hint="default"/>
        <w:lang w:val="en-US" w:eastAsia="en-US" w:bidi="ar-SA"/>
      </w:rPr>
    </w:lvl>
    <w:lvl w:ilvl="6" w:tplc="690A4154">
      <w:numFmt w:val="bullet"/>
      <w:lvlText w:val="•"/>
      <w:lvlJc w:val="left"/>
      <w:pPr>
        <w:ind w:left="7663" w:hanging="284"/>
      </w:pPr>
      <w:rPr>
        <w:rFonts w:hint="default"/>
        <w:lang w:val="en-US" w:eastAsia="en-US" w:bidi="ar-SA"/>
      </w:rPr>
    </w:lvl>
    <w:lvl w:ilvl="7" w:tplc="80E07CBA">
      <w:numFmt w:val="bullet"/>
      <w:lvlText w:val="•"/>
      <w:lvlJc w:val="left"/>
      <w:pPr>
        <w:ind w:left="7047" w:hanging="284"/>
      </w:pPr>
      <w:rPr>
        <w:rFonts w:hint="default"/>
        <w:lang w:val="en-US" w:eastAsia="en-US" w:bidi="ar-SA"/>
      </w:rPr>
    </w:lvl>
    <w:lvl w:ilvl="8" w:tplc="51C2172A">
      <w:numFmt w:val="bullet"/>
      <w:lvlText w:val="•"/>
      <w:lvlJc w:val="left"/>
      <w:pPr>
        <w:ind w:left="6432" w:hanging="284"/>
      </w:pPr>
      <w:rPr>
        <w:rFonts w:hint="default"/>
        <w:lang w:val="en-US" w:eastAsia="en-US" w:bidi="ar-SA"/>
      </w:rPr>
    </w:lvl>
  </w:abstractNum>
  <w:abstractNum w:abstractNumId="134" w15:restartNumberingAfterBreak="0">
    <w:nsid w:val="4F5A6E5B"/>
    <w:multiLevelType w:val="hybridMultilevel"/>
    <w:tmpl w:val="DCC299AE"/>
    <w:lvl w:ilvl="0" w:tplc="1B12C274">
      <w:start w:val="1"/>
      <w:numFmt w:val="decimal"/>
      <w:lvlText w:val="%1."/>
      <w:lvlJc w:val="left"/>
      <w:pPr>
        <w:ind w:left="685" w:hanging="194"/>
        <w:jc w:val="left"/>
      </w:pPr>
      <w:rPr>
        <w:rFonts w:ascii="Arial" w:eastAsia="Arial" w:hAnsi="Arial" w:cs="Arial" w:hint="default"/>
        <w:b w:val="0"/>
        <w:bCs w:val="0"/>
        <w:i w:val="0"/>
        <w:iCs w:val="0"/>
        <w:spacing w:val="-16"/>
        <w:w w:val="99"/>
        <w:sz w:val="20"/>
        <w:szCs w:val="20"/>
        <w:lang w:val="en-US" w:eastAsia="en-US" w:bidi="ar-SA"/>
      </w:rPr>
    </w:lvl>
    <w:lvl w:ilvl="1" w:tplc="4FEC72C6">
      <w:numFmt w:val="bullet"/>
      <w:lvlText w:val="•"/>
      <w:lvlJc w:val="left"/>
      <w:pPr>
        <w:ind w:left="1138" w:hanging="194"/>
      </w:pPr>
      <w:rPr>
        <w:rFonts w:hint="default"/>
        <w:lang w:val="en-US" w:eastAsia="en-US" w:bidi="ar-SA"/>
      </w:rPr>
    </w:lvl>
    <w:lvl w:ilvl="2" w:tplc="A3965C3E">
      <w:numFmt w:val="bullet"/>
      <w:lvlText w:val="•"/>
      <w:lvlJc w:val="left"/>
      <w:pPr>
        <w:ind w:left="1597" w:hanging="194"/>
      </w:pPr>
      <w:rPr>
        <w:rFonts w:hint="default"/>
        <w:lang w:val="en-US" w:eastAsia="en-US" w:bidi="ar-SA"/>
      </w:rPr>
    </w:lvl>
    <w:lvl w:ilvl="3" w:tplc="26DE9C7C">
      <w:numFmt w:val="bullet"/>
      <w:lvlText w:val="•"/>
      <w:lvlJc w:val="left"/>
      <w:pPr>
        <w:ind w:left="2055" w:hanging="194"/>
      </w:pPr>
      <w:rPr>
        <w:rFonts w:hint="default"/>
        <w:lang w:val="en-US" w:eastAsia="en-US" w:bidi="ar-SA"/>
      </w:rPr>
    </w:lvl>
    <w:lvl w:ilvl="4" w:tplc="D1FA1E64">
      <w:numFmt w:val="bullet"/>
      <w:lvlText w:val="•"/>
      <w:lvlJc w:val="left"/>
      <w:pPr>
        <w:ind w:left="2514" w:hanging="194"/>
      </w:pPr>
      <w:rPr>
        <w:rFonts w:hint="default"/>
        <w:lang w:val="en-US" w:eastAsia="en-US" w:bidi="ar-SA"/>
      </w:rPr>
    </w:lvl>
    <w:lvl w:ilvl="5" w:tplc="4F00120A">
      <w:numFmt w:val="bullet"/>
      <w:lvlText w:val="•"/>
      <w:lvlJc w:val="left"/>
      <w:pPr>
        <w:ind w:left="2973" w:hanging="194"/>
      </w:pPr>
      <w:rPr>
        <w:rFonts w:hint="default"/>
        <w:lang w:val="en-US" w:eastAsia="en-US" w:bidi="ar-SA"/>
      </w:rPr>
    </w:lvl>
    <w:lvl w:ilvl="6" w:tplc="821011C6">
      <w:numFmt w:val="bullet"/>
      <w:lvlText w:val="•"/>
      <w:lvlJc w:val="left"/>
      <w:pPr>
        <w:ind w:left="3431" w:hanging="194"/>
      </w:pPr>
      <w:rPr>
        <w:rFonts w:hint="default"/>
        <w:lang w:val="en-US" w:eastAsia="en-US" w:bidi="ar-SA"/>
      </w:rPr>
    </w:lvl>
    <w:lvl w:ilvl="7" w:tplc="3A74DEC8">
      <w:numFmt w:val="bullet"/>
      <w:lvlText w:val="•"/>
      <w:lvlJc w:val="left"/>
      <w:pPr>
        <w:ind w:left="3890" w:hanging="194"/>
      </w:pPr>
      <w:rPr>
        <w:rFonts w:hint="default"/>
        <w:lang w:val="en-US" w:eastAsia="en-US" w:bidi="ar-SA"/>
      </w:rPr>
    </w:lvl>
    <w:lvl w:ilvl="8" w:tplc="2910BC32">
      <w:numFmt w:val="bullet"/>
      <w:lvlText w:val="•"/>
      <w:lvlJc w:val="left"/>
      <w:pPr>
        <w:ind w:left="4349" w:hanging="194"/>
      </w:pPr>
      <w:rPr>
        <w:rFonts w:hint="default"/>
        <w:lang w:val="en-US" w:eastAsia="en-US" w:bidi="ar-SA"/>
      </w:rPr>
    </w:lvl>
  </w:abstractNum>
  <w:abstractNum w:abstractNumId="135" w15:restartNumberingAfterBreak="0">
    <w:nsid w:val="4F5E04FF"/>
    <w:multiLevelType w:val="hybridMultilevel"/>
    <w:tmpl w:val="B79C6AD8"/>
    <w:lvl w:ilvl="0" w:tplc="48544E70">
      <w:start w:val="1"/>
      <w:numFmt w:val="decimal"/>
      <w:lvlText w:val="%1"/>
      <w:lvlJc w:val="left"/>
      <w:pPr>
        <w:ind w:left="833" w:hanging="247"/>
        <w:jc w:val="right"/>
      </w:pPr>
      <w:rPr>
        <w:rFonts w:ascii="Arial" w:eastAsia="Arial" w:hAnsi="Arial" w:cs="Arial" w:hint="default"/>
        <w:b/>
        <w:bCs/>
        <w:i w:val="0"/>
        <w:iCs w:val="0"/>
        <w:w w:val="99"/>
        <w:sz w:val="14"/>
        <w:szCs w:val="14"/>
        <w:lang w:val="en-US" w:eastAsia="en-US" w:bidi="ar-SA"/>
      </w:rPr>
    </w:lvl>
    <w:lvl w:ilvl="1" w:tplc="A9689F70">
      <w:numFmt w:val="bullet"/>
      <w:lvlText w:val="•"/>
      <w:lvlJc w:val="left"/>
      <w:pPr>
        <w:ind w:left="1362" w:hanging="247"/>
      </w:pPr>
      <w:rPr>
        <w:rFonts w:hint="default"/>
        <w:lang w:val="en-US" w:eastAsia="en-US" w:bidi="ar-SA"/>
      </w:rPr>
    </w:lvl>
    <w:lvl w:ilvl="2" w:tplc="0E2AC43C">
      <w:numFmt w:val="bullet"/>
      <w:lvlText w:val="•"/>
      <w:lvlJc w:val="left"/>
      <w:pPr>
        <w:ind w:left="1884" w:hanging="247"/>
      </w:pPr>
      <w:rPr>
        <w:rFonts w:hint="default"/>
        <w:lang w:val="en-US" w:eastAsia="en-US" w:bidi="ar-SA"/>
      </w:rPr>
    </w:lvl>
    <w:lvl w:ilvl="3" w:tplc="BFF83762">
      <w:numFmt w:val="bullet"/>
      <w:lvlText w:val="•"/>
      <w:lvlJc w:val="left"/>
      <w:pPr>
        <w:ind w:left="2406" w:hanging="247"/>
      </w:pPr>
      <w:rPr>
        <w:rFonts w:hint="default"/>
        <w:lang w:val="en-US" w:eastAsia="en-US" w:bidi="ar-SA"/>
      </w:rPr>
    </w:lvl>
    <w:lvl w:ilvl="4" w:tplc="0572457A">
      <w:numFmt w:val="bullet"/>
      <w:lvlText w:val="•"/>
      <w:lvlJc w:val="left"/>
      <w:pPr>
        <w:ind w:left="2928" w:hanging="247"/>
      </w:pPr>
      <w:rPr>
        <w:rFonts w:hint="default"/>
        <w:lang w:val="en-US" w:eastAsia="en-US" w:bidi="ar-SA"/>
      </w:rPr>
    </w:lvl>
    <w:lvl w:ilvl="5" w:tplc="C5EA4AB0">
      <w:numFmt w:val="bullet"/>
      <w:lvlText w:val="•"/>
      <w:lvlJc w:val="left"/>
      <w:pPr>
        <w:ind w:left="3450" w:hanging="247"/>
      </w:pPr>
      <w:rPr>
        <w:rFonts w:hint="default"/>
        <w:lang w:val="en-US" w:eastAsia="en-US" w:bidi="ar-SA"/>
      </w:rPr>
    </w:lvl>
    <w:lvl w:ilvl="6" w:tplc="993E78DC">
      <w:numFmt w:val="bullet"/>
      <w:lvlText w:val="•"/>
      <w:lvlJc w:val="left"/>
      <w:pPr>
        <w:ind w:left="3972" w:hanging="247"/>
      </w:pPr>
      <w:rPr>
        <w:rFonts w:hint="default"/>
        <w:lang w:val="en-US" w:eastAsia="en-US" w:bidi="ar-SA"/>
      </w:rPr>
    </w:lvl>
    <w:lvl w:ilvl="7" w:tplc="0B1A218E">
      <w:numFmt w:val="bullet"/>
      <w:lvlText w:val="•"/>
      <w:lvlJc w:val="left"/>
      <w:pPr>
        <w:ind w:left="4494" w:hanging="247"/>
      </w:pPr>
      <w:rPr>
        <w:rFonts w:hint="default"/>
        <w:lang w:val="en-US" w:eastAsia="en-US" w:bidi="ar-SA"/>
      </w:rPr>
    </w:lvl>
    <w:lvl w:ilvl="8" w:tplc="C3EA743C">
      <w:numFmt w:val="bullet"/>
      <w:lvlText w:val="•"/>
      <w:lvlJc w:val="left"/>
      <w:pPr>
        <w:ind w:left="5016" w:hanging="247"/>
      </w:pPr>
      <w:rPr>
        <w:rFonts w:hint="default"/>
        <w:lang w:val="en-US" w:eastAsia="en-US" w:bidi="ar-SA"/>
      </w:rPr>
    </w:lvl>
  </w:abstractNum>
  <w:abstractNum w:abstractNumId="136" w15:restartNumberingAfterBreak="0">
    <w:nsid w:val="4FDB470E"/>
    <w:multiLevelType w:val="hybridMultilevel"/>
    <w:tmpl w:val="6C5C77CC"/>
    <w:lvl w:ilvl="0" w:tplc="33B06754">
      <w:numFmt w:val="bullet"/>
      <w:lvlText w:val="–"/>
      <w:lvlJc w:val="left"/>
      <w:pPr>
        <w:ind w:left="183" w:hanging="122"/>
      </w:pPr>
      <w:rPr>
        <w:rFonts w:ascii="Arial" w:eastAsia="Arial" w:hAnsi="Arial" w:cs="Arial" w:hint="default"/>
        <w:b w:val="0"/>
        <w:bCs w:val="0"/>
        <w:i w:val="0"/>
        <w:iCs w:val="0"/>
        <w:w w:val="89"/>
        <w:sz w:val="16"/>
        <w:szCs w:val="16"/>
        <w:lang w:val="en-US" w:eastAsia="en-US" w:bidi="ar-SA"/>
      </w:rPr>
    </w:lvl>
    <w:lvl w:ilvl="1" w:tplc="98B60F72">
      <w:numFmt w:val="bullet"/>
      <w:lvlText w:val="•"/>
      <w:lvlJc w:val="left"/>
      <w:pPr>
        <w:ind w:left="376" w:hanging="122"/>
      </w:pPr>
      <w:rPr>
        <w:rFonts w:hint="default"/>
        <w:lang w:val="en-US" w:eastAsia="en-US" w:bidi="ar-SA"/>
      </w:rPr>
    </w:lvl>
    <w:lvl w:ilvl="2" w:tplc="F9421C8C">
      <w:numFmt w:val="bullet"/>
      <w:lvlText w:val="•"/>
      <w:lvlJc w:val="left"/>
      <w:pPr>
        <w:ind w:left="573" w:hanging="122"/>
      </w:pPr>
      <w:rPr>
        <w:rFonts w:hint="default"/>
        <w:lang w:val="en-US" w:eastAsia="en-US" w:bidi="ar-SA"/>
      </w:rPr>
    </w:lvl>
    <w:lvl w:ilvl="3" w:tplc="73B8B872">
      <w:numFmt w:val="bullet"/>
      <w:lvlText w:val="•"/>
      <w:lvlJc w:val="left"/>
      <w:pPr>
        <w:ind w:left="770" w:hanging="122"/>
      </w:pPr>
      <w:rPr>
        <w:rFonts w:hint="default"/>
        <w:lang w:val="en-US" w:eastAsia="en-US" w:bidi="ar-SA"/>
      </w:rPr>
    </w:lvl>
    <w:lvl w:ilvl="4" w:tplc="7A00D37A">
      <w:numFmt w:val="bullet"/>
      <w:lvlText w:val="•"/>
      <w:lvlJc w:val="left"/>
      <w:pPr>
        <w:ind w:left="967" w:hanging="122"/>
      </w:pPr>
      <w:rPr>
        <w:rFonts w:hint="default"/>
        <w:lang w:val="en-US" w:eastAsia="en-US" w:bidi="ar-SA"/>
      </w:rPr>
    </w:lvl>
    <w:lvl w:ilvl="5" w:tplc="7D92C180">
      <w:numFmt w:val="bullet"/>
      <w:lvlText w:val="•"/>
      <w:lvlJc w:val="left"/>
      <w:pPr>
        <w:ind w:left="1164" w:hanging="122"/>
      </w:pPr>
      <w:rPr>
        <w:rFonts w:hint="default"/>
        <w:lang w:val="en-US" w:eastAsia="en-US" w:bidi="ar-SA"/>
      </w:rPr>
    </w:lvl>
    <w:lvl w:ilvl="6" w:tplc="F3B2AF94">
      <w:numFmt w:val="bullet"/>
      <w:lvlText w:val="•"/>
      <w:lvlJc w:val="left"/>
      <w:pPr>
        <w:ind w:left="1360" w:hanging="122"/>
      </w:pPr>
      <w:rPr>
        <w:rFonts w:hint="default"/>
        <w:lang w:val="en-US" w:eastAsia="en-US" w:bidi="ar-SA"/>
      </w:rPr>
    </w:lvl>
    <w:lvl w:ilvl="7" w:tplc="76C027A0">
      <w:numFmt w:val="bullet"/>
      <w:lvlText w:val="•"/>
      <w:lvlJc w:val="left"/>
      <w:pPr>
        <w:ind w:left="1557" w:hanging="122"/>
      </w:pPr>
      <w:rPr>
        <w:rFonts w:hint="default"/>
        <w:lang w:val="en-US" w:eastAsia="en-US" w:bidi="ar-SA"/>
      </w:rPr>
    </w:lvl>
    <w:lvl w:ilvl="8" w:tplc="AB765C28">
      <w:numFmt w:val="bullet"/>
      <w:lvlText w:val="•"/>
      <w:lvlJc w:val="left"/>
      <w:pPr>
        <w:ind w:left="1754" w:hanging="122"/>
      </w:pPr>
      <w:rPr>
        <w:rFonts w:hint="default"/>
        <w:lang w:val="en-US" w:eastAsia="en-US" w:bidi="ar-SA"/>
      </w:rPr>
    </w:lvl>
  </w:abstractNum>
  <w:abstractNum w:abstractNumId="137" w15:restartNumberingAfterBreak="0">
    <w:nsid w:val="4FEF56BB"/>
    <w:multiLevelType w:val="multilevel"/>
    <w:tmpl w:val="53DCA0CC"/>
    <w:lvl w:ilvl="0">
      <w:start w:val="14"/>
      <w:numFmt w:val="decimal"/>
      <w:lvlText w:val="%1"/>
      <w:lvlJc w:val="left"/>
      <w:pPr>
        <w:ind w:left="6113" w:hanging="595"/>
        <w:jc w:val="left"/>
      </w:pPr>
      <w:rPr>
        <w:rFonts w:hint="default"/>
        <w:lang w:val="en-US" w:eastAsia="en-US" w:bidi="ar-SA"/>
      </w:rPr>
    </w:lvl>
    <w:lvl w:ilvl="1">
      <w:start w:val="1"/>
      <w:numFmt w:val="decimal"/>
      <w:lvlText w:val="%1.%2"/>
      <w:lvlJc w:val="left"/>
      <w:pPr>
        <w:ind w:left="6113" w:hanging="595"/>
        <w:jc w:val="left"/>
      </w:pPr>
      <w:rPr>
        <w:rFonts w:hint="default"/>
        <w:lang w:val="en-US" w:eastAsia="en-US" w:bidi="ar-SA"/>
      </w:rPr>
    </w:lvl>
    <w:lvl w:ilvl="2">
      <w:start w:val="1"/>
      <w:numFmt w:val="decimal"/>
      <w:lvlText w:val="%1.%2.%3"/>
      <w:lvlJc w:val="left"/>
      <w:pPr>
        <w:ind w:left="6113" w:hanging="595"/>
        <w:jc w:val="right"/>
      </w:pPr>
      <w:rPr>
        <w:rFonts w:ascii="Arial" w:eastAsia="Arial" w:hAnsi="Arial" w:cs="Arial" w:hint="default"/>
        <w:b/>
        <w:bCs/>
        <w:i w:val="0"/>
        <w:iCs w:val="0"/>
        <w:color w:val="00AEEF"/>
        <w:spacing w:val="-3"/>
        <w:w w:val="99"/>
        <w:sz w:val="20"/>
        <w:szCs w:val="20"/>
        <w:lang w:val="en-US" w:eastAsia="en-US" w:bidi="ar-SA"/>
      </w:rPr>
    </w:lvl>
    <w:lvl w:ilvl="3">
      <w:numFmt w:val="bullet"/>
      <w:lvlText w:val="•"/>
      <w:lvlJc w:val="left"/>
      <w:pPr>
        <w:ind w:left="5802" w:hanging="284"/>
      </w:pPr>
      <w:rPr>
        <w:rFonts w:ascii="Tahoma" w:eastAsia="Tahoma" w:hAnsi="Tahoma" w:cs="Tahoma" w:hint="default"/>
        <w:b w:val="0"/>
        <w:bCs w:val="0"/>
        <w:i w:val="0"/>
        <w:iCs w:val="0"/>
        <w:w w:val="109"/>
        <w:sz w:val="20"/>
        <w:szCs w:val="20"/>
        <w:lang w:val="en-US" w:eastAsia="en-US" w:bidi="ar-SA"/>
      </w:rPr>
    </w:lvl>
    <w:lvl w:ilvl="4">
      <w:numFmt w:val="bullet"/>
      <w:lvlText w:val="–"/>
      <w:lvlJc w:val="left"/>
      <w:pPr>
        <w:ind w:left="6085" w:hanging="284"/>
      </w:pPr>
      <w:rPr>
        <w:rFonts w:ascii="Arial" w:eastAsia="Arial" w:hAnsi="Arial" w:cs="Arial" w:hint="default"/>
        <w:b w:val="0"/>
        <w:bCs w:val="0"/>
        <w:i w:val="0"/>
        <w:iCs w:val="0"/>
        <w:w w:val="89"/>
        <w:sz w:val="20"/>
        <w:szCs w:val="20"/>
        <w:lang w:val="en-US" w:eastAsia="en-US" w:bidi="ar-SA"/>
      </w:rPr>
    </w:lvl>
    <w:lvl w:ilvl="5">
      <w:numFmt w:val="bullet"/>
      <w:lvlText w:val="•"/>
      <w:lvlJc w:val="left"/>
      <w:pPr>
        <w:ind w:left="5093" w:hanging="284"/>
      </w:pPr>
      <w:rPr>
        <w:rFonts w:hint="default"/>
        <w:lang w:val="en-US" w:eastAsia="en-US" w:bidi="ar-SA"/>
      </w:rPr>
    </w:lvl>
    <w:lvl w:ilvl="6">
      <w:numFmt w:val="bullet"/>
      <w:lvlText w:val="•"/>
      <w:lvlJc w:val="left"/>
      <w:pPr>
        <w:ind w:left="4066" w:hanging="284"/>
      </w:pPr>
      <w:rPr>
        <w:rFonts w:hint="default"/>
        <w:lang w:val="en-US" w:eastAsia="en-US" w:bidi="ar-SA"/>
      </w:rPr>
    </w:lvl>
    <w:lvl w:ilvl="7">
      <w:numFmt w:val="bullet"/>
      <w:lvlText w:val="•"/>
      <w:lvlJc w:val="left"/>
      <w:pPr>
        <w:ind w:left="3040" w:hanging="284"/>
      </w:pPr>
      <w:rPr>
        <w:rFonts w:hint="default"/>
        <w:lang w:val="en-US" w:eastAsia="en-US" w:bidi="ar-SA"/>
      </w:rPr>
    </w:lvl>
    <w:lvl w:ilvl="8">
      <w:numFmt w:val="bullet"/>
      <w:lvlText w:val="•"/>
      <w:lvlJc w:val="left"/>
      <w:pPr>
        <w:ind w:left="2013" w:hanging="284"/>
      </w:pPr>
      <w:rPr>
        <w:rFonts w:hint="default"/>
        <w:lang w:val="en-US" w:eastAsia="en-US" w:bidi="ar-SA"/>
      </w:rPr>
    </w:lvl>
  </w:abstractNum>
  <w:abstractNum w:abstractNumId="138" w15:restartNumberingAfterBreak="0">
    <w:nsid w:val="504A6CD4"/>
    <w:multiLevelType w:val="multilevel"/>
    <w:tmpl w:val="28E68A5A"/>
    <w:lvl w:ilvl="0">
      <w:start w:val="16"/>
      <w:numFmt w:val="decimal"/>
      <w:lvlText w:val="%1"/>
      <w:lvlJc w:val="left"/>
      <w:pPr>
        <w:ind w:left="981" w:hanging="601"/>
        <w:jc w:val="left"/>
      </w:pPr>
      <w:rPr>
        <w:rFonts w:hint="default"/>
        <w:lang w:val="en-US" w:eastAsia="en-US" w:bidi="ar-SA"/>
      </w:rPr>
    </w:lvl>
    <w:lvl w:ilvl="1">
      <w:start w:val="1"/>
      <w:numFmt w:val="decimal"/>
      <w:lvlText w:val="%1.%2"/>
      <w:lvlJc w:val="left"/>
      <w:pPr>
        <w:ind w:left="981" w:hanging="601"/>
        <w:jc w:val="right"/>
      </w:pPr>
      <w:rPr>
        <w:rFonts w:ascii="Arial" w:eastAsia="Arial" w:hAnsi="Arial" w:cs="Arial" w:hint="default"/>
        <w:b/>
        <w:bCs/>
        <w:i w:val="0"/>
        <w:iCs w:val="0"/>
        <w:color w:val="00AEEF"/>
        <w:spacing w:val="-5"/>
        <w:w w:val="99"/>
        <w:sz w:val="28"/>
        <w:szCs w:val="28"/>
        <w:lang w:val="en-US" w:eastAsia="en-US" w:bidi="ar-SA"/>
      </w:rPr>
    </w:lvl>
    <w:lvl w:ilvl="2">
      <w:start w:val="1"/>
      <w:numFmt w:val="decimal"/>
      <w:lvlText w:val="%1.%2.%3"/>
      <w:lvlJc w:val="left"/>
      <w:pPr>
        <w:ind w:left="976" w:hanging="595"/>
        <w:jc w:val="right"/>
      </w:pPr>
      <w:rPr>
        <w:rFonts w:ascii="Arial" w:eastAsia="Arial" w:hAnsi="Arial" w:cs="Arial" w:hint="default"/>
        <w:b/>
        <w:bCs/>
        <w:i w:val="0"/>
        <w:iCs w:val="0"/>
        <w:color w:val="00AEEF"/>
        <w:spacing w:val="-3"/>
        <w:w w:val="99"/>
        <w:sz w:val="20"/>
        <w:szCs w:val="20"/>
        <w:lang w:val="en-US" w:eastAsia="en-US" w:bidi="ar-SA"/>
      </w:rPr>
    </w:lvl>
    <w:lvl w:ilvl="3">
      <w:numFmt w:val="bullet"/>
      <w:lvlText w:val="•"/>
      <w:lvlJc w:val="left"/>
      <w:pPr>
        <w:ind w:left="664" w:hanging="284"/>
      </w:pPr>
      <w:rPr>
        <w:rFonts w:ascii="Tahoma" w:eastAsia="Tahoma" w:hAnsi="Tahoma" w:cs="Tahoma" w:hint="default"/>
        <w:b w:val="0"/>
        <w:bCs w:val="0"/>
        <w:i w:val="0"/>
        <w:iCs w:val="0"/>
        <w:w w:val="109"/>
        <w:sz w:val="20"/>
        <w:szCs w:val="20"/>
        <w:lang w:val="en-US" w:eastAsia="en-US" w:bidi="ar-SA"/>
      </w:rPr>
    </w:lvl>
    <w:lvl w:ilvl="4">
      <w:numFmt w:val="bullet"/>
      <w:lvlText w:val="•"/>
      <w:lvlJc w:val="left"/>
      <w:pPr>
        <w:ind w:left="780" w:hanging="284"/>
      </w:pPr>
      <w:rPr>
        <w:rFonts w:hint="default"/>
        <w:lang w:val="en-US" w:eastAsia="en-US" w:bidi="ar-SA"/>
      </w:rPr>
    </w:lvl>
    <w:lvl w:ilvl="5">
      <w:numFmt w:val="bullet"/>
      <w:lvlText w:val="•"/>
      <w:lvlJc w:val="left"/>
      <w:pPr>
        <w:ind w:left="820" w:hanging="284"/>
      </w:pPr>
      <w:rPr>
        <w:rFonts w:hint="default"/>
        <w:lang w:val="en-US" w:eastAsia="en-US" w:bidi="ar-SA"/>
      </w:rPr>
    </w:lvl>
    <w:lvl w:ilvl="6">
      <w:numFmt w:val="bullet"/>
      <w:lvlText w:val="•"/>
      <w:lvlJc w:val="left"/>
      <w:pPr>
        <w:ind w:left="840" w:hanging="284"/>
      </w:pPr>
      <w:rPr>
        <w:rFonts w:hint="default"/>
        <w:lang w:val="en-US" w:eastAsia="en-US" w:bidi="ar-SA"/>
      </w:rPr>
    </w:lvl>
    <w:lvl w:ilvl="7">
      <w:numFmt w:val="bullet"/>
      <w:lvlText w:val="•"/>
      <w:lvlJc w:val="left"/>
      <w:pPr>
        <w:ind w:left="980" w:hanging="284"/>
      </w:pPr>
      <w:rPr>
        <w:rFonts w:hint="default"/>
        <w:lang w:val="en-US" w:eastAsia="en-US" w:bidi="ar-SA"/>
      </w:rPr>
    </w:lvl>
    <w:lvl w:ilvl="8">
      <w:numFmt w:val="bullet"/>
      <w:lvlText w:val="•"/>
      <w:lvlJc w:val="left"/>
      <w:pPr>
        <w:ind w:left="1000" w:hanging="284"/>
      </w:pPr>
      <w:rPr>
        <w:rFonts w:hint="default"/>
        <w:lang w:val="en-US" w:eastAsia="en-US" w:bidi="ar-SA"/>
      </w:rPr>
    </w:lvl>
  </w:abstractNum>
  <w:abstractNum w:abstractNumId="139" w15:restartNumberingAfterBreak="0">
    <w:nsid w:val="50C83D63"/>
    <w:multiLevelType w:val="hybridMultilevel"/>
    <w:tmpl w:val="9FA2B2F2"/>
    <w:lvl w:ilvl="0" w:tplc="986E28E4">
      <w:numFmt w:val="bullet"/>
      <w:lvlText w:val="•"/>
      <w:lvlJc w:val="left"/>
      <w:pPr>
        <w:ind w:left="775" w:hanging="284"/>
      </w:pPr>
      <w:rPr>
        <w:rFonts w:ascii="Tahoma" w:eastAsia="Tahoma" w:hAnsi="Tahoma" w:cs="Tahoma" w:hint="default"/>
        <w:b w:val="0"/>
        <w:bCs w:val="0"/>
        <w:i w:val="0"/>
        <w:iCs w:val="0"/>
        <w:w w:val="109"/>
        <w:sz w:val="20"/>
        <w:szCs w:val="20"/>
        <w:lang w:val="en-US" w:eastAsia="en-US" w:bidi="ar-SA"/>
      </w:rPr>
    </w:lvl>
    <w:lvl w:ilvl="1" w:tplc="10B0A0A8">
      <w:numFmt w:val="bullet"/>
      <w:lvlText w:val="•"/>
      <w:lvlJc w:val="left"/>
      <w:pPr>
        <w:ind w:left="1231" w:hanging="284"/>
      </w:pPr>
      <w:rPr>
        <w:rFonts w:hint="default"/>
        <w:lang w:val="en-US" w:eastAsia="en-US" w:bidi="ar-SA"/>
      </w:rPr>
    </w:lvl>
    <w:lvl w:ilvl="2" w:tplc="C2BAF294">
      <w:numFmt w:val="bullet"/>
      <w:lvlText w:val="•"/>
      <w:lvlJc w:val="left"/>
      <w:pPr>
        <w:ind w:left="1682" w:hanging="284"/>
      </w:pPr>
      <w:rPr>
        <w:rFonts w:hint="default"/>
        <w:lang w:val="en-US" w:eastAsia="en-US" w:bidi="ar-SA"/>
      </w:rPr>
    </w:lvl>
    <w:lvl w:ilvl="3" w:tplc="CD48F784">
      <w:numFmt w:val="bullet"/>
      <w:lvlText w:val="•"/>
      <w:lvlJc w:val="left"/>
      <w:pPr>
        <w:ind w:left="2133" w:hanging="284"/>
      </w:pPr>
      <w:rPr>
        <w:rFonts w:hint="default"/>
        <w:lang w:val="en-US" w:eastAsia="en-US" w:bidi="ar-SA"/>
      </w:rPr>
    </w:lvl>
    <w:lvl w:ilvl="4" w:tplc="108E6752">
      <w:numFmt w:val="bullet"/>
      <w:lvlText w:val="•"/>
      <w:lvlJc w:val="left"/>
      <w:pPr>
        <w:ind w:left="2584" w:hanging="284"/>
      </w:pPr>
      <w:rPr>
        <w:rFonts w:hint="default"/>
        <w:lang w:val="en-US" w:eastAsia="en-US" w:bidi="ar-SA"/>
      </w:rPr>
    </w:lvl>
    <w:lvl w:ilvl="5" w:tplc="38B27DA8">
      <w:numFmt w:val="bullet"/>
      <w:lvlText w:val="•"/>
      <w:lvlJc w:val="left"/>
      <w:pPr>
        <w:ind w:left="3035" w:hanging="284"/>
      </w:pPr>
      <w:rPr>
        <w:rFonts w:hint="default"/>
        <w:lang w:val="en-US" w:eastAsia="en-US" w:bidi="ar-SA"/>
      </w:rPr>
    </w:lvl>
    <w:lvl w:ilvl="6" w:tplc="F5FEB68C">
      <w:numFmt w:val="bullet"/>
      <w:lvlText w:val="•"/>
      <w:lvlJc w:val="left"/>
      <w:pPr>
        <w:ind w:left="3486" w:hanging="284"/>
      </w:pPr>
      <w:rPr>
        <w:rFonts w:hint="default"/>
        <w:lang w:val="en-US" w:eastAsia="en-US" w:bidi="ar-SA"/>
      </w:rPr>
    </w:lvl>
    <w:lvl w:ilvl="7" w:tplc="CA0252AA">
      <w:numFmt w:val="bullet"/>
      <w:lvlText w:val="•"/>
      <w:lvlJc w:val="left"/>
      <w:pPr>
        <w:ind w:left="3938" w:hanging="284"/>
      </w:pPr>
      <w:rPr>
        <w:rFonts w:hint="default"/>
        <w:lang w:val="en-US" w:eastAsia="en-US" w:bidi="ar-SA"/>
      </w:rPr>
    </w:lvl>
    <w:lvl w:ilvl="8" w:tplc="B0C4E402">
      <w:numFmt w:val="bullet"/>
      <w:lvlText w:val="•"/>
      <w:lvlJc w:val="left"/>
      <w:pPr>
        <w:ind w:left="4389" w:hanging="284"/>
      </w:pPr>
      <w:rPr>
        <w:rFonts w:hint="default"/>
        <w:lang w:val="en-US" w:eastAsia="en-US" w:bidi="ar-SA"/>
      </w:rPr>
    </w:lvl>
  </w:abstractNum>
  <w:abstractNum w:abstractNumId="140" w15:restartNumberingAfterBreak="0">
    <w:nsid w:val="518A5116"/>
    <w:multiLevelType w:val="multilevel"/>
    <w:tmpl w:val="1EEEF120"/>
    <w:lvl w:ilvl="0">
      <w:start w:val="6"/>
      <w:numFmt w:val="decimal"/>
      <w:lvlText w:val="%1"/>
      <w:lvlJc w:val="left"/>
      <w:pPr>
        <w:ind w:left="1002" w:hanging="511"/>
        <w:jc w:val="left"/>
      </w:pPr>
      <w:rPr>
        <w:rFonts w:hint="default"/>
        <w:lang w:val="en-US" w:eastAsia="en-US" w:bidi="ar-SA"/>
      </w:rPr>
    </w:lvl>
    <w:lvl w:ilvl="1">
      <w:numFmt w:val="decimal"/>
      <w:lvlText w:val="%1.%2"/>
      <w:lvlJc w:val="left"/>
      <w:pPr>
        <w:ind w:left="1002" w:hanging="511"/>
        <w:jc w:val="left"/>
      </w:pPr>
      <w:rPr>
        <w:rFonts w:hint="default"/>
        <w:w w:val="99"/>
        <w:lang w:val="en-US" w:eastAsia="en-US" w:bidi="ar-SA"/>
      </w:rPr>
    </w:lvl>
    <w:lvl w:ilvl="2">
      <w:numFmt w:val="bullet"/>
      <w:lvlText w:val="•"/>
      <w:lvlJc w:val="left"/>
      <w:pPr>
        <w:ind w:left="1828" w:hanging="511"/>
      </w:pPr>
      <w:rPr>
        <w:rFonts w:hint="default"/>
        <w:lang w:val="en-US" w:eastAsia="en-US" w:bidi="ar-SA"/>
      </w:rPr>
    </w:lvl>
    <w:lvl w:ilvl="3">
      <w:numFmt w:val="bullet"/>
      <w:lvlText w:val="•"/>
      <w:lvlJc w:val="left"/>
      <w:pPr>
        <w:ind w:left="2242" w:hanging="511"/>
      </w:pPr>
      <w:rPr>
        <w:rFonts w:hint="default"/>
        <w:lang w:val="en-US" w:eastAsia="en-US" w:bidi="ar-SA"/>
      </w:rPr>
    </w:lvl>
    <w:lvl w:ilvl="4">
      <w:numFmt w:val="bullet"/>
      <w:lvlText w:val="•"/>
      <w:lvlJc w:val="left"/>
      <w:pPr>
        <w:ind w:left="2656" w:hanging="511"/>
      </w:pPr>
      <w:rPr>
        <w:rFonts w:hint="default"/>
        <w:lang w:val="en-US" w:eastAsia="en-US" w:bidi="ar-SA"/>
      </w:rPr>
    </w:lvl>
    <w:lvl w:ilvl="5">
      <w:numFmt w:val="bullet"/>
      <w:lvlText w:val="•"/>
      <w:lvlJc w:val="left"/>
      <w:pPr>
        <w:ind w:left="3070" w:hanging="511"/>
      </w:pPr>
      <w:rPr>
        <w:rFonts w:hint="default"/>
        <w:lang w:val="en-US" w:eastAsia="en-US" w:bidi="ar-SA"/>
      </w:rPr>
    </w:lvl>
    <w:lvl w:ilvl="6">
      <w:numFmt w:val="bullet"/>
      <w:lvlText w:val="•"/>
      <w:lvlJc w:val="left"/>
      <w:pPr>
        <w:ind w:left="3484" w:hanging="511"/>
      </w:pPr>
      <w:rPr>
        <w:rFonts w:hint="default"/>
        <w:lang w:val="en-US" w:eastAsia="en-US" w:bidi="ar-SA"/>
      </w:rPr>
    </w:lvl>
    <w:lvl w:ilvl="7">
      <w:numFmt w:val="bullet"/>
      <w:lvlText w:val="•"/>
      <w:lvlJc w:val="left"/>
      <w:pPr>
        <w:ind w:left="3898" w:hanging="511"/>
      </w:pPr>
      <w:rPr>
        <w:rFonts w:hint="default"/>
        <w:lang w:val="en-US" w:eastAsia="en-US" w:bidi="ar-SA"/>
      </w:rPr>
    </w:lvl>
    <w:lvl w:ilvl="8">
      <w:numFmt w:val="bullet"/>
      <w:lvlText w:val="•"/>
      <w:lvlJc w:val="left"/>
      <w:pPr>
        <w:ind w:left="4312" w:hanging="511"/>
      </w:pPr>
      <w:rPr>
        <w:rFonts w:hint="default"/>
        <w:lang w:val="en-US" w:eastAsia="en-US" w:bidi="ar-SA"/>
      </w:rPr>
    </w:lvl>
  </w:abstractNum>
  <w:abstractNum w:abstractNumId="141" w15:restartNumberingAfterBreak="0">
    <w:nsid w:val="531E7B39"/>
    <w:multiLevelType w:val="hybridMultilevel"/>
    <w:tmpl w:val="10669DCE"/>
    <w:lvl w:ilvl="0" w:tplc="8E0E44C2">
      <w:numFmt w:val="bullet"/>
      <w:lvlText w:val="•"/>
      <w:lvlJc w:val="left"/>
      <w:pPr>
        <w:ind w:left="498" w:hanging="284"/>
      </w:pPr>
      <w:rPr>
        <w:rFonts w:ascii="Tahoma" w:eastAsia="Tahoma" w:hAnsi="Tahoma" w:cs="Tahoma" w:hint="default"/>
        <w:b w:val="0"/>
        <w:bCs w:val="0"/>
        <w:i w:val="0"/>
        <w:iCs w:val="0"/>
        <w:w w:val="109"/>
        <w:sz w:val="20"/>
        <w:szCs w:val="20"/>
        <w:lang w:val="en-US" w:eastAsia="en-US" w:bidi="ar-SA"/>
      </w:rPr>
    </w:lvl>
    <w:lvl w:ilvl="1" w:tplc="4F5C0ABE">
      <w:numFmt w:val="bullet"/>
      <w:lvlText w:val="•"/>
      <w:lvlJc w:val="left"/>
      <w:pPr>
        <w:ind w:left="928" w:hanging="284"/>
      </w:pPr>
      <w:rPr>
        <w:rFonts w:hint="default"/>
        <w:lang w:val="en-US" w:eastAsia="en-US" w:bidi="ar-SA"/>
      </w:rPr>
    </w:lvl>
    <w:lvl w:ilvl="2" w:tplc="59545A52">
      <w:numFmt w:val="bullet"/>
      <w:lvlText w:val="•"/>
      <w:lvlJc w:val="left"/>
      <w:pPr>
        <w:ind w:left="1356" w:hanging="284"/>
      </w:pPr>
      <w:rPr>
        <w:rFonts w:hint="default"/>
        <w:lang w:val="en-US" w:eastAsia="en-US" w:bidi="ar-SA"/>
      </w:rPr>
    </w:lvl>
    <w:lvl w:ilvl="3" w:tplc="78409F58">
      <w:numFmt w:val="bullet"/>
      <w:lvlText w:val="•"/>
      <w:lvlJc w:val="left"/>
      <w:pPr>
        <w:ind w:left="1784" w:hanging="284"/>
      </w:pPr>
      <w:rPr>
        <w:rFonts w:hint="default"/>
        <w:lang w:val="en-US" w:eastAsia="en-US" w:bidi="ar-SA"/>
      </w:rPr>
    </w:lvl>
    <w:lvl w:ilvl="4" w:tplc="A54CFE2A">
      <w:numFmt w:val="bullet"/>
      <w:lvlText w:val="•"/>
      <w:lvlJc w:val="left"/>
      <w:pPr>
        <w:ind w:left="2212" w:hanging="284"/>
      </w:pPr>
      <w:rPr>
        <w:rFonts w:hint="default"/>
        <w:lang w:val="en-US" w:eastAsia="en-US" w:bidi="ar-SA"/>
      </w:rPr>
    </w:lvl>
    <w:lvl w:ilvl="5" w:tplc="2E16881E">
      <w:numFmt w:val="bullet"/>
      <w:lvlText w:val="•"/>
      <w:lvlJc w:val="left"/>
      <w:pPr>
        <w:ind w:left="2640" w:hanging="284"/>
      </w:pPr>
      <w:rPr>
        <w:rFonts w:hint="default"/>
        <w:lang w:val="en-US" w:eastAsia="en-US" w:bidi="ar-SA"/>
      </w:rPr>
    </w:lvl>
    <w:lvl w:ilvl="6" w:tplc="5C5A5D86">
      <w:numFmt w:val="bullet"/>
      <w:lvlText w:val="•"/>
      <w:lvlJc w:val="left"/>
      <w:pPr>
        <w:ind w:left="3068" w:hanging="284"/>
      </w:pPr>
      <w:rPr>
        <w:rFonts w:hint="default"/>
        <w:lang w:val="en-US" w:eastAsia="en-US" w:bidi="ar-SA"/>
      </w:rPr>
    </w:lvl>
    <w:lvl w:ilvl="7" w:tplc="4BD6DA1C">
      <w:numFmt w:val="bullet"/>
      <w:lvlText w:val="•"/>
      <w:lvlJc w:val="left"/>
      <w:pPr>
        <w:ind w:left="3496" w:hanging="284"/>
      </w:pPr>
      <w:rPr>
        <w:rFonts w:hint="default"/>
        <w:lang w:val="en-US" w:eastAsia="en-US" w:bidi="ar-SA"/>
      </w:rPr>
    </w:lvl>
    <w:lvl w:ilvl="8" w:tplc="EE86386A">
      <w:numFmt w:val="bullet"/>
      <w:lvlText w:val="•"/>
      <w:lvlJc w:val="left"/>
      <w:pPr>
        <w:ind w:left="3924" w:hanging="284"/>
      </w:pPr>
      <w:rPr>
        <w:rFonts w:hint="default"/>
        <w:lang w:val="en-US" w:eastAsia="en-US" w:bidi="ar-SA"/>
      </w:rPr>
    </w:lvl>
  </w:abstractNum>
  <w:abstractNum w:abstractNumId="142" w15:restartNumberingAfterBreak="0">
    <w:nsid w:val="54E10D00"/>
    <w:multiLevelType w:val="hybridMultilevel"/>
    <w:tmpl w:val="D9B4484E"/>
    <w:lvl w:ilvl="0" w:tplc="6436CB78">
      <w:start w:val="1"/>
      <w:numFmt w:val="decimal"/>
      <w:lvlText w:val="%1"/>
      <w:lvlJc w:val="left"/>
      <w:pPr>
        <w:ind w:left="593" w:hanging="199"/>
        <w:jc w:val="right"/>
      </w:pPr>
      <w:rPr>
        <w:rFonts w:ascii="Arial" w:eastAsia="Arial" w:hAnsi="Arial" w:cs="Arial" w:hint="default"/>
        <w:b w:val="0"/>
        <w:bCs w:val="0"/>
        <w:i w:val="0"/>
        <w:iCs w:val="0"/>
        <w:w w:val="99"/>
        <w:sz w:val="14"/>
        <w:szCs w:val="14"/>
        <w:lang w:val="en-US" w:eastAsia="en-US" w:bidi="ar-SA"/>
      </w:rPr>
    </w:lvl>
    <w:lvl w:ilvl="1" w:tplc="3B301738">
      <w:numFmt w:val="bullet"/>
      <w:lvlText w:val="•"/>
      <w:lvlJc w:val="left"/>
      <w:pPr>
        <w:ind w:left="1130" w:hanging="199"/>
      </w:pPr>
      <w:rPr>
        <w:rFonts w:hint="default"/>
        <w:lang w:val="en-US" w:eastAsia="en-US" w:bidi="ar-SA"/>
      </w:rPr>
    </w:lvl>
    <w:lvl w:ilvl="2" w:tplc="1F100810">
      <w:numFmt w:val="bullet"/>
      <w:lvlText w:val="•"/>
      <w:lvlJc w:val="left"/>
      <w:pPr>
        <w:ind w:left="1661" w:hanging="199"/>
      </w:pPr>
      <w:rPr>
        <w:rFonts w:hint="default"/>
        <w:lang w:val="en-US" w:eastAsia="en-US" w:bidi="ar-SA"/>
      </w:rPr>
    </w:lvl>
    <w:lvl w:ilvl="3" w:tplc="C20E3DFE">
      <w:numFmt w:val="bullet"/>
      <w:lvlText w:val="•"/>
      <w:lvlJc w:val="left"/>
      <w:pPr>
        <w:ind w:left="2192" w:hanging="199"/>
      </w:pPr>
      <w:rPr>
        <w:rFonts w:hint="default"/>
        <w:lang w:val="en-US" w:eastAsia="en-US" w:bidi="ar-SA"/>
      </w:rPr>
    </w:lvl>
    <w:lvl w:ilvl="4" w:tplc="A2A8882C">
      <w:numFmt w:val="bullet"/>
      <w:lvlText w:val="•"/>
      <w:lvlJc w:val="left"/>
      <w:pPr>
        <w:ind w:left="2722" w:hanging="199"/>
      </w:pPr>
      <w:rPr>
        <w:rFonts w:hint="default"/>
        <w:lang w:val="en-US" w:eastAsia="en-US" w:bidi="ar-SA"/>
      </w:rPr>
    </w:lvl>
    <w:lvl w:ilvl="5" w:tplc="A880DE0E">
      <w:numFmt w:val="bullet"/>
      <w:lvlText w:val="•"/>
      <w:lvlJc w:val="left"/>
      <w:pPr>
        <w:ind w:left="3253" w:hanging="199"/>
      </w:pPr>
      <w:rPr>
        <w:rFonts w:hint="default"/>
        <w:lang w:val="en-US" w:eastAsia="en-US" w:bidi="ar-SA"/>
      </w:rPr>
    </w:lvl>
    <w:lvl w:ilvl="6" w:tplc="70A29134">
      <w:numFmt w:val="bullet"/>
      <w:lvlText w:val="•"/>
      <w:lvlJc w:val="left"/>
      <w:pPr>
        <w:ind w:left="3784" w:hanging="199"/>
      </w:pPr>
      <w:rPr>
        <w:rFonts w:hint="default"/>
        <w:lang w:val="en-US" w:eastAsia="en-US" w:bidi="ar-SA"/>
      </w:rPr>
    </w:lvl>
    <w:lvl w:ilvl="7" w:tplc="19DA06C2">
      <w:numFmt w:val="bullet"/>
      <w:lvlText w:val="•"/>
      <w:lvlJc w:val="left"/>
      <w:pPr>
        <w:ind w:left="4314" w:hanging="199"/>
      </w:pPr>
      <w:rPr>
        <w:rFonts w:hint="default"/>
        <w:lang w:val="en-US" w:eastAsia="en-US" w:bidi="ar-SA"/>
      </w:rPr>
    </w:lvl>
    <w:lvl w:ilvl="8" w:tplc="B21EC6AA">
      <w:numFmt w:val="bullet"/>
      <w:lvlText w:val="•"/>
      <w:lvlJc w:val="left"/>
      <w:pPr>
        <w:ind w:left="4845" w:hanging="199"/>
      </w:pPr>
      <w:rPr>
        <w:rFonts w:hint="default"/>
        <w:lang w:val="en-US" w:eastAsia="en-US" w:bidi="ar-SA"/>
      </w:rPr>
    </w:lvl>
  </w:abstractNum>
  <w:abstractNum w:abstractNumId="143" w15:restartNumberingAfterBreak="0">
    <w:nsid w:val="5549123A"/>
    <w:multiLevelType w:val="hybridMultilevel"/>
    <w:tmpl w:val="EB6E9520"/>
    <w:lvl w:ilvl="0" w:tplc="72A8F0CC">
      <w:numFmt w:val="bullet"/>
      <w:lvlText w:val="•"/>
      <w:lvlJc w:val="left"/>
      <w:pPr>
        <w:ind w:left="775" w:hanging="284"/>
      </w:pPr>
      <w:rPr>
        <w:rFonts w:ascii="Tahoma" w:eastAsia="Tahoma" w:hAnsi="Tahoma" w:cs="Tahoma" w:hint="default"/>
        <w:b w:val="0"/>
        <w:bCs w:val="0"/>
        <w:i w:val="0"/>
        <w:iCs w:val="0"/>
        <w:w w:val="109"/>
        <w:sz w:val="20"/>
        <w:szCs w:val="20"/>
        <w:lang w:val="en-US" w:eastAsia="en-US" w:bidi="ar-SA"/>
      </w:rPr>
    </w:lvl>
    <w:lvl w:ilvl="1" w:tplc="509E4662">
      <w:numFmt w:val="bullet"/>
      <w:lvlText w:val="•"/>
      <w:lvlJc w:val="left"/>
      <w:pPr>
        <w:ind w:left="1302" w:hanging="284"/>
      </w:pPr>
      <w:rPr>
        <w:rFonts w:hint="default"/>
        <w:lang w:val="en-US" w:eastAsia="en-US" w:bidi="ar-SA"/>
      </w:rPr>
    </w:lvl>
    <w:lvl w:ilvl="2" w:tplc="AAD2AF32">
      <w:numFmt w:val="bullet"/>
      <w:lvlText w:val="•"/>
      <w:lvlJc w:val="left"/>
      <w:pPr>
        <w:ind w:left="1824" w:hanging="284"/>
      </w:pPr>
      <w:rPr>
        <w:rFonts w:hint="default"/>
        <w:lang w:val="en-US" w:eastAsia="en-US" w:bidi="ar-SA"/>
      </w:rPr>
    </w:lvl>
    <w:lvl w:ilvl="3" w:tplc="BA6E7D46">
      <w:numFmt w:val="bullet"/>
      <w:lvlText w:val="•"/>
      <w:lvlJc w:val="left"/>
      <w:pPr>
        <w:ind w:left="2347" w:hanging="284"/>
      </w:pPr>
      <w:rPr>
        <w:rFonts w:hint="default"/>
        <w:lang w:val="en-US" w:eastAsia="en-US" w:bidi="ar-SA"/>
      </w:rPr>
    </w:lvl>
    <w:lvl w:ilvl="4" w:tplc="6D6084DE">
      <w:numFmt w:val="bullet"/>
      <w:lvlText w:val="•"/>
      <w:lvlJc w:val="left"/>
      <w:pPr>
        <w:ind w:left="2869" w:hanging="284"/>
      </w:pPr>
      <w:rPr>
        <w:rFonts w:hint="default"/>
        <w:lang w:val="en-US" w:eastAsia="en-US" w:bidi="ar-SA"/>
      </w:rPr>
    </w:lvl>
    <w:lvl w:ilvl="5" w:tplc="96EA306E">
      <w:numFmt w:val="bullet"/>
      <w:lvlText w:val="•"/>
      <w:lvlJc w:val="left"/>
      <w:pPr>
        <w:ind w:left="3392" w:hanging="284"/>
      </w:pPr>
      <w:rPr>
        <w:rFonts w:hint="default"/>
        <w:lang w:val="en-US" w:eastAsia="en-US" w:bidi="ar-SA"/>
      </w:rPr>
    </w:lvl>
    <w:lvl w:ilvl="6" w:tplc="6D5E3F18">
      <w:numFmt w:val="bullet"/>
      <w:lvlText w:val="•"/>
      <w:lvlJc w:val="left"/>
      <w:pPr>
        <w:ind w:left="3914" w:hanging="284"/>
      </w:pPr>
      <w:rPr>
        <w:rFonts w:hint="default"/>
        <w:lang w:val="en-US" w:eastAsia="en-US" w:bidi="ar-SA"/>
      </w:rPr>
    </w:lvl>
    <w:lvl w:ilvl="7" w:tplc="DFAEC9BE">
      <w:numFmt w:val="bullet"/>
      <w:lvlText w:val="•"/>
      <w:lvlJc w:val="left"/>
      <w:pPr>
        <w:ind w:left="4436" w:hanging="284"/>
      </w:pPr>
      <w:rPr>
        <w:rFonts w:hint="default"/>
        <w:lang w:val="en-US" w:eastAsia="en-US" w:bidi="ar-SA"/>
      </w:rPr>
    </w:lvl>
    <w:lvl w:ilvl="8" w:tplc="F350CD8A">
      <w:numFmt w:val="bullet"/>
      <w:lvlText w:val="•"/>
      <w:lvlJc w:val="left"/>
      <w:pPr>
        <w:ind w:left="4959" w:hanging="284"/>
      </w:pPr>
      <w:rPr>
        <w:rFonts w:hint="default"/>
        <w:lang w:val="en-US" w:eastAsia="en-US" w:bidi="ar-SA"/>
      </w:rPr>
    </w:lvl>
  </w:abstractNum>
  <w:abstractNum w:abstractNumId="144" w15:restartNumberingAfterBreak="0">
    <w:nsid w:val="559D1CE6"/>
    <w:multiLevelType w:val="multilevel"/>
    <w:tmpl w:val="233AE51C"/>
    <w:lvl w:ilvl="0">
      <w:start w:val="9"/>
      <w:numFmt w:val="decimal"/>
      <w:lvlText w:val="%1"/>
      <w:lvlJc w:val="left"/>
      <w:pPr>
        <w:ind w:left="941" w:hanging="450"/>
        <w:jc w:val="left"/>
      </w:pPr>
      <w:rPr>
        <w:rFonts w:hint="default"/>
        <w:lang w:val="en-US" w:eastAsia="en-US" w:bidi="ar-SA"/>
      </w:rPr>
    </w:lvl>
    <w:lvl w:ilvl="1">
      <w:start w:val="1"/>
      <w:numFmt w:val="decimal"/>
      <w:lvlText w:val="%1.%2"/>
      <w:lvlJc w:val="left"/>
      <w:pPr>
        <w:ind w:left="941" w:hanging="450"/>
        <w:jc w:val="right"/>
      </w:pPr>
      <w:rPr>
        <w:rFonts w:ascii="Arial" w:eastAsia="Arial" w:hAnsi="Arial" w:cs="Arial" w:hint="default"/>
        <w:b/>
        <w:bCs/>
        <w:i w:val="0"/>
        <w:iCs w:val="0"/>
        <w:color w:val="00AEEF"/>
        <w:spacing w:val="-5"/>
        <w:w w:val="99"/>
        <w:sz w:val="28"/>
        <w:szCs w:val="28"/>
        <w:lang w:val="en-US" w:eastAsia="en-US" w:bidi="ar-SA"/>
      </w:rPr>
    </w:lvl>
    <w:lvl w:ilvl="2">
      <w:start w:val="1"/>
      <w:numFmt w:val="decimal"/>
      <w:lvlText w:val="%1.%2.%3"/>
      <w:lvlJc w:val="left"/>
      <w:pPr>
        <w:ind w:left="954" w:hanging="462"/>
        <w:jc w:val="right"/>
      </w:pPr>
      <w:rPr>
        <w:rFonts w:ascii="Arial" w:eastAsia="Arial" w:hAnsi="Arial" w:cs="Arial" w:hint="default"/>
        <w:b/>
        <w:bCs/>
        <w:i w:val="0"/>
        <w:iCs w:val="0"/>
        <w:color w:val="00AEEF"/>
        <w:spacing w:val="-7"/>
        <w:w w:val="99"/>
        <w:sz w:val="20"/>
        <w:szCs w:val="20"/>
        <w:lang w:val="en-US" w:eastAsia="en-US" w:bidi="ar-SA"/>
      </w:rPr>
    </w:lvl>
    <w:lvl w:ilvl="3">
      <w:numFmt w:val="bullet"/>
      <w:lvlText w:val="•"/>
      <w:lvlJc w:val="left"/>
      <w:pPr>
        <w:ind w:left="472" w:hanging="462"/>
      </w:pPr>
      <w:rPr>
        <w:rFonts w:ascii="Tahoma" w:eastAsia="Tahoma" w:hAnsi="Tahoma" w:cs="Tahoma" w:hint="default"/>
        <w:b w:val="0"/>
        <w:bCs w:val="0"/>
        <w:i w:val="0"/>
        <w:iCs w:val="0"/>
        <w:w w:val="109"/>
        <w:sz w:val="20"/>
        <w:szCs w:val="20"/>
        <w:lang w:val="en-US" w:eastAsia="en-US" w:bidi="ar-SA"/>
      </w:rPr>
    </w:lvl>
    <w:lvl w:ilvl="4">
      <w:numFmt w:val="bullet"/>
      <w:lvlText w:val="•"/>
      <w:lvlJc w:val="left"/>
      <w:pPr>
        <w:ind w:left="960" w:hanging="462"/>
      </w:pPr>
      <w:rPr>
        <w:rFonts w:hint="default"/>
        <w:lang w:val="en-US" w:eastAsia="en-US" w:bidi="ar-SA"/>
      </w:rPr>
    </w:lvl>
    <w:lvl w:ilvl="5">
      <w:numFmt w:val="bullet"/>
      <w:lvlText w:val="•"/>
      <w:lvlJc w:val="left"/>
      <w:pPr>
        <w:ind w:left="980" w:hanging="462"/>
      </w:pPr>
      <w:rPr>
        <w:rFonts w:hint="default"/>
        <w:lang w:val="en-US" w:eastAsia="en-US" w:bidi="ar-SA"/>
      </w:rPr>
    </w:lvl>
    <w:lvl w:ilvl="6">
      <w:numFmt w:val="bullet"/>
      <w:lvlText w:val="•"/>
      <w:lvlJc w:val="left"/>
      <w:pPr>
        <w:ind w:left="-292" w:hanging="462"/>
      </w:pPr>
      <w:rPr>
        <w:rFonts w:hint="default"/>
        <w:lang w:val="en-US" w:eastAsia="en-US" w:bidi="ar-SA"/>
      </w:rPr>
    </w:lvl>
    <w:lvl w:ilvl="7">
      <w:numFmt w:val="bullet"/>
      <w:lvlText w:val="•"/>
      <w:lvlJc w:val="left"/>
      <w:pPr>
        <w:ind w:left="-1563" w:hanging="462"/>
      </w:pPr>
      <w:rPr>
        <w:rFonts w:hint="default"/>
        <w:lang w:val="en-US" w:eastAsia="en-US" w:bidi="ar-SA"/>
      </w:rPr>
    </w:lvl>
    <w:lvl w:ilvl="8">
      <w:numFmt w:val="bullet"/>
      <w:lvlText w:val="•"/>
      <w:lvlJc w:val="left"/>
      <w:pPr>
        <w:ind w:left="-2834" w:hanging="462"/>
      </w:pPr>
      <w:rPr>
        <w:rFonts w:hint="default"/>
        <w:lang w:val="en-US" w:eastAsia="en-US" w:bidi="ar-SA"/>
      </w:rPr>
    </w:lvl>
  </w:abstractNum>
  <w:abstractNum w:abstractNumId="145" w15:restartNumberingAfterBreak="0">
    <w:nsid w:val="559E47C6"/>
    <w:multiLevelType w:val="hybridMultilevel"/>
    <w:tmpl w:val="6252617E"/>
    <w:lvl w:ilvl="0" w:tplc="96A81B82">
      <w:numFmt w:val="bullet"/>
      <w:lvlText w:val="•"/>
      <w:lvlJc w:val="left"/>
      <w:pPr>
        <w:ind w:left="321" w:hanging="209"/>
      </w:pPr>
      <w:rPr>
        <w:rFonts w:ascii="Trebuchet MS" w:eastAsia="Trebuchet MS" w:hAnsi="Trebuchet MS" w:cs="Trebuchet MS" w:hint="default"/>
        <w:b w:val="0"/>
        <w:bCs w:val="0"/>
        <w:i w:val="0"/>
        <w:iCs w:val="0"/>
        <w:w w:val="95"/>
        <w:sz w:val="20"/>
        <w:szCs w:val="20"/>
        <w:lang w:val="en-US" w:eastAsia="en-US" w:bidi="ar-SA"/>
      </w:rPr>
    </w:lvl>
    <w:lvl w:ilvl="1" w:tplc="C6D45D54">
      <w:numFmt w:val="bullet"/>
      <w:lvlText w:val="•"/>
      <w:lvlJc w:val="left"/>
      <w:pPr>
        <w:ind w:left="766" w:hanging="209"/>
      </w:pPr>
      <w:rPr>
        <w:rFonts w:hint="default"/>
        <w:lang w:val="en-US" w:eastAsia="en-US" w:bidi="ar-SA"/>
      </w:rPr>
    </w:lvl>
    <w:lvl w:ilvl="2" w:tplc="D81C6B42">
      <w:numFmt w:val="bullet"/>
      <w:lvlText w:val="•"/>
      <w:lvlJc w:val="left"/>
      <w:pPr>
        <w:ind w:left="1212" w:hanging="209"/>
      </w:pPr>
      <w:rPr>
        <w:rFonts w:hint="default"/>
        <w:lang w:val="en-US" w:eastAsia="en-US" w:bidi="ar-SA"/>
      </w:rPr>
    </w:lvl>
    <w:lvl w:ilvl="3" w:tplc="2284993A">
      <w:numFmt w:val="bullet"/>
      <w:lvlText w:val="•"/>
      <w:lvlJc w:val="left"/>
      <w:pPr>
        <w:ind w:left="1658" w:hanging="209"/>
      </w:pPr>
      <w:rPr>
        <w:rFonts w:hint="default"/>
        <w:lang w:val="en-US" w:eastAsia="en-US" w:bidi="ar-SA"/>
      </w:rPr>
    </w:lvl>
    <w:lvl w:ilvl="4" w:tplc="C666ABB0">
      <w:numFmt w:val="bullet"/>
      <w:lvlText w:val="•"/>
      <w:lvlJc w:val="left"/>
      <w:pPr>
        <w:ind w:left="2104" w:hanging="209"/>
      </w:pPr>
      <w:rPr>
        <w:rFonts w:hint="default"/>
        <w:lang w:val="en-US" w:eastAsia="en-US" w:bidi="ar-SA"/>
      </w:rPr>
    </w:lvl>
    <w:lvl w:ilvl="5" w:tplc="F0767784">
      <w:numFmt w:val="bullet"/>
      <w:lvlText w:val="•"/>
      <w:lvlJc w:val="left"/>
      <w:pPr>
        <w:ind w:left="2550" w:hanging="209"/>
      </w:pPr>
      <w:rPr>
        <w:rFonts w:hint="default"/>
        <w:lang w:val="en-US" w:eastAsia="en-US" w:bidi="ar-SA"/>
      </w:rPr>
    </w:lvl>
    <w:lvl w:ilvl="6" w:tplc="5D8AE3E8">
      <w:numFmt w:val="bullet"/>
      <w:lvlText w:val="•"/>
      <w:lvlJc w:val="left"/>
      <w:pPr>
        <w:ind w:left="2996" w:hanging="209"/>
      </w:pPr>
      <w:rPr>
        <w:rFonts w:hint="default"/>
        <w:lang w:val="en-US" w:eastAsia="en-US" w:bidi="ar-SA"/>
      </w:rPr>
    </w:lvl>
    <w:lvl w:ilvl="7" w:tplc="E348F6A0">
      <w:numFmt w:val="bullet"/>
      <w:lvlText w:val="•"/>
      <w:lvlJc w:val="left"/>
      <w:pPr>
        <w:ind w:left="3442" w:hanging="209"/>
      </w:pPr>
      <w:rPr>
        <w:rFonts w:hint="default"/>
        <w:lang w:val="en-US" w:eastAsia="en-US" w:bidi="ar-SA"/>
      </w:rPr>
    </w:lvl>
    <w:lvl w:ilvl="8" w:tplc="1194B7BC">
      <w:numFmt w:val="bullet"/>
      <w:lvlText w:val="•"/>
      <w:lvlJc w:val="left"/>
      <w:pPr>
        <w:ind w:left="3888" w:hanging="209"/>
      </w:pPr>
      <w:rPr>
        <w:rFonts w:hint="default"/>
        <w:lang w:val="en-US" w:eastAsia="en-US" w:bidi="ar-SA"/>
      </w:rPr>
    </w:lvl>
  </w:abstractNum>
  <w:abstractNum w:abstractNumId="146" w15:restartNumberingAfterBreak="0">
    <w:nsid w:val="572859E6"/>
    <w:multiLevelType w:val="hybridMultilevel"/>
    <w:tmpl w:val="0F22DD92"/>
    <w:lvl w:ilvl="0" w:tplc="DDB04342">
      <w:numFmt w:val="bullet"/>
      <w:lvlText w:val="•"/>
      <w:lvlJc w:val="left"/>
      <w:pPr>
        <w:ind w:left="221" w:hanging="116"/>
      </w:pPr>
      <w:rPr>
        <w:rFonts w:ascii="Trebuchet MS" w:eastAsia="Trebuchet MS" w:hAnsi="Trebuchet MS" w:cs="Trebuchet MS" w:hint="default"/>
        <w:b w:val="0"/>
        <w:bCs w:val="0"/>
        <w:i w:val="0"/>
        <w:iCs w:val="0"/>
        <w:w w:val="95"/>
        <w:sz w:val="16"/>
        <w:szCs w:val="16"/>
        <w:lang w:val="en-US" w:eastAsia="en-US" w:bidi="ar-SA"/>
      </w:rPr>
    </w:lvl>
    <w:lvl w:ilvl="1" w:tplc="C686B54A">
      <w:numFmt w:val="bullet"/>
      <w:lvlText w:val="•"/>
      <w:lvlJc w:val="left"/>
      <w:pPr>
        <w:ind w:left="379" w:hanging="116"/>
      </w:pPr>
      <w:rPr>
        <w:rFonts w:hint="default"/>
        <w:lang w:val="en-US" w:eastAsia="en-US" w:bidi="ar-SA"/>
      </w:rPr>
    </w:lvl>
    <w:lvl w:ilvl="2" w:tplc="6276B0D6">
      <w:numFmt w:val="bullet"/>
      <w:lvlText w:val="•"/>
      <w:lvlJc w:val="left"/>
      <w:pPr>
        <w:ind w:left="539" w:hanging="116"/>
      </w:pPr>
      <w:rPr>
        <w:rFonts w:hint="default"/>
        <w:lang w:val="en-US" w:eastAsia="en-US" w:bidi="ar-SA"/>
      </w:rPr>
    </w:lvl>
    <w:lvl w:ilvl="3" w:tplc="AF0837BC">
      <w:numFmt w:val="bullet"/>
      <w:lvlText w:val="•"/>
      <w:lvlJc w:val="left"/>
      <w:pPr>
        <w:ind w:left="699" w:hanging="116"/>
      </w:pPr>
      <w:rPr>
        <w:rFonts w:hint="default"/>
        <w:lang w:val="en-US" w:eastAsia="en-US" w:bidi="ar-SA"/>
      </w:rPr>
    </w:lvl>
    <w:lvl w:ilvl="4" w:tplc="8294F768">
      <w:numFmt w:val="bullet"/>
      <w:lvlText w:val="•"/>
      <w:lvlJc w:val="left"/>
      <w:pPr>
        <w:ind w:left="859" w:hanging="116"/>
      </w:pPr>
      <w:rPr>
        <w:rFonts w:hint="default"/>
        <w:lang w:val="en-US" w:eastAsia="en-US" w:bidi="ar-SA"/>
      </w:rPr>
    </w:lvl>
    <w:lvl w:ilvl="5" w:tplc="ED706838">
      <w:numFmt w:val="bullet"/>
      <w:lvlText w:val="•"/>
      <w:lvlJc w:val="left"/>
      <w:pPr>
        <w:ind w:left="1019" w:hanging="116"/>
      </w:pPr>
      <w:rPr>
        <w:rFonts w:hint="default"/>
        <w:lang w:val="en-US" w:eastAsia="en-US" w:bidi="ar-SA"/>
      </w:rPr>
    </w:lvl>
    <w:lvl w:ilvl="6" w:tplc="BBAEAA26">
      <w:numFmt w:val="bullet"/>
      <w:lvlText w:val="•"/>
      <w:lvlJc w:val="left"/>
      <w:pPr>
        <w:ind w:left="1179" w:hanging="116"/>
      </w:pPr>
      <w:rPr>
        <w:rFonts w:hint="default"/>
        <w:lang w:val="en-US" w:eastAsia="en-US" w:bidi="ar-SA"/>
      </w:rPr>
    </w:lvl>
    <w:lvl w:ilvl="7" w:tplc="088AD64C">
      <w:numFmt w:val="bullet"/>
      <w:lvlText w:val="•"/>
      <w:lvlJc w:val="left"/>
      <w:pPr>
        <w:ind w:left="1339" w:hanging="116"/>
      </w:pPr>
      <w:rPr>
        <w:rFonts w:hint="default"/>
        <w:lang w:val="en-US" w:eastAsia="en-US" w:bidi="ar-SA"/>
      </w:rPr>
    </w:lvl>
    <w:lvl w:ilvl="8" w:tplc="D6AE7E30">
      <w:numFmt w:val="bullet"/>
      <w:lvlText w:val="•"/>
      <w:lvlJc w:val="left"/>
      <w:pPr>
        <w:ind w:left="1499" w:hanging="116"/>
      </w:pPr>
      <w:rPr>
        <w:rFonts w:hint="default"/>
        <w:lang w:val="en-US" w:eastAsia="en-US" w:bidi="ar-SA"/>
      </w:rPr>
    </w:lvl>
  </w:abstractNum>
  <w:abstractNum w:abstractNumId="147" w15:restartNumberingAfterBreak="0">
    <w:nsid w:val="573A0FB9"/>
    <w:multiLevelType w:val="multilevel"/>
    <w:tmpl w:val="FCDE9384"/>
    <w:lvl w:ilvl="0">
      <w:start w:val="4"/>
      <w:numFmt w:val="decimal"/>
      <w:lvlText w:val="%1"/>
      <w:lvlJc w:val="left"/>
      <w:pPr>
        <w:ind w:left="941" w:hanging="450"/>
        <w:jc w:val="left"/>
      </w:pPr>
      <w:rPr>
        <w:rFonts w:hint="default"/>
        <w:lang w:val="en-US" w:eastAsia="en-US" w:bidi="ar-SA"/>
      </w:rPr>
    </w:lvl>
    <w:lvl w:ilvl="1">
      <w:start w:val="4"/>
      <w:numFmt w:val="decimal"/>
      <w:lvlText w:val="%1.%2"/>
      <w:lvlJc w:val="left"/>
      <w:pPr>
        <w:ind w:left="941" w:hanging="450"/>
        <w:jc w:val="left"/>
      </w:pPr>
      <w:rPr>
        <w:rFonts w:ascii="Arial" w:eastAsia="Arial" w:hAnsi="Arial" w:cs="Arial" w:hint="default"/>
        <w:b/>
        <w:bCs/>
        <w:i w:val="0"/>
        <w:iCs w:val="0"/>
        <w:color w:val="EC008C"/>
        <w:spacing w:val="-5"/>
        <w:w w:val="99"/>
        <w:sz w:val="28"/>
        <w:szCs w:val="28"/>
        <w:lang w:val="en-US" w:eastAsia="en-US" w:bidi="ar-SA"/>
      </w:rPr>
    </w:lvl>
    <w:lvl w:ilvl="2">
      <w:start w:val="1"/>
      <w:numFmt w:val="decimal"/>
      <w:lvlText w:val="%1.%2.%3"/>
      <w:lvlJc w:val="left"/>
      <w:pPr>
        <w:ind w:left="978" w:hanging="486"/>
        <w:jc w:val="right"/>
      </w:pPr>
      <w:rPr>
        <w:rFonts w:ascii="Arial" w:eastAsia="Arial" w:hAnsi="Arial" w:cs="Arial" w:hint="default"/>
        <w:b/>
        <w:bCs/>
        <w:i w:val="0"/>
        <w:iCs w:val="0"/>
        <w:color w:val="EC008C"/>
        <w:spacing w:val="-3"/>
        <w:w w:val="99"/>
        <w:sz w:val="20"/>
        <w:szCs w:val="20"/>
        <w:lang w:val="en-US" w:eastAsia="en-US" w:bidi="ar-SA"/>
      </w:rPr>
    </w:lvl>
    <w:lvl w:ilvl="3">
      <w:numFmt w:val="bullet"/>
      <w:lvlText w:val="•"/>
      <w:lvlJc w:val="left"/>
      <w:pPr>
        <w:ind w:left="775" w:hanging="284"/>
      </w:pPr>
      <w:rPr>
        <w:rFonts w:ascii="Tahoma" w:eastAsia="Tahoma" w:hAnsi="Tahoma" w:cs="Tahoma" w:hint="default"/>
        <w:b w:val="0"/>
        <w:bCs w:val="0"/>
        <w:i w:val="0"/>
        <w:iCs w:val="0"/>
        <w:w w:val="109"/>
        <w:sz w:val="20"/>
        <w:szCs w:val="20"/>
        <w:lang w:val="en-US" w:eastAsia="en-US" w:bidi="ar-SA"/>
      </w:rPr>
    </w:lvl>
    <w:lvl w:ilvl="4">
      <w:numFmt w:val="bullet"/>
      <w:lvlText w:val="•"/>
      <w:lvlJc w:val="left"/>
      <w:pPr>
        <w:ind w:left="2054" w:hanging="284"/>
      </w:pPr>
      <w:rPr>
        <w:rFonts w:hint="default"/>
        <w:lang w:val="en-US" w:eastAsia="en-US" w:bidi="ar-SA"/>
      </w:rPr>
    </w:lvl>
    <w:lvl w:ilvl="5">
      <w:numFmt w:val="bullet"/>
      <w:lvlText w:val="•"/>
      <w:lvlJc w:val="left"/>
      <w:pPr>
        <w:ind w:left="2591" w:hanging="284"/>
      </w:pPr>
      <w:rPr>
        <w:rFonts w:hint="default"/>
        <w:lang w:val="en-US" w:eastAsia="en-US" w:bidi="ar-SA"/>
      </w:rPr>
    </w:lvl>
    <w:lvl w:ilvl="6">
      <w:numFmt w:val="bullet"/>
      <w:lvlText w:val="•"/>
      <w:lvlJc w:val="left"/>
      <w:pPr>
        <w:ind w:left="3128" w:hanging="284"/>
      </w:pPr>
      <w:rPr>
        <w:rFonts w:hint="default"/>
        <w:lang w:val="en-US" w:eastAsia="en-US" w:bidi="ar-SA"/>
      </w:rPr>
    </w:lvl>
    <w:lvl w:ilvl="7">
      <w:numFmt w:val="bullet"/>
      <w:lvlText w:val="•"/>
      <w:lvlJc w:val="left"/>
      <w:pPr>
        <w:ind w:left="3665" w:hanging="284"/>
      </w:pPr>
      <w:rPr>
        <w:rFonts w:hint="default"/>
        <w:lang w:val="en-US" w:eastAsia="en-US" w:bidi="ar-SA"/>
      </w:rPr>
    </w:lvl>
    <w:lvl w:ilvl="8">
      <w:numFmt w:val="bullet"/>
      <w:lvlText w:val="•"/>
      <w:lvlJc w:val="left"/>
      <w:pPr>
        <w:ind w:left="4202" w:hanging="284"/>
      </w:pPr>
      <w:rPr>
        <w:rFonts w:hint="default"/>
        <w:lang w:val="en-US" w:eastAsia="en-US" w:bidi="ar-SA"/>
      </w:rPr>
    </w:lvl>
  </w:abstractNum>
  <w:abstractNum w:abstractNumId="148" w15:restartNumberingAfterBreak="0">
    <w:nsid w:val="582F4B54"/>
    <w:multiLevelType w:val="hybridMultilevel"/>
    <w:tmpl w:val="345C3B94"/>
    <w:lvl w:ilvl="0" w:tplc="EE027A04">
      <w:numFmt w:val="bullet"/>
      <w:lvlText w:val="–"/>
      <w:lvlJc w:val="left"/>
      <w:pPr>
        <w:ind w:left="151" w:hanging="96"/>
      </w:pPr>
      <w:rPr>
        <w:rFonts w:ascii="Arial" w:eastAsia="Arial" w:hAnsi="Arial" w:cs="Arial" w:hint="default"/>
        <w:b w:val="0"/>
        <w:bCs w:val="0"/>
        <w:i w:val="0"/>
        <w:iCs w:val="0"/>
        <w:w w:val="89"/>
        <w:sz w:val="14"/>
        <w:szCs w:val="14"/>
        <w:lang w:val="en-US" w:eastAsia="en-US" w:bidi="ar-SA"/>
      </w:rPr>
    </w:lvl>
    <w:lvl w:ilvl="1" w:tplc="75DCEB1E">
      <w:numFmt w:val="bullet"/>
      <w:lvlText w:val="•"/>
      <w:lvlJc w:val="left"/>
      <w:pPr>
        <w:ind w:left="302" w:hanging="96"/>
      </w:pPr>
      <w:rPr>
        <w:rFonts w:hint="default"/>
        <w:lang w:val="en-US" w:eastAsia="en-US" w:bidi="ar-SA"/>
      </w:rPr>
    </w:lvl>
    <w:lvl w:ilvl="2" w:tplc="6434A7A8">
      <w:numFmt w:val="bullet"/>
      <w:lvlText w:val="•"/>
      <w:lvlJc w:val="left"/>
      <w:pPr>
        <w:ind w:left="445" w:hanging="96"/>
      </w:pPr>
      <w:rPr>
        <w:rFonts w:hint="default"/>
        <w:lang w:val="en-US" w:eastAsia="en-US" w:bidi="ar-SA"/>
      </w:rPr>
    </w:lvl>
    <w:lvl w:ilvl="3" w:tplc="7C44A30C">
      <w:numFmt w:val="bullet"/>
      <w:lvlText w:val="•"/>
      <w:lvlJc w:val="left"/>
      <w:pPr>
        <w:ind w:left="588" w:hanging="96"/>
      </w:pPr>
      <w:rPr>
        <w:rFonts w:hint="default"/>
        <w:lang w:val="en-US" w:eastAsia="en-US" w:bidi="ar-SA"/>
      </w:rPr>
    </w:lvl>
    <w:lvl w:ilvl="4" w:tplc="89C0FD1C">
      <w:numFmt w:val="bullet"/>
      <w:lvlText w:val="•"/>
      <w:lvlJc w:val="left"/>
      <w:pPr>
        <w:ind w:left="730" w:hanging="96"/>
      </w:pPr>
      <w:rPr>
        <w:rFonts w:hint="default"/>
        <w:lang w:val="en-US" w:eastAsia="en-US" w:bidi="ar-SA"/>
      </w:rPr>
    </w:lvl>
    <w:lvl w:ilvl="5" w:tplc="DD885BB2">
      <w:numFmt w:val="bullet"/>
      <w:lvlText w:val="•"/>
      <w:lvlJc w:val="left"/>
      <w:pPr>
        <w:ind w:left="873" w:hanging="96"/>
      </w:pPr>
      <w:rPr>
        <w:rFonts w:hint="default"/>
        <w:lang w:val="en-US" w:eastAsia="en-US" w:bidi="ar-SA"/>
      </w:rPr>
    </w:lvl>
    <w:lvl w:ilvl="6" w:tplc="1232827E">
      <w:numFmt w:val="bullet"/>
      <w:lvlText w:val="•"/>
      <w:lvlJc w:val="left"/>
      <w:pPr>
        <w:ind w:left="1016" w:hanging="96"/>
      </w:pPr>
      <w:rPr>
        <w:rFonts w:hint="default"/>
        <w:lang w:val="en-US" w:eastAsia="en-US" w:bidi="ar-SA"/>
      </w:rPr>
    </w:lvl>
    <w:lvl w:ilvl="7" w:tplc="C2C0EF2C">
      <w:numFmt w:val="bullet"/>
      <w:lvlText w:val="•"/>
      <w:lvlJc w:val="left"/>
      <w:pPr>
        <w:ind w:left="1159" w:hanging="96"/>
      </w:pPr>
      <w:rPr>
        <w:rFonts w:hint="default"/>
        <w:lang w:val="en-US" w:eastAsia="en-US" w:bidi="ar-SA"/>
      </w:rPr>
    </w:lvl>
    <w:lvl w:ilvl="8" w:tplc="10945A1C">
      <w:numFmt w:val="bullet"/>
      <w:lvlText w:val="•"/>
      <w:lvlJc w:val="left"/>
      <w:pPr>
        <w:ind w:left="1301" w:hanging="96"/>
      </w:pPr>
      <w:rPr>
        <w:rFonts w:hint="default"/>
        <w:lang w:val="en-US" w:eastAsia="en-US" w:bidi="ar-SA"/>
      </w:rPr>
    </w:lvl>
  </w:abstractNum>
  <w:abstractNum w:abstractNumId="149" w15:restartNumberingAfterBreak="0">
    <w:nsid w:val="586020D9"/>
    <w:multiLevelType w:val="hybridMultilevel"/>
    <w:tmpl w:val="AF0E2084"/>
    <w:lvl w:ilvl="0" w:tplc="E2069D52">
      <w:numFmt w:val="bullet"/>
      <w:lvlText w:val="–"/>
      <w:lvlJc w:val="left"/>
      <w:pPr>
        <w:ind w:left="252" w:hanging="142"/>
      </w:pPr>
      <w:rPr>
        <w:rFonts w:ascii="Arial" w:eastAsia="Arial" w:hAnsi="Arial" w:cs="Arial" w:hint="default"/>
        <w:b w:val="0"/>
        <w:bCs w:val="0"/>
        <w:i w:val="0"/>
        <w:iCs w:val="0"/>
        <w:w w:val="89"/>
        <w:sz w:val="16"/>
        <w:szCs w:val="16"/>
        <w:lang w:val="en-US" w:eastAsia="en-US" w:bidi="ar-SA"/>
      </w:rPr>
    </w:lvl>
    <w:lvl w:ilvl="1" w:tplc="D66A5A52">
      <w:numFmt w:val="bullet"/>
      <w:lvlText w:val="•"/>
      <w:lvlJc w:val="left"/>
      <w:pPr>
        <w:ind w:left="1127" w:hanging="142"/>
      </w:pPr>
      <w:rPr>
        <w:rFonts w:hint="default"/>
        <w:lang w:val="en-US" w:eastAsia="en-US" w:bidi="ar-SA"/>
      </w:rPr>
    </w:lvl>
    <w:lvl w:ilvl="2" w:tplc="8626F8B4">
      <w:numFmt w:val="bullet"/>
      <w:lvlText w:val="•"/>
      <w:lvlJc w:val="left"/>
      <w:pPr>
        <w:ind w:left="1995" w:hanging="142"/>
      </w:pPr>
      <w:rPr>
        <w:rFonts w:hint="default"/>
        <w:lang w:val="en-US" w:eastAsia="en-US" w:bidi="ar-SA"/>
      </w:rPr>
    </w:lvl>
    <w:lvl w:ilvl="3" w:tplc="BCEC5F22">
      <w:numFmt w:val="bullet"/>
      <w:lvlText w:val="•"/>
      <w:lvlJc w:val="left"/>
      <w:pPr>
        <w:ind w:left="2863" w:hanging="142"/>
      </w:pPr>
      <w:rPr>
        <w:rFonts w:hint="default"/>
        <w:lang w:val="en-US" w:eastAsia="en-US" w:bidi="ar-SA"/>
      </w:rPr>
    </w:lvl>
    <w:lvl w:ilvl="4" w:tplc="2312D234">
      <w:numFmt w:val="bullet"/>
      <w:lvlText w:val="•"/>
      <w:lvlJc w:val="left"/>
      <w:pPr>
        <w:ind w:left="3731" w:hanging="142"/>
      </w:pPr>
      <w:rPr>
        <w:rFonts w:hint="default"/>
        <w:lang w:val="en-US" w:eastAsia="en-US" w:bidi="ar-SA"/>
      </w:rPr>
    </w:lvl>
    <w:lvl w:ilvl="5" w:tplc="8E4A52C6">
      <w:numFmt w:val="bullet"/>
      <w:lvlText w:val="•"/>
      <w:lvlJc w:val="left"/>
      <w:pPr>
        <w:ind w:left="4599" w:hanging="142"/>
      </w:pPr>
      <w:rPr>
        <w:rFonts w:hint="default"/>
        <w:lang w:val="en-US" w:eastAsia="en-US" w:bidi="ar-SA"/>
      </w:rPr>
    </w:lvl>
    <w:lvl w:ilvl="6" w:tplc="F8B263F6">
      <w:numFmt w:val="bullet"/>
      <w:lvlText w:val="•"/>
      <w:lvlJc w:val="left"/>
      <w:pPr>
        <w:ind w:left="5467" w:hanging="142"/>
      </w:pPr>
      <w:rPr>
        <w:rFonts w:hint="default"/>
        <w:lang w:val="en-US" w:eastAsia="en-US" w:bidi="ar-SA"/>
      </w:rPr>
    </w:lvl>
    <w:lvl w:ilvl="7" w:tplc="2B68ABB8">
      <w:numFmt w:val="bullet"/>
      <w:lvlText w:val="•"/>
      <w:lvlJc w:val="left"/>
      <w:pPr>
        <w:ind w:left="6335" w:hanging="142"/>
      </w:pPr>
      <w:rPr>
        <w:rFonts w:hint="default"/>
        <w:lang w:val="en-US" w:eastAsia="en-US" w:bidi="ar-SA"/>
      </w:rPr>
    </w:lvl>
    <w:lvl w:ilvl="8" w:tplc="502053A2">
      <w:numFmt w:val="bullet"/>
      <w:lvlText w:val="•"/>
      <w:lvlJc w:val="left"/>
      <w:pPr>
        <w:ind w:left="7203" w:hanging="142"/>
      </w:pPr>
      <w:rPr>
        <w:rFonts w:hint="default"/>
        <w:lang w:val="en-US" w:eastAsia="en-US" w:bidi="ar-SA"/>
      </w:rPr>
    </w:lvl>
  </w:abstractNum>
  <w:abstractNum w:abstractNumId="150" w15:restartNumberingAfterBreak="0">
    <w:nsid w:val="58BE3959"/>
    <w:multiLevelType w:val="multilevel"/>
    <w:tmpl w:val="91D28B24"/>
    <w:lvl w:ilvl="0">
      <w:start w:val="1"/>
      <w:numFmt w:val="decimal"/>
      <w:lvlText w:val="%1"/>
      <w:lvlJc w:val="left"/>
      <w:pPr>
        <w:ind w:left="1561" w:hanging="1070"/>
        <w:jc w:val="left"/>
      </w:pPr>
      <w:rPr>
        <w:rFonts w:hint="default"/>
        <w:lang w:val="en-US" w:eastAsia="en-US" w:bidi="ar-SA"/>
      </w:rPr>
    </w:lvl>
    <w:lvl w:ilvl="1">
      <w:numFmt w:val="decimal"/>
      <w:lvlText w:val="%1.%2"/>
      <w:lvlJc w:val="left"/>
      <w:pPr>
        <w:ind w:left="1561" w:hanging="1070"/>
        <w:jc w:val="right"/>
      </w:pPr>
      <w:rPr>
        <w:rFonts w:hint="default"/>
        <w:spacing w:val="-37"/>
        <w:w w:val="54"/>
        <w:lang w:val="en-US" w:eastAsia="en-US" w:bidi="ar-SA"/>
      </w:rPr>
    </w:lvl>
    <w:lvl w:ilvl="2">
      <w:start w:val="1"/>
      <w:numFmt w:val="decimal"/>
      <w:lvlText w:val="%1.%2.%3"/>
      <w:lvlJc w:val="left"/>
      <w:pPr>
        <w:ind w:left="967" w:hanging="486"/>
        <w:jc w:val="right"/>
      </w:pPr>
      <w:rPr>
        <w:rFonts w:ascii="Arial" w:eastAsia="Arial" w:hAnsi="Arial" w:cs="Arial" w:hint="default"/>
        <w:b/>
        <w:bCs/>
        <w:i w:val="0"/>
        <w:iCs w:val="0"/>
        <w:color w:val="EC008C"/>
        <w:spacing w:val="-3"/>
        <w:w w:val="99"/>
        <w:sz w:val="20"/>
        <w:szCs w:val="20"/>
        <w:lang w:val="en-US" w:eastAsia="en-US" w:bidi="ar-SA"/>
      </w:rPr>
    </w:lvl>
    <w:lvl w:ilvl="3">
      <w:start w:val="1"/>
      <w:numFmt w:val="decimal"/>
      <w:lvlText w:val="%4."/>
      <w:lvlJc w:val="left"/>
      <w:pPr>
        <w:ind w:left="683" w:hanging="204"/>
        <w:jc w:val="left"/>
      </w:pPr>
      <w:rPr>
        <w:rFonts w:ascii="Arial" w:eastAsia="Arial" w:hAnsi="Arial" w:cs="Arial" w:hint="default"/>
        <w:b/>
        <w:bCs/>
        <w:i/>
        <w:iCs/>
        <w:spacing w:val="-6"/>
        <w:w w:val="99"/>
        <w:sz w:val="20"/>
        <w:szCs w:val="20"/>
        <w:lang w:val="en-US" w:eastAsia="en-US" w:bidi="ar-SA"/>
      </w:rPr>
    </w:lvl>
    <w:lvl w:ilvl="4">
      <w:start w:val="1"/>
      <w:numFmt w:val="decimal"/>
      <w:lvlText w:val="%4.%5"/>
      <w:lvlJc w:val="left"/>
      <w:pPr>
        <w:ind w:left="941" w:hanging="450"/>
        <w:jc w:val="right"/>
      </w:pPr>
      <w:rPr>
        <w:rFonts w:ascii="Arial" w:eastAsia="Arial" w:hAnsi="Arial" w:cs="Arial" w:hint="default"/>
        <w:b/>
        <w:bCs/>
        <w:i w:val="0"/>
        <w:iCs w:val="0"/>
        <w:color w:val="EC008C"/>
        <w:spacing w:val="-5"/>
        <w:w w:val="99"/>
        <w:sz w:val="28"/>
        <w:szCs w:val="28"/>
        <w:lang w:val="en-US" w:eastAsia="en-US" w:bidi="ar-SA"/>
      </w:rPr>
    </w:lvl>
    <w:lvl w:ilvl="5">
      <w:start w:val="1"/>
      <w:numFmt w:val="decimal"/>
      <w:lvlText w:val="%4.%5.%6."/>
      <w:lvlJc w:val="left"/>
      <w:pPr>
        <w:ind w:left="6058" w:hanging="540"/>
        <w:jc w:val="left"/>
      </w:pPr>
      <w:rPr>
        <w:rFonts w:ascii="Arial" w:eastAsia="Arial" w:hAnsi="Arial" w:cs="Arial" w:hint="default"/>
        <w:b/>
        <w:bCs/>
        <w:i w:val="0"/>
        <w:iCs w:val="0"/>
        <w:color w:val="EC008C"/>
        <w:spacing w:val="-3"/>
        <w:w w:val="100"/>
        <w:sz w:val="20"/>
        <w:szCs w:val="20"/>
        <w:lang w:val="en-US" w:eastAsia="en-US" w:bidi="ar-SA"/>
      </w:rPr>
    </w:lvl>
    <w:lvl w:ilvl="6">
      <w:numFmt w:val="bullet"/>
      <w:lvlText w:val="•"/>
      <w:lvlJc w:val="left"/>
      <w:pPr>
        <w:ind w:left="2442" w:hanging="540"/>
      </w:pPr>
      <w:rPr>
        <w:rFonts w:hint="default"/>
        <w:lang w:val="en-US" w:eastAsia="en-US" w:bidi="ar-SA"/>
      </w:rPr>
    </w:lvl>
    <w:lvl w:ilvl="7">
      <w:numFmt w:val="bullet"/>
      <w:lvlText w:val="•"/>
      <w:lvlJc w:val="left"/>
      <w:pPr>
        <w:ind w:left="634" w:hanging="540"/>
      </w:pPr>
      <w:rPr>
        <w:rFonts w:hint="default"/>
        <w:lang w:val="en-US" w:eastAsia="en-US" w:bidi="ar-SA"/>
      </w:rPr>
    </w:lvl>
    <w:lvl w:ilvl="8">
      <w:numFmt w:val="bullet"/>
      <w:lvlText w:val="•"/>
      <w:lvlJc w:val="left"/>
      <w:pPr>
        <w:ind w:left="-1175" w:hanging="540"/>
      </w:pPr>
      <w:rPr>
        <w:rFonts w:hint="default"/>
        <w:lang w:val="en-US" w:eastAsia="en-US" w:bidi="ar-SA"/>
      </w:rPr>
    </w:lvl>
  </w:abstractNum>
  <w:abstractNum w:abstractNumId="151" w15:restartNumberingAfterBreak="0">
    <w:nsid w:val="5A0D63B4"/>
    <w:multiLevelType w:val="hybridMultilevel"/>
    <w:tmpl w:val="5E6A98A6"/>
    <w:lvl w:ilvl="0" w:tplc="B7D4B134">
      <w:numFmt w:val="bullet"/>
      <w:lvlText w:val="•"/>
      <w:lvlJc w:val="left"/>
      <w:pPr>
        <w:ind w:left="478" w:hanging="284"/>
      </w:pPr>
      <w:rPr>
        <w:rFonts w:ascii="Tahoma" w:eastAsia="Tahoma" w:hAnsi="Tahoma" w:cs="Tahoma" w:hint="default"/>
        <w:b w:val="0"/>
        <w:bCs w:val="0"/>
        <w:i w:val="0"/>
        <w:iCs w:val="0"/>
        <w:w w:val="109"/>
        <w:sz w:val="20"/>
        <w:szCs w:val="20"/>
        <w:lang w:val="en-US" w:eastAsia="en-US" w:bidi="ar-SA"/>
      </w:rPr>
    </w:lvl>
    <w:lvl w:ilvl="1" w:tplc="BD723034">
      <w:numFmt w:val="bullet"/>
      <w:lvlText w:val="•"/>
      <w:lvlJc w:val="left"/>
      <w:pPr>
        <w:ind w:left="1002" w:hanging="284"/>
      </w:pPr>
      <w:rPr>
        <w:rFonts w:hint="default"/>
        <w:lang w:val="en-US" w:eastAsia="en-US" w:bidi="ar-SA"/>
      </w:rPr>
    </w:lvl>
    <w:lvl w:ilvl="2" w:tplc="A84CE5F2">
      <w:numFmt w:val="bullet"/>
      <w:lvlText w:val="•"/>
      <w:lvlJc w:val="left"/>
      <w:pPr>
        <w:ind w:left="1525" w:hanging="284"/>
      </w:pPr>
      <w:rPr>
        <w:rFonts w:hint="default"/>
        <w:lang w:val="en-US" w:eastAsia="en-US" w:bidi="ar-SA"/>
      </w:rPr>
    </w:lvl>
    <w:lvl w:ilvl="3" w:tplc="F842C460">
      <w:numFmt w:val="bullet"/>
      <w:lvlText w:val="•"/>
      <w:lvlJc w:val="left"/>
      <w:pPr>
        <w:ind w:left="2048" w:hanging="284"/>
      </w:pPr>
      <w:rPr>
        <w:rFonts w:hint="default"/>
        <w:lang w:val="en-US" w:eastAsia="en-US" w:bidi="ar-SA"/>
      </w:rPr>
    </w:lvl>
    <w:lvl w:ilvl="4" w:tplc="38DE0848">
      <w:numFmt w:val="bullet"/>
      <w:lvlText w:val="•"/>
      <w:lvlJc w:val="left"/>
      <w:pPr>
        <w:ind w:left="2570" w:hanging="284"/>
      </w:pPr>
      <w:rPr>
        <w:rFonts w:hint="default"/>
        <w:lang w:val="en-US" w:eastAsia="en-US" w:bidi="ar-SA"/>
      </w:rPr>
    </w:lvl>
    <w:lvl w:ilvl="5" w:tplc="07F6EB8A">
      <w:numFmt w:val="bullet"/>
      <w:lvlText w:val="•"/>
      <w:lvlJc w:val="left"/>
      <w:pPr>
        <w:ind w:left="3093" w:hanging="284"/>
      </w:pPr>
      <w:rPr>
        <w:rFonts w:hint="default"/>
        <w:lang w:val="en-US" w:eastAsia="en-US" w:bidi="ar-SA"/>
      </w:rPr>
    </w:lvl>
    <w:lvl w:ilvl="6" w:tplc="B9603854">
      <w:numFmt w:val="bullet"/>
      <w:lvlText w:val="•"/>
      <w:lvlJc w:val="left"/>
      <w:pPr>
        <w:ind w:left="3616" w:hanging="284"/>
      </w:pPr>
      <w:rPr>
        <w:rFonts w:hint="default"/>
        <w:lang w:val="en-US" w:eastAsia="en-US" w:bidi="ar-SA"/>
      </w:rPr>
    </w:lvl>
    <w:lvl w:ilvl="7" w:tplc="822C310E">
      <w:numFmt w:val="bullet"/>
      <w:lvlText w:val="•"/>
      <w:lvlJc w:val="left"/>
      <w:pPr>
        <w:ind w:left="4139" w:hanging="284"/>
      </w:pPr>
      <w:rPr>
        <w:rFonts w:hint="default"/>
        <w:lang w:val="en-US" w:eastAsia="en-US" w:bidi="ar-SA"/>
      </w:rPr>
    </w:lvl>
    <w:lvl w:ilvl="8" w:tplc="4442E84E">
      <w:numFmt w:val="bullet"/>
      <w:lvlText w:val="•"/>
      <w:lvlJc w:val="left"/>
      <w:pPr>
        <w:ind w:left="4661" w:hanging="284"/>
      </w:pPr>
      <w:rPr>
        <w:rFonts w:hint="default"/>
        <w:lang w:val="en-US" w:eastAsia="en-US" w:bidi="ar-SA"/>
      </w:rPr>
    </w:lvl>
  </w:abstractNum>
  <w:abstractNum w:abstractNumId="152" w15:restartNumberingAfterBreak="0">
    <w:nsid w:val="5A182217"/>
    <w:multiLevelType w:val="hybridMultilevel"/>
    <w:tmpl w:val="2500D574"/>
    <w:lvl w:ilvl="0" w:tplc="80A0E8C4">
      <w:numFmt w:val="bullet"/>
      <w:lvlText w:val="–"/>
      <w:lvlJc w:val="left"/>
      <w:pPr>
        <w:ind w:left="252" w:hanging="142"/>
      </w:pPr>
      <w:rPr>
        <w:rFonts w:ascii="Arial" w:eastAsia="Arial" w:hAnsi="Arial" w:cs="Arial" w:hint="default"/>
        <w:b w:val="0"/>
        <w:bCs w:val="0"/>
        <w:i w:val="0"/>
        <w:iCs w:val="0"/>
        <w:w w:val="89"/>
        <w:sz w:val="16"/>
        <w:szCs w:val="16"/>
        <w:lang w:val="en-US" w:eastAsia="en-US" w:bidi="ar-SA"/>
      </w:rPr>
    </w:lvl>
    <w:lvl w:ilvl="1" w:tplc="5F303094">
      <w:numFmt w:val="bullet"/>
      <w:lvlText w:val="•"/>
      <w:lvlJc w:val="left"/>
      <w:pPr>
        <w:ind w:left="1127" w:hanging="142"/>
      </w:pPr>
      <w:rPr>
        <w:rFonts w:hint="default"/>
        <w:lang w:val="en-US" w:eastAsia="en-US" w:bidi="ar-SA"/>
      </w:rPr>
    </w:lvl>
    <w:lvl w:ilvl="2" w:tplc="E6480CE2">
      <w:numFmt w:val="bullet"/>
      <w:lvlText w:val="•"/>
      <w:lvlJc w:val="left"/>
      <w:pPr>
        <w:ind w:left="1995" w:hanging="142"/>
      </w:pPr>
      <w:rPr>
        <w:rFonts w:hint="default"/>
        <w:lang w:val="en-US" w:eastAsia="en-US" w:bidi="ar-SA"/>
      </w:rPr>
    </w:lvl>
    <w:lvl w:ilvl="3" w:tplc="80F4979C">
      <w:numFmt w:val="bullet"/>
      <w:lvlText w:val="•"/>
      <w:lvlJc w:val="left"/>
      <w:pPr>
        <w:ind w:left="2863" w:hanging="142"/>
      </w:pPr>
      <w:rPr>
        <w:rFonts w:hint="default"/>
        <w:lang w:val="en-US" w:eastAsia="en-US" w:bidi="ar-SA"/>
      </w:rPr>
    </w:lvl>
    <w:lvl w:ilvl="4" w:tplc="E596365E">
      <w:numFmt w:val="bullet"/>
      <w:lvlText w:val="•"/>
      <w:lvlJc w:val="left"/>
      <w:pPr>
        <w:ind w:left="3731" w:hanging="142"/>
      </w:pPr>
      <w:rPr>
        <w:rFonts w:hint="default"/>
        <w:lang w:val="en-US" w:eastAsia="en-US" w:bidi="ar-SA"/>
      </w:rPr>
    </w:lvl>
    <w:lvl w:ilvl="5" w:tplc="148A4F82">
      <w:numFmt w:val="bullet"/>
      <w:lvlText w:val="•"/>
      <w:lvlJc w:val="left"/>
      <w:pPr>
        <w:ind w:left="4599" w:hanging="142"/>
      </w:pPr>
      <w:rPr>
        <w:rFonts w:hint="default"/>
        <w:lang w:val="en-US" w:eastAsia="en-US" w:bidi="ar-SA"/>
      </w:rPr>
    </w:lvl>
    <w:lvl w:ilvl="6" w:tplc="844AAF7A">
      <w:numFmt w:val="bullet"/>
      <w:lvlText w:val="•"/>
      <w:lvlJc w:val="left"/>
      <w:pPr>
        <w:ind w:left="5467" w:hanging="142"/>
      </w:pPr>
      <w:rPr>
        <w:rFonts w:hint="default"/>
        <w:lang w:val="en-US" w:eastAsia="en-US" w:bidi="ar-SA"/>
      </w:rPr>
    </w:lvl>
    <w:lvl w:ilvl="7" w:tplc="777A27EA">
      <w:numFmt w:val="bullet"/>
      <w:lvlText w:val="•"/>
      <w:lvlJc w:val="left"/>
      <w:pPr>
        <w:ind w:left="6335" w:hanging="142"/>
      </w:pPr>
      <w:rPr>
        <w:rFonts w:hint="default"/>
        <w:lang w:val="en-US" w:eastAsia="en-US" w:bidi="ar-SA"/>
      </w:rPr>
    </w:lvl>
    <w:lvl w:ilvl="8" w:tplc="94AAAA3A">
      <w:numFmt w:val="bullet"/>
      <w:lvlText w:val="•"/>
      <w:lvlJc w:val="left"/>
      <w:pPr>
        <w:ind w:left="7203" w:hanging="142"/>
      </w:pPr>
      <w:rPr>
        <w:rFonts w:hint="default"/>
        <w:lang w:val="en-US" w:eastAsia="en-US" w:bidi="ar-SA"/>
      </w:rPr>
    </w:lvl>
  </w:abstractNum>
  <w:abstractNum w:abstractNumId="153" w15:restartNumberingAfterBreak="0">
    <w:nsid w:val="5A3B65D4"/>
    <w:multiLevelType w:val="hybridMultilevel"/>
    <w:tmpl w:val="69E04690"/>
    <w:lvl w:ilvl="0" w:tplc="6068DCAE">
      <w:numFmt w:val="bullet"/>
      <w:lvlText w:val="•"/>
      <w:lvlJc w:val="left"/>
      <w:pPr>
        <w:ind w:left="775" w:hanging="284"/>
      </w:pPr>
      <w:rPr>
        <w:rFonts w:ascii="Tahoma" w:eastAsia="Tahoma" w:hAnsi="Tahoma" w:cs="Tahoma" w:hint="default"/>
        <w:b w:val="0"/>
        <w:bCs w:val="0"/>
        <w:i w:val="0"/>
        <w:iCs w:val="0"/>
        <w:w w:val="108"/>
        <w:sz w:val="20"/>
        <w:szCs w:val="20"/>
        <w:lang w:val="en-US" w:eastAsia="en-US" w:bidi="ar-SA"/>
      </w:rPr>
    </w:lvl>
    <w:lvl w:ilvl="1" w:tplc="B3821E88">
      <w:numFmt w:val="bullet"/>
      <w:lvlText w:val="•"/>
      <w:lvlJc w:val="left"/>
      <w:pPr>
        <w:ind w:left="1213" w:hanging="284"/>
      </w:pPr>
      <w:rPr>
        <w:rFonts w:hint="default"/>
        <w:lang w:val="en-US" w:eastAsia="en-US" w:bidi="ar-SA"/>
      </w:rPr>
    </w:lvl>
    <w:lvl w:ilvl="2" w:tplc="A8984C1E">
      <w:numFmt w:val="bullet"/>
      <w:lvlText w:val="•"/>
      <w:lvlJc w:val="left"/>
      <w:pPr>
        <w:ind w:left="1646" w:hanging="284"/>
      </w:pPr>
      <w:rPr>
        <w:rFonts w:hint="default"/>
        <w:lang w:val="en-US" w:eastAsia="en-US" w:bidi="ar-SA"/>
      </w:rPr>
    </w:lvl>
    <w:lvl w:ilvl="3" w:tplc="79BCB584">
      <w:numFmt w:val="bullet"/>
      <w:lvlText w:val="•"/>
      <w:lvlJc w:val="left"/>
      <w:pPr>
        <w:ind w:left="2079" w:hanging="284"/>
      </w:pPr>
      <w:rPr>
        <w:rFonts w:hint="default"/>
        <w:lang w:val="en-US" w:eastAsia="en-US" w:bidi="ar-SA"/>
      </w:rPr>
    </w:lvl>
    <w:lvl w:ilvl="4" w:tplc="2154F69C">
      <w:numFmt w:val="bullet"/>
      <w:lvlText w:val="•"/>
      <w:lvlJc w:val="left"/>
      <w:pPr>
        <w:ind w:left="2512" w:hanging="284"/>
      </w:pPr>
      <w:rPr>
        <w:rFonts w:hint="default"/>
        <w:lang w:val="en-US" w:eastAsia="en-US" w:bidi="ar-SA"/>
      </w:rPr>
    </w:lvl>
    <w:lvl w:ilvl="5" w:tplc="4F5844AC">
      <w:numFmt w:val="bullet"/>
      <w:lvlText w:val="•"/>
      <w:lvlJc w:val="left"/>
      <w:pPr>
        <w:ind w:left="2945" w:hanging="284"/>
      </w:pPr>
      <w:rPr>
        <w:rFonts w:hint="default"/>
        <w:lang w:val="en-US" w:eastAsia="en-US" w:bidi="ar-SA"/>
      </w:rPr>
    </w:lvl>
    <w:lvl w:ilvl="6" w:tplc="ED7C2E06">
      <w:numFmt w:val="bullet"/>
      <w:lvlText w:val="•"/>
      <w:lvlJc w:val="left"/>
      <w:pPr>
        <w:ind w:left="3378" w:hanging="284"/>
      </w:pPr>
      <w:rPr>
        <w:rFonts w:hint="default"/>
        <w:lang w:val="en-US" w:eastAsia="en-US" w:bidi="ar-SA"/>
      </w:rPr>
    </w:lvl>
    <w:lvl w:ilvl="7" w:tplc="1A9633D8">
      <w:numFmt w:val="bullet"/>
      <w:lvlText w:val="•"/>
      <w:lvlJc w:val="left"/>
      <w:pPr>
        <w:ind w:left="3811" w:hanging="284"/>
      </w:pPr>
      <w:rPr>
        <w:rFonts w:hint="default"/>
        <w:lang w:val="en-US" w:eastAsia="en-US" w:bidi="ar-SA"/>
      </w:rPr>
    </w:lvl>
    <w:lvl w:ilvl="8" w:tplc="5FB4D596">
      <w:numFmt w:val="bullet"/>
      <w:lvlText w:val="•"/>
      <w:lvlJc w:val="left"/>
      <w:pPr>
        <w:ind w:left="4244" w:hanging="284"/>
      </w:pPr>
      <w:rPr>
        <w:rFonts w:hint="default"/>
        <w:lang w:val="en-US" w:eastAsia="en-US" w:bidi="ar-SA"/>
      </w:rPr>
    </w:lvl>
  </w:abstractNum>
  <w:abstractNum w:abstractNumId="154" w15:restartNumberingAfterBreak="0">
    <w:nsid w:val="5B0758F3"/>
    <w:multiLevelType w:val="hybridMultilevel"/>
    <w:tmpl w:val="7878FBD8"/>
    <w:lvl w:ilvl="0" w:tplc="448AAF12">
      <w:numFmt w:val="bullet"/>
      <w:lvlText w:val="•"/>
      <w:lvlJc w:val="left"/>
      <w:pPr>
        <w:ind w:left="396" w:hanging="284"/>
      </w:pPr>
      <w:rPr>
        <w:rFonts w:ascii="Tahoma" w:eastAsia="Tahoma" w:hAnsi="Tahoma" w:cs="Tahoma" w:hint="default"/>
        <w:b w:val="0"/>
        <w:bCs w:val="0"/>
        <w:i w:val="0"/>
        <w:iCs w:val="0"/>
        <w:w w:val="109"/>
        <w:sz w:val="20"/>
        <w:szCs w:val="20"/>
        <w:lang w:val="en-US" w:eastAsia="en-US" w:bidi="ar-SA"/>
      </w:rPr>
    </w:lvl>
    <w:lvl w:ilvl="1" w:tplc="B4AC99C8">
      <w:numFmt w:val="bullet"/>
      <w:lvlText w:val="•"/>
      <w:lvlJc w:val="left"/>
      <w:pPr>
        <w:ind w:left="840" w:hanging="284"/>
      </w:pPr>
      <w:rPr>
        <w:rFonts w:hint="default"/>
        <w:lang w:val="en-US" w:eastAsia="en-US" w:bidi="ar-SA"/>
      </w:rPr>
    </w:lvl>
    <w:lvl w:ilvl="2" w:tplc="F854649C">
      <w:numFmt w:val="bullet"/>
      <w:lvlText w:val="•"/>
      <w:lvlJc w:val="left"/>
      <w:pPr>
        <w:ind w:left="1280" w:hanging="284"/>
      </w:pPr>
      <w:rPr>
        <w:rFonts w:hint="default"/>
        <w:lang w:val="en-US" w:eastAsia="en-US" w:bidi="ar-SA"/>
      </w:rPr>
    </w:lvl>
    <w:lvl w:ilvl="3" w:tplc="551A5BAA">
      <w:numFmt w:val="bullet"/>
      <w:lvlText w:val="•"/>
      <w:lvlJc w:val="left"/>
      <w:pPr>
        <w:ind w:left="1720" w:hanging="284"/>
      </w:pPr>
      <w:rPr>
        <w:rFonts w:hint="default"/>
        <w:lang w:val="en-US" w:eastAsia="en-US" w:bidi="ar-SA"/>
      </w:rPr>
    </w:lvl>
    <w:lvl w:ilvl="4" w:tplc="1924E6F2">
      <w:numFmt w:val="bullet"/>
      <w:lvlText w:val="•"/>
      <w:lvlJc w:val="left"/>
      <w:pPr>
        <w:ind w:left="2160" w:hanging="284"/>
      </w:pPr>
      <w:rPr>
        <w:rFonts w:hint="default"/>
        <w:lang w:val="en-US" w:eastAsia="en-US" w:bidi="ar-SA"/>
      </w:rPr>
    </w:lvl>
    <w:lvl w:ilvl="5" w:tplc="56F429F2">
      <w:numFmt w:val="bullet"/>
      <w:lvlText w:val="•"/>
      <w:lvlJc w:val="left"/>
      <w:pPr>
        <w:ind w:left="2600" w:hanging="284"/>
      </w:pPr>
      <w:rPr>
        <w:rFonts w:hint="default"/>
        <w:lang w:val="en-US" w:eastAsia="en-US" w:bidi="ar-SA"/>
      </w:rPr>
    </w:lvl>
    <w:lvl w:ilvl="6" w:tplc="7786EF02">
      <w:numFmt w:val="bullet"/>
      <w:lvlText w:val="•"/>
      <w:lvlJc w:val="left"/>
      <w:pPr>
        <w:ind w:left="3040" w:hanging="284"/>
      </w:pPr>
      <w:rPr>
        <w:rFonts w:hint="default"/>
        <w:lang w:val="en-US" w:eastAsia="en-US" w:bidi="ar-SA"/>
      </w:rPr>
    </w:lvl>
    <w:lvl w:ilvl="7" w:tplc="E9609356">
      <w:numFmt w:val="bullet"/>
      <w:lvlText w:val="•"/>
      <w:lvlJc w:val="left"/>
      <w:pPr>
        <w:ind w:left="3480" w:hanging="284"/>
      </w:pPr>
      <w:rPr>
        <w:rFonts w:hint="default"/>
        <w:lang w:val="en-US" w:eastAsia="en-US" w:bidi="ar-SA"/>
      </w:rPr>
    </w:lvl>
    <w:lvl w:ilvl="8" w:tplc="ED486130">
      <w:numFmt w:val="bullet"/>
      <w:lvlText w:val="•"/>
      <w:lvlJc w:val="left"/>
      <w:pPr>
        <w:ind w:left="3920" w:hanging="284"/>
      </w:pPr>
      <w:rPr>
        <w:rFonts w:hint="default"/>
        <w:lang w:val="en-US" w:eastAsia="en-US" w:bidi="ar-SA"/>
      </w:rPr>
    </w:lvl>
  </w:abstractNum>
  <w:abstractNum w:abstractNumId="155" w15:restartNumberingAfterBreak="0">
    <w:nsid w:val="5B3B286A"/>
    <w:multiLevelType w:val="multilevel"/>
    <w:tmpl w:val="6D745DD4"/>
    <w:lvl w:ilvl="0">
      <w:start w:val="10"/>
      <w:numFmt w:val="decimal"/>
      <w:lvlText w:val="%1"/>
      <w:lvlJc w:val="left"/>
      <w:pPr>
        <w:ind w:left="880" w:hanging="623"/>
        <w:jc w:val="left"/>
      </w:pPr>
      <w:rPr>
        <w:rFonts w:hint="default"/>
        <w:lang w:val="en-US" w:eastAsia="en-US" w:bidi="ar-SA"/>
      </w:rPr>
    </w:lvl>
    <w:lvl w:ilvl="1">
      <w:start w:val="4"/>
      <w:numFmt w:val="decimal"/>
      <w:lvlText w:val="%1.%2"/>
      <w:lvlJc w:val="left"/>
      <w:pPr>
        <w:ind w:left="880" w:hanging="623"/>
        <w:jc w:val="left"/>
      </w:pPr>
      <w:rPr>
        <w:rFonts w:hint="default"/>
        <w:lang w:val="en-US" w:eastAsia="en-US" w:bidi="ar-SA"/>
      </w:rPr>
    </w:lvl>
    <w:lvl w:ilvl="2">
      <w:start w:val="1"/>
      <w:numFmt w:val="decimal"/>
      <w:lvlText w:val="%1.%2.%3."/>
      <w:lvlJc w:val="left"/>
      <w:pPr>
        <w:ind w:left="880" w:hanging="623"/>
        <w:jc w:val="left"/>
      </w:pPr>
      <w:rPr>
        <w:rFonts w:ascii="Arial" w:eastAsia="Arial" w:hAnsi="Arial" w:cs="Arial" w:hint="default"/>
        <w:b/>
        <w:bCs/>
        <w:i w:val="0"/>
        <w:iCs w:val="0"/>
        <w:color w:val="00AEEF"/>
        <w:spacing w:val="-3"/>
        <w:w w:val="95"/>
        <w:sz w:val="20"/>
        <w:szCs w:val="20"/>
        <w:lang w:val="en-US" w:eastAsia="en-US" w:bidi="ar-SA"/>
      </w:rPr>
    </w:lvl>
    <w:lvl w:ilvl="3">
      <w:numFmt w:val="bullet"/>
      <w:lvlText w:val="•"/>
      <w:lvlJc w:val="left"/>
      <w:pPr>
        <w:ind w:left="2125" w:hanging="623"/>
      </w:pPr>
      <w:rPr>
        <w:rFonts w:hint="default"/>
        <w:lang w:val="en-US" w:eastAsia="en-US" w:bidi="ar-SA"/>
      </w:rPr>
    </w:lvl>
    <w:lvl w:ilvl="4">
      <w:numFmt w:val="bullet"/>
      <w:lvlText w:val="•"/>
      <w:lvlJc w:val="left"/>
      <w:pPr>
        <w:ind w:left="2540" w:hanging="623"/>
      </w:pPr>
      <w:rPr>
        <w:rFonts w:hint="default"/>
        <w:lang w:val="en-US" w:eastAsia="en-US" w:bidi="ar-SA"/>
      </w:rPr>
    </w:lvl>
    <w:lvl w:ilvl="5">
      <w:numFmt w:val="bullet"/>
      <w:lvlText w:val="•"/>
      <w:lvlJc w:val="left"/>
      <w:pPr>
        <w:ind w:left="2955" w:hanging="623"/>
      </w:pPr>
      <w:rPr>
        <w:rFonts w:hint="default"/>
        <w:lang w:val="en-US" w:eastAsia="en-US" w:bidi="ar-SA"/>
      </w:rPr>
    </w:lvl>
    <w:lvl w:ilvl="6">
      <w:numFmt w:val="bullet"/>
      <w:lvlText w:val="•"/>
      <w:lvlJc w:val="left"/>
      <w:pPr>
        <w:ind w:left="3370" w:hanging="623"/>
      </w:pPr>
      <w:rPr>
        <w:rFonts w:hint="default"/>
        <w:lang w:val="en-US" w:eastAsia="en-US" w:bidi="ar-SA"/>
      </w:rPr>
    </w:lvl>
    <w:lvl w:ilvl="7">
      <w:numFmt w:val="bullet"/>
      <w:lvlText w:val="•"/>
      <w:lvlJc w:val="left"/>
      <w:pPr>
        <w:ind w:left="3785" w:hanging="623"/>
      </w:pPr>
      <w:rPr>
        <w:rFonts w:hint="default"/>
        <w:lang w:val="en-US" w:eastAsia="en-US" w:bidi="ar-SA"/>
      </w:rPr>
    </w:lvl>
    <w:lvl w:ilvl="8">
      <w:numFmt w:val="bullet"/>
      <w:lvlText w:val="•"/>
      <w:lvlJc w:val="left"/>
      <w:pPr>
        <w:ind w:left="4200" w:hanging="623"/>
      </w:pPr>
      <w:rPr>
        <w:rFonts w:hint="default"/>
        <w:lang w:val="en-US" w:eastAsia="en-US" w:bidi="ar-SA"/>
      </w:rPr>
    </w:lvl>
  </w:abstractNum>
  <w:abstractNum w:abstractNumId="156" w15:restartNumberingAfterBreak="0">
    <w:nsid w:val="5B5A481E"/>
    <w:multiLevelType w:val="hybridMultilevel"/>
    <w:tmpl w:val="CF30DCFC"/>
    <w:lvl w:ilvl="0" w:tplc="2EA0F9DC">
      <w:numFmt w:val="bullet"/>
      <w:lvlText w:val="•"/>
      <w:lvlJc w:val="left"/>
      <w:pPr>
        <w:ind w:left="510" w:hanging="284"/>
      </w:pPr>
      <w:rPr>
        <w:rFonts w:ascii="Tahoma" w:eastAsia="Tahoma" w:hAnsi="Tahoma" w:cs="Tahoma" w:hint="default"/>
        <w:b w:val="0"/>
        <w:bCs w:val="0"/>
        <w:i w:val="0"/>
        <w:iCs w:val="0"/>
        <w:w w:val="109"/>
        <w:sz w:val="20"/>
        <w:szCs w:val="20"/>
        <w:lang w:val="en-US" w:eastAsia="en-US" w:bidi="ar-SA"/>
      </w:rPr>
    </w:lvl>
    <w:lvl w:ilvl="1" w:tplc="218A21B8">
      <w:numFmt w:val="bullet"/>
      <w:lvlText w:val="•"/>
      <w:lvlJc w:val="left"/>
      <w:pPr>
        <w:ind w:left="1041" w:hanging="284"/>
      </w:pPr>
      <w:rPr>
        <w:rFonts w:hint="default"/>
        <w:lang w:val="en-US" w:eastAsia="en-US" w:bidi="ar-SA"/>
      </w:rPr>
    </w:lvl>
    <w:lvl w:ilvl="2" w:tplc="EDCE9590">
      <w:numFmt w:val="bullet"/>
      <w:lvlText w:val="•"/>
      <w:lvlJc w:val="left"/>
      <w:pPr>
        <w:ind w:left="1563" w:hanging="284"/>
      </w:pPr>
      <w:rPr>
        <w:rFonts w:hint="default"/>
        <w:lang w:val="en-US" w:eastAsia="en-US" w:bidi="ar-SA"/>
      </w:rPr>
    </w:lvl>
    <w:lvl w:ilvl="3" w:tplc="2ED2772E">
      <w:numFmt w:val="bullet"/>
      <w:lvlText w:val="•"/>
      <w:lvlJc w:val="left"/>
      <w:pPr>
        <w:ind w:left="2085" w:hanging="284"/>
      </w:pPr>
      <w:rPr>
        <w:rFonts w:hint="default"/>
        <w:lang w:val="en-US" w:eastAsia="en-US" w:bidi="ar-SA"/>
      </w:rPr>
    </w:lvl>
    <w:lvl w:ilvl="4" w:tplc="8034A888">
      <w:numFmt w:val="bullet"/>
      <w:lvlText w:val="•"/>
      <w:lvlJc w:val="left"/>
      <w:pPr>
        <w:ind w:left="2607" w:hanging="284"/>
      </w:pPr>
      <w:rPr>
        <w:rFonts w:hint="default"/>
        <w:lang w:val="en-US" w:eastAsia="en-US" w:bidi="ar-SA"/>
      </w:rPr>
    </w:lvl>
    <w:lvl w:ilvl="5" w:tplc="107E092A">
      <w:numFmt w:val="bullet"/>
      <w:lvlText w:val="•"/>
      <w:lvlJc w:val="left"/>
      <w:pPr>
        <w:ind w:left="3129" w:hanging="284"/>
      </w:pPr>
      <w:rPr>
        <w:rFonts w:hint="default"/>
        <w:lang w:val="en-US" w:eastAsia="en-US" w:bidi="ar-SA"/>
      </w:rPr>
    </w:lvl>
    <w:lvl w:ilvl="6" w:tplc="DB0CE27E">
      <w:numFmt w:val="bullet"/>
      <w:lvlText w:val="•"/>
      <w:lvlJc w:val="left"/>
      <w:pPr>
        <w:ind w:left="3651" w:hanging="284"/>
      </w:pPr>
      <w:rPr>
        <w:rFonts w:hint="default"/>
        <w:lang w:val="en-US" w:eastAsia="en-US" w:bidi="ar-SA"/>
      </w:rPr>
    </w:lvl>
    <w:lvl w:ilvl="7" w:tplc="C02035F2">
      <w:numFmt w:val="bullet"/>
      <w:lvlText w:val="•"/>
      <w:lvlJc w:val="left"/>
      <w:pPr>
        <w:ind w:left="4173" w:hanging="284"/>
      </w:pPr>
      <w:rPr>
        <w:rFonts w:hint="default"/>
        <w:lang w:val="en-US" w:eastAsia="en-US" w:bidi="ar-SA"/>
      </w:rPr>
    </w:lvl>
    <w:lvl w:ilvl="8" w:tplc="0D909E3A">
      <w:numFmt w:val="bullet"/>
      <w:lvlText w:val="•"/>
      <w:lvlJc w:val="left"/>
      <w:pPr>
        <w:ind w:left="4695" w:hanging="284"/>
      </w:pPr>
      <w:rPr>
        <w:rFonts w:hint="default"/>
        <w:lang w:val="en-US" w:eastAsia="en-US" w:bidi="ar-SA"/>
      </w:rPr>
    </w:lvl>
  </w:abstractNum>
  <w:abstractNum w:abstractNumId="157" w15:restartNumberingAfterBreak="0">
    <w:nsid w:val="5B7E2929"/>
    <w:multiLevelType w:val="hybridMultilevel"/>
    <w:tmpl w:val="6CFC8054"/>
    <w:lvl w:ilvl="0" w:tplc="AD6C797A">
      <w:numFmt w:val="bullet"/>
      <w:lvlText w:val="•"/>
      <w:lvlJc w:val="left"/>
      <w:pPr>
        <w:ind w:left="775" w:hanging="284"/>
      </w:pPr>
      <w:rPr>
        <w:rFonts w:ascii="Tahoma" w:eastAsia="Tahoma" w:hAnsi="Tahoma" w:cs="Tahoma" w:hint="default"/>
        <w:b w:val="0"/>
        <w:bCs w:val="0"/>
        <w:i w:val="0"/>
        <w:iCs w:val="0"/>
        <w:w w:val="109"/>
        <w:sz w:val="20"/>
        <w:szCs w:val="20"/>
        <w:lang w:val="en-US" w:eastAsia="en-US" w:bidi="ar-SA"/>
      </w:rPr>
    </w:lvl>
    <w:lvl w:ilvl="1" w:tplc="AAFE77DA">
      <w:numFmt w:val="bullet"/>
      <w:lvlText w:val="•"/>
      <w:lvlJc w:val="left"/>
      <w:pPr>
        <w:ind w:left="1229" w:hanging="284"/>
      </w:pPr>
      <w:rPr>
        <w:rFonts w:hint="default"/>
        <w:lang w:val="en-US" w:eastAsia="en-US" w:bidi="ar-SA"/>
      </w:rPr>
    </w:lvl>
    <w:lvl w:ilvl="2" w:tplc="70B68180">
      <w:numFmt w:val="bullet"/>
      <w:lvlText w:val="•"/>
      <w:lvlJc w:val="left"/>
      <w:pPr>
        <w:ind w:left="1678" w:hanging="284"/>
      </w:pPr>
      <w:rPr>
        <w:rFonts w:hint="default"/>
        <w:lang w:val="en-US" w:eastAsia="en-US" w:bidi="ar-SA"/>
      </w:rPr>
    </w:lvl>
    <w:lvl w:ilvl="3" w:tplc="934C5BA0">
      <w:numFmt w:val="bullet"/>
      <w:lvlText w:val="•"/>
      <w:lvlJc w:val="left"/>
      <w:pPr>
        <w:ind w:left="2127" w:hanging="284"/>
      </w:pPr>
      <w:rPr>
        <w:rFonts w:hint="default"/>
        <w:lang w:val="en-US" w:eastAsia="en-US" w:bidi="ar-SA"/>
      </w:rPr>
    </w:lvl>
    <w:lvl w:ilvl="4" w:tplc="A59CD692">
      <w:numFmt w:val="bullet"/>
      <w:lvlText w:val="•"/>
      <w:lvlJc w:val="left"/>
      <w:pPr>
        <w:ind w:left="2577" w:hanging="284"/>
      </w:pPr>
      <w:rPr>
        <w:rFonts w:hint="default"/>
        <w:lang w:val="en-US" w:eastAsia="en-US" w:bidi="ar-SA"/>
      </w:rPr>
    </w:lvl>
    <w:lvl w:ilvl="5" w:tplc="1BD88A94">
      <w:numFmt w:val="bullet"/>
      <w:lvlText w:val="•"/>
      <w:lvlJc w:val="left"/>
      <w:pPr>
        <w:ind w:left="3026" w:hanging="284"/>
      </w:pPr>
      <w:rPr>
        <w:rFonts w:hint="default"/>
        <w:lang w:val="en-US" w:eastAsia="en-US" w:bidi="ar-SA"/>
      </w:rPr>
    </w:lvl>
    <w:lvl w:ilvl="6" w:tplc="F73EBB90">
      <w:numFmt w:val="bullet"/>
      <w:lvlText w:val="•"/>
      <w:lvlJc w:val="left"/>
      <w:pPr>
        <w:ind w:left="3475" w:hanging="284"/>
      </w:pPr>
      <w:rPr>
        <w:rFonts w:hint="default"/>
        <w:lang w:val="en-US" w:eastAsia="en-US" w:bidi="ar-SA"/>
      </w:rPr>
    </w:lvl>
    <w:lvl w:ilvl="7" w:tplc="16AE89BA">
      <w:numFmt w:val="bullet"/>
      <w:lvlText w:val="•"/>
      <w:lvlJc w:val="left"/>
      <w:pPr>
        <w:ind w:left="3925" w:hanging="284"/>
      </w:pPr>
      <w:rPr>
        <w:rFonts w:hint="default"/>
        <w:lang w:val="en-US" w:eastAsia="en-US" w:bidi="ar-SA"/>
      </w:rPr>
    </w:lvl>
    <w:lvl w:ilvl="8" w:tplc="22882612">
      <w:numFmt w:val="bullet"/>
      <w:lvlText w:val="•"/>
      <w:lvlJc w:val="left"/>
      <w:pPr>
        <w:ind w:left="4374" w:hanging="284"/>
      </w:pPr>
      <w:rPr>
        <w:rFonts w:hint="default"/>
        <w:lang w:val="en-US" w:eastAsia="en-US" w:bidi="ar-SA"/>
      </w:rPr>
    </w:lvl>
  </w:abstractNum>
  <w:abstractNum w:abstractNumId="158" w15:restartNumberingAfterBreak="0">
    <w:nsid w:val="5B9B1F01"/>
    <w:multiLevelType w:val="hybridMultilevel"/>
    <w:tmpl w:val="472E09AE"/>
    <w:lvl w:ilvl="0" w:tplc="AC06FA14">
      <w:start w:val="1"/>
      <w:numFmt w:val="decimal"/>
      <w:lvlText w:val="%1."/>
      <w:lvlJc w:val="left"/>
      <w:pPr>
        <w:ind w:left="237" w:hanging="128"/>
        <w:jc w:val="left"/>
      </w:pPr>
      <w:rPr>
        <w:rFonts w:ascii="Arial" w:eastAsia="Arial" w:hAnsi="Arial" w:cs="Arial" w:hint="default"/>
        <w:b w:val="0"/>
        <w:bCs w:val="0"/>
        <w:i w:val="0"/>
        <w:iCs w:val="0"/>
        <w:spacing w:val="-11"/>
        <w:w w:val="99"/>
        <w:sz w:val="14"/>
        <w:szCs w:val="14"/>
        <w:lang w:val="en-US" w:eastAsia="en-US" w:bidi="ar-SA"/>
      </w:rPr>
    </w:lvl>
    <w:lvl w:ilvl="1" w:tplc="9D28A5E0">
      <w:numFmt w:val="bullet"/>
      <w:lvlText w:val="•"/>
      <w:lvlJc w:val="left"/>
      <w:pPr>
        <w:ind w:left="466" w:hanging="128"/>
      </w:pPr>
      <w:rPr>
        <w:rFonts w:hint="default"/>
        <w:lang w:val="en-US" w:eastAsia="en-US" w:bidi="ar-SA"/>
      </w:rPr>
    </w:lvl>
    <w:lvl w:ilvl="2" w:tplc="05F4CAB6">
      <w:numFmt w:val="bullet"/>
      <w:lvlText w:val="•"/>
      <w:lvlJc w:val="left"/>
      <w:pPr>
        <w:ind w:left="692" w:hanging="128"/>
      </w:pPr>
      <w:rPr>
        <w:rFonts w:hint="default"/>
        <w:lang w:val="en-US" w:eastAsia="en-US" w:bidi="ar-SA"/>
      </w:rPr>
    </w:lvl>
    <w:lvl w:ilvl="3" w:tplc="361C3F36">
      <w:numFmt w:val="bullet"/>
      <w:lvlText w:val="•"/>
      <w:lvlJc w:val="left"/>
      <w:pPr>
        <w:ind w:left="919" w:hanging="128"/>
      </w:pPr>
      <w:rPr>
        <w:rFonts w:hint="default"/>
        <w:lang w:val="en-US" w:eastAsia="en-US" w:bidi="ar-SA"/>
      </w:rPr>
    </w:lvl>
    <w:lvl w:ilvl="4" w:tplc="851262CA">
      <w:numFmt w:val="bullet"/>
      <w:lvlText w:val="•"/>
      <w:lvlJc w:val="left"/>
      <w:pPr>
        <w:ind w:left="1145" w:hanging="128"/>
      </w:pPr>
      <w:rPr>
        <w:rFonts w:hint="default"/>
        <w:lang w:val="en-US" w:eastAsia="en-US" w:bidi="ar-SA"/>
      </w:rPr>
    </w:lvl>
    <w:lvl w:ilvl="5" w:tplc="6B143A58">
      <w:numFmt w:val="bullet"/>
      <w:lvlText w:val="•"/>
      <w:lvlJc w:val="left"/>
      <w:pPr>
        <w:ind w:left="1371" w:hanging="128"/>
      </w:pPr>
      <w:rPr>
        <w:rFonts w:hint="default"/>
        <w:lang w:val="en-US" w:eastAsia="en-US" w:bidi="ar-SA"/>
      </w:rPr>
    </w:lvl>
    <w:lvl w:ilvl="6" w:tplc="9EB87FE4">
      <w:numFmt w:val="bullet"/>
      <w:lvlText w:val="•"/>
      <w:lvlJc w:val="left"/>
      <w:pPr>
        <w:ind w:left="1598" w:hanging="128"/>
      </w:pPr>
      <w:rPr>
        <w:rFonts w:hint="default"/>
        <w:lang w:val="en-US" w:eastAsia="en-US" w:bidi="ar-SA"/>
      </w:rPr>
    </w:lvl>
    <w:lvl w:ilvl="7" w:tplc="C0C4BB78">
      <w:numFmt w:val="bullet"/>
      <w:lvlText w:val="•"/>
      <w:lvlJc w:val="left"/>
      <w:pPr>
        <w:ind w:left="1824" w:hanging="128"/>
      </w:pPr>
      <w:rPr>
        <w:rFonts w:hint="default"/>
        <w:lang w:val="en-US" w:eastAsia="en-US" w:bidi="ar-SA"/>
      </w:rPr>
    </w:lvl>
    <w:lvl w:ilvl="8" w:tplc="7FC045E2">
      <w:numFmt w:val="bullet"/>
      <w:lvlText w:val="•"/>
      <w:lvlJc w:val="left"/>
      <w:pPr>
        <w:ind w:left="2050" w:hanging="128"/>
      </w:pPr>
      <w:rPr>
        <w:rFonts w:hint="default"/>
        <w:lang w:val="en-US" w:eastAsia="en-US" w:bidi="ar-SA"/>
      </w:rPr>
    </w:lvl>
  </w:abstractNum>
  <w:abstractNum w:abstractNumId="159" w15:restartNumberingAfterBreak="0">
    <w:nsid w:val="5BE5363F"/>
    <w:multiLevelType w:val="hybridMultilevel"/>
    <w:tmpl w:val="7996CA6E"/>
    <w:lvl w:ilvl="0" w:tplc="7FD45752">
      <w:numFmt w:val="bullet"/>
      <w:lvlText w:val="•"/>
      <w:lvlJc w:val="left"/>
      <w:pPr>
        <w:ind w:left="208" w:hanging="100"/>
      </w:pPr>
      <w:rPr>
        <w:rFonts w:ascii="Tahoma" w:eastAsia="Tahoma" w:hAnsi="Tahoma" w:cs="Tahoma" w:hint="default"/>
        <w:b w:val="0"/>
        <w:bCs w:val="0"/>
        <w:i w:val="0"/>
        <w:iCs w:val="0"/>
        <w:w w:val="109"/>
        <w:sz w:val="14"/>
        <w:szCs w:val="14"/>
        <w:lang w:val="en-US" w:eastAsia="en-US" w:bidi="ar-SA"/>
      </w:rPr>
    </w:lvl>
    <w:lvl w:ilvl="1" w:tplc="50542D04">
      <w:numFmt w:val="bullet"/>
      <w:lvlText w:val="•"/>
      <w:lvlJc w:val="left"/>
      <w:pPr>
        <w:ind w:left="607" w:hanging="100"/>
      </w:pPr>
      <w:rPr>
        <w:rFonts w:hint="default"/>
        <w:lang w:val="en-US" w:eastAsia="en-US" w:bidi="ar-SA"/>
      </w:rPr>
    </w:lvl>
    <w:lvl w:ilvl="2" w:tplc="4EA0B922">
      <w:numFmt w:val="bullet"/>
      <w:lvlText w:val="•"/>
      <w:lvlJc w:val="left"/>
      <w:pPr>
        <w:ind w:left="1015" w:hanging="100"/>
      </w:pPr>
      <w:rPr>
        <w:rFonts w:hint="default"/>
        <w:lang w:val="en-US" w:eastAsia="en-US" w:bidi="ar-SA"/>
      </w:rPr>
    </w:lvl>
    <w:lvl w:ilvl="3" w:tplc="CBC01CBC">
      <w:numFmt w:val="bullet"/>
      <w:lvlText w:val="•"/>
      <w:lvlJc w:val="left"/>
      <w:pPr>
        <w:ind w:left="1423" w:hanging="100"/>
      </w:pPr>
      <w:rPr>
        <w:rFonts w:hint="default"/>
        <w:lang w:val="en-US" w:eastAsia="en-US" w:bidi="ar-SA"/>
      </w:rPr>
    </w:lvl>
    <w:lvl w:ilvl="4" w:tplc="DEF62730">
      <w:numFmt w:val="bullet"/>
      <w:lvlText w:val="•"/>
      <w:lvlJc w:val="left"/>
      <w:pPr>
        <w:ind w:left="1831" w:hanging="100"/>
      </w:pPr>
      <w:rPr>
        <w:rFonts w:hint="default"/>
        <w:lang w:val="en-US" w:eastAsia="en-US" w:bidi="ar-SA"/>
      </w:rPr>
    </w:lvl>
    <w:lvl w:ilvl="5" w:tplc="B3986D1C">
      <w:numFmt w:val="bullet"/>
      <w:lvlText w:val="•"/>
      <w:lvlJc w:val="left"/>
      <w:pPr>
        <w:ind w:left="2239" w:hanging="100"/>
      </w:pPr>
      <w:rPr>
        <w:rFonts w:hint="default"/>
        <w:lang w:val="en-US" w:eastAsia="en-US" w:bidi="ar-SA"/>
      </w:rPr>
    </w:lvl>
    <w:lvl w:ilvl="6" w:tplc="534E6326">
      <w:numFmt w:val="bullet"/>
      <w:lvlText w:val="•"/>
      <w:lvlJc w:val="left"/>
      <w:pPr>
        <w:ind w:left="2646" w:hanging="100"/>
      </w:pPr>
      <w:rPr>
        <w:rFonts w:hint="default"/>
        <w:lang w:val="en-US" w:eastAsia="en-US" w:bidi="ar-SA"/>
      </w:rPr>
    </w:lvl>
    <w:lvl w:ilvl="7" w:tplc="2A626C62">
      <w:numFmt w:val="bullet"/>
      <w:lvlText w:val="•"/>
      <w:lvlJc w:val="left"/>
      <w:pPr>
        <w:ind w:left="3054" w:hanging="100"/>
      </w:pPr>
      <w:rPr>
        <w:rFonts w:hint="default"/>
        <w:lang w:val="en-US" w:eastAsia="en-US" w:bidi="ar-SA"/>
      </w:rPr>
    </w:lvl>
    <w:lvl w:ilvl="8" w:tplc="7FD6AF88">
      <w:numFmt w:val="bullet"/>
      <w:lvlText w:val="•"/>
      <w:lvlJc w:val="left"/>
      <w:pPr>
        <w:ind w:left="3462" w:hanging="100"/>
      </w:pPr>
      <w:rPr>
        <w:rFonts w:hint="default"/>
        <w:lang w:val="en-US" w:eastAsia="en-US" w:bidi="ar-SA"/>
      </w:rPr>
    </w:lvl>
  </w:abstractNum>
  <w:abstractNum w:abstractNumId="160" w15:restartNumberingAfterBreak="0">
    <w:nsid w:val="5DDA3C5A"/>
    <w:multiLevelType w:val="hybridMultilevel"/>
    <w:tmpl w:val="0524A840"/>
    <w:lvl w:ilvl="0" w:tplc="301046EE">
      <w:numFmt w:val="bullet"/>
      <w:lvlText w:val="•"/>
      <w:lvlJc w:val="left"/>
      <w:pPr>
        <w:ind w:left="1206" w:hanging="315"/>
      </w:pPr>
      <w:rPr>
        <w:rFonts w:ascii="Tahoma" w:eastAsia="Tahoma" w:hAnsi="Tahoma" w:cs="Tahoma" w:hint="default"/>
        <w:b w:val="0"/>
        <w:bCs w:val="0"/>
        <w:i w:val="0"/>
        <w:iCs w:val="0"/>
        <w:w w:val="109"/>
        <w:sz w:val="20"/>
        <w:szCs w:val="20"/>
        <w:lang w:val="en-US" w:eastAsia="en-US" w:bidi="ar-SA"/>
      </w:rPr>
    </w:lvl>
    <w:lvl w:ilvl="1" w:tplc="68EA3D3E">
      <w:numFmt w:val="bullet"/>
      <w:lvlText w:val="•"/>
      <w:lvlJc w:val="left"/>
      <w:pPr>
        <w:ind w:left="1648" w:hanging="315"/>
      </w:pPr>
      <w:rPr>
        <w:rFonts w:hint="default"/>
        <w:lang w:val="en-US" w:eastAsia="en-US" w:bidi="ar-SA"/>
      </w:rPr>
    </w:lvl>
    <w:lvl w:ilvl="2" w:tplc="0338B8BC">
      <w:numFmt w:val="bullet"/>
      <w:lvlText w:val="•"/>
      <w:lvlJc w:val="left"/>
      <w:pPr>
        <w:ind w:left="2097" w:hanging="315"/>
      </w:pPr>
      <w:rPr>
        <w:rFonts w:hint="default"/>
        <w:lang w:val="en-US" w:eastAsia="en-US" w:bidi="ar-SA"/>
      </w:rPr>
    </w:lvl>
    <w:lvl w:ilvl="3" w:tplc="7C56740A">
      <w:numFmt w:val="bullet"/>
      <w:lvlText w:val="•"/>
      <w:lvlJc w:val="left"/>
      <w:pPr>
        <w:ind w:left="2546" w:hanging="315"/>
      </w:pPr>
      <w:rPr>
        <w:rFonts w:hint="default"/>
        <w:lang w:val="en-US" w:eastAsia="en-US" w:bidi="ar-SA"/>
      </w:rPr>
    </w:lvl>
    <w:lvl w:ilvl="4" w:tplc="4234560C">
      <w:numFmt w:val="bullet"/>
      <w:lvlText w:val="•"/>
      <w:lvlJc w:val="left"/>
      <w:pPr>
        <w:ind w:left="2995" w:hanging="315"/>
      </w:pPr>
      <w:rPr>
        <w:rFonts w:hint="default"/>
        <w:lang w:val="en-US" w:eastAsia="en-US" w:bidi="ar-SA"/>
      </w:rPr>
    </w:lvl>
    <w:lvl w:ilvl="5" w:tplc="6B0C1F2C">
      <w:numFmt w:val="bullet"/>
      <w:lvlText w:val="•"/>
      <w:lvlJc w:val="left"/>
      <w:pPr>
        <w:ind w:left="3443" w:hanging="315"/>
      </w:pPr>
      <w:rPr>
        <w:rFonts w:hint="default"/>
        <w:lang w:val="en-US" w:eastAsia="en-US" w:bidi="ar-SA"/>
      </w:rPr>
    </w:lvl>
    <w:lvl w:ilvl="6" w:tplc="3D229310">
      <w:numFmt w:val="bullet"/>
      <w:lvlText w:val="•"/>
      <w:lvlJc w:val="left"/>
      <w:pPr>
        <w:ind w:left="3892" w:hanging="315"/>
      </w:pPr>
      <w:rPr>
        <w:rFonts w:hint="default"/>
        <w:lang w:val="en-US" w:eastAsia="en-US" w:bidi="ar-SA"/>
      </w:rPr>
    </w:lvl>
    <w:lvl w:ilvl="7" w:tplc="68F4CA30">
      <w:numFmt w:val="bullet"/>
      <w:lvlText w:val="•"/>
      <w:lvlJc w:val="left"/>
      <w:pPr>
        <w:ind w:left="4341" w:hanging="315"/>
      </w:pPr>
      <w:rPr>
        <w:rFonts w:hint="default"/>
        <w:lang w:val="en-US" w:eastAsia="en-US" w:bidi="ar-SA"/>
      </w:rPr>
    </w:lvl>
    <w:lvl w:ilvl="8" w:tplc="2D5230B8">
      <w:numFmt w:val="bullet"/>
      <w:lvlText w:val="•"/>
      <w:lvlJc w:val="left"/>
      <w:pPr>
        <w:ind w:left="4790" w:hanging="315"/>
      </w:pPr>
      <w:rPr>
        <w:rFonts w:hint="default"/>
        <w:lang w:val="en-US" w:eastAsia="en-US" w:bidi="ar-SA"/>
      </w:rPr>
    </w:lvl>
  </w:abstractNum>
  <w:abstractNum w:abstractNumId="161" w15:restartNumberingAfterBreak="0">
    <w:nsid w:val="5EF65B96"/>
    <w:multiLevelType w:val="multilevel"/>
    <w:tmpl w:val="E89C4B10"/>
    <w:lvl w:ilvl="0">
      <w:start w:val="1"/>
      <w:numFmt w:val="decimal"/>
      <w:lvlText w:val="%1"/>
      <w:lvlJc w:val="left"/>
      <w:pPr>
        <w:ind w:left="972" w:hanging="480"/>
        <w:jc w:val="left"/>
      </w:pPr>
      <w:rPr>
        <w:rFonts w:hint="default"/>
        <w:lang w:val="en-US" w:eastAsia="en-US" w:bidi="ar-SA"/>
      </w:rPr>
    </w:lvl>
    <w:lvl w:ilvl="1">
      <w:numFmt w:val="decimal"/>
      <w:lvlText w:val="%1.%2"/>
      <w:lvlJc w:val="left"/>
      <w:pPr>
        <w:ind w:left="972" w:hanging="480"/>
        <w:jc w:val="left"/>
      </w:pPr>
      <w:rPr>
        <w:rFonts w:hint="default"/>
        <w:w w:val="99"/>
        <w:lang w:val="en-US" w:eastAsia="en-US" w:bidi="ar-SA"/>
      </w:rPr>
    </w:lvl>
    <w:lvl w:ilvl="2">
      <w:numFmt w:val="bullet"/>
      <w:lvlText w:val="•"/>
      <w:lvlJc w:val="left"/>
      <w:pPr>
        <w:ind w:left="1984" w:hanging="480"/>
      </w:pPr>
      <w:rPr>
        <w:rFonts w:hint="default"/>
        <w:lang w:val="en-US" w:eastAsia="en-US" w:bidi="ar-SA"/>
      </w:rPr>
    </w:lvl>
    <w:lvl w:ilvl="3">
      <w:numFmt w:val="bullet"/>
      <w:lvlText w:val="•"/>
      <w:lvlJc w:val="left"/>
      <w:pPr>
        <w:ind w:left="2487" w:hanging="480"/>
      </w:pPr>
      <w:rPr>
        <w:rFonts w:hint="default"/>
        <w:lang w:val="en-US" w:eastAsia="en-US" w:bidi="ar-SA"/>
      </w:rPr>
    </w:lvl>
    <w:lvl w:ilvl="4">
      <w:numFmt w:val="bullet"/>
      <w:lvlText w:val="•"/>
      <w:lvlJc w:val="left"/>
      <w:pPr>
        <w:ind w:left="2989" w:hanging="480"/>
      </w:pPr>
      <w:rPr>
        <w:rFonts w:hint="default"/>
        <w:lang w:val="en-US" w:eastAsia="en-US" w:bidi="ar-SA"/>
      </w:rPr>
    </w:lvl>
    <w:lvl w:ilvl="5">
      <w:numFmt w:val="bullet"/>
      <w:lvlText w:val="•"/>
      <w:lvlJc w:val="left"/>
      <w:pPr>
        <w:ind w:left="3492" w:hanging="480"/>
      </w:pPr>
      <w:rPr>
        <w:rFonts w:hint="default"/>
        <w:lang w:val="en-US" w:eastAsia="en-US" w:bidi="ar-SA"/>
      </w:rPr>
    </w:lvl>
    <w:lvl w:ilvl="6">
      <w:numFmt w:val="bullet"/>
      <w:lvlText w:val="•"/>
      <w:lvlJc w:val="left"/>
      <w:pPr>
        <w:ind w:left="3994" w:hanging="480"/>
      </w:pPr>
      <w:rPr>
        <w:rFonts w:hint="default"/>
        <w:lang w:val="en-US" w:eastAsia="en-US" w:bidi="ar-SA"/>
      </w:rPr>
    </w:lvl>
    <w:lvl w:ilvl="7">
      <w:numFmt w:val="bullet"/>
      <w:lvlText w:val="•"/>
      <w:lvlJc w:val="left"/>
      <w:pPr>
        <w:ind w:left="4496" w:hanging="480"/>
      </w:pPr>
      <w:rPr>
        <w:rFonts w:hint="default"/>
        <w:lang w:val="en-US" w:eastAsia="en-US" w:bidi="ar-SA"/>
      </w:rPr>
    </w:lvl>
    <w:lvl w:ilvl="8">
      <w:numFmt w:val="bullet"/>
      <w:lvlText w:val="•"/>
      <w:lvlJc w:val="left"/>
      <w:pPr>
        <w:ind w:left="4999" w:hanging="480"/>
      </w:pPr>
      <w:rPr>
        <w:rFonts w:hint="default"/>
        <w:lang w:val="en-US" w:eastAsia="en-US" w:bidi="ar-SA"/>
      </w:rPr>
    </w:lvl>
  </w:abstractNum>
  <w:abstractNum w:abstractNumId="162" w15:restartNumberingAfterBreak="0">
    <w:nsid w:val="5FEE7877"/>
    <w:multiLevelType w:val="hybridMultilevel"/>
    <w:tmpl w:val="68F26316"/>
    <w:lvl w:ilvl="0" w:tplc="C0C03792">
      <w:numFmt w:val="bullet"/>
      <w:lvlText w:val="–"/>
      <w:lvlJc w:val="left"/>
      <w:pPr>
        <w:ind w:left="191" w:hanging="122"/>
      </w:pPr>
      <w:rPr>
        <w:rFonts w:ascii="Arial" w:eastAsia="Arial" w:hAnsi="Arial" w:cs="Arial" w:hint="default"/>
        <w:b w:val="0"/>
        <w:bCs w:val="0"/>
        <w:i w:val="0"/>
        <w:iCs w:val="0"/>
        <w:w w:val="89"/>
        <w:sz w:val="16"/>
        <w:szCs w:val="16"/>
        <w:lang w:val="en-US" w:eastAsia="en-US" w:bidi="ar-SA"/>
      </w:rPr>
    </w:lvl>
    <w:lvl w:ilvl="1" w:tplc="2EF6F7B2">
      <w:numFmt w:val="bullet"/>
      <w:lvlText w:val="•"/>
      <w:lvlJc w:val="left"/>
      <w:pPr>
        <w:ind w:left="394" w:hanging="122"/>
      </w:pPr>
      <w:rPr>
        <w:rFonts w:hint="default"/>
        <w:lang w:val="en-US" w:eastAsia="en-US" w:bidi="ar-SA"/>
      </w:rPr>
    </w:lvl>
    <w:lvl w:ilvl="2" w:tplc="10EEDB5A">
      <w:numFmt w:val="bullet"/>
      <w:lvlText w:val="•"/>
      <w:lvlJc w:val="left"/>
      <w:pPr>
        <w:ind w:left="589" w:hanging="122"/>
      </w:pPr>
      <w:rPr>
        <w:rFonts w:hint="default"/>
        <w:lang w:val="en-US" w:eastAsia="en-US" w:bidi="ar-SA"/>
      </w:rPr>
    </w:lvl>
    <w:lvl w:ilvl="3" w:tplc="BEB4AA9A">
      <w:numFmt w:val="bullet"/>
      <w:lvlText w:val="•"/>
      <w:lvlJc w:val="left"/>
      <w:pPr>
        <w:ind w:left="784" w:hanging="122"/>
      </w:pPr>
      <w:rPr>
        <w:rFonts w:hint="default"/>
        <w:lang w:val="en-US" w:eastAsia="en-US" w:bidi="ar-SA"/>
      </w:rPr>
    </w:lvl>
    <w:lvl w:ilvl="4" w:tplc="76BEDD20">
      <w:numFmt w:val="bullet"/>
      <w:lvlText w:val="•"/>
      <w:lvlJc w:val="left"/>
      <w:pPr>
        <w:ind w:left="979" w:hanging="122"/>
      </w:pPr>
      <w:rPr>
        <w:rFonts w:hint="default"/>
        <w:lang w:val="en-US" w:eastAsia="en-US" w:bidi="ar-SA"/>
      </w:rPr>
    </w:lvl>
    <w:lvl w:ilvl="5" w:tplc="98FC777C">
      <w:numFmt w:val="bullet"/>
      <w:lvlText w:val="•"/>
      <w:lvlJc w:val="left"/>
      <w:pPr>
        <w:ind w:left="1174" w:hanging="122"/>
      </w:pPr>
      <w:rPr>
        <w:rFonts w:hint="default"/>
        <w:lang w:val="en-US" w:eastAsia="en-US" w:bidi="ar-SA"/>
      </w:rPr>
    </w:lvl>
    <w:lvl w:ilvl="6" w:tplc="35D81824">
      <w:numFmt w:val="bullet"/>
      <w:lvlText w:val="•"/>
      <w:lvlJc w:val="left"/>
      <w:pPr>
        <w:ind w:left="1368" w:hanging="122"/>
      </w:pPr>
      <w:rPr>
        <w:rFonts w:hint="default"/>
        <w:lang w:val="en-US" w:eastAsia="en-US" w:bidi="ar-SA"/>
      </w:rPr>
    </w:lvl>
    <w:lvl w:ilvl="7" w:tplc="7C84682C">
      <w:numFmt w:val="bullet"/>
      <w:lvlText w:val="•"/>
      <w:lvlJc w:val="left"/>
      <w:pPr>
        <w:ind w:left="1563" w:hanging="122"/>
      </w:pPr>
      <w:rPr>
        <w:rFonts w:hint="default"/>
        <w:lang w:val="en-US" w:eastAsia="en-US" w:bidi="ar-SA"/>
      </w:rPr>
    </w:lvl>
    <w:lvl w:ilvl="8" w:tplc="C65E83FA">
      <w:numFmt w:val="bullet"/>
      <w:lvlText w:val="•"/>
      <w:lvlJc w:val="left"/>
      <w:pPr>
        <w:ind w:left="1758" w:hanging="122"/>
      </w:pPr>
      <w:rPr>
        <w:rFonts w:hint="default"/>
        <w:lang w:val="en-US" w:eastAsia="en-US" w:bidi="ar-SA"/>
      </w:rPr>
    </w:lvl>
  </w:abstractNum>
  <w:abstractNum w:abstractNumId="163" w15:restartNumberingAfterBreak="0">
    <w:nsid w:val="60AE3868"/>
    <w:multiLevelType w:val="multilevel"/>
    <w:tmpl w:val="2BACBA52"/>
    <w:lvl w:ilvl="0">
      <w:start w:val="10"/>
      <w:numFmt w:val="decimal"/>
      <w:lvlText w:val="%1"/>
      <w:lvlJc w:val="left"/>
      <w:pPr>
        <w:ind w:left="1092" w:hanging="601"/>
        <w:jc w:val="left"/>
      </w:pPr>
      <w:rPr>
        <w:rFonts w:hint="default"/>
        <w:lang w:val="en-US" w:eastAsia="en-US" w:bidi="ar-SA"/>
      </w:rPr>
    </w:lvl>
    <w:lvl w:ilvl="1">
      <w:start w:val="5"/>
      <w:numFmt w:val="decimal"/>
      <w:lvlText w:val="%1.%2"/>
      <w:lvlJc w:val="left"/>
      <w:pPr>
        <w:ind w:left="1092" w:hanging="601"/>
        <w:jc w:val="right"/>
      </w:pPr>
      <w:rPr>
        <w:rFonts w:ascii="Arial" w:eastAsia="Arial" w:hAnsi="Arial" w:cs="Arial" w:hint="default"/>
        <w:b/>
        <w:bCs/>
        <w:i w:val="0"/>
        <w:iCs w:val="0"/>
        <w:color w:val="00AEEF"/>
        <w:spacing w:val="-5"/>
        <w:w w:val="99"/>
        <w:sz w:val="28"/>
        <w:szCs w:val="28"/>
        <w:lang w:val="en-US" w:eastAsia="en-US" w:bidi="ar-SA"/>
      </w:rPr>
    </w:lvl>
    <w:lvl w:ilvl="2">
      <w:start w:val="1"/>
      <w:numFmt w:val="decimal"/>
      <w:lvlText w:val="%1.%2.%3"/>
      <w:lvlJc w:val="left"/>
      <w:pPr>
        <w:ind w:left="1086" w:hanging="595"/>
        <w:jc w:val="left"/>
      </w:pPr>
      <w:rPr>
        <w:rFonts w:hint="default"/>
        <w:spacing w:val="-3"/>
        <w:w w:val="99"/>
        <w:lang w:val="en-US" w:eastAsia="en-US" w:bidi="ar-SA"/>
      </w:rPr>
    </w:lvl>
    <w:lvl w:ilvl="3">
      <w:numFmt w:val="bullet"/>
      <w:lvlText w:val="•"/>
      <w:lvlJc w:val="left"/>
      <w:pPr>
        <w:ind w:left="2030" w:hanging="595"/>
      </w:pPr>
      <w:rPr>
        <w:rFonts w:hint="default"/>
        <w:lang w:val="en-US" w:eastAsia="en-US" w:bidi="ar-SA"/>
      </w:rPr>
    </w:lvl>
    <w:lvl w:ilvl="4">
      <w:numFmt w:val="bullet"/>
      <w:lvlText w:val="•"/>
      <w:lvlJc w:val="left"/>
      <w:pPr>
        <w:ind w:left="2495" w:hanging="595"/>
      </w:pPr>
      <w:rPr>
        <w:rFonts w:hint="default"/>
        <w:lang w:val="en-US" w:eastAsia="en-US" w:bidi="ar-SA"/>
      </w:rPr>
    </w:lvl>
    <w:lvl w:ilvl="5">
      <w:numFmt w:val="bullet"/>
      <w:lvlText w:val="•"/>
      <w:lvlJc w:val="left"/>
      <w:pPr>
        <w:ind w:left="2960" w:hanging="595"/>
      </w:pPr>
      <w:rPr>
        <w:rFonts w:hint="default"/>
        <w:lang w:val="en-US" w:eastAsia="en-US" w:bidi="ar-SA"/>
      </w:rPr>
    </w:lvl>
    <w:lvl w:ilvl="6">
      <w:numFmt w:val="bullet"/>
      <w:lvlText w:val="•"/>
      <w:lvlJc w:val="left"/>
      <w:pPr>
        <w:ind w:left="3425" w:hanging="595"/>
      </w:pPr>
      <w:rPr>
        <w:rFonts w:hint="default"/>
        <w:lang w:val="en-US" w:eastAsia="en-US" w:bidi="ar-SA"/>
      </w:rPr>
    </w:lvl>
    <w:lvl w:ilvl="7">
      <w:numFmt w:val="bullet"/>
      <w:lvlText w:val="•"/>
      <w:lvlJc w:val="left"/>
      <w:pPr>
        <w:ind w:left="3890" w:hanging="595"/>
      </w:pPr>
      <w:rPr>
        <w:rFonts w:hint="default"/>
        <w:lang w:val="en-US" w:eastAsia="en-US" w:bidi="ar-SA"/>
      </w:rPr>
    </w:lvl>
    <w:lvl w:ilvl="8">
      <w:numFmt w:val="bullet"/>
      <w:lvlText w:val="•"/>
      <w:lvlJc w:val="left"/>
      <w:pPr>
        <w:ind w:left="4356" w:hanging="595"/>
      </w:pPr>
      <w:rPr>
        <w:rFonts w:hint="default"/>
        <w:lang w:val="en-US" w:eastAsia="en-US" w:bidi="ar-SA"/>
      </w:rPr>
    </w:lvl>
  </w:abstractNum>
  <w:abstractNum w:abstractNumId="164" w15:restartNumberingAfterBreak="0">
    <w:nsid w:val="60D2358A"/>
    <w:multiLevelType w:val="hybridMultilevel"/>
    <w:tmpl w:val="4F70DF26"/>
    <w:lvl w:ilvl="0" w:tplc="6E9CDB1E">
      <w:start w:val="1"/>
      <w:numFmt w:val="decimal"/>
      <w:lvlText w:val="%1."/>
      <w:lvlJc w:val="left"/>
      <w:pPr>
        <w:ind w:left="251" w:hanging="142"/>
        <w:jc w:val="left"/>
      </w:pPr>
      <w:rPr>
        <w:rFonts w:hint="default"/>
        <w:spacing w:val="-11"/>
        <w:w w:val="99"/>
        <w:lang w:val="en-US" w:eastAsia="en-US" w:bidi="ar-SA"/>
      </w:rPr>
    </w:lvl>
    <w:lvl w:ilvl="1" w:tplc="9BFCB068">
      <w:numFmt w:val="bullet"/>
      <w:lvlText w:val="•"/>
      <w:lvlJc w:val="left"/>
      <w:pPr>
        <w:ind w:left="1319" w:hanging="142"/>
      </w:pPr>
      <w:rPr>
        <w:rFonts w:hint="default"/>
        <w:lang w:val="en-US" w:eastAsia="en-US" w:bidi="ar-SA"/>
      </w:rPr>
    </w:lvl>
    <w:lvl w:ilvl="2" w:tplc="F508FA7C">
      <w:numFmt w:val="bullet"/>
      <w:lvlText w:val="•"/>
      <w:lvlJc w:val="left"/>
      <w:pPr>
        <w:ind w:left="2379" w:hanging="142"/>
      </w:pPr>
      <w:rPr>
        <w:rFonts w:hint="default"/>
        <w:lang w:val="en-US" w:eastAsia="en-US" w:bidi="ar-SA"/>
      </w:rPr>
    </w:lvl>
    <w:lvl w:ilvl="3" w:tplc="29B0BDCC">
      <w:numFmt w:val="bullet"/>
      <w:lvlText w:val="•"/>
      <w:lvlJc w:val="left"/>
      <w:pPr>
        <w:ind w:left="3439" w:hanging="142"/>
      </w:pPr>
      <w:rPr>
        <w:rFonts w:hint="default"/>
        <w:lang w:val="en-US" w:eastAsia="en-US" w:bidi="ar-SA"/>
      </w:rPr>
    </w:lvl>
    <w:lvl w:ilvl="4" w:tplc="B8AC5144">
      <w:numFmt w:val="bullet"/>
      <w:lvlText w:val="•"/>
      <w:lvlJc w:val="left"/>
      <w:pPr>
        <w:ind w:left="4498" w:hanging="142"/>
      </w:pPr>
      <w:rPr>
        <w:rFonts w:hint="default"/>
        <w:lang w:val="en-US" w:eastAsia="en-US" w:bidi="ar-SA"/>
      </w:rPr>
    </w:lvl>
    <w:lvl w:ilvl="5" w:tplc="20D285B4">
      <w:numFmt w:val="bullet"/>
      <w:lvlText w:val="•"/>
      <w:lvlJc w:val="left"/>
      <w:pPr>
        <w:ind w:left="5558" w:hanging="142"/>
      </w:pPr>
      <w:rPr>
        <w:rFonts w:hint="default"/>
        <w:lang w:val="en-US" w:eastAsia="en-US" w:bidi="ar-SA"/>
      </w:rPr>
    </w:lvl>
    <w:lvl w:ilvl="6" w:tplc="D74E6A00">
      <w:numFmt w:val="bullet"/>
      <w:lvlText w:val="•"/>
      <w:lvlJc w:val="left"/>
      <w:pPr>
        <w:ind w:left="6618" w:hanging="142"/>
      </w:pPr>
      <w:rPr>
        <w:rFonts w:hint="default"/>
        <w:lang w:val="en-US" w:eastAsia="en-US" w:bidi="ar-SA"/>
      </w:rPr>
    </w:lvl>
    <w:lvl w:ilvl="7" w:tplc="21A2C808">
      <w:numFmt w:val="bullet"/>
      <w:lvlText w:val="•"/>
      <w:lvlJc w:val="left"/>
      <w:pPr>
        <w:ind w:left="7677" w:hanging="142"/>
      </w:pPr>
      <w:rPr>
        <w:rFonts w:hint="default"/>
        <w:lang w:val="en-US" w:eastAsia="en-US" w:bidi="ar-SA"/>
      </w:rPr>
    </w:lvl>
    <w:lvl w:ilvl="8" w:tplc="664A9262">
      <w:numFmt w:val="bullet"/>
      <w:lvlText w:val="•"/>
      <w:lvlJc w:val="left"/>
      <w:pPr>
        <w:ind w:left="8737" w:hanging="142"/>
      </w:pPr>
      <w:rPr>
        <w:rFonts w:hint="default"/>
        <w:lang w:val="en-US" w:eastAsia="en-US" w:bidi="ar-SA"/>
      </w:rPr>
    </w:lvl>
  </w:abstractNum>
  <w:abstractNum w:abstractNumId="165" w15:restartNumberingAfterBreak="0">
    <w:nsid w:val="61471FF8"/>
    <w:multiLevelType w:val="hybridMultilevel"/>
    <w:tmpl w:val="6DC45882"/>
    <w:lvl w:ilvl="0" w:tplc="D99CF7C6">
      <w:numFmt w:val="bullet"/>
      <w:lvlText w:val="•"/>
      <w:lvlJc w:val="left"/>
      <w:pPr>
        <w:ind w:left="775" w:hanging="284"/>
      </w:pPr>
      <w:rPr>
        <w:rFonts w:ascii="Tahoma" w:eastAsia="Tahoma" w:hAnsi="Tahoma" w:cs="Tahoma" w:hint="default"/>
        <w:b w:val="0"/>
        <w:bCs w:val="0"/>
        <w:i w:val="0"/>
        <w:iCs w:val="0"/>
        <w:w w:val="109"/>
        <w:sz w:val="20"/>
        <w:szCs w:val="20"/>
        <w:lang w:val="en-US" w:eastAsia="en-US" w:bidi="ar-SA"/>
      </w:rPr>
    </w:lvl>
    <w:lvl w:ilvl="1" w:tplc="EE864C4A">
      <w:numFmt w:val="bullet"/>
      <w:lvlText w:val="•"/>
      <w:lvlJc w:val="left"/>
      <w:pPr>
        <w:ind w:left="1302" w:hanging="284"/>
      </w:pPr>
      <w:rPr>
        <w:rFonts w:hint="default"/>
        <w:lang w:val="en-US" w:eastAsia="en-US" w:bidi="ar-SA"/>
      </w:rPr>
    </w:lvl>
    <w:lvl w:ilvl="2" w:tplc="185E4D0A">
      <w:numFmt w:val="bullet"/>
      <w:lvlText w:val="•"/>
      <w:lvlJc w:val="left"/>
      <w:pPr>
        <w:ind w:left="1824" w:hanging="284"/>
      </w:pPr>
      <w:rPr>
        <w:rFonts w:hint="default"/>
        <w:lang w:val="en-US" w:eastAsia="en-US" w:bidi="ar-SA"/>
      </w:rPr>
    </w:lvl>
    <w:lvl w:ilvl="3" w:tplc="ED28D2BE">
      <w:numFmt w:val="bullet"/>
      <w:lvlText w:val="•"/>
      <w:lvlJc w:val="left"/>
      <w:pPr>
        <w:ind w:left="2347" w:hanging="284"/>
      </w:pPr>
      <w:rPr>
        <w:rFonts w:hint="default"/>
        <w:lang w:val="en-US" w:eastAsia="en-US" w:bidi="ar-SA"/>
      </w:rPr>
    </w:lvl>
    <w:lvl w:ilvl="4" w:tplc="78EC5A3A">
      <w:numFmt w:val="bullet"/>
      <w:lvlText w:val="•"/>
      <w:lvlJc w:val="left"/>
      <w:pPr>
        <w:ind w:left="2869" w:hanging="284"/>
      </w:pPr>
      <w:rPr>
        <w:rFonts w:hint="default"/>
        <w:lang w:val="en-US" w:eastAsia="en-US" w:bidi="ar-SA"/>
      </w:rPr>
    </w:lvl>
    <w:lvl w:ilvl="5" w:tplc="F82097A8">
      <w:numFmt w:val="bullet"/>
      <w:lvlText w:val="•"/>
      <w:lvlJc w:val="left"/>
      <w:pPr>
        <w:ind w:left="3392" w:hanging="284"/>
      </w:pPr>
      <w:rPr>
        <w:rFonts w:hint="default"/>
        <w:lang w:val="en-US" w:eastAsia="en-US" w:bidi="ar-SA"/>
      </w:rPr>
    </w:lvl>
    <w:lvl w:ilvl="6" w:tplc="A08C9A40">
      <w:numFmt w:val="bullet"/>
      <w:lvlText w:val="•"/>
      <w:lvlJc w:val="left"/>
      <w:pPr>
        <w:ind w:left="3914" w:hanging="284"/>
      </w:pPr>
      <w:rPr>
        <w:rFonts w:hint="default"/>
        <w:lang w:val="en-US" w:eastAsia="en-US" w:bidi="ar-SA"/>
      </w:rPr>
    </w:lvl>
    <w:lvl w:ilvl="7" w:tplc="3A2E72D4">
      <w:numFmt w:val="bullet"/>
      <w:lvlText w:val="•"/>
      <w:lvlJc w:val="left"/>
      <w:pPr>
        <w:ind w:left="4437" w:hanging="284"/>
      </w:pPr>
      <w:rPr>
        <w:rFonts w:hint="default"/>
        <w:lang w:val="en-US" w:eastAsia="en-US" w:bidi="ar-SA"/>
      </w:rPr>
    </w:lvl>
    <w:lvl w:ilvl="8" w:tplc="9A0095A8">
      <w:numFmt w:val="bullet"/>
      <w:lvlText w:val="•"/>
      <w:lvlJc w:val="left"/>
      <w:pPr>
        <w:ind w:left="4959" w:hanging="284"/>
      </w:pPr>
      <w:rPr>
        <w:rFonts w:hint="default"/>
        <w:lang w:val="en-US" w:eastAsia="en-US" w:bidi="ar-SA"/>
      </w:rPr>
    </w:lvl>
  </w:abstractNum>
  <w:abstractNum w:abstractNumId="166" w15:restartNumberingAfterBreak="0">
    <w:nsid w:val="61D9132F"/>
    <w:multiLevelType w:val="hybridMultilevel"/>
    <w:tmpl w:val="52C6E7E4"/>
    <w:lvl w:ilvl="0" w:tplc="D72C41A4">
      <w:numFmt w:val="bullet"/>
      <w:lvlText w:val="•"/>
      <w:lvlJc w:val="left"/>
      <w:pPr>
        <w:ind w:left="651" w:hanging="284"/>
      </w:pPr>
      <w:rPr>
        <w:rFonts w:ascii="Tahoma" w:eastAsia="Tahoma" w:hAnsi="Tahoma" w:cs="Tahoma" w:hint="default"/>
        <w:b w:val="0"/>
        <w:bCs w:val="0"/>
        <w:i w:val="0"/>
        <w:iCs w:val="0"/>
        <w:w w:val="107"/>
        <w:sz w:val="20"/>
        <w:szCs w:val="20"/>
        <w:lang w:val="en-US" w:eastAsia="en-US" w:bidi="ar-SA"/>
      </w:rPr>
    </w:lvl>
    <w:lvl w:ilvl="1" w:tplc="B99E9282">
      <w:numFmt w:val="bullet"/>
      <w:lvlText w:val="•"/>
      <w:lvlJc w:val="left"/>
      <w:pPr>
        <w:ind w:left="1182" w:hanging="284"/>
      </w:pPr>
      <w:rPr>
        <w:rFonts w:hint="default"/>
        <w:lang w:val="en-US" w:eastAsia="en-US" w:bidi="ar-SA"/>
      </w:rPr>
    </w:lvl>
    <w:lvl w:ilvl="2" w:tplc="17882F7C">
      <w:numFmt w:val="bullet"/>
      <w:lvlText w:val="•"/>
      <w:lvlJc w:val="left"/>
      <w:pPr>
        <w:ind w:left="1704" w:hanging="284"/>
      </w:pPr>
      <w:rPr>
        <w:rFonts w:hint="default"/>
        <w:lang w:val="en-US" w:eastAsia="en-US" w:bidi="ar-SA"/>
      </w:rPr>
    </w:lvl>
    <w:lvl w:ilvl="3" w:tplc="F4BA3360">
      <w:numFmt w:val="bullet"/>
      <w:lvlText w:val="•"/>
      <w:lvlJc w:val="left"/>
      <w:pPr>
        <w:ind w:left="2226" w:hanging="284"/>
      </w:pPr>
      <w:rPr>
        <w:rFonts w:hint="default"/>
        <w:lang w:val="en-US" w:eastAsia="en-US" w:bidi="ar-SA"/>
      </w:rPr>
    </w:lvl>
    <w:lvl w:ilvl="4" w:tplc="59683EEA">
      <w:numFmt w:val="bullet"/>
      <w:lvlText w:val="•"/>
      <w:lvlJc w:val="left"/>
      <w:pPr>
        <w:ind w:left="2748" w:hanging="284"/>
      </w:pPr>
      <w:rPr>
        <w:rFonts w:hint="default"/>
        <w:lang w:val="en-US" w:eastAsia="en-US" w:bidi="ar-SA"/>
      </w:rPr>
    </w:lvl>
    <w:lvl w:ilvl="5" w:tplc="FEA2548A">
      <w:numFmt w:val="bullet"/>
      <w:lvlText w:val="•"/>
      <w:lvlJc w:val="left"/>
      <w:pPr>
        <w:ind w:left="3270" w:hanging="284"/>
      </w:pPr>
      <w:rPr>
        <w:rFonts w:hint="default"/>
        <w:lang w:val="en-US" w:eastAsia="en-US" w:bidi="ar-SA"/>
      </w:rPr>
    </w:lvl>
    <w:lvl w:ilvl="6" w:tplc="8EDCF96E">
      <w:numFmt w:val="bullet"/>
      <w:lvlText w:val="•"/>
      <w:lvlJc w:val="left"/>
      <w:pPr>
        <w:ind w:left="3792" w:hanging="284"/>
      </w:pPr>
      <w:rPr>
        <w:rFonts w:hint="default"/>
        <w:lang w:val="en-US" w:eastAsia="en-US" w:bidi="ar-SA"/>
      </w:rPr>
    </w:lvl>
    <w:lvl w:ilvl="7" w:tplc="7AB88A54">
      <w:numFmt w:val="bullet"/>
      <w:lvlText w:val="•"/>
      <w:lvlJc w:val="left"/>
      <w:pPr>
        <w:ind w:left="4314" w:hanging="284"/>
      </w:pPr>
      <w:rPr>
        <w:rFonts w:hint="default"/>
        <w:lang w:val="en-US" w:eastAsia="en-US" w:bidi="ar-SA"/>
      </w:rPr>
    </w:lvl>
    <w:lvl w:ilvl="8" w:tplc="33A240F2">
      <w:numFmt w:val="bullet"/>
      <w:lvlText w:val="•"/>
      <w:lvlJc w:val="left"/>
      <w:pPr>
        <w:ind w:left="4836" w:hanging="284"/>
      </w:pPr>
      <w:rPr>
        <w:rFonts w:hint="default"/>
        <w:lang w:val="en-US" w:eastAsia="en-US" w:bidi="ar-SA"/>
      </w:rPr>
    </w:lvl>
  </w:abstractNum>
  <w:abstractNum w:abstractNumId="167" w15:restartNumberingAfterBreak="0">
    <w:nsid w:val="62772D4A"/>
    <w:multiLevelType w:val="hybridMultilevel"/>
    <w:tmpl w:val="7960D16E"/>
    <w:lvl w:ilvl="0" w:tplc="F2EA861A">
      <w:numFmt w:val="bullet"/>
      <w:lvlText w:val="•"/>
      <w:lvlJc w:val="left"/>
      <w:pPr>
        <w:ind w:left="737" w:hanging="284"/>
      </w:pPr>
      <w:rPr>
        <w:rFonts w:ascii="Tahoma" w:eastAsia="Tahoma" w:hAnsi="Tahoma" w:cs="Tahoma" w:hint="default"/>
        <w:b w:val="0"/>
        <w:bCs w:val="0"/>
        <w:i w:val="0"/>
        <w:iCs w:val="0"/>
        <w:w w:val="109"/>
        <w:sz w:val="20"/>
        <w:szCs w:val="20"/>
        <w:lang w:val="en-US" w:eastAsia="en-US" w:bidi="ar-SA"/>
      </w:rPr>
    </w:lvl>
    <w:lvl w:ilvl="1" w:tplc="30964C14">
      <w:start w:val="1"/>
      <w:numFmt w:val="decimal"/>
      <w:lvlText w:val="%2"/>
      <w:lvlJc w:val="left"/>
      <w:pPr>
        <w:ind w:left="10744" w:hanging="199"/>
        <w:jc w:val="right"/>
      </w:pPr>
      <w:rPr>
        <w:rFonts w:ascii="Arial" w:eastAsia="Arial" w:hAnsi="Arial" w:cs="Arial" w:hint="default"/>
        <w:b w:val="0"/>
        <w:bCs w:val="0"/>
        <w:i w:val="0"/>
        <w:iCs w:val="0"/>
        <w:w w:val="99"/>
        <w:sz w:val="14"/>
        <w:szCs w:val="14"/>
        <w:lang w:val="en-US" w:eastAsia="en-US" w:bidi="ar-SA"/>
      </w:rPr>
    </w:lvl>
    <w:lvl w:ilvl="2" w:tplc="1CBC9A18">
      <w:numFmt w:val="bullet"/>
      <w:lvlText w:val="•"/>
      <w:lvlJc w:val="left"/>
      <w:pPr>
        <w:ind w:left="10209" w:hanging="199"/>
      </w:pPr>
      <w:rPr>
        <w:rFonts w:hint="default"/>
        <w:lang w:val="en-US" w:eastAsia="en-US" w:bidi="ar-SA"/>
      </w:rPr>
    </w:lvl>
    <w:lvl w:ilvl="3" w:tplc="07A0C15E">
      <w:numFmt w:val="bullet"/>
      <w:lvlText w:val="•"/>
      <w:lvlJc w:val="left"/>
      <w:pPr>
        <w:ind w:left="9679" w:hanging="199"/>
      </w:pPr>
      <w:rPr>
        <w:rFonts w:hint="default"/>
        <w:lang w:val="en-US" w:eastAsia="en-US" w:bidi="ar-SA"/>
      </w:rPr>
    </w:lvl>
    <w:lvl w:ilvl="4" w:tplc="A504214C">
      <w:numFmt w:val="bullet"/>
      <w:lvlText w:val="•"/>
      <w:lvlJc w:val="left"/>
      <w:pPr>
        <w:ind w:left="9148" w:hanging="199"/>
      </w:pPr>
      <w:rPr>
        <w:rFonts w:hint="default"/>
        <w:lang w:val="en-US" w:eastAsia="en-US" w:bidi="ar-SA"/>
      </w:rPr>
    </w:lvl>
    <w:lvl w:ilvl="5" w:tplc="AF70FF9A">
      <w:numFmt w:val="bullet"/>
      <w:lvlText w:val="•"/>
      <w:lvlJc w:val="left"/>
      <w:pPr>
        <w:ind w:left="8618" w:hanging="199"/>
      </w:pPr>
      <w:rPr>
        <w:rFonts w:hint="default"/>
        <w:lang w:val="en-US" w:eastAsia="en-US" w:bidi="ar-SA"/>
      </w:rPr>
    </w:lvl>
    <w:lvl w:ilvl="6" w:tplc="7C4CECAE">
      <w:numFmt w:val="bullet"/>
      <w:lvlText w:val="•"/>
      <w:lvlJc w:val="left"/>
      <w:pPr>
        <w:ind w:left="8087" w:hanging="199"/>
      </w:pPr>
      <w:rPr>
        <w:rFonts w:hint="default"/>
        <w:lang w:val="en-US" w:eastAsia="en-US" w:bidi="ar-SA"/>
      </w:rPr>
    </w:lvl>
    <w:lvl w:ilvl="7" w:tplc="71FA04DE">
      <w:numFmt w:val="bullet"/>
      <w:lvlText w:val="•"/>
      <w:lvlJc w:val="left"/>
      <w:pPr>
        <w:ind w:left="7557" w:hanging="199"/>
      </w:pPr>
      <w:rPr>
        <w:rFonts w:hint="default"/>
        <w:lang w:val="en-US" w:eastAsia="en-US" w:bidi="ar-SA"/>
      </w:rPr>
    </w:lvl>
    <w:lvl w:ilvl="8" w:tplc="0FF817AA">
      <w:numFmt w:val="bullet"/>
      <w:lvlText w:val="•"/>
      <w:lvlJc w:val="left"/>
      <w:pPr>
        <w:ind w:left="7026" w:hanging="199"/>
      </w:pPr>
      <w:rPr>
        <w:rFonts w:hint="default"/>
        <w:lang w:val="en-US" w:eastAsia="en-US" w:bidi="ar-SA"/>
      </w:rPr>
    </w:lvl>
  </w:abstractNum>
  <w:abstractNum w:abstractNumId="168" w15:restartNumberingAfterBreak="0">
    <w:nsid w:val="62DE1ECE"/>
    <w:multiLevelType w:val="multilevel"/>
    <w:tmpl w:val="4FDC4314"/>
    <w:lvl w:ilvl="0">
      <w:start w:val="13"/>
      <w:numFmt w:val="decimal"/>
      <w:lvlText w:val="%1"/>
      <w:lvlJc w:val="left"/>
      <w:pPr>
        <w:ind w:left="1092" w:hanging="601"/>
        <w:jc w:val="left"/>
      </w:pPr>
      <w:rPr>
        <w:rFonts w:hint="default"/>
        <w:lang w:val="en-US" w:eastAsia="en-US" w:bidi="ar-SA"/>
      </w:rPr>
    </w:lvl>
    <w:lvl w:ilvl="1">
      <w:start w:val="1"/>
      <w:numFmt w:val="decimal"/>
      <w:lvlText w:val="%1.%2"/>
      <w:lvlJc w:val="left"/>
      <w:pPr>
        <w:ind w:left="1092" w:hanging="601"/>
        <w:jc w:val="right"/>
      </w:pPr>
      <w:rPr>
        <w:rFonts w:ascii="Arial" w:eastAsia="Arial" w:hAnsi="Arial" w:cs="Arial" w:hint="default"/>
        <w:b/>
        <w:bCs/>
        <w:i w:val="0"/>
        <w:iCs w:val="0"/>
        <w:color w:val="00AEEF"/>
        <w:spacing w:val="-5"/>
        <w:w w:val="99"/>
        <w:sz w:val="28"/>
        <w:szCs w:val="28"/>
        <w:lang w:val="en-US" w:eastAsia="en-US" w:bidi="ar-SA"/>
      </w:rPr>
    </w:lvl>
    <w:lvl w:ilvl="2">
      <w:start w:val="1"/>
      <w:numFmt w:val="decimal"/>
      <w:lvlText w:val="%1.%2.%3"/>
      <w:lvlJc w:val="left"/>
      <w:pPr>
        <w:ind w:left="810" w:hanging="595"/>
        <w:jc w:val="right"/>
      </w:pPr>
      <w:rPr>
        <w:rFonts w:ascii="Arial" w:eastAsia="Arial" w:hAnsi="Arial" w:cs="Arial" w:hint="default"/>
        <w:b/>
        <w:bCs/>
        <w:i w:val="0"/>
        <w:iCs w:val="0"/>
        <w:color w:val="00AEEF"/>
        <w:spacing w:val="-3"/>
        <w:w w:val="99"/>
        <w:sz w:val="20"/>
        <w:szCs w:val="20"/>
        <w:lang w:val="en-US" w:eastAsia="en-US" w:bidi="ar-SA"/>
      </w:rPr>
    </w:lvl>
    <w:lvl w:ilvl="3">
      <w:numFmt w:val="bullet"/>
      <w:lvlText w:val="•"/>
      <w:lvlJc w:val="left"/>
      <w:pPr>
        <w:ind w:left="498" w:hanging="284"/>
      </w:pPr>
      <w:rPr>
        <w:rFonts w:ascii="Tahoma" w:eastAsia="Tahoma" w:hAnsi="Tahoma" w:cs="Tahoma" w:hint="default"/>
        <w:b w:val="0"/>
        <w:bCs w:val="0"/>
        <w:i w:val="0"/>
        <w:iCs w:val="0"/>
        <w:w w:val="109"/>
        <w:sz w:val="20"/>
        <w:szCs w:val="20"/>
        <w:lang w:val="en-US" w:eastAsia="en-US" w:bidi="ar-SA"/>
      </w:rPr>
    </w:lvl>
    <w:lvl w:ilvl="4">
      <w:numFmt w:val="bullet"/>
      <w:lvlText w:val="•"/>
      <w:lvlJc w:val="left"/>
      <w:pPr>
        <w:ind w:left="261" w:hanging="284"/>
      </w:pPr>
      <w:rPr>
        <w:rFonts w:hint="default"/>
        <w:lang w:val="en-US" w:eastAsia="en-US" w:bidi="ar-SA"/>
      </w:rPr>
    </w:lvl>
    <w:lvl w:ilvl="5">
      <w:numFmt w:val="bullet"/>
      <w:lvlText w:val="•"/>
      <w:lvlJc w:val="left"/>
      <w:pPr>
        <w:ind w:left="-577" w:hanging="284"/>
      </w:pPr>
      <w:rPr>
        <w:rFonts w:hint="default"/>
        <w:lang w:val="en-US" w:eastAsia="en-US" w:bidi="ar-SA"/>
      </w:rPr>
    </w:lvl>
    <w:lvl w:ilvl="6">
      <w:numFmt w:val="bullet"/>
      <w:lvlText w:val="•"/>
      <w:lvlJc w:val="left"/>
      <w:pPr>
        <w:ind w:left="-1415" w:hanging="284"/>
      </w:pPr>
      <w:rPr>
        <w:rFonts w:hint="default"/>
        <w:lang w:val="en-US" w:eastAsia="en-US" w:bidi="ar-SA"/>
      </w:rPr>
    </w:lvl>
    <w:lvl w:ilvl="7">
      <w:numFmt w:val="bullet"/>
      <w:lvlText w:val="•"/>
      <w:lvlJc w:val="left"/>
      <w:pPr>
        <w:ind w:left="-2253" w:hanging="284"/>
      </w:pPr>
      <w:rPr>
        <w:rFonts w:hint="default"/>
        <w:lang w:val="en-US" w:eastAsia="en-US" w:bidi="ar-SA"/>
      </w:rPr>
    </w:lvl>
    <w:lvl w:ilvl="8">
      <w:numFmt w:val="bullet"/>
      <w:lvlText w:val="•"/>
      <w:lvlJc w:val="left"/>
      <w:pPr>
        <w:ind w:left="-3092" w:hanging="284"/>
      </w:pPr>
      <w:rPr>
        <w:rFonts w:hint="default"/>
        <w:lang w:val="en-US" w:eastAsia="en-US" w:bidi="ar-SA"/>
      </w:rPr>
    </w:lvl>
  </w:abstractNum>
  <w:abstractNum w:abstractNumId="169" w15:restartNumberingAfterBreak="0">
    <w:nsid w:val="63A6308A"/>
    <w:multiLevelType w:val="multilevel"/>
    <w:tmpl w:val="DDD85F0A"/>
    <w:lvl w:ilvl="0">
      <w:start w:val="3"/>
      <w:numFmt w:val="decimal"/>
      <w:lvlText w:val="%1"/>
      <w:lvlJc w:val="left"/>
      <w:pPr>
        <w:ind w:left="972" w:hanging="480"/>
        <w:jc w:val="left"/>
      </w:pPr>
      <w:rPr>
        <w:rFonts w:hint="default"/>
        <w:lang w:val="en-US" w:eastAsia="en-US" w:bidi="ar-SA"/>
      </w:rPr>
    </w:lvl>
    <w:lvl w:ilvl="1">
      <w:numFmt w:val="decimal"/>
      <w:lvlText w:val="%1.%2"/>
      <w:lvlJc w:val="left"/>
      <w:pPr>
        <w:ind w:left="972" w:hanging="480"/>
        <w:jc w:val="left"/>
      </w:pPr>
      <w:rPr>
        <w:rFonts w:hint="default"/>
        <w:w w:val="99"/>
        <w:lang w:val="en-US" w:eastAsia="en-US" w:bidi="ar-SA"/>
      </w:rPr>
    </w:lvl>
    <w:lvl w:ilvl="2">
      <w:numFmt w:val="bullet"/>
      <w:lvlText w:val="•"/>
      <w:lvlJc w:val="left"/>
      <w:pPr>
        <w:ind w:left="1984" w:hanging="480"/>
      </w:pPr>
      <w:rPr>
        <w:rFonts w:hint="default"/>
        <w:lang w:val="en-US" w:eastAsia="en-US" w:bidi="ar-SA"/>
      </w:rPr>
    </w:lvl>
    <w:lvl w:ilvl="3">
      <w:numFmt w:val="bullet"/>
      <w:lvlText w:val="•"/>
      <w:lvlJc w:val="left"/>
      <w:pPr>
        <w:ind w:left="2487" w:hanging="480"/>
      </w:pPr>
      <w:rPr>
        <w:rFonts w:hint="default"/>
        <w:lang w:val="en-US" w:eastAsia="en-US" w:bidi="ar-SA"/>
      </w:rPr>
    </w:lvl>
    <w:lvl w:ilvl="4">
      <w:numFmt w:val="bullet"/>
      <w:lvlText w:val="•"/>
      <w:lvlJc w:val="left"/>
      <w:pPr>
        <w:ind w:left="2989" w:hanging="480"/>
      </w:pPr>
      <w:rPr>
        <w:rFonts w:hint="default"/>
        <w:lang w:val="en-US" w:eastAsia="en-US" w:bidi="ar-SA"/>
      </w:rPr>
    </w:lvl>
    <w:lvl w:ilvl="5">
      <w:numFmt w:val="bullet"/>
      <w:lvlText w:val="•"/>
      <w:lvlJc w:val="left"/>
      <w:pPr>
        <w:ind w:left="3492" w:hanging="480"/>
      </w:pPr>
      <w:rPr>
        <w:rFonts w:hint="default"/>
        <w:lang w:val="en-US" w:eastAsia="en-US" w:bidi="ar-SA"/>
      </w:rPr>
    </w:lvl>
    <w:lvl w:ilvl="6">
      <w:numFmt w:val="bullet"/>
      <w:lvlText w:val="•"/>
      <w:lvlJc w:val="left"/>
      <w:pPr>
        <w:ind w:left="3994" w:hanging="480"/>
      </w:pPr>
      <w:rPr>
        <w:rFonts w:hint="default"/>
        <w:lang w:val="en-US" w:eastAsia="en-US" w:bidi="ar-SA"/>
      </w:rPr>
    </w:lvl>
    <w:lvl w:ilvl="7">
      <w:numFmt w:val="bullet"/>
      <w:lvlText w:val="•"/>
      <w:lvlJc w:val="left"/>
      <w:pPr>
        <w:ind w:left="4496" w:hanging="480"/>
      </w:pPr>
      <w:rPr>
        <w:rFonts w:hint="default"/>
        <w:lang w:val="en-US" w:eastAsia="en-US" w:bidi="ar-SA"/>
      </w:rPr>
    </w:lvl>
    <w:lvl w:ilvl="8">
      <w:numFmt w:val="bullet"/>
      <w:lvlText w:val="•"/>
      <w:lvlJc w:val="left"/>
      <w:pPr>
        <w:ind w:left="4999" w:hanging="480"/>
      </w:pPr>
      <w:rPr>
        <w:rFonts w:hint="default"/>
        <w:lang w:val="en-US" w:eastAsia="en-US" w:bidi="ar-SA"/>
      </w:rPr>
    </w:lvl>
  </w:abstractNum>
  <w:abstractNum w:abstractNumId="170" w15:restartNumberingAfterBreak="0">
    <w:nsid w:val="63F85CD5"/>
    <w:multiLevelType w:val="hybridMultilevel"/>
    <w:tmpl w:val="3488A6FC"/>
    <w:lvl w:ilvl="0" w:tplc="8F567C70">
      <w:numFmt w:val="bullet"/>
      <w:lvlText w:val="•"/>
      <w:lvlJc w:val="left"/>
      <w:pPr>
        <w:ind w:left="775" w:hanging="284"/>
      </w:pPr>
      <w:rPr>
        <w:rFonts w:ascii="Tahoma" w:eastAsia="Tahoma" w:hAnsi="Tahoma" w:cs="Tahoma" w:hint="default"/>
        <w:b w:val="0"/>
        <w:bCs w:val="0"/>
        <w:i w:val="0"/>
        <w:iCs w:val="0"/>
        <w:w w:val="109"/>
        <w:sz w:val="20"/>
        <w:szCs w:val="20"/>
        <w:lang w:val="en-US" w:eastAsia="en-US" w:bidi="ar-SA"/>
      </w:rPr>
    </w:lvl>
    <w:lvl w:ilvl="1" w:tplc="5FCEBDE0">
      <w:numFmt w:val="bullet"/>
      <w:lvlText w:val="•"/>
      <w:lvlJc w:val="left"/>
      <w:pPr>
        <w:ind w:left="2307" w:hanging="284"/>
      </w:pPr>
      <w:rPr>
        <w:rFonts w:hint="default"/>
        <w:lang w:val="en-US" w:eastAsia="en-US" w:bidi="ar-SA"/>
      </w:rPr>
    </w:lvl>
    <w:lvl w:ilvl="2" w:tplc="BB86B5C6">
      <w:numFmt w:val="bullet"/>
      <w:lvlText w:val="•"/>
      <w:lvlJc w:val="left"/>
      <w:pPr>
        <w:ind w:left="3835" w:hanging="284"/>
      </w:pPr>
      <w:rPr>
        <w:rFonts w:hint="default"/>
        <w:lang w:val="en-US" w:eastAsia="en-US" w:bidi="ar-SA"/>
      </w:rPr>
    </w:lvl>
    <w:lvl w:ilvl="3" w:tplc="FC36368C">
      <w:numFmt w:val="bullet"/>
      <w:lvlText w:val="•"/>
      <w:lvlJc w:val="left"/>
      <w:pPr>
        <w:ind w:left="5363" w:hanging="284"/>
      </w:pPr>
      <w:rPr>
        <w:rFonts w:hint="default"/>
        <w:lang w:val="en-US" w:eastAsia="en-US" w:bidi="ar-SA"/>
      </w:rPr>
    </w:lvl>
    <w:lvl w:ilvl="4" w:tplc="E50EF092">
      <w:numFmt w:val="bullet"/>
      <w:lvlText w:val="•"/>
      <w:lvlJc w:val="left"/>
      <w:pPr>
        <w:ind w:left="6891" w:hanging="284"/>
      </w:pPr>
      <w:rPr>
        <w:rFonts w:hint="default"/>
        <w:lang w:val="en-US" w:eastAsia="en-US" w:bidi="ar-SA"/>
      </w:rPr>
    </w:lvl>
    <w:lvl w:ilvl="5" w:tplc="B7E8AF9C">
      <w:numFmt w:val="bullet"/>
      <w:lvlText w:val="•"/>
      <w:lvlJc w:val="left"/>
      <w:pPr>
        <w:ind w:left="8418" w:hanging="284"/>
      </w:pPr>
      <w:rPr>
        <w:rFonts w:hint="default"/>
        <w:lang w:val="en-US" w:eastAsia="en-US" w:bidi="ar-SA"/>
      </w:rPr>
    </w:lvl>
    <w:lvl w:ilvl="6" w:tplc="8C7E4458">
      <w:numFmt w:val="bullet"/>
      <w:lvlText w:val="•"/>
      <w:lvlJc w:val="left"/>
      <w:pPr>
        <w:ind w:left="9946" w:hanging="284"/>
      </w:pPr>
      <w:rPr>
        <w:rFonts w:hint="default"/>
        <w:lang w:val="en-US" w:eastAsia="en-US" w:bidi="ar-SA"/>
      </w:rPr>
    </w:lvl>
    <w:lvl w:ilvl="7" w:tplc="7A06B75A">
      <w:numFmt w:val="bullet"/>
      <w:lvlText w:val="•"/>
      <w:lvlJc w:val="left"/>
      <w:pPr>
        <w:ind w:left="11474" w:hanging="284"/>
      </w:pPr>
      <w:rPr>
        <w:rFonts w:hint="default"/>
        <w:lang w:val="en-US" w:eastAsia="en-US" w:bidi="ar-SA"/>
      </w:rPr>
    </w:lvl>
    <w:lvl w:ilvl="8" w:tplc="8784716A">
      <w:numFmt w:val="bullet"/>
      <w:lvlText w:val="•"/>
      <w:lvlJc w:val="left"/>
      <w:pPr>
        <w:ind w:left="13002" w:hanging="284"/>
      </w:pPr>
      <w:rPr>
        <w:rFonts w:hint="default"/>
        <w:lang w:val="en-US" w:eastAsia="en-US" w:bidi="ar-SA"/>
      </w:rPr>
    </w:lvl>
  </w:abstractNum>
  <w:abstractNum w:abstractNumId="171" w15:restartNumberingAfterBreak="0">
    <w:nsid w:val="6400244F"/>
    <w:multiLevelType w:val="multilevel"/>
    <w:tmpl w:val="9C18B8DE"/>
    <w:lvl w:ilvl="0">
      <w:start w:val="4"/>
      <w:numFmt w:val="decimal"/>
      <w:lvlText w:val="%1"/>
      <w:lvlJc w:val="left"/>
      <w:pPr>
        <w:ind w:left="1669" w:hanging="1178"/>
        <w:jc w:val="left"/>
      </w:pPr>
      <w:rPr>
        <w:rFonts w:hint="default"/>
        <w:lang w:val="en-US" w:eastAsia="en-US" w:bidi="ar-SA"/>
      </w:rPr>
    </w:lvl>
    <w:lvl w:ilvl="1">
      <w:numFmt w:val="decimal"/>
      <w:lvlText w:val="%1.%2"/>
      <w:lvlJc w:val="left"/>
      <w:pPr>
        <w:ind w:left="1669" w:hanging="1178"/>
        <w:jc w:val="right"/>
      </w:pPr>
      <w:rPr>
        <w:rFonts w:hint="default"/>
        <w:spacing w:val="-31"/>
        <w:w w:val="61"/>
        <w:lang w:val="en-US" w:eastAsia="en-US" w:bidi="ar-SA"/>
      </w:rPr>
    </w:lvl>
    <w:lvl w:ilvl="2">
      <w:numFmt w:val="bullet"/>
      <w:lvlText w:val="•"/>
      <w:lvlJc w:val="left"/>
      <w:pPr>
        <w:ind w:left="523" w:hanging="284"/>
      </w:pPr>
      <w:rPr>
        <w:rFonts w:ascii="Tahoma" w:eastAsia="Tahoma" w:hAnsi="Tahoma" w:cs="Tahoma" w:hint="default"/>
        <w:b w:val="0"/>
        <w:bCs w:val="0"/>
        <w:i w:val="0"/>
        <w:iCs w:val="0"/>
        <w:w w:val="109"/>
        <w:sz w:val="20"/>
        <w:szCs w:val="20"/>
        <w:lang w:val="en-US" w:eastAsia="en-US" w:bidi="ar-SA"/>
      </w:rPr>
    </w:lvl>
    <w:lvl w:ilvl="3">
      <w:numFmt w:val="bullet"/>
      <w:lvlText w:val="•"/>
      <w:lvlJc w:val="left"/>
      <w:pPr>
        <w:ind w:left="349" w:hanging="284"/>
      </w:pPr>
      <w:rPr>
        <w:rFonts w:hint="default"/>
        <w:lang w:val="en-US" w:eastAsia="en-US" w:bidi="ar-SA"/>
      </w:rPr>
    </w:lvl>
    <w:lvl w:ilvl="4">
      <w:numFmt w:val="bullet"/>
      <w:lvlText w:val="•"/>
      <w:lvlJc w:val="left"/>
      <w:pPr>
        <w:ind w:left="-306" w:hanging="284"/>
      </w:pPr>
      <w:rPr>
        <w:rFonts w:hint="default"/>
        <w:lang w:val="en-US" w:eastAsia="en-US" w:bidi="ar-SA"/>
      </w:rPr>
    </w:lvl>
    <w:lvl w:ilvl="5">
      <w:numFmt w:val="bullet"/>
      <w:lvlText w:val="•"/>
      <w:lvlJc w:val="left"/>
      <w:pPr>
        <w:ind w:left="-962" w:hanging="284"/>
      </w:pPr>
      <w:rPr>
        <w:rFonts w:hint="default"/>
        <w:lang w:val="en-US" w:eastAsia="en-US" w:bidi="ar-SA"/>
      </w:rPr>
    </w:lvl>
    <w:lvl w:ilvl="6">
      <w:numFmt w:val="bullet"/>
      <w:lvlText w:val="•"/>
      <w:lvlJc w:val="left"/>
      <w:pPr>
        <w:ind w:left="-1617" w:hanging="284"/>
      </w:pPr>
      <w:rPr>
        <w:rFonts w:hint="default"/>
        <w:lang w:val="en-US" w:eastAsia="en-US" w:bidi="ar-SA"/>
      </w:rPr>
    </w:lvl>
    <w:lvl w:ilvl="7">
      <w:numFmt w:val="bullet"/>
      <w:lvlText w:val="•"/>
      <w:lvlJc w:val="left"/>
      <w:pPr>
        <w:ind w:left="-2272" w:hanging="284"/>
      </w:pPr>
      <w:rPr>
        <w:rFonts w:hint="default"/>
        <w:lang w:val="en-US" w:eastAsia="en-US" w:bidi="ar-SA"/>
      </w:rPr>
    </w:lvl>
    <w:lvl w:ilvl="8">
      <w:numFmt w:val="bullet"/>
      <w:lvlText w:val="•"/>
      <w:lvlJc w:val="left"/>
      <w:pPr>
        <w:ind w:left="-2927" w:hanging="284"/>
      </w:pPr>
      <w:rPr>
        <w:rFonts w:hint="default"/>
        <w:lang w:val="en-US" w:eastAsia="en-US" w:bidi="ar-SA"/>
      </w:rPr>
    </w:lvl>
  </w:abstractNum>
  <w:abstractNum w:abstractNumId="172" w15:restartNumberingAfterBreak="0">
    <w:nsid w:val="64CC40D4"/>
    <w:multiLevelType w:val="hybridMultilevel"/>
    <w:tmpl w:val="AAF858CE"/>
    <w:lvl w:ilvl="0" w:tplc="3518232C">
      <w:numFmt w:val="bullet"/>
      <w:lvlText w:val="•"/>
      <w:lvlJc w:val="left"/>
      <w:pPr>
        <w:ind w:left="775" w:hanging="284"/>
      </w:pPr>
      <w:rPr>
        <w:rFonts w:ascii="Tahoma" w:eastAsia="Tahoma" w:hAnsi="Tahoma" w:cs="Tahoma" w:hint="default"/>
        <w:b w:val="0"/>
        <w:bCs w:val="0"/>
        <w:i w:val="0"/>
        <w:iCs w:val="0"/>
        <w:w w:val="109"/>
        <w:sz w:val="20"/>
        <w:szCs w:val="20"/>
        <w:lang w:val="en-US" w:eastAsia="en-US" w:bidi="ar-SA"/>
      </w:rPr>
    </w:lvl>
    <w:lvl w:ilvl="1" w:tplc="A692DD84">
      <w:numFmt w:val="bullet"/>
      <w:lvlText w:val="•"/>
      <w:lvlJc w:val="left"/>
      <w:pPr>
        <w:ind w:left="1227" w:hanging="284"/>
      </w:pPr>
      <w:rPr>
        <w:rFonts w:hint="default"/>
        <w:lang w:val="en-US" w:eastAsia="en-US" w:bidi="ar-SA"/>
      </w:rPr>
    </w:lvl>
    <w:lvl w:ilvl="2" w:tplc="8D2C38EC">
      <w:numFmt w:val="bullet"/>
      <w:lvlText w:val="•"/>
      <w:lvlJc w:val="left"/>
      <w:pPr>
        <w:ind w:left="1675" w:hanging="284"/>
      </w:pPr>
      <w:rPr>
        <w:rFonts w:hint="default"/>
        <w:lang w:val="en-US" w:eastAsia="en-US" w:bidi="ar-SA"/>
      </w:rPr>
    </w:lvl>
    <w:lvl w:ilvl="3" w:tplc="3D0ED14C">
      <w:numFmt w:val="bullet"/>
      <w:lvlText w:val="•"/>
      <w:lvlJc w:val="left"/>
      <w:pPr>
        <w:ind w:left="2122" w:hanging="284"/>
      </w:pPr>
      <w:rPr>
        <w:rFonts w:hint="default"/>
        <w:lang w:val="en-US" w:eastAsia="en-US" w:bidi="ar-SA"/>
      </w:rPr>
    </w:lvl>
    <w:lvl w:ilvl="4" w:tplc="E95CECB6">
      <w:numFmt w:val="bullet"/>
      <w:lvlText w:val="•"/>
      <w:lvlJc w:val="left"/>
      <w:pPr>
        <w:ind w:left="2570" w:hanging="284"/>
      </w:pPr>
      <w:rPr>
        <w:rFonts w:hint="default"/>
        <w:lang w:val="en-US" w:eastAsia="en-US" w:bidi="ar-SA"/>
      </w:rPr>
    </w:lvl>
    <w:lvl w:ilvl="5" w:tplc="BC3E3B96">
      <w:numFmt w:val="bullet"/>
      <w:lvlText w:val="•"/>
      <w:lvlJc w:val="left"/>
      <w:pPr>
        <w:ind w:left="3017" w:hanging="284"/>
      </w:pPr>
      <w:rPr>
        <w:rFonts w:hint="default"/>
        <w:lang w:val="en-US" w:eastAsia="en-US" w:bidi="ar-SA"/>
      </w:rPr>
    </w:lvl>
    <w:lvl w:ilvl="6" w:tplc="6E02A20C">
      <w:numFmt w:val="bullet"/>
      <w:lvlText w:val="•"/>
      <w:lvlJc w:val="left"/>
      <w:pPr>
        <w:ind w:left="3465" w:hanging="284"/>
      </w:pPr>
      <w:rPr>
        <w:rFonts w:hint="default"/>
        <w:lang w:val="en-US" w:eastAsia="en-US" w:bidi="ar-SA"/>
      </w:rPr>
    </w:lvl>
    <w:lvl w:ilvl="7" w:tplc="4F32884A">
      <w:numFmt w:val="bullet"/>
      <w:lvlText w:val="•"/>
      <w:lvlJc w:val="left"/>
      <w:pPr>
        <w:ind w:left="3912" w:hanging="284"/>
      </w:pPr>
      <w:rPr>
        <w:rFonts w:hint="default"/>
        <w:lang w:val="en-US" w:eastAsia="en-US" w:bidi="ar-SA"/>
      </w:rPr>
    </w:lvl>
    <w:lvl w:ilvl="8" w:tplc="1702E774">
      <w:numFmt w:val="bullet"/>
      <w:lvlText w:val="•"/>
      <w:lvlJc w:val="left"/>
      <w:pPr>
        <w:ind w:left="4360" w:hanging="284"/>
      </w:pPr>
      <w:rPr>
        <w:rFonts w:hint="default"/>
        <w:lang w:val="en-US" w:eastAsia="en-US" w:bidi="ar-SA"/>
      </w:rPr>
    </w:lvl>
  </w:abstractNum>
  <w:abstractNum w:abstractNumId="173" w15:restartNumberingAfterBreak="0">
    <w:nsid w:val="652D4776"/>
    <w:multiLevelType w:val="hybridMultilevel"/>
    <w:tmpl w:val="6494F3E6"/>
    <w:lvl w:ilvl="0" w:tplc="5E6A7336">
      <w:numFmt w:val="bullet"/>
      <w:lvlText w:val="•"/>
      <w:lvlJc w:val="left"/>
      <w:pPr>
        <w:ind w:left="10829" w:hanging="284"/>
      </w:pPr>
      <w:rPr>
        <w:rFonts w:ascii="Tahoma" w:eastAsia="Tahoma" w:hAnsi="Tahoma" w:cs="Tahoma" w:hint="default"/>
        <w:b w:val="0"/>
        <w:bCs w:val="0"/>
        <w:i w:val="0"/>
        <w:iCs w:val="0"/>
        <w:w w:val="109"/>
        <w:sz w:val="20"/>
        <w:szCs w:val="20"/>
        <w:lang w:val="en-US" w:eastAsia="en-US" w:bidi="ar-SA"/>
      </w:rPr>
    </w:lvl>
    <w:lvl w:ilvl="1" w:tplc="751C2806">
      <w:numFmt w:val="bullet"/>
      <w:lvlText w:val="•"/>
      <w:lvlJc w:val="left"/>
      <w:pPr>
        <w:ind w:left="11343" w:hanging="284"/>
      </w:pPr>
      <w:rPr>
        <w:rFonts w:hint="default"/>
        <w:lang w:val="en-US" w:eastAsia="en-US" w:bidi="ar-SA"/>
      </w:rPr>
    </w:lvl>
    <w:lvl w:ilvl="2" w:tplc="F0B00EE4">
      <w:numFmt w:val="bullet"/>
      <w:lvlText w:val="•"/>
      <w:lvlJc w:val="left"/>
      <w:pPr>
        <w:ind w:left="11867" w:hanging="284"/>
      </w:pPr>
      <w:rPr>
        <w:rFonts w:hint="default"/>
        <w:lang w:val="en-US" w:eastAsia="en-US" w:bidi="ar-SA"/>
      </w:rPr>
    </w:lvl>
    <w:lvl w:ilvl="3" w:tplc="A6164E5C">
      <w:numFmt w:val="bullet"/>
      <w:lvlText w:val="•"/>
      <w:lvlJc w:val="left"/>
      <w:pPr>
        <w:ind w:left="12391" w:hanging="284"/>
      </w:pPr>
      <w:rPr>
        <w:rFonts w:hint="default"/>
        <w:lang w:val="en-US" w:eastAsia="en-US" w:bidi="ar-SA"/>
      </w:rPr>
    </w:lvl>
    <w:lvl w:ilvl="4" w:tplc="AEDE0C2C">
      <w:numFmt w:val="bullet"/>
      <w:lvlText w:val="•"/>
      <w:lvlJc w:val="left"/>
      <w:pPr>
        <w:ind w:left="12915" w:hanging="284"/>
      </w:pPr>
      <w:rPr>
        <w:rFonts w:hint="default"/>
        <w:lang w:val="en-US" w:eastAsia="en-US" w:bidi="ar-SA"/>
      </w:rPr>
    </w:lvl>
    <w:lvl w:ilvl="5" w:tplc="42EEF402">
      <w:numFmt w:val="bullet"/>
      <w:lvlText w:val="•"/>
      <w:lvlJc w:val="left"/>
      <w:pPr>
        <w:ind w:left="13438" w:hanging="284"/>
      </w:pPr>
      <w:rPr>
        <w:rFonts w:hint="default"/>
        <w:lang w:val="en-US" w:eastAsia="en-US" w:bidi="ar-SA"/>
      </w:rPr>
    </w:lvl>
    <w:lvl w:ilvl="6" w:tplc="9054802C">
      <w:numFmt w:val="bullet"/>
      <w:lvlText w:val="•"/>
      <w:lvlJc w:val="left"/>
      <w:pPr>
        <w:ind w:left="13962" w:hanging="284"/>
      </w:pPr>
      <w:rPr>
        <w:rFonts w:hint="default"/>
        <w:lang w:val="en-US" w:eastAsia="en-US" w:bidi="ar-SA"/>
      </w:rPr>
    </w:lvl>
    <w:lvl w:ilvl="7" w:tplc="B07E6AE6">
      <w:numFmt w:val="bullet"/>
      <w:lvlText w:val="•"/>
      <w:lvlJc w:val="left"/>
      <w:pPr>
        <w:ind w:left="14486" w:hanging="284"/>
      </w:pPr>
      <w:rPr>
        <w:rFonts w:hint="default"/>
        <w:lang w:val="en-US" w:eastAsia="en-US" w:bidi="ar-SA"/>
      </w:rPr>
    </w:lvl>
    <w:lvl w:ilvl="8" w:tplc="5F78DEA0">
      <w:numFmt w:val="bullet"/>
      <w:lvlText w:val="•"/>
      <w:lvlJc w:val="left"/>
      <w:pPr>
        <w:ind w:left="15010" w:hanging="284"/>
      </w:pPr>
      <w:rPr>
        <w:rFonts w:hint="default"/>
        <w:lang w:val="en-US" w:eastAsia="en-US" w:bidi="ar-SA"/>
      </w:rPr>
    </w:lvl>
  </w:abstractNum>
  <w:abstractNum w:abstractNumId="174" w15:restartNumberingAfterBreak="0">
    <w:nsid w:val="66995599"/>
    <w:multiLevelType w:val="hybridMultilevel"/>
    <w:tmpl w:val="3918C738"/>
    <w:lvl w:ilvl="0" w:tplc="5680CB7C">
      <w:numFmt w:val="bullet"/>
      <w:lvlText w:val="•"/>
      <w:lvlJc w:val="left"/>
      <w:pPr>
        <w:ind w:left="208" w:hanging="100"/>
      </w:pPr>
      <w:rPr>
        <w:rFonts w:ascii="Tahoma" w:eastAsia="Tahoma" w:hAnsi="Tahoma" w:cs="Tahoma" w:hint="default"/>
        <w:b w:val="0"/>
        <w:bCs w:val="0"/>
        <w:i w:val="0"/>
        <w:iCs w:val="0"/>
        <w:w w:val="109"/>
        <w:sz w:val="14"/>
        <w:szCs w:val="14"/>
        <w:lang w:val="en-US" w:eastAsia="en-US" w:bidi="ar-SA"/>
      </w:rPr>
    </w:lvl>
    <w:lvl w:ilvl="1" w:tplc="0234C6C6">
      <w:numFmt w:val="bullet"/>
      <w:lvlText w:val="•"/>
      <w:lvlJc w:val="left"/>
      <w:pPr>
        <w:ind w:left="607" w:hanging="100"/>
      </w:pPr>
      <w:rPr>
        <w:rFonts w:hint="default"/>
        <w:lang w:val="en-US" w:eastAsia="en-US" w:bidi="ar-SA"/>
      </w:rPr>
    </w:lvl>
    <w:lvl w:ilvl="2" w:tplc="416639D2">
      <w:numFmt w:val="bullet"/>
      <w:lvlText w:val="•"/>
      <w:lvlJc w:val="left"/>
      <w:pPr>
        <w:ind w:left="1015" w:hanging="100"/>
      </w:pPr>
      <w:rPr>
        <w:rFonts w:hint="default"/>
        <w:lang w:val="en-US" w:eastAsia="en-US" w:bidi="ar-SA"/>
      </w:rPr>
    </w:lvl>
    <w:lvl w:ilvl="3" w:tplc="7C1CD086">
      <w:numFmt w:val="bullet"/>
      <w:lvlText w:val="•"/>
      <w:lvlJc w:val="left"/>
      <w:pPr>
        <w:ind w:left="1423" w:hanging="100"/>
      </w:pPr>
      <w:rPr>
        <w:rFonts w:hint="default"/>
        <w:lang w:val="en-US" w:eastAsia="en-US" w:bidi="ar-SA"/>
      </w:rPr>
    </w:lvl>
    <w:lvl w:ilvl="4" w:tplc="1D04AAA6">
      <w:numFmt w:val="bullet"/>
      <w:lvlText w:val="•"/>
      <w:lvlJc w:val="left"/>
      <w:pPr>
        <w:ind w:left="1831" w:hanging="100"/>
      </w:pPr>
      <w:rPr>
        <w:rFonts w:hint="default"/>
        <w:lang w:val="en-US" w:eastAsia="en-US" w:bidi="ar-SA"/>
      </w:rPr>
    </w:lvl>
    <w:lvl w:ilvl="5" w:tplc="1DAA62C0">
      <w:numFmt w:val="bullet"/>
      <w:lvlText w:val="•"/>
      <w:lvlJc w:val="left"/>
      <w:pPr>
        <w:ind w:left="2239" w:hanging="100"/>
      </w:pPr>
      <w:rPr>
        <w:rFonts w:hint="default"/>
        <w:lang w:val="en-US" w:eastAsia="en-US" w:bidi="ar-SA"/>
      </w:rPr>
    </w:lvl>
    <w:lvl w:ilvl="6" w:tplc="C3A62A72">
      <w:numFmt w:val="bullet"/>
      <w:lvlText w:val="•"/>
      <w:lvlJc w:val="left"/>
      <w:pPr>
        <w:ind w:left="2646" w:hanging="100"/>
      </w:pPr>
      <w:rPr>
        <w:rFonts w:hint="default"/>
        <w:lang w:val="en-US" w:eastAsia="en-US" w:bidi="ar-SA"/>
      </w:rPr>
    </w:lvl>
    <w:lvl w:ilvl="7" w:tplc="E0605C82">
      <w:numFmt w:val="bullet"/>
      <w:lvlText w:val="•"/>
      <w:lvlJc w:val="left"/>
      <w:pPr>
        <w:ind w:left="3054" w:hanging="100"/>
      </w:pPr>
      <w:rPr>
        <w:rFonts w:hint="default"/>
        <w:lang w:val="en-US" w:eastAsia="en-US" w:bidi="ar-SA"/>
      </w:rPr>
    </w:lvl>
    <w:lvl w:ilvl="8" w:tplc="5DF60134">
      <w:numFmt w:val="bullet"/>
      <w:lvlText w:val="•"/>
      <w:lvlJc w:val="left"/>
      <w:pPr>
        <w:ind w:left="3462" w:hanging="100"/>
      </w:pPr>
      <w:rPr>
        <w:rFonts w:hint="default"/>
        <w:lang w:val="en-US" w:eastAsia="en-US" w:bidi="ar-SA"/>
      </w:rPr>
    </w:lvl>
  </w:abstractNum>
  <w:abstractNum w:abstractNumId="175" w15:restartNumberingAfterBreak="0">
    <w:nsid w:val="67AD35C2"/>
    <w:multiLevelType w:val="hybridMultilevel"/>
    <w:tmpl w:val="235E2192"/>
    <w:lvl w:ilvl="0" w:tplc="685C316C">
      <w:numFmt w:val="bullet"/>
      <w:lvlText w:val="•"/>
      <w:lvlJc w:val="left"/>
      <w:pPr>
        <w:ind w:left="208" w:hanging="100"/>
      </w:pPr>
      <w:rPr>
        <w:rFonts w:ascii="Tahoma" w:eastAsia="Tahoma" w:hAnsi="Tahoma" w:cs="Tahoma" w:hint="default"/>
        <w:w w:val="109"/>
        <w:lang w:val="en-US" w:eastAsia="en-US" w:bidi="ar-SA"/>
      </w:rPr>
    </w:lvl>
    <w:lvl w:ilvl="1" w:tplc="758AC3F0">
      <w:numFmt w:val="bullet"/>
      <w:lvlText w:val="•"/>
      <w:lvlJc w:val="left"/>
      <w:pPr>
        <w:ind w:left="607" w:hanging="100"/>
      </w:pPr>
      <w:rPr>
        <w:rFonts w:hint="default"/>
        <w:lang w:val="en-US" w:eastAsia="en-US" w:bidi="ar-SA"/>
      </w:rPr>
    </w:lvl>
    <w:lvl w:ilvl="2" w:tplc="5858A776">
      <w:numFmt w:val="bullet"/>
      <w:lvlText w:val="•"/>
      <w:lvlJc w:val="left"/>
      <w:pPr>
        <w:ind w:left="1015" w:hanging="100"/>
      </w:pPr>
      <w:rPr>
        <w:rFonts w:hint="default"/>
        <w:lang w:val="en-US" w:eastAsia="en-US" w:bidi="ar-SA"/>
      </w:rPr>
    </w:lvl>
    <w:lvl w:ilvl="3" w:tplc="F7C62568">
      <w:numFmt w:val="bullet"/>
      <w:lvlText w:val="•"/>
      <w:lvlJc w:val="left"/>
      <w:pPr>
        <w:ind w:left="1423" w:hanging="100"/>
      </w:pPr>
      <w:rPr>
        <w:rFonts w:hint="default"/>
        <w:lang w:val="en-US" w:eastAsia="en-US" w:bidi="ar-SA"/>
      </w:rPr>
    </w:lvl>
    <w:lvl w:ilvl="4" w:tplc="5948B526">
      <w:numFmt w:val="bullet"/>
      <w:lvlText w:val="•"/>
      <w:lvlJc w:val="left"/>
      <w:pPr>
        <w:ind w:left="1831" w:hanging="100"/>
      </w:pPr>
      <w:rPr>
        <w:rFonts w:hint="default"/>
        <w:lang w:val="en-US" w:eastAsia="en-US" w:bidi="ar-SA"/>
      </w:rPr>
    </w:lvl>
    <w:lvl w:ilvl="5" w:tplc="05F24D30">
      <w:numFmt w:val="bullet"/>
      <w:lvlText w:val="•"/>
      <w:lvlJc w:val="left"/>
      <w:pPr>
        <w:ind w:left="2239" w:hanging="100"/>
      </w:pPr>
      <w:rPr>
        <w:rFonts w:hint="default"/>
        <w:lang w:val="en-US" w:eastAsia="en-US" w:bidi="ar-SA"/>
      </w:rPr>
    </w:lvl>
    <w:lvl w:ilvl="6" w:tplc="BB8095F4">
      <w:numFmt w:val="bullet"/>
      <w:lvlText w:val="•"/>
      <w:lvlJc w:val="left"/>
      <w:pPr>
        <w:ind w:left="2646" w:hanging="100"/>
      </w:pPr>
      <w:rPr>
        <w:rFonts w:hint="default"/>
        <w:lang w:val="en-US" w:eastAsia="en-US" w:bidi="ar-SA"/>
      </w:rPr>
    </w:lvl>
    <w:lvl w:ilvl="7" w:tplc="1D2EF304">
      <w:numFmt w:val="bullet"/>
      <w:lvlText w:val="•"/>
      <w:lvlJc w:val="left"/>
      <w:pPr>
        <w:ind w:left="3054" w:hanging="100"/>
      </w:pPr>
      <w:rPr>
        <w:rFonts w:hint="default"/>
        <w:lang w:val="en-US" w:eastAsia="en-US" w:bidi="ar-SA"/>
      </w:rPr>
    </w:lvl>
    <w:lvl w:ilvl="8" w:tplc="6EA2ABCA">
      <w:numFmt w:val="bullet"/>
      <w:lvlText w:val="•"/>
      <w:lvlJc w:val="left"/>
      <w:pPr>
        <w:ind w:left="3462" w:hanging="100"/>
      </w:pPr>
      <w:rPr>
        <w:rFonts w:hint="default"/>
        <w:lang w:val="en-US" w:eastAsia="en-US" w:bidi="ar-SA"/>
      </w:rPr>
    </w:lvl>
  </w:abstractNum>
  <w:abstractNum w:abstractNumId="176" w15:restartNumberingAfterBreak="0">
    <w:nsid w:val="686E1D14"/>
    <w:multiLevelType w:val="hybridMultilevel"/>
    <w:tmpl w:val="81FAB522"/>
    <w:lvl w:ilvl="0" w:tplc="477AA91E">
      <w:numFmt w:val="bullet"/>
      <w:lvlText w:val="•"/>
      <w:lvlJc w:val="left"/>
      <w:pPr>
        <w:ind w:left="470" w:hanging="284"/>
      </w:pPr>
      <w:rPr>
        <w:rFonts w:ascii="Tahoma" w:eastAsia="Tahoma" w:hAnsi="Tahoma" w:cs="Tahoma" w:hint="default"/>
        <w:b w:val="0"/>
        <w:bCs w:val="0"/>
        <w:i w:val="0"/>
        <w:iCs w:val="0"/>
        <w:w w:val="109"/>
        <w:sz w:val="20"/>
        <w:szCs w:val="20"/>
        <w:lang w:val="en-US" w:eastAsia="en-US" w:bidi="ar-SA"/>
      </w:rPr>
    </w:lvl>
    <w:lvl w:ilvl="1" w:tplc="5B08A2D6">
      <w:numFmt w:val="bullet"/>
      <w:lvlText w:val="•"/>
      <w:lvlJc w:val="left"/>
      <w:pPr>
        <w:ind w:left="929" w:hanging="284"/>
      </w:pPr>
      <w:rPr>
        <w:rFonts w:hint="default"/>
        <w:lang w:val="en-US" w:eastAsia="en-US" w:bidi="ar-SA"/>
      </w:rPr>
    </w:lvl>
    <w:lvl w:ilvl="2" w:tplc="58A62926">
      <w:numFmt w:val="bullet"/>
      <w:lvlText w:val="•"/>
      <w:lvlJc w:val="left"/>
      <w:pPr>
        <w:ind w:left="1378" w:hanging="284"/>
      </w:pPr>
      <w:rPr>
        <w:rFonts w:hint="default"/>
        <w:lang w:val="en-US" w:eastAsia="en-US" w:bidi="ar-SA"/>
      </w:rPr>
    </w:lvl>
    <w:lvl w:ilvl="3" w:tplc="2572C91A">
      <w:numFmt w:val="bullet"/>
      <w:lvlText w:val="•"/>
      <w:lvlJc w:val="left"/>
      <w:pPr>
        <w:ind w:left="1828" w:hanging="284"/>
      </w:pPr>
      <w:rPr>
        <w:rFonts w:hint="default"/>
        <w:lang w:val="en-US" w:eastAsia="en-US" w:bidi="ar-SA"/>
      </w:rPr>
    </w:lvl>
    <w:lvl w:ilvl="4" w:tplc="8A02F460">
      <w:numFmt w:val="bullet"/>
      <w:lvlText w:val="•"/>
      <w:lvlJc w:val="left"/>
      <w:pPr>
        <w:ind w:left="2277" w:hanging="284"/>
      </w:pPr>
      <w:rPr>
        <w:rFonts w:hint="default"/>
        <w:lang w:val="en-US" w:eastAsia="en-US" w:bidi="ar-SA"/>
      </w:rPr>
    </w:lvl>
    <w:lvl w:ilvl="5" w:tplc="92540EE4">
      <w:numFmt w:val="bullet"/>
      <w:lvlText w:val="•"/>
      <w:lvlJc w:val="left"/>
      <w:pPr>
        <w:ind w:left="2726" w:hanging="284"/>
      </w:pPr>
      <w:rPr>
        <w:rFonts w:hint="default"/>
        <w:lang w:val="en-US" w:eastAsia="en-US" w:bidi="ar-SA"/>
      </w:rPr>
    </w:lvl>
    <w:lvl w:ilvl="6" w:tplc="7E7A8588">
      <w:numFmt w:val="bullet"/>
      <w:lvlText w:val="•"/>
      <w:lvlJc w:val="left"/>
      <w:pPr>
        <w:ind w:left="3176" w:hanging="284"/>
      </w:pPr>
      <w:rPr>
        <w:rFonts w:hint="default"/>
        <w:lang w:val="en-US" w:eastAsia="en-US" w:bidi="ar-SA"/>
      </w:rPr>
    </w:lvl>
    <w:lvl w:ilvl="7" w:tplc="45762238">
      <w:numFmt w:val="bullet"/>
      <w:lvlText w:val="•"/>
      <w:lvlJc w:val="left"/>
      <w:pPr>
        <w:ind w:left="3625" w:hanging="284"/>
      </w:pPr>
      <w:rPr>
        <w:rFonts w:hint="default"/>
        <w:lang w:val="en-US" w:eastAsia="en-US" w:bidi="ar-SA"/>
      </w:rPr>
    </w:lvl>
    <w:lvl w:ilvl="8" w:tplc="35AA0C58">
      <w:numFmt w:val="bullet"/>
      <w:lvlText w:val="•"/>
      <w:lvlJc w:val="left"/>
      <w:pPr>
        <w:ind w:left="4074" w:hanging="284"/>
      </w:pPr>
      <w:rPr>
        <w:rFonts w:hint="default"/>
        <w:lang w:val="en-US" w:eastAsia="en-US" w:bidi="ar-SA"/>
      </w:rPr>
    </w:lvl>
  </w:abstractNum>
  <w:abstractNum w:abstractNumId="177" w15:restartNumberingAfterBreak="0">
    <w:nsid w:val="68985A41"/>
    <w:multiLevelType w:val="hybridMultilevel"/>
    <w:tmpl w:val="8F76409A"/>
    <w:lvl w:ilvl="0" w:tplc="B244504E">
      <w:numFmt w:val="bullet"/>
      <w:lvlText w:val="•"/>
      <w:lvlJc w:val="left"/>
      <w:pPr>
        <w:ind w:left="478" w:hanging="284"/>
      </w:pPr>
      <w:rPr>
        <w:rFonts w:ascii="Tahoma" w:eastAsia="Tahoma" w:hAnsi="Tahoma" w:cs="Tahoma" w:hint="default"/>
        <w:b w:val="0"/>
        <w:bCs w:val="0"/>
        <w:i w:val="0"/>
        <w:iCs w:val="0"/>
        <w:w w:val="109"/>
        <w:sz w:val="20"/>
        <w:szCs w:val="20"/>
        <w:lang w:val="en-US" w:eastAsia="en-US" w:bidi="ar-SA"/>
      </w:rPr>
    </w:lvl>
    <w:lvl w:ilvl="1" w:tplc="57221D0E">
      <w:numFmt w:val="bullet"/>
      <w:lvlText w:val="•"/>
      <w:lvlJc w:val="left"/>
      <w:pPr>
        <w:ind w:left="567" w:hanging="284"/>
      </w:pPr>
      <w:rPr>
        <w:rFonts w:ascii="Tahoma" w:eastAsia="Tahoma" w:hAnsi="Tahoma" w:cs="Tahoma" w:hint="default"/>
        <w:b w:val="0"/>
        <w:bCs w:val="0"/>
        <w:i w:val="0"/>
        <w:iCs w:val="0"/>
        <w:w w:val="108"/>
        <w:sz w:val="20"/>
        <w:szCs w:val="20"/>
        <w:lang w:val="en-US" w:eastAsia="en-US" w:bidi="ar-SA"/>
      </w:rPr>
    </w:lvl>
    <w:lvl w:ilvl="2" w:tplc="295ABB4E">
      <w:numFmt w:val="bullet"/>
      <w:lvlText w:val="•"/>
      <w:lvlJc w:val="left"/>
      <w:pPr>
        <w:ind w:left="740" w:hanging="284"/>
      </w:pPr>
      <w:rPr>
        <w:rFonts w:ascii="Tahoma" w:eastAsia="Tahoma" w:hAnsi="Tahoma" w:cs="Tahoma" w:hint="default"/>
        <w:b w:val="0"/>
        <w:bCs w:val="0"/>
        <w:i w:val="0"/>
        <w:iCs w:val="0"/>
        <w:w w:val="109"/>
        <w:sz w:val="20"/>
        <w:szCs w:val="20"/>
        <w:lang w:val="en-US" w:eastAsia="en-US" w:bidi="ar-SA"/>
      </w:rPr>
    </w:lvl>
    <w:lvl w:ilvl="3" w:tplc="44921EB2">
      <w:start w:val="1"/>
      <w:numFmt w:val="decimal"/>
      <w:lvlText w:val="%4"/>
      <w:lvlJc w:val="left"/>
      <w:pPr>
        <w:ind w:left="10744" w:hanging="199"/>
        <w:jc w:val="right"/>
      </w:pPr>
      <w:rPr>
        <w:rFonts w:ascii="Arial" w:eastAsia="Arial" w:hAnsi="Arial" w:cs="Arial" w:hint="default"/>
        <w:b w:val="0"/>
        <w:bCs w:val="0"/>
        <w:i w:val="0"/>
        <w:iCs w:val="0"/>
        <w:w w:val="99"/>
        <w:sz w:val="14"/>
        <w:szCs w:val="14"/>
        <w:lang w:val="en-US" w:eastAsia="en-US" w:bidi="ar-SA"/>
      </w:rPr>
    </w:lvl>
    <w:lvl w:ilvl="4" w:tplc="D8189CFA">
      <w:numFmt w:val="bullet"/>
      <w:lvlText w:val="•"/>
      <w:lvlJc w:val="left"/>
      <w:pPr>
        <w:ind w:left="9200" w:hanging="199"/>
      </w:pPr>
      <w:rPr>
        <w:rFonts w:hint="default"/>
        <w:lang w:val="en-US" w:eastAsia="en-US" w:bidi="ar-SA"/>
      </w:rPr>
    </w:lvl>
    <w:lvl w:ilvl="5" w:tplc="94226924">
      <w:numFmt w:val="bullet"/>
      <w:lvlText w:val="•"/>
      <w:lvlJc w:val="left"/>
      <w:pPr>
        <w:ind w:left="7660" w:hanging="199"/>
      </w:pPr>
      <w:rPr>
        <w:rFonts w:hint="default"/>
        <w:lang w:val="en-US" w:eastAsia="en-US" w:bidi="ar-SA"/>
      </w:rPr>
    </w:lvl>
    <w:lvl w:ilvl="6" w:tplc="274E2674">
      <w:numFmt w:val="bullet"/>
      <w:lvlText w:val="•"/>
      <w:lvlJc w:val="left"/>
      <w:pPr>
        <w:ind w:left="6120" w:hanging="199"/>
      </w:pPr>
      <w:rPr>
        <w:rFonts w:hint="default"/>
        <w:lang w:val="en-US" w:eastAsia="en-US" w:bidi="ar-SA"/>
      </w:rPr>
    </w:lvl>
    <w:lvl w:ilvl="7" w:tplc="9FEC915C">
      <w:numFmt w:val="bullet"/>
      <w:lvlText w:val="•"/>
      <w:lvlJc w:val="left"/>
      <w:pPr>
        <w:ind w:left="4580" w:hanging="199"/>
      </w:pPr>
      <w:rPr>
        <w:rFonts w:hint="default"/>
        <w:lang w:val="en-US" w:eastAsia="en-US" w:bidi="ar-SA"/>
      </w:rPr>
    </w:lvl>
    <w:lvl w:ilvl="8" w:tplc="E7D09752">
      <w:numFmt w:val="bullet"/>
      <w:lvlText w:val="•"/>
      <w:lvlJc w:val="left"/>
      <w:pPr>
        <w:ind w:left="3040" w:hanging="199"/>
      </w:pPr>
      <w:rPr>
        <w:rFonts w:hint="default"/>
        <w:lang w:val="en-US" w:eastAsia="en-US" w:bidi="ar-SA"/>
      </w:rPr>
    </w:lvl>
  </w:abstractNum>
  <w:abstractNum w:abstractNumId="178" w15:restartNumberingAfterBreak="0">
    <w:nsid w:val="68CC1978"/>
    <w:multiLevelType w:val="hybridMultilevel"/>
    <w:tmpl w:val="9670E1BA"/>
    <w:lvl w:ilvl="0" w:tplc="1F28C6DC">
      <w:numFmt w:val="bullet"/>
      <w:lvlText w:val="•"/>
      <w:lvlJc w:val="left"/>
      <w:pPr>
        <w:ind w:left="396" w:hanging="284"/>
      </w:pPr>
      <w:rPr>
        <w:rFonts w:ascii="Tahoma" w:eastAsia="Tahoma" w:hAnsi="Tahoma" w:cs="Tahoma" w:hint="default"/>
        <w:b w:val="0"/>
        <w:bCs w:val="0"/>
        <w:i w:val="0"/>
        <w:iCs w:val="0"/>
        <w:w w:val="109"/>
        <w:sz w:val="20"/>
        <w:szCs w:val="20"/>
        <w:lang w:val="en-US" w:eastAsia="en-US" w:bidi="ar-SA"/>
      </w:rPr>
    </w:lvl>
    <w:lvl w:ilvl="1" w:tplc="65D2B666">
      <w:numFmt w:val="bullet"/>
      <w:lvlText w:val="•"/>
      <w:lvlJc w:val="left"/>
      <w:pPr>
        <w:ind w:left="840" w:hanging="284"/>
      </w:pPr>
      <w:rPr>
        <w:rFonts w:hint="default"/>
        <w:lang w:val="en-US" w:eastAsia="en-US" w:bidi="ar-SA"/>
      </w:rPr>
    </w:lvl>
    <w:lvl w:ilvl="2" w:tplc="EC12255A">
      <w:numFmt w:val="bullet"/>
      <w:lvlText w:val="•"/>
      <w:lvlJc w:val="left"/>
      <w:pPr>
        <w:ind w:left="1280" w:hanging="284"/>
      </w:pPr>
      <w:rPr>
        <w:rFonts w:hint="default"/>
        <w:lang w:val="en-US" w:eastAsia="en-US" w:bidi="ar-SA"/>
      </w:rPr>
    </w:lvl>
    <w:lvl w:ilvl="3" w:tplc="3BDE00AC">
      <w:numFmt w:val="bullet"/>
      <w:lvlText w:val="•"/>
      <w:lvlJc w:val="left"/>
      <w:pPr>
        <w:ind w:left="1720" w:hanging="284"/>
      </w:pPr>
      <w:rPr>
        <w:rFonts w:hint="default"/>
        <w:lang w:val="en-US" w:eastAsia="en-US" w:bidi="ar-SA"/>
      </w:rPr>
    </w:lvl>
    <w:lvl w:ilvl="4" w:tplc="3A6459B2">
      <w:numFmt w:val="bullet"/>
      <w:lvlText w:val="•"/>
      <w:lvlJc w:val="left"/>
      <w:pPr>
        <w:ind w:left="2160" w:hanging="284"/>
      </w:pPr>
      <w:rPr>
        <w:rFonts w:hint="default"/>
        <w:lang w:val="en-US" w:eastAsia="en-US" w:bidi="ar-SA"/>
      </w:rPr>
    </w:lvl>
    <w:lvl w:ilvl="5" w:tplc="873439DA">
      <w:numFmt w:val="bullet"/>
      <w:lvlText w:val="•"/>
      <w:lvlJc w:val="left"/>
      <w:pPr>
        <w:ind w:left="2600" w:hanging="284"/>
      </w:pPr>
      <w:rPr>
        <w:rFonts w:hint="default"/>
        <w:lang w:val="en-US" w:eastAsia="en-US" w:bidi="ar-SA"/>
      </w:rPr>
    </w:lvl>
    <w:lvl w:ilvl="6" w:tplc="C8FC151C">
      <w:numFmt w:val="bullet"/>
      <w:lvlText w:val="•"/>
      <w:lvlJc w:val="left"/>
      <w:pPr>
        <w:ind w:left="3040" w:hanging="284"/>
      </w:pPr>
      <w:rPr>
        <w:rFonts w:hint="default"/>
        <w:lang w:val="en-US" w:eastAsia="en-US" w:bidi="ar-SA"/>
      </w:rPr>
    </w:lvl>
    <w:lvl w:ilvl="7" w:tplc="303CD3F6">
      <w:numFmt w:val="bullet"/>
      <w:lvlText w:val="•"/>
      <w:lvlJc w:val="left"/>
      <w:pPr>
        <w:ind w:left="3480" w:hanging="284"/>
      </w:pPr>
      <w:rPr>
        <w:rFonts w:hint="default"/>
        <w:lang w:val="en-US" w:eastAsia="en-US" w:bidi="ar-SA"/>
      </w:rPr>
    </w:lvl>
    <w:lvl w:ilvl="8" w:tplc="2D00CF66">
      <w:numFmt w:val="bullet"/>
      <w:lvlText w:val="•"/>
      <w:lvlJc w:val="left"/>
      <w:pPr>
        <w:ind w:left="3920" w:hanging="284"/>
      </w:pPr>
      <w:rPr>
        <w:rFonts w:hint="default"/>
        <w:lang w:val="en-US" w:eastAsia="en-US" w:bidi="ar-SA"/>
      </w:rPr>
    </w:lvl>
  </w:abstractNum>
  <w:abstractNum w:abstractNumId="179" w15:restartNumberingAfterBreak="0">
    <w:nsid w:val="6A656185"/>
    <w:multiLevelType w:val="hybridMultilevel"/>
    <w:tmpl w:val="DC462716"/>
    <w:lvl w:ilvl="0" w:tplc="F65CD7E0">
      <w:start w:val="1"/>
      <w:numFmt w:val="decimal"/>
      <w:lvlText w:val="%1"/>
      <w:lvlJc w:val="left"/>
      <w:pPr>
        <w:ind w:left="579" w:hanging="199"/>
        <w:jc w:val="right"/>
      </w:pPr>
      <w:rPr>
        <w:rFonts w:ascii="Arial" w:eastAsia="Arial" w:hAnsi="Arial" w:cs="Arial" w:hint="default"/>
        <w:b w:val="0"/>
        <w:bCs w:val="0"/>
        <w:i w:val="0"/>
        <w:iCs w:val="0"/>
        <w:w w:val="99"/>
        <w:sz w:val="14"/>
        <w:szCs w:val="14"/>
        <w:lang w:val="en-US" w:eastAsia="en-US" w:bidi="ar-SA"/>
      </w:rPr>
    </w:lvl>
    <w:lvl w:ilvl="1" w:tplc="2D62512C">
      <w:numFmt w:val="bullet"/>
      <w:lvlText w:val="•"/>
      <w:lvlJc w:val="left"/>
      <w:pPr>
        <w:ind w:left="1111" w:hanging="199"/>
      </w:pPr>
      <w:rPr>
        <w:rFonts w:hint="default"/>
        <w:lang w:val="en-US" w:eastAsia="en-US" w:bidi="ar-SA"/>
      </w:rPr>
    </w:lvl>
    <w:lvl w:ilvl="2" w:tplc="56489E00">
      <w:numFmt w:val="bullet"/>
      <w:lvlText w:val="•"/>
      <w:lvlJc w:val="left"/>
      <w:pPr>
        <w:ind w:left="1642" w:hanging="199"/>
      </w:pPr>
      <w:rPr>
        <w:rFonts w:hint="default"/>
        <w:lang w:val="en-US" w:eastAsia="en-US" w:bidi="ar-SA"/>
      </w:rPr>
    </w:lvl>
    <w:lvl w:ilvl="3" w:tplc="07129116">
      <w:numFmt w:val="bullet"/>
      <w:lvlText w:val="•"/>
      <w:lvlJc w:val="left"/>
      <w:pPr>
        <w:ind w:left="2174" w:hanging="199"/>
      </w:pPr>
      <w:rPr>
        <w:rFonts w:hint="default"/>
        <w:lang w:val="en-US" w:eastAsia="en-US" w:bidi="ar-SA"/>
      </w:rPr>
    </w:lvl>
    <w:lvl w:ilvl="4" w:tplc="A1FA639E">
      <w:numFmt w:val="bullet"/>
      <w:lvlText w:val="•"/>
      <w:lvlJc w:val="left"/>
      <w:pPr>
        <w:ind w:left="2705" w:hanging="199"/>
      </w:pPr>
      <w:rPr>
        <w:rFonts w:hint="default"/>
        <w:lang w:val="en-US" w:eastAsia="en-US" w:bidi="ar-SA"/>
      </w:rPr>
    </w:lvl>
    <w:lvl w:ilvl="5" w:tplc="34EE0604">
      <w:numFmt w:val="bullet"/>
      <w:lvlText w:val="•"/>
      <w:lvlJc w:val="left"/>
      <w:pPr>
        <w:ind w:left="3236" w:hanging="199"/>
      </w:pPr>
      <w:rPr>
        <w:rFonts w:hint="default"/>
        <w:lang w:val="en-US" w:eastAsia="en-US" w:bidi="ar-SA"/>
      </w:rPr>
    </w:lvl>
    <w:lvl w:ilvl="6" w:tplc="06BCB81A">
      <w:numFmt w:val="bullet"/>
      <w:lvlText w:val="•"/>
      <w:lvlJc w:val="left"/>
      <w:pPr>
        <w:ind w:left="3768" w:hanging="199"/>
      </w:pPr>
      <w:rPr>
        <w:rFonts w:hint="default"/>
        <w:lang w:val="en-US" w:eastAsia="en-US" w:bidi="ar-SA"/>
      </w:rPr>
    </w:lvl>
    <w:lvl w:ilvl="7" w:tplc="30EEA228">
      <w:numFmt w:val="bullet"/>
      <w:lvlText w:val="•"/>
      <w:lvlJc w:val="left"/>
      <w:pPr>
        <w:ind w:left="4299" w:hanging="199"/>
      </w:pPr>
      <w:rPr>
        <w:rFonts w:hint="default"/>
        <w:lang w:val="en-US" w:eastAsia="en-US" w:bidi="ar-SA"/>
      </w:rPr>
    </w:lvl>
    <w:lvl w:ilvl="8" w:tplc="49E8AE20">
      <w:numFmt w:val="bullet"/>
      <w:lvlText w:val="•"/>
      <w:lvlJc w:val="left"/>
      <w:pPr>
        <w:ind w:left="4830" w:hanging="199"/>
      </w:pPr>
      <w:rPr>
        <w:rFonts w:hint="default"/>
        <w:lang w:val="en-US" w:eastAsia="en-US" w:bidi="ar-SA"/>
      </w:rPr>
    </w:lvl>
  </w:abstractNum>
  <w:abstractNum w:abstractNumId="180" w15:restartNumberingAfterBreak="0">
    <w:nsid w:val="6B085797"/>
    <w:multiLevelType w:val="hybridMultilevel"/>
    <w:tmpl w:val="20B63098"/>
    <w:lvl w:ilvl="0" w:tplc="7C007C8A">
      <w:numFmt w:val="bullet"/>
      <w:lvlText w:val="•"/>
      <w:lvlJc w:val="left"/>
      <w:pPr>
        <w:ind w:left="472" w:hanging="284"/>
      </w:pPr>
      <w:rPr>
        <w:rFonts w:ascii="Tahoma" w:eastAsia="Tahoma" w:hAnsi="Tahoma" w:cs="Tahoma" w:hint="default"/>
        <w:b w:val="0"/>
        <w:bCs w:val="0"/>
        <w:i w:val="0"/>
        <w:iCs w:val="0"/>
        <w:w w:val="109"/>
        <w:sz w:val="20"/>
        <w:szCs w:val="20"/>
        <w:lang w:val="en-US" w:eastAsia="en-US" w:bidi="ar-SA"/>
      </w:rPr>
    </w:lvl>
    <w:lvl w:ilvl="1" w:tplc="48B0FBA4">
      <w:numFmt w:val="bullet"/>
      <w:lvlText w:val="•"/>
      <w:lvlJc w:val="left"/>
      <w:pPr>
        <w:ind w:left="1002" w:hanging="284"/>
      </w:pPr>
      <w:rPr>
        <w:rFonts w:hint="default"/>
        <w:lang w:val="en-US" w:eastAsia="en-US" w:bidi="ar-SA"/>
      </w:rPr>
    </w:lvl>
    <w:lvl w:ilvl="2" w:tplc="593023A0">
      <w:numFmt w:val="bullet"/>
      <w:lvlText w:val="•"/>
      <w:lvlJc w:val="left"/>
      <w:pPr>
        <w:ind w:left="1524" w:hanging="284"/>
      </w:pPr>
      <w:rPr>
        <w:rFonts w:hint="default"/>
        <w:lang w:val="en-US" w:eastAsia="en-US" w:bidi="ar-SA"/>
      </w:rPr>
    </w:lvl>
    <w:lvl w:ilvl="3" w:tplc="1344568C">
      <w:numFmt w:val="bullet"/>
      <w:lvlText w:val="•"/>
      <w:lvlJc w:val="left"/>
      <w:pPr>
        <w:ind w:left="2046" w:hanging="284"/>
      </w:pPr>
      <w:rPr>
        <w:rFonts w:hint="default"/>
        <w:lang w:val="en-US" w:eastAsia="en-US" w:bidi="ar-SA"/>
      </w:rPr>
    </w:lvl>
    <w:lvl w:ilvl="4" w:tplc="9D6A68E2">
      <w:numFmt w:val="bullet"/>
      <w:lvlText w:val="•"/>
      <w:lvlJc w:val="left"/>
      <w:pPr>
        <w:ind w:left="2568" w:hanging="284"/>
      </w:pPr>
      <w:rPr>
        <w:rFonts w:hint="default"/>
        <w:lang w:val="en-US" w:eastAsia="en-US" w:bidi="ar-SA"/>
      </w:rPr>
    </w:lvl>
    <w:lvl w:ilvl="5" w:tplc="0B7C070E">
      <w:numFmt w:val="bullet"/>
      <w:lvlText w:val="•"/>
      <w:lvlJc w:val="left"/>
      <w:pPr>
        <w:ind w:left="3090" w:hanging="284"/>
      </w:pPr>
      <w:rPr>
        <w:rFonts w:hint="default"/>
        <w:lang w:val="en-US" w:eastAsia="en-US" w:bidi="ar-SA"/>
      </w:rPr>
    </w:lvl>
    <w:lvl w:ilvl="6" w:tplc="0B9840BE">
      <w:numFmt w:val="bullet"/>
      <w:lvlText w:val="•"/>
      <w:lvlJc w:val="left"/>
      <w:pPr>
        <w:ind w:left="3612" w:hanging="284"/>
      </w:pPr>
      <w:rPr>
        <w:rFonts w:hint="default"/>
        <w:lang w:val="en-US" w:eastAsia="en-US" w:bidi="ar-SA"/>
      </w:rPr>
    </w:lvl>
    <w:lvl w:ilvl="7" w:tplc="28FCD1C0">
      <w:numFmt w:val="bullet"/>
      <w:lvlText w:val="•"/>
      <w:lvlJc w:val="left"/>
      <w:pPr>
        <w:ind w:left="4134" w:hanging="284"/>
      </w:pPr>
      <w:rPr>
        <w:rFonts w:hint="default"/>
        <w:lang w:val="en-US" w:eastAsia="en-US" w:bidi="ar-SA"/>
      </w:rPr>
    </w:lvl>
    <w:lvl w:ilvl="8" w:tplc="6C625D14">
      <w:numFmt w:val="bullet"/>
      <w:lvlText w:val="•"/>
      <w:lvlJc w:val="left"/>
      <w:pPr>
        <w:ind w:left="4656" w:hanging="284"/>
      </w:pPr>
      <w:rPr>
        <w:rFonts w:hint="default"/>
        <w:lang w:val="en-US" w:eastAsia="en-US" w:bidi="ar-SA"/>
      </w:rPr>
    </w:lvl>
  </w:abstractNum>
  <w:abstractNum w:abstractNumId="181" w15:restartNumberingAfterBreak="0">
    <w:nsid w:val="6C7C1CF4"/>
    <w:multiLevelType w:val="hybridMultilevel"/>
    <w:tmpl w:val="D5F4ABD8"/>
    <w:lvl w:ilvl="0" w:tplc="F8C8AC88">
      <w:numFmt w:val="bullet"/>
      <w:lvlText w:val="•"/>
      <w:lvlJc w:val="left"/>
      <w:pPr>
        <w:ind w:left="496" w:hanging="284"/>
      </w:pPr>
      <w:rPr>
        <w:rFonts w:ascii="Tahoma" w:eastAsia="Tahoma" w:hAnsi="Tahoma" w:cs="Tahoma" w:hint="default"/>
        <w:b w:val="0"/>
        <w:bCs w:val="0"/>
        <w:i w:val="0"/>
        <w:iCs w:val="0"/>
        <w:w w:val="109"/>
        <w:sz w:val="20"/>
        <w:szCs w:val="20"/>
        <w:lang w:val="en-US" w:eastAsia="en-US" w:bidi="ar-SA"/>
      </w:rPr>
    </w:lvl>
    <w:lvl w:ilvl="1" w:tplc="4B94C452">
      <w:numFmt w:val="bullet"/>
      <w:lvlText w:val="•"/>
      <w:lvlJc w:val="left"/>
      <w:pPr>
        <w:ind w:left="1022" w:hanging="284"/>
      </w:pPr>
      <w:rPr>
        <w:rFonts w:hint="default"/>
        <w:lang w:val="en-US" w:eastAsia="en-US" w:bidi="ar-SA"/>
      </w:rPr>
    </w:lvl>
    <w:lvl w:ilvl="2" w:tplc="F84E7080">
      <w:numFmt w:val="bullet"/>
      <w:lvlText w:val="•"/>
      <w:lvlJc w:val="left"/>
      <w:pPr>
        <w:ind w:left="1545" w:hanging="284"/>
      </w:pPr>
      <w:rPr>
        <w:rFonts w:hint="default"/>
        <w:lang w:val="en-US" w:eastAsia="en-US" w:bidi="ar-SA"/>
      </w:rPr>
    </w:lvl>
    <w:lvl w:ilvl="3" w:tplc="4E98854E">
      <w:numFmt w:val="bullet"/>
      <w:lvlText w:val="•"/>
      <w:lvlJc w:val="left"/>
      <w:pPr>
        <w:ind w:left="2067" w:hanging="284"/>
      </w:pPr>
      <w:rPr>
        <w:rFonts w:hint="default"/>
        <w:lang w:val="en-US" w:eastAsia="en-US" w:bidi="ar-SA"/>
      </w:rPr>
    </w:lvl>
    <w:lvl w:ilvl="4" w:tplc="A4C46B4E">
      <w:numFmt w:val="bullet"/>
      <w:lvlText w:val="•"/>
      <w:lvlJc w:val="left"/>
      <w:pPr>
        <w:ind w:left="2589" w:hanging="284"/>
      </w:pPr>
      <w:rPr>
        <w:rFonts w:hint="default"/>
        <w:lang w:val="en-US" w:eastAsia="en-US" w:bidi="ar-SA"/>
      </w:rPr>
    </w:lvl>
    <w:lvl w:ilvl="5" w:tplc="2924A956">
      <w:numFmt w:val="bullet"/>
      <w:lvlText w:val="•"/>
      <w:lvlJc w:val="left"/>
      <w:pPr>
        <w:ind w:left="3112" w:hanging="284"/>
      </w:pPr>
      <w:rPr>
        <w:rFonts w:hint="default"/>
        <w:lang w:val="en-US" w:eastAsia="en-US" w:bidi="ar-SA"/>
      </w:rPr>
    </w:lvl>
    <w:lvl w:ilvl="6" w:tplc="CDB8AE06">
      <w:numFmt w:val="bullet"/>
      <w:lvlText w:val="•"/>
      <w:lvlJc w:val="left"/>
      <w:pPr>
        <w:ind w:left="3634" w:hanging="284"/>
      </w:pPr>
      <w:rPr>
        <w:rFonts w:hint="default"/>
        <w:lang w:val="en-US" w:eastAsia="en-US" w:bidi="ar-SA"/>
      </w:rPr>
    </w:lvl>
    <w:lvl w:ilvl="7" w:tplc="B77A3632">
      <w:numFmt w:val="bullet"/>
      <w:lvlText w:val="•"/>
      <w:lvlJc w:val="left"/>
      <w:pPr>
        <w:ind w:left="4157" w:hanging="284"/>
      </w:pPr>
      <w:rPr>
        <w:rFonts w:hint="default"/>
        <w:lang w:val="en-US" w:eastAsia="en-US" w:bidi="ar-SA"/>
      </w:rPr>
    </w:lvl>
    <w:lvl w:ilvl="8" w:tplc="732013FE">
      <w:numFmt w:val="bullet"/>
      <w:lvlText w:val="•"/>
      <w:lvlJc w:val="left"/>
      <w:pPr>
        <w:ind w:left="4679" w:hanging="284"/>
      </w:pPr>
      <w:rPr>
        <w:rFonts w:hint="default"/>
        <w:lang w:val="en-US" w:eastAsia="en-US" w:bidi="ar-SA"/>
      </w:rPr>
    </w:lvl>
  </w:abstractNum>
  <w:abstractNum w:abstractNumId="182" w15:restartNumberingAfterBreak="0">
    <w:nsid w:val="6CD45C77"/>
    <w:multiLevelType w:val="hybridMultilevel"/>
    <w:tmpl w:val="2C4A5C3E"/>
    <w:lvl w:ilvl="0" w:tplc="13D4F766">
      <w:start w:val="1"/>
      <w:numFmt w:val="decimal"/>
      <w:lvlText w:val="%1"/>
      <w:lvlJc w:val="left"/>
      <w:pPr>
        <w:ind w:left="280" w:hanging="214"/>
        <w:jc w:val="left"/>
      </w:pPr>
      <w:rPr>
        <w:rFonts w:ascii="Arial" w:eastAsia="Arial" w:hAnsi="Arial" w:cs="Arial" w:hint="default"/>
        <w:b/>
        <w:bCs/>
        <w:i w:val="0"/>
        <w:iCs w:val="0"/>
        <w:w w:val="99"/>
        <w:position w:val="1"/>
        <w:sz w:val="13"/>
        <w:szCs w:val="13"/>
        <w:lang w:val="en-US" w:eastAsia="en-US" w:bidi="ar-SA"/>
      </w:rPr>
    </w:lvl>
    <w:lvl w:ilvl="1" w:tplc="A0EADF2A">
      <w:numFmt w:val="bullet"/>
      <w:lvlText w:val="•"/>
      <w:lvlJc w:val="left"/>
      <w:pPr>
        <w:ind w:left="371" w:hanging="214"/>
      </w:pPr>
      <w:rPr>
        <w:rFonts w:hint="default"/>
        <w:lang w:val="en-US" w:eastAsia="en-US" w:bidi="ar-SA"/>
      </w:rPr>
    </w:lvl>
    <w:lvl w:ilvl="2" w:tplc="C9182F9E">
      <w:numFmt w:val="bullet"/>
      <w:lvlText w:val="•"/>
      <w:lvlJc w:val="left"/>
      <w:pPr>
        <w:ind w:left="462" w:hanging="214"/>
      </w:pPr>
      <w:rPr>
        <w:rFonts w:hint="default"/>
        <w:lang w:val="en-US" w:eastAsia="en-US" w:bidi="ar-SA"/>
      </w:rPr>
    </w:lvl>
    <w:lvl w:ilvl="3" w:tplc="12A0E346">
      <w:numFmt w:val="bullet"/>
      <w:lvlText w:val="•"/>
      <w:lvlJc w:val="left"/>
      <w:pPr>
        <w:ind w:left="553" w:hanging="214"/>
      </w:pPr>
      <w:rPr>
        <w:rFonts w:hint="default"/>
        <w:lang w:val="en-US" w:eastAsia="en-US" w:bidi="ar-SA"/>
      </w:rPr>
    </w:lvl>
    <w:lvl w:ilvl="4" w:tplc="AF584576">
      <w:numFmt w:val="bullet"/>
      <w:lvlText w:val="•"/>
      <w:lvlJc w:val="left"/>
      <w:pPr>
        <w:ind w:left="645" w:hanging="214"/>
      </w:pPr>
      <w:rPr>
        <w:rFonts w:hint="default"/>
        <w:lang w:val="en-US" w:eastAsia="en-US" w:bidi="ar-SA"/>
      </w:rPr>
    </w:lvl>
    <w:lvl w:ilvl="5" w:tplc="10BEB6FE">
      <w:numFmt w:val="bullet"/>
      <w:lvlText w:val="•"/>
      <w:lvlJc w:val="left"/>
      <w:pPr>
        <w:ind w:left="736" w:hanging="214"/>
      </w:pPr>
      <w:rPr>
        <w:rFonts w:hint="default"/>
        <w:lang w:val="en-US" w:eastAsia="en-US" w:bidi="ar-SA"/>
      </w:rPr>
    </w:lvl>
    <w:lvl w:ilvl="6" w:tplc="D7103896">
      <w:numFmt w:val="bullet"/>
      <w:lvlText w:val="•"/>
      <w:lvlJc w:val="left"/>
      <w:pPr>
        <w:ind w:left="827" w:hanging="214"/>
      </w:pPr>
      <w:rPr>
        <w:rFonts w:hint="default"/>
        <w:lang w:val="en-US" w:eastAsia="en-US" w:bidi="ar-SA"/>
      </w:rPr>
    </w:lvl>
    <w:lvl w:ilvl="7" w:tplc="52340F0A">
      <w:numFmt w:val="bullet"/>
      <w:lvlText w:val="•"/>
      <w:lvlJc w:val="left"/>
      <w:pPr>
        <w:ind w:left="918" w:hanging="214"/>
      </w:pPr>
      <w:rPr>
        <w:rFonts w:hint="default"/>
        <w:lang w:val="en-US" w:eastAsia="en-US" w:bidi="ar-SA"/>
      </w:rPr>
    </w:lvl>
    <w:lvl w:ilvl="8" w:tplc="3C3C4366">
      <w:numFmt w:val="bullet"/>
      <w:lvlText w:val="•"/>
      <w:lvlJc w:val="left"/>
      <w:pPr>
        <w:ind w:left="1010" w:hanging="214"/>
      </w:pPr>
      <w:rPr>
        <w:rFonts w:hint="default"/>
        <w:lang w:val="en-US" w:eastAsia="en-US" w:bidi="ar-SA"/>
      </w:rPr>
    </w:lvl>
  </w:abstractNum>
  <w:abstractNum w:abstractNumId="183" w15:restartNumberingAfterBreak="0">
    <w:nsid w:val="6D7C0D49"/>
    <w:multiLevelType w:val="hybridMultilevel"/>
    <w:tmpl w:val="DC006728"/>
    <w:lvl w:ilvl="0" w:tplc="F816F44E">
      <w:start w:val="7"/>
      <w:numFmt w:val="decimal"/>
      <w:lvlText w:val="%1"/>
      <w:lvlJc w:val="left"/>
      <w:pPr>
        <w:ind w:left="243" w:hanging="209"/>
        <w:jc w:val="left"/>
      </w:pPr>
      <w:rPr>
        <w:rFonts w:ascii="Arial" w:eastAsia="Arial" w:hAnsi="Arial" w:cs="Arial" w:hint="default"/>
        <w:b/>
        <w:bCs/>
        <w:i w:val="0"/>
        <w:iCs w:val="0"/>
        <w:w w:val="99"/>
        <w:sz w:val="14"/>
        <w:szCs w:val="14"/>
        <w:lang w:val="en-US" w:eastAsia="en-US" w:bidi="ar-SA"/>
      </w:rPr>
    </w:lvl>
    <w:lvl w:ilvl="1" w:tplc="F31C1438">
      <w:numFmt w:val="bullet"/>
      <w:lvlText w:val="•"/>
      <w:lvlJc w:val="left"/>
      <w:pPr>
        <w:ind w:left="322" w:hanging="209"/>
      </w:pPr>
      <w:rPr>
        <w:rFonts w:hint="default"/>
        <w:lang w:val="en-US" w:eastAsia="en-US" w:bidi="ar-SA"/>
      </w:rPr>
    </w:lvl>
    <w:lvl w:ilvl="2" w:tplc="01824702">
      <w:numFmt w:val="bullet"/>
      <w:lvlText w:val="•"/>
      <w:lvlJc w:val="left"/>
      <w:pPr>
        <w:ind w:left="405" w:hanging="209"/>
      </w:pPr>
      <w:rPr>
        <w:rFonts w:hint="default"/>
        <w:lang w:val="en-US" w:eastAsia="en-US" w:bidi="ar-SA"/>
      </w:rPr>
    </w:lvl>
    <w:lvl w:ilvl="3" w:tplc="9FF88676">
      <w:numFmt w:val="bullet"/>
      <w:lvlText w:val="•"/>
      <w:lvlJc w:val="left"/>
      <w:pPr>
        <w:ind w:left="487" w:hanging="209"/>
      </w:pPr>
      <w:rPr>
        <w:rFonts w:hint="default"/>
        <w:lang w:val="en-US" w:eastAsia="en-US" w:bidi="ar-SA"/>
      </w:rPr>
    </w:lvl>
    <w:lvl w:ilvl="4" w:tplc="E4481F04">
      <w:numFmt w:val="bullet"/>
      <w:lvlText w:val="•"/>
      <w:lvlJc w:val="left"/>
      <w:pPr>
        <w:ind w:left="570" w:hanging="209"/>
      </w:pPr>
      <w:rPr>
        <w:rFonts w:hint="default"/>
        <w:lang w:val="en-US" w:eastAsia="en-US" w:bidi="ar-SA"/>
      </w:rPr>
    </w:lvl>
    <w:lvl w:ilvl="5" w:tplc="575AAEF0">
      <w:numFmt w:val="bullet"/>
      <w:lvlText w:val="•"/>
      <w:lvlJc w:val="left"/>
      <w:pPr>
        <w:ind w:left="653" w:hanging="209"/>
      </w:pPr>
      <w:rPr>
        <w:rFonts w:hint="default"/>
        <w:lang w:val="en-US" w:eastAsia="en-US" w:bidi="ar-SA"/>
      </w:rPr>
    </w:lvl>
    <w:lvl w:ilvl="6" w:tplc="B4D268EC">
      <w:numFmt w:val="bullet"/>
      <w:lvlText w:val="•"/>
      <w:lvlJc w:val="left"/>
      <w:pPr>
        <w:ind w:left="735" w:hanging="209"/>
      </w:pPr>
      <w:rPr>
        <w:rFonts w:hint="default"/>
        <w:lang w:val="en-US" w:eastAsia="en-US" w:bidi="ar-SA"/>
      </w:rPr>
    </w:lvl>
    <w:lvl w:ilvl="7" w:tplc="8FEE422C">
      <w:numFmt w:val="bullet"/>
      <w:lvlText w:val="•"/>
      <w:lvlJc w:val="left"/>
      <w:pPr>
        <w:ind w:left="818" w:hanging="209"/>
      </w:pPr>
      <w:rPr>
        <w:rFonts w:hint="default"/>
        <w:lang w:val="en-US" w:eastAsia="en-US" w:bidi="ar-SA"/>
      </w:rPr>
    </w:lvl>
    <w:lvl w:ilvl="8" w:tplc="E9ACF53E">
      <w:numFmt w:val="bullet"/>
      <w:lvlText w:val="•"/>
      <w:lvlJc w:val="left"/>
      <w:pPr>
        <w:ind w:left="900" w:hanging="209"/>
      </w:pPr>
      <w:rPr>
        <w:rFonts w:hint="default"/>
        <w:lang w:val="en-US" w:eastAsia="en-US" w:bidi="ar-SA"/>
      </w:rPr>
    </w:lvl>
  </w:abstractNum>
  <w:abstractNum w:abstractNumId="184" w15:restartNumberingAfterBreak="0">
    <w:nsid w:val="6E143F61"/>
    <w:multiLevelType w:val="hybridMultilevel"/>
    <w:tmpl w:val="697E820C"/>
    <w:lvl w:ilvl="0" w:tplc="6E44B566">
      <w:numFmt w:val="bullet"/>
      <w:lvlText w:val="–"/>
      <w:lvlJc w:val="left"/>
      <w:pPr>
        <w:ind w:left="252" w:hanging="142"/>
      </w:pPr>
      <w:rPr>
        <w:rFonts w:ascii="Arial" w:eastAsia="Arial" w:hAnsi="Arial" w:cs="Arial" w:hint="default"/>
        <w:b w:val="0"/>
        <w:bCs w:val="0"/>
        <w:i w:val="0"/>
        <w:iCs w:val="0"/>
        <w:w w:val="89"/>
        <w:sz w:val="16"/>
        <w:szCs w:val="16"/>
        <w:lang w:val="en-US" w:eastAsia="en-US" w:bidi="ar-SA"/>
      </w:rPr>
    </w:lvl>
    <w:lvl w:ilvl="1" w:tplc="985A4826">
      <w:numFmt w:val="bullet"/>
      <w:lvlText w:val="•"/>
      <w:lvlJc w:val="left"/>
      <w:pPr>
        <w:ind w:left="1127" w:hanging="142"/>
      </w:pPr>
      <w:rPr>
        <w:rFonts w:hint="default"/>
        <w:lang w:val="en-US" w:eastAsia="en-US" w:bidi="ar-SA"/>
      </w:rPr>
    </w:lvl>
    <w:lvl w:ilvl="2" w:tplc="6FEE662C">
      <w:numFmt w:val="bullet"/>
      <w:lvlText w:val="•"/>
      <w:lvlJc w:val="left"/>
      <w:pPr>
        <w:ind w:left="1995" w:hanging="142"/>
      </w:pPr>
      <w:rPr>
        <w:rFonts w:hint="default"/>
        <w:lang w:val="en-US" w:eastAsia="en-US" w:bidi="ar-SA"/>
      </w:rPr>
    </w:lvl>
    <w:lvl w:ilvl="3" w:tplc="03AAF4DE">
      <w:numFmt w:val="bullet"/>
      <w:lvlText w:val="•"/>
      <w:lvlJc w:val="left"/>
      <w:pPr>
        <w:ind w:left="2863" w:hanging="142"/>
      </w:pPr>
      <w:rPr>
        <w:rFonts w:hint="default"/>
        <w:lang w:val="en-US" w:eastAsia="en-US" w:bidi="ar-SA"/>
      </w:rPr>
    </w:lvl>
    <w:lvl w:ilvl="4" w:tplc="A00EB780">
      <w:numFmt w:val="bullet"/>
      <w:lvlText w:val="•"/>
      <w:lvlJc w:val="left"/>
      <w:pPr>
        <w:ind w:left="3731" w:hanging="142"/>
      </w:pPr>
      <w:rPr>
        <w:rFonts w:hint="default"/>
        <w:lang w:val="en-US" w:eastAsia="en-US" w:bidi="ar-SA"/>
      </w:rPr>
    </w:lvl>
    <w:lvl w:ilvl="5" w:tplc="22EC03C2">
      <w:numFmt w:val="bullet"/>
      <w:lvlText w:val="•"/>
      <w:lvlJc w:val="left"/>
      <w:pPr>
        <w:ind w:left="4599" w:hanging="142"/>
      </w:pPr>
      <w:rPr>
        <w:rFonts w:hint="default"/>
        <w:lang w:val="en-US" w:eastAsia="en-US" w:bidi="ar-SA"/>
      </w:rPr>
    </w:lvl>
    <w:lvl w:ilvl="6" w:tplc="A040280C">
      <w:numFmt w:val="bullet"/>
      <w:lvlText w:val="•"/>
      <w:lvlJc w:val="left"/>
      <w:pPr>
        <w:ind w:left="5467" w:hanging="142"/>
      </w:pPr>
      <w:rPr>
        <w:rFonts w:hint="default"/>
        <w:lang w:val="en-US" w:eastAsia="en-US" w:bidi="ar-SA"/>
      </w:rPr>
    </w:lvl>
    <w:lvl w:ilvl="7" w:tplc="CDD4D6A6">
      <w:numFmt w:val="bullet"/>
      <w:lvlText w:val="•"/>
      <w:lvlJc w:val="left"/>
      <w:pPr>
        <w:ind w:left="6335" w:hanging="142"/>
      </w:pPr>
      <w:rPr>
        <w:rFonts w:hint="default"/>
        <w:lang w:val="en-US" w:eastAsia="en-US" w:bidi="ar-SA"/>
      </w:rPr>
    </w:lvl>
    <w:lvl w:ilvl="8" w:tplc="18967806">
      <w:numFmt w:val="bullet"/>
      <w:lvlText w:val="•"/>
      <w:lvlJc w:val="left"/>
      <w:pPr>
        <w:ind w:left="7203" w:hanging="142"/>
      </w:pPr>
      <w:rPr>
        <w:rFonts w:hint="default"/>
        <w:lang w:val="en-US" w:eastAsia="en-US" w:bidi="ar-SA"/>
      </w:rPr>
    </w:lvl>
  </w:abstractNum>
  <w:abstractNum w:abstractNumId="185" w15:restartNumberingAfterBreak="0">
    <w:nsid w:val="6E1910B9"/>
    <w:multiLevelType w:val="hybridMultilevel"/>
    <w:tmpl w:val="80944ED0"/>
    <w:lvl w:ilvl="0" w:tplc="01AA53B0">
      <w:numFmt w:val="bullet"/>
      <w:lvlText w:val="•"/>
      <w:lvlJc w:val="left"/>
      <w:pPr>
        <w:ind w:left="775" w:hanging="284"/>
      </w:pPr>
      <w:rPr>
        <w:rFonts w:ascii="Tahoma" w:eastAsia="Tahoma" w:hAnsi="Tahoma" w:cs="Tahoma" w:hint="default"/>
        <w:b w:val="0"/>
        <w:bCs w:val="0"/>
        <w:i w:val="0"/>
        <w:iCs w:val="0"/>
        <w:w w:val="109"/>
        <w:sz w:val="20"/>
        <w:szCs w:val="20"/>
        <w:lang w:val="en-US" w:eastAsia="en-US" w:bidi="ar-SA"/>
      </w:rPr>
    </w:lvl>
    <w:lvl w:ilvl="1" w:tplc="EE469D1E">
      <w:numFmt w:val="bullet"/>
      <w:lvlText w:val="•"/>
      <w:lvlJc w:val="left"/>
      <w:pPr>
        <w:ind w:left="1229" w:hanging="284"/>
      </w:pPr>
      <w:rPr>
        <w:rFonts w:hint="default"/>
        <w:lang w:val="en-US" w:eastAsia="en-US" w:bidi="ar-SA"/>
      </w:rPr>
    </w:lvl>
    <w:lvl w:ilvl="2" w:tplc="FE102F4A">
      <w:numFmt w:val="bullet"/>
      <w:lvlText w:val="•"/>
      <w:lvlJc w:val="left"/>
      <w:pPr>
        <w:ind w:left="1679" w:hanging="284"/>
      </w:pPr>
      <w:rPr>
        <w:rFonts w:hint="default"/>
        <w:lang w:val="en-US" w:eastAsia="en-US" w:bidi="ar-SA"/>
      </w:rPr>
    </w:lvl>
    <w:lvl w:ilvl="3" w:tplc="A9ACDA38">
      <w:numFmt w:val="bullet"/>
      <w:lvlText w:val="•"/>
      <w:lvlJc w:val="left"/>
      <w:pPr>
        <w:ind w:left="2129" w:hanging="284"/>
      </w:pPr>
      <w:rPr>
        <w:rFonts w:hint="default"/>
        <w:lang w:val="en-US" w:eastAsia="en-US" w:bidi="ar-SA"/>
      </w:rPr>
    </w:lvl>
    <w:lvl w:ilvl="4" w:tplc="310AC656">
      <w:numFmt w:val="bullet"/>
      <w:lvlText w:val="•"/>
      <w:lvlJc w:val="left"/>
      <w:pPr>
        <w:ind w:left="2579" w:hanging="284"/>
      </w:pPr>
      <w:rPr>
        <w:rFonts w:hint="default"/>
        <w:lang w:val="en-US" w:eastAsia="en-US" w:bidi="ar-SA"/>
      </w:rPr>
    </w:lvl>
    <w:lvl w:ilvl="5" w:tplc="4E6E6622">
      <w:numFmt w:val="bullet"/>
      <w:lvlText w:val="•"/>
      <w:lvlJc w:val="left"/>
      <w:pPr>
        <w:ind w:left="3029" w:hanging="284"/>
      </w:pPr>
      <w:rPr>
        <w:rFonts w:hint="default"/>
        <w:lang w:val="en-US" w:eastAsia="en-US" w:bidi="ar-SA"/>
      </w:rPr>
    </w:lvl>
    <w:lvl w:ilvl="6" w:tplc="85E64922">
      <w:numFmt w:val="bullet"/>
      <w:lvlText w:val="•"/>
      <w:lvlJc w:val="left"/>
      <w:pPr>
        <w:ind w:left="3478" w:hanging="284"/>
      </w:pPr>
      <w:rPr>
        <w:rFonts w:hint="default"/>
        <w:lang w:val="en-US" w:eastAsia="en-US" w:bidi="ar-SA"/>
      </w:rPr>
    </w:lvl>
    <w:lvl w:ilvl="7" w:tplc="2C3C5298">
      <w:numFmt w:val="bullet"/>
      <w:lvlText w:val="•"/>
      <w:lvlJc w:val="left"/>
      <w:pPr>
        <w:ind w:left="3928" w:hanging="284"/>
      </w:pPr>
      <w:rPr>
        <w:rFonts w:hint="default"/>
        <w:lang w:val="en-US" w:eastAsia="en-US" w:bidi="ar-SA"/>
      </w:rPr>
    </w:lvl>
    <w:lvl w:ilvl="8" w:tplc="13C6DC08">
      <w:numFmt w:val="bullet"/>
      <w:lvlText w:val="•"/>
      <w:lvlJc w:val="left"/>
      <w:pPr>
        <w:ind w:left="4378" w:hanging="284"/>
      </w:pPr>
      <w:rPr>
        <w:rFonts w:hint="default"/>
        <w:lang w:val="en-US" w:eastAsia="en-US" w:bidi="ar-SA"/>
      </w:rPr>
    </w:lvl>
  </w:abstractNum>
  <w:abstractNum w:abstractNumId="186" w15:restartNumberingAfterBreak="0">
    <w:nsid w:val="6F5C6E03"/>
    <w:multiLevelType w:val="hybridMultilevel"/>
    <w:tmpl w:val="5A70E40E"/>
    <w:lvl w:ilvl="0" w:tplc="A13C0126">
      <w:numFmt w:val="bullet"/>
      <w:lvlText w:val="•"/>
      <w:lvlJc w:val="left"/>
      <w:pPr>
        <w:ind w:left="497" w:hanging="284"/>
      </w:pPr>
      <w:rPr>
        <w:rFonts w:ascii="Tahoma" w:eastAsia="Tahoma" w:hAnsi="Tahoma" w:cs="Tahoma" w:hint="default"/>
        <w:b w:val="0"/>
        <w:bCs w:val="0"/>
        <w:i w:val="0"/>
        <w:iCs w:val="0"/>
        <w:w w:val="109"/>
        <w:sz w:val="20"/>
        <w:szCs w:val="20"/>
        <w:lang w:val="en-US" w:eastAsia="en-US" w:bidi="ar-SA"/>
      </w:rPr>
    </w:lvl>
    <w:lvl w:ilvl="1" w:tplc="694641B2">
      <w:numFmt w:val="bullet"/>
      <w:lvlText w:val="•"/>
      <w:lvlJc w:val="left"/>
      <w:pPr>
        <w:ind w:left="678" w:hanging="284"/>
      </w:pPr>
      <w:rPr>
        <w:rFonts w:ascii="Tahoma" w:eastAsia="Tahoma" w:hAnsi="Tahoma" w:cs="Tahoma" w:hint="default"/>
        <w:b w:val="0"/>
        <w:bCs w:val="0"/>
        <w:i w:val="0"/>
        <w:iCs w:val="0"/>
        <w:w w:val="109"/>
        <w:sz w:val="20"/>
        <w:szCs w:val="20"/>
        <w:lang w:val="en-US" w:eastAsia="en-US" w:bidi="ar-SA"/>
      </w:rPr>
    </w:lvl>
    <w:lvl w:ilvl="2" w:tplc="9BAEF10E">
      <w:numFmt w:val="bullet"/>
      <w:lvlText w:val="•"/>
      <w:lvlJc w:val="left"/>
      <w:pPr>
        <w:ind w:left="600" w:hanging="284"/>
      </w:pPr>
      <w:rPr>
        <w:rFonts w:hint="default"/>
        <w:lang w:val="en-US" w:eastAsia="en-US" w:bidi="ar-SA"/>
      </w:rPr>
    </w:lvl>
    <w:lvl w:ilvl="3" w:tplc="41AA64CA">
      <w:numFmt w:val="bullet"/>
      <w:lvlText w:val="•"/>
      <w:lvlJc w:val="left"/>
      <w:pPr>
        <w:ind w:left="520" w:hanging="284"/>
      </w:pPr>
      <w:rPr>
        <w:rFonts w:hint="default"/>
        <w:lang w:val="en-US" w:eastAsia="en-US" w:bidi="ar-SA"/>
      </w:rPr>
    </w:lvl>
    <w:lvl w:ilvl="4" w:tplc="F58EF444">
      <w:numFmt w:val="bullet"/>
      <w:lvlText w:val="•"/>
      <w:lvlJc w:val="left"/>
      <w:pPr>
        <w:ind w:left="440" w:hanging="284"/>
      </w:pPr>
      <w:rPr>
        <w:rFonts w:hint="default"/>
        <w:lang w:val="en-US" w:eastAsia="en-US" w:bidi="ar-SA"/>
      </w:rPr>
    </w:lvl>
    <w:lvl w:ilvl="5" w:tplc="6FE2CF84">
      <w:numFmt w:val="bullet"/>
      <w:lvlText w:val="•"/>
      <w:lvlJc w:val="left"/>
      <w:pPr>
        <w:ind w:left="360" w:hanging="284"/>
      </w:pPr>
      <w:rPr>
        <w:rFonts w:hint="default"/>
        <w:lang w:val="en-US" w:eastAsia="en-US" w:bidi="ar-SA"/>
      </w:rPr>
    </w:lvl>
    <w:lvl w:ilvl="6" w:tplc="849AB0A6">
      <w:numFmt w:val="bullet"/>
      <w:lvlText w:val="•"/>
      <w:lvlJc w:val="left"/>
      <w:pPr>
        <w:ind w:left="280" w:hanging="284"/>
      </w:pPr>
      <w:rPr>
        <w:rFonts w:hint="default"/>
        <w:lang w:val="en-US" w:eastAsia="en-US" w:bidi="ar-SA"/>
      </w:rPr>
    </w:lvl>
    <w:lvl w:ilvl="7" w:tplc="5C02404A">
      <w:numFmt w:val="bullet"/>
      <w:lvlText w:val="•"/>
      <w:lvlJc w:val="left"/>
      <w:pPr>
        <w:ind w:left="200" w:hanging="284"/>
      </w:pPr>
      <w:rPr>
        <w:rFonts w:hint="default"/>
        <w:lang w:val="en-US" w:eastAsia="en-US" w:bidi="ar-SA"/>
      </w:rPr>
    </w:lvl>
    <w:lvl w:ilvl="8" w:tplc="C0BC81F2">
      <w:numFmt w:val="bullet"/>
      <w:lvlText w:val="•"/>
      <w:lvlJc w:val="left"/>
      <w:pPr>
        <w:ind w:left="120" w:hanging="284"/>
      </w:pPr>
      <w:rPr>
        <w:rFonts w:hint="default"/>
        <w:lang w:val="en-US" w:eastAsia="en-US" w:bidi="ar-SA"/>
      </w:rPr>
    </w:lvl>
  </w:abstractNum>
  <w:abstractNum w:abstractNumId="187" w15:restartNumberingAfterBreak="0">
    <w:nsid w:val="6FC471E5"/>
    <w:multiLevelType w:val="hybridMultilevel"/>
    <w:tmpl w:val="5B0095BE"/>
    <w:lvl w:ilvl="0" w:tplc="17C2B8E2">
      <w:numFmt w:val="bullet"/>
      <w:lvlText w:val="–"/>
      <w:lvlJc w:val="left"/>
      <w:pPr>
        <w:ind w:left="191" w:hanging="122"/>
      </w:pPr>
      <w:rPr>
        <w:rFonts w:ascii="Arial" w:eastAsia="Arial" w:hAnsi="Arial" w:cs="Arial" w:hint="default"/>
        <w:b w:val="0"/>
        <w:bCs w:val="0"/>
        <w:i w:val="0"/>
        <w:iCs w:val="0"/>
        <w:w w:val="89"/>
        <w:sz w:val="16"/>
        <w:szCs w:val="16"/>
        <w:lang w:val="en-US" w:eastAsia="en-US" w:bidi="ar-SA"/>
      </w:rPr>
    </w:lvl>
    <w:lvl w:ilvl="1" w:tplc="412A512C">
      <w:numFmt w:val="bullet"/>
      <w:lvlText w:val="•"/>
      <w:lvlJc w:val="left"/>
      <w:pPr>
        <w:ind w:left="394" w:hanging="122"/>
      </w:pPr>
      <w:rPr>
        <w:rFonts w:hint="default"/>
        <w:lang w:val="en-US" w:eastAsia="en-US" w:bidi="ar-SA"/>
      </w:rPr>
    </w:lvl>
    <w:lvl w:ilvl="2" w:tplc="6C9E75CE">
      <w:numFmt w:val="bullet"/>
      <w:lvlText w:val="•"/>
      <w:lvlJc w:val="left"/>
      <w:pPr>
        <w:ind w:left="589" w:hanging="122"/>
      </w:pPr>
      <w:rPr>
        <w:rFonts w:hint="default"/>
        <w:lang w:val="en-US" w:eastAsia="en-US" w:bidi="ar-SA"/>
      </w:rPr>
    </w:lvl>
    <w:lvl w:ilvl="3" w:tplc="E1947490">
      <w:numFmt w:val="bullet"/>
      <w:lvlText w:val="•"/>
      <w:lvlJc w:val="left"/>
      <w:pPr>
        <w:ind w:left="784" w:hanging="122"/>
      </w:pPr>
      <w:rPr>
        <w:rFonts w:hint="default"/>
        <w:lang w:val="en-US" w:eastAsia="en-US" w:bidi="ar-SA"/>
      </w:rPr>
    </w:lvl>
    <w:lvl w:ilvl="4" w:tplc="16306F8E">
      <w:numFmt w:val="bullet"/>
      <w:lvlText w:val="•"/>
      <w:lvlJc w:val="left"/>
      <w:pPr>
        <w:ind w:left="979" w:hanging="122"/>
      </w:pPr>
      <w:rPr>
        <w:rFonts w:hint="default"/>
        <w:lang w:val="en-US" w:eastAsia="en-US" w:bidi="ar-SA"/>
      </w:rPr>
    </w:lvl>
    <w:lvl w:ilvl="5" w:tplc="118A3BA8">
      <w:numFmt w:val="bullet"/>
      <w:lvlText w:val="•"/>
      <w:lvlJc w:val="left"/>
      <w:pPr>
        <w:ind w:left="1174" w:hanging="122"/>
      </w:pPr>
      <w:rPr>
        <w:rFonts w:hint="default"/>
        <w:lang w:val="en-US" w:eastAsia="en-US" w:bidi="ar-SA"/>
      </w:rPr>
    </w:lvl>
    <w:lvl w:ilvl="6" w:tplc="F274FD74">
      <w:numFmt w:val="bullet"/>
      <w:lvlText w:val="•"/>
      <w:lvlJc w:val="left"/>
      <w:pPr>
        <w:ind w:left="1368" w:hanging="122"/>
      </w:pPr>
      <w:rPr>
        <w:rFonts w:hint="default"/>
        <w:lang w:val="en-US" w:eastAsia="en-US" w:bidi="ar-SA"/>
      </w:rPr>
    </w:lvl>
    <w:lvl w:ilvl="7" w:tplc="EC865F3A">
      <w:numFmt w:val="bullet"/>
      <w:lvlText w:val="•"/>
      <w:lvlJc w:val="left"/>
      <w:pPr>
        <w:ind w:left="1563" w:hanging="122"/>
      </w:pPr>
      <w:rPr>
        <w:rFonts w:hint="default"/>
        <w:lang w:val="en-US" w:eastAsia="en-US" w:bidi="ar-SA"/>
      </w:rPr>
    </w:lvl>
    <w:lvl w:ilvl="8" w:tplc="A426E0DA">
      <w:numFmt w:val="bullet"/>
      <w:lvlText w:val="•"/>
      <w:lvlJc w:val="left"/>
      <w:pPr>
        <w:ind w:left="1758" w:hanging="122"/>
      </w:pPr>
      <w:rPr>
        <w:rFonts w:hint="default"/>
        <w:lang w:val="en-US" w:eastAsia="en-US" w:bidi="ar-SA"/>
      </w:rPr>
    </w:lvl>
  </w:abstractNum>
  <w:abstractNum w:abstractNumId="188" w15:restartNumberingAfterBreak="0">
    <w:nsid w:val="703A217C"/>
    <w:multiLevelType w:val="hybridMultilevel"/>
    <w:tmpl w:val="9A7E3B7E"/>
    <w:lvl w:ilvl="0" w:tplc="D7D21F5C">
      <w:numFmt w:val="bullet"/>
      <w:lvlText w:val="•"/>
      <w:lvlJc w:val="left"/>
      <w:pPr>
        <w:ind w:left="221" w:hanging="116"/>
      </w:pPr>
      <w:rPr>
        <w:rFonts w:ascii="Trebuchet MS" w:eastAsia="Trebuchet MS" w:hAnsi="Trebuchet MS" w:cs="Trebuchet MS" w:hint="default"/>
        <w:b w:val="0"/>
        <w:bCs w:val="0"/>
        <w:i w:val="0"/>
        <w:iCs w:val="0"/>
        <w:w w:val="95"/>
        <w:sz w:val="16"/>
        <w:szCs w:val="16"/>
        <w:lang w:val="en-US" w:eastAsia="en-US" w:bidi="ar-SA"/>
      </w:rPr>
    </w:lvl>
    <w:lvl w:ilvl="1" w:tplc="86E8FC8A">
      <w:numFmt w:val="bullet"/>
      <w:lvlText w:val="–"/>
      <w:lvlJc w:val="left"/>
      <w:pPr>
        <w:ind w:left="341" w:hanging="116"/>
      </w:pPr>
      <w:rPr>
        <w:rFonts w:ascii="Trebuchet MS" w:eastAsia="Trebuchet MS" w:hAnsi="Trebuchet MS" w:cs="Trebuchet MS" w:hint="default"/>
        <w:b w:val="0"/>
        <w:bCs w:val="0"/>
        <w:i w:val="0"/>
        <w:iCs w:val="0"/>
        <w:w w:val="136"/>
        <w:sz w:val="16"/>
        <w:szCs w:val="16"/>
        <w:lang w:val="en-US" w:eastAsia="en-US" w:bidi="ar-SA"/>
      </w:rPr>
    </w:lvl>
    <w:lvl w:ilvl="2" w:tplc="C34A6CB4">
      <w:numFmt w:val="bullet"/>
      <w:lvlText w:val="•"/>
      <w:lvlJc w:val="left"/>
      <w:pPr>
        <w:ind w:left="508" w:hanging="116"/>
      </w:pPr>
      <w:rPr>
        <w:rFonts w:hint="default"/>
        <w:lang w:val="en-US" w:eastAsia="en-US" w:bidi="ar-SA"/>
      </w:rPr>
    </w:lvl>
    <w:lvl w:ilvl="3" w:tplc="9EF81DAE">
      <w:numFmt w:val="bullet"/>
      <w:lvlText w:val="•"/>
      <w:lvlJc w:val="left"/>
      <w:pPr>
        <w:ind w:left="677" w:hanging="116"/>
      </w:pPr>
      <w:rPr>
        <w:rFonts w:hint="default"/>
        <w:lang w:val="en-US" w:eastAsia="en-US" w:bidi="ar-SA"/>
      </w:rPr>
    </w:lvl>
    <w:lvl w:ilvl="4" w:tplc="1A2C5728">
      <w:numFmt w:val="bullet"/>
      <w:lvlText w:val="•"/>
      <w:lvlJc w:val="left"/>
      <w:pPr>
        <w:ind w:left="845" w:hanging="116"/>
      </w:pPr>
      <w:rPr>
        <w:rFonts w:hint="default"/>
        <w:lang w:val="en-US" w:eastAsia="en-US" w:bidi="ar-SA"/>
      </w:rPr>
    </w:lvl>
    <w:lvl w:ilvl="5" w:tplc="1D6ADB0E">
      <w:numFmt w:val="bullet"/>
      <w:lvlText w:val="•"/>
      <w:lvlJc w:val="left"/>
      <w:pPr>
        <w:ind w:left="1014" w:hanging="116"/>
      </w:pPr>
      <w:rPr>
        <w:rFonts w:hint="default"/>
        <w:lang w:val="en-US" w:eastAsia="en-US" w:bidi="ar-SA"/>
      </w:rPr>
    </w:lvl>
    <w:lvl w:ilvl="6" w:tplc="5F8AB0D6">
      <w:numFmt w:val="bullet"/>
      <w:lvlText w:val="•"/>
      <w:lvlJc w:val="left"/>
      <w:pPr>
        <w:ind w:left="1182" w:hanging="116"/>
      </w:pPr>
      <w:rPr>
        <w:rFonts w:hint="default"/>
        <w:lang w:val="en-US" w:eastAsia="en-US" w:bidi="ar-SA"/>
      </w:rPr>
    </w:lvl>
    <w:lvl w:ilvl="7" w:tplc="738C2B32">
      <w:numFmt w:val="bullet"/>
      <w:lvlText w:val="•"/>
      <w:lvlJc w:val="left"/>
      <w:pPr>
        <w:ind w:left="1351" w:hanging="116"/>
      </w:pPr>
      <w:rPr>
        <w:rFonts w:hint="default"/>
        <w:lang w:val="en-US" w:eastAsia="en-US" w:bidi="ar-SA"/>
      </w:rPr>
    </w:lvl>
    <w:lvl w:ilvl="8" w:tplc="A2344ED0">
      <w:numFmt w:val="bullet"/>
      <w:lvlText w:val="•"/>
      <w:lvlJc w:val="left"/>
      <w:pPr>
        <w:ind w:left="1519" w:hanging="116"/>
      </w:pPr>
      <w:rPr>
        <w:rFonts w:hint="default"/>
        <w:lang w:val="en-US" w:eastAsia="en-US" w:bidi="ar-SA"/>
      </w:rPr>
    </w:lvl>
  </w:abstractNum>
  <w:abstractNum w:abstractNumId="189" w15:restartNumberingAfterBreak="0">
    <w:nsid w:val="724E5B4C"/>
    <w:multiLevelType w:val="hybridMultilevel"/>
    <w:tmpl w:val="5B30BAF4"/>
    <w:lvl w:ilvl="0" w:tplc="AA389EB8">
      <w:numFmt w:val="bullet"/>
      <w:lvlText w:val="•"/>
      <w:lvlJc w:val="left"/>
      <w:pPr>
        <w:ind w:left="627" w:hanging="313"/>
      </w:pPr>
      <w:rPr>
        <w:rFonts w:ascii="Tahoma" w:eastAsia="Tahoma" w:hAnsi="Tahoma" w:cs="Tahoma" w:hint="default"/>
        <w:b w:val="0"/>
        <w:bCs w:val="0"/>
        <w:i w:val="0"/>
        <w:iCs w:val="0"/>
        <w:w w:val="109"/>
        <w:sz w:val="20"/>
        <w:szCs w:val="20"/>
        <w:lang w:val="en-US" w:eastAsia="en-US" w:bidi="ar-SA"/>
      </w:rPr>
    </w:lvl>
    <w:lvl w:ilvl="1" w:tplc="9F783500">
      <w:numFmt w:val="bullet"/>
      <w:lvlText w:val="•"/>
      <w:lvlJc w:val="left"/>
      <w:pPr>
        <w:ind w:left="1045" w:hanging="313"/>
      </w:pPr>
      <w:rPr>
        <w:rFonts w:hint="default"/>
        <w:lang w:val="en-US" w:eastAsia="en-US" w:bidi="ar-SA"/>
      </w:rPr>
    </w:lvl>
    <w:lvl w:ilvl="2" w:tplc="CFC2CE1E">
      <w:numFmt w:val="bullet"/>
      <w:lvlText w:val="•"/>
      <w:lvlJc w:val="left"/>
      <w:pPr>
        <w:ind w:left="1471" w:hanging="313"/>
      </w:pPr>
      <w:rPr>
        <w:rFonts w:hint="default"/>
        <w:lang w:val="en-US" w:eastAsia="en-US" w:bidi="ar-SA"/>
      </w:rPr>
    </w:lvl>
    <w:lvl w:ilvl="3" w:tplc="F7401B0A">
      <w:numFmt w:val="bullet"/>
      <w:lvlText w:val="•"/>
      <w:lvlJc w:val="left"/>
      <w:pPr>
        <w:ind w:left="1896" w:hanging="313"/>
      </w:pPr>
      <w:rPr>
        <w:rFonts w:hint="default"/>
        <w:lang w:val="en-US" w:eastAsia="en-US" w:bidi="ar-SA"/>
      </w:rPr>
    </w:lvl>
    <w:lvl w:ilvl="4" w:tplc="CB74BF88">
      <w:numFmt w:val="bullet"/>
      <w:lvlText w:val="•"/>
      <w:lvlJc w:val="left"/>
      <w:pPr>
        <w:ind w:left="2322" w:hanging="313"/>
      </w:pPr>
      <w:rPr>
        <w:rFonts w:hint="default"/>
        <w:lang w:val="en-US" w:eastAsia="en-US" w:bidi="ar-SA"/>
      </w:rPr>
    </w:lvl>
    <w:lvl w:ilvl="5" w:tplc="4B9C03F4">
      <w:numFmt w:val="bullet"/>
      <w:lvlText w:val="•"/>
      <w:lvlJc w:val="left"/>
      <w:pPr>
        <w:ind w:left="2747" w:hanging="313"/>
      </w:pPr>
      <w:rPr>
        <w:rFonts w:hint="default"/>
        <w:lang w:val="en-US" w:eastAsia="en-US" w:bidi="ar-SA"/>
      </w:rPr>
    </w:lvl>
    <w:lvl w:ilvl="6" w:tplc="F230D19C">
      <w:numFmt w:val="bullet"/>
      <w:lvlText w:val="•"/>
      <w:lvlJc w:val="left"/>
      <w:pPr>
        <w:ind w:left="3173" w:hanging="313"/>
      </w:pPr>
      <w:rPr>
        <w:rFonts w:hint="default"/>
        <w:lang w:val="en-US" w:eastAsia="en-US" w:bidi="ar-SA"/>
      </w:rPr>
    </w:lvl>
    <w:lvl w:ilvl="7" w:tplc="0E043080">
      <w:numFmt w:val="bullet"/>
      <w:lvlText w:val="•"/>
      <w:lvlJc w:val="left"/>
      <w:pPr>
        <w:ind w:left="3598" w:hanging="313"/>
      </w:pPr>
      <w:rPr>
        <w:rFonts w:hint="default"/>
        <w:lang w:val="en-US" w:eastAsia="en-US" w:bidi="ar-SA"/>
      </w:rPr>
    </w:lvl>
    <w:lvl w:ilvl="8" w:tplc="0984824C">
      <w:numFmt w:val="bullet"/>
      <w:lvlText w:val="•"/>
      <w:lvlJc w:val="left"/>
      <w:pPr>
        <w:ind w:left="4024" w:hanging="313"/>
      </w:pPr>
      <w:rPr>
        <w:rFonts w:hint="default"/>
        <w:lang w:val="en-US" w:eastAsia="en-US" w:bidi="ar-SA"/>
      </w:rPr>
    </w:lvl>
  </w:abstractNum>
  <w:abstractNum w:abstractNumId="190" w15:restartNumberingAfterBreak="0">
    <w:nsid w:val="73293D43"/>
    <w:multiLevelType w:val="hybridMultilevel"/>
    <w:tmpl w:val="D1345EAE"/>
    <w:lvl w:ilvl="0" w:tplc="C77A15FE">
      <w:numFmt w:val="bullet"/>
      <w:lvlText w:val="•"/>
      <w:lvlJc w:val="left"/>
      <w:pPr>
        <w:ind w:left="472" w:hanging="284"/>
      </w:pPr>
      <w:rPr>
        <w:rFonts w:ascii="Tahoma" w:eastAsia="Tahoma" w:hAnsi="Tahoma" w:cs="Tahoma" w:hint="default"/>
        <w:b w:val="0"/>
        <w:bCs w:val="0"/>
        <w:i w:val="0"/>
        <w:iCs w:val="0"/>
        <w:w w:val="109"/>
        <w:sz w:val="20"/>
        <w:szCs w:val="20"/>
        <w:lang w:val="en-US" w:eastAsia="en-US" w:bidi="ar-SA"/>
      </w:rPr>
    </w:lvl>
    <w:lvl w:ilvl="1" w:tplc="FD182C5C">
      <w:numFmt w:val="bullet"/>
      <w:lvlText w:val="•"/>
      <w:lvlJc w:val="left"/>
      <w:pPr>
        <w:ind w:left="641" w:hanging="284"/>
      </w:pPr>
      <w:rPr>
        <w:rFonts w:ascii="Tahoma" w:eastAsia="Tahoma" w:hAnsi="Tahoma" w:cs="Tahoma" w:hint="default"/>
        <w:b w:val="0"/>
        <w:bCs w:val="0"/>
        <w:i w:val="0"/>
        <w:iCs w:val="0"/>
        <w:w w:val="109"/>
        <w:sz w:val="20"/>
        <w:szCs w:val="20"/>
        <w:lang w:val="en-US" w:eastAsia="en-US" w:bidi="ar-SA"/>
      </w:rPr>
    </w:lvl>
    <w:lvl w:ilvl="2" w:tplc="3316215E">
      <w:start w:val="1"/>
      <w:numFmt w:val="decimal"/>
      <w:lvlText w:val="%3"/>
      <w:lvlJc w:val="left"/>
      <w:pPr>
        <w:ind w:left="10744" w:hanging="199"/>
        <w:jc w:val="right"/>
      </w:pPr>
      <w:rPr>
        <w:rFonts w:ascii="Arial" w:eastAsia="Arial" w:hAnsi="Arial" w:cs="Arial" w:hint="default"/>
        <w:b w:val="0"/>
        <w:bCs w:val="0"/>
        <w:i w:val="0"/>
        <w:iCs w:val="0"/>
        <w:w w:val="99"/>
        <w:sz w:val="14"/>
        <w:szCs w:val="14"/>
        <w:lang w:val="en-US" w:eastAsia="en-US" w:bidi="ar-SA"/>
      </w:rPr>
    </w:lvl>
    <w:lvl w:ilvl="3" w:tplc="5F5A61C4">
      <w:numFmt w:val="bullet"/>
      <w:lvlText w:val="•"/>
      <w:lvlJc w:val="left"/>
      <w:pPr>
        <w:ind w:left="9392" w:hanging="199"/>
      </w:pPr>
      <w:rPr>
        <w:rFonts w:hint="default"/>
        <w:lang w:val="en-US" w:eastAsia="en-US" w:bidi="ar-SA"/>
      </w:rPr>
    </w:lvl>
    <w:lvl w:ilvl="4" w:tplc="218C6B9C">
      <w:numFmt w:val="bullet"/>
      <w:lvlText w:val="•"/>
      <w:lvlJc w:val="left"/>
      <w:pPr>
        <w:ind w:left="8045" w:hanging="199"/>
      </w:pPr>
      <w:rPr>
        <w:rFonts w:hint="default"/>
        <w:lang w:val="en-US" w:eastAsia="en-US" w:bidi="ar-SA"/>
      </w:rPr>
    </w:lvl>
    <w:lvl w:ilvl="5" w:tplc="98B830B6">
      <w:numFmt w:val="bullet"/>
      <w:lvlText w:val="•"/>
      <w:lvlJc w:val="left"/>
      <w:pPr>
        <w:ind w:left="6697" w:hanging="199"/>
      </w:pPr>
      <w:rPr>
        <w:rFonts w:hint="default"/>
        <w:lang w:val="en-US" w:eastAsia="en-US" w:bidi="ar-SA"/>
      </w:rPr>
    </w:lvl>
    <w:lvl w:ilvl="6" w:tplc="32205FE2">
      <w:numFmt w:val="bullet"/>
      <w:lvlText w:val="•"/>
      <w:lvlJc w:val="left"/>
      <w:pPr>
        <w:ind w:left="5350" w:hanging="199"/>
      </w:pPr>
      <w:rPr>
        <w:rFonts w:hint="default"/>
        <w:lang w:val="en-US" w:eastAsia="en-US" w:bidi="ar-SA"/>
      </w:rPr>
    </w:lvl>
    <w:lvl w:ilvl="7" w:tplc="CF769C7E">
      <w:numFmt w:val="bullet"/>
      <w:lvlText w:val="•"/>
      <w:lvlJc w:val="left"/>
      <w:pPr>
        <w:ind w:left="4002" w:hanging="199"/>
      </w:pPr>
      <w:rPr>
        <w:rFonts w:hint="default"/>
        <w:lang w:val="en-US" w:eastAsia="en-US" w:bidi="ar-SA"/>
      </w:rPr>
    </w:lvl>
    <w:lvl w:ilvl="8" w:tplc="0FC68C68">
      <w:numFmt w:val="bullet"/>
      <w:lvlText w:val="•"/>
      <w:lvlJc w:val="left"/>
      <w:pPr>
        <w:ind w:left="2655" w:hanging="199"/>
      </w:pPr>
      <w:rPr>
        <w:rFonts w:hint="default"/>
        <w:lang w:val="en-US" w:eastAsia="en-US" w:bidi="ar-SA"/>
      </w:rPr>
    </w:lvl>
  </w:abstractNum>
  <w:abstractNum w:abstractNumId="191" w15:restartNumberingAfterBreak="0">
    <w:nsid w:val="748F71C9"/>
    <w:multiLevelType w:val="multilevel"/>
    <w:tmpl w:val="C67ACE96"/>
    <w:lvl w:ilvl="0">
      <w:start w:val="10"/>
      <w:numFmt w:val="decimal"/>
      <w:lvlText w:val="%1"/>
      <w:lvlJc w:val="left"/>
      <w:pPr>
        <w:ind w:left="1078" w:hanging="601"/>
        <w:jc w:val="left"/>
      </w:pPr>
      <w:rPr>
        <w:rFonts w:hint="default"/>
        <w:lang w:val="en-US" w:eastAsia="en-US" w:bidi="ar-SA"/>
      </w:rPr>
    </w:lvl>
    <w:lvl w:ilvl="1">
      <w:start w:val="1"/>
      <w:numFmt w:val="decimal"/>
      <w:lvlText w:val="%1.%2"/>
      <w:lvlJc w:val="left"/>
      <w:pPr>
        <w:ind w:left="1078" w:hanging="601"/>
        <w:jc w:val="right"/>
      </w:pPr>
      <w:rPr>
        <w:rFonts w:ascii="Arial" w:eastAsia="Arial" w:hAnsi="Arial" w:cs="Arial" w:hint="default"/>
        <w:b/>
        <w:bCs/>
        <w:i w:val="0"/>
        <w:iCs w:val="0"/>
        <w:color w:val="00AEEF"/>
        <w:spacing w:val="-5"/>
        <w:w w:val="99"/>
        <w:sz w:val="28"/>
        <w:szCs w:val="28"/>
        <w:lang w:val="en-US" w:eastAsia="en-US" w:bidi="ar-SA"/>
      </w:rPr>
    </w:lvl>
    <w:lvl w:ilvl="2">
      <w:start w:val="1"/>
      <w:numFmt w:val="decimal"/>
      <w:lvlText w:val="%1.%2.%3"/>
      <w:lvlJc w:val="left"/>
      <w:pPr>
        <w:ind w:left="1086" w:hanging="595"/>
        <w:jc w:val="right"/>
      </w:pPr>
      <w:rPr>
        <w:rFonts w:hint="default"/>
        <w:spacing w:val="-3"/>
        <w:w w:val="99"/>
        <w:lang w:val="en-US" w:eastAsia="en-US" w:bidi="ar-SA"/>
      </w:rPr>
    </w:lvl>
    <w:lvl w:ilvl="3">
      <w:numFmt w:val="bullet"/>
      <w:lvlText w:val="•"/>
      <w:lvlJc w:val="left"/>
      <w:pPr>
        <w:ind w:left="-233" w:hanging="595"/>
      </w:pPr>
      <w:rPr>
        <w:rFonts w:hint="default"/>
        <w:lang w:val="en-US" w:eastAsia="en-US" w:bidi="ar-SA"/>
      </w:rPr>
    </w:lvl>
    <w:lvl w:ilvl="4">
      <w:numFmt w:val="bullet"/>
      <w:lvlText w:val="•"/>
      <w:lvlJc w:val="left"/>
      <w:pPr>
        <w:ind w:left="-890" w:hanging="595"/>
      </w:pPr>
      <w:rPr>
        <w:rFonts w:hint="default"/>
        <w:lang w:val="en-US" w:eastAsia="en-US" w:bidi="ar-SA"/>
      </w:rPr>
    </w:lvl>
    <w:lvl w:ilvl="5">
      <w:numFmt w:val="bullet"/>
      <w:lvlText w:val="•"/>
      <w:lvlJc w:val="left"/>
      <w:pPr>
        <w:ind w:left="-1546" w:hanging="595"/>
      </w:pPr>
      <w:rPr>
        <w:rFonts w:hint="default"/>
        <w:lang w:val="en-US" w:eastAsia="en-US" w:bidi="ar-SA"/>
      </w:rPr>
    </w:lvl>
    <w:lvl w:ilvl="6">
      <w:numFmt w:val="bullet"/>
      <w:lvlText w:val="•"/>
      <w:lvlJc w:val="left"/>
      <w:pPr>
        <w:ind w:left="-2202" w:hanging="595"/>
      </w:pPr>
      <w:rPr>
        <w:rFonts w:hint="default"/>
        <w:lang w:val="en-US" w:eastAsia="en-US" w:bidi="ar-SA"/>
      </w:rPr>
    </w:lvl>
    <w:lvl w:ilvl="7">
      <w:numFmt w:val="bullet"/>
      <w:lvlText w:val="•"/>
      <w:lvlJc w:val="left"/>
      <w:pPr>
        <w:ind w:left="-2859" w:hanging="595"/>
      </w:pPr>
      <w:rPr>
        <w:rFonts w:hint="default"/>
        <w:lang w:val="en-US" w:eastAsia="en-US" w:bidi="ar-SA"/>
      </w:rPr>
    </w:lvl>
    <w:lvl w:ilvl="8">
      <w:numFmt w:val="bullet"/>
      <w:lvlText w:val="•"/>
      <w:lvlJc w:val="left"/>
      <w:pPr>
        <w:ind w:left="-3515" w:hanging="595"/>
      </w:pPr>
      <w:rPr>
        <w:rFonts w:hint="default"/>
        <w:lang w:val="en-US" w:eastAsia="en-US" w:bidi="ar-SA"/>
      </w:rPr>
    </w:lvl>
  </w:abstractNum>
  <w:abstractNum w:abstractNumId="192" w15:restartNumberingAfterBreak="0">
    <w:nsid w:val="767D5D32"/>
    <w:multiLevelType w:val="hybridMultilevel"/>
    <w:tmpl w:val="FE24384E"/>
    <w:lvl w:ilvl="0" w:tplc="7618E17E">
      <w:numFmt w:val="bullet"/>
      <w:lvlText w:val="•"/>
      <w:lvlJc w:val="left"/>
      <w:pPr>
        <w:ind w:left="775" w:hanging="284"/>
      </w:pPr>
      <w:rPr>
        <w:rFonts w:ascii="Tahoma" w:eastAsia="Tahoma" w:hAnsi="Tahoma" w:cs="Tahoma" w:hint="default"/>
        <w:b w:val="0"/>
        <w:bCs w:val="0"/>
        <w:i w:val="0"/>
        <w:iCs w:val="0"/>
        <w:w w:val="109"/>
        <w:sz w:val="20"/>
        <w:szCs w:val="20"/>
        <w:lang w:val="en-US" w:eastAsia="en-US" w:bidi="ar-SA"/>
      </w:rPr>
    </w:lvl>
    <w:lvl w:ilvl="1" w:tplc="1CC87E08">
      <w:numFmt w:val="bullet"/>
      <w:lvlText w:val="•"/>
      <w:lvlJc w:val="left"/>
      <w:pPr>
        <w:ind w:left="1220" w:hanging="284"/>
      </w:pPr>
      <w:rPr>
        <w:rFonts w:hint="default"/>
        <w:lang w:val="en-US" w:eastAsia="en-US" w:bidi="ar-SA"/>
      </w:rPr>
    </w:lvl>
    <w:lvl w:ilvl="2" w:tplc="7C647836">
      <w:numFmt w:val="bullet"/>
      <w:lvlText w:val="•"/>
      <w:lvlJc w:val="left"/>
      <w:pPr>
        <w:ind w:left="1660" w:hanging="284"/>
      </w:pPr>
      <w:rPr>
        <w:rFonts w:hint="default"/>
        <w:lang w:val="en-US" w:eastAsia="en-US" w:bidi="ar-SA"/>
      </w:rPr>
    </w:lvl>
    <w:lvl w:ilvl="3" w:tplc="1BC23904">
      <w:numFmt w:val="bullet"/>
      <w:lvlText w:val="•"/>
      <w:lvlJc w:val="left"/>
      <w:pPr>
        <w:ind w:left="2100" w:hanging="284"/>
      </w:pPr>
      <w:rPr>
        <w:rFonts w:hint="default"/>
        <w:lang w:val="en-US" w:eastAsia="en-US" w:bidi="ar-SA"/>
      </w:rPr>
    </w:lvl>
    <w:lvl w:ilvl="4" w:tplc="99BA011A">
      <w:numFmt w:val="bullet"/>
      <w:lvlText w:val="•"/>
      <w:lvlJc w:val="left"/>
      <w:pPr>
        <w:ind w:left="2540" w:hanging="284"/>
      </w:pPr>
      <w:rPr>
        <w:rFonts w:hint="default"/>
        <w:lang w:val="en-US" w:eastAsia="en-US" w:bidi="ar-SA"/>
      </w:rPr>
    </w:lvl>
    <w:lvl w:ilvl="5" w:tplc="7FEE3DE8">
      <w:numFmt w:val="bullet"/>
      <w:lvlText w:val="•"/>
      <w:lvlJc w:val="left"/>
      <w:pPr>
        <w:ind w:left="2980" w:hanging="284"/>
      </w:pPr>
      <w:rPr>
        <w:rFonts w:hint="default"/>
        <w:lang w:val="en-US" w:eastAsia="en-US" w:bidi="ar-SA"/>
      </w:rPr>
    </w:lvl>
    <w:lvl w:ilvl="6" w:tplc="655625B4">
      <w:numFmt w:val="bullet"/>
      <w:lvlText w:val="•"/>
      <w:lvlJc w:val="left"/>
      <w:pPr>
        <w:ind w:left="3420" w:hanging="284"/>
      </w:pPr>
      <w:rPr>
        <w:rFonts w:hint="default"/>
        <w:lang w:val="en-US" w:eastAsia="en-US" w:bidi="ar-SA"/>
      </w:rPr>
    </w:lvl>
    <w:lvl w:ilvl="7" w:tplc="E9C48AE0">
      <w:numFmt w:val="bullet"/>
      <w:lvlText w:val="•"/>
      <w:lvlJc w:val="left"/>
      <w:pPr>
        <w:ind w:left="3860" w:hanging="284"/>
      </w:pPr>
      <w:rPr>
        <w:rFonts w:hint="default"/>
        <w:lang w:val="en-US" w:eastAsia="en-US" w:bidi="ar-SA"/>
      </w:rPr>
    </w:lvl>
    <w:lvl w:ilvl="8" w:tplc="1E6ED9D6">
      <w:numFmt w:val="bullet"/>
      <w:lvlText w:val="•"/>
      <w:lvlJc w:val="left"/>
      <w:pPr>
        <w:ind w:left="4300" w:hanging="284"/>
      </w:pPr>
      <w:rPr>
        <w:rFonts w:hint="default"/>
        <w:lang w:val="en-US" w:eastAsia="en-US" w:bidi="ar-SA"/>
      </w:rPr>
    </w:lvl>
  </w:abstractNum>
  <w:abstractNum w:abstractNumId="193" w15:restartNumberingAfterBreak="0">
    <w:nsid w:val="76852996"/>
    <w:multiLevelType w:val="hybridMultilevel"/>
    <w:tmpl w:val="0E40EB00"/>
    <w:lvl w:ilvl="0" w:tplc="E2906A58">
      <w:start w:val="4"/>
      <w:numFmt w:val="decimal"/>
      <w:lvlText w:val="%1"/>
      <w:lvlJc w:val="left"/>
      <w:pPr>
        <w:ind w:left="690" w:hanging="199"/>
        <w:jc w:val="right"/>
      </w:pPr>
      <w:rPr>
        <w:rFonts w:ascii="Arial" w:eastAsia="Arial" w:hAnsi="Arial" w:cs="Arial" w:hint="default"/>
        <w:b w:val="0"/>
        <w:bCs w:val="0"/>
        <w:i w:val="0"/>
        <w:iCs w:val="0"/>
        <w:w w:val="99"/>
        <w:sz w:val="14"/>
        <w:szCs w:val="14"/>
        <w:lang w:val="en-US" w:eastAsia="en-US" w:bidi="ar-SA"/>
      </w:rPr>
    </w:lvl>
    <w:lvl w:ilvl="1" w:tplc="3CF88972">
      <w:numFmt w:val="bullet"/>
      <w:lvlText w:val="•"/>
      <w:lvlJc w:val="left"/>
      <w:pPr>
        <w:ind w:left="2235" w:hanging="199"/>
      </w:pPr>
      <w:rPr>
        <w:rFonts w:hint="default"/>
        <w:lang w:val="en-US" w:eastAsia="en-US" w:bidi="ar-SA"/>
      </w:rPr>
    </w:lvl>
    <w:lvl w:ilvl="2" w:tplc="53903E16">
      <w:numFmt w:val="bullet"/>
      <w:lvlText w:val="•"/>
      <w:lvlJc w:val="left"/>
      <w:pPr>
        <w:ind w:left="3771" w:hanging="199"/>
      </w:pPr>
      <w:rPr>
        <w:rFonts w:hint="default"/>
        <w:lang w:val="en-US" w:eastAsia="en-US" w:bidi="ar-SA"/>
      </w:rPr>
    </w:lvl>
    <w:lvl w:ilvl="3" w:tplc="4CD8923E">
      <w:numFmt w:val="bullet"/>
      <w:lvlText w:val="•"/>
      <w:lvlJc w:val="left"/>
      <w:pPr>
        <w:ind w:left="5307" w:hanging="199"/>
      </w:pPr>
      <w:rPr>
        <w:rFonts w:hint="default"/>
        <w:lang w:val="en-US" w:eastAsia="en-US" w:bidi="ar-SA"/>
      </w:rPr>
    </w:lvl>
    <w:lvl w:ilvl="4" w:tplc="D0306CE0">
      <w:numFmt w:val="bullet"/>
      <w:lvlText w:val="•"/>
      <w:lvlJc w:val="left"/>
      <w:pPr>
        <w:ind w:left="6843" w:hanging="199"/>
      </w:pPr>
      <w:rPr>
        <w:rFonts w:hint="default"/>
        <w:lang w:val="en-US" w:eastAsia="en-US" w:bidi="ar-SA"/>
      </w:rPr>
    </w:lvl>
    <w:lvl w:ilvl="5" w:tplc="3A06444E">
      <w:numFmt w:val="bullet"/>
      <w:lvlText w:val="•"/>
      <w:lvlJc w:val="left"/>
      <w:pPr>
        <w:ind w:left="8378" w:hanging="199"/>
      </w:pPr>
      <w:rPr>
        <w:rFonts w:hint="default"/>
        <w:lang w:val="en-US" w:eastAsia="en-US" w:bidi="ar-SA"/>
      </w:rPr>
    </w:lvl>
    <w:lvl w:ilvl="6" w:tplc="E4B23BFC">
      <w:numFmt w:val="bullet"/>
      <w:lvlText w:val="•"/>
      <w:lvlJc w:val="left"/>
      <w:pPr>
        <w:ind w:left="9914" w:hanging="199"/>
      </w:pPr>
      <w:rPr>
        <w:rFonts w:hint="default"/>
        <w:lang w:val="en-US" w:eastAsia="en-US" w:bidi="ar-SA"/>
      </w:rPr>
    </w:lvl>
    <w:lvl w:ilvl="7" w:tplc="91586B5A">
      <w:numFmt w:val="bullet"/>
      <w:lvlText w:val="•"/>
      <w:lvlJc w:val="left"/>
      <w:pPr>
        <w:ind w:left="11450" w:hanging="199"/>
      </w:pPr>
      <w:rPr>
        <w:rFonts w:hint="default"/>
        <w:lang w:val="en-US" w:eastAsia="en-US" w:bidi="ar-SA"/>
      </w:rPr>
    </w:lvl>
    <w:lvl w:ilvl="8" w:tplc="D82A3F00">
      <w:numFmt w:val="bullet"/>
      <w:lvlText w:val="•"/>
      <w:lvlJc w:val="left"/>
      <w:pPr>
        <w:ind w:left="12986" w:hanging="199"/>
      </w:pPr>
      <w:rPr>
        <w:rFonts w:hint="default"/>
        <w:lang w:val="en-US" w:eastAsia="en-US" w:bidi="ar-SA"/>
      </w:rPr>
    </w:lvl>
  </w:abstractNum>
  <w:abstractNum w:abstractNumId="194" w15:restartNumberingAfterBreak="0">
    <w:nsid w:val="76CA7F59"/>
    <w:multiLevelType w:val="hybridMultilevel"/>
    <w:tmpl w:val="A84ACA46"/>
    <w:lvl w:ilvl="0" w:tplc="6652AEB4">
      <w:numFmt w:val="bullet"/>
      <w:lvlText w:val="•"/>
      <w:lvlJc w:val="left"/>
      <w:pPr>
        <w:ind w:left="573" w:hanging="284"/>
      </w:pPr>
      <w:rPr>
        <w:rFonts w:ascii="Tahoma" w:eastAsia="Tahoma" w:hAnsi="Tahoma" w:cs="Tahoma" w:hint="default"/>
        <w:b w:val="0"/>
        <w:bCs w:val="0"/>
        <w:i w:val="0"/>
        <w:iCs w:val="0"/>
        <w:w w:val="109"/>
        <w:sz w:val="20"/>
        <w:szCs w:val="20"/>
        <w:lang w:val="en-US" w:eastAsia="en-US" w:bidi="ar-SA"/>
      </w:rPr>
    </w:lvl>
    <w:lvl w:ilvl="1" w:tplc="B0D45D40">
      <w:numFmt w:val="bullet"/>
      <w:lvlText w:val="•"/>
      <w:lvlJc w:val="left"/>
      <w:pPr>
        <w:ind w:left="1028" w:hanging="284"/>
      </w:pPr>
      <w:rPr>
        <w:rFonts w:hint="default"/>
        <w:lang w:val="en-US" w:eastAsia="en-US" w:bidi="ar-SA"/>
      </w:rPr>
    </w:lvl>
    <w:lvl w:ilvl="2" w:tplc="C8060B9E">
      <w:numFmt w:val="bullet"/>
      <w:lvlText w:val="•"/>
      <w:lvlJc w:val="left"/>
      <w:pPr>
        <w:ind w:left="1477" w:hanging="284"/>
      </w:pPr>
      <w:rPr>
        <w:rFonts w:hint="default"/>
        <w:lang w:val="en-US" w:eastAsia="en-US" w:bidi="ar-SA"/>
      </w:rPr>
    </w:lvl>
    <w:lvl w:ilvl="3" w:tplc="F60CC8C6">
      <w:numFmt w:val="bullet"/>
      <w:lvlText w:val="•"/>
      <w:lvlJc w:val="left"/>
      <w:pPr>
        <w:ind w:left="1926" w:hanging="284"/>
      </w:pPr>
      <w:rPr>
        <w:rFonts w:hint="default"/>
        <w:lang w:val="en-US" w:eastAsia="en-US" w:bidi="ar-SA"/>
      </w:rPr>
    </w:lvl>
    <w:lvl w:ilvl="4" w:tplc="0C86B536">
      <w:numFmt w:val="bullet"/>
      <w:lvlText w:val="•"/>
      <w:lvlJc w:val="left"/>
      <w:pPr>
        <w:ind w:left="2374" w:hanging="284"/>
      </w:pPr>
      <w:rPr>
        <w:rFonts w:hint="default"/>
        <w:lang w:val="en-US" w:eastAsia="en-US" w:bidi="ar-SA"/>
      </w:rPr>
    </w:lvl>
    <w:lvl w:ilvl="5" w:tplc="80E68E00">
      <w:numFmt w:val="bullet"/>
      <w:lvlText w:val="•"/>
      <w:lvlJc w:val="left"/>
      <w:pPr>
        <w:ind w:left="2823" w:hanging="284"/>
      </w:pPr>
      <w:rPr>
        <w:rFonts w:hint="default"/>
        <w:lang w:val="en-US" w:eastAsia="en-US" w:bidi="ar-SA"/>
      </w:rPr>
    </w:lvl>
    <w:lvl w:ilvl="6" w:tplc="2DD6B902">
      <w:numFmt w:val="bullet"/>
      <w:lvlText w:val="•"/>
      <w:lvlJc w:val="left"/>
      <w:pPr>
        <w:ind w:left="3272" w:hanging="284"/>
      </w:pPr>
      <w:rPr>
        <w:rFonts w:hint="default"/>
        <w:lang w:val="en-US" w:eastAsia="en-US" w:bidi="ar-SA"/>
      </w:rPr>
    </w:lvl>
    <w:lvl w:ilvl="7" w:tplc="FA66B008">
      <w:numFmt w:val="bullet"/>
      <w:lvlText w:val="•"/>
      <w:lvlJc w:val="left"/>
      <w:pPr>
        <w:ind w:left="3720" w:hanging="284"/>
      </w:pPr>
      <w:rPr>
        <w:rFonts w:hint="default"/>
        <w:lang w:val="en-US" w:eastAsia="en-US" w:bidi="ar-SA"/>
      </w:rPr>
    </w:lvl>
    <w:lvl w:ilvl="8" w:tplc="A7722EFE">
      <w:numFmt w:val="bullet"/>
      <w:lvlText w:val="•"/>
      <w:lvlJc w:val="left"/>
      <w:pPr>
        <w:ind w:left="4169" w:hanging="284"/>
      </w:pPr>
      <w:rPr>
        <w:rFonts w:hint="default"/>
        <w:lang w:val="en-US" w:eastAsia="en-US" w:bidi="ar-SA"/>
      </w:rPr>
    </w:lvl>
  </w:abstractNum>
  <w:abstractNum w:abstractNumId="195" w15:restartNumberingAfterBreak="0">
    <w:nsid w:val="76D3554C"/>
    <w:multiLevelType w:val="hybridMultilevel"/>
    <w:tmpl w:val="27EE3320"/>
    <w:lvl w:ilvl="0" w:tplc="CD6C5194">
      <w:numFmt w:val="bullet"/>
      <w:lvlText w:val="•"/>
      <w:lvlJc w:val="left"/>
      <w:pPr>
        <w:ind w:left="495" w:hanging="284"/>
      </w:pPr>
      <w:rPr>
        <w:rFonts w:ascii="Tahoma" w:eastAsia="Tahoma" w:hAnsi="Tahoma" w:cs="Tahoma" w:hint="default"/>
        <w:b w:val="0"/>
        <w:bCs w:val="0"/>
        <w:i w:val="0"/>
        <w:iCs w:val="0"/>
        <w:w w:val="109"/>
        <w:sz w:val="20"/>
        <w:szCs w:val="20"/>
        <w:lang w:val="en-US" w:eastAsia="en-US" w:bidi="ar-SA"/>
      </w:rPr>
    </w:lvl>
    <w:lvl w:ilvl="1" w:tplc="EB386B9A">
      <w:start w:val="1"/>
      <w:numFmt w:val="decimal"/>
      <w:lvlText w:val="%2"/>
      <w:lvlJc w:val="left"/>
      <w:pPr>
        <w:ind w:left="566" w:hanging="199"/>
        <w:jc w:val="right"/>
      </w:pPr>
      <w:rPr>
        <w:rFonts w:ascii="Arial" w:eastAsia="Arial" w:hAnsi="Arial" w:cs="Arial" w:hint="default"/>
        <w:b w:val="0"/>
        <w:bCs w:val="0"/>
        <w:i w:val="0"/>
        <w:iCs w:val="0"/>
        <w:w w:val="98"/>
        <w:sz w:val="14"/>
        <w:szCs w:val="14"/>
        <w:lang w:val="en-US" w:eastAsia="en-US" w:bidi="ar-SA"/>
      </w:rPr>
    </w:lvl>
    <w:lvl w:ilvl="2" w:tplc="76BA4024">
      <w:numFmt w:val="bullet"/>
      <w:lvlText w:val="•"/>
      <w:lvlJc w:val="left"/>
      <w:pPr>
        <w:ind w:left="775" w:hanging="284"/>
      </w:pPr>
      <w:rPr>
        <w:rFonts w:ascii="Tahoma" w:eastAsia="Tahoma" w:hAnsi="Tahoma" w:cs="Tahoma" w:hint="default"/>
        <w:b w:val="0"/>
        <w:bCs w:val="0"/>
        <w:i w:val="0"/>
        <w:iCs w:val="0"/>
        <w:w w:val="109"/>
        <w:sz w:val="20"/>
        <w:szCs w:val="20"/>
        <w:lang w:val="en-US" w:eastAsia="en-US" w:bidi="ar-SA"/>
      </w:rPr>
    </w:lvl>
    <w:lvl w:ilvl="3" w:tplc="1A2EA22C">
      <w:numFmt w:val="bullet"/>
      <w:lvlText w:val="–"/>
      <w:lvlJc w:val="left"/>
      <w:pPr>
        <w:ind w:left="1058" w:hanging="284"/>
      </w:pPr>
      <w:rPr>
        <w:rFonts w:ascii="Arial" w:eastAsia="Arial" w:hAnsi="Arial" w:cs="Arial" w:hint="default"/>
        <w:b w:val="0"/>
        <w:bCs w:val="0"/>
        <w:i w:val="0"/>
        <w:iCs w:val="0"/>
        <w:w w:val="89"/>
        <w:sz w:val="20"/>
        <w:szCs w:val="20"/>
        <w:lang w:val="en-US" w:eastAsia="en-US" w:bidi="ar-SA"/>
      </w:rPr>
    </w:lvl>
    <w:lvl w:ilvl="4" w:tplc="F16E8938">
      <w:numFmt w:val="bullet"/>
      <w:lvlText w:val="•"/>
      <w:lvlJc w:val="left"/>
      <w:pPr>
        <w:ind w:left="209" w:hanging="284"/>
      </w:pPr>
      <w:rPr>
        <w:rFonts w:hint="default"/>
        <w:lang w:val="en-US" w:eastAsia="en-US" w:bidi="ar-SA"/>
      </w:rPr>
    </w:lvl>
    <w:lvl w:ilvl="5" w:tplc="C338B260">
      <w:numFmt w:val="bullet"/>
      <w:lvlText w:val="•"/>
      <w:lvlJc w:val="left"/>
      <w:pPr>
        <w:ind w:left="-641" w:hanging="284"/>
      </w:pPr>
      <w:rPr>
        <w:rFonts w:hint="default"/>
        <w:lang w:val="en-US" w:eastAsia="en-US" w:bidi="ar-SA"/>
      </w:rPr>
    </w:lvl>
    <w:lvl w:ilvl="6" w:tplc="8D14D3EA">
      <w:numFmt w:val="bullet"/>
      <w:lvlText w:val="•"/>
      <w:lvlJc w:val="left"/>
      <w:pPr>
        <w:ind w:left="-1491" w:hanging="284"/>
      </w:pPr>
      <w:rPr>
        <w:rFonts w:hint="default"/>
        <w:lang w:val="en-US" w:eastAsia="en-US" w:bidi="ar-SA"/>
      </w:rPr>
    </w:lvl>
    <w:lvl w:ilvl="7" w:tplc="622C85FE">
      <w:numFmt w:val="bullet"/>
      <w:lvlText w:val="•"/>
      <w:lvlJc w:val="left"/>
      <w:pPr>
        <w:ind w:left="-2341" w:hanging="284"/>
      </w:pPr>
      <w:rPr>
        <w:rFonts w:hint="default"/>
        <w:lang w:val="en-US" w:eastAsia="en-US" w:bidi="ar-SA"/>
      </w:rPr>
    </w:lvl>
    <w:lvl w:ilvl="8" w:tplc="C1D80B82">
      <w:numFmt w:val="bullet"/>
      <w:lvlText w:val="•"/>
      <w:lvlJc w:val="left"/>
      <w:pPr>
        <w:ind w:left="-3191" w:hanging="284"/>
      </w:pPr>
      <w:rPr>
        <w:rFonts w:hint="default"/>
        <w:lang w:val="en-US" w:eastAsia="en-US" w:bidi="ar-SA"/>
      </w:rPr>
    </w:lvl>
  </w:abstractNum>
  <w:abstractNum w:abstractNumId="196" w15:restartNumberingAfterBreak="0">
    <w:nsid w:val="771119CA"/>
    <w:multiLevelType w:val="hybridMultilevel"/>
    <w:tmpl w:val="460C8D8E"/>
    <w:lvl w:ilvl="0" w:tplc="1F8EFBEC">
      <w:numFmt w:val="bullet"/>
      <w:lvlText w:val="•"/>
      <w:lvlJc w:val="left"/>
      <w:pPr>
        <w:ind w:left="720" w:hanging="284"/>
      </w:pPr>
      <w:rPr>
        <w:rFonts w:ascii="Tahoma" w:eastAsia="Tahoma" w:hAnsi="Tahoma" w:cs="Tahoma" w:hint="default"/>
        <w:b w:val="0"/>
        <w:bCs w:val="0"/>
        <w:i w:val="0"/>
        <w:iCs w:val="0"/>
        <w:w w:val="109"/>
        <w:sz w:val="20"/>
        <w:szCs w:val="20"/>
        <w:lang w:val="en-US" w:eastAsia="en-US" w:bidi="ar-SA"/>
      </w:rPr>
    </w:lvl>
    <w:lvl w:ilvl="1" w:tplc="358A44C4">
      <w:start w:val="1"/>
      <w:numFmt w:val="decimal"/>
      <w:lvlText w:val="%2"/>
      <w:lvlJc w:val="left"/>
      <w:pPr>
        <w:ind w:left="10744" w:hanging="199"/>
        <w:jc w:val="right"/>
      </w:pPr>
      <w:rPr>
        <w:rFonts w:ascii="Arial" w:eastAsia="Arial" w:hAnsi="Arial" w:cs="Arial" w:hint="default"/>
        <w:b w:val="0"/>
        <w:bCs w:val="0"/>
        <w:i w:val="0"/>
        <w:iCs w:val="0"/>
        <w:w w:val="99"/>
        <w:sz w:val="14"/>
        <w:szCs w:val="14"/>
        <w:lang w:val="en-US" w:eastAsia="en-US" w:bidi="ar-SA"/>
      </w:rPr>
    </w:lvl>
    <w:lvl w:ilvl="2" w:tplc="89CA6A4E">
      <w:numFmt w:val="bullet"/>
      <w:lvlText w:val="•"/>
      <w:lvlJc w:val="left"/>
      <w:pPr>
        <w:ind w:left="10207" w:hanging="199"/>
      </w:pPr>
      <w:rPr>
        <w:rFonts w:hint="default"/>
        <w:lang w:val="en-US" w:eastAsia="en-US" w:bidi="ar-SA"/>
      </w:rPr>
    </w:lvl>
    <w:lvl w:ilvl="3" w:tplc="898E8508">
      <w:numFmt w:val="bullet"/>
      <w:lvlText w:val="•"/>
      <w:lvlJc w:val="left"/>
      <w:pPr>
        <w:ind w:left="9675" w:hanging="199"/>
      </w:pPr>
      <w:rPr>
        <w:rFonts w:hint="default"/>
        <w:lang w:val="en-US" w:eastAsia="en-US" w:bidi="ar-SA"/>
      </w:rPr>
    </w:lvl>
    <w:lvl w:ilvl="4" w:tplc="2D2C69D2">
      <w:numFmt w:val="bullet"/>
      <w:lvlText w:val="•"/>
      <w:lvlJc w:val="left"/>
      <w:pPr>
        <w:ind w:left="9143" w:hanging="199"/>
      </w:pPr>
      <w:rPr>
        <w:rFonts w:hint="default"/>
        <w:lang w:val="en-US" w:eastAsia="en-US" w:bidi="ar-SA"/>
      </w:rPr>
    </w:lvl>
    <w:lvl w:ilvl="5" w:tplc="13CE1F5E">
      <w:numFmt w:val="bullet"/>
      <w:lvlText w:val="•"/>
      <w:lvlJc w:val="left"/>
      <w:pPr>
        <w:ind w:left="8610" w:hanging="199"/>
      </w:pPr>
      <w:rPr>
        <w:rFonts w:hint="default"/>
        <w:lang w:val="en-US" w:eastAsia="en-US" w:bidi="ar-SA"/>
      </w:rPr>
    </w:lvl>
    <w:lvl w:ilvl="6" w:tplc="AAD2C512">
      <w:numFmt w:val="bullet"/>
      <w:lvlText w:val="•"/>
      <w:lvlJc w:val="left"/>
      <w:pPr>
        <w:ind w:left="8078" w:hanging="199"/>
      </w:pPr>
      <w:rPr>
        <w:rFonts w:hint="default"/>
        <w:lang w:val="en-US" w:eastAsia="en-US" w:bidi="ar-SA"/>
      </w:rPr>
    </w:lvl>
    <w:lvl w:ilvl="7" w:tplc="B6A8EE9A">
      <w:numFmt w:val="bullet"/>
      <w:lvlText w:val="•"/>
      <w:lvlJc w:val="left"/>
      <w:pPr>
        <w:ind w:left="7546" w:hanging="199"/>
      </w:pPr>
      <w:rPr>
        <w:rFonts w:hint="default"/>
        <w:lang w:val="en-US" w:eastAsia="en-US" w:bidi="ar-SA"/>
      </w:rPr>
    </w:lvl>
    <w:lvl w:ilvl="8" w:tplc="0CE8689A">
      <w:numFmt w:val="bullet"/>
      <w:lvlText w:val="•"/>
      <w:lvlJc w:val="left"/>
      <w:pPr>
        <w:ind w:left="7013" w:hanging="199"/>
      </w:pPr>
      <w:rPr>
        <w:rFonts w:hint="default"/>
        <w:lang w:val="en-US" w:eastAsia="en-US" w:bidi="ar-SA"/>
      </w:rPr>
    </w:lvl>
  </w:abstractNum>
  <w:abstractNum w:abstractNumId="197" w15:restartNumberingAfterBreak="0">
    <w:nsid w:val="773A48DB"/>
    <w:multiLevelType w:val="hybridMultilevel"/>
    <w:tmpl w:val="694871C8"/>
    <w:lvl w:ilvl="0" w:tplc="73BEB7A8">
      <w:start w:val="19"/>
      <w:numFmt w:val="decimal"/>
      <w:lvlText w:val="%1"/>
      <w:lvlJc w:val="left"/>
      <w:pPr>
        <w:ind w:left="256" w:hanging="257"/>
        <w:jc w:val="left"/>
      </w:pPr>
      <w:rPr>
        <w:rFonts w:ascii="Arial" w:eastAsia="Arial" w:hAnsi="Arial" w:cs="Arial" w:hint="default"/>
        <w:b/>
        <w:bCs/>
        <w:i w:val="0"/>
        <w:iCs w:val="0"/>
        <w:w w:val="99"/>
        <w:sz w:val="13"/>
        <w:szCs w:val="13"/>
        <w:lang w:val="en-US" w:eastAsia="en-US" w:bidi="ar-SA"/>
      </w:rPr>
    </w:lvl>
    <w:lvl w:ilvl="1" w:tplc="4A02AAD2">
      <w:numFmt w:val="bullet"/>
      <w:lvlText w:val="•"/>
      <w:lvlJc w:val="left"/>
      <w:pPr>
        <w:ind w:left="429" w:hanging="257"/>
      </w:pPr>
      <w:rPr>
        <w:rFonts w:hint="default"/>
        <w:lang w:val="en-US" w:eastAsia="en-US" w:bidi="ar-SA"/>
      </w:rPr>
    </w:lvl>
    <w:lvl w:ilvl="2" w:tplc="BCB85486">
      <w:numFmt w:val="bullet"/>
      <w:lvlText w:val="•"/>
      <w:lvlJc w:val="left"/>
      <w:pPr>
        <w:ind w:left="598" w:hanging="257"/>
      </w:pPr>
      <w:rPr>
        <w:rFonts w:hint="default"/>
        <w:lang w:val="en-US" w:eastAsia="en-US" w:bidi="ar-SA"/>
      </w:rPr>
    </w:lvl>
    <w:lvl w:ilvl="3" w:tplc="F1F030F8">
      <w:numFmt w:val="bullet"/>
      <w:lvlText w:val="•"/>
      <w:lvlJc w:val="left"/>
      <w:pPr>
        <w:ind w:left="767" w:hanging="257"/>
      </w:pPr>
      <w:rPr>
        <w:rFonts w:hint="default"/>
        <w:lang w:val="en-US" w:eastAsia="en-US" w:bidi="ar-SA"/>
      </w:rPr>
    </w:lvl>
    <w:lvl w:ilvl="4" w:tplc="1A28F1CA">
      <w:numFmt w:val="bullet"/>
      <w:lvlText w:val="•"/>
      <w:lvlJc w:val="left"/>
      <w:pPr>
        <w:ind w:left="936" w:hanging="257"/>
      </w:pPr>
      <w:rPr>
        <w:rFonts w:hint="default"/>
        <w:lang w:val="en-US" w:eastAsia="en-US" w:bidi="ar-SA"/>
      </w:rPr>
    </w:lvl>
    <w:lvl w:ilvl="5" w:tplc="75C22600">
      <w:numFmt w:val="bullet"/>
      <w:lvlText w:val="•"/>
      <w:lvlJc w:val="left"/>
      <w:pPr>
        <w:ind w:left="1105" w:hanging="257"/>
      </w:pPr>
      <w:rPr>
        <w:rFonts w:hint="default"/>
        <w:lang w:val="en-US" w:eastAsia="en-US" w:bidi="ar-SA"/>
      </w:rPr>
    </w:lvl>
    <w:lvl w:ilvl="6" w:tplc="1A2A0D98">
      <w:numFmt w:val="bullet"/>
      <w:lvlText w:val="•"/>
      <w:lvlJc w:val="left"/>
      <w:pPr>
        <w:ind w:left="1274" w:hanging="257"/>
      </w:pPr>
      <w:rPr>
        <w:rFonts w:hint="default"/>
        <w:lang w:val="en-US" w:eastAsia="en-US" w:bidi="ar-SA"/>
      </w:rPr>
    </w:lvl>
    <w:lvl w:ilvl="7" w:tplc="C4A8DC06">
      <w:numFmt w:val="bullet"/>
      <w:lvlText w:val="•"/>
      <w:lvlJc w:val="left"/>
      <w:pPr>
        <w:ind w:left="1443" w:hanging="257"/>
      </w:pPr>
      <w:rPr>
        <w:rFonts w:hint="default"/>
        <w:lang w:val="en-US" w:eastAsia="en-US" w:bidi="ar-SA"/>
      </w:rPr>
    </w:lvl>
    <w:lvl w:ilvl="8" w:tplc="53FAED7C">
      <w:numFmt w:val="bullet"/>
      <w:lvlText w:val="•"/>
      <w:lvlJc w:val="left"/>
      <w:pPr>
        <w:ind w:left="1612" w:hanging="257"/>
      </w:pPr>
      <w:rPr>
        <w:rFonts w:hint="default"/>
        <w:lang w:val="en-US" w:eastAsia="en-US" w:bidi="ar-SA"/>
      </w:rPr>
    </w:lvl>
  </w:abstractNum>
  <w:abstractNum w:abstractNumId="198" w15:restartNumberingAfterBreak="0">
    <w:nsid w:val="77F67C43"/>
    <w:multiLevelType w:val="multilevel"/>
    <w:tmpl w:val="F8940562"/>
    <w:lvl w:ilvl="0">
      <w:start w:val="2"/>
      <w:numFmt w:val="decimal"/>
      <w:lvlText w:val="%1"/>
      <w:lvlJc w:val="left"/>
      <w:pPr>
        <w:ind w:left="1640" w:hanging="1148"/>
        <w:jc w:val="left"/>
      </w:pPr>
      <w:rPr>
        <w:rFonts w:hint="default"/>
        <w:lang w:val="en-US" w:eastAsia="en-US" w:bidi="ar-SA"/>
      </w:rPr>
    </w:lvl>
    <w:lvl w:ilvl="1">
      <w:numFmt w:val="decimal"/>
      <w:lvlText w:val="%1.%2"/>
      <w:lvlJc w:val="left"/>
      <w:pPr>
        <w:ind w:left="1640" w:hanging="1148"/>
        <w:jc w:val="right"/>
      </w:pPr>
      <w:rPr>
        <w:rFonts w:hint="default"/>
        <w:spacing w:val="-31"/>
        <w:w w:val="61"/>
        <w:lang w:val="en-US" w:eastAsia="en-US" w:bidi="ar-SA"/>
      </w:rPr>
    </w:lvl>
    <w:lvl w:ilvl="2">
      <w:start w:val="1"/>
      <w:numFmt w:val="decimal"/>
      <w:lvlText w:val="%1.%2.%3"/>
      <w:lvlJc w:val="left"/>
      <w:pPr>
        <w:ind w:left="1017" w:hanging="486"/>
        <w:jc w:val="left"/>
      </w:pPr>
      <w:rPr>
        <w:rFonts w:ascii="Arial" w:eastAsia="Arial" w:hAnsi="Arial" w:cs="Arial" w:hint="default"/>
        <w:b/>
        <w:bCs/>
        <w:i w:val="0"/>
        <w:iCs w:val="0"/>
        <w:color w:val="EC008C"/>
        <w:spacing w:val="-3"/>
        <w:w w:val="99"/>
        <w:sz w:val="20"/>
        <w:szCs w:val="20"/>
        <w:lang w:val="en-US" w:eastAsia="en-US" w:bidi="ar-SA"/>
      </w:rPr>
    </w:lvl>
    <w:lvl w:ilvl="3">
      <w:numFmt w:val="bullet"/>
      <w:lvlText w:val="•"/>
      <w:lvlJc w:val="left"/>
      <w:pPr>
        <w:ind w:left="554" w:hanging="284"/>
      </w:pPr>
      <w:rPr>
        <w:rFonts w:ascii="Tahoma" w:eastAsia="Tahoma" w:hAnsi="Tahoma" w:cs="Tahoma" w:hint="default"/>
        <w:b w:val="0"/>
        <w:bCs w:val="0"/>
        <w:i w:val="0"/>
        <w:iCs w:val="0"/>
        <w:w w:val="109"/>
        <w:sz w:val="20"/>
        <w:szCs w:val="20"/>
        <w:lang w:val="en-US" w:eastAsia="en-US" w:bidi="ar-SA"/>
      </w:rPr>
    </w:lvl>
    <w:lvl w:ilvl="4">
      <w:numFmt w:val="bullet"/>
      <w:lvlText w:val="•"/>
      <w:lvlJc w:val="left"/>
      <w:pPr>
        <w:ind w:left="1020" w:hanging="284"/>
      </w:pPr>
      <w:rPr>
        <w:rFonts w:hint="default"/>
        <w:lang w:val="en-US" w:eastAsia="en-US" w:bidi="ar-SA"/>
      </w:rPr>
    </w:lvl>
    <w:lvl w:ilvl="5">
      <w:numFmt w:val="bullet"/>
      <w:lvlText w:val="•"/>
      <w:lvlJc w:val="left"/>
      <w:pPr>
        <w:ind w:left="1640" w:hanging="284"/>
      </w:pPr>
      <w:rPr>
        <w:rFonts w:hint="default"/>
        <w:lang w:val="en-US" w:eastAsia="en-US" w:bidi="ar-SA"/>
      </w:rPr>
    </w:lvl>
    <w:lvl w:ilvl="6">
      <w:numFmt w:val="bullet"/>
      <w:lvlText w:val="•"/>
      <w:lvlJc w:val="left"/>
      <w:pPr>
        <w:ind w:left="316" w:hanging="284"/>
      </w:pPr>
      <w:rPr>
        <w:rFonts w:hint="default"/>
        <w:lang w:val="en-US" w:eastAsia="en-US" w:bidi="ar-SA"/>
      </w:rPr>
    </w:lvl>
    <w:lvl w:ilvl="7">
      <w:numFmt w:val="bullet"/>
      <w:lvlText w:val="•"/>
      <w:lvlJc w:val="left"/>
      <w:pPr>
        <w:ind w:left="-1008" w:hanging="284"/>
      </w:pPr>
      <w:rPr>
        <w:rFonts w:hint="default"/>
        <w:lang w:val="en-US" w:eastAsia="en-US" w:bidi="ar-SA"/>
      </w:rPr>
    </w:lvl>
    <w:lvl w:ilvl="8">
      <w:numFmt w:val="bullet"/>
      <w:lvlText w:val="•"/>
      <w:lvlJc w:val="left"/>
      <w:pPr>
        <w:ind w:left="-2331" w:hanging="284"/>
      </w:pPr>
      <w:rPr>
        <w:rFonts w:hint="default"/>
        <w:lang w:val="en-US" w:eastAsia="en-US" w:bidi="ar-SA"/>
      </w:rPr>
    </w:lvl>
  </w:abstractNum>
  <w:abstractNum w:abstractNumId="199" w15:restartNumberingAfterBreak="0">
    <w:nsid w:val="79300BB1"/>
    <w:multiLevelType w:val="hybridMultilevel"/>
    <w:tmpl w:val="81564EBA"/>
    <w:lvl w:ilvl="0" w:tplc="B5BA1AB6">
      <w:numFmt w:val="bullet"/>
      <w:lvlText w:val="–"/>
      <w:lvlJc w:val="left"/>
      <w:pPr>
        <w:ind w:left="252" w:hanging="142"/>
      </w:pPr>
      <w:rPr>
        <w:rFonts w:ascii="Arial" w:eastAsia="Arial" w:hAnsi="Arial" w:cs="Arial" w:hint="default"/>
        <w:b w:val="0"/>
        <w:bCs w:val="0"/>
        <w:i w:val="0"/>
        <w:iCs w:val="0"/>
        <w:w w:val="89"/>
        <w:sz w:val="16"/>
        <w:szCs w:val="16"/>
        <w:lang w:val="en-US" w:eastAsia="en-US" w:bidi="ar-SA"/>
      </w:rPr>
    </w:lvl>
    <w:lvl w:ilvl="1" w:tplc="1DFCB9E2">
      <w:numFmt w:val="bullet"/>
      <w:lvlText w:val="•"/>
      <w:lvlJc w:val="left"/>
      <w:pPr>
        <w:ind w:left="1127" w:hanging="142"/>
      </w:pPr>
      <w:rPr>
        <w:rFonts w:hint="default"/>
        <w:lang w:val="en-US" w:eastAsia="en-US" w:bidi="ar-SA"/>
      </w:rPr>
    </w:lvl>
    <w:lvl w:ilvl="2" w:tplc="C69E4E84">
      <w:numFmt w:val="bullet"/>
      <w:lvlText w:val="•"/>
      <w:lvlJc w:val="left"/>
      <w:pPr>
        <w:ind w:left="1995" w:hanging="142"/>
      </w:pPr>
      <w:rPr>
        <w:rFonts w:hint="default"/>
        <w:lang w:val="en-US" w:eastAsia="en-US" w:bidi="ar-SA"/>
      </w:rPr>
    </w:lvl>
    <w:lvl w:ilvl="3" w:tplc="AC18C7E2">
      <w:numFmt w:val="bullet"/>
      <w:lvlText w:val="•"/>
      <w:lvlJc w:val="left"/>
      <w:pPr>
        <w:ind w:left="2863" w:hanging="142"/>
      </w:pPr>
      <w:rPr>
        <w:rFonts w:hint="default"/>
        <w:lang w:val="en-US" w:eastAsia="en-US" w:bidi="ar-SA"/>
      </w:rPr>
    </w:lvl>
    <w:lvl w:ilvl="4" w:tplc="B062301E">
      <w:numFmt w:val="bullet"/>
      <w:lvlText w:val="•"/>
      <w:lvlJc w:val="left"/>
      <w:pPr>
        <w:ind w:left="3731" w:hanging="142"/>
      </w:pPr>
      <w:rPr>
        <w:rFonts w:hint="default"/>
        <w:lang w:val="en-US" w:eastAsia="en-US" w:bidi="ar-SA"/>
      </w:rPr>
    </w:lvl>
    <w:lvl w:ilvl="5" w:tplc="729AF148">
      <w:numFmt w:val="bullet"/>
      <w:lvlText w:val="•"/>
      <w:lvlJc w:val="left"/>
      <w:pPr>
        <w:ind w:left="4599" w:hanging="142"/>
      </w:pPr>
      <w:rPr>
        <w:rFonts w:hint="default"/>
        <w:lang w:val="en-US" w:eastAsia="en-US" w:bidi="ar-SA"/>
      </w:rPr>
    </w:lvl>
    <w:lvl w:ilvl="6" w:tplc="20D86008">
      <w:numFmt w:val="bullet"/>
      <w:lvlText w:val="•"/>
      <w:lvlJc w:val="left"/>
      <w:pPr>
        <w:ind w:left="5467" w:hanging="142"/>
      </w:pPr>
      <w:rPr>
        <w:rFonts w:hint="default"/>
        <w:lang w:val="en-US" w:eastAsia="en-US" w:bidi="ar-SA"/>
      </w:rPr>
    </w:lvl>
    <w:lvl w:ilvl="7" w:tplc="77A45934">
      <w:numFmt w:val="bullet"/>
      <w:lvlText w:val="•"/>
      <w:lvlJc w:val="left"/>
      <w:pPr>
        <w:ind w:left="6335" w:hanging="142"/>
      </w:pPr>
      <w:rPr>
        <w:rFonts w:hint="default"/>
        <w:lang w:val="en-US" w:eastAsia="en-US" w:bidi="ar-SA"/>
      </w:rPr>
    </w:lvl>
    <w:lvl w:ilvl="8" w:tplc="ABF0A370">
      <w:numFmt w:val="bullet"/>
      <w:lvlText w:val="•"/>
      <w:lvlJc w:val="left"/>
      <w:pPr>
        <w:ind w:left="7203" w:hanging="142"/>
      </w:pPr>
      <w:rPr>
        <w:rFonts w:hint="default"/>
        <w:lang w:val="en-US" w:eastAsia="en-US" w:bidi="ar-SA"/>
      </w:rPr>
    </w:lvl>
  </w:abstractNum>
  <w:abstractNum w:abstractNumId="200" w15:restartNumberingAfterBreak="0">
    <w:nsid w:val="79364F3D"/>
    <w:multiLevelType w:val="multilevel"/>
    <w:tmpl w:val="C9B4750A"/>
    <w:lvl w:ilvl="0">
      <w:start w:val="10"/>
      <w:numFmt w:val="decimal"/>
      <w:lvlText w:val="%1"/>
      <w:lvlJc w:val="left"/>
      <w:pPr>
        <w:ind w:left="787" w:hanging="595"/>
        <w:jc w:val="left"/>
      </w:pPr>
      <w:rPr>
        <w:rFonts w:hint="default"/>
        <w:lang w:val="en-US" w:eastAsia="en-US" w:bidi="ar-SA"/>
      </w:rPr>
    </w:lvl>
    <w:lvl w:ilvl="1">
      <w:start w:val="5"/>
      <w:numFmt w:val="decimal"/>
      <w:lvlText w:val="%1.%2"/>
      <w:lvlJc w:val="left"/>
      <w:pPr>
        <w:ind w:left="787" w:hanging="595"/>
        <w:jc w:val="left"/>
      </w:pPr>
      <w:rPr>
        <w:rFonts w:hint="default"/>
        <w:lang w:val="en-US" w:eastAsia="en-US" w:bidi="ar-SA"/>
      </w:rPr>
    </w:lvl>
    <w:lvl w:ilvl="2">
      <w:start w:val="1"/>
      <w:numFmt w:val="decimal"/>
      <w:lvlText w:val="%1.%2.%3"/>
      <w:lvlJc w:val="left"/>
      <w:pPr>
        <w:ind w:left="787" w:hanging="595"/>
        <w:jc w:val="left"/>
      </w:pPr>
      <w:rPr>
        <w:rFonts w:ascii="Arial" w:eastAsia="Arial" w:hAnsi="Arial" w:cs="Arial" w:hint="default"/>
        <w:b/>
        <w:bCs/>
        <w:i w:val="0"/>
        <w:iCs w:val="0"/>
        <w:color w:val="00AEEF"/>
        <w:spacing w:val="-3"/>
        <w:w w:val="99"/>
        <w:sz w:val="20"/>
        <w:szCs w:val="20"/>
        <w:lang w:val="en-US" w:eastAsia="en-US" w:bidi="ar-SA"/>
      </w:rPr>
    </w:lvl>
    <w:lvl w:ilvl="3">
      <w:numFmt w:val="bullet"/>
      <w:lvlText w:val="•"/>
      <w:lvlJc w:val="left"/>
      <w:pPr>
        <w:ind w:left="2043" w:hanging="595"/>
      </w:pPr>
      <w:rPr>
        <w:rFonts w:hint="default"/>
        <w:lang w:val="en-US" w:eastAsia="en-US" w:bidi="ar-SA"/>
      </w:rPr>
    </w:lvl>
    <w:lvl w:ilvl="4">
      <w:numFmt w:val="bullet"/>
      <w:lvlText w:val="•"/>
      <w:lvlJc w:val="left"/>
      <w:pPr>
        <w:ind w:left="2464" w:hanging="595"/>
      </w:pPr>
      <w:rPr>
        <w:rFonts w:hint="default"/>
        <w:lang w:val="en-US" w:eastAsia="en-US" w:bidi="ar-SA"/>
      </w:rPr>
    </w:lvl>
    <w:lvl w:ilvl="5">
      <w:numFmt w:val="bullet"/>
      <w:lvlText w:val="•"/>
      <w:lvlJc w:val="left"/>
      <w:pPr>
        <w:ind w:left="2886" w:hanging="595"/>
      </w:pPr>
      <w:rPr>
        <w:rFonts w:hint="default"/>
        <w:lang w:val="en-US" w:eastAsia="en-US" w:bidi="ar-SA"/>
      </w:rPr>
    </w:lvl>
    <w:lvl w:ilvl="6">
      <w:numFmt w:val="bullet"/>
      <w:lvlText w:val="•"/>
      <w:lvlJc w:val="left"/>
      <w:pPr>
        <w:ind w:left="3307" w:hanging="595"/>
      </w:pPr>
      <w:rPr>
        <w:rFonts w:hint="default"/>
        <w:lang w:val="en-US" w:eastAsia="en-US" w:bidi="ar-SA"/>
      </w:rPr>
    </w:lvl>
    <w:lvl w:ilvl="7">
      <w:numFmt w:val="bullet"/>
      <w:lvlText w:val="•"/>
      <w:lvlJc w:val="left"/>
      <w:pPr>
        <w:ind w:left="3728" w:hanging="595"/>
      </w:pPr>
      <w:rPr>
        <w:rFonts w:hint="default"/>
        <w:lang w:val="en-US" w:eastAsia="en-US" w:bidi="ar-SA"/>
      </w:rPr>
    </w:lvl>
    <w:lvl w:ilvl="8">
      <w:numFmt w:val="bullet"/>
      <w:lvlText w:val="•"/>
      <w:lvlJc w:val="left"/>
      <w:pPr>
        <w:ind w:left="4149" w:hanging="595"/>
      </w:pPr>
      <w:rPr>
        <w:rFonts w:hint="default"/>
        <w:lang w:val="en-US" w:eastAsia="en-US" w:bidi="ar-SA"/>
      </w:rPr>
    </w:lvl>
  </w:abstractNum>
  <w:abstractNum w:abstractNumId="201" w15:restartNumberingAfterBreak="0">
    <w:nsid w:val="798B2E37"/>
    <w:multiLevelType w:val="hybridMultilevel"/>
    <w:tmpl w:val="5D502D9E"/>
    <w:lvl w:ilvl="0" w:tplc="56C2B45C">
      <w:numFmt w:val="bullet"/>
      <w:lvlText w:val="•"/>
      <w:lvlJc w:val="left"/>
      <w:pPr>
        <w:ind w:left="775" w:hanging="284"/>
      </w:pPr>
      <w:rPr>
        <w:rFonts w:ascii="Tahoma" w:eastAsia="Tahoma" w:hAnsi="Tahoma" w:cs="Tahoma" w:hint="default"/>
        <w:b w:val="0"/>
        <w:bCs w:val="0"/>
        <w:i w:val="0"/>
        <w:iCs w:val="0"/>
        <w:w w:val="108"/>
        <w:sz w:val="20"/>
        <w:szCs w:val="20"/>
        <w:lang w:val="en-US" w:eastAsia="en-US" w:bidi="ar-SA"/>
      </w:rPr>
    </w:lvl>
    <w:lvl w:ilvl="1" w:tplc="9E080F62">
      <w:numFmt w:val="bullet"/>
      <w:lvlText w:val="•"/>
      <w:lvlJc w:val="left"/>
      <w:pPr>
        <w:ind w:left="1226" w:hanging="284"/>
      </w:pPr>
      <w:rPr>
        <w:rFonts w:hint="default"/>
        <w:lang w:val="en-US" w:eastAsia="en-US" w:bidi="ar-SA"/>
      </w:rPr>
    </w:lvl>
    <w:lvl w:ilvl="2" w:tplc="66F40BA8">
      <w:numFmt w:val="bullet"/>
      <w:lvlText w:val="•"/>
      <w:lvlJc w:val="left"/>
      <w:pPr>
        <w:ind w:left="1673" w:hanging="284"/>
      </w:pPr>
      <w:rPr>
        <w:rFonts w:hint="default"/>
        <w:lang w:val="en-US" w:eastAsia="en-US" w:bidi="ar-SA"/>
      </w:rPr>
    </w:lvl>
    <w:lvl w:ilvl="3" w:tplc="A81841AE">
      <w:numFmt w:val="bullet"/>
      <w:lvlText w:val="•"/>
      <w:lvlJc w:val="left"/>
      <w:pPr>
        <w:ind w:left="2120" w:hanging="284"/>
      </w:pPr>
      <w:rPr>
        <w:rFonts w:hint="default"/>
        <w:lang w:val="en-US" w:eastAsia="en-US" w:bidi="ar-SA"/>
      </w:rPr>
    </w:lvl>
    <w:lvl w:ilvl="4" w:tplc="069AB910">
      <w:numFmt w:val="bullet"/>
      <w:lvlText w:val="•"/>
      <w:lvlJc w:val="left"/>
      <w:pPr>
        <w:ind w:left="2566" w:hanging="284"/>
      </w:pPr>
      <w:rPr>
        <w:rFonts w:hint="default"/>
        <w:lang w:val="en-US" w:eastAsia="en-US" w:bidi="ar-SA"/>
      </w:rPr>
    </w:lvl>
    <w:lvl w:ilvl="5" w:tplc="1304CB18">
      <w:numFmt w:val="bullet"/>
      <w:lvlText w:val="•"/>
      <w:lvlJc w:val="left"/>
      <w:pPr>
        <w:ind w:left="3013" w:hanging="284"/>
      </w:pPr>
      <w:rPr>
        <w:rFonts w:hint="default"/>
        <w:lang w:val="en-US" w:eastAsia="en-US" w:bidi="ar-SA"/>
      </w:rPr>
    </w:lvl>
    <w:lvl w:ilvl="6" w:tplc="08200DC6">
      <w:numFmt w:val="bullet"/>
      <w:lvlText w:val="•"/>
      <w:lvlJc w:val="left"/>
      <w:pPr>
        <w:ind w:left="3460" w:hanging="284"/>
      </w:pPr>
      <w:rPr>
        <w:rFonts w:hint="default"/>
        <w:lang w:val="en-US" w:eastAsia="en-US" w:bidi="ar-SA"/>
      </w:rPr>
    </w:lvl>
    <w:lvl w:ilvl="7" w:tplc="ABEC252C">
      <w:numFmt w:val="bullet"/>
      <w:lvlText w:val="•"/>
      <w:lvlJc w:val="left"/>
      <w:pPr>
        <w:ind w:left="3907" w:hanging="284"/>
      </w:pPr>
      <w:rPr>
        <w:rFonts w:hint="default"/>
        <w:lang w:val="en-US" w:eastAsia="en-US" w:bidi="ar-SA"/>
      </w:rPr>
    </w:lvl>
    <w:lvl w:ilvl="8" w:tplc="90B4AC64">
      <w:numFmt w:val="bullet"/>
      <w:lvlText w:val="•"/>
      <w:lvlJc w:val="left"/>
      <w:pPr>
        <w:ind w:left="4353" w:hanging="284"/>
      </w:pPr>
      <w:rPr>
        <w:rFonts w:hint="default"/>
        <w:lang w:val="en-US" w:eastAsia="en-US" w:bidi="ar-SA"/>
      </w:rPr>
    </w:lvl>
  </w:abstractNum>
  <w:abstractNum w:abstractNumId="202" w15:restartNumberingAfterBreak="0">
    <w:nsid w:val="7B250DAE"/>
    <w:multiLevelType w:val="hybridMultilevel"/>
    <w:tmpl w:val="1F64B4E4"/>
    <w:lvl w:ilvl="0" w:tplc="441AEBB4">
      <w:start w:val="16"/>
      <w:numFmt w:val="decimal"/>
      <w:lvlText w:val="%1"/>
      <w:lvlJc w:val="left"/>
      <w:pPr>
        <w:ind w:left="650" w:hanging="199"/>
        <w:jc w:val="right"/>
      </w:pPr>
      <w:rPr>
        <w:rFonts w:ascii="Arial" w:eastAsia="Arial" w:hAnsi="Arial" w:cs="Arial" w:hint="default"/>
        <w:b w:val="0"/>
        <w:bCs w:val="0"/>
        <w:i w:val="0"/>
        <w:iCs w:val="0"/>
        <w:spacing w:val="-7"/>
        <w:w w:val="99"/>
        <w:sz w:val="14"/>
        <w:szCs w:val="14"/>
        <w:lang w:val="en-US" w:eastAsia="en-US" w:bidi="ar-SA"/>
      </w:rPr>
    </w:lvl>
    <w:lvl w:ilvl="1" w:tplc="ECAAE912">
      <w:numFmt w:val="bullet"/>
      <w:lvlText w:val="•"/>
      <w:lvlJc w:val="left"/>
      <w:pPr>
        <w:ind w:left="907" w:hanging="199"/>
      </w:pPr>
      <w:rPr>
        <w:rFonts w:hint="default"/>
        <w:lang w:val="en-US" w:eastAsia="en-US" w:bidi="ar-SA"/>
      </w:rPr>
    </w:lvl>
    <w:lvl w:ilvl="2" w:tplc="F8F2257C">
      <w:numFmt w:val="bullet"/>
      <w:lvlText w:val="•"/>
      <w:lvlJc w:val="left"/>
      <w:pPr>
        <w:ind w:left="1154" w:hanging="199"/>
      </w:pPr>
      <w:rPr>
        <w:rFonts w:hint="default"/>
        <w:lang w:val="en-US" w:eastAsia="en-US" w:bidi="ar-SA"/>
      </w:rPr>
    </w:lvl>
    <w:lvl w:ilvl="3" w:tplc="6282A0AE">
      <w:numFmt w:val="bullet"/>
      <w:lvlText w:val="•"/>
      <w:lvlJc w:val="left"/>
      <w:pPr>
        <w:ind w:left="1401" w:hanging="199"/>
      </w:pPr>
      <w:rPr>
        <w:rFonts w:hint="default"/>
        <w:lang w:val="en-US" w:eastAsia="en-US" w:bidi="ar-SA"/>
      </w:rPr>
    </w:lvl>
    <w:lvl w:ilvl="4" w:tplc="A7200100">
      <w:numFmt w:val="bullet"/>
      <w:lvlText w:val="•"/>
      <w:lvlJc w:val="left"/>
      <w:pPr>
        <w:ind w:left="1648" w:hanging="199"/>
      </w:pPr>
      <w:rPr>
        <w:rFonts w:hint="default"/>
        <w:lang w:val="en-US" w:eastAsia="en-US" w:bidi="ar-SA"/>
      </w:rPr>
    </w:lvl>
    <w:lvl w:ilvl="5" w:tplc="9E00F6B6">
      <w:numFmt w:val="bullet"/>
      <w:lvlText w:val="•"/>
      <w:lvlJc w:val="left"/>
      <w:pPr>
        <w:ind w:left="1895" w:hanging="199"/>
      </w:pPr>
      <w:rPr>
        <w:rFonts w:hint="default"/>
        <w:lang w:val="en-US" w:eastAsia="en-US" w:bidi="ar-SA"/>
      </w:rPr>
    </w:lvl>
    <w:lvl w:ilvl="6" w:tplc="2B9EB120">
      <w:numFmt w:val="bullet"/>
      <w:lvlText w:val="•"/>
      <w:lvlJc w:val="left"/>
      <w:pPr>
        <w:ind w:left="2142" w:hanging="199"/>
      </w:pPr>
      <w:rPr>
        <w:rFonts w:hint="default"/>
        <w:lang w:val="en-US" w:eastAsia="en-US" w:bidi="ar-SA"/>
      </w:rPr>
    </w:lvl>
    <w:lvl w:ilvl="7" w:tplc="B1F82B06">
      <w:numFmt w:val="bullet"/>
      <w:lvlText w:val="•"/>
      <w:lvlJc w:val="left"/>
      <w:pPr>
        <w:ind w:left="2389" w:hanging="199"/>
      </w:pPr>
      <w:rPr>
        <w:rFonts w:hint="default"/>
        <w:lang w:val="en-US" w:eastAsia="en-US" w:bidi="ar-SA"/>
      </w:rPr>
    </w:lvl>
    <w:lvl w:ilvl="8" w:tplc="0ECE5938">
      <w:numFmt w:val="bullet"/>
      <w:lvlText w:val="•"/>
      <w:lvlJc w:val="left"/>
      <w:pPr>
        <w:ind w:left="2636" w:hanging="199"/>
      </w:pPr>
      <w:rPr>
        <w:rFonts w:hint="default"/>
        <w:lang w:val="en-US" w:eastAsia="en-US" w:bidi="ar-SA"/>
      </w:rPr>
    </w:lvl>
  </w:abstractNum>
  <w:abstractNum w:abstractNumId="203" w15:restartNumberingAfterBreak="0">
    <w:nsid w:val="7B682B0C"/>
    <w:multiLevelType w:val="hybridMultilevel"/>
    <w:tmpl w:val="459CD1A4"/>
    <w:lvl w:ilvl="0" w:tplc="0FC08BA2">
      <w:start w:val="1"/>
      <w:numFmt w:val="decimal"/>
      <w:lvlText w:val="%1"/>
      <w:lvlJc w:val="left"/>
      <w:pPr>
        <w:ind w:left="690" w:hanging="199"/>
        <w:jc w:val="right"/>
      </w:pPr>
      <w:rPr>
        <w:rFonts w:ascii="Arial" w:eastAsia="Arial" w:hAnsi="Arial" w:cs="Arial" w:hint="default"/>
        <w:b w:val="0"/>
        <w:bCs w:val="0"/>
        <w:i w:val="0"/>
        <w:iCs w:val="0"/>
        <w:w w:val="99"/>
        <w:sz w:val="14"/>
        <w:szCs w:val="14"/>
        <w:lang w:val="en-US" w:eastAsia="en-US" w:bidi="ar-SA"/>
      </w:rPr>
    </w:lvl>
    <w:lvl w:ilvl="1" w:tplc="66CC1118">
      <w:numFmt w:val="bullet"/>
      <w:lvlText w:val="•"/>
      <w:lvlJc w:val="left"/>
      <w:pPr>
        <w:ind w:left="2235" w:hanging="199"/>
      </w:pPr>
      <w:rPr>
        <w:rFonts w:hint="default"/>
        <w:lang w:val="en-US" w:eastAsia="en-US" w:bidi="ar-SA"/>
      </w:rPr>
    </w:lvl>
    <w:lvl w:ilvl="2" w:tplc="3B36CEC0">
      <w:numFmt w:val="bullet"/>
      <w:lvlText w:val="•"/>
      <w:lvlJc w:val="left"/>
      <w:pPr>
        <w:ind w:left="3771" w:hanging="199"/>
      </w:pPr>
      <w:rPr>
        <w:rFonts w:hint="default"/>
        <w:lang w:val="en-US" w:eastAsia="en-US" w:bidi="ar-SA"/>
      </w:rPr>
    </w:lvl>
    <w:lvl w:ilvl="3" w:tplc="437A28A0">
      <w:numFmt w:val="bullet"/>
      <w:lvlText w:val="•"/>
      <w:lvlJc w:val="left"/>
      <w:pPr>
        <w:ind w:left="5307" w:hanging="199"/>
      </w:pPr>
      <w:rPr>
        <w:rFonts w:hint="default"/>
        <w:lang w:val="en-US" w:eastAsia="en-US" w:bidi="ar-SA"/>
      </w:rPr>
    </w:lvl>
    <w:lvl w:ilvl="4" w:tplc="E76CA2E0">
      <w:numFmt w:val="bullet"/>
      <w:lvlText w:val="•"/>
      <w:lvlJc w:val="left"/>
      <w:pPr>
        <w:ind w:left="6843" w:hanging="199"/>
      </w:pPr>
      <w:rPr>
        <w:rFonts w:hint="default"/>
        <w:lang w:val="en-US" w:eastAsia="en-US" w:bidi="ar-SA"/>
      </w:rPr>
    </w:lvl>
    <w:lvl w:ilvl="5" w:tplc="15F4B2BE">
      <w:numFmt w:val="bullet"/>
      <w:lvlText w:val="•"/>
      <w:lvlJc w:val="left"/>
      <w:pPr>
        <w:ind w:left="8378" w:hanging="199"/>
      </w:pPr>
      <w:rPr>
        <w:rFonts w:hint="default"/>
        <w:lang w:val="en-US" w:eastAsia="en-US" w:bidi="ar-SA"/>
      </w:rPr>
    </w:lvl>
    <w:lvl w:ilvl="6" w:tplc="AA8E80F8">
      <w:numFmt w:val="bullet"/>
      <w:lvlText w:val="•"/>
      <w:lvlJc w:val="left"/>
      <w:pPr>
        <w:ind w:left="9914" w:hanging="199"/>
      </w:pPr>
      <w:rPr>
        <w:rFonts w:hint="default"/>
        <w:lang w:val="en-US" w:eastAsia="en-US" w:bidi="ar-SA"/>
      </w:rPr>
    </w:lvl>
    <w:lvl w:ilvl="7" w:tplc="21066EA2">
      <w:numFmt w:val="bullet"/>
      <w:lvlText w:val="•"/>
      <w:lvlJc w:val="left"/>
      <w:pPr>
        <w:ind w:left="11450" w:hanging="199"/>
      </w:pPr>
      <w:rPr>
        <w:rFonts w:hint="default"/>
        <w:lang w:val="en-US" w:eastAsia="en-US" w:bidi="ar-SA"/>
      </w:rPr>
    </w:lvl>
    <w:lvl w:ilvl="8" w:tplc="B6BE03E8">
      <w:numFmt w:val="bullet"/>
      <w:lvlText w:val="•"/>
      <w:lvlJc w:val="left"/>
      <w:pPr>
        <w:ind w:left="12986" w:hanging="199"/>
      </w:pPr>
      <w:rPr>
        <w:rFonts w:hint="default"/>
        <w:lang w:val="en-US" w:eastAsia="en-US" w:bidi="ar-SA"/>
      </w:rPr>
    </w:lvl>
  </w:abstractNum>
  <w:abstractNum w:abstractNumId="204" w15:restartNumberingAfterBreak="0">
    <w:nsid w:val="7BA95D9F"/>
    <w:multiLevelType w:val="multilevel"/>
    <w:tmpl w:val="8688876E"/>
    <w:lvl w:ilvl="0">
      <w:start w:val="14"/>
      <w:numFmt w:val="decimal"/>
      <w:lvlText w:val="%1"/>
      <w:lvlJc w:val="left"/>
      <w:pPr>
        <w:ind w:left="853" w:hanging="595"/>
        <w:jc w:val="left"/>
      </w:pPr>
      <w:rPr>
        <w:rFonts w:hint="default"/>
        <w:lang w:val="en-US" w:eastAsia="en-US" w:bidi="ar-SA"/>
      </w:rPr>
    </w:lvl>
    <w:lvl w:ilvl="1">
      <w:start w:val="2"/>
      <w:numFmt w:val="decimal"/>
      <w:lvlText w:val="%1.%2"/>
      <w:lvlJc w:val="left"/>
      <w:pPr>
        <w:ind w:left="853" w:hanging="595"/>
        <w:jc w:val="left"/>
      </w:pPr>
      <w:rPr>
        <w:rFonts w:hint="default"/>
        <w:lang w:val="en-US" w:eastAsia="en-US" w:bidi="ar-SA"/>
      </w:rPr>
    </w:lvl>
    <w:lvl w:ilvl="2">
      <w:start w:val="1"/>
      <w:numFmt w:val="decimal"/>
      <w:lvlText w:val="%1.%2.%3"/>
      <w:lvlJc w:val="left"/>
      <w:pPr>
        <w:ind w:left="853" w:hanging="595"/>
        <w:jc w:val="right"/>
      </w:pPr>
      <w:rPr>
        <w:rFonts w:ascii="Arial" w:eastAsia="Arial" w:hAnsi="Arial" w:cs="Arial" w:hint="default"/>
        <w:b/>
        <w:bCs/>
        <w:i w:val="0"/>
        <w:iCs w:val="0"/>
        <w:color w:val="00AEEF"/>
        <w:spacing w:val="-3"/>
        <w:w w:val="99"/>
        <w:sz w:val="20"/>
        <w:szCs w:val="20"/>
        <w:lang w:val="en-US" w:eastAsia="en-US" w:bidi="ar-SA"/>
      </w:rPr>
    </w:lvl>
    <w:lvl w:ilvl="3">
      <w:numFmt w:val="bullet"/>
      <w:lvlText w:val="•"/>
      <w:lvlJc w:val="left"/>
      <w:pPr>
        <w:ind w:left="542" w:hanging="284"/>
      </w:pPr>
      <w:rPr>
        <w:rFonts w:ascii="Tahoma" w:eastAsia="Tahoma" w:hAnsi="Tahoma" w:cs="Tahoma" w:hint="default"/>
        <w:b w:val="0"/>
        <w:bCs w:val="0"/>
        <w:i w:val="0"/>
        <w:iCs w:val="0"/>
        <w:w w:val="109"/>
        <w:sz w:val="20"/>
        <w:szCs w:val="20"/>
        <w:lang w:val="en-US" w:eastAsia="en-US" w:bidi="ar-SA"/>
      </w:rPr>
    </w:lvl>
    <w:lvl w:ilvl="4">
      <w:numFmt w:val="bullet"/>
      <w:lvlText w:val="•"/>
      <w:lvlJc w:val="left"/>
      <w:pPr>
        <w:ind w:left="2073" w:hanging="284"/>
      </w:pPr>
      <w:rPr>
        <w:rFonts w:hint="default"/>
        <w:lang w:val="en-US" w:eastAsia="en-US" w:bidi="ar-SA"/>
      </w:rPr>
    </w:lvl>
    <w:lvl w:ilvl="5">
      <w:numFmt w:val="bullet"/>
      <w:lvlText w:val="•"/>
      <w:lvlJc w:val="left"/>
      <w:pPr>
        <w:ind w:left="2680" w:hanging="284"/>
      </w:pPr>
      <w:rPr>
        <w:rFonts w:hint="default"/>
        <w:lang w:val="en-US" w:eastAsia="en-US" w:bidi="ar-SA"/>
      </w:rPr>
    </w:lvl>
    <w:lvl w:ilvl="6">
      <w:numFmt w:val="bullet"/>
      <w:lvlText w:val="•"/>
      <w:lvlJc w:val="left"/>
      <w:pPr>
        <w:ind w:left="3287" w:hanging="284"/>
      </w:pPr>
      <w:rPr>
        <w:rFonts w:hint="default"/>
        <w:lang w:val="en-US" w:eastAsia="en-US" w:bidi="ar-SA"/>
      </w:rPr>
    </w:lvl>
    <w:lvl w:ilvl="7">
      <w:numFmt w:val="bullet"/>
      <w:lvlText w:val="•"/>
      <w:lvlJc w:val="left"/>
      <w:pPr>
        <w:ind w:left="3894" w:hanging="284"/>
      </w:pPr>
      <w:rPr>
        <w:rFonts w:hint="default"/>
        <w:lang w:val="en-US" w:eastAsia="en-US" w:bidi="ar-SA"/>
      </w:rPr>
    </w:lvl>
    <w:lvl w:ilvl="8">
      <w:numFmt w:val="bullet"/>
      <w:lvlText w:val="•"/>
      <w:lvlJc w:val="left"/>
      <w:pPr>
        <w:ind w:left="4501" w:hanging="284"/>
      </w:pPr>
      <w:rPr>
        <w:rFonts w:hint="default"/>
        <w:lang w:val="en-US" w:eastAsia="en-US" w:bidi="ar-SA"/>
      </w:rPr>
    </w:lvl>
  </w:abstractNum>
  <w:abstractNum w:abstractNumId="205" w15:restartNumberingAfterBreak="0">
    <w:nsid w:val="7BBC20DE"/>
    <w:multiLevelType w:val="hybridMultilevel"/>
    <w:tmpl w:val="331641F8"/>
    <w:lvl w:ilvl="0" w:tplc="1BC2421C">
      <w:numFmt w:val="bullet"/>
      <w:lvlText w:val="•"/>
      <w:lvlJc w:val="left"/>
      <w:pPr>
        <w:ind w:left="492" w:hanging="312"/>
      </w:pPr>
      <w:rPr>
        <w:rFonts w:ascii="Tahoma" w:eastAsia="Tahoma" w:hAnsi="Tahoma" w:cs="Tahoma" w:hint="default"/>
        <w:b w:val="0"/>
        <w:bCs w:val="0"/>
        <w:i w:val="0"/>
        <w:iCs w:val="0"/>
        <w:w w:val="109"/>
        <w:sz w:val="20"/>
        <w:szCs w:val="20"/>
        <w:lang w:val="en-US" w:eastAsia="en-US" w:bidi="ar-SA"/>
      </w:rPr>
    </w:lvl>
    <w:lvl w:ilvl="1" w:tplc="8D6A9A66">
      <w:numFmt w:val="bullet"/>
      <w:lvlText w:val="•"/>
      <w:lvlJc w:val="left"/>
      <w:pPr>
        <w:ind w:left="1021" w:hanging="312"/>
      </w:pPr>
      <w:rPr>
        <w:rFonts w:hint="default"/>
        <w:lang w:val="en-US" w:eastAsia="en-US" w:bidi="ar-SA"/>
      </w:rPr>
    </w:lvl>
    <w:lvl w:ilvl="2" w:tplc="ACEED312">
      <w:numFmt w:val="bullet"/>
      <w:lvlText w:val="•"/>
      <w:lvlJc w:val="left"/>
      <w:pPr>
        <w:ind w:left="1542" w:hanging="312"/>
      </w:pPr>
      <w:rPr>
        <w:rFonts w:hint="default"/>
        <w:lang w:val="en-US" w:eastAsia="en-US" w:bidi="ar-SA"/>
      </w:rPr>
    </w:lvl>
    <w:lvl w:ilvl="3" w:tplc="D15C6A10">
      <w:numFmt w:val="bullet"/>
      <w:lvlText w:val="•"/>
      <w:lvlJc w:val="left"/>
      <w:pPr>
        <w:ind w:left="2063" w:hanging="312"/>
      </w:pPr>
      <w:rPr>
        <w:rFonts w:hint="default"/>
        <w:lang w:val="en-US" w:eastAsia="en-US" w:bidi="ar-SA"/>
      </w:rPr>
    </w:lvl>
    <w:lvl w:ilvl="4" w:tplc="68086E84">
      <w:numFmt w:val="bullet"/>
      <w:lvlText w:val="•"/>
      <w:lvlJc w:val="left"/>
      <w:pPr>
        <w:ind w:left="2585" w:hanging="312"/>
      </w:pPr>
      <w:rPr>
        <w:rFonts w:hint="default"/>
        <w:lang w:val="en-US" w:eastAsia="en-US" w:bidi="ar-SA"/>
      </w:rPr>
    </w:lvl>
    <w:lvl w:ilvl="5" w:tplc="2AA66B7A">
      <w:numFmt w:val="bullet"/>
      <w:lvlText w:val="•"/>
      <w:lvlJc w:val="left"/>
      <w:pPr>
        <w:ind w:left="3106" w:hanging="312"/>
      </w:pPr>
      <w:rPr>
        <w:rFonts w:hint="default"/>
        <w:lang w:val="en-US" w:eastAsia="en-US" w:bidi="ar-SA"/>
      </w:rPr>
    </w:lvl>
    <w:lvl w:ilvl="6" w:tplc="917A5E3A">
      <w:numFmt w:val="bullet"/>
      <w:lvlText w:val="•"/>
      <w:lvlJc w:val="left"/>
      <w:pPr>
        <w:ind w:left="3627" w:hanging="312"/>
      </w:pPr>
      <w:rPr>
        <w:rFonts w:hint="default"/>
        <w:lang w:val="en-US" w:eastAsia="en-US" w:bidi="ar-SA"/>
      </w:rPr>
    </w:lvl>
    <w:lvl w:ilvl="7" w:tplc="400C64AA">
      <w:numFmt w:val="bullet"/>
      <w:lvlText w:val="•"/>
      <w:lvlJc w:val="left"/>
      <w:pPr>
        <w:ind w:left="4148" w:hanging="312"/>
      </w:pPr>
      <w:rPr>
        <w:rFonts w:hint="default"/>
        <w:lang w:val="en-US" w:eastAsia="en-US" w:bidi="ar-SA"/>
      </w:rPr>
    </w:lvl>
    <w:lvl w:ilvl="8" w:tplc="2376B84E">
      <w:numFmt w:val="bullet"/>
      <w:lvlText w:val="•"/>
      <w:lvlJc w:val="left"/>
      <w:pPr>
        <w:ind w:left="4670" w:hanging="312"/>
      </w:pPr>
      <w:rPr>
        <w:rFonts w:hint="default"/>
        <w:lang w:val="en-US" w:eastAsia="en-US" w:bidi="ar-SA"/>
      </w:rPr>
    </w:lvl>
  </w:abstractNum>
  <w:abstractNum w:abstractNumId="206" w15:restartNumberingAfterBreak="0">
    <w:nsid w:val="7D563234"/>
    <w:multiLevelType w:val="hybridMultilevel"/>
    <w:tmpl w:val="78D2AC12"/>
    <w:lvl w:ilvl="0" w:tplc="DEFAD204">
      <w:numFmt w:val="bullet"/>
      <w:lvlText w:val="–"/>
      <w:lvlJc w:val="left"/>
      <w:pPr>
        <w:ind w:left="252" w:hanging="142"/>
      </w:pPr>
      <w:rPr>
        <w:rFonts w:ascii="Arial" w:eastAsia="Arial" w:hAnsi="Arial" w:cs="Arial" w:hint="default"/>
        <w:b w:val="0"/>
        <w:bCs w:val="0"/>
        <w:i w:val="0"/>
        <w:iCs w:val="0"/>
        <w:w w:val="88"/>
        <w:sz w:val="16"/>
        <w:szCs w:val="16"/>
        <w:lang w:val="en-US" w:eastAsia="en-US" w:bidi="ar-SA"/>
      </w:rPr>
    </w:lvl>
    <w:lvl w:ilvl="1" w:tplc="7140027E">
      <w:numFmt w:val="bullet"/>
      <w:lvlText w:val="•"/>
      <w:lvlJc w:val="left"/>
      <w:pPr>
        <w:ind w:left="1127" w:hanging="142"/>
      </w:pPr>
      <w:rPr>
        <w:rFonts w:hint="default"/>
        <w:lang w:val="en-US" w:eastAsia="en-US" w:bidi="ar-SA"/>
      </w:rPr>
    </w:lvl>
    <w:lvl w:ilvl="2" w:tplc="17DE226A">
      <w:numFmt w:val="bullet"/>
      <w:lvlText w:val="•"/>
      <w:lvlJc w:val="left"/>
      <w:pPr>
        <w:ind w:left="1995" w:hanging="142"/>
      </w:pPr>
      <w:rPr>
        <w:rFonts w:hint="default"/>
        <w:lang w:val="en-US" w:eastAsia="en-US" w:bidi="ar-SA"/>
      </w:rPr>
    </w:lvl>
    <w:lvl w:ilvl="3" w:tplc="BB30D990">
      <w:numFmt w:val="bullet"/>
      <w:lvlText w:val="•"/>
      <w:lvlJc w:val="left"/>
      <w:pPr>
        <w:ind w:left="2863" w:hanging="142"/>
      </w:pPr>
      <w:rPr>
        <w:rFonts w:hint="default"/>
        <w:lang w:val="en-US" w:eastAsia="en-US" w:bidi="ar-SA"/>
      </w:rPr>
    </w:lvl>
    <w:lvl w:ilvl="4" w:tplc="1110CEC0">
      <w:numFmt w:val="bullet"/>
      <w:lvlText w:val="•"/>
      <w:lvlJc w:val="left"/>
      <w:pPr>
        <w:ind w:left="3731" w:hanging="142"/>
      </w:pPr>
      <w:rPr>
        <w:rFonts w:hint="default"/>
        <w:lang w:val="en-US" w:eastAsia="en-US" w:bidi="ar-SA"/>
      </w:rPr>
    </w:lvl>
    <w:lvl w:ilvl="5" w:tplc="490236EC">
      <w:numFmt w:val="bullet"/>
      <w:lvlText w:val="•"/>
      <w:lvlJc w:val="left"/>
      <w:pPr>
        <w:ind w:left="4599" w:hanging="142"/>
      </w:pPr>
      <w:rPr>
        <w:rFonts w:hint="default"/>
        <w:lang w:val="en-US" w:eastAsia="en-US" w:bidi="ar-SA"/>
      </w:rPr>
    </w:lvl>
    <w:lvl w:ilvl="6" w:tplc="48B0E826">
      <w:numFmt w:val="bullet"/>
      <w:lvlText w:val="•"/>
      <w:lvlJc w:val="left"/>
      <w:pPr>
        <w:ind w:left="5467" w:hanging="142"/>
      </w:pPr>
      <w:rPr>
        <w:rFonts w:hint="default"/>
        <w:lang w:val="en-US" w:eastAsia="en-US" w:bidi="ar-SA"/>
      </w:rPr>
    </w:lvl>
    <w:lvl w:ilvl="7" w:tplc="A34C3C4A">
      <w:numFmt w:val="bullet"/>
      <w:lvlText w:val="•"/>
      <w:lvlJc w:val="left"/>
      <w:pPr>
        <w:ind w:left="6335" w:hanging="142"/>
      </w:pPr>
      <w:rPr>
        <w:rFonts w:hint="default"/>
        <w:lang w:val="en-US" w:eastAsia="en-US" w:bidi="ar-SA"/>
      </w:rPr>
    </w:lvl>
    <w:lvl w:ilvl="8" w:tplc="352EAA4A">
      <w:numFmt w:val="bullet"/>
      <w:lvlText w:val="•"/>
      <w:lvlJc w:val="left"/>
      <w:pPr>
        <w:ind w:left="7203" w:hanging="142"/>
      </w:pPr>
      <w:rPr>
        <w:rFonts w:hint="default"/>
        <w:lang w:val="en-US" w:eastAsia="en-US" w:bidi="ar-SA"/>
      </w:rPr>
    </w:lvl>
  </w:abstractNum>
  <w:abstractNum w:abstractNumId="207" w15:restartNumberingAfterBreak="0">
    <w:nsid w:val="7F566000"/>
    <w:multiLevelType w:val="hybridMultilevel"/>
    <w:tmpl w:val="5D4A6D5E"/>
    <w:lvl w:ilvl="0" w:tplc="07D8689A">
      <w:numFmt w:val="bullet"/>
      <w:lvlText w:val="•"/>
      <w:lvlJc w:val="left"/>
      <w:pPr>
        <w:ind w:left="221" w:hanging="116"/>
      </w:pPr>
      <w:rPr>
        <w:rFonts w:ascii="Trebuchet MS" w:eastAsia="Trebuchet MS" w:hAnsi="Trebuchet MS" w:cs="Trebuchet MS" w:hint="default"/>
        <w:b w:val="0"/>
        <w:bCs w:val="0"/>
        <w:i w:val="0"/>
        <w:iCs w:val="0"/>
        <w:w w:val="95"/>
        <w:sz w:val="16"/>
        <w:szCs w:val="16"/>
        <w:lang w:val="en-US" w:eastAsia="en-US" w:bidi="ar-SA"/>
      </w:rPr>
    </w:lvl>
    <w:lvl w:ilvl="1" w:tplc="4C8E5866">
      <w:numFmt w:val="bullet"/>
      <w:lvlText w:val="•"/>
      <w:lvlJc w:val="left"/>
      <w:pPr>
        <w:ind w:left="383" w:hanging="116"/>
      </w:pPr>
      <w:rPr>
        <w:rFonts w:hint="default"/>
        <w:lang w:val="en-US" w:eastAsia="en-US" w:bidi="ar-SA"/>
      </w:rPr>
    </w:lvl>
    <w:lvl w:ilvl="2" w:tplc="9B743C28">
      <w:numFmt w:val="bullet"/>
      <w:lvlText w:val="•"/>
      <w:lvlJc w:val="left"/>
      <w:pPr>
        <w:ind w:left="547" w:hanging="116"/>
      </w:pPr>
      <w:rPr>
        <w:rFonts w:hint="default"/>
        <w:lang w:val="en-US" w:eastAsia="en-US" w:bidi="ar-SA"/>
      </w:rPr>
    </w:lvl>
    <w:lvl w:ilvl="3" w:tplc="3882609C">
      <w:numFmt w:val="bullet"/>
      <w:lvlText w:val="•"/>
      <w:lvlJc w:val="left"/>
      <w:pPr>
        <w:ind w:left="711" w:hanging="116"/>
      </w:pPr>
      <w:rPr>
        <w:rFonts w:hint="default"/>
        <w:lang w:val="en-US" w:eastAsia="en-US" w:bidi="ar-SA"/>
      </w:rPr>
    </w:lvl>
    <w:lvl w:ilvl="4" w:tplc="C9B0FEFC">
      <w:numFmt w:val="bullet"/>
      <w:lvlText w:val="•"/>
      <w:lvlJc w:val="left"/>
      <w:pPr>
        <w:ind w:left="874" w:hanging="116"/>
      </w:pPr>
      <w:rPr>
        <w:rFonts w:hint="default"/>
        <w:lang w:val="en-US" w:eastAsia="en-US" w:bidi="ar-SA"/>
      </w:rPr>
    </w:lvl>
    <w:lvl w:ilvl="5" w:tplc="CF94D774">
      <w:numFmt w:val="bullet"/>
      <w:lvlText w:val="•"/>
      <w:lvlJc w:val="left"/>
      <w:pPr>
        <w:ind w:left="1038" w:hanging="116"/>
      </w:pPr>
      <w:rPr>
        <w:rFonts w:hint="default"/>
        <w:lang w:val="en-US" w:eastAsia="en-US" w:bidi="ar-SA"/>
      </w:rPr>
    </w:lvl>
    <w:lvl w:ilvl="6" w:tplc="1E8888B6">
      <w:numFmt w:val="bullet"/>
      <w:lvlText w:val="•"/>
      <w:lvlJc w:val="left"/>
      <w:pPr>
        <w:ind w:left="1202" w:hanging="116"/>
      </w:pPr>
      <w:rPr>
        <w:rFonts w:hint="default"/>
        <w:lang w:val="en-US" w:eastAsia="en-US" w:bidi="ar-SA"/>
      </w:rPr>
    </w:lvl>
    <w:lvl w:ilvl="7" w:tplc="157A6692">
      <w:numFmt w:val="bullet"/>
      <w:lvlText w:val="•"/>
      <w:lvlJc w:val="left"/>
      <w:pPr>
        <w:ind w:left="1365" w:hanging="116"/>
      </w:pPr>
      <w:rPr>
        <w:rFonts w:hint="default"/>
        <w:lang w:val="en-US" w:eastAsia="en-US" w:bidi="ar-SA"/>
      </w:rPr>
    </w:lvl>
    <w:lvl w:ilvl="8" w:tplc="5DAAC1E2">
      <w:numFmt w:val="bullet"/>
      <w:lvlText w:val="•"/>
      <w:lvlJc w:val="left"/>
      <w:pPr>
        <w:ind w:left="1529" w:hanging="116"/>
      </w:pPr>
      <w:rPr>
        <w:rFonts w:hint="default"/>
        <w:lang w:val="en-US" w:eastAsia="en-US" w:bidi="ar-SA"/>
      </w:rPr>
    </w:lvl>
  </w:abstractNum>
  <w:num w:numId="1">
    <w:abstractNumId w:val="179"/>
  </w:num>
  <w:num w:numId="2">
    <w:abstractNumId w:val="121"/>
  </w:num>
  <w:num w:numId="3">
    <w:abstractNumId w:val="6"/>
  </w:num>
  <w:num w:numId="4">
    <w:abstractNumId w:val="18"/>
  </w:num>
  <w:num w:numId="5">
    <w:abstractNumId w:val="123"/>
  </w:num>
  <w:num w:numId="6">
    <w:abstractNumId w:val="41"/>
  </w:num>
  <w:num w:numId="7">
    <w:abstractNumId w:val="90"/>
  </w:num>
  <w:num w:numId="8">
    <w:abstractNumId w:val="75"/>
  </w:num>
  <w:num w:numId="9">
    <w:abstractNumId w:val="148"/>
  </w:num>
  <w:num w:numId="10">
    <w:abstractNumId w:val="58"/>
  </w:num>
  <w:num w:numId="11">
    <w:abstractNumId w:val="158"/>
  </w:num>
  <w:num w:numId="12">
    <w:abstractNumId w:val="70"/>
  </w:num>
  <w:num w:numId="13">
    <w:abstractNumId w:val="32"/>
  </w:num>
  <w:num w:numId="14">
    <w:abstractNumId w:val="106"/>
  </w:num>
  <w:num w:numId="15">
    <w:abstractNumId w:val="99"/>
  </w:num>
  <w:num w:numId="16">
    <w:abstractNumId w:val="72"/>
  </w:num>
  <w:num w:numId="17">
    <w:abstractNumId w:val="164"/>
  </w:num>
  <w:num w:numId="18">
    <w:abstractNumId w:val="60"/>
  </w:num>
  <w:num w:numId="19">
    <w:abstractNumId w:val="151"/>
  </w:num>
  <w:num w:numId="20">
    <w:abstractNumId w:val="154"/>
  </w:num>
  <w:num w:numId="21">
    <w:abstractNumId w:val="3"/>
  </w:num>
  <w:num w:numId="22">
    <w:abstractNumId w:val="91"/>
  </w:num>
  <w:num w:numId="23">
    <w:abstractNumId w:val="122"/>
  </w:num>
  <w:num w:numId="24">
    <w:abstractNumId w:val="138"/>
  </w:num>
  <w:num w:numId="25">
    <w:abstractNumId w:val="95"/>
  </w:num>
  <w:num w:numId="26">
    <w:abstractNumId w:val="87"/>
  </w:num>
  <w:num w:numId="27">
    <w:abstractNumId w:val="83"/>
  </w:num>
  <w:num w:numId="28">
    <w:abstractNumId w:val="59"/>
  </w:num>
  <w:num w:numId="29">
    <w:abstractNumId w:val="126"/>
  </w:num>
  <w:num w:numId="30">
    <w:abstractNumId w:val="12"/>
  </w:num>
  <w:num w:numId="31">
    <w:abstractNumId w:val="204"/>
  </w:num>
  <w:num w:numId="32">
    <w:abstractNumId w:val="114"/>
  </w:num>
  <w:num w:numId="33">
    <w:abstractNumId w:val="108"/>
  </w:num>
  <w:num w:numId="34">
    <w:abstractNumId w:val="96"/>
  </w:num>
  <w:num w:numId="35">
    <w:abstractNumId w:val="103"/>
  </w:num>
  <w:num w:numId="36">
    <w:abstractNumId w:val="134"/>
  </w:num>
  <w:num w:numId="37">
    <w:abstractNumId w:val="102"/>
  </w:num>
  <w:num w:numId="38">
    <w:abstractNumId w:val="79"/>
  </w:num>
  <w:num w:numId="39">
    <w:abstractNumId w:val="137"/>
  </w:num>
  <w:num w:numId="40">
    <w:abstractNumId w:val="49"/>
  </w:num>
  <w:num w:numId="41">
    <w:abstractNumId w:val="165"/>
  </w:num>
  <w:num w:numId="42">
    <w:abstractNumId w:val="197"/>
  </w:num>
  <w:num w:numId="43">
    <w:abstractNumId w:val="93"/>
  </w:num>
  <w:num w:numId="44">
    <w:abstractNumId w:val="31"/>
  </w:num>
  <w:num w:numId="45">
    <w:abstractNumId w:val="33"/>
  </w:num>
  <w:num w:numId="46">
    <w:abstractNumId w:val="193"/>
  </w:num>
  <w:num w:numId="47">
    <w:abstractNumId w:val="76"/>
  </w:num>
  <w:num w:numId="48">
    <w:abstractNumId w:val="74"/>
  </w:num>
  <w:num w:numId="49">
    <w:abstractNumId w:val="168"/>
  </w:num>
  <w:num w:numId="50">
    <w:abstractNumId w:val="4"/>
  </w:num>
  <w:num w:numId="51">
    <w:abstractNumId w:val="86"/>
  </w:num>
  <w:num w:numId="52">
    <w:abstractNumId w:val="39"/>
  </w:num>
  <w:num w:numId="53">
    <w:abstractNumId w:val="143"/>
  </w:num>
  <w:num w:numId="54">
    <w:abstractNumId w:val="153"/>
  </w:num>
  <w:num w:numId="55">
    <w:abstractNumId w:val="82"/>
  </w:num>
  <w:num w:numId="56">
    <w:abstractNumId w:val="113"/>
  </w:num>
  <w:num w:numId="57">
    <w:abstractNumId w:val="177"/>
  </w:num>
  <w:num w:numId="58">
    <w:abstractNumId w:val="112"/>
  </w:num>
  <w:num w:numId="59">
    <w:abstractNumId w:val="178"/>
  </w:num>
  <w:num w:numId="60">
    <w:abstractNumId w:val="16"/>
  </w:num>
  <w:num w:numId="61">
    <w:abstractNumId w:val="172"/>
  </w:num>
  <w:num w:numId="62">
    <w:abstractNumId w:val="201"/>
  </w:num>
  <w:num w:numId="63">
    <w:abstractNumId w:val="24"/>
  </w:num>
  <w:num w:numId="64">
    <w:abstractNumId w:val="8"/>
  </w:num>
  <w:num w:numId="65">
    <w:abstractNumId w:val="7"/>
  </w:num>
  <w:num w:numId="66">
    <w:abstractNumId w:val="55"/>
  </w:num>
  <w:num w:numId="67">
    <w:abstractNumId w:val="200"/>
  </w:num>
  <w:num w:numId="68">
    <w:abstractNumId w:val="163"/>
  </w:num>
  <w:num w:numId="69">
    <w:abstractNumId w:val="125"/>
  </w:num>
  <w:num w:numId="70">
    <w:abstractNumId w:val="155"/>
  </w:num>
  <w:num w:numId="71">
    <w:abstractNumId w:val="67"/>
  </w:num>
  <w:num w:numId="72">
    <w:abstractNumId w:val="38"/>
  </w:num>
  <w:num w:numId="73">
    <w:abstractNumId w:val="133"/>
  </w:num>
  <w:num w:numId="74">
    <w:abstractNumId w:val="191"/>
  </w:num>
  <w:num w:numId="75">
    <w:abstractNumId w:val="157"/>
  </w:num>
  <w:num w:numId="76">
    <w:abstractNumId w:val="170"/>
  </w:num>
  <w:num w:numId="77">
    <w:abstractNumId w:val="71"/>
  </w:num>
  <w:num w:numId="78">
    <w:abstractNumId w:val="69"/>
  </w:num>
  <w:num w:numId="79">
    <w:abstractNumId w:val="89"/>
  </w:num>
  <w:num w:numId="80">
    <w:abstractNumId w:val="144"/>
  </w:num>
  <w:num w:numId="81">
    <w:abstractNumId w:val="176"/>
  </w:num>
  <w:num w:numId="82">
    <w:abstractNumId w:val="180"/>
  </w:num>
  <w:num w:numId="83">
    <w:abstractNumId w:val="50"/>
  </w:num>
  <w:num w:numId="84">
    <w:abstractNumId w:val="61"/>
  </w:num>
  <w:num w:numId="85">
    <w:abstractNumId w:val="190"/>
  </w:num>
  <w:num w:numId="86">
    <w:abstractNumId w:val="10"/>
  </w:num>
  <w:num w:numId="87">
    <w:abstractNumId w:val="45"/>
  </w:num>
  <w:num w:numId="88">
    <w:abstractNumId w:val="130"/>
  </w:num>
  <w:num w:numId="89">
    <w:abstractNumId w:val="192"/>
  </w:num>
  <w:num w:numId="90">
    <w:abstractNumId w:val="142"/>
  </w:num>
  <w:num w:numId="91">
    <w:abstractNumId w:val="186"/>
  </w:num>
  <w:num w:numId="92">
    <w:abstractNumId w:val="127"/>
  </w:num>
  <w:num w:numId="93">
    <w:abstractNumId w:val="139"/>
  </w:num>
  <w:num w:numId="94">
    <w:abstractNumId w:val="135"/>
  </w:num>
  <w:num w:numId="95">
    <w:abstractNumId w:val="167"/>
  </w:num>
  <w:num w:numId="96">
    <w:abstractNumId w:val="22"/>
  </w:num>
  <w:num w:numId="97">
    <w:abstractNumId w:val="92"/>
  </w:num>
  <w:num w:numId="98">
    <w:abstractNumId w:val="84"/>
  </w:num>
  <w:num w:numId="99">
    <w:abstractNumId w:val="23"/>
  </w:num>
  <w:num w:numId="100">
    <w:abstractNumId w:val="40"/>
  </w:num>
  <w:num w:numId="101">
    <w:abstractNumId w:val="110"/>
  </w:num>
  <w:num w:numId="102">
    <w:abstractNumId w:val="203"/>
  </w:num>
  <w:num w:numId="103">
    <w:abstractNumId w:val="21"/>
  </w:num>
  <w:num w:numId="104">
    <w:abstractNumId w:val="141"/>
  </w:num>
  <w:num w:numId="105">
    <w:abstractNumId w:val="156"/>
  </w:num>
  <w:num w:numId="106">
    <w:abstractNumId w:val="147"/>
  </w:num>
  <w:num w:numId="107">
    <w:abstractNumId w:val="183"/>
  </w:num>
  <w:num w:numId="108">
    <w:abstractNumId w:val="5"/>
  </w:num>
  <w:num w:numId="109">
    <w:abstractNumId w:val="109"/>
  </w:num>
  <w:num w:numId="110">
    <w:abstractNumId w:val="48"/>
  </w:num>
  <w:num w:numId="111">
    <w:abstractNumId w:val="173"/>
  </w:num>
  <w:num w:numId="112">
    <w:abstractNumId w:val="36"/>
  </w:num>
  <w:num w:numId="113">
    <w:abstractNumId w:val="182"/>
  </w:num>
  <w:num w:numId="114">
    <w:abstractNumId w:val="42"/>
  </w:num>
  <w:num w:numId="115">
    <w:abstractNumId w:val="66"/>
  </w:num>
  <w:num w:numId="116">
    <w:abstractNumId w:val="15"/>
  </w:num>
  <w:num w:numId="117">
    <w:abstractNumId w:val="171"/>
  </w:num>
  <w:num w:numId="118">
    <w:abstractNumId w:val="28"/>
  </w:num>
  <w:num w:numId="119">
    <w:abstractNumId w:val="202"/>
  </w:num>
  <w:num w:numId="120">
    <w:abstractNumId w:val="80"/>
  </w:num>
  <w:num w:numId="121">
    <w:abstractNumId w:val="124"/>
  </w:num>
  <w:num w:numId="122">
    <w:abstractNumId w:val="29"/>
  </w:num>
  <w:num w:numId="123">
    <w:abstractNumId w:val="88"/>
  </w:num>
  <w:num w:numId="124">
    <w:abstractNumId w:val="196"/>
  </w:num>
  <w:num w:numId="125">
    <w:abstractNumId w:val="44"/>
  </w:num>
  <w:num w:numId="126">
    <w:abstractNumId w:val="62"/>
  </w:num>
  <w:num w:numId="127">
    <w:abstractNumId w:val="194"/>
  </w:num>
  <w:num w:numId="128">
    <w:abstractNumId w:val="51"/>
  </w:num>
  <w:num w:numId="129">
    <w:abstractNumId w:val="131"/>
  </w:num>
  <w:num w:numId="130">
    <w:abstractNumId w:val="34"/>
  </w:num>
  <w:num w:numId="131">
    <w:abstractNumId w:val="56"/>
  </w:num>
  <w:num w:numId="132">
    <w:abstractNumId w:val="152"/>
  </w:num>
  <w:num w:numId="133">
    <w:abstractNumId w:val="206"/>
  </w:num>
  <w:num w:numId="134">
    <w:abstractNumId w:val="100"/>
  </w:num>
  <w:num w:numId="135">
    <w:abstractNumId w:val="199"/>
  </w:num>
  <w:num w:numId="136">
    <w:abstractNumId w:val="149"/>
  </w:num>
  <w:num w:numId="137">
    <w:abstractNumId w:val="184"/>
  </w:num>
  <w:num w:numId="138">
    <w:abstractNumId w:val="2"/>
  </w:num>
  <w:num w:numId="139">
    <w:abstractNumId w:val="9"/>
  </w:num>
  <w:num w:numId="140">
    <w:abstractNumId w:val="14"/>
  </w:num>
  <w:num w:numId="141">
    <w:abstractNumId w:val="0"/>
  </w:num>
  <w:num w:numId="142">
    <w:abstractNumId w:val="145"/>
  </w:num>
  <w:num w:numId="143">
    <w:abstractNumId w:val="19"/>
  </w:num>
  <w:num w:numId="144">
    <w:abstractNumId w:val="104"/>
  </w:num>
  <w:num w:numId="145">
    <w:abstractNumId w:val="166"/>
  </w:num>
  <w:num w:numId="146">
    <w:abstractNumId w:val="195"/>
  </w:num>
  <w:num w:numId="147">
    <w:abstractNumId w:val="198"/>
  </w:num>
  <w:num w:numId="148">
    <w:abstractNumId w:val="146"/>
  </w:num>
  <w:num w:numId="149">
    <w:abstractNumId w:val="105"/>
  </w:num>
  <w:num w:numId="150">
    <w:abstractNumId w:val="188"/>
  </w:num>
  <w:num w:numId="151">
    <w:abstractNumId w:val="207"/>
  </w:num>
  <w:num w:numId="152">
    <w:abstractNumId w:val="120"/>
  </w:num>
  <w:num w:numId="153">
    <w:abstractNumId w:val="160"/>
  </w:num>
  <w:num w:numId="154">
    <w:abstractNumId w:val="64"/>
  </w:num>
  <w:num w:numId="155">
    <w:abstractNumId w:val="65"/>
  </w:num>
  <w:num w:numId="156">
    <w:abstractNumId w:val="85"/>
  </w:num>
  <w:num w:numId="157">
    <w:abstractNumId w:val="35"/>
  </w:num>
  <w:num w:numId="158">
    <w:abstractNumId w:val="205"/>
  </w:num>
  <w:num w:numId="159">
    <w:abstractNumId w:val="26"/>
  </w:num>
  <w:num w:numId="160">
    <w:abstractNumId w:val="189"/>
  </w:num>
  <w:num w:numId="161">
    <w:abstractNumId w:val="25"/>
  </w:num>
  <w:num w:numId="162">
    <w:abstractNumId w:val="129"/>
  </w:num>
  <w:num w:numId="163">
    <w:abstractNumId w:val="13"/>
  </w:num>
  <w:num w:numId="164">
    <w:abstractNumId w:val="73"/>
  </w:num>
  <w:num w:numId="165">
    <w:abstractNumId w:val="94"/>
  </w:num>
  <w:num w:numId="166">
    <w:abstractNumId w:val="63"/>
  </w:num>
  <w:num w:numId="167">
    <w:abstractNumId w:val="111"/>
  </w:num>
  <w:num w:numId="168">
    <w:abstractNumId w:val="52"/>
  </w:num>
  <w:num w:numId="169">
    <w:abstractNumId w:val="187"/>
  </w:num>
  <w:num w:numId="170">
    <w:abstractNumId w:val="136"/>
  </w:num>
  <w:num w:numId="171">
    <w:abstractNumId w:val="162"/>
  </w:num>
  <w:num w:numId="172">
    <w:abstractNumId w:val="150"/>
  </w:num>
  <w:num w:numId="173">
    <w:abstractNumId w:val="53"/>
  </w:num>
  <w:num w:numId="174">
    <w:abstractNumId w:val="174"/>
  </w:num>
  <w:num w:numId="175">
    <w:abstractNumId w:val="115"/>
  </w:num>
  <w:num w:numId="176">
    <w:abstractNumId w:val="11"/>
  </w:num>
  <w:num w:numId="177">
    <w:abstractNumId w:val="98"/>
  </w:num>
  <w:num w:numId="178">
    <w:abstractNumId w:val="47"/>
  </w:num>
  <w:num w:numId="179">
    <w:abstractNumId w:val="118"/>
  </w:num>
  <w:num w:numId="180">
    <w:abstractNumId w:val="57"/>
  </w:num>
  <w:num w:numId="181">
    <w:abstractNumId w:val="101"/>
  </w:num>
  <w:num w:numId="182">
    <w:abstractNumId w:val="107"/>
  </w:num>
  <w:num w:numId="183">
    <w:abstractNumId w:val="175"/>
  </w:num>
  <w:num w:numId="184">
    <w:abstractNumId w:val="1"/>
  </w:num>
  <w:num w:numId="185">
    <w:abstractNumId w:val="68"/>
  </w:num>
  <w:num w:numId="186">
    <w:abstractNumId w:val="159"/>
  </w:num>
  <w:num w:numId="187">
    <w:abstractNumId w:val="116"/>
  </w:num>
  <w:num w:numId="188">
    <w:abstractNumId w:val="20"/>
  </w:num>
  <w:num w:numId="189">
    <w:abstractNumId w:val="97"/>
  </w:num>
  <w:num w:numId="190">
    <w:abstractNumId w:val="27"/>
  </w:num>
  <w:num w:numId="191">
    <w:abstractNumId w:val="81"/>
  </w:num>
  <w:num w:numId="192">
    <w:abstractNumId w:val="185"/>
  </w:num>
  <w:num w:numId="193">
    <w:abstractNumId w:val="181"/>
  </w:num>
  <w:num w:numId="194">
    <w:abstractNumId w:val="46"/>
  </w:num>
  <w:num w:numId="195">
    <w:abstractNumId w:val="17"/>
  </w:num>
  <w:num w:numId="196">
    <w:abstractNumId w:val="77"/>
  </w:num>
  <w:num w:numId="197">
    <w:abstractNumId w:val="54"/>
  </w:num>
  <w:num w:numId="198">
    <w:abstractNumId w:val="43"/>
  </w:num>
  <w:num w:numId="199">
    <w:abstractNumId w:val="117"/>
  </w:num>
  <w:num w:numId="200">
    <w:abstractNumId w:val="78"/>
  </w:num>
  <w:num w:numId="201">
    <w:abstractNumId w:val="132"/>
  </w:num>
  <w:num w:numId="202">
    <w:abstractNumId w:val="128"/>
  </w:num>
  <w:num w:numId="203">
    <w:abstractNumId w:val="140"/>
  </w:num>
  <w:num w:numId="204">
    <w:abstractNumId w:val="119"/>
  </w:num>
  <w:num w:numId="205">
    <w:abstractNumId w:val="30"/>
  </w:num>
  <w:num w:numId="206">
    <w:abstractNumId w:val="169"/>
  </w:num>
  <w:num w:numId="207">
    <w:abstractNumId w:val="37"/>
  </w:num>
  <w:num w:numId="208">
    <w:abstractNumId w:val="161"/>
  </w:num>
  <w:numIdMacAtCleanup w:val="2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5279"/>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2C1123"/>
    <w:rsid w:val="000F2E9F"/>
    <w:rsid w:val="002060EF"/>
    <w:rsid w:val="002C1123"/>
    <w:rsid w:val="00560142"/>
    <w:rsid w:val="008871BD"/>
    <w:rsid w:val="00F22F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279"/>
    <o:shapelayout v:ext="edit">
      <o:idmap v:ext="edit" data="1,3,4,5"/>
    </o:shapelayout>
  </w:shapeDefaults>
  <w:decimalSymbol w:val="."/>
  <w:listSeparator w:val=","/>
  <w15:docId w15:val="{4BBD69C6-2F56-4036-AFB5-6B50D2D03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270"/>
      <w:ind w:left="492"/>
      <w:outlineLvl w:val="0"/>
    </w:pPr>
    <w:rPr>
      <w:rFonts w:ascii="Trebuchet MS" w:eastAsia="Trebuchet MS" w:hAnsi="Trebuchet MS" w:cs="Trebuchet MS"/>
      <w:sz w:val="112"/>
      <w:szCs w:val="112"/>
    </w:rPr>
  </w:style>
  <w:style w:type="paragraph" w:styleId="Heading2">
    <w:name w:val="heading 2"/>
    <w:basedOn w:val="Normal"/>
    <w:uiPriority w:val="1"/>
    <w:qFormat/>
    <w:pPr>
      <w:spacing w:before="18" w:line="953" w:lineRule="exact"/>
      <w:ind w:left="224"/>
      <w:outlineLvl w:val="1"/>
    </w:pPr>
    <w:rPr>
      <w:rFonts w:ascii="Trebuchet MS" w:eastAsia="Trebuchet MS" w:hAnsi="Trebuchet MS" w:cs="Trebuchet MS"/>
      <w:sz w:val="87"/>
      <w:szCs w:val="87"/>
    </w:rPr>
  </w:style>
  <w:style w:type="paragraph" w:styleId="Heading3">
    <w:name w:val="heading 3"/>
    <w:basedOn w:val="Normal"/>
    <w:uiPriority w:val="1"/>
    <w:qFormat/>
    <w:pPr>
      <w:ind w:left="110"/>
      <w:outlineLvl w:val="2"/>
    </w:pPr>
    <w:rPr>
      <w:rFonts w:ascii="Trebuchet MS" w:eastAsia="Trebuchet MS" w:hAnsi="Trebuchet MS" w:cs="Trebuchet MS"/>
      <w:sz w:val="60"/>
      <w:szCs w:val="60"/>
    </w:rPr>
  </w:style>
  <w:style w:type="paragraph" w:styleId="Heading4">
    <w:name w:val="heading 4"/>
    <w:basedOn w:val="Normal"/>
    <w:uiPriority w:val="1"/>
    <w:qFormat/>
    <w:pPr>
      <w:ind w:left="321"/>
      <w:outlineLvl w:val="3"/>
    </w:pPr>
    <w:rPr>
      <w:sz w:val="36"/>
      <w:szCs w:val="36"/>
    </w:rPr>
  </w:style>
  <w:style w:type="paragraph" w:styleId="Heading5">
    <w:name w:val="heading 5"/>
    <w:basedOn w:val="Normal"/>
    <w:uiPriority w:val="1"/>
    <w:qFormat/>
    <w:pPr>
      <w:spacing w:before="111"/>
      <w:ind w:left="941" w:hanging="450"/>
      <w:outlineLvl w:val="4"/>
    </w:pPr>
    <w:rPr>
      <w:b/>
      <w:bCs/>
      <w:sz w:val="28"/>
      <w:szCs w:val="28"/>
    </w:rPr>
  </w:style>
  <w:style w:type="paragraph" w:styleId="Heading6">
    <w:name w:val="heading 6"/>
    <w:basedOn w:val="Normal"/>
    <w:uiPriority w:val="1"/>
    <w:qFormat/>
    <w:pPr>
      <w:spacing w:before="108"/>
      <w:ind w:left="978"/>
      <w:outlineLvl w:val="5"/>
    </w:pPr>
    <w:rPr>
      <w:b/>
      <w:bCs/>
      <w:sz w:val="20"/>
      <w:szCs w:val="20"/>
    </w:rPr>
  </w:style>
  <w:style w:type="paragraph" w:styleId="Heading7">
    <w:name w:val="heading 7"/>
    <w:basedOn w:val="Normal"/>
    <w:uiPriority w:val="1"/>
    <w:qFormat/>
    <w:pPr>
      <w:spacing w:before="145"/>
      <w:ind w:left="683" w:hanging="241"/>
      <w:outlineLvl w:val="6"/>
    </w:pPr>
    <w:rPr>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line="220" w:lineRule="exact"/>
      <w:ind w:left="848" w:hanging="512"/>
    </w:pPr>
    <w:rPr>
      <w:sz w:val="20"/>
      <w:szCs w:val="20"/>
    </w:rPr>
  </w:style>
  <w:style w:type="paragraph" w:styleId="TOC2">
    <w:name w:val="toc 2"/>
    <w:basedOn w:val="Normal"/>
    <w:uiPriority w:val="1"/>
    <w:qFormat/>
    <w:pPr>
      <w:spacing w:line="220" w:lineRule="exact"/>
      <w:ind w:left="848"/>
    </w:pPr>
    <w:rPr>
      <w:sz w:val="20"/>
      <w:szCs w:val="20"/>
    </w:rPr>
  </w:style>
  <w:style w:type="paragraph" w:styleId="BodyText">
    <w:name w:val="Body Text"/>
    <w:basedOn w:val="Normal"/>
    <w:uiPriority w:val="1"/>
    <w:qFormat/>
    <w:rPr>
      <w:sz w:val="20"/>
      <w:szCs w:val="20"/>
    </w:rPr>
  </w:style>
  <w:style w:type="paragraph" w:styleId="Title">
    <w:name w:val="Title"/>
    <w:basedOn w:val="Normal"/>
    <w:uiPriority w:val="1"/>
    <w:qFormat/>
    <w:pPr>
      <w:spacing w:before="1240"/>
      <w:ind w:left="220" w:firstLine="83"/>
    </w:pPr>
    <w:rPr>
      <w:rFonts w:ascii="Trebuchet MS" w:eastAsia="Trebuchet MS" w:hAnsi="Trebuchet MS" w:cs="Trebuchet MS"/>
      <w:sz w:val="416"/>
      <w:szCs w:val="416"/>
    </w:rPr>
  </w:style>
  <w:style w:type="paragraph" w:styleId="ListParagraph">
    <w:name w:val="List Paragraph"/>
    <w:basedOn w:val="Normal"/>
    <w:uiPriority w:val="1"/>
    <w:qFormat/>
    <w:pPr>
      <w:ind w:left="775" w:hanging="284"/>
    </w:pPr>
  </w:style>
  <w:style w:type="paragraph" w:customStyle="1" w:styleId="TableParagraph">
    <w:name w:val="Table Paragraph"/>
    <w:basedOn w:val="Normal"/>
    <w:uiPriority w:val="1"/>
    <w:qFormat/>
    <w:pPr>
      <w:spacing w:before="67"/>
      <w:ind w:left="113"/>
    </w:pPr>
  </w:style>
  <w:style w:type="character" w:styleId="Hyperlink">
    <w:name w:val="Hyperlink"/>
    <w:basedOn w:val="DefaultParagraphFont"/>
    <w:uiPriority w:val="99"/>
    <w:unhideWhenUsed/>
    <w:rsid w:val="005601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png"/><Relationship Id="rId21" Type="http://schemas.openxmlformats.org/officeDocument/2006/relationships/image" Target="media/image14.png"/><Relationship Id="rId42" Type="http://schemas.openxmlformats.org/officeDocument/2006/relationships/hyperlink" Target="http://www.infrastructure.nsw.gov.au/about-insw/the-board/carolyn-kay.aspx" TargetMode="External"/><Relationship Id="rId63" Type="http://schemas.openxmlformats.org/officeDocument/2006/relationships/image" Target="media/image6.png"/><Relationship Id="rId84" Type="http://schemas.openxmlformats.org/officeDocument/2006/relationships/image" Target="media/image39.png"/><Relationship Id="rId138" Type="http://schemas.openxmlformats.org/officeDocument/2006/relationships/image" Target="media/image76.png"/><Relationship Id="rId159" Type="http://schemas.openxmlformats.org/officeDocument/2006/relationships/image" Target="media/image91.png"/><Relationship Id="rId170" Type="http://schemas.openxmlformats.org/officeDocument/2006/relationships/image" Target="media/image98.png"/><Relationship Id="rId191" Type="http://schemas.openxmlformats.org/officeDocument/2006/relationships/image" Target="media/image117.png"/><Relationship Id="rId205" Type="http://schemas.openxmlformats.org/officeDocument/2006/relationships/footer" Target="footer28.xml"/><Relationship Id="rId226" Type="http://schemas.openxmlformats.org/officeDocument/2006/relationships/header" Target="header33.xml"/><Relationship Id="rId247" Type="http://schemas.openxmlformats.org/officeDocument/2006/relationships/header" Target="header40.xml"/><Relationship Id="rId107" Type="http://schemas.openxmlformats.org/officeDocument/2006/relationships/image" Target="media/image55.png"/><Relationship Id="rId11" Type="http://schemas.openxmlformats.org/officeDocument/2006/relationships/image" Target="media/image8.png"/><Relationship Id="rId32" Type="http://schemas.openxmlformats.org/officeDocument/2006/relationships/header" Target="header7.xml"/><Relationship Id="rId53" Type="http://schemas.openxmlformats.org/officeDocument/2006/relationships/image" Target="media/image24.png"/><Relationship Id="rId74" Type="http://schemas.openxmlformats.org/officeDocument/2006/relationships/image" Target="media/image35.png"/><Relationship Id="rId128" Type="http://schemas.openxmlformats.org/officeDocument/2006/relationships/image" Target="media/image66.png"/><Relationship Id="rId149" Type="http://schemas.openxmlformats.org/officeDocument/2006/relationships/footer" Target="footer24.xml"/><Relationship Id="rId5" Type="http://schemas.openxmlformats.org/officeDocument/2006/relationships/footnotes" Target="footnotes.xml"/><Relationship Id="rId95" Type="http://schemas.openxmlformats.org/officeDocument/2006/relationships/footer" Target="footer17.xml"/><Relationship Id="rId160" Type="http://schemas.openxmlformats.org/officeDocument/2006/relationships/image" Target="media/image92.png"/><Relationship Id="rId181" Type="http://schemas.openxmlformats.org/officeDocument/2006/relationships/image" Target="media/image109.png"/><Relationship Id="rId216" Type="http://schemas.openxmlformats.org/officeDocument/2006/relationships/image" Target="media/image134.png"/><Relationship Id="rId237" Type="http://schemas.openxmlformats.org/officeDocument/2006/relationships/header" Target="header36.xml"/><Relationship Id="rId22" Type="http://schemas.openxmlformats.org/officeDocument/2006/relationships/image" Target="media/image15.png"/><Relationship Id="rId43" Type="http://schemas.openxmlformats.org/officeDocument/2006/relationships/hyperlink" Target="http://www.infrastructure.nsw.gov.au/about-insw/the-board/max-moore-wilton-ac.aspx" TargetMode="External"/><Relationship Id="rId64" Type="http://schemas.openxmlformats.org/officeDocument/2006/relationships/image" Target="media/image7.png"/><Relationship Id="rId118" Type="http://schemas.openxmlformats.org/officeDocument/2006/relationships/header" Target="header21.xml"/><Relationship Id="rId139" Type="http://schemas.openxmlformats.org/officeDocument/2006/relationships/image" Target="media/image77.png"/><Relationship Id="rId85" Type="http://schemas.openxmlformats.org/officeDocument/2006/relationships/image" Target="media/image40.png"/><Relationship Id="rId150" Type="http://schemas.openxmlformats.org/officeDocument/2006/relationships/image" Target="media/image84.png"/><Relationship Id="rId171" Type="http://schemas.openxmlformats.org/officeDocument/2006/relationships/image" Target="media/image99.png"/><Relationship Id="rId192" Type="http://schemas.openxmlformats.org/officeDocument/2006/relationships/image" Target="media/image118.png"/><Relationship Id="rId206" Type="http://schemas.openxmlformats.org/officeDocument/2006/relationships/header" Target="header30.xml"/><Relationship Id="rId227" Type="http://schemas.openxmlformats.org/officeDocument/2006/relationships/footer" Target="footer32.xml"/><Relationship Id="rId248" Type="http://schemas.openxmlformats.org/officeDocument/2006/relationships/footer" Target="footer39.xml"/><Relationship Id="rId12" Type="http://schemas.openxmlformats.org/officeDocument/2006/relationships/image" Target="media/image9.png"/><Relationship Id="rId17" Type="http://schemas.openxmlformats.org/officeDocument/2006/relationships/header" Target="header3.xml"/><Relationship Id="rId33" Type="http://schemas.openxmlformats.org/officeDocument/2006/relationships/footer" Target="footer6.xml"/><Relationship Id="rId38" Type="http://schemas.openxmlformats.org/officeDocument/2006/relationships/hyperlink" Target="http://www.infrastructure.nsw.gov.au/about-insw/the-board/nick-greiner-ac.aspx" TargetMode="External"/><Relationship Id="rId59" Type="http://schemas.openxmlformats.org/officeDocument/2006/relationships/image" Target="media/image2.png"/><Relationship Id="rId103" Type="http://schemas.openxmlformats.org/officeDocument/2006/relationships/image" Target="media/image51.png"/><Relationship Id="rId108" Type="http://schemas.openxmlformats.org/officeDocument/2006/relationships/image" Target="media/image56.png"/><Relationship Id="rId124" Type="http://schemas.openxmlformats.org/officeDocument/2006/relationships/footer" Target="footer22.xml"/><Relationship Id="rId129" Type="http://schemas.openxmlformats.org/officeDocument/2006/relationships/image" Target="media/image67.png"/><Relationship Id="rId54" Type="http://schemas.openxmlformats.org/officeDocument/2006/relationships/image" Target="media/image25.png"/><Relationship Id="rId70" Type="http://schemas.openxmlformats.org/officeDocument/2006/relationships/image" Target="media/image31.png"/><Relationship Id="rId75" Type="http://schemas.openxmlformats.org/officeDocument/2006/relationships/header" Target="header13.xml"/><Relationship Id="rId91" Type="http://schemas.openxmlformats.org/officeDocument/2006/relationships/footer" Target="footer15.xml"/><Relationship Id="rId96" Type="http://schemas.openxmlformats.org/officeDocument/2006/relationships/hyperlink" Target="http://www.mynewworkcity.com.au/" TargetMode="External"/><Relationship Id="rId140" Type="http://schemas.openxmlformats.org/officeDocument/2006/relationships/image" Target="media/image78.png"/><Relationship Id="rId145" Type="http://schemas.openxmlformats.org/officeDocument/2006/relationships/image" Target="media/image83.jpeg"/><Relationship Id="rId161" Type="http://schemas.openxmlformats.org/officeDocument/2006/relationships/header" Target="header26.xml"/><Relationship Id="rId166" Type="http://schemas.openxmlformats.org/officeDocument/2006/relationships/image" Target="media/image96.png"/><Relationship Id="rId182" Type="http://schemas.openxmlformats.org/officeDocument/2006/relationships/image" Target="media/image110.png"/><Relationship Id="rId187" Type="http://schemas.openxmlformats.org/officeDocument/2006/relationships/image" Target="media/image113.png"/><Relationship Id="rId217" Type="http://schemas.openxmlformats.org/officeDocument/2006/relationships/image" Target="media/image135.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footer" Target="footer31.xml"/><Relationship Id="rId233" Type="http://schemas.openxmlformats.org/officeDocument/2006/relationships/image" Target="media/image147.png"/><Relationship Id="rId238" Type="http://schemas.openxmlformats.org/officeDocument/2006/relationships/footer" Target="footer35.xml"/><Relationship Id="rId23" Type="http://schemas.openxmlformats.org/officeDocument/2006/relationships/header" Target="header5.xml"/><Relationship Id="rId28" Type="http://schemas.openxmlformats.org/officeDocument/2006/relationships/footer" Target="footer5.xml"/><Relationship Id="rId49" Type="http://schemas.openxmlformats.org/officeDocument/2006/relationships/footer" Target="footer9.xml"/><Relationship Id="rId114" Type="http://schemas.openxmlformats.org/officeDocument/2006/relationships/footer" Target="footer19.xml"/><Relationship Id="rId119" Type="http://schemas.openxmlformats.org/officeDocument/2006/relationships/footer" Target="footer20.xml"/><Relationship Id="rId44" Type="http://schemas.openxmlformats.org/officeDocument/2006/relationships/hyperlink" Target="http://www.infrastructure.nsw.gov.au/about-insw/the-board/chris-eccles.aspx" TargetMode="External"/><Relationship Id="rId60" Type="http://schemas.openxmlformats.org/officeDocument/2006/relationships/image" Target="media/image3.png"/><Relationship Id="rId65" Type="http://schemas.openxmlformats.org/officeDocument/2006/relationships/header" Target="header11.xml"/><Relationship Id="rId81" Type="http://schemas.openxmlformats.org/officeDocument/2006/relationships/image" Target="media/image36.png"/><Relationship Id="rId86" Type="http://schemas.openxmlformats.org/officeDocument/2006/relationships/image" Target="media/image41.png"/><Relationship Id="rId130" Type="http://schemas.openxmlformats.org/officeDocument/2006/relationships/image" Target="media/image68.png"/><Relationship Id="rId135" Type="http://schemas.openxmlformats.org/officeDocument/2006/relationships/image" Target="media/image73.png"/><Relationship Id="rId151" Type="http://schemas.openxmlformats.org/officeDocument/2006/relationships/image" Target="media/image85.png"/><Relationship Id="rId156" Type="http://schemas.openxmlformats.org/officeDocument/2006/relationships/image" Target="media/image88.png"/><Relationship Id="rId177" Type="http://schemas.openxmlformats.org/officeDocument/2006/relationships/image" Target="media/image105.png"/><Relationship Id="rId198" Type="http://schemas.openxmlformats.org/officeDocument/2006/relationships/image" Target="media/image124.png"/><Relationship Id="rId172" Type="http://schemas.openxmlformats.org/officeDocument/2006/relationships/image" Target="media/image100.png"/><Relationship Id="rId193" Type="http://schemas.openxmlformats.org/officeDocument/2006/relationships/image" Target="media/image119.png"/><Relationship Id="rId202" Type="http://schemas.openxmlformats.org/officeDocument/2006/relationships/image" Target="media/image128.png"/><Relationship Id="rId207" Type="http://schemas.openxmlformats.org/officeDocument/2006/relationships/footer" Target="footer29.xml"/><Relationship Id="rId223" Type="http://schemas.openxmlformats.org/officeDocument/2006/relationships/image" Target="media/image141.png"/><Relationship Id="rId228" Type="http://schemas.openxmlformats.org/officeDocument/2006/relationships/header" Target="header34.xml"/><Relationship Id="rId244" Type="http://schemas.openxmlformats.org/officeDocument/2006/relationships/footer" Target="footer37.xml"/><Relationship Id="rId249" Type="http://schemas.openxmlformats.org/officeDocument/2006/relationships/fontTable" Target="fontTable.xml"/><Relationship Id="rId13" Type="http://schemas.openxmlformats.org/officeDocument/2006/relationships/image" Target="media/image10.png"/><Relationship Id="rId18" Type="http://schemas.openxmlformats.org/officeDocument/2006/relationships/footer" Target="footer2.xml"/><Relationship Id="rId39" Type="http://schemas.openxmlformats.org/officeDocument/2006/relationships/hyperlink" Target="http://www.infrastructure.nsw.gov.au/about-insw/the-board/paul-broad.aspx" TargetMode="External"/><Relationship Id="rId109" Type="http://schemas.openxmlformats.org/officeDocument/2006/relationships/image" Target="media/image57.png"/><Relationship Id="rId34" Type="http://schemas.openxmlformats.org/officeDocument/2006/relationships/header" Target="header8.xml"/><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footer" Target="footer12.xml"/><Relationship Id="rId97" Type="http://schemas.openxmlformats.org/officeDocument/2006/relationships/image" Target="media/image45.png"/><Relationship Id="rId104" Type="http://schemas.openxmlformats.org/officeDocument/2006/relationships/image" Target="media/image52.png"/><Relationship Id="rId120" Type="http://schemas.openxmlformats.org/officeDocument/2006/relationships/image" Target="media/image62.png"/><Relationship Id="rId125" Type="http://schemas.openxmlformats.org/officeDocument/2006/relationships/image" Target="media/image63.png"/><Relationship Id="rId141" Type="http://schemas.openxmlformats.org/officeDocument/2006/relationships/image" Target="media/image79.png"/><Relationship Id="rId146" Type="http://schemas.openxmlformats.org/officeDocument/2006/relationships/header" Target="header24.xml"/><Relationship Id="rId167" Type="http://schemas.openxmlformats.org/officeDocument/2006/relationships/header" Target="header27.xml"/><Relationship Id="rId188" Type="http://schemas.openxmlformats.org/officeDocument/2006/relationships/image" Target="media/image114.png"/><Relationship Id="rId7" Type="http://schemas.openxmlformats.org/officeDocument/2006/relationships/image" Target="media/image1.png"/><Relationship Id="rId71" Type="http://schemas.openxmlformats.org/officeDocument/2006/relationships/image" Target="media/image32.png"/><Relationship Id="rId92" Type="http://schemas.openxmlformats.org/officeDocument/2006/relationships/header" Target="header17.xml"/><Relationship Id="rId162" Type="http://schemas.openxmlformats.org/officeDocument/2006/relationships/footer" Target="footer25.xml"/><Relationship Id="rId183" Type="http://schemas.openxmlformats.org/officeDocument/2006/relationships/image" Target="media/image111.png"/><Relationship Id="rId213" Type="http://schemas.openxmlformats.org/officeDocument/2006/relationships/image" Target="media/image131.png"/><Relationship Id="rId218" Type="http://schemas.openxmlformats.org/officeDocument/2006/relationships/image" Target="media/image136.png"/><Relationship Id="rId234" Type="http://schemas.openxmlformats.org/officeDocument/2006/relationships/image" Target="media/image148.png"/><Relationship Id="rId239" Type="http://schemas.openxmlformats.org/officeDocument/2006/relationships/image" Target="media/image149.png"/><Relationship Id="rId2" Type="http://schemas.openxmlformats.org/officeDocument/2006/relationships/styles" Target="styles.xml"/><Relationship Id="rId29" Type="http://schemas.openxmlformats.org/officeDocument/2006/relationships/image" Target="media/image18.png"/><Relationship Id="rId250" Type="http://schemas.openxmlformats.org/officeDocument/2006/relationships/theme" Target="theme/theme1.xml"/><Relationship Id="rId24" Type="http://schemas.openxmlformats.org/officeDocument/2006/relationships/footer" Target="footer4.xml"/><Relationship Id="rId40" Type="http://schemas.openxmlformats.org/officeDocument/2006/relationships/hyperlink" Target="http://www.infrastructure.nsw.gov.au/about-insw/the-board/roger-fletcher.aspx" TargetMode="External"/><Relationship Id="rId45" Type="http://schemas.openxmlformats.org/officeDocument/2006/relationships/hyperlink" Target="http://www.infrastructure.nsw.gov.au/about-insw/the-board/sam-haddad.aspx" TargetMode="External"/><Relationship Id="rId66" Type="http://schemas.openxmlformats.org/officeDocument/2006/relationships/footer" Target="footer10.xml"/><Relationship Id="rId87" Type="http://schemas.openxmlformats.org/officeDocument/2006/relationships/image" Target="media/image42.png"/><Relationship Id="rId110" Type="http://schemas.openxmlformats.org/officeDocument/2006/relationships/image" Target="media/image58.png"/><Relationship Id="rId115" Type="http://schemas.openxmlformats.org/officeDocument/2006/relationships/image" Target="media/image59.png"/><Relationship Id="rId131" Type="http://schemas.openxmlformats.org/officeDocument/2006/relationships/image" Target="media/image69.png"/><Relationship Id="rId136" Type="http://schemas.openxmlformats.org/officeDocument/2006/relationships/image" Target="media/image74.png"/><Relationship Id="rId157" Type="http://schemas.openxmlformats.org/officeDocument/2006/relationships/image" Target="media/image89.png"/><Relationship Id="rId178" Type="http://schemas.openxmlformats.org/officeDocument/2006/relationships/image" Target="media/image106.png"/><Relationship Id="rId61" Type="http://schemas.openxmlformats.org/officeDocument/2006/relationships/image" Target="media/image4.png"/><Relationship Id="rId82" Type="http://schemas.openxmlformats.org/officeDocument/2006/relationships/image" Target="media/image37.png"/><Relationship Id="rId152" Type="http://schemas.openxmlformats.org/officeDocument/2006/relationships/hyperlink" Target="http://www.bbc.co.uk/news/uk-scotland-edinburgh-east-fife-14919826" TargetMode="External"/><Relationship Id="rId173" Type="http://schemas.openxmlformats.org/officeDocument/2006/relationships/image" Target="media/image101.png"/><Relationship Id="rId194" Type="http://schemas.openxmlformats.org/officeDocument/2006/relationships/image" Target="media/image120.png"/><Relationship Id="rId199" Type="http://schemas.openxmlformats.org/officeDocument/2006/relationships/image" Target="media/image125.png"/><Relationship Id="rId203" Type="http://schemas.openxmlformats.org/officeDocument/2006/relationships/image" Target="media/image129.png"/><Relationship Id="rId208" Type="http://schemas.openxmlformats.org/officeDocument/2006/relationships/header" Target="header31.xml"/><Relationship Id="rId229" Type="http://schemas.openxmlformats.org/officeDocument/2006/relationships/footer" Target="footer33.xml"/><Relationship Id="rId19" Type="http://schemas.openxmlformats.org/officeDocument/2006/relationships/header" Target="header4.xml"/><Relationship Id="rId224" Type="http://schemas.openxmlformats.org/officeDocument/2006/relationships/image" Target="media/image142.png"/><Relationship Id="rId240" Type="http://schemas.openxmlformats.org/officeDocument/2006/relationships/image" Target="media/image150.png"/><Relationship Id="rId245" Type="http://schemas.openxmlformats.org/officeDocument/2006/relationships/header" Target="header39.xml"/><Relationship Id="rId14" Type="http://schemas.openxmlformats.org/officeDocument/2006/relationships/image" Target="media/image11.png"/><Relationship Id="rId30" Type="http://schemas.openxmlformats.org/officeDocument/2006/relationships/image" Target="media/image19.png"/><Relationship Id="rId35" Type="http://schemas.openxmlformats.org/officeDocument/2006/relationships/footer" Target="footer7.xml"/><Relationship Id="rId56" Type="http://schemas.openxmlformats.org/officeDocument/2006/relationships/image" Target="media/image27.png"/><Relationship Id="rId77" Type="http://schemas.openxmlformats.org/officeDocument/2006/relationships/header" Target="header14.xml"/><Relationship Id="rId100" Type="http://schemas.openxmlformats.org/officeDocument/2006/relationships/image" Target="media/image48.png"/><Relationship Id="rId105" Type="http://schemas.openxmlformats.org/officeDocument/2006/relationships/image" Target="media/image53.png"/><Relationship Id="rId126" Type="http://schemas.openxmlformats.org/officeDocument/2006/relationships/image" Target="media/image64.png"/><Relationship Id="rId147" Type="http://schemas.openxmlformats.org/officeDocument/2006/relationships/footer" Target="footer23.xml"/><Relationship Id="rId168" Type="http://schemas.openxmlformats.org/officeDocument/2006/relationships/footer" Target="footer26.xml"/><Relationship Id="rId8" Type="http://schemas.openxmlformats.org/officeDocument/2006/relationships/header" Target="header1.xml"/><Relationship Id="rId51" Type="http://schemas.openxmlformats.org/officeDocument/2006/relationships/image" Target="media/image22.png"/><Relationship Id="rId72" Type="http://schemas.openxmlformats.org/officeDocument/2006/relationships/image" Target="media/image33.png"/><Relationship Id="rId93" Type="http://schemas.openxmlformats.org/officeDocument/2006/relationships/footer" Target="footer16.xml"/><Relationship Id="rId98" Type="http://schemas.openxmlformats.org/officeDocument/2006/relationships/image" Target="media/image46.png"/><Relationship Id="rId121" Type="http://schemas.openxmlformats.org/officeDocument/2006/relationships/header" Target="header22.xml"/><Relationship Id="rId142" Type="http://schemas.openxmlformats.org/officeDocument/2006/relationships/image" Target="media/image80.png"/><Relationship Id="rId163" Type="http://schemas.openxmlformats.org/officeDocument/2006/relationships/image" Target="media/image93.png"/><Relationship Id="rId184" Type="http://schemas.openxmlformats.org/officeDocument/2006/relationships/image" Target="media/image112.png"/><Relationship Id="rId189" Type="http://schemas.openxmlformats.org/officeDocument/2006/relationships/image" Target="media/image115.png"/><Relationship Id="rId219" Type="http://schemas.openxmlformats.org/officeDocument/2006/relationships/image" Target="media/image137.png"/><Relationship Id="rId3" Type="http://schemas.openxmlformats.org/officeDocument/2006/relationships/settings" Target="settings.xml"/><Relationship Id="rId214" Type="http://schemas.openxmlformats.org/officeDocument/2006/relationships/image" Target="media/image132.png"/><Relationship Id="rId230" Type="http://schemas.openxmlformats.org/officeDocument/2006/relationships/image" Target="media/image144.png"/><Relationship Id="rId235" Type="http://schemas.openxmlformats.org/officeDocument/2006/relationships/header" Target="header35.xml"/><Relationship Id="rId25" Type="http://schemas.openxmlformats.org/officeDocument/2006/relationships/image" Target="media/image16.png"/><Relationship Id="rId46" Type="http://schemas.openxmlformats.org/officeDocument/2006/relationships/hyperlink" Target="http://www.infrastructure.nsw.gov.au/about-insw/the-board/philip-gaetjens.aspx" TargetMode="External"/><Relationship Id="rId67" Type="http://schemas.openxmlformats.org/officeDocument/2006/relationships/header" Target="header12.xml"/><Relationship Id="rId116" Type="http://schemas.openxmlformats.org/officeDocument/2006/relationships/image" Target="media/image60.png"/><Relationship Id="rId137" Type="http://schemas.openxmlformats.org/officeDocument/2006/relationships/image" Target="media/image75.png"/><Relationship Id="rId158" Type="http://schemas.openxmlformats.org/officeDocument/2006/relationships/image" Target="media/image90.png"/><Relationship Id="rId20" Type="http://schemas.openxmlformats.org/officeDocument/2006/relationships/footer" Target="footer3.xml"/><Relationship Id="rId41" Type="http://schemas.openxmlformats.org/officeDocument/2006/relationships/hyperlink" Target="http://www.infrastructure.nsw.gov.au/about-insw/the-board/david-gonski-ac.aspx" TargetMode="External"/><Relationship Id="rId62" Type="http://schemas.openxmlformats.org/officeDocument/2006/relationships/image" Target="media/image5.png"/><Relationship Id="rId83" Type="http://schemas.openxmlformats.org/officeDocument/2006/relationships/image" Target="media/image38.png"/><Relationship Id="rId88" Type="http://schemas.openxmlformats.org/officeDocument/2006/relationships/image" Target="media/image43.png"/><Relationship Id="rId111" Type="http://schemas.openxmlformats.org/officeDocument/2006/relationships/header" Target="header19.xml"/><Relationship Id="rId132" Type="http://schemas.openxmlformats.org/officeDocument/2006/relationships/image" Target="media/image70.png"/><Relationship Id="rId153" Type="http://schemas.openxmlformats.org/officeDocument/2006/relationships/hyperlink" Target="http://www.bbc.co.uk/news/uk-scotland-edinburgh-east-fife-14919826" TargetMode="External"/><Relationship Id="rId174" Type="http://schemas.openxmlformats.org/officeDocument/2006/relationships/image" Target="media/image102.png"/><Relationship Id="rId179" Type="http://schemas.openxmlformats.org/officeDocument/2006/relationships/image" Target="media/image107.png"/><Relationship Id="rId195" Type="http://schemas.openxmlformats.org/officeDocument/2006/relationships/image" Target="media/image121.png"/><Relationship Id="rId209" Type="http://schemas.openxmlformats.org/officeDocument/2006/relationships/footer" Target="footer30.xml"/><Relationship Id="rId190" Type="http://schemas.openxmlformats.org/officeDocument/2006/relationships/image" Target="media/image116.png"/><Relationship Id="rId204" Type="http://schemas.openxmlformats.org/officeDocument/2006/relationships/header" Target="header29.xml"/><Relationship Id="rId220" Type="http://schemas.openxmlformats.org/officeDocument/2006/relationships/image" Target="media/image138.png"/><Relationship Id="rId225" Type="http://schemas.openxmlformats.org/officeDocument/2006/relationships/image" Target="media/image143.png"/><Relationship Id="rId241" Type="http://schemas.openxmlformats.org/officeDocument/2006/relationships/header" Target="header37.xml"/><Relationship Id="rId246" Type="http://schemas.openxmlformats.org/officeDocument/2006/relationships/footer" Target="footer38.xml"/><Relationship Id="rId15" Type="http://schemas.openxmlformats.org/officeDocument/2006/relationships/image" Target="media/image12.png"/><Relationship Id="rId36" Type="http://schemas.openxmlformats.org/officeDocument/2006/relationships/header" Target="header9.xml"/><Relationship Id="rId57" Type="http://schemas.openxmlformats.org/officeDocument/2006/relationships/image" Target="media/image28.png"/><Relationship Id="rId106" Type="http://schemas.openxmlformats.org/officeDocument/2006/relationships/image" Target="media/image54.png"/><Relationship Id="rId127" Type="http://schemas.openxmlformats.org/officeDocument/2006/relationships/image" Target="media/image65.png"/><Relationship Id="rId10" Type="http://schemas.openxmlformats.org/officeDocument/2006/relationships/footer" Target="footer1.xml"/><Relationship Id="rId31" Type="http://schemas.openxmlformats.org/officeDocument/2006/relationships/image" Target="media/image20.png"/><Relationship Id="rId52" Type="http://schemas.openxmlformats.org/officeDocument/2006/relationships/image" Target="media/image23.png"/><Relationship Id="rId73" Type="http://schemas.openxmlformats.org/officeDocument/2006/relationships/image" Target="media/image34.png"/><Relationship Id="rId78" Type="http://schemas.openxmlformats.org/officeDocument/2006/relationships/footer" Target="footer13.xml"/><Relationship Id="rId94" Type="http://schemas.openxmlformats.org/officeDocument/2006/relationships/header" Target="header18.xml"/><Relationship Id="rId99" Type="http://schemas.openxmlformats.org/officeDocument/2006/relationships/image" Target="media/image47.png"/><Relationship Id="rId101" Type="http://schemas.openxmlformats.org/officeDocument/2006/relationships/image" Target="media/image49.png"/><Relationship Id="rId122" Type="http://schemas.openxmlformats.org/officeDocument/2006/relationships/footer" Target="footer21.xml"/><Relationship Id="rId143" Type="http://schemas.openxmlformats.org/officeDocument/2006/relationships/image" Target="media/image81.png"/><Relationship Id="rId148" Type="http://schemas.openxmlformats.org/officeDocument/2006/relationships/header" Target="header25.xml"/><Relationship Id="rId164" Type="http://schemas.openxmlformats.org/officeDocument/2006/relationships/image" Target="media/image94.png"/><Relationship Id="rId169" Type="http://schemas.openxmlformats.org/officeDocument/2006/relationships/image" Target="media/image97.png"/><Relationship Id="rId185" Type="http://schemas.openxmlformats.org/officeDocument/2006/relationships/header" Target="header28.xml"/><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image" Target="media/image108.png"/><Relationship Id="rId210" Type="http://schemas.openxmlformats.org/officeDocument/2006/relationships/image" Target="media/image130.png"/><Relationship Id="rId215" Type="http://schemas.openxmlformats.org/officeDocument/2006/relationships/image" Target="media/image133.png"/><Relationship Id="rId236" Type="http://schemas.openxmlformats.org/officeDocument/2006/relationships/footer" Target="footer34.xml"/><Relationship Id="rId26" Type="http://schemas.openxmlformats.org/officeDocument/2006/relationships/image" Target="media/image17.png"/><Relationship Id="rId231" Type="http://schemas.openxmlformats.org/officeDocument/2006/relationships/image" Target="media/image145.png"/><Relationship Id="rId47" Type="http://schemas.openxmlformats.org/officeDocument/2006/relationships/hyperlink" Target="http://www.infrastructure.nsw.gov.au/about-insw/the-board/mark-paterson-ao.aspx" TargetMode="External"/><Relationship Id="rId68" Type="http://schemas.openxmlformats.org/officeDocument/2006/relationships/footer" Target="footer11.xml"/><Relationship Id="rId89" Type="http://schemas.openxmlformats.org/officeDocument/2006/relationships/image" Target="media/image44.png"/><Relationship Id="rId112" Type="http://schemas.openxmlformats.org/officeDocument/2006/relationships/footer" Target="footer18.xml"/><Relationship Id="rId133" Type="http://schemas.openxmlformats.org/officeDocument/2006/relationships/image" Target="media/image71.png"/><Relationship Id="rId154" Type="http://schemas.openxmlformats.org/officeDocument/2006/relationships/image" Target="media/image86.png"/><Relationship Id="rId175" Type="http://schemas.openxmlformats.org/officeDocument/2006/relationships/image" Target="media/image103.png"/><Relationship Id="rId196" Type="http://schemas.openxmlformats.org/officeDocument/2006/relationships/image" Target="media/image122.png"/><Relationship Id="rId200" Type="http://schemas.openxmlformats.org/officeDocument/2006/relationships/image" Target="media/image126.png"/><Relationship Id="rId16" Type="http://schemas.openxmlformats.org/officeDocument/2006/relationships/image" Target="media/image13.png"/><Relationship Id="rId221" Type="http://schemas.openxmlformats.org/officeDocument/2006/relationships/image" Target="media/image139.png"/><Relationship Id="rId242" Type="http://schemas.openxmlformats.org/officeDocument/2006/relationships/footer" Target="footer36.xml"/><Relationship Id="rId37" Type="http://schemas.openxmlformats.org/officeDocument/2006/relationships/footer" Target="footer8.xml"/><Relationship Id="rId58" Type="http://schemas.openxmlformats.org/officeDocument/2006/relationships/image" Target="media/image29.png"/><Relationship Id="rId79" Type="http://schemas.openxmlformats.org/officeDocument/2006/relationships/header" Target="header15.xml"/><Relationship Id="rId102" Type="http://schemas.openxmlformats.org/officeDocument/2006/relationships/image" Target="media/image50.png"/><Relationship Id="rId123" Type="http://schemas.openxmlformats.org/officeDocument/2006/relationships/header" Target="header23.xml"/><Relationship Id="rId144" Type="http://schemas.openxmlformats.org/officeDocument/2006/relationships/image" Target="media/image82.png"/><Relationship Id="rId90" Type="http://schemas.openxmlformats.org/officeDocument/2006/relationships/header" Target="header16.xml"/><Relationship Id="rId165" Type="http://schemas.openxmlformats.org/officeDocument/2006/relationships/image" Target="media/image95.png"/><Relationship Id="rId186" Type="http://schemas.openxmlformats.org/officeDocument/2006/relationships/footer" Target="footer27.xml"/><Relationship Id="rId211" Type="http://schemas.openxmlformats.org/officeDocument/2006/relationships/header" Target="header32.xml"/><Relationship Id="rId232" Type="http://schemas.openxmlformats.org/officeDocument/2006/relationships/image" Target="media/image146.png"/><Relationship Id="rId27" Type="http://schemas.openxmlformats.org/officeDocument/2006/relationships/header" Target="header6.xml"/><Relationship Id="rId48" Type="http://schemas.openxmlformats.org/officeDocument/2006/relationships/header" Target="header10.xml"/><Relationship Id="rId69" Type="http://schemas.openxmlformats.org/officeDocument/2006/relationships/image" Target="media/image30.png"/><Relationship Id="rId113" Type="http://schemas.openxmlformats.org/officeDocument/2006/relationships/header" Target="header20.xml"/><Relationship Id="rId134" Type="http://schemas.openxmlformats.org/officeDocument/2006/relationships/image" Target="media/image72.png"/><Relationship Id="rId80" Type="http://schemas.openxmlformats.org/officeDocument/2006/relationships/footer" Target="footer14.xml"/><Relationship Id="rId155" Type="http://schemas.openxmlformats.org/officeDocument/2006/relationships/image" Target="media/image87.png"/><Relationship Id="rId176" Type="http://schemas.openxmlformats.org/officeDocument/2006/relationships/image" Target="media/image104.png"/><Relationship Id="rId197" Type="http://schemas.openxmlformats.org/officeDocument/2006/relationships/image" Target="media/image123.png"/><Relationship Id="rId201" Type="http://schemas.openxmlformats.org/officeDocument/2006/relationships/image" Target="media/image127.png"/><Relationship Id="rId222" Type="http://schemas.openxmlformats.org/officeDocument/2006/relationships/image" Target="media/image140.png"/><Relationship Id="rId243" Type="http://schemas.openxmlformats.org/officeDocument/2006/relationships/header" Target="header38.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8.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9.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8.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9.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30.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3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3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3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3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3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3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38.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9.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84708</Words>
  <Characters>482837</Characters>
  <Application>Microsoft Office Word</Application>
  <DocSecurity>0</DocSecurity>
  <Lines>4023</Lines>
  <Paragraphs>1132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Microsoft account</cp:lastModifiedBy>
  <cp:revision>5</cp:revision>
  <dcterms:created xsi:type="dcterms:W3CDTF">2022-10-29T22:59:00Z</dcterms:created>
  <dcterms:modified xsi:type="dcterms:W3CDTF">2022-10-30T00:01:00Z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2012-10-02T00:00:00Z</vt:filetime>
  </property>
  <property fmtid="{D5CDD505-2E9C-101B-9397-08002B2CF9AE}" pid="3" name="Creator">
    <vt:lpwstr>Adobe InDesign CS5.5 (7.5)</vt:lpwstr>
  </property>
  <property fmtid="{D5CDD505-2E9C-101B-9397-08002B2CF9AE}" pid="4" name="LastSaved">
    <vt:filetime>2022-10-29T00:00:00Z</vt:filetime>
  </property>
  <property fmtid="{D5CDD505-2E9C-101B-9397-08002B2CF9AE}" pid="5" name="Producer">
    <vt:lpwstr>Adobe PDF Library 9.9</vt:lpwstr>
  </property>
</Properties>
</file>